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E4E98" w14:textId="56B49A5C" w:rsidR="00BC0E7E" w:rsidRPr="00BC0E7E" w:rsidRDefault="00944B8F" w:rsidP="00BC0E7E">
      <w:pPr>
        <w:rPr>
          <w:szCs w:val="20"/>
        </w:rPr>
      </w:pPr>
      <w:r w:rsidRPr="00AD2B60">
        <w:rPr>
          <w:b/>
          <w:noProof/>
          <w:szCs w:val="22"/>
        </w:rPr>
        <mc:AlternateContent>
          <mc:Choice Requires="wps">
            <w:drawing>
              <wp:anchor distT="0" distB="0" distL="114300" distR="114300" simplePos="0" relativeHeight="251658245" behindDoc="0" locked="0" layoutInCell="1" allowOverlap="1" wp14:anchorId="5F2E18A6" wp14:editId="06748E2C">
                <wp:simplePos x="0" y="0"/>
                <wp:positionH relativeFrom="margin">
                  <wp:align>left</wp:align>
                </wp:positionH>
                <wp:positionV relativeFrom="paragraph">
                  <wp:posOffset>0</wp:posOffset>
                </wp:positionV>
                <wp:extent cx="5772150" cy="1404620"/>
                <wp:effectExtent l="0" t="0" r="1905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404620"/>
                        </a:xfrm>
                        <a:prstGeom prst="rect">
                          <a:avLst/>
                        </a:prstGeom>
                        <a:solidFill>
                          <a:srgbClr val="FFFFFF"/>
                        </a:solidFill>
                        <a:ln w="9525">
                          <a:solidFill>
                            <a:srgbClr val="000000"/>
                          </a:solidFill>
                          <a:miter lim="800000"/>
                          <a:headEnd/>
                          <a:tailEnd/>
                        </a:ln>
                      </wps:spPr>
                      <wps:txbx>
                        <w:txbxContent>
                          <w:p w14:paraId="3E637356" w14:textId="77777777" w:rsidR="00A979F4" w:rsidRDefault="00944B8F" w:rsidP="00A979F4">
                            <w:r w:rsidRPr="00AD2B60">
                              <w:t>This document is the approved product information for</w:t>
                            </w:r>
                            <w:r>
                              <w:t xml:space="preserve"> Humira</w:t>
                            </w:r>
                            <w:r w:rsidRPr="00AD2B60">
                              <w:t>, with the changes since the previous procedure affecting the product information (</w:t>
                            </w:r>
                            <w:r w:rsidR="00EA5277" w:rsidRPr="00EA5277">
                              <w:t>EMA/N/0000249136</w:t>
                            </w:r>
                            <w:r w:rsidRPr="00AD2B60">
                              <w:t>) tracked</w:t>
                            </w:r>
                            <w:r>
                              <w:t>.</w:t>
                            </w:r>
                          </w:p>
                          <w:p w14:paraId="084C6E0E" w14:textId="77777777" w:rsidR="00A979F4" w:rsidRDefault="00A979F4" w:rsidP="00A979F4"/>
                          <w:p w14:paraId="7726D152" w14:textId="77777777" w:rsidR="00A979F4" w:rsidRDefault="00944B8F" w:rsidP="00A979F4">
                            <w:r>
                              <w:t>For more information, see the European Medicines Agency’s website:</w:t>
                            </w:r>
                          </w:p>
                          <w:p w14:paraId="27392682" w14:textId="77777777" w:rsidR="00A979F4" w:rsidRDefault="00A979F4" w:rsidP="00EA5277">
                            <w:hyperlink r:id="rId11" w:history="1">
                              <w:r w:rsidRPr="00EA5277">
                                <w:rPr>
                                  <w:rStyle w:val="Hyperlink"/>
                                </w:rPr>
                                <w:t>https://www.ema.europa.eu/en/medicines/human/EPAR/Humira</w:t>
                              </w:r>
                            </w:hyperlink>
                          </w:p>
                        </w:txbxContent>
                      </wps:txbx>
                      <wps:bodyPr rot="0" vert="horz" wrap="square" lIns="91440" tIns="45720" rIns="91440" bIns="45720" anchor="t" anchorCtr="0">
                        <a:spAutoFit/>
                      </wps:bodyPr>
                    </wps:wsp>
                  </a:graphicData>
                </a:graphic>
              </wp:anchor>
            </w:drawing>
          </mc:Choice>
          <mc:Fallback>
            <w:pict>
              <v:shapetype w14:anchorId="5F2E18A6" id="_x0000_t202" coordsize="21600,21600" o:spt="202" path="m,l,21600r21600,l21600,xe">
                <v:stroke joinstyle="miter"/>
                <v:path gradientshapeok="t" o:connecttype="rect"/>
              </v:shapetype>
              <v:shape id="Text Box 2" o:spid="_x0000_s1026" type="#_x0000_t202" style="position:absolute;margin-left:0;margin-top:0;width:454.5pt;height:110.6pt;z-index:251658245;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">
                <v:textbox style="mso-fit-shape-to-text:t">
                  <w:txbxContent>
                    <w:p w14:paraId="3E637356" w14:textId="77777777" w:rsidR="00A979F4" w:rsidRDefault="00944B8F" w:rsidP="00A979F4">
                      <w:r w:rsidRPr="00AD2B60">
                        <w:t>This document is the approved product information for</w:t>
                      </w:r>
                      <w:r>
                        <w:t xml:space="preserve"> Humira</w:t>
                      </w:r>
                      <w:r w:rsidRPr="00AD2B60">
                        <w:t>, with the changes since the previous procedure affecting the product information (</w:t>
                      </w:r>
                      <w:r w:rsidR="00EA5277" w:rsidRPr="00EA5277">
                        <w:t>EMA/N/0000249136</w:t>
                      </w:r>
                      <w:r w:rsidRPr="00AD2B60">
                        <w:t>) tracked</w:t>
                      </w:r>
                      <w:r>
                        <w:t>.</w:t>
                      </w:r>
                    </w:p>
                    <w:p w14:paraId="084C6E0E" w14:textId="77777777" w:rsidR="00A979F4" w:rsidRDefault="00A979F4" w:rsidP="00A979F4"/>
                    <w:p w14:paraId="7726D152" w14:textId="77777777" w:rsidR="00A979F4" w:rsidRDefault="00944B8F" w:rsidP="00A979F4">
                      <w:r>
                        <w:t>For more information, see the European Medicines Agency’s website:</w:t>
                      </w:r>
                    </w:p>
                    <w:p w14:paraId="27392682" w14:textId="77777777" w:rsidR="00A979F4" w:rsidRDefault="00A979F4" w:rsidP="00EA5277">
                      <w:hyperlink r:id="rId12" w:history="1">
                        <w:r w:rsidRPr="00EA5277">
                          <w:rPr>
                            <w:rStyle w:val="Hyperlink"/>
                          </w:rPr>
                          <w:t>https://www.ema.europa.eu/en/medicines/human/EPAR/Humira</w:t>
                        </w:r>
                      </w:hyperlink>
                    </w:p>
                  </w:txbxContent>
                </v:textbox>
                <w10:wrap type="square" anchorx="margin"/>
              </v:shape>
            </w:pict>
          </mc:Fallback>
        </mc:AlternateContent>
      </w:r>
    </w:p>
    <w:p w14:paraId="3519E2E7" w14:textId="77777777" w:rsidR="00BC0E7E" w:rsidRPr="00BC0E7E" w:rsidRDefault="00BC0E7E" w:rsidP="00BC0E7E">
      <w:pPr>
        <w:rPr>
          <w:szCs w:val="20"/>
        </w:rPr>
      </w:pPr>
    </w:p>
    <w:p w14:paraId="3D228EE9" w14:textId="77777777" w:rsidR="00BC0E7E" w:rsidRPr="00BC0E7E" w:rsidRDefault="00BC0E7E" w:rsidP="00BC0E7E">
      <w:pPr>
        <w:rPr>
          <w:szCs w:val="20"/>
        </w:rPr>
      </w:pPr>
    </w:p>
    <w:p w14:paraId="71D1560F" w14:textId="77777777" w:rsidR="00BC0E7E" w:rsidRPr="00BC0E7E" w:rsidRDefault="00BC0E7E" w:rsidP="00BC0E7E">
      <w:pPr>
        <w:rPr>
          <w:szCs w:val="20"/>
        </w:rPr>
      </w:pPr>
    </w:p>
    <w:p w14:paraId="06DF805A" w14:textId="77777777" w:rsidR="00BC0E7E" w:rsidRPr="00BC0E7E" w:rsidRDefault="00BC0E7E" w:rsidP="00BC0E7E">
      <w:pPr>
        <w:rPr>
          <w:szCs w:val="20"/>
        </w:rPr>
      </w:pPr>
    </w:p>
    <w:p w14:paraId="474BBCC2" w14:textId="77777777" w:rsidR="00BC0E7E" w:rsidRPr="00BC0E7E" w:rsidRDefault="00BC0E7E" w:rsidP="00BC0E7E">
      <w:pPr>
        <w:rPr>
          <w:szCs w:val="20"/>
        </w:rPr>
      </w:pPr>
    </w:p>
    <w:p w14:paraId="3F9543EE" w14:textId="77777777" w:rsidR="00BC0E7E" w:rsidRPr="00BC0E7E" w:rsidRDefault="00BC0E7E" w:rsidP="00BC0E7E">
      <w:pPr>
        <w:rPr>
          <w:szCs w:val="20"/>
        </w:rPr>
      </w:pPr>
    </w:p>
    <w:p w14:paraId="5C5BD90D" w14:textId="77777777" w:rsidR="00BC0E7E" w:rsidRPr="00BC0E7E" w:rsidRDefault="00BC0E7E" w:rsidP="00BC0E7E">
      <w:pPr>
        <w:rPr>
          <w:szCs w:val="20"/>
        </w:rPr>
      </w:pPr>
    </w:p>
    <w:p w14:paraId="4AA2AE86" w14:textId="77777777" w:rsidR="00BC0E7E" w:rsidRPr="00BC0E7E" w:rsidRDefault="00BC0E7E" w:rsidP="00BC0E7E">
      <w:pPr>
        <w:rPr>
          <w:szCs w:val="20"/>
        </w:rPr>
      </w:pPr>
    </w:p>
    <w:p w14:paraId="5E0E2C9C" w14:textId="77777777" w:rsidR="00BC0E7E" w:rsidRPr="00BC0E7E" w:rsidRDefault="00BC0E7E" w:rsidP="00BC0E7E">
      <w:pPr>
        <w:rPr>
          <w:szCs w:val="20"/>
        </w:rPr>
      </w:pPr>
    </w:p>
    <w:p w14:paraId="60D24605" w14:textId="77777777" w:rsidR="00BC0E7E" w:rsidRPr="00BC0E7E" w:rsidRDefault="00BC0E7E" w:rsidP="00BC0E7E">
      <w:pPr>
        <w:rPr>
          <w:szCs w:val="20"/>
        </w:rPr>
      </w:pPr>
    </w:p>
    <w:p w14:paraId="7DD5167D" w14:textId="77777777" w:rsidR="00BC0E7E" w:rsidRPr="00BC0E7E" w:rsidRDefault="00BC0E7E" w:rsidP="00BC0E7E">
      <w:pPr>
        <w:rPr>
          <w:szCs w:val="20"/>
        </w:rPr>
      </w:pPr>
    </w:p>
    <w:p w14:paraId="72CCB018" w14:textId="77777777" w:rsidR="00BC0E7E" w:rsidRPr="00BC0E7E" w:rsidRDefault="00BC0E7E" w:rsidP="00BC0E7E">
      <w:pPr>
        <w:rPr>
          <w:szCs w:val="20"/>
        </w:rPr>
      </w:pPr>
    </w:p>
    <w:p w14:paraId="318C7E22" w14:textId="77777777" w:rsidR="00BC0E7E" w:rsidRPr="00BC0E7E" w:rsidRDefault="00BC0E7E" w:rsidP="00BC0E7E">
      <w:pPr>
        <w:rPr>
          <w:szCs w:val="20"/>
        </w:rPr>
      </w:pPr>
    </w:p>
    <w:p w14:paraId="75CFAA1A" w14:textId="77777777" w:rsidR="00BC0E7E" w:rsidRPr="00BC0E7E" w:rsidRDefault="00BC0E7E" w:rsidP="00BC0E7E">
      <w:pPr>
        <w:rPr>
          <w:szCs w:val="20"/>
        </w:rPr>
      </w:pPr>
    </w:p>
    <w:p w14:paraId="3ABD99C9" w14:textId="77777777" w:rsidR="00BC0E7E" w:rsidRPr="00BC0E7E" w:rsidRDefault="00BC0E7E" w:rsidP="00BC0E7E">
      <w:pPr>
        <w:rPr>
          <w:szCs w:val="20"/>
        </w:rPr>
      </w:pPr>
    </w:p>
    <w:p w14:paraId="16C1950E" w14:textId="77777777" w:rsidR="00BC0E7E" w:rsidRPr="00BC0E7E" w:rsidRDefault="00BC0E7E" w:rsidP="00BC0E7E">
      <w:pPr>
        <w:rPr>
          <w:szCs w:val="20"/>
        </w:rPr>
      </w:pPr>
    </w:p>
    <w:p w14:paraId="1B7FF62E" w14:textId="77777777" w:rsidR="00BC0E7E" w:rsidRPr="00BC0E7E" w:rsidRDefault="00BC0E7E" w:rsidP="00BC0E7E">
      <w:pPr>
        <w:rPr>
          <w:szCs w:val="20"/>
        </w:rPr>
      </w:pPr>
    </w:p>
    <w:p w14:paraId="1714101D" w14:textId="77777777" w:rsidR="00BC0E7E" w:rsidRPr="00BC0E7E" w:rsidRDefault="00BC0E7E" w:rsidP="00BC0E7E">
      <w:pPr>
        <w:rPr>
          <w:szCs w:val="20"/>
        </w:rPr>
      </w:pPr>
    </w:p>
    <w:p w14:paraId="77BAF45C" w14:textId="77777777" w:rsidR="00BC0E7E" w:rsidRPr="00BC0E7E" w:rsidRDefault="00BC0E7E" w:rsidP="00BC0E7E">
      <w:pPr>
        <w:rPr>
          <w:szCs w:val="20"/>
        </w:rPr>
      </w:pPr>
    </w:p>
    <w:p w14:paraId="5A3D66BB" w14:textId="77777777" w:rsidR="00BC0E7E" w:rsidRPr="00BC0E7E" w:rsidRDefault="00BC0E7E" w:rsidP="00BC0E7E">
      <w:pPr>
        <w:rPr>
          <w:szCs w:val="20"/>
        </w:rPr>
      </w:pPr>
    </w:p>
    <w:p w14:paraId="009AF0C6" w14:textId="77777777" w:rsidR="00BC0E7E" w:rsidRPr="00BC0E7E" w:rsidRDefault="00BC0E7E" w:rsidP="00BC0E7E">
      <w:pPr>
        <w:rPr>
          <w:szCs w:val="20"/>
        </w:rPr>
      </w:pPr>
    </w:p>
    <w:p w14:paraId="5313916D" w14:textId="77777777" w:rsidR="00BC0E7E" w:rsidRPr="00BC0E7E" w:rsidRDefault="00BC0E7E" w:rsidP="00BC0E7E">
      <w:pPr>
        <w:jc w:val="center"/>
        <w:rPr>
          <w:b/>
          <w:caps/>
          <w:szCs w:val="20"/>
        </w:rPr>
      </w:pPr>
    </w:p>
    <w:p w14:paraId="30BEF6F7" w14:textId="77777777" w:rsidR="00BC0E7E" w:rsidRPr="00BC0E7E" w:rsidRDefault="00944B8F" w:rsidP="00BC0E7E">
      <w:pPr>
        <w:jc w:val="center"/>
        <w:rPr>
          <w:b/>
          <w:caps/>
          <w:szCs w:val="20"/>
        </w:rPr>
      </w:pPr>
      <w:r w:rsidRPr="00BC0E7E">
        <w:rPr>
          <w:b/>
          <w:caps/>
          <w:szCs w:val="20"/>
        </w:rPr>
        <w:t>ANNEX I</w:t>
      </w:r>
    </w:p>
    <w:p w14:paraId="2915240B" w14:textId="77777777" w:rsidR="00BC0E7E" w:rsidRPr="00BC0E7E" w:rsidRDefault="00BC0E7E" w:rsidP="00BC0E7E">
      <w:pPr>
        <w:tabs>
          <w:tab w:val="clear" w:pos="562"/>
        </w:tabs>
        <w:rPr>
          <w:b/>
        </w:rPr>
      </w:pPr>
    </w:p>
    <w:p w14:paraId="2B148A52" w14:textId="77777777" w:rsidR="00BC0E7E" w:rsidRPr="00BC0E7E" w:rsidRDefault="00944B8F" w:rsidP="005C579E">
      <w:pPr>
        <w:pStyle w:val="BMCENTRED"/>
      </w:pPr>
      <w:r w:rsidRPr="00BC0E7E">
        <w:t>SUMMARY OF PRODUCT CHARACTERISTICS</w:t>
      </w:r>
    </w:p>
    <w:p w14:paraId="4E0B3AD6" w14:textId="77777777" w:rsidR="00BC0E7E" w:rsidRPr="00BC0E7E" w:rsidRDefault="00BC0E7E" w:rsidP="00BC0E7E">
      <w:pPr>
        <w:tabs>
          <w:tab w:val="clear" w:pos="562"/>
        </w:tabs>
        <w:rPr>
          <w:bCs/>
        </w:rPr>
      </w:pPr>
    </w:p>
    <w:p w14:paraId="1FDD15C9" w14:textId="77777777" w:rsidR="00AB3BE8" w:rsidRPr="002A3533" w:rsidRDefault="00944B8F" w:rsidP="00AB3BE8">
      <w:pPr>
        <w:pStyle w:val="EMEAHeading1Para1"/>
        <w:spacing w:afterLines="0"/>
        <w:rPr>
          <w:rFonts w:ascii="Times New Roman" w:hAnsi="Times New Roman"/>
          <w:lang w:val="en-GB"/>
        </w:rPr>
      </w:pPr>
      <w:r w:rsidRPr="00BC0E7E">
        <w:rPr>
          <w:bCs/>
          <w:lang w:val="en-GB"/>
        </w:rPr>
        <w:br w:type="page"/>
      </w:r>
      <w:r w:rsidRPr="002A3533">
        <w:rPr>
          <w:rFonts w:ascii="Times New Roman" w:hAnsi="Times New Roman"/>
          <w:lang w:val="en-GB"/>
        </w:rPr>
        <w:lastRenderedPageBreak/>
        <w:t>1.</w:t>
      </w:r>
      <w:r w:rsidRPr="002A3533">
        <w:rPr>
          <w:rFonts w:ascii="Times New Roman" w:hAnsi="Times New Roman"/>
          <w:lang w:val="en-GB"/>
        </w:rPr>
        <w:tab/>
        <w:t xml:space="preserve">NAME OF THE MEDICINAL PRODUCT </w:t>
      </w:r>
    </w:p>
    <w:p w14:paraId="7F998506" w14:textId="77777777" w:rsidR="00AB3BE8" w:rsidRPr="002A3533" w:rsidRDefault="00AB3BE8" w:rsidP="00AB3BE8">
      <w:pPr>
        <w:pStyle w:val="EMEANormal"/>
        <w:rPr>
          <w:lang w:val="en-GB"/>
        </w:rPr>
      </w:pPr>
    </w:p>
    <w:p w14:paraId="3F91428C" w14:textId="77777777" w:rsidR="00AB3BE8" w:rsidRPr="002A3533" w:rsidRDefault="00944B8F" w:rsidP="00AB3BE8">
      <w:pPr>
        <w:tabs>
          <w:tab w:val="clear" w:pos="562"/>
        </w:tabs>
      </w:pPr>
      <w:r w:rsidRPr="002A3533">
        <w:t xml:space="preserve">Humira </w:t>
      </w:r>
      <w:r>
        <w:t>20</w:t>
      </w:r>
      <w:r w:rsidRPr="002A3533">
        <w:t> mg solution for injection in pre-filled syringe</w:t>
      </w:r>
      <w:r>
        <w:t xml:space="preserve"> </w:t>
      </w:r>
    </w:p>
    <w:p w14:paraId="42B2C901" w14:textId="77777777" w:rsidR="00AB3BE8" w:rsidRPr="002A3533" w:rsidRDefault="00AB3BE8" w:rsidP="00AB3BE8">
      <w:pPr>
        <w:tabs>
          <w:tab w:val="clear" w:pos="562"/>
        </w:tabs>
      </w:pPr>
    </w:p>
    <w:p w14:paraId="5FD60487" w14:textId="77777777" w:rsidR="00AB3BE8" w:rsidRPr="002A3533" w:rsidRDefault="00AB3BE8" w:rsidP="00AB3BE8">
      <w:pPr>
        <w:tabs>
          <w:tab w:val="clear" w:pos="562"/>
        </w:tabs>
      </w:pPr>
    </w:p>
    <w:p w14:paraId="30788EBA" w14:textId="77777777" w:rsidR="00AB3BE8" w:rsidRPr="002A3533" w:rsidRDefault="00944B8F" w:rsidP="00AB3BE8">
      <w:pPr>
        <w:pStyle w:val="EMEAHeading1"/>
        <w:spacing w:beforeLines="0" w:afterLines="0"/>
        <w:rPr>
          <w:rFonts w:ascii="Times New Roman" w:hAnsi="Times New Roman"/>
          <w:lang w:val="en-GB"/>
        </w:rPr>
      </w:pPr>
      <w:r w:rsidRPr="002A3533">
        <w:rPr>
          <w:rFonts w:ascii="Times New Roman" w:hAnsi="Times New Roman"/>
          <w:lang w:val="en-GB"/>
        </w:rPr>
        <w:t>2.</w:t>
      </w:r>
      <w:r w:rsidRPr="002A3533">
        <w:rPr>
          <w:rFonts w:ascii="Times New Roman" w:hAnsi="Times New Roman"/>
          <w:lang w:val="en-GB"/>
        </w:rPr>
        <w:tab/>
        <w:t xml:space="preserve">QUALITATIVE AND QUANTITATIVE COMPOSITION </w:t>
      </w:r>
    </w:p>
    <w:p w14:paraId="1C084DB0" w14:textId="77777777" w:rsidR="00AB3BE8" w:rsidRDefault="00AB3BE8" w:rsidP="00AB3BE8">
      <w:pPr>
        <w:tabs>
          <w:tab w:val="clear" w:pos="562"/>
        </w:tabs>
        <w:rPr>
          <w:u w:val="single"/>
        </w:rPr>
      </w:pPr>
    </w:p>
    <w:p w14:paraId="059923CB" w14:textId="77777777" w:rsidR="00AB3BE8" w:rsidRPr="002A3533" w:rsidRDefault="00944B8F" w:rsidP="00AB3BE8">
      <w:pPr>
        <w:autoSpaceDE w:val="0"/>
        <w:autoSpaceDN w:val="0"/>
        <w:adjustRightInd w:val="0"/>
      </w:pPr>
      <w:r w:rsidRPr="002A3533">
        <w:t xml:space="preserve">Each </w:t>
      </w:r>
      <w:r>
        <w:t>0.2</w:t>
      </w:r>
      <w:r w:rsidRPr="002A3533">
        <w:t xml:space="preserve"> ml single dose pre-filled syringe contains </w:t>
      </w:r>
      <w:r>
        <w:t>20</w:t>
      </w:r>
      <w:r w:rsidRPr="002A3533">
        <w:t xml:space="preserve"> mg of adalimumab. </w:t>
      </w:r>
    </w:p>
    <w:p w14:paraId="5EFEE7D4" w14:textId="77777777" w:rsidR="00AB3BE8" w:rsidRPr="00A87374" w:rsidRDefault="00AB3BE8" w:rsidP="00AB3BE8">
      <w:pPr>
        <w:autoSpaceDE w:val="0"/>
        <w:autoSpaceDN w:val="0"/>
        <w:adjustRightInd w:val="0"/>
      </w:pPr>
    </w:p>
    <w:p w14:paraId="74109BFC" w14:textId="77777777" w:rsidR="00AB3BE8" w:rsidRDefault="00944B8F" w:rsidP="00AB3BE8">
      <w:pPr>
        <w:autoSpaceDE w:val="0"/>
        <w:autoSpaceDN w:val="0"/>
        <w:adjustRightInd w:val="0"/>
        <w:rPr>
          <w:ins w:id="0" w:author="AbbVie19" w:date="2025-04-16T10:38:00Z"/>
        </w:rPr>
      </w:pPr>
      <w:r w:rsidRPr="002A3533">
        <w:t xml:space="preserve">Adalimumab is a recombinant human monoclonal antibody </w:t>
      </w:r>
      <w:r>
        <w:t>produced</w:t>
      </w:r>
      <w:r w:rsidRPr="002A3533">
        <w:t xml:space="preserve"> in Chinese Hamster Ovary cells.</w:t>
      </w:r>
    </w:p>
    <w:p w14:paraId="3C3D08EF" w14:textId="77777777" w:rsidR="00AA4A2A" w:rsidRDefault="00AA4A2A" w:rsidP="00AB3BE8">
      <w:pPr>
        <w:autoSpaceDE w:val="0"/>
        <w:autoSpaceDN w:val="0"/>
        <w:adjustRightInd w:val="0"/>
        <w:rPr>
          <w:ins w:id="1" w:author="AbbVie19" w:date="2025-04-16T10:38:00Z"/>
        </w:rPr>
      </w:pPr>
    </w:p>
    <w:p w14:paraId="0C8C925E" w14:textId="2B14BF45" w:rsidR="00AA4A2A" w:rsidRPr="00B364D7" w:rsidRDefault="00944B8F" w:rsidP="00AA4A2A">
      <w:pPr>
        <w:rPr>
          <w:ins w:id="2" w:author="AbbVie19" w:date="2025-04-16T10:38:00Z"/>
          <w:szCs w:val="22"/>
          <w:u w:val="single"/>
        </w:rPr>
      </w:pPr>
      <w:ins w:id="3" w:author="AbbVie19" w:date="2025-04-16T10:38:00Z">
        <w:r w:rsidRPr="00B364D7">
          <w:rPr>
            <w:szCs w:val="22"/>
            <w:u w:val="single"/>
          </w:rPr>
          <w:t>Excipients with known effect</w:t>
        </w:r>
      </w:ins>
    </w:p>
    <w:p w14:paraId="07D7D5F3" w14:textId="77777777" w:rsidR="00AA4A2A" w:rsidRPr="00B364D7" w:rsidRDefault="00AA4A2A" w:rsidP="00AA4A2A">
      <w:pPr>
        <w:rPr>
          <w:ins w:id="4" w:author="AbbVie19" w:date="2025-04-16T10:38:00Z"/>
          <w:szCs w:val="22"/>
          <w:u w:val="single"/>
        </w:rPr>
      </w:pPr>
    </w:p>
    <w:p w14:paraId="7E378EC9" w14:textId="36FEEF13" w:rsidR="00AA4A2A" w:rsidRPr="00AA4A2A" w:rsidRDefault="00944B8F" w:rsidP="009F3FDE">
      <w:pPr>
        <w:numPr>
          <w:ilvl w:val="12"/>
          <w:numId w:val="0"/>
        </w:numPr>
        <w:tabs>
          <w:tab w:val="clear" w:pos="562"/>
        </w:tabs>
        <w:ind w:right="-2"/>
        <w:rPr>
          <w:szCs w:val="22"/>
        </w:rPr>
      </w:pPr>
      <w:ins w:id="5" w:author="AbbVie19" w:date="2025-04-16T10:38:00Z">
        <w:r w:rsidRPr="00B364D7">
          <w:rPr>
            <w:szCs w:val="22"/>
          </w:rPr>
          <w:t>This medicinal product contains</w:t>
        </w:r>
      </w:ins>
      <w:ins w:id="6" w:author="AbbVie19" w:date="2025-05-06T08:49:00Z">
        <w:r w:rsidR="009F3FDE">
          <w:rPr>
            <w:szCs w:val="22"/>
          </w:rPr>
          <w:t xml:space="preserve"> 0.2</w:t>
        </w:r>
      </w:ins>
      <w:ins w:id="7" w:author="AbbVie15" w:date="2025-08-27T10:03:00Z">
        <w:r w:rsidR="00762FA7">
          <w:rPr>
            <w:szCs w:val="22"/>
          </w:rPr>
          <w:t> </w:t>
        </w:r>
      </w:ins>
      <w:ins w:id="8" w:author="AbbVie19" w:date="2025-04-16T10:38:00Z">
        <w:r w:rsidRPr="00B364D7">
          <w:rPr>
            <w:szCs w:val="22"/>
          </w:rPr>
          <w:t>mg of polysorbate </w:t>
        </w:r>
        <w:r>
          <w:rPr>
            <w:szCs w:val="22"/>
          </w:rPr>
          <w:t>8</w:t>
        </w:r>
        <w:r w:rsidRPr="00B364D7">
          <w:rPr>
            <w:szCs w:val="22"/>
          </w:rPr>
          <w:t xml:space="preserve">0 in each </w:t>
        </w:r>
      </w:ins>
      <w:ins w:id="9" w:author="AbbVie19" w:date="2025-04-17T10:56:00Z">
        <w:r w:rsidR="008040FD">
          <w:rPr>
            <w:szCs w:val="22"/>
          </w:rPr>
          <w:t>20</w:t>
        </w:r>
      </w:ins>
      <w:ins w:id="10" w:author="AbbVie15" w:date="2025-08-27T10:03:00Z">
        <w:r w:rsidR="00762FA7">
          <w:rPr>
            <w:szCs w:val="22"/>
          </w:rPr>
          <w:t> </w:t>
        </w:r>
      </w:ins>
      <w:ins w:id="11" w:author="AbbVie19" w:date="2025-04-17T10:56:00Z">
        <w:r w:rsidR="008040FD">
          <w:rPr>
            <w:szCs w:val="22"/>
          </w:rPr>
          <w:t xml:space="preserve">mg </w:t>
        </w:r>
      </w:ins>
      <w:ins w:id="12" w:author="AbbVie19" w:date="2025-04-17T10:28:00Z">
        <w:r w:rsidR="009C43CF">
          <w:rPr>
            <w:szCs w:val="22"/>
          </w:rPr>
          <w:t>dose</w:t>
        </w:r>
      </w:ins>
      <w:ins w:id="13" w:author="AbbVie19" w:date="2025-04-16T10:38:00Z">
        <w:r>
          <w:rPr>
            <w:szCs w:val="22"/>
          </w:rPr>
          <w:t>.</w:t>
        </w:r>
      </w:ins>
    </w:p>
    <w:p w14:paraId="346DA81C" w14:textId="77777777" w:rsidR="00AB3BE8" w:rsidRPr="002A3533" w:rsidRDefault="00AB3BE8" w:rsidP="00AB3BE8">
      <w:pPr>
        <w:autoSpaceDE w:val="0"/>
        <w:autoSpaceDN w:val="0"/>
        <w:adjustRightInd w:val="0"/>
      </w:pPr>
    </w:p>
    <w:p w14:paraId="6DD71402" w14:textId="77777777" w:rsidR="00AB3BE8" w:rsidRPr="002A3533" w:rsidRDefault="00944B8F" w:rsidP="00AB3BE8">
      <w:pPr>
        <w:tabs>
          <w:tab w:val="clear" w:pos="562"/>
        </w:tabs>
      </w:pPr>
      <w:r w:rsidRPr="002A3533">
        <w:t xml:space="preserve">For </w:t>
      </w:r>
      <w:r>
        <w:t>the</w:t>
      </w:r>
      <w:r w:rsidRPr="002A3533">
        <w:t xml:space="preserve"> full list of excipients, see section 6.1. </w:t>
      </w:r>
    </w:p>
    <w:p w14:paraId="6F2788C2" w14:textId="77777777" w:rsidR="00AB3BE8" w:rsidRPr="002A3533" w:rsidRDefault="00AB3BE8" w:rsidP="00AB3BE8">
      <w:pPr>
        <w:tabs>
          <w:tab w:val="clear" w:pos="562"/>
        </w:tabs>
      </w:pPr>
    </w:p>
    <w:p w14:paraId="5AB67A61" w14:textId="77777777" w:rsidR="00AB3BE8" w:rsidRPr="002A3533" w:rsidRDefault="00AB3BE8" w:rsidP="00AB3BE8">
      <w:pPr>
        <w:tabs>
          <w:tab w:val="clear" w:pos="562"/>
        </w:tabs>
      </w:pPr>
    </w:p>
    <w:p w14:paraId="2581B77A" w14:textId="77777777" w:rsidR="00AB3BE8" w:rsidRPr="002A3533" w:rsidRDefault="00944B8F" w:rsidP="00AB3BE8">
      <w:pPr>
        <w:pStyle w:val="EMEAHeading1"/>
        <w:spacing w:beforeLines="0" w:afterLines="0"/>
        <w:rPr>
          <w:rFonts w:ascii="Times New Roman" w:hAnsi="Times New Roman"/>
          <w:caps w:val="0"/>
          <w:lang w:val="en-GB"/>
        </w:rPr>
      </w:pPr>
      <w:r w:rsidRPr="002A3533">
        <w:rPr>
          <w:rFonts w:ascii="Times New Roman" w:hAnsi="Times New Roman"/>
          <w:lang w:val="en-GB"/>
        </w:rPr>
        <w:t>3.</w:t>
      </w:r>
      <w:r w:rsidRPr="002A3533">
        <w:rPr>
          <w:rFonts w:ascii="Times New Roman" w:hAnsi="Times New Roman"/>
          <w:lang w:val="en-GB"/>
        </w:rPr>
        <w:tab/>
        <w:t xml:space="preserve">PHARMACEUTICAL </w:t>
      </w:r>
      <w:r w:rsidRPr="002A3533">
        <w:rPr>
          <w:rFonts w:ascii="Times New Roman" w:hAnsi="Times New Roman"/>
          <w:caps w:val="0"/>
          <w:lang w:val="en-GB"/>
        </w:rPr>
        <w:t xml:space="preserve">FORM </w:t>
      </w:r>
    </w:p>
    <w:p w14:paraId="7C688DCC" w14:textId="77777777" w:rsidR="00AB3BE8" w:rsidRPr="002A3533" w:rsidRDefault="00AB3BE8" w:rsidP="00AB3BE8">
      <w:pPr>
        <w:pStyle w:val="EMEANormal"/>
        <w:rPr>
          <w:lang w:val="en-GB"/>
        </w:rPr>
      </w:pPr>
    </w:p>
    <w:p w14:paraId="5214BA14" w14:textId="77777777" w:rsidR="00AB3BE8" w:rsidRPr="002A3533" w:rsidRDefault="00944B8F" w:rsidP="00AB3BE8">
      <w:pPr>
        <w:tabs>
          <w:tab w:val="clear" w:pos="562"/>
        </w:tabs>
      </w:pPr>
      <w:r w:rsidRPr="002A3533">
        <w:t>Solution for injection.</w:t>
      </w:r>
      <w:r>
        <w:t xml:space="preserve"> (injection)</w:t>
      </w:r>
    </w:p>
    <w:p w14:paraId="00336B8F" w14:textId="77777777" w:rsidR="00AB3BE8" w:rsidRPr="002A3533" w:rsidRDefault="00AB3BE8" w:rsidP="00AB3BE8">
      <w:pPr>
        <w:tabs>
          <w:tab w:val="clear" w:pos="562"/>
        </w:tabs>
      </w:pPr>
    </w:p>
    <w:p w14:paraId="4FB1FBB4" w14:textId="77777777" w:rsidR="00AB3BE8" w:rsidRPr="002A3533" w:rsidRDefault="00944B8F" w:rsidP="00AB3BE8">
      <w:pPr>
        <w:tabs>
          <w:tab w:val="clear" w:pos="562"/>
        </w:tabs>
      </w:pPr>
      <w:r w:rsidRPr="002A3533">
        <w:t xml:space="preserve">Clear, colourless solution. </w:t>
      </w:r>
    </w:p>
    <w:p w14:paraId="7A120F6A" w14:textId="77777777" w:rsidR="00AB3BE8" w:rsidRPr="002A3533" w:rsidRDefault="00AB3BE8" w:rsidP="00AB3BE8">
      <w:pPr>
        <w:tabs>
          <w:tab w:val="clear" w:pos="562"/>
        </w:tabs>
      </w:pPr>
    </w:p>
    <w:p w14:paraId="21E65ABC" w14:textId="77777777" w:rsidR="00AB3BE8" w:rsidRPr="002A3533" w:rsidRDefault="00AB3BE8" w:rsidP="00AB3BE8">
      <w:pPr>
        <w:tabs>
          <w:tab w:val="clear" w:pos="562"/>
        </w:tabs>
      </w:pPr>
    </w:p>
    <w:p w14:paraId="1D339047" w14:textId="77777777" w:rsidR="00AB3BE8" w:rsidRPr="002A3533" w:rsidRDefault="00944B8F" w:rsidP="00AB3BE8">
      <w:pPr>
        <w:pStyle w:val="EMEAHeading1"/>
        <w:spacing w:beforeLines="0" w:afterLines="0"/>
        <w:rPr>
          <w:rFonts w:ascii="Times New Roman" w:hAnsi="Times New Roman"/>
          <w:lang w:val="en-GB"/>
        </w:rPr>
      </w:pPr>
      <w:r w:rsidRPr="002A3533">
        <w:rPr>
          <w:rFonts w:ascii="Times New Roman" w:hAnsi="Times New Roman"/>
          <w:lang w:val="en-GB"/>
        </w:rPr>
        <w:t>4.</w:t>
      </w:r>
      <w:r w:rsidRPr="002A3533">
        <w:rPr>
          <w:rFonts w:ascii="Times New Roman" w:hAnsi="Times New Roman"/>
          <w:lang w:val="en-GB"/>
        </w:rPr>
        <w:tab/>
        <w:t>Clinical particulars</w:t>
      </w:r>
    </w:p>
    <w:p w14:paraId="5E32AD30" w14:textId="77777777" w:rsidR="00AB3BE8" w:rsidRPr="002A3533" w:rsidRDefault="00AB3BE8" w:rsidP="00AB3BE8">
      <w:pPr>
        <w:pStyle w:val="EMEANormal"/>
        <w:rPr>
          <w:lang w:val="en-GB"/>
        </w:rPr>
      </w:pPr>
    </w:p>
    <w:p w14:paraId="592AE985" w14:textId="77777777" w:rsidR="00AB3BE8" w:rsidRPr="002A3533" w:rsidRDefault="00944B8F" w:rsidP="00AB3BE8">
      <w:pPr>
        <w:pStyle w:val="EMEAHeading2SPCEmpty"/>
        <w:spacing w:afterLines="0"/>
        <w:rPr>
          <w:rFonts w:ascii="Times New Roman" w:hAnsi="Times New Roman"/>
          <w:lang w:val="en-GB"/>
        </w:rPr>
      </w:pPr>
      <w:r w:rsidRPr="002A3533">
        <w:rPr>
          <w:rFonts w:ascii="Times New Roman" w:hAnsi="Times New Roman"/>
          <w:lang w:val="en-GB"/>
        </w:rPr>
        <w:t>4.1</w:t>
      </w:r>
      <w:r w:rsidRPr="002A3533">
        <w:rPr>
          <w:rFonts w:ascii="Times New Roman" w:hAnsi="Times New Roman"/>
          <w:lang w:val="en-GB"/>
        </w:rPr>
        <w:tab/>
        <w:t xml:space="preserve">Therapeutic indications </w:t>
      </w:r>
    </w:p>
    <w:p w14:paraId="5E4D8069" w14:textId="77777777" w:rsidR="00AB3BE8" w:rsidRPr="002A3533" w:rsidRDefault="00AB3BE8" w:rsidP="00AB3BE8">
      <w:pPr>
        <w:pStyle w:val="EMEANormal"/>
        <w:rPr>
          <w:lang w:val="en-GB"/>
        </w:rPr>
      </w:pPr>
    </w:p>
    <w:p w14:paraId="5E4427F7" w14:textId="77777777" w:rsidR="00AB3BE8" w:rsidRPr="002A3533" w:rsidRDefault="00944B8F" w:rsidP="00AB3BE8">
      <w:pPr>
        <w:pStyle w:val="EMEANormal"/>
        <w:rPr>
          <w:u w:val="single"/>
          <w:lang w:val="en-GB"/>
        </w:rPr>
      </w:pPr>
      <w:r w:rsidRPr="002A3533">
        <w:rPr>
          <w:u w:val="single"/>
          <w:lang w:val="en-GB"/>
        </w:rPr>
        <w:t>Juvenile idiopathic arthritis</w:t>
      </w:r>
    </w:p>
    <w:p w14:paraId="77BE172D" w14:textId="77777777" w:rsidR="00AB3BE8" w:rsidRPr="002A3533" w:rsidRDefault="00AB3BE8" w:rsidP="00AB3BE8">
      <w:pPr>
        <w:pStyle w:val="EMEANormal"/>
        <w:rPr>
          <w:u w:val="single"/>
          <w:lang w:val="en-GB"/>
        </w:rPr>
      </w:pPr>
    </w:p>
    <w:p w14:paraId="528C217E" w14:textId="77777777" w:rsidR="00AB3BE8" w:rsidRPr="002A3533" w:rsidRDefault="00944B8F" w:rsidP="00AB3BE8">
      <w:pPr>
        <w:pStyle w:val="EMEANormal"/>
        <w:rPr>
          <w:i/>
          <w:lang w:val="en-GB"/>
        </w:rPr>
      </w:pPr>
      <w:r w:rsidRPr="002A3533">
        <w:rPr>
          <w:i/>
          <w:lang w:val="en-GB"/>
        </w:rPr>
        <w:t>Polyarticular juvenile idiopathic arthritis</w:t>
      </w:r>
    </w:p>
    <w:p w14:paraId="64EDBA42" w14:textId="77777777" w:rsidR="00AB3BE8" w:rsidRPr="002A3533" w:rsidRDefault="00AB3BE8" w:rsidP="00AB3BE8"/>
    <w:p w14:paraId="0F0F6DDD" w14:textId="77777777" w:rsidR="00AB3BE8" w:rsidRPr="002A3533" w:rsidRDefault="00944B8F" w:rsidP="00AB3BE8">
      <w:pPr>
        <w:tabs>
          <w:tab w:val="clear" w:pos="562"/>
        </w:tabs>
      </w:pPr>
      <w:r w:rsidRPr="002A3533">
        <w:t>Humira in combination with methotrexate is indicated for the treatment of active polyarticular juvenile idiopathic arthritis, in patients from the age of 2 years who have had an inadequate response to one or more disease-modifying anti-rheumatic drugs (DMARDs). Humira can be given as monotherapy in case of intolerance to methotrexate or when continued treatment with methotrexate is inappropriate (for the efficacy in monotherapy see section 5.1). Humira has not been studied in patients aged less than 2 years.</w:t>
      </w:r>
    </w:p>
    <w:p w14:paraId="5DF682BD" w14:textId="77777777" w:rsidR="00AB3BE8" w:rsidRPr="002A3533" w:rsidRDefault="00AB3BE8" w:rsidP="00AB3BE8">
      <w:pPr>
        <w:tabs>
          <w:tab w:val="clear" w:pos="562"/>
        </w:tabs>
      </w:pPr>
    </w:p>
    <w:p w14:paraId="55026320" w14:textId="77777777" w:rsidR="00AB3BE8" w:rsidRPr="002A3533" w:rsidRDefault="00944B8F" w:rsidP="00AB3BE8">
      <w:pPr>
        <w:keepNext/>
        <w:tabs>
          <w:tab w:val="clear" w:pos="562"/>
        </w:tabs>
        <w:rPr>
          <w:i/>
        </w:rPr>
      </w:pPr>
      <w:r w:rsidRPr="002A3533">
        <w:rPr>
          <w:i/>
        </w:rPr>
        <w:t>Enthesitis-related arthritis</w:t>
      </w:r>
    </w:p>
    <w:p w14:paraId="57A1B3FE" w14:textId="77777777" w:rsidR="00AB3BE8" w:rsidRPr="002A3533" w:rsidRDefault="00AB3BE8" w:rsidP="00AB3BE8">
      <w:pPr>
        <w:keepNext/>
        <w:tabs>
          <w:tab w:val="clear" w:pos="562"/>
        </w:tabs>
        <w:rPr>
          <w:b/>
          <w:i/>
        </w:rPr>
      </w:pPr>
    </w:p>
    <w:p w14:paraId="7182EA4B" w14:textId="77777777" w:rsidR="00AB3BE8" w:rsidRPr="002A3533" w:rsidRDefault="00944B8F" w:rsidP="00AB3BE8">
      <w:pPr>
        <w:keepNext/>
        <w:tabs>
          <w:tab w:val="clear" w:pos="562"/>
        </w:tabs>
      </w:pPr>
      <w:r w:rsidRPr="002A3533">
        <w:rPr>
          <w:bCs/>
          <w:iCs/>
        </w:rPr>
        <w:t xml:space="preserve">Humira is indicated for the treatment of active enthesitis-related arthritis in patients, 6 years of age and older, who have </w:t>
      </w:r>
      <w:r w:rsidRPr="002A3533">
        <w:t>had an inadequate response to, or who are intolerant of, conventional therapy (see section 5.1).</w:t>
      </w:r>
    </w:p>
    <w:p w14:paraId="466322FA" w14:textId="77777777" w:rsidR="00AB3BE8" w:rsidRPr="002A3533" w:rsidRDefault="00AB3BE8" w:rsidP="00AB3BE8">
      <w:pPr>
        <w:pStyle w:val="EMEANormal"/>
        <w:rPr>
          <w:u w:val="single"/>
          <w:lang w:val="en-GB"/>
        </w:rPr>
      </w:pPr>
    </w:p>
    <w:p w14:paraId="6441A1AB" w14:textId="77777777" w:rsidR="00AB3BE8" w:rsidRPr="002A3533" w:rsidRDefault="00944B8F" w:rsidP="00AB3BE8">
      <w:pPr>
        <w:pStyle w:val="EMEANormal"/>
        <w:rPr>
          <w:u w:val="single"/>
        </w:rPr>
      </w:pPr>
      <w:r w:rsidRPr="002A3533">
        <w:rPr>
          <w:u w:val="single"/>
        </w:rPr>
        <w:t>Paediatric plaque psoriasis</w:t>
      </w:r>
    </w:p>
    <w:p w14:paraId="44E3F696" w14:textId="77777777" w:rsidR="00AB3BE8" w:rsidRPr="002A3533" w:rsidRDefault="00AB3BE8" w:rsidP="00AB3BE8">
      <w:pPr>
        <w:pStyle w:val="EMEANormal"/>
      </w:pPr>
    </w:p>
    <w:p w14:paraId="7877ADAF" w14:textId="77777777" w:rsidR="00AB3BE8" w:rsidRPr="002A3533" w:rsidRDefault="00944B8F" w:rsidP="00AB3BE8">
      <w:pPr>
        <w:rPr>
          <w:iCs/>
        </w:rPr>
      </w:pPr>
      <w:r w:rsidRPr="002A3533">
        <w:rPr>
          <w:iCs/>
        </w:rPr>
        <w:t>Humira is indicated for the treatment of severe chronic plaque psoriasis in children and adolescents from 4 years of age who have had an inadequate response to or are inappropriate candidates for topical therapy and phototherapies.</w:t>
      </w:r>
    </w:p>
    <w:p w14:paraId="224F0092" w14:textId="77777777" w:rsidR="00AB3BE8" w:rsidRPr="002A3533" w:rsidRDefault="00AB3BE8" w:rsidP="00AB3BE8">
      <w:pPr>
        <w:pStyle w:val="EMEANormal"/>
        <w:rPr>
          <w:u w:val="single"/>
          <w:lang w:val="en-GB"/>
        </w:rPr>
      </w:pPr>
    </w:p>
    <w:p w14:paraId="4BD5AD64" w14:textId="77777777" w:rsidR="00AB3BE8" w:rsidRPr="002A3533" w:rsidRDefault="00944B8F" w:rsidP="00AB3BE8">
      <w:pPr>
        <w:pStyle w:val="BodyText"/>
        <w:rPr>
          <w:sz w:val="22"/>
          <w:szCs w:val="22"/>
          <w:u w:val="single"/>
        </w:rPr>
      </w:pPr>
      <w:r w:rsidRPr="002A3533">
        <w:rPr>
          <w:sz w:val="22"/>
          <w:szCs w:val="22"/>
          <w:u w:val="single"/>
        </w:rPr>
        <w:t xml:space="preserve">Paediatric Crohn's disease </w:t>
      </w:r>
    </w:p>
    <w:p w14:paraId="5F69B2B0" w14:textId="77777777" w:rsidR="00AB3BE8" w:rsidRPr="003F7AAE" w:rsidRDefault="00AB3BE8" w:rsidP="00AB3BE8">
      <w:pPr>
        <w:pStyle w:val="BodyText"/>
        <w:rPr>
          <w:sz w:val="22"/>
          <w:szCs w:val="22"/>
        </w:rPr>
      </w:pPr>
    </w:p>
    <w:p w14:paraId="74F8F036" w14:textId="77777777" w:rsidR="00AB3BE8" w:rsidRPr="008B67F3" w:rsidRDefault="00944B8F" w:rsidP="00AB3BE8">
      <w:pPr>
        <w:tabs>
          <w:tab w:val="clear" w:pos="562"/>
        </w:tabs>
      </w:pPr>
      <w:r w:rsidRPr="002A3533">
        <w:lastRenderedPageBreak/>
        <w:t xml:space="preserve">Humira is indicated for the treatment of </w:t>
      </w:r>
      <w:r>
        <w:t xml:space="preserve">moderately to </w:t>
      </w:r>
      <w:r w:rsidRPr="002A3533">
        <w:t>severe</w:t>
      </w:r>
      <w:r>
        <w:t>ly</w:t>
      </w:r>
      <w:r w:rsidRPr="002A3533">
        <w:t xml:space="preserve"> active Crohn's disease in paediatric patients (from 6 years of age) who have had an inadequate response to conventional therapy incl</w:t>
      </w:r>
      <w:r>
        <w:t>uding primary nutrition therapy</w:t>
      </w:r>
      <w:r w:rsidRPr="002A3533">
        <w:t xml:space="preserve"> </w:t>
      </w:r>
      <w:r>
        <w:t>and a corticosteroid</w:t>
      </w:r>
      <w:r w:rsidRPr="002A3533">
        <w:t xml:space="preserve"> and</w:t>
      </w:r>
      <w:r>
        <w:t>/or</w:t>
      </w:r>
      <w:r w:rsidRPr="002A3533">
        <w:t xml:space="preserve"> an immunomodulator, or who are intolerant to or have contraindications for such therapies.</w:t>
      </w:r>
    </w:p>
    <w:p w14:paraId="0D244580" w14:textId="77777777" w:rsidR="00AB3BE8" w:rsidRDefault="00AB3BE8" w:rsidP="00AB3BE8">
      <w:pPr>
        <w:rPr>
          <w:iCs/>
        </w:rPr>
      </w:pPr>
    </w:p>
    <w:p w14:paraId="438AF8F8" w14:textId="77777777" w:rsidR="00AB3BE8" w:rsidRPr="006C2B90" w:rsidRDefault="00944B8F" w:rsidP="00AB3BE8">
      <w:pPr>
        <w:pStyle w:val="BodyText"/>
        <w:keepNext/>
        <w:rPr>
          <w:sz w:val="22"/>
          <w:szCs w:val="22"/>
          <w:u w:val="single"/>
        </w:rPr>
      </w:pPr>
      <w:r w:rsidRPr="00124964">
        <w:rPr>
          <w:sz w:val="22"/>
          <w:szCs w:val="22"/>
          <w:u w:val="single"/>
        </w:rPr>
        <w:t>P</w:t>
      </w:r>
      <w:r>
        <w:rPr>
          <w:sz w:val="22"/>
          <w:szCs w:val="22"/>
          <w:u w:val="single"/>
        </w:rPr>
        <w:t>a</w:t>
      </w:r>
      <w:r w:rsidRPr="00124964">
        <w:rPr>
          <w:sz w:val="22"/>
          <w:szCs w:val="22"/>
          <w:u w:val="single"/>
        </w:rPr>
        <w:t>ediatric Uveitis</w:t>
      </w:r>
    </w:p>
    <w:p w14:paraId="457E2825" w14:textId="77777777" w:rsidR="00AB3BE8" w:rsidRDefault="00AB3BE8" w:rsidP="00AB3BE8">
      <w:pPr>
        <w:keepNext/>
        <w:tabs>
          <w:tab w:val="clear" w:pos="562"/>
        </w:tabs>
      </w:pPr>
    </w:p>
    <w:p w14:paraId="13D6FC6B" w14:textId="77777777" w:rsidR="0030126B" w:rsidRPr="00E95E17" w:rsidRDefault="00944B8F" w:rsidP="00AB3BE8">
      <w:pPr>
        <w:keepNext/>
        <w:tabs>
          <w:tab w:val="clear" w:pos="562"/>
        </w:tabs>
      </w:pPr>
      <w:r w:rsidRPr="00FC5799">
        <w:t xml:space="preserve">Humira is indicated for the treatment of </w:t>
      </w:r>
      <w:r w:rsidRPr="00300750">
        <w:t>paediatric</w:t>
      </w:r>
      <w:r w:rsidRPr="00FC5799">
        <w:t xml:space="preserve"> chronic non-infectious</w:t>
      </w:r>
      <w:r>
        <w:t xml:space="preserve"> </w:t>
      </w:r>
      <w:r w:rsidRPr="00300750">
        <w:t>anterior u</w:t>
      </w:r>
      <w:r w:rsidRPr="00FC5799">
        <w:t>veitis in patients from 2</w:t>
      </w:r>
      <w:r w:rsidR="00BD5686">
        <w:t> </w:t>
      </w:r>
      <w:r w:rsidRPr="00FC5799">
        <w:t>years of age who have had an inadequate response to or are intolerant to conventional therapy, or in whom conventional therapy is inappropriate.</w:t>
      </w:r>
    </w:p>
    <w:p w14:paraId="399E5AB4" w14:textId="77777777" w:rsidR="00AB3BE8" w:rsidRPr="002A3533" w:rsidRDefault="00AB3BE8" w:rsidP="00AB3BE8">
      <w:pPr>
        <w:pStyle w:val="EMEANormal"/>
        <w:rPr>
          <w:lang w:val="en-GB"/>
        </w:rPr>
      </w:pPr>
    </w:p>
    <w:p w14:paraId="0B0A9053" w14:textId="77777777" w:rsidR="00AB3BE8" w:rsidRPr="002A3533" w:rsidRDefault="00944B8F" w:rsidP="00AB3BE8">
      <w:pPr>
        <w:pStyle w:val="EMEAHeading2SPC"/>
        <w:tabs>
          <w:tab w:val="clear" w:pos="562"/>
          <w:tab w:val="left" w:pos="567"/>
          <w:tab w:val="left" w:pos="1134"/>
          <w:tab w:val="left" w:pos="1701"/>
          <w:tab w:val="left" w:pos="2268"/>
          <w:tab w:val="left" w:pos="2835"/>
          <w:tab w:val="left" w:pos="3402"/>
          <w:tab w:val="left" w:pos="3969"/>
          <w:tab w:val="left" w:pos="6285"/>
        </w:tabs>
        <w:spacing w:beforeLines="0" w:afterLines="0"/>
        <w:rPr>
          <w:rFonts w:ascii="Times New Roman" w:hAnsi="Times New Roman"/>
          <w:lang w:val="en-GB"/>
        </w:rPr>
      </w:pPr>
      <w:r w:rsidRPr="002A3533">
        <w:rPr>
          <w:rFonts w:ascii="Times New Roman" w:hAnsi="Times New Roman"/>
          <w:lang w:val="en-GB"/>
        </w:rPr>
        <w:t>4.2</w:t>
      </w:r>
      <w:r w:rsidRPr="002A3533">
        <w:rPr>
          <w:rFonts w:ascii="Times New Roman" w:hAnsi="Times New Roman"/>
          <w:lang w:val="en-GB"/>
        </w:rPr>
        <w:tab/>
        <w:t xml:space="preserve">Posology and method of administration  </w:t>
      </w:r>
    </w:p>
    <w:p w14:paraId="2F4F66F7" w14:textId="77777777" w:rsidR="00AB3BE8" w:rsidRPr="002A3533" w:rsidRDefault="00AB3BE8" w:rsidP="00AB3BE8">
      <w:pPr>
        <w:pStyle w:val="EMEANormal"/>
        <w:rPr>
          <w:lang w:val="en-GB"/>
        </w:rPr>
      </w:pPr>
    </w:p>
    <w:p w14:paraId="142DEF05" w14:textId="77777777" w:rsidR="00AB3BE8" w:rsidRPr="002A3533" w:rsidRDefault="00944B8F" w:rsidP="00AB3BE8">
      <w:pPr>
        <w:pStyle w:val="EndnoteText"/>
        <w:tabs>
          <w:tab w:val="clear" w:pos="562"/>
        </w:tabs>
        <w:rPr>
          <w:sz w:val="22"/>
          <w:szCs w:val="22"/>
        </w:rPr>
      </w:pPr>
      <w:r w:rsidRPr="002A3533">
        <w:rPr>
          <w:sz w:val="22"/>
          <w:szCs w:val="22"/>
        </w:rPr>
        <w:t xml:space="preserve">Humira treatment should be initiated and supervised by specialist physicians experienced in the diagnosis and treatment of conditions for which Humira is indicated. </w:t>
      </w:r>
      <w:r w:rsidRPr="009664F6">
        <w:rPr>
          <w:sz w:val="22"/>
          <w:szCs w:val="22"/>
        </w:rPr>
        <w:t xml:space="preserve">Ophthalmologists are advised to consult with an appropriate specialist before initiation of treatment with Humira (see section 4.4). </w:t>
      </w:r>
      <w:r w:rsidRPr="002A3533">
        <w:rPr>
          <w:sz w:val="22"/>
          <w:szCs w:val="22"/>
        </w:rPr>
        <w:t xml:space="preserve">Patients treated with Humira should be given the </w:t>
      </w:r>
      <w:r w:rsidR="002179FE">
        <w:rPr>
          <w:sz w:val="22"/>
          <w:szCs w:val="22"/>
        </w:rPr>
        <w:t>Patient Reminder Card</w:t>
      </w:r>
      <w:r w:rsidRPr="002A3533">
        <w:rPr>
          <w:sz w:val="22"/>
          <w:szCs w:val="22"/>
        </w:rPr>
        <w:t>.</w:t>
      </w:r>
    </w:p>
    <w:p w14:paraId="41374BC3" w14:textId="77777777" w:rsidR="00AB3BE8" w:rsidRPr="002A3533" w:rsidRDefault="00AB3BE8" w:rsidP="00AB3BE8">
      <w:pPr>
        <w:pStyle w:val="EndnoteText"/>
        <w:tabs>
          <w:tab w:val="clear" w:pos="562"/>
        </w:tabs>
        <w:rPr>
          <w:sz w:val="22"/>
          <w:szCs w:val="22"/>
        </w:rPr>
      </w:pPr>
    </w:p>
    <w:p w14:paraId="0162537B" w14:textId="77777777" w:rsidR="00AB3BE8" w:rsidRPr="002A3533" w:rsidRDefault="00944B8F" w:rsidP="00AB3BE8">
      <w:pPr>
        <w:pStyle w:val="EndnoteText"/>
        <w:tabs>
          <w:tab w:val="clear" w:pos="562"/>
        </w:tabs>
        <w:rPr>
          <w:sz w:val="22"/>
          <w:szCs w:val="22"/>
        </w:rPr>
      </w:pPr>
      <w:r w:rsidRPr="002A3533">
        <w:rPr>
          <w:sz w:val="22"/>
          <w:szCs w:val="22"/>
        </w:rPr>
        <w:t xml:space="preserve">After proper training in injection technique, patients may self-inject with Humira if their physician determines that it is appropriate and with medical follow-up as necessary. </w:t>
      </w:r>
    </w:p>
    <w:p w14:paraId="34294EC8" w14:textId="77777777" w:rsidR="00AB3BE8" w:rsidRPr="002A3533" w:rsidRDefault="00AB3BE8" w:rsidP="00AB3BE8"/>
    <w:p w14:paraId="2FC011DF" w14:textId="77777777" w:rsidR="00AB3BE8" w:rsidRPr="002A3533" w:rsidRDefault="00944B8F" w:rsidP="00AB3BE8">
      <w:r w:rsidRPr="002A3533">
        <w:t>During treatment with Humira, other concomitant therapies (e.g., corticosteroids and/or immunomodulatory agents) should be optimised.</w:t>
      </w:r>
    </w:p>
    <w:p w14:paraId="767A545D" w14:textId="77777777" w:rsidR="00AB3BE8" w:rsidRPr="002A3533" w:rsidRDefault="00AB3BE8" w:rsidP="00AB3BE8">
      <w:pPr>
        <w:pStyle w:val="EMEANormal"/>
        <w:rPr>
          <w:u w:val="single"/>
          <w:lang w:val="en-GB"/>
        </w:rPr>
      </w:pPr>
    </w:p>
    <w:p w14:paraId="4E036CC2" w14:textId="77777777" w:rsidR="00AB3BE8" w:rsidRPr="002A3533" w:rsidRDefault="00944B8F" w:rsidP="00AB3BE8">
      <w:pPr>
        <w:pStyle w:val="EMEANormal"/>
        <w:rPr>
          <w:szCs w:val="22"/>
          <w:u w:val="single"/>
          <w:lang w:val="en-GB"/>
        </w:rPr>
      </w:pPr>
      <w:r w:rsidRPr="002A3533">
        <w:rPr>
          <w:szCs w:val="22"/>
          <w:u w:val="single"/>
          <w:lang w:val="en-GB"/>
        </w:rPr>
        <w:t>Posology</w:t>
      </w:r>
    </w:p>
    <w:p w14:paraId="74701F2C" w14:textId="77777777" w:rsidR="00AB3BE8" w:rsidRPr="002A3533" w:rsidRDefault="00AB3BE8" w:rsidP="00AB3BE8">
      <w:pPr>
        <w:pStyle w:val="EMEANormal"/>
        <w:rPr>
          <w:u w:val="single"/>
          <w:lang w:val="en-GB"/>
        </w:rPr>
      </w:pPr>
    </w:p>
    <w:p w14:paraId="0C68CCE1" w14:textId="77777777" w:rsidR="00AB3BE8" w:rsidRPr="00A868FE" w:rsidRDefault="00944B8F" w:rsidP="00AB3BE8">
      <w:pPr>
        <w:pStyle w:val="EMEANormal"/>
        <w:rPr>
          <w:u w:val="single"/>
          <w:lang w:val="en-GB"/>
        </w:rPr>
      </w:pPr>
      <w:r w:rsidRPr="00A868FE">
        <w:rPr>
          <w:u w:val="single"/>
          <w:lang w:val="en-GB"/>
        </w:rPr>
        <w:t>Paediatric population</w:t>
      </w:r>
    </w:p>
    <w:p w14:paraId="2B888AD0" w14:textId="77777777" w:rsidR="00AB3BE8" w:rsidRPr="004D066E" w:rsidRDefault="00AB3BE8" w:rsidP="00AB3BE8">
      <w:pPr>
        <w:pStyle w:val="EMEANormal"/>
        <w:rPr>
          <w:u w:val="single"/>
          <w:lang w:val="en-GB"/>
        </w:rPr>
      </w:pPr>
    </w:p>
    <w:p w14:paraId="30421472" w14:textId="77777777" w:rsidR="00AB3BE8" w:rsidRPr="002A3533" w:rsidRDefault="00944B8F" w:rsidP="00AB3BE8">
      <w:pPr>
        <w:pStyle w:val="EMEANormal"/>
        <w:rPr>
          <w:i/>
          <w:lang w:val="en-GB"/>
        </w:rPr>
      </w:pPr>
      <w:r w:rsidRPr="002A3533">
        <w:rPr>
          <w:i/>
          <w:lang w:val="en-GB"/>
        </w:rPr>
        <w:t>Juvenile idiopathic arthritis</w:t>
      </w:r>
    </w:p>
    <w:p w14:paraId="72172CCE" w14:textId="77777777" w:rsidR="00AB3BE8" w:rsidRPr="002A3533" w:rsidRDefault="00AB3BE8" w:rsidP="00AB3BE8">
      <w:pPr>
        <w:pStyle w:val="EMEANormal"/>
        <w:rPr>
          <w:u w:val="single"/>
          <w:lang w:val="en-GB"/>
        </w:rPr>
      </w:pPr>
    </w:p>
    <w:p w14:paraId="7E1EE167" w14:textId="77777777" w:rsidR="00AB3BE8" w:rsidRPr="002A3533" w:rsidRDefault="00944B8F" w:rsidP="00AB3BE8">
      <w:pPr>
        <w:keepNext/>
        <w:rPr>
          <w:i/>
          <w:u w:val="single"/>
        </w:rPr>
      </w:pPr>
      <w:r w:rsidRPr="002A3533">
        <w:rPr>
          <w:i/>
          <w:u w:val="single"/>
        </w:rPr>
        <w:t>Polyarticular juvenile idiopathic arthritis from 2 years of age</w:t>
      </w:r>
    </w:p>
    <w:p w14:paraId="01BA3551" w14:textId="77777777" w:rsidR="00AB3BE8" w:rsidRPr="002A3533" w:rsidRDefault="00AB3BE8" w:rsidP="00AB3BE8">
      <w:pPr>
        <w:pStyle w:val="DefaultText"/>
        <w:keepNext/>
        <w:rPr>
          <w:rFonts w:ascii="Times New Roman" w:hAnsi="Times New Roman"/>
          <w:u w:val="single"/>
        </w:rPr>
      </w:pPr>
    </w:p>
    <w:p w14:paraId="5F9C1281" w14:textId="77777777" w:rsidR="00AB3BE8" w:rsidRPr="002A3533" w:rsidRDefault="00944B8F" w:rsidP="00AB3BE8">
      <w:pPr>
        <w:keepNext/>
      </w:pPr>
      <w:r w:rsidRPr="002A3533">
        <w:t>The recommended dose of Humira for patients with polyarticular juvenile idiopathic arthritis</w:t>
      </w:r>
      <w:r>
        <w:t xml:space="preserve"> from 2</w:t>
      </w:r>
      <w:r w:rsidR="00BD5686">
        <w:t> </w:t>
      </w:r>
      <w:r>
        <w:t>years of age is based on body weight (Table 1). Humira is</w:t>
      </w:r>
      <w:r w:rsidRPr="002A3533">
        <w:t xml:space="preserve"> administered every other week via subcutaneous injection.</w:t>
      </w:r>
    </w:p>
    <w:p w14:paraId="017ED3E8" w14:textId="77777777" w:rsidR="00AB3BE8" w:rsidRDefault="00AB3BE8" w:rsidP="00AB3BE8"/>
    <w:p w14:paraId="79942B1E" w14:textId="77777777" w:rsidR="00AB3BE8" w:rsidRPr="00900223" w:rsidRDefault="00944B8F" w:rsidP="00AB3BE8">
      <w:pPr>
        <w:jc w:val="center"/>
        <w:rPr>
          <w:b/>
          <w:szCs w:val="22"/>
        </w:rPr>
      </w:pPr>
      <w:r w:rsidRPr="00F8398A">
        <w:rPr>
          <w:b/>
          <w:szCs w:val="22"/>
        </w:rPr>
        <w:t xml:space="preserve">Table 1. Humira </w:t>
      </w:r>
      <w:r w:rsidRPr="00900223">
        <w:rPr>
          <w:b/>
          <w:szCs w:val="22"/>
        </w:rPr>
        <w:t>Dose for Patients with Polyarticular Juvenile Idiopathic Arthr</w:t>
      </w:r>
      <w:r w:rsidR="00237F82">
        <w:rPr>
          <w:b/>
          <w:szCs w:val="22"/>
        </w:rPr>
        <w:t>i</w:t>
      </w:r>
      <w:r w:rsidRPr="00900223">
        <w:rPr>
          <w:b/>
          <w:szCs w:val="22"/>
        </w:rPr>
        <w:t xml:space="preserve">tis </w:t>
      </w:r>
    </w:p>
    <w:p w14:paraId="444714D0" w14:textId="77777777" w:rsidR="00AB3BE8" w:rsidRPr="00900223" w:rsidRDefault="00AB3BE8" w:rsidP="00AB3BE8">
      <w:pPr>
        <w:rPr>
          <w:szCs w:val="22"/>
        </w:rPr>
      </w:pPr>
    </w:p>
    <w:tbl>
      <w:tblPr>
        <w:tblW w:w="6795" w:type="dxa"/>
        <w:jc w:val="center"/>
        <w:tblLayout w:type="fixed"/>
        <w:tblLook w:val="0000" w:firstRow="0" w:lastRow="0" w:firstColumn="0" w:lastColumn="0" w:noHBand="0" w:noVBand="0"/>
      </w:tblPr>
      <w:tblGrid>
        <w:gridCol w:w="3401"/>
        <w:gridCol w:w="3394"/>
      </w:tblGrid>
      <w:tr w:rsidR="00C6578C" w14:paraId="6E2E6604" w14:textId="77777777" w:rsidTr="00A6206B">
        <w:trPr>
          <w:tblHeader/>
          <w:jc w:val="center"/>
        </w:trPr>
        <w:tc>
          <w:tcPr>
            <w:tcW w:w="3401" w:type="dxa"/>
            <w:tcBorders>
              <w:top w:val="single" w:sz="4" w:space="0" w:color="auto"/>
              <w:bottom w:val="single" w:sz="4" w:space="0" w:color="auto"/>
            </w:tcBorders>
          </w:tcPr>
          <w:p w14:paraId="75F638C4" w14:textId="77777777" w:rsidR="00AB3BE8" w:rsidRPr="00900223" w:rsidRDefault="00944B8F" w:rsidP="00A6206B">
            <w:pPr>
              <w:pStyle w:val="TableLeft"/>
              <w:jc w:val="center"/>
              <w:rPr>
                <w:b/>
                <w:sz w:val="22"/>
                <w:szCs w:val="22"/>
              </w:rPr>
            </w:pPr>
            <w:r w:rsidRPr="00900223">
              <w:rPr>
                <w:b/>
                <w:sz w:val="22"/>
                <w:szCs w:val="22"/>
              </w:rPr>
              <w:t>Patient Weight</w:t>
            </w:r>
          </w:p>
        </w:tc>
        <w:tc>
          <w:tcPr>
            <w:tcW w:w="3394" w:type="dxa"/>
            <w:tcBorders>
              <w:top w:val="single" w:sz="4" w:space="0" w:color="auto"/>
              <w:bottom w:val="single" w:sz="4" w:space="0" w:color="auto"/>
            </w:tcBorders>
          </w:tcPr>
          <w:p w14:paraId="01ECA2CE" w14:textId="77777777" w:rsidR="00AB3BE8" w:rsidRPr="00900223" w:rsidRDefault="00944B8F" w:rsidP="00A6206B">
            <w:pPr>
              <w:pStyle w:val="TableLeft"/>
              <w:jc w:val="center"/>
              <w:rPr>
                <w:b/>
                <w:sz w:val="22"/>
                <w:szCs w:val="22"/>
              </w:rPr>
            </w:pPr>
            <w:r w:rsidRPr="00900223">
              <w:rPr>
                <w:b/>
                <w:sz w:val="22"/>
                <w:szCs w:val="22"/>
              </w:rPr>
              <w:t>Dosing Regimen</w:t>
            </w:r>
          </w:p>
        </w:tc>
      </w:tr>
      <w:tr w:rsidR="00C6578C" w14:paraId="360EE04C" w14:textId="77777777" w:rsidTr="00A6206B">
        <w:trPr>
          <w:tblHeader/>
          <w:jc w:val="center"/>
        </w:trPr>
        <w:tc>
          <w:tcPr>
            <w:tcW w:w="3401" w:type="dxa"/>
            <w:tcBorders>
              <w:top w:val="single" w:sz="4" w:space="0" w:color="auto"/>
              <w:bottom w:val="single" w:sz="4" w:space="0" w:color="auto"/>
            </w:tcBorders>
          </w:tcPr>
          <w:p w14:paraId="050C959B" w14:textId="77777777" w:rsidR="00AB3BE8" w:rsidRPr="00900223" w:rsidRDefault="00944B8F" w:rsidP="00A6206B">
            <w:pPr>
              <w:pStyle w:val="TableLeft"/>
              <w:jc w:val="center"/>
              <w:rPr>
                <w:b/>
                <w:sz w:val="22"/>
                <w:szCs w:val="22"/>
              </w:rPr>
            </w:pPr>
            <w:r w:rsidRPr="00900223">
              <w:rPr>
                <w:sz w:val="22"/>
                <w:szCs w:val="22"/>
              </w:rPr>
              <w:t>10 kg to &lt; 30 kg</w:t>
            </w:r>
          </w:p>
        </w:tc>
        <w:tc>
          <w:tcPr>
            <w:tcW w:w="3394" w:type="dxa"/>
            <w:tcBorders>
              <w:top w:val="single" w:sz="4" w:space="0" w:color="auto"/>
              <w:bottom w:val="single" w:sz="4" w:space="0" w:color="auto"/>
            </w:tcBorders>
          </w:tcPr>
          <w:p w14:paraId="4ED3FFF3" w14:textId="77777777" w:rsidR="00AB3BE8" w:rsidRPr="00900223" w:rsidRDefault="00944B8F" w:rsidP="00A6206B">
            <w:pPr>
              <w:pStyle w:val="TableLeft"/>
              <w:jc w:val="center"/>
              <w:rPr>
                <w:b/>
                <w:sz w:val="22"/>
                <w:szCs w:val="22"/>
              </w:rPr>
            </w:pPr>
            <w:r w:rsidRPr="00900223">
              <w:rPr>
                <w:sz w:val="22"/>
                <w:szCs w:val="22"/>
              </w:rPr>
              <w:t>20 mg every other week</w:t>
            </w:r>
          </w:p>
        </w:tc>
      </w:tr>
      <w:tr w:rsidR="00C6578C" w14:paraId="42A0ACE2" w14:textId="77777777" w:rsidTr="00A6206B">
        <w:trPr>
          <w:tblHeader/>
          <w:jc w:val="center"/>
        </w:trPr>
        <w:tc>
          <w:tcPr>
            <w:tcW w:w="3401" w:type="dxa"/>
            <w:tcBorders>
              <w:top w:val="single" w:sz="4" w:space="0" w:color="auto"/>
              <w:bottom w:val="single" w:sz="4" w:space="0" w:color="auto"/>
            </w:tcBorders>
          </w:tcPr>
          <w:p w14:paraId="73BFA756" w14:textId="77777777" w:rsidR="00AB3BE8" w:rsidRPr="00900223" w:rsidRDefault="00944B8F" w:rsidP="00A6206B">
            <w:pPr>
              <w:pStyle w:val="TableLeft"/>
              <w:jc w:val="center"/>
              <w:rPr>
                <w:b/>
                <w:sz w:val="22"/>
                <w:szCs w:val="22"/>
              </w:rPr>
            </w:pPr>
            <w:r w:rsidRPr="00900223">
              <w:rPr>
                <w:sz w:val="22"/>
                <w:szCs w:val="22"/>
              </w:rPr>
              <w:t>≥ 30 kg</w:t>
            </w:r>
          </w:p>
        </w:tc>
        <w:tc>
          <w:tcPr>
            <w:tcW w:w="3394" w:type="dxa"/>
            <w:tcBorders>
              <w:top w:val="single" w:sz="4" w:space="0" w:color="auto"/>
              <w:bottom w:val="single" w:sz="4" w:space="0" w:color="auto"/>
            </w:tcBorders>
          </w:tcPr>
          <w:p w14:paraId="1A838561" w14:textId="77777777" w:rsidR="00AB3BE8" w:rsidRPr="00900223" w:rsidRDefault="00944B8F" w:rsidP="00A6206B">
            <w:pPr>
              <w:pStyle w:val="TableLeft"/>
              <w:jc w:val="center"/>
              <w:rPr>
                <w:b/>
                <w:sz w:val="22"/>
                <w:szCs w:val="22"/>
              </w:rPr>
            </w:pPr>
            <w:r w:rsidRPr="00900223">
              <w:rPr>
                <w:sz w:val="22"/>
                <w:szCs w:val="22"/>
              </w:rPr>
              <w:t>40 mg every other week</w:t>
            </w:r>
          </w:p>
        </w:tc>
      </w:tr>
    </w:tbl>
    <w:p w14:paraId="2915415B" w14:textId="77777777" w:rsidR="00AB3BE8" w:rsidRPr="002A3533" w:rsidRDefault="00AB3BE8" w:rsidP="00AB3BE8"/>
    <w:p w14:paraId="2F78FF13" w14:textId="77777777" w:rsidR="00AB3BE8" w:rsidRPr="002A3533" w:rsidRDefault="00944B8F" w:rsidP="00AB3BE8">
      <w:r w:rsidRPr="002A3533">
        <w:t>Available data suggest that clinical response is usually achieve</w:t>
      </w:r>
      <w:r>
        <w:t>d within 12 weeks of treatment.</w:t>
      </w:r>
      <w:r w:rsidRPr="002A3533">
        <w:t xml:space="preserve"> Continued therapy should be carefully reconsidered in a patient not responding within this time period.</w:t>
      </w:r>
    </w:p>
    <w:p w14:paraId="4FDE4C86" w14:textId="77777777" w:rsidR="00AB3BE8" w:rsidRPr="002A3533" w:rsidRDefault="00AB3BE8" w:rsidP="00AB3BE8"/>
    <w:p w14:paraId="1E2A9B9B" w14:textId="77777777" w:rsidR="00AB3BE8" w:rsidRPr="002A3533" w:rsidRDefault="00944B8F" w:rsidP="00AB3BE8">
      <w:r w:rsidRPr="002A3533">
        <w:t>There is no relevant use of Humira in patients aged </w:t>
      </w:r>
      <w:r>
        <w:t>less than</w:t>
      </w:r>
      <w:r w:rsidRPr="002A3533">
        <w:t> 2 years for this indication.</w:t>
      </w:r>
    </w:p>
    <w:p w14:paraId="63A04480" w14:textId="77777777" w:rsidR="00D219B6" w:rsidRDefault="00D219B6" w:rsidP="00D219B6">
      <w:pPr>
        <w:keepNext/>
        <w:rPr>
          <w:szCs w:val="22"/>
        </w:rPr>
      </w:pPr>
    </w:p>
    <w:p w14:paraId="1670CF60" w14:textId="77777777" w:rsidR="00D219B6" w:rsidRPr="002A3533" w:rsidRDefault="00944B8F" w:rsidP="00D219B6">
      <w:pPr>
        <w:keepNext/>
      </w:pPr>
      <w:r w:rsidRPr="00154096">
        <w:rPr>
          <w:szCs w:val="22"/>
        </w:rPr>
        <w:t>Humira may be available in other strengths and/or presentations depending on the individual treatment needs</w:t>
      </w:r>
      <w:r>
        <w:rPr>
          <w:szCs w:val="22"/>
        </w:rPr>
        <w:t>.</w:t>
      </w:r>
    </w:p>
    <w:p w14:paraId="00D0466F" w14:textId="77777777" w:rsidR="00AB3BE8" w:rsidRPr="002A3533" w:rsidRDefault="00AB3BE8" w:rsidP="00AB3BE8"/>
    <w:p w14:paraId="512AB869" w14:textId="77777777" w:rsidR="00AB3BE8" w:rsidRPr="002A3533" w:rsidRDefault="00944B8F" w:rsidP="00AB3BE8">
      <w:pPr>
        <w:pStyle w:val="gtcbodytext"/>
        <w:spacing w:before="0" w:after="0" w:line="240" w:lineRule="auto"/>
        <w:rPr>
          <w:i/>
          <w:sz w:val="22"/>
          <w:szCs w:val="22"/>
          <w:u w:val="single"/>
        </w:rPr>
      </w:pPr>
      <w:r w:rsidRPr="002A3533">
        <w:rPr>
          <w:i/>
          <w:sz w:val="22"/>
          <w:szCs w:val="22"/>
          <w:u w:val="single"/>
        </w:rPr>
        <w:t>Enthesitis-related arthritis</w:t>
      </w:r>
    </w:p>
    <w:p w14:paraId="6EF174CD" w14:textId="77777777" w:rsidR="00AB3BE8" w:rsidRPr="003F7AAE" w:rsidRDefault="00AB3BE8" w:rsidP="00AB3BE8">
      <w:pPr>
        <w:pStyle w:val="gtcbodytext"/>
        <w:spacing w:before="0" w:after="0" w:line="240" w:lineRule="auto"/>
        <w:rPr>
          <w:sz w:val="22"/>
          <w:szCs w:val="22"/>
        </w:rPr>
      </w:pPr>
    </w:p>
    <w:p w14:paraId="401ACDEA" w14:textId="77777777" w:rsidR="00AB3BE8" w:rsidRPr="002A3533" w:rsidRDefault="00944B8F" w:rsidP="00AB3BE8">
      <w:r w:rsidRPr="002A3533">
        <w:rPr>
          <w:szCs w:val="22"/>
        </w:rPr>
        <w:lastRenderedPageBreak/>
        <w:t xml:space="preserve">The recommended dose of Humira for patients with enthesitis-related arthritis </w:t>
      </w:r>
      <w:r>
        <w:rPr>
          <w:szCs w:val="22"/>
        </w:rPr>
        <w:t xml:space="preserve">from </w:t>
      </w:r>
      <w:r w:rsidRPr="002A3533">
        <w:rPr>
          <w:bCs/>
          <w:iCs/>
          <w:szCs w:val="22"/>
        </w:rPr>
        <w:t>6 years of age</w:t>
      </w:r>
      <w:r>
        <w:rPr>
          <w:bCs/>
          <w:iCs/>
          <w:szCs w:val="22"/>
        </w:rPr>
        <w:t xml:space="preserve"> is based on body weight (Table 2).</w:t>
      </w:r>
      <w:r w:rsidRPr="002A3533">
        <w:rPr>
          <w:bCs/>
          <w:iCs/>
          <w:szCs w:val="22"/>
        </w:rPr>
        <w:t xml:space="preserve"> </w:t>
      </w:r>
      <w:r>
        <w:rPr>
          <w:szCs w:val="22"/>
        </w:rPr>
        <w:t xml:space="preserve">Humira is </w:t>
      </w:r>
      <w:r w:rsidRPr="002A3533">
        <w:rPr>
          <w:szCs w:val="22"/>
        </w:rPr>
        <w:t>administered every other week via subcutaneous injection.</w:t>
      </w:r>
      <w:r w:rsidRPr="0068793D">
        <w:rPr>
          <w:szCs w:val="22"/>
        </w:rPr>
        <w:t xml:space="preserve"> </w:t>
      </w:r>
    </w:p>
    <w:p w14:paraId="5F5A6425" w14:textId="77777777" w:rsidR="00AB3BE8" w:rsidRDefault="00AB3BE8" w:rsidP="00AB3BE8">
      <w:pPr>
        <w:pStyle w:val="gtcbodytext"/>
        <w:spacing w:before="0" w:after="0" w:line="240" w:lineRule="auto"/>
        <w:rPr>
          <w:sz w:val="22"/>
          <w:szCs w:val="22"/>
        </w:rPr>
      </w:pPr>
    </w:p>
    <w:p w14:paraId="29C0CCFD" w14:textId="77777777" w:rsidR="00AB3BE8" w:rsidRPr="00BF005B" w:rsidRDefault="00944B8F" w:rsidP="00AB3BE8">
      <w:pPr>
        <w:keepNext/>
        <w:jc w:val="center"/>
        <w:rPr>
          <w:b/>
          <w:szCs w:val="22"/>
        </w:rPr>
      </w:pPr>
      <w:r w:rsidRPr="00987440">
        <w:rPr>
          <w:b/>
          <w:szCs w:val="22"/>
        </w:rPr>
        <w:t>Table</w:t>
      </w:r>
      <w:r w:rsidRPr="00BF005B">
        <w:rPr>
          <w:b/>
          <w:szCs w:val="22"/>
        </w:rPr>
        <w:t xml:space="preserve"> 2. Humira Dose for Patients with Enthesitis-Related Arthr</w:t>
      </w:r>
      <w:r>
        <w:rPr>
          <w:b/>
          <w:szCs w:val="22"/>
        </w:rPr>
        <w:t>i</w:t>
      </w:r>
      <w:r w:rsidRPr="00BF005B">
        <w:rPr>
          <w:b/>
          <w:szCs w:val="22"/>
        </w:rPr>
        <w:t xml:space="preserve">tis </w:t>
      </w:r>
    </w:p>
    <w:p w14:paraId="6484CED0" w14:textId="77777777" w:rsidR="00AB3BE8" w:rsidRPr="00BF005B" w:rsidRDefault="00AB3BE8" w:rsidP="00AB3BE8">
      <w:pPr>
        <w:keepNext/>
        <w:rPr>
          <w:szCs w:val="22"/>
        </w:rPr>
      </w:pPr>
    </w:p>
    <w:tbl>
      <w:tblPr>
        <w:tblW w:w="6795" w:type="dxa"/>
        <w:jc w:val="center"/>
        <w:tblLayout w:type="fixed"/>
        <w:tblLook w:val="0000" w:firstRow="0" w:lastRow="0" w:firstColumn="0" w:lastColumn="0" w:noHBand="0" w:noVBand="0"/>
      </w:tblPr>
      <w:tblGrid>
        <w:gridCol w:w="3401"/>
        <w:gridCol w:w="3394"/>
      </w:tblGrid>
      <w:tr w:rsidR="00C6578C" w14:paraId="1D74CC87" w14:textId="77777777" w:rsidTr="00A6206B">
        <w:trPr>
          <w:tblHeader/>
          <w:jc w:val="center"/>
        </w:trPr>
        <w:tc>
          <w:tcPr>
            <w:tcW w:w="3401" w:type="dxa"/>
            <w:tcBorders>
              <w:top w:val="single" w:sz="4" w:space="0" w:color="auto"/>
              <w:bottom w:val="single" w:sz="4" w:space="0" w:color="auto"/>
            </w:tcBorders>
          </w:tcPr>
          <w:p w14:paraId="55FEF7A6" w14:textId="77777777" w:rsidR="00AB3BE8" w:rsidRPr="00BF005B" w:rsidRDefault="00944B8F" w:rsidP="00A6206B">
            <w:pPr>
              <w:pStyle w:val="TableLeft"/>
              <w:jc w:val="center"/>
              <w:rPr>
                <w:b/>
                <w:sz w:val="22"/>
                <w:szCs w:val="22"/>
              </w:rPr>
            </w:pPr>
            <w:r w:rsidRPr="00BF005B">
              <w:rPr>
                <w:b/>
                <w:sz w:val="22"/>
                <w:szCs w:val="22"/>
              </w:rPr>
              <w:t>Patient Weight</w:t>
            </w:r>
          </w:p>
        </w:tc>
        <w:tc>
          <w:tcPr>
            <w:tcW w:w="3394" w:type="dxa"/>
            <w:tcBorders>
              <w:top w:val="single" w:sz="4" w:space="0" w:color="auto"/>
              <w:bottom w:val="single" w:sz="4" w:space="0" w:color="auto"/>
            </w:tcBorders>
          </w:tcPr>
          <w:p w14:paraId="316F7F56" w14:textId="77777777" w:rsidR="00AB3BE8" w:rsidRPr="00BF005B" w:rsidRDefault="00944B8F" w:rsidP="00A6206B">
            <w:pPr>
              <w:pStyle w:val="TableLeft"/>
              <w:jc w:val="center"/>
              <w:rPr>
                <w:b/>
                <w:sz w:val="22"/>
                <w:szCs w:val="22"/>
              </w:rPr>
            </w:pPr>
            <w:r w:rsidRPr="00BF005B">
              <w:rPr>
                <w:b/>
                <w:sz w:val="22"/>
                <w:szCs w:val="22"/>
              </w:rPr>
              <w:t>Dosing Regimen</w:t>
            </w:r>
          </w:p>
        </w:tc>
      </w:tr>
      <w:tr w:rsidR="00C6578C" w14:paraId="09073F18" w14:textId="77777777" w:rsidTr="00A6206B">
        <w:trPr>
          <w:tblHeader/>
          <w:jc w:val="center"/>
        </w:trPr>
        <w:tc>
          <w:tcPr>
            <w:tcW w:w="3401" w:type="dxa"/>
            <w:tcBorders>
              <w:top w:val="single" w:sz="4" w:space="0" w:color="auto"/>
              <w:bottom w:val="single" w:sz="4" w:space="0" w:color="auto"/>
            </w:tcBorders>
          </w:tcPr>
          <w:p w14:paraId="24D7190F" w14:textId="77777777" w:rsidR="00AB3BE8" w:rsidRPr="00BF005B" w:rsidRDefault="00944B8F" w:rsidP="00A6206B">
            <w:pPr>
              <w:pStyle w:val="TableLeft"/>
              <w:jc w:val="center"/>
              <w:rPr>
                <w:b/>
                <w:sz w:val="22"/>
                <w:szCs w:val="22"/>
              </w:rPr>
            </w:pPr>
            <w:r w:rsidRPr="00BF005B">
              <w:rPr>
                <w:sz w:val="22"/>
                <w:szCs w:val="22"/>
              </w:rPr>
              <w:t>1</w:t>
            </w:r>
            <w:r>
              <w:rPr>
                <w:sz w:val="22"/>
                <w:szCs w:val="22"/>
              </w:rPr>
              <w:t>5</w:t>
            </w:r>
            <w:r w:rsidRPr="00BF005B">
              <w:rPr>
                <w:sz w:val="22"/>
                <w:szCs w:val="22"/>
              </w:rPr>
              <w:t xml:space="preserve"> kg to &lt; 30 kg</w:t>
            </w:r>
          </w:p>
        </w:tc>
        <w:tc>
          <w:tcPr>
            <w:tcW w:w="3394" w:type="dxa"/>
            <w:tcBorders>
              <w:top w:val="single" w:sz="4" w:space="0" w:color="auto"/>
              <w:bottom w:val="single" w:sz="4" w:space="0" w:color="auto"/>
            </w:tcBorders>
          </w:tcPr>
          <w:p w14:paraId="6AE908E6" w14:textId="77777777" w:rsidR="00AB3BE8" w:rsidRPr="00BF005B" w:rsidRDefault="00944B8F" w:rsidP="00A6206B">
            <w:pPr>
              <w:pStyle w:val="TableLeft"/>
              <w:jc w:val="center"/>
              <w:rPr>
                <w:b/>
                <w:sz w:val="22"/>
                <w:szCs w:val="22"/>
              </w:rPr>
            </w:pPr>
            <w:r w:rsidRPr="00BF005B">
              <w:rPr>
                <w:sz w:val="22"/>
                <w:szCs w:val="22"/>
              </w:rPr>
              <w:t>20 mg every other week</w:t>
            </w:r>
          </w:p>
        </w:tc>
      </w:tr>
      <w:tr w:rsidR="00C6578C" w14:paraId="1B557C07" w14:textId="77777777" w:rsidTr="00A6206B">
        <w:trPr>
          <w:tblHeader/>
          <w:jc w:val="center"/>
        </w:trPr>
        <w:tc>
          <w:tcPr>
            <w:tcW w:w="3401" w:type="dxa"/>
            <w:tcBorders>
              <w:top w:val="single" w:sz="4" w:space="0" w:color="auto"/>
              <w:bottom w:val="single" w:sz="4" w:space="0" w:color="auto"/>
            </w:tcBorders>
          </w:tcPr>
          <w:p w14:paraId="760C1F9B" w14:textId="77777777" w:rsidR="00AB3BE8" w:rsidRPr="00BF005B" w:rsidRDefault="00944B8F" w:rsidP="00A6206B">
            <w:pPr>
              <w:pStyle w:val="TableLeft"/>
              <w:jc w:val="center"/>
              <w:rPr>
                <w:b/>
                <w:sz w:val="22"/>
                <w:szCs w:val="22"/>
              </w:rPr>
            </w:pPr>
            <w:r w:rsidRPr="00BF005B">
              <w:rPr>
                <w:sz w:val="22"/>
                <w:szCs w:val="22"/>
              </w:rPr>
              <w:t>≥ 30 kg</w:t>
            </w:r>
          </w:p>
        </w:tc>
        <w:tc>
          <w:tcPr>
            <w:tcW w:w="3394" w:type="dxa"/>
            <w:tcBorders>
              <w:top w:val="single" w:sz="4" w:space="0" w:color="auto"/>
              <w:bottom w:val="single" w:sz="4" w:space="0" w:color="auto"/>
            </w:tcBorders>
          </w:tcPr>
          <w:p w14:paraId="4A257DBC" w14:textId="77777777" w:rsidR="00AB3BE8" w:rsidRPr="00BF005B" w:rsidRDefault="00944B8F" w:rsidP="00A6206B">
            <w:pPr>
              <w:pStyle w:val="TableLeft"/>
              <w:jc w:val="center"/>
              <w:rPr>
                <w:b/>
                <w:sz w:val="22"/>
                <w:szCs w:val="22"/>
              </w:rPr>
            </w:pPr>
            <w:r w:rsidRPr="00BF005B">
              <w:rPr>
                <w:sz w:val="22"/>
                <w:szCs w:val="22"/>
              </w:rPr>
              <w:t>40 mg every other week</w:t>
            </w:r>
          </w:p>
        </w:tc>
      </w:tr>
    </w:tbl>
    <w:p w14:paraId="3983CD25" w14:textId="77777777" w:rsidR="00AB3BE8" w:rsidRPr="002A3533" w:rsidRDefault="00AB3BE8" w:rsidP="00AB3BE8">
      <w:pPr>
        <w:pStyle w:val="gtcbodytext"/>
        <w:spacing w:before="0" w:after="0" w:line="240" w:lineRule="auto"/>
        <w:rPr>
          <w:sz w:val="22"/>
          <w:szCs w:val="22"/>
        </w:rPr>
      </w:pPr>
    </w:p>
    <w:p w14:paraId="1061CB8D" w14:textId="77777777" w:rsidR="00AB3BE8" w:rsidRPr="002A3533" w:rsidRDefault="00944B8F" w:rsidP="00AB3BE8">
      <w:pPr>
        <w:pStyle w:val="gtcbodytext"/>
        <w:spacing w:before="0" w:after="0" w:line="240" w:lineRule="auto"/>
        <w:rPr>
          <w:sz w:val="22"/>
          <w:szCs w:val="22"/>
        </w:rPr>
      </w:pPr>
      <w:r w:rsidRPr="002A3533">
        <w:rPr>
          <w:sz w:val="22"/>
          <w:szCs w:val="22"/>
        </w:rPr>
        <w:t>Humira has not been studied in patients with enthesitis-related arthritis aged less than 6 years.</w:t>
      </w:r>
    </w:p>
    <w:p w14:paraId="12CAA22A" w14:textId="77777777" w:rsidR="00D219B6" w:rsidRDefault="00D219B6" w:rsidP="00D219B6">
      <w:pPr>
        <w:keepNext/>
        <w:rPr>
          <w:szCs w:val="22"/>
        </w:rPr>
      </w:pPr>
    </w:p>
    <w:p w14:paraId="02BBD2BE" w14:textId="77777777" w:rsidR="00D219B6" w:rsidRPr="002A3533" w:rsidRDefault="00944B8F" w:rsidP="00D219B6">
      <w:pPr>
        <w:keepNext/>
      </w:pPr>
      <w:r w:rsidRPr="00154096">
        <w:rPr>
          <w:szCs w:val="22"/>
        </w:rPr>
        <w:t>Humira may be available in other strengths and/or presentations depending on the individual treatment needs</w:t>
      </w:r>
      <w:r>
        <w:rPr>
          <w:szCs w:val="22"/>
        </w:rPr>
        <w:t>.</w:t>
      </w:r>
    </w:p>
    <w:p w14:paraId="7A908050" w14:textId="77777777" w:rsidR="00AB3BE8" w:rsidRPr="002A3533" w:rsidRDefault="00AB3BE8" w:rsidP="00AB3BE8"/>
    <w:p w14:paraId="14976D3C" w14:textId="77777777" w:rsidR="00AB3BE8" w:rsidRPr="002A3533" w:rsidRDefault="00944B8F" w:rsidP="00AB3BE8">
      <w:pPr>
        <w:keepNext/>
      </w:pPr>
      <w:r w:rsidRPr="002A3533">
        <w:rPr>
          <w:i/>
        </w:rPr>
        <w:t>Paediatric plaque psoriasis</w:t>
      </w:r>
    </w:p>
    <w:p w14:paraId="10465E0F" w14:textId="77777777" w:rsidR="00AB3BE8" w:rsidRPr="002A3533" w:rsidRDefault="00AB3BE8" w:rsidP="00AB3BE8">
      <w:pPr>
        <w:pStyle w:val="EMEAHeadingUnderline"/>
        <w:keepNext/>
        <w:spacing w:beforeLines="0" w:afterLines="0"/>
        <w:rPr>
          <w:u w:val="none"/>
        </w:rPr>
      </w:pPr>
    </w:p>
    <w:p w14:paraId="76930EF5" w14:textId="77777777" w:rsidR="00AB3BE8" w:rsidRPr="00300232" w:rsidRDefault="00944B8F" w:rsidP="00AB3BE8">
      <w:pPr>
        <w:pStyle w:val="EMEAHeadingUnderline"/>
        <w:keepNext/>
        <w:spacing w:beforeLines="0" w:afterLines="0"/>
        <w:rPr>
          <w:u w:val="none"/>
        </w:rPr>
      </w:pPr>
      <w:r w:rsidRPr="002A3533">
        <w:rPr>
          <w:u w:val="none"/>
        </w:rPr>
        <w:t xml:space="preserve">The recommended Humira dose </w:t>
      </w:r>
      <w:r>
        <w:rPr>
          <w:u w:val="none"/>
        </w:rPr>
        <w:t>for patients with plaque psoriasis from 4 to 17</w:t>
      </w:r>
      <w:r w:rsidR="00BD5686">
        <w:rPr>
          <w:u w:val="none"/>
        </w:rPr>
        <w:t> </w:t>
      </w:r>
      <w:r>
        <w:rPr>
          <w:u w:val="none"/>
        </w:rPr>
        <w:t xml:space="preserve">years of age is based on body weight (Table 3). Humira is </w:t>
      </w:r>
      <w:r w:rsidRPr="002A3533">
        <w:rPr>
          <w:u w:val="none"/>
        </w:rPr>
        <w:t xml:space="preserve">administered </w:t>
      </w:r>
      <w:r>
        <w:rPr>
          <w:u w:val="none"/>
        </w:rPr>
        <w:t>via subcutaneous injection.</w:t>
      </w:r>
    </w:p>
    <w:p w14:paraId="02B1BEF9" w14:textId="77777777" w:rsidR="00AB3BE8" w:rsidRDefault="00AB3BE8" w:rsidP="00AB3BE8">
      <w:pPr>
        <w:pStyle w:val="EMEAHeadingUnderline"/>
        <w:keepNext/>
        <w:spacing w:beforeLines="0" w:afterLines="0"/>
        <w:rPr>
          <w:u w:val="none"/>
        </w:rPr>
      </w:pPr>
    </w:p>
    <w:p w14:paraId="77F81492" w14:textId="77777777" w:rsidR="00AB3BE8" w:rsidRPr="00840AC3" w:rsidRDefault="00944B8F" w:rsidP="00AB3BE8">
      <w:pPr>
        <w:jc w:val="center"/>
        <w:rPr>
          <w:b/>
          <w:szCs w:val="22"/>
        </w:rPr>
      </w:pPr>
      <w:r w:rsidRPr="00754D21">
        <w:rPr>
          <w:b/>
          <w:szCs w:val="22"/>
        </w:rPr>
        <w:t xml:space="preserve">Table 3. Humira Dose </w:t>
      </w:r>
      <w:r w:rsidRPr="008E3986">
        <w:rPr>
          <w:b/>
          <w:szCs w:val="22"/>
        </w:rPr>
        <w:t>for Paediat</w:t>
      </w:r>
      <w:r>
        <w:rPr>
          <w:b/>
          <w:szCs w:val="22"/>
        </w:rPr>
        <w:t xml:space="preserve">ric Patients with Plaque Psoriasis </w:t>
      </w:r>
    </w:p>
    <w:p w14:paraId="033A1523" w14:textId="77777777" w:rsidR="00AB3BE8" w:rsidRPr="00BF005B" w:rsidRDefault="00AB3BE8" w:rsidP="00AB3BE8">
      <w:pPr>
        <w:rPr>
          <w:szCs w:val="22"/>
        </w:rPr>
      </w:pPr>
    </w:p>
    <w:tbl>
      <w:tblPr>
        <w:tblW w:w="6795" w:type="dxa"/>
        <w:jc w:val="center"/>
        <w:tblLayout w:type="fixed"/>
        <w:tblLook w:val="0000" w:firstRow="0" w:lastRow="0" w:firstColumn="0" w:lastColumn="0" w:noHBand="0" w:noVBand="0"/>
      </w:tblPr>
      <w:tblGrid>
        <w:gridCol w:w="3401"/>
        <w:gridCol w:w="3394"/>
      </w:tblGrid>
      <w:tr w:rsidR="00C6578C" w14:paraId="5522878B" w14:textId="77777777" w:rsidTr="00A6206B">
        <w:trPr>
          <w:tblHeader/>
          <w:jc w:val="center"/>
        </w:trPr>
        <w:tc>
          <w:tcPr>
            <w:tcW w:w="3401" w:type="dxa"/>
            <w:tcBorders>
              <w:top w:val="single" w:sz="4" w:space="0" w:color="auto"/>
              <w:bottom w:val="single" w:sz="4" w:space="0" w:color="auto"/>
            </w:tcBorders>
          </w:tcPr>
          <w:p w14:paraId="6649A014" w14:textId="77777777" w:rsidR="00AB3BE8" w:rsidRPr="00BF005B" w:rsidRDefault="00944B8F" w:rsidP="00A6206B">
            <w:pPr>
              <w:pStyle w:val="TableLeft"/>
              <w:jc w:val="center"/>
              <w:rPr>
                <w:b/>
                <w:sz w:val="22"/>
                <w:szCs w:val="22"/>
              </w:rPr>
            </w:pPr>
            <w:r w:rsidRPr="00BF005B">
              <w:rPr>
                <w:b/>
                <w:sz w:val="22"/>
                <w:szCs w:val="22"/>
              </w:rPr>
              <w:t>Patient Weight</w:t>
            </w:r>
          </w:p>
        </w:tc>
        <w:tc>
          <w:tcPr>
            <w:tcW w:w="3394" w:type="dxa"/>
            <w:tcBorders>
              <w:top w:val="single" w:sz="4" w:space="0" w:color="auto"/>
              <w:bottom w:val="single" w:sz="4" w:space="0" w:color="auto"/>
            </w:tcBorders>
          </w:tcPr>
          <w:p w14:paraId="318EFA3B" w14:textId="77777777" w:rsidR="00AB3BE8" w:rsidRPr="00BF005B" w:rsidRDefault="00944B8F" w:rsidP="00A6206B">
            <w:pPr>
              <w:pStyle w:val="TableLeft"/>
              <w:jc w:val="center"/>
              <w:rPr>
                <w:b/>
                <w:sz w:val="22"/>
                <w:szCs w:val="22"/>
              </w:rPr>
            </w:pPr>
            <w:r w:rsidRPr="00BF005B">
              <w:rPr>
                <w:b/>
                <w:sz w:val="22"/>
                <w:szCs w:val="22"/>
              </w:rPr>
              <w:t>Dosing Regimen</w:t>
            </w:r>
          </w:p>
        </w:tc>
      </w:tr>
      <w:tr w:rsidR="00C6578C" w14:paraId="2D185787" w14:textId="77777777" w:rsidTr="00A6206B">
        <w:trPr>
          <w:tblHeader/>
          <w:jc w:val="center"/>
        </w:trPr>
        <w:tc>
          <w:tcPr>
            <w:tcW w:w="3401" w:type="dxa"/>
            <w:tcBorders>
              <w:top w:val="single" w:sz="4" w:space="0" w:color="auto"/>
              <w:bottom w:val="single" w:sz="4" w:space="0" w:color="auto"/>
            </w:tcBorders>
          </w:tcPr>
          <w:p w14:paraId="28B6BEBB" w14:textId="77777777" w:rsidR="00AB3BE8" w:rsidRPr="00BF005B" w:rsidRDefault="00944B8F" w:rsidP="00A6206B">
            <w:pPr>
              <w:pStyle w:val="TableLeft"/>
              <w:jc w:val="center"/>
              <w:rPr>
                <w:b/>
                <w:sz w:val="22"/>
                <w:szCs w:val="22"/>
              </w:rPr>
            </w:pPr>
            <w:r w:rsidRPr="00BF005B">
              <w:rPr>
                <w:sz w:val="22"/>
                <w:szCs w:val="22"/>
              </w:rPr>
              <w:t>1</w:t>
            </w:r>
            <w:r>
              <w:rPr>
                <w:sz w:val="22"/>
                <w:szCs w:val="22"/>
              </w:rPr>
              <w:t>5</w:t>
            </w:r>
            <w:r w:rsidRPr="00BF005B">
              <w:rPr>
                <w:sz w:val="22"/>
                <w:szCs w:val="22"/>
              </w:rPr>
              <w:t xml:space="preserve"> kg to &lt; 30 kg</w:t>
            </w:r>
          </w:p>
        </w:tc>
        <w:tc>
          <w:tcPr>
            <w:tcW w:w="3394" w:type="dxa"/>
            <w:tcBorders>
              <w:top w:val="single" w:sz="4" w:space="0" w:color="auto"/>
              <w:bottom w:val="single" w:sz="4" w:space="0" w:color="auto"/>
            </w:tcBorders>
          </w:tcPr>
          <w:p w14:paraId="05BFE09B" w14:textId="77777777" w:rsidR="00AB3BE8" w:rsidRPr="00D005D3" w:rsidRDefault="00944B8F" w:rsidP="00A6206B">
            <w:pPr>
              <w:pStyle w:val="TableLeft"/>
              <w:jc w:val="center"/>
              <w:rPr>
                <w:b/>
                <w:sz w:val="22"/>
                <w:szCs w:val="22"/>
              </w:rPr>
            </w:pPr>
            <w:r w:rsidRPr="00D005D3">
              <w:rPr>
                <w:sz w:val="22"/>
                <w:szCs w:val="22"/>
              </w:rPr>
              <w:t>Initial dose of 20 mg, followed by 20 mg given every other week starting one week after the initial dose</w:t>
            </w:r>
          </w:p>
        </w:tc>
      </w:tr>
      <w:tr w:rsidR="00C6578C" w14:paraId="69D782E2" w14:textId="77777777" w:rsidTr="00A6206B">
        <w:trPr>
          <w:tblHeader/>
          <w:jc w:val="center"/>
        </w:trPr>
        <w:tc>
          <w:tcPr>
            <w:tcW w:w="3401" w:type="dxa"/>
            <w:tcBorders>
              <w:top w:val="single" w:sz="4" w:space="0" w:color="auto"/>
              <w:bottom w:val="single" w:sz="4" w:space="0" w:color="auto"/>
            </w:tcBorders>
          </w:tcPr>
          <w:p w14:paraId="19E298E2" w14:textId="77777777" w:rsidR="00AB3BE8" w:rsidRPr="00BF005B" w:rsidRDefault="00944B8F" w:rsidP="00A6206B">
            <w:pPr>
              <w:pStyle w:val="TableLeft"/>
              <w:jc w:val="center"/>
              <w:rPr>
                <w:b/>
                <w:sz w:val="22"/>
                <w:szCs w:val="22"/>
              </w:rPr>
            </w:pPr>
            <w:r w:rsidRPr="00BF005B">
              <w:rPr>
                <w:sz w:val="22"/>
                <w:szCs w:val="22"/>
              </w:rPr>
              <w:t>≥ 30 kg</w:t>
            </w:r>
          </w:p>
        </w:tc>
        <w:tc>
          <w:tcPr>
            <w:tcW w:w="3394" w:type="dxa"/>
            <w:tcBorders>
              <w:top w:val="single" w:sz="4" w:space="0" w:color="auto"/>
              <w:bottom w:val="single" w:sz="4" w:space="0" w:color="auto"/>
            </w:tcBorders>
          </w:tcPr>
          <w:p w14:paraId="250FCA7A" w14:textId="77777777" w:rsidR="00AB3BE8" w:rsidRPr="00D005D3" w:rsidRDefault="00944B8F" w:rsidP="00A6206B">
            <w:pPr>
              <w:pStyle w:val="TableLeft"/>
              <w:jc w:val="center"/>
              <w:rPr>
                <w:b/>
                <w:sz w:val="22"/>
                <w:szCs w:val="22"/>
              </w:rPr>
            </w:pPr>
            <w:r w:rsidRPr="00D005D3">
              <w:rPr>
                <w:sz w:val="22"/>
                <w:szCs w:val="22"/>
              </w:rPr>
              <w:t>Initial dose of 40 mg, followed by 40 mg given every other week starting one week after the initial dose</w:t>
            </w:r>
          </w:p>
        </w:tc>
      </w:tr>
    </w:tbl>
    <w:p w14:paraId="0BC50CC5" w14:textId="77777777" w:rsidR="00AB3BE8" w:rsidRPr="007B34BC" w:rsidRDefault="00AB3BE8" w:rsidP="00AB3BE8">
      <w:pPr>
        <w:pStyle w:val="EMEAHeadingUnderline"/>
        <w:keepNext/>
        <w:spacing w:beforeLines="0" w:afterLines="0"/>
      </w:pPr>
    </w:p>
    <w:p w14:paraId="21878DED" w14:textId="77777777" w:rsidR="00AB3BE8" w:rsidRPr="002A3533" w:rsidRDefault="00944B8F" w:rsidP="00AB3BE8">
      <w:pPr>
        <w:pStyle w:val="EMEAHeadingUnderline"/>
        <w:keepNext/>
        <w:spacing w:beforeLines="0" w:afterLines="0"/>
        <w:rPr>
          <w:u w:val="none"/>
          <w:lang w:val="en-GB"/>
        </w:rPr>
      </w:pPr>
      <w:r w:rsidRPr="49943516">
        <w:rPr>
          <w:u w:val="none"/>
          <w:lang w:val="en-GB"/>
        </w:rPr>
        <w:t>Continued therapy beyond 16 weeks should be carefully considered in a patient not responding within this time period.</w:t>
      </w:r>
    </w:p>
    <w:p w14:paraId="685C84F4" w14:textId="77777777" w:rsidR="00AB3BE8" w:rsidRPr="002A3533" w:rsidRDefault="00AB3BE8" w:rsidP="00AB3BE8">
      <w:pPr>
        <w:pStyle w:val="EMEANormal"/>
      </w:pPr>
    </w:p>
    <w:p w14:paraId="406565E6" w14:textId="77777777" w:rsidR="00AB3BE8" w:rsidRPr="002A3533" w:rsidRDefault="00944B8F" w:rsidP="00AB3BE8">
      <w:pPr>
        <w:pStyle w:val="EMEANormal"/>
      </w:pPr>
      <w:r w:rsidRPr="49943516">
        <w:rPr>
          <w:lang w:val="en-GB"/>
        </w:rPr>
        <w:t>If retreatment with Humira is indicated, the above guidance on dose and treatment duration should be followed.</w:t>
      </w:r>
    </w:p>
    <w:p w14:paraId="0D02F98E" w14:textId="77777777" w:rsidR="00AB3BE8" w:rsidRPr="002A3533" w:rsidRDefault="00AB3BE8" w:rsidP="00AB3BE8">
      <w:pPr>
        <w:pStyle w:val="EMEANormal"/>
      </w:pPr>
    </w:p>
    <w:p w14:paraId="462C7DA0" w14:textId="77777777" w:rsidR="00AB3BE8" w:rsidRDefault="00944B8F" w:rsidP="00AB3BE8">
      <w:pPr>
        <w:pStyle w:val="EMEANormal"/>
      </w:pPr>
      <w:r w:rsidRPr="002A3533">
        <w:t>The safety of Humira in paediatric patients with plaque psoriasis has been assessed for a mean of 13 months.</w:t>
      </w:r>
    </w:p>
    <w:p w14:paraId="33DC3014" w14:textId="77777777" w:rsidR="00AB3BE8" w:rsidRPr="002A3533" w:rsidRDefault="00AB3BE8" w:rsidP="00AB3BE8">
      <w:pPr>
        <w:pStyle w:val="EMEANormal"/>
      </w:pPr>
    </w:p>
    <w:p w14:paraId="212D37A6" w14:textId="77777777" w:rsidR="00AB3BE8" w:rsidRDefault="00944B8F" w:rsidP="00AB3BE8">
      <w:pPr>
        <w:pStyle w:val="EMEAHeadingUnderline"/>
        <w:spacing w:beforeLines="0" w:afterLines="0"/>
        <w:rPr>
          <w:u w:val="none"/>
        </w:rPr>
      </w:pPr>
      <w:r w:rsidRPr="002A3533">
        <w:rPr>
          <w:u w:val="none"/>
          <w:lang w:val="en-GB"/>
        </w:rPr>
        <w:t>There is no relevant use of Humira in children aged less than 4 years for this indication</w:t>
      </w:r>
      <w:r w:rsidRPr="002A3533">
        <w:rPr>
          <w:u w:val="none"/>
        </w:rPr>
        <w:t>.</w:t>
      </w:r>
    </w:p>
    <w:p w14:paraId="5EBCA09D" w14:textId="77777777" w:rsidR="00D219B6" w:rsidRDefault="00D219B6" w:rsidP="00D219B6">
      <w:pPr>
        <w:keepNext/>
        <w:rPr>
          <w:szCs w:val="22"/>
        </w:rPr>
      </w:pPr>
    </w:p>
    <w:p w14:paraId="056A818D" w14:textId="77777777" w:rsidR="00D219B6" w:rsidRPr="002A3533" w:rsidRDefault="00944B8F" w:rsidP="00D219B6">
      <w:pPr>
        <w:keepNext/>
      </w:pPr>
      <w:r w:rsidRPr="00154096">
        <w:rPr>
          <w:szCs w:val="22"/>
        </w:rPr>
        <w:t>Humira may be available in other strengths and/or presentations depending on the individual treatment needs</w:t>
      </w:r>
      <w:r>
        <w:rPr>
          <w:szCs w:val="22"/>
        </w:rPr>
        <w:t>.</w:t>
      </w:r>
    </w:p>
    <w:p w14:paraId="61F8C1E2" w14:textId="77777777" w:rsidR="00AB3BE8" w:rsidRPr="00FD6AFC" w:rsidRDefault="00AB3BE8" w:rsidP="00AB3BE8">
      <w:pPr>
        <w:pStyle w:val="EMEANormal"/>
      </w:pPr>
    </w:p>
    <w:p w14:paraId="1F32D5C4" w14:textId="77777777" w:rsidR="00AB3BE8" w:rsidRPr="002A3533" w:rsidRDefault="00944B8F" w:rsidP="00AB3BE8">
      <w:pPr>
        <w:keepNext/>
        <w:rPr>
          <w:i/>
        </w:rPr>
      </w:pPr>
      <w:r w:rsidRPr="002A3533">
        <w:rPr>
          <w:i/>
        </w:rPr>
        <w:t>Paediatric Crohn's disease</w:t>
      </w:r>
    </w:p>
    <w:p w14:paraId="7C3F91CC" w14:textId="77777777" w:rsidR="00AB3BE8" w:rsidRPr="002A3533" w:rsidRDefault="00AB3BE8" w:rsidP="00AB3BE8">
      <w:pPr>
        <w:keepNext/>
        <w:rPr>
          <w:u w:val="single"/>
        </w:rPr>
      </w:pPr>
    </w:p>
    <w:p w14:paraId="2DC937E5" w14:textId="77777777" w:rsidR="00AB3BE8" w:rsidRDefault="00944B8F" w:rsidP="00AB3BE8">
      <w:pPr>
        <w:rPr>
          <w:szCs w:val="22"/>
        </w:rPr>
      </w:pPr>
      <w:r w:rsidRPr="00E20D59">
        <w:rPr>
          <w:szCs w:val="22"/>
        </w:rPr>
        <w:t xml:space="preserve">The recommended dose of Humira for patients with </w:t>
      </w:r>
      <w:r>
        <w:rPr>
          <w:szCs w:val="22"/>
        </w:rPr>
        <w:t>Crohn’s disease from 6</w:t>
      </w:r>
      <w:r w:rsidRPr="00E20D59">
        <w:rPr>
          <w:szCs w:val="22"/>
        </w:rPr>
        <w:t xml:space="preserve"> </w:t>
      </w:r>
      <w:r>
        <w:rPr>
          <w:szCs w:val="22"/>
        </w:rPr>
        <w:t>to 17</w:t>
      </w:r>
      <w:r w:rsidR="00BD5686">
        <w:rPr>
          <w:szCs w:val="22"/>
        </w:rPr>
        <w:t> </w:t>
      </w:r>
      <w:r w:rsidRPr="00E20D59">
        <w:rPr>
          <w:szCs w:val="22"/>
        </w:rPr>
        <w:t>years</w:t>
      </w:r>
      <w:r>
        <w:rPr>
          <w:szCs w:val="22"/>
        </w:rPr>
        <w:t xml:space="preserve"> of age is </w:t>
      </w:r>
      <w:r w:rsidRPr="00E20D59">
        <w:rPr>
          <w:szCs w:val="22"/>
        </w:rPr>
        <w:t xml:space="preserve">based on </w:t>
      </w:r>
      <w:r>
        <w:rPr>
          <w:szCs w:val="22"/>
        </w:rPr>
        <w:t xml:space="preserve">body </w:t>
      </w:r>
      <w:r w:rsidRPr="00E20D59">
        <w:rPr>
          <w:szCs w:val="22"/>
        </w:rPr>
        <w:t>weight</w:t>
      </w:r>
      <w:r>
        <w:rPr>
          <w:szCs w:val="22"/>
        </w:rPr>
        <w:t xml:space="preserve"> (Table 4).</w:t>
      </w:r>
      <w:r w:rsidRPr="00E20D59">
        <w:rPr>
          <w:szCs w:val="22"/>
        </w:rPr>
        <w:t xml:space="preserve"> </w:t>
      </w:r>
      <w:r>
        <w:rPr>
          <w:szCs w:val="22"/>
        </w:rPr>
        <w:t xml:space="preserve">Humira is </w:t>
      </w:r>
      <w:r w:rsidRPr="00E20D59">
        <w:rPr>
          <w:szCs w:val="22"/>
        </w:rPr>
        <w:t>administered via subcutaneous injection.</w:t>
      </w:r>
    </w:p>
    <w:p w14:paraId="1B721E8A" w14:textId="77777777" w:rsidR="00AB3BE8" w:rsidRDefault="00AB3BE8" w:rsidP="00AB3BE8">
      <w:pPr>
        <w:keepNext/>
        <w:rPr>
          <w:szCs w:val="22"/>
        </w:rPr>
      </w:pPr>
    </w:p>
    <w:p w14:paraId="040A5F84" w14:textId="77777777" w:rsidR="00AB3BE8" w:rsidRDefault="00944B8F" w:rsidP="00AB3BE8">
      <w:pPr>
        <w:keepNext/>
        <w:jc w:val="center"/>
        <w:rPr>
          <w:b/>
          <w:szCs w:val="22"/>
        </w:rPr>
      </w:pPr>
      <w:r w:rsidRPr="00840AC3">
        <w:rPr>
          <w:b/>
          <w:szCs w:val="22"/>
        </w:rPr>
        <w:t xml:space="preserve">Table </w:t>
      </w:r>
      <w:r>
        <w:rPr>
          <w:b/>
          <w:szCs w:val="22"/>
        </w:rPr>
        <w:t>4</w:t>
      </w:r>
      <w:r w:rsidRPr="00840AC3">
        <w:rPr>
          <w:b/>
          <w:szCs w:val="22"/>
        </w:rPr>
        <w:t>. Humira Do</w:t>
      </w:r>
      <w:r w:rsidRPr="00A41D77">
        <w:rPr>
          <w:b/>
          <w:szCs w:val="22"/>
        </w:rPr>
        <w:t xml:space="preserve">se </w:t>
      </w:r>
      <w:r>
        <w:rPr>
          <w:b/>
          <w:szCs w:val="22"/>
        </w:rPr>
        <w:t>for Paediatric Patients with Crohn’s disease</w:t>
      </w:r>
    </w:p>
    <w:p w14:paraId="1CFEF417" w14:textId="77777777" w:rsidR="00AB3BE8" w:rsidRDefault="00AB3BE8" w:rsidP="00AB3BE8">
      <w:pPr>
        <w:keepNext/>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71"/>
        <w:gridCol w:w="6847"/>
        <w:gridCol w:w="1584"/>
      </w:tblGrid>
      <w:tr w:rsidR="00C6578C" w14:paraId="26EF0F74" w14:textId="77777777" w:rsidTr="00A6206B">
        <w:trPr>
          <w:tblHeader/>
        </w:trPr>
        <w:tc>
          <w:tcPr>
            <w:tcW w:w="0" w:type="auto"/>
            <w:tcBorders>
              <w:top w:val="single" w:sz="6" w:space="0" w:color="000000"/>
              <w:left w:val="single" w:sz="6" w:space="0" w:color="000000"/>
              <w:bottom w:val="single" w:sz="6" w:space="0" w:color="000000"/>
              <w:right w:val="single" w:sz="6" w:space="0" w:color="000000"/>
            </w:tcBorders>
            <w:hideMark/>
          </w:tcPr>
          <w:p w14:paraId="7BE6E57A" w14:textId="77777777" w:rsidR="00AB3BE8" w:rsidRDefault="00944B8F" w:rsidP="00A6206B">
            <w:pPr>
              <w:keepNext/>
              <w:jc w:val="center"/>
            </w:pPr>
            <w:r>
              <w:rPr>
                <w:b/>
              </w:rPr>
              <w:t>Patient Weight</w:t>
            </w:r>
          </w:p>
        </w:tc>
        <w:tc>
          <w:tcPr>
            <w:tcW w:w="0" w:type="auto"/>
            <w:tcBorders>
              <w:top w:val="single" w:sz="6" w:space="0" w:color="000000"/>
              <w:left w:val="single" w:sz="6" w:space="0" w:color="000000"/>
              <w:bottom w:val="single" w:sz="6" w:space="0" w:color="000000"/>
              <w:right w:val="single" w:sz="6" w:space="0" w:color="000000"/>
            </w:tcBorders>
            <w:hideMark/>
          </w:tcPr>
          <w:p w14:paraId="63FE7254" w14:textId="77777777" w:rsidR="00AB3BE8" w:rsidRDefault="00944B8F" w:rsidP="00A6206B">
            <w:pPr>
              <w:keepNext/>
              <w:jc w:val="center"/>
            </w:pPr>
            <w:r>
              <w:rPr>
                <w:b/>
              </w:rPr>
              <w:t>Induction Dose</w:t>
            </w:r>
          </w:p>
        </w:tc>
        <w:tc>
          <w:tcPr>
            <w:tcW w:w="0" w:type="auto"/>
            <w:tcBorders>
              <w:top w:val="single" w:sz="6" w:space="0" w:color="000000"/>
              <w:left w:val="single" w:sz="6" w:space="0" w:color="000000"/>
              <w:bottom w:val="single" w:sz="6" w:space="0" w:color="000000"/>
              <w:right w:val="single" w:sz="6" w:space="0" w:color="000000"/>
            </w:tcBorders>
            <w:hideMark/>
          </w:tcPr>
          <w:p w14:paraId="3374E7D8" w14:textId="77777777" w:rsidR="00AB3BE8" w:rsidRDefault="00944B8F" w:rsidP="00A005E2">
            <w:pPr>
              <w:keepNext/>
              <w:jc w:val="center"/>
            </w:pPr>
            <w:r>
              <w:rPr>
                <w:b/>
              </w:rPr>
              <w:t>Maintenance Dose</w:t>
            </w:r>
            <w:r>
              <w:rPr>
                <w:b/>
              </w:rPr>
              <w:br/>
              <w:t>Starting</w:t>
            </w:r>
            <w:r w:rsidR="001D280A">
              <w:rPr>
                <w:b/>
              </w:rPr>
              <w:t xml:space="preserve"> at</w:t>
            </w:r>
            <w:r w:rsidR="00A005E2">
              <w:rPr>
                <w:b/>
              </w:rPr>
              <w:t xml:space="preserve"> W</w:t>
            </w:r>
            <w:r>
              <w:rPr>
                <w:b/>
              </w:rPr>
              <w:t>eek 4</w:t>
            </w:r>
          </w:p>
        </w:tc>
      </w:tr>
      <w:tr w:rsidR="00C6578C" w14:paraId="72B97343" w14:textId="77777777" w:rsidTr="00A6206B">
        <w:tc>
          <w:tcPr>
            <w:tcW w:w="0" w:type="auto"/>
            <w:tcBorders>
              <w:top w:val="single" w:sz="6" w:space="0" w:color="000000"/>
              <w:left w:val="single" w:sz="6" w:space="0" w:color="000000"/>
              <w:bottom w:val="single" w:sz="6" w:space="0" w:color="000000"/>
              <w:right w:val="single" w:sz="6" w:space="0" w:color="000000"/>
            </w:tcBorders>
            <w:hideMark/>
          </w:tcPr>
          <w:p w14:paraId="3C30A1A5" w14:textId="77777777" w:rsidR="00AB3BE8" w:rsidRDefault="00944B8F" w:rsidP="00A6206B">
            <w:pPr>
              <w:keepNext/>
              <w:jc w:val="center"/>
            </w:pPr>
            <w:r>
              <w:t>&lt; 40 kg</w:t>
            </w:r>
          </w:p>
        </w:tc>
        <w:tc>
          <w:tcPr>
            <w:tcW w:w="0" w:type="auto"/>
            <w:tcBorders>
              <w:top w:val="single" w:sz="6" w:space="0" w:color="000000"/>
              <w:left w:val="single" w:sz="6" w:space="0" w:color="000000"/>
              <w:bottom w:val="single" w:sz="6" w:space="0" w:color="000000"/>
              <w:right w:val="single" w:sz="6" w:space="0" w:color="000000"/>
            </w:tcBorders>
            <w:hideMark/>
          </w:tcPr>
          <w:p w14:paraId="30B5FBE0" w14:textId="77777777" w:rsidR="00AB3BE8" w:rsidRPr="00F8398A" w:rsidRDefault="00944B8F" w:rsidP="009D78A8">
            <w:pPr>
              <w:keepNext/>
              <w:numPr>
                <w:ilvl w:val="0"/>
                <w:numId w:val="94"/>
              </w:numPr>
              <w:tabs>
                <w:tab w:val="clear" w:pos="562"/>
              </w:tabs>
              <w:suppressAutoHyphens w:val="0"/>
              <w:ind w:left="307" w:hanging="180"/>
              <w:rPr>
                <w:szCs w:val="22"/>
              </w:rPr>
            </w:pPr>
            <w:r>
              <w:rPr>
                <w:szCs w:val="22"/>
              </w:rPr>
              <w:t>40 mg at w</w:t>
            </w:r>
            <w:r w:rsidRPr="00F8398A">
              <w:rPr>
                <w:szCs w:val="22"/>
              </w:rPr>
              <w:t xml:space="preserve">eek 0 and 20 mg at </w:t>
            </w:r>
            <w:r>
              <w:rPr>
                <w:szCs w:val="22"/>
              </w:rPr>
              <w:t>w</w:t>
            </w:r>
            <w:r w:rsidRPr="00F8398A">
              <w:rPr>
                <w:szCs w:val="22"/>
              </w:rPr>
              <w:t>eek 2</w:t>
            </w:r>
          </w:p>
          <w:p w14:paraId="508C9E69" w14:textId="77777777" w:rsidR="00AB3BE8" w:rsidRPr="00F8398A" w:rsidRDefault="00AB3BE8" w:rsidP="00A6206B">
            <w:pPr>
              <w:keepNext/>
              <w:tabs>
                <w:tab w:val="clear" w:pos="562"/>
              </w:tabs>
              <w:suppressAutoHyphens w:val="0"/>
              <w:ind w:left="337"/>
              <w:rPr>
                <w:szCs w:val="22"/>
              </w:rPr>
            </w:pPr>
          </w:p>
          <w:p w14:paraId="3DA5FA69" w14:textId="77777777" w:rsidR="00AB3BE8" w:rsidRPr="00F8398A" w:rsidRDefault="00944B8F" w:rsidP="00A6206B">
            <w:pPr>
              <w:keepNext/>
              <w:tabs>
                <w:tab w:val="clear" w:pos="562"/>
              </w:tabs>
              <w:suppressAutoHyphens w:val="0"/>
              <w:ind w:left="150"/>
              <w:rPr>
                <w:szCs w:val="22"/>
              </w:rPr>
            </w:pPr>
            <w:r w:rsidRPr="00F8398A">
              <w:rPr>
                <w:szCs w:val="22"/>
              </w:rPr>
              <w:t xml:space="preserve">In case there is a need for a more rapid response to therapy </w:t>
            </w:r>
            <w:r w:rsidRPr="00F8398A">
              <w:rPr>
                <w:iCs/>
                <w:szCs w:val="22"/>
              </w:rPr>
              <w:t>with the awareness that the risk for adverse events may be higher with use of the higher induction dose, the following dose may be used:</w:t>
            </w:r>
          </w:p>
          <w:p w14:paraId="238466F0" w14:textId="77777777" w:rsidR="00AB3BE8" w:rsidRPr="00F8398A" w:rsidRDefault="00944B8F" w:rsidP="009D78A8">
            <w:pPr>
              <w:keepNext/>
              <w:numPr>
                <w:ilvl w:val="0"/>
                <w:numId w:val="90"/>
              </w:numPr>
              <w:tabs>
                <w:tab w:val="clear" w:pos="562"/>
              </w:tabs>
              <w:suppressAutoHyphens w:val="0"/>
              <w:ind w:left="307" w:hanging="180"/>
              <w:rPr>
                <w:iCs/>
                <w:szCs w:val="22"/>
              </w:rPr>
            </w:pPr>
            <w:r w:rsidRPr="00F8398A">
              <w:rPr>
                <w:szCs w:val="22"/>
              </w:rPr>
              <w:t>8</w:t>
            </w:r>
            <w:r w:rsidR="001D280A">
              <w:rPr>
                <w:szCs w:val="22"/>
              </w:rPr>
              <w:t>0 mg at week 0 and 40 mg at w</w:t>
            </w:r>
            <w:r w:rsidRPr="00F8398A">
              <w:rPr>
                <w:szCs w:val="22"/>
              </w:rPr>
              <w:t>eek 2</w:t>
            </w:r>
          </w:p>
        </w:tc>
        <w:tc>
          <w:tcPr>
            <w:tcW w:w="0" w:type="auto"/>
            <w:tcBorders>
              <w:top w:val="single" w:sz="6" w:space="0" w:color="000000"/>
              <w:left w:val="single" w:sz="6" w:space="0" w:color="000000"/>
              <w:bottom w:val="single" w:sz="6" w:space="0" w:color="000000"/>
              <w:right w:val="single" w:sz="6" w:space="0" w:color="000000"/>
            </w:tcBorders>
            <w:hideMark/>
          </w:tcPr>
          <w:p w14:paraId="296DC208" w14:textId="77777777" w:rsidR="00AB3BE8" w:rsidRDefault="00944B8F" w:rsidP="00A6206B">
            <w:pPr>
              <w:keepNext/>
              <w:tabs>
                <w:tab w:val="clear" w:pos="562"/>
              </w:tabs>
              <w:suppressAutoHyphens w:val="0"/>
              <w:ind w:left="27"/>
              <w:jc w:val="center"/>
            </w:pPr>
            <w:r>
              <w:t>20 mg every other week</w:t>
            </w:r>
          </w:p>
        </w:tc>
      </w:tr>
      <w:tr w:rsidR="00C6578C" w14:paraId="4F1E11E1" w14:textId="77777777" w:rsidTr="00A6206B">
        <w:tc>
          <w:tcPr>
            <w:tcW w:w="0" w:type="auto"/>
            <w:tcBorders>
              <w:top w:val="single" w:sz="6" w:space="0" w:color="000000"/>
              <w:left w:val="single" w:sz="6" w:space="0" w:color="000000"/>
              <w:bottom w:val="single" w:sz="6" w:space="0" w:color="000000"/>
              <w:right w:val="single" w:sz="6" w:space="0" w:color="000000"/>
            </w:tcBorders>
            <w:hideMark/>
          </w:tcPr>
          <w:p w14:paraId="4F87C0AF" w14:textId="77777777" w:rsidR="00AB3BE8" w:rsidRDefault="00944B8F" w:rsidP="00A6206B">
            <w:pPr>
              <w:keepNext/>
              <w:jc w:val="center"/>
            </w:pPr>
            <w:r>
              <w:t>≥ 40 kg</w:t>
            </w:r>
          </w:p>
        </w:tc>
        <w:tc>
          <w:tcPr>
            <w:tcW w:w="0" w:type="auto"/>
            <w:tcBorders>
              <w:top w:val="single" w:sz="6" w:space="0" w:color="000000"/>
              <w:left w:val="single" w:sz="6" w:space="0" w:color="000000"/>
              <w:bottom w:val="single" w:sz="6" w:space="0" w:color="000000"/>
              <w:right w:val="single" w:sz="6" w:space="0" w:color="000000"/>
            </w:tcBorders>
            <w:hideMark/>
          </w:tcPr>
          <w:p w14:paraId="25F7D06B" w14:textId="77777777" w:rsidR="00AB3BE8" w:rsidRPr="00F8398A" w:rsidRDefault="00944B8F" w:rsidP="009D78A8">
            <w:pPr>
              <w:keepNext/>
              <w:numPr>
                <w:ilvl w:val="0"/>
                <w:numId w:val="97"/>
              </w:numPr>
              <w:tabs>
                <w:tab w:val="clear" w:pos="562"/>
              </w:tabs>
              <w:suppressAutoHyphens w:val="0"/>
              <w:ind w:left="307" w:hanging="175"/>
              <w:rPr>
                <w:szCs w:val="22"/>
              </w:rPr>
            </w:pPr>
            <w:r>
              <w:rPr>
                <w:szCs w:val="22"/>
              </w:rPr>
              <w:t>80 mg at week 0 and 40 mg at w</w:t>
            </w:r>
            <w:r w:rsidRPr="00F8398A">
              <w:rPr>
                <w:szCs w:val="22"/>
              </w:rPr>
              <w:t>eek 2</w:t>
            </w:r>
          </w:p>
          <w:p w14:paraId="2F03605B" w14:textId="77777777" w:rsidR="00AB3BE8" w:rsidRPr="00F8398A" w:rsidRDefault="00AB3BE8" w:rsidP="00A6206B">
            <w:pPr>
              <w:keepNext/>
              <w:tabs>
                <w:tab w:val="clear" w:pos="562"/>
              </w:tabs>
              <w:suppressAutoHyphens w:val="0"/>
              <w:rPr>
                <w:szCs w:val="22"/>
              </w:rPr>
            </w:pPr>
          </w:p>
          <w:p w14:paraId="2F94417A" w14:textId="77777777" w:rsidR="00AB3BE8" w:rsidRPr="00F8398A" w:rsidRDefault="00944B8F" w:rsidP="00A6206B">
            <w:pPr>
              <w:keepNext/>
              <w:tabs>
                <w:tab w:val="clear" w:pos="562"/>
              </w:tabs>
              <w:suppressAutoHyphens w:val="0"/>
              <w:ind w:left="150"/>
              <w:rPr>
                <w:iCs/>
                <w:szCs w:val="22"/>
              </w:rPr>
            </w:pPr>
            <w:r w:rsidRPr="00F8398A">
              <w:rPr>
                <w:szCs w:val="22"/>
              </w:rPr>
              <w:t xml:space="preserve">In case there is a need for a more rapid response to therapy </w:t>
            </w:r>
            <w:r w:rsidRPr="00F8398A">
              <w:rPr>
                <w:iCs/>
                <w:szCs w:val="22"/>
              </w:rPr>
              <w:t>with the awareness that the risk for adverse events may be higher with use of the higher induction dose, the following dose may be used:</w:t>
            </w:r>
          </w:p>
          <w:p w14:paraId="65A0A48F" w14:textId="77777777" w:rsidR="00AB3BE8" w:rsidRPr="00F8398A" w:rsidRDefault="00944B8F" w:rsidP="009D78A8">
            <w:pPr>
              <w:keepNext/>
              <w:numPr>
                <w:ilvl w:val="0"/>
                <w:numId w:val="95"/>
              </w:numPr>
              <w:tabs>
                <w:tab w:val="clear" w:pos="562"/>
              </w:tabs>
              <w:suppressAutoHyphens w:val="0"/>
              <w:ind w:left="314" w:hanging="187"/>
              <w:rPr>
                <w:szCs w:val="22"/>
              </w:rPr>
            </w:pPr>
            <w:r>
              <w:rPr>
                <w:szCs w:val="22"/>
              </w:rPr>
              <w:t>160 mg at week 0 and 80 mg at w</w:t>
            </w:r>
            <w:r w:rsidRPr="00F8398A">
              <w:rPr>
                <w:szCs w:val="22"/>
              </w:rPr>
              <w:t>eek 2</w:t>
            </w:r>
          </w:p>
        </w:tc>
        <w:tc>
          <w:tcPr>
            <w:tcW w:w="0" w:type="auto"/>
            <w:tcBorders>
              <w:top w:val="single" w:sz="6" w:space="0" w:color="000000"/>
              <w:left w:val="single" w:sz="6" w:space="0" w:color="000000"/>
              <w:bottom w:val="single" w:sz="6" w:space="0" w:color="000000"/>
              <w:right w:val="single" w:sz="6" w:space="0" w:color="000000"/>
            </w:tcBorders>
            <w:hideMark/>
          </w:tcPr>
          <w:p w14:paraId="5ED5E77A" w14:textId="77777777" w:rsidR="00AB3BE8" w:rsidRDefault="00944B8F" w:rsidP="00A6206B">
            <w:pPr>
              <w:keepNext/>
              <w:tabs>
                <w:tab w:val="clear" w:pos="562"/>
              </w:tabs>
              <w:suppressAutoHyphens w:val="0"/>
              <w:ind w:left="36"/>
              <w:jc w:val="center"/>
            </w:pPr>
            <w:r>
              <w:t>40 mg every other week</w:t>
            </w:r>
          </w:p>
        </w:tc>
      </w:tr>
    </w:tbl>
    <w:p w14:paraId="4FA0C76B" w14:textId="77777777" w:rsidR="00AB3BE8" w:rsidRDefault="00AB3BE8" w:rsidP="00AB3BE8">
      <w:pPr>
        <w:keepNext/>
      </w:pPr>
    </w:p>
    <w:p w14:paraId="660F362D" w14:textId="77777777" w:rsidR="00AB3BE8" w:rsidRDefault="00944B8F" w:rsidP="00AB3BE8">
      <w:pPr>
        <w:keepNext/>
      </w:pPr>
      <w:r>
        <w:t xml:space="preserve">Patients </w:t>
      </w:r>
      <w:r w:rsidRPr="002A3533">
        <w:t xml:space="preserve">who experience insufficient response may benefit from </w:t>
      </w:r>
      <w:r>
        <w:t xml:space="preserve">an increase in </w:t>
      </w:r>
      <w:r w:rsidR="001F67CD">
        <w:t>dosage</w:t>
      </w:r>
      <w:r>
        <w:t>:</w:t>
      </w:r>
    </w:p>
    <w:p w14:paraId="709E422C" w14:textId="77777777" w:rsidR="00AB3BE8" w:rsidRDefault="00944B8F" w:rsidP="009D78A8">
      <w:pPr>
        <w:keepNext/>
        <w:numPr>
          <w:ilvl w:val="0"/>
          <w:numId w:val="95"/>
        </w:numPr>
        <w:tabs>
          <w:tab w:val="clear" w:pos="562"/>
          <w:tab w:val="left" w:pos="540"/>
        </w:tabs>
        <w:ind w:left="540" w:hanging="540"/>
      </w:pPr>
      <w:r>
        <w:t>&lt; 40 kg: 20 mg every week</w:t>
      </w:r>
    </w:p>
    <w:p w14:paraId="025D8C6C" w14:textId="77777777" w:rsidR="00AB3BE8" w:rsidRPr="002A3533" w:rsidRDefault="00944B8F" w:rsidP="009D78A8">
      <w:pPr>
        <w:keepNext/>
        <w:numPr>
          <w:ilvl w:val="0"/>
          <w:numId w:val="95"/>
        </w:numPr>
        <w:tabs>
          <w:tab w:val="clear" w:pos="562"/>
          <w:tab w:val="left" w:pos="540"/>
        </w:tabs>
        <w:ind w:left="540" w:hanging="540"/>
      </w:pPr>
      <w:r>
        <w:t>≥ 40 kg: 40 mg every week</w:t>
      </w:r>
      <w:r w:rsidR="00A61ECF">
        <w:t xml:space="preserve"> or 80</w:t>
      </w:r>
      <w:r w:rsidR="00E6118C">
        <w:t> </w:t>
      </w:r>
      <w:r w:rsidR="00A61ECF">
        <w:t>mg every other week</w:t>
      </w:r>
    </w:p>
    <w:p w14:paraId="59E0B737" w14:textId="77777777" w:rsidR="00AB3BE8" w:rsidRPr="002A3533" w:rsidRDefault="00AB3BE8" w:rsidP="00AB3BE8"/>
    <w:p w14:paraId="1CE1AABA" w14:textId="77777777" w:rsidR="00AB3BE8" w:rsidRPr="002A3533" w:rsidRDefault="00944B8F" w:rsidP="00AB3BE8">
      <w:r w:rsidRPr="002A3533">
        <w:t xml:space="preserve">Continued therapy should be carefully considered in a subject not responding by </w:t>
      </w:r>
      <w:r w:rsidR="00A005E2">
        <w:t>w</w:t>
      </w:r>
      <w:r w:rsidRPr="002A3533">
        <w:t>eek 12.</w:t>
      </w:r>
    </w:p>
    <w:p w14:paraId="185F61B6" w14:textId="77777777" w:rsidR="00AB3BE8" w:rsidRPr="002A3533" w:rsidRDefault="00AB3BE8" w:rsidP="00AB3BE8"/>
    <w:p w14:paraId="1E34492D" w14:textId="77777777" w:rsidR="00AB3BE8" w:rsidRDefault="00944B8F" w:rsidP="00AB3BE8">
      <w:r w:rsidRPr="002A3533">
        <w:t xml:space="preserve">There is no relevant use of Humira in children aged </w:t>
      </w:r>
      <w:r>
        <w:t>less than</w:t>
      </w:r>
      <w:r w:rsidRPr="002A3533">
        <w:t xml:space="preserve"> 6 years for this indication.</w:t>
      </w:r>
    </w:p>
    <w:p w14:paraId="56E816D1" w14:textId="77777777" w:rsidR="00D219B6" w:rsidRDefault="00D219B6" w:rsidP="00D219B6">
      <w:pPr>
        <w:keepNext/>
        <w:rPr>
          <w:szCs w:val="22"/>
        </w:rPr>
      </w:pPr>
    </w:p>
    <w:p w14:paraId="20C0371B" w14:textId="77777777" w:rsidR="00D219B6" w:rsidRPr="002A3533" w:rsidRDefault="00944B8F" w:rsidP="00D219B6">
      <w:pPr>
        <w:keepNext/>
      </w:pPr>
      <w:r w:rsidRPr="00154096">
        <w:rPr>
          <w:szCs w:val="22"/>
        </w:rPr>
        <w:t>Humira may be available in other strengths and/or presentations depending on the individual treatment needs</w:t>
      </w:r>
      <w:r>
        <w:rPr>
          <w:szCs w:val="22"/>
        </w:rPr>
        <w:t>.</w:t>
      </w:r>
    </w:p>
    <w:p w14:paraId="090EBEDC" w14:textId="77777777" w:rsidR="00AB3BE8" w:rsidRPr="002A3533" w:rsidRDefault="00AB3BE8" w:rsidP="00AB3BE8"/>
    <w:p w14:paraId="15BCAC4E" w14:textId="77777777" w:rsidR="00AB3BE8" w:rsidRDefault="00944B8F" w:rsidP="00AB3BE8">
      <w:pPr>
        <w:pStyle w:val="Heading2"/>
        <w:spacing w:before="0" w:after="0"/>
        <w:rPr>
          <w:rFonts w:ascii="Times New Roman" w:hAnsi="Times New Roman"/>
          <w:b w:val="0"/>
          <w:bCs w:val="0"/>
          <w:iCs w:val="0"/>
          <w:sz w:val="22"/>
          <w:szCs w:val="24"/>
        </w:rPr>
      </w:pPr>
      <w:r w:rsidRPr="00207EC2">
        <w:rPr>
          <w:rFonts w:ascii="Times New Roman" w:hAnsi="Times New Roman"/>
          <w:b w:val="0"/>
          <w:bCs w:val="0"/>
          <w:iCs w:val="0"/>
          <w:sz w:val="22"/>
          <w:szCs w:val="24"/>
        </w:rPr>
        <w:t>Paediatric Uveitis</w:t>
      </w:r>
    </w:p>
    <w:p w14:paraId="022AF086" w14:textId="77777777" w:rsidR="00AB3BE8" w:rsidRDefault="00AB3BE8" w:rsidP="00AB3BE8"/>
    <w:p w14:paraId="445A0365" w14:textId="77777777" w:rsidR="00AB3BE8" w:rsidRDefault="00944B8F" w:rsidP="00AB3BE8">
      <w:pPr>
        <w:rPr>
          <w:szCs w:val="22"/>
        </w:rPr>
      </w:pPr>
      <w:r w:rsidRPr="00E20D59">
        <w:rPr>
          <w:szCs w:val="22"/>
        </w:rPr>
        <w:t xml:space="preserve">The recommended dose of Humira for </w:t>
      </w:r>
      <w:r>
        <w:rPr>
          <w:szCs w:val="22"/>
        </w:rPr>
        <w:t xml:space="preserve">paediatric </w:t>
      </w:r>
      <w:r w:rsidRPr="00E20D59">
        <w:rPr>
          <w:szCs w:val="22"/>
        </w:rPr>
        <w:t xml:space="preserve">patients with </w:t>
      </w:r>
      <w:r>
        <w:rPr>
          <w:szCs w:val="22"/>
        </w:rPr>
        <w:t>uveitis from 2</w:t>
      </w:r>
      <w:r w:rsidR="00BD5686">
        <w:rPr>
          <w:szCs w:val="22"/>
        </w:rPr>
        <w:t> </w:t>
      </w:r>
      <w:r w:rsidRPr="00E20D59">
        <w:rPr>
          <w:szCs w:val="22"/>
        </w:rPr>
        <w:t>years</w:t>
      </w:r>
      <w:r>
        <w:rPr>
          <w:szCs w:val="22"/>
        </w:rPr>
        <w:t xml:space="preserve"> of age </w:t>
      </w:r>
      <w:r w:rsidRPr="00E20D59">
        <w:rPr>
          <w:szCs w:val="22"/>
        </w:rPr>
        <w:t xml:space="preserve">is based on </w:t>
      </w:r>
      <w:r>
        <w:rPr>
          <w:szCs w:val="22"/>
        </w:rPr>
        <w:t xml:space="preserve">body </w:t>
      </w:r>
      <w:r w:rsidRPr="00E20D59">
        <w:rPr>
          <w:szCs w:val="22"/>
        </w:rPr>
        <w:t>weight</w:t>
      </w:r>
      <w:r>
        <w:rPr>
          <w:szCs w:val="22"/>
        </w:rPr>
        <w:t xml:space="preserve"> (Table 5).</w:t>
      </w:r>
      <w:r w:rsidRPr="00E20D59">
        <w:rPr>
          <w:szCs w:val="22"/>
        </w:rPr>
        <w:t xml:space="preserve"> </w:t>
      </w:r>
      <w:r>
        <w:rPr>
          <w:szCs w:val="22"/>
        </w:rPr>
        <w:t xml:space="preserve">Humira is </w:t>
      </w:r>
      <w:r w:rsidRPr="00E20D59">
        <w:rPr>
          <w:szCs w:val="22"/>
        </w:rPr>
        <w:t>administered via subcutaneous injection.</w:t>
      </w:r>
    </w:p>
    <w:p w14:paraId="4C4114CE" w14:textId="77777777" w:rsidR="00AB3BE8" w:rsidRDefault="00AB3BE8" w:rsidP="00AB3BE8">
      <w:pPr>
        <w:rPr>
          <w:szCs w:val="22"/>
        </w:rPr>
      </w:pPr>
    </w:p>
    <w:p w14:paraId="77C80EE1" w14:textId="77777777" w:rsidR="00AB3BE8" w:rsidRDefault="00944B8F" w:rsidP="00AB3BE8">
      <w:r w:rsidRPr="00DA6042">
        <w:t>In paediatric uveitis, there is no experience in the treatment with Humira without concomitant treatment with methotrexate.</w:t>
      </w:r>
    </w:p>
    <w:p w14:paraId="50EFCB18" w14:textId="77777777" w:rsidR="00AB3BE8" w:rsidRDefault="00AB3BE8" w:rsidP="00AB3BE8"/>
    <w:p w14:paraId="1A4F2D37" w14:textId="77777777" w:rsidR="00AB3BE8" w:rsidRDefault="00944B8F" w:rsidP="00AB3BE8">
      <w:pPr>
        <w:jc w:val="center"/>
        <w:rPr>
          <w:b/>
          <w:szCs w:val="22"/>
        </w:rPr>
      </w:pPr>
      <w:r w:rsidRPr="00987440">
        <w:rPr>
          <w:b/>
          <w:szCs w:val="22"/>
        </w:rPr>
        <w:t>Table</w:t>
      </w:r>
      <w:r w:rsidRPr="00BF005B">
        <w:rPr>
          <w:b/>
          <w:szCs w:val="22"/>
        </w:rPr>
        <w:t xml:space="preserve"> </w:t>
      </w:r>
      <w:r>
        <w:rPr>
          <w:b/>
          <w:szCs w:val="22"/>
        </w:rPr>
        <w:t>5</w:t>
      </w:r>
      <w:r w:rsidRPr="00BF005B">
        <w:rPr>
          <w:b/>
          <w:szCs w:val="22"/>
        </w:rPr>
        <w:t xml:space="preserve">. Humira Dose for </w:t>
      </w:r>
      <w:r>
        <w:rPr>
          <w:b/>
          <w:szCs w:val="22"/>
        </w:rPr>
        <w:t xml:space="preserve">Paediatric </w:t>
      </w:r>
      <w:r w:rsidRPr="00BF005B">
        <w:rPr>
          <w:b/>
          <w:szCs w:val="22"/>
        </w:rPr>
        <w:t xml:space="preserve">Patients with </w:t>
      </w:r>
      <w:r>
        <w:rPr>
          <w:b/>
          <w:szCs w:val="22"/>
        </w:rPr>
        <w:t>Uveitis</w:t>
      </w:r>
    </w:p>
    <w:p w14:paraId="6A86541F" w14:textId="77777777" w:rsidR="00AB3BE8" w:rsidRPr="00813F27" w:rsidRDefault="00AB3BE8" w:rsidP="00AB3BE8">
      <w:pPr>
        <w:jc w:val="center"/>
      </w:pPr>
    </w:p>
    <w:tbl>
      <w:tblPr>
        <w:tblW w:w="6795" w:type="dxa"/>
        <w:jc w:val="center"/>
        <w:tblLayout w:type="fixed"/>
        <w:tblLook w:val="0000" w:firstRow="0" w:lastRow="0" w:firstColumn="0" w:lastColumn="0" w:noHBand="0" w:noVBand="0"/>
      </w:tblPr>
      <w:tblGrid>
        <w:gridCol w:w="3401"/>
        <w:gridCol w:w="3394"/>
      </w:tblGrid>
      <w:tr w:rsidR="00C6578C" w14:paraId="58DB820A" w14:textId="77777777" w:rsidTr="00A6206B">
        <w:trPr>
          <w:tblHeader/>
          <w:jc w:val="center"/>
        </w:trPr>
        <w:tc>
          <w:tcPr>
            <w:tcW w:w="3401" w:type="dxa"/>
            <w:tcBorders>
              <w:top w:val="single" w:sz="4" w:space="0" w:color="auto"/>
              <w:bottom w:val="single" w:sz="4" w:space="0" w:color="auto"/>
            </w:tcBorders>
          </w:tcPr>
          <w:p w14:paraId="3E560B7E" w14:textId="77777777" w:rsidR="00AB3BE8" w:rsidRPr="00BF005B" w:rsidRDefault="00944B8F" w:rsidP="00A6206B">
            <w:pPr>
              <w:pStyle w:val="TableLeft"/>
              <w:jc w:val="center"/>
              <w:rPr>
                <w:b/>
                <w:sz w:val="22"/>
                <w:szCs w:val="22"/>
              </w:rPr>
            </w:pPr>
            <w:r w:rsidRPr="00BF005B">
              <w:rPr>
                <w:b/>
                <w:sz w:val="22"/>
                <w:szCs w:val="22"/>
              </w:rPr>
              <w:t>Patient Weight</w:t>
            </w:r>
          </w:p>
        </w:tc>
        <w:tc>
          <w:tcPr>
            <w:tcW w:w="3394" w:type="dxa"/>
            <w:tcBorders>
              <w:top w:val="single" w:sz="4" w:space="0" w:color="auto"/>
              <w:bottom w:val="single" w:sz="4" w:space="0" w:color="auto"/>
            </w:tcBorders>
          </w:tcPr>
          <w:p w14:paraId="0603BFA3" w14:textId="77777777" w:rsidR="00AB3BE8" w:rsidRPr="00BF005B" w:rsidRDefault="00944B8F" w:rsidP="00A6206B">
            <w:pPr>
              <w:pStyle w:val="TableLeft"/>
              <w:jc w:val="center"/>
              <w:rPr>
                <w:b/>
                <w:sz w:val="22"/>
                <w:szCs w:val="22"/>
              </w:rPr>
            </w:pPr>
            <w:r w:rsidRPr="00BF005B">
              <w:rPr>
                <w:b/>
                <w:sz w:val="22"/>
                <w:szCs w:val="22"/>
              </w:rPr>
              <w:t>Dosing Regimen</w:t>
            </w:r>
          </w:p>
        </w:tc>
      </w:tr>
      <w:tr w:rsidR="00C6578C" w14:paraId="1FAD31AC" w14:textId="77777777" w:rsidTr="00A6206B">
        <w:trPr>
          <w:tblHeader/>
          <w:jc w:val="center"/>
        </w:trPr>
        <w:tc>
          <w:tcPr>
            <w:tcW w:w="3401" w:type="dxa"/>
            <w:tcBorders>
              <w:top w:val="single" w:sz="4" w:space="0" w:color="auto"/>
              <w:bottom w:val="single" w:sz="4" w:space="0" w:color="auto"/>
            </w:tcBorders>
          </w:tcPr>
          <w:p w14:paraId="7818B1D1" w14:textId="77777777" w:rsidR="00AB3BE8" w:rsidRPr="00BF005B" w:rsidRDefault="00944B8F" w:rsidP="00A6206B">
            <w:pPr>
              <w:pStyle w:val="TableLeft"/>
              <w:jc w:val="center"/>
              <w:rPr>
                <w:b/>
                <w:sz w:val="22"/>
                <w:szCs w:val="22"/>
              </w:rPr>
            </w:pPr>
            <w:r w:rsidRPr="00BF005B">
              <w:rPr>
                <w:sz w:val="22"/>
                <w:szCs w:val="22"/>
              </w:rPr>
              <w:t>&lt; 30 kg</w:t>
            </w:r>
          </w:p>
        </w:tc>
        <w:tc>
          <w:tcPr>
            <w:tcW w:w="3394" w:type="dxa"/>
            <w:tcBorders>
              <w:top w:val="single" w:sz="4" w:space="0" w:color="auto"/>
              <w:bottom w:val="single" w:sz="4" w:space="0" w:color="auto"/>
            </w:tcBorders>
          </w:tcPr>
          <w:p w14:paraId="666A8640" w14:textId="77777777" w:rsidR="00AB3BE8" w:rsidRPr="00145558" w:rsidRDefault="00944B8F" w:rsidP="00A6206B">
            <w:pPr>
              <w:pStyle w:val="TableLeft"/>
              <w:jc w:val="center"/>
              <w:rPr>
                <w:b/>
                <w:sz w:val="22"/>
                <w:szCs w:val="22"/>
              </w:rPr>
            </w:pPr>
            <w:r>
              <w:rPr>
                <w:sz w:val="22"/>
                <w:szCs w:val="22"/>
              </w:rPr>
              <w:t>20 mg every other week in combination with methotrexate</w:t>
            </w:r>
          </w:p>
        </w:tc>
      </w:tr>
      <w:tr w:rsidR="00C6578C" w14:paraId="1ABB8157" w14:textId="77777777" w:rsidTr="00A6206B">
        <w:trPr>
          <w:tblHeader/>
          <w:jc w:val="center"/>
        </w:trPr>
        <w:tc>
          <w:tcPr>
            <w:tcW w:w="3401" w:type="dxa"/>
            <w:tcBorders>
              <w:top w:val="single" w:sz="4" w:space="0" w:color="auto"/>
              <w:bottom w:val="single" w:sz="4" w:space="0" w:color="auto"/>
            </w:tcBorders>
          </w:tcPr>
          <w:p w14:paraId="525766F4" w14:textId="77777777" w:rsidR="00AB3BE8" w:rsidRPr="00BF005B" w:rsidRDefault="00944B8F" w:rsidP="00A6206B">
            <w:pPr>
              <w:pStyle w:val="TableLeft"/>
              <w:jc w:val="center"/>
              <w:rPr>
                <w:b/>
                <w:sz w:val="22"/>
                <w:szCs w:val="22"/>
              </w:rPr>
            </w:pPr>
            <w:r w:rsidRPr="00BF005B">
              <w:rPr>
                <w:sz w:val="22"/>
                <w:szCs w:val="22"/>
              </w:rPr>
              <w:t>≥ 30 kg</w:t>
            </w:r>
          </w:p>
        </w:tc>
        <w:tc>
          <w:tcPr>
            <w:tcW w:w="3394" w:type="dxa"/>
            <w:tcBorders>
              <w:top w:val="single" w:sz="4" w:space="0" w:color="auto"/>
              <w:bottom w:val="single" w:sz="4" w:space="0" w:color="auto"/>
            </w:tcBorders>
          </w:tcPr>
          <w:p w14:paraId="7E1585D0" w14:textId="77777777" w:rsidR="00AB3BE8" w:rsidRPr="00145558" w:rsidRDefault="00944B8F" w:rsidP="00A6206B">
            <w:pPr>
              <w:pStyle w:val="TableLeft"/>
              <w:jc w:val="center"/>
              <w:rPr>
                <w:b/>
                <w:sz w:val="22"/>
                <w:szCs w:val="22"/>
              </w:rPr>
            </w:pPr>
            <w:r>
              <w:rPr>
                <w:sz w:val="22"/>
                <w:szCs w:val="22"/>
              </w:rPr>
              <w:t>40 mg every other week in combination with methotrexate</w:t>
            </w:r>
          </w:p>
        </w:tc>
      </w:tr>
    </w:tbl>
    <w:p w14:paraId="265D94FD" w14:textId="77777777" w:rsidR="00AB3BE8" w:rsidRPr="00F91508" w:rsidRDefault="00AB3BE8" w:rsidP="00AB3BE8"/>
    <w:p w14:paraId="6F297218" w14:textId="77777777" w:rsidR="00AB3BE8" w:rsidRPr="00300750" w:rsidRDefault="00944B8F" w:rsidP="00AB3BE8">
      <w:r w:rsidRPr="00300750">
        <w:t xml:space="preserve">When Humira therapy is initiated, a loading dose of 40 mg </w:t>
      </w:r>
      <w:r>
        <w:t>for patients &lt; 30</w:t>
      </w:r>
      <w:r w:rsidR="00BD5686">
        <w:t> </w:t>
      </w:r>
      <w:r>
        <w:t>kg or 80</w:t>
      </w:r>
      <w:r w:rsidR="00BD5686">
        <w:t> </w:t>
      </w:r>
      <w:r>
        <w:t>mg for patients ≥</w:t>
      </w:r>
      <w:r w:rsidR="00BD5686">
        <w:t> </w:t>
      </w:r>
      <w:r>
        <w:t>30</w:t>
      </w:r>
      <w:r w:rsidR="00BD5686">
        <w:t> </w:t>
      </w:r>
      <w:r>
        <w:t xml:space="preserve">kg </w:t>
      </w:r>
      <w:r w:rsidRPr="00300750">
        <w:t>may be administered one week prior to the start of maintenance therapy.</w:t>
      </w:r>
      <w:r w:rsidRPr="00813F27">
        <w:t xml:space="preserve"> </w:t>
      </w:r>
      <w:r w:rsidRPr="00DA6042">
        <w:t>No clinical data are available on the use of a Humira loading dose in children &lt; 6</w:t>
      </w:r>
      <w:r w:rsidR="00BD5686">
        <w:t> </w:t>
      </w:r>
      <w:r w:rsidRPr="00DA6042">
        <w:t>years of age (see section 5.2).</w:t>
      </w:r>
    </w:p>
    <w:p w14:paraId="240AE7CD" w14:textId="77777777" w:rsidR="00AB3BE8" w:rsidRPr="00F91508" w:rsidRDefault="00AB3BE8" w:rsidP="00AB3BE8"/>
    <w:p w14:paraId="516B584C" w14:textId="77777777" w:rsidR="00AB3BE8" w:rsidRDefault="00944B8F" w:rsidP="00AB3BE8">
      <w:pPr>
        <w:pStyle w:val="EMEANormal"/>
        <w:rPr>
          <w:lang w:val="en-GB"/>
        </w:rPr>
      </w:pPr>
      <w:r w:rsidRPr="00611CC4">
        <w:rPr>
          <w:lang w:val="en-GB"/>
        </w:rPr>
        <w:lastRenderedPageBreak/>
        <w:t>There is no relevant use of Humira in children aged less than 2</w:t>
      </w:r>
      <w:r w:rsidRPr="000653BE">
        <w:rPr>
          <w:lang w:val="en-GB"/>
        </w:rPr>
        <w:t> years in this indication.</w:t>
      </w:r>
    </w:p>
    <w:p w14:paraId="1E2737A0" w14:textId="77777777" w:rsidR="00AB3BE8" w:rsidRDefault="00AB3BE8" w:rsidP="00AB3BE8">
      <w:pPr>
        <w:pStyle w:val="EMEANormal"/>
        <w:rPr>
          <w:lang w:val="en-GB"/>
        </w:rPr>
      </w:pPr>
    </w:p>
    <w:p w14:paraId="618DAAB2" w14:textId="77777777" w:rsidR="00AB3BE8" w:rsidRDefault="00944B8F" w:rsidP="00AB3BE8">
      <w:pPr>
        <w:pStyle w:val="EMEANormal"/>
        <w:rPr>
          <w:szCs w:val="22"/>
          <w:lang w:val="en-GB"/>
        </w:rPr>
      </w:pPr>
      <w:r w:rsidRPr="00B80633">
        <w:rPr>
          <w:szCs w:val="22"/>
          <w:lang w:val="en-GB"/>
        </w:rPr>
        <w:t>It is recommended that the benefit and risk of continued long-term treatment should be evaluated on a yearly basis (see section 5.1).</w:t>
      </w:r>
    </w:p>
    <w:p w14:paraId="12DA6A00" w14:textId="77777777" w:rsidR="00D219B6" w:rsidRDefault="00D219B6" w:rsidP="00AB3BE8">
      <w:pPr>
        <w:pStyle w:val="EMEANormal"/>
        <w:rPr>
          <w:lang w:val="en-GB"/>
        </w:rPr>
      </w:pPr>
    </w:p>
    <w:p w14:paraId="602134BA" w14:textId="77777777" w:rsidR="00D219B6" w:rsidRPr="002A3533" w:rsidRDefault="00944B8F" w:rsidP="00D219B6">
      <w:pPr>
        <w:keepNext/>
      </w:pPr>
      <w:r w:rsidRPr="00154096">
        <w:rPr>
          <w:szCs w:val="22"/>
        </w:rPr>
        <w:t>Humira may be available in other strengths and/or presentations depending on the individual treatment needs</w:t>
      </w:r>
      <w:r>
        <w:rPr>
          <w:szCs w:val="22"/>
        </w:rPr>
        <w:t>.</w:t>
      </w:r>
    </w:p>
    <w:p w14:paraId="74F09C48" w14:textId="77777777" w:rsidR="00AB3BE8" w:rsidRPr="002A3533" w:rsidRDefault="00AB3BE8" w:rsidP="00AB3BE8"/>
    <w:p w14:paraId="4DA878C1" w14:textId="77777777" w:rsidR="00AB3BE8" w:rsidRPr="00E95E17" w:rsidRDefault="00944B8F" w:rsidP="00AB3BE8">
      <w:pPr>
        <w:rPr>
          <w:u w:val="single"/>
        </w:rPr>
      </w:pPr>
      <w:r w:rsidRPr="00193076">
        <w:rPr>
          <w:u w:val="single"/>
        </w:rPr>
        <w:t>Renal and/or hepatic impairment</w:t>
      </w:r>
    </w:p>
    <w:p w14:paraId="532D7508" w14:textId="77777777" w:rsidR="00AB3BE8" w:rsidRPr="00193076" w:rsidRDefault="00AB3BE8" w:rsidP="00AB3BE8"/>
    <w:p w14:paraId="11EF837C" w14:textId="77777777" w:rsidR="00AB3BE8" w:rsidRPr="00193076" w:rsidRDefault="00944B8F" w:rsidP="00AB3BE8">
      <w:r w:rsidRPr="00193076">
        <w:t>Humira has not been studied in these patient populations. No dose recommendations can be made.</w:t>
      </w:r>
    </w:p>
    <w:p w14:paraId="2C93DBC7" w14:textId="77777777" w:rsidR="00AB3BE8" w:rsidRDefault="00AB3BE8" w:rsidP="00AB3BE8">
      <w:pPr>
        <w:pStyle w:val="EMEANormal"/>
        <w:rPr>
          <w:u w:val="single"/>
          <w:lang w:val="en-GB"/>
        </w:rPr>
      </w:pPr>
    </w:p>
    <w:p w14:paraId="3F632FD1" w14:textId="77777777" w:rsidR="00AB3BE8" w:rsidRDefault="00944B8F" w:rsidP="00AB3BE8">
      <w:pPr>
        <w:pStyle w:val="EMEANormal"/>
        <w:rPr>
          <w:u w:val="single"/>
          <w:lang w:val="en-GB"/>
        </w:rPr>
      </w:pPr>
      <w:r w:rsidRPr="002A3533">
        <w:rPr>
          <w:u w:val="single"/>
          <w:lang w:val="en-GB"/>
        </w:rPr>
        <w:t>Method of administration</w:t>
      </w:r>
    </w:p>
    <w:p w14:paraId="5B2E4C8D" w14:textId="77777777" w:rsidR="00AB3BE8" w:rsidRPr="002A3533" w:rsidRDefault="00AB3BE8" w:rsidP="00AB3BE8">
      <w:pPr>
        <w:pStyle w:val="EMEANormal"/>
        <w:rPr>
          <w:u w:val="single"/>
          <w:lang w:val="en-GB"/>
        </w:rPr>
      </w:pPr>
    </w:p>
    <w:p w14:paraId="1A3B9F15" w14:textId="77777777" w:rsidR="00AB3BE8" w:rsidRDefault="00944B8F" w:rsidP="00AB3BE8">
      <w:pPr>
        <w:pStyle w:val="EMEAHeadingUnderline"/>
        <w:spacing w:beforeLines="0" w:afterLines="0"/>
        <w:rPr>
          <w:u w:val="none"/>
          <w:lang w:val="en-GB"/>
        </w:rPr>
      </w:pPr>
      <w:r w:rsidRPr="002A3533">
        <w:rPr>
          <w:u w:val="none"/>
          <w:lang w:val="en-GB"/>
        </w:rPr>
        <w:t>Humira is administered by subcutaneous injection. Full instructions for use are provided in the package leaflet.</w:t>
      </w:r>
    </w:p>
    <w:p w14:paraId="7C52A4A5" w14:textId="77777777" w:rsidR="00AB3BE8" w:rsidRDefault="00AB3BE8" w:rsidP="00AB3BE8">
      <w:pPr>
        <w:pStyle w:val="EMEANormal"/>
        <w:rPr>
          <w:lang w:val="en-GB"/>
        </w:rPr>
      </w:pPr>
    </w:p>
    <w:p w14:paraId="09833ABE" w14:textId="77777777" w:rsidR="00AB3BE8" w:rsidRDefault="00944B8F" w:rsidP="00AB3BE8">
      <w:pPr>
        <w:pStyle w:val="EMEANormal"/>
        <w:rPr>
          <w:lang w:val="en-GB"/>
        </w:rPr>
      </w:pPr>
      <w:r>
        <w:rPr>
          <w:lang w:val="en-GB"/>
        </w:rPr>
        <w:t>Humira is available in other strengths and presentations.</w:t>
      </w:r>
    </w:p>
    <w:p w14:paraId="0A71349D" w14:textId="77777777" w:rsidR="00AB3BE8" w:rsidRDefault="00AB3BE8" w:rsidP="00AB3BE8">
      <w:pPr>
        <w:pStyle w:val="EMEANormal"/>
        <w:rPr>
          <w:lang w:val="en-GB"/>
        </w:rPr>
      </w:pPr>
    </w:p>
    <w:p w14:paraId="33FC173E" w14:textId="77777777" w:rsidR="00AB3BE8" w:rsidRPr="002A3533" w:rsidRDefault="00944B8F" w:rsidP="00AB3BE8">
      <w:pPr>
        <w:pStyle w:val="EMEAHeading2SPC"/>
        <w:spacing w:beforeLines="0" w:afterLines="0"/>
        <w:rPr>
          <w:rFonts w:ascii="Times New Roman" w:hAnsi="Times New Roman"/>
          <w:lang w:val="en-GB"/>
        </w:rPr>
      </w:pPr>
      <w:r w:rsidRPr="002A3533">
        <w:rPr>
          <w:rFonts w:ascii="Times New Roman" w:hAnsi="Times New Roman"/>
          <w:lang w:val="en-GB"/>
        </w:rPr>
        <w:t>4.3</w:t>
      </w:r>
      <w:r w:rsidRPr="002A3533">
        <w:rPr>
          <w:rFonts w:ascii="Times New Roman" w:hAnsi="Times New Roman"/>
          <w:lang w:val="en-GB"/>
        </w:rPr>
        <w:tab/>
        <w:t xml:space="preserve">Contraindications </w:t>
      </w:r>
    </w:p>
    <w:p w14:paraId="691485CE" w14:textId="77777777" w:rsidR="00AB3BE8" w:rsidRPr="002A3533" w:rsidRDefault="00AB3BE8" w:rsidP="00AB3BE8">
      <w:pPr>
        <w:pStyle w:val="EMEANormal"/>
        <w:rPr>
          <w:lang w:val="en-GB"/>
        </w:rPr>
      </w:pPr>
    </w:p>
    <w:p w14:paraId="535E1956" w14:textId="77777777" w:rsidR="00AB3BE8" w:rsidRPr="002A3533" w:rsidRDefault="00944B8F" w:rsidP="00AB3BE8">
      <w:pPr>
        <w:tabs>
          <w:tab w:val="clear" w:pos="562"/>
        </w:tabs>
      </w:pPr>
      <w:r w:rsidRPr="002A3533">
        <w:t xml:space="preserve">Hypersensitivity to the active substance or to any of the excipients listed in section 6.1. </w:t>
      </w:r>
    </w:p>
    <w:p w14:paraId="5BFEC87D" w14:textId="77777777" w:rsidR="00AB3BE8" w:rsidRPr="002A3533" w:rsidRDefault="00AB3BE8" w:rsidP="00AB3BE8">
      <w:pPr>
        <w:tabs>
          <w:tab w:val="clear" w:pos="562"/>
        </w:tabs>
      </w:pPr>
    </w:p>
    <w:p w14:paraId="585E51DA" w14:textId="77777777" w:rsidR="00AB3BE8" w:rsidRPr="002A3533" w:rsidRDefault="00944B8F" w:rsidP="00AB3BE8">
      <w:pPr>
        <w:tabs>
          <w:tab w:val="clear" w:pos="562"/>
        </w:tabs>
      </w:pPr>
      <w:r w:rsidRPr="002A3533">
        <w:t>Active tuberculosis or other severe infections such as sepsis and opportunistic infections (see section 4.4).</w:t>
      </w:r>
    </w:p>
    <w:p w14:paraId="35770E5C" w14:textId="77777777" w:rsidR="00AB3BE8" w:rsidRPr="002A3533" w:rsidRDefault="00AB3BE8" w:rsidP="00AB3BE8">
      <w:pPr>
        <w:pStyle w:val="EndnoteText"/>
        <w:tabs>
          <w:tab w:val="clear" w:pos="562"/>
        </w:tabs>
      </w:pPr>
    </w:p>
    <w:p w14:paraId="336EA40F" w14:textId="77777777" w:rsidR="00AB3BE8" w:rsidRPr="002A3533" w:rsidRDefault="00944B8F" w:rsidP="00AB3BE8">
      <w:r w:rsidRPr="002A3533">
        <w:t>Moderate to severe heart failure (NYHA class III/IV) (see section 4.4).</w:t>
      </w:r>
    </w:p>
    <w:p w14:paraId="3698959D" w14:textId="77777777" w:rsidR="00AB3BE8" w:rsidRPr="002A3533" w:rsidRDefault="00AB3BE8" w:rsidP="00AB3BE8"/>
    <w:p w14:paraId="16B06A6D" w14:textId="77777777" w:rsidR="00AB3BE8" w:rsidRPr="002A3533" w:rsidRDefault="00944B8F" w:rsidP="00AB3BE8">
      <w:pPr>
        <w:pStyle w:val="EMEAHeading2SPC"/>
        <w:spacing w:beforeLines="0" w:afterLines="0"/>
        <w:rPr>
          <w:rFonts w:ascii="Times New Roman" w:hAnsi="Times New Roman"/>
          <w:lang w:val="en-GB"/>
        </w:rPr>
      </w:pPr>
      <w:r w:rsidRPr="002A3533">
        <w:rPr>
          <w:rFonts w:ascii="Times New Roman" w:hAnsi="Times New Roman"/>
          <w:lang w:val="en-GB"/>
        </w:rPr>
        <w:t>4.4</w:t>
      </w:r>
      <w:r w:rsidRPr="002A3533">
        <w:rPr>
          <w:rFonts w:ascii="Times New Roman" w:hAnsi="Times New Roman"/>
          <w:lang w:val="en-GB"/>
        </w:rPr>
        <w:tab/>
        <w:t>Special warnings and precautions for use</w:t>
      </w:r>
    </w:p>
    <w:p w14:paraId="08EF8888" w14:textId="77777777" w:rsidR="00AB3BE8" w:rsidRDefault="00AB3BE8" w:rsidP="00AB3BE8">
      <w:pPr>
        <w:pStyle w:val="EMEANormal"/>
        <w:rPr>
          <w:lang w:val="en-GB"/>
        </w:rPr>
      </w:pPr>
    </w:p>
    <w:p w14:paraId="68556DF8" w14:textId="77777777" w:rsidR="00AB3BE8" w:rsidRPr="000244DF" w:rsidRDefault="00944B8F" w:rsidP="00AB3BE8">
      <w:pPr>
        <w:pStyle w:val="EMEANormal"/>
        <w:rPr>
          <w:u w:val="single"/>
          <w:lang w:val="en-GB"/>
        </w:rPr>
      </w:pPr>
      <w:r w:rsidRPr="000244DF">
        <w:rPr>
          <w:u w:val="single"/>
          <w:lang w:val="en-GB"/>
        </w:rPr>
        <w:t>Traceability</w:t>
      </w:r>
    </w:p>
    <w:p w14:paraId="3068B583" w14:textId="77777777" w:rsidR="00AB3BE8" w:rsidRPr="002A3533" w:rsidRDefault="00AB3BE8" w:rsidP="00AB3BE8">
      <w:pPr>
        <w:pStyle w:val="EMEANormal"/>
        <w:rPr>
          <w:lang w:val="en-GB"/>
        </w:rPr>
      </w:pPr>
    </w:p>
    <w:p w14:paraId="3C082414" w14:textId="77777777" w:rsidR="00AB3BE8" w:rsidRPr="002A3533" w:rsidRDefault="00944B8F" w:rsidP="00AB3BE8">
      <w:pPr>
        <w:pStyle w:val="Heading4"/>
        <w:keepNext w:val="0"/>
        <w:autoSpaceDE w:val="0"/>
        <w:autoSpaceDN w:val="0"/>
        <w:adjustRightInd w:val="0"/>
        <w:jc w:val="left"/>
        <w:rPr>
          <w:rFonts w:ascii="Times New Roman" w:hAnsi="Times New Roman"/>
          <w:b w:val="0"/>
          <w:sz w:val="22"/>
          <w:szCs w:val="22"/>
        </w:rPr>
      </w:pPr>
      <w:r w:rsidRPr="002A3533">
        <w:rPr>
          <w:rFonts w:ascii="Times New Roman" w:hAnsi="Times New Roman"/>
          <w:b w:val="0"/>
          <w:sz w:val="22"/>
          <w:szCs w:val="22"/>
        </w:rPr>
        <w:t>In order to improve traceability of biologic</w:t>
      </w:r>
      <w:r>
        <w:rPr>
          <w:rFonts w:ascii="Times New Roman" w:hAnsi="Times New Roman"/>
          <w:b w:val="0"/>
          <w:sz w:val="22"/>
          <w:szCs w:val="22"/>
        </w:rPr>
        <w:t>al medic</w:t>
      </w:r>
      <w:r w:rsidR="00367800">
        <w:rPr>
          <w:rFonts w:ascii="Times New Roman" w:hAnsi="Times New Roman"/>
          <w:b w:val="0"/>
          <w:sz w:val="22"/>
          <w:szCs w:val="22"/>
        </w:rPr>
        <w:t>inal products, the name</w:t>
      </w:r>
      <w:r w:rsidRPr="002A3533">
        <w:rPr>
          <w:rFonts w:ascii="Times New Roman" w:hAnsi="Times New Roman"/>
          <w:b w:val="0"/>
          <w:sz w:val="22"/>
          <w:szCs w:val="22"/>
        </w:rPr>
        <w:t xml:space="preserve"> and the batch number of the administered product should be clearly recorded.</w:t>
      </w:r>
    </w:p>
    <w:p w14:paraId="1F5CE3AA" w14:textId="77777777" w:rsidR="00AB3BE8" w:rsidRPr="002A3533" w:rsidRDefault="00AB3BE8" w:rsidP="00AB3BE8">
      <w:pPr>
        <w:pStyle w:val="Heading4"/>
        <w:keepNext w:val="0"/>
        <w:autoSpaceDE w:val="0"/>
        <w:autoSpaceDN w:val="0"/>
        <w:adjustRightInd w:val="0"/>
        <w:jc w:val="left"/>
        <w:rPr>
          <w:rFonts w:ascii="Times New Roman" w:hAnsi="Times New Roman"/>
          <w:b w:val="0"/>
          <w:sz w:val="22"/>
          <w:szCs w:val="22"/>
        </w:rPr>
      </w:pPr>
    </w:p>
    <w:p w14:paraId="4996C6C6" w14:textId="77777777" w:rsidR="00AB3BE8" w:rsidRPr="002A3533" w:rsidRDefault="00944B8F" w:rsidP="00AB3BE8">
      <w:pPr>
        <w:pStyle w:val="Heading4"/>
        <w:keepNext w:val="0"/>
        <w:autoSpaceDE w:val="0"/>
        <w:autoSpaceDN w:val="0"/>
        <w:adjustRightInd w:val="0"/>
        <w:jc w:val="left"/>
        <w:rPr>
          <w:rFonts w:ascii="Times New Roman" w:hAnsi="Times New Roman"/>
          <w:b w:val="0"/>
          <w:sz w:val="22"/>
          <w:szCs w:val="22"/>
          <w:u w:val="single"/>
        </w:rPr>
      </w:pPr>
      <w:r w:rsidRPr="002A3533">
        <w:rPr>
          <w:rFonts w:ascii="Times New Roman" w:hAnsi="Times New Roman"/>
          <w:b w:val="0"/>
          <w:sz w:val="22"/>
          <w:szCs w:val="22"/>
          <w:u w:val="single"/>
        </w:rPr>
        <w:t>Infections</w:t>
      </w:r>
    </w:p>
    <w:p w14:paraId="385487DA" w14:textId="77777777" w:rsidR="00AB3BE8" w:rsidRPr="002A3533" w:rsidRDefault="00AB3BE8" w:rsidP="00AB3BE8"/>
    <w:p w14:paraId="1DEC7B95" w14:textId="77777777" w:rsidR="00AB3BE8" w:rsidRPr="002A3533" w:rsidRDefault="00944B8F" w:rsidP="00AB3BE8">
      <w:pPr>
        <w:autoSpaceDE w:val="0"/>
        <w:autoSpaceDN w:val="0"/>
        <w:adjustRightInd w:val="0"/>
      </w:pPr>
      <w:r w:rsidRPr="002A3533">
        <w:t>Patients taking TNF</w:t>
      </w:r>
      <w:r>
        <w:t xml:space="preserve"> </w:t>
      </w:r>
      <w:r w:rsidRPr="002A3533">
        <w:t>-antagonists are more susceptible to serious infections. Impaired lung function may increase the risk for developing infections. Patients must therefore be monitored closely for infections, including tuberculosis, before, during an</w:t>
      </w:r>
      <w:r>
        <w:t xml:space="preserve">d after treatment with Humira. </w:t>
      </w:r>
      <w:r w:rsidRPr="002A3533">
        <w:t>Because the elimination of adalimumab may take up to four months, monitoring should be continued throughout this period.</w:t>
      </w:r>
    </w:p>
    <w:p w14:paraId="144DBE40" w14:textId="77777777" w:rsidR="00AB3BE8" w:rsidRPr="002A3533" w:rsidRDefault="00AB3BE8" w:rsidP="00AB3BE8">
      <w:pPr>
        <w:autoSpaceDE w:val="0"/>
        <w:autoSpaceDN w:val="0"/>
        <w:adjustRightInd w:val="0"/>
      </w:pPr>
    </w:p>
    <w:p w14:paraId="05885CCB" w14:textId="77777777" w:rsidR="00AB3BE8" w:rsidRPr="002A3533" w:rsidRDefault="00944B8F" w:rsidP="00AB3BE8">
      <w:pPr>
        <w:autoSpaceDE w:val="0"/>
        <w:autoSpaceDN w:val="0"/>
        <w:adjustRightInd w:val="0"/>
      </w:pPr>
      <w:r w:rsidRPr="002A3533">
        <w:t>Treatment with Humira should not be initiated in patients with active infections including chronic or locali</w:t>
      </w:r>
      <w:r>
        <w:t>s</w:t>
      </w:r>
      <w:r w:rsidRPr="002A3533">
        <w:t xml:space="preserve">ed infections until infections are controlled. In patients who have been exposed to tuberculosis and patients who have travelled in areas of high risk of tuberculosis or endemic mycoses, such as histoplasmosis, coccidioidomycosis, or blastomycosis, the risk and benefits of treatment with Humira should be considered prior to initiating therapy (see </w:t>
      </w:r>
      <w:r w:rsidRPr="002A3533">
        <w:rPr>
          <w:i/>
          <w:iCs/>
        </w:rPr>
        <w:t>Other opportunistic infections</w:t>
      </w:r>
      <w:r w:rsidRPr="002A3533">
        <w:t>).</w:t>
      </w:r>
    </w:p>
    <w:p w14:paraId="5B5C8C6B" w14:textId="77777777" w:rsidR="00AB3BE8" w:rsidRPr="002A3533" w:rsidRDefault="00AB3BE8" w:rsidP="00AB3BE8">
      <w:pPr>
        <w:autoSpaceDE w:val="0"/>
        <w:autoSpaceDN w:val="0"/>
        <w:adjustRightInd w:val="0"/>
      </w:pPr>
    </w:p>
    <w:p w14:paraId="0883D950" w14:textId="77777777" w:rsidR="00AB3BE8" w:rsidRPr="002A3533" w:rsidRDefault="00944B8F" w:rsidP="00AB3BE8">
      <w:pPr>
        <w:autoSpaceDE w:val="0"/>
        <w:autoSpaceDN w:val="0"/>
        <w:adjustRightInd w:val="0"/>
      </w:pPr>
      <w:r w:rsidRPr="002A3533">
        <w:t>Patients who develop a new infection while undergoing treatment with Humira should be monitored closely and undergo a complete diagnostic evaluation. Administration of Humira should be discontinued if a patient develops a new serious infection or sepsis and appropriate antimicrobial or antifungal therapy should be initiated unti</w:t>
      </w:r>
      <w:r>
        <w:t xml:space="preserve">l the infection is controlled. </w:t>
      </w:r>
      <w:r w:rsidRPr="002A3533">
        <w:t>Physicians should exercise caution when considering the use of Humira in patients with a history of recurring infection or with underlying conditions which may predispose patients to infections, including the use of concomitant immunosuppressive medications.</w:t>
      </w:r>
    </w:p>
    <w:p w14:paraId="45348FE1" w14:textId="77777777" w:rsidR="00AB3BE8" w:rsidRPr="002A3533" w:rsidRDefault="00AB3BE8" w:rsidP="00AB3BE8">
      <w:pPr>
        <w:autoSpaceDE w:val="0"/>
        <w:autoSpaceDN w:val="0"/>
        <w:adjustRightInd w:val="0"/>
      </w:pPr>
    </w:p>
    <w:p w14:paraId="0C807EF6" w14:textId="77777777" w:rsidR="00AB3BE8" w:rsidRPr="002A3533" w:rsidRDefault="00944B8F" w:rsidP="00AB3BE8">
      <w:pPr>
        <w:pStyle w:val="EMEAHeadingUI"/>
        <w:keepNext/>
        <w:autoSpaceDE w:val="0"/>
        <w:autoSpaceDN w:val="0"/>
        <w:adjustRightInd w:val="0"/>
        <w:spacing w:beforeLines="0" w:afterLines="0"/>
        <w:rPr>
          <w:iCs/>
          <w:szCs w:val="24"/>
          <w:u w:val="none"/>
          <w:lang w:val="en-GB"/>
        </w:rPr>
      </w:pPr>
      <w:r w:rsidRPr="002A3533">
        <w:rPr>
          <w:iCs/>
          <w:szCs w:val="24"/>
          <w:u w:val="none"/>
          <w:lang w:val="en-GB"/>
        </w:rPr>
        <w:t>Serious infections</w:t>
      </w:r>
    </w:p>
    <w:p w14:paraId="38935D23" w14:textId="77777777" w:rsidR="00AB3BE8" w:rsidRPr="002A3533" w:rsidRDefault="00AB3BE8" w:rsidP="00AB3BE8">
      <w:pPr>
        <w:keepNext/>
        <w:autoSpaceDE w:val="0"/>
        <w:autoSpaceDN w:val="0"/>
        <w:adjustRightInd w:val="0"/>
      </w:pPr>
    </w:p>
    <w:p w14:paraId="0868E348" w14:textId="77777777" w:rsidR="00AB3BE8" w:rsidRPr="002A3533" w:rsidRDefault="00944B8F" w:rsidP="00AB3BE8">
      <w:pPr>
        <w:keepNext/>
        <w:autoSpaceDE w:val="0"/>
        <w:autoSpaceDN w:val="0"/>
        <w:adjustRightInd w:val="0"/>
      </w:pPr>
      <w:r w:rsidRPr="002A3533">
        <w:t xml:space="preserve">Serious infections, </w:t>
      </w:r>
      <w:r w:rsidRPr="002A3533">
        <w:rPr>
          <w:u w:color="0000FF"/>
        </w:rPr>
        <w:t>including sepsis,</w:t>
      </w:r>
      <w:r w:rsidRPr="002A3533">
        <w:t xml:space="preserve"> due to bacterial, mycobacterial, invasive fungal, parasitic, viral, or other opportunistic infections</w:t>
      </w:r>
      <w:r w:rsidRPr="002A3533">
        <w:rPr>
          <w:u w:color="0000FF"/>
        </w:rPr>
        <w:t xml:space="preserve"> such as listeriosis, legionellosis and pneumocystis</w:t>
      </w:r>
      <w:r w:rsidRPr="002A3533">
        <w:t xml:space="preserve"> have been reported in patients receiving Humira.  </w:t>
      </w:r>
    </w:p>
    <w:p w14:paraId="3AE3F349" w14:textId="77777777" w:rsidR="00AB3BE8" w:rsidRPr="002A3533" w:rsidRDefault="00AB3BE8" w:rsidP="00AB3BE8">
      <w:pPr>
        <w:autoSpaceDE w:val="0"/>
        <w:autoSpaceDN w:val="0"/>
        <w:adjustRightInd w:val="0"/>
      </w:pPr>
    </w:p>
    <w:p w14:paraId="55F8FEDA" w14:textId="77777777" w:rsidR="00AB3BE8" w:rsidRPr="002A3533" w:rsidRDefault="00944B8F" w:rsidP="00AB3BE8">
      <w:pPr>
        <w:autoSpaceDE w:val="0"/>
        <w:autoSpaceDN w:val="0"/>
        <w:adjustRightInd w:val="0"/>
      </w:pPr>
      <w:r w:rsidRPr="002A3533">
        <w:t xml:space="preserve">Other serious infections seen in clinical trials include pneumonia, pyelonephritis, septic arthritis and septicaemia. Hospitalisation or fatal outcomes associated with infections have been reported. </w:t>
      </w:r>
    </w:p>
    <w:p w14:paraId="4C55C809" w14:textId="77777777" w:rsidR="00AB3BE8" w:rsidRPr="002A3533" w:rsidRDefault="00AB3BE8" w:rsidP="00AB3BE8">
      <w:pPr>
        <w:autoSpaceDE w:val="0"/>
        <w:autoSpaceDN w:val="0"/>
        <w:adjustRightInd w:val="0"/>
      </w:pPr>
    </w:p>
    <w:p w14:paraId="11E7EF1E" w14:textId="77777777" w:rsidR="00AB3BE8" w:rsidRPr="002A3533" w:rsidRDefault="00944B8F" w:rsidP="00AB3BE8">
      <w:pPr>
        <w:autoSpaceDE w:val="0"/>
        <w:autoSpaceDN w:val="0"/>
        <w:adjustRightInd w:val="0"/>
        <w:rPr>
          <w:i/>
          <w:iCs/>
        </w:rPr>
      </w:pPr>
      <w:r w:rsidRPr="002A3533">
        <w:rPr>
          <w:i/>
          <w:iCs/>
        </w:rPr>
        <w:t>Tuberculosis</w:t>
      </w:r>
    </w:p>
    <w:p w14:paraId="09CD1051" w14:textId="77777777" w:rsidR="00AB3BE8" w:rsidRPr="002A3533" w:rsidRDefault="00AB3BE8" w:rsidP="00AB3BE8">
      <w:pPr>
        <w:autoSpaceDE w:val="0"/>
        <w:autoSpaceDN w:val="0"/>
        <w:adjustRightInd w:val="0"/>
      </w:pPr>
    </w:p>
    <w:p w14:paraId="1AF7B2AB" w14:textId="77777777" w:rsidR="00AB3BE8" w:rsidRPr="002A3533" w:rsidRDefault="00944B8F" w:rsidP="00AB3BE8">
      <w:pPr>
        <w:autoSpaceDE w:val="0"/>
        <w:autoSpaceDN w:val="0"/>
        <w:adjustRightInd w:val="0"/>
      </w:pPr>
      <w:r w:rsidRPr="002A3533">
        <w:t>Tuberculosis, including reactivation and new onset of tuberculosis, has been reported in patien</w:t>
      </w:r>
      <w:r>
        <w:t xml:space="preserve">ts receiving Humira. </w:t>
      </w:r>
      <w:r w:rsidRPr="002A3533">
        <w:t xml:space="preserve">Reports included cases of pulmonary and extra-pulmonary (i.e. disseminated) tuberculosis. </w:t>
      </w:r>
    </w:p>
    <w:p w14:paraId="2B8E094A" w14:textId="77777777" w:rsidR="00AB3BE8" w:rsidRPr="002A3533" w:rsidRDefault="00AB3BE8" w:rsidP="00AB3BE8">
      <w:pPr>
        <w:autoSpaceDE w:val="0"/>
        <w:autoSpaceDN w:val="0"/>
        <w:adjustRightInd w:val="0"/>
      </w:pPr>
    </w:p>
    <w:p w14:paraId="03071415" w14:textId="77777777" w:rsidR="00AB3BE8" w:rsidRPr="002A3533" w:rsidRDefault="00944B8F" w:rsidP="00AB3BE8">
      <w:r w:rsidRPr="002A3533">
        <w:t>Before initiation of therapy with Humira, all patients must be evaluated for both active or inactive (“la</w:t>
      </w:r>
      <w:r>
        <w:t xml:space="preserve">tent”) tuberculosis infection. </w:t>
      </w:r>
      <w:r w:rsidRPr="002A3533">
        <w:t>This evaluation should include a detailed medical assessment of patient history of tuberculosis or possible previous exposure to people with active tuberculosis and previous and/or curr</w:t>
      </w:r>
      <w:r>
        <w:t xml:space="preserve">ent immunosuppressive therapy. </w:t>
      </w:r>
      <w:r w:rsidRPr="002A3533">
        <w:t>Appropriate screening tests (i.e. tuberculin skin test and chest X</w:t>
      </w:r>
      <w:r w:rsidRPr="002A3533">
        <w:noBreakHyphen/>
        <w:t xml:space="preserve">ray) should be performed in all patients (local recommendations may apply). It is recommended that the conduct and results of these tests are recorded in the </w:t>
      </w:r>
      <w:r w:rsidR="002179FE">
        <w:t>Patient Reminder Card</w:t>
      </w:r>
      <w:r w:rsidRPr="002A3533">
        <w:t xml:space="preserve">. Prescribers are reminded of the risk of false negative tuberculin skin test results, especially in patients who are severely ill or immunocompromised. </w:t>
      </w:r>
    </w:p>
    <w:p w14:paraId="419A25F2" w14:textId="77777777" w:rsidR="00AB3BE8" w:rsidRPr="002A3533" w:rsidRDefault="00AB3BE8" w:rsidP="00AB3BE8"/>
    <w:p w14:paraId="51AE9739" w14:textId="77777777" w:rsidR="00AB3BE8" w:rsidRPr="002A3533" w:rsidRDefault="00944B8F" w:rsidP="00AB3BE8">
      <w:r w:rsidRPr="002A3533">
        <w:t xml:space="preserve">If active tuberculosis is diagnosed, Humira therapy must not be initiated (see section 4.3). </w:t>
      </w:r>
    </w:p>
    <w:p w14:paraId="31EC3C2D" w14:textId="77777777" w:rsidR="00AB3BE8" w:rsidRPr="002A3533" w:rsidRDefault="00AB3BE8" w:rsidP="00AB3BE8"/>
    <w:p w14:paraId="4ECD555A" w14:textId="77777777" w:rsidR="00AB3BE8" w:rsidRPr="002A3533" w:rsidRDefault="00944B8F" w:rsidP="00AB3BE8">
      <w:r w:rsidRPr="002A3533">
        <w:t>In all situations described below, the benefit/risk balance of therapy should be very carefully considered.</w:t>
      </w:r>
    </w:p>
    <w:p w14:paraId="365030B7" w14:textId="77777777" w:rsidR="00AB3BE8" w:rsidRPr="002A3533" w:rsidRDefault="00AB3BE8" w:rsidP="00AB3BE8"/>
    <w:p w14:paraId="3D69C036" w14:textId="77777777" w:rsidR="00AB3BE8" w:rsidRPr="002A3533" w:rsidRDefault="00944B8F" w:rsidP="00AB3BE8">
      <w:r w:rsidRPr="002A3533">
        <w:t xml:space="preserve">If latent tuberculosis is suspected, </w:t>
      </w:r>
      <w:r w:rsidRPr="002A3533">
        <w:rPr>
          <w:szCs w:val="22"/>
        </w:rPr>
        <w:t>a physician with expertise in the treatment of tuberculosis should be consulted.</w:t>
      </w:r>
      <w:r w:rsidRPr="002A3533">
        <w:t xml:space="preserve"> </w:t>
      </w:r>
    </w:p>
    <w:p w14:paraId="1CFFA864" w14:textId="77777777" w:rsidR="00AB3BE8" w:rsidRPr="002A3533" w:rsidRDefault="00AB3BE8" w:rsidP="00AB3BE8"/>
    <w:p w14:paraId="16EBD6D4" w14:textId="77777777" w:rsidR="00AB3BE8" w:rsidRPr="002A3533" w:rsidRDefault="00944B8F" w:rsidP="00AB3BE8">
      <w:pPr>
        <w:rPr>
          <w:bCs/>
          <w:snapToGrid w:val="0"/>
          <w:szCs w:val="22"/>
        </w:rPr>
      </w:pPr>
      <w:r w:rsidRPr="002A3533">
        <w:rPr>
          <w:szCs w:val="22"/>
        </w:rPr>
        <w:t xml:space="preserve">If latent tuberculosis is diagnosed, appropriate treatment must be started with anti-tuberculosis prophylaxis treatment before the initiation of Humira and in accordance with local recommendations. </w:t>
      </w:r>
    </w:p>
    <w:p w14:paraId="709D35F7" w14:textId="77777777" w:rsidR="00AB3BE8" w:rsidRPr="003F7AAE" w:rsidRDefault="00AB3BE8" w:rsidP="00AB3BE8">
      <w:pPr>
        <w:rPr>
          <w:bCs/>
          <w:iCs/>
        </w:rPr>
      </w:pPr>
    </w:p>
    <w:p w14:paraId="5A2C3259" w14:textId="77777777" w:rsidR="00AB3BE8" w:rsidRPr="002A3533" w:rsidRDefault="00944B8F" w:rsidP="00AB3BE8">
      <w:r w:rsidRPr="002A3533">
        <w:t xml:space="preserve">Use of anti-tuberculosis prophylaxis treatment should also be considered before the initiation of Humira in patients with several or significant risk factors for tuberculosis despite a negative test for tuberculosis and in patients with a past history of latent or active tuberculosis in whom an adequate course of treatment cannot be confirmed.  </w:t>
      </w:r>
    </w:p>
    <w:p w14:paraId="6C9476A4" w14:textId="77777777" w:rsidR="00AB3BE8" w:rsidRPr="002A3533" w:rsidRDefault="00AB3BE8" w:rsidP="00AB3BE8"/>
    <w:p w14:paraId="16986A84" w14:textId="77777777" w:rsidR="00AB3BE8" w:rsidRPr="002A3533" w:rsidRDefault="00944B8F" w:rsidP="00AB3BE8">
      <w:r w:rsidRPr="002A3533">
        <w:t>Despite prophylactic treatment for tuberculosis, cases of reactivated tuberculosis have occurred in patients treated with Humira. Some patients who have been successfully treated for active tuberculosis have redeveloped tuberculosis while being treated with Humira.</w:t>
      </w:r>
    </w:p>
    <w:p w14:paraId="703B0405" w14:textId="77777777" w:rsidR="00AB3BE8" w:rsidRPr="002A3533" w:rsidRDefault="00AB3BE8" w:rsidP="00AB3BE8"/>
    <w:p w14:paraId="23162B41" w14:textId="77777777" w:rsidR="00AB3BE8" w:rsidRPr="002A3533" w:rsidRDefault="00944B8F" w:rsidP="00AB3BE8">
      <w:pPr>
        <w:autoSpaceDE w:val="0"/>
        <w:autoSpaceDN w:val="0"/>
        <w:adjustRightInd w:val="0"/>
      </w:pPr>
      <w:r w:rsidRPr="002A3533">
        <w:t xml:space="preserve">Patients should be instructed to seek medical advice if signs/symptoms suggestive of a tuberculosis infection (e.g., persistent cough, wasting/weight loss, low grade fever, listlessness) occur during or after therapy with Humira. </w:t>
      </w:r>
    </w:p>
    <w:p w14:paraId="248624C5" w14:textId="77777777" w:rsidR="00AB3BE8" w:rsidRPr="002A3533" w:rsidRDefault="00AB3BE8" w:rsidP="00AB3BE8">
      <w:pPr>
        <w:autoSpaceDE w:val="0"/>
        <w:autoSpaceDN w:val="0"/>
        <w:adjustRightInd w:val="0"/>
      </w:pPr>
    </w:p>
    <w:p w14:paraId="493D7055" w14:textId="77777777" w:rsidR="00AB3BE8" w:rsidRPr="002A3533" w:rsidRDefault="00944B8F" w:rsidP="00AB3BE8">
      <w:pPr>
        <w:keepNext/>
        <w:autoSpaceDE w:val="0"/>
        <w:autoSpaceDN w:val="0"/>
        <w:adjustRightInd w:val="0"/>
        <w:rPr>
          <w:i/>
          <w:iCs/>
        </w:rPr>
      </w:pPr>
      <w:r w:rsidRPr="002A3533">
        <w:rPr>
          <w:i/>
          <w:iCs/>
        </w:rPr>
        <w:t>Other opportunistic infections</w:t>
      </w:r>
    </w:p>
    <w:p w14:paraId="550B53C1" w14:textId="77777777" w:rsidR="00AB3BE8" w:rsidRPr="002A3533" w:rsidRDefault="00AB3BE8" w:rsidP="00AB3BE8">
      <w:pPr>
        <w:keepNext/>
        <w:autoSpaceDE w:val="0"/>
        <w:autoSpaceDN w:val="0"/>
        <w:adjustRightInd w:val="0"/>
      </w:pPr>
    </w:p>
    <w:p w14:paraId="2E98FC04" w14:textId="77777777" w:rsidR="00AB3BE8" w:rsidRPr="002A3533" w:rsidRDefault="00944B8F" w:rsidP="00AB3BE8">
      <w:pPr>
        <w:keepNext/>
        <w:autoSpaceDE w:val="0"/>
        <w:autoSpaceDN w:val="0"/>
        <w:adjustRightInd w:val="0"/>
      </w:pPr>
      <w:r w:rsidRPr="002A3533">
        <w:t>Opportunistic infections, including invasive fungal infections have been observed in patients receiving Humira. These infections have not consistently been recognised in patients taking TNF-antagonists and this</w:t>
      </w:r>
      <w:r>
        <w:t xml:space="preserve"> has</w:t>
      </w:r>
      <w:r w:rsidRPr="002A3533">
        <w:t xml:space="preserve"> resulted in delays in appropriate treatment, sometimes resulting in fatal outcomes. </w:t>
      </w:r>
    </w:p>
    <w:p w14:paraId="3E08E452" w14:textId="77777777" w:rsidR="00AB3BE8" w:rsidRPr="002A3533" w:rsidRDefault="00AB3BE8" w:rsidP="00AB3BE8">
      <w:pPr>
        <w:autoSpaceDE w:val="0"/>
        <w:autoSpaceDN w:val="0"/>
        <w:adjustRightInd w:val="0"/>
      </w:pPr>
    </w:p>
    <w:p w14:paraId="762BE079" w14:textId="77777777" w:rsidR="00AB3BE8" w:rsidRPr="002A3533" w:rsidRDefault="00944B8F" w:rsidP="00AB3BE8">
      <w:pPr>
        <w:pStyle w:val="EMEAHeadingUnderline"/>
        <w:autoSpaceDE w:val="0"/>
        <w:autoSpaceDN w:val="0"/>
        <w:adjustRightInd w:val="0"/>
        <w:spacing w:beforeLines="0" w:afterLines="0" w:line="240" w:lineRule="atLeast"/>
        <w:rPr>
          <w:u w:val="none"/>
          <w:lang w:val="en-GB"/>
        </w:rPr>
      </w:pPr>
      <w:r w:rsidRPr="002A3533">
        <w:rPr>
          <w:u w:val="none"/>
          <w:lang w:val="en-GB"/>
        </w:rPr>
        <w:lastRenderedPageBreak/>
        <w:t xml:space="preserve">For patients who develop the signs and symptoms such as fever, malaise, weight loss, sweats, cough, </w:t>
      </w:r>
      <w:r w:rsidRPr="00106CE6">
        <w:rPr>
          <w:u w:val="none"/>
          <w:lang w:val="en-GB"/>
        </w:rPr>
        <w:t>dyspnoea</w:t>
      </w:r>
      <w:r w:rsidRPr="002A3533">
        <w:rPr>
          <w:u w:val="none"/>
          <w:lang w:val="en-GB"/>
        </w:rPr>
        <w:t xml:space="preserve">, and/or pulmonary infiltrates or other serious systemic illness with or without concomitant shock an invasive fungal infection should be suspected and administration of Humira should be promptly discontinued. Diagnosis and administration of empiric antifungal therapy in these patients should be made in consultation with a physician with expertise in the care of patients with invasive fungal infections. </w:t>
      </w:r>
    </w:p>
    <w:p w14:paraId="0C4F7520" w14:textId="77777777" w:rsidR="00AB3BE8" w:rsidRPr="002A3533" w:rsidRDefault="00AB3BE8" w:rsidP="00AB3BE8">
      <w:pPr>
        <w:pStyle w:val="EMEAHeadingUnderline"/>
        <w:autoSpaceDE w:val="0"/>
        <w:autoSpaceDN w:val="0"/>
        <w:adjustRightInd w:val="0"/>
        <w:spacing w:beforeLines="0" w:afterLines="0" w:line="240" w:lineRule="atLeast"/>
        <w:rPr>
          <w:u w:val="none"/>
          <w:lang w:val="en-GB"/>
        </w:rPr>
      </w:pPr>
    </w:p>
    <w:p w14:paraId="5F4D0724" w14:textId="77777777" w:rsidR="00AB3BE8" w:rsidRPr="002A3533" w:rsidRDefault="00944B8F" w:rsidP="00AB3BE8">
      <w:pPr>
        <w:pStyle w:val="EMEAHeadingUnderline"/>
        <w:autoSpaceDE w:val="0"/>
        <w:autoSpaceDN w:val="0"/>
        <w:adjustRightInd w:val="0"/>
        <w:spacing w:beforeLines="0" w:afterLines="0" w:line="240" w:lineRule="atLeast"/>
        <w:rPr>
          <w:szCs w:val="22"/>
          <w:lang w:val="en-GB"/>
        </w:rPr>
      </w:pPr>
      <w:r w:rsidRPr="002A3533">
        <w:rPr>
          <w:szCs w:val="22"/>
          <w:lang w:val="en-GB"/>
        </w:rPr>
        <w:t>Hepatitis B reactivation</w:t>
      </w:r>
    </w:p>
    <w:p w14:paraId="2917EAF6" w14:textId="77777777" w:rsidR="00AB3BE8" w:rsidRPr="003F7AAE" w:rsidRDefault="00AB3BE8" w:rsidP="00AB3BE8">
      <w:pPr>
        <w:autoSpaceDE w:val="0"/>
        <w:autoSpaceDN w:val="0"/>
        <w:adjustRightInd w:val="0"/>
        <w:spacing w:line="240" w:lineRule="atLeast"/>
        <w:rPr>
          <w:bCs/>
          <w:iCs/>
          <w:szCs w:val="22"/>
        </w:rPr>
      </w:pPr>
    </w:p>
    <w:p w14:paraId="159DB503" w14:textId="77777777" w:rsidR="00AB3BE8" w:rsidRPr="002A3533" w:rsidRDefault="00944B8F" w:rsidP="00AB3BE8">
      <w:pPr>
        <w:tabs>
          <w:tab w:val="clear" w:pos="562"/>
        </w:tabs>
        <w:suppressAutoHyphens w:val="0"/>
        <w:autoSpaceDE w:val="0"/>
        <w:autoSpaceDN w:val="0"/>
        <w:adjustRightInd w:val="0"/>
        <w:spacing w:line="240" w:lineRule="atLeast"/>
        <w:rPr>
          <w:szCs w:val="22"/>
        </w:rPr>
      </w:pPr>
      <w:r w:rsidRPr="002A3533">
        <w:rPr>
          <w:szCs w:val="22"/>
        </w:rPr>
        <w:t>Reactivation of hepatitis B has occurred in patients receiving a TNF-antagonist including Humira, who are chronic carriers of this virus (i.e. surface antigen positive). Some cases have had a fatal outcome. Patients should be tested for HBV infection before initiating treatment with Humira. For patients who test positive for hepatitis B infection, consultation with a physician with expertise in the treatment of hepatitis B is recommended.</w:t>
      </w:r>
    </w:p>
    <w:p w14:paraId="5E35FF2B" w14:textId="77777777" w:rsidR="00AB3BE8" w:rsidRPr="002A3533" w:rsidRDefault="00AB3BE8" w:rsidP="00AB3BE8">
      <w:pPr>
        <w:tabs>
          <w:tab w:val="clear" w:pos="562"/>
        </w:tabs>
        <w:suppressAutoHyphens w:val="0"/>
        <w:autoSpaceDE w:val="0"/>
        <w:autoSpaceDN w:val="0"/>
        <w:adjustRightInd w:val="0"/>
        <w:spacing w:line="240" w:lineRule="atLeast"/>
        <w:rPr>
          <w:szCs w:val="22"/>
        </w:rPr>
      </w:pPr>
    </w:p>
    <w:p w14:paraId="588AEE9C" w14:textId="77777777" w:rsidR="00AB3BE8" w:rsidRDefault="00944B8F" w:rsidP="00AB3BE8">
      <w:pPr>
        <w:tabs>
          <w:tab w:val="clear" w:pos="562"/>
        </w:tabs>
        <w:suppressAutoHyphens w:val="0"/>
        <w:autoSpaceDE w:val="0"/>
        <w:autoSpaceDN w:val="0"/>
        <w:adjustRightInd w:val="0"/>
        <w:spacing w:line="240" w:lineRule="atLeast"/>
        <w:rPr>
          <w:szCs w:val="22"/>
        </w:rPr>
      </w:pPr>
      <w:r w:rsidRPr="002A3533">
        <w:rPr>
          <w:szCs w:val="22"/>
        </w:rPr>
        <w:t xml:space="preserve">Carriers of HBV who require treatment with Humira should be closely monitored for signs and symptoms of active HBV infection throughout therapy and for several months following termination of therapy. Adequate data from treating patients who are carriers of HBV with anti-viral therapy in conjunction with TNF-antagonist therapy to prevent HBV reactivation are not available. In patients who develop HBV reactivation, Humira should be stopped and effective anti-viral therapy with appropriate supportive treatment should be initiated. </w:t>
      </w:r>
    </w:p>
    <w:p w14:paraId="64F0B647" w14:textId="77777777" w:rsidR="00AB3BE8" w:rsidRPr="002A3533" w:rsidRDefault="00AB3BE8" w:rsidP="00AB3BE8">
      <w:pPr>
        <w:tabs>
          <w:tab w:val="clear" w:pos="562"/>
        </w:tabs>
        <w:suppressAutoHyphens w:val="0"/>
        <w:autoSpaceDE w:val="0"/>
        <w:autoSpaceDN w:val="0"/>
        <w:adjustRightInd w:val="0"/>
        <w:spacing w:line="240" w:lineRule="atLeast"/>
        <w:rPr>
          <w:szCs w:val="22"/>
        </w:rPr>
      </w:pPr>
    </w:p>
    <w:p w14:paraId="018DB94F" w14:textId="77777777" w:rsidR="00AB3BE8" w:rsidRDefault="00944B8F" w:rsidP="00AB3BE8">
      <w:pPr>
        <w:pStyle w:val="EMEAHeadingUnderline"/>
        <w:spacing w:beforeLines="0" w:afterLines="0"/>
        <w:rPr>
          <w:lang w:val="en-GB"/>
        </w:rPr>
      </w:pPr>
      <w:r w:rsidRPr="002A3533">
        <w:rPr>
          <w:lang w:val="en-GB"/>
        </w:rPr>
        <w:t xml:space="preserve">Neurological events </w:t>
      </w:r>
    </w:p>
    <w:p w14:paraId="350AB450" w14:textId="77777777" w:rsidR="00AB3BE8" w:rsidRPr="00FD6AFC" w:rsidRDefault="00AB3BE8" w:rsidP="00AB3BE8">
      <w:pPr>
        <w:pStyle w:val="EMEANormal"/>
        <w:rPr>
          <w:lang w:val="en-GB"/>
        </w:rPr>
      </w:pPr>
    </w:p>
    <w:p w14:paraId="76B425C5" w14:textId="77777777" w:rsidR="00AB3BE8" w:rsidRDefault="00944B8F" w:rsidP="00AB3BE8">
      <w:pPr>
        <w:autoSpaceDE w:val="0"/>
        <w:autoSpaceDN w:val="0"/>
        <w:adjustRightInd w:val="0"/>
      </w:pPr>
      <w:r w:rsidRPr="002A3533">
        <w:t>TNF-antagonists including Humira have been associated in rare instances with new onset or exacerbation of clinical symptoms and/or radiographic evidence of central nervous system demyelinating disease including multiple sclerosis and optic neuritis, and peripheral demyelinating disease, including Guillain-Barré syndrome. Prescribers should exercise caution in considering the use of Humira in patients with pre-existing or recent-onset central or peripheral nervous system demyelinating disorders</w:t>
      </w:r>
      <w:r w:rsidRPr="00FC33B1">
        <w:rPr>
          <w:bCs/>
        </w:rPr>
        <w:t xml:space="preserve">; discontinuation of Humira should be considered if any of these disorders develop. There is a known association between intermediate uveitis and central demyelinating disorders. Neurologic evaluation should be performed in patients with non-infectious intermediate uveitis prior to the initiation of Humira </w:t>
      </w:r>
      <w:r w:rsidRPr="00F31BAE">
        <w:rPr>
          <w:bCs/>
        </w:rPr>
        <w:t>therapy and regularly during treatment to assess for pre-existing or developing central demyelinating disorders</w:t>
      </w:r>
      <w:r w:rsidRPr="002A3533">
        <w:t xml:space="preserve">. </w:t>
      </w:r>
    </w:p>
    <w:p w14:paraId="7819F18F" w14:textId="77777777" w:rsidR="00AB3BE8" w:rsidRPr="002A3533" w:rsidRDefault="00AB3BE8" w:rsidP="00AB3BE8">
      <w:pPr>
        <w:autoSpaceDE w:val="0"/>
        <w:autoSpaceDN w:val="0"/>
        <w:adjustRightInd w:val="0"/>
      </w:pPr>
    </w:p>
    <w:p w14:paraId="1654EE44" w14:textId="77777777" w:rsidR="00AB3BE8" w:rsidRDefault="00944B8F" w:rsidP="00AB3BE8">
      <w:pPr>
        <w:pStyle w:val="EMEAHeadingUnderline"/>
        <w:spacing w:beforeLines="0" w:afterLines="0"/>
        <w:rPr>
          <w:lang w:val="en-GB"/>
        </w:rPr>
      </w:pPr>
      <w:r w:rsidRPr="002A3533">
        <w:rPr>
          <w:lang w:val="en-GB"/>
        </w:rPr>
        <w:t>Allergic reactions</w:t>
      </w:r>
    </w:p>
    <w:p w14:paraId="53456F28" w14:textId="77777777" w:rsidR="00AB3BE8" w:rsidRPr="00FD6AFC" w:rsidRDefault="00AB3BE8" w:rsidP="00AB3BE8">
      <w:pPr>
        <w:pStyle w:val="EMEANormal"/>
        <w:rPr>
          <w:lang w:val="en-GB"/>
        </w:rPr>
      </w:pPr>
    </w:p>
    <w:p w14:paraId="29C6442C" w14:textId="77777777" w:rsidR="00AB3BE8" w:rsidRDefault="00944B8F" w:rsidP="00AB3BE8">
      <w:pPr>
        <w:autoSpaceDE w:val="0"/>
        <w:autoSpaceDN w:val="0"/>
        <w:adjustRightInd w:val="0"/>
      </w:pPr>
      <w:r w:rsidRPr="002A3533">
        <w:t xml:space="preserve">Serious allergic reactions associated with Humira were rare during clinical trials. Non-serious allergic reactions associated with Humira were uncommon during clinical trials. Reports of serious allergic reactions including anaphylaxis have been received following Humira administration. If an anaphylactic reaction or other serious allergic reaction occurs, administration of Humira should be discontinued immediately and appropriate therapy initiated. </w:t>
      </w:r>
    </w:p>
    <w:p w14:paraId="36322261" w14:textId="77777777" w:rsidR="00AB3BE8" w:rsidRPr="002A3533" w:rsidRDefault="00AB3BE8" w:rsidP="00AB3BE8">
      <w:pPr>
        <w:autoSpaceDE w:val="0"/>
        <w:autoSpaceDN w:val="0"/>
        <w:adjustRightInd w:val="0"/>
      </w:pPr>
    </w:p>
    <w:p w14:paraId="3C5DA746" w14:textId="77777777" w:rsidR="00AB3BE8" w:rsidRDefault="00944B8F" w:rsidP="00AB3BE8">
      <w:pPr>
        <w:pStyle w:val="EMEAHeadingUnderline"/>
        <w:spacing w:beforeLines="0" w:afterLines="0"/>
        <w:rPr>
          <w:lang w:val="en-GB"/>
        </w:rPr>
      </w:pPr>
      <w:r w:rsidRPr="002A3533">
        <w:rPr>
          <w:lang w:val="en-GB"/>
        </w:rPr>
        <w:t>Immunosuppression</w:t>
      </w:r>
    </w:p>
    <w:p w14:paraId="6FE6FF92" w14:textId="77777777" w:rsidR="00AB3BE8" w:rsidRPr="00FD6AFC" w:rsidRDefault="00AB3BE8" w:rsidP="00AB3BE8">
      <w:pPr>
        <w:pStyle w:val="EMEANormal"/>
        <w:rPr>
          <w:lang w:val="en-GB"/>
        </w:rPr>
      </w:pPr>
    </w:p>
    <w:p w14:paraId="0BE76766" w14:textId="77777777" w:rsidR="00AB3BE8" w:rsidRDefault="00944B8F" w:rsidP="00AB3BE8">
      <w:pPr>
        <w:pStyle w:val="EMEANormal"/>
        <w:rPr>
          <w:lang w:val="en-GB"/>
        </w:rPr>
      </w:pPr>
      <w:r w:rsidRPr="002A3533">
        <w:rPr>
          <w:lang w:val="en-GB"/>
        </w:rPr>
        <w:t>In a study of 64 patients with rheumatoid arthritis that were treated with Humira, there was no evidence of depression of delayed-type hypersensitivity, depression of immunoglobulin levels, or change in enumeration of effector T-, B</w:t>
      </w:r>
      <w:r w:rsidR="00E77479">
        <w:rPr>
          <w:lang w:val="en-GB"/>
        </w:rPr>
        <w:t>-</w:t>
      </w:r>
      <w:r w:rsidRPr="002A3533">
        <w:rPr>
          <w:lang w:val="en-GB"/>
        </w:rPr>
        <w:t>, NK-cells, monocyte/macrophages, and neutrophils.</w:t>
      </w:r>
    </w:p>
    <w:p w14:paraId="47766223" w14:textId="77777777" w:rsidR="00AB3BE8" w:rsidRPr="002A3533" w:rsidRDefault="00AB3BE8" w:rsidP="00AB3BE8">
      <w:pPr>
        <w:pStyle w:val="EMEANormal"/>
        <w:rPr>
          <w:lang w:val="en-GB"/>
        </w:rPr>
      </w:pPr>
    </w:p>
    <w:p w14:paraId="239FA764" w14:textId="77777777" w:rsidR="00AB3BE8" w:rsidRDefault="00944B8F" w:rsidP="00AB3BE8">
      <w:pPr>
        <w:pStyle w:val="EMEAHeadingUnderline"/>
        <w:spacing w:beforeLines="0" w:afterLines="0"/>
        <w:rPr>
          <w:lang w:val="en-GB"/>
        </w:rPr>
      </w:pPr>
      <w:r w:rsidRPr="002A3533">
        <w:rPr>
          <w:lang w:val="en-GB"/>
        </w:rPr>
        <w:t>Malignancies and lymphoproliferative disorders</w:t>
      </w:r>
    </w:p>
    <w:p w14:paraId="3EE57687" w14:textId="77777777" w:rsidR="00AB3BE8" w:rsidRPr="00FD6AFC" w:rsidRDefault="00AB3BE8" w:rsidP="00AB3BE8">
      <w:pPr>
        <w:pStyle w:val="EMEANormal"/>
        <w:rPr>
          <w:lang w:val="en-GB"/>
        </w:rPr>
      </w:pPr>
    </w:p>
    <w:p w14:paraId="0400F2A9" w14:textId="77777777" w:rsidR="00AB3BE8" w:rsidRPr="002A3533" w:rsidRDefault="00944B8F" w:rsidP="00AB3BE8">
      <w:pPr>
        <w:pStyle w:val="EMEANormal"/>
        <w:rPr>
          <w:lang w:val="en-GB"/>
        </w:rPr>
      </w:pPr>
      <w:r w:rsidRPr="002A3533">
        <w:rPr>
          <w:lang w:val="en-GB"/>
        </w:rPr>
        <w:t>In the controlled portions of clinical trials of TNF-antagonists, more cases of malignancies including lymphoma have been observed among patients receiving a TNF-antagonist compared with control patients. However, the occurrence was rare. In the post marketing setting, cases of</w:t>
      </w:r>
      <w:r>
        <w:rPr>
          <w:lang w:val="en-GB"/>
        </w:rPr>
        <w:t xml:space="preserve"> </w:t>
      </w:r>
      <w:r w:rsidRPr="00106CE6">
        <w:rPr>
          <w:lang w:val="en-GB"/>
        </w:rPr>
        <w:t>leukaemia</w:t>
      </w:r>
      <w:r w:rsidRPr="002A3533">
        <w:rPr>
          <w:lang w:val="en-GB"/>
        </w:rPr>
        <w:t xml:space="preserve"> have been reported in patients treated with a TNF-antagonist. There is an increased background risk for lymphoma </w:t>
      </w:r>
      <w:r w:rsidRPr="002A3533">
        <w:rPr>
          <w:lang w:val="en-GB"/>
        </w:rPr>
        <w:lastRenderedPageBreak/>
        <w:t xml:space="preserve">and </w:t>
      </w:r>
      <w:r w:rsidRPr="00106CE6">
        <w:rPr>
          <w:lang w:val="en-GB"/>
        </w:rPr>
        <w:t>leukaemia</w:t>
      </w:r>
      <w:r>
        <w:rPr>
          <w:lang w:val="en-GB"/>
        </w:rPr>
        <w:t xml:space="preserve"> </w:t>
      </w:r>
      <w:r w:rsidRPr="002A3533">
        <w:rPr>
          <w:lang w:val="en-GB"/>
        </w:rPr>
        <w:t>in rheumatoid arthritis patients with long-standing</w:t>
      </w:r>
      <w:r>
        <w:rPr>
          <w:lang w:val="en-GB"/>
        </w:rPr>
        <w:t>,</w:t>
      </w:r>
      <w:r w:rsidRPr="002A3533">
        <w:rPr>
          <w:lang w:val="en-GB"/>
        </w:rPr>
        <w:t xml:space="preserve"> highly active, inflammatory disease, which complicates the risk estimation. With the current knowledge, a possible risk for the development of lymphomas, </w:t>
      </w:r>
      <w:r w:rsidRPr="00106CE6">
        <w:rPr>
          <w:lang w:val="en-GB"/>
        </w:rPr>
        <w:t>leukaemia</w:t>
      </w:r>
      <w:r w:rsidRPr="002A3533">
        <w:rPr>
          <w:lang w:val="en-GB"/>
        </w:rPr>
        <w:t>, and other malignancies in patients treated with a TNF-antagonist cannot be excluded.</w:t>
      </w:r>
    </w:p>
    <w:p w14:paraId="3369FA2A" w14:textId="77777777" w:rsidR="00AB3BE8" w:rsidRPr="002A3533" w:rsidRDefault="00AB3BE8" w:rsidP="00AB3BE8">
      <w:pPr>
        <w:pStyle w:val="EMEANormal"/>
        <w:rPr>
          <w:lang w:val="en-GB"/>
        </w:rPr>
      </w:pPr>
    </w:p>
    <w:p w14:paraId="03AEDCA7" w14:textId="77777777" w:rsidR="00AB3BE8" w:rsidRPr="002A3533" w:rsidRDefault="00944B8F" w:rsidP="00AB3BE8">
      <w:pPr>
        <w:pStyle w:val="EMEANormal"/>
        <w:rPr>
          <w:lang w:val="en-GB"/>
        </w:rPr>
      </w:pPr>
      <w:r w:rsidRPr="002A3533">
        <w:rPr>
          <w:lang w:val="en-GB"/>
        </w:rPr>
        <w:t xml:space="preserve">Malignancies, some fatal, have been reported among children, adolescents and young adults (up to 22 years of age) treated with TNF-antagonists (initiation of therapy ≤ 18 years of age), including adalimumab in the post marketing setting. Approximately half the cases were lymphomas. The other cases represented a variety of different malignancies and included rare malignancies usually associated with immunosuppression. A risk for the development of malignancies in children and adolescents treated with TNF-antagonists cannot be excluded. </w:t>
      </w:r>
    </w:p>
    <w:p w14:paraId="66539967" w14:textId="77777777" w:rsidR="00AB3BE8" w:rsidRPr="002A3533" w:rsidRDefault="00AB3BE8" w:rsidP="00AB3BE8">
      <w:pPr>
        <w:pStyle w:val="EMEANormal"/>
        <w:rPr>
          <w:lang w:val="en-GB"/>
        </w:rPr>
      </w:pPr>
    </w:p>
    <w:p w14:paraId="3031011A" w14:textId="77777777" w:rsidR="00AB3BE8" w:rsidRPr="002A3533" w:rsidRDefault="00944B8F" w:rsidP="00AB3BE8">
      <w:pPr>
        <w:pStyle w:val="EMEANormal"/>
      </w:pPr>
      <w:r w:rsidRPr="70D4D675">
        <w:rPr>
          <w:lang w:val="en-GB"/>
        </w:rPr>
        <w:t>Rare postmarketing cases of hepatosplenic T-cell lymphoma have been identified in patients treated with adalimumab. This rare type of T-cell lymphoma has a very aggressive disease course and is usually fatal. Some of these hepatosplenic T-cell lymphomas with Humira have occurred in young adult patients on concomitant treatment with azathioprine or 6-mercaptopurine used for inflammatory bowel disease. The potential risk with the combination of azathioprine or 6-mercaptopurine and Humira should be carefully considered. A risk for the development of hepatosplenic T-cell lymphoma in patients treated with Humira cannot be excluded (see section 4.8).</w:t>
      </w:r>
    </w:p>
    <w:p w14:paraId="6303FF83" w14:textId="77777777" w:rsidR="00AB3BE8" w:rsidRPr="002A3533" w:rsidRDefault="00AB3BE8" w:rsidP="00AB3BE8">
      <w:pPr>
        <w:pStyle w:val="EMEANormal"/>
        <w:rPr>
          <w:lang w:val="en-GB"/>
        </w:rPr>
      </w:pPr>
    </w:p>
    <w:p w14:paraId="2B6E1FDB" w14:textId="77777777" w:rsidR="00AB3BE8" w:rsidRPr="002A3533" w:rsidRDefault="00944B8F" w:rsidP="00AB3BE8">
      <w:r w:rsidRPr="002A3533">
        <w:t>No studies have been conducted that include patients with a history of malignancy or in whom treatment with Humira is continued following development of malignancy. Thus</w:t>
      </w:r>
      <w:r w:rsidR="00C22BBE">
        <w:t>,</w:t>
      </w:r>
      <w:r w:rsidRPr="002A3533">
        <w:t xml:space="preserve"> additional caution should be exercised in considering Humira treatment of these patients (see section 4.8).</w:t>
      </w:r>
    </w:p>
    <w:p w14:paraId="3AC8D12D" w14:textId="77777777" w:rsidR="00AB3BE8" w:rsidRPr="002A3533" w:rsidRDefault="00AB3BE8" w:rsidP="00AB3BE8"/>
    <w:p w14:paraId="450D832A" w14:textId="77777777" w:rsidR="00AB3BE8" w:rsidRPr="002A3533" w:rsidRDefault="00944B8F" w:rsidP="00AB3BE8">
      <w:pPr>
        <w:rPr>
          <w:i/>
          <w:u w:val="single"/>
        </w:rPr>
      </w:pPr>
      <w:r w:rsidRPr="002A3533">
        <w:t>All patients, and in particular patients with a medical history of extensive immunosuppressant therapy or psoriasis patients with a history of PUVA treatment should be examined for the presence of non-melanoma skin cancer prior to and during treatment with Humira. Melanoma and Merkel cell carcinoma have also been reported in patients treated with TNF-antagonists including adalimumab (see section 4.8).</w:t>
      </w:r>
    </w:p>
    <w:p w14:paraId="326DB79A" w14:textId="77777777" w:rsidR="00AB3BE8" w:rsidRPr="002A3533" w:rsidRDefault="00AB3BE8" w:rsidP="00AB3BE8">
      <w:pPr>
        <w:rPr>
          <w:i/>
          <w:u w:val="single"/>
        </w:rPr>
      </w:pPr>
    </w:p>
    <w:p w14:paraId="36296484" w14:textId="77777777" w:rsidR="00AB3BE8" w:rsidRPr="002A3533" w:rsidRDefault="00944B8F" w:rsidP="00AB3BE8">
      <w:r w:rsidRPr="002A3533">
        <w:t>In an exploratory clinical trial evaluating the use of another TNF-antagonist, infliximab, in patients with moderate to severe chronic obstructive pulmonary disease (COPD), more malignancies, mostly in the lung or head and neck, were reported in infliximab-treated patients compared with control patients. All patients had a history of heavy smoking. Therefore, caution should be exercised when using any TNF-antagonist in COPD patients, as well as in patients with increased risk for malignancy due to heavy smoking.</w:t>
      </w:r>
    </w:p>
    <w:p w14:paraId="6D01E00F" w14:textId="77777777" w:rsidR="00AB3BE8" w:rsidRPr="002A3533" w:rsidRDefault="00AB3BE8" w:rsidP="00AB3BE8">
      <w:pPr>
        <w:rPr>
          <w:iCs/>
          <w:szCs w:val="22"/>
        </w:rPr>
      </w:pPr>
    </w:p>
    <w:p w14:paraId="7BFDA3EB" w14:textId="77777777" w:rsidR="00AB3BE8" w:rsidRPr="002A3533" w:rsidRDefault="00944B8F" w:rsidP="00AB3BE8">
      <w:r w:rsidRPr="002A3533">
        <w:rPr>
          <w:iCs/>
          <w:szCs w:val="22"/>
        </w:rPr>
        <w:t>With current data it is not known if adalimumab treatment influences the risk for developing dysplasia or colon cancer. All patients with ulcerative colitis who are at increased risk for dysplasia or colon carcinoma (for example, patients with long-standing ulcerative colitis or primary sclerosing cholangitis), or who had a prior history of dysplasia or colon carcinoma should be screened for dysplasia at regular intervals before therapy and throughout their disease course. This evaluation should include colonoscopy and biopsies per local recommendations.</w:t>
      </w:r>
    </w:p>
    <w:p w14:paraId="4C8673F8" w14:textId="77777777" w:rsidR="00AB3BE8" w:rsidRPr="002A3533" w:rsidRDefault="00AB3BE8" w:rsidP="00AB3BE8"/>
    <w:p w14:paraId="5D1BC5D6" w14:textId="77777777" w:rsidR="00AB3BE8" w:rsidRPr="002A3533" w:rsidRDefault="00944B8F" w:rsidP="00AB3BE8">
      <w:pPr>
        <w:pStyle w:val="EMEAHeadingUnderline"/>
        <w:spacing w:beforeLines="0" w:afterLines="0"/>
        <w:rPr>
          <w:szCs w:val="24"/>
          <w:lang w:val="en-GB"/>
        </w:rPr>
      </w:pPr>
      <w:r w:rsidRPr="002A3533">
        <w:rPr>
          <w:szCs w:val="24"/>
          <w:lang w:val="en-GB"/>
        </w:rPr>
        <w:t>Haematologic reactions</w:t>
      </w:r>
    </w:p>
    <w:p w14:paraId="0D818D4B" w14:textId="77777777" w:rsidR="00AB3BE8" w:rsidRPr="002A3533" w:rsidRDefault="00AB3BE8" w:rsidP="00AB3BE8"/>
    <w:p w14:paraId="3E1634F6" w14:textId="77777777" w:rsidR="00AB3BE8" w:rsidRPr="002A3533" w:rsidRDefault="00944B8F" w:rsidP="00AB3BE8">
      <w:r w:rsidRPr="002A3533">
        <w:t xml:space="preserve">Rare reports of </w:t>
      </w:r>
      <w:r w:rsidRPr="00106CE6">
        <w:t>pancytopenia</w:t>
      </w:r>
      <w:r w:rsidRPr="002A3533">
        <w:t xml:space="preserve"> including aplastic anaemia have been reported with TNF-antagonists.  Adverse events of the haematologic system, including medically significant </w:t>
      </w:r>
      <w:r w:rsidRPr="00106CE6">
        <w:t>cytopenia</w:t>
      </w:r>
      <w:r w:rsidRPr="002A3533">
        <w:t xml:space="preserve"> (e.g. </w:t>
      </w:r>
      <w:r w:rsidRPr="00106CE6">
        <w:t>thrombocytopenia</w:t>
      </w:r>
      <w:r w:rsidRPr="002A3533">
        <w:t xml:space="preserve">, </w:t>
      </w:r>
      <w:r w:rsidRPr="00106CE6">
        <w:t>leu</w:t>
      </w:r>
      <w:r>
        <w:t>k</w:t>
      </w:r>
      <w:r w:rsidRPr="00106CE6">
        <w:t>openia</w:t>
      </w:r>
      <w:r w:rsidRPr="002A3533">
        <w:t>) have been reported with Humira. All patients should be advised to seek immediate medical attention if they develop signs and symptoms suggestive of blood dyscrasias (e.g. persistent fever, bruising, bleeding, pallor) while on Humira. Discontinuation of Humira therapy should be considered in patients with confirmed significant haematologic abnormalities.</w:t>
      </w:r>
    </w:p>
    <w:p w14:paraId="74FA9C7A" w14:textId="77777777" w:rsidR="00AB3BE8" w:rsidRPr="002A3533" w:rsidRDefault="00AB3BE8" w:rsidP="00AB3BE8"/>
    <w:p w14:paraId="4D51EFBA" w14:textId="77777777" w:rsidR="00AB3BE8" w:rsidRPr="002A3533" w:rsidRDefault="00944B8F" w:rsidP="00CE7FEF">
      <w:pPr>
        <w:pStyle w:val="EMEAHeadingUnderline"/>
        <w:keepNext/>
        <w:spacing w:beforeLines="0" w:afterLines="0"/>
        <w:rPr>
          <w:szCs w:val="24"/>
          <w:lang w:val="en-GB"/>
        </w:rPr>
      </w:pPr>
      <w:r w:rsidRPr="002A3533">
        <w:rPr>
          <w:szCs w:val="24"/>
          <w:lang w:val="en-GB"/>
        </w:rPr>
        <w:lastRenderedPageBreak/>
        <w:t xml:space="preserve">Vaccinations </w:t>
      </w:r>
    </w:p>
    <w:p w14:paraId="5B6692B4" w14:textId="77777777" w:rsidR="00AB3BE8" w:rsidRPr="002A3533" w:rsidRDefault="00AB3BE8" w:rsidP="00CE7FEF">
      <w:pPr>
        <w:pStyle w:val="EMEANormal"/>
        <w:keepNext/>
        <w:rPr>
          <w:lang w:val="en-GB"/>
        </w:rPr>
      </w:pPr>
    </w:p>
    <w:p w14:paraId="0916DEF5" w14:textId="77777777" w:rsidR="00AB3BE8" w:rsidRPr="002A3533" w:rsidRDefault="00944B8F" w:rsidP="00CE7FEF">
      <w:pPr>
        <w:keepNext/>
        <w:autoSpaceDE w:val="0"/>
        <w:autoSpaceDN w:val="0"/>
        <w:adjustRightInd w:val="0"/>
      </w:pPr>
      <w:r w:rsidRPr="002A3533">
        <w:t xml:space="preserve">Similar antibody responses to the standard 23-valent pneumococcal vaccine and the influenza trivalent virus vaccination were observed in a study in 226 adult subjects with rheumatoid arthritis who were treated with adalimumab or placebo. No data are available on the secondary transmission of infection by live vaccines in patients receiving Humira.  </w:t>
      </w:r>
    </w:p>
    <w:p w14:paraId="4D740F21" w14:textId="77777777" w:rsidR="00AB3BE8" w:rsidRPr="002A3533" w:rsidRDefault="00AB3BE8" w:rsidP="00AB3BE8">
      <w:pPr>
        <w:autoSpaceDE w:val="0"/>
        <w:autoSpaceDN w:val="0"/>
        <w:adjustRightInd w:val="0"/>
      </w:pPr>
    </w:p>
    <w:p w14:paraId="787552AE" w14:textId="77777777" w:rsidR="00AB3BE8" w:rsidRPr="002A3533" w:rsidRDefault="00944B8F" w:rsidP="00AB3BE8">
      <w:pPr>
        <w:autoSpaceDE w:val="0"/>
        <w:autoSpaceDN w:val="0"/>
        <w:adjustRightInd w:val="0"/>
      </w:pPr>
      <w:r w:rsidRPr="002A3533">
        <w:t>It is recommended that paediatric patients, if possible, be brought up to date with all immunisations in agreement with current immunisation guidelines prior to initiating Humira therapy.</w:t>
      </w:r>
    </w:p>
    <w:p w14:paraId="47F1DA6A" w14:textId="77777777" w:rsidR="00AB3BE8" w:rsidRPr="002A3533" w:rsidRDefault="00AB3BE8" w:rsidP="00AB3BE8">
      <w:pPr>
        <w:autoSpaceDE w:val="0"/>
        <w:autoSpaceDN w:val="0"/>
        <w:adjustRightInd w:val="0"/>
      </w:pPr>
    </w:p>
    <w:p w14:paraId="2455026E" w14:textId="77777777" w:rsidR="00AB3BE8" w:rsidRDefault="00944B8F" w:rsidP="00AB3BE8">
      <w:pPr>
        <w:autoSpaceDE w:val="0"/>
        <w:autoSpaceDN w:val="0"/>
        <w:adjustRightInd w:val="0"/>
      </w:pPr>
      <w:r w:rsidRPr="002A3533">
        <w:t xml:space="preserve">Patients on Humira may receive concurrent vaccinations, except for live vaccines. Administration of live vaccines </w:t>
      </w:r>
      <w:r w:rsidR="00051C15">
        <w:t xml:space="preserve">(e.g., BCG vaccine) </w:t>
      </w:r>
      <w:r w:rsidRPr="002A3533">
        <w:t>to infants exposed to adalimumab in utero is not recommended for 5 months following the mother’s last adalimumab injection during pregnancy.</w:t>
      </w:r>
    </w:p>
    <w:p w14:paraId="6C4AFB58" w14:textId="77777777" w:rsidR="00AB3BE8" w:rsidRPr="002A3533" w:rsidRDefault="00AB3BE8" w:rsidP="00AB3BE8">
      <w:pPr>
        <w:autoSpaceDE w:val="0"/>
        <w:autoSpaceDN w:val="0"/>
        <w:adjustRightInd w:val="0"/>
      </w:pPr>
    </w:p>
    <w:p w14:paraId="13994074" w14:textId="77777777" w:rsidR="00AB3BE8" w:rsidRDefault="00944B8F" w:rsidP="00AB3BE8">
      <w:pPr>
        <w:pStyle w:val="EMEAHeadingUnderline"/>
        <w:spacing w:beforeLines="0" w:afterLines="0"/>
        <w:rPr>
          <w:lang w:val="en-GB"/>
        </w:rPr>
      </w:pPr>
      <w:r w:rsidRPr="002A3533">
        <w:rPr>
          <w:lang w:val="en-GB"/>
        </w:rPr>
        <w:t>Congestive heart failure</w:t>
      </w:r>
    </w:p>
    <w:p w14:paraId="794A61C0" w14:textId="77777777" w:rsidR="00AB3BE8" w:rsidRPr="00FD6AFC" w:rsidRDefault="00AB3BE8" w:rsidP="00AB3BE8">
      <w:pPr>
        <w:pStyle w:val="EMEANormal"/>
        <w:rPr>
          <w:lang w:val="en-GB"/>
        </w:rPr>
      </w:pPr>
    </w:p>
    <w:p w14:paraId="35950B1F" w14:textId="77777777" w:rsidR="00AB3BE8" w:rsidRDefault="00944B8F" w:rsidP="00AB3BE8">
      <w:pPr>
        <w:pStyle w:val="EMEANormal"/>
        <w:rPr>
          <w:lang w:val="en-GB"/>
        </w:rPr>
      </w:pPr>
      <w:r w:rsidRPr="002A3533">
        <w:rPr>
          <w:lang w:val="en-GB"/>
        </w:rPr>
        <w:t>In a clinical trial with another TNF-antagonist worsening congestive heart failure and increased mortality due to congestive heart failure have been observed. Cases of worsening congestive heart failure have also been reported in patients receiving Humira. Humira should be used with caution in patients with mild heart failure (NYHA class I/II). Humira is contraindicated in moderate to severe heart failure (see section 4.3). Treatment with Humira must be discontinued in patients who develop new or worsening symptoms of congestive heart failure.</w:t>
      </w:r>
    </w:p>
    <w:p w14:paraId="31D86E38" w14:textId="77777777" w:rsidR="00AB3BE8" w:rsidRPr="002A3533" w:rsidRDefault="00AB3BE8" w:rsidP="00AB3BE8">
      <w:pPr>
        <w:pStyle w:val="EMEANormal"/>
        <w:rPr>
          <w:i/>
          <w:iCs/>
          <w:lang w:val="en-GB"/>
        </w:rPr>
      </w:pPr>
    </w:p>
    <w:p w14:paraId="57091888" w14:textId="77777777" w:rsidR="00AB3BE8" w:rsidRDefault="00944B8F" w:rsidP="00AB3BE8">
      <w:pPr>
        <w:pStyle w:val="EMEAHeadingUnderline"/>
        <w:spacing w:beforeLines="0" w:afterLines="0"/>
        <w:rPr>
          <w:lang w:val="en-GB"/>
        </w:rPr>
      </w:pPr>
      <w:r w:rsidRPr="002A3533">
        <w:rPr>
          <w:lang w:val="en-GB"/>
        </w:rPr>
        <w:t>Autoimmune processes</w:t>
      </w:r>
    </w:p>
    <w:p w14:paraId="12FF1078" w14:textId="77777777" w:rsidR="00AB3BE8" w:rsidRPr="00FD6AFC" w:rsidRDefault="00AB3BE8" w:rsidP="00AB3BE8">
      <w:pPr>
        <w:pStyle w:val="EMEANormal"/>
        <w:rPr>
          <w:lang w:val="en-GB"/>
        </w:rPr>
      </w:pPr>
    </w:p>
    <w:p w14:paraId="5E27971F" w14:textId="77777777" w:rsidR="00AB3BE8" w:rsidRPr="002A3533" w:rsidRDefault="00944B8F" w:rsidP="00AB3BE8">
      <w:pPr>
        <w:rPr>
          <w:szCs w:val="22"/>
        </w:rPr>
      </w:pPr>
      <w:r w:rsidRPr="002A3533">
        <w:t>Treatment with Humira may result in the formation of autoimmune antibodies.</w:t>
      </w:r>
      <w:r w:rsidRPr="002A3533">
        <w:rPr>
          <w:i/>
          <w:iCs/>
        </w:rPr>
        <w:t xml:space="preserve"> </w:t>
      </w:r>
      <w:r w:rsidRPr="002A3533">
        <w:t xml:space="preserve">The impact of long-term treatment with Humira on the development of autoimmune diseases is unknown. </w:t>
      </w:r>
      <w:r w:rsidRPr="002A3533">
        <w:rPr>
          <w:szCs w:val="22"/>
        </w:rPr>
        <w:t>If a patient develops symptoms suggestive of a lupus-like syndrome following treatment with Humira and is positive for antibodies against double-stranded DNA, further treatment with Humira should not be given (see section 4.8).</w:t>
      </w:r>
    </w:p>
    <w:p w14:paraId="2FDD5DB3" w14:textId="77777777" w:rsidR="00AB3BE8" w:rsidRPr="002A3533" w:rsidRDefault="00AB3BE8" w:rsidP="00AB3BE8"/>
    <w:p w14:paraId="5A6062E9" w14:textId="77777777" w:rsidR="00AB3BE8" w:rsidRPr="002A3533" w:rsidRDefault="00944B8F" w:rsidP="00AB3BE8">
      <w:pPr>
        <w:pStyle w:val="EMEAHeadingUnderline"/>
        <w:spacing w:beforeLines="0" w:afterLines="0"/>
        <w:rPr>
          <w:lang w:val="en-GB"/>
        </w:rPr>
      </w:pPr>
      <w:r w:rsidRPr="002A3533">
        <w:rPr>
          <w:lang w:val="en-GB"/>
        </w:rPr>
        <w:t>Concurrent administration of biologic DMARDS or TNF-antagonists</w:t>
      </w:r>
    </w:p>
    <w:p w14:paraId="3EBF580A" w14:textId="77777777" w:rsidR="00AB3BE8" w:rsidRPr="002A3533" w:rsidRDefault="00AB3BE8" w:rsidP="00AB3BE8">
      <w:pPr>
        <w:pStyle w:val="EMEANormal"/>
        <w:rPr>
          <w:lang w:val="en-GB"/>
        </w:rPr>
      </w:pPr>
    </w:p>
    <w:p w14:paraId="4DA157D7" w14:textId="77777777" w:rsidR="00AB3BE8" w:rsidRPr="002A3533" w:rsidRDefault="00944B8F" w:rsidP="00AB3BE8">
      <w:pPr>
        <w:pStyle w:val="EMEANormal"/>
        <w:rPr>
          <w:lang w:val="en-GB"/>
        </w:rPr>
      </w:pPr>
      <w:r w:rsidRPr="002A3533">
        <w:rPr>
          <w:lang w:val="en-GB"/>
        </w:rPr>
        <w:t>Serious infections were seen in clinical studies with concurrent use of anakinra and another TNF</w:t>
      </w:r>
      <w:r w:rsidRPr="002A3533">
        <w:rPr>
          <w:lang w:val="en-GB"/>
        </w:rPr>
        <w:noBreakHyphen/>
        <w:t>antagonist, etanercept, with no added clinical benefit compared to etanercept alone. Because of the nature of the adverse events seen with the combination of etanercept and anakinra therapy, similar toxicities may also result from the combination of anakinra and other TNF-antagonists. Therefore, the combination of adalimumab and anakinra is not recommended. (See section 4.5).</w:t>
      </w:r>
    </w:p>
    <w:p w14:paraId="41B3B5A3" w14:textId="77777777" w:rsidR="00AB3BE8" w:rsidRPr="002A3533" w:rsidRDefault="00AB3BE8" w:rsidP="00AB3BE8">
      <w:pPr>
        <w:pStyle w:val="EMEANormal"/>
        <w:rPr>
          <w:lang w:val="en-GB"/>
        </w:rPr>
      </w:pPr>
    </w:p>
    <w:p w14:paraId="264C0296" w14:textId="77777777" w:rsidR="00AB3BE8" w:rsidRPr="002A3533" w:rsidRDefault="00944B8F" w:rsidP="00AB3BE8">
      <w:pPr>
        <w:pStyle w:val="EMEANormal"/>
        <w:rPr>
          <w:lang w:val="en-GB"/>
        </w:rPr>
      </w:pPr>
      <w:r w:rsidRPr="002A3533">
        <w:rPr>
          <w:lang w:val="en-GB"/>
        </w:rPr>
        <w:t>Concomitant administration of adalimumab with other biologic DMARDS (e.g, anakinra and abatacept) or other TNF-antagonists is not recommended based upon the possible increased risk for infections, including serious infections and other potential pharmacological interactions. (See section 4.5).</w:t>
      </w:r>
    </w:p>
    <w:p w14:paraId="4D0BFC33" w14:textId="77777777" w:rsidR="00AB3BE8" w:rsidRPr="002A3533" w:rsidRDefault="00AB3BE8" w:rsidP="00AB3BE8">
      <w:pPr>
        <w:pStyle w:val="EMEANormal"/>
        <w:rPr>
          <w:lang w:val="en-GB"/>
        </w:rPr>
      </w:pPr>
    </w:p>
    <w:p w14:paraId="5FD703D9" w14:textId="77777777" w:rsidR="00AB3BE8" w:rsidRPr="002A3533" w:rsidRDefault="00944B8F" w:rsidP="00AB3BE8">
      <w:pPr>
        <w:pStyle w:val="EMEAHeadingUnderline"/>
        <w:spacing w:beforeLines="0" w:afterLines="0"/>
        <w:rPr>
          <w:lang w:val="en-GB"/>
        </w:rPr>
      </w:pPr>
      <w:r w:rsidRPr="002A3533">
        <w:rPr>
          <w:lang w:val="en-GB"/>
        </w:rPr>
        <w:t>Surgery</w:t>
      </w:r>
    </w:p>
    <w:p w14:paraId="56BB7512" w14:textId="77777777" w:rsidR="00AB3BE8" w:rsidRPr="002A3533" w:rsidRDefault="00AB3BE8" w:rsidP="00AB3BE8">
      <w:pPr>
        <w:pStyle w:val="EMEANormal"/>
        <w:rPr>
          <w:lang w:val="en-GB"/>
        </w:rPr>
      </w:pPr>
    </w:p>
    <w:p w14:paraId="70871A30" w14:textId="77777777" w:rsidR="00AB3BE8" w:rsidRPr="002A3533" w:rsidRDefault="00944B8F" w:rsidP="00AB3BE8">
      <w:pPr>
        <w:tabs>
          <w:tab w:val="clear" w:pos="562"/>
        </w:tabs>
      </w:pPr>
      <w:r w:rsidRPr="002A3533">
        <w:t xml:space="preserve">There is limited safety experience of surgical procedures in patients treated with Humira. The long half-life of adalimumab should be taken into consideration if a surgical procedure is planned. A patient who requires surgery while on Humira should be closely monitored for infections, and appropriate actions should be taken. There is limited safety experience in patients undergoing arthroplasty while receiving Humira. </w:t>
      </w:r>
    </w:p>
    <w:p w14:paraId="0A049DCD" w14:textId="77777777" w:rsidR="00AB3BE8" w:rsidRPr="002A3533" w:rsidRDefault="00AB3BE8" w:rsidP="00AB3BE8">
      <w:pPr>
        <w:tabs>
          <w:tab w:val="clear" w:pos="562"/>
        </w:tabs>
      </w:pPr>
    </w:p>
    <w:p w14:paraId="6E266669" w14:textId="77777777" w:rsidR="00AB3BE8" w:rsidRPr="002A3533" w:rsidRDefault="00944B8F" w:rsidP="00AB3BE8">
      <w:pPr>
        <w:pStyle w:val="EMEAHeadingUnderline"/>
        <w:keepNext/>
        <w:tabs>
          <w:tab w:val="clear" w:pos="562"/>
        </w:tabs>
        <w:spacing w:beforeLines="0" w:afterLines="0"/>
        <w:rPr>
          <w:szCs w:val="24"/>
          <w:lang w:val="en-GB"/>
        </w:rPr>
      </w:pPr>
      <w:r w:rsidRPr="002A3533">
        <w:rPr>
          <w:szCs w:val="24"/>
          <w:lang w:val="en-GB"/>
        </w:rPr>
        <w:lastRenderedPageBreak/>
        <w:t>Small bowel obstruction</w:t>
      </w:r>
    </w:p>
    <w:p w14:paraId="5233B90A" w14:textId="77777777" w:rsidR="00AB3BE8" w:rsidRPr="002A3533" w:rsidRDefault="00AB3BE8" w:rsidP="00AB3BE8">
      <w:pPr>
        <w:keepNext/>
        <w:tabs>
          <w:tab w:val="clear" w:pos="562"/>
        </w:tabs>
      </w:pPr>
    </w:p>
    <w:p w14:paraId="254E87E1" w14:textId="77777777" w:rsidR="00AB3BE8" w:rsidRPr="002A3533" w:rsidRDefault="00944B8F" w:rsidP="00AB3BE8">
      <w:pPr>
        <w:keepNext/>
        <w:tabs>
          <w:tab w:val="clear" w:pos="562"/>
        </w:tabs>
      </w:pPr>
      <w:r w:rsidRPr="002A3533">
        <w:t>Failure to respond to treatment for Crohn’s disease may indicate the presence of fixed fibrotic stricture that may require surgical treatment. Available data suggest that Humira does not worsen or cause strictures.</w:t>
      </w:r>
    </w:p>
    <w:p w14:paraId="50BF9502" w14:textId="77777777" w:rsidR="00AB3BE8" w:rsidRPr="002A3533" w:rsidRDefault="00AB3BE8" w:rsidP="00AB3BE8">
      <w:pPr>
        <w:tabs>
          <w:tab w:val="clear" w:pos="562"/>
        </w:tabs>
      </w:pPr>
    </w:p>
    <w:p w14:paraId="60C4587F" w14:textId="77777777" w:rsidR="00AB3BE8" w:rsidRPr="00193076" w:rsidRDefault="00944B8F" w:rsidP="00AB3BE8">
      <w:pPr>
        <w:keepNext/>
        <w:tabs>
          <w:tab w:val="clear" w:pos="562"/>
        </w:tabs>
        <w:rPr>
          <w:u w:val="single"/>
        </w:rPr>
      </w:pPr>
      <w:r w:rsidRPr="002A3533">
        <w:rPr>
          <w:u w:val="single"/>
        </w:rPr>
        <w:t>Elderly</w:t>
      </w:r>
    </w:p>
    <w:p w14:paraId="6783FA1E" w14:textId="77777777" w:rsidR="00AB3BE8" w:rsidRPr="00193076" w:rsidRDefault="00AB3BE8" w:rsidP="00AB3BE8">
      <w:pPr>
        <w:keepNext/>
        <w:tabs>
          <w:tab w:val="clear" w:pos="562"/>
        </w:tabs>
      </w:pPr>
    </w:p>
    <w:p w14:paraId="4D1F4603" w14:textId="77777777" w:rsidR="00AB3BE8" w:rsidRPr="002A3533" w:rsidRDefault="00944B8F" w:rsidP="00AB3BE8">
      <w:pPr>
        <w:tabs>
          <w:tab w:val="clear" w:pos="562"/>
        </w:tabs>
      </w:pPr>
      <w:r w:rsidRPr="00A868FE">
        <w:t>The frequency of serious infections among Humira treated subjects over 65 years of age (</w:t>
      </w:r>
      <w:r>
        <w:t>3.7</w:t>
      </w:r>
      <w:r w:rsidRPr="004D066E">
        <w:t>%) was hig</w:t>
      </w:r>
      <w:r w:rsidRPr="002A3533">
        <w:t>her than for those under 65 years of age (</w:t>
      </w:r>
      <w:r>
        <w:t>1.5</w:t>
      </w:r>
      <w:r w:rsidRPr="002A3533">
        <w:t>%). Some of those had a fatal outcome. Particular attention regarding the risk for infection should be paid when treating the elderly.</w:t>
      </w:r>
    </w:p>
    <w:p w14:paraId="43CDB742" w14:textId="77777777" w:rsidR="00AB3BE8" w:rsidRPr="002A3533" w:rsidRDefault="00AB3BE8" w:rsidP="00AB3BE8">
      <w:pPr>
        <w:tabs>
          <w:tab w:val="clear" w:pos="562"/>
        </w:tabs>
      </w:pPr>
    </w:p>
    <w:p w14:paraId="45FC3478" w14:textId="77777777" w:rsidR="00AB3BE8" w:rsidRPr="002A3533" w:rsidRDefault="00944B8F" w:rsidP="00AB3BE8">
      <w:pPr>
        <w:keepNext/>
        <w:tabs>
          <w:tab w:val="clear" w:pos="562"/>
        </w:tabs>
        <w:rPr>
          <w:u w:val="single"/>
        </w:rPr>
      </w:pPr>
      <w:r w:rsidRPr="002A3533">
        <w:rPr>
          <w:u w:val="single"/>
        </w:rPr>
        <w:t>Paediatric population</w:t>
      </w:r>
    </w:p>
    <w:p w14:paraId="7775C318" w14:textId="77777777" w:rsidR="00AB3BE8" w:rsidRPr="002A3533" w:rsidRDefault="00AB3BE8" w:rsidP="00AB3BE8">
      <w:pPr>
        <w:keepNext/>
        <w:tabs>
          <w:tab w:val="clear" w:pos="562"/>
        </w:tabs>
      </w:pPr>
    </w:p>
    <w:p w14:paraId="7BCA784F" w14:textId="77777777" w:rsidR="00AB3BE8" w:rsidRDefault="00944B8F" w:rsidP="00AB3BE8">
      <w:pPr>
        <w:keepNext/>
        <w:tabs>
          <w:tab w:val="clear" w:pos="562"/>
        </w:tabs>
        <w:rPr>
          <w:ins w:id="14" w:author="AbbVie19" w:date="2025-04-16T10:39:00Z"/>
        </w:rPr>
      </w:pPr>
      <w:r w:rsidRPr="002A3533">
        <w:t>See Vaccinations above.</w:t>
      </w:r>
    </w:p>
    <w:p w14:paraId="21767400" w14:textId="77777777" w:rsidR="00AA4A2A" w:rsidRDefault="00AA4A2A" w:rsidP="00AB3BE8">
      <w:pPr>
        <w:keepNext/>
        <w:tabs>
          <w:tab w:val="clear" w:pos="562"/>
        </w:tabs>
        <w:rPr>
          <w:ins w:id="15" w:author="AbbVie19" w:date="2025-04-16T10:39:00Z"/>
        </w:rPr>
      </w:pPr>
    </w:p>
    <w:p w14:paraId="584CDCDF" w14:textId="4283BA05" w:rsidR="00AA4A2A" w:rsidRPr="00B364D7" w:rsidRDefault="00944B8F" w:rsidP="00AA4A2A">
      <w:pPr>
        <w:rPr>
          <w:ins w:id="16" w:author="AbbVie19" w:date="2025-04-16T10:40:00Z"/>
          <w:szCs w:val="22"/>
          <w:u w:val="single"/>
        </w:rPr>
      </w:pPr>
      <w:ins w:id="17" w:author="AbbVie19" w:date="2025-04-16T10:40:00Z">
        <w:r w:rsidRPr="00B364D7">
          <w:rPr>
            <w:szCs w:val="22"/>
            <w:u w:val="single"/>
          </w:rPr>
          <w:t>Excipients with known effect</w:t>
        </w:r>
      </w:ins>
    </w:p>
    <w:p w14:paraId="17C22BAF" w14:textId="77777777" w:rsidR="00AA4A2A" w:rsidRPr="00B364D7" w:rsidRDefault="00AA4A2A" w:rsidP="00AA4A2A">
      <w:pPr>
        <w:rPr>
          <w:ins w:id="18" w:author="AbbVie19" w:date="2025-04-16T10:40:00Z"/>
          <w:szCs w:val="22"/>
          <w:u w:val="single"/>
        </w:rPr>
      </w:pPr>
    </w:p>
    <w:p w14:paraId="0F1295CB" w14:textId="541B1061" w:rsidR="00AA4A2A" w:rsidRPr="00B364D7" w:rsidRDefault="00944B8F" w:rsidP="00AA4A2A">
      <w:pPr>
        <w:numPr>
          <w:ilvl w:val="12"/>
          <w:numId w:val="0"/>
        </w:numPr>
        <w:tabs>
          <w:tab w:val="clear" w:pos="562"/>
        </w:tabs>
        <w:ind w:right="-2"/>
        <w:rPr>
          <w:ins w:id="19" w:author="AbbVie19" w:date="2025-04-16T10:40:00Z"/>
          <w:szCs w:val="22"/>
        </w:rPr>
      </w:pPr>
      <w:ins w:id="20" w:author="AbbVie19" w:date="2025-04-16T10:40:00Z">
        <w:r w:rsidRPr="00B364D7">
          <w:rPr>
            <w:szCs w:val="22"/>
          </w:rPr>
          <w:t>This medicinal product contains</w:t>
        </w:r>
      </w:ins>
      <w:ins w:id="21" w:author="AbbVie19" w:date="2025-05-06T08:50:00Z">
        <w:r w:rsidR="00423C58">
          <w:rPr>
            <w:szCs w:val="22"/>
          </w:rPr>
          <w:t xml:space="preserve"> 0.2</w:t>
        </w:r>
      </w:ins>
      <w:ins w:id="22" w:author="AbbVie19" w:date="2025-04-16T10:40:00Z">
        <w:r w:rsidRPr="00B364D7">
          <w:rPr>
            <w:szCs w:val="22"/>
          </w:rPr>
          <w:t> mg of polysorbate </w:t>
        </w:r>
        <w:r>
          <w:rPr>
            <w:szCs w:val="22"/>
          </w:rPr>
          <w:t>8</w:t>
        </w:r>
        <w:r w:rsidRPr="00B364D7">
          <w:rPr>
            <w:szCs w:val="22"/>
          </w:rPr>
          <w:t xml:space="preserve">0 in each </w:t>
        </w:r>
      </w:ins>
      <w:ins w:id="23" w:author="AbbVie19" w:date="2025-04-17T10:58:00Z">
        <w:r w:rsidR="001A317F">
          <w:rPr>
            <w:szCs w:val="22"/>
          </w:rPr>
          <w:t>20</w:t>
        </w:r>
      </w:ins>
      <w:ins w:id="24" w:author="AbbVie15" w:date="2025-08-27T10:04:00Z">
        <w:r w:rsidR="00762FA7">
          <w:rPr>
            <w:szCs w:val="22"/>
          </w:rPr>
          <w:t> </w:t>
        </w:r>
      </w:ins>
      <w:ins w:id="25" w:author="AbbVie19" w:date="2025-04-17T10:58:00Z">
        <w:r w:rsidR="001A317F">
          <w:rPr>
            <w:szCs w:val="22"/>
          </w:rPr>
          <w:t xml:space="preserve">mg </w:t>
        </w:r>
      </w:ins>
      <w:ins w:id="26" w:author="AbbVie19" w:date="2025-04-17T10:55:00Z">
        <w:r w:rsidR="00347351">
          <w:rPr>
            <w:szCs w:val="22"/>
          </w:rPr>
          <w:t>dose</w:t>
        </w:r>
      </w:ins>
      <w:ins w:id="27" w:author="AbbVie19" w:date="2025-04-16T10:40:00Z">
        <w:r w:rsidRPr="00B364D7">
          <w:rPr>
            <w:szCs w:val="22"/>
          </w:rPr>
          <w:t>.</w:t>
        </w:r>
      </w:ins>
      <w:ins w:id="28" w:author="AbbVie15" w:date="2025-08-27T10:07:00Z">
        <w:r w:rsidR="00762FA7">
          <w:rPr>
            <w:szCs w:val="22"/>
          </w:rPr>
          <w:t xml:space="preserve"> </w:t>
        </w:r>
        <w:r w:rsidR="00762FA7" w:rsidRPr="00762FA7">
          <w:rPr>
            <w:szCs w:val="22"/>
          </w:rPr>
          <w:t>Polysorbates may cause allergic reactions</w:t>
        </w:r>
        <w:r w:rsidR="00762FA7">
          <w:rPr>
            <w:szCs w:val="22"/>
          </w:rPr>
          <w:t>.</w:t>
        </w:r>
      </w:ins>
    </w:p>
    <w:p w14:paraId="1B3EE1DF" w14:textId="77777777" w:rsidR="00AB3BE8" w:rsidRPr="002A3533" w:rsidRDefault="00AB3BE8" w:rsidP="00AB3BE8">
      <w:pPr>
        <w:tabs>
          <w:tab w:val="clear" w:pos="562"/>
        </w:tabs>
      </w:pPr>
    </w:p>
    <w:p w14:paraId="566BDA36" w14:textId="77777777" w:rsidR="00AB3BE8" w:rsidRPr="002A3533" w:rsidRDefault="00944B8F" w:rsidP="00AB3BE8">
      <w:pPr>
        <w:pStyle w:val="EMEAHeading2SPC"/>
        <w:spacing w:beforeLines="0" w:afterLines="0"/>
        <w:rPr>
          <w:rFonts w:ascii="Times New Roman" w:hAnsi="Times New Roman"/>
          <w:lang w:val="en-GB"/>
        </w:rPr>
      </w:pPr>
      <w:r w:rsidRPr="002A3533">
        <w:rPr>
          <w:rFonts w:ascii="Times New Roman" w:hAnsi="Times New Roman"/>
          <w:lang w:val="en-GB"/>
        </w:rPr>
        <w:t>4.5</w:t>
      </w:r>
      <w:r w:rsidRPr="002A3533">
        <w:rPr>
          <w:rFonts w:ascii="Times New Roman" w:hAnsi="Times New Roman"/>
          <w:lang w:val="en-GB"/>
        </w:rPr>
        <w:tab/>
        <w:t xml:space="preserve">Interaction with other medicinal products and other forms of interaction </w:t>
      </w:r>
    </w:p>
    <w:p w14:paraId="029F3E49" w14:textId="77777777" w:rsidR="00AB3BE8" w:rsidRPr="002A3533" w:rsidRDefault="00AB3BE8" w:rsidP="00AB3BE8">
      <w:pPr>
        <w:pStyle w:val="EMEANormal"/>
        <w:rPr>
          <w:lang w:val="en-GB"/>
        </w:rPr>
      </w:pPr>
    </w:p>
    <w:p w14:paraId="322522E1" w14:textId="77777777" w:rsidR="00AB3BE8" w:rsidRPr="002A3533" w:rsidRDefault="00944B8F" w:rsidP="00AB3BE8">
      <w:pPr>
        <w:autoSpaceDE w:val="0"/>
        <w:autoSpaceDN w:val="0"/>
        <w:adjustRightInd w:val="0"/>
      </w:pPr>
      <w:r w:rsidRPr="002A3533">
        <w:t xml:space="preserve">Humira has been studied in rheumatoid arthritis, polyarticular juvenile idiopathic arthritis and psoriatic arthritis patients taking Humira as monotherapy and those taking concomitant methotrexate. Antibody formation was lower when Humira was given together with methotrexate in comparison with use as monotherapy. Administration of Humira without methotrexate resulted in increased formation of antibodies, increased clearance and reduced efficacy of adalimumab (see section 5.1). </w:t>
      </w:r>
    </w:p>
    <w:p w14:paraId="55B7D999" w14:textId="77777777" w:rsidR="00AB3BE8" w:rsidRPr="002A3533" w:rsidRDefault="00AB3BE8" w:rsidP="00AB3BE8">
      <w:pPr>
        <w:autoSpaceDE w:val="0"/>
        <w:autoSpaceDN w:val="0"/>
        <w:adjustRightInd w:val="0"/>
      </w:pPr>
    </w:p>
    <w:p w14:paraId="0923947B" w14:textId="77777777" w:rsidR="00AB3BE8" w:rsidRPr="002A3533" w:rsidRDefault="00944B8F" w:rsidP="00AB3BE8">
      <w:pPr>
        <w:autoSpaceDE w:val="0"/>
        <w:autoSpaceDN w:val="0"/>
        <w:adjustRightInd w:val="0"/>
      </w:pPr>
      <w:r w:rsidRPr="002A3533">
        <w:t xml:space="preserve">The combination of Humira and anakinra is not recommended (see section 4.4 “Concurrent administration of biologic DMARDS or TNF-antagonists”). </w:t>
      </w:r>
    </w:p>
    <w:p w14:paraId="3503FA9E" w14:textId="77777777" w:rsidR="00AB3BE8" w:rsidRPr="002A3533" w:rsidRDefault="00AB3BE8" w:rsidP="00AB3BE8">
      <w:pPr>
        <w:autoSpaceDE w:val="0"/>
        <w:autoSpaceDN w:val="0"/>
        <w:adjustRightInd w:val="0"/>
      </w:pPr>
    </w:p>
    <w:p w14:paraId="74B24142" w14:textId="77777777" w:rsidR="00AB3BE8" w:rsidRPr="002A3533" w:rsidRDefault="00944B8F" w:rsidP="00AB3BE8">
      <w:pPr>
        <w:autoSpaceDE w:val="0"/>
        <w:autoSpaceDN w:val="0"/>
        <w:adjustRightInd w:val="0"/>
      </w:pPr>
      <w:r w:rsidRPr="002A3533">
        <w:t>The combination of Humira and abatacept is not recommended (see section 4.4 “Concurrent administration of biologic DMARDS or TNF-antagonists”).</w:t>
      </w:r>
    </w:p>
    <w:p w14:paraId="757E7437" w14:textId="77777777" w:rsidR="00AB3BE8" w:rsidRPr="002A3533" w:rsidRDefault="00AB3BE8" w:rsidP="00AB3BE8">
      <w:pPr>
        <w:autoSpaceDE w:val="0"/>
        <w:autoSpaceDN w:val="0"/>
        <w:adjustRightInd w:val="0"/>
      </w:pPr>
    </w:p>
    <w:p w14:paraId="0F3D49E9" w14:textId="77777777" w:rsidR="00AB3BE8" w:rsidRPr="002A3533" w:rsidRDefault="00944B8F" w:rsidP="00AB3BE8">
      <w:pPr>
        <w:pStyle w:val="IndexHeading"/>
        <w:autoSpaceDE w:val="0"/>
        <w:autoSpaceDN w:val="0"/>
        <w:adjustRightInd w:val="0"/>
        <w:spacing w:line="240" w:lineRule="auto"/>
        <w:rPr>
          <w:rFonts w:ascii="Times New Roman" w:hAnsi="Times New Roman"/>
          <w:bCs/>
        </w:rPr>
      </w:pPr>
      <w:r w:rsidRPr="002A3533">
        <w:rPr>
          <w:rFonts w:ascii="Times New Roman" w:hAnsi="Times New Roman"/>
          <w:bCs/>
        </w:rPr>
        <w:t>4.6</w:t>
      </w:r>
      <w:r w:rsidRPr="002A3533">
        <w:rPr>
          <w:rFonts w:ascii="Times New Roman" w:hAnsi="Times New Roman"/>
          <w:bCs/>
        </w:rPr>
        <w:tab/>
        <w:t>Fer</w:t>
      </w:r>
      <w:r w:rsidR="00816607">
        <w:rPr>
          <w:rFonts w:ascii="Times New Roman" w:hAnsi="Times New Roman"/>
          <w:bCs/>
        </w:rPr>
        <w:t>tility, pregnancy and lactation</w:t>
      </w:r>
    </w:p>
    <w:p w14:paraId="3D4920B9" w14:textId="77777777" w:rsidR="00AB3BE8" w:rsidRPr="002A3533" w:rsidRDefault="00AB3BE8" w:rsidP="00AB3BE8">
      <w:pPr>
        <w:autoSpaceDE w:val="0"/>
        <w:autoSpaceDN w:val="0"/>
        <w:adjustRightInd w:val="0"/>
      </w:pPr>
    </w:p>
    <w:p w14:paraId="39793213" w14:textId="77777777" w:rsidR="00AB3BE8" w:rsidRPr="002A3533" w:rsidRDefault="00944B8F" w:rsidP="00AB3BE8">
      <w:pPr>
        <w:autoSpaceDE w:val="0"/>
        <w:autoSpaceDN w:val="0"/>
        <w:adjustRightInd w:val="0"/>
        <w:rPr>
          <w:u w:val="single"/>
        </w:rPr>
      </w:pPr>
      <w:r w:rsidRPr="002A3533">
        <w:rPr>
          <w:u w:val="single"/>
        </w:rPr>
        <w:t>Women of childbearing potential</w:t>
      </w:r>
    </w:p>
    <w:p w14:paraId="7982C6B6" w14:textId="77777777" w:rsidR="00AB3BE8" w:rsidRPr="002A3533" w:rsidRDefault="00AB3BE8" w:rsidP="00AB3BE8"/>
    <w:p w14:paraId="290E1CB8" w14:textId="77777777" w:rsidR="00AB3BE8" w:rsidRPr="002A3533" w:rsidRDefault="00944B8F" w:rsidP="00AB3BE8">
      <w:r w:rsidRPr="002A3533">
        <w:t xml:space="preserve">Women of childbearing potential </w:t>
      </w:r>
      <w:r w:rsidR="00051C15">
        <w:t>should consider</w:t>
      </w:r>
      <w:r w:rsidR="00AA6715">
        <w:t xml:space="preserve"> the </w:t>
      </w:r>
      <w:r w:rsidRPr="002A3533">
        <w:t xml:space="preserve">use </w:t>
      </w:r>
      <w:r w:rsidR="00051C15">
        <w:t xml:space="preserve">of </w:t>
      </w:r>
      <w:r w:rsidRPr="002A3533">
        <w:t>adequate contraception to prevent pregnancy and continue its use for at least five months after the last Humira treatment.</w:t>
      </w:r>
    </w:p>
    <w:p w14:paraId="1D708833" w14:textId="77777777" w:rsidR="00AB3BE8" w:rsidRPr="002A3533" w:rsidRDefault="00AB3BE8" w:rsidP="00AB3BE8">
      <w:pPr>
        <w:autoSpaceDE w:val="0"/>
        <w:autoSpaceDN w:val="0"/>
        <w:adjustRightInd w:val="0"/>
        <w:rPr>
          <w:bCs/>
          <w:u w:val="single"/>
        </w:rPr>
      </w:pPr>
    </w:p>
    <w:p w14:paraId="0125DFB4" w14:textId="77777777" w:rsidR="00AB3BE8" w:rsidRPr="002A3533" w:rsidRDefault="00944B8F" w:rsidP="00AB3BE8">
      <w:pPr>
        <w:autoSpaceDE w:val="0"/>
        <w:autoSpaceDN w:val="0"/>
        <w:adjustRightInd w:val="0"/>
        <w:rPr>
          <w:bCs/>
          <w:u w:val="single"/>
        </w:rPr>
      </w:pPr>
      <w:r w:rsidRPr="002A3533">
        <w:rPr>
          <w:bCs/>
          <w:u w:val="single"/>
        </w:rPr>
        <w:t>Pregnancy</w:t>
      </w:r>
    </w:p>
    <w:p w14:paraId="2503A155" w14:textId="77777777" w:rsidR="00AB3BE8" w:rsidRPr="002A3533" w:rsidRDefault="00AB3BE8" w:rsidP="00AB3BE8">
      <w:pPr>
        <w:autoSpaceDE w:val="0"/>
        <w:autoSpaceDN w:val="0"/>
        <w:adjustRightInd w:val="0"/>
        <w:rPr>
          <w:bCs/>
        </w:rPr>
      </w:pPr>
    </w:p>
    <w:p w14:paraId="1751026A" w14:textId="77777777" w:rsidR="00AB3BE8" w:rsidRPr="002A3533" w:rsidRDefault="00944B8F" w:rsidP="00AB3BE8">
      <w:pPr>
        <w:autoSpaceDE w:val="0"/>
        <w:autoSpaceDN w:val="0"/>
        <w:adjustRightInd w:val="0"/>
      </w:pPr>
      <w:r w:rsidRPr="00051C15">
        <w:rPr>
          <w:bCs/>
        </w:rPr>
        <w:t>A large number (approximately 2100) of prospectively collected pregnancies exposed to adalimumab resulting in live birth with known outcomes, including more than 1500 exposed during the first trimester, does not indicate an increase in the rate of malformation in the newborn.</w:t>
      </w:r>
    </w:p>
    <w:p w14:paraId="19D654E5" w14:textId="77777777" w:rsidR="00AB3BE8" w:rsidRPr="002A3533" w:rsidRDefault="00AB3BE8" w:rsidP="00AB3BE8">
      <w:pPr>
        <w:autoSpaceDE w:val="0"/>
        <w:autoSpaceDN w:val="0"/>
        <w:adjustRightInd w:val="0"/>
      </w:pPr>
    </w:p>
    <w:p w14:paraId="4E838FBF" w14:textId="77777777" w:rsidR="00051C15" w:rsidRPr="00B2265A" w:rsidRDefault="00944B8F" w:rsidP="00051C15">
      <w:pPr>
        <w:pStyle w:val="Paragraph"/>
        <w:spacing w:after="0" w:line="240" w:lineRule="auto"/>
        <w:rPr>
          <w:rFonts w:eastAsia="TimesNewRoman"/>
          <w:sz w:val="22"/>
          <w:szCs w:val="22"/>
        </w:rPr>
      </w:pPr>
      <w:r w:rsidRPr="00B2265A">
        <w:rPr>
          <w:rFonts w:eastAsia="TimesNewRoman"/>
          <w:color w:val="000000"/>
          <w:sz w:val="22"/>
          <w:szCs w:val="22"/>
          <w:lang w:eastAsia="en-US"/>
        </w:rPr>
        <w:t xml:space="preserve">In a prospective cohort registry, 257 women with </w:t>
      </w:r>
      <w:r w:rsidRPr="00CF2F82">
        <w:rPr>
          <w:rFonts w:eastAsia="TimesNewRoman"/>
          <w:color w:val="000000"/>
          <w:sz w:val="22"/>
          <w:szCs w:val="22"/>
          <w:lang w:eastAsia="en-US"/>
        </w:rPr>
        <w:t>rheumatoid arthritis (RA) or Crohn’s disease (CD)</w:t>
      </w:r>
      <w:r w:rsidRPr="00B2265A">
        <w:rPr>
          <w:rFonts w:eastAsia="TimesNewRoman"/>
          <w:color w:val="000000"/>
          <w:sz w:val="22"/>
          <w:szCs w:val="22"/>
          <w:lang w:eastAsia="en-US"/>
        </w:rPr>
        <w:t xml:space="preserve"> treated with adalimumab at least during the first trimester and 120 women with RA or CD not treated with adalimumab were enrolled.  The primary endpoint was the birth prevalence of major birth defects. The rate of </w:t>
      </w:r>
      <w:r w:rsidRPr="00B2265A">
        <w:rPr>
          <w:rFonts w:eastAsia="TimesNewRoman"/>
          <w:sz w:val="22"/>
          <w:szCs w:val="22"/>
          <w:lang w:eastAsia="en-US"/>
        </w:rPr>
        <w:t>pregnancies ending with at least one live born infant with a major birth defect</w:t>
      </w:r>
      <w:r w:rsidR="00F67103">
        <w:rPr>
          <w:rFonts w:eastAsia="TimesNewRoman"/>
          <w:sz w:val="22"/>
          <w:szCs w:val="22"/>
          <w:lang w:eastAsia="en-US"/>
        </w:rPr>
        <w:t xml:space="preserve"> was 6/69 (8.7%)</w:t>
      </w:r>
      <w:r w:rsidRPr="00B2265A">
        <w:rPr>
          <w:rFonts w:eastAsia="TimesNewRoman"/>
          <w:sz w:val="22"/>
          <w:szCs w:val="22"/>
          <w:lang w:eastAsia="en-US"/>
        </w:rPr>
        <w:t xml:space="preserve"> </w:t>
      </w:r>
      <w:r w:rsidRPr="00B2265A">
        <w:rPr>
          <w:sz w:val="22"/>
          <w:szCs w:val="22"/>
        </w:rPr>
        <w:t xml:space="preserve">in the adalimumab-treated women with RA </w:t>
      </w:r>
      <w:r w:rsidR="00F67103">
        <w:rPr>
          <w:sz w:val="22"/>
          <w:szCs w:val="22"/>
        </w:rPr>
        <w:t xml:space="preserve">and 5/74 (6.8%) in the untreated women with RA </w:t>
      </w:r>
      <w:r w:rsidRPr="00B2265A">
        <w:rPr>
          <w:sz w:val="22"/>
          <w:szCs w:val="22"/>
        </w:rPr>
        <w:t xml:space="preserve">(unadjusted </w:t>
      </w:r>
      <w:r w:rsidRPr="00B2265A">
        <w:rPr>
          <w:sz w:val="22"/>
          <w:szCs w:val="22"/>
        </w:rPr>
        <w:lastRenderedPageBreak/>
        <w:t xml:space="preserve">OR 1.31, 95% CI 0.38-4.52) and </w:t>
      </w:r>
      <w:r w:rsidR="00F67103">
        <w:rPr>
          <w:sz w:val="22"/>
          <w:szCs w:val="22"/>
        </w:rPr>
        <w:t xml:space="preserve">16/152 (10.5%) in the adalimumab-treated women with </w:t>
      </w:r>
      <w:r w:rsidRPr="00B2265A">
        <w:rPr>
          <w:sz w:val="22"/>
          <w:szCs w:val="22"/>
        </w:rPr>
        <w:t xml:space="preserve">CD </w:t>
      </w:r>
      <w:r w:rsidR="00F67103">
        <w:rPr>
          <w:sz w:val="22"/>
          <w:szCs w:val="22"/>
        </w:rPr>
        <w:t xml:space="preserve">and 3/32 (9.4%) in the untreated women with CD </w:t>
      </w:r>
      <w:r w:rsidRPr="00B2265A">
        <w:rPr>
          <w:sz w:val="22"/>
          <w:szCs w:val="22"/>
        </w:rPr>
        <w:t>(unadjusted OR 1.14, 95% CI 0.31-4.16). The adjusted OR (accounting for baseline differences) was</w:t>
      </w:r>
      <w:r w:rsidRPr="00B2265A">
        <w:rPr>
          <w:sz w:val="22"/>
          <w:szCs w:val="22"/>
          <w:lang w:val="en-GB"/>
        </w:rPr>
        <w:t> 1.10 (95% CI 0.45-2.73)</w:t>
      </w:r>
      <w:r>
        <w:rPr>
          <w:sz w:val="22"/>
          <w:szCs w:val="22"/>
          <w:lang w:val="en-GB"/>
        </w:rPr>
        <w:t xml:space="preserve"> with RA and CD combined</w:t>
      </w:r>
      <w:r>
        <w:rPr>
          <w:rFonts w:eastAsia="TimesNewRoman"/>
          <w:sz w:val="22"/>
          <w:szCs w:val="22"/>
          <w:lang w:eastAsia="en-US"/>
        </w:rPr>
        <w:t xml:space="preserve">. </w:t>
      </w:r>
      <w:r w:rsidRPr="00B2265A">
        <w:rPr>
          <w:rFonts w:eastAsia="TimesNewRoman"/>
          <w:sz w:val="22"/>
          <w:szCs w:val="22"/>
          <w:lang w:eastAsia="en-US"/>
        </w:rPr>
        <w:t xml:space="preserve">There were no distinct differences between </w:t>
      </w:r>
      <w:r w:rsidRPr="00B2265A">
        <w:rPr>
          <w:sz w:val="22"/>
          <w:szCs w:val="22"/>
        </w:rPr>
        <w:t>adalimumab-treated and untreated women</w:t>
      </w:r>
      <w:r>
        <w:rPr>
          <w:sz w:val="22"/>
          <w:szCs w:val="22"/>
        </w:rPr>
        <w:t xml:space="preserve"> </w:t>
      </w:r>
      <w:r w:rsidRPr="00B2265A">
        <w:rPr>
          <w:rFonts w:eastAsia="TimesNewRoman"/>
          <w:sz w:val="22"/>
          <w:szCs w:val="22"/>
          <w:lang w:eastAsia="en-US"/>
        </w:rPr>
        <w:t xml:space="preserve">for the secondary </w:t>
      </w:r>
      <w:r w:rsidRPr="00B2265A">
        <w:rPr>
          <w:rFonts w:eastAsia="TimesNewRoman"/>
          <w:color w:val="000000"/>
          <w:sz w:val="22"/>
          <w:szCs w:val="22"/>
          <w:lang w:eastAsia="en-US"/>
        </w:rPr>
        <w:t xml:space="preserve">endpoints spontaneous abortions, minor birth defects, preterm </w:t>
      </w:r>
      <w:r w:rsidRPr="00B2265A">
        <w:rPr>
          <w:rFonts w:eastAsia="TimesNewRoman"/>
          <w:sz w:val="22"/>
          <w:szCs w:val="22"/>
          <w:lang w:eastAsia="en-US"/>
        </w:rPr>
        <w:t>delivery, birth size and serious or opportunistic infections</w:t>
      </w:r>
      <w:r w:rsidRPr="00B2265A">
        <w:rPr>
          <w:rFonts w:eastAsia="TimesNewRoman"/>
          <w:sz w:val="22"/>
          <w:szCs w:val="22"/>
        </w:rPr>
        <w:t xml:space="preserve"> </w:t>
      </w:r>
      <w:r w:rsidRPr="00B2265A">
        <w:rPr>
          <w:sz w:val="22"/>
          <w:szCs w:val="22"/>
        </w:rPr>
        <w:t xml:space="preserve">and no stillbirths or malignancies were reported. </w:t>
      </w:r>
      <w:r w:rsidRPr="00B2265A">
        <w:rPr>
          <w:rFonts w:eastAsia="TimesNewRoman"/>
          <w:sz w:val="22"/>
          <w:szCs w:val="22"/>
          <w:lang w:eastAsia="en-US"/>
        </w:rPr>
        <w:t>The interpretation of data</w:t>
      </w:r>
      <w:r w:rsidRPr="00B2265A">
        <w:rPr>
          <w:rFonts w:eastAsia="TimesNewRoman"/>
          <w:sz w:val="22"/>
          <w:szCs w:val="22"/>
        </w:rPr>
        <w:t xml:space="preserve"> </w:t>
      </w:r>
      <w:r w:rsidRPr="00B2265A">
        <w:rPr>
          <w:sz w:val="22"/>
          <w:szCs w:val="22"/>
          <w:lang w:val="en-GB"/>
        </w:rPr>
        <w:t xml:space="preserve">may be impacted due to methodological limitations of the </w:t>
      </w:r>
      <w:r w:rsidR="00F67103">
        <w:rPr>
          <w:sz w:val="22"/>
          <w:szCs w:val="22"/>
          <w:lang w:val="en-GB"/>
        </w:rPr>
        <w:t>study</w:t>
      </w:r>
      <w:r w:rsidRPr="00B2265A">
        <w:rPr>
          <w:sz w:val="22"/>
          <w:szCs w:val="22"/>
          <w:lang w:val="en-GB"/>
        </w:rPr>
        <w:t>, including small sample size and non-randomized design</w:t>
      </w:r>
      <w:r>
        <w:rPr>
          <w:sz w:val="22"/>
          <w:szCs w:val="22"/>
          <w:lang w:val="en-GB"/>
        </w:rPr>
        <w:t>.</w:t>
      </w:r>
    </w:p>
    <w:p w14:paraId="282E7D93" w14:textId="77777777" w:rsidR="00051C15" w:rsidRDefault="00051C15" w:rsidP="00AB3BE8">
      <w:pPr>
        <w:autoSpaceDE w:val="0"/>
        <w:autoSpaceDN w:val="0"/>
        <w:adjustRightInd w:val="0"/>
      </w:pPr>
    </w:p>
    <w:p w14:paraId="1A9430D8" w14:textId="77777777" w:rsidR="00AB3BE8" w:rsidRPr="002A3533" w:rsidRDefault="00944B8F" w:rsidP="00AB3BE8">
      <w:pPr>
        <w:autoSpaceDE w:val="0"/>
        <w:autoSpaceDN w:val="0"/>
        <w:adjustRightInd w:val="0"/>
      </w:pPr>
      <w:r w:rsidRPr="002A3533">
        <w:t>In a developmental toxicity study conducted in monkeys, there was no indication of maternal toxicity, embryotoxicity or teratogenicity. Preclinical data on postnatal toxicity of adalimumab are not available (see section 5.3).</w:t>
      </w:r>
    </w:p>
    <w:p w14:paraId="42228A09" w14:textId="77777777" w:rsidR="00AB3BE8" w:rsidRPr="002A3533" w:rsidRDefault="00AB3BE8" w:rsidP="00AB3BE8">
      <w:pPr>
        <w:autoSpaceDE w:val="0"/>
        <w:autoSpaceDN w:val="0"/>
        <w:adjustRightInd w:val="0"/>
      </w:pPr>
    </w:p>
    <w:p w14:paraId="4216649E" w14:textId="77777777" w:rsidR="00AB3BE8" w:rsidRPr="00193076" w:rsidRDefault="00944B8F" w:rsidP="00AB3BE8">
      <w:pPr>
        <w:autoSpaceDE w:val="0"/>
        <w:autoSpaceDN w:val="0"/>
        <w:adjustRightInd w:val="0"/>
      </w:pPr>
      <w:r w:rsidRPr="002A3533">
        <w:t>Due to its inhibition of TNF</w:t>
      </w:r>
      <w:r w:rsidRPr="00E95E17">
        <w:rPr>
          <w:rFonts w:ascii="Symbol" w:eastAsia="Symbol" w:hAnsi="Symbol" w:cs="Symbol"/>
          <w:szCs w:val="22"/>
        </w:rPr>
        <w:sym w:font="Symbol" w:char="F061"/>
      </w:r>
      <w:r w:rsidRPr="00E95E17">
        <w:t xml:space="preserve">, adalimumab administered during pregnancy could affect normal immune responses in the newborn. </w:t>
      </w:r>
      <w:r w:rsidR="00F77DA1" w:rsidRPr="00F77DA1">
        <w:rPr>
          <w:bCs/>
          <w:iCs/>
          <w:szCs w:val="22"/>
        </w:rPr>
        <w:t xml:space="preserve"> </w:t>
      </w:r>
      <w:r w:rsidR="00F77DA1" w:rsidRPr="00B2265A">
        <w:rPr>
          <w:bCs/>
          <w:iCs/>
          <w:szCs w:val="22"/>
        </w:rPr>
        <w:t>Adalimumab should only be used during pregnancy if clearly needed.</w:t>
      </w:r>
    </w:p>
    <w:p w14:paraId="701EEA12" w14:textId="77777777" w:rsidR="00AB3BE8" w:rsidRPr="00193076" w:rsidRDefault="00AB3BE8" w:rsidP="00AB3BE8"/>
    <w:p w14:paraId="6D06AB39" w14:textId="77777777" w:rsidR="00AB3BE8" w:rsidRPr="00A868FE" w:rsidRDefault="00944B8F" w:rsidP="00AB3BE8">
      <w:pPr>
        <w:autoSpaceDE w:val="0"/>
        <w:autoSpaceDN w:val="0"/>
        <w:adjustRightInd w:val="0"/>
      </w:pPr>
      <w:r w:rsidRPr="00193076">
        <w:rPr>
          <w:bCs/>
        </w:rPr>
        <w:t>A</w:t>
      </w:r>
      <w:r w:rsidRPr="00193076">
        <w:rPr>
          <w:szCs w:val="22"/>
          <w:lang w:eastAsia="en-GB"/>
        </w:rPr>
        <w:t xml:space="preserve">dalimumab may cross the placenta into the serum of infants born to women treated with adalimumab during pregnancy. Consequently, these infants may be at increased risk for infection. Administration of live vaccines </w:t>
      </w:r>
      <w:r w:rsidR="00F77DA1">
        <w:rPr>
          <w:szCs w:val="22"/>
          <w:lang w:eastAsia="en-GB"/>
        </w:rPr>
        <w:t xml:space="preserve">(e.g., BCG vaccine) </w:t>
      </w:r>
      <w:r w:rsidRPr="00193076">
        <w:rPr>
          <w:szCs w:val="22"/>
          <w:lang w:eastAsia="en-GB"/>
        </w:rPr>
        <w:t>to infant</w:t>
      </w:r>
      <w:r w:rsidRPr="00A868FE">
        <w:rPr>
          <w:szCs w:val="22"/>
          <w:lang w:eastAsia="en-GB"/>
        </w:rPr>
        <w:t>s exposed to adalimumab in utero is not recommended for 5 months following the mother’s last adalimumab injection during pregnancy.</w:t>
      </w:r>
    </w:p>
    <w:p w14:paraId="33E39F1F" w14:textId="77777777" w:rsidR="00AB3BE8" w:rsidRPr="004D066E" w:rsidRDefault="00AB3BE8" w:rsidP="00AB3BE8">
      <w:pPr>
        <w:autoSpaceDE w:val="0"/>
        <w:autoSpaceDN w:val="0"/>
        <w:adjustRightInd w:val="0"/>
      </w:pPr>
    </w:p>
    <w:p w14:paraId="3E5C3404" w14:textId="77777777" w:rsidR="00AB3BE8" w:rsidRPr="002A3533" w:rsidRDefault="00944B8F" w:rsidP="00AB3BE8">
      <w:pPr>
        <w:keepNext/>
        <w:rPr>
          <w:u w:val="single"/>
        </w:rPr>
      </w:pPr>
      <w:r w:rsidRPr="002A3533">
        <w:rPr>
          <w:u w:val="single"/>
        </w:rPr>
        <w:t>Breast</w:t>
      </w:r>
      <w:r w:rsidR="00367800">
        <w:rPr>
          <w:u w:val="single"/>
        </w:rPr>
        <w:t>-</w:t>
      </w:r>
      <w:r w:rsidRPr="002A3533">
        <w:rPr>
          <w:u w:val="single"/>
        </w:rPr>
        <w:t>feeding</w:t>
      </w:r>
    </w:p>
    <w:p w14:paraId="7244496D" w14:textId="77777777" w:rsidR="00AB3BE8" w:rsidRPr="002A3533" w:rsidRDefault="00AB3BE8" w:rsidP="00AB3BE8">
      <w:pPr>
        <w:keepNext/>
      </w:pPr>
    </w:p>
    <w:p w14:paraId="40C1E1D8" w14:textId="77777777" w:rsidR="00AB3BE8" w:rsidRPr="002A3533" w:rsidRDefault="00944B8F" w:rsidP="003428AA">
      <w:pPr>
        <w:rPr>
          <w:szCs w:val="22"/>
        </w:rPr>
      </w:pPr>
      <w:r w:rsidRPr="00B2265A">
        <w:rPr>
          <w:szCs w:val="22"/>
        </w:rPr>
        <w:t>Limited information from the published literature indicates that adalimumab is excreted in breast milk at very low concentrations with the presence of adalimumab in human milk at concentrations of 0.1% to 1% of the maternal serum level. Given orally, immunoglobulin G proteins undergo intestinal proteolysis and have poor bioavailability. No effects on the breastfed newborns/infants are anticipated. Consequently, Humira can be used during breastfeeding.</w:t>
      </w:r>
    </w:p>
    <w:p w14:paraId="6901F010" w14:textId="77777777" w:rsidR="00AB3BE8" w:rsidRPr="002A3533" w:rsidRDefault="00AB3BE8" w:rsidP="00AB3BE8"/>
    <w:p w14:paraId="0A63726D" w14:textId="77777777" w:rsidR="00AB3BE8" w:rsidRPr="002A3533" w:rsidRDefault="00944B8F" w:rsidP="00AB3BE8">
      <w:pPr>
        <w:rPr>
          <w:u w:val="single"/>
        </w:rPr>
      </w:pPr>
      <w:r w:rsidRPr="002A3533">
        <w:rPr>
          <w:u w:val="single"/>
        </w:rPr>
        <w:t>Fertility</w:t>
      </w:r>
    </w:p>
    <w:p w14:paraId="2429868F" w14:textId="77777777" w:rsidR="00AB3BE8" w:rsidRPr="002A3533" w:rsidRDefault="00AB3BE8" w:rsidP="00AB3BE8">
      <w:pPr>
        <w:rPr>
          <w:u w:val="single"/>
        </w:rPr>
      </w:pPr>
    </w:p>
    <w:p w14:paraId="681BCFF3" w14:textId="77777777" w:rsidR="00AB3BE8" w:rsidRPr="002A3533" w:rsidRDefault="00944B8F" w:rsidP="00AB3BE8">
      <w:r w:rsidRPr="002A3533">
        <w:t>Preclinical data on fertility effects of adalimumab are not available.</w:t>
      </w:r>
    </w:p>
    <w:p w14:paraId="0E05795E" w14:textId="77777777" w:rsidR="00AB3BE8" w:rsidRPr="002A3533" w:rsidRDefault="00AB3BE8" w:rsidP="00AB3BE8"/>
    <w:p w14:paraId="030DC7B2" w14:textId="77777777" w:rsidR="00AB3BE8" w:rsidRPr="002A3533" w:rsidRDefault="00944B8F" w:rsidP="00AB3BE8">
      <w:pPr>
        <w:pStyle w:val="EMEAHeading2SPC"/>
        <w:keepNext/>
        <w:spacing w:beforeLines="0" w:afterLines="0"/>
        <w:rPr>
          <w:rFonts w:ascii="Times New Roman" w:hAnsi="Times New Roman"/>
          <w:lang w:val="en-GB"/>
        </w:rPr>
      </w:pPr>
      <w:r w:rsidRPr="002A3533">
        <w:rPr>
          <w:rFonts w:ascii="Times New Roman" w:hAnsi="Times New Roman"/>
          <w:lang w:val="en-GB"/>
        </w:rPr>
        <w:t>4.7</w:t>
      </w:r>
      <w:r w:rsidRPr="002A3533">
        <w:rPr>
          <w:rFonts w:ascii="Times New Roman" w:hAnsi="Times New Roman"/>
          <w:lang w:val="en-GB"/>
        </w:rPr>
        <w:tab/>
        <w:t xml:space="preserve">Effects on ability to drive and use machines </w:t>
      </w:r>
    </w:p>
    <w:p w14:paraId="42B2A226" w14:textId="77777777" w:rsidR="00AB3BE8" w:rsidRPr="002A3533" w:rsidRDefault="00AB3BE8" w:rsidP="00AB3BE8">
      <w:pPr>
        <w:pStyle w:val="EMEANormal"/>
        <w:keepNext/>
        <w:rPr>
          <w:lang w:val="en-GB"/>
        </w:rPr>
      </w:pPr>
    </w:p>
    <w:p w14:paraId="5A036545" w14:textId="77777777" w:rsidR="00AB3BE8" w:rsidRPr="002A3533" w:rsidRDefault="00944B8F" w:rsidP="00AB3BE8">
      <w:pPr>
        <w:keepNext/>
        <w:tabs>
          <w:tab w:val="clear" w:pos="562"/>
        </w:tabs>
      </w:pPr>
      <w:r w:rsidRPr="002A3533">
        <w:t>Humira may have a minor influence on the ability to drive and use machines. Vertigo and visual impairment may occur following administration of Humira (see section 4.8).</w:t>
      </w:r>
    </w:p>
    <w:p w14:paraId="4F50F443" w14:textId="77777777" w:rsidR="00AB3BE8" w:rsidRPr="002A3533" w:rsidRDefault="00AB3BE8" w:rsidP="00AB3BE8">
      <w:pPr>
        <w:keepNext/>
        <w:tabs>
          <w:tab w:val="clear" w:pos="562"/>
        </w:tabs>
      </w:pPr>
    </w:p>
    <w:p w14:paraId="6FB79344" w14:textId="77777777" w:rsidR="00AB3BE8" w:rsidRPr="002A3533" w:rsidRDefault="00944B8F" w:rsidP="00AB3BE8">
      <w:pPr>
        <w:pStyle w:val="EMEAHeading2SPC"/>
        <w:spacing w:beforeLines="0" w:afterLines="0"/>
        <w:rPr>
          <w:rFonts w:ascii="Times New Roman" w:hAnsi="Times New Roman"/>
          <w:lang w:val="en-GB"/>
        </w:rPr>
      </w:pPr>
      <w:r w:rsidRPr="002A3533">
        <w:rPr>
          <w:rFonts w:ascii="Times New Roman" w:hAnsi="Times New Roman"/>
          <w:lang w:val="en-GB"/>
        </w:rPr>
        <w:t>4.8</w:t>
      </w:r>
      <w:r w:rsidRPr="002A3533">
        <w:rPr>
          <w:rFonts w:ascii="Times New Roman" w:hAnsi="Times New Roman"/>
          <w:lang w:val="en-GB"/>
        </w:rPr>
        <w:tab/>
        <w:t>Undesirable effects</w:t>
      </w:r>
    </w:p>
    <w:p w14:paraId="70998B3D" w14:textId="77777777" w:rsidR="00AB3BE8" w:rsidRPr="002A3533" w:rsidRDefault="00AB3BE8" w:rsidP="00AB3BE8">
      <w:pPr>
        <w:pStyle w:val="EMEANormal"/>
        <w:rPr>
          <w:lang w:val="en-GB"/>
        </w:rPr>
      </w:pPr>
    </w:p>
    <w:p w14:paraId="4D7FA6F5" w14:textId="77777777" w:rsidR="00AB3BE8" w:rsidRPr="002A3533" w:rsidRDefault="00944B8F" w:rsidP="00AB3BE8">
      <w:pPr>
        <w:autoSpaceDE w:val="0"/>
        <w:autoSpaceDN w:val="0"/>
        <w:adjustRightInd w:val="0"/>
        <w:rPr>
          <w:u w:val="single"/>
        </w:rPr>
      </w:pPr>
      <w:r w:rsidRPr="002A3533">
        <w:rPr>
          <w:u w:val="single"/>
        </w:rPr>
        <w:t>Summary of the safety profile</w:t>
      </w:r>
    </w:p>
    <w:p w14:paraId="3534F253" w14:textId="77777777" w:rsidR="00AB3BE8" w:rsidRPr="002A3533" w:rsidRDefault="00AB3BE8" w:rsidP="00AB3BE8">
      <w:pPr>
        <w:autoSpaceDE w:val="0"/>
        <w:autoSpaceDN w:val="0"/>
        <w:adjustRightInd w:val="0"/>
        <w:rPr>
          <w:u w:val="single"/>
        </w:rPr>
      </w:pPr>
    </w:p>
    <w:p w14:paraId="4B413484" w14:textId="77777777" w:rsidR="00AB3BE8" w:rsidRPr="002A3533" w:rsidRDefault="00944B8F" w:rsidP="00AB3BE8">
      <w:pPr>
        <w:autoSpaceDE w:val="0"/>
        <w:autoSpaceDN w:val="0"/>
        <w:adjustRightInd w:val="0"/>
      </w:pPr>
      <w:r w:rsidRPr="002A3533">
        <w:t xml:space="preserve">Humira was studied in </w:t>
      </w:r>
      <w:r>
        <w:t>9,506</w:t>
      </w:r>
      <w:r w:rsidRPr="002A3533">
        <w:t xml:space="preserve"> patients in pivotal controlled and open label trials for up to 60</w:t>
      </w:r>
      <w:r w:rsidR="00BD5686">
        <w:t> </w:t>
      </w:r>
      <w:r w:rsidRPr="002A3533">
        <w:t>months or more. These trials included rheumatoid arthritis patients with short term and long standing disease, juvenile idiopathic arthritis (polyarticular juvenile idiopathic arthritis and enthesitis-related arthritis) as well as axial spondyloarthritis (ankylosing spondylitis and axial spondyloarthritis without radiographic evidence of AS), psoriatic arthritis, Crohn’s disease, ulcerative colitis, psoriasis</w:t>
      </w:r>
      <w:r>
        <w:t>,</w:t>
      </w:r>
      <w:r w:rsidRPr="002A3533">
        <w:t xml:space="preserve"> hidradenitis suppurativa </w:t>
      </w:r>
      <w:r>
        <w:t xml:space="preserve">and uveitis </w:t>
      </w:r>
      <w:r w:rsidRPr="002A3533">
        <w:t xml:space="preserve">patients. The pivotal controlled studies involved </w:t>
      </w:r>
      <w:r>
        <w:t>6,089</w:t>
      </w:r>
      <w:r w:rsidRPr="002A3533">
        <w:t xml:space="preserve"> patients receiving Humira and </w:t>
      </w:r>
      <w:r>
        <w:t>3,801</w:t>
      </w:r>
      <w:r w:rsidRPr="002A3533">
        <w:t xml:space="preserve"> patients receiving placebo or active comparator during the controlled period.</w:t>
      </w:r>
    </w:p>
    <w:p w14:paraId="1F88880B" w14:textId="77777777" w:rsidR="00AB3BE8" w:rsidRPr="002A3533" w:rsidRDefault="00AB3BE8" w:rsidP="00AB3BE8">
      <w:pPr>
        <w:autoSpaceDE w:val="0"/>
        <w:autoSpaceDN w:val="0"/>
        <w:adjustRightInd w:val="0"/>
      </w:pPr>
    </w:p>
    <w:p w14:paraId="53D7CA8A" w14:textId="77777777" w:rsidR="00AB3BE8" w:rsidRPr="002A3533" w:rsidRDefault="00944B8F" w:rsidP="00AB3BE8">
      <w:pPr>
        <w:autoSpaceDE w:val="0"/>
        <w:autoSpaceDN w:val="0"/>
        <w:adjustRightInd w:val="0"/>
      </w:pPr>
      <w:r w:rsidRPr="002A3533">
        <w:t xml:space="preserve">The proportion of patients who discontinued treatment due to adverse events during the double-blind, controlled portion of pivotal studies was </w:t>
      </w:r>
      <w:r>
        <w:t>5.9</w:t>
      </w:r>
      <w:r w:rsidRPr="002A3533">
        <w:t>% for patients taking Humira and 5.4% for control treated patients.</w:t>
      </w:r>
    </w:p>
    <w:p w14:paraId="1881E0FC" w14:textId="77777777" w:rsidR="00AB3BE8" w:rsidRPr="002A3533" w:rsidRDefault="00AB3BE8" w:rsidP="00AB3BE8">
      <w:pPr>
        <w:autoSpaceDE w:val="0"/>
        <w:autoSpaceDN w:val="0"/>
        <w:adjustRightInd w:val="0"/>
      </w:pPr>
    </w:p>
    <w:p w14:paraId="49A0D6A6" w14:textId="77777777" w:rsidR="00AB3BE8" w:rsidRPr="002A3533" w:rsidRDefault="00944B8F" w:rsidP="00AB3BE8">
      <w:pPr>
        <w:autoSpaceDE w:val="0"/>
        <w:autoSpaceDN w:val="0"/>
        <w:adjustRightInd w:val="0"/>
      </w:pPr>
      <w:r w:rsidRPr="002A3533">
        <w:lastRenderedPageBreak/>
        <w:t>The most commonly reported adverse reactions are infections (such as nasopharyngitis, upper respiratory tract infection and sinusitis), injection site reactions (erythema, itching, haemorrhage, pain or swelling), headache and musculoskeletal pain.</w:t>
      </w:r>
    </w:p>
    <w:p w14:paraId="3A577380" w14:textId="77777777" w:rsidR="00AB3BE8" w:rsidRPr="002A3533" w:rsidRDefault="00AB3BE8" w:rsidP="00AB3BE8">
      <w:pPr>
        <w:autoSpaceDE w:val="0"/>
        <w:autoSpaceDN w:val="0"/>
        <w:adjustRightInd w:val="0"/>
      </w:pPr>
    </w:p>
    <w:p w14:paraId="47F6BD22" w14:textId="77777777" w:rsidR="00AB3BE8" w:rsidRPr="002A3533" w:rsidRDefault="00944B8F" w:rsidP="00AB3BE8">
      <w:pPr>
        <w:autoSpaceDE w:val="0"/>
        <w:autoSpaceDN w:val="0"/>
        <w:adjustRightInd w:val="0"/>
      </w:pPr>
      <w:r w:rsidRPr="002A3533">
        <w:t xml:space="preserve">Serious adverse reactions have been reported for Humira. TNF-antagonists, such as Humira affect the immune system and their use may affect the body’s </w:t>
      </w:r>
      <w:r>
        <w:t>defence</w:t>
      </w:r>
      <w:r w:rsidRPr="002A3533">
        <w:t xml:space="preserve"> against infection and cancer.</w:t>
      </w:r>
    </w:p>
    <w:p w14:paraId="5FC28DB4" w14:textId="77777777" w:rsidR="00AB3BE8" w:rsidRPr="002A3533" w:rsidRDefault="00944B8F" w:rsidP="00AB3BE8">
      <w:pPr>
        <w:autoSpaceDE w:val="0"/>
        <w:autoSpaceDN w:val="0"/>
        <w:adjustRightInd w:val="0"/>
      </w:pPr>
      <w:r w:rsidRPr="002A3533">
        <w:t>Fatal and life-threatening infections (including sepsis, opportunistic infections and TB), HBV reactivation and various malignancies (including leukaemia, lymphoma and HSTCL) have also been reported with use of Humira.</w:t>
      </w:r>
    </w:p>
    <w:p w14:paraId="45C30FC0" w14:textId="77777777" w:rsidR="00AB3BE8" w:rsidRPr="002A3533" w:rsidRDefault="00AB3BE8" w:rsidP="00AB3BE8">
      <w:pPr>
        <w:autoSpaceDE w:val="0"/>
        <w:autoSpaceDN w:val="0"/>
        <w:adjustRightInd w:val="0"/>
      </w:pPr>
    </w:p>
    <w:p w14:paraId="67401F06" w14:textId="77777777" w:rsidR="00AB3BE8" w:rsidRPr="002A3533" w:rsidRDefault="00944B8F" w:rsidP="00AB3BE8">
      <w:pPr>
        <w:autoSpaceDE w:val="0"/>
        <w:autoSpaceDN w:val="0"/>
        <w:adjustRightInd w:val="0"/>
      </w:pPr>
      <w:r w:rsidRPr="002A3533">
        <w:t>Serious haematological, neurological and autoimmune reactions have also been reported. These include rare reports of pancytopenia, aplastic anaemia, central and peripheral demyelinating events and reports of lupus, lupus-related conditions and Stevens-Johnson syndrome.</w:t>
      </w:r>
    </w:p>
    <w:p w14:paraId="21F32710" w14:textId="77777777" w:rsidR="00AB3BE8" w:rsidRPr="002A3533" w:rsidRDefault="00AB3BE8" w:rsidP="00AB3BE8">
      <w:pPr>
        <w:autoSpaceDE w:val="0"/>
        <w:autoSpaceDN w:val="0"/>
        <w:adjustRightInd w:val="0"/>
      </w:pPr>
    </w:p>
    <w:p w14:paraId="082E4A49" w14:textId="77777777" w:rsidR="00AB3BE8" w:rsidRPr="002A3533" w:rsidRDefault="00944B8F" w:rsidP="00AB3BE8">
      <w:pPr>
        <w:autoSpaceDE w:val="0"/>
        <w:autoSpaceDN w:val="0"/>
        <w:adjustRightInd w:val="0"/>
        <w:rPr>
          <w:b/>
          <w:u w:val="single"/>
        </w:rPr>
      </w:pPr>
      <w:r w:rsidRPr="002A3533">
        <w:rPr>
          <w:u w:val="single"/>
        </w:rPr>
        <w:t>Paediatric population</w:t>
      </w:r>
    </w:p>
    <w:p w14:paraId="72E49235" w14:textId="77777777" w:rsidR="00AB3BE8" w:rsidRPr="002A3533" w:rsidRDefault="00AB3BE8" w:rsidP="00AB3BE8">
      <w:pPr>
        <w:autoSpaceDE w:val="0"/>
        <w:autoSpaceDN w:val="0"/>
        <w:adjustRightInd w:val="0"/>
      </w:pPr>
    </w:p>
    <w:p w14:paraId="45C9E43A" w14:textId="77777777" w:rsidR="00AB3BE8" w:rsidRPr="002A3533" w:rsidRDefault="00944B8F" w:rsidP="00AB3BE8">
      <w:pPr>
        <w:autoSpaceDE w:val="0"/>
        <w:autoSpaceDN w:val="0"/>
        <w:adjustRightInd w:val="0"/>
      </w:pPr>
      <w:r w:rsidRPr="002A3533">
        <w:t>In general, the adverse events in paediatric patients were similar in frequency and type to those seen in adult patients.</w:t>
      </w:r>
    </w:p>
    <w:p w14:paraId="6D457157" w14:textId="77777777" w:rsidR="00AB3BE8" w:rsidRPr="002A3533" w:rsidRDefault="00AB3BE8" w:rsidP="00AB3BE8">
      <w:pPr>
        <w:autoSpaceDE w:val="0"/>
        <w:autoSpaceDN w:val="0"/>
        <w:adjustRightInd w:val="0"/>
      </w:pPr>
    </w:p>
    <w:p w14:paraId="1C1A0281" w14:textId="77777777" w:rsidR="00AB3BE8" w:rsidRPr="002A3533" w:rsidRDefault="00944B8F" w:rsidP="00AB3BE8">
      <w:pPr>
        <w:keepNext/>
        <w:tabs>
          <w:tab w:val="clear" w:pos="562"/>
        </w:tabs>
        <w:rPr>
          <w:u w:val="single"/>
        </w:rPr>
      </w:pPr>
      <w:r w:rsidRPr="002A3533">
        <w:rPr>
          <w:u w:val="single"/>
        </w:rPr>
        <w:t>Tabulated list of adverse reactions</w:t>
      </w:r>
    </w:p>
    <w:p w14:paraId="2CDED7EB" w14:textId="77777777" w:rsidR="00AB3BE8" w:rsidRPr="002A3533" w:rsidRDefault="00AB3BE8" w:rsidP="00AB3BE8">
      <w:pPr>
        <w:keepNext/>
        <w:tabs>
          <w:tab w:val="clear" w:pos="562"/>
        </w:tabs>
      </w:pPr>
    </w:p>
    <w:p w14:paraId="7C0E3007" w14:textId="77777777" w:rsidR="00AB3BE8" w:rsidRPr="00A868FE" w:rsidRDefault="00944B8F" w:rsidP="00AB3BE8">
      <w:pPr>
        <w:keepNext/>
        <w:tabs>
          <w:tab w:val="clear" w:pos="562"/>
        </w:tabs>
        <w:suppressAutoHyphens w:val="0"/>
        <w:autoSpaceDE w:val="0"/>
        <w:autoSpaceDN w:val="0"/>
        <w:adjustRightInd w:val="0"/>
      </w:pPr>
      <w:r w:rsidRPr="002A3533">
        <w:t xml:space="preserve">The following list of adverse reactions is based on experience from clinical trials and on postmarketing experience and are displayed by system organ class and frequency in Table </w:t>
      </w:r>
      <w:r>
        <w:t>6</w:t>
      </w:r>
      <w:r w:rsidRPr="002A3533">
        <w:t xml:space="preserve"> below: very common (</w:t>
      </w:r>
      <w:r w:rsidRPr="00E95E17">
        <w:rPr>
          <w:rFonts w:ascii="Symbol" w:eastAsia="Symbol" w:hAnsi="Symbol" w:cs="Symbol"/>
          <w:szCs w:val="22"/>
        </w:rPr>
        <w:sym w:font="Symbol" w:char="F0B3"/>
      </w:r>
      <w:r w:rsidRPr="00E95E17">
        <w:t> 1/10</w:t>
      </w:r>
      <w:r w:rsidRPr="00193076">
        <w:t>); common (</w:t>
      </w:r>
      <w:r w:rsidRPr="00E95E17">
        <w:rPr>
          <w:rFonts w:ascii="Symbol" w:eastAsia="Symbol" w:hAnsi="Symbol" w:cs="Symbol"/>
          <w:szCs w:val="22"/>
        </w:rPr>
        <w:sym w:font="Symbol" w:char="F0B3"/>
      </w:r>
      <w:r w:rsidRPr="00E95E17">
        <w:t> 1/100 to</w:t>
      </w:r>
      <w:r w:rsidRPr="00193076">
        <w:t> &lt; 1/10); uncommon (</w:t>
      </w:r>
      <w:r w:rsidRPr="00E95E17">
        <w:rPr>
          <w:rFonts w:ascii="Symbol" w:eastAsia="Symbol" w:hAnsi="Symbol" w:cs="Symbol"/>
          <w:szCs w:val="22"/>
        </w:rPr>
        <w:sym w:font="Symbol" w:char="F0B3"/>
      </w:r>
      <w:r w:rsidRPr="00E95E17">
        <w:t> 1/1,000 to</w:t>
      </w:r>
      <w:r w:rsidRPr="00193076">
        <w:t> &lt; 1/100); rare (</w:t>
      </w:r>
      <w:r w:rsidRPr="00E95E17">
        <w:rPr>
          <w:rFonts w:ascii="Symbol" w:eastAsia="Symbol" w:hAnsi="Symbol" w:cs="Symbol"/>
          <w:szCs w:val="22"/>
        </w:rPr>
        <w:sym w:font="Symbol" w:char="F0B3"/>
      </w:r>
      <w:r w:rsidRPr="00E95E17">
        <w:t> 1/10,000 to</w:t>
      </w:r>
      <w:r w:rsidRPr="00193076">
        <w:t xml:space="preserve"> &lt; 1/1,000); </w:t>
      </w:r>
      <w:r w:rsidRPr="00193076">
        <w:rPr>
          <w:iCs/>
          <w:szCs w:val="22"/>
        </w:rPr>
        <w:t xml:space="preserve">and not known </w:t>
      </w:r>
      <w:r w:rsidRPr="00A868FE">
        <w:rPr>
          <w:iCs/>
          <w:szCs w:val="22"/>
        </w:rPr>
        <w:t>(cannot be estimated from the available data)</w:t>
      </w:r>
      <w:r w:rsidRPr="00A868FE">
        <w:t>. Within each frequency grouping, undesirable effects are presented in order of decreasing seriousness. The highest frequency seen among the various indications has been included. An asterisk (*) appears in the SOC column if further information is found elsewhere in sections 4.3, 4.4 and 4.8.</w:t>
      </w:r>
    </w:p>
    <w:p w14:paraId="47557EB1" w14:textId="77777777" w:rsidR="00AB3BE8" w:rsidRPr="004D066E" w:rsidRDefault="00AB3BE8" w:rsidP="00AB3BE8">
      <w:pPr>
        <w:tabs>
          <w:tab w:val="clear" w:pos="562"/>
        </w:tabs>
      </w:pPr>
    </w:p>
    <w:p w14:paraId="35EA39C6" w14:textId="77777777" w:rsidR="00AB3BE8" w:rsidRPr="002A3533" w:rsidRDefault="00944B8F" w:rsidP="00AB3BE8">
      <w:pPr>
        <w:keepNext/>
        <w:jc w:val="center"/>
        <w:rPr>
          <w:b/>
        </w:rPr>
      </w:pPr>
      <w:r w:rsidRPr="004D066E">
        <w:rPr>
          <w:b/>
        </w:rPr>
        <w:t xml:space="preserve">Table </w:t>
      </w:r>
      <w:r>
        <w:rPr>
          <w:b/>
        </w:rPr>
        <w:t>6</w:t>
      </w:r>
    </w:p>
    <w:p w14:paraId="75B722DD" w14:textId="77777777" w:rsidR="00AB3BE8" w:rsidRPr="002A3533" w:rsidRDefault="00944B8F" w:rsidP="00AB3BE8">
      <w:pPr>
        <w:keepNext/>
        <w:jc w:val="center"/>
        <w:rPr>
          <w:b/>
        </w:rPr>
      </w:pPr>
      <w:r w:rsidRPr="002A3533">
        <w:rPr>
          <w:b/>
        </w:rPr>
        <w:t>Undesirable Effects</w:t>
      </w:r>
    </w:p>
    <w:p w14:paraId="0DC1727F" w14:textId="77777777" w:rsidR="00AB3BE8" w:rsidRPr="002A3533" w:rsidRDefault="00AB3BE8" w:rsidP="00AB3BE8">
      <w:pPr>
        <w:keepNext/>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2074"/>
        <w:gridCol w:w="4575"/>
      </w:tblGrid>
      <w:tr w:rsidR="00C6578C" w14:paraId="29EAFA6F" w14:textId="77777777" w:rsidTr="00A6206B">
        <w:trPr>
          <w:tblHeader/>
        </w:trPr>
        <w:tc>
          <w:tcPr>
            <w:tcW w:w="2600" w:type="dxa"/>
          </w:tcPr>
          <w:p w14:paraId="51522F81" w14:textId="77777777" w:rsidR="00AB3BE8" w:rsidRPr="002A3533" w:rsidRDefault="00944B8F" w:rsidP="00A6206B">
            <w:pPr>
              <w:keepNext/>
              <w:widowControl w:val="0"/>
              <w:spacing w:before="120" w:after="120"/>
              <w:jc w:val="center"/>
              <w:rPr>
                <w:b/>
              </w:rPr>
            </w:pPr>
            <w:r w:rsidRPr="002A3533">
              <w:rPr>
                <w:b/>
                <w:bCs/>
              </w:rPr>
              <w:t>System Organ Class</w:t>
            </w:r>
          </w:p>
        </w:tc>
        <w:tc>
          <w:tcPr>
            <w:tcW w:w="2074" w:type="dxa"/>
            <w:tcBorders>
              <w:bottom w:val="single" w:sz="4" w:space="0" w:color="auto"/>
            </w:tcBorders>
          </w:tcPr>
          <w:p w14:paraId="58F538A3" w14:textId="77777777" w:rsidR="00AB3BE8" w:rsidRPr="002A3533" w:rsidRDefault="00944B8F" w:rsidP="00A6206B">
            <w:pPr>
              <w:keepNext/>
              <w:widowControl w:val="0"/>
              <w:spacing w:before="120" w:after="120"/>
              <w:jc w:val="center"/>
              <w:rPr>
                <w:b/>
              </w:rPr>
            </w:pPr>
            <w:r w:rsidRPr="002A3533">
              <w:rPr>
                <w:b/>
                <w:bCs/>
              </w:rPr>
              <w:t>Frequency</w:t>
            </w:r>
          </w:p>
        </w:tc>
        <w:tc>
          <w:tcPr>
            <w:tcW w:w="4575" w:type="dxa"/>
            <w:tcBorders>
              <w:bottom w:val="single" w:sz="4" w:space="0" w:color="auto"/>
            </w:tcBorders>
          </w:tcPr>
          <w:p w14:paraId="528A97B6" w14:textId="77777777" w:rsidR="00AB3BE8" w:rsidRPr="002A3533" w:rsidRDefault="00944B8F" w:rsidP="00A6206B">
            <w:pPr>
              <w:keepNext/>
              <w:widowControl w:val="0"/>
              <w:spacing w:before="120" w:after="120"/>
              <w:jc w:val="center"/>
              <w:rPr>
                <w:b/>
              </w:rPr>
            </w:pPr>
            <w:r w:rsidRPr="002A3533">
              <w:rPr>
                <w:b/>
                <w:bCs/>
              </w:rPr>
              <w:t>Adverse Reaction</w:t>
            </w:r>
          </w:p>
        </w:tc>
      </w:tr>
      <w:tr w:rsidR="00C6578C" w14:paraId="6F645916" w14:textId="77777777" w:rsidTr="00A6206B">
        <w:tc>
          <w:tcPr>
            <w:tcW w:w="2600" w:type="dxa"/>
            <w:vMerge w:val="restart"/>
          </w:tcPr>
          <w:p w14:paraId="36963B95" w14:textId="77777777" w:rsidR="00AB3BE8" w:rsidRPr="002A3533" w:rsidRDefault="00944B8F" w:rsidP="00A6206B">
            <w:pPr>
              <w:pStyle w:val="EMEANormal"/>
              <w:widowControl w:val="0"/>
              <w:spacing w:before="60"/>
              <w:rPr>
                <w:lang w:val="en-GB"/>
              </w:rPr>
            </w:pPr>
            <w:r w:rsidRPr="002A3533">
              <w:rPr>
                <w:lang w:val="en-GB"/>
              </w:rPr>
              <w:t>Infections and infestations*</w:t>
            </w:r>
          </w:p>
          <w:p w14:paraId="3C789301" w14:textId="77777777" w:rsidR="00AB3BE8" w:rsidRPr="002A3533" w:rsidRDefault="00AB3BE8" w:rsidP="00A6206B">
            <w:pPr>
              <w:widowControl w:val="0"/>
              <w:spacing w:before="60"/>
              <w:jc w:val="center"/>
            </w:pPr>
          </w:p>
        </w:tc>
        <w:tc>
          <w:tcPr>
            <w:tcW w:w="2074" w:type="dxa"/>
            <w:tcBorders>
              <w:bottom w:val="single" w:sz="4" w:space="0" w:color="auto"/>
            </w:tcBorders>
          </w:tcPr>
          <w:p w14:paraId="78AC58F6" w14:textId="77777777" w:rsidR="00AB3BE8" w:rsidRPr="002A3533" w:rsidRDefault="00944B8F" w:rsidP="00A6206B">
            <w:pPr>
              <w:pStyle w:val="EMEANormal"/>
              <w:widowControl w:val="0"/>
              <w:spacing w:before="60"/>
              <w:rPr>
                <w:lang w:val="en-GB"/>
              </w:rPr>
            </w:pPr>
            <w:r w:rsidRPr="002A3533">
              <w:rPr>
                <w:lang w:val="en-GB"/>
              </w:rPr>
              <w:t>Very common</w:t>
            </w:r>
          </w:p>
        </w:tc>
        <w:tc>
          <w:tcPr>
            <w:tcW w:w="4575" w:type="dxa"/>
            <w:tcBorders>
              <w:bottom w:val="single" w:sz="4" w:space="0" w:color="auto"/>
            </w:tcBorders>
          </w:tcPr>
          <w:p w14:paraId="06DDE023" w14:textId="77777777" w:rsidR="00AB3BE8" w:rsidRPr="002A3533" w:rsidRDefault="00944B8F" w:rsidP="00A6206B">
            <w:pPr>
              <w:pStyle w:val="EMEANormal"/>
              <w:widowControl w:val="0"/>
              <w:spacing w:before="60"/>
              <w:rPr>
                <w:lang w:val="en-GB"/>
              </w:rPr>
            </w:pPr>
            <w:r>
              <w:rPr>
                <w:lang w:val="en-GB"/>
              </w:rPr>
              <w:t>R</w:t>
            </w:r>
            <w:r w:rsidRPr="002A3533">
              <w:rPr>
                <w:lang w:val="en-GB"/>
              </w:rPr>
              <w:t xml:space="preserve">espiratory tract infections </w:t>
            </w:r>
            <w:r w:rsidRPr="002A3533">
              <w:t>(including lower and upper respiratory tract infection, pneumonia, sinusitis, pharyngitis, nasopharyngitis and pneumonia herpes viral)</w:t>
            </w:r>
          </w:p>
          <w:p w14:paraId="08EC617B" w14:textId="77777777" w:rsidR="00AB3BE8" w:rsidRPr="002A3533" w:rsidRDefault="00AB3BE8" w:rsidP="00A6206B">
            <w:pPr>
              <w:pStyle w:val="EMEANormal"/>
              <w:widowControl w:val="0"/>
              <w:spacing w:before="60"/>
              <w:rPr>
                <w:lang w:val="en-GB"/>
              </w:rPr>
            </w:pPr>
          </w:p>
        </w:tc>
      </w:tr>
      <w:tr w:rsidR="00C6578C" w14:paraId="2716D694" w14:textId="77777777" w:rsidTr="00A6206B">
        <w:tc>
          <w:tcPr>
            <w:tcW w:w="2600" w:type="dxa"/>
            <w:vMerge/>
          </w:tcPr>
          <w:p w14:paraId="77BAA40A" w14:textId="77777777" w:rsidR="00AB3BE8" w:rsidRPr="002A3533" w:rsidRDefault="00AB3BE8" w:rsidP="00A6206B">
            <w:pPr>
              <w:widowControl w:val="0"/>
              <w:spacing w:before="60"/>
              <w:jc w:val="center"/>
              <w:rPr>
                <w:b/>
              </w:rPr>
            </w:pPr>
          </w:p>
        </w:tc>
        <w:tc>
          <w:tcPr>
            <w:tcW w:w="2074" w:type="dxa"/>
            <w:tcBorders>
              <w:top w:val="single" w:sz="4" w:space="0" w:color="auto"/>
              <w:bottom w:val="single" w:sz="4" w:space="0" w:color="auto"/>
            </w:tcBorders>
          </w:tcPr>
          <w:p w14:paraId="4E3407FF" w14:textId="77777777" w:rsidR="00AB3BE8" w:rsidRPr="002A3533" w:rsidRDefault="00944B8F" w:rsidP="00A6206B">
            <w:pPr>
              <w:pStyle w:val="EMEANormal"/>
              <w:widowControl w:val="0"/>
              <w:spacing w:before="60"/>
              <w:rPr>
                <w:lang w:val="en-GB"/>
              </w:rPr>
            </w:pPr>
            <w:r w:rsidRPr="002A3533">
              <w:rPr>
                <w:lang w:val="en-GB"/>
              </w:rPr>
              <w:t>Common</w:t>
            </w:r>
          </w:p>
          <w:p w14:paraId="3D239EEC" w14:textId="77777777" w:rsidR="00AB3BE8" w:rsidRPr="002A3533" w:rsidRDefault="00AB3BE8" w:rsidP="00A6206B">
            <w:pPr>
              <w:pStyle w:val="EMEANormal"/>
              <w:widowControl w:val="0"/>
              <w:spacing w:before="60"/>
              <w:rPr>
                <w:lang w:val="en-GB"/>
              </w:rPr>
            </w:pPr>
          </w:p>
        </w:tc>
        <w:tc>
          <w:tcPr>
            <w:tcW w:w="4575" w:type="dxa"/>
            <w:tcBorders>
              <w:top w:val="single" w:sz="4" w:space="0" w:color="auto"/>
              <w:bottom w:val="single" w:sz="4" w:space="0" w:color="auto"/>
            </w:tcBorders>
          </w:tcPr>
          <w:p w14:paraId="1A94A30C" w14:textId="77777777" w:rsidR="00AB3BE8" w:rsidRPr="002A3533" w:rsidRDefault="00944B8F" w:rsidP="00A6206B">
            <w:pPr>
              <w:widowControl w:val="0"/>
              <w:tabs>
                <w:tab w:val="clear" w:pos="562"/>
              </w:tabs>
              <w:rPr>
                <w:sz w:val="24"/>
                <w:szCs w:val="20"/>
              </w:rPr>
            </w:pPr>
            <w:r>
              <w:rPr>
                <w:szCs w:val="22"/>
              </w:rPr>
              <w:t>S</w:t>
            </w:r>
            <w:r w:rsidRPr="002A3533">
              <w:rPr>
                <w:szCs w:val="22"/>
              </w:rPr>
              <w:t xml:space="preserve">ystemic infections </w:t>
            </w:r>
            <w:r w:rsidRPr="002A3533">
              <w:t>(including sepsis, candidiasis and influenza)</w:t>
            </w:r>
            <w:r w:rsidRPr="002A3533">
              <w:rPr>
                <w:szCs w:val="22"/>
              </w:rPr>
              <w:t>,</w:t>
            </w:r>
          </w:p>
          <w:p w14:paraId="533FB8A2" w14:textId="77777777" w:rsidR="00AB3BE8" w:rsidRPr="002A3533" w:rsidRDefault="00944B8F" w:rsidP="00A6206B">
            <w:pPr>
              <w:widowControl w:val="0"/>
              <w:tabs>
                <w:tab w:val="clear" w:pos="562"/>
              </w:tabs>
            </w:pPr>
            <w:r w:rsidRPr="002A3533">
              <w:rPr>
                <w:szCs w:val="22"/>
              </w:rPr>
              <w:t xml:space="preserve">intestinal infections </w:t>
            </w:r>
            <w:r w:rsidRPr="002A3533">
              <w:t>(including gastroenteritis viral)</w:t>
            </w:r>
            <w:r w:rsidRPr="002A3533">
              <w:rPr>
                <w:szCs w:val="22"/>
              </w:rPr>
              <w:t>,</w:t>
            </w:r>
          </w:p>
          <w:p w14:paraId="4E9AFE4F" w14:textId="77777777" w:rsidR="00AB3BE8" w:rsidRPr="002A3533" w:rsidRDefault="00944B8F" w:rsidP="00A6206B">
            <w:pPr>
              <w:widowControl w:val="0"/>
              <w:tabs>
                <w:tab w:val="clear" w:pos="562"/>
              </w:tabs>
            </w:pPr>
            <w:r w:rsidRPr="002A3533">
              <w:t>skin and soft tissue infections (including paronychia, cellulitis, impetigo, necrotising fasciitis and herpes zoster),</w:t>
            </w:r>
          </w:p>
          <w:p w14:paraId="2B1B0646" w14:textId="77777777" w:rsidR="00AB3BE8" w:rsidRPr="002A3533" w:rsidRDefault="00944B8F" w:rsidP="00A6206B">
            <w:pPr>
              <w:widowControl w:val="0"/>
              <w:tabs>
                <w:tab w:val="clear" w:pos="562"/>
              </w:tabs>
            </w:pPr>
            <w:r w:rsidRPr="002A3533">
              <w:rPr>
                <w:szCs w:val="22"/>
              </w:rPr>
              <w:t>ear infections,</w:t>
            </w:r>
          </w:p>
          <w:p w14:paraId="46CC82A5" w14:textId="77777777" w:rsidR="00AB3BE8" w:rsidRPr="002A3533" w:rsidRDefault="00944B8F" w:rsidP="00A6206B">
            <w:pPr>
              <w:widowControl w:val="0"/>
              <w:tabs>
                <w:tab w:val="clear" w:pos="562"/>
              </w:tabs>
            </w:pPr>
            <w:r w:rsidRPr="002A3533">
              <w:rPr>
                <w:szCs w:val="22"/>
              </w:rPr>
              <w:t xml:space="preserve">oral infections </w:t>
            </w:r>
            <w:r w:rsidRPr="002A3533">
              <w:t>(including herpes simplex, oral herpes and tooth infections)</w:t>
            </w:r>
            <w:r w:rsidRPr="002A3533">
              <w:rPr>
                <w:szCs w:val="22"/>
              </w:rPr>
              <w:t xml:space="preserve">, </w:t>
            </w:r>
          </w:p>
          <w:p w14:paraId="2EBCDE44" w14:textId="77777777" w:rsidR="00AB3BE8" w:rsidRPr="002A3533" w:rsidRDefault="00944B8F" w:rsidP="00A6206B">
            <w:pPr>
              <w:widowControl w:val="0"/>
              <w:tabs>
                <w:tab w:val="clear" w:pos="562"/>
              </w:tabs>
            </w:pPr>
            <w:r w:rsidRPr="002A3533">
              <w:rPr>
                <w:szCs w:val="22"/>
              </w:rPr>
              <w:t xml:space="preserve">reproductive tract infections </w:t>
            </w:r>
            <w:r w:rsidRPr="002A3533">
              <w:t>(including vulvovaginal mycotic infection)</w:t>
            </w:r>
            <w:r w:rsidRPr="002A3533">
              <w:rPr>
                <w:szCs w:val="22"/>
              </w:rPr>
              <w:t xml:space="preserve">, </w:t>
            </w:r>
          </w:p>
          <w:p w14:paraId="1EA7A6E1" w14:textId="77777777" w:rsidR="00AB3BE8" w:rsidRPr="002A3533" w:rsidRDefault="00944B8F" w:rsidP="00A6206B">
            <w:pPr>
              <w:pStyle w:val="EMEANormal"/>
              <w:widowControl w:val="0"/>
              <w:spacing w:before="60"/>
              <w:rPr>
                <w:lang w:val="en-GB"/>
              </w:rPr>
            </w:pPr>
            <w:r w:rsidRPr="002A3533">
              <w:rPr>
                <w:lang w:val="en-GB"/>
              </w:rPr>
              <w:t xml:space="preserve">urinary tract infections </w:t>
            </w:r>
            <w:r w:rsidRPr="002A3533">
              <w:t xml:space="preserve">(including </w:t>
            </w:r>
            <w:r w:rsidRPr="002A3533">
              <w:lastRenderedPageBreak/>
              <w:t>pyelonephritis)</w:t>
            </w:r>
            <w:r w:rsidRPr="002A3533">
              <w:rPr>
                <w:lang w:val="en-GB"/>
              </w:rPr>
              <w:t>,</w:t>
            </w:r>
          </w:p>
          <w:p w14:paraId="20B9C6DA" w14:textId="77777777" w:rsidR="00AB3BE8" w:rsidRPr="002A3533" w:rsidRDefault="00944B8F" w:rsidP="00A6206B">
            <w:pPr>
              <w:pStyle w:val="EMEANormal"/>
              <w:widowControl w:val="0"/>
              <w:spacing w:before="60"/>
              <w:rPr>
                <w:lang w:val="en-GB"/>
              </w:rPr>
            </w:pPr>
            <w:r w:rsidRPr="002A3533">
              <w:rPr>
                <w:lang w:val="en-GB"/>
              </w:rPr>
              <w:t>fungal infections,</w:t>
            </w:r>
          </w:p>
          <w:p w14:paraId="120E6D1E" w14:textId="77777777" w:rsidR="00AB3BE8" w:rsidRPr="002A3533" w:rsidRDefault="00944B8F" w:rsidP="00A6206B">
            <w:pPr>
              <w:pStyle w:val="EMEANormal"/>
              <w:widowControl w:val="0"/>
              <w:spacing w:before="60"/>
              <w:rPr>
                <w:lang w:val="en-GB"/>
              </w:rPr>
            </w:pPr>
            <w:r w:rsidRPr="002A3533">
              <w:rPr>
                <w:lang w:val="en-GB"/>
              </w:rPr>
              <w:t>joint infections</w:t>
            </w:r>
          </w:p>
          <w:p w14:paraId="4E7CDC28" w14:textId="77777777" w:rsidR="00AB3BE8" w:rsidRPr="002A3533" w:rsidRDefault="00AB3BE8" w:rsidP="00A6206B">
            <w:pPr>
              <w:pStyle w:val="EMEANormal"/>
              <w:widowControl w:val="0"/>
              <w:spacing w:before="60"/>
              <w:rPr>
                <w:lang w:val="en-GB"/>
              </w:rPr>
            </w:pPr>
          </w:p>
        </w:tc>
      </w:tr>
      <w:tr w:rsidR="00C6578C" w14:paraId="38857F4B" w14:textId="77777777" w:rsidTr="00A6206B">
        <w:tc>
          <w:tcPr>
            <w:tcW w:w="2600" w:type="dxa"/>
            <w:vMerge/>
          </w:tcPr>
          <w:p w14:paraId="3232C2C2" w14:textId="77777777" w:rsidR="00AB3BE8" w:rsidRPr="002A3533" w:rsidRDefault="00AB3BE8" w:rsidP="00A6206B">
            <w:pPr>
              <w:widowControl w:val="0"/>
              <w:spacing w:before="60"/>
              <w:jc w:val="center"/>
              <w:rPr>
                <w:b/>
              </w:rPr>
            </w:pPr>
          </w:p>
        </w:tc>
        <w:tc>
          <w:tcPr>
            <w:tcW w:w="2074" w:type="dxa"/>
            <w:tcBorders>
              <w:top w:val="single" w:sz="4" w:space="0" w:color="auto"/>
              <w:bottom w:val="single" w:sz="4" w:space="0" w:color="auto"/>
            </w:tcBorders>
          </w:tcPr>
          <w:p w14:paraId="606661E5" w14:textId="77777777" w:rsidR="00AB3BE8" w:rsidRPr="002A3533" w:rsidRDefault="00944B8F" w:rsidP="00A6206B">
            <w:pPr>
              <w:pStyle w:val="EMEANormal"/>
              <w:widowControl w:val="0"/>
              <w:rPr>
                <w:lang w:val="en-GB"/>
              </w:rPr>
            </w:pPr>
            <w:r w:rsidRPr="002A3533">
              <w:rPr>
                <w:lang w:val="en-GB"/>
              </w:rPr>
              <w:t>Uncommon</w:t>
            </w:r>
          </w:p>
          <w:p w14:paraId="52C66ABA" w14:textId="77777777" w:rsidR="00AB3BE8" w:rsidRPr="002A3533" w:rsidRDefault="00AB3BE8" w:rsidP="00A6206B">
            <w:pPr>
              <w:pStyle w:val="EMEANormal"/>
              <w:widowControl w:val="0"/>
              <w:rPr>
                <w:lang w:val="en-GB"/>
              </w:rPr>
            </w:pPr>
          </w:p>
        </w:tc>
        <w:tc>
          <w:tcPr>
            <w:tcW w:w="4575" w:type="dxa"/>
            <w:tcBorders>
              <w:top w:val="single" w:sz="4" w:space="0" w:color="auto"/>
              <w:bottom w:val="single" w:sz="4" w:space="0" w:color="auto"/>
            </w:tcBorders>
          </w:tcPr>
          <w:p w14:paraId="20F947ED" w14:textId="77777777" w:rsidR="00AB3BE8" w:rsidRPr="002A3533" w:rsidRDefault="00944B8F" w:rsidP="00A6206B">
            <w:pPr>
              <w:pStyle w:val="EMEANormal"/>
              <w:widowControl w:val="0"/>
              <w:rPr>
                <w:lang w:val="en-GB"/>
              </w:rPr>
            </w:pPr>
            <w:r>
              <w:t>N</w:t>
            </w:r>
            <w:r w:rsidRPr="002A3533">
              <w:t>eurological infections (including viral meningitis),</w:t>
            </w:r>
          </w:p>
          <w:p w14:paraId="16490739" w14:textId="77777777" w:rsidR="00AB3BE8" w:rsidRPr="002A3533" w:rsidRDefault="00944B8F" w:rsidP="00A6206B">
            <w:pPr>
              <w:pStyle w:val="EMEANormal"/>
              <w:widowControl w:val="0"/>
              <w:rPr>
                <w:lang w:val="en-GB"/>
              </w:rPr>
            </w:pPr>
            <w:r w:rsidRPr="002A3533">
              <w:rPr>
                <w:lang w:val="en-GB"/>
              </w:rPr>
              <w:t xml:space="preserve">opportunistic infections and tuberculosis (including coccidioidomycosis, histoplasmosis and mycobacterium avium complex infection), </w:t>
            </w:r>
          </w:p>
          <w:p w14:paraId="0AA6CB0F" w14:textId="77777777" w:rsidR="00AB3BE8" w:rsidRPr="002A3533" w:rsidRDefault="00944B8F" w:rsidP="00A6206B">
            <w:pPr>
              <w:pStyle w:val="EMEANormal"/>
              <w:widowControl w:val="0"/>
            </w:pPr>
            <w:r w:rsidRPr="002A3533">
              <w:t>bacterial infections,</w:t>
            </w:r>
          </w:p>
          <w:p w14:paraId="3BC8BE83" w14:textId="77777777" w:rsidR="00AB3BE8" w:rsidRPr="002A3533" w:rsidRDefault="00944B8F" w:rsidP="00A6206B">
            <w:pPr>
              <w:pStyle w:val="EMEANormal"/>
              <w:widowControl w:val="0"/>
              <w:rPr>
                <w:b/>
                <w:i/>
              </w:rPr>
            </w:pPr>
            <w:r w:rsidRPr="002A3533">
              <w:rPr>
                <w:lang w:val="en-GB"/>
              </w:rPr>
              <w:t>e</w:t>
            </w:r>
            <w:r w:rsidRPr="002A3533">
              <w:t>ye infections,</w:t>
            </w:r>
          </w:p>
          <w:p w14:paraId="1F418D0C" w14:textId="77777777" w:rsidR="00AB3BE8" w:rsidRPr="002A3533" w:rsidRDefault="00944B8F" w:rsidP="00A6206B">
            <w:pPr>
              <w:pStyle w:val="EMEANormal"/>
              <w:widowControl w:val="0"/>
              <w:rPr>
                <w:lang w:val="en-GB"/>
              </w:rPr>
            </w:pPr>
            <w:r w:rsidRPr="002A3533">
              <w:rPr>
                <w:lang w:val="en-GB"/>
              </w:rPr>
              <w:t>diverticulitis</w:t>
            </w:r>
            <w:r w:rsidRPr="002A3533">
              <w:rPr>
                <w:vertAlign w:val="superscript"/>
                <w:lang w:val="en-GB"/>
              </w:rPr>
              <w:t>1)</w:t>
            </w:r>
            <w:r w:rsidRPr="002A3533">
              <w:rPr>
                <w:lang w:val="en-GB"/>
              </w:rPr>
              <w:t xml:space="preserve"> </w:t>
            </w:r>
          </w:p>
          <w:p w14:paraId="30CCB697" w14:textId="77777777" w:rsidR="00AB3BE8" w:rsidRPr="002A3533" w:rsidRDefault="00AB3BE8" w:rsidP="00A6206B">
            <w:pPr>
              <w:pStyle w:val="EMEANormal"/>
              <w:widowControl w:val="0"/>
              <w:rPr>
                <w:lang w:val="en-GB"/>
              </w:rPr>
            </w:pPr>
          </w:p>
        </w:tc>
      </w:tr>
      <w:tr w:rsidR="00C6578C" w14:paraId="398453D0" w14:textId="77777777" w:rsidTr="00A6206B">
        <w:tc>
          <w:tcPr>
            <w:tcW w:w="2600" w:type="dxa"/>
            <w:vMerge w:val="restart"/>
          </w:tcPr>
          <w:p w14:paraId="7471422D" w14:textId="77777777" w:rsidR="00AB3BE8" w:rsidRPr="002A3533" w:rsidRDefault="00944B8F" w:rsidP="00A6206B">
            <w:pPr>
              <w:widowControl w:val="0"/>
              <w:spacing w:before="60"/>
              <w:rPr>
                <w:b/>
              </w:rPr>
            </w:pPr>
            <w:r w:rsidRPr="002A3533">
              <w:t>Neoplasms benign, malignant and unspecified (including cysts and polyps)*</w:t>
            </w:r>
          </w:p>
        </w:tc>
        <w:tc>
          <w:tcPr>
            <w:tcW w:w="2074" w:type="dxa"/>
            <w:tcBorders>
              <w:bottom w:val="single" w:sz="4" w:space="0" w:color="auto"/>
            </w:tcBorders>
          </w:tcPr>
          <w:p w14:paraId="3804A1B3" w14:textId="77777777" w:rsidR="00AB3BE8" w:rsidRPr="002A3533" w:rsidRDefault="00944B8F" w:rsidP="00A6206B">
            <w:pPr>
              <w:pStyle w:val="EMEANormal"/>
              <w:widowControl w:val="0"/>
              <w:spacing w:before="60"/>
              <w:rPr>
                <w:lang w:val="en-GB"/>
              </w:rPr>
            </w:pPr>
            <w:r w:rsidRPr="002A3533">
              <w:rPr>
                <w:lang w:val="en-GB"/>
              </w:rPr>
              <w:t>Common</w:t>
            </w:r>
          </w:p>
          <w:p w14:paraId="24BC127E" w14:textId="77777777" w:rsidR="00AB3BE8" w:rsidRPr="002A3533" w:rsidRDefault="00AB3BE8" w:rsidP="00A6206B">
            <w:pPr>
              <w:pStyle w:val="EMEANormal"/>
              <w:widowControl w:val="0"/>
              <w:spacing w:before="60"/>
              <w:rPr>
                <w:lang w:val="en-GB"/>
              </w:rPr>
            </w:pPr>
          </w:p>
        </w:tc>
        <w:tc>
          <w:tcPr>
            <w:tcW w:w="4575" w:type="dxa"/>
            <w:tcBorders>
              <w:bottom w:val="single" w:sz="4" w:space="0" w:color="auto"/>
            </w:tcBorders>
          </w:tcPr>
          <w:p w14:paraId="5E1E23AB" w14:textId="77777777" w:rsidR="00AB3BE8" w:rsidRPr="002A3533" w:rsidRDefault="00944B8F" w:rsidP="00A6206B">
            <w:pPr>
              <w:pStyle w:val="EMEANormal"/>
              <w:widowControl w:val="0"/>
              <w:spacing w:before="60"/>
              <w:rPr>
                <w:lang w:val="en-GB"/>
              </w:rPr>
            </w:pPr>
            <w:r>
              <w:rPr>
                <w:lang w:val="en-GB"/>
              </w:rPr>
              <w:t>S</w:t>
            </w:r>
            <w:r w:rsidRPr="002A3533">
              <w:rPr>
                <w:lang w:val="en-GB"/>
              </w:rPr>
              <w:t>kin cancer excluding melanoma (including basal cell carcinoma and squamous cell carcinoma),</w:t>
            </w:r>
          </w:p>
          <w:p w14:paraId="454B444B" w14:textId="77777777" w:rsidR="00AB3BE8" w:rsidRPr="002A3533" w:rsidRDefault="00944B8F" w:rsidP="00A6206B">
            <w:pPr>
              <w:pStyle w:val="EMEANormal"/>
              <w:widowControl w:val="0"/>
              <w:spacing w:before="60"/>
              <w:rPr>
                <w:lang w:val="en-GB"/>
              </w:rPr>
            </w:pPr>
            <w:r w:rsidRPr="002A3533">
              <w:rPr>
                <w:lang w:val="en-GB"/>
              </w:rPr>
              <w:t>benign neoplasm</w:t>
            </w:r>
          </w:p>
          <w:p w14:paraId="7387BDAC" w14:textId="77777777" w:rsidR="00AB3BE8" w:rsidRPr="002A3533" w:rsidRDefault="00AB3BE8" w:rsidP="00A6206B">
            <w:pPr>
              <w:pStyle w:val="EMEANormal"/>
              <w:widowControl w:val="0"/>
              <w:spacing w:before="60"/>
              <w:rPr>
                <w:lang w:val="en-GB"/>
              </w:rPr>
            </w:pPr>
          </w:p>
        </w:tc>
      </w:tr>
      <w:tr w:rsidR="00C6578C" w14:paraId="60D3423E" w14:textId="77777777" w:rsidTr="00A6206B">
        <w:tc>
          <w:tcPr>
            <w:tcW w:w="2600" w:type="dxa"/>
            <w:vMerge/>
            <w:tcBorders>
              <w:bottom w:val="nil"/>
            </w:tcBorders>
          </w:tcPr>
          <w:p w14:paraId="249034CC" w14:textId="77777777" w:rsidR="00AB3BE8" w:rsidRPr="002A3533" w:rsidRDefault="00AB3BE8" w:rsidP="00A6206B">
            <w:pPr>
              <w:widowControl w:val="0"/>
              <w:spacing w:before="60"/>
              <w:jc w:val="center"/>
              <w:rPr>
                <w:b/>
              </w:rPr>
            </w:pPr>
          </w:p>
        </w:tc>
        <w:tc>
          <w:tcPr>
            <w:tcW w:w="2074" w:type="dxa"/>
            <w:tcBorders>
              <w:top w:val="single" w:sz="4" w:space="0" w:color="auto"/>
              <w:bottom w:val="single" w:sz="4" w:space="0" w:color="auto"/>
            </w:tcBorders>
          </w:tcPr>
          <w:p w14:paraId="4B462E9B" w14:textId="77777777" w:rsidR="00AB3BE8" w:rsidRPr="002A3533" w:rsidRDefault="00944B8F" w:rsidP="00A6206B">
            <w:pPr>
              <w:pStyle w:val="EMEANormal"/>
              <w:widowControl w:val="0"/>
              <w:rPr>
                <w:lang w:val="en-GB"/>
              </w:rPr>
            </w:pPr>
            <w:r w:rsidRPr="002A3533">
              <w:rPr>
                <w:lang w:val="en-GB"/>
              </w:rPr>
              <w:t>Uncommon</w:t>
            </w:r>
          </w:p>
          <w:p w14:paraId="5E76C87F" w14:textId="77777777" w:rsidR="00AB3BE8" w:rsidRPr="002A3533" w:rsidRDefault="00AB3BE8" w:rsidP="00A6206B">
            <w:pPr>
              <w:pStyle w:val="EMEANormal"/>
              <w:widowControl w:val="0"/>
              <w:rPr>
                <w:lang w:val="en-GB"/>
              </w:rPr>
            </w:pPr>
          </w:p>
        </w:tc>
        <w:tc>
          <w:tcPr>
            <w:tcW w:w="4575" w:type="dxa"/>
            <w:tcBorders>
              <w:top w:val="single" w:sz="4" w:space="0" w:color="auto"/>
              <w:bottom w:val="single" w:sz="4" w:space="0" w:color="auto"/>
            </w:tcBorders>
          </w:tcPr>
          <w:p w14:paraId="0DF6A853" w14:textId="77777777" w:rsidR="00AB3BE8" w:rsidRPr="002A3533" w:rsidRDefault="00944B8F" w:rsidP="00A6206B">
            <w:pPr>
              <w:pStyle w:val="EMEANormal"/>
              <w:widowControl w:val="0"/>
              <w:rPr>
                <w:lang w:val="en-GB"/>
              </w:rPr>
            </w:pPr>
            <w:r>
              <w:rPr>
                <w:lang w:val="en-GB"/>
              </w:rPr>
              <w:t>L</w:t>
            </w:r>
            <w:r w:rsidRPr="002A3533">
              <w:rPr>
                <w:lang w:val="en-GB"/>
              </w:rPr>
              <w:t xml:space="preserve">ymphoma**, </w:t>
            </w:r>
          </w:p>
          <w:p w14:paraId="4AA4391D" w14:textId="77777777" w:rsidR="00AB3BE8" w:rsidRPr="002A3533" w:rsidRDefault="00944B8F" w:rsidP="00A6206B">
            <w:pPr>
              <w:pStyle w:val="EMEANormal"/>
              <w:widowControl w:val="0"/>
              <w:rPr>
                <w:lang w:val="en-GB"/>
              </w:rPr>
            </w:pPr>
            <w:r w:rsidRPr="002A3533">
              <w:rPr>
                <w:lang w:val="en-GB"/>
              </w:rPr>
              <w:t xml:space="preserve">solid organ neoplasm (including breast cancer, lung neoplasm and thyroid neoplasm), </w:t>
            </w:r>
          </w:p>
          <w:p w14:paraId="192FF9E2" w14:textId="77777777" w:rsidR="00AB3BE8" w:rsidRPr="002A3533" w:rsidRDefault="00944B8F" w:rsidP="00A6206B">
            <w:pPr>
              <w:pStyle w:val="EMEANormal"/>
              <w:widowControl w:val="0"/>
              <w:rPr>
                <w:lang w:val="en-GB"/>
              </w:rPr>
            </w:pPr>
            <w:r w:rsidRPr="002A3533">
              <w:rPr>
                <w:lang w:val="en-GB"/>
              </w:rPr>
              <w:t>melanoma**</w:t>
            </w:r>
          </w:p>
          <w:p w14:paraId="60921F9A" w14:textId="77777777" w:rsidR="00AB3BE8" w:rsidRPr="002A3533" w:rsidRDefault="00AB3BE8" w:rsidP="00A6206B">
            <w:pPr>
              <w:pStyle w:val="EMEANormal"/>
              <w:widowControl w:val="0"/>
              <w:rPr>
                <w:lang w:val="en-GB"/>
              </w:rPr>
            </w:pPr>
          </w:p>
        </w:tc>
      </w:tr>
      <w:tr w:rsidR="00C6578C" w14:paraId="2F678029" w14:textId="77777777" w:rsidTr="00A6206B">
        <w:trPr>
          <w:trHeight w:val="323"/>
        </w:trPr>
        <w:tc>
          <w:tcPr>
            <w:tcW w:w="2600" w:type="dxa"/>
            <w:vMerge w:val="restart"/>
            <w:tcBorders>
              <w:top w:val="nil"/>
            </w:tcBorders>
          </w:tcPr>
          <w:p w14:paraId="23A1228F" w14:textId="77777777" w:rsidR="00AB3BE8" w:rsidRPr="002A3533" w:rsidRDefault="00AB3BE8" w:rsidP="00A6206B">
            <w:pPr>
              <w:widowControl w:val="0"/>
              <w:spacing w:before="60"/>
            </w:pPr>
          </w:p>
        </w:tc>
        <w:tc>
          <w:tcPr>
            <w:tcW w:w="2074" w:type="dxa"/>
            <w:tcBorders>
              <w:top w:val="single" w:sz="4" w:space="0" w:color="auto"/>
              <w:bottom w:val="single" w:sz="4" w:space="0" w:color="auto"/>
            </w:tcBorders>
          </w:tcPr>
          <w:p w14:paraId="77B7A036" w14:textId="77777777" w:rsidR="00AB3BE8" w:rsidRPr="002A3533" w:rsidRDefault="00944B8F" w:rsidP="00A6206B">
            <w:pPr>
              <w:pStyle w:val="EMEANormal"/>
              <w:widowControl w:val="0"/>
              <w:spacing w:before="60"/>
              <w:jc w:val="both"/>
              <w:rPr>
                <w:lang w:val="en-GB"/>
              </w:rPr>
            </w:pPr>
            <w:r w:rsidRPr="002A3533">
              <w:rPr>
                <w:lang w:val="en-GB"/>
              </w:rPr>
              <w:t>Rare</w:t>
            </w:r>
          </w:p>
        </w:tc>
        <w:tc>
          <w:tcPr>
            <w:tcW w:w="4575" w:type="dxa"/>
            <w:tcBorders>
              <w:top w:val="single" w:sz="4" w:space="0" w:color="auto"/>
              <w:bottom w:val="single" w:sz="4" w:space="0" w:color="auto"/>
            </w:tcBorders>
          </w:tcPr>
          <w:p w14:paraId="5A8A36C5" w14:textId="77777777" w:rsidR="00AB3BE8" w:rsidRPr="002A3533" w:rsidRDefault="00944B8F" w:rsidP="00A6206B">
            <w:pPr>
              <w:widowControl w:val="0"/>
              <w:spacing w:before="60"/>
            </w:pPr>
            <w:r>
              <w:t>L</w:t>
            </w:r>
            <w:r w:rsidRPr="002A3533">
              <w:t>eukaemia</w:t>
            </w:r>
            <w:r w:rsidRPr="002A3533">
              <w:rPr>
                <w:vertAlign w:val="superscript"/>
              </w:rPr>
              <w:t>1)</w:t>
            </w:r>
          </w:p>
          <w:p w14:paraId="036406DA" w14:textId="77777777" w:rsidR="00AB3BE8" w:rsidRPr="002A3533" w:rsidRDefault="00AB3BE8" w:rsidP="00A6206B">
            <w:pPr>
              <w:widowControl w:val="0"/>
              <w:spacing w:before="60"/>
            </w:pPr>
          </w:p>
        </w:tc>
      </w:tr>
      <w:tr w:rsidR="00C6578C" w14:paraId="1C9DFD5C" w14:textId="77777777" w:rsidTr="00A6206B">
        <w:trPr>
          <w:trHeight w:val="322"/>
        </w:trPr>
        <w:tc>
          <w:tcPr>
            <w:tcW w:w="2600" w:type="dxa"/>
            <w:vMerge/>
          </w:tcPr>
          <w:p w14:paraId="30AC69C1" w14:textId="77777777" w:rsidR="00AB3BE8" w:rsidRPr="002A3533" w:rsidRDefault="00AB3BE8" w:rsidP="00A6206B">
            <w:pPr>
              <w:widowControl w:val="0"/>
              <w:spacing w:before="60"/>
            </w:pPr>
          </w:p>
        </w:tc>
        <w:tc>
          <w:tcPr>
            <w:tcW w:w="2074" w:type="dxa"/>
            <w:tcBorders>
              <w:top w:val="single" w:sz="4" w:space="0" w:color="auto"/>
            </w:tcBorders>
          </w:tcPr>
          <w:p w14:paraId="6161E82E" w14:textId="77777777" w:rsidR="00AB3BE8" w:rsidRPr="002A3533" w:rsidRDefault="00944B8F" w:rsidP="00A6206B">
            <w:pPr>
              <w:pStyle w:val="EMEANormal"/>
              <w:widowControl w:val="0"/>
              <w:spacing w:before="60"/>
              <w:jc w:val="both"/>
              <w:rPr>
                <w:lang w:val="en-GB"/>
              </w:rPr>
            </w:pPr>
            <w:r w:rsidRPr="002A3533">
              <w:rPr>
                <w:lang w:val="en-GB"/>
              </w:rPr>
              <w:t xml:space="preserve">Not </w:t>
            </w:r>
            <w:r>
              <w:rPr>
                <w:lang w:val="en-GB"/>
              </w:rPr>
              <w:t>k</w:t>
            </w:r>
            <w:r w:rsidRPr="002A3533">
              <w:rPr>
                <w:lang w:val="en-GB"/>
              </w:rPr>
              <w:t>nown</w:t>
            </w:r>
          </w:p>
        </w:tc>
        <w:tc>
          <w:tcPr>
            <w:tcW w:w="4575" w:type="dxa"/>
            <w:tcBorders>
              <w:top w:val="single" w:sz="4" w:space="0" w:color="auto"/>
            </w:tcBorders>
          </w:tcPr>
          <w:p w14:paraId="0415091A" w14:textId="77777777" w:rsidR="00AB3BE8" w:rsidRPr="002A3533" w:rsidRDefault="00944B8F" w:rsidP="00A6206B">
            <w:pPr>
              <w:widowControl w:val="0"/>
              <w:spacing w:before="60"/>
            </w:pPr>
            <w:r>
              <w:t>H</w:t>
            </w:r>
            <w:r w:rsidRPr="002A3533">
              <w:t>epatosplenic T-cell lymphoma</w:t>
            </w:r>
            <w:r w:rsidRPr="002A3533">
              <w:rPr>
                <w:vertAlign w:val="superscript"/>
              </w:rPr>
              <w:t>1)</w:t>
            </w:r>
          </w:p>
          <w:p w14:paraId="360ADC80" w14:textId="77777777" w:rsidR="00AB3BE8" w:rsidRDefault="00944B8F" w:rsidP="00A6206B">
            <w:pPr>
              <w:widowControl w:val="0"/>
              <w:spacing w:before="60"/>
            </w:pPr>
            <w:r w:rsidRPr="002A3533">
              <w:t>Merkel cell carcinoma (neuroendocrine carcinoma of the skin)</w:t>
            </w:r>
            <w:r w:rsidRPr="002A3533">
              <w:rPr>
                <w:vertAlign w:val="superscript"/>
              </w:rPr>
              <w:t>1)</w:t>
            </w:r>
            <w:r w:rsidR="009D7181">
              <w:t>,</w:t>
            </w:r>
          </w:p>
          <w:p w14:paraId="59B9DADD" w14:textId="77777777" w:rsidR="009D7181" w:rsidRPr="009D7181" w:rsidRDefault="00944B8F" w:rsidP="00A6206B">
            <w:pPr>
              <w:widowControl w:val="0"/>
              <w:spacing w:before="60"/>
            </w:pPr>
            <w:r>
              <w:t>Kaposi’s sarcoma</w:t>
            </w:r>
          </w:p>
          <w:p w14:paraId="4A0E2B3F" w14:textId="77777777" w:rsidR="00AB3BE8" w:rsidRPr="002A3533" w:rsidRDefault="00AB3BE8" w:rsidP="00A6206B">
            <w:pPr>
              <w:widowControl w:val="0"/>
              <w:spacing w:before="60"/>
            </w:pPr>
          </w:p>
        </w:tc>
      </w:tr>
      <w:tr w:rsidR="00C6578C" w14:paraId="6FD8780D" w14:textId="77777777" w:rsidTr="00A6206B">
        <w:tc>
          <w:tcPr>
            <w:tcW w:w="2600" w:type="dxa"/>
            <w:vMerge w:val="restart"/>
          </w:tcPr>
          <w:p w14:paraId="740D745B" w14:textId="77777777" w:rsidR="00AB3BE8" w:rsidRPr="002A3533" w:rsidRDefault="00944B8F" w:rsidP="00A6206B">
            <w:pPr>
              <w:widowControl w:val="0"/>
              <w:spacing w:before="60"/>
              <w:rPr>
                <w:b/>
              </w:rPr>
            </w:pPr>
            <w:r w:rsidRPr="002A3533">
              <w:t>Blood and the lymphatic system disorders*</w:t>
            </w:r>
          </w:p>
        </w:tc>
        <w:tc>
          <w:tcPr>
            <w:tcW w:w="2074" w:type="dxa"/>
            <w:tcBorders>
              <w:bottom w:val="single" w:sz="4" w:space="0" w:color="auto"/>
            </w:tcBorders>
          </w:tcPr>
          <w:p w14:paraId="4335C144" w14:textId="77777777" w:rsidR="00AB3BE8" w:rsidRPr="002A3533" w:rsidRDefault="00944B8F" w:rsidP="00A6206B">
            <w:pPr>
              <w:pStyle w:val="EMEANormal"/>
              <w:widowControl w:val="0"/>
              <w:spacing w:before="60"/>
              <w:jc w:val="both"/>
              <w:rPr>
                <w:lang w:val="en-GB"/>
              </w:rPr>
            </w:pPr>
            <w:r w:rsidRPr="002A3533">
              <w:rPr>
                <w:lang w:val="en-GB"/>
              </w:rPr>
              <w:t>Very common</w:t>
            </w:r>
          </w:p>
          <w:p w14:paraId="00443170" w14:textId="77777777" w:rsidR="00AB3BE8" w:rsidRPr="002A3533" w:rsidRDefault="00AB3BE8" w:rsidP="00A6206B">
            <w:pPr>
              <w:pStyle w:val="EMEANormal"/>
              <w:widowControl w:val="0"/>
              <w:spacing w:before="60"/>
              <w:jc w:val="both"/>
              <w:rPr>
                <w:lang w:val="en-GB"/>
              </w:rPr>
            </w:pPr>
          </w:p>
        </w:tc>
        <w:tc>
          <w:tcPr>
            <w:tcW w:w="4575" w:type="dxa"/>
            <w:tcBorders>
              <w:bottom w:val="single" w:sz="4" w:space="0" w:color="auto"/>
            </w:tcBorders>
          </w:tcPr>
          <w:p w14:paraId="53294019" w14:textId="77777777" w:rsidR="00AB3BE8" w:rsidRPr="002A3533" w:rsidRDefault="00944B8F" w:rsidP="00A6206B">
            <w:pPr>
              <w:widowControl w:val="0"/>
              <w:spacing w:before="60"/>
            </w:pPr>
            <w:r>
              <w:t>L</w:t>
            </w:r>
            <w:r w:rsidRPr="00106CE6">
              <w:t>eu</w:t>
            </w:r>
            <w:r>
              <w:t>k</w:t>
            </w:r>
            <w:r w:rsidRPr="00106CE6">
              <w:t>openia</w:t>
            </w:r>
            <w:r>
              <w:t xml:space="preserve"> </w:t>
            </w:r>
            <w:r w:rsidRPr="002A3533">
              <w:t xml:space="preserve">(including </w:t>
            </w:r>
            <w:r>
              <w:t>n</w:t>
            </w:r>
            <w:r w:rsidRPr="00106CE6">
              <w:t>eutropenia</w:t>
            </w:r>
            <w:r>
              <w:t xml:space="preserve"> </w:t>
            </w:r>
            <w:r w:rsidRPr="002A3533">
              <w:t xml:space="preserve">and agranulocytosis), </w:t>
            </w:r>
          </w:p>
          <w:p w14:paraId="708CD194" w14:textId="77777777" w:rsidR="00AB3BE8" w:rsidRPr="002A3533" w:rsidRDefault="00944B8F" w:rsidP="00A6206B">
            <w:pPr>
              <w:widowControl w:val="0"/>
              <w:spacing w:before="60"/>
            </w:pPr>
            <w:r w:rsidRPr="002A3533">
              <w:t>anaemia</w:t>
            </w:r>
          </w:p>
          <w:p w14:paraId="65510277" w14:textId="77777777" w:rsidR="00AB3BE8" w:rsidRPr="002A3533" w:rsidRDefault="00AB3BE8" w:rsidP="00A6206B">
            <w:pPr>
              <w:widowControl w:val="0"/>
              <w:spacing w:before="60"/>
              <w:rPr>
                <w:b/>
              </w:rPr>
            </w:pPr>
          </w:p>
        </w:tc>
      </w:tr>
      <w:tr w:rsidR="00C6578C" w14:paraId="1125B8A3" w14:textId="77777777" w:rsidTr="00A6206B">
        <w:tc>
          <w:tcPr>
            <w:tcW w:w="2600" w:type="dxa"/>
            <w:vMerge/>
          </w:tcPr>
          <w:p w14:paraId="5E828F58" w14:textId="77777777" w:rsidR="00AB3BE8" w:rsidRPr="002A3533" w:rsidRDefault="00AB3BE8" w:rsidP="00A6206B">
            <w:pPr>
              <w:widowControl w:val="0"/>
              <w:spacing w:beforeLines="60" w:before="144"/>
              <w:jc w:val="center"/>
              <w:rPr>
                <w:b/>
              </w:rPr>
            </w:pPr>
          </w:p>
        </w:tc>
        <w:tc>
          <w:tcPr>
            <w:tcW w:w="2074" w:type="dxa"/>
            <w:tcBorders>
              <w:top w:val="single" w:sz="4" w:space="0" w:color="auto"/>
              <w:bottom w:val="single" w:sz="4" w:space="0" w:color="auto"/>
            </w:tcBorders>
          </w:tcPr>
          <w:p w14:paraId="51C2104A" w14:textId="77777777" w:rsidR="00AB3BE8" w:rsidRPr="002A3533" w:rsidRDefault="00944B8F" w:rsidP="00A6206B">
            <w:pPr>
              <w:pStyle w:val="EMEANormal"/>
              <w:widowControl w:val="0"/>
              <w:jc w:val="both"/>
              <w:rPr>
                <w:lang w:val="en-GB"/>
              </w:rPr>
            </w:pPr>
            <w:r w:rsidRPr="002A3533">
              <w:rPr>
                <w:lang w:val="en-GB"/>
              </w:rPr>
              <w:t>Common</w:t>
            </w:r>
          </w:p>
        </w:tc>
        <w:tc>
          <w:tcPr>
            <w:tcW w:w="4575" w:type="dxa"/>
            <w:tcBorders>
              <w:top w:val="single" w:sz="4" w:space="0" w:color="auto"/>
              <w:bottom w:val="single" w:sz="4" w:space="0" w:color="auto"/>
            </w:tcBorders>
          </w:tcPr>
          <w:p w14:paraId="1CF7C140" w14:textId="77777777" w:rsidR="00AB3BE8" w:rsidRPr="002A3533" w:rsidRDefault="00944B8F" w:rsidP="00A6206B">
            <w:pPr>
              <w:widowControl w:val="0"/>
            </w:pPr>
            <w:r>
              <w:t>L</w:t>
            </w:r>
            <w:r w:rsidRPr="002A3533">
              <w:t>eucocytosis,</w:t>
            </w:r>
          </w:p>
          <w:p w14:paraId="67BD69F9" w14:textId="77777777" w:rsidR="00AB3BE8" w:rsidRPr="002A3533" w:rsidRDefault="00944B8F" w:rsidP="00A6206B">
            <w:pPr>
              <w:widowControl w:val="0"/>
            </w:pPr>
            <w:r w:rsidRPr="00106CE6">
              <w:t>thrombocytopenia</w:t>
            </w:r>
          </w:p>
          <w:p w14:paraId="6897585C" w14:textId="77777777" w:rsidR="00AB3BE8" w:rsidRPr="002A3533" w:rsidRDefault="00AB3BE8" w:rsidP="00A6206B">
            <w:pPr>
              <w:widowControl w:val="0"/>
            </w:pPr>
          </w:p>
        </w:tc>
      </w:tr>
      <w:tr w:rsidR="00C6578C" w14:paraId="3098C340" w14:textId="77777777" w:rsidTr="00A6206B">
        <w:tc>
          <w:tcPr>
            <w:tcW w:w="2600" w:type="dxa"/>
            <w:vMerge/>
          </w:tcPr>
          <w:p w14:paraId="6F28F850" w14:textId="77777777" w:rsidR="00AB3BE8" w:rsidRPr="002A3533" w:rsidRDefault="00AB3BE8" w:rsidP="00A6206B">
            <w:pPr>
              <w:widowControl w:val="0"/>
              <w:spacing w:beforeLines="60" w:before="144"/>
              <w:jc w:val="center"/>
              <w:rPr>
                <w:b/>
              </w:rPr>
            </w:pPr>
          </w:p>
        </w:tc>
        <w:tc>
          <w:tcPr>
            <w:tcW w:w="2074" w:type="dxa"/>
            <w:tcBorders>
              <w:top w:val="single" w:sz="4" w:space="0" w:color="auto"/>
              <w:bottom w:val="single" w:sz="4" w:space="0" w:color="auto"/>
            </w:tcBorders>
          </w:tcPr>
          <w:p w14:paraId="11CB109F" w14:textId="77777777" w:rsidR="00AB3BE8" w:rsidRPr="002A3533" w:rsidRDefault="00944B8F" w:rsidP="00A6206B">
            <w:pPr>
              <w:pStyle w:val="EMEANormal"/>
              <w:widowControl w:val="0"/>
              <w:jc w:val="both"/>
              <w:rPr>
                <w:lang w:val="en-GB"/>
              </w:rPr>
            </w:pPr>
            <w:r w:rsidRPr="002A3533">
              <w:rPr>
                <w:lang w:val="en-GB"/>
              </w:rPr>
              <w:t>Uncommon</w:t>
            </w:r>
          </w:p>
        </w:tc>
        <w:tc>
          <w:tcPr>
            <w:tcW w:w="4575" w:type="dxa"/>
            <w:tcBorders>
              <w:top w:val="single" w:sz="4" w:space="0" w:color="auto"/>
              <w:bottom w:val="single" w:sz="4" w:space="0" w:color="auto"/>
            </w:tcBorders>
          </w:tcPr>
          <w:p w14:paraId="36496B78" w14:textId="77777777" w:rsidR="00AB3BE8" w:rsidRPr="002A3533" w:rsidRDefault="00944B8F" w:rsidP="00A6206B">
            <w:pPr>
              <w:widowControl w:val="0"/>
            </w:pPr>
            <w:r>
              <w:t>I</w:t>
            </w:r>
            <w:r w:rsidRPr="002A3533">
              <w:t xml:space="preserve">diopathic </w:t>
            </w:r>
            <w:r w:rsidRPr="00106CE6">
              <w:t>thrombocytopenic</w:t>
            </w:r>
            <w:r w:rsidRPr="002A3533">
              <w:t xml:space="preserve"> purpura</w:t>
            </w:r>
          </w:p>
          <w:p w14:paraId="39ACADEA" w14:textId="77777777" w:rsidR="00AB3BE8" w:rsidRPr="002A3533" w:rsidRDefault="00AB3BE8" w:rsidP="00A6206B">
            <w:pPr>
              <w:widowControl w:val="0"/>
            </w:pPr>
          </w:p>
        </w:tc>
      </w:tr>
      <w:tr w:rsidR="00C6578C" w14:paraId="6C2EF389" w14:textId="77777777" w:rsidTr="00A6206B">
        <w:tc>
          <w:tcPr>
            <w:tcW w:w="2600" w:type="dxa"/>
            <w:vMerge/>
          </w:tcPr>
          <w:p w14:paraId="6F872E89" w14:textId="77777777" w:rsidR="00AB3BE8" w:rsidRPr="002A3533" w:rsidRDefault="00AB3BE8" w:rsidP="00A6206B">
            <w:pPr>
              <w:widowControl w:val="0"/>
              <w:spacing w:beforeLines="60" w:before="144"/>
              <w:jc w:val="center"/>
              <w:rPr>
                <w:b/>
              </w:rPr>
            </w:pPr>
          </w:p>
        </w:tc>
        <w:tc>
          <w:tcPr>
            <w:tcW w:w="2074" w:type="dxa"/>
            <w:tcBorders>
              <w:top w:val="single" w:sz="4" w:space="0" w:color="auto"/>
            </w:tcBorders>
          </w:tcPr>
          <w:p w14:paraId="30113821" w14:textId="77777777" w:rsidR="00AB3BE8" w:rsidRPr="002A3533" w:rsidRDefault="00944B8F" w:rsidP="00A6206B">
            <w:pPr>
              <w:pStyle w:val="EMEANormal"/>
              <w:widowControl w:val="0"/>
              <w:jc w:val="both"/>
              <w:rPr>
                <w:lang w:val="en-GB"/>
              </w:rPr>
            </w:pPr>
            <w:r w:rsidRPr="002A3533">
              <w:rPr>
                <w:lang w:val="en-GB"/>
              </w:rPr>
              <w:t>Rare</w:t>
            </w:r>
          </w:p>
          <w:p w14:paraId="1FA3154B" w14:textId="77777777" w:rsidR="00AB3BE8" w:rsidRPr="002A3533" w:rsidRDefault="00AB3BE8" w:rsidP="00A6206B">
            <w:pPr>
              <w:pStyle w:val="EMEANormal"/>
              <w:widowControl w:val="0"/>
              <w:jc w:val="both"/>
              <w:rPr>
                <w:lang w:val="en-GB"/>
              </w:rPr>
            </w:pPr>
          </w:p>
        </w:tc>
        <w:tc>
          <w:tcPr>
            <w:tcW w:w="4575" w:type="dxa"/>
            <w:tcBorders>
              <w:top w:val="single" w:sz="4" w:space="0" w:color="auto"/>
            </w:tcBorders>
          </w:tcPr>
          <w:p w14:paraId="4E74A6C7" w14:textId="77777777" w:rsidR="00AB3BE8" w:rsidRPr="002A3533" w:rsidRDefault="00944B8F" w:rsidP="00A6206B">
            <w:pPr>
              <w:widowControl w:val="0"/>
              <w:rPr>
                <w:b/>
              </w:rPr>
            </w:pPr>
            <w:r>
              <w:t>P</w:t>
            </w:r>
            <w:r w:rsidRPr="00106CE6">
              <w:t>ancytopenia</w:t>
            </w:r>
          </w:p>
        </w:tc>
      </w:tr>
      <w:tr w:rsidR="00C6578C" w14:paraId="7F6444C5" w14:textId="77777777" w:rsidTr="00A6206B">
        <w:tc>
          <w:tcPr>
            <w:tcW w:w="2600" w:type="dxa"/>
            <w:vMerge w:val="restart"/>
          </w:tcPr>
          <w:p w14:paraId="6041C767" w14:textId="77777777" w:rsidR="00AB3BE8" w:rsidRPr="002A3533" w:rsidRDefault="00944B8F" w:rsidP="00A6206B">
            <w:pPr>
              <w:pStyle w:val="EMEANormal"/>
              <w:widowControl w:val="0"/>
              <w:spacing w:before="60"/>
              <w:rPr>
                <w:lang w:val="de-DE"/>
              </w:rPr>
            </w:pPr>
            <w:r w:rsidRPr="002A3533">
              <w:rPr>
                <w:lang w:val="de-DE"/>
              </w:rPr>
              <w:t>Immune system disorders*</w:t>
            </w:r>
          </w:p>
        </w:tc>
        <w:tc>
          <w:tcPr>
            <w:tcW w:w="2074" w:type="dxa"/>
            <w:tcBorders>
              <w:bottom w:val="single" w:sz="4" w:space="0" w:color="auto"/>
            </w:tcBorders>
          </w:tcPr>
          <w:p w14:paraId="568BA557" w14:textId="77777777" w:rsidR="00AB3BE8" w:rsidRPr="002A3533" w:rsidRDefault="00944B8F" w:rsidP="00A6206B">
            <w:pPr>
              <w:pStyle w:val="EMEANormal"/>
              <w:widowControl w:val="0"/>
              <w:spacing w:before="60"/>
              <w:rPr>
                <w:lang w:val="en-GB"/>
              </w:rPr>
            </w:pPr>
            <w:r w:rsidRPr="002A3533">
              <w:rPr>
                <w:lang w:val="en-GB"/>
              </w:rPr>
              <w:t>Common</w:t>
            </w:r>
          </w:p>
          <w:p w14:paraId="4652DC29" w14:textId="77777777" w:rsidR="00AB3BE8" w:rsidRPr="002A3533" w:rsidRDefault="00AB3BE8" w:rsidP="00A6206B">
            <w:pPr>
              <w:pStyle w:val="EMEANormal"/>
              <w:widowControl w:val="0"/>
              <w:spacing w:before="60"/>
              <w:rPr>
                <w:lang w:val="en-GB"/>
              </w:rPr>
            </w:pPr>
          </w:p>
        </w:tc>
        <w:tc>
          <w:tcPr>
            <w:tcW w:w="4575" w:type="dxa"/>
            <w:tcBorders>
              <w:bottom w:val="single" w:sz="4" w:space="0" w:color="auto"/>
            </w:tcBorders>
          </w:tcPr>
          <w:p w14:paraId="73D4FDC3" w14:textId="77777777" w:rsidR="00AB3BE8" w:rsidRPr="002A3533" w:rsidRDefault="00944B8F" w:rsidP="00A6206B">
            <w:pPr>
              <w:pStyle w:val="EMEANormal"/>
              <w:widowControl w:val="0"/>
              <w:spacing w:before="60"/>
              <w:rPr>
                <w:lang w:val="en-GB"/>
              </w:rPr>
            </w:pPr>
            <w:r>
              <w:rPr>
                <w:lang w:val="en-GB"/>
              </w:rPr>
              <w:t>H</w:t>
            </w:r>
            <w:r w:rsidRPr="002A3533">
              <w:rPr>
                <w:lang w:val="en-GB"/>
              </w:rPr>
              <w:t>ypersensitivity,</w:t>
            </w:r>
          </w:p>
          <w:p w14:paraId="4D181F1F" w14:textId="77777777" w:rsidR="00AB3BE8" w:rsidRPr="002A3533" w:rsidRDefault="00944B8F" w:rsidP="00A6206B">
            <w:pPr>
              <w:pStyle w:val="EMEANormal"/>
              <w:widowControl w:val="0"/>
              <w:spacing w:before="60"/>
              <w:rPr>
                <w:lang w:val="en-GB"/>
              </w:rPr>
            </w:pPr>
            <w:r w:rsidRPr="002A3533">
              <w:rPr>
                <w:lang w:val="en-GB"/>
              </w:rPr>
              <w:t>allergies (including seasonal allergy)</w:t>
            </w:r>
          </w:p>
          <w:p w14:paraId="316EB6B6" w14:textId="77777777" w:rsidR="00AB3BE8" w:rsidRPr="002A3533" w:rsidRDefault="00AB3BE8" w:rsidP="00A6206B">
            <w:pPr>
              <w:pStyle w:val="EMEANormal"/>
              <w:widowControl w:val="0"/>
              <w:spacing w:before="60"/>
              <w:rPr>
                <w:lang w:val="en-GB"/>
              </w:rPr>
            </w:pPr>
          </w:p>
        </w:tc>
      </w:tr>
      <w:tr w:rsidR="00C6578C" w14:paraId="423E4ABF" w14:textId="77777777" w:rsidTr="00A6206B">
        <w:tc>
          <w:tcPr>
            <w:tcW w:w="2600" w:type="dxa"/>
            <w:vMerge/>
          </w:tcPr>
          <w:p w14:paraId="44AF45E8" w14:textId="77777777" w:rsidR="00AB3BE8" w:rsidRPr="002A3533" w:rsidRDefault="00AB3BE8" w:rsidP="00A6206B">
            <w:pPr>
              <w:pStyle w:val="EMEANormal"/>
              <w:widowControl w:val="0"/>
              <w:spacing w:before="60"/>
              <w:rPr>
                <w:lang w:val="en-GB"/>
              </w:rPr>
            </w:pPr>
          </w:p>
        </w:tc>
        <w:tc>
          <w:tcPr>
            <w:tcW w:w="2074" w:type="dxa"/>
            <w:tcBorders>
              <w:top w:val="single" w:sz="4" w:space="0" w:color="auto"/>
              <w:bottom w:val="single" w:sz="4" w:space="0" w:color="auto"/>
            </w:tcBorders>
          </w:tcPr>
          <w:p w14:paraId="1319B75E" w14:textId="77777777" w:rsidR="00AB3BE8" w:rsidRPr="002A3533" w:rsidRDefault="00944B8F" w:rsidP="00A6206B">
            <w:pPr>
              <w:pStyle w:val="EMEANormal"/>
              <w:widowControl w:val="0"/>
              <w:spacing w:before="60"/>
              <w:rPr>
                <w:lang w:val="en-GB"/>
              </w:rPr>
            </w:pPr>
            <w:r w:rsidRPr="002A3533">
              <w:rPr>
                <w:lang w:val="en-GB"/>
              </w:rPr>
              <w:t>Uncommon</w:t>
            </w:r>
          </w:p>
        </w:tc>
        <w:tc>
          <w:tcPr>
            <w:tcW w:w="4575" w:type="dxa"/>
            <w:tcBorders>
              <w:top w:val="single" w:sz="4" w:space="0" w:color="auto"/>
              <w:bottom w:val="single" w:sz="4" w:space="0" w:color="auto"/>
            </w:tcBorders>
          </w:tcPr>
          <w:p w14:paraId="5C9C3BB5" w14:textId="77777777" w:rsidR="00AB3BE8" w:rsidRPr="002A3533" w:rsidRDefault="00944B8F" w:rsidP="00A6206B">
            <w:pPr>
              <w:pStyle w:val="EMEANormal"/>
              <w:widowControl w:val="0"/>
              <w:spacing w:before="60"/>
              <w:rPr>
                <w:vertAlign w:val="superscript"/>
                <w:lang w:val="en-GB"/>
              </w:rPr>
            </w:pPr>
            <w:r>
              <w:rPr>
                <w:lang w:val="en-GB"/>
              </w:rPr>
              <w:t>S</w:t>
            </w:r>
            <w:r w:rsidRPr="002A3533">
              <w:rPr>
                <w:lang w:val="en-GB"/>
              </w:rPr>
              <w:t>arcoidosis</w:t>
            </w:r>
            <w:r w:rsidRPr="002A3533">
              <w:rPr>
                <w:vertAlign w:val="superscript"/>
                <w:lang w:val="en-GB"/>
              </w:rPr>
              <w:t>1)</w:t>
            </w:r>
            <w:r w:rsidRPr="002A3533">
              <w:rPr>
                <w:lang w:val="en-GB"/>
              </w:rPr>
              <w:t>,</w:t>
            </w:r>
          </w:p>
          <w:p w14:paraId="70AB6F2F" w14:textId="77777777" w:rsidR="00AB3BE8" w:rsidRPr="002A3533" w:rsidRDefault="00944B8F" w:rsidP="00A6206B">
            <w:pPr>
              <w:pStyle w:val="EMEANormal"/>
              <w:widowControl w:val="0"/>
              <w:spacing w:before="60"/>
              <w:rPr>
                <w:vertAlign w:val="superscript"/>
                <w:lang w:val="en-GB"/>
              </w:rPr>
            </w:pPr>
            <w:r w:rsidRPr="002A3533">
              <w:rPr>
                <w:lang w:val="en-GB"/>
              </w:rPr>
              <w:t>vasculitis</w:t>
            </w:r>
          </w:p>
          <w:p w14:paraId="7BD55582" w14:textId="77777777" w:rsidR="00AB3BE8" w:rsidRPr="002A3533" w:rsidRDefault="00AB3BE8" w:rsidP="00A6206B">
            <w:pPr>
              <w:pStyle w:val="EMEANormal"/>
              <w:widowControl w:val="0"/>
              <w:spacing w:before="60"/>
              <w:rPr>
                <w:lang w:val="en-GB"/>
              </w:rPr>
            </w:pPr>
          </w:p>
        </w:tc>
      </w:tr>
      <w:tr w:rsidR="00C6578C" w14:paraId="62A44C12" w14:textId="77777777" w:rsidTr="00A6206B">
        <w:tc>
          <w:tcPr>
            <w:tcW w:w="2600" w:type="dxa"/>
            <w:vMerge/>
            <w:tcBorders>
              <w:bottom w:val="single" w:sz="4" w:space="0" w:color="auto"/>
            </w:tcBorders>
          </w:tcPr>
          <w:p w14:paraId="6AC6583A" w14:textId="77777777" w:rsidR="00AB3BE8" w:rsidRPr="002A3533" w:rsidRDefault="00AB3BE8" w:rsidP="00A6206B">
            <w:pPr>
              <w:pStyle w:val="EMEANormal"/>
              <w:widowControl w:val="0"/>
              <w:spacing w:before="60"/>
              <w:rPr>
                <w:lang w:val="en-GB"/>
              </w:rPr>
            </w:pPr>
          </w:p>
        </w:tc>
        <w:tc>
          <w:tcPr>
            <w:tcW w:w="2074" w:type="dxa"/>
            <w:tcBorders>
              <w:top w:val="single" w:sz="4" w:space="0" w:color="auto"/>
              <w:bottom w:val="single" w:sz="4" w:space="0" w:color="auto"/>
            </w:tcBorders>
          </w:tcPr>
          <w:p w14:paraId="563396EA" w14:textId="77777777" w:rsidR="00AB3BE8" w:rsidRPr="002A3533" w:rsidRDefault="00944B8F" w:rsidP="00A6206B">
            <w:pPr>
              <w:pStyle w:val="EMEANormal"/>
              <w:widowControl w:val="0"/>
              <w:spacing w:before="60"/>
              <w:rPr>
                <w:lang w:val="en-GB"/>
              </w:rPr>
            </w:pPr>
            <w:r w:rsidRPr="002A3533">
              <w:rPr>
                <w:lang w:val="en-GB"/>
              </w:rPr>
              <w:t>Rare</w:t>
            </w:r>
          </w:p>
        </w:tc>
        <w:tc>
          <w:tcPr>
            <w:tcW w:w="4575" w:type="dxa"/>
            <w:tcBorders>
              <w:top w:val="single" w:sz="4" w:space="0" w:color="auto"/>
              <w:bottom w:val="single" w:sz="4" w:space="0" w:color="auto"/>
            </w:tcBorders>
          </w:tcPr>
          <w:p w14:paraId="143173F0" w14:textId="77777777" w:rsidR="00AB3BE8" w:rsidRPr="002A3533" w:rsidRDefault="00944B8F" w:rsidP="00A6206B">
            <w:pPr>
              <w:pStyle w:val="EMEANormal"/>
              <w:widowControl w:val="0"/>
              <w:spacing w:before="60"/>
              <w:rPr>
                <w:vertAlign w:val="superscript"/>
                <w:lang w:val="en-GB"/>
              </w:rPr>
            </w:pPr>
            <w:r>
              <w:rPr>
                <w:lang w:val="en-GB"/>
              </w:rPr>
              <w:t>A</w:t>
            </w:r>
            <w:r w:rsidRPr="002A3533">
              <w:rPr>
                <w:lang w:val="en-GB"/>
              </w:rPr>
              <w:t>naphylaxis</w:t>
            </w:r>
            <w:r w:rsidRPr="002A3533">
              <w:rPr>
                <w:vertAlign w:val="superscript"/>
                <w:lang w:val="en-GB"/>
              </w:rPr>
              <w:t>1)</w:t>
            </w:r>
          </w:p>
          <w:p w14:paraId="48398B5D" w14:textId="77777777" w:rsidR="00AB3BE8" w:rsidRPr="002A3533" w:rsidRDefault="00AB3BE8" w:rsidP="00A6206B">
            <w:pPr>
              <w:pStyle w:val="EMEANormal"/>
              <w:widowControl w:val="0"/>
              <w:spacing w:before="60"/>
              <w:rPr>
                <w:lang w:val="en-GB"/>
              </w:rPr>
            </w:pPr>
          </w:p>
        </w:tc>
      </w:tr>
      <w:tr w:rsidR="00C6578C" w14:paraId="53E8B6D3" w14:textId="77777777" w:rsidTr="00A6206B">
        <w:tc>
          <w:tcPr>
            <w:tcW w:w="2600" w:type="dxa"/>
            <w:vMerge w:val="restart"/>
            <w:tcBorders>
              <w:bottom w:val="nil"/>
            </w:tcBorders>
          </w:tcPr>
          <w:p w14:paraId="54072DD9" w14:textId="77777777" w:rsidR="00AB3BE8" w:rsidRPr="002A3533" w:rsidRDefault="00944B8F" w:rsidP="00A6206B">
            <w:pPr>
              <w:pStyle w:val="EMEANormal"/>
              <w:widowControl w:val="0"/>
              <w:spacing w:before="60"/>
              <w:rPr>
                <w:lang w:val="en-GB"/>
              </w:rPr>
            </w:pPr>
            <w:r w:rsidRPr="002A3533">
              <w:rPr>
                <w:lang w:val="en-GB"/>
              </w:rPr>
              <w:t>Metabolism and nutrition disorders</w:t>
            </w:r>
          </w:p>
        </w:tc>
        <w:tc>
          <w:tcPr>
            <w:tcW w:w="2074" w:type="dxa"/>
            <w:tcBorders>
              <w:bottom w:val="single" w:sz="4" w:space="0" w:color="auto"/>
            </w:tcBorders>
          </w:tcPr>
          <w:p w14:paraId="3276B978" w14:textId="77777777" w:rsidR="00AB3BE8" w:rsidRPr="002A3533" w:rsidRDefault="00944B8F" w:rsidP="00A6206B">
            <w:pPr>
              <w:pStyle w:val="EMEANormal"/>
              <w:widowControl w:val="0"/>
              <w:spacing w:before="60"/>
              <w:rPr>
                <w:lang w:val="en-GB"/>
              </w:rPr>
            </w:pPr>
            <w:r w:rsidRPr="002A3533">
              <w:rPr>
                <w:lang w:val="en-GB"/>
              </w:rPr>
              <w:t>Very common</w:t>
            </w:r>
          </w:p>
          <w:p w14:paraId="0FB6100E" w14:textId="77777777" w:rsidR="00AB3BE8" w:rsidRPr="002A3533" w:rsidRDefault="00AB3BE8" w:rsidP="00A6206B">
            <w:pPr>
              <w:pStyle w:val="EMEANormal"/>
              <w:widowControl w:val="0"/>
              <w:spacing w:before="60"/>
              <w:rPr>
                <w:lang w:val="en-GB"/>
              </w:rPr>
            </w:pPr>
          </w:p>
        </w:tc>
        <w:tc>
          <w:tcPr>
            <w:tcW w:w="4575" w:type="dxa"/>
            <w:tcBorders>
              <w:bottom w:val="single" w:sz="4" w:space="0" w:color="auto"/>
            </w:tcBorders>
          </w:tcPr>
          <w:p w14:paraId="5692AC4C" w14:textId="77777777" w:rsidR="00AB3BE8" w:rsidRPr="002A3533" w:rsidRDefault="00944B8F" w:rsidP="00A6206B">
            <w:pPr>
              <w:pStyle w:val="EMEANormal"/>
              <w:widowControl w:val="0"/>
              <w:spacing w:before="60"/>
              <w:rPr>
                <w:lang w:val="en-GB"/>
              </w:rPr>
            </w:pPr>
            <w:r>
              <w:rPr>
                <w:lang w:val="en-GB"/>
              </w:rPr>
              <w:t>L</w:t>
            </w:r>
            <w:r w:rsidRPr="002A3533">
              <w:rPr>
                <w:lang w:val="en-GB"/>
              </w:rPr>
              <w:t>ipids increased</w:t>
            </w:r>
          </w:p>
        </w:tc>
      </w:tr>
      <w:tr w:rsidR="00C6578C" w14:paraId="246258CB" w14:textId="77777777" w:rsidTr="00A6206B">
        <w:trPr>
          <w:trHeight w:val="2687"/>
        </w:trPr>
        <w:tc>
          <w:tcPr>
            <w:tcW w:w="2600" w:type="dxa"/>
            <w:vMerge/>
            <w:tcBorders>
              <w:top w:val="nil"/>
            </w:tcBorders>
          </w:tcPr>
          <w:p w14:paraId="21BAA6FA" w14:textId="77777777" w:rsidR="00AB3BE8" w:rsidRPr="002A3533" w:rsidRDefault="00AB3BE8" w:rsidP="00A6206B">
            <w:pPr>
              <w:pStyle w:val="EMEANormal"/>
              <w:widowControl w:val="0"/>
              <w:spacing w:before="60"/>
              <w:rPr>
                <w:lang w:val="en-GB"/>
              </w:rPr>
            </w:pPr>
          </w:p>
        </w:tc>
        <w:tc>
          <w:tcPr>
            <w:tcW w:w="2074" w:type="dxa"/>
            <w:tcBorders>
              <w:top w:val="single" w:sz="4" w:space="0" w:color="auto"/>
            </w:tcBorders>
          </w:tcPr>
          <w:p w14:paraId="10A494FF" w14:textId="77777777" w:rsidR="00AB3BE8" w:rsidRPr="002A3533" w:rsidRDefault="00944B8F" w:rsidP="00A6206B">
            <w:pPr>
              <w:pStyle w:val="EMEANormal"/>
              <w:widowControl w:val="0"/>
              <w:spacing w:before="60"/>
              <w:rPr>
                <w:lang w:val="en-GB"/>
              </w:rPr>
            </w:pPr>
            <w:r w:rsidRPr="002A3533">
              <w:rPr>
                <w:lang w:val="en-GB"/>
              </w:rPr>
              <w:t>Common</w:t>
            </w:r>
          </w:p>
        </w:tc>
        <w:tc>
          <w:tcPr>
            <w:tcW w:w="4575" w:type="dxa"/>
            <w:tcBorders>
              <w:top w:val="single" w:sz="4" w:space="0" w:color="auto"/>
            </w:tcBorders>
          </w:tcPr>
          <w:p w14:paraId="14F4BBC1" w14:textId="77777777" w:rsidR="00AB3BE8" w:rsidRPr="002A3533" w:rsidRDefault="00944B8F" w:rsidP="00A6206B">
            <w:pPr>
              <w:pStyle w:val="EMEANormal"/>
              <w:widowControl w:val="0"/>
              <w:spacing w:before="60"/>
              <w:rPr>
                <w:lang w:val="en-GB"/>
              </w:rPr>
            </w:pPr>
            <w:r>
              <w:rPr>
                <w:lang w:val="en-GB"/>
              </w:rPr>
              <w:t>H</w:t>
            </w:r>
            <w:r w:rsidRPr="002A3533">
              <w:rPr>
                <w:lang w:val="en-GB"/>
              </w:rPr>
              <w:t xml:space="preserve">ypokalaemia, </w:t>
            </w:r>
          </w:p>
          <w:p w14:paraId="0BD388AC" w14:textId="77777777" w:rsidR="00AB3BE8" w:rsidRPr="002A3533" w:rsidRDefault="00944B8F" w:rsidP="00A6206B">
            <w:pPr>
              <w:pStyle w:val="EMEANormal"/>
              <w:widowControl w:val="0"/>
              <w:spacing w:before="60"/>
              <w:rPr>
                <w:lang w:val="en-GB"/>
              </w:rPr>
            </w:pPr>
            <w:r w:rsidRPr="002A3533">
              <w:rPr>
                <w:lang w:val="en-GB"/>
              </w:rPr>
              <w:t xml:space="preserve">uric acid increased, </w:t>
            </w:r>
          </w:p>
          <w:p w14:paraId="4D2EF2BE" w14:textId="77777777" w:rsidR="00AB3BE8" w:rsidRPr="002A3533" w:rsidRDefault="00944B8F" w:rsidP="00A6206B">
            <w:pPr>
              <w:pStyle w:val="EMEANormal"/>
              <w:widowControl w:val="0"/>
              <w:spacing w:before="60"/>
              <w:rPr>
                <w:lang w:val="en-GB"/>
              </w:rPr>
            </w:pPr>
            <w:r w:rsidRPr="002A3533">
              <w:rPr>
                <w:lang w:val="en-GB"/>
              </w:rPr>
              <w:t>blood sodium abnormal,</w:t>
            </w:r>
          </w:p>
          <w:p w14:paraId="1D234F13" w14:textId="77777777" w:rsidR="00AB3BE8" w:rsidRPr="002A3533" w:rsidRDefault="00944B8F" w:rsidP="00A6206B">
            <w:pPr>
              <w:pStyle w:val="EMEANormal"/>
              <w:widowControl w:val="0"/>
              <w:spacing w:before="60"/>
              <w:rPr>
                <w:lang w:val="en-GB"/>
              </w:rPr>
            </w:pPr>
            <w:r w:rsidRPr="002A3533">
              <w:rPr>
                <w:lang w:val="en-GB"/>
              </w:rPr>
              <w:t>hypocalcaemia,</w:t>
            </w:r>
          </w:p>
          <w:p w14:paraId="6E9D3C87" w14:textId="77777777" w:rsidR="00AB3BE8" w:rsidRPr="002A3533" w:rsidRDefault="00944B8F" w:rsidP="00A6206B">
            <w:pPr>
              <w:pStyle w:val="EMEANormal"/>
              <w:widowControl w:val="0"/>
              <w:spacing w:before="60"/>
              <w:rPr>
                <w:lang w:val="en-GB"/>
              </w:rPr>
            </w:pPr>
            <w:r w:rsidRPr="002A3533">
              <w:rPr>
                <w:lang w:val="en-GB"/>
              </w:rPr>
              <w:t>hyperglycaemia,</w:t>
            </w:r>
          </w:p>
          <w:p w14:paraId="212802D4" w14:textId="77777777" w:rsidR="00AB3BE8" w:rsidRPr="002A3533" w:rsidRDefault="00944B8F" w:rsidP="00A6206B">
            <w:pPr>
              <w:pStyle w:val="EMEANormal"/>
              <w:widowControl w:val="0"/>
              <w:spacing w:before="60"/>
              <w:rPr>
                <w:lang w:val="en-GB"/>
              </w:rPr>
            </w:pPr>
            <w:r w:rsidRPr="00106CE6">
              <w:rPr>
                <w:lang w:val="en-GB"/>
              </w:rPr>
              <w:t>hypophosphatemia</w:t>
            </w:r>
            <w:r w:rsidRPr="002A3533">
              <w:rPr>
                <w:lang w:val="en-GB"/>
              </w:rPr>
              <w:t>,</w:t>
            </w:r>
          </w:p>
          <w:p w14:paraId="17013531" w14:textId="77777777" w:rsidR="00AB3BE8" w:rsidRPr="002A3533" w:rsidRDefault="00944B8F" w:rsidP="00A6206B">
            <w:pPr>
              <w:pStyle w:val="EMEANormal"/>
              <w:widowControl w:val="0"/>
              <w:spacing w:before="60"/>
              <w:rPr>
                <w:lang w:val="en-GB"/>
              </w:rPr>
            </w:pPr>
            <w:r w:rsidRPr="002A3533">
              <w:rPr>
                <w:lang w:val="en-GB"/>
              </w:rPr>
              <w:t>dehydration</w:t>
            </w:r>
          </w:p>
        </w:tc>
      </w:tr>
      <w:tr w:rsidR="00C6578C" w14:paraId="42818D50" w14:textId="77777777" w:rsidTr="00A6206B">
        <w:tc>
          <w:tcPr>
            <w:tcW w:w="2600" w:type="dxa"/>
          </w:tcPr>
          <w:p w14:paraId="6BF51BDD" w14:textId="77777777" w:rsidR="00AB3BE8" w:rsidRPr="002A3533" w:rsidRDefault="00944B8F" w:rsidP="00A6206B">
            <w:pPr>
              <w:pStyle w:val="EMEANormal"/>
              <w:widowControl w:val="0"/>
              <w:spacing w:before="60"/>
              <w:rPr>
                <w:lang w:val="en-GB"/>
              </w:rPr>
            </w:pPr>
            <w:r w:rsidRPr="002A3533">
              <w:rPr>
                <w:lang w:val="en-GB"/>
              </w:rPr>
              <w:t>Psychiatric disorders</w:t>
            </w:r>
          </w:p>
        </w:tc>
        <w:tc>
          <w:tcPr>
            <w:tcW w:w="2074" w:type="dxa"/>
          </w:tcPr>
          <w:p w14:paraId="353AEF5D" w14:textId="77777777" w:rsidR="00AB3BE8" w:rsidRPr="002A3533" w:rsidRDefault="00944B8F" w:rsidP="00A6206B">
            <w:pPr>
              <w:pStyle w:val="EMEANormal"/>
              <w:widowControl w:val="0"/>
              <w:spacing w:before="60"/>
              <w:rPr>
                <w:lang w:val="en-GB"/>
              </w:rPr>
            </w:pPr>
            <w:r w:rsidRPr="002A3533">
              <w:rPr>
                <w:lang w:val="en-GB"/>
              </w:rPr>
              <w:t>Common</w:t>
            </w:r>
          </w:p>
          <w:p w14:paraId="30FD82DA" w14:textId="77777777" w:rsidR="00AB3BE8" w:rsidRPr="002A3533" w:rsidRDefault="00AB3BE8" w:rsidP="00A6206B">
            <w:pPr>
              <w:pStyle w:val="EMEANormal"/>
              <w:widowControl w:val="0"/>
              <w:spacing w:before="60"/>
              <w:rPr>
                <w:lang w:val="en-GB"/>
              </w:rPr>
            </w:pPr>
          </w:p>
        </w:tc>
        <w:tc>
          <w:tcPr>
            <w:tcW w:w="4575" w:type="dxa"/>
          </w:tcPr>
          <w:p w14:paraId="0891A44A" w14:textId="77777777" w:rsidR="00AB3BE8" w:rsidRPr="002A3533" w:rsidRDefault="00944B8F" w:rsidP="00A6206B">
            <w:pPr>
              <w:pStyle w:val="EMEANormal"/>
              <w:widowControl w:val="0"/>
              <w:spacing w:before="60"/>
              <w:rPr>
                <w:lang w:val="en-GB"/>
              </w:rPr>
            </w:pPr>
            <w:r>
              <w:rPr>
                <w:lang w:val="en-GB"/>
              </w:rPr>
              <w:t>M</w:t>
            </w:r>
            <w:r w:rsidRPr="002A3533">
              <w:rPr>
                <w:lang w:val="en-GB"/>
              </w:rPr>
              <w:t xml:space="preserve">ood alterations (including depression), </w:t>
            </w:r>
          </w:p>
          <w:p w14:paraId="56585C1C" w14:textId="77777777" w:rsidR="00AB3BE8" w:rsidRPr="002A3533" w:rsidRDefault="00944B8F" w:rsidP="00A6206B">
            <w:pPr>
              <w:pStyle w:val="EMEANormal"/>
              <w:widowControl w:val="0"/>
              <w:spacing w:before="60"/>
              <w:rPr>
                <w:lang w:val="en-GB"/>
              </w:rPr>
            </w:pPr>
            <w:r w:rsidRPr="002A3533">
              <w:rPr>
                <w:lang w:val="en-GB"/>
              </w:rPr>
              <w:t>anxiety,</w:t>
            </w:r>
          </w:p>
          <w:p w14:paraId="16D284FA" w14:textId="77777777" w:rsidR="00AB3BE8" w:rsidRPr="002A3533" w:rsidRDefault="00944B8F" w:rsidP="00A6206B">
            <w:pPr>
              <w:pStyle w:val="EMEANormal"/>
              <w:widowControl w:val="0"/>
              <w:spacing w:before="60"/>
              <w:rPr>
                <w:lang w:val="en-GB"/>
              </w:rPr>
            </w:pPr>
            <w:r w:rsidRPr="002A3533">
              <w:rPr>
                <w:lang w:val="en-GB"/>
              </w:rPr>
              <w:t>insomnia</w:t>
            </w:r>
          </w:p>
          <w:p w14:paraId="25442664" w14:textId="77777777" w:rsidR="00AB3BE8" w:rsidRPr="002A3533" w:rsidRDefault="00AB3BE8" w:rsidP="00A6206B">
            <w:pPr>
              <w:pStyle w:val="EMEANormal"/>
              <w:widowControl w:val="0"/>
              <w:spacing w:before="60"/>
              <w:rPr>
                <w:lang w:val="en-GB"/>
              </w:rPr>
            </w:pPr>
          </w:p>
        </w:tc>
      </w:tr>
      <w:tr w:rsidR="00C6578C" w14:paraId="6254CE59" w14:textId="77777777" w:rsidTr="00A6206B">
        <w:tc>
          <w:tcPr>
            <w:tcW w:w="2600" w:type="dxa"/>
            <w:vMerge w:val="restart"/>
          </w:tcPr>
          <w:p w14:paraId="7F171EBC" w14:textId="77777777" w:rsidR="00AB3BE8" w:rsidRPr="002A3533" w:rsidRDefault="00944B8F" w:rsidP="00A6206B">
            <w:pPr>
              <w:pStyle w:val="EMEANormal"/>
              <w:widowControl w:val="0"/>
              <w:spacing w:before="60"/>
              <w:rPr>
                <w:lang w:val="de-DE"/>
              </w:rPr>
            </w:pPr>
            <w:r w:rsidRPr="002A3533">
              <w:rPr>
                <w:lang w:val="de-DE"/>
              </w:rPr>
              <w:t>Nervous system disorders*</w:t>
            </w:r>
          </w:p>
        </w:tc>
        <w:tc>
          <w:tcPr>
            <w:tcW w:w="2074" w:type="dxa"/>
            <w:tcBorders>
              <w:bottom w:val="single" w:sz="4" w:space="0" w:color="auto"/>
            </w:tcBorders>
          </w:tcPr>
          <w:p w14:paraId="350308FC" w14:textId="77777777" w:rsidR="00AB3BE8" w:rsidRPr="002A3533" w:rsidRDefault="00944B8F" w:rsidP="00A6206B">
            <w:pPr>
              <w:pStyle w:val="EMEANormal"/>
              <w:widowControl w:val="0"/>
              <w:spacing w:before="60"/>
              <w:rPr>
                <w:lang w:val="en-GB"/>
              </w:rPr>
            </w:pPr>
            <w:r w:rsidRPr="002A3533">
              <w:rPr>
                <w:lang w:val="en-GB"/>
              </w:rPr>
              <w:t>Very common</w:t>
            </w:r>
          </w:p>
          <w:p w14:paraId="507C7A98" w14:textId="77777777" w:rsidR="00AB3BE8" w:rsidRPr="002A3533" w:rsidRDefault="00AB3BE8" w:rsidP="00A6206B">
            <w:pPr>
              <w:pStyle w:val="EMEANormal"/>
              <w:widowControl w:val="0"/>
              <w:spacing w:before="60"/>
              <w:rPr>
                <w:lang w:val="en-GB"/>
              </w:rPr>
            </w:pPr>
          </w:p>
        </w:tc>
        <w:tc>
          <w:tcPr>
            <w:tcW w:w="4575" w:type="dxa"/>
            <w:tcBorders>
              <w:bottom w:val="single" w:sz="4" w:space="0" w:color="auto"/>
            </w:tcBorders>
          </w:tcPr>
          <w:p w14:paraId="52780B42" w14:textId="77777777" w:rsidR="00AB3BE8" w:rsidRPr="002A3533" w:rsidRDefault="00944B8F" w:rsidP="00A6206B">
            <w:pPr>
              <w:pStyle w:val="EMEANormal"/>
              <w:widowControl w:val="0"/>
              <w:spacing w:before="60"/>
              <w:rPr>
                <w:lang w:val="en-GB"/>
              </w:rPr>
            </w:pPr>
            <w:r>
              <w:rPr>
                <w:lang w:val="en-GB"/>
              </w:rPr>
              <w:t>H</w:t>
            </w:r>
            <w:r w:rsidRPr="002A3533">
              <w:rPr>
                <w:lang w:val="en-GB"/>
              </w:rPr>
              <w:t>eadache</w:t>
            </w:r>
          </w:p>
        </w:tc>
      </w:tr>
      <w:tr w:rsidR="00C6578C" w14:paraId="7D38E88E" w14:textId="77777777" w:rsidTr="00A6206B">
        <w:tc>
          <w:tcPr>
            <w:tcW w:w="2600" w:type="dxa"/>
            <w:vMerge/>
          </w:tcPr>
          <w:p w14:paraId="6A7D1155" w14:textId="77777777" w:rsidR="00AB3BE8" w:rsidRPr="002A3533" w:rsidRDefault="00AB3BE8" w:rsidP="00A6206B">
            <w:pPr>
              <w:pStyle w:val="EMEANormal"/>
              <w:widowControl w:val="0"/>
              <w:spacing w:before="60"/>
              <w:rPr>
                <w:lang w:val="de-DE"/>
              </w:rPr>
            </w:pPr>
          </w:p>
        </w:tc>
        <w:tc>
          <w:tcPr>
            <w:tcW w:w="2074" w:type="dxa"/>
            <w:tcBorders>
              <w:top w:val="single" w:sz="4" w:space="0" w:color="auto"/>
              <w:bottom w:val="single" w:sz="4" w:space="0" w:color="auto"/>
            </w:tcBorders>
          </w:tcPr>
          <w:p w14:paraId="5B0EE463" w14:textId="77777777" w:rsidR="00AB3BE8" w:rsidRPr="002A3533" w:rsidRDefault="00944B8F" w:rsidP="00A6206B">
            <w:pPr>
              <w:pStyle w:val="EMEANormal"/>
              <w:widowControl w:val="0"/>
              <w:spacing w:before="60"/>
              <w:rPr>
                <w:lang w:val="en-GB"/>
              </w:rPr>
            </w:pPr>
            <w:r w:rsidRPr="002A3533">
              <w:rPr>
                <w:lang w:val="en-GB"/>
              </w:rPr>
              <w:t>Common</w:t>
            </w:r>
          </w:p>
          <w:p w14:paraId="655C8321" w14:textId="77777777" w:rsidR="00AB3BE8" w:rsidRPr="002A3533" w:rsidRDefault="00AB3BE8" w:rsidP="00A6206B">
            <w:pPr>
              <w:pStyle w:val="EMEANormal"/>
              <w:widowControl w:val="0"/>
              <w:spacing w:before="60"/>
              <w:rPr>
                <w:lang w:val="en-GB"/>
              </w:rPr>
            </w:pPr>
          </w:p>
        </w:tc>
        <w:tc>
          <w:tcPr>
            <w:tcW w:w="4575" w:type="dxa"/>
            <w:tcBorders>
              <w:top w:val="single" w:sz="4" w:space="0" w:color="auto"/>
              <w:bottom w:val="single" w:sz="4" w:space="0" w:color="auto"/>
            </w:tcBorders>
          </w:tcPr>
          <w:p w14:paraId="291F68AC" w14:textId="77777777" w:rsidR="00AB3BE8" w:rsidRPr="002A3533" w:rsidRDefault="00944B8F" w:rsidP="00A6206B">
            <w:pPr>
              <w:pStyle w:val="EMEANormal"/>
              <w:widowControl w:val="0"/>
              <w:spacing w:before="60"/>
              <w:rPr>
                <w:lang w:val="en-GB"/>
              </w:rPr>
            </w:pPr>
            <w:r>
              <w:rPr>
                <w:lang w:val="en-GB"/>
              </w:rPr>
              <w:t>P</w:t>
            </w:r>
            <w:r w:rsidRPr="002A3533">
              <w:rPr>
                <w:lang w:val="en-GB"/>
              </w:rPr>
              <w:t>araesthesias (including</w:t>
            </w:r>
            <w:r>
              <w:rPr>
                <w:lang w:val="en-GB"/>
              </w:rPr>
              <w:t xml:space="preserve"> </w:t>
            </w:r>
            <w:r w:rsidRPr="00106CE6">
              <w:rPr>
                <w:lang w:val="en-GB"/>
              </w:rPr>
              <w:t>hypoesthesia</w:t>
            </w:r>
            <w:r w:rsidRPr="002A3533">
              <w:rPr>
                <w:lang w:val="en-GB"/>
              </w:rPr>
              <w:t>),</w:t>
            </w:r>
          </w:p>
          <w:p w14:paraId="34FF669A" w14:textId="77777777" w:rsidR="00AB3BE8" w:rsidRPr="002A3533" w:rsidRDefault="00944B8F" w:rsidP="00A6206B">
            <w:pPr>
              <w:pStyle w:val="EMEANormal"/>
              <w:widowControl w:val="0"/>
              <w:spacing w:before="60"/>
              <w:rPr>
                <w:lang w:val="en-GB"/>
              </w:rPr>
            </w:pPr>
            <w:r w:rsidRPr="002A3533">
              <w:rPr>
                <w:lang w:val="en-GB"/>
              </w:rPr>
              <w:t>migraine,</w:t>
            </w:r>
          </w:p>
          <w:p w14:paraId="450FECCC" w14:textId="77777777" w:rsidR="00AB3BE8" w:rsidRPr="002A3533" w:rsidRDefault="00944B8F" w:rsidP="00A6206B">
            <w:pPr>
              <w:pStyle w:val="EMEANormal"/>
              <w:widowControl w:val="0"/>
              <w:spacing w:before="60"/>
              <w:rPr>
                <w:lang w:val="en-GB"/>
              </w:rPr>
            </w:pPr>
            <w:r w:rsidRPr="002A3533">
              <w:rPr>
                <w:lang w:val="en-GB"/>
              </w:rPr>
              <w:t>nerve root compression</w:t>
            </w:r>
          </w:p>
          <w:p w14:paraId="0EFC398F" w14:textId="77777777" w:rsidR="00AB3BE8" w:rsidRPr="002A3533" w:rsidRDefault="00AB3BE8" w:rsidP="00A6206B">
            <w:pPr>
              <w:pStyle w:val="EMEANormal"/>
              <w:widowControl w:val="0"/>
              <w:spacing w:before="60"/>
              <w:rPr>
                <w:lang w:val="en-GB"/>
              </w:rPr>
            </w:pPr>
          </w:p>
        </w:tc>
      </w:tr>
      <w:tr w:rsidR="00C6578C" w14:paraId="77AD80C9" w14:textId="77777777" w:rsidTr="00A6206B">
        <w:tc>
          <w:tcPr>
            <w:tcW w:w="2600" w:type="dxa"/>
            <w:vMerge/>
          </w:tcPr>
          <w:p w14:paraId="0B3E85FA" w14:textId="77777777" w:rsidR="00AB3BE8" w:rsidRPr="002A3533" w:rsidRDefault="00AB3BE8" w:rsidP="00A6206B">
            <w:pPr>
              <w:widowControl w:val="0"/>
              <w:spacing w:before="60"/>
              <w:jc w:val="center"/>
              <w:rPr>
                <w:b/>
              </w:rPr>
            </w:pPr>
          </w:p>
        </w:tc>
        <w:tc>
          <w:tcPr>
            <w:tcW w:w="2074" w:type="dxa"/>
            <w:tcBorders>
              <w:top w:val="single" w:sz="4" w:space="0" w:color="auto"/>
              <w:bottom w:val="single" w:sz="4" w:space="0" w:color="auto"/>
            </w:tcBorders>
          </w:tcPr>
          <w:p w14:paraId="78A67AFE" w14:textId="77777777" w:rsidR="00AB3BE8" w:rsidRPr="002A3533" w:rsidRDefault="00944B8F" w:rsidP="00A6206B">
            <w:pPr>
              <w:pStyle w:val="EMEANormal"/>
              <w:widowControl w:val="0"/>
              <w:rPr>
                <w:lang w:val="en-GB"/>
              </w:rPr>
            </w:pPr>
            <w:r w:rsidRPr="002A3533">
              <w:rPr>
                <w:lang w:val="en-GB"/>
              </w:rPr>
              <w:t>Uncommon</w:t>
            </w:r>
          </w:p>
          <w:p w14:paraId="25C964CD" w14:textId="77777777" w:rsidR="00AB3BE8" w:rsidRPr="002A3533" w:rsidRDefault="00AB3BE8" w:rsidP="00A6206B">
            <w:pPr>
              <w:pStyle w:val="EMEANormal"/>
              <w:widowControl w:val="0"/>
              <w:rPr>
                <w:lang w:val="en-GB"/>
              </w:rPr>
            </w:pPr>
          </w:p>
        </w:tc>
        <w:tc>
          <w:tcPr>
            <w:tcW w:w="4575" w:type="dxa"/>
            <w:tcBorders>
              <w:top w:val="single" w:sz="4" w:space="0" w:color="auto"/>
              <w:bottom w:val="single" w:sz="4" w:space="0" w:color="auto"/>
            </w:tcBorders>
          </w:tcPr>
          <w:p w14:paraId="3A2CD022" w14:textId="77777777" w:rsidR="00AB3BE8" w:rsidRPr="002A3533" w:rsidRDefault="00944B8F" w:rsidP="00A6206B">
            <w:pPr>
              <w:pStyle w:val="EMEANormal"/>
              <w:widowControl w:val="0"/>
              <w:rPr>
                <w:lang w:val="en-GB"/>
              </w:rPr>
            </w:pPr>
            <w:r>
              <w:rPr>
                <w:lang w:val="en-GB"/>
              </w:rPr>
              <w:t>C</w:t>
            </w:r>
            <w:r w:rsidRPr="002A3533">
              <w:rPr>
                <w:lang w:val="en-GB"/>
              </w:rPr>
              <w:t>erebrovascular accident</w:t>
            </w:r>
            <w:r w:rsidRPr="002A3533">
              <w:rPr>
                <w:vertAlign w:val="superscript"/>
                <w:lang w:val="en-GB"/>
              </w:rPr>
              <w:t>1)</w:t>
            </w:r>
            <w:r w:rsidRPr="002A3533">
              <w:rPr>
                <w:lang w:val="en-GB"/>
              </w:rPr>
              <w:t>,</w:t>
            </w:r>
          </w:p>
          <w:p w14:paraId="64398303" w14:textId="77777777" w:rsidR="00AB3BE8" w:rsidRPr="002A3533" w:rsidRDefault="00944B8F" w:rsidP="00A6206B">
            <w:pPr>
              <w:pStyle w:val="EMEANormal"/>
              <w:widowControl w:val="0"/>
              <w:rPr>
                <w:lang w:val="en-GB"/>
              </w:rPr>
            </w:pPr>
            <w:r w:rsidRPr="002A3533">
              <w:rPr>
                <w:lang w:val="en-GB"/>
              </w:rPr>
              <w:t>tremor,</w:t>
            </w:r>
          </w:p>
          <w:p w14:paraId="0D64020E" w14:textId="77777777" w:rsidR="00AB3BE8" w:rsidRPr="002A3533" w:rsidRDefault="00944B8F" w:rsidP="00A6206B">
            <w:pPr>
              <w:pStyle w:val="EMEANormal"/>
              <w:widowControl w:val="0"/>
              <w:rPr>
                <w:lang w:val="en-GB"/>
              </w:rPr>
            </w:pPr>
            <w:r w:rsidRPr="002A3533">
              <w:rPr>
                <w:lang w:val="en-GB"/>
              </w:rPr>
              <w:t xml:space="preserve">neuropathy  </w:t>
            </w:r>
          </w:p>
          <w:p w14:paraId="50AF7F25" w14:textId="77777777" w:rsidR="00AB3BE8" w:rsidRPr="002A3533" w:rsidRDefault="00AB3BE8" w:rsidP="00A6206B">
            <w:pPr>
              <w:pStyle w:val="EMEANormal"/>
              <w:widowControl w:val="0"/>
              <w:rPr>
                <w:lang w:val="en-GB"/>
              </w:rPr>
            </w:pPr>
          </w:p>
        </w:tc>
      </w:tr>
      <w:tr w:rsidR="00C6578C" w14:paraId="29802D39" w14:textId="77777777" w:rsidTr="00A6206B">
        <w:trPr>
          <w:trHeight w:val="881"/>
        </w:trPr>
        <w:tc>
          <w:tcPr>
            <w:tcW w:w="2600" w:type="dxa"/>
            <w:vMerge/>
          </w:tcPr>
          <w:p w14:paraId="563290C2" w14:textId="77777777" w:rsidR="00AB3BE8" w:rsidRPr="002A3533" w:rsidRDefault="00AB3BE8" w:rsidP="00A6206B">
            <w:pPr>
              <w:widowControl w:val="0"/>
              <w:spacing w:before="60"/>
              <w:jc w:val="center"/>
              <w:rPr>
                <w:b/>
              </w:rPr>
            </w:pPr>
          </w:p>
        </w:tc>
        <w:tc>
          <w:tcPr>
            <w:tcW w:w="2074" w:type="dxa"/>
            <w:tcBorders>
              <w:top w:val="single" w:sz="4" w:space="0" w:color="auto"/>
            </w:tcBorders>
          </w:tcPr>
          <w:p w14:paraId="6CE8587C" w14:textId="77777777" w:rsidR="00AB3BE8" w:rsidRPr="002A3533" w:rsidRDefault="00944B8F" w:rsidP="00A6206B">
            <w:pPr>
              <w:pStyle w:val="EMEANormal"/>
              <w:widowControl w:val="0"/>
              <w:rPr>
                <w:lang w:val="en-GB"/>
              </w:rPr>
            </w:pPr>
            <w:r w:rsidRPr="002A3533">
              <w:rPr>
                <w:lang w:val="en-GB"/>
              </w:rPr>
              <w:t>Rare</w:t>
            </w:r>
          </w:p>
          <w:p w14:paraId="28979079" w14:textId="77777777" w:rsidR="00AB3BE8" w:rsidRPr="002A3533" w:rsidRDefault="00AB3BE8" w:rsidP="00A6206B">
            <w:pPr>
              <w:pStyle w:val="EMEANormal"/>
              <w:widowControl w:val="0"/>
              <w:rPr>
                <w:lang w:val="en-GB"/>
              </w:rPr>
            </w:pPr>
          </w:p>
        </w:tc>
        <w:tc>
          <w:tcPr>
            <w:tcW w:w="4575" w:type="dxa"/>
            <w:tcBorders>
              <w:top w:val="single" w:sz="4" w:space="0" w:color="auto"/>
            </w:tcBorders>
          </w:tcPr>
          <w:p w14:paraId="598E3C82" w14:textId="77777777" w:rsidR="00AB3BE8" w:rsidRPr="002A3533" w:rsidRDefault="00944B8F" w:rsidP="00A6206B">
            <w:pPr>
              <w:pStyle w:val="EMEANormal"/>
              <w:widowControl w:val="0"/>
              <w:rPr>
                <w:lang w:val="fr-FR"/>
              </w:rPr>
            </w:pPr>
            <w:r>
              <w:rPr>
                <w:lang w:val="fr-FR"/>
              </w:rPr>
              <w:t>M</w:t>
            </w:r>
            <w:r w:rsidRPr="002A3533">
              <w:rPr>
                <w:lang w:val="fr-FR"/>
              </w:rPr>
              <w:t>ultiple sclerosis,</w:t>
            </w:r>
          </w:p>
          <w:p w14:paraId="40B43D2A" w14:textId="77777777" w:rsidR="00AB3BE8" w:rsidRPr="002A3533" w:rsidRDefault="00944B8F" w:rsidP="00A6206B">
            <w:pPr>
              <w:pStyle w:val="EMEANormal"/>
              <w:widowControl w:val="0"/>
              <w:spacing w:before="60"/>
              <w:rPr>
                <w:vertAlign w:val="superscript"/>
                <w:lang w:val="fr-FR"/>
              </w:rPr>
            </w:pPr>
            <w:r w:rsidRPr="002A3533">
              <w:rPr>
                <w:lang w:val="fr-FR"/>
              </w:rPr>
              <w:t>demyelinating disorder</w:t>
            </w:r>
            <w:r>
              <w:rPr>
                <w:lang w:val="fr-FR"/>
              </w:rPr>
              <w:t>s</w:t>
            </w:r>
            <w:r w:rsidRPr="002A3533">
              <w:rPr>
                <w:lang w:val="fr-FR"/>
              </w:rPr>
              <w:t xml:space="preserve"> (e.g. optic neuritis, Guillain-Barré syndrome)</w:t>
            </w:r>
            <w:r w:rsidRPr="002A3533">
              <w:rPr>
                <w:vertAlign w:val="superscript"/>
                <w:lang w:val="fr-FR"/>
              </w:rPr>
              <w:t xml:space="preserve"> 1)</w:t>
            </w:r>
          </w:p>
          <w:p w14:paraId="5D9B4A59" w14:textId="77777777" w:rsidR="00AB3BE8" w:rsidRPr="002A3533" w:rsidRDefault="00AB3BE8" w:rsidP="00A6206B">
            <w:pPr>
              <w:pStyle w:val="EMEANormal"/>
              <w:widowControl w:val="0"/>
              <w:spacing w:before="60"/>
              <w:rPr>
                <w:lang w:val="fr-FR"/>
              </w:rPr>
            </w:pPr>
          </w:p>
        </w:tc>
      </w:tr>
      <w:tr w:rsidR="00C6578C" w14:paraId="1ED57F91" w14:textId="77777777" w:rsidTr="00A6206B">
        <w:tc>
          <w:tcPr>
            <w:tcW w:w="2600" w:type="dxa"/>
            <w:vMerge w:val="restart"/>
          </w:tcPr>
          <w:p w14:paraId="3553A4F8" w14:textId="77777777" w:rsidR="00AB3BE8" w:rsidRPr="002A3533" w:rsidRDefault="00944B8F" w:rsidP="00A6206B">
            <w:pPr>
              <w:pStyle w:val="EMEANormal"/>
              <w:widowControl w:val="0"/>
              <w:spacing w:before="60"/>
              <w:rPr>
                <w:lang w:val="en-GB"/>
              </w:rPr>
            </w:pPr>
            <w:r w:rsidRPr="002A3533">
              <w:rPr>
                <w:lang w:val="en-GB"/>
              </w:rPr>
              <w:t>Eye disorders</w:t>
            </w:r>
          </w:p>
        </w:tc>
        <w:tc>
          <w:tcPr>
            <w:tcW w:w="2074" w:type="dxa"/>
            <w:tcBorders>
              <w:bottom w:val="single" w:sz="4" w:space="0" w:color="auto"/>
            </w:tcBorders>
          </w:tcPr>
          <w:p w14:paraId="64EC9FF3" w14:textId="77777777" w:rsidR="00AB3BE8" w:rsidRPr="002A3533" w:rsidRDefault="00944B8F" w:rsidP="00A6206B">
            <w:pPr>
              <w:pStyle w:val="EMEANormal"/>
              <w:widowControl w:val="0"/>
              <w:spacing w:before="60"/>
              <w:rPr>
                <w:lang w:val="en-GB"/>
              </w:rPr>
            </w:pPr>
            <w:r w:rsidRPr="002A3533">
              <w:rPr>
                <w:lang w:val="en-GB"/>
              </w:rPr>
              <w:t>Common</w:t>
            </w:r>
          </w:p>
          <w:p w14:paraId="64C10FA8" w14:textId="77777777" w:rsidR="00AB3BE8" w:rsidRPr="002A3533" w:rsidRDefault="00AB3BE8" w:rsidP="00A6206B">
            <w:pPr>
              <w:pStyle w:val="EMEANormal"/>
              <w:widowControl w:val="0"/>
              <w:spacing w:before="60"/>
              <w:rPr>
                <w:lang w:val="en-GB"/>
              </w:rPr>
            </w:pPr>
          </w:p>
        </w:tc>
        <w:tc>
          <w:tcPr>
            <w:tcW w:w="4575" w:type="dxa"/>
            <w:tcBorders>
              <w:bottom w:val="single" w:sz="4" w:space="0" w:color="auto"/>
            </w:tcBorders>
          </w:tcPr>
          <w:p w14:paraId="5D828CD3" w14:textId="77777777" w:rsidR="00AB3BE8" w:rsidRPr="002A3533" w:rsidRDefault="00944B8F" w:rsidP="00A6206B">
            <w:pPr>
              <w:pStyle w:val="EMEANormal"/>
              <w:widowControl w:val="0"/>
              <w:spacing w:before="60"/>
              <w:rPr>
                <w:lang w:val="en-GB"/>
              </w:rPr>
            </w:pPr>
            <w:r>
              <w:rPr>
                <w:lang w:val="en-GB"/>
              </w:rPr>
              <w:t>V</w:t>
            </w:r>
            <w:r w:rsidRPr="002A3533">
              <w:rPr>
                <w:lang w:val="en-GB"/>
              </w:rPr>
              <w:t>isual impairment,</w:t>
            </w:r>
          </w:p>
          <w:p w14:paraId="746170F6" w14:textId="77777777" w:rsidR="00AB3BE8" w:rsidRPr="002A3533" w:rsidRDefault="00944B8F" w:rsidP="00A6206B">
            <w:pPr>
              <w:pStyle w:val="EMEANormal"/>
              <w:widowControl w:val="0"/>
              <w:spacing w:before="60"/>
              <w:rPr>
                <w:lang w:val="en-GB"/>
              </w:rPr>
            </w:pPr>
            <w:r w:rsidRPr="002A3533">
              <w:rPr>
                <w:lang w:val="en-GB"/>
              </w:rPr>
              <w:t>conjunctivitis,</w:t>
            </w:r>
          </w:p>
          <w:p w14:paraId="5937864D" w14:textId="77777777" w:rsidR="00AB3BE8" w:rsidRPr="002A3533" w:rsidRDefault="00944B8F" w:rsidP="00A6206B">
            <w:pPr>
              <w:pStyle w:val="EMEANormal"/>
              <w:widowControl w:val="0"/>
              <w:spacing w:before="60"/>
              <w:rPr>
                <w:lang w:val="en-GB"/>
              </w:rPr>
            </w:pPr>
            <w:r w:rsidRPr="002A3533">
              <w:rPr>
                <w:lang w:val="en-GB"/>
              </w:rPr>
              <w:t>blepharitis,</w:t>
            </w:r>
          </w:p>
          <w:p w14:paraId="42281868" w14:textId="77777777" w:rsidR="00AB3BE8" w:rsidRPr="002A3533" w:rsidRDefault="00944B8F" w:rsidP="00A6206B">
            <w:pPr>
              <w:pStyle w:val="EMEANormal"/>
              <w:widowControl w:val="0"/>
              <w:spacing w:before="60"/>
              <w:rPr>
                <w:lang w:val="en-GB"/>
              </w:rPr>
            </w:pPr>
            <w:r w:rsidRPr="002A3533">
              <w:rPr>
                <w:lang w:val="en-GB"/>
              </w:rPr>
              <w:t>eye swelling</w:t>
            </w:r>
          </w:p>
          <w:p w14:paraId="173D1EDB" w14:textId="77777777" w:rsidR="00AB3BE8" w:rsidRPr="002A3533" w:rsidRDefault="00AB3BE8" w:rsidP="00A6206B">
            <w:pPr>
              <w:pStyle w:val="EMEANormal"/>
              <w:widowControl w:val="0"/>
              <w:spacing w:before="60"/>
              <w:rPr>
                <w:lang w:val="en-GB"/>
              </w:rPr>
            </w:pPr>
          </w:p>
        </w:tc>
      </w:tr>
      <w:tr w:rsidR="00C6578C" w14:paraId="1862AE98" w14:textId="77777777" w:rsidTr="00A6206B">
        <w:tc>
          <w:tcPr>
            <w:tcW w:w="2600" w:type="dxa"/>
            <w:vMerge/>
          </w:tcPr>
          <w:p w14:paraId="7F8BA681" w14:textId="77777777" w:rsidR="00AB3BE8" w:rsidRPr="002A3533" w:rsidRDefault="00AB3BE8" w:rsidP="00A6206B">
            <w:pPr>
              <w:widowControl w:val="0"/>
              <w:spacing w:before="60"/>
              <w:jc w:val="center"/>
              <w:rPr>
                <w:b/>
              </w:rPr>
            </w:pPr>
          </w:p>
        </w:tc>
        <w:tc>
          <w:tcPr>
            <w:tcW w:w="2074" w:type="dxa"/>
            <w:tcBorders>
              <w:top w:val="single" w:sz="4" w:space="0" w:color="auto"/>
            </w:tcBorders>
          </w:tcPr>
          <w:p w14:paraId="2B7F91FC" w14:textId="77777777" w:rsidR="00AB3BE8" w:rsidRPr="002A3533" w:rsidRDefault="00944B8F" w:rsidP="00A6206B">
            <w:pPr>
              <w:pStyle w:val="EMEANormal"/>
              <w:widowControl w:val="0"/>
              <w:rPr>
                <w:lang w:val="fr-FR"/>
              </w:rPr>
            </w:pPr>
            <w:r w:rsidRPr="002A3533">
              <w:rPr>
                <w:lang w:val="fr-FR"/>
              </w:rPr>
              <w:t>Uncommon</w:t>
            </w:r>
          </w:p>
        </w:tc>
        <w:tc>
          <w:tcPr>
            <w:tcW w:w="4575" w:type="dxa"/>
            <w:tcBorders>
              <w:top w:val="single" w:sz="4" w:space="0" w:color="auto"/>
            </w:tcBorders>
          </w:tcPr>
          <w:p w14:paraId="58103268" w14:textId="77777777" w:rsidR="00AB3BE8" w:rsidRPr="002A3533" w:rsidRDefault="00944B8F" w:rsidP="00A6206B">
            <w:pPr>
              <w:pStyle w:val="EMEANormal"/>
              <w:widowControl w:val="0"/>
              <w:rPr>
                <w:lang w:val="en-GB"/>
              </w:rPr>
            </w:pPr>
            <w:r>
              <w:rPr>
                <w:lang w:val="en-GB"/>
              </w:rPr>
              <w:t>D</w:t>
            </w:r>
            <w:r w:rsidRPr="002A3533">
              <w:rPr>
                <w:lang w:val="en-GB"/>
              </w:rPr>
              <w:t>iplopia</w:t>
            </w:r>
          </w:p>
          <w:p w14:paraId="006AB306" w14:textId="77777777" w:rsidR="00AB3BE8" w:rsidRPr="002A3533" w:rsidRDefault="00AB3BE8" w:rsidP="00A6206B">
            <w:pPr>
              <w:pStyle w:val="EMEANormal"/>
              <w:widowControl w:val="0"/>
              <w:rPr>
                <w:lang w:val="en-GB"/>
              </w:rPr>
            </w:pPr>
          </w:p>
        </w:tc>
      </w:tr>
      <w:tr w:rsidR="00C6578C" w14:paraId="784E8516" w14:textId="77777777" w:rsidTr="00A6206B">
        <w:tc>
          <w:tcPr>
            <w:tcW w:w="2600" w:type="dxa"/>
            <w:vMerge w:val="restart"/>
          </w:tcPr>
          <w:p w14:paraId="1CD0C6A7" w14:textId="77777777" w:rsidR="00AB3BE8" w:rsidRPr="002A3533" w:rsidRDefault="00944B8F" w:rsidP="00A6206B">
            <w:pPr>
              <w:pStyle w:val="EMEANormal"/>
              <w:widowControl w:val="0"/>
              <w:spacing w:before="60"/>
              <w:rPr>
                <w:lang w:val="en-GB"/>
              </w:rPr>
            </w:pPr>
            <w:r w:rsidRPr="002A3533">
              <w:rPr>
                <w:lang w:val="en-GB"/>
              </w:rPr>
              <w:t xml:space="preserve">Ear and labyrinth disorders </w:t>
            </w:r>
          </w:p>
          <w:p w14:paraId="1061B3F3" w14:textId="77777777" w:rsidR="00AB3BE8" w:rsidRPr="002A3533" w:rsidRDefault="00AB3BE8" w:rsidP="00A6206B">
            <w:pPr>
              <w:pStyle w:val="EMEANormal"/>
              <w:widowControl w:val="0"/>
              <w:spacing w:before="60"/>
              <w:rPr>
                <w:lang w:val="en-GB"/>
              </w:rPr>
            </w:pPr>
          </w:p>
        </w:tc>
        <w:tc>
          <w:tcPr>
            <w:tcW w:w="2074" w:type="dxa"/>
            <w:tcBorders>
              <w:bottom w:val="single" w:sz="4" w:space="0" w:color="auto"/>
            </w:tcBorders>
          </w:tcPr>
          <w:p w14:paraId="0F4120BF" w14:textId="77777777" w:rsidR="00AB3BE8" w:rsidRPr="002A3533" w:rsidRDefault="00944B8F" w:rsidP="00A6206B">
            <w:pPr>
              <w:pStyle w:val="EMEANormal"/>
              <w:widowControl w:val="0"/>
              <w:spacing w:before="60"/>
              <w:rPr>
                <w:lang w:val="en-GB"/>
              </w:rPr>
            </w:pPr>
            <w:r w:rsidRPr="002A3533">
              <w:rPr>
                <w:lang w:val="en-GB"/>
              </w:rPr>
              <w:t>Common</w:t>
            </w:r>
          </w:p>
          <w:p w14:paraId="509208B4" w14:textId="77777777" w:rsidR="00AB3BE8" w:rsidRPr="002A3533" w:rsidRDefault="00AB3BE8" w:rsidP="00A6206B">
            <w:pPr>
              <w:pStyle w:val="EMEANormal"/>
              <w:widowControl w:val="0"/>
              <w:spacing w:before="60"/>
              <w:rPr>
                <w:lang w:val="en-GB"/>
              </w:rPr>
            </w:pPr>
          </w:p>
        </w:tc>
        <w:tc>
          <w:tcPr>
            <w:tcW w:w="4575" w:type="dxa"/>
            <w:tcBorders>
              <w:bottom w:val="single" w:sz="4" w:space="0" w:color="auto"/>
            </w:tcBorders>
          </w:tcPr>
          <w:p w14:paraId="0D64C443" w14:textId="77777777" w:rsidR="00AB3BE8" w:rsidRPr="002A3533" w:rsidRDefault="00944B8F" w:rsidP="00A6206B">
            <w:pPr>
              <w:pStyle w:val="EMEANormal"/>
              <w:widowControl w:val="0"/>
              <w:spacing w:before="60"/>
              <w:rPr>
                <w:lang w:val="en-GB"/>
              </w:rPr>
            </w:pPr>
            <w:r>
              <w:rPr>
                <w:lang w:val="en-GB"/>
              </w:rPr>
              <w:t>V</w:t>
            </w:r>
            <w:r w:rsidRPr="002A3533">
              <w:rPr>
                <w:lang w:val="en-GB"/>
              </w:rPr>
              <w:t>ertigo</w:t>
            </w:r>
          </w:p>
          <w:p w14:paraId="6DC9F87B" w14:textId="77777777" w:rsidR="00AB3BE8" w:rsidRPr="002A3533" w:rsidRDefault="00AB3BE8" w:rsidP="00A6206B">
            <w:pPr>
              <w:pStyle w:val="EMEANormal"/>
              <w:widowControl w:val="0"/>
              <w:spacing w:before="60"/>
              <w:rPr>
                <w:lang w:val="en-GB"/>
              </w:rPr>
            </w:pPr>
          </w:p>
        </w:tc>
      </w:tr>
      <w:tr w:rsidR="00C6578C" w14:paraId="5780A277" w14:textId="77777777" w:rsidTr="00A6206B">
        <w:tc>
          <w:tcPr>
            <w:tcW w:w="2600" w:type="dxa"/>
            <w:vMerge/>
          </w:tcPr>
          <w:p w14:paraId="77548750" w14:textId="77777777" w:rsidR="00AB3BE8" w:rsidRPr="002A3533" w:rsidRDefault="00AB3BE8" w:rsidP="00A6206B">
            <w:pPr>
              <w:widowControl w:val="0"/>
              <w:spacing w:before="60"/>
              <w:jc w:val="center"/>
              <w:rPr>
                <w:b/>
              </w:rPr>
            </w:pPr>
          </w:p>
        </w:tc>
        <w:tc>
          <w:tcPr>
            <w:tcW w:w="2074" w:type="dxa"/>
            <w:tcBorders>
              <w:top w:val="single" w:sz="4" w:space="0" w:color="auto"/>
            </w:tcBorders>
          </w:tcPr>
          <w:p w14:paraId="00D7FEAE" w14:textId="77777777" w:rsidR="00AB3BE8" w:rsidRPr="002A3533" w:rsidRDefault="00944B8F" w:rsidP="00A6206B">
            <w:pPr>
              <w:pStyle w:val="EMEANormal"/>
              <w:widowControl w:val="0"/>
              <w:rPr>
                <w:lang w:val="en-GB"/>
              </w:rPr>
            </w:pPr>
            <w:r w:rsidRPr="002A3533">
              <w:rPr>
                <w:lang w:val="en-GB"/>
              </w:rPr>
              <w:t>Uncommon</w:t>
            </w:r>
          </w:p>
          <w:p w14:paraId="7951FB00" w14:textId="77777777" w:rsidR="00AB3BE8" w:rsidRPr="002A3533" w:rsidRDefault="00AB3BE8" w:rsidP="00A6206B">
            <w:pPr>
              <w:pStyle w:val="EMEANormal"/>
              <w:widowControl w:val="0"/>
              <w:rPr>
                <w:lang w:val="en-GB"/>
              </w:rPr>
            </w:pPr>
          </w:p>
        </w:tc>
        <w:tc>
          <w:tcPr>
            <w:tcW w:w="4575" w:type="dxa"/>
            <w:tcBorders>
              <w:top w:val="single" w:sz="4" w:space="0" w:color="auto"/>
            </w:tcBorders>
          </w:tcPr>
          <w:p w14:paraId="59172C21" w14:textId="77777777" w:rsidR="00AB3BE8" w:rsidRPr="002A3533" w:rsidRDefault="00944B8F" w:rsidP="00A6206B">
            <w:pPr>
              <w:pStyle w:val="EMEANormal"/>
              <w:widowControl w:val="0"/>
              <w:rPr>
                <w:lang w:val="en-GB"/>
              </w:rPr>
            </w:pPr>
            <w:r>
              <w:rPr>
                <w:lang w:val="en-GB"/>
              </w:rPr>
              <w:t>D</w:t>
            </w:r>
            <w:r w:rsidRPr="002A3533">
              <w:rPr>
                <w:lang w:val="en-GB"/>
              </w:rPr>
              <w:t xml:space="preserve">eafness, </w:t>
            </w:r>
          </w:p>
          <w:p w14:paraId="6904E067" w14:textId="77777777" w:rsidR="00AB3BE8" w:rsidRPr="002A3533" w:rsidRDefault="00944B8F" w:rsidP="00A6206B">
            <w:pPr>
              <w:pStyle w:val="EMEANormal"/>
              <w:widowControl w:val="0"/>
              <w:rPr>
                <w:lang w:val="en-GB"/>
              </w:rPr>
            </w:pPr>
            <w:r w:rsidRPr="002A3533">
              <w:rPr>
                <w:lang w:val="en-GB"/>
              </w:rPr>
              <w:t>tinnitus</w:t>
            </w:r>
          </w:p>
          <w:p w14:paraId="7B21B744" w14:textId="77777777" w:rsidR="00AB3BE8" w:rsidRPr="002A3533" w:rsidRDefault="00AB3BE8" w:rsidP="00A6206B">
            <w:pPr>
              <w:pStyle w:val="EMEANormal"/>
              <w:widowControl w:val="0"/>
              <w:rPr>
                <w:lang w:val="en-GB"/>
              </w:rPr>
            </w:pPr>
          </w:p>
        </w:tc>
      </w:tr>
      <w:tr w:rsidR="00C6578C" w14:paraId="01B56419" w14:textId="77777777" w:rsidTr="00A6206B">
        <w:tc>
          <w:tcPr>
            <w:tcW w:w="2600" w:type="dxa"/>
            <w:vMerge w:val="restart"/>
          </w:tcPr>
          <w:p w14:paraId="7CE58552" w14:textId="77777777" w:rsidR="00AB3BE8" w:rsidRPr="002A3533" w:rsidRDefault="00944B8F" w:rsidP="00A6206B">
            <w:pPr>
              <w:pStyle w:val="EMEANormal"/>
              <w:widowControl w:val="0"/>
              <w:spacing w:before="60"/>
              <w:rPr>
                <w:lang w:val="en-GB"/>
              </w:rPr>
            </w:pPr>
            <w:r w:rsidRPr="002A3533">
              <w:rPr>
                <w:lang w:val="en-GB"/>
              </w:rPr>
              <w:lastRenderedPageBreak/>
              <w:t xml:space="preserve">Cardiac disorders* </w:t>
            </w:r>
          </w:p>
        </w:tc>
        <w:tc>
          <w:tcPr>
            <w:tcW w:w="2074" w:type="dxa"/>
            <w:tcBorders>
              <w:bottom w:val="single" w:sz="4" w:space="0" w:color="auto"/>
            </w:tcBorders>
          </w:tcPr>
          <w:p w14:paraId="0C388FAE" w14:textId="77777777" w:rsidR="00AB3BE8" w:rsidRPr="002A3533" w:rsidRDefault="00944B8F" w:rsidP="00A6206B">
            <w:pPr>
              <w:pStyle w:val="EMEANormal"/>
              <w:widowControl w:val="0"/>
              <w:spacing w:before="60"/>
              <w:rPr>
                <w:lang w:val="en-GB"/>
              </w:rPr>
            </w:pPr>
            <w:r w:rsidRPr="002A3533">
              <w:rPr>
                <w:lang w:val="en-GB"/>
              </w:rPr>
              <w:t>Common</w:t>
            </w:r>
          </w:p>
        </w:tc>
        <w:tc>
          <w:tcPr>
            <w:tcW w:w="4575" w:type="dxa"/>
            <w:tcBorders>
              <w:bottom w:val="single" w:sz="4" w:space="0" w:color="auto"/>
            </w:tcBorders>
          </w:tcPr>
          <w:p w14:paraId="70ECC779" w14:textId="77777777" w:rsidR="00AB3BE8" w:rsidRPr="002A3533" w:rsidRDefault="00944B8F" w:rsidP="00A6206B">
            <w:pPr>
              <w:pStyle w:val="EMEANormal"/>
              <w:widowControl w:val="0"/>
              <w:spacing w:before="60"/>
              <w:rPr>
                <w:lang w:val="en-GB"/>
              </w:rPr>
            </w:pPr>
            <w:r>
              <w:rPr>
                <w:lang w:val="en-GB"/>
              </w:rPr>
              <w:t>T</w:t>
            </w:r>
            <w:r w:rsidRPr="002A3533">
              <w:rPr>
                <w:lang w:val="en-GB"/>
              </w:rPr>
              <w:t>achycardia</w:t>
            </w:r>
          </w:p>
          <w:p w14:paraId="46AD4ED0" w14:textId="77777777" w:rsidR="00AB3BE8" w:rsidRPr="002A3533" w:rsidRDefault="00AB3BE8" w:rsidP="00A6206B">
            <w:pPr>
              <w:pStyle w:val="EMEANormal"/>
              <w:widowControl w:val="0"/>
              <w:spacing w:before="60"/>
              <w:rPr>
                <w:lang w:val="en-GB"/>
              </w:rPr>
            </w:pPr>
          </w:p>
        </w:tc>
      </w:tr>
      <w:tr w:rsidR="00C6578C" w14:paraId="22C1851B" w14:textId="77777777" w:rsidTr="00A6206B">
        <w:tc>
          <w:tcPr>
            <w:tcW w:w="2600" w:type="dxa"/>
            <w:vMerge/>
          </w:tcPr>
          <w:p w14:paraId="26CDC117" w14:textId="77777777" w:rsidR="00AB3BE8" w:rsidRPr="002A3533" w:rsidRDefault="00AB3BE8" w:rsidP="00A6206B">
            <w:pPr>
              <w:pStyle w:val="EMEANormal"/>
              <w:widowControl w:val="0"/>
              <w:spacing w:before="60"/>
              <w:rPr>
                <w:lang w:val="en-GB"/>
              </w:rPr>
            </w:pPr>
          </w:p>
        </w:tc>
        <w:tc>
          <w:tcPr>
            <w:tcW w:w="2074" w:type="dxa"/>
            <w:tcBorders>
              <w:top w:val="single" w:sz="4" w:space="0" w:color="auto"/>
              <w:bottom w:val="single" w:sz="4" w:space="0" w:color="auto"/>
            </w:tcBorders>
          </w:tcPr>
          <w:p w14:paraId="3E755711" w14:textId="77777777" w:rsidR="00AB3BE8" w:rsidRPr="002A3533" w:rsidRDefault="00944B8F" w:rsidP="00A6206B">
            <w:pPr>
              <w:pStyle w:val="EMEANormal"/>
              <w:widowControl w:val="0"/>
              <w:spacing w:before="60"/>
              <w:rPr>
                <w:lang w:val="en-GB"/>
              </w:rPr>
            </w:pPr>
            <w:r w:rsidRPr="002A3533">
              <w:rPr>
                <w:lang w:val="en-GB"/>
              </w:rPr>
              <w:t>Uncommon</w:t>
            </w:r>
          </w:p>
          <w:p w14:paraId="3699EB23" w14:textId="77777777" w:rsidR="00AB3BE8" w:rsidRPr="002A3533" w:rsidRDefault="00AB3BE8" w:rsidP="00A6206B">
            <w:pPr>
              <w:pStyle w:val="EMEANormal"/>
              <w:widowControl w:val="0"/>
              <w:spacing w:before="60"/>
              <w:rPr>
                <w:lang w:val="en-GB"/>
              </w:rPr>
            </w:pPr>
          </w:p>
        </w:tc>
        <w:tc>
          <w:tcPr>
            <w:tcW w:w="4575" w:type="dxa"/>
            <w:tcBorders>
              <w:top w:val="single" w:sz="4" w:space="0" w:color="auto"/>
              <w:bottom w:val="single" w:sz="4" w:space="0" w:color="auto"/>
            </w:tcBorders>
          </w:tcPr>
          <w:p w14:paraId="49DE6DE3" w14:textId="77777777" w:rsidR="00AB3BE8" w:rsidRPr="002A3533" w:rsidRDefault="00944B8F" w:rsidP="00A6206B">
            <w:pPr>
              <w:pStyle w:val="EMEANormal"/>
              <w:widowControl w:val="0"/>
              <w:spacing w:before="60"/>
              <w:rPr>
                <w:lang w:val="en-GB"/>
              </w:rPr>
            </w:pPr>
            <w:r>
              <w:rPr>
                <w:lang w:val="en-GB"/>
              </w:rPr>
              <w:t>M</w:t>
            </w:r>
            <w:r w:rsidRPr="002A3533">
              <w:rPr>
                <w:lang w:val="en-GB"/>
              </w:rPr>
              <w:t>yocardial infarction</w:t>
            </w:r>
            <w:r w:rsidRPr="002A3533">
              <w:rPr>
                <w:vertAlign w:val="superscript"/>
                <w:lang w:val="en-GB"/>
              </w:rPr>
              <w:t>1)</w:t>
            </w:r>
            <w:r w:rsidRPr="002A3533">
              <w:rPr>
                <w:lang w:val="en-GB"/>
              </w:rPr>
              <w:t>,</w:t>
            </w:r>
          </w:p>
          <w:p w14:paraId="752A84F0" w14:textId="77777777" w:rsidR="00AB3BE8" w:rsidRPr="002A3533" w:rsidRDefault="00944B8F" w:rsidP="00A6206B">
            <w:pPr>
              <w:pStyle w:val="EMEANormal"/>
              <w:widowControl w:val="0"/>
              <w:spacing w:before="60"/>
              <w:rPr>
                <w:lang w:val="en-GB"/>
              </w:rPr>
            </w:pPr>
            <w:r w:rsidRPr="002A3533">
              <w:rPr>
                <w:lang w:val="en-GB"/>
              </w:rPr>
              <w:t>arrhythmia,</w:t>
            </w:r>
          </w:p>
          <w:p w14:paraId="7B3AE578" w14:textId="77777777" w:rsidR="00AB3BE8" w:rsidRPr="002A3533" w:rsidRDefault="00944B8F" w:rsidP="00A6206B">
            <w:pPr>
              <w:pStyle w:val="EMEANormal"/>
              <w:widowControl w:val="0"/>
              <w:spacing w:before="60"/>
              <w:rPr>
                <w:lang w:val="en-GB"/>
              </w:rPr>
            </w:pPr>
            <w:r w:rsidRPr="002A3533">
              <w:rPr>
                <w:lang w:val="en-GB"/>
              </w:rPr>
              <w:t>congestive heart failure</w:t>
            </w:r>
          </w:p>
          <w:p w14:paraId="1D821738" w14:textId="77777777" w:rsidR="00AB3BE8" w:rsidRPr="002A3533" w:rsidRDefault="00AB3BE8" w:rsidP="00A6206B">
            <w:pPr>
              <w:pStyle w:val="EMEANormal"/>
              <w:widowControl w:val="0"/>
              <w:spacing w:before="60"/>
              <w:rPr>
                <w:lang w:val="en-GB"/>
              </w:rPr>
            </w:pPr>
          </w:p>
        </w:tc>
      </w:tr>
      <w:tr w:rsidR="00C6578C" w14:paraId="102F54A6" w14:textId="77777777" w:rsidTr="00A6206B">
        <w:tc>
          <w:tcPr>
            <w:tcW w:w="2600" w:type="dxa"/>
            <w:vMerge/>
          </w:tcPr>
          <w:p w14:paraId="751C1467" w14:textId="77777777" w:rsidR="00AB3BE8" w:rsidRPr="002A3533" w:rsidRDefault="00AB3BE8" w:rsidP="00A6206B">
            <w:pPr>
              <w:widowControl w:val="0"/>
              <w:spacing w:before="60"/>
              <w:jc w:val="center"/>
              <w:rPr>
                <w:b/>
              </w:rPr>
            </w:pPr>
          </w:p>
        </w:tc>
        <w:tc>
          <w:tcPr>
            <w:tcW w:w="2074" w:type="dxa"/>
            <w:tcBorders>
              <w:top w:val="single" w:sz="4" w:space="0" w:color="auto"/>
            </w:tcBorders>
          </w:tcPr>
          <w:p w14:paraId="5147AB14" w14:textId="77777777" w:rsidR="00AB3BE8" w:rsidRPr="002A3533" w:rsidRDefault="00944B8F" w:rsidP="00A6206B">
            <w:pPr>
              <w:pStyle w:val="EMEANormal"/>
              <w:widowControl w:val="0"/>
              <w:rPr>
                <w:lang w:val="en-GB"/>
              </w:rPr>
            </w:pPr>
            <w:r w:rsidRPr="002A3533">
              <w:rPr>
                <w:lang w:val="en-GB"/>
              </w:rPr>
              <w:t>Rare</w:t>
            </w:r>
          </w:p>
          <w:p w14:paraId="457AFB40" w14:textId="77777777" w:rsidR="00AB3BE8" w:rsidRPr="002A3533" w:rsidRDefault="00AB3BE8" w:rsidP="00A6206B">
            <w:pPr>
              <w:pStyle w:val="EMEANormal"/>
              <w:widowControl w:val="0"/>
              <w:rPr>
                <w:lang w:val="en-GB"/>
              </w:rPr>
            </w:pPr>
          </w:p>
        </w:tc>
        <w:tc>
          <w:tcPr>
            <w:tcW w:w="4575" w:type="dxa"/>
            <w:tcBorders>
              <w:top w:val="single" w:sz="4" w:space="0" w:color="auto"/>
            </w:tcBorders>
          </w:tcPr>
          <w:p w14:paraId="1A05B00D" w14:textId="77777777" w:rsidR="00AB3BE8" w:rsidRPr="002A3533" w:rsidRDefault="00944B8F" w:rsidP="00A6206B">
            <w:pPr>
              <w:pStyle w:val="EMEANormal"/>
              <w:widowControl w:val="0"/>
              <w:rPr>
                <w:lang w:val="en-GB"/>
              </w:rPr>
            </w:pPr>
            <w:r>
              <w:rPr>
                <w:lang w:val="en-GB"/>
              </w:rPr>
              <w:t>C</w:t>
            </w:r>
            <w:r w:rsidRPr="002A3533">
              <w:rPr>
                <w:lang w:val="en-GB"/>
              </w:rPr>
              <w:t>ardiac arrest</w:t>
            </w:r>
          </w:p>
          <w:p w14:paraId="673FA87B" w14:textId="77777777" w:rsidR="00AB3BE8" w:rsidRPr="002A3533" w:rsidRDefault="00AB3BE8" w:rsidP="00A6206B">
            <w:pPr>
              <w:pStyle w:val="EMEANormal"/>
              <w:widowControl w:val="0"/>
              <w:rPr>
                <w:lang w:val="en-GB"/>
              </w:rPr>
            </w:pPr>
          </w:p>
        </w:tc>
      </w:tr>
      <w:tr w:rsidR="00C6578C" w14:paraId="72776E23" w14:textId="77777777" w:rsidTr="00A6206B">
        <w:tc>
          <w:tcPr>
            <w:tcW w:w="2600" w:type="dxa"/>
            <w:vMerge w:val="restart"/>
          </w:tcPr>
          <w:p w14:paraId="02CF0F3E" w14:textId="77777777" w:rsidR="00AB3BE8" w:rsidRPr="002A3533" w:rsidRDefault="00944B8F" w:rsidP="00A6206B">
            <w:pPr>
              <w:pStyle w:val="EMEANormal"/>
              <w:widowControl w:val="0"/>
              <w:spacing w:before="60"/>
              <w:rPr>
                <w:lang w:val="en-GB"/>
              </w:rPr>
            </w:pPr>
            <w:r w:rsidRPr="002A3533">
              <w:rPr>
                <w:lang w:val="en-GB"/>
              </w:rPr>
              <w:t>Vascular disorders</w:t>
            </w:r>
          </w:p>
        </w:tc>
        <w:tc>
          <w:tcPr>
            <w:tcW w:w="2074" w:type="dxa"/>
            <w:tcBorders>
              <w:bottom w:val="single" w:sz="4" w:space="0" w:color="auto"/>
            </w:tcBorders>
          </w:tcPr>
          <w:p w14:paraId="5C887412" w14:textId="77777777" w:rsidR="00AB3BE8" w:rsidRPr="002A3533" w:rsidRDefault="00944B8F" w:rsidP="00A6206B">
            <w:pPr>
              <w:pStyle w:val="EMEANormal"/>
              <w:widowControl w:val="0"/>
              <w:spacing w:before="60"/>
              <w:rPr>
                <w:lang w:val="en-GB"/>
              </w:rPr>
            </w:pPr>
            <w:r w:rsidRPr="002A3533">
              <w:rPr>
                <w:lang w:val="en-GB"/>
              </w:rPr>
              <w:t>Common</w:t>
            </w:r>
          </w:p>
          <w:p w14:paraId="79D9B95E" w14:textId="77777777" w:rsidR="00AB3BE8" w:rsidRPr="002A3533" w:rsidRDefault="00AB3BE8" w:rsidP="00A6206B">
            <w:pPr>
              <w:pStyle w:val="EMEANormal"/>
              <w:widowControl w:val="0"/>
              <w:spacing w:before="60"/>
              <w:rPr>
                <w:lang w:val="en-GB"/>
              </w:rPr>
            </w:pPr>
          </w:p>
        </w:tc>
        <w:tc>
          <w:tcPr>
            <w:tcW w:w="4575" w:type="dxa"/>
            <w:tcBorders>
              <w:bottom w:val="single" w:sz="4" w:space="0" w:color="auto"/>
            </w:tcBorders>
          </w:tcPr>
          <w:p w14:paraId="30A95265" w14:textId="77777777" w:rsidR="00AB3BE8" w:rsidRPr="002A3533" w:rsidRDefault="00944B8F" w:rsidP="00A6206B">
            <w:pPr>
              <w:pStyle w:val="EMEANormal"/>
              <w:widowControl w:val="0"/>
              <w:spacing w:before="60"/>
              <w:rPr>
                <w:lang w:val="en-GB"/>
              </w:rPr>
            </w:pPr>
            <w:r>
              <w:rPr>
                <w:lang w:val="en-GB"/>
              </w:rPr>
              <w:t>H</w:t>
            </w:r>
            <w:r w:rsidRPr="002A3533">
              <w:rPr>
                <w:lang w:val="en-GB"/>
              </w:rPr>
              <w:t xml:space="preserve">ypertension, </w:t>
            </w:r>
          </w:p>
          <w:p w14:paraId="6ACAC148" w14:textId="77777777" w:rsidR="00AB3BE8" w:rsidRPr="002A3533" w:rsidRDefault="00944B8F" w:rsidP="00A6206B">
            <w:pPr>
              <w:pStyle w:val="EMEANormal"/>
              <w:widowControl w:val="0"/>
              <w:spacing w:before="60"/>
              <w:rPr>
                <w:lang w:val="en-GB"/>
              </w:rPr>
            </w:pPr>
            <w:r w:rsidRPr="002A3533">
              <w:rPr>
                <w:lang w:val="en-GB"/>
              </w:rPr>
              <w:t xml:space="preserve">flushing, </w:t>
            </w:r>
          </w:p>
          <w:p w14:paraId="7F65EA21" w14:textId="77777777" w:rsidR="00AB3BE8" w:rsidRPr="002A3533" w:rsidRDefault="00944B8F" w:rsidP="00A6206B">
            <w:pPr>
              <w:pStyle w:val="EMEANormal"/>
              <w:widowControl w:val="0"/>
              <w:spacing w:before="60"/>
              <w:rPr>
                <w:lang w:val="en-GB"/>
              </w:rPr>
            </w:pPr>
            <w:r w:rsidRPr="002A3533">
              <w:rPr>
                <w:lang w:val="en-GB"/>
              </w:rPr>
              <w:t>haematoma</w:t>
            </w:r>
          </w:p>
          <w:p w14:paraId="03D3E150" w14:textId="77777777" w:rsidR="00AB3BE8" w:rsidRPr="002A3533" w:rsidRDefault="00AB3BE8" w:rsidP="00A6206B">
            <w:pPr>
              <w:pStyle w:val="EMEANormal"/>
              <w:widowControl w:val="0"/>
              <w:spacing w:before="60"/>
              <w:rPr>
                <w:lang w:val="en-GB"/>
              </w:rPr>
            </w:pPr>
          </w:p>
        </w:tc>
      </w:tr>
      <w:tr w:rsidR="00C6578C" w14:paraId="6774844A" w14:textId="77777777" w:rsidTr="00A6206B">
        <w:tc>
          <w:tcPr>
            <w:tcW w:w="2600" w:type="dxa"/>
            <w:vMerge/>
            <w:tcBorders>
              <w:bottom w:val="single" w:sz="4" w:space="0" w:color="auto"/>
            </w:tcBorders>
          </w:tcPr>
          <w:p w14:paraId="6AC917C5" w14:textId="77777777" w:rsidR="00AB3BE8" w:rsidRPr="002A3533" w:rsidRDefault="00AB3BE8" w:rsidP="00A6206B">
            <w:pPr>
              <w:pStyle w:val="EMEANormal"/>
              <w:widowControl w:val="0"/>
              <w:spacing w:before="60"/>
              <w:rPr>
                <w:lang w:val="en-GB"/>
              </w:rPr>
            </w:pPr>
          </w:p>
        </w:tc>
        <w:tc>
          <w:tcPr>
            <w:tcW w:w="2074" w:type="dxa"/>
            <w:tcBorders>
              <w:top w:val="single" w:sz="4" w:space="0" w:color="auto"/>
              <w:bottom w:val="single" w:sz="4" w:space="0" w:color="auto"/>
            </w:tcBorders>
          </w:tcPr>
          <w:p w14:paraId="3FA1BF80" w14:textId="77777777" w:rsidR="00AB3BE8" w:rsidRPr="002A3533" w:rsidRDefault="00944B8F" w:rsidP="00A6206B">
            <w:pPr>
              <w:pStyle w:val="EMEANormal"/>
              <w:widowControl w:val="0"/>
              <w:rPr>
                <w:lang w:val="en-GB"/>
              </w:rPr>
            </w:pPr>
            <w:r w:rsidRPr="002A3533">
              <w:rPr>
                <w:lang w:val="en-GB"/>
              </w:rPr>
              <w:t>Uncommon</w:t>
            </w:r>
          </w:p>
        </w:tc>
        <w:tc>
          <w:tcPr>
            <w:tcW w:w="4575" w:type="dxa"/>
            <w:tcBorders>
              <w:top w:val="single" w:sz="4" w:space="0" w:color="auto"/>
              <w:bottom w:val="single" w:sz="4" w:space="0" w:color="auto"/>
            </w:tcBorders>
          </w:tcPr>
          <w:p w14:paraId="3B3C70BC" w14:textId="77777777" w:rsidR="00AB3BE8" w:rsidRPr="002A3533" w:rsidRDefault="00944B8F" w:rsidP="00A6206B">
            <w:pPr>
              <w:pStyle w:val="EMEANormal"/>
              <w:widowControl w:val="0"/>
              <w:rPr>
                <w:lang w:val="en-GB"/>
              </w:rPr>
            </w:pPr>
            <w:r>
              <w:rPr>
                <w:lang w:val="en-GB"/>
              </w:rPr>
              <w:t>A</w:t>
            </w:r>
            <w:r w:rsidRPr="002A3533">
              <w:rPr>
                <w:lang w:val="en-GB"/>
              </w:rPr>
              <w:t>ortic aneurysm,</w:t>
            </w:r>
          </w:p>
          <w:p w14:paraId="18BDB0F8" w14:textId="77777777" w:rsidR="00AB3BE8" w:rsidRPr="002A3533" w:rsidRDefault="00944B8F" w:rsidP="00A6206B">
            <w:pPr>
              <w:pStyle w:val="EMEANormal"/>
              <w:widowControl w:val="0"/>
              <w:rPr>
                <w:lang w:val="en-GB"/>
              </w:rPr>
            </w:pPr>
            <w:r w:rsidRPr="002A3533">
              <w:rPr>
                <w:lang w:val="en-GB"/>
              </w:rPr>
              <w:t>vascular arterial occlusion,</w:t>
            </w:r>
          </w:p>
          <w:p w14:paraId="403AD74F" w14:textId="77777777" w:rsidR="00AB3BE8" w:rsidRPr="002A3533" w:rsidRDefault="00944B8F" w:rsidP="00A6206B">
            <w:pPr>
              <w:pStyle w:val="EMEANormal"/>
              <w:widowControl w:val="0"/>
              <w:rPr>
                <w:lang w:val="en-GB"/>
              </w:rPr>
            </w:pPr>
            <w:r w:rsidRPr="002A3533">
              <w:rPr>
                <w:lang w:val="en-GB"/>
              </w:rPr>
              <w:t xml:space="preserve">thrombophlebitis   </w:t>
            </w:r>
          </w:p>
          <w:p w14:paraId="2C62DAE6" w14:textId="77777777" w:rsidR="00AB3BE8" w:rsidRPr="002A3533" w:rsidRDefault="00AB3BE8" w:rsidP="00A6206B">
            <w:pPr>
              <w:pStyle w:val="EMEANormal"/>
              <w:widowControl w:val="0"/>
              <w:rPr>
                <w:lang w:val="en-GB"/>
              </w:rPr>
            </w:pPr>
          </w:p>
        </w:tc>
      </w:tr>
      <w:tr w:rsidR="00C6578C" w14:paraId="2312673E" w14:textId="77777777" w:rsidTr="00A6206B">
        <w:tc>
          <w:tcPr>
            <w:tcW w:w="2600" w:type="dxa"/>
            <w:vMerge w:val="restart"/>
            <w:tcBorders>
              <w:bottom w:val="nil"/>
            </w:tcBorders>
          </w:tcPr>
          <w:p w14:paraId="7C0409CF" w14:textId="77777777" w:rsidR="00AB3BE8" w:rsidRPr="002A3533" w:rsidRDefault="00944B8F" w:rsidP="00A6206B">
            <w:pPr>
              <w:pStyle w:val="EMEANormal"/>
              <w:widowControl w:val="0"/>
              <w:spacing w:before="60"/>
              <w:rPr>
                <w:lang w:val="en-GB"/>
              </w:rPr>
            </w:pPr>
            <w:r w:rsidRPr="002A3533">
              <w:rPr>
                <w:lang w:val="en-GB"/>
              </w:rPr>
              <w:t>Respiratory, thoracic and mediastinal disorders*</w:t>
            </w:r>
          </w:p>
        </w:tc>
        <w:tc>
          <w:tcPr>
            <w:tcW w:w="2074" w:type="dxa"/>
            <w:tcBorders>
              <w:bottom w:val="single" w:sz="4" w:space="0" w:color="auto"/>
            </w:tcBorders>
          </w:tcPr>
          <w:p w14:paraId="41F93EDD" w14:textId="77777777" w:rsidR="00AB3BE8" w:rsidRPr="002A3533" w:rsidRDefault="00944B8F" w:rsidP="00A6206B">
            <w:pPr>
              <w:pStyle w:val="EMEANormal"/>
              <w:widowControl w:val="0"/>
              <w:spacing w:before="60"/>
              <w:rPr>
                <w:lang w:val="en-GB"/>
              </w:rPr>
            </w:pPr>
            <w:r w:rsidRPr="002A3533">
              <w:rPr>
                <w:lang w:val="en-GB"/>
              </w:rPr>
              <w:t>Common</w:t>
            </w:r>
          </w:p>
          <w:p w14:paraId="11ED7716" w14:textId="77777777" w:rsidR="00AB3BE8" w:rsidRPr="002A3533" w:rsidRDefault="00AB3BE8" w:rsidP="00A6206B">
            <w:pPr>
              <w:pStyle w:val="EMEANormal"/>
              <w:widowControl w:val="0"/>
              <w:spacing w:before="60"/>
              <w:rPr>
                <w:lang w:val="en-GB"/>
              </w:rPr>
            </w:pPr>
          </w:p>
        </w:tc>
        <w:tc>
          <w:tcPr>
            <w:tcW w:w="4575" w:type="dxa"/>
            <w:tcBorders>
              <w:bottom w:val="single" w:sz="4" w:space="0" w:color="auto"/>
            </w:tcBorders>
          </w:tcPr>
          <w:p w14:paraId="5DFE2F74" w14:textId="77777777" w:rsidR="00AB3BE8" w:rsidRPr="002A3533" w:rsidRDefault="00944B8F" w:rsidP="00A6206B">
            <w:pPr>
              <w:pStyle w:val="EMEANormal"/>
              <w:widowControl w:val="0"/>
              <w:spacing w:before="60"/>
              <w:rPr>
                <w:lang w:val="en-GB"/>
              </w:rPr>
            </w:pPr>
            <w:r>
              <w:rPr>
                <w:lang w:val="en-GB"/>
              </w:rPr>
              <w:t>A</w:t>
            </w:r>
            <w:r w:rsidRPr="002A3533">
              <w:rPr>
                <w:lang w:val="en-GB"/>
              </w:rPr>
              <w:t>sthma,</w:t>
            </w:r>
          </w:p>
          <w:p w14:paraId="7B6F5246" w14:textId="77777777" w:rsidR="00AB3BE8" w:rsidRPr="002A3533" w:rsidRDefault="00944B8F" w:rsidP="00A6206B">
            <w:pPr>
              <w:pStyle w:val="EMEANormal"/>
              <w:widowControl w:val="0"/>
              <w:spacing w:before="60"/>
              <w:rPr>
                <w:lang w:val="en-GB"/>
              </w:rPr>
            </w:pPr>
            <w:r w:rsidRPr="002A3533">
              <w:rPr>
                <w:lang w:val="en-GB"/>
              </w:rPr>
              <w:t>dyspnoea,</w:t>
            </w:r>
          </w:p>
          <w:p w14:paraId="78B43F29" w14:textId="77777777" w:rsidR="00AB3BE8" w:rsidRPr="002A3533" w:rsidRDefault="00944B8F" w:rsidP="00A6206B">
            <w:pPr>
              <w:pStyle w:val="EMEANormal"/>
              <w:widowControl w:val="0"/>
              <w:spacing w:before="60"/>
              <w:rPr>
                <w:lang w:val="en-GB"/>
              </w:rPr>
            </w:pPr>
            <w:r w:rsidRPr="002A3533">
              <w:rPr>
                <w:lang w:val="en-GB"/>
              </w:rPr>
              <w:t>cough</w:t>
            </w:r>
          </w:p>
          <w:p w14:paraId="35E8124A" w14:textId="77777777" w:rsidR="00AB3BE8" w:rsidRPr="002A3533" w:rsidRDefault="00AB3BE8" w:rsidP="00A6206B">
            <w:pPr>
              <w:pStyle w:val="EMEANormal"/>
              <w:widowControl w:val="0"/>
              <w:spacing w:before="60"/>
              <w:rPr>
                <w:lang w:val="en-GB"/>
              </w:rPr>
            </w:pPr>
          </w:p>
        </w:tc>
      </w:tr>
      <w:tr w:rsidR="00C6578C" w14:paraId="5351476C" w14:textId="77777777" w:rsidTr="00A6206B">
        <w:tc>
          <w:tcPr>
            <w:tcW w:w="2600" w:type="dxa"/>
            <w:vMerge/>
            <w:tcBorders>
              <w:top w:val="nil"/>
            </w:tcBorders>
          </w:tcPr>
          <w:p w14:paraId="140F7E82" w14:textId="77777777" w:rsidR="00AB3BE8" w:rsidRPr="002A3533" w:rsidRDefault="00AB3BE8" w:rsidP="00A6206B">
            <w:pPr>
              <w:widowControl w:val="0"/>
              <w:spacing w:before="60"/>
              <w:jc w:val="center"/>
              <w:rPr>
                <w:b/>
              </w:rPr>
            </w:pPr>
          </w:p>
        </w:tc>
        <w:tc>
          <w:tcPr>
            <w:tcW w:w="2074" w:type="dxa"/>
            <w:tcBorders>
              <w:top w:val="single" w:sz="4" w:space="0" w:color="auto"/>
              <w:bottom w:val="single" w:sz="4" w:space="0" w:color="auto"/>
            </w:tcBorders>
          </w:tcPr>
          <w:p w14:paraId="3174F18E" w14:textId="77777777" w:rsidR="00AB3BE8" w:rsidRPr="002A3533" w:rsidRDefault="00944B8F" w:rsidP="00A6206B">
            <w:pPr>
              <w:pStyle w:val="EMEANormal"/>
              <w:widowControl w:val="0"/>
              <w:rPr>
                <w:lang w:val="en-GB"/>
              </w:rPr>
            </w:pPr>
            <w:r w:rsidRPr="002A3533">
              <w:rPr>
                <w:lang w:val="en-GB"/>
              </w:rPr>
              <w:t>Uncommon</w:t>
            </w:r>
          </w:p>
          <w:p w14:paraId="6E63B47E" w14:textId="77777777" w:rsidR="00AB3BE8" w:rsidRPr="002A3533" w:rsidRDefault="00AB3BE8" w:rsidP="00A6206B">
            <w:pPr>
              <w:pStyle w:val="EMEANormal"/>
              <w:widowControl w:val="0"/>
              <w:rPr>
                <w:lang w:val="en-GB"/>
              </w:rPr>
            </w:pPr>
          </w:p>
        </w:tc>
        <w:tc>
          <w:tcPr>
            <w:tcW w:w="4575" w:type="dxa"/>
            <w:tcBorders>
              <w:top w:val="single" w:sz="4" w:space="0" w:color="auto"/>
              <w:bottom w:val="single" w:sz="4" w:space="0" w:color="auto"/>
            </w:tcBorders>
          </w:tcPr>
          <w:p w14:paraId="021032CC" w14:textId="77777777" w:rsidR="00AB3BE8" w:rsidRPr="002A3533" w:rsidRDefault="00944B8F" w:rsidP="00A6206B">
            <w:pPr>
              <w:pStyle w:val="EMEANormal"/>
              <w:widowControl w:val="0"/>
              <w:rPr>
                <w:lang w:val="en-GB"/>
              </w:rPr>
            </w:pPr>
            <w:r>
              <w:rPr>
                <w:lang w:val="en-GB"/>
              </w:rPr>
              <w:t>P</w:t>
            </w:r>
            <w:r w:rsidRPr="002A3533">
              <w:rPr>
                <w:lang w:val="en-GB"/>
              </w:rPr>
              <w:t>ulmonary embolism</w:t>
            </w:r>
            <w:r w:rsidRPr="002A3533">
              <w:rPr>
                <w:vertAlign w:val="superscript"/>
                <w:lang w:val="en-GB"/>
              </w:rPr>
              <w:t>1)</w:t>
            </w:r>
            <w:r w:rsidRPr="002A3533">
              <w:rPr>
                <w:lang w:val="en-GB"/>
              </w:rPr>
              <w:t>,</w:t>
            </w:r>
          </w:p>
          <w:p w14:paraId="42797AAD" w14:textId="77777777" w:rsidR="00AB3BE8" w:rsidRPr="002A3533" w:rsidRDefault="00944B8F" w:rsidP="00A6206B">
            <w:pPr>
              <w:pStyle w:val="EMEANormal"/>
              <w:widowControl w:val="0"/>
              <w:rPr>
                <w:lang w:val="en-GB"/>
              </w:rPr>
            </w:pPr>
            <w:r w:rsidRPr="002A3533">
              <w:rPr>
                <w:lang w:val="en-GB"/>
              </w:rPr>
              <w:t xml:space="preserve">interstitial lung disease, </w:t>
            </w:r>
          </w:p>
          <w:p w14:paraId="49640C07" w14:textId="77777777" w:rsidR="00AB3BE8" w:rsidRPr="002A3533" w:rsidRDefault="00944B8F" w:rsidP="00A6206B">
            <w:pPr>
              <w:pStyle w:val="EMEANormal"/>
              <w:widowControl w:val="0"/>
              <w:rPr>
                <w:lang w:val="en-GB"/>
              </w:rPr>
            </w:pPr>
            <w:r w:rsidRPr="002A3533">
              <w:rPr>
                <w:lang w:val="en-GB"/>
              </w:rPr>
              <w:t>chronic obstructive pulmonary disease,</w:t>
            </w:r>
          </w:p>
          <w:p w14:paraId="1E2E3679" w14:textId="77777777" w:rsidR="00AB3BE8" w:rsidRPr="002A3533" w:rsidRDefault="00944B8F" w:rsidP="00A6206B">
            <w:pPr>
              <w:pStyle w:val="EMEANormal"/>
              <w:widowControl w:val="0"/>
              <w:rPr>
                <w:lang w:val="en-GB"/>
              </w:rPr>
            </w:pPr>
            <w:r w:rsidRPr="002A3533">
              <w:rPr>
                <w:lang w:val="en-GB"/>
              </w:rPr>
              <w:t>pneumonitis</w:t>
            </w:r>
            <w:r>
              <w:rPr>
                <w:lang w:val="en-GB"/>
              </w:rPr>
              <w:t>,</w:t>
            </w:r>
          </w:p>
          <w:p w14:paraId="6DEC6FD5" w14:textId="77777777" w:rsidR="00AB3BE8" w:rsidRPr="002A3533" w:rsidRDefault="00944B8F" w:rsidP="00A6206B">
            <w:pPr>
              <w:pStyle w:val="EMEANormal"/>
              <w:widowControl w:val="0"/>
              <w:rPr>
                <w:lang w:val="en-GB"/>
              </w:rPr>
            </w:pPr>
            <w:r w:rsidRPr="002A3533">
              <w:rPr>
                <w:lang w:val="en-GB"/>
              </w:rPr>
              <w:t>pleural effusion</w:t>
            </w:r>
            <w:r w:rsidRPr="002A3533">
              <w:rPr>
                <w:vertAlign w:val="superscript"/>
                <w:lang w:val="en-GB"/>
              </w:rPr>
              <w:t>1)</w:t>
            </w:r>
          </w:p>
          <w:p w14:paraId="228B4135" w14:textId="77777777" w:rsidR="00AB3BE8" w:rsidRPr="002A3533" w:rsidRDefault="00AB3BE8" w:rsidP="00A6206B">
            <w:pPr>
              <w:pStyle w:val="EMEANormal"/>
              <w:widowControl w:val="0"/>
              <w:rPr>
                <w:lang w:val="en-GB"/>
              </w:rPr>
            </w:pPr>
          </w:p>
        </w:tc>
      </w:tr>
      <w:tr w:rsidR="00C6578C" w14:paraId="409769E8" w14:textId="77777777" w:rsidTr="00A6206B">
        <w:tc>
          <w:tcPr>
            <w:tcW w:w="2600" w:type="dxa"/>
            <w:vMerge/>
          </w:tcPr>
          <w:p w14:paraId="702DEAC6" w14:textId="77777777" w:rsidR="00AB3BE8" w:rsidRPr="002A3533" w:rsidRDefault="00AB3BE8" w:rsidP="00A6206B">
            <w:pPr>
              <w:pStyle w:val="EMEANormal"/>
              <w:widowControl w:val="0"/>
              <w:spacing w:before="60"/>
              <w:rPr>
                <w:lang w:val="en-GB"/>
              </w:rPr>
            </w:pPr>
          </w:p>
        </w:tc>
        <w:tc>
          <w:tcPr>
            <w:tcW w:w="2074" w:type="dxa"/>
            <w:tcBorders>
              <w:top w:val="single" w:sz="4" w:space="0" w:color="auto"/>
            </w:tcBorders>
          </w:tcPr>
          <w:p w14:paraId="2C94A764" w14:textId="77777777" w:rsidR="00AB3BE8" w:rsidRPr="002A3533" w:rsidRDefault="00944B8F" w:rsidP="00A6206B">
            <w:pPr>
              <w:pStyle w:val="EMEANormal"/>
              <w:widowControl w:val="0"/>
              <w:spacing w:before="60"/>
              <w:rPr>
                <w:lang w:val="en-GB"/>
              </w:rPr>
            </w:pPr>
            <w:r w:rsidRPr="002A3533">
              <w:rPr>
                <w:lang w:val="en-GB"/>
              </w:rPr>
              <w:t>Rare</w:t>
            </w:r>
          </w:p>
        </w:tc>
        <w:tc>
          <w:tcPr>
            <w:tcW w:w="4575" w:type="dxa"/>
            <w:tcBorders>
              <w:top w:val="single" w:sz="4" w:space="0" w:color="auto"/>
            </w:tcBorders>
          </w:tcPr>
          <w:p w14:paraId="5DE66BBC" w14:textId="77777777" w:rsidR="00AB3BE8" w:rsidRPr="002A3533" w:rsidRDefault="00944B8F" w:rsidP="00A6206B">
            <w:pPr>
              <w:pStyle w:val="EMEANormal"/>
              <w:widowControl w:val="0"/>
              <w:rPr>
                <w:vertAlign w:val="superscript"/>
                <w:lang w:val="en-GB"/>
              </w:rPr>
            </w:pPr>
            <w:r>
              <w:rPr>
                <w:lang w:val="en-GB"/>
              </w:rPr>
              <w:t>P</w:t>
            </w:r>
            <w:r w:rsidRPr="002A3533">
              <w:rPr>
                <w:lang w:val="en-GB"/>
              </w:rPr>
              <w:t>ulmonary fibrosis</w:t>
            </w:r>
            <w:r w:rsidRPr="002A3533">
              <w:rPr>
                <w:vertAlign w:val="superscript"/>
                <w:lang w:val="en-GB"/>
              </w:rPr>
              <w:t>1)</w:t>
            </w:r>
          </w:p>
          <w:p w14:paraId="6BC00547" w14:textId="77777777" w:rsidR="00AB3BE8" w:rsidRPr="002A3533" w:rsidRDefault="00AB3BE8" w:rsidP="00A6206B">
            <w:pPr>
              <w:pStyle w:val="EMEANormal"/>
              <w:widowControl w:val="0"/>
              <w:rPr>
                <w:lang w:val="en-GB"/>
              </w:rPr>
            </w:pPr>
          </w:p>
        </w:tc>
      </w:tr>
      <w:tr w:rsidR="00C6578C" w14:paraId="4FFC55DC" w14:textId="77777777" w:rsidTr="00A6206B">
        <w:tc>
          <w:tcPr>
            <w:tcW w:w="2600" w:type="dxa"/>
            <w:vMerge w:val="restart"/>
          </w:tcPr>
          <w:p w14:paraId="0BC6BF87" w14:textId="77777777" w:rsidR="00AB3BE8" w:rsidRPr="002A3533" w:rsidRDefault="00944B8F" w:rsidP="00A6206B">
            <w:pPr>
              <w:pStyle w:val="EMEANormal"/>
              <w:widowControl w:val="0"/>
              <w:spacing w:before="60"/>
              <w:rPr>
                <w:lang w:val="en-GB"/>
              </w:rPr>
            </w:pPr>
            <w:r w:rsidRPr="002A3533">
              <w:rPr>
                <w:lang w:val="en-GB"/>
              </w:rPr>
              <w:t>Gastrointestinal disorders</w:t>
            </w:r>
          </w:p>
        </w:tc>
        <w:tc>
          <w:tcPr>
            <w:tcW w:w="2074" w:type="dxa"/>
            <w:tcBorders>
              <w:bottom w:val="single" w:sz="4" w:space="0" w:color="auto"/>
            </w:tcBorders>
          </w:tcPr>
          <w:p w14:paraId="62AE5424" w14:textId="77777777" w:rsidR="00AB3BE8" w:rsidRPr="002A3533" w:rsidRDefault="00944B8F" w:rsidP="00A6206B">
            <w:pPr>
              <w:pStyle w:val="EMEANormal"/>
              <w:widowControl w:val="0"/>
              <w:spacing w:before="60"/>
              <w:rPr>
                <w:lang w:val="en-GB"/>
              </w:rPr>
            </w:pPr>
            <w:r w:rsidRPr="002A3533">
              <w:rPr>
                <w:lang w:val="en-GB"/>
              </w:rPr>
              <w:t>Very common</w:t>
            </w:r>
          </w:p>
          <w:p w14:paraId="54DEC876" w14:textId="77777777" w:rsidR="00AB3BE8" w:rsidRPr="002A3533" w:rsidRDefault="00AB3BE8" w:rsidP="00A6206B">
            <w:pPr>
              <w:pStyle w:val="EMEANormal"/>
              <w:widowControl w:val="0"/>
              <w:spacing w:before="60"/>
              <w:rPr>
                <w:lang w:val="en-GB"/>
              </w:rPr>
            </w:pPr>
          </w:p>
        </w:tc>
        <w:tc>
          <w:tcPr>
            <w:tcW w:w="4575" w:type="dxa"/>
            <w:tcBorders>
              <w:bottom w:val="single" w:sz="4" w:space="0" w:color="auto"/>
            </w:tcBorders>
          </w:tcPr>
          <w:p w14:paraId="01BD397A" w14:textId="77777777" w:rsidR="00AB3BE8" w:rsidRPr="002A3533" w:rsidRDefault="00944B8F" w:rsidP="00A6206B">
            <w:pPr>
              <w:pStyle w:val="EMEANormal"/>
              <w:widowControl w:val="0"/>
              <w:spacing w:before="60"/>
              <w:rPr>
                <w:lang w:val="en-GB"/>
              </w:rPr>
            </w:pPr>
            <w:r>
              <w:rPr>
                <w:lang w:val="en-GB"/>
              </w:rPr>
              <w:t>A</w:t>
            </w:r>
            <w:r w:rsidRPr="002A3533">
              <w:rPr>
                <w:lang w:val="en-GB"/>
              </w:rPr>
              <w:t xml:space="preserve">bdominal pain, </w:t>
            </w:r>
          </w:p>
          <w:p w14:paraId="5352B24B" w14:textId="77777777" w:rsidR="00AB3BE8" w:rsidRPr="002A3533" w:rsidRDefault="00944B8F" w:rsidP="00A6206B">
            <w:pPr>
              <w:pStyle w:val="EMEANormal"/>
              <w:widowControl w:val="0"/>
              <w:spacing w:before="60"/>
              <w:rPr>
                <w:lang w:val="en-GB"/>
              </w:rPr>
            </w:pPr>
            <w:r w:rsidRPr="002A3533">
              <w:rPr>
                <w:lang w:val="en-GB"/>
              </w:rPr>
              <w:t>nausea and vomiting</w:t>
            </w:r>
          </w:p>
          <w:p w14:paraId="268ED133" w14:textId="77777777" w:rsidR="00AB3BE8" w:rsidRPr="002A3533" w:rsidRDefault="00AB3BE8" w:rsidP="00A6206B">
            <w:pPr>
              <w:pStyle w:val="EMEANormal"/>
              <w:widowControl w:val="0"/>
              <w:spacing w:before="60"/>
              <w:rPr>
                <w:lang w:val="en-GB"/>
              </w:rPr>
            </w:pPr>
          </w:p>
        </w:tc>
      </w:tr>
      <w:tr w:rsidR="00C6578C" w14:paraId="6BD10F39" w14:textId="77777777" w:rsidTr="00A6206B">
        <w:tc>
          <w:tcPr>
            <w:tcW w:w="2600" w:type="dxa"/>
            <w:vMerge/>
          </w:tcPr>
          <w:p w14:paraId="1E76CBF0" w14:textId="77777777" w:rsidR="00AB3BE8" w:rsidRPr="002A3533" w:rsidRDefault="00AB3BE8" w:rsidP="00A6206B">
            <w:pPr>
              <w:widowControl w:val="0"/>
              <w:spacing w:before="60"/>
              <w:jc w:val="center"/>
              <w:rPr>
                <w:b/>
              </w:rPr>
            </w:pPr>
          </w:p>
        </w:tc>
        <w:tc>
          <w:tcPr>
            <w:tcW w:w="2074" w:type="dxa"/>
            <w:tcBorders>
              <w:top w:val="single" w:sz="4" w:space="0" w:color="auto"/>
              <w:bottom w:val="single" w:sz="4" w:space="0" w:color="auto"/>
            </w:tcBorders>
          </w:tcPr>
          <w:p w14:paraId="4E7A890F" w14:textId="77777777" w:rsidR="00AB3BE8" w:rsidRPr="002A3533" w:rsidRDefault="00944B8F" w:rsidP="00A6206B">
            <w:pPr>
              <w:pStyle w:val="EMEANormal"/>
              <w:widowControl w:val="0"/>
              <w:rPr>
                <w:lang w:val="en-GB"/>
              </w:rPr>
            </w:pPr>
            <w:r w:rsidRPr="002A3533">
              <w:rPr>
                <w:lang w:val="en-GB"/>
              </w:rPr>
              <w:t>Common</w:t>
            </w:r>
          </w:p>
          <w:p w14:paraId="4DE8DA3E" w14:textId="77777777" w:rsidR="00AB3BE8" w:rsidRPr="002A3533" w:rsidRDefault="00AB3BE8" w:rsidP="00A6206B">
            <w:pPr>
              <w:pStyle w:val="EMEANormal"/>
              <w:widowControl w:val="0"/>
              <w:rPr>
                <w:lang w:val="en-GB"/>
              </w:rPr>
            </w:pPr>
          </w:p>
        </w:tc>
        <w:tc>
          <w:tcPr>
            <w:tcW w:w="4575" w:type="dxa"/>
            <w:tcBorders>
              <w:top w:val="single" w:sz="4" w:space="0" w:color="auto"/>
              <w:bottom w:val="single" w:sz="4" w:space="0" w:color="auto"/>
            </w:tcBorders>
          </w:tcPr>
          <w:p w14:paraId="79095589" w14:textId="77777777" w:rsidR="00AB3BE8" w:rsidRPr="002A3533" w:rsidRDefault="00944B8F" w:rsidP="00A6206B">
            <w:pPr>
              <w:pStyle w:val="EMEANormal"/>
              <w:widowControl w:val="0"/>
              <w:rPr>
                <w:lang w:val="en-GB"/>
              </w:rPr>
            </w:pPr>
            <w:r w:rsidRPr="002A3533">
              <w:rPr>
                <w:lang w:val="en-GB"/>
              </w:rPr>
              <w:t xml:space="preserve">GI haemorrhage, </w:t>
            </w:r>
          </w:p>
          <w:p w14:paraId="762360E0" w14:textId="77777777" w:rsidR="00AB3BE8" w:rsidRPr="002A3533" w:rsidRDefault="00944B8F" w:rsidP="00A6206B">
            <w:pPr>
              <w:pStyle w:val="EMEANormal"/>
              <w:widowControl w:val="0"/>
              <w:rPr>
                <w:szCs w:val="15"/>
                <w:lang w:val="en-GB"/>
              </w:rPr>
            </w:pPr>
            <w:r w:rsidRPr="002A3533">
              <w:rPr>
                <w:lang w:val="en-GB"/>
              </w:rPr>
              <w:t>dyspepsia,</w:t>
            </w:r>
            <w:r w:rsidRPr="002A3533">
              <w:rPr>
                <w:szCs w:val="15"/>
                <w:lang w:val="en-GB"/>
              </w:rPr>
              <w:t xml:space="preserve"> </w:t>
            </w:r>
          </w:p>
          <w:p w14:paraId="4648782C" w14:textId="77777777" w:rsidR="00AB3BE8" w:rsidRPr="002A3533" w:rsidRDefault="00944B8F" w:rsidP="00A6206B">
            <w:pPr>
              <w:pStyle w:val="EMEANormal"/>
              <w:widowControl w:val="0"/>
              <w:rPr>
                <w:lang w:val="en-GB"/>
              </w:rPr>
            </w:pPr>
            <w:r w:rsidRPr="002A3533">
              <w:rPr>
                <w:lang w:val="en-GB"/>
              </w:rPr>
              <w:t>gastroesophageal reflux disease,</w:t>
            </w:r>
          </w:p>
          <w:p w14:paraId="65370121" w14:textId="77777777" w:rsidR="00AB3BE8" w:rsidRPr="002A3533" w:rsidRDefault="00944B8F" w:rsidP="00A6206B">
            <w:pPr>
              <w:pStyle w:val="EMEANormal"/>
              <w:widowControl w:val="0"/>
              <w:rPr>
                <w:lang w:val="en-GB"/>
              </w:rPr>
            </w:pPr>
            <w:r w:rsidRPr="002A3533">
              <w:rPr>
                <w:lang w:val="en-GB"/>
              </w:rPr>
              <w:t>sicca syndrome</w:t>
            </w:r>
          </w:p>
          <w:p w14:paraId="0A334454" w14:textId="77777777" w:rsidR="00AB3BE8" w:rsidRPr="002A3533" w:rsidRDefault="00AB3BE8" w:rsidP="00A6206B">
            <w:pPr>
              <w:pStyle w:val="EMEANormal"/>
              <w:widowControl w:val="0"/>
              <w:rPr>
                <w:lang w:val="en-GB"/>
              </w:rPr>
            </w:pPr>
          </w:p>
        </w:tc>
      </w:tr>
      <w:tr w:rsidR="00C6578C" w14:paraId="08D996F3" w14:textId="77777777" w:rsidTr="00A6206B">
        <w:tc>
          <w:tcPr>
            <w:tcW w:w="2600" w:type="dxa"/>
            <w:vMerge/>
          </w:tcPr>
          <w:p w14:paraId="4E41ED33" w14:textId="77777777" w:rsidR="00AB3BE8" w:rsidRPr="002A3533" w:rsidRDefault="00AB3BE8" w:rsidP="00A6206B">
            <w:pPr>
              <w:widowControl w:val="0"/>
              <w:spacing w:before="60"/>
              <w:jc w:val="center"/>
              <w:rPr>
                <w:b/>
              </w:rPr>
            </w:pPr>
          </w:p>
        </w:tc>
        <w:tc>
          <w:tcPr>
            <w:tcW w:w="2074" w:type="dxa"/>
            <w:tcBorders>
              <w:top w:val="single" w:sz="4" w:space="0" w:color="auto"/>
              <w:bottom w:val="single" w:sz="4" w:space="0" w:color="auto"/>
            </w:tcBorders>
          </w:tcPr>
          <w:p w14:paraId="5235A228" w14:textId="77777777" w:rsidR="00AB3BE8" w:rsidRPr="002A3533" w:rsidRDefault="00944B8F" w:rsidP="00A6206B">
            <w:pPr>
              <w:pStyle w:val="EMEANormal"/>
              <w:widowControl w:val="0"/>
              <w:rPr>
                <w:lang w:val="en-GB"/>
              </w:rPr>
            </w:pPr>
            <w:r w:rsidRPr="002A3533">
              <w:rPr>
                <w:lang w:val="en-GB"/>
              </w:rPr>
              <w:t>Uncommon</w:t>
            </w:r>
          </w:p>
          <w:p w14:paraId="6E9AB032" w14:textId="77777777" w:rsidR="00AB3BE8" w:rsidRPr="002A3533" w:rsidRDefault="00AB3BE8" w:rsidP="00A6206B">
            <w:pPr>
              <w:pStyle w:val="EMEANormal"/>
              <w:widowControl w:val="0"/>
              <w:rPr>
                <w:lang w:val="en-GB"/>
              </w:rPr>
            </w:pPr>
          </w:p>
        </w:tc>
        <w:tc>
          <w:tcPr>
            <w:tcW w:w="4575" w:type="dxa"/>
            <w:tcBorders>
              <w:top w:val="single" w:sz="4" w:space="0" w:color="auto"/>
              <w:bottom w:val="single" w:sz="4" w:space="0" w:color="auto"/>
            </w:tcBorders>
          </w:tcPr>
          <w:p w14:paraId="3F665BEF" w14:textId="77777777" w:rsidR="00AB3BE8" w:rsidRPr="002A3533" w:rsidRDefault="00944B8F" w:rsidP="00A6206B">
            <w:pPr>
              <w:pStyle w:val="EMEANormal"/>
              <w:widowControl w:val="0"/>
              <w:rPr>
                <w:lang w:val="en-GB"/>
              </w:rPr>
            </w:pPr>
            <w:r>
              <w:rPr>
                <w:lang w:val="en-GB"/>
              </w:rPr>
              <w:t>P</w:t>
            </w:r>
            <w:r w:rsidRPr="002A3533">
              <w:rPr>
                <w:lang w:val="en-GB"/>
              </w:rPr>
              <w:t xml:space="preserve">ancreatitis, </w:t>
            </w:r>
          </w:p>
          <w:p w14:paraId="54E1BDB5" w14:textId="77777777" w:rsidR="00AB3BE8" w:rsidRPr="002A3533" w:rsidRDefault="00944B8F" w:rsidP="00A6206B">
            <w:pPr>
              <w:pStyle w:val="EMEANormal"/>
              <w:widowControl w:val="0"/>
              <w:rPr>
                <w:lang w:val="en-GB"/>
              </w:rPr>
            </w:pPr>
            <w:r w:rsidRPr="002A3533">
              <w:rPr>
                <w:lang w:val="en-GB"/>
              </w:rPr>
              <w:t>dysphagia,</w:t>
            </w:r>
          </w:p>
          <w:p w14:paraId="7337B971" w14:textId="77777777" w:rsidR="00AB3BE8" w:rsidRPr="002A3533" w:rsidRDefault="00944B8F" w:rsidP="00A6206B">
            <w:pPr>
              <w:pStyle w:val="EMEANormal"/>
              <w:widowControl w:val="0"/>
              <w:rPr>
                <w:lang w:val="en-GB"/>
              </w:rPr>
            </w:pPr>
            <w:r w:rsidRPr="002A3533">
              <w:rPr>
                <w:lang w:val="en-GB"/>
              </w:rPr>
              <w:t>face oedema</w:t>
            </w:r>
          </w:p>
          <w:p w14:paraId="3BD22B72" w14:textId="77777777" w:rsidR="00AB3BE8" w:rsidRPr="002A3533" w:rsidRDefault="00AB3BE8" w:rsidP="00A6206B">
            <w:pPr>
              <w:pStyle w:val="EMEANormal"/>
              <w:widowControl w:val="0"/>
              <w:rPr>
                <w:lang w:val="en-GB"/>
              </w:rPr>
            </w:pPr>
          </w:p>
        </w:tc>
      </w:tr>
      <w:tr w:rsidR="00C6578C" w14:paraId="52C0B454" w14:textId="77777777" w:rsidTr="00A6206B">
        <w:tc>
          <w:tcPr>
            <w:tcW w:w="2600" w:type="dxa"/>
            <w:vMerge/>
          </w:tcPr>
          <w:p w14:paraId="1E809649" w14:textId="77777777" w:rsidR="00AB3BE8" w:rsidRPr="002A3533" w:rsidRDefault="00AB3BE8" w:rsidP="00A6206B">
            <w:pPr>
              <w:pStyle w:val="EMEANormal"/>
              <w:widowControl w:val="0"/>
              <w:spacing w:before="60"/>
              <w:rPr>
                <w:lang w:val="en-GB"/>
              </w:rPr>
            </w:pPr>
          </w:p>
        </w:tc>
        <w:tc>
          <w:tcPr>
            <w:tcW w:w="2074" w:type="dxa"/>
            <w:tcBorders>
              <w:top w:val="single" w:sz="4" w:space="0" w:color="auto"/>
              <w:bottom w:val="single" w:sz="4" w:space="0" w:color="auto"/>
            </w:tcBorders>
          </w:tcPr>
          <w:p w14:paraId="4612363A" w14:textId="77777777" w:rsidR="00AB3BE8" w:rsidRPr="002A3533" w:rsidRDefault="00944B8F" w:rsidP="00A6206B">
            <w:pPr>
              <w:pStyle w:val="EMEANormal"/>
              <w:widowControl w:val="0"/>
              <w:spacing w:before="60"/>
              <w:rPr>
                <w:lang w:val="en-GB"/>
              </w:rPr>
            </w:pPr>
            <w:r w:rsidRPr="002A3533">
              <w:rPr>
                <w:lang w:val="en-GB"/>
              </w:rPr>
              <w:t>Rare</w:t>
            </w:r>
          </w:p>
        </w:tc>
        <w:tc>
          <w:tcPr>
            <w:tcW w:w="4575" w:type="dxa"/>
            <w:tcBorders>
              <w:top w:val="single" w:sz="4" w:space="0" w:color="auto"/>
              <w:bottom w:val="single" w:sz="4" w:space="0" w:color="auto"/>
            </w:tcBorders>
          </w:tcPr>
          <w:p w14:paraId="43B72264" w14:textId="77777777" w:rsidR="00AB3BE8" w:rsidRPr="002A3533" w:rsidRDefault="00944B8F" w:rsidP="00A6206B">
            <w:pPr>
              <w:pStyle w:val="EMEANormal"/>
              <w:widowControl w:val="0"/>
              <w:spacing w:before="60"/>
              <w:rPr>
                <w:vertAlign w:val="superscript"/>
                <w:lang w:val="en-GB"/>
              </w:rPr>
            </w:pPr>
            <w:r>
              <w:rPr>
                <w:lang w:val="en-GB"/>
              </w:rPr>
              <w:t>I</w:t>
            </w:r>
            <w:r w:rsidRPr="002A3533">
              <w:rPr>
                <w:lang w:val="en-GB"/>
              </w:rPr>
              <w:t>ntestinal perforation</w:t>
            </w:r>
            <w:r w:rsidRPr="002A3533">
              <w:rPr>
                <w:vertAlign w:val="superscript"/>
                <w:lang w:val="en-GB"/>
              </w:rPr>
              <w:t>1)</w:t>
            </w:r>
          </w:p>
          <w:p w14:paraId="63AF2F91" w14:textId="77777777" w:rsidR="00AB3BE8" w:rsidRPr="002A3533" w:rsidRDefault="00AB3BE8" w:rsidP="00A6206B">
            <w:pPr>
              <w:pStyle w:val="EMEANormal"/>
              <w:widowControl w:val="0"/>
              <w:spacing w:before="60"/>
              <w:rPr>
                <w:lang w:val="en-GB"/>
              </w:rPr>
            </w:pPr>
          </w:p>
        </w:tc>
      </w:tr>
      <w:tr w:rsidR="00C6578C" w14:paraId="3734BE4A" w14:textId="77777777" w:rsidTr="00A6206B">
        <w:tc>
          <w:tcPr>
            <w:tcW w:w="2600" w:type="dxa"/>
            <w:vMerge w:val="restart"/>
          </w:tcPr>
          <w:p w14:paraId="45D2CE83" w14:textId="77777777" w:rsidR="00AB3BE8" w:rsidRPr="002A3533" w:rsidRDefault="00944B8F" w:rsidP="00A6206B">
            <w:pPr>
              <w:pStyle w:val="EMEANormal"/>
              <w:widowControl w:val="0"/>
              <w:spacing w:before="60"/>
              <w:rPr>
                <w:lang w:val="en-GB"/>
              </w:rPr>
            </w:pPr>
            <w:r w:rsidRPr="002A3533">
              <w:rPr>
                <w:lang w:val="en-GB"/>
              </w:rPr>
              <w:t>Hepato-biliary disorders*</w:t>
            </w:r>
          </w:p>
        </w:tc>
        <w:tc>
          <w:tcPr>
            <w:tcW w:w="2074" w:type="dxa"/>
            <w:tcBorders>
              <w:bottom w:val="single" w:sz="4" w:space="0" w:color="auto"/>
            </w:tcBorders>
          </w:tcPr>
          <w:p w14:paraId="434942D1" w14:textId="77777777" w:rsidR="00AB3BE8" w:rsidRPr="002A3533" w:rsidRDefault="00944B8F" w:rsidP="00A6206B">
            <w:pPr>
              <w:pStyle w:val="EMEANormal"/>
              <w:widowControl w:val="0"/>
              <w:spacing w:before="60"/>
              <w:rPr>
                <w:lang w:val="en-GB"/>
              </w:rPr>
            </w:pPr>
            <w:r w:rsidRPr="002A3533">
              <w:rPr>
                <w:lang w:val="en-GB"/>
              </w:rPr>
              <w:t>Very Common</w:t>
            </w:r>
          </w:p>
          <w:p w14:paraId="6C9533D9" w14:textId="77777777" w:rsidR="00AB3BE8" w:rsidRPr="002A3533" w:rsidRDefault="00AB3BE8" w:rsidP="00A6206B">
            <w:pPr>
              <w:pStyle w:val="EMEANormal"/>
              <w:widowControl w:val="0"/>
              <w:spacing w:before="60"/>
              <w:rPr>
                <w:lang w:val="en-GB"/>
              </w:rPr>
            </w:pPr>
          </w:p>
        </w:tc>
        <w:tc>
          <w:tcPr>
            <w:tcW w:w="4575" w:type="dxa"/>
            <w:tcBorders>
              <w:bottom w:val="single" w:sz="4" w:space="0" w:color="auto"/>
            </w:tcBorders>
          </w:tcPr>
          <w:p w14:paraId="32F30990" w14:textId="77777777" w:rsidR="00AB3BE8" w:rsidRPr="002A3533" w:rsidRDefault="00944B8F" w:rsidP="00A6206B">
            <w:pPr>
              <w:pStyle w:val="EMEANormal"/>
              <w:widowControl w:val="0"/>
              <w:spacing w:before="60"/>
              <w:rPr>
                <w:lang w:val="en-GB"/>
              </w:rPr>
            </w:pPr>
            <w:r>
              <w:rPr>
                <w:lang w:val="en-GB"/>
              </w:rPr>
              <w:t>E</w:t>
            </w:r>
            <w:r w:rsidRPr="002A3533">
              <w:rPr>
                <w:lang w:val="en-GB"/>
              </w:rPr>
              <w:t>levated liver enzymes</w:t>
            </w:r>
          </w:p>
          <w:p w14:paraId="30C2AB5C" w14:textId="77777777" w:rsidR="00AB3BE8" w:rsidRPr="002A3533" w:rsidRDefault="00AB3BE8" w:rsidP="00A6206B">
            <w:pPr>
              <w:pStyle w:val="EMEANormal"/>
              <w:widowControl w:val="0"/>
              <w:spacing w:before="60"/>
              <w:rPr>
                <w:lang w:val="en-GB"/>
              </w:rPr>
            </w:pPr>
          </w:p>
        </w:tc>
      </w:tr>
      <w:tr w:rsidR="00C6578C" w14:paraId="4530E547" w14:textId="77777777" w:rsidTr="00A6206B">
        <w:tc>
          <w:tcPr>
            <w:tcW w:w="2600" w:type="dxa"/>
            <w:vMerge/>
          </w:tcPr>
          <w:p w14:paraId="7D74FCDD" w14:textId="77777777" w:rsidR="00AB3BE8" w:rsidRPr="002A3533" w:rsidRDefault="00AB3BE8" w:rsidP="00A6206B">
            <w:pPr>
              <w:pStyle w:val="EMEANormal"/>
              <w:widowControl w:val="0"/>
              <w:spacing w:before="60"/>
              <w:rPr>
                <w:lang w:val="en-GB"/>
              </w:rPr>
            </w:pPr>
          </w:p>
        </w:tc>
        <w:tc>
          <w:tcPr>
            <w:tcW w:w="2074" w:type="dxa"/>
            <w:tcBorders>
              <w:top w:val="single" w:sz="4" w:space="0" w:color="auto"/>
              <w:bottom w:val="single" w:sz="4" w:space="0" w:color="auto"/>
            </w:tcBorders>
          </w:tcPr>
          <w:p w14:paraId="0C159E47" w14:textId="77777777" w:rsidR="00AB3BE8" w:rsidRPr="002A3533" w:rsidRDefault="00944B8F" w:rsidP="00A6206B">
            <w:pPr>
              <w:pStyle w:val="EMEANormal"/>
              <w:widowControl w:val="0"/>
              <w:rPr>
                <w:lang w:val="en-GB"/>
              </w:rPr>
            </w:pPr>
            <w:r w:rsidRPr="002A3533">
              <w:rPr>
                <w:lang w:val="en-GB"/>
              </w:rPr>
              <w:t>Uncommon</w:t>
            </w:r>
          </w:p>
          <w:p w14:paraId="3465C42A" w14:textId="77777777" w:rsidR="00AB3BE8" w:rsidRPr="002A3533" w:rsidRDefault="00AB3BE8" w:rsidP="00A6206B">
            <w:pPr>
              <w:pStyle w:val="EMEANormal"/>
              <w:widowControl w:val="0"/>
              <w:rPr>
                <w:lang w:val="en-GB"/>
              </w:rPr>
            </w:pPr>
          </w:p>
        </w:tc>
        <w:tc>
          <w:tcPr>
            <w:tcW w:w="4575" w:type="dxa"/>
            <w:tcBorders>
              <w:top w:val="single" w:sz="4" w:space="0" w:color="auto"/>
              <w:bottom w:val="single" w:sz="4" w:space="0" w:color="auto"/>
            </w:tcBorders>
          </w:tcPr>
          <w:p w14:paraId="3F2345D7" w14:textId="77777777" w:rsidR="00AB3BE8" w:rsidRPr="002A3533" w:rsidRDefault="00944B8F" w:rsidP="00A6206B">
            <w:pPr>
              <w:pStyle w:val="EMEANormal"/>
              <w:widowControl w:val="0"/>
              <w:rPr>
                <w:lang w:val="en-GB"/>
              </w:rPr>
            </w:pPr>
            <w:r>
              <w:rPr>
                <w:lang w:val="en-GB"/>
              </w:rPr>
              <w:lastRenderedPageBreak/>
              <w:t>C</w:t>
            </w:r>
            <w:r w:rsidRPr="002A3533">
              <w:rPr>
                <w:lang w:val="en-GB"/>
              </w:rPr>
              <w:t>holecystitis and cholelithiasis,</w:t>
            </w:r>
          </w:p>
          <w:p w14:paraId="473B26FE" w14:textId="77777777" w:rsidR="00AB3BE8" w:rsidRPr="002A3533" w:rsidRDefault="00944B8F" w:rsidP="00A6206B">
            <w:pPr>
              <w:pStyle w:val="EMEANormal"/>
              <w:widowControl w:val="0"/>
              <w:rPr>
                <w:lang w:val="en-GB"/>
              </w:rPr>
            </w:pPr>
            <w:r w:rsidRPr="002A3533">
              <w:rPr>
                <w:lang w:val="en-GB"/>
              </w:rPr>
              <w:lastRenderedPageBreak/>
              <w:t>hepatic steatosis,</w:t>
            </w:r>
          </w:p>
          <w:p w14:paraId="4353A89A" w14:textId="77777777" w:rsidR="00AB3BE8" w:rsidRPr="002A3533" w:rsidRDefault="00944B8F" w:rsidP="00A6206B">
            <w:pPr>
              <w:pStyle w:val="EMEANormal"/>
              <w:widowControl w:val="0"/>
              <w:rPr>
                <w:lang w:val="en-GB"/>
              </w:rPr>
            </w:pPr>
            <w:r w:rsidRPr="002A3533">
              <w:rPr>
                <w:lang w:val="en-GB"/>
              </w:rPr>
              <w:t>bilirubin increased</w:t>
            </w:r>
          </w:p>
          <w:p w14:paraId="7B77FCF9" w14:textId="77777777" w:rsidR="00AB3BE8" w:rsidRPr="002A3533" w:rsidRDefault="00AB3BE8" w:rsidP="00A6206B">
            <w:pPr>
              <w:pStyle w:val="EMEANormal"/>
              <w:widowControl w:val="0"/>
              <w:rPr>
                <w:lang w:val="en-GB"/>
              </w:rPr>
            </w:pPr>
          </w:p>
        </w:tc>
      </w:tr>
      <w:tr w:rsidR="00C6578C" w14:paraId="78F4DD85" w14:textId="77777777" w:rsidTr="00A6206B">
        <w:tc>
          <w:tcPr>
            <w:tcW w:w="2600" w:type="dxa"/>
            <w:vMerge/>
          </w:tcPr>
          <w:p w14:paraId="7FD8A257" w14:textId="77777777" w:rsidR="00AB3BE8" w:rsidRPr="002A3533" w:rsidRDefault="00AB3BE8" w:rsidP="00A6206B">
            <w:pPr>
              <w:pStyle w:val="EMEANormal"/>
              <w:widowControl w:val="0"/>
              <w:spacing w:before="60"/>
              <w:rPr>
                <w:lang w:val="en-GB"/>
              </w:rPr>
            </w:pPr>
          </w:p>
        </w:tc>
        <w:tc>
          <w:tcPr>
            <w:tcW w:w="2074" w:type="dxa"/>
            <w:tcBorders>
              <w:top w:val="single" w:sz="4" w:space="0" w:color="auto"/>
              <w:bottom w:val="single" w:sz="4" w:space="0" w:color="auto"/>
            </w:tcBorders>
          </w:tcPr>
          <w:p w14:paraId="34D8E3BC" w14:textId="77777777" w:rsidR="00AB3BE8" w:rsidRPr="002A3533" w:rsidRDefault="00944B8F" w:rsidP="00A6206B">
            <w:pPr>
              <w:pStyle w:val="EMEANormal"/>
              <w:widowControl w:val="0"/>
              <w:spacing w:before="60"/>
              <w:rPr>
                <w:lang w:val="en-GB"/>
              </w:rPr>
            </w:pPr>
            <w:r w:rsidRPr="002A3533">
              <w:rPr>
                <w:lang w:val="en-GB"/>
              </w:rPr>
              <w:t>Rare</w:t>
            </w:r>
          </w:p>
          <w:p w14:paraId="7FA56E26" w14:textId="77777777" w:rsidR="00AB3BE8" w:rsidRPr="002A3533" w:rsidRDefault="00AB3BE8" w:rsidP="00A6206B">
            <w:pPr>
              <w:pStyle w:val="EMEANormal"/>
              <w:widowControl w:val="0"/>
              <w:rPr>
                <w:lang w:val="en-GB"/>
              </w:rPr>
            </w:pPr>
          </w:p>
        </w:tc>
        <w:tc>
          <w:tcPr>
            <w:tcW w:w="4575" w:type="dxa"/>
            <w:tcBorders>
              <w:top w:val="single" w:sz="4" w:space="0" w:color="auto"/>
              <w:bottom w:val="single" w:sz="4" w:space="0" w:color="auto"/>
            </w:tcBorders>
          </w:tcPr>
          <w:p w14:paraId="087F9341" w14:textId="77777777" w:rsidR="00AB3BE8" w:rsidRPr="002A3533" w:rsidRDefault="00944B8F" w:rsidP="00A6206B">
            <w:pPr>
              <w:pStyle w:val="EMEANormal"/>
              <w:widowControl w:val="0"/>
              <w:spacing w:before="60"/>
              <w:rPr>
                <w:lang w:val="en-GB"/>
              </w:rPr>
            </w:pPr>
            <w:r>
              <w:rPr>
                <w:lang w:val="en-GB"/>
              </w:rPr>
              <w:t>H</w:t>
            </w:r>
            <w:r w:rsidRPr="002A3533">
              <w:rPr>
                <w:lang w:val="en-GB"/>
              </w:rPr>
              <w:t>epatitis</w:t>
            </w:r>
          </w:p>
          <w:p w14:paraId="2140EA60" w14:textId="77777777" w:rsidR="00AB3BE8" w:rsidRPr="002A3533" w:rsidRDefault="00944B8F" w:rsidP="00A6206B">
            <w:pPr>
              <w:pStyle w:val="EMEANormal"/>
              <w:widowControl w:val="0"/>
              <w:spacing w:before="60"/>
              <w:rPr>
                <w:vertAlign w:val="superscript"/>
                <w:lang w:val="en-GB"/>
              </w:rPr>
            </w:pPr>
            <w:r w:rsidRPr="002A3533">
              <w:rPr>
                <w:lang w:val="en-GB"/>
              </w:rPr>
              <w:t>reactivation of hepatitis B</w:t>
            </w:r>
            <w:r w:rsidRPr="002A3533">
              <w:rPr>
                <w:vertAlign w:val="superscript"/>
                <w:lang w:val="en-GB"/>
              </w:rPr>
              <w:t xml:space="preserve">1) </w:t>
            </w:r>
          </w:p>
          <w:p w14:paraId="526C1C79" w14:textId="77777777" w:rsidR="00AB3BE8" w:rsidRPr="002A3533" w:rsidRDefault="00944B8F" w:rsidP="00A6206B">
            <w:pPr>
              <w:pStyle w:val="EMEANormal"/>
              <w:widowControl w:val="0"/>
              <w:spacing w:before="60"/>
              <w:rPr>
                <w:vertAlign w:val="superscript"/>
                <w:lang w:val="en-GB"/>
              </w:rPr>
            </w:pPr>
            <w:r w:rsidRPr="002A3533">
              <w:rPr>
                <w:lang w:val="en-GB"/>
              </w:rPr>
              <w:t>autoimmune hepatitis</w:t>
            </w:r>
            <w:r w:rsidRPr="002A3533">
              <w:rPr>
                <w:vertAlign w:val="superscript"/>
                <w:lang w:val="en-GB"/>
              </w:rPr>
              <w:t>1)</w:t>
            </w:r>
          </w:p>
          <w:p w14:paraId="188D1F42" w14:textId="77777777" w:rsidR="00AB3BE8" w:rsidRPr="002A3533" w:rsidRDefault="00AB3BE8" w:rsidP="00A6206B">
            <w:pPr>
              <w:pStyle w:val="EMEANormal"/>
              <w:widowControl w:val="0"/>
              <w:rPr>
                <w:lang w:val="en-GB"/>
              </w:rPr>
            </w:pPr>
          </w:p>
        </w:tc>
      </w:tr>
      <w:tr w:rsidR="00C6578C" w14:paraId="33022982" w14:textId="77777777" w:rsidTr="00A6206B">
        <w:tc>
          <w:tcPr>
            <w:tcW w:w="2600" w:type="dxa"/>
            <w:vMerge/>
            <w:tcBorders>
              <w:bottom w:val="single" w:sz="4" w:space="0" w:color="auto"/>
            </w:tcBorders>
          </w:tcPr>
          <w:p w14:paraId="64E34082" w14:textId="77777777" w:rsidR="00AB3BE8" w:rsidRPr="002A3533" w:rsidRDefault="00AB3BE8" w:rsidP="00A6206B">
            <w:pPr>
              <w:pStyle w:val="EMEANormal"/>
              <w:widowControl w:val="0"/>
              <w:spacing w:before="60"/>
              <w:rPr>
                <w:lang w:val="en-GB"/>
              </w:rPr>
            </w:pPr>
          </w:p>
        </w:tc>
        <w:tc>
          <w:tcPr>
            <w:tcW w:w="2074" w:type="dxa"/>
            <w:tcBorders>
              <w:top w:val="single" w:sz="4" w:space="0" w:color="auto"/>
              <w:bottom w:val="single" w:sz="4" w:space="0" w:color="auto"/>
            </w:tcBorders>
          </w:tcPr>
          <w:p w14:paraId="7D2EAB8A" w14:textId="77777777" w:rsidR="00AB3BE8" w:rsidRPr="002A3533" w:rsidRDefault="00944B8F" w:rsidP="00A6206B">
            <w:pPr>
              <w:pStyle w:val="EMEANormal"/>
              <w:widowControl w:val="0"/>
              <w:spacing w:before="60"/>
              <w:rPr>
                <w:lang w:val="en-GB"/>
              </w:rPr>
            </w:pPr>
            <w:r w:rsidRPr="002A3533">
              <w:rPr>
                <w:lang w:val="en-GB"/>
              </w:rPr>
              <w:t>Not known</w:t>
            </w:r>
          </w:p>
          <w:p w14:paraId="0277D80E" w14:textId="77777777" w:rsidR="00AB3BE8" w:rsidRPr="002A3533" w:rsidRDefault="00AB3BE8" w:rsidP="00A6206B">
            <w:pPr>
              <w:pStyle w:val="EMEANormal"/>
              <w:widowControl w:val="0"/>
              <w:spacing w:before="60"/>
              <w:rPr>
                <w:lang w:val="en-GB"/>
              </w:rPr>
            </w:pPr>
          </w:p>
        </w:tc>
        <w:tc>
          <w:tcPr>
            <w:tcW w:w="4575" w:type="dxa"/>
            <w:tcBorders>
              <w:top w:val="single" w:sz="4" w:space="0" w:color="auto"/>
              <w:bottom w:val="single" w:sz="4" w:space="0" w:color="auto"/>
            </w:tcBorders>
          </w:tcPr>
          <w:p w14:paraId="4AA83B92" w14:textId="77777777" w:rsidR="00AB3BE8" w:rsidRPr="002A3533" w:rsidRDefault="00944B8F" w:rsidP="00A6206B">
            <w:pPr>
              <w:pStyle w:val="EMEANormal"/>
              <w:widowControl w:val="0"/>
              <w:spacing w:before="60"/>
              <w:rPr>
                <w:lang w:val="en-GB"/>
              </w:rPr>
            </w:pPr>
            <w:r>
              <w:rPr>
                <w:lang w:val="en-GB"/>
              </w:rPr>
              <w:t>L</w:t>
            </w:r>
            <w:r w:rsidRPr="002A3533">
              <w:rPr>
                <w:lang w:val="en-GB"/>
              </w:rPr>
              <w:t>iver failure</w:t>
            </w:r>
            <w:r w:rsidRPr="002A3533">
              <w:rPr>
                <w:vertAlign w:val="superscript"/>
                <w:lang w:val="en-GB"/>
              </w:rPr>
              <w:t>1)</w:t>
            </w:r>
          </w:p>
        </w:tc>
      </w:tr>
      <w:tr w:rsidR="00C6578C" w14:paraId="53C224D1" w14:textId="77777777" w:rsidTr="00A6206B">
        <w:tc>
          <w:tcPr>
            <w:tcW w:w="2600" w:type="dxa"/>
            <w:vMerge w:val="restart"/>
            <w:tcBorders>
              <w:bottom w:val="nil"/>
            </w:tcBorders>
          </w:tcPr>
          <w:p w14:paraId="74FF260F" w14:textId="77777777" w:rsidR="00AB3BE8" w:rsidRPr="002A3533" w:rsidRDefault="00944B8F" w:rsidP="00A6206B">
            <w:pPr>
              <w:pStyle w:val="EMEANormal"/>
              <w:widowControl w:val="0"/>
              <w:spacing w:before="60"/>
              <w:rPr>
                <w:lang w:val="en-GB"/>
              </w:rPr>
            </w:pPr>
            <w:r w:rsidRPr="002A3533">
              <w:rPr>
                <w:lang w:val="en-GB"/>
              </w:rPr>
              <w:t>Skin and subcutaneous tissue disorders</w:t>
            </w:r>
          </w:p>
        </w:tc>
        <w:tc>
          <w:tcPr>
            <w:tcW w:w="2074" w:type="dxa"/>
            <w:tcBorders>
              <w:bottom w:val="single" w:sz="4" w:space="0" w:color="auto"/>
            </w:tcBorders>
          </w:tcPr>
          <w:p w14:paraId="7B63F260" w14:textId="77777777" w:rsidR="00AB3BE8" w:rsidRPr="002A3533" w:rsidRDefault="00944B8F" w:rsidP="00A6206B">
            <w:pPr>
              <w:pStyle w:val="EMEANormal"/>
              <w:widowControl w:val="0"/>
              <w:spacing w:before="60"/>
              <w:rPr>
                <w:lang w:val="en-GB"/>
              </w:rPr>
            </w:pPr>
            <w:r w:rsidRPr="002A3533">
              <w:rPr>
                <w:lang w:val="en-GB"/>
              </w:rPr>
              <w:t>Very Common</w:t>
            </w:r>
          </w:p>
          <w:p w14:paraId="4456407D" w14:textId="77777777" w:rsidR="00AB3BE8" w:rsidRPr="002A3533" w:rsidRDefault="00AB3BE8" w:rsidP="00A6206B">
            <w:pPr>
              <w:pStyle w:val="EMEANormal"/>
              <w:widowControl w:val="0"/>
              <w:spacing w:before="60"/>
              <w:rPr>
                <w:lang w:val="en-GB"/>
              </w:rPr>
            </w:pPr>
          </w:p>
        </w:tc>
        <w:tc>
          <w:tcPr>
            <w:tcW w:w="4575" w:type="dxa"/>
            <w:tcBorders>
              <w:bottom w:val="single" w:sz="4" w:space="0" w:color="auto"/>
            </w:tcBorders>
          </w:tcPr>
          <w:p w14:paraId="3BF4DFBD" w14:textId="77777777" w:rsidR="00AB3BE8" w:rsidRPr="002A3533" w:rsidRDefault="00944B8F" w:rsidP="00A6206B">
            <w:pPr>
              <w:pStyle w:val="EMEANormal"/>
              <w:widowControl w:val="0"/>
              <w:spacing w:before="60"/>
              <w:rPr>
                <w:lang w:val="en-GB"/>
              </w:rPr>
            </w:pPr>
            <w:r>
              <w:rPr>
                <w:lang w:val="en-GB"/>
              </w:rPr>
              <w:t>R</w:t>
            </w:r>
            <w:r w:rsidRPr="002A3533">
              <w:rPr>
                <w:lang w:val="en-GB"/>
              </w:rPr>
              <w:t>ash (including exfoliative rash)</w:t>
            </w:r>
          </w:p>
          <w:p w14:paraId="3C3837D1" w14:textId="77777777" w:rsidR="00AB3BE8" w:rsidRPr="002A3533" w:rsidRDefault="00AB3BE8" w:rsidP="00A6206B">
            <w:pPr>
              <w:pStyle w:val="EMEANormal"/>
              <w:widowControl w:val="0"/>
              <w:spacing w:before="60"/>
              <w:rPr>
                <w:lang w:val="en-GB"/>
              </w:rPr>
            </w:pPr>
          </w:p>
        </w:tc>
      </w:tr>
      <w:tr w:rsidR="00C6578C" w14:paraId="29839691" w14:textId="77777777" w:rsidTr="00A6206B">
        <w:tc>
          <w:tcPr>
            <w:tcW w:w="2600" w:type="dxa"/>
            <w:vMerge/>
            <w:tcBorders>
              <w:top w:val="nil"/>
            </w:tcBorders>
          </w:tcPr>
          <w:p w14:paraId="5A0B423C" w14:textId="77777777" w:rsidR="00AB3BE8" w:rsidRPr="002A3533" w:rsidRDefault="00AB3BE8" w:rsidP="00A6206B">
            <w:pPr>
              <w:widowControl w:val="0"/>
              <w:spacing w:before="60"/>
              <w:jc w:val="center"/>
              <w:rPr>
                <w:b/>
              </w:rPr>
            </w:pPr>
          </w:p>
        </w:tc>
        <w:tc>
          <w:tcPr>
            <w:tcW w:w="2074" w:type="dxa"/>
            <w:tcBorders>
              <w:top w:val="single" w:sz="4" w:space="0" w:color="auto"/>
              <w:bottom w:val="single" w:sz="4" w:space="0" w:color="auto"/>
            </w:tcBorders>
          </w:tcPr>
          <w:p w14:paraId="7CF8EF9B" w14:textId="77777777" w:rsidR="00AB3BE8" w:rsidRPr="002A3533" w:rsidRDefault="00944B8F" w:rsidP="00A6206B">
            <w:pPr>
              <w:pStyle w:val="EMEANormal"/>
              <w:widowControl w:val="0"/>
              <w:rPr>
                <w:lang w:val="en-GB"/>
              </w:rPr>
            </w:pPr>
            <w:r w:rsidRPr="002A3533">
              <w:rPr>
                <w:lang w:val="en-GB"/>
              </w:rPr>
              <w:t>Common</w:t>
            </w:r>
          </w:p>
          <w:p w14:paraId="750CF827" w14:textId="77777777" w:rsidR="00AB3BE8" w:rsidRPr="002A3533" w:rsidRDefault="00AB3BE8" w:rsidP="00A6206B">
            <w:pPr>
              <w:pStyle w:val="EMEANormal"/>
              <w:widowControl w:val="0"/>
              <w:rPr>
                <w:lang w:val="en-GB"/>
              </w:rPr>
            </w:pPr>
          </w:p>
        </w:tc>
        <w:tc>
          <w:tcPr>
            <w:tcW w:w="4575" w:type="dxa"/>
            <w:tcBorders>
              <w:top w:val="single" w:sz="4" w:space="0" w:color="auto"/>
              <w:bottom w:val="single" w:sz="4" w:space="0" w:color="auto"/>
            </w:tcBorders>
          </w:tcPr>
          <w:p w14:paraId="0D98F146" w14:textId="77777777" w:rsidR="00AB3BE8" w:rsidRPr="002A3533" w:rsidRDefault="00944B8F" w:rsidP="00A6206B">
            <w:pPr>
              <w:pStyle w:val="EMEANormal"/>
              <w:widowControl w:val="0"/>
              <w:rPr>
                <w:lang w:val="en-GB"/>
              </w:rPr>
            </w:pPr>
            <w:r>
              <w:rPr>
                <w:lang w:val="en-GB"/>
              </w:rPr>
              <w:t>W</w:t>
            </w:r>
            <w:r w:rsidRPr="002A3533">
              <w:rPr>
                <w:lang w:val="en-GB"/>
              </w:rPr>
              <w:t xml:space="preserve">orsening or new onset of </w:t>
            </w:r>
            <w:r w:rsidRPr="00106CE6">
              <w:rPr>
                <w:lang w:val="en-GB"/>
              </w:rPr>
              <w:t>psoriasis</w:t>
            </w:r>
            <w:r w:rsidRPr="002A3533">
              <w:rPr>
                <w:lang w:val="en-GB"/>
              </w:rPr>
              <w:t>(including palm</w:t>
            </w:r>
            <w:r>
              <w:rPr>
                <w:lang w:val="en-GB"/>
              </w:rPr>
              <w:t>o</w:t>
            </w:r>
            <w:r w:rsidRPr="002A3533">
              <w:rPr>
                <w:lang w:val="en-GB"/>
              </w:rPr>
              <w:t>plantar pustular psoriasis)</w:t>
            </w:r>
            <w:r w:rsidRPr="002A3533">
              <w:rPr>
                <w:vertAlign w:val="superscript"/>
                <w:lang w:val="en-GB"/>
              </w:rPr>
              <w:t>1)</w:t>
            </w:r>
            <w:r w:rsidRPr="002A3533">
              <w:rPr>
                <w:lang w:val="en-GB"/>
              </w:rPr>
              <w:t>,</w:t>
            </w:r>
          </w:p>
          <w:p w14:paraId="3F6CBCB5" w14:textId="77777777" w:rsidR="00AB3BE8" w:rsidRPr="002A3533" w:rsidRDefault="00944B8F" w:rsidP="00A6206B">
            <w:pPr>
              <w:pStyle w:val="EMEANormal"/>
              <w:widowControl w:val="0"/>
              <w:rPr>
                <w:lang w:val="en-GB"/>
              </w:rPr>
            </w:pPr>
            <w:r w:rsidRPr="002A3533">
              <w:rPr>
                <w:lang w:val="en-GB"/>
              </w:rPr>
              <w:t>urticaria,</w:t>
            </w:r>
          </w:p>
          <w:p w14:paraId="49904106" w14:textId="77777777" w:rsidR="00AB3BE8" w:rsidRPr="002A3533" w:rsidRDefault="00944B8F" w:rsidP="00A6206B">
            <w:pPr>
              <w:pStyle w:val="EMEANormal"/>
              <w:widowControl w:val="0"/>
              <w:rPr>
                <w:lang w:val="en-GB"/>
              </w:rPr>
            </w:pPr>
            <w:r w:rsidRPr="002A3533">
              <w:rPr>
                <w:lang w:val="en-GB"/>
              </w:rPr>
              <w:t xml:space="preserve">bruising (including purpura), </w:t>
            </w:r>
          </w:p>
          <w:p w14:paraId="3E1B51C8" w14:textId="77777777" w:rsidR="00AB3BE8" w:rsidRPr="002A3533" w:rsidRDefault="00944B8F" w:rsidP="00A6206B">
            <w:pPr>
              <w:pStyle w:val="EMEANormal"/>
              <w:widowControl w:val="0"/>
              <w:rPr>
                <w:lang w:val="en-GB"/>
              </w:rPr>
            </w:pPr>
            <w:r w:rsidRPr="002A3533">
              <w:rPr>
                <w:lang w:val="en-GB"/>
              </w:rPr>
              <w:t>dermatitis (including eczema),</w:t>
            </w:r>
          </w:p>
          <w:p w14:paraId="391D2DE3" w14:textId="77777777" w:rsidR="00AB3BE8" w:rsidRPr="002A3533" w:rsidRDefault="00944B8F" w:rsidP="00A6206B">
            <w:pPr>
              <w:pStyle w:val="EMEANormal"/>
              <w:widowControl w:val="0"/>
              <w:rPr>
                <w:lang w:val="it-IT"/>
              </w:rPr>
            </w:pPr>
            <w:r w:rsidRPr="002A3533">
              <w:rPr>
                <w:lang w:val="it-IT"/>
              </w:rPr>
              <w:t xml:space="preserve">onychoclasis, </w:t>
            </w:r>
          </w:p>
          <w:p w14:paraId="2F763B34" w14:textId="77777777" w:rsidR="00AB3BE8" w:rsidRPr="002A3533" w:rsidRDefault="00944B8F" w:rsidP="00A6206B">
            <w:pPr>
              <w:pStyle w:val="EMEANormal"/>
              <w:widowControl w:val="0"/>
              <w:rPr>
                <w:lang w:val="it-IT"/>
              </w:rPr>
            </w:pPr>
            <w:r w:rsidRPr="00106CE6">
              <w:rPr>
                <w:lang w:val="en-GB"/>
              </w:rPr>
              <w:t>hyperhidrosis</w:t>
            </w:r>
            <w:r w:rsidRPr="002A3533">
              <w:rPr>
                <w:lang w:val="it-IT"/>
              </w:rPr>
              <w:t>,</w:t>
            </w:r>
          </w:p>
          <w:p w14:paraId="65C9F648" w14:textId="77777777" w:rsidR="00AB3BE8" w:rsidRPr="002A3533" w:rsidRDefault="00944B8F" w:rsidP="00A6206B">
            <w:pPr>
              <w:pStyle w:val="EMEANormal"/>
              <w:widowControl w:val="0"/>
              <w:rPr>
                <w:lang w:val="en-GB"/>
              </w:rPr>
            </w:pPr>
            <w:r w:rsidRPr="002A3533">
              <w:rPr>
                <w:lang w:val="it-IT"/>
              </w:rPr>
              <w:t>alopecia</w:t>
            </w:r>
            <w:r w:rsidRPr="002A3533">
              <w:rPr>
                <w:vertAlign w:val="superscript"/>
                <w:lang w:val="it-IT"/>
              </w:rPr>
              <w:t>1)</w:t>
            </w:r>
            <w:r w:rsidRPr="002A3533">
              <w:rPr>
                <w:lang w:val="it-IT"/>
              </w:rPr>
              <w:t>,</w:t>
            </w:r>
          </w:p>
          <w:p w14:paraId="0FFA116F" w14:textId="77777777" w:rsidR="00AB3BE8" w:rsidRPr="002A3533" w:rsidRDefault="00944B8F" w:rsidP="00A6206B">
            <w:pPr>
              <w:pStyle w:val="EMEANormal"/>
              <w:widowControl w:val="0"/>
              <w:rPr>
                <w:lang w:val="en-GB"/>
              </w:rPr>
            </w:pPr>
            <w:r w:rsidRPr="002A3533">
              <w:rPr>
                <w:lang w:val="en-GB"/>
              </w:rPr>
              <w:t xml:space="preserve">pruritus </w:t>
            </w:r>
          </w:p>
          <w:p w14:paraId="077B8AAC" w14:textId="77777777" w:rsidR="00AB3BE8" w:rsidRPr="002A3533" w:rsidRDefault="00AB3BE8" w:rsidP="00A6206B">
            <w:pPr>
              <w:pStyle w:val="EMEANormal"/>
              <w:widowControl w:val="0"/>
              <w:rPr>
                <w:lang w:val="en-GB"/>
              </w:rPr>
            </w:pPr>
          </w:p>
        </w:tc>
      </w:tr>
      <w:tr w:rsidR="00C6578C" w14:paraId="23744020" w14:textId="77777777" w:rsidTr="00A6206B">
        <w:tc>
          <w:tcPr>
            <w:tcW w:w="2600" w:type="dxa"/>
            <w:vMerge/>
            <w:tcBorders>
              <w:bottom w:val="nil"/>
            </w:tcBorders>
          </w:tcPr>
          <w:p w14:paraId="3834075A" w14:textId="77777777" w:rsidR="00AB3BE8" w:rsidRPr="002A3533" w:rsidRDefault="00AB3BE8" w:rsidP="00A6206B">
            <w:pPr>
              <w:widowControl w:val="0"/>
              <w:spacing w:before="60"/>
              <w:jc w:val="center"/>
              <w:rPr>
                <w:b/>
              </w:rPr>
            </w:pPr>
          </w:p>
        </w:tc>
        <w:tc>
          <w:tcPr>
            <w:tcW w:w="2074" w:type="dxa"/>
            <w:tcBorders>
              <w:top w:val="single" w:sz="4" w:space="0" w:color="auto"/>
              <w:bottom w:val="single" w:sz="2" w:space="0" w:color="auto"/>
            </w:tcBorders>
          </w:tcPr>
          <w:p w14:paraId="3F0AD6E5" w14:textId="77777777" w:rsidR="00AB3BE8" w:rsidRPr="002A3533" w:rsidRDefault="00944B8F" w:rsidP="00A6206B">
            <w:pPr>
              <w:pStyle w:val="EMEANormal"/>
              <w:widowControl w:val="0"/>
              <w:rPr>
                <w:lang w:val="it-IT"/>
              </w:rPr>
            </w:pPr>
            <w:r w:rsidRPr="002A3533">
              <w:rPr>
                <w:lang w:val="it-IT"/>
              </w:rPr>
              <w:t>Uncommon</w:t>
            </w:r>
          </w:p>
          <w:p w14:paraId="1DE2E8CF" w14:textId="77777777" w:rsidR="00AB3BE8" w:rsidRPr="002A3533" w:rsidRDefault="00AB3BE8" w:rsidP="00A6206B">
            <w:pPr>
              <w:pStyle w:val="EMEANormal"/>
              <w:widowControl w:val="0"/>
              <w:rPr>
                <w:lang w:val="it-IT"/>
              </w:rPr>
            </w:pPr>
          </w:p>
        </w:tc>
        <w:tc>
          <w:tcPr>
            <w:tcW w:w="4575" w:type="dxa"/>
            <w:tcBorders>
              <w:top w:val="single" w:sz="4" w:space="0" w:color="auto"/>
              <w:bottom w:val="single" w:sz="2" w:space="0" w:color="auto"/>
            </w:tcBorders>
          </w:tcPr>
          <w:p w14:paraId="250A09F8" w14:textId="77777777" w:rsidR="00AB3BE8" w:rsidRPr="002A3533" w:rsidRDefault="00944B8F" w:rsidP="00A6206B">
            <w:pPr>
              <w:pStyle w:val="EMEANormal"/>
              <w:widowControl w:val="0"/>
              <w:rPr>
                <w:lang w:val="it-IT"/>
              </w:rPr>
            </w:pPr>
            <w:r>
              <w:rPr>
                <w:lang w:val="it-IT"/>
              </w:rPr>
              <w:t>N</w:t>
            </w:r>
            <w:r w:rsidRPr="002A3533">
              <w:rPr>
                <w:lang w:val="it-IT"/>
              </w:rPr>
              <w:t>ight sweats,</w:t>
            </w:r>
          </w:p>
          <w:p w14:paraId="0D2D2E7D" w14:textId="77777777" w:rsidR="00AB3BE8" w:rsidRPr="002A3533" w:rsidRDefault="00944B8F" w:rsidP="00A6206B">
            <w:pPr>
              <w:pStyle w:val="EMEANormal"/>
              <w:widowControl w:val="0"/>
              <w:rPr>
                <w:lang w:val="it-IT"/>
              </w:rPr>
            </w:pPr>
            <w:r w:rsidRPr="002A3533">
              <w:rPr>
                <w:lang w:val="it-IT"/>
              </w:rPr>
              <w:t>scar</w:t>
            </w:r>
          </w:p>
          <w:p w14:paraId="195D1827" w14:textId="77777777" w:rsidR="00AB3BE8" w:rsidRPr="002A3533" w:rsidRDefault="00AB3BE8" w:rsidP="00A6206B">
            <w:pPr>
              <w:pStyle w:val="EMEANormal"/>
              <w:widowControl w:val="0"/>
              <w:rPr>
                <w:lang w:val="it-IT"/>
              </w:rPr>
            </w:pPr>
          </w:p>
        </w:tc>
      </w:tr>
      <w:tr w:rsidR="00C6578C" w14:paraId="19F00CCF" w14:textId="77777777" w:rsidTr="00A6206B">
        <w:trPr>
          <w:trHeight w:val="1333"/>
        </w:trPr>
        <w:tc>
          <w:tcPr>
            <w:tcW w:w="2600" w:type="dxa"/>
            <w:vMerge/>
            <w:tcBorders>
              <w:top w:val="nil"/>
            </w:tcBorders>
          </w:tcPr>
          <w:p w14:paraId="3DCCC8B1" w14:textId="77777777" w:rsidR="00AB3BE8" w:rsidRPr="002A3533" w:rsidRDefault="00AB3BE8" w:rsidP="00A6206B">
            <w:pPr>
              <w:pStyle w:val="EMEANormal"/>
              <w:widowControl w:val="0"/>
              <w:spacing w:before="60"/>
              <w:rPr>
                <w:lang w:val="en-GB"/>
              </w:rPr>
            </w:pPr>
          </w:p>
        </w:tc>
        <w:tc>
          <w:tcPr>
            <w:tcW w:w="2074" w:type="dxa"/>
            <w:tcBorders>
              <w:top w:val="single" w:sz="2" w:space="0" w:color="auto"/>
              <w:bottom w:val="single" w:sz="2" w:space="0" w:color="auto"/>
            </w:tcBorders>
          </w:tcPr>
          <w:p w14:paraId="743C0990" w14:textId="77777777" w:rsidR="00AB3BE8" w:rsidRPr="002A3533" w:rsidRDefault="00944B8F" w:rsidP="00A6206B">
            <w:pPr>
              <w:pStyle w:val="EMEANormal"/>
              <w:widowControl w:val="0"/>
              <w:spacing w:before="60"/>
              <w:rPr>
                <w:lang w:val="en-GB"/>
              </w:rPr>
            </w:pPr>
            <w:r w:rsidRPr="002A3533">
              <w:rPr>
                <w:lang w:val="en-GB"/>
              </w:rPr>
              <w:t>Rare</w:t>
            </w:r>
          </w:p>
        </w:tc>
        <w:tc>
          <w:tcPr>
            <w:tcW w:w="4575" w:type="dxa"/>
            <w:tcBorders>
              <w:top w:val="single" w:sz="2" w:space="0" w:color="auto"/>
              <w:bottom w:val="single" w:sz="2" w:space="0" w:color="auto"/>
            </w:tcBorders>
          </w:tcPr>
          <w:p w14:paraId="3E47BC4B" w14:textId="77777777" w:rsidR="00AB3BE8" w:rsidRPr="002A3533" w:rsidRDefault="00944B8F" w:rsidP="00A6206B">
            <w:pPr>
              <w:pStyle w:val="EMEANormal"/>
              <w:widowControl w:val="0"/>
              <w:spacing w:before="60"/>
              <w:rPr>
                <w:lang w:val="fr-FR"/>
              </w:rPr>
            </w:pPr>
            <w:r>
              <w:rPr>
                <w:lang w:val="fr-FR"/>
              </w:rPr>
              <w:t>E</w:t>
            </w:r>
            <w:r w:rsidRPr="002A3533">
              <w:rPr>
                <w:lang w:val="fr-FR"/>
              </w:rPr>
              <w:t>rythema multiforme</w:t>
            </w:r>
            <w:r w:rsidRPr="002A3533">
              <w:rPr>
                <w:vertAlign w:val="superscript"/>
                <w:lang w:val="fr-FR"/>
              </w:rPr>
              <w:t>1)</w:t>
            </w:r>
            <w:r w:rsidRPr="002A3533">
              <w:rPr>
                <w:lang w:val="fr-FR"/>
              </w:rPr>
              <w:t>,</w:t>
            </w:r>
          </w:p>
          <w:p w14:paraId="610F6123" w14:textId="77777777" w:rsidR="00AB3BE8" w:rsidRPr="00FB06D0" w:rsidRDefault="00944B8F" w:rsidP="00A6206B">
            <w:pPr>
              <w:pStyle w:val="EMEANormal"/>
              <w:widowControl w:val="0"/>
              <w:spacing w:before="60"/>
              <w:rPr>
                <w:lang w:val="nb-NO"/>
              </w:rPr>
            </w:pPr>
            <w:r w:rsidRPr="00FB06D0">
              <w:rPr>
                <w:lang w:val="nb-NO"/>
              </w:rPr>
              <w:t>Stevens-Johnson syndrome</w:t>
            </w:r>
            <w:r w:rsidRPr="00FB06D0">
              <w:rPr>
                <w:vertAlign w:val="superscript"/>
                <w:lang w:val="nb-NO"/>
              </w:rPr>
              <w:t>1)</w:t>
            </w:r>
            <w:r w:rsidRPr="00FB06D0">
              <w:rPr>
                <w:lang w:val="nb-NO"/>
              </w:rPr>
              <w:t>,</w:t>
            </w:r>
          </w:p>
          <w:p w14:paraId="260E5807" w14:textId="77777777" w:rsidR="00AB3BE8" w:rsidRPr="007224CE" w:rsidRDefault="00944B8F" w:rsidP="00A6206B">
            <w:pPr>
              <w:pStyle w:val="EMEANormal"/>
              <w:widowControl w:val="0"/>
              <w:spacing w:before="60"/>
              <w:rPr>
                <w:lang w:val="en-GB"/>
              </w:rPr>
            </w:pPr>
            <w:r w:rsidRPr="007224CE">
              <w:rPr>
                <w:lang w:val="en-GB"/>
              </w:rPr>
              <w:t>angioedema</w:t>
            </w:r>
            <w:r w:rsidRPr="007224CE">
              <w:rPr>
                <w:vertAlign w:val="superscript"/>
                <w:lang w:val="en-GB"/>
              </w:rPr>
              <w:t>1)</w:t>
            </w:r>
            <w:r w:rsidRPr="007224CE">
              <w:rPr>
                <w:lang w:val="en-GB"/>
              </w:rPr>
              <w:t>,</w:t>
            </w:r>
          </w:p>
          <w:p w14:paraId="0F53D5FE" w14:textId="77777777" w:rsidR="00AB3BE8" w:rsidRPr="002A3533" w:rsidRDefault="00944B8F" w:rsidP="00A6206B">
            <w:pPr>
              <w:pStyle w:val="EMEANormal"/>
              <w:widowControl w:val="0"/>
              <w:spacing w:before="60"/>
              <w:rPr>
                <w:vertAlign w:val="superscript"/>
                <w:lang w:val="fr-FR"/>
              </w:rPr>
            </w:pPr>
            <w:r w:rsidRPr="002A3533">
              <w:rPr>
                <w:lang w:val="fr-FR"/>
              </w:rPr>
              <w:t>cutaneous vasculitis</w:t>
            </w:r>
            <w:r w:rsidRPr="002A3533">
              <w:rPr>
                <w:vertAlign w:val="superscript"/>
                <w:lang w:val="fr-FR"/>
              </w:rPr>
              <w:t>1)</w:t>
            </w:r>
          </w:p>
          <w:p w14:paraId="1E4535C3" w14:textId="77777777" w:rsidR="00BC1B36" w:rsidRDefault="00944B8F" w:rsidP="00A6206B">
            <w:pPr>
              <w:pStyle w:val="EMEANormal"/>
              <w:widowControl w:val="0"/>
              <w:spacing w:before="60"/>
              <w:rPr>
                <w:szCs w:val="22"/>
                <w:vertAlign w:val="superscript"/>
                <w:lang w:val="en-GB"/>
              </w:rPr>
            </w:pPr>
            <w:r>
              <w:t>lichenoid skin reaction</w:t>
            </w:r>
            <w:r>
              <w:rPr>
                <w:szCs w:val="22"/>
                <w:vertAlign w:val="superscript"/>
                <w:lang w:val="en-GB"/>
              </w:rPr>
              <w:t>1)</w:t>
            </w:r>
          </w:p>
          <w:p w14:paraId="602C2E10" w14:textId="77777777" w:rsidR="00AB3BE8" w:rsidRPr="002A3533" w:rsidRDefault="00AB3BE8" w:rsidP="00A6206B">
            <w:pPr>
              <w:pStyle w:val="EMEANormal"/>
              <w:widowControl w:val="0"/>
              <w:spacing w:before="60"/>
              <w:rPr>
                <w:lang w:val="en-GB"/>
              </w:rPr>
            </w:pPr>
          </w:p>
        </w:tc>
      </w:tr>
      <w:tr w:rsidR="00C6578C" w14:paraId="5AD9D233" w14:textId="77777777" w:rsidTr="00A6206B">
        <w:tc>
          <w:tcPr>
            <w:tcW w:w="2600" w:type="dxa"/>
            <w:vMerge/>
          </w:tcPr>
          <w:p w14:paraId="29281161" w14:textId="77777777" w:rsidR="00AB3BE8" w:rsidRPr="002A3533" w:rsidRDefault="00AB3BE8" w:rsidP="00A6206B">
            <w:pPr>
              <w:pStyle w:val="EMEANormal"/>
              <w:widowControl w:val="0"/>
              <w:spacing w:before="60"/>
              <w:rPr>
                <w:lang w:val="en-GB"/>
              </w:rPr>
            </w:pPr>
          </w:p>
        </w:tc>
        <w:tc>
          <w:tcPr>
            <w:tcW w:w="2074" w:type="dxa"/>
            <w:tcBorders>
              <w:top w:val="single" w:sz="2" w:space="0" w:color="auto"/>
              <w:bottom w:val="single" w:sz="4" w:space="0" w:color="auto"/>
            </w:tcBorders>
          </w:tcPr>
          <w:p w14:paraId="012F8837" w14:textId="77777777" w:rsidR="00AB3BE8" w:rsidRPr="002A3533" w:rsidRDefault="00944B8F" w:rsidP="00A6206B">
            <w:pPr>
              <w:pStyle w:val="EMEANormal"/>
              <w:widowControl w:val="0"/>
              <w:spacing w:before="60"/>
              <w:rPr>
                <w:lang w:val="en-GB"/>
              </w:rPr>
            </w:pPr>
            <w:r w:rsidRPr="002A3533">
              <w:rPr>
                <w:lang w:val="en-GB"/>
              </w:rPr>
              <w:t>Not known</w:t>
            </w:r>
          </w:p>
        </w:tc>
        <w:tc>
          <w:tcPr>
            <w:tcW w:w="4575" w:type="dxa"/>
            <w:tcBorders>
              <w:top w:val="single" w:sz="2" w:space="0" w:color="auto"/>
              <w:bottom w:val="single" w:sz="4" w:space="0" w:color="auto"/>
            </w:tcBorders>
          </w:tcPr>
          <w:p w14:paraId="17894E85" w14:textId="77777777" w:rsidR="00AB3BE8" w:rsidRPr="002A3533" w:rsidRDefault="00944B8F" w:rsidP="00A6206B">
            <w:pPr>
              <w:pStyle w:val="EMEANormal"/>
              <w:widowControl w:val="0"/>
              <w:spacing w:before="60"/>
              <w:rPr>
                <w:vertAlign w:val="superscript"/>
                <w:lang w:val="en-GB"/>
              </w:rPr>
            </w:pPr>
            <w:r>
              <w:rPr>
                <w:lang w:val="en-GB"/>
              </w:rPr>
              <w:t>W</w:t>
            </w:r>
            <w:r w:rsidRPr="002A3533">
              <w:rPr>
                <w:lang w:val="en-GB"/>
              </w:rPr>
              <w:t>orsening of symptoms of dermatomyositis</w:t>
            </w:r>
            <w:r w:rsidRPr="002A3533">
              <w:rPr>
                <w:vertAlign w:val="superscript"/>
                <w:lang w:val="en-GB"/>
              </w:rPr>
              <w:t>1)</w:t>
            </w:r>
          </w:p>
          <w:p w14:paraId="09960210" w14:textId="77777777" w:rsidR="00AB3BE8" w:rsidRPr="002A3533" w:rsidRDefault="00AB3BE8" w:rsidP="00A6206B">
            <w:pPr>
              <w:pStyle w:val="EMEANormal"/>
              <w:widowControl w:val="0"/>
              <w:spacing w:before="60"/>
              <w:rPr>
                <w:lang w:val="en-GB"/>
              </w:rPr>
            </w:pPr>
          </w:p>
        </w:tc>
      </w:tr>
      <w:tr w:rsidR="00C6578C" w14:paraId="4ED7DCB2" w14:textId="77777777" w:rsidTr="00A6206B">
        <w:tc>
          <w:tcPr>
            <w:tcW w:w="2600" w:type="dxa"/>
            <w:vMerge w:val="restart"/>
          </w:tcPr>
          <w:p w14:paraId="7161E16D" w14:textId="77777777" w:rsidR="00AB3BE8" w:rsidRPr="002A3533" w:rsidRDefault="00944B8F" w:rsidP="00A6206B">
            <w:pPr>
              <w:pStyle w:val="EMEANormal"/>
              <w:widowControl w:val="0"/>
              <w:spacing w:before="60"/>
              <w:rPr>
                <w:lang w:val="en-GB"/>
              </w:rPr>
            </w:pPr>
            <w:r w:rsidRPr="002A3533">
              <w:rPr>
                <w:lang w:val="en-GB"/>
              </w:rPr>
              <w:t>Musculoskeletal and connective tissue disorders</w:t>
            </w:r>
          </w:p>
        </w:tc>
        <w:tc>
          <w:tcPr>
            <w:tcW w:w="2074" w:type="dxa"/>
            <w:tcBorders>
              <w:top w:val="single" w:sz="4" w:space="0" w:color="auto"/>
              <w:bottom w:val="single" w:sz="2" w:space="0" w:color="auto"/>
            </w:tcBorders>
          </w:tcPr>
          <w:p w14:paraId="53121486" w14:textId="77777777" w:rsidR="00AB3BE8" w:rsidRPr="002A3533" w:rsidRDefault="00944B8F" w:rsidP="00A6206B">
            <w:pPr>
              <w:pStyle w:val="EMEANormal"/>
              <w:widowControl w:val="0"/>
              <w:spacing w:before="60"/>
              <w:rPr>
                <w:lang w:val="en-GB"/>
              </w:rPr>
            </w:pPr>
            <w:r w:rsidRPr="002A3533">
              <w:rPr>
                <w:lang w:val="en-GB"/>
              </w:rPr>
              <w:t>Very common</w:t>
            </w:r>
          </w:p>
          <w:p w14:paraId="77AA3151" w14:textId="77777777" w:rsidR="00AB3BE8" w:rsidRPr="002A3533" w:rsidRDefault="00AB3BE8" w:rsidP="00A6206B">
            <w:pPr>
              <w:pStyle w:val="EMEANormal"/>
              <w:widowControl w:val="0"/>
              <w:spacing w:before="60"/>
              <w:rPr>
                <w:lang w:val="en-GB"/>
              </w:rPr>
            </w:pPr>
          </w:p>
        </w:tc>
        <w:tc>
          <w:tcPr>
            <w:tcW w:w="4575" w:type="dxa"/>
            <w:tcBorders>
              <w:top w:val="single" w:sz="4" w:space="0" w:color="auto"/>
              <w:bottom w:val="single" w:sz="2" w:space="0" w:color="auto"/>
            </w:tcBorders>
          </w:tcPr>
          <w:p w14:paraId="5732EC0E" w14:textId="77777777" w:rsidR="00AB3BE8" w:rsidRPr="002A3533" w:rsidRDefault="00944B8F" w:rsidP="00A6206B">
            <w:pPr>
              <w:pStyle w:val="EMEANormal"/>
              <w:widowControl w:val="0"/>
              <w:spacing w:before="60"/>
              <w:rPr>
                <w:lang w:val="en-GB"/>
              </w:rPr>
            </w:pPr>
            <w:r>
              <w:rPr>
                <w:lang w:val="en-GB"/>
              </w:rPr>
              <w:t>M</w:t>
            </w:r>
            <w:r w:rsidRPr="002A3533">
              <w:rPr>
                <w:lang w:val="en-GB"/>
              </w:rPr>
              <w:t>usculoskeletal pain</w:t>
            </w:r>
          </w:p>
          <w:p w14:paraId="5796CA33" w14:textId="77777777" w:rsidR="00AB3BE8" w:rsidRPr="002A3533" w:rsidRDefault="00AB3BE8" w:rsidP="00A6206B">
            <w:pPr>
              <w:pStyle w:val="EMEANormal"/>
              <w:widowControl w:val="0"/>
              <w:spacing w:before="60"/>
              <w:rPr>
                <w:lang w:val="en-GB"/>
              </w:rPr>
            </w:pPr>
          </w:p>
        </w:tc>
      </w:tr>
      <w:tr w:rsidR="00C6578C" w14:paraId="664CE59C" w14:textId="77777777" w:rsidTr="00A6206B">
        <w:tc>
          <w:tcPr>
            <w:tcW w:w="2600" w:type="dxa"/>
            <w:vMerge/>
          </w:tcPr>
          <w:p w14:paraId="4A3A6E28" w14:textId="77777777" w:rsidR="00AB3BE8" w:rsidRPr="002A3533" w:rsidRDefault="00AB3BE8" w:rsidP="00A6206B">
            <w:pPr>
              <w:pStyle w:val="EMEANormal"/>
              <w:widowControl w:val="0"/>
              <w:spacing w:before="60"/>
              <w:rPr>
                <w:lang w:val="en-GB"/>
              </w:rPr>
            </w:pPr>
          </w:p>
        </w:tc>
        <w:tc>
          <w:tcPr>
            <w:tcW w:w="2074" w:type="dxa"/>
            <w:tcBorders>
              <w:top w:val="single" w:sz="2" w:space="0" w:color="auto"/>
              <w:bottom w:val="single" w:sz="2" w:space="0" w:color="auto"/>
            </w:tcBorders>
          </w:tcPr>
          <w:p w14:paraId="3EA0D809" w14:textId="77777777" w:rsidR="00AB3BE8" w:rsidRPr="002A3533" w:rsidRDefault="00944B8F" w:rsidP="00A6206B">
            <w:pPr>
              <w:pStyle w:val="EMEANormal"/>
              <w:widowControl w:val="0"/>
              <w:spacing w:before="60"/>
              <w:rPr>
                <w:lang w:val="en-GB"/>
              </w:rPr>
            </w:pPr>
            <w:r w:rsidRPr="002A3533">
              <w:rPr>
                <w:lang w:val="en-GB"/>
              </w:rPr>
              <w:t>Common</w:t>
            </w:r>
          </w:p>
        </w:tc>
        <w:tc>
          <w:tcPr>
            <w:tcW w:w="4575" w:type="dxa"/>
            <w:tcBorders>
              <w:top w:val="single" w:sz="2" w:space="0" w:color="auto"/>
              <w:bottom w:val="single" w:sz="2" w:space="0" w:color="auto"/>
            </w:tcBorders>
          </w:tcPr>
          <w:p w14:paraId="3B8CB380" w14:textId="77777777" w:rsidR="00AB3BE8" w:rsidRPr="002A3533" w:rsidRDefault="00944B8F" w:rsidP="00A6206B">
            <w:pPr>
              <w:pStyle w:val="EMEANormal"/>
              <w:widowControl w:val="0"/>
              <w:spacing w:before="60"/>
              <w:rPr>
                <w:lang w:val="en-GB"/>
              </w:rPr>
            </w:pPr>
            <w:r>
              <w:rPr>
                <w:lang w:val="en-GB"/>
              </w:rPr>
              <w:t>M</w:t>
            </w:r>
            <w:r w:rsidRPr="002A3533">
              <w:rPr>
                <w:lang w:val="en-GB"/>
              </w:rPr>
              <w:t>uscle spasms (including blood creatine phosphokinase increased)</w:t>
            </w:r>
          </w:p>
          <w:p w14:paraId="1FCF145D" w14:textId="77777777" w:rsidR="00AB3BE8" w:rsidRPr="002A3533" w:rsidRDefault="00AB3BE8" w:rsidP="00A6206B">
            <w:pPr>
              <w:pStyle w:val="EMEANormal"/>
              <w:widowControl w:val="0"/>
              <w:spacing w:before="60"/>
              <w:rPr>
                <w:lang w:val="en-GB"/>
              </w:rPr>
            </w:pPr>
          </w:p>
        </w:tc>
      </w:tr>
      <w:tr w:rsidR="00C6578C" w14:paraId="1B428A65" w14:textId="77777777" w:rsidTr="00A6206B">
        <w:tc>
          <w:tcPr>
            <w:tcW w:w="2600" w:type="dxa"/>
            <w:vMerge/>
            <w:tcBorders>
              <w:right w:val="single" w:sz="2" w:space="0" w:color="auto"/>
            </w:tcBorders>
          </w:tcPr>
          <w:p w14:paraId="2F1189DC" w14:textId="77777777" w:rsidR="00AB3BE8" w:rsidRPr="002A3533" w:rsidRDefault="00AB3BE8" w:rsidP="00A6206B">
            <w:pPr>
              <w:widowControl w:val="0"/>
              <w:spacing w:before="60"/>
              <w:jc w:val="center"/>
              <w:rPr>
                <w:b/>
              </w:rPr>
            </w:pPr>
          </w:p>
        </w:tc>
        <w:tc>
          <w:tcPr>
            <w:tcW w:w="2074" w:type="dxa"/>
            <w:tcBorders>
              <w:top w:val="single" w:sz="2" w:space="0" w:color="auto"/>
              <w:left w:val="single" w:sz="2" w:space="0" w:color="auto"/>
              <w:bottom w:val="single" w:sz="2" w:space="0" w:color="auto"/>
              <w:right w:val="single" w:sz="2" w:space="0" w:color="auto"/>
            </w:tcBorders>
          </w:tcPr>
          <w:p w14:paraId="4EE27DE2" w14:textId="77777777" w:rsidR="00AB3BE8" w:rsidRPr="002A3533" w:rsidRDefault="00944B8F" w:rsidP="00A6206B">
            <w:pPr>
              <w:pStyle w:val="EMEANormal"/>
              <w:widowControl w:val="0"/>
              <w:rPr>
                <w:lang w:val="en-GB"/>
              </w:rPr>
            </w:pPr>
            <w:r w:rsidRPr="002A3533">
              <w:rPr>
                <w:lang w:val="en-GB"/>
              </w:rPr>
              <w:t>Uncommon</w:t>
            </w:r>
          </w:p>
        </w:tc>
        <w:tc>
          <w:tcPr>
            <w:tcW w:w="4575" w:type="dxa"/>
            <w:tcBorders>
              <w:top w:val="single" w:sz="2" w:space="0" w:color="auto"/>
              <w:left w:val="single" w:sz="2" w:space="0" w:color="auto"/>
              <w:bottom w:val="single" w:sz="2" w:space="0" w:color="auto"/>
              <w:right w:val="single" w:sz="2" w:space="0" w:color="auto"/>
            </w:tcBorders>
          </w:tcPr>
          <w:p w14:paraId="62043372" w14:textId="77777777" w:rsidR="00AB3BE8" w:rsidRPr="002A3533" w:rsidRDefault="00944B8F" w:rsidP="00A6206B">
            <w:pPr>
              <w:pStyle w:val="EMEANormal"/>
              <w:widowControl w:val="0"/>
              <w:rPr>
                <w:lang w:val="en-GB"/>
              </w:rPr>
            </w:pPr>
            <w:r>
              <w:rPr>
                <w:lang w:val="en-GB"/>
              </w:rPr>
              <w:t>R</w:t>
            </w:r>
            <w:r w:rsidRPr="002A3533">
              <w:rPr>
                <w:lang w:val="en-GB"/>
              </w:rPr>
              <w:t>habdomyolysis,</w:t>
            </w:r>
          </w:p>
          <w:p w14:paraId="56368F47" w14:textId="77777777" w:rsidR="00AB3BE8" w:rsidRPr="002A3533" w:rsidRDefault="00944B8F" w:rsidP="00A6206B">
            <w:pPr>
              <w:pStyle w:val="EMEANormal"/>
              <w:widowControl w:val="0"/>
              <w:rPr>
                <w:lang w:val="en-GB"/>
              </w:rPr>
            </w:pPr>
            <w:r w:rsidRPr="002A3533">
              <w:rPr>
                <w:lang w:val="en-GB"/>
              </w:rPr>
              <w:t>systemic lupus erythematosus</w:t>
            </w:r>
          </w:p>
          <w:p w14:paraId="06238218" w14:textId="77777777" w:rsidR="00AB3BE8" w:rsidRPr="002A3533" w:rsidRDefault="00AB3BE8" w:rsidP="00A6206B">
            <w:pPr>
              <w:pStyle w:val="EMEANormal"/>
              <w:widowControl w:val="0"/>
              <w:rPr>
                <w:lang w:val="en-GB"/>
              </w:rPr>
            </w:pPr>
          </w:p>
        </w:tc>
      </w:tr>
      <w:tr w:rsidR="00C6578C" w14:paraId="5EDEE2C8" w14:textId="77777777" w:rsidTr="00A6206B">
        <w:tc>
          <w:tcPr>
            <w:tcW w:w="2600" w:type="dxa"/>
            <w:vMerge/>
            <w:tcBorders>
              <w:right w:val="single" w:sz="2" w:space="0" w:color="auto"/>
            </w:tcBorders>
          </w:tcPr>
          <w:p w14:paraId="62C3F698" w14:textId="77777777" w:rsidR="00AB3BE8" w:rsidRPr="002A3533" w:rsidRDefault="00AB3BE8" w:rsidP="00A6206B">
            <w:pPr>
              <w:widowControl w:val="0"/>
              <w:spacing w:before="60"/>
              <w:jc w:val="center"/>
              <w:rPr>
                <w:b/>
              </w:rPr>
            </w:pPr>
          </w:p>
        </w:tc>
        <w:tc>
          <w:tcPr>
            <w:tcW w:w="2074" w:type="dxa"/>
            <w:tcBorders>
              <w:top w:val="single" w:sz="2" w:space="0" w:color="auto"/>
              <w:left w:val="single" w:sz="2" w:space="0" w:color="auto"/>
              <w:bottom w:val="single" w:sz="2" w:space="0" w:color="auto"/>
              <w:right w:val="single" w:sz="2" w:space="0" w:color="auto"/>
            </w:tcBorders>
          </w:tcPr>
          <w:p w14:paraId="12D7FE03" w14:textId="77777777" w:rsidR="00AB3BE8" w:rsidRPr="002A3533" w:rsidRDefault="00944B8F" w:rsidP="00A6206B">
            <w:pPr>
              <w:pStyle w:val="EMEANormal"/>
              <w:widowControl w:val="0"/>
              <w:rPr>
                <w:lang w:val="en-GB"/>
              </w:rPr>
            </w:pPr>
            <w:r w:rsidRPr="002A3533">
              <w:rPr>
                <w:lang w:val="en-GB"/>
              </w:rPr>
              <w:t>Rare</w:t>
            </w:r>
          </w:p>
          <w:p w14:paraId="033875F0" w14:textId="77777777" w:rsidR="00AB3BE8" w:rsidRPr="002A3533" w:rsidRDefault="00AB3BE8" w:rsidP="00A6206B">
            <w:pPr>
              <w:pStyle w:val="EMEANormal"/>
              <w:widowControl w:val="0"/>
              <w:rPr>
                <w:lang w:val="en-GB"/>
              </w:rPr>
            </w:pPr>
          </w:p>
        </w:tc>
        <w:tc>
          <w:tcPr>
            <w:tcW w:w="4575" w:type="dxa"/>
            <w:tcBorders>
              <w:top w:val="single" w:sz="2" w:space="0" w:color="auto"/>
              <w:left w:val="single" w:sz="2" w:space="0" w:color="auto"/>
              <w:bottom w:val="single" w:sz="2" w:space="0" w:color="auto"/>
              <w:right w:val="single" w:sz="2" w:space="0" w:color="auto"/>
            </w:tcBorders>
          </w:tcPr>
          <w:p w14:paraId="2811182F" w14:textId="77777777" w:rsidR="00AB3BE8" w:rsidRPr="002A3533" w:rsidRDefault="00944B8F" w:rsidP="00A6206B">
            <w:pPr>
              <w:pStyle w:val="EMEANormal"/>
              <w:widowControl w:val="0"/>
              <w:rPr>
                <w:vertAlign w:val="superscript"/>
                <w:lang w:val="en-GB"/>
              </w:rPr>
            </w:pPr>
            <w:r>
              <w:rPr>
                <w:lang w:val="en-GB"/>
              </w:rPr>
              <w:t>L</w:t>
            </w:r>
            <w:r w:rsidRPr="002A3533">
              <w:rPr>
                <w:lang w:val="en-GB"/>
              </w:rPr>
              <w:t>upus-like syndrome</w:t>
            </w:r>
            <w:r w:rsidRPr="002A3533">
              <w:rPr>
                <w:vertAlign w:val="superscript"/>
                <w:lang w:val="en-GB"/>
              </w:rPr>
              <w:t>1)</w:t>
            </w:r>
          </w:p>
          <w:p w14:paraId="32D98C0F" w14:textId="77777777" w:rsidR="00AB3BE8" w:rsidRPr="002A3533" w:rsidRDefault="00AB3BE8" w:rsidP="00A6206B">
            <w:pPr>
              <w:pStyle w:val="EMEANormal"/>
              <w:widowControl w:val="0"/>
              <w:rPr>
                <w:lang w:val="en-GB"/>
              </w:rPr>
            </w:pPr>
          </w:p>
        </w:tc>
      </w:tr>
      <w:tr w:rsidR="00C6578C" w14:paraId="06189AAD" w14:textId="77777777" w:rsidTr="00A6206B">
        <w:tc>
          <w:tcPr>
            <w:tcW w:w="2600" w:type="dxa"/>
            <w:vMerge w:val="restart"/>
            <w:tcBorders>
              <w:right w:val="single" w:sz="2" w:space="0" w:color="auto"/>
            </w:tcBorders>
          </w:tcPr>
          <w:p w14:paraId="27AEE980" w14:textId="77777777" w:rsidR="00AB3BE8" w:rsidRPr="002A3533" w:rsidRDefault="00944B8F" w:rsidP="00A6206B">
            <w:pPr>
              <w:pStyle w:val="EMEANormal"/>
              <w:widowControl w:val="0"/>
              <w:spacing w:before="60"/>
              <w:rPr>
                <w:lang w:val="en-GB"/>
              </w:rPr>
            </w:pPr>
            <w:r w:rsidRPr="002A3533">
              <w:rPr>
                <w:lang w:val="en-GB"/>
              </w:rPr>
              <w:t xml:space="preserve">Renal and urinary disorders </w:t>
            </w:r>
          </w:p>
        </w:tc>
        <w:tc>
          <w:tcPr>
            <w:tcW w:w="2074" w:type="dxa"/>
            <w:tcBorders>
              <w:top w:val="single" w:sz="2" w:space="0" w:color="auto"/>
              <w:left w:val="single" w:sz="2" w:space="0" w:color="auto"/>
              <w:bottom w:val="single" w:sz="2" w:space="0" w:color="auto"/>
              <w:right w:val="single" w:sz="2" w:space="0" w:color="auto"/>
            </w:tcBorders>
          </w:tcPr>
          <w:p w14:paraId="7C409AFA" w14:textId="77777777" w:rsidR="00AB3BE8" w:rsidRPr="002A3533" w:rsidRDefault="00944B8F" w:rsidP="00A6206B">
            <w:pPr>
              <w:pStyle w:val="EMEANormal"/>
              <w:widowControl w:val="0"/>
              <w:spacing w:before="60"/>
              <w:rPr>
                <w:lang w:val="en-GB"/>
              </w:rPr>
            </w:pPr>
            <w:r w:rsidRPr="002A3533">
              <w:rPr>
                <w:lang w:val="en-GB"/>
              </w:rPr>
              <w:t>Common</w:t>
            </w:r>
          </w:p>
          <w:p w14:paraId="558673F6" w14:textId="77777777" w:rsidR="00AB3BE8" w:rsidRPr="002A3533" w:rsidRDefault="00AB3BE8" w:rsidP="00A6206B">
            <w:pPr>
              <w:pStyle w:val="EMEANormal"/>
              <w:widowControl w:val="0"/>
              <w:spacing w:before="60"/>
              <w:rPr>
                <w:lang w:val="en-GB"/>
              </w:rPr>
            </w:pPr>
          </w:p>
        </w:tc>
        <w:tc>
          <w:tcPr>
            <w:tcW w:w="4575" w:type="dxa"/>
            <w:tcBorders>
              <w:top w:val="single" w:sz="2" w:space="0" w:color="auto"/>
              <w:left w:val="single" w:sz="2" w:space="0" w:color="auto"/>
              <w:bottom w:val="single" w:sz="2" w:space="0" w:color="auto"/>
              <w:right w:val="single" w:sz="2" w:space="0" w:color="auto"/>
            </w:tcBorders>
          </w:tcPr>
          <w:p w14:paraId="221B8A0C" w14:textId="77777777" w:rsidR="00AB3BE8" w:rsidRPr="002A3533" w:rsidRDefault="00944B8F" w:rsidP="00A6206B">
            <w:pPr>
              <w:pStyle w:val="EMEANormal"/>
              <w:widowControl w:val="0"/>
              <w:spacing w:before="60"/>
              <w:rPr>
                <w:lang w:val="en-GB"/>
              </w:rPr>
            </w:pPr>
            <w:r>
              <w:rPr>
                <w:lang w:val="en-GB"/>
              </w:rPr>
              <w:t>R</w:t>
            </w:r>
            <w:r w:rsidRPr="002A3533">
              <w:rPr>
                <w:lang w:val="en-GB"/>
              </w:rPr>
              <w:t>enal impairment,</w:t>
            </w:r>
          </w:p>
          <w:p w14:paraId="158BB47F" w14:textId="77777777" w:rsidR="00AB3BE8" w:rsidRPr="002A3533" w:rsidRDefault="00944B8F" w:rsidP="00A6206B">
            <w:pPr>
              <w:pStyle w:val="EMEANormal"/>
              <w:widowControl w:val="0"/>
              <w:spacing w:before="60"/>
              <w:rPr>
                <w:lang w:val="en-GB"/>
              </w:rPr>
            </w:pPr>
            <w:r w:rsidRPr="002A3533">
              <w:rPr>
                <w:lang w:val="en-GB"/>
              </w:rPr>
              <w:t>haematuria</w:t>
            </w:r>
          </w:p>
          <w:p w14:paraId="2B982037" w14:textId="77777777" w:rsidR="00AB3BE8" w:rsidRPr="002A3533" w:rsidRDefault="00AB3BE8" w:rsidP="00A6206B">
            <w:pPr>
              <w:pStyle w:val="EMEANormal"/>
              <w:widowControl w:val="0"/>
              <w:spacing w:before="60"/>
              <w:rPr>
                <w:lang w:val="en-GB"/>
              </w:rPr>
            </w:pPr>
          </w:p>
        </w:tc>
      </w:tr>
      <w:tr w:rsidR="00C6578C" w14:paraId="2B299FAC" w14:textId="77777777" w:rsidTr="00A6206B">
        <w:tc>
          <w:tcPr>
            <w:tcW w:w="2600" w:type="dxa"/>
            <w:vMerge/>
            <w:tcBorders>
              <w:right w:val="single" w:sz="2" w:space="0" w:color="auto"/>
            </w:tcBorders>
          </w:tcPr>
          <w:p w14:paraId="78F29744" w14:textId="77777777" w:rsidR="00AB3BE8" w:rsidRPr="002A3533" w:rsidRDefault="00AB3BE8" w:rsidP="00A6206B">
            <w:pPr>
              <w:widowControl w:val="0"/>
              <w:spacing w:before="60"/>
              <w:jc w:val="center"/>
              <w:rPr>
                <w:b/>
              </w:rPr>
            </w:pPr>
          </w:p>
        </w:tc>
        <w:tc>
          <w:tcPr>
            <w:tcW w:w="2074" w:type="dxa"/>
            <w:tcBorders>
              <w:top w:val="single" w:sz="2" w:space="0" w:color="auto"/>
              <w:left w:val="single" w:sz="2" w:space="0" w:color="auto"/>
              <w:bottom w:val="single" w:sz="2" w:space="0" w:color="auto"/>
              <w:right w:val="single" w:sz="2" w:space="0" w:color="auto"/>
            </w:tcBorders>
          </w:tcPr>
          <w:p w14:paraId="0DA2034B" w14:textId="77777777" w:rsidR="00AB3BE8" w:rsidRPr="002A3533" w:rsidRDefault="00944B8F" w:rsidP="00A6206B">
            <w:pPr>
              <w:pStyle w:val="EMEANormal"/>
              <w:widowControl w:val="0"/>
              <w:rPr>
                <w:lang w:val="en-GB"/>
              </w:rPr>
            </w:pPr>
            <w:r w:rsidRPr="002A3533">
              <w:rPr>
                <w:lang w:val="en-GB"/>
              </w:rPr>
              <w:t>Uncommon</w:t>
            </w:r>
          </w:p>
          <w:p w14:paraId="1B6503D4" w14:textId="77777777" w:rsidR="00AB3BE8" w:rsidRPr="002A3533" w:rsidRDefault="00AB3BE8" w:rsidP="00A6206B">
            <w:pPr>
              <w:pStyle w:val="EMEANormal"/>
              <w:widowControl w:val="0"/>
              <w:rPr>
                <w:lang w:val="en-GB"/>
              </w:rPr>
            </w:pPr>
          </w:p>
        </w:tc>
        <w:tc>
          <w:tcPr>
            <w:tcW w:w="4575" w:type="dxa"/>
            <w:tcBorders>
              <w:top w:val="single" w:sz="2" w:space="0" w:color="auto"/>
              <w:left w:val="single" w:sz="2" w:space="0" w:color="auto"/>
              <w:bottom w:val="single" w:sz="2" w:space="0" w:color="auto"/>
              <w:right w:val="single" w:sz="2" w:space="0" w:color="auto"/>
            </w:tcBorders>
          </w:tcPr>
          <w:p w14:paraId="0D509C9B" w14:textId="77777777" w:rsidR="00AB3BE8" w:rsidRPr="002A3533" w:rsidRDefault="00944B8F" w:rsidP="00A6206B">
            <w:pPr>
              <w:pStyle w:val="EMEANormal"/>
              <w:widowControl w:val="0"/>
              <w:rPr>
                <w:lang w:val="en-GB"/>
              </w:rPr>
            </w:pPr>
            <w:r>
              <w:rPr>
                <w:lang w:val="en-GB"/>
              </w:rPr>
              <w:t>N</w:t>
            </w:r>
            <w:r w:rsidRPr="002A3533">
              <w:rPr>
                <w:lang w:val="en-GB"/>
              </w:rPr>
              <w:t>octuria</w:t>
            </w:r>
          </w:p>
          <w:p w14:paraId="6894AFD0" w14:textId="77777777" w:rsidR="00AB3BE8" w:rsidRPr="002A3533" w:rsidRDefault="00AB3BE8" w:rsidP="00A6206B">
            <w:pPr>
              <w:pStyle w:val="EMEANormal"/>
              <w:widowControl w:val="0"/>
              <w:rPr>
                <w:lang w:val="en-GB"/>
              </w:rPr>
            </w:pPr>
          </w:p>
        </w:tc>
      </w:tr>
      <w:tr w:rsidR="00C6578C" w14:paraId="671ABDEF" w14:textId="77777777" w:rsidTr="00A6206B">
        <w:tc>
          <w:tcPr>
            <w:tcW w:w="2600" w:type="dxa"/>
          </w:tcPr>
          <w:p w14:paraId="76DF4C8B" w14:textId="77777777" w:rsidR="00AB3BE8" w:rsidRPr="002A3533" w:rsidRDefault="00944B8F" w:rsidP="00A6206B">
            <w:pPr>
              <w:pStyle w:val="EMEANormal"/>
              <w:widowControl w:val="0"/>
              <w:spacing w:before="60"/>
              <w:rPr>
                <w:lang w:val="en-GB"/>
              </w:rPr>
            </w:pPr>
            <w:r w:rsidRPr="002A3533">
              <w:rPr>
                <w:lang w:val="en-GB"/>
              </w:rPr>
              <w:t>Reproductive system and breast disorders</w:t>
            </w:r>
          </w:p>
        </w:tc>
        <w:tc>
          <w:tcPr>
            <w:tcW w:w="2074" w:type="dxa"/>
            <w:tcBorders>
              <w:top w:val="single" w:sz="2" w:space="0" w:color="auto"/>
              <w:bottom w:val="single" w:sz="2" w:space="0" w:color="auto"/>
            </w:tcBorders>
          </w:tcPr>
          <w:p w14:paraId="6F886023" w14:textId="77777777" w:rsidR="00AB3BE8" w:rsidRPr="002A3533" w:rsidRDefault="00944B8F" w:rsidP="00A6206B">
            <w:pPr>
              <w:pStyle w:val="EMEANormal"/>
              <w:widowControl w:val="0"/>
              <w:spacing w:before="60"/>
              <w:rPr>
                <w:lang w:val="en-GB"/>
              </w:rPr>
            </w:pPr>
            <w:r w:rsidRPr="002A3533">
              <w:rPr>
                <w:lang w:val="en-GB"/>
              </w:rPr>
              <w:t>Uncommon</w:t>
            </w:r>
          </w:p>
        </w:tc>
        <w:tc>
          <w:tcPr>
            <w:tcW w:w="4575" w:type="dxa"/>
            <w:tcBorders>
              <w:top w:val="single" w:sz="2" w:space="0" w:color="auto"/>
              <w:bottom w:val="single" w:sz="2" w:space="0" w:color="auto"/>
            </w:tcBorders>
          </w:tcPr>
          <w:p w14:paraId="5DDD116E" w14:textId="77777777" w:rsidR="00AB3BE8" w:rsidRPr="002A3533" w:rsidRDefault="00944B8F" w:rsidP="00A6206B">
            <w:pPr>
              <w:pStyle w:val="EMEANormal"/>
              <w:widowControl w:val="0"/>
              <w:spacing w:before="60"/>
              <w:rPr>
                <w:lang w:val="en-GB"/>
              </w:rPr>
            </w:pPr>
            <w:r>
              <w:rPr>
                <w:lang w:val="en-GB"/>
              </w:rPr>
              <w:t>E</w:t>
            </w:r>
            <w:r w:rsidRPr="002A3533">
              <w:rPr>
                <w:lang w:val="en-GB"/>
              </w:rPr>
              <w:t>rectile dysfunction</w:t>
            </w:r>
          </w:p>
          <w:p w14:paraId="04F28667" w14:textId="77777777" w:rsidR="00AB3BE8" w:rsidRPr="002A3533" w:rsidRDefault="00AB3BE8" w:rsidP="00A6206B">
            <w:pPr>
              <w:pStyle w:val="EMEANormal"/>
              <w:widowControl w:val="0"/>
              <w:spacing w:before="60"/>
              <w:rPr>
                <w:lang w:val="en-GB"/>
              </w:rPr>
            </w:pPr>
          </w:p>
        </w:tc>
      </w:tr>
      <w:tr w:rsidR="00C6578C" w14:paraId="54EBE14B" w14:textId="77777777" w:rsidTr="00A6206B">
        <w:tc>
          <w:tcPr>
            <w:tcW w:w="2600" w:type="dxa"/>
            <w:vMerge w:val="restart"/>
            <w:tcBorders>
              <w:right w:val="single" w:sz="2" w:space="0" w:color="auto"/>
            </w:tcBorders>
          </w:tcPr>
          <w:p w14:paraId="07F57396" w14:textId="77777777" w:rsidR="00AB3BE8" w:rsidRPr="002A3533" w:rsidRDefault="00944B8F" w:rsidP="00A6206B">
            <w:pPr>
              <w:pStyle w:val="EMEANormal"/>
              <w:widowControl w:val="0"/>
              <w:spacing w:before="60"/>
              <w:rPr>
                <w:lang w:val="en-GB"/>
              </w:rPr>
            </w:pPr>
            <w:r w:rsidRPr="002A3533">
              <w:rPr>
                <w:lang w:val="en-GB"/>
              </w:rPr>
              <w:t>General disorders and administration site conditions*</w:t>
            </w:r>
          </w:p>
        </w:tc>
        <w:tc>
          <w:tcPr>
            <w:tcW w:w="2074" w:type="dxa"/>
            <w:tcBorders>
              <w:top w:val="single" w:sz="2" w:space="0" w:color="auto"/>
              <w:left w:val="single" w:sz="2" w:space="0" w:color="auto"/>
              <w:bottom w:val="single" w:sz="2" w:space="0" w:color="auto"/>
              <w:right w:val="single" w:sz="2" w:space="0" w:color="auto"/>
            </w:tcBorders>
          </w:tcPr>
          <w:p w14:paraId="6E5FFB56" w14:textId="77777777" w:rsidR="00AB3BE8" w:rsidRPr="002A3533" w:rsidRDefault="00944B8F" w:rsidP="00A6206B">
            <w:pPr>
              <w:pStyle w:val="EMEANormal"/>
              <w:widowControl w:val="0"/>
              <w:spacing w:before="60"/>
              <w:rPr>
                <w:lang w:val="en-GB"/>
              </w:rPr>
            </w:pPr>
            <w:r w:rsidRPr="002A3533">
              <w:rPr>
                <w:lang w:val="en-GB"/>
              </w:rPr>
              <w:t>Very Common</w:t>
            </w:r>
          </w:p>
          <w:p w14:paraId="7339F4C5" w14:textId="77777777" w:rsidR="00AB3BE8" w:rsidRPr="002A3533" w:rsidRDefault="00AB3BE8" w:rsidP="00A6206B">
            <w:pPr>
              <w:pStyle w:val="EMEANormal"/>
              <w:widowControl w:val="0"/>
              <w:spacing w:before="60"/>
              <w:rPr>
                <w:lang w:val="en-GB"/>
              </w:rPr>
            </w:pPr>
          </w:p>
        </w:tc>
        <w:tc>
          <w:tcPr>
            <w:tcW w:w="4575" w:type="dxa"/>
            <w:tcBorders>
              <w:top w:val="single" w:sz="2" w:space="0" w:color="auto"/>
              <w:left w:val="single" w:sz="2" w:space="0" w:color="auto"/>
              <w:bottom w:val="single" w:sz="2" w:space="0" w:color="auto"/>
              <w:right w:val="single" w:sz="2" w:space="0" w:color="auto"/>
            </w:tcBorders>
          </w:tcPr>
          <w:p w14:paraId="11702461" w14:textId="77777777" w:rsidR="00AB3BE8" w:rsidRPr="002A3533" w:rsidRDefault="00944B8F" w:rsidP="00A6206B">
            <w:pPr>
              <w:pStyle w:val="EMEANormal"/>
              <w:widowControl w:val="0"/>
              <w:spacing w:before="60"/>
              <w:rPr>
                <w:lang w:val="en-GB"/>
              </w:rPr>
            </w:pPr>
            <w:r>
              <w:rPr>
                <w:lang w:val="en-GB"/>
              </w:rPr>
              <w:t>I</w:t>
            </w:r>
            <w:r w:rsidRPr="002A3533">
              <w:rPr>
                <w:lang w:val="en-GB"/>
              </w:rPr>
              <w:t>njection site reaction (including injection site erythema)</w:t>
            </w:r>
          </w:p>
          <w:p w14:paraId="163045A1" w14:textId="77777777" w:rsidR="00AB3BE8" w:rsidRPr="002A3533" w:rsidRDefault="00AB3BE8" w:rsidP="00A6206B">
            <w:pPr>
              <w:pStyle w:val="EMEANormal"/>
              <w:widowControl w:val="0"/>
              <w:spacing w:before="60"/>
              <w:rPr>
                <w:lang w:val="en-GB"/>
              </w:rPr>
            </w:pPr>
          </w:p>
        </w:tc>
      </w:tr>
      <w:tr w:rsidR="00C6578C" w14:paraId="3F45D014" w14:textId="77777777" w:rsidTr="00A6206B">
        <w:tc>
          <w:tcPr>
            <w:tcW w:w="2600" w:type="dxa"/>
            <w:vMerge/>
            <w:tcBorders>
              <w:right w:val="single" w:sz="2" w:space="0" w:color="auto"/>
            </w:tcBorders>
          </w:tcPr>
          <w:p w14:paraId="782ECFBC" w14:textId="77777777" w:rsidR="00AB3BE8" w:rsidRPr="002A3533" w:rsidRDefault="00AB3BE8" w:rsidP="00A6206B">
            <w:pPr>
              <w:widowControl w:val="0"/>
              <w:spacing w:before="60"/>
              <w:jc w:val="center"/>
              <w:rPr>
                <w:b/>
              </w:rPr>
            </w:pPr>
          </w:p>
        </w:tc>
        <w:tc>
          <w:tcPr>
            <w:tcW w:w="2074" w:type="dxa"/>
            <w:tcBorders>
              <w:top w:val="single" w:sz="2" w:space="0" w:color="auto"/>
              <w:left w:val="single" w:sz="2" w:space="0" w:color="auto"/>
              <w:bottom w:val="single" w:sz="2" w:space="0" w:color="auto"/>
              <w:right w:val="single" w:sz="2" w:space="0" w:color="auto"/>
            </w:tcBorders>
          </w:tcPr>
          <w:p w14:paraId="36E4692A" w14:textId="77777777" w:rsidR="00AB3BE8" w:rsidRPr="002A3533" w:rsidRDefault="00944B8F" w:rsidP="00A6206B">
            <w:pPr>
              <w:pStyle w:val="EMEANormal"/>
              <w:widowControl w:val="0"/>
              <w:rPr>
                <w:lang w:val="en-GB"/>
              </w:rPr>
            </w:pPr>
            <w:r w:rsidRPr="002A3533">
              <w:rPr>
                <w:lang w:val="en-GB"/>
              </w:rPr>
              <w:t>Common</w:t>
            </w:r>
          </w:p>
          <w:p w14:paraId="73A3527C" w14:textId="77777777" w:rsidR="00AB3BE8" w:rsidRPr="002A3533" w:rsidRDefault="00AB3BE8" w:rsidP="00A6206B">
            <w:pPr>
              <w:pStyle w:val="EMEANormal"/>
              <w:widowControl w:val="0"/>
              <w:rPr>
                <w:lang w:val="en-GB"/>
              </w:rPr>
            </w:pPr>
          </w:p>
        </w:tc>
        <w:tc>
          <w:tcPr>
            <w:tcW w:w="4575" w:type="dxa"/>
            <w:tcBorders>
              <w:top w:val="single" w:sz="2" w:space="0" w:color="auto"/>
              <w:left w:val="single" w:sz="2" w:space="0" w:color="auto"/>
              <w:bottom w:val="single" w:sz="2" w:space="0" w:color="auto"/>
              <w:right w:val="single" w:sz="2" w:space="0" w:color="auto"/>
            </w:tcBorders>
          </w:tcPr>
          <w:p w14:paraId="5BA06445" w14:textId="77777777" w:rsidR="00AB3BE8" w:rsidRPr="002A3533" w:rsidRDefault="00944B8F" w:rsidP="00A6206B">
            <w:pPr>
              <w:pStyle w:val="EMEANormal"/>
              <w:widowControl w:val="0"/>
              <w:rPr>
                <w:lang w:val="en-GB"/>
              </w:rPr>
            </w:pPr>
            <w:r>
              <w:rPr>
                <w:lang w:val="en-GB"/>
              </w:rPr>
              <w:t>C</w:t>
            </w:r>
            <w:r w:rsidRPr="002A3533">
              <w:rPr>
                <w:lang w:val="en-GB"/>
              </w:rPr>
              <w:t xml:space="preserve">hest pain, </w:t>
            </w:r>
          </w:p>
          <w:p w14:paraId="33338368" w14:textId="77777777" w:rsidR="00AB3BE8" w:rsidRPr="002A3533" w:rsidRDefault="00944B8F" w:rsidP="00A6206B">
            <w:pPr>
              <w:pStyle w:val="EMEANormal"/>
              <w:widowControl w:val="0"/>
              <w:rPr>
                <w:lang w:val="en-GB"/>
              </w:rPr>
            </w:pPr>
            <w:r w:rsidRPr="002A3533">
              <w:rPr>
                <w:lang w:val="en-GB"/>
              </w:rPr>
              <w:t>oedema,</w:t>
            </w:r>
          </w:p>
          <w:p w14:paraId="5A450C8A" w14:textId="77777777" w:rsidR="00AB3BE8" w:rsidRPr="002A3533" w:rsidRDefault="00944B8F" w:rsidP="00A6206B">
            <w:pPr>
              <w:pStyle w:val="EMEANormal"/>
              <w:widowControl w:val="0"/>
              <w:rPr>
                <w:lang w:val="en-GB"/>
              </w:rPr>
            </w:pPr>
            <w:r w:rsidRPr="002A3533">
              <w:rPr>
                <w:lang w:val="en-GB"/>
              </w:rPr>
              <w:t>pyrexia</w:t>
            </w:r>
            <w:r w:rsidRPr="002A3533">
              <w:rPr>
                <w:vertAlign w:val="superscript"/>
                <w:lang w:val="en-GB"/>
              </w:rPr>
              <w:t>1)</w:t>
            </w:r>
          </w:p>
          <w:p w14:paraId="25FEE938" w14:textId="77777777" w:rsidR="00AB3BE8" w:rsidRPr="002A3533" w:rsidRDefault="00AB3BE8" w:rsidP="00A6206B">
            <w:pPr>
              <w:pStyle w:val="EMEANormal"/>
              <w:widowControl w:val="0"/>
              <w:rPr>
                <w:lang w:val="en-GB"/>
              </w:rPr>
            </w:pPr>
          </w:p>
        </w:tc>
      </w:tr>
      <w:tr w:rsidR="00C6578C" w14:paraId="5B87FA27" w14:textId="77777777" w:rsidTr="00A6206B">
        <w:tc>
          <w:tcPr>
            <w:tcW w:w="2600" w:type="dxa"/>
            <w:vMerge/>
            <w:tcBorders>
              <w:right w:val="single" w:sz="2" w:space="0" w:color="auto"/>
            </w:tcBorders>
          </w:tcPr>
          <w:p w14:paraId="744C54B9" w14:textId="77777777" w:rsidR="00AB3BE8" w:rsidRPr="002A3533" w:rsidRDefault="00AB3BE8" w:rsidP="00A6206B">
            <w:pPr>
              <w:widowControl w:val="0"/>
              <w:spacing w:before="60"/>
              <w:jc w:val="center"/>
              <w:rPr>
                <w:b/>
              </w:rPr>
            </w:pPr>
          </w:p>
        </w:tc>
        <w:tc>
          <w:tcPr>
            <w:tcW w:w="2074" w:type="dxa"/>
            <w:tcBorders>
              <w:top w:val="single" w:sz="2" w:space="0" w:color="auto"/>
              <w:left w:val="single" w:sz="2" w:space="0" w:color="auto"/>
              <w:bottom w:val="single" w:sz="2" w:space="0" w:color="auto"/>
              <w:right w:val="single" w:sz="2" w:space="0" w:color="auto"/>
            </w:tcBorders>
          </w:tcPr>
          <w:p w14:paraId="2F5B25A9" w14:textId="77777777" w:rsidR="00AB3BE8" w:rsidRPr="002A3533" w:rsidRDefault="00944B8F" w:rsidP="00A6206B">
            <w:pPr>
              <w:pStyle w:val="EMEANormal"/>
              <w:widowControl w:val="0"/>
              <w:rPr>
                <w:lang w:val="en-GB"/>
              </w:rPr>
            </w:pPr>
            <w:r w:rsidRPr="002A3533">
              <w:rPr>
                <w:lang w:val="en-GB"/>
              </w:rPr>
              <w:t>Uncommon</w:t>
            </w:r>
          </w:p>
          <w:p w14:paraId="56C07FF6" w14:textId="77777777" w:rsidR="00AB3BE8" w:rsidRPr="002A3533" w:rsidRDefault="00AB3BE8" w:rsidP="00A6206B">
            <w:pPr>
              <w:pStyle w:val="EMEANormal"/>
              <w:widowControl w:val="0"/>
              <w:rPr>
                <w:lang w:val="en-GB"/>
              </w:rPr>
            </w:pPr>
          </w:p>
        </w:tc>
        <w:tc>
          <w:tcPr>
            <w:tcW w:w="4575" w:type="dxa"/>
            <w:tcBorders>
              <w:top w:val="single" w:sz="2" w:space="0" w:color="auto"/>
              <w:left w:val="single" w:sz="2" w:space="0" w:color="auto"/>
              <w:bottom w:val="single" w:sz="2" w:space="0" w:color="auto"/>
              <w:right w:val="single" w:sz="2" w:space="0" w:color="auto"/>
            </w:tcBorders>
          </w:tcPr>
          <w:p w14:paraId="31F9E9B8" w14:textId="77777777" w:rsidR="00AB3BE8" w:rsidRPr="002A3533" w:rsidRDefault="00944B8F" w:rsidP="00A6206B">
            <w:pPr>
              <w:pStyle w:val="EMEANormal"/>
              <w:widowControl w:val="0"/>
              <w:rPr>
                <w:lang w:val="en-GB"/>
              </w:rPr>
            </w:pPr>
            <w:r>
              <w:rPr>
                <w:lang w:val="en-GB"/>
              </w:rPr>
              <w:t>I</w:t>
            </w:r>
            <w:r w:rsidRPr="002A3533">
              <w:rPr>
                <w:lang w:val="en-GB"/>
              </w:rPr>
              <w:t>nflammation</w:t>
            </w:r>
          </w:p>
        </w:tc>
      </w:tr>
      <w:tr w:rsidR="00C6578C" w14:paraId="65486436" w14:textId="77777777" w:rsidTr="00A6206B">
        <w:tc>
          <w:tcPr>
            <w:tcW w:w="2600" w:type="dxa"/>
            <w:vMerge w:val="restart"/>
          </w:tcPr>
          <w:p w14:paraId="0A94A0DC" w14:textId="77777777" w:rsidR="00693052" w:rsidRPr="002A3533" w:rsidRDefault="00944B8F" w:rsidP="00A6206B">
            <w:pPr>
              <w:pStyle w:val="EMEANormal"/>
              <w:widowControl w:val="0"/>
              <w:spacing w:before="60"/>
              <w:rPr>
                <w:lang w:val="en-GB"/>
              </w:rPr>
            </w:pPr>
            <w:r w:rsidRPr="002A3533">
              <w:rPr>
                <w:lang w:val="en-GB"/>
              </w:rPr>
              <w:t>Investigations*</w:t>
            </w:r>
          </w:p>
        </w:tc>
        <w:tc>
          <w:tcPr>
            <w:tcW w:w="2074" w:type="dxa"/>
            <w:tcBorders>
              <w:top w:val="single" w:sz="2" w:space="0" w:color="auto"/>
            </w:tcBorders>
          </w:tcPr>
          <w:p w14:paraId="02EBC09D" w14:textId="77777777" w:rsidR="00693052" w:rsidRPr="002A3533" w:rsidRDefault="00944B8F" w:rsidP="00A6206B">
            <w:pPr>
              <w:pStyle w:val="EMEANormal"/>
              <w:widowControl w:val="0"/>
              <w:spacing w:before="60"/>
              <w:rPr>
                <w:lang w:val="en-GB"/>
              </w:rPr>
            </w:pPr>
            <w:r w:rsidRPr="002A3533">
              <w:rPr>
                <w:lang w:val="en-GB"/>
              </w:rPr>
              <w:t>Common</w:t>
            </w:r>
          </w:p>
        </w:tc>
        <w:tc>
          <w:tcPr>
            <w:tcW w:w="4575" w:type="dxa"/>
            <w:tcBorders>
              <w:top w:val="single" w:sz="2" w:space="0" w:color="auto"/>
            </w:tcBorders>
          </w:tcPr>
          <w:p w14:paraId="2948EC5A" w14:textId="77777777" w:rsidR="00693052" w:rsidRPr="002A3533" w:rsidRDefault="00944B8F" w:rsidP="00A6206B">
            <w:pPr>
              <w:pStyle w:val="EMEANormal"/>
              <w:widowControl w:val="0"/>
              <w:spacing w:before="60"/>
              <w:rPr>
                <w:lang w:val="en-GB"/>
              </w:rPr>
            </w:pPr>
            <w:r>
              <w:rPr>
                <w:lang w:val="en-GB"/>
              </w:rPr>
              <w:t>C</w:t>
            </w:r>
            <w:r w:rsidRPr="002A3533">
              <w:rPr>
                <w:lang w:val="en-GB"/>
              </w:rPr>
              <w:t xml:space="preserve">oagulation and bleeding disorders (including activated partial thromboplastin time prolonged), </w:t>
            </w:r>
          </w:p>
          <w:p w14:paraId="6D9FFDB4" w14:textId="77777777" w:rsidR="00693052" w:rsidRPr="002A3533" w:rsidRDefault="00944B8F" w:rsidP="00A6206B">
            <w:pPr>
              <w:pStyle w:val="EMEANormal"/>
              <w:widowControl w:val="0"/>
              <w:spacing w:before="60"/>
              <w:rPr>
                <w:lang w:val="en-GB"/>
              </w:rPr>
            </w:pPr>
            <w:r w:rsidRPr="002A3533">
              <w:rPr>
                <w:lang w:val="en-GB"/>
              </w:rPr>
              <w:t xml:space="preserve">autoantibody test positive (including double stranded DNA antibody), </w:t>
            </w:r>
          </w:p>
          <w:p w14:paraId="2DD4DE66" w14:textId="77777777" w:rsidR="00693052" w:rsidRPr="002A3533" w:rsidRDefault="00944B8F" w:rsidP="00A6206B">
            <w:pPr>
              <w:pStyle w:val="EMEANormal"/>
              <w:widowControl w:val="0"/>
              <w:spacing w:before="60"/>
              <w:rPr>
                <w:lang w:val="en-GB"/>
              </w:rPr>
            </w:pPr>
            <w:r w:rsidRPr="002A3533">
              <w:rPr>
                <w:lang w:val="en-GB"/>
              </w:rPr>
              <w:t>blood lactate dehydrogenase increased</w:t>
            </w:r>
          </w:p>
          <w:p w14:paraId="5A64BA35" w14:textId="77777777" w:rsidR="00693052" w:rsidRPr="002A3533" w:rsidRDefault="00693052" w:rsidP="00A6206B">
            <w:pPr>
              <w:pStyle w:val="EMEANormal"/>
              <w:widowControl w:val="0"/>
              <w:spacing w:before="60"/>
              <w:rPr>
                <w:lang w:val="en-GB"/>
              </w:rPr>
            </w:pPr>
          </w:p>
        </w:tc>
      </w:tr>
      <w:tr w:rsidR="00C6578C" w14:paraId="528CE358" w14:textId="77777777" w:rsidTr="00A6206B">
        <w:tc>
          <w:tcPr>
            <w:tcW w:w="2600" w:type="dxa"/>
            <w:vMerge/>
          </w:tcPr>
          <w:p w14:paraId="2539471B" w14:textId="77777777" w:rsidR="00693052" w:rsidRPr="002A3533" w:rsidRDefault="00693052" w:rsidP="00693052">
            <w:pPr>
              <w:pStyle w:val="EMEANormal"/>
              <w:widowControl w:val="0"/>
              <w:spacing w:before="60"/>
              <w:rPr>
                <w:lang w:val="en-GB"/>
              </w:rPr>
            </w:pPr>
          </w:p>
        </w:tc>
        <w:tc>
          <w:tcPr>
            <w:tcW w:w="2074" w:type="dxa"/>
            <w:tcBorders>
              <w:top w:val="single" w:sz="2" w:space="0" w:color="auto"/>
            </w:tcBorders>
          </w:tcPr>
          <w:p w14:paraId="2169A855" w14:textId="77777777" w:rsidR="00693052" w:rsidRPr="002A3533" w:rsidRDefault="00944B8F" w:rsidP="00693052">
            <w:pPr>
              <w:pStyle w:val="EMEANormal"/>
              <w:widowControl w:val="0"/>
              <w:spacing w:before="60"/>
              <w:rPr>
                <w:lang w:val="en-GB"/>
              </w:rPr>
            </w:pPr>
            <w:r>
              <w:t>Not known</w:t>
            </w:r>
          </w:p>
        </w:tc>
        <w:tc>
          <w:tcPr>
            <w:tcW w:w="4575" w:type="dxa"/>
            <w:tcBorders>
              <w:top w:val="single" w:sz="2" w:space="0" w:color="auto"/>
            </w:tcBorders>
          </w:tcPr>
          <w:p w14:paraId="6D6B9054" w14:textId="77777777" w:rsidR="00693052" w:rsidRDefault="00944B8F" w:rsidP="00693052">
            <w:pPr>
              <w:pStyle w:val="EMEANormal"/>
              <w:widowControl w:val="0"/>
              <w:spacing w:before="60"/>
              <w:rPr>
                <w:lang w:val="en-GB"/>
              </w:rPr>
            </w:pPr>
            <w:r>
              <w:t>Weight increased</w:t>
            </w:r>
            <w:r w:rsidRPr="00693052">
              <w:rPr>
                <w:vertAlign w:val="superscript"/>
              </w:rPr>
              <w:t>2)</w:t>
            </w:r>
          </w:p>
        </w:tc>
      </w:tr>
      <w:tr w:rsidR="00C6578C" w14:paraId="2306B59F" w14:textId="77777777" w:rsidTr="00A6206B">
        <w:tc>
          <w:tcPr>
            <w:tcW w:w="2600" w:type="dxa"/>
          </w:tcPr>
          <w:p w14:paraId="01FA987D" w14:textId="77777777" w:rsidR="00693052" w:rsidRPr="002A3533" w:rsidRDefault="00944B8F" w:rsidP="00693052">
            <w:pPr>
              <w:pStyle w:val="EMEANormal"/>
              <w:keepNext/>
              <w:widowControl w:val="0"/>
              <w:spacing w:before="60"/>
              <w:rPr>
                <w:lang w:val="en-GB"/>
              </w:rPr>
            </w:pPr>
            <w:r w:rsidRPr="002A3533">
              <w:rPr>
                <w:lang w:val="en-GB"/>
              </w:rPr>
              <w:t>Injury, poisoning and procedural complications</w:t>
            </w:r>
          </w:p>
        </w:tc>
        <w:tc>
          <w:tcPr>
            <w:tcW w:w="2074" w:type="dxa"/>
          </w:tcPr>
          <w:p w14:paraId="05B8AE02" w14:textId="77777777" w:rsidR="00693052" w:rsidRPr="002A3533" w:rsidRDefault="00944B8F" w:rsidP="00693052">
            <w:pPr>
              <w:pStyle w:val="EMEANormal"/>
              <w:keepNext/>
              <w:widowControl w:val="0"/>
              <w:spacing w:before="60"/>
              <w:rPr>
                <w:lang w:val="en-GB"/>
              </w:rPr>
            </w:pPr>
            <w:r w:rsidRPr="002A3533">
              <w:rPr>
                <w:lang w:val="en-GB"/>
              </w:rPr>
              <w:t>Common</w:t>
            </w:r>
          </w:p>
        </w:tc>
        <w:tc>
          <w:tcPr>
            <w:tcW w:w="4575" w:type="dxa"/>
          </w:tcPr>
          <w:p w14:paraId="18F837DB" w14:textId="77777777" w:rsidR="00693052" w:rsidRPr="002A3533" w:rsidRDefault="00944B8F" w:rsidP="00693052">
            <w:pPr>
              <w:pStyle w:val="EMEANormal"/>
              <w:keepNext/>
              <w:widowControl w:val="0"/>
              <w:spacing w:before="60"/>
              <w:rPr>
                <w:lang w:val="en-GB"/>
              </w:rPr>
            </w:pPr>
            <w:r>
              <w:rPr>
                <w:lang w:val="en-GB"/>
              </w:rPr>
              <w:t>I</w:t>
            </w:r>
            <w:r w:rsidRPr="002A3533">
              <w:rPr>
                <w:lang w:val="en-GB"/>
              </w:rPr>
              <w:t>mpaired healing</w:t>
            </w:r>
          </w:p>
          <w:p w14:paraId="05838EB7" w14:textId="77777777" w:rsidR="00693052" w:rsidRPr="002A3533" w:rsidRDefault="00693052" w:rsidP="00693052">
            <w:pPr>
              <w:pStyle w:val="EMEANormal"/>
              <w:keepNext/>
              <w:widowControl w:val="0"/>
              <w:spacing w:before="60"/>
              <w:rPr>
                <w:lang w:val="en-GB"/>
              </w:rPr>
            </w:pPr>
          </w:p>
        </w:tc>
      </w:tr>
    </w:tbl>
    <w:p w14:paraId="53725A42" w14:textId="77777777" w:rsidR="00AB3BE8" w:rsidRPr="002A3533" w:rsidRDefault="00AB3BE8" w:rsidP="00AB3BE8">
      <w:pPr>
        <w:rPr>
          <w:sz w:val="20"/>
        </w:rPr>
      </w:pPr>
    </w:p>
    <w:p w14:paraId="64FD6EBA" w14:textId="77777777" w:rsidR="00AB3BE8" w:rsidRPr="002A3533" w:rsidRDefault="00944B8F" w:rsidP="00AB3BE8">
      <w:r w:rsidRPr="002A3533">
        <w:t>* further information is found elsewhere in sections 4.3, 4.4 and 4.8</w:t>
      </w:r>
    </w:p>
    <w:p w14:paraId="698DC882" w14:textId="77777777" w:rsidR="00AB3BE8" w:rsidRPr="002A3533" w:rsidRDefault="00944B8F" w:rsidP="00AB3BE8">
      <w:pPr>
        <w:pStyle w:val="EMEAHeadingUnderline"/>
        <w:spacing w:beforeLines="0" w:afterLines="0"/>
        <w:rPr>
          <w:szCs w:val="22"/>
          <w:u w:val="none"/>
          <w:lang w:val="en-GB"/>
        </w:rPr>
      </w:pPr>
      <w:r w:rsidRPr="002A3533">
        <w:rPr>
          <w:u w:val="none"/>
          <w:lang w:val="en-GB"/>
        </w:rPr>
        <w:t>** including open label extension stu</w:t>
      </w:r>
      <w:r w:rsidRPr="002A3533">
        <w:rPr>
          <w:szCs w:val="22"/>
          <w:u w:val="none"/>
          <w:lang w:val="en-GB"/>
        </w:rPr>
        <w:t>dies</w:t>
      </w:r>
    </w:p>
    <w:p w14:paraId="7F52157D" w14:textId="77777777" w:rsidR="00AB3BE8" w:rsidRPr="002A3533" w:rsidRDefault="00944B8F" w:rsidP="00AB3BE8">
      <w:pPr>
        <w:pStyle w:val="EMEANormal"/>
        <w:rPr>
          <w:szCs w:val="22"/>
          <w:lang w:val="en-GB"/>
        </w:rPr>
      </w:pPr>
      <w:r w:rsidRPr="002A3533">
        <w:rPr>
          <w:szCs w:val="22"/>
          <w:vertAlign w:val="superscript"/>
          <w:lang w:val="en-GB"/>
        </w:rPr>
        <w:t>1)</w:t>
      </w:r>
      <w:r w:rsidRPr="002A3533">
        <w:rPr>
          <w:szCs w:val="22"/>
          <w:lang w:val="en-GB"/>
        </w:rPr>
        <w:t xml:space="preserve"> including spontaneous reporting data</w:t>
      </w:r>
    </w:p>
    <w:p w14:paraId="0B0F5CB1" w14:textId="77777777" w:rsidR="00693052" w:rsidRPr="009F76D2" w:rsidRDefault="00944B8F" w:rsidP="00693052">
      <w:pPr>
        <w:rPr>
          <w:szCs w:val="22"/>
        </w:rPr>
      </w:pPr>
      <w:r w:rsidRPr="00D70FFA">
        <w:rPr>
          <w:vertAlign w:val="superscript"/>
        </w:rPr>
        <w:t>2) </w:t>
      </w:r>
      <w:r w:rsidRPr="00693052">
        <w:t>The mean weight change from baseline for adalimumab ranged from 0.3</w:t>
      </w:r>
      <w:r>
        <w:t> </w:t>
      </w:r>
      <w:r w:rsidRPr="00693052">
        <w:t>kg to 1.0</w:t>
      </w:r>
      <w:r>
        <w:t> </w:t>
      </w:r>
      <w:r w:rsidRPr="00693052">
        <w:t>kg across adult indications compared to (minus) -0.4</w:t>
      </w:r>
      <w:r>
        <w:t> </w:t>
      </w:r>
      <w:r w:rsidRPr="00693052">
        <w:t>kg to 0.4</w:t>
      </w:r>
      <w:r>
        <w:t> </w:t>
      </w:r>
      <w:r w:rsidRPr="00693052">
        <w:t>kg for placebo over a treatment period of 4-6 months. Weight increase of 5-6</w:t>
      </w:r>
      <w:r>
        <w:t> </w:t>
      </w:r>
      <w:r w:rsidRPr="00693052">
        <w:t>kg has also been observed</w:t>
      </w:r>
      <w:r w:rsidR="00530CA3">
        <w:t xml:space="preserve"> in long-term extension studies with mean exposures of approximately 1-2 years without control group</w:t>
      </w:r>
      <w:r>
        <w:t>,</w:t>
      </w:r>
      <w:r w:rsidRPr="00693052">
        <w:t xml:space="preserve"> particularly in patients with Crohn’s disease and U</w:t>
      </w:r>
      <w:r w:rsidRPr="00530CA3">
        <w:t>l</w:t>
      </w:r>
      <w:r w:rsidRPr="00693052">
        <w:t>cerative colitis. The mechanism behind this effect is unclear but could be associated with the anti</w:t>
      </w:r>
      <w:r w:rsidR="00530CA3">
        <w:noBreakHyphen/>
      </w:r>
      <w:r w:rsidRPr="00693052">
        <w:t>inflammatory effect of adalimumab.</w:t>
      </w:r>
    </w:p>
    <w:p w14:paraId="6763A493" w14:textId="77777777" w:rsidR="00AB3BE8" w:rsidRDefault="00AB3BE8" w:rsidP="00AB3BE8">
      <w:pPr>
        <w:rPr>
          <w:szCs w:val="22"/>
          <w:u w:val="single"/>
        </w:rPr>
      </w:pPr>
    </w:p>
    <w:p w14:paraId="74AD9708" w14:textId="77777777" w:rsidR="00AB3BE8" w:rsidRDefault="00944B8F" w:rsidP="00AB3BE8">
      <w:pPr>
        <w:rPr>
          <w:szCs w:val="22"/>
          <w:u w:val="single"/>
        </w:rPr>
      </w:pPr>
      <w:r>
        <w:rPr>
          <w:szCs w:val="22"/>
          <w:u w:val="single"/>
        </w:rPr>
        <w:t>Uveitis</w:t>
      </w:r>
    </w:p>
    <w:p w14:paraId="428802DF" w14:textId="77777777" w:rsidR="00AB3BE8" w:rsidRDefault="00AB3BE8" w:rsidP="00AB3BE8">
      <w:pPr>
        <w:rPr>
          <w:szCs w:val="22"/>
          <w:u w:val="single"/>
        </w:rPr>
      </w:pPr>
    </w:p>
    <w:p w14:paraId="76E2ED51" w14:textId="77777777" w:rsidR="00AB3BE8" w:rsidRPr="00805A35" w:rsidRDefault="00944B8F" w:rsidP="00AB3BE8">
      <w:pPr>
        <w:rPr>
          <w:szCs w:val="22"/>
        </w:rPr>
      </w:pPr>
      <w:r w:rsidRPr="00805A35">
        <w:rPr>
          <w:szCs w:val="22"/>
        </w:rPr>
        <w:t>The safety profile for patients with uveitis treated with Humira every other week was consistent with the known safety profile of Humira.</w:t>
      </w:r>
    </w:p>
    <w:p w14:paraId="7AB72120" w14:textId="77777777" w:rsidR="00AB3BE8" w:rsidRPr="002A3533" w:rsidRDefault="00AB3BE8" w:rsidP="00AB3BE8">
      <w:pPr>
        <w:pStyle w:val="EMEANormal"/>
        <w:rPr>
          <w:szCs w:val="22"/>
          <w:lang w:val="en-GB"/>
        </w:rPr>
      </w:pPr>
    </w:p>
    <w:p w14:paraId="5E7ECD9F" w14:textId="77777777" w:rsidR="00AB3BE8" w:rsidRPr="002A3533" w:rsidRDefault="00944B8F" w:rsidP="00AB3BE8">
      <w:pPr>
        <w:pStyle w:val="EMEAHeadingUnderline"/>
        <w:spacing w:beforeLines="0" w:afterLines="0"/>
        <w:rPr>
          <w:lang w:val="en-GB"/>
        </w:rPr>
      </w:pPr>
      <w:r w:rsidRPr="002A3533">
        <w:rPr>
          <w:lang w:val="en-GB"/>
        </w:rPr>
        <w:t>Description of selected adverse reactions</w:t>
      </w:r>
    </w:p>
    <w:p w14:paraId="41A3367C" w14:textId="77777777" w:rsidR="00AB3BE8" w:rsidRPr="002A3533" w:rsidRDefault="00AB3BE8" w:rsidP="00AB3BE8">
      <w:pPr>
        <w:pStyle w:val="EMEANormal"/>
        <w:rPr>
          <w:lang w:val="en-GB"/>
        </w:rPr>
      </w:pPr>
    </w:p>
    <w:p w14:paraId="2D6E1834" w14:textId="77777777" w:rsidR="00AB3BE8" w:rsidRPr="002A3533" w:rsidRDefault="00944B8F" w:rsidP="00AB3BE8">
      <w:pPr>
        <w:pStyle w:val="EMEAHeadingUnderline"/>
        <w:spacing w:beforeLines="0" w:afterLines="0"/>
        <w:rPr>
          <w:i/>
          <w:u w:val="none"/>
          <w:lang w:val="en-GB"/>
        </w:rPr>
      </w:pPr>
      <w:r w:rsidRPr="002A3533">
        <w:rPr>
          <w:i/>
          <w:u w:val="none"/>
          <w:lang w:val="en-GB"/>
        </w:rPr>
        <w:t>Injection site reactions</w:t>
      </w:r>
    </w:p>
    <w:p w14:paraId="73A33E9B" w14:textId="77777777" w:rsidR="00AB3BE8" w:rsidRPr="002A3533" w:rsidRDefault="00AB3BE8" w:rsidP="00AB3BE8">
      <w:pPr>
        <w:pStyle w:val="EMEANormal"/>
        <w:rPr>
          <w:lang w:val="en-GB"/>
        </w:rPr>
      </w:pPr>
    </w:p>
    <w:p w14:paraId="58A5B798" w14:textId="77777777" w:rsidR="00AB3BE8" w:rsidRDefault="00944B8F" w:rsidP="00AB3BE8">
      <w:pPr>
        <w:tabs>
          <w:tab w:val="clear" w:pos="562"/>
        </w:tabs>
      </w:pPr>
      <w:r w:rsidRPr="002A3533">
        <w:t xml:space="preserve">In the pivotal controlled trials in adults and children, 12.9% of patients treated with Humira developed injection site reactions (erythema and/or itching, haemorrhage, pain or swelling), compared to </w:t>
      </w:r>
      <w:r>
        <w:t>7.2</w:t>
      </w:r>
      <w:r w:rsidRPr="002A3533">
        <w:t>% of patients receiving placebo or active control. Injection site reactions generally did not necessitate discontinuation of the medicinal product.</w:t>
      </w:r>
    </w:p>
    <w:p w14:paraId="688122A6" w14:textId="77777777" w:rsidR="00AB3BE8" w:rsidRPr="002A3533" w:rsidRDefault="00AB3BE8" w:rsidP="00AB3BE8">
      <w:pPr>
        <w:tabs>
          <w:tab w:val="clear" w:pos="562"/>
        </w:tabs>
      </w:pPr>
    </w:p>
    <w:p w14:paraId="3D1B31BE" w14:textId="77777777" w:rsidR="00AB3BE8" w:rsidRDefault="00944B8F" w:rsidP="00AB3BE8">
      <w:pPr>
        <w:pStyle w:val="EMEAHeadingUnderline"/>
        <w:spacing w:beforeLines="0" w:afterLines="0"/>
        <w:rPr>
          <w:i/>
          <w:u w:val="none"/>
          <w:lang w:val="en-GB"/>
        </w:rPr>
      </w:pPr>
      <w:r w:rsidRPr="002A3533">
        <w:rPr>
          <w:i/>
          <w:u w:val="none"/>
          <w:lang w:val="en-GB"/>
        </w:rPr>
        <w:t xml:space="preserve">Infections </w:t>
      </w:r>
    </w:p>
    <w:p w14:paraId="57500E07" w14:textId="77777777" w:rsidR="00AB3BE8" w:rsidRPr="00FD6AFC" w:rsidRDefault="00AB3BE8" w:rsidP="00AB3BE8">
      <w:pPr>
        <w:pStyle w:val="EMEANormal"/>
        <w:rPr>
          <w:lang w:val="en-GB"/>
        </w:rPr>
      </w:pPr>
    </w:p>
    <w:p w14:paraId="353711BD" w14:textId="77777777" w:rsidR="00AB3BE8" w:rsidRPr="002A3533" w:rsidRDefault="00944B8F" w:rsidP="00AB3BE8">
      <w:r w:rsidRPr="002A3533">
        <w:t>In the pivotal controlled trials in adults and children, the rate of infection was 1.51 per patient year in the Humira treated patients and 1.46 per patient year in the placebo and active control</w:t>
      </w:r>
      <w:r w:rsidRPr="002A3533">
        <w:noBreakHyphen/>
        <w:t xml:space="preserve">treated patients. The infections consisted primarily of </w:t>
      </w:r>
      <w:r w:rsidRPr="002A3533">
        <w:rPr>
          <w:szCs w:val="20"/>
        </w:rPr>
        <w:t>nasopharyngitis, upper respiratory tract infection, and sinusitis.</w:t>
      </w:r>
      <w:r w:rsidRPr="002A3533">
        <w:t xml:space="preserve"> Most patients continued on Humira after the infection resolved.  </w:t>
      </w:r>
    </w:p>
    <w:p w14:paraId="1CB0486B" w14:textId="77777777" w:rsidR="00AB3BE8" w:rsidRPr="002A3533" w:rsidRDefault="00AB3BE8" w:rsidP="00AB3BE8"/>
    <w:p w14:paraId="31D6F2A9" w14:textId="77777777" w:rsidR="00AB3BE8" w:rsidRPr="002A3533" w:rsidRDefault="00944B8F" w:rsidP="00AB3BE8">
      <w:r w:rsidRPr="002A3533">
        <w:t xml:space="preserve">The incidence of serious infections was 0.04 per patient year in Humira treated patients and 0.03 per patient year in placebo and active control − treated patients.  </w:t>
      </w:r>
    </w:p>
    <w:p w14:paraId="1E28034E" w14:textId="77777777" w:rsidR="00AB3BE8" w:rsidRPr="002A3533" w:rsidRDefault="00AB3BE8" w:rsidP="00AB3BE8"/>
    <w:p w14:paraId="00138CE0" w14:textId="77777777" w:rsidR="00AB3BE8" w:rsidRDefault="00944B8F" w:rsidP="00AB3BE8">
      <w:r w:rsidRPr="002A3533">
        <w:t xml:space="preserve">In controlled and open label adult and paediatric studies with Humira, serious infections (including fatal infections, which occurred rarely) have been reported, which include reports of tuberculosis (including miliary and extra-pulmonary locations) and invasive opportunistic infections (e.g. disseminated </w:t>
      </w:r>
      <w:r w:rsidRPr="002A3533">
        <w:rPr>
          <w:u w:color="0000FF"/>
        </w:rPr>
        <w:t>or extrapulmonary</w:t>
      </w:r>
      <w:r w:rsidRPr="002A3533">
        <w:t xml:space="preserve"> histoplasmosis, </w:t>
      </w:r>
      <w:r w:rsidRPr="002A3533">
        <w:rPr>
          <w:u w:color="0000FF"/>
        </w:rPr>
        <w:t>blastomycosis, coccidioidomycosis, pneumocystis</w:t>
      </w:r>
      <w:r>
        <w:rPr>
          <w:u w:color="0000FF"/>
        </w:rPr>
        <w:t>,</w:t>
      </w:r>
      <w:r w:rsidRPr="002A3533">
        <w:t xml:space="preserve"> </w:t>
      </w:r>
      <w:r w:rsidRPr="002A3533">
        <w:rPr>
          <w:u w:color="0000FF"/>
        </w:rPr>
        <w:t>candidiasis</w:t>
      </w:r>
      <w:r w:rsidRPr="002A3533">
        <w:t>, aspergillosis and listeriosis). Most of the cases of tuberculosis occurred within the first eight months after initiation of therapy and may reflect recrudescence of latent disease.</w:t>
      </w:r>
    </w:p>
    <w:p w14:paraId="09101012" w14:textId="77777777" w:rsidR="00AB3BE8" w:rsidRPr="002A3533" w:rsidRDefault="00AB3BE8" w:rsidP="00AB3BE8"/>
    <w:p w14:paraId="484539D6" w14:textId="77777777" w:rsidR="00AB3BE8" w:rsidRDefault="00944B8F" w:rsidP="00AB3BE8">
      <w:pPr>
        <w:pStyle w:val="EMEAHeadingUnderline"/>
        <w:spacing w:beforeLines="0" w:afterLines="0"/>
        <w:rPr>
          <w:i/>
          <w:u w:val="none"/>
          <w:lang w:val="en-GB"/>
        </w:rPr>
      </w:pPr>
      <w:r w:rsidRPr="002A3533">
        <w:rPr>
          <w:i/>
          <w:u w:val="none"/>
          <w:lang w:val="en-GB"/>
        </w:rPr>
        <w:t>Malignancies and lymphoproliferative disorders</w:t>
      </w:r>
    </w:p>
    <w:p w14:paraId="22C8B030" w14:textId="77777777" w:rsidR="00AB3BE8" w:rsidRPr="00FD6AFC" w:rsidRDefault="00AB3BE8" w:rsidP="00AB3BE8">
      <w:pPr>
        <w:pStyle w:val="EMEANormal"/>
        <w:rPr>
          <w:lang w:val="en-GB"/>
        </w:rPr>
      </w:pPr>
    </w:p>
    <w:p w14:paraId="081BE2DB" w14:textId="77777777" w:rsidR="00AB3BE8" w:rsidRPr="002A3533" w:rsidRDefault="00944B8F" w:rsidP="00AB3BE8">
      <w:r w:rsidRPr="002A3533">
        <w:t xml:space="preserve">No malignancies were observed in 249 paediatric patients with an exposure of 655.6 patient years during Humira trials in patients with juvenile idiopathic arthritis (polyarticular juvenile idiopathic arthritis and enthesitis-related arthritis). </w:t>
      </w:r>
      <w:r w:rsidRPr="002A3533">
        <w:rPr>
          <w:szCs w:val="22"/>
        </w:rPr>
        <w:t xml:space="preserve">In addition, no malignancies were observed in 192 paediatric patients with an exposure of </w:t>
      </w:r>
      <w:r>
        <w:rPr>
          <w:szCs w:val="22"/>
        </w:rPr>
        <w:t>498.1</w:t>
      </w:r>
      <w:r w:rsidRPr="002A3533">
        <w:rPr>
          <w:szCs w:val="22"/>
        </w:rPr>
        <w:t xml:space="preserve"> patient years during Humira trial</w:t>
      </w:r>
      <w:r>
        <w:rPr>
          <w:szCs w:val="22"/>
        </w:rPr>
        <w:t>s</w:t>
      </w:r>
      <w:r w:rsidRPr="002A3533">
        <w:rPr>
          <w:szCs w:val="22"/>
        </w:rPr>
        <w:t xml:space="preserve"> in paediatric patients with Crohn’s disease. No malignancies were observed in 77 paediatric patients with an exposure of 80.0 patient years during a Humira trial in paediatric patients with chronic plaque psoriasis.</w:t>
      </w:r>
      <w:r w:rsidRPr="00664461">
        <w:rPr>
          <w:szCs w:val="22"/>
        </w:rPr>
        <w:t xml:space="preserve"> </w:t>
      </w:r>
      <w:r w:rsidRPr="00A5330A">
        <w:rPr>
          <w:szCs w:val="22"/>
        </w:rPr>
        <w:t>No malignancies were observed in 60 p</w:t>
      </w:r>
      <w:r>
        <w:rPr>
          <w:szCs w:val="22"/>
        </w:rPr>
        <w:t>a</w:t>
      </w:r>
      <w:r w:rsidRPr="00A5330A">
        <w:rPr>
          <w:szCs w:val="22"/>
        </w:rPr>
        <w:t>ediatric patients with an exposure of 58.4 patient years during a Humira trial in p</w:t>
      </w:r>
      <w:r>
        <w:rPr>
          <w:szCs w:val="22"/>
        </w:rPr>
        <w:t>a</w:t>
      </w:r>
      <w:r w:rsidRPr="00A5330A">
        <w:rPr>
          <w:szCs w:val="22"/>
        </w:rPr>
        <w:t>ediatric patients with uveitis.</w:t>
      </w:r>
    </w:p>
    <w:p w14:paraId="30DA8EA0" w14:textId="77777777" w:rsidR="00AB3BE8" w:rsidRPr="002A3533" w:rsidRDefault="00AB3BE8" w:rsidP="00AB3BE8"/>
    <w:p w14:paraId="4B9E6A43" w14:textId="77777777" w:rsidR="00AB3BE8" w:rsidRPr="002A3533" w:rsidRDefault="00944B8F" w:rsidP="00AB3BE8">
      <w:r w:rsidRPr="002A3533">
        <w:t>During the controlled portions of pivotal Humira trials in adults of at least 12</w:t>
      </w:r>
      <w:r w:rsidR="00BD5686">
        <w:t> </w:t>
      </w:r>
      <w:r w:rsidRPr="002A3533">
        <w:t>weeks in duration in patients with moderately to severely active rheumatoid arthritis, ankylosing spondylitis, axial spondyloarthritis without radiographic evidence of AS, psoriatic arthritis, psoriasis, hidradenitis suppurativa, Crohn’s disease</w:t>
      </w:r>
      <w:r>
        <w:t>,</w:t>
      </w:r>
      <w:r w:rsidRPr="002A3533">
        <w:t xml:space="preserve"> ulcerative colitis</w:t>
      </w:r>
      <w:r>
        <w:t xml:space="preserve"> and uveitis</w:t>
      </w:r>
      <w:r w:rsidRPr="002A3533">
        <w:t xml:space="preserve">, malignancies, other than lymphoma and non-melanoma skin cancer, were observed at a rate (95% confidence interval) of </w:t>
      </w:r>
      <w:r w:rsidRPr="00A91590">
        <w:t>6.8 (4.4, 10.5)</w:t>
      </w:r>
      <w:r w:rsidRPr="002A3533">
        <w:t xml:space="preserve"> per 1,000 patient-years among </w:t>
      </w:r>
      <w:r>
        <w:t>5,291</w:t>
      </w:r>
      <w:r w:rsidRPr="002A3533">
        <w:t xml:space="preserve"> Humira treated patients </w:t>
      </w:r>
      <w:r w:rsidRPr="002A3533">
        <w:rPr>
          <w:i/>
          <w:iCs/>
        </w:rPr>
        <w:t xml:space="preserve">versus </w:t>
      </w:r>
      <w:r w:rsidRPr="002A3533">
        <w:t xml:space="preserve">a rate of </w:t>
      </w:r>
      <w:r w:rsidRPr="00A91590">
        <w:t>6.3 (3.4, 11.8)</w:t>
      </w:r>
      <w:r w:rsidRPr="002A3533">
        <w:t xml:space="preserve"> per 1,000 patient-years among </w:t>
      </w:r>
      <w:r>
        <w:t>3,444</w:t>
      </w:r>
      <w:r w:rsidRPr="002A3533">
        <w:t xml:space="preserve"> control patients (median duration of treatment was 4.0 months for Humira and </w:t>
      </w:r>
      <w:r>
        <w:t>3.8</w:t>
      </w:r>
      <w:r w:rsidRPr="002A3533">
        <w:t xml:space="preserve"> months for control-treated patients). The rate (95% confidence interval) of non-melanoma skin cancers was </w:t>
      </w:r>
      <w:r w:rsidRPr="00A91590">
        <w:t>8.8 (6.0, 13.0)</w:t>
      </w:r>
      <w:r w:rsidRPr="002A3533">
        <w:t xml:space="preserve"> per 1,000 patient-years among Humira-treated patients and </w:t>
      </w:r>
      <w:r>
        <w:t>3.2 (1.3, 7.6)</w:t>
      </w:r>
      <w:r w:rsidRPr="002A3533">
        <w:t xml:space="preserve"> per 1,000 patient-years among control patients. Of these skin cancers, squamous cell carcinomas occurred at rates (95% confidence interval) of </w:t>
      </w:r>
      <w:r w:rsidRPr="00DD03FC">
        <w:t>2.7 (1.4, 5.4)</w:t>
      </w:r>
      <w:r w:rsidRPr="002A3533">
        <w:t xml:space="preserve"> per 1,000 patient-years among Humira-treated patients and </w:t>
      </w:r>
      <w:r w:rsidRPr="00A91590">
        <w:t>0.6 (0.1, 4.5)</w:t>
      </w:r>
      <w:r w:rsidRPr="002A3533">
        <w:t xml:space="preserve"> per 1,000 patient-years among control patients. The rate (95% confidence interval) of lymphomas was 0.7 (</w:t>
      </w:r>
      <w:r>
        <w:t>0.2, 2.7</w:t>
      </w:r>
      <w:r w:rsidRPr="002A3533">
        <w:t xml:space="preserve">) per 1,000 patient-years among Humira-treated patients and </w:t>
      </w:r>
      <w:r w:rsidRPr="00A91590">
        <w:t>0.6 (0.1, 4.5)</w:t>
      </w:r>
      <w:r w:rsidRPr="002A3533">
        <w:t xml:space="preserve"> per 1,000 patient-years among control patients.</w:t>
      </w:r>
    </w:p>
    <w:p w14:paraId="175F79E3" w14:textId="77777777" w:rsidR="00AB3BE8" w:rsidRPr="002A3533" w:rsidRDefault="00AB3BE8" w:rsidP="00AB3BE8"/>
    <w:p w14:paraId="44D3C25F" w14:textId="77777777" w:rsidR="00AB3BE8" w:rsidRPr="002A3533" w:rsidRDefault="00944B8F" w:rsidP="00AB3BE8">
      <w:r w:rsidRPr="002A3533">
        <w:t xml:space="preserve">When combining controlled portions of these trials and ongoing and completed open label extension studies with a median duration of approximately </w:t>
      </w:r>
      <w:r>
        <w:t>3.3</w:t>
      </w:r>
      <w:r w:rsidR="00BD5686">
        <w:t> </w:t>
      </w:r>
      <w:r w:rsidRPr="002A3533">
        <w:t xml:space="preserve">years including </w:t>
      </w:r>
      <w:r>
        <w:t>6,427</w:t>
      </w:r>
      <w:r w:rsidRPr="002A3533">
        <w:t xml:space="preserve"> patients and over </w:t>
      </w:r>
      <w:r>
        <w:t>26,439</w:t>
      </w:r>
      <w:r w:rsidRPr="002A3533">
        <w:t xml:space="preserve"> patient-years of therapy, the observed rate of malignancies, other than lymphoma and non-melanoma skin cancers is approximately 8.5 per 1,000 patient years. The observed rate of non-melanoma skin cancers is approximately </w:t>
      </w:r>
      <w:r>
        <w:t>9.6</w:t>
      </w:r>
      <w:r w:rsidRPr="002A3533">
        <w:t xml:space="preserve"> per 1,000 patient years, and the observed rate of lymphomas is approximately 1.3 per 1,000 patient years.</w:t>
      </w:r>
    </w:p>
    <w:p w14:paraId="0AD4863D" w14:textId="77777777" w:rsidR="00AB3BE8" w:rsidRPr="002A3533" w:rsidRDefault="00AB3BE8" w:rsidP="00AB3BE8"/>
    <w:p w14:paraId="162E8FD4" w14:textId="77777777" w:rsidR="00AB3BE8" w:rsidRPr="002A3533" w:rsidRDefault="00944B8F" w:rsidP="00AB3BE8">
      <w:r w:rsidRPr="002A3533">
        <w:t xml:space="preserve">In post-marketing experience from January 2003 to December 2010, predominantly in patients with rheumatoid arthritis, the </w:t>
      </w:r>
      <w:r w:rsidR="00F2301E" w:rsidRPr="00F2301E">
        <w:t>spontaneously</w:t>
      </w:r>
      <w:r w:rsidR="00F2301E">
        <w:t xml:space="preserve"> </w:t>
      </w:r>
      <w:r w:rsidRPr="002A3533">
        <w:t xml:space="preserve">reported rate of malignancies is approximately 2.7 per 1,000 patient treatment years. The </w:t>
      </w:r>
      <w:r w:rsidR="00F2301E" w:rsidRPr="00F2301E">
        <w:t>spontaneously</w:t>
      </w:r>
      <w:r w:rsidR="00F2301E">
        <w:t xml:space="preserve"> </w:t>
      </w:r>
      <w:r w:rsidRPr="002A3533">
        <w:t>reported rates for non-melanoma skin cancers and lymphomas are approximately 0.2 and 0.3 per 1,000 patient treatment years, respectively (see section 4.4).</w:t>
      </w:r>
    </w:p>
    <w:p w14:paraId="13507E4D" w14:textId="77777777" w:rsidR="00AB3BE8" w:rsidRPr="002A3533" w:rsidRDefault="00AB3BE8" w:rsidP="00AB3BE8">
      <w:pPr>
        <w:rPr>
          <w:szCs w:val="22"/>
        </w:rPr>
      </w:pPr>
    </w:p>
    <w:p w14:paraId="120A11FD" w14:textId="77777777" w:rsidR="00AB3BE8" w:rsidRDefault="00944B8F" w:rsidP="00AB3BE8">
      <w:pPr>
        <w:rPr>
          <w:szCs w:val="22"/>
        </w:rPr>
      </w:pPr>
      <w:r w:rsidRPr="002A3533">
        <w:rPr>
          <w:szCs w:val="22"/>
        </w:rPr>
        <w:t>Rare post-marketing cases of hepatosplenic T-cell lymphoma have been reported in patients treated with adalimumab (see section 4.4).</w:t>
      </w:r>
    </w:p>
    <w:p w14:paraId="2760CB5D" w14:textId="77777777" w:rsidR="00AB3BE8" w:rsidRPr="002A3533" w:rsidRDefault="00AB3BE8" w:rsidP="00AB3BE8"/>
    <w:p w14:paraId="476667F5" w14:textId="77777777" w:rsidR="00AB3BE8" w:rsidRDefault="00944B8F" w:rsidP="00BF6247">
      <w:pPr>
        <w:pStyle w:val="EMEAHeadingUnderline"/>
        <w:keepNext/>
        <w:spacing w:beforeLines="0" w:afterLines="0"/>
        <w:rPr>
          <w:i/>
          <w:u w:val="none"/>
          <w:lang w:val="en-GB"/>
        </w:rPr>
      </w:pPr>
      <w:r w:rsidRPr="002A3533">
        <w:rPr>
          <w:i/>
          <w:u w:val="none"/>
          <w:lang w:val="en-GB"/>
        </w:rPr>
        <w:t xml:space="preserve">Autoantibodies </w:t>
      </w:r>
    </w:p>
    <w:p w14:paraId="3EAEEC2F" w14:textId="77777777" w:rsidR="00AB3BE8" w:rsidRPr="00FD6AFC" w:rsidRDefault="00AB3BE8" w:rsidP="00BF6247">
      <w:pPr>
        <w:pStyle w:val="EMEANormal"/>
        <w:keepNext/>
        <w:rPr>
          <w:lang w:val="en-GB"/>
        </w:rPr>
      </w:pPr>
    </w:p>
    <w:p w14:paraId="57A79A2B" w14:textId="77777777" w:rsidR="00AB3BE8" w:rsidRDefault="00944B8F" w:rsidP="00BF6247">
      <w:pPr>
        <w:pStyle w:val="EMEANormal"/>
        <w:keepNext/>
        <w:rPr>
          <w:lang w:val="en-GB"/>
        </w:rPr>
      </w:pPr>
      <w:r w:rsidRPr="002A3533">
        <w:rPr>
          <w:lang w:val="en-GB"/>
        </w:rPr>
        <w:t>Patients had serum samples tested for autoantibodies at multiple time points in rheumatoid arthritis studies I − V. In these trials, 11.9% of patients treated with Humira and 8.1% of placebo and active control − treated patients that had negative baseline anti-nuclear antibody titres reported positive titres at Week 24. Two patients out of 3,441 treated with Humira in all rheumatoid arthritis and psoriatic arthritis studies developed clinical signs suggestive of new-onset lupus-like syndrome. The patients improved following discontinuation of therapy. No patients developed lupus nephritis or central nervous system symptoms.</w:t>
      </w:r>
    </w:p>
    <w:p w14:paraId="53D24E51" w14:textId="77777777" w:rsidR="00AB3BE8" w:rsidRPr="002A3533" w:rsidRDefault="00AB3BE8" w:rsidP="00AB3BE8">
      <w:pPr>
        <w:pStyle w:val="EMEANormal"/>
        <w:rPr>
          <w:lang w:val="en-GB"/>
        </w:rPr>
      </w:pPr>
    </w:p>
    <w:p w14:paraId="46136C71" w14:textId="77777777" w:rsidR="00AB3BE8" w:rsidRDefault="00944B8F" w:rsidP="00AB3BE8">
      <w:pPr>
        <w:pStyle w:val="EMEAHeadingUnderline"/>
        <w:spacing w:beforeLines="0" w:afterLines="0"/>
        <w:rPr>
          <w:i/>
          <w:u w:val="none"/>
          <w:lang w:val="en-GB"/>
        </w:rPr>
      </w:pPr>
      <w:r w:rsidRPr="002A3533">
        <w:rPr>
          <w:i/>
          <w:u w:val="none"/>
          <w:lang w:val="en-GB"/>
        </w:rPr>
        <w:t>Hepato-biliary events</w:t>
      </w:r>
    </w:p>
    <w:p w14:paraId="7233FDEB" w14:textId="77777777" w:rsidR="00AB3BE8" w:rsidRPr="00FD6AFC" w:rsidRDefault="00AB3BE8" w:rsidP="00AB3BE8">
      <w:pPr>
        <w:pStyle w:val="EMEANormal"/>
        <w:rPr>
          <w:lang w:val="en-GB"/>
        </w:rPr>
      </w:pPr>
    </w:p>
    <w:p w14:paraId="4FA11C87" w14:textId="77777777" w:rsidR="00AB3BE8" w:rsidRPr="002A3533" w:rsidRDefault="00944B8F" w:rsidP="00AB3BE8">
      <w:pPr>
        <w:pStyle w:val="EMEANormal"/>
        <w:rPr>
          <w:lang w:val="en-GB"/>
        </w:rPr>
      </w:pPr>
      <w:r w:rsidRPr="002A3533">
        <w:rPr>
          <w:lang w:val="en-GB"/>
        </w:rPr>
        <w:t>In controlled Phase 3 trials of Humira in patients with rheumatoid arthritis and psoriatic arthritis with a control period duration ranging from 4 to 104 weeks, ALT elevations ≥ 3</w:t>
      </w:r>
      <w:r w:rsidR="00BD5686">
        <w:rPr>
          <w:lang w:val="en-GB"/>
        </w:rPr>
        <w:t> </w:t>
      </w:r>
      <w:r w:rsidRPr="002A3533">
        <w:rPr>
          <w:lang w:val="en-GB"/>
        </w:rPr>
        <w:t>x</w:t>
      </w:r>
      <w:r w:rsidR="00BD5686">
        <w:rPr>
          <w:lang w:val="en-GB"/>
        </w:rPr>
        <w:t> </w:t>
      </w:r>
      <w:r w:rsidRPr="002A3533">
        <w:rPr>
          <w:lang w:val="en-GB"/>
        </w:rPr>
        <w:t xml:space="preserve">ULN occurred in 3.7% of Humira-treated patients and 1.6% of control-treated patients. </w:t>
      </w:r>
    </w:p>
    <w:p w14:paraId="72D04021" w14:textId="77777777" w:rsidR="00AB3BE8" w:rsidRPr="002A3533" w:rsidRDefault="00AB3BE8" w:rsidP="00AB3BE8">
      <w:pPr>
        <w:pStyle w:val="EMEANormal"/>
        <w:rPr>
          <w:lang w:val="en-GB"/>
        </w:rPr>
      </w:pPr>
    </w:p>
    <w:p w14:paraId="3A393111" w14:textId="77777777" w:rsidR="00AB3BE8" w:rsidRPr="002A3533" w:rsidRDefault="00944B8F" w:rsidP="00AB3BE8">
      <w:pPr>
        <w:pStyle w:val="EMEANormal"/>
        <w:rPr>
          <w:szCs w:val="22"/>
        </w:rPr>
      </w:pPr>
      <w:r w:rsidRPr="002A3533">
        <w:rPr>
          <w:szCs w:val="22"/>
        </w:rPr>
        <w:t>In controlled Phase 3 trials of Humira in patients with polyarticular juvenile idiopathic arthritis who were 4 to 17 years and enthesitis-related arthritis who were 6 to 17 years, ALT elevations ≥ 3</w:t>
      </w:r>
      <w:r w:rsidR="00BD5686">
        <w:rPr>
          <w:szCs w:val="22"/>
        </w:rPr>
        <w:t> </w:t>
      </w:r>
      <w:r w:rsidRPr="002A3533">
        <w:rPr>
          <w:szCs w:val="22"/>
        </w:rPr>
        <w:t>x</w:t>
      </w:r>
      <w:r w:rsidR="00BD5686">
        <w:rPr>
          <w:szCs w:val="22"/>
        </w:rPr>
        <w:t> </w:t>
      </w:r>
      <w:r w:rsidRPr="002A3533">
        <w:rPr>
          <w:szCs w:val="22"/>
        </w:rPr>
        <w:t>ULN occurred in 6.1% of Humira-treated patients and 1.3% of control-treated patients. Most ALT elevations occurred with concomitant methotrexate use. No ALT elevations ≥ 3</w:t>
      </w:r>
      <w:r w:rsidR="00BD5686">
        <w:rPr>
          <w:szCs w:val="22"/>
        </w:rPr>
        <w:t> </w:t>
      </w:r>
      <w:r w:rsidRPr="002A3533">
        <w:rPr>
          <w:szCs w:val="22"/>
        </w:rPr>
        <w:t>x</w:t>
      </w:r>
      <w:r w:rsidR="00BD5686">
        <w:rPr>
          <w:szCs w:val="22"/>
        </w:rPr>
        <w:t> </w:t>
      </w:r>
      <w:r w:rsidRPr="002A3533">
        <w:rPr>
          <w:szCs w:val="22"/>
        </w:rPr>
        <w:t>ULN occurred in the Phase 3 trial of Humira in patients with polyarticular juvenile idiopathic arthritis who were 2 to &lt; 4 years.</w:t>
      </w:r>
    </w:p>
    <w:p w14:paraId="3F1C356A" w14:textId="77777777" w:rsidR="00AB3BE8" w:rsidRPr="002A3533" w:rsidRDefault="00AB3BE8" w:rsidP="00AB3BE8">
      <w:pPr>
        <w:pStyle w:val="EMEANormal"/>
        <w:rPr>
          <w:lang w:val="en-GB"/>
        </w:rPr>
      </w:pPr>
    </w:p>
    <w:p w14:paraId="3839EDFD" w14:textId="77777777" w:rsidR="00AB3BE8" w:rsidRPr="002A3533" w:rsidRDefault="00944B8F" w:rsidP="00AB3BE8">
      <w:pPr>
        <w:pStyle w:val="EMEANormal"/>
        <w:rPr>
          <w:i/>
          <w:iCs/>
          <w:lang w:val="en-GB"/>
        </w:rPr>
      </w:pPr>
      <w:r w:rsidRPr="002A3533">
        <w:rPr>
          <w:iCs/>
          <w:lang w:val="en-GB"/>
        </w:rPr>
        <w:t>In controlled Phase 3 trials of Humira in patients with</w:t>
      </w:r>
      <w:r w:rsidRPr="002A3533">
        <w:rPr>
          <w:i/>
          <w:iCs/>
          <w:lang w:val="en-GB"/>
        </w:rPr>
        <w:t xml:space="preserve"> </w:t>
      </w:r>
      <w:r w:rsidRPr="002A3533">
        <w:rPr>
          <w:iCs/>
          <w:lang w:val="en-GB"/>
        </w:rPr>
        <w:t>Crohn’s disease and ulcerative colitis with a contr</w:t>
      </w:r>
      <w:r>
        <w:rPr>
          <w:iCs/>
          <w:lang w:val="en-GB"/>
        </w:rPr>
        <w:t>ol period r</w:t>
      </w:r>
      <w:r w:rsidRPr="002A3533">
        <w:rPr>
          <w:iCs/>
          <w:lang w:val="en-GB"/>
        </w:rPr>
        <w:t>anging from 4 to 52 weeks. ALT elevations ≥ 3</w:t>
      </w:r>
      <w:r w:rsidR="00BD5686">
        <w:rPr>
          <w:iCs/>
          <w:lang w:val="en-GB"/>
        </w:rPr>
        <w:t> </w:t>
      </w:r>
      <w:r w:rsidRPr="002A3533">
        <w:rPr>
          <w:iCs/>
          <w:lang w:val="en-GB"/>
        </w:rPr>
        <w:t>x</w:t>
      </w:r>
      <w:r w:rsidR="00BD5686">
        <w:rPr>
          <w:iCs/>
          <w:lang w:val="en-GB"/>
        </w:rPr>
        <w:t> </w:t>
      </w:r>
      <w:r w:rsidRPr="002A3533">
        <w:rPr>
          <w:iCs/>
          <w:lang w:val="en-GB"/>
        </w:rPr>
        <w:t>ULN occurred in 0.9% of Humira-treated patients and 0.9% of controlled-treated patients.</w:t>
      </w:r>
      <w:r w:rsidRPr="002A3533">
        <w:rPr>
          <w:i/>
          <w:iCs/>
          <w:lang w:val="en-GB"/>
        </w:rPr>
        <w:t xml:space="preserve"> </w:t>
      </w:r>
    </w:p>
    <w:p w14:paraId="216BCB85" w14:textId="77777777" w:rsidR="00AB3BE8" w:rsidRPr="002A3533" w:rsidRDefault="00AB3BE8" w:rsidP="00AB3BE8">
      <w:pPr>
        <w:pStyle w:val="EMEANormal"/>
        <w:rPr>
          <w:i/>
          <w:iCs/>
          <w:lang w:val="en-GB"/>
        </w:rPr>
      </w:pPr>
    </w:p>
    <w:p w14:paraId="3F6B612B" w14:textId="77777777" w:rsidR="00AB3BE8" w:rsidRPr="002A3533" w:rsidRDefault="00944B8F" w:rsidP="00AB3BE8">
      <w:pPr>
        <w:pStyle w:val="EMEANormal"/>
        <w:rPr>
          <w:iCs/>
          <w:lang w:val="en-GB"/>
        </w:rPr>
      </w:pPr>
      <w:r w:rsidRPr="002A3533">
        <w:rPr>
          <w:lang w:val="en-GB"/>
        </w:rPr>
        <w:t xml:space="preserve">In the Phase 3 trial of Humira in patients with paediatric Crohn’s disease which evaluated efficacy and safety of two body weight adjusted maintenance dose regimens following body weight adjusted induction therapy up to 52 weeks of treatment, ALT elevations </w:t>
      </w:r>
      <w:r w:rsidRPr="002A3533">
        <w:rPr>
          <w:iCs/>
          <w:lang w:val="en-GB"/>
        </w:rPr>
        <w:t>≥ 3</w:t>
      </w:r>
      <w:r w:rsidR="00BD5686">
        <w:rPr>
          <w:iCs/>
          <w:lang w:val="en-GB"/>
        </w:rPr>
        <w:t> </w:t>
      </w:r>
      <w:r w:rsidRPr="002A3533">
        <w:rPr>
          <w:iCs/>
          <w:lang w:val="en-GB"/>
        </w:rPr>
        <w:t>x</w:t>
      </w:r>
      <w:r w:rsidR="00BD5686">
        <w:rPr>
          <w:iCs/>
          <w:lang w:val="en-GB"/>
        </w:rPr>
        <w:t> </w:t>
      </w:r>
      <w:r w:rsidRPr="002A3533">
        <w:rPr>
          <w:iCs/>
          <w:lang w:val="en-GB"/>
        </w:rPr>
        <w:t>ULN occurred in 2.6%</w:t>
      </w:r>
      <w:r w:rsidRPr="002A3533">
        <w:t xml:space="preserve"> (5/192) </w:t>
      </w:r>
      <w:r w:rsidRPr="002A3533">
        <w:rPr>
          <w:iCs/>
          <w:lang w:val="en-GB"/>
        </w:rPr>
        <w:t xml:space="preserve">of patients </w:t>
      </w:r>
      <w:r w:rsidRPr="002A3533">
        <w:rPr>
          <w:iCs/>
        </w:rPr>
        <w:t xml:space="preserve">of whom 4 were receiving </w:t>
      </w:r>
      <w:r w:rsidRPr="002A3533">
        <w:rPr>
          <w:iCs/>
          <w:lang w:val="en-GB"/>
        </w:rPr>
        <w:t>concomitant immunosuppressants at baseline.</w:t>
      </w:r>
    </w:p>
    <w:p w14:paraId="157B7CC6" w14:textId="77777777" w:rsidR="00AB3BE8" w:rsidRPr="002A3533" w:rsidRDefault="00AB3BE8" w:rsidP="00AB3BE8">
      <w:pPr>
        <w:pStyle w:val="EMEANormal"/>
        <w:rPr>
          <w:lang w:val="en-GB"/>
        </w:rPr>
      </w:pPr>
    </w:p>
    <w:p w14:paraId="3D6E7CB7" w14:textId="77777777" w:rsidR="00AB3BE8" w:rsidRPr="002A3533" w:rsidRDefault="00944B8F" w:rsidP="00AB3BE8">
      <w:pPr>
        <w:pStyle w:val="EMEANormal"/>
        <w:rPr>
          <w:iCs/>
          <w:lang w:val="en-GB"/>
        </w:rPr>
      </w:pPr>
      <w:r w:rsidRPr="002A3533">
        <w:rPr>
          <w:iCs/>
          <w:lang w:val="en-GB"/>
        </w:rPr>
        <w:t xml:space="preserve">In controlled Phase 3 trials of Humira in patients with plaque </w:t>
      </w:r>
      <w:r>
        <w:rPr>
          <w:iCs/>
          <w:lang w:val="en-GB"/>
        </w:rPr>
        <w:t>p</w:t>
      </w:r>
      <w:r w:rsidRPr="002A3533">
        <w:rPr>
          <w:iCs/>
          <w:lang w:val="en-GB"/>
        </w:rPr>
        <w:t>soriasis</w:t>
      </w:r>
      <w:r w:rsidRPr="002A3533">
        <w:rPr>
          <w:i/>
          <w:iCs/>
          <w:lang w:val="en-GB"/>
        </w:rPr>
        <w:t xml:space="preserve"> </w:t>
      </w:r>
      <w:r w:rsidRPr="002A3533">
        <w:rPr>
          <w:iCs/>
          <w:lang w:val="en-GB"/>
        </w:rPr>
        <w:t>with a control period duration ranging from 12 to 24 weeks, ALT elevations ≥ 3</w:t>
      </w:r>
      <w:r w:rsidR="00B619DC">
        <w:rPr>
          <w:iCs/>
          <w:lang w:val="en-GB"/>
        </w:rPr>
        <w:t> </w:t>
      </w:r>
      <w:r w:rsidRPr="002A3533">
        <w:rPr>
          <w:iCs/>
          <w:lang w:val="en-GB"/>
        </w:rPr>
        <w:t>x</w:t>
      </w:r>
      <w:r w:rsidR="00B619DC">
        <w:rPr>
          <w:iCs/>
          <w:lang w:val="en-GB"/>
        </w:rPr>
        <w:t> </w:t>
      </w:r>
      <w:r w:rsidRPr="002A3533">
        <w:rPr>
          <w:iCs/>
          <w:lang w:val="en-GB"/>
        </w:rPr>
        <w:t xml:space="preserve">ULN occurred in 1.8% of Humira-treated patients and 1.8% of control-treated patients. </w:t>
      </w:r>
    </w:p>
    <w:p w14:paraId="52B34894" w14:textId="77777777" w:rsidR="00AB3BE8" w:rsidRPr="002A3533" w:rsidRDefault="00AB3BE8" w:rsidP="00AB3BE8">
      <w:pPr>
        <w:pStyle w:val="EMEANormal"/>
        <w:rPr>
          <w:iCs/>
          <w:lang w:val="en-GB"/>
        </w:rPr>
      </w:pPr>
    </w:p>
    <w:p w14:paraId="42F43646" w14:textId="77777777" w:rsidR="00AB3BE8" w:rsidRPr="002A3533" w:rsidRDefault="00944B8F" w:rsidP="00AB3BE8">
      <w:pPr>
        <w:autoSpaceDE w:val="0"/>
        <w:autoSpaceDN w:val="0"/>
        <w:adjustRightInd w:val="0"/>
        <w:rPr>
          <w:iCs/>
        </w:rPr>
      </w:pPr>
      <w:r w:rsidRPr="002A3533">
        <w:rPr>
          <w:iCs/>
        </w:rPr>
        <w:t>No ALT elevations ≥ 3</w:t>
      </w:r>
      <w:r w:rsidR="00B619DC">
        <w:rPr>
          <w:iCs/>
        </w:rPr>
        <w:t> </w:t>
      </w:r>
      <w:r w:rsidR="00B619DC" w:rsidRPr="002A3533">
        <w:rPr>
          <w:iCs/>
        </w:rPr>
        <w:t>x</w:t>
      </w:r>
      <w:r w:rsidR="00B619DC">
        <w:rPr>
          <w:iCs/>
        </w:rPr>
        <w:t> </w:t>
      </w:r>
      <w:r w:rsidRPr="002A3533">
        <w:rPr>
          <w:iCs/>
        </w:rPr>
        <w:t>ULN occurred in the Phase 3 trial of Humira in paediatric patients with plaque psoriasis.</w:t>
      </w:r>
    </w:p>
    <w:p w14:paraId="2DD2F379" w14:textId="77777777" w:rsidR="00AB3BE8" w:rsidRDefault="00AB3BE8" w:rsidP="00AB3BE8">
      <w:pPr>
        <w:autoSpaceDE w:val="0"/>
        <w:autoSpaceDN w:val="0"/>
        <w:adjustRightInd w:val="0"/>
      </w:pPr>
    </w:p>
    <w:p w14:paraId="10D32CD8" w14:textId="77777777" w:rsidR="00AB3BE8" w:rsidRPr="00AA6F91" w:rsidRDefault="00944B8F" w:rsidP="00AB3BE8">
      <w:pPr>
        <w:autoSpaceDE w:val="0"/>
        <w:autoSpaceDN w:val="0"/>
        <w:adjustRightInd w:val="0"/>
        <w:rPr>
          <w:iCs/>
          <w:szCs w:val="20"/>
        </w:rPr>
      </w:pPr>
      <w:r w:rsidRPr="008805F3">
        <w:rPr>
          <w:iCs/>
          <w:szCs w:val="20"/>
        </w:rPr>
        <w:t>In controlled trials of Humira (initial doses of 80</w:t>
      </w:r>
      <w:r>
        <w:rPr>
          <w:iCs/>
          <w:szCs w:val="20"/>
        </w:rPr>
        <w:t> </w:t>
      </w:r>
      <w:r w:rsidRPr="008805F3">
        <w:rPr>
          <w:iCs/>
          <w:szCs w:val="20"/>
        </w:rPr>
        <w:t>mg at Week 0 followed by 40</w:t>
      </w:r>
      <w:r>
        <w:rPr>
          <w:iCs/>
          <w:szCs w:val="20"/>
        </w:rPr>
        <w:t> </w:t>
      </w:r>
      <w:r w:rsidRPr="008805F3">
        <w:rPr>
          <w:iCs/>
          <w:szCs w:val="20"/>
        </w:rPr>
        <w:t xml:space="preserve">mg every other week </w:t>
      </w:r>
      <w:r w:rsidRPr="00B2585F">
        <w:rPr>
          <w:iCs/>
          <w:szCs w:val="20"/>
        </w:rPr>
        <w:t xml:space="preserve">starting at Week 1) in </w:t>
      </w:r>
      <w:r>
        <w:rPr>
          <w:iCs/>
          <w:szCs w:val="20"/>
        </w:rPr>
        <w:t>adult patients with uveitis up to 80 w</w:t>
      </w:r>
      <w:r w:rsidRPr="00B2585F">
        <w:rPr>
          <w:iCs/>
          <w:szCs w:val="20"/>
        </w:rPr>
        <w:t>eeks with a median exposure of 166.5 days and 105.0 days in Humira-treated and control-treated patients, respectively, ALT elevations ≥</w:t>
      </w:r>
      <w:r w:rsidR="00B619DC">
        <w:rPr>
          <w:iCs/>
          <w:szCs w:val="20"/>
        </w:rPr>
        <w:t> </w:t>
      </w:r>
      <w:r w:rsidRPr="00B2585F">
        <w:rPr>
          <w:iCs/>
          <w:szCs w:val="20"/>
        </w:rPr>
        <w:t>3</w:t>
      </w:r>
      <w:r w:rsidR="00B619DC">
        <w:rPr>
          <w:iCs/>
          <w:szCs w:val="20"/>
        </w:rPr>
        <w:t> </w:t>
      </w:r>
      <w:r w:rsidRPr="00B2585F">
        <w:rPr>
          <w:iCs/>
          <w:szCs w:val="20"/>
        </w:rPr>
        <w:t>x</w:t>
      </w:r>
      <w:r w:rsidR="00B619DC">
        <w:rPr>
          <w:iCs/>
          <w:szCs w:val="20"/>
        </w:rPr>
        <w:t> </w:t>
      </w:r>
      <w:r w:rsidRPr="00B2585F">
        <w:rPr>
          <w:iCs/>
          <w:szCs w:val="20"/>
        </w:rPr>
        <w:t xml:space="preserve">ULN occurred in 2.4% of Humira-treated patients and 2.4% of control-treated patients. </w:t>
      </w:r>
    </w:p>
    <w:p w14:paraId="106C23AD" w14:textId="77777777" w:rsidR="00AB3BE8" w:rsidRPr="002A3533" w:rsidRDefault="00AB3BE8" w:rsidP="00AB3BE8">
      <w:pPr>
        <w:autoSpaceDE w:val="0"/>
        <w:autoSpaceDN w:val="0"/>
        <w:adjustRightInd w:val="0"/>
        <w:rPr>
          <w:iCs/>
        </w:rPr>
      </w:pPr>
    </w:p>
    <w:p w14:paraId="1FA16915" w14:textId="77777777" w:rsidR="00AB3BE8" w:rsidRPr="002A3533" w:rsidRDefault="00944B8F" w:rsidP="00AB3BE8">
      <w:pPr>
        <w:autoSpaceDE w:val="0"/>
        <w:autoSpaceDN w:val="0"/>
        <w:adjustRightInd w:val="0"/>
      </w:pPr>
      <w:r w:rsidRPr="002A3533">
        <w:t>Across all indications in clinical trials patients with raised ALT were asymptomatic and in most cases elevations were transient and resolved on continued treatment. However, there have also been post-marketing reports of liver failure as well as less severe liver disorders that may precede liver failure, such as hepatitis including autoimmune hepatitis in patients receiving adalimumab.</w:t>
      </w:r>
    </w:p>
    <w:p w14:paraId="0E491E2D" w14:textId="77777777" w:rsidR="00AB3BE8" w:rsidRPr="002A3533" w:rsidRDefault="00AB3BE8" w:rsidP="00AB3BE8">
      <w:pPr>
        <w:autoSpaceDE w:val="0"/>
        <w:autoSpaceDN w:val="0"/>
        <w:adjustRightInd w:val="0"/>
      </w:pPr>
    </w:p>
    <w:p w14:paraId="26176C22" w14:textId="77777777" w:rsidR="00AB3BE8" w:rsidRPr="002A3533" w:rsidRDefault="00944B8F" w:rsidP="00AB3BE8">
      <w:pPr>
        <w:keepNext/>
        <w:autoSpaceDE w:val="0"/>
        <w:autoSpaceDN w:val="0"/>
        <w:adjustRightInd w:val="0"/>
        <w:rPr>
          <w:u w:val="single"/>
        </w:rPr>
      </w:pPr>
      <w:r w:rsidRPr="002A3533">
        <w:rPr>
          <w:u w:val="single"/>
        </w:rPr>
        <w:lastRenderedPageBreak/>
        <w:t>Concurrent treatment with azathioprine/6-mercaptopurine</w:t>
      </w:r>
    </w:p>
    <w:p w14:paraId="6B9C0846" w14:textId="77777777" w:rsidR="00AB3BE8" w:rsidRPr="002A3533" w:rsidRDefault="00AB3BE8" w:rsidP="00AB3BE8">
      <w:pPr>
        <w:pStyle w:val="EMEANormal"/>
        <w:keepNext/>
        <w:rPr>
          <w:lang w:val="en-GB"/>
        </w:rPr>
      </w:pPr>
    </w:p>
    <w:p w14:paraId="5BF660E9" w14:textId="77777777" w:rsidR="00AB3BE8" w:rsidRPr="002A3533" w:rsidRDefault="00944B8F" w:rsidP="00AB3BE8">
      <w:pPr>
        <w:pStyle w:val="EMEANormal"/>
        <w:keepNext/>
      </w:pPr>
      <w:r w:rsidRPr="002A3533">
        <w:t>In adult Crohn’s disease studies, higher incidences of malignant and serious infection-related adverse events were seen with the combination of Humira and azathioprine/6-mercaptopurine compared with Humira alone.</w:t>
      </w:r>
    </w:p>
    <w:p w14:paraId="15F0B1AC" w14:textId="77777777" w:rsidR="00AB3BE8" w:rsidRPr="002A3533" w:rsidRDefault="00AB3BE8" w:rsidP="00AB3BE8">
      <w:pPr>
        <w:pStyle w:val="EMEANormal"/>
      </w:pPr>
    </w:p>
    <w:p w14:paraId="4DDCE3F5" w14:textId="77777777" w:rsidR="00AB3BE8" w:rsidRPr="00C26788" w:rsidRDefault="00944B8F" w:rsidP="00AB3BE8">
      <w:pPr>
        <w:keepNext/>
        <w:rPr>
          <w:u w:val="single"/>
        </w:rPr>
      </w:pPr>
      <w:r w:rsidRPr="002A3533">
        <w:rPr>
          <w:u w:val="single"/>
        </w:rPr>
        <w:t>Reporting of suspected adverse reactions</w:t>
      </w:r>
    </w:p>
    <w:p w14:paraId="2E220AFE" w14:textId="77777777" w:rsidR="00AB3BE8" w:rsidRPr="00C26788" w:rsidRDefault="00AB3BE8" w:rsidP="00AB3BE8">
      <w:pPr>
        <w:keepNext/>
      </w:pPr>
    </w:p>
    <w:p w14:paraId="6B0C75B5" w14:textId="77777777" w:rsidR="00AB3BE8" w:rsidRPr="00C26788" w:rsidRDefault="00944B8F" w:rsidP="00AB3BE8">
      <w:pPr>
        <w:keepNext/>
      </w:pPr>
      <w:r w:rsidRPr="00C26788">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B0254A">
        <w:rPr>
          <w:highlight w:val="lightGray"/>
        </w:rPr>
        <w:t xml:space="preserve">the national reporting system listed in </w:t>
      </w:r>
      <w:hyperlink r:id="rId13" w:history="1">
        <w:r w:rsidR="00AB3BE8" w:rsidRPr="00B0254A">
          <w:rPr>
            <w:rStyle w:val="Hyperlink"/>
            <w:szCs w:val="22"/>
            <w:highlight w:val="lightGray"/>
          </w:rPr>
          <w:t>Appendix V</w:t>
        </w:r>
      </w:hyperlink>
      <w:r w:rsidRPr="00B0254A">
        <w:rPr>
          <w:highlight w:val="lightGray"/>
        </w:rPr>
        <w:t>.</w:t>
      </w:r>
      <w:r w:rsidRPr="00C26788">
        <w:t xml:space="preserve"> </w:t>
      </w:r>
    </w:p>
    <w:p w14:paraId="580C8CE0" w14:textId="77777777" w:rsidR="00AB3BE8" w:rsidRPr="00C26788" w:rsidRDefault="00AB3BE8" w:rsidP="00AB3BE8"/>
    <w:p w14:paraId="74854B68" w14:textId="77777777" w:rsidR="00AB3BE8" w:rsidRPr="00C26788" w:rsidRDefault="00944B8F" w:rsidP="00077477">
      <w:pPr>
        <w:pStyle w:val="Header"/>
        <w:keepNext/>
        <w:tabs>
          <w:tab w:val="clear" w:pos="562"/>
          <w:tab w:val="clear" w:pos="4153"/>
          <w:tab w:val="clear" w:pos="8306"/>
        </w:tabs>
        <w:rPr>
          <w:b/>
          <w:sz w:val="22"/>
          <w:szCs w:val="22"/>
        </w:rPr>
      </w:pPr>
      <w:r w:rsidRPr="00C26788">
        <w:rPr>
          <w:b/>
          <w:sz w:val="22"/>
          <w:szCs w:val="22"/>
        </w:rPr>
        <w:t>4.9</w:t>
      </w:r>
      <w:r w:rsidRPr="00C26788">
        <w:rPr>
          <w:b/>
          <w:sz w:val="22"/>
          <w:szCs w:val="22"/>
        </w:rPr>
        <w:tab/>
        <w:t>Overdose</w:t>
      </w:r>
    </w:p>
    <w:p w14:paraId="38AAD369" w14:textId="77777777" w:rsidR="00AB3BE8" w:rsidRPr="00CE7FEF" w:rsidRDefault="00AB3BE8" w:rsidP="00077477">
      <w:pPr>
        <w:pStyle w:val="Header"/>
        <w:keepNext/>
        <w:tabs>
          <w:tab w:val="clear" w:pos="562"/>
          <w:tab w:val="clear" w:pos="4153"/>
          <w:tab w:val="clear" w:pos="8306"/>
        </w:tabs>
        <w:rPr>
          <w:szCs w:val="20"/>
        </w:rPr>
      </w:pPr>
    </w:p>
    <w:p w14:paraId="0C7D3C16" w14:textId="77777777" w:rsidR="00AB3BE8" w:rsidRPr="00193076" w:rsidRDefault="00944B8F" w:rsidP="00077477">
      <w:pPr>
        <w:keepNext/>
        <w:tabs>
          <w:tab w:val="clear" w:pos="562"/>
        </w:tabs>
      </w:pPr>
      <w:r w:rsidRPr="00E95E17">
        <w:t>No dose-limiting toxicity was observed during clinical trials. The highest d</w:t>
      </w:r>
      <w:r w:rsidRPr="00193076">
        <w:t xml:space="preserve">ose level evaluated has been multiple intravenous doses of 10 mg/kg, which is approximately 15 times the recommended dose. </w:t>
      </w:r>
    </w:p>
    <w:p w14:paraId="3B76E2C5" w14:textId="77777777" w:rsidR="00AB3BE8" w:rsidRPr="00193076" w:rsidRDefault="00AB3BE8" w:rsidP="00AB3BE8">
      <w:pPr>
        <w:tabs>
          <w:tab w:val="clear" w:pos="562"/>
        </w:tabs>
      </w:pPr>
    </w:p>
    <w:p w14:paraId="5AE6840B" w14:textId="77777777" w:rsidR="00AB3BE8" w:rsidRPr="00A868FE" w:rsidRDefault="00AB3BE8" w:rsidP="00AB3BE8">
      <w:pPr>
        <w:tabs>
          <w:tab w:val="clear" w:pos="562"/>
        </w:tabs>
      </w:pPr>
    </w:p>
    <w:p w14:paraId="58648A16" w14:textId="77777777" w:rsidR="00AB3BE8" w:rsidRDefault="00944B8F" w:rsidP="00AB3BE8">
      <w:pPr>
        <w:pStyle w:val="EMEAHeading1"/>
        <w:spacing w:beforeLines="0" w:afterLines="0"/>
        <w:rPr>
          <w:rFonts w:ascii="Times New Roman" w:hAnsi="Times New Roman"/>
          <w:lang w:val="en-GB"/>
        </w:rPr>
      </w:pPr>
      <w:r w:rsidRPr="00A868FE">
        <w:rPr>
          <w:rFonts w:ascii="Times New Roman" w:hAnsi="Times New Roman"/>
          <w:lang w:val="en-GB"/>
        </w:rPr>
        <w:t>5.</w:t>
      </w:r>
      <w:r w:rsidRPr="00A868FE">
        <w:rPr>
          <w:rFonts w:ascii="Times New Roman" w:hAnsi="Times New Roman"/>
          <w:lang w:val="en-GB"/>
        </w:rPr>
        <w:tab/>
        <w:t>PHARMACOLOGICAL PROPERTIES</w:t>
      </w:r>
    </w:p>
    <w:p w14:paraId="24126402" w14:textId="77777777" w:rsidR="00AB3BE8" w:rsidRPr="00FD6AFC" w:rsidRDefault="00AB3BE8" w:rsidP="00AB3BE8">
      <w:pPr>
        <w:pStyle w:val="EMEANormal"/>
        <w:rPr>
          <w:lang w:val="en-GB"/>
        </w:rPr>
      </w:pPr>
    </w:p>
    <w:p w14:paraId="7093576C" w14:textId="77777777" w:rsidR="00AB3BE8" w:rsidRPr="00A868FE" w:rsidRDefault="00944B8F" w:rsidP="00AB3BE8">
      <w:pPr>
        <w:pStyle w:val="EMEAHeading2SPCEmpty"/>
        <w:spacing w:afterLines="0"/>
        <w:rPr>
          <w:rFonts w:ascii="Times New Roman" w:hAnsi="Times New Roman"/>
          <w:lang w:val="en-GB"/>
        </w:rPr>
      </w:pPr>
      <w:r w:rsidRPr="00A868FE">
        <w:rPr>
          <w:rFonts w:ascii="Times New Roman" w:hAnsi="Times New Roman"/>
          <w:lang w:val="en-GB"/>
        </w:rPr>
        <w:t>5.1</w:t>
      </w:r>
      <w:r w:rsidRPr="00A868FE">
        <w:rPr>
          <w:rFonts w:ascii="Times New Roman" w:hAnsi="Times New Roman"/>
          <w:lang w:val="en-GB"/>
        </w:rPr>
        <w:tab/>
        <w:t>Pharmacodynamic properties</w:t>
      </w:r>
    </w:p>
    <w:p w14:paraId="5F8DBB00" w14:textId="77777777" w:rsidR="00AB3BE8" w:rsidRPr="004D066E" w:rsidRDefault="00AB3BE8" w:rsidP="00AB3BE8">
      <w:pPr>
        <w:pStyle w:val="EMEANormal"/>
        <w:rPr>
          <w:lang w:val="en-GB"/>
        </w:rPr>
      </w:pPr>
    </w:p>
    <w:p w14:paraId="5B4BD713" w14:textId="77777777" w:rsidR="00AB3BE8" w:rsidRDefault="00944B8F" w:rsidP="00AB3BE8">
      <w:pPr>
        <w:tabs>
          <w:tab w:val="clear" w:pos="562"/>
        </w:tabs>
      </w:pPr>
      <w:r w:rsidRPr="002A3533">
        <w:t>Pharmacotherapeutic group: Immunosuppressants, Tumour Necrosis Factor alpha (TNF-α) inhibitors. ATC code: L04AB04</w:t>
      </w:r>
    </w:p>
    <w:p w14:paraId="0786D936" w14:textId="77777777" w:rsidR="00AB3BE8" w:rsidRPr="002A3533" w:rsidRDefault="00AB3BE8" w:rsidP="00AB3BE8">
      <w:pPr>
        <w:tabs>
          <w:tab w:val="clear" w:pos="562"/>
        </w:tabs>
      </w:pPr>
    </w:p>
    <w:p w14:paraId="5B478FE8" w14:textId="77777777" w:rsidR="00AB3BE8" w:rsidRDefault="00944B8F" w:rsidP="00AB3BE8">
      <w:pPr>
        <w:pStyle w:val="EMEAHeadingUnderline"/>
        <w:spacing w:beforeLines="0" w:afterLines="0"/>
        <w:rPr>
          <w:lang w:val="en-GB"/>
        </w:rPr>
      </w:pPr>
      <w:r w:rsidRPr="002A3533">
        <w:rPr>
          <w:lang w:val="en-GB"/>
        </w:rPr>
        <w:t>Mechanism of action</w:t>
      </w:r>
    </w:p>
    <w:p w14:paraId="6368A653" w14:textId="77777777" w:rsidR="00AB3BE8" w:rsidRPr="00FD6AFC" w:rsidRDefault="00AB3BE8" w:rsidP="00AB3BE8">
      <w:pPr>
        <w:pStyle w:val="EMEANormal"/>
        <w:rPr>
          <w:lang w:val="en-GB"/>
        </w:rPr>
      </w:pPr>
    </w:p>
    <w:p w14:paraId="40C19F56" w14:textId="77777777" w:rsidR="00AB3BE8" w:rsidRPr="002A3533" w:rsidRDefault="00944B8F" w:rsidP="00AB3BE8">
      <w:r w:rsidRPr="002A3533">
        <w:t>Adalimumab binds specifically to TNF and neutrali</w:t>
      </w:r>
      <w:r>
        <w:t>s</w:t>
      </w:r>
      <w:r w:rsidRPr="002A3533">
        <w:t xml:space="preserve">es the biological function of TNF by blocking its interaction with the p55 and p75 cell surface TNF receptors.  </w:t>
      </w:r>
    </w:p>
    <w:p w14:paraId="5F0A7045" w14:textId="77777777" w:rsidR="00AB3BE8" w:rsidRPr="002A3533" w:rsidRDefault="00AB3BE8" w:rsidP="00AB3BE8"/>
    <w:p w14:paraId="2E81F297" w14:textId="77777777" w:rsidR="00AB3BE8" w:rsidRDefault="00944B8F" w:rsidP="00AB3BE8">
      <w:r w:rsidRPr="002A3533">
        <w:t>Adalimumab also modulates biological responses that are induced or regulated by TNF, including changes in the levels of adhesion molecules responsible for leukocyte migration (ELAM-1, VCAM-1, and ICAM-1 with an IC</w:t>
      </w:r>
      <w:r w:rsidRPr="002A3533">
        <w:rPr>
          <w:vertAlign w:val="subscript"/>
        </w:rPr>
        <w:t>50</w:t>
      </w:r>
      <w:r w:rsidRPr="002A3533">
        <w:t xml:space="preserve"> of</w:t>
      </w:r>
      <w:r w:rsidR="005851B4">
        <w:t xml:space="preserve"> </w:t>
      </w:r>
      <w:r w:rsidRPr="002A3533">
        <w:t xml:space="preserve">0.1-0.2 nM). </w:t>
      </w:r>
    </w:p>
    <w:p w14:paraId="4A44576F" w14:textId="77777777" w:rsidR="00AB3BE8" w:rsidRPr="002A3533" w:rsidRDefault="00AB3BE8" w:rsidP="00AB3BE8"/>
    <w:p w14:paraId="3ADB093A" w14:textId="77777777" w:rsidR="00AB3BE8" w:rsidRDefault="00944B8F" w:rsidP="00AB3BE8">
      <w:pPr>
        <w:pStyle w:val="EMEAHeadingUnderline"/>
        <w:spacing w:beforeLines="0" w:afterLines="0"/>
        <w:rPr>
          <w:lang w:val="en-GB"/>
        </w:rPr>
      </w:pPr>
      <w:r w:rsidRPr="002A3533">
        <w:rPr>
          <w:lang w:val="en-GB"/>
        </w:rPr>
        <w:t xml:space="preserve">Pharmacodynamic effects </w:t>
      </w:r>
    </w:p>
    <w:p w14:paraId="7FFDCFFB" w14:textId="77777777" w:rsidR="00AB3BE8" w:rsidRPr="00FD6AFC" w:rsidRDefault="00AB3BE8" w:rsidP="00AB3BE8">
      <w:pPr>
        <w:pStyle w:val="EMEANormal"/>
        <w:rPr>
          <w:lang w:val="en-GB"/>
        </w:rPr>
      </w:pPr>
    </w:p>
    <w:p w14:paraId="4720CF30" w14:textId="77777777" w:rsidR="00AB3BE8" w:rsidRPr="002A3533" w:rsidRDefault="00944B8F" w:rsidP="00AB3BE8">
      <w:pPr>
        <w:tabs>
          <w:tab w:val="clear" w:pos="562"/>
        </w:tabs>
      </w:pPr>
      <w:r w:rsidRPr="002A3533">
        <w:t>After treatment with Humira, a rapid decrease in levels of acute phase reactants of inflammation (C</w:t>
      </w:r>
      <w:r w:rsidRPr="002A3533">
        <w:noBreakHyphen/>
        <w:t>reactive protein (CRP) and erythrocyte sedimentation rate (ESR)) and serum cytokines (IL-6) was observed, compared to baseline in patients with rheumatoid arthritis. Serum levels of matrix metalloproteinases (MMP-1 and MMP-3) that produce tissue remodelling responsible for cartilage destruction were also decreased after Humira administration. Patients treated with Humira usually experienced improvement in haematological signs of chronic inflammation.</w:t>
      </w:r>
    </w:p>
    <w:p w14:paraId="50B939C8" w14:textId="77777777" w:rsidR="00AB3BE8" w:rsidRPr="002A3533" w:rsidRDefault="00AB3BE8" w:rsidP="00AB3BE8">
      <w:pPr>
        <w:tabs>
          <w:tab w:val="clear" w:pos="562"/>
        </w:tabs>
      </w:pPr>
    </w:p>
    <w:p w14:paraId="6CEA8339" w14:textId="77777777" w:rsidR="00AB3BE8" w:rsidRPr="002A3533" w:rsidRDefault="00944B8F" w:rsidP="00AB3BE8">
      <w:pPr>
        <w:tabs>
          <w:tab w:val="clear" w:pos="562"/>
        </w:tabs>
      </w:pPr>
      <w:r w:rsidRPr="002A3533">
        <w:t>A rapid decrease in CRP levels was also observed in patients with polyarticular juvenile idiopathic arthritis, Crohn’s disease, ulcerative colitis and hidradenitis suppurativa after treatment with Humira. In patients with Crohn’s disease</w:t>
      </w:r>
      <w:r>
        <w:t>,</w:t>
      </w:r>
      <w:r w:rsidRPr="002A3533">
        <w:t xml:space="preserve"> a reduction of the number of cells expressing inflammatory markers in the colon including a significant reduction of expression of TNFα was seen. Endoscopic studies in intestinal mucosa have shown evidence of mucosal healing in adalimumab treated patients.</w:t>
      </w:r>
    </w:p>
    <w:p w14:paraId="7BB90C2D" w14:textId="77777777" w:rsidR="00AB3BE8" w:rsidRDefault="00AB3BE8" w:rsidP="00AB3BE8">
      <w:pPr>
        <w:pStyle w:val="EMEAHeadingUnderline"/>
        <w:spacing w:beforeLines="0" w:afterLines="0"/>
        <w:rPr>
          <w:lang w:val="en-GB"/>
        </w:rPr>
      </w:pPr>
    </w:p>
    <w:p w14:paraId="05151EE6" w14:textId="77777777" w:rsidR="00AB3BE8" w:rsidRDefault="00944B8F" w:rsidP="00BF6247">
      <w:pPr>
        <w:pStyle w:val="EMEAHeadingUnderline"/>
        <w:keepNext/>
        <w:spacing w:beforeLines="0" w:afterLines="0"/>
        <w:rPr>
          <w:lang w:val="en-GB"/>
        </w:rPr>
      </w:pPr>
      <w:r w:rsidRPr="002A3533">
        <w:rPr>
          <w:lang w:val="en-GB"/>
        </w:rPr>
        <w:lastRenderedPageBreak/>
        <w:t>Clinical efficacy and safety</w:t>
      </w:r>
    </w:p>
    <w:p w14:paraId="164F1D79" w14:textId="77777777" w:rsidR="00AB3BE8" w:rsidRPr="002A3533" w:rsidRDefault="00AB3BE8" w:rsidP="00BF6247">
      <w:pPr>
        <w:pStyle w:val="EMEANormal"/>
        <w:keepNext/>
        <w:rPr>
          <w:lang w:val="en-GB"/>
        </w:rPr>
      </w:pPr>
    </w:p>
    <w:p w14:paraId="742A5C1B" w14:textId="77777777" w:rsidR="00AB3BE8" w:rsidRPr="002A3533" w:rsidRDefault="00944B8F" w:rsidP="00BF6247">
      <w:pPr>
        <w:pStyle w:val="EMEANormal"/>
        <w:keepNext/>
        <w:rPr>
          <w:i/>
          <w:lang w:val="en-GB"/>
        </w:rPr>
      </w:pPr>
      <w:r>
        <w:rPr>
          <w:i/>
          <w:lang w:val="en-GB"/>
        </w:rPr>
        <w:t>Adults with r</w:t>
      </w:r>
      <w:r w:rsidRPr="002A3533">
        <w:rPr>
          <w:i/>
          <w:lang w:val="en-GB"/>
        </w:rPr>
        <w:t>heumatoid arthritis</w:t>
      </w:r>
    </w:p>
    <w:p w14:paraId="181C7E02" w14:textId="77777777" w:rsidR="00AB3BE8" w:rsidRPr="002A3533" w:rsidRDefault="00AB3BE8" w:rsidP="00BF6247">
      <w:pPr>
        <w:pStyle w:val="EMEANormal"/>
        <w:keepNext/>
        <w:rPr>
          <w:lang w:val="en-GB"/>
        </w:rPr>
      </w:pPr>
    </w:p>
    <w:p w14:paraId="181AD27E" w14:textId="77777777" w:rsidR="00AB3BE8" w:rsidRPr="002A3533" w:rsidRDefault="00944B8F" w:rsidP="00BF6247">
      <w:pPr>
        <w:keepNext/>
      </w:pPr>
      <w:r w:rsidRPr="002A3533">
        <w:t>Humira was evaluated in over 3</w:t>
      </w:r>
      <w:r>
        <w:t>,</w:t>
      </w:r>
      <w:r w:rsidRPr="002A3533">
        <w:t xml:space="preserve">000 patients in all rheumatoid arthritis clinical trials. The efficacy and safety of Humira were assessed in five randomised, double-blind and well-controlled studies. Some patients were treated for up to 120 months duration. </w:t>
      </w:r>
    </w:p>
    <w:p w14:paraId="5809F55A" w14:textId="77777777" w:rsidR="00AB3BE8" w:rsidRPr="002A3533" w:rsidRDefault="00AB3BE8" w:rsidP="00AB3BE8"/>
    <w:p w14:paraId="111665C6" w14:textId="77777777" w:rsidR="00AB3BE8" w:rsidRPr="00193076" w:rsidRDefault="00944B8F" w:rsidP="00AB3BE8">
      <w:r w:rsidRPr="002A3533">
        <w:t xml:space="preserve">RA study I evaluated 271 patients with moderately to severely active rheumatoid arthritis who were </w:t>
      </w:r>
      <w:r w:rsidRPr="00E95E17">
        <w:rPr>
          <w:rFonts w:ascii="Symbol" w:eastAsia="Symbol" w:hAnsi="Symbol" w:cs="Symbol"/>
          <w:szCs w:val="22"/>
        </w:rPr>
        <w:sym w:font="Symbol" w:char="F0B3"/>
      </w:r>
      <w:r w:rsidRPr="00E95E17">
        <w:t> 18 </w:t>
      </w:r>
      <w:r w:rsidRPr="00193076">
        <w:t xml:space="preserve">years old, had failed therapy with at least one disease-modifying, anti rheumatic drug and had insufficient efficacy with methotrexate at doses of 12.5 to 25 mg (10 mg if methotrexate-intolerant) every week and whose methotrexate dose remained constant at 10 to 25 mg every week. Doses of 20, 40 or 80 mg of Humira or placebo were given every other week for 24 weeks. </w:t>
      </w:r>
    </w:p>
    <w:p w14:paraId="234B1BDF" w14:textId="77777777" w:rsidR="00AB3BE8" w:rsidRPr="00193076" w:rsidRDefault="00AB3BE8" w:rsidP="00AB3BE8"/>
    <w:p w14:paraId="137903AB" w14:textId="77777777" w:rsidR="00AB3BE8" w:rsidRPr="00193076" w:rsidRDefault="00944B8F" w:rsidP="00AB3BE8">
      <w:r w:rsidRPr="00193076">
        <w:t xml:space="preserve">RA study II evaluated 544 patients with moderately to severely active rheumatoid arthritis who were </w:t>
      </w:r>
      <w:r w:rsidRPr="00E95E17">
        <w:rPr>
          <w:rFonts w:ascii="Symbol" w:eastAsia="Symbol" w:hAnsi="Symbol" w:cs="Symbol"/>
          <w:szCs w:val="22"/>
        </w:rPr>
        <w:sym w:font="Symbol" w:char="F0B3"/>
      </w:r>
      <w:r w:rsidRPr="00E95E17">
        <w:t> 18</w:t>
      </w:r>
      <w:r w:rsidRPr="00193076">
        <w:t> years old and had failed therapy with at least one disease-modifying, anti-rheumatic drugs. Doses of 20 or 40 mg of Humira were given by subcutaneous injection every other week with placebo on alternative weeks or every week for 26 weeks; placebo was given every week for the same duration. No other disease-modifying anti-rheumatic drugs were allowed.</w:t>
      </w:r>
    </w:p>
    <w:p w14:paraId="248E7FCE" w14:textId="77777777" w:rsidR="00AB3BE8" w:rsidRPr="00193076" w:rsidRDefault="00AB3BE8" w:rsidP="00AB3BE8"/>
    <w:p w14:paraId="09C9BCA9" w14:textId="77777777" w:rsidR="00AB3BE8" w:rsidRPr="00A868FE" w:rsidRDefault="00944B8F" w:rsidP="00AB3BE8">
      <w:r w:rsidRPr="00A868FE">
        <w:t xml:space="preserve">RA study III evaluated 619 patients with moderately to severely active rheumatoid arthritis who were </w:t>
      </w:r>
      <w:r w:rsidRPr="00E95E17">
        <w:rPr>
          <w:rFonts w:ascii="Symbol" w:eastAsia="Symbol" w:hAnsi="Symbol" w:cs="Symbol"/>
          <w:szCs w:val="22"/>
        </w:rPr>
        <w:sym w:font="Symbol" w:char="F0B3"/>
      </w:r>
      <w:r w:rsidRPr="00E95E17">
        <w:t> 18 </w:t>
      </w:r>
      <w:r w:rsidRPr="00193076">
        <w:t>years old, and who had an ineffective response to methotrexate at doses of 12.5 to 25 mg or have been intolerant to 10 mg of methotrexate every week. There were three groups in this study. The first received placebo injections every week for 52 weeks. The second received 20 mg of Humira every week for 52 weeks. The third group received 40 mg of Humira every other week with placebo injections on alternate weeks.</w:t>
      </w:r>
      <w:r>
        <w:t xml:space="preserve"> </w:t>
      </w:r>
      <w:r w:rsidRPr="00193076">
        <w:t xml:space="preserve">Upon completion of the first 52 weeks, 457 patients enrolled in an open-label extension phase in which 40 mg of Humira/MTX was administered every </w:t>
      </w:r>
      <w:r w:rsidRPr="00A868FE">
        <w:t>other week up to 10 years.</w:t>
      </w:r>
    </w:p>
    <w:p w14:paraId="1B574310" w14:textId="77777777" w:rsidR="00AB3BE8" w:rsidRPr="00A868FE" w:rsidRDefault="00AB3BE8" w:rsidP="00AB3BE8"/>
    <w:p w14:paraId="7DB481F8" w14:textId="77777777" w:rsidR="00AB3BE8" w:rsidRPr="00193076" w:rsidRDefault="00944B8F" w:rsidP="00AB3BE8">
      <w:r w:rsidRPr="004D066E">
        <w:t xml:space="preserve">RA study IV primarily assessed safety in 636 patients with moderately to severely active rheumatoid arthritis who were </w:t>
      </w:r>
      <w:r w:rsidRPr="00E95E17">
        <w:rPr>
          <w:rFonts w:ascii="Symbol" w:eastAsia="Symbol" w:hAnsi="Symbol" w:cs="Symbol"/>
          <w:szCs w:val="22"/>
        </w:rPr>
        <w:sym w:font="Symbol" w:char="F0B3"/>
      </w:r>
      <w:r w:rsidRPr="00E95E17">
        <w:t> 18 </w:t>
      </w:r>
      <w:r w:rsidRPr="00193076">
        <w:t>years old. Patients were permitted to be either disease-modifying, anti</w:t>
      </w:r>
      <w:r w:rsidRPr="00193076">
        <w:noBreakHyphen/>
        <w:t xml:space="preserve">rheumatic drug-naïve or to remain on their pre-existing rheumatologic therapy provided that therapy was stable for a minimum of 28 days. These therapies include methotrexate, leflunomide, hydroxychloroquine, sulfasalazine and/or gold salts. Patients were randomised to 40 mg of Humira or placebo every other week for 24 weeks.  </w:t>
      </w:r>
    </w:p>
    <w:p w14:paraId="10EAFA09" w14:textId="77777777" w:rsidR="00AB3BE8" w:rsidRPr="00193076" w:rsidRDefault="00AB3BE8" w:rsidP="00AB3BE8"/>
    <w:p w14:paraId="2186F753" w14:textId="77777777" w:rsidR="00AB3BE8" w:rsidRPr="00A868FE" w:rsidRDefault="00944B8F" w:rsidP="00AB3BE8">
      <w:r w:rsidRPr="00A868FE">
        <w:t>RA study V evaluated 799 methotrexate-naïve, adult patients with moderate to severely active early rheumatoid arthritis (mean disease duration less than 9 months). This study evaluated the efficacy of Humira 40 mg every other week/methotrexate combination therapy, Humira 40 mg every other week monotherapy and methotrexate monotherapy in reducing the signs and symptoms and rate of progression of joint damage in rheumatoid arthritis for 104 weeks.</w:t>
      </w:r>
      <w:r>
        <w:t xml:space="preserve"> Upon completion of the first 104 weeks, 497 patients enrolled in an open-label extension phase in which 40</w:t>
      </w:r>
      <w:r w:rsidR="00B619DC">
        <w:t> </w:t>
      </w:r>
      <w:r>
        <w:t>mg of Humira was administered every other week up to 10</w:t>
      </w:r>
      <w:r w:rsidR="00B619DC">
        <w:t> </w:t>
      </w:r>
      <w:r>
        <w:t>years.</w:t>
      </w:r>
    </w:p>
    <w:p w14:paraId="51CAECA4" w14:textId="77777777" w:rsidR="00AB3BE8" w:rsidRPr="004D066E" w:rsidRDefault="00AB3BE8" w:rsidP="00AB3BE8"/>
    <w:p w14:paraId="70E51FF9" w14:textId="77777777" w:rsidR="00AB3BE8" w:rsidRDefault="00944B8F" w:rsidP="00AB3BE8">
      <w:r w:rsidRPr="002A3533">
        <w:t>The primary end point in RA studies I, II and III and the secondary endpoint in RA study IV was the percent of patients who achieved an ACR 20 response at Week</w:t>
      </w:r>
      <w:r w:rsidR="00B619DC">
        <w:t> </w:t>
      </w:r>
      <w:r w:rsidRPr="002A3533">
        <w:t xml:space="preserve">24 or 26. The primary endpoint in RA study V was the percent of patients who achieved an ACR 50 response at Week 52. RA studies III and V had an additional primary endpoint at 52 weeks of retardation of disease progression (as detected by X-ray results). RA study III also had a primary endpoint of changes in quality of life. </w:t>
      </w:r>
    </w:p>
    <w:p w14:paraId="21088FD7" w14:textId="77777777" w:rsidR="00AB3BE8" w:rsidRPr="002A3533" w:rsidRDefault="00AB3BE8" w:rsidP="00AB3BE8"/>
    <w:p w14:paraId="6082F2A9" w14:textId="77777777" w:rsidR="00AB3BE8" w:rsidRDefault="00944B8F" w:rsidP="00AB3BE8">
      <w:pPr>
        <w:pStyle w:val="EMEAHeadingUnderline"/>
        <w:spacing w:beforeLines="0" w:afterLines="0"/>
        <w:rPr>
          <w:i/>
          <w:lang w:val="en-GB"/>
        </w:rPr>
      </w:pPr>
      <w:r w:rsidRPr="002A3533">
        <w:rPr>
          <w:i/>
          <w:lang w:val="en-GB"/>
        </w:rPr>
        <w:t>ACR response</w:t>
      </w:r>
    </w:p>
    <w:p w14:paraId="1AA42925" w14:textId="77777777" w:rsidR="00AB3BE8" w:rsidRPr="00FD6AFC" w:rsidRDefault="00AB3BE8" w:rsidP="00AB3BE8">
      <w:pPr>
        <w:pStyle w:val="EMEANormal"/>
        <w:rPr>
          <w:lang w:val="en-GB"/>
        </w:rPr>
      </w:pPr>
    </w:p>
    <w:p w14:paraId="26CB2B90" w14:textId="77777777" w:rsidR="00AB3BE8" w:rsidRPr="002A3533" w:rsidRDefault="00944B8F" w:rsidP="00AB3BE8">
      <w:r w:rsidRPr="002A3533">
        <w:t>The percent of Humira-treated patients achieving ACR 20, 50 and 70 responses was consistent across RA studies I, II and III. The results for the 40 mg every other wee</w:t>
      </w:r>
      <w:r>
        <w:t xml:space="preserve">k dose are summarised in Table </w:t>
      </w:r>
      <w:r w:rsidR="00D32B46">
        <w:t>7</w:t>
      </w:r>
      <w:r w:rsidRPr="002A3533">
        <w:t xml:space="preserve">. </w:t>
      </w:r>
    </w:p>
    <w:p w14:paraId="5B52F2DA" w14:textId="77777777" w:rsidR="00AB3BE8" w:rsidRPr="002A3533" w:rsidRDefault="00AB3BE8" w:rsidP="00AB3BE8">
      <w:pPr>
        <w:keepNext/>
      </w:pPr>
    </w:p>
    <w:tbl>
      <w:tblPr>
        <w:tblW w:w="9124" w:type="dxa"/>
        <w:tblInd w:w="98" w:type="dxa"/>
        <w:tblLayout w:type="fixed"/>
        <w:tblCellMar>
          <w:left w:w="0" w:type="dxa"/>
          <w:right w:w="0" w:type="dxa"/>
        </w:tblCellMar>
        <w:tblLook w:val="0000" w:firstRow="0" w:lastRow="0" w:firstColumn="0" w:lastColumn="0" w:noHBand="0" w:noVBand="0"/>
      </w:tblPr>
      <w:tblGrid>
        <w:gridCol w:w="1186"/>
        <w:gridCol w:w="1134"/>
        <w:gridCol w:w="1550"/>
        <w:gridCol w:w="1285"/>
        <w:gridCol w:w="1276"/>
        <w:gridCol w:w="1276"/>
        <w:gridCol w:w="1417"/>
      </w:tblGrid>
      <w:tr w:rsidR="00C6578C" w14:paraId="7A3409F2" w14:textId="77777777" w:rsidTr="00A6206B">
        <w:tc>
          <w:tcPr>
            <w:tcW w:w="9124" w:type="dxa"/>
            <w:gridSpan w:val="7"/>
          </w:tcPr>
          <w:p w14:paraId="183B703C" w14:textId="77777777" w:rsidR="00AB3BE8" w:rsidRPr="003F7AAE" w:rsidRDefault="00944B8F" w:rsidP="00A6206B">
            <w:pPr>
              <w:pStyle w:val="BodyText30"/>
              <w:keepNext/>
              <w:tabs>
                <w:tab w:val="clear" w:pos="1152"/>
                <w:tab w:val="clear" w:pos="1872"/>
              </w:tabs>
              <w:spacing w:after="0" w:line="240" w:lineRule="auto"/>
              <w:ind w:left="0"/>
              <w:jc w:val="center"/>
              <w:rPr>
                <w:sz w:val="22"/>
                <w:lang w:val="en-GB"/>
              </w:rPr>
            </w:pPr>
            <w:r>
              <w:rPr>
                <w:b/>
                <w:sz w:val="22"/>
                <w:lang w:val="en-GB"/>
              </w:rPr>
              <w:t xml:space="preserve">Table </w:t>
            </w:r>
            <w:r w:rsidR="00D32B46">
              <w:rPr>
                <w:b/>
                <w:sz w:val="22"/>
                <w:lang w:val="en-GB"/>
              </w:rPr>
              <w:t>7</w:t>
            </w:r>
          </w:p>
          <w:p w14:paraId="3B4D7BDF" w14:textId="77777777" w:rsidR="00AB3BE8" w:rsidRPr="003F7AAE" w:rsidRDefault="00944B8F" w:rsidP="00A6206B">
            <w:pPr>
              <w:pStyle w:val="BodyText30"/>
              <w:keepNext/>
              <w:tabs>
                <w:tab w:val="clear" w:pos="1152"/>
                <w:tab w:val="clear" w:pos="1872"/>
              </w:tabs>
              <w:spacing w:after="0" w:line="240" w:lineRule="auto"/>
              <w:ind w:left="0"/>
              <w:jc w:val="center"/>
              <w:rPr>
                <w:sz w:val="22"/>
                <w:lang w:val="en-GB"/>
              </w:rPr>
            </w:pPr>
            <w:r w:rsidRPr="002A3533">
              <w:rPr>
                <w:b/>
                <w:sz w:val="22"/>
                <w:lang w:val="en-GB"/>
              </w:rPr>
              <w:t>ACR Responses in Placebo-Controlled Trials</w:t>
            </w:r>
          </w:p>
          <w:p w14:paraId="2695FE31" w14:textId="77777777" w:rsidR="00AB3BE8" w:rsidRPr="003F7AAE" w:rsidRDefault="00944B8F" w:rsidP="00A6206B">
            <w:pPr>
              <w:pStyle w:val="BodyText30"/>
              <w:keepNext/>
              <w:tabs>
                <w:tab w:val="clear" w:pos="1152"/>
                <w:tab w:val="clear" w:pos="1872"/>
              </w:tabs>
              <w:spacing w:after="0" w:line="240" w:lineRule="auto"/>
              <w:ind w:left="0"/>
              <w:jc w:val="center"/>
              <w:rPr>
                <w:sz w:val="22"/>
                <w:lang w:val="en-GB"/>
              </w:rPr>
            </w:pPr>
            <w:r w:rsidRPr="002A3533">
              <w:rPr>
                <w:b/>
                <w:sz w:val="22"/>
                <w:lang w:val="en-GB"/>
              </w:rPr>
              <w:t>(Percent of Patients)</w:t>
            </w:r>
          </w:p>
          <w:p w14:paraId="63457205" w14:textId="77777777" w:rsidR="00AB3BE8" w:rsidRPr="002A3533" w:rsidRDefault="00AB3BE8" w:rsidP="00A6206B">
            <w:pPr>
              <w:pStyle w:val="BodyText30"/>
              <w:keepNext/>
              <w:tabs>
                <w:tab w:val="clear" w:pos="1152"/>
                <w:tab w:val="clear" w:pos="1872"/>
              </w:tabs>
              <w:spacing w:after="0" w:line="240" w:lineRule="auto"/>
              <w:ind w:left="0"/>
              <w:jc w:val="center"/>
              <w:rPr>
                <w:b/>
                <w:sz w:val="22"/>
                <w:lang w:val="en-GB"/>
              </w:rPr>
            </w:pPr>
          </w:p>
        </w:tc>
      </w:tr>
      <w:tr w:rsidR="00C6578C" w14:paraId="14389F5E" w14:textId="77777777" w:rsidTr="00A6206B">
        <w:trPr>
          <w:cantSplit/>
        </w:trPr>
        <w:tc>
          <w:tcPr>
            <w:tcW w:w="1186" w:type="dxa"/>
            <w:tcBorders>
              <w:top w:val="single" w:sz="6" w:space="0" w:color="auto"/>
              <w:right w:val="single" w:sz="6" w:space="0" w:color="auto"/>
            </w:tcBorders>
          </w:tcPr>
          <w:p w14:paraId="396E8AD7" w14:textId="77777777" w:rsidR="00AB3BE8" w:rsidRPr="002A3533" w:rsidRDefault="00944B8F" w:rsidP="00A6206B">
            <w:pPr>
              <w:pStyle w:val="In-texttable"/>
              <w:spacing w:line="240" w:lineRule="auto"/>
              <w:rPr>
                <w:rFonts w:ascii="Times New Roman" w:hAnsi="Times New Roman"/>
                <w:sz w:val="22"/>
              </w:rPr>
            </w:pPr>
            <w:r w:rsidRPr="002A3533">
              <w:rPr>
                <w:rFonts w:ascii="Times New Roman" w:hAnsi="Times New Roman"/>
                <w:sz w:val="22"/>
              </w:rPr>
              <w:t>Response</w:t>
            </w:r>
          </w:p>
        </w:tc>
        <w:tc>
          <w:tcPr>
            <w:tcW w:w="2684" w:type="dxa"/>
            <w:gridSpan w:val="2"/>
            <w:tcBorders>
              <w:top w:val="single" w:sz="6" w:space="0" w:color="auto"/>
              <w:left w:val="single" w:sz="6" w:space="0" w:color="auto"/>
              <w:bottom w:val="single" w:sz="6" w:space="0" w:color="auto"/>
              <w:right w:val="single" w:sz="6" w:space="0" w:color="auto"/>
            </w:tcBorders>
          </w:tcPr>
          <w:p w14:paraId="60D132BE" w14:textId="77777777" w:rsidR="00AB3BE8" w:rsidRPr="002A3533" w:rsidRDefault="00944B8F" w:rsidP="00A6206B">
            <w:pPr>
              <w:pStyle w:val="In-texttable"/>
              <w:spacing w:line="240" w:lineRule="auto"/>
              <w:jc w:val="center"/>
              <w:rPr>
                <w:rFonts w:ascii="Times New Roman" w:hAnsi="Times New Roman"/>
                <w:sz w:val="22"/>
              </w:rPr>
            </w:pPr>
            <w:r w:rsidRPr="002A3533">
              <w:rPr>
                <w:rFonts w:ascii="Times New Roman" w:hAnsi="Times New Roman"/>
                <w:sz w:val="22"/>
              </w:rPr>
              <w:t>RA Study I</w:t>
            </w:r>
            <w:r w:rsidRPr="002A3533">
              <w:rPr>
                <w:rFonts w:ascii="Times New Roman" w:hAnsi="Times New Roman"/>
                <w:sz w:val="22"/>
                <w:vertAlign w:val="superscript"/>
              </w:rPr>
              <w:t>a</w:t>
            </w:r>
            <w:r w:rsidRPr="002A3533">
              <w:rPr>
                <w:rFonts w:ascii="Times New Roman" w:hAnsi="Times New Roman"/>
                <w:sz w:val="22"/>
              </w:rPr>
              <w:t>**</w:t>
            </w:r>
          </w:p>
        </w:tc>
        <w:tc>
          <w:tcPr>
            <w:tcW w:w="2561" w:type="dxa"/>
            <w:gridSpan w:val="2"/>
            <w:tcBorders>
              <w:top w:val="single" w:sz="6" w:space="0" w:color="auto"/>
              <w:left w:val="single" w:sz="6" w:space="0" w:color="auto"/>
              <w:bottom w:val="single" w:sz="6" w:space="0" w:color="auto"/>
              <w:right w:val="single" w:sz="6" w:space="0" w:color="auto"/>
            </w:tcBorders>
          </w:tcPr>
          <w:p w14:paraId="54949EA7" w14:textId="77777777" w:rsidR="00AB3BE8" w:rsidRPr="002A3533" w:rsidRDefault="00944B8F" w:rsidP="00A6206B">
            <w:pPr>
              <w:pStyle w:val="In-texttable"/>
              <w:spacing w:line="240" w:lineRule="auto"/>
              <w:jc w:val="center"/>
              <w:rPr>
                <w:rFonts w:ascii="Times New Roman" w:hAnsi="Times New Roman"/>
                <w:sz w:val="22"/>
              </w:rPr>
            </w:pPr>
            <w:r w:rsidRPr="002A3533">
              <w:rPr>
                <w:rFonts w:ascii="Times New Roman" w:hAnsi="Times New Roman"/>
                <w:sz w:val="22"/>
              </w:rPr>
              <w:t>RA Study II</w:t>
            </w:r>
            <w:r w:rsidRPr="002A3533">
              <w:rPr>
                <w:rFonts w:ascii="Times New Roman" w:hAnsi="Times New Roman"/>
                <w:sz w:val="22"/>
                <w:vertAlign w:val="superscript"/>
              </w:rPr>
              <w:t>a</w:t>
            </w:r>
            <w:r w:rsidRPr="002A3533">
              <w:rPr>
                <w:rFonts w:ascii="Times New Roman" w:hAnsi="Times New Roman"/>
                <w:sz w:val="22"/>
              </w:rPr>
              <w:t>**</w:t>
            </w:r>
          </w:p>
        </w:tc>
        <w:tc>
          <w:tcPr>
            <w:tcW w:w="2693" w:type="dxa"/>
            <w:gridSpan w:val="2"/>
            <w:tcBorders>
              <w:top w:val="single" w:sz="6" w:space="0" w:color="auto"/>
              <w:left w:val="single" w:sz="6" w:space="0" w:color="auto"/>
              <w:bottom w:val="single" w:sz="6" w:space="0" w:color="auto"/>
            </w:tcBorders>
          </w:tcPr>
          <w:p w14:paraId="649761A1" w14:textId="77777777" w:rsidR="00AB3BE8" w:rsidRPr="002A3533" w:rsidRDefault="00944B8F" w:rsidP="00A6206B">
            <w:pPr>
              <w:pStyle w:val="In-texttable"/>
              <w:spacing w:line="240" w:lineRule="auto"/>
              <w:jc w:val="center"/>
              <w:rPr>
                <w:rFonts w:ascii="Times New Roman" w:hAnsi="Times New Roman"/>
                <w:sz w:val="22"/>
              </w:rPr>
            </w:pPr>
            <w:r w:rsidRPr="002A3533">
              <w:rPr>
                <w:rFonts w:ascii="Times New Roman" w:hAnsi="Times New Roman"/>
                <w:sz w:val="22"/>
              </w:rPr>
              <w:t>RA Study III</w:t>
            </w:r>
            <w:r w:rsidRPr="002A3533">
              <w:rPr>
                <w:rFonts w:ascii="Times New Roman" w:hAnsi="Times New Roman"/>
                <w:sz w:val="22"/>
                <w:vertAlign w:val="superscript"/>
              </w:rPr>
              <w:t>a</w:t>
            </w:r>
            <w:r w:rsidRPr="002A3533">
              <w:rPr>
                <w:rFonts w:ascii="Times New Roman" w:hAnsi="Times New Roman"/>
                <w:sz w:val="22"/>
              </w:rPr>
              <w:t>**</w:t>
            </w:r>
          </w:p>
          <w:p w14:paraId="1E894C16" w14:textId="77777777" w:rsidR="00AB3BE8" w:rsidRPr="002A3533" w:rsidRDefault="00AB3BE8" w:rsidP="00A6206B">
            <w:pPr>
              <w:pStyle w:val="In-texttable"/>
              <w:spacing w:line="240" w:lineRule="auto"/>
              <w:jc w:val="center"/>
              <w:rPr>
                <w:rFonts w:ascii="Times New Roman" w:hAnsi="Times New Roman"/>
                <w:sz w:val="22"/>
              </w:rPr>
            </w:pPr>
          </w:p>
        </w:tc>
      </w:tr>
      <w:tr w:rsidR="00C6578C" w14:paraId="5FC085E6" w14:textId="77777777" w:rsidTr="00A6206B">
        <w:trPr>
          <w:cantSplit/>
        </w:trPr>
        <w:tc>
          <w:tcPr>
            <w:tcW w:w="1186" w:type="dxa"/>
            <w:tcBorders>
              <w:bottom w:val="single" w:sz="6" w:space="0" w:color="auto"/>
              <w:right w:val="single" w:sz="6" w:space="0" w:color="auto"/>
            </w:tcBorders>
          </w:tcPr>
          <w:p w14:paraId="5B46958A" w14:textId="77777777" w:rsidR="00AB3BE8" w:rsidRPr="002A3533" w:rsidRDefault="00AB3BE8" w:rsidP="00A6206B">
            <w:pPr>
              <w:pStyle w:val="In-texttable"/>
              <w:spacing w:line="240" w:lineRule="auto"/>
              <w:rPr>
                <w:rFonts w:ascii="Times New Roman" w:hAnsi="Times New Roman"/>
                <w:sz w:val="22"/>
              </w:rPr>
            </w:pPr>
          </w:p>
        </w:tc>
        <w:tc>
          <w:tcPr>
            <w:tcW w:w="1134" w:type="dxa"/>
            <w:tcBorders>
              <w:top w:val="single" w:sz="6" w:space="0" w:color="auto"/>
              <w:left w:val="single" w:sz="6" w:space="0" w:color="auto"/>
              <w:bottom w:val="single" w:sz="6" w:space="0" w:color="auto"/>
            </w:tcBorders>
          </w:tcPr>
          <w:p w14:paraId="3DE3B868" w14:textId="77777777" w:rsidR="00AB3BE8" w:rsidRPr="002A3533" w:rsidRDefault="00944B8F" w:rsidP="00A6206B">
            <w:pPr>
              <w:pStyle w:val="In-texttable"/>
              <w:spacing w:line="240" w:lineRule="auto"/>
              <w:jc w:val="center"/>
              <w:rPr>
                <w:rFonts w:ascii="Times New Roman" w:hAnsi="Times New Roman"/>
                <w:sz w:val="22"/>
              </w:rPr>
            </w:pPr>
            <w:r w:rsidRPr="002A3533">
              <w:rPr>
                <w:rFonts w:ascii="Times New Roman" w:hAnsi="Times New Roman"/>
                <w:sz w:val="22"/>
              </w:rPr>
              <w:t>Placebo/ MTX</w:t>
            </w:r>
            <w:r w:rsidRPr="002A3533">
              <w:rPr>
                <w:rFonts w:ascii="Times New Roman" w:hAnsi="Times New Roman"/>
                <w:sz w:val="22"/>
                <w:vertAlign w:val="superscript"/>
              </w:rPr>
              <w:t>c</w:t>
            </w:r>
          </w:p>
          <w:p w14:paraId="64264F7C" w14:textId="77777777" w:rsidR="00AB3BE8" w:rsidRPr="002A3533" w:rsidRDefault="00944B8F" w:rsidP="00A6206B">
            <w:pPr>
              <w:pStyle w:val="In-texttable"/>
              <w:spacing w:line="240" w:lineRule="auto"/>
              <w:jc w:val="center"/>
              <w:rPr>
                <w:rFonts w:ascii="Times New Roman" w:hAnsi="Times New Roman"/>
                <w:sz w:val="22"/>
              </w:rPr>
            </w:pPr>
            <w:r w:rsidRPr="002A3533">
              <w:rPr>
                <w:rFonts w:ascii="Times New Roman" w:hAnsi="Times New Roman"/>
                <w:sz w:val="22"/>
              </w:rPr>
              <w:t>n=60</w:t>
            </w:r>
          </w:p>
        </w:tc>
        <w:tc>
          <w:tcPr>
            <w:tcW w:w="1550" w:type="dxa"/>
            <w:tcBorders>
              <w:top w:val="single" w:sz="6" w:space="0" w:color="auto"/>
              <w:bottom w:val="single" w:sz="6" w:space="0" w:color="auto"/>
              <w:right w:val="single" w:sz="6" w:space="0" w:color="auto"/>
            </w:tcBorders>
          </w:tcPr>
          <w:p w14:paraId="2CC442DB" w14:textId="77777777" w:rsidR="00AB3BE8" w:rsidRPr="002A3533" w:rsidRDefault="00944B8F" w:rsidP="00A6206B">
            <w:pPr>
              <w:pStyle w:val="In-texttable"/>
              <w:spacing w:line="240" w:lineRule="auto"/>
              <w:jc w:val="center"/>
              <w:rPr>
                <w:rFonts w:ascii="Times New Roman" w:hAnsi="Times New Roman"/>
                <w:sz w:val="22"/>
              </w:rPr>
            </w:pPr>
            <w:r w:rsidRPr="002A3533">
              <w:rPr>
                <w:rFonts w:ascii="Times New Roman" w:hAnsi="Times New Roman"/>
                <w:sz w:val="22"/>
              </w:rPr>
              <w:t>Humira</w:t>
            </w:r>
            <w:r w:rsidRPr="002A3533">
              <w:rPr>
                <w:rFonts w:ascii="Times New Roman" w:hAnsi="Times New Roman"/>
                <w:sz w:val="22"/>
                <w:vertAlign w:val="superscript"/>
              </w:rPr>
              <w:t>b</w:t>
            </w:r>
            <w:r w:rsidRPr="002A3533">
              <w:rPr>
                <w:rFonts w:ascii="Times New Roman" w:hAnsi="Times New Roman"/>
                <w:sz w:val="22"/>
              </w:rPr>
              <w:t>/ MTX</w:t>
            </w:r>
            <w:r w:rsidRPr="002A3533">
              <w:rPr>
                <w:rFonts w:ascii="Times New Roman" w:hAnsi="Times New Roman"/>
                <w:sz w:val="22"/>
                <w:vertAlign w:val="superscript"/>
              </w:rPr>
              <w:t>c</w:t>
            </w:r>
          </w:p>
          <w:p w14:paraId="00459A3D" w14:textId="77777777" w:rsidR="00AB3BE8" w:rsidRPr="002A3533" w:rsidRDefault="00944B8F" w:rsidP="00A6206B">
            <w:pPr>
              <w:pStyle w:val="In-texttable"/>
              <w:spacing w:line="240" w:lineRule="auto"/>
              <w:jc w:val="center"/>
              <w:rPr>
                <w:rFonts w:ascii="Times New Roman" w:hAnsi="Times New Roman"/>
                <w:sz w:val="22"/>
                <w:lang w:val="fr-FR"/>
              </w:rPr>
            </w:pPr>
            <w:r w:rsidRPr="002A3533">
              <w:rPr>
                <w:rFonts w:ascii="Times New Roman" w:hAnsi="Times New Roman"/>
                <w:sz w:val="22"/>
                <w:lang w:val="fr-FR"/>
              </w:rPr>
              <w:t>n=63</w:t>
            </w:r>
          </w:p>
        </w:tc>
        <w:tc>
          <w:tcPr>
            <w:tcW w:w="1285" w:type="dxa"/>
            <w:tcBorders>
              <w:top w:val="single" w:sz="6" w:space="0" w:color="auto"/>
              <w:left w:val="single" w:sz="6" w:space="0" w:color="auto"/>
              <w:bottom w:val="single" w:sz="6" w:space="0" w:color="auto"/>
            </w:tcBorders>
          </w:tcPr>
          <w:p w14:paraId="093ABF00" w14:textId="77777777" w:rsidR="00AB3BE8" w:rsidRPr="002A3533" w:rsidRDefault="00944B8F" w:rsidP="00A6206B">
            <w:pPr>
              <w:pStyle w:val="In-texttable"/>
              <w:spacing w:line="240" w:lineRule="auto"/>
              <w:jc w:val="center"/>
              <w:rPr>
                <w:rFonts w:ascii="Times New Roman" w:hAnsi="Times New Roman"/>
                <w:sz w:val="22"/>
                <w:lang w:val="fr-FR"/>
              </w:rPr>
            </w:pPr>
            <w:r w:rsidRPr="002A3533">
              <w:rPr>
                <w:rFonts w:ascii="Times New Roman" w:hAnsi="Times New Roman"/>
                <w:sz w:val="22"/>
                <w:lang w:val="fr-FR"/>
              </w:rPr>
              <w:t>Placebo</w:t>
            </w:r>
          </w:p>
          <w:p w14:paraId="2DBE1641" w14:textId="77777777" w:rsidR="00AB3BE8" w:rsidRPr="002A3533" w:rsidRDefault="00944B8F" w:rsidP="00A6206B">
            <w:pPr>
              <w:pStyle w:val="In-texttable"/>
              <w:spacing w:line="240" w:lineRule="auto"/>
              <w:jc w:val="center"/>
              <w:rPr>
                <w:rFonts w:ascii="Times New Roman" w:hAnsi="Times New Roman"/>
                <w:sz w:val="22"/>
                <w:lang w:val="fr-FR"/>
              </w:rPr>
            </w:pPr>
            <w:r w:rsidRPr="002A3533">
              <w:rPr>
                <w:rFonts w:ascii="Times New Roman" w:hAnsi="Times New Roman"/>
                <w:sz w:val="22"/>
                <w:lang w:val="fr-FR"/>
              </w:rPr>
              <w:t>n=110</w:t>
            </w:r>
          </w:p>
        </w:tc>
        <w:tc>
          <w:tcPr>
            <w:tcW w:w="1276" w:type="dxa"/>
            <w:tcBorders>
              <w:top w:val="single" w:sz="6" w:space="0" w:color="auto"/>
              <w:bottom w:val="single" w:sz="6" w:space="0" w:color="auto"/>
              <w:right w:val="single" w:sz="6" w:space="0" w:color="auto"/>
            </w:tcBorders>
          </w:tcPr>
          <w:p w14:paraId="706886C1" w14:textId="77777777" w:rsidR="00AB3BE8" w:rsidRPr="002A3533" w:rsidRDefault="00944B8F" w:rsidP="00A6206B">
            <w:pPr>
              <w:pStyle w:val="In-texttable"/>
              <w:spacing w:line="240" w:lineRule="auto"/>
              <w:jc w:val="center"/>
              <w:rPr>
                <w:rFonts w:ascii="Times New Roman" w:hAnsi="Times New Roman"/>
                <w:sz w:val="22"/>
                <w:lang w:val="fr-FR"/>
              </w:rPr>
            </w:pPr>
            <w:r w:rsidRPr="002A3533">
              <w:rPr>
                <w:rFonts w:ascii="Times New Roman" w:hAnsi="Times New Roman"/>
                <w:sz w:val="22"/>
                <w:lang w:val="fr-FR"/>
              </w:rPr>
              <w:t>Humira</w:t>
            </w:r>
            <w:r w:rsidRPr="002A3533">
              <w:rPr>
                <w:rFonts w:ascii="Times New Roman" w:hAnsi="Times New Roman"/>
                <w:sz w:val="22"/>
                <w:vertAlign w:val="superscript"/>
                <w:lang w:val="fr-FR"/>
              </w:rPr>
              <w:t>b</w:t>
            </w:r>
          </w:p>
          <w:p w14:paraId="7506922F" w14:textId="77777777" w:rsidR="00AB3BE8" w:rsidRPr="002A3533" w:rsidRDefault="00944B8F" w:rsidP="00A6206B">
            <w:pPr>
              <w:pStyle w:val="In-texttable"/>
              <w:spacing w:line="240" w:lineRule="auto"/>
              <w:jc w:val="center"/>
              <w:rPr>
                <w:rFonts w:ascii="Times New Roman" w:hAnsi="Times New Roman"/>
                <w:sz w:val="22"/>
                <w:lang w:val="fr-FR"/>
              </w:rPr>
            </w:pPr>
            <w:r w:rsidRPr="002A3533">
              <w:rPr>
                <w:rFonts w:ascii="Times New Roman" w:hAnsi="Times New Roman"/>
                <w:sz w:val="22"/>
                <w:lang w:val="fr-FR"/>
              </w:rPr>
              <w:t>n=113</w:t>
            </w:r>
          </w:p>
        </w:tc>
        <w:tc>
          <w:tcPr>
            <w:tcW w:w="1276" w:type="dxa"/>
            <w:tcBorders>
              <w:top w:val="single" w:sz="6" w:space="0" w:color="auto"/>
              <w:left w:val="single" w:sz="6" w:space="0" w:color="auto"/>
              <w:bottom w:val="single" w:sz="6" w:space="0" w:color="auto"/>
            </w:tcBorders>
          </w:tcPr>
          <w:p w14:paraId="1823053F" w14:textId="77777777" w:rsidR="00AB3BE8" w:rsidRPr="002A3533" w:rsidRDefault="00944B8F" w:rsidP="00A6206B">
            <w:pPr>
              <w:pStyle w:val="In-texttable"/>
              <w:spacing w:line="240" w:lineRule="auto"/>
              <w:jc w:val="center"/>
              <w:rPr>
                <w:rFonts w:ascii="Times New Roman" w:hAnsi="Times New Roman"/>
                <w:sz w:val="22"/>
                <w:lang w:val="fr-FR"/>
              </w:rPr>
            </w:pPr>
            <w:r w:rsidRPr="002A3533">
              <w:rPr>
                <w:rFonts w:ascii="Times New Roman" w:hAnsi="Times New Roman"/>
                <w:sz w:val="22"/>
                <w:lang w:val="fr-FR"/>
              </w:rPr>
              <w:t>Placebo/ MTX</w:t>
            </w:r>
            <w:r w:rsidRPr="002A3533">
              <w:rPr>
                <w:rFonts w:ascii="Times New Roman" w:hAnsi="Times New Roman"/>
                <w:sz w:val="22"/>
                <w:vertAlign w:val="superscript"/>
                <w:lang w:val="fr-FR"/>
              </w:rPr>
              <w:t>c</w:t>
            </w:r>
          </w:p>
          <w:p w14:paraId="128CF238" w14:textId="77777777" w:rsidR="00AB3BE8" w:rsidRPr="002A3533" w:rsidRDefault="00944B8F" w:rsidP="00A6206B">
            <w:pPr>
              <w:pStyle w:val="In-texttable"/>
              <w:spacing w:line="240" w:lineRule="auto"/>
              <w:jc w:val="center"/>
              <w:rPr>
                <w:rFonts w:ascii="Times New Roman" w:hAnsi="Times New Roman"/>
                <w:sz w:val="22"/>
                <w:lang w:val="fr-FR"/>
              </w:rPr>
            </w:pPr>
            <w:r w:rsidRPr="002A3533">
              <w:rPr>
                <w:rFonts w:ascii="Times New Roman" w:hAnsi="Times New Roman"/>
                <w:sz w:val="22"/>
                <w:lang w:val="fr-FR"/>
              </w:rPr>
              <w:t>n=200</w:t>
            </w:r>
          </w:p>
        </w:tc>
        <w:tc>
          <w:tcPr>
            <w:tcW w:w="1417" w:type="dxa"/>
            <w:tcBorders>
              <w:top w:val="single" w:sz="6" w:space="0" w:color="auto"/>
              <w:bottom w:val="single" w:sz="6" w:space="0" w:color="auto"/>
            </w:tcBorders>
          </w:tcPr>
          <w:p w14:paraId="443507E4" w14:textId="77777777" w:rsidR="00AB3BE8" w:rsidRPr="002A3533" w:rsidRDefault="00944B8F" w:rsidP="00A6206B">
            <w:pPr>
              <w:pStyle w:val="In-texttable"/>
              <w:spacing w:line="240" w:lineRule="auto"/>
              <w:jc w:val="center"/>
              <w:rPr>
                <w:rFonts w:ascii="Times New Roman" w:hAnsi="Times New Roman"/>
                <w:sz w:val="22"/>
                <w:lang w:val="fr-FR"/>
              </w:rPr>
            </w:pPr>
            <w:r w:rsidRPr="002A3533">
              <w:rPr>
                <w:rFonts w:ascii="Times New Roman" w:hAnsi="Times New Roman"/>
                <w:sz w:val="22"/>
                <w:lang w:val="fr-FR"/>
              </w:rPr>
              <w:t>Humira</w:t>
            </w:r>
            <w:r w:rsidRPr="002A3533">
              <w:rPr>
                <w:rFonts w:ascii="Times New Roman" w:hAnsi="Times New Roman"/>
                <w:sz w:val="22"/>
                <w:vertAlign w:val="superscript"/>
                <w:lang w:val="fr-FR"/>
              </w:rPr>
              <w:t>b</w:t>
            </w:r>
            <w:r w:rsidRPr="002A3533">
              <w:rPr>
                <w:rFonts w:ascii="Times New Roman" w:hAnsi="Times New Roman"/>
                <w:sz w:val="22"/>
                <w:lang w:val="fr-FR"/>
              </w:rPr>
              <w:t>/ MTX</w:t>
            </w:r>
            <w:r w:rsidRPr="002A3533">
              <w:rPr>
                <w:rFonts w:ascii="Times New Roman" w:hAnsi="Times New Roman"/>
                <w:sz w:val="22"/>
                <w:vertAlign w:val="superscript"/>
                <w:lang w:val="fr-FR"/>
              </w:rPr>
              <w:t>c</w:t>
            </w:r>
          </w:p>
          <w:p w14:paraId="417C7C7C" w14:textId="77777777" w:rsidR="00AB3BE8" w:rsidRPr="002A3533" w:rsidRDefault="00944B8F" w:rsidP="00A6206B">
            <w:pPr>
              <w:pStyle w:val="In-texttable"/>
              <w:spacing w:line="240" w:lineRule="auto"/>
              <w:jc w:val="center"/>
              <w:rPr>
                <w:rFonts w:ascii="Times New Roman" w:hAnsi="Times New Roman"/>
                <w:sz w:val="22"/>
              </w:rPr>
            </w:pPr>
            <w:r w:rsidRPr="002A3533">
              <w:rPr>
                <w:rFonts w:ascii="Times New Roman" w:hAnsi="Times New Roman"/>
                <w:sz w:val="22"/>
              </w:rPr>
              <w:t>n=207</w:t>
            </w:r>
          </w:p>
        </w:tc>
      </w:tr>
      <w:tr w:rsidR="00C6578C" w14:paraId="410A8978" w14:textId="77777777" w:rsidTr="00A6206B">
        <w:trPr>
          <w:cantSplit/>
        </w:trPr>
        <w:tc>
          <w:tcPr>
            <w:tcW w:w="1186" w:type="dxa"/>
            <w:tcBorders>
              <w:right w:val="single" w:sz="6" w:space="0" w:color="auto"/>
            </w:tcBorders>
          </w:tcPr>
          <w:p w14:paraId="77DDB51F" w14:textId="77777777" w:rsidR="00AB3BE8" w:rsidRPr="002A3533" w:rsidRDefault="00944B8F" w:rsidP="00A6206B">
            <w:pPr>
              <w:pStyle w:val="In-texttable"/>
              <w:tabs>
                <w:tab w:val="left" w:pos="144"/>
              </w:tabs>
              <w:spacing w:line="240" w:lineRule="auto"/>
              <w:rPr>
                <w:rFonts w:ascii="Times New Roman" w:hAnsi="Times New Roman"/>
                <w:sz w:val="22"/>
              </w:rPr>
            </w:pPr>
            <w:r w:rsidRPr="002A3533">
              <w:rPr>
                <w:rFonts w:ascii="Times New Roman" w:hAnsi="Times New Roman"/>
                <w:sz w:val="22"/>
              </w:rPr>
              <w:t>ACR 20</w:t>
            </w:r>
          </w:p>
        </w:tc>
        <w:tc>
          <w:tcPr>
            <w:tcW w:w="1134" w:type="dxa"/>
            <w:tcBorders>
              <w:left w:val="single" w:sz="6" w:space="0" w:color="auto"/>
            </w:tcBorders>
          </w:tcPr>
          <w:p w14:paraId="0F7A6E09" w14:textId="77777777" w:rsidR="00AB3BE8" w:rsidRPr="002A3533" w:rsidRDefault="00AB3BE8" w:rsidP="00A6206B">
            <w:pPr>
              <w:pStyle w:val="In-texttable"/>
              <w:spacing w:line="240" w:lineRule="auto"/>
              <w:rPr>
                <w:rFonts w:ascii="Times New Roman" w:hAnsi="Times New Roman"/>
                <w:sz w:val="22"/>
              </w:rPr>
            </w:pPr>
          </w:p>
        </w:tc>
        <w:tc>
          <w:tcPr>
            <w:tcW w:w="1550" w:type="dxa"/>
            <w:tcBorders>
              <w:right w:val="single" w:sz="6" w:space="0" w:color="auto"/>
            </w:tcBorders>
          </w:tcPr>
          <w:p w14:paraId="66DC07D7" w14:textId="77777777" w:rsidR="00AB3BE8" w:rsidRPr="002A3533" w:rsidRDefault="00AB3BE8" w:rsidP="00A6206B">
            <w:pPr>
              <w:pStyle w:val="In-texttable"/>
              <w:spacing w:line="240" w:lineRule="auto"/>
              <w:rPr>
                <w:rFonts w:ascii="Times New Roman" w:hAnsi="Times New Roman"/>
                <w:sz w:val="22"/>
              </w:rPr>
            </w:pPr>
          </w:p>
        </w:tc>
        <w:tc>
          <w:tcPr>
            <w:tcW w:w="1285" w:type="dxa"/>
            <w:tcBorders>
              <w:left w:val="single" w:sz="6" w:space="0" w:color="auto"/>
            </w:tcBorders>
          </w:tcPr>
          <w:p w14:paraId="2225A244" w14:textId="77777777" w:rsidR="00AB3BE8" w:rsidRPr="002A3533" w:rsidRDefault="00AB3BE8" w:rsidP="00A6206B">
            <w:pPr>
              <w:pStyle w:val="In-texttable"/>
              <w:spacing w:line="240" w:lineRule="auto"/>
              <w:rPr>
                <w:rFonts w:ascii="Times New Roman" w:hAnsi="Times New Roman"/>
                <w:sz w:val="22"/>
              </w:rPr>
            </w:pPr>
          </w:p>
        </w:tc>
        <w:tc>
          <w:tcPr>
            <w:tcW w:w="1276" w:type="dxa"/>
            <w:tcBorders>
              <w:right w:val="single" w:sz="6" w:space="0" w:color="auto"/>
            </w:tcBorders>
          </w:tcPr>
          <w:p w14:paraId="18CED868" w14:textId="77777777" w:rsidR="00AB3BE8" w:rsidRPr="002A3533" w:rsidRDefault="00AB3BE8" w:rsidP="00A6206B">
            <w:pPr>
              <w:pStyle w:val="In-texttable"/>
              <w:spacing w:line="240" w:lineRule="auto"/>
              <w:rPr>
                <w:rFonts w:ascii="Times New Roman" w:hAnsi="Times New Roman"/>
                <w:sz w:val="22"/>
              </w:rPr>
            </w:pPr>
          </w:p>
        </w:tc>
        <w:tc>
          <w:tcPr>
            <w:tcW w:w="1276" w:type="dxa"/>
            <w:tcBorders>
              <w:top w:val="single" w:sz="6" w:space="0" w:color="auto"/>
              <w:left w:val="single" w:sz="6" w:space="0" w:color="auto"/>
            </w:tcBorders>
          </w:tcPr>
          <w:p w14:paraId="5250CF1E" w14:textId="77777777" w:rsidR="00AB3BE8" w:rsidRPr="002A3533" w:rsidRDefault="00AB3BE8" w:rsidP="00A6206B">
            <w:pPr>
              <w:pStyle w:val="In-texttable"/>
              <w:spacing w:line="240" w:lineRule="auto"/>
              <w:rPr>
                <w:rFonts w:ascii="Times New Roman" w:hAnsi="Times New Roman"/>
                <w:sz w:val="22"/>
              </w:rPr>
            </w:pPr>
          </w:p>
        </w:tc>
        <w:tc>
          <w:tcPr>
            <w:tcW w:w="1417" w:type="dxa"/>
            <w:tcBorders>
              <w:top w:val="single" w:sz="6" w:space="0" w:color="auto"/>
            </w:tcBorders>
          </w:tcPr>
          <w:p w14:paraId="01269ABA" w14:textId="77777777" w:rsidR="00AB3BE8" w:rsidRPr="002A3533" w:rsidRDefault="00AB3BE8" w:rsidP="00A6206B">
            <w:pPr>
              <w:pStyle w:val="In-texttable"/>
              <w:spacing w:line="240" w:lineRule="auto"/>
              <w:rPr>
                <w:rFonts w:ascii="Times New Roman" w:hAnsi="Times New Roman"/>
                <w:sz w:val="22"/>
              </w:rPr>
            </w:pPr>
          </w:p>
        </w:tc>
      </w:tr>
      <w:tr w:rsidR="00C6578C" w14:paraId="17E93E8C" w14:textId="77777777" w:rsidTr="00A6206B">
        <w:trPr>
          <w:cantSplit/>
        </w:trPr>
        <w:tc>
          <w:tcPr>
            <w:tcW w:w="1186" w:type="dxa"/>
            <w:tcBorders>
              <w:right w:val="single" w:sz="6" w:space="0" w:color="auto"/>
            </w:tcBorders>
          </w:tcPr>
          <w:p w14:paraId="4C488767" w14:textId="77777777" w:rsidR="00AB3BE8" w:rsidRPr="002A3533" w:rsidRDefault="00944B8F" w:rsidP="00A6206B">
            <w:pPr>
              <w:pStyle w:val="In-texttable"/>
              <w:tabs>
                <w:tab w:val="left" w:pos="144"/>
              </w:tabs>
              <w:spacing w:line="240" w:lineRule="auto"/>
              <w:rPr>
                <w:rFonts w:ascii="Times New Roman" w:hAnsi="Times New Roman"/>
                <w:sz w:val="22"/>
              </w:rPr>
            </w:pPr>
            <w:r w:rsidRPr="002A3533">
              <w:rPr>
                <w:rFonts w:ascii="Times New Roman" w:hAnsi="Times New Roman"/>
                <w:sz w:val="22"/>
              </w:rPr>
              <w:tab/>
              <w:t>6 months</w:t>
            </w:r>
          </w:p>
        </w:tc>
        <w:tc>
          <w:tcPr>
            <w:tcW w:w="1134" w:type="dxa"/>
            <w:tcBorders>
              <w:left w:val="single" w:sz="6" w:space="0" w:color="auto"/>
            </w:tcBorders>
          </w:tcPr>
          <w:p w14:paraId="157F5250" w14:textId="77777777" w:rsidR="00AB3BE8" w:rsidRPr="002A3533" w:rsidRDefault="00944B8F" w:rsidP="00A6206B">
            <w:pPr>
              <w:pStyle w:val="In-texttable"/>
              <w:spacing w:line="240" w:lineRule="auto"/>
              <w:jc w:val="center"/>
              <w:rPr>
                <w:rFonts w:ascii="Times New Roman" w:hAnsi="Times New Roman"/>
                <w:sz w:val="22"/>
              </w:rPr>
            </w:pPr>
            <w:r w:rsidRPr="002A3533">
              <w:rPr>
                <w:rFonts w:ascii="Times New Roman" w:hAnsi="Times New Roman"/>
                <w:sz w:val="22"/>
              </w:rPr>
              <w:t>13.3%</w:t>
            </w:r>
          </w:p>
        </w:tc>
        <w:tc>
          <w:tcPr>
            <w:tcW w:w="1550" w:type="dxa"/>
            <w:tcBorders>
              <w:right w:val="single" w:sz="6" w:space="0" w:color="auto"/>
            </w:tcBorders>
          </w:tcPr>
          <w:p w14:paraId="50857D03" w14:textId="77777777" w:rsidR="00AB3BE8" w:rsidRPr="002A3533" w:rsidRDefault="00944B8F" w:rsidP="00A6206B">
            <w:pPr>
              <w:pStyle w:val="In-texttable"/>
              <w:spacing w:line="240" w:lineRule="auto"/>
              <w:jc w:val="center"/>
              <w:rPr>
                <w:rFonts w:ascii="Times New Roman" w:hAnsi="Times New Roman"/>
                <w:sz w:val="22"/>
              </w:rPr>
            </w:pPr>
            <w:r w:rsidRPr="002A3533">
              <w:rPr>
                <w:rFonts w:ascii="Times New Roman" w:hAnsi="Times New Roman"/>
                <w:sz w:val="22"/>
              </w:rPr>
              <w:t>65.1%</w:t>
            </w:r>
          </w:p>
        </w:tc>
        <w:tc>
          <w:tcPr>
            <w:tcW w:w="1285" w:type="dxa"/>
            <w:tcBorders>
              <w:left w:val="single" w:sz="6" w:space="0" w:color="auto"/>
            </w:tcBorders>
          </w:tcPr>
          <w:p w14:paraId="2C19AD8A" w14:textId="77777777" w:rsidR="00AB3BE8" w:rsidRPr="002A3533" w:rsidRDefault="00944B8F" w:rsidP="00A6206B">
            <w:pPr>
              <w:pStyle w:val="In-texttable"/>
              <w:spacing w:line="240" w:lineRule="auto"/>
              <w:jc w:val="center"/>
              <w:rPr>
                <w:rFonts w:ascii="Times New Roman" w:hAnsi="Times New Roman"/>
                <w:sz w:val="22"/>
              </w:rPr>
            </w:pPr>
            <w:r w:rsidRPr="002A3533">
              <w:rPr>
                <w:rFonts w:ascii="Times New Roman" w:hAnsi="Times New Roman"/>
                <w:sz w:val="22"/>
              </w:rPr>
              <w:t>19.1%</w:t>
            </w:r>
          </w:p>
        </w:tc>
        <w:tc>
          <w:tcPr>
            <w:tcW w:w="1276" w:type="dxa"/>
            <w:tcBorders>
              <w:right w:val="single" w:sz="6" w:space="0" w:color="auto"/>
            </w:tcBorders>
          </w:tcPr>
          <w:p w14:paraId="70234B9D" w14:textId="77777777" w:rsidR="00AB3BE8" w:rsidRPr="002A3533" w:rsidRDefault="00944B8F" w:rsidP="00A6206B">
            <w:pPr>
              <w:pStyle w:val="In-texttable"/>
              <w:spacing w:line="240" w:lineRule="auto"/>
              <w:jc w:val="center"/>
              <w:rPr>
                <w:rFonts w:ascii="Times New Roman" w:hAnsi="Times New Roman"/>
                <w:sz w:val="22"/>
              </w:rPr>
            </w:pPr>
            <w:r w:rsidRPr="002A3533">
              <w:rPr>
                <w:rFonts w:ascii="Times New Roman" w:hAnsi="Times New Roman"/>
                <w:sz w:val="22"/>
              </w:rPr>
              <w:t>46.0%</w:t>
            </w:r>
          </w:p>
        </w:tc>
        <w:tc>
          <w:tcPr>
            <w:tcW w:w="1276" w:type="dxa"/>
            <w:tcBorders>
              <w:left w:val="single" w:sz="6" w:space="0" w:color="auto"/>
            </w:tcBorders>
          </w:tcPr>
          <w:p w14:paraId="1518C6FD" w14:textId="77777777" w:rsidR="00AB3BE8" w:rsidRPr="002A3533" w:rsidRDefault="00944B8F" w:rsidP="00A6206B">
            <w:pPr>
              <w:pStyle w:val="In-texttable"/>
              <w:tabs>
                <w:tab w:val="decimal" w:pos="567"/>
              </w:tabs>
              <w:spacing w:line="240" w:lineRule="auto"/>
              <w:rPr>
                <w:rFonts w:ascii="Times New Roman" w:hAnsi="Times New Roman"/>
                <w:sz w:val="22"/>
              </w:rPr>
            </w:pPr>
            <w:r w:rsidRPr="002A3533">
              <w:rPr>
                <w:rFonts w:ascii="Times New Roman" w:hAnsi="Times New Roman"/>
                <w:sz w:val="22"/>
              </w:rPr>
              <w:t>29.5%</w:t>
            </w:r>
          </w:p>
        </w:tc>
        <w:tc>
          <w:tcPr>
            <w:tcW w:w="1417" w:type="dxa"/>
          </w:tcPr>
          <w:p w14:paraId="7296A29C" w14:textId="77777777" w:rsidR="00AB3BE8" w:rsidRPr="002A3533" w:rsidRDefault="00944B8F" w:rsidP="00A6206B">
            <w:pPr>
              <w:pStyle w:val="In-texttable"/>
              <w:tabs>
                <w:tab w:val="decimal" w:pos="662"/>
              </w:tabs>
              <w:spacing w:line="240" w:lineRule="auto"/>
              <w:rPr>
                <w:rFonts w:ascii="Times New Roman" w:hAnsi="Times New Roman"/>
                <w:sz w:val="22"/>
              </w:rPr>
            </w:pPr>
            <w:r w:rsidRPr="002A3533">
              <w:rPr>
                <w:rFonts w:ascii="Times New Roman" w:hAnsi="Times New Roman"/>
                <w:sz w:val="22"/>
              </w:rPr>
              <w:t>63.3%</w:t>
            </w:r>
          </w:p>
        </w:tc>
      </w:tr>
      <w:tr w:rsidR="00C6578C" w14:paraId="030DC766" w14:textId="77777777" w:rsidTr="00A6206B">
        <w:trPr>
          <w:cantSplit/>
        </w:trPr>
        <w:tc>
          <w:tcPr>
            <w:tcW w:w="1186" w:type="dxa"/>
            <w:tcBorders>
              <w:right w:val="single" w:sz="6" w:space="0" w:color="auto"/>
            </w:tcBorders>
          </w:tcPr>
          <w:p w14:paraId="6A114EB5" w14:textId="77777777" w:rsidR="00AB3BE8" w:rsidRPr="002A3533" w:rsidRDefault="00944B8F" w:rsidP="00A6206B">
            <w:pPr>
              <w:pStyle w:val="In-texttable"/>
              <w:tabs>
                <w:tab w:val="left" w:pos="144"/>
              </w:tabs>
              <w:spacing w:line="240" w:lineRule="auto"/>
              <w:rPr>
                <w:rFonts w:ascii="Times New Roman" w:hAnsi="Times New Roman"/>
                <w:sz w:val="22"/>
              </w:rPr>
            </w:pPr>
            <w:r w:rsidRPr="002A3533">
              <w:rPr>
                <w:rFonts w:ascii="Times New Roman" w:hAnsi="Times New Roman"/>
                <w:sz w:val="22"/>
              </w:rPr>
              <w:tab/>
              <w:t>12 months</w:t>
            </w:r>
          </w:p>
        </w:tc>
        <w:tc>
          <w:tcPr>
            <w:tcW w:w="1134" w:type="dxa"/>
            <w:tcBorders>
              <w:left w:val="single" w:sz="6" w:space="0" w:color="auto"/>
            </w:tcBorders>
          </w:tcPr>
          <w:p w14:paraId="35056B64" w14:textId="77777777" w:rsidR="00AB3BE8" w:rsidRPr="002A3533" w:rsidRDefault="00944B8F" w:rsidP="00A6206B">
            <w:pPr>
              <w:pStyle w:val="In-texttable"/>
              <w:spacing w:line="240" w:lineRule="auto"/>
              <w:jc w:val="center"/>
              <w:rPr>
                <w:rFonts w:ascii="Times New Roman" w:hAnsi="Times New Roman"/>
                <w:sz w:val="22"/>
              </w:rPr>
            </w:pPr>
            <w:r w:rsidRPr="002A3533">
              <w:rPr>
                <w:rFonts w:ascii="Times New Roman" w:hAnsi="Times New Roman"/>
                <w:sz w:val="22"/>
              </w:rPr>
              <w:t>NA</w:t>
            </w:r>
          </w:p>
        </w:tc>
        <w:tc>
          <w:tcPr>
            <w:tcW w:w="1550" w:type="dxa"/>
            <w:tcBorders>
              <w:right w:val="single" w:sz="6" w:space="0" w:color="auto"/>
            </w:tcBorders>
          </w:tcPr>
          <w:p w14:paraId="2BF5BBEA" w14:textId="77777777" w:rsidR="00AB3BE8" w:rsidRPr="002A3533" w:rsidRDefault="00944B8F" w:rsidP="00A6206B">
            <w:pPr>
              <w:pStyle w:val="In-texttable"/>
              <w:spacing w:line="240" w:lineRule="auto"/>
              <w:jc w:val="center"/>
              <w:rPr>
                <w:rFonts w:ascii="Times New Roman" w:hAnsi="Times New Roman"/>
                <w:sz w:val="22"/>
              </w:rPr>
            </w:pPr>
            <w:r w:rsidRPr="002A3533">
              <w:rPr>
                <w:rFonts w:ascii="Times New Roman" w:hAnsi="Times New Roman"/>
                <w:sz w:val="22"/>
              </w:rPr>
              <w:t>NA</w:t>
            </w:r>
          </w:p>
        </w:tc>
        <w:tc>
          <w:tcPr>
            <w:tcW w:w="1285" w:type="dxa"/>
            <w:tcBorders>
              <w:left w:val="single" w:sz="6" w:space="0" w:color="auto"/>
            </w:tcBorders>
          </w:tcPr>
          <w:p w14:paraId="0D36B8A8" w14:textId="77777777" w:rsidR="00AB3BE8" w:rsidRPr="002A3533" w:rsidRDefault="00944B8F" w:rsidP="00A6206B">
            <w:pPr>
              <w:pStyle w:val="In-texttable"/>
              <w:tabs>
                <w:tab w:val="decimal" w:pos="151"/>
              </w:tabs>
              <w:spacing w:line="240" w:lineRule="auto"/>
              <w:jc w:val="center"/>
              <w:rPr>
                <w:rFonts w:ascii="Times New Roman" w:hAnsi="Times New Roman"/>
                <w:sz w:val="22"/>
                <w:lang w:val="it-IT"/>
              </w:rPr>
            </w:pPr>
            <w:r w:rsidRPr="002A3533">
              <w:rPr>
                <w:rFonts w:ascii="Times New Roman" w:hAnsi="Times New Roman"/>
                <w:sz w:val="22"/>
                <w:lang w:val="it-IT"/>
              </w:rPr>
              <w:t>NA</w:t>
            </w:r>
          </w:p>
        </w:tc>
        <w:tc>
          <w:tcPr>
            <w:tcW w:w="1276" w:type="dxa"/>
            <w:tcBorders>
              <w:right w:val="single" w:sz="6" w:space="0" w:color="auto"/>
            </w:tcBorders>
          </w:tcPr>
          <w:p w14:paraId="0756C4CD" w14:textId="77777777" w:rsidR="00AB3BE8" w:rsidRPr="002A3533" w:rsidRDefault="00944B8F" w:rsidP="00A6206B">
            <w:pPr>
              <w:pStyle w:val="In-texttable"/>
              <w:spacing w:line="240" w:lineRule="auto"/>
              <w:jc w:val="center"/>
              <w:rPr>
                <w:rFonts w:ascii="Times New Roman" w:hAnsi="Times New Roman"/>
                <w:sz w:val="22"/>
                <w:lang w:val="it-IT"/>
              </w:rPr>
            </w:pPr>
            <w:r w:rsidRPr="002A3533">
              <w:rPr>
                <w:rFonts w:ascii="Times New Roman" w:hAnsi="Times New Roman"/>
                <w:sz w:val="22"/>
                <w:lang w:val="it-IT"/>
              </w:rPr>
              <w:t>NA</w:t>
            </w:r>
          </w:p>
        </w:tc>
        <w:tc>
          <w:tcPr>
            <w:tcW w:w="1276" w:type="dxa"/>
            <w:tcBorders>
              <w:left w:val="single" w:sz="6" w:space="0" w:color="auto"/>
            </w:tcBorders>
          </w:tcPr>
          <w:p w14:paraId="26C88FB1" w14:textId="77777777" w:rsidR="00AB3BE8" w:rsidRPr="002A3533" w:rsidRDefault="00944B8F" w:rsidP="00A6206B">
            <w:pPr>
              <w:pStyle w:val="In-texttable"/>
              <w:tabs>
                <w:tab w:val="decimal" w:pos="567"/>
              </w:tabs>
              <w:spacing w:line="240" w:lineRule="auto"/>
              <w:rPr>
                <w:rFonts w:ascii="Times New Roman" w:hAnsi="Times New Roman"/>
                <w:sz w:val="22"/>
                <w:lang w:val="it-IT"/>
              </w:rPr>
            </w:pPr>
            <w:r w:rsidRPr="002A3533">
              <w:rPr>
                <w:rFonts w:ascii="Times New Roman" w:hAnsi="Times New Roman"/>
                <w:sz w:val="22"/>
                <w:lang w:val="it-IT"/>
              </w:rPr>
              <w:t>24.0%</w:t>
            </w:r>
          </w:p>
        </w:tc>
        <w:tc>
          <w:tcPr>
            <w:tcW w:w="1417" w:type="dxa"/>
          </w:tcPr>
          <w:p w14:paraId="773D3B03" w14:textId="77777777" w:rsidR="00AB3BE8" w:rsidRPr="002A3533" w:rsidRDefault="00944B8F" w:rsidP="00A6206B">
            <w:pPr>
              <w:pStyle w:val="In-texttable"/>
              <w:tabs>
                <w:tab w:val="decimal" w:pos="662"/>
              </w:tabs>
              <w:spacing w:line="240" w:lineRule="auto"/>
              <w:rPr>
                <w:rFonts w:ascii="Times New Roman" w:hAnsi="Times New Roman"/>
                <w:sz w:val="22"/>
                <w:lang w:val="it-IT"/>
              </w:rPr>
            </w:pPr>
            <w:r w:rsidRPr="002A3533">
              <w:rPr>
                <w:rFonts w:ascii="Times New Roman" w:hAnsi="Times New Roman"/>
                <w:sz w:val="22"/>
                <w:lang w:val="it-IT"/>
              </w:rPr>
              <w:t>58.9%</w:t>
            </w:r>
          </w:p>
        </w:tc>
      </w:tr>
      <w:tr w:rsidR="00C6578C" w14:paraId="7A273864" w14:textId="77777777" w:rsidTr="00A6206B">
        <w:trPr>
          <w:cantSplit/>
        </w:trPr>
        <w:tc>
          <w:tcPr>
            <w:tcW w:w="1186" w:type="dxa"/>
            <w:tcBorders>
              <w:right w:val="single" w:sz="6" w:space="0" w:color="auto"/>
            </w:tcBorders>
          </w:tcPr>
          <w:p w14:paraId="42A73759" w14:textId="77777777" w:rsidR="00AB3BE8" w:rsidRPr="002A3533" w:rsidRDefault="00944B8F" w:rsidP="00A6206B">
            <w:pPr>
              <w:pStyle w:val="In-texttable"/>
              <w:tabs>
                <w:tab w:val="left" w:pos="144"/>
              </w:tabs>
              <w:spacing w:line="240" w:lineRule="auto"/>
              <w:rPr>
                <w:rFonts w:ascii="Times New Roman" w:hAnsi="Times New Roman"/>
                <w:sz w:val="22"/>
                <w:lang w:val="it-IT"/>
              </w:rPr>
            </w:pPr>
            <w:r w:rsidRPr="002A3533">
              <w:rPr>
                <w:rFonts w:ascii="Times New Roman" w:hAnsi="Times New Roman"/>
                <w:sz w:val="22"/>
                <w:lang w:val="it-IT"/>
              </w:rPr>
              <w:t>ACR 50</w:t>
            </w:r>
          </w:p>
        </w:tc>
        <w:tc>
          <w:tcPr>
            <w:tcW w:w="1134" w:type="dxa"/>
            <w:tcBorders>
              <w:left w:val="single" w:sz="6" w:space="0" w:color="auto"/>
            </w:tcBorders>
          </w:tcPr>
          <w:p w14:paraId="24031A04" w14:textId="77777777" w:rsidR="00AB3BE8" w:rsidRPr="002A3533" w:rsidRDefault="00AB3BE8" w:rsidP="00A6206B">
            <w:pPr>
              <w:pStyle w:val="In-texttable"/>
              <w:spacing w:line="240" w:lineRule="auto"/>
              <w:jc w:val="center"/>
              <w:rPr>
                <w:rFonts w:ascii="Times New Roman" w:hAnsi="Times New Roman"/>
                <w:sz w:val="22"/>
                <w:lang w:val="it-IT"/>
              </w:rPr>
            </w:pPr>
          </w:p>
        </w:tc>
        <w:tc>
          <w:tcPr>
            <w:tcW w:w="1550" w:type="dxa"/>
            <w:tcBorders>
              <w:right w:val="single" w:sz="6" w:space="0" w:color="auto"/>
            </w:tcBorders>
          </w:tcPr>
          <w:p w14:paraId="2609DD47" w14:textId="77777777" w:rsidR="00AB3BE8" w:rsidRPr="002A3533" w:rsidRDefault="00AB3BE8" w:rsidP="00A6206B">
            <w:pPr>
              <w:pStyle w:val="In-texttable"/>
              <w:spacing w:line="240" w:lineRule="auto"/>
              <w:jc w:val="center"/>
              <w:rPr>
                <w:rFonts w:ascii="Times New Roman" w:hAnsi="Times New Roman"/>
                <w:sz w:val="22"/>
                <w:lang w:val="it-IT"/>
              </w:rPr>
            </w:pPr>
          </w:p>
        </w:tc>
        <w:tc>
          <w:tcPr>
            <w:tcW w:w="1285" w:type="dxa"/>
            <w:tcBorders>
              <w:left w:val="single" w:sz="6" w:space="0" w:color="auto"/>
            </w:tcBorders>
          </w:tcPr>
          <w:p w14:paraId="637AADC1" w14:textId="77777777" w:rsidR="00AB3BE8" w:rsidRPr="002A3533" w:rsidRDefault="00AB3BE8" w:rsidP="00A6206B">
            <w:pPr>
              <w:pStyle w:val="In-texttable"/>
              <w:tabs>
                <w:tab w:val="decimal" w:pos="151"/>
              </w:tabs>
              <w:spacing w:line="240" w:lineRule="auto"/>
              <w:jc w:val="center"/>
              <w:rPr>
                <w:rFonts w:ascii="Times New Roman" w:hAnsi="Times New Roman"/>
                <w:sz w:val="22"/>
                <w:lang w:val="it-IT"/>
              </w:rPr>
            </w:pPr>
          </w:p>
        </w:tc>
        <w:tc>
          <w:tcPr>
            <w:tcW w:w="1276" w:type="dxa"/>
            <w:tcBorders>
              <w:right w:val="single" w:sz="6" w:space="0" w:color="auto"/>
            </w:tcBorders>
          </w:tcPr>
          <w:p w14:paraId="7468B175" w14:textId="77777777" w:rsidR="00AB3BE8" w:rsidRPr="002A3533" w:rsidRDefault="00AB3BE8" w:rsidP="00A6206B">
            <w:pPr>
              <w:pStyle w:val="In-texttable"/>
              <w:spacing w:line="240" w:lineRule="auto"/>
              <w:jc w:val="center"/>
              <w:rPr>
                <w:rFonts w:ascii="Times New Roman" w:hAnsi="Times New Roman"/>
                <w:sz w:val="22"/>
                <w:lang w:val="it-IT"/>
              </w:rPr>
            </w:pPr>
          </w:p>
        </w:tc>
        <w:tc>
          <w:tcPr>
            <w:tcW w:w="1276" w:type="dxa"/>
            <w:tcBorders>
              <w:left w:val="single" w:sz="6" w:space="0" w:color="auto"/>
            </w:tcBorders>
          </w:tcPr>
          <w:p w14:paraId="6F6CC85E" w14:textId="77777777" w:rsidR="00AB3BE8" w:rsidRPr="002A3533" w:rsidRDefault="00AB3BE8" w:rsidP="00A6206B">
            <w:pPr>
              <w:pStyle w:val="In-texttable"/>
              <w:tabs>
                <w:tab w:val="decimal" w:pos="567"/>
              </w:tabs>
              <w:spacing w:line="240" w:lineRule="auto"/>
              <w:rPr>
                <w:rFonts w:ascii="Times New Roman" w:hAnsi="Times New Roman"/>
                <w:sz w:val="22"/>
                <w:lang w:val="it-IT"/>
              </w:rPr>
            </w:pPr>
          </w:p>
        </w:tc>
        <w:tc>
          <w:tcPr>
            <w:tcW w:w="1417" w:type="dxa"/>
          </w:tcPr>
          <w:p w14:paraId="3B4FA985" w14:textId="77777777" w:rsidR="00AB3BE8" w:rsidRPr="002A3533" w:rsidRDefault="00AB3BE8" w:rsidP="00A6206B">
            <w:pPr>
              <w:pStyle w:val="In-texttable"/>
              <w:tabs>
                <w:tab w:val="decimal" w:pos="662"/>
              </w:tabs>
              <w:spacing w:line="240" w:lineRule="auto"/>
              <w:rPr>
                <w:rFonts w:ascii="Times New Roman" w:hAnsi="Times New Roman"/>
                <w:sz w:val="22"/>
                <w:lang w:val="it-IT"/>
              </w:rPr>
            </w:pPr>
          </w:p>
        </w:tc>
      </w:tr>
      <w:tr w:rsidR="00C6578C" w14:paraId="20217021" w14:textId="77777777" w:rsidTr="00A6206B">
        <w:trPr>
          <w:cantSplit/>
        </w:trPr>
        <w:tc>
          <w:tcPr>
            <w:tcW w:w="1186" w:type="dxa"/>
            <w:tcBorders>
              <w:right w:val="single" w:sz="6" w:space="0" w:color="auto"/>
            </w:tcBorders>
          </w:tcPr>
          <w:p w14:paraId="4DAB55CE" w14:textId="77777777" w:rsidR="00AB3BE8" w:rsidRPr="002A3533" w:rsidRDefault="00944B8F" w:rsidP="00A6206B">
            <w:pPr>
              <w:pStyle w:val="In-texttable"/>
              <w:tabs>
                <w:tab w:val="left" w:pos="144"/>
              </w:tabs>
              <w:spacing w:line="240" w:lineRule="auto"/>
              <w:rPr>
                <w:rFonts w:ascii="Times New Roman" w:hAnsi="Times New Roman"/>
                <w:sz w:val="22"/>
              </w:rPr>
            </w:pPr>
            <w:r w:rsidRPr="002A3533">
              <w:rPr>
                <w:rFonts w:ascii="Times New Roman" w:hAnsi="Times New Roman"/>
                <w:sz w:val="22"/>
                <w:lang w:val="it-IT"/>
              </w:rPr>
              <w:tab/>
            </w:r>
            <w:r w:rsidRPr="002A3533">
              <w:rPr>
                <w:rFonts w:ascii="Times New Roman" w:hAnsi="Times New Roman"/>
                <w:sz w:val="22"/>
              </w:rPr>
              <w:t>6 months</w:t>
            </w:r>
          </w:p>
        </w:tc>
        <w:tc>
          <w:tcPr>
            <w:tcW w:w="1134" w:type="dxa"/>
            <w:tcBorders>
              <w:left w:val="single" w:sz="6" w:space="0" w:color="auto"/>
            </w:tcBorders>
          </w:tcPr>
          <w:p w14:paraId="410794E1" w14:textId="77777777" w:rsidR="00AB3BE8" w:rsidRPr="002A3533" w:rsidRDefault="00944B8F" w:rsidP="00A6206B">
            <w:pPr>
              <w:pStyle w:val="In-texttable"/>
              <w:tabs>
                <w:tab w:val="decimal" w:pos="117"/>
              </w:tabs>
              <w:spacing w:line="240" w:lineRule="auto"/>
              <w:jc w:val="center"/>
              <w:rPr>
                <w:rFonts w:ascii="Times New Roman" w:hAnsi="Times New Roman"/>
                <w:sz w:val="22"/>
              </w:rPr>
            </w:pPr>
            <w:r w:rsidRPr="002A3533">
              <w:rPr>
                <w:rFonts w:ascii="Times New Roman" w:hAnsi="Times New Roman"/>
                <w:sz w:val="22"/>
              </w:rPr>
              <w:t>6.7%</w:t>
            </w:r>
          </w:p>
        </w:tc>
        <w:tc>
          <w:tcPr>
            <w:tcW w:w="1550" w:type="dxa"/>
            <w:tcBorders>
              <w:right w:val="single" w:sz="6" w:space="0" w:color="auto"/>
            </w:tcBorders>
          </w:tcPr>
          <w:p w14:paraId="5AE75BCC" w14:textId="77777777" w:rsidR="00AB3BE8" w:rsidRPr="002A3533" w:rsidRDefault="00944B8F" w:rsidP="00A6206B">
            <w:pPr>
              <w:pStyle w:val="In-texttable"/>
              <w:spacing w:line="240" w:lineRule="auto"/>
              <w:jc w:val="center"/>
              <w:rPr>
                <w:rFonts w:ascii="Times New Roman" w:hAnsi="Times New Roman"/>
                <w:sz w:val="22"/>
              </w:rPr>
            </w:pPr>
            <w:r w:rsidRPr="002A3533">
              <w:rPr>
                <w:rFonts w:ascii="Times New Roman" w:hAnsi="Times New Roman"/>
                <w:sz w:val="22"/>
              </w:rPr>
              <w:t>52.4%</w:t>
            </w:r>
          </w:p>
        </w:tc>
        <w:tc>
          <w:tcPr>
            <w:tcW w:w="1285" w:type="dxa"/>
            <w:tcBorders>
              <w:left w:val="single" w:sz="6" w:space="0" w:color="auto"/>
            </w:tcBorders>
          </w:tcPr>
          <w:p w14:paraId="78B975B3" w14:textId="77777777" w:rsidR="00AB3BE8" w:rsidRPr="002A3533" w:rsidRDefault="00944B8F" w:rsidP="00A6206B">
            <w:pPr>
              <w:pStyle w:val="In-texttable"/>
              <w:tabs>
                <w:tab w:val="decimal" w:pos="151"/>
              </w:tabs>
              <w:spacing w:line="240" w:lineRule="auto"/>
              <w:jc w:val="center"/>
              <w:rPr>
                <w:rFonts w:ascii="Times New Roman" w:hAnsi="Times New Roman"/>
                <w:sz w:val="22"/>
              </w:rPr>
            </w:pPr>
            <w:r w:rsidRPr="002A3533">
              <w:rPr>
                <w:rFonts w:ascii="Times New Roman" w:hAnsi="Times New Roman"/>
                <w:sz w:val="22"/>
              </w:rPr>
              <w:t>8.2%</w:t>
            </w:r>
          </w:p>
        </w:tc>
        <w:tc>
          <w:tcPr>
            <w:tcW w:w="1276" w:type="dxa"/>
            <w:tcBorders>
              <w:right w:val="single" w:sz="6" w:space="0" w:color="auto"/>
            </w:tcBorders>
          </w:tcPr>
          <w:p w14:paraId="7DE55700" w14:textId="77777777" w:rsidR="00AB3BE8" w:rsidRPr="002A3533" w:rsidRDefault="00944B8F" w:rsidP="00A6206B">
            <w:pPr>
              <w:pStyle w:val="In-texttable"/>
              <w:spacing w:line="240" w:lineRule="auto"/>
              <w:jc w:val="center"/>
              <w:rPr>
                <w:rFonts w:ascii="Times New Roman" w:hAnsi="Times New Roman"/>
                <w:sz w:val="22"/>
              </w:rPr>
            </w:pPr>
            <w:r w:rsidRPr="002A3533">
              <w:rPr>
                <w:rFonts w:ascii="Times New Roman" w:hAnsi="Times New Roman"/>
                <w:sz w:val="22"/>
              </w:rPr>
              <w:t>22.1%</w:t>
            </w:r>
          </w:p>
        </w:tc>
        <w:tc>
          <w:tcPr>
            <w:tcW w:w="1276" w:type="dxa"/>
            <w:tcBorders>
              <w:left w:val="single" w:sz="6" w:space="0" w:color="auto"/>
            </w:tcBorders>
          </w:tcPr>
          <w:p w14:paraId="62478852" w14:textId="77777777" w:rsidR="00AB3BE8" w:rsidRPr="002A3533" w:rsidRDefault="00944B8F" w:rsidP="00A6206B">
            <w:pPr>
              <w:pStyle w:val="In-texttable"/>
              <w:tabs>
                <w:tab w:val="decimal" w:pos="567"/>
              </w:tabs>
              <w:spacing w:line="240" w:lineRule="auto"/>
              <w:rPr>
                <w:rFonts w:ascii="Times New Roman" w:hAnsi="Times New Roman"/>
                <w:sz w:val="22"/>
              </w:rPr>
            </w:pPr>
            <w:r w:rsidRPr="002A3533">
              <w:rPr>
                <w:rFonts w:ascii="Times New Roman" w:hAnsi="Times New Roman"/>
                <w:sz w:val="22"/>
              </w:rPr>
              <w:t>9.5%</w:t>
            </w:r>
          </w:p>
        </w:tc>
        <w:tc>
          <w:tcPr>
            <w:tcW w:w="1417" w:type="dxa"/>
          </w:tcPr>
          <w:p w14:paraId="6D458C3A" w14:textId="77777777" w:rsidR="00AB3BE8" w:rsidRPr="002A3533" w:rsidRDefault="00944B8F" w:rsidP="00A6206B">
            <w:pPr>
              <w:pStyle w:val="In-texttable"/>
              <w:tabs>
                <w:tab w:val="decimal" w:pos="662"/>
              </w:tabs>
              <w:spacing w:line="240" w:lineRule="auto"/>
              <w:rPr>
                <w:rFonts w:ascii="Times New Roman" w:hAnsi="Times New Roman"/>
                <w:sz w:val="22"/>
              </w:rPr>
            </w:pPr>
            <w:r w:rsidRPr="002A3533">
              <w:rPr>
                <w:rFonts w:ascii="Times New Roman" w:hAnsi="Times New Roman"/>
                <w:sz w:val="22"/>
              </w:rPr>
              <w:t>39.1%</w:t>
            </w:r>
          </w:p>
        </w:tc>
      </w:tr>
      <w:tr w:rsidR="00C6578C" w14:paraId="1AA3D7F1" w14:textId="77777777" w:rsidTr="00A6206B">
        <w:trPr>
          <w:cantSplit/>
        </w:trPr>
        <w:tc>
          <w:tcPr>
            <w:tcW w:w="1186" w:type="dxa"/>
            <w:tcBorders>
              <w:right w:val="single" w:sz="6" w:space="0" w:color="auto"/>
            </w:tcBorders>
          </w:tcPr>
          <w:p w14:paraId="3DD75A8F" w14:textId="77777777" w:rsidR="00AB3BE8" w:rsidRPr="002A3533" w:rsidRDefault="00944B8F" w:rsidP="00A6206B">
            <w:pPr>
              <w:pStyle w:val="In-texttable"/>
              <w:tabs>
                <w:tab w:val="left" w:pos="144"/>
              </w:tabs>
              <w:spacing w:line="240" w:lineRule="auto"/>
              <w:rPr>
                <w:rFonts w:ascii="Times New Roman" w:hAnsi="Times New Roman"/>
                <w:sz w:val="22"/>
              </w:rPr>
            </w:pPr>
            <w:r w:rsidRPr="002A3533">
              <w:rPr>
                <w:rFonts w:ascii="Times New Roman" w:hAnsi="Times New Roman"/>
                <w:sz w:val="22"/>
              </w:rPr>
              <w:tab/>
              <w:t>12 months</w:t>
            </w:r>
          </w:p>
        </w:tc>
        <w:tc>
          <w:tcPr>
            <w:tcW w:w="1134" w:type="dxa"/>
            <w:tcBorders>
              <w:left w:val="single" w:sz="6" w:space="0" w:color="auto"/>
            </w:tcBorders>
          </w:tcPr>
          <w:p w14:paraId="09B9FF1D" w14:textId="77777777" w:rsidR="00AB3BE8" w:rsidRPr="002A3533" w:rsidRDefault="00944B8F" w:rsidP="00A6206B">
            <w:pPr>
              <w:pStyle w:val="In-texttable"/>
              <w:tabs>
                <w:tab w:val="decimal" w:pos="117"/>
              </w:tabs>
              <w:spacing w:line="240" w:lineRule="auto"/>
              <w:jc w:val="center"/>
              <w:rPr>
                <w:rFonts w:ascii="Times New Roman" w:hAnsi="Times New Roman"/>
                <w:sz w:val="22"/>
              </w:rPr>
            </w:pPr>
            <w:r w:rsidRPr="002A3533">
              <w:rPr>
                <w:rFonts w:ascii="Times New Roman" w:hAnsi="Times New Roman"/>
                <w:sz w:val="22"/>
              </w:rPr>
              <w:t>NA</w:t>
            </w:r>
          </w:p>
        </w:tc>
        <w:tc>
          <w:tcPr>
            <w:tcW w:w="1550" w:type="dxa"/>
            <w:tcBorders>
              <w:right w:val="single" w:sz="6" w:space="0" w:color="auto"/>
            </w:tcBorders>
          </w:tcPr>
          <w:p w14:paraId="3F7CA2DF" w14:textId="77777777" w:rsidR="00AB3BE8" w:rsidRPr="002A3533" w:rsidRDefault="00944B8F" w:rsidP="00A6206B">
            <w:pPr>
              <w:pStyle w:val="In-texttable"/>
              <w:spacing w:line="240" w:lineRule="auto"/>
              <w:jc w:val="center"/>
              <w:rPr>
                <w:rFonts w:ascii="Times New Roman" w:hAnsi="Times New Roman"/>
                <w:sz w:val="22"/>
                <w:lang w:val="it-IT"/>
              </w:rPr>
            </w:pPr>
            <w:r w:rsidRPr="002A3533">
              <w:rPr>
                <w:rFonts w:ascii="Times New Roman" w:hAnsi="Times New Roman"/>
                <w:sz w:val="22"/>
                <w:lang w:val="it-IT"/>
              </w:rPr>
              <w:t>NA</w:t>
            </w:r>
          </w:p>
        </w:tc>
        <w:tc>
          <w:tcPr>
            <w:tcW w:w="1285" w:type="dxa"/>
            <w:tcBorders>
              <w:left w:val="single" w:sz="6" w:space="0" w:color="auto"/>
            </w:tcBorders>
          </w:tcPr>
          <w:p w14:paraId="2B812CB7" w14:textId="77777777" w:rsidR="00AB3BE8" w:rsidRPr="002A3533" w:rsidRDefault="00944B8F" w:rsidP="00A6206B">
            <w:pPr>
              <w:pStyle w:val="In-texttable"/>
              <w:tabs>
                <w:tab w:val="decimal" w:pos="151"/>
              </w:tabs>
              <w:spacing w:line="240" w:lineRule="auto"/>
              <w:jc w:val="center"/>
              <w:rPr>
                <w:rFonts w:ascii="Times New Roman" w:hAnsi="Times New Roman"/>
                <w:sz w:val="22"/>
                <w:lang w:val="it-IT"/>
              </w:rPr>
            </w:pPr>
            <w:r w:rsidRPr="002A3533">
              <w:rPr>
                <w:rFonts w:ascii="Times New Roman" w:hAnsi="Times New Roman"/>
                <w:sz w:val="22"/>
                <w:lang w:val="it-IT"/>
              </w:rPr>
              <w:t>NA</w:t>
            </w:r>
          </w:p>
        </w:tc>
        <w:tc>
          <w:tcPr>
            <w:tcW w:w="1276" w:type="dxa"/>
            <w:tcBorders>
              <w:right w:val="single" w:sz="6" w:space="0" w:color="auto"/>
            </w:tcBorders>
          </w:tcPr>
          <w:p w14:paraId="159D2AF2" w14:textId="77777777" w:rsidR="00AB3BE8" w:rsidRPr="002A3533" w:rsidRDefault="00944B8F" w:rsidP="00A6206B">
            <w:pPr>
              <w:pStyle w:val="In-texttable"/>
              <w:spacing w:line="240" w:lineRule="auto"/>
              <w:jc w:val="center"/>
              <w:rPr>
                <w:rFonts w:ascii="Times New Roman" w:hAnsi="Times New Roman"/>
                <w:sz w:val="22"/>
                <w:lang w:val="it-IT"/>
              </w:rPr>
            </w:pPr>
            <w:r w:rsidRPr="002A3533">
              <w:rPr>
                <w:rFonts w:ascii="Times New Roman" w:hAnsi="Times New Roman"/>
                <w:sz w:val="22"/>
                <w:lang w:val="it-IT"/>
              </w:rPr>
              <w:t>NA</w:t>
            </w:r>
          </w:p>
        </w:tc>
        <w:tc>
          <w:tcPr>
            <w:tcW w:w="1276" w:type="dxa"/>
            <w:tcBorders>
              <w:left w:val="single" w:sz="6" w:space="0" w:color="auto"/>
            </w:tcBorders>
          </w:tcPr>
          <w:p w14:paraId="49853DCF" w14:textId="77777777" w:rsidR="00AB3BE8" w:rsidRPr="002A3533" w:rsidRDefault="00944B8F" w:rsidP="00A6206B">
            <w:pPr>
              <w:pStyle w:val="In-texttable"/>
              <w:tabs>
                <w:tab w:val="decimal" w:pos="567"/>
              </w:tabs>
              <w:spacing w:line="240" w:lineRule="auto"/>
              <w:rPr>
                <w:rFonts w:ascii="Times New Roman" w:hAnsi="Times New Roman"/>
                <w:sz w:val="22"/>
              </w:rPr>
            </w:pPr>
            <w:r w:rsidRPr="002A3533">
              <w:rPr>
                <w:rFonts w:ascii="Times New Roman" w:hAnsi="Times New Roman"/>
                <w:sz w:val="22"/>
              </w:rPr>
              <w:t>9.5%</w:t>
            </w:r>
          </w:p>
        </w:tc>
        <w:tc>
          <w:tcPr>
            <w:tcW w:w="1417" w:type="dxa"/>
          </w:tcPr>
          <w:p w14:paraId="17A11B5F" w14:textId="77777777" w:rsidR="00AB3BE8" w:rsidRPr="002A3533" w:rsidRDefault="00944B8F" w:rsidP="00A6206B">
            <w:pPr>
              <w:pStyle w:val="In-texttable"/>
              <w:tabs>
                <w:tab w:val="decimal" w:pos="662"/>
              </w:tabs>
              <w:spacing w:line="240" w:lineRule="auto"/>
              <w:rPr>
                <w:rFonts w:ascii="Times New Roman" w:hAnsi="Times New Roman"/>
                <w:sz w:val="22"/>
              </w:rPr>
            </w:pPr>
            <w:r w:rsidRPr="002A3533">
              <w:rPr>
                <w:rFonts w:ascii="Times New Roman" w:hAnsi="Times New Roman"/>
                <w:sz w:val="22"/>
              </w:rPr>
              <w:t>41.5%</w:t>
            </w:r>
          </w:p>
        </w:tc>
      </w:tr>
      <w:tr w:rsidR="00C6578C" w14:paraId="003DB993" w14:textId="77777777" w:rsidTr="00A6206B">
        <w:trPr>
          <w:cantSplit/>
        </w:trPr>
        <w:tc>
          <w:tcPr>
            <w:tcW w:w="1186" w:type="dxa"/>
            <w:tcBorders>
              <w:right w:val="single" w:sz="6" w:space="0" w:color="auto"/>
            </w:tcBorders>
          </w:tcPr>
          <w:p w14:paraId="1A9FF685" w14:textId="77777777" w:rsidR="00AB3BE8" w:rsidRPr="002A3533" w:rsidRDefault="00944B8F" w:rsidP="00A6206B">
            <w:pPr>
              <w:pStyle w:val="In-texttable"/>
              <w:tabs>
                <w:tab w:val="left" w:pos="144"/>
              </w:tabs>
              <w:spacing w:line="240" w:lineRule="auto"/>
              <w:rPr>
                <w:rFonts w:ascii="Times New Roman" w:hAnsi="Times New Roman"/>
                <w:sz w:val="22"/>
              </w:rPr>
            </w:pPr>
            <w:r>
              <w:rPr>
                <w:noProof/>
                <w:lang w:val="en-US"/>
              </w:rPr>
              <mc:AlternateContent>
                <mc:Choice Requires="wps">
                  <w:drawing>
                    <wp:anchor distT="0" distB="0" distL="114300" distR="114300" simplePos="0" relativeHeight="251658243" behindDoc="0" locked="0" layoutInCell="0" allowOverlap="1" wp14:anchorId="407ED6BF" wp14:editId="5D013008">
                      <wp:simplePos x="0" y="0"/>
                      <wp:positionH relativeFrom="column">
                        <wp:posOffset>-4972050</wp:posOffset>
                      </wp:positionH>
                      <wp:positionV relativeFrom="paragraph">
                        <wp:posOffset>38735</wp:posOffset>
                      </wp:positionV>
                      <wp:extent cx="3543300" cy="342900"/>
                      <wp:effectExtent l="0" t="3810" r="63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FF99B6" w14:textId="77777777" w:rsidR="00693052" w:rsidRDefault="00693052" w:rsidP="00AB3BE8">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07ED6BF" id="Text Box 10" o:spid="_x0000_s1027" type="#_x0000_t202" style="position:absolute;margin-left:-391.5pt;margin-top:3.05pt;width:279pt;height:2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" o:allowincell="f" stroked="f">
                      <v:textbox>
                        <w:txbxContent>
                          <w:p w14:paraId="06FF99B6" w14:textId="77777777" w:rsidR="00693052" w:rsidRDefault="00693052" w:rsidP="00AB3BE8">
                            <w:pPr>
                              <w:rPr>
                                <w:sz w:val="20"/>
                              </w:rPr>
                            </w:pPr>
                          </w:p>
                        </w:txbxContent>
                      </v:textbox>
                    </v:shape>
                  </w:pict>
                </mc:Fallback>
              </mc:AlternateContent>
            </w:r>
            <w:r w:rsidRPr="002A3533">
              <w:rPr>
                <w:rFonts w:ascii="Times New Roman" w:hAnsi="Times New Roman"/>
                <w:sz w:val="22"/>
              </w:rPr>
              <w:t>ACR 70</w:t>
            </w:r>
          </w:p>
        </w:tc>
        <w:tc>
          <w:tcPr>
            <w:tcW w:w="1134" w:type="dxa"/>
            <w:tcBorders>
              <w:left w:val="single" w:sz="6" w:space="0" w:color="auto"/>
            </w:tcBorders>
          </w:tcPr>
          <w:p w14:paraId="05C1081D" w14:textId="77777777" w:rsidR="00AB3BE8" w:rsidRPr="002A3533" w:rsidRDefault="00AB3BE8" w:rsidP="00A6206B">
            <w:pPr>
              <w:pStyle w:val="In-texttable"/>
              <w:tabs>
                <w:tab w:val="decimal" w:pos="117"/>
              </w:tabs>
              <w:spacing w:line="240" w:lineRule="auto"/>
              <w:jc w:val="center"/>
              <w:rPr>
                <w:rFonts w:ascii="Times New Roman" w:hAnsi="Times New Roman"/>
                <w:sz w:val="22"/>
              </w:rPr>
            </w:pPr>
          </w:p>
        </w:tc>
        <w:tc>
          <w:tcPr>
            <w:tcW w:w="1550" w:type="dxa"/>
            <w:tcBorders>
              <w:right w:val="single" w:sz="6" w:space="0" w:color="auto"/>
            </w:tcBorders>
          </w:tcPr>
          <w:p w14:paraId="5960F210" w14:textId="77777777" w:rsidR="00AB3BE8" w:rsidRPr="002A3533" w:rsidRDefault="00AB3BE8" w:rsidP="00A6206B">
            <w:pPr>
              <w:pStyle w:val="In-texttable"/>
              <w:spacing w:line="240" w:lineRule="auto"/>
              <w:jc w:val="center"/>
              <w:rPr>
                <w:rFonts w:ascii="Times New Roman" w:hAnsi="Times New Roman"/>
                <w:sz w:val="22"/>
              </w:rPr>
            </w:pPr>
          </w:p>
        </w:tc>
        <w:tc>
          <w:tcPr>
            <w:tcW w:w="1285" w:type="dxa"/>
            <w:tcBorders>
              <w:left w:val="single" w:sz="6" w:space="0" w:color="auto"/>
            </w:tcBorders>
          </w:tcPr>
          <w:p w14:paraId="77332C1F" w14:textId="77777777" w:rsidR="00AB3BE8" w:rsidRPr="002A3533" w:rsidRDefault="00AB3BE8" w:rsidP="00A6206B">
            <w:pPr>
              <w:pStyle w:val="In-texttable"/>
              <w:tabs>
                <w:tab w:val="decimal" w:pos="151"/>
              </w:tabs>
              <w:spacing w:line="240" w:lineRule="auto"/>
              <w:jc w:val="center"/>
              <w:rPr>
                <w:rFonts w:ascii="Times New Roman" w:hAnsi="Times New Roman"/>
                <w:sz w:val="22"/>
              </w:rPr>
            </w:pPr>
          </w:p>
        </w:tc>
        <w:tc>
          <w:tcPr>
            <w:tcW w:w="1276" w:type="dxa"/>
            <w:tcBorders>
              <w:right w:val="single" w:sz="6" w:space="0" w:color="auto"/>
            </w:tcBorders>
          </w:tcPr>
          <w:p w14:paraId="01309914" w14:textId="77777777" w:rsidR="00AB3BE8" w:rsidRPr="002A3533" w:rsidRDefault="00AB3BE8" w:rsidP="00A6206B">
            <w:pPr>
              <w:pStyle w:val="In-texttable"/>
              <w:spacing w:line="240" w:lineRule="auto"/>
              <w:jc w:val="center"/>
              <w:rPr>
                <w:rFonts w:ascii="Times New Roman" w:hAnsi="Times New Roman"/>
                <w:sz w:val="22"/>
              </w:rPr>
            </w:pPr>
          </w:p>
        </w:tc>
        <w:tc>
          <w:tcPr>
            <w:tcW w:w="1276" w:type="dxa"/>
            <w:tcBorders>
              <w:left w:val="single" w:sz="6" w:space="0" w:color="auto"/>
            </w:tcBorders>
          </w:tcPr>
          <w:p w14:paraId="406D3276" w14:textId="77777777" w:rsidR="00AB3BE8" w:rsidRPr="002A3533" w:rsidRDefault="00AB3BE8" w:rsidP="00A6206B">
            <w:pPr>
              <w:pStyle w:val="In-texttable"/>
              <w:tabs>
                <w:tab w:val="decimal" w:pos="567"/>
              </w:tabs>
              <w:spacing w:line="240" w:lineRule="auto"/>
              <w:rPr>
                <w:rFonts w:ascii="Times New Roman" w:hAnsi="Times New Roman"/>
                <w:sz w:val="22"/>
              </w:rPr>
            </w:pPr>
          </w:p>
        </w:tc>
        <w:tc>
          <w:tcPr>
            <w:tcW w:w="1417" w:type="dxa"/>
          </w:tcPr>
          <w:p w14:paraId="3835BA6D" w14:textId="77777777" w:rsidR="00AB3BE8" w:rsidRPr="002A3533" w:rsidRDefault="00AB3BE8" w:rsidP="00A6206B">
            <w:pPr>
              <w:pStyle w:val="In-texttable"/>
              <w:tabs>
                <w:tab w:val="decimal" w:pos="662"/>
              </w:tabs>
              <w:spacing w:line="240" w:lineRule="auto"/>
              <w:rPr>
                <w:rFonts w:ascii="Times New Roman" w:hAnsi="Times New Roman"/>
                <w:sz w:val="22"/>
              </w:rPr>
            </w:pPr>
          </w:p>
        </w:tc>
      </w:tr>
      <w:tr w:rsidR="00C6578C" w14:paraId="55387988" w14:textId="77777777" w:rsidTr="00A6206B">
        <w:trPr>
          <w:cantSplit/>
        </w:trPr>
        <w:tc>
          <w:tcPr>
            <w:tcW w:w="1186" w:type="dxa"/>
            <w:tcBorders>
              <w:right w:val="single" w:sz="6" w:space="0" w:color="auto"/>
            </w:tcBorders>
          </w:tcPr>
          <w:p w14:paraId="5B04E4F0" w14:textId="77777777" w:rsidR="00AB3BE8" w:rsidRPr="002A3533" w:rsidRDefault="00944B8F" w:rsidP="00A6206B">
            <w:pPr>
              <w:pStyle w:val="In-texttable"/>
              <w:tabs>
                <w:tab w:val="left" w:pos="144"/>
              </w:tabs>
              <w:spacing w:line="240" w:lineRule="auto"/>
              <w:rPr>
                <w:rFonts w:ascii="Times New Roman" w:hAnsi="Times New Roman"/>
                <w:sz w:val="22"/>
              </w:rPr>
            </w:pPr>
            <w:r w:rsidRPr="002A3533">
              <w:rPr>
                <w:rFonts w:ascii="Times New Roman" w:hAnsi="Times New Roman"/>
                <w:sz w:val="22"/>
              </w:rPr>
              <w:tab/>
              <w:t>6 months</w:t>
            </w:r>
          </w:p>
        </w:tc>
        <w:tc>
          <w:tcPr>
            <w:tcW w:w="1134" w:type="dxa"/>
            <w:tcBorders>
              <w:left w:val="single" w:sz="6" w:space="0" w:color="auto"/>
            </w:tcBorders>
          </w:tcPr>
          <w:p w14:paraId="65CFAF4B" w14:textId="77777777" w:rsidR="00AB3BE8" w:rsidRPr="002A3533" w:rsidRDefault="00944B8F" w:rsidP="00A6206B">
            <w:pPr>
              <w:pStyle w:val="In-texttable"/>
              <w:tabs>
                <w:tab w:val="decimal" w:pos="117"/>
              </w:tabs>
              <w:spacing w:line="240" w:lineRule="auto"/>
              <w:jc w:val="center"/>
              <w:rPr>
                <w:rFonts w:ascii="Times New Roman" w:hAnsi="Times New Roman"/>
                <w:sz w:val="22"/>
              </w:rPr>
            </w:pPr>
            <w:r w:rsidRPr="002A3533">
              <w:rPr>
                <w:rFonts w:ascii="Times New Roman" w:hAnsi="Times New Roman"/>
                <w:sz w:val="22"/>
              </w:rPr>
              <w:t>3.3%</w:t>
            </w:r>
          </w:p>
        </w:tc>
        <w:tc>
          <w:tcPr>
            <w:tcW w:w="1550" w:type="dxa"/>
            <w:tcBorders>
              <w:right w:val="single" w:sz="6" w:space="0" w:color="auto"/>
            </w:tcBorders>
          </w:tcPr>
          <w:p w14:paraId="6B84ABE2" w14:textId="77777777" w:rsidR="00AB3BE8" w:rsidRPr="002A3533" w:rsidRDefault="00944B8F" w:rsidP="00A6206B">
            <w:pPr>
              <w:pStyle w:val="In-texttable"/>
              <w:spacing w:line="240" w:lineRule="auto"/>
              <w:jc w:val="center"/>
              <w:rPr>
                <w:rFonts w:ascii="Times New Roman" w:hAnsi="Times New Roman"/>
                <w:sz w:val="22"/>
              </w:rPr>
            </w:pPr>
            <w:r w:rsidRPr="002A3533">
              <w:rPr>
                <w:rFonts w:ascii="Times New Roman" w:hAnsi="Times New Roman"/>
                <w:sz w:val="22"/>
              </w:rPr>
              <w:t>23.8%</w:t>
            </w:r>
          </w:p>
        </w:tc>
        <w:tc>
          <w:tcPr>
            <w:tcW w:w="1285" w:type="dxa"/>
            <w:tcBorders>
              <w:left w:val="single" w:sz="6" w:space="0" w:color="auto"/>
            </w:tcBorders>
          </w:tcPr>
          <w:p w14:paraId="5BC2DC8F" w14:textId="77777777" w:rsidR="00AB3BE8" w:rsidRPr="002A3533" w:rsidRDefault="00944B8F" w:rsidP="00A6206B">
            <w:pPr>
              <w:pStyle w:val="In-texttable"/>
              <w:tabs>
                <w:tab w:val="decimal" w:pos="151"/>
              </w:tabs>
              <w:spacing w:line="240" w:lineRule="auto"/>
              <w:jc w:val="center"/>
              <w:rPr>
                <w:rFonts w:ascii="Times New Roman" w:hAnsi="Times New Roman"/>
                <w:sz w:val="22"/>
              </w:rPr>
            </w:pPr>
            <w:r w:rsidRPr="002A3533">
              <w:rPr>
                <w:rFonts w:ascii="Times New Roman" w:hAnsi="Times New Roman"/>
                <w:sz w:val="22"/>
              </w:rPr>
              <w:t>1.8%</w:t>
            </w:r>
          </w:p>
        </w:tc>
        <w:tc>
          <w:tcPr>
            <w:tcW w:w="1276" w:type="dxa"/>
            <w:tcBorders>
              <w:right w:val="single" w:sz="6" w:space="0" w:color="auto"/>
            </w:tcBorders>
          </w:tcPr>
          <w:p w14:paraId="5D9443AC" w14:textId="77777777" w:rsidR="00AB3BE8" w:rsidRPr="002A3533" w:rsidRDefault="00944B8F" w:rsidP="00A6206B">
            <w:pPr>
              <w:pStyle w:val="In-texttable"/>
              <w:spacing w:line="240" w:lineRule="auto"/>
              <w:jc w:val="center"/>
              <w:rPr>
                <w:rFonts w:ascii="Times New Roman" w:hAnsi="Times New Roman"/>
                <w:sz w:val="22"/>
              </w:rPr>
            </w:pPr>
            <w:r w:rsidRPr="002A3533">
              <w:rPr>
                <w:rFonts w:ascii="Times New Roman" w:hAnsi="Times New Roman"/>
                <w:sz w:val="22"/>
              </w:rPr>
              <w:t>12.4%</w:t>
            </w:r>
          </w:p>
        </w:tc>
        <w:tc>
          <w:tcPr>
            <w:tcW w:w="1276" w:type="dxa"/>
            <w:tcBorders>
              <w:left w:val="single" w:sz="6" w:space="0" w:color="auto"/>
            </w:tcBorders>
          </w:tcPr>
          <w:p w14:paraId="1BF502A4" w14:textId="77777777" w:rsidR="00AB3BE8" w:rsidRPr="002A3533" w:rsidRDefault="00944B8F" w:rsidP="00A6206B">
            <w:pPr>
              <w:pStyle w:val="In-texttable"/>
              <w:tabs>
                <w:tab w:val="decimal" w:pos="567"/>
              </w:tabs>
              <w:spacing w:line="240" w:lineRule="auto"/>
              <w:rPr>
                <w:rFonts w:ascii="Times New Roman" w:hAnsi="Times New Roman"/>
                <w:sz w:val="22"/>
              </w:rPr>
            </w:pPr>
            <w:r w:rsidRPr="002A3533">
              <w:rPr>
                <w:rFonts w:ascii="Times New Roman" w:hAnsi="Times New Roman"/>
                <w:sz w:val="22"/>
              </w:rPr>
              <w:t>2.5%</w:t>
            </w:r>
          </w:p>
        </w:tc>
        <w:tc>
          <w:tcPr>
            <w:tcW w:w="1417" w:type="dxa"/>
          </w:tcPr>
          <w:p w14:paraId="2173094C" w14:textId="77777777" w:rsidR="00AB3BE8" w:rsidRPr="002A3533" w:rsidRDefault="00944B8F" w:rsidP="00A6206B">
            <w:pPr>
              <w:pStyle w:val="In-texttable"/>
              <w:tabs>
                <w:tab w:val="decimal" w:pos="662"/>
              </w:tabs>
              <w:spacing w:line="240" w:lineRule="auto"/>
              <w:rPr>
                <w:rFonts w:ascii="Times New Roman" w:hAnsi="Times New Roman"/>
                <w:sz w:val="22"/>
              </w:rPr>
            </w:pPr>
            <w:r w:rsidRPr="002A3533">
              <w:rPr>
                <w:rFonts w:ascii="Times New Roman" w:hAnsi="Times New Roman"/>
                <w:sz w:val="22"/>
              </w:rPr>
              <w:t>20.8%</w:t>
            </w:r>
          </w:p>
        </w:tc>
      </w:tr>
      <w:tr w:rsidR="00C6578C" w14:paraId="393E8A9F" w14:textId="77777777" w:rsidTr="00A6206B">
        <w:trPr>
          <w:cantSplit/>
        </w:trPr>
        <w:tc>
          <w:tcPr>
            <w:tcW w:w="1186" w:type="dxa"/>
            <w:tcBorders>
              <w:bottom w:val="single" w:sz="6" w:space="0" w:color="auto"/>
              <w:right w:val="single" w:sz="6" w:space="0" w:color="auto"/>
            </w:tcBorders>
          </w:tcPr>
          <w:p w14:paraId="729B36D6" w14:textId="77777777" w:rsidR="00AB3BE8" w:rsidRPr="002A3533" w:rsidRDefault="00944B8F" w:rsidP="00A6206B">
            <w:pPr>
              <w:pStyle w:val="In-texttable"/>
              <w:tabs>
                <w:tab w:val="left" w:pos="144"/>
              </w:tabs>
              <w:spacing w:line="240" w:lineRule="auto"/>
              <w:rPr>
                <w:rFonts w:ascii="Times New Roman" w:hAnsi="Times New Roman"/>
                <w:sz w:val="22"/>
              </w:rPr>
            </w:pPr>
            <w:r w:rsidRPr="002A3533">
              <w:rPr>
                <w:rFonts w:ascii="Times New Roman" w:hAnsi="Times New Roman"/>
                <w:sz w:val="22"/>
              </w:rPr>
              <w:tab/>
              <w:t>12 months</w:t>
            </w:r>
          </w:p>
        </w:tc>
        <w:tc>
          <w:tcPr>
            <w:tcW w:w="1134" w:type="dxa"/>
            <w:tcBorders>
              <w:left w:val="single" w:sz="6" w:space="0" w:color="auto"/>
              <w:bottom w:val="single" w:sz="6" w:space="0" w:color="auto"/>
            </w:tcBorders>
          </w:tcPr>
          <w:p w14:paraId="4793A72E" w14:textId="77777777" w:rsidR="00AB3BE8" w:rsidRPr="002A3533" w:rsidRDefault="00944B8F" w:rsidP="00A6206B">
            <w:pPr>
              <w:pStyle w:val="In-texttable"/>
              <w:spacing w:line="240" w:lineRule="auto"/>
              <w:jc w:val="center"/>
              <w:rPr>
                <w:rFonts w:ascii="Times New Roman" w:hAnsi="Times New Roman"/>
                <w:sz w:val="22"/>
                <w:lang w:val="it-IT"/>
              </w:rPr>
            </w:pPr>
            <w:r w:rsidRPr="002A3533">
              <w:rPr>
                <w:rFonts w:ascii="Times New Roman" w:hAnsi="Times New Roman"/>
                <w:sz w:val="22"/>
                <w:lang w:val="it-IT"/>
              </w:rPr>
              <w:t>NA</w:t>
            </w:r>
          </w:p>
        </w:tc>
        <w:tc>
          <w:tcPr>
            <w:tcW w:w="1550" w:type="dxa"/>
            <w:tcBorders>
              <w:bottom w:val="single" w:sz="6" w:space="0" w:color="auto"/>
              <w:right w:val="single" w:sz="6" w:space="0" w:color="auto"/>
            </w:tcBorders>
          </w:tcPr>
          <w:p w14:paraId="068157DF" w14:textId="77777777" w:rsidR="00AB3BE8" w:rsidRPr="002A3533" w:rsidRDefault="00944B8F" w:rsidP="00A6206B">
            <w:pPr>
              <w:pStyle w:val="In-texttable"/>
              <w:spacing w:line="240" w:lineRule="auto"/>
              <w:jc w:val="center"/>
              <w:rPr>
                <w:rFonts w:ascii="Times New Roman" w:hAnsi="Times New Roman"/>
                <w:sz w:val="22"/>
                <w:lang w:val="it-IT"/>
              </w:rPr>
            </w:pPr>
            <w:r w:rsidRPr="002A3533">
              <w:rPr>
                <w:rFonts w:ascii="Times New Roman" w:hAnsi="Times New Roman"/>
                <w:sz w:val="22"/>
                <w:lang w:val="it-IT"/>
              </w:rPr>
              <w:t>NA</w:t>
            </w:r>
          </w:p>
        </w:tc>
        <w:tc>
          <w:tcPr>
            <w:tcW w:w="1285" w:type="dxa"/>
            <w:tcBorders>
              <w:left w:val="single" w:sz="6" w:space="0" w:color="auto"/>
              <w:bottom w:val="single" w:sz="6" w:space="0" w:color="auto"/>
            </w:tcBorders>
          </w:tcPr>
          <w:p w14:paraId="2B14B66B" w14:textId="77777777" w:rsidR="00AB3BE8" w:rsidRPr="002A3533" w:rsidRDefault="00944B8F" w:rsidP="00A6206B">
            <w:pPr>
              <w:pStyle w:val="In-texttable"/>
              <w:spacing w:line="240" w:lineRule="auto"/>
              <w:jc w:val="center"/>
              <w:rPr>
                <w:rFonts w:ascii="Times New Roman" w:hAnsi="Times New Roman"/>
                <w:sz w:val="22"/>
                <w:lang w:val="it-IT"/>
              </w:rPr>
            </w:pPr>
            <w:r w:rsidRPr="002A3533">
              <w:rPr>
                <w:rFonts w:ascii="Times New Roman" w:hAnsi="Times New Roman"/>
                <w:sz w:val="22"/>
                <w:lang w:val="it-IT"/>
              </w:rPr>
              <w:t>NA</w:t>
            </w:r>
          </w:p>
        </w:tc>
        <w:tc>
          <w:tcPr>
            <w:tcW w:w="1276" w:type="dxa"/>
            <w:tcBorders>
              <w:bottom w:val="single" w:sz="6" w:space="0" w:color="auto"/>
              <w:right w:val="single" w:sz="6" w:space="0" w:color="auto"/>
            </w:tcBorders>
          </w:tcPr>
          <w:p w14:paraId="54A6E762" w14:textId="77777777" w:rsidR="00AB3BE8" w:rsidRPr="002A3533" w:rsidRDefault="00944B8F" w:rsidP="00A6206B">
            <w:pPr>
              <w:pStyle w:val="In-texttable"/>
              <w:spacing w:line="240" w:lineRule="auto"/>
              <w:jc w:val="center"/>
              <w:rPr>
                <w:rFonts w:ascii="Times New Roman" w:hAnsi="Times New Roman"/>
                <w:sz w:val="22"/>
              </w:rPr>
            </w:pPr>
            <w:r w:rsidRPr="002A3533">
              <w:rPr>
                <w:rFonts w:ascii="Times New Roman" w:hAnsi="Times New Roman"/>
                <w:sz w:val="22"/>
              </w:rPr>
              <w:t>NA</w:t>
            </w:r>
          </w:p>
        </w:tc>
        <w:tc>
          <w:tcPr>
            <w:tcW w:w="1276" w:type="dxa"/>
            <w:tcBorders>
              <w:left w:val="single" w:sz="6" w:space="0" w:color="auto"/>
              <w:bottom w:val="single" w:sz="6" w:space="0" w:color="auto"/>
            </w:tcBorders>
          </w:tcPr>
          <w:p w14:paraId="22078381" w14:textId="77777777" w:rsidR="00AB3BE8" w:rsidRPr="002A3533" w:rsidRDefault="00944B8F" w:rsidP="00A6206B">
            <w:pPr>
              <w:pStyle w:val="In-texttable"/>
              <w:tabs>
                <w:tab w:val="decimal" w:pos="567"/>
              </w:tabs>
              <w:spacing w:line="240" w:lineRule="auto"/>
              <w:rPr>
                <w:rFonts w:ascii="Times New Roman" w:hAnsi="Times New Roman"/>
                <w:sz w:val="22"/>
              </w:rPr>
            </w:pPr>
            <w:r w:rsidRPr="002A3533">
              <w:rPr>
                <w:rFonts w:ascii="Times New Roman" w:hAnsi="Times New Roman"/>
                <w:sz w:val="22"/>
              </w:rPr>
              <w:t>4.5%</w:t>
            </w:r>
          </w:p>
        </w:tc>
        <w:tc>
          <w:tcPr>
            <w:tcW w:w="1417" w:type="dxa"/>
            <w:tcBorders>
              <w:bottom w:val="single" w:sz="6" w:space="0" w:color="auto"/>
            </w:tcBorders>
          </w:tcPr>
          <w:p w14:paraId="154CAABB" w14:textId="77777777" w:rsidR="00AB3BE8" w:rsidRPr="002A3533" w:rsidRDefault="00944B8F" w:rsidP="00A6206B">
            <w:pPr>
              <w:pStyle w:val="In-texttable"/>
              <w:tabs>
                <w:tab w:val="decimal" w:pos="662"/>
              </w:tabs>
              <w:spacing w:line="240" w:lineRule="auto"/>
              <w:rPr>
                <w:rFonts w:ascii="Times New Roman" w:hAnsi="Times New Roman"/>
                <w:sz w:val="22"/>
              </w:rPr>
            </w:pPr>
            <w:r w:rsidRPr="002A3533">
              <w:rPr>
                <w:rFonts w:ascii="Times New Roman" w:hAnsi="Times New Roman"/>
                <w:sz w:val="22"/>
              </w:rPr>
              <w:t>23.2%</w:t>
            </w:r>
          </w:p>
        </w:tc>
      </w:tr>
      <w:tr w:rsidR="00C6578C" w14:paraId="324D3F17" w14:textId="77777777" w:rsidTr="00A6206B">
        <w:trPr>
          <w:cantSplit/>
        </w:trPr>
        <w:tc>
          <w:tcPr>
            <w:tcW w:w="9124" w:type="dxa"/>
            <w:gridSpan w:val="7"/>
          </w:tcPr>
          <w:p w14:paraId="2F58C291" w14:textId="77777777" w:rsidR="00AB3BE8" w:rsidRPr="002A3533" w:rsidRDefault="00944B8F" w:rsidP="00A6206B">
            <w:pPr>
              <w:pStyle w:val="In-textfootnote"/>
              <w:spacing w:before="0" w:line="240" w:lineRule="auto"/>
              <w:ind w:left="144" w:hanging="144"/>
              <w:rPr>
                <w:rFonts w:ascii="Times New Roman" w:hAnsi="Times New Roman"/>
                <w:sz w:val="22"/>
              </w:rPr>
            </w:pPr>
            <w:r w:rsidRPr="002A3533">
              <w:rPr>
                <w:rFonts w:ascii="Times New Roman" w:hAnsi="Times New Roman"/>
                <w:sz w:val="22"/>
                <w:vertAlign w:val="superscript"/>
              </w:rPr>
              <w:t>a</w:t>
            </w:r>
            <w:r w:rsidRPr="002A3533">
              <w:rPr>
                <w:rFonts w:ascii="Times New Roman" w:hAnsi="Times New Roman"/>
                <w:sz w:val="22"/>
              </w:rPr>
              <w:tab/>
              <w:t>RA study I at 24 weeks, RA study II at 26 weeks , and RA study III at 24 and 52 weeks</w:t>
            </w:r>
          </w:p>
          <w:p w14:paraId="7B2CEF1E" w14:textId="77777777" w:rsidR="00AB3BE8" w:rsidRPr="002A3533" w:rsidRDefault="00944B8F" w:rsidP="00A6206B">
            <w:pPr>
              <w:pStyle w:val="In-textfootnote"/>
              <w:spacing w:before="0" w:line="240" w:lineRule="auto"/>
              <w:ind w:left="144" w:hanging="144"/>
              <w:rPr>
                <w:rFonts w:ascii="Times New Roman" w:hAnsi="Times New Roman"/>
                <w:sz w:val="22"/>
              </w:rPr>
            </w:pPr>
            <w:r w:rsidRPr="002A3533">
              <w:rPr>
                <w:rFonts w:ascii="Times New Roman" w:hAnsi="Times New Roman"/>
                <w:sz w:val="22"/>
                <w:vertAlign w:val="superscript"/>
              </w:rPr>
              <w:t>b</w:t>
            </w:r>
            <w:r w:rsidRPr="002A3533">
              <w:rPr>
                <w:rFonts w:ascii="Times New Roman" w:hAnsi="Times New Roman"/>
                <w:sz w:val="22"/>
              </w:rPr>
              <w:tab/>
              <w:t>40 mg Humira administered every other week</w:t>
            </w:r>
          </w:p>
          <w:p w14:paraId="05DE45D1" w14:textId="77777777" w:rsidR="00AB3BE8" w:rsidRPr="002A3533" w:rsidRDefault="00944B8F" w:rsidP="00A6206B">
            <w:pPr>
              <w:pStyle w:val="In-textfootnote"/>
              <w:spacing w:before="0" w:line="240" w:lineRule="auto"/>
              <w:ind w:left="144" w:hanging="144"/>
              <w:rPr>
                <w:rFonts w:ascii="Times New Roman" w:hAnsi="Times New Roman"/>
                <w:sz w:val="22"/>
                <w:lang w:val="fr-FR"/>
              </w:rPr>
            </w:pPr>
            <w:r w:rsidRPr="002A3533">
              <w:rPr>
                <w:rFonts w:ascii="Times New Roman" w:hAnsi="Times New Roman"/>
                <w:sz w:val="22"/>
                <w:vertAlign w:val="superscript"/>
                <w:lang w:val="fr-FR"/>
              </w:rPr>
              <w:t>c</w:t>
            </w:r>
            <w:r w:rsidRPr="002A3533">
              <w:rPr>
                <w:rFonts w:ascii="Times New Roman" w:hAnsi="Times New Roman"/>
                <w:sz w:val="22"/>
                <w:lang w:val="fr-FR"/>
              </w:rPr>
              <w:t xml:space="preserve"> MTX = methotrexate</w:t>
            </w:r>
          </w:p>
          <w:p w14:paraId="3B291667" w14:textId="77777777" w:rsidR="00AB3BE8" w:rsidRPr="002A3533" w:rsidRDefault="00944B8F" w:rsidP="00A6206B">
            <w:pPr>
              <w:pStyle w:val="In-textfootnote"/>
              <w:spacing w:before="0" w:line="240" w:lineRule="auto"/>
              <w:ind w:left="144" w:hanging="144"/>
              <w:rPr>
                <w:rFonts w:ascii="Times New Roman" w:hAnsi="Times New Roman"/>
                <w:sz w:val="22"/>
                <w:lang w:val="fr-FR"/>
              </w:rPr>
            </w:pPr>
            <w:r w:rsidRPr="002A3533">
              <w:rPr>
                <w:rFonts w:ascii="Times New Roman" w:hAnsi="Times New Roman"/>
                <w:sz w:val="22"/>
                <w:lang w:val="fr-FR"/>
              </w:rPr>
              <w:t xml:space="preserve">**p &lt; 0.01, Humira </w:t>
            </w:r>
            <w:r w:rsidRPr="002A3533">
              <w:rPr>
                <w:rFonts w:ascii="Times New Roman" w:hAnsi="Times New Roman"/>
                <w:i/>
                <w:iCs/>
                <w:sz w:val="22"/>
                <w:lang w:val="fr-FR"/>
              </w:rPr>
              <w:t>versus</w:t>
            </w:r>
            <w:r w:rsidRPr="002A3533">
              <w:rPr>
                <w:rFonts w:ascii="Times New Roman" w:hAnsi="Times New Roman"/>
                <w:sz w:val="22"/>
                <w:lang w:val="fr-FR"/>
              </w:rPr>
              <w:t xml:space="preserve"> placebo</w:t>
            </w:r>
          </w:p>
        </w:tc>
      </w:tr>
    </w:tbl>
    <w:p w14:paraId="587A2EBE" w14:textId="77777777" w:rsidR="00AB3BE8" w:rsidRPr="002A3533" w:rsidRDefault="00AB3BE8" w:rsidP="00AB3BE8">
      <w:pPr>
        <w:rPr>
          <w:lang w:val="fr-FR"/>
        </w:rPr>
      </w:pPr>
    </w:p>
    <w:p w14:paraId="6260239C" w14:textId="77777777" w:rsidR="00AB3BE8" w:rsidRPr="002A3533" w:rsidRDefault="00944B8F" w:rsidP="00AB3BE8">
      <w:r w:rsidRPr="002A3533">
        <w:t xml:space="preserve">In RA studies I-IV, all individual components of the ACR response criteria (number of tender and swollen joints, physician and patient assessment of disease activity and pain, disability index (HAQ) scores and CRP (mg/dl) values) improved at 24 or 26 weeks compared to placebo. In RA study III, these improvements were maintained throughout 52 weeks. </w:t>
      </w:r>
    </w:p>
    <w:p w14:paraId="1D4309CA" w14:textId="77777777" w:rsidR="00AB3BE8" w:rsidRPr="002A3533" w:rsidRDefault="00AB3BE8" w:rsidP="00AB3BE8"/>
    <w:p w14:paraId="2FDB565D" w14:textId="77777777" w:rsidR="00AB3BE8" w:rsidRPr="002A3533" w:rsidRDefault="00944B8F" w:rsidP="00AB3BE8">
      <w:r w:rsidRPr="002A3533">
        <w:t>In the open-label extension for RA study III, most patients who were ACR responders maintained response when followed for up to 10 years. Of 207 patients who were randomised to Humira 40 mg every other week, 114 patients continued on Humira 40 mg every other week for 5 years. Among those, 86 patients (75.4%) had ACR 20 responses; 72 patients (63.2%) had ACR 50 responses; and 41 patients (36%) had ACR 70 responses. Of 207 patients, 81 patients continued on Humira 40 mg every other week for 10 years. Among those, 64 patients (79.0%) had ACR 20 responses; 56 patients (69.1%) had ACR 50 responses; and 43 patients (53.1%) had ACR 70 responses.</w:t>
      </w:r>
    </w:p>
    <w:p w14:paraId="0C8CE84F" w14:textId="77777777" w:rsidR="00AB3BE8" w:rsidRPr="002A3533" w:rsidRDefault="00AB3BE8" w:rsidP="00AB3BE8"/>
    <w:p w14:paraId="14B8CCDC" w14:textId="77777777" w:rsidR="00AB3BE8" w:rsidRPr="002A3533" w:rsidRDefault="00944B8F" w:rsidP="00AB3BE8">
      <w:r w:rsidRPr="002A3533">
        <w:t xml:space="preserve">In RA study IV, the ACR 20 response of patients treated with Humira plus standard of care was statistically significantly better than patients treated with placebo plus standard of care (p &lt; 0.001).  </w:t>
      </w:r>
    </w:p>
    <w:p w14:paraId="1097C334" w14:textId="77777777" w:rsidR="00AB3BE8" w:rsidRPr="002A3533" w:rsidRDefault="00AB3BE8" w:rsidP="00AB3BE8">
      <w:pPr>
        <w:pStyle w:val="BodyText30"/>
        <w:tabs>
          <w:tab w:val="clear" w:pos="1152"/>
          <w:tab w:val="clear" w:pos="1872"/>
        </w:tabs>
        <w:spacing w:after="0" w:line="240" w:lineRule="auto"/>
        <w:ind w:left="0"/>
        <w:jc w:val="left"/>
        <w:rPr>
          <w:sz w:val="22"/>
          <w:lang w:val="en-GB"/>
        </w:rPr>
      </w:pPr>
    </w:p>
    <w:p w14:paraId="29286CF8" w14:textId="77777777" w:rsidR="00AB3BE8" w:rsidRPr="002A3533" w:rsidRDefault="00944B8F" w:rsidP="00AB3BE8">
      <w:r w:rsidRPr="002A3533">
        <w:t>In RA studies I-IV, Humira-treated patients achieved statistically significant ACR 20 and 50 responses compared to placebo as early as one to two weeks after initiation of treatment.</w:t>
      </w:r>
    </w:p>
    <w:p w14:paraId="0EE94016" w14:textId="77777777" w:rsidR="00AB3BE8" w:rsidRPr="002A3533" w:rsidRDefault="00AB3BE8" w:rsidP="00AB3BE8"/>
    <w:p w14:paraId="254C453D" w14:textId="77777777" w:rsidR="00AB3BE8" w:rsidRPr="002A3533" w:rsidRDefault="00944B8F" w:rsidP="00AB3BE8">
      <w:r w:rsidRPr="002A3533">
        <w:t>In RA study V with early rheumatoid arthritis patients who were methotrexate naïve, combination therapy with Humira and methotrexate led to faster and significantly greater ACR responses than methotrexate monotherapy and Humira monotherapy at Week 52 and responses were su</w:t>
      </w:r>
      <w:r>
        <w:t xml:space="preserve">stained at Week 104 (see Table </w:t>
      </w:r>
      <w:r w:rsidR="00D32B46">
        <w:t>8</w:t>
      </w:r>
      <w:r w:rsidRPr="002A3533">
        <w:t>).</w:t>
      </w:r>
    </w:p>
    <w:p w14:paraId="7A09064E" w14:textId="77777777" w:rsidR="00AB3BE8" w:rsidRPr="002A3533" w:rsidRDefault="00AB3BE8" w:rsidP="00AB3BE8">
      <w:pPr>
        <w:keepN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
        <w:gridCol w:w="1539"/>
        <w:gridCol w:w="1320"/>
        <w:gridCol w:w="1320"/>
        <w:gridCol w:w="1576"/>
        <w:gridCol w:w="1100"/>
        <w:gridCol w:w="1173"/>
        <w:gridCol w:w="1210"/>
        <w:gridCol w:w="12"/>
      </w:tblGrid>
      <w:tr w:rsidR="00C6578C" w14:paraId="69052743" w14:textId="77777777" w:rsidTr="00A6206B">
        <w:trPr>
          <w:gridBefore w:val="1"/>
          <w:wBefore w:w="9" w:type="dxa"/>
          <w:cantSplit/>
          <w:jc w:val="center"/>
        </w:trPr>
        <w:tc>
          <w:tcPr>
            <w:tcW w:w="9250" w:type="dxa"/>
            <w:gridSpan w:val="8"/>
            <w:tcBorders>
              <w:top w:val="nil"/>
              <w:left w:val="nil"/>
              <w:bottom w:val="nil"/>
              <w:right w:val="nil"/>
            </w:tcBorders>
            <w:vAlign w:val="center"/>
          </w:tcPr>
          <w:p w14:paraId="4743D3AC" w14:textId="77777777" w:rsidR="00AB3BE8" w:rsidRPr="003F7AAE" w:rsidRDefault="00944B8F" w:rsidP="00A6206B">
            <w:pPr>
              <w:pStyle w:val="BodyText"/>
              <w:keepNext/>
              <w:tabs>
                <w:tab w:val="left" w:pos="3600"/>
                <w:tab w:val="center" w:pos="5760"/>
              </w:tabs>
              <w:jc w:val="center"/>
              <w:rPr>
                <w:iCs/>
                <w:sz w:val="22"/>
              </w:rPr>
            </w:pPr>
            <w:r>
              <w:rPr>
                <w:b/>
                <w:iCs/>
                <w:sz w:val="22"/>
              </w:rPr>
              <w:t xml:space="preserve">Table </w:t>
            </w:r>
            <w:r w:rsidR="00D32B46">
              <w:rPr>
                <w:b/>
                <w:iCs/>
                <w:sz w:val="22"/>
              </w:rPr>
              <w:t>8</w:t>
            </w:r>
          </w:p>
          <w:p w14:paraId="101C58B6" w14:textId="77777777" w:rsidR="00AB3BE8" w:rsidRPr="003F7AAE" w:rsidRDefault="00944B8F" w:rsidP="00A6206B">
            <w:pPr>
              <w:pStyle w:val="BodyText"/>
              <w:keepNext/>
              <w:tabs>
                <w:tab w:val="left" w:pos="3600"/>
                <w:tab w:val="center" w:pos="5760"/>
              </w:tabs>
              <w:jc w:val="center"/>
              <w:rPr>
                <w:iCs/>
                <w:sz w:val="22"/>
              </w:rPr>
            </w:pPr>
            <w:r w:rsidRPr="002A3533">
              <w:rPr>
                <w:b/>
                <w:iCs/>
                <w:sz w:val="22"/>
              </w:rPr>
              <w:t>ACR Responses in RA Study V</w:t>
            </w:r>
          </w:p>
          <w:p w14:paraId="2A83EED2" w14:textId="77777777" w:rsidR="00AB3BE8" w:rsidRPr="003F7AAE" w:rsidRDefault="00944B8F" w:rsidP="00A6206B">
            <w:pPr>
              <w:pStyle w:val="BodyText"/>
              <w:keepNext/>
              <w:tabs>
                <w:tab w:val="left" w:pos="3600"/>
                <w:tab w:val="center" w:pos="5760"/>
              </w:tabs>
              <w:jc w:val="center"/>
              <w:rPr>
                <w:bCs/>
                <w:caps/>
                <w:sz w:val="22"/>
              </w:rPr>
            </w:pPr>
            <w:r w:rsidRPr="002A3533">
              <w:rPr>
                <w:b/>
                <w:bCs/>
                <w:sz w:val="22"/>
              </w:rPr>
              <w:t>(percent of patients</w:t>
            </w:r>
            <w:r w:rsidRPr="002A3533">
              <w:rPr>
                <w:b/>
                <w:bCs/>
                <w:caps/>
                <w:sz w:val="22"/>
              </w:rPr>
              <w:t>)</w:t>
            </w:r>
          </w:p>
          <w:p w14:paraId="226DCAAE" w14:textId="77777777" w:rsidR="00AB3BE8" w:rsidRPr="002A3533" w:rsidRDefault="00AB3BE8" w:rsidP="00A6206B">
            <w:pPr>
              <w:pStyle w:val="BodyText"/>
              <w:keepNext/>
              <w:tabs>
                <w:tab w:val="left" w:pos="3600"/>
                <w:tab w:val="center" w:pos="5760"/>
              </w:tabs>
              <w:jc w:val="center"/>
              <w:rPr>
                <w:b/>
                <w:bCs/>
                <w:sz w:val="22"/>
              </w:rPr>
            </w:pPr>
          </w:p>
        </w:tc>
      </w:tr>
      <w:tr w:rsidR="00C6578C" w14:paraId="42A4DBA2" w14:textId="77777777" w:rsidTr="00A6206B">
        <w:trPr>
          <w:gridAfter w:val="1"/>
          <w:wAfter w:w="12" w:type="dxa"/>
          <w:cantSplit/>
          <w:jc w:val="center"/>
        </w:trPr>
        <w:tc>
          <w:tcPr>
            <w:tcW w:w="1548" w:type="dxa"/>
            <w:gridSpan w:val="2"/>
            <w:vAlign w:val="center"/>
          </w:tcPr>
          <w:p w14:paraId="05C01C12" w14:textId="77777777" w:rsidR="00AB3BE8" w:rsidRPr="002A3533" w:rsidRDefault="00944B8F" w:rsidP="00A6206B">
            <w:pPr>
              <w:keepNext/>
              <w:rPr>
                <w:b/>
                <w:bCs/>
                <w:lang w:val="fr-FR"/>
              </w:rPr>
            </w:pPr>
            <w:r w:rsidRPr="002A3533">
              <w:rPr>
                <w:b/>
                <w:bCs/>
                <w:lang w:val="fr-FR"/>
              </w:rPr>
              <w:t>Response</w:t>
            </w:r>
          </w:p>
        </w:tc>
        <w:tc>
          <w:tcPr>
            <w:tcW w:w="1320" w:type="dxa"/>
            <w:vAlign w:val="center"/>
          </w:tcPr>
          <w:p w14:paraId="36019324" w14:textId="77777777" w:rsidR="00AB3BE8" w:rsidRPr="002A3533" w:rsidRDefault="00944B8F" w:rsidP="00A6206B">
            <w:pPr>
              <w:keepNext/>
              <w:jc w:val="center"/>
              <w:rPr>
                <w:b/>
                <w:bCs/>
                <w:lang w:val="fr-FR"/>
              </w:rPr>
            </w:pPr>
            <w:r w:rsidRPr="002A3533">
              <w:rPr>
                <w:b/>
                <w:bCs/>
                <w:lang w:val="fr-FR"/>
              </w:rPr>
              <w:t>MTX</w:t>
            </w:r>
          </w:p>
          <w:p w14:paraId="7576932F" w14:textId="77777777" w:rsidR="00AB3BE8" w:rsidRPr="002A3533" w:rsidRDefault="00944B8F" w:rsidP="00A6206B">
            <w:pPr>
              <w:pStyle w:val="EndnoteText"/>
              <w:keepNext/>
              <w:jc w:val="center"/>
              <w:rPr>
                <w:b/>
                <w:bCs/>
                <w:sz w:val="22"/>
                <w:szCs w:val="24"/>
                <w:lang w:val="fr-FR"/>
              </w:rPr>
            </w:pPr>
            <w:r w:rsidRPr="002A3533">
              <w:rPr>
                <w:b/>
                <w:bCs/>
                <w:sz w:val="22"/>
                <w:szCs w:val="24"/>
                <w:lang w:val="fr-FR"/>
              </w:rPr>
              <w:t>n=257</w:t>
            </w:r>
          </w:p>
        </w:tc>
        <w:tc>
          <w:tcPr>
            <w:tcW w:w="1320" w:type="dxa"/>
            <w:vAlign w:val="center"/>
          </w:tcPr>
          <w:p w14:paraId="60F95A5F" w14:textId="77777777" w:rsidR="00AB3BE8" w:rsidRPr="002A3533" w:rsidRDefault="00944B8F" w:rsidP="00A6206B">
            <w:pPr>
              <w:keepNext/>
              <w:jc w:val="center"/>
              <w:rPr>
                <w:b/>
                <w:bCs/>
                <w:lang w:val="fr-FR"/>
              </w:rPr>
            </w:pPr>
            <w:r w:rsidRPr="002A3533">
              <w:rPr>
                <w:b/>
                <w:bCs/>
                <w:lang w:val="fr-FR"/>
              </w:rPr>
              <w:t>Humira</w:t>
            </w:r>
          </w:p>
          <w:p w14:paraId="590CE8B8" w14:textId="77777777" w:rsidR="00AB3BE8" w:rsidRPr="002A3533" w:rsidRDefault="00944B8F" w:rsidP="00A6206B">
            <w:pPr>
              <w:keepNext/>
              <w:jc w:val="center"/>
              <w:rPr>
                <w:b/>
                <w:bCs/>
                <w:lang w:val="fr-FR"/>
              </w:rPr>
            </w:pPr>
            <w:r w:rsidRPr="002A3533">
              <w:rPr>
                <w:b/>
                <w:bCs/>
                <w:lang w:val="fr-FR"/>
              </w:rPr>
              <w:t>n=274</w:t>
            </w:r>
          </w:p>
        </w:tc>
        <w:tc>
          <w:tcPr>
            <w:tcW w:w="1576" w:type="dxa"/>
            <w:vAlign w:val="center"/>
          </w:tcPr>
          <w:p w14:paraId="5F48BE7F" w14:textId="77777777" w:rsidR="00AB3BE8" w:rsidRPr="002A3533" w:rsidRDefault="00944B8F" w:rsidP="00A6206B">
            <w:pPr>
              <w:keepNext/>
              <w:jc w:val="center"/>
              <w:rPr>
                <w:b/>
                <w:bCs/>
                <w:lang w:val="fr-FR"/>
              </w:rPr>
            </w:pPr>
            <w:r w:rsidRPr="002A3533">
              <w:rPr>
                <w:b/>
                <w:bCs/>
                <w:lang w:val="fr-FR"/>
              </w:rPr>
              <w:t>Humira/MTX</w:t>
            </w:r>
          </w:p>
          <w:p w14:paraId="04C0FE4F" w14:textId="77777777" w:rsidR="00AB3BE8" w:rsidRPr="002A3533" w:rsidRDefault="00944B8F" w:rsidP="00A6206B">
            <w:pPr>
              <w:keepNext/>
              <w:jc w:val="center"/>
              <w:rPr>
                <w:b/>
                <w:bCs/>
                <w:lang w:val="fr-FR"/>
              </w:rPr>
            </w:pPr>
            <w:r w:rsidRPr="002A3533">
              <w:rPr>
                <w:b/>
                <w:bCs/>
                <w:lang w:val="fr-FR"/>
              </w:rPr>
              <w:t>n=268</w:t>
            </w:r>
          </w:p>
        </w:tc>
        <w:tc>
          <w:tcPr>
            <w:tcW w:w="1100" w:type="dxa"/>
            <w:vAlign w:val="center"/>
          </w:tcPr>
          <w:p w14:paraId="7AE8CCF3" w14:textId="77777777" w:rsidR="00AB3BE8" w:rsidRPr="002A3533" w:rsidRDefault="00944B8F" w:rsidP="00A6206B">
            <w:pPr>
              <w:pStyle w:val="EndnoteText"/>
              <w:keepNext/>
              <w:jc w:val="center"/>
              <w:rPr>
                <w:b/>
                <w:bCs/>
                <w:sz w:val="22"/>
                <w:szCs w:val="24"/>
                <w:lang w:val="fr-FR"/>
              </w:rPr>
            </w:pPr>
            <w:r w:rsidRPr="002A3533">
              <w:rPr>
                <w:b/>
                <w:bCs/>
                <w:sz w:val="22"/>
                <w:szCs w:val="24"/>
                <w:lang w:val="fr-FR"/>
              </w:rPr>
              <w:t>p-value</w:t>
            </w:r>
            <w:r w:rsidRPr="002A3533">
              <w:rPr>
                <w:b/>
                <w:bCs/>
                <w:sz w:val="22"/>
                <w:szCs w:val="24"/>
                <w:vertAlign w:val="superscript"/>
                <w:lang w:val="fr-FR"/>
              </w:rPr>
              <w:t>a</w:t>
            </w:r>
          </w:p>
        </w:tc>
        <w:tc>
          <w:tcPr>
            <w:tcW w:w="1173" w:type="dxa"/>
            <w:vAlign w:val="center"/>
          </w:tcPr>
          <w:p w14:paraId="500B8594" w14:textId="77777777" w:rsidR="00AB3BE8" w:rsidRPr="002A3533" w:rsidRDefault="00944B8F" w:rsidP="00A6206B">
            <w:pPr>
              <w:keepNext/>
              <w:jc w:val="center"/>
              <w:rPr>
                <w:b/>
                <w:bCs/>
                <w:lang w:val="fr-FR"/>
              </w:rPr>
            </w:pPr>
            <w:r w:rsidRPr="002A3533">
              <w:rPr>
                <w:b/>
                <w:bCs/>
                <w:lang w:val="fr-FR"/>
              </w:rPr>
              <w:t>p-value</w:t>
            </w:r>
            <w:r w:rsidRPr="002A3533">
              <w:rPr>
                <w:b/>
                <w:bCs/>
                <w:vertAlign w:val="superscript"/>
                <w:lang w:val="fr-FR"/>
              </w:rPr>
              <w:t>b</w:t>
            </w:r>
          </w:p>
        </w:tc>
        <w:tc>
          <w:tcPr>
            <w:tcW w:w="1210" w:type="dxa"/>
            <w:vAlign w:val="center"/>
          </w:tcPr>
          <w:p w14:paraId="65106FFB" w14:textId="77777777" w:rsidR="00AB3BE8" w:rsidRPr="002A3533" w:rsidRDefault="00944B8F" w:rsidP="00A6206B">
            <w:pPr>
              <w:keepNext/>
              <w:jc w:val="center"/>
            </w:pPr>
            <w:r w:rsidRPr="002A3533">
              <w:rPr>
                <w:b/>
                <w:bCs/>
              </w:rPr>
              <w:t>p-value</w:t>
            </w:r>
            <w:r w:rsidRPr="002A3533">
              <w:rPr>
                <w:b/>
                <w:bCs/>
                <w:vertAlign w:val="superscript"/>
              </w:rPr>
              <w:t>c</w:t>
            </w:r>
          </w:p>
        </w:tc>
      </w:tr>
      <w:tr w:rsidR="00C6578C" w14:paraId="357FD4B0" w14:textId="77777777" w:rsidTr="00A6206B">
        <w:trPr>
          <w:gridAfter w:val="1"/>
          <w:wAfter w:w="12" w:type="dxa"/>
          <w:cantSplit/>
          <w:jc w:val="center"/>
        </w:trPr>
        <w:tc>
          <w:tcPr>
            <w:tcW w:w="1548" w:type="dxa"/>
            <w:gridSpan w:val="2"/>
          </w:tcPr>
          <w:p w14:paraId="498A9B76" w14:textId="77777777" w:rsidR="00AB3BE8" w:rsidRPr="002A3533" w:rsidRDefault="00944B8F" w:rsidP="00A6206B">
            <w:pPr>
              <w:keepNext/>
            </w:pPr>
            <w:r w:rsidRPr="002A3533">
              <w:t>ACR 20</w:t>
            </w:r>
          </w:p>
        </w:tc>
        <w:tc>
          <w:tcPr>
            <w:tcW w:w="1320" w:type="dxa"/>
          </w:tcPr>
          <w:p w14:paraId="657ACDE3" w14:textId="77777777" w:rsidR="00AB3BE8" w:rsidRPr="002A3533" w:rsidRDefault="00AB3BE8" w:rsidP="00A6206B">
            <w:pPr>
              <w:keepNext/>
              <w:jc w:val="center"/>
            </w:pPr>
          </w:p>
        </w:tc>
        <w:tc>
          <w:tcPr>
            <w:tcW w:w="1320" w:type="dxa"/>
          </w:tcPr>
          <w:p w14:paraId="33397D5E" w14:textId="77777777" w:rsidR="00AB3BE8" w:rsidRPr="002A3533" w:rsidRDefault="00AB3BE8" w:rsidP="00A6206B">
            <w:pPr>
              <w:keepNext/>
              <w:jc w:val="center"/>
            </w:pPr>
          </w:p>
        </w:tc>
        <w:tc>
          <w:tcPr>
            <w:tcW w:w="1576" w:type="dxa"/>
          </w:tcPr>
          <w:p w14:paraId="3F8B5B50" w14:textId="77777777" w:rsidR="00AB3BE8" w:rsidRPr="002A3533" w:rsidRDefault="00AB3BE8" w:rsidP="00A6206B">
            <w:pPr>
              <w:keepNext/>
              <w:jc w:val="center"/>
            </w:pPr>
          </w:p>
        </w:tc>
        <w:tc>
          <w:tcPr>
            <w:tcW w:w="1100" w:type="dxa"/>
          </w:tcPr>
          <w:p w14:paraId="603ACF92" w14:textId="77777777" w:rsidR="00AB3BE8" w:rsidRPr="002A3533" w:rsidRDefault="00AB3BE8" w:rsidP="00A6206B">
            <w:pPr>
              <w:keepNext/>
              <w:jc w:val="center"/>
            </w:pPr>
          </w:p>
        </w:tc>
        <w:tc>
          <w:tcPr>
            <w:tcW w:w="1173" w:type="dxa"/>
          </w:tcPr>
          <w:p w14:paraId="4B3A0721" w14:textId="77777777" w:rsidR="00AB3BE8" w:rsidRPr="002A3533" w:rsidRDefault="00AB3BE8" w:rsidP="00A6206B">
            <w:pPr>
              <w:keepNext/>
              <w:jc w:val="center"/>
            </w:pPr>
          </w:p>
        </w:tc>
        <w:tc>
          <w:tcPr>
            <w:tcW w:w="1210" w:type="dxa"/>
          </w:tcPr>
          <w:p w14:paraId="0C3056D5" w14:textId="77777777" w:rsidR="00AB3BE8" w:rsidRPr="002A3533" w:rsidRDefault="00AB3BE8" w:rsidP="00A6206B">
            <w:pPr>
              <w:keepNext/>
              <w:jc w:val="center"/>
            </w:pPr>
          </w:p>
        </w:tc>
      </w:tr>
      <w:tr w:rsidR="00C6578C" w14:paraId="51A90415" w14:textId="77777777" w:rsidTr="00A6206B">
        <w:trPr>
          <w:gridAfter w:val="1"/>
          <w:wAfter w:w="12" w:type="dxa"/>
          <w:cantSplit/>
          <w:jc w:val="center"/>
        </w:trPr>
        <w:tc>
          <w:tcPr>
            <w:tcW w:w="1548" w:type="dxa"/>
            <w:gridSpan w:val="2"/>
          </w:tcPr>
          <w:p w14:paraId="040F3D55" w14:textId="77777777" w:rsidR="00AB3BE8" w:rsidRPr="002A3533" w:rsidRDefault="00944B8F" w:rsidP="00A6206B">
            <w:pPr>
              <w:keepNext/>
            </w:pPr>
            <w:r w:rsidRPr="002A3533">
              <w:tab/>
              <w:t>Week 52</w:t>
            </w:r>
          </w:p>
        </w:tc>
        <w:tc>
          <w:tcPr>
            <w:tcW w:w="1320" w:type="dxa"/>
          </w:tcPr>
          <w:p w14:paraId="57B08DBD" w14:textId="77777777" w:rsidR="00AB3BE8" w:rsidRPr="002A3533" w:rsidRDefault="00944B8F" w:rsidP="00A6206B">
            <w:pPr>
              <w:keepNext/>
              <w:jc w:val="center"/>
            </w:pPr>
            <w:r w:rsidRPr="002A3533">
              <w:t>62.6%</w:t>
            </w:r>
          </w:p>
        </w:tc>
        <w:tc>
          <w:tcPr>
            <w:tcW w:w="1320" w:type="dxa"/>
          </w:tcPr>
          <w:p w14:paraId="2B3A7DC7" w14:textId="77777777" w:rsidR="00AB3BE8" w:rsidRPr="002A3533" w:rsidRDefault="00944B8F" w:rsidP="00A6206B">
            <w:pPr>
              <w:keepNext/>
              <w:jc w:val="center"/>
            </w:pPr>
            <w:r w:rsidRPr="002A3533">
              <w:t>54.4%</w:t>
            </w:r>
          </w:p>
        </w:tc>
        <w:tc>
          <w:tcPr>
            <w:tcW w:w="1576" w:type="dxa"/>
          </w:tcPr>
          <w:p w14:paraId="7DF80744" w14:textId="77777777" w:rsidR="00AB3BE8" w:rsidRPr="002A3533" w:rsidRDefault="00944B8F" w:rsidP="00A6206B">
            <w:pPr>
              <w:keepNext/>
              <w:jc w:val="center"/>
            </w:pPr>
            <w:r w:rsidRPr="002A3533">
              <w:t>72.8%</w:t>
            </w:r>
          </w:p>
        </w:tc>
        <w:tc>
          <w:tcPr>
            <w:tcW w:w="1100" w:type="dxa"/>
          </w:tcPr>
          <w:p w14:paraId="2F3BC2F3" w14:textId="77777777" w:rsidR="00AB3BE8" w:rsidRPr="002A3533" w:rsidRDefault="00944B8F" w:rsidP="00A6206B">
            <w:pPr>
              <w:keepNext/>
              <w:jc w:val="center"/>
            </w:pPr>
            <w:r w:rsidRPr="002A3533">
              <w:t>0.013</w:t>
            </w:r>
          </w:p>
        </w:tc>
        <w:tc>
          <w:tcPr>
            <w:tcW w:w="1173" w:type="dxa"/>
          </w:tcPr>
          <w:p w14:paraId="22B2B8E0" w14:textId="77777777" w:rsidR="00AB3BE8" w:rsidRPr="002A3533" w:rsidRDefault="00944B8F" w:rsidP="00A6206B">
            <w:pPr>
              <w:keepNext/>
              <w:jc w:val="center"/>
            </w:pPr>
            <w:r w:rsidRPr="002A3533">
              <w:t>&lt; 0.001</w:t>
            </w:r>
          </w:p>
        </w:tc>
        <w:tc>
          <w:tcPr>
            <w:tcW w:w="1210" w:type="dxa"/>
          </w:tcPr>
          <w:p w14:paraId="3D6B1FA0" w14:textId="77777777" w:rsidR="00AB3BE8" w:rsidRPr="002A3533" w:rsidRDefault="00944B8F" w:rsidP="00A6206B">
            <w:pPr>
              <w:keepNext/>
              <w:jc w:val="center"/>
            </w:pPr>
            <w:r w:rsidRPr="002A3533">
              <w:t>0.043</w:t>
            </w:r>
          </w:p>
        </w:tc>
      </w:tr>
      <w:tr w:rsidR="00C6578C" w14:paraId="5E2F68B6" w14:textId="77777777" w:rsidTr="00A6206B">
        <w:trPr>
          <w:gridAfter w:val="1"/>
          <w:wAfter w:w="12" w:type="dxa"/>
          <w:cantSplit/>
          <w:jc w:val="center"/>
        </w:trPr>
        <w:tc>
          <w:tcPr>
            <w:tcW w:w="1548" w:type="dxa"/>
            <w:gridSpan w:val="2"/>
          </w:tcPr>
          <w:p w14:paraId="5C0E73FE" w14:textId="77777777" w:rsidR="00AB3BE8" w:rsidRPr="002A3533" w:rsidRDefault="00944B8F" w:rsidP="00A6206B">
            <w:pPr>
              <w:keepNext/>
            </w:pPr>
            <w:r w:rsidRPr="002A3533">
              <w:tab/>
              <w:t>Week 104</w:t>
            </w:r>
          </w:p>
        </w:tc>
        <w:tc>
          <w:tcPr>
            <w:tcW w:w="1320" w:type="dxa"/>
          </w:tcPr>
          <w:p w14:paraId="3184B35D" w14:textId="77777777" w:rsidR="00AB3BE8" w:rsidRPr="002A3533" w:rsidRDefault="00944B8F" w:rsidP="00A6206B">
            <w:pPr>
              <w:keepNext/>
              <w:jc w:val="center"/>
            </w:pPr>
            <w:r w:rsidRPr="002A3533">
              <w:t>56.0%</w:t>
            </w:r>
          </w:p>
        </w:tc>
        <w:tc>
          <w:tcPr>
            <w:tcW w:w="1320" w:type="dxa"/>
          </w:tcPr>
          <w:p w14:paraId="4AE1B354" w14:textId="77777777" w:rsidR="00AB3BE8" w:rsidRPr="002A3533" w:rsidRDefault="00944B8F" w:rsidP="00A6206B">
            <w:pPr>
              <w:keepNext/>
              <w:jc w:val="center"/>
            </w:pPr>
            <w:r w:rsidRPr="002A3533">
              <w:t>49.3%</w:t>
            </w:r>
          </w:p>
        </w:tc>
        <w:tc>
          <w:tcPr>
            <w:tcW w:w="1576" w:type="dxa"/>
          </w:tcPr>
          <w:p w14:paraId="4FA96E5D" w14:textId="77777777" w:rsidR="00AB3BE8" w:rsidRPr="002A3533" w:rsidRDefault="00944B8F" w:rsidP="00A6206B">
            <w:pPr>
              <w:keepNext/>
              <w:jc w:val="center"/>
            </w:pPr>
            <w:r w:rsidRPr="002A3533">
              <w:t>69.4%</w:t>
            </w:r>
          </w:p>
        </w:tc>
        <w:tc>
          <w:tcPr>
            <w:tcW w:w="1100" w:type="dxa"/>
          </w:tcPr>
          <w:p w14:paraId="31FBBF40" w14:textId="77777777" w:rsidR="00AB3BE8" w:rsidRPr="002A3533" w:rsidRDefault="00944B8F" w:rsidP="00A6206B">
            <w:pPr>
              <w:keepNext/>
              <w:jc w:val="center"/>
            </w:pPr>
            <w:r w:rsidRPr="002A3533">
              <w:t>0.002</w:t>
            </w:r>
          </w:p>
        </w:tc>
        <w:tc>
          <w:tcPr>
            <w:tcW w:w="1173" w:type="dxa"/>
          </w:tcPr>
          <w:p w14:paraId="21E4CF72" w14:textId="77777777" w:rsidR="00AB3BE8" w:rsidRPr="002A3533" w:rsidRDefault="00944B8F" w:rsidP="00A6206B">
            <w:pPr>
              <w:keepNext/>
              <w:jc w:val="center"/>
            </w:pPr>
            <w:r w:rsidRPr="002A3533">
              <w:t>&lt; 0.001</w:t>
            </w:r>
          </w:p>
        </w:tc>
        <w:tc>
          <w:tcPr>
            <w:tcW w:w="1210" w:type="dxa"/>
          </w:tcPr>
          <w:p w14:paraId="61F7100B" w14:textId="77777777" w:rsidR="00AB3BE8" w:rsidRPr="002A3533" w:rsidRDefault="00944B8F" w:rsidP="00A6206B">
            <w:pPr>
              <w:keepNext/>
              <w:jc w:val="center"/>
            </w:pPr>
            <w:r w:rsidRPr="002A3533">
              <w:t>0.140</w:t>
            </w:r>
          </w:p>
        </w:tc>
      </w:tr>
      <w:tr w:rsidR="00C6578C" w14:paraId="59088EE3" w14:textId="77777777" w:rsidTr="00A6206B">
        <w:trPr>
          <w:gridAfter w:val="1"/>
          <w:wAfter w:w="12" w:type="dxa"/>
          <w:cantSplit/>
          <w:jc w:val="center"/>
        </w:trPr>
        <w:tc>
          <w:tcPr>
            <w:tcW w:w="1548" w:type="dxa"/>
            <w:gridSpan w:val="2"/>
          </w:tcPr>
          <w:p w14:paraId="5BD0EB7A" w14:textId="77777777" w:rsidR="00AB3BE8" w:rsidRPr="002A3533" w:rsidRDefault="00944B8F" w:rsidP="00A6206B">
            <w:pPr>
              <w:keepNext/>
            </w:pPr>
            <w:r w:rsidRPr="002A3533">
              <w:t>ACR 50</w:t>
            </w:r>
          </w:p>
        </w:tc>
        <w:tc>
          <w:tcPr>
            <w:tcW w:w="1320" w:type="dxa"/>
          </w:tcPr>
          <w:p w14:paraId="78E68D98" w14:textId="77777777" w:rsidR="00AB3BE8" w:rsidRPr="002A3533" w:rsidRDefault="00AB3BE8" w:rsidP="00A6206B">
            <w:pPr>
              <w:keepNext/>
              <w:jc w:val="center"/>
            </w:pPr>
          </w:p>
        </w:tc>
        <w:tc>
          <w:tcPr>
            <w:tcW w:w="1320" w:type="dxa"/>
          </w:tcPr>
          <w:p w14:paraId="3FD2FE19" w14:textId="77777777" w:rsidR="00AB3BE8" w:rsidRPr="002A3533" w:rsidRDefault="00AB3BE8" w:rsidP="00A6206B">
            <w:pPr>
              <w:keepNext/>
              <w:jc w:val="center"/>
            </w:pPr>
          </w:p>
        </w:tc>
        <w:tc>
          <w:tcPr>
            <w:tcW w:w="1576" w:type="dxa"/>
          </w:tcPr>
          <w:p w14:paraId="1C6AE4EB" w14:textId="77777777" w:rsidR="00AB3BE8" w:rsidRPr="002A3533" w:rsidRDefault="00AB3BE8" w:rsidP="00A6206B">
            <w:pPr>
              <w:keepNext/>
              <w:jc w:val="center"/>
            </w:pPr>
          </w:p>
        </w:tc>
        <w:tc>
          <w:tcPr>
            <w:tcW w:w="1100" w:type="dxa"/>
          </w:tcPr>
          <w:p w14:paraId="4BDCCB0F" w14:textId="77777777" w:rsidR="00AB3BE8" w:rsidRPr="002A3533" w:rsidRDefault="00AB3BE8" w:rsidP="00A6206B">
            <w:pPr>
              <w:keepNext/>
              <w:jc w:val="center"/>
            </w:pPr>
          </w:p>
        </w:tc>
        <w:tc>
          <w:tcPr>
            <w:tcW w:w="1173" w:type="dxa"/>
          </w:tcPr>
          <w:p w14:paraId="7066E76C" w14:textId="77777777" w:rsidR="00AB3BE8" w:rsidRPr="002A3533" w:rsidRDefault="00AB3BE8" w:rsidP="00A6206B">
            <w:pPr>
              <w:keepNext/>
              <w:jc w:val="center"/>
            </w:pPr>
          </w:p>
        </w:tc>
        <w:tc>
          <w:tcPr>
            <w:tcW w:w="1210" w:type="dxa"/>
          </w:tcPr>
          <w:p w14:paraId="36C9066F" w14:textId="77777777" w:rsidR="00AB3BE8" w:rsidRPr="002A3533" w:rsidRDefault="00AB3BE8" w:rsidP="00A6206B">
            <w:pPr>
              <w:keepNext/>
              <w:jc w:val="center"/>
            </w:pPr>
          </w:p>
        </w:tc>
      </w:tr>
      <w:tr w:rsidR="00C6578C" w14:paraId="56947A6D" w14:textId="77777777" w:rsidTr="00A6206B">
        <w:trPr>
          <w:gridAfter w:val="1"/>
          <w:wAfter w:w="12" w:type="dxa"/>
          <w:cantSplit/>
          <w:jc w:val="center"/>
        </w:trPr>
        <w:tc>
          <w:tcPr>
            <w:tcW w:w="1548" w:type="dxa"/>
            <w:gridSpan w:val="2"/>
          </w:tcPr>
          <w:p w14:paraId="385E8E01" w14:textId="77777777" w:rsidR="00AB3BE8" w:rsidRPr="002A3533" w:rsidRDefault="00944B8F" w:rsidP="00A6206B">
            <w:pPr>
              <w:keepNext/>
            </w:pPr>
            <w:r w:rsidRPr="002A3533">
              <w:tab/>
              <w:t>Week 52</w:t>
            </w:r>
          </w:p>
        </w:tc>
        <w:tc>
          <w:tcPr>
            <w:tcW w:w="1320" w:type="dxa"/>
          </w:tcPr>
          <w:p w14:paraId="1E7A99A7" w14:textId="77777777" w:rsidR="00AB3BE8" w:rsidRPr="002A3533" w:rsidRDefault="00944B8F" w:rsidP="00A6206B">
            <w:pPr>
              <w:keepNext/>
              <w:jc w:val="center"/>
            </w:pPr>
            <w:r w:rsidRPr="002A3533">
              <w:t>45.9%</w:t>
            </w:r>
          </w:p>
        </w:tc>
        <w:tc>
          <w:tcPr>
            <w:tcW w:w="1320" w:type="dxa"/>
          </w:tcPr>
          <w:p w14:paraId="6065549D" w14:textId="77777777" w:rsidR="00AB3BE8" w:rsidRPr="002A3533" w:rsidRDefault="00944B8F" w:rsidP="00A6206B">
            <w:pPr>
              <w:keepNext/>
              <w:jc w:val="center"/>
            </w:pPr>
            <w:r w:rsidRPr="002A3533">
              <w:t>41.2%</w:t>
            </w:r>
          </w:p>
        </w:tc>
        <w:tc>
          <w:tcPr>
            <w:tcW w:w="1576" w:type="dxa"/>
          </w:tcPr>
          <w:p w14:paraId="2A6BE6AD" w14:textId="77777777" w:rsidR="00AB3BE8" w:rsidRPr="002A3533" w:rsidRDefault="00944B8F" w:rsidP="00A6206B">
            <w:pPr>
              <w:keepNext/>
              <w:jc w:val="center"/>
            </w:pPr>
            <w:r w:rsidRPr="002A3533">
              <w:t>61.6%</w:t>
            </w:r>
          </w:p>
        </w:tc>
        <w:tc>
          <w:tcPr>
            <w:tcW w:w="1100" w:type="dxa"/>
          </w:tcPr>
          <w:p w14:paraId="087D33F2" w14:textId="77777777" w:rsidR="00AB3BE8" w:rsidRPr="002A3533" w:rsidRDefault="00944B8F" w:rsidP="00A6206B">
            <w:pPr>
              <w:keepNext/>
              <w:jc w:val="center"/>
            </w:pPr>
            <w:r w:rsidRPr="002A3533">
              <w:t>&lt; 0.001</w:t>
            </w:r>
          </w:p>
        </w:tc>
        <w:tc>
          <w:tcPr>
            <w:tcW w:w="1173" w:type="dxa"/>
          </w:tcPr>
          <w:p w14:paraId="463E8E20" w14:textId="77777777" w:rsidR="00AB3BE8" w:rsidRPr="002A3533" w:rsidRDefault="00944B8F" w:rsidP="00A6206B">
            <w:pPr>
              <w:keepNext/>
              <w:jc w:val="center"/>
            </w:pPr>
            <w:r w:rsidRPr="002A3533">
              <w:t>&lt; 0.001</w:t>
            </w:r>
          </w:p>
        </w:tc>
        <w:tc>
          <w:tcPr>
            <w:tcW w:w="1210" w:type="dxa"/>
          </w:tcPr>
          <w:p w14:paraId="68DF38D7" w14:textId="77777777" w:rsidR="00AB3BE8" w:rsidRPr="002A3533" w:rsidRDefault="00944B8F" w:rsidP="00A6206B">
            <w:pPr>
              <w:keepNext/>
              <w:jc w:val="center"/>
            </w:pPr>
            <w:r w:rsidRPr="002A3533">
              <w:t>0.317</w:t>
            </w:r>
          </w:p>
        </w:tc>
      </w:tr>
      <w:tr w:rsidR="00C6578C" w14:paraId="31096159" w14:textId="77777777" w:rsidTr="00A6206B">
        <w:trPr>
          <w:gridAfter w:val="1"/>
          <w:wAfter w:w="12" w:type="dxa"/>
          <w:cantSplit/>
          <w:jc w:val="center"/>
        </w:trPr>
        <w:tc>
          <w:tcPr>
            <w:tcW w:w="1548" w:type="dxa"/>
            <w:gridSpan w:val="2"/>
          </w:tcPr>
          <w:p w14:paraId="19299E23" w14:textId="77777777" w:rsidR="00AB3BE8" w:rsidRPr="002A3533" w:rsidRDefault="00944B8F" w:rsidP="00A6206B">
            <w:pPr>
              <w:keepNext/>
            </w:pPr>
            <w:r w:rsidRPr="002A3533">
              <w:tab/>
              <w:t>Week 104</w:t>
            </w:r>
          </w:p>
        </w:tc>
        <w:tc>
          <w:tcPr>
            <w:tcW w:w="1320" w:type="dxa"/>
          </w:tcPr>
          <w:p w14:paraId="6CA465D3" w14:textId="77777777" w:rsidR="00AB3BE8" w:rsidRPr="002A3533" w:rsidRDefault="00944B8F" w:rsidP="00A6206B">
            <w:pPr>
              <w:keepNext/>
              <w:jc w:val="center"/>
            </w:pPr>
            <w:r w:rsidRPr="002A3533">
              <w:t>42.8%</w:t>
            </w:r>
          </w:p>
        </w:tc>
        <w:tc>
          <w:tcPr>
            <w:tcW w:w="1320" w:type="dxa"/>
          </w:tcPr>
          <w:p w14:paraId="79E349EF" w14:textId="77777777" w:rsidR="00AB3BE8" w:rsidRPr="002A3533" w:rsidRDefault="00944B8F" w:rsidP="00A6206B">
            <w:pPr>
              <w:keepNext/>
              <w:jc w:val="center"/>
            </w:pPr>
            <w:r w:rsidRPr="002A3533">
              <w:t>36.9%</w:t>
            </w:r>
          </w:p>
        </w:tc>
        <w:tc>
          <w:tcPr>
            <w:tcW w:w="1576" w:type="dxa"/>
          </w:tcPr>
          <w:p w14:paraId="1F984073" w14:textId="77777777" w:rsidR="00AB3BE8" w:rsidRPr="002A3533" w:rsidRDefault="00944B8F" w:rsidP="00A6206B">
            <w:pPr>
              <w:keepNext/>
              <w:jc w:val="center"/>
            </w:pPr>
            <w:r w:rsidRPr="002A3533">
              <w:t>59.0%</w:t>
            </w:r>
          </w:p>
        </w:tc>
        <w:tc>
          <w:tcPr>
            <w:tcW w:w="1100" w:type="dxa"/>
          </w:tcPr>
          <w:p w14:paraId="2EED4189" w14:textId="77777777" w:rsidR="00AB3BE8" w:rsidRPr="002A3533" w:rsidRDefault="00944B8F" w:rsidP="00A6206B">
            <w:pPr>
              <w:keepNext/>
              <w:jc w:val="center"/>
            </w:pPr>
            <w:r w:rsidRPr="002A3533">
              <w:t>&lt; 0.001</w:t>
            </w:r>
          </w:p>
        </w:tc>
        <w:tc>
          <w:tcPr>
            <w:tcW w:w="1173" w:type="dxa"/>
          </w:tcPr>
          <w:p w14:paraId="5EF802BA" w14:textId="77777777" w:rsidR="00AB3BE8" w:rsidRPr="002A3533" w:rsidRDefault="00944B8F" w:rsidP="00A6206B">
            <w:pPr>
              <w:keepNext/>
              <w:jc w:val="center"/>
            </w:pPr>
            <w:r w:rsidRPr="002A3533">
              <w:t>&lt; 0.001</w:t>
            </w:r>
          </w:p>
        </w:tc>
        <w:tc>
          <w:tcPr>
            <w:tcW w:w="1210" w:type="dxa"/>
          </w:tcPr>
          <w:p w14:paraId="6B8D913A" w14:textId="77777777" w:rsidR="00AB3BE8" w:rsidRPr="002A3533" w:rsidRDefault="00944B8F" w:rsidP="00A6206B">
            <w:pPr>
              <w:keepNext/>
              <w:jc w:val="center"/>
            </w:pPr>
            <w:r w:rsidRPr="002A3533">
              <w:t>0.162</w:t>
            </w:r>
          </w:p>
        </w:tc>
      </w:tr>
      <w:tr w:rsidR="00C6578C" w14:paraId="41F7560D" w14:textId="77777777" w:rsidTr="00A6206B">
        <w:trPr>
          <w:gridAfter w:val="1"/>
          <w:wAfter w:w="12" w:type="dxa"/>
          <w:cantSplit/>
          <w:jc w:val="center"/>
        </w:trPr>
        <w:tc>
          <w:tcPr>
            <w:tcW w:w="1548" w:type="dxa"/>
            <w:gridSpan w:val="2"/>
          </w:tcPr>
          <w:p w14:paraId="4FE84FCC" w14:textId="77777777" w:rsidR="00AB3BE8" w:rsidRPr="002A3533" w:rsidRDefault="00944B8F" w:rsidP="00A6206B">
            <w:pPr>
              <w:keepNext/>
            </w:pPr>
            <w:r w:rsidRPr="002A3533">
              <w:t>ACR 70</w:t>
            </w:r>
          </w:p>
        </w:tc>
        <w:tc>
          <w:tcPr>
            <w:tcW w:w="1320" w:type="dxa"/>
          </w:tcPr>
          <w:p w14:paraId="1E4A355B" w14:textId="77777777" w:rsidR="00AB3BE8" w:rsidRPr="002A3533" w:rsidRDefault="00AB3BE8" w:rsidP="00A6206B">
            <w:pPr>
              <w:keepNext/>
              <w:jc w:val="center"/>
            </w:pPr>
          </w:p>
        </w:tc>
        <w:tc>
          <w:tcPr>
            <w:tcW w:w="1320" w:type="dxa"/>
          </w:tcPr>
          <w:p w14:paraId="1FED9B48" w14:textId="77777777" w:rsidR="00AB3BE8" w:rsidRPr="002A3533" w:rsidRDefault="00AB3BE8" w:rsidP="00A6206B">
            <w:pPr>
              <w:keepNext/>
              <w:jc w:val="center"/>
            </w:pPr>
          </w:p>
        </w:tc>
        <w:tc>
          <w:tcPr>
            <w:tcW w:w="1576" w:type="dxa"/>
          </w:tcPr>
          <w:p w14:paraId="796AEDF9" w14:textId="77777777" w:rsidR="00AB3BE8" w:rsidRPr="002A3533" w:rsidRDefault="00AB3BE8" w:rsidP="00A6206B">
            <w:pPr>
              <w:keepNext/>
              <w:jc w:val="center"/>
            </w:pPr>
          </w:p>
        </w:tc>
        <w:tc>
          <w:tcPr>
            <w:tcW w:w="1100" w:type="dxa"/>
          </w:tcPr>
          <w:p w14:paraId="16385AFA" w14:textId="77777777" w:rsidR="00AB3BE8" w:rsidRPr="002A3533" w:rsidRDefault="00AB3BE8" w:rsidP="00A6206B">
            <w:pPr>
              <w:keepNext/>
              <w:jc w:val="center"/>
            </w:pPr>
          </w:p>
        </w:tc>
        <w:tc>
          <w:tcPr>
            <w:tcW w:w="1173" w:type="dxa"/>
          </w:tcPr>
          <w:p w14:paraId="0B06E37E" w14:textId="77777777" w:rsidR="00AB3BE8" w:rsidRPr="002A3533" w:rsidRDefault="00AB3BE8" w:rsidP="00A6206B">
            <w:pPr>
              <w:keepNext/>
              <w:jc w:val="center"/>
            </w:pPr>
          </w:p>
        </w:tc>
        <w:tc>
          <w:tcPr>
            <w:tcW w:w="1210" w:type="dxa"/>
          </w:tcPr>
          <w:p w14:paraId="225214DE" w14:textId="77777777" w:rsidR="00AB3BE8" w:rsidRPr="002A3533" w:rsidRDefault="00AB3BE8" w:rsidP="00A6206B">
            <w:pPr>
              <w:keepNext/>
              <w:jc w:val="center"/>
            </w:pPr>
          </w:p>
        </w:tc>
      </w:tr>
      <w:tr w:rsidR="00C6578C" w14:paraId="39F12A99" w14:textId="77777777" w:rsidTr="00A6206B">
        <w:trPr>
          <w:gridAfter w:val="1"/>
          <w:wAfter w:w="12" w:type="dxa"/>
          <w:cantSplit/>
          <w:trHeight w:val="70"/>
          <w:jc w:val="center"/>
        </w:trPr>
        <w:tc>
          <w:tcPr>
            <w:tcW w:w="1548" w:type="dxa"/>
            <w:gridSpan w:val="2"/>
          </w:tcPr>
          <w:p w14:paraId="48ACFC8D" w14:textId="77777777" w:rsidR="00AB3BE8" w:rsidRPr="002A3533" w:rsidRDefault="00944B8F" w:rsidP="00A6206B">
            <w:pPr>
              <w:keepNext/>
            </w:pPr>
            <w:r w:rsidRPr="002A3533">
              <w:tab/>
              <w:t>Week 52</w:t>
            </w:r>
          </w:p>
        </w:tc>
        <w:tc>
          <w:tcPr>
            <w:tcW w:w="1320" w:type="dxa"/>
          </w:tcPr>
          <w:p w14:paraId="2F61802B" w14:textId="77777777" w:rsidR="00AB3BE8" w:rsidRPr="002A3533" w:rsidRDefault="00944B8F" w:rsidP="00A6206B">
            <w:pPr>
              <w:keepNext/>
              <w:jc w:val="center"/>
            </w:pPr>
            <w:r w:rsidRPr="002A3533">
              <w:t>27.2%</w:t>
            </w:r>
          </w:p>
        </w:tc>
        <w:tc>
          <w:tcPr>
            <w:tcW w:w="1320" w:type="dxa"/>
          </w:tcPr>
          <w:p w14:paraId="4A7ECE62" w14:textId="77777777" w:rsidR="00AB3BE8" w:rsidRPr="002A3533" w:rsidRDefault="00944B8F" w:rsidP="00A6206B">
            <w:pPr>
              <w:keepNext/>
              <w:jc w:val="center"/>
            </w:pPr>
            <w:r w:rsidRPr="002A3533">
              <w:t>25.9%</w:t>
            </w:r>
          </w:p>
        </w:tc>
        <w:tc>
          <w:tcPr>
            <w:tcW w:w="1576" w:type="dxa"/>
          </w:tcPr>
          <w:p w14:paraId="7DC05A7E" w14:textId="77777777" w:rsidR="00AB3BE8" w:rsidRPr="002A3533" w:rsidRDefault="00944B8F" w:rsidP="00A6206B">
            <w:pPr>
              <w:keepNext/>
              <w:jc w:val="center"/>
            </w:pPr>
            <w:r w:rsidRPr="002A3533">
              <w:t>45.5%</w:t>
            </w:r>
          </w:p>
        </w:tc>
        <w:tc>
          <w:tcPr>
            <w:tcW w:w="1100" w:type="dxa"/>
          </w:tcPr>
          <w:p w14:paraId="575C8C42" w14:textId="77777777" w:rsidR="00AB3BE8" w:rsidRPr="002A3533" w:rsidRDefault="00944B8F" w:rsidP="00A6206B">
            <w:pPr>
              <w:keepNext/>
              <w:jc w:val="center"/>
            </w:pPr>
            <w:r w:rsidRPr="002A3533">
              <w:t>&lt; 0.001</w:t>
            </w:r>
          </w:p>
        </w:tc>
        <w:tc>
          <w:tcPr>
            <w:tcW w:w="1173" w:type="dxa"/>
          </w:tcPr>
          <w:p w14:paraId="147D9CD1" w14:textId="77777777" w:rsidR="00AB3BE8" w:rsidRPr="002A3533" w:rsidRDefault="00944B8F" w:rsidP="00A6206B">
            <w:pPr>
              <w:keepNext/>
              <w:jc w:val="center"/>
            </w:pPr>
            <w:r w:rsidRPr="002A3533">
              <w:t>&lt; 0.001</w:t>
            </w:r>
          </w:p>
        </w:tc>
        <w:tc>
          <w:tcPr>
            <w:tcW w:w="1210" w:type="dxa"/>
          </w:tcPr>
          <w:p w14:paraId="31F5B36D" w14:textId="77777777" w:rsidR="00AB3BE8" w:rsidRPr="002A3533" w:rsidRDefault="00944B8F" w:rsidP="00A6206B">
            <w:pPr>
              <w:keepNext/>
              <w:jc w:val="center"/>
            </w:pPr>
            <w:r w:rsidRPr="002A3533">
              <w:t>0.656</w:t>
            </w:r>
          </w:p>
        </w:tc>
      </w:tr>
      <w:tr w:rsidR="00C6578C" w14:paraId="2745901E" w14:textId="77777777" w:rsidTr="00A6206B">
        <w:trPr>
          <w:gridAfter w:val="1"/>
          <w:wAfter w:w="12" w:type="dxa"/>
          <w:cantSplit/>
          <w:jc w:val="center"/>
        </w:trPr>
        <w:tc>
          <w:tcPr>
            <w:tcW w:w="1548" w:type="dxa"/>
            <w:gridSpan w:val="2"/>
          </w:tcPr>
          <w:p w14:paraId="73FC0CCA" w14:textId="77777777" w:rsidR="00AB3BE8" w:rsidRPr="002A3533" w:rsidRDefault="00944B8F" w:rsidP="00A6206B">
            <w:pPr>
              <w:keepNext/>
            </w:pPr>
            <w:r w:rsidRPr="002A3533">
              <w:tab/>
              <w:t>Week 104</w:t>
            </w:r>
          </w:p>
        </w:tc>
        <w:tc>
          <w:tcPr>
            <w:tcW w:w="1320" w:type="dxa"/>
          </w:tcPr>
          <w:p w14:paraId="2783A017" w14:textId="77777777" w:rsidR="00AB3BE8" w:rsidRPr="002A3533" w:rsidRDefault="00944B8F" w:rsidP="00A6206B">
            <w:pPr>
              <w:keepNext/>
              <w:jc w:val="center"/>
            </w:pPr>
            <w:r w:rsidRPr="002A3533">
              <w:t>28.4%</w:t>
            </w:r>
          </w:p>
        </w:tc>
        <w:tc>
          <w:tcPr>
            <w:tcW w:w="1320" w:type="dxa"/>
          </w:tcPr>
          <w:p w14:paraId="7FA14BD2" w14:textId="77777777" w:rsidR="00AB3BE8" w:rsidRPr="002A3533" w:rsidRDefault="00944B8F" w:rsidP="00A6206B">
            <w:pPr>
              <w:keepNext/>
              <w:jc w:val="center"/>
            </w:pPr>
            <w:r w:rsidRPr="002A3533">
              <w:t>28.1%</w:t>
            </w:r>
          </w:p>
        </w:tc>
        <w:tc>
          <w:tcPr>
            <w:tcW w:w="1576" w:type="dxa"/>
          </w:tcPr>
          <w:p w14:paraId="69E6C3B4" w14:textId="77777777" w:rsidR="00AB3BE8" w:rsidRPr="002A3533" w:rsidRDefault="00944B8F" w:rsidP="00A6206B">
            <w:pPr>
              <w:keepNext/>
              <w:jc w:val="center"/>
            </w:pPr>
            <w:r w:rsidRPr="002A3533">
              <w:t>46.6%</w:t>
            </w:r>
          </w:p>
        </w:tc>
        <w:tc>
          <w:tcPr>
            <w:tcW w:w="1100" w:type="dxa"/>
          </w:tcPr>
          <w:p w14:paraId="54EEB984" w14:textId="77777777" w:rsidR="00AB3BE8" w:rsidRPr="002A3533" w:rsidRDefault="00944B8F" w:rsidP="00A6206B">
            <w:pPr>
              <w:keepNext/>
              <w:jc w:val="center"/>
            </w:pPr>
            <w:r w:rsidRPr="002A3533">
              <w:t>&lt; 0.001</w:t>
            </w:r>
          </w:p>
        </w:tc>
        <w:tc>
          <w:tcPr>
            <w:tcW w:w="1173" w:type="dxa"/>
          </w:tcPr>
          <w:p w14:paraId="654FD0B9" w14:textId="77777777" w:rsidR="00AB3BE8" w:rsidRPr="002A3533" w:rsidRDefault="00944B8F" w:rsidP="00A6206B">
            <w:pPr>
              <w:keepNext/>
              <w:jc w:val="center"/>
            </w:pPr>
            <w:r w:rsidRPr="002A3533">
              <w:t>&lt; 0.001</w:t>
            </w:r>
          </w:p>
        </w:tc>
        <w:tc>
          <w:tcPr>
            <w:tcW w:w="1210" w:type="dxa"/>
          </w:tcPr>
          <w:p w14:paraId="420725E5" w14:textId="77777777" w:rsidR="00AB3BE8" w:rsidRPr="002A3533" w:rsidRDefault="00944B8F" w:rsidP="00A6206B">
            <w:pPr>
              <w:keepNext/>
              <w:jc w:val="center"/>
            </w:pPr>
            <w:r w:rsidRPr="002A3533">
              <w:t>0.864</w:t>
            </w:r>
          </w:p>
        </w:tc>
      </w:tr>
      <w:tr w:rsidR="00C6578C" w14:paraId="590A258F" w14:textId="77777777" w:rsidTr="00A6206B">
        <w:trPr>
          <w:gridBefore w:val="1"/>
          <w:wBefore w:w="9" w:type="dxa"/>
          <w:cantSplit/>
          <w:jc w:val="center"/>
        </w:trPr>
        <w:tc>
          <w:tcPr>
            <w:tcW w:w="9250" w:type="dxa"/>
            <w:gridSpan w:val="8"/>
          </w:tcPr>
          <w:p w14:paraId="32B6A524" w14:textId="77777777" w:rsidR="00AB3BE8" w:rsidRPr="002A3533" w:rsidRDefault="00944B8F" w:rsidP="00A6206B">
            <w:pPr>
              <w:keepNext/>
              <w:tabs>
                <w:tab w:val="clear" w:pos="562"/>
                <w:tab w:val="left" w:pos="330"/>
                <w:tab w:val="left" w:pos="10728"/>
              </w:tabs>
              <w:ind w:left="360" w:hanging="360"/>
            </w:pPr>
            <w:r w:rsidRPr="002A3533">
              <w:t>a.</w:t>
            </w:r>
            <w:r w:rsidRPr="002A3533">
              <w:tab/>
              <w:t>p-value is from the pairwise comparison of methotrexate monotherapy and Humira/methotrexate combination therapy using the Mann-Whitney U test.</w:t>
            </w:r>
          </w:p>
          <w:p w14:paraId="23EA328B" w14:textId="77777777" w:rsidR="00AB3BE8" w:rsidRPr="002A3533" w:rsidRDefault="00944B8F" w:rsidP="00A6206B">
            <w:pPr>
              <w:pStyle w:val="BodyTextIndent"/>
              <w:keepNext/>
              <w:ind w:left="330" w:hanging="330"/>
              <w:rPr>
                <w:sz w:val="22"/>
              </w:rPr>
            </w:pPr>
            <w:r w:rsidRPr="002A3533">
              <w:rPr>
                <w:sz w:val="22"/>
              </w:rPr>
              <w:t>b.</w:t>
            </w:r>
            <w:r w:rsidRPr="002A3533">
              <w:rPr>
                <w:sz w:val="22"/>
              </w:rPr>
              <w:tab/>
              <w:t>p-value is from the pairwise comparison of Humira monotherapy and Humira/methotrexate combination therapy using the Mann-Whitney U test</w:t>
            </w:r>
          </w:p>
          <w:p w14:paraId="6AA1B784" w14:textId="77777777" w:rsidR="00AB3BE8" w:rsidRPr="002A3533" w:rsidRDefault="00944B8F" w:rsidP="00A6206B">
            <w:pPr>
              <w:pStyle w:val="BodyTextIndent"/>
              <w:keepNext/>
              <w:ind w:left="330" w:hanging="330"/>
              <w:rPr>
                <w:sz w:val="22"/>
              </w:rPr>
            </w:pPr>
            <w:r w:rsidRPr="002A3533">
              <w:rPr>
                <w:sz w:val="22"/>
              </w:rPr>
              <w:t>c.   p-value is from the pairwise comparison of Humira monotherapy and methotrexate monotherapy using the Mann-Whitney U test</w:t>
            </w:r>
          </w:p>
        </w:tc>
      </w:tr>
    </w:tbl>
    <w:p w14:paraId="754FBA49" w14:textId="77777777" w:rsidR="00AB3BE8" w:rsidRPr="002A3533" w:rsidRDefault="00AB3BE8" w:rsidP="00AB3BE8"/>
    <w:p w14:paraId="0EAA6C79" w14:textId="77777777" w:rsidR="00AB3BE8" w:rsidRDefault="00944B8F" w:rsidP="00AB3BE8">
      <w:r w:rsidRPr="002A3533">
        <w:t>In the open</w:t>
      </w:r>
      <w:r>
        <w:t>-label extension for RA study V</w:t>
      </w:r>
      <w:r w:rsidRPr="002A3533">
        <w:t xml:space="preserve">, ACR </w:t>
      </w:r>
      <w:r>
        <w:t>response rates were</w:t>
      </w:r>
      <w:r w:rsidRPr="002A3533">
        <w:t xml:space="preserve"> maintained when followed for up to 10</w:t>
      </w:r>
      <w:r w:rsidR="00B619DC">
        <w:t> </w:t>
      </w:r>
      <w:r w:rsidRPr="002A3533">
        <w:t>years. Of</w:t>
      </w:r>
      <w:r>
        <w:t xml:space="preserve"> 542</w:t>
      </w:r>
      <w:r w:rsidRPr="002A3533">
        <w:t xml:space="preserve"> patients</w:t>
      </w:r>
      <w:r>
        <w:t xml:space="preserve"> </w:t>
      </w:r>
      <w:r w:rsidRPr="002A3533">
        <w:t>who were randomised to Humira 40</w:t>
      </w:r>
      <w:r w:rsidR="00B619DC">
        <w:t> </w:t>
      </w:r>
      <w:r w:rsidRPr="002A3533">
        <w:t xml:space="preserve">mg every other week, </w:t>
      </w:r>
      <w:r>
        <w:t>170</w:t>
      </w:r>
      <w:r w:rsidRPr="002A3533">
        <w:t xml:space="preserve"> patients continued on Humira 40</w:t>
      </w:r>
      <w:r w:rsidR="00B619DC">
        <w:t> </w:t>
      </w:r>
      <w:r w:rsidRPr="002A3533">
        <w:t>mg every other week for 10</w:t>
      </w:r>
      <w:r w:rsidR="00B619DC">
        <w:t> </w:t>
      </w:r>
      <w:r w:rsidRPr="002A3533">
        <w:t xml:space="preserve">years. Among those, </w:t>
      </w:r>
      <w:r>
        <w:t>154</w:t>
      </w:r>
      <w:r w:rsidRPr="002A3533">
        <w:t xml:space="preserve"> patients (</w:t>
      </w:r>
      <w:r>
        <w:t>90.6</w:t>
      </w:r>
      <w:r w:rsidRPr="002A3533">
        <w:t xml:space="preserve">%) had ACR 20 responses; </w:t>
      </w:r>
      <w:r>
        <w:t>127</w:t>
      </w:r>
      <w:r w:rsidRPr="002A3533">
        <w:t xml:space="preserve"> patients (</w:t>
      </w:r>
      <w:r>
        <w:t>74.7</w:t>
      </w:r>
      <w:r w:rsidRPr="002A3533">
        <w:t xml:space="preserve">%) had ACR 50 responses; and </w:t>
      </w:r>
      <w:r>
        <w:t>102</w:t>
      </w:r>
      <w:r w:rsidRPr="002A3533">
        <w:t xml:space="preserve"> patients (</w:t>
      </w:r>
      <w:r>
        <w:t>60.0</w:t>
      </w:r>
      <w:r w:rsidRPr="002A3533">
        <w:t>%) had ACR 70 responses</w:t>
      </w:r>
      <w:r>
        <w:t>.</w:t>
      </w:r>
    </w:p>
    <w:p w14:paraId="3B100B70" w14:textId="77777777" w:rsidR="00AB3BE8" w:rsidRDefault="00AB3BE8" w:rsidP="00AB3BE8"/>
    <w:p w14:paraId="7193AB57" w14:textId="77777777" w:rsidR="00AB3BE8" w:rsidRPr="002A3533" w:rsidRDefault="00944B8F" w:rsidP="00AB3BE8">
      <w:r w:rsidRPr="002A3533">
        <w:t>At Week 52, 42.9% of patients who received Humira/methotrexate combination therapy achieved clinical remission (DAS28</w:t>
      </w:r>
      <w:r>
        <w:t xml:space="preserve"> (CRP)</w:t>
      </w:r>
      <w:r w:rsidRPr="002A3533">
        <w:t> &lt; 2.6) compared to 20.6% of patients receiving methotrexate monotherapy and 23.4% of patients receiving Humira monotherapy. Humira/methotrexate combination therapy was clinically and statistically superior to methotrexate (p &lt; 0.001) and Humira monotherapy (p &lt; 0.001) in achieving a low disease state in patients with recently diagnosed moderate to severe rheumatoid arthritis. The response for the two monotherapy arms was similar (p = 0.447).</w:t>
      </w:r>
      <w:r>
        <w:t xml:space="preserve"> </w:t>
      </w:r>
      <w:r w:rsidRPr="00447D3C">
        <w:t xml:space="preserve">Of </w:t>
      </w:r>
      <w:r w:rsidRPr="0088494F">
        <w:t>342</w:t>
      </w:r>
      <w:r w:rsidRPr="00447D3C">
        <w:t xml:space="preserve"> subjects </w:t>
      </w:r>
      <w:r w:rsidRPr="0088494F">
        <w:t>originally randomized to Humira monotherapy or Humira/methotrexate</w:t>
      </w:r>
      <w:r>
        <w:t xml:space="preserve"> combination therapy</w:t>
      </w:r>
      <w:r w:rsidRPr="0088494F">
        <w:t xml:space="preserve"> </w:t>
      </w:r>
      <w:r w:rsidRPr="00447D3C">
        <w:t>who entered the open-label extension study, 171 subjects completed 10</w:t>
      </w:r>
      <w:r w:rsidR="00B619DC">
        <w:t> </w:t>
      </w:r>
      <w:r w:rsidRPr="00447D3C">
        <w:t xml:space="preserve">years of Humira treatment. Among those, </w:t>
      </w:r>
      <w:r>
        <w:t>109</w:t>
      </w:r>
      <w:r w:rsidRPr="00447D3C">
        <w:t xml:space="preserve"> subjects (63.7%) were reported to be in remission at 10</w:t>
      </w:r>
      <w:r w:rsidR="00B619DC">
        <w:t> </w:t>
      </w:r>
      <w:r w:rsidRPr="00447D3C">
        <w:t>years</w:t>
      </w:r>
      <w:r>
        <w:t>.</w:t>
      </w:r>
    </w:p>
    <w:p w14:paraId="492118C6" w14:textId="77777777" w:rsidR="00AB3BE8" w:rsidRDefault="00AB3BE8" w:rsidP="00AB3BE8">
      <w:pPr>
        <w:pStyle w:val="EMEAHeadingUnderline"/>
        <w:spacing w:beforeLines="0" w:afterLines="0"/>
        <w:rPr>
          <w:i/>
          <w:lang w:val="en-GB"/>
        </w:rPr>
      </w:pPr>
    </w:p>
    <w:p w14:paraId="15C03AA0" w14:textId="77777777" w:rsidR="00AB3BE8" w:rsidRDefault="00944B8F" w:rsidP="00AB3BE8">
      <w:pPr>
        <w:pStyle w:val="EMEAHeadingUnderline"/>
        <w:spacing w:beforeLines="0" w:afterLines="0"/>
        <w:rPr>
          <w:i/>
          <w:lang w:val="en-GB"/>
        </w:rPr>
      </w:pPr>
      <w:r w:rsidRPr="002A3533">
        <w:rPr>
          <w:i/>
          <w:lang w:val="en-GB"/>
        </w:rPr>
        <w:t>Radiographic response</w:t>
      </w:r>
    </w:p>
    <w:p w14:paraId="0A95C5AC" w14:textId="77777777" w:rsidR="00AB3BE8" w:rsidRPr="00FD6AFC" w:rsidRDefault="00AB3BE8" w:rsidP="00AB3BE8">
      <w:pPr>
        <w:pStyle w:val="EMEANormal"/>
        <w:rPr>
          <w:lang w:val="en-GB"/>
        </w:rPr>
      </w:pPr>
    </w:p>
    <w:p w14:paraId="2ECD1E25" w14:textId="77777777" w:rsidR="00AB3BE8" w:rsidRPr="002A3533" w:rsidRDefault="00944B8F" w:rsidP="00AB3BE8">
      <w:r w:rsidRPr="002A3533">
        <w:t xml:space="preserve">In RA study III, where Humira treated patients had a mean duration of rheumatoid arthritis of approximately 11 years, structural joint damage was assessed radiographically and expressed as change in modified Total Sharp Score (TSS) and its components, the erosion score and joint space narrowing score. Humira/methotrexate patients demonstrated significantly less radiographic progression than patients receiving methotrexate alone at 6 and 12 months (see Table </w:t>
      </w:r>
      <w:r w:rsidR="00D32B46">
        <w:t>9</w:t>
      </w:r>
      <w:r w:rsidRPr="002A3533">
        <w:t xml:space="preserve">).  </w:t>
      </w:r>
    </w:p>
    <w:p w14:paraId="0E0A2FEF" w14:textId="77777777" w:rsidR="00AB3BE8" w:rsidRPr="002A3533" w:rsidRDefault="00AB3BE8" w:rsidP="00AB3BE8"/>
    <w:p w14:paraId="37DDAA08" w14:textId="77777777" w:rsidR="00AB3BE8" w:rsidRPr="002A3533" w:rsidRDefault="00944B8F" w:rsidP="00AB3BE8">
      <w:r w:rsidRPr="002A3533">
        <w:lastRenderedPageBreak/>
        <w:t>In the open-label extension of RA Study III, the reduction in rate of progression of structural damage is maintained for 8 and 10 years in a subset of patients. At 8 years, 81 of 207 patients originally treated with 40 mg Humira every other week were evaluated radiographically. Among those, 48 patients showed no progression of structural damage defined by a change from baseline in the mTSS of 0.5 or less. At 10 years, 79 of 207 patients originally treated with 40 mg Humira every other week were evaluated radiographically. Among those, 40 patients showed no progression of structural damage defined by a change from baseline in the mTSS of 0.5 or less.</w:t>
      </w:r>
    </w:p>
    <w:p w14:paraId="4DD0D650" w14:textId="77777777" w:rsidR="00AB3BE8" w:rsidRPr="002A3533" w:rsidRDefault="00AB3BE8" w:rsidP="00AB3BE8">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430"/>
        <w:gridCol w:w="1790"/>
        <w:gridCol w:w="2000"/>
        <w:gridCol w:w="1548"/>
      </w:tblGrid>
      <w:tr w:rsidR="00C6578C" w14:paraId="67D0E9E6" w14:textId="77777777" w:rsidTr="00A6206B">
        <w:trPr>
          <w:cantSplit/>
        </w:trPr>
        <w:tc>
          <w:tcPr>
            <w:tcW w:w="8856" w:type="dxa"/>
            <w:gridSpan w:val="5"/>
            <w:tcBorders>
              <w:top w:val="nil"/>
              <w:left w:val="nil"/>
              <w:right w:val="nil"/>
            </w:tcBorders>
          </w:tcPr>
          <w:p w14:paraId="5FBA99FF" w14:textId="77777777" w:rsidR="00AB3BE8" w:rsidRPr="002A3533" w:rsidRDefault="00944B8F" w:rsidP="00A6206B">
            <w:pPr>
              <w:pStyle w:val="EMEATitle"/>
              <w:keepNext/>
              <w:rPr>
                <w:rFonts w:ascii="Times New Roman" w:hAnsi="Times New Roman"/>
                <w:bCs/>
                <w:caps w:val="0"/>
                <w:szCs w:val="24"/>
                <w:lang w:val="en-GB"/>
              </w:rPr>
            </w:pPr>
            <w:r w:rsidRPr="002A3533">
              <w:rPr>
                <w:rFonts w:ascii="Times New Roman" w:hAnsi="Times New Roman"/>
                <w:bCs/>
                <w:caps w:val="0"/>
                <w:szCs w:val="24"/>
                <w:lang w:val="en-GB"/>
              </w:rPr>
              <w:t xml:space="preserve">Table </w:t>
            </w:r>
            <w:r w:rsidR="00D32B46">
              <w:rPr>
                <w:rFonts w:ascii="Times New Roman" w:hAnsi="Times New Roman"/>
                <w:bCs/>
                <w:caps w:val="0"/>
                <w:szCs w:val="24"/>
                <w:lang w:val="en-GB"/>
              </w:rPr>
              <w:t>9</w:t>
            </w:r>
          </w:p>
          <w:p w14:paraId="14B2AACC" w14:textId="77777777" w:rsidR="00AB3BE8" w:rsidRPr="002A3533" w:rsidRDefault="00944B8F" w:rsidP="00A6206B">
            <w:pPr>
              <w:pStyle w:val="EMEATitle"/>
              <w:keepNext/>
              <w:rPr>
                <w:rFonts w:ascii="Times New Roman" w:hAnsi="Times New Roman"/>
                <w:bCs/>
                <w:caps w:val="0"/>
                <w:szCs w:val="24"/>
                <w:lang w:val="en-GB"/>
              </w:rPr>
            </w:pPr>
            <w:r w:rsidRPr="002A3533">
              <w:rPr>
                <w:rFonts w:ascii="Times New Roman" w:hAnsi="Times New Roman"/>
                <w:bCs/>
                <w:caps w:val="0"/>
                <w:szCs w:val="24"/>
                <w:lang w:val="en-GB"/>
              </w:rPr>
              <w:t xml:space="preserve"> Radiographic Mean Changes Over 12 Months in RA Study III</w:t>
            </w:r>
          </w:p>
          <w:p w14:paraId="254F21D0" w14:textId="77777777" w:rsidR="00AB3BE8" w:rsidRPr="002A3533" w:rsidRDefault="00AB3BE8" w:rsidP="00A6206B">
            <w:pPr>
              <w:pStyle w:val="EMEATitle"/>
              <w:keepNext/>
              <w:rPr>
                <w:rFonts w:ascii="Times New Roman" w:hAnsi="Times New Roman"/>
                <w:bCs/>
                <w:caps w:val="0"/>
                <w:szCs w:val="24"/>
                <w:lang w:val="en-GB"/>
              </w:rPr>
            </w:pPr>
          </w:p>
        </w:tc>
      </w:tr>
      <w:tr w:rsidR="00C6578C" w14:paraId="42A9A750" w14:textId="77777777" w:rsidTr="00A6206B">
        <w:tc>
          <w:tcPr>
            <w:tcW w:w="2088" w:type="dxa"/>
          </w:tcPr>
          <w:p w14:paraId="54AA0561" w14:textId="77777777" w:rsidR="00AB3BE8" w:rsidRPr="002A3533" w:rsidRDefault="00AB3BE8" w:rsidP="00A6206B">
            <w:pPr>
              <w:keepNext/>
              <w:jc w:val="center"/>
            </w:pPr>
          </w:p>
        </w:tc>
        <w:tc>
          <w:tcPr>
            <w:tcW w:w="1430" w:type="dxa"/>
          </w:tcPr>
          <w:p w14:paraId="199D3880" w14:textId="77777777" w:rsidR="00AB3BE8" w:rsidRPr="002A3533" w:rsidRDefault="00944B8F" w:rsidP="00A6206B">
            <w:pPr>
              <w:keepNext/>
            </w:pPr>
            <w:r w:rsidRPr="002A3533">
              <w:t>Placebo/</w:t>
            </w:r>
          </w:p>
          <w:p w14:paraId="3F8D4D4F" w14:textId="77777777" w:rsidR="00AB3BE8" w:rsidRPr="002A3533" w:rsidRDefault="00944B8F" w:rsidP="00A6206B">
            <w:pPr>
              <w:keepNext/>
              <w:rPr>
                <w:vertAlign w:val="superscript"/>
              </w:rPr>
            </w:pPr>
            <w:r w:rsidRPr="002A3533">
              <w:t>MTX</w:t>
            </w:r>
            <w:r w:rsidRPr="002A3533">
              <w:rPr>
                <w:vertAlign w:val="superscript"/>
              </w:rPr>
              <w:t>a</w:t>
            </w:r>
          </w:p>
        </w:tc>
        <w:tc>
          <w:tcPr>
            <w:tcW w:w="1790" w:type="dxa"/>
          </w:tcPr>
          <w:p w14:paraId="2ADB9C21" w14:textId="77777777" w:rsidR="00AB3BE8" w:rsidRPr="002A3533" w:rsidRDefault="00944B8F" w:rsidP="00A6206B">
            <w:pPr>
              <w:keepNext/>
              <w:jc w:val="center"/>
            </w:pPr>
            <w:r w:rsidRPr="002A3533">
              <w:t>Humira/MTX</w:t>
            </w:r>
          </w:p>
          <w:p w14:paraId="46015BF4" w14:textId="77777777" w:rsidR="00AB3BE8" w:rsidRPr="002A3533" w:rsidRDefault="00944B8F" w:rsidP="00A6206B">
            <w:pPr>
              <w:keepNext/>
              <w:jc w:val="center"/>
            </w:pPr>
            <w:r w:rsidRPr="002A3533">
              <w:t>40 mg every other week</w:t>
            </w:r>
          </w:p>
        </w:tc>
        <w:tc>
          <w:tcPr>
            <w:tcW w:w="2000" w:type="dxa"/>
          </w:tcPr>
          <w:p w14:paraId="3D3181CC" w14:textId="77777777" w:rsidR="00AB3BE8" w:rsidRPr="002A3533" w:rsidRDefault="00944B8F" w:rsidP="00A6206B">
            <w:pPr>
              <w:keepNext/>
              <w:jc w:val="center"/>
            </w:pPr>
            <w:r w:rsidRPr="002A3533">
              <w:t>Placebo/MTX-Humira/MTX (95% Confidence Interval</w:t>
            </w:r>
            <w:r w:rsidRPr="002A3533">
              <w:rPr>
                <w:vertAlign w:val="superscript"/>
              </w:rPr>
              <w:t>b</w:t>
            </w:r>
            <w:r w:rsidRPr="002A3533">
              <w:t>)</w:t>
            </w:r>
          </w:p>
        </w:tc>
        <w:tc>
          <w:tcPr>
            <w:tcW w:w="1548" w:type="dxa"/>
          </w:tcPr>
          <w:p w14:paraId="2F4D4700" w14:textId="77777777" w:rsidR="00AB3BE8" w:rsidRPr="002A3533" w:rsidRDefault="00944B8F" w:rsidP="00A6206B">
            <w:pPr>
              <w:keepNext/>
              <w:jc w:val="center"/>
            </w:pPr>
            <w:r w:rsidRPr="002A3533">
              <w:t>p-value</w:t>
            </w:r>
          </w:p>
        </w:tc>
      </w:tr>
      <w:tr w:rsidR="00C6578C" w14:paraId="41C7DF9C" w14:textId="77777777" w:rsidTr="00A6206B">
        <w:tc>
          <w:tcPr>
            <w:tcW w:w="2088" w:type="dxa"/>
          </w:tcPr>
          <w:p w14:paraId="01847984" w14:textId="77777777" w:rsidR="00AB3BE8" w:rsidRPr="002A3533" w:rsidRDefault="00944B8F" w:rsidP="00A6206B">
            <w:pPr>
              <w:keepNext/>
              <w:jc w:val="center"/>
            </w:pPr>
            <w:r w:rsidRPr="002A3533">
              <w:t>Total Sharp Score</w:t>
            </w:r>
          </w:p>
        </w:tc>
        <w:tc>
          <w:tcPr>
            <w:tcW w:w="1430" w:type="dxa"/>
          </w:tcPr>
          <w:p w14:paraId="52365B13" w14:textId="77777777" w:rsidR="00AB3BE8" w:rsidRPr="002A3533" w:rsidRDefault="00944B8F" w:rsidP="00A6206B">
            <w:pPr>
              <w:keepNext/>
              <w:jc w:val="center"/>
              <w:rPr>
                <w:lang w:val="it-IT"/>
              </w:rPr>
            </w:pPr>
            <w:r w:rsidRPr="002A3533">
              <w:rPr>
                <w:lang w:val="it-IT"/>
              </w:rPr>
              <w:t>2.7</w:t>
            </w:r>
          </w:p>
        </w:tc>
        <w:tc>
          <w:tcPr>
            <w:tcW w:w="1790" w:type="dxa"/>
          </w:tcPr>
          <w:p w14:paraId="0A50C27F" w14:textId="77777777" w:rsidR="00AB3BE8" w:rsidRPr="002A3533" w:rsidRDefault="00944B8F" w:rsidP="00A6206B">
            <w:pPr>
              <w:keepNext/>
              <w:jc w:val="center"/>
              <w:rPr>
                <w:lang w:val="it-IT"/>
              </w:rPr>
            </w:pPr>
            <w:r w:rsidRPr="002A3533">
              <w:rPr>
                <w:lang w:val="it-IT"/>
              </w:rPr>
              <w:t>0.1</w:t>
            </w:r>
          </w:p>
        </w:tc>
        <w:tc>
          <w:tcPr>
            <w:tcW w:w="2000" w:type="dxa"/>
          </w:tcPr>
          <w:p w14:paraId="574231DD" w14:textId="77777777" w:rsidR="00AB3BE8" w:rsidRPr="002A3533" w:rsidRDefault="00944B8F" w:rsidP="00A6206B">
            <w:pPr>
              <w:keepNext/>
              <w:jc w:val="center"/>
              <w:rPr>
                <w:lang w:val="it-IT"/>
              </w:rPr>
            </w:pPr>
            <w:r w:rsidRPr="002A3533">
              <w:rPr>
                <w:lang w:val="it-IT"/>
              </w:rPr>
              <w:t xml:space="preserve">2.6 (1.4, 3.8) </w:t>
            </w:r>
          </w:p>
        </w:tc>
        <w:tc>
          <w:tcPr>
            <w:tcW w:w="1548" w:type="dxa"/>
          </w:tcPr>
          <w:p w14:paraId="217FE02D" w14:textId="77777777" w:rsidR="00AB3BE8" w:rsidRPr="002A3533" w:rsidRDefault="00944B8F" w:rsidP="00A6206B">
            <w:pPr>
              <w:keepNext/>
              <w:jc w:val="center"/>
              <w:rPr>
                <w:vertAlign w:val="superscript"/>
                <w:lang w:val="it-IT"/>
              </w:rPr>
            </w:pPr>
            <w:r w:rsidRPr="002A3533">
              <w:rPr>
                <w:lang w:val="it-IT"/>
              </w:rPr>
              <w:t>&lt; 0.001</w:t>
            </w:r>
            <w:r w:rsidRPr="002A3533">
              <w:rPr>
                <w:vertAlign w:val="superscript"/>
                <w:lang w:val="it-IT"/>
              </w:rPr>
              <w:t>c</w:t>
            </w:r>
          </w:p>
        </w:tc>
      </w:tr>
      <w:tr w:rsidR="00C6578C" w14:paraId="105DF225" w14:textId="77777777" w:rsidTr="00A6206B">
        <w:tc>
          <w:tcPr>
            <w:tcW w:w="2088" w:type="dxa"/>
          </w:tcPr>
          <w:p w14:paraId="2BDA4588" w14:textId="77777777" w:rsidR="00AB3BE8" w:rsidRPr="002A3533" w:rsidRDefault="00944B8F" w:rsidP="00A6206B">
            <w:pPr>
              <w:keepNext/>
              <w:jc w:val="center"/>
              <w:rPr>
                <w:lang w:val="it-IT"/>
              </w:rPr>
            </w:pPr>
            <w:r w:rsidRPr="002A3533">
              <w:rPr>
                <w:lang w:val="it-IT"/>
              </w:rPr>
              <w:t>Erosion score</w:t>
            </w:r>
          </w:p>
        </w:tc>
        <w:tc>
          <w:tcPr>
            <w:tcW w:w="1430" w:type="dxa"/>
          </w:tcPr>
          <w:p w14:paraId="6FAA2E6C" w14:textId="77777777" w:rsidR="00AB3BE8" w:rsidRPr="002A3533" w:rsidRDefault="00944B8F" w:rsidP="00A6206B">
            <w:pPr>
              <w:keepNext/>
              <w:jc w:val="center"/>
            </w:pPr>
            <w:r w:rsidRPr="002A3533">
              <w:t>1.6</w:t>
            </w:r>
          </w:p>
        </w:tc>
        <w:tc>
          <w:tcPr>
            <w:tcW w:w="1790" w:type="dxa"/>
          </w:tcPr>
          <w:p w14:paraId="6EC3D207" w14:textId="77777777" w:rsidR="00AB3BE8" w:rsidRPr="002A3533" w:rsidRDefault="00944B8F" w:rsidP="00A6206B">
            <w:pPr>
              <w:keepNext/>
              <w:jc w:val="center"/>
            </w:pPr>
            <w:r w:rsidRPr="002A3533">
              <w:t>0.0</w:t>
            </w:r>
          </w:p>
        </w:tc>
        <w:tc>
          <w:tcPr>
            <w:tcW w:w="2000" w:type="dxa"/>
          </w:tcPr>
          <w:p w14:paraId="695D4CDA" w14:textId="77777777" w:rsidR="00AB3BE8" w:rsidRPr="002A3533" w:rsidRDefault="00944B8F" w:rsidP="00A6206B">
            <w:pPr>
              <w:keepNext/>
              <w:jc w:val="center"/>
            </w:pPr>
            <w:r w:rsidRPr="002A3533">
              <w:t>1.6 (0.9, 2.2)</w:t>
            </w:r>
          </w:p>
        </w:tc>
        <w:tc>
          <w:tcPr>
            <w:tcW w:w="1548" w:type="dxa"/>
          </w:tcPr>
          <w:p w14:paraId="3B5A4035" w14:textId="77777777" w:rsidR="00AB3BE8" w:rsidRPr="002A3533" w:rsidRDefault="00944B8F" w:rsidP="00A6206B">
            <w:pPr>
              <w:keepNext/>
              <w:jc w:val="center"/>
            </w:pPr>
            <w:r w:rsidRPr="002A3533">
              <w:t>&lt; 0.001</w:t>
            </w:r>
          </w:p>
        </w:tc>
      </w:tr>
      <w:tr w:rsidR="00C6578C" w14:paraId="65C6140B" w14:textId="77777777" w:rsidTr="00A6206B">
        <w:tc>
          <w:tcPr>
            <w:tcW w:w="2088" w:type="dxa"/>
          </w:tcPr>
          <w:p w14:paraId="7F1F3474" w14:textId="77777777" w:rsidR="00AB3BE8" w:rsidRPr="002A3533" w:rsidRDefault="00944B8F" w:rsidP="00A6206B">
            <w:pPr>
              <w:keepNext/>
              <w:jc w:val="center"/>
            </w:pPr>
            <w:r w:rsidRPr="002A3533">
              <w:t>JSN</w:t>
            </w:r>
            <w:r w:rsidRPr="002A3533">
              <w:rPr>
                <w:vertAlign w:val="superscript"/>
              </w:rPr>
              <w:t>d</w:t>
            </w:r>
            <w:r w:rsidRPr="002A3533">
              <w:t xml:space="preserve"> score</w:t>
            </w:r>
          </w:p>
        </w:tc>
        <w:tc>
          <w:tcPr>
            <w:tcW w:w="1430" w:type="dxa"/>
          </w:tcPr>
          <w:p w14:paraId="6B2C3D20" w14:textId="77777777" w:rsidR="00AB3BE8" w:rsidRPr="002A3533" w:rsidRDefault="00944B8F" w:rsidP="00A6206B">
            <w:pPr>
              <w:keepNext/>
              <w:jc w:val="center"/>
            </w:pPr>
            <w:r w:rsidRPr="002A3533">
              <w:t>1.0</w:t>
            </w:r>
          </w:p>
        </w:tc>
        <w:tc>
          <w:tcPr>
            <w:tcW w:w="1790" w:type="dxa"/>
          </w:tcPr>
          <w:p w14:paraId="1B31DF8D" w14:textId="77777777" w:rsidR="00AB3BE8" w:rsidRPr="002A3533" w:rsidRDefault="00944B8F" w:rsidP="00A6206B">
            <w:pPr>
              <w:keepNext/>
              <w:jc w:val="center"/>
            </w:pPr>
            <w:r w:rsidRPr="002A3533">
              <w:t>0.1</w:t>
            </w:r>
          </w:p>
        </w:tc>
        <w:tc>
          <w:tcPr>
            <w:tcW w:w="2000" w:type="dxa"/>
          </w:tcPr>
          <w:p w14:paraId="6359DF7D" w14:textId="77777777" w:rsidR="00AB3BE8" w:rsidRPr="002A3533" w:rsidRDefault="00944B8F" w:rsidP="00A6206B">
            <w:pPr>
              <w:keepNext/>
              <w:jc w:val="center"/>
            </w:pPr>
            <w:r w:rsidRPr="002A3533">
              <w:t>0.9 (0.3, 1.4)</w:t>
            </w:r>
          </w:p>
        </w:tc>
        <w:tc>
          <w:tcPr>
            <w:tcW w:w="1548" w:type="dxa"/>
          </w:tcPr>
          <w:p w14:paraId="09DFB241" w14:textId="77777777" w:rsidR="00AB3BE8" w:rsidRPr="002A3533" w:rsidRDefault="00944B8F" w:rsidP="00A6206B">
            <w:pPr>
              <w:keepNext/>
              <w:jc w:val="center"/>
            </w:pPr>
            <w:r w:rsidRPr="002A3533">
              <w:t xml:space="preserve">  0.002</w:t>
            </w:r>
          </w:p>
        </w:tc>
      </w:tr>
    </w:tbl>
    <w:p w14:paraId="7AFBDF2E" w14:textId="77777777" w:rsidR="00AB3BE8" w:rsidRPr="002A3533" w:rsidRDefault="00944B8F" w:rsidP="00AB3BE8">
      <w:pPr>
        <w:pStyle w:val="EMEANormal"/>
        <w:keepNext/>
        <w:rPr>
          <w:lang w:val="en-GB"/>
        </w:rPr>
      </w:pPr>
      <w:r w:rsidRPr="002A3533">
        <w:rPr>
          <w:b/>
          <w:bCs/>
          <w:vertAlign w:val="superscript"/>
          <w:lang w:val="en-GB"/>
        </w:rPr>
        <w:t>a</w:t>
      </w:r>
      <w:r w:rsidRPr="002A3533">
        <w:rPr>
          <w:lang w:val="en-GB"/>
        </w:rPr>
        <w:t>methotrexate</w:t>
      </w:r>
    </w:p>
    <w:p w14:paraId="2BADEB36" w14:textId="77777777" w:rsidR="00AB3BE8" w:rsidRPr="002A3533" w:rsidRDefault="00944B8F" w:rsidP="00AB3BE8">
      <w:pPr>
        <w:pStyle w:val="EMEANormal"/>
        <w:keepNext/>
        <w:rPr>
          <w:lang w:val="en-GB"/>
        </w:rPr>
      </w:pPr>
      <w:r w:rsidRPr="002A3533">
        <w:rPr>
          <w:vertAlign w:val="superscript"/>
          <w:lang w:val="en-GB"/>
        </w:rPr>
        <w:t>b</w:t>
      </w:r>
      <w:r w:rsidRPr="002A3533">
        <w:rPr>
          <w:lang w:val="en-GB"/>
        </w:rPr>
        <w:t xml:space="preserve">95% confidence intervals for the differences in change scores between methotrexate and Humira. </w:t>
      </w:r>
    </w:p>
    <w:p w14:paraId="4A254810" w14:textId="77777777" w:rsidR="00AB3BE8" w:rsidRPr="002A3533" w:rsidRDefault="00944B8F" w:rsidP="00AB3BE8">
      <w:pPr>
        <w:pStyle w:val="EMEANormal"/>
        <w:keepNext/>
        <w:rPr>
          <w:lang w:val="en-GB"/>
        </w:rPr>
      </w:pPr>
      <w:r w:rsidRPr="002A3533">
        <w:rPr>
          <w:vertAlign w:val="superscript"/>
          <w:lang w:val="en-GB"/>
        </w:rPr>
        <w:t>c</w:t>
      </w:r>
      <w:r w:rsidRPr="002A3533">
        <w:rPr>
          <w:lang w:val="en-GB"/>
        </w:rPr>
        <w:t xml:space="preserve">Based on rank analysis </w:t>
      </w:r>
    </w:p>
    <w:p w14:paraId="134A78AA" w14:textId="77777777" w:rsidR="00AB3BE8" w:rsidRPr="002A3533" w:rsidRDefault="00944B8F" w:rsidP="00AB3BE8">
      <w:pPr>
        <w:pStyle w:val="EMEANormal"/>
        <w:keepNext/>
        <w:rPr>
          <w:lang w:val="en-GB"/>
        </w:rPr>
      </w:pPr>
      <w:r w:rsidRPr="002A3533">
        <w:rPr>
          <w:vertAlign w:val="superscript"/>
          <w:lang w:val="en-GB"/>
        </w:rPr>
        <w:t>d</w:t>
      </w:r>
      <w:r w:rsidRPr="002A3533">
        <w:rPr>
          <w:lang w:val="en-GB"/>
        </w:rPr>
        <w:t>Joint Space Narrowing</w:t>
      </w:r>
    </w:p>
    <w:p w14:paraId="2B03C5FC" w14:textId="77777777" w:rsidR="00AB3BE8" w:rsidRPr="002A3533" w:rsidRDefault="00AB3BE8" w:rsidP="00AB3BE8">
      <w:pPr>
        <w:pStyle w:val="EMEANormal"/>
        <w:keepNext/>
        <w:rPr>
          <w:lang w:val="en-GB"/>
        </w:rPr>
      </w:pPr>
    </w:p>
    <w:p w14:paraId="4ACF1F2D" w14:textId="77777777" w:rsidR="00AB3BE8" w:rsidRPr="002A3533" w:rsidRDefault="00944B8F" w:rsidP="00AB3BE8">
      <w:r w:rsidRPr="002A3533">
        <w:t xml:space="preserve">In RA study V, structural joint damage was assessed radiographically and expressed as change in modified Total Sharp Score (see Table </w:t>
      </w:r>
      <w:r w:rsidR="00D32B46">
        <w:t>10</w:t>
      </w:r>
      <w:r w:rsidRPr="002A3533">
        <w:t>).</w:t>
      </w:r>
    </w:p>
    <w:p w14:paraId="06EBD7E5" w14:textId="77777777" w:rsidR="00AB3BE8" w:rsidRPr="002A3533" w:rsidRDefault="00AB3BE8" w:rsidP="003F7AAE">
      <w:pPr>
        <w:keepNext/>
      </w:pPr>
    </w:p>
    <w:tbl>
      <w:tblPr>
        <w:tblW w:w="8910" w:type="dxa"/>
        <w:tblInd w:w="108" w:type="dxa"/>
        <w:tblLayout w:type="fixed"/>
        <w:tblLook w:val="0000" w:firstRow="0" w:lastRow="0" w:firstColumn="0" w:lastColumn="0" w:noHBand="0" w:noVBand="0"/>
      </w:tblPr>
      <w:tblGrid>
        <w:gridCol w:w="1430"/>
        <w:gridCol w:w="1540"/>
        <w:gridCol w:w="1482"/>
        <w:gridCol w:w="1488"/>
        <w:gridCol w:w="990"/>
        <w:gridCol w:w="990"/>
        <w:gridCol w:w="990"/>
      </w:tblGrid>
      <w:tr w:rsidR="00C6578C" w14:paraId="066D8CA7" w14:textId="77777777" w:rsidTr="00A6206B">
        <w:trPr>
          <w:cantSplit/>
        </w:trPr>
        <w:tc>
          <w:tcPr>
            <w:tcW w:w="8910" w:type="dxa"/>
            <w:gridSpan w:val="7"/>
            <w:tcBorders>
              <w:bottom w:val="single" w:sz="4" w:space="0" w:color="auto"/>
            </w:tcBorders>
          </w:tcPr>
          <w:p w14:paraId="20C617CD" w14:textId="77777777" w:rsidR="00AB3BE8" w:rsidRPr="002A3533" w:rsidRDefault="00944B8F" w:rsidP="003F7AAE">
            <w:pPr>
              <w:pStyle w:val="Heading5"/>
              <w:jc w:val="center"/>
              <w:rPr>
                <w:rFonts w:ascii="Times New Roman" w:hAnsi="Times New Roman"/>
                <w:i w:val="0"/>
                <w:iCs w:val="0"/>
                <w:noProof/>
                <w:sz w:val="22"/>
                <w:szCs w:val="24"/>
              </w:rPr>
            </w:pPr>
            <w:r>
              <w:rPr>
                <w:rFonts w:ascii="Times New Roman" w:hAnsi="Times New Roman"/>
                <w:i w:val="0"/>
                <w:iCs w:val="0"/>
                <w:noProof/>
                <w:sz w:val="22"/>
                <w:szCs w:val="24"/>
              </w:rPr>
              <w:t xml:space="preserve">Table </w:t>
            </w:r>
            <w:r w:rsidR="00D32B46">
              <w:rPr>
                <w:rFonts w:ascii="Times New Roman" w:hAnsi="Times New Roman"/>
                <w:i w:val="0"/>
                <w:iCs w:val="0"/>
                <w:noProof/>
                <w:sz w:val="22"/>
                <w:szCs w:val="24"/>
              </w:rPr>
              <w:t>10</w:t>
            </w:r>
          </w:p>
          <w:p w14:paraId="6A8BE25F" w14:textId="77777777" w:rsidR="00AB3BE8" w:rsidRPr="002A3533" w:rsidRDefault="00944B8F" w:rsidP="003F7AAE">
            <w:pPr>
              <w:pStyle w:val="Heading5"/>
              <w:jc w:val="center"/>
              <w:rPr>
                <w:rFonts w:ascii="Times New Roman" w:hAnsi="Times New Roman"/>
                <w:i w:val="0"/>
                <w:iCs w:val="0"/>
                <w:noProof/>
                <w:sz w:val="22"/>
                <w:szCs w:val="24"/>
              </w:rPr>
            </w:pPr>
            <w:r w:rsidRPr="002A3533">
              <w:rPr>
                <w:rFonts w:ascii="Times New Roman" w:hAnsi="Times New Roman"/>
                <w:i w:val="0"/>
                <w:iCs w:val="0"/>
                <w:noProof/>
                <w:sz w:val="22"/>
                <w:szCs w:val="24"/>
              </w:rPr>
              <w:t xml:space="preserve">  Radiographic Mean Changes at Week 52 in RA Study V</w:t>
            </w:r>
          </w:p>
          <w:p w14:paraId="13783A9E" w14:textId="77777777" w:rsidR="00AB3BE8" w:rsidRPr="002A3533" w:rsidRDefault="00AB3BE8" w:rsidP="003F7AAE">
            <w:pPr>
              <w:keepNext/>
            </w:pPr>
          </w:p>
        </w:tc>
      </w:tr>
      <w:tr w:rsidR="00C6578C" w14:paraId="73A88612" w14:textId="77777777" w:rsidTr="00A6206B">
        <w:tc>
          <w:tcPr>
            <w:tcW w:w="1430" w:type="dxa"/>
            <w:tcBorders>
              <w:top w:val="single" w:sz="4" w:space="0" w:color="auto"/>
              <w:left w:val="single" w:sz="4" w:space="0" w:color="auto"/>
              <w:bottom w:val="single" w:sz="4" w:space="0" w:color="auto"/>
              <w:right w:val="single" w:sz="4" w:space="0" w:color="auto"/>
            </w:tcBorders>
            <w:vAlign w:val="center"/>
          </w:tcPr>
          <w:p w14:paraId="33B9A08F" w14:textId="77777777" w:rsidR="00AB3BE8" w:rsidRPr="002A3533" w:rsidRDefault="00AB3BE8" w:rsidP="003F7AAE">
            <w:pPr>
              <w:keepNext/>
            </w:pPr>
          </w:p>
        </w:tc>
        <w:tc>
          <w:tcPr>
            <w:tcW w:w="1540" w:type="dxa"/>
            <w:tcBorders>
              <w:top w:val="single" w:sz="4" w:space="0" w:color="auto"/>
              <w:left w:val="single" w:sz="4" w:space="0" w:color="auto"/>
              <w:bottom w:val="single" w:sz="4" w:space="0" w:color="auto"/>
              <w:right w:val="single" w:sz="4" w:space="0" w:color="auto"/>
            </w:tcBorders>
            <w:vAlign w:val="center"/>
          </w:tcPr>
          <w:p w14:paraId="73516922" w14:textId="77777777" w:rsidR="00AB3BE8" w:rsidRPr="002A3533" w:rsidRDefault="00944B8F" w:rsidP="003F7AAE">
            <w:pPr>
              <w:keepNext/>
              <w:jc w:val="center"/>
            </w:pPr>
            <w:r w:rsidRPr="002A3533">
              <w:t>MTX</w:t>
            </w:r>
          </w:p>
          <w:p w14:paraId="153B3FBB" w14:textId="77777777" w:rsidR="00AB3BE8" w:rsidRPr="002A3533" w:rsidRDefault="00944B8F" w:rsidP="003F7AAE">
            <w:pPr>
              <w:keepNext/>
              <w:jc w:val="center"/>
            </w:pPr>
            <w:r w:rsidRPr="002A3533">
              <w:t>n=257</w:t>
            </w:r>
          </w:p>
          <w:p w14:paraId="1D089E83" w14:textId="77777777" w:rsidR="00AB3BE8" w:rsidRPr="002A3533" w:rsidRDefault="00944B8F" w:rsidP="003F7AAE">
            <w:pPr>
              <w:keepNext/>
              <w:jc w:val="center"/>
            </w:pPr>
            <w:r w:rsidRPr="002A3533">
              <w:t>(95% confidence interval)</w:t>
            </w:r>
          </w:p>
        </w:tc>
        <w:tc>
          <w:tcPr>
            <w:tcW w:w="1482" w:type="dxa"/>
            <w:tcBorders>
              <w:top w:val="single" w:sz="4" w:space="0" w:color="auto"/>
              <w:left w:val="single" w:sz="4" w:space="0" w:color="auto"/>
              <w:bottom w:val="single" w:sz="4" w:space="0" w:color="auto"/>
              <w:right w:val="single" w:sz="4" w:space="0" w:color="auto"/>
            </w:tcBorders>
            <w:vAlign w:val="center"/>
          </w:tcPr>
          <w:p w14:paraId="6EB5B631" w14:textId="77777777" w:rsidR="00AB3BE8" w:rsidRPr="002A3533" w:rsidRDefault="00944B8F" w:rsidP="003F7AAE">
            <w:pPr>
              <w:keepNext/>
              <w:jc w:val="center"/>
            </w:pPr>
            <w:r w:rsidRPr="002A3533">
              <w:t>Humira</w:t>
            </w:r>
          </w:p>
          <w:p w14:paraId="4C1B7541" w14:textId="77777777" w:rsidR="00AB3BE8" w:rsidRPr="002A3533" w:rsidRDefault="00944B8F" w:rsidP="003F7AAE">
            <w:pPr>
              <w:pStyle w:val="EMEAFigureTitle"/>
              <w:keepNext/>
              <w:jc w:val="center"/>
              <w:rPr>
                <w:lang w:val="en-GB"/>
              </w:rPr>
            </w:pPr>
            <w:r w:rsidRPr="002A3533">
              <w:rPr>
                <w:lang w:val="en-GB"/>
              </w:rPr>
              <w:t>n=274</w:t>
            </w:r>
          </w:p>
          <w:p w14:paraId="546E1767" w14:textId="77777777" w:rsidR="00AB3BE8" w:rsidRPr="002A3533" w:rsidRDefault="00944B8F" w:rsidP="003F7AAE">
            <w:pPr>
              <w:keepNext/>
              <w:jc w:val="center"/>
            </w:pPr>
            <w:r w:rsidRPr="002A3533">
              <w:t>(95% confidence interval)</w:t>
            </w:r>
          </w:p>
        </w:tc>
        <w:tc>
          <w:tcPr>
            <w:tcW w:w="1488" w:type="dxa"/>
            <w:tcBorders>
              <w:top w:val="single" w:sz="4" w:space="0" w:color="auto"/>
              <w:left w:val="single" w:sz="4" w:space="0" w:color="auto"/>
              <w:bottom w:val="single" w:sz="4" w:space="0" w:color="auto"/>
              <w:right w:val="single" w:sz="4" w:space="0" w:color="auto"/>
            </w:tcBorders>
            <w:vAlign w:val="center"/>
          </w:tcPr>
          <w:p w14:paraId="1E84ADA0" w14:textId="77777777" w:rsidR="00AB3BE8" w:rsidRPr="002A3533" w:rsidRDefault="00944B8F" w:rsidP="003F7AAE">
            <w:pPr>
              <w:keepNext/>
              <w:jc w:val="center"/>
            </w:pPr>
            <w:r w:rsidRPr="002A3533">
              <w:t>Humira/MTX</w:t>
            </w:r>
          </w:p>
          <w:p w14:paraId="6305997B" w14:textId="77777777" w:rsidR="00AB3BE8" w:rsidRPr="002A3533" w:rsidRDefault="00944B8F" w:rsidP="003F7AAE">
            <w:pPr>
              <w:pStyle w:val="EMEAFigureTitle"/>
              <w:keepNext/>
              <w:jc w:val="center"/>
              <w:rPr>
                <w:lang w:val="en-GB"/>
              </w:rPr>
            </w:pPr>
            <w:r w:rsidRPr="002A3533">
              <w:rPr>
                <w:lang w:val="en-GB"/>
              </w:rPr>
              <w:t>n=268</w:t>
            </w:r>
          </w:p>
          <w:p w14:paraId="68DDF306" w14:textId="77777777" w:rsidR="00AB3BE8" w:rsidRPr="002A3533" w:rsidRDefault="00944B8F" w:rsidP="003F7AAE">
            <w:pPr>
              <w:pStyle w:val="EMEANormal"/>
              <w:keepNext/>
              <w:jc w:val="center"/>
              <w:rPr>
                <w:lang w:val="en-GB"/>
              </w:rPr>
            </w:pPr>
            <w:r w:rsidRPr="002A3533">
              <w:rPr>
                <w:lang w:val="en-GB"/>
              </w:rPr>
              <w:t>(95% confidence interval)</w:t>
            </w:r>
          </w:p>
        </w:tc>
        <w:tc>
          <w:tcPr>
            <w:tcW w:w="990" w:type="dxa"/>
            <w:tcBorders>
              <w:top w:val="single" w:sz="4" w:space="0" w:color="auto"/>
              <w:left w:val="single" w:sz="4" w:space="0" w:color="auto"/>
              <w:bottom w:val="single" w:sz="4" w:space="0" w:color="auto"/>
              <w:right w:val="single" w:sz="4" w:space="0" w:color="auto"/>
            </w:tcBorders>
            <w:vAlign w:val="center"/>
          </w:tcPr>
          <w:p w14:paraId="25C12A3D" w14:textId="77777777" w:rsidR="00AB3BE8" w:rsidRPr="002A3533" w:rsidRDefault="00944B8F" w:rsidP="003F7AAE">
            <w:pPr>
              <w:pStyle w:val="EMEANormal"/>
              <w:keepNext/>
              <w:jc w:val="center"/>
              <w:rPr>
                <w:lang w:val="en-GB"/>
              </w:rPr>
            </w:pPr>
            <w:r w:rsidRPr="002A3533">
              <w:rPr>
                <w:lang w:val="en-GB"/>
              </w:rPr>
              <w:t>p-value</w:t>
            </w:r>
            <w:r w:rsidRPr="002A3533">
              <w:rPr>
                <w:vertAlign w:val="superscript"/>
                <w:lang w:val="en-GB"/>
              </w:rPr>
              <w:t>a</w:t>
            </w:r>
          </w:p>
        </w:tc>
        <w:tc>
          <w:tcPr>
            <w:tcW w:w="990" w:type="dxa"/>
            <w:tcBorders>
              <w:top w:val="single" w:sz="4" w:space="0" w:color="auto"/>
              <w:left w:val="single" w:sz="4" w:space="0" w:color="auto"/>
              <w:bottom w:val="single" w:sz="4" w:space="0" w:color="auto"/>
              <w:right w:val="single" w:sz="4" w:space="0" w:color="auto"/>
            </w:tcBorders>
            <w:vAlign w:val="center"/>
          </w:tcPr>
          <w:p w14:paraId="7E7E1FB4" w14:textId="77777777" w:rsidR="00AB3BE8" w:rsidRPr="002A3533" w:rsidRDefault="00944B8F" w:rsidP="003F7AAE">
            <w:pPr>
              <w:keepNext/>
              <w:jc w:val="center"/>
            </w:pPr>
            <w:r w:rsidRPr="002A3533">
              <w:t>p-value</w:t>
            </w:r>
            <w:r w:rsidRPr="002A3533">
              <w:rPr>
                <w:vertAlign w:val="superscript"/>
              </w:rPr>
              <w:t>b</w:t>
            </w:r>
          </w:p>
        </w:tc>
        <w:tc>
          <w:tcPr>
            <w:tcW w:w="990" w:type="dxa"/>
            <w:tcBorders>
              <w:top w:val="single" w:sz="4" w:space="0" w:color="auto"/>
              <w:left w:val="single" w:sz="4" w:space="0" w:color="auto"/>
              <w:bottom w:val="single" w:sz="4" w:space="0" w:color="auto"/>
              <w:right w:val="single" w:sz="4" w:space="0" w:color="auto"/>
            </w:tcBorders>
            <w:vAlign w:val="center"/>
          </w:tcPr>
          <w:p w14:paraId="47932969" w14:textId="77777777" w:rsidR="00AB3BE8" w:rsidRPr="002A3533" w:rsidRDefault="00944B8F" w:rsidP="003F7AAE">
            <w:pPr>
              <w:keepNext/>
              <w:jc w:val="center"/>
            </w:pPr>
            <w:r w:rsidRPr="002A3533">
              <w:t>p-value</w:t>
            </w:r>
            <w:r w:rsidRPr="002A3533">
              <w:rPr>
                <w:vertAlign w:val="superscript"/>
              </w:rPr>
              <w:t>c</w:t>
            </w:r>
          </w:p>
        </w:tc>
      </w:tr>
      <w:tr w:rsidR="00C6578C" w14:paraId="3180C609" w14:textId="77777777" w:rsidTr="00A6206B">
        <w:tc>
          <w:tcPr>
            <w:tcW w:w="1430" w:type="dxa"/>
            <w:tcBorders>
              <w:top w:val="single" w:sz="4" w:space="0" w:color="auto"/>
              <w:left w:val="single" w:sz="4" w:space="0" w:color="auto"/>
              <w:bottom w:val="single" w:sz="4" w:space="0" w:color="auto"/>
              <w:right w:val="single" w:sz="4" w:space="0" w:color="auto"/>
            </w:tcBorders>
          </w:tcPr>
          <w:p w14:paraId="232C5415" w14:textId="77777777" w:rsidR="00AB3BE8" w:rsidRPr="002A3533" w:rsidRDefault="00944B8F" w:rsidP="003F7AAE">
            <w:pPr>
              <w:pStyle w:val="EMEAFigureTitle"/>
              <w:keepNext/>
              <w:jc w:val="center"/>
              <w:rPr>
                <w:szCs w:val="24"/>
                <w:lang w:val="en-GB"/>
              </w:rPr>
            </w:pPr>
            <w:r w:rsidRPr="002A3533">
              <w:rPr>
                <w:szCs w:val="24"/>
                <w:lang w:val="en-GB"/>
              </w:rPr>
              <w:t>Total Sharp Score</w:t>
            </w:r>
          </w:p>
        </w:tc>
        <w:tc>
          <w:tcPr>
            <w:tcW w:w="1540" w:type="dxa"/>
            <w:tcBorders>
              <w:top w:val="single" w:sz="4" w:space="0" w:color="auto"/>
              <w:left w:val="single" w:sz="4" w:space="0" w:color="auto"/>
              <w:bottom w:val="single" w:sz="4" w:space="0" w:color="auto"/>
              <w:right w:val="single" w:sz="4" w:space="0" w:color="auto"/>
            </w:tcBorders>
          </w:tcPr>
          <w:p w14:paraId="76A260B3" w14:textId="77777777" w:rsidR="00AB3BE8" w:rsidRPr="002A3533" w:rsidRDefault="00944B8F" w:rsidP="003F7AAE">
            <w:pPr>
              <w:keepNext/>
              <w:jc w:val="center"/>
              <w:rPr>
                <w:lang w:val="it-IT"/>
              </w:rPr>
            </w:pPr>
            <w:r w:rsidRPr="002A3533">
              <w:rPr>
                <w:lang w:val="it-IT"/>
              </w:rPr>
              <w:t>5.7 (4.2-7.3)</w:t>
            </w:r>
          </w:p>
        </w:tc>
        <w:tc>
          <w:tcPr>
            <w:tcW w:w="1482" w:type="dxa"/>
            <w:tcBorders>
              <w:top w:val="single" w:sz="4" w:space="0" w:color="auto"/>
              <w:left w:val="single" w:sz="4" w:space="0" w:color="auto"/>
              <w:bottom w:val="single" w:sz="4" w:space="0" w:color="auto"/>
              <w:right w:val="single" w:sz="4" w:space="0" w:color="auto"/>
            </w:tcBorders>
          </w:tcPr>
          <w:p w14:paraId="4E64A046" w14:textId="77777777" w:rsidR="00AB3BE8" w:rsidRPr="002A3533" w:rsidRDefault="00944B8F" w:rsidP="003F7AAE">
            <w:pPr>
              <w:pStyle w:val="EndnoteText"/>
              <w:keepNext/>
              <w:jc w:val="center"/>
              <w:rPr>
                <w:sz w:val="22"/>
                <w:szCs w:val="24"/>
                <w:lang w:val="it-IT"/>
              </w:rPr>
            </w:pPr>
            <w:r w:rsidRPr="002A3533">
              <w:rPr>
                <w:sz w:val="22"/>
                <w:szCs w:val="24"/>
                <w:lang w:val="it-IT"/>
              </w:rPr>
              <w:t>3.0 (1.7-4.3)</w:t>
            </w:r>
          </w:p>
        </w:tc>
        <w:tc>
          <w:tcPr>
            <w:tcW w:w="1488" w:type="dxa"/>
            <w:tcBorders>
              <w:top w:val="single" w:sz="4" w:space="0" w:color="auto"/>
              <w:left w:val="single" w:sz="4" w:space="0" w:color="auto"/>
              <w:bottom w:val="single" w:sz="4" w:space="0" w:color="auto"/>
              <w:right w:val="single" w:sz="4" w:space="0" w:color="auto"/>
            </w:tcBorders>
          </w:tcPr>
          <w:p w14:paraId="056570FB" w14:textId="77777777" w:rsidR="00AB3BE8" w:rsidRPr="002A3533" w:rsidRDefault="00944B8F" w:rsidP="003F7AAE">
            <w:pPr>
              <w:pStyle w:val="EndnoteText"/>
              <w:keepNext/>
              <w:jc w:val="center"/>
              <w:rPr>
                <w:sz w:val="22"/>
                <w:szCs w:val="24"/>
                <w:lang w:val="it-IT"/>
              </w:rPr>
            </w:pPr>
            <w:r w:rsidRPr="002A3533">
              <w:rPr>
                <w:sz w:val="22"/>
                <w:szCs w:val="24"/>
                <w:lang w:val="it-IT"/>
              </w:rPr>
              <w:t>1.3 (0.5-2.1)</w:t>
            </w:r>
          </w:p>
        </w:tc>
        <w:tc>
          <w:tcPr>
            <w:tcW w:w="990" w:type="dxa"/>
            <w:tcBorders>
              <w:top w:val="single" w:sz="4" w:space="0" w:color="auto"/>
              <w:left w:val="single" w:sz="4" w:space="0" w:color="auto"/>
              <w:bottom w:val="single" w:sz="4" w:space="0" w:color="auto"/>
              <w:right w:val="single" w:sz="4" w:space="0" w:color="auto"/>
            </w:tcBorders>
          </w:tcPr>
          <w:p w14:paraId="1FABEE9B" w14:textId="77777777" w:rsidR="00AB3BE8" w:rsidRPr="002A3533" w:rsidRDefault="00944B8F" w:rsidP="003F7AAE">
            <w:pPr>
              <w:pStyle w:val="EndnoteText"/>
              <w:keepNext/>
              <w:jc w:val="center"/>
              <w:rPr>
                <w:sz w:val="22"/>
                <w:szCs w:val="24"/>
                <w:lang w:val="it-IT"/>
              </w:rPr>
            </w:pPr>
            <w:r w:rsidRPr="002A3533">
              <w:rPr>
                <w:sz w:val="22"/>
                <w:szCs w:val="24"/>
                <w:lang w:val="it-IT"/>
              </w:rPr>
              <w:t>&lt; 0.001</w:t>
            </w:r>
          </w:p>
        </w:tc>
        <w:tc>
          <w:tcPr>
            <w:tcW w:w="990" w:type="dxa"/>
            <w:tcBorders>
              <w:top w:val="single" w:sz="4" w:space="0" w:color="auto"/>
              <w:left w:val="single" w:sz="4" w:space="0" w:color="auto"/>
              <w:bottom w:val="single" w:sz="4" w:space="0" w:color="auto"/>
              <w:right w:val="single" w:sz="4" w:space="0" w:color="auto"/>
            </w:tcBorders>
          </w:tcPr>
          <w:p w14:paraId="21ED643C" w14:textId="77777777" w:rsidR="00AB3BE8" w:rsidRPr="002A3533" w:rsidRDefault="00944B8F" w:rsidP="003F7AAE">
            <w:pPr>
              <w:keepNext/>
              <w:jc w:val="center"/>
              <w:rPr>
                <w:lang w:val="it-IT"/>
              </w:rPr>
            </w:pPr>
            <w:r w:rsidRPr="002A3533">
              <w:rPr>
                <w:lang w:val="it-IT"/>
              </w:rPr>
              <w:t>0.0020</w:t>
            </w:r>
          </w:p>
        </w:tc>
        <w:tc>
          <w:tcPr>
            <w:tcW w:w="990" w:type="dxa"/>
            <w:tcBorders>
              <w:top w:val="single" w:sz="4" w:space="0" w:color="auto"/>
              <w:left w:val="single" w:sz="4" w:space="0" w:color="auto"/>
              <w:bottom w:val="single" w:sz="4" w:space="0" w:color="auto"/>
              <w:right w:val="single" w:sz="4" w:space="0" w:color="auto"/>
            </w:tcBorders>
          </w:tcPr>
          <w:p w14:paraId="2B2B26EB" w14:textId="77777777" w:rsidR="00AB3BE8" w:rsidRPr="002A3533" w:rsidRDefault="00944B8F" w:rsidP="003F7AAE">
            <w:pPr>
              <w:keepNext/>
              <w:jc w:val="center"/>
              <w:rPr>
                <w:lang w:val="it-IT"/>
              </w:rPr>
            </w:pPr>
            <w:r w:rsidRPr="002A3533">
              <w:rPr>
                <w:lang w:val="it-IT"/>
              </w:rPr>
              <w:t>&lt; 0.001</w:t>
            </w:r>
          </w:p>
        </w:tc>
      </w:tr>
      <w:tr w:rsidR="00C6578C" w14:paraId="76451950" w14:textId="77777777" w:rsidTr="00A6206B">
        <w:tc>
          <w:tcPr>
            <w:tcW w:w="1430" w:type="dxa"/>
            <w:tcBorders>
              <w:top w:val="single" w:sz="4" w:space="0" w:color="auto"/>
              <w:left w:val="single" w:sz="4" w:space="0" w:color="auto"/>
              <w:bottom w:val="single" w:sz="4" w:space="0" w:color="auto"/>
              <w:right w:val="single" w:sz="4" w:space="0" w:color="auto"/>
            </w:tcBorders>
          </w:tcPr>
          <w:p w14:paraId="343A17BE" w14:textId="77777777" w:rsidR="00AB3BE8" w:rsidRPr="002A3533" w:rsidRDefault="00944B8F" w:rsidP="003F7AAE">
            <w:pPr>
              <w:keepNext/>
              <w:jc w:val="center"/>
              <w:rPr>
                <w:lang w:val="it-IT"/>
              </w:rPr>
            </w:pPr>
            <w:r w:rsidRPr="002A3533">
              <w:rPr>
                <w:lang w:val="it-IT"/>
              </w:rPr>
              <w:t>Erosion score</w:t>
            </w:r>
          </w:p>
        </w:tc>
        <w:tc>
          <w:tcPr>
            <w:tcW w:w="1540" w:type="dxa"/>
            <w:tcBorders>
              <w:top w:val="single" w:sz="4" w:space="0" w:color="auto"/>
              <w:left w:val="single" w:sz="4" w:space="0" w:color="auto"/>
              <w:bottom w:val="single" w:sz="4" w:space="0" w:color="auto"/>
              <w:right w:val="single" w:sz="4" w:space="0" w:color="auto"/>
            </w:tcBorders>
          </w:tcPr>
          <w:p w14:paraId="33ADB103" w14:textId="77777777" w:rsidR="00AB3BE8" w:rsidRPr="002A3533" w:rsidRDefault="00944B8F" w:rsidP="003F7AAE">
            <w:pPr>
              <w:keepNext/>
              <w:jc w:val="center"/>
              <w:rPr>
                <w:lang w:val="it-IT"/>
              </w:rPr>
            </w:pPr>
            <w:r w:rsidRPr="002A3533">
              <w:rPr>
                <w:lang w:val="it-IT"/>
              </w:rPr>
              <w:t>3.7 (2.7-4.7)</w:t>
            </w:r>
          </w:p>
        </w:tc>
        <w:tc>
          <w:tcPr>
            <w:tcW w:w="1482" w:type="dxa"/>
            <w:tcBorders>
              <w:top w:val="single" w:sz="4" w:space="0" w:color="auto"/>
              <w:left w:val="single" w:sz="4" w:space="0" w:color="auto"/>
              <w:bottom w:val="single" w:sz="4" w:space="0" w:color="auto"/>
              <w:right w:val="single" w:sz="4" w:space="0" w:color="auto"/>
            </w:tcBorders>
          </w:tcPr>
          <w:p w14:paraId="296C8387" w14:textId="77777777" w:rsidR="00AB3BE8" w:rsidRPr="002A3533" w:rsidRDefault="00944B8F" w:rsidP="003F7AAE">
            <w:pPr>
              <w:keepNext/>
              <w:jc w:val="center"/>
              <w:rPr>
                <w:lang w:val="it-IT"/>
              </w:rPr>
            </w:pPr>
            <w:r w:rsidRPr="002A3533">
              <w:rPr>
                <w:lang w:val="it-IT"/>
              </w:rPr>
              <w:t>1.7 (1.0-2.4)</w:t>
            </w:r>
          </w:p>
        </w:tc>
        <w:tc>
          <w:tcPr>
            <w:tcW w:w="1488" w:type="dxa"/>
            <w:tcBorders>
              <w:top w:val="single" w:sz="4" w:space="0" w:color="auto"/>
              <w:left w:val="single" w:sz="4" w:space="0" w:color="auto"/>
              <w:bottom w:val="single" w:sz="4" w:space="0" w:color="auto"/>
              <w:right w:val="single" w:sz="4" w:space="0" w:color="auto"/>
            </w:tcBorders>
          </w:tcPr>
          <w:p w14:paraId="42FE97CD" w14:textId="77777777" w:rsidR="00AB3BE8" w:rsidRPr="002A3533" w:rsidRDefault="00944B8F" w:rsidP="003F7AAE">
            <w:pPr>
              <w:keepNext/>
              <w:jc w:val="center"/>
              <w:rPr>
                <w:lang w:val="it-IT"/>
              </w:rPr>
            </w:pPr>
            <w:r w:rsidRPr="002A3533">
              <w:rPr>
                <w:lang w:val="it-IT"/>
              </w:rPr>
              <w:t>0.8 (0.4-1.2)</w:t>
            </w:r>
          </w:p>
        </w:tc>
        <w:tc>
          <w:tcPr>
            <w:tcW w:w="990" w:type="dxa"/>
            <w:tcBorders>
              <w:top w:val="single" w:sz="4" w:space="0" w:color="auto"/>
              <w:left w:val="single" w:sz="4" w:space="0" w:color="auto"/>
              <w:bottom w:val="single" w:sz="4" w:space="0" w:color="auto"/>
              <w:right w:val="single" w:sz="4" w:space="0" w:color="auto"/>
            </w:tcBorders>
          </w:tcPr>
          <w:p w14:paraId="3C12716F" w14:textId="77777777" w:rsidR="00AB3BE8" w:rsidRPr="002A3533" w:rsidRDefault="00944B8F" w:rsidP="003F7AAE">
            <w:pPr>
              <w:keepNext/>
              <w:jc w:val="center"/>
              <w:rPr>
                <w:lang w:val="it-IT"/>
              </w:rPr>
            </w:pPr>
            <w:r w:rsidRPr="002A3533">
              <w:rPr>
                <w:lang w:val="it-IT"/>
              </w:rPr>
              <w:t>&lt; 0.001</w:t>
            </w:r>
          </w:p>
        </w:tc>
        <w:tc>
          <w:tcPr>
            <w:tcW w:w="990" w:type="dxa"/>
            <w:tcBorders>
              <w:top w:val="single" w:sz="4" w:space="0" w:color="auto"/>
              <w:left w:val="single" w:sz="4" w:space="0" w:color="auto"/>
              <w:bottom w:val="single" w:sz="4" w:space="0" w:color="auto"/>
              <w:right w:val="single" w:sz="4" w:space="0" w:color="auto"/>
            </w:tcBorders>
          </w:tcPr>
          <w:p w14:paraId="2A9680A0" w14:textId="77777777" w:rsidR="00AB3BE8" w:rsidRPr="002A3533" w:rsidRDefault="00944B8F" w:rsidP="003F7AAE">
            <w:pPr>
              <w:keepNext/>
              <w:jc w:val="center"/>
              <w:rPr>
                <w:lang w:val="it-IT"/>
              </w:rPr>
            </w:pPr>
            <w:r w:rsidRPr="002A3533">
              <w:rPr>
                <w:lang w:val="it-IT"/>
              </w:rPr>
              <w:t>0.0082</w:t>
            </w:r>
          </w:p>
        </w:tc>
        <w:tc>
          <w:tcPr>
            <w:tcW w:w="990" w:type="dxa"/>
            <w:tcBorders>
              <w:top w:val="single" w:sz="4" w:space="0" w:color="auto"/>
              <w:left w:val="single" w:sz="4" w:space="0" w:color="auto"/>
              <w:bottom w:val="single" w:sz="4" w:space="0" w:color="auto"/>
              <w:right w:val="single" w:sz="4" w:space="0" w:color="auto"/>
            </w:tcBorders>
          </w:tcPr>
          <w:p w14:paraId="6AD130AC" w14:textId="77777777" w:rsidR="00AB3BE8" w:rsidRPr="002A3533" w:rsidRDefault="00944B8F" w:rsidP="003F7AAE">
            <w:pPr>
              <w:keepNext/>
              <w:jc w:val="center"/>
              <w:rPr>
                <w:lang w:val="it-IT"/>
              </w:rPr>
            </w:pPr>
            <w:r w:rsidRPr="002A3533">
              <w:rPr>
                <w:lang w:val="it-IT"/>
              </w:rPr>
              <w:t>&lt; 0.001</w:t>
            </w:r>
          </w:p>
        </w:tc>
      </w:tr>
      <w:tr w:rsidR="00C6578C" w14:paraId="05CF51DC" w14:textId="77777777" w:rsidTr="00A6206B">
        <w:tc>
          <w:tcPr>
            <w:tcW w:w="1430" w:type="dxa"/>
            <w:tcBorders>
              <w:top w:val="single" w:sz="4" w:space="0" w:color="auto"/>
              <w:left w:val="single" w:sz="4" w:space="0" w:color="auto"/>
              <w:bottom w:val="single" w:sz="4" w:space="0" w:color="auto"/>
              <w:right w:val="single" w:sz="4" w:space="0" w:color="auto"/>
            </w:tcBorders>
          </w:tcPr>
          <w:p w14:paraId="53E90261" w14:textId="77777777" w:rsidR="00AB3BE8" w:rsidRPr="002A3533" w:rsidRDefault="00944B8F" w:rsidP="003F7AAE">
            <w:pPr>
              <w:keepNext/>
              <w:jc w:val="center"/>
              <w:rPr>
                <w:lang w:val="it-IT"/>
              </w:rPr>
            </w:pPr>
            <w:r w:rsidRPr="002A3533">
              <w:rPr>
                <w:lang w:val="it-IT"/>
              </w:rPr>
              <w:t>JSN score</w:t>
            </w:r>
          </w:p>
        </w:tc>
        <w:tc>
          <w:tcPr>
            <w:tcW w:w="1540" w:type="dxa"/>
            <w:tcBorders>
              <w:top w:val="single" w:sz="4" w:space="0" w:color="auto"/>
              <w:left w:val="single" w:sz="4" w:space="0" w:color="auto"/>
              <w:bottom w:val="single" w:sz="4" w:space="0" w:color="auto"/>
              <w:right w:val="single" w:sz="4" w:space="0" w:color="auto"/>
            </w:tcBorders>
          </w:tcPr>
          <w:p w14:paraId="2D0D27DE" w14:textId="77777777" w:rsidR="00AB3BE8" w:rsidRPr="002A3533" w:rsidRDefault="00944B8F" w:rsidP="003F7AAE">
            <w:pPr>
              <w:keepNext/>
              <w:jc w:val="center"/>
            </w:pPr>
            <w:r w:rsidRPr="002A3533">
              <w:t>2.0 (1.2-2.8)</w:t>
            </w:r>
          </w:p>
        </w:tc>
        <w:tc>
          <w:tcPr>
            <w:tcW w:w="1482" w:type="dxa"/>
            <w:tcBorders>
              <w:top w:val="single" w:sz="4" w:space="0" w:color="auto"/>
              <w:left w:val="single" w:sz="4" w:space="0" w:color="auto"/>
              <w:bottom w:val="single" w:sz="4" w:space="0" w:color="auto"/>
              <w:right w:val="single" w:sz="4" w:space="0" w:color="auto"/>
            </w:tcBorders>
          </w:tcPr>
          <w:p w14:paraId="6CBF4750" w14:textId="77777777" w:rsidR="00AB3BE8" w:rsidRPr="002A3533" w:rsidRDefault="00944B8F" w:rsidP="003F7AAE">
            <w:pPr>
              <w:keepNext/>
              <w:jc w:val="center"/>
            </w:pPr>
            <w:r w:rsidRPr="002A3533">
              <w:t>1.3 (0.5-2.1)</w:t>
            </w:r>
          </w:p>
        </w:tc>
        <w:tc>
          <w:tcPr>
            <w:tcW w:w="1488" w:type="dxa"/>
            <w:tcBorders>
              <w:top w:val="single" w:sz="4" w:space="0" w:color="auto"/>
              <w:left w:val="single" w:sz="4" w:space="0" w:color="auto"/>
              <w:bottom w:val="single" w:sz="4" w:space="0" w:color="auto"/>
              <w:right w:val="single" w:sz="4" w:space="0" w:color="auto"/>
            </w:tcBorders>
          </w:tcPr>
          <w:p w14:paraId="011FB5D6" w14:textId="77777777" w:rsidR="00AB3BE8" w:rsidRPr="002A3533" w:rsidRDefault="00944B8F" w:rsidP="003F7AAE">
            <w:pPr>
              <w:keepNext/>
              <w:jc w:val="center"/>
            </w:pPr>
            <w:r w:rsidRPr="002A3533">
              <w:t>0.5 (0-1.0)</w:t>
            </w:r>
          </w:p>
        </w:tc>
        <w:tc>
          <w:tcPr>
            <w:tcW w:w="990" w:type="dxa"/>
            <w:tcBorders>
              <w:top w:val="single" w:sz="4" w:space="0" w:color="auto"/>
              <w:left w:val="single" w:sz="4" w:space="0" w:color="auto"/>
              <w:bottom w:val="single" w:sz="4" w:space="0" w:color="auto"/>
              <w:right w:val="single" w:sz="4" w:space="0" w:color="auto"/>
            </w:tcBorders>
          </w:tcPr>
          <w:p w14:paraId="388F8A44" w14:textId="77777777" w:rsidR="00AB3BE8" w:rsidRPr="002A3533" w:rsidRDefault="00944B8F" w:rsidP="003F7AAE">
            <w:pPr>
              <w:keepNext/>
              <w:jc w:val="center"/>
            </w:pPr>
            <w:r w:rsidRPr="002A3533">
              <w:t>&lt; 0.001</w:t>
            </w:r>
          </w:p>
        </w:tc>
        <w:tc>
          <w:tcPr>
            <w:tcW w:w="990" w:type="dxa"/>
            <w:tcBorders>
              <w:top w:val="single" w:sz="4" w:space="0" w:color="auto"/>
              <w:left w:val="single" w:sz="4" w:space="0" w:color="auto"/>
              <w:bottom w:val="single" w:sz="4" w:space="0" w:color="auto"/>
              <w:right w:val="single" w:sz="4" w:space="0" w:color="auto"/>
            </w:tcBorders>
          </w:tcPr>
          <w:p w14:paraId="75B81D08" w14:textId="77777777" w:rsidR="00AB3BE8" w:rsidRPr="002A3533" w:rsidRDefault="00944B8F" w:rsidP="003F7AAE">
            <w:pPr>
              <w:keepNext/>
              <w:jc w:val="center"/>
            </w:pPr>
            <w:r w:rsidRPr="002A3533">
              <w:t>0.0037</w:t>
            </w:r>
          </w:p>
        </w:tc>
        <w:tc>
          <w:tcPr>
            <w:tcW w:w="990" w:type="dxa"/>
            <w:tcBorders>
              <w:top w:val="single" w:sz="4" w:space="0" w:color="auto"/>
              <w:left w:val="single" w:sz="4" w:space="0" w:color="auto"/>
              <w:bottom w:val="single" w:sz="4" w:space="0" w:color="auto"/>
              <w:right w:val="single" w:sz="4" w:space="0" w:color="auto"/>
            </w:tcBorders>
          </w:tcPr>
          <w:p w14:paraId="333EA867" w14:textId="77777777" w:rsidR="00AB3BE8" w:rsidRPr="002A3533" w:rsidRDefault="00944B8F" w:rsidP="003F7AAE">
            <w:pPr>
              <w:keepNext/>
              <w:jc w:val="center"/>
            </w:pPr>
            <w:r w:rsidRPr="002A3533">
              <w:t>0.151</w:t>
            </w:r>
          </w:p>
        </w:tc>
      </w:tr>
      <w:tr w:rsidR="00C6578C" w14:paraId="7690CE66" w14:textId="77777777" w:rsidTr="00A6206B">
        <w:trPr>
          <w:cantSplit/>
        </w:trPr>
        <w:tc>
          <w:tcPr>
            <w:tcW w:w="8910" w:type="dxa"/>
            <w:gridSpan w:val="7"/>
            <w:tcBorders>
              <w:top w:val="single" w:sz="4" w:space="0" w:color="auto"/>
            </w:tcBorders>
          </w:tcPr>
          <w:p w14:paraId="7D84219C" w14:textId="77777777" w:rsidR="00AB3BE8" w:rsidRPr="002A3533" w:rsidRDefault="00944B8F" w:rsidP="003F7AAE">
            <w:pPr>
              <w:pStyle w:val="BodyTextIndent2"/>
              <w:keepNext/>
              <w:tabs>
                <w:tab w:val="clear" w:pos="562"/>
                <w:tab w:val="left" w:pos="330"/>
              </w:tabs>
              <w:ind w:left="330" w:hanging="330"/>
              <w:jc w:val="left"/>
              <w:rPr>
                <w:bCs/>
                <w:sz w:val="22"/>
              </w:rPr>
            </w:pPr>
            <w:r w:rsidRPr="002A3533">
              <w:rPr>
                <w:bCs/>
                <w:sz w:val="22"/>
                <w:vertAlign w:val="superscript"/>
              </w:rPr>
              <w:t xml:space="preserve">a </w:t>
            </w:r>
            <w:r w:rsidRPr="002A3533">
              <w:rPr>
                <w:bCs/>
                <w:sz w:val="22"/>
              </w:rPr>
              <w:t>p-value is from the pairwise comparison of methotrexate monotherapy and Humira/methotrexate combination therapy using the Mann-Whitney U test.</w:t>
            </w:r>
          </w:p>
          <w:p w14:paraId="510A62D2" w14:textId="77777777" w:rsidR="00AB3BE8" w:rsidRPr="002A3533" w:rsidRDefault="00944B8F" w:rsidP="003F7AAE">
            <w:pPr>
              <w:keepNext/>
              <w:tabs>
                <w:tab w:val="clear" w:pos="562"/>
                <w:tab w:val="left" w:pos="330"/>
              </w:tabs>
              <w:ind w:left="360" w:hanging="360"/>
              <w:rPr>
                <w:bCs/>
              </w:rPr>
            </w:pPr>
            <w:r w:rsidRPr="002A3533">
              <w:rPr>
                <w:bCs/>
                <w:vertAlign w:val="superscript"/>
              </w:rPr>
              <w:t>b</w:t>
            </w:r>
            <w:r w:rsidRPr="002A3533">
              <w:rPr>
                <w:bCs/>
              </w:rPr>
              <w:t xml:space="preserve"> p-value is from the pairwise comparison of Humira monotherapy and Humira/methotrexate combination therapy using the Mann-Whitney U test </w:t>
            </w:r>
          </w:p>
          <w:p w14:paraId="167DE397" w14:textId="77777777" w:rsidR="00AB3BE8" w:rsidRPr="002A3533" w:rsidRDefault="00944B8F" w:rsidP="003F7AAE">
            <w:pPr>
              <w:keepNext/>
              <w:tabs>
                <w:tab w:val="clear" w:pos="562"/>
                <w:tab w:val="left" w:pos="330"/>
              </w:tabs>
              <w:ind w:left="360" w:hanging="360"/>
              <w:rPr>
                <w:bCs/>
              </w:rPr>
            </w:pPr>
            <w:r w:rsidRPr="002A3533">
              <w:rPr>
                <w:bCs/>
                <w:vertAlign w:val="superscript"/>
              </w:rPr>
              <w:t>c</w:t>
            </w:r>
            <w:r w:rsidRPr="002A3533">
              <w:rPr>
                <w:bCs/>
              </w:rPr>
              <w:t xml:space="preserve"> p-value is from the pairwise comparison of Humira monotherapy and methotrexate monotherapy using the Mann-Whitney U test</w:t>
            </w:r>
          </w:p>
        </w:tc>
      </w:tr>
    </w:tbl>
    <w:p w14:paraId="2C4B2840" w14:textId="77777777" w:rsidR="00AB3BE8" w:rsidRPr="002A3533" w:rsidRDefault="00AB3BE8" w:rsidP="00AB3BE8"/>
    <w:p w14:paraId="5A53E934" w14:textId="77777777" w:rsidR="00AB3BE8" w:rsidRDefault="00944B8F" w:rsidP="00AB3BE8">
      <w:pPr>
        <w:pStyle w:val="EMEANormal"/>
        <w:rPr>
          <w:lang w:val="en-GB"/>
        </w:rPr>
      </w:pPr>
      <w:r w:rsidRPr="002A3533">
        <w:rPr>
          <w:lang w:val="en-GB"/>
        </w:rPr>
        <w:t xml:space="preserve">Following 52 weeks and 104 weeks of treatment, the percentage of patients without progression (change from baseline in modified Total Sharp Score </w:t>
      </w:r>
      <w:r w:rsidRPr="002A3533">
        <w:rPr>
          <w:rFonts w:ascii="Symbol" w:eastAsia="Symbol" w:hAnsi="Symbol" w:cs="Symbol"/>
          <w:szCs w:val="22"/>
          <w:lang w:val="en-GB"/>
        </w:rPr>
        <w:sym w:font="Symbol" w:char="F0A3"/>
      </w:r>
      <w:r w:rsidRPr="002A3533">
        <w:rPr>
          <w:lang w:val="en-GB"/>
        </w:rPr>
        <w:t> 0.5) was significantly higher with Humira/methotrexate combination therapy (63.8% and 61.2% respectively) compared to methotrexate monotherapy (37.4% and 33.5% respectively, p &lt; 0.001) and Humira monotherapy (50.7%, p &lt; 0.002 and 44.5%, p &lt; 0.001 respectively).</w:t>
      </w:r>
    </w:p>
    <w:p w14:paraId="60265471" w14:textId="77777777" w:rsidR="00AB3BE8" w:rsidRDefault="00AB3BE8" w:rsidP="00AB3BE8">
      <w:pPr>
        <w:pStyle w:val="EMEANormal"/>
        <w:rPr>
          <w:lang w:val="en-GB"/>
        </w:rPr>
      </w:pPr>
    </w:p>
    <w:p w14:paraId="39826A1D" w14:textId="77777777" w:rsidR="00AB3BE8" w:rsidRDefault="00944B8F" w:rsidP="00AB3BE8">
      <w:pPr>
        <w:pStyle w:val="EMEANormal"/>
        <w:rPr>
          <w:lang w:val="en-GB"/>
        </w:rPr>
      </w:pPr>
      <w:r w:rsidRPr="00575B02">
        <w:rPr>
          <w:szCs w:val="22"/>
        </w:rPr>
        <w:t xml:space="preserve">In the open-label extension of RA study V, the mean change from baseline at Year 10 in the modified Total Sharp Score was 10.8, 9.2 and 3.9 in patients originally randomized to </w:t>
      </w:r>
      <w:r>
        <w:rPr>
          <w:szCs w:val="22"/>
        </w:rPr>
        <w:t>methotrexate m</w:t>
      </w:r>
      <w:r w:rsidRPr="00575B02">
        <w:rPr>
          <w:szCs w:val="22"/>
        </w:rPr>
        <w:t xml:space="preserve">onotherapy, </w:t>
      </w:r>
      <w:r w:rsidRPr="00575B02">
        <w:rPr>
          <w:szCs w:val="22"/>
        </w:rPr>
        <w:lastRenderedPageBreak/>
        <w:t>Humira</w:t>
      </w:r>
      <w:r>
        <w:rPr>
          <w:szCs w:val="22"/>
        </w:rPr>
        <w:t xml:space="preserve"> </w:t>
      </w:r>
      <w:r w:rsidRPr="00575B02">
        <w:rPr>
          <w:szCs w:val="22"/>
        </w:rPr>
        <w:t>monotherapy and Humira/</w:t>
      </w:r>
      <w:r>
        <w:rPr>
          <w:szCs w:val="22"/>
        </w:rPr>
        <w:t>methotrexate</w:t>
      </w:r>
      <w:r w:rsidRPr="00575B02">
        <w:rPr>
          <w:szCs w:val="22"/>
        </w:rPr>
        <w:t xml:space="preserve"> combination therapy, respectively</w:t>
      </w:r>
      <w:r>
        <w:rPr>
          <w:szCs w:val="22"/>
        </w:rPr>
        <w:t xml:space="preserve">. </w:t>
      </w:r>
      <w:r w:rsidRPr="00447D3C">
        <w:rPr>
          <w:lang w:val="en-GB"/>
        </w:rPr>
        <w:t>The corresponding proportions of patients with no radiographic progression were 3</w:t>
      </w:r>
      <w:r>
        <w:rPr>
          <w:lang w:val="en-GB"/>
        </w:rPr>
        <w:t>1.3%, 23.7% and 36.7% respectiv</w:t>
      </w:r>
      <w:r w:rsidRPr="00447D3C">
        <w:rPr>
          <w:lang w:val="en-GB"/>
        </w:rPr>
        <w:t>e</w:t>
      </w:r>
      <w:r>
        <w:rPr>
          <w:lang w:val="en-GB"/>
        </w:rPr>
        <w:t>l</w:t>
      </w:r>
      <w:r w:rsidRPr="00447D3C">
        <w:rPr>
          <w:lang w:val="en-GB"/>
        </w:rPr>
        <w:t>y.</w:t>
      </w:r>
    </w:p>
    <w:p w14:paraId="5B2DA610" w14:textId="77777777" w:rsidR="00AB3BE8" w:rsidRPr="00EB1526" w:rsidRDefault="00AB3BE8" w:rsidP="00AB3BE8">
      <w:pPr>
        <w:pStyle w:val="EMEANormal"/>
        <w:rPr>
          <w:lang w:val="en-GB"/>
        </w:rPr>
      </w:pPr>
    </w:p>
    <w:p w14:paraId="01489141" w14:textId="77777777" w:rsidR="00AB3BE8" w:rsidRDefault="00944B8F" w:rsidP="00AB3BE8">
      <w:pPr>
        <w:pStyle w:val="EMEAHeadingUnderline"/>
        <w:keepNext/>
        <w:spacing w:beforeLines="0" w:afterLines="0"/>
        <w:rPr>
          <w:i/>
          <w:lang w:val="en-GB"/>
        </w:rPr>
      </w:pPr>
      <w:r w:rsidRPr="002A3533">
        <w:rPr>
          <w:i/>
          <w:lang w:val="en-GB"/>
        </w:rPr>
        <w:t xml:space="preserve">Quality of life and physical function </w:t>
      </w:r>
    </w:p>
    <w:p w14:paraId="57F90B22" w14:textId="77777777" w:rsidR="00AB3BE8" w:rsidRPr="00FD6AFC" w:rsidRDefault="00AB3BE8" w:rsidP="00AB3BE8">
      <w:pPr>
        <w:pStyle w:val="EMEANormal"/>
        <w:keepNext/>
        <w:rPr>
          <w:lang w:val="en-GB"/>
        </w:rPr>
      </w:pPr>
    </w:p>
    <w:p w14:paraId="082CEAC0" w14:textId="77777777" w:rsidR="00AB3BE8" w:rsidRPr="002A3533" w:rsidRDefault="00944B8F" w:rsidP="00AB3BE8">
      <w:pPr>
        <w:keepNext/>
      </w:pPr>
      <w:r w:rsidRPr="002A3533">
        <w:t>Health-related quality of life and physical function were assessed using the disability index of the Health Assessment Questionnaire (HAQ) in the four original adequate and well-controlled trials, which was a pre-specified primary endpoint at Week 52 in RA study III. All doses/schedules of Humira in all four studies showed statistically significantly greater improvement in the disability index of the HAQ from baseline to Month 6 compared to placebo and in RA study III the same was seen at Week 52. Results from the Short Form Health Survey (SF 36) for all doses/schedules of Humira in all four studies support these findings, with statistically significant physical component summary (PCS) scores, as well as statistically significant pain and vitality domain scores for the 40 mg every other week dose. A statistically significant decrease in fatigue as measured by functional assessment of chronic illness therapy (FACIT) scores was seen in all three studies in which it was assessed (RA studies I, III, IV).</w:t>
      </w:r>
    </w:p>
    <w:p w14:paraId="3E368D0F" w14:textId="77777777" w:rsidR="00AB3BE8" w:rsidRPr="002A3533" w:rsidRDefault="00AB3BE8" w:rsidP="00AB3BE8">
      <w:pPr>
        <w:keepNext/>
        <w:keepLines/>
      </w:pPr>
    </w:p>
    <w:p w14:paraId="4DCE52F6" w14:textId="77777777" w:rsidR="00AB3BE8" w:rsidRPr="002A3533" w:rsidRDefault="00944B8F" w:rsidP="00AB3BE8">
      <w:pPr>
        <w:keepNext/>
        <w:keepLines/>
      </w:pPr>
      <w:r w:rsidRPr="002A3533">
        <w:t>In RA study III, most subjects who achieved improvement in physical function and continued treatment maintained improvement through Week 520 (120 months) of open-label treatment. Improvement in quality of life was measured up to Week 156 (36 months) and improvement was maintained through that time.</w:t>
      </w:r>
    </w:p>
    <w:p w14:paraId="7F519163" w14:textId="77777777" w:rsidR="00AB3BE8" w:rsidRPr="002A3533" w:rsidRDefault="00AB3BE8" w:rsidP="00AB3BE8">
      <w:pPr>
        <w:keepNext/>
        <w:keepLines/>
      </w:pPr>
    </w:p>
    <w:p w14:paraId="774383FD" w14:textId="77777777" w:rsidR="00AB3BE8" w:rsidRPr="002A3533" w:rsidRDefault="00944B8F" w:rsidP="00AB3BE8">
      <w:pPr>
        <w:pStyle w:val="EMEANormal"/>
        <w:keepNext/>
        <w:rPr>
          <w:szCs w:val="22"/>
          <w:lang w:val="en-GB"/>
        </w:rPr>
      </w:pPr>
      <w:r w:rsidRPr="002A3533">
        <w:rPr>
          <w:lang w:val="en-GB"/>
        </w:rPr>
        <w:t xml:space="preserve">In RA study V, the improvement in the HAQ disability index and the physical component of the SF 36 showed greater improvement (p &lt; 0.001) for Humira/methotrexate combination therapy </w:t>
      </w:r>
      <w:r w:rsidRPr="002A3533">
        <w:rPr>
          <w:i/>
          <w:iCs/>
          <w:lang w:val="en-GB"/>
        </w:rPr>
        <w:t>versus</w:t>
      </w:r>
      <w:r w:rsidRPr="002A3533">
        <w:rPr>
          <w:lang w:val="en-GB"/>
        </w:rPr>
        <w:t xml:space="preserve"> methotrexate monotherapy and Humira monotherapy at Week 52, which was maintained through </w:t>
      </w:r>
      <w:r w:rsidRPr="002A3533">
        <w:rPr>
          <w:szCs w:val="22"/>
          <w:lang w:val="en-GB"/>
        </w:rPr>
        <w:t>Week 104.</w:t>
      </w:r>
      <w:r>
        <w:rPr>
          <w:szCs w:val="22"/>
          <w:lang w:val="en-GB"/>
        </w:rPr>
        <w:t xml:space="preserve"> </w:t>
      </w:r>
      <w:r w:rsidRPr="006550D8">
        <w:t xml:space="preserve">Among the 250 subjects who </w:t>
      </w:r>
      <w:r>
        <w:t xml:space="preserve">completed </w:t>
      </w:r>
      <w:r w:rsidRPr="006550D8">
        <w:t>the open-label extension study, improvements in physical function were maintained through 10 years of treatment</w:t>
      </w:r>
      <w:r>
        <w:t>.</w:t>
      </w:r>
    </w:p>
    <w:p w14:paraId="742B7904" w14:textId="77777777" w:rsidR="00AB3BE8" w:rsidRPr="002A3533" w:rsidRDefault="00AB3BE8" w:rsidP="00AB3BE8">
      <w:pPr>
        <w:pStyle w:val="EMEANormal"/>
        <w:rPr>
          <w:rFonts w:eastAsia="TimesNewRoman"/>
          <w:szCs w:val="22"/>
        </w:rPr>
      </w:pPr>
    </w:p>
    <w:p w14:paraId="42CE9540" w14:textId="77777777" w:rsidR="00AB3BE8" w:rsidRPr="002A3533" w:rsidRDefault="00944B8F" w:rsidP="00AB3BE8">
      <w:pPr>
        <w:rPr>
          <w:i/>
        </w:rPr>
      </w:pPr>
      <w:r>
        <w:rPr>
          <w:i/>
        </w:rPr>
        <w:t>Adult plaque p</w:t>
      </w:r>
      <w:r w:rsidRPr="002A3533">
        <w:rPr>
          <w:i/>
        </w:rPr>
        <w:t xml:space="preserve">soriasis </w:t>
      </w:r>
    </w:p>
    <w:p w14:paraId="0A408967" w14:textId="77777777" w:rsidR="00AB3BE8" w:rsidRPr="002A3533" w:rsidRDefault="00AB3BE8" w:rsidP="00AB3BE8">
      <w:pPr>
        <w:rPr>
          <w:u w:val="single"/>
        </w:rPr>
      </w:pPr>
    </w:p>
    <w:p w14:paraId="68E3DD07" w14:textId="77777777" w:rsidR="00AB3BE8" w:rsidRPr="00193076" w:rsidRDefault="00944B8F" w:rsidP="00AB3BE8">
      <w:pPr>
        <w:rPr>
          <w:szCs w:val="22"/>
        </w:rPr>
      </w:pPr>
      <w:r w:rsidRPr="002A3533">
        <w:t>The safety and efficacy of Humira were studied in adult patients with chronic plaque psoriasis (</w:t>
      </w:r>
      <w:r w:rsidRPr="00E95E17">
        <w:rPr>
          <w:rFonts w:ascii="Symbol" w:eastAsia="Symbol" w:hAnsi="Symbol" w:cs="Symbol"/>
          <w:szCs w:val="22"/>
        </w:rPr>
        <w:sym w:font="Symbol" w:char="F0B3"/>
      </w:r>
      <w:r>
        <w:t xml:space="preserve"> 10% BSA involvement and </w:t>
      </w:r>
      <w:r w:rsidRPr="00E95E17">
        <w:t xml:space="preserve">PASI </w:t>
      </w:r>
      <w:r w:rsidRPr="00E95E17">
        <w:rPr>
          <w:rFonts w:ascii="Symbol" w:eastAsia="Symbol" w:hAnsi="Symbol" w:cs="Symbol"/>
          <w:szCs w:val="22"/>
        </w:rPr>
        <w:sym w:font="Symbol" w:char="F0B3"/>
      </w:r>
      <w:r w:rsidRPr="00E95E17">
        <w:t xml:space="preserve"> 12 or </w:t>
      </w:r>
      <w:r w:rsidRPr="00E95E17">
        <w:rPr>
          <w:rFonts w:ascii="Symbol" w:eastAsia="Symbol" w:hAnsi="Symbol" w:cs="Symbol"/>
          <w:szCs w:val="22"/>
        </w:rPr>
        <w:sym w:font="Symbol" w:char="F0B3"/>
      </w:r>
      <w:r w:rsidRPr="00E95E17">
        <w:t xml:space="preserve"> 10) who were candidates for systemic therapy or phototherapy in randomised, double-blind studies. 73% of patients enrolled in Psoriasis Studies I and II had received prior systemic therapy or phototherapy. The safety and efficacy of Humira were </w:t>
      </w:r>
      <w:r w:rsidRPr="00193076">
        <w:t xml:space="preserve">also studied in adult patients with moderate to severe </w:t>
      </w:r>
      <w:r w:rsidRPr="00193076">
        <w:rPr>
          <w:szCs w:val="22"/>
        </w:rPr>
        <w:t xml:space="preserve">chronic plaque psoriasis with concomitant hand and/or foot psoriasis who were candidates for systemic therapy in a randomised double-blind study (Psoriasis Study III).  </w:t>
      </w:r>
    </w:p>
    <w:p w14:paraId="08A3409F" w14:textId="77777777" w:rsidR="00AB3BE8" w:rsidRPr="00A868FE" w:rsidRDefault="00AB3BE8" w:rsidP="00AB3BE8">
      <w:pPr>
        <w:pStyle w:val="EndnoteText"/>
      </w:pPr>
    </w:p>
    <w:p w14:paraId="79F2B686" w14:textId="77777777" w:rsidR="00AB3BE8" w:rsidRPr="00A868FE" w:rsidRDefault="00944B8F" w:rsidP="00AB3BE8">
      <w:r w:rsidRPr="00A868FE">
        <w:t>Psoriasis Study I (REVEAL) evaluated 1,212 patients within three treatment periods. In period A, patients received placebo or Humira at an initial dose of 80 mg followed by 40 mg every other week starting one week after the initial dose. After 16 </w:t>
      </w:r>
      <w:r w:rsidRPr="004D066E">
        <w:t>weeks of therapy, patients who achieve</w:t>
      </w:r>
      <w:r w:rsidRPr="002A3533">
        <w:t xml:space="preserve">d at least a PASI 75 response (PASI score improvement of at least 75% relative to baseline), entered period B and received open-label 40 mg Humira every other week. Patients who maintained </w:t>
      </w:r>
      <w:r w:rsidRPr="00E95E17">
        <w:rPr>
          <w:rFonts w:ascii="Symbol" w:eastAsia="Symbol" w:hAnsi="Symbol" w:cs="Symbol"/>
          <w:szCs w:val="22"/>
        </w:rPr>
        <w:sym w:font="Symbol" w:char="F0B3"/>
      </w:r>
      <w:r w:rsidRPr="00E95E17">
        <w:t>PASI 75 response at Week </w:t>
      </w:r>
      <w:r w:rsidRPr="00193076">
        <w:t>33 and were originally randomised to active therapy in Period A, were re-randomised in period C to receive 40 mg Humira every other week or placebo for an additional 19 weeks. Across all treatment groups, the mean baseline PASI score was 18.9 and the baseline</w:t>
      </w:r>
      <w:r>
        <w:t xml:space="preserve"> PGA</w:t>
      </w:r>
      <w:r w:rsidRPr="00193076">
        <w:t xml:space="preserve"> s</w:t>
      </w:r>
      <w:r w:rsidRPr="00A868FE">
        <w:t>core ranged from “moderate” (53% of subjects included) to “severe” (41%) to “very severe” (6%).</w:t>
      </w:r>
    </w:p>
    <w:p w14:paraId="6F513DAB" w14:textId="77777777" w:rsidR="00AB3BE8" w:rsidRPr="00A868FE" w:rsidRDefault="00AB3BE8" w:rsidP="00AB3BE8"/>
    <w:p w14:paraId="1AB7C73A" w14:textId="77777777" w:rsidR="00AB3BE8" w:rsidRPr="00193076" w:rsidRDefault="00944B8F" w:rsidP="00AB3BE8">
      <w:pPr>
        <w:autoSpaceDE w:val="0"/>
        <w:autoSpaceDN w:val="0"/>
        <w:adjustRightInd w:val="0"/>
      </w:pPr>
      <w:r w:rsidRPr="00A868FE">
        <w:rPr>
          <w:szCs w:val="22"/>
        </w:rPr>
        <w:t xml:space="preserve">Psoriasis Study II (CHAMPION) compared the efficacy and safety of Humira </w:t>
      </w:r>
      <w:r w:rsidRPr="00A868FE">
        <w:rPr>
          <w:i/>
          <w:iCs/>
          <w:szCs w:val="22"/>
        </w:rPr>
        <w:t>versus</w:t>
      </w:r>
      <w:r w:rsidRPr="004D066E">
        <w:rPr>
          <w:szCs w:val="22"/>
        </w:rPr>
        <w:t xml:space="preserve"> methotrexate and placebo in 271 patients. </w:t>
      </w:r>
      <w:r w:rsidRPr="002A3533">
        <w:t xml:space="preserve">Patients received placebo, an initial dose of MTX 7.5 mg and thereafter dose increases up to Week 12, with a maximum dose of 25 mg or an initial dose of 80 mg Humira followed by 40 mg every other week (starting one week after the initial dose) for 16 weeks. There are no data available comparing Humira and MTX beyond 16 weeks of therapy. Patients receiving MTX who achieved a </w:t>
      </w:r>
      <w:r w:rsidRPr="00E95E17">
        <w:rPr>
          <w:rFonts w:ascii="Symbol" w:eastAsia="Symbol" w:hAnsi="Symbol" w:cs="Symbol"/>
          <w:szCs w:val="22"/>
        </w:rPr>
        <w:sym w:font="Symbol" w:char="F0B3"/>
      </w:r>
      <w:r w:rsidRPr="00E95E17">
        <w:t>PASI 50 response at Week </w:t>
      </w:r>
      <w:r w:rsidRPr="00193076">
        <w:t xml:space="preserve">8 and/or 12 did not receive further dose increases. Across all treatment </w:t>
      </w:r>
      <w:r w:rsidRPr="00193076">
        <w:lastRenderedPageBreak/>
        <w:t xml:space="preserve">groups, the mean baseline </w:t>
      </w:r>
      <w:r w:rsidRPr="00193076">
        <w:rPr>
          <w:caps/>
        </w:rPr>
        <w:t>Pasi</w:t>
      </w:r>
      <w:r w:rsidRPr="00193076">
        <w:t xml:space="preserve"> score was 19.7 and the baseline PGA score ranged from “mild” (&lt;1%) to “moderate” (48%) to “severe” (46%) to “very severe” (6%).</w:t>
      </w:r>
    </w:p>
    <w:p w14:paraId="1762CA86" w14:textId="77777777" w:rsidR="00AB3BE8" w:rsidRPr="00A868FE" w:rsidRDefault="00AB3BE8" w:rsidP="00AB3BE8">
      <w:pPr>
        <w:autoSpaceDE w:val="0"/>
        <w:autoSpaceDN w:val="0"/>
        <w:adjustRightInd w:val="0"/>
      </w:pPr>
    </w:p>
    <w:p w14:paraId="440030F9" w14:textId="77777777" w:rsidR="00AB3BE8" w:rsidRPr="004D066E" w:rsidRDefault="00944B8F" w:rsidP="00AB3BE8">
      <w:pPr>
        <w:autoSpaceDE w:val="0"/>
        <w:autoSpaceDN w:val="0"/>
        <w:adjustRightInd w:val="0"/>
      </w:pPr>
      <w:r w:rsidRPr="00A868FE">
        <w:t xml:space="preserve">Patients participating in all Phase 2 and Phase 3 psoriasis studies were eligible to </w:t>
      </w:r>
      <w:r>
        <w:t>enrol</w:t>
      </w:r>
      <w:r w:rsidRPr="00A868FE">
        <w:t xml:space="preserve"> into an open-label extension trial, where Humira was given for at least an additional 108 </w:t>
      </w:r>
      <w:r w:rsidRPr="004D066E">
        <w:t>weeks.</w:t>
      </w:r>
    </w:p>
    <w:p w14:paraId="5663A66F" w14:textId="77777777" w:rsidR="00AB3BE8" w:rsidRPr="002A3533" w:rsidRDefault="00AB3BE8" w:rsidP="00AB3BE8">
      <w:pPr>
        <w:autoSpaceDE w:val="0"/>
        <w:autoSpaceDN w:val="0"/>
        <w:adjustRightInd w:val="0"/>
      </w:pPr>
    </w:p>
    <w:p w14:paraId="47F4D255" w14:textId="77777777" w:rsidR="00AB3BE8" w:rsidRPr="002A3533" w:rsidRDefault="00944B8F" w:rsidP="00AB3BE8">
      <w:pPr>
        <w:keepNext/>
        <w:autoSpaceDE w:val="0"/>
        <w:autoSpaceDN w:val="0"/>
        <w:adjustRightInd w:val="0"/>
      </w:pPr>
      <w:r w:rsidRPr="002A3533">
        <w:rPr>
          <w:iCs/>
        </w:rPr>
        <w:t xml:space="preserve">In Psoriasis Studies I and II, a primary endpoint was the proportion of patients who achieved a PASI 75 response from baseline at Week 16 </w:t>
      </w:r>
      <w:r w:rsidRPr="002A3533">
        <w:rPr>
          <w:szCs w:val="22"/>
        </w:rPr>
        <w:t xml:space="preserve">(see Tables </w:t>
      </w:r>
      <w:r w:rsidR="00D32B46">
        <w:rPr>
          <w:szCs w:val="22"/>
        </w:rPr>
        <w:t>11</w:t>
      </w:r>
      <w:r w:rsidRPr="002A3533">
        <w:rPr>
          <w:szCs w:val="22"/>
        </w:rPr>
        <w:t xml:space="preserve"> and </w:t>
      </w:r>
      <w:r w:rsidR="00D32B46">
        <w:rPr>
          <w:szCs w:val="22"/>
        </w:rPr>
        <w:t>12</w:t>
      </w:r>
      <w:r w:rsidRPr="002A3533">
        <w:rPr>
          <w:szCs w:val="22"/>
        </w:rPr>
        <w:t>).</w:t>
      </w:r>
    </w:p>
    <w:p w14:paraId="1635D0D6" w14:textId="77777777" w:rsidR="00AB3BE8" w:rsidRPr="002A3533" w:rsidRDefault="00AB3BE8" w:rsidP="00AB3BE8">
      <w:pPr>
        <w:pStyle w:val="DefaultText"/>
        <w:keepNext/>
        <w:rPr>
          <w:rFonts w:ascii="Times New Roman" w:hAnsi="Times New Roman"/>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C6578C" w14:paraId="793FF434" w14:textId="77777777" w:rsidTr="00A6206B">
        <w:trPr>
          <w:cantSplit/>
          <w:jc w:val="center"/>
        </w:trPr>
        <w:tc>
          <w:tcPr>
            <w:tcW w:w="6949" w:type="dxa"/>
            <w:gridSpan w:val="3"/>
            <w:tcBorders>
              <w:top w:val="nil"/>
              <w:left w:val="nil"/>
              <w:right w:val="nil"/>
            </w:tcBorders>
          </w:tcPr>
          <w:p w14:paraId="29995FEF" w14:textId="77777777" w:rsidR="00AB3BE8" w:rsidRPr="002A3533" w:rsidRDefault="00944B8F" w:rsidP="00A6206B">
            <w:pPr>
              <w:pStyle w:val="DefaultText"/>
              <w:keepNext/>
              <w:jc w:val="center"/>
              <w:rPr>
                <w:rFonts w:ascii="Times New Roman" w:hAnsi="Times New Roman"/>
                <w:b/>
                <w:bCs w:val="0"/>
              </w:rPr>
            </w:pPr>
            <w:r w:rsidRPr="002A3533">
              <w:rPr>
                <w:rFonts w:ascii="Times New Roman" w:hAnsi="Times New Roman"/>
                <w:b/>
                <w:bCs w:val="0"/>
              </w:rPr>
              <w:t xml:space="preserve">Table </w:t>
            </w:r>
            <w:r w:rsidR="00D32B46">
              <w:rPr>
                <w:rFonts w:ascii="Times New Roman" w:hAnsi="Times New Roman"/>
                <w:b/>
                <w:bCs w:val="0"/>
              </w:rPr>
              <w:t>11</w:t>
            </w:r>
          </w:p>
          <w:p w14:paraId="7C022485" w14:textId="77777777" w:rsidR="00AB3BE8" w:rsidRPr="002A3533" w:rsidRDefault="00944B8F" w:rsidP="00A6206B">
            <w:pPr>
              <w:pStyle w:val="DefaultText"/>
              <w:keepNext/>
              <w:jc w:val="center"/>
              <w:rPr>
                <w:rFonts w:ascii="Times New Roman" w:hAnsi="Times New Roman"/>
                <w:b/>
                <w:bCs w:val="0"/>
              </w:rPr>
            </w:pPr>
            <w:r w:rsidRPr="002A3533">
              <w:rPr>
                <w:rFonts w:ascii="Times New Roman" w:hAnsi="Times New Roman"/>
                <w:b/>
                <w:bCs w:val="0"/>
              </w:rPr>
              <w:t>Ps Study I (REVEAL)  - Efficacy Results at 16 Weeks</w:t>
            </w:r>
          </w:p>
        </w:tc>
      </w:tr>
      <w:tr w:rsidR="00C6578C" w:rsidRPr="00173B45" w14:paraId="07B08D94" w14:textId="77777777" w:rsidTr="00A6206B">
        <w:trPr>
          <w:cantSplit/>
          <w:jc w:val="center"/>
        </w:trPr>
        <w:tc>
          <w:tcPr>
            <w:tcW w:w="2977" w:type="dxa"/>
            <w:vAlign w:val="center"/>
          </w:tcPr>
          <w:p w14:paraId="258872B1" w14:textId="77777777" w:rsidR="00AB3BE8" w:rsidRPr="002A3533" w:rsidRDefault="00AB3BE8" w:rsidP="00A6206B">
            <w:pPr>
              <w:pStyle w:val="DefaultText"/>
              <w:keepNext/>
              <w:rPr>
                <w:rFonts w:ascii="Times New Roman" w:hAnsi="Times New Roman"/>
                <w:b/>
                <w:bCs w:val="0"/>
              </w:rPr>
            </w:pPr>
          </w:p>
        </w:tc>
        <w:tc>
          <w:tcPr>
            <w:tcW w:w="1620" w:type="dxa"/>
            <w:vAlign w:val="center"/>
          </w:tcPr>
          <w:p w14:paraId="7EA4B741" w14:textId="77777777" w:rsidR="00AB3BE8" w:rsidRPr="002A3533" w:rsidRDefault="00944B8F" w:rsidP="00A6206B">
            <w:pPr>
              <w:pStyle w:val="DefaultText"/>
              <w:keepNext/>
              <w:jc w:val="center"/>
              <w:rPr>
                <w:rFonts w:ascii="Times New Roman" w:hAnsi="Times New Roman"/>
                <w:b/>
                <w:bCs w:val="0"/>
                <w:lang w:val="fr-FR"/>
              </w:rPr>
            </w:pPr>
            <w:r w:rsidRPr="002A3533">
              <w:rPr>
                <w:rFonts w:ascii="Times New Roman" w:hAnsi="Times New Roman"/>
                <w:b/>
                <w:bCs w:val="0"/>
                <w:lang w:val="fr-FR"/>
              </w:rPr>
              <w:t>Placebo</w:t>
            </w:r>
          </w:p>
          <w:p w14:paraId="10173958" w14:textId="77777777" w:rsidR="00AB3BE8" w:rsidRPr="002A3533" w:rsidRDefault="00944B8F" w:rsidP="00A6206B">
            <w:pPr>
              <w:pStyle w:val="DefaultText"/>
              <w:keepNext/>
              <w:jc w:val="center"/>
              <w:rPr>
                <w:rFonts w:ascii="Times New Roman" w:hAnsi="Times New Roman"/>
                <w:b/>
                <w:bCs w:val="0"/>
                <w:lang w:val="fr-FR"/>
              </w:rPr>
            </w:pPr>
            <w:r w:rsidRPr="002A3533">
              <w:rPr>
                <w:rFonts w:ascii="Times New Roman" w:hAnsi="Times New Roman"/>
                <w:b/>
                <w:bCs w:val="0"/>
                <w:lang w:val="fr-FR"/>
              </w:rPr>
              <w:t>N=398</w:t>
            </w:r>
          </w:p>
          <w:p w14:paraId="65FF9AD7" w14:textId="77777777" w:rsidR="00AB3BE8" w:rsidRPr="002A3533" w:rsidRDefault="00944B8F" w:rsidP="00A6206B">
            <w:pPr>
              <w:pStyle w:val="DefaultText"/>
              <w:keepNext/>
              <w:jc w:val="center"/>
              <w:rPr>
                <w:rFonts w:ascii="Times New Roman" w:hAnsi="Times New Roman"/>
                <w:b/>
                <w:bCs w:val="0"/>
                <w:lang w:val="fr-FR"/>
              </w:rPr>
            </w:pPr>
            <w:r w:rsidRPr="002A3533">
              <w:rPr>
                <w:rFonts w:ascii="Times New Roman" w:hAnsi="Times New Roman"/>
                <w:b/>
                <w:bCs w:val="0"/>
                <w:lang w:val="fr-FR"/>
              </w:rPr>
              <w:t>n (%)</w:t>
            </w:r>
          </w:p>
        </w:tc>
        <w:tc>
          <w:tcPr>
            <w:tcW w:w="2352" w:type="dxa"/>
            <w:vAlign w:val="center"/>
          </w:tcPr>
          <w:p w14:paraId="19E41AF3" w14:textId="77777777" w:rsidR="00AB3BE8" w:rsidRPr="002A3533" w:rsidRDefault="00944B8F" w:rsidP="00A6206B">
            <w:pPr>
              <w:pStyle w:val="DefaultText"/>
              <w:keepNext/>
              <w:jc w:val="center"/>
              <w:rPr>
                <w:rFonts w:ascii="Times New Roman" w:hAnsi="Times New Roman"/>
                <w:b/>
                <w:bCs w:val="0"/>
                <w:lang w:val="es-ES"/>
              </w:rPr>
            </w:pPr>
            <w:r w:rsidRPr="002A3533">
              <w:rPr>
                <w:rFonts w:ascii="Times New Roman" w:hAnsi="Times New Roman"/>
                <w:b/>
                <w:bCs w:val="0"/>
                <w:lang w:val="es-ES"/>
              </w:rPr>
              <w:t>Humira 40 mg eow</w:t>
            </w:r>
          </w:p>
          <w:p w14:paraId="5EEAA4E2" w14:textId="77777777" w:rsidR="00AB3BE8" w:rsidRPr="002A3533" w:rsidRDefault="00944B8F" w:rsidP="00A6206B">
            <w:pPr>
              <w:pStyle w:val="DefaultText"/>
              <w:keepNext/>
              <w:jc w:val="center"/>
              <w:rPr>
                <w:rFonts w:ascii="Times New Roman" w:hAnsi="Times New Roman"/>
                <w:b/>
                <w:bCs w:val="0"/>
                <w:lang w:val="it-IT"/>
              </w:rPr>
            </w:pPr>
            <w:r w:rsidRPr="002A3533">
              <w:rPr>
                <w:rFonts w:ascii="Times New Roman" w:hAnsi="Times New Roman"/>
                <w:b/>
                <w:bCs w:val="0"/>
                <w:lang w:val="it-IT"/>
              </w:rPr>
              <w:t>N=814</w:t>
            </w:r>
          </w:p>
          <w:p w14:paraId="6AC44C50" w14:textId="77777777" w:rsidR="00AB3BE8" w:rsidRPr="002A3533" w:rsidRDefault="00944B8F" w:rsidP="00A6206B">
            <w:pPr>
              <w:pStyle w:val="DefaultText"/>
              <w:keepNext/>
              <w:jc w:val="center"/>
              <w:rPr>
                <w:rFonts w:ascii="Times New Roman" w:hAnsi="Times New Roman"/>
                <w:b/>
                <w:bCs w:val="0"/>
                <w:lang w:val="it-IT"/>
              </w:rPr>
            </w:pPr>
            <w:r w:rsidRPr="002A3533">
              <w:rPr>
                <w:rFonts w:ascii="Times New Roman" w:hAnsi="Times New Roman"/>
                <w:b/>
                <w:bCs w:val="0"/>
                <w:lang w:val="it-IT"/>
              </w:rPr>
              <w:t>n (%)</w:t>
            </w:r>
          </w:p>
        </w:tc>
      </w:tr>
      <w:tr w:rsidR="00C6578C" w14:paraId="18F4DDDB" w14:textId="77777777" w:rsidTr="00A6206B">
        <w:trPr>
          <w:cantSplit/>
          <w:jc w:val="center"/>
        </w:trPr>
        <w:tc>
          <w:tcPr>
            <w:tcW w:w="2977" w:type="dxa"/>
          </w:tcPr>
          <w:p w14:paraId="1B342BA1" w14:textId="77777777" w:rsidR="00AB3BE8" w:rsidRPr="002A3533" w:rsidRDefault="00944B8F" w:rsidP="00A6206B">
            <w:pPr>
              <w:pStyle w:val="DefaultText"/>
              <w:keepNext/>
              <w:rPr>
                <w:rFonts w:ascii="Times New Roman" w:hAnsi="Times New Roman"/>
                <w:b/>
                <w:bCs w:val="0"/>
                <w:lang w:val="it-IT"/>
              </w:rPr>
            </w:pPr>
            <w:r w:rsidRPr="002A3533">
              <w:rPr>
                <w:rFonts w:ascii="Times New Roman" w:hAnsi="Times New Roman"/>
                <w:b/>
                <w:bCs w:val="0"/>
                <w:lang w:val="it-IT"/>
              </w:rPr>
              <w:t xml:space="preserve">    </w:t>
            </w:r>
            <w:r w:rsidRPr="002A3533">
              <w:rPr>
                <w:rFonts w:ascii="Symbol" w:eastAsia="Symbol" w:hAnsi="Symbol" w:cs="Symbol"/>
                <w:b/>
                <w:szCs w:val="22"/>
              </w:rPr>
              <w:sym w:font="Symbol" w:char="F0B3"/>
            </w:r>
            <w:r w:rsidRPr="002A3533">
              <w:rPr>
                <w:rFonts w:ascii="Times New Roman" w:hAnsi="Times New Roman"/>
                <w:b/>
                <w:bCs w:val="0"/>
                <w:szCs w:val="22"/>
              </w:rPr>
              <w:t> </w:t>
            </w:r>
            <w:r w:rsidRPr="002A3533">
              <w:rPr>
                <w:rFonts w:ascii="Times New Roman" w:hAnsi="Times New Roman"/>
                <w:b/>
                <w:bCs w:val="0"/>
                <w:lang w:val="it-IT"/>
              </w:rPr>
              <w:t>PASI 75</w:t>
            </w:r>
            <w:r w:rsidRPr="002A3533">
              <w:rPr>
                <w:rFonts w:ascii="Times New Roman" w:hAnsi="Times New Roman"/>
                <w:b/>
                <w:bCs w:val="0"/>
                <w:vertAlign w:val="superscript"/>
                <w:lang w:val="it-IT"/>
              </w:rPr>
              <w:t>a</w:t>
            </w:r>
          </w:p>
        </w:tc>
        <w:tc>
          <w:tcPr>
            <w:tcW w:w="1620" w:type="dxa"/>
          </w:tcPr>
          <w:p w14:paraId="3B7A7031" w14:textId="77777777" w:rsidR="00AB3BE8" w:rsidRPr="002A3533" w:rsidRDefault="00944B8F" w:rsidP="00A6206B">
            <w:pPr>
              <w:pStyle w:val="DefaultText"/>
              <w:keepNext/>
              <w:jc w:val="center"/>
              <w:rPr>
                <w:rFonts w:ascii="Times New Roman" w:hAnsi="Times New Roman"/>
                <w:lang w:val="it-IT"/>
              </w:rPr>
            </w:pPr>
            <w:r w:rsidRPr="002A3533">
              <w:rPr>
                <w:rFonts w:ascii="Times New Roman" w:hAnsi="Times New Roman"/>
                <w:lang w:val="it-IT"/>
              </w:rPr>
              <w:t>26 (6.5)</w:t>
            </w:r>
          </w:p>
        </w:tc>
        <w:tc>
          <w:tcPr>
            <w:tcW w:w="2352" w:type="dxa"/>
          </w:tcPr>
          <w:p w14:paraId="632EE42F" w14:textId="77777777" w:rsidR="00AB3BE8" w:rsidRPr="002A3533" w:rsidRDefault="00944B8F" w:rsidP="00A6206B">
            <w:pPr>
              <w:pStyle w:val="DefaultText"/>
              <w:keepNext/>
              <w:jc w:val="center"/>
              <w:rPr>
                <w:rFonts w:ascii="Times New Roman" w:hAnsi="Times New Roman"/>
                <w:lang w:val="it-IT"/>
              </w:rPr>
            </w:pPr>
            <w:r w:rsidRPr="002A3533">
              <w:rPr>
                <w:rFonts w:ascii="Times New Roman" w:hAnsi="Times New Roman"/>
                <w:lang w:val="it-IT"/>
              </w:rPr>
              <w:t>578 (70.9)</w:t>
            </w:r>
            <w:r w:rsidRPr="002A3533">
              <w:rPr>
                <w:rFonts w:ascii="Times New Roman" w:hAnsi="Times New Roman"/>
                <w:vertAlign w:val="superscript"/>
                <w:lang w:val="it-IT"/>
              </w:rPr>
              <w:t>b</w:t>
            </w:r>
          </w:p>
        </w:tc>
      </w:tr>
      <w:tr w:rsidR="00C6578C" w14:paraId="3C842CA7" w14:textId="77777777" w:rsidTr="00A6206B">
        <w:trPr>
          <w:cantSplit/>
          <w:trHeight w:val="70"/>
          <w:jc w:val="center"/>
        </w:trPr>
        <w:tc>
          <w:tcPr>
            <w:tcW w:w="2977" w:type="dxa"/>
          </w:tcPr>
          <w:p w14:paraId="04EFDAED" w14:textId="77777777" w:rsidR="00AB3BE8" w:rsidRPr="002A3533" w:rsidRDefault="00944B8F" w:rsidP="00A6206B">
            <w:pPr>
              <w:pStyle w:val="DefaultText"/>
              <w:keepNext/>
              <w:rPr>
                <w:rFonts w:ascii="Times New Roman" w:hAnsi="Times New Roman"/>
                <w:b/>
                <w:bCs w:val="0"/>
                <w:lang w:val="it-IT"/>
              </w:rPr>
            </w:pPr>
            <w:r w:rsidRPr="002A3533">
              <w:rPr>
                <w:rFonts w:ascii="Times New Roman" w:hAnsi="Times New Roman"/>
                <w:b/>
                <w:bCs w:val="0"/>
                <w:lang w:val="it-IT"/>
              </w:rPr>
              <w:t xml:space="preserve">    PASI 100</w:t>
            </w:r>
          </w:p>
        </w:tc>
        <w:tc>
          <w:tcPr>
            <w:tcW w:w="1620" w:type="dxa"/>
          </w:tcPr>
          <w:p w14:paraId="00AE6AB4" w14:textId="77777777" w:rsidR="00AB3BE8" w:rsidRPr="002A3533" w:rsidRDefault="00944B8F" w:rsidP="00A6206B">
            <w:pPr>
              <w:pStyle w:val="DefaultText"/>
              <w:keepNext/>
              <w:jc w:val="center"/>
              <w:rPr>
                <w:rFonts w:ascii="Times New Roman" w:hAnsi="Times New Roman"/>
                <w:lang w:val="it-IT"/>
              </w:rPr>
            </w:pPr>
            <w:r w:rsidRPr="002A3533">
              <w:rPr>
                <w:rFonts w:ascii="Times New Roman" w:hAnsi="Times New Roman"/>
                <w:lang w:val="it-IT"/>
              </w:rPr>
              <w:t>3 (0.8)</w:t>
            </w:r>
          </w:p>
        </w:tc>
        <w:tc>
          <w:tcPr>
            <w:tcW w:w="2352" w:type="dxa"/>
          </w:tcPr>
          <w:p w14:paraId="3E401C22" w14:textId="77777777" w:rsidR="00AB3BE8" w:rsidRPr="002A3533" w:rsidRDefault="00944B8F" w:rsidP="00A6206B">
            <w:pPr>
              <w:pStyle w:val="DefaultText"/>
              <w:keepNext/>
              <w:jc w:val="center"/>
              <w:rPr>
                <w:rFonts w:ascii="Times New Roman" w:hAnsi="Times New Roman"/>
                <w:lang w:val="it-IT"/>
              </w:rPr>
            </w:pPr>
            <w:r w:rsidRPr="002A3533">
              <w:rPr>
                <w:rFonts w:ascii="Times New Roman" w:hAnsi="Times New Roman"/>
                <w:lang w:val="it-IT"/>
              </w:rPr>
              <w:t>163 (20.0)</w:t>
            </w:r>
            <w:r w:rsidRPr="002A3533">
              <w:rPr>
                <w:rFonts w:ascii="Times New Roman" w:hAnsi="Times New Roman"/>
                <w:vertAlign w:val="superscript"/>
                <w:lang w:val="it-IT"/>
              </w:rPr>
              <w:t>b</w:t>
            </w:r>
          </w:p>
        </w:tc>
      </w:tr>
      <w:tr w:rsidR="00C6578C" w14:paraId="1ED4F8F2" w14:textId="77777777" w:rsidTr="00A6206B">
        <w:trPr>
          <w:cantSplit/>
          <w:jc w:val="center"/>
        </w:trPr>
        <w:tc>
          <w:tcPr>
            <w:tcW w:w="2977" w:type="dxa"/>
          </w:tcPr>
          <w:p w14:paraId="35B1E1FA" w14:textId="77777777" w:rsidR="00AB3BE8" w:rsidRPr="002A3533" w:rsidRDefault="00944B8F" w:rsidP="00A6206B">
            <w:pPr>
              <w:pStyle w:val="DefaultText"/>
              <w:keepNext/>
              <w:rPr>
                <w:rFonts w:ascii="Times New Roman" w:hAnsi="Times New Roman"/>
                <w:b/>
                <w:bCs w:val="0"/>
              </w:rPr>
            </w:pPr>
            <w:r w:rsidRPr="002A3533">
              <w:rPr>
                <w:rFonts w:ascii="Times New Roman" w:hAnsi="Times New Roman"/>
                <w:b/>
                <w:bCs w:val="0"/>
                <w:lang w:val="it-IT"/>
              </w:rPr>
              <w:t xml:space="preserve">    </w:t>
            </w:r>
            <w:r w:rsidRPr="002A3533">
              <w:rPr>
                <w:rFonts w:ascii="Times New Roman" w:hAnsi="Times New Roman"/>
                <w:b/>
                <w:bCs w:val="0"/>
              </w:rPr>
              <w:t>PGA: Clear/minimal</w:t>
            </w:r>
          </w:p>
        </w:tc>
        <w:tc>
          <w:tcPr>
            <w:tcW w:w="1620" w:type="dxa"/>
          </w:tcPr>
          <w:p w14:paraId="04370F76" w14:textId="77777777" w:rsidR="00AB3BE8" w:rsidRPr="002A3533" w:rsidRDefault="00944B8F" w:rsidP="00A6206B">
            <w:pPr>
              <w:pStyle w:val="DefaultText"/>
              <w:keepNext/>
              <w:jc w:val="center"/>
              <w:rPr>
                <w:rFonts w:ascii="Times New Roman" w:hAnsi="Times New Roman"/>
              </w:rPr>
            </w:pPr>
            <w:r w:rsidRPr="002A3533">
              <w:rPr>
                <w:rFonts w:ascii="Times New Roman" w:hAnsi="Times New Roman"/>
              </w:rPr>
              <w:t>17 (4.3)</w:t>
            </w:r>
          </w:p>
        </w:tc>
        <w:tc>
          <w:tcPr>
            <w:tcW w:w="2352" w:type="dxa"/>
          </w:tcPr>
          <w:p w14:paraId="4F58DAF6" w14:textId="77777777" w:rsidR="00AB3BE8" w:rsidRPr="002A3533" w:rsidRDefault="00944B8F" w:rsidP="00A6206B">
            <w:pPr>
              <w:pStyle w:val="DefaultText"/>
              <w:keepNext/>
              <w:jc w:val="center"/>
              <w:rPr>
                <w:rFonts w:ascii="Times New Roman" w:hAnsi="Times New Roman"/>
              </w:rPr>
            </w:pPr>
            <w:r w:rsidRPr="002A3533">
              <w:rPr>
                <w:rFonts w:ascii="Times New Roman" w:hAnsi="Times New Roman"/>
              </w:rPr>
              <w:t>506 (62.2)</w:t>
            </w:r>
            <w:r w:rsidRPr="002A3533">
              <w:rPr>
                <w:rFonts w:ascii="Times New Roman" w:hAnsi="Times New Roman"/>
                <w:vertAlign w:val="superscript"/>
              </w:rPr>
              <w:t>b</w:t>
            </w:r>
          </w:p>
        </w:tc>
      </w:tr>
      <w:tr w:rsidR="00C6578C" w14:paraId="2DCFFC4B" w14:textId="77777777" w:rsidTr="00A6206B">
        <w:trPr>
          <w:cantSplit/>
          <w:jc w:val="center"/>
        </w:trPr>
        <w:tc>
          <w:tcPr>
            <w:tcW w:w="6949" w:type="dxa"/>
            <w:gridSpan w:val="3"/>
          </w:tcPr>
          <w:p w14:paraId="6B5F0CC4" w14:textId="77777777" w:rsidR="00AB3BE8" w:rsidRPr="002A3533" w:rsidRDefault="00944B8F" w:rsidP="00A6206B">
            <w:pPr>
              <w:pStyle w:val="DefaultText"/>
              <w:keepNext/>
              <w:rPr>
                <w:rFonts w:ascii="Times New Roman" w:hAnsi="Times New Roman"/>
              </w:rPr>
            </w:pPr>
            <w:r w:rsidRPr="002A3533">
              <w:rPr>
                <w:rFonts w:ascii="Times New Roman" w:hAnsi="Times New Roman"/>
                <w:vertAlign w:val="superscript"/>
              </w:rPr>
              <w:t>a</w:t>
            </w:r>
            <w:r w:rsidRPr="002A3533">
              <w:rPr>
                <w:rFonts w:ascii="Times New Roman" w:hAnsi="Times New Roman"/>
              </w:rPr>
              <w:t xml:space="preserve"> Percent of patients achieving PASI75 response was calculated as </w:t>
            </w:r>
            <w:r>
              <w:rPr>
                <w:rFonts w:ascii="Times New Roman" w:hAnsi="Times New Roman"/>
              </w:rPr>
              <w:t>centre</w:t>
            </w:r>
            <w:r w:rsidRPr="002A3533">
              <w:rPr>
                <w:rFonts w:ascii="Times New Roman" w:hAnsi="Times New Roman"/>
              </w:rPr>
              <w:t>-adjusted rate</w:t>
            </w:r>
          </w:p>
          <w:p w14:paraId="3879A587" w14:textId="77777777" w:rsidR="00AB3BE8" w:rsidRPr="002A3533" w:rsidRDefault="00944B8F" w:rsidP="00A6206B">
            <w:pPr>
              <w:pStyle w:val="DefaultText"/>
              <w:keepNext/>
              <w:rPr>
                <w:rFonts w:ascii="Times New Roman" w:hAnsi="Times New Roman"/>
                <w:lang w:val="fr-FR"/>
              </w:rPr>
            </w:pPr>
            <w:r w:rsidRPr="002A3533">
              <w:rPr>
                <w:rFonts w:ascii="Times New Roman" w:hAnsi="Times New Roman"/>
                <w:vertAlign w:val="superscript"/>
                <w:lang w:val="fr-FR"/>
              </w:rPr>
              <w:t>b</w:t>
            </w:r>
            <w:r w:rsidRPr="002A3533">
              <w:rPr>
                <w:rFonts w:ascii="Times New Roman" w:hAnsi="Times New Roman"/>
                <w:lang w:val="fr-FR"/>
              </w:rPr>
              <w:t xml:space="preserve"> p &lt; 0.001, Humira vs. Placebo</w:t>
            </w:r>
          </w:p>
        </w:tc>
      </w:tr>
    </w:tbl>
    <w:p w14:paraId="1F0E9154" w14:textId="77777777" w:rsidR="00AB3BE8" w:rsidRPr="002A3533" w:rsidRDefault="00AB3BE8" w:rsidP="00AB3BE8">
      <w:pPr>
        <w:pStyle w:val="BodyText3"/>
        <w:rPr>
          <w:lang w:val="fr-FR"/>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9"/>
        <w:gridCol w:w="1668"/>
        <w:gridCol w:w="1347"/>
        <w:gridCol w:w="2392"/>
      </w:tblGrid>
      <w:tr w:rsidR="00C6578C" w14:paraId="39BDEB35" w14:textId="77777777" w:rsidTr="00A6206B">
        <w:trPr>
          <w:cantSplit/>
          <w:jc w:val="center"/>
        </w:trPr>
        <w:tc>
          <w:tcPr>
            <w:tcW w:w="7046" w:type="dxa"/>
            <w:gridSpan w:val="4"/>
            <w:tcBorders>
              <w:top w:val="nil"/>
              <w:left w:val="nil"/>
              <w:right w:val="nil"/>
            </w:tcBorders>
          </w:tcPr>
          <w:p w14:paraId="0CEA1351" w14:textId="77777777" w:rsidR="00AB3BE8" w:rsidRPr="002A3533" w:rsidRDefault="00944B8F" w:rsidP="00A6206B">
            <w:pPr>
              <w:pStyle w:val="DefaultText"/>
              <w:keepNext/>
              <w:jc w:val="center"/>
              <w:rPr>
                <w:rFonts w:ascii="Times New Roman" w:hAnsi="Times New Roman"/>
                <w:b/>
                <w:bCs w:val="0"/>
              </w:rPr>
            </w:pPr>
            <w:r>
              <w:rPr>
                <w:rFonts w:ascii="Times New Roman" w:hAnsi="Times New Roman"/>
                <w:b/>
                <w:bCs w:val="0"/>
              </w:rPr>
              <w:t xml:space="preserve">Table </w:t>
            </w:r>
            <w:r w:rsidR="00D32B46">
              <w:rPr>
                <w:rFonts w:ascii="Times New Roman" w:hAnsi="Times New Roman"/>
                <w:b/>
                <w:bCs w:val="0"/>
              </w:rPr>
              <w:t>12</w:t>
            </w:r>
          </w:p>
          <w:p w14:paraId="0AF3CF10" w14:textId="77777777" w:rsidR="00AB3BE8" w:rsidRPr="002A3533" w:rsidRDefault="00944B8F" w:rsidP="00A6206B">
            <w:pPr>
              <w:pStyle w:val="DefaultText"/>
              <w:keepNext/>
              <w:jc w:val="center"/>
              <w:rPr>
                <w:rFonts w:ascii="Times New Roman" w:hAnsi="Times New Roman"/>
                <w:b/>
                <w:bCs w:val="0"/>
              </w:rPr>
            </w:pPr>
            <w:r w:rsidRPr="002A3533">
              <w:rPr>
                <w:rFonts w:ascii="Times New Roman" w:hAnsi="Times New Roman"/>
                <w:b/>
                <w:bCs w:val="0"/>
              </w:rPr>
              <w:t xml:space="preserve"> Ps Study II (CHAMPION) Efficacy Results at 16 Weeks</w:t>
            </w:r>
          </w:p>
          <w:p w14:paraId="465B5AF9" w14:textId="77777777" w:rsidR="00AB3BE8" w:rsidRPr="002A3533" w:rsidRDefault="00AB3BE8" w:rsidP="00A6206B">
            <w:pPr>
              <w:pStyle w:val="DefaultText"/>
              <w:keepNext/>
              <w:jc w:val="center"/>
              <w:rPr>
                <w:rFonts w:ascii="Times New Roman" w:hAnsi="Times New Roman"/>
              </w:rPr>
            </w:pPr>
          </w:p>
        </w:tc>
      </w:tr>
      <w:tr w:rsidR="00C6578C" w:rsidRPr="00173B45" w14:paraId="2CBE04C8" w14:textId="77777777" w:rsidTr="00A6206B">
        <w:trPr>
          <w:cantSplit/>
          <w:jc w:val="center"/>
        </w:trPr>
        <w:tc>
          <w:tcPr>
            <w:tcW w:w="1639" w:type="dxa"/>
          </w:tcPr>
          <w:p w14:paraId="45F5278C" w14:textId="77777777" w:rsidR="00AB3BE8" w:rsidRPr="002A3533" w:rsidRDefault="00AB3BE8" w:rsidP="00A6206B">
            <w:pPr>
              <w:pStyle w:val="DefaultText"/>
              <w:keepNext/>
              <w:jc w:val="center"/>
              <w:rPr>
                <w:rFonts w:ascii="Times New Roman" w:hAnsi="Times New Roman"/>
                <w:b/>
                <w:bCs w:val="0"/>
              </w:rPr>
            </w:pPr>
          </w:p>
        </w:tc>
        <w:tc>
          <w:tcPr>
            <w:tcW w:w="1668" w:type="dxa"/>
            <w:vAlign w:val="center"/>
          </w:tcPr>
          <w:p w14:paraId="68FAF0C9" w14:textId="77777777" w:rsidR="00AB3BE8" w:rsidRPr="002A3533" w:rsidRDefault="00944B8F" w:rsidP="00A6206B">
            <w:pPr>
              <w:pStyle w:val="DefaultText"/>
              <w:keepNext/>
              <w:jc w:val="center"/>
              <w:rPr>
                <w:rFonts w:ascii="Times New Roman" w:hAnsi="Times New Roman"/>
                <w:b/>
                <w:bCs w:val="0"/>
              </w:rPr>
            </w:pPr>
            <w:r w:rsidRPr="002A3533">
              <w:rPr>
                <w:rFonts w:ascii="Times New Roman" w:hAnsi="Times New Roman"/>
                <w:b/>
                <w:bCs w:val="0"/>
              </w:rPr>
              <w:t>Placebo</w:t>
            </w:r>
          </w:p>
          <w:p w14:paraId="7DF4416E" w14:textId="77777777" w:rsidR="00AB3BE8" w:rsidRPr="002A3533" w:rsidRDefault="00944B8F" w:rsidP="00A6206B">
            <w:pPr>
              <w:pStyle w:val="DefaultText"/>
              <w:keepNext/>
              <w:jc w:val="center"/>
              <w:rPr>
                <w:rFonts w:ascii="Times New Roman" w:hAnsi="Times New Roman"/>
                <w:b/>
                <w:bCs w:val="0"/>
              </w:rPr>
            </w:pPr>
            <w:r w:rsidRPr="002A3533">
              <w:rPr>
                <w:rFonts w:ascii="Times New Roman" w:hAnsi="Times New Roman"/>
                <w:b/>
                <w:bCs w:val="0"/>
              </w:rPr>
              <w:t>N=53</w:t>
            </w:r>
          </w:p>
          <w:p w14:paraId="1E7F272D" w14:textId="77777777" w:rsidR="00AB3BE8" w:rsidRPr="002A3533" w:rsidRDefault="00944B8F" w:rsidP="00A6206B">
            <w:pPr>
              <w:pStyle w:val="DefaultText"/>
              <w:keepNext/>
              <w:jc w:val="center"/>
              <w:rPr>
                <w:rFonts w:ascii="Times New Roman" w:hAnsi="Times New Roman"/>
                <w:b/>
                <w:bCs w:val="0"/>
              </w:rPr>
            </w:pPr>
            <w:r w:rsidRPr="002A3533">
              <w:rPr>
                <w:rFonts w:ascii="Times New Roman" w:hAnsi="Times New Roman"/>
                <w:b/>
                <w:bCs w:val="0"/>
              </w:rPr>
              <w:t>n (%)</w:t>
            </w:r>
          </w:p>
        </w:tc>
        <w:tc>
          <w:tcPr>
            <w:tcW w:w="1347" w:type="dxa"/>
            <w:vAlign w:val="center"/>
          </w:tcPr>
          <w:p w14:paraId="0F0EB9E6" w14:textId="77777777" w:rsidR="00AB3BE8" w:rsidRPr="002A3533" w:rsidRDefault="00944B8F" w:rsidP="00A6206B">
            <w:pPr>
              <w:pStyle w:val="DefaultText"/>
              <w:keepNext/>
              <w:jc w:val="center"/>
              <w:rPr>
                <w:rFonts w:ascii="Times New Roman" w:hAnsi="Times New Roman"/>
                <w:b/>
                <w:bCs w:val="0"/>
              </w:rPr>
            </w:pPr>
            <w:r w:rsidRPr="002A3533">
              <w:rPr>
                <w:rFonts w:ascii="Times New Roman" w:hAnsi="Times New Roman"/>
                <w:b/>
                <w:bCs w:val="0"/>
              </w:rPr>
              <w:t>MTX</w:t>
            </w:r>
          </w:p>
          <w:p w14:paraId="42FE6A25" w14:textId="77777777" w:rsidR="00AB3BE8" w:rsidRPr="002A3533" w:rsidRDefault="00944B8F" w:rsidP="00A6206B">
            <w:pPr>
              <w:pStyle w:val="DefaultText"/>
              <w:keepNext/>
              <w:jc w:val="center"/>
              <w:rPr>
                <w:rFonts w:ascii="Times New Roman" w:hAnsi="Times New Roman"/>
                <w:b/>
                <w:bCs w:val="0"/>
              </w:rPr>
            </w:pPr>
            <w:r w:rsidRPr="002A3533">
              <w:rPr>
                <w:rFonts w:ascii="Times New Roman" w:hAnsi="Times New Roman"/>
                <w:b/>
                <w:bCs w:val="0"/>
              </w:rPr>
              <w:t>N=110</w:t>
            </w:r>
          </w:p>
          <w:p w14:paraId="353AF31F" w14:textId="77777777" w:rsidR="00AB3BE8" w:rsidRPr="002A3533" w:rsidRDefault="00944B8F" w:rsidP="00A6206B">
            <w:pPr>
              <w:pStyle w:val="DefaultText"/>
              <w:keepNext/>
              <w:jc w:val="center"/>
              <w:rPr>
                <w:rFonts w:ascii="Times New Roman" w:hAnsi="Times New Roman"/>
                <w:b/>
                <w:bCs w:val="0"/>
              </w:rPr>
            </w:pPr>
            <w:r w:rsidRPr="002A3533">
              <w:rPr>
                <w:rFonts w:ascii="Times New Roman" w:hAnsi="Times New Roman"/>
                <w:b/>
                <w:bCs w:val="0"/>
              </w:rPr>
              <w:t>n (%)</w:t>
            </w:r>
          </w:p>
        </w:tc>
        <w:tc>
          <w:tcPr>
            <w:tcW w:w="2392" w:type="dxa"/>
            <w:vAlign w:val="center"/>
          </w:tcPr>
          <w:p w14:paraId="318DB265" w14:textId="77777777" w:rsidR="00AB3BE8" w:rsidRPr="002A3533" w:rsidRDefault="00944B8F" w:rsidP="00A6206B">
            <w:pPr>
              <w:pStyle w:val="DefaultText"/>
              <w:keepNext/>
              <w:jc w:val="center"/>
              <w:rPr>
                <w:rFonts w:ascii="Times New Roman" w:hAnsi="Times New Roman"/>
                <w:b/>
                <w:bCs w:val="0"/>
                <w:lang w:val="it-IT"/>
              </w:rPr>
            </w:pPr>
            <w:r w:rsidRPr="002A3533">
              <w:rPr>
                <w:rFonts w:ascii="Times New Roman" w:hAnsi="Times New Roman"/>
                <w:b/>
                <w:bCs w:val="0"/>
                <w:lang w:val="it-IT"/>
              </w:rPr>
              <w:t>Humira 40 mg eow</w:t>
            </w:r>
          </w:p>
          <w:p w14:paraId="2401A722" w14:textId="77777777" w:rsidR="00AB3BE8" w:rsidRPr="002A3533" w:rsidRDefault="00944B8F" w:rsidP="00A6206B">
            <w:pPr>
              <w:pStyle w:val="DefaultText"/>
              <w:keepNext/>
              <w:jc w:val="center"/>
              <w:rPr>
                <w:rFonts w:ascii="Times New Roman" w:hAnsi="Times New Roman"/>
                <w:b/>
                <w:bCs w:val="0"/>
                <w:lang w:val="it-IT"/>
              </w:rPr>
            </w:pPr>
            <w:r w:rsidRPr="002A3533">
              <w:rPr>
                <w:rFonts w:ascii="Times New Roman" w:hAnsi="Times New Roman"/>
                <w:b/>
                <w:bCs w:val="0"/>
                <w:lang w:val="it-IT"/>
              </w:rPr>
              <w:t>N=108</w:t>
            </w:r>
          </w:p>
          <w:p w14:paraId="6E75800A" w14:textId="77777777" w:rsidR="00AB3BE8" w:rsidRPr="002A3533" w:rsidRDefault="00944B8F" w:rsidP="00A6206B">
            <w:pPr>
              <w:pStyle w:val="DefaultText"/>
              <w:keepNext/>
              <w:jc w:val="center"/>
              <w:rPr>
                <w:rFonts w:ascii="Times New Roman" w:hAnsi="Times New Roman"/>
                <w:b/>
                <w:bCs w:val="0"/>
                <w:lang w:val="it-IT"/>
              </w:rPr>
            </w:pPr>
            <w:r w:rsidRPr="002A3533">
              <w:rPr>
                <w:rFonts w:ascii="Times New Roman" w:hAnsi="Times New Roman"/>
                <w:b/>
                <w:bCs w:val="0"/>
                <w:lang w:val="it-IT"/>
              </w:rPr>
              <w:t>n (%)</w:t>
            </w:r>
          </w:p>
        </w:tc>
      </w:tr>
      <w:tr w:rsidR="00C6578C" w14:paraId="3B950D51" w14:textId="77777777" w:rsidTr="00A6206B">
        <w:trPr>
          <w:cantSplit/>
          <w:jc w:val="center"/>
        </w:trPr>
        <w:tc>
          <w:tcPr>
            <w:tcW w:w="1639" w:type="dxa"/>
          </w:tcPr>
          <w:p w14:paraId="10CA3DF5" w14:textId="77777777" w:rsidR="00AB3BE8" w:rsidRPr="002A3533" w:rsidRDefault="00944B8F" w:rsidP="00A6206B">
            <w:pPr>
              <w:pStyle w:val="DefaultText"/>
              <w:keepNext/>
              <w:rPr>
                <w:rFonts w:ascii="Times New Roman" w:hAnsi="Times New Roman"/>
                <w:b/>
                <w:bCs w:val="0"/>
                <w:lang w:val="it-IT"/>
              </w:rPr>
            </w:pPr>
            <w:r w:rsidRPr="002A3533">
              <w:rPr>
                <w:rFonts w:ascii="Times New Roman" w:hAnsi="Times New Roman"/>
                <w:b/>
                <w:bCs w:val="0"/>
                <w:lang w:val="it-IT"/>
              </w:rPr>
              <w:t xml:space="preserve">    </w:t>
            </w:r>
            <w:r w:rsidRPr="002A3533">
              <w:rPr>
                <w:rFonts w:ascii="Symbol" w:eastAsia="Symbol" w:hAnsi="Symbol" w:cs="Symbol"/>
                <w:b/>
                <w:szCs w:val="22"/>
              </w:rPr>
              <w:sym w:font="Symbol" w:char="F0B3"/>
            </w:r>
            <w:r w:rsidRPr="002A3533">
              <w:rPr>
                <w:rFonts w:ascii="Times New Roman" w:hAnsi="Times New Roman"/>
                <w:b/>
                <w:bCs w:val="0"/>
                <w:szCs w:val="22"/>
              </w:rPr>
              <w:t> </w:t>
            </w:r>
            <w:r w:rsidRPr="002A3533">
              <w:rPr>
                <w:rFonts w:ascii="Times New Roman" w:hAnsi="Times New Roman"/>
                <w:b/>
                <w:bCs w:val="0"/>
                <w:lang w:val="it-IT"/>
              </w:rPr>
              <w:t>PASI 75</w:t>
            </w:r>
          </w:p>
        </w:tc>
        <w:tc>
          <w:tcPr>
            <w:tcW w:w="1668" w:type="dxa"/>
          </w:tcPr>
          <w:p w14:paraId="39B7968D" w14:textId="77777777" w:rsidR="00AB3BE8" w:rsidRPr="002A3533" w:rsidRDefault="00944B8F" w:rsidP="00A6206B">
            <w:pPr>
              <w:pStyle w:val="DefaultText"/>
              <w:keepNext/>
              <w:jc w:val="center"/>
              <w:rPr>
                <w:rFonts w:ascii="Times New Roman" w:hAnsi="Times New Roman"/>
                <w:lang w:val="it-IT"/>
              </w:rPr>
            </w:pPr>
            <w:r w:rsidRPr="002A3533">
              <w:rPr>
                <w:rFonts w:ascii="Times New Roman" w:hAnsi="Times New Roman"/>
                <w:lang w:val="it-IT"/>
              </w:rPr>
              <w:t>10 (18.9)</w:t>
            </w:r>
          </w:p>
        </w:tc>
        <w:tc>
          <w:tcPr>
            <w:tcW w:w="1347" w:type="dxa"/>
          </w:tcPr>
          <w:p w14:paraId="5317820D" w14:textId="77777777" w:rsidR="00AB3BE8" w:rsidRPr="002A3533" w:rsidRDefault="00944B8F" w:rsidP="00A6206B">
            <w:pPr>
              <w:pStyle w:val="DefaultText"/>
              <w:keepNext/>
              <w:jc w:val="center"/>
              <w:rPr>
                <w:rFonts w:ascii="Times New Roman" w:hAnsi="Times New Roman"/>
                <w:lang w:val="it-IT"/>
              </w:rPr>
            </w:pPr>
            <w:r w:rsidRPr="002A3533">
              <w:rPr>
                <w:rFonts w:ascii="Times New Roman" w:hAnsi="Times New Roman"/>
                <w:lang w:val="it-IT"/>
              </w:rPr>
              <w:t>39 (35.5)</w:t>
            </w:r>
          </w:p>
        </w:tc>
        <w:tc>
          <w:tcPr>
            <w:tcW w:w="2392" w:type="dxa"/>
          </w:tcPr>
          <w:p w14:paraId="47E51CF7" w14:textId="77777777" w:rsidR="00AB3BE8" w:rsidRPr="002A3533" w:rsidRDefault="00944B8F" w:rsidP="00A6206B">
            <w:pPr>
              <w:pStyle w:val="DefaultText"/>
              <w:keepNext/>
              <w:jc w:val="center"/>
              <w:rPr>
                <w:rFonts w:ascii="Times New Roman" w:hAnsi="Times New Roman"/>
                <w:lang w:val="it-IT"/>
              </w:rPr>
            </w:pPr>
            <w:r w:rsidRPr="002A3533">
              <w:rPr>
                <w:rFonts w:ascii="Times New Roman" w:hAnsi="Times New Roman"/>
                <w:lang w:val="it-IT"/>
              </w:rPr>
              <w:t>86 (79.6)</w:t>
            </w:r>
            <w:r w:rsidRPr="002A3533">
              <w:rPr>
                <w:rFonts w:ascii="Times New Roman" w:hAnsi="Times New Roman"/>
                <w:vertAlign w:val="superscript"/>
                <w:lang w:val="it-IT"/>
              </w:rPr>
              <w:t xml:space="preserve"> a, b</w:t>
            </w:r>
          </w:p>
        </w:tc>
      </w:tr>
      <w:tr w:rsidR="00C6578C" w14:paraId="30921A7E" w14:textId="77777777" w:rsidTr="00A6206B">
        <w:trPr>
          <w:cantSplit/>
          <w:jc w:val="center"/>
        </w:trPr>
        <w:tc>
          <w:tcPr>
            <w:tcW w:w="1639" w:type="dxa"/>
          </w:tcPr>
          <w:p w14:paraId="602CB13E" w14:textId="77777777" w:rsidR="00AB3BE8" w:rsidRPr="002A3533" w:rsidRDefault="00944B8F" w:rsidP="00A6206B">
            <w:pPr>
              <w:pStyle w:val="DefaultText"/>
              <w:keepNext/>
              <w:rPr>
                <w:rFonts w:ascii="Times New Roman" w:hAnsi="Times New Roman"/>
                <w:b/>
                <w:bCs w:val="0"/>
                <w:lang w:val="it-IT"/>
              </w:rPr>
            </w:pPr>
            <w:r w:rsidRPr="002A3533">
              <w:rPr>
                <w:rFonts w:ascii="Times New Roman" w:hAnsi="Times New Roman"/>
                <w:b/>
                <w:bCs w:val="0"/>
                <w:lang w:val="it-IT"/>
              </w:rPr>
              <w:t xml:space="preserve">    PASI 100</w:t>
            </w:r>
          </w:p>
        </w:tc>
        <w:tc>
          <w:tcPr>
            <w:tcW w:w="1668" w:type="dxa"/>
          </w:tcPr>
          <w:p w14:paraId="2D98890B" w14:textId="77777777" w:rsidR="00AB3BE8" w:rsidRPr="002A3533" w:rsidRDefault="00944B8F" w:rsidP="00A6206B">
            <w:pPr>
              <w:pStyle w:val="DefaultText"/>
              <w:keepNext/>
              <w:jc w:val="center"/>
              <w:rPr>
                <w:rFonts w:ascii="Times New Roman" w:hAnsi="Times New Roman"/>
              </w:rPr>
            </w:pPr>
            <w:r w:rsidRPr="002A3533">
              <w:rPr>
                <w:rFonts w:ascii="Times New Roman" w:hAnsi="Times New Roman"/>
              </w:rPr>
              <w:t>1 (1.9)</w:t>
            </w:r>
          </w:p>
        </w:tc>
        <w:tc>
          <w:tcPr>
            <w:tcW w:w="1347" w:type="dxa"/>
          </w:tcPr>
          <w:p w14:paraId="4FCE2597" w14:textId="77777777" w:rsidR="00AB3BE8" w:rsidRPr="002A3533" w:rsidRDefault="00944B8F" w:rsidP="00A6206B">
            <w:pPr>
              <w:pStyle w:val="DefaultText"/>
              <w:keepNext/>
              <w:jc w:val="center"/>
              <w:rPr>
                <w:rFonts w:ascii="Times New Roman" w:hAnsi="Times New Roman"/>
              </w:rPr>
            </w:pPr>
            <w:r w:rsidRPr="002A3533">
              <w:rPr>
                <w:rFonts w:ascii="Times New Roman" w:hAnsi="Times New Roman"/>
              </w:rPr>
              <w:t>8 (7.3)</w:t>
            </w:r>
          </w:p>
        </w:tc>
        <w:tc>
          <w:tcPr>
            <w:tcW w:w="2392" w:type="dxa"/>
          </w:tcPr>
          <w:p w14:paraId="3284ED58" w14:textId="77777777" w:rsidR="00AB3BE8" w:rsidRPr="002A3533" w:rsidRDefault="00944B8F" w:rsidP="00A6206B">
            <w:pPr>
              <w:pStyle w:val="DefaultText"/>
              <w:keepNext/>
              <w:jc w:val="center"/>
              <w:rPr>
                <w:rFonts w:ascii="Times New Roman" w:hAnsi="Times New Roman"/>
              </w:rPr>
            </w:pPr>
            <w:r w:rsidRPr="002A3533">
              <w:rPr>
                <w:rFonts w:ascii="Times New Roman" w:hAnsi="Times New Roman"/>
              </w:rPr>
              <w:t>18 (16.7)</w:t>
            </w:r>
            <w:r w:rsidRPr="002A3533">
              <w:rPr>
                <w:rFonts w:ascii="Times New Roman" w:hAnsi="Times New Roman"/>
                <w:vertAlign w:val="superscript"/>
              </w:rPr>
              <w:t xml:space="preserve"> c, d</w:t>
            </w:r>
          </w:p>
        </w:tc>
      </w:tr>
      <w:tr w:rsidR="00C6578C" w14:paraId="561E03CF" w14:textId="77777777" w:rsidTr="00A6206B">
        <w:trPr>
          <w:cantSplit/>
          <w:jc w:val="center"/>
        </w:trPr>
        <w:tc>
          <w:tcPr>
            <w:tcW w:w="1639" w:type="dxa"/>
          </w:tcPr>
          <w:p w14:paraId="700F1F39" w14:textId="77777777" w:rsidR="00AB3BE8" w:rsidRPr="002A3533" w:rsidRDefault="00944B8F" w:rsidP="00A6206B">
            <w:pPr>
              <w:pStyle w:val="DefaultText"/>
              <w:keepNext/>
              <w:rPr>
                <w:rFonts w:ascii="Times New Roman" w:hAnsi="Times New Roman"/>
                <w:b/>
                <w:bCs w:val="0"/>
              </w:rPr>
            </w:pPr>
            <w:r w:rsidRPr="002A3533">
              <w:rPr>
                <w:rFonts w:ascii="Times New Roman" w:hAnsi="Times New Roman"/>
                <w:b/>
                <w:bCs w:val="0"/>
              </w:rPr>
              <w:t xml:space="preserve">    PGA: Clear/minimal</w:t>
            </w:r>
          </w:p>
        </w:tc>
        <w:tc>
          <w:tcPr>
            <w:tcW w:w="1668" w:type="dxa"/>
          </w:tcPr>
          <w:p w14:paraId="0F2DCA8A" w14:textId="77777777" w:rsidR="00AB3BE8" w:rsidRPr="002A3533" w:rsidRDefault="00944B8F" w:rsidP="00A6206B">
            <w:pPr>
              <w:pStyle w:val="DefaultText"/>
              <w:keepNext/>
              <w:jc w:val="center"/>
              <w:rPr>
                <w:rFonts w:ascii="Times New Roman" w:hAnsi="Times New Roman"/>
              </w:rPr>
            </w:pPr>
            <w:r w:rsidRPr="002A3533">
              <w:rPr>
                <w:rFonts w:ascii="Times New Roman" w:hAnsi="Times New Roman"/>
              </w:rPr>
              <w:t>6 (11.3)</w:t>
            </w:r>
          </w:p>
        </w:tc>
        <w:tc>
          <w:tcPr>
            <w:tcW w:w="1347" w:type="dxa"/>
          </w:tcPr>
          <w:p w14:paraId="6ABFDB49" w14:textId="77777777" w:rsidR="00AB3BE8" w:rsidRPr="002A3533" w:rsidRDefault="00944B8F" w:rsidP="00A6206B">
            <w:pPr>
              <w:pStyle w:val="DefaultText"/>
              <w:keepNext/>
              <w:jc w:val="center"/>
              <w:rPr>
                <w:rFonts w:ascii="Times New Roman" w:hAnsi="Times New Roman"/>
              </w:rPr>
            </w:pPr>
            <w:r w:rsidRPr="002A3533">
              <w:rPr>
                <w:rFonts w:ascii="Times New Roman" w:hAnsi="Times New Roman"/>
              </w:rPr>
              <w:t>33 (30.0)</w:t>
            </w:r>
          </w:p>
        </w:tc>
        <w:tc>
          <w:tcPr>
            <w:tcW w:w="2392" w:type="dxa"/>
          </w:tcPr>
          <w:p w14:paraId="5D4C607A" w14:textId="77777777" w:rsidR="00AB3BE8" w:rsidRPr="002A3533" w:rsidRDefault="00944B8F" w:rsidP="00A6206B">
            <w:pPr>
              <w:pStyle w:val="DefaultText"/>
              <w:keepNext/>
              <w:jc w:val="center"/>
              <w:rPr>
                <w:rFonts w:ascii="Times New Roman" w:hAnsi="Times New Roman"/>
              </w:rPr>
            </w:pPr>
            <w:r w:rsidRPr="002A3533">
              <w:rPr>
                <w:rFonts w:ascii="Times New Roman" w:hAnsi="Times New Roman"/>
              </w:rPr>
              <w:t>79 (73.1)</w:t>
            </w:r>
            <w:r w:rsidRPr="002A3533">
              <w:rPr>
                <w:rFonts w:ascii="Times New Roman" w:hAnsi="Times New Roman"/>
                <w:vertAlign w:val="superscript"/>
              </w:rPr>
              <w:t xml:space="preserve"> a, b</w:t>
            </w:r>
          </w:p>
        </w:tc>
      </w:tr>
      <w:tr w:rsidR="00C6578C" w14:paraId="3A6790B8" w14:textId="77777777" w:rsidTr="00A6206B">
        <w:trPr>
          <w:cantSplit/>
          <w:jc w:val="center"/>
        </w:trPr>
        <w:tc>
          <w:tcPr>
            <w:tcW w:w="7046" w:type="dxa"/>
            <w:gridSpan w:val="4"/>
          </w:tcPr>
          <w:p w14:paraId="5884EDB8" w14:textId="77777777" w:rsidR="00AB3BE8" w:rsidRPr="005A05CD" w:rsidRDefault="00944B8F" w:rsidP="00A6206B">
            <w:pPr>
              <w:pStyle w:val="DefaultText"/>
              <w:keepNext/>
              <w:rPr>
                <w:rFonts w:ascii="Times New Roman" w:hAnsi="Times New Roman"/>
              </w:rPr>
            </w:pPr>
            <w:r w:rsidRPr="005A05CD">
              <w:rPr>
                <w:rFonts w:ascii="Times New Roman" w:hAnsi="Times New Roman"/>
                <w:vertAlign w:val="superscript"/>
              </w:rPr>
              <w:t>a</w:t>
            </w:r>
            <w:r w:rsidRPr="005A05CD">
              <w:rPr>
                <w:rFonts w:ascii="Times New Roman" w:hAnsi="Times New Roman"/>
              </w:rPr>
              <w:t xml:space="preserve"> p &lt; 0.001 Humira vs. placebo</w:t>
            </w:r>
          </w:p>
          <w:p w14:paraId="7EA09DA8" w14:textId="77777777" w:rsidR="00AB3BE8" w:rsidRPr="005A05CD" w:rsidRDefault="00944B8F" w:rsidP="00A6206B">
            <w:pPr>
              <w:pStyle w:val="DefaultText"/>
              <w:keepNext/>
              <w:rPr>
                <w:rFonts w:ascii="Times New Roman" w:hAnsi="Times New Roman"/>
              </w:rPr>
            </w:pPr>
            <w:r w:rsidRPr="005A05CD">
              <w:rPr>
                <w:rFonts w:ascii="Times New Roman" w:hAnsi="Times New Roman"/>
                <w:vertAlign w:val="superscript"/>
              </w:rPr>
              <w:t>b</w:t>
            </w:r>
            <w:r w:rsidRPr="005A05CD">
              <w:rPr>
                <w:rFonts w:ascii="Times New Roman" w:hAnsi="Times New Roman"/>
              </w:rPr>
              <w:t xml:space="preserve"> p &lt; 0.001 Humira vs. methotrexate</w:t>
            </w:r>
          </w:p>
          <w:p w14:paraId="72CD32DC" w14:textId="77777777" w:rsidR="00AB3BE8" w:rsidRPr="005A05CD" w:rsidRDefault="00944B8F" w:rsidP="00A6206B">
            <w:pPr>
              <w:pStyle w:val="DefaultText"/>
              <w:keepNext/>
              <w:rPr>
                <w:rFonts w:ascii="Times New Roman" w:hAnsi="Times New Roman"/>
              </w:rPr>
            </w:pPr>
            <w:r w:rsidRPr="005A05CD">
              <w:rPr>
                <w:rFonts w:ascii="Times New Roman" w:hAnsi="Times New Roman"/>
                <w:vertAlign w:val="superscript"/>
              </w:rPr>
              <w:t>c</w:t>
            </w:r>
            <w:r w:rsidRPr="005A05CD">
              <w:rPr>
                <w:rFonts w:ascii="Times New Roman" w:hAnsi="Times New Roman"/>
              </w:rPr>
              <w:t xml:space="preserve"> p &lt; 0.01 Humira vs. placebo</w:t>
            </w:r>
          </w:p>
          <w:p w14:paraId="45251370" w14:textId="77777777" w:rsidR="00AB3BE8" w:rsidRPr="002A3533" w:rsidRDefault="00944B8F" w:rsidP="00A6206B">
            <w:pPr>
              <w:pStyle w:val="DefaultText"/>
              <w:keepNext/>
              <w:rPr>
                <w:rFonts w:ascii="Times New Roman" w:hAnsi="Times New Roman"/>
                <w:lang w:val="fr-FR"/>
              </w:rPr>
            </w:pPr>
            <w:r w:rsidRPr="002A3533">
              <w:rPr>
                <w:rFonts w:ascii="Times New Roman" w:hAnsi="Times New Roman"/>
                <w:vertAlign w:val="superscript"/>
                <w:lang w:val="fr-FR"/>
              </w:rPr>
              <w:t>d</w:t>
            </w:r>
            <w:r w:rsidRPr="002A3533">
              <w:rPr>
                <w:rFonts w:ascii="Times New Roman" w:hAnsi="Times New Roman"/>
                <w:lang w:val="fr-FR"/>
              </w:rPr>
              <w:t xml:space="preserve"> p &lt; 0.05 Humira vs. methotrexate</w:t>
            </w:r>
          </w:p>
        </w:tc>
      </w:tr>
    </w:tbl>
    <w:p w14:paraId="3227C54D" w14:textId="77777777" w:rsidR="00AB3BE8" w:rsidRPr="003F7AAE" w:rsidRDefault="00AB3BE8" w:rsidP="00AB3BE8">
      <w:pPr>
        <w:rPr>
          <w:bCs/>
          <w:szCs w:val="22"/>
          <w:lang w:val="fr-FR"/>
        </w:rPr>
      </w:pPr>
    </w:p>
    <w:p w14:paraId="3AC8E860" w14:textId="77777777" w:rsidR="00AB3BE8" w:rsidRPr="002A3533" w:rsidRDefault="00944B8F" w:rsidP="00AB3BE8">
      <w:pPr>
        <w:rPr>
          <w:szCs w:val="22"/>
        </w:rPr>
      </w:pPr>
      <w:r w:rsidRPr="002A3533">
        <w:rPr>
          <w:szCs w:val="22"/>
        </w:rPr>
        <w:t xml:space="preserve">In </w:t>
      </w:r>
      <w:r w:rsidRPr="002A3533">
        <w:rPr>
          <w:iCs/>
        </w:rPr>
        <w:t xml:space="preserve">Psoriasis </w:t>
      </w:r>
      <w:r w:rsidRPr="002A3533">
        <w:rPr>
          <w:szCs w:val="22"/>
        </w:rPr>
        <w:t>Study I, 28% of patients who were PASI 75 responders and were re-randomised to placebo at Week 33 compared to 5% continuing on Humira, p &lt; 0.001, experienced “loss of adequate response”</w:t>
      </w:r>
      <w:r w:rsidRPr="002A3533">
        <w:rPr>
          <w:iCs/>
        </w:rPr>
        <w:t xml:space="preserve"> (PASI score after Week 33 and on or before Week 52 that resulted in a &lt;PASI 50 response relative to baseline with a minimum of a 6-point increase in PASI score relative to Week 33)</w:t>
      </w:r>
      <w:r w:rsidRPr="002A3533">
        <w:rPr>
          <w:szCs w:val="22"/>
        </w:rPr>
        <w:t>. Of the patients who lost adequate response after re-randomi</w:t>
      </w:r>
      <w:r>
        <w:rPr>
          <w:szCs w:val="22"/>
        </w:rPr>
        <w:t>s</w:t>
      </w:r>
      <w:r w:rsidRPr="002A3533">
        <w:rPr>
          <w:szCs w:val="22"/>
        </w:rPr>
        <w:t>ation to placebo who then enrolled into the open-label extension trial, 38% (25/66) and 55% (36/66) regained PASI 75 response after 12 and 24 weeks of re-treatment, respectively.</w:t>
      </w:r>
    </w:p>
    <w:p w14:paraId="488776B4" w14:textId="77777777" w:rsidR="00AB3BE8" w:rsidRPr="002A3533" w:rsidRDefault="00AB3BE8" w:rsidP="00AB3BE8">
      <w:pPr>
        <w:rPr>
          <w:szCs w:val="22"/>
        </w:rPr>
      </w:pPr>
    </w:p>
    <w:p w14:paraId="0FE1AA57" w14:textId="77777777" w:rsidR="00AB3BE8" w:rsidRPr="002A3533" w:rsidRDefault="00944B8F" w:rsidP="00AB3BE8">
      <w:pPr>
        <w:rPr>
          <w:szCs w:val="22"/>
        </w:rPr>
      </w:pPr>
      <w:r w:rsidRPr="002A3533">
        <w:rPr>
          <w:szCs w:val="22"/>
        </w:rPr>
        <w:t>A total of 233 PASI 75 responders at Week 16 and Week 33 received continuous Humira therapy for 52 weeks in Psoriasis Study I, and continued Humira in t</w:t>
      </w:r>
      <w:r>
        <w:rPr>
          <w:szCs w:val="22"/>
        </w:rPr>
        <w:t xml:space="preserve">he open-label extension trial. </w:t>
      </w:r>
      <w:r w:rsidRPr="002A3533">
        <w:rPr>
          <w:szCs w:val="22"/>
        </w:rPr>
        <w:t>PASI 75 and PGA of clear or minimal response rates in these patients were 74.7% and 59.0%, respectively, after an additional 108 weeks of open-label therapy (total of 160 weeks). In an analysis in which all patients who dropped out of the study for adverse events or lack of efficacy, or who dose-escalated, were considered non-responders, PASI 75 and PGA of clear or minimal response rates in these patients were 69.6% and 55.7%, respectively, after an additional 108 weeks of open-label therapy (total of 160 weeks).</w:t>
      </w:r>
    </w:p>
    <w:p w14:paraId="5F508200" w14:textId="77777777" w:rsidR="00AB3BE8" w:rsidRPr="002A3533" w:rsidRDefault="00AB3BE8" w:rsidP="00AB3BE8">
      <w:pPr>
        <w:rPr>
          <w:szCs w:val="22"/>
        </w:rPr>
      </w:pPr>
    </w:p>
    <w:p w14:paraId="2E983542" w14:textId="77777777" w:rsidR="00AB3BE8" w:rsidRPr="002A3533" w:rsidRDefault="00944B8F" w:rsidP="00AB3BE8">
      <w:pPr>
        <w:rPr>
          <w:szCs w:val="22"/>
        </w:rPr>
      </w:pPr>
      <w:r w:rsidRPr="002A3533">
        <w:rPr>
          <w:szCs w:val="22"/>
        </w:rPr>
        <w:lastRenderedPageBreak/>
        <w:t>A total of 347 stable responders participated in a withdrawal and retreatment evaluation in an open-label extension study. During the withdrawal period, symptoms of psoriasis returned over time with a median time to relapse (decline to PGA “moderate” or worse) of approximately 5 months. None of these patients experienced rebound during the withdrawal period. A total of 76.5% (218/285) of patients who entered the retreatment period had a response of PGA “clear” or “minimal” after 16 weeks of retreatment, irrespective of whether they relapsed during withdrawal (69.1%[123/178] and 88.8% [95/107] for patients who relapsed and who did not relapse during the withdrawal period, respectively). A similar safety profile was observed during retreatment as before withdrawal.</w:t>
      </w:r>
    </w:p>
    <w:p w14:paraId="203FF71A" w14:textId="77777777" w:rsidR="00AB3BE8" w:rsidRPr="002A3533" w:rsidRDefault="00AB3BE8" w:rsidP="00AB3BE8">
      <w:pPr>
        <w:autoSpaceDE w:val="0"/>
        <w:autoSpaceDN w:val="0"/>
        <w:adjustRightInd w:val="0"/>
      </w:pPr>
    </w:p>
    <w:p w14:paraId="50F756EB" w14:textId="77777777" w:rsidR="00AB3BE8" w:rsidRPr="002A3533" w:rsidRDefault="00944B8F" w:rsidP="00AB3BE8">
      <w:pPr>
        <w:rPr>
          <w:szCs w:val="20"/>
        </w:rPr>
      </w:pPr>
      <w:r w:rsidRPr="002A3533">
        <w:rPr>
          <w:szCs w:val="20"/>
        </w:rPr>
        <w:t>Significant improvements at Week 16 from baseline compared to placebo (Studies I and II) and MTX (Study II) were demonstrated in the DLQI (Dermatology Life Quality Index). In Study I, improvements in the physical and mental component summary scores of the SF-36 were also significant compared to placebo.</w:t>
      </w:r>
    </w:p>
    <w:p w14:paraId="3BCE513C" w14:textId="77777777" w:rsidR="00AB3BE8" w:rsidRPr="002A3533" w:rsidRDefault="00AB3BE8" w:rsidP="00AB3BE8">
      <w:pPr>
        <w:rPr>
          <w:szCs w:val="20"/>
        </w:rPr>
      </w:pPr>
    </w:p>
    <w:p w14:paraId="750F38CB" w14:textId="77777777" w:rsidR="00AB3BE8" w:rsidRPr="002A3533" w:rsidRDefault="00944B8F" w:rsidP="00AB3BE8">
      <w:pPr>
        <w:pStyle w:val="EMEAHeadingUnderline"/>
        <w:spacing w:beforeLines="0" w:afterLines="0"/>
        <w:rPr>
          <w:u w:val="none"/>
        </w:rPr>
      </w:pPr>
      <w:r w:rsidRPr="002A3533">
        <w:rPr>
          <w:u w:val="none"/>
        </w:rPr>
        <w:t>In an open-label extension study, for patients who dose escalated from 40 mg every other week to 40 mg weekly due to a PASI response below 50%, 26.</w:t>
      </w:r>
      <w:r>
        <w:rPr>
          <w:u w:val="none"/>
        </w:rPr>
        <w:t>4</w:t>
      </w:r>
      <w:r w:rsidRPr="002A3533">
        <w:rPr>
          <w:u w:val="none"/>
        </w:rPr>
        <w:t>%</w:t>
      </w:r>
      <w:r>
        <w:rPr>
          <w:u w:val="none"/>
        </w:rPr>
        <w:t xml:space="preserve"> (92/349) and 37.8% (132/349)</w:t>
      </w:r>
      <w:r w:rsidRPr="002A3533">
        <w:rPr>
          <w:u w:val="none"/>
        </w:rPr>
        <w:t xml:space="preserve"> of patients achieved PASI 75 response</w:t>
      </w:r>
      <w:r>
        <w:rPr>
          <w:u w:val="none"/>
        </w:rPr>
        <w:t xml:space="preserve"> at Week</w:t>
      </w:r>
      <w:r w:rsidR="007A6826">
        <w:rPr>
          <w:u w:val="none"/>
        </w:rPr>
        <w:t> </w:t>
      </w:r>
      <w:r>
        <w:rPr>
          <w:u w:val="none"/>
        </w:rPr>
        <w:t>12 and 24, respectively</w:t>
      </w:r>
      <w:r w:rsidRPr="002A3533">
        <w:rPr>
          <w:u w:val="none"/>
        </w:rPr>
        <w:t>.</w:t>
      </w:r>
    </w:p>
    <w:p w14:paraId="6402C751" w14:textId="77777777" w:rsidR="00AB3BE8" w:rsidRPr="002A3533" w:rsidRDefault="00AB3BE8" w:rsidP="00AB3BE8">
      <w:pPr>
        <w:pStyle w:val="EMEANormal"/>
      </w:pPr>
    </w:p>
    <w:p w14:paraId="59A56D21" w14:textId="77777777" w:rsidR="00AB3BE8" w:rsidRDefault="00944B8F" w:rsidP="00AB3BE8">
      <w:pPr>
        <w:pStyle w:val="EMEANormal"/>
      </w:pPr>
      <w:r w:rsidRPr="70D4D675">
        <w:rPr>
          <w:lang w:val="en-GB"/>
        </w:rPr>
        <w:t xml:space="preserve">Psoriasis Study III (REACH) compared the efficacy and safety of Humira </w:t>
      </w:r>
      <w:r w:rsidRPr="70D4D675">
        <w:rPr>
          <w:i/>
          <w:lang w:val="en-GB"/>
        </w:rPr>
        <w:t>versus</w:t>
      </w:r>
      <w:r w:rsidRPr="70D4D675">
        <w:rPr>
          <w:lang w:val="en-GB"/>
        </w:rPr>
        <w:t xml:space="preserve"> placebo in 72 patients with moderate to severe chronic plaque psoriasis and hand and/or foot psoriasis. Patients received an initial dose of 80 mg Humira followed by 40 mg every other week (starting one week after the initial dose) or placebo for 16 weeks. At Week 16, a statistically significantly greater proportion of patients who received Humira achieved PGA of 'clear' or 'almost clear' for the hands and/or feet compared to patients who received placebo (30.6% versus 4.3%, respectively [P = 0.014]).</w:t>
      </w:r>
    </w:p>
    <w:p w14:paraId="3A586ABF" w14:textId="77777777" w:rsidR="00AB3BE8" w:rsidRDefault="00AB3BE8" w:rsidP="00AB3BE8">
      <w:pPr>
        <w:pStyle w:val="EMEANormal"/>
      </w:pPr>
    </w:p>
    <w:p w14:paraId="6D040078" w14:textId="77777777" w:rsidR="00AB3BE8" w:rsidRPr="007E5B13" w:rsidRDefault="00944B8F" w:rsidP="00AB3BE8">
      <w:pPr>
        <w:pStyle w:val="gtcbodytext"/>
        <w:spacing w:before="0" w:after="0" w:line="240" w:lineRule="auto"/>
        <w:rPr>
          <w:sz w:val="22"/>
          <w:szCs w:val="22"/>
        </w:rPr>
      </w:pPr>
      <w:r w:rsidRPr="007E5B13">
        <w:rPr>
          <w:sz w:val="22"/>
          <w:szCs w:val="22"/>
        </w:rPr>
        <w:t>Psoriasis Study IV compared efficacy and safety of Humira versus placebo in 217 adult patients with moderate to severe nail psoriasis. Patients received an initial dose of 80</w:t>
      </w:r>
      <w:r w:rsidR="007A6826">
        <w:rPr>
          <w:sz w:val="22"/>
          <w:szCs w:val="22"/>
        </w:rPr>
        <w:t> </w:t>
      </w:r>
      <w:r w:rsidRPr="007E5B13">
        <w:rPr>
          <w:sz w:val="22"/>
          <w:szCs w:val="22"/>
        </w:rPr>
        <w:t>mg Humira followed by 40</w:t>
      </w:r>
      <w:r>
        <w:rPr>
          <w:sz w:val="22"/>
          <w:szCs w:val="22"/>
        </w:rPr>
        <w:t> </w:t>
      </w:r>
      <w:r w:rsidRPr="007E5B13">
        <w:rPr>
          <w:sz w:val="22"/>
          <w:szCs w:val="22"/>
        </w:rPr>
        <w:t>mg every other week (starting one week after the initial dose) or placebo for 26</w:t>
      </w:r>
      <w:r>
        <w:rPr>
          <w:sz w:val="22"/>
          <w:szCs w:val="22"/>
        </w:rPr>
        <w:t> </w:t>
      </w:r>
      <w:r w:rsidRPr="007E5B13">
        <w:rPr>
          <w:sz w:val="22"/>
          <w:szCs w:val="22"/>
        </w:rPr>
        <w:t>weeks followed by open-label Humira treatment for an additional 26</w:t>
      </w:r>
      <w:r>
        <w:rPr>
          <w:sz w:val="22"/>
          <w:szCs w:val="22"/>
        </w:rPr>
        <w:t> </w:t>
      </w:r>
      <w:r w:rsidRPr="007E5B13">
        <w:rPr>
          <w:sz w:val="22"/>
          <w:szCs w:val="22"/>
        </w:rPr>
        <w:t>weeks. Nail psoriasis</w:t>
      </w:r>
      <w:r>
        <w:rPr>
          <w:sz w:val="22"/>
          <w:szCs w:val="22"/>
        </w:rPr>
        <w:t xml:space="preserve"> assessments included </w:t>
      </w:r>
      <w:r w:rsidRPr="007E5B13">
        <w:rPr>
          <w:sz w:val="22"/>
          <w:szCs w:val="22"/>
        </w:rPr>
        <w:t>the Modified Nail Psoriasis Severity Index (mNAPSI)</w:t>
      </w:r>
      <w:r>
        <w:rPr>
          <w:sz w:val="22"/>
          <w:szCs w:val="22"/>
        </w:rPr>
        <w:t>,</w:t>
      </w:r>
      <w:r w:rsidRPr="007E5B13">
        <w:rPr>
          <w:sz w:val="22"/>
          <w:szCs w:val="22"/>
        </w:rPr>
        <w:t xml:space="preserve"> the Physician’s Global Assessment of Fingernail Psoriasis (PGA-F)</w:t>
      </w:r>
      <w:r>
        <w:rPr>
          <w:sz w:val="22"/>
          <w:szCs w:val="22"/>
        </w:rPr>
        <w:t xml:space="preserve"> and the Nail Psoriasis Severity Index (NAPSI) (see Table </w:t>
      </w:r>
      <w:r w:rsidR="00D32B46">
        <w:rPr>
          <w:sz w:val="22"/>
          <w:szCs w:val="22"/>
        </w:rPr>
        <w:t>13</w:t>
      </w:r>
      <w:r>
        <w:rPr>
          <w:sz w:val="22"/>
          <w:szCs w:val="22"/>
        </w:rPr>
        <w:t xml:space="preserve">). </w:t>
      </w:r>
      <w:r w:rsidRPr="007E5B13">
        <w:rPr>
          <w:sz w:val="22"/>
          <w:szCs w:val="22"/>
        </w:rPr>
        <w:t xml:space="preserve">Humira demonstrated a treatment benefit in nail psoriasis patients with different extents of skin involvement (BSA≥10% </w:t>
      </w:r>
      <w:r>
        <w:rPr>
          <w:sz w:val="22"/>
          <w:szCs w:val="22"/>
        </w:rPr>
        <w:t xml:space="preserve">(60% of patients) </w:t>
      </w:r>
      <w:r w:rsidRPr="007E5B13">
        <w:rPr>
          <w:sz w:val="22"/>
          <w:szCs w:val="22"/>
        </w:rPr>
        <w:t>and BSA&lt;10% and ≥5%</w:t>
      </w:r>
      <w:r>
        <w:rPr>
          <w:sz w:val="22"/>
          <w:szCs w:val="22"/>
        </w:rPr>
        <w:t xml:space="preserve"> (40% of patients)</w:t>
      </w:r>
      <w:r w:rsidRPr="007E5B13">
        <w:rPr>
          <w:sz w:val="22"/>
          <w:szCs w:val="22"/>
        </w:rPr>
        <w:t>)</w:t>
      </w:r>
      <w:r>
        <w:rPr>
          <w:sz w:val="22"/>
          <w:szCs w:val="22"/>
        </w:rPr>
        <w:t>.</w:t>
      </w:r>
    </w:p>
    <w:p w14:paraId="4D92E8B0" w14:textId="77777777" w:rsidR="00AB3BE8" w:rsidRDefault="00AB3BE8" w:rsidP="00AB3BE8">
      <w:pPr>
        <w:pStyle w:val="gtcbodytext"/>
        <w:spacing w:before="0" w:after="0" w:line="240" w:lineRule="auto"/>
        <w:rPr>
          <w:sz w:val="22"/>
          <w:szCs w:val="22"/>
        </w:rPr>
      </w:pPr>
    </w:p>
    <w:p w14:paraId="17F593C3" w14:textId="77777777" w:rsidR="00AB3BE8" w:rsidRDefault="00944B8F" w:rsidP="00CE7FEF">
      <w:pPr>
        <w:pStyle w:val="gtctabletitleotherwise"/>
        <w:keepNext/>
        <w:spacing w:before="0"/>
        <w:rPr>
          <w:bCs w:val="0"/>
          <w:sz w:val="22"/>
          <w:szCs w:val="22"/>
        </w:rPr>
      </w:pPr>
      <w:r>
        <w:rPr>
          <w:bCs w:val="0"/>
          <w:sz w:val="22"/>
          <w:szCs w:val="22"/>
        </w:rPr>
        <w:t xml:space="preserve">Table </w:t>
      </w:r>
      <w:r w:rsidR="00D32B46">
        <w:rPr>
          <w:bCs w:val="0"/>
          <w:sz w:val="22"/>
          <w:szCs w:val="22"/>
        </w:rPr>
        <w:t>13</w:t>
      </w:r>
    </w:p>
    <w:p w14:paraId="433261ED" w14:textId="77777777" w:rsidR="00AB3BE8" w:rsidRPr="007E5B13" w:rsidRDefault="00944B8F" w:rsidP="00CE7FEF">
      <w:pPr>
        <w:pStyle w:val="gtctabletitleotherwise"/>
        <w:keepNext/>
        <w:spacing w:before="0"/>
        <w:rPr>
          <w:sz w:val="22"/>
          <w:szCs w:val="22"/>
        </w:rPr>
      </w:pPr>
      <w:r>
        <w:rPr>
          <w:bCs w:val="0"/>
          <w:sz w:val="22"/>
          <w:szCs w:val="22"/>
        </w:rPr>
        <w:t xml:space="preserve">Ps Study IV </w:t>
      </w:r>
      <w:r w:rsidRPr="007E5B13">
        <w:rPr>
          <w:bCs w:val="0"/>
          <w:sz w:val="22"/>
          <w:szCs w:val="22"/>
        </w:rPr>
        <w:t xml:space="preserve">Efficacy Results at </w:t>
      </w:r>
      <w:r>
        <w:rPr>
          <w:bCs w:val="0"/>
          <w:sz w:val="22"/>
          <w:szCs w:val="22"/>
        </w:rPr>
        <w:t xml:space="preserve">16, </w:t>
      </w:r>
      <w:r w:rsidRPr="007E5B13">
        <w:rPr>
          <w:bCs w:val="0"/>
          <w:sz w:val="22"/>
          <w:szCs w:val="22"/>
        </w:rPr>
        <w:t>26</w:t>
      </w:r>
      <w:r>
        <w:rPr>
          <w:bCs w:val="0"/>
          <w:sz w:val="22"/>
          <w:szCs w:val="22"/>
        </w:rPr>
        <w:t xml:space="preserve"> and 52 </w:t>
      </w:r>
      <w:r w:rsidRPr="007E5B13">
        <w:rPr>
          <w:bCs w:val="0"/>
          <w:sz w:val="22"/>
          <w:szCs w:val="22"/>
        </w:rPr>
        <w:t>Weeks</w:t>
      </w:r>
    </w:p>
    <w:tbl>
      <w:tblPr>
        <w:tblW w:w="87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4"/>
        <w:gridCol w:w="1080"/>
        <w:gridCol w:w="1260"/>
        <w:gridCol w:w="990"/>
        <w:gridCol w:w="1260"/>
        <w:gridCol w:w="2268"/>
      </w:tblGrid>
      <w:tr w:rsidR="00C6578C" w14:paraId="741D1E67" w14:textId="77777777" w:rsidTr="00A6206B">
        <w:tc>
          <w:tcPr>
            <w:tcW w:w="1934" w:type="dxa"/>
            <w:vMerge w:val="restart"/>
          </w:tcPr>
          <w:p w14:paraId="7EE3A2E0" w14:textId="77777777" w:rsidR="00AB3BE8" w:rsidRPr="00901AFA" w:rsidRDefault="00944B8F" w:rsidP="00CE7FEF">
            <w:pPr>
              <w:pStyle w:val="gtctablespaceafter"/>
              <w:keepNext/>
              <w:spacing w:after="0"/>
              <w:rPr>
                <w:sz w:val="22"/>
                <w:szCs w:val="22"/>
              </w:rPr>
            </w:pPr>
            <w:r w:rsidRPr="00901AFA">
              <w:rPr>
                <w:sz w:val="22"/>
                <w:szCs w:val="22"/>
              </w:rPr>
              <w:t>Endpoint</w:t>
            </w:r>
          </w:p>
        </w:tc>
        <w:tc>
          <w:tcPr>
            <w:tcW w:w="2340" w:type="dxa"/>
            <w:gridSpan w:val="2"/>
          </w:tcPr>
          <w:p w14:paraId="7DEC6D26" w14:textId="77777777" w:rsidR="00AB3BE8" w:rsidRPr="00901AFA" w:rsidRDefault="00944B8F" w:rsidP="00CE7FEF">
            <w:pPr>
              <w:pStyle w:val="gtctablespaceafter"/>
              <w:keepNext/>
              <w:spacing w:after="0"/>
              <w:jc w:val="center"/>
              <w:rPr>
                <w:sz w:val="22"/>
                <w:szCs w:val="22"/>
              </w:rPr>
            </w:pPr>
            <w:r w:rsidRPr="00901AFA">
              <w:rPr>
                <w:sz w:val="22"/>
                <w:szCs w:val="22"/>
              </w:rPr>
              <w:t>Week 16</w:t>
            </w:r>
          </w:p>
          <w:p w14:paraId="72243BB8" w14:textId="77777777" w:rsidR="00AB3BE8" w:rsidRPr="00901AFA" w:rsidRDefault="00944B8F" w:rsidP="00CE7FEF">
            <w:pPr>
              <w:pStyle w:val="gtctablespaceafter"/>
              <w:keepNext/>
              <w:spacing w:after="0"/>
              <w:jc w:val="center"/>
              <w:rPr>
                <w:sz w:val="22"/>
                <w:szCs w:val="22"/>
              </w:rPr>
            </w:pPr>
            <w:r w:rsidRPr="00901AFA">
              <w:rPr>
                <w:sz w:val="22"/>
                <w:szCs w:val="22"/>
              </w:rPr>
              <w:t>Placebo-Controlled</w:t>
            </w:r>
          </w:p>
        </w:tc>
        <w:tc>
          <w:tcPr>
            <w:tcW w:w="2250" w:type="dxa"/>
            <w:gridSpan w:val="2"/>
          </w:tcPr>
          <w:p w14:paraId="7313F7DA" w14:textId="77777777" w:rsidR="00AB3BE8" w:rsidRPr="00901AFA" w:rsidRDefault="00944B8F" w:rsidP="00CE7FEF">
            <w:pPr>
              <w:pStyle w:val="gtctablespaceafter"/>
              <w:keepNext/>
              <w:spacing w:after="0"/>
              <w:jc w:val="center"/>
              <w:rPr>
                <w:sz w:val="22"/>
                <w:szCs w:val="22"/>
              </w:rPr>
            </w:pPr>
            <w:r w:rsidRPr="00901AFA">
              <w:rPr>
                <w:sz w:val="22"/>
                <w:szCs w:val="22"/>
              </w:rPr>
              <w:t>Week 26</w:t>
            </w:r>
          </w:p>
          <w:p w14:paraId="601869B1" w14:textId="77777777" w:rsidR="00AB3BE8" w:rsidRPr="00901AFA" w:rsidRDefault="00944B8F" w:rsidP="00CE7FEF">
            <w:pPr>
              <w:pStyle w:val="gtctablespaceafter"/>
              <w:keepNext/>
              <w:spacing w:after="0"/>
              <w:jc w:val="center"/>
              <w:rPr>
                <w:sz w:val="22"/>
                <w:szCs w:val="22"/>
              </w:rPr>
            </w:pPr>
            <w:r w:rsidRPr="00901AFA">
              <w:rPr>
                <w:sz w:val="22"/>
                <w:szCs w:val="22"/>
              </w:rPr>
              <w:t>Placebo-Controlled</w:t>
            </w:r>
          </w:p>
        </w:tc>
        <w:tc>
          <w:tcPr>
            <w:tcW w:w="2268" w:type="dxa"/>
          </w:tcPr>
          <w:p w14:paraId="239BA31D" w14:textId="77777777" w:rsidR="00AB3BE8" w:rsidRPr="00901AFA" w:rsidRDefault="00944B8F" w:rsidP="00CE7FEF">
            <w:pPr>
              <w:pStyle w:val="gtctablespaceafter"/>
              <w:keepNext/>
              <w:spacing w:after="0"/>
              <w:jc w:val="center"/>
              <w:rPr>
                <w:sz w:val="22"/>
                <w:szCs w:val="22"/>
              </w:rPr>
            </w:pPr>
            <w:r w:rsidRPr="00901AFA">
              <w:rPr>
                <w:sz w:val="22"/>
                <w:szCs w:val="22"/>
              </w:rPr>
              <w:t>Week 52</w:t>
            </w:r>
          </w:p>
          <w:p w14:paraId="24CD5406" w14:textId="77777777" w:rsidR="00AB3BE8" w:rsidRPr="00901AFA" w:rsidRDefault="00944B8F" w:rsidP="00CE7FEF">
            <w:pPr>
              <w:pStyle w:val="gtctablespaceafter"/>
              <w:keepNext/>
              <w:spacing w:after="0"/>
              <w:jc w:val="center"/>
              <w:rPr>
                <w:sz w:val="22"/>
                <w:szCs w:val="22"/>
              </w:rPr>
            </w:pPr>
            <w:r w:rsidRPr="00901AFA">
              <w:rPr>
                <w:sz w:val="22"/>
                <w:szCs w:val="22"/>
              </w:rPr>
              <w:t>Open-label</w:t>
            </w:r>
          </w:p>
        </w:tc>
      </w:tr>
      <w:tr w:rsidR="00C6578C" w14:paraId="5B7C66CE" w14:textId="77777777" w:rsidTr="00A6206B">
        <w:tc>
          <w:tcPr>
            <w:tcW w:w="1934" w:type="dxa"/>
            <w:vMerge/>
          </w:tcPr>
          <w:p w14:paraId="1C24466A" w14:textId="77777777" w:rsidR="00AB3BE8" w:rsidRPr="00901AFA" w:rsidRDefault="00AB3BE8" w:rsidP="00CE7FEF">
            <w:pPr>
              <w:pStyle w:val="gtctablespaceafter"/>
              <w:keepNext/>
              <w:spacing w:after="0"/>
              <w:rPr>
                <w:sz w:val="22"/>
                <w:szCs w:val="22"/>
              </w:rPr>
            </w:pPr>
          </w:p>
        </w:tc>
        <w:tc>
          <w:tcPr>
            <w:tcW w:w="1080" w:type="dxa"/>
          </w:tcPr>
          <w:p w14:paraId="36AE00B0" w14:textId="77777777" w:rsidR="00AB3BE8" w:rsidRPr="00901AFA" w:rsidRDefault="00944B8F" w:rsidP="00CE7FEF">
            <w:pPr>
              <w:pStyle w:val="gtctablespaceafter"/>
              <w:keepNext/>
              <w:spacing w:after="0"/>
              <w:jc w:val="center"/>
              <w:rPr>
                <w:sz w:val="22"/>
                <w:szCs w:val="22"/>
              </w:rPr>
            </w:pPr>
            <w:r w:rsidRPr="00901AFA">
              <w:rPr>
                <w:sz w:val="22"/>
              </w:rPr>
              <w:t>Placebo</w:t>
            </w:r>
            <w:r w:rsidRPr="00901AFA">
              <w:rPr>
                <w:sz w:val="22"/>
              </w:rPr>
              <w:br/>
              <w:t>N=108</w:t>
            </w:r>
          </w:p>
        </w:tc>
        <w:tc>
          <w:tcPr>
            <w:tcW w:w="1260" w:type="dxa"/>
          </w:tcPr>
          <w:p w14:paraId="4C5D31E9" w14:textId="77777777" w:rsidR="00AB3BE8" w:rsidRPr="00901AFA" w:rsidRDefault="00944B8F" w:rsidP="00CE7FEF">
            <w:pPr>
              <w:pStyle w:val="In-texttable"/>
              <w:spacing w:line="240" w:lineRule="auto"/>
              <w:jc w:val="center"/>
              <w:rPr>
                <w:rFonts w:ascii="Times New Roman" w:hAnsi="Times New Roman"/>
                <w:sz w:val="22"/>
              </w:rPr>
            </w:pPr>
            <w:r w:rsidRPr="00901AFA">
              <w:rPr>
                <w:rFonts w:ascii="Times New Roman" w:hAnsi="Times New Roman"/>
                <w:sz w:val="22"/>
              </w:rPr>
              <w:t>Humira</w:t>
            </w:r>
          </w:p>
          <w:p w14:paraId="2E50868C" w14:textId="77777777" w:rsidR="00AB3BE8" w:rsidRPr="00901AFA" w:rsidRDefault="00944B8F" w:rsidP="00CE7FEF">
            <w:pPr>
              <w:pStyle w:val="gtctablespaceafter"/>
              <w:keepNext/>
              <w:spacing w:after="0"/>
              <w:jc w:val="center"/>
              <w:rPr>
                <w:sz w:val="22"/>
                <w:szCs w:val="22"/>
              </w:rPr>
            </w:pPr>
            <w:r w:rsidRPr="00901AFA">
              <w:rPr>
                <w:sz w:val="22"/>
              </w:rPr>
              <w:t xml:space="preserve">40 mg eow </w:t>
            </w:r>
            <w:r w:rsidRPr="00901AFA">
              <w:rPr>
                <w:sz w:val="22"/>
              </w:rPr>
              <w:br/>
              <w:t>N=109</w:t>
            </w:r>
          </w:p>
        </w:tc>
        <w:tc>
          <w:tcPr>
            <w:tcW w:w="990" w:type="dxa"/>
          </w:tcPr>
          <w:p w14:paraId="62466699" w14:textId="77777777" w:rsidR="00AB3BE8" w:rsidRPr="00901AFA" w:rsidRDefault="00944B8F" w:rsidP="00CE7FEF">
            <w:pPr>
              <w:pStyle w:val="gtctablespaceafter"/>
              <w:keepNext/>
              <w:spacing w:after="0"/>
              <w:jc w:val="center"/>
              <w:rPr>
                <w:sz w:val="22"/>
                <w:szCs w:val="22"/>
              </w:rPr>
            </w:pPr>
            <w:r w:rsidRPr="00901AFA">
              <w:rPr>
                <w:sz w:val="22"/>
              </w:rPr>
              <w:t>Placebo</w:t>
            </w:r>
            <w:r w:rsidRPr="00901AFA">
              <w:rPr>
                <w:sz w:val="22"/>
              </w:rPr>
              <w:br/>
              <w:t>N=108</w:t>
            </w:r>
          </w:p>
        </w:tc>
        <w:tc>
          <w:tcPr>
            <w:tcW w:w="1260" w:type="dxa"/>
          </w:tcPr>
          <w:p w14:paraId="41DAEF32" w14:textId="77777777" w:rsidR="00AB3BE8" w:rsidRPr="00901AFA" w:rsidRDefault="00944B8F" w:rsidP="00CE7FEF">
            <w:pPr>
              <w:pStyle w:val="In-texttable"/>
              <w:spacing w:line="240" w:lineRule="auto"/>
              <w:jc w:val="center"/>
              <w:rPr>
                <w:rFonts w:ascii="Times New Roman" w:hAnsi="Times New Roman"/>
                <w:sz w:val="22"/>
              </w:rPr>
            </w:pPr>
            <w:r w:rsidRPr="00901AFA">
              <w:rPr>
                <w:rFonts w:ascii="Times New Roman" w:hAnsi="Times New Roman"/>
                <w:sz w:val="22"/>
              </w:rPr>
              <w:t>Humira</w:t>
            </w:r>
          </w:p>
          <w:p w14:paraId="0717356C" w14:textId="77777777" w:rsidR="00AB3BE8" w:rsidRPr="00901AFA" w:rsidRDefault="00944B8F" w:rsidP="00CE7FEF">
            <w:pPr>
              <w:pStyle w:val="gtctablespaceafter"/>
              <w:keepNext/>
              <w:spacing w:after="0"/>
              <w:jc w:val="center"/>
              <w:rPr>
                <w:sz w:val="22"/>
                <w:szCs w:val="22"/>
              </w:rPr>
            </w:pPr>
            <w:r w:rsidRPr="00901AFA">
              <w:rPr>
                <w:sz w:val="22"/>
              </w:rPr>
              <w:t xml:space="preserve">40 mg eow </w:t>
            </w:r>
            <w:r w:rsidRPr="00901AFA">
              <w:rPr>
                <w:sz w:val="22"/>
              </w:rPr>
              <w:br/>
              <w:t>N=109</w:t>
            </w:r>
          </w:p>
        </w:tc>
        <w:tc>
          <w:tcPr>
            <w:tcW w:w="2268" w:type="dxa"/>
          </w:tcPr>
          <w:p w14:paraId="20692510" w14:textId="77777777" w:rsidR="00AB3BE8" w:rsidRPr="00901AFA" w:rsidRDefault="00944B8F" w:rsidP="00CE7FEF">
            <w:pPr>
              <w:pStyle w:val="In-texttable"/>
              <w:spacing w:line="240" w:lineRule="auto"/>
              <w:jc w:val="center"/>
              <w:rPr>
                <w:rFonts w:ascii="Times New Roman" w:hAnsi="Times New Roman"/>
                <w:sz w:val="22"/>
              </w:rPr>
            </w:pPr>
            <w:r w:rsidRPr="00901AFA">
              <w:rPr>
                <w:rFonts w:ascii="Times New Roman" w:hAnsi="Times New Roman"/>
                <w:sz w:val="22"/>
              </w:rPr>
              <w:t>Humira</w:t>
            </w:r>
          </w:p>
          <w:p w14:paraId="7CBF8C75" w14:textId="77777777" w:rsidR="00AB3BE8" w:rsidRPr="00901AFA" w:rsidRDefault="00944B8F" w:rsidP="00CE7FEF">
            <w:pPr>
              <w:pStyle w:val="gtctablespaceafter"/>
              <w:keepNext/>
              <w:spacing w:after="0"/>
              <w:jc w:val="center"/>
              <w:rPr>
                <w:sz w:val="22"/>
                <w:szCs w:val="22"/>
              </w:rPr>
            </w:pPr>
            <w:r w:rsidRPr="00901AFA">
              <w:rPr>
                <w:sz w:val="22"/>
              </w:rPr>
              <w:t xml:space="preserve">40 mg eow </w:t>
            </w:r>
            <w:r w:rsidRPr="00901AFA">
              <w:rPr>
                <w:sz w:val="22"/>
              </w:rPr>
              <w:br/>
              <w:t>N=80</w:t>
            </w:r>
          </w:p>
        </w:tc>
      </w:tr>
      <w:tr w:rsidR="00C6578C" w14:paraId="4683F541" w14:textId="77777777" w:rsidTr="00A6206B">
        <w:tc>
          <w:tcPr>
            <w:tcW w:w="1934" w:type="dxa"/>
          </w:tcPr>
          <w:p w14:paraId="4E80C1E1" w14:textId="77777777" w:rsidR="00AB3BE8" w:rsidRPr="00901AFA" w:rsidRDefault="00944B8F" w:rsidP="00CE7FEF">
            <w:pPr>
              <w:pStyle w:val="gtctablespaceafter"/>
              <w:keepNext/>
              <w:spacing w:after="0"/>
              <w:rPr>
                <w:sz w:val="22"/>
                <w:szCs w:val="22"/>
              </w:rPr>
            </w:pPr>
            <w:r w:rsidRPr="00901AFA">
              <w:rPr>
                <w:sz w:val="22"/>
              </w:rPr>
              <w:t>≥ mNAPSI 75 (%)</w:t>
            </w:r>
          </w:p>
        </w:tc>
        <w:tc>
          <w:tcPr>
            <w:tcW w:w="1080" w:type="dxa"/>
          </w:tcPr>
          <w:p w14:paraId="3C9AB4CC" w14:textId="77777777" w:rsidR="00AB3BE8" w:rsidRPr="00901AFA" w:rsidRDefault="00944B8F" w:rsidP="00CE7FEF">
            <w:pPr>
              <w:pStyle w:val="gtctablespaceafter"/>
              <w:keepNext/>
              <w:spacing w:after="0"/>
              <w:jc w:val="center"/>
              <w:rPr>
                <w:sz w:val="22"/>
                <w:szCs w:val="22"/>
              </w:rPr>
            </w:pPr>
            <w:r w:rsidRPr="00901AFA">
              <w:rPr>
                <w:sz w:val="22"/>
                <w:szCs w:val="22"/>
              </w:rPr>
              <w:t>2.9</w:t>
            </w:r>
          </w:p>
        </w:tc>
        <w:tc>
          <w:tcPr>
            <w:tcW w:w="1260" w:type="dxa"/>
          </w:tcPr>
          <w:p w14:paraId="1616CAB5" w14:textId="77777777" w:rsidR="00AB3BE8" w:rsidRPr="00901AFA" w:rsidRDefault="00944B8F" w:rsidP="00CE7FEF">
            <w:pPr>
              <w:pStyle w:val="gtctablespaceafter"/>
              <w:keepNext/>
              <w:spacing w:after="0"/>
              <w:jc w:val="center"/>
              <w:rPr>
                <w:sz w:val="22"/>
                <w:szCs w:val="22"/>
              </w:rPr>
            </w:pPr>
            <w:r w:rsidRPr="00901AFA">
              <w:rPr>
                <w:sz w:val="22"/>
                <w:szCs w:val="22"/>
              </w:rPr>
              <w:t>26.0</w:t>
            </w:r>
            <w:r w:rsidRPr="00901AFA">
              <w:rPr>
                <w:sz w:val="22"/>
                <w:szCs w:val="22"/>
                <w:vertAlign w:val="superscript"/>
              </w:rPr>
              <w:t>a</w:t>
            </w:r>
          </w:p>
        </w:tc>
        <w:tc>
          <w:tcPr>
            <w:tcW w:w="990" w:type="dxa"/>
          </w:tcPr>
          <w:p w14:paraId="036B3802" w14:textId="77777777" w:rsidR="00AB3BE8" w:rsidRPr="00901AFA" w:rsidRDefault="00944B8F" w:rsidP="00CE7FEF">
            <w:pPr>
              <w:keepNext/>
              <w:jc w:val="center"/>
              <w:rPr>
                <w:szCs w:val="22"/>
              </w:rPr>
            </w:pPr>
            <w:r w:rsidRPr="00901AFA">
              <w:rPr>
                <w:szCs w:val="22"/>
              </w:rPr>
              <w:t>3.4</w:t>
            </w:r>
          </w:p>
        </w:tc>
        <w:tc>
          <w:tcPr>
            <w:tcW w:w="1260" w:type="dxa"/>
          </w:tcPr>
          <w:p w14:paraId="43504552" w14:textId="77777777" w:rsidR="00AB3BE8" w:rsidRPr="00901AFA" w:rsidRDefault="00944B8F" w:rsidP="00CE7FEF">
            <w:pPr>
              <w:keepNext/>
              <w:jc w:val="center"/>
              <w:rPr>
                <w:szCs w:val="22"/>
              </w:rPr>
            </w:pPr>
            <w:r w:rsidRPr="00901AFA">
              <w:rPr>
                <w:szCs w:val="22"/>
              </w:rPr>
              <w:t>46.6</w:t>
            </w:r>
            <w:r w:rsidRPr="00901AFA">
              <w:rPr>
                <w:szCs w:val="22"/>
                <w:vertAlign w:val="superscript"/>
              </w:rPr>
              <w:t>a</w:t>
            </w:r>
          </w:p>
        </w:tc>
        <w:tc>
          <w:tcPr>
            <w:tcW w:w="2268" w:type="dxa"/>
          </w:tcPr>
          <w:p w14:paraId="79803526" w14:textId="77777777" w:rsidR="00AB3BE8" w:rsidRPr="00901AFA" w:rsidRDefault="00944B8F" w:rsidP="00CE7FEF">
            <w:pPr>
              <w:pStyle w:val="gtctablespaceafter"/>
              <w:keepNext/>
              <w:spacing w:after="0"/>
              <w:jc w:val="center"/>
              <w:rPr>
                <w:sz w:val="22"/>
                <w:szCs w:val="22"/>
              </w:rPr>
            </w:pPr>
            <w:r w:rsidRPr="00901AFA">
              <w:rPr>
                <w:sz w:val="22"/>
                <w:szCs w:val="22"/>
              </w:rPr>
              <w:t>65.0</w:t>
            </w:r>
          </w:p>
        </w:tc>
      </w:tr>
      <w:tr w:rsidR="00C6578C" w14:paraId="7664FA87" w14:textId="77777777" w:rsidTr="00A6206B">
        <w:tc>
          <w:tcPr>
            <w:tcW w:w="1934" w:type="dxa"/>
          </w:tcPr>
          <w:p w14:paraId="4F64A198" w14:textId="77777777" w:rsidR="00AB3BE8" w:rsidRPr="00901AFA" w:rsidRDefault="00944B8F" w:rsidP="00CE7FEF">
            <w:pPr>
              <w:pStyle w:val="gtctablespaceafter"/>
              <w:keepNext/>
              <w:spacing w:after="0"/>
              <w:rPr>
                <w:sz w:val="22"/>
                <w:szCs w:val="22"/>
              </w:rPr>
            </w:pPr>
            <w:r w:rsidRPr="00901AFA">
              <w:rPr>
                <w:sz w:val="22"/>
                <w:szCs w:val="22"/>
              </w:rPr>
              <w:t>PGA-F clear/minimal and ≥2-grade improvement (%)</w:t>
            </w:r>
          </w:p>
        </w:tc>
        <w:tc>
          <w:tcPr>
            <w:tcW w:w="1080" w:type="dxa"/>
          </w:tcPr>
          <w:p w14:paraId="62981C08" w14:textId="77777777" w:rsidR="00AB3BE8" w:rsidRPr="00901AFA" w:rsidRDefault="00944B8F" w:rsidP="00CE7FEF">
            <w:pPr>
              <w:pStyle w:val="gtctablespaceafter"/>
              <w:keepNext/>
              <w:spacing w:after="0"/>
              <w:jc w:val="center"/>
              <w:rPr>
                <w:sz w:val="22"/>
                <w:szCs w:val="22"/>
              </w:rPr>
            </w:pPr>
            <w:r w:rsidRPr="00901AFA">
              <w:rPr>
                <w:sz w:val="22"/>
                <w:szCs w:val="22"/>
              </w:rPr>
              <w:t>2.9</w:t>
            </w:r>
          </w:p>
        </w:tc>
        <w:tc>
          <w:tcPr>
            <w:tcW w:w="1260" w:type="dxa"/>
          </w:tcPr>
          <w:p w14:paraId="00785A9E" w14:textId="77777777" w:rsidR="00AB3BE8" w:rsidRPr="00901AFA" w:rsidRDefault="00944B8F" w:rsidP="00CE7FEF">
            <w:pPr>
              <w:pStyle w:val="gtctablespaceafter"/>
              <w:keepNext/>
              <w:spacing w:after="0"/>
              <w:jc w:val="center"/>
              <w:rPr>
                <w:sz w:val="22"/>
                <w:szCs w:val="22"/>
              </w:rPr>
            </w:pPr>
            <w:r w:rsidRPr="00901AFA">
              <w:rPr>
                <w:sz w:val="22"/>
                <w:szCs w:val="22"/>
              </w:rPr>
              <w:t>29.7</w:t>
            </w:r>
            <w:r w:rsidRPr="00901AFA">
              <w:rPr>
                <w:sz w:val="22"/>
                <w:szCs w:val="22"/>
                <w:vertAlign w:val="superscript"/>
              </w:rPr>
              <w:t>a</w:t>
            </w:r>
          </w:p>
        </w:tc>
        <w:tc>
          <w:tcPr>
            <w:tcW w:w="990" w:type="dxa"/>
          </w:tcPr>
          <w:p w14:paraId="24390E9B" w14:textId="77777777" w:rsidR="00AB3BE8" w:rsidRPr="00901AFA" w:rsidRDefault="00944B8F" w:rsidP="00CE7FEF">
            <w:pPr>
              <w:keepNext/>
              <w:jc w:val="center"/>
              <w:rPr>
                <w:szCs w:val="22"/>
              </w:rPr>
            </w:pPr>
            <w:r w:rsidRPr="00901AFA">
              <w:rPr>
                <w:szCs w:val="22"/>
              </w:rPr>
              <w:t>6.9</w:t>
            </w:r>
          </w:p>
        </w:tc>
        <w:tc>
          <w:tcPr>
            <w:tcW w:w="1260" w:type="dxa"/>
          </w:tcPr>
          <w:p w14:paraId="3BF2146C" w14:textId="77777777" w:rsidR="00AB3BE8" w:rsidRPr="00901AFA" w:rsidRDefault="00944B8F" w:rsidP="00CE7FEF">
            <w:pPr>
              <w:keepNext/>
              <w:jc w:val="center"/>
              <w:rPr>
                <w:szCs w:val="22"/>
              </w:rPr>
            </w:pPr>
            <w:r w:rsidRPr="00901AFA">
              <w:rPr>
                <w:szCs w:val="22"/>
              </w:rPr>
              <w:t>48.9</w:t>
            </w:r>
            <w:r w:rsidRPr="00901AFA">
              <w:rPr>
                <w:szCs w:val="22"/>
                <w:vertAlign w:val="superscript"/>
              </w:rPr>
              <w:t>a</w:t>
            </w:r>
          </w:p>
        </w:tc>
        <w:tc>
          <w:tcPr>
            <w:tcW w:w="2268" w:type="dxa"/>
          </w:tcPr>
          <w:p w14:paraId="5106367B" w14:textId="77777777" w:rsidR="00AB3BE8" w:rsidRPr="00901AFA" w:rsidRDefault="00944B8F" w:rsidP="00CE7FEF">
            <w:pPr>
              <w:pStyle w:val="gtctablespaceafter"/>
              <w:keepNext/>
              <w:spacing w:after="0"/>
              <w:jc w:val="center"/>
              <w:rPr>
                <w:sz w:val="22"/>
                <w:szCs w:val="22"/>
              </w:rPr>
            </w:pPr>
            <w:r w:rsidRPr="00901AFA">
              <w:rPr>
                <w:sz w:val="22"/>
                <w:szCs w:val="22"/>
              </w:rPr>
              <w:t>61.3</w:t>
            </w:r>
          </w:p>
        </w:tc>
      </w:tr>
      <w:tr w:rsidR="00C6578C" w14:paraId="7E1A0DC5" w14:textId="77777777" w:rsidTr="00A6206B">
        <w:tc>
          <w:tcPr>
            <w:tcW w:w="1934" w:type="dxa"/>
          </w:tcPr>
          <w:p w14:paraId="1AEBF1D3" w14:textId="77777777" w:rsidR="00AB3BE8" w:rsidRPr="00901AFA" w:rsidRDefault="00944B8F" w:rsidP="00CE7FEF">
            <w:pPr>
              <w:pStyle w:val="gtctablespaceafter"/>
              <w:keepNext/>
              <w:spacing w:after="0"/>
              <w:rPr>
                <w:sz w:val="22"/>
                <w:szCs w:val="22"/>
              </w:rPr>
            </w:pPr>
            <w:r w:rsidRPr="00901AFA">
              <w:rPr>
                <w:sz w:val="22"/>
                <w:szCs w:val="22"/>
              </w:rPr>
              <w:t>Percent Change in Total Fingernail NAPSI (%)</w:t>
            </w:r>
          </w:p>
        </w:tc>
        <w:tc>
          <w:tcPr>
            <w:tcW w:w="1080" w:type="dxa"/>
          </w:tcPr>
          <w:p w14:paraId="68A8EAF7" w14:textId="77777777" w:rsidR="00AB3BE8" w:rsidRPr="00901AFA" w:rsidRDefault="00944B8F" w:rsidP="00CE7FEF">
            <w:pPr>
              <w:pStyle w:val="gtctablespaceafter"/>
              <w:keepNext/>
              <w:spacing w:after="0"/>
              <w:jc w:val="center"/>
              <w:rPr>
                <w:sz w:val="22"/>
                <w:szCs w:val="22"/>
              </w:rPr>
            </w:pPr>
            <w:r w:rsidRPr="00901AFA">
              <w:rPr>
                <w:sz w:val="22"/>
                <w:szCs w:val="22"/>
              </w:rPr>
              <w:t>-7.8</w:t>
            </w:r>
          </w:p>
        </w:tc>
        <w:tc>
          <w:tcPr>
            <w:tcW w:w="1260" w:type="dxa"/>
          </w:tcPr>
          <w:p w14:paraId="334AF23A" w14:textId="77777777" w:rsidR="00AB3BE8" w:rsidRPr="00901AFA" w:rsidRDefault="00944B8F" w:rsidP="00CE7FEF">
            <w:pPr>
              <w:pStyle w:val="gtctablespaceafter"/>
              <w:keepNext/>
              <w:spacing w:after="0"/>
              <w:jc w:val="center"/>
              <w:rPr>
                <w:sz w:val="22"/>
                <w:szCs w:val="22"/>
              </w:rPr>
            </w:pPr>
            <w:r w:rsidRPr="00901AFA">
              <w:rPr>
                <w:sz w:val="22"/>
                <w:szCs w:val="22"/>
              </w:rPr>
              <w:t>-44.2</w:t>
            </w:r>
            <w:r w:rsidRPr="00901AFA">
              <w:rPr>
                <w:sz w:val="22"/>
                <w:szCs w:val="22"/>
                <w:vertAlign w:val="superscript"/>
              </w:rPr>
              <w:t xml:space="preserve"> a</w:t>
            </w:r>
          </w:p>
        </w:tc>
        <w:tc>
          <w:tcPr>
            <w:tcW w:w="990" w:type="dxa"/>
          </w:tcPr>
          <w:p w14:paraId="5D3B7582" w14:textId="77777777" w:rsidR="00AB3BE8" w:rsidRPr="00901AFA" w:rsidRDefault="00944B8F" w:rsidP="00CE7FEF">
            <w:pPr>
              <w:keepNext/>
              <w:jc w:val="center"/>
              <w:rPr>
                <w:szCs w:val="22"/>
              </w:rPr>
            </w:pPr>
            <w:r w:rsidRPr="00901AFA">
              <w:rPr>
                <w:szCs w:val="22"/>
              </w:rPr>
              <w:t>-11.5</w:t>
            </w:r>
          </w:p>
        </w:tc>
        <w:tc>
          <w:tcPr>
            <w:tcW w:w="1260" w:type="dxa"/>
          </w:tcPr>
          <w:p w14:paraId="4D17DF48" w14:textId="77777777" w:rsidR="00AB3BE8" w:rsidRPr="00901AFA" w:rsidRDefault="00944B8F" w:rsidP="00CE7FEF">
            <w:pPr>
              <w:keepNext/>
              <w:jc w:val="center"/>
              <w:rPr>
                <w:szCs w:val="22"/>
              </w:rPr>
            </w:pPr>
            <w:r w:rsidRPr="00901AFA">
              <w:rPr>
                <w:szCs w:val="22"/>
              </w:rPr>
              <w:t>-56.2</w:t>
            </w:r>
            <w:r w:rsidRPr="00901AFA">
              <w:rPr>
                <w:szCs w:val="22"/>
                <w:vertAlign w:val="superscript"/>
              </w:rPr>
              <w:t>a</w:t>
            </w:r>
          </w:p>
        </w:tc>
        <w:tc>
          <w:tcPr>
            <w:tcW w:w="2268" w:type="dxa"/>
          </w:tcPr>
          <w:p w14:paraId="27DDABF1" w14:textId="77777777" w:rsidR="00AB3BE8" w:rsidRPr="00901AFA" w:rsidRDefault="00944B8F" w:rsidP="00CE7FEF">
            <w:pPr>
              <w:pStyle w:val="gtctablespaceafter"/>
              <w:keepNext/>
              <w:spacing w:after="0"/>
              <w:jc w:val="center"/>
              <w:rPr>
                <w:sz w:val="22"/>
                <w:szCs w:val="22"/>
              </w:rPr>
            </w:pPr>
            <w:r w:rsidRPr="00901AFA">
              <w:rPr>
                <w:sz w:val="22"/>
                <w:szCs w:val="22"/>
              </w:rPr>
              <w:t>-72.2</w:t>
            </w:r>
          </w:p>
        </w:tc>
      </w:tr>
      <w:tr w:rsidR="00C6578C" w14:paraId="39D2640A" w14:textId="77777777" w:rsidTr="00A6206B">
        <w:tc>
          <w:tcPr>
            <w:tcW w:w="8792" w:type="dxa"/>
            <w:gridSpan w:val="6"/>
          </w:tcPr>
          <w:p w14:paraId="488F3ADF" w14:textId="77777777" w:rsidR="00AB3BE8" w:rsidRPr="00901AFA" w:rsidRDefault="00944B8F" w:rsidP="00CE7FEF">
            <w:pPr>
              <w:pStyle w:val="gtctablespaceafter"/>
              <w:keepNext/>
              <w:spacing w:after="0"/>
              <w:rPr>
                <w:sz w:val="22"/>
                <w:szCs w:val="22"/>
              </w:rPr>
            </w:pPr>
            <w:r w:rsidRPr="00901AFA">
              <w:rPr>
                <w:sz w:val="22"/>
                <w:szCs w:val="22"/>
                <w:vertAlign w:val="superscript"/>
              </w:rPr>
              <w:t>a</w:t>
            </w:r>
            <w:r w:rsidRPr="00901AFA">
              <w:rPr>
                <w:sz w:val="22"/>
                <w:szCs w:val="22"/>
              </w:rPr>
              <w:t xml:space="preserve"> p&lt;0.001, Humira </w:t>
            </w:r>
            <w:r w:rsidRPr="00901AFA">
              <w:rPr>
                <w:i/>
                <w:sz w:val="22"/>
                <w:szCs w:val="22"/>
              </w:rPr>
              <w:t>vs.</w:t>
            </w:r>
            <w:r w:rsidRPr="00901AFA">
              <w:rPr>
                <w:sz w:val="22"/>
                <w:szCs w:val="22"/>
              </w:rPr>
              <w:t xml:space="preserve"> placebo </w:t>
            </w:r>
          </w:p>
        </w:tc>
      </w:tr>
    </w:tbl>
    <w:p w14:paraId="5754A41B" w14:textId="77777777" w:rsidR="00AB3BE8" w:rsidRDefault="00AB3BE8" w:rsidP="00AB3BE8">
      <w:pPr>
        <w:pStyle w:val="gtctablespaceafter"/>
        <w:spacing w:after="0"/>
        <w:rPr>
          <w:sz w:val="22"/>
          <w:szCs w:val="22"/>
        </w:rPr>
      </w:pPr>
    </w:p>
    <w:p w14:paraId="65287CCB" w14:textId="77777777" w:rsidR="00AB3BE8" w:rsidRDefault="00944B8F" w:rsidP="00AB3BE8">
      <w:pPr>
        <w:pStyle w:val="EMEANormal"/>
        <w:rPr>
          <w:szCs w:val="22"/>
        </w:rPr>
      </w:pPr>
      <w:r w:rsidRPr="000614A5">
        <w:rPr>
          <w:szCs w:val="22"/>
        </w:rPr>
        <w:t>Humira treated patients showed statistically significant improvements at Week</w:t>
      </w:r>
      <w:r>
        <w:rPr>
          <w:szCs w:val="22"/>
        </w:rPr>
        <w:t> </w:t>
      </w:r>
      <w:r w:rsidRPr="000614A5">
        <w:rPr>
          <w:szCs w:val="22"/>
        </w:rPr>
        <w:t>26 compared with placebo in the DLQI</w:t>
      </w:r>
      <w:r>
        <w:rPr>
          <w:szCs w:val="22"/>
        </w:rPr>
        <w:t xml:space="preserve">. </w:t>
      </w:r>
    </w:p>
    <w:p w14:paraId="5D48618B" w14:textId="77777777" w:rsidR="00AB3BE8" w:rsidRPr="002A3533" w:rsidRDefault="00AB3BE8" w:rsidP="00AB3BE8">
      <w:pPr>
        <w:pStyle w:val="EMEANormal"/>
        <w:rPr>
          <w:bCs/>
          <w:lang w:val="en-GB"/>
        </w:rPr>
      </w:pPr>
    </w:p>
    <w:p w14:paraId="3CD2FD9E" w14:textId="77777777" w:rsidR="00AB3BE8" w:rsidRPr="002A3533" w:rsidRDefault="00944B8F" w:rsidP="00AB3BE8">
      <w:pPr>
        <w:pStyle w:val="EMEAHeadingUnderline"/>
        <w:keepNext/>
        <w:spacing w:beforeLines="0" w:afterLines="0"/>
        <w:rPr>
          <w:i/>
          <w:u w:val="none"/>
          <w:lang w:val="en-GB"/>
        </w:rPr>
      </w:pPr>
      <w:r>
        <w:rPr>
          <w:i/>
          <w:u w:val="none"/>
          <w:lang w:val="en-GB"/>
        </w:rPr>
        <w:t xml:space="preserve">Adult </w:t>
      </w:r>
      <w:r w:rsidRPr="002A3533">
        <w:rPr>
          <w:i/>
          <w:u w:val="none"/>
          <w:lang w:val="en-GB"/>
        </w:rPr>
        <w:t>Crohn’s disease</w:t>
      </w:r>
    </w:p>
    <w:p w14:paraId="0558745D" w14:textId="77777777" w:rsidR="00AB3BE8" w:rsidRPr="002A3533" w:rsidRDefault="00AB3BE8" w:rsidP="00AB3BE8">
      <w:pPr>
        <w:pStyle w:val="EMEANormal"/>
        <w:keepNext/>
        <w:rPr>
          <w:lang w:val="en-GB"/>
        </w:rPr>
      </w:pPr>
    </w:p>
    <w:p w14:paraId="2D74BEB8" w14:textId="77777777" w:rsidR="00AB3BE8" w:rsidRPr="002A3533" w:rsidRDefault="00944B8F" w:rsidP="00AB3BE8">
      <w:pPr>
        <w:pStyle w:val="EMEANormal"/>
        <w:keepNext/>
        <w:rPr>
          <w:lang w:val="en-GB"/>
        </w:rPr>
      </w:pPr>
      <w:r w:rsidRPr="002A3533">
        <w:rPr>
          <w:lang w:val="en-GB"/>
        </w:rPr>
        <w:t xml:space="preserve">The safety and efficacy of Humira were assessed in over 1500 patients with moderately to severely active Crohn’s disease (Crohn’s Disease Activity Index (CDAI) </w:t>
      </w:r>
      <w:r w:rsidRPr="002A3533">
        <w:rPr>
          <w:rFonts w:ascii="Symbol" w:eastAsia="Symbol" w:hAnsi="Symbol" w:cs="Symbol"/>
          <w:szCs w:val="22"/>
          <w:lang w:val="en-GB"/>
        </w:rPr>
        <w:sym w:font="Symbol" w:char="F0B3"/>
      </w:r>
      <w:r w:rsidRPr="002A3533">
        <w:rPr>
          <w:lang w:val="en-GB"/>
        </w:rPr>
        <w:t xml:space="preserve"> 220 and </w:t>
      </w:r>
      <w:r w:rsidRPr="002A3533">
        <w:rPr>
          <w:rFonts w:ascii="Symbol" w:eastAsia="Symbol" w:hAnsi="Symbol" w:cs="Symbol"/>
          <w:szCs w:val="22"/>
          <w:lang w:val="en-GB"/>
        </w:rPr>
        <w:sym w:font="Symbol" w:char="F0A3"/>
      </w:r>
      <w:r w:rsidRPr="002A3533">
        <w:rPr>
          <w:lang w:val="en-GB"/>
        </w:rPr>
        <w:t xml:space="preserve"> 450) in randomised, double-blind, placebo-controlled studies. Concomitant stable doses of aminosalicylates, corticosteroids, and/or immunomodulatory agents were permitted and 80% of patients continued to receive at least one of these medications. </w:t>
      </w:r>
    </w:p>
    <w:p w14:paraId="72C575C1" w14:textId="77777777" w:rsidR="00AB3BE8" w:rsidRPr="002A3533" w:rsidRDefault="00AB3BE8" w:rsidP="00AB3BE8">
      <w:pPr>
        <w:pStyle w:val="EMEANormal"/>
        <w:rPr>
          <w:lang w:val="en-GB"/>
        </w:rPr>
      </w:pPr>
    </w:p>
    <w:p w14:paraId="1C434FF2" w14:textId="77777777" w:rsidR="00AB3BE8" w:rsidRPr="002A3533" w:rsidRDefault="00944B8F" w:rsidP="00AB3BE8">
      <w:pPr>
        <w:pStyle w:val="EMEANormal"/>
        <w:rPr>
          <w:lang w:val="en-GB"/>
        </w:rPr>
      </w:pPr>
      <w:r w:rsidRPr="002A3533">
        <w:rPr>
          <w:lang w:val="en-GB"/>
        </w:rPr>
        <w:t>Induction of clinical remission (defined as CDAI &lt; 150) was evaluated in two studies, CD Study I (CLASSIC I) and CD Study II (GAIN). In CD Study I, 299 TNF-antagonist naive patients were randomised to one of four treatment groups; placebo at Weeks 0 and 2, 160 mg Humira at Week 0 and 80 mg at Week 2, 80 mg at Week 0 and 40 mg at Week 2, and 40 mg at Week 0 and 20 mg at Week 2. In CD Study II, 325 patients who had lost response or were intolerant to infliximab were randomised to receive either 160 mg Humira at Week 0 and 80 mg at Week 2 or placebo at Weeks 0 and 2. The primary non-responders were excluded from the studies and therefore these patients were not further evaluated.</w:t>
      </w:r>
    </w:p>
    <w:p w14:paraId="5D5EC0DE" w14:textId="77777777" w:rsidR="00AB3BE8" w:rsidRPr="002A3533" w:rsidRDefault="00AB3BE8" w:rsidP="00AB3BE8">
      <w:pPr>
        <w:pStyle w:val="EMEANormal"/>
        <w:rPr>
          <w:lang w:val="en-GB"/>
        </w:rPr>
      </w:pPr>
    </w:p>
    <w:p w14:paraId="1719E934" w14:textId="77777777" w:rsidR="00AB3BE8" w:rsidRPr="002A3533" w:rsidRDefault="00944B8F" w:rsidP="00AB3BE8">
      <w:pPr>
        <w:pStyle w:val="EMEANormal"/>
        <w:rPr>
          <w:lang w:val="en-GB"/>
        </w:rPr>
      </w:pPr>
      <w:r w:rsidRPr="002A3533">
        <w:rPr>
          <w:lang w:val="en-GB"/>
        </w:rPr>
        <w:t xml:space="preserve">Maintenance of clinical remission was evaluated in CD study III (CHARM). In CD Study III, 854 patients received open-label 80 mg at Week 0 and 40 mg at Week 2. At Week 4 patients were randomised to 40 mg every other </w:t>
      </w:r>
      <w:r>
        <w:rPr>
          <w:lang w:val="en-GB"/>
        </w:rPr>
        <w:t>w</w:t>
      </w:r>
      <w:r w:rsidRPr="002A3533">
        <w:rPr>
          <w:lang w:val="en-GB"/>
        </w:rPr>
        <w:t xml:space="preserve">eek, 40 mg every </w:t>
      </w:r>
      <w:r>
        <w:rPr>
          <w:lang w:val="en-GB"/>
        </w:rPr>
        <w:t>w</w:t>
      </w:r>
      <w:r w:rsidRPr="002A3533">
        <w:rPr>
          <w:lang w:val="en-GB"/>
        </w:rPr>
        <w:t>eek, or placebo with a total study duration of 56 </w:t>
      </w:r>
      <w:r>
        <w:rPr>
          <w:lang w:val="en-GB"/>
        </w:rPr>
        <w:t>w</w:t>
      </w:r>
      <w:r w:rsidRPr="002A3533">
        <w:rPr>
          <w:lang w:val="en-GB"/>
        </w:rPr>
        <w:t>eeks. Patients in clinical response (decrease in CDAI</w:t>
      </w:r>
      <w:r w:rsidR="007A6826">
        <w:rPr>
          <w:lang w:val="en-GB"/>
        </w:rPr>
        <w:t> </w:t>
      </w:r>
      <w:r w:rsidRPr="002A3533">
        <w:rPr>
          <w:lang w:val="en-GB"/>
        </w:rPr>
        <w:t>≥</w:t>
      </w:r>
      <w:r w:rsidR="007A6826">
        <w:rPr>
          <w:lang w:val="en-GB"/>
        </w:rPr>
        <w:t> </w:t>
      </w:r>
      <w:r w:rsidRPr="002A3533">
        <w:rPr>
          <w:lang w:val="en-GB"/>
        </w:rPr>
        <w:t xml:space="preserve">70) at Week 4 were stratified and analysed separately from those not in clinical response at Week 4. Corticosteroid taper was permitted after Week 8. </w:t>
      </w:r>
    </w:p>
    <w:p w14:paraId="58144096" w14:textId="77777777" w:rsidR="00AB3BE8" w:rsidRPr="002A3533" w:rsidRDefault="00AB3BE8" w:rsidP="00AB3BE8">
      <w:pPr>
        <w:pStyle w:val="EMEANormal"/>
        <w:rPr>
          <w:lang w:val="en-GB"/>
        </w:rPr>
      </w:pPr>
    </w:p>
    <w:p w14:paraId="1BFEAC63" w14:textId="77777777" w:rsidR="00AB3BE8" w:rsidRPr="002A3533" w:rsidRDefault="00944B8F" w:rsidP="00AB3BE8">
      <w:pPr>
        <w:pStyle w:val="EMEANormal"/>
        <w:rPr>
          <w:lang w:val="en-GB"/>
        </w:rPr>
      </w:pPr>
      <w:r w:rsidRPr="002A3533">
        <w:rPr>
          <w:lang w:val="en-GB"/>
        </w:rPr>
        <w:t>CD study I and CD study II induction of remission and respons</w:t>
      </w:r>
      <w:r>
        <w:rPr>
          <w:lang w:val="en-GB"/>
        </w:rPr>
        <w:t xml:space="preserve">e rates are presented in Table </w:t>
      </w:r>
      <w:r w:rsidR="00D32B46">
        <w:rPr>
          <w:lang w:val="en-GB"/>
        </w:rPr>
        <w:t>14</w:t>
      </w:r>
      <w:r w:rsidRPr="002A3533">
        <w:rPr>
          <w:lang w:val="en-GB"/>
        </w:rPr>
        <w:t>.</w:t>
      </w:r>
    </w:p>
    <w:p w14:paraId="1428090A" w14:textId="77777777" w:rsidR="00AB3BE8" w:rsidRPr="002A3533" w:rsidRDefault="00AB3BE8" w:rsidP="00AB3BE8">
      <w:pPr>
        <w:pStyle w:val="EMEANormal"/>
        <w:rPr>
          <w:lang w:val="en-GB"/>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1"/>
        <w:gridCol w:w="1192"/>
        <w:gridCol w:w="1249"/>
        <w:gridCol w:w="1176"/>
        <w:gridCol w:w="1494"/>
        <w:gridCol w:w="1816"/>
      </w:tblGrid>
      <w:tr w:rsidR="00C6578C" w14:paraId="6BF998A9" w14:textId="77777777" w:rsidTr="00A6206B">
        <w:trPr>
          <w:cantSplit/>
        </w:trPr>
        <w:tc>
          <w:tcPr>
            <w:tcW w:w="9238" w:type="dxa"/>
            <w:gridSpan w:val="6"/>
            <w:tcBorders>
              <w:top w:val="nil"/>
              <w:left w:val="nil"/>
              <w:right w:val="nil"/>
            </w:tcBorders>
          </w:tcPr>
          <w:p w14:paraId="5EEF8B83" w14:textId="77777777" w:rsidR="00AB3BE8" w:rsidRPr="002A3533" w:rsidRDefault="00944B8F" w:rsidP="00A6206B">
            <w:pPr>
              <w:pStyle w:val="TableText"/>
              <w:keepNext w:val="0"/>
              <w:jc w:val="center"/>
              <w:rPr>
                <w:b/>
                <w:bCs/>
                <w:sz w:val="22"/>
                <w:lang w:val="en-GB"/>
              </w:rPr>
            </w:pPr>
            <w:r>
              <w:rPr>
                <w:b/>
                <w:bCs/>
                <w:sz w:val="22"/>
                <w:lang w:val="en-GB"/>
              </w:rPr>
              <w:t xml:space="preserve">Table </w:t>
            </w:r>
            <w:r w:rsidR="00D32B46">
              <w:rPr>
                <w:b/>
                <w:bCs/>
                <w:sz w:val="22"/>
                <w:lang w:val="en-GB"/>
              </w:rPr>
              <w:t>14</w:t>
            </w:r>
          </w:p>
          <w:p w14:paraId="26C81A5A" w14:textId="77777777" w:rsidR="00AB3BE8" w:rsidRPr="002A3533" w:rsidRDefault="00944B8F" w:rsidP="00A6206B">
            <w:pPr>
              <w:pStyle w:val="TableText"/>
              <w:keepNext w:val="0"/>
              <w:jc w:val="center"/>
              <w:rPr>
                <w:b/>
                <w:bCs/>
                <w:sz w:val="22"/>
                <w:lang w:val="en-GB"/>
              </w:rPr>
            </w:pPr>
            <w:r w:rsidRPr="002A3533">
              <w:rPr>
                <w:b/>
                <w:bCs/>
                <w:sz w:val="22"/>
                <w:lang w:val="en-GB"/>
              </w:rPr>
              <w:t>Induction of Clinical Remission and Response</w:t>
            </w:r>
          </w:p>
          <w:p w14:paraId="65A7A88A" w14:textId="77777777" w:rsidR="00AB3BE8" w:rsidRPr="002A3533" w:rsidRDefault="00944B8F" w:rsidP="00A6206B">
            <w:pPr>
              <w:pStyle w:val="TableText"/>
              <w:keepNext w:val="0"/>
              <w:jc w:val="center"/>
              <w:rPr>
                <w:b/>
                <w:bCs/>
                <w:sz w:val="22"/>
                <w:lang w:val="en-GB"/>
              </w:rPr>
            </w:pPr>
            <w:r w:rsidRPr="002A3533">
              <w:rPr>
                <w:b/>
                <w:bCs/>
                <w:sz w:val="22"/>
                <w:lang w:val="en-GB"/>
              </w:rPr>
              <w:t>(Percent of Patients)</w:t>
            </w:r>
          </w:p>
        </w:tc>
      </w:tr>
      <w:tr w:rsidR="00C6578C" w14:paraId="610E7291" w14:textId="77777777" w:rsidTr="00A6206B">
        <w:trPr>
          <w:cantSplit/>
        </w:trPr>
        <w:tc>
          <w:tcPr>
            <w:tcW w:w="2416" w:type="dxa"/>
          </w:tcPr>
          <w:p w14:paraId="61628620" w14:textId="77777777" w:rsidR="00AB3BE8" w:rsidRPr="002A3533" w:rsidRDefault="00AB3BE8" w:rsidP="00A6206B">
            <w:pPr>
              <w:pStyle w:val="TableText"/>
              <w:keepNext w:val="0"/>
              <w:rPr>
                <w:b/>
                <w:bCs/>
                <w:sz w:val="22"/>
                <w:lang w:val="en-GB"/>
              </w:rPr>
            </w:pPr>
          </w:p>
        </w:tc>
        <w:tc>
          <w:tcPr>
            <w:tcW w:w="3412" w:type="dxa"/>
            <w:gridSpan w:val="3"/>
          </w:tcPr>
          <w:p w14:paraId="1BC067D9" w14:textId="77777777" w:rsidR="00AB3BE8" w:rsidRPr="002A3533" w:rsidRDefault="00944B8F" w:rsidP="00A6206B">
            <w:pPr>
              <w:pStyle w:val="TableText"/>
              <w:keepNext w:val="0"/>
              <w:rPr>
                <w:b/>
                <w:bCs/>
                <w:sz w:val="22"/>
                <w:lang w:val="en-GB"/>
              </w:rPr>
            </w:pPr>
            <w:r w:rsidRPr="002A3533">
              <w:rPr>
                <w:b/>
                <w:bCs/>
                <w:sz w:val="22"/>
                <w:lang w:val="en-GB"/>
              </w:rPr>
              <w:t>CD</w:t>
            </w:r>
            <w:r>
              <w:rPr>
                <w:b/>
                <w:bCs/>
                <w:sz w:val="22"/>
                <w:lang w:val="en-GB"/>
              </w:rPr>
              <w:t xml:space="preserve"> </w:t>
            </w:r>
            <w:r w:rsidRPr="002A3533">
              <w:rPr>
                <w:b/>
                <w:bCs/>
                <w:sz w:val="22"/>
                <w:lang w:val="en-GB"/>
              </w:rPr>
              <w:t>Study I: Infliximab Naive Patients</w:t>
            </w:r>
          </w:p>
        </w:tc>
        <w:tc>
          <w:tcPr>
            <w:tcW w:w="3410" w:type="dxa"/>
            <w:gridSpan w:val="2"/>
          </w:tcPr>
          <w:p w14:paraId="3F5CAABA" w14:textId="77777777" w:rsidR="00AB3BE8" w:rsidRPr="002A3533" w:rsidRDefault="00944B8F" w:rsidP="00A6206B">
            <w:pPr>
              <w:pStyle w:val="TableText"/>
              <w:keepNext w:val="0"/>
              <w:rPr>
                <w:b/>
                <w:bCs/>
                <w:sz w:val="22"/>
                <w:lang w:val="en-GB"/>
              </w:rPr>
            </w:pPr>
            <w:r w:rsidRPr="002A3533">
              <w:rPr>
                <w:b/>
                <w:bCs/>
                <w:sz w:val="22"/>
                <w:lang w:val="en-GB"/>
              </w:rPr>
              <w:t>CD Study II: Infliximab Experienced Patients</w:t>
            </w:r>
          </w:p>
        </w:tc>
      </w:tr>
      <w:tr w:rsidR="00C6578C" w14:paraId="4E67FF32" w14:textId="77777777" w:rsidTr="00A6206B">
        <w:trPr>
          <w:cantSplit/>
        </w:trPr>
        <w:tc>
          <w:tcPr>
            <w:tcW w:w="2416" w:type="dxa"/>
          </w:tcPr>
          <w:p w14:paraId="024E0C15" w14:textId="77777777" w:rsidR="00AB3BE8" w:rsidRPr="002A3533" w:rsidRDefault="00AB3BE8" w:rsidP="00A6206B">
            <w:pPr>
              <w:pStyle w:val="TableText"/>
              <w:keepNext w:val="0"/>
              <w:jc w:val="center"/>
              <w:rPr>
                <w:b/>
                <w:bCs/>
                <w:sz w:val="22"/>
                <w:lang w:val="en-GB"/>
              </w:rPr>
            </w:pPr>
          </w:p>
        </w:tc>
        <w:tc>
          <w:tcPr>
            <w:tcW w:w="1212" w:type="dxa"/>
          </w:tcPr>
          <w:p w14:paraId="07322839" w14:textId="77777777" w:rsidR="00AB3BE8" w:rsidRPr="002A3533" w:rsidRDefault="00944B8F" w:rsidP="00A6206B">
            <w:pPr>
              <w:pStyle w:val="TableText"/>
              <w:keepNext w:val="0"/>
              <w:jc w:val="center"/>
              <w:rPr>
                <w:b/>
                <w:bCs/>
                <w:sz w:val="22"/>
                <w:lang w:val="fr-FR"/>
              </w:rPr>
            </w:pPr>
            <w:r w:rsidRPr="002A3533">
              <w:rPr>
                <w:b/>
                <w:bCs/>
                <w:sz w:val="22"/>
                <w:lang w:val="fr-FR"/>
              </w:rPr>
              <w:t>Placebo</w:t>
            </w:r>
          </w:p>
          <w:p w14:paraId="2A3DB4BA" w14:textId="77777777" w:rsidR="00AB3BE8" w:rsidRPr="002A3533" w:rsidRDefault="00944B8F" w:rsidP="00A6206B">
            <w:pPr>
              <w:pStyle w:val="TableText"/>
              <w:keepNext w:val="0"/>
              <w:jc w:val="center"/>
              <w:rPr>
                <w:b/>
                <w:bCs/>
                <w:sz w:val="22"/>
                <w:lang w:val="fr-FR"/>
              </w:rPr>
            </w:pPr>
            <w:r w:rsidRPr="002A3533">
              <w:rPr>
                <w:b/>
                <w:bCs/>
                <w:sz w:val="22"/>
                <w:lang w:val="fr-FR"/>
              </w:rPr>
              <w:t>N=74</w:t>
            </w:r>
          </w:p>
        </w:tc>
        <w:tc>
          <w:tcPr>
            <w:tcW w:w="1264" w:type="dxa"/>
          </w:tcPr>
          <w:p w14:paraId="1C4B1FE0" w14:textId="77777777" w:rsidR="00AB3BE8" w:rsidRPr="002A3533" w:rsidRDefault="00944B8F" w:rsidP="00A6206B">
            <w:pPr>
              <w:pStyle w:val="TableText"/>
              <w:keepNext w:val="0"/>
              <w:jc w:val="center"/>
              <w:rPr>
                <w:b/>
                <w:bCs/>
                <w:sz w:val="22"/>
                <w:lang w:val="fr-FR"/>
              </w:rPr>
            </w:pPr>
            <w:r w:rsidRPr="002A3533">
              <w:rPr>
                <w:b/>
                <w:bCs/>
                <w:sz w:val="22"/>
                <w:lang w:val="fr-FR"/>
              </w:rPr>
              <w:t>Humira</w:t>
            </w:r>
          </w:p>
          <w:p w14:paraId="09129694" w14:textId="77777777" w:rsidR="00AB3BE8" w:rsidRPr="002A3533" w:rsidRDefault="00944B8F" w:rsidP="00A6206B">
            <w:pPr>
              <w:pStyle w:val="TableText"/>
              <w:keepNext w:val="0"/>
              <w:jc w:val="center"/>
              <w:rPr>
                <w:b/>
                <w:bCs/>
                <w:sz w:val="22"/>
                <w:lang w:val="fr-FR"/>
              </w:rPr>
            </w:pPr>
            <w:r w:rsidRPr="002A3533">
              <w:rPr>
                <w:b/>
                <w:bCs/>
                <w:sz w:val="22"/>
                <w:lang w:val="fr-FR"/>
              </w:rPr>
              <w:t>80/40 mg</w:t>
            </w:r>
          </w:p>
          <w:p w14:paraId="29275E75" w14:textId="77777777" w:rsidR="00AB3BE8" w:rsidRPr="002A3533" w:rsidRDefault="00944B8F" w:rsidP="00A6206B">
            <w:pPr>
              <w:pStyle w:val="TableText"/>
              <w:keepNext w:val="0"/>
              <w:jc w:val="center"/>
              <w:rPr>
                <w:b/>
                <w:bCs/>
                <w:sz w:val="22"/>
                <w:lang w:val="fr-FR"/>
              </w:rPr>
            </w:pPr>
            <w:r w:rsidRPr="002A3533">
              <w:rPr>
                <w:b/>
                <w:bCs/>
                <w:sz w:val="22"/>
                <w:lang w:val="fr-FR"/>
              </w:rPr>
              <w:t>N = 75</w:t>
            </w:r>
          </w:p>
        </w:tc>
        <w:tc>
          <w:tcPr>
            <w:tcW w:w="936" w:type="dxa"/>
          </w:tcPr>
          <w:p w14:paraId="665F708D" w14:textId="77777777" w:rsidR="00AB3BE8" w:rsidRPr="002A3533" w:rsidRDefault="00944B8F" w:rsidP="00A6206B">
            <w:pPr>
              <w:pStyle w:val="TableText"/>
              <w:keepNext w:val="0"/>
              <w:jc w:val="center"/>
              <w:rPr>
                <w:b/>
                <w:bCs/>
                <w:sz w:val="22"/>
                <w:lang w:val="fr-FR"/>
              </w:rPr>
            </w:pPr>
            <w:r w:rsidRPr="002A3533">
              <w:rPr>
                <w:b/>
                <w:bCs/>
                <w:sz w:val="22"/>
                <w:lang w:val="fr-FR"/>
              </w:rPr>
              <w:t xml:space="preserve">Humira </w:t>
            </w:r>
          </w:p>
          <w:p w14:paraId="766DC2B3" w14:textId="77777777" w:rsidR="00AB3BE8" w:rsidRPr="002A3533" w:rsidRDefault="00944B8F" w:rsidP="00A6206B">
            <w:pPr>
              <w:pStyle w:val="TableText"/>
              <w:keepNext w:val="0"/>
              <w:jc w:val="center"/>
              <w:rPr>
                <w:b/>
                <w:bCs/>
                <w:sz w:val="22"/>
                <w:lang w:val="fr-FR"/>
              </w:rPr>
            </w:pPr>
            <w:r w:rsidRPr="002A3533">
              <w:rPr>
                <w:b/>
                <w:bCs/>
                <w:sz w:val="22"/>
                <w:lang w:val="fr-FR"/>
              </w:rPr>
              <w:t>160/80 mg N=76</w:t>
            </w:r>
          </w:p>
        </w:tc>
        <w:tc>
          <w:tcPr>
            <w:tcW w:w="1540" w:type="dxa"/>
          </w:tcPr>
          <w:p w14:paraId="6BD33DB8" w14:textId="77777777" w:rsidR="00AB3BE8" w:rsidRPr="002A3533" w:rsidRDefault="00944B8F" w:rsidP="00A6206B">
            <w:pPr>
              <w:pStyle w:val="TableText"/>
              <w:keepNext w:val="0"/>
              <w:jc w:val="center"/>
              <w:rPr>
                <w:b/>
                <w:bCs/>
                <w:sz w:val="22"/>
                <w:lang w:val="fr-FR"/>
              </w:rPr>
            </w:pPr>
            <w:r w:rsidRPr="002A3533">
              <w:rPr>
                <w:b/>
                <w:bCs/>
                <w:sz w:val="22"/>
                <w:lang w:val="fr-FR"/>
              </w:rPr>
              <w:t>Placebo</w:t>
            </w:r>
          </w:p>
          <w:p w14:paraId="21F39CE1" w14:textId="77777777" w:rsidR="00AB3BE8" w:rsidRPr="002A3533" w:rsidRDefault="00944B8F" w:rsidP="00A6206B">
            <w:pPr>
              <w:pStyle w:val="TableText"/>
              <w:keepNext w:val="0"/>
              <w:jc w:val="center"/>
              <w:rPr>
                <w:b/>
                <w:bCs/>
                <w:sz w:val="22"/>
                <w:lang w:val="fr-FR"/>
              </w:rPr>
            </w:pPr>
            <w:r w:rsidRPr="002A3533">
              <w:rPr>
                <w:b/>
                <w:bCs/>
                <w:sz w:val="22"/>
                <w:lang w:val="fr-FR"/>
              </w:rPr>
              <w:t>N=166</w:t>
            </w:r>
          </w:p>
        </w:tc>
        <w:tc>
          <w:tcPr>
            <w:tcW w:w="1870" w:type="dxa"/>
          </w:tcPr>
          <w:p w14:paraId="19D61FE9" w14:textId="77777777" w:rsidR="00AB3BE8" w:rsidRPr="002A3533" w:rsidRDefault="00944B8F" w:rsidP="00A6206B">
            <w:pPr>
              <w:pStyle w:val="TableText"/>
              <w:keepNext w:val="0"/>
              <w:jc w:val="center"/>
              <w:rPr>
                <w:b/>
                <w:bCs/>
                <w:sz w:val="22"/>
                <w:lang w:val="fr-FR"/>
              </w:rPr>
            </w:pPr>
            <w:r w:rsidRPr="002A3533">
              <w:rPr>
                <w:b/>
                <w:bCs/>
                <w:sz w:val="22"/>
                <w:lang w:val="fr-FR"/>
              </w:rPr>
              <w:t xml:space="preserve">Humira </w:t>
            </w:r>
          </w:p>
          <w:p w14:paraId="4692DBA7" w14:textId="77777777" w:rsidR="00AB3BE8" w:rsidRPr="002A3533" w:rsidRDefault="00944B8F" w:rsidP="00A6206B">
            <w:pPr>
              <w:pStyle w:val="TableText"/>
              <w:keepNext w:val="0"/>
              <w:jc w:val="center"/>
              <w:rPr>
                <w:b/>
                <w:bCs/>
                <w:sz w:val="22"/>
                <w:lang w:val="fr-FR"/>
              </w:rPr>
            </w:pPr>
            <w:r w:rsidRPr="002A3533">
              <w:rPr>
                <w:b/>
                <w:bCs/>
                <w:sz w:val="22"/>
                <w:lang w:val="fr-FR"/>
              </w:rPr>
              <w:t>160/80 mg</w:t>
            </w:r>
          </w:p>
          <w:p w14:paraId="0B015D61" w14:textId="77777777" w:rsidR="00AB3BE8" w:rsidRPr="002A3533" w:rsidRDefault="00944B8F" w:rsidP="00A6206B">
            <w:pPr>
              <w:pStyle w:val="TableText"/>
              <w:keepNext w:val="0"/>
              <w:jc w:val="center"/>
              <w:rPr>
                <w:b/>
                <w:bCs/>
                <w:sz w:val="22"/>
                <w:lang w:val="en-GB"/>
              </w:rPr>
            </w:pPr>
            <w:r w:rsidRPr="002A3533">
              <w:rPr>
                <w:b/>
                <w:bCs/>
                <w:sz w:val="22"/>
                <w:lang w:val="en-GB"/>
              </w:rPr>
              <w:t>N=159</w:t>
            </w:r>
          </w:p>
        </w:tc>
      </w:tr>
      <w:tr w:rsidR="00C6578C" w14:paraId="0A6B39FB" w14:textId="77777777" w:rsidTr="00A6206B">
        <w:trPr>
          <w:cantSplit/>
        </w:trPr>
        <w:tc>
          <w:tcPr>
            <w:tcW w:w="2416" w:type="dxa"/>
            <w:vAlign w:val="bottom"/>
          </w:tcPr>
          <w:p w14:paraId="06B5FA68" w14:textId="77777777" w:rsidR="00AB3BE8" w:rsidRPr="002A3533" w:rsidRDefault="00944B8F" w:rsidP="00A6206B">
            <w:pPr>
              <w:pStyle w:val="TableText"/>
              <w:keepNext w:val="0"/>
              <w:rPr>
                <w:sz w:val="22"/>
                <w:lang w:val="en-GB"/>
              </w:rPr>
            </w:pPr>
            <w:r w:rsidRPr="002A3533">
              <w:rPr>
                <w:sz w:val="22"/>
                <w:lang w:val="en-GB"/>
              </w:rPr>
              <w:t>Week 4</w:t>
            </w:r>
          </w:p>
        </w:tc>
        <w:tc>
          <w:tcPr>
            <w:tcW w:w="1212" w:type="dxa"/>
            <w:vAlign w:val="bottom"/>
          </w:tcPr>
          <w:p w14:paraId="0E542813" w14:textId="77777777" w:rsidR="00AB3BE8" w:rsidRPr="002A3533" w:rsidRDefault="00AB3BE8" w:rsidP="00A6206B">
            <w:pPr>
              <w:pStyle w:val="TableText"/>
              <w:keepNext w:val="0"/>
              <w:rPr>
                <w:sz w:val="22"/>
                <w:lang w:val="en-GB"/>
              </w:rPr>
            </w:pPr>
          </w:p>
        </w:tc>
        <w:tc>
          <w:tcPr>
            <w:tcW w:w="1264" w:type="dxa"/>
            <w:vAlign w:val="bottom"/>
          </w:tcPr>
          <w:p w14:paraId="4D920E88" w14:textId="77777777" w:rsidR="00AB3BE8" w:rsidRPr="002A3533" w:rsidRDefault="00AB3BE8" w:rsidP="00A6206B">
            <w:pPr>
              <w:pStyle w:val="TableText"/>
              <w:keepNext w:val="0"/>
              <w:rPr>
                <w:sz w:val="22"/>
                <w:lang w:val="en-GB"/>
              </w:rPr>
            </w:pPr>
          </w:p>
        </w:tc>
        <w:tc>
          <w:tcPr>
            <w:tcW w:w="936" w:type="dxa"/>
            <w:vAlign w:val="bottom"/>
          </w:tcPr>
          <w:p w14:paraId="774468FF" w14:textId="77777777" w:rsidR="00AB3BE8" w:rsidRPr="002A3533" w:rsidRDefault="00AB3BE8" w:rsidP="00A6206B">
            <w:pPr>
              <w:pStyle w:val="TableText"/>
              <w:keepNext w:val="0"/>
              <w:rPr>
                <w:sz w:val="22"/>
                <w:lang w:val="en-GB"/>
              </w:rPr>
            </w:pPr>
          </w:p>
        </w:tc>
        <w:tc>
          <w:tcPr>
            <w:tcW w:w="1540" w:type="dxa"/>
            <w:vAlign w:val="bottom"/>
          </w:tcPr>
          <w:p w14:paraId="167CE691" w14:textId="77777777" w:rsidR="00AB3BE8" w:rsidRPr="002A3533" w:rsidRDefault="00AB3BE8" w:rsidP="00A6206B">
            <w:pPr>
              <w:pStyle w:val="TableText"/>
              <w:keepNext w:val="0"/>
              <w:rPr>
                <w:sz w:val="22"/>
                <w:lang w:val="en-GB"/>
              </w:rPr>
            </w:pPr>
          </w:p>
        </w:tc>
        <w:tc>
          <w:tcPr>
            <w:tcW w:w="1870" w:type="dxa"/>
            <w:vAlign w:val="bottom"/>
          </w:tcPr>
          <w:p w14:paraId="50A5F9C1" w14:textId="77777777" w:rsidR="00AB3BE8" w:rsidRPr="002A3533" w:rsidRDefault="00AB3BE8" w:rsidP="00A6206B">
            <w:pPr>
              <w:pStyle w:val="TableText"/>
              <w:keepNext w:val="0"/>
              <w:rPr>
                <w:sz w:val="22"/>
                <w:lang w:val="en-GB"/>
              </w:rPr>
            </w:pPr>
          </w:p>
        </w:tc>
      </w:tr>
      <w:tr w:rsidR="00C6578C" w14:paraId="0A21876D" w14:textId="77777777" w:rsidTr="00A6206B">
        <w:trPr>
          <w:cantSplit/>
        </w:trPr>
        <w:tc>
          <w:tcPr>
            <w:tcW w:w="2416" w:type="dxa"/>
            <w:vAlign w:val="bottom"/>
          </w:tcPr>
          <w:p w14:paraId="4E9C15FE" w14:textId="77777777" w:rsidR="00AB3BE8" w:rsidRPr="002A3533" w:rsidRDefault="00944B8F" w:rsidP="00A6206B">
            <w:pPr>
              <w:pStyle w:val="TableText"/>
              <w:keepNext w:val="0"/>
              <w:rPr>
                <w:sz w:val="22"/>
                <w:lang w:val="en-GB"/>
              </w:rPr>
            </w:pPr>
            <w:r w:rsidRPr="002A3533">
              <w:rPr>
                <w:sz w:val="22"/>
                <w:lang w:val="en-GB"/>
              </w:rPr>
              <w:t>Clinical remission</w:t>
            </w:r>
          </w:p>
        </w:tc>
        <w:tc>
          <w:tcPr>
            <w:tcW w:w="1212" w:type="dxa"/>
            <w:vAlign w:val="bottom"/>
          </w:tcPr>
          <w:p w14:paraId="550499DF" w14:textId="77777777" w:rsidR="00AB3BE8" w:rsidRPr="002A3533" w:rsidRDefault="00944B8F" w:rsidP="00A6206B">
            <w:pPr>
              <w:pStyle w:val="TableText"/>
              <w:keepNext w:val="0"/>
              <w:jc w:val="center"/>
              <w:rPr>
                <w:sz w:val="22"/>
                <w:lang w:val="en-GB"/>
              </w:rPr>
            </w:pPr>
            <w:r w:rsidRPr="002A3533">
              <w:rPr>
                <w:sz w:val="22"/>
                <w:lang w:val="en-GB"/>
              </w:rPr>
              <w:t>12%</w:t>
            </w:r>
          </w:p>
        </w:tc>
        <w:tc>
          <w:tcPr>
            <w:tcW w:w="1264" w:type="dxa"/>
            <w:vAlign w:val="bottom"/>
          </w:tcPr>
          <w:p w14:paraId="2C8FEFBB" w14:textId="77777777" w:rsidR="00AB3BE8" w:rsidRPr="002A3533" w:rsidRDefault="00944B8F" w:rsidP="00A6206B">
            <w:pPr>
              <w:pStyle w:val="TableText"/>
              <w:keepNext w:val="0"/>
              <w:jc w:val="center"/>
              <w:rPr>
                <w:bCs/>
                <w:iCs/>
                <w:sz w:val="22"/>
                <w:lang w:val="en-GB"/>
              </w:rPr>
            </w:pPr>
            <w:r w:rsidRPr="002A3533">
              <w:rPr>
                <w:bCs/>
                <w:iCs/>
                <w:sz w:val="22"/>
                <w:lang w:val="en-GB"/>
              </w:rPr>
              <w:t>24%</w:t>
            </w:r>
          </w:p>
        </w:tc>
        <w:tc>
          <w:tcPr>
            <w:tcW w:w="936" w:type="dxa"/>
            <w:vAlign w:val="bottom"/>
          </w:tcPr>
          <w:p w14:paraId="28ECAC1B" w14:textId="77777777" w:rsidR="00AB3BE8" w:rsidRPr="002A3533" w:rsidRDefault="00944B8F" w:rsidP="00A6206B">
            <w:pPr>
              <w:pStyle w:val="TableText"/>
              <w:keepNext w:val="0"/>
              <w:jc w:val="center"/>
              <w:rPr>
                <w:bCs/>
                <w:iCs/>
                <w:sz w:val="22"/>
                <w:lang w:val="en-GB"/>
              </w:rPr>
            </w:pPr>
            <w:r w:rsidRPr="002A3533">
              <w:rPr>
                <w:sz w:val="22"/>
                <w:lang w:val="en-GB"/>
              </w:rPr>
              <w:t>36%</w:t>
            </w:r>
            <w:r w:rsidRPr="002A3533">
              <w:rPr>
                <w:sz w:val="22"/>
                <w:vertAlign w:val="superscript"/>
                <w:lang w:val="en-GB"/>
              </w:rPr>
              <w:t>*</w:t>
            </w:r>
          </w:p>
        </w:tc>
        <w:tc>
          <w:tcPr>
            <w:tcW w:w="1540" w:type="dxa"/>
            <w:vAlign w:val="bottom"/>
          </w:tcPr>
          <w:p w14:paraId="1A93531D" w14:textId="77777777" w:rsidR="00AB3BE8" w:rsidRPr="002A3533" w:rsidRDefault="00944B8F" w:rsidP="00A6206B">
            <w:pPr>
              <w:pStyle w:val="TableText"/>
              <w:keepNext w:val="0"/>
              <w:jc w:val="center"/>
              <w:rPr>
                <w:sz w:val="22"/>
                <w:lang w:val="en-GB"/>
              </w:rPr>
            </w:pPr>
            <w:r w:rsidRPr="002A3533">
              <w:rPr>
                <w:sz w:val="22"/>
                <w:lang w:val="en-GB"/>
              </w:rPr>
              <w:t>7%</w:t>
            </w:r>
          </w:p>
        </w:tc>
        <w:tc>
          <w:tcPr>
            <w:tcW w:w="1870" w:type="dxa"/>
            <w:vAlign w:val="bottom"/>
          </w:tcPr>
          <w:p w14:paraId="20E84811" w14:textId="77777777" w:rsidR="00AB3BE8" w:rsidRPr="002A3533" w:rsidRDefault="00944B8F" w:rsidP="00A6206B">
            <w:pPr>
              <w:pStyle w:val="TableText"/>
              <w:keepNext w:val="0"/>
              <w:jc w:val="center"/>
              <w:rPr>
                <w:sz w:val="22"/>
                <w:lang w:val="en-GB"/>
              </w:rPr>
            </w:pPr>
            <w:r w:rsidRPr="002A3533">
              <w:rPr>
                <w:sz w:val="22"/>
                <w:lang w:val="en-GB"/>
              </w:rPr>
              <w:t>21%</w:t>
            </w:r>
            <w:r w:rsidRPr="002A3533">
              <w:rPr>
                <w:sz w:val="22"/>
                <w:vertAlign w:val="superscript"/>
                <w:lang w:val="en-GB"/>
              </w:rPr>
              <w:t>*</w:t>
            </w:r>
          </w:p>
        </w:tc>
      </w:tr>
      <w:tr w:rsidR="00C6578C" w14:paraId="62209E80" w14:textId="77777777" w:rsidTr="00A6206B">
        <w:trPr>
          <w:cantSplit/>
        </w:trPr>
        <w:tc>
          <w:tcPr>
            <w:tcW w:w="2416" w:type="dxa"/>
          </w:tcPr>
          <w:p w14:paraId="43550C81" w14:textId="77777777" w:rsidR="00AB3BE8" w:rsidRPr="002A3533" w:rsidRDefault="00944B8F" w:rsidP="00A6206B">
            <w:pPr>
              <w:pStyle w:val="TableText"/>
              <w:keepNext w:val="0"/>
              <w:rPr>
                <w:sz w:val="22"/>
                <w:lang w:val="en-GB"/>
              </w:rPr>
            </w:pPr>
            <w:r w:rsidRPr="002A3533">
              <w:rPr>
                <w:sz w:val="22"/>
                <w:lang w:val="en-GB"/>
              </w:rPr>
              <w:t>Clinical response (CR-100)</w:t>
            </w:r>
          </w:p>
        </w:tc>
        <w:tc>
          <w:tcPr>
            <w:tcW w:w="1212" w:type="dxa"/>
          </w:tcPr>
          <w:p w14:paraId="30CD9BA3" w14:textId="77777777" w:rsidR="00AB3BE8" w:rsidRPr="002A3533" w:rsidRDefault="00944B8F" w:rsidP="00A6206B">
            <w:pPr>
              <w:pStyle w:val="TableText"/>
              <w:keepNext w:val="0"/>
              <w:jc w:val="center"/>
              <w:rPr>
                <w:sz w:val="22"/>
                <w:lang w:val="en-GB"/>
              </w:rPr>
            </w:pPr>
            <w:r w:rsidRPr="002A3533">
              <w:rPr>
                <w:sz w:val="22"/>
                <w:lang w:val="en-GB"/>
              </w:rPr>
              <w:t>24%</w:t>
            </w:r>
          </w:p>
        </w:tc>
        <w:tc>
          <w:tcPr>
            <w:tcW w:w="1264" w:type="dxa"/>
          </w:tcPr>
          <w:p w14:paraId="5AD88FD5" w14:textId="77777777" w:rsidR="00AB3BE8" w:rsidRPr="002A3533" w:rsidRDefault="00944B8F" w:rsidP="00A6206B">
            <w:pPr>
              <w:pStyle w:val="TableText"/>
              <w:keepNext w:val="0"/>
              <w:jc w:val="center"/>
              <w:rPr>
                <w:sz w:val="22"/>
                <w:lang w:val="en-GB"/>
              </w:rPr>
            </w:pPr>
            <w:r w:rsidRPr="002A3533">
              <w:rPr>
                <w:sz w:val="22"/>
                <w:lang w:val="en-GB"/>
              </w:rPr>
              <w:t>37%</w:t>
            </w:r>
          </w:p>
        </w:tc>
        <w:tc>
          <w:tcPr>
            <w:tcW w:w="936" w:type="dxa"/>
          </w:tcPr>
          <w:p w14:paraId="4112D37E" w14:textId="77777777" w:rsidR="00AB3BE8" w:rsidRPr="002A3533" w:rsidRDefault="00944B8F" w:rsidP="00A6206B">
            <w:pPr>
              <w:pStyle w:val="TableText"/>
              <w:keepNext w:val="0"/>
              <w:jc w:val="center"/>
              <w:rPr>
                <w:sz w:val="22"/>
                <w:lang w:val="en-GB"/>
              </w:rPr>
            </w:pPr>
            <w:r w:rsidRPr="002A3533">
              <w:rPr>
                <w:sz w:val="22"/>
                <w:lang w:val="en-GB"/>
              </w:rPr>
              <w:t>49%</w:t>
            </w:r>
            <w:r w:rsidRPr="002A3533">
              <w:rPr>
                <w:sz w:val="22"/>
                <w:vertAlign w:val="superscript"/>
                <w:lang w:val="en-GB"/>
              </w:rPr>
              <w:t>**</w:t>
            </w:r>
          </w:p>
        </w:tc>
        <w:tc>
          <w:tcPr>
            <w:tcW w:w="1540" w:type="dxa"/>
          </w:tcPr>
          <w:p w14:paraId="0A485EF2" w14:textId="77777777" w:rsidR="00AB3BE8" w:rsidRPr="002A3533" w:rsidRDefault="00944B8F" w:rsidP="00A6206B">
            <w:pPr>
              <w:pStyle w:val="TableText"/>
              <w:keepNext w:val="0"/>
              <w:jc w:val="center"/>
              <w:rPr>
                <w:sz w:val="22"/>
                <w:lang w:val="en-GB"/>
              </w:rPr>
            </w:pPr>
            <w:r w:rsidRPr="002A3533">
              <w:rPr>
                <w:sz w:val="22"/>
                <w:lang w:val="en-GB"/>
              </w:rPr>
              <w:t>25%</w:t>
            </w:r>
          </w:p>
        </w:tc>
        <w:tc>
          <w:tcPr>
            <w:tcW w:w="1870" w:type="dxa"/>
          </w:tcPr>
          <w:p w14:paraId="156F190C" w14:textId="77777777" w:rsidR="00AB3BE8" w:rsidRPr="002A3533" w:rsidRDefault="00944B8F" w:rsidP="00A6206B">
            <w:pPr>
              <w:pStyle w:val="TableText"/>
              <w:keepNext w:val="0"/>
              <w:jc w:val="center"/>
              <w:rPr>
                <w:sz w:val="22"/>
                <w:lang w:val="en-GB"/>
              </w:rPr>
            </w:pPr>
            <w:r w:rsidRPr="002A3533">
              <w:rPr>
                <w:sz w:val="22"/>
                <w:lang w:val="en-GB"/>
              </w:rPr>
              <w:t>38%</w:t>
            </w:r>
            <w:r w:rsidRPr="002A3533">
              <w:rPr>
                <w:sz w:val="22"/>
                <w:vertAlign w:val="superscript"/>
                <w:lang w:val="en-GB"/>
              </w:rPr>
              <w:t>**</w:t>
            </w:r>
          </w:p>
        </w:tc>
      </w:tr>
      <w:tr w:rsidR="00C6578C" w14:paraId="459C7202" w14:textId="77777777" w:rsidTr="00A6206B">
        <w:trPr>
          <w:cantSplit/>
        </w:trPr>
        <w:tc>
          <w:tcPr>
            <w:tcW w:w="9238" w:type="dxa"/>
            <w:gridSpan w:val="6"/>
            <w:tcBorders>
              <w:left w:val="nil"/>
              <w:bottom w:val="nil"/>
              <w:right w:val="nil"/>
            </w:tcBorders>
          </w:tcPr>
          <w:p w14:paraId="186D76BC" w14:textId="77777777" w:rsidR="00AB3BE8" w:rsidRPr="002A3533" w:rsidRDefault="00944B8F" w:rsidP="00A6206B">
            <w:pPr>
              <w:pStyle w:val="TableText"/>
              <w:keepNext w:val="0"/>
              <w:rPr>
                <w:sz w:val="22"/>
                <w:lang w:val="en-GB"/>
              </w:rPr>
            </w:pPr>
            <w:r w:rsidRPr="002A3533">
              <w:rPr>
                <w:sz w:val="22"/>
                <w:lang w:val="en-GB"/>
              </w:rPr>
              <w:t xml:space="preserve">All p-values are pairwise comparisons of proportions for Humira </w:t>
            </w:r>
            <w:r w:rsidRPr="002A3533">
              <w:rPr>
                <w:i/>
                <w:iCs/>
                <w:sz w:val="22"/>
                <w:lang w:val="en-GB"/>
              </w:rPr>
              <w:t>versus</w:t>
            </w:r>
            <w:r w:rsidRPr="002A3533">
              <w:rPr>
                <w:sz w:val="22"/>
                <w:lang w:val="en-GB"/>
              </w:rPr>
              <w:t xml:space="preserve"> placebo</w:t>
            </w:r>
          </w:p>
          <w:p w14:paraId="3A70C2CB" w14:textId="77777777" w:rsidR="00AB3BE8" w:rsidRPr="002A3533" w:rsidRDefault="00944B8F" w:rsidP="00A6206B">
            <w:pPr>
              <w:pStyle w:val="TableText"/>
              <w:keepNext w:val="0"/>
              <w:rPr>
                <w:sz w:val="22"/>
                <w:lang w:val="en-GB"/>
              </w:rPr>
            </w:pPr>
            <w:r w:rsidRPr="002A3533">
              <w:rPr>
                <w:sz w:val="22"/>
                <w:vertAlign w:val="superscript"/>
                <w:lang w:val="en-GB"/>
              </w:rPr>
              <w:t>*</w:t>
            </w:r>
            <w:r w:rsidRPr="002A3533">
              <w:rPr>
                <w:sz w:val="22"/>
                <w:lang w:val="en-GB"/>
              </w:rPr>
              <w:tab/>
              <w:t>p &lt; 0.001</w:t>
            </w:r>
          </w:p>
          <w:p w14:paraId="12EDBDF1" w14:textId="77777777" w:rsidR="00AB3BE8" w:rsidRPr="002A3533" w:rsidRDefault="00944B8F" w:rsidP="00A6206B">
            <w:pPr>
              <w:pStyle w:val="TableText"/>
              <w:keepNext w:val="0"/>
              <w:rPr>
                <w:sz w:val="22"/>
                <w:lang w:val="en-GB"/>
              </w:rPr>
            </w:pPr>
            <w:r w:rsidRPr="002A3533">
              <w:rPr>
                <w:sz w:val="22"/>
                <w:vertAlign w:val="superscript"/>
                <w:lang w:val="en-GB"/>
              </w:rPr>
              <w:t>**</w:t>
            </w:r>
            <w:r w:rsidRPr="002A3533">
              <w:rPr>
                <w:sz w:val="22"/>
                <w:lang w:val="en-GB"/>
              </w:rPr>
              <w:tab/>
              <w:t>p &lt; 0.01</w:t>
            </w:r>
          </w:p>
        </w:tc>
      </w:tr>
    </w:tbl>
    <w:p w14:paraId="1DCE9E0E" w14:textId="77777777" w:rsidR="00AB3BE8" w:rsidRPr="002A3533" w:rsidRDefault="00AB3BE8" w:rsidP="00AB3BE8">
      <w:pPr>
        <w:pStyle w:val="EMEANormal"/>
        <w:rPr>
          <w:lang w:val="en-GB"/>
        </w:rPr>
      </w:pPr>
    </w:p>
    <w:p w14:paraId="1A924512" w14:textId="77777777" w:rsidR="00AB3BE8" w:rsidRPr="002A3533" w:rsidRDefault="00944B8F" w:rsidP="00AB3BE8">
      <w:pPr>
        <w:pStyle w:val="EMEANormal"/>
        <w:rPr>
          <w:lang w:val="en-GB"/>
        </w:rPr>
      </w:pPr>
      <w:r w:rsidRPr="002A3533">
        <w:rPr>
          <w:lang w:val="en-GB"/>
        </w:rPr>
        <w:t>Similar remission rates were observed for the 160/80 mg and 80/40 mg induction regimens by Week 8 and adverse events were more frequently noted in the 160/80 mg group.</w:t>
      </w:r>
    </w:p>
    <w:p w14:paraId="7870900A" w14:textId="77777777" w:rsidR="00AB3BE8" w:rsidRPr="002A3533" w:rsidRDefault="00AB3BE8" w:rsidP="00AB3BE8">
      <w:pPr>
        <w:pStyle w:val="EMEANormal"/>
        <w:rPr>
          <w:lang w:val="en-GB"/>
        </w:rPr>
      </w:pPr>
    </w:p>
    <w:p w14:paraId="1152BAEF" w14:textId="77777777" w:rsidR="00AB3BE8" w:rsidRPr="002A3533" w:rsidRDefault="00944B8F" w:rsidP="00AB3BE8">
      <w:pPr>
        <w:pStyle w:val="EMEANormal"/>
        <w:rPr>
          <w:bCs/>
          <w:lang w:val="en-GB"/>
        </w:rPr>
      </w:pPr>
      <w:r w:rsidRPr="002A3533">
        <w:rPr>
          <w:lang w:val="en-GB"/>
        </w:rPr>
        <w:t>In CD Study III, at Week 4, 58% (499/854) of patients were in clinical response and were assessed in the primary analysis. Of those in clinical response at Week 4, 48% had been previously exposed to other TNF-antagonists. Maintenance of remission and respons</w:t>
      </w:r>
      <w:r>
        <w:rPr>
          <w:lang w:val="en-GB"/>
        </w:rPr>
        <w:t xml:space="preserve">e rates are presented in Table </w:t>
      </w:r>
      <w:r w:rsidR="00D32B46">
        <w:rPr>
          <w:lang w:val="en-GB"/>
        </w:rPr>
        <w:t>15</w:t>
      </w:r>
      <w:r w:rsidRPr="002A3533">
        <w:rPr>
          <w:lang w:val="en-GB"/>
        </w:rPr>
        <w:t xml:space="preserve">. </w:t>
      </w:r>
      <w:r w:rsidRPr="002A3533">
        <w:rPr>
          <w:bCs/>
          <w:lang w:val="en-GB"/>
        </w:rPr>
        <w:t>Clinical remission results remained relatively constant irrespective of previous TNF-antagonist exposure.</w:t>
      </w:r>
    </w:p>
    <w:p w14:paraId="2DDA1A7F" w14:textId="77777777" w:rsidR="00AB3BE8" w:rsidRPr="002A3533" w:rsidRDefault="00AB3BE8" w:rsidP="00AB3BE8">
      <w:pPr>
        <w:pStyle w:val="EMEANormal"/>
        <w:rPr>
          <w:bCs/>
          <w:lang w:val="en-GB"/>
        </w:rPr>
      </w:pPr>
    </w:p>
    <w:p w14:paraId="23375268" w14:textId="77777777" w:rsidR="00AB3BE8" w:rsidRPr="002A3533" w:rsidRDefault="00944B8F" w:rsidP="00AB3BE8">
      <w:pPr>
        <w:pStyle w:val="EMEANormal"/>
        <w:rPr>
          <w:bCs/>
          <w:lang w:val="en-GB"/>
        </w:rPr>
      </w:pPr>
      <w:r w:rsidRPr="002A3533">
        <w:rPr>
          <w:bCs/>
          <w:lang w:val="en-GB"/>
        </w:rPr>
        <w:lastRenderedPageBreak/>
        <w:t>Disease-related hospitalisations and surgeries were statistically significantly reduced with adalimumab compared with placebo at Week 56.</w:t>
      </w:r>
    </w:p>
    <w:p w14:paraId="1C611236" w14:textId="77777777" w:rsidR="00AB3BE8" w:rsidRPr="002A3533" w:rsidRDefault="00AB3BE8" w:rsidP="00AB3BE8">
      <w:pPr>
        <w:pStyle w:val="EMEANormal"/>
        <w:keepNext/>
        <w:rPr>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1"/>
        <w:gridCol w:w="1751"/>
        <w:gridCol w:w="1928"/>
        <w:gridCol w:w="1700"/>
      </w:tblGrid>
      <w:tr w:rsidR="00C6578C" w14:paraId="36C8CE6A" w14:textId="77777777" w:rsidTr="00A6206B">
        <w:trPr>
          <w:cantSplit/>
        </w:trPr>
        <w:tc>
          <w:tcPr>
            <w:tcW w:w="9020" w:type="dxa"/>
            <w:gridSpan w:val="4"/>
            <w:tcBorders>
              <w:top w:val="nil"/>
              <w:left w:val="nil"/>
              <w:bottom w:val="single" w:sz="4" w:space="0" w:color="auto"/>
              <w:right w:val="nil"/>
            </w:tcBorders>
          </w:tcPr>
          <w:p w14:paraId="53045E75" w14:textId="77777777" w:rsidR="00AB3BE8" w:rsidRPr="002A3533" w:rsidRDefault="00944B8F" w:rsidP="00A6206B">
            <w:pPr>
              <w:pStyle w:val="TableText"/>
              <w:jc w:val="center"/>
              <w:rPr>
                <w:b/>
                <w:bCs/>
                <w:sz w:val="22"/>
                <w:lang w:val="en-GB"/>
              </w:rPr>
            </w:pPr>
            <w:r w:rsidRPr="002A3533">
              <w:rPr>
                <w:b/>
                <w:bCs/>
                <w:sz w:val="22"/>
                <w:lang w:val="en-GB"/>
              </w:rPr>
              <w:t xml:space="preserve">Table </w:t>
            </w:r>
            <w:r w:rsidR="00D32B46">
              <w:rPr>
                <w:b/>
                <w:bCs/>
                <w:sz w:val="22"/>
                <w:lang w:val="en-GB"/>
              </w:rPr>
              <w:t>15</w:t>
            </w:r>
          </w:p>
          <w:p w14:paraId="69A89B39" w14:textId="77777777" w:rsidR="00AB3BE8" w:rsidRPr="002A3533" w:rsidRDefault="00944B8F" w:rsidP="00A6206B">
            <w:pPr>
              <w:pStyle w:val="TableText"/>
              <w:jc w:val="center"/>
              <w:rPr>
                <w:b/>
                <w:bCs/>
                <w:sz w:val="22"/>
                <w:lang w:val="en-GB"/>
              </w:rPr>
            </w:pPr>
            <w:r w:rsidRPr="002A3533">
              <w:rPr>
                <w:b/>
                <w:bCs/>
                <w:sz w:val="22"/>
                <w:lang w:val="en-GB"/>
              </w:rPr>
              <w:t>Maintenance of Clinical Remission and Response</w:t>
            </w:r>
          </w:p>
          <w:p w14:paraId="0457C90E" w14:textId="77777777" w:rsidR="00AB3BE8" w:rsidRPr="002A3533" w:rsidRDefault="00944B8F" w:rsidP="00A6206B">
            <w:pPr>
              <w:pStyle w:val="TableText"/>
              <w:jc w:val="center"/>
              <w:rPr>
                <w:b/>
                <w:bCs/>
                <w:sz w:val="22"/>
                <w:lang w:val="en-GB"/>
              </w:rPr>
            </w:pPr>
            <w:r w:rsidRPr="002A3533">
              <w:rPr>
                <w:b/>
                <w:bCs/>
                <w:sz w:val="22"/>
                <w:lang w:val="en-GB"/>
              </w:rPr>
              <w:t>(Percent of Patients)</w:t>
            </w:r>
          </w:p>
        </w:tc>
      </w:tr>
      <w:tr w:rsidR="00C6578C" w14:paraId="2E44BD3F" w14:textId="77777777" w:rsidTr="00A6206B">
        <w:tc>
          <w:tcPr>
            <w:tcW w:w="3641" w:type="dxa"/>
          </w:tcPr>
          <w:p w14:paraId="50A3986A" w14:textId="77777777" w:rsidR="00AB3BE8" w:rsidRPr="002A3533" w:rsidRDefault="00AB3BE8" w:rsidP="00A6206B">
            <w:pPr>
              <w:pStyle w:val="TableText"/>
              <w:rPr>
                <w:b/>
                <w:bCs/>
                <w:sz w:val="22"/>
                <w:lang w:val="en-GB"/>
              </w:rPr>
            </w:pPr>
          </w:p>
        </w:tc>
        <w:tc>
          <w:tcPr>
            <w:tcW w:w="1751" w:type="dxa"/>
          </w:tcPr>
          <w:p w14:paraId="2F1B0788" w14:textId="77777777" w:rsidR="00AB3BE8" w:rsidRPr="002A3533" w:rsidRDefault="00944B8F" w:rsidP="00A6206B">
            <w:pPr>
              <w:pStyle w:val="TableText"/>
              <w:jc w:val="center"/>
              <w:rPr>
                <w:b/>
                <w:bCs/>
                <w:sz w:val="22"/>
                <w:lang w:val="en-GB"/>
              </w:rPr>
            </w:pPr>
            <w:r w:rsidRPr="002A3533">
              <w:rPr>
                <w:b/>
                <w:bCs/>
                <w:sz w:val="22"/>
                <w:lang w:val="en-GB"/>
              </w:rPr>
              <w:t>Placebo</w:t>
            </w:r>
          </w:p>
        </w:tc>
        <w:tc>
          <w:tcPr>
            <w:tcW w:w="1928" w:type="dxa"/>
          </w:tcPr>
          <w:p w14:paraId="3AFCAAE6" w14:textId="77777777" w:rsidR="00AB3BE8" w:rsidRPr="002A3533" w:rsidRDefault="00944B8F" w:rsidP="00A6206B">
            <w:pPr>
              <w:pStyle w:val="TableText"/>
              <w:jc w:val="center"/>
              <w:rPr>
                <w:b/>
                <w:bCs/>
                <w:sz w:val="22"/>
                <w:lang w:val="en-GB"/>
              </w:rPr>
            </w:pPr>
            <w:r w:rsidRPr="002A3533">
              <w:rPr>
                <w:b/>
                <w:bCs/>
                <w:sz w:val="22"/>
                <w:lang w:val="en-GB"/>
              </w:rPr>
              <w:t>40 mg Humira</w:t>
            </w:r>
            <w:r w:rsidRPr="002A3533">
              <w:rPr>
                <w:b/>
                <w:bCs/>
                <w:sz w:val="22"/>
                <w:lang w:val="en-GB"/>
              </w:rPr>
              <w:br/>
              <w:t>every other week</w:t>
            </w:r>
          </w:p>
        </w:tc>
        <w:tc>
          <w:tcPr>
            <w:tcW w:w="1700" w:type="dxa"/>
          </w:tcPr>
          <w:p w14:paraId="0A34FFC4" w14:textId="77777777" w:rsidR="00AB3BE8" w:rsidRPr="002A3533" w:rsidRDefault="00944B8F" w:rsidP="00A6206B">
            <w:pPr>
              <w:pStyle w:val="TableText"/>
              <w:jc w:val="center"/>
              <w:rPr>
                <w:b/>
                <w:bCs/>
                <w:sz w:val="22"/>
                <w:lang w:val="en-GB"/>
              </w:rPr>
            </w:pPr>
            <w:r w:rsidRPr="002A3533">
              <w:rPr>
                <w:b/>
                <w:bCs/>
                <w:sz w:val="22"/>
                <w:lang w:val="en-GB"/>
              </w:rPr>
              <w:t>40 mg Humira</w:t>
            </w:r>
            <w:r w:rsidRPr="002A3533">
              <w:rPr>
                <w:b/>
                <w:bCs/>
                <w:sz w:val="22"/>
                <w:lang w:val="en-GB"/>
              </w:rPr>
              <w:br/>
              <w:t>every week</w:t>
            </w:r>
          </w:p>
        </w:tc>
      </w:tr>
      <w:tr w:rsidR="00C6578C" w14:paraId="630054A4" w14:textId="77777777" w:rsidTr="00A6206B">
        <w:tc>
          <w:tcPr>
            <w:tcW w:w="3641" w:type="dxa"/>
          </w:tcPr>
          <w:p w14:paraId="1E1CF8D3" w14:textId="77777777" w:rsidR="00AB3BE8" w:rsidRPr="002A3533" w:rsidRDefault="00944B8F" w:rsidP="00A6206B">
            <w:pPr>
              <w:pStyle w:val="TableText"/>
              <w:rPr>
                <w:b/>
                <w:bCs/>
                <w:sz w:val="22"/>
                <w:lang w:val="en-GB"/>
              </w:rPr>
            </w:pPr>
            <w:r w:rsidRPr="002A3533">
              <w:rPr>
                <w:b/>
                <w:bCs/>
                <w:sz w:val="22"/>
                <w:lang w:val="en-GB"/>
              </w:rPr>
              <w:t>Week 26</w:t>
            </w:r>
          </w:p>
        </w:tc>
        <w:tc>
          <w:tcPr>
            <w:tcW w:w="1751" w:type="dxa"/>
          </w:tcPr>
          <w:p w14:paraId="58826F72" w14:textId="77777777" w:rsidR="00AB3BE8" w:rsidRPr="002A3533" w:rsidRDefault="00944B8F" w:rsidP="00A6206B">
            <w:pPr>
              <w:pStyle w:val="TableText"/>
              <w:jc w:val="center"/>
              <w:rPr>
                <w:b/>
                <w:bCs/>
                <w:sz w:val="22"/>
                <w:lang w:val="en-GB"/>
              </w:rPr>
            </w:pPr>
            <w:r w:rsidRPr="002A3533">
              <w:rPr>
                <w:b/>
                <w:bCs/>
                <w:sz w:val="22"/>
                <w:lang w:val="en-GB"/>
              </w:rPr>
              <w:t>N=170</w:t>
            </w:r>
          </w:p>
        </w:tc>
        <w:tc>
          <w:tcPr>
            <w:tcW w:w="1928" w:type="dxa"/>
          </w:tcPr>
          <w:p w14:paraId="1EFA5C7B" w14:textId="77777777" w:rsidR="00AB3BE8" w:rsidRPr="002A3533" w:rsidRDefault="00944B8F" w:rsidP="00A6206B">
            <w:pPr>
              <w:pStyle w:val="TableText"/>
              <w:jc w:val="center"/>
              <w:rPr>
                <w:b/>
                <w:bCs/>
                <w:sz w:val="22"/>
                <w:lang w:val="en-GB"/>
              </w:rPr>
            </w:pPr>
            <w:r w:rsidRPr="002A3533">
              <w:rPr>
                <w:b/>
                <w:bCs/>
                <w:sz w:val="22"/>
                <w:lang w:val="en-GB"/>
              </w:rPr>
              <w:t>N=172</w:t>
            </w:r>
          </w:p>
        </w:tc>
        <w:tc>
          <w:tcPr>
            <w:tcW w:w="1700" w:type="dxa"/>
          </w:tcPr>
          <w:p w14:paraId="05BA9C06" w14:textId="77777777" w:rsidR="00AB3BE8" w:rsidRPr="002A3533" w:rsidRDefault="00944B8F" w:rsidP="00A6206B">
            <w:pPr>
              <w:pStyle w:val="TableText"/>
              <w:jc w:val="center"/>
              <w:rPr>
                <w:b/>
                <w:bCs/>
                <w:sz w:val="22"/>
                <w:lang w:val="en-GB"/>
              </w:rPr>
            </w:pPr>
            <w:r w:rsidRPr="002A3533">
              <w:rPr>
                <w:b/>
                <w:bCs/>
                <w:sz w:val="22"/>
                <w:lang w:val="en-GB"/>
              </w:rPr>
              <w:t>N=157</w:t>
            </w:r>
          </w:p>
        </w:tc>
      </w:tr>
      <w:tr w:rsidR="00C6578C" w14:paraId="47D816D3" w14:textId="77777777" w:rsidTr="00A6206B">
        <w:tc>
          <w:tcPr>
            <w:tcW w:w="3641" w:type="dxa"/>
          </w:tcPr>
          <w:p w14:paraId="1EBBF5D7" w14:textId="77777777" w:rsidR="00AB3BE8" w:rsidRPr="002A3533" w:rsidRDefault="00944B8F" w:rsidP="00A6206B">
            <w:pPr>
              <w:pStyle w:val="TableText"/>
              <w:rPr>
                <w:sz w:val="22"/>
                <w:lang w:val="en-GB"/>
              </w:rPr>
            </w:pPr>
            <w:r w:rsidRPr="002A3533">
              <w:rPr>
                <w:sz w:val="22"/>
                <w:lang w:val="en-GB"/>
              </w:rPr>
              <w:t>Clinical remission</w:t>
            </w:r>
          </w:p>
        </w:tc>
        <w:tc>
          <w:tcPr>
            <w:tcW w:w="1751" w:type="dxa"/>
          </w:tcPr>
          <w:p w14:paraId="2BD2FFEA" w14:textId="77777777" w:rsidR="00AB3BE8" w:rsidRPr="002A3533" w:rsidRDefault="00944B8F" w:rsidP="00A6206B">
            <w:pPr>
              <w:pStyle w:val="TableText"/>
              <w:jc w:val="center"/>
              <w:rPr>
                <w:sz w:val="22"/>
                <w:lang w:val="en-GB"/>
              </w:rPr>
            </w:pPr>
            <w:r w:rsidRPr="002A3533">
              <w:rPr>
                <w:sz w:val="22"/>
                <w:lang w:val="en-GB"/>
              </w:rPr>
              <w:t>17%</w:t>
            </w:r>
          </w:p>
        </w:tc>
        <w:tc>
          <w:tcPr>
            <w:tcW w:w="1928" w:type="dxa"/>
          </w:tcPr>
          <w:p w14:paraId="58B0806F" w14:textId="77777777" w:rsidR="00AB3BE8" w:rsidRPr="002A3533" w:rsidRDefault="00944B8F" w:rsidP="00A6206B">
            <w:pPr>
              <w:pStyle w:val="TableText"/>
              <w:jc w:val="center"/>
              <w:rPr>
                <w:sz w:val="22"/>
                <w:lang w:val="en-GB"/>
              </w:rPr>
            </w:pPr>
            <w:r w:rsidRPr="002A3533">
              <w:rPr>
                <w:sz w:val="22"/>
                <w:lang w:val="en-GB"/>
              </w:rPr>
              <w:t>40%*</w:t>
            </w:r>
          </w:p>
        </w:tc>
        <w:tc>
          <w:tcPr>
            <w:tcW w:w="1700" w:type="dxa"/>
          </w:tcPr>
          <w:p w14:paraId="063C06A8" w14:textId="77777777" w:rsidR="00AB3BE8" w:rsidRPr="002A3533" w:rsidRDefault="00944B8F" w:rsidP="00A6206B">
            <w:pPr>
              <w:pStyle w:val="TableText"/>
              <w:jc w:val="center"/>
              <w:rPr>
                <w:sz w:val="22"/>
                <w:lang w:val="en-GB"/>
              </w:rPr>
            </w:pPr>
            <w:r w:rsidRPr="002A3533">
              <w:rPr>
                <w:sz w:val="22"/>
                <w:lang w:val="en-GB"/>
              </w:rPr>
              <w:t>47%*</w:t>
            </w:r>
          </w:p>
        </w:tc>
      </w:tr>
      <w:tr w:rsidR="00C6578C" w14:paraId="4DBEBDD7" w14:textId="77777777" w:rsidTr="00A6206B">
        <w:tc>
          <w:tcPr>
            <w:tcW w:w="3641" w:type="dxa"/>
          </w:tcPr>
          <w:p w14:paraId="47F0748B" w14:textId="77777777" w:rsidR="00AB3BE8" w:rsidRPr="002A3533" w:rsidRDefault="00944B8F" w:rsidP="00A6206B">
            <w:pPr>
              <w:pStyle w:val="TableText"/>
              <w:rPr>
                <w:sz w:val="22"/>
                <w:lang w:val="en-GB"/>
              </w:rPr>
            </w:pPr>
            <w:r w:rsidRPr="002A3533">
              <w:rPr>
                <w:sz w:val="22"/>
                <w:lang w:val="en-GB"/>
              </w:rPr>
              <w:t>Clinical response (CR-100)</w:t>
            </w:r>
          </w:p>
        </w:tc>
        <w:tc>
          <w:tcPr>
            <w:tcW w:w="1751" w:type="dxa"/>
          </w:tcPr>
          <w:p w14:paraId="6EB3D4CE" w14:textId="77777777" w:rsidR="00AB3BE8" w:rsidRPr="002A3533" w:rsidRDefault="00944B8F" w:rsidP="00A6206B">
            <w:pPr>
              <w:pStyle w:val="TableText"/>
              <w:jc w:val="center"/>
              <w:rPr>
                <w:sz w:val="22"/>
                <w:lang w:val="en-GB"/>
              </w:rPr>
            </w:pPr>
            <w:r w:rsidRPr="002A3533">
              <w:rPr>
                <w:sz w:val="22"/>
                <w:lang w:val="en-GB"/>
              </w:rPr>
              <w:t>27%</w:t>
            </w:r>
          </w:p>
        </w:tc>
        <w:tc>
          <w:tcPr>
            <w:tcW w:w="1928" w:type="dxa"/>
          </w:tcPr>
          <w:p w14:paraId="03F7DAA6" w14:textId="77777777" w:rsidR="00AB3BE8" w:rsidRPr="002A3533" w:rsidRDefault="00944B8F" w:rsidP="00A6206B">
            <w:pPr>
              <w:pStyle w:val="TableText"/>
              <w:jc w:val="center"/>
              <w:rPr>
                <w:sz w:val="22"/>
                <w:lang w:val="en-GB"/>
              </w:rPr>
            </w:pPr>
            <w:r w:rsidRPr="002A3533">
              <w:rPr>
                <w:sz w:val="22"/>
                <w:lang w:val="en-GB"/>
              </w:rPr>
              <w:t>52%*</w:t>
            </w:r>
          </w:p>
        </w:tc>
        <w:tc>
          <w:tcPr>
            <w:tcW w:w="1700" w:type="dxa"/>
          </w:tcPr>
          <w:p w14:paraId="568BD6DD" w14:textId="77777777" w:rsidR="00AB3BE8" w:rsidRPr="002A3533" w:rsidRDefault="00944B8F" w:rsidP="00A6206B">
            <w:pPr>
              <w:pStyle w:val="TableText"/>
              <w:jc w:val="center"/>
              <w:rPr>
                <w:sz w:val="22"/>
                <w:lang w:val="en-GB"/>
              </w:rPr>
            </w:pPr>
            <w:r w:rsidRPr="002A3533">
              <w:rPr>
                <w:sz w:val="22"/>
                <w:lang w:val="en-GB"/>
              </w:rPr>
              <w:t>52%*</w:t>
            </w:r>
          </w:p>
        </w:tc>
      </w:tr>
      <w:tr w:rsidR="00C6578C" w14:paraId="6F8EFBFE" w14:textId="77777777" w:rsidTr="00A6206B">
        <w:tc>
          <w:tcPr>
            <w:tcW w:w="3641" w:type="dxa"/>
          </w:tcPr>
          <w:p w14:paraId="2985CDFA" w14:textId="77777777" w:rsidR="00AB3BE8" w:rsidRPr="002A3533" w:rsidRDefault="00944B8F" w:rsidP="00A6206B">
            <w:pPr>
              <w:pStyle w:val="TableText"/>
              <w:ind w:left="360"/>
              <w:rPr>
                <w:sz w:val="22"/>
                <w:lang w:val="en-GB"/>
              </w:rPr>
            </w:pPr>
            <w:r w:rsidRPr="002A3533">
              <w:rPr>
                <w:sz w:val="22"/>
                <w:lang w:val="en-GB"/>
              </w:rPr>
              <w:t xml:space="preserve">Patients in steroid-free remission </w:t>
            </w:r>
            <w:r w:rsidRPr="002A3533">
              <w:rPr>
                <w:sz w:val="22"/>
                <w:lang w:val="en-GB"/>
              </w:rPr>
              <w:br/>
              <w:t>for &gt;=90 days</w:t>
            </w:r>
            <w:r w:rsidRPr="002A3533">
              <w:rPr>
                <w:sz w:val="22"/>
                <w:vertAlign w:val="superscript"/>
                <w:lang w:val="en-GB"/>
              </w:rPr>
              <w:t>a</w:t>
            </w:r>
          </w:p>
        </w:tc>
        <w:tc>
          <w:tcPr>
            <w:tcW w:w="1751" w:type="dxa"/>
          </w:tcPr>
          <w:p w14:paraId="0D3BC6BE" w14:textId="77777777" w:rsidR="00AB3BE8" w:rsidRPr="002A3533" w:rsidRDefault="00944B8F" w:rsidP="00A6206B">
            <w:pPr>
              <w:pStyle w:val="TableText"/>
              <w:jc w:val="center"/>
              <w:rPr>
                <w:sz w:val="22"/>
                <w:lang w:val="en-GB"/>
              </w:rPr>
            </w:pPr>
            <w:r w:rsidRPr="002A3533">
              <w:rPr>
                <w:sz w:val="22"/>
                <w:lang w:val="en-GB"/>
              </w:rPr>
              <w:t>3% (2/66)</w:t>
            </w:r>
          </w:p>
        </w:tc>
        <w:tc>
          <w:tcPr>
            <w:tcW w:w="1928" w:type="dxa"/>
          </w:tcPr>
          <w:p w14:paraId="49440F1C" w14:textId="77777777" w:rsidR="00AB3BE8" w:rsidRPr="002A3533" w:rsidRDefault="00944B8F" w:rsidP="00A6206B">
            <w:pPr>
              <w:pStyle w:val="TableText"/>
              <w:jc w:val="center"/>
              <w:rPr>
                <w:sz w:val="22"/>
                <w:lang w:val="en-GB"/>
              </w:rPr>
            </w:pPr>
            <w:r w:rsidRPr="002A3533">
              <w:rPr>
                <w:sz w:val="22"/>
                <w:lang w:val="en-GB"/>
              </w:rPr>
              <w:t>19% (11/58)**</w:t>
            </w:r>
          </w:p>
        </w:tc>
        <w:tc>
          <w:tcPr>
            <w:tcW w:w="1700" w:type="dxa"/>
          </w:tcPr>
          <w:p w14:paraId="530485D4" w14:textId="77777777" w:rsidR="00AB3BE8" w:rsidRPr="002A3533" w:rsidRDefault="00944B8F" w:rsidP="00A6206B">
            <w:pPr>
              <w:pStyle w:val="TableText"/>
              <w:jc w:val="center"/>
              <w:rPr>
                <w:sz w:val="22"/>
                <w:lang w:val="en-GB"/>
              </w:rPr>
            </w:pPr>
            <w:r w:rsidRPr="002A3533">
              <w:rPr>
                <w:sz w:val="22"/>
                <w:lang w:val="en-GB"/>
              </w:rPr>
              <w:t>15% (11/74)**</w:t>
            </w:r>
          </w:p>
        </w:tc>
      </w:tr>
      <w:tr w:rsidR="00C6578C" w14:paraId="0F6AED57" w14:textId="77777777" w:rsidTr="00A6206B">
        <w:tc>
          <w:tcPr>
            <w:tcW w:w="3641" w:type="dxa"/>
          </w:tcPr>
          <w:p w14:paraId="5B662147" w14:textId="77777777" w:rsidR="00AB3BE8" w:rsidRPr="002A3533" w:rsidRDefault="00944B8F" w:rsidP="00A6206B">
            <w:pPr>
              <w:pStyle w:val="TableText"/>
              <w:rPr>
                <w:b/>
                <w:bCs/>
                <w:sz w:val="22"/>
                <w:lang w:val="en-GB"/>
              </w:rPr>
            </w:pPr>
            <w:r w:rsidRPr="002A3533">
              <w:rPr>
                <w:b/>
                <w:bCs/>
                <w:sz w:val="22"/>
                <w:lang w:val="en-GB"/>
              </w:rPr>
              <w:t>Week 56</w:t>
            </w:r>
          </w:p>
        </w:tc>
        <w:tc>
          <w:tcPr>
            <w:tcW w:w="1751" w:type="dxa"/>
          </w:tcPr>
          <w:p w14:paraId="7817911B" w14:textId="77777777" w:rsidR="00AB3BE8" w:rsidRPr="002A3533" w:rsidRDefault="00944B8F" w:rsidP="00A6206B">
            <w:pPr>
              <w:pStyle w:val="TableText"/>
              <w:jc w:val="center"/>
              <w:rPr>
                <w:b/>
                <w:bCs/>
                <w:sz w:val="22"/>
                <w:lang w:val="en-GB"/>
              </w:rPr>
            </w:pPr>
            <w:r w:rsidRPr="002A3533">
              <w:rPr>
                <w:b/>
                <w:bCs/>
                <w:sz w:val="22"/>
                <w:lang w:val="en-GB"/>
              </w:rPr>
              <w:t>N=170</w:t>
            </w:r>
          </w:p>
        </w:tc>
        <w:tc>
          <w:tcPr>
            <w:tcW w:w="1928" w:type="dxa"/>
          </w:tcPr>
          <w:p w14:paraId="3B26C3BA" w14:textId="77777777" w:rsidR="00AB3BE8" w:rsidRPr="002A3533" w:rsidRDefault="00944B8F" w:rsidP="00A6206B">
            <w:pPr>
              <w:pStyle w:val="TableText"/>
              <w:jc w:val="center"/>
              <w:rPr>
                <w:b/>
                <w:bCs/>
                <w:sz w:val="22"/>
                <w:lang w:val="en-GB"/>
              </w:rPr>
            </w:pPr>
            <w:r w:rsidRPr="002A3533">
              <w:rPr>
                <w:b/>
                <w:bCs/>
                <w:sz w:val="22"/>
                <w:lang w:val="en-GB"/>
              </w:rPr>
              <w:t>N=172</w:t>
            </w:r>
          </w:p>
        </w:tc>
        <w:tc>
          <w:tcPr>
            <w:tcW w:w="1700" w:type="dxa"/>
          </w:tcPr>
          <w:p w14:paraId="592F876B" w14:textId="77777777" w:rsidR="00AB3BE8" w:rsidRPr="002A3533" w:rsidRDefault="00944B8F" w:rsidP="00A6206B">
            <w:pPr>
              <w:pStyle w:val="TableText"/>
              <w:jc w:val="center"/>
              <w:rPr>
                <w:b/>
                <w:bCs/>
                <w:sz w:val="22"/>
                <w:lang w:val="en-GB"/>
              </w:rPr>
            </w:pPr>
            <w:r w:rsidRPr="002A3533">
              <w:rPr>
                <w:b/>
                <w:bCs/>
                <w:sz w:val="22"/>
                <w:lang w:val="en-GB"/>
              </w:rPr>
              <w:t>N=157</w:t>
            </w:r>
          </w:p>
        </w:tc>
      </w:tr>
      <w:tr w:rsidR="00C6578C" w14:paraId="07A05FF8" w14:textId="77777777" w:rsidTr="00A6206B">
        <w:tc>
          <w:tcPr>
            <w:tcW w:w="3641" w:type="dxa"/>
          </w:tcPr>
          <w:p w14:paraId="141FD170" w14:textId="77777777" w:rsidR="00AB3BE8" w:rsidRPr="002A3533" w:rsidRDefault="00944B8F" w:rsidP="00A6206B">
            <w:pPr>
              <w:pStyle w:val="TableText"/>
              <w:rPr>
                <w:sz w:val="22"/>
                <w:lang w:val="en-GB"/>
              </w:rPr>
            </w:pPr>
            <w:r w:rsidRPr="002A3533">
              <w:rPr>
                <w:sz w:val="22"/>
                <w:lang w:val="en-GB"/>
              </w:rPr>
              <w:t>Clinical remission</w:t>
            </w:r>
          </w:p>
        </w:tc>
        <w:tc>
          <w:tcPr>
            <w:tcW w:w="1751" w:type="dxa"/>
          </w:tcPr>
          <w:p w14:paraId="23B27D52" w14:textId="77777777" w:rsidR="00AB3BE8" w:rsidRPr="002A3533" w:rsidRDefault="00944B8F" w:rsidP="00A6206B">
            <w:pPr>
              <w:pStyle w:val="TableText"/>
              <w:jc w:val="center"/>
              <w:rPr>
                <w:sz w:val="22"/>
                <w:lang w:val="en-GB"/>
              </w:rPr>
            </w:pPr>
            <w:r w:rsidRPr="002A3533">
              <w:rPr>
                <w:sz w:val="22"/>
                <w:lang w:val="en-GB"/>
              </w:rPr>
              <w:t>12%</w:t>
            </w:r>
          </w:p>
        </w:tc>
        <w:tc>
          <w:tcPr>
            <w:tcW w:w="1928" w:type="dxa"/>
          </w:tcPr>
          <w:p w14:paraId="117E7F25" w14:textId="77777777" w:rsidR="00AB3BE8" w:rsidRPr="002A3533" w:rsidRDefault="00944B8F" w:rsidP="00A6206B">
            <w:pPr>
              <w:pStyle w:val="TableText"/>
              <w:jc w:val="center"/>
              <w:rPr>
                <w:sz w:val="22"/>
                <w:lang w:val="en-GB"/>
              </w:rPr>
            </w:pPr>
            <w:r w:rsidRPr="002A3533">
              <w:rPr>
                <w:sz w:val="22"/>
                <w:lang w:val="en-GB"/>
              </w:rPr>
              <w:t>36%*</w:t>
            </w:r>
          </w:p>
        </w:tc>
        <w:tc>
          <w:tcPr>
            <w:tcW w:w="1700" w:type="dxa"/>
          </w:tcPr>
          <w:p w14:paraId="3CE06570" w14:textId="77777777" w:rsidR="00AB3BE8" w:rsidRPr="002A3533" w:rsidRDefault="00944B8F" w:rsidP="00A6206B">
            <w:pPr>
              <w:pStyle w:val="TableText"/>
              <w:jc w:val="center"/>
              <w:rPr>
                <w:sz w:val="22"/>
                <w:lang w:val="en-GB"/>
              </w:rPr>
            </w:pPr>
            <w:r w:rsidRPr="002A3533">
              <w:rPr>
                <w:sz w:val="22"/>
                <w:lang w:val="en-GB"/>
              </w:rPr>
              <w:t>41%*</w:t>
            </w:r>
          </w:p>
        </w:tc>
      </w:tr>
      <w:tr w:rsidR="00C6578C" w14:paraId="2931CF75" w14:textId="77777777" w:rsidTr="00A6206B">
        <w:tc>
          <w:tcPr>
            <w:tcW w:w="3641" w:type="dxa"/>
          </w:tcPr>
          <w:p w14:paraId="2E8E5E40" w14:textId="77777777" w:rsidR="00AB3BE8" w:rsidRPr="002A3533" w:rsidRDefault="00944B8F" w:rsidP="00A6206B">
            <w:pPr>
              <w:pStyle w:val="TableText"/>
              <w:rPr>
                <w:sz w:val="22"/>
                <w:lang w:val="en-GB"/>
              </w:rPr>
            </w:pPr>
            <w:r w:rsidRPr="002A3533">
              <w:rPr>
                <w:sz w:val="22"/>
                <w:lang w:val="en-GB"/>
              </w:rPr>
              <w:t>Clinical response (CR-100)</w:t>
            </w:r>
          </w:p>
        </w:tc>
        <w:tc>
          <w:tcPr>
            <w:tcW w:w="1751" w:type="dxa"/>
          </w:tcPr>
          <w:p w14:paraId="26C276B9" w14:textId="77777777" w:rsidR="00AB3BE8" w:rsidRPr="002A3533" w:rsidRDefault="00944B8F" w:rsidP="00A6206B">
            <w:pPr>
              <w:pStyle w:val="TableText"/>
              <w:jc w:val="center"/>
              <w:rPr>
                <w:sz w:val="22"/>
                <w:lang w:val="en-GB"/>
              </w:rPr>
            </w:pPr>
            <w:r w:rsidRPr="002A3533">
              <w:rPr>
                <w:sz w:val="22"/>
                <w:lang w:val="en-GB"/>
              </w:rPr>
              <w:t>17%</w:t>
            </w:r>
          </w:p>
        </w:tc>
        <w:tc>
          <w:tcPr>
            <w:tcW w:w="1928" w:type="dxa"/>
          </w:tcPr>
          <w:p w14:paraId="0D5156E6" w14:textId="77777777" w:rsidR="00AB3BE8" w:rsidRPr="002A3533" w:rsidRDefault="00944B8F" w:rsidP="00A6206B">
            <w:pPr>
              <w:pStyle w:val="TableText"/>
              <w:jc w:val="center"/>
              <w:rPr>
                <w:sz w:val="22"/>
                <w:lang w:val="en-GB"/>
              </w:rPr>
            </w:pPr>
            <w:r w:rsidRPr="002A3533">
              <w:rPr>
                <w:sz w:val="22"/>
                <w:lang w:val="en-GB"/>
              </w:rPr>
              <w:t>41%*</w:t>
            </w:r>
          </w:p>
        </w:tc>
        <w:tc>
          <w:tcPr>
            <w:tcW w:w="1700" w:type="dxa"/>
          </w:tcPr>
          <w:p w14:paraId="047F782B" w14:textId="77777777" w:rsidR="00AB3BE8" w:rsidRPr="002A3533" w:rsidRDefault="00944B8F" w:rsidP="00A6206B">
            <w:pPr>
              <w:pStyle w:val="TableText"/>
              <w:jc w:val="center"/>
              <w:rPr>
                <w:sz w:val="22"/>
                <w:lang w:val="en-GB"/>
              </w:rPr>
            </w:pPr>
            <w:r w:rsidRPr="002A3533">
              <w:rPr>
                <w:sz w:val="22"/>
                <w:lang w:val="en-GB"/>
              </w:rPr>
              <w:t>48%*</w:t>
            </w:r>
          </w:p>
        </w:tc>
      </w:tr>
      <w:tr w:rsidR="00C6578C" w14:paraId="0DAF5404" w14:textId="77777777" w:rsidTr="00A6206B">
        <w:tc>
          <w:tcPr>
            <w:tcW w:w="3641" w:type="dxa"/>
            <w:tcBorders>
              <w:bottom w:val="single" w:sz="4" w:space="0" w:color="auto"/>
            </w:tcBorders>
          </w:tcPr>
          <w:p w14:paraId="76F07A11" w14:textId="77777777" w:rsidR="00AB3BE8" w:rsidRPr="002A3533" w:rsidRDefault="00944B8F" w:rsidP="00A6206B">
            <w:pPr>
              <w:pStyle w:val="TableText"/>
              <w:ind w:left="360"/>
              <w:rPr>
                <w:sz w:val="22"/>
                <w:lang w:val="en-GB"/>
              </w:rPr>
            </w:pPr>
            <w:r w:rsidRPr="002A3533">
              <w:rPr>
                <w:sz w:val="22"/>
                <w:lang w:val="en-GB"/>
              </w:rPr>
              <w:t xml:space="preserve">Patients in steroid-free remission </w:t>
            </w:r>
            <w:r w:rsidRPr="002A3533">
              <w:rPr>
                <w:sz w:val="22"/>
                <w:lang w:val="en-GB"/>
              </w:rPr>
              <w:br/>
              <w:t>for &gt; = 90 days</w:t>
            </w:r>
            <w:r w:rsidRPr="002A3533">
              <w:rPr>
                <w:sz w:val="22"/>
                <w:vertAlign w:val="superscript"/>
                <w:lang w:val="en-GB"/>
              </w:rPr>
              <w:t>a</w:t>
            </w:r>
          </w:p>
        </w:tc>
        <w:tc>
          <w:tcPr>
            <w:tcW w:w="1751" w:type="dxa"/>
            <w:tcBorders>
              <w:bottom w:val="single" w:sz="4" w:space="0" w:color="auto"/>
            </w:tcBorders>
          </w:tcPr>
          <w:p w14:paraId="0287D1B8" w14:textId="77777777" w:rsidR="00AB3BE8" w:rsidRPr="002A3533" w:rsidRDefault="00944B8F" w:rsidP="00A6206B">
            <w:pPr>
              <w:pStyle w:val="TableText"/>
              <w:jc w:val="center"/>
              <w:rPr>
                <w:sz w:val="22"/>
                <w:lang w:val="en-GB"/>
              </w:rPr>
            </w:pPr>
            <w:r w:rsidRPr="002A3533">
              <w:rPr>
                <w:sz w:val="22"/>
                <w:lang w:val="en-GB"/>
              </w:rPr>
              <w:t>5% (3/66)</w:t>
            </w:r>
          </w:p>
        </w:tc>
        <w:tc>
          <w:tcPr>
            <w:tcW w:w="1928" w:type="dxa"/>
            <w:tcBorders>
              <w:bottom w:val="single" w:sz="4" w:space="0" w:color="auto"/>
            </w:tcBorders>
          </w:tcPr>
          <w:p w14:paraId="2F8536EB" w14:textId="77777777" w:rsidR="00AB3BE8" w:rsidRPr="002A3533" w:rsidRDefault="00944B8F" w:rsidP="00A6206B">
            <w:pPr>
              <w:pStyle w:val="TableText"/>
              <w:jc w:val="center"/>
              <w:rPr>
                <w:sz w:val="22"/>
                <w:lang w:val="en-GB"/>
              </w:rPr>
            </w:pPr>
            <w:r w:rsidRPr="002A3533">
              <w:rPr>
                <w:sz w:val="22"/>
                <w:lang w:val="en-GB"/>
              </w:rPr>
              <w:t>29% (17/58)*</w:t>
            </w:r>
          </w:p>
        </w:tc>
        <w:tc>
          <w:tcPr>
            <w:tcW w:w="1700" w:type="dxa"/>
            <w:tcBorders>
              <w:bottom w:val="single" w:sz="4" w:space="0" w:color="auto"/>
            </w:tcBorders>
          </w:tcPr>
          <w:p w14:paraId="24989C42" w14:textId="77777777" w:rsidR="00AB3BE8" w:rsidRPr="002A3533" w:rsidRDefault="00944B8F" w:rsidP="00A6206B">
            <w:pPr>
              <w:pStyle w:val="TableText"/>
              <w:jc w:val="center"/>
              <w:rPr>
                <w:sz w:val="22"/>
                <w:lang w:val="en-GB"/>
              </w:rPr>
            </w:pPr>
            <w:r w:rsidRPr="002A3533">
              <w:rPr>
                <w:sz w:val="22"/>
                <w:lang w:val="en-GB"/>
              </w:rPr>
              <w:t>20% (15/74)**</w:t>
            </w:r>
          </w:p>
        </w:tc>
      </w:tr>
      <w:tr w:rsidR="00C6578C" w14:paraId="11E7F8F4" w14:textId="77777777" w:rsidTr="00A6206B">
        <w:trPr>
          <w:cantSplit/>
        </w:trPr>
        <w:tc>
          <w:tcPr>
            <w:tcW w:w="9020" w:type="dxa"/>
            <w:gridSpan w:val="4"/>
            <w:tcBorders>
              <w:top w:val="single" w:sz="4" w:space="0" w:color="auto"/>
              <w:left w:val="nil"/>
              <w:bottom w:val="nil"/>
              <w:right w:val="nil"/>
            </w:tcBorders>
          </w:tcPr>
          <w:p w14:paraId="1A36CE3C" w14:textId="77777777" w:rsidR="00AB3BE8" w:rsidRPr="002A3533" w:rsidRDefault="00944B8F" w:rsidP="00A6206B">
            <w:pPr>
              <w:pStyle w:val="TableText"/>
              <w:rPr>
                <w:sz w:val="22"/>
                <w:lang w:val="en-GB"/>
              </w:rPr>
            </w:pPr>
            <w:r w:rsidRPr="002A3533">
              <w:rPr>
                <w:sz w:val="22"/>
                <w:lang w:val="en-GB"/>
              </w:rPr>
              <w:t>*</w:t>
            </w:r>
            <w:r w:rsidRPr="002A3533">
              <w:rPr>
                <w:sz w:val="22"/>
                <w:lang w:val="en-GB"/>
              </w:rPr>
              <w:tab/>
              <w:t xml:space="preserve">p &lt; 0.001 for Humira </w:t>
            </w:r>
            <w:r w:rsidRPr="002A3533">
              <w:rPr>
                <w:i/>
                <w:iCs/>
                <w:sz w:val="22"/>
                <w:lang w:val="en-GB"/>
              </w:rPr>
              <w:t>versus</w:t>
            </w:r>
            <w:r w:rsidRPr="002A3533">
              <w:rPr>
                <w:sz w:val="22"/>
                <w:lang w:val="en-GB"/>
              </w:rPr>
              <w:t xml:space="preserve"> placebo pairwise comparisons of proportions</w:t>
            </w:r>
          </w:p>
          <w:p w14:paraId="439290CA" w14:textId="77777777" w:rsidR="00AB3BE8" w:rsidRPr="002A3533" w:rsidRDefault="00944B8F" w:rsidP="00A6206B">
            <w:pPr>
              <w:pStyle w:val="TableText"/>
              <w:rPr>
                <w:sz w:val="22"/>
                <w:lang w:val="en-GB"/>
              </w:rPr>
            </w:pPr>
            <w:r w:rsidRPr="002A3533">
              <w:rPr>
                <w:sz w:val="22"/>
                <w:lang w:val="en-GB"/>
              </w:rPr>
              <w:t>**</w:t>
            </w:r>
            <w:r w:rsidRPr="002A3533">
              <w:rPr>
                <w:sz w:val="22"/>
                <w:lang w:val="en-GB"/>
              </w:rPr>
              <w:tab/>
              <w:t xml:space="preserve">p &lt; 0.02 for Humira </w:t>
            </w:r>
            <w:r w:rsidRPr="002A3533">
              <w:rPr>
                <w:i/>
                <w:iCs/>
                <w:sz w:val="22"/>
                <w:lang w:val="en-GB"/>
              </w:rPr>
              <w:t>versus</w:t>
            </w:r>
            <w:r w:rsidRPr="002A3533">
              <w:rPr>
                <w:sz w:val="22"/>
                <w:lang w:val="en-GB"/>
              </w:rPr>
              <w:t xml:space="preserve"> placebo pairwise comparisons of proportions</w:t>
            </w:r>
          </w:p>
          <w:p w14:paraId="68C969AD" w14:textId="77777777" w:rsidR="00AB3BE8" w:rsidRPr="002A3533" w:rsidRDefault="00944B8F" w:rsidP="00A6206B">
            <w:pPr>
              <w:pStyle w:val="TableText"/>
              <w:rPr>
                <w:sz w:val="22"/>
                <w:lang w:val="en-GB"/>
              </w:rPr>
            </w:pPr>
            <w:r w:rsidRPr="002A3533">
              <w:rPr>
                <w:sz w:val="22"/>
                <w:vertAlign w:val="superscript"/>
                <w:lang w:val="en-GB"/>
              </w:rPr>
              <w:t>a</w:t>
            </w:r>
            <w:r w:rsidRPr="002A3533">
              <w:rPr>
                <w:sz w:val="22"/>
                <w:vertAlign w:val="superscript"/>
                <w:lang w:val="en-GB"/>
              </w:rPr>
              <w:tab/>
            </w:r>
            <w:r w:rsidRPr="002A3533">
              <w:rPr>
                <w:sz w:val="22"/>
                <w:lang w:val="en-GB"/>
              </w:rPr>
              <w:t>Of those receiving corticosteroids at baseline</w:t>
            </w:r>
          </w:p>
        </w:tc>
      </w:tr>
    </w:tbl>
    <w:p w14:paraId="0B4659B9" w14:textId="77777777" w:rsidR="00AB3BE8" w:rsidRPr="002A3533" w:rsidRDefault="00AB3BE8" w:rsidP="00AB3BE8">
      <w:pPr>
        <w:pStyle w:val="EMEANormal"/>
        <w:keepNext/>
        <w:rPr>
          <w:lang w:val="en-GB"/>
        </w:rPr>
      </w:pPr>
    </w:p>
    <w:p w14:paraId="24ECC0B6" w14:textId="77777777" w:rsidR="00AB3BE8" w:rsidRPr="002A3533" w:rsidRDefault="00944B8F" w:rsidP="00AB3BE8">
      <w:pPr>
        <w:rPr>
          <w:bCs/>
        </w:rPr>
      </w:pPr>
      <w:r w:rsidRPr="002A3533">
        <w:rPr>
          <w:bCs/>
        </w:rPr>
        <w:t>Among patients who were not in response at Week 4, 43% of Humira maintenance patients responded by Week 12 compared to 30% of placebo maintenance patients. These results suggest that some patients who have not responded by Week 4 benefit from continued maintenance therapy through Week 12. Therapy continued beyond 12 </w:t>
      </w:r>
      <w:r>
        <w:rPr>
          <w:bCs/>
        </w:rPr>
        <w:t>w</w:t>
      </w:r>
      <w:r w:rsidRPr="002A3533">
        <w:rPr>
          <w:bCs/>
        </w:rPr>
        <w:t xml:space="preserve">eeks did not result in significantly more responses </w:t>
      </w:r>
      <w:r w:rsidRPr="002A3533">
        <w:t>(see section 4.2).</w:t>
      </w:r>
      <w:r w:rsidRPr="002A3533">
        <w:rPr>
          <w:bCs/>
        </w:rPr>
        <w:t xml:space="preserve">  </w:t>
      </w:r>
    </w:p>
    <w:p w14:paraId="29A9C9EE" w14:textId="77777777" w:rsidR="00AB3BE8" w:rsidRPr="002A3533" w:rsidRDefault="00AB3BE8" w:rsidP="00AB3BE8">
      <w:pPr>
        <w:rPr>
          <w:bCs/>
        </w:rPr>
      </w:pPr>
    </w:p>
    <w:p w14:paraId="71B471B2" w14:textId="77777777" w:rsidR="00AB3BE8" w:rsidRDefault="00944B8F" w:rsidP="00AB3BE8">
      <w:pPr>
        <w:rPr>
          <w:bCs/>
        </w:rPr>
      </w:pPr>
      <w:r w:rsidRPr="002A3533">
        <w:rPr>
          <w:bCs/>
        </w:rPr>
        <w:t>117/276 patients from CD study I and 272/777 patients from CD studies II and III were followed through at least 3 years of open-label adalimumab therapy. 88 and 189 patients, respectively, continued to be in clinical remission. Clinical response (CR-100) was maintained in 102 and 233 patients, respectively.</w:t>
      </w:r>
    </w:p>
    <w:p w14:paraId="327AA962" w14:textId="77777777" w:rsidR="00AB3BE8" w:rsidRPr="002A3533" w:rsidRDefault="00AB3BE8" w:rsidP="00AB3BE8">
      <w:pPr>
        <w:rPr>
          <w:bCs/>
        </w:rPr>
      </w:pPr>
    </w:p>
    <w:p w14:paraId="26C0E7D9" w14:textId="77777777" w:rsidR="00AB3BE8" w:rsidRDefault="00944B8F" w:rsidP="00AB3BE8">
      <w:pPr>
        <w:pStyle w:val="EMEAHeadingUnderline"/>
        <w:spacing w:beforeLines="0" w:afterLines="0"/>
        <w:rPr>
          <w:i/>
          <w:lang w:val="en-GB"/>
        </w:rPr>
      </w:pPr>
      <w:r w:rsidRPr="002A3533">
        <w:rPr>
          <w:i/>
          <w:lang w:val="en-GB"/>
        </w:rPr>
        <w:t>Quality of life</w:t>
      </w:r>
    </w:p>
    <w:p w14:paraId="518B421A" w14:textId="77777777" w:rsidR="00AB3BE8" w:rsidRPr="0078789B" w:rsidRDefault="00AB3BE8" w:rsidP="00AB3BE8">
      <w:pPr>
        <w:pStyle w:val="EMEANormal"/>
        <w:rPr>
          <w:lang w:val="en-GB"/>
        </w:rPr>
      </w:pPr>
    </w:p>
    <w:p w14:paraId="6673CA37" w14:textId="77777777" w:rsidR="00AB3BE8" w:rsidRDefault="00944B8F" w:rsidP="00AB3BE8">
      <w:pPr>
        <w:pStyle w:val="EMEANormal"/>
        <w:rPr>
          <w:bCs/>
          <w:lang w:val="en-GB"/>
        </w:rPr>
      </w:pPr>
      <w:r w:rsidRPr="002A3533">
        <w:rPr>
          <w:bCs/>
          <w:lang w:val="en-GB"/>
        </w:rPr>
        <w:t>In CD Study I and CD Study II, statistically significant improvement in the disease-specific inflammatory bowel disease questionnaire (IBDQ) total score was achieved at Week 4 in patients randomised to Humira 80/40 mg and 160/80 mg compared to placebo and was seen at Weeks 26 and 56 in CD Study III as well among the adalimumab treatment groups compared to the placebo group.</w:t>
      </w:r>
    </w:p>
    <w:p w14:paraId="032199F8" w14:textId="77777777" w:rsidR="00AB3BE8" w:rsidRPr="002A3533" w:rsidRDefault="00AB3BE8" w:rsidP="00AB3BE8">
      <w:pPr>
        <w:pStyle w:val="EMEANormal"/>
        <w:rPr>
          <w:bCs/>
          <w:lang w:val="en-GB"/>
        </w:rPr>
      </w:pPr>
    </w:p>
    <w:p w14:paraId="3B1C677B" w14:textId="77777777" w:rsidR="00AB3BE8" w:rsidRPr="00B720DC" w:rsidRDefault="00944B8F" w:rsidP="00AB3BE8">
      <w:pPr>
        <w:pStyle w:val="EMEANormal"/>
        <w:keepNext/>
        <w:rPr>
          <w:bCs/>
          <w:i/>
          <w:szCs w:val="22"/>
          <w:lang w:val="en-GB"/>
        </w:rPr>
      </w:pPr>
      <w:r>
        <w:rPr>
          <w:bCs/>
          <w:i/>
          <w:szCs w:val="22"/>
          <w:lang w:val="en-GB"/>
        </w:rPr>
        <w:t xml:space="preserve">Adult </w:t>
      </w:r>
      <w:r w:rsidRPr="00B720DC">
        <w:rPr>
          <w:bCs/>
          <w:i/>
          <w:szCs w:val="22"/>
          <w:lang w:val="en-GB"/>
        </w:rPr>
        <w:t>Uveitis</w:t>
      </w:r>
    </w:p>
    <w:p w14:paraId="4BBAAFDA" w14:textId="77777777" w:rsidR="00AB3BE8" w:rsidRPr="00B720DC" w:rsidRDefault="00AB3BE8" w:rsidP="00AB3BE8">
      <w:pPr>
        <w:pStyle w:val="EMEANormal"/>
        <w:keepNext/>
        <w:rPr>
          <w:bCs/>
          <w:szCs w:val="22"/>
          <w:lang w:val="en-GB"/>
        </w:rPr>
      </w:pPr>
    </w:p>
    <w:p w14:paraId="53F92AB1" w14:textId="77777777" w:rsidR="00AB3BE8" w:rsidRPr="00300750" w:rsidRDefault="00944B8F" w:rsidP="00AB3BE8">
      <w:pPr>
        <w:pStyle w:val="EMEANormal"/>
      </w:pPr>
      <w:r w:rsidRPr="70D4D675">
        <w:rPr>
          <w:lang w:val="en-GB"/>
        </w:rPr>
        <w:t>The safety and efficacy of Humira were assessed in adult patients with non-infectious intermediate, posterior, and panuveitis, excluding patients with isolated anterior uveitis, in two randomised, double-masked, placebo-controlled studies (UV I and II). Patients received placebo or Humira at an initial dose of 80 mg followed by 40 mg every other week starting one week after the initial dose. Concomitant stable doses of one</w:t>
      </w:r>
      <w:r w:rsidRPr="70D4D675">
        <w:rPr>
          <w:b/>
          <w:i/>
          <w:lang w:val="en-GB"/>
        </w:rPr>
        <w:t xml:space="preserve"> </w:t>
      </w:r>
      <w:r w:rsidRPr="70D4D675">
        <w:rPr>
          <w:lang w:val="en-GB"/>
        </w:rPr>
        <w:t xml:space="preserve">non-biologic immunosuppressant were permitted. </w:t>
      </w:r>
    </w:p>
    <w:p w14:paraId="18E7A2BE" w14:textId="77777777" w:rsidR="00AB3BE8" w:rsidRPr="00F91508" w:rsidRDefault="00AB3BE8" w:rsidP="00AB3BE8">
      <w:pPr>
        <w:pStyle w:val="EMEANormal"/>
        <w:rPr>
          <w:szCs w:val="22"/>
        </w:rPr>
      </w:pPr>
    </w:p>
    <w:p w14:paraId="095B0FB8" w14:textId="77777777" w:rsidR="00AB3BE8" w:rsidRPr="000F2F4A" w:rsidRDefault="00944B8F" w:rsidP="00AB3BE8">
      <w:pPr>
        <w:pStyle w:val="EMEANormal"/>
        <w:rPr>
          <w:szCs w:val="22"/>
        </w:rPr>
      </w:pPr>
      <w:r w:rsidRPr="00611CC4">
        <w:rPr>
          <w:szCs w:val="22"/>
        </w:rPr>
        <w:t>Study UV I evaluated 217 patients with active uveitis despite treatment with corticosteroids (oral prednisone at a dose of 10</w:t>
      </w:r>
      <w:r w:rsidRPr="00DB5631">
        <w:rPr>
          <w:szCs w:val="22"/>
        </w:rPr>
        <w:t> to 60</w:t>
      </w:r>
      <w:r w:rsidRPr="00D476F6">
        <w:rPr>
          <w:szCs w:val="22"/>
        </w:rPr>
        <w:t> mg/day). All patients received a 2</w:t>
      </w:r>
      <w:r w:rsidRPr="0065011C">
        <w:rPr>
          <w:szCs w:val="22"/>
        </w:rPr>
        <w:noBreakHyphen/>
      </w:r>
      <w:r w:rsidRPr="009E6B48">
        <w:rPr>
          <w:szCs w:val="22"/>
        </w:rPr>
        <w:t>week</w:t>
      </w:r>
      <w:r w:rsidRPr="009E6B48">
        <w:rPr>
          <w:b/>
          <w:i/>
          <w:szCs w:val="22"/>
        </w:rPr>
        <w:t xml:space="preserve"> </w:t>
      </w:r>
      <w:r w:rsidRPr="009E6B48">
        <w:rPr>
          <w:szCs w:val="22"/>
        </w:rPr>
        <w:t>standardised dose of prednisone 60</w:t>
      </w:r>
      <w:r w:rsidRPr="005D21AD">
        <w:rPr>
          <w:szCs w:val="22"/>
        </w:rPr>
        <w:t> </w:t>
      </w:r>
      <w:r w:rsidRPr="000F2F4A">
        <w:rPr>
          <w:szCs w:val="22"/>
        </w:rPr>
        <w:t xml:space="preserve">mg/day at study entry followed by a mandatory taper schedule, with complete corticosteroid discontinuation by Week 15. </w:t>
      </w:r>
    </w:p>
    <w:p w14:paraId="0576BE45" w14:textId="77777777" w:rsidR="00AB3BE8" w:rsidRPr="000F2F4A" w:rsidRDefault="00AB3BE8" w:rsidP="00AB3BE8">
      <w:pPr>
        <w:pStyle w:val="EMEANormal"/>
        <w:rPr>
          <w:szCs w:val="22"/>
        </w:rPr>
      </w:pPr>
    </w:p>
    <w:p w14:paraId="376E07ED" w14:textId="77777777" w:rsidR="00AB3BE8" w:rsidRPr="00036B2C" w:rsidRDefault="00944B8F" w:rsidP="00AB3BE8">
      <w:pPr>
        <w:pStyle w:val="EMEANormal"/>
      </w:pPr>
      <w:r w:rsidRPr="70D4D675">
        <w:rPr>
          <w:lang w:val="en-GB"/>
        </w:rPr>
        <w:t xml:space="preserve">Study UV II evaluated 226 patients with inactive uveitis requiring chronic corticosteroid treatment (oral prednisone 10 to 35 mg/day) at baseline to control their disease. Patients subsequently underwent a mandatory taper schedule, with complete corticosteroid discontinuation by Week 19. </w:t>
      </w:r>
    </w:p>
    <w:p w14:paraId="1332E50B" w14:textId="77777777" w:rsidR="00AB3BE8" w:rsidRPr="00174BCE" w:rsidRDefault="00AB3BE8" w:rsidP="00AB3BE8">
      <w:pPr>
        <w:pStyle w:val="EMEANormal"/>
        <w:rPr>
          <w:szCs w:val="22"/>
        </w:rPr>
      </w:pPr>
    </w:p>
    <w:p w14:paraId="22899796" w14:textId="77777777" w:rsidR="00AB3BE8" w:rsidRPr="00F91508" w:rsidRDefault="00944B8F" w:rsidP="00AB3BE8">
      <w:pPr>
        <w:pStyle w:val="EMEANormal"/>
      </w:pPr>
      <w:r w:rsidRPr="70D4D675">
        <w:rPr>
          <w:lang w:val="en-GB"/>
        </w:rPr>
        <w:t xml:space="preserve">The primary efficacy endpoint in both studies was ´time to treatment failure´. Treatment failure was defined by a multi-component outcome based on inflammatory chorioretinal and/or inflammatory retinal vascular lesions, anterior chamber (AC) cell grade, vitreous haze (VH) grade and best corrected visual acuity (BCVA). </w:t>
      </w:r>
    </w:p>
    <w:p w14:paraId="13891F00" w14:textId="77777777" w:rsidR="00080702" w:rsidRDefault="00080702" w:rsidP="00AB3BE8">
      <w:pPr>
        <w:pStyle w:val="EMEANormal"/>
        <w:rPr>
          <w:szCs w:val="22"/>
        </w:rPr>
      </w:pPr>
    </w:p>
    <w:p w14:paraId="0E76FDBF" w14:textId="77777777" w:rsidR="00AB3BE8" w:rsidRDefault="00944B8F" w:rsidP="00AB3BE8">
      <w:pPr>
        <w:pStyle w:val="EMEANormal"/>
      </w:pPr>
      <w:r w:rsidRPr="70D4D675">
        <w:rPr>
          <w:lang w:val="en-GB"/>
        </w:rPr>
        <w:t>Patients who completed Studies UV I and UV</w:t>
      </w:r>
      <w:r w:rsidR="00947BEB" w:rsidRPr="70D4D675">
        <w:rPr>
          <w:lang w:val="en-GB"/>
        </w:rPr>
        <w:t xml:space="preserve"> II were eligible to enroll in</w:t>
      </w:r>
      <w:r w:rsidRPr="70D4D675">
        <w:rPr>
          <w:lang w:val="en-GB"/>
        </w:rPr>
        <w:t xml:space="preserve"> an uncontrolled long-term extension study with an originally planned duration of 78 weeks. Patients were allowed to continue on study medication beyond Week 78 until they had access to Humira.</w:t>
      </w:r>
    </w:p>
    <w:p w14:paraId="05F14B74" w14:textId="77777777" w:rsidR="00080702" w:rsidRPr="00F91508" w:rsidRDefault="00080702" w:rsidP="00AB3BE8">
      <w:pPr>
        <w:pStyle w:val="EMEANormal"/>
        <w:rPr>
          <w:szCs w:val="22"/>
        </w:rPr>
      </w:pPr>
    </w:p>
    <w:p w14:paraId="14E8440F" w14:textId="77777777" w:rsidR="00AB3BE8" w:rsidRPr="00F91508" w:rsidRDefault="00944B8F" w:rsidP="00AB3BE8">
      <w:pPr>
        <w:pStyle w:val="EMEANormal"/>
        <w:rPr>
          <w:i/>
          <w:szCs w:val="22"/>
          <w:u w:val="single"/>
        </w:rPr>
      </w:pPr>
      <w:r w:rsidRPr="00F91508">
        <w:rPr>
          <w:i/>
          <w:szCs w:val="22"/>
          <w:u w:val="single"/>
        </w:rPr>
        <w:t>Clinical Response</w:t>
      </w:r>
    </w:p>
    <w:p w14:paraId="2D87BFA7" w14:textId="77777777" w:rsidR="00AB3BE8" w:rsidRPr="00F619C1" w:rsidRDefault="00AB3BE8" w:rsidP="00AB3BE8">
      <w:pPr>
        <w:pStyle w:val="EMEANormal"/>
        <w:rPr>
          <w:szCs w:val="22"/>
          <w:u w:val="single"/>
        </w:rPr>
      </w:pPr>
    </w:p>
    <w:p w14:paraId="4BD03917" w14:textId="77777777" w:rsidR="00AB3BE8" w:rsidRPr="00B720DC" w:rsidRDefault="00944B8F" w:rsidP="00AB3BE8">
      <w:pPr>
        <w:pStyle w:val="EMEANormal"/>
      </w:pPr>
      <w:r w:rsidRPr="70D4D675">
        <w:rPr>
          <w:lang w:val="en-GB"/>
        </w:rPr>
        <w:t xml:space="preserve">Results from both studies demonstrated statistically significant reduction of the risk of treatment failure in patients treated with Humira versus patients receiving placebo (See Table </w:t>
      </w:r>
      <w:r w:rsidR="00D32B46" w:rsidRPr="70D4D675">
        <w:rPr>
          <w:lang w:val="en-GB"/>
        </w:rPr>
        <w:t>16</w:t>
      </w:r>
      <w:r w:rsidRPr="70D4D675">
        <w:rPr>
          <w:lang w:val="en-GB"/>
        </w:rPr>
        <w:t xml:space="preserve">). Both studies demonstrated an early and sustained effect of Humira on the treatment failure rate versus placebo (see Figure </w:t>
      </w:r>
      <w:r w:rsidR="002271F0" w:rsidRPr="70D4D675">
        <w:rPr>
          <w:lang w:val="en-GB"/>
        </w:rPr>
        <w:t>1</w:t>
      </w:r>
      <w:r w:rsidRPr="70D4D675">
        <w:rPr>
          <w:lang w:val="en-GB"/>
        </w:rPr>
        <w:t xml:space="preserve">). </w:t>
      </w:r>
    </w:p>
    <w:p w14:paraId="0E2B15E1" w14:textId="77777777" w:rsidR="00AB3BE8" w:rsidRPr="003F7AAE" w:rsidRDefault="00AB3BE8" w:rsidP="00AB3BE8">
      <w:pPr>
        <w:pStyle w:val="EMEANormal"/>
        <w:rPr>
          <w:szCs w:val="22"/>
        </w:rPr>
      </w:pPr>
    </w:p>
    <w:p w14:paraId="25F30925" w14:textId="77777777" w:rsidR="00AB3BE8" w:rsidRPr="00B720DC" w:rsidRDefault="00944B8F" w:rsidP="00AB3BE8">
      <w:pPr>
        <w:pStyle w:val="EMEANormal"/>
        <w:jc w:val="center"/>
        <w:rPr>
          <w:b/>
          <w:szCs w:val="22"/>
        </w:rPr>
      </w:pPr>
      <w:r>
        <w:rPr>
          <w:b/>
          <w:szCs w:val="22"/>
        </w:rPr>
        <w:t xml:space="preserve">Table </w:t>
      </w:r>
      <w:r w:rsidR="00D32B46">
        <w:rPr>
          <w:b/>
          <w:szCs w:val="22"/>
        </w:rPr>
        <w:t>16</w:t>
      </w:r>
      <w:r w:rsidRPr="00B720DC">
        <w:rPr>
          <w:b/>
          <w:szCs w:val="22"/>
        </w:rPr>
        <w:t xml:space="preserve"> </w:t>
      </w:r>
    </w:p>
    <w:p w14:paraId="77B290F4" w14:textId="77777777" w:rsidR="00AB3BE8" w:rsidRPr="00B720DC" w:rsidRDefault="00944B8F" w:rsidP="00AB3BE8">
      <w:pPr>
        <w:pStyle w:val="EMEANormal"/>
        <w:jc w:val="center"/>
        <w:rPr>
          <w:b/>
          <w:szCs w:val="22"/>
        </w:rPr>
      </w:pPr>
      <w:r w:rsidRPr="00B720DC">
        <w:rPr>
          <w:b/>
          <w:szCs w:val="22"/>
        </w:rPr>
        <w:t>Time to Treatment Failure in Studies UV I and UV II</w:t>
      </w:r>
    </w:p>
    <w:p w14:paraId="186FC98B" w14:textId="77777777" w:rsidR="00AB3BE8" w:rsidRPr="00B720DC" w:rsidRDefault="00AB3BE8" w:rsidP="00AB3BE8">
      <w:pPr>
        <w:pStyle w:val="EMEANormal"/>
        <w:jc w:val="center"/>
        <w:rPr>
          <w:b/>
          <w:szCs w:val="22"/>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C6578C" w14:paraId="5D81F64A" w14:textId="77777777" w:rsidTr="00A6206B">
        <w:tc>
          <w:tcPr>
            <w:tcW w:w="2268" w:type="dxa"/>
            <w:tcBorders>
              <w:top w:val="single" w:sz="4" w:space="0" w:color="auto"/>
              <w:bottom w:val="single" w:sz="4" w:space="0" w:color="auto"/>
            </w:tcBorders>
          </w:tcPr>
          <w:p w14:paraId="1393985D" w14:textId="77777777" w:rsidR="00AB3BE8" w:rsidRPr="00B720DC" w:rsidRDefault="00944B8F" w:rsidP="00A6206B">
            <w:pPr>
              <w:pStyle w:val="EMEANormal"/>
              <w:rPr>
                <w:b/>
                <w:szCs w:val="22"/>
              </w:rPr>
            </w:pPr>
            <w:r w:rsidRPr="00B720DC">
              <w:rPr>
                <w:b/>
                <w:szCs w:val="22"/>
              </w:rPr>
              <w:t>Analysis</w:t>
            </w:r>
          </w:p>
          <w:p w14:paraId="2048EA79" w14:textId="77777777" w:rsidR="00AB3BE8" w:rsidRPr="00B720DC" w:rsidRDefault="00944B8F" w:rsidP="00A6206B">
            <w:pPr>
              <w:pStyle w:val="EMEANormal"/>
              <w:rPr>
                <w:b/>
                <w:szCs w:val="22"/>
              </w:rPr>
            </w:pPr>
            <w:r w:rsidRPr="00B720DC">
              <w:rPr>
                <w:b/>
                <w:szCs w:val="22"/>
              </w:rPr>
              <w:tab/>
              <w:t>Treatment</w:t>
            </w:r>
          </w:p>
        </w:tc>
        <w:tc>
          <w:tcPr>
            <w:tcW w:w="720" w:type="dxa"/>
            <w:tcBorders>
              <w:top w:val="single" w:sz="4" w:space="0" w:color="auto"/>
              <w:bottom w:val="single" w:sz="4" w:space="0" w:color="auto"/>
            </w:tcBorders>
          </w:tcPr>
          <w:p w14:paraId="2857F0C3" w14:textId="77777777" w:rsidR="00AB3BE8" w:rsidRPr="00B720DC" w:rsidRDefault="00944B8F" w:rsidP="00A6206B">
            <w:pPr>
              <w:pStyle w:val="EMEANormal"/>
              <w:rPr>
                <w:b/>
                <w:szCs w:val="22"/>
              </w:rPr>
            </w:pPr>
            <w:r w:rsidRPr="00B720DC">
              <w:rPr>
                <w:b/>
                <w:szCs w:val="22"/>
              </w:rPr>
              <w:t>N</w:t>
            </w:r>
          </w:p>
        </w:tc>
        <w:tc>
          <w:tcPr>
            <w:tcW w:w="1170" w:type="dxa"/>
            <w:tcBorders>
              <w:top w:val="single" w:sz="4" w:space="0" w:color="auto"/>
              <w:bottom w:val="single" w:sz="4" w:space="0" w:color="auto"/>
            </w:tcBorders>
          </w:tcPr>
          <w:p w14:paraId="50BC2349" w14:textId="77777777" w:rsidR="00AB3BE8" w:rsidRPr="00B720DC" w:rsidRDefault="00944B8F" w:rsidP="00A6206B">
            <w:pPr>
              <w:pStyle w:val="EMEANormal"/>
              <w:rPr>
                <w:b/>
                <w:szCs w:val="22"/>
              </w:rPr>
            </w:pPr>
            <w:r w:rsidRPr="00B720DC">
              <w:rPr>
                <w:b/>
                <w:szCs w:val="22"/>
              </w:rPr>
              <w:t>Failure</w:t>
            </w:r>
            <w:r w:rsidRPr="00B720DC">
              <w:rPr>
                <w:b/>
                <w:szCs w:val="22"/>
              </w:rPr>
              <w:br/>
              <w:t>N (%)</w:t>
            </w:r>
          </w:p>
        </w:tc>
        <w:tc>
          <w:tcPr>
            <w:tcW w:w="1890" w:type="dxa"/>
            <w:tcBorders>
              <w:top w:val="single" w:sz="4" w:space="0" w:color="auto"/>
              <w:bottom w:val="single" w:sz="4" w:space="0" w:color="auto"/>
            </w:tcBorders>
          </w:tcPr>
          <w:p w14:paraId="5CA27512" w14:textId="77777777" w:rsidR="00AB3BE8" w:rsidRPr="00B720DC" w:rsidRDefault="00944B8F" w:rsidP="00A6206B">
            <w:pPr>
              <w:pStyle w:val="EMEANormal"/>
              <w:rPr>
                <w:b/>
                <w:szCs w:val="22"/>
              </w:rPr>
            </w:pPr>
            <w:r w:rsidRPr="00B720DC">
              <w:rPr>
                <w:b/>
                <w:szCs w:val="22"/>
              </w:rPr>
              <w:t>Median Time to Failure (months)</w:t>
            </w:r>
          </w:p>
        </w:tc>
        <w:tc>
          <w:tcPr>
            <w:tcW w:w="720" w:type="dxa"/>
            <w:tcBorders>
              <w:top w:val="single" w:sz="4" w:space="0" w:color="auto"/>
              <w:bottom w:val="single" w:sz="4" w:space="0" w:color="auto"/>
            </w:tcBorders>
          </w:tcPr>
          <w:p w14:paraId="5F720D4D" w14:textId="77777777" w:rsidR="00AB3BE8" w:rsidRPr="00B720DC" w:rsidRDefault="00944B8F" w:rsidP="00A6206B">
            <w:pPr>
              <w:pStyle w:val="EMEANormal"/>
              <w:rPr>
                <w:b/>
                <w:lang w:val="en-GB"/>
              </w:rPr>
            </w:pPr>
            <w:r w:rsidRPr="70D4D675">
              <w:rPr>
                <w:b/>
                <w:lang w:val="en-GB"/>
              </w:rPr>
              <w:t>HR</w:t>
            </w:r>
            <w:r w:rsidRPr="70D4D675">
              <w:rPr>
                <w:b/>
                <w:vertAlign w:val="superscript"/>
                <w:lang w:val="en-GB"/>
              </w:rPr>
              <w:t>a</w:t>
            </w:r>
          </w:p>
        </w:tc>
        <w:tc>
          <w:tcPr>
            <w:tcW w:w="1170" w:type="dxa"/>
            <w:tcBorders>
              <w:top w:val="single" w:sz="4" w:space="0" w:color="auto"/>
              <w:bottom w:val="single" w:sz="4" w:space="0" w:color="auto"/>
            </w:tcBorders>
          </w:tcPr>
          <w:p w14:paraId="3575340A" w14:textId="77777777" w:rsidR="00AB3BE8" w:rsidRPr="00B720DC" w:rsidRDefault="00944B8F" w:rsidP="00A6206B">
            <w:pPr>
              <w:pStyle w:val="EMEANormal"/>
              <w:rPr>
                <w:b/>
                <w:lang w:val="en-GB"/>
              </w:rPr>
            </w:pPr>
            <w:r w:rsidRPr="70D4D675">
              <w:rPr>
                <w:b/>
                <w:lang w:val="en-GB"/>
              </w:rPr>
              <w:t>CI 95% for HR</w:t>
            </w:r>
            <w:r w:rsidRPr="70D4D675">
              <w:rPr>
                <w:b/>
                <w:vertAlign w:val="superscript"/>
                <w:lang w:val="en-GB"/>
              </w:rPr>
              <w:t>a</w:t>
            </w:r>
          </w:p>
        </w:tc>
        <w:tc>
          <w:tcPr>
            <w:tcW w:w="1080" w:type="dxa"/>
            <w:tcBorders>
              <w:top w:val="single" w:sz="4" w:space="0" w:color="auto"/>
              <w:bottom w:val="single" w:sz="4" w:space="0" w:color="auto"/>
            </w:tcBorders>
          </w:tcPr>
          <w:p w14:paraId="6C5A4124" w14:textId="77777777" w:rsidR="00AB3BE8" w:rsidRPr="00B720DC" w:rsidRDefault="00944B8F" w:rsidP="00A6206B">
            <w:pPr>
              <w:pStyle w:val="EMEANormal"/>
              <w:rPr>
                <w:b/>
                <w:szCs w:val="22"/>
              </w:rPr>
            </w:pPr>
            <w:r w:rsidRPr="00B720DC">
              <w:rPr>
                <w:b/>
                <w:i/>
                <w:szCs w:val="22"/>
              </w:rPr>
              <w:t>P</w:t>
            </w:r>
            <w:r w:rsidRPr="00B720DC">
              <w:rPr>
                <w:b/>
                <w:szCs w:val="22"/>
              </w:rPr>
              <w:t xml:space="preserve"> Value</w:t>
            </w:r>
            <w:r w:rsidRPr="00B720DC">
              <w:rPr>
                <w:szCs w:val="22"/>
                <w:vertAlign w:val="superscript"/>
              </w:rPr>
              <w:t xml:space="preserve"> b</w:t>
            </w:r>
          </w:p>
        </w:tc>
      </w:tr>
      <w:tr w:rsidR="00C6578C" w14:paraId="6C5030C4" w14:textId="77777777" w:rsidTr="00A6206B">
        <w:tc>
          <w:tcPr>
            <w:tcW w:w="9018" w:type="dxa"/>
            <w:gridSpan w:val="7"/>
            <w:tcBorders>
              <w:top w:val="single" w:sz="4" w:space="0" w:color="auto"/>
              <w:bottom w:val="nil"/>
            </w:tcBorders>
          </w:tcPr>
          <w:p w14:paraId="5DD26A98" w14:textId="77777777" w:rsidR="00AB3BE8" w:rsidRPr="00B720DC" w:rsidRDefault="00944B8F" w:rsidP="00A6206B">
            <w:pPr>
              <w:pStyle w:val="EMEANormal"/>
              <w:rPr>
                <w:b/>
                <w:lang w:val="en-GB"/>
              </w:rPr>
            </w:pPr>
            <w:r w:rsidRPr="70D4D675">
              <w:rPr>
                <w:b/>
                <w:lang w:val="en-GB"/>
              </w:rPr>
              <w:t xml:space="preserve">Time to Treatment Failure At or After Week 6 in Study UV I  </w:t>
            </w:r>
          </w:p>
        </w:tc>
      </w:tr>
      <w:tr w:rsidR="00C6578C" w14:paraId="566F8E78" w14:textId="77777777" w:rsidTr="00A6206B">
        <w:tc>
          <w:tcPr>
            <w:tcW w:w="2988" w:type="dxa"/>
            <w:gridSpan w:val="2"/>
            <w:tcBorders>
              <w:top w:val="nil"/>
              <w:bottom w:val="nil"/>
            </w:tcBorders>
          </w:tcPr>
          <w:p w14:paraId="5B6BD074" w14:textId="77777777" w:rsidR="00AB3BE8" w:rsidRPr="00B720DC" w:rsidRDefault="00944B8F" w:rsidP="00A6206B">
            <w:pPr>
              <w:pStyle w:val="EMEANormal"/>
              <w:rPr>
                <w:szCs w:val="22"/>
              </w:rPr>
            </w:pPr>
            <w:r w:rsidRPr="00B720DC">
              <w:rPr>
                <w:szCs w:val="22"/>
              </w:rPr>
              <w:t>Primary analysis (ITT)</w:t>
            </w:r>
          </w:p>
        </w:tc>
        <w:tc>
          <w:tcPr>
            <w:tcW w:w="1170" w:type="dxa"/>
            <w:tcBorders>
              <w:top w:val="nil"/>
              <w:bottom w:val="nil"/>
            </w:tcBorders>
          </w:tcPr>
          <w:p w14:paraId="5228D8B7" w14:textId="77777777" w:rsidR="00AB3BE8" w:rsidRPr="00B720DC" w:rsidRDefault="00AB3BE8" w:rsidP="00A6206B">
            <w:pPr>
              <w:pStyle w:val="EMEANormal"/>
              <w:rPr>
                <w:szCs w:val="22"/>
              </w:rPr>
            </w:pPr>
          </w:p>
        </w:tc>
        <w:tc>
          <w:tcPr>
            <w:tcW w:w="1890" w:type="dxa"/>
            <w:tcBorders>
              <w:top w:val="nil"/>
              <w:bottom w:val="nil"/>
            </w:tcBorders>
          </w:tcPr>
          <w:p w14:paraId="040ED7E0" w14:textId="77777777" w:rsidR="00AB3BE8" w:rsidRPr="00B720DC" w:rsidRDefault="00AB3BE8" w:rsidP="00A6206B">
            <w:pPr>
              <w:pStyle w:val="EMEANormal"/>
              <w:rPr>
                <w:szCs w:val="22"/>
              </w:rPr>
            </w:pPr>
          </w:p>
        </w:tc>
        <w:tc>
          <w:tcPr>
            <w:tcW w:w="720" w:type="dxa"/>
            <w:tcBorders>
              <w:top w:val="nil"/>
              <w:bottom w:val="nil"/>
            </w:tcBorders>
          </w:tcPr>
          <w:p w14:paraId="487C555C" w14:textId="77777777" w:rsidR="00AB3BE8" w:rsidRPr="00B720DC" w:rsidRDefault="00AB3BE8" w:rsidP="00A6206B">
            <w:pPr>
              <w:pStyle w:val="EMEANormal"/>
              <w:rPr>
                <w:szCs w:val="22"/>
              </w:rPr>
            </w:pPr>
          </w:p>
        </w:tc>
        <w:tc>
          <w:tcPr>
            <w:tcW w:w="1170" w:type="dxa"/>
            <w:tcBorders>
              <w:top w:val="nil"/>
              <w:bottom w:val="nil"/>
            </w:tcBorders>
          </w:tcPr>
          <w:p w14:paraId="64E391F9" w14:textId="77777777" w:rsidR="00AB3BE8" w:rsidRPr="00B720DC" w:rsidRDefault="00AB3BE8" w:rsidP="00A6206B">
            <w:pPr>
              <w:pStyle w:val="EMEANormal"/>
              <w:rPr>
                <w:szCs w:val="22"/>
              </w:rPr>
            </w:pPr>
          </w:p>
        </w:tc>
        <w:tc>
          <w:tcPr>
            <w:tcW w:w="1080" w:type="dxa"/>
            <w:tcBorders>
              <w:top w:val="nil"/>
              <w:bottom w:val="nil"/>
            </w:tcBorders>
          </w:tcPr>
          <w:p w14:paraId="0963D859" w14:textId="77777777" w:rsidR="00AB3BE8" w:rsidRPr="00B720DC" w:rsidRDefault="00AB3BE8" w:rsidP="00A6206B">
            <w:pPr>
              <w:pStyle w:val="EMEANormal"/>
              <w:rPr>
                <w:szCs w:val="22"/>
              </w:rPr>
            </w:pPr>
          </w:p>
        </w:tc>
      </w:tr>
      <w:tr w:rsidR="00C6578C" w14:paraId="656DBFDF" w14:textId="77777777" w:rsidTr="00A6206B">
        <w:tc>
          <w:tcPr>
            <w:tcW w:w="2268" w:type="dxa"/>
            <w:tcBorders>
              <w:top w:val="nil"/>
              <w:bottom w:val="nil"/>
            </w:tcBorders>
          </w:tcPr>
          <w:p w14:paraId="10B97E05" w14:textId="77777777" w:rsidR="00AB3BE8" w:rsidRPr="00B720DC" w:rsidRDefault="00944B8F" w:rsidP="00A6206B">
            <w:pPr>
              <w:pStyle w:val="EMEANormal"/>
              <w:rPr>
                <w:szCs w:val="22"/>
              </w:rPr>
            </w:pPr>
            <w:r w:rsidRPr="00B720DC">
              <w:rPr>
                <w:szCs w:val="22"/>
              </w:rPr>
              <w:tab/>
              <w:t>Placebo</w:t>
            </w:r>
          </w:p>
        </w:tc>
        <w:tc>
          <w:tcPr>
            <w:tcW w:w="720" w:type="dxa"/>
            <w:tcBorders>
              <w:top w:val="nil"/>
              <w:bottom w:val="nil"/>
            </w:tcBorders>
          </w:tcPr>
          <w:p w14:paraId="372432ED" w14:textId="77777777" w:rsidR="00AB3BE8" w:rsidRPr="00B720DC" w:rsidRDefault="00944B8F" w:rsidP="00A6206B">
            <w:pPr>
              <w:pStyle w:val="EMEANormal"/>
              <w:rPr>
                <w:szCs w:val="22"/>
              </w:rPr>
            </w:pPr>
            <w:r w:rsidRPr="00B720DC">
              <w:rPr>
                <w:szCs w:val="22"/>
              </w:rPr>
              <w:t>107</w:t>
            </w:r>
          </w:p>
        </w:tc>
        <w:tc>
          <w:tcPr>
            <w:tcW w:w="1170" w:type="dxa"/>
            <w:tcBorders>
              <w:top w:val="nil"/>
              <w:bottom w:val="nil"/>
            </w:tcBorders>
          </w:tcPr>
          <w:p w14:paraId="02C26EEA" w14:textId="77777777" w:rsidR="00AB3BE8" w:rsidRPr="00B720DC" w:rsidRDefault="00944B8F" w:rsidP="00A6206B">
            <w:pPr>
              <w:pStyle w:val="EMEANormal"/>
              <w:rPr>
                <w:szCs w:val="22"/>
              </w:rPr>
            </w:pPr>
            <w:r w:rsidRPr="00B720DC">
              <w:rPr>
                <w:szCs w:val="22"/>
              </w:rPr>
              <w:t>84 (78.5)</w:t>
            </w:r>
          </w:p>
        </w:tc>
        <w:tc>
          <w:tcPr>
            <w:tcW w:w="1890" w:type="dxa"/>
            <w:tcBorders>
              <w:top w:val="nil"/>
              <w:bottom w:val="nil"/>
            </w:tcBorders>
          </w:tcPr>
          <w:p w14:paraId="7825BF0D" w14:textId="77777777" w:rsidR="00AB3BE8" w:rsidRPr="00B720DC" w:rsidRDefault="00944B8F" w:rsidP="00A6206B">
            <w:pPr>
              <w:pStyle w:val="EMEANormal"/>
              <w:rPr>
                <w:szCs w:val="22"/>
              </w:rPr>
            </w:pPr>
            <w:r w:rsidRPr="00B720DC">
              <w:rPr>
                <w:szCs w:val="22"/>
              </w:rPr>
              <w:t>3.0</w:t>
            </w:r>
          </w:p>
        </w:tc>
        <w:tc>
          <w:tcPr>
            <w:tcW w:w="720" w:type="dxa"/>
            <w:tcBorders>
              <w:top w:val="nil"/>
              <w:bottom w:val="nil"/>
            </w:tcBorders>
          </w:tcPr>
          <w:p w14:paraId="5B1F50D5" w14:textId="77777777" w:rsidR="00AB3BE8" w:rsidRPr="00B720DC" w:rsidRDefault="00944B8F" w:rsidP="00A6206B">
            <w:pPr>
              <w:pStyle w:val="EMEANormal"/>
              <w:rPr>
                <w:szCs w:val="22"/>
              </w:rPr>
            </w:pPr>
            <w:r w:rsidRPr="00B720DC">
              <w:rPr>
                <w:szCs w:val="22"/>
              </w:rPr>
              <w:t>--</w:t>
            </w:r>
          </w:p>
        </w:tc>
        <w:tc>
          <w:tcPr>
            <w:tcW w:w="1170" w:type="dxa"/>
            <w:tcBorders>
              <w:top w:val="nil"/>
              <w:bottom w:val="nil"/>
            </w:tcBorders>
          </w:tcPr>
          <w:p w14:paraId="5B6CD691" w14:textId="77777777" w:rsidR="00AB3BE8" w:rsidRPr="00B720DC" w:rsidRDefault="00944B8F" w:rsidP="00A6206B">
            <w:pPr>
              <w:pStyle w:val="EMEANormal"/>
              <w:rPr>
                <w:szCs w:val="22"/>
              </w:rPr>
            </w:pPr>
            <w:r w:rsidRPr="00B720DC">
              <w:rPr>
                <w:szCs w:val="22"/>
              </w:rPr>
              <w:t>--</w:t>
            </w:r>
          </w:p>
        </w:tc>
        <w:tc>
          <w:tcPr>
            <w:tcW w:w="1080" w:type="dxa"/>
            <w:tcBorders>
              <w:top w:val="nil"/>
              <w:bottom w:val="nil"/>
            </w:tcBorders>
          </w:tcPr>
          <w:p w14:paraId="797054AF" w14:textId="77777777" w:rsidR="00AB3BE8" w:rsidRPr="00B720DC" w:rsidRDefault="00944B8F" w:rsidP="00A6206B">
            <w:pPr>
              <w:pStyle w:val="EMEANormal"/>
              <w:rPr>
                <w:szCs w:val="22"/>
              </w:rPr>
            </w:pPr>
            <w:r w:rsidRPr="00B720DC">
              <w:rPr>
                <w:szCs w:val="22"/>
              </w:rPr>
              <w:t>--</w:t>
            </w:r>
          </w:p>
        </w:tc>
      </w:tr>
      <w:tr w:rsidR="00C6578C" w14:paraId="5896D5D6" w14:textId="77777777" w:rsidTr="00A6206B">
        <w:tc>
          <w:tcPr>
            <w:tcW w:w="2268" w:type="dxa"/>
            <w:tcBorders>
              <w:top w:val="nil"/>
              <w:bottom w:val="single" w:sz="4" w:space="0" w:color="auto"/>
            </w:tcBorders>
          </w:tcPr>
          <w:p w14:paraId="3E66C96B" w14:textId="77777777" w:rsidR="00AB3BE8" w:rsidRPr="00B720DC" w:rsidRDefault="00944B8F" w:rsidP="00A6206B">
            <w:pPr>
              <w:pStyle w:val="EMEANormal"/>
              <w:rPr>
                <w:szCs w:val="22"/>
              </w:rPr>
            </w:pPr>
            <w:r w:rsidRPr="00B720DC">
              <w:rPr>
                <w:szCs w:val="22"/>
              </w:rPr>
              <w:tab/>
              <w:t>Adalimumab</w:t>
            </w:r>
          </w:p>
        </w:tc>
        <w:tc>
          <w:tcPr>
            <w:tcW w:w="720" w:type="dxa"/>
            <w:tcBorders>
              <w:top w:val="nil"/>
              <w:bottom w:val="single" w:sz="4" w:space="0" w:color="auto"/>
            </w:tcBorders>
          </w:tcPr>
          <w:p w14:paraId="0849EDEF" w14:textId="77777777" w:rsidR="00AB3BE8" w:rsidRPr="00B720DC" w:rsidRDefault="00944B8F" w:rsidP="00A6206B">
            <w:pPr>
              <w:pStyle w:val="EMEANormal"/>
              <w:rPr>
                <w:szCs w:val="22"/>
              </w:rPr>
            </w:pPr>
            <w:r w:rsidRPr="00B720DC">
              <w:rPr>
                <w:szCs w:val="22"/>
              </w:rPr>
              <w:t>110</w:t>
            </w:r>
          </w:p>
        </w:tc>
        <w:tc>
          <w:tcPr>
            <w:tcW w:w="1170" w:type="dxa"/>
            <w:tcBorders>
              <w:top w:val="nil"/>
              <w:bottom w:val="single" w:sz="4" w:space="0" w:color="auto"/>
            </w:tcBorders>
          </w:tcPr>
          <w:p w14:paraId="1739980F" w14:textId="77777777" w:rsidR="00AB3BE8" w:rsidRPr="00B720DC" w:rsidRDefault="00944B8F" w:rsidP="00A6206B">
            <w:pPr>
              <w:pStyle w:val="EMEANormal"/>
              <w:rPr>
                <w:szCs w:val="22"/>
              </w:rPr>
            </w:pPr>
            <w:r w:rsidRPr="00B720DC">
              <w:rPr>
                <w:szCs w:val="22"/>
              </w:rPr>
              <w:t>60 (54.5)</w:t>
            </w:r>
          </w:p>
        </w:tc>
        <w:tc>
          <w:tcPr>
            <w:tcW w:w="1890" w:type="dxa"/>
            <w:tcBorders>
              <w:top w:val="nil"/>
              <w:bottom w:val="single" w:sz="4" w:space="0" w:color="auto"/>
            </w:tcBorders>
          </w:tcPr>
          <w:p w14:paraId="178B2DB3" w14:textId="77777777" w:rsidR="00AB3BE8" w:rsidRPr="00B720DC" w:rsidRDefault="00944B8F" w:rsidP="00A6206B">
            <w:pPr>
              <w:pStyle w:val="EMEANormal"/>
              <w:rPr>
                <w:szCs w:val="22"/>
              </w:rPr>
            </w:pPr>
            <w:r w:rsidRPr="00B720DC">
              <w:rPr>
                <w:szCs w:val="22"/>
              </w:rPr>
              <w:t>5.6</w:t>
            </w:r>
          </w:p>
        </w:tc>
        <w:tc>
          <w:tcPr>
            <w:tcW w:w="720" w:type="dxa"/>
            <w:tcBorders>
              <w:top w:val="nil"/>
              <w:bottom w:val="single" w:sz="4" w:space="0" w:color="auto"/>
            </w:tcBorders>
          </w:tcPr>
          <w:p w14:paraId="5164F2FC" w14:textId="77777777" w:rsidR="00AB3BE8" w:rsidRPr="00B720DC" w:rsidRDefault="00944B8F" w:rsidP="00A6206B">
            <w:pPr>
              <w:pStyle w:val="EMEANormal"/>
              <w:rPr>
                <w:szCs w:val="22"/>
              </w:rPr>
            </w:pPr>
            <w:r w:rsidRPr="00B720DC">
              <w:rPr>
                <w:szCs w:val="22"/>
              </w:rPr>
              <w:t>0.50</w:t>
            </w:r>
          </w:p>
        </w:tc>
        <w:tc>
          <w:tcPr>
            <w:tcW w:w="1170" w:type="dxa"/>
            <w:tcBorders>
              <w:top w:val="nil"/>
              <w:bottom w:val="single" w:sz="4" w:space="0" w:color="auto"/>
            </w:tcBorders>
          </w:tcPr>
          <w:p w14:paraId="28CA87EA" w14:textId="77777777" w:rsidR="00AB3BE8" w:rsidRPr="00B720DC" w:rsidRDefault="00944B8F" w:rsidP="00A6206B">
            <w:pPr>
              <w:pStyle w:val="EMEANormal"/>
              <w:rPr>
                <w:szCs w:val="22"/>
              </w:rPr>
            </w:pPr>
            <w:r w:rsidRPr="00B720DC">
              <w:rPr>
                <w:szCs w:val="22"/>
              </w:rPr>
              <w:t>0.36, 0.70</w:t>
            </w:r>
            <w:r w:rsidRPr="00B720DC">
              <w:rPr>
                <w:szCs w:val="22"/>
                <w:vertAlign w:val="superscript"/>
              </w:rPr>
              <w:t xml:space="preserve"> </w:t>
            </w:r>
          </w:p>
        </w:tc>
        <w:tc>
          <w:tcPr>
            <w:tcW w:w="1080" w:type="dxa"/>
            <w:tcBorders>
              <w:top w:val="nil"/>
              <w:bottom w:val="single" w:sz="4" w:space="0" w:color="auto"/>
            </w:tcBorders>
          </w:tcPr>
          <w:p w14:paraId="7CCCD1BA" w14:textId="77777777" w:rsidR="00AB3BE8" w:rsidRPr="00B720DC" w:rsidRDefault="00944B8F" w:rsidP="00A6206B">
            <w:pPr>
              <w:pStyle w:val="EMEANormal"/>
              <w:rPr>
                <w:szCs w:val="22"/>
              </w:rPr>
            </w:pPr>
            <w:r w:rsidRPr="00B720DC">
              <w:rPr>
                <w:szCs w:val="22"/>
              </w:rPr>
              <w:t>&lt; 0.001</w:t>
            </w:r>
          </w:p>
        </w:tc>
      </w:tr>
      <w:tr w:rsidR="00C6578C" w14:paraId="7E6B8F1A" w14:textId="77777777" w:rsidTr="00A6206B">
        <w:tblPrEx>
          <w:tblBorders>
            <w:left w:val="single" w:sz="4" w:space="0" w:color="auto"/>
            <w:right w:val="single" w:sz="4" w:space="0" w:color="auto"/>
            <w:insideH w:val="single" w:sz="4" w:space="0" w:color="auto"/>
            <w:insideV w:val="single" w:sz="4" w:space="0" w:color="auto"/>
          </w:tblBorders>
        </w:tblPrEx>
        <w:tc>
          <w:tcPr>
            <w:tcW w:w="9018" w:type="dxa"/>
            <w:gridSpan w:val="7"/>
            <w:tcBorders>
              <w:left w:val="nil"/>
              <w:bottom w:val="nil"/>
              <w:right w:val="nil"/>
            </w:tcBorders>
          </w:tcPr>
          <w:p w14:paraId="2D9669F4" w14:textId="77777777" w:rsidR="00AB3BE8" w:rsidRPr="00B720DC" w:rsidRDefault="00944B8F" w:rsidP="00A6206B">
            <w:pPr>
              <w:pStyle w:val="EMEANormal"/>
              <w:rPr>
                <w:b/>
                <w:lang w:val="en-GB"/>
              </w:rPr>
            </w:pPr>
            <w:r w:rsidRPr="70D4D675">
              <w:rPr>
                <w:b/>
                <w:lang w:val="en-GB"/>
              </w:rPr>
              <w:t>Time to Treatment Failure At or After Week 2 in Study UV II</w:t>
            </w:r>
          </w:p>
        </w:tc>
      </w:tr>
      <w:tr w:rsidR="00C6578C" w14:paraId="3242A128" w14:textId="77777777" w:rsidTr="00A6206B">
        <w:tblPrEx>
          <w:tblBorders>
            <w:left w:val="single" w:sz="4" w:space="0" w:color="auto"/>
            <w:right w:val="single" w:sz="4" w:space="0" w:color="auto"/>
            <w:insideH w:val="single" w:sz="4" w:space="0" w:color="auto"/>
            <w:insideV w:val="single" w:sz="4" w:space="0" w:color="auto"/>
          </w:tblBorders>
        </w:tblPrEx>
        <w:tc>
          <w:tcPr>
            <w:tcW w:w="2988" w:type="dxa"/>
            <w:gridSpan w:val="2"/>
            <w:tcBorders>
              <w:top w:val="nil"/>
              <w:left w:val="nil"/>
              <w:bottom w:val="nil"/>
              <w:right w:val="nil"/>
            </w:tcBorders>
          </w:tcPr>
          <w:p w14:paraId="7F5DD400" w14:textId="77777777" w:rsidR="00AB3BE8" w:rsidRPr="00B720DC" w:rsidRDefault="00944B8F" w:rsidP="00A6206B">
            <w:pPr>
              <w:pStyle w:val="EMEANormal"/>
              <w:rPr>
                <w:szCs w:val="22"/>
              </w:rPr>
            </w:pPr>
            <w:r w:rsidRPr="00B720DC">
              <w:rPr>
                <w:szCs w:val="22"/>
              </w:rPr>
              <w:t>Primary analysis (ITT)</w:t>
            </w:r>
          </w:p>
        </w:tc>
        <w:tc>
          <w:tcPr>
            <w:tcW w:w="1170" w:type="dxa"/>
            <w:tcBorders>
              <w:top w:val="nil"/>
              <w:left w:val="nil"/>
              <w:bottom w:val="nil"/>
              <w:right w:val="nil"/>
            </w:tcBorders>
          </w:tcPr>
          <w:p w14:paraId="4D9AF212" w14:textId="77777777" w:rsidR="00AB3BE8" w:rsidRPr="00B720DC" w:rsidRDefault="00AB3BE8" w:rsidP="00A6206B">
            <w:pPr>
              <w:pStyle w:val="EMEANormal"/>
              <w:rPr>
                <w:szCs w:val="22"/>
              </w:rPr>
            </w:pPr>
          </w:p>
        </w:tc>
        <w:tc>
          <w:tcPr>
            <w:tcW w:w="1890" w:type="dxa"/>
            <w:tcBorders>
              <w:top w:val="nil"/>
              <w:left w:val="nil"/>
              <w:bottom w:val="nil"/>
              <w:right w:val="nil"/>
            </w:tcBorders>
          </w:tcPr>
          <w:p w14:paraId="4C456FEF" w14:textId="77777777" w:rsidR="00AB3BE8" w:rsidRPr="00B720DC" w:rsidRDefault="00AB3BE8" w:rsidP="00A6206B">
            <w:pPr>
              <w:pStyle w:val="EMEANormal"/>
              <w:rPr>
                <w:szCs w:val="22"/>
              </w:rPr>
            </w:pPr>
          </w:p>
        </w:tc>
        <w:tc>
          <w:tcPr>
            <w:tcW w:w="720" w:type="dxa"/>
            <w:tcBorders>
              <w:top w:val="nil"/>
              <w:left w:val="nil"/>
              <w:bottom w:val="nil"/>
              <w:right w:val="nil"/>
            </w:tcBorders>
          </w:tcPr>
          <w:p w14:paraId="1EE40409" w14:textId="77777777" w:rsidR="00AB3BE8" w:rsidRPr="00B720DC" w:rsidRDefault="00AB3BE8" w:rsidP="00A6206B">
            <w:pPr>
              <w:pStyle w:val="EMEANormal"/>
              <w:rPr>
                <w:szCs w:val="22"/>
              </w:rPr>
            </w:pPr>
          </w:p>
        </w:tc>
        <w:tc>
          <w:tcPr>
            <w:tcW w:w="1170" w:type="dxa"/>
            <w:tcBorders>
              <w:top w:val="nil"/>
              <w:left w:val="nil"/>
              <w:bottom w:val="nil"/>
              <w:right w:val="nil"/>
            </w:tcBorders>
          </w:tcPr>
          <w:p w14:paraId="2C7B8970" w14:textId="77777777" w:rsidR="00AB3BE8" w:rsidRPr="00B720DC" w:rsidRDefault="00AB3BE8" w:rsidP="00A6206B">
            <w:pPr>
              <w:pStyle w:val="EMEANormal"/>
              <w:rPr>
                <w:szCs w:val="22"/>
              </w:rPr>
            </w:pPr>
          </w:p>
        </w:tc>
        <w:tc>
          <w:tcPr>
            <w:tcW w:w="1080" w:type="dxa"/>
            <w:tcBorders>
              <w:top w:val="nil"/>
              <w:left w:val="nil"/>
              <w:bottom w:val="nil"/>
              <w:right w:val="nil"/>
            </w:tcBorders>
          </w:tcPr>
          <w:p w14:paraId="1A54620F" w14:textId="77777777" w:rsidR="00AB3BE8" w:rsidRPr="00B720DC" w:rsidRDefault="00AB3BE8" w:rsidP="00A6206B">
            <w:pPr>
              <w:pStyle w:val="EMEANormal"/>
              <w:rPr>
                <w:szCs w:val="22"/>
              </w:rPr>
            </w:pPr>
          </w:p>
        </w:tc>
      </w:tr>
      <w:tr w:rsidR="00C6578C" w14:paraId="08B0E924" w14:textId="77777777" w:rsidTr="00A6206B">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nil"/>
              <w:right w:val="nil"/>
            </w:tcBorders>
          </w:tcPr>
          <w:p w14:paraId="412D4EDA" w14:textId="77777777" w:rsidR="00AB3BE8" w:rsidRPr="00B720DC" w:rsidRDefault="00944B8F" w:rsidP="00A6206B">
            <w:pPr>
              <w:pStyle w:val="EMEANormal"/>
              <w:rPr>
                <w:szCs w:val="22"/>
              </w:rPr>
            </w:pPr>
            <w:r w:rsidRPr="00B720DC">
              <w:rPr>
                <w:szCs w:val="22"/>
              </w:rPr>
              <w:tab/>
              <w:t>Placebo</w:t>
            </w:r>
          </w:p>
        </w:tc>
        <w:tc>
          <w:tcPr>
            <w:tcW w:w="720" w:type="dxa"/>
            <w:tcBorders>
              <w:top w:val="nil"/>
              <w:left w:val="nil"/>
              <w:bottom w:val="nil"/>
              <w:right w:val="nil"/>
            </w:tcBorders>
          </w:tcPr>
          <w:p w14:paraId="0236DA70" w14:textId="77777777" w:rsidR="00AB3BE8" w:rsidRPr="00B720DC" w:rsidRDefault="00944B8F" w:rsidP="00A6206B">
            <w:pPr>
              <w:pStyle w:val="EMEANormal"/>
              <w:rPr>
                <w:szCs w:val="22"/>
              </w:rPr>
            </w:pPr>
            <w:r w:rsidRPr="00B720DC">
              <w:rPr>
                <w:szCs w:val="22"/>
              </w:rPr>
              <w:t>111</w:t>
            </w:r>
          </w:p>
        </w:tc>
        <w:tc>
          <w:tcPr>
            <w:tcW w:w="1170" w:type="dxa"/>
            <w:tcBorders>
              <w:top w:val="nil"/>
              <w:left w:val="nil"/>
              <w:bottom w:val="nil"/>
              <w:right w:val="nil"/>
            </w:tcBorders>
          </w:tcPr>
          <w:p w14:paraId="0D66BAFB" w14:textId="77777777" w:rsidR="00AB3BE8" w:rsidRPr="00B720DC" w:rsidRDefault="00944B8F" w:rsidP="00A6206B">
            <w:pPr>
              <w:pStyle w:val="EMEANormal"/>
              <w:rPr>
                <w:szCs w:val="22"/>
              </w:rPr>
            </w:pPr>
            <w:r w:rsidRPr="00B720DC">
              <w:rPr>
                <w:szCs w:val="22"/>
              </w:rPr>
              <w:t>61 (55.0)</w:t>
            </w:r>
          </w:p>
        </w:tc>
        <w:tc>
          <w:tcPr>
            <w:tcW w:w="1890" w:type="dxa"/>
            <w:tcBorders>
              <w:top w:val="nil"/>
              <w:left w:val="nil"/>
              <w:bottom w:val="nil"/>
              <w:right w:val="nil"/>
            </w:tcBorders>
          </w:tcPr>
          <w:p w14:paraId="391FDCD1" w14:textId="77777777" w:rsidR="00AB3BE8" w:rsidRPr="00B720DC" w:rsidRDefault="00944B8F" w:rsidP="00A6206B">
            <w:pPr>
              <w:pStyle w:val="EMEANormal"/>
              <w:rPr>
                <w:szCs w:val="22"/>
              </w:rPr>
            </w:pPr>
            <w:r w:rsidRPr="00B720DC">
              <w:rPr>
                <w:szCs w:val="22"/>
              </w:rPr>
              <w:t>8.3</w:t>
            </w:r>
          </w:p>
        </w:tc>
        <w:tc>
          <w:tcPr>
            <w:tcW w:w="720" w:type="dxa"/>
            <w:tcBorders>
              <w:top w:val="nil"/>
              <w:left w:val="nil"/>
              <w:bottom w:val="nil"/>
              <w:right w:val="nil"/>
            </w:tcBorders>
          </w:tcPr>
          <w:p w14:paraId="16672029" w14:textId="77777777" w:rsidR="00AB3BE8" w:rsidRPr="00B720DC" w:rsidRDefault="00944B8F" w:rsidP="00A6206B">
            <w:pPr>
              <w:pStyle w:val="EMEANormal"/>
              <w:rPr>
                <w:szCs w:val="22"/>
              </w:rPr>
            </w:pPr>
            <w:r w:rsidRPr="00B720DC">
              <w:rPr>
                <w:szCs w:val="22"/>
              </w:rPr>
              <w:t>--</w:t>
            </w:r>
          </w:p>
        </w:tc>
        <w:tc>
          <w:tcPr>
            <w:tcW w:w="1170" w:type="dxa"/>
            <w:tcBorders>
              <w:top w:val="nil"/>
              <w:left w:val="nil"/>
              <w:bottom w:val="nil"/>
              <w:right w:val="nil"/>
            </w:tcBorders>
          </w:tcPr>
          <w:p w14:paraId="0D497D65" w14:textId="77777777" w:rsidR="00AB3BE8" w:rsidRPr="00B720DC" w:rsidRDefault="00944B8F" w:rsidP="00A6206B">
            <w:pPr>
              <w:pStyle w:val="EMEANormal"/>
              <w:rPr>
                <w:szCs w:val="22"/>
              </w:rPr>
            </w:pPr>
            <w:r w:rsidRPr="00B720DC">
              <w:rPr>
                <w:szCs w:val="22"/>
              </w:rPr>
              <w:t>--</w:t>
            </w:r>
          </w:p>
        </w:tc>
        <w:tc>
          <w:tcPr>
            <w:tcW w:w="1080" w:type="dxa"/>
            <w:tcBorders>
              <w:top w:val="nil"/>
              <w:left w:val="nil"/>
              <w:bottom w:val="nil"/>
              <w:right w:val="nil"/>
            </w:tcBorders>
          </w:tcPr>
          <w:p w14:paraId="575C3D85" w14:textId="77777777" w:rsidR="00AB3BE8" w:rsidRPr="00B720DC" w:rsidRDefault="00944B8F" w:rsidP="00A6206B">
            <w:pPr>
              <w:pStyle w:val="EMEANormal"/>
              <w:rPr>
                <w:szCs w:val="22"/>
              </w:rPr>
            </w:pPr>
            <w:r w:rsidRPr="00B720DC">
              <w:rPr>
                <w:szCs w:val="22"/>
              </w:rPr>
              <w:t>--</w:t>
            </w:r>
          </w:p>
        </w:tc>
      </w:tr>
      <w:tr w:rsidR="00C6578C" w14:paraId="5018A06E" w14:textId="77777777" w:rsidTr="00A6206B">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single" w:sz="4" w:space="0" w:color="auto"/>
              <w:right w:val="nil"/>
            </w:tcBorders>
          </w:tcPr>
          <w:p w14:paraId="05ECCB0B" w14:textId="77777777" w:rsidR="00AB3BE8" w:rsidRPr="00B720DC" w:rsidRDefault="00944B8F" w:rsidP="00A6206B">
            <w:pPr>
              <w:pStyle w:val="EMEANormal"/>
              <w:rPr>
                <w:szCs w:val="22"/>
              </w:rPr>
            </w:pPr>
            <w:r w:rsidRPr="00B720DC">
              <w:rPr>
                <w:szCs w:val="22"/>
              </w:rPr>
              <w:tab/>
              <w:t>Adalimumab</w:t>
            </w:r>
          </w:p>
        </w:tc>
        <w:tc>
          <w:tcPr>
            <w:tcW w:w="720" w:type="dxa"/>
            <w:tcBorders>
              <w:top w:val="nil"/>
              <w:left w:val="nil"/>
              <w:bottom w:val="single" w:sz="4" w:space="0" w:color="auto"/>
              <w:right w:val="nil"/>
            </w:tcBorders>
          </w:tcPr>
          <w:p w14:paraId="68362AFA" w14:textId="77777777" w:rsidR="00AB3BE8" w:rsidRPr="00B720DC" w:rsidRDefault="00944B8F" w:rsidP="00A6206B">
            <w:pPr>
              <w:pStyle w:val="EMEANormal"/>
              <w:rPr>
                <w:szCs w:val="22"/>
              </w:rPr>
            </w:pPr>
            <w:r w:rsidRPr="00B720DC">
              <w:rPr>
                <w:szCs w:val="22"/>
              </w:rPr>
              <w:t>115</w:t>
            </w:r>
          </w:p>
        </w:tc>
        <w:tc>
          <w:tcPr>
            <w:tcW w:w="1170" w:type="dxa"/>
            <w:tcBorders>
              <w:top w:val="nil"/>
              <w:left w:val="nil"/>
              <w:bottom w:val="single" w:sz="4" w:space="0" w:color="auto"/>
              <w:right w:val="nil"/>
            </w:tcBorders>
          </w:tcPr>
          <w:p w14:paraId="011BABB1" w14:textId="77777777" w:rsidR="00AB3BE8" w:rsidRPr="00B720DC" w:rsidRDefault="00944B8F" w:rsidP="00A6206B">
            <w:pPr>
              <w:pStyle w:val="EMEANormal"/>
              <w:rPr>
                <w:szCs w:val="22"/>
              </w:rPr>
            </w:pPr>
            <w:r w:rsidRPr="00B720DC">
              <w:rPr>
                <w:szCs w:val="22"/>
              </w:rPr>
              <w:t>45 (39.1)</w:t>
            </w:r>
          </w:p>
        </w:tc>
        <w:tc>
          <w:tcPr>
            <w:tcW w:w="1890" w:type="dxa"/>
            <w:tcBorders>
              <w:top w:val="nil"/>
              <w:left w:val="nil"/>
              <w:bottom w:val="single" w:sz="4" w:space="0" w:color="auto"/>
              <w:right w:val="nil"/>
            </w:tcBorders>
          </w:tcPr>
          <w:p w14:paraId="1D9643E0" w14:textId="77777777" w:rsidR="00AB3BE8" w:rsidRPr="00B720DC" w:rsidRDefault="00944B8F" w:rsidP="00A6206B">
            <w:pPr>
              <w:pStyle w:val="EMEANormal"/>
              <w:rPr>
                <w:vertAlign w:val="superscript"/>
                <w:lang w:val="en-GB"/>
              </w:rPr>
            </w:pPr>
            <w:r w:rsidRPr="70D4D675">
              <w:rPr>
                <w:lang w:val="en-GB"/>
              </w:rPr>
              <w:t>NE</w:t>
            </w:r>
            <w:r w:rsidRPr="70D4D675">
              <w:rPr>
                <w:vertAlign w:val="superscript"/>
                <w:lang w:val="en-GB"/>
              </w:rPr>
              <w:t>c</w:t>
            </w:r>
          </w:p>
        </w:tc>
        <w:tc>
          <w:tcPr>
            <w:tcW w:w="720" w:type="dxa"/>
            <w:tcBorders>
              <w:top w:val="nil"/>
              <w:left w:val="nil"/>
              <w:bottom w:val="single" w:sz="4" w:space="0" w:color="auto"/>
              <w:right w:val="nil"/>
            </w:tcBorders>
          </w:tcPr>
          <w:p w14:paraId="28B6A00D" w14:textId="77777777" w:rsidR="00AB3BE8" w:rsidRPr="00B720DC" w:rsidRDefault="00944B8F" w:rsidP="00A6206B">
            <w:pPr>
              <w:pStyle w:val="EMEANormal"/>
              <w:rPr>
                <w:szCs w:val="22"/>
              </w:rPr>
            </w:pPr>
            <w:r w:rsidRPr="00B720DC">
              <w:rPr>
                <w:szCs w:val="22"/>
              </w:rPr>
              <w:t>0.57</w:t>
            </w:r>
          </w:p>
        </w:tc>
        <w:tc>
          <w:tcPr>
            <w:tcW w:w="1170" w:type="dxa"/>
            <w:tcBorders>
              <w:top w:val="nil"/>
              <w:left w:val="nil"/>
              <w:bottom w:val="single" w:sz="4" w:space="0" w:color="auto"/>
              <w:right w:val="nil"/>
            </w:tcBorders>
          </w:tcPr>
          <w:p w14:paraId="0126D021" w14:textId="77777777" w:rsidR="00AB3BE8" w:rsidRPr="00B720DC" w:rsidRDefault="00944B8F" w:rsidP="00A6206B">
            <w:pPr>
              <w:pStyle w:val="EMEANormal"/>
              <w:rPr>
                <w:szCs w:val="22"/>
              </w:rPr>
            </w:pPr>
            <w:r w:rsidRPr="00B720DC">
              <w:rPr>
                <w:szCs w:val="22"/>
              </w:rPr>
              <w:t>0.39, 0.84</w:t>
            </w:r>
          </w:p>
        </w:tc>
        <w:tc>
          <w:tcPr>
            <w:tcW w:w="1080" w:type="dxa"/>
            <w:tcBorders>
              <w:top w:val="nil"/>
              <w:left w:val="nil"/>
              <w:bottom w:val="single" w:sz="4" w:space="0" w:color="auto"/>
              <w:right w:val="nil"/>
            </w:tcBorders>
          </w:tcPr>
          <w:p w14:paraId="490B4310" w14:textId="77777777" w:rsidR="00AB3BE8" w:rsidRPr="00B720DC" w:rsidRDefault="00944B8F" w:rsidP="00A6206B">
            <w:pPr>
              <w:pStyle w:val="EMEANormal"/>
              <w:rPr>
                <w:szCs w:val="22"/>
              </w:rPr>
            </w:pPr>
            <w:r w:rsidRPr="00B720DC">
              <w:rPr>
                <w:szCs w:val="22"/>
              </w:rPr>
              <w:t>0.004</w:t>
            </w:r>
          </w:p>
        </w:tc>
      </w:tr>
    </w:tbl>
    <w:p w14:paraId="5BCF80F7" w14:textId="77777777" w:rsidR="00AB3BE8" w:rsidRPr="00B720DC" w:rsidRDefault="00944B8F" w:rsidP="00AB3BE8">
      <w:pPr>
        <w:pStyle w:val="EMEANormal"/>
      </w:pPr>
      <w:r w:rsidRPr="70D4D675">
        <w:rPr>
          <w:lang w:val="en-GB"/>
        </w:rPr>
        <w:t>Note: Treatment failure at or after Week 6 (Study UV I), or at or after Week 2 (Study UV II), was counted as event. Drop outs due to reasons other than treatment failure were censored at the time of dropping out.</w:t>
      </w:r>
    </w:p>
    <w:p w14:paraId="429357E0" w14:textId="77777777" w:rsidR="00AB3BE8" w:rsidRPr="00B720DC" w:rsidRDefault="00944B8F" w:rsidP="008870BC">
      <w:pPr>
        <w:pStyle w:val="EMEANormal"/>
        <w:numPr>
          <w:ilvl w:val="0"/>
          <w:numId w:val="50"/>
        </w:numPr>
        <w:rPr>
          <w:szCs w:val="22"/>
        </w:rPr>
      </w:pPr>
      <w:r w:rsidRPr="00B720DC">
        <w:rPr>
          <w:szCs w:val="22"/>
        </w:rPr>
        <w:t>HR of adalimumab vs placebo from proportional hazards regression with treatment as factor.</w:t>
      </w:r>
    </w:p>
    <w:p w14:paraId="299F058B" w14:textId="77777777" w:rsidR="00AB3BE8" w:rsidRPr="00B720DC" w:rsidRDefault="00944B8F" w:rsidP="008870BC">
      <w:pPr>
        <w:pStyle w:val="EMEANormal"/>
        <w:numPr>
          <w:ilvl w:val="0"/>
          <w:numId w:val="50"/>
        </w:numPr>
        <w:rPr>
          <w:szCs w:val="22"/>
        </w:rPr>
      </w:pPr>
      <w:r w:rsidRPr="00B720DC">
        <w:rPr>
          <w:szCs w:val="22"/>
        </w:rPr>
        <w:t xml:space="preserve">2-sided </w:t>
      </w:r>
      <w:r w:rsidRPr="00B720DC">
        <w:rPr>
          <w:i/>
          <w:szCs w:val="22"/>
        </w:rPr>
        <w:t>P</w:t>
      </w:r>
      <w:r w:rsidRPr="00B720DC">
        <w:rPr>
          <w:szCs w:val="22"/>
        </w:rPr>
        <w:t xml:space="preserve"> value from log rank test.</w:t>
      </w:r>
    </w:p>
    <w:p w14:paraId="54A45ED1" w14:textId="77777777" w:rsidR="00AB3BE8" w:rsidRPr="00B720DC" w:rsidRDefault="00944B8F" w:rsidP="008870BC">
      <w:pPr>
        <w:pStyle w:val="EMEANormal"/>
        <w:numPr>
          <w:ilvl w:val="0"/>
          <w:numId w:val="50"/>
        </w:numPr>
        <w:rPr>
          <w:szCs w:val="22"/>
        </w:rPr>
      </w:pPr>
      <w:r w:rsidRPr="00B720DC">
        <w:rPr>
          <w:szCs w:val="22"/>
        </w:rPr>
        <w:t xml:space="preserve">NE = not estimable. Fewer than half of at-risk subjects had an event. </w:t>
      </w:r>
    </w:p>
    <w:p w14:paraId="40D6500B" w14:textId="77777777" w:rsidR="00AB3BE8" w:rsidRPr="00B720DC" w:rsidRDefault="00AB3BE8" w:rsidP="00AB3BE8">
      <w:pPr>
        <w:pStyle w:val="EMEANormal"/>
        <w:rPr>
          <w:szCs w:val="22"/>
        </w:rPr>
      </w:pPr>
    </w:p>
    <w:p w14:paraId="78C980D9" w14:textId="77777777" w:rsidR="00AB3BE8" w:rsidRPr="00F91508" w:rsidRDefault="00944B8F" w:rsidP="00AB3BE8">
      <w:pPr>
        <w:pStyle w:val="EMEANormal"/>
        <w:keepNext/>
        <w:jc w:val="center"/>
        <w:rPr>
          <w:b/>
          <w:szCs w:val="22"/>
        </w:rPr>
      </w:pPr>
      <w:r w:rsidRPr="00F91508">
        <w:rPr>
          <w:b/>
          <w:szCs w:val="22"/>
        </w:rPr>
        <w:lastRenderedPageBreak/>
        <w:t xml:space="preserve">Figure </w:t>
      </w:r>
      <w:r w:rsidR="002271F0">
        <w:rPr>
          <w:b/>
          <w:szCs w:val="22"/>
        </w:rPr>
        <w:t>1</w:t>
      </w:r>
      <w:r w:rsidRPr="00F91508">
        <w:rPr>
          <w:b/>
          <w:szCs w:val="22"/>
        </w:rPr>
        <w:t xml:space="preserve">: Kaplan-Meier Curves Summarizing Time to Treatment Failure on or after Week 6 (Study UV I) or Week 2 (Study UV II) </w:t>
      </w:r>
    </w:p>
    <w:p w14:paraId="6560F047" w14:textId="77777777" w:rsidR="00AB3BE8" w:rsidRPr="0036363D" w:rsidRDefault="00AB3BE8" w:rsidP="00AB3BE8">
      <w:pPr>
        <w:pStyle w:val="EMEANormal"/>
        <w:keepNext/>
        <w:jc w:val="center"/>
        <w:rPr>
          <w:b/>
          <w:szCs w:val="22"/>
          <w:highlight w:val="yellow"/>
        </w:rPr>
      </w:pPr>
    </w:p>
    <w:tbl>
      <w:tblPr>
        <w:tblW w:w="9288" w:type="dxa"/>
        <w:tblLayout w:type="fixed"/>
        <w:tblLook w:val="04A0" w:firstRow="1" w:lastRow="0" w:firstColumn="1" w:lastColumn="0" w:noHBand="0" w:noVBand="1"/>
      </w:tblPr>
      <w:tblGrid>
        <w:gridCol w:w="482"/>
        <w:gridCol w:w="3496"/>
        <w:gridCol w:w="1170"/>
        <w:gridCol w:w="1350"/>
        <w:gridCol w:w="900"/>
        <w:gridCol w:w="1890"/>
      </w:tblGrid>
      <w:tr w:rsidR="00C6578C" w14:paraId="7A666863" w14:textId="77777777" w:rsidTr="00A6206B">
        <w:trPr>
          <w:cantSplit/>
          <w:trHeight w:val="3806"/>
        </w:trPr>
        <w:tc>
          <w:tcPr>
            <w:tcW w:w="482" w:type="dxa"/>
            <w:textDirection w:val="btLr"/>
            <w:vAlign w:val="bottom"/>
          </w:tcPr>
          <w:p w14:paraId="52EEBFEA" w14:textId="77777777" w:rsidR="00AB3BE8" w:rsidRPr="00F91508" w:rsidRDefault="00944B8F" w:rsidP="00A6206B">
            <w:pPr>
              <w:pStyle w:val="EMEANormal"/>
              <w:keepNext/>
              <w:ind w:left="113" w:right="113"/>
              <w:jc w:val="center"/>
              <w:rPr>
                <w:b/>
                <w:szCs w:val="22"/>
              </w:rPr>
            </w:pPr>
            <w:r w:rsidRPr="00F91508">
              <w:rPr>
                <w:b/>
                <w:szCs w:val="22"/>
              </w:rPr>
              <w:t>TREATMENT FAILURE RATE (%)</w:t>
            </w:r>
          </w:p>
        </w:tc>
        <w:tc>
          <w:tcPr>
            <w:tcW w:w="8806" w:type="dxa"/>
            <w:gridSpan w:val="5"/>
            <w:vAlign w:val="bottom"/>
          </w:tcPr>
          <w:p w14:paraId="2C4551F8" w14:textId="77777777" w:rsidR="00AB3BE8" w:rsidRPr="00F91508" w:rsidRDefault="00944B8F" w:rsidP="00A6206B">
            <w:pPr>
              <w:pStyle w:val="EMEANormal"/>
              <w:keepNext/>
              <w:rPr>
                <w:b/>
                <w:szCs w:val="22"/>
              </w:rPr>
            </w:pPr>
            <w:r>
              <w:rPr>
                <w:b/>
                <w:noProof/>
                <w:szCs w:val="22"/>
              </w:rPr>
              <w:drawing>
                <wp:inline distT="0" distB="0" distL="0" distR="0" wp14:anchorId="119C8A29" wp14:editId="3D6D05E9">
                  <wp:extent cx="5486400" cy="2210435"/>
                  <wp:effectExtent l="0" t="0" r="0" b="0"/>
                  <wp:docPr id="6" name="Picture 6"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descr="Humira Uveitis Figure 5_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86400" cy="2210435"/>
                          </a:xfrm>
                          <a:prstGeom prst="rect">
                            <a:avLst/>
                          </a:prstGeom>
                          <a:noFill/>
                          <a:ln>
                            <a:noFill/>
                          </a:ln>
                        </pic:spPr>
                      </pic:pic>
                    </a:graphicData>
                  </a:graphic>
                </wp:inline>
              </w:drawing>
            </w:r>
          </w:p>
        </w:tc>
      </w:tr>
      <w:tr w:rsidR="00C6578C" w14:paraId="13697128" w14:textId="77777777" w:rsidTr="00A6206B">
        <w:tc>
          <w:tcPr>
            <w:tcW w:w="482" w:type="dxa"/>
          </w:tcPr>
          <w:p w14:paraId="45BFA13D" w14:textId="77777777" w:rsidR="00AB3BE8" w:rsidRPr="00F91508" w:rsidRDefault="00AB3BE8" w:rsidP="00A6206B">
            <w:pPr>
              <w:pStyle w:val="EMEANormal"/>
              <w:rPr>
                <w:szCs w:val="22"/>
              </w:rPr>
            </w:pPr>
          </w:p>
        </w:tc>
        <w:tc>
          <w:tcPr>
            <w:tcW w:w="8806" w:type="dxa"/>
            <w:gridSpan w:val="5"/>
          </w:tcPr>
          <w:p w14:paraId="639983FD" w14:textId="77777777" w:rsidR="00AB3BE8" w:rsidRPr="00F91508" w:rsidRDefault="00944B8F" w:rsidP="00A6206B">
            <w:pPr>
              <w:pStyle w:val="EMEANormal"/>
              <w:jc w:val="center"/>
              <w:rPr>
                <w:szCs w:val="22"/>
              </w:rPr>
            </w:pPr>
            <w:r w:rsidRPr="00F91508">
              <w:rPr>
                <w:szCs w:val="22"/>
              </w:rPr>
              <w:t>TIME (MONTHS)</w:t>
            </w:r>
          </w:p>
        </w:tc>
      </w:tr>
      <w:tr w:rsidR="00C6578C" w14:paraId="3FE4D72A" w14:textId="77777777" w:rsidTr="00A6206B">
        <w:tc>
          <w:tcPr>
            <w:tcW w:w="482" w:type="dxa"/>
          </w:tcPr>
          <w:p w14:paraId="4F26C2C1" w14:textId="77777777" w:rsidR="00AB3BE8" w:rsidRPr="00F91508" w:rsidRDefault="00AB3BE8" w:rsidP="00A6206B">
            <w:pPr>
              <w:pStyle w:val="EMEANormal"/>
              <w:rPr>
                <w:szCs w:val="22"/>
              </w:rPr>
            </w:pPr>
          </w:p>
        </w:tc>
        <w:tc>
          <w:tcPr>
            <w:tcW w:w="3496" w:type="dxa"/>
          </w:tcPr>
          <w:p w14:paraId="1D0A3AEF" w14:textId="77777777" w:rsidR="00AB3BE8" w:rsidRPr="00F91508" w:rsidRDefault="00944B8F" w:rsidP="00A6206B">
            <w:pPr>
              <w:pStyle w:val="EMEANormal"/>
              <w:rPr>
                <w:szCs w:val="22"/>
              </w:rPr>
            </w:pPr>
            <w:r w:rsidRPr="00F91508">
              <w:rPr>
                <w:szCs w:val="22"/>
              </w:rPr>
              <w:t>Study UV I                        Treatment</w:t>
            </w:r>
          </w:p>
        </w:tc>
        <w:tc>
          <w:tcPr>
            <w:tcW w:w="1170" w:type="dxa"/>
          </w:tcPr>
          <w:p w14:paraId="2C83ADFB" w14:textId="77777777" w:rsidR="00AB3BE8" w:rsidRPr="00F91508" w:rsidRDefault="00944B8F" w:rsidP="00A6206B">
            <w:pPr>
              <w:pStyle w:val="EMEANormal"/>
              <w:jc w:val="right"/>
              <w:rPr>
                <w:szCs w:val="22"/>
              </w:rPr>
            </w:pPr>
            <w:r>
              <w:rPr>
                <w:noProof/>
                <w:szCs w:val="22"/>
              </w:rPr>
              <w:drawing>
                <wp:inline distT="0" distB="0" distL="0" distR="0" wp14:anchorId="1A888C45" wp14:editId="0379F7A1">
                  <wp:extent cx="397510" cy="182880"/>
                  <wp:effectExtent l="0" t="0" r="2540" b="7620"/>
                  <wp:docPr id="5" name="Picture 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descr="Humira Uveitis Figure 5_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97510" cy="182880"/>
                          </a:xfrm>
                          <a:prstGeom prst="rect">
                            <a:avLst/>
                          </a:prstGeom>
                          <a:noFill/>
                          <a:ln>
                            <a:noFill/>
                          </a:ln>
                        </pic:spPr>
                      </pic:pic>
                    </a:graphicData>
                  </a:graphic>
                </wp:inline>
              </w:drawing>
            </w:r>
          </w:p>
        </w:tc>
        <w:tc>
          <w:tcPr>
            <w:tcW w:w="1350" w:type="dxa"/>
          </w:tcPr>
          <w:p w14:paraId="52B630C7" w14:textId="77777777" w:rsidR="00AB3BE8" w:rsidRPr="00F91508" w:rsidRDefault="00944B8F" w:rsidP="00A6206B">
            <w:pPr>
              <w:pStyle w:val="EMEANormal"/>
              <w:rPr>
                <w:szCs w:val="22"/>
              </w:rPr>
            </w:pPr>
            <w:r w:rsidRPr="00F91508">
              <w:rPr>
                <w:szCs w:val="22"/>
              </w:rPr>
              <w:t>Placebo</w:t>
            </w:r>
          </w:p>
        </w:tc>
        <w:tc>
          <w:tcPr>
            <w:tcW w:w="900" w:type="dxa"/>
          </w:tcPr>
          <w:p w14:paraId="327A1DC8" w14:textId="77777777" w:rsidR="00AB3BE8" w:rsidRPr="00F91508" w:rsidRDefault="00944B8F" w:rsidP="00A6206B">
            <w:pPr>
              <w:pStyle w:val="EMEANormal"/>
              <w:jc w:val="right"/>
              <w:rPr>
                <w:szCs w:val="22"/>
              </w:rPr>
            </w:pPr>
            <w:r>
              <w:rPr>
                <w:noProof/>
                <w:szCs w:val="22"/>
              </w:rPr>
              <w:drawing>
                <wp:inline distT="0" distB="0" distL="0" distR="0" wp14:anchorId="791D96AE" wp14:editId="7F2A7E14">
                  <wp:extent cx="556895" cy="182880"/>
                  <wp:effectExtent l="0" t="0" r="0" b="7620"/>
                  <wp:docPr id="4" name="Picture 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 descr="Humira Uveitis Figure 5_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56895" cy="182880"/>
                          </a:xfrm>
                          <a:prstGeom prst="rect">
                            <a:avLst/>
                          </a:prstGeom>
                          <a:noFill/>
                          <a:ln>
                            <a:noFill/>
                          </a:ln>
                        </pic:spPr>
                      </pic:pic>
                    </a:graphicData>
                  </a:graphic>
                </wp:inline>
              </w:drawing>
            </w:r>
          </w:p>
        </w:tc>
        <w:tc>
          <w:tcPr>
            <w:tcW w:w="1890" w:type="dxa"/>
          </w:tcPr>
          <w:p w14:paraId="11D5532E" w14:textId="77777777" w:rsidR="00AB3BE8" w:rsidRPr="00F91508" w:rsidRDefault="00944B8F" w:rsidP="00A6206B">
            <w:pPr>
              <w:pStyle w:val="EMEANormal"/>
              <w:rPr>
                <w:szCs w:val="22"/>
              </w:rPr>
            </w:pPr>
            <w:r w:rsidRPr="00F91508">
              <w:rPr>
                <w:szCs w:val="22"/>
              </w:rPr>
              <w:t>Adalimumab</w:t>
            </w:r>
          </w:p>
        </w:tc>
      </w:tr>
      <w:tr w:rsidR="00C6578C" w14:paraId="3EF6B86C" w14:textId="77777777" w:rsidTr="00A6206B">
        <w:trPr>
          <w:trHeight w:val="3869"/>
        </w:trPr>
        <w:tc>
          <w:tcPr>
            <w:tcW w:w="482" w:type="dxa"/>
            <w:textDirection w:val="btLr"/>
            <w:vAlign w:val="bottom"/>
          </w:tcPr>
          <w:p w14:paraId="491F3CBA" w14:textId="77777777" w:rsidR="00AB3BE8" w:rsidRPr="00F91508" w:rsidRDefault="00944B8F" w:rsidP="00A6206B">
            <w:pPr>
              <w:pStyle w:val="EMEANormal"/>
              <w:jc w:val="center"/>
              <w:rPr>
                <w:b/>
                <w:szCs w:val="22"/>
              </w:rPr>
            </w:pPr>
            <w:r w:rsidRPr="00F91508">
              <w:rPr>
                <w:b/>
                <w:szCs w:val="22"/>
              </w:rPr>
              <w:t>TREATMENT FAILURE RATE (%)</w:t>
            </w:r>
          </w:p>
        </w:tc>
        <w:tc>
          <w:tcPr>
            <w:tcW w:w="8806" w:type="dxa"/>
            <w:gridSpan w:val="5"/>
            <w:vAlign w:val="bottom"/>
          </w:tcPr>
          <w:p w14:paraId="4E697693" w14:textId="77777777" w:rsidR="00AB3BE8" w:rsidRPr="00F91508" w:rsidRDefault="00944B8F" w:rsidP="00A6206B">
            <w:pPr>
              <w:pStyle w:val="EMEANormal"/>
              <w:rPr>
                <w:b/>
                <w:szCs w:val="22"/>
              </w:rPr>
            </w:pPr>
            <w:r>
              <w:rPr>
                <w:b/>
                <w:noProof/>
                <w:szCs w:val="22"/>
              </w:rPr>
              <w:drawing>
                <wp:inline distT="0" distB="0" distL="0" distR="0" wp14:anchorId="1C33C2A0" wp14:editId="08BE2342">
                  <wp:extent cx="5486400" cy="2178685"/>
                  <wp:effectExtent l="0" t="0" r="0" b="0"/>
                  <wp:docPr id="3" name="Picture 3"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descr="Humira Uveitis Figure 5_7"/>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486400" cy="2178685"/>
                          </a:xfrm>
                          <a:prstGeom prst="rect">
                            <a:avLst/>
                          </a:prstGeom>
                          <a:noFill/>
                          <a:ln>
                            <a:noFill/>
                          </a:ln>
                        </pic:spPr>
                      </pic:pic>
                    </a:graphicData>
                  </a:graphic>
                </wp:inline>
              </w:drawing>
            </w:r>
          </w:p>
        </w:tc>
      </w:tr>
      <w:tr w:rsidR="00C6578C" w14:paraId="3260E55C" w14:textId="77777777" w:rsidTr="00A6206B">
        <w:tc>
          <w:tcPr>
            <w:tcW w:w="482" w:type="dxa"/>
          </w:tcPr>
          <w:p w14:paraId="1A0DEAF7" w14:textId="77777777" w:rsidR="00AB3BE8" w:rsidRPr="00F91508" w:rsidRDefault="00AB3BE8" w:rsidP="00A6206B">
            <w:pPr>
              <w:pStyle w:val="EMEANormal"/>
              <w:rPr>
                <w:szCs w:val="22"/>
              </w:rPr>
            </w:pPr>
          </w:p>
        </w:tc>
        <w:tc>
          <w:tcPr>
            <w:tcW w:w="8806" w:type="dxa"/>
            <w:gridSpan w:val="5"/>
          </w:tcPr>
          <w:p w14:paraId="22FBD681" w14:textId="77777777" w:rsidR="00AB3BE8" w:rsidRPr="00F91508" w:rsidRDefault="00944B8F" w:rsidP="00A6206B">
            <w:pPr>
              <w:pStyle w:val="EMEANormal"/>
              <w:jc w:val="center"/>
              <w:rPr>
                <w:szCs w:val="22"/>
              </w:rPr>
            </w:pPr>
            <w:r w:rsidRPr="00F91508">
              <w:rPr>
                <w:szCs w:val="22"/>
              </w:rPr>
              <w:t>TIME (MONTHS)</w:t>
            </w:r>
          </w:p>
        </w:tc>
      </w:tr>
      <w:tr w:rsidR="00C6578C" w14:paraId="56EEF1B5" w14:textId="77777777" w:rsidTr="00A6206B">
        <w:trPr>
          <w:trHeight w:val="369"/>
        </w:trPr>
        <w:tc>
          <w:tcPr>
            <w:tcW w:w="482" w:type="dxa"/>
          </w:tcPr>
          <w:p w14:paraId="4A4BD3BC" w14:textId="77777777" w:rsidR="00AB3BE8" w:rsidRPr="00F91508" w:rsidRDefault="00AB3BE8" w:rsidP="00A6206B">
            <w:pPr>
              <w:pStyle w:val="EMEANormal"/>
              <w:rPr>
                <w:szCs w:val="22"/>
              </w:rPr>
            </w:pPr>
          </w:p>
        </w:tc>
        <w:tc>
          <w:tcPr>
            <w:tcW w:w="3496" w:type="dxa"/>
          </w:tcPr>
          <w:p w14:paraId="5A06C0EA" w14:textId="77777777" w:rsidR="00AB3BE8" w:rsidRPr="00F91508" w:rsidRDefault="00944B8F" w:rsidP="00A6206B">
            <w:pPr>
              <w:pStyle w:val="EMEANormal"/>
              <w:rPr>
                <w:szCs w:val="22"/>
              </w:rPr>
            </w:pPr>
            <w:r w:rsidRPr="00F91508">
              <w:rPr>
                <w:szCs w:val="22"/>
              </w:rPr>
              <w:t>Study UV II                       Treatment</w:t>
            </w:r>
          </w:p>
        </w:tc>
        <w:tc>
          <w:tcPr>
            <w:tcW w:w="1170" w:type="dxa"/>
          </w:tcPr>
          <w:p w14:paraId="5023C73E" w14:textId="77777777" w:rsidR="00AB3BE8" w:rsidRPr="00F91508" w:rsidRDefault="00944B8F" w:rsidP="00A6206B">
            <w:pPr>
              <w:pStyle w:val="EMEANormal"/>
              <w:jc w:val="right"/>
              <w:rPr>
                <w:szCs w:val="22"/>
              </w:rPr>
            </w:pPr>
            <w:r>
              <w:rPr>
                <w:noProof/>
                <w:szCs w:val="22"/>
              </w:rPr>
              <w:drawing>
                <wp:inline distT="0" distB="0" distL="0" distR="0" wp14:anchorId="015B581F" wp14:editId="28505922">
                  <wp:extent cx="397510" cy="182880"/>
                  <wp:effectExtent l="0" t="0" r="2540" b="7620"/>
                  <wp:docPr id="2" name="Picture 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descr="Humira Uveitis Figure 5_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97510" cy="182880"/>
                          </a:xfrm>
                          <a:prstGeom prst="rect">
                            <a:avLst/>
                          </a:prstGeom>
                          <a:noFill/>
                          <a:ln>
                            <a:noFill/>
                          </a:ln>
                        </pic:spPr>
                      </pic:pic>
                    </a:graphicData>
                  </a:graphic>
                </wp:inline>
              </w:drawing>
            </w:r>
          </w:p>
        </w:tc>
        <w:tc>
          <w:tcPr>
            <w:tcW w:w="1350" w:type="dxa"/>
          </w:tcPr>
          <w:p w14:paraId="079F877E" w14:textId="77777777" w:rsidR="00AB3BE8" w:rsidRPr="00F91508" w:rsidRDefault="00944B8F" w:rsidP="00A6206B">
            <w:pPr>
              <w:pStyle w:val="EMEANormal"/>
              <w:rPr>
                <w:szCs w:val="22"/>
              </w:rPr>
            </w:pPr>
            <w:r w:rsidRPr="00F91508">
              <w:rPr>
                <w:szCs w:val="22"/>
              </w:rPr>
              <w:t>Placebo</w:t>
            </w:r>
          </w:p>
        </w:tc>
        <w:tc>
          <w:tcPr>
            <w:tcW w:w="900" w:type="dxa"/>
          </w:tcPr>
          <w:p w14:paraId="0E1DAAD1" w14:textId="77777777" w:rsidR="00AB3BE8" w:rsidRPr="00F91508" w:rsidRDefault="00944B8F" w:rsidP="00A6206B">
            <w:pPr>
              <w:pStyle w:val="EMEANormal"/>
              <w:jc w:val="right"/>
              <w:rPr>
                <w:szCs w:val="22"/>
              </w:rPr>
            </w:pPr>
            <w:r>
              <w:rPr>
                <w:noProof/>
                <w:szCs w:val="22"/>
              </w:rPr>
              <w:drawing>
                <wp:inline distT="0" distB="0" distL="0" distR="0" wp14:anchorId="2D7825DA" wp14:editId="7550D985">
                  <wp:extent cx="556895" cy="182880"/>
                  <wp:effectExtent l="0" t="0" r="0" b="7620"/>
                  <wp:docPr id="1" name="Picture 1"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 descr="Humira Uveitis Figure 5_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56895" cy="182880"/>
                          </a:xfrm>
                          <a:prstGeom prst="rect">
                            <a:avLst/>
                          </a:prstGeom>
                          <a:noFill/>
                          <a:ln>
                            <a:noFill/>
                          </a:ln>
                        </pic:spPr>
                      </pic:pic>
                    </a:graphicData>
                  </a:graphic>
                </wp:inline>
              </w:drawing>
            </w:r>
          </w:p>
        </w:tc>
        <w:tc>
          <w:tcPr>
            <w:tcW w:w="1890" w:type="dxa"/>
          </w:tcPr>
          <w:p w14:paraId="232ED6B0" w14:textId="77777777" w:rsidR="00AB3BE8" w:rsidRPr="00F91508" w:rsidRDefault="00944B8F" w:rsidP="00A6206B">
            <w:pPr>
              <w:pStyle w:val="EMEANormal"/>
              <w:rPr>
                <w:szCs w:val="22"/>
              </w:rPr>
            </w:pPr>
            <w:r w:rsidRPr="00F91508">
              <w:rPr>
                <w:szCs w:val="22"/>
              </w:rPr>
              <w:t>Adalimumab</w:t>
            </w:r>
          </w:p>
        </w:tc>
      </w:tr>
      <w:tr w:rsidR="00C6578C" w14:paraId="3C4B2A10" w14:textId="77777777" w:rsidTr="00A6206B">
        <w:trPr>
          <w:trHeight w:val="629"/>
        </w:trPr>
        <w:tc>
          <w:tcPr>
            <w:tcW w:w="9288" w:type="dxa"/>
            <w:gridSpan w:val="6"/>
            <w:vAlign w:val="center"/>
          </w:tcPr>
          <w:p w14:paraId="27BB8971" w14:textId="77777777" w:rsidR="00AB3BE8" w:rsidRPr="00F91508" w:rsidRDefault="00944B8F" w:rsidP="00A6206B">
            <w:pPr>
              <w:pStyle w:val="EMEANormal"/>
            </w:pPr>
            <w:r w:rsidRPr="70D4D675">
              <w:rPr>
                <w:lang w:val="en-GB"/>
              </w:rPr>
              <w:t>Note: P# = Placebo (Number of Events/Number at Risk); A# = HUMIRA (Number of</w:t>
            </w:r>
          </w:p>
          <w:p w14:paraId="609481F9" w14:textId="77777777" w:rsidR="00AB3BE8" w:rsidRPr="00F91508" w:rsidRDefault="00944B8F" w:rsidP="00A6206B">
            <w:pPr>
              <w:pStyle w:val="EMEANormal"/>
              <w:rPr>
                <w:szCs w:val="22"/>
              </w:rPr>
            </w:pPr>
            <w:r w:rsidRPr="00F91508">
              <w:rPr>
                <w:szCs w:val="22"/>
              </w:rPr>
              <w:t>Events/Number at Risk).</w:t>
            </w:r>
          </w:p>
        </w:tc>
      </w:tr>
    </w:tbl>
    <w:p w14:paraId="2A998447" w14:textId="77777777" w:rsidR="00AB3BE8" w:rsidRPr="00F91508" w:rsidRDefault="00AB3BE8" w:rsidP="00AB3BE8">
      <w:pPr>
        <w:pStyle w:val="EMEANormal"/>
        <w:rPr>
          <w:lang w:val="en-GB"/>
        </w:rPr>
      </w:pPr>
    </w:p>
    <w:p w14:paraId="5E7450D0" w14:textId="77777777" w:rsidR="00AB3BE8" w:rsidRPr="00F91508" w:rsidRDefault="00944B8F" w:rsidP="00AB3BE8">
      <w:pPr>
        <w:pStyle w:val="EMEANormal"/>
        <w:rPr>
          <w:lang w:val="en-GB"/>
        </w:rPr>
      </w:pPr>
      <w:r w:rsidRPr="00F91508">
        <w:rPr>
          <w:lang w:val="en-GB"/>
        </w:rPr>
        <w:t>In Study UV I statistically significant differences in favour of adalimumab versus placebo were observed for each c</w:t>
      </w:r>
      <w:r>
        <w:rPr>
          <w:lang w:val="en-GB"/>
        </w:rPr>
        <w:t xml:space="preserve">omponent of treatment failure. </w:t>
      </w:r>
      <w:r w:rsidRPr="00F91508">
        <w:rPr>
          <w:lang w:val="en-GB"/>
        </w:rPr>
        <w:t>In Study UV II, statistically significant differences were observed for visual acuity only, but the other components were numerically in favour of adalimumab.</w:t>
      </w:r>
    </w:p>
    <w:p w14:paraId="2F4D1E2B" w14:textId="77777777" w:rsidR="0053724F" w:rsidRDefault="0053724F" w:rsidP="0053724F"/>
    <w:p w14:paraId="3C8B32F6" w14:textId="77777777" w:rsidR="0053724F" w:rsidRDefault="00944B8F" w:rsidP="0053724F">
      <w:r w:rsidRPr="00FC76E7">
        <w:t xml:space="preserve">Of the </w:t>
      </w:r>
      <w:r w:rsidR="00080702">
        <w:t>424</w:t>
      </w:r>
      <w:r w:rsidRPr="00FC76E7">
        <w:t xml:space="preserve"> subjects included</w:t>
      </w:r>
      <w:r>
        <w:t xml:space="preserve"> in</w:t>
      </w:r>
      <w:r w:rsidRPr="00FC76E7">
        <w:t xml:space="preserve"> the uncontrolled long-term extension of Studies UV I and UV II, </w:t>
      </w:r>
      <w:r w:rsidR="00080702">
        <w:t>60</w:t>
      </w:r>
      <w:r w:rsidRPr="00FC76E7">
        <w:t xml:space="preserve"> subjects were regarded ineligible (e.g. </w:t>
      </w:r>
      <w:r w:rsidR="00080702">
        <w:t xml:space="preserve">due to deviations or due to </w:t>
      </w:r>
      <w:r w:rsidRPr="00FC76E7">
        <w:t>complications secondary to diabetic retinopathy, due to cataract surgery or vitrectomy) and were excluded from the primary analys</w:t>
      </w:r>
      <w:r>
        <w:t>is</w:t>
      </w:r>
      <w:r w:rsidRPr="00FC76E7">
        <w:t xml:space="preserve"> of efficacy. Of the </w:t>
      </w:r>
      <w:r w:rsidR="00080702">
        <w:t>364</w:t>
      </w:r>
      <w:r w:rsidRPr="00FC76E7">
        <w:t xml:space="preserve"> remaining patients, </w:t>
      </w:r>
      <w:r w:rsidR="00080702">
        <w:t>269</w:t>
      </w:r>
      <w:r>
        <w:t xml:space="preserve"> evaluable patients</w:t>
      </w:r>
      <w:r w:rsidRPr="00FC76E7">
        <w:t xml:space="preserve"> </w:t>
      </w:r>
      <w:r w:rsidR="00080702">
        <w:t xml:space="preserve">(74%) </w:t>
      </w:r>
      <w:r w:rsidRPr="00FC76E7">
        <w:t xml:space="preserve">reached 78 weeks of open-label adalimumab treatment. Based on the observed data approach, </w:t>
      </w:r>
      <w:r w:rsidR="00080702">
        <w:t>216</w:t>
      </w:r>
      <w:r w:rsidRPr="00FC76E7">
        <w:t xml:space="preserve"> (</w:t>
      </w:r>
      <w:r w:rsidR="00080702">
        <w:t>80.3%</w:t>
      </w:r>
      <w:r w:rsidRPr="00FC76E7">
        <w:t>) were in quiescence (no active inflamm</w:t>
      </w:r>
      <w:r w:rsidR="00842398">
        <w:t xml:space="preserve">atory lesions, AC cell grade  ≤ </w:t>
      </w:r>
      <w:r w:rsidRPr="00FC76E7">
        <w:t xml:space="preserve">0.5+, VH grade ≤ 0.5+) with a concomitant steroid dose ≤ 7.5 mg per day, and </w:t>
      </w:r>
      <w:r w:rsidR="00234027">
        <w:t>178</w:t>
      </w:r>
      <w:r w:rsidRPr="00FC76E7">
        <w:t xml:space="preserve"> (</w:t>
      </w:r>
      <w:r w:rsidR="00234027">
        <w:t>66.2%</w:t>
      </w:r>
      <w:r w:rsidRPr="00FC76E7">
        <w:t>) were in steroid-free quiescence. BCVA was either improved or maintained (&lt; 5 letters deterioration) in 88.</w:t>
      </w:r>
      <w:r w:rsidR="00234027">
        <w:t>6</w:t>
      </w:r>
      <w:r w:rsidRPr="00FC76E7">
        <w:t xml:space="preserve">% of the eyes at week 78. </w:t>
      </w:r>
      <w:r w:rsidR="00234027" w:rsidRPr="003929CE">
        <w:t xml:space="preserve">Data beyond Week 78 were generally consistent </w:t>
      </w:r>
      <w:r w:rsidR="00234027" w:rsidRPr="003929CE">
        <w:lastRenderedPageBreak/>
        <w:t>with these results but the number of enrolled subjects declined after this time</w:t>
      </w:r>
      <w:r w:rsidR="00234027">
        <w:t>. Overall, a</w:t>
      </w:r>
      <w:r w:rsidRPr="00FC76E7">
        <w:t xml:space="preserve">mong the patients who discontinued the study, </w:t>
      </w:r>
      <w:r w:rsidR="00234027">
        <w:t>18</w:t>
      </w:r>
      <w:r w:rsidRPr="00FC76E7">
        <w:t xml:space="preserve">% discontinued due to adverse events, and </w:t>
      </w:r>
      <w:r w:rsidR="00234027">
        <w:t>8</w:t>
      </w:r>
      <w:r w:rsidRPr="00FC76E7">
        <w:t>% due to insufficient re</w:t>
      </w:r>
      <w:r>
        <w:t>sponse to adalimumab treatment.</w:t>
      </w:r>
    </w:p>
    <w:p w14:paraId="432ECAF4" w14:textId="77777777" w:rsidR="00AB3BE8" w:rsidRPr="00F91508" w:rsidRDefault="00AB3BE8" w:rsidP="00AB3BE8">
      <w:pPr>
        <w:pStyle w:val="EMEANormal"/>
        <w:rPr>
          <w:lang w:val="en-GB"/>
        </w:rPr>
      </w:pPr>
    </w:p>
    <w:p w14:paraId="752CC655" w14:textId="77777777" w:rsidR="00AB3BE8" w:rsidRPr="00F91508" w:rsidRDefault="00944B8F" w:rsidP="00AB3BE8">
      <w:pPr>
        <w:pStyle w:val="EMEANormal"/>
        <w:rPr>
          <w:i/>
          <w:szCs w:val="22"/>
          <w:u w:val="single"/>
        </w:rPr>
      </w:pPr>
      <w:r w:rsidRPr="00F91508">
        <w:rPr>
          <w:i/>
          <w:szCs w:val="22"/>
          <w:u w:val="single"/>
        </w:rPr>
        <w:t>Quality of Life</w:t>
      </w:r>
    </w:p>
    <w:p w14:paraId="51C1A6F6" w14:textId="77777777" w:rsidR="00AB3BE8" w:rsidRPr="00F619C1" w:rsidRDefault="00AB3BE8" w:rsidP="00AB3BE8">
      <w:pPr>
        <w:pStyle w:val="EMEANormal"/>
        <w:rPr>
          <w:szCs w:val="22"/>
          <w:u w:val="single"/>
        </w:rPr>
      </w:pPr>
    </w:p>
    <w:p w14:paraId="0D2EFD6B" w14:textId="77777777" w:rsidR="00AB3BE8" w:rsidRPr="002A3533" w:rsidRDefault="00944B8F" w:rsidP="00AB3BE8">
      <w:pPr>
        <w:pStyle w:val="EMEANormal"/>
        <w:rPr>
          <w:bCs/>
          <w:lang w:val="en-GB"/>
        </w:rPr>
      </w:pPr>
      <w:r w:rsidRPr="00F91508">
        <w:rPr>
          <w:lang w:val="en-GB"/>
        </w:rPr>
        <w:t>Patient reported outcomes regarding vision-related functioning were measured in both clinical studies, using the NEI VFQ-25. Humira was numerically favoured for the majority of subscores with statistically significant mean differences for general vision, ocular pain, near vision, mental health, and total score in Study UV I, and for general vision and mental health in Study UV II. Vision related effects were not numerically in favour of Humira for colour vision in Study UVI and for colour vision, peripheral vision and near vision in Study UV II.</w:t>
      </w:r>
    </w:p>
    <w:p w14:paraId="5EBCA160" w14:textId="77777777" w:rsidR="00AB3BE8" w:rsidRPr="002A3533" w:rsidRDefault="00AB3BE8" w:rsidP="00AB3BE8">
      <w:pPr>
        <w:pStyle w:val="EMEANormal"/>
        <w:rPr>
          <w:bCs/>
          <w:lang w:val="en-GB"/>
        </w:rPr>
      </w:pPr>
    </w:p>
    <w:p w14:paraId="0587BFDD" w14:textId="77777777" w:rsidR="00AB3BE8" w:rsidRDefault="00944B8F" w:rsidP="00AB3BE8">
      <w:pPr>
        <w:pStyle w:val="EMEAHeadingUnderline"/>
        <w:keepNext/>
        <w:spacing w:beforeLines="0" w:afterLines="0"/>
        <w:rPr>
          <w:lang w:val="en-GB"/>
        </w:rPr>
      </w:pPr>
      <w:r w:rsidRPr="002A3533">
        <w:rPr>
          <w:lang w:val="en-GB"/>
        </w:rPr>
        <w:t>Immunogenicity</w:t>
      </w:r>
    </w:p>
    <w:p w14:paraId="43D8288C" w14:textId="77777777" w:rsidR="00AB3BE8" w:rsidRPr="0078789B" w:rsidRDefault="00AB3BE8" w:rsidP="00AB3BE8">
      <w:pPr>
        <w:pStyle w:val="EMEANormal"/>
        <w:keepNext/>
        <w:rPr>
          <w:lang w:val="en-GB"/>
        </w:rPr>
      </w:pPr>
    </w:p>
    <w:p w14:paraId="56986397" w14:textId="77777777" w:rsidR="00AB3BE8" w:rsidRPr="002A3533" w:rsidRDefault="00944B8F" w:rsidP="00AB3BE8">
      <w:pPr>
        <w:keepNext/>
        <w:tabs>
          <w:tab w:val="left" w:pos="1294"/>
        </w:tabs>
        <w:autoSpaceDE w:val="0"/>
        <w:autoSpaceDN w:val="0"/>
        <w:adjustRightInd w:val="0"/>
      </w:pPr>
      <w:r w:rsidRPr="002A3533">
        <w:t>Formation of anti-adalimumab antibodies is associated with increased clearance and reduced efficacy of adalimumab. There is no apparent correlation between the presence of anti-adalimumab antibodies and the occurrence of adverse events.</w:t>
      </w:r>
    </w:p>
    <w:p w14:paraId="2F3184CD" w14:textId="77777777" w:rsidR="00AB3BE8" w:rsidRPr="002A3533" w:rsidRDefault="00AB3BE8" w:rsidP="00AB3BE8">
      <w:pPr>
        <w:tabs>
          <w:tab w:val="left" w:pos="1294"/>
        </w:tabs>
        <w:autoSpaceDE w:val="0"/>
        <w:autoSpaceDN w:val="0"/>
        <w:adjustRightInd w:val="0"/>
      </w:pPr>
    </w:p>
    <w:p w14:paraId="19C08A5C" w14:textId="77777777" w:rsidR="00AB3BE8" w:rsidRPr="0056610A" w:rsidRDefault="00944B8F" w:rsidP="00AB3BE8">
      <w:pPr>
        <w:rPr>
          <w:szCs w:val="22"/>
        </w:rPr>
      </w:pPr>
      <w:r w:rsidRPr="002A3533">
        <w:t>In patients with polyarticular juvenile idiopathic arthritis who were 4 to 17 years, anti-adalimumab antibodies were identified in 15.8% (27/171) of patients treated with adalimumab. In patients not given concomitant methotrexate, the incidence was 25.6% (22/86) compared to 5.9% (5/85) when adalimumab was used as add-on to methotrexate.</w:t>
      </w:r>
      <w:r>
        <w:t xml:space="preserve"> </w:t>
      </w:r>
      <w:r w:rsidRPr="001C1643">
        <w:rPr>
          <w:szCs w:val="22"/>
        </w:rPr>
        <w:t>In patients with polyarticular juvenile idiopathic arthritis who were 2</w:t>
      </w:r>
      <w:r w:rsidR="007A6826">
        <w:rPr>
          <w:szCs w:val="22"/>
        </w:rPr>
        <w:t> </w:t>
      </w:r>
      <w:r w:rsidRPr="001C1643">
        <w:rPr>
          <w:szCs w:val="22"/>
        </w:rPr>
        <w:t>to</w:t>
      </w:r>
      <w:r w:rsidR="007A6826">
        <w:rPr>
          <w:szCs w:val="22"/>
        </w:rPr>
        <w:t> </w:t>
      </w:r>
      <w:r w:rsidRPr="001C1643">
        <w:rPr>
          <w:szCs w:val="22"/>
        </w:rPr>
        <w:t>&lt;</w:t>
      </w:r>
      <w:r w:rsidR="007A6826">
        <w:rPr>
          <w:szCs w:val="22"/>
        </w:rPr>
        <w:t> </w:t>
      </w:r>
      <w:r w:rsidRPr="001C1643">
        <w:rPr>
          <w:szCs w:val="22"/>
        </w:rPr>
        <w:t>4</w:t>
      </w:r>
      <w:r w:rsidR="007A6826">
        <w:rPr>
          <w:szCs w:val="22"/>
        </w:rPr>
        <w:t> </w:t>
      </w:r>
      <w:r w:rsidRPr="001C1643">
        <w:rPr>
          <w:szCs w:val="22"/>
        </w:rPr>
        <w:t>years old or aged 4 and above weighing &lt;15</w:t>
      </w:r>
      <w:r w:rsidR="007A6826">
        <w:rPr>
          <w:szCs w:val="22"/>
        </w:rPr>
        <w:t> </w:t>
      </w:r>
      <w:r w:rsidRPr="001C1643">
        <w:rPr>
          <w:szCs w:val="22"/>
        </w:rPr>
        <w:t>kg, anti-adalimumab antibodies were identified in 7% (1/15) of patients, and the one patient was receiving concomitant methotrexate.</w:t>
      </w:r>
    </w:p>
    <w:p w14:paraId="0A88B5C1" w14:textId="77777777" w:rsidR="00AB3BE8" w:rsidRPr="002A3533" w:rsidRDefault="00AB3BE8" w:rsidP="00AB3BE8">
      <w:pPr>
        <w:tabs>
          <w:tab w:val="left" w:pos="1294"/>
        </w:tabs>
        <w:autoSpaceDE w:val="0"/>
        <w:autoSpaceDN w:val="0"/>
        <w:adjustRightInd w:val="0"/>
      </w:pPr>
    </w:p>
    <w:p w14:paraId="39B167C8" w14:textId="77777777" w:rsidR="00AB3BE8" w:rsidRPr="002A3533" w:rsidRDefault="00944B8F" w:rsidP="00AB3BE8">
      <w:pPr>
        <w:pStyle w:val="gtcbodytext"/>
        <w:spacing w:before="0" w:after="0" w:line="240" w:lineRule="auto"/>
        <w:rPr>
          <w:sz w:val="22"/>
          <w:szCs w:val="22"/>
        </w:rPr>
      </w:pPr>
      <w:r w:rsidRPr="002A3533">
        <w:rPr>
          <w:sz w:val="22"/>
          <w:szCs w:val="22"/>
        </w:rPr>
        <w:t>In patients with enthesitis-related arthritis, anti-adalimumab antibodies were identified in 10.9% (5/46) of patients treated with adalimumab. In patients not given concomitant methotrexate, the incidence was 13.6% (3/22), compared to 8.3% (2/24) when adalimumab was used as add-on to methotrexate.</w:t>
      </w:r>
    </w:p>
    <w:p w14:paraId="65E7461C" w14:textId="77777777" w:rsidR="00AB3BE8" w:rsidRDefault="00AB3BE8" w:rsidP="00AB3BE8">
      <w:pPr>
        <w:tabs>
          <w:tab w:val="left" w:pos="1294"/>
        </w:tabs>
        <w:autoSpaceDE w:val="0"/>
        <w:autoSpaceDN w:val="0"/>
        <w:adjustRightInd w:val="0"/>
      </w:pPr>
    </w:p>
    <w:p w14:paraId="747993EF" w14:textId="77777777" w:rsidR="00AB3BE8" w:rsidRPr="002A3533" w:rsidRDefault="00944B8F" w:rsidP="00AB3BE8">
      <w:pPr>
        <w:tabs>
          <w:tab w:val="left" w:pos="1294"/>
        </w:tabs>
        <w:autoSpaceDE w:val="0"/>
        <w:autoSpaceDN w:val="0"/>
        <w:adjustRightInd w:val="0"/>
      </w:pPr>
      <w:r w:rsidRPr="002A3533">
        <w:t xml:space="preserve">Patients in rheumatoid arthritis studies I, II and III were tested at multiple time points for anti-adalimumab antibodies during the 6 to 12 month period. In the pivotal trials, anti-adalimumab antibodies were identified in 5.5% (58/1053) of patients treated with adalimumab, compared to 0.5% (2/370) on placebo. In patients not given concomitant methotrexate, the incidence was 12.4%, compared to 0.6% when adalimumab was used as add-on to methotrexate.  </w:t>
      </w:r>
    </w:p>
    <w:p w14:paraId="772D2A03" w14:textId="77777777" w:rsidR="00AB3BE8" w:rsidRPr="002A3533" w:rsidRDefault="00AB3BE8" w:rsidP="00AB3BE8">
      <w:pPr>
        <w:tabs>
          <w:tab w:val="left" w:pos="1294"/>
        </w:tabs>
        <w:autoSpaceDE w:val="0"/>
        <w:autoSpaceDN w:val="0"/>
        <w:adjustRightInd w:val="0"/>
      </w:pPr>
    </w:p>
    <w:p w14:paraId="1AB1AE67" w14:textId="77777777" w:rsidR="00AB3BE8" w:rsidRPr="002A3533" w:rsidRDefault="00944B8F" w:rsidP="00AB3BE8">
      <w:pPr>
        <w:tabs>
          <w:tab w:val="left" w:pos="1294"/>
        </w:tabs>
        <w:autoSpaceDE w:val="0"/>
        <w:autoSpaceDN w:val="0"/>
        <w:adjustRightInd w:val="0"/>
        <w:rPr>
          <w:bCs/>
          <w:iCs/>
          <w:szCs w:val="20"/>
        </w:rPr>
      </w:pPr>
      <w:r w:rsidRPr="002A3533">
        <w:rPr>
          <w:bCs/>
          <w:iCs/>
          <w:szCs w:val="20"/>
        </w:rPr>
        <w:t>In patients with paediatric psoriasis, anti-adalimumab antibodies were identified in 5/38 subjects (13%) treated with 0.8</w:t>
      </w:r>
      <w:r>
        <w:rPr>
          <w:bCs/>
          <w:iCs/>
          <w:szCs w:val="20"/>
        </w:rPr>
        <w:t xml:space="preserve"> </w:t>
      </w:r>
      <w:r w:rsidRPr="002A3533">
        <w:rPr>
          <w:bCs/>
          <w:iCs/>
          <w:szCs w:val="20"/>
        </w:rPr>
        <w:t>mg/kg adalimumab monotherapy.</w:t>
      </w:r>
    </w:p>
    <w:p w14:paraId="2D7C5BE4" w14:textId="77777777" w:rsidR="00AB3BE8" w:rsidRDefault="00AB3BE8" w:rsidP="00AB3BE8">
      <w:pPr>
        <w:tabs>
          <w:tab w:val="left" w:pos="1294"/>
        </w:tabs>
        <w:autoSpaceDE w:val="0"/>
        <w:autoSpaceDN w:val="0"/>
        <w:adjustRightInd w:val="0"/>
      </w:pPr>
    </w:p>
    <w:p w14:paraId="16DE15B1" w14:textId="77777777" w:rsidR="00AB3BE8" w:rsidRPr="002A3533" w:rsidRDefault="00944B8F" w:rsidP="00AB3BE8">
      <w:pPr>
        <w:tabs>
          <w:tab w:val="left" w:pos="1294"/>
        </w:tabs>
        <w:autoSpaceDE w:val="0"/>
        <w:autoSpaceDN w:val="0"/>
        <w:adjustRightInd w:val="0"/>
        <w:rPr>
          <w:bCs/>
          <w:iCs/>
          <w:szCs w:val="20"/>
        </w:rPr>
      </w:pPr>
      <w:r w:rsidRPr="002A3533">
        <w:rPr>
          <w:bCs/>
          <w:iCs/>
          <w:szCs w:val="20"/>
        </w:rPr>
        <w:t>In adult patients with psoriasis, anti-adalimumab antibodies were identified in 77/920 subjects (8.4%) treated with adalimumab monotherapy.</w:t>
      </w:r>
    </w:p>
    <w:p w14:paraId="60F2F54D" w14:textId="77777777" w:rsidR="00AB3BE8" w:rsidRPr="002A3533" w:rsidRDefault="00AB3BE8" w:rsidP="00AB3BE8">
      <w:pPr>
        <w:tabs>
          <w:tab w:val="left" w:pos="1294"/>
        </w:tabs>
        <w:autoSpaceDE w:val="0"/>
        <w:autoSpaceDN w:val="0"/>
        <w:adjustRightInd w:val="0"/>
        <w:rPr>
          <w:bCs/>
          <w:iCs/>
          <w:szCs w:val="20"/>
        </w:rPr>
      </w:pPr>
    </w:p>
    <w:p w14:paraId="63B9682E" w14:textId="77777777" w:rsidR="00AB3BE8" w:rsidRPr="002A3533" w:rsidRDefault="00944B8F" w:rsidP="00AB3BE8">
      <w:pPr>
        <w:tabs>
          <w:tab w:val="left" w:pos="1294"/>
        </w:tabs>
        <w:autoSpaceDE w:val="0"/>
        <w:autoSpaceDN w:val="0"/>
        <w:adjustRightInd w:val="0"/>
      </w:pPr>
      <w:r w:rsidRPr="002A3533">
        <w:t>In adult plaque psoriasis patients on long term adalimumab monotherapy who participated in a withdrawal and retreatment study, the rate of antibodies to adalimumab after retreatment (11 of 482 subjects, 2.3%) was similar to the rate observed prior to withdrawal (11 of 590 subjects, 1.9%).</w:t>
      </w:r>
    </w:p>
    <w:p w14:paraId="5ADEAB6A" w14:textId="77777777" w:rsidR="00AB3BE8" w:rsidRDefault="00AB3BE8" w:rsidP="00AB3BE8">
      <w:pPr>
        <w:tabs>
          <w:tab w:val="left" w:pos="1294"/>
        </w:tabs>
        <w:autoSpaceDE w:val="0"/>
        <w:autoSpaceDN w:val="0"/>
        <w:adjustRightInd w:val="0"/>
      </w:pPr>
    </w:p>
    <w:p w14:paraId="2B62E145" w14:textId="77777777" w:rsidR="00AB3BE8" w:rsidRPr="00584763" w:rsidRDefault="00944B8F" w:rsidP="00AB3BE8">
      <w:pPr>
        <w:tabs>
          <w:tab w:val="left" w:pos="1294"/>
        </w:tabs>
        <w:autoSpaceDE w:val="0"/>
        <w:autoSpaceDN w:val="0"/>
        <w:adjustRightInd w:val="0"/>
        <w:rPr>
          <w:bCs/>
          <w:iCs/>
          <w:szCs w:val="20"/>
        </w:rPr>
      </w:pPr>
      <w:r w:rsidRPr="00584763">
        <w:rPr>
          <w:bCs/>
          <w:iCs/>
          <w:szCs w:val="20"/>
        </w:rPr>
        <w:t>In patients with moderately to</w:t>
      </w:r>
      <w:r>
        <w:rPr>
          <w:bCs/>
          <w:iCs/>
          <w:szCs w:val="20"/>
        </w:rPr>
        <w:t xml:space="preserve"> severely active paediatric Crohn’</w:t>
      </w:r>
      <w:r w:rsidRPr="00584763">
        <w:rPr>
          <w:bCs/>
          <w:iCs/>
          <w:szCs w:val="20"/>
        </w:rPr>
        <w:t xml:space="preserve">s disease, the rate of anti-adalimumab antibody development in patients receiving adalimumab was 3.3%. </w:t>
      </w:r>
    </w:p>
    <w:p w14:paraId="0B68CCCA" w14:textId="77777777" w:rsidR="00AB3BE8" w:rsidRDefault="00AB3BE8" w:rsidP="00AB3BE8">
      <w:pPr>
        <w:tabs>
          <w:tab w:val="left" w:pos="1294"/>
        </w:tabs>
        <w:autoSpaceDE w:val="0"/>
        <w:autoSpaceDN w:val="0"/>
        <w:adjustRightInd w:val="0"/>
      </w:pPr>
    </w:p>
    <w:p w14:paraId="4E85281D" w14:textId="77777777" w:rsidR="00AB3BE8" w:rsidRPr="002A3533" w:rsidRDefault="00944B8F" w:rsidP="00AB3BE8">
      <w:pPr>
        <w:tabs>
          <w:tab w:val="left" w:pos="1294"/>
        </w:tabs>
        <w:autoSpaceDE w:val="0"/>
        <w:autoSpaceDN w:val="0"/>
        <w:adjustRightInd w:val="0"/>
      </w:pPr>
      <w:r w:rsidRPr="002A3533">
        <w:t>In patients with Crohn’s disease, anti-adalimumab antibodies were identified in 7/269 subjects (2.6%).</w:t>
      </w:r>
    </w:p>
    <w:p w14:paraId="6560CC5B" w14:textId="77777777" w:rsidR="00AB3BE8" w:rsidRDefault="00AB3BE8" w:rsidP="00AB3BE8">
      <w:pPr>
        <w:tabs>
          <w:tab w:val="left" w:pos="1294"/>
        </w:tabs>
        <w:autoSpaceDE w:val="0"/>
        <w:autoSpaceDN w:val="0"/>
        <w:adjustRightInd w:val="0"/>
      </w:pPr>
    </w:p>
    <w:p w14:paraId="4D8CA782" w14:textId="77777777" w:rsidR="00AB3BE8" w:rsidRPr="008805F3" w:rsidRDefault="00944B8F" w:rsidP="00AB3BE8">
      <w:pPr>
        <w:tabs>
          <w:tab w:val="left" w:pos="1294"/>
        </w:tabs>
        <w:autoSpaceDE w:val="0"/>
        <w:autoSpaceDN w:val="0"/>
        <w:adjustRightInd w:val="0"/>
        <w:rPr>
          <w:bCs/>
          <w:iCs/>
          <w:szCs w:val="20"/>
        </w:rPr>
      </w:pPr>
      <w:r w:rsidRPr="008805F3">
        <w:rPr>
          <w:bCs/>
          <w:iCs/>
          <w:szCs w:val="20"/>
        </w:rPr>
        <w:t>In</w:t>
      </w:r>
      <w:r>
        <w:rPr>
          <w:bCs/>
          <w:iCs/>
          <w:szCs w:val="20"/>
        </w:rPr>
        <w:t xml:space="preserve"> adult</w:t>
      </w:r>
      <w:r w:rsidRPr="008805F3">
        <w:rPr>
          <w:bCs/>
          <w:iCs/>
          <w:szCs w:val="20"/>
        </w:rPr>
        <w:t xml:space="preserve"> patients with non-infectious uveitis, anti-adalimumab antibodies were identified in 4.8% (12/249) of patients treated with adalimumab.</w:t>
      </w:r>
    </w:p>
    <w:p w14:paraId="28030803" w14:textId="77777777" w:rsidR="00AB3BE8" w:rsidRPr="002A3533" w:rsidRDefault="00AB3BE8" w:rsidP="00AB3BE8">
      <w:pPr>
        <w:tabs>
          <w:tab w:val="left" w:pos="1294"/>
        </w:tabs>
        <w:autoSpaceDE w:val="0"/>
        <w:autoSpaceDN w:val="0"/>
        <w:adjustRightInd w:val="0"/>
      </w:pPr>
    </w:p>
    <w:p w14:paraId="17571024" w14:textId="77777777" w:rsidR="00AB3BE8" w:rsidRPr="002A3533" w:rsidRDefault="00944B8F" w:rsidP="00AB3BE8">
      <w:pPr>
        <w:pStyle w:val="EMEANormal"/>
        <w:rPr>
          <w:lang w:val="en-GB"/>
        </w:rPr>
      </w:pPr>
      <w:r w:rsidRPr="002A3533">
        <w:rPr>
          <w:lang w:val="en-GB"/>
        </w:rPr>
        <w:t>Because immunogenicity analyses are product-specific, comparison of antibody rates with those from other products is not appropriate.</w:t>
      </w:r>
    </w:p>
    <w:p w14:paraId="0212FFA3" w14:textId="77777777" w:rsidR="00AB3BE8" w:rsidRPr="002A3533" w:rsidRDefault="00944B8F" w:rsidP="00AB3BE8">
      <w:pPr>
        <w:pStyle w:val="EMEANormal"/>
        <w:keepNext/>
        <w:rPr>
          <w:u w:val="single"/>
          <w:lang w:val="en-GB"/>
        </w:rPr>
      </w:pPr>
      <w:r w:rsidRPr="002A3533">
        <w:rPr>
          <w:szCs w:val="22"/>
          <w:lang w:val="en-GB" w:eastAsia="en-GB"/>
        </w:rPr>
        <w:br/>
      </w:r>
      <w:r w:rsidRPr="002A3533">
        <w:rPr>
          <w:u w:val="single"/>
          <w:lang w:val="en-GB"/>
        </w:rPr>
        <w:t>Paediatric population</w:t>
      </w:r>
    </w:p>
    <w:p w14:paraId="2DE5B96D" w14:textId="77777777" w:rsidR="00AB3BE8" w:rsidRPr="002A3533" w:rsidRDefault="00AB3BE8" w:rsidP="00AB3BE8">
      <w:pPr>
        <w:pStyle w:val="EMEANormal"/>
        <w:keepNext/>
        <w:rPr>
          <w:szCs w:val="22"/>
          <w:lang w:val="en-GB" w:eastAsia="en-GB"/>
        </w:rPr>
      </w:pPr>
    </w:p>
    <w:p w14:paraId="610760B1" w14:textId="77777777" w:rsidR="00686116" w:rsidRPr="002A3533" w:rsidRDefault="00944B8F" w:rsidP="00686116">
      <w:pPr>
        <w:pStyle w:val="BodyText3"/>
        <w:jc w:val="left"/>
        <w:rPr>
          <w:bCs/>
          <w:i/>
          <w:iCs/>
          <w:sz w:val="22"/>
          <w:szCs w:val="22"/>
        </w:rPr>
      </w:pPr>
      <w:r w:rsidRPr="002A3533">
        <w:rPr>
          <w:bCs/>
          <w:i/>
          <w:iCs/>
          <w:sz w:val="22"/>
          <w:szCs w:val="22"/>
        </w:rPr>
        <w:t>Juvenile idiopathic arthritis (JIA)</w:t>
      </w:r>
    </w:p>
    <w:p w14:paraId="73154BD3" w14:textId="77777777" w:rsidR="00686116" w:rsidRPr="002A3533" w:rsidRDefault="00686116" w:rsidP="00686116">
      <w:pPr>
        <w:pStyle w:val="EMEANormal"/>
        <w:rPr>
          <w:i/>
          <w:szCs w:val="22"/>
          <w:lang w:val="en-GB"/>
        </w:rPr>
      </w:pPr>
    </w:p>
    <w:p w14:paraId="130AE294" w14:textId="77777777" w:rsidR="00686116" w:rsidRPr="002A3533" w:rsidRDefault="00944B8F" w:rsidP="00686116">
      <w:pPr>
        <w:pStyle w:val="BodyText3"/>
        <w:keepNext/>
        <w:jc w:val="left"/>
        <w:rPr>
          <w:bCs/>
          <w:i/>
          <w:iCs/>
          <w:sz w:val="22"/>
          <w:szCs w:val="22"/>
          <w:u w:val="single"/>
        </w:rPr>
      </w:pPr>
      <w:r w:rsidRPr="002A3533">
        <w:rPr>
          <w:bCs/>
          <w:i/>
          <w:iCs/>
          <w:sz w:val="22"/>
          <w:szCs w:val="22"/>
          <w:u w:val="single"/>
        </w:rPr>
        <w:t>Polyarticular juvenile</w:t>
      </w:r>
      <w:r w:rsidRPr="002A3533">
        <w:rPr>
          <w:i/>
          <w:iCs/>
          <w:sz w:val="22"/>
          <w:szCs w:val="22"/>
          <w:u w:val="single"/>
        </w:rPr>
        <w:t xml:space="preserve"> </w:t>
      </w:r>
      <w:r w:rsidRPr="002A3533">
        <w:rPr>
          <w:bCs/>
          <w:i/>
          <w:iCs/>
          <w:sz w:val="22"/>
          <w:szCs w:val="22"/>
          <w:u w:val="single"/>
        </w:rPr>
        <w:t>idiopathic</w:t>
      </w:r>
      <w:r w:rsidRPr="002A3533">
        <w:rPr>
          <w:i/>
          <w:iCs/>
          <w:sz w:val="22"/>
          <w:szCs w:val="22"/>
          <w:u w:val="single"/>
        </w:rPr>
        <w:t xml:space="preserve"> </w:t>
      </w:r>
      <w:r w:rsidRPr="002A3533">
        <w:rPr>
          <w:bCs/>
          <w:i/>
          <w:iCs/>
          <w:sz w:val="22"/>
          <w:szCs w:val="22"/>
          <w:u w:val="single"/>
        </w:rPr>
        <w:t>arthritis (pJIA)</w:t>
      </w:r>
    </w:p>
    <w:p w14:paraId="23A3043C" w14:textId="77777777" w:rsidR="00686116" w:rsidRPr="002A3533" w:rsidRDefault="00686116" w:rsidP="00686116">
      <w:pPr>
        <w:pStyle w:val="BodyText3"/>
        <w:keepNext/>
        <w:jc w:val="left"/>
        <w:rPr>
          <w:bCs/>
          <w:iCs/>
          <w:sz w:val="22"/>
          <w:szCs w:val="22"/>
          <w:u w:val="single"/>
        </w:rPr>
      </w:pPr>
    </w:p>
    <w:p w14:paraId="3FE63BAD" w14:textId="77777777" w:rsidR="00686116" w:rsidRPr="002A3533" w:rsidRDefault="00944B8F" w:rsidP="00686116">
      <w:pPr>
        <w:pStyle w:val="BodyText3"/>
        <w:keepNext/>
        <w:jc w:val="left"/>
        <w:rPr>
          <w:bCs/>
          <w:iCs/>
          <w:sz w:val="22"/>
          <w:szCs w:val="22"/>
        </w:rPr>
      </w:pPr>
      <w:r w:rsidRPr="002A3533">
        <w:rPr>
          <w:bCs/>
          <w:iCs/>
          <w:sz w:val="22"/>
          <w:szCs w:val="22"/>
        </w:rPr>
        <w:t>The safety and efficacy of Humira was assessed in two studies (pJIA I and II) in children with active polyarticular or polyarticular course juvenile idiopathic arthritis, who had a variety of JIA onset types (most frequently rheumatoid-factor negative or positive polyarthritis and extended oligoarthritis).</w:t>
      </w:r>
    </w:p>
    <w:p w14:paraId="7E8C396E" w14:textId="77777777" w:rsidR="00686116" w:rsidRPr="002A3533" w:rsidRDefault="00686116" w:rsidP="00686116">
      <w:pPr>
        <w:tabs>
          <w:tab w:val="left" w:pos="6840"/>
        </w:tabs>
        <w:autoSpaceDE w:val="0"/>
        <w:autoSpaceDN w:val="0"/>
        <w:adjustRightInd w:val="0"/>
        <w:ind w:right="53"/>
        <w:rPr>
          <w:szCs w:val="22"/>
        </w:rPr>
      </w:pPr>
    </w:p>
    <w:p w14:paraId="64842C24" w14:textId="77777777" w:rsidR="00686116" w:rsidRPr="002A3533" w:rsidRDefault="00944B8F" w:rsidP="00686116">
      <w:pPr>
        <w:tabs>
          <w:tab w:val="left" w:pos="6840"/>
        </w:tabs>
        <w:autoSpaceDE w:val="0"/>
        <w:autoSpaceDN w:val="0"/>
        <w:adjustRightInd w:val="0"/>
        <w:ind w:right="53"/>
        <w:rPr>
          <w:szCs w:val="22"/>
        </w:rPr>
      </w:pPr>
      <w:r w:rsidRPr="002A3533">
        <w:rPr>
          <w:szCs w:val="22"/>
        </w:rPr>
        <w:t>pJIA I</w:t>
      </w:r>
    </w:p>
    <w:p w14:paraId="3D9E5298" w14:textId="77777777" w:rsidR="00686116" w:rsidRPr="002A3533" w:rsidRDefault="00686116" w:rsidP="00686116">
      <w:pPr>
        <w:pStyle w:val="BodyText3"/>
      </w:pPr>
    </w:p>
    <w:p w14:paraId="7DD3722C" w14:textId="77777777" w:rsidR="00686116" w:rsidRPr="00A868FE" w:rsidRDefault="00944B8F" w:rsidP="00686116">
      <w:pPr>
        <w:tabs>
          <w:tab w:val="left" w:pos="6840"/>
        </w:tabs>
        <w:autoSpaceDE w:val="0"/>
        <w:autoSpaceDN w:val="0"/>
        <w:adjustRightInd w:val="0"/>
        <w:ind w:right="53"/>
      </w:pPr>
      <w:r w:rsidRPr="002A3533">
        <w:t xml:space="preserve">The safety and efficacy of Humira were assessed in a multicentre, randomised, double-blind, parallel − group study in 171 children (4-17 years old) with polyarticular JIA. In the open-label lead in phase (OL LI) patients were stratified into two groups, MTX (methotrexate)-treated or non-MTX-treated. Patients who were in the non-MTX stratum were either naïve to or had been withdrawn from MTX at least two weeks prior to study drug administration. Patients remained on stable doses of </w:t>
      </w:r>
      <w:r w:rsidRPr="00BC0E7E">
        <w:rPr>
          <w:szCs w:val="20"/>
        </w:rPr>
        <w:t>non</w:t>
      </w:r>
      <w:r>
        <w:rPr>
          <w:szCs w:val="20"/>
        </w:rPr>
        <w:t>-</w:t>
      </w:r>
      <w:r w:rsidRPr="00BC0E7E">
        <w:rPr>
          <w:szCs w:val="20"/>
        </w:rPr>
        <w:t>steroidal anti-inflammatory drugs</w:t>
      </w:r>
      <w:r>
        <w:rPr>
          <w:szCs w:val="20"/>
        </w:rPr>
        <w:t xml:space="preserve"> (</w:t>
      </w:r>
      <w:r w:rsidRPr="002A3533">
        <w:t>NSAIDs</w:t>
      </w:r>
      <w:r>
        <w:t>)</w:t>
      </w:r>
      <w:r w:rsidRPr="002A3533">
        <w:t xml:space="preserve"> and or prednisone (</w:t>
      </w:r>
      <w:r w:rsidRPr="00E95E17">
        <w:rPr>
          <w:rFonts w:ascii="Symbol" w:eastAsia="Symbol" w:hAnsi="Symbol" w:cs="Symbol"/>
          <w:szCs w:val="22"/>
        </w:rPr>
        <w:sym w:font="Symbol" w:char="F0A3"/>
      </w:r>
      <w:r>
        <w:rPr>
          <w:szCs w:val="22"/>
        </w:rPr>
        <w:t> </w:t>
      </w:r>
      <w:r w:rsidRPr="00E95E17">
        <w:t>0.2 mg/kg/day or 10 mg/day maximum). In the OL LI phase all patients received 24 mg/m</w:t>
      </w:r>
      <w:r w:rsidRPr="00193076">
        <w:rPr>
          <w:vertAlign w:val="superscript"/>
        </w:rPr>
        <w:t xml:space="preserve">2 </w:t>
      </w:r>
      <w:r w:rsidRPr="00193076">
        <w:t xml:space="preserve">up to a maximum of 40 mg Humira every other week for 16 weeks. The distribution of patients by age and minimum, median and maximum dose received during the OL LI phase is presented in Table </w:t>
      </w:r>
      <w:r w:rsidR="00D32B46">
        <w:t>1</w:t>
      </w:r>
      <w:r>
        <w:t>7</w:t>
      </w:r>
      <w:r w:rsidRPr="00A868FE">
        <w:t>.</w:t>
      </w:r>
    </w:p>
    <w:p w14:paraId="33D003D6" w14:textId="77777777" w:rsidR="00686116" w:rsidRPr="00A868FE" w:rsidRDefault="00686116" w:rsidP="00686116">
      <w:pPr>
        <w:tabs>
          <w:tab w:val="left" w:pos="6840"/>
        </w:tabs>
        <w:autoSpaceDE w:val="0"/>
        <w:autoSpaceDN w:val="0"/>
        <w:adjustRightInd w:val="0"/>
        <w:ind w:right="51"/>
      </w:pPr>
    </w:p>
    <w:p w14:paraId="4E2FFA57" w14:textId="77777777" w:rsidR="00686116" w:rsidRPr="003F7AAE" w:rsidRDefault="00944B8F" w:rsidP="00686116">
      <w:pPr>
        <w:pStyle w:val="BodyTextIndent"/>
        <w:ind w:left="113" w:right="57" w:firstLine="0"/>
        <w:jc w:val="center"/>
        <w:rPr>
          <w:sz w:val="22"/>
          <w:szCs w:val="22"/>
        </w:rPr>
      </w:pPr>
      <w:r w:rsidRPr="00A868FE">
        <w:rPr>
          <w:b/>
          <w:sz w:val="22"/>
          <w:szCs w:val="22"/>
        </w:rPr>
        <w:t xml:space="preserve">Table </w:t>
      </w:r>
      <w:r w:rsidR="00D32B46">
        <w:rPr>
          <w:b/>
          <w:sz w:val="22"/>
          <w:szCs w:val="22"/>
        </w:rPr>
        <w:t>1</w:t>
      </w:r>
      <w:r>
        <w:rPr>
          <w:b/>
          <w:sz w:val="22"/>
          <w:szCs w:val="22"/>
        </w:rPr>
        <w:t>7</w:t>
      </w:r>
    </w:p>
    <w:p w14:paraId="21A3AE07" w14:textId="77777777" w:rsidR="00686116" w:rsidRPr="003F7AAE" w:rsidRDefault="00944B8F" w:rsidP="00686116">
      <w:pPr>
        <w:pStyle w:val="BodyTextIndent"/>
        <w:ind w:left="110" w:right="51" w:firstLine="0"/>
        <w:jc w:val="center"/>
        <w:rPr>
          <w:sz w:val="22"/>
          <w:szCs w:val="22"/>
        </w:rPr>
      </w:pPr>
      <w:r w:rsidRPr="002A3533">
        <w:rPr>
          <w:b/>
          <w:sz w:val="22"/>
          <w:szCs w:val="22"/>
        </w:rPr>
        <w:t>Distribution of patients by age and adalimumab dose received during the OL LI phase</w:t>
      </w:r>
    </w:p>
    <w:p w14:paraId="1F5814E4" w14:textId="77777777" w:rsidR="00686116" w:rsidRPr="003F7AAE" w:rsidRDefault="00686116" w:rsidP="00686116">
      <w:pPr>
        <w:pStyle w:val="BodyTextIndent"/>
        <w:ind w:left="110" w:right="51" w:firstLine="0"/>
        <w:jc w:val="center"/>
        <w:rPr>
          <w:bCs/>
          <w:sz w:val="22"/>
          <w:szCs w:val="22"/>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8"/>
        <w:gridCol w:w="3520"/>
        <w:gridCol w:w="3239"/>
      </w:tblGrid>
      <w:tr w:rsidR="00C6578C" w14:paraId="011AC7D0" w14:textId="77777777" w:rsidTr="00271199">
        <w:trPr>
          <w:cantSplit/>
        </w:trPr>
        <w:tc>
          <w:tcPr>
            <w:tcW w:w="2418" w:type="dxa"/>
          </w:tcPr>
          <w:p w14:paraId="11263A36" w14:textId="77777777" w:rsidR="00686116" w:rsidRPr="002A3533" w:rsidRDefault="00944B8F" w:rsidP="00271199">
            <w:pPr>
              <w:pStyle w:val="BodyTextIndent"/>
              <w:ind w:left="0" w:right="51" w:firstLine="0"/>
              <w:rPr>
                <w:bCs/>
                <w:sz w:val="22"/>
              </w:rPr>
            </w:pPr>
            <w:r w:rsidRPr="002A3533">
              <w:rPr>
                <w:bCs/>
                <w:sz w:val="22"/>
              </w:rPr>
              <w:t>Age Group</w:t>
            </w:r>
          </w:p>
        </w:tc>
        <w:tc>
          <w:tcPr>
            <w:tcW w:w="3520" w:type="dxa"/>
          </w:tcPr>
          <w:p w14:paraId="0293D2C2" w14:textId="77777777" w:rsidR="00686116" w:rsidRPr="002A3533" w:rsidRDefault="00944B8F" w:rsidP="00271199">
            <w:pPr>
              <w:pStyle w:val="BodyTextIndent"/>
              <w:ind w:left="0" w:right="51" w:firstLine="0"/>
              <w:rPr>
                <w:bCs/>
                <w:sz w:val="22"/>
              </w:rPr>
            </w:pPr>
            <w:r w:rsidRPr="002A3533">
              <w:rPr>
                <w:bCs/>
                <w:sz w:val="22"/>
              </w:rPr>
              <w:t>Number of patients at Baseline n (%)</w:t>
            </w:r>
          </w:p>
        </w:tc>
        <w:tc>
          <w:tcPr>
            <w:tcW w:w="3239" w:type="dxa"/>
          </w:tcPr>
          <w:p w14:paraId="7C09053C" w14:textId="77777777" w:rsidR="00686116" w:rsidRPr="002A3533" w:rsidRDefault="00944B8F" w:rsidP="00271199">
            <w:pPr>
              <w:pStyle w:val="BodyTextIndent"/>
              <w:ind w:left="0" w:right="51" w:firstLine="0"/>
              <w:rPr>
                <w:bCs/>
                <w:sz w:val="22"/>
              </w:rPr>
            </w:pPr>
            <w:r w:rsidRPr="002A3533">
              <w:rPr>
                <w:bCs/>
                <w:sz w:val="22"/>
              </w:rPr>
              <w:t>Minimum, median and maximum dose</w:t>
            </w:r>
          </w:p>
        </w:tc>
      </w:tr>
      <w:tr w:rsidR="00C6578C" w14:paraId="2A6E649C" w14:textId="77777777" w:rsidTr="00271199">
        <w:trPr>
          <w:cantSplit/>
          <w:trHeight w:val="368"/>
        </w:trPr>
        <w:tc>
          <w:tcPr>
            <w:tcW w:w="2418" w:type="dxa"/>
          </w:tcPr>
          <w:p w14:paraId="7B702816" w14:textId="77777777" w:rsidR="00686116" w:rsidRPr="002A3533" w:rsidRDefault="00944B8F" w:rsidP="00271199">
            <w:pPr>
              <w:pStyle w:val="BodyTextIndent"/>
              <w:ind w:left="0" w:right="51" w:firstLine="0"/>
              <w:rPr>
                <w:bCs/>
                <w:sz w:val="22"/>
              </w:rPr>
            </w:pPr>
            <w:r w:rsidRPr="002A3533">
              <w:rPr>
                <w:bCs/>
                <w:sz w:val="22"/>
              </w:rPr>
              <w:t>4 to 7 years</w:t>
            </w:r>
          </w:p>
        </w:tc>
        <w:tc>
          <w:tcPr>
            <w:tcW w:w="3520" w:type="dxa"/>
          </w:tcPr>
          <w:p w14:paraId="18BED6AC" w14:textId="77777777" w:rsidR="00686116" w:rsidRPr="002A3533" w:rsidRDefault="00944B8F" w:rsidP="00271199">
            <w:pPr>
              <w:pStyle w:val="BodyTextIndent"/>
              <w:ind w:left="0" w:right="51" w:firstLine="0"/>
              <w:rPr>
                <w:bCs/>
                <w:sz w:val="22"/>
              </w:rPr>
            </w:pPr>
            <w:r w:rsidRPr="002A3533">
              <w:rPr>
                <w:bCs/>
                <w:sz w:val="22"/>
              </w:rPr>
              <w:t>31 (18.1)</w:t>
            </w:r>
          </w:p>
        </w:tc>
        <w:tc>
          <w:tcPr>
            <w:tcW w:w="3239" w:type="dxa"/>
          </w:tcPr>
          <w:p w14:paraId="6C3E3B1B" w14:textId="77777777" w:rsidR="00686116" w:rsidRPr="002A3533" w:rsidRDefault="00944B8F" w:rsidP="00271199">
            <w:pPr>
              <w:pStyle w:val="BodyTextIndent"/>
              <w:ind w:left="0" w:right="51" w:firstLine="0"/>
              <w:rPr>
                <w:bCs/>
                <w:sz w:val="22"/>
              </w:rPr>
            </w:pPr>
            <w:r w:rsidRPr="002A3533">
              <w:rPr>
                <w:bCs/>
                <w:sz w:val="22"/>
              </w:rPr>
              <w:t>10, 20 and 25 mg</w:t>
            </w:r>
          </w:p>
        </w:tc>
      </w:tr>
      <w:tr w:rsidR="00C6578C" w14:paraId="240965D2" w14:textId="77777777" w:rsidTr="00271199">
        <w:trPr>
          <w:cantSplit/>
        </w:trPr>
        <w:tc>
          <w:tcPr>
            <w:tcW w:w="2418" w:type="dxa"/>
          </w:tcPr>
          <w:p w14:paraId="68167A6E" w14:textId="77777777" w:rsidR="00686116" w:rsidRPr="002A3533" w:rsidRDefault="00944B8F" w:rsidP="00271199">
            <w:pPr>
              <w:pStyle w:val="BodyTextIndent"/>
              <w:ind w:left="0" w:right="51" w:firstLine="0"/>
              <w:rPr>
                <w:bCs/>
                <w:sz w:val="22"/>
              </w:rPr>
            </w:pPr>
            <w:r w:rsidRPr="002A3533">
              <w:rPr>
                <w:bCs/>
                <w:sz w:val="22"/>
              </w:rPr>
              <w:t>8 to 12 years</w:t>
            </w:r>
          </w:p>
        </w:tc>
        <w:tc>
          <w:tcPr>
            <w:tcW w:w="3520" w:type="dxa"/>
          </w:tcPr>
          <w:p w14:paraId="4163ABEC" w14:textId="77777777" w:rsidR="00686116" w:rsidRPr="002A3533" w:rsidRDefault="00944B8F" w:rsidP="00271199">
            <w:pPr>
              <w:pStyle w:val="BodyTextIndent"/>
              <w:ind w:left="0" w:right="51" w:firstLine="0"/>
              <w:rPr>
                <w:bCs/>
                <w:sz w:val="22"/>
              </w:rPr>
            </w:pPr>
            <w:r w:rsidRPr="002A3533">
              <w:rPr>
                <w:bCs/>
                <w:sz w:val="22"/>
              </w:rPr>
              <w:t>71 (41.5)</w:t>
            </w:r>
          </w:p>
        </w:tc>
        <w:tc>
          <w:tcPr>
            <w:tcW w:w="3239" w:type="dxa"/>
          </w:tcPr>
          <w:p w14:paraId="27C74E09" w14:textId="77777777" w:rsidR="00686116" w:rsidRPr="002A3533" w:rsidRDefault="00944B8F" w:rsidP="00271199">
            <w:pPr>
              <w:pStyle w:val="BodyTextIndent"/>
              <w:ind w:left="0" w:right="51" w:firstLine="0"/>
              <w:rPr>
                <w:bCs/>
                <w:sz w:val="22"/>
              </w:rPr>
            </w:pPr>
            <w:r w:rsidRPr="002A3533">
              <w:rPr>
                <w:bCs/>
                <w:sz w:val="22"/>
              </w:rPr>
              <w:t>20, 25 and 40 mg</w:t>
            </w:r>
          </w:p>
        </w:tc>
      </w:tr>
      <w:tr w:rsidR="00C6578C" w14:paraId="01DB43C4" w14:textId="77777777" w:rsidTr="00271199">
        <w:trPr>
          <w:cantSplit/>
        </w:trPr>
        <w:tc>
          <w:tcPr>
            <w:tcW w:w="2418" w:type="dxa"/>
          </w:tcPr>
          <w:p w14:paraId="1793E5C2" w14:textId="77777777" w:rsidR="00686116" w:rsidRPr="002A3533" w:rsidRDefault="00944B8F" w:rsidP="00271199">
            <w:pPr>
              <w:pStyle w:val="BodyTextIndent"/>
              <w:ind w:left="0" w:right="51" w:firstLine="0"/>
              <w:rPr>
                <w:bCs/>
                <w:sz w:val="22"/>
              </w:rPr>
            </w:pPr>
            <w:r w:rsidRPr="002A3533">
              <w:rPr>
                <w:bCs/>
                <w:sz w:val="22"/>
              </w:rPr>
              <w:t>13 to 17 years</w:t>
            </w:r>
          </w:p>
        </w:tc>
        <w:tc>
          <w:tcPr>
            <w:tcW w:w="3520" w:type="dxa"/>
          </w:tcPr>
          <w:p w14:paraId="1FE20D5C" w14:textId="77777777" w:rsidR="00686116" w:rsidRPr="002A3533" w:rsidRDefault="00944B8F" w:rsidP="00271199">
            <w:pPr>
              <w:pStyle w:val="BodyTextIndent"/>
              <w:ind w:left="0" w:right="51" w:firstLine="0"/>
              <w:rPr>
                <w:bCs/>
                <w:sz w:val="22"/>
              </w:rPr>
            </w:pPr>
            <w:r w:rsidRPr="002A3533">
              <w:rPr>
                <w:bCs/>
                <w:sz w:val="22"/>
              </w:rPr>
              <w:t>69 (40.4)</w:t>
            </w:r>
          </w:p>
        </w:tc>
        <w:tc>
          <w:tcPr>
            <w:tcW w:w="3239" w:type="dxa"/>
          </w:tcPr>
          <w:p w14:paraId="3E2739A5" w14:textId="77777777" w:rsidR="00686116" w:rsidRPr="002A3533" w:rsidRDefault="00944B8F" w:rsidP="00271199">
            <w:pPr>
              <w:pStyle w:val="BodyTextIndent"/>
              <w:ind w:left="0" w:right="51" w:firstLine="0"/>
              <w:rPr>
                <w:bCs/>
                <w:sz w:val="22"/>
              </w:rPr>
            </w:pPr>
            <w:r w:rsidRPr="002A3533">
              <w:rPr>
                <w:bCs/>
                <w:sz w:val="22"/>
              </w:rPr>
              <w:t>25, 40 and 40 mg</w:t>
            </w:r>
          </w:p>
        </w:tc>
      </w:tr>
    </w:tbl>
    <w:p w14:paraId="53C35AFE" w14:textId="77777777" w:rsidR="00686116" w:rsidRPr="002A3533" w:rsidRDefault="00686116" w:rsidP="00686116">
      <w:pPr>
        <w:tabs>
          <w:tab w:val="left" w:pos="6840"/>
        </w:tabs>
        <w:autoSpaceDE w:val="0"/>
        <w:autoSpaceDN w:val="0"/>
        <w:adjustRightInd w:val="0"/>
        <w:ind w:right="51"/>
      </w:pPr>
    </w:p>
    <w:p w14:paraId="0886A33D" w14:textId="77777777" w:rsidR="00686116" w:rsidRPr="00193076" w:rsidRDefault="00944B8F" w:rsidP="00686116">
      <w:pPr>
        <w:tabs>
          <w:tab w:val="left" w:pos="6840"/>
        </w:tabs>
        <w:autoSpaceDE w:val="0"/>
        <w:autoSpaceDN w:val="0"/>
        <w:adjustRightInd w:val="0"/>
        <w:ind w:right="51"/>
      </w:pPr>
      <w:r w:rsidRPr="002A3533">
        <w:t>Patients demonstrating a P</w:t>
      </w:r>
      <w:r w:rsidR="00043E67">
        <w:t>a</w:t>
      </w:r>
      <w:r w:rsidRPr="002A3533">
        <w:t>ediatric ACR 30 response at Week 16 were eligible to be randomised into the double blind (DB) phase and received either Humira 24 mg/m</w:t>
      </w:r>
      <w:r w:rsidRPr="002A3533">
        <w:rPr>
          <w:vertAlign w:val="superscript"/>
        </w:rPr>
        <w:t xml:space="preserve">2 </w:t>
      </w:r>
      <w:r w:rsidRPr="002A3533">
        <w:t xml:space="preserve">up to a maximum of 40 mg, or placebo every other week for an additional 32 weeks or until disease flare. Disease flare criteria were defined as a worsening of </w:t>
      </w:r>
      <w:r w:rsidRPr="00E95E17">
        <w:rPr>
          <w:rFonts w:ascii="Symbol" w:eastAsia="Symbol" w:hAnsi="Symbol" w:cs="Symbol"/>
          <w:szCs w:val="22"/>
        </w:rPr>
        <w:sym w:font="Symbol" w:char="F0B3"/>
      </w:r>
      <w:r w:rsidRPr="00E95E17">
        <w:t> </w:t>
      </w:r>
      <w:r w:rsidRPr="00193076">
        <w:t xml:space="preserve">30% from baseline in </w:t>
      </w:r>
      <w:r w:rsidRPr="00E95E17">
        <w:rPr>
          <w:rFonts w:ascii="Symbol" w:eastAsia="Symbol" w:hAnsi="Symbol" w:cs="Symbol"/>
          <w:szCs w:val="22"/>
        </w:rPr>
        <w:sym w:font="Symbol" w:char="F0B3"/>
      </w:r>
      <w:r w:rsidRPr="00E95E17">
        <w:t> </w:t>
      </w:r>
      <w:r w:rsidRPr="00193076">
        <w:t>3 of 6 P</w:t>
      </w:r>
      <w:r w:rsidR="00043E67">
        <w:t>a</w:t>
      </w:r>
      <w:r w:rsidRPr="00193076">
        <w:t xml:space="preserve">ediatric ACR core criteria, </w:t>
      </w:r>
      <w:r w:rsidRPr="00E95E17">
        <w:rPr>
          <w:rFonts w:ascii="Symbol" w:eastAsia="Symbol" w:hAnsi="Symbol" w:cs="Symbol"/>
          <w:szCs w:val="22"/>
        </w:rPr>
        <w:sym w:font="Symbol" w:char="F0B3"/>
      </w:r>
      <w:r w:rsidRPr="00E95E17">
        <w:t> </w:t>
      </w:r>
      <w:r w:rsidRPr="00193076">
        <w:t xml:space="preserve">2 active joints, and improvement of </w:t>
      </w:r>
      <w:r w:rsidRPr="00E95E17">
        <w:rPr>
          <w:rFonts w:ascii="Symbol" w:eastAsia="Symbol" w:hAnsi="Symbol" w:cs="Symbol"/>
          <w:szCs w:val="22"/>
        </w:rPr>
        <w:sym w:font="Symbol" w:char="F03E"/>
      </w:r>
      <w:r w:rsidRPr="00E95E17">
        <w:t> </w:t>
      </w:r>
      <w:r w:rsidRPr="00193076">
        <w:t xml:space="preserve">30% in no more than 1 of the 6 criteria. After 32 weeks or at disease flare, patients were eligible to </w:t>
      </w:r>
      <w:r>
        <w:t>enrol</w:t>
      </w:r>
      <w:r w:rsidRPr="00193076">
        <w:t xml:space="preserve"> into the open label extension phase. </w:t>
      </w:r>
    </w:p>
    <w:p w14:paraId="303100ED" w14:textId="77777777" w:rsidR="00686116" w:rsidRPr="00193076" w:rsidRDefault="00686116" w:rsidP="00686116">
      <w:pPr>
        <w:tabs>
          <w:tab w:val="left" w:pos="6840"/>
        </w:tabs>
        <w:autoSpaceDE w:val="0"/>
        <w:autoSpaceDN w:val="0"/>
        <w:adjustRightInd w:val="0"/>
        <w:ind w:right="53"/>
      </w:pPr>
    </w:p>
    <w:p w14:paraId="62FD4C8D" w14:textId="77777777" w:rsidR="00686116" w:rsidRPr="003F7AAE" w:rsidRDefault="00944B8F" w:rsidP="00F043D5">
      <w:pPr>
        <w:pStyle w:val="BodyTextIndent"/>
        <w:keepNext/>
        <w:ind w:left="110" w:right="51" w:firstLine="0"/>
        <w:jc w:val="center"/>
        <w:rPr>
          <w:sz w:val="22"/>
          <w:szCs w:val="22"/>
        </w:rPr>
      </w:pPr>
      <w:r>
        <w:rPr>
          <w:b/>
          <w:sz w:val="22"/>
          <w:szCs w:val="22"/>
        </w:rPr>
        <w:lastRenderedPageBreak/>
        <w:t xml:space="preserve">Table </w:t>
      </w:r>
      <w:r w:rsidR="00D32B46">
        <w:rPr>
          <w:b/>
          <w:sz w:val="22"/>
          <w:szCs w:val="22"/>
        </w:rPr>
        <w:t>1</w:t>
      </w:r>
      <w:r>
        <w:rPr>
          <w:b/>
          <w:sz w:val="22"/>
          <w:szCs w:val="22"/>
        </w:rPr>
        <w:t>8</w:t>
      </w:r>
    </w:p>
    <w:p w14:paraId="2A6EAFDD" w14:textId="77777777" w:rsidR="00686116" w:rsidRPr="003F7AAE" w:rsidRDefault="00944B8F" w:rsidP="00F043D5">
      <w:pPr>
        <w:pStyle w:val="BodyTextIndent"/>
        <w:keepNext/>
        <w:ind w:left="110" w:right="51" w:firstLine="0"/>
        <w:jc w:val="center"/>
        <w:rPr>
          <w:sz w:val="22"/>
          <w:szCs w:val="22"/>
        </w:rPr>
      </w:pPr>
      <w:r w:rsidRPr="00A868FE">
        <w:rPr>
          <w:b/>
          <w:sz w:val="22"/>
          <w:szCs w:val="22"/>
        </w:rPr>
        <w:t>Ped ACR 30 Responses in the JIA study</w:t>
      </w:r>
    </w:p>
    <w:p w14:paraId="735D87AD" w14:textId="77777777" w:rsidR="00686116" w:rsidRPr="003F7AAE" w:rsidRDefault="00686116" w:rsidP="00F043D5">
      <w:pPr>
        <w:pStyle w:val="BodyTextIndent"/>
        <w:keepNext/>
        <w:ind w:left="110" w:right="51" w:firstLine="0"/>
        <w:jc w:val="center"/>
        <w:rPr>
          <w:bCs/>
          <w:sz w:val="22"/>
          <w:szCs w:val="22"/>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8"/>
        <w:gridCol w:w="1760"/>
        <w:gridCol w:w="1760"/>
        <w:gridCol w:w="1650"/>
        <w:gridCol w:w="1589"/>
      </w:tblGrid>
      <w:tr w:rsidR="00C6578C" w14:paraId="35C610DA" w14:textId="77777777" w:rsidTr="00271199">
        <w:trPr>
          <w:cantSplit/>
        </w:trPr>
        <w:tc>
          <w:tcPr>
            <w:tcW w:w="2418" w:type="dxa"/>
          </w:tcPr>
          <w:p w14:paraId="662AE23E" w14:textId="77777777" w:rsidR="00686116" w:rsidRPr="002F270B" w:rsidRDefault="00944B8F" w:rsidP="00F043D5">
            <w:pPr>
              <w:pStyle w:val="BodyTextIndent"/>
              <w:keepNext/>
              <w:ind w:left="0" w:right="51" w:firstLine="0"/>
              <w:rPr>
                <w:b/>
                <w:sz w:val="22"/>
              </w:rPr>
            </w:pPr>
            <w:r w:rsidRPr="002F270B">
              <w:rPr>
                <w:b/>
                <w:sz w:val="22"/>
              </w:rPr>
              <w:t>Stratum</w:t>
            </w:r>
          </w:p>
        </w:tc>
        <w:tc>
          <w:tcPr>
            <w:tcW w:w="3520" w:type="dxa"/>
            <w:gridSpan w:val="2"/>
          </w:tcPr>
          <w:p w14:paraId="16366208" w14:textId="77777777" w:rsidR="00686116" w:rsidRPr="002F270B" w:rsidRDefault="00944B8F" w:rsidP="00F043D5">
            <w:pPr>
              <w:pStyle w:val="BodyTextIndent"/>
              <w:keepNext/>
              <w:ind w:left="0" w:right="51" w:firstLine="0"/>
              <w:jc w:val="center"/>
              <w:rPr>
                <w:b/>
                <w:sz w:val="22"/>
              </w:rPr>
            </w:pPr>
            <w:r w:rsidRPr="002F270B">
              <w:rPr>
                <w:b/>
                <w:sz w:val="22"/>
              </w:rPr>
              <w:t>MTX</w:t>
            </w:r>
          </w:p>
        </w:tc>
        <w:tc>
          <w:tcPr>
            <w:tcW w:w="3239" w:type="dxa"/>
            <w:gridSpan w:val="2"/>
          </w:tcPr>
          <w:p w14:paraId="3F5B89E6" w14:textId="77777777" w:rsidR="00686116" w:rsidRPr="002F270B" w:rsidRDefault="00944B8F" w:rsidP="00F043D5">
            <w:pPr>
              <w:pStyle w:val="BodyTextIndent"/>
              <w:keepNext/>
              <w:ind w:left="0" w:right="51" w:firstLine="0"/>
              <w:jc w:val="center"/>
              <w:rPr>
                <w:b/>
                <w:sz w:val="22"/>
              </w:rPr>
            </w:pPr>
            <w:r w:rsidRPr="002F270B">
              <w:rPr>
                <w:b/>
                <w:sz w:val="22"/>
              </w:rPr>
              <w:t>Without MTX</w:t>
            </w:r>
          </w:p>
        </w:tc>
      </w:tr>
      <w:tr w:rsidR="00C6578C" w14:paraId="46B0F8D9" w14:textId="77777777" w:rsidTr="00271199">
        <w:trPr>
          <w:cantSplit/>
        </w:trPr>
        <w:tc>
          <w:tcPr>
            <w:tcW w:w="2418" w:type="dxa"/>
          </w:tcPr>
          <w:p w14:paraId="0A813BF0" w14:textId="77777777" w:rsidR="00686116" w:rsidRPr="002F270B" w:rsidRDefault="00944B8F" w:rsidP="00F043D5">
            <w:pPr>
              <w:pStyle w:val="BodyTextIndent"/>
              <w:keepNext/>
              <w:ind w:left="0" w:right="51" w:firstLine="0"/>
              <w:rPr>
                <w:b/>
                <w:sz w:val="22"/>
              </w:rPr>
            </w:pPr>
            <w:r w:rsidRPr="002F270B">
              <w:rPr>
                <w:b/>
                <w:sz w:val="22"/>
              </w:rPr>
              <w:t>Phase</w:t>
            </w:r>
          </w:p>
        </w:tc>
        <w:tc>
          <w:tcPr>
            <w:tcW w:w="3520" w:type="dxa"/>
            <w:gridSpan w:val="2"/>
          </w:tcPr>
          <w:p w14:paraId="1AE51745" w14:textId="77777777" w:rsidR="00686116" w:rsidRPr="002A3533" w:rsidRDefault="00686116" w:rsidP="00F043D5">
            <w:pPr>
              <w:pStyle w:val="BodyTextIndent"/>
              <w:keepNext/>
              <w:ind w:left="0" w:right="51" w:firstLine="0"/>
              <w:jc w:val="center"/>
              <w:rPr>
                <w:bCs/>
                <w:sz w:val="22"/>
              </w:rPr>
            </w:pPr>
          </w:p>
        </w:tc>
        <w:tc>
          <w:tcPr>
            <w:tcW w:w="3239" w:type="dxa"/>
            <w:gridSpan w:val="2"/>
          </w:tcPr>
          <w:p w14:paraId="61BA6491" w14:textId="77777777" w:rsidR="00686116" w:rsidRPr="002A3533" w:rsidRDefault="00686116" w:rsidP="00F043D5">
            <w:pPr>
              <w:pStyle w:val="BodyTextIndent"/>
              <w:keepNext/>
              <w:ind w:left="0" w:right="51" w:firstLine="0"/>
              <w:jc w:val="center"/>
              <w:rPr>
                <w:bCs/>
                <w:sz w:val="22"/>
              </w:rPr>
            </w:pPr>
          </w:p>
        </w:tc>
      </w:tr>
      <w:tr w:rsidR="00C6578C" w14:paraId="5BC6A4E7" w14:textId="77777777" w:rsidTr="00271199">
        <w:trPr>
          <w:cantSplit/>
        </w:trPr>
        <w:tc>
          <w:tcPr>
            <w:tcW w:w="2418" w:type="dxa"/>
          </w:tcPr>
          <w:p w14:paraId="0E47856F" w14:textId="77777777" w:rsidR="00686116" w:rsidRPr="002A3533" w:rsidRDefault="00944B8F" w:rsidP="00F043D5">
            <w:pPr>
              <w:pStyle w:val="BodyTextIndent"/>
              <w:keepNext/>
              <w:ind w:left="0" w:right="51" w:firstLine="0"/>
              <w:rPr>
                <w:bCs/>
                <w:sz w:val="22"/>
              </w:rPr>
            </w:pPr>
            <w:r w:rsidRPr="002A3533">
              <w:rPr>
                <w:bCs/>
                <w:sz w:val="22"/>
              </w:rPr>
              <w:t>OL-LI 16 weeks</w:t>
            </w:r>
          </w:p>
        </w:tc>
        <w:tc>
          <w:tcPr>
            <w:tcW w:w="3520" w:type="dxa"/>
            <w:gridSpan w:val="2"/>
          </w:tcPr>
          <w:p w14:paraId="68D6BCAD" w14:textId="77777777" w:rsidR="00686116" w:rsidRPr="002A3533" w:rsidRDefault="00686116" w:rsidP="00F043D5">
            <w:pPr>
              <w:pStyle w:val="BodyTextIndent"/>
              <w:keepNext/>
              <w:ind w:left="0" w:right="51" w:firstLine="0"/>
              <w:jc w:val="center"/>
              <w:rPr>
                <w:bCs/>
                <w:sz w:val="22"/>
              </w:rPr>
            </w:pPr>
          </w:p>
        </w:tc>
        <w:tc>
          <w:tcPr>
            <w:tcW w:w="3239" w:type="dxa"/>
            <w:gridSpan w:val="2"/>
          </w:tcPr>
          <w:p w14:paraId="11113262" w14:textId="77777777" w:rsidR="00686116" w:rsidRPr="002A3533" w:rsidRDefault="00686116" w:rsidP="00F043D5">
            <w:pPr>
              <w:pStyle w:val="BodyTextIndent"/>
              <w:keepNext/>
              <w:ind w:left="0" w:right="51" w:firstLine="0"/>
              <w:jc w:val="center"/>
              <w:rPr>
                <w:bCs/>
                <w:sz w:val="22"/>
              </w:rPr>
            </w:pPr>
          </w:p>
        </w:tc>
      </w:tr>
      <w:tr w:rsidR="00C6578C" w14:paraId="387EEF3D" w14:textId="77777777" w:rsidTr="00271199">
        <w:trPr>
          <w:cantSplit/>
        </w:trPr>
        <w:tc>
          <w:tcPr>
            <w:tcW w:w="2418" w:type="dxa"/>
          </w:tcPr>
          <w:p w14:paraId="6EB120CF" w14:textId="77777777" w:rsidR="00686116" w:rsidRPr="002A3533" w:rsidRDefault="00944B8F" w:rsidP="00F043D5">
            <w:pPr>
              <w:pStyle w:val="BodyTextIndent"/>
              <w:keepNext/>
              <w:ind w:right="51" w:firstLine="0"/>
              <w:rPr>
                <w:bCs/>
                <w:sz w:val="22"/>
              </w:rPr>
            </w:pPr>
            <w:r w:rsidRPr="002A3533">
              <w:rPr>
                <w:bCs/>
                <w:sz w:val="22"/>
              </w:rPr>
              <w:t>Ped ACR 30 response (n/N)</w:t>
            </w:r>
          </w:p>
        </w:tc>
        <w:tc>
          <w:tcPr>
            <w:tcW w:w="3520" w:type="dxa"/>
            <w:gridSpan w:val="2"/>
          </w:tcPr>
          <w:p w14:paraId="1C449ECF" w14:textId="77777777" w:rsidR="00686116" w:rsidRPr="002A3533" w:rsidRDefault="00944B8F" w:rsidP="00F043D5">
            <w:pPr>
              <w:pStyle w:val="BodyTextIndent"/>
              <w:keepNext/>
              <w:ind w:left="0" w:right="51" w:firstLine="0"/>
              <w:jc w:val="center"/>
              <w:rPr>
                <w:bCs/>
                <w:sz w:val="22"/>
              </w:rPr>
            </w:pPr>
            <w:r w:rsidRPr="002A3533">
              <w:rPr>
                <w:bCs/>
                <w:sz w:val="22"/>
              </w:rPr>
              <w:t>94.1% (80/85)</w:t>
            </w:r>
          </w:p>
        </w:tc>
        <w:tc>
          <w:tcPr>
            <w:tcW w:w="3239" w:type="dxa"/>
            <w:gridSpan w:val="2"/>
          </w:tcPr>
          <w:p w14:paraId="0F8D3D8C" w14:textId="77777777" w:rsidR="00686116" w:rsidRPr="002A3533" w:rsidRDefault="00944B8F" w:rsidP="00F043D5">
            <w:pPr>
              <w:pStyle w:val="BodyTextIndent"/>
              <w:keepNext/>
              <w:ind w:left="0" w:right="51" w:firstLine="0"/>
              <w:jc w:val="center"/>
              <w:rPr>
                <w:bCs/>
                <w:sz w:val="22"/>
              </w:rPr>
            </w:pPr>
            <w:r w:rsidRPr="002A3533">
              <w:rPr>
                <w:bCs/>
                <w:sz w:val="22"/>
              </w:rPr>
              <w:t>74.4% (64/86)</w:t>
            </w:r>
          </w:p>
        </w:tc>
      </w:tr>
      <w:tr w:rsidR="00C6578C" w14:paraId="174E1086" w14:textId="77777777" w:rsidTr="00271199">
        <w:trPr>
          <w:cantSplit/>
        </w:trPr>
        <w:tc>
          <w:tcPr>
            <w:tcW w:w="9177" w:type="dxa"/>
            <w:gridSpan w:val="5"/>
          </w:tcPr>
          <w:p w14:paraId="78ACC6A8" w14:textId="77777777" w:rsidR="00686116" w:rsidRPr="002A3533" w:rsidRDefault="00944B8F" w:rsidP="00F043D5">
            <w:pPr>
              <w:pStyle w:val="BodyTextIndent"/>
              <w:keepNext/>
              <w:ind w:left="0" w:right="51" w:firstLine="0"/>
              <w:rPr>
                <w:bCs/>
                <w:sz w:val="22"/>
              </w:rPr>
            </w:pPr>
            <w:r w:rsidRPr="002A3533">
              <w:rPr>
                <w:bCs/>
                <w:sz w:val="22"/>
              </w:rPr>
              <w:t xml:space="preserve">                                                           Efficacy Outcomes</w:t>
            </w:r>
          </w:p>
        </w:tc>
      </w:tr>
      <w:tr w:rsidR="00C6578C" w14:paraId="400A4AA7" w14:textId="77777777" w:rsidTr="00271199">
        <w:tc>
          <w:tcPr>
            <w:tcW w:w="2418" w:type="dxa"/>
          </w:tcPr>
          <w:p w14:paraId="28DC90F7" w14:textId="77777777" w:rsidR="00686116" w:rsidRPr="002A3533" w:rsidRDefault="00944B8F" w:rsidP="00F043D5">
            <w:pPr>
              <w:pStyle w:val="BodyTextIndent"/>
              <w:keepNext/>
              <w:ind w:left="0" w:right="51" w:firstLine="0"/>
              <w:rPr>
                <w:bCs/>
                <w:sz w:val="22"/>
              </w:rPr>
            </w:pPr>
            <w:r w:rsidRPr="002A3533">
              <w:rPr>
                <w:bCs/>
                <w:sz w:val="22"/>
              </w:rPr>
              <w:t>Double Blind 32 week</w:t>
            </w:r>
            <w:r>
              <w:rPr>
                <w:bCs/>
                <w:sz w:val="22"/>
              </w:rPr>
              <w:t>s</w:t>
            </w:r>
          </w:p>
        </w:tc>
        <w:tc>
          <w:tcPr>
            <w:tcW w:w="1760" w:type="dxa"/>
          </w:tcPr>
          <w:p w14:paraId="30B2149F" w14:textId="77777777" w:rsidR="00686116" w:rsidRPr="002A3533" w:rsidRDefault="00944B8F" w:rsidP="00F043D5">
            <w:pPr>
              <w:pStyle w:val="BodyTextIndent"/>
              <w:keepNext/>
              <w:ind w:left="0" w:right="51" w:firstLine="0"/>
              <w:rPr>
                <w:bCs/>
                <w:sz w:val="22"/>
              </w:rPr>
            </w:pPr>
            <w:r w:rsidRPr="002A3533">
              <w:rPr>
                <w:bCs/>
                <w:sz w:val="22"/>
              </w:rPr>
              <w:t>Humira /MTX</w:t>
            </w:r>
          </w:p>
          <w:p w14:paraId="3ACDD6C7" w14:textId="77777777" w:rsidR="00686116" w:rsidRPr="002A3533" w:rsidRDefault="00944B8F" w:rsidP="00F043D5">
            <w:pPr>
              <w:pStyle w:val="BodyTextIndent"/>
              <w:keepNext/>
              <w:ind w:left="0" w:right="51" w:firstLine="0"/>
              <w:rPr>
                <w:bCs/>
                <w:sz w:val="22"/>
              </w:rPr>
            </w:pPr>
            <w:r w:rsidRPr="002A3533">
              <w:rPr>
                <w:bCs/>
                <w:sz w:val="22"/>
              </w:rPr>
              <w:t>(N = 38)</w:t>
            </w:r>
          </w:p>
          <w:p w14:paraId="05B560EB" w14:textId="77777777" w:rsidR="00686116" w:rsidRPr="002A3533" w:rsidRDefault="00686116" w:rsidP="00F043D5">
            <w:pPr>
              <w:pStyle w:val="BodyTextIndent"/>
              <w:keepNext/>
              <w:ind w:left="0" w:right="51" w:firstLine="0"/>
              <w:rPr>
                <w:bCs/>
                <w:sz w:val="22"/>
              </w:rPr>
            </w:pPr>
          </w:p>
        </w:tc>
        <w:tc>
          <w:tcPr>
            <w:tcW w:w="1760" w:type="dxa"/>
          </w:tcPr>
          <w:p w14:paraId="1A53DBEF" w14:textId="77777777" w:rsidR="00686116" w:rsidRPr="002A3533" w:rsidRDefault="00944B8F" w:rsidP="00F043D5">
            <w:pPr>
              <w:pStyle w:val="BodyTextIndent"/>
              <w:keepNext/>
              <w:ind w:left="0" w:right="51" w:firstLine="0"/>
              <w:rPr>
                <w:bCs/>
                <w:sz w:val="22"/>
              </w:rPr>
            </w:pPr>
            <w:r w:rsidRPr="002A3533">
              <w:rPr>
                <w:bCs/>
                <w:sz w:val="22"/>
              </w:rPr>
              <w:t>Placebo / MTX</w:t>
            </w:r>
          </w:p>
          <w:p w14:paraId="1E291B05" w14:textId="77777777" w:rsidR="00686116" w:rsidRPr="002A3533" w:rsidRDefault="00944B8F" w:rsidP="00F043D5">
            <w:pPr>
              <w:pStyle w:val="BodyTextIndent"/>
              <w:keepNext/>
              <w:ind w:left="0" w:right="51" w:firstLine="0"/>
              <w:rPr>
                <w:bCs/>
                <w:sz w:val="22"/>
              </w:rPr>
            </w:pPr>
            <w:r w:rsidRPr="002A3533">
              <w:rPr>
                <w:bCs/>
                <w:sz w:val="22"/>
              </w:rPr>
              <w:t>(N = 37)</w:t>
            </w:r>
          </w:p>
        </w:tc>
        <w:tc>
          <w:tcPr>
            <w:tcW w:w="1650" w:type="dxa"/>
          </w:tcPr>
          <w:p w14:paraId="29FE5553" w14:textId="77777777" w:rsidR="00686116" w:rsidRPr="002A3533" w:rsidRDefault="00944B8F" w:rsidP="00F043D5">
            <w:pPr>
              <w:pStyle w:val="BodyTextIndent"/>
              <w:keepNext/>
              <w:ind w:left="0" w:right="51" w:firstLine="0"/>
              <w:rPr>
                <w:bCs/>
                <w:sz w:val="22"/>
              </w:rPr>
            </w:pPr>
            <w:r w:rsidRPr="002A3533">
              <w:rPr>
                <w:bCs/>
                <w:sz w:val="22"/>
              </w:rPr>
              <w:t xml:space="preserve">Humira </w:t>
            </w:r>
          </w:p>
          <w:p w14:paraId="1D1C2812" w14:textId="77777777" w:rsidR="00686116" w:rsidRPr="002A3533" w:rsidRDefault="00944B8F" w:rsidP="00F043D5">
            <w:pPr>
              <w:pStyle w:val="BodyTextIndent"/>
              <w:keepNext/>
              <w:ind w:left="0" w:right="51" w:firstLine="0"/>
              <w:rPr>
                <w:bCs/>
                <w:sz w:val="22"/>
              </w:rPr>
            </w:pPr>
            <w:r w:rsidRPr="002A3533">
              <w:rPr>
                <w:bCs/>
                <w:sz w:val="22"/>
              </w:rPr>
              <w:t>(N = 30)</w:t>
            </w:r>
          </w:p>
        </w:tc>
        <w:tc>
          <w:tcPr>
            <w:tcW w:w="1589" w:type="dxa"/>
          </w:tcPr>
          <w:p w14:paraId="5C3A08FD" w14:textId="77777777" w:rsidR="00686116" w:rsidRPr="002A3533" w:rsidRDefault="00944B8F" w:rsidP="00F043D5">
            <w:pPr>
              <w:pStyle w:val="BodyTextIndent"/>
              <w:keepNext/>
              <w:ind w:left="0" w:right="51" w:firstLine="0"/>
              <w:rPr>
                <w:bCs/>
                <w:sz w:val="22"/>
              </w:rPr>
            </w:pPr>
            <w:r w:rsidRPr="002A3533">
              <w:rPr>
                <w:bCs/>
                <w:sz w:val="22"/>
              </w:rPr>
              <w:t>Placebo</w:t>
            </w:r>
          </w:p>
          <w:p w14:paraId="3977B292" w14:textId="77777777" w:rsidR="00686116" w:rsidRPr="002A3533" w:rsidRDefault="00944B8F" w:rsidP="00F043D5">
            <w:pPr>
              <w:pStyle w:val="BodyTextIndent"/>
              <w:keepNext/>
              <w:ind w:left="0" w:right="51" w:firstLine="0"/>
              <w:rPr>
                <w:bCs/>
                <w:sz w:val="22"/>
              </w:rPr>
            </w:pPr>
            <w:r w:rsidRPr="002A3533">
              <w:rPr>
                <w:bCs/>
                <w:sz w:val="22"/>
              </w:rPr>
              <w:t>(N = 28)</w:t>
            </w:r>
          </w:p>
        </w:tc>
      </w:tr>
      <w:tr w:rsidR="00C6578C" w14:paraId="4D53FC28" w14:textId="77777777" w:rsidTr="00271199">
        <w:tc>
          <w:tcPr>
            <w:tcW w:w="2418" w:type="dxa"/>
          </w:tcPr>
          <w:p w14:paraId="65DECAAC" w14:textId="77777777" w:rsidR="00686116" w:rsidRPr="002A3533" w:rsidRDefault="00944B8F" w:rsidP="00F043D5">
            <w:pPr>
              <w:pStyle w:val="BodyTextIndent"/>
              <w:keepNext/>
              <w:ind w:right="51" w:firstLine="0"/>
              <w:rPr>
                <w:bCs/>
                <w:sz w:val="22"/>
              </w:rPr>
            </w:pPr>
            <w:r w:rsidRPr="002A3533">
              <w:rPr>
                <w:bCs/>
                <w:sz w:val="22"/>
              </w:rPr>
              <w:t>Disease flares at the end of 32 weeks</w:t>
            </w:r>
            <w:r w:rsidRPr="002A3533">
              <w:rPr>
                <w:bCs/>
                <w:sz w:val="22"/>
                <w:vertAlign w:val="superscript"/>
              </w:rPr>
              <w:t>a</w:t>
            </w:r>
            <w:r w:rsidRPr="002A3533">
              <w:rPr>
                <w:bCs/>
                <w:sz w:val="22"/>
              </w:rPr>
              <w:t xml:space="preserve"> (n/N)</w:t>
            </w:r>
          </w:p>
        </w:tc>
        <w:tc>
          <w:tcPr>
            <w:tcW w:w="1760" w:type="dxa"/>
          </w:tcPr>
          <w:p w14:paraId="2F1218CE" w14:textId="77777777" w:rsidR="00686116" w:rsidRPr="002A3533" w:rsidRDefault="00944B8F" w:rsidP="00F043D5">
            <w:pPr>
              <w:pStyle w:val="BodyTextIndent"/>
              <w:keepNext/>
              <w:ind w:left="0" w:right="51" w:firstLine="0"/>
              <w:rPr>
                <w:bCs/>
                <w:sz w:val="22"/>
              </w:rPr>
            </w:pPr>
            <w:r w:rsidRPr="002A3533">
              <w:rPr>
                <w:bCs/>
                <w:sz w:val="22"/>
              </w:rPr>
              <w:t>36.8% (14/38)</w:t>
            </w:r>
          </w:p>
        </w:tc>
        <w:tc>
          <w:tcPr>
            <w:tcW w:w="1760" w:type="dxa"/>
          </w:tcPr>
          <w:p w14:paraId="644E5506" w14:textId="77777777" w:rsidR="00686116" w:rsidRPr="002A3533" w:rsidRDefault="00944B8F" w:rsidP="00F043D5">
            <w:pPr>
              <w:pStyle w:val="BodyTextIndent"/>
              <w:keepNext/>
              <w:ind w:left="0" w:right="51" w:firstLine="0"/>
              <w:rPr>
                <w:bCs/>
                <w:sz w:val="22"/>
              </w:rPr>
            </w:pPr>
            <w:r w:rsidRPr="002A3533">
              <w:rPr>
                <w:bCs/>
                <w:sz w:val="22"/>
              </w:rPr>
              <w:t>64.9% (24/37)</w:t>
            </w:r>
            <w:r w:rsidRPr="002A3533">
              <w:rPr>
                <w:bCs/>
                <w:sz w:val="22"/>
                <w:vertAlign w:val="superscript"/>
              </w:rPr>
              <w:t>b</w:t>
            </w:r>
          </w:p>
        </w:tc>
        <w:tc>
          <w:tcPr>
            <w:tcW w:w="1650" w:type="dxa"/>
          </w:tcPr>
          <w:p w14:paraId="2C20BE3E" w14:textId="77777777" w:rsidR="00686116" w:rsidRPr="002A3533" w:rsidRDefault="00944B8F" w:rsidP="00F043D5">
            <w:pPr>
              <w:pStyle w:val="BodyTextIndent"/>
              <w:keepNext/>
              <w:ind w:left="0" w:right="51" w:firstLine="0"/>
              <w:rPr>
                <w:bCs/>
                <w:sz w:val="22"/>
              </w:rPr>
            </w:pPr>
            <w:r w:rsidRPr="002A3533">
              <w:rPr>
                <w:bCs/>
                <w:sz w:val="22"/>
              </w:rPr>
              <w:t>43.3% (13/30)</w:t>
            </w:r>
          </w:p>
        </w:tc>
        <w:tc>
          <w:tcPr>
            <w:tcW w:w="1589" w:type="dxa"/>
          </w:tcPr>
          <w:p w14:paraId="7F2F1C0C" w14:textId="77777777" w:rsidR="00686116" w:rsidRPr="002A3533" w:rsidRDefault="00944B8F" w:rsidP="00F043D5">
            <w:pPr>
              <w:pStyle w:val="BodyTextIndent"/>
              <w:keepNext/>
              <w:ind w:left="0" w:right="51" w:firstLine="0"/>
              <w:rPr>
                <w:bCs/>
                <w:sz w:val="22"/>
              </w:rPr>
            </w:pPr>
            <w:r w:rsidRPr="002A3533">
              <w:rPr>
                <w:bCs/>
                <w:sz w:val="22"/>
              </w:rPr>
              <w:t>71.4% (20/28)</w:t>
            </w:r>
            <w:r w:rsidRPr="002A3533">
              <w:rPr>
                <w:bCs/>
                <w:sz w:val="22"/>
                <w:vertAlign w:val="superscript"/>
              </w:rPr>
              <w:t>c</w:t>
            </w:r>
          </w:p>
        </w:tc>
      </w:tr>
      <w:tr w:rsidR="00C6578C" w14:paraId="205C0285" w14:textId="77777777" w:rsidTr="00271199">
        <w:tc>
          <w:tcPr>
            <w:tcW w:w="2418" w:type="dxa"/>
          </w:tcPr>
          <w:p w14:paraId="29FD77DA" w14:textId="77777777" w:rsidR="00686116" w:rsidRPr="002A3533" w:rsidRDefault="00944B8F" w:rsidP="00F043D5">
            <w:pPr>
              <w:pStyle w:val="BodyTextIndent"/>
              <w:keepNext/>
              <w:ind w:right="51" w:firstLine="0"/>
              <w:rPr>
                <w:bCs/>
                <w:sz w:val="22"/>
              </w:rPr>
            </w:pPr>
            <w:r w:rsidRPr="002A3533">
              <w:rPr>
                <w:bCs/>
                <w:sz w:val="22"/>
              </w:rPr>
              <w:t>Median time to disease flare</w:t>
            </w:r>
          </w:p>
        </w:tc>
        <w:tc>
          <w:tcPr>
            <w:tcW w:w="1760" w:type="dxa"/>
          </w:tcPr>
          <w:p w14:paraId="7BEBC08E" w14:textId="77777777" w:rsidR="00686116" w:rsidRPr="002A3533" w:rsidRDefault="00944B8F" w:rsidP="00F043D5">
            <w:pPr>
              <w:pStyle w:val="BodyTextIndent"/>
              <w:keepNext/>
              <w:ind w:left="0" w:right="51" w:firstLine="0"/>
              <w:rPr>
                <w:bCs/>
                <w:sz w:val="22"/>
              </w:rPr>
            </w:pPr>
            <w:r w:rsidRPr="002A3533">
              <w:rPr>
                <w:bCs/>
                <w:sz w:val="22"/>
              </w:rPr>
              <w:t>&gt;32 weeks</w:t>
            </w:r>
          </w:p>
        </w:tc>
        <w:tc>
          <w:tcPr>
            <w:tcW w:w="1760" w:type="dxa"/>
          </w:tcPr>
          <w:p w14:paraId="1E470A0A" w14:textId="77777777" w:rsidR="00686116" w:rsidRPr="002A3533" w:rsidRDefault="00944B8F" w:rsidP="00F043D5">
            <w:pPr>
              <w:pStyle w:val="BodyTextIndent"/>
              <w:keepNext/>
              <w:ind w:left="0" w:right="51" w:firstLine="0"/>
              <w:rPr>
                <w:bCs/>
                <w:sz w:val="22"/>
              </w:rPr>
            </w:pPr>
            <w:r w:rsidRPr="002A3533">
              <w:rPr>
                <w:bCs/>
                <w:sz w:val="22"/>
              </w:rPr>
              <w:t>20 weeks</w:t>
            </w:r>
          </w:p>
        </w:tc>
        <w:tc>
          <w:tcPr>
            <w:tcW w:w="1650" w:type="dxa"/>
          </w:tcPr>
          <w:p w14:paraId="2658DE40" w14:textId="77777777" w:rsidR="00686116" w:rsidRPr="002A3533" w:rsidRDefault="00944B8F" w:rsidP="00F043D5">
            <w:pPr>
              <w:pStyle w:val="BodyTextIndent"/>
              <w:keepNext/>
              <w:ind w:left="0" w:right="51" w:firstLine="0"/>
              <w:rPr>
                <w:bCs/>
                <w:sz w:val="22"/>
              </w:rPr>
            </w:pPr>
            <w:r w:rsidRPr="002A3533">
              <w:rPr>
                <w:bCs/>
                <w:sz w:val="22"/>
              </w:rPr>
              <w:t>&gt;32 weeks</w:t>
            </w:r>
          </w:p>
        </w:tc>
        <w:tc>
          <w:tcPr>
            <w:tcW w:w="1589" w:type="dxa"/>
          </w:tcPr>
          <w:p w14:paraId="3A531511" w14:textId="77777777" w:rsidR="00686116" w:rsidRPr="002A3533" w:rsidRDefault="00944B8F" w:rsidP="00F043D5">
            <w:pPr>
              <w:pStyle w:val="BodyTextIndent"/>
              <w:keepNext/>
              <w:ind w:left="0" w:right="51" w:firstLine="0"/>
              <w:rPr>
                <w:bCs/>
                <w:sz w:val="22"/>
              </w:rPr>
            </w:pPr>
            <w:r w:rsidRPr="002A3533">
              <w:rPr>
                <w:bCs/>
                <w:sz w:val="22"/>
              </w:rPr>
              <w:t>14 weeks</w:t>
            </w:r>
          </w:p>
        </w:tc>
      </w:tr>
    </w:tbl>
    <w:p w14:paraId="04D97DE3" w14:textId="77777777" w:rsidR="00686116" w:rsidRPr="002A3533" w:rsidRDefault="00686116" w:rsidP="00F043D5">
      <w:pPr>
        <w:pStyle w:val="BodyTextIndent"/>
        <w:keepNext/>
        <w:ind w:left="110" w:right="51" w:firstLine="0"/>
        <w:rPr>
          <w:b/>
          <w:bCs/>
          <w:vertAlign w:val="superscript"/>
        </w:rPr>
      </w:pPr>
    </w:p>
    <w:p w14:paraId="26BF3194" w14:textId="77777777" w:rsidR="00686116" w:rsidRPr="002A3533" w:rsidRDefault="00944B8F" w:rsidP="00F043D5">
      <w:pPr>
        <w:pStyle w:val="BodyTextIndent"/>
        <w:keepNext/>
        <w:ind w:left="110" w:right="51" w:firstLine="0"/>
        <w:rPr>
          <w:bCs/>
          <w:i/>
          <w:iCs/>
          <w:sz w:val="22"/>
          <w:szCs w:val="22"/>
        </w:rPr>
      </w:pPr>
      <w:r w:rsidRPr="002A3533">
        <w:rPr>
          <w:bCs/>
          <w:sz w:val="22"/>
          <w:szCs w:val="22"/>
          <w:vertAlign w:val="superscript"/>
        </w:rPr>
        <w:t xml:space="preserve">a </w:t>
      </w:r>
      <w:r w:rsidRPr="002A3533">
        <w:rPr>
          <w:bCs/>
          <w:sz w:val="22"/>
          <w:szCs w:val="22"/>
        </w:rPr>
        <w:t xml:space="preserve">Ped ACR 30/50/70 responses Week 48 significantly greater than those of placebo treated patients </w:t>
      </w:r>
    </w:p>
    <w:p w14:paraId="0FDDB284" w14:textId="77777777" w:rsidR="00686116" w:rsidRPr="002A3533" w:rsidRDefault="00944B8F" w:rsidP="00F043D5">
      <w:pPr>
        <w:pStyle w:val="BodyTextIndent"/>
        <w:keepNext/>
        <w:ind w:left="110" w:right="51" w:firstLine="0"/>
        <w:rPr>
          <w:bCs/>
          <w:sz w:val="22"/>
          <w:szCs w:val="22"/>
        </w:rPr>
      </w:pPr>
      <w:r w:rsidRPr="002A3533">
        <w:rPr>
          <w:bCs/>
          <w:sz w:val="22"/>
          <w:szCs w:val="22"/>
          <w:vertAlign w:val="superscript"/>
        </w:rPr>
        <w:t>b</w:t>
      </w:r>
      <w:r w:rsidRPr="002A3533">
        <w:rPr>
          <w:bCs/>
          <w:sz w:val="22"/>
          <w:szCs w:val="22"/>
        </w:rPr>
        <w:t xml:space="preserve"> p = 0.015</w:t>
      </w:r>
    </w:p>
    <w:p w14:paraId="47162AD3" w14:textId="77777777" w:rsidR="00686116" w:rsidRPr="002A3533" w:rsidRDefault="00944B8F" w:rsidP="00F043D5">
      <w:pPr>
        <w:pStyle w:val="BodyTextIndent"/>
        <w:keepNext/>
        <w:ind w:left="110" w:right="51" w:firstLine="0"/>
        <w:rPr>
          <w:bCs/>
          <w:sz w:val="22"/>
          <w:szCs w:val="22"/>
        </w:rPr>
      </w:pPr>
      <w:r w:rsidRPr="002A3533">
        <w:rPr>
          <w:bCs/>
          <w:sz w:val="22"/>
          <w:szCs w:val="22"/>
          <w:vertAlign w:val="superscript"/>
        </w:rPr>
        <w:t>c</w:t>
      </w:r>
      <w:r w:rsidRPr="002A3533">
        <w:rPr>
          <w:bCs/>
          <w:sz w:val="22"/>
          <w:szCs w:val="22"/>
        </w:rPr>
        <w:t xml:space="preserve"> p = 0.031</w:t>
      </w:r>
    </w:p>
    <w:p w14:paraId="3875B552" w14:textId="77777777" w:rsidR="00686116" w:rsidRPr="00CE7FEF" w:rsidRDefault="00686116" w:rsidP="00686116">
      <w:pPr>
        <w:pStyle w:val="BodyTextIndent"/>
        <w:ind w:left="110" w:right="53" w:firstLine="0"/>
        <w:rPr>
          <w:bCs/>
          <w:sz w:val="22"/>
          <w:szCs w:val="22"/>
        </w:rPr>
      </w:pPr>
    </w:p>
    <w:p w14:paraId="16B9EE5F" w14:textId="77777777" w:rsidR="00686116" w:rsidRPr="002A3533" w:rsidRDefault="00944B8F" w:rsidP="00686116">
      <w:pPr>
        <w:pStyle w:val="EMEANormal"/>
      </w:pPr>
      <w:r w:rsidRPr="70D4D675">
        <w:rPr>
          <w:lang w:val="en-GB"/>
        </w:rPr>
        <w:t>Amongst those who responded at Week 16 (n=144), the P</w:t>
      </w:r>
      <w:r w:rsidR="00043E67" w:rsidRPr="70D4D675">
        <w:rPr>
          <w:lang w:val="en-GB"/>
        </w:rPr>
        <w:t>a</w:t>
      </w:r>
      <w:r w:rsidRPr="70D4D675">
        <w:rPr>
          <w:lang w:val="en-GB"/>
        </w:rPr>
        <w:t>ediatric ACR 30/50/70/90 responses were maintained for up to six years in the OLE phase in patients who received Humira throughout the study. Over all 19 subjects, of which 11 of the baseline age group 4 to 12 and 8 of the baseline age group 13 to 17 years were treated 6 years or longer.</w:t>
      </w:r>
    </w:p>
    <w:p w14:paraId="75FA7558" w14:textId="77777777" w:rsidR="00686116" w:rsidRPr="002A3533" w:rsidRDefault="00686116" w:rsidP="00686116">
      <w:pPr>
        <w:pStyle w:val="EMEANormal"/>
      </w:pPr>
    </w:p>
    <w:p w14:paraId="2474B212" w14:textId="77777777" w:rsidR="00686116" w:rsidRPr="002A3533" w:rsidRDefault="00944B8F" w:rsidP="00686116">
      <w:pPr>
        <w:pStyle w:val="EMEANormal"/>
      </w:pPr>
      <w:r w:rsidRPr="70D4D675">
        <w:rPr>
          <w:lang w:val="en-GB"/>
        </w:rPr>
        <w:t>Overall responses were generally better and, fewer patients developed antibodies when treated with the combination of Humira and MTX compared to Humira alone. Taking these results into consideration, Humira is recommended for use in combination with MTX and for use as monotherapy in patients for whom MTX use is not appropriate (see section 4.2).</w:t>
      </w:r>
    </w:p>
    <w:p w14:paraId="2BE0352E" w14:textId="77777777" w:rsidR="00686116" w:rsidRPr="002A3533" w:rsidRDefault="00686116" w:rsidP="00686116">
      <w:pPr>
        <w:pStyle w:val="EMEANormal"/>
      </w:pPr>
    </w:p>
    <w:p w14:paraId="5364FAFA" w14:textId="77777777" w:rsidR="00686116" w:rsidRPr="002A3533" w:rsidRDefault="00944B8F" w:rsidP="00686116">
      <w:pPr>
        <w:pStyle w:val="EMEANormal"/>
      </w:pPr>
      <w:r w:rsidRPr="70D4D675">
        <w:rPr>
          <w:lang w:val="en-GB"/>
        </w:rPr>
        <w:t>pJIA II</w:t>
      </w:r>
    </w:p>
    <w:p w14:paraId="63FD3DC8" w14:textId="77777777" w:rsidR="00686116" w:rsidRPr="002A3533" w:rsidRDefault="00686116" w:rsidP="00686116">
      <w:pPr>
        <w:pStyle w:val="EMEANormal"/>
      </w:pPr>
    </w:p>
    <w:p w14:paraId="05381041" w14:textId="77777777" w:rsidR="00686116" w:rsidRPr="002A3533" w:rsidRDefault="00944B8F" w:rsidP="00686116">
      <w:pPr>
        <w:tabs>
          <w:tab w:val="left" w:pos="6840"/>
        </w:tabs>
        <w:autoSpaceDE w:val="0"/>
        <w:autoSpaceDN w:val="0"/>
        <w:adjustRightInd w:val="0"/>
        <w:ind w:right="53"/>
      </w:pPr>
      <w:r w:rsidRPr="002A3533">
        <w:t xml:space="preserve">The safety and efficacy of Humira was assessed in an open-label, </w:t>
      </w:r>
      <w:r w:rsidRPr="00106CE6">
        <w:t>multicentre</w:t>
      </w:r>
      <w:r w:rsidRPr="002A3533">
        <w:t xml:space="preserve"> study in 32 children (2 </w:t>
      </w:r>
      <w:r w:rsidRPr="002A3533">
        <w:noBreakHyphen/>
        <w:t xml:space="preserve"> &lt; 4 years old or</w:t>
      </w:r>
      <w:r w:rsidRPr="002A3533">
        <w:rPr>
          <w:szCs w:val="22"/>
        </w:rPr>
        <w:t xml:space="preserve"> aged 4 and above weighing &lt; 15 kg</w:t>
      </w:r>
      <w:r w:rsidRPr="002A3533">
        <w:t xml:space="preserve">) with moderately to severely active polyarticular JIA. The patients </w:t>
      </w:r>
      <w:r w:rsidRPr="002A3533">
        <w:rPr>
          <w:szCs w:val="22"/>
        </w:rPr>
        <w:t>received 24 mg/m</w:t>
      </w:r>
      <w:r w:rsidRPr="002A3533">
        <w:rPr>
          <w:szCs w:val="22"/>
          <w:vertAlign w:val="superscript"/>
        </w:rPr>
        <w:t>2</w:t>
      </w:r>
      <w:r w:rsidRPr="002A3533">
        <w:rPr>
          <w:szCs w:val="22"/>
        </w:rPr>
        <w:t xml:space="preserve"> body surface area (BSA) of Humira up to a maximum of 20 mg every other week as a single dose via SC injection for at least 24 weeks. During the study, most subjects used concomitant MTX, with fewer reporting use of corticosteroids or NSAIDs.</w:t>
      </w:r>
    </w:p>
    <w:p w14:paraId="52D444FC" w14:textId="77777777" w:rsidR="00686116" w:rsidRPr="002A3533" w:rsidRDefault="00686116" w:rsidP="00686116">
      <w:pPr>
        <w:pStyle w:val="EMEANormal"/>
      </w:pPr>
    </w:p>
    <w:p w14:paraId="34675A4E" w14:textId="77777777" w:rsidR="00686116" w:rsidRPr="002A3533" w:rsidRDefault="00944B8F" w:rsidP="00686116">
      <w:pPr>
        <w:pStyle w:val="EMEANormal"/>
      </w:pPr>
      <w:r w:rsidRPr="70D4D675">
        <w:rPr>
          <w:lang w:val="en-GB"/>
        </w:rPr>
        <w:t>At Week 12 and Week 24, PedACR30 response was 93.5% and 90.0%, respectively, using the observed data approach. The proportions of subjects with PedACR50/70/90 at Week 12 and Week 24 were 90.3%/61.3%/38.7% and 83.3%/73.3%/36.7%, respectively. Amongst those who responded (P</w:t>
      </w:r>
      <w:r w:rsidR="00043E67" w:rsidRPr="70D4D675">
        <w:rPr>
          <w:lang w:val="en-GB"/>
        </w:rPr>
        <w:t>a</w:t>
      </w:r>
      <w:r w:rsidRPr="70D4D675">
        <w:rPr>
          <w:lang w:val="en-GB"/>
        </w:rPr>
        <w:t>ediatric ACR 30) at Week 24 (n=27 out of 30 patients), the P</w:t>
      </w:r>
      <w:r w:rsidR="00043E67" w:rsidRPr="70D4D675">
        <w:rPr>
          <w:lang w:val="en-GB"/>
        </w:rPr>
        <w:t>a</w:t>
      </w:r>
      <w:r w:rsidRPr="70D4D675">
        <w:rPr>
          <w:lang w:val="en-GB"/>
        </w:rPr>
        <w:t>ediatric ACR 30 responses were maintained for up to 60 weeks in the OLE phase in patients who received Humira throughout this time period. Overall, 20 subjects were treated for 60 weeks or longer.</w:t>
      </w:r>
    </w:p>
    <w:p w14:paraId="7C00253E" w14:textId="77777777" w:rsidR="00686116" w:rsidRPr="002A3533" w:rsidRDefault="00686116" w:rsidP="00686116">
      <w:pPr>
        <w:pStyle w:val="EMEANormal"/>
        <w:rPr>
          <w:szCs w:val="22"/>
        </w:rPr>
      </w:pPr>
    </w:p>
    <w:p w14:paraId="2CA1C398" w14:textId="77777777" w:rsidR="00686116" w:rsidRPr="002A3533" w:rsidRDefault="00944B8F" w:rsidP="00686116">
      <w:pPr>
        <w:pStyle w:val="gtcbodytext"/>
        <w:keepNext/>
        <w:spacing w:before="0" w:after="0" w:line="240" w:lineRule="auto"/>
        <w:rPr>
          <w:rStyle w:val="gtcbold9"/>
          <w:b w:val="0"/>
          <w:i/>
          <w:sz w:val="22"/>
          <w:szCs w:val="22"/>
          <w:u w:val="single"/>
        </w:rPr>
      </w:pPr>
      <w:r w:rsidRPr="002A3533">
        <w:rPr>
          <w:rStyle w:val="gtcbold9"/>
          <w:b w:val="0"/>
          <w:i/>
          <w:sz w:val="22"/>
          <w:szCs w:val="22"/>
          <w:u w:val="single"/>
        </w:rPr>
        <w:t>Enthesitis-related arthritis</w:t>
      </w:r>
    </w:p>
    <w:p w14:paraId="54D972A9" w14:textId="77777777" w:rsidR="00686116" w:rsidRPr="002A3533" w:rsidRDefault="00686116" w:rsidP="00686116">
      <w:pPr>
        <w:pStyle w:val="gtcbodytext"/>
        <w:keepNext/>
        <w:spacing w:before="0" w:after="0" w:line="240" w:lineRule="auto"/>
        <w:rPr>
          <w:rStyle w:val="gtcbold9"/>
          <w:b w:val="0"/>
          <w:sz w:val="22"/>
          <w:szCs w:val="22"/>
          <w:u w:val="single"/>
        </w:rPr>
      </w:pPr>
    </w:p>
    <w:p w14:paraId="3510B26F" w14:textId="77777777" w:rsidR="00686116" w:rsidRPr="002A3533" w:rsidRDefault="00944B8F" w:rsidP="00686116">
      <w:pPr>
        <w:pStyle w:val="EMEANormal"/>
        <w:keepNext/>
        <w:rPr>
          <w:lang w:val="en-GB"/>
        </w:rPr>
      </w:pPr>
      <w:r w:rsidRPr="002A3533">
        <w:rPr>
          <w:szCs w:val="22"/>
        </w:rPr>
        <w:t xml:space="preserve">The safety and efficacy of Humira were assessed in a </w:t>
      </w:r>
      <w:r w:rsidRPr="00106CE6">
        <w:rPr>
          <w:lang w:val="en-GB"/>
        </w:rPr>
        <w:t>multicentre</w:t>
      </w:r>
      <w:r w:rsidRPr="002A3533">
        <w:rPr>
          <w:szCs w:val="22"/>
        </w:rPr>
        <w:t>, randomised, double-blind study in 46 paediatric patients (6 to 17 years old) with moderate enthesitis-related arthritis. Patients were randomised to receive either 24 mg/m</w:t>
      </w:r>
      <w:r w:rsidRPr="002A3533">
        <w:rPr>
          <w:rStyle w:val="gtcsuperscript"/>
          <w:szCs w:val="22"/>
          <w:vertAlign w:val="superscript"/>
        </w:rPr>
        <w:t>2</w:t>
      </w:r>
      <w:r w:rsidRPr="002A3533">
        <w:rPr>
          <w:szCs w:val="22"/>
        </w:rPr>
        <w:t xml:space="preserve"> body surface area (BSA) of Humira up to a maximum of 40 mg, or placebo every other week for 12 weeks. The double-blind period is followed by an open-label (OL) period during </w:t>
      </w:r>
      <w:r w:rsidRPr="002A3533">
        <w:rPr>
          <w:szCs w:val="22"/>
        </w:rPr>
        <w:lastRenderedPageBreak/>
        <w:t xml:space="preserve">which patients received </w:t>
      </w:r>
      <w:r w:rsidRPr="002A3533">
        <w:t>24 mg/m</w:t>
      </w:r>
      <w:r w:rsidRPr="002A3533">
        <w:rPr>
          <w:rStyle w:val="gtcsuperscript"/>
          <w:vertAlign w:val="superscript"/>
        </w:rPr>
        <w:t>2</w:t>
      </w:r>
      <w:r w:rsidRPr="002A3533">
        <w:t xml:space="preserve"> BSA of Humira up to a maximum of 40 mg every other week </w:t>
      </w:r>
      <w:r w:rsidRPr="002A3533">
        <w:rPr>
          <w:szCs w:val="22"/>
        </w:rPr>
        <w:t xml:space="preserve">subcutaneously for up to an additional 192 weeks. The primary endpoint was the percent </w:t>
      </w:r>
      <w:r w:rsidRPr="002A3533">
        <w:rPr>
          <w:szCs w:val="22"/>
          <w:lang w:val="en-GB"/>
        </w:rPr>
        <w:t>change from Baseline to Week 12 in the number of active joints with arthritis (swelling not due to deformity or joints with loss of motion plus pain and/or tenderness), which was achieved with mean percent decrease of -62.6% (median percent change -88.9%) in patients in the Humira group compared to -11.6% (median percent change -50.0%) in patients in the placebo group. Improvement in number of active joints with arthritis was maintained duri</w:t>
      </w:r>
      <w:r>
        <w:rPr>
          <w:szCs w:val="22"/>
          <w:lang w:val="en-GB"/>
        </w:rPr>
        <w:t>ng the OL period through Week 156</w:t>
      </w:r>
      <w:r w:rsidRPr="002A3533">
        <w:rPr>
          <w:szCs w:val="22"/>
          <w:lang w:val="en-GB"/>
        </w:rPr>
        <w:t xml:space="preserve"> </w:t>
      </w:r>
      <w:r w:rsidRPr="00A6541E">
        <w:rPr>
          <w:szCs w:val="22"/>
          <w:lang w:val="en-GB"/>
        </w:rPr>
        <w:t>for the 26 of 31 (84%) patients in the Humira group who remained in</w:t>
      </w:r>
      <w:r w:rsidRPr="002A3533">
        <w:rPr>
          <w:szCs w:val="22"/>
          <w:lang w:val="en-GB"/>
        </w:rPr>
        <w:t xml:space="preserve"> the study. Although not statistically significant, the majority of patients demonstrated clinical improvement in secondary endpoints such as number of sites of enthesitis, tender joint count (TJC), swollen joint count (SJC), P</w:t>
      </w:r>
      <w:r w:rsidR="00043E67">
        <w:rPr>
          <w:szCs w:val="22"/>
          <w:lang w:val="en-GB"/>
        </w:rPr>
        <w:t>a</w:t>
      </w:r>
      <w:r w:rsidRPr="002A3533">
        <w:rPr>
          <w:szCs w:val="22"/>
          <w:lang w:val="en-GB"/>
        </w:rPr>
        <w:t>ediatric ACR 50 response, and P</w:t>
      </w:r>
      <w:r w:rsidR="00043E67">
        <w:rPr>
          <w:szCs w:val="22"/>
          <w:lang w:val="en-GB"/>
        </w:rPr>
        <w:t>a</w:t>
      </w:r>
      <w:r w:rsidRPr="002A3533">
        <w:rPr>
          <w:szCs w:val="22"/>
          <w:lang w:val="en-GB"/>
        </w:rPr>
        <w:t>ediatric ACR 70 response.</w:t>
      </w:r>
    </w:p>
    <w:p w14:paraId="5C9A1B86" w14:textId="77777777" w:rsidR="00686116" w:rsidRDefault="00686116" w:rsidP="00AB3BE8">
      <w:pPr>
        <w:pStyle w:val="EMEANormal"/>
        <w:rPr>
          <w:szCs w:val="22"/>
          <w:lang w:val="en-GB" w:eastAsia="en-GB"/>
        </w:rPr>
      </w:pPr>
    </w:p>
    <w:p w14:paraId="1F1EBD4C" w14:textId="77777777" w:rsidR="00686116" w:rsidRDefault="00944B8F" w:rsidP="00686116">
      <w:pPr>
        <w:pStyle w:val="gtcbodytext"/>
        <w:keepNext/>
        <w:spacing w:before="0" w:after="0"/>
        <w:rPr>
          <w:rStyle w:val="gtcbold9"/>
          <w:b w:val="0"/>
          <w:i/>
          <w:sz w:val="22"/>
          <w:szCs w:val="22"/>
        </w:rPr>
      </w:pPr>
      <w:r w:rsidRPr="002A3533">
        <w:rPr>
          <w:rStyle w:val="gtcbold9"/>
          <w:b w:val="0"/>
          <w:i/>
          <w:sz w:val="22"/>
          <w:szCs w:val="22"/>
        </w:rPr>
        <w:t xml:space="preserve">Paediatric plaque psoriasis </w:t>
      </w:r>
    </w:p>
    <w:p w14:paraId="7950C960" w14:textId="77777777" w:rsidR="00686116" w:rsidRPr="002A3533" w:rsidRDefault="00686116" w:rsidP="00686116">
      <w:pPr>
        <w:pStyle w:val="gtcbodytext"/>
        <w:keepNext/>
        <w:spacing w:before="0" w:after="0"/>
        <w:rPr>
          <w:rStyle w:val="gtcbold9"/>
          <w:b w:val="0"/>
          <w:i/>
          <w:sz w:val="22"/>
          <w:szCs w:val="22"/>
        </w:rPr>
      </w:pPr>
    </w:p>
    <w:p w14:paraId="2B4A4DA1" w14:textId="77777777" w:rsidR="00686116" w:rsidRPr="002A3533" w:rsidRDefault="00944B8F" w:rsidP="00686116">
      <w:pPr>
        <w:keepNext/>
        <w:autoSpaceDE w:val="0"/>
        <w:autoSpaceDN w:val="0"/>
        <w:adjustRightInd w:val="0"/>
        <w:rPr>
          <w:szCs w:val="22"/>
        </w:rPr>
      </w:pPr>
      <w:r w:rsidRPr="002A3533">
        <w:rPr>
          <w:szCs w:val="22"/>
        </w:rPr>
        <w:t xml:space="preserve">The efficacy of Humira was assessed in a randomised, double-blind, controlled study of 114 paediatric patients from 4 years of age with severe chronic plaque psoriasis (as defined by a </w:t>
      </w:r>
      <w:r>
        <w:rPr>
          <w:szCs w:val="22"/>
        </w:rPr>
        <w:t>Physician’s Global Assessment (</w:t>
      </w:r>
      <w:r w:rsidRPr="002A3533">
        <w:rPr>
          <w:szCs w:val="22"/>
        </w:rPr>
        <w:t>PGA</w:t>
      </w:r>
      <w:r>
        <w:rPr>
          <w:szCs w:val="22"/>
        </w:rPr>
        <w:t>) </w:t>
      </w:r>
      <w:r w:rsidRPr="002A3533">
        <w:rPr>
          <w:szCs w:val="22"/>
        </w:rPr>
        <w:t>≥</w:t>
      </w:r>
      <w:r>
        <w:rPr>
          <w:szCs w:val="22"/>
        </w:rPr>
        <w:t> </w:t>
      </w:r>
      <w:r w:rsidRPr="002A3533">
        <w:rPr>
          <w:szCs w:val="22"/>
        </w:rPr>
        <w:t>4</w:t>
      </w:r>
      <w:r>
        <w:rPr>
          <w:szCs w:val="22"/>
        </w:rPr>
        <w:t> </w:t>
      </w:r>
      <w:r w:rsidRPr="002A3533">
        <w:rPr>
          <w:szCs w:val="22"/>
        </w:rPr>
        <w:t>or</w:t>
      </w:r>
      <w:r>
        <w:rPr>
          <w:szCs w:val="22"/>
        </w:rPr>
        <w:t> </w:t>
      </w:r>
      <w:r w:rsidRPr="002A3533">
        <w:rPr>
          <w:szCs w:val="22"/>
        </w:rPr>
        <w:t>&gt;</w:t>
      </w:r>
      <w:r>
        <w:rPr>
          <w:szCs w:val="22"/>
        </w:rPr>
        <w:t> </w:t>
      </w:r>
      <w:r w:rsidRPr="002A3533">
        <w:rPr>
          <w:szCs w:val="22"/>
        </w:rPr>
        <w:t xml:space="preserve"> 20% BSA involvement or &gt; 10% BSA involvement with very thick lesions or </w:t>
      </w:r>
      <w:r w:rsidRPr="002A3533">
        <w:t>Psoriasis Area and Severity Index</w:t>
      </w:r>
      <w:r w:rsidRPr="002A3533">
        <w:rPr>
          <w:szCs w:val="22"/>
        </w:rPr>
        <w:t xml:space="preserve"> </w:t>
      </w:r>
      <w:r>
        <w:rPr>
          <w:szCs w:val="22"/>
        </w:rPr>
        <w:t>(</w:t>
      </w:r>
      <w:r w:rsidRPr="002A3533">
        <w:rPr>
          <w:szCs w:val="22"/>
        </w:rPr>
        <w:t>PASI</w:t>
      </w:r>
      <w:r>
        <w:rPr>
          <w:szCs w:val="22"/>
        </w:rPr>
        <w:t>)</w:t>
      </w:r>
      <w:r w:rsidRPr="002A3533">
        <w:rPr>
          <w:szCs w:val="22"/>
        </w:rPr>
        <w:t xml:space="preserve"> ≥ 20 or ≥ 10 with clinically relevant facial, genital, or hand/ foot involvement) who were inadequately controlled with topical therapy and heliotherapy or phototherapy. </w:t>
      </w:r>
    </w:p>
    <w:p w14:paraId="5C90E6BD" w14:textId="77777777" w:rsidR="00686116" w:rsidRPr="002A3533" w:rsidRDefault="00686116" w:rsidP="00686116">
      <w:pPr>
        <w:autoSpaceDE w:val="0"/>
        <w:autoSpaceDN w:val="0"/>
        <w:adjustRightInd w:val="0"/>
        <w:rPr>
          <w:szCs w:val="22"/>
        </w:rPr>
      </w:pPr>
    </w:p>
    <w:p w14:paraId="3DF0C4EA" w14:textId="77777777" w:rsidR="00686116" w:rsidRPr="002A3533" w:rsidRDefault="00944B8F" w:rsidP="00686116">
      <w:pPr>
        <w:autoSpaceDE w:val="0"/>
        <w:autoSpaceDN w:val="0"/>
        <w:adjustRightInd w:val="0"/>
        <w:rPr>
          <w:szCs w:val="22"/>
        </w:rPr>
      </w:pPr>
      <w:r w:rsidRPr="002A3533">
        <w:rPr>
          <w:szCs w:val="22"/>
        </w:rPr>
        <w:t>Patients received Humira 0.8 mg/kg eow (up to 40 mg), 0.4 mg/kg eow (up to 20 mg), or methotrexate 0.1</w:t>
      </w:r>
      <w:r w:rsidRPr="002A3533">
        <w:rPr>
          <w:szCs w:val="22"/>
        </w:rPr>
        <w:noBreakHyphen/>
        <w:t xml:space="preserve">0.4 mg/kg weekly (up to 25 mg). At </w:t>
      </w:r>
      <w:r>
        <w:rPr>
          <w:szCs w:val="22"/>
        </w:rPr>
        <w:t>W</w:t>
      </w:r>
      <w:r w:rsidRPr="002A3533">
        <w:rPr>
          <w:szCs w:val="22"/>
        </w:rPr>
        <w:t xml:space="preserve">eek 16, more patients randomised to Humira 0.8 mg/kg had positive efficacy responses (e.g., PASI 75) than those randomised to 0.4 mg/kg eow or MTX.  </w:t>
      </w:r>
    </w:p>
    <w:p w14:paraId="58BF2032" w14:textId="77777777" w:rsidR="00686116" w:rsidRPr="002A3533" w:rsidRDefault="00686116" w:rsidP="00686116">
      <w:pPr>
        <w:keepNext/>
        <w:autoSpaceDE w:val="0"/>
        <w:autoSpaceDN w:val="0"/>
        <w:adjustRightInd w:val="0"/>
        <w:rPr>
          <w:bCs/>
          <w:szCs w:val="22"/>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528"/>
        <w:gridCol w:w="1681"/>
        <w:gridCol w:w="3188"/>
      </w:tblGrid>
      <w:tr w:rsidR="00C6578C" w14:paraId="363B017D" w14:textId="77777777" w:rsidTr="00271199">
        <w:trPr>
          <w:jc w:val="center"/>
        </w:trPr>
        <w:tc>
          <w:tcPr>
            <w:tcW w:w="5000" w:type="pct"/>
            <w:gridSpan w:val="3"/>
            <w:tcBorders>
              <w:top w:val="nil"/>
              <w:left w:val="nil"/>
              <w:bottom w:val="nil"/>
              <w:right w:val="nil"/>
            </w:tcBorders>
            <w:vAlign w:val="center"/>
          </w:tcPr>
          <w:p w14:paraId="3742FA2D" w14:textId="77777777" w:rsidR="00686116" w:rsidRPr="002A3533" w:rsidRDefault="00944B8F" w:rsidP="00271199">
            <w:pPr>
              <w:keepNext/>
              <w:autoSpaceDE w:val="0"/>
              <w:autoSpaceDN w:val="0"/>
              <w:adjustRightInd w:val="0"/>
              <w:jc w:val="center"/>
              <w:rPr>
                <w:b/>
                <w:bCs/>
                <w:szCs w:val="22"/>
              </w:rPr>
            </w:pPr>
            <w:r w:rsidRPr="002A3533">
              <w:rPr>
                <w:rStyle w:val="gtcbold9"/>
                <w:bCs w:val="0"/>
                <w:szCs w:val="22"/>
              </w:rPr>
              <w:t xml:space="preserve">Table </w:t>
            </w:r>
            <w:r>
              <w:rPr>
                <w:rStyle w:val="gtcbold9"/>
                <w:bCs w:val="0"/>
                <w:szCs w:val="22"/>
              </w:rPr>
              <w:t>1</w:t>
            </w:r>
            <w:r w:rsidR="0003778A">
              <w:rPr>
                <w:rStyle w:val="gtcbold9"/>
                <w:bCs w:val="0"/>
                <w:szCs w:val="22"/>
              </w:rPr>
              <w:t>9</w:t>
            </w:r>
            <w:r w:rsidRPr="002A3533">
              <w:rPr>
                <w:rStyle w:val="gtcbold9"/>
                <w:bCs w:val="0"/>
                <w:szCs w:val="22"/>
              </w:rPr>
              <w:t xml:space="preserve">: </w:t>
            </w:r>
            <w:r w:rsidRPr="002A3533">
              <w:rPr>
                <w:rFonts w:ascii="Verdana,Bold" w:hAnsi="Verdana,Bold" w:cs="Verdana,Bold"/>
                <w:b/>
                <w:bCs/>
                <w:sz w:val="18"/>
                <w:szCs w:val="18"/>
              </w:rPr>
              <w:t xml:space="preserve"> </w:t>
            </w:r>
            <w:r w:rsidRPr="002A3533">
              <w:rPr>
                <w:b/>
                <w:bCs/>
                <w:szCs w:val="22"/>
              </w:rPr>
              <w:t>Paediatric Plaque Psoriasis Efficacy Results at 16 Weeks</w:t>
            </w:r>
          </w:p>
          <w:p w14:paraId="1F846C49" w14:textId="77777777" w:rsidR="00686116" w:rsidRPr="002A3533" w:rsidRDefault="00686116" w:rsidP="00271199">
            <w:pPr>
              <w:keepNext/>
              <w:jc w:val="center"/>
              <w:rPr>
                <w:b/>
                <w:szCs w:val="22"/>
              </w:rPr>
            </w:pPr>
          </w:p>
        </w:tc>
      </w:tr>
      <w:tr w:rsidR="00C6578C" w:rsidRPr="00173B45" w14:paraId="10BCD4D3" w14:textId="77777777" w:rsidTr="00271199">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10B4F181" w14:textId="77777777" w:rsidR="00686116" w:rsidRPr="002A3533" w:rsidRDefault="00686116" w:rsidP="00271199">
            <w:pPr>
              <w:keepNext/>
              <w:rPr>
                <w:szCs w:val="22"/>
              </w:rPr>
            </w:pPr>
          </w:p>
        </w:tc>
        <w:tc>
          <w:tcPr>
            <w:tcW w:w="0" w:type="auto"/>
            <w:tcBorders>
              <w:top w:val="single" w:sz="6" w:space="0" w:color="000000"/>
              <w:left w:val="single" w:sz="6" w:space="0" w:color="000000"/>
              <w:bottom w:val="outset" w:sz="6" w:space="0" w:color="auto"/>
              <w:right w:val="outset" w:sz="6" w:space="0" w:color="auto"/>
            </w:tcBorders>
            <w:vAlign w:val="center"/>
          </w:tcPr>
          <w:p w14:paraId="08A19438" w14:textId="77777777" w:rsidR="00686116" w:rsidRPr="002A3533" w:rsidRDefault="00944B8F" w:rsidP="00271199">
            <w:pPr>
              <w:keepNext/>
              <w:jc w:val="center"/>
              <w:rPr>
                <w:szCs w:val="22"/>
              </w:rPr>
            </w:pPr>
            <w:r w:rsidRPr="002A3533">
              <w:rPr>
                <w:szCs w:val="22"/>
              </w:rPr>
              <w:t>MTX</w:t>
            </w:r>
            <w:r w:rsidRPr="002A3533">
              <w:rPr>
                <w:szCs w:val="22"/>
                <w:vertAlign w:val="superscript"/>
              </w:rPr>
              <w:t>a</w:t>
            </w:r>
            <w:r w:rsidRPr="002A3533">
              <w:rPr>
                <w:szCs w:val="22"/>
              </w:rPr>
              <w:br/>
              <w:t xml:space="preserve">N=37 </w:t>
            </w:r>
          </w:p>
        </w:tc>
        <w:tc>
          <w:tcPr>
            <w:tcW w:w="1898" w:type="pct"/>
            <w:tcBorders>
              <w:top w:val="single" w:sz="6" w:space="0" w:color="000000"/>
              <w:left w:val="single" w:sz="6" w:space="0" w:color="000000"/>
              <w:bottom w:val="outset" w:sz="6" w:space="0" w:color="auto"/>
              <w:right w:val="single" w:sz="6" w:space="0" w:color="000000"/>
            </w:tcBorders>
            <w:vAlign w:val="center"/>
          </w:tcPr>
          <w:p w14:paraId="39BFDE38" w14:textId="77777777" w:rsidR="00686116" w:rsidRPr="002A3533" w:rsidRDefault="00944B8F" w:rsidP="00271199">
            <w:pPr>
              <w:keepNext/>
              <w:jc w:val="center"/>
              <w:rPr>
                <w:szCs w:val="22"/>
                <w:lang w:val="pt-BR"/>
              </w:rPr>
            </w:pPr>
            <w:r w:rsidRPr="002A3533">
              <w:rPr>
                <w:szCs w:val="22"/>
                <w:lang w:val="pt-BR"/>
              </w:rPr>
              <w:t>Humira 0.8</w:t>
            </w:r>
            <w:r>
              <w:rPr>
                <w:szCs w:val="22"/>
                <w:lang w:val="pt-BR"/>
              </w:rPr>
              <w:t xml:space="preserve"> </w:t>
            </w:r>
            <w:r w:rsidRPr="002A3533">
              <w:rPr>
                <w:szCs w:val="22"/>
                <w:lang w:val="pt-BR"/>
              </w:rPr>
              <w:t>mg/kg eow</w:t>
            </w:r>
            <w:r w:rsidRPr="002A3533">
              <w:rPr>
                <w:szCs w:val="22"/>
                <w:lang w:val="pt-BR"/>
              </w:rPr>
              <w:br/>
              <w:t xml:space="preserve">N=38 </w:t>
            </w:r>
          </w:p>
        </w:tc>
      </w:tr>
      <w:tr w:rsidR="00C6578C" w14:paraId="00ED0B6E" w14:textId="77777777" w:rsidTr="00271199">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373D6B42" w14:textId="77777777" w:rsidR="00686116" w:rsidRPr="00193076" w:rsidRDefault="00944B8F" w:rsidP="00271199">
            <w:pPr>
              <w:keepNext/>
              <w:rPr>
                <w:szCs w:val="22"/>
              </w:rPr>
            </w:pPr>
            <w:r w:rsidRPr="00E95E17">
              <w:rPr>
                <w:szCs w:val="22"/>
              </w:rPr>
              <w:t> </w:t>
            </w:r>
            <w:r w:rsidRPr="00E95E17">
              <w:rPr>
                <w:szCs w:val="22"/>
              </w:rPr>
              <w:t>PASI 75</w:t>
            </w:r>
            <w:r w:rsidRPr="00193076">
              <w:rPr>
                <w:szCs w:val="22"/>
                <w:vertAlign w:val="superscript"/>
              </w:rPr>
              <w:t>b</w:t>
            </w:r>
          </w:p>
        </w:tc>
        <w:tc>
          <w:tcPr>
            <w:tcW w:w="0" w:type="auto"/>
            <w:tcBorders>
              <w:top w:val="single" w:sz="6" w:space="0" w:color="000000"/>
              <w:left w:val="single" w:sz="6" w:space="0" w:color="000000"/>
              <w:bottom w:val="outset" w:sz="6" w:space="0" w:color="auto"/>
              <w:right w:val="outset" w:sz="6" w:space="0" w:color="auto"/>
            </w:tcBorders>
            <w:vAlign w:val="center"/>
          </w:tcPr>
          <w:p w14:paraId="4A489D31" w14:textId="77777777" w:rsidR="00686116" w:rsidRPr="00193076" w:rsidRDefault="00944B8F" w:rsidP="00271199">
            <w:pPr>
              <w:keepNext/>
              <w:jc w:val="center"/>
              <w:rPr>
                <w:szCs w:val="22"/>
              </w:rPr>
            </w:pPr>
            <w:r w:rsidRPr="00193076">
              <w:rPr>
                <w:szCs w:val="22"/>
              </w:rPr>
              <w:t>12 (32.4%)</w:t>
            </w:r>
          </w:p>
        </w:tc>
        <w:tc>
          <w:tcPr>
            <w:tcW w:w="1898" w:type="pct"/>
            <w:tcBorders>
              <w:top w:val="single" w:sz="6" w:space="0" w:color="000000"/>
              <w:left w:val="single" w:sz="6" w:space="0" w:color="000000"/>
              <w:bottom w:val="outset" w:sz="6" w:space="0" w:color="auto"/>
              <w:right w:val="single" w:sz="6" w:space="0" w:color="000000"/>
            </w:tcBorders>
            <w:vAlign w:val="center"/>
          </w:tcPr>
          <w:p w14:paraId="5EC32EF3" w14:textId="77777777" w:rsidR="00686116" w:rsidRPr="00193076" w:rsidRDefault="00944B8F" w:rsidP="00271199">
            <w:pPr>
              <w:keepNext/>
              <w:jc w:val="center"/>
              <w:rPr>
                <w:szCs w:val="22"/>
              </w:rPr>
            </w:pPr>
            <w:r w:rsidRPr="00193076">
              <w:rPr>
                <w:szCs w:val="22"/>
              </w:rPr>
              <w:t>22 (57.9%)</w:t>
            </w:r>
          </w:p>
        </w:tc>
      </w:tr>
      <w:tr w:rsidR="00C6578C" w14:paraId="5A0A259D" w14:textId="77777777" w:rsidTr="00271199">
        <w:trPr>
          <w:jc w:val="center"/>
        </w:trPr>
        <w:tc>
          <w:tcPr>
            <w:tcW w:w="0" w:type="auto"/>
            <w:tcBorders>
              <w:top w:val="single" w:sz="6" w:space="0" w:color="000000"/>
              <w:left w:val="single" w:sz="6" w:space="0" w:color="000000"/>
              <w:bottom w:val="single" w:sz="6" w:space="0" w:color="000000"/>
              <w:right w:val="outset" w:sz="6" w:space="0" w:color="auto"/>
            </w:tcBorders>
            <w:vAlign w:val="center"/>
          </w:tcPr>
          <w:p w14:paraId="20DC24B3" w14:textId="77777777" w:rsidR="00686116" w:rsidRPr="00193076" w:rsidRDefault="00944B8F" w:rsidP="00271199">
            <w:pPr>
              <w:keepNext/>
              <w:rPr>
                <w:szCs w:val="22"/>
              </w:rPr>
            </w:pPr>
            <w:r w:rsidRPr="00E95E17">
              <w:rPr>
                <w:szCs w:val="22"/>
              </w:rPr>
              <w:t> </w:t>
            </w:r>
            <w:r w:rsidRPr="00E95E17">
              <w:rPr>
                <w:szCs w:val="22"/>
              </w:rPr>
              <w:t>PGA: Clear/minimal</w:t>
            </w:r>
            <w:r w:rsidRPr="00193076">
              <w:rPr>
                <w:szCs w:val="22"/>
                <w:vertAlign w:val="superscript"/>
              </w:rPr>
              <w:t>c</w:t>
            </w:r>
          </w:p>
        </w:tc>
        <w:tc>
          <w:tcPr>
            <w:tcW w:w="0" w:type="auto"/>
            <w:tcBorders>
              <w:top w:val="single" w:sz="6" w:space="0" w:color="000000"/>
              <w:left w:val="single" w:sz="6" w:space="0" w:color="000000"/>
              <w:bottom w:val="single" w:sz="6" w:space="0" w:color="000000"/>
              <w:right w:val="outset" w:sz="6" w:space="0" w:color="auto"/>
            </w:tcBorders>
            <w:vAlign w:val="center"/>
          </w:tcPr>
          <w:p w14:paraId="3878A12C" w14:textId="77777777" w:rsidR="00686116" w:rsidRPr="00193076" w:rsidRDefault="00944B8F" w:rsidP="00271199">
            <w:pPr>
              <w:keepNext/>
              <w:jc w:val="center"/>
              <w:rPr>
                <w:szCs w:val="22"/>
              </w:rPr>
            </w:pPr>
            <w:r w:rsidRPr="00193076">
              <w:rPr>
                <w:szCs w:val="22"/>
              </w:rPr>
              <w:t>15 (40.5%)</w:t>
            </w:r>
          </w:p>
        </w:tc>
        <w:tc>
          <w:tcPr>
            <w:tcW w:w="1898" w:type="pct"/>
            <w:tcBorders>
              <w:top w:val="single" w:sz="6" w:space="0" w:color="000000"/>
              <w:left w:val="single" w:sz="6" w:space="0" w:color="000000"/>
              <w:bottom w:val="single" w:sz="6" w:space="0" w:color="000000"/>
              <w:right w:val="single" w:sz="6" w:space="0" w:color="000000"/>
            </w:tcBorders>
            <w:vAlign w:val="center"/>
          </w:tcPr>
          <w:p w14:paraId="06CBF888" w14:textId="77777777" w:rsidR="00686116" w:rsidRPr="00193076" w:rsidRDefault="00944B8F" w:rsidP="00271199">
            <w:pPr>
              <w:keepNext/>
              <w:jc w:val="center"/>
              <w:rPr>
                <w:szCs w:val="22"/>
              </w:rPr>
            </w:pPr>
            <w:r w:rsidRPr="00193076">
              <w:rPr>
                <w:szCs w:val="22"/>
              </w:rPr>
              <w:t>23 (60.5%)</w:t>
            </w:r>
          </w:p>
        </w:tc>
      </w:tr>
      <w:tr w:rsidR="00C6578C" w:rsidRPr="00173B45" w14:paraId="75004669" w14:textId="77777777" w:rsidTr="00271199">
        <w:trPr>
          <w:jc w:val="center"/>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5251D851" w14:textId="77777777" w:rsidR="00686116" w:rsidRPr="002A3533" w:rsidRDefault="00944B8F" w:rsidP="00271199">
            <w:pPr>
              <w:keepNext/>
              <w:rPr>
                <w:szCs w:val="22"/>
                <w:lang w:val="pt-BR"/>
              </w:rPr>
            </w:pPr>
            <w:r w:rsidRPr="002A3533">
              <w:rPr>
                <w:szCs w:val="22"/>
                <w:vertAlign w:val="superscript"/>
                <w:lang w:val="pt-BR"/>
              </w:rPr>
              <w:t xml:space="preserve">a </w:t>
            </w:r>
            <w:r w:rsidRPr="002A3533">
              <w:rPr>
                <w:szCs w:val="22"/>
                <w:lang w:val="pt-BR"/>
              </w:rPr>
              <w:t>MTX = methotrexate</w:t>
            </w:r>
          </w:p>
          <w:p w14:paraId="28E484ED" w14:textId="77777777" w:rsidR="00686116" w:rsidRPr="002A3533" w:rsidRDefault="00944B8F" w:rsidP="00271199">
            <w:pPr>
              <w:keepNext/>
              <w:rPr>
                <w:szCs w:val="22"/>
                <w:lang w:val="pt-BR"/>
              </w:rPr>
            </w:pPr>
            <w:r w:rsidRPr="002A3533">
              <w:rPr>
                <w:szCs w:val="22"/>
                <w:vertAlign w:val="superscript"/>
                <w:lang w:val="pt-BR"/>
              </w:rPr>
              <w:t>b</w:t>
            </w:r>
            <w:r w:rsidRPr="002A3533">
              <w:rPr>
                <w:szCs w:val="22"/>
                <w:lang w:val="pt-BR"/>
              </w:rPr>
              <w:t xml:space="preserve"> P=0.027, Humira 0.8 mg/kg versus MTX</w:t>
            </w:r>
          </w:p>
          <w:p w14:paraId="61CC4858" w14:textId="77777777" w:rsidR="00686116" w:rsidRPr="002A3533" w:rsidRDefault="00944B8F" w:rsidP="00271199">
            <w:pPr>
              <w:keepNext/>
              <w:rPr>
                <w:szCs w:val="22"/>
                <w:lang w:val="pt-BR"/>
              </w:rPr>
            </w:pPr>
            <w:r w:rsidRPr="002A3533">
              <w:rPr>
                <w:szCs w:val="22"/>
                <w:vertAlign w:val="superscript"/>
                <w:lang w:val="pt-BR"/>
              </w:rPr>
              <w:t>c</w:t>
            </w:r>
            <w:r w:rsidRPr="002A3533">
              <w:rPr>
                <w:szCs w:val="22"/>
                <w:lang w:val="pt-BR"/>
              </w:rPr>
              <w:t xml:space="preserve"> P=0.083, Humira 0.8 mg/kg versus MTX</w:t>
            </w:r>
          </w:p>
        </w:tc>
      </w:tr>
    </w:tbl>
    <w:p w14:paraId="269A204F" w14:textId="77777777" w:rsidR="00686116" w:rsidRPr="002A3533" w:rsidRDefault="00686116" w:rsidP="00686116">
      <w:pPr>
        <w:ind w:left="562"/>
        <w:rPr>
          <w:szCs w:val="22"/>
          <w:lang w:val="pt-BR"/>
        </w:rPr>
      </w:pPr>
    </w:p>
    <w:p w14:paraId="01D63B6A" w14:textId="77777777" w:rsidR="00686116" w:rsidRPr="002A3533" w:rsidRDefault="00944B8F" w:rsidP="00686116">
      <w:pPr>
        <w:rPr>
          <w:szCs w:val="22"/>
        </w:rPr>
      </w:pPr>
      <w:r w:rsidRPr="002A3533">
        <w:rPr>
          <w:szCs w:val="22"/>
        </w:rPr>
        <w:t>Patients who achieved PASI 75 and PGA clear or minimal were withdrawn from treatment for up to 36 weeks and monitored for loss of disease control (</w:t>
      </w:r>
      <w:r w:rsidRPr="002A3533">
        <w:t>i.e. a worsening of PGA by at least 2 grades</w:t>
      </w:r>
      <w:r w:rsidRPr="002A3533">
        <w:rPr>
          <w:szCs w:val="22"/>
        </w:rPr>
        <w:t>). Patients were then re-treated with adalimumab 0.8 mg/kg eow for an additional 16 weeks and response rates observed during retreatment were similar to the previous double-blind period: PASI 75 response of 78.9% (15 of 19 subjects) and PGA clear or minimal of 52.6% (10 of 19 subjects).</w:t>
      </w:r>
    </w:p>
    <w:p w14:paraId="12B1F447" w14:textId="77777777" w:rsidR="00686116" w:rsidRPr="002A3533" w:rsidRDefault="00686116" w:rsidP="00686116">
      <w:pPr>
        <w:rPr>
          <w:szCs w:val="22"/>
        </w:rPr>
      </w:pPr>
    </w:p>
    <w:p w14:paraId="4FF5060F" w14:textId="77777777" w:rsidR="00686116" w:rsidRPr="002A3533" w:rsidRDefault="00944B8F" w:rsidP="00686116">
      <w:pPr>
        <w:pStyle w:val="EMEANormal"/>
        <w:rPr>
          <w:rFonts w:eastAsia="TimesNewRoman"/>
          <w:lang w:val="en-GB"/>
        </w:rPr>
      </w:pPr>
      <w:r w:rsidRPr="70D4D675">
        <w:rPr>
          <w:lang w:val="en-GB"/>
        </w:rPr>
        <w:t>In the open label period of the study, PASI 75 and PGA clear or minimal responses were maintained for up to an additional 52 weeks with no</w:t>
      </w:r>
      <w:r w:rsidRPr="70D4D675">
        <w:rPr>
          <w:rFonts w:eastAsia="TimesNewRoman"/>
          <w:lang w:val="en-GB"/>
        </w:rPr>
        <w:t xml:space="preserve"> new safety findings.</w:t>
      </w:r>
    </w:p>
    <w:p w14:paraId="05F65C1F" w14:textId="77777777" w:rsidR="00686116" w:rsidRDefault="00686116" w:rsidP="00AB3BE8">
      <w:pPr>
        <w:pStyle w:val="EMEANormal"/>
        <w:rPr>
          <w:szCs w:val="22"/>
          <w:lang w:val="en-GB" w:eastAsia="en-GB"/>
        </w:rPr>
      </w:pPr>
    </w:p>
    <w:p w14:paraId="5738CF9A" w14:textId="77777777" w:rsidR="00686116" w:rsidRPr="002A3533" w:rsidRDefault="00944B8F" w:rsidP="00686116">
      <w:pPr>
        <w:pStyle w:val="EMEANormal"/>
        <w:rPr>
          <w:i/>
          <w:lang w:val="en-GB"/>
        </w:rPr>
      </w:pPr>
      <w:r w:rsidRPr="002A3533">
        <w:rPr>
          <w:i/>
          <w:lang w:val="en-GB"/>
        </w:rPr>
        <w:t xml:space="preserve">Paediatric Crohn’s disease </w:t>
      </w:r>
    </w:p>
    <w:p w14:paraId="39812595" w14:textId="77777777" w:rsidR="00686116" w:rsidRPr="002A3533" w:rsidRDefault="00686116" w:rsidP="00686116">
      <w:pPr>
        <w:pStyle w:val="BodyText3"/>
      </w:pPr>
    </w:p>
    <w:p w14:paraId="2A8B886B" w14:textId="77777777" w:rsidR="00686116" w:rsidRPr="002A3533" w:rsidRDefault="00944B8F" w:rsidP="00686116">
      <w:pPr>
        <w:keepLines/>
        <w:rPr>
          <w:szCs w:val="22"/>
        </w:rPr>
      </w:pPr>
      <w:r w:rsidRPr="002A3533">
        <w:rPr>
          <w:szCs w:val="22"/>
        </w:rPr>
        <w:t xml:space="preserve">Humira was assessed in a </w:t>
      </w:r>
      <w:r w:rsidRPr="00106CE6">
        <w:rPr>
          <w:szCs w:val="22"/>
        </w:rPr>
        <w:t>multicentre</w:t>
      </w:r>
      <w:r w:rsidRPr="002A3533">
        <w:rPr>
          <w:szCs w:val="22"/>
        </w:rPr>
        <w:t xml:space="preserve">, randomised, double-blind clinical trial designed to evaluate the efficacy and safety of induction and maintenance treatment with doses dependent on body weight (&lt; 40 kg or ≥ 40 kg) in 192 paediatric subjects between the ages of 6 and 17 (inclusive) years, with moderate to severe Crohn´s disease (CD) defined as Paediatric Crohn's Disease Activity Index (PCDAI) score &gt; 30. Subjects had to have failed conventional therapy (including a corticosteroid and/or an immunomodulator) for CD. Subjects may also have previously lost response or been intolerant to infliximab. </w:t>
      </w:r>
    </w:p>
    <w:p w14:paraId="45FD28B1" w14:textId="77777777" w:rsidR="00686116" w:rsidRPr="002A3533" w:rsidRDefault="00686116" w:rsidP="00686116">
      <w:pPr>
        <w:keepLines/>
      </w:pPr>
    </w:p>
    <w:p w14:paraId="1C0EF481" w14:textId="77777777" w:rsidR="00686116" w:rsidRPr="002A3533" w:rsidRDefault="00944B8F" w:rsidP="00686116">
      <w:pPr>
        <w:tabs>
          <w:tab w:val="left" w:pos="1294"/>
        </w:tabs>
        <w:autoSpaceDE w:val="0"/>
        <w:autoSpaceDN w:val="0"/>
        <w:adjustRightInd w:val="0"/>
      </w:pPr>
      <w:r w:rsidRPr="002A3533">
        <w:lastRenderedPageBreak/>
        <w:t>All subjects received open-label induction therapy at a dose based on their Baseline body weight: 160 mg at Week 0 and 80 mg at Week 2 for subjects ≥ 40 kg, and 80 mg and 40 mg, respectively, for subjects &lt; 40 kg.</w:t>
      </w:r>
    </w:p>
    <w:p w14:paraId="04C6C96A" w14:textId="77777777" w:rsidR="00686116" w:rsidRPr="002A3533" w:rsidRDefault="00686116" w:rsidP="00686116">
      <w:pPr>
        <w:tabs>
          <w:tab w:val="left" w:pos="1294"/>
        </w:tabs>
        <w:autoSpaceDE w:val="0"/>
        <w:autoSpaceDN w:val="0"/>
        <w:adjustRightInd w:val="0"/>
      </w:pPr>
    </w:p>
    <w:p w14:paraId="5929A519" w14:textId="77777777" w:rsidR="00686116" w:rsidRPr="002A3533" w:rsidRDefault="00944B8F" w:rsidP="00686116">
      <w:pPr>
        <w:pStyle w:val="EMEANormal"/>
        <w:rPr>
          <w:lang w:val="en-GB"/>
        </w:rPr>
      </w:pPr>
      <w:r w:rsidRPr="002A3533">
        <w:rPr>
          <w:lang w:val="en-GB"/>
        </w:rPr>
        <w:t xml:space="preserve">At Week 4, subjects were randomised 1:1 based on their body weight at the time to either the Low Dose or Standard Dose maintenance regimens as shown in Table </w:t>
      </w:r>
      <w:r w:rsidR="00B76B3F">
        <w:rPr>
          <w:lang w:val="en-GB"/>
        </w:rPr>
        <w:t>20</w:t>
      </w:r>
      <w:r w:rsidRPr="002A3533">
        <w:rPr>
          <w:lang w:val="en-GB"/>
        </w:rPr>
        <w:t>.</w:t>
      </w:r>
    </w:p>
    <w:p w14:paraId="2DAF95C3" w14:textId="77777777" w:rsidR="00686116" w:rsidRPr="002A3533" w:rsidRDefault="00686116" w:rsidP="00686116">
      <w:pPr>
        <w:pStyle w:val="EMEANormal"/>
        <w:rPr>
          <w:lang w:val="en-GB"/>
        </w:rPr>
      </w:pPr>
    </w:p>
    <w:tbl>
      <w:tblPr>
        <w:tblW w:w="0" w:type="auto"/>
        <w:jc w:val="center"/>
        <w:tblLook w:val="01E0" w:firstRow="1" w:lastRow="1" w:firstColumn="1" w:lastColumn="1" w:noHBand="0" w:noVBand="0"/>
      </w:tblPr>
      <w:tblGrid>
        <w:gridCol w:w="988"/>
        <w:gridCol w:w="1210"/>
        <w:gridCol w:w="1210"/>
      </w:tblGrid>
      <w:tr w:rsidR="00C6578C" w14:paraId="24F8CD40" w14:textId="77777777" w:rsidTr="00271199">
        <w:trPr>
          <w:trHeight w:val="263"/>
          <w:jc w:val="center"/>
        </w:trPr>
        <w:tc>
          <w:tcPr>
            <w:tcW w:w="3408" w:type="dxa"/>
            <w:gridSpan w:val="3"/>
          </w:tcPr>
          <w:p w14:paraId="44111FF9" w14:textId="77777777" w:rsidR="00686116" w:rsidRPr="002A3533" w:rsidRDefault="00944B8F" w:rsidP="00271199">
            <w:pPr>
              <w:pStyle w:val="EMEANormal"/>
              <w:keepNext/>
              <w:jc w:val="center"/>
              <w:rPr>
                <w:b/>
                <w:szCs w:val="24"/>
                <w:lang w:val="en-GB"/>
              </w:rPr>
            </w:pPr>
            <w:r w:rsidRPr="002A3533">
              <w:rPr>
                <w:b/>
                <w:szCs w:val="24"/>
                <w:lang w:val="en-GB"/>
              </w:rPr>
              <w:t xml:space="preserve">Table </w:t>
            </w:r>
            <w:r w:rsidR="00B76B3F">
              <w:rPr>
                <w:b/>
                <w:szCs w:val="24"/>
                <w:lang w:val="en-GB"/>
              </w:rPr>
              <w:t>20</w:t>
            </w:r>
          </w:p>
          <w:p w14:paraId="60046DE5" w14:textId="77777777" w:rsidR="00686116" w:rsidRPr="002A3533" w:rsidRDefault="00944B8F" w:rsidP="00271199">
            <w:pPr>
              <w:pStyle w:val="EMEANormal"/>
              <w:keepNext/>
              <w:jc w:val="center"/>
              <w:rPr>
                <w:szCs w:val="24"/>
                <w:lang w:val="en-GB"/>
              </w:rPr>
            </w:pPr>
            <w:r w:rsidRPr="002A3533">
              <w:rPr>
                <w:b/>
                <w:szCs w:val="24"/>
                <w:lang w:val="en-GB"/>
              </w:rPr>
              <w:t>Maintenance regimen</w:t>
            </w:r>
          </w:p>
        </w:tc>
      </w:tr>
      <w:tr w:rsidR="00C6578C" w14:paraId="5A930BB0" w14:textId="77777777" w:rsidTr="00271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8" w:type="dxa"/>
          </w:tcPr>
          <w:p w14:paraId="77E6C8AB" w14:textId="77777777" w:rsidR="00686116" w:rsidRPr="002A3533" w:rsidRDefault="00944B8F" w:rsidP="00271199">
            <w:pPr>
              <w:pStyle w:val="EMEANormal"/>
              <w:keepNext/>
              <w:rPr>
                <w:b/>
                <w:szCs w:val="24"/>
                <w:lang w:val="en-GB"/>
              </w:rPr>
            </w:pPr>
            <w:r w:rsidRPr="002A3533">
              <w:rPr>
                <w:b/>
                <w:szCs w:val="24"/>
                <w:lang w:val="en-GB"/>
              </w:rPr>
              <w:t>Patient Weight</w:t>
            </w:r>
          </w:p>
        </w:tc>
        <w:tc>
          <w:tcPr>
            <w:tcW w:w="1210" w:type="dxa"/>
          </w:tcPr>
          <w:p w14:paraId="6BAD3FB4" w14:textId="77777777" w:rsidR="00686116" w:rsidRPr="002A3533" w:rsidRDefault="00944B8F" w:rsidP="00271199">
            <w:pPr>
              <w:pStyle w:val="EMEANormal"/>
              <w:keepNext/>
              <w:rPr>
                <w:b/>
                <w:szCs w:val="24"/>
                <w:lang w:val="en-GB"/>
              </w:rPr>
            </w:pPr>
            <w:r w:rsidRPr="002A3533">
              <w:rPr>
                <w:b/>
                <w:szCs w:val="24"/>
                <w:lang w:val="en-GB"/>
              </w:rPr>
              <w:t>Low dose</w:t>
            </w:r>
          </w:p>
        </w:tc>
        <w:tc>
          <w:tcPr>
            <w:tcW w:w="1210" w:type="dxa"/>
          </w:tcPr>
          <w:p w14:paraId="7071D8B2" w14:textId="77777777" w:rsidR="00686116" w:rsidRPr="002A3533" w:rsidRDefault="00944B8F" w:rsidP="00271199">
            <w:pPr>
              <w:pStyle w:val="EMEANormal"/>
              <w:rPr>
                <w:b/>
                <w:szCs w:val="24"/>
                <w:lang w:val="en-GB"/>
              </w:rPr>
            </w:pPr>
            <w:r w:rsidRPr="002A3533">
              <w:rPr>
                <w:b/>
                <w:szCs w:val="24"/>
                <w:lang w:val="en-GB"/>
              </w:rPr>
              <w:t>Standard dose</w:t>
            </w:r>
          </w:p>
        </w:tc>
      </w:tr>
      <w:tr w:rsidR="00C6578C" w14:paraId="713C5E28" w14:textId="77777777" w:rsidTr="00271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8" w:type="dxa"/>
          </w:tcPr>
          <w:p w14:paraId="563455D9" w14:textId="77777777" w:rsidR="00686116" w:rsidRPr="002A3533" w:rsidRDefault="00944B8F" w:rsidP="00271199">
            <w:pPr>
              <w:pStyle w:val="EMEANormal"/>
              <w:keepNext/>
              <w:rPr>
                <w:szCs w:val="24"/>
                <w:lang w:val="en-GB"/>
              </w:rPr>
            </w:pPr>
            <w:r w:rsidRPr="002A3533">
              <w:rPr>
                <w:szCs w:val="24"/>
                <w:lang w:val="en-GB"/>
              </w:rPr>
              <w:t>&lt; 40 kg</w:t>
            </w:r>
          </w:p>
        </w:tc>
        <w:tc>
          <w:tcPr>
            <w:tcW w:w="1210" w:type="dxa"/>
          </w:tcPr>
          <w:p w14:paraId="30CE49CA" w14:textId="77777777" w:rsidR="00686116" w:rsidRPr="002A3533" w:rsidRDefault="00944B8F" w:rsidP="00271199">
            <w:pPr>
              <w:pStyle w:val="EMEANormal"/>
              <w:keepNext/>
              <w:rPr>
                <w:szCs w:val="24"/>
                <w:lang w:val="en-GB"/>
              </w:rPr>
            </w:pPr>
            <w:r w:rsidRPr="002A3533">
              <w:rPr>
                <w:szCs w:val="24"/>
                <w:lang w:val="en-GB"/>
              </w:rPr>
              <w:t>10 mg eow</w:t>
            </w:r>
          </w:p>
        </w:tc>
        <w:tc>
          <w:tcPr>
            <w:tcW w:w="1210" w:type="dxa"/>
          </w:tcPr>
          <w:p w14:paraId="74F189B2" w14:textId="77777777" w:rsidR="00686116" w:rsidRPr="002A3533" w:rsidRDefault="00944B8F" w:rsidP="00271199">
            <w:pPr>
              <w:pStyle w:val="EMEANormal"/>
              <w:rPr>
                <w:szCs w:val="24"/>
                <w:lang w:val="en-GB"/>
              </w:rPr>
            </w:pPr>
            <w:r w:rsidRPr="002A3533">
              <w:rPr>
                <w:szCs w:val="24"/>
                <w:lang w:val="en-GB"/>
              </w:rPr>
              <w:t>20 mg eow</w:t>
            </w:r>
          </w:p>
        </w:tc>
      </w:tr>
      <w:tr w:rsidR="00C6578C" w14:paraId="7E46BEC8" w14:textId="77777777" w:rsidTr="00271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8" w:type="dxa"/>
          </w:tcPr>
          <w:p w14:paraId="33F52556" w14:textId="77777777" w:rsidR="00686116" w:rsidRPr="002A3533" w:rsidRDefault="00944B8F" w:rsidP="00271199">
            <w:pPr>
              <w:pStyle w:val="EMEANormal"/>
              <w:keepNext/>
              <w:rPr>
                <w:szCs w:val="24"/>
                <w:lang w:val="en-GB"/>
              </w:rPr>
            </w:pPr>
            <w:r w:rsidRPr="002A3533">
              <w:rPr>
                <w:szCs w:val="24"/>
                <w:lang w:val="en-GB"/>
              </w:rPr>
              <w:t>≥ 40 kg</w:t>
            </w:r>
          </w:p>
        </w:tc>
        <w:tc>
          <w:tcPr>
            <w:tcW w:w="1210" w:type="dxa"/>
          </w:tcPr>
          <w:p w14:paraId="5EA61102" w14:textId="77777777" w:rsidR="00686116" w:rsidRPr="002A3533" w:rsidRDefault="00944B8F" w:rsidP="00271199">
            <w:pPr>
              <w:pStyle w:val="EMEANormal"/>
              <w:keepNext/>
              <w:rPr>
                <w:szCs w:val="24"/>
                <w:lang w:val="en-GB"/>
              </w:rPr>
            </w:pPr>
            <w:r w:rsidRPr="002A3533">
              <w:rPr>
                <w:szCs w:val="24"/>
                <w:lang w:val="en-GB"/>
              </w:rPr>
              <w:t>20 mg eow</w:t>
            </w:r>
          </w:p>
        </w:tc>
        <w:tc>
          <w:tcPr>
            <w:tcW w:w="1210" w:type="dxa"/>
          </w:tcPr>
          <w:p w14:paraId="23E75F7B" w14:textId="77777777" w:rsidR="00686116" w:rsidRPr="002A3533" w:rsidRDefault="00944B8F" w:rsidP="00271199">
            <w:pPr>
              <w:pStyle w:val="EMEANormal"/>
              <w:rPr>
                <w:szCs w:val="24"/>
                <w:lang w:val="en-GB"/>
              </w:rPr>
            </w:pPr>
            <w:r w:rsidRPr="002A3533">
              <w:rPr>
                <w:szCs w:val="24"/>
                <w:lang w:val="en-GB"/>
              </w:rPr>
              <w:t>40 mg eow</w:t>
            </w:r>
          </w:p>
        </w:tc>
      </w:tr>
    </w:tbl>
    <w:p w14:paraId="7B11FB55" w14:textId="77777777" w:rsidR="00686116" w:rsidRPr="002A3533" w:rsidRDefault="00686116" w:rsidP="00686116">
      <w:pPr>
        <w:pStyle w:val="EMEANormal"/>
        <w:rPr>
          <w:szCs w:val="24"/>
          <w:lang w:val="en-GB"/>
        </w:rPr>
      </w:pPr>
    </w:p>
    <w:p w14:paraId="7BE3F5AB" w14:textId="77777777" w:rsidR="00686116" w:rsidRPr="002A3533" w:rsidRDefault="00944B8F" w:rsidP="00686116">
      <w:pPr>
        <w:pStyle w:val="EMEANormal"/>
        <w:rPr>
          <w:i/>
          <w:szCs w:val="24"/>
          <w:u w:val="single"/>
          <w:lang w:val="en-GB"/>
        </w:rPr>
      </w:pPr>
      <w:r w:rsidRPr="002A3533">
        <w:rPr>
          <w:i/>
          <w:szCs w:val="24"/>
          <w:u w:val="single"/>
          <w:lang w:val="en-GB"/>
        </w:rPr>
        <w:t>Efficacy results</w:t>
      </w:r>
    </w:p>
    <w:p w14:paraId="7354A2D2" w14:textId="77777777" w:rsidR="00686116" w:rsidRPr="002A3533" w:rsidRDefault="00686116" w:rsidP="00686116">
      <w:pPr>
        <w:pStyle w:val="EMEANormal"/>
        <w:rPr>
          <w:szCs w:val="24"/>
          <w:lang w:val="en-GB"/>
        </w:rPr>
      </w:pPr>
    </w:p>
    <w:p w14:paraId="10F73C51" w14:textId="77777777" w:rsidR="00686116" w:rsidRPr="002A3533" w:rsidRDefault="00944B8F" w:rsidP="00686116">
      <w:pPr>
        <w:tabs>
          <w:tab w:val="clear" w:pos="562"/>
        </w:tabs>
        <w:suppressAutoHyphens w:val="0"/>
        <w:autoSpaceDE w:val="0"/>
        <w:autoSpaceDN w:val="0"/>
        <w:adjustRightInd w:val="0"/>
      </w:pPr>
      <w:r w:rsidRPr="002A3533">
        <w:t xml:space="preserve">The primary endpoint of the study was clinical remission at Week 26, defined as PCDAI score </w:t>
      </w:r>
      <w:r w:rsidRPr="002A3533">
        <w:rPr>
          <w:rFonts w:ascii="Symbol" w:eastAsia="Symbol" w:hAnsi="Symbol" w:cs="Symbol"/>
        </w:rPr>
        <w:sym w:font="Symbol" w:char="F0A3"/>
      </w:r>
      <w:r w:rsidRPr="002A3533">
        <w:t> 10.</w:t>
      </w:r>
    </w:p>
    <w:p w14:paraId="77D1A3CC" w14:textId="77777777" w:rsidR="00686116" w:rsidRPr="002A3533" w:rsidRDefault="00686116" w:rsidP="00686116">
      <w:pPr>
        <w:pStyle w:val="EMEANormal"/>
        <w:rPr>
          <w:szCs w:val="24"/>
          <w:lang w:val="en-GB"/>
        </w:rPr>
      </w:pPr>
    </w:p>
    <w:p w14:paraId="4085C80A" w14:textId="77777777" w:rsidR="00686116" w:rsidRPr="002A3533" w:rsidRDefault="00944B8F" w:rsidP="00686116">
      <w:pPr>
        <w:tabs>
          <w:tab w:val="clear" w:pos="562"/>
        </w:tabs>
        <w:suppressAutoHyphens w:val="0"/>
        <w:autoSpaceDE w:val="0"/>
        <w:autoSpaceDN w:val="0"/>
        <w:adjustRightInd w:val="0"/>
      </w:pPr>
      <w:r w:rsidRPr="002A3533">
        <w:t xml:space="preserve">Clinical remission and clinical response (defined as reduction in PCDAI score of at least 15 points from Baseline) rates are presented in Table </w:t>
      </w:r>
      <w:r w:rsidR="00B76B3F">
        <w:t>21</w:t>
      </w:r>
      <w:r w:rsidRPr="002A3533">
        <w:t xml:space="preserve">. Rates of discontinuation of corticosteroids or immunomodulators are presented in Table </w:t>
      </w:r>
      <w:r w:rsidR="00B76B3F">
        <w:t>22</w:t>
      </w:r>
      <w:r w:rsidRPr="002A3533">
        <w:t>.</w:t>
      </w:r>
    </w:p>
    <w:p w14:paraId="6757F615" w14:textId="77777777" w:rsidR="00686116" w:rsidRPr="002A3533" w:rsidRDefault="00686116" w:rsidP="00686116">
      <w:pPr>
        <w:keepNext/>
        <w:tabs>
          <w:tab w:val="clear" w:pos="562"/>
        </w:tabs>
        <w:suppressAutoHyphens w:val="0"/>
        <w:autoSpaceDE w:val="0"/>
        <w:autoSpaceDN w:val="0"/>
        <w:adjustRightInd w:val="0"/>
        <w:rPr>
          <w:rFonts w:ascii="Tms Rmn" w:hAnsi="Tms Rmn"/>
          <w:sz w:val="24"/>
        </w:rPr>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C6578C" w14:paraId="3BE55165" w14:textId="77777777" w:rsidTr="00271199">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3488644A" w14:textId="77777777" w:rsidR="00686116" w:rsidRPr="002A3533" w:rsidRDefault="00944B8F" w:rsidP="00271199">
            <w:pPr>
              <w:keepNext/>
              <w:tabs>
                <w:tab w:val="clear" w:pos="562"/>
                <w:tab w:val="left" w:pos="-878"/>
              </w:tabs>
              <w:suppressAutoHyphens w:val="0"/>
              <w:autoSpaceDE w:val="0"/>
              <w:autoSpaceDN w:val="0"/>
              <w:adjustRightInd w:val="0"/>
              <w:ind w:left="15"/>
              <w:jc w:val="center"/>
              <w:rPr>
                <w:b/>
                <w:bCs/>
              </w:rPr>
            </w:pPr>
            <w:r w:rsidRPr="002A3533">
              <w:rPr>
                <w:b/>
                <w:bCs/>
                <w:szCs w:val="22"/>
              </w:rPr>
              <w:t xml:space="preserve">Table </w:t>
            </w:r>
            <w:r w:rsidR="00B76B3F">
              <w:rPr>
                <w:b/>
                <w:bCs/>
                <w:szCs w:val="22"/>
              </w:rPr>
              <w:t>21</w:t>
            </w:r>
          </w:p>
          <w:p w14:paraId="6F7C2A7F" w14:textId="77777777" w:rsidR="00686116" w:rsidRPr="002A3533" w:rsidRDefault="00944B8F" w:rsidP="00271199">
            <w:pPr>
              <w:keepNext/>
              <w:tabs>
                <w:tab w:val="clear" w:pos="562"/>
                <w:tab w:val="left" w:pos="-878"/>
              </w:tabs>
              <w:suppressAutoHyphens w:val="0"/>
              <w:autoSpaceDE w:val="0"/>
              <w:autoSpaceDN w:val="0"/>
              <w:adjustRightInd w:val="0"/>
              <w:ind w:left="15"/>
              <w:jc w:val="center"/>
              <w:rPr>
                <w:b/>
                <w:bCs/>
              </w:rPr>
            </w:pPr>
            <w:r w:rsidRPr="002A3533">
              <w:rPr>
                <w:b/>
                <w:bCs/>
                <w:szCs w:val="22"/>
              </w:rPr>
              <w:t>Paediatric CD Study</w:t>
            </w:r>
          </w:p>
          <w:p w14:paraId="09772C26" w14:textId="77777777" w:rsidR="00686116" w:rsidRPr="002A3533" w:rsidRDefault="00944B8F" w:rsidP="00271199">
            <w:pPr>
              <w:keepNext/>
              <w:tabs>
                <w:tab w:val="clear" w:pos="562"/>
                <w:tab w:val="left" w:pos="-878"/>
              </w:tabs>
              <w:suppressAutoHyphens w:val="0"/>
              <w:autoSpaceDE w:val="0"/>
              <w:autoSpaceDN w:val="0"/>
              <w:adjustRightInd w:val="0"/>
              <w:ind w:left="15"/>
              <w:jc w:val="center"/>
              <w:rPr>
                <w:b/>
                <w:bCs/>
              </w:rPr>
            </w:pPr>
            <w:r w:rsidRPr="002A3533">
              <w:rPr>
                <w:b/>
                <w:bCs/>
                <w:szCs w:val="22"/>
              </w:rPr>
              <w:t>PCDAI Clinical Remission and Response</w:t>
            </w:r>
          </w:p>
        </w:tc>
      </w:tr>
      <w:tr w:rsidR="00C6578C" w14:paraId="18F4400C" w14:textId="77777777" w:rsidTr="00271199">
        <w:trPr>
          <w:jc w:val="center"/>
        </w:trPr>
        <w:tc>
          <w:tcPr>
            <w:tcW w:w="2321" w:type="dxa"/>
            <w:tcBorders>
              <w:top w:val="single" w:sz="6" w:space="0" w:color="000000"/>
              <w:left w:val="single" w:sz="6" w:space="0" w:color="000000"/>
              <w:bottom w:val="single" w:sz="6" w:space="0" w:color="000000"/>
              <w:right w:val="single" w:sz="6" w:space="0" w:color="000000"/>
            </w:tcBorders>
          </w:tcPr>
          <w:p w14:paraId="6770743E" w14:textId="77777777" w:rsidR="00686116" w:rsidRPr="002A3533" w:rsidRDefault="00686116" w:rsidP="00271199">
            <w:pPr>
              <w:keepNext/>
              <w:keepLines/>
              <w:tabs>
                <w:tab w:val="clear" w:pos="562"/>
                <w:tab w:val="left" w:pos="-1080"/>
              </w:tabs>
              <w:suppressAutoHyphens w:val="0"/>
              <w:autoSpaceDE w:val="0"/>
              <w:autoSpaceDN w:val="0"/>
              <w:adjustRightInd w:val="0"/>
              <w:ind w:left="15"/>
              <w:jc w:val="center"/>
              <w:rPr>
                <w:b/>
                <w:bCs/>
              </w:rPr>
            </w:pPr>
          </w:p>
        </w:tc>
        <w:tc>
          <w:tcPr>
            <w:tcW w:w="1614" w:type="dxa"/>
            <w:tcBorders>
              <w:top w:val="single" w:sz="6" w:space="0" w:color="000000"/>
              <w:left w:val="single" w:sz="6" w:space="0" w:color="000000"/>
              <w:bottom w:val="single" w:sz="6" w:space="0" w:color="000000"/>
              <w:right w:val="single" w:sz="6" w:space="0" w:color="000000"/>
            </w:tcBorders>
          </w:tcPr>
          <w:p w14:paraId="60286595" w14:textId="77777777" w:rsidR="00686116" w:rsidRPr="002A3533" w:rsidRDefault="00944B8F" w:rsidP="00271199">
            <w:pPr>
              <w:keepNext/>
              <w:keepLines/>
              <w:tabs>
                <w:tab w:val="clear" w:pos="562"/>
                <w:tab w:val="left" w:pos="-1080"/>
              </w:tabs>
              <w:suppressAutoHyphens w:val="0"/>
              <w:autoSpaceDE w:val="0"/>
              <w:autoSpaceDN w:val="0"/>
              <w:adjustRightInd w:val="0"/>
              <w:ind w:left="15"/>
              <w:jc w:val="center"/>
              <w:rPr>
                <w:b/>
                <w:bCs/>
                <w:lang w:val="de-DE"/>
              </w:rPr>
            </w:pPr>
            <w:r w:rsidRPr="002A3533">
              <w:rPr>
                <w:b/>
                <w:bCs/>
                <w:szCs w:val="22"/>
                <w:lang w:val="de-DE"/>
              </w:rPr>
              <w:t>Standard Dose</w:t>
            </w:r>
          </w:p>
          <w:p w14:paraId="08CDF706" w14:textId="77777777" w:rsidR="00686116" w:rsidRPr="002A3533" w:rsidRDefault="00944B8F" w:rsidP="00271199">
            <w:pPr>
              <w:keepNext/>
              <w:keepLines/>
              <w:tabs>
                <w:tab w:val="clear" w:pos="562"/>
                <w:tab w:val="left" w:pos="-1080"/>
              </w:tabs>
              <w:suppressAutoHyphens w:val="0"/>
              <w:autoSpaceDE w:val="0"/>
              <w:autoSpaceDN w:val="0"/>
              <w:adjustRightInd w:val="0"/>
              <w:ind w:left="15"/>
              <w:jc w:val="center"/>
              <w:rPr>
                <w:b/>
                <w:bCs/>
                <w:lang w:val="de-DE"/>
              </w:rPr>
            </w:pPr>
            <w:r w:rsidRPr="002A3533">
              <w:rPr>
                <w:b/>
                <w:bCs/>
                <w:szCs w:val="22"/>
                <w:lang w:val="de-DE"/>
              </w:rPr>
              <w:t xml:space="preserve">40/20 mg eow </w:t>
            </w:r>
          </w:p>
          <w:p w14:paraId="608A5840" w14:textId="77777777" w:rsidR="00686116" w:rsidRPr="002A3533" w:rsidRDefault="00944B8F" w:rsidP="00271199">
            <w:pPr>
              <w:keepNext/>
              <w:keepLines/>
              <w:tabs>
                <w:tab w:val="clear" w:pos="562"/>
                <w:tab w:val="left" w:pos="-1080"/>
              </w:tabs>
              <w:suppressAutoHyphens w:val="0"/>
              <w:autoSpaceDE w:val="0"/>
              <w:autoSpaceDN w:val="0"/>
              <w:adjustRightInd w:val="0"/>
              <w:ind w:left="15"/>
              <w:jc w:val="center"/>
              <w:rPr>
                <w:b/>
                <w:bCs/>
                <w:lang w:val="de-DE"/>
              </w:rPr>
            </w:pPr>
            <w:r w:rsidRPr="002A3533">
              <w:rPr>
                <w:b/>
                <w:bCs/>
                <w:szCs w:val="22"/>
                <w:lang w:val="de-DE"/>
              </w:rPr>
              <w:t>N = 93</w:t>
            </w:r>
          </w:p>
        </w:tc>
        <w:tc>
          <w:tcPr>
            <w:tcW w:w="1591" w:type="dxa"/>
            <w:tcBorders>
              <w:top w:val="single" w:sz="6" w:space="0" w:color="000000"/>
              <w:left w:val="single" w:sz="6" w:space="0" w:color="000000"/>
              <w:bottom w:val="single" w:sz="6" w:space="0" w:color="000000"/>
              <w:right w:val="single" w:sz="6" w:space="0" w:color="000000"/>
            </w:tcBorders>
          </w:tcPr>
          <w:p w14:paraId="36687C7F" w14:textId="77777777" w:rsidR="00686116" w:rsidRPr="002A3533" w:rsidRDefault="00944B8F" w:rsidP="00271199">
            <w:pPr>
              <w:keepNext/>
              <w:keepLines/>
              <w:tabs>
                <w:tab w:val="clear" w:pos="562"/>
                <w:tab w:val="left" w:pos="-1080"/>
              </w:tabs>
              <w:suppressAutoHyphens w:val="0"/>
              <w:autoSpaceDE w:val="0"/>
              <w:autoSpaceDN w:val="0"/>
              <w:adjustRightInd w:val="0"/>
              <w:ind w:left="15"/>
              <w:jc w:val="center"/>
              <w:rPr>
                <w:b/>
                <w:bCs/>
              </w:rPr>
            </w:pPr>
            <w:r w:rsidRPr="002A3533">
              <w:rPr>
                <w:b/>
                <w:bCs/>
                <w:szCs w:val="22"/>
              </w:rPr>
              <w:t>Low Dose</w:t>
            </w:r>
          </w:p>
          <w:p w14:paraId="617CE788" w14:textId="77777777" w:rsidR="00686116" w:rsidRPr="002A3533" w:rsidRDefault="00944B8F" w:rsidP="00271199">
            <w:pPr>
              <w:keepNext/>
              <w:keepLines/>
              <w:tabs>
                <w:tab w:val="clear" w:pos="562"/>
                <w:tab w:val="left" w:pos="-1080"/>
              </w:tabs>
              <w:suppressAutoHyphens w:val="0"/>
              <w:autoSpaceDE w:val="0"/>
              <w:autoSpaceDN w:val="0"/>
              <w:adjustRightInd w:val="0"/>
              <w:ind w:left="15"/>
              <w:jc w:val="center"/>
              <w:rPr>
                <w:b/>
                <w:bCs/>
              </w:rPr>
            </w:pPr>
            <w:r w:rsidRPr="002A3533">
              <w:rPr>
                <w:b/>
                <w:bCs/>
                <w:szCs w:val="22"/>
              </w:rPr>
              <w:t xml:space="preserve">20/10 mg eow </w:t>
            </w:r>
          </w:p>
          <w:p w14:paraId="0FCB2C9E" w14:textId="77777777" w:rsidR="00686116" w:rsidRPr="002A3533" w:rsidRDefault="00944B8F" w:rsidP="00271199">
            <w:pPr>
              <w:keepNext/>
              <w:keepLines/>
              <w:tabs>
                <w:tab w:val="clear" w:pos="562"/>
                <w:tab w:val="left" w:pos="-1080"/>
              </w:tabs>
              <w:suppressAutoHyphens w:val="0"/>
              <w:autoSpaceDE w:val="0"/>
              <w:autoSpaceDN w:val="0"/>
              <w:adjustRightInd w:val="0"/>
              <w:ind w:left="15"/>
              <w:jc w:val="center"/>
              <w:rPr>
                <w:b/>
                <w:bCs/>
              </w:rPr>
            </w:pPr>
            <w:r w:rsidRPr="002A3533">
              <w:rPr>
                <w:b/>
                <w:bCs/>
                <w:szCs w:val="22"/>
              </w:rPr>
              <w:t>N = 95</w:t>
            </w:r>
          </w:p>
        </w:tc>
        <w:tc>
          <w:tcPr>
            <w:tcW w:w="1147" w:type="dxa"/>
            <w:tcBorders>
              <w:top w:val="single" w:sz="6" w:space="0" w:color="000000"/>
              <w:left w:val="single" w:sz="6" w:space="0" w:color="000000"/>
              <w:bottom w:val="single" w:sz="6" w:space="0" w:color="000000"/>
              <w:right w:val="single" w:sz="6" w:space="0" w:color="000000"/>
            </w:tcBorders>
          </w:tcPr>
          <w:p w14:paraId="007B6592" w14:textId="77777777" w:rsidR="00686116" w:rsidRPr="002A3533" w:rsidRDefault="00944B8F" w:rsidP="00271199">
            <w:pPr>
              <w:keepNext/>
              <w:keepLines/>
              <w:tabs>
                <w:tab w:val="clear" w:pos="562"/>
                <w:tab w:val="left" w:pos="-1080"/>
              </w:tabs>
              <w:suppressAutoHyphens w:val="0"/>
              <w:autoSpaceDE w:val="0"/>
              <w:autoSpaceDN w:val="0"/>
              <w:adjustRightInd w:val="0"/>
              <w:ind w:left="15"/>
              <w:jc w:val="center"/>
            </w:pPr>
            <w:r w:rsidRPr="002A3533">
              <w:rPr>
                <w:b/>
                <w:bCs/>
                <w:szCs w:val="22"/>
              </w:rPr>
              <w:t>P value</w:t>
            </w:r>
            <w:r w:rsidRPr="002A3533">
              <w:rPr>
                <w:szCs w:val="22"/>
              </w:rPr>
              <w:t>*</w:t>
            </w:r>
          </w:p>
        </w:tc>
      </w:tr>
      <w:tr w:rsidR="00C6578C" w14:paraId="6A81781B" w14:textId="77777777" w:rsidTr="00271199">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6D49D411" w14:textId="77777777" w:rsidR="00686116" w:rsidRPr="002A3533" w:rsidRDefault="00944B8F" w:rsidP="00271199">
            <w:pPr>
              <w:keepNext/>
              <w:keepLines/>
              <w:tabs>
                <w:tab w:val="clear" w:pos="562"/>
                <w:tab w:val="left" w:pos="-1080"/>
              </w:tabs>
              <w:suppressAutoHyphens w:val="0"/>
              <w:autoSpaceDE w:val="0"/>
              <w:autoSpaceDN w:val="0"/>
              <w:adjustRightInd w:val="0"/>
              <w:ind w:left="15"/>
              <w:rPr>
                <w:b/>
                <w:bCs/>
              </w:rPr>
            </w:pPr>
            <w:r w:rsidRPr="002A3533">
              <w:rPr>
                <w:b/>
                <w:bCs/>
                <w:szCs w:val="22"/>
              </w:rPr>
              <w:t>Week 26</w:t>
            </w:r>
          </w:p>
        </w:tc>
        <w:tc>
          <w:tcPr>
            <w:tcW w:w="1614" w:type="dxa"/>
            <w:tcBorders>
              <w:top w:val="single" w:sz="6" w:space="0" w:color="000000"/>
              <w:left w:val="single" w:sz="6" w:space="0" w:color="000000"/>
              <w:bottom w:val="single" w:sz="6" w:space="0" w:color="000000"/>
              <w:right w:val="single" w:sz="6" w:space="0" w:color="000000"/>
            </w:tcBorders>
            <w:vAlign w:val="bottom"/>
          </w:tcPr>
          <w:p w14:paraId="44596EFF" w14:textId="77777777" w:rsidR="00686116" w:rsidRPr="002A3533" w:rsidRDefault="00686116" w:rsidP="00271199">
            <w:pPr>
              <w:keepNext/>
              <w:keepLines/>
              <w:tabs>
                <w:tab w:val="clear" w:pos="562"/>
                <w:tab w:val="left" w:pos="-1080"/>
              </w:tabs>
              <w:suppressAutoHyphens w:val="0"/>
              <w:autoSpaceDE w:val="0"/>
              <w:autoSpaceDN w:val="0"/>
              <w:adjustRightInd w:val="0"/>
              <w:ind w:left="15"/>
              <w:jc w:val="center"/>
              <w:rPr>
                <w:b/>
                <w:bCs/>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36041490" w14:textId="77777777" w:rsidR="00686116" w:rsidRPr="002A3533" w:rsidRDefault="00686116" w:rsidP="00271199">
            <w:pPr>
              <w:keepNext/>
              <w:keepLines/>
              <w:tabs>
                <w:tab w:val="clear" w:pos="562"/>
                <w:tab w:val="left" w:pos="-1080"/>
              </w:tabs>
              <w:suppressAutoHyphens w:val="0"/>
              <w:autoSpaceDE w:val="0"/>
              <w:autoSpaceDN w:val="0"/>
              <w:adjustRightInd w:val="0"/>
              <w:ind w:left="15"/>
              <w:jc w:val="center"/>
              <w:rPr>
                <w:b/>
                <w:bCs/>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5595AFAE" w14:textId="77777777" w:rsidR="00686116" w:rsidRPr="002A3533" w:rsidRDefault="00686116" w:rsidP="00271199">
            <w:pPr>
              <w:keepNext/>
              <w:tabs>
                <w:tab w:val="clear" w:pos="562"/>
              </w:tabs>
              <w:suppressAutoHyphens w:val="0"/>
              <w:autoSpaceDE w:val="0"/>
              <w:autoSpaceDN w:val="0"/>
              <w:adjustRightInd w:val="0"/>
              <w:ind w:left="15"/>
              <w:rPr>
                <w:b/>
                <w:bCs/>
              </w:rPr>
            </w:pPr>
          </w:p>
        </w:tc>
      </w:tr>
      <w:tr w:rsidR="00C6578C" w14:paraId="6CC758F4" w14:textId="77777777" w:rsidTr="00271199">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03E9921B" w14:textId="77777777" w:rsidR="00686116" w:rsidRPr="002A3533" w:rsidRDefault="00944B8F" w:rsidP="00271199">
            <w:pPr>
              <w:keepNext/>
              <w:keepLines/>
              <w:tabs>
                <w:tab w:val="clear" w:pos="562"/>
                <w:tab w:val="left" w:pos="-1080"/>
              </w:tabs>
              <w:suppressAutoHyphens w:val="0"/>
              <w:autoSpaceDE w:val="0"/>
              <w:autoSpaceDN w:val="0"/>
              <w:adjustRightInd w:val="0"/>
              <w:ind w:left="15"/>
            </w:pPr>
            <w:r w:rsidRPr="002A3533">
              <w:rPr>
                <w:szCs w:val="22"/>
              </w:rPr>
              <w:t xml:space="preserve">   Clinical remission</w:t>
            </w:r>
          </w:p>
        </w:tc>
        <w:tc>
          <w:tcPr>
            <w:tcW w:w="1614" w:type="dxa"/>
            <w:tcBorders>
              <w:top w:val="single" w:sz="6" w:space="0" w:color="000000"/>
              <w:left w:val="single" w:sz="6" w:space="0" w:color="000000"/>
              <w:bottom w:val="single" w:sz="6" w:space="0" w:color="000000"/>
              <w:right w:val="single" w:sz="6" w:space="0" w:color="000000"/>
            </w:tcBorders>
            <w:vAlign w:val="bottom"/>
          </w:tcPr>
          <w:p w14:paraId="3296D7AC" w14:textId="77777777" w:rsidR="00686116" w:rsidRPr="002A3533" w:rsidRDefault="00944B8F" w:rsidP="00271199">
            <w:pPr>
              <w:keepNext/>
              <w:keepLines/>
              <w:tabs>
                <w:tab w:val="clear" w:pos="562"/>
                <w:tab w:val="left" w:pos="-1080"/>
              </w:tabs>
              <w:suppressAutoHyphens w:val="0"/>
              <w:autoSpaceDE w:val="0"/>
              <w:autoSpaceDN w:val="0"/>
              <w:adjustRightInd w:val="0"/>
              <w:ind w:left="15"/>
              <w:jc w:val="center"/>
            </w:pPr>
            <w:r w:rsidRPr="002A3533">
              <w:rPr>
                <w:szCs w:val="22"/>
              </w:rPr>
              <w:t>38.7%</w:t>
            </w:r>
          </w:p>
        </w:tc>
        <w:tc>
          <w:tcPr>
            <w:tcW w:w="1591" w:type="dxa"/>
            <w:tcBorders>
              <w:top w:val="single" w:sz="6" w:space="0" w:color="000000"/>
              <w:left w:val="single" w:sz="6" w:space="0" w:color="000000"/>
              <w:bottom w:val="single" w:sz="6" w:space="0" w:color="000000"/>
              <w:right w:val="single" w:sz="6" w:space="0" w:color="000000"/>
            </w:tcBorders>
            <w:vAlign w:val="bottom"/>
          </w:tcPr>
          <w:p w14:paraId="5FDCAE5C" w14:textId="77777777" w:rsidR="00686116" w:rsidRPr="002A3533" w:rsidRDefault="00944B8F" w:rsidP="00271199">
            <w:pPr>
              <w:keepNext/>
              <w:keepLines/>
              <w:tabs>
                <w:tab w:val="clear" w:pos="562"/>
                <w:tab w:val="left" w:pos="-1080"/>
              </w:tabs>
              <w:suppressAutoHyphens w:val="0"/>
              <w:autoSpaceDE w:val="0"/>
              <w:autoSpaceDN w:val="0"/>
              <w:adjustRightInd w:val="0"/>
              <w:ind w:left="15"/>
              <w:jc w:val="center"/>
            </w:pPr>
            <w:r w:rsidRPr="002A3533">
              <w:rPr>
                <w:szCs w:val="22"/>
              </w:rPr>
              <w:t>28.4%</w:t>
            </w:r>
          </w:p>
        </w:tc>
        <w:tc>
          <w:tcPr>
            <w:tcW w:w="1147" w:type="dxa"/>
            <w:tcBorders>
              <w:top w:val="single" w:sz="6" w:space="0" w:color="000000"/>
              <w:left w:val="single" w:sz="6" w:space="0" w:color="000000"/>
              <w:bottom w:val="single" w:sz="6" w:space="0" w:color="000000"/>
              <w:right w:val="single" w:sz="6" w:space="0" w:color="000000"/>
            </w:tcBorders>
            <w:vAlign w:val="bottom"/>
          </w:tcPr>
          <w:p w14:paraId="3019E733" w14:textId="77777777" w:rsidR="00686116" w:rsidRPr="002A3533" w:rsidRDefault="00944B8F" w:rsidP="00271199">
            <w:pPr>
              <w:keepNext/>
              <w:keepLines/>
              <w:tabs>
                <w:tab w:val="clear" w:pos="562"/>
                <w:tab w:val="left" w:pos="-1080"/>
              </w:tabs>
              <w:suppressAutoHyphens w:val="0"/>
              <w:autoSpaceDE w:val="0"/>
              <w:autoSpaceDN w:val="0"/>
              <w:adjustRightInd w:val="0"/>
              <w:ind w:left="15"/>
              <w:jc w:val="center"/>
            </w:pPr>
            <w:r w:rsidRPr="002A3533">
              <w:rPr>
                <w:szCs w:val="22"/>
              </w:rPr>
              <w:t>0.075</w:t>
            </w:r>
          </w:p>
        </w:tc>
      </w:tr>
      <w:tr w:rsidR="00C6578C" w14:paraId="130E9CB9" w14:textId="77777777" w:rsidTr="00271199">
        <w:trPr>
          <w:jc w:val="center"/>
        </w:trPr>
        <w:tc>
          <w:tcPr>
            <w:tcW w:w="2321" w:type="dxa"/>
            <w:tcBorders>
              <w:top w:val="single" w:sz="6" w:space="0" w:color="000000"/>
              <w:left w:val="single" w:sz="6" w:space="0" w:color="000000"/>
              <w:bottom w:val="single" w:sz="6" w:space="0" w:color="000000"/>
              <w:right w:val="single" w:sz="6" w:space="0" w:color="000000"/>
            </w:tcBorders>
          </w:tcPr>
          <w:p w14:paraId="36AC8925" w14:textId="77777777" w:rsidR="00686116" w:rsidRPr="002A3533" w:rsidRDefault="00944B8F" w:rsidP="00271199">
            <w:pPr>
              <w:keepNext/>
              <w:keepLines/>
              <w:tabs>
                <w:tab w:val="clear" w:pos="562"/>
                <w:tab w:val="left" w:pos="-1080"/>
              </w:tabs>
              <w:suppressAutoHyphens w:val="0"/>
              <w:autoSpaceDE w:val="0"/>
              <w:autoSpaceDN w:val="0"/>
              <w:adjustRightInd w:val="0"/>
              <w:ind w:left="15"/>
            </w:pPr>
            <w:r w:rsidRPr="002A3533">
              <w:rPr>
                <w:szCs w:val="22"/>
              </w:rPr>
              <w:t xml:space="preserve">   Clinical response </w:t>
            </w:r>
          </w:p>
        </w:tc>
        <w:tc>
          <w:tcPr>
            <w:tcW w:w="1614" w:type="dxa"/>
            <w:tcBorders>
              <w:top w:val="single" w:sz="6" w:space="0" w:color="000000"/>
              <w:left w:val="single" w:sz="6" w:space="0" w:color="000000"/>
              <w:bottom w:val="single" w:sz="6" w:space="0" w:color="000000"/>
              <w:right w:val="single" w:sz="6" w:space="0" w:color="000000"/>
            </w:tcBorders>
          </w:tcPr>
          <w:p w14:paraId="141617B4" w14:textId="77777777" w:rsidR="00686116" w:rsidRPr="002A3533" w:rsidRDefault="00944B8F" w:rsidP="00271199">
            <w:pPr>
              <w:keepNext/>
              <w:keepLines/>
              <w:tabs>
                <w:tab w:val="clear" w:pos="562"/>
                <w:tab w:val="left" w:pos="-1080"/>
              </w:tabs>
              <w:suppressAutoHyphens w:val="0"/>
              <w:autoSpaceDE w:val="0"/>
              <w:autoSpaceDN w:val="0"/>
              <w:adjustRightInd w:val="0"/>
              <w:ind w:left="15"/>
              <w:jc w:val="center"/>
            </w:pPr>
            <w:r w:rsidRPr="002A3533">
              <w:rPr>
                <w:szCs w:val="22"/>
              </w:rPr>
              <w:t>59.1%</w:t>
            </w:r>
          </w:p>
        </w:tc>
        <w:tc>
          <w:tcPr>
            <w:tcW w:w="1591" w:type="dxa"/>
            <w:tcBorders>
              <w:top w:val="single" w:sz="6" w:space="0" w:color="000000"/>
              <w:left w:val="single" w:sz="6" w:space="0" w:color="000000"/>
              <w:bottom w:val="single" w:sz="6" w:space="0" w:color="000000"/>
              <w:right w:val="single" w:sz="6" w:space="0" w:color="000000"/>
            </w:tcBorders>
          </w:tcPr>
          <w:p w14:paraId="2E97FDE7" w14:textId="77777777" w:rsidR="00686116" w:rsidRPr="002A3533" w:rsidRDefault="00944B8F" w:rsidP="00271199">
            <w:pPr>
              <w:keepNext/>
              <w:keepLines/>
              <w:tabs>
                <w:tab w:val="clear" w:pos="562"/>
                <w:tab w:val="left" w:pos="-1080"/>
              </w:tabs>
              <w:suppressAutoHyphens w:val="0"/>
              <w:autoSpaceDE w:val="0"/>
              <w:autoSpaceDN w:val="0"/>
              <w:adjustRightInd w:val="0"/>
              <w:ind w:left="15"/>
              <w:jc w:val="center"/>
            </w:pPr>
            <w:r w:rsidRPr="002A3533">
              <w:rPr>
                <w:szCs w:val="22"/>
              </w:rPr>
              <w:t>48.4%</w:t>
            </w:r>
          </w:p>
        </w:tc>
        <w:tc>
          <w:tcPr>
            <w:tcW w:w="1147" w:type="dxa"/>
            <w:tcBorders>
              <w:top w:val="single" w:sz="6" w:space="0" w:color="000000"/>
              <w:left w:val="single" w:sz="6" w:space="0" w:color="000000"/>
              <w:bottom w:val="single" w:sz="6" w:space="0" w:color="000000"/>
              <w:right w:val="single" w:sz="6" w:space="0" w:color="000000"/>
            </w:tcBorders>
          </w:tcPr>
          <w:p w14:paraId="17F45286" w14:textId="77777777" w:rsidR="00686116" w:rsidRPr="002A3533" w:rsidRDefault="00944B8F" w:rsidP="00271199">
            <w:pPr>
              <w:keepNext/>
              <w:keepLines/>
              <w:tabs>
                <w:tab w:val="clear" w:pos="562"/>
                <w:tab w:val="left" w:pos="-1080"/>
              </w:tabs>
              <w:suppressAutoHyphens w:val="0"/>
              <w:autoSpaceDE w:val="0"/>
              <w:autoSpaceDN w:val="0"/>
              <w:adjustRightInd w:val="0"/>
              <w:ind w:left="15"/>
              <w:jc w:val="center"/>
            </w:pPr>
            <w:r w:rsidRPr="002A3533">
              <w:rPr>
                <w:szCs w:val="22"/>
              </w:rPr>
              <w:t>0.073</w:t>
            </w:r>
          </w:p>
        </w:tc>
      </w:tr>
      <w:tr w:rsidR="00C6578C" w14:paraId="14B17DD9" w14:textId="77777777" w:rsidTr="00271199">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329F27F8" w14:textId="77777777" w:rsidR="00686116" w:rsidRPr="002A3533" w:rsidRDefault="00944B8F" w:rsidP="00271199">
            <w:pPr>
              <w:keepNext/>
              <w:keepLines/>
              <w:tabs>
                <w:tab w:val="clear" w:pos="562"/>
                <w:tab w:val="left" w:pos="-1080"/>
              </w:tabs>
              <w:suppressAutoHyphens w:val="0"/>
              <w:autoSpaceDE w:val="0"/>
              <w:autoSpaceDN w:val="0"/>
              <w:adjustRightInd w:val="0"/>
              <w:ind w:left="15"/>
              <w:rPr>
                <w:b/>
                <w:bCs/>
              </w:rPr>
            </w:pPr>
            <w:r w:rsidRPr="002A3533">
              <w:rPr>
                <w:b/>
                <w:bCs/>
                <w:szCs w:val="22"/>
              </w:rPr>
              <w:t>Week 52</w:t>
            </w:r>
          </w:p>
        </w:tc>
        <w:tc>
          <w:tcPr>
            <w:tcW w:w="1614" w:type="dxa"/>
            <w:tcBorders>
              <w:top w:val="single" w:sz="6" w:space="0" w:color="000000"/>
              <w:left w:val="single" w:sz="6" w:space="0" w:color="000000"/>
              <w:bottom w:val="single" w:sz="6" w:space="0" w:color="000000"/>
              <w:right w:val="single" w:sz="6" w:space="0" w:color="000000"/>
            </w:tcBorders>
            <w:vAlign w:val="bottom"/>
          </w:tcPr>
          <w:p w14:paraId="1ECD28DE" w14:textId="77777777" w:rsidR="00686116" w:rsidRPr="002A3533" w:rsidRDefault="00686116" w:rsidP="00271199">
            <w:pPr>
              <w:keepNext/>
              <w:keepLines/>
              <w:tabs>
                <w:tab w:val="clear" w:pos="562"/>
                <w:tab w:val="left" w:pos="-1080"/>
              </w:tabs>
              <w:suppressAutoHyphens w:val="0"/>
              <w:autoSpaceDE w:val="0"/>
              <w:autoSpaceDN w:val="0"/>
              <w:adjustRightInd w:val="0"/>
              <w:ind w:left="15"/>
              <w:jc w:val="center"/>
              <w:rPr>
                <w:b/>
                <w:bCs/>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3FA582F9" w14:textId="77777777" w:rsidR="00686116" w:rsidRPr="002A3533" w:rsidRDefault="00686116" w:rsidP="00271199">
            <w:pPr>
              <w:keepNext/>
              <w:keepLines/>
              <w:tabs>
                <w:tab w:val="clear" w:pos="562"/>
                <w:tab w:val="left" w:pos="-1080"/>
              </w:tabs>
              <w:suppressAutoHyphens w:val="0"/>
              <w:autoSpaceDE w:val="0"/>
              <w:autoSpaceDN w:val="0"/>
              <w:adjustRightInd w:val="0"/>
              <w:ind w:left="15"/>
              <w:jc w:val="center"/>
              <w:rPr>
                <w:b/>
                <w:bCs/>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4B9E5862" w14:textId="77777777" w:rsidR="00686116" w:rsidRPr="002A3533" w:rsidRDefault="00686116" w:rsidP="00271199">
            <w:pPr>
              <w:keepNext/>
              <w:tabs>
                <w:tab w:val="clear" w:pos="562"/>
              </w:tabs>
              <w:suppressAutoHyphens w:val="0"/>
              <w:autoSpaceDE w:val="0"/>
              <w:autoSpaceDN w:val="0"/>
              <w:adjustRightInd w:val="0"/>
              <w:ind w:left="15"/>
              <w:rPr>
                <w:b/>
                <w:bCs/>
              </w:rPr>
            </w:pPr>
          </w:p>
        </w:tc>
      </w:tr>
      <w:tr w:rsidR="00C6578C" w14:paraId="67A7A4FF" w14:textId="77777777" w:rsidTr="00271199">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7835A3ED" w14:textId="77777777" w:rsidR="00686116" w:rsidRPr="002A3533" w:rsidRDefault="00944B8F" w:rsidP="00271199">
            <w:pPr>
              <w:keepNext/>
              <w:keepLines/>
              <w:tabs>
                <w:tab w:val="clear" w:pos="562"/>
                <w:tab w:val="left" w:pos="-1080"/>
              </w:tabs>
              <w:suppressAutoHyphens w:val="0"/>
              <w:autoSpaceDE w:val="0"/>
              <w:autoSpaceDN w:val="0"/>
              <w:adjustRightInd w:val="0"/>
              <w:ind w:left="15"/>
            </w:pPr>
            <w:r w:rsidRPr="002A3533">
              <w:rPr>
                <w:szCs w:val="22"/>
              </w:rPr>
              <w:t xml:space="preserve">   Clinical remission</w:t>
            </w:r>
          </w:p>
        </w:tc>
        <w:tc>
          <w:tcPr>
            <w:tcW w:w="1614" w:type="dxa"/>
            <w:tcBorders>
              <w:top w:val="single" w:sz="6" w:space="0" w:color="000000"/>
              <w:left w:val="single" w:sz="6" w:space="0" w:color="000000"/>
              <w:bottom w:val="single" w:sz="6" w:space="0" w:color="000000"/>
              <w:right w:val="single" w:sz="6" w:space="0" w:color="000000"/>
            </w:tcBorders>
            <w:vAlign w:val="bottom"/>
          </w:tcPr>
          <w:p w14:paraId="3CDEC0D8" w14:textId="77777777" w:rsidR="00686116" w:rsidRPr="002A3533" w:rsidRDefault="00944B8F" w:rsidP="00271199">
            <w:pPr>
              <w:keepNext/>
              <w:keepLines/>
              <w:tabs>
                <w:tab w:val="clear" w:pos="562"/>
                <w:tab w:val="left" w:pos="-1080"/>
              </w:tabs>
              <w:suppressAutoHyphens w:val="0"/>
              <w:autoSpaceDE w:val="0"/>
              <w:autoSpaceDN w:val="0"/>
              <w:adjustRightInd w:val="0"/>
              <w:ind w:left="15"/>
              <w:jc w:val="center"/>
            </w:pPr>
            <w:r w:rsidRPr="002A3533">
              <w:rPr>
                <w:szCs w:val="22"/>
              </w:rPr>
              <w:t>33.3%</w:t>
            </w:r>
          </w:p>
        </w:tc>
        <w:tc>
          <w:tcPr>
            <w:tcW w:w="1591" w:type="dxa"/>
            <w:tcBorders>
              <w:top w:val="single" w:sz="6" w:space="0" w:color="000000"/>
              <w:left w:val="single" w:sz="6" w:space="0" w:color="000000"/>
              <w:bottom w:val="single" w:sz="6" w:space="0" w:color="000000"/>
              <w:right w:val="single" w:sz="6" w:space="0" w:color="000000"/>
            </w:tcBorders>
            <w:vAlign w:val="bottom"/>
          </w:tcPr>
          <w:p w14:paraId="48990126" w14:textId="77777777" w:rsidR="00686116" w:rsidRPr="002A3533" w:rsidRDefault="00944B8F" w:rsidP="00271199">
            <w:pPr>
              <w:keepNext/>
              <w:keepLines/>
              <w:tabs>
                <w:tab w:val="clear" w:pos="562"/>
                <w:tab w:val="left" w:pos="-1080"/>
              </w:tabs>
              <w:suppressAutoHyphens w:val="0"/>
              <w:autoSpaceDE w:val="0"/>
              <w:autoSpaceDN w:val="0"/>
              <w:adjustRightInd w:val="0"/>
              <w:ind w:left="15"/>
              <w:jc w:val="center"/>
            </w:pPr>
            <w:r w:rsidRPr="002A3533">
              <w:rPr>
                <w:szCs w:val="22"/>
              </w:rPr>
              <w:t>23.2%</w:t>
            </w:r>
          </w:p>
        </w:tc>
        <w:tc>
          <w:tcPr>
            <w:tcW w:w="1147" w:type="dxa"/>
            <w:tcBorders>
              <w:top w:val="single" w:sz="6" w:space="0" w:color="000000"/>
              <w:left w:val="single" w:sz="6" w:space="0" w:color="000000"/>
              <w:bottom w:val="single" w:sz="6" w:space="0" w:color="000000"/>
              <w:right w:val="single" w:sz="6" w:space="0" w:color="000000"/>
            </w:tcBorders>
            <w:vAlign w:val="bottom"/>
          </w:tcPr>
          <w:p w14:paraId="30CDF11D" w14:textId="77777777" w:rsidR="00686116" w:rsidRPr="002A3533" w:rsidRDefault="00944B8F" w:rsidP="00271199">
            <w:pPr>
              <w:keepNext/>
              <w:keepLines/>
              <w:tabs>
                <w:tab w:val="clear" w:pos="562"/>
                <w:tab w:val="left" w:pos="-1080"/>
              </w:tabs>
              <w:suppressAutoHyphens w:val="0"/>
              <w:autoSpaceDE w:val="0"/>
              <w:autoSpaceDN w:val="0"/>
              <w:adjustRightInd w:val="0"/>
              <w:ind w:left="15"/>
              <w:jc w:val="center"/>
            </w:pPr>
            <w:r w:rsidRPr="002A3533">
              <w:rPr>
                <w:szCs w:val="22"/>
              </w:rPr>
              <w:t>0.100</w:t>
            </w:r>
          </w:p>
        </w:tc>
      </w:tr>
      <w:tr w:rsidR="00C6578C" w14:paraId="6AD6A1CF" w14:textId="77777777" w:rsidTr="00271199">
        <w:trPr>
          <w:jc w:val="center"/>
        </w:trPr>
        <w:tc>
          <w:tcPr>
            <w:tcW w:w="2321" w:type="dxa"/>
            <w:tcBorders>
              <w:top w:val="single" w:sz="6" w:space="0" w:color="000000"/>
              <w:left w:val="single" w:sz="6" w:space="0" w:color="000000"/>
              <w:bottom w:val="single" w:sz="6" w:space="0" w:color="000000"/>
              <w:right w:val="single" w:sz="6" w:space="0" w:color="000000"/>
            </w:tcBorders>
          </w:tcPr>
          <w:p w14:paraId="2571C512" w14:textId="77777777" w:rsidR="00686116" w:rsidRPr="002A3533" w:rsidRDefault="00944B8F" w:rsidP="00271199">
            <w:pPr>
              <w:keepNext/>
              <w:keepLines/>
              <w:tabs>
                <w:tab w:val="clear" w:pos="562"/>
                <w:tab w:val="left" w:pos="-1080"/>
              </w:tabs>
              <w:suppressAutoHyphens w:val="0"/>
              <w:autoSpaceDE w:val="0"/>
              <w:autoSpaceDN w:val="0"/>
              <w:adjustRightInd w:val="0"/>
              <w:ind w:left="15"/>
            </w:pPr>
            <w:r w:rsidRPr="002A3533">
              <w:rPr>
                <w:szCs w:val="22"/>
              </w:rPr>
              <w:t xml:space="preserve">   Clinical response</w:t>
            </w:r>
          </w:p>
        </w:tc>
        <w:tc>
          <w:tcPr>
            <w:tcW w:w="1614" w:type="dxa"/>
            <w:tcBorders>
              <w:top w:val="single" w:sz="6" w:space="0" w:color="000000"/>
              <w:left w:val="single" w:sz="6" w:space="0" w:color="000000"/>
              <w:bottom w:val="single" w:sz="6" w:space="0" w:color="000000"/>
              <w:right w:val="single" w:sz="6" w:space="0" w:color="000000"/>
            </w:tcBorders>
          </w:tcPr>
          <w:p w14:paraId="18A215BD" w14:textId="77777777" w:rsidR="00686116" w:rsidRPr="002A3533" w:rsidRDefault="00944B8F" w:rsidP="00271199">
            <w:pPr>
              <w:keepNext/>
              <w:keepLines/>
              <w:tabs>
                <w:tab w:val="clear" w:pos="562"/>
                <w:tab w:val="left" w:pos="-1080"/>
              </w:tabs>
              <w:suppressAutoHyphens w:val="0"/>
              <w:autoSpaceDE w:val="0"/>
              <w:autoSpaceDN w:val="0"/>
              <w:adjustRightInd w:val="0"/>
              <w:ind w:left="15"/>
              <w:jc w:val="center"/>
            </w:pPr>
            <w:r w:rsidRPr="002A3533">
              <w:rPr>
                <w:szCs w:val="22"/>
              </w:rPr>
              <w:t>41.9%</w:t>
            </w:r>
          </w:p>
        </w:tc>
        <w:tc>
          <w:tcPr>
            <w:tcW w:w="1591" w:type="dxa"/>
            <w:tcBorders>
              <w:top w:val="single" w:sz="6" w:space="0" w:color="000000"/>
              <w:left w:val="single" w:sz="6" w:space="0" w:color="000000"/>
              <w:bottom w:val="single" w:sz="6" w:space="0" w:color="000000"/>
              <w:right w:val="single" w:sz="6" w:space="0" w:color="000000"/>
            </w:tcBorders>
          </w:tcPr>
          <w:p w14:paraId="1D28B11B" w14:textId="77777777" w:rsidR="00686116" w:rsidRPr="002A3533" w:rsidRDefault="00944B8F" w:rsidP="00271199">
            <w:pPr>
              <w:keepNext/>
              <w:keepLines/>
              <w:tabs>
                <w:tab w:val="clear" w:pos="562"/>
                <w:tab w:val="left" w:pos="-1080"/>
              </w:tabs>
              <w:suppressAutoHyphens w:val="0"/>
              <w:autoSpaceDE w:val="0"/>
              <w:autoSpaceDN w:val="0"/>
              <w:adjustRightInd w:val="0"/>
              <w:ind w:left="15"/>
              <w:jc w:val="center"/>
            </w:pPr>
            <w:r w:rsidRPr="002A3533">
              <w:rPr>
                <w:szCs w:val="22"/>
              </w:rPr>
              <w:t>28.4%</w:t>
            </w:r>
          </w:p>
        </w:tc>
        <w:tc>
          <w:tcPr>
            <w:tcW w:w="1147" w:type="dxa"/>
            <w:tcBorders>
              <w:top w:val="single" w:sz="6" w:space="0" w:color="000000"/>
              <w:left w:val="single" w:sz="6" w:space="0" w:color="000000"/>
              <w:bottom w:val="single" w:sz="6" w:space="0" w:color="000000"/>
              <w:right w:val="single" w:sz="6" w:space="0" w:color="000000"/>
            </w:tcBorders>
          </w:tcPr>
          <w:p w14:paraId="3D1F0A30" w14:textId="77777777" w:rsidR="00686116" w:rsidRPr="002A3533" w:rsidRDefault="00944B8F" w:rsidP="00271199">
            <w:pPr>
              <w:keepNext/>
              <w:keepLines/>
              <w:tabs>
                <w:tab w:val="clear" w:pos="562"/>
                <w:tab w:val="left" w:pos="-1080"/>
              </w:tabs>
              <w:suppressAutoHyphens w:val="0"/>
              <w:autoSpaceDE w:val="0"/>
              <w:autoSpaceDN w:val="0"/>
              <w:adjustRightInd w:val="0"/>
              <w:ind w:left="15"/>
              <w:jc w:val="center"/>
            </w:pPr>
            <w:r w:rsidRPr="002A3533">
              <w:rPr>
                <w:szCs w:val="22"/>
              </w:rPr>
              <w:t>0.038</w:t>
            </w:r>
          </w:p>
        </w:tc>
      </w:tr>
      <w:tr w:rsidR="00C6578C" w14:paraId="7933BB6C" w14:textId="77777777" w:rsidTr="00271199">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470A8240" w14:textId="77777777" w:rsidR="00686116" w:rsidRPr="002A3533" w:rsidRDefault="00944B8F" w:rsidP="00271199">
            <w:pPr>
              <w:keepNext/>
              <w:keepLines/>
              <w:tabs>
                <w:tab w:val="clear" w:pos="562"/>
                <w:tab w:val="left" w:pos="-1080"/>
              </w:tabs>
              <w:suppressAutoHyphens w:val="0"/>
              <w:autoSpaceDE w:val="0"/>
              <w:autoSpaceDN w:val="0"/>
              <w:adjustRightInd w:val="0"/>
              <w:ind w:left="15"/>
            </w:pPr>
            <w:r w:rsidRPr="002A3533">
              <w:rPr>
                <w:szCs w:val="22"/>
              </w:rPr>
              <w:t xml:space="preserve">* p value for Standard Dose </w:t>
            </w:r>
            <w:r w:rsidRPr="002A3533">
              <w:rPr>
                <w:i/>
                <w:iCs/>
                <w:szCs w:val="22"/>
              </w:rPr>
              <w:t>versus</w:t>
            </w:r>
            <w:r w:rsidRPr="002A3533">
              <w:rPr>
                <w:szCs w:val="22"/>
              </w:rPr>
              <w:t xml:space="preserve"> Low Dose comparison.</w:t>
            </w:r>
          </w:p>
        </w:tc>
      </w:tr>
    </w:tbl>
    <w:p w14:paraId="50AA06D5" w14:textId="77777777" w:rsidR="00686116" w:rsidRPr="002A3533" w:rsidRDefault="00686116" w:rsidP="00686116">
      <w:pPr>
        <w:tabs>
          <w:tab w:val="left" w:pos="1294"/>
        </w:tabs>
        <w:autoSpaceDE w:val="0"/>
        <w:autoSpaceDN w:val="0"/>
        <w:adjustRightInd w:val="0"/>
        <w:rPr>
          <w:szCs w:val="22"/>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C6578C" w14:paraId="4B8D36FA" w14:textId="77777777" w:rsidTr="00271199">
        <w:trPr>
          <w:jc w:val="center"/>
        </w:trPr>
        <w:tc>
          <w:tcPr>
            <w:tcW w:w="8440" w:type="dxa"/>
            <w:gridSpan w:val="4"/>
            <w:tcBorders>
              <w:top w:val="single" w:sz="6" w:space="0" w:color="000000"/>
              <w:left w:val="single" w:sz="6" w:space="0" w:color="000000"/>
              <w:bottom w:val="single" w:sz="6" w:space="0" w:color="000000"/>
              <w:right w:val="single" w:sz="6" w:space="0" w:color="000000"/>
            </w:tcBorders>
          </w:tcPr>
          <w:p w14:paraId="25D50919" w14:textId="77777777" w:rsidR="00686116" w:rsidRPr="002A3533" w:rsidRDefault="00944B8F" w:rsidP="00271199">
            <w:pPr>
              <w:tabs>
                <w:tab w:val="clear" w:pos="562"/>
                <w:tab w:val="left" w:pos="-878"/>
              </w:tabs>
              <w:suppressAutoHyphens w:val="0"/>
              <w:autoSpaceDE w:val="0"/>
              <w:autoSpaceDN w:val="0"/>
              <w:adjustRightInd w:val="0"/>
              <w:jc w:val="center"/>
              <w:rPr>
                <w:b/>
                <w:bCs/>
              </w:rPr>
            </w:pPr>
            <w:r w:rsidRPr="002A3533">
              <w:rPr>
                <w:b/>
                <w:bCs/>
                <w:szCs w:val="22"/>
              </w:rPr>
              <w:t xml:space="preserve">Table </w:t>
            </w:r>
            <w:r w:rsidR="00B76B3F">
              <w:rPr>
                <w:b/>
                <w:bCs/>
                <w:szCs w:val="22"/>
              </w:rPr>
              <w:t>22</w:t>
            </w:r>
          </w:p>
          <w:p w14:paraId="78CAD740" w14:textId="77777777" w:rsidR="00686116" w:rsidRPr="002A3533" w:rsidRDefault="00944B8F" w:rsidP="00271199">
            <w:pPr>
              <w:tabs>
                <w:tab w:val="clear" w:pos="562"/>
                <w:tab w:val="left" w:pos="-878"/>
              </w:tabs>
              <w:suppressAutoHyphens w:val="0"/>
              <w:autoSpaceDE w:val="0"/>
              <w:autoSpaceDN w:val="0"/>
              <w:adjustRightInd w:val="0"/>
              <w:jc w:val="center"/>
              <w:rPr>
                <w:b/>
                <w:bCs/>
              </w:rPr>
            </w:pPr>
            <w:r w:rsidRPr="002A3533">
              <w:rPr>
                <w:b/>
                <w:bCs/>
                <w:szCs w:val="22"/>
              </w:rPr>
              <w:t>Paediatric CD Study</w:t>
            </w:r>
          </w:p>
          <w:p w14:paraId="18B0A3EB" w14:textId="77777777" w:rsidR="00686116" w:rsidRPr="002A3533" w:rsidRDefault="00944B8F" w:rsidP="00271199">
            <w:pPr>
              <w:tabs>
                <w:tab w:val="clear" w:pos="562"/>
                <w:tab w:val="left" w:pos="-878"/>
              </w:tabs>
              <w:suppressAutoHyphens w:val="0"/>
              <w:autoSpaceDE w:val="0"/>
              <w:autoSpaceDN w:val="0"/>
              <w:adjustRightInd w:val="0"/>
              <w:jc w:val="center"/>
              <w:rPr>
                <w:b/>
                <w:bCs/>
              </w:rPr>
            </w:pPr>
            <w:r w:rsidRPr="002A3533">
              <w:rPr>
                <w:b/>
                <w:bCs/>
                <w:szCs w:val="22"/>
              </w:rPr>
              <w:t>Discontinuation of Corticosteroids or Immunomodulators and Fistula Remission</w:t>
            </w:r>
          </w:p>
        </w:tc>
      </w:tr>
      <w:tr w:rsidR="00C6578C" w14:paraId="76BA6785" w14:textId="77777777" w:rsidTr="00271199">
        <w:trPr>
          <w:jc w:val="center"/>
        </w:trPr>
        <w:tc>
          <w:tcPr>
            <w:tcW w:w="4025" w:type="dxa"/>
            <w:tcBorders>
              <w:top w:val="single" w:sz="6" w:space="0" w:color="000000"/>
              <w:left w:val="single" w:sz="6" w:space="0" w:color="000000"/>
              <w:bottom w:val="single" w:sz="6" w:space="0" w:color="000000"/>
              <w:right w:val="single" w:sz="6" w:space="0" w:color="000000"/>
            </w:tcBorders>
          </w:tcPr>
          <w:p w14:paraId="0382EF0A" w14:textId="77777777" w:rsidR="00686116" w:rsidRPr="002A3533" w:rsidRDefault="00686116" w:rsidP="00271199">
            <w:pPr>
              <w:keepLines/>
              <w:tabs>
                <w:tab w:val="clear" w:pos="562"/>
                <w:tab w:val="left" w:pos="-1080"/>
              </w:tabs>
              <w:suppressAutoHyphens w:val="0"/>
              <w:autoSpaceDE w:val="0"/>
              <w:autoSpaceDN w:val="0"/>
              <w:adjustRightInd w:val="0"/>
              <w:jc w:val="center"/>
              <w:rPr>
                <w:b/>
                <w:bCs/>
              </w:rPr>
            </w:pPr>
          </w:p>
        </w:tc>
        <w:tc>
          <w:tcPr>
            <w:tcW w:w="1656" w:type="dxa"/>
            <w:tcBorders>
              <w:top w:val="single" w:sz="6" w:space="0" w:color="000000"/>
              <w:left w:val="single" w:sz="6" w:space="0" w:color="000000"/>
              <w:bottom w:val="single" w:sz="6" w:space="0" w:color="000000"/>
              <w:right w:val="single" w:sz="6" w:space="0" w:color="000000"/>
            </w:tcBorders>
          </w:tcPr>
          <w:p w14:paraId="5118FA6B" w14:textId="77777777" w:rsidR="00686116" w:rsidRPr="002A3533" w:rsidRDefault="00944B8F" w:rsidP="00271199">
            <w:pPr>
              <w:keepLines/>
              <w:tabs>
                <w:tab w:val="clear" w:pos="562"/>
                <w:tab w:val="left" w:pos="-1080"/>
              </w:tabs>
              <w:suppressAutoHyphens w:val="0"/>
              <w:autoSpaceDE w:val="0"/>
              <w:autoSpaceDN w:val="0"/>
              <w:adjustRightInd w:val="0"/>
              <w:ind w:left="15"/>
              <w:jc w:val="center"/>
              <w:rPr>
                <w:b/>
                <w:bCs/>
              </w:rPr>
            </w:pPr>
            <w:r w:rsidRPr="002A3533">
              <w:rPr>
                <w:b/>
                <w:bCs/>
                <w:szCs w:val="22"/>
              </w:rPr>
              <w:t>Standard Dose</w:t>
            </w:r>
          </w:p>
          <w:p w14:paraId="464BC605" w14:textId="77777777" w:rsidR="00686116" w:rsidRPr="002A3533" w:rsidRDefault="00944B8F" w:rsidP="00271199">
            <w:pPr>
              <w:keepLines/>
              <w:tabs>
                <w:tab w:val="clear" w:pos="562"/>
                <w:tab w:val="left" w:pos="-1080"/>
              </w:tabs>
              <w:suppressAutoHyphens w:val="0"/>
              <w:autoSpaceDE w:val="0"/>
              <w:autoSpaceDN w:val="0"/>
              <w:adjustRightInd w:val="0"/>
              <w:ind w:left="15"/>
              <w:jc w:val="center"/>
              <w:rPr>
                <w:b/>
                <w:bCs/>
              </w:rPr>
            </w:pPr>
            <w:r w:rsidRPr="002A3533">
              <w:rPr>
                <w:b/>
                <w:bCs/>
                <w:szCs w:val="22"/>
              </w:rPr>
              <w:t xml:space="preserve">40/20 mg eow </w:t>
            </w:r>
          </w:p>
        </w:tc>
        <w:tc>
          <w:tcPr>
            <w:tcW w:w="1619" w:type="dxa"/>
            <w:tcBorders>
              <w:top w:val="single" w:sz="6" w:space="0" w:color="000000"/>
              <w:left w:val="single" w:sz="6" w:space="0" w:color="000000"/>
              <w:bottom w:val="single" w:sz="6" w:space="0" w:color="000000"/>
              <w:right w:val="single" w:sz="6" w:space="0" w:color="000000"/>
            </w:tcBorders>
          </w:tcPr>
          <w:p w14:paraId="63F87DEA" w14:textId="77777777" w:rsidR="00686116" w:rsidRPr="002A3533" w:rsidRDefault="00944B8F" w:rsidP="00271199">
            <w:pPr>
              <w:keepLines/>
              <w:tabs>
                <w:tab w:val="clear" w:pos="562"/>
                <w:tab w:val="left" w:pos="-1080"/>
              </w:tabs>
              <w:suppressAutoHyphens w:val="0"/>
              <w:autoSpaceDE w:val="0"/>
              <w:autoSpaceDN w:val="0"/>
              <w:adjustRightInd w:val="0"/>
              <w:ind w:left="15"/>
              <w:jc w:val="center"/>
              <w:rPr>
                <w:b/>
                <w:bCs/>
              </w:rPr>
            </w:pPr>
            <w:r w:rsidRPr="002A3533">
              <w:rPr>
                <w:b/>
                <w:bCs/>
                <w:szCs w:val="22"/>
              </w:rPr>
              <w:t>Low Dose</w:t>
            </w:r>
          </w:p>
          <w:p w14:paraId="4F035A84" w14:textId="77777777" w:rsidR="00686116" w:rsidRPr="002A3533" w:rsidRDefault="00944B8F" w:rsidP="00271199">
            <w:pPr>
              <w:keepLines/>
              <w:tabs>
                <w:tab w:val="clear" w:pos="562"/>
                <w:tab w:val="left" w:pos="-1080"/>
              </w:tabs>
              <w:suppressAutoHyphens w:val="0"/>
              <w:autoSpaceDE w:val="0"/>
              <w:autoSpaceDN w:val="0"/>
              <w:adjustRightInd w:val="0"/>
              <w:ind w:left="15"/>
              <w:jc w:val="center"/>
              <w:rPr>
                <w:b/>
                <w:bCs/>
              </w:rPr>
            </w:pPr>
            <w:r w:rsidRPr="002A3533">
              <w:rPr>
                <w:b/>
                <w:bCs/>
                <w:szCs w:val="22"/>
              </w:rPr>
              <w:t xml:space="preserve">20/10 mg eow </w:t>
            </w:r>
          </w:p>
        </w:tc>
        <w:tc>
          <w:tcPr>
            <w:tcW w:w="1140" w:type="dxa"/>
            <w:tcBorders>
              <w:top w:val="single" w:sz="6" w:space="0" w:color="000000"/>
              <w:left w:val="single" w:sz="6" w:space="0" w:color="000000"/>
              <w:bottom w:val="single" w:sz="6" w:space="0" w:color="000000"/>
              <w:right w:val="single" w:sz="6" w:space="0" w:color="000000"/>
            </w:tcBorders>
          </w:tcPr>
          <w:p w14:paraId="4EB451FE" w14:textId="77777777" w:rsidR="00686116" w:rsidRPr="002A3533" w:rsidRDefault="00944B8F" w:rsidP="00271199">
            <w:pPr>
              <w:keepLines/>
              <w:tabs>
                <w:tab w:val="clear" w:pos="562"/>
                <w:tab w:val="left" w:pos="-1080"/>
              </w:tabs>
              <w:suppressAutoHyphens w:val="0"/>
              <w:autoSpaceDE w:val="0"/>
              <w:autoSpaceDN w:val="0"/>
              <w:adjustRightInd w:val="0"/>
              <w:ind w:left="15"/>
              <w:jc w:val="center"/>
              <w:rPr>
                <w:b/>
                <w:bCs/>
              </w:rPr>
            </w:pPr>
            <w:r w:rsidRPr="002A3533">
              <w:rPr>
                <w:b/>
                <w:bCs/>
                <w:szCs w:val="22"/>
              </w:rPr>
              <w:t>P value</w:t>
            </w:r>
            <w:r w:rsidRPr="002A3533">
              <w:rPr>
                <w:b/>
                <w:bCs/>
                <w:szCs w:val="22"/>
                <w:vertAlign w:val="superscript"/>
              </w:rPr>
              <w:t>1</w:t>
            </w:r>
          </w:p>
        </w:tc>
      </w:tr>
      <w:tr w:rsidR="00C6578C" w14:paraId="25557391" w14:textId="77777777" w:rsidTr="00271199">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682248E2" w14:textId="77777777" w:rsidR="00686116" w:rsidRPr="002A3533" w:rsidRDefault="00944B8F" w:rsidP="00271199">
            <w:pPr>
              <w:keepLines/>
              <w:tabs>
                <w:tab w:val="clear" w:pos="562"/>
                <w:tab w:val="left" w:pos="-1080"/>
              </w:tabs>
              <w:suppressAutoHyphens w:val="0"/>
              <w:autoSpaceDE w:val="0"/>
              <w:autoSpaceDN w:val="0"/>
              <w:adjustRightInd w:val="0"/>
              <w:rPr>
                <w:b/>
              </w:rPr>
            </w:pPr>
            <w:r w:rsidRPr="002A3533">
              <w:rPr>
                <w:b/>
                <w:szCs w:val="22"/>
              </w:rPr>
              <w:t>Discontinued corticosteroids</w:t>
            </w:r>
          </w:p>
        </w:tc>
        <w:tc>
          <w:tcPr>
            <w:tcW w:w="1656" w:type="dxa"/>
            <w:tcBorders>
              <w:top w:val="single" w:sz="6" w:space="0" w:color="000000"/>
              <w:left w:val="single" w:sz="6" w:space="0" w:color="000000"/>
              <w:bottom w:val="single" w:sz="6" w:space="0" w:color="000000"/>
              <w:right w:val="single" w:sz="6" w:space="0" w:color="000000"/>
            </w:tcBorders>
            <w:vAlign w:val="bottom"/>
          </w:tcPr>
          <w:p w14:paraId="0652F1C7" w14:textId="77777777" w:rsidR="00686116" w:rsidRPr="002A3533" w:rsidRDefault="00944B8F" w:rsidP="00271199">
            <w:pPr>
              <w:keepLines/>
              <w:tabs>
                <w:tab w:val="clear" w:pos="562"/>
                <w:tab w:val="left" w:pos="-1080"/>
              </w:tabs>
              <w:suppressAutoHyphens w:val="0"/>
              <w:autoSpaceDE w:val="0"/>
              <w:autoSpaceDN w:val="0"/>
              <w:adjustRightInd w:val="0"/>
              <w:ind w:left="15"/>
              <w:jc w:val="center"/>
              <w:rPr>
                <w:b/>
              </w:rPr>
            </w:pPr>
            <w:r w:rsidRPr="002A3533">
              <w:rPr>
                <w:b/>
                <w:szCs w:val="22"/>
              </w:rPr>
              <w:t>N= 33</w:t>
            </w:r>
          </w:p>
        </w:tc>
        <w:tc>
          <w:tcPr>
            <w:tcW w:w="1619" w:type="dxa"/>
            <w:tcBorders>
              <w:top w:val="single" w:sz="6" w:space="0" w:color="000000"/>
              <w:left w:val="single" w:sz="6" w:space="0" w:color="000000"/>
              <w:bottom w:val="single" w:sz="6" w:space="0" w:color="000000"/>
              <w:right w:val="single" w:sz="6" w:space="0" w:color="000000"/>
            </w:tcBorders>
            <w:vAlign w:val="bottom"/>
          </w:tcPr>
          <w:p w14:paraId="37121372" w14:textId="77777777" w:rsidR="00686116" w:rsidRPr="002A3533" w:rsidRDefault="00944B8F" w:rsidP="00271199">
            <w:pPr>
              <w:keepLines/>
              <w:tabs>
                <w:tab w:val="clear" w:pos="562"/>
                <w:tab w:val="left" w:pos="-1080"/>
              </w:tabs>
              <w:suppressAutoHyphens w:val="0"/>
              <w:autoSpaceDE w:val="0"/>
              <w:autoSpaceDN w:val="0"/>
              <w:adjustRightInd w:val="0"/>
              <w:ind w:left="15"/>
              <w:jc w:val="center"/>
              <w:rPr>
                <w:b/>
              </w:rPr>
            </w:pPr>
            <w:r w:rsidRPr="002A3533">
              <w:rPr>
                <w:b/>
                <w:szCs w:val="22"/>
              </w:rPr>
              <w:t>N=38</w:t>
            </w:r>
          </w:p>
        </w:tc>
        <w:tc>
          <w:tcPr>
            <w:tcW w:w="1140" w:type="dxa"/>
            <w:tcBorders>
              <w:top w:val="single" w:sz="6" w:space="0" w:color="000000"/>
              <w:left w:val="single" w:sz="6" w:space="0" w:color="000000"/>
              <w:bottom w:val="single" w:sz="6" w:space="0" w:color="000000"/>
              <w:right w:val="single" w:sz="6" w:space="0" w:color="000000"/>
            </w:tcBorders>
            <w:vAlign w:val="bottom"/>
          </w:tcPr>
          <w:p w14:paraId="4B80C013" w14:textId="77777777" w:rsidR="00686116" w:rsidRPr="002A3533" w:rsidRDefault="00686116" w:rsidP="00271199">
            <w:pPr>
              <w:tabs>
                <w:tab w:val="clear" w:pos="562"/>
              </w:tabs>
              <w:suppressAutoHyphens w:val="0"/>
              <w:autoSpaceDE w:val="0"/>
              <w:autoSpaceDN w:val="0"/>
              <w:adjustRightInd w:val="0"/>
              <w:ind w:left="15"/>
              <w:rPr>
                <w:b/>
              </w:rPr>
            </w:pPr>
          </w:p>
        </w:tc>
      </w:tr>
      <w:tr w:rsidR="00C6578C" w14:paraId="05439707" w14:textId="77777777" w:rsidTr="00271199">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5A3F5345" w14:textId="77777777" w:rsidR="00686116" w:rsidRPr="002A3533" w:rsidRDefault="00944B8F" w:rsidP="00271199">
            <w:pPr>
              <w:keepLines/>
              <w:tabs>
                <w:tab w:val="clear" w:pos="562"/>
                <w:tab w:val="left" w:pos="-1080"/>
              </w:tabs>
              <w:suppressAutoHyphens w:val="0"/>
              <w:autoSpaceDE w:val="0"/>
              <w:autoSpaceDN w:val="0"/>
              <w:adjustRightInd w:val="0"/>
              <w:rPr>
                <w:bCs/>
              </w:rPr>
            </w:pPr>
            <w:r w:rsidRPr="002A3533">
              <w:rPr>
                <w:bCs/>
                <w:szCs w:val="22"/>
              </w:rPr>
              <w:t>Week 26</w:t>
            </w:r>
          </w:p>
        </w:tc>
        <w:tc>
          <w:tcPr>
            <w:tcW w:w="1656" w:type="dxa"/>
            <w:tcBorders>
              <w:top w:val="single" w:sz="6" w:space="0" w:color="000000"/>
              <w:left w:val="single" w:sz="6" w:space="0" w:color="000000"/>
              <w:bottom w:val="single" w:sz="6" w:space="0" w:color="000000"/>
              <w:right w:val="single" w:sz="6" w:space="0" w:color="000000"/>
            </w:tcBorders>
            <w:vAlign w:val="bottom"/>
          </w:tcPr>
          <w:p w14:paraId="4A6A76DA" w14:textId="77777777" w:rsidR="00686116" w:rsidRPr="002A3533" w:rsidRDefault="00944B8F" w:rsidP="00271199">
            <w:pPr>
              <w:keepLines/>
              <w:tabs>
                <w:tab w:val="clear" w:pos="562"/>
                <w:tab w:val="left" w:pos="-1080"/>
              </w:tabs>
              <w:suppressAutoHyphens w:val="0"/>
              <w:autoSpaceDE w:val="0"/>
              <w:autoSpaceDN w:val="0"/>
              <w:adjustRightInd w:val="0"/>
              <w:ind w:left="15"/>
              <w:jc w:val="center"/>
            </w:pPr>
            <w:r w:rsidRPr="002A3533">
              <w:rPr>
                <w:szCs w:val="22"/>
              </w:rPr>
              <w:t>84.8%</w:t>
            </w:r>
          </w:p>
        </w:tc>
        <w:tc>
          <w:tcPr>
            <w:tcW w:w="1619" w:type="dxa"/>
            <w:tcBorders>
              <w:top w:val="single" w:sz="6" w:space="0" w:color="000000"/>
              <w:left w:val="single" w:sz="6" w:space="0" w:color="000000"/>
              <w:bottom w:val="single" w:sz="6" w:space="0" w:color="000000"/>
              <w:right w:val="single" w:sz="6" w:space="0" w:color="000000"/>
            </w:tcBorders>
            <w:vAlign w:val="bottom"/>
          </w:tcPr>
          <w:p w14:paraId="715E5B8A" w14:textId="77777777" w:rsidR="00686116" w:rsidRPr="002A3533" w:rsidRDefault="00944B8F" w:rsidP="00271199">
            <w:pPr>
              <w:keepLines/>
              <w:tabs>
                <w:tab w:val="clear" w:pos="562"/>
                <w:tab w:val="left" w:pos="-1080"/>
              </w:tabs>
              <w:suppressAutoHyphens w:val="0"/>
              <w:autoSpaceDE w:val="0"/>
              <w:autoSpaceDN w:val="0"/>
              <w:adjustRightInd w:val="0"/>
              <w:ind w:left="15"/>
              <w:jc w:val="center"/>
            </w:pPr>
            <w:r w:rsidRPr="002A3533">
              <w:rPr>
                <w:szCs w:val="22"/>
              </w:rPr>
              <w:t>65.8%</w:t>
            </w:r>
          </w:p>
        </w:tc>
        <w:tc>
          <w:tcPr>
            <w:tcW w:w="1140" w:type="dxa"/>
            <w:tcBorders>
              <w:top w:val="single" w:sz="6" w:space="0" w:color="000000"/>
              <w:left w:val="single" w:sz="6" w:space="0" w:color="000000"/>
              <w:bottom w:val="single" w:sz="6" w:space="0" w:color="000000"/>
              <w:right w:val="single" w:sz="6" w:space="0" w:color="000000"/>
            </w:tcBorders>
            <w:vAlign w:val="bottom"/>
          </w:tcPr>
          <w:p w14:paraId="4BEAAEE0" w14:textId="77777777" w:rsidR="00686116" w:rsidRPr="002A3533" w:rsidRDefault="00944B8F" w:rsidP="00271199">
            <w:pPr>
              <w:keepLines/>
              <w:tabs>
                <w:tab w:val="clear" w:pos="562"/>
                <w:tab w:val="left" w:pos="-1080"/>
              </w:tabs>
              <w:suppressAutoHyphens w:val="0"/>
              <w:autoSpaceDE w:val="0"/>
              <w:autoSpaceDN w:val="0"/>
              <w:adjustRightInd w:val="0"/>
              <w:ind w:left="15"/>
              <w:jc w:val="center"/>
            </w:pPr>
            <w:r w:rsidRPr="002A3533">
              <w:rPr>
                <w:szCs w:val="22"/>
              </w:rPr>
              <w:t>0.066</w:t>
            </w:r>
          </w:p>
        </w:tc>
      </w:tr>
      <w:tr w:rsidR="00C6578C" w14:paraId="7B6B0DB8" w14:textId="77777777" w:rsidTr="00271199">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0D059E3E" w14:textId="77777777" w:rsidR="00686116" w:rsidRPr="002A3533" w:rsidRDefault="00944B8F" w:rsidP="00271199">
            <w:pPr>
              <w:keepLines/>
              <w:tabs>
                <w:tab w:val="clear" w:pos="562"/>
                <w:tab w:val="left" w:pos="-1080"/>
              </w:tabs>
              <w:suppressAutoHyphens w:val="0"/>
              <w:autoSpaceDE w:val="0"/>
              <w:autoSpaceDN w:val="0"/>
              <w:adjustRightInd w:val="0"/>
              <w:rPr>
                <w:bCs/>
              </w:rPr>
            </w:pPr>
            <w:r w:rsidRPr="002A3533">
              <w:rPr>
                <w:bCs/>
                <w:szCs w:val="22"/>
              </w:rPr>
              <w:t>Week 52</w:t>
            </w:r>
          </w:p>
        </w:tc>
        <w:tc>
          <w:tcPr>
            <w:tcW w:w="1656" w:type="dxa"/>
            <w:tcBorders>
              <w:top w:val="single" w:sz="6" w:space="0" w:color="000000"/>
              <w:left w:val="single" w:sz="6" w:space="0" w:color="000000"/>
              <w:bottom w:val="single" w:sz="6" w:space="0" w:color="000000"/>
              <w:right w:val="single" w:sz="6" w:space="0" w:color="000000"/>
            </w:tcBorders>
          </w:tcPr>
          <w:p w14:paraId="2B947AEE" w14:textId="77777777" w:rsidR="00686116" w:rsidRPr="002A3533" w:rsidRDefault="00944B8F" w:rsidP="00271199">
            <w:pPr>
              <w:keepLines/>
              <w:tabs>
                <w:tab w:val="clear" w:pos="562"/>
                <w:tab w:val="left" w:pos="-1080"/>
              </w:tabs>
              <w:suppressAutoHyphens w:val="0"/>
              <w:autoSpaceDE w:val="0"/>
              <w:autoSpaceDN w:val="0"/>
              <w:adjustRightInd w:val="0"/>
              <w:ind w:left="15"/>
              <w:jc w:val="center"/>
            </w:pPr>
            <w:r w:rsidRPr="002A3533">
              <w:rPr>
                <w:szCs w:val="22"/>
              </w:rPr>
              <w:t>69.7%</w:t>
            </w:r>
          </w:p>
        </w:tc>
        <w:tc>
          <w:tcPr>
            <w:tcW w:w="1619" w:type="dxa"/>
            <w:tcBorders>
              <w:top w:val="single" w:sz="6" w:space="0" w:color="000000"/>
              <w:left w:val="single" w:sz="6" w:space="0" w:color="000000"/>
              <w:bottom w:val="single" w:sz="6" w:space="0" w:color="000000"/>
              <w:right w:val="single" w:sz="6" w:space="0" w:color="000000"/>
            </w:tcBorders>
          </w:tcPr>
          <w:p w14:paraId="7A3CBE18" w14:textId="77777777" w:rsidR="00686116" w:rsidRPr="002A3533" w:rsidRDefault="00944B8F" w:rsidP="00271199">
            <w:pPr>
              <w:keepLines/>
              <w:tabs>
                <w:tab w:val="clear" w:pos="562"/>
                <w:tab w:val="left" w:pos="-1080"/>
              </w:tabs>
              <w:suppressAutoHyphens w:val="0"/>
              <w:autoSpaceDE w:val="0"/>
              <w:autoSpaceDN w:val="0"/>
              <w:adjustRightInd w:val="0"/>
              <w:ind w:left="15"/>
              <w:jc w:val="center"/>
            </w:pPr>
            <w:r w:rsidRPr="002A3533">
              <w:rPr>
                <w:szCs w:val="22"/>
              </w:rPr>
              <w:t>60.5%</w:t>
            </w:r>
          </w:p>
        </w:tc>
        <w:tc>
          <w:tcPr>
            <w:tcW w:w="1140" w:type="dxa"/>
            <w:tcBorders>
              <w:top w:val="single" w:sz="6" w:space="0" w:color="000000"/>
              <w:left w:val="single" w:sz="6" w:space="0" w:color="000000"/>
              <w:bottom w:val="single" w:sz="6" w:space="0" w:color="000000"/>
              <w:right w:val="single" w:sz="6" w:space="0" w:color="000000"/>
            </w:tcBorders>
            <w:vAlign w:val="bottom"/>
          </w:tcPr>
          <w:p w14:paraId="0755A36C" w14:textId="77777777" w:rsidR="00686116" w:rsidRPr="002A3533" w:rsidRDefault="00944B8F" w:rsidP="00271199">
            <w:pPr>
              <w:keepLines/>
              <w:tabs>
                <w:tab w:val="clear" w:pos="562"/>
                <w:tab w:val="left" w:pos="-1080"/>
              </w:tabs>
              <w:suppressAutoHyphens w:val="0"/>
              <w:autoSpaceDE w:val="0"/>
              <w:autoSpaceDN w:val="0"/>
              <w:adjustRightInd w:val="0"/>
              <w:ind w:left="15"/>
              <w:jc w:val="center"/>
            </w:pPr>
            <w:r w:rsidRPr="002A3533">
              <w:rPr>
                <w:szCs w:val="22"/>
              </w:rPr>
              <w:t>0.420</w:t>
            </w:r>
          </w:p>
        </w:tc>
      </w:tr>
      <w:tr w:rsidR="00C6578C" w14:paraId="3CC739DF" w14:textId="77777777" w:rsidTr="00271199">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54FA417B" w14:textId="77777777" w:rsidR="00686116" w:rsidRPr="002A3533" w:rsidRDefault="00944B8F" w:rsidP="00271199">
            <w:pPr>
              <w:keepLines/>
              <w:tabs>
                <w:tab w:val="clear" w:pos="562"/>
                <w:tab w:val="left" w:pos="-1080"/>
              </w:tabs>
              <w:suppressAutoHyphens w:val="0"/>
              <w:autoSpaceDE w:val="0"/>
              <w:autoSpaceDN w:val="0"/>
              <w:adjustRightInd w:val="0"/>
              <w:rPr>
                <w:b/>
              </w:rPr>
            </w:pPr>
            <w:r w:rsidRPr="002A3533">
              <w:rPr>
                <w:b/>
                <w:szCs w:val="22"/>
              </w:rPr>
              <w:t>Discontinuation of Immunomodulators</w:t>
            </w:r>
            <w:r w:rsidRPr="002A3533">
              <w:rPr>
                <w:b/>
                <w:szCs w:val="22"/>
                <w:vertAlign w:val="superscript"/>
              </w:rPr>
              <w:t>2</w:t>
            </w:r>
          </w:p>
        </w:tc>
        <w:tc>
          <w:tcPr>
            <w:tcW w:w="1656" w:type="dxa"/>
            <w:tcBorders>
              <w:top w:val="single" w:sz="6" w:space="0" w:color="000000"/>
              <w:left w:val="single" w:sz="6" w:space="0" w:color="000000"/>
              <w:bottom w:val="single" w:sz="6" w:space="0" w:color="000000"/>
              <w:right w:val="single" w:sz="6" w:space="0" w:color="000000"/>
            </w:tcBorders>
            <w:vAlign w:val="bottom"/>
          </w:tcPr>
          <w:p w14:paraId="1FAEEC6B" w14:textId="77777777" w:rsidR="00686116" w:rsidRPr="002A3533" w:rsidRDefault="00944B8F" w:rsidP="00271199">
            <w:pPr>
              <w:keepLines/>
              <w:tabs>
                <w:tab w:val="clear" w:pos="562"/>
                <w:tab w:val="left" w:pos="-1080"/>
              </w:tabs>
              <w:suppressAutoHyphens w:val="0"/>
              <w:autoSpaceDE w:val="0"/>
              <w:autoSpaceDN w:val="0"/>
              <w:adjustRightInd w:val="0"/>
              <w:ind w:left="15"/>
              <w:jc w:val="center"/>
              <w:rPr>
                <w:b/>
              </w:rPr>
            </w:pPr>
            <w:r w:rsidRPr="002A3533">
              <w:rPr>
                <w:b/>
                <w:szCs w:val="22"/>
              </w:rPr>
              <w:t>N=60</w:t>
            </w:r>
          </w:p>
        </w:tc>
        <w:tc>
          <w:tcPr>
            <w:tcW w:w="1619" w:type="dxa"/>
            <w:tcBorders>
              <w:top w:val="single" w:sz="6" w:space="0" w:color="000000"/>
              <w:left w:val="single" w:sz="6" w:space="0" w:color="000000"/>
              <w:bottom w:val="single" w:sz="6" w:space="0" w:color="000000"/>
              <w:right w:val="single" w:sz="6" w:space="0" w:color="000000"/>
            </w:tcBorders>
            <w:vAlign w:val="bottom"/>
          </w:tcPr>
          <w:p w14:paraId="14B08B75" w14:textId="77777777" w:rsidR="00686116" w:rsidRPr="002A3533" w:rsidRDefault="00944B8F" w:rsidP="00271199">
            <w:pPr>
              <w:keepLines/>
              <w:tabs>
                <w:tab w:val="clear" w:pos="562"/>
                <w:tab w:val="left" w:pos="-1080"/>
              </w:tabs>
              <w:suppressAutoHyphens w:val="0"/>
              <w:autoSpaceDE w:val="0"/>
              <w:autoSpaceDN w:val="0"/>
              <w:adjustRightInd w:val="0"/>
              <w:ind w:left="15"/>
              <w:jc w:val="center"/>
              <w:rPr>
                <w:b/>
              </w:rPr>
            </w:pPr>
            <w:r w:rsidRPr="002A3533">
              <w:rPr>
                <w:b/>
                <w:szCs w:val="22"/>
              </w:rPr>
              <w:t>N=57</w:t>
            </w:r>
          </w:p>
        </w:tc>
        <w:tc>
          <w:tcPr>
            <w:tcW w:w="1140" w:type="dxa"/>
            <w:tcBorders>
              <w:top w:val="single" w:sz="6" w:space="0" w:color="000000"/>
              <w:left w:val="single" w:sz="6" w:space="0" w:color="000000"/>
              <w:bottom w:val="single" w:sz="6" w:space="0" w:color="000000"/>
              <w:right w:val="single" w:sz="6" w:space="0" w:color="000000"/>
            </w:tcBorders>
            <w:vAlign w:val="bottom"/>
          </w:tcPr>
          <w:p w14:paraId="53E2BF06" w14:textId="77777777" w:rsidR="00686116" w:rsidRPr="002A3533" w:rsidRDefault="00686116" w:rsidP="00271199">
            <w:pPr>
              <w:tabs>
                <w:tab w:val="clear" w:pos="562"/>
              </w:tabs>
              <w:suppressAutoHyphens w:val="0"/>
              <w:autoSpaceDE w:val="0"/>
              <w:autoSpaceDN w:val="0"/>
              <w:adjustRightInd w:val="0"/>
              <w:ind w:left="15"/>
              <w:rPr>
                <w:b/>
              </w:rPr>
            </w:pPr>
          </w:p>
        </w:tc>
      </w:tr>
      <w:tr w:rsidR="00C6578C" w14:paraId="33AAC319" w14:textId="77777777" w:rsidTr="00271199">
        <w:trPr>
          <w:jc w:val="center"/>
        </w:trPr>
        <w:tc>
          <w:tcPr>
            <w:tcW w:w="4025" w:type="dxa"/>
            <w:tcBorders>
              <w:top w:val="single" w:sz="6" w:space="0" w:color="000000"/>
              <w:left w:val="single" w:sz="6" w:space="0" w:color="000000"/>
              <w:bottom w:val="single" w:sz="6" w:space="0" w:color="000000"/>
              <w:right w:val="single" w:sz="6" w:space="0" w:color="000000"/>
            </w:tcBorders>
          </w:tcPr>
          <w:p w14:paraId="4204010B" w14:textId="77777777" w:rsidR="00686116" w:rsidRPr="002A3533" w:rsidRDefault="00944B8F" w:rsidP="00271199">
            <w:pPr>
              <w:keepLines/>
              <w:tabs>
                <w:tab w:val="clear" w:pos="562"/>
                <w:tab w:val="left" w:pos="-1080"/>
              </w:tabs>
              <w:suppressAutoHyphens w:val="0"/>
              <w:autoSpaceDE w:val="0"/>
              <w:autoSpaceDN w:val="0"/>
              <w:adjustRightInd w:val="0"/>
              <w:rPr>
                <w:bCs/>
              </w:rPr>
            </w:pPr>
            <w:r w:rsidRPr="002A3533">
              <w:rPr>
                <w:bCs/>
                <w:szCs w:val="22"/>
              </w:rPr>
              <w:t>Week 52</w:t>
            </w:r>
          </w:p>
        </w:tc>
        <w:tc>
          <w:tcPr>
            <w:tcW w:w="1656" w:type="dxa"/>
            <w:tcBorders>
              <w:top w:val="single" w:sz="6" w:space="0" w:color="000000"/>
              <w:left w:val="single" w:sz="6" w:space="0" w:color="000000"/>
              <w:bottom w:val="single" w:sz="6" w:space="0" w:color="000000"/>
              <w:right w:val="single" w:sz="6" w:space="0" w:color="000000"/>
            </w:tcBorders>
          </w:tcPr>
          <w:p w14:paraId="2EA8E574" w14:textId="77777777" w:rsidR="00686116" w:rsidRPr="002A3533" w:rsidRDefault="00944B8F" w:rsidP="00271199">
            <w:pPr>
              <w:keepLines/>
              <w:tabs>
                <w:tab w:val="clear" w:pos="562"/>
                <w:tab w:val="left" w:pos="-1080"/>
              </w:tabs>
              <w:suppressAutoHyphens w:val="0"/>
              <w:autoSpaceDE w:val="0"/>
              <w:autoSpaceDN w:val="0"/>
              <w:adjustRightInd w:val="0"/>
              <w:ind w:left="15"/>
              <w:jc w:val="center"/>
            </w:pPr>
            <w:r w:rsidRPr="002A3533">
              <w:rPr>
                <w:szCs w:val="22"/>
              </w:rPr>
              <w:t>30.0%</w:t>
            </w:r>
          </w:p>
        </w:tc>
        <w:tc>
          <w:tcPr>
            <w:tcW w:w="1619" w:type="dxa"/>
            <w:tcBorders>
              <w:top w:val="single" w:sz="6" w:space="0" w:color="000000"/>
              <w:left w:val="single" w:sz="6" w:space="0" w:color="000000"/>
              <w:bottom w:val="single" w:sz="6" w:space="0" w:color="000000"/>
              <w:right w:val="single" w:sz="6" w:space="0" w:color="000000"/>
            </w:tcBorders>
          </w:tcPr>
          <w:p w14:paraId="2077608B" w14:textId="77777777" w:rsidR="00686116" w:rsidRPr="002A3533" w:rsidRDefault="00944B8F" w:rsidP="00271199">
            <w:pPr>
              <w:keepLines/>
              <w:tabs>
                <w:tab w:val="clear" w:pos="562"/>
                <w:tab w:val="left" w:pos="-1080"/>
              </w:tabs>
              <w:suppressAutoHyphens w:val="0"/>
              <w:autoSpaceDE w:val="0"/>
              <w:autoSpaceDN w:val="0"/>
              <w:adjustRightInd w:val="0"/>
              <w:ind w:left="15"/>
              <w:jc w:val="center"/>
            </w:pPr>
            <w:r w:rsidRPr="002A3533">
              <w:rPr>
                <w:szCs w:val="22"/>
              </w:rPr>
              <w:t>29.8%</w:t>
            </w:r>
          </w:p>
        </w:tc>
        <w:tc>
          <w:tcPr>
            <w:tcW w:w="1140" w:type="dxa"/>
            <w:tcBorders>
              <w:top w:val="single" w:sz="6" w:space="0" w:color="000000"/>
              <w:left w:val="single" w:sz="6" w:space="0" w:color="000000"/>
              <w:bottom w:val="single" w:sz="6" w:space="0" w:color="000000"/>
              <w:right w:val="single" w:sz="6" w:space="0" w:color="000000"/>
            </w:tcBorders>
          </w:tcPr>
          <w:p w14:paraId="1EBF8053" w14:textId="77777777" w:rsidR="00686116" w:rsidRPr="002A3533" w:rsidRDefault="00944B8F" w:rsidP="00271199">
            <w:pPr>
              <w:keepLines/>
              <w:tabs>
                <w:tab w:val="clear" w:pos="562"/>
                <w:tab w:val="left" w:pos="-1080"/>
              </w:tabs>
              <w:suppressAutoHyphens w:val="0"/>
              <w:autoSpaceDE w:val="0"/>
              <w:autoSpaceDN w:val="0"/>
              <w:adjustRightInd w:val="0"/>
              <w:ind w:left="15"/>
              <w:jc w:val="center"/>
            </w:pPr>
            <w:r w:rsidRPr="002A3533">
              <w:rPr>
                <w:szCs w:val="22"/>
              </w:rPr>
              <w:t>0.983</w:t>
            </w:r>
          </w:p>
        </w:tc>
      </w:tr>
      <w:tr w:rsidR="00C6578C" w14:paraId="62B371D5" w14:textId="77777777" w:rsidTr="00271199">
        <w:trPr>
          <w:jc w:val="center"/>
        </w:trPr>
        <w:tc>
          <w:tcPr>
            <w:tcW w:w="4025" w:type="dxa"/>
            <w:tcBorders>
              <w:top w:val="single" w:sz="6" w:space="0" w:color="000000"/>
              <w:left w:val="single" w:sz="6" w:space="0" w:color="000000"/>
              <w:bottom w:val="single" w:sz="6" w:space="0" w:color="000000"/>
              <w:right w:val="single" w:sz="6" w:space="0" w:color="000000"/>
            </w:tcBorders>
          </w:tcPr>
          <w:p w14:paraId="390B72D8" w14:textId="77777777" w:rsidR="00686116" w:rsidRPr="002A3533" w:rsidRDefault="00944B8F" w:rsidP="00271199">
            <w:pPr>
              <w:keepLines/>
              <w:tabs>
                <w:tab w:val="clear" w:pos="562"/>
                <w:tab w:val="left" w:pos="-1080"/>
              </w:tabs>
              <w:suppressAutoHyphens w:val="0"/>
              <w:autoSpaceDE w:val="0"/>
              <w:autoSpaceDN w:val="0"/>
              <w:adjustRightInd w:val="0"/>
              <w:rPr>
                <w:b/>
                <w:bCs/>
              </w:rPr>
            </w:pPr>
            <w:r w:rsidRPr="002A3533">
              <w:rPr>
                <w:b/>
              </w:rPr>
              <w:t>Fistula remission</w:t>
            </w:r>
            <w:r w:rsidRPr="002A3533">
              <w:rPr>
                <w:b/>
                <w:vertAlign w:val="superscript"/>
              </w:rPr>
              <w:t>3</w:t>
            </w:r>
          </w:p>
        </w:tc>
        <w:tc>
          <w:tcPr>
            <w:tcW w:w="1656" w:type="dxa"/>
            <w:tcBorders>
              <w:top w:val="single" w:sz="6" w:space="0" w:color="000000"/>
              <w:left w:val="single" w:sz="6" w:space="0" w:color="000000"/>
              <w:bottom w:val="single" w:sz="6" w:space="0" w:color="000000"/>
              <w:right w:val="single" w:sz="6" w:space="0" w:color="000000"/>
            </w:tcBorders>
          </w:tcPr>
          <w:p w14:paraId="07419D5E" w14:textId="77777777" w:rsidR="00686116" w:rsidRPr="002A3533" w:rsidRDefault="00944B8F" w:rsidP="00271199">
            <w:pPr>
              <w:keepLines/>
              <w:tabs>
                <w:tab w:val="clear" w:pos="562"/>
                <w:tab w:val="left" w:pos="-1080"/>
              </w:tabs>
              <w:suppressAutoHyphens w:val="0"/>
              <w:autoSpaceDE w:val="0"/>
              <w:autoSpaceDN w:val="0"/>
              <w:adjustRightInd w:val="0"/>
              <w:ind w:left="15"/>
              <w:jc w:val="center"/>
            </w:pPr>
            <w:r w:rsidRPr="002A3533">
              <w:rPr>
                <w:b/>
                <w:szCs w:val="22"/>
              </w:rPr>
              <w:t>N=15</w:t>
            </w:r>
          </w:p>
        </w:tc>
        <w:tc>
          <w:tcPr>
            <w:tcW w:w="1619" w:type="dxa"/>
            <w:tcBorders>
              <w:top w:val="single" w:sz="6" w:space="0" w:color="000000"/>
              <w:left w:val="single" w:sz="6" w:space="0" w:color="000000"/>
              <w:bottom w:val="single" w:sz="6" w:space="0" w:color="000000"/>
              <w:right w:val="single" w:sz="6" w:space="0" w:color="000000"/>
            </w:tcBorders>
          </w:tcPr>
          <w:p w14:paraId="7B3ECAE7" w14:textId="77777777" w:rsidR="00686116" w:rsidRPr="002A3533" w:rsidRDefault="00944B8F" w:rsidP="00271199">
            <w:pPr>
              <w:keepLines/>
              <w:tabs>
                <w:tab w:val="clear" w:pos="562"/>
                <w:tab w:val="left" w:pos="-1080"/>
              </w:tabs>
              <w:suppressAutoHyphens w:val="0"/>
              <w:autoSpaceDE w:val="0"/>
              <w:autoSpaceDN w:val="0"/>
              <w:adjustRightInd w:val="0"/>
              <w:ind w:left="15"/>
              <w:jc w:val="center"/>
            </w:pPr>
            <w:r w:rsidRPr="002A3533">
              <w:rPr>
                <w:b/>
                <w:szCs w:val="22"/>
              </w:rPr>
              <w:t>N=21</w:t>
            </w:r>
          </w:p>
        </w:tc>
        <w:tc>
          <w:tcPr>
            <w:tcW w:w="1140" w:type="dxa"/>
            <w:tcBorders>
              <w:top w:val="single" w:sz="6" w:space="0" w:color="000000"/>
              <w:left w:val="single" w:sz="6" w:space="0" w:color="000000"/>
              <w:bottom w:val="single" w:sz="6" w:space="0" w:color="000000"/>
              <w:right w:val="single" w:sz="6" w:space="0" w:color="000000"/>
            </w:tcBorders>
          </w:tcPr>
          <w:p w14:paraId="32FB031E" w14:textId="77777777" w:rsidR="00686116" w:rsidRPr="002A3533" w:rsidRDefault="00686116" w:rsidP="00271199">
            <w:pPr>
              <w:keepLines/>
              <w:tabs>
                <w:tab w:val="clear" w:pos="562"/>
                <w:tab w:val="left" w:pos="-1080"/>
              </w:tabs>
              <w:suppressAutoHyphens w:val="0"/>
              <w:autoSpaceDE w:val="0"/>
              <w:autoSpaceDN w:val="0"/>
              <w:adjustRightInd w:val="0"/>
              <w:ind w:left="15"/>
              <w:jc w:val="center"/>
            </w:pPr>
          </w:p>
        </w:tc>
      </w:tr>
      <w:tr w:rsidR="00C6578C" w14:paraId="5E2E845B" w14:textId="77777777" w:rsidTr="00271199">
        <w:trPr>
          <w:jc w:val="center"/>
        </w:trPr>
        <w:tc>
          <w:tcPr>
            <w:tcW w:w="4025" w:type="dxa"/>
            <w:tcBorders>
              <w:top w:val="single" w:sz="6" w:space="0" w:color="000000"/>
              <w:left w:val="single" w:sz="6" w:space="0" w:color="000000"/>
              <w:bottom w:val="single" w:sz="6" w:space="0" w:color="000000"/>
              <w:right w:val="single" w:sz="6" w:space="0" w:color="000000"/>
            </w:tcBorders>
          </w:tcPr>
          <w:p w14:paraId="1922F3B7" w14:textId="77777777" w:rsidR="00686116" w:rsidRPr="002A3533" w:rsidRDefault="00944B8F" w:rsidP="00271199">
            <w:pPr>
              <w:keepLines/>
              <w:tabs>
                <w:tab w:val="clear" w:pos="562"/>
                <w:tab w:val="left" w:pos="-1080"/>
              </w:tabs>
              <w:suppressAutoHyphens w:val="0"/>
              <w:autoSpaceDE w:val="0"/>
              <w:autoSpaceDN w:val="0"/>
              <w:adjustRightInd w:val="0"/>
              <w:rPr>
                <w:bCs/>
              </w:rPr>
            </w:pPr>
            <w:r w:rsidRPr="002A3533">
              <w:rPr>
                <w:bCs/>
                <w:szCs w:val="22"/>
              </w:rPr>
              <w:t>Week 26</w:t>
            </w:r>
          </w:p>
        </w:tc>
        <w:tc>
          <w:tcPr>
            <w:tcW w:w="1656" w:type="dxa"/>
            <w:tcBorders>
              <w:top w:val="single" w:sz="6" w:space="0" w:color="000000"/>
              <w:left w:val="single" w:sz="6" w:space="0" w:color="000000"/>
              <w:bottom w:val="single" w:sz="6" w:space="0" w:color="000000"/>
              <w:right w:val="single" w:sz="6" w:space="0" w:color="000000"/>
            </w:tcBorders>
          </w:tcPr>
          <w:p w14:paraId="6CEC6634" w14:textId="77777777" w:rsidR="00686116" w:rsidRPr="002A3533" w:rsidRDefault="00944B8F" w:rsidP="00271199">
            <w:pPr>
              <w:keepLines/>
              <w:tabs>
                <w:tab w:val="clear" w:pos="562"/>
                <w:tab w:val="left" w:pos="-1080"/>
              </w:tabs>
              <w:suppressAutoHyphens w:val="0"/>
              <w:autoSpaceDE w:val="0"/>
              <w:autoSpaceDN w:val="0"/>
              <w:adjustRightInd w:val="0"/>
              <w:ind w:left="15"/>
              <w:jc w:val="center"/>
            </w:pPr>
            <w:r w:rsidRPr="002A3533">
              <w:t>46.7%</w:t>
            </w:r>
          </w:p>
        </w:tc>
        <w:tc>
          <w:tcPr>
            <w:tcW w:w="1619" w:type="dxa"/>
            <w:tcBorders>
              <w:top w:val="single" w:sz="6" w:space="0" w:color="000000"/>
              <w:left w:val="single" w:sz="6" w:space="0" w:color="000000"/>
              <w:bottom w:val="single" w:sz="6" w:space="0" w:color="000000"/>
              <w:right w:val="single" w:sz="6" w:space="0" w:color="000000"/>
            </w:tcBorders>
          </w:tcPr>
          <w:p w14:paraId="4419D7F8" w14:textId="77777777" w:rsidR="00686116" w:rsidRPr="002A3533" w:rsidRDefault="00944B8F" w:rsidP="00271199">
            <w:pPr>
              <w:keepLines/>
              <w:tabs>
                <w:tab w:val="clear" w:pos="562"/>
                <w:tab w:val="left" w:pos="-1080"/>
              </w:tabs>
              <w:suppressAutoHyphens w:val="0"/>
              <w:autoSpaceDE w:val="0"/>
              <w:autoSpaceDN w:val="0"/>
              <w:adjustRightInd w:val="0"/>
              <w:ind w:left="15"/>
              <w:jc w:val="center"/>
            </w:pPr>
            <w:r w:rsidRPr="002A3533">
              <w:t>38.1%</w:t>
            </w:r>
          </w:p>
        </w:tc>
        <w:tc>
          <w:tcPr>
            <w:tcW w:w="1140" w:type="dxa"/>
            <w:tcBorders>
              <w:top w:val="single" w:sz="6" w:space="0" w:color="000000"/>
              <w:left w:val="single" w:sz="6" w:space="0" w:color="000000"/>
              <w:bottom w:val="single" w:sz="6" w:space="0" w:color="000000"/>
              <w:right w:val="single" w:sz="6" w:space="0" w:color="000000"/>
            </w:tcBorders>
          </w:tcPr>
          <w:p w14:paraId="2E7F2155" w14:textId="77777777" w:rsidR="00686116" w:rsidRPr="002A3533" w:rsidRDefault="00944B8F" w:rsidP="00271199">
            <w:pPr>
              <w:keepLines/>
              <w:tabs>
                <w:tab w:val="clear" w:pos="562"/>
                <w:tab w:val="left" w:pos="-1080"/>
              </w:tabs>
              <w:suppressAutoHyphens w:val="0"/>
              <w:autoSpaceDE w:val="0"/>
              <w:autoSpaceDN w:val="0"/>
              <w:adjustRightInd w:val="0"/>
              <w:ind w:left="15"/>
              <w:jc w:val="center"/>
            </w:pPr>
            <w:r w:rsidRPr="002A3533">
              <w:t>0.608</w:t>
            </w:r>
          </w:p>
        </w:tc>
      </w:tr>
      <w:tr w:rsidR="00C6578C" w14:paraId="68224287" w14:textId="77777777" w:rsidTr="00271199">
        <w:trPr>
          <w:jc w:val="center"/>
        </w:trPr>
        <w:tc>
          <w:tcPr>
            <w:tcW w:w="4025" w:type="dxa"/>
            <w:tcBorders>
              <w:top w:val="single" w:sz="6" w:space="0" w:color="000000"/>
              <w:left w:val="single" w:sz="6" w:space="0" w:color="000000"/>
              <w:bottom w:val="single" w:sz="4" w:space="0" w:color="auto"/>
              <w:right w:val="single" w:sz="6" w:space="0" w:color="000000"/>
            </w:tcBorders>
          </w:tcPr>
          <w:p w14:paraId="39988607" w14:textId="77777777" w:rsidR="00686116" w:rsidRPr="002A3533" w:rsidRDefault="00944B8F" w:rsidP="00271199">
            <w:pPr>
              <w:keepLines/>
              <w:tabs>
                <w:tab w:val="clear" w:pos="562"/>
                <w:tab w:val="left" w:pos="-1080"/>
              </w:tabs>
              <w:suppressAutoHyphens w:val="0"/>
              <w:autoSpaceDE w:val="0"/>
              <w:autoSpaceDN w:val="0"/>
              <w:adjustRightInd w:val="0"/>
              <w:rPr>
                <w:bCs/>
              </w:rPr>
            </w:pPr>
            <w:r w:rsidRPr="002A3533">
              <w:t>Week 52</w:t>
            </w:r>
          </w:p>
        </w:tc>
        <w:tc>
          <w:tcPr>
            <w:tcW w:w="1656" w:type="dxa"/>
            <w:tcBorders>
              <w:top w:val="single" w:sz="6" w:space="0" w:color="000000"/>
              <w:left w:val="single" w:sz="6" w:space="0" w:color="000000"/>
              <w:bottom w:val="single" w:sz="4" w:space="0" w:color="auto"/>
              <w:right w:val="single" w:sz="6" w:space="0" w:color="000000"/>
            </w:tcBorders>
          </w:tcPr>
          <w:p w14:paraId="2B5A94C2" w14:textId="77777777" w:rsidR="00686116" w:rsidRPr="002A3533" w:rsidRDefault="00944B8F" w:rsidP="00271199">
            <w:pPr>
              <w:keepLines/>
              <w:tabs>
                <w:tab w:val="clear" w:pos="562"/>
                <w:tab w:val="left" w:pos="-1080"/>
              </w:tabs>
              <w:suppressAutoHyphens w:val="0"/>
              <w:autoSpaceDE w:val="0"/>
              <w:autoSpaceDN w:val="0"/>
              <w:adjustRightInd w:val="0"/>
              <w:ind w:left="15"/>
              <w:jc w:val="center"/>
            </w:pPr>
            <w:r w:rsidRPr="002A3533">
              <w:t>40.0%</w:t>
            </w:r>
          </w:p>
        </w:tc>
        <w:tc>
          <w:tcPr>
            <w:tcW w:w="1619" w:type="dxa"/>
            <w:tcBorders>
              <w:top w:val="single" w:sz="6" w:space="0" w:color="000000"/>
              <w:left w:val="single" w:sz="6" w:space="0" w:color="000000"/>
              <w:bottom w:val="single" w:sz="4" w:space="0" w:color="auto"/>
              <w:right w:val="single" w:sz="6" w:space="0" w:color="000000"/>
            </w:tcBorders>
          </w:tcPr>
          <w:p w14:paraId="4D09A4A0" w14:textId="77777777" w:rsidR="00686116" w:rsidRPr="002A3533" w:rsidRDefault="00944B8F" w:rsidP="00271199">
            <w:pPr>
              <w:keepLines/>
              <w:tabs>
                <w:tab w:val="clear" w:pos="562"/>
                <w:tab w:val="left" w:pos="-1080"/>
              </w:tabs>
              <w:suppressAutoHyphens w:val="0"/>
              <w:autoSpaceDE w:val="0"/>
              <w:autoSpaceDN w:val="0"/>
              <w:adjustRightInd w:val="0"/>
              <w:ind w:left="15"/>
              <w:jc w:val="center"/>
            </w:pPr>
            <w:r w:rsidRPr="002A3533">
              <w:t>23.8%</w:t>
            </w:r>
          </w:p>
        </w:tc>
        <w:tc>
          <w:tcPr>
            <w:tcW w:w="1140" w:type="dxa"/>
            <w:tcBorders>
              <w:top w:val="single" w:sz="6" w:space="0" w:color="000000"/>
              <w:left w:val="single" w:sz="6" w:space="0" w:color="000000"/>
              <w:bottom w:val="single" w:sz="4" w:space="0" w:color="auto"/>
              <w:right w:val="single" w:sz="6" w:space="0" w:color="000000"/>
            </w:tcBorders>
          </w:tcPr>
          <w:p w14:paraId="05FD7947" w14:textId="77777777" w:rsidR="00686116" w:rsidRPr="002A3533" w:rsidRDefault="00944B8F" w:rsidP="00271199">
            <w:pPr>
              <w:keepLines/>
              <w:tabs>
                <w:tab w:val="clear" w:pos="562"/>
                <w:tab w:val="left" w:pos="-1080"/>
              </w:tabs>
              <w:suppressAutoHyphens w:val="0"/>
              <w:autoSpaceDE w:val="0"/>
              <w:autoSpaceDN w:val="0"/>
              <w:adjustRightInd w:val="0"/>
              <w:ind w:left="15"/>
              <w:jc w:val="center"/>
            </w:pPr>
            <w:r w:rsidRPr="002A3533">
              <w:t>0.303</w:t>
            </w:r>
          </w:p>
        </w:tc>
      </w:tr>
      <w:tr w:rsidR="00C6578C" w14:paraId="3676F810" w14:textId="77777777" w:rsidTr="00271199">
        <w:trPr>
          <w:trHeight w:val="177"/>
          <w:jc w:val="center"/>
        </w:trPr>
        <w:tc>
          <w:tcPr>
            <w:tcW w:w="8440" w:type="dxa"/>
            <w:gridSpan w:val="4"/>
            <w:tcBorders>
              <w:top w:val="single" w:sz="4" w:space="0" w:color="auto"/>
            </w:tcBorders>
          </w:tcPr>
          <w:p w14:paraId="055F158E" w14:textId="77777777" w:rsidR="00686116" w:rsidRPr="002A3533" w:rsidRDefault="00944B8F" w:rsidP="00271199">
            <w:pPr>
              <w:keepLines/>
              <w:tabs>
                <w:tab w:val="clear" w:pos="562"/>
                <w:tab w:val="left" w:pos="-1080"/>
              </w:tabs>
              <w:suppressAutoHyphens w:val="0"/>
              <w:autoSpaceDE w:val="0"/>
              <w:autoSpaceDN w:val="0"/>
              <w:adjustRightInd w:val="0"/>
            </w:pPr>
            <w:r w:rsidRPr="002A3533">
              <w:rPr>
                <w:szCs w:val="22"/>
                <w:vertAlign w:val="superscript"/>
              </w:rPr>
              <w:t>1</w:t>
            </w:r>
            <w:r w:rsidRPr="002A3533">
              <w:rPr>
                <w:szCs w:val="22"/>
              </w:rPr>
              <w:t xml:space="preserve">  p value for Standard Dose </w:t>
            </w:r>
            <w:r w:rsidRPr="002A3533">
              <w:rPr>
                <w:i/>
                <w:iCs/>
                <w:szCs w:val="22"/>
              </w:rPr>
              <w:t>versus</w:t>
            </w:r>
            <w:r w:rsidRPr="002A3533">
              <w:rPr>
                <w:szCs w:val="22"/>
              </w:rPr>
              <w:t xml:space="preserve"> Low Dose comparison.</w:t>
            </w:r>
          </w:p>
          <w:p w14:paraId="2BCA9A44" w14:textId="77777777" w:rsidR="00686116" w:rsidRPr="002A3533" w:rsidRDefault="00944B8F" w:rsidP="00271199">
            <w:pPr>
              <w:keepLines/>
              <w:tabs>
                <w:tab w:val="clear" w:pos="562"/>
                <w:tab w:val="left" w:pos="-1080"/>
              </w:tabs>
              <w:suppressAutoHyphens w:val="0"/>
              <w:autoSpaceDE w:val="0"/>
              <w:autoSpaceDN w:val="0"/>
              <w:adjustRightInd w:val="0"/>
            </w:pPr>
            <w:r w:rsidRPr="002A3533">
              <w:rPr>
                <w:szCs w:val="22"/>
                <w:vertAlign w:val="superscript"/>
              </w:rPr>
              <w:t>2</w:t>
            </w:r>
            <w:r w:rsidRPr="002A3533">
              <w:rPr>
                <w:szCs w:val="22"/>
              </w:rPr>
              <w:t xml:space="preserve">  Immunosuppressant therapy could only be discontinued at or after Week 26 at the investigator's discretion if the subject met the clinical response criterion </w:t>
            </w:r>
          </w:p>
          <w:p w14:paraId="168CE697" w14:textId="77777777" w:rsidR="00686116" w:rsidRPr="002A3533" w:rsidRDefault="00944B8F" w:rsidP="00271199">
            <w:pPr>
              <w:keepLines/>
              <w:tabs>
                <w:tab w:val="clear" w:pos="562"/>
                <w:tab w:val="left" w:pos="-1080"/>
              </w:tabs>
              <w:suppressAutoHyphens w:val="0"/>
              <w:autoSpaceDE w:val="0"/>
              <w:autoSpaceDN w:val="0"/>
              <w:adjustRightInd w:val="0"/>
            </w:pPr>
            <w:r w:rsidRPr="002A3533">
              <w:rPr>
                <w:szCs w:val="22"/>
                <w:vertAlign w:val="superscript"/>
              </w:rPr>
              <w:lastRenderedPageBreak/>
              <w:t>3</w:t>
            </w:r>
            <w:r w:rsidRPr="002A3533">
              <w:rPr>
                <w:szCs w:val="22"/>
              </w:rPr>
              <w:t xml:space="preserve"> defined as a closure of all fistulas that were draining at Baseline for at least 2 consecutive post-Baseline visits</w:t>
            </w:r>
          </w:p>
        </w:tc>
      </w:tr>
    </w:tbl>
    <w:p w14:paraId="0D17430D" w14:textId="77777777" w:rsidR="00686116" w:rsidRPr="002A3533" w:rsidRDefault="00686116" w:rsidP="00686116">
      <w:pPr>
        <w:tabs>
          <w:tab w:val="left" w:pos="1294"/>
        </w:tabs>
        <w:autoSpaceDE w:val="0"/>
        <w:autoSpaceDN w:val="0"/>
        <w:adjustRightInd w:val="0"/>
        <w:rPr>
          <w:szCs w:val="22"/>
        </w:rPr>
      </w:pPr>
    </w:p>
    <w:p w14:paraId="5073F6E7" w14:textId="77777777" w:rsidR="00686116" w:rsidRPr="002A3533" w:rsidRDefault="00944B8F" w:rsidP="00686116">
      <w:pPr>
        <w:pStyle w:val="EMEANormal"/>
        <w:rPr>
          <w:szCs w:val="22"/>
          <w:lang w:val="en-GB"/>
        </w:rPr>
      </w:pPr>
      <w:r w:rsidRPr="002A3533">
        <w:t>Statistically significant</w:t>
      </w:r>
      <w:r w:rsidRPr="002A3533">
        <w:rPr>
          <w:szCs w:val="22"/>
          <w:lang w:val="en-GB"/>
        </w:rPr>
        <w:t xml:space="preserve"> increases (improvement) from Baseline to Week 26 and 52 in Body Mass Index and height velocity were observed for both treatment groups.</w:t>
      </w:r>
    </w:p>
    <w:p w14:paraId="0BD3EA11" w14:textId="77777777" w:rsidR="00686116" w:rsidRPr="002A3533" w:rsidRDefault="00686116" w:rsidP="00686116">
      <w:pPr>
        <w:pStyle w:val="EMEANormal"/>
        <w:rPr>
          <w:lang w:val="en-GB"/>
        </w:rPr>
      </w:pPr>
    </w:p>
    <w:p w14:paraId="5BC7421A" w14:textId="77777777" w:rsidR="00686116" w:rsidRPr="002A3533" w:rsidRDefault="00944B8F" w:rsidP="00686116">
      <w:pPr>
        <w:pStyle w:val="EMEANormal"/>
        <w:rPr>
          <w:lang w:val="en-GB"/>
        </w:rPr>
      </w:pPr>
      <w:r w:rsidRPr="002A3533">
        <w:rPr>
          <w:bCs/>
          <w:szCs w:val="22"/>
        </w:rPr>
        <w:t>Statistically and clinically significant improvements from Baseline were also observed in both treatment groups for quality of life parameters (including IMPACT III)</w:t>
      </w:r>
      <w:r w:rsidRPr="002A3533">
        <w:rPr>
          <w:lang w:val="en-GB"/>
        </w:rPr>
        <w:t>.</w:t>
      </w:r>
    </w:p>
    <w:p w14:paraId="063FB491" w14:textId="77777777" w:rsidR="00686116" w:rsidRDefault="00686116" w:rsidP="00686116">
      <w:pPr>
        <w:pStyle w:val="EMEANormal"/>
      </w:pPr>
    </w:p>
    <w:p w14:paraId="54FEDF57" w14:textId="77777777" w:rsidR="00686116" w:rsidRDefault="00944B8F" w:rsidP="00686116">
      <w:pPr>
        <w:pStyle w:val="EMEANormal"/>
      </w:pPr>
      <w:r w:rsidRPr="70D4D675">
        <w:rPr>
          <w:lang w:val="en-GB"/>
        </w:rPr>
        <w:t>One hundred patients (n=100) from the Paediatric CD Study continued in an open-label long-term extension study. After 5 years of adalimumab therapy, 74.0% (37/50) of the 50 patients remaining in the study continued to be in clinical remission, and 92.0% (46/50) of patients continued to be in clinical response per PCDAI.</w:t>
      </w:r>
    </w:p>
    <w:p w14:paraId="50CADD14" w14:textId="77777777" w:rsidR="00686116" w:rsidRDefault="00686116" w:rsidP="00AB3BE8">
      <w:pPr>
        <w:pStyle w:val="EMEANormal"/>
        <w:rPr>
          <w:szCs w:val="22"/>
          <w:lang w:val="en-GB" w:eastAsia="en-GB"/>
        </w:rPr>
      </w:pPr>
    </w:p>
    <w:p w14:paraId="11902541" w14:textId="77777777" w:rsidR="00686116" w:rsidRPr="00DB5631" w:rsidRDefault="00944B8F" w:rsidP="00686116">
      <w:pPr>
        <w:pStyle w:val="Heading1"/>
        <w:keepNext/>
        <w:spacing w:before="0" w:after="0"/>
        <w:ind w:left="360" w:hanging="360"/>
        <w:rPr>
          <w:rFonts w:ascii="Times New Roman" w:hAnsi="Times New Roman"/>
          <w:b w:val="0"/>
          <w:bCs w:val="0"/>
          <w:i/>
          <w:kern w:val="0"/>
          <w:sz w:val="22"/>
          <w:szCs w:val="20"/>
        </w:rPr>
      </w:pPr>
      <w:r w:rsidRPr="000653BE">
        <w:rPr>
          <w:rFonts w:ascii="Times New Roman" w:hAnsi="Times New Roman"/>
          <w:b w:val="0"/>
          <w:bCs w:val="0"/>
          <w:i/>
          <w:kern w:val="0"/>
          <w:sz w:val="22"/>
          <w:szCs w:val="20"/>
        </w:rPr>
        <w:t>P</w:t>
      </w:r>
      <w:r w:rsidRPr="00DB5631">
        <w:rPr>
          <w:rFonts w:ascii="Times New Roman" w:hAnsi="Times New Roman"/>
          <w:b w:val="0"/>
          <w:bCs w:val="0"/>
          <w:i/>
          <w:kern w:val="0"/>
          <w:sz w:val="22"/>
          <w:szCs w:val="20"/>
        </w:rPr>
        <w:t xml:space="preserve">aediatric Uveitis </w:t>
      </w:r>
    </w:p>
    <w:p w14:paraId="61F1F20C" w14:textId="77777777" w:rsidR="00686116" w:rsidRPr="00D476F6" w:rsidRDefault="00686116" w:rsidP="00686116">
      <w:pPr>
        <w:pStyle w:val="gtcbodytext"/>
        <w:spacing w:before="0" w:after="0" w:line="240" w:lineRule="auto"/>
        <w:rPr>
          <w:bCs/>
          <w:sz w:val="22"/>
          <w:szCs w:val="20"/>
        </w:rPr>
      </w:pPr>
    </w:p>
    <w:p w14:paraId="19DFA27C" w14:textId="77777777" w:rsidR="00686116" w:rsidRDefault="00944B8F" w:rsidP="00686116">
      <w:pPr>
        <w:pStyle w:val="gtcbodytext"/>
        <w:spacing w:before="0" w:after="0" w:line="240" w:lineRule="auto"/>
        <w:rPr>
          <w:bCs/>
          <w:sz w:val="22"/>
          <w:szCs w:val="20"/>
        </w:rPr>
      </w:pPr>
      <w:r w:rsidRPr="0065011C">
        <w:rPr>
          <w:bCs/>
          <w:sz w:val="22"/>
          <w:szCs w:val="20"/>
        </w:rPr>
        <w:t>The safety and efficacy of Humira was assessed in a randomized, double</w:t>
      </w:r>
      <w:r>
        <w:rPr>
          <w:bCs/>
          <w:sz w:val="22"/>
          <w:szCs w:val="20"/>
        </w:rPr>
        <w:noBreakHyphen/>
      </w:r>
      <w:r w:rsidRPr="008621DE">
        <w:rPr>
          <w:bCs/>
          <w:sz w:val="22"/>
          <w:szCs w:val="20"/>
        </w:rPr>
        <w:t>masked, controlled study of 90 p</w:t>
      </w:r>
      <w:r>
        <w:rPr>
          <w:bCs/>
          <w:sz w:val="22"/>
          <w:szCs w:val="20"/>
        </w:rPr>
        <w:t>a</w:t>
      </w:r>
      <w:r w:rsidRPr="008621DE">
        <w:rPr>
          <w:bCs/>
          <w:sz w:val="22"/>
          <w:szCs w:val="20"/>
        </w:rPr>
        <w:t>ediatric patients from 2</w:t>
      </w:r>
      <w:r>
        <w:rPr>
          <w:bCs/>
          <w:sz w:val="22"/>
          <w:szCs w:val="20"/>
        </w:rPr>
        <w:t> </w:t>
      </w:r>
      <w:r w:rsidRPr="008621DE">
        <w:rPr>
          <w:bCs/>
          <w:sz w:val="22"/>
          <w:szCs w:val="20"/>
        </w:rPr>
        <w:t>to</w:t>
      </w:r>
      <w:r>
        <w:rPr>
          <w:bCs/>
          <w:sz w:val="22"/>
          <w:szCs w:val="20"/>
        </w:rPr>
        <w:t> </w:t>
      </w:r>
      <w:r w:rsidRPr="008621DE">
        <w:rPr>
          <w:bCs/>
          <w:sz w:val="22"/>
          <w:szCs w:val="20"/>
        </w:rPr>
        <w:t>&lt;</w:t>
      </w:r>
      <w:r>
        <w:rPr>
          <w:bCs/>
          <w:sz w:val="22"/>
          <w:szCs w:val="20"/>
        </w:rPr>
        <w:t> </w:t>
      </w:r>
      <w:r w:rsidRPr="008621DE">
        <w:rPr>
          <w:bCs/>
          <w:sz w:val="22"/>
          <w:szCs w:val="20"/>
        </w:rPr>
        <w:t>18 years of age with active JIA-associated noninfectious anterior uveitis who were refractory to at least 12</w:t>
      </w:r>
      <w:r>
        <w:rPr>
          <w:bCs/>
          <w:sz w:val="22"/>
          <w:szCs w:val="20"/>
        </w:rPr>
        <w:t> </w:t>
      </w:r>
      <w:r w:rsidRPr="008621DE">
        <w:rPr>
          <w:bCs/>
          <w:sz w:val="22"/>
          <w:szCs w:val="20"/>
        </w:rPr>
        <w:t>weeks of methotrexate treatment. Patients received either placebo or 20</w:t>
      </w:r>
      <w:r>
        <w:rPr>
          <w:bCs/>
          <w:sz w:val="22"/>
          <w:szCs w:val="20"/>
        </w:rPr>
        <w:t> </w:t>
      </w:r>
      <w:r w:rsidRPr="008621DE">
        <w:rPr>
          <w:bCs/>
          <w:sz w:val="22"/>
          <w:szCs w:val="20"/>
        </w:rPr>
        <w:t>mg adalimumab (if</w:t>
      </w:r>
      <w:r>
        <w:rPr>
          <w:bCs/>
          <w:sz w:val="22"/>
          <w:szCs w:val="20"/>
        </w:rPr>
        <w:t> </w:t>
      </w:r>
      <w:r w:rsidRPr="008621DE">
        <w:rPr>
          <w:bCs/>
          <w:sz w:val="22"/>
          <w:szCs w:val="20"/>
        </w:rPr>
        <w:t>&lt;</w:t>
      </w:r>
      <w:r>
        <w:rPr>
          <w:bCs/>
          <w:sz w:val="22"/>
          <w:szCs w:val="20"/>
        </w:rPr>
        <w:t> </w:t>
      </w:r>
      <w:r w:rsidRPr="008621DE">
        <w:rPr>
          <w:bCs/>
          <w:sz w:val="22"/>
          <w:szCs w:val="20"/>
        </w:rPr>
        <w:t>30</w:t>
      </w:r>
      <w:r>
        <w:rPr>
          <w:bCs/>
          <w:sz w:val="22"/>
          <w:szCs w:val="20"/>
        </w:rPr>
        <w:t> </w:t>
      </w:r>
      <w:r w:rsidRPr="008621DE">
        <w:rPr>
          <w:bCs/>
          <w:sz w:val="22"/>
          <w:szCs w:val="20"/>
        </w:rPr>
        <w:t>kg) or 40</w:t>
      </w:r>
      <w:r>
        <w:rPr>
          <w:bCs/>
          <w:sz w:val="22"/>
          <w:szCs w:val="20"/>
        </w:rPr>
        <w:t> </w:t>
      </w:r>
      <w:r w:rsidRPr="008621DE">
        <w:rPr>
          <w:bCs/>
          <w:sz w:val="22"/>
          <w:szCs w:val="20"/>
        </w:rPr>
        <w:t>mg adalimumab (if</w:t>
      </w:r>
      <w:r>
        <w:rPr>
          <w:bCs/>
          <w:sz w:val="22"/>
          <w:szCs w:val="20"/>
        </w:rPr>
        <w:t> </w:t>
      </w:r>
      <w:r w:rsidRPr="008621DE">
        <w:rPr>
          <w:bCs/>
          <w:sz w:val="22"/>
          <w:szCs w:val="20"/>
        </w:rPr>
        <w:t>≥</w:t>
      </w:r>
      <w:r>
        <w:rPr>
          <w:bCs/>
          <w:sz w:val="22"/>
          <w:szCs w:val="20"/>
        </w:rPr>
        <w:t> </w:t>
      </w:r>
      <w:r w:rsidRPr="008621DE">
        <w:rPr>
          <w:bCs/>
          <w:sz w:val="22"/>
          <w:szCs w:val="20"/>
        </w:rPr>
        <w:t>30</w:t>
      </w:r>
      <w:r>
        <w:rPr>
          <w:bCs/>
          <w:sz w:val="22"/>
          <w:szCs w:val="20"/>
        </w:rPr>
        <w:t> </w:t>
      </w:r>
      <w:r w:rsidRPr="008621DE">
        <w:rPr>
          <w:bCs/>
          <w:sz w:val="22"/>
          <w:szCs w:val="20"/>
        </w:rPr>
        <w:t xml:space="preserve">kg) every other week in combination with their baseline dose of methotrexate. </w:t>
      </w:r>
    </w:p>
    <w:p w14:paraId="336926A5" w14:textId="77777777" w:rsidR="00686116" w:rsidRPr="008621DE" w:rsidRDefault="00686116" w:rsidP="00686116">
      <w:pPr>
        <w:pStyle w:val="gtcbodytext"/>
        <w:spacing w:before="0" w:after="0" w:line="240" w:lineRule="auto"/>
        <w:rPr>
          <w:bCs/>
          <w:sz w:val="22"/>
          <w:szCs w:val="20"/>
        </w:rPr>
      </w:pPr>
    </w:p>
    <w:p w14:paraId="63FC593D" w14:textId="77777777" w:rsidR="00686116" w:rsidRDefault="00944B8F" w:rsidP="00686116">
      <w:pPr>
        <w:pStyle w:val="gtcbodytext"/>
        <w:spacing w:before="0" w:after="0" w:line="240" w:lineRule="auto"/>
        <w:rPr>
          <w:bCs/>
          <w:sz w:val="22"/>
          <w:szCs w:val="20"/>
        </w:rPr>
      </w:pPr>
      <w:r w:rsidRPr="008621DE">
        <w:rPr>
          <w:bCs/>
          <w:sz w:val="22"/>
          <w:szCs w:val="20"/>
        </w:rPr>
        <w:t>The primary endpoint</w:t>
      </w:r>
      <w:r>
        <w:rPr>
          <w:bCs/>
          <w:sz w:val="22"/>
          <w:szCs w:val="20"/>
        </w:rPr>
        <w:t xml:space="preserve"> was ‘time to treatment failure</w:t>
      </w:r>
      <w:r w:rsidRPr="008621DE">
        <w:rPr>
          <w:bCs/>
          <w:sz w:val="22"/>
          <w:szCs w:val="20"/>
        </w:rPr>
        <w:t>’</w:t>
      </w:r>
      <w:r>
        <w:rPr>
          <w:bCs/>
          <w:sz w:val="22"/>
          <w:szCs w:val="20"/>
        </w:rPr>
        <w:t>.</w:t>
      </w:r>
      <w:r w:rsidRPr="008621DE">
        <w:rPr>
          <w:bCs/>
          <w:sz w:val="22"/>
          <w:szCs w:val="20"/>
        </w:rPr>
        <w:t xml:space="preserve"> The criteria determining treatment failure were worsening or sustained non-improvement in ocular inflammation, </w:t>
      </w:r>
      <w:r>
        <w:rPr>
          <w:bCs/>
          <w:sz w:val="22"/>
          <w:szCs w:val="20"/>
        </w:rPr>
        <w:t xml:space="preserve">partial improvement </w:t>
      </w:r>
      <w:r w:rsidRPr="008621DE">
        <w:rPr>
          <w:bCs/>
          <w:sz w:val="22"/>
          <w:szCs w:val="20"/>
        </w:rPr>
        <w:t>with development of sustained ocular co-morbidities or worsening of ocular co-morbidities, non-permitted use of concomitant medications, and suspension of treatment for an extended period of time.</w:t>
      </w:r>
    </w:p>
    <w:p w14:paraId="62F85612" w14:textId="77777777" w:rsidR="00686116" w:rsidRDefault="00686116" w:rsidP="00686116">
      <w:pPr>
        <w:pStyle w:val="gtcbodytext"/>
        <w:spacing w:before="0" w:after="0" w:line="240" w:lineRule="auto"/>
        <w:rPr>
          <w:bCs/>
          <w:sz w:val="22"/>
          <w:szCs w:val="20"/>
        </w:rPr>
      </w:pPr>
    </w:p>
    <w:p w14:paraId="6C0AD35E" w14:textId="77777777" w:rsidR="00686116" w:rsidRPr="00AA0C2F" w:rsidRDefault="00944B8F" w:rsidP="00686116">
      <w:pPr>
        <w:pStyle w:val="EMEAHeadingUnderline"/>
        <w:keepNext/>
        <w:spacing w:beforeLines="0" w:afterLines="0"/>
        <w:rPr>
          <w:i/>
          <w:lang w:val="en-GB"/>
        </w:rPr>
      </w:pPr>
      <w:r w:rsidRPr="00AA0C2F">
        <w:rPr>
          <w:i/>
          <w:lang w:val="en-GB"/>
        </w:rPr>
        <w:t>Clinical Response</w:t>
      </w:r>
    </w:p>
    <w:p w14:paraId="765BAD63" w14:textId="77777777" w:rsidR="00686116" w:rsidRDefault="00686116" w:rsidP="00686116">
      <w:pPr>
        <w:pStyle w:val="gtcbodytext"/>
        <w:keepNext/>
        <w:spacing w:before="0" w:after="0" w:line="240" w:lineRule="auto"/>
        <w:rPr>
          <w:i/>
          <w:u w:val="single"/>
        </w:rPr>
      </w:pPr>
    </w:p>
    <w:p w14:paraId="3617B310" w14:textId="77777777" w:rsidR="00686116" w:rsidRDefault="00944B8F" w:rsidP="00F043D5">
      <w:pPr>
        <w:pStyle w:val="gtcbodytext"/>
        <w:spacing w:before="0" w:after="0" w:line="240" w:lineRule="auto"/>
        <w:rPr>
          <w:bCs/>
          <w:sz w:val="22"/>
          <w:szCs w:val="20"/>
        </w:rPr>
      </w:pPr>
      <w:r w:rsidRPr="008621DE">
        <w:rPr>
          <w:bCs/>
          <w:sz w:val="22"/>
          <w:szCs w:val="20"/>
        </w:rPr>
        <w:t>Adalimumab significantly delayed the time to treatment failure, as c</w:t>
      </w:r>
      <w:r>
        <w:rPr>
          <w:bCs/>
          <w:sz w:val="22"/>
          <w:szCs w:val="20"/>
        </w:rPr>
        <w:t xml:space="preserve">ompared to placebo (See Figure </w:t>
      </w:r>
      <w:r w:rsidR="00A94350">
        <w:rPr>
          <w:bCs/>
          <w:sz w:val="22"/>
          <w:szCs w:val="20"/>
        </w:rPr>
        <w:t>2</w:t>
      </w:r>
      <w:r w:rsidRPr="008621DE">
        <w:rPr>
          <w:bCs/>
          <w:sz w:val="22"/>
          <w:szCs w:val="20"/>
        </w:rPr>
        <w:t>, P</w:t>
      </w:r>
      <w:r>
        <w:rPr>
          <w:bCs/>
          <w:sz w:val="22"/>
          <w:szCs w:val="20"/>
        </w:rPr>
        <w:t> </w:t>
      </w:r>
      <w:r w:rsidRPr="008621DE">
        <w:rPr>
          <w:bCs/>
          <w:sz w:val="22"/>
          <w:szCs w:val="20"/>
        </w:rPr>
        <w:t>&lt;</w:t>
      </w:r>
      <w:r>
        <w:rPr>
          <w:bCs/>
          <w:sz w:val="22"/>
          <w:szCs w:val="20"/>
        </w:rPr>
        <w:t> </w:t>
      </w:r>
      <w:r w:rsidRPr="008621DE">
        <w:rPr>
          <w:bCs/>
          <w:sz w:val="22"/>
          <w:szCs w:val="20"/>
        </w:rPr>
        <w:t xml:space="preserve">0.0001 from log rank test).The median time to treatment failure was </w:t>
      </w:r>
      <w:r>
        <w:rPr>
          <w:bCs/>
          <w:sz w:val="22"/>
          <w:szCs w:val="20"/>
        </w:rPr>
        <w:t>24.1 </w:t>
      </w:r>
      <w:r w:rsidRPr="008621DE">
        <w:rPr>
          <w:bCs/>
          <w:sz w:val="22"/>
          <w:szCs w:val="20"/>
        </w:rPr>
        <w:t>weeks for subjects treated with placebo, whereas the median time to treatment failure was not estimable for subjects treated with adalimumab because less than one-half of these subjects experienced treatment failure. Adalimumab</w:t>
      </w:r>
      <w:r w:rsidR="00481803">
        <w:rPr>
          <w:bCs/>
          <w:sz w:val="22"/>
          <w:szCs w:val="20"/>
        </w:rPr>
        <w:t xml:space="preserve"> </w:t>
      </w:r>
      <w:r w:rsidRPr="008621DE">
        <w:rPr>
          <w:bCs/>
          <w:sz w:val="22"/>
          <w:szCs w:val="20"/>
        </w:rPr>
        <w:t>significantly decreased the risk of treatment failure by 75% relative to placebo, as shown by the hazard ratio (HR = 0.25 [95% CI: 0.12, 0.49]).</w:t>
      </w:r>
    </w:p>
    <w:p w14:paraId="463D4FA5" w14:textId="77777777" w:rsidR="00686116" w:rsidRDefault="00686116" w:rsidP="00686116">
      <w:pPr>
        <w:pStyle w:val="gtcbodytext"/>
        <w:keepNext/>
        <w:spacing w:before="0" w:after="0" w:line="240" w:lineRule="auto"/>
        <w:rPr>
          <w:bCs/>
          <w:sz w:val="22"/>
          <w:szCs w:val="20"/>
        </w:rPr>
      </w:pPr>
    </w:p>
    <w:p w14:paraId="392536D2" w14:textId="77777777" w:rsidR="00686116" w:rsidRDefault="00944B8F" w:rsidP="00686116">
      <w:pPr>
        <w:pStyle w:val="gtcbodytext"/>
        <w:keepNext/>
        <w:spacing w:before="0" w:after="0" w:line="240" w:lineRule="auto"/>
        <w:rPr>
          <w:bCs/>
          <w:sz w:val="22"/>
          <w:szCs w:val="20"/>
        </w:rPr>
      </w:pPr>
      <w:r w:rsidRPr="000653BE">
        <w:rPr>
          <w:b/>
          <w:sz w:val="22"/>
          <w:szCs w:val="22"/>
        </w:rPr>
        <w:t xml:space="preserve">Figure </w:t>
      </w:r>
      <w:r w:rsidR="001A5C48">
        <w:rPr>
          <w:b/>
          <w:sz w:val="22"/>
          <w:szCs w:val="22"/>
        </w:rPr>
        <w:t>2</w:t>
      </w:r>
      <w:r w:rsidRPr="000653BE">
        <w:rPr>
          <w:b/>
          <w:sz w:val="22"/>
          <w:szCs w:val="22"/>
        </w:rPr>
        <w:t xml:space="preserve">: Kaplan-Meier Curves Summarizing Time to Treatment Failure in the Paediatric </w:t>
      </w:r>
      <w:r w:rsidRPr="00DB5631">
        <w:rPr>
          <w:b/>
          <w:sz w:val="22"/>
          <w:szCs w:val="22"/>
        </w:rPr>
        <w:t>Uveitis Study</w:t>
      </w:r>
    </w:p>
    <w:p w14:paraId="63B4F3DF" w14:textId="77777777" w:rsidR="00686116" w:rsidRPr="00DB5631" w:rsidRDefault="00686116" w:rsidP="00686116">
      <w:pPr>
        <w:pStyle w:val="gtcbodytext"/>
        <w:keepNext/>
        <w:spacing w:before="0" w:after="0"/>
        <w:jc w:val="center"/>
        <w:rPr>
          <w:b/>
          <w:sz w:val="22"/>
          <w:szCs w:val="22"/>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C6578C" w14:paraId="406A5E62" w14:textId="77777777" w:rsidTr="00271199">
        <w:trPr>
          <w:cantSplit/>
          <w:trHeight w:val="3806"/>
        </w:trPr>
        <w:tc>
          <w:tcPr>
            <w:tcW w:w="468" w:type="dxa"/>
            <w:textDirection w:val="btLr"/>
            <w:vAlign w:val="bottom"/>
          </w:tcPr>
          <w:p w14:paraId="2FFCAD32" w14:textId="77777777" w:rsidR="00686116" w:rsidRPr="000653BE" w:rsidRDefault="00944B8F" w:rsidP="00271199">
            <w:pPr>
              <w:pStyle w:val="EMEANormal"/>
              <w:keepNext/>
              <w:ind w:left="113" w:right="113"/>
              <w:jc w:val="center"/>
              <w:rPr>
                <w:b/>
                <w:szCs w:val="22"/>
              </w:rPr>
            </w:pPr>
            <w:r w:rsidRPr="000653BE">
              <w:rPr>
                <w:b/>
                <w:szCs w:val="22"/>
              </w:rPr>
              <w:t>PROBABILITY OF FAILING TREATMENT</w:t>
            </w:r>
          </w:p>
        </w:tc>
        <w:tc>
          <w:tcPr>
            <w:tcW w:w="8820" w:type="dxa"/>
            <w:gridSpan w:val="5"/>
            <w:vAlign w:val="bottom"/>
          </w:tcPr>
          <w:p w14:paraId="0B8D2252" w14:textId="77777777" w:rsidR="00686116" w:rsidRPr="00B720DC" w:rsidRDefault="00944B8F" w:rsidP="00271199">
            <w:pPr>
              <w:pStyle w:val="EMEANormal"/>
              <w:keepNext/>
              <w:rPr>
                <w:szCs w:val="22"/>
              </w:rPr>
            </w:pPr>
            <w:r>
              <w:rPr>
                <w:noProof/>
                <w:szCs w:val="22"/>
              </w:rPr>
              <w:drawing>
                <wp:inline distT="0" distB="0" distL="0" distR="0" wp14:anchorId="39B5CA27" wp14:editId="0E18FB95">
                  <wp:extent cx="5486400" cy="4556125"/>
                  <wp:effectExtent l="0" t="0" r="0" b="0"/>
                  <wp:docPr id="50" name="Picture 50"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 descr="Humira PED UV KM Curve REVISED 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486400" cy="4556125"/>
                          </a:xfrm>
                          <a:prstGeom prst="rect">
                            <a:avLst/>
                          </a:prstGeom>
                          <a:noFill/>
                          <a:ln>
                            <a:noFill/>
                          </a:ln>
                        </pic:spPr>
                      </pic:pic>
                    </a:graphicData>
                  </a:graphic>
                </wp:inline>
              </w:drawing>
            </w:r>
          </w:p>
        </w:tc>
      </w:tr>
      <w:tr w:rsidR="00C6578C" w14:paraId="02CBD332" w14:textId="77777777" w:rsidTr="00271199">
        <w:tc>
          <w:tcPr>
            <w:tcW w:w="468" w:type="dxa"/>
          </w:tcPr>
          <w:p w14:paraId="4BB3B117" w14:textId="77777777" w:rsidR="00686116" w:rsidRPr="00B720DC" w:rsidRDefault="00686116" w:rsidP="00271199">
            <w:pPr>
              <w:pStyle w:val="EMEANormal"/>
              <w:keepNext/>
              <w:rPr>
                <w:szCs w:val="22"/>
              </w:rPr>
            </w:pPr>
          </w:p>
        </w:tc>
        <w:tc>
          <w:tcPr>
            <w:tcW w:w="8820" w:type="dxa"/>
            <w:gridSpan w:val="5"/>
          </w:tcPr>
          <w:p w14:paraId="479D90E1" w14:textId="77777777" w:rsidR="00686116" w:rsidRPr="00B720DC" w:rsidRDefault="00944B8F" w:rsidP="00271199">
            <w:pPr>
              <w:pStyle w:val="EMEANormal"/>
              <w:keepNext/>
              <w:jc w:val="center"/>
              <w:rPr>
                <w:b/>
                <w:szCs w:val="22"/>
              </w:rPr>
            </w:pPr>
            <w:r w:rsidRPr="00B720DC">
              <w:rPr>
                <w:b/>
                <w:szCs w:val="22"/>
              </w:rPr>
              <w:t>TIME (</w:t>
            </w:r>
            <w:r>
              <w:rPr>
                <w:b/>
                <w:szCs w:val="22"/>
              </w:rPr>
              <w:t>WEEKS</w:t>
            </w:r>
            <w:r w:rsidRPr="00B720DC">
              <w:rPr>
                <w:b/>
                <w:szCs w:val="22"/>
              </w:rPr>
              <w:t>)</w:t>
            </w:r>
          </w:p>
        </w:tc>
      </w:tr>
      <w:tr w:rsidR="00C6578C" w14:paraId="2466EF98" w14:textId="77777777" w:rsidTr="00271199">
        <w:tc>
          <w:tcPr>
            <w:tcW w:w="468" w:type="dxa"/>
          </w:tcPr>
          <w:p w14:paraId="6071D544" w14:textId="77777777" w:rsidR="00686116" w:rsidRPr="00B720DC" w:rsidRDefault="00686116" w:rsidP="00271199">
            <w:pPr>
              <w:pStyle w:val="EMEANormal"/>
              <w:keepNext/>
              <w:rPr>
                <w:szCs w:val="22"/>
              </w:rPr>
            </w:pPr>
          </w:p>
        </w:tc>
        <w:tc>
          <w:tcPr>
            <w:tcW w:w="3510" w:type="dxa"/>
          </w:tcPr>
          <w:p w14:paraId="0A0F8313" w14:textId="77777777" w:rsidR="00686116" w:rsidRPr="00B720DC" w:rsidRDefault="00944B8F" w:rsidP="00271199">
            <w:pPr>
              <w:pStyle w:val="EMEANormal"/>
              <w:keepNext/>
              <w:rPr>
                <w:szCs w:val="22"/>
              </w:rPr>
            </w:pPr>
            <w:r>
              <w:rPr>
                <w:szCs w:val="22"/>
              </w:rPr>
              <w:t>Trea</w:t>
            </w:r>
            <w:r w:rsidRPr="00B720DC">
              <w:rPr>
                <w:szCs w:val="22"/>
              </w:rPr>
              <w:t>tment</w:t>
            </w:r>
          </w:p>
        </w:tc>
        <w:tc>
          <w:tcPr>
            <w:tcW w:w="1170" w:type="dxa"/>
            <w:vAlign w:val="bottom"/>
          </w:tcPr>
          <w:p w14:paraId="10243391" w14:textId="77777777" w:rsidR="00686116" w:rsidRPr="00B720DC" w:rsidRDefault="00944B8F" w:rsidP="00271199">
            <w:pPr>
              <w:pStyle w:val="EMEANormal"/>
              <w:keepNext/>
              <w:jc w:val="center"/>
              <w:rPr>
                <w:szCs w:val="22"/>
              </w:rPr>
            </w:pPr>
            <w:r>
              <w:rPr>
                <w:noProof/>
                <w:szCs w:val="22"/>
              </w:rPr>
              <w:drawing>
                <wp:inline distT="0" distB="0" distL="0" distR="0" wp14:anchorId="6F784C8E" wp14:editId="751DE416">
                  <wp:extent cx="461010" cy="119380"/>
                  <wp:effectExtent l="0" t="0" r="0" b="0"/>
                  <wp:docPr id="51" name="Picture 51"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 descr="Humira PED UV KM Curve 1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61010" cy="119380"/>
                          </a:xfrm>
                          <a:prstGeom prst="rect">
                            <a:avLst/>
                          </a:prstGeom>
                          <a:noFill/>
                          <a:ln>
                            <a:noFill/>
                          </a:ln>
                        </pic:spPr>
                      </pic:pic>
                    </a:graphicData>
                  </a:graphic>
                </wp:inline>
              </w:drawing>
            </w:r>
          </w:p>
        </w:tc>
        <w:tc>
          <w:tcPr>
            <w:tcW w:w="1350" w:type="dxa"/>
          </w:tcPr>
          <w:p w14:paraId="57DAF5F9" w14:textId="77777777" w:rsidR="00686116" w:rsidRPr="00B720DC" w:rsidRDefault="00944B8F" w:rsidP="00271199">
            <w:pPr>
              <w:pStyle w:val="EMEANormal"/>
              <w:keepNext/>
              <w:rPr>
                <w:szCs w:val="22"/>
              </w:rPr>
            </w:pPr>
            <w:r w:rsidRPr="00B720DC">
              <w:rPr>
                <w:szCs w:val="22"/>
              </w:rPr>
              <w:t>Placebo</w:t>
            </w:r>
          </w:p>
        </w:tc>
        <w:tc>
          <w:tcPr>
            <w:tcW w:w="900" w:type="dxa"/>
            <w:vAlign w:val="center"/>
          </w:tcPr>
          <w:p w14:paraId="061B496C" w14:textId="77777777" w:rsidR="00686116" w:rsidRPr="00B720DC" w:rsidRDefault="00944B8F" w:rsidP="00271199">
            <w:pPr>
              <w:pStyle w:val="EMEANormal"/>
              <w:keepNext/>
              <w:rPr>
                <w:szCs w:val="22"/>
              </w:rPr>
            </w:pPr>
            <w:r>
              <w:rPr>
                <w:noProof/>
                <w:szCs w:val="22"/>
              </w:rPr>
              <w:drawing>
                <wp:inline distT="0" distB="0" distL="0" distR="0" wp14:anchorId="16C40D9D" wp14:editId="7A4B0FFB">
                  <wp:extent cx="453390" cy="87630"/>
                  <wp:effectExtent l="0" t="0" r="3810" b="7620"/>
                  <wp:docPr id="52" name="Picture 52"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6" descr="Humira PED UV KM Curve 1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53390" cy="87630"/>
                          </a:xfrm>
                          <a:prstGeom prst="rect">
                            <a:avLst/>
                          </a:prstGeom>
                          <a:noFill/>
                          <a:ln>
                            <a:noFill/>
                          </a:ln>
                        </pic:spPr>
                      </pic:pic>
                    </a:graphicData>
                  </a:graphic>
                </wp:inline>
              </w:drawing>
            </w:r>
          </w:p>
        </w:tc>
        <w:tc>
          <w:tcPr>
            <w:tcW w:w="1890" w:type="dxa"/>
          </w:tcPr>
          <w:p w14:paraId="5FDC604A" w14:textId="77777777" w:rsidR="00686116" w:rsidRPr="00B720DC" w:rsidRDefault="00944B8F" w:rsidP="00271199">
            <w:pPr>
              <w:pStyle w:val="EMEANormal"/>
              <w:keepNext/>
              <w:rPr>
                <w:szCs w:val="22"/>
              </w:rPr>
            </w:pPr>
            <w:r w:rsidRPr="00B720DC">
              <w:rPr>
                <w:szCs w:val="22"/>
              </w:rPr>
              <w:t>Adalimumab</w:t>
            </w:r>
          </w:p>
        </w:tc>
      </w:tr>
      <w:tr w:rsidR="00C6578C" w14:paraId="628BEAC0" w14:textId="77777777" w:rsidTr="00271199">
        <w:tc>
          <w:tcPr>
            <w:tcW w:w="468" w:type="dxa"/>
          </w:tcPr>
          <w:p w14:paraId="1C026599" w14:textId="77777777" w:rsidR="00686116" w:rsidRPr="00B720DC" w:rsidRDefault="00686116" w:rsidP="00271199">
            <w:pPr>
              <w:pStyle w:val="EMEANormal"/>
              <w:rPr>
                <w:szCs w:val="22"/>
              </w:rPr>
            </w:pPr>
          </w:p>
        </w:tc>
        <w:tc>
          <w:tcPr>
            <w:tcW w:w="8820" w:type="dxa"/>
            <w:gridSpan w:val="5"/>
          </w:tcPr>
          <w:p w14:paraId="23006E15" w14:textId="77777777" w:rsidR="00686116" w:rsidRPr="00B720DC" w:rsidRDefault="00944B8F" w:rsidP="00271199">
            <w:pPr>
              <w:pStyle w:val="EMEANormal"/>
              <w:rPr>
                <w:szCs w:val="22"/>
              </w:rPr>
            </w:pPr>
            <w:r w:rsidRPr="00214F53">
              <w:rPr>
                <w:szCs w:val="22"/>
              </w:rPr>
              <w:t>Note:</w:t>
            </w:r>
            <w:r>
              <w:rPr>
                <w:szCs w:val="22"/>
              </w:rPr>
              <w:t xml:space="preserve"> P = Placebo (Number at Risk); H</w:t>
            </w:r>
            <w:r w:rsidRPr="00214F53">
              <w:rPr>
                <w:szCs w:val="22"/>
              </w:rPr>
              <w:t xml:space="preserve"> = HUMIRA (Number at Risk).</w:t>
            </w:r>
          </w:p>
        </w:tc>
      </w:tr>
    </w:tbl>
    <w:p w14:paraId="2CB9C0C3" w14:textId="77777777" w:rsidR="00AB3BE8" w:rsidRPr="002A3533" w:rsidRDefault="00AB3BE8" w:rsidP="00AB3BE8">
      <w:pPr>
        <w:pStyle w:val="EMEANormal"/>
        <w:rPr>
          <w:szCs w:val="22"/>
          <w:lang w:val="en-GB"/>
        </w:rPr>
      </w:pPr>
    </w:p>
    <w:p w14:paraId="6D24B9BA" w14:textId="77777777" w:rsidR="00AB3BE8" w:rsidRDefault="00944B8F" w:rsidP="00AB3BE8">
      <w:pPr>
        <w:pStyle w:val="EMEAHeading2SPC"/>
        <w:keepNext/>
        <w:spacing w:beforeLines="0" w:afterLines="0"/>
        <w:rPr>
          <w:rFonts w:ascii="Times New Roman" w:hAnsi="Times New Roman"/>
          <w:lang w:val="en-GB"/>
        </w:rPr>
      </w:pPr>
      <w:r w:rsidRPr="002A3533">
        <w:rPr>
          <w:rFonts w:ascii="Times New Roman" w:hAnsi="Times New Roman"/>
          <w:lang w:val="en-GB"/>
        </w:rPr>
        <w:t>5.2</w:t>
      </w:r>
      <w:r w:rsidRPr="002A3533">
        <w:rPr>
          <w:rFonts w:ascii="Times New Roman" w:hAnsi="Times New Roman"/>
          <w:lang w:val="en-GB"/>
        </w:rPr>
        <w:tab/>
        <w:t>Pharmacokinetic properties</w:t>
      </w:r>
    </w:p>
    <w:p w14:paraId="34F5F9F3" w14:textId="77777777" w:rsidR="00AB3BE8" w:rsidRPr="0078789B" w:rsidRDefault="00AB3BE8" w:rsidP="00AB3BE8">
      <w:pPr>
        <w:pStyle w:val="EMEANormal"/>
        <w:keepNext/>
        <w:rPr>
          <w:lang w:val="en-GB"/>
        </w:rPr>
      </w:pPr>
    </w:p>
    <w:p w14:paraId="5B82AFF9" w14:textId="77777777" w:rsidR="00AB3BE8" w:rsidRPr="002A3533" w:rsidRDefault="00944B8F" w:rsidP="00AB3BE8">
      <w:pPr>
        <w:keepNext/>
        <w:autoSpaceDE w:val="0"/>
        <w:autoSpaceDN w:val="0"/>
        <w:adjustRightInd w:val="0"/>
        <w:rPr>
          <w:u w:val="single"/>
        </w:rPr>
      </w:pPr>
      <w:r w:rsidRPr="002A3533">
        <w:rPr>
          <w:u w:val="single"/>
        </w:rPr>
        <w:t>Absorption and distribution</w:t>
      </w:r>
    </w:p>
    <w:p w14:paraId="3FA5D559" w14:textId="77777777" w:rsidR="00AB3BE8" w:rsidRPr="002A3533" w:rsidRDefault="00AB3BE8" w:rsidP="00AB3BE8">
      <w:pPr>
        <w:keepNext/>
        <w:autoSpaceDE w:val="0"/>
        <w:autoSpaceDN w:val="0"/>
        <w:adjustRightInd w:val="0"/>
      </w:pPr>
    </w:p>
    <w:p w14:paraId="57F694C4" w14:textId="77777777" w:rsidR="00AB3BE8" w:rsidRPr="002A3533" w:rsidRDefault="00944B8F" w:rsidP="00AB3BE8">
      <w:pPr>
        <w:keepNext/>
        <w:autoSpaceDE w:val="0"/>
        <w:autoSpaceDN w:val="0"/>
        <w:adjustRightInd w:val="0"/>
      </w:pPr>
      <w:r w:rsidRPr="00193076">
        <w:t>Following the administration of 24 mg/m</w:t>
      </w:r>
      <w:r w:rsidRPr="00193076">
        <w:rPr>
          <w:vertAlign w:val="superscript"/>
        </w:rPr>
        <w:t>2</w:t>
      </w:r>
      <w:r w:rsidRPr="00193076">
        <w:t xml:space="preserve"> (maximum of 40 mg) subcutaneously every other week to patients with </w:t>
      </w:r>
      <w:r w:rsidRPr="00A868FE">
        <w:t>polyarticular juvenile idiopathic arthritis (JIA) who were 4 to 17 years the mean trough steady-state (values measured from Week </w:t>
      </w:r>
      <w:r w:rsidRPr="004D066E">
        <w:t>20 to 48) serum adalimumab concentration was 5.6 ± 5.6 µg/ml (102% CV) for adalimumab without concomitant methotrexate</w:t>
      </w:r>
      <w:r>
        <w:t xml:space="preserve"> </w:t>
      </w:r>
      <w:r w:rsidRPr="004D066E">
        <w:t xml:space="preserve">and 10.9 </w:t>
      </w:r>
      <w:r w:rsidRPr="002A3533">
        <w:t>± 5.2 µg/ml (47.7% CV) with concomitant methotrexate.</w:t>
      </w:r>
    </w:p>
    <w:p w14:paraId="29B61073" w14:textId="77777777" w:rsidR="00AB3BE8" w:rsidRPr="002A3533" w:rsidRDefault="00AB3BE8" w:rsidP="00AB3BE8">
      <w:pPr>
        <w:autoSpaceDE w:val="0"/>
        <w:autoSpaceDN w:val="0"/>
        <w:adjustRightInd w:val="0"/>
      </w:pPr>
    </w:p>
    <w:p w14:paraId="48A1DF2C" w14:textId="77777777" w:rsidR="00AB3BE8" w:rsidRPr="002A3533" w:rsidRDefault="00944B8F" w:rsidP="00AB3BE8">
      <w:pPr>
        <w:autoSpaceDE w:val="0"/>
        <w:autoSpaceDN w:val="0"/>
        <w:adjustRightInd w:val="0"/>
        <w:rPr>
          <w:szCs w:val="22"/>
        </w:rPr>
      </w:pPr>
      <w:r w:rsidRPr="002A3533">
        <w:rPr>
          <w:szCs w:val="22"/>
        </w:rPr>
        <w:t xml:space="preserve">In patients with </w:t>
      </w:r>
      <w:r w:rsidRPr="002A3533">
        <w:t>polyarticular</w:t>
      </w:r>
      <w:r w:rsidRPr="002A3533">
        <w:rPr>
          <w:szCs w:val="22"/>
        </w:rPr>
        <w:t xml:space="preserve"> JIA who were 2 to &lt; 4 years old or aged 4 and above weighing &lt; 15 kg dosed with adalimumab 24 mg/m</w:t>
      </w:r>
      <w:r w:rsidRPr="002A3533">
        <w:rPr>
          <w:szCs w:val="22"/>
          <w:vertAlign w:val="superscript"/>
        </w:rPr>
        <w:t>2</w:t>
      </w:r>
      <w:r w:rsidRPr="002A3533">
        <w:rPr>
          <w:szCs w:val="22"/>
        </w:rPr>
        <w:t xml:space="preserve"> , the mean trough steady-state serum adalimumab concentrations was 6.0 ±</w:t>
      </w:r>
      <w:r>
        <w:rPr>
          <w:szCs w:val="22"/>
        </w:rPr>
        <w:t xml:space="preserve"> </w:t>
      </w:r>
      <w:r w:rsidRPr="002A3533">
        <w:rPr>
          <w:szCs w:val="22"/>
        </w:rPr>
        <w:t>6.1 µg/ml (101% CV) for adalimumab without concomitant methotrexate and 7.9 ± 5.6 µg/ml (71.2% CV) with concomitant methotrexate.</w:t>
      </w:r>
    </w:p>
    <w:p w14:paraId="04FB7B32" w14:textId="77777777" w:rsidR="00AB3BE8" w:rsidRPr="002A3533" w:rsidRDefault="00AB3BE8" w:rsidP="00AB3BE8">
      <w:pPr>
        <w:pStyle w:val="gtcbodytext"/>
        <w:spacing w:before="0" w:after="0" w:line="240" w:lineRule="auto"/>
        <w:rPr>
          <w:sz w:val="22"/>
          <w:szCs w:val="22"/>
        </w:rPr>
      </w:pPr>
    </w:p>
    <w:p w14:paraId="3EB1E955" w14:textId="77777777" w:rsidR="00AB3BE8" w:rsidRPr="002A3533" w:rsidRDefault="00944B8F" w:rsidP="00AB3BE8">
      <w:pPr>
        <w:pStyle w:val="gtcbodytext"/>
        <w:spacing w:before="0" w:after="0" w:line="240" w:lineRule="auto"/>
      </w:pPr>
      <w:r w:rsidRPr="002A3533">
        <w:rPr>
          <w:sz w:val="22"/>
          <w:szCs w:val="22"/>
        </w:rPr>
        <w:t>Following the administration of 24 mg/m</w:t>
      </w:r>
      <w:r w:rsidRPr="002A3533">
        <w:rPr>
          <w:sz w:val="22"/>
          <w:szCs w:val="22"/>
          <w:vertAlign w:val="superscript"/>
        </w:rPr>
        <w:t>2</w:t>
      </w:r>
      <w:r w:rsidRPr="002A3533">
        <w:rPr>
          <w:sz w:val="22"/>
          <w:szCs w:val="22"/>
        </w:rPr>
        <w:t xml:space="preserve"> (maximum of 40 mg) subcutaneously every other week to patients with enthesitis-related arthritis who were 6 to 17 years, the mean trough steady-state (values </w:t>
      </w:r>
      <w:r w:rsidRPr="002A3533">
        <w:rPr>
          <w:sz w:val="22"/>
          <w:szCs w:val="22"/>
        </w:rPr>
        <w:lastRenderedPageBreak/>
        <w:t>measured at Week 24) serum adalimumab concentrations were 8.8 ± 6.6 μg/ml for adalimumab without concomitant methotrexate and 11.8 ± 4.3 μg/ml with concomitant methotrexate.</w:t>
      </w:r>
    </w:p>
    <w:p w14:paraId="4A51363F" w14:textId="77777777" w:rsidR="00AB3BE8" w:rsidRPr="002A3533" w:rsidRDefault="00AB3BE8" w:rsidP="00AB3BE8">
      <w:pPr>
        <w:autoSpaceDE w:val="0"/>
        <w:autoSpaceDN w:val="0"/>
        <w:adjustRightInd w:val="0"/>
      </w:pPr>
    </w:p>
    <w:p w14:paraId="289AFCF5" w14:textId="77777777" w:rsidR="00AB3BE8" w:rsidRPr="002A3533" w:rsidRDefault="00944B8F" w:rsidP="00AB3BE8">
      <w:pPr>
        <w:pStyle w:val="EMEANormal"/>
      </w:pPr>
      <w:r w:rsidRPr="00A868FE">
        <w:t>Following the administration of 0.8 mg/kg (maximum of 40 mg) subcutaneously every other week to paediatric patients with chronic plaque psoriasis, the mean ± SD steady-state adalimumab trough conc</w:t>
      </w:r>
      <w:r w:rsidRPr="004D066E">
        <w:t>entration was approximately 7.4 ± 5.8 </w:t>
      </w:r>
      <w:r w:rsidRPr="002A3533">
        <w:t>µg/m</w:t>
      </w:r>
      <w:r>
        <w:t>l</w:t>
      </w:r>
      <w:r w:rsidRPr="002A3533">
        <w:t xml:space="preserve"> (79% CV).</w:t>
      </w:r>
    </w:p>
    <w:p w14:paraId="5CE71653" w14:textId="77777777" w:rsidR="00AB3BE8" w:rsidRPr="002A3533" w:rsidRDefault="00AB3BE8" w:rsidP="00AB3BE8">
      <w:pPr>
        <w:pStyle w:val="EMEANormal"/>
        <w:rPr>
          <w:lang w:val="en-GB"/>
        </w:rPr>
      </w:pPr>
    </w:p>
    <w:p w14:paraId="28504765" w14:textId="77777777" w:rsidR="00AB3BE8" w:rsidRPr="002A3533" w:rsidRDefault="00944B8F" w:rsidP="00AB3BE8">
      <w:pPr>
        <w:pStyle w:val="EMEANormal"/>
      </w:pPr>
      <w:r w:rsidRPr="002A3533">
        <w:rPr>
          <w:lang w:val="en-GB" w:eastAsia="en-GB"/>
        </w:rPr>
        <w:t>In paediatric patients with moderate to severe CD, the open-label adalimumab induction dose was 160/80 mg or 80/40 mg at Weeks 0 and 2, respectively, dependent on a body weight cut-off of 40 kg.</w:t>
      </w:r>
      <w:r>
        <w:rPr>
          <w:lang w:val="en-GB" w:eastAsia="en-GB"/>
        </w:rPr>
        <w:t xml:space="preserve"> </w:t>
      </w:r>
      <w:r w:rsidRPr="002A3533">
        <w:rPr>
          <w:lang w:val="en-GB" w:eastAsia="en-GB"/>
        </w:rPr>
        <w:t xml:space="preserve">At Week 4, patients were </w:t>
      </w:r>
      <w:r w:rsidRPr="002A3533">
        <w:t>randomised 1:1 to either the Standard Dose (</w:t>
      </w:r>
      <w:r w:rsidRPr="002A3533">
        <w:rPr>
          <w:lang w:val="en-GB" w:eastAsia="en-GB"/>
        </w:rPr>
        <w:t xml:space="preserve">40/20 mg eow) </w:t>
      </w:r>
      <w:r w:rsidRPr="002A3533">
        <w:t>or Low Dose (</w:t>
      </w:r>
      <w:r w:rsidRPr="002A3533">
        <w:rPr>
          <w:lang w:val="en-GB" w:eastAsia="en-GB"/>
        </w:rPr>
        <w:t xml:space="preserve">20/10 mg eow) </w:t>
      </w:r>
      <w:r w:rsidRPr="002A3533">
        <w:t>maintenance treatment groups based on their body weight</w:t>
      </w:r>
      <w:r w:rsidRPr="002A3533">
        <w:rPr>
          <w:lang w:val="en-GB" w:eastAsia="en-GB"/>
        </w:rPr>
        <w:t xml:space="preserve">. </w:t>
      </w:r>
      <w:r w:rsidRPr="002A3533">
        <w:rPr>
          <w:szCs w:val="22"/>
          <w:lang w:val="en-GB" w:eastAsia="en-GB"/>
        </w:rPr>
        <w:t>The mean (</w:t>
      </w:r>
      <w:r w:rsidRPr="002A3533">
        <w:rPr>
          <w:rFonts w:eastAsia="Arial Unicode MS"/>
        </w:rPr>
        <w:t xml:space="preserve">±SD) </w:t>
      </w:r>
      <w:r w:rsidRPr="002A3533">
        <w:rPr>
          <w:szCs w:val="22"/>
          <w:lang w:val="en-GB" w:eastAsia="en-GB"/>
        </w:rPr>
        <w:t>serum adalimumab trough concentrations achieved at Week 4 were 15.7 </w:t>
      </w:r>
      <w:r w:rsidRPr="002A3533">
        <w:rPr>
          <w:rFonts w:eastAsia="Arial Unicode MS"/>
        </w:rPr>
        <w:t>± 6.6 </w:t>
      </w:r>
      <w:r w:rsidRPr="002A3533">
        <w:rPr>
          <w:rFonts w:ascii="Symbol" w:eastAsia="Symbol" w:hAnsi="Symbol" w:cs="Symbol"/>
          <w:szCs w:val="22"/>
        </w:rPr>
        <w:sym w:font="Symbol" w:char="F06D"/>
      </w:r>
      <w:r w:rsidRPr="002A3533">
        <w:t xml:space="preserve">g/ml for patients ≥ 40 kg (160/80 mg) and </w:t>
      </w:r>
      <w:r w:rsidRPr="002A3533">
        <w:rPr>
          <w:szCs w:val="22"/>
          <w:lang w:val="en-GB" w:eastAsia="en-GB"/>
        </w:rPr>
        <w:t>10.6 </w:t>
      </w:r>
      <w:r w:rsidRPr="002A3533">
        <w:rPr>
          <w:rFonts w:eastAsia="Arial Unicode MS"/>
        </w:rPr>
        <w:t>± 6.1 </w:t>
      </w:r>
      <w:r w:rsidRPr="002A3533">
        <w:rPr>
          <w:rFonts w:ascii="Symbol" w:eastAsia="Symbol" w:hAnsi="Symbol" w:cs="Symbol"/>
          <w:szCs w:val="22"/>
        </w:rPr>
        <w:sym w:font="Symbol" w:char="F06D"/>
      </w:r>
      <w:r w:rsidRPr="002A3533">
        <w:t xml:space="preserve">g/ml for patients &lt; 40 kg (80/40 mg). </w:t>
      </w:r>
    </w:p>
    <w:p w14:paraId="2ACFADFB" w14:textId="77777777" w:rsidR="00AB3BE8" w:rsidRPr="002A3533" w:rsidRDefault="00AB3BE8" w:rsidP="00AB3BE8">
      <w:pPr>
        <w:pStyle w:val="EMEANormal"/>
        <w:rPr>
          <w:lang w:val="en-GB" w:eastAsia="en-GB"/>
        </w:rPr>
      </w:pPr>
    </w:p>
    <w:p w14:paraId="7C524A2D" w14:textId="77777777" w:rsidR="00AB3BE8" w:rsidRDefault="00944B8F" w:rsidP="00AB3BE8">
      <w:pPr>
        <w:pStyle w:val="EMEANormal"/>
        <w:rPr>
          <w:iCs/>
        </w:rPr>
      </w:pPr>
      <w:r w:rsidRPr="002A3533">
        <w:rPr>
          <w:rFonts w:eastAsia="Arial Unicode MS"/>
        </w:rPr>
        <w:t>F</w:t>
      </w:r>
      <w:r w:rsidRPr="002A3533">
        <w:t xml:space="preserve">or patients who stayed on their randomised therapy, the mean </w:t>
      </w:r>
      <w:r w:rsidRPr="002A3533">
        <w:rPr>
          <w:szCs w:val="22"/>
          <w:lang w:val="en-GB" w:eastAsia="en-GB"/>
        </w:rPr>
        <w:t>(</w:t>
      </w:r>
      <w:r w:rsidRPr="002A3533">
        <w:rPr>
          <w:rFonts w:eastAsia="Arial Unicode MS"/>
        </w:rPr>
        <w:t xml:space="preserve">±SD) </w:t>
      </w:r>
      <w:r w:rsidRPr="002A3533">
        <w:t xml:space="preserve">adalimumab trough concentrations at Week 52 were </w:t>
      </w:r>
      <w:r w:rsidRPr="002A3533">
        <w:rPr>
          <w:rFonts w:eastAsia="Arial Unicode MS"/>
        </w:rPr>
        <w:t>9.5 ± 5.6 </w:t>
      </w:r>
      <w:r w:rsidRPr="00E95E17">
        <w:rPr>
          <w:rFonts w:ascii="Symbol" w:eastAsia="Symbol" w:hAnsi="Symbol" w:cs="Symbol"/>
          <w:szCs w:val="22"/>
        </w:rPr>
        <w:sym w:font="Symbol" w:char="F06D"/>
      </w:r>
      <w:r w:rsidRPr="00E95E17">
        <w:t xml:space="preserve">g/ml for the Standard Dose group and </w:t>
      </w:r>
      <w:r w:rsidRPr="00193076">
        <w:rPr>
          <w:rFonts w:eastAsia="Arial Unicode MS"/>
        </w:rPr>
        <w:t>3.5 ± 2.2</w:t>
      </w:r>
      <w:r w:rsidRPr="00A868FE">
        <w:t> </w:t>
      </w:r>
      <w:r w:rsidRPr="00E95E17">
        <w:rPr>
          <w:rFonts w:ascii="Symbol" w:eastAsia="Symbol" w:hAnsi="Symbol" w:cs="Symbol"/>
          <w:szCs w:val="22"/>
        </w:rPr>
        <w:sym w:font="Symbol" w:char="F06D"/>
      </w:r>
      <w:r w:rsidRPr="00E95E17">
        <w:t xml:space="preserve">g/ml for the Low Dose group. </w:t>
      </w:r>
      <w:r w:rsidRPr="00193076">
        <w:rPr>
          <w:szCs w:val="22"/>
          <w:lang w:val="en-GB" w:eastAsia="en-GB"/>
        </w:rPr>
        <w:t xml:space="preserve">The mean trough concentrations were maintained in patients who continued to receive adalimumab treatment eow for 52 weeks. </w:t>
      </w:r>
      <w:r w:rsidRPr="00193076">
        <w:t xml:space="preserve">For patients who dose escalated from eow to weekly regimen, the mean </w:t>
      </w:r>
      <w:r w:rsidRPr="00A868FE">
        <w:rPr>
          <w:szCs w:val="22"/>
          <w:lang w:val="en-GB" w:eastAsia="en-GB"/>
        </w:rPr>
        <w:t>(</w:t>
      </w:r>
      <w:r w:rsidRPr="00A868FE">
        <w:rPr>
          <w:rFonts w:eastAsia="Arial Unicode MS"/>
        </w:rPr>
        <w:t xml:space="preserve">±SD) </w:t>
      </w:r>
      <w:r w:rsidRPr="00A868FE">
        <w:t>serum concentrations of a</w:t>
      </w:r>
      <w:r w:rsidRPr="004D066E">
        <w:t>dalimumab at Week </w:t>
      </w:r>
      <w:r w:rsidRPr="002A3533">
        <w:t>52 were 15.3 </w:t>
      </w:r>
      <w:r w:rsidRPr="002A3533">
        <w:rPr>
          <w:rFonts w:eastAsia="Arial Unicode MS"/>
        </w:rPr>
        <w:t>± 11.4</w:t>
      </w:r>
      <w:r w:rsidRPr="002A3533">
        <w:t> μg/ml (40/20 mg, weekly) and 6.7 </w:t>
      </w:r>
      <w:r w:rsidRPr="002A3533">
        <w:rPr>
          <w:rFonts w:eastAsia="Arial Unicode MS"/>
        </w:rPr>
        <w:t>± 3.5 </w:t>
      </w:r>
      <w:r w:rsidRPr="002A3533">
        <w:t>μg/ml (20/10 mg, weekly).</w:t>
      </w:r>
      <w:r w:rsidRPr="001E2677">
        <w:rPr>
          <w:iCs/>
        </w:rPr>
        <w:t xml:space="preserve"> </w:t>
      </w:r>
    </w:p>
    <w:p w14:paraId="7BF491F0" w14:textId="77777777" w:rsidR="00AB3BE8" w:rsidRDefault="00AB3BE8" w:rsidP="00AB3BE8">
      <w:pPr>
        <w:pStyle w:val="EMEANormal"/>
        <w:rPr>
          <w:iCs/>
        </w:rPr>
      </w:pPr>
    </w:p>
    <w:p w14:paraId="708F8C1C" w14:textId="77777777" w:rsidR="00AB3BE8" w:rsidRPr="002A3533" w:rsidRDefault="00944B8F" w:rsidP="00AB3BE8">
      <w:pPr>
        <w:autoSpaceDE w:val="0"/>
        <w:autoSpaceDN w:val="0"/>
        <w:adjustRightInd w:val="0"/>
      </w:pPr>
      <w:r w:rsidRPr="00DA6042">
        <w:rPr>
          <w:iCs/>
        </w:rPr>
        <w:t xml:space="preserve">Adalimumab exposure in paediatric uveitis patients was predicted using population pharmacokinetic modelling and simulation based on cross-indication pharmacokinetics in other paediatric patients (paediatric psoriasis, juvenile idiopathic arthritis, paediatric Crohn’s disease, and enthesitis-related arthritis). No clinical exposure data </w:t>
      </w:r>
      <w:r>
        <w:rPr>
          <w:iCs/>
        </w:rPr>
        <w:t>are</w:t>
      </w:r>
      <w:r w:rsidRPr="00DA6042">
        <w:rPr>
          <w:iCs/>
        </w:rPr>
        <w:t xml:space="preserve"> available on the use of a loading dose in children &lt;</w:t>
      </w:r>
      <w:r w:rsidR="007A6826">
        <w:rPr>
          <w:iCs/>
        </w:rPr>
        <w:t> </w:t>
      </w:r>
      <w:r w:rsidRPr="00DA6042">
        <w:rPr>
          <w:iCs/>
        </w:rPr>
        <w:t>6</w:t>
      </w:r>
      <w:r w:rsidR="007A6826">
        <w:rPr>
          <w:iCs/>
        </w:rPr>
        <w:t> </w:t>
      </w:r>
      <w:r w:rsidRPr="00DA6042">
        <w:rPr>
          <w:iCs/>
        </w:rPr>
        <w:t>years. The predicted exposures indicate that in the absence of methotrexate, a loading dose may lead to an initial increase in systemic exposure.</w:t>
      </w:r>
    </w:p>
    <w:p w14:paraId="4DFF0BFA" w14:textId="77777777" w:rsidR="008B4D19" w:rsidRPr="002A3533" w:rsidRDefault="008B4D19" w:rsidP="00AB3BE8">
      <w:pPr>
        <w:autoSpaceDE w:val="0"/>
        <w:autoSpaceDN w:val="0"/>
        <w:adjustRightInd w:val="0"/>
      </w:pPr>
    </w:p>
    <w:p w14:paraId="4C7B4EC2" w14:textId="77777777" w:rsidR="00AB3BE8" w:rsidRDefault="00944B8F" w:rsidP="00AB3BE8">
      <w:pPr>
        <w:autoSpaceDE w:val="0"/>
        <w:autoSpaceDN w:val="0"/>
        <w:adjustRightInd w:val="0"/>
      </w:pPr>
      <w:r w:rsidRPr="00F83D51">
        <w:rPr>
          <w:u w:val="single"/>
        </w:rPr>
        <w:t>Exposure-response relationship in paediatric population</w:t>
      </w:r>
    </w:p>
    <w:p w14:paraId="3189599F" w14:textId="77777777" w:rsidR="00AB3BE8" w:rsidRDefault="00944B8F" w:rsidP="00AB3BE8">
      <w:pPr>
        <w:autoSpaceDE w:val="0"/>
        <w:autoSpaceDN w:val="0"/>
        <w:adjustRightInd w:val="0"/>
      </w:pPr>
      <w:r>
        <w:t xml:space="preserve">On the basis of clinical trial data in patients with JIA (pJIA and ERA), an exposure-response relationship was established between plasma concentrations and PedACR 50 response. </w:t>
      </w:r>
      <w:r w:rsidRPr="00905E87">
        <w:t xml:space="preserve">The </w:t>
      </w:r>
      <w:r>
        <w:t>apparent adalimumab plasma concentration</w:t>
      </w:r>
      <w:r w:rsidRPr="00905E87">
        <w:t xml:space="preserve"> that produces half the maximum probability of </w:t>
      </w:r>
      <w:r>
        <w:t>PedACR 50 response (EC50) was 3</w:t>
      </w:r>
      <w:r w:rsidR="007A6826">
        <w:t> </w:t>
      </w:r>
      <w:r>
        <w:t>μg/ml (95% CI: 1</w:t>
      </w:r>
      <w:r w:rsidR="007A6826">
        <w:noBreakHyphen/>
      </w:r>
      <w:r>
        <w:t>6</w:t>
      </w:r>
      <w:r w:rsidR="007A6826">
        <w:t> </w:t>
      </w:r>
      <w:r w:rsidRPr="00905E87">
        <w:t>μg/ml).</w:t>
      </w:r>
      <w:r>
        <w:t xml:space="preserve"> </w:t>
      </w:r>
    </w:p>
    <w:p w14:paraId="7D3FE6E0" w14:textId="77777777" w:rsidR="00AB3BE8" w:rsidRDefault="00AB3BE8" w:rsidP="00AB3BE8">
      <w:pPr>
        <w:autoSpaceDE w:val="0"/>
        <w:autoSpaceDN w:val="0"/>
        <w:adjustRightInd w:val="0"/>
      </w:pPr>
    </w:p>
    <w:p w14:paraId="17890F78" w14:textId="77777777" w:rsidR="00AB3BE8" w:rsidRDefault="00944B8F" w:rsidP="00AB3BE8">
      <w:pPr>
        <w:autoSpaceDE w:val="0"/>
        <w:autoSpaceDN w:val="0"/>
        <w:adjustRightInd w:val="0"/>
      </w:pPr>
      <w:r>
        <w:t xml:space="preserve">Exposure-response relationships between adalimumab concentration and efficacy in paediatric patients with severe chronic plaque psoriasis were established for PASI 75 and PGA clear or minimal, respectively. </w:t>
      </w:r>
      <w:r w:rsidRPr="00647FED">
        <w:t xml:space="preserve">PASI 75 and PGA </w:t>
      </w:r>
      <w:r>
        <w:t>clear or minimal</w:t>
      </w:r>
      <w:r>
        <w:rPr>
          <w:rStyle w:val="CommentReference"/>
          <w:szCs w:val="20"/>
        </w:rPr>
        <w:t xml:space="preserve"> </w:t>
      </w:r>
      <w:r w:rsidRPr="00647FED">
        <w:t>increased with increasing adalimumab concentrations, both with a similar</w:t>
      </w:r>
      <w:r>
        <w:t xml:space="preserve"> </w:t>
      </w:r>
      <w:r w:rsidRPr="00647FED">
        <w:t>apparent EC50 of approximately 4.5</w:t>
      </w:r>
      <w:r w:rsidR="007A6826">
        <w:t> </w:t>
      </w:r>
      <w:r w:rsidRPr="00647FED">
        <w:t>μg/m</w:t>
      </w:r>
      <w:r w:rsidR="00E83962">
        <w:t>l</w:t>
      </w:r>
      <w:r>
        <w:t xml:space="preserve"> (95% CI 0.4-47.6 and 1.9-10.5, respectively).</w:t>
      </w:r>
    </w:p>
    <w:p w14:paraId="00233E3F" w14:textId="77777777" w:rsidR="00AB3BE8" w:rsidRPr="002A3533" w:rsidRDefault="00AB3BE8" w:rsidP="00AB3BE8">
      <w:pPr>
        <w:tabs>
          <w:tab w:val="clear" w:pos="562"/>
          <w:tab w:val="left" w:pos="638"/>
        </w:tabs>
        <w:autoSpaceDE w:val="0"/>
        <w:autoSpaceDN w:val="0"/>
        <w:adjustRightInd w:val="0"/>
      </w:pPr>
    </w:p>
    <w:p w14:paraId="6317AD95" w14:textId="77777777" w:rsidR="00AB3BE8" w:rsidRDefault="00944B8F" w:rsidP="00AB3BE8">
      <w:pPr>
        <w:tabs>
          <w:tab w:val="clear" w:pos="562"/>
          <w:tab w:val="left" w:pos="638"/>
        </w:tabs>
        <w:autoSpaceDE w:val="0"/>
        <w:autoSpaceDN w:val="0"/>
        <w:adjustRightInd w:val="0"/>
        <w:rPr>
          <w:u w:val="single"/>
        </w:rPr>
      </w:pPr>
      <w:r>
        <w:rPr>
          <w:u w:val="single"/>
        </w:rPr>
        <w:t>Adults</w:t>
      </w:r>
    </w:p>
    <w:p w14:paraId="1E6B1DE6" w14:textId="77777777" w:rsidR="00AB3BE8" w:rsidRPr="00F04CE1" w:rsidRDefault="00AB3BE8" w:rsidP="00AB3BE8">
      <w:pPr>
        <w:tabs>
          <w:tab w:val="clear" w:pos="562"/>
          <w:tab w:val="left" w:pos="638"/>
        </w:tabs>
        <w:autoSpaceDE w:val="0"/>
        <w:autoSpaceDN w:val="0"/>
        <w:adjustRightInd w:val="0"/>
        <w:rPr>
          <w:u w:val="single"/>
        </w:rPr>
      </w:pPr>
    </w:p>
    <w:p w14:paraId="0E66D095" w14:textId="77777777" w:rsidR="00AB3BE8" w:rsidRPr="002A3533" w:rsidRDefault="00944B8F" w:rsidP="00AB3BE8">
      <w:pPr>
        <w:autoSpaceDE w:val="0"/>
        <w:autoSpaceDN w:val="0"/>
        <w:adjustRightInd w:val="0"/>
      </w:pPr>
      <w:r w:rsidRPr="002A3533">
        <w:t>After subcutaneous administration of a single 40 mg dose, absorption and distribution of adalimumab was slow, with peak serum concentrations being reached about 5 days after administration. The average absolute bioavailability of adalimumab estimated from three studies following a single 40 mg subcutaneous dose was 64%. After single intravenous doses ranging from 0.25 to 10 mg/kg, concentrations were dose proportional. After doses of 0.5 mg/kg (~40 mg), clearances ranged from 11 to 15 ml/hour, the distribution volume (V</w:t>
      </w:r>
      <w:r w:rsidRPr="002A3533">
        <w:rPr>
          <w:vertAlign w:val="subscript"/>
        </w:rPr>
        <w:t>ss</w:t>
      </w:r>
      <w:r w:rsidRPr="002A3533">
        <w:t>) ranged from 5 to 6 litres and the mean terminal phase half-life was approximately two weeks. Adalimumab concentrations in the synovial fluid from several rheumatoid arthritis patients ranged from 31-96% of those in serum.</w:t>
      </w:r>
    </w:p>
    <w:p w14:paraId="195C974F" w14:textId="77777777" w:rsidR="00AB3BE8" w:rsidRPr="002A3533" w:rsidRDefault="00AB3BE8" w:rsidP="00AB3BE8">
      <w:pPr>
        <w:autoSpaceDE w:val="0"/>
        <w:autoSpaceDN w:val="0"/>
        <w:adjustRightInd w:val="0"/>
      </w:pPr>
    </w:p>
    <w:p w14:paraId="10256780" w14:textId="77777777" w:rsidR="00AB3BE8" w:rsidRPr="00193076" w:rsidRDefault="00944B8F" w:rsidP="00AB3BE8">
      <w:pPr>
        <w:autoSpaceDE w:val="0"/>
        <w:autoSpaceDN w:val="0"/>
        <w:adjustRightInd w:val="0"/>
      </w:pPr>
      <w:r w:rsidRPr="002A3533">
        <w:t>Following subcutaneous administration of 40 mg of adalimumab every other week in adult rheumatoid arthritis (RA) patients the mean steady-state trough concentrations were approximately 5 </w:t>
      </w:r>
      <w:r w:rsidRPr="00E95E17">
        <w:rPr>
          <w:rFonts w:ascii="Symbol" w:eastAsia="Symbol" w:hAnsi="Symbol" w:cs="Symbol"/>
          <w:szCs w:val="22"/>
        </w:rPr>
        <w:sym w:font="Symbol" w:char="F06D"/>
      </w:r>
      <w:r w:rsidRPr="00E95E17">
        <w:t xml:space="preserve">g/ml (without </w:t>
      </w:r>
      <w:r w:rsidRPr="00E95E17">
        <w:lastRenderedPageBreak/>
        <w:t>concomitant methotrexate) and 8 to 9 </w:t>
      </w:r>
      <w:r w:rsidRPr="00E95E17">
        <w:rPr>
          <w:rFonts w:ascii="Symbol" w:eastAsia="Symbol" w:hAnsi="Symbol" w:cs="Symbol"/>
          <w:szCs w:val="22"/>
        </w:rPr>
        <w:sym w:font="Symbol" w:char="F06D"/>
      </w:r>
      <w:r w:rsidRPr="00E95E17">
        <w:t>g/ml (with concomitant methotrexate), respectively. The serum adalimumab trough levels a</w:t>
      </w:r>
      <w:r w:rsidRPr="00193076">
        <w:t>t steady-state increased roughly proportionally with dose following 20, 40 and 80 mg subcutaneous dosing every other week and every week.</w:t>
      </w:r>
    </w:p>
    <w:p w14:paraId="06005D04" w14:textId="77777777" w:rsidR="00AB3BE8" w:rsidRDefault="00AB3BE8" w:rsidP="00AB3BE8">
      <w:pPr>
        <w:tabs>
          <w:tab w:val="clear" w:pos="562"/>
          <w:tab w:val="left" w:pos="638"/>
        </w:tabs>
        <w:autoSpaceDE w:val="0"/>
        <w:autoSpaceDN w:val="0"/>
        <w:adjustRightInd w:val="0"/>
      </w:pPr>
    </w:p>
    <w:p w14:paraId="56FD08D1" w14:textId="77777777" w:rsidR="00AB3BE8" w:rsidRPr="00193076" w:rsidRDefault="00944B8F" w:rsidP="00AB3BE8">
      <w:pPr>
        <w:autoSpaceDE w:val="0"/>
        <w:autoSpaceDN w:val="0"/>
        <w:adjustRightInd w:val="0"/>
      </w:pPr>
      <w:r w:rsidRPr="002A3533">
        <w:t>In adult patients with psoriasis, the mean steady-state trough concentration was 5 </w:t>
      </w:r>
      <w:r w:rsidRPr="00E95E17">
        <w:rPr>
          <w:rFonts w:ascii="Symbol" w:eastAsia="Symbol" w:hAnsi="Symbol" w:cs="Symbol"/>
          <w:szCs w:val="22"/>
        </w:rPr>
        <w:sym w:font="Symbol" w:char="F06D"/>
      </w:r>
      <w:r w:rsidRPr="00E95E17">
        <w:t>g</w:t>
      </w:r>
      <w:r w:rsidRPr="00193076">
        <w:t xml:space="preserve">/ml during adalimumab 40 mg </w:t>
      </w:r>
      <w:r w:rsidRPr="00193076">
        <w:rPr>
          <w:bCs/>
        </w:rPr>
        <w:t xml:space="preserve">every other week </w:t>
      </w:r>
      <w:r w:rsidRPr="00193076">
        <w:t>monotherapy treatment.</w:t>
      </w:r>
    </w:p>
    <w:p w14:paraId="444813C4" w14:textId="77777777" w:rsidR="00AB3BE8" w:rsidRDefault="00AB3BE8" w:rsidP="00AB3BE8">
      <w:pPr>
        <w:tabs>
          <w:tab w:val="clear" w:pos="562"/>
          <w:tab w:val="left" w:pos="638"/>
        </w:tabs>
        <w:autoSpaceDE w:val="0"/>
        <w:autoSpaceDN w:val="0"/>
        <w:adjustRightInd w:val="0"/>
      </w:pPr>
    </w:p>
    <w:p w14:paraId="1C2B17E1" w14:textId="77777777" w:rsidR="00AB3BE8" w:rsidRDefault="00944B8F" w:rsidP="00AB3BE8">
      <w:pPr>
        <w:pStyle w:val="EMEANormal"/>
        <w:rPr>
          <w:lang w:val="en-GB"/>
        </w:rPr>
      </w:pPr>
      <w:r w:rsidRPr="002A3533">
        <w:rPr>
          <w:lang w:val="en-GB"/>
        </w:rPr>
        <w:t>In patients with Crohn’s disease, the loading dose of 80 mg Humira on Week 0 followed by 40 mg Humira on Week 2 achieves serum adalimumab trough concentrations of approximately 5.5 </w:t>
      </w:r>
      <w:r w:rsidRPr="002A3533">
        <w:rPr>
          <w:rFonts w:ascii="Symbol" w:eastAsia="Symbol" w:hAnsi="Symbol" w:cs="Symbol"/>
          <w:szCs w:val="22"/>
          <w:lang w:val="en-GB"/>
        </w:rPr>
        <w:sym w:font="Symbol" w:char="F06D"/>
      </w:r>
      <w:r w:rsidRPr="002A3533">
        <w:rPr>
          <w:lang w:val="en-GB"/>
        </w:rPr>
        <w:t>g/ml during the induction period. A loading dose of 160 mg Humira on Week 0 followed by 80 mg Humira on Week 2 achieves serum adalimumab trough concentrations of approximately 12 </w:t>
      </w:r>
      <w:r w:rsidRPr="002A3533">
        <w:rPr>
          <w:rFonts w:ascii="Symbol" w:eastAsia="Symbol" w:hAnsi="Symbol" w:cs="Symbol"/>
          <w:szCs w:val="22"/>
          <w:lang w:val="en-GB"/>
        </w:rPr>
        <w:sym w:font="Symbol" w:char="F06D"/>
      </w:r>
      <w:r w:rsidRPr="002A3533">
        <w:rPr>
          <w:lang w:val="en-GB"/>
        </w:rPr>
        <w:t>g/ml during the induction period. Mean steady-state trough levels of approximately 7 </w:t>
      </w:r>
      <w:r w:rsidRPr="002A3533">
        <w:rPr>
          <w:rFonts w:ascii="Symbol" w:eastAsia="Symbol" w:hAnsi="Symbol" w:cs="Symbol"/>
          <w:szCs w:val="22"/>
          <w:lang w:val="en-GB"/>
        </w:rPr>
        <w:sym w:font="Symbol" w:char="F06D"/>
      </w:r>
      <w:r w:rsidRPr="002A3533">
        <w:rPr>
          <w:lang w:val="en-GB"/>
        </w:rPr>
        <w:t>g/ml were observed in Crohn’s disease patients who received a maintenance dose of 40 mg Humira every other week.</w:t>
      </w:r>
    </w:p>
    <w:p w14:paraId="3C3FC5C4" w14:textId="77777777" w:rsidR="00AB3BE8" w:rsidRPr="002A3533" w:rsidRDefault="00AB3BE8" w:rsidP="00AB3BE8">
      <w:pPr>
        <w:pStyle w:val="EMEANormal"/>
        <w:rPr>
          <w:lang w:val="en-GB"/>
        </w:rPr>
      </w:pPr>
    </w:p>
    <w:p w14:paraId="7592BE6D" w14:textId="77777777" w:rsidR="00AB3BE8" w:rsidRDefault="00944B8F" w:rsidP="00AB3BE8">
      <w:pPr>
        <w:tabs>
          <w:tab w:val="clear" w:pos="562"/>
          <w:tab w:val="left" w:pos="638"/>
        </w:tabs>
        <w:autoSpaceDE w:val="0"/>
        <w:autoSpaceDN w:val="0"/>
        <w:adjustRightInd w:val="0"/>
        <w:rPr>
          <w:szCs w:val="22"/>
        </w:rPr>
      </w:pPr>
      <w:r w:rsidRPr="00651591">
        <w:rPr>
          <w:szCs w:val="22"/>
        </w:rPr>
        <w:t>In</w:t>
      </w:r>
      <w:r>
        <w:rPr>
          <w:szCs w:val="22"/>
        </w:rPr>
        <w:t xml:space="preserve"> adult</w:t>
      </w:r>
      <w:r w:rsidRPr="00651591">
        <w:rPr>
          <w:szCs w:val="22"/>
        </w:rPr>
        <w:t xml:space="preserve"> patients with uveitis, a loading dose of 80 mg adalimumab on Week 0 followed by 40 mg adalimumab every other week starting at Week 1, resulted in mean steady-state concentrations of approximately 8 to 10 </w:t>
      </w:r>
      <w:r w:rsidRPr="00651591">
        <w:rPr>
          <w:rFonts w:ascii="Symbol" w:eastAsia="Symbol" w:hAnsi="Symbol" w:cs="Symbol"/>
          <w:szCs w:val="22"/>
        </w:rPr>
        <w:sym w:font="Symbol" w:char="F06D"/>
      </w:r>
      <w:r>
        <w:rPr>
          <w:szCs w:val="22"/>
        </w:rPr>
        <w:t>g/m</w:t>
      </w:r>
      <w:r w:rsidR="00E83962">
        <w:rPr>
          <w:szCs w:val="22"/>
        </w:rPr>
        <w:t>l</w:t>
      </w:r>
      <w:r w:rsidRPr="00651591">
        <w:rPr>
          <w:szCs w:val="22"/>
        </w:rPr>
        <w:t>.</w:t>
      </w:r>
    </w:p>
    <w:p w14:paraId="19A04DB7" w14:textId="77777777" w:rsidR="003D6101" w:rsidRPr="00E95E17" w:rsidRDefault="003D6101" w:rsidP="00AB3BE8">
      <w:pPr>
        <w:tabs>
          <w:tab w:val="clear" w:pos="562"/>
          <w:tab w:val="left" w:pos="638"/>
        </w:tabs>
        <w:autoSpaceDE w:val="0"/>
        <w:autoSpaceDN w:val="0"/>
        <w:adjustRightInd w:val="0"/>
      </w:pPr>
    </w:p>
    <w:p w14:paraId="35D23189" w14:textId="77777777" w:rsidR="003D6101" w:rsidRDefault="00944B8F" w:rsidP="003D6101">
      <w:pPr>
        <w:autoSpaceDE w:val="0"/>
        <w:autoSpaceDN w:val="0"/>
        <w:adjustRightInd w:val="0"/>
      </w:pPr>
      <w:r w:rsidRPr="00D134EE">
        <w:t>Population pharmacokinetic and pharmacokinetic/pharmacodynamic modelling and simulation predicted comparable adalimumab exposure and efficacy in patients treated with 80</w:t>
      </w:r>
      <w:r w:rsidR="00E6118C">
        <w:t> </w:t>
      </w:r>
      <w:r w:rsidRPr="00D134EE">
        <w:t>mg every other week when compared with 40</w:t>
      </w:r>
      <w:r w:rsidR="00E6118C">
        <w:t> </w:t>
      </w:r>
      <w:r w:rsidRPr="00D134EE">
        <w:t>mg every week (including adu</w:t>
      </w:r>
      <w:r>
        <w:t>lt patients with RA, HS, UC, CD or</w:t>
      </w:r>
      <w:r w:rsidRPr="00D134EE">
        <w:t xml:space="preserve"> Ps, </w:t>
      </w:r>
      <w:r>
        <w:t xml:space="preserve">patients with </w:t>
      </w:r>
      <w:r w:rsidRPr="00D134EE">
        <w:t>adolescent HS, and paediatric</w:t>
      </w:r>
      <w:r>
        <w:t xml:space="preserve"> patients </w:t>
      </w:r>
      <w:r w:rsidRPr="00D134EE">
        <w:t>≥</w:t>
      </w:r>
      <w:r w:rsidR="00E6118C">
        <w:t> </w:t>
      </w:r>
      <w:r w:rsidRPr="00D134EE">
        <w:t>40</w:t>
      </w:r>
      <w:r w:rsidR="00E6118C">
        <w:t> </w:t>
      </w:r>
      <w:r w:rsidRPr="00D134EE">
        <w:t>kg</w:t>
      </w:r>
      <w:r>
        <w:t xml:space="preserve"> with CD</w:t>
      </w:r>
      <w:r w:rsidRPr="00D134EE">
        <w:t>).</w:t>
      </w:r>
    </w:p>
    <w:p w14:paraId="5BC31641" w14:textId="77777777" w:rsidR="00AB3BE8" w:rsidRPr="00193076" w:rsidRDefault="00AB3BE8" w:rsidP="00AB3BE8">
      <w:pPr>
        <w:tabs>
          <w:tab w:val="clear" w:pos="562"/>
          <w:tab w:val="left" w:pos="638"/>
        </w:tabs>
        <w:autoSpaceDE w:val="0"/>
        <w:autoSpaceDN w:val="0"/>
        <w:adjustRightInd w:val="0"/>
      </w:pPr>
    </w:p>
    <w:p w14:paraId="6639B25F" w14:textId="77777777" w:rsidR="00AB3BE8" w:rsidRPr="00193076" w:rsidRDefault="00944B8F" w:rsidP="00077477">
      <w:pPr>
        <w:keepNext/>
        <w:tabs>
          <w:tab w:val="clear" w:pos="562"/>
          <w:tab w:val="left" w:pos="638"/>
        </w:tabs>
        <w:autoSpaceDE w:val="0"/>
        <w:autoSpaceDN w:val="0"/>
        <w:adjustRightInd w:val="0"/>
        <w:rPr>
          <w:u w:val="single"/>
        </w:rPr>
      </w:pPr>
      <w:r w:rsidRPr="00193076">
        <w:rPr>
          <w:u w:val="single"/>
        </w:rPr>
        <w:t>Elimination</w:t>
      </w:r>
    </w:p>
    <w:p w14:paraId="4E7CE2E4" w14:textId="77777777" w:rsidR="00AB3BE8" w:rsidRPr="00193076" w:rsidRDefault="00AB3BE8" w:rsidP="00077477">
      <w:pPr>
        <w:keepNext/>
        <w:tabs>
          <w:tab w:val="clear" w:pos="562"/>
          <w:tab w:val="left" w:pos="638"/>
        </w:tabs>
        <w:autoSpaceDE w:val="0"/>
        <w:autoSpaceDN w:val="0"/>
        <w:adjustRightInd w:val="0"/>
      </w:pPr>
    </w:p>
    <w:p w14:paraId="281932C0" w14:textId="77777777" w:rsidR="00AB3BE8" w:rsidRPr="00A868FE" w:rsidRDefault="00944B8F" w:rsidP="00077477">
      <w:pPr>
        <w:keepNext/>
        <w:autoSpaceDE w:val="0"/>
        <w:autoSpaceDN w:val="0"/>
        <w:adjustRightInd w:val="0"/>
      </w:pPr>
      <w:r w:rsidRPr="00193076">
        <w:t>Population pharmacokinetic analyses with data from over 1,300 RA patients revealed a trend toward higher apparent clearance of adalimumab with increasing body weight. After adjustment for weight differences, gender and age appeared to have a minimal effect on adalimumab clearance. The serum levels o</w:t>
      </w:r>
      <w:r w:rsidRPr="00A868FE">
        <w:t>f free adalimumab (not bound to anti-adalimumab antibodies, AAA) were observed to be lower in patients with measurable AAA.</w:t>
      </w:r>
    </w:p>
    <w:p w14:paraId="69BCB522" w14:textId="77777777" w:rsidR="00AB3BE8" w:rsidRPr="00A868FE" w:rsidRDefault="00AB3BE8" w:rsidP="00AB3BE8">
      <w:pPr>
        <w:autoSpaceDE w:val="0"/>
        <w:autoSpaceDN w:val="0"/>
        <w:adjustRightInd w:val="0"/>
      </w:pPr>
    </w:p>
    <w:p w14:paraId="077DBAD6" w14:textId="77777777" w:rsidR="00AB3BE8" w:rsidRPr="00A868FE" w:rsidRDefault="00944B8F" w:rsidP="00AB3BE8">
      <w:pPr>
        <w:keepNext/>
        <w:autoSpaceDE w:val="0"/>
        <w:autoSpaceDN w:val="0"/>
        <w:adjustRightInd w:val="0"/>
        <w:rPr>
          <w:u w:val="single"/>
        </w:rPr>
      </w:pPr>
      <w:r w:rsidRPr="00A868FE">
        <w:rPr>
          <w:u w:val="single"/>
        </w:rPr>
        <w:t>Hepatic or renal impairment</w:t>
      </w:r>
    </w:p>
    <w:p w14:paraId="7D756347" w14:textId="77777777" w:rsidR="00AB3BE8" w:rsidRPr="00A868FE" w:rsidRDefault="00AB3BE8" w:rsidP="00AB3BE8">
      <w:pPr>
        <w:keepNext/>
        <w:autoSpaceDE w:val="0"/>
        <w:autoSpaceDN w:val="0"/>
        <w:adjustRightInd w:val="0"/>
        <w:rPr>
          <w:u w:val="single"/>
        </w:rPr>
      </w:pPr>
    </w:p>
    <w:p w14:paraId="1B6E9C32" w14:textId="77777777" w:rsidR="00AB3BE8" w:rsidRPr="004D066E" w:rsidRDefault="00944B8F" w:rsidP="00AB3BE8">
      <w:pPr>
        <w:pStyle w:val="EMEAHeading2SPC"/>
        <w:keepNext/>
        <w:spacing w:beforeLines="0" w:afterLines="0"/>
        <w:rPr>
          <w:rFonts w:ascii="Times New Roman" w:hAnsi="Times New Roman"/>
          <w:b w:val="0"/>
          <w:lang w:val="en-GB"/>
        </w:rPr>
      </w:pPr>
      <w:r w:rsidRPr="004D066E">
        <w:rPr>
          <w:rFonts w:ascii="Times New Roman" w:hAnsi="Times New Roman"/>
          <w:b w:val="0"/>
          <w:lang w:val="en-GB"/>
        </w:rPr>
        <w:t>Humira has not been studied in patients with hepatic or renal impairment</w:t>
      </w:r>
      <w:r>
        <w:rPr>
          <w:rFonts w:ascii="Times New Roman" w:hAnsi="Times New Roman"/>
          <w:b w:val="0"/>
          <w:lang w:val="en-GB"/>
        </w:rPr>
        <w:t>.</w:t>
      </w:r>
    </w:p>
    <w:p w14:paraId="7D6AF850" w14:textId="77777777" w:rsidR="00AB3BE8" w:rsidRPr="002A3533" w:rsidRDefault="00AB3BE8" w:rsidP="00AB3BE8">
      <w:pPr>
        <w:pStyle w:val="EMEANormal"/>
        <w:rPr>
          <w:lang w:val="en-GB"/>
        </w:rPr>
      </w:pPr>
    </w:p>
    <w:p w14:paraId="0BC50037" w14:textId="77777777" w:rsidR="00AB3BE8" w:rsidRPr="002A3533" w:rsidRDefault="00944B8F" w:rsidP="00AB3BE8">
      <w:pPr>
        <w:pStyle w:val="EMEAHeading2SPC"/>
        <w:spacing w:beforeLines="0" w:afterLines="0"/>
        <w:rPr>
          <w:rFonts w:ascii="Times New Roman" w:hAnsi="Times New Roman"/>
          <w:lang w:val="en-GB"/>
        </w:rPr>
      </w:pPr>
      <w:r w:rsidRPr="002A3533">
        <w:rPr>
          <w:rFonts w:ascii="Times New Roman" w:hAnsi="Times New Roman"/>
          <w:lang w:val="en-GB"/>
        </w:rPr>
        <w:t>5.3</w:t>
      </w:r>
      <w:r w:rsidRPr="002A3533">
        <w:rPr>
          <w:rFonts w:ascii="Times New Roman" w:hAnsi="Times New Roman"/>
          <w:lang w:val="en-GB"/>
        </w:rPr>
        <w:tab/>
        <w:t xml:space="preserve">Preclinical safety data </w:t>
      </w:r>
    </w:p>
    <w:p w14:paraId="1FA5E7DE" w14:textId="77777777" w:rsidR="00AB3BE8" w:rsidRPr="002A3533" w:rsidRDefault="00AB3BE8" w:rsidP="00AB3BE8">
      <w:pPr>
        <w:pStyle w:val="EMEANormal"/>
        <w:rPr>
          <w:lang w:val="en-GB"/>
        </w:rPr>
      </w:pPr>
    </w:p>
    <w:p w14:paraId="3ABCF7BB" w14:textId="77777777" w:rsidR="00AB3BE8" w:rsidRPr="002A3533" w:rsidRDefault="00944B8F" w:rsidP="00AB3BE8">
      <w:pPr>
        <w:autoSpaceDE w:val="0"/>
        <w:autoSpaceDN w:val="0"/>
        <w:adjustRightInd w:val="0"/>
      </w:pPr>
      <w:r w:rsidRPr="002A3533">
        <w:t xml:space="preserve">Non-clinical data reveal no special hazard for humans based on studies of single dose toxicity, repeated dose toxicity, and genotoxicity.  </w:t>
      </w:r>
    </w:p>
    <w:p w14:paraId="7E7890BB" w14:textId="77777777" w:rsidR="00AB3BE8" w:rsidRPr="002A3533" w:rsidRDefault="00AB3BE8" w:rsidP="00AB3BE8">
      <w:pPr>
        <w:autoSpaceDE w:val="0"/>
        <w:autoSpaceDN w:val="0"/>
        <w:adjustRightInd w:val="0"/>
      </w:pPr>
    </w:p>
    <w:p w14:paraId="725540EE" w14:textId="77777777" w:rsidR="00AB3BE8" w:rsidRPr="002A3533" w:rsidRDefault="00944B8F" w:rsidP="00AB3BE8">
      <w:pPr>
        <w:pStyle w:val="EMEABullet2"/>
        <w:rPr>
          <w:lang w:val="en-GB"/>
        </w:rPr>
      </w:pPr>
      <w:r w:rsidRPr="002A3533">
        <w:rPr>
          <w:lang w:val="en-GB"/>
        </w:rPr>
        <w:t>An embryo-foetal developmental toxicity/perinatal developmental study has been performed in cynomolgus monkeys at 0, 30 and 100 mg/kg (9-17 monkeys/group) and has revealed no evidence of harm to the foetuses due to adalimumab. Neither carcinogenicity studies, nor a standard assessment of fertility and postnatal toxicity, were performed with adalimumab due to the lack of appropriate models for an antibody with limited cross-reactivity to rodent TNF and to the development of neutrali</w:t>
      </w:r>
      <w:r>
        <w:rPr>
          <w:lang w:val="en-GB"/>
        </w:rPr>
        <w:t>s</w:t>
      </w:r>
      <w:r w:rsidRPr="002A3533">
        <w:rPr>
          <w:lang w:val="en-GB"/>
        </w:rPr>
        <w:t xml:space="preserve">ing antibodies in rodents. </w:t>
      </w:r>
    </w:p>
    <w:p w14:paraId="4BA8D2FC" w14:textId="77777777" w:rsidR="00AB3BE8" w:rsidRPr="002A3533" w:rsidRDefault="00AB3BE8" w:rsidP="00AB3BE8">
      <w:pPr>
        <w:pStyle w:val="EMEANormal"/>
        <w:rPr>
          <w:lang w:val="en-GB"/>
        </w:rPr>
      </w:pPr>
    </w:p>
    <w:p w14:paraId="26B2F660" w14:textId="77777777" w:rsidR="00AB3BE8" w:rsidRPr="002A3533" w:rsidRDefault="00AB3BE8" w:rsidP="00AB3BE8">
      <w:pPr>
        <w:pStyle w:val="EMEANormal"/>
        <w:rPr>
          <w:lang w:val="en-GB"/>
        </w:rPr>
      </w:pPr>
    </w:p>
    <w:p w14:paraId="3AA278C6" w14:textId="77777777" w:rsidR="00AB3BE8" w:rsidRPr="002A3533" w:rsidRDefault="00944B8F" w:rsidP="00AB3BE8">
      <w:pPr>
        <w:pStyle w:val="EMEAHeading1"/>
        <w:keepNext/>
        <w:spacing w:beforeLines="0" w:afterLines="0"/>
        <w:rPr>
          <w:rFonts w:ascii="Times New Roman" w:hAnsi="Times New Roman"/>
          <w:lang w:val="en-GB"/>
        </w:rPr>
      </w:pPr>
      <w:r w:rsidRPr="002A3533">
        <w:rPr>
          <w:rFonts w:ascii="Times New Roman" w:hAnsi="Times New Roman"/>
          <w:lang w:val="en-GB"/>
        </w:rPr>
        <w:lastRenderedPageBreak/>
        <w:t>6.</w:t>
      </w:r>
      <w:r w:rsidRPr="002A3533">
        <w:rPr>
          <w:rFonts w:ascii="Times New Roman" w:hAnsi="Times New Roman"/>
          <w:lang w:val="en-GB"/>
        </w:rPr>
        <w:tab/>
        <w:t>PHARMACEUTICAL PARTICULARS</w:t>
      </w:r>
    </w:p>
    <w:p w14:paraId="06000ABE" w14:textId="77777777" w:rsidR="00AB3BE8" w:rsidRPr="002A3533" w:rsidRDefault="00AB3BE8" w:rsidP="00AB3BE8">
      <w:pPr>
        <w:pStyle w:val="EMEANormal"/>
        <w:keepNext/>
        <w:rPr>
          <w:lang w:val="en-GB"/>
        </w:rPr>
      </w:pPr>
    </w:p>
    <w:p w14:paraId="4AA8C116" w14:textId="77777777" w:rsidR="00AB3BE8" w:rsidRPr="002A3533" w:rsidRDefault="00944B8F" w:rsidP="00AB3BE8">
      <w:pPr>
        <w:pStyle w:val="EMEAHeading2SPCEmpty"/>
        <w:keepNext/>
        <w:spacing w:afterLines="0"/>
        <w:rPr>
          <w:rFonts w:ascii="Times New Roman" w:hAnsi="Times New Roman"/>
          <w:lang w:val="en-GB"/>
        </w:rPr>
      </w:pPr>
      <w:r w:rsidRPr="002A3533">
        <w:rPr>
          <w:rFonts w:ascii="Times New Roman" w:hAnsi="Times New Roman"/>
          <w:lang w:val="en-GB"/>
        </w:rPr>
        <w:t>6.1</w:t>
      </w:r>
      <w:r w:rsidRPr="002A3533">
        <w:rPr>
          <w:rFonts w:ascii="Times New Roman" w:hAnsi="Times New Roman"/>
          <w:lang w:val="en-GB"/>
        </w:rPr>
        <w:tab/>
        <w:t xml:space="preserve">List of excipients </w:t>
      </w:r>
    </w:p>
    <w:p w14:paraId="47044D52" w14:textId="77777777" w:rsidR="00AB3BE8" w:rsidRPr="002A3533" w:rsidRDefault="00AB3BE8" w:rsidP="00AB3BE8">
      <w:pPr>
        <w:pStyle w:val="EMEANormal"/>
        <w:keepNext/>
        <w:rPr>
          <w:lang w:val="en-GB"/>
        </w:rPr>
      </w:pPr>
    </w:p>
    <w:p w14:paraId="0B1724F3" w14:textId="77777777" w:rsidR="00AB3BE8" w:rsidRPr="002A3533" w:rsidRDefault="00944B8F" w:rsidP="00AB3BE8">
      <w:pPr>
        <w:keepNext/>
        <w:autoSpaceDE w:val="0"/>
        <w:autoSpaceDN w:val="0"/>
        <w:adjustRightInd w:val="0"/>
        <w:rPr>
          <w:bCs/>
        </w:rPr>
      </w:pPr>
      <w:r w:rsidRPr="002A3533">
        <w:rPr>
          <w:bCs/>
        </w:rPr>
        <w:t>Mannitol</w:t>
      </w:r>
    </w:p>
    <w:p w14:paraId="11F12FCF" w14:textId="77777777" w:rsidR="00AB3BE8" w:rsidRPr="002A3533" w:rsidRDefault="00944B8F" w:rsidP="00AB3BE8">
      <w:pPr>
        <w:keepNext/>
        <w:autoSpaceDE w:val="0"/>
        <w:autoSpaceDN w:val="0"/>
        <w:adjustRightInd w:val="0"/>
        <w:rPr>
          <w:bCs/>
        </w:rPr>
      </w:pPr>
      <w:r w:rsidRPr="002A3533">
        <w:rPr>
          <w:bCs/>
        </w:rPr>
        <w:t>Polysorbate 80</w:t>
      </w:r>
    </w:p>
    <w:p w14:paraId="6CC3CE25" w14:textId="77777777" w:rsidR="00AB3BE8" w:rsidRPr="002A3533" w:rsidRDefault="00944B8F" w:rsidP="00AB3BE8">
      <w:pPr>
        <w:keepNext/>
        <w:autoSpaceDE w:val="0"/>
        <w:autoSpaceDN w:val="0"/>
        <w:adjustRightInd w:val="0"/>
        <w:rPr>
          <w:bCs/>
        </w:rPr>
      </w:pPr>
      <w:r w:rsidRPr="002A3533">
        <w:rPr>
          <w:bCs/>
        </w:rPr>
        <w:t>Water for injections</w:t>
      </w:r>
    </w:p>
    <w:p w14:paraId="2EC85941" w14:textId="77777777" w:rsidR="00AB3BE8" w:rsidRPr="002A3533" w:rsidRDefault="00AB3BE8" w:rsidP="00AB3BE8">
      <w:pPr>
        <w:autoSpaceDE w:val="0"/>
        <w:autoSpaceDN w:val="0"/>
        <w:adjustRightInd w:val="0"/>
        <w:rPr>
          <w:bCs/>
        </w:rPr>
      </w:pPr>
    </w:p>
    <w:p w14:paraId="5714D72C" w14:textId="77777777" w:rsidR="00AB3BE8" w:rsidRPr="002A3533" w:rsidRDefault="00944B8F" w:rsidP="00AB3BE8">
      <w:pPr>
        <w:pStyle w:val="EMEAHeading2SPC"/>
        <w:spacing w:beforeLines="0" w:afterLines="0"/>
        <w:rPr>
          <w:rFonts w:ascii="Times New Roman" w:hAnsi="Times New Roman"/>
          <w:lang w:val="en-GB"/>
        </w:rPr>
      </w:pPr>
      <w:r w:rsidRPr="002A3533">
        <w:rPr>
          <w:rFonts w:ascii="Times New Roman" w:hAnsi="Times New Roman"/>
          <w:lang w:val="en-GB"/>
        </w:rPr>
        <w:t>6.2</w:t>
      </w:r>
      <w:r w:rsidRPr="002A3533">
        <w:rPr>
          <w:rFonts w:ascii="Times New Roman" w:hAnsi="Times New Roman"/>
          <w:lang w:val="en-GB"/>
        </w:rPr>
        <w:tab/>
        <w:t xml:space="preserve">Incompatibilities </w:t>
      </w:r>
    </w:p>
    <w:p w14:paraId="558F948A" w14:textId="77777777" w:rsidR="00AB3BE8" w:rsidRPr="002A3533" w:rsidRDefault="00AB3BE8" w:rsidP="00AB3BE8">
      <w:pPr>
        <w:pStyle w:val="EMEANormal"/>
        <w:rPr>
          <w:lang w:val="en-GB"/>
        </w:rPr>
      </w:pPr>
    </w:p>
    <w:p w14:paraId="00425F02" w14:textId="77777777" w:rsidR="00AB3BE8" w:rsidRPr="002A3533" w:rsidRDefault="00944B8F" w:rsidP="00AB3BE8">
      <w:pPr>
        <w:tabs>
          <w:tab w:val="clear" w:pos="562"/>
        </w:tabs>
      </w:pPr>
      <w:r w:rsidRPr="002A3533">
        <w:t>In the absence of compatibility studies, this medicinal product must not be mixed with other medicinal products.</w:t>
      </w:r>
    </w:p>
    <w:p w14:paraId="0D438049" w14:textId="77777777" w:rsidR="00AB3BE8" w:rsidRPr="002A3533" w:rsidRDefault="00AB3BE8" w:rsidP="00AB3BE8">
      <w:pPr>
        <w:tabs>
          <w:tab w:val="clear" w:pos="562"/>
        </w:tabs>
      </w:pPr>
    </w:p>
    <w:p w14:paraId="719D189B" w14:textId="77777777" w:rsidR="00AB3BE8" w:rsidRPr="002A3533" w:rsidRDefault="00944B8F" w:rsidP="00AB3BE8">
      <w:pPr>
        <w:pStyle w:val="EMEAHeading2SPC"/>
        <w:spacing w:beforeLines="0" w:afterLines="0"/>
        <w:rPr>
          <w:rFonts w:ascii="Times New Roman" w:hAnsi="Times New Roman"/>
          <w:lang w:val="en-GB"/>
        </w:rPr>
      </w:pPr>
      <w:r w:rsidRPr="002A3533">
        <w:rPr>
          <w:rFonts w:ascii="Times New Roman" w:hAnsi="Times New Roman"/>
          <w:lang w:val="en-GB"/>
        </w:rPr>
        <w:t>6.3</w:t>
      </w:r>
      <w:r w:rsidRPr="002A3533">
        <w:rPr>
          <w:rFonts w:ascii="Times New Roman" w:hAnsi="Times New Roman"/>
          <w:lang w:val="en-GB"/>
        </w:rPr>
        <w:tab/>
        <w:t xml:space="preserve">Shelf life </w:t>
      </w:r>
    </w:p>
    <w:p w14:paraId="32C5E158" w14:textId="77777777" w:rsidR="00AB3BE8" w:rsidRPr="002A3533" w:rsidRDefault="00AB3BE8" w:rsidP="00AB3BE8">
      <w:pPr>
        <w:pStyle w:val="EMEANormal"/>
        <w:rPr>
          <w:lang w:val="en-GB"/>
        </w:rPr>
      </w:pPr>
    </w:p>
    <w:p w14:paraId="6C62BF03" w14:textId="77777777" w:rsidR="00AB3BE8" w:rsidRPr="002A3533" w:rsidRDefault="00944B8F" w:rsidP="00AB3BE8">
      <w:pPr>
        <w:tabs>
          <w:tab w:val="clear" w:pos="562"/>
        </w:tabs>
      </w:pPr>
      <w:r w:rsidRPr="002A3533">
        <w:t>2 years</w:t>
      </w:r>
    </w:p>
    <w:p w14:paraId="2346D253" w14:textId="77777777" w:rsidR="00AB3BE8" w:rsidRPr="002A3533" w:rsidRDefault="00AB3BE8" w:rsidP="00AB3BE8">
      <w:pPr>
        <w:tabs>
          <w:tab w:val="clear" w:pos="562"/>
        </w:tabs>
      </w:pPr>
    </w:p>
    <w:p w14:paraId="6EFF73EB" w14:textId="77777777" w:rsidR="00AB3BE8" w:rsidRPr="002A3533" w:rsidRDefault="00944B8F" w:rsidP="00AB3BE8">
      <w:pPr>
        <w:pStyle w:val="EMEAHeading2SPC"/>
        <w:spacing w:beforeLines="0" w:afterLines="0"/>
        <w:rPr>
          <w:rFonts w:ascii="Times New Roman" w:hAnsi="Times New Roman"/>
          <w:lang w:val="en-GB"/>
        </w:rPr>
      </w:pPr>
      <w:r w:rsidRPr="002A3533">
        <w:rPr>
          <w:rFonts w:ascii="Times New Roman" w:hAnsi="Times New Roman"/>
          <w:lang w:val="en-GB"/>
        </w:rPr>
        <w:t>6.4</w:t>
      </w:r>
      <w:r w:rsidRPr="002A3533">
        <w:rPr>
          <w:rFonts w:ascii="Times New Roman" w:hAnsi="Times New Roman"/>
          <w:lang w:val="en-GB"/>
        </w:rPr>
        <w:tab/>
        <w:t xml:space="preserve">Special precautions for storage </w:t>
      </w:r>
    </w:p>
    <w:p w14:paraId="590F004C" w14:textId="77777777" w:rsidR="00AB3BE8" w:rsidRPr="002A3533" w:rsidRDefault="00AB3BE8" w:rsidP="00AB3BE8">
      <w:pPr>
        <w:pStyle w:val="EMEANormal"/>
        <w:rPr>
          <w:lang w:val="en-GB"/>
        </w:rPr>
      </w:pPr>
    </w:p>
    <w:p w14:paraId="2F8B3C40" w14:textId="77777777" w:rsidR="00AB3BE8" w:rsidRPr="00193076" w:rsidRDefault="00944B8F" w:rsidP="00AB3BE8">
      <w:pPr>
        <w:tabs>
          <w:tab w:val="clear" w:pos="562"/>
        </w:tabs>
      </w:pPr>
      <w:r w:rsidRPr="002A3533">
        <w:t>Store in a refrigerator (2</w:t>
      </w:r>
      <w:r w:rsidRPr="00E95E17">
        <w:rPr>
          <w:rFonts w:ascii="Symbol" w:eastAsia="Symbol" w:hAnsi="Symbol" w:cs="Symbol"/>
          <w:szCs w:val="22"/>
        </w:rPr>
        <w:sym w:font="Symbol" w:char="F0B0"/>
      </w:r>
      <w:r w:rsidRPr="00E95E17">
        <w:t>C – 8</w:t>
      </w:r>
      <w:r w:rsidRPr="00E95E17">
        <w:rPr>
          <w:rFonts w:ascii="Symbol" w:eastAsia="Symbol" w:hAnsi="Symbol" w:cs="Symbol"/>
          <w:szCs w:val="22"/>
        </w:rPr>
        <w:sym w:font="Symbol" w:char="F0B0"/>
      </w:r>
      <w:r w:rsidRPr="00E95E17">
        <w:t>C). Do not freeze. Keep t</w:t>
      </w:r>
      <w:r w:rsidRPr="00193076">
        <w:t>he pre-filled syringe</w:t>
      </w:r>
      <w:r>
        <w:t xml:space="preserve"> </w:t>
      </w:r>
      <w:r w:rsidRPr="00193076">
        <w:t xml:space="preserve">in </w:t>
      </w:r>
      <w:r>
        <w:t>its</w:t>
      </w:r>
      <w:r w:rsidRPr="00193076">
        <w:t xml:space="preserve"> outer carton in order to protect from light.  </w:t>
      </w:r>
    </w:p>
    <w:p w14:paraId="0B933886" w14:textId="77777777" w:rsidR="00AB3BE8" w:rsidRPr="00A868FE" w:rsidRDefault="00AB3BE8" w:rsidP="00AB3BE8">
      <w:pPr>
        <w:tabs>
          <w:tab w:val="clear" w:pos="562"/>
        </w:tabs>
      </w:pPr>
    </w:p>
    <w:p w14:paraId="29EC14EB" w14:textId="77777777" w:rsidR="00AB3BE8" w:rsidRDefault="00944B8F" w:rsidP="00AB3BE8">
      <w:pPr>
        <w:tabs>
          <w:tab w:val="clear" w:pos="562"/>
        </w:tabs>
      </w:pPr>
      <w:r w:rsidRPr="00A868FE">
        <w:t>A single Humira pre-filled syringe may be stored at temperatures up to a maximum o</w:t>
      </w:r>
      <w:r w:rsidRPr="004D066E">
        <w:t>f 25°C for a period of up to 14 </w:t>
      </w:r>
      <w:r w:rsidRPr="002A3533">
        <w:t>days. The syringe</w:t>
      </w:r>
      <w:r>
        <w:t xml:space="preserve"> </w:t>
      </w:r>
      <w:r w:rsidRPr="002A3533">
        <w:t>must be protected from light, and discarded if not used within the 14</w:t>
      </w:r>
      <w:r w:rsidRPr="002A3533">
        <w:noBreakHyphen/>
        <w:t>day period.</w:t>
      </w:r>
    </w:p>
    <w:p w14:paraId="60EB439A" w14:textId="77777777" w:rsidR="00AB3BE8" w:rsidRPr="002A3533" w:rsidRDefault="00AB3BE8" w:rsidP="00AB3BE8">
      <w:pPr>
        <w:tabs>
          <w:tab w:val="clear" w:pos="562"/>
        </w:tabs>
      </w:pPr>
    </w:p>
    <w:p w14:paraId="3C8D48AE" w14:textId="77777777" w:rsidR="00AB3BE8" w:rsidRDefault="00944B8F" w:rsidP="00AB3BE8">
      <w:pPr>
        <w:pStyle w:val="EMEAHeading2SPC"/>
        <w:keepNext/>
        <w:spacing w:beforeLines="0" w:afterLines="0"/>
        <w:rPr>
          <w:rFonts w:ascii="Times New Roman" w:hAnsi="Times New Roman"/>
          <w:lang w:val="en-GB"/>
        </w:rPr>
      </w:pPr>
      <w:r w:rsidRPr="002A3533">
        <w:rPr>
          <w:rFonts w:ascii="Times New Roman" w:hAnsi="Times New Roman"/>
          <w:lang w:val="en-GB"/>
        </w:rPr>
        <w:t>6.5</w:t>
      </w:r>
      <w:r w:rsidRPr="002A3533">
        <w:rPr>
          <w:rFonts w:ascii="Times New Roman" w:hAnsi="Times New Roman"/>
          <w:lang w:val="en-GB"/>
        </w:rPr>
        <w:tab/>
        <w:t xml:space="preserve">Nature and contents of container  </w:t>
      </w:r>
      <w:r>
        <w:rPr>
          <w:rFonts w:ascii="Times New Roman" w:hAnsi="Times New Roman"/>
          <w:lang w:val="en-GB"/>
        </w:rPr>
        <w:t xml:space="preserve"> </w:t>
      </w:r>
    </w:p>
    <w:p w14:paraId="132A1DF8" w14:textId="77777777" w:rsidR="00AB3BE8" w:rsidRDefault="00AB3BE8" w:rsidP="00AB3BE8">
      <w:pPr>
        <w:pStyle w:val="EMEANormal"/>
        <w:keepNext/>
        <w:rPr>
          <w:lang w:val="en-GB"/>
        </w:rPr>
      </w:pPr>
    </w:p>
    <w:p w14:paraId="51CC7601" w14:textId="77777777" w:rsidR="00AB3BE8" w:rsidRPr="002A3533" w:rsidRDefault="00944B8F" w:rsidP="00AB3BE8">
      <w:pPr>
        <w:keepNext/>
        <w:tabs>
          <w:tab w:val="clear" w:pos="562"/>
        </w:tabs>
      </w:pPr>
      <w:r w:rsidRPr="002A3533">
        <w:t xml:space="preserve">Humira </w:t>
      </w:r>
      <w:r>
        <w:t>20</w:t>
      </w:r>
      <w:r w:rsidRPr="002A3533">
        <w:t xml:space="preserve"> mg solution for injection in single-use pre-filled syringe (type I glass) with a plunger stopper (bromobutyl rubber) and a needle with a needle shield (thermoplastic elastomer). </w:t>
      </w:r>
      <w:r w:rsidRPr="002A3533">
        <w:br/>
      </w:r>
    </w:p>
    <w:p w14:paraId="2BD7E612" w14:textId="77777777" w:rsidR="00AB3BE8" w:rsidRPr="002A3533" w:rsidRDefault="00944B8F" w:rsidP="00AB3BE8">
      <w:pPr>
        <w:tabs>
          <w:tab w:val="clear" w:pos="562"/>
        </w:tabs>
      </w:pPr>
      <w:r w:rsidRPr="002A3533">
        <w:t>Packs of:</w:t>
      </w:r>
    </w:p>
    <w:p w14:paraId="14A214FC" w14:textId="77777777" w:rsidR="00AB3BE8" w:rsidRPr="002A3533" w:rsidRDefault="00944B8F" w:rsidP="00AB3BE8">
      <w:pPr>
        <w:numPr>
          <w:ilvl w:val="0"/>
          <w:numId w:val="11"/>
        </w:numPr>
        <w:tabs>
          <w:tab w:val="clear" w:pos="562"/>
          <w:tab w:val="clear" w:pos="720"/>
        </w:tabs>
        <w:ind w:left="567" w:hanging="567"/>
      </w:pPr>
      <w:r w:rsidRPr="002A3533">
        <w:t>2 pre-filled syringes (</w:t>
      </w:r>
      <w:r>
        <w:t>0.2</w:t>
      </w:r>
      <w:r w:rsidRPr="002A3533">
        <w:t xml:space="preserve"> ml sterile solution), each with 1 alcohol pad, in a blister. </w:t>
      </w:r>
    </w:p>
    <w:p w14:paraId="290BD639" w14:textId="77777777" w:rsidR="00AB3BE8" w:rsidRPr="00106CE6" w:rsidRDefault="00AB3BE8" w:rsidP="00AB3BE8">
      <w:pPr>
        <w:tabs>
          <w:tab w:val="clear" w:pos="562"/>
        </w:tabs>
      </w:pPr>
    </w:p>
    <w:p w14:paraId="462617E8" w14:textId="77777777" w:rsidR="00AB3BE8" w:rsidRDefault="00944B8F" w:rsidP="00D54DB7">
      <w:pPr>
        <w:pStyle w:val="EMEAHeading2SPC"/>
        <w:keepNext/>
        <w:spacing w:beforeLines="0" w:afterLines="0"/>
        <w:rPr>
          <w:rFonts w:ascii="Times New Roman" w:hAnsi="Times New Roman"/>
          <w:lang w:val="en-GB"/>
        </w:rPr>
      </w:pPr>
      <w:r w:rsidRPr="002A3533">
        <w:rPr>
          <w:rFonts w:ascii="Times New Roman" w:hAnsi="Times New Roman"/>
          <w:lang w:val="en-GB"/>
        </w:rPr>
        <w:t>6.6</w:t>
      </w:r>
      <w:r w:rsidRPr="002A3533">
        <w:rPr>
          <w:rFonts w:ascii="Times New Roman" w:hAnsi="Times New Roman"/>
          <w:lang w:val="en-GB"/>
        </w:rPr>
        <w:tab/>
        <w:t>Special precautions for disposal</w:t>
      </w:r>
    </w:p>
    <w:p w14:paraId="3E6FF8E5" w14:textId="77777777" w:rsidR="00AB3BE8" w:rsidRPr="0078789B" w:rsidRDefault="00AB3BE8" w:rsidP="00D54DB7">
      <w:pPr>
        <w:pStyle w:val="EMEANormal"/>
        <w:keepNext/>
        <w:rPr>
          <w:lang w:val="en-GB"/>
        </w:rPr>
      </w:pPr>
    </w:p>
    <w:p w14:paraId="68AC4C52" w14:textId="77777777" w:rsidR="00AB3BE8" w:rsidRDefault="00944B8F" w:rsidP="00D54DB7">
      <w:pPr>
        <w:keepNext/>
        <w:tabs>
          <w:tab w:val="clear" w:pos="562"/>
        </w:tabs>
      </w:pPr>
      <w:r w:rsidRPr="002A3533">
        <w:t>Any unused medicinal product or waste material should be disposed of in accordance with local requirements.</w:t>
      </w:r>
    </w:p>
    <w:p w14:paraId="34F8CB8B" w14:textId="77777777" w:rsidR="00AB3BE8" w:rsidRDefault="00AB3BE8" w:rsidP="00AB3BE8">
      <w:pPr>
        <w:tabs>
          <w:tab w:val="clear" w:pos="562"/>
        </w:tabs>
      </w:pPr>
    </w:p>
    <w:p w14:paraId="47A56099" w14:textId="77777777" w:rsidR="00AB3BE8" w:rsidRPr="002A3533" w:rsidRDefault="00AB3BE8" w:rsidP="00AB3BE8">
      <w:pPr>
        <w:tabs>
          <w:tab w:val="clear" w:pos="562"/>
        </w:tabs>
      </w:pPr>
    </w:p>
    <w:p w14:paraId="2E77A3E7" w14:textId="77777777" w:rsidR="00AB3BE8" w:rsidRPr="001B1585" w:rsidRDefault="00944B8F" w:rsidP="00AB3BE8">
      <w:pPr>
        <w:pStyle w:val="EMEAHeading1"/>
        <w:keepNext/>
        <w:spacing w:beforeLines="0" w:afterLines="0"/>
        <w:rPr>
          <w:rFonts w:ascii="Times New Roman" w:hAnsi="Times New Roman"/>
          <w:lang w:val="en-GB"/>
        </w:rPr>
      </w:pPr>
      <w:r w:rsidRPr="001B1585">
        <w:rPr>
          <w:rFonts w:ascii="Times New Roman" w:hAnsi="Times New Roman"/>
          <w:lang w:val="en-GB"/>
        </w:rPr>
        <w:t>7.</w:t>
      </w:r>
      <w:r w:rsidRPr="001B1585">
        <w:rPr>
          <w:rFonts w:ascii="Times New Roman" w:hAnsi="Times New Roman"/>
          <w:lang w:val="en-GB"/>
        </w:rPr>
        <w:tab/>
        <w:t xml:space="preserve">MARKETING AUTHORISATION HOLDER </w:t>
      </w:r>
    </w:p>
    <w:p w14:paraId="3ED791FC" w14:textId="77777777" w:rsidR="00AB3BE8" w:rsidRPr="001B1585" w:rsidRDefault="00AB3BE8" w:rsidP="00AB3BE8">
      <w:pPr>
        <w:pStyle w:val="EMEANormal"/>
        <w:keepNext/>
        <w:rPr>
          <w:lang w:val="en-GB"/>
        </w:rPr>
      </w:pPr>
    </w:p>
    <w:p w14:paraId="6F084BCF" w14:textId="77777777" w:rsidR="006A01D2" w:rsidRPr="001B1585" w:rsidRDefault="00944B8F" w:rsidP="006A01D2">
      <w:pPr>
        <w:keepNext/>
        <w:tabs>
          <w:tab w:val="clear" w:pos="562"/>
        </w:tabs>
        <w:suppressAutoHyphens w:val="0"/>
        <w:autoSpaceDE w:val="0"/>
        <w:autoSpaceDN w:val="0"/>
        <w:adjustRightInd w:val="0"/>
        <w:spacing w:line="240" w:lineRule="atLeast"/>
        <w:rPr>
          <w:szCs w:val="22"/>
          <w:lang w:eastAsia="en-GB"/>
        </w:rPr>
      </w:pPr>
      <w:r w:rsidRPr="001B1585">
        <w:rPr>
          <w:szCs w:val="22"/>
          <w:lang w:eastAsia="en-GB"/>
        </w:rPr>
        <w:t>AbbVie Deutschland GmbH &amp; Co. KG</w:t>
      </w:r>
    </w:p>
    <w:p w14:paraId="2C51272E" w14:textId="77777777" w:rsidR="006A01D2" w:rsidRPr="001B1585" w:rsidRDefault="00944B8F" w:rsidP="006A01D2">
      <w:pPr>
        <w:keepNext/>
        <w:tabs>
          <w:tab w:val="clear" w:pos="562"/>
        </w:tabs>
        <w:suppressAutoHyphens w:val="0"/>
        <w:autoSpaceDE w:val="0"/>
        <w:autoSpaceDN w:val="0"/>
        <w:adjustRightInd w:val="0"/>
        <w:spacing w:line="240" w:lineRule="atLeast"/>
        <w:rPr>
          <w:szCs w:val="22"/>
          <w:lang w:eastAsia="en-GB"/>
        </w:rPr>
      </w:pPr>
      <w:r w:rsidRPr="001B1585">
        <w:rPr>
          <w:szCs w:val="22"/>
          <w:lang w:eastAsia="en-GB"/>
        </w:rPr>
        <w:t>Knollstrasse</w:t>
      </w:r>
    </w:p>
    <w:p w14:paraId="4058E79A" w14:textId="77777777" w:rsidR="006A01D2" w:rsidRPr="001B1585" w:rsidRDefault="00944B8F" w:rsidP="006A01D2">
      <w:pPr>
        <w:keepNext/>
        <w:tabs>
          <w:tab w:val="clear" w:pos="562"/>
        </w:tabs>
        <w:suppressAutoHyphens w:val="0"/>
        <w:autoSpaceDE w:val="0"/>
        <w:autoSpaceDN w:val="0"/>
        <w:adjustRightInd w:val="0"/>
        <w:spacing w:line="240" w:lineRule="atLeast"/>
        <w:rPr>
          <w:szCs w:val="22"/>
          <w:lang w:eastAsia="en-GB"/>
        </w:rPr>
      </w:pPr>
      <w:r w:rsidRPr="001B1585">
        <w:rPr>
          <w:szCs w:val="22"/>
          <w:lang w:eastAsia="en-GB"/>
        </w:rPr>
        <w:t>67061 Ludwigshafen</w:t>
      </w:r>
    </w:p>
    <w:p w14:paraId="2DB9DB42" w14:textId="77777777" w:rsidR="006A01D2"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Germany</w:t>
      </w:r>
      <w:r w:rsidRPr="002A3533">
        <w:rPr>
          <w:szCs w:val="22"/>
          <w:lang w:eastAsia="en-GB"/>
        </w:rPr>
        <w:t xml:space="preserve"> </w:t>
      </w:r>
    </w:p>
    <w:p w14:paraId="4E1D446C" w14:textId="77777777" w:rsidR="00AB3BE8" w:rsidRDefault="00AB3BE8" w:rsidP="00AB3BE8">
      <w:pPr>
        <w:keepNext/>
        <w:tabs>
          <w:tab w:val="clear" w:pos="562"/>
        </w:tabs>
        <w:suppressAutoHyphens w:val="0"/>
        <w:autoSpaceDE w:val="0"/>
        <w:autoSpaceDN w:val="0"/>
        <w:adjustRightInd w:val="0"/>
        <w:spacing w:line="240" w:lineRule="atLeast"/>
        <w:rPr>
          <w:szCs w:val="22"/>
          <w:lang w:eastAsia="en-GB"/>
        </w:rPr>
      </w:pPr>
    </w:p>
    <w:p w14:paraId="53D6CE15" w14:textId="77777777" w:rsidR="00AB3BE8" w:rsidRPr="002A3533" w:rsidRDefault="00AB3BE8" w:rsidP="00AB3BE8">
      <w:pPr>
        <w:keepNext/>
        <w:tabs>
          <w:tab w:val="clear" w:pos="562"/>
        </w:tabs>
        <w:suppressAutoHyphens w:val="0"/>
        <w:autoSpaceDE w:val="0"/>
        <w:autoSpaceDN w:val="0"/>
        <w:adjustRightInd w:val="0"/>
        <w:spacing w:line="240" w:lineRule="atLeast"/>
        <w:rPr>
          <w:szCs w:val="22"/>
          <w:lang w:eastAsia="en-GB"/>
        </w:rPr>
      </w:pPr>
    </w:p>
    <w:p w14:paraId="72ACD637" w14:textId="77777777" w:rsidR="00AB3BE8" w:rsidRDefault="00944B8F" w:rsidP="00AB3BE8">
      <w:pPr>
        <w:pStyle w:val="EMEAHeading1"/>
        <w:keepNext/>
        <w:spacing w:beforeLines="0" w:afterLines="0"/>
        <w:rPr>
          <w:rFonts w:ascii="Times New Roman" w:hAnsi="Times New Roman"/>
          <w:lang w:val="en-GB"/>
        </w:rPr>
      </w:pPr>
      <w:r w:rsidRPr="002A3533">
        <w:rPr>
          <w:rFonts w:ascii="Times New Roman" w:hAnsi="Times New Roman"/>
          <w:lang w:val="en-GB"/>
        </w:rPr>
        <w:t>8.</w:t>
      </w:r>
      <w:r w:rsidRPr="002A3533">
        <w:rPr>
          <w:rFonts w:ascii="Times New Roman" w:hAnsi="Times New Roman"/>
          <w:lang w:val="en-GB"/>
        </w:rPr>
        <w:tab/>
        <w:t xml:space="preserve">MARKETING AUTHORISATION NUMBERS </w:t>
      </w:r>
    </w:p>
    <w:p w14:paraId="6BA2ECF8" w14:textId="77777777" w:rsidR="00AB3BE8" w:rsidRDefault="00AB3BE8" w:rsidP="00AB3BE8">
      <w:pPr>
        <w:tabs>
          <w:tab w:val="clear" w:pos="562"/>
        </w:tabs>
        <w:rPr>
          <w:u w:val="single"/>
        </w:rPr>
      </w:pPr>
    </w:p>
    <w:p w14:paraId="6469E2FF" w14:textId="77777777" w:rsidR="00135D05" w:rsidRDefault="00944B8F" w:rsidP="00135D05">
      <w:pPr>
        <w:rPr>
          <w:szCs w:val="20"/>
        </w:rPr>
      </w:pPr>
      <w:r>
        <w:rPr>
          <w:szCs w:val="20"/>
        </w:rPr>
        <w:t>EU/1/03/256/022</w:t>
      </w:r>
    </w:p>
    <w:p w14:paraId="4D36490C" w14:textId="77777777" w:rsidR="00AB3BE8" w:rsidRDefault="00AB3BE8" w:rsidP="00AB3BE8">
      <w:pPr>
        <w:pStyle w:val="EMEANormal"/>
        <w:keepNext/>
        <w:rPr>
          <w:lang w:val="en-GB"/>
        </w:rPr>
      </w:pPr>
    </w:p>
    <w:p w14:paraId="369D273A" w14:textId="77777777" w:rsidR="00AB3BE8" w:rsidRPr="002A3533" w:rsidRDefault="00AB3BE8" w:rsidP="00AB3BE8">
      <w:pPr>
        <w:pStyle w:val="EMEANormal"/>
        <w:keepNext/>
        <w:rPr>
          <w:lang w:val="en-GB"/>
        </w:rPr>
      </w:pPr>
    </w:p>
    <w:p w14:paraId="45F6BC0E" w14:textId="77777777" w:rsidR="00AB3BE8" w:rsidRPr="002A3533" w:rsidRDefault="00944B8F" w:rsidP="00AB3BE8">
      <w:pPr>
        <w:pStyle w:val="EMEAHeading1"/>
        <w:keepNext/>
        <w:spacing w:beforeLines="0" w:afterLines="0"/>
        <w:rPr>
          <w:rFonts w:ascii="Times New Roman" w:hAnsi="Times New Roman"/>
          <w:lang w:val="en-GB"/>
        </w:rPr>
      </w:pPr>
      <w:r w:rsidRPr="002A3533">
        <w:rPr>
          <w:rFonts w:ascii="Times New Roman" w:hAnsi="Times New Roman"/>
          <w:lang w:val="en-GB"/>
        </w:rPr>
        <w:t>9.</w:t>
      </w:r>
      <w:r w:rsidRPr="002A3533">
        <w:rPr>
          <w:rFonts w:ascii="Times New Roman" w:hAnsi="Times New Roman"/>
          <w:lang w:val="en-GB"/>
        </w:rPr>
        <w:tab/>
        <w:t>DATE OF FIRST AUTHORISATION/RENEWAL OF THE AUTHORISATION</w:t>
      </w:r>
    </w:p>
    <w:p w14:paraId="259932B7" w14:textId="77777777" w:rsidR="00AB3BE8" w:rsidRPr="002A3533" w:rsidRDefault="00AB3BE8" w:rsidP="00AB3BE8">
      <w:pPr>
        <w:keepNext/>
        <w:autoSpaceDE w:val="0"/>
        <w:autoSpaceDN w:val="0"/>
        <w:adjustRightInd w:val="0"/>
      </w:pPr>
    </w:p>
    <w:p w14:paraId="013B50DB" w14:textId="77777777" w:rsidR="00AB3BE8" w:rsidRPr="002A3533" w:rsidRDefault="00944B8F" w:rsidP="00AB3BE8">
      <w:pPr>
        <w:keepNext/>
        <w:autoSpaceDE w:val="0"/>
        <w:autoSpaceDN w:val="0"/>
        <w:adjustRightInd w:val="0"/>
        <w:rPr>
          <w:szCs w:val="22"/>
          <w:lang w:eastAsia="en-GB"/>
        </w:rPr>
      </w:pPr>
      <w:r w:rsidRPr="002A3533">
        <w:rPr>
          <w:szCs w:val="22"/>
        </w:rPr>
        <w:t>Date of first authorisation: 0</w:t>
      </w:r>
      <w:r w:rsidRPr="002A3533">
        <w:rPr>
          <w:szCs w:val="22"/>
          <w:lang w:eastAsia="en-GB"/>
        </w:rPr>
        <w:t>8 September 2003</w:t>
      </w:r>
    </w:p>
    <w:p w14:paraId="5B9981C7" w14:textId="77777777" w:rsidR="00AB3BE8" w:rsidRDefault="00944B8F" w:rsidP="00AB3BE8">
      <w:pPr>
        <w:keepNext/>
        <w:tabs>
          <w:tab w:val="clear" w:pos="562"/>
          <w:tab w:val="left" w:pos="567"/>
        </w:tabs>
        <w:rPr>
          <w:szCs w:val="22"/>
          <w:lang w:eastAsia="en-GB"/>
        </w:rPr>
      </w:pPr>
      <w:r w:rsidRPr="002A3533">
        <w:rPr>
          <w:szCs w:val="22"/>
          <w:lang w:eastAsia="en-GB"/>
        </w:rPr>
        <w:t xml:space="preserve">Date of latest renewal: 08 September 2008 </w:t>
      </w:r>
    </w:p>
    <w:p w14:paraId="2B148D2E" w14:textId="77777777" w:rsidR="00AB3BE8" w:rsidRDefault="00AB3BE8" w:rsidP="00AB3BE8">
      <w:pPr>
        <w:tabs>
          <w:tab w:val="clear" w:pos="562"/>
          <w:tab w:val="left" w:pos="567"/>
        </w:tabs>
        <w:rPr>
          <w:szCs w:val="22"/>
          <w:lang w:eastAsia="en-GB"/>
        </w:rPr>
      </w:pPr>
    </w:p>
    <w:p w14:paraId="4E78F381" w14:textId="77777777" w:rsidR="00AB3BE8" w:rsidRPr="002A3533" w:rsidRDefault="00AB3BE8" w:rsidP="00AB3BE8">
      <w:pPr>
        <w:tabs>
          <w:tab w:val="clear" w:pos="562"/>
          <w:tab w:val="left" w:pos="567"/>
        </w:tabs>
        <w:rPr>
          <w:szCs w:val="22"/>
        </w:rPr>
      </w:pPr>
    </w:p>
    <w:p w14:paraId="112274E2" w14:textId="77777777" w:rsidR="00AB3BE8" w:rsidRPr="002A3533" w:rsidRDefault="00944B8F" w:rsidP="00AB3BE8">
      <w:pPr>
        <w:pStyle w:val="EMEAHeading1"/>
        <w:spacing w:beforeLines="0" w:afterLines="0"/>
        <w:rPr>
          <w:rFonts w:ascii="Times New Roman" w:hAnsi="Times New Roman"/>
          <w:lang w:val="en-GB"/>
        </w:rPr>
      </w:pPr>
      <w:r w:rsidRPr="002A3533">
        <w:rPr>
          <w:rFonts w:ascii="Times New Roman" w:hAnsi="Times New Roman"/>
          <w:lang w:val="en-GB"/>
        </w:rPr>
        <w:t>10.</w:t>
      </w:r>
      <w:r w:rsidRPr="002A3533">
        <w:rPr>
          <w:rFonts w:ascii="Times New Roman" w:hAnsi="Times New Roman"/>
          <w:lang w:val="en-GB"/>
        </w:rPr>
        <w:tab/>
        <w:t>DATE OF REVISION OF THE TEXT</w:t>
      </w:r>
    </w:p>
    <w:p w14:paraId="71EAAD7B" w14:textId="77777777" w:rsidR="00AB3BE8" w:rsidRPr="002A3533" w:rsidRDefault="00AB3BE8" w:rsidP="00AB3BE8">
      <w:pPr>
        <w:pStyle w:val="EMEANormal"/>
        <w:rPr>
          <w:lang w:val="en-GB"/>
        </w:rPr>
      </w:pPr>
    </w:p>
    <w:p w14:paraId="530E4E67" w14:textId="77777777" w:rsidR="00AB3BE8" w:rsidRPr="002A3533" w:rsidRDefault="00944B8F" w:rsidP="00AB3BE8">
      <w:pPr>
        <w:pStyle w:val="EMEANormal"/>
        <w:rPr>
          <w:lang w:val="en-GB"/>
        </w:rPr>
      </w:pPr>
      <w:r w:rsidRPr="002A3533">
        <w:rPr>
          <w:bCs/>
          <w:lang w:val="en-GB"/>
        </w:rPr>
        <w:t xml:space="preserve">Detailed information on this medicinal product is available on the website of the European Medicines Agency </w:t>
      </w:r>
      <w:ins w:id="29" w:author="AbbVie19" w:date="2025-04-17T10:30:00Z">
        <w:r w:rsidR="008F274C">
          <w:rPr>
            <w:bCs/>
            <w:lang w:val="en-GB"/>
          </w:rPr>
          <w:fldChar w:fldCharType="begin"/>
        </w:r>
        <w:r w:rsidR="008F274C">
          <w:rPr>
            <w:bCs/>
            <w:lang w:val="en-GB"/>
          </w:rPr>
          <w:instrText>HYPERLINK "</w:instrText>
        </w:r>
      </w:ins>
      <w:r w:rsidR="008F274C" w:rsidRPr="00E40996">
        <w:rPr>
          <w:rStyle w:val="Hyperlink"/>
          <w:bCs/>
          <w:lang w:val="en-GB"/>
        </w:rPr>
        <w:instrText>http</w:instrText>
      </w:r>
      <w:ins w:id="30" w:author="AbbVie19" w:date="2025-04-17T10:29:00Z">
        <w:r w:rsidR="008F274C" w:rsidRPr="00E40996">
          <w:rPr>
            <w:rStyle w:val="Hyperlink"/>
            <w:bCs/>
            <w:lang w:val="en-GB"/>
          </w:rPr>
          <w:instrText>s</w:instrText>
        </w:r>
      </w:ins>
      <w:r w:rsidR="008F274C" w:rsidRPr="00E40996">
        <w:rPr>
          <w:rStyle w:val="Hyperlink"/>
          <w:bCs/>
          <w:lang w:val="en-GB"/>
        </w:rPr>
        <w:instrText>://www.ema.europa.eu</w:instrText>
      </w:r>
      <w:ins w:id="31" w:author="AbbVie19" w:date="2025-04-17T10:30:00Z">
        <w:r w:rsidR="008F274C">
          <w:rPr>
            <w:bCs/>
            <w:lang w:val="en-GB"/>
          </w:rPr>
          <w:instrText>"</w:instrText>
        </w:r>
        <w:r w:rsidR="008F274C">
          <w:rPr>
            <w:bCs/>
            <w:lang w:val="en-GB"/>
          </w:rPr>
        </w:r>
        <w:r w:rsidR="008F274C">
          <w:rPr>
            <w:bCs/>
            <w:lang w:val="en-GB"/>
          </w:rPr>
          <w:fldChar w:fldCharType="separate"/>
        </w:r>
      </w:ins>
      <w:r w:rsidR="008F274C" w:rsidRPr="008F274C">
        <w:rPr>
          <w:rStyle w:val="Hyperlink"/>
          <w:bCs/>
          <w:lang w:val="en-GB"/>
        </w:rPr>
        <w:t>http</w:t>
      </w:r>
      <w:ins w:id="32" w:author="AbbVie19" w:date="2025-04-17T10:29:00Z">
        <w:r w:rsidR="008F274C" w:rsidRPr="008F274C">
          <w:rPr>
            <w:rStyle w:val="Hyperlink"/>
            <w:bCs/>
            <w:lang w:val="en-GB"/>
          </w:rPr>
          <w:t>s</w:t>
        </w:r>
      </w:ins>
      <w:r w:rsidR="008F274C" w:rsidRPr="008F274C">
        <w:rPr>
          <w:rStyle w:val="Hyperlink"/>
          <w:bCs/>
          <w:lang w:val="en-GB"/>
        </w:rPr>
        <w:t>://www.ema.europa.eu</w:t>
      </w:r>
      <w:ins w:id="33" w:author="AbbVie19" w:date="2025-04-17T10:30:00Z">
        <w:r w:rsidR="008F274C">
          <w:rPr>
            <w:bCs/>
            <w:lang w:val="en-GB"/>
          </w:rPr>
          <w:fldChar w:fldCharType="end"/>
        </w:r>
      </w:ins>
    </w:p>
    <w:p w14:paraId="66E2B608" w14:textId="77777777" w:rsidR="00CE7FEF" w:rsidRDefault="00944B8F">
      <w:pPr>
        <w:tabs>
          <w:tab w:val="clear" w:pos="562"/>
        </w:tabs>
        <w:suppressAutoHyphens w:val="0"/>
        <w:spacing w:after="200" w:line="276" w:lineRule="auto"/>
        <w:rPr>
          <w:iCs/>
          <w:szCs w:val="20"/>
        </w:rPr>
      </w:pPr>
      <w:r>
        <w:rPr>
          <w:iCs/>
          <w:szCs w:val="20"/>
        </w:rPr>
        <w:br w:type="page"/>
      </w:r>
    </w:p>
    <w:p w14:paraId="226E5156" w14:textId="77777777" w:rsidR="00BC0E7E" w:rsidRPr="00BC0E7E" w:rsidRDefault="00944B8F" w:rsidP="00AB3BE8">
      <w:pPr>
        <w:outlineLvl w:val="0"/>
        <w:rPr>
          <w:del w:id="34" w:author="AbbVie19" w:date="2025-04-16T10:35:00Z"/>
          <w:b/>
          <w:caps/>
          <w:szCs w:val="20"/>
        </w:rPr>
      </w:pPr>
      <w:del w:id="35" w:author="AbbVie19" w:date="2025-04-16T10:35:00Z">
        <w:r w:rsidRPr="00BC0E7E">
          <w:rPr>
            <w:b/>
            <w:caps/>
            <w:szCs w:val="20"/>
          </w:rPr>
          <w:lastRenderedPageBreak/>
          <w:delText>1.</w:delText>
        </w:r>
        <w:r w:rsidRPr="00BC0E7E">
          <w:rPr>
            <w:b/>
            <w:caps/>
            <w:szCs w:val="20"/>
          </w:rPr>
          <w:tab/>
          <w:delText xml:space="preserve">NAME OF THE MEDICINAL PRODUCT </w:delText>
        </w:r>
      </w:del>
    </w:p>
    <w:p w14:paraId="7D331074" w14:textId="77777777" w:rsidR="00BC0E7E" w:rsidRPr="00BC0E7E" w:rsidRDefault="00BC0E7E" w:rsidP="00BC0E7E">
      <w:pPr>
        <w:rPr>
          <w:del w:id="36" w:author="AbbVie19" w:date="2025-04-16T10:35:00Z"/>
          <w:szCs w:val="20"/>
        </w:rPr>
      </w:pPr>
    </w:p>
    <w:p w14:paraId="2B0B2588" w14:textId="77777777" w:rsidR="00BC0E7E" w:rsidRPr="00BC0E7E" w:rsidRDefault="00944B8F" w:rsidP="00BC0E7E">
      <w:pPr>
        <w:tabs>
          <w:tab w:val="clear" w:pos="562"/>
        </w:tabs>
        <w:rPr>
          <w:del w:id="37" w:author="AbbVie19" w:date="2025-04-16T10:35:00Z"/>
        </w:rPr>
      </w:pPr>
      <w:del w:id="38" w:author="AbbVie19" w:date="2025-04-16T10:35:00Z">
        <w:r w:rsidRPr="00BC0E7E">
          <w:delText>Humira 40 mg/0.8 ml solution for injection</w:delText>
        </w:r>
      </w:del>
    </w:p>
    <w:p w14:paraId="65ABA1C1" w14:textId="77777777" w:rsidR="00BC0E7E" w:rsidRPr="00BC0E7E" w:rsidRDefault="00BC0E7E" w:rsidP="00BC0E7E">
      <w:pPr>
        <w:tabs>
          <w:tab w:val="clear" w:pos="562"/>
        </w:tabs>
        <w:rPr>
          <w:del w:id="39" w:author="AbbVie19" w:date="2025-04-16T10:35:00Z"/>
        </w:rPr>
      </w:pPr>
    </w:p>
    <w:p w14:paraId="046950AB" w14:textId="77777777" w:rsidR="00BC0E7E" w:rsidRPr="00BC0E7E" w:rsidRDefault="00BC0E7E" w:rsidP="00BC0E7E">
      <w:pPr>
        <w:tabs>
          <w:tab w:val="clear" w:pos="562"/>
        </w:tabs>
        <w:rPr>
          <w:del w:id="40" w:author="AbbVie19" w:date="2025-04-16T10:35:00Z"/>
        </w:rPr>
      </w:pPr>
    </w:p>
    <w:p w14:paraId="574864A5" w14:textId="77777777" w:rsidR="00BC0E7E" w:rsidRPr="00BC0E7E" w:rsidRDefault="00944B8F" w:rsidP="00BC0E7E">
      <w:pPr>
        <w:outlineLvl w:val="0"/>
        <w:rPr>
          <w:del w:id="41" w:author="AbbVie19" w:date="2025-04-16T10:35:00Z"/>
          <w:b/>
          <w:caps/>
          <w:szCs w:val="20"/>
        </w:rPr>
      </w:pPr>
      <w:del w:id="42" w:author="AbbVie19" w:date="2025-04-16T10:35:00Z">
        <w:r w:rsidRPr="00BC0E7E">
          <w:rPr>
            <w:b/>
            <w:caps/>
            <w:szCs w:val="20"/>
          </w:rPr>
          <w:delText>2.</w:delText>
        </w:r>
        <w:r w:rsidRPr="00BC0E7E">
          <w:rPr>
            <w:b/>
            <w:caps/>
            <w:szCs w:val="20"/>
          </w:rPr>
          <w:tab/>
          <w:delText xml:space="preserve">QUALITATIVE AND QUANTITATIVE COMPOSITION </w:delText>
        </w:r>
      </w:del>
    </w:p>
    <w:p w14:paraId="0F49F472" w14:textId="77777777" w:rsidR="00BC0E7E" w:rsidRPr="00BC0E7E" w:rsidRDefault="00BC0E7E" w:rsidP="00BC0E7E">
      <w:pPr>
        <w:rPr>
          <w:del w:id="43" w:author="AbbVie19" w:date="2025-04-16T10:35:00Z"/>
          <w:szCs w:val="20"/>
        </w:rPr>
      </w:pPr>
    </w:p>
    <w:p w14:paraId="23337F79" w14:textId="77777777" w:rsidR="00BC0E7E" w:rsidRPr="00BC0E7E" w:rsidRDefault="00944B8F" w:rsidP="00BC0E7E">
      <w:pPr>
        <w:autoSpaceDE w:val="0"/>
        <w:autoSpaceDN w:val="0"/>
        <w:adjustRightInd w:val="0"/>
        <w:rPr>
          <w:del w:id="44" w:author="AbbVie19" w:date="2025-04-16T10:35:00Z"/>
        </w:rPr>
      </w:pPr>
      <w:del w:id="45" w:author="AbbVie19" w:date="2025-04-16T10:35:00Z">
        <w:r w:rsidRPr="00BC0E7E">
          <w:delText xml:space="preserve">Each 0.8 ml single dose vial contains 40 mg of adalimumab. </w:delText>
        </w:r>
      </w:del>
    </w:p>
    <w:p w14:paraId="09AE186E" w14:textId="77777777" w:rsidR="00BC0E7E" w:rsidRPr="00BC0E7E" w:rsidRDefault="00BC0E7E" w:rsidP="00BC0E7E">
      <w:pPr>
        <w:autoSpaceDE w:val="0"/>
        <w:autoSpaceDN w:val="0"/>
        <w:adjustRightInd w:val="0"/>
        <w:rPr>
          <w:del w:id="46" w:author="AbbVie19" w:date="2025-04-16T10:35:00Z"/>
        </w:rPr>
      </w:pPr>
    </w:p>
    <w:p w14:paraId="76EBF4C5" w14:textId="77777777" w:rsidR="00BC0E7E" w:rsidRPr="00BC0E7E" w:rsidRDefault="00944B8F" w:rsidP="00BC0E7E">
      <w:pPr>
        <w:autoSpaceDE w:val="0"/>
        <w:autoSpaceDN w:val="0"/>
        <w:adjustRightInd w:val="0"/>
        <w:rPr>
          <w:del w:id="47" w:author="AbbVie19" w:date="2025-04-16T10:35:00Z"/>
        </w:rPr>
      </w:pPr>
      <w:del w:id="48" w:author="AbbVie19" w:date="2025-04-16T10:35:00Z">
        <w:r w:rsidRPr="00BC0E7E">
          <w:delText xml:space="preserve">Adalimumab is a recombinant human monoclonal antibody </w:delText>
        </w:r>
        <w:r w:rsidR="00AB3BE8">
          <w:delText>produced</w:delText>
        </w:r>
        <w:r w:rsidR="00AB3BE8" w:rsidRPr="00BC0E7E">
          <w:delText xml:space="preserve"> </w:delText>
        </w:r>
        <w:r w:rsidRPr="00BC0E7E">
          <w:delText>in Chinese Hamster Ovary cells.</w:delText>
        </w:r>
      </w:del>
    </w:p>
    <w:p w14:paraId="551A2E57" w14:textId="77777777" w:rsidR="00BC0E7E" w:rsidRPr="00BC0E7E" w:rsidRDefault="00BC0E7E" w:rsidP="00BC0E7E">
      <w:pPr>
        <w:tabs>
          <w:tab w:val="clear" w:pos="562"/>
        </w:tabs>
        <w:rPr>
          <w:del w:id="49" w:author="AbbVie19" w:date="2025-04-16T10:35:00Z"/>
        </w:rPr>
      </w:pPr>
    </w:p>
    <w:p w14:paraId="68709459" w14:textId="77777777" w:rsidR="00BC0E7E" w:rsidRPr="00BC0E7E" w:rsidRDefault="00944B8F" w:rsidP="00BC0E7E">
      <w:pPr>
        <w:tabs>
          <w:tab w:val="clear" w:pos="562"/>
        </w:tabs>
        <w:rPr>
          <w:del w:id="50" w:author="AbbVie19" w:date="2025-04-16T10:35:00Z"/>
        </w:rPr>
      </w:pPr>
      <w:del w:id="51" w:author="AbbVie19" w:date="2025-04-16T10:35:00Z">
        <w:r w:rsidRPr="00BC0E7E">
          <w:delText xml:space="preserve">For the full list of excipients, see section 6.1. </w:delText>
        </w:r>
      </w:del>
    </w:p>
    <w:p w14:paraId="41F804E1" w14:textId="77777777" w:rsidR="00BC0E7E" w:rsidRPr="00BC0E7E" w:rsidRDefault="00BC0E7E" w:rsidP="00BC0E7E">
      <w:pPr>
        <w:tabs>
          <w:tab w:val="clear" w:pos="562"/>
        </w:tabs>
        <w:rPr>
          <w:del w:id="52" w:author="AbbVie19" w:date="2025-04-16T10:35:00Z"/>
        </w:rPr>
      </w:pPr>
    </w:p>
    <w:p w14:paraId="62E010D1" w14:textId="77777777" w:rsidR="00BC0E7E" w:rsidRPr="00BC0E7E" w:rsidRDefault="00BC0E7E" w:rsidP="00BC0E7E">
      <w:pPr>
        <w:tabs>
          <w:tab w:val="clear" w:pos="562"/>
        </w:tabs>
        <w:rPr>
          <w:del w:id="53" w:author="AbbVie19" w:date="2025-04-16T10:35:00Z"/>
        </w:rPr>
      </w:pPr>
    </w:p>
    <w:p w14:paraId="48F1FD0A" w14:textId="77777777" w:rsidR="00BC0E7E" w:rsidRPr="00BC0E7E" w:rsidRDefault="00944B8F" w:rsidP="00BC0E7E">
      <w:pPr>
        <w:outlineLvl w:val="0"/>
        <w:rPr>
          <w:del w:id="54" w:author="AbbVie19" w:date="2025-04-16T10:35:00Z"/>
          <w:b/>
          <w:szCs w:val="20"/>
        </w:rPr>
      </w:pPr>
      <w:del w:id="55" w:author="AbbVie19" w:date="2025-04-16T10:35:00Z">
        <w:r w:rsidRPr="00BC0E7E">
          <w:rPr>
            <w:b/>
            <w:caps/>
            <w:szCs w:val="20"/>
          </w:rPr>
          <w:delText>3.</w:delText>
        </w:r>
        <w:r w:rsidRPr="00BC0E7E">
          <w:rPr>
            <w:b/>
            <w:caps/>
            <w:szCs w:val="20"/>
          </w:rPr>
          <w:tab/>
          <w:delText xml:space="preserve">PHARMACEUTICAL </w:delText>
        </w:r>
        <w:r w:rsidRPr="00BC0E7E">
          <w:rPr>
            <w:b/>
            <w:szCs w:val="20"/>
          </w:rPr>
          <w:delText xml:space="preserve">FORM </w:delText>
        </w:r>
      </w:del>
    </w:p>
    <w:p w14:paraId="06853DAE" w14:textId="77777777" w:rsidR="00BC0E7E" w:rsidRPr="00BC0E7E" w:rsidRDefault="00BC0E7E" w:rsidP="00BC0E7E">
      <w:pPr>
        <w:rPr>
          <w:del w:id="56" w:author="AbbVie19" w:date="2025-04-16T10:35:00Z"/>
          <w:szCs w:val="20"/>
        </w:rPr>
      </w:pPr>
    </w:p>
    <w:p w14:paraId="409BF5E8" w14:textId="77777777" w:rsidR="00BC0E7E" w:rsidRPr="00BC0E7E" w:rsidRDefault="00944B8F" w:rsidP="00BC0E7E">
      <w:pPr>
        <w:tabs>
          <w:tab w:val="clear" w:pos="562"/>
        </w:tabs>
        <w:rPr>
          <w:del w:id="57" w:author="AbbVie19" w:date="2025-04-16T10:35:00Z"/>
        </w:rPr>
      </w:pPr>
      <w:del w:id="58" w:author="AbbVie19" w:date="2025-04-16T10:35:00Z">
        <w:r w:rsidRPr="00BC0E7E">
          <w:delText>Solution for injection.</w:delText>
        </w:r>
        <w:r w:rsidR="00AB3BE8">
          <w:delText xml:space="preserve"> (injection)</w:delText>
        </w:r>
      </w:del>
    </w:p>
    <w:p w14:paraId="3A3599E0" w14:textId="77777777" w:rsidR="00BC0E7E" w:rsidRPr="00BC0E7E" w:rsidRDefault="00BC0E7E" w:rsidP="00BC0E7E">
      <w:pPr>
        <w:tabs>
          <w:tab w:val="clear" w:pos="562"/>
        </w:tabs>
        <w:rPr>
          <w:del w:id="59" w:author="AbbVie19" w:date="2025-04-16T10:35:00Z"/>
        </w:rPr>
      </w:pPr>
    </w:p>
    <w:p w14:paraId="355D02FD" w14:textId="77777777" w:rsidR="00BC0E7E" w:rsidRPr="00BC0E7E" w:rsidRDefault="00944B8F" w:rsidP="00BC0E7E">
      <w:pPr>
        <w:tabs>
          <w:tab w:val="clear" w:pos="562"/>
        </w:tabs>
        <w:rPr>
          <w:del w:id="60" w:author="AbbVie19" w:date="2025-04-16T10:35:00Z"/>
        </w:rPr>
      </w:pPr>
      <w:del w:id="61" w:author="AbbVie19" w:date="2025-04-16T10:35:00Z">
        <w:r w:rsidRPr="00BC0E7E">
          <w:delText>Clear, colourless solution.</w:delText>
        </w:r>
      </w:del>
    </w:p>
    <w:p w14:paraId="4C486ADE" w14:textId="77777777" w:rsidR="00BC0E7E" w:rsidRPr="00BC0E7E" w:rsidRDefault="00BC0E7E" w:rsidP="00BC0E7E">
      <w:pPr>
        <w:tabs>
          <w:tab w:val="clear" w:pos="562"/>
        </w:tabs>
        <w:rPr>
          <w:del w:id="62" w:author="AbbVie19" w:date="2025-04-16T10:35:00Z"/>
        </w:rPr>
      </w:pPr>
    </w:p>
    <w:p w14:paraId="1138A104" w14:textId="77777777" w:rsidR="00BC0E7E" w:rsidRPr="00BC0E7E" w:rsidRDefault="00BC0E7E" w:rsidP="00BC0E7E">
      <w:pPr>
        <w:tabs>
          <w:tab w:val="clear" w:pos="562"/>
        </w:tabs>
        <w:rPr>
          <w:del w:id="63" w:author="AbbVie19" w:date="2025-04-16T10:35:00Z"/>
        </w:rPr>
      </w:pPr>
    </w:p>
    <w:p w14:paraId="4485CC2D" w14:textId="77777777" w:rsidR="00BC0E7E" w:rsidRPr="00BC0E7E" w:rsidRDefault="00944B8F" w:rsidP="00BC0E7E">
      <w:pPr>
        <w:outlineLvl w:val="0"/>
        <w:rPr>
          <w:del w:id="64" w:author="AbbVie19" w:date="2025-04-16T10:35:00Z"/>
          <w:b/>
          <w:caps/>
          <w:szCs w:val="20"/>
        </w:rPr>
      </w:pPr>
      <w:del w:id="65" w:author="AbbVie19" w:date="2025-04-16T10:35:00Z">
        <w:r w:rsidRPr="00BC0E7E">
          <w:rPr>
            <w:b/>
            <w:szCs w:val="20"/>
          </w:rPr>
          <w:delText>4.</w:delText>
        </w:r>
        <w:r w:rsidRPr="00BC0E7E">
          <w:rPr>
            <w:b/>
            <w:szCs w:val="20"/>
          </w:rPr>
          <w:tab/>
          <w:delText>CLINICAL PARTICULARS</w:delText>
        </w:r>
      </w:del>
    </w:p>
    <w:p w14:paraId="5BF6BD40" w14:textId="77777777" w:rsidR="00BC0E7E" w:rsidRPr="00BC0E7E" w:rsidRDefault="00BC0E7E" w:rsidP="00BC0E7E">
      <w:pPr>
        <w:rPr>
          <w:del w:id="66" w:author="AbbVie19" w:date="2025-04-16T10:35:00Z"/>
          <w:szCs w:val="20"/>
        </w:rPr>
      </w:pPr>
    </w:p>
    <w:p w14:paraId="23C73777" w14:textId="77777777" w:rsidR="00BC0E7E" w:rsidRPr="00BC0E7E" w:rsidRDefault="00944B8F" w:rsidP="00BC0E7E">
      <w:pPr>
        <w:suppressAutoHyphens w:val="0"/>
        <w:outlineLvl w:val="1"/>
        <w:rPr>
          <w:del w:id="67" w:author="AbbVie19" w:date="2025-04-16T10:35:00Z"/>
          <w:b/>
          <w:szCs w:val="20"/>
        </w:rPr>
      </w:pPr>
      <w:del w:id="68" w:author="AbbVie19" w:date="2025-04-16T10:35:00Z">
        <w:r w:rsidRPr="00BC0E7E">
          <w:rPr>
            <w:b/>
            <w:szCs w:val="20"/>
          </w:rPr>
          <w:delText>4.1</w:delText>
        </w:r>
        <w:r w:rsidRPr="00BC0E7E">
          <w:rPr>
            <w:b/>
            <w:szCs w:val="20"/>
          </w:rPr>
          <w:tab/>
          <w:delText xml:space="preserve">Therapeutic indications </w:delText>
        </w:r>
      </w:del>
    </w:p>
    <w:p w14:paraId="2CA78355" w14:textId="77777777" w:rsidR="00BC0E7E" w:rsidRPr="00BC0E7E" w:rsidRDefault="00BC0E7E" w:rsidP="00BC0E7E">
      <w:pPr>
        <w:rPr>
          <w:del w:id="69" w:author="AbbVie19" w:date="2025-04-16T10:35:00Z"/>
          <w:szCs w:val="20"/>
        </w:rPr>
      </w:pPr>
    </w:p>
    <w:p w14:paraId="31662913" w14:textId="77777777" w:rsidR="00BC0E7E" w:rsidRPr="00BC0E7E" w:rsidRDefault="00944B8F" w:rsidP="00BC0E7E">
      <w:pPr>
        <w:tabs>
          <w:tab w:val="clear" w:pos="562"/>
        </w:tabs>
        <w:rPr>
          <w:del w:id="70" w:author="AbbVie19" w:date="2025-04-16T10:35:00Z"/>
          <w:u w:val="single"/>
        </w:rPr>
      </w:pPr>
      <w:del w:id="71" w:author="AbbVie19" w:date="2025-04-16T10:35:00Z">
        <w:r w:rsidRPr="00BC0E7E">
          <w:rPr>
            <w:u w:val="single"/>
          </w:rPr>
          <w:delText>Juvenile idiopathic arthritis</w:delText>
        </w:r>
      </w:del>
    </w:p>
    <w:p w14:paraId="37428589" w14:textId="77777777" w:rsidR="00BC0E7E" w:rsidRPr="00BC0E7E" w:rsidRDefault="00BC0E7E" w:rsidP="00BC0E7E">
      <w:pPr>
        <w:tabs>
          <w:tab w:val="clear" w:pos="562"/>
        </w:tabs>
        <w:rPr>
          <w:del w:id="72" w:author="AbbVie19" w:date="2025-04-16T10:35:00Z"/>
          <w:u w:val="single"/>
        </w:rPr>
      </w:pPr>
    </w:p>
    <w:p w14:paraId="0E09A520" w14:textId="77777777" w:rsidR="00BC0E7E" w:rsidRPr="00BC0E7E" w:rsidRDefault="00944B8F" w:rsidP="00BC0E7E">
      <w:pPr>
        <w:rPr>
          <w:del w:id="73" w:author="AbbVie19" w:date="2025-04-16T10:35:00Z"/>
          <w:i/>
          <w:szCs w:val="20"/>
        </w:rPr>
      </w:pPr>
      <w:del w:id="74" w:author="AbbVie19" w:date="2025-04-16T10:35:00Z">
        <w:r w:rsidRPr="00BC0E7E">
          <w:rPr>
            <w:i/>
            <w:szCs w:val="20"/>
          </w:rPr>
          <w:delText>Polyarticular juvenile idiopathic arthritis</w:delText>
        </w:r>
      </w:del>
    </w:p>
    <w:p w14:paraId="231073A0" w14:textId="77777777" w:rsidR="00BC0E7E" w:rsidRPr="00BC0E7E" w:rsidRDefault="00BC0E7E" w:rsidP="00BC0E7E">
      <w:pPr>
        <w:rPr>
          <w:del w:id="75" w:author="AbbVie19" w:date="2025-04-16T10:35:00Z"/>
        </w:rPr>
      </w:pPr>
    </w:p>
    <w:p w14:paraId="4930810A" w14:textId="77777777" w:rsidR="00BC0E7E" w:rsidRPr="00BC0E7E" w:rsidRDefault="00944B8F" w:rsidP="00BC0E7E">
      <w:pPr>
        <w:tabs>
          <w:tab w:val="clear" w:pos="562"/>
        </w:tabs>
        <w:rPr>
          <w:del w:id="76" w:author="AbbVie19" w:date="2025-04-16T10:35:00Z"/>
        </w:rPr>
      </w:pPr>
      <w:del w:id="77" w:author="AbbVie19" w:date="2025-04-16T10:35:00Z">
        <w:r w:rsidRPr="00BC0E7E">
          <w:delText xml:space="preserve">Humira in combination with methotrexate is indicated for the treatment of active polyarticular juvenile idiopathic arthritis, in patients from the age of 2 years who have had an inadequate response to one or more disease-modifying anti-rheumatic drugs (DMARDs). Humira can be given as monotherapy in case of intolerance to methotrexate or when continued treatment with methotrexate is inappropriate (for the efficacy in monotherapy see section 5.1). Humira has not been studied in patients aged less than 2 years. </w:delText>
        </w:r>
      </w:del>
    </w:p>
    <w:p w14:paraId="64D33426" w14:textId="77777777" w:rsidR="00BC0E7E" w:rsidRPr="00BC0E7E" w:rsidRDefault="00BC0E7E" w:rsidP="00BC0E7E">
      <w:pPr>
        <w:tabs>
          <w:tab w:val="clear" w:pos="562"/>
        </w:tabs>
        <w:rPr>
          <w:del w:id="78" w:author="AbbVie19" w:date="2025-04-16T10:35:00Z"/>
        </w:rPr>
      </w:pPr>
    </w:p>
    <w:p w14:paraId="158475A4" w14:textId="77777777" w:rsidR="00BC0E7E" w:rsidRPr="00BC0E7E" w:rsidRDefault="00944B8F" w:rsidP="00BC0E7E">
      <w:pPr>
        <w:tabs>
          <w:tab w:val="clear" w:pos="562"/>
        </w:tabs>
        <w:rPr>
          <w:del w:id="79" w:author="AbbVie19" w:date="2025-04-16T10:35:00Z"/>
          <w:i/>
        </w:rPr>
      </w:pPr>
      <w:del w:id="80" w:author="AbbVie19" w:date="2025-04-16T10:35:00Z">
        <w:r w:rsidRPr="00BC0E7E">
          <w:rPr>
            <w:i/>
          </w:rPr>
          <w:delText>Enthesitis-related arthritis</w:delText>
        </w:r>
      </w:del>
    </w:p>
    <w:p w14:paraId="15A1D445" w14:textId="77777777" w:rsidR="00BC0E7E" w:rsidRPr="00BC0E7E" w:rsidRDefault="00BC0E7E" w:rsidP="00BC0E7E">
      <w:pPr>
        <w:tabs>
          <w:tab w:val="clear" w:pos="562"/>
        </w:tabs>
        <w:rPr>
          <w:del w:id="81" w:author="AbbVie19" w:date="2025-04-16T10:35:00Z"/>
          <w:b/>
          <w:i/>
        </w:rPr>
      </w:pPr>
    </w:p>
    <w:p w14:paraId="7C591DAD" w14:textId="77777777" w:rsidR="00BC0E7E" w:rsidRPr="00BC0E7E" w:rsidRDefault="00944B8F" w:rsidP="00BC0E7E">
      <w:pPr>
        <w:tabs>
          <w:tab w:val="clear" w:pos="562"/>
        </w:tabs>
        <w:rPr>
          <w:del w:id="82" w:author="AbbVie19" w:date="2025-04-16T10:35:00Z"/>
        </w:rPr>
      </w:pPr>
      <w:del w:id="83" w:author="AbbVie19" w:date="2025-04-16T10:35:00Z">
        <w:r w:rsidRPr="00BC0E7E">
          <w:rPr>
            <w:bCs/>
            <w:iCs/>
          </w:rPr>
          <w:delText xml:space="preserve">Humira is indicated for the treatment of active enthesitis-related arthritis in patients, 6 years of age and older, who have </w:delText>
        </w:r>
        <w:r w:rsidRPr="00BC0E7E">
          <w:delText>had an inadequate response to, or who are intolerant of, conventional therapy (see section 5.1).</w:delText>
        </w:r>
      </w:del>
    </w:p>
    <w:p w14:paraId="01D4620C" w14:textId="77777777" w:rsidR="00BC0E7E" w:rsidRPr="00BC0E7E" w:rsidRDefault="00BC0E7E" w:rsidP="00BC0E7E">
      <w:pPr>
        <w:tabs>
          <w:tab w:val="clear" w:pos="562"/>
        </w:tabs>
        <w:rPr>
          <w:del w:id="84" w:author="AbbVie19" w:date="2025-04-16T10:35:00Z"/>
        </w:rPr>
      </w:pPr>
    </w:p>
    <w:p w14:paraId="4BC224ED" w14:textId="77777777" w:rsidR="00BC0E7E" w:rsidRPr="00BC0E7E" w:rsidRDefault="00944B8F" w:rsidP="00BC0E7E">
      <w:pPr>
        <w:rPr>
          <w:del w:id="85" w:author="AbbVie19" w:date="2025-04-16T10:35:00Z"/>
          <w:szCs w:val="20"/>
          <w:u w:val="single"/>
        </w:rPr>
      </w:pPr>
      <w:del w:id="86" w:author="AbbVie19" w:date="2025-04-16T10:35:00Z">
        <w:r w:rsidRPr="00BC0E7E">
          <w:rPr>
            <w:szCs w:val="20"/>
            <w:u w:val="single"/>
          </w:rPr>
          <w:delText>Paediatric plaque psoriasis</w:delText>
        </w:r>
      </w:del>
    </w:p>
    <w:p w14:paraId="720F6546" w14:textId="77777777" w:rsidR="00BC0E7E" w:rsidRPr="00BC0E7E" w:rsidRDefault="00BC0E7E" w:rsidP="00BC0E7E">
      <w:pPr>
        <w:rPr>
          <w:del w:id="87" w:author="AbbVie19" w:date="2025-04-16T10:35:00Z"/>
          <w:szCs w:val="20"/>
        </w:rPr>
      </w:pPr>
    </w:p>
    <w:p w14:paraId="53AD22B8" w14:textId="77777777" w:rsidR="00BC0E7E" w:rsidRPr="00BC0E7E" w:rsidRDefault="00944B8F" w:rsidP="00BC0E7E">
      <w:pPr>
        <w:rPr>
          <w:del w:id="88" w:author="AbbVie19" w:date="2025-04-16T10:35:00Z"/>
          <w:iCs/>
        </w:rPr>
      </w:pPr>
      <w:del w:id="89" w:author="AbbVie19" w:date="2025-04-16T10:35:00Z">
        <w:r w:rsidRPr="00BC0E7E">
          <w:rPr>
            <w:iCs/>
          </w:rPr>
          <w:delText>Humira is indicated for the treatment of severe chronic plaque psoriasis in children and adolescents from 4 years of age who have had an inadequate response to or are inappropriate candidates for topical therapy and phototherapies.</w:delText>
        </w:r>
      </w:del>
    </w:p>
    <w:p w14:paraId="3419C316" w14:textId="77777777" w:rsidR="00BC0E7E" w:rsidRPr="00BC0E7E" w:rsidRDefault="00BC0E7E" w:rsidP="00BC0E7E">
      <w:pPr>
        <w:rPr>
          <w:del w:id="90" w:author="AbbVie19" w:date="2025-04-16T10:35:00Z"/>
          <w:i/>
          <w:szCs w:val="22"/>
          <w:u w:val="single"/>
        </w:rPr>
      </w:pPr>
    </w:p>
    <w:p w14:paraId="5B5DFF74" w14:textId="77777777" w:rsidR="00680D32" w:rsidRPr="00BC0E7E" w:rsidRDefault="00944B8F" w:rsidP="00680D32">
      <w:pPr>
        <w:keepNext/>
        <w:rPr>
          <w:del w:id="91" w:author="AbbVie19" w:date="2025-04-16T10:35:00Z"/>
          <w:iCs/>
          <w:u w:val="single"/>
        </w:rPr>
      </w:pPr>
      <w:del w:id="92" w:author="AbbVie19" w:date="2025-04-16T10:35:00Z">
        <w:r w:rsidRPr="00BC0E7E">
          <w:rPr>
            <w:iCs/>
            <w:u w:val="single"/>
          </w:rPr>
          <w:lastRenderedPageBreak/>
          <w:delText>Adolescent hidradenitis suppurativa</w:delText>
        </w:r>
      </w:del>
    </w:p>
    <w:p w14:paraId="401DE486" w14:textId="77777777" w:rsidR="00680D32" w:rsidRPr="00BC0E7E" w:rsidRDefault="00680D32" w:rsidP="00680D32">
      <w:pPr>
        <w:keepNext/>
        <w:rPr>
          <w:del w:id="93" w:author="AbbVie19" w:date="2025-04-16T10:35:00Z"/>
          <w:iCs/>
        </w:rPr>
      </w:pPr>
    </w:p>
    <w:p w14:paraId="55D4CB49" w14:textId="77777777" w:rsidR="00680D32" w:rsidRPr="00BC0E7E" w:rsidRDefault="00944B8F" w:rsidP="00680D32">
      <w:pPr>
        <w:keepNext/>
        <w:rPr>
          <w:del w:id="94" w:author="AbbVie19" w:date="2025-04-16T10:35:00Z"/>
          <w:iCs/>
        </w:rPr>
      </w:pPr>
      <w:del w:id="95" w:author="AbbVie19" w:date="2025-04-16T10:35:00Z">
        <w:r w:rsidRPr="00BC0E7E">
          <w:rPr>
            <w:iCs/>
          </w:rPr>
          <w:delText xml:space="preserve">Humira is indicated for the treatment of active moderate to severe hidradenitis suppurativa (acne inversa) in </w:delText>
        </w:r>
        <w:r w:rsidRPr="00BC0E7E">
          <w:delText>adolescents</w:delText>
        </w:r>
        <w:r w:rsidRPr="00BC0E7E">
          <w:rPr>
            <w:iCs/>
          </w:rPr>
          <w:delText xml:space="preserve"> from 12 years of age with an inadequate response to conventional systemic HS therapy (see sections 5.1 and 5.2).</w:delText>
        </w:r>
      </w:del>
    </w:p>
    <w:p w14:paraId="5F878ADB" w14:textId="77777777" w:rsidR="00680D32" w:rsidRPr="00BC0E7E" w:rsidRDefault="00680D32" w:rsidP="00680D32">
      <w:pPr>
        <w:keepNext/>
        <w:rPr>
          <w:del w:id="96" w:author="AbbVie19" w:date="2025-04-16T10:35:00Z"/>
          <w:iCs/>
        </w:rPr>
      </w:pPr>
    </w:p>
    <w:p w14:paraId="6DE6DD81" w14:textId="77777777" w:rsidR="00BC0E7E" w:rsidRPr="00BC0E7E" w:rsidRDefault="00944B8F" w:rsidP="00BC0E7E">
      <w:pPr>
        <w:rPr>
          <w:del w:id="97" w:author="AbbVie19" w:date="2025-04-16T10:35:00Z"/>
          <w:szCs w:val="22"/>
          <w:u w:val="single"/>
        </w:rPr>
      </w:pPr>
      <w:del w:id="98" w:author="AbbVie19" w:date="2025-04-16T10:35:00Z">
        <w:r w:rsidRPr="00BC0E7E">
          <w:rPr>
            <w:szCs w:val="22"/>
            <w:u w:val="single"/>
          </w:rPr>
          <w:delText xml:space="preserve">Paediatric Crohn's disease </w:delText>
        </w:r>
      </w:del>
    </w:p>
    <w:p w14:paraId="4CCC97EC" w14:textId="77777777" w:rsidR="00BC0E7E" w:rsidRPr="00BC0E7E" w:rsidRDefault="00BC0E7E" w:rsidP="00BC0E7E">
      <w:pPr>
        <w:rPr>
          <w:del w:id="99" w:author="AbbVie19" w:date="2025-04-16T10:35:00Z"/>
          <w:i/>
          <w:szCs w:val="22"/>
        </w:rPr>
      </w:pPr>
    </w:p>
    <w:p w14:paraId="5FED0E87" w14:textId="77777777" w:rsidR="00BC0E7E" w:rsidRDefault="00944B8F" w:rsidP="00BC0E7E">
      <w:pPr>
        <w:tabs>
          <w:tab w:val="clear" w:pos="562"/>
        </w:tabs>
        <w:rPr>
          <w:del w:id="100" w:author="AbbVie19" w:date="2025-04-16T10:35:00Z"/>
        </w:rPr>
      </w:pPr>
      <w:del w:id="101" w:author="AbbVie19" w:date="2025-04-16T10:35:00Z">
        <w:r w:rsidRPr="00BC0E7E">
          <w:delText>Humira is indicated for the treatment of moderately to severely active Crohn's disease in paediatric patients (from 6 years of age) who have had an inadequate response to conventional therapy including primary nutrition therapy and a corticosteroid and/or an immunomodulator, or who are intolerant to or have contraindications for such therapies.</w:delText>
        </w:r>
      </w:del>
    </w:p>
    <w:p w14:paraId="24532A0F" w14:textId="77777777" w:rsidR="00B20336" w:rsidRPr="00BC0E7E" w:rsidRDefault="00B20336" w:rsidP="00BC0E7E">
      <w:pPr>
        <w:tabs>
          <w:tab w:val="clear" w:pos="562"/>
        </w:tabs>
        <w:rPr>
          <w:del w:id="102" w:author="AbbVie19" w:date="2025-04-16T10:35:00Z"/>
        </w:rPr>
      </w:pPr>
    </w:p>
    <w:p w14:paraId="25815333" w14:textId="77777777" w:rsidR="00891A0D" w:rsidRPr="005037B5" w:rsidRDefault="00944B8F" w:rsidP="00891A0D">
      <w:pPr>
        <w:rPr>
          <w:del w:id="103" w:author="AbbVie19" w:date="2025-04-16T10:35:00Z"/>
          <w:szCs w:val="20"/>
          <w:u w:val="single"/>
        </w:rPr>
      </w:pPr>
      <w:del w:id="104" w:author="AbbVie19" w:date="2025-04-16T10:35:00Z">
        <w:r w:rsidRPr="00DA728B">
          <w:rPr>
            <w:szCs w:val="20"/>
            <w:u w:val="single"/>
          </w:rPr>
          <w:delText>Paediatric ulcerative colitis</w:delText>
        </w:r>
      </w:del>
    </w:p>
    <w:p w14:paraId="6D618585" w14:textId="77777777" w:rsidR="00891A0D" w:rsidRPr="005037B5" w:rsidRDefault="00891A0D" w:rsidP="00891A0D">
      <w:pPr>
        <w:rPr>
          <w:del w:id="105" w:author="AbbVie19" w:date="2025-04-16T10:35:00Z"/>
          <w:szCs w:val="20"/>
        </w:rPr>
      </w:pPr>
    </w:p>
    <w:p w14:paraId="514C2FC8" w14:textId="77777777" w:rsidR="00C65359" w:rsidRPr="006527B0" w:rsidRDefault="00944B8F" w:rsidP="00C65359">
      <w:pPr>
        <w:rPr>
          <w:del w:id="106" w:author="AbbVie19" w:date="2025-04-16T10:35:00Z"/>
          <w:szCs w:val="20"/>
        </w:rPr>
      </w:pPr>
      <w:del w:id="107" w:author="AbbVie19" w:date="2025-04-16T10:35:00Z">
        <w:r w:rsidRPr="005037B5">
          <w:rPr>
            <w:szCs w:val="20"/>
          </w:rPr>
          <w:delText>Humira is indicated for the treatment of moderately to severely active ulcerative colitis in paediatric patients (</w:delText>
        </w:r>
        <w:r>
          <w:rPr>
            <w:szCs w:val="20"/>
          </w:rPr>
          <w:delText>from 6</w:delText>
        </w:r>
        <w:r w:rsidRPr="005037B5">
          <w:rPr>
            <w:szCs w:val="20"/>
          </w:rPr>
          <w:delText xml:space="preserve"> years of age) who have had an inadequate response to conventional therapy including corticosteroids and/or 6-mercaptopurine (6-MP) or azathioprine (AZA), or who are intolerant </w:delText>
        </w:r>
        <w:r w:rsidRPr="006527B0">
          <w:rPr>
            <w:szCs w:val="20"/>
          </w:rPr>
          <w:delText>to or have medical contraindications for such therapies</w:delText>
        </w:r>
        <w:r w:rsidRPr="005037B5">
          <w:rPr>
            <w:szCs w:val="20"/>
          </w:rPr>
          <w:delText>.</w:delText>
        </w:r>
      </w:del>
    </w:p>
    <w:p w14:paraId="72D1FE38" w14:textId="77777777" w:rsidR="00891A0D" w:rsidRDefault="00891A0D" w:rsidP="00BC0E7E">
      <w:pPr>
        <w:rPr>
          <w:del w:id="108" w:author="AbbVie19" w:date="2025-04-16T10:35:00Z"/>
          <w:szCs w:val="22"/>
          <w:u w:val="single"/>
        </w:rPr>
      </w:pPr>
    </w:p>
    <w:p w14:paraId="7D12A021" w14:textId="77777777" w:rsidR="00BC0E7E" w:rsidRPr="00BC0E7E" w:rsidRDefault="00944B8F" w:rsidP="00BC0E7E">
      <w:pPr>
        <w:rPr>
          <w:del w:id="109" w:author="AbbVie19" w:date="2025-04-16T10:35:00Z"/>
          <w:szCs w:val="22"/>
          <w:u w:val="single"/>
        </w:rPr>
      </w:pPr>
      <w:del w:id="110" w:author="AbbVie19" w:date="2025-04-16T10:35:00Z">
        <w:r w:rsidRPr="00BC0E7E">
          <w:rPr>
            <w:szCs w:val="22"/>
            <w:u w:val="single"/>
          </w:rPr>
          <w:delText>Paediatric Uveitis</w:delText>
        </w:r>
      </w:del>
    </w:p>
    <w:p w14:paraId="4E960082" w14:textId="77777777" w:rsidR="00BC0E7E" w:rsidRPr="00BC0E7E" w:rsidRDefault="00BC0E7E" w:rsidP="00BC0E7E">
      <w:pPr>
        <w:tabs>
          <w:tab w:val="clear" w:pos="562"/>
        </w:tabs>
        <w:rPr>
          <w:del w:id="111" w:author="AbbVie19" w:date="2025-04-16T10:35:00Z"/>
        </w:rPr>
      </w:pPr>
    </w:p>
    <w:p w14:paraId="6B9E5211" w14:textId="77777777" w:rsidR="0030126B" w:rsidRPr="00BC0E7E" w:rsidRDefault="00944B8F" w:rsidP="00BC0E7E">
      <w:pPr>
        <w:tabs>
          <w:tab w:val="clear" w:pos="562"/>
        </w:tabs>
        <w:rPr>
          <w:del w:id="112" w:author="AbbVie19" w:date="2025-04-16T10:35:00Z"/>
        </w:rPr>
      </w:pPr>
      <w:del w:id="113" w:author="AbbVie19" w:date="2025-04-16T10:35:00Z">
        <w:r w:rsidRPr="00BC0E7E">
          <w:delText>Humira is indicated for the treatment of paediatric chronic non-infectious anterior uveitis in patients from 2 years of age who have had an inadequate response to or are intolerant to conventional therapy, or in whom conventional therapy is inappropriate.</w:delText>
        </w:r>
      </w:del>
    </w:p>
    <w:p w14:paraId="33BF4406" w14:textId="77777777" w:rsidR="00BC0E7E" w:rsidRPr="00BC0E7E" w:rsidRDefault="00BC0E7E" w:rsidP="00BC0E7E">
      <w:pPr>
        <w:tabs>
          <w:tab w:val="clear" w:pos="562"/>
        </w:tabs>
        <w:rPr>
          <w:del w:id="114" w:author="AbbVie19" w:date="2025-04-16T10:35:00Z"/>
        </w:rPr>
      </w:pPr>
    </w:p>
    <w:p w14:paraId="4BA158BF" w14:textId="77777777" w:rsidR="00BC0E7E" w:rsidRPr="00BC0E7E" w:rsidRDefault="00944B8F" w:rsidP="00BC0E7E">
      <w:pPr>
        <w:tabs>
          <w:tab w:val="left" w:pos="1134"/>
          <w:tab w:val="left" w:pos="1701"/>
          <w:tab w:val="left" w:pos="2268"/>
          <w:tab w:val="left" w:pos="2835"/>
          <w:tab w:val="left" w:pos="3402"/>
          <w:tab w:val="left" w:pos="3969"/>
          <w:tab w:val="left" w:pos="6285"/>
        </w:tabs>
        <w:suppressAutoHyphens w:val="0"/>
        <w:outlineLvl w:val="1"/>
        <w:rPr>
          <w:del w:id="115" w:author="AbbVie19" w:date="2025-04-16T10:35:00Z"/>
          <w:b/>
          <w:szCs w:val="20"/>
        </w:rPr>
      </w:pPr>
      <w:del w:id="116" w:author="AbbVie19" w:date="2025-04-16T10:35:00Z">
        <w:r w:rsidRPr="00BC0E7E">
          <w:rPr>
            <w:b/>
            <w:szCs w:val="20"/>
          </w:rPr>
          <w:delText>4.2</w:delText>
        </w:r>
        <w:r w:rsidRPr="00BC0E7E">
          <w:rPr>
            <w:b/>
            <w:szCs w:val="20"/>
          </w:rPr>
          <w:tab/>
          <w:delText xml:space="preserve">Posology and method of administration  </w:delText>
        </w:r>
      </w:del>
    </w:p>
    <w:p w14:paraId="07D66491" w14:textId="77777777" w:rsidR="00BC0E7E" w:rsidRPr="00BC0E7E" w:rsidRDefault="00BC0E7E" w:rsidP="00BC0E7E">
      <w:pPr>
        <w:rPr>
          <w:del w:id="117" w:author="AbbVie19" w:date="2025-04-16T10:35:00Z"/>
          <w:szCs w:val="20"/>
        </w:rPr>
      </w:pPr>
    </w:p>
    <w:p w14:paraId="46DCC599" w14:textId="77777777" w:rsidR="00BC0E7E" w:rsidRPr="00BC0E7E" w:rsidRDefault="00944B8F" w:rsidP="00BC0E7E">
      <w:pPr>
        <w:tabs>
          <w:tab w:val="clear" w:pos="562"/>
        </w:tabs>
        <w:rPr>
          <w:del w:id="118" w:author="AbbVie19" w:date="2025-04-16T10:35:00Z"/>
          <w:szCs w:val="22"/>
        </w:rPr>
      </w:pPr>
      <w:del w:id="119" w:author="AbbVie19" w:date="2025-04-16T10:35:00Z">
        <w:r w:rsidRPr="00BC0E7E">
          <w:rPr>
            <w:szCs w:val="22"/>
          </w:rPr>
          <w:delText xml:space="preserve">Humira treatment should be initiated and supervised by specialist physicians experienced in the diagnosis and treatment of conditions for which Humira is indicated. Ophthalmologists are advised to consult with an appropriate specialist before initiation of treatment with Humira (see section 4.4). Patients treated with Humira should be given the </w:delText>
        </w:r>
        <w:r w:rsidR="002179FE">
          <w:rPr>
            <w:szCs w:val="22"/>
          </w:rPr>
          <w:delText>Patient Reminder Card</w:delText>
        </w:r>
        <w:r w:rsidRPr="00BC0E7E">
          <w:rPr>
            <w:szCs w:val="22"/>
          </w:rPr>
          <w:delText>.</w:delText>
        </w:r>
      </w:del>
    </w:p>
    <w:p w14:paraId="1E955DE5" w14:textId="77777777" w:rsidR="00BC0E7E" w:rsidRPr="00BC0E7E" w:rsidRDefault="00BC0E7E" w:rsidP="00BC0E7E">
      <w:pPr>
        <w:tabs>
          <w:tab w:val="clear" w:pos="562"/>
        </w:tabs>
        <w:rPr>
          <w:del w:id="120" w:author="AbbVie19" w:date="2025-04-16T10:35:00Z"/>
          <w:szCs w:val="22"/>
        </w:rPr>
      </w:pPr>
    </w:p>
    <w:p w14:paraId="633FCF77" w14:textId="77777777" w:rsidR="00BC0E7E" w:rsidRPr="00BC0E7E" w:rsidRDefault="00944B8F" w:rsidP="00BC0E7E">
      <w:pPr>
        <w:tabs>
          <w:tab w:val="clear" w:pos="562"/>
        </w:tabs>
        <w:rPr>
          <w:del w:id="121" w:author="AbbVie19" w:date="2025-04-16T10:35:00Z"/>
          <w:szCs w:val="22"/>
        </w:rPr>
      </w:pPr>
      <w:del w:id="122" w:author="AbbVie19" w:date="2025-04-16T10:35:00Z">
        <w:r w:rsidRPr="00BC0E7E">
          <w:rPr>
            <w:szCs w:val="22"/>
          </w:rPr>
          <w:delText xml:space="preserve">After proper training in injection technique, patients may self-inject with Humira if their physician determines that it is appropriate and with medical follow-up as necessary. </w:delText>
        </w:r>
      </w:del>
    </w:p>
    <w:p w14:paraId="2206E7B1" w14:textId="77777777" w:rsidR="00AB3BE8" w:rsidRDefault="00AB3BE8" w:rsidP="00AB3BE8">
      <w:pPr>
        <w:rPr>
          <w:del w:id="123" w:author="AbbVie19" w:date="2025-04-16T10:35:00Z"/>
        </w:rPr>
      </w:pPr>
    </w:p>
    <w:p w14:paraId="7DF33482" w14:textId="77777777" w:rsidR="00AB3BE8" w:rsidRPr="002A3533" w:rsidRDefault="00944B8F" w:rsidP="00AB3BE8">
      <w:pPr>
        <w:rPr>
          <w:del w:id="124" w:author="AbbVie19" w:date="2025-04-16T10:35:00Z"/>
        </w:rPr>
      </w:pPr>
      <w:del w:id="125" w:author="AbbVie19" w:date="2025-04-16T10:35:00Z">
        <w:r w:rsidRPr="002A3533">
          <w:delText>During treatment with Humira, other concomitant therapies (e.g., corticosteroids and/or immunomodulatory agents) should be optimised.</w:delText>
        </w:r>
      </w:del>
    </w:p>
    <w:p w14:paraId="76325CCE" w14:textId="77777777" w:rsidR="00BC0E7E" w:rsidRPr="00BC0E7E" w:rsidRDefault="00BC0E7E" w:rsidP="00BC0E7E">
      <w:pPr>
        <w:rPr>
          <w:del w:id="126" w:author="AbbVie19" w:date="2025-04-16T10:35:00Z"/>
        </w:rPr>
      </w:pPr>
    </w:p>
    <w:p w14:paraId="051F352A" w14:textId="77777777" w:rsidR="00BC0E7E" w:rsidRPr="00BC0E7E" w:rsidRDefault="00944B8F" w:rsidP="00BC0E7E">
      <w:pPr>
        <w:rPr>
          <w:del w:id="127" w:author="AbbVie19" w:date="2025-04-16T10:35:00Z"/>
          <w:u w:val="single"/>
        </w:rPr>
      </w:pPr>
      <w:del w:id="128" w:author="AbbVie19" w:date="2025-04-16T10:35:00Z">
        <w:r w:rsidRPr="00BC0E7E">
          <w:rPr>
            <w:u w:val="single"/>
          </w:rPr>
          <w:delText>Posology</w:delText>
        </w:r>
      </w:del>
    </w:p>
    <w:p w14:paraId="19473625" w14:textId="77777777" w:rsidR="00BC0E7E" w:rsidRPr="00BC0E7E" w:rsidRDefault="00BC0E7E" w:rsidP="00BC0E7E">
      <w:pPr>
        <w:rPr>
          <w:del w:id="129" w:author="AbbVie19" w:date="2025-04-16T10:35:00Z"/>
          <w:u w:val="single"/>
        </w:rPr>
      </w:pPr>
    </w:p>
    <w:p w14:paraId="5BF4F185" w14:textId="77777777" w:rsidR="00BC0E7E" w:rsidRPr="00BC0E7E" w:rsidRDefault="00944B8F" w:rsidP="00BC0E7E">
      <w:pPr>
        <w:rPr>
          <w:del w:id="130" w:author="AbbVie19" w:date="2025-04-16T10:35:00Z"/>
          <w:szCs w:val="20"/>
          <w:u w:val="single"/>
        </w:rPr>
      </w:pPr>
      <w:del w:id="131" w:author="AbbVie19" w:date="2025-04-16T10:35:00Z">
        <w:r w:rsidRPr="00BC0E7E">
          <w:rPr>
            <w:szCs w:val="20"/>
            <w:u w:val="single"/>
          </w:rPr>
          <w:delText>Paediatric population</w:delText>
        </w:r>
      </w:del>
    </w:p>
    <w:p w14:paraId="5EE2717A" w14:textId="77777777" w:rsidR="00BC0E7E" w:rsidRPr="00BC0E7E" w:rsidRDefault="00BC0E7E" w:rsidP="00BC0E7E">
      <w:pPr>
        <w:rPr>
          <w:del w:id="132" w:author="AbbVie19" w:date="2025-04-16T10:35:00Z"/>
          <w:szCs w:val="20"/>
        </w:rPr>
      </w:pPr>
    </w:p>
    <w:p w14:paraId="30284052" w14:textId="77777777" w:rsidR="00BC0E7E" w:rsidRPr="00BC0E7E" w:rsidRDefault="00944B8F" w:rsidP="00BC0E7E">
      <w:pPr>
        <w:rPr>
          <w:del w:id="133" w:author="AbbVie19" w:date="2025-04-16T10:35:00Z"/>
          <w:i/>
          <w:szCs w:val="20"/>
        </w:rPr>
      </w:pPr>
      <w:del w:id="134" w:author="AbbVie19" w:date="2025-04-16T10:35:00Z">
        <w:r w:rsidRPr="00BC0E7E">
          <w:rPr>
            <w:i/>
            <w:szCs w:val="20"/>
          </w:rPr>
          <w:delText>Juvenile idiopathic arthritis</w:delText>
        </w:r>
      </w:del>
    </w:p>
    <w:p w14:paraId="13384BF4" w14:textId="77777777" w:rsidR="00BC0E7E" w:rsidRPr="00BC0E7E" w:rsidRDefault="00BC0E7E" w:rsidP="00BC0E7E">
      <w:pPr>
        <w:rPr>
          <w:del w:id="135" w:author="AbbVie19" w:date="2025-04-16T10:35:00Z"/>
          <w:szCs w:val="20"/>
        </w:rPr>
      </w:pPr>
    </w:p>
    <w:p w14:paraId="71C69206" w14:textId="77777777" w:rsidR="00BC0E7E" w:rsidRPr="00BC0E7E" w:rsidRDefault="00944B8F" w:rsidP="00BC0E7E">
      <w:pPr>
        <w:rPr>
          <w:del w:id="136" w:author="AbbVie19" w:date="2025-04-16T10:35:00Z"/>
          <w:i/>
          <w:u w:val="single"/>
        </w:rPr>
      </w:pPr>
      <w:del w:id="137" w:author="AbbVie19" w:date="2025-04-16T10:35:00Z">
        <w:r w:rsidRPr="00BC0E7E">
          <w:rPr>
            <w:i/>
            <w:u w:val="single"/>
          </w:rPr>
          <w:delText>Polyarticular juvenile idiopathic arthritis from 2 years of age</w:delText>
        </w:r>
      </w:del>
    </w:p>
    <w:p w14:paraId="69DCEDD5" w14:textId="77777777" w:rsidR="00BC0E7E" w:rsidRPr="00BC0E7E" w:rsidRDefault="00BC0E7E" w:rsidP="00BC0E7E">
      <w:pPr>
        <w:rPr>
          <w:del w:id="138" w:author="AbbVie19" w:date="2025-04-16T10:35:00Z"/>
          <w:i/>
          <w:u w:val="single"/>
        </w:rPr>
      </w:pPr>
    </w:p>
    <w:p w14:paraId="5B9CF5BE" w14:textId="77777777" w:rsidR="00BC0E7E" w:rsidRPr="00BC0E7E" w:rsidRDefault="00944B8F" w:rsidP="00A06B15">
      <w:pPr>
        <w:rPr>
          <w:del w:id="139" w:author="AbbVie19" w:date="2025-04-16T10:35:00Z"/>
        </w:rPr>
      </w:pPr>
      <w:del w:id="140" w:author="AbbVie19" w:date="2025-04-16T10:35:00Z">
        <w:r w:rsidRPr="00BC0E7E">
          <w:delText xml:space="preserve">The recommended dose of Humira for patients with polyarticular juvenile idiopathic arthritis </w:delText>
        </w:r>
        <w:r w:rsidR="00AB3BE8">
          <w:delText>from</w:delText>
        </w:r>
        <w:r w:rsidR="00AB3BE8" w:rsidRPr="00BC0E7E">
          <w:delText xml:space="preserve"> </w:delText>
        </w:r>
        <w:r w:rsidRPr="00BC0E7E">
          <w:delText>2 years</w:delText>
        </w:r>
        <w:r w:rsidR="00AB3BE8">
          <w:delText xml:space="preserve"> of age is based on body weight (Table 1). Humira is </w:delText>
        </w:r>
        <w:r w:rsidRPr="00BC0E7E">
          <w:delText>administered every other week via subcutaneous injection.</w:delText>
        </w:r>
        <w:r w:rsidRPr="00BC0E7E">
          <w:br/>
        </w:r>
      </w:del>
    </w:p>
    <w:p w14:paraId="2F8C7369" w14:textId="77777777" w:rsidR="00AB3BE8" w:rsidRPr="00900223" w:rsidRDefault="00944B8F" w:rsidP="003F5ADF">
      <w:pPr>
        <w:keepNext/>
        <w:jc w:val="center"/>
        <w:rPr>
          <w:del w:id="141" w:author="AbbVie19" w:date="2025-04-16T10:35:00Z"/>
          <w:b/>
          <w:szCs w:val="22"/>
        </w:rPr>
      </w:pPr>
      <w:del w:id="142" w:author="AbbVie19" w:date="2025-04-16T10:35:00Z">
        <w:r w:rsidRPr="00F8398A">
          <w:rPr>
            <w:b/>
            <w:szCs w:val="22"/>
          </w:rPr>
          <w:lastRenderedPageBreak/>
          <w:delText xml:space="preserve">Table 1. Humira </w:delText>
        </w:r>
        <w:r w:rsidRPr="00900223">
          <w:rPr>
            <w:b/>
            <w:szCs w:val="22"/>
          </w:rPr>
          <w:delText>Dose for Patients with Polyarticular Juvenile Idiopathic Arthr</w:delText>
        </w:r>
        <w:r w:rsidR="00237F82">
          <w:rPr>
            <w:b/>
            <w:szCs w:val="22"/>
          </w:rPr>
          <w:delText>i</w:delText>
        </w:r>
        <w:r w:rsidRPr="00900223">
          <w:rPr>
            <w:b/>
            <w:szCs w:val="22"/>
          </w:rPr>
          <w:delText xml:space="preserve">tis </w:delText>
        </w:r>
      </w:del>
    </w:p>
    <w:p w14:paraId="3A344083" w14:textId="77777777" w:rsidR="00AB3BE8" w:rsidRPr="00900223" w:rsidRDefault="00AB3BE8" w:rsidP="003F5ADF">
      <w:pPr>
        <w:keepNext/>
        <w:rPr>
          <w:del w:id="143" w:author="AbbVie19" w:date="2025-04-16T10:35:00Z"/>
          <w:szCs w:val="22"/>
        </w:rPr>
      </w:pPr>
    </w:p>
    <w:tbl>
      <w:tblPr>
        <w:tblW w:w="6795" w:type="dxa"/>
        <w:jc w:val="center"/>
        <w:tblLayout w:type="fixed"/>
        <w:tblLook w:val="0000" w:firstRow="0" w:lastRow="0" w:firstColumn="0" w:lastColumn="0" w:noHBand="0" w:noVBand="0"/>
      </w:tblPr>
      <w:tblGrid>
        <w:gridCol w:w="3401"/>
        <w:gridCol w:w="3394"/>
      </w:tblGrid>
      <w:tr w:rsidR="00C6578C" w14:paraId="7044DF78" w14:textId="77777777" w:rsidTr="00A6206B">
        <w:trPr>
          <w:tblHeader/>
          <w:jc w:val="center"/>
          <w:del w:id="144" w:author="AbbVie19" w:date="2025-04-16T10:35:00Z"/>
        </w:trPr>
        <w:tc>
          <w:tcPr>
            <w:tcW w:w="3401" w:type="dxa"/>
            <w:tcBorders>
              <w:top w:val="single" w:sz="4" w:space="0" w:color="auto"/>
              <w:bottom w:val="single" w:sz="4" w:space="0" w:color="auto"/>
            </w:tcBorders>
          </w:tcPr>
          <w:p w14:paraId="019BB25E" w14:textId="77777777" w:rsidR="00AB3BE8" w:rsidRPr="00900223" w:rsidRDefault="00944B8F" w:rsidP="003F5ADF">
            <w:pPr>
              <w:pStyle w:val="TableLeft"/>
              <w:jc w:val="center"/>
              <w:rPr>
                <w:del w:id="145" w:author="AbbVie19" w:date="2025-04-16T10:35:00Z"/>
                <w:b/>
                <w:sz w:val="22"/>
                <w:szCs w:val="22"/>
              </w:rPr>
            </w:pPr>
            <w:del w:id="146" w:author="AbbVie19" w:date="2025-04-16T10:35:00Z">
              <w:r w:rsidRPr="00900223">
                <w:rPr>
                  <w:b/>
                  <w:sz w:val="22"/>
                  <w:szCs w:val="22"/>
                </w:rPr>
                <w:delText>Patient Weight</w:delText>
              </w:r>
            </w:del>
          </w:p>
        </w:tc>
        <w:tc>
          <w:tcPr>
            <w:tcW w:w="3394" w:type="dxa"/>
            <w:tcBorders>
              <w:top w:val="single" w:sz="4" w:space="0" w:color="auto"/>
              <w:bottom w:val="single" w:sz="4" w:space="0" w:color="auto"/>
            </w:tcBorders>
          </w:tcPr>
          <w:p w14:paraId="4D166C48" w14:textId="77777777" w:rsidR="00AB3BE8" w:rsidRPr="00900223" w:rsidRDefault="00944B8F" w:rsidP="003F5ADF">
            <w:pPr>
              <w:pStyle w:val="TableLeft"/>
              <w:jc w:val="center"/>
              <w:rPr>
                <w:del w:id="147" w:author="AbbVie19" w:date="2025-04-16T10:35:00Z"/>
                <w:b/>
                <w:sz w:val="22"/>
                <w:szCs w:val="22"/>
              </w:rPr>
            </w:pPr>
            <w:del w:id="148" w:author="AbbVie19" w:date="2025-04-16T10:35:00Z">
              <w:r w:rsidRPr="00900223">
                <w:rPr>
                  <w:b/>
                  <w:sz w:val="22"/>
                  <w:szCs w:val="22"/>
                </w:rPr>
                <w:delText>Dosing Regimen</w:delText>
              </w:r>
            </w:del>
          </w:p>
        </w:tc>
      </w:tr>
      <w:tr w:rsidR="00C6578C" w14:paraId="3AB0EB6F" w14:textId="77777777" w:rsidTr="00A6206B">
        <w:trPr>
          <w:tblHeader/>
          <w:jc w:val="center"/>
          <w:del w:id="149" w:author="AbbVie19" w:date="2025-04-16T10:35:00Z"/>
        </w:trPr>
        <w:tc>
          <w:tcPr>
            <w:tcW w:w="3401" w:type="dxa"/>
            <w:tcBorders>
              <w:top w:val="single" w:sz="4" w:space="0" w:color="auto"/>
              <w:bottom w:val="single" w:sz="4" w:space="0" w:color="auto"/>
            </w:tcBorders>
          </w:tcPr>
          <w:p w14:paraId="1D3DF7AE" w14:textId="77777777" w:rsidR="00AB3BE8" w:rsidRPr="00900223" w:rsidRDefault="00944B8F" w:rsidP="00A6206B">
            <w:pPr>
              <w:pStyle w:val="TableLeft"/>
              <w:jc w:val="center"/>
              <w:rPr>
                <w:del w:id="150" w:author="AbbVie19" w:date="2025-04-16T10:35:00Z"/>
                <w:b/>
                <w:sz w:val="22"/>
                <w:szCs w:val="22"/>
              </w:rPr>
            </w:pPr>
            <w:del w:id="151" w:author="AbbVie19" w:date="2025-04-16T10:35:00Z">
              <w:r w:rsidRPr="00900223">
                <w:rPr>
                  <w:sz w:val="22"/>
                  <w:szCs w:val="22"/>
                </w:rPr>
                <w:delText>10 kg to &lt; 30 kg</w:delText>
              </w:r>
            </w:del>
          </w:p>
        </w:tc>
        <w:tc>
          <w:tcPr>
            <w:tcW w:w="3394" w:type="dxa"/>
            <w:tcBorders>
              <w:top w:val="single" w:sz="4" w:space="0" w:color="auto"/>
              <w:bottom w:val="single" w:sz="4" w:space="0" w:color="auto"/>
            </w:tcBorders>
          </w:tcPr>
          <w:p w14:paraId="6D539611" w14:textId="77777777" w:rsidR="00AB3BE8" w:rsidRPr="00900223" w:rsidRDefault="00944B8F" w:rsidP="00A6206B">
            <w:pPr>
              <w:pStyle w:val="TableLeft"/>
              <w:jc w:val="center"/>
              <w:rPr>
                <w:del w:id="152" w:author="AbbVie19" w:date="2025-04-16T10:35:00Z"/>
                <w:b/>
                <w:sz w:val="22"/>
                <w:szCs w:val="22"/>
              </w:rPr>
            </w:pPr>
            <w:del w:id="153" w:author="AbbVie19" w:date="2025-04-16T10:35:00Z">
              <w:r w:rsidRPr="00900223">
                <w:rPr>
                  <w:sz w:val="22"/>
                  <w:szCs w:val="22"/>
                </w:rPr>
                <w:delText>20 mg every other week</w:delText>
              </w:r>
            </w:del>
          </w:p>
        </w:tc>
      </w:tr>
      <w:tr w:rsidR="00C6578C" w14:paraId="7020A788" w14:textId="77777777" w:rsidTr="00A6206B">
        <w:trPr>
          <w:tblHeader/>
          <w:jc w:val="center"/>
          <w:del w:id="154" w:author="AbbVie19" w:date="2025-04-16T10:35:00Z"/>
        </w:trPr>
        <w:tc>
          <w:tcPr>
            <w:tcW w:w="3401" w:type="dxa"/>
            <w:tcBorders>
              <w:top w:val="single" w:sz="4" w:space="0" w:color="auto"/>
              <w:bottom w:val="single" w:sz="4" w:space="0" w:color="auto"/>
            </w:tcBorders>
          </w:tcPr>
          <w:p w14:paraId="3044D279" w14:textId="77777777" w:rsidR="00AB3BE8" w:rsidRPr="00900223" w:rsidRDefault="00944B8F" w:rsidP="00A6206B">
            <w:pPr>
              <w:pStyle w:val="TableLeft"/>
              <w:jc w:val="center"/>
              <w:rPr>
                <w:del w:id="155" w:author="AbbVie19" w:date="2025-04-16T10:35:00Z"/>
                <w:b/>
                <w:sz w:val="22"/>
                <w:szCs w:val="22"/>
              </w:rPr>
            </w:pPr>
            <w:del w:id="156" w:author="AbbVie19" w:date="2025-04-16T10:35:00Z">
              <w:r w:rsidRPr="00900223">
                <w:rPr>
                  <w:sz w:val="22"/>
                  <w:szCs w:val="22"/>
                </w:rPr>
                <w:delText>≥ 30 kg</w:delText>
              </w:r>
            </w:del>
          </w:p>
        </w:tc>
        <w:tc>
          <w:tcPr>
            <w:tcW w:w="3394" w:type="dxa"/>
            <w:tcBorders>
              <w:top w:val="single" w:sz="4" w:space="0" w:color="auto"/>
              <w:bottom w:val="single" w:sz="4" w:space="0" w:color="auto"/>
            </w:tcBorders>
          </w:tcPr>
          <w:p w14:paraId="5B4B3AEE" w14:textId="77777777" w:rsidR="00AB3BE8" w:rsidRPr="00900223" w:rsidRDefault="00944B8F" w:rsidP="00A6206B">
            <w:pPr>
              <w:pStyle w:val="TableLeft"/>
              <w:jc w:val="center"/>
              <w:rPr>
                <w:del w:id="157" w:author="AbbVie19" w:date="2025-04-16T10:35:00Z"/>
                <w:b/>
                <w:sz w:val="22"/>
                <w:szCs w:val="22"/>
              </w:rPr>
            </w:pPr>
            <w:del w:id="158" w:author="AbbVie19" w:date="2025-04-16T10:35:00Z">
              <w:r w:rsidRPr="00900223">
                <w:rPr>
                  <w:sz w:val="22"/>
                  <w:szCs w:val="22"/>
                </w:rPr>
                <w:delText>40 mg every other week</w:delText>
              </w:r>
            </w:del>
          </w:p>
        </w:tc>
      </w:tr>
    </w:tbl>
    <w:p w14:paraId="2FC7FBE7" w14:textId="77777777" w:rsidR="00BC0E7E" w:rsidRPr="00BC0E7E" w:rsidRDefault="00BC0E7E" w:rsidP="00BC0E7E">
      <w:pPr>
        <w:rPr>
          <w:del w:id="159" w:author="AbbVie19" w:date="2025-04-16T10:35:00Z"/>
        </w:rPr>
      </w:pPr>
    </w:p>
    <w:p w14:paraId="26178B2F" w14:textId="77777777" w:rsidR="00BC0E7E" w:rsidRPr="00BC0E7E" w:rsidRDefault="00944B8F" w:rsidP="00BC0E7E">
      <w:pPr>
        <w:rPr>
          <w:del w:id="160" w:author="AbbVie19" w:date="2025-04-16T10:35:00Z"/>
          <w:u w:val="single"/>
        </w:rPr>
      </w:pPr>
      <w:del w:id="161" w:author="AbbVie19" w:date="2025-04-16T10:35:00Z">
        <w:r w:rsidRPr="00BC0E7E">
          <w:delText>Available data suggest that clinical response is usually achieved within 12 weeks of treatment. Continued therapy should be carefully reconsidered in a patient not responding within this time period.</w:delText>
        </w:r>
        <w:r w:rsidRPr="00BC0E7E">
          <w:rPr>
            <w:u w:val="single"/>
          </w:rPr>
          <w:delText xml:space="preserve"> </w:delText>
        </w:r>
      </w:del>
    </w:p>
    <w:p w14:paraId="704361BD" w14:textId="77777777" w:rsidR="00BC0E7E" w:rsidRPr="00BC0E7E" w:rsidRDefault="00BC0E7E" w:rsidP="00BC0E7E">
      <w:pPr>
        <w:rPr>
          <w:del w:id="162" w:author="AbbVie19" w:date="2025-04-16T10:35:00Z"/>
          <w:u w:val="single"/>
        </w:rPr>
      </w:pPr>
    </w:p>
    <w:p w14:paraId="64097D6E" w14:textId="77777777" w:rsidR="00BC0E7E" w:rsidRPr="00BC0E7E" w:rsidRDefault="00944B8F" w:rsidP="00BC0E7E">
      <w:pPr>
        <w:rPr>
          <w:del w:id="163" w:author="AbbVie19" w:date="2025-04-16T10:35:00Z"/>
        </w:rPr>
      </w:pPr>
      <w:del w:id="164" w:author="AbbVie19" w:date="2025-04-16T10:35:00Z">
        <w:r w:rsidRPr="00BC0E7E">
          <w:delText>There is no relevant use of Humira in patients aged less than 2 years for this indication.</w:delText>
        </w:r>
      </w:del>
    </w:p>
    <w:p w14:paraId="5B1DC2D8" w14:textId="77777777" w:rsidR="006B49F3" w:rsidRDefault="006B49F3" w:rsidP="006B49F3">
      <w:pPr>
        <w:keepNext/>
        <w:rPr>
          <w:del w:id="165" w:author="AbbVie19" w:date="2025-04-16T10:35:00Z"/>
          <w:szCs w:val="22"/>
        </w:rPr>
      </w:pPr>
    </w:p>
    <w:p w14:paraId="1FC8C92A" w14:textId="77777777" w:rsidR="006B49F3" w:rsidRPr="002A3533" w:rsidRDefault="00944B8F" w:rsidP="006B49F3">
      <w:pPr>
        <w:keepNext/>
        <w:rPr>
          <w:del w:id="166" w:author="AbbVie19" w:date="2025-04-16T10:35:00Z"/>
        </w:rPr>
      </w:pPr>
      <w:del w:id="167" w:author="AbbVie19" w:date="2025-04-16T10:35:00Z">
        <w:r w:rsidRPr="00154096">
          <w:rPr>
            <w:szCs w:val="22"/>
          </w:rPr>
          <w:delText>Humira may be available in other strengths and/or presentations depending on the individual treatment needs</w:delText>
        </w:r>
        <w:r>
          <w:rPr>
            <w:szCs w:val="22"/>
          </w:rPr>
          <w:delText>.</w:delText>
        </w:r>
      </w:del>
    </w:p>
    <w:p w14:paraId="74DA0AEC" w14:textId="77777777" w:rsidR="00BC0E7E" w:rsidRPr="00BC0E7E" w:rsidRDefault="00BC0E7E" w:rsidP="00BC0E7E">
      <w:pPr>
        <w:rPr>
          <w:del w:id="168" w:author="AbbVie19" w:date="2025-04-16T10:35:00Z"/>
        </w:rPr>
      </w:pPr>
    </w:p>
    <w:p w14:paraId="6BE2088D" w14:textId="77777777" w:rsidR="00BC0E7E" w:rsidRPr="00BC0E7E" w:rsidRDefault="00944B8F" w:rsidP="00BC0E7E">
      <w:pPr>
        <w:keepNext/>
        <w:tabs>
          <w:tab w:val="clear" w:pos="562"/>
        </w:tabs>
        <w:suppressAutoHyphens w:val="0"/>
        <w:rPr>
          <w:del w:id="169" w:author="AbbVie19" w:date="2025-04-16T10:35:00Z"/>
          <w:szCs w:val="22"/>
        </w:rPr>
      </w:pPr>
      <w:del w:id="170" w:author="AbbVie19" w:date="2025-04-16T10:35:00Z">
        <w:r w:rsidRPr="00BC0E7E">
          <w:rPr>
            <w:i/>
            <w:szCs w:val="22"/>
            <w:u w:val="single"/>
          </w:rPr>
          <w:delText>Enthesitis-related arthritis</w:delText>
        </w:r>
      </w:del>
    </w:p>
    <w:p w14:paraId="596EFD23" w14:textId="77777777" w:rsidR="00BC0E7E" w:rsidRPr="00BC0E7E" w:rsidRDefault="00BC0E7E" w:rsidP="00BC0E7E">
      <w:pPr>
        <w:keepNext/>
        <w:tabs>
          <w:tab w:val="clear" w:pos="562"/>
        </w:tabs>
        <w:suppressAutoHyphens w:val="0"/>
        <w:rPr>
          <w:del w:id="171" w:author="AbbVie19" w:date="2025-04-16T10:35:00Z"/>
          <w:i/>
          <w:szCs w:val="22"/>
        </w:rPr>
      </w:pPr>
    </w:p>
    <w:p w14:paraId="11F2018F" w14:textId="77777777" w:rsidR="00A6206B" w:rsidRPr="003277FE" w:rsidRDefault="00944B8F" w:rsidP="00A6206B">
      <w:pPr>
        <w:pStyle w:val="gtcbodytext"/>
        <w:keepNext/>
        <w:spacing w:before="0" w:after="0" w:line="240" w:lineRule="auto"/>
        <w:rPr>
          <w:del w:id="172" w:author="AbbVie19" w:date="2025-04-16T10:35:00Z"/>
          <w:sz w:val="22"/>
          <w:szCs w:val="22"/>
        </w:rPr>
      </w:pPr>
      <w:del w:id="173" w:author="AbbVie19" w:date="2025-04-16T10:35:00Z">
        <w:r w:rsidRPr="00E6118C">
          <w:rPr>
            <w:sz w:val="22"/>
            <w:szCs w:val="22"/>
          </w:rPr>
          <w:delText xml:space="preserve">The recommended dose of Humira for patients with enthesitis-related arthritis from </w:delText>
        </w:r>
        <w:r w:rsidRPr="00E6118C">
          <w:rPr>
            <w:bCs/>
            <w:iCs/>
            <w:sz w:val="22"/>
            <w:szCs w:val="22"/>
          </w:rPr>
          <w:delText xml:space="preserve">6 years of age </w:delText>
        </w:r>
        <w:r w:rsidRPr="00E6118C">
          <w:rPr>
            <w:sz w:val="22"/>
            <w:szCs w:val="22"/>
          </w:rPr>
          <w:delText>is based on body weight (Table 2).  Humira is administered every other week via subcutaneous injection.</w:delText>
        </w:r>
      </w:del>
    </w:p>
    <w:p w14:paraId="0C327643" w14:textId="77777777" w:rsidR="00A6206B" w:rsidRPr="003277FE" w:rsidRDefault="00A6206B" w:rsidP="00A6206B">
      <w:pPr>
        <w:jc w:val="center"/>
        <w:rPr>
          <w:del w:id="174" w:author="AbbVie19" w:date="2025-04-16T10:35:00Z"/>
          <w:b/>
          <w:szCs w:val="22"/>
        </w:rPr>
      </w:pPr>
    </w:p>
    <w:p w14:paraId="06EF9B5F" w14:textId="77777777" w:rsidR="00A6206B" w:rsidRPr="00BF005B" w:rsidRDefault="00944B8F" w:rsidP="00A6206B">
      <w:pPr>
        <w:jc w:val="center"/>
        <w:rPr>
          <w:del w:id="175" w:author="AbbVie19" w:date="2025-04-16T10:35:00Z"/>
          <w:b/>
          <w:szCs w:val="22"/>
        </w:rPr>
      </w:pPr>
      <w:del w:id="176" w:author="AbbVie19" w:date="2025-04-16T10:35:00Z">
        <w:r w:rsidRPr="00987440">
          <w:rPr>
            <w:b/>
            <w:szCs w:val="22"/>
          </w:rPr>
          <w:delText>Table</w:delText>
        </w:r>
        <w:r w:rsidRPr="00BF005B">
          <w:rPr>
            <w:b/>
            <w:szCs w:val="22"/>
          </w:rPr>
          <w:delText xml:space="preserve"> 2. Humira Dose for Patients with Enthesitis-Related Arthr</w:delText>
        </w:r>
        <w:r>
          <w:rPr>
            <w:b/>
            <w:szCs w:val="22"/>
          </w:rPr>
          <w:delText>i</w:delText>
        </w:r>
        <w:r w:rsidRPr="00BF005B">
          <w:rPr>
            <w:b/>
            <w:szCs w:val="22"/>
          </w:rPr>
          <w:delText xml:space="preserve">tis </w:delText>
        </w:r>
      </w:del>
    </w:p>
    <w:p w14:paraId="31283360" w14:textId="77777777" w:rsidR="00A6206B" w:rsidRPr="00BF005B" w:rsidRDefault="00A6206B" w:rsidP="00A6206B">
      <w:pPr>
        <w:rPr>
          <w:del w:id="177" w:author="AbbVie19" w:date="2025-04-16T10:35:00Z"/>
          <w:szCs w:val="22"/>
        </w:rPr>
      </w:pPr>
    </w:p>
    <w:tbl>
      <w:tblPr>
        <w:tblW w:w="6795" w:type="dxa"/>
        <w:jc w:val="center"/>
        <w:tblLayout w:type="fixed"/>
        <w:tblLook w:val="0000" w:firstRow="0" w:lastRow="0" w:firstColumn="0" w:lastColumn="0" w:noHBand="0" w:noVBand="0"/>
      </w:tblPr>
      <w:tblGrid>
        <w:gridCol w:w="3401"/>
        <w:gridCol w:w="3394"/>
      </w:tblGrid>
      <w:tr w:rsidR="00C6578C" w14:paraId="047E8F44" w14:textId="77777777" w:rsidTr="00A6206B">
        <w:trPr>
          <w:tblHeader/>
          <w:jc w:val="center"/>
          <w:del w:id="178" w:author="AbbVie19" w:date="2025-04-16T10:35:00Z"/>
        </w:trPr>
        <w:tc>
          <w:tcPr>
            <w:tcW w:w="3401" w:type="dxa"/>
            <w:tcBorders>
              <w:top w:val="single" w:sz="4" w:space="0" w:color="auto"/>
              <w:bottom w:val="single" w:sz="4" w:space="0" w:color="auto"/>
            </w:tcBorders>
          </w:tcPr>
          <w:p w14:paraId="6E47B5A0" w14:textId="77777777" w:rsidR="00A6206B" w:rsidRPr="00BF005B" w:rsidRDefault="00944B8F" w:rsidP="00A6206B">
            <w:pPr>
              <w:pStyle w:val="TableLeft"/>
              <w:jc w:val="center"/>
              <w:rPr>
                <w:del w:id="179" w:author="AbbVie19" w:date="2025-04-16T10:35:00Z"/>
                <w:b/>
                <w:sz w:val="22"/>
                <w:szCs w:val="22"/>
              </w:rPr>
            </w:pPr>
            <w:del w:id="180" w:author="AbbVie19" w:date="2025-04-16T10:35:00Z">
              <w:r w:rsidRPr="00BF005B">
                <w:rPr>
                  <w:b/>
                  <w:sz w:val="22"/>
                  <w:szCs w:val="22"/>
                </w:rPr>
                <w:delText>Patient Weight</w:delText>
              </w:r>
            </w:del>
          </w:p>
        </w:tc>
        <w:tc>
          <w:tcPr>
            <w:tcW w:w="3394" w:type="dxa"/>
            <w:tcBorders>
              <w:top w:val="single" w:sz="4" w:space="0" w:color="auto"/>
              <w:bottom w:val="single" w:sz="4" w:space="0" w:color="auto"/>
            </w:tcBorders>
          </w:tcPr>
          <w:p w14:paraId="500FAD77" w14:textId="77777777" w:rsidR="00A6206B" w:rsidRPr="00BF005B" w:rsidRDefault="00944B8F" w:rsidP="00A6206B">
            <w:pPr>
              <w:pStyle w:val="TableLeft"/>
              <w:jc w:val="center"/>
              <w:rPr>
                <w:del w:id="181" w:author="AbbVie19" w:date="2025-04-16T10:35:00Z"/>
                <w:b/>
                <w:sz w:val="22"/>
                <w:szCs w:val="22"/>
              </w:rPr>
            </w:pPr>
            <w:del w:id="182" w:author="AbbVie19" w:date="2025-04-16T10:35:00Z">
              <w:r w:rsidRPr="00BF005B">
                <w:rPr>
                  <w:b/>
                  <w:sz w:val="22"/>
                  <w:szCs w:val="22"/>
                </w:rPr>
                <w:delText>Dosing Regimen</w:delText>
              </w:r>
            </w:del>
          </w:p>
        </w:tc>
      </w:tr>
      <w:tr w:rsidR="00C6578C" w14:paraId="0268076C" w14:textId="77777777" w:rsidTr="00A6206B">
        <w:trPr>
          <w:tblHeader/>
          <w:jc w:val="center"/>
          <w:del w:id="183" w:author="AbbVie19" w:date="2025-04-16T10:35:00Z"/>
        </w:trPr>
        <w:tc>
          <w:tcPr>
            <w:tcW w:w="3401" w:type="dxa"/>
            <w:tcBorders>
              <w:top w:val="single" w:sz="4" w:space="0" w:color="auto"/>
              <w:bottom w:val="single" w:sz="4" w:space="0" w:color="auto"/>
            </w:tcBorders>
          </w:tcPr>
          <w:p w14:paraId="064ADFCD" w14:textId="77777777" w:rsidR="00A6206B" w:rsidRPr="00BF005B" w:rsidRDefault="00944B8F" w:rsidP="00A6206B">
            <w:pPr>
              <w:pStyle w:val="TableLeft"/>
              <w:jc w:val="center"/>
              <w:rPr>
                <w:del w:id="184" w:author="AbbVie19" w:date="2025-04-16T10:35:00Z"/>
                <w:b/>
                <w:sz w:val="22"/>
                <w:szCs w:val="22"/>
              </w:rPr>
            </w:pPr>
            <w:del w:id="185" w:author="AbbVie19" w:date="2025-04-16T10:35:00Z">
              <w:r w:rsidRPr="00BF005B">
                <w:rPr>
                  <w:sz w:val="22"/>
                  <w:szCs w:val="22"/>
                </w:rPr>
                <w:delText>1</w:delText>
              </w:r>
              <w:r>
                <w:rPr>
                  <w:sz w:val="22"/>
                  <w:szCs w:val="22"/>
                </w:rPr>
                <w:delText>5</w:delText>
              </w:r>
              <w:r w:rsidRPr="00BF005B">
                <w:rPr>
                  <w:sz w:val="22"/>
                  <w:szCs w:val="22"/>
                </w:rPr>
                <w:delText xml:space="preserve"> kg to &lt; 30 kg</w:delText>
              </w:r>
            </w:del>
          </w:p>
        </w:tc>
        <w:tc>
          <w:tcPr>
            <w:tcW w:w="3394" w:type="dxa"/>
            <w:tcBorders>
              <w:top w:val="single" w:sz="4" w:space="0" w:color="auto"/>
              <w:bottom w:val="single" w:sz="4" w:space="0" w:color="auto"/>
            </w:tcBorders>
          </w:tcPr>
          <w:p w14:paraId="01786284" w14:textId="77777777" w:rsidR="00A6206B" w:rsidRPr="00BF005B" w:rsidRDefault="00944B8F" w:rsidP="00A6206B">
            <w:pPr>
              <w:pStyle w:val="TableLeft"/>
              <w:jc w:val="center"/>
              <w:rPr>
                <w:del w:id="186" w:author="AbbVie19" w:date="2025-04-16T10:35:00Z"/>
                <w:b/>
                <w:sz w:val="22"/>
                <w:szCs w:val="22"/>
              </w:rPr>
            </w:pPr>
            <w:del w:id="187" w:author="AbbVie19" w:date="2025-04-16T10:35:00Z">
              <w:r w:rsidRPr="00BF005B">
                <w:rPr>
                  <w:sz w:val="22"/>
                  <w:szCs w:val="22"/>
                </w:rPr>
                <w:delText>20 mg every other week</w:delText>
              </w:r>
            </w:del>
          </w:p>
        </w:tc>
      </w:tr>
      <w:tr w:rsidR="00C6578C" w14:paraId="1D982617" w14:textId="77777777" w:rsidTr="00A6206B">
        <w:trPr>
          <w:tblHeader/>
          <w:jc w:val="center"/>
          <w:del w:id="188" w:author="AbbVie19" w:date="2025-04-16T10:35:00Z"/>
        </w:trPr>
        <w:tc>
          <w:tcPr>
            <w:tcW w:w="3401" w:type="dxa"/>
            <w:tcBorders>
              <w:top w:val="single" w:sz="4" w:space="0" w:color="auto"/>
              <w:bottom w:val="single" w:sz="4" w:space="0" w:color="auto"/>
            </w:tcBorders>
          </w:tcPr>
          <w:p w14:paraId="6BF166D1" w14:textId="77777777" w:rsidR="00A6206B" w:rsidRPr="00BF005B" w:rsidRDefault="00944B8F" w:rsidP="00A6206B">
            <w:pPr>
              <w:pStyle w:val="TableLeft"/>
              <w:jc w:val="center"/>
              <w:rPr>
                <w:del w:id="189" w:author="AbbVie19" w:date="2025-04-16T10:35:00Z"/>
                <w:b/>
                <w:sz w:val="22"/>
                <w:szCs w:val="22"/>
              </w:rPr>
            </w:pPr>
            <w:del w:id="190" w:author="AbbVie19" w:date="2025-04-16T10:35:00Z">
              <w:r w:rsidRPr="00BF005B">
                <w:rPr>
                  <w:sz w:val="22"/>
                  <w:szCs w:val="22"/>
                </w:rPr>
                <w:delText>≥ 30 kg</w:delText>
              </w:r>
            </w:del>
          </w:p>
        </w:tc>
        <w:tc>
          <w:tcPr>
            <w:tcW w:w="3394" w:type="dxa"/>
            <w:tcBorders>
              <w:top w:val="single" w:sz="4" w:space="0" w:color="auto"/>
              <w:bottom w:val="single" w:sz="4" w:space="0" w:color="auto"/>
            </w:tcBorders>
          </w:tcPr>
          <w:p w14:paraId="27024830" w14:textId="77777777" w:rsidR="00A6206B" w:rsidRPr="00BF005B" w:rsidRDefault="00944B8F" w:rsidP="00A6206B">
            <w:pPr>
              <w:pStyle w:val="TableLeft"/>
              <w:jc w:val="center"/>
              <w:rPr>
                <w:del w:id="191" w:author="AbbVie19" w:date="2025-04-16T10:35:00Z"/>
                <w:b/>
                <w:sz w:val="22"/>
                <w:szCs w:val="22"/>
              </w:rPr>
            </w:pPr>
            <w:del w:id="192" w:author="AbbVie19" w:date="2025-04-16T10:35:00Z">
              <w:r w:rsidRPr="00BF005B">
                <w:rPr>
                  <w:sz w:val="22"/>
                  <w:szCs w:val="22"/>
                </w:rPr>
                <w:delText>40 mg every other week</w:delText>
              </w:r>
            </w:del>
          </w:p>
        </w:tc>
      </w:tr>
    </w:tbl>
    <w:p w14:paraId="70FA1339" w14:textId="77777777" w:rsidR="00A6206B" w:rsidRDefault="00A6206B" w:rsidP="00BC0E7E">
      <w:pPr>
        <w:tabs>
          <w:tab w:val="clear" w:pos="562"/>
        </w:tabs>
        <w:suppressAutoHyphens w:val="0"/>
        <w:rPr>
          <w:del w:id="193" w:author="AbbVie19" w:date="2025-04-16T10:35:00Z"/>
          <w:szCs w:val="22"/>
        </w:rPr>
      </w:pPr>
    </w:p>
    <w:p w14:paraId="44C06DDD" w14:textId="77777777" w:rsidR="00BC0E7E" w:rsidRPr="00BC0E7E" w:rsidRDefault="00944B8F" w:rsidP="00BC0E7E">
      <w:pPr>
        <w:tabs>
          <w:tab w:val="clear" w:pos="562"/>
        </w:tabs>
        <w:suppressAutoHyphens w:val="0"/>
        <w:rPr>
          <w:del w:id="194" w:author="AbbVie19" w:date="2025-04-16T10:35:00Z"/>
          <w:szCs w:val="22"/>
        </w:rPr>
      </w:pPr>
      <w:del w:id="195" w:author="AbbVie19" w:date="2025-04-16T10:35:00Z">
        <w:r w:rsidRPr="00BC0E7E">
          <w:rPr>
            <w:szCs w:val="22"/>
          </w:rPr>
          <w:delText>Humira has not been studied in patients with enthesitis-related arthritis aged less than 6 years.</w:delText>
        </w:r>
      </w:del>
    </w:p>
    <w:p w14:paraId="25439060" w14:textId="77777777" w:rsidR="006B49F3" w:rsidRDefault="006B49F3" w:rsidP="006B49F3">
      <w:pPr>
        <w:keepNext/>
        <w:rPr>
          <w:del w:id="196" w:author="AbbVie19" w:date="2025-04-16T10:35:00Z"/>
          <w:szCs w:val="22"/>
        </w:rPr>
      </w:pPr>
    </w:p>
    <w:p w14:paraId="2C068B97" w14:textId="77777777" w:rsidR="006B49F3" w:rsidRPr="002A3533" w:rsidRDefault="00944B8F" w:rsidP="006B49F3">
      <w:pPr>
        <w:keepNext/>
        <w:rPr>
          <w:del w:id="197" w:author="AbbVie19" w:date="2025-04-16T10:35:00Z"/>
        </w:rPr>
      </w:pPr>
      <w:del w:id="198" w:author="AbbVie19" w:date="2025-04-16T10:35:00Z">
        <w:r w:rsidRPr="00154096">
          <w:rPr>
            <w:szCs w:val="22"/>
          </w:rPr>
          <w:delText>Humira may be available in other strengths and/or presentations depending on the individual treatment needs</w:delText>
        </w:r>
        <w:r>
          <w:rPr>
            <w:szCs w:val="22"/>
          </w:rPr>
          <w:delText>.</w:delText>
        </w:r>
      </w:del>
    </w:p>
    <w:p w14:paraId="1225FC18" w14:textId="77777777" w:rsidR="00BC0E7E" w:rsidRPr="00BC0E7E" w:rsidRDefault="00BC0E7E" w:rsidP="00BC0E7E">
      <w:pPr>
        <w:tabs>
          <w:tab w:val="clear" w:pos="562"/>
        </w:tabs>
        <w:suppressAutoHyphens w:val="0"/>
        <w:rPr>
          <w:del w:id="199" w:author="AbbVie19" w:date="2025-04-16T10:35:00Z"/>
          <w:szCs w:val="22"/>
        </w:rPr>
      </w:pPr>
    </w:p>
    <w:p w14:paraId="5644EF32" w14:textId="77777777" w:rsidR="00BC0E7E" w:rsidRPr="00BC0E7E" w:rsidRDefault="00944B8F" w:rsidP="00BC0E7E">
      <w:pPr>
        <w:rPr>
          <w:del w:id="200" w:author="AbbVie19" w:date="2025-04-16T10:35:00Z"/>
          <w:i/>
          <w:szCs w:val="20"/>
        </w:rPr>
      </w:pPr>
      <w:del w:id="201" w:author="AbbVie19" w:date="2025-04-16T10:35:00Z">
        <w:r w:rsidRPr="00BC0E7E">
          <w:rPr>
            <w:i/>
            <w:szCs w:val="20"/>
          </w:rPr>
          <w:delText>Paediatric plaque psoriasis</w:delText>
        </w:r>
      </w:del>
    </w:p>
    <w:p w14:paraId="2D994022" w14:textId="77777777" w:rsidR="00BC0E7E" w:rsidRPr="00BC0E7E" w:rsidRDefault="00BC0E7E" w:rsidP="00BC0E7E">
      <w:pPr>
        <w:rPr>
          <w:del w:id="202" w:author="AbbVie19" w:date="2025-04-16T10:35:00Z"/>
          <w:szCs w:val="20"/>
          <w:u w:val="single"/>
        </w:rPr>
      </w:pPr>
    </w:p>
    <w:p w14:paraId="6B3E3290" w14:textId="77777777" w:rsidR="00A6206B" w:rsidRDefault="00944B8F" w:rsidP="00A6206B">
      <w:pPr>
        <w:pStyle w:val="EMEAHeadingUnderline"/>
        <w:spacing w:beforeLines="0" w:afterLines="0"/>
        <w:rPr>
          <w:del w:id="203" w:author="AbbVie19" w:date="2025-04-16T10:35:00Z"/>
          <w:u w:val="none"/>
        </w:rPr>
      </w:pPr>
      <w:del w:id="204" w:author="AbbVie19" w:date="2025-04-16T10:35:00Z">
        <w:r w:rsidRPr="00CE7FEF">
          <w:rPr>
            <w:u w:val="none"/>
          </w:rPr>
          <w:delText xml:space="preserve">The recommended Humira dose </w:delText>
        </w:r>
        <w:r>
          <w:rPr>
            <w:u w:val="none"/>
          </w:rPr>
          <w:delText>for patients with plaque psoriasis from 4 to 17</w:delText>
        </w:r>
        <w:r w:rsidR="003E2F23">
          <w:rPr>
            <w:u w:val="none"/>
          </w:rPr>
          <w:delText> </w:delText>
        </w:r>
        <w:r>
          <w:rPr>
            <w:u w:val="none"/>
          </w:rPr>
          <w:delText>years of age is based on body weight (Table 3).</w:delText>
        </w:r>
        <w:r w:rsidRPr="00CE7FEF">
          <w:rPr>
            <w:u w:val="none"/>
          </w:rPr>
          <w:delText xml:space="preserve"> Humira is administered via subcutaneous injection</w:delText>
        </w:r>
        <w:r w:rsidR="006B49F3">
          <w:rPr>
            <w:u w:val="none"/>
          </w:rPr>
          <w:delText>.</w:delText>
        </w:r>
      </w:del>
    </w:p>
    <w:p w14:paraId="4C26B2D3" w14:textId="77777777" w:rsidR="00A6206B" w:rsidRDefault="00A6206B" w:rsidP="00A6206B">
      <w:pPr>
        <w:pStyle w:val="EMEAHeadingUnderline"/>
        <w:spacing w:beforeLines="0" w:afterLines="0"/>
        <w:rPr>
          <w:del w:id="205" w:author="AbbVie19" w:date="2025-04-16T10:35:00Z"/>
          <w:u w:val="none"/>
        </w:rPr>
      </w:pPr>
    </w:p>
    <w:p w14:paraId="03A733E1" w14:textId="77777777" w:rsidR="00A6206B" w:rsidRPr="00840AC3" w:rsidRDefault="00944B8F" w:rsidP="00A6206B">
      <w:pPr>
        <w:jc w:val="center"/>
        <w:rPr>
          <w:del w:id="206" w:author="AbbVie19" w:date="2025-04-16T10:35:00Z"/>
          <w:b/>
          <w:szCs w:val="22"/>
        </w:rPr>
      </w:pPr>
      <w:del w:id="207" w:author="AbbVie19" w:date="2025-04-16T10:35:00Z">
        <w:r w:rsidRPr="00754D21">
          <w:rPr>
            <w:b/>
            <w:szCs w:val="22"/>
          </w:rPr>
          <w:delText xml:space="preserve">Table 3. Humira Dose </w:delText>
        </w:r>
        <w:r w:rsidRPr="008E3986">
          <w:rPr>
            <w:b/>
            <w:szCs w:val="22"/>
          </w:rPr>
          <w:delText>for Paediat</w:delText>
        </w:r>
        <w:r>
          <w:rPr>
            <w:b/>
            <w:szCs w:val="22"/>
          </w:rPr>
          <w:delText xml:space="preserve">ric Patients with Plaque Psoriasis </w:delText>
        </w:r>
      </w:del>
    </w:p>
    <w:p w14:paraId="407DEF71" w14:textId="77777777" w:rsidR="00A6206B" w:rsidRPr="00BF005B" w:rsidRDefault="00A6206B" w:rsidP="00A6206B">
      <w:pPr>
        <w:rPr>
          <w:del w:id="208" w:author="AbbVie19" w:date="2025-04-16T10:35:00Z"/>
          <w:szCs w:val="22"/>
        </w:rPr>
      </w:pPr>
    </w:p>
    <w:tbl>
      <w:tblPr>
        <w:tblW w:w="6795" w:type="dxa"/>
        <w:jc w:val="center"/>
        <w:tblLayout w:type="fixed"/>
        <w:tblLook w:val="0000" w:firstRow="0" w:lastRow="0" w:firstColumn="0" w:lastColumn="0" w:noHBand="0" w:noVBand="0"/>
      </w:tblPr>
      <w:tblGrid>
        <w:gridCol w:w="3401"/>
        <w:gridCol w:w="3394"/>
      </w:tblGrid>
      <w:tr w:rsidR="00C6578C" w14:paraId="3B2B572C" w14:textId="77777777" w:rsidTr="00A6206B">
        <w:trPr>
          <w:tblHeader/>
          <w:jc w:val="center"/>
          <w:del w:id="209" w:author="AbbVie19" w:date="2025-04-16T10:35:00Z"/>
        </w:trPr>
        <w:tc>
          <w:tcPr>
            <w:tcW w:w="3401" w:type="dxa"/>
            <w:tcBorders>
              <w:top w:val="single" w:sz="4" w:space="0" w:color="auto"/>
              <w:bottom w:val="single" w:sz="4" w:space="0" w:color="auto"/>
            </w:tcBorders>
          </w:tcPr>
          <w:p w14:paraId="3A579E70" w14:textId="77777777" w:rsidR="00A6206B" w:rsidRPr="00BF005B" w:rsidRDefault="00944B8F" w:rsidP="00A6206B">
            <w:pPr>
              <w:pStyle w:val="TableLeft"/>
              <w:jc w:val="center"/>
              <w:rPr>
                <w:del w:id="210" w:author="AbbVie19" w:date="2025-04-16T10:35:00Z"/>
                <w:b/>
                <w:sz w:val="22"/>
                <w:szCs w:val="22"/>
              </w:rPr>
            </w:pPr>
            <w:del w:id="211" w:author="AbbVie19" w:date="2025-04-16T10:35:00Z">
              <w:r w:rsidRPr="00BF005B">
                <w:rPr>
                  <w:b/>
                  <w:sz w:val="22"/>
                  <w:szCs w:val="22"/>
                </w:rPr>
                <w:delText>Patient Weight</w:delText>
              </w:r>
            </w:del>
          </w:p>
        </w:tc>
        <w:tc>
          <w:tcPr>
            <w:tcW w:w="3394" w:type="dxa"/>
            <w:tcBorders>
              <w:top w:val="single" w:sz="4" w:space="0" w:color="auto"/>
              <w:bottom w:val="single" w:sz="4" w:space="0" w:color="auto"/>
            </w:tcBorders>
          </w:tcPr>
          <w:p w14:paraId="4E66071A" w14:textId="77777777" w:rsidR="00A6206B" w:rsidRPr="00BF005B" w:rsidRDefault="00944B8F" w:rsidP="00A6206B">
            <w:pPr>
              <w:pStyle w:val="TableLeft"/>
              <w:jc w:val="center"/>
              <w:rPr>
                <w:del w:id="212" w:author="AbbVie19" w:date="2025-04-16T10:35:00Z"/>
                <w:b/>
                <w:sz w:val="22"/>
                <w:szCs w:val="22"/>
              </w:rPr>
            </w:pPr>
            <w:del w:id="213" w:author="AbbVie19" w:date="2025-04-16T10:35:00Z">
              <w:r w:rsidRPr="00BF005B">
                <w:rPr>
                  <w:b/>
                  <w:sz w:val="22"/>
                  <w:szCs w:val="22"/>
                </w:rPr>
                <w:delText>Dosing Regimen</w:delText>
              </w:r>
            </w:del>
          </w:p>
        </w:tc>
      </w:tr>
      <w:tr w:rsidR="00C6578C" w14:paraId="2D7F99E7" w14:textId="77777777" w:rsidTr="00A6206B">
        <w:trPr>
          <w:tblHeader/>
          <w:jc w:val="center"/>
          <w:del w:id="214" w:author="AbbVie19" w:date="2025-04-16T10:35:00Z"/>
        </w:trPr>
        <w:tc>
          <w:tcPr>
            <w:tcW w:w="3401" w:type="dxa"/>
            <w:tcBorders>
              <w:top w:val="single" w:sz="4" w:space="0" w:color="auto"/>
              <w:bottom w:val="single" w:sz="4" w:space="0" w:color="auto"/>
            </w:tcBorders>
          </w:tcPr>
          <w:p w14:paraId="08BC0DF3" w14:textId="77777777" w:rsidR="00A6206B" w:rsidRPr="00BF005B" w:rsidRDefault="00944B8F" w:rsidP="00A6206B">
            <w:pPr>
              <w:pStyle w:val="TableLeft"/>
              <w:jc w:val="center"/>
              <w:rPr>
                <w:del w:id="215" w:author="AbbVie19" w:date="2025-04-16T10:35:00Z"/>
                <w:b/>
                <w:sz w:val="22"/>
                <w:szCs w:val="22"/>
              </w:rPr>
            </w:pPr>
            <w:del w:id="216" w:author="AbbVie19" w:date="2025-04-16T10:35:00Z">
              <w:r w:rsidRPr="00BF005B">
                <w:rPr>
                  <w:sz w:val="22"/>
                  <w:szCs w:val="22"/>
                </w:rPr>
                <w:delText>1</w:delText>
              </w:r>
              <w:r>
                <w:rPr>
                  <w:sz w:val="22"/>
                  <w:szCs w:val="22"/>
                </w:rPr>
                <w:delText>5</w:delText>
              </w:r>
              <w:r w:rsidRPr="00BF005B">
                <w:rPr>
                  <w:sz w:val="22"/>
                  <w:szCs w:val="22"/>
                </w:rPr>
                <w:delText xml:space="preserve"> kg to &lt; 30 kg</w:delText>
              </w:r>
            </w:del>
          </w:p>
        </w:tc>
        <w:tc>
          <w:tcPr>
            <w:tcW w:w="3394" w:type="dxa"/>
            <w:tcBorders>
              <w:top w:val="single" w:sz="4" w:space="0" w:color="auto"/>
              <w:bottom w:val="single" w:sz="4" w:space="0" w:color="auto"/>
            </w:tcBorders>
          </w:tcPr>
          <w:p w14:paraId="316FEA63" w14:textId="77777777" w:rsidR="00A6206B" w:rsidRPr="00E4594F" w:rsidRDefault="00944B8F" w:rsidP="00A6206B">
            <w:pPr>
              <w:pStyle w:val="TableLeft"/>
              <w:jc w:val="center"/>
              <w:rPr>
                <w:del w:id="217" w:author="AbbVie19" w:date="2025-04-16T10:35:00Z"/>
                <w:b/>
                <w:sz w:val="22"/>
                <w:szCs w:val="22"/>
              </w:rPr>
            </w:pPr>
            <w:del w:id="218" w:author="AbbVie19" w:date="2025-04-16T10:35:00Z">
              <w:r w:rsidRPr="00E4594F">
                <w:rPr>
                  <w:sz w:val="22"/>
                  <w:szCs w:val="22"/>
                </w:rPr>
                <w:delText>Initial dose of 20 mg, followed by 20 mg given every other week starting one week after the initial dose</w:delText>
              </w:r>
            </w:del>
          </w:p>
        </w:tc>
      </w:tr>
      <w:tr w:rsidR="00C6578C" w14:paraId="1546B3F2" w14:textId="77777777" w:rsidTr="00A6206B">
        <w:trPr>
          <w:tblHeader/>
          <w:jc w:val="center"/>
          <w:del w:id="219" w:author="AbbVie19" w:date="2025-04-16T10:35:00Z"/>
        </w:trPr>
        <w:tc>
          <w:tcPr>
            <w:tcW w:w="3401" w:type="dxa"/>
            <w:tcBorders>
              <w:top w:val="single" w:sz="4" w:space="0" w:color="auto"/>
              <w:bottom w:val="single" w:sz="4" w:space="0" w:color="auto"/>
            </w:tcBorders>
          </w:tcPr>
          <w:p w14:paraId="134006C4" w14:textId="77777777" w:rsidR="00A6206B" w:rsidRPr="00BF005B" w:rsidRDefault="00944B8F" w:rsidP="00A6206B">
            <w:pPr>
              <w:pStyle w:val="TableLeft"/>
              <w:jc w:val="center"/>
              <w:rPr>
                <w:del w:id="220" w:author="AbbVie19" w:date="2025-04-16T10:35:00Z"/>
                <w:b/>
                <w:sz w:val="22"/>
                <w:szCs w:val="22"/>
              </w:rPr>
            </w:pPr>
            <w:del w:id="221" w:author="AbbVie19" w:date="2025-04-16T10:35:00Z">
              <w:r w:rsidRPr="00BF005B">
                <w:rPr>
                  <w:sz w:val="22"/>
                  <w:szCs w:val="22"/>
                </w:rPr>
                <w:delText>≥ 30 kg</w:delText>
              </w:r>
            </w:del>
          </w:p>
        </w:tc>
        <w:tc>
          <w:tcPr>
            <w:tcW w:w="3394" w:type="dxa"/>
            <w:tcBorders>
              <w:top w:val="single" w:sz="4" w:space="0" w:color="auto"/>
              <w:bottom w:val="single" w:sz="4" w:space="0" w:color="auto"/>
            </w:tcBorders>
          </w:tcPr>
          <w:p w14:paraId="1A504A7F" w14:textId="77777777" w:rsidR="00A6206B" w:rsidRPr="00E4594F" w:rsidRDefault="00944B8F" w:rsidP="00A6206B">
            <w:pPr>
              <w:pStyle w:val="CommentText"/>
              <w:jc w:val="center"/>
              <w:rPr>
                <w:del w:id="222" w:author="AbbVie19" w:date="2025-04-16T10:35:00Z"/>
                <w:b/>
                <w:sz w:val="22"/>
                <w:szCs w:val="22"/>
              </w:rPr>
            </w:pPr>
            <w:del w:id="223" w:author="AbbVie19" w:date="2025-04-16T10:35:00Z">
              <w:r w:rsidRPr="00E4594F">
                <w:rPr>
                  <w:sz w:val="22"/>
                  <w:szCs w:val="22"/>
                </w:rPr>
                <w:delText>Initial dose of 40 mg, followed by 40 mg given every other week starting one week after the initial dose</w:delText>
              </w:r>
            </w:del>
          </w:p>
        </w:tc>
      </w:tr>
    </w:tbl>
    <w:p w14:paraId="5471FB2B" w14:textId="77777777" w:rsidR="00A6206B" w:rsidRDefault="00A6206B" w:rsidP="00A6206B">
      <w:pPr>
        <w:pStyle w:val="EMEAHeadingUnderline"/>
        <w:spacing w:beforeLines="0" w:afterLines="0"/>
        <w:rPr>
          <w:del w:id="224" w:author="AbbVie19" w:date="2025-04-16T10:35:00Z"/>
          <w:u w:val="none"/>
        </w:rPr>
      </w:pPr>
    </w:p>
    <w:p w14:paraId="33BD7990" w14:textId="77777777" w:rsidR="00BC0E7E" w:rsidRPr="00BC0E7E" w:rsidRDefault="00944B8F" w:rsidP="00BC0E7E">
      <w:pPr>
        <w:rPr>
          <w:del w:id="225" w:author="AbbVie19" w:date="2025-04-16T10:35:00Z"/>
          <w:szCs w:val="20"/>
        </w:rPr>
      </w:pPr>
      <w:del w:id="226" w:author="AbbVie19" w:date="2025-04-16T10:35:00Z">
        <w:r w:rsidRPr="00BC0E7E">
          <w:rPr>
            <w:szCs w:val="20"/>
          </w:rPr>
          <w:delText>Continued therapy beyond 16 weeks should be carefully considered in a patient not responding within this time period.</w:delText>
        </w:r>
      </w:del>
    </w:p>
    <w:p w14:paraId="06ED5418" w14:textId="77777777" w:rsidR="00BC0E7E" w:rsidRPr="00BC0E7E" w:rsidRDefault="00BC0E7E" w:rsidP="00BC0E7E">
      <w:pPr>
        <w:rPr>
          <w:del w:id="227" w:author="AbbVie19" w:date="2025-04-16T10:35:00Z"/>
          <w:szCs w:val="20"/>
        </w:rPr>
      </w:pPr>
    </w:p>
    <w:p w14:paraId="59BFDAD5" w14:textId="77777777" w:rsidR="00BC0E7E" w:rsidRPr="00BC0E7E" w:rsidRDefault="00944B8F" w:rsidP="00BC0E7E">
      <w:pPr>
        <w:rPr>
          <w:del w:id="228" w:author="AbbVie19" w:date="2025-04-16T10:35:00Z"/>
          <w:szCs w:val="20"/>
        </w:rPr>
      </w:pPr>
      <w:del w:id="229" w:author="AbbVie19" w:date="2025-04-16T10:35:00Z">
        <w:r w:rsidRPr="00BC0E7E">
          <w:rPr>
            <w:szCs w:val="20"/>
          </w:rPr>
          <w:lastRenderedPageBreak/>
          <w:delText>If retreatment with Humira is indicated, the above guidance on dose and treatment duration should be followed.</w:delText>
        </w:r>
      </w:del>
    </w:p>
    <w:p w14:paraId="303B0D79" w14:textId="77777777" w:rsidR="00BC0E7E" w:rsidRPr="00BC0E7E" w:rsidRDefault="00BC0E7E" w:rsidP="00BC0E7E">
      <w:pPr>
        <w:rPr>
          <w:del w:id="230" w:author="AbbVie19" w:date="2025-04-16T10:35:00Z"/>
          <w:szCs w:val="20"/>
        </w:rPr>
      </w:pPr>
    </w:p>
    <w:p w14:paraId="6480AA9B" w14:textId="77777777" w:rsidR="00BC0E7E" w:rsidRPr="00BC0E7E" w:rsidRDefault="00944B8F" w:rsidP="00BC0E7E">
      <w:pPr>
        <w:rPr>
          <w:del w:id="231" w:author="AbbVie19" w:date="2025-04-16T10:35:00Z"/>
          <w:szCs w:val="20"/>
        </w:rPr>
      </w:pPr>
      <w:del w:id="232" w:author="AbbVie19" w:date="2025-04-16T10:35:00Z">
        <w:r w:rsidRPr="00BC0E7E">
          <w:rPr>
            <w:szCs w:val="20"/>
          </w:rPr>
          <w:delText>The safety of Humira in paediatric patients with plaque psoriasis has been assessed for a mean of 13 months.</w:delText>
        </w:r>
      </w:del>
    </w:p>
    <w:p w14:paraId="371DD95F" w14:textId="77777777" w:rsidR="00BC0E7E" w:rsidRPr="00BC0E7E" w:rsidRDefault="00BC0E7E" w:rsidP="00BC0E7E">
      <w:pPr>
        <w:rPr>
          <w:del w:id="233" w:author="AbbVie19" w:date="2025-04-16T10:35:00Z"/>
          <w:szCs w:val="20"/>
        </w:rPr>
      </w:pPr>
    </w:p>
    <w:p w14:paraId="0F28DBEB" w14:textId="77777777" w:rsidR="00BC0E7E" w:rsidRPr="00BC0E7E" w:rsidRDefault="00944B8F" w:rsidP="00BC0E7E">
      <w:pPr>
        <w:rPr>
          <w:del w:id="234" w:author="AbbVie19" w:date="2025-04-16T10:35:00Z"/>
          <w:szCs w:val="20"/>
        </w:rPr>
      </w:pPr>
      <w:del w:id="235" w:author="AbbVie19" w:date="2025-04-16T10:35:00Z">
        <w:r w:rsidRPr="00BC0E7E">
          <w:rPr>
            <w:szCs w:val="20"/>
          </w:rPr>
          <w:delText>There is no relevant use of Humira in children aged less than 4 years for this indication.</w:delText>
        </w:r>
      </w:del>
    </w:p>
    <w:p w14:paraId="2D898802" w14:textId="77777777" w:rsidR="006B49F3" w:rsidRDefault="006B49F3" w:rsidP="006B49F3">
      <w:pPr>
        <w:keepNext/>
        <w:rPr>
          <w:del w:id="236" w:author="AbbVie19" w:date="2025-04-16T10:35:00Z"/>
          <w:szCs w:val="22"/>
        </w:rPr>
      </w:pPr>
    </w:p>
    <w:p w14:paraId="10339311" w14:textId="77777777" w:rsidR="006B49F3" w:rsidRPr="002A3533" w:rsidRDefault="00944B8F" w:rsidP="006B49F3">
      <w:pPr>
        <w:keepNext/>
        <w:rPr>
          <w:del w:id="237" w:author="AbbVie19" w:date="2025-04-16T10:35:00Z"/>
        </w:rPr>
      </w:pPr>
      <w:del w:id="238" w:author="AbbVie19" w:date="2025-04-16T10:35:00Z">
        <w:r w:rsidRPr="00154096">
          <w:rPr>
            <w:szCs w:val="22"/>
          </w:rPr>
          <w:delText>Humira may be available in other strengths and/or presentations depending on the individual treatment needs</w:delText>
        </w:r>
        <w:r>
          <w:rPr>
            <w:szCs w:val="22"/>
          </w:rPr>
          <w:delText>.</w:delText>
        </w:r>
      </w:del>
    </w:p>
    <w:p w14:paraId="259D9A97" w14:textId="77777777" w:rsidR="00BC0E7E" w:rsidRPr="00BC0E7E" w:rsidRDefault="00BC0E7E" w:rsidP="00BC0E7E">
      <w:pPr>
        <w:rPr>
          <w:del w:id="239" w:author="AbbVie19" w:date="2025-04-16T10:35:00Z"/>
          <w:i/>
        </w:rPr>
      </w:pPr>
    </w:p>
    <w:p w14:paraId="2A405B2A" w14:textId="77777777" w:rsidR="00BC0E7E" w:rsidRPr="00BC0E7E" w:rsidRDefault="00944B8F" w:rsidP="00BC0E7E">
      <w:pPr>
        <w:keepNext/>
        <w:rPr>
          <w:del w:id="240" w:author="AbbVie19" w:date="2025-04-16T10:35:00Z"/>
          <w:i/>
        </w:rPr>
      </w:pPr>
      <w:del w:id="241" w:author="AbbVie19" w:date="2025-04-16T10:35:00Z">
        <w:r w:rsidRPr="00BC0E7E">
          <w:rPr>
            <w:i/>
          </w:rPr>
          <w:delText>Adolescent hidradenitis suppurativa (from 12 years of age, weighing at least 30 kg)</w:delText>
        </w:r>
      </w:del>
    </w:p>
    <w:p w14:paraId="01F6189A" w14:textId="77777777" w:rsidR="00BC0E7E" w:rsidRPr="00BC0E7E" w:rsidRDefault="00BC0E7E" w:rsidP="00BC0E7E">
      <w:pPr>
        <w:keepNext/>
        <w:rPr>
          <w:del w:id="242" w:author="AbbVie19" w:date="2025-04-16T10:35:00Z"/>
          <w:i/>
        </w:rPr>
      </w:pPr>
    </w:p>
    <w:p w14:paraId="591A8437" w14:textId="77777777" w:rsidR="00E357B4" w:rsidRDefault="00944B8F" w:rsidP="00BC0E7E">
      <w:pPr>
        <w:rPr>
          <w:del w:id="243" w:author="AbbVie19" w:date="2025-04-16T10:35:00Z"/>
        </w:rPr>
      </w:pPr>
      <w:del w:id="244" w:author="AbbVie19" w:date="2025-04-16T10:35:00Z">
        <w:r w:rsidRPr="00BC0E7E">
          <w:delText xml:space="preserve">There are no clinical trials with Humira in adolescent patients with HS.  </w:delText>
        </w:r>
      </w:del>
    </w:p>
    <w:p w14:paraId="694F1BA1" w14:textId="77777777" w:rsidR="00E357B4" w:rsidRDefault="00E357B4" w:rsidP="00BC0E7E">
      <w:pPr>
        <w:rPr>
          <w:del w:id="245" w:author="AbbVie19" w:date="2025-04-16T10:35:00Z"/>
        </w:rPr>
      </w:pPr>
    </w:p>
    <w:p w14:paraId="1AE3E4AE" w14:textId="77777777" w:rsidR="00BC0E7E" w:rsidRPr="00BC0E7E" w:rsidRDefault="00944B8F" w:rsidP="00BC0E7E">
      <w:pPr>
        <w:rPr>
          <w:del w:id="246" w:author="AbbVie19" w:date="2025-04-16T10:35:00Z"/>
          <w:shd w:val="clear" w:color="auto" w:fill="FFFFFF"/>
        </w:rPr>
      </w:pPr>
      <w:del w:id="247" w:author="AbbVie19" w:date="2025-04-16T10:35:00Z">
        <w:r w:rsidRPr="00BC0E7E">
          <w:delText>The posology of Humira in these patients has been determined from pharmacokinetic modelling and simulation (see section 5.2).</w:delText>
        </w:r>
      </w:del>
    </w:p>
    <w:p w14:paraId="33C89DFC" w14:textId="77777777" w:rsidR="00BC0E7E" w:rsidRPr="00BC0E7E" w:rsidRDefault="00BC0E7E" w:rsidP="00BC0E7E">
      <w:pPr>
        <w:rPr>
          <w:del w:id="248" w:author="AbbVie19" w:date="2025-04-16T10:35:00Z"/>
          <w:szCs w:val="20"/>
        </w:rPr>
      </w:pPr>
    </w:p>
    <w:p w14:paraId="32619DEC" w14:textId="77777777" w:rsidR="00A6206B" w:rsidRDefault="00944B8F" w:rsidP="00A6206B">
      <w:pPr>
        <w:pStyle w:val="EMEANormal"/>
        <w:rPr>
          <w:del w:id="249" w:author="AbbVie19" w:date="2025-04-16T10:35:00Z"/>
          <w:lang w:val="en-GB"/>
        </w:rPr>
      </w:pPr>
      <w:del w:id="250" w:author="AbbVie19" w:date="2025-04-16T10:35:00Z">
        <w:r w:rsidRPr="00BC0E7E">
          <w:rPr>
            <w:lang w:val="en-GB"/>
          </w:rPr>
          <w:delText xml:space="preserve">The recommended Humira dose is 80 mg at Week 0 followed by 40 mg every other week starting at Week 1 via subcutaneous injection. </w:delText>
        </w:r>
      </w:del>
    </w:p>
    <w:p w14:paraId="65F42440" w14:textId="77777777" w:rsidR="00BC0E7E" w:rsidRPr="00BC0E7E" w:rsidRDefault="00BC0E7E" w:rsidP="00BC0E7E">
      <w:pPr>
        <w:rPr>
          <w:del w:id="251" w:author="AbbVie19" w:date="2025-04-16T10:35:00Z"/>
          <w:szCs w:val="20"/>
        </w:rPr>
      </w:pPr>
    </w:p>
    <w:p w14:paraId="621F89F5" w14:textId="77777777" w:rsidR="00BC0E7E" w:rsidRPr="00BC0E7E" w:rsidRDefault="00944B8F" w:rsidP="00BC0E7E">
      <w:pPr>
        <w:rPr>
          <w:del w:id="252" w:author="AbbVie19" w:date="2025-04-16T10:35:00Z"/>
        </w:rPr>
      </w:pPr>
      <w:del w:id="253" w:author="AbbVie19" w:date="2025-04-16T10:35:00Z">
        <w:r w:rsidRPr="00BC0E7E">
          <w:delText>In adolescent patients with inadequate response to Humira 40 mg every other week, an increase in dos</w:delText>
        </w:r>
        <w:r w:rsidR="00E34FE0">
          <w:delText>age</w:delText>
        </w:r>
        <w:r w:rsidRPr="00BC0E7E">
          <w:delText xml:space="preserve"> to 40 mg every week</w:delText>
        </w:r>
        <w:r w:rsidR="00E34FE0">
          <w:delText xml:space="preserve"> or 80</w:delText>
        </w:r>
        <w:r w:rsidR="00E6118C">
          <w:delText> </w:delText>
        </w:r>
        <w:r w:rsidR="00E34FE0">
          <w:delText>mg every other week</w:delText>
        </w:r>
        <w:r w:rsidRPr="00BC0E7E">
          <w:delText xml:space="preserve"> may be considered.</w:delText>
        </w:r>
      </w:del>
    </w:p>
    <w:p w14:paraId="6EFC6C9E" w14:textId="77777777" w:rsidR="00BC0E7E" w:rsidRPr="00BC0E7E" w:rsidRDefault="00BC0E7E" w:rsidP="00BC0E7E">
      <w:pPr>
        <w:rPr>
          <w:del w:id="254" w:author="AbbVie19" w:date="2025-04-16T10:35:00Z"/>
          <w:szCs w:val="20"/>
        </w:rPr>
      </w:pPr>
    </w:p>
    <w:p w14:paraId="64DFE9D3" w14:textId="77777777" w:rsidR="00BC0E7E" w:rsidRPr="00BC0E7E" w:rsidRDefault="00944B8F" w:rsidP="00BC0E7E">
      <w:pPr>
        <w:rPr>
          <w:del w:id="255" w:author="AbbVie19" w:date="2025-04-16T10:35:00Z"/>
          <w:szCs w:val="20"/>
        </w:rPr>
      </w:pPr>
      <w:del w:id="256" w:author="AbbVie19" w:date="2025-04-16T10:35:00Z">
        <w:r w:rsidRPr="00BC0E7E">
          <w:rPr>
            <w:szCs w:val="20"/>
          </w:rPr>
          <w:delText xml:space="preserve">Antibiotics may be continued during treatment with Humira if necessary. It is recommended that the patient should use a topical antiseptic wash on their HS lesions on a daily basis during treatment with Humira. </w:delText>
        </w:r>
      </w:del>
    </w:p>
    <w:p w14:paraId="7D1A2A60" w14:textId="77777777" w:rsidR="00BC0E7E" w:rsidRPr="00BC0E7E" w:rsidRDefault="00BC0E7E" w:rsidP="00BC0E7E">
      <w:pPr>
        <w:rPr>
          <w:del w:id="257" w:author="AbbVie19" w:date="2025-04-16T10:35:00Z"/>
          <w:szCs w:val="20"/>
        </w:rPr>
      </w:pPr>
    </w:p>
    <w:p w14:paraId="6FD8A633" w14:textId="77777777" w:rsidR="00BC0E7E" w:rsidRPr="00BC0E7E" w:rsidRDefault="00944B8F" w:rsidP="00BC0E7E">
      <w:pPr>
        <w:rPr>
          <w:del w:id="258" w:author="AbbVie19" w:date="2025-04-16T10:35:00Z"/>
          <w:szCs w:val="20"/>
        </w:rPr>
      </w:pPr>
      <w:del w:id="259" w:author="AbbVie19" w:date="2025-04-16T10:35:00Z">
        <w:r w:rsidRPr="00BC0E7E">
          <w:rPr>
            <w:szCs w:val="20"/>
          </w:rPr>
          <w:delText xml:space="preserve">Continued therapy beyond 12 weeks should be carefully reconsidered in a patient with no improvement within this time period.  </w:delText>
        </w:r>
      </w:del>
    </w:p>
    <w:p w14:paraId="656CE025" w14:textId="77777777" w:rsidR="00BC0E7E" w:rsidRPr="00BC0E7E" w:rsidRDefault="00BC0E7E" w:rsidP="00BC0E7E">
      <w:pPr>
        <w:rPr>
          <w:del w:id="260" w:author="AbbVie19" w:date="2025-04-16T10:35:00Z"/>
          <w:i/>
        </w:rPr>
      </w:pPr>
    </w:p>
    <w:p w14:paraId="1CDFE1C1" w14:textId="77777777" w:rsidR="00BC0E7E" w:rsidRPr="00BC0E7E" w:rsidRDefault="00944B8F" w:rsidP="00BC0E7E">
      <w:pPr>
        <w:rPr>
          <w:del w:id="261" w:author="AbbVie19" w:date="2025-04-16T10:35:00Z"/>
          <w:szCs w:val="20"/>
        </w:rPr>
      </w:pPr>
      <w:del w:id="262" w:author="AbbVie19" w:date="2025-04-16T10:35:00Z">
        <w:r w:rsidRPr="00BC0E7E">
          <w:rPr>
            <w:szCs w:val="20"/>
          </w:rPr>
          <w:delText>Should treatment be interrupted, Humira may be re-introduced as appropriate.</w:delText>
        </w:r>
      </w:del>
    </w:p>
    <w:p w14:paraId="53E47BAF" w14:textId="77777777" w:rsidR="00BC0E7E" w:rsidRPr="00BC0E7E" w:rsidRDefault="00BC0E7E" w:rsidP="00BC0E7E">
      <w:pPr>
        <w:rPr>
          <w:del w:id="263" w:author="AbbVie19" w:date="2025-04-16T10:35:00Z"/>
          <w:szCs w:val="20"/>
        </w:rPr>
      </w:pPr>
    </w:p>
    <w:p w14:paraId="7F69C8DB" w14:textId="77777777" w:rsidR="00E34FE0" w:rsidRPr="00BC0E7E" w:rsidRDefault="00944B8F" w:rsidP="00BC0E7E">
      <w:pPr>
        <w:rPr>
          <w:del w:id="264" w:author="AbbVie19" w:date="2025-04-16T10:35:00Z"/>
          <w:szCs w:val="20"/>
        </w:rPr>
      </w:pPr>
      <w:del w:id="265" w:author="AbbVie19" w:date="2025-04-16T10:35:00Z">
        <w:r w:rsidRPr="00BC0E7E">
          <w:rPr>
            <w:szCs w:val="20"/>
          </w:rPr>
          <w:delText>The benefit and risk of continued long-term treatment should be periodically evaluated (see adult data in section 5.1).</w:delText>
        </w:r>
      </w:del>
    </w:p>
    <w:p w14:paraId="184B630F" w14:textId="77777777" w:rsidR="00BC0E7E" w:rsidRPr="00BC0E7E" w:rsidRDefault="00BC0E7E" w:rsidP="00BC0E7E">
      <w:pPr>
        <w:rPr>
          <w:del w:id="266" w:author="AbbVie19" w:date="2025-04-16T10:35:00Z"/>
          <w:szCs w:val="20"/>
        </w:rPr>
      </w:pPr>
    </w:p>
    <w:p w14:paraId="1F2406B3" w14:textId="77777777" w:rsidR="00BC0E7E" w:rsidRPr="00BC0E7E" w:rsidRDefault="00944B8F" w:rsidP="00BC0E7E">
      <w:pPr>
        <w:rPr>
          <w:del w:id="267" w:author="AbbVie19" w:date="2025-04-16T10:35:00Z"/>
        </w:rPr>
      </w:pPr>
      <w:del w:id="268" w:author="AbbVie19" w:date="2025-04-16T10:35:00Z">
        <w:r w:rsidRPr="00BC0E7E">
          <w:delText>There is no relevant use of Humira in children aged less than 12 years in this indication.</w:delText>
        </w:r>
      </w:del>
    </w:p>
    <w:p w14:paraId="4421C91C" w14:textId="77777777" w:rsidR="006B49F3" w:rsidRDefault="006B49F3" w:rsidP="006B49F3">
      <w:pPr>
        <w:keepNext/>
        <w:rPr>
          <w:del w:id="269" w:author="AbbVie19" w:date="2025-04-16T10:35:00Z"/>
          <w:szCs w:val="22"/>
        </w:rPr>
      </w:pPr>
    </w:p>
    <w:p w14:paraId="5F2D06F8" w14:textId="77777777" w:rsidR="006B49F3" w:rsidRPr="002A3533" w:rsidRDefault="00944B8F" w:rsidP="006B49F3">
      <w:pPr>
        <w:keepNext/>
        <w:rPr>
          <w:del w:id="270" w:author="AbbVie19" w:date="2025-04-16T10:35:00Z"/>
        </w:rPr>
      </w:pPr>
      <w:del w:id="271" w:author="AbbVie19" w:date="2025-04-16T10:35:00Z">
        <w:r w:rsidRPr="00154096">
          <w:rPr>
            <w:szCs w:val="22"/>
          </w:rPr>
          <w:delText>Humira may be available in other strengths and/or presentations depending on the individual treatment needs</w:delText>
        </w:r>
        <w:r>
          <w:rPr>
            <w:szCs w:val="22"/>
          </w:rPr>
          <w:delText>.</w:delText>
        </w:r>
      </w:del>
    </w:p>
    <w:p w14:paraId="5D714317" w14:textId="77777777" w:rsidR="00BC0E7E" w:rsidRPr="00BC0E7E" w:rsidRDefault="00BC0E7E" w:rsidP="00BC0E7E">
      <w:pPr>
        <w:rPr>
          <w:del w:id="272" w:author="AbbVie19" w:date="2025-04-16T10:35:00Z"/>
          <w:i/>
        </w:rPr>
      </w:pPr>
    </w:p>
    <w:p w14:paraId="5D27B1E1" w14:textId="77777777" w:rsidR="00BC0E7E" w:rsidRPr="00BC0E7E" w:rsidRDefault="00944B8F" w:rsidP="00BC0E7E">
      <w:pPr>
        <w:rPr>
          <w:del w:id="273" w:author="AbbVie19" w:date="2025-04-16T10:35:00Z"/>
          <w:i/>
        </w:rPr>
      </w:pPr>
      <w:del w:id="274" w:author="AbbVie19" w:date="2025-04-16T10:35:00Z">
        <w:r w:rsidRPr="00BC0E7E">
          <w:rPr>
            <w:i/>
          </w:rPr>
          <w:delText>Paediatric Crohn's disease</w:delText>
        </w:r>
      </w:del>
    </w:p>
    <w:p w14:paraId="56DFED7D" w14:textId="77777777" w:rsidR="00BC0E7E" w:rsidRPr="00BC0E7E" w:rsidRDefault="00BC0E7E" w:rsidP="00BC0E7E">
      <w:pPr>
        <w:rPr>
          <w:del w:id="275" w:author="AbbVie19" w:date="2025-04-16T10:35:00Z"/>
          <w:u w:val="single"/>
        </w:rPr>
      </w:pPr>
    </w:p>
    <w:p w14:paraId="67A6ABB3" w14:textId="77777777" w:rsidR="00F524DB" w:rsidRDefault="00944B8F" w:rsidP="00F524DB">
      <w:pPr>
        <w:rPr>
          <w:del w:id="276" w:author="AbbVie19" w:date="2025-04-16T10:35:00Z"/>
          <w:szCs w:val="22"/>
        </w:rPr>
      </w:pPr>
      <w:del w:id="277" w:author="AbbVie19" w:date="2025-04-16T10:35:00Z">
        <w:r w:rsidRPr="00E20D59">
          <w:rPr>
            <w:szCs w:val="22"/>
          </w:rPr>
          <w:delText xml:space="preserve">The recommended dose of Humira for patients with </w:delText>
        </w:r>
        <w:r>
          <w:rPr>
            <w:szCs w:val="22"/>
          </w:rPr>
          <w:delText>Crohn’s disease from 6</w:delText>
        </w:r>
        <w:r w:rsidRPr="00E20D59">
          <w:rPr>
            <w:szCs w:val="22"/>
          </w:rPr>
          <w:delText xml:space="preserve"> </w:delText>
        </w:r>
        <w:r>
          <w:rPr>
            <w:szCs w:val="22"/>
          </w:rPr>
          <w:delText>to 17</w:delText>
        </w:r>
        <w:r w:rsidR="003E2F23">
          <w:rPr>
            <w:szCs w:val="22"/>
          </w:rPr>
          <w:delText> </w:delText>
        </w:r>
        <w:r w:rsidRPr="00E20D59">
          <w:rPr>
            <w:szCs w:val="22"/>
          </w:rPr>
          <w:delText>years</w:delText>
        </w:r>
        <w:r>
          <w:rPr>
            <w:szCs w:val="22"/>
          </w:rPr>
          <w:delText xml:space="preserve"> of age </w:delText>
        </w:r>
        <w:r w:rsidRPr="00E20D59">
          <w:rPr>
            <w:szCs w:val="22"/>
          </w:rPr>
          <w:delText xml:space="preserve">is based on </w:delText>
        </w:r>
        <w:r>
          <w:rPr>
            <w:szCs w:val="22"/>
          </w:rPr>
          <w:delText xml:space="preserve">body </w:delText>
        </w:r>
        <w:r w:rsidRPr="00E20D59">
          <w:rPr>
            <w:szCs w:val="22"/>
          </w:rPr>
          <w:delText>weight</w:delText>
        </w:r>
        <w:r>
          <w:rPr>
            <w:szCs w:val="22"/>
          </w:rPr>
          <w:delText xml:space="preserve"> (Table 4).</w:delText>
        </w:r>
        <w:r w:rsidRPr="00E20D59">
          <w:rPr>
            <w:szCs w:val="22"/>
          </w:rPr>
          <w:delText xml:space="preserve"> </w:delText>
        </w:r>
        <w:r>
          <w:rPr>
            <w:szCs w:val="22"/>
          </w:rPr>
          <w:delText xml:space="preserve">Humira is </w:delText>
        </w:r>
        <w:r w:rsidRPr="00E20D59">
          <w:rPr>
            <w:szCs w:val="22"/>
          </w:rPr>
          <w:delText>administered via subcutaneous injection.</w:delText>
        </w:r>
      </w:del>
    </w:p>
    <w:p w14:paraId="0015E353" w14:textId="77777777" w:rsidR="00F524DB" w:rsidRDefault="00F524DB" w:rsidP="00F524DB">
      <w:pPr>
        <w:rPr>
          <w:del w:id="278" w:author="AbbVie19" w:date="2025-04-16T10:35:00Z"/>
        </w:rPr>
      </w:pPr>
    </w:p>
    <w:p w14:paraId="62BE8CD7" w14:textId="77777777" w:rsidR="00F524DB" w:rsidRDefault="00944B8F" w:rsidP="003F5ADF">
      <w:pPr>
        <w:keepNext/>
        <w:jc w:val="center"/>
        <w:rPr>
          <w:del w:id="279" w:author="AbbVie19" w:date="2025-04-16T10:35:00Z"/>
          <w:b/>
          <w:szCs w:val="22"/>
        </w:rPr>
      </w:pPr>
      <w:del w:id="280" w:author="AbbVie19" w:date="2025-04-16T10:35:00Z">
        <w:r w:rsidRPr="00840AC3">
          <w:rPr>
            <w:b/>
            <w:szCs w:val="22"/>
          </w:rPr>
          <w:lastRenderedPageBreak/>
          <w:delText xml:space="preserve">Table </w:delText>
        </w:r>
        <w:r>
          <w:rPr>
            <w:b/>
            <w:szCs w:val="22"/>
          </w:rPr>
          <w:delText>4</w:delText>
        </w:r>
        <w:r w:rsidRPr="00840AC3">
          <w:rPr>
            <w:b/>
            <w:szCs w:val="22"/>
          </w:rPr>
          <w:delText>. Humira Do</w:delText>
        </w:r>
        <w:r w:rsidRPr="00A41D77">
          <w:rPr>
            <w:b/>
            <w:szCs w:val="22"/>
          </w:rPr>
          <w:delText xml:space="preserve">se </w:delText>
        </w:r>
        <w:r>
          <w:rPr>
            <w:b/>
            <w:szCs w:val="22"/>
          </w:rPr>
          <w:delText>for Paediatric Patients with Crohn’s disease</w:delText>
        </w:r>
      </w:del>
    </w:p>
    <w:p w14:paraId="432DFBF5" w14:textId="77777777" w:rsidR="00F524DB" w:rsidRDefault="00F524DB" w:rsidP="003F5ADF">
      <w:pPr>
        <w:keepNext/>
        <w:rPr>
          <w:del w:id="281" w:author="AbbVie19" w:date="2025-04-16T10:35:00Z"/>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72"/>
        <w:gridCol w:w="6853"/>
        <w:gridCol w:w="1577"/>
      </w:tblGrid>
      <w:tr w:rsidR="00C6578C" w14:paraId="0A8E462D" w14:textId="77777777" w:rsidTr="00203F45">
        <w:trPr>
          <w:tblHeader/>
          <w:del w:id="282" w:author="AbbVie19" w:date="2025-04-16T10:35:00Z"/>
        </w:trPr>
        <w:tc>
          <w:tcPr>
            <w:tcW w:w="0" w:type="auto"/>
            <w:tcBorders>
              <w:top w:val="single" w:sz="6" w:space="0" w:color="000000"/>
              <w:left w:val="single" w:sz="6" w:space="0" w:color="000000"/>
              <w:bottom w:val="single" w:sz="6" w:space="0" w:color="000000"/>
              <w:right w:val="single" w:sz="6" w:space="0" w:color="000000"/>
            </w:tcBorders>
            <w:hideMark/>
          </w:tcPr>
          <w:p w14:paraId="5627C40A" w14:textId="77777777" w:rsidR="00F524DB" w:rsidRDefault="00944B8F" w:rsidP="003F5ADF">
            <w:pPr>
              <w:keepNext/>
              <w:jc w:val="center"/>
              <w:rPr>
                <w:del w:id="283" w:author="AbbVie19" w:date="2025-04-16T10:35:00Z"/>
              </w:rPr>
            </w:pPr>
            <w:del w:id="284" w:author="AbbVie19" w:date="2025-04-16T10:35:00Z">
              <w:r>
                <w:rPr>
                  <w:b/>
                </w:rPr>
                <w:delText>Patient Weight</w:delText>
              </w:r>
            </w:del>
          </w:p>
        </w:tc>
        <w:tc>
          <w:tcPr>
            <w:tcW w:w="0" w:type="auto"/>
            <w:tcBorders>
              <w:top w:val="single" w:sz="6" w:space="0" w:color="000000"/>
              <w:left w:val="single" w:sz="6" w:space="0" w:color="000000"/>
              <w:bottom w:val="single" w:sz="6" w:space="0" w:color="000000"/>
              <w:right w:val="single" w:sz="6" w:space="0" w:color="000000"/>
            </w:tcBorders>
            <w:hideMark/>
          </w:tcPr>
          <w:p w14:paraId="4E988BE6" w14:textId="77777777" w:rsidR="00F524DB" w:rsidRDefault="00944B8F" w:rsidP="003F5ADF">
            <w:pPr>
              <w:keepNext/>
              <w:jc w:val="center"/>
              <w:rPr>
                <w:del w:id="285" w:author="AbbVie19" w:date="2025-04-16T10:35:00Z"/>
              </w:rPr>
            </w:pPr>
            <w:del w:id="286" w:author="AbbVie19" w:date="2025-04-16T10:35:00Z">
              <w:r>
                <w:rPr>
                  <w:b/>
                </w:rPr>
                <w:delText>Induction Dose</w:delText>
              </w:r>
            </w:del>
          </w:p>
        </w:tc>
        <w:tc>
          <w:tcPr>
            <w:tcW w:w="0" w:type="auto"/>
            <w:tcBorders>
              <w:top w:val="single" w:sz="6" w:space="0" w:color="000000"/>
              <w:left w:val="single" w:sz="6" w:space="0" w:color="000000"/>
              <w:bottom w:val="single" w:sz="6" w:space="0" w:color="000000"/>
              <w:right w:val="single" w:sz="6" w:space="0" w:color="000000"/>
            </w:tcBorders>
            <w:hideMark/>
          </w:tcPr>
          <w:p w14:paraId="4D3BCF58" w14:textId="77777777" w:rsidR="00F524DB" w:rsidRDefault="00944B8F" w:rsidP="003F5ADF">
            <w:pPr>
              <w:keepNext/>
              <w:jc w:val="center"/>
              <w:rPr>
                <w:del w:id="287" w:author="AbbVie19" w:date="2025-04-16T10:35:00Z"/>
              </w:rPr>
            </w:pPr>
            <w:del w:id="288" w:author="AbbVie19" w:date="2025-04-16T10:35:00Z">
              <w:r>
                <w:rPr>
                  <w:b/>
                </w:rPr>
                <w:delText>Maintenance Dose</w:delText>
              </w:r>
              <w:r>
                <w:rPr>
                  <w:b/>
                </w:rPr>
                <w:br/>
                <w:delText>Starting at Week 4</w:delText>
              </w:r>
            </w:del>
          </w:p>
        </w:tc>
      </w:tr>
      <w:tr w:rsidR="00C6578C" w14:paraId="51867AC6" w14:textId="77777777" w:rsidTr="00203F45">
        <w:trPr>
          <w:del w:id="289" w:author="AbbVie19" w:date="2025-04-16T10:35:00Z"/>
        </w:trPr>
        <w:tc>
          <w:tcPr>
            <w:tcW w:w="0" w:type="auto"/>
            <w:tcBorders>
              <w:top w:val="single" w:sz="6" w:space="0" w:color="000000"/>
              <w:left w:val="single" w:sz="6" w:space="0" w:color="000000"/>
              <w:bottom w:val="single" w:sz="6" w:space="0" w:color="000000"/>
              <w:right w:val="single" w:sz="6" w:space="0" w:color="000000"/>
            </w:tcBorders>
            <w:hideMark/>
          </w:tcPr>
          <w:p w14:paraId="0F26F2B5" w14:textId="77777777" w:rsidR="00F524DB" w:rsidRDefault="00944B8F" w:rsidP="00203F45">
            <w:pPr>
              <w:jc w:val="center"/>
              <w:rPr>
                <w:del w:id="290" w:author="AbbVie19" w:date="2025-04-16T10:35:00Z"/>
              </w:rPr>
            </w:pPr>
            <w:del w:id="291" w:author="AbbVie19" w:date="2025-04-16T10:35:00Z">
              <w:r>
                <w:delText>&lt;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6439D2BB" w14:textId="77777777" w:rsidR="00F524DB" w:rsidRPr="00F8398A" w:rsidRDefault="00944B8F" w:rsidP="009D78A8">
            <w:pPr>
              <w:numPr>
                <w:ilvl w:val="0"/>
                <w:numId w:val="94"/>
              </w:numPr>
              <w:tabs>
                <w:tab w:val="clear" w:pos="562"/>
              </w:tabs>
              <w:suppressAutoHyphens w:val="0"/>
              <w:ind w:left="307" w:hanging="180"/>
              <w:rPr>
                <w:del w:id="292" w:author="AbbVie19" w:date="2025-04-16T10:35:00Z"/>
                <w:szCs w:val="22"/>
              </w:rPr>
            </w:pPr>
            <w:del w:id="293" w:author="AbbVie19" w:date="2025-04-16T10:35:00Z">
              <w:r>
                <w:rPr>
                  <w:szCs w:val="22"/>
                </w:rPr>
                <w:delText>40 mg at week 0 and 20 mg at w</w:delText>
              </w:r>
              <w:r w:rsidRPr="00F8398A">
                <w:rPr>
                  <w:szCs w:val="22"/>
                </w:rPr>
                <w:delText>eek 2</w:delText>
              </w:r>
            </w:del>
          </w:p>
          <w:p w14:paraId="19564CFE" w14:textId="77777777" w:rsidR="00F524DB" w:rsidRPr="00F8398A" w:rsidRDefault="00F524DB" w:rsidP="00203F45">
            <w:pPr>
              <w:tabs>
                <w:tab w:val="clear" w:pos="562"/>
              </w:tabs>
              <w:suppressAutoHyphens w:val="0"/>
              <w:ind w:left="337"/>
              <w:rPr>
                <w:del w:id="294" w:author="AbbVie19" w:date="2025-04-16T10:35:00Z"/>
                <w:szCs w:val="22"/>
              </w:rPr>
            </w:pPr>
          </w:p>
          <w:p w14:paraId="1ED465D2" w14:textId="77777777" w:rsidR="00F524DB" w:rsidRPr="00F8398A" w:rsidRDefault="00944B8F" w:rsidP="00203F45">
            <w:pPr>
              <w:tabs>
                <w:tab w:val="clear" w:pos="562"/>
              </w:tabs>
              <w:suppressAutoHyphens w:val="0"/>
              <w:ind w:left="150"/>
              <w:rPr>
                <w:del w:id="295" w:author="AbbVie19" w:date="2025-04-16T10:35:00Z"/>
                <w:szCs w:val="22"/>
              </w:rPr>
            </w:pPr>
            <w:del w:id="296" w:author="AbbVie19" w:date="2025-04-16T10:35:00Z">
              <w:r w:rsidRPr="00F8398A">
                <w:rPr>
                  <w:szCs w:val="22"/>
                </w:rPr>
                <w:delText xml:space="preserve">In case there is a need for a more rapid response to therapy </w:delText>
              </w:r>
              <w:r w:rsidRPr="00F8398A">
                <w:rPr>
                  <w:iCs/>
                  <w:szCs w:val="22"/>
                </w:rPr>
                <w:delText>with the awareness that the risk for adverse events may be higher with use of the higher induction dose, the following dose may be used:</w:delText>
              </w:r>
            </w:del>
          </w:p>
          <w:p w14:paraId="5552EFF2" w14:textId="77777777" w:rsidR="00F524DB" w:rsidRPr="00F8398A" w:rsidRDefault="00944B8F" w:rsidP="009D78A8">
            <w:pPr>
              <w:numPr>
                <w:ilvl w:val="0"/>
                <w:numId w:val="90"/>
              </w:numPr>
              <w:tabs>
                <w:tab w:val="clear" w:pos="562"/>
              </w:tabs>
              <w:suppressAutoHyphens w:val="0"/>
              <w:ind w:left="307" w:hanging="180"/>
              <w:rPr>
                <w:del w:id="297" w:author="AbbVie19" w:date="2025-04-16T10:35:00Z"/>
                <w:iCs/>
                <w:szCs w:val="22"/>
              </w:rPr>
            </w:pPr>
            <w:del w:id="298" w:author="AbbVie19" w:date="2025-04-16T10:35:00Z">
              <w:r>
                <w:rPr>
                  <w:szCs w:val="22"/>
                </w:rPr>
                <w:delText>80 mg at week 0 and 40 mg at w</w:delText>
              </w:r>
              <w:r w:rsidRPr="00F8398A">
                <w:rPr>
                  <w:szCs w:val="22"/>
                </w:rPr>
                <w:delText>eek 2</w:delText>
              </w:r>
            </w:del>
          </w:p>
        </w:tc>
        <w:tc>
          <w:tcPr>
            <w:tcW w:w="0" w:type="auto"/>
            <w:tcBorders>
              <w:top w:val="single" w:sz="6" w:space="0" w:color="000000"/>
              <w:left w:val="single" w:sz="6" w:space="0" w:color="000000"/>
              <w:bottom w:val="single" w:sz="6" w:space="0" w:color="000000"/>
              <w:right w:val="single" w:sz="6" w:space="0" w:color="000000"/>
            </w:tcBorders>
            <w:hideMark/>
          </w:tcPr>
          <w:p w14:paraId="69CBFBC4" w14:textId="77777777" w:rsidR="00F524DB" w:rsidRDefault="00944B8F" w:rsidP="00203F45">
            <w:pPr>
              <w:tabs>
                <w:tab w:val="clear" w:pos="562"/>
              </w:tabs>
              <w:suppressAutoHyphens w:val="0"/>
              <w:ind w:left="16"/>
              <w:jc w:val="center"/>
              <w:rPr>
                <w:del w:id="299" w:author="AbbVie19" w:date="2025-04-16T10:35:00Z"/>
              </w:rPr>
            </w:pPr>
            <w:del w:id="300" w:author="AbbVie19" w:date="2025-04-16T10:35:00Z">
              <w:r>
                <w:delText>20 mg every other week</w:delText>
              </w:r>
            </w:del>
          </w:p>
        </w:tc>
      </w:tr>
      <w:tr w:rsidR="00C6578C" w14:paraId="082763FA" w14:textId="77777777" w:rsidTr="00203F45">
        <w:trPr>
          <w:del w:id="301" w:author="AbbVie19" w:date="2025-04-16T10:35:00Z"/>
        </w:trPr>
        <w:tc>
          <w:tcPr>
            <w:tcW w:w="0" w:type="auto"/>
            <w:tcBorders>
              <w:top w:val="single" w:sz="6" w:space="0" w:color="000000"/>
              <w:left w:val="single" w:sz="6" w:space="0" w:color="000000"/>
              <w:bottom w:val="single" w:sz="6" w:space="0" w:color="000000"/>
              <w:right w:val="single" w:sz="6" w:space="0" w:color="000000"/>
            </w:tcBorders>
            <w:hideMark/>
          </w:tcPr>
          <w:p w14:paraId="2F20DF56" w14:textId="77777777" w:rsidR="00F524DB" w:rsidRDefault="00944B8F" w:rsidP="00203F45">
            <w:pPr>
              <w:jc w:val="center"/>
              <w:rPr>
                <w:del w:id="302" w:author="AbbVie19" w:date="2025-04-16T10:35:00Z"/>
              </w:rPr>
            </w:pPr>
            <w:del w:id="303" w:author="AbbVie19" w:date="2025-04-16T10:35:00Z">
              <w:r>
                <w:delTex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1B24C52E" w14:textId="77777777" w:rsidR="00F524DB" w:rsidRPr="00F8398A" w:rsidRDefault="00944B8F" w:rsidP="009D78A8">
            <w:pPr>
              <w:numPr>
                <w:ilvl w:val="0"/>
                <w:numId w:val="97"/>
              </w:numPr>
              <w:tabs>
                <w:tab w:val="clear" w:pos="562"/>
              </w:tabs>
              <w:suppressAutoHyphens w:val="0"/>
              <w:ind w:left="307" w:hanging="175"/>
              <w:rPr>
                <w:del w:id="304" w:author="AbbVie19" w:date="2025-04-16T10:35:00Z"/>
                <w:szCs w:val="22"/>
              </w:rPr>
            </w:pPr>
            <w:del w:id="305" w:author="AbbVie19" w:date="2025-04-16T10:35:00Z">
              <w:r>
                <w:rPr>
                  <w:szCs w:val="22"/>
                </w:rPr>
                <w:delText>80 mg at week 0 and 40 mg at w</w:delText>
              </w:r>
              <w:r w:rsidRPr="00F8398A">
                <w:rPr>
                  <w:szCs w:val="22"/>
                </w:rPr>
                <w:delText>eek 2</w:delText>
              </w:r>
            </w:del>
          </w:p>
          <w:p w14:paraId="6CAD2E81" w14:textId="77777777" w:rsidR="00F524DB" w:rsidRPr="00F8398A" w:rsidRDefault="00F524DB" w:rsidP="00203F45">
            <w:pPr>
              <w:tabs>
                <w:tab w:val="clear" w:pos="562"/>
              </w:tabs>
              <w:suppressAutoHyphens w:val="0"/>
              <w:rPr>
                <w:del w:id="306" w:author="AbbVie19" w:date="2025-04-16T10:35:00Z"/>
                <w:szCs w:val="22"/>
              </w:rPr>
            </w:pPr>
          </w:p>
          <w:p w14:paraId="4ADDFEED" w14:textId="77777777" w:rsidR="00F524DB" w:rsidRPr="00F8398A" w:rsidRDefault="00944B8F" w:rsidP="00203F45">
            <w:pPr>
              <w:tabs>
                <w:tab w:val="clear" w:pos="562"/>
              </w:tabs>
              <w:suppressAutoHyphens w:val="0"/>
              <w:ind w:left="150"/>
              <w:rPr>
                <w:del w:id="307" w:author="AbbVie19" w:date="2025-04-16T10:35:00Z"/>
                <w:iCs/>
                <w:szCs w:val="22"/>
              </w:rPr>
            </w:pPr>
            <w:del w:id="308" w:author="AbbVie19" w:date="2025-04-16T10:35:00Z">
              <w:r w:rsidRPr="00F8398A">
                <w:rPr>
                  <w:szCs w:val="22"/>
                </w:rPr>
                <w:delText xml:space="preserve">In case there is a need for a more rapid response to therapy </w:delText>
              </w:r>
              <w:r w:rsidRPr="00F8398A">
                <w:rPr>
                  <w:iCs/>
                  <w:szCs w:val="22"/>
                </w:rPr>
                <w:delText>with the awareness that the risk for adverse events may be higher with use of the higher induction dose, the following dose may be used:</w:delText>
              </w:r>
            </w:del>
          </w:p>
          <w:p w14:paraId="4189B1E0" w14:textId="77777777" w:rsidR="00F524DB" w:rsidRPr="00F8398A" w:rsidRDefault="00944B8F" w:rsidP="009D78A8">
            <w:pPr>
              <w:numPr>
                <w:ilvl w:val="0"/>
                <w:numId w:val="95"/>
              </w:numPr>
              <w:tabs>
                <w:tab w:val="clear" w:pos="562"/>
              </w:tabs>
              <w:suppressAutoHyphens w:val="0"/>
              <w:ind w:left="314" w:hanging="187"/>
              <w:rPr>
                <w:del w:id="309" w:author="AbbVie19" w:date="2025-04-16T10:35:00Z"/>
                <w:szCs w:val="22"/>
              </w:rPr>
            </w:pPr>
            <w:del w:id="310" w:author="AbbVie19" w:date="2025-04-16T10:35:00Z">
              <w:r>
                <w:rPr>
                  <w:szCs w:val="22"/>
                </w:rPr>
                <w:delText>160 mg at w</w:delText>
              </w:r>
              <w:r w:rsidRPr="00F8398A">
                <w:rPr>
                  <w:szCs w:val="22"/>
                </w:rPr>
                <w:delText>ee</w:delText>
              </w:r>
              <w:r>
                <w:rPr>
                  <w:szCs w:val="22"/>
                </w:rPr>
                <w:delText>k 0 and 80 mg at w</w:delText>
              </w:r>
              <w:r w:rsidRPr="00F8398A">
                <w:rPr>
                  <w:szCs w:val="22"/>
                </w:rPr>
                <w:delText>eek 2</w:delText>
              </w:r>
            </w:del>
          </w:p>
        </w:tc>
        <w:tc>
          <w:tcPr>
            <w:tcW w:w="0" w:type="auto"/>
            <w:tcBorders>
              <w:top w:val="single" w:sz="6" w:space="0" w:color="000000"/>
              <w:left w:val="single" w:sz="6" w:space="0" w:color="000000"/>
              <w:bottom w:val="single" w:sz="6" w:space="0" w:color="000000"/>
              <w:right w:val="single" w:sz="6" w:space="0" w:color="000000"/>
            </w:tcBorders>
            <w:hideMark/>
          </w:tcPr>
          <w:p w14:paraId="5A79A7CE" w14:textId="77777777" w:rsidR="00F524DB" w:rsidRDefault="00944B8F" w:rsidP="00203F45">
            <w:pPr>
              <w:tabs>
                <w:tab w:val="clear" w:pos="562"/>
              </w:tabs>
              <w:suppressAutoHyphens w:val="0"/>
              <w:ind w:left="16"/>
              <w:jc w:val="center"/>
              <w:rPr>
                <w:del w:id="311" w:author="AbbVie19" w:date="2025-04-16T10:35:00Z"/>
              </w:rPr>
            </w:pPr>
            <w:del w:id="312" w:author="AbbVie19" w:date="2025-04-16T10:35:00Z">
              <w:r>
                <w:delText>40 mg every other week</w:delText>
              </w:r>
            </w:del>
          </w:p>
        </w:tc>
      </w:tr>
    </w:tbl>
    <w:p w14:paraId="6A333500" w14:textId="77777777" w:rsidR="00F524DB" w:rsidRDefault="00F524DB" w:rsidP="00F524DB">
      <w:pPr>
        <w:keepNext/>
        <w:rPr>
          <w:del w:id="313" w:author="AbbVie19" w:date="2025-04-16T10:35:00Z"/>
        </w:rPr>
      </w:pPr>
      <w:bookmarkStart w:id="314" w:name="l35893291409284316"/>
      <w:bookmarkStart w:id="315" w:name="l409706291409284374"/>
      <w:bookmarkStart w:id="316" w:name="l409697291409284461"/>
      <w:bookmarkStart w:id="317" w:name="l604373291409284474"/>
      <w:bookmarkEnd w:id="314"/>
      <w:bookmarkEnd w:id="315"/>
      <w:bookmarkEnd w:id="316"/>
      <w:bookmarkEnd w:id="317"/>
    </w:p>
    <w:p w14:paraId="49853045" w14:textId="77777777" w:rsidR="00F524DB" w:rsidRDefault="00944B8F" w:rsidP="00F524DB">
      <w:pPr>
        <w:keepNext/>
        <w:rPr>
          <w:del w:id="318" w:author="AbbVie19" w:date="2025-04-16T10:35:00Z"/>
        </w:rPr>
      </w:pPr>
      <w:del w:id="319" w:author="AbbVie19" w:date="2025-04-16T10:35:00Z">
        <w:r>
          <w:delText xml:space="preserve">Patients </w:delText>
        </w:r>
        <w:r w:rsidRPr="002A3533">
          <w:delText xml:space="preserve">who experience insufficient response may benefit from </w:delText>
        </w:r>
        <w:r>
          <w:delText xml:space="preserve">an increase in </w:delText>
        </w:r>
        <w:r w:rsidR="001F67CD">
          <w:delText>dosage</w:delText>
        </w:r>
        <w:r>
          <w:delText>:</w:delText>
        </w:r>
      </w:del>
    </w:p>
    <w:p w14:paraId="159996CB" w14:textId="77777777" w:rsidR="00F524DB" w:rsidRDefault="00944B8F" w:rsidP="009D78A8">
      <w:pPr>
        <w:keepNext/>
        <w:numPr>
          <w:ilvl w:val="0"/>
          <w:numId w:val="95"/>
        </w:numPr>
        <w:tabs>
          <w:tab w:val="clear" w:pos="562"/>
          <w:tab w:val="left" w:pos="540"/>
        </w:tabs>
        <w:ind w:left="540" w:hanging="540"/>
        <w:rPr>
          <w:del w:id="320" w:author="AbbVie19" w:date="2025-04-16T10:35:00Z"/>
        </w:rPr>
      </w:pPr>
      <w:del w:id="321" w:author="AbbVie19" w:date="2025-04-16T10:35:00Z">
        <w:r>
          <w:delText>&lt; 40 kg: 20 mg every week</w:delText>
        </w:r>
      </w:del>
    </w:p>
    <w:p w14:paraId="403AA76A" w14:textId="77777777" w:rsidR="00F524DB" w:rsidRPr="002A3533" w:rsidRDefault="00944B8F" w:rsidP="009D78A8">
      <w:pPr>
        <w:keepNext/>
        <w:numPr>
          <w:ilvl w:val="0"/>
          <w:numId w:val="95"/>
        </w:numPr>
        <w:tabs>
          <w:tab w:val="clear" w:pos="562"/>
          <w:tab w:val="left" w:pos="540"/>
        </w:tabs>
        <w:ind w:left="540" w:hanging="540"/>
        <w:rPr>
          <w:del w:id="322" w:author="AbbVie19" w:date="2025-04-16T10:35:00Z"/>
        </w:rPr>
      </w:pPr>
      <w:del w:id="323" w:author="AbbVie19" w:date="2025-04-16T10:35:00Z">
        <w:r>
          <w:delText>≥ 40 kg: 40 mg every week</w:delText>
        </w:r>
        <w:r w:rsidR="00A61ECF">
          <w:delText xml:space="preserve"> or 80</w:delText>
        </w:r>
        <w:r w:rsidR="00E6118C">
          <w:delText> </w:delText>
        </w:r>
        <w:r w:rsidR="00A61ECF">
          <w:delText>mg every other week</w:delText>
        </w:r>
      </w:del>
    </w:p>
    <w:p w14:paraId="253553CB" w14:textId="77777777" w:rsidR="00BC0E7E" w:rsidRPr="00BC0E7E" w:rsidRDefault="00BC0E7E" w:rsidP="00BC0E7E">
      <w:pPr>
        <w:rPr>
          <w:del w:id="324" w:author="AbbVie19" w:date="2025-04-16T10:35:00Z"/>
        </w:rPr>
      </w:pPr>
    </w:p>
    <w:p w14:paraId="09DC54C3" w14:textId="77777777" w:rsidR="00BC0E7E" w:rsidRPr="00BC0E7E" w:rsidRDefault="00944B8F" w:rsidP="00BC0E7E">
      <w:pPr>
        <w:rPr>
          <w:del w:id="325" w:author="AbbVie19" w:date="2025-04-16T10:35:00Z"/>
        </w:rPr>
      </w:pPr>
      <w:del w:id="326" w:author="AbbVie19" w:date="2025-04-16T10:35:00Z">
        <w:r w:rsidRPr="00BC0E7E">
          <w:delText xml:space="preserve">Continued therapy should be carefully considered in a subject not responding by </w:delText>
        </w:r>
        <w:r w:rsidR="00A005E2">
          <w:delText>w</w:delText>
        </w:r>
        <w:r w:rsidRPr="00BC0E7E">
          <w:delText>eek 12.</w:delText>
        </w:r>
      </w:del>
    </w:p>
    <w:p w14:paraId="64AC714A" w14:textId="77777777" w:rsidR="00BC0E7E" w:rsidRPr="00BC0E7E" w:rsidRDefault="00BC0E7E" w:rsidP="00BC0E7E">
      <w:pPr>
        <w:rPr>
          <w:del w:id="327" w:author="AbbVie19" w:date="2025-04-16T10:35:00Z"/>
          <w:shd w:val="clear" w:color="auto" w:fill="B3FFFF"/>
        </w:rPr>
      </w:pPr>
    </w:p>
    <w:p w14:paraId="4683036B" w14:textId="77777777" w:rsidR="00BC0E7E" w:rsidRPr="00BC0E7E" w:rsidRDefault="00944B8F" w:rsidP="00BC0E7E">
      <w:pPr>
        <w:rPr>
          <w:del w:id="328" w:author="AbbVie19" w:date="2025-04-16T10:35:00Z"/>
          <w:szCs w:val="20"/>
        </w:rPr>
      </w:pPr>
      <w:del w:id="329" w:author="AbbVie19" w:date="2025-04-16T10:35:00Z">
        <w:r w:rsidRPr="00BC0E7E">
          <w:rPr>
            <w:szCs w:val="20"/>
          </w:rPr>
          <w:delText>There is no relevant use of Humira in children aged less than 6 years for this indication.</w:delText>
        </w:r>
      </w:del>
    </w:p>
    <w:p w14:paraId="2B26EA0D" w14:textId="77777777" w:rsidR="006B49F3" w:rsidRDefault="006B49F3" w:rsidP="006B49F3">
      <w:pPr>
        <w:keepNext/>
        <w:rPr>
          <w:del w:id="330" w:author="AbbVie19" w:date="2025-04-16T10:35:00Z"/>
          <w:szCs w:val="22"/>
        </w:rPr>
      </w:pPr>
    </w:p>
    <w:p w14:paraId="0EEDC7D2" w14:textId="77777777" w:rsidR="006B49F3" w:rsidRPr="002A3533" w:rsidRDefault="00944B8F" w:rsidP="006B49F3">
      <w:pPr>
        <w:keepNext/>
        <w:rPr>
          <w:del w:id="331" w:author="AbbVie19" w:date="2025-04-16T10:35:00Z"/>
        </w:rPr>
      </w:pPr>
      <w:del w:id="332" w:author="AbbVie19" w:date="2025-04-16T10:35:00Z">
        <w:r w:rsidRPr="00154096">
          <w:rPr>
            <w:szCs w:val="22"/>
          </w:rPr>
          <w:delText>Humira may be available in other strengths and/or presentations depending on the individual treatment needs</w:delText>
        </w:r>
        <w:r>
          <w:rPr>
            <w:szCs w:val="22"/>
          </w:rPr>
          <w:delText>.</w:delText>
        </w:r>
      </w:del>
    </w:p>
    <w:p w14:paraId="5317879F" w14:textId="77777777" w:rsidR="00BC0E7E" w:rsidRPr="00BC0E7E" w:rsidRDefault="00BC0E7E" w:rsidP="00BC0E7E">
      <w:pPr>
        <w:rPr>
          <w:del w:id="333" w:author="AbbVie19" w:date="2025-04-16T10:35:00Z"/>
          <w:szCs w:val="20"/>
        </w:rPr>
      </w:pPr>
    </w:p>
    <w:p w14:paraId="48BAD1C7" w14:textId="77777777" w:rsidR="009D73EC" w:rsidRPr="00775B6A" w:rsidRDefault="00944B8F" w:rsidP="009D73EC">
      <w:pPr>
        <w:rPr>
          <w:del w:id="334" w:author="AbbVie19" w:date="2025-04-16T10:35:00Z"/>
          <w:b/>
          <w:szCs w:val="22"/>
        </w:rPr>
      </w:pPr>
      <w:del w:id="335" w:author="AbbVie19" w:date="2025-04-16T10:35:00Z">
        <w:r w:rsidRPr="003A75F8">
          <w:rPr>
            <w:i/>
            <w:szCs w:val="22"/>
          </w:rPr>
          <w:delText>Paediatric ulcerative colitis</w:delText>
        </w:r>
        <w:r w:rsidRPr="003A75F8">
          <w:rPr>
            <w:b/>
            <w:szCs w:val="22"/>
          </w:rPr>
          <w:delText xml:space="preserve"> </w:delText>
        </w:r>
      </w:del>
    </w:p>
    <w:p w14:paraId="420E922A" w14:textId="77777777" w:rsidR="009D73EC" w:rsidRPr="00986E88" w:rsidRDefault="009D73EC" w:rsidP="009D73EC">
      <w:pPr>
        <w:rPr>
          <w:del w:id="336" w:author="AbbVie19" w:date="2025-04-16T10:35:00Z"/>
          <w:szCs w:val="22"/>
        </w:rPr>
      </w:pPr>
    </w:p>
    <w:p w14:paraId="440A2B0D" w14:textId="77777777" w:rsidR="00780906" w:rsidRPr="00986E88" w:rsidRDefault="00944B8F" w:rsidP="00780906">
      <w:pPr>
        <w:rPr>
          <w:del w:id="337" w:author="AbbVie19" w:date="2025-04-16T10:35:00Z"/>
          <w:szCs w:val="22"/>
        </w:rPr>
      </w:pPr>
      <w:del w:id="338" w:author="AbbVie19" w:date="2025-04-16T10:35:00Z">
        <w:r w:rsidRPr="00986E88">
          <w:rPr>
            <w:szCs w:val="22"/>
          </w:rPr>
          <w:delText xml:space="preserve">The recommended dose of Humira for patients from </w:delText>
        </w:r>
        <w:r>
          <w:rPr>
            <w:szCs w:val="22"/>
          </w:rPr>
          <w:delText>6</w:delText>
        </w:r>
        <w:r w:rsidRPr="00986E88">
          <w:rPr>
            <w:szCs w:val="22"/>
          </w:rPr>
          <w:delText xml:space="preserve"> to 17 years of age with ulcerative colitis is based on body weight (Table 5). Humira is administered via subcutaneous injection. </w:delText>
        </w:r>
      </w:del>
    </w:p>
    <w:p w14:paraId="55226ABD" w14:textId="77777777" w:rsidR="009D73EC" w:rsidRPr="00986E88" w:rsidRDefault="009D73EC" w:rsidP="009D73EC">
      <w:pPr>
        <w:rPr>
          <w:del w:id="339" w:author="AbbVie19" w:date="2025-04-16T10:35:00Z"/>
          <w:szCs w:val="22"/>
        </w:rPr>
      </w:pPr>
    </w:p>
    <w:p w14:paraId="2465A669" w14:textId="77777777" w:rsidR="009D73EC" w:rsidRPr="005037B5" w:rsidRDefault="00944B8F" w:rsidP="009D73EC">
      <w:pPr>
        <w:keepNext/>
        <w:jc w:val="center"/>
        <w:rPr>
          <w:del w:id="340" w:author="AbbVie19" w:date="2025-04-16T10:35:00Z"/>
          <w:szCs w:val="22"/>
        </w:rPr>
      </w:pPr>
      <w:del w:id="341" w:author="AbbVie19" w:date="2025-04-16T10:35:00Z">
        <w:r w:rsidRPr="00BA51B8">
          <w:rPr>
            <w:b/>
            <w:szCs w:val="22"/>
          </w:rPr>
          <w:delText xml:space="preserve">Table </w:delText>
        </w:r>
        <w:r w:rsidR="00A94350" w:rsidRPr="00BA51B8">
          <w:rPr>
            <w:b/>
            <w:szCs w:val="22"/>
          </w:rPr>
          <w:delText>5</w:delText>
        </w:r>
        <w:r w:rsidRPr="00BA51B8">
          <w:rPr>
            <w:b/>
            <w:szCs w:val="22"/>
          </w:rPr>
          <w:delText xml:space="preserve">. Humira Dose for Paediatric Patients with Ulcerative Colitis </w:delText>
        </w:r>
      </w:del>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73"/>
        <w:gridCol w:w="3449"/>
        <w:gridCol w:w="3279"/>
      </w:tblGrid>
      <w:tr w:rsidR="00C6578C" w14:paraId="04B2695A" w14:textId="77777777" w:rsidTr="0065221F">
        <w:trPr>
          <w:jc w:val="center"/>
          <w:del w:id="342" w:author="AbbVie19" w:date="2025-04-16T10:35:00Z"/>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AADC423" w14:textId="77777777" w:rsidR="00077000" w:rsidRPr="007E3998" w:rsidRDefault="00944B8F" w:rsidP="0065221F">
            <w:pPr>
              <w:jc w:val="center"/>
              <w:rPr>
                <w:del w:id="343" w:author="AbbVie19" w:date="2025-04-16T10:35:00Z"/>
                <w:b/>
                <w:szCs w:val="22"/>
              </w:rPr>
            </w:pPr>
            <w:del w:id="344" w:author="AbbVie19" w:date="2025-04-16T10:35:00Z">
              <w:r w:rsidRPr="003B591C">
                <w:rPr>
                  <w:b/>
                  <w:szCs w:val="22"/>
                </w:rPr>
                <w:delText>Patient Weight</w:delText>
              </w:r>
            </w:del>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274A632F" w14:textId="77777777" w:rsidR="00077000" w:rsidRPr="00986E88" w:rsidRDefault="00944B8F" w:rsidP="0065221F">
            <w:pPr>
              <w:jc w:val="center"/>
              <w:rPr>
                <w:del w:id="345" w:author="AbbVie19" w:date="2025-04-16T10:35:00Z"/>
                <w:b/>
                <w:szCs w:val="22"/>
              </w:rPr>
            </w:pPr>
            <w:del w:id="346" w:author="AbbVie19" w:date="2025-04-16T10:35:00Z">
              <w:r w:rsidRPr="00AC0E90">
                <w:rPr>
                  <w:b/>
                  <w:szCs w:val="22"/>
                </w:rPr>
                <w:delText>Induction Dose</w:delText>
              </w:r>
            </w:del>
          </w:p>
        </w:tc>
        <w:tc>
          <w:tcPr>
            <w:tcW w:w="1906" w:type="pct"/>
            <w:tcBorders>
              <w:top w:val="single" w:sz="6" w:space="0" w:color="000000"/>
              <w:left w:val="single" w:sz="6" w:space="0" w:color="000000"/>
              <w:bottom w:val="single" w:sz="6" w:space="0" w:color="000000"/>
              <w:right w:val="single" w:sz="6" w:space="0" w:color="000000"/>
            </w:tcBorders>
            <w:hideMark/>
          </w:tcPr>
          <w:p w14:paraId="6BCBCE33" w14:textId="77777777" w:rsidR="00077000" w:rsidRPr="00986E88" w:rsidRDefault="00944B8F" w:rsidP="0065221F">
            <w:pPr>
              <w:jc w:val="center"/>
              <w:rPr>
                <w:del w:id="347" w:author="AbbVie19" w:date="2025-04-16T10:35:00Z"/>
                <w:b/>
                <w:szCs w:val="22"/>
              </w:rPr>
            </w:pPr>
            <w:del w:id="348" w:author="AbbVie19" w:date="2025-04-16T10:35:00Z">
              <w:r w:rsidRPr="00986E88">
                <w:rPr>
                  <w:b/>
                  <w:szCs w:val="22"/>
                </w:rPr>
                <w:delText>Maintenance Dose</w:delText>
              </w:r>
              <w:r w:rsidRPr="00986E88">
                <w:rPr>
                  <w:b/>
                  <w:szCs w:val="22"/>
                </w:rPr>
                <w:br/>
                <w:delText>Starting at Week 4*</w:delText>
              </w:r>
            </w:del>
          </w:p>
        </w:tc>
      </w:tr>
      <w:tr w:rsidR="00C6578C" w14:paraId="18C71D34" w14:textId="77777777" w:rsidTr="0065221F">
        <w:trPr>
          <w:jc w:val="center"/>
          <w:del w:id="349" w:author="AbbVie19" w:date="2025-04-16T10:35:00Z"/>
        </w:trPr>
        <w:tc>
          <w:tcPr>
            <w:tcW w:w="0" w:type="auto"/>
            <w:tcBorders>
              <w:top w:val="single" w:sz="6" w:space="0" w:color="000000"/>
              <w:left w:val="single" w:sz="6" w:space="0" w:color="000000"/>
              <w:bottom w:val="single" w:sz="6" w:space="0" w:color="000000"/>
              <w:right w:val="single" w:sz="6" w:space="0" w:color="000000"/>
            </w:tcBorders>
            <w:hideMark/>
          </w:tcPr>
          <w:p w14:paraId="4B8047AF" w14:textId="77777777" w:rsidR="00077000" w:rsidRPr="00986E88" w:rsidRDefault="00944B8F" w:rsidP="0065221F">
            <w:pPr>
              <w:jc w:val="center"/>
              <w:rPr>
                <w:del w:id="350" w:author="AbbVie19" w:date="2025-04-16T10:35:00Z"/>
                <w:szCs w:val="22"/>
              </w:rPr>
            </w:pPr>
            <w:del w:id="351" w:author="AbbVie19" w:date="2025-04-16T10:35:00Z">
              <w:r w:rsidRPr="00AC0E90">
                <w:rPr>
                  <w:szCs w:val="22"/>
                </w:rPr>
                <w:delText>&lt; 40 kg</w:delText>
              </w:r>
            </w:del>
          </w:p>
        </w:tc>
        <w:tc>
          <w:tcPr>
            <w:tcW w:w="2005" w:type="pct"/>
            <w:tcBorders>
              <w:top w:val="single" w:sz="6" w:space="0" w:color="000000"/>
              <w:left w:val="single" w:sz="6" w:space="0" w:color="000000"/>
              <w:bottom w:val="single" w:sz="6" w:space="0" w:color="000000"/>
              <w:right w:val="single" w:sz="6" w:space="0" w:color="000000"/>
            </w:tcBorders>
            <w:hideMark/>
          </w:tcPr>
          <w:p w14:paraId="134AE1F0" w14:textId="77777777" w:rsidR="00077000" w:rsidRPr="00986E88" w:rsidRDefault="00944B8F" w:rsidP="00077000">
            <w:pPr>
              <w:numPr>
                <w:ilvl w:val="0"/>
                <w:numId w:val="154"/>
              </w:numPr>
              <w:tabs>
                <w:tab w:val="clear" w:pos="562"/>
              </w:tabs>
              <w:suppressAutoHyphens w:val="0"/>
              <w:ind w:left="360" w:hanging="210"/>
              <w:rPr>
                <w:del w:id="352" w:author="AbbVie19" w:date="2025-04-16T10:35:00Z"/>
                <w:szCs w:val="22"/>
              </w:rPr>
            </w:pPr>
            <w:del w:id="353" w:author="AbbVie19" w:date="2025-04-16T10:35:00Z">
              <w:r w:rsidRPr="00986E88">
                <w:rPr>
                  <w:szCs w:val="22"/>
                </w:rPr>
                <w:delText>80 mg at Week 0</w:delText>
              </w:r>
              <w:r>
                <w:delText xml:space="preserve"> (given as two 40 mg injections in one day)</w:delText>
              </w:r>
              <w:r w:rsidRPr="00986E88">
                <w:rPr>
                  <w:szCs w:val="22"/>
                </w:rPr>
                <w:delText xml:space="preserve"> and</w:delText>
              </w:r>
            </w:del>
          </w:p>
          <w:p w14:paraId="3ACA741A" w14:textId="77777777" w:rsidR="00077000" w:rsidRPr="00986E88" w:rsidRDefault="00944B8F" w:rsidP="00077000">
            <w:pPr>
              <w:numPr>
                <w:ilvl w:val="0"/>
                <w:numId w:val="154"/>
              </w:numPr>
              <w:tabs>
                <w:tab w:val="clear" w:pos="562"/>
              </w:tabs>
              <w:suppressAutoHyphens w:val="0"/>
              <w:ind w:left="360" w:hanging="210"/>
              <w:rPr>
                <w:del w:id="354" w:author="AbbVie19" w:date="2025-04-16T10:35:00Z"/>
                <w:szCs w:val="22"/>
              </w:rPr>
            </w:pPr>
            <w:del w:id="355" w:author="AbbVie19" w:date="2025-04-16T10:35:00Z">
              <w:r w:rsidRPr="00986E88">
                <w:rPr>
                  <w:szCs w:val="22"/>
                </w:rPr>
                <w:delText>40 mg at Week 2</w:delText>
              </w:r>
              <w:r>
                <w:delText xml:space="preserve"> (given as one 40 mg injection)</w:delText>
              </w:r>
            </w:del>
          </w:p>
        </w:tc>
        <w:tc>
          <w:tcPr>
            <w:tcW w:w="1906" w:type="pct"/>
            <w:tcBorders>
              <w:top w:val="single" w:sz="6" w:space="0" w:color="000000"/>
              <w:left w:val="single" w:sz="6" w:space="0" w:color="000000"/>
              <w:bottom w:val="single" w:sz="6" w:space="0" w:color="000000"/>
              <w:right w:val="single" w:sz="6" w:space="0" w:color="000000"/>
            </w:tcBorders>
            <w:hideMark/>
          </w:tcPr>
          <w:p w14:paraId="03D4E0F7" w14:textId="77777777" w:rsidR="00077000" w:rsidRPr="00986E88" w:rsidRDefault="00944B8F" w:rsidP="00077000">
            <w:pPr>
              <w:numPr>
                <w:ilvl w:val="0"/>
                <w:numId w:val="154"/>
              </w:numPr>
              <w:tabs>
                <w:tab w:val="clear" w:pos="562"/>
              </w:tabs>
              <w:suppressAutoHyphens w:val="0"/>
              <w:ind w:left="360" w:hanging="210"/>
              <w:rPr>
                <w:del w:id="356" w:author="AbbVie19" w:date="2025-04-16T10:35:00Z"/>
                <w:szCs w:val="22"/>
              </w:rPr>
            </w:pPr>
            <w:del w:id="357" w:author="AbbVie19" w:date="2025-04-16T10:35:00Z">
              <w:r w:rsidRPr="00986E88">
                <w:rPr>
                  <w:szCs w:val="22"/>
                </w:rPr>
                <w:delText>40 mg every other week</w:delText>
              </w:r>
            </w:del>
          </w:p>
        </w:tc>
      </w:tr>
      <w:tr w:rsidR="00C6578C" w14:paraId="5DB24596" w14:textId="77777777" w:rsidTr="0065221F">
        <w:trPr>
          <w:jc w:val="center"/>
          <w:del w:id="358" w:author="AbbVie19" w:date="2025-04-16T10:35:00Z"/>
        </w:trPr>
        <w:tc>
          <w:tcPr>
            <w:tcW w:w="0" w:type="auto"/>
            <w:tcBorders>
              <w:top w:val="single" w:sz="6" w:space="0" w:color="000000"/>
              <w:left w:val="single" w:sz="6" w:space="0" w:color="000000"/>
              <w:bottom w:val="single" w:sz="4" w:space="0" w:color="auto"/>
              <w:right w:val="single" w:sz="6" w:space="0" w:color="000000"/>
            </w:tcBorders>
            <w:hideMark/>
          </w:tcPr>
          <w:p w14:paraId="29B81395" w14:textId="77777777" w:rsidR="00077000" w:rsidRPr="00986E88" w:rsidRDefault="00944B8F" w:rsidP="0065221F">
            <w:pPr>
              <w:jc w:val="center"/>
              <w:rPr>
                <w:del w:id="359" w:author="AbbVie19" w:date="2025-04-16T10:35:00Z"/>
                <w:szCs w:val="22"/>
              </w:rPr>
            </w:pPr>
            <w:del w:id="360" w:author="AbbVie19" w:date="2025-04-16T10:35:00Z">
              <w:r w:rsidRPr="00AC0E90">
                <w:rPr>
                  <w:szCs w:val="22"/>
                </w:rPr>
                <w:delText>≥</w:delText>
              </w:r>
              <w:r w:rsidRPr="00986E88">
                <w:rPr>
                  <w:szCs w:val="22"/>
                </w:rPr>
                <w:delText xml:space="preserve"> 40 kg</w:delText>
              </w:r>
            </w:del>
          </w:p>
        </w:tc>
        <w:tc>
          <w:tcPr>
            <w:tcW w:w="2005" w:type="pct"/>
            <w:tcBorders>
              <w:top w:val="single" w:sz="6" w:space="0" w:color="000000"/>
              <w:left w:val="single" w:sz="6" w:space="0" w:color="000000"/>
              <w:bottom w:val="single" w:sz="4" w:space="0" w:color="auto"/>
              <w:right w:val="single" w:sz="6" w:space="0" w:color="000000"/>
            </w:tcBorders>
            <w:hideMark/>
          </w:tcPr>
          <w:p w14:paraId="15D3FDBE" w14:textId="77777777" w:rsidR="00077000" w:rsidRPr="00986E88" w:rsidRDefault="00944B8F" w:rsidP="00077000">
            <w:pPr>
              <w:numPr>
                <w:ilvl w:val="0"/>
                <w:numId w:val="155"/>
              </w:numPr>
              <w:tabs>
                <w:tab w:val="clear" w:pos="562"/>
              </w:tabs>
              <w:suppressAutoHyphens w:val="0"/>
              <w:ind w:left="360" w:hanging="210"/>
              <w:rPr>
                <w:del w:id="361" w:author="AbbVie19" w:date="2025-04-16T10:35:00Z"/>
                <w:szCs w:val="22"/>
              </w:rPr>
            </w:pPr>
            <w:del w:id="362" w:author="AbbVie19" w:date="2025-04-16T10:35:00Z">
              <w:r w:rsidRPr="00986E88">
                <w:rPr>
                  <w:szCs w:val="22"/>
                </w:rPr>
                <w:delText>160 mg at Week 0</w:delText>
              </w:r>
              <w:r>
                <w:delText xml:space="preserve"> (given as four 40 mg injections in one day or two 40 mg injections per day for two consecutive days)</w:delText>
              </w:r>
              <w:r w:rsidRPr="00986E88">
                <w:rPr>
                  <w:szCs w:val="22"/>
                </w:rPr>
                <w:delText xml:space="preserve"> and</w:delText>
              </w:r>
            </w:del>
          </w:p>
          <w:p w14:paraId="00BA27DC" w14:textId="77777777" w:rsidR="00077000" w:rsidRPr="00986E88" w:rsidRDefault="00944B8F" w:rsidP="00077000">
            <w:pPr>
              <w:numPr>
                <w:ilvl w:val="0"/>
                <w:numId w:val="155"/>
              </w:numPr>
              <w:tabs>
                <w:tab w:val="clear" w:pos="562"/>
              </w:tabs>
              <w:suppressAutoHyphens w:val="0"/>
              <w:ind w:left="360" w:hanging="210"/>
              <w:rPr>
                <w:del w:id="363" w:author="AbbVie19" w:date="2025-04-16T10:35:00Z"/>
                <w:szCs w:val="22"/>
              </w:rPr>
            </w:pPr>
            <w:del w:id="364" w:author="AbbVie19" w:date="2025-04-16T10:35:00Z">
              <w:r w:rsidRPr="00986E88">
                <w:rPr>
                  <w:szCs w:val="22"/>
                </w:rPr>
                <w:delText>80 mg at Week 2</w:delText>
              </w:r>
              <w:r>
                <w:delText xml:space="preserve"> (given as two 40 mg injections in one day)</w:delText>
              </w:r>
            </w:del>
          </w:p>
        </w:tc>
        <w:tc>
          <w:tcPr>
            <w:tcW w:w="1906" w:type="pct"/>
            <w:tcBorders>
              <w:top w:val="single" w:sz="6" w:space="0" w:color="000000"/>
              <w:left w:val="single" w:sz="6" w:space="0" w:color="000000"/>
              <w:bottom w:val="single" w:sz="4" w:space="0" w:color="auto"/>
              <w:right w:val="single" w:sz="6" w:space="0" w:color="000000"/>
            </w:tcBorders>
            <w:hideMark/>
          </w:tcPr>
          <w:p w14:paraId="0097E17E" w14:textId="77777777" w:rsidR="00077000" w:rsidRPr="00986E88" w:rsidRDefault="00944B8F" w:rsidP="00077000">
            <w:pPr>
              <w:numPr>
                <w:ilvl w:val="0"/>
                <w:numId w:val="154"/>
              </w:numPr>
              <w:tabs>
                <w:tab w:val="clear" w:pos="562"/>
              </w:tabs>
              <w:suppressAutoHyphens w:val="0"/>
              <w:ind w:left="360" w:hanging="210"/>
              <w:rPr>
                <w:del w:id="365" w:author="AbbVie19" w:date="2025-04-16T10:35:00Z"/>
                <w:szCs w:val="22"/>
              </w:rPr>
            </w:pPr>
            <w:del w:id="366" w:author="AbbVie19" w:date="2025-04-16T10:35:00Z">
              <w:r w:rsidRPr="00986E88">
                <w:rPr>
                  <w:szCs w:val="22"/>
                </w:rPr>
                <w:delText>80 mg every other week</w:delText>
              </w:r>
            </w:del>
          </w:p>
        </w:tc>
      </w:tr>
      <w:tr w:rsidR="00C6578C" w14:paraId="608D9EC8" w14:textId="77777777" w:rsidTr="0065221F">
        <w:trPr>
          <w:jc w:val="center"/>
          <w:del w:id="367" w:author="AbbVie19" w:date="2025-04-16T10:35:00Z"/>
        </w:trPr>
        <w:tc>
          <w:tcPr>
            <w:tcW w:w="5000" w:type="pct"/>
            <w:gridSpan w:val="3"/>
            <w:tcBorders>
              <w:top w:val="single" w:sz="4" w:space="0" w:color="auto"/>
              <w:left w:val="nil"/>
              <w:bottom w:val="nil"/>
              <w:right w:val="nil"/>
            </w:tcBorders>
          </w:tcPr>
          <w:p w14:paraId="1B247448" w14:textId="77777777" w:rsidR="00077000" w:rsidRPr="00986E88" w:rsidRDefault="00944B8F" w:rsidP="0065221F">
            <w:pPr>
              <w:rPr>
                <w:del w:id="368" w:author="AbbVie19" w:date="2025-04-16T10:35:00Z"/>
                <w:szCs w:val="22"/>
              </w:rPr>
            </w:pPr>
            <w:del w:id="369" w:author="AbbVie19" w:date="2025-04-16T10:35:00Z">
              <w:r w:rsidRPr="00AC0E90">
                <w:rPr>
                  <w:szCs w:val="22"/>
                  <w:vertAlign w:val="superscript"/>
                </w:rPr>
                <w:delText xml:space="preserve">* </w:delText>
              </w:r>
              <w:r w:rsidRPr="00986E88">
                <w:rPr>
                  <w:szCs w:val="22"/>
                </w:rPr>
                <w:delText>Paediatric patients who turn 18 years of age while on Humira should continue their prescribed maintenance dose.</w:delText>
              </w:r>
            </w:del>
          </w:p>
        </w:tc>
      </w:tr>
    </w:tbl>
    <w:p w14:paraId="34115A70" w14:textId="77777777" w:rsidR="009D73EC" w:rsidRPr="00BA51B8" w:rsidRDefault="009D73EC" w:rsidP="009D73EC">
      <w:pPr>
        <w:pStyle w:val="gtctablespaceafter"/>
        <w:numPr>
          <w:ilvl w:val="0"/>
          <w:numId w:val="153"/>
        </w:numPr>
        <w:rPr>
          <w:del w:id="370" w:author="AbbVie19" w:date="2025-04-16T10:35:00Z"/>
          <w:sz w:val="22"/>
          <w:szCs w:val="22"/>
        </w:rPr>
      </w:pPr>
    </w:p>
    <w:p w14:paraId="18C7573A" w14:textId="77777777" w:rsidR="009D73EC" w:rsidRPr="00986E88" w:rsidRDefault="00944B8F" w:rsidP="009D73EC">
      <w:pPr>
        <w:rPr>
          <w:del w:id="371" w:author="AbbVie19" w:date="2025-04-16T10:35:00Z"/>
          <w:szCs w:val="22"/>
        </w:rPr>
      </w:pPr>
      <w:del w:id="372" w:author="AbbVie19" w:date="2025-04-16T10:35:00Z">
        <w:r w:rsidRPr="003B591C">
          <w:rPr>
            <w:szCs w:val="22"/>
          </w:rPr>
          <w:lastRenderedPageBreak/>
          <w:delText>Continued therapy beyond 8 weeks should be carefully considered in pati</w:delText>
        </w:r>
        <w:r w:rsidRPr="007E3998">
          <w:rPr>
            <w:szCs w:val="22"/>
          </w:rPr>
          <w:delText>ents not showing signs of response</w:delText>
        </w:r>
        <w:r w:rsidRPr="00AC0E90">
          <w:rPr>
            <w:szCs w:val="22"/>
          </w:rPr>
          <w:delText xml:space="preserve"> within this time period.</w:delText>
        </w:r>
      </w:del>
    </w:p>
    <w:p w14:paraId="326A0C0F" w14:textId="77777777" w:rsidR="009D73EC" w:rsidRPr="00986E88" w:rsidRDefault="009D73EC" w:rsidP="009D73EC">
      <w:pPr>
        <w:rPr>
          <w:del w:id="373" w:author="AbbVie19" w:date="2025-04-16T10:35:00Z"/>
          <w:szCs w:val="22"/>
        </w:rPr>
      </w:pPr>
    </w:p>
    <w:p w14:paraId="295D79EF" w14:textId="77777777" w:rsidR="00ED47E6" w:rsidRDefault="00944B8F" w:rsidP="00ED47E6">
      <w:pPr>
        <w:rPr>
          <w:del w:id="374" w:author="AbbVie19" w:date="2025-04-16T10:35:00Z"/>
          <w:szCs w:val="22"/>
        </w:rPr>
      </w:pPr>
      <w:del w:id="375" w:author="AbbVie19" w:date="2025-04-16T10:35:00Z">
        <w:r w:rsidRPr="00986E88">
          <w:rPr>
            <w:szCs w:val="22"/>
          </w:rPr>
          <w:delText xml:space="preserve">There is no relevant use of Humira in children aged less than </w:delText>
        </w:r>
        <w:r>
          <w:delText>6</w:delText>
        </w:r>
        <w:r w:rsidRPr="00986E88">
          <w:rPr>
            <w:szCs w:val="22"/>
          </w:rPr>
          <w:delText xml:space="preserve"> years in this indication.</w:delText>
        </w:r>
      </w:del>
    </w:p>
    <w:p w14:paraId="021BA18A" w14:textId="77777777" w:rsidR="003A75F8" w:rsidRDefault="003A75F8" w:rsidP="009D73EC">
      <w:pPr>
        <w:rPr>
          <w:del w:id="376" w:author="AbbVie19" w:date="2025-04-16T10:35:00Z"/>
          <w:szCs w:val="22"/>
        </w:rPr>
      </w:pPr>
    </w:p>
    <w:p w14:paraId="7910EB31" w14:textId="77777777" w:rsidR="003A75F8" w:rsidRPr="00986E88" w:rsidRDefault="00944B8F" w:rsidP="009D73EC">
      <w:pPr>
        <w:rPr>
          <w:del w:id="377" w:author="AbbVie19" w:date="2025-04-16T10:35:00Z"/>
          <w:szCs w:val="22"/>
        </w:rPr>
      </w:pPr>
      <w:del w:id="378" w:author="AbbVie19" w:date="2025-04-16T10:35:00Z">
        <w:r w:rsidRPr="00986E88">
          <w:rPr>
            <w:szCs w:val="22"/>
          </w:rPr>
          <w:delText>Humira may be available in different strengths and/or presentations depending on the individual treatment needs. </w:delText>
        </w:r>
      </w:del>
    </w:p>
    <w:p w14:paraId="191BC29F" w14:textId="77777777" w:rsidR="009D73EC" w:rsidRPr="00986E88" w:rsidRDefault="009D73EC" w:rsidP="009D73EC">
      <w:pPr>
        <w:rPr>
          <w:del w:id="379" w:author="AbbVie19" w:date="2025-04-16T10:35:00Z"/>
          <w:i/>
          <w:szCs w:val="22"/>
          <w:u w:val="single"/>
        </w:rPr>
      </w:pPr>
    </w:p>
    <w:p w14:paraId="59061611" w14:textId="77777777" w:rsidR="00BC0E7E" w:rsidRPr="00BC0E7E" w:rsidRDefault="00944B8F" w:rsidP="00BC0E7E">
      <w:pPr>
        <w:rPr>
          <w:del w:id="380" w:author="AbbVie19" w:date="2025-04-16T10:35:00Z"/>
          <w:b/>
          <w:bCs/>
          <w:iCs/>
        </w:rPr>
      </w:pPr>
      <w:del w:id="381" w:author="AbbVie19" w:date="2025-04-16T10:35:00Z">
        <w:r w:rsidRPr="00BC0E7E">
          <w:rPr>
            <w:i/>
          </w:rPr>
          <w:delText>Paediatric Uveitis</w:delText>
        </w:r>
        <w:r w:rsidRPr="00BC0E7E">
          <w:rPr>
            <w:b/>
            <w:bCs/>
            <w:iCs/>
          </w:rPr>
          <w:delText xml:space="preserve"> </w:delText>
        </w:r>
      </w:del>
    </w:p>
    <w:p w14:paraId="59896EE1" w14:textId="77777777" w:rsidR="00F524DB" w:rsidRDefault="00F524DB" w:rsidP="00F524DB">
      <w:pPr>
        <w:keepNext/>
        <w:rPr>
          <w:del w:id="382" w:author="AbbVie19" w:date="2025-04-16T10:35:00Z"/>
          <w:szCs w:val="22"/>
        </w:rPr>
      </w:pPr>
    </w:p>
    <w:p w14:paraId="086F8C60" w14:textId="77777777" w:rsidR="00F524DB" w:rsidRDefault="00944B8F" w:rsidP="00F524DB">
      <w:pPr>
        <w:rPr>
          <w:del w:id="383" w:author="AbbVie19" w:date="2025-04-16T10:35:00Z"/>
          <w:szCs w:val="22"/>
        </w:rPr>
      </w:pPr>
      <w:del w:id="384" w:author="AbbVie19" w:date="2025-04-16T10:35:00Z">
        <w:r w:rsidRPr="00E20D59">
          <w:rPr>
            <w:szCs w:val="22"/>
          </w:rPr>
          <w:delText xml:space="preserve">The recommended dose of Humira for </w:delText>
        </w:r>
        <w:r>
          <w:rPr>
            <w:szCs w:val="22"/>
          </w:rPr>
          <w:delText xml:space="preserve">paediatric </w:delText>
        </w:r>
        <w:r w:rsidRPr="00E20D59">
          <w:rPr>
            <w:szCs w:val="22"/>
          </w:rPr>
          <w:delText xml:space="preserve">patients with </w:delText>
        </w:r>
        <w:r>
          <w:rPr>
            <w:szCs w:val="22"/>
          </w:rPr>
          <w:delText xml:space="preserve">uveitis from 2 </w:delText>
        </w:r>
        <w:r w:rsidRPr="00E20D59">
          <w:rPr>
            <w:szCs w:val="22"/>
          </w:rPr>
          <w:delText>years</w:delText>
        </w:r>
        <w:r>
          <w:rPr>
            <w:szCs w:val="22"/>
          </w:rPr>
          <w:delText xml:space="preserve"> of age </w:delText>
        </w:r>
        <w:r w:rsidRPr="00E20D59">
          <w:rPr>
            <w:szCs w:val="22"/>
          </w:rPr>
          <w:delText xml:space="preserve">is based on </w:delText>
        </w:r>
        <w:r>
          <w:rPr>
            <w:szCs w:val="22"/>
          </w:rPr>
          <w:delText xml:space="preserve">body </w:delText>
        </w:r>
        <w:r w:rsidRPr="00E20D59">
          <w:rPr>
            <w:szCs w:val="22"/>
          </w:rPr>
          <w:delText>weight</w:delText>
        </w:r>
        <w:r>
          <w:rPr>
            <w:szCs w:val="22"/>
          </w:rPr>
          <w:delText xml:space="preserve"> (Table </w:delText>
        </w:r>
        <w:r w:rsidR="00A94350">
          <w:rPr>
            <w:szCs w:val="22"/>
          </w:rPr>
          <w:delText>6</w:delText>
        </w:r>
        <w:r>
          <w:rPr>
            <w:szCs w:val="22"/>
          </w:rPr>
          <w:delText>).</w:delText>
        </w:r>
        <w:r w:rsidRPr="00E20D59">
          <w:rPr>
            <w:szCs w:val="22"/>
          </w:rPr>
          <w:delText xml:space="preserve"> </w:delText>
        </w:r>
        <w:r>
          <w:rPr>
            <w:szCs w:val="22"/>
          </w:rPr>
          <w:delText xml:space="preserve">Humira is </w:delText>
        </w:r>
        <w:r w:rsidRPr="00E20D59">
          <w:rPr>
            <w:szCs w:val="22"/>
          </w:rPr>
          <w:delText>administered via subcutaneous injection.</w:delText>
        </w:r>
      </w:del>
    </w:p>
    <w:p w14:paraId="3A690229" w14:textId="77777777" w:rsidR="00BC0E7E" w:rsidRPr="00BC0E7E" w:rsidRDefault="00BC0E7E" w:rsidP="00BC0E7E">
      <w:pPr>
        <w:rPr>
          <w:del w:id="385" w:author="AbbVie19" w:date="2025-04-16T10:35:00Z"/>
          <w:szCs w:val="20"/>
        </w:rPr>
      </w:pPr>
    </w:p>
    <w:p w14:paraId="6984BD14" w14:textId="77777777" w:rsidR="00BC0E7E" w:rsidRDefault="00944B8F" w:rsidP="00BC0E7E">
      <w:pPr>
        <w:rPr>
          <w:del w:id="386" w:author="AbbVie19" w:date="2025-04-16T10:35:00Z"/>
          <w:szCs w:val="20"/>
        </w:rPr>
      </w:pPr>
      <w:del w:id="387" w:author="AbbVie19" w:date="2025-04-16T10:35:00Z">
        <w:r w:rsidRPr="00BC0E7E">
          <w:rPr>
            <w:szCs w:val="20"/>
          </w:rPr>
          <w:delText>In paediatric uveitis, there is no experience in the treatment with Humira without concomitant treatment with methotrexate.</w:delText>
        </w:r>
      </w:del>
    </w:p>
    <w:p w14:paraId="24568E78" w14:textId="77777777" w:rsidR="00F524DB" w:rsidRPr="00BC0E7E" w:rsidRDefault="00F524DB" w:rsidP="00BC0E7E">
      <w:pPr>
        <w:rPr>
          <w:del w:id="388" w:author="AbbVie19" w:date="2025-04-16T10:35:00Z"/>
          <w:szCs w:val="20"/>
        </w:rPr>
      </w:pPr>
    </w:p>
    <w:p w14:paraId="27A46225" w14:textId="77777777" w:rsidR="00F524DB" w:rsidRDefault="00944B8F" w:rsidP="00F524DB">
      <w:pPr>
        <w:jc w:val="center"/>
        <w:rPr>
          <w:del w:id="389" w:author="AbbVie19" w:date="2025-04-16T10:35:00Z"/>
          <w:b/>
          <w:szCs w:val="22"/>
        </w:rPr>
      </w:pPr>
      <w:del w:id="390" w:author="AbbVie19" w:date="2025-04-16T10:35:00Z">
        <w:r w:rsidRPr="00987440">
          <w:rPr>
            <w:b/>
            <w:szCs w:val="22"/>
          </w:rPr>
          <w:delText>Table</w:delText>
        </w:r>
        <w:r w:rsidRPr="00BF005B">
          <w:rPr>
            <w:b/>
            <w:szCs w:val="22"/>
          </w:rPr>
          <w:delText xml:space="preserve"> </w:delText>
        </w:r>
        <w:r w:rsidR="00A94350">
          <w:rPr>
            <w:b/>
            <w:szCs w:val="22"/>
          </w:rPr>
          <w:delText>6</w:delText>
        </w:r>
        <w:r w:rsidRPr="00BF005B">
          <w:rPr>
            <w:b/>
            <w:szCs w:val="22"/>
          </w:rPr>
          <w:delText xml:space="preserve">. Humira Dose for </w:delText>
        </w:r>
        <w:r>
          <w:rPr>
            <w:b/>
            <w:szCs w:val="22"/>
          </w:rPr>
          <w:delText xml:space="preserve">Paediatric </w:delText>
        </w:r>
        <w:r w:rsidRPr="00BF005B">
          <w:rPr>
            <w:b/>
            <w:szCs w:val="22"/>
          </w:rPr>
          <w:delText xml:space="preserve">Patients with </w:delText>
        </w:r>
        <w:r>
          <w:rPr>
            <w:b/>
            <w:szCs w:val="22"/>
          </w:rPr>
          <w:delText>Uveitis</w:delText>
        </w:r>
      </w:del>
    </w:p>
    <w:p w14:paraId="6855E308" w14:textId="77777777" w:rsidR="00F524DB" w:rsidRPr="00813F27" w:rsidRDefault="00F524DB" w:rsidP="00F524DB">
      <w:pPr>
        <w:jc w:val="center"/>
        <w:rPr>
          <w:del w:id="391" w:author="AbbVie19" w:date="2025-04-16T10:35:00Z"/>
        </w:rPr>
      </w:pPr>
    </w:p>
    <w:tbl>
      <w:tblPr>
        <w:tblW w:w="6795" w:type="dxa"/>
        <w:jc w:val="center"/>
        <w:tblLayout w:type="fixed"/>
        <w:tblLook w:val="0000" w:firstRow="0" w:lastRow="0" w:firstColumn="0" w:lastColumn="0" w:noHBand="0" w:noVBand="0"/>
      </w:tblPr>
      <w:tblGrid>
        <w:gridCol w:w="3401"/>
        <w:gridCol w:w="3394"/>
      </w:tblGrid>
      <w:tr w:rsidR="00C6578C" w14:paraId="7C415B8F" w14:textId="77777777" w:rsidTr="00203F45">
        <w:trPr>
          <w:tblHeader/>
          <w:jc w:val="center"/>
          <w:del w:id="392" w:author="AbbVie19" w:date="2025-04-16T10:35:00Z"/>
        </w:trPr>
        <w:tc>
          <w:tcPr>
            <w:tcW w:w="3401" w:type="dxa"/>
            <w:tcBorders>
              <w:top w:val="single" w:sz="4" w:space="0" w:color="auto"/>
              <w:bottom w:val="single" w:sz="4" w:space="0" w:color="auto"/>
            </w:tcBorders>
          </w:tcPr>
          <w:p w14:paraId="41F38F96" w14:textId="77777777" w:rsidR="00F524DB" w:rsidRPr="00BF005B" w:rsidRDefault="00944B8F" w:rsidP="00203F45">
            <w:pPr>
              <w:pStyle w:val="TableLeft"/>
              <w:jc w:val="center"/>
              <w:rPr>
                <w:del w:id="393" w:author="AbbVie19" w:date="2025-04-16T10:35:00Z"/>
                <w:b/>
                <w:sz w:val="22"/>
                <w:szCs w:val="22"/>
              </w:rPr>
            </w:pPr>
            <w:del w:id="394" w:author="AbbVie19" w:date="2025-04-16T10:35:00Z">
              <w:r w:rsidRPr="00BF005B">
                <w:rPr>
                  <w:b/>
                  <w:sz w:val="22"/>
                  <w:szCs w:val="22"/>
                </w:rPr>
                <w:delText>Patient Weight</w:delText>
              </w:r>
            </w:del>
          </w:p>
        </w:tc>
        <w:tc>
          <w:tcPr>
            <w:tcW w:w="3394" w:type="dxa"/>
            <w:tcBorders>
              <w:top w:val="single" w:sz="4" w:space="0" w:color="auto"/>
              <w:bottom w:val="single" w:sz="4" w:space="0" w:color="auto"/>
            </w:tcBorders>
          </w:tcPr>
          <w:p w14:paraId="37D833A0" w14:textId="77777777" w:rsidR="00F524DB" w:rsidRPr="00BF005B" w:rsidRDefault="00944B8F" w:rsidP="00203F45">
            <w:pPr>
              <w:pStyle w:val="TableLeft"/>
              <w:jc w:val="center"/>
              <w:rPr>
                <w:del w:id="395" w:author="AbbVie19" w:date="2025-04-16T10:35:00Z"/>
                <w:b/>
                <w:sz w:val="22"/>
                <w:szCs w:val="22"/>
              </w:rPr>
            </w:pPr>
            <w:del w:id="396" w:author="AbbVie19" w:date="2025-04-16T10:35:00Z">
              <w:r w:rsidRPr="00BF005B">
                <w:rPr>
                  <w:b/>
                  <w:sz w:val="22"/>
                  <w:szCs w:val="22"/>
                </w:rPr>
                <w:delText>Dosing Regimen</w:delText>
              </w:r>
            </w:del>
          </w:p>
        </w:tc>
      </w:tr>
      <w:tr w:rsidR="00C6578C" w14:paraId="7A823BDC" w14:textId="77777777" w:rsidTr="00203F45">
        <w:trPr>
          <w:tblHeader/>
          <w:jc w:val="center"/>
          <w:del w:id="397" w:author="AbbVie19" w:date="2025-04-16T10:35:00Z"/>
        </w:trPr>
        <w:tc>
          <w:tcPr>
            <w:tcW w:w="3401" w:type="dxa"/>
            <w:tcBorders>
              <w:top w:val="single" w:sz="4" w:space="0" w:color="auto"/>
              <w:bottom w:val="single" w:sz="4" w:space="0" w:color="auto"/>
            </w:tcBorders>
          </w:tcPr>
          <w:p w14:paraId="7262865D" w14:textId="77777777" w:rsidR="00F524DB" w:rsidRPr="00BF005B" w:rsidRDefault="00944B8F" w:rsidP="00203F45">
            <w:pPr>
              <w:pStyle w:val="TableLeft"/>
              <w:jc w:val="center"/>
              <w:rPr>
                <w:del w:id="398" w:author="AbbVie19" w:date="2025-04-16T10:35:00Z"/>
                <w:b/>
                <w:sz w:val="22"/>
                <w:szCs w:val="22"/>
              </w:rPr>
            </w:pPr>
            <w:del w:id="399" w:author="AbbVie19" w:date="2025-04-16T10:35:00Z">
              <w:r w:rsidRPr="00BF005B">
                <w:rPr>
                  <w:sz w:val="22"/>
                  <w:szCs w:val="22"/>
                </w:rPr>
                <w:delText>&lt; 30 kg</w:delText>
              </w:r>
            </w:del>
          </w:p>
        </w:tc>
        <w:tc>
          <w:tcPr>
            <w:tcW w:w="3394" w:type="dxa"/>
            <w:tcBorders>
              <w:top w:val="single" w:sz="4" w:space="0" w:color="auto"/>
              <w:bottom w:val="single" w:sz="4" w:space="0" w:color="auto"/>
            </w:tcBorders>
          </w:tcPr>
          <w:p w14:paraId="48C9A315" w14:textId="77777777" w:rsidR="00F524DB" w:rsidRPr="00145558" w:rsidRDefault="00944B8F" w:rsidP="00203F45">
            <w:pPr>
              <w:pStyle w:val="TableLeft"/>
              <w:jc w:val="center"/>
              <w:rPr>
                <w:del w:id="400" w:author="AbbVie19" w:date="2025-04-16T10:35:00Z"/>
                <w:b/>
                <w:sz w:val="22"/>
                <w:szCs w:val="22"/>
              </w:rPr>
            </w:pPr>
            <w:del w:id="401" w:author="AbbVie19" w:date="2025-04-16T10:35:00Z">
              <w:r>
                <w:rPr>
                  <w:sz w:val="22"/>
                  <w:szCs w:val="22"/>
                </w:rPr>
                <w:delText>20 mg every other week in combination with methotrexate</w:delText>
              </w:r>
            </w:del>
          </w:p>
        </w:tc>
      </w:tr>
      <w:tr w:rsidR="00C6578C" w14:paraId="67AA5A5B" w14:textId="77777777" w:rsidTr="00203F45">
        <w:trPr>
          <w:tblHeader/>
          <w:jc w:val="center"/>
          <w:del w:id="402" w:author="AbbVie19" w:date="2025-04-16T10:35:00Z"/>
        </w:trPr>
        <w:tc>
          <w:tcPr>
            <w:tcW w:w="3401" w:type="dxa"/>
            <w:tcBorders>
              <w:top w:val="single" w:sz="4" w:space="0" w:color="auto"/>
              <w:bottom w:val="single" w:sz="4" w:space="0" w:color="auto"/>
            </w:tcBorders>
          </w:tcPr>
          <w:p w14:paraId="713F61F4" w14:textId="77777777" w:rsidR="00F524DB" w:rsidRPr="00BF005B" w:rsidRDefault="00944B8F" w:rsidP="00203F45">
            <w:pPr>
              <w:pStyle w:val="TableLeft"/>
              <w:jc w:val="center"/>
              <w:rPr>
                <w:del w:id="403" w:author="AbbVie19" w:date="2025-04-16T10:35:00Z"/>
                <w:b/>
                <w:sz w:val="22"/>
                <w:szCs w:val="22"/>
              </w:rPr>
            </w:pPr>
            <w:del w:id="404" w:author="AbbVie19" w:date="2025-04-16T10:35:00Z">
              <w:r w:rsidRPr="00BF005B">
                <w:rPr>
                  <w:sz w:val="22"/>
                  <w:szCs w:val="22"/>
                </w:rPr>
                <w:delText>≥ 30 kg</w:delText>
              </w:r>
            </w:del>
          </w:p>
        </w:tc>
        <w:tc>
          <w:tcPr>
            <w:tcW w:w="3394" w:type="dxa"/>
            <w:tcBorders>
              <w:top w:val="single" w:sz="4" w:space="0" w:color="auto"/>
              <w:bottom w:val="single" w:sz="4" w:space="0" w:color="auto"/>
            </w:tcBorders>
          </w:tcPr>
          <w:p w14:paraId="279DB15F" w14:textId="77777777" w:rsidR="00F524DB" w:rsidRPr="00145558" w:rsidRDefault="00944B8F" w:rsidP="00203F45">
            <w:pPr>
              <w:pStyle w:val="TableLeft"/>
              <w:jc w:val="center"/>
              <w:rPr>
                <w:del w:id="405" w:author="AbbVie19" w:date="2025-04-16T10:35:00Z"/>
                <w:b/>
                <w:sz w:val="22"/>
                <w:szCs w:val="22"/>
              </w:rPr>
            </w:pPr>
            <w:del w:id="406" w:author="AbbVie19" w:date="2025-04-16T10:35:00Z">
              <w:r>
                <w:rPr>
                  <w:sz w:val="22"/>
                  <w:szCs w:val="22"/>
                </w:rPr>
                <w:delText>40 mg every other week in combination with methotrexate</w:delText>
              </w:r>
            </w:del>
          </w:p>
        </w:tc>
      </w:tr>
    </w:tbl>
    <w:p w14:paraId="0D5954E4" w14:textId="77777777" w:rsidR="00F524DB" w:rsidRPr="00E15E57" w:rsidRDefault="00F524DB" w:rsidP="00F524DB">
      <w:pPr>
        <w:pStyle w:val="EMEANormal"/>
        <w:rPr>
          <w:del w:id="407" w:author="AbbVie19" w:date="2025-04-16T10:35:00Z"/>
        </w:rPr>
      </w:pPr>
    </w:p>
    <w:p w14:paraId="371A5DA9" w14:textId="77777777" w:rsidR="00BC0E7E" w:rsidRPr="00BC0E7E" w:rsidRDefault="00944B8F" w:rsidP="00BC0E7E">
      <w:pPr>
        <w:rPr>
          <w:del w:id="408" w:author="AbbVie19" w:date="2025-04-16T10:35:00Z"/>
        </w:rPr>
      </w:pPr>
      <w:del w:id="409" w:author="AbbVie19" w:date="2025-04-16T10:35:00Z">
        <w:r w:rsidRPr="00BC0E7E">
          <w:delText xml:space="preserve">When Humira therapy is initiated, a loading dose of 40 mg </w:delText>
        </w:r>
        <w:r w:rsidR="00F524DB">
          <w:delText xml:space="preserve">for patients &lt; 30 kg or 80 mg for patients ≥ 30 kg </w:delText>
        </w:r>
        <w:r w:rsidRPr="00BC0E7E">
          <w:delText>may be administered one week prior to the start of maintenance therapy. No clinical data are available on the use of a Humira loading dose in children &lt; 6 years of age (see section 5.2).</w:delText>
        </w:r>
      </w:del>
    </w:p>
    <w:p w14:paraId="0987E408" w14:textId="77777777" w:rsidR="00BC0E7E" w:rsidRPr="00BC0E7E" w:rsidRDefault="00BC0E7E" w:rsidP="00BC0E7E">
      <w:pPr>
        <w:rPr>
          <w:del w:id="410" w:author="AbbVie19" w:date="2025-04-16T10:35:00Z"/>
        </w:rPr>
      </w:pPr>
    </w:p>
    <w:p w14:paraId="3D43ACE5" w14:textId="77777777" w:rsidR="00BC0E7E" w:rsidRPr="00BC0E7E" w:rsidRDefault="00944B8F" w:rsidP="00BC0E7E">
      <w:pPr>
        <w:rPr>
          <w:del w:id="411" w:author="AbbVie19" w:date="2025-04-16T10:35:00Z"/>
          <w:szCs w:val="20"/>
        </w:rPr>
      </w:pPr>
      <w:del w:id="412" w:author="AbbVie19" w:date="2025-04-16T10:35:00Z">
        <w:r w:rsidRPr="00BC0E7E">
          <w:rPr>
            <w:szCs w:val="20"/>
          </w:rPr>
          <w:delText xml:space="preserve">There is no relevant use of Humira in children aged less than 2 years in this indication. </w:delText>
        </w:r>
      </w:del>
    </w:p>
    <w:p w14:paraId="684CAA8D" w14:textId="77777777" w:rsidR="00BC0E7E" w:rsidRPr="00BC0E7E" w:rsidRDefault="00BC0E7E" w:rsidP="00BC0E7E">
      <w:pPr>
        <w:rPr>
          <w:del w:id="413" w:author="AbbVie19" w:date="2025-04-16T10:35:00Z"/>
          <w:szCs w:val="20"/>
        </w:rPr>
      </w:pPr>
    </w:p>
    <w:p w14:paraId="6037C980" w14:textId="77777777" w:rsidR="00BC0E7E" w:rsidRPr="00BC0E7E" w:rsidRDefault="00944B8F" w:rsidP="00BC0E7E">
      <w:pPr>
        <w:rPr>
          <w:del w:id="414" w:author="AbbVie19" w:date="2025-04-16T10:35:00Z"/>
          <w:szCs w:val="22"/>
        </w:rPr>
      </w:pPr>
      <w:del w:id="415" w:author="AbbVie19" w:date="2025-04-16T10:35:00Z">
        <w:r w:rsidRPr="00BC0E7E">
          <w:rPr>
            <w:szCs w:val="22"/>
          </w:rPr>
          <w:delText>It is recommended that the benefit and risk of continued long-term treatment should be evaluated on a yearly basis (see section 5.1).</w:delText>
        </w:r>
      </w:del>
    </w:p>
    <w:p w14:paraId="573A0B04" w14:textId="77777777" w:rsidR="006B49F3" w:rsidRDefault="006B49F3" w:rsidP="006B49F3">
      <w:pPr>
        <w:keepNext/>
        <w:rPr>
          <w:del w:id="416" w:author="AbbVie19" w:date="2025-04-16T10:35:00Z"/>
          <w:szCs w:val="22"/>
        </w:rPr>
      </w:pPr>
    </w:p>
    <w:p w14:paraId="68C57849" w14:textId="77777777" w:rsidR="006B49F3" w:rsidRPr="002A3533" w:rsidRDefault="00944B8F" w:rsidP="006B49F3">
      <w:pPr>
        <w:keepNext/>
        <w:rPr>
          <w:del w:id="417" w:author="AbbVie19" w:date="2025-04-16T10:35:00Z"/>
        </w:rPr>
      </w:pPr>
      <w:del w:id="418" w:author="AbbVie19" w:date="2025-04-16T10:35:00Z">
        <w:r w:rsidRPr="00154096">
          <w:rPr>
            <w:szCs w:val="22"/>
          </w:rPr>
          <w:delText>Humira may be available in other strengths and/or presentations depending on the individual treatment needs</w:delText>
        </w:r>
        <w:r>
          <w:rPr>
            <w:szCs w:val="22"/>
          </w:rPr>
          <w:delText>.</w:delText>
        </w:r>
      </w:del>
    </w:p>
    <w:p w14:paraId="7AA46E92" w14:textId="77777777" w:rsidR="00BC0E7E" w:rsidRPr="00BC0E7E" w:rsidRDefault="00BC0E7E" w:rsidP="00BC0E7E">
      <w:pPr>
        <w:rPr>
          <w:del w:id="419" w:author="AbbVie19" w:date="2025-04-16T10:35:00Z"/>
          <w:szCs w:val="20"/>
        </w:rPr>
      </w:pPr>
    </w:p>
    <w:p w14:paraId="1132C004" w14:textId="77777777" w:rsidR="00BC0E7E" w:rsidRPr="00BC0E7E" w:rsidRDefault="00944B8F" w:rsidP="00BC0E7E">
      <w:pPr>
        <w:rPr>
          <w:del w:id="420" w:author="AbbVie19" w:date="2025-04-16T10:35:00Z"/>
          <w:u w:val="single"/>
        </w:rPr>
      </w:pPr>
      <w:del w:id="421" w:author="AbbVie19" w:date="2025-04-16T10:35:00Z">
        <w:r w:rsidRPr="00BC0E7E">
          <w:rPr>
            <w:i/>
            <w:u w:val="single"/>
          </w:rPr>
          <w:delText>Renal and/or hepatic impairment</w:delText>
        </w:r>
      </w:del>
    </w:p>
    <w:p w14:paraId="62FD1F5C" w14:textId="77777777" w:rsidR="00BC0E7E" w:rsidRPr="00BC0E7E" w:rsidRDefault="00BC0E7E" w:rsidP="00BC0E7E">
      <w:pPr>
        <w:rPr>
          <w:del w:id="422" w:author="AbbVie19" w:date="2025-04-16T10:35:00Z"/>
          <w:szCs w:val="20"/>
        </w:rPr>
      </w:pPr>
    </w:p>
    <w:p w14:paraId="23A8F852" w14:textId="77777777" w:rsidR="00BC0E7E" w:rsidRPr="00BC0E7E" w:rsidRDefault="00944B8F" w:rsidP="00BC0E7E">
      <w:pPr>
        <w:rPr>
          <w:del w:id="423" w:author="AbbVie19" w:date="2025-04-16T10:35:00Z"/>
        </w:rPr>
      </w:pPr>
      <w:del w:id="424" w:author="AbbVie19" w:date="2025-04-16T10:35:00Z">
        <w:r w:rsidRPr="00BC0E7E">
          <w:delText>Humira has not been studied in these patient populations. No dose recommendations can be made.</w:delText>
        </w:r>
      </w:del>
    </w:p>
    <w:p w14:paraId="244B2AD9" w14:textId="77777777" w:rsidR="00BC0E7E" w:rsidRPr="00BC0E7E" w:rsidRDefault="00BC0E7E" w:rsidP="00BC0E7E">
      <w:pPr>
        <w:rPr>
          <w:del w:id="425" w:author="AbbVie19" w:date="2025-04-16T10:35:00Z"/>
        </w:rPr>
      </w:pPr>
    </w:p>
    <w:p w14:paraId="72B77E20" w14:textId="77777777" w:rsidR="00BC0E7E" w:rsidRPr="00BC0E7E" w:rsidRDefault="00944B8F" w:rsidP="00BC0E7E">
      <w:pPr>
        <w:rPr>
          <w:del w:id="426" w:author="AbbVie19" w:date="2025-04-16T10:35:00Z"/>
          <w:u w:val="single"/>
        </w:rPr>
      </w:pPr>
      <w:del w:id="427" w:author="AbbVie19" w:date="2025-04-16T10:35:00Z">
        <w:r w:rsidRPr="00BC0E7E">
          <w:rPr>
            <w:i/>
            <w:u w:val="single"/>
          </w:rPr>
          <w:delText>Method of administration</w:delText>
        </w:r>
      </w:del>
    </w:p>
    <w:p w14:paraId="046E93C8" w14:textId="77777777" w:rsidR="00BC0E7E" w:rsidRPr="00BC0E7E" w:rsidRDefault="00BC0E7E" w:rsidP="00BC0E7E">
      <w:pPr>
        <w:rPr>
          <w:del w:id="428" w:author="AbbVie19" w:date="2025-04-16T10:35:00Z"/>
        </w:rPr>
      </w:pPr>
    </w:p>
    <w:p w14:paraId="21280067" w14:textId="77777777" w:rsidR="00BC0E7E" w:rsidRPr="00BC0E7E" w:rsidRDefault="00944B8F" w:rsidP="00BC0E7E">
      <w:pPr>
        <w:rPr>
          <w:del w:id="429" w:author="AbbVie19" w:date="2025-04-16T10:35:00Z"/>
        </w:rPr>
      </w:pPr>
      <w:del w:id="430" w:author="AbbVie19" w:date="2025-04-16T10:35:00Z">
        <w:r w:rsidRPr="00BC0E7E">
          <w:delText>Humira is administered by subcutaneous injection. Full instructions for use are provided in the package leaflet.</w:delText>
        </w:r>
      </w:del>
    </w:p>
    <w:p w14:paraId="16A4315C" w14:textId="77777777" w:rsidR="00BC0E7E" w:rsidRPr="00BC0E7E" w:rsidRDefault="00BC0E7E" w:rsidP="00BC0E7E">
      <w:pPr>
        <w:rPr>
          <w:del w:id="431" w:author="AbbVie19" w:date="2025-04-16T10:35:00Z"/>
        </w:rPr>
      </w:pPr>
    </w:p>
    <w:p w14:paraId="340643E8" w14:textId="77777777" w:rsidR="00F524DB" w:rsidRDefault="00944B8F" w:rsidP="00F524DB">
      <w:pPr>
        <w:pStyle w:val="EMEANormal"/>
        <w:rPr>
          <w:del w:id="432" w:author="AbbVie19" w:date="2025-04-16T10:35:00Z"/>
          <w:lang w:val="en-GB"/>
        </w:rPr>
      </w:pPr>
      <w:del w:id="433" w:author="AbbVie19" w:date="2025-04-16T10:35:00Z">
        <w:r>
          <w:rPr>
            <w:lang w:val="en-GB"/>
          </w:rPr>
          <w:delText>Humira is available in other strengths and presentations.</w:delText>
        </w:r>
      </w:del>
    </w:p>
    <w:p w14:paraId="6F67D892" w14:textId="77777777" w:rsidR="00BC0E7E" w:rsidRPr="00BC0E7E" w:rsidRDefault="00BC0E7E" w:rsidP="00BC0E7E">
      <w:pPr>
        <w:rPr>
          <w:del w:id="434" w:author="AbbVie19" w:date="2025-04-16T10:35:00Z"/>
          <w:szCs w:val="20"/>
        </w:rPr>
      </w:pPr>
    </w:p>
    <w:p w14:paraId="7DEC4934" w14:textId="77777777" w:rsidR="00BC0E7E" w:rsidRPr="00BC0E7E" w:rsidRDefault="00944B8F" w:rsidP="009478FF">
      <w:pPr>
        <w:keepNext/>
        <w:suppressAutoHyphens w:val="0"/>
        <w:outlineLvl w:val="1"/>
        <w:rPr>
          <w:del w:id="435" w:author="AbbVie19" w:date="2025-04-16T10:35:00Z"/>
          <w:b/>
          <w:szCs w:val="20"/>
        </w:rPr>
      </w:pPr>
      <w:del w:id="436" w:author="AbbVie19" w:date="2025-04-16T10:35:00Z">
        <w:r w:rsidRPr="00BC0E7E">
          <w:rPr>
            <w:b/>
            <w:szCs w:val="20"/>
          </w:rPr>
          <w:delText>4.3</w:delText>
        </w:r>
        <w:r w:rsidRPr="00BC0E7E">
          <w:rPr>
            <w:b/>
            <w:szCs w:val="20"/>
          </w:rPr>
          <w:tab/>
          <w:delText xml:space="preserve">Contraindications </w:delText>
        </w:r>
      </w:del>
    </w:p>
    <w:p w14:paraId="6CC14CF2" w14:textId="77777777" w:rsidR="00BC0E7E" w:rsidRPr="00BC0E7E" w:rsidRDefault="00BC0E7E" w:rsidP="009478FF">
      <w:pPr>
        <w:keepNext/>
        <w:rPr>
          <w:del w:id="437" w:author="AbbVie19" w:date="2025-04-16T10:35:00Z"/>
          <w:szCs w:val="20"/>
        </w:rPr>
      </w:pPr>
    </w:p>
    <w:p w14:paraId="4EB1BFE6" w14:textId="77777777" w:rsidR="00BC0E7E" w:rsidRPr="00BC0E7E" w:rsidRDefault="00944B8F" w:rsidP="009478FF">
      <w:pPr>
        <w:keepNext/>
        <w:tabs>
          <w:tab w:val="clear" w:pos="562"/>
        </w:tabs>
        <w:rPr>
          <w:del w:id="438" w:author="AbbVie19" w:date="2025-04-16T10:35:00Z"/>
        </w:rPr>
      </w:pPr>
      <w:del w:id="439" w:author="AbbVie19" w:date="2025-04-16T10:35:00Z">
        <w:r w:rsidRPr="00BC0E7E">
          <w:delText xml:space="preserve">Hypersensitivity to the active substance or to any of the excipients listed in section 6.1. </w:delText>
        </w:r>
      </w:del>
    </w:p>
    <w:p w14:paraId="141BA842" w14:textId="77777777" w:rsidR="00BC0E7E" w:rsidRPr="00BC0E7E" w:rsidRDefault="00BC0E7E" w:rsidP="009478FF">
      <w:pPr>
        <w:keepNext/>
        <w:tabs>
          <w:tab w:val="clear" w:pos="562"/>
        </w:tabs>
        <w:rPr>
          <w:del w:id="440" w:author="AbbVie19" w:date="2025-04-16T10:35:00Z"/>
        </w:rPr>
      </w:pPr>
    </w:p>
    <w:p w14:paraId="0412AD51" w14:textId="77777777" w:rsidR="00BC0E7E" w:rsidRPr="00BC0E7E" w:rsidRDefault="00944B8F" w:rsidP="00BC0E7E">
      <w:pPr>
        <w:tabs>
          <w:tab w:val="clear" w:pos="562"/>
        </w:tabs>
        <w:rPr>
          <w:del w:id="441" w:author="AbbVie19" w:date="2025-04-16T10:35:00Z"/>
        </w:rPr>
      </w:pPr>
      <w:del w:id="442" w:author="AbbVie19" w:date="2025-04-16T10:35:00Z">
        <w:r w:rsidRPr="00BC0E7E">
          <w:delText>Active tuberculosis or other severe infections such as sepsis, and opportunistic infections (see section 4.4).</w:delText>
        </w:r>
      </w:del>
    </w:p>
    <w:p w14:paraId="5B8FBEE3" w14:textId="77777777" w:rsidR="00BC0E7E" w:rsidRPr="00BC0E7E" w:rsidRDefault="00BC0E7E" w:rsidP="00BC0E7E">
      <w:pPr>
        <w:tabs>
          <w:tab w:val="clear" w:pos="562"/>
        </w:tabs>
        <w:rPr>
          <w:del w:id="443" w:author="AbbVie19" w:date="2025-04-16T10:35:00Z"/>
          <w:sz w:val="20"/>
          <w:szCs w:val="20"/>
        </w:rPr>
      </w:pPr>
    </w:p>
    <w:p w14:paraId="349AE8BA" w14:textId="77777777" w:rsidR="00BC0E7E" w:rsidRPr="00BC0E7E" w:rsidRDefault="00944B8F" w:rsidP="00BC0E7E">
      <w:pPr>
        <w:rPr>
          <w:del w:id="444" w:author="AbbVie19" w:date="2025-04-16T10:35:00Z"/>
        </w:rPr>
      </w:pPr>
      <w:del w:id="445" w:author="AbbVie19" w:date="2025-04-16T10:35:00Z">
        <w:r w:rsidRPr="00BC0E7E">
          <w:delText>Moderate to severe heart failure (NYHA class III/IV) (see section 4.4).</w:delText>
        </w:r>
      </w:del>
    </w:p>
    <w:p w14:paraId="35DEEE61" w14:textId="77777777" w:rsidR="00BC0E7E" w:rsidRPr="00BC0E7E" w:rsidRDefault="00BC0E7E" w:rsidP="00BC0E7E">
      <w:pPr>
        <w:rPr>
          <w:del w:id="446" w:author="AbbVie19" w:date="2025-04-16T10:35:00Z"/>
        </w:rPr>
      </w:pPr>
    </w:p>
    <w:p w14:paraId="446BCBAA" w14:textId="77777777" w:rsidR="00BC0E7E" w:rsidRPr="00BC0E7E" w:rsidRDefault="00944B8F" w:rsidP="00D54DB7">
      <w:pPr>
        <w:keepNext/>
        <w:suppressAutoHyphens w:val="0"/>
        <w:outlineLvl w:val="1"/>
        <w:rPr>
          <w:del w:id="447" w:author="AbbVie19" w:date="2025-04-16T10:35:00Z"/>
          <w:b/>
          <w:szCs w:val="20"/>
        </w:rPr>
      </w:pPr>
      <w:del w:id="448" w:author="AbbVie19" w:date="2025-04-16T10:35:00Z">
        <w:r w:rsidRPr="00BC0E7E">
          <w:rPr>
            <w:b/>
            <w:szCs w:val="20"/>
          </w:rPr>
          <w:delText>4.4</w:delText>
        </w:r>
        <w:r w:rsidRPr="00BC0E7E">
          <w:rPr>
            <w:b/>
            <w:szCs w:val="20"/>
          </w:rPr>
          <w:tab/>
          <w:delText xml:space="preserve">Special warnings and precautions for use  </w:delText>
        </w:r>
      </w:del>
    </w:p>
    <w:p w14:paraId="76711D15" w14:textId="77777777" w:rsidR="00F524DB" w:rsidRDefault="00F524DB" w:rsidP="00D54DB7">
      <w:pPr>
        <w:pStyle w:val="EMEANormal"/>
        <w:keepNext/>
        <w:rPr>
          <w:del w:id="449" w:author="AbbVie19" w:date="2025-04-16T10:35:00Z"/>
          <w:lang w:val="en-GB"/>
        </w:rPr>
      </w:pPr>
    </w:p>
    <w:p w14:paraId="6C75B725" w14:textId="77777777" w:rsidR="00F524DB" w:rsidRPr="000244DF" w:rsidRDefault="00944B8F" w:rsidP="00D54DB7">
      <w:pPr>
        <w:pStyle w:val="EMEANormal"/>
        <w:keepNext/>
        <w:rPr>
          <w:del w:id="450" w:author="AbbVie19" w:date="2025-04-16T10:35:00Z"/>
          <w:u w:val="single"/>
          <w:lang w:val="en-GB"/>
        </w:rPr>
      </w:pPr>
      <w:del w:id="451" w:author="AbbVie19" w:date="2025-04-16T10:35:00Z">
        <w:r w:rsidRPr="000244DF">
          <w:rPr>
            <w:u w:val="single"/>
            <w:lang w:val="en-GB"/>
          </w:rPr>
          <w:delText>Traceability</w:delText>
        </w:r>
      </w:del>
    </w:p>
    <w:p w14:paraId="7B0004D8" w14:textId="77777777" w:rsidR="00BC0E7E" w:rsidRPr="00BC0E7E" w:rsidRDefault="00BC0E7E" w:rsidP="00D54DB7">
      <w:pPr>
        <w:keepNext/>
        <w:rPr>
          <w:del w:id="452" w:author="AbbVie19" w:date="2025-04-16T10:35:00Z"/>
          <w:szCs w:val="20"/>
        </w:rPr>
      </w:pPr>
    </w:p>
    <w:p w14:paraId="4AC6BCCB" w14:textId="77777777" w:rsidR="00BC0E7E" w:rsidRPr="00BC0E7E" w:rsidRDefault="00944B8F" w:rsidP="00D54DB7">
      <w:pPr>
        <w:keepNext/>
        <w:autoSpaceDE w:val="0"/>
        <w:autoSpaceDN w:val="0"/>
        <w:adjustRightInd w:val="0"/>
        <w:rPr>
          <w:del w:id="453" w:author="AbbVie19" w:date="2025-04-16T10:35:00Z"/>
          <w:b/>
          <w:szCs w:val="22"/>
        </w:rPr>
      </w:pPr>
      <w:del w:id="454" w:author="AbbVie19" w:date="2025-04-16T10:35:00Z">
        <w:r w:rsidRPr="00BC0E7E">
          <w:delText xml:space="preserve">In order to improve traceability of biological medicinal products, the </w:delText>
        </w:r>
        <w:r w:rsidR="00367800">
          <w:rPr>
            <w:szCs w:val="22"/>
          </w:rPr>
          <w:delText>name</w:delText>
        </w:r>
        <w:r w:rsidRPr="00BC0E7E">
          <w:delText xml:space="preserve"> and the batch number of the administered product should be clearly recorded.</w:delText>
        </w:r>
      </w:del>
    </w:p>
    <w:p w14:paraId="454587FF" w14:textId="77777777" w:rsidR="00BC0E7E" w:rsidRPr="003F7AAE" w:rsidRDefault="00BC0E7E" w:rsidP="00BC0E7E">
      <w:pPr>
        <w:rPr>
          <w:del w:id="455" w:author="AbbVie19" w:date="2025-04-16T10:35:00Z"/>
          <w:szCs w:val="22"/>
        </w:rPr>
      </w:pPr>
    </w:p>
    <w:p w14:paraId="177F09B8" w14:textId="77777777" w:rsidR="00BC0E7E" w:rsidRPr="00BC0E7E" w:rsidRDefault="00944B8F" w:rsidP="00A40993">
      <w:pPr>
        <w:keepNext/>
        <w:rPr>
          <w:del w:id="456" w:author="AbbVie19" w:date="2025-04-16T10:35:00Z"/>
          <w:b/>
          <w:szCs w:val="22"/>
          <w:u w:val="single"/>
        </w:rPr>
      </w:pPr>
      <w:del w:id="457" w:author="AbbVie19" w:date="2025-04-16T10:35:00Z">
        <w:r w:rsidRPr="00BC0E7E">
          <w:rPr>
            <w:u w:val="single"/>
          </w:rPr>
          <w:delText>Infections</w:delText>
        </w:r>
      </w:del>
    </w:p>
    <w:p w14:paraId="7FA4A7A4" w14:textId="77777777" w:rsidR="00BC0E7E" w:rsidRPr="00BC0E7E" w:rsidRDefault="00BC0E7E" w:rsidP="00A40993">
      <w:pPr>
        <w:keepNext/>
        <w:rPr>
          <w:del w:id="458" w:author="AbbVie19" w:date="2025-04-16T10:35:00Z"/>
        </w:rPr>
      </w:pPr>
    </w:p>
    <w:p w14:paraId="6AC02993" w14:textId="77777777" w:rsidR="00BC0E7E" w:rsidRPr="00BC0E7E" w:rsidRDefault="00944B8F" w:rsidP="00A40993">
      <w:pPr>
        <w:keepNext/>
        <w:autoSpaceDE w:val="0"/>
        <w:autoSpaceDN w:val="0"/>
        <w:adjustRightInd w:val="0"/>
        <w:rPr>
          <w:del w:id="459" w:author="AbbVie19" w:date="2025-04-16T10:35:00Z"/>
        </w:rPr>
      </w:pPr>
      <w:del w:id="460" w:author="AbbVie19" w:date="2025-04-16T10:35:00Z">
        <w:r w:rsidRPr="00BC0E7E">
          <w:delText>Patients taking TNF-antagonists are more susceptible to serious infections. Impaired lung function may increase the risk for developing infections. Patients must therefore be monitored closely for infections, including tuberculosis, before, during and after treatment with Humira. Because the elimination of adalimumab may take up to four months, monitoring should be continued throughout this period.</w:delText>
        </w:r>
      </w:del>
    </w:p>
    <w:p w14:paraId="6907D4ED" w14:textId="77777777" w:rsidR="00BC0E7E" w:rsidRPr="00BC0E7E" w:rsidRDefault="00BC0E7E" w:rsidP="00BC0E7E">
      <w:pPr>
        <w:autoSpaceDE w:val="0"/>
        <w:autoSpaceDN w:val="0"/>
        <w:adjustRightInd w:val="0"/>
        <w:rPr>
          <w:del w:id="461" w:author="AbbVie19" w:date="2025-04-16T10:35:00Z"/>
        </w:rPr>
      </w:pPr>
    </w:p>
    <w:p w14:paraId="6C8070D8" w14:textId="77777777" w:rsidR="00BC0E7E" w:rsidRPr="00BC0E7E" w:rsidRDefault="00944B8F" w:rsidP="00BC0E7E">
      <w:pPr>
        <w:autoSpaceDE w:val="0"/>
        <w:autoSpaceDN w:val="0"/>
        <w:adjustRightInd w:val="0"/>
        <w:rPr>
          <w:del w:id="462" w:author="AbbVie19" w:date="2025-04-16T10:35:00Z"/>
        </w:rPr>
      </w:pPr>
      <w:del w:id="463" w:author="AbbVie19" w:date="2025-04-16T10:35:00Z">
        <w:r w:rsidRPr="00BC0E7E">
          <w:delText xml:space="preserve">Treatment with Humira should not be initiated in patients with active infections including chronic or localised infections until infections are controlled. In patients who have been exposed to tuberculosis and patients who have travelled in areas of high risk of tuberculosis or endemic mycoses, such as histoplasmosis, coccidioidomycosis, or blastomycosis, the risk and benefits of treatment with Humira should be considered prior to initiating therapy (see </w:delText>
        </w:r>
        <w:r w:rsidRPr="00BC0E7E">
          <w:rPr>
            <w:i/>
          </w:rPr>
          <w:delText xml:space="preserve">Other </w:delText>
        </w:r>
        <w:r w:rsidRPr="00BC0E7E">
          <w:rPr>
            <w:i/>
            <w:iCs/>
          </w:rPr>
          <w:delText>opportunistic infections</w:delText>
        </w:r>
        <w:r w:rsidRPr="00BC0E7E">
          <w:delText>).</w:delText>
        </w:r>
      </w:del>
    </w:p>
    <w:p w14:paraId="16760C20" w14:textId="77777777" w:rsidR="00BC0E7E" w:rsidRPr="00BC0E7E" w:rsidRDefault="00BC0E7E" w:rsidP="00BC0E7E">
      <w:pPr>
        <w:autoSpaceDE w:val="0"/>
        <w:autoSpaceDN w:val="0"/>
        <w:adjustRightInd w:val="0"/>
        <w:rPr>
          <w:del w:id="464" w:author="AbbVie19" w:date="2025-04-16T10:35:00Z"/>
        </w:rPr>
      </w:pPr>
    </w:p>
    <w:p w14:paraId="49BBF2A1" w14:textId="77777777" w:rsidR="00BC0E7E" w:rsidRPr="00BC0E7E" w:rsidRDefault="00944B8F" w:rsidP="00BC0E7E">
      <w:pPr>
        <w:autoSpaceDE w:val="0"/>
        <w:autoSpaceDN w:val="0"/>
        <w:adjustRightInd w:val="0"/>
        <w:rPr>
          <w:del w:id="465" w:author="AbbVie19" w:date="2025-04-16T10:35:00Z"/>
        </w:rPr>
      </w:pPr>
      <w:del w:id="466" w:author="AbbVie19" w:date="2025-04-16T10:35:00Z">
        <w:r w:rsidRPr="00BC0E7E">
          <w:delText>Patients who develop a new infection while undergoing treatment with Humira should be monitored closely and undergo a complete diagnostic evaluation. Administration of Humira should be discontinued if a patient develops a new serious infection or sepsis, and appropriate antimicrobial or antifungal therapy should be initiated until the infection is controlled. Physicians should exercise caution when considering the use of Humira in patients with a history of recurring infection or with underlying conditions which may predispose patients to infections, including the use of concomitant immunosuppressive medications.</w:delText>
        </w:r>
      </w:del>
    </w:p>
    <w:p w14:paraId="4A57DD82" w14:textId="77777777" w:rsidR="00BC0E7E" w:rsidRPr="00BC0E7E" w:rsidRDefault="00BC0E7E" w:rsidP="00BC0E7E">
      <w:pPr>
        <w:autoSpaceDE w:val="0"/>
        <w:autoSpaceDN w:val="0"/>
        <w:adjustRightInd w:val="0"/>
        <w:rPr>
          <w:del w:id="467" w:author="AbbVie19" w:date="2025-04-16T10:35:00Z"/>
        </w:rPr>
      </w:pPr>
    </w:p>
    <w:p w14:paraId="27D9A7F5" w14:textId="77777777" w:rsidR="00BC0E7E" w:rsidRPr="00BC0E7E" w:rsidRDefault="00944B8F" w:rsidP="00BC0E7E">
      <w:pPr>
        <w:autoSpaceDE w:val="0"/>
        <w:autoSpaceDN w:val="0"/>
        <w:adjustRightInd w:val="0"/>
        <w:rPr>
          <w:del w:id="468" w:author="AbbVie19" w:date="2025-04-16T10:35:00Z"/>
          <w:i/>
          <w:iCs/>
        </w:rPr>
      </w:pPr>
      <w:del w:id="469" w:author="AbbVie19" w:date="2025-04-16T10:35:00Z">
        <w:r w:rsidRPr="00BC0E7E">
          <w:rPr>
            <w:i/>
            <w:iCs/>
          </w:rPr>
          <w:delText>Serious infections</w:delText>
        </w:r>
      </w:del>
    </w:p>
    <w:p w14:paraId="640D32C6" w14:textId="77777777" w:rsidR="00BC0E7E" w:rsidRPr="00BC0E7E" w:rsidRDefault="00BC0E7E" w:rsidP="00BC0E7E">
      <w:pPr>
        <w:autoSpaceDE w:val="0"/>
        <w:autoSpaceDN w:val="0"/>
        <w:adjustRightInd w:val="0"/>
        <w:rPr>
          <w:del w:id="470" w:author="AbbVie19" w:date="2025-04-16T10:35:00Z"/>
        </w:rPr>
      </w:pPr>
    </w:p>
    <w:p w14:paraId="6961CEC9" w14:textId="77777777" w:rsidR="00BC0E7E" w:rsidRPr="00BC0E7E" w:rsidRDefault="00944B8F" w:rsidP="00BC0E7E">
      <w:pPr>
        <w:autoSpaceDE w:val="0"/>
        <w:autoSpaceDN w:val="0"/>
        <w:adjustRightInd w:val="0"/>
        <w:rPr>
          <w:del w:id="471" w:author="AbbVie19" w:date="2025-04-16T10:35:00Z"/>
        </w:rPr>
      </w:pPr>
      <w:del w:id="472" w:author="AbbVie19" w:date="2025-04-16T10:35:00Z">
        <w:r w:rsidRPr="00BC0E7E">
          <w:delText xml:space="preserve">Serious infections, </w:delText>
        </w:r>
        <w:r w:rsidRPr="00BC0E7E">
          <w:rPr>
            <w:u w:color="0000FF"/>
          </w:rPr>
          <w:delText>including sepsis,</w:delText>
        </w:r>
        <w:r w:rsidRPr="00BC0E7E">
          <w:delText xml:space="preserve"> due to bacterial, mycobacterial, invasive fungal, parasitic, viral, or other opportunistic infections</w:delText>
        </w:r>
        <w:r w:rsidRPr="00BC0E7E">
          <w:rPr>
            <w:u w:color="0000FF"/>
          </w:rPr>
          <w:delText xml:space="preserve"> such as listeriosis, legionellosis and pneumocystis</w:delText>
        </w:r>
        <w:r w:rsidRPr="00BC0E7E">
          <w:delText xml:space="preserve"> have been reported in patients receiving Humira.  </w:delText>
        </w:r>
      </w:del>
    </w:p>
    <w:p w14:paraId="6846F4B2" w14:textId="77777777" w:rsidR="00BC0E7E" w:rsidRPr="00BC0E7E" w:rsidRDefault="00BC0E7E" w:rsidP="00BC0E7E">
      <w:pPr>
        <w:autoSpaceDE w:val="0"/>
        <w:autoSpaceDN w:val="0"/>
        <w:adjustRightInd w:val="0"/>
        <w:rPr>
          <w:del w:id="473" w:author="AbbVie19" w:date="2025-04-16T10:35:00Z"/>
        </w:rPr>
      </w:pPr>
    </w:p>
    <w:p w14:paraId="05263E4A" w14:textId="77777777" w:rsidR="00BC0E7E" w:rsidRPr="00BC0E7E" w:rsidRDefault="00944B8F" w:rsidP="00BC0E7E">
      <w:pPr>
        <w:autoSpaceDE w:val="0"/>
        <w:autoSpaceDN w:val="0"/>
        <w:adjustRightInd w:val="0"/>
        <w:rPr>
          <w:del w:id="474" w:author="AbbVie19" w:date="2025-04-16T10:35:00Z"/>
        </w:rPr>
      </w:pPr>
      <w:del w:id="475" w:author="AbbVie19" w:date="2025-04-16T10:35:00Z">
        <w:r w:rsidRPr="00BC0E7E">
          <w:delText xml:space="preserve">Other serious infections seen in clinical trials include pneumonia, pyelonephritis, septic arthritis and septicaemia. Hospitalisation or fatal outcomes associated with infections have been reported. </w:delText>
        </w:r>
      </w:del>
    </w:p>
    <w:p w14:paraId="27304665" w14:textId="77777777" w:rsidR="00BC0E7E" w:rsidRPr="00BC0E7E" w:rsidRDefault="00BC0E7E" w:rsidP="00BC0E7E">
      <w:pPr>
        <w:autoSpaceDE w:val="0"/>
        <w:autoSpaceDN w:val="0"/>
        <w:adjustRightInd w:val="0"/>
        <w:rPr>
          <w:del w:id="476" w:author="AbbVie19" w:date="2025-04-16T10:35:00Z"/>
        </w:rPr>
      </w:pPr>
    </w:p>
    <w:p w14:paraId="02095C4C" w14:textId="77777777" w:rsidR="00BC0E7E" w:rsidRPr="00BC0E7E" w:rsidRDefault="00944B8F" w:rsidP="00BC0E7E">
      <w:pPr>
        <w:autoSpaceDE w:val="0"/>
        <w:autoSpaceDN w:val="0"/>
        <w:adjustRightInd w:val="0"/>
        <w:rPr>
          <w:del w:id="477" w:author="AbbVie19" w:date="2025-04-16T10:35:00Z"/>
          <w:i/>
          <w:iCs/>
        </w:rPr>
      </w:pPr>
      <w:del w:id="478" w:author="AbbVie19" w:date="2025-04-16T10:35:00Z">
        <w:r w:rsidRPr="00BC0E7E">
          <w:rPr>
            <w:i/>
            <w:iCs/>
          </w:rPr>
          <w:delText>Tuberculosis</w:delText>
        </w:r>
      </w:del>
    </w:p>
    <w:p w14:paraId="3C268DA7" w14:textId="77777777" w:rsidR="00BC0E7E" w:rsidRPr="00BC0E7E" w:rsidRDefault="00BC0E7E" w:rsidP="00BC0E7E">
      <w:pPr>
        <w:autoSpaceDE w:val="0"/>
        <w:autoSpaceDN w:val="0"/>
        <w:adjustRightInd w:val="0"/>
        <w:rPr>
          <w:del w:id="479" w:author="AbbVie19" w:date="2025-04-16T10:35:00Z"/>
        </w:rPr>
      </w:pPr>
    </w:p>
    <w:p w14:paraId="2E15026F" w14:textId="77777777" w:rsidR="00BC0E7E" w:rsidRPr="00BC0E7E" w:rsidRDefault="00944B8F" w:rsidP="00BC0E7E">
      <w:pPr>
        <w:autoSpaceDE w:val="0"/>
        <w:autoSpaceDN w:val="0"/>
        <w:adjustRightInd w:val="0"/>
        <w:rPr>
          <w:del w:id="480" w:author="AbbVie19" w:date="2025-04-16T10:35:00Z"/>
        </w:rPr>
      </w:pPr>
      <w:del w:id="481" w:author="AbbVie19" w:date="2025-04-16T10:35:00Z">
        <w:r w:rsidRPr="00BC0E7E">
          <w:delText xml:space="preserve">Tuberculosis, including reactivation and new onset of tuberculosis, has been reported in patients receiving Humira. Reports included cases of pulmonary and extra-pulmonary (i.e. disseminated) tuberculosis. </w:delText>
        </w:r>
      </w:del>
    </w:p>
    <w:p w14:paraId="770B20BB" w14:textId="77777777" w:rsidR="00BC0E7E" w:rsidRPr="00BC0E7E" w:rsidRDefault="00BC0E7E" w:rsidP="00BC0E7E">
      <w:pPr>
        <w:autoSpaceDE w:val="0"/>
        <w:autoSpaceDN w:val="0"/>
        <w:adjustRightInd w:val="0"/>
        <w:rPr>
          <w:del w:id="482" w:author="AbbVie19" w:date="2025-04-16T10:35:00Z"/>
        </w:rPr>
      </w:pPr>
    </w:p>
    <w:p w14:paraId="00F39FEC" w14:textId="77777777" w:rsidR="00BC0E7E" w:rsidRPr="00BC0E7E" w:rsidRDefault="00944B8F" w:rsidP="00BC0E7E">
      <w:pPr>
        <w:rPr>
          <w:del w:id="483" w:author="AbbVie19" w:date="2025-04-16T10:35:00Z"/>
        </w:rPr>
      </w:pPr>
      <w:del w:id="484" w:author="AbbVie19" w:date="2025-04-16T10:35:00Z">
        <w:r w:rsidRPr="00BC0E7E">
          <w:delText>Before initiation of therapy with Humira, all patients must be evaluated for both active or inactive (“latent”) tuberculosis infection. This evaluation should include a detailed medical assessment of patient history of tuberculosis or possible previous exposure to people with active tuberculosis and previous and/or current immunosuppressive therapy. Appropriate screening tests (i.e. tuberculin skin test and chest X</w:delText>
        </w:r>
        <w:r w:rsidRPr="00BC0E7E">
          <w:noBreakHyphen/>
          <w:delText xml:space="preserve">ray) should be performed in all patients (local recommendations may apply). It is recommended that the conduct and results of these tests are recorded in the </w:delText>
        </w:r>
        <w:r w:rsidR="002179FE">
          <w:delText>Patient Reminder Card</w:delText>
        </w:r>
        <w:r w:rsidRPr="00BC0E7E">
          <w:delText xml:space="preserve">. Prescribers are reminded of the risk of false negative tuberculin skin test results, especially in patients who are severely ill or immunocompromised. </w:delText>
        </w:r>
      </w:del>
    </w:p>
    <w:p w14:paraId="1D4AC920" w14:textId="77777777" w:rsidR="00BC0E7E" w:rsidRPr="00BC0E7E" w:rsidRDefault="00BC0E7E" w:rsidP="00BC0E7E">
      <w:pPr>
        <w:rPr>
          <w:del w:id="485" w:author="AbbVie19" w:date="2025-04-16T10:35:00Z"/>
        </w:rPr>
      </w:pPr>
    </w:p>
    <w:p w14:paraId="5912806E" w14:textId="77777777" w:rsidR="00BC0E7E" w:rsidRPr="00BC0E7E" w:rsidRDefault="00944B8F" w:rsidP="00BC0E7E">
      <w:pPr>
        <w:rPr>
          <w:del w:id="486" w:author="AbbVie19" w:date="2025-04-16T10:35:00Z"/>
        </w:rPr>
      </w:pPr>
      <w:del w:id="487" w:author="AbbVie19" w:date="2025-04-16T10:35:00Z">
        <w:r w:rsidRPr="00BC0E7E">
          <w:lastRenderedPageBreak/>
          <w:delText xml:space="preserve">If active tuberculosis is diagnosed, Humira therapy must not be initiated (see section 4.3). </w:delText>
        </w:r>
      </w:del>
    </w:p>
    <w:p w14:paraId="35D5DCF5" w14:textId="77777777" w:rsidR="00BC0E7E" w:rsidRPr="00BC0E7E" w:rsidRDefault="00BC0E7E" w:rsidP="00BC0E7E">
      <w:pPr>
        <w:rPr>
          <w:del w:id="488" w:author="AbbVie19" w:date="2025-04-16T10:35:00Z"/>
        </w:rPr>
      </w:pPr>
    </w:p>
    <w:p w14:paraId="688A6ED4" w14:textId="77777777" w:rsidR="00BC0E7E" w:rsidRPr="00BC0E7E" w:rsidRDefault="00944B8F" w:rsidP="00BC0E7E">
      <w:pPr>
        <w:rPr>
          <w:del w:id="489" w:author="AbbVie19" w:date="2025-04-16T10:35:00Z"/>
        </w:rPr>
      </w:pPr>
      <w:del w:id="490" w:author="AbbVie19" w:date="2025-04-16T10:35:00Z">
        <w:r w:rsidRPr="00BC0E7E">
          <w:delText>In all situations described below, the benefit/risk balance of therapy should be very carefully considered.</w:delText>
        </w:r>
      </w:del>
    </w:p>
    <w:p w14:paraId="21CAB454" w14:textId="77777777" w:rsidR="00BC0E7E" w:rsidRPr="00BC0E7E" w:rsidRDefault="00BC0E7E" w:rsidP="00BC0E7E">
      <w:pPr>
        <w:rPr>
          <w:del w:id="491" w:author="AbbVie19" w:date="2025-04-16T10:35:00Z"/>
        </w:rPr>
      </w:pPr>
    </w:p>
    <w:p w14:paraId="7874B0E9" w14:textId="77777777" w:rsidR="00BC0E7E" w:rsidRPr="00BC0E7E" w:rsidRDefault="00944B8F" w:rsidP="00BC0E7E">
      <w:pPr>
        <w:rPr>
          <w:del w:id="492" w:author="AbbVie19" w:date="2025-04-16T10:35:00Z"/>
        </w:rPr>
      </w:pPr>
      <w:del w:id="493" w:author="AbbVie19" w:date="2025-04-16T10:35:00Z">
        <w:r w:rsidRPr="00BC0E7E">
          <w:delText xml:space="preserve">If latent tuberculosis is suspected, </w:delText>
        </w:r>
        <w:r w:rsidRPr="00BC0E7E">
          <w:rPr>
            <w:szCs w:val="22"/>
          </w:rPr>
          <w:delText>a physician with expertise in the treatment of tuberculosis should be consulted.</w:delText>
        </w:r>
        <w:r w:rsidRPr="00BC0E7E">
          <w:delText xml:space="preserve">  </w:delText>
        </w:r>
      </w:del>
    </w:p>
    <w:p w14:paraId="2FB3D5E7" w14:textId="77777777" w:rsidR="00BC0E7E" w:rsidRPr="00BC0E7E" w:rsidRDefault="00BC0E7E" w:rsidP="00BC0E7E">
      <w:pPr>
        <w:rPr>
          <w:del w:id="494" w:author="AbbVie19" w:date="2025-04-16T10:35:00Z"/>
        </w:rPr>
      </w:pPr>
    </w:p>
    <w:p w14:paraId="2121D11E" w14:textId="77777777" w:rsidR="00BC0E7E" w:rsidRPr="00BC0E7E" w:rsidRDefault="00944B8F" w:rsidP="00BC0E7E">
      <w:pPr>
        <w:rPr>
          <w:del w:id="495" w:author="AbbVie19" w:date="2025-04-16T10:35:00Z"/>
          <w:bCs/>
          <w:snapToGrid w:val="0"/>
          <w:szCs w:val="22"/>
        </w:rPr>
      </w:pPr>
      <w:del w:id="496" w:author="AbbVie19" w:date="2025-04-16T10:35:00Z">
        <w:r w:rsidRPr="00BC0E7E">
          <w:rPr>
            <w:szCs w:val="22"/>
          </w:rPr>
          <w:delText xml:space="preserve">If latent tuberculosis is diagnosed, appropriate treatment must be started with anti-tuberculosis prophylaxis treatment before the initiation of Humira, and in accordance with local recommendations. </w:delText>
        </w:r>
      </w:del>
    </w:p>
    <w:p w14:paraId="29602957" w14:textId="77777777" w:rsidR="00BC0E7E" w:rsidRPr="00BC0E7E" w:rsidRDefault="00BC0E7E" w:rsidP="00BC0E7E">
      <w:pPr>
        <w:rPr>
          <w:del w:id="497" w:author="AbbVie19" w:date="2025-04-16T10:35:00Z"/>
          <w:bCs/>
          <w:i/>
          <w:iCs/>
        </w:rPr>
      </w:pPr>
    </w:p>
    <w:p w14:paraId="691EC658" w14:textId="77777777" w:rsidR="00BC0E7E" w:rsidRPr="00BC0E7E" w:rsidRDefault="00944B8F" w:rsidP="00BC0E7E">
      <w:pPr>
        <w:rPr>
          <w:del w:id="498" w:author="AbbVie19" w:date="2025-04-16T10:35:00Z"/>
        </w:rPr>
      </w:pPr>
      <w:del w:id="499" w:author="AbbVie19" w:date="2025-04-16T10:35:00Z">
        <w:r w:rsidRPr="00BC0E7E">
          <w:delText xml:space="preserve">Use of anti-tuberculosis prophylaxis treatment should also be considered before the initiation of Humira in patients with several or significant risk factors for tuberculosis despite a negative test for tuberculosis and in patients with a past history of latent or active tuberculosis in whom an adequate course of treatment cannot be confirmed.  </w:delText>
        </w:r>
      </w:del>
    </w:p>
    <w:p w14:paraId="5CAC12B5" w14:textId="77777777" w:rsidR="00BC0E7E" w:rsidRPr="00BC0E7E" w:rsidRDefault="00BC0E7E" w:rsidP="00BC0E7E">
      <w:pPr>
        <w:rPr>
          <w:del w:id="500" w:author="AbbVie19" w:date="2025-04-16T10:35:00Z"/>
        </w:rPr>
      </w:pPr>
    </w:p>
    <w:p w14:paraId="50568371" w14:textId="77777777" w:rsidR="00BC0E7E" w:rsidRPr="00BC0E7E" w:rsidRDefault="00944B8F" w:rsidP="00BC0E7E">
      <w:pPr>
        <w:rPr>
          <w:del w:id="501" w:author="AbbVie19" w:date="2025-04-16T10:35:00Z"/>
        </w:rPr>
      </w:pPr>
      <w:del w:id="502" w:author="AbbVie19" w:date="2025-04-16T10:35:00Z">
        <w:r w:rsidRPr="00BC0E7E">
          <w:delText>Despite prophylactic treatment for tuberculosis, cases of reactivated tuberculosis have occurred in patients treated with Humira. Some patients who have been successfully treated for active tuberculosis have redeveloped tuberculosis while being treated with Humira.</w:delText>
        </w:r>
      </w:del>
    </w:p>
    <w:p w14:paraId="21FD7027" w14:textId="77777777" w:rsidR="00BC0E7E" w:rsidRPr="00BC0E7E" w:rsidRDefault="00BC0E7E" w:rsidP="00BC0E7E">
      <w:pPr>
        <w:autoSpaceDE w:val="0"/>
        <w:autoSpaceDN w:val="0"/>
        <w:adjustRightInd w:val="0"/>
        <w:rPr>
          <w:del w:id="503" w:author="AbbVie19" w:date="2025-04-16T10:35:00Z"/>
        </w:rPr>
      </w:pPr>
    </w:p>
    <w:p w14:paraId="12C44370" w14:textId="77777777" w:rsidR="00BC0E7E" w:rsidRPr="00BC0E7E" w:rsidRDefault="00944B8F" w:rsidP="00BC0E7E">
      <w:pPr>
        <w:autoSpaceDE w:val="0"/>
        <w:autoSpaceDN w:val="0"/>
        <w:adjustRightInd w:val="0"/>
        <w:rPr>
          <w:del w:id="504" w:author="AbbVie19" w:date="2025-04-16T10:35:00Z"/>
        </w:rPr>
      </w:pPr>
      <w:del w:id="505" w:author="AbbVie19" w:date="2025-04-16T10:35:00Z">
        <w:r w:rsidRPr="00BC0E7E">
          <w:delText xml:space="preserve">Patients should be instructed to seek medical advice if signs/symptoms suggestive of a tuberculosis infection (e.g., persistent cough, wasting/weight loss, low grade fever, listlessness) occur during or after therapy with Humira. </w:delText>
        </w:r>
      </w:del>
    </w:p>
    <w:p w14:paraId="0E5BED2B" w14:textId="77777777" w:rsidR="00BC0E7E" w:rsidRPr="00BC0E7E" w:rsidRDefault="00BC0E7E" w:rsidP="00BC0E7E">
      <w:pPr>
        <w:autoSpaceDE w:val="0"/>
        <w:autoSpaceDN w:val="0"/>
        <w:adjustRightInd w:val="0"/>
        <w:rPr>
          <w:del w:id="506" w:author="AbbVie19" w:date="2025-04-16T10:35:00Z"/>
        </w:rPr>
      </w:pPr>
    </w:p>
    <w:p w14:paraId="77A6370D" w14:textId="77777777" w:rsidR="00BC0E7E" w:rsidRPr="00BC0E7E" w:rsidRDefault="00944B8F" w:rsidP="00BC0E7E">
      <w:pPr>
        <w:keepNext/>
        <w:autoSpaceDE w:val="0"/>
        <w:autoSpaceDN w:val="0"/>
        <w:adjustRightInd w:val="0"/>
        <w:rPr>
          <w:del w:id="507" w:author="AbbVie19" w:date="2025-04-16T10:35:00Z"/>
          <w:i/>
          <w:iCs/>
        </w:rPr>
      </w:pPr>
      <w:del w:id="508" w:author="AbbVie19" w:date="2025-04-16T10:35:00Z">
        <w:r w:rsidRPr="00BC0E7E">
          <w:rPr>
            <w:i/>
            <w:iCs/>
          </w:rPr>
          <w:delText>Other opportunistic infections</w:delText>
        </w:r>
      </w:del>
    </w:p>
    <w:p w14:paraId="3E9AE2E9" w14:textId="77777777" w:rsidR="00BC0E7E" w:rsidRPr="00BC0E7E" w:rsidRDefault="00BC0E7E" w:rsidP="00BC0E7E">
      <w:pPr>
        <w:keepNext/>
        <w:autoSpaceDE w:val="0"/>
        <w:autoSpaceDN w:val="0"/>
        <w:adjustRightInd w:val="0"/>
        <w:rPr>
          <w:del w:id="509" w:author="AbbVie19" w:date="2025-04-16T10:35:00Z"/>
        </w:rPr>
      </w:pPr>
    </w:p>
    <w:p w14:paraId="56FFE1C8" w14:textId="77777777" w:rsidR="00BC0E7E" w:rsidRPr="00BC0E7E" w:rsidRDefault="00944B8F" w:rsidP="00BC0E7E">
      <w:pPr>
        <w:keepNext/>
        <w:autoSpaceDE w:val="0"/>
        <w:autoSpaceDN w:val="0"/>
        <w:adjustRightInd w:val="0"/>
        <w:rPr>
          <w:del w:id="510" w:author="AbbVie19" w:date="2025-04-16T10:35:00Z"/>
        </w:rPr>
      </w:pPr>
      <w:del w:id="511" w:author="AbbVie19" w:date="2025-04-16T10:35:00Z">
        <w:r w:rsidRPr="00BC0E7E">
          <w:delText xml:space="preserve">Opportunistic infections, including invasive fungal infections have been observed in patients receiving Humira. These infections have not consistently been recognised in patients taking TNF-antagonists and this has resulted in delays in appropriate treatment, sometimes resulting in fatal outcomes. </w:delText>
        </w:r>
      </w:del>
    </w:p>
    <w:p w14:paraId="31858708" w14:textId="77777777" w:rsidR="00BC0E7E" w:rsidRPr="00BC0E7E" w:rsidRDefault="00BC0E7E" w:rsidP="00BC0E7E">
      <w:pPr>
        <w:autoSpaceDE w:val="0"/>
        <w:autoSpaceDN w:val="0"/>
        <w:adjustRightInd w:val="0"/>
        <w:rPr>
          <w:del w:id="512" w:author="AbbVie19" w:date="2025-04-16T10:35:00Z"/>
        </w:rPr>
      </w:pPr>
    </w:p>
    <w:p w14:paraId="6A99FB6C" w14:textId="77777777" w:rsidR="00BC0E7E" w:rsidRPr="00BC0E7E" w:rsidRDefault="00944B8F" w:rsidP="00BC0E7E">
      <w:pPr>
        <w:autoSpaceDE w:val="0"/>
        <w:autoSpaceDN w:val="0"/>
        <w:adjustRightInd w:val="0"/>
        <w:rPr>
          <w:del w:id="513" w:author="AbbVie19" w:date="2025-04-16T10:35:00Z"/>
        </w:rPr>
      </w:pPr>
      <w:del w:id="514" w:author="AbbVie19" w:date="2025-04-16T10:35:00Z">
        <w:r w:rsidRPr="00BC0E7E">
          <w:delText>For patients who develop the signs and symptoms such as fever, malaise, weight loss, sweats, cough, dyspnoea, and/or pulmonary infiltrates or other serious systemic illness with or without concomitant shock an invasive fungal infection should be suspected and administration of Humira should be promptly discontinued. Diagnosis and administration of empiric antifungal therapy in these patients should be made in consultation with a physician with expertise in the care of patients with invasive fungal infections.</w:delText>
        </w:r>
      </w:del>
    </w:p>
    <w:p w14:paraId="304F3CF2" w14:textId="77777777" w:rsidR="00BC0E7E" w:rsidRPr="00BC0E7E" w:rsidRDefault="00BC0E7E" w:rsidP="00BC0E7E">
      <w:pPr>
        <w:autoSpaceDE w:val="0"/>
        <w:autoSpaceDN w:val="0"/>
        <w:adjustRightInd w:val="0"/>
        <w:rPr>
          <w:del w:id="515" w:author="AbbVie19" w:date="2025-04-16T10:35:00Z"/>
        </w:rPr>
      </w:pPr>
    </w:p>
    <w:p w14:paraId="6AE1DA2A" w14:textId="77777777" w:rsidR="00BC0E7E" w:rsidRPr="00BC0E7E" w:rsidRDefault="00944B8F" w:rsidP="00BC0E7E">
      <w:pPr>
        <w:autoSpaceDE w:val="0"/>
        <w:autoSpaceDN w:val="0"/>
        <w:adjustRightInd w:val="0"/>
        <w:spacing w:line="240" w:lineRule="atLeast"/>
        <w:rPr>
          <w:del w:id="516" w:author="AbbVie19" w:date="2025-04-16T10:35:00Z"/>
          <w:szCs w:val="22"/>
          <w:u w:val="single"/>
        </w:rPr>
      </w:pPr>
      <w:del w:id="517" w:author="AbbVie19" w:date="2025-04-16T10:35:00Z">
        <w:r w:rsidRPr="00BC0E7E">
          <w:rPr>
            <w:szCs w:val="22"/>
            <w:u w:val="single"/>
          </w:rPr>
          <w:delText>Hepatitis B reactivation</w:delText>
        </w:r>
      </w:del>
    </w:p>
    <w:p w14:paraId="757B7DAF" w14:textId="77777777" w:rsidR="00BC0E7E" w:rsidRPr="00BC0E7E" w:rsidRDefault="00BC0E7E" w:rsidP="00BC0E7E">
      <w:pPr>
        <w:autoSpaceDE w:val="0"/>
        <w:autoSpaceDN w:val="0"/>
        <w:adjustRightInd w:val="0"/>
        <w:spacing w:line="240" w:lineRule="atLeast"/>
        <w:rPr>
          <w:del w:id="518" w:author="AbbVie19" w:date="2025-04-16T10:35:00Z"/>
          <w:bCs/>
          <w:i/>
          <w:iCs/>
          <w:szCs w:val="22"/>
        </w:rPr>
      </w:pPr>
    </w:p>
    <w:p w14:paraId="1D91894E" w14:textId="77777777" w:rsidR="00BC0E7E" w:rsidRPr="00BC0E7E" w:rsidRDefault="00944B8F" w:rsidP="00BC0E7E">
      <w:pPr>
        <w:tabs>
          <w:tab w:val="clear" w:pos="562"/>
        </w:tabs>
        <w:suppressAutoHyphens w:val="0"/>
        <w:autoSpaceDE w:val="0"/>
        <w:autoSpaceDN w:val="0"/>
        <w:adjustRightInd w:val="0"/>
        <w:spacing w:line="240" w:lineRule="atLeast"/>
        <w:rPr>
          <w:del w:id="519" w:author="AbbVie19" w:date="2025-04-16T10:35:00Z"/>
          <w:szCs w:val="22"/>
        </w:rPr>
      </w:pPr>
      <w:del w:id="520" w:author="AbbVie19" w:date="2025-04-16T10:35:00Z">
        <w:r w:rsidRPr="00BC0E7E">
          <w:rPr>
            <w:szCs w:val="22"/>
          </w:rPr>
          <w:delText>Reactivation of hepatitis B has occurred in patients receiving a TNF-antagonist including Humira, who are chronic carriers of this virus (i.e. surface antigen positive). Some cases have had a fatal outcome. Patients should be tested for HBV infection before initiating treatment with Humira. For patients who test positive for hepatitis B infection, consultation with a physician with expertise in the treatment of hepatitis B is recommended.</w:delText>
        </w:r>
      </w:del>
    </w:p>
    <w:p w14:paraId="734D2A02" w14:textId="77777777" w:rsidR="00BC0E7E" w:rsidRPr="00BC0E7E" w:rsidRDefault="00BC0E7E" w:rsidP="00BC0E7E">
      <w:pPr>
        <w:tabs>
          <w:tab w:val="clear" w:pos="562"/>
        </w:tabs>
        <w:suppressAutoHyphens w:val="0"/>
        <w:autoSpaceDE w:val="0"/>
        <w:autoSpaceDN w:val="0"/>
        <w:adjustRightInd w:val="0"/>
        <w:spacing w:line="240" w:lineRule="atLeast"/>
        <w:rPr>
          <w:del w:id="521" w:author="AbbVie19" w:date="2025-04-16T10:35:00Z"/>
          <w:szCs w:val="22"/>
        </w:rPr>
      </w:pPr>
    </w:p>
    <w:p w14:paraId="7251832A" w14:textId="77777777" w:rsidR="00BC0E7E" w:rsidRPr="00BC0E7E" w:rsidRDefault="00944B8F" w:rsidP="00BC0E7E">
      <w:pPr>
        <w:tabs>
          <w:tab w:val="clear" w:pos="562"/>
        </w:tabs>
        <w:suppressAutoHyphens w:val="0"/>
        <w:autoSpaceDE w:val="0"/>
        <w:autoSpaceDN w:val="0"/>
        <w:adjustRightInd w:val="0"/>
        <w:spacing w:line="240" w:lineRule="atLeast"/>
        <w:rPr>
          <w:del w:id="522" w:author="AbbVie19" w:date="2025-04-16T10:35:00Z"/>
          <w:szCs w:val="22"/>
        </w:rPr>
      </w:pPr>
      <w:del w:id="523" w:author="AbbVie19" w:date="2025-04-16T10:35:00Z">
        <w:r w:rsidRPr="00BC0E7E">
          <w:rPr>
            <w:szCs w:val="22"/>
          </w:rPr>
          <w:delText xml:space="preserve">Carriers of HBV who require treatment with Humira should be closely monitored for signs and symptoms of active HBV infection throughout therapy and for several months following termination of therapy. Adequate data from treating patients who are carriers of HBV with anti-viral therapy in conjunction with TNF-antagonist therapy to prevent HBV reactivation are not available. In patients who develop HBV reactivation, Humira should be stopped and effective anti-viral therapy with appropriate supportive treatment should be initiated. </w:delText>
        </w:r>
      </w:del>
    </w:p>
    <w:p w14:paraId="3C21C696" w14:textId="77777777" w:rsidR="00BC0E7E" w:rsidRPr="00BC0E7E" w:rsidRDefault="00BC0E7E" w:rsidP="00BC0E7E">
      <w:pPr>
        <w:tabs>
          <w:tab w:val="clear" w:pos="562"/>
        </w:tabs>
        <w:suppressAutoHyphens w:val="0"/>
        <w:autoSpaceDE w:val="0"/>
        <w:autoSpaceDN w:val="0"/>
        <w:adjustRightInd w:val="0"/>
        <w:spacing w:line="240" w:lineRule="atLeast"/>
        <w:rPr>
          <w:del w:id="524" w:author="AbbVie19" w:date="2025-04-16T10:35:00Z"/>
          <w:szCs w:val="22"/>
        </w:rPr>
      </w:pPr>
    </w:p>
    <w:p w14:paraId="76CC4AB8" w14:textId="77777777" w:rsidR="00BC0E7E" w:rsidRPr="00BC0E7E" w:rsidRDefault="00944B8F" w:rsidP="00BC0E7E">
      <w:pPr>
        <w:rPr>
          <w:del w:id="525" w:author="AbbVie19" w:date="2025-04-16T10:35:00Z"/>
          <w:szCs w:val="20"/>
          <w:u w:val="single"/>
        </w:rPr>
      </w:pPr>
      <w:del w:id="526" w:author="AbbVie19" w:date="2025-04-16T10:35:00Z">
        <w:r w:rsidRPr="00BC0E7E">
          <w:rPr>
            <w:szCs w:val="20"/>
            <w:u w:val="single"/>
          </w:rPr>
          <w:delText xml:space="preserve">Neurological events </w:delText>
        </w:r>
      </w:del>
    </w:p>
    <w:p w14:paraId="165B7A12" w14:textId="77777777" w:rsidR="00BC0E7E" w:rsidRPr="00BC0E7E" w:rsidRDefault="00BC0E7E" w:rsidP="00BC0E7E">
      <w:pPr>
        <w:rPr>
          <w:del w:id="527" w:author="AbbVie19" w:date="2025-04-16T10:35:00Z"/>
          <w:szCs w:val="20"/>
        </w:rPr>
      </w:pPr>
    </w:p>
    <w:p w14:paraId="4E66B684" w14:textId="77777777" w:rsidR="00BC0E7E" w:rsidRPr="00BC0E7E" w:rsidRDefault="00944B8F" w:rsidP="00BC0E7E">
      <w:pPr>
        <w:autoSpaceDE w:val="0"/>
        <w:autoSpaceDN w:val="0"/>
        <w:adjustRightInd w:val="0"/>
        <w:rPr>
          <w:del w:id="528" w:author="AbbVie19" w:date="2025-04-16T10:35:00Z"/>
        </w:rPr>
      </w:pPr>
      <w:del w:id="529" w:author="AbbVie19" w:date="2025-04-16T10:35:00Z">
        <w:r w:rsidRPr="00BC0E7E">
          <w:lastRenderedPageBreak/>
          <w:delText>TNF-antagonists including Humira have been associated in rare instances with new onset or exacerbation of clinical symptoms and/or radiographic evidence of central nervous system demyelinating disease including multiple sclerosis and optic neuritis, and peripheral demyelinating disease, including Guillain-Barré syndrome. Prescribers should exercise caution in considering the use of Humira in patients with pre-existing or recent-onset central or peripheral nervous system demyelinating disorders</w:delText>
        </w:r>
        <w:r w:rsidRPr="00BC0E7E">
          <w:rPr>
            <w:bCs/>
          </w:rPr>
          <w:delText>; discontinuation of Humira should be considered if any of these disorders develop. There is a known association between intermediate uveitis and central demyelinating disorders. Neurologic evaluation should be performed in patients with non-infectious intermediate uveitis prior to the initiation of Humira therapy and regularly during treatment to assess for pre-existing or developing central demyelinating disorders</w:delText>
        </w:r>
        <w:r w:rsidRPr="00BC0E7E">
          <w:delText xml:space="preserve">. </w:delText>
        </w:r>
      </w:del>
    </w:p>
    <w:p w14:paraId="5574C5B6" w14:textId="77777777" w:rsidR="00BC0E7E" w:rsidRPr="00BC0E7E" w:rsidRDefault="00BC0E7E" w:rsidP="00BC0E7E">
      <w:pPr>
        <w:autoSpaceDE w:val="0"/>
        <w:autoSpaceDN w:val="0"/>
        <w:adjustRightInd w:val="0"/>
        <w:rPr>
          <w:del w:id="530" w:author="AbbVie19" w:date="2025-04-16T10:35:00Z"/>
        </w:rPr>
      </w:pPr>
    </w:p>
    <w:p w14:paraId="7BD1B633" w14:textId="77777777" w:rsidR="00BC0E7E" w:rsidRPr="00BC0E7E" w:rsidRDefault="00944B8F" w:rsidP="00A40993">
      <w:pPr>
        <w:keepNext/>
        <w:rPr>
          <w:del w:id="531" w:author="AbbVie19" w:date="2025-04-16T10:35:00Z"/>
          <w:szCs w:val="20"/>
          <w:u w:val="single"/>
        </w:rPr>
      </w:pPr>
      <w:del w:id="532" w:author="AbbVie19" w:date="2025-04-16T10:35:00Z">
        <w:r w:rsidRPr="00BC0E7E">
          <w:rPr>
            <w:szCs w:val="20"/>
            <w:u w:val="single"/>
          </w:rPr>
          <w:delText>Allergic reactions</w:delText>
        </w:r>
      </w:del>
    </w:p>
    <w:p w14:paraId="3747AFA0" w14:textId="77777777" w:rsidR="00BC0E7E" w:rsidRPr="00BC0E7E" w:rsidRDefault="00BC0E7E" w:rsidP="00A40993">
      <w:pPr>
        <w:keepNext/>
        <w:rPr>
          <w:del w:id="533" w:author="AbbVie19" w:date="2025-04-16T10:35:00Z"/>
          <w:szCs w:val="20"/>
        </w:rPr>
      </w:pPr>
    </w:p>
    <w:p w14:paraId="54295295" w14:textId="77777777" w:rsidR="00BC0E7E" w:rsidRPr="00BC0E7E" w:rsidRDefault="00944B8F" w:rsidP="00A40993">
      <w:pPr>
        <w:keepNext/>
        <w:autoSpaceDE w:val="0"/>
        <w:autoSpaceDN w:val="0"/>
        <w:adjustRightInd w:val="0"/>
        <w:rPr>
          <w:del w:id="534" w:author="AbbVie19" w:date="2025-04-16T10:35:00Z"/>
        </w:rPr>
      </w:pPr>
      <w:del w:id="535" w:author="AbbVie19" w:date="2025-04-16T10:35:00Z">
        <w:r w:rsidRPr="00BC0E7E">
          <w:delText>Serious allergic reactions associated with Humira were rare during clinical trials. Non-serious allergic reactions associated with Humira were uncommon during clinical trials. Reports of serious allergic reactions including anaphylaxis have been received following Humira administration. If an anaphylactic reaction or other serious allergic reaction occurs, administration of Humira should be discontinued immediately and</w:delText>
        </w:r>
        <w:r w:rsidR="00A40993">
          <w:delText xml:space="preserve"> appropriate therapy initiated.</w:delText>
        </w:r>
      </w:del>
    </w:p>
    <w:p w14:paraId="50520694" w14:textId="77777777" w:rsidR="00BC0E7E" w:rsidRPr="00BC0E7E" w:rsidRDefault="00BC0E7E" w:rsidP="00BC0E7E">
      <w:pPr>
        <w:autoSpaceDE w:val="0"/>
        <w:autoSpaceDN w:val="0"/>
        <w:adjustRightInd w:val="0"/>
        <w:rPr>
          <w:del w:id="536" w:author="AbbVie19" w:date="2025-04-16T10:35:00Z"/>
        </w:rPr>
      </w:pPr>
    </w:p>
    <w:p w14:paraId="75D33D8B" w14:textId="77777777" w:rsidR="00BC0E7E" w:rsidRPr="00BC0E7E" w:rsidRDefault="00944B8F" w:rsidP="00BC0E7E">
      <w:pPr>
        <w:keepNext/>
        <w:rPr>
          <w:del w:id="537" w:author="AbbVie19" w:date="2025-04-16T10:35:00Z"/>
          <w:szCs w:val="20"/>
          <w:u w:val="single"/>
        </w:rPr>
      </w:pPr>
      <w:del w:id="538" w:author="AbbVie19" w:date="2025-04-16T10:35:00Z">
        <w:r w:rsidRPr="00BC0E7E">
          <w:rPr>
            <w:szCs w:val="20"/>
            <w:u w:val="single"/>
          </w:rPr>
          <w:delText>Immunosuppression</w:delText>
        </w:r>
      </w:del>
    </w:p>
    <w:p w14:paraId="43ECFF46" w14:textId="77777777" w:rsidR="00BC0E7E" w:rsidRPr="00BC0E7E" w:rsidRDefault="00BC0E7E" w:rsidP="00BC0E7E">
      <w:pPr>
        <w:keepNext/>
        <w:rPr>
          <w:del w:id="539" w:author="AbbVie19" w:date="2025-04-16T10:35:00Z"/>
          <w:szCs w:val="20"/>
        </w:rPr>
      </w:pPr>
    </w:p>
    <w:p w14:paraId="7609EAFB" w14:textId="77777777" w:rsidR="00BC0E7E" w:rsidRPr="00BC0E7E" w:rsidRDefault="00944B8F" w:rsidP="00BC0E7E">
      <w:pPr>
        <w:keepNext/>
        <w:rPr>
          <w:del w:id="540" w:author="AbbVie19" w:date="2025-04-16T10:35:00Z"/>
          <w:szCs w:val="20"/>
        </w:rPr>
      </w:pPr>
      <w:del w:id="541" w:author="AbbVie19" w:date="2025-04-16T10:35:00Z">
        <w:r w:rsidRPr="00BC0E7E">
          <w:rPr>
            <w:szCs w:val="20"/>
          </w:rPr>
          <w:delText>In a study of 64 patients with rheumatoid arthritis that were treated with Humira, there was no evidence of depression of delayed-type hypersensitivity, depression of immunoglobulin levels, or change in enumeration of effector T-, B</w:delText>
        </w:r>
        <w:r w:rsidR="00E77479">
          <w:rPr>
            <w:szCs w:val="20"/>
          </w:rPr>
          <w:delText>-</w:delText>
        </w:r>
        <w:r w:rsidRPr="00BC0E7E">
          <w:rPr>
            <w:szCs w:val="20"/>
          </w:rPr>
          <w:delText>, NK-cells, monocyte/macrophages, and neutrophils.</w:delText>
        </w:r>
      </w:del>
    </w:p>
    <w:p w14:paraId="7588951E" w14:textId="77777777" w:rsidR="00BC0E7E" w:rsidRPr="00BC0E7E" w:rsidRDefault="00BC0E7E" w:rsidP="00BC0E7E">
      <w:pPr>
        <w:rPr>
          <w:del w:id="542" w:author="AbbVie19" w:date="2025-04-16T10:35:00Z"/>
          <w:szCs w:val="20"/>
        </w:rPr>
      </w:pPr>
    </w:p>
    <w:p w14:paraId="13CD9C82" w14:textId="77777777" w:rsidR="00BC0E7E" w:rsidRPr="00BC0E7E" w:rsidRDefault="00944B8F" w:rsidP="00BC0E7E">
      <w:pPr>
        <w:keepNext/>
        <w:rPr>
          <w:del w:id="543" w:author="AbbVie19" w:date="2025-04-16T10:35:00Z"/>
          <w:szCs w:val="20"/>
          <w:u w:val="single"/>
        </w:rPr>
      </w:pPr>
      <w:del w:id="544" w:author="AbbVie19" w:date="2025-04-16T10:35:00Z">
        <w:r w:rsidRPr="00BC0E7E">
          <w:rPr>
            <w:szCs w:val="20"/>
            <w:u w:val="single"/>
          </w:rPr>
          <w:delText>Malignancies and lymphoproliferative disorders</w:delText>
        </w:r>
      </w:del>
    </w:p>
    <w:p w14:paraId="51F9DD66" w14:textId="77777777" w:rsidR="00BC0E7E" w:rsidRPr="00BC0E7E" w:rsidRDefault="00BC0E7E" w:rsidP="00BC0E7E">
      <w:pPr>
        <w:keepNext/>
        <w:rPr>
          <w:del w:id="545" w:author="AbbVie19" w:date="2025-04-16T10:35:00Z"/>
          <w:szCs w:val="20"/>
        </w:rPr>
      </w:pPr>
    </w:p>
    <w:p w14:paraId="79AF7867" w14:textId="77777777" w:rsidR="00BC0E7E" w:rsidRPr="00BC0E7E" w:rsidRDefault="00944B8F" w:rsidP="00BC0E7E">
      <w:pPr>
        <w:keepNext/>
        <w:rPr>
          <w:del w:id="546" w:author="AbbVie19" w:date="2025-04-16T10:35:00Z"/>
          <w:szCs w:val="20"/>
        </w:rPr>
      </w:pPr>
      <w:del w:id="547" w:author="AbbVie19" w:date="2025-04-16T10:35:00Z">
        <w:r w:rsidRPr="00BC0E7E">
          <w:rPr>
            <w:szCs w:val="20"/>
          </w:rPr>
          <w:delText>In the controlled portions of clinical trials of TNF-antagonists, more cases of malignancies including lymphoma have been observed among patients receiving a TNF-antagonist compared with control patients. However, the occurrence was rare. In the post marketing setting, cases of leukaemia have been reported in patients treated with a TNF-antagonist. There is an increased background risk for lymphoma and leukaemia in rheumatoid arthritis patients with long-standing, highly active, inflammatory disease, which complicates the risk estimation. With the current knowledge, a possible risk for the development of lymphomas, leukaemia, and other malignancies in patients treated with a TNF-antagonist cannot be excluded.</w:delText>
        </w:r>
      </w:del>
    </w:p>
    <w:p w14:paraId="5BAB0C44" w14:textId="77777777" w:rsidR="00BC0E7E" w:rsidRPr="00BC0E7E" w:rsidRDefault="00BC0E7E" w:rsidP="00BC0E7E">
      <w:pPr>
        <w:rPr>
          <w:del w:id="548" w:author="AbbVie19" w:date="2025-04-16T10:35:00Z"/>
          <w:szCs w:val="20"/>
        </w:rPr>
      </w:pPr>
    </w:p>
    <w:p w14:paraId="4C02687D" w14:textId="77777777" w:rsidR="00BC0E7E" w:rsidRPr="00BC0E7E" w:rsidRDefault="00944B8F" w:rsidP="00BC0E7E">
      <w:pPr>
        <w:rPr>
          <w:del w:id="549" w:author="AbbVie19" w:date="2025-04-16T10:35:00Z"/>
          <w:szCs w:val="20"/>
        </w:rPr>
      </w:pPr>
      <w:del w:id="550" w:author="AbbVie19" w:date="2025-04-16T10:35:00Z">
        <w:r w:rsidRPr="00BC0E7E">
          <w:rPr>
            <w:szCs w:val="20"/>
          </w:rPr>
          <w:delText xml:space="preserve">Malignancies, some fatal, have been reported among children, adolescents and young adults (up to 22 years of age) treated with TNF-antagonists (initiation of therapy ≤ 18 years of age), including adalimumab in the post marketing setting. Approximately half the cases were lymphomas. The other cases represented a variety of different malignancies and included rare malignancies usually associated with immunosuppression. A risk for the development of malignancies in children and adolescents treated with TNF-antagonists cannot be excluded. </w:delText>
        </w:r>
      </w:del>
    </w:p>
    <w:p w14:paraId="136F70CF" w14:textId="77777777" w:rsidR="00BC0E7E" w:rsidRPr="00BC0E7E" w:rsidRDefault="00BC0E7E" w:rsidP="00BC0E7E">
      <w:pPr>
        <w:rPr>
          <w:del w:id="551" w:author="AbbVie19" w:date="2025-04-16T10:35:00Z"/>
          <w:szCs w:val="20"/>
        </w:rPr>
      </w:pPr>
    </w:p>
    <w:p w14:paraId="3547702B" w14:textId="77777777" w:rsidR="00BC0E7E" w:rsidRPr="00BC0E7E" w:rsidRDefault="00944B8F" w:rsidP="00BC0E7E">
      <w:pPr>
        <w:rPr>
          <w:del w:id="552" w:author="AbbVie19" w:date="2025-04-16T10:35:00Z"/>
          <w:szCs w:val="20"/>
        </w:rPr>
      </w:pPr>
      <w:del w:id="553" w:author="AbbVie19" w:date="2025-04-16T10:35:00Z">
        <w:r w:rsidRPr="00BC0E7E">
          <w:rPr>
            <w:szCs w:val="20"/>
          </w:rPr>
          <w:delText>Rare postmarketing cases of hepatosplenic T-cell lymphoma have been identified in patients treated with adalimumab. This rare type of T-cell lymphoma has a very aggressive disease course and is usually fatal. Some of these hepatosplenic T-cell lymphomas with Humira have occurred in young adult patients on concomitant treatment with azathioprine or 6</w:delText>
        </w:r>
        <w:r w:rsidRPr="00BC0E7E">
          <w:rPr>
            <w:szCs w:val="20"/>
          </w:rPr>
          <w:noBreakHyphen/>
          <w:delText>mercaptopurine used for inflammatory bowel disease. The potential risk with the combination of azathioprine or 6</w:delText>
        </w:r>
        <w:r w:rsidRPr="00BC0E7E">
          <w:rPr>
            <w:szCs w:val="20"/>
          </w:rPr>
          <w:noBreakHyphen/>
          <w:delText>mercaptopurine and Humira should be carefully considered. A risk for the development of hepatosplenic T-cell lymphoma in patients treated with Humira cannot be excluded (see section 4.8).</w:delText>
        </w:r>
      </w:del>
    </w:p>
    <w:p w14:paraId="10A6F997" w14:textId="77777777" w:rsidR="00BC0E7E" w:rsidRPr="00BC0E7E" w:rsidRDefault="00BC0E7E" w:rsidP="00BC0E7E">
      <w:pPr>
        <w:rPr>
          <w:del w:id="554" w:author="AbbVie19" w:date="2025-04-16T10:35:00Z"/>
          <w:szCs w:val="20"/>
        </w:rPr>
      </w:pPr>
    </w:p>
    <w:p w14:paraId="70C1D2C5" w14:textId="77777777" w:rsidR="00BC0E7E" w:rsidRPr="00BC0E7E" w:rsidRDefault="00944B8F" w:rsidP="00BC0E7E">
      <w:pPr>
        <w:rPr>
          <w:del w:id="555" w:author="AbbVie19" w:date="2025-04-16T10:35:00Z"/>
        </w:rPr>
      </w:pPr>
      <w:del w:id="556" w:author="AbbVie19" w:date="2025-04-16T10:35:00Z">
        <w:r w:rsidRPr="00BC0E7E">
          <w:delText>No studies have been conducted that include patients with a history of malignancy or in whom treatment with Humira is continued following development of malignancy. Thus</w:delText>
        </w:r>
        <w:r w:rsidR="00C22BBE">
          <w:delText>,</w:delText>
        </w:r>
        <w:r w:rsidRPr="00BC0E7E">
          <w:delText xml:space="preserve"> additional caution should be exercised in considering Humira treatment of these patients (see section 4.8).</w:delText>
        </w:r>
      </w:del>
    </w:p>
    <w:p w14:paraId="56BFC341" w14:textId="77777777" w:rsidR="00BC0E7E" w:rsidRPr="00BC0E7E" w:rsidRDefault="00BC0E7E" w:rsidP="00BC0E7E">
      <w:pPr>
        <w:rPr>
          <w:del w:id="557" w:author="AbbVie19" w:date="2025-04-16T10:35:00Z"/>
        </w:rPr>
      </w:pPr>
    </w:p>
    <w:p w14:paraId="15B27FD7" w14:textId="77777777" w:rsidR="00BC0E7E" w:rsidRPr="00BC0E7E" w:rsidRDefault="00944B8F" w:rsidP="00BC0E7E">
      <w:pPr>
        <w:rPr>
          <w:del w:id="558" w:author="AbbVie19" w:date="2025-04-16T10:35:00Z"/>
        </w:rPr>
      </w:pPr>
      <w:del w:id="559" w:author="AbbVie19" w:date="2025-04-16T10:35:00Z">
        <w:r w:rsidRPr="00BC0E7E">
          <w:delText>All patients, and in particular patients with a medical history of extensive immunosuppressant therapy or psoriasis patients with a history of PUVA treatment should be examined for the presence of non-melanoma skin cancer prior to and during treatment with Humira. Melanoma and Merkel cell carcinoma have also been reported in patients treated with TNF-antagonists including adalimumab (see section 4.8).</w:delText>
        </w:r>
        <w:r w:rsidRPr="00BC0E7E">
          <w:br/>
        </w:r>
      </w:del>
    </w:p>
    <w:p w14:paraId="7BDF0BCE" w14:textId="77777777" w:rsidR="00BC0E7E" w:rsidRPr="00BC0E7E" w:rsidRDefault="00944B8F" w:rsidP="00BC0E7E">
      <w:pPr>
        <w:rPr>
          <w:del w:id="560" w:author="AbbVie19" w:date="2025-04-16T10:35:00Z"/>
        </w:rPr>
      </w:pPr>
      <w:del w:id="561" w:author="AbbVie19" w:date="2025-04-16T10:35:00Z">
        <w:r w:rsidRPr="00BC0E7E">
          <w:delText>In an exploratory clinical trial evaluating the use of another TNF-antagonist, infliximab, in patients with moderate to severe chronic obstructive pulmonary disease (COPD), more malignancies, mostly in the lung or head and neck, were reported in infliximab-treated patients compared with control patients. All patients had a history of heavy smoking. Therefore, caution should be exercised when using any TNF-antagonist in COPD patients, as well as in patients with increased risk for malignancy due to heavy smoking.</w:delText>
        </w:r>
      </w:del>
    </w:p>
    <w:p w14:paraId="36D4E096" w14:textId="77777777" w:rsidR="00BC0E7E" w:rsidRPr="00BC0E7E" w:rsidRDefault="00BC0E7E" w:rsidP="00BC0E7E">
      <w:pPr>
        <w:rPr>
          <w:del w:id="562" w:author="AbbVie19" w:date="2025-04-16T10:35:00Z"/>
        </w:rPr>
      </w:pPr>
    </w:p>
    <w:p w14:paraId="1FB8B2FC" w14:textId="77777777" w:rsidR="00BC0E7E" w:rsidRPr="00BC0E7E" w:rsidRDefault="00944B8F" w:rsidP="00BC0E7E">
      <w:pPr>
        <w:rPr>
          <w:del w:id="563" w:author="AbbVie19" w:date="2025-04-16T10:35:00Z"/>
          <w:iCs/>
          <w:szCs w:val="22"/>
        </w:rPr>
      </w:pPr>
      <w:del w:id="564" w:author="AbbVie19" w:date="2025-04-16T10:35:00Z">
        <w:r w:rsidRPr="00BC0E7E">
          <w:rPr>
            <w:iCs/>
            <w:szCs w:val="22"/>
          </w:rPr>
          <w:delText>With current data it is not known if adalimumab treatment influences the risk for developing dysplasia or colon cancer. All patients with ulcerative colitis who are at increased risk for dysplasia or colon carcinoma (for example, patients with long-standing ulcerative colitis or primary sclerosing cholangitis), or who had a prior history of dysplasia or colon carcinoma should be screened for dysplasia at regular intervals before therapy and throughout their disease course. This evaluation should include colonoscopy and biopsies per local recommendations.</w:delText>
        </w:r>
      </w:del>
    </w:p>
    <w:p w14:paraId="0BB734E2" w14:textId="77777777" w:rsidR="00BC0E7E" w:rsidRPr="00BC0E7E" w:rsidRDefault="00BC0E7E" w:rsidP="00BC0E7E">
      <w:pPr>
        <w:rPr>
          <w:del w:id="565" w:author="AbbVie19" w:date="2025-04-16T10:35:00Z"/>
        </w:rPr>
      </w:pPr>
    </w:p>
    <w:p w14:paraId="0E747295" w14:textId="77777777" w:rsidR="00BC0E7E" w:rsidRPr="00BC0E7E" w:rsidRDefault="00944B8F" w:rsidP="00BC0E7E">
      <w:pPr>
        <w:rPr>
          <w:del w:id="566" w:author="AbbVie19" w:date="2025-04-16T10:35:00Z"/>
          <w:u w:val="single"/>
        </w:rPr>
      </w:pPr>
      <w:del w:id="567" w:author="AbbVie19" w:date="2025-04-16T10:35:00Z">
        <w:r w:rsidRPr="00BC0E7E">
          <w:rPr>
            <w:u w:val="single"/>
          </w:rPr>
          <w:delText>Haematologic reactions</w:delText>
        </w:r>
      </w:del>
    </w:p>
    <w:p w14:paraId="245C859D" w14:textId="77777777" w:rsidR="00BC0E7E" w:rsidRPr="00BC0E7E" w:rsidRDefault="00BC0E7E" w:rsidP="00BC0E7E">
      <w:pPr>
        <w:rPr>
          <w:del w:id="568" w:author="AbbVie19" w:date="2025-04-16T10:35:00Z"/>
        </w:rPr>
      </w:pPr>
    </w:p>
    <w:p w14:paraId="0C7E9674" w14:textId="77777777" w:rsidR="00BC0E7E" w:rsidRPr="00BC0E7E" w:rsidRDefault="00944B8F" w:rsidP="00BC0E7E">
      <w:pPr>
        <w:rPr>
          <w:del w:id="569" w:author="AbbVie19" w:date="2025-04-16T10:35:00Z"/>
        </w:rPr>
      </w:pPr>
      <w:del w:id="570" w:author="AbbVie19" w:date="2025-04-16T10:35:00Z">
        <w:r w:rsidRPr="00BC0E7E">
          <w:delText>Rare reports of pancytopenia including aplastic anaemia have been reported with TNF-antagonists. Adverse events of the haematologic system, including medically significant cytopenia (e.g. thrombocytopenia, leukopenia) have been reported with Humira. All patients should be advised to seek immediate medical attention if they develop signs and symptoms suggestive of blood dyscrasias (e.g. persistent fever, bruising, bleeding, pallor) while on Humira. Discontinuation of Humira therapy should be considered in patients with confirmed significant haematologic abnormalities.</w:delText>
        </w:r>
      </w:del>
    </w:p>
    <w:p w14:paraId="6F5E9F61" w14:textId="77777777" w:rsidR="00BC0E7E" w:rsidRPr="00BC0E7E" w:rsidRDefault="00BC0E7E" w:rsidP="00BC0E7E">
      <w:pPr>
        <w:rPr>
          <w:del w:id="571" w:author="AbbVie19" w:date="2025-04-16T10:35:00Z"/>
        </w:rPr>
      </w:pPr>
    </w:p>
    <w:p w14:paraId="1C1531C5" w14:textId="77777777" w:rsidR="00BC0E7E" w:rsidRPr="00BC0E7E" w:rsidRDefault="00944B8F" w:rsidP="00BC0E7E">
      <w:pPr>
        <w:keepNext/>
        <w:rPr>
          <w:del w:id="572" w:author="AbbVie19" w:date="2025-04-16T10:35:00Z"/>
          <w:u w:val="single"/>
        </w:rPr>
      </w:pPr>
      <w:del w:id="573" w:author="AbbVie19" w:date="2025-04-16T10:35:00Z">
        <w:r w:rsidRPr="00BC0E7E">
          <w:rPr>
            <w:u w:val="single"/>
          </w:rPr>
          <w:delText>Vaccinations</w:delText>
        </w:r>
      </w:del>
    </w:p>
    <w:p w14:paraId="74230AD6" w14:textId="77777777" w:rsidR="00BC0E7E" w:rsidRPr="00BC0E7E" w:rsidRDefault="00BC0E7E" w:rsidP="00BC0E7E">
      <w:pPr>
        <w:keepNext/>
        <w:rPr>
          <w:del w:id="574" w:author="AbbVie19" w:date="2025-04-16T10:35:00Z"/>
          <w:szCs w:val="20"/>
        </w:rPr>
      </w:pPr>
    </w:p>
    <w:p w14:paraId="7F639D63" w14:textId="77777777" w:rsidR="00BC0E7E" w:rsidRPr="00BC0E7E" w:rsidRDefault="00944B8F" w:rsidP="00BC0E7E">
      <w:pPr>
        <w:keepNext/>
        <w:autoSpaceDE w:val="0"/>
        <w:autoSpaceDN w:val="0"/>
        <w:adjustRightInd w:val="0"/>
        <w:rPr>
          <w:del w:id="575" w:author="AbbVie19" w:date="2025-04-16T10:35:00Z"/>
        </w:rPr>
      </w:pPr>
      <w:del w:id="576" w:author="AbbVie19" w:date="2025-04-16T10:35:00Z">
        <w:r w:rsidRPr="00BC0E7E">
          <w:delText xml:space="preserve">Similar antibody responses to the standard 23-valent pneumococcal vaccine and the influenza trivalent virus vaccination were observed in a study in 226 adult subjects with rheumatoid arthritis who were treated with adalimumab or placebo. No data are available on the secondary transmission of infection by live vaccines in patients receiving Humira.  </w:delText>
        </w:r>
      </w:del>
    </w:p>
    <w:p w14:paraId="2B99E3AA" w14:textId="77777777" w:rsidR="00BC0E7E" w:rsidRPr="00BC0E7E" w:rsidRDefault="00BC0E7E" w:rsidP="00BC0E7E">
      <w:pPr>
        <w:autoSpaceDE w:val="0"/>
        <w:autoSpaceDN w:val="0"/>
        <w:adjustRightInd w:val="0"/>
        <w:rPr>
          <w:del w:id="577" w:author="AbbVie19" w:date="2025-04-16T10:35:00Z"/>
        </w:rPr>
      </w:pPr>
    </w:p>
    <w:p w14:paraId="49BFBE9C" w14:textId="77777777" w:rsidR="00BC0E7E" w:rsidRPr="00BC0E7E" w:rsidRDefault="00944B8F" w:rsidP="00BC0E7E">
      <w:pPr>
        <w:autoSpaceDE w:val="0"/>
        <w:autoSpaceDN w:val="0"/>
        <w:adjustRightInd w:val="0"/>
        <w:rPr>
          <w:del w:id="578" w:author="AbbVie19" w:date="2025-04-16T10:35:00Z"/>
        </w:rPr>
      </w:pPr>
      <w:del w:id="579" w:author="AbbVie19" w:date="2025-04-16T10:35:00Z">
        <w:r w:rsidRPr="00BC0E7E">
          <w:delText>It is recommended that paediatric patients, if possible, be brought up to date with all immunisations in agreement with current immunisation guidelines prior to initiating Humira therapy.</w:delText>
        </w:r>
      </w:del>
    </w:p>
    <w:p w14:paraId="5C0035F2" w14:textId="77777777" w:rsidR="00BC0E7E" w:rsidRPr="00BC0E7E" w:rsidRDefault="00BC0E7E" w:rsidP="00BC0E7E">
      <w:pPr>
        <w:autoSpaceDE w:val="0"/>
        <w:autoSpaceDN w:val="0"/>
        <w:adjustRightInd w:val="0"/>
        <w:rPr>
          <w:del w:id="580" w:author="AbbVie19" w:date="2025-04-16T10:35:00Z"/>
        </w:rPr>
      </w:pPr>
    </w:p>
    <w:p w14:paraId="0F226580" w14:textId="77777777" w:rsidR="00BC0E7E" w:rsidRPr="00BC0E7E" w:rsidRDefault="00944B8F" w:rsidP="00BC0E7E">
      <w:pPr>
        <w:autoSpaceDE w:val="0"/>
        <w:autoSpaceDN w:val="0"/>
        <w:adjustRightInd w:val="0"/>
        <w:rPr>
          <w:del w:id="581" w:author="AbbVie19" w:date="2025-04-16T10:35:00Z"/>
        </w:rPr>
      </w:pPr>
      <w:del w:id="582" w:author="AbbVie19" w:date="2025-04-16T10:35:00Z">
        <w:r w:rsidRPr="00BC0E7E">
          <w:delText xml:space="preserve">Patients on Humira may receive concurrent vaccinations, except for live vaccines. Administration of live vaccines </w:delText>
        </w:r>
        <w:r w:rsidR="00640F0C" w:rsidRPr="00A36F67">
          <w:rPr>
            <w:szCs w:val="22"/>
          </w:rPr>
          <w:delText>(e.g., BCG vaccine)</w:delText>
        </w:r>
        <w:r w:rsidR="00640F0C">
          <w:rPr>
            <w:szCs w:val="22"/>
          </w:rPr>
          <w:delText xml:space="preserve"> </w:delText>
        </w:r>
        <w:r w:rsidRPr="00BC0E7E">
          <w:delText>to infants exposed to adalimumab in utero is not recommended for 5 months following the mother’s last adalimumab injection during pregnancy.</w:delText>
        </w:r>
      </w:del>
    </w:p>
    <w:p w14:paraId="359C9826" w14:textId="77777777" w:rsidR="00BC0E7E" w:rsidRPr="00BC0E7E" w:rsidRDefault="00BC0E7E" w:rsidP="00BC0E7E">
      <w:pPr>
        <w:autoSpaceDE w:val="0"/>
        <w:autoSpaceDN w:val="0"/>
        <w:adjustRightInd w:val="0"/>
        <w:rPr>
          <w:del w:id="583" w:author="AbbVie19" w:date="2025-04-16T10:35:00Z"/>
        </w:rPr>
      </w:pPr>
    </w:p>
    <w:p w14:paraId="5385A991" w14:textId="77777777" w:rsidR="00BC0E7E" w:rsidRPr="00BC0E7E" w:rsidRDefault="00944B8F" w:rsidP="00BC0E7E">
      <w:pPr>
        <w:rPr>
          <w:del w:id="584" w:author="AbbVie19" w:date="2025-04-16T10:35:00Z"/>
          <w:szCs w:val="20"/>
          <w:u w:val="single"/>
        </w:rPr>
      </w:pPr>
      <w:del w:id="585" w:author="AbbVie19" w:date="2025-04-16T10:35:00Z">
        <w:r w:rsidRPr="00BC0E7E">
          <w:rPr>
            <w:szCs w:val="20"/>
            <w:u w:val="single"/>
          </w:rPr>
          <w:delText>Congestive heart failure</w:delText>
        </w:r>
      </w:del>
    </w:p>
    <w:p w14:paraId="49C70F9E" w14:textId="77777777" w:rsidR="00BC0E7E" w:rsidRPr="00BC0E7E" w:rsidRDefault="00BC0E7E" w:rsidP="00BC0E7E">
      <w:pPr>
        <w:rPr>
          <w:del w:id="586" w:author="AbbVie19" w:date="2025-04-16T10:35:00Z"/>
          <w:szCs w:val="20"/>
        </w:rPr>
      </w:pPr>
    </w:p>
    <w:p w14:paraId="74AF0879" w14:textId="77777777" w:rsidR="00BC0E7E" w:rsidRPr="00BC0E7E" w:rsidRDefault="00944B8F" w:rsidP="00BC0E7E">
      <w:pPr>
        <w:rPr>
          <w:del w:id="587" w:author="AbbVie19" w:date="2025-04-16T10:35:00Z"/>
          <w:szCs w:val="20"/>
        </w:rPr>
      </w:pPr>
      <w:del w:id="588" w:author="AbbVie19" w:date="2025-04-16T10:35:00Z">
        <w:r w:rsidRPr="00BC0E7E">
          <w:rPr>
            <w:szCs w:val="20"/>
          </w:rPr>
          <w:delText>In a clinical trial with another TNF-antagonist worsening congestive heart failure and increased mortality due to congestive heart failure have been observed. Cases of worsening congestive heart failure have also been reported in patients receiving Humira. Humira should be used with caution in patients with mild heart failure (NYHA class I/II). Humira is contraindicated in moderate to severe heart failure (see section 4.3). Treatment with Humira must be discontinued in patients who develop new or worsening symptoms of congestive heart failure.</w:delText>
        </w:r>
      </w:del>
    </w:p>
    <w:p w14:paraId="79E4EF42" w14:textId="77777777" w:rsidR="00BC0E7E" w:rsidRPr="00BC0E7E" w:rsidRDefault="00BC0E7E" w:rsidP="00BC0E7E">
      <w:pPr>
        <w:rPr>
          <w:del w:id="589" w:author="AbbVie19" w:date="2025-04-16T10:35:00Z"/>
          <w:i/>
          <w:iCs/>
          <w:szCs w:val="20"/>
        </w:rPr>
      </w:pPr>
    </w:p>
    <w:p w14:paraId="5EBBA6FE" w14:textId="77777777" w:rsidR="00BC0E7E" w:rsidRPr="00BC0E7E" w:rsidRDefault="00944B8F" w:rsidP="003F5ADF">
      <w:pPr>
        <w:keepNext/>
        <w:rPr>
          <w:del w:id="590" w:author="AbbVie19" w:date="2025-04-16T10:35:00Z"/>
          <w:szCs w:val="20"/>
          <w:u w:val="single"/>
        </w:rPr>
      </w:pPr>
      <w:del w:id="591" w:author="AbbVie19" w:date="2025-04-16T10:35:00Z">
        <w:r w:rsidRPr="00BC0E7E">
          <w:rPr>
            <w:szCs w:val="20"/>
            <w:u w:val="single"/>
          </w:rPr>
          <w:lastRenderedPageBreak/>
          <w:delText>Autoimmune processes</w:delText>
        </w:r>
      </w:del>
    </w:p>
    <w:p w14:paraId="60024D64" w14:textId="77777777" w:rsidR="00BC0E7E" w:rsidRPr="00BC0E7E" w:rsidRDefault="00BC0E7E" w:rsidP="003F5ADF">
      <w:pPr>
        <w:keepNext/>
        <w:rPr>
          <w:del w:id="592" w:author="AbbVie19" w:date="2025-04-16T10:35:00Z"/>
          <w:szCs w:val="20"/>
        </w:rPr>
      </w:pPr>
    </w:p>
    <w:p w14:paraId="535FDD7A" w14:textId="77777777" w:rsidR="00BC0E7E" w:rsidRPr="00BC0E7E" w:rsidRDefault="00944B8F" w:rsidP="003F5ADF">
      <w:pPr>
        <w:keepNext/>
        <w:rPr>
          <w:del w:id="593" w:author="AbbVie19" w:date="2025-04-16T10:35:00Z"/>
          <w:szCs w:val="22"/>
        </w:rPr>
      </w:pPr>
      <w:del w:id="594" w:author="AbbVie19" w:date="2025-04-16T10:35:00Z">
        <w:r w:rsidRPr="00BC0E7E">
          <w:delText xml:space="preserve">Treatment with Humira may result in the formation of autoimmune antibodies. The impact of long-term treatment with Humira on the development of autoimmune diseases is unknown. </w:delText>
        </w:r>
        <w:r w:rsidRPr="00BC0E7E">
          <w:rPr>
            <w:szCs w:val="22"/>
          </w:rPr>
          <w:delText>If a patient develops symptoms suggestive of a lupus-like syndrome following treatment with Humira and is positive for antibodies against double-stranded DNA, further treatment with Humira should not be given (see section 4.8).</w:delText>
        </w:r>
      </w:del>
    </w:p>
    <w:p w14:paraId="1FC07D98" w14:textId="77777777" w:rsidR="00BC0E7E" w:rsidRPr="00BC0E7E" w:rsidRDefault="00BC0E7E" w:rsidP="00BC0E7E">
      <w:pPr>
        <w:rPr>
          <w:del w:id="595" w:author="AbbVie19" w:date="2025-04-16T10:35:00Z"/>
        </w:rPr>
      </w:pPr>
    </w:p>
    <w:p w14:paraId="369EF5C1" w14:textId="77777777" w:rsidR="00BC0E7E" w:rsidRPr="00BC0E7E" w:rsidRDefault="00944B8F" w:rsidP="009072FC">
      <w:pPr>
        <w:keepNext/>
        <w:rPr>
          <w:del w:id="596" w:author="AbbVie19" w:date="2025-04-16T10:35:00Z"/>
          <w:szCs w:val="20"/>
          <w:u w:val="single"/>
        </w:rPr>
      </w:pPr>
      <w:del w:id="597" w:author="AbbVie19" w:date="2025-04-16T10:35:00Z">
        <w:r w:rsidRPr="00BC0E7E">
          <w:rPr>
            <w:szCs w:val="20"/>
            <w:u w:val="single"/>
          </w:rPr>
          <w:delText>Concurrent administration of biologic DMARDS or TNF-antagonists</w:delText>
        </w:r>
      </w:del>
    </w:p>
    <w:p w14:paraId="0B46B62C" w14:textId="77777777" w:rsidR="00BC0E7E" w:rsidRPr="00BC0E7E" w:rsidRDefault="00BC0E7E" w:rsidP="009072FC">
      <w:pPr>
        <w:keepNext/>
        <w:rPr>
          <w:del w:id="598" w:author="AbbVie19" w:date="2025-04-16T10:35:00Z"/>
          <w:szCs w:val="20"/>
        </w:rPr>
      </w:pPr>
    </w:p>
    <w:p w14:paraId="32C76D48" w14:textId="77777777" w:rsidR="00BC0E7E" w:rsidRPr="00BC0E7E" w:rsidRDefault="00944B8F" w:rsidP="009072FC">
      <w:pPr>
        <w:keepNext/>
        <w:rPr>
          <w:del w:id="599" w:author="AbbVie19" w:date="2025-04-16T10:35:00Z"/>
          <w:szCs w:val="20"/>
        </w:rPr>
      </w:pPr>
      <w:del w:id="600" w:author="AbbVie19" w:date="2025-04-16T10:35:00Z">
        <w:r w:rsidRPr="00BC0E7E">
          <w:rPr>
            <w:szCs w:val="20"/>
          </w:rPr>
          <w:delText>Serious infections were seen in clinical studies with concurrent use of anakinra and another TNF</w:delText>
        </w:r>
        <w:r w:rsidRPr="00BC0E7E">
          <w:rPr>
            <w:szCs w:val="20"/>
          </w:rPr>
          <w:noBreakHyphen/>
          <w:delText>antagonist, etanercept, with no added clinical benefit compared to etanercept alone. Because of the nature of the adverse events seen with the combination of etanercept and anakinra therapy, similar toxicities may also result from the combination of anakinra and other TNF-antagonists. Therefore, the combination of adalimumab and anakinra is not recommended. (See section 4.5).</w:delText>
        </w:r>
      </w:del>
    </w:p>
    <w:p w14:paraId="27B83EF2" w14:textId="77777777" w:rsidR="00BC0E7E" w:rsidRPr="00BC0E7E" w:rsidRDefault="00BC0E7E" w:rsidP="00BC0E7E">
      <w:pPr>
        <w:rPr>
          <w:del w:id="601" w:author="AbbVie19" w:date="2025-04-16T10:35:00Z"/>
          <w:szCs w:val="20"/>
        </w:rPr>
      </w:pPr>
    </w:p>
    <w:p w14:paraId="625390F2" w14:textId="77777777" w:rsidR="00BC0E7E" w:rsidRPr="00BC0E7E" w:rsidRDefault="00944B8F" w:rsidP="00BC0E7E">
      <w:pPr>
        <w:rPr>
          <w:del w:id="602" w:author="AbbVie19" w:date="2025-04-16T10:35:00Z"/>
          <w:szCs w:val="20"/>
        </w:rPr>
      </w:pPr>
      <w:del w:id="603" w:author="AbbVie19" w:date="2025-04-16T10:35:00Z">
        <w:r w:rsidRPr="00BC0E7E">
          <w:rPr>
            <w:szCs w:val="20"/>
          </w:rPr>
          <w:delText>Concomitant administration of adalimumab with other biologic DMARDS (e.g, anakinra and abatacept) or other TNF-antagonists is not recommended based upon the possible increased risk for infections, including serious infections and other potential pharmacological interactions. (See section 4.5).</w:delText>
        </w:r>
      </w:del>
    </w:p>
    <w:p w14:paraId="3AEC753F" w14:textId="77777777" w:rsidR="00BC0E7E" w:rsidRPr="00BC0E7E" w:rsidRDefault="00BC0E7E" w:rsidP="00BC0E7E">
      <w:pPr>
        <w:rPr>
          <w:del w:id="604" w:author="AbbVie19" w:date="2025-04-16T10:35:00Z"/>
          <w:szCs w:val="20"/>
        </w:rPr>
      </w:pPr>
    </w:p>
    <w:p w14:paraId="1C5AC9DB" w14:textId="77777777" w:rsidR="00BC0E7E" w:rsidRPr="00BC0E7E" w:rsidRDefault="00944B8F" w:rsidP="00BC0E7E">
      <w:pPr>
        <w:keepNext/>
        <w:rPr>
          <w:del w:id="605" w:author="AbbVie19" w:date="2025-04-16T10:35:00Z"/>
          <w:szCs w:val="20"/>
          <w:u w:val="single"/>
        </w:rPr>
      </w:pPr>
      <w:del w:id="606" w:author="AbbVie19" w:date="2025-04-16T10:35:00Z">
        <w:r w:rsidRPr="00BC0E7E">
          <w:rPr>
            <w:szCs w:val="20"/>
            <w:u w:val="single"/>
          </w:rPr>
          <w:delText>Surgery</w:delText>
        </w:r>
      </w:del>
    </w:p>
    <w:p w14:paraId="61FE9379" w14:textId="77777777" w:rsidR="00BC0E7E" w:rsidRPr="00BC0E7E" w:rsidRDefault="00BC0E7E" w:rsidP="00BC0E7E">
      <w:pPr>
        <w:keepNext/>
        <w:rPr>
          <w:del w:id="607" w:author="AbbVie19" w:date="2025-04-16T10:35:00Z"/>
          <w:szCs w:val="20"/>
        </w:rPr>
      </w:pPr>
    </w:p>
    <w:p w14:paraId="7E6C7CA5" w14:textId="77777777" w:rsidR="00BC0E7E" w:rsidRPr="00BC0E7E" w:rsidRDefault="00944B8F" w:rsidP="00BC0E7E">
      <w:pPr>
        <w:keepNext/>
        <w:tabs>
          <w:tab w:val="clear" w:pos="562"/>
        </w:tabs>
        <w:rPr>
          <w:del w:id="608" w:author="AbbVie19" w:date="2025-04-16T10:35:00Z"/>
        </w:rPr>
      </w:pPr>
      <w:del w:id="609" w:author="AbbVie19" w:date="2025-04-16T10:35:00Z">
        <w:r w:rsidRPr="00BC0E7E">
          <w:delText xml:space="preserve">There is limited safety experience of surgical procedures in patients treated with Humira. The long half-life of adalimumab should be taken into consideration if a surgical procedure is planned. A patient who requires surgery while on Humira should be closely monitored for infections, and appropriate actions should be taken. There is limited safety experience in patients undergoing arthroplasty while receiving Humira. </w:delText>
        </w:r>
      </w:del>
    </w:p>
    <w:p w14:paraId="22F6B12A" w14:textId="77777777" w:rsidR="00BC0E7E" w:rsidRPr="00BC0E7E" w:rsidRDefault="00BC0E7E" w:rsidP="00BC0E7E">
      <w:pPr>
        <w:tabs>
          <w:tab w:val="clear" w:pos="562"/>
        </w:tabs>
        <w:rPr>
          <w:del w:id="610" w:author="AbbVie19" w:date="2025-04-16T10:35:00Z"/>
        </w:rPr>
      </w:pPr>
    </w:p>
    <w:p w14:paraId="6CF76F66" w14:textId="77777777" w:rsidR="00BC0E7E" w:rsidRPr="00BC0E7E" w:rsidRDefault="00944B8F" w:rsidP="00BC0E7E">
      <w:pPr>
        <w:keepNext/>
        <w:tabs>
          <w:tab w:val="clear" w:pos="562"/>
        </w:tabs>
        <w:rPr>
          <w:del w:id="611" w:author="AbbVie19" w:date="2025-04-16T10:35:00Z"/>
          <w:u w:val="single"/>
        </w:rPr>
      </w:pPr>
      <w:del w:id="612" w:author="AbbVie19" w:date="2025-04-16T10:35:00Z">
        <w:r w:rsidRPr="00BC0E7E">
          <w:rPr>
            <w:u w:val="single"/>
          </w:rPr>
          <w:delText>Small bowel obstruction</w:delText>
        </w:r>
      </w:del>
    </w:p>
    <w:p w14:paraId="6B797F68" w14:textId="77777777" w:rsidR="00BC0E7E" w:rsidRPr="00BC0E7E" w:rsidRDefault="00BC0E7E" w:rsidP="00BC0E7E">
      <w:pPr>
        <w:keepNext/>
        <w:tabs>
          <w:tab w:val="clear" w:pos="562"/>
        </w:tabs>
        <w:rPr>
          <w:del w:id="613" w:author="AbbVie19" w:date="2025-04-16T10:35:00Z"/>
        </w:rPr>
      </w:pPr>
    </w:p>
    <w:p w14:paraId="2F19B397" w14:textId="77777777" w:rsidR="00BC0E7E" w:rsidRPr="00BC0E7E" w:rsidRDefault="00944B8F" w:rsidP="00BC0E7E">
      <w:pPr>
        <w:keepNext/>
        <w:tabs>
          <w:tab w:val="clear" w:pos="562"/>
        </w:tabs>
        <w:rPr>
          <w:del w:id="614" w:author="AbbVie19" w:date="2025-04-16T10:35:00Z"/>
        </w:rPr>
      </w:pPr>
      <w:del w:id="615" w:author="AbbVie19" w:date="2025-04-16T10:35:00Z">
        <w:r w:rsidRPr="00BC0E7E">
          <w:delText>Failure to respond to treatment for Crohn’s disease may indicate the presence of fixed fibrotic stricture that may require surgical treatment. Available data suggest that Humira does not worsen or cause strictures.</w:delText>
        </w:r>
      </w:del>
    </w:p>
    <w:p w14:paraId="080B769C" w14:textId="77777777" w:rsidR="00BC0E7E" w:rsidRPr="00BC0E7E" w:rsidRDefault="00BC0E7E" w:rsidP="00BC0E7E">
      <w:pPr>
        <w:keepNext/>
        <w:tabs>
          <w:tab w:val="clear" w:pos="562"/>
        </w:tabs>
        <w:rPr>
          <w:del w:id="616" w:author="AbbVie19" w:date="2025-04-16T10:35:00Z"/>
        </w:rPr>
      </w:pPr>
    </w:p>
    <w:p w14:paraId="3AD1EE7A" w14:textId="77777777" w:rsidR="00BC0E7E" w:rsidRPr="00BC0E7E" w:rsidRDefault="00944B8F" w:rsidP="00BC0E7E">
      <w:pPr>
        <w:keepNext/>
        <w:tabs>
          <w:tab w:val="clear" w:pos="562"/>
        </w:tabs>
        <w:rPr>
          <w:del w:id="617" w:author="AbbVie19" w:date="2025-04-16T10:35:00Z"/>
          <w:u w:val="single"/>
        </w:rPr>
      </w:pPr>
      <w:del w:id="618" w:author="AbbVie19" w:date="2025-04-16T10:35:00Z">
        <w:r w:rsidRPr="00BC0E7E">
          <w:rPr>
            <w:u w:val="single"/>
          </w:rPr>
          <w:delText>Elderly</w:delText>
        </w:r>
      </w:del>
    </w:p>
    <w:p w14:paraId="22B693D1" w14:textId="77777777" w:rsidR="00BC0E7E" w:rsidRPr="00BC0E7E" w:rsidRDefault="00BC0E7E" w:rsidP="00BC0E7E">
      <w:pPr>
        <w:keepNext/>
        <w:tabs>
          <w:tab w:val="clear" w:pos="562"/>
        </w:tabs>
        <w:rPr>
          <w:del w:id="619" w:author="AbbVie19" w:date="2025-04-16T10:35:00Z"/>
        </w:rPr>
      </w:pPr>
    </w:p>
    <w:p w14:paraId="51517611" w14:textId="77777777" w:rsidR="00BC0E7E" w:rsidRPr="00BC0E7E" w:rsidRDefault="00944B8F" w:rsidP="00BC0E7E">
      <w:pPr>
        <w:tabs>
          <w:tab w:val="clear" w:pos="562"/>
        </w:tabs>
        <w:rPr>
          <w:del w:id="620" w:author="AbbVie19" w:date="2025-04-16T10:35:00Z"/>
        </w:rPr>
      </w:pPr>
      <w:del w:id="621" w:author="AbbVie19" w:date="2025-04-16T10:35:00Z">
        <w:r w:rsidRPr="00BC0E7E">
          <w:delText>The frequency of serious infections among Humira treated subjects over 65 years of age (3.7%) was higher than for those under 65 years of age (1.5%). Some of those had a fatal outcome. Particular attention regarding the risk for infection should be paid when treating the elderly.</w:delText>
        </w:r>
      </w:del>
    </w:p>
    <w:p w14:paraId="3D2B4C68" w14:textId="77777777" w:rsidR="00BC0E7E" w:rsidRPr="00BC0E7E" w:rsidRDefault="00BC0E7E" w:rsidP="00BC0E7E">
      <w:pPr>
        <w:tabs>
          <w:tab w:val="clear" w:pos="562"/>
        </w:tabs>
        <w:rPr>
          <w:del w:id="622" w:author="AbbVie19" w:date="2025-04-16T10:35:00Z"/>
        </w:rPr>
      </w:pPr>
    </w:p>
    <w:p w14:paraId="411F10A4" w14:textId="77777777" w:rsidR="00BC0E7E" w:rsidRPr="00BC0E7E" w:rsidRDefault="00944B8F" w:rsidP="00BC0E7E">
      <w:pPr>
        <w:tabs>
          <w:tab w:val="clear" w:pos="562"/>
        </w:tabs>
        <w:rPr>
          <w:del w:id="623" w:author="AbbVie19" w:date="2025-04-16T10:35:00Z"/>
          <w:u w:val="single"/>
        </w:rPr>
      </w:pPr>
      <w:del w:id="624" w:author="AbbVie19" w:date="2025-04-16T10:35:00Z">
        <w:r w:rsidRPr="00BC0E7E">
          <w:rPr>
            <w:u w:val="single"/>
          </w:rPr>
          <w:delText>Paediatric population</w:delText>
        </w:r>
      </w:del>
    </w:p>
    <w:p w14:paraId="5FCE3BC4" w14:textId="77777777" w:rsidR="00BC0E7E" w:rsidRPr="00BC0E7E" w:rsidRDefault="00BC0E7E" w:rsidP="00BC0E7E">
      <w:pPr>
        <w:tabs>
          <w:tab w:val="clear" w:pos="562"/>
        </w:tabs>
        <w:rPr>
          <w:del w:id="625" w:author="AbbVie19" w:date="2025-04-16T10:35:00Z"/>
          <w:u w:val="single"/>
        </w:rPr>
      </w:pPr>
    </w:p>
    <w:p w14:paraId="05D7C664" w14:textId="77777777" w:rsidR="00BC0E7E" w:rsidRDefault="00944B8F" w:rsidP="00BC0E7E">
      <w:pPr>
        <w:tabs>
          <w:tab w:val="clear" w:pos="562"/>
        </w:tabs>
        <w:rPr>
          <w:del w:id="626" w:author="AbbVie19" w:date="2025-04-16T10:35:00Z"/>
        </w:rPr>
      </w:pPr>
      <w:del w:id="627" w:author="AbbVie19" w:date="2025-04-16T10:35:00Z">
        <w:r w:rsidRPr="00BC0E7E">
          <w:delText>See Vaccinations above.</w:delText>
        </w:r>
      </w:del>
    </w:p>
    <w:p w14:paraId="41E2AB4B" w14:textId="77777777" w:rsidR="006A589F" w:rsidRDefault="006A589F" w:rsidP="00BC0E7E">
      <w:pPr>
        <w:tabs>
          <w:tab w:val="clear" w:pos="562"/>
        </w:tabs>
        <w:rPr>
          <w:del w:id="628" w:author="AbbVie19" w:date="2025-04-16T10:35:00Z"/>
        </w:rPr>
      </w:pPr>
    </w:p>
    <w:p w14:paraId="2FD2223B" w14:textId="77777777" w:rsidR="006A589F" w:rsidRPr="006A589F" w:rsidRDefault="00944B8F" w:rsidP="00BC0E7E">
      <w:pPr>
        <w:tabs>
          <w:tab w:val="clear" w:pos="562"/>
        </w:tabs>
        <w:rPr>
          <w:del w:id="629" w:author="AbbVie19" w:date="2025-04-16T10:35:00Z"/>
          <w:u w:val="single"/>
        </w:rPr>
      </w:pPr>
      <w:del w:id="630" w:author="AbbVie19" w:date="2025-04-16T10:35:00Z">
        <w:r w:rsidRPr="006A589F">
          <w:rPr>
            <w:u w:val="single"/>
          </w:rPr>
          <w:delText>Excipients</w:delText>
        </w:r>
        <w:r w:rsidR="009043B2">
          <w:rPr>
            <w:u w:val="single"/>
          </w:rPr>
          <w:delText xml:space="preserve"> with known effects</w:delText>
        </w:r>
      </w:del>
    </w:p>
    <w:p w14:paraId="2B77FDF0" w14:textId="77777777" w:rsidR="006A589F" w:rsidRDefault="006A589F" w:rsidP="006A589F">
      <w:pPr>
        <w:autoSpaceDE w:val="0"/>
        <w:autoSpaceDN w:val="0"/>
        <w:adjustRightInd w:val="0"/>
        <w:rPr>
          <w:del w:id="631" w:author="AbbVie19" w:date="2025-04-16T10:35:00Z"/>
          <w:szCs w:val="22"/>
        </w:rPr>
      </w:pPr>
    </w:p>
    <w:p w14:paraId="3555A51F" w14:textId="77777777" w:rsidR="006A589F" w:rsidRDefault="00944B8F" w:rsidP="006A589F">
      <w:pPr>
        <w:autoSpaceDE w:val="0"/>
        <w:autoSpaceDN w:val="0"/>
        <w:adjustRightInd w:val="0"/>
        <w:rPr>
          <w:del w:id="632" w:author="AbbVie19" w:date="2025-04-16T10:35:00Z"/>
          <w:szCs w:val="22"/>
        </w:rPr>
      </w:pPr>
      <w:del w:id="633" w:author="AbbVie19" w:date="2025-04-16T10:35:00Z">
        <w:r w:rsidRPr="004D066E">
          <w:rPr>
            <w:szCs w:val="22"/>
          </w:rPr>
          <w:delText>This medicinal product contains less than 1</w:delText>
        </w:r>
        <w:r w:rsidR="003E2F23">
          <w:rPr>
            <w:szCs w:val="22"/>
          </w:rPr>
          <w:delText> </w:delText>
        </w:r>
        <w:r w:rsidRPr="004D066E">
          <w:rPr>
            <w:szCs w:val="22"/>
          </w:rPr>
          <w:delText>mmol of sodium (23</w:delText>
        </w:r>
        <w:r w:rsidR="003E2F23">
          <w:rPr>
            <w:szCs w:val="22"/>
          </w:rPr>
          <w:delText> </w:delText>
        </w:r>
        <w:r w:rsidRPr="004D066E">
          <w:rPr>
            <w:szCs w:val="22"/>
          </w:rPr>
          <w:delText>mg) per 0.8</w:delText>
        </w:r>
        <w:r w:rsidR="003E2F23">
          <w:rPr>
            <w:szCs w:val="22"/>
          </w:rPr>
          <w:delText> </w:delText>
        </w:r>
        <w:r w:rsidRPr="004D066E">
          <w:rPr>
            <w:szCs w:val="22"/>
          </w:rPr>
          <w:delText>ml dose, i.e. essentially ‘sodium-free’</w:delText>
        </w:r>
        <w:r w:rsidRPr="002A3533">
          <w:rPr>
            <w:szCs w:val="22"/>
          </w:rPr>
          <w:delText>.</w:delText>
        </w:r>
      </w:del>
    </w:p>
    <w:p w14:paraId="31AC744C" w14:textId="77777777" w:rsidR="006A589F" w:rsidRPr="00BC0E7E" w:rsidRDefault="006A589F" w:rsidP="00BC0E7E">
      <w:pPr>
        <w:tabs>
          <w:tab w:val="clear" w:pos="562"/>
        </w:tabs>
        <w:rPr>
          <w:del w:id="634" w:author="AbbVie19" w:date="2025-04-16T10:35:00Z"/>
        </w:rPr>
      </w:pPr>
    </w:p>
    <w:p w14:paraId="3FF65FE0" w14:textId="77777777" w:rsidR="00BC0E7E" w:rsidRPr="00BC0E7E" w:rsidRDefault="00944B8F" w:rsidP="00BC0E7E">
      <w:pPr>
        <w:tabs>
          <w:tab w:val="clear" w:pos="562"/>
        </w:tabs>
        <w:rPr>
          <w:del w:id="635" w:author="AbbVie19" w:date="2025-04-16T10:35:00Z"/>
          <w:b/>
        </w:rPr>
      </w:pPr>
      <w:del w:id="636" w:author="AbbVie19" w:date="2025-04-16T10:35:00Z">
        <w:r w:rsidRPr="00BC0E7E">
          <w:rPr>
            <w:b/>
          </w:rPr>
          <w:delText>4.5</w:delText>
        </w:r>
        <w:r w:rsidRPr="00BC0E7E">
          <w:rPr>
            <w:b/>
          </w:rPr>
          <w:tab/>
          <w:delText xml:space="preserve">Interaction with other medicinal products and other forms of interaction </w:delText>
        </w:r>
      </w:del>
    </w:p>
    <w:p w14:paraId="69C8ED2A" w14:textId="77777777" w:rsidR="00BC0E7E" w:rsidRPr="003F7AAE" w:rsidRDefault="00BC0E7E" w:rsidP="00BC0E7E">
      <w:pPr>
        <w:tabs>
          <w:tab w:val="clear" w:pos="562"/>
        </w:tabs>
        <w:rPr>
          <w:del w:id="637" w:author="AbbVie19" w:date="2025-04-16T10:35:00Z"/>
        </w:rPr>
      </w:pPr>
    </w:p>
    <w:p w14:paraId="5C3F4776" w14:textId="77777777" w:rsidR="00BC0E7E" w:rsidRPr="00BC0E7E" w:rsidRDefault="00944B8F" w:rsidP="00BC0E7E">
      <w:pPr>
        <w:autoSpaceDE w:val="0"/>
        <w:autoSpaceDN w:val="0"/>
        <w:adjustRightInd w:val="0"/>
        <w:rPr>
          <w:del w:id="638" w:author="AbbVie19" w:date="2025-04-16T10:35:00Z"/>
        </w:rPr>
      </w:pPr>
      <w:del w:id="639" w:author="AbbVie19" w:date="2025-04-16T10:35:00Z">
        <w:r w:rsidRPr="00BC0E7E">
          <w:delText xml:space="preserve">Humira has been studied in rheumatoid arthritis, polyarticular juvenile idiopathic arthritis and psoriatic arthritis patients taking Humira as monotherapy and those taking concomitant methotrexate. Antibody </w:delText>
        </w:r>
        <w:r w:rsidRPr="00BC0E7E">
          <w:lastRenderedPageBreak/>
          <w:delText xml:space="preserve">formation was lower when Humira was given together with methotrexate in comparison with use as monotherapy. Administration of Humira without methotrexate resulted in increased formation of antibodies, increased clearance and reduced efficacy of adalimumab (see section 5.1). </w:delText>
        </w:r>
      </w:del>
    </w:p>
    <w:p w14:paraId="02A56698" w14:textId="77777777" w:rsidR="00BC0E7E" w:rsidRPr="00BC0E7E" w:rsidRDefault="00BC0E7E" w:rsidP="00BC0E7E">
      <w:pPr>
        <w:autoSpaceDE w:val="0"/>
        <w:autoSpaceDN w:val="0"/>
        <w:adjustRightInd w:val="0"/>
        <w:rPr>
          <w:del w:id="640" w:author="AbbVie19" w:date="2025-04-16T10:35:00Z"/>
        </w:rPr>
      </w:pPr>
    </w:p>
    <w:p w14:paraId="1E5D77D7" w14:textId="77777777" w:rsidR="00BC0E7E" w:rsidRPr="00BC0E7E" w:rsidRDefault="00944B8F" w:rsidP="00BC0E7E">
      <w:pPr>
        <w:autoSpaceDE w:val="0"/>
        <w:autoSpaceDN w:val="0"/>
        <w:adjustRightInd w:val="0"/>
        <w:rPr>
          <w:del w:id="641" w:author="AbbVie19" w:date="2025-04-16T10:35:00Z"/>
        </w:rPr>
      </w:pPr>
      <w:del w:id="642" w:author="AbbVie19" w:date="2025-04-16T10:35:00Z">
        <w:r w:rsidRPr="00BC0E7E">
          <w:delText xml:space="preserve">The combination of Humira and anakinra is not recommended (see section 4.4 “Concurrent administration of biologic DMARDS or TNF-antagonists”). </w:delText>
        </w:r>
      </w:del>
    </w:p>
    <w:p w14:paraId="02CB2371" w14:textId="77777777" w:rsidR="00BC0E7E" w:rsidRPr="00BC0E7E" w:rsidRDefault="00BC0E7E" w:rsidP="00BC0E7E">
      <w:pPr>
        <w:autoSpaceDE w:val="0"/>
        <w:autoSpaceDN w:val="0"/>
        <w:adjustRightInd w:val="0"/>
        <w:rPr>
          <w:del w:id="643" w:author="AbbVie19" w:date="2025-04-16T10:35:00Z"/>
        </w:rPr>
      </w:pPr>
    </w:p>
    <w:p w14:paraId="461B503C" w14:textId="77777777" w:rsidR="00BC0E7E" w:rsidRPr="00BC0E7E" w:rsidRDefault="00944B8F" w:rsidP="00BC0E7E">
      <w:pPr>
        <w:autoSpaceDE w:val="0"/>
        <w:autoSpaceDN w:val="0"/>
        <w:adjustRightInd w:val="0"/>
        <w:rPr>
          <w:del w:id="644" w:author="AbbVie19" w:date="2025-04-16T10:35:00Z"/>
        </w:rPr>
      </w:pPr>
      <w:del w:id="645" w:author="AbbVie19" w:date="2025-04-16T10:35:00Z">
        <w:r w:rsidRPr="00BC0E7E">
          <w:delText>The combination of Humira and abatacept is not recommended (see section 4.4 “Concurrent administration of biologic DMARDS or TNF-antagonists”).</w:delText>
        </w:r>
      </w:del>
    </w:p>
    <w:p w14:paraId="20E1F1C1" w14:textId="77777777" w:rsidR="00BC0E7E" w:rsidRPr="00BC0E7E" w:rsidRDefault="00BC0E7E" w:rsidP="00BC0E7E">
      <w:pPr>
        <w:autoSpaceDE w:val="0"/>
        <w:autoSpaceDN w:val="0"/>
        <w:adjustRightInd w:val="0"/>
        <w:rPr>
          <w:del w:id="646" w:author="AbbVie19" w:date="2025-04-16T10:35:00Z"/>
        </w:rPr>
      </w:pPr>
    </w:p>
    <w:p w14:paraId="17044F6F" w14:textId="77777777" w:rsidR="00BC0E7E" w:rsidRPr="00816607" w:rsidRDefault="00944B8F" w:rsidP="00BC0E7E">
      <w:pPr>
        <w:autoSpaceDE w:val="0"/>
        <w:autoSpaceDN w:val="0"/>
        <w:adjustRightInd w:val="0"/>
        <w:rPr>
          <w:del w:id="647" w:author="AbbVie19" w:date="2025-04-16T10:35:00Z"/>
          <w:bCs/>
        </w:rPr>
      </w:pPr>
      <w:del w:id="648" w:author="AbbVie19" w:date="2025-04-16T10:35:00Z">
        <w:r w:rsidRPr="00BC0E7E">
          <w:rPr>
            <w:b/>
            <w:bCs/>
          </w:rPr>
          <w:delText>4.6</w:delText>
        </w:r>
        <w:r w:rsidRPr="00BC0E7E">
          <w:rPr>
            <w:b/>
            <w:bCs/>
          </w:rPr>
          <w:tab/>
          <w:delText>Fer</w:delText>
        </w:r>
        <w:r w:rsidR="00816607">
          <w:rPr>
            <w:b/>
            <w:bCs/>
          </w:rPr>
          <w:delText>tility, pregnancy and lactation</w:delText>
        </w:r>
      </w:del>
    </w:p>
    <w:p w14:paraId="1B681265" w14:textId="77777777" w:rsidR="00BC0E7E" w:rsidRPr="00BC0E7E" w:rsidRDefault="00BC0E7E" w:rsidP="00BC0E7E">
      <w:pPr>
        <w:autoSpaceDE w:val="0"/>
        <w:autoSpaceDN w:val="0"/>
        <w:adjustRightInd w:val="0"/>
        <w:rPr>
          <w:del w:id="649" w:author="AbbVie19" w:date="2025-04-16T10:35:00Z"/>
          <w:bCs/>
        </w:rPr>
      </w:pPr>
    </w:p>
    <w:p w14:paraId="02966198" w14:textId="77777777" w:rsidR="00BC0E7E" w:rsidRPr="00BC0E7E" w:rsidRDefault="00944B8F" w:rsidP="009072FC">
      <w:pPr>
        <w:keepNext/>
        <w:autoSpaceDE w:val="0"/>
        <w:autoSpaceDN w:val="0"/>
        <w:adjustRightInd w:val="0"/>
        <w:rPr>
          <w:del w:id="650" w:author="AbbVie19" w:date="2025-04-16T10:35:00Z"/>
          <w:u w:val="single"/>
        </w:rPr>
      </w:pPr>
      <w:del w:id="651" w:author="AbbVie19" w:date="2025-04-16T10:35:00Z">
        <w:r w:rsidRPr="00BC0E7E">
          <w:rPr>
            <w:u w:val="single"/>
          </w:rPr>
          <w:delText>Women of childbearing potential</w:delText>
        </w:r>
      </w:del>
    </w:p>
    <w:p w14:paraId="5E2AC0D6" w14:textId="77777777" w:rsidR="00BC0E7E" w:rsidRPr="00BC0E7E" w:rsidRDefault="00BC0E7E" w:rsidP="009072FC">
      <w:pPr>
        <w:keepNext/>
        <w:rPr>
          <w:del w:id="652" w:author="AbbVie19" w:date="2025-04-16T10:35:00Z"/>
        </w:rPr>
      </w:pPr>
    </w:p>
    <w:p w14:paraId="2934A990" w14:textId="77777777" w:rsidR="00BC0E7E" w:rsidRPr="00BC0E7E" w:rsidRDefault="00944B8F" w:rsidP="009072FC">
      <w:pPr>
        <w:keepNext/>
        <w:autoSpaceDE w:val="0"/>
        <w:autoSpaceDN w:val="0"/>
        <w:adjustRightInd w:val="0"/>
        <w:rPr>
          <w:del w:id="653" w:author="AbbVie19" w:date="2025-04-16T10:35:00Z"/>
        </w:rPr>
      </w:pPr>
      <w:del w:id="654" w:author="AbbVie19" w:date="2025-04-16T10:35:00Z">
        <w:r w:rsidRPr="00BC0E7E">
          <w:delText xml:space="preserve">Women of childbearing potential </w:delText>
        </w:r>
        <w:r w:rsidR="00640F0C">
          <w:delText>should consider the</w:delText>
        </w:r>
        <w:r w:rsidRPr="00BC0E7E">
          <w:delText xml:space="preserve"> use </w:delText>
        </w:r>
        <w:r w:rsidR="00640F0C">
          <w:delText xml:space="preserve">of </w:delText>
        </w:r>
        <w:r w:rsidRPr="00BC0E7E">
          <w:delText>adequate contraception to prevent pregnancy and continue its use for at least five months after the last Humira treatment.</w:delText>
        </w:r>
      </w:del>
    </w:p>
    <w:p w14:paraId="6459BF4B" w14:textId="77777777" w:rsidR="00BC0E7E" w:rsidRPr="00BC0E7E" w:rsidRDefault="00BC0E7E" w:rsidP="00BC0E7E">
      <w:pPr>
        <w:autoSpaceDE w:val="0"/>
        <w:autoSpaceDN w:val="0"/>
        <w:adjustRightInd w:val="0"/>
        <w:rPr>
          <w:del w:id="655" w:author="AbbVie19" w:date="2025-04-16T10:35:00Z"/>
        </w:rPr>
      </w:pPr>
    </w:p>
    <w:p w14:paraId="620C931C" w14:textId="77777777" w:rsidR="00BC0E7E" w:rsidRPr="00BC0E7E" w:rsidRDefault="00944B8F" w:rsidP="00BC0E7E">
      <w:pPr>
        <w:keepNext/>
        <w:autoSpaceDE w:val="0"/>
        <w:autoSpaceDN w:val="0"/>
        <w:adjustRightInd w:val="0"/>
        <w:rPr>
          <w:del w:id="656" w:author="AbbVie19" w:date="2025-04-16T10:35:00Z"/>
          <w:bCs/>
          <w:u w:val="single"/>
        </w:rPr>
      </w:pPr>
      <w:del w:id="657" w:author="AbbVie19" w:date="2025-04-16T10:35:00Z">
        <w:r w:rsidRPr="00BC0E7E">
          <w:rPr>
            <w:bCs/>
            <w:u w:val="single"/>
          </w:rPr>
          <w:delText>Pregnancy</w:delText>
        </w:r>
      </w:del>
    </w:p>
    <w:p w14:paraId="17748479" w14:textId="77777777" w:rsidR="00BC0E7E" w:rsidRPr="00BC0E7E" w:rsidRDefault="00BC0E7E" w:rsidP="00BC0E7E">
      <w:pPr>
        <w:keepNext/>
        <w:autoSpaceDE w:val="0"/>
        <w:autoSpaceDN w:val="0"/>
        <w:adjustRightInd w:val="0"/>
        <w:rPr>
          <w:del w:id="658" w:author="AbbVie19" w:date="2025-04-16T10:35:00Z"/>
          <w:bCs/>
        </w:rPr>
      </w:pPr>
    </w:p>
    <w:p w14:paraId="6C0ACDA0" w14:textId="77777777" w:rsidR="00BC0E7E" w:rsidRDefault="00944B8F" w:rsidP="00BC0E7E">
      <w:pPr>
        <w:keepNext/>
        <w:autoSpaceDE w:val="0"/>
        <w:autoSpaceDN w:val="0"/>
        <w:adjustRightInd w:val="0"/>
        <w:rPr>
          <w:del w:id="659" w:author="AbbVie19" w:date="2025-04-16T10:35:00Z"/>
          <w:bCs/>
        </w:rPr>
      </w:pPr>
      <w:del w:id="660" w:author="AbbVie19" w:date="2025-04-16T10:35:00Z">
        <w:r w:rsidRPr="00051C15">
          <w:rPr>
            <w:bCs/>
          </w:rPr>
          <w:delText>A large number (approximately 2100) of prospectively collected pregnancies exposed to adalimumab resulting in live birth with known outcomes, including more than 1500 exposed during the first trimester, does not indicate an increase in the rate of malformation in the newborn.</w:delText>
        </w:r>
      </w:del>
    </w:p>
    <w:p w14:paraId="757F71C0" w14:textId="77777777" w:rsidR="003428AA" w:rsidRDefault="003428AA" w:rsidP="00BC0E7E">
      <w:pPr>
        <w:keepNext/>
        <w:autoSpaceDE w:val="0"/>
        <w:autoSpaceDN w:val="0"/>
        <w:adjustRightInd w:val="0"/>
        <w:rPr>
          <w:del w:id="661" w:author="AbbVie19" w:date="2025-04-16T10:35:00Z"/>
          <w:bCs/>
        </w:rPr>
      </w:pPr>
    </w:p>
    <w:p w14:paraId="353BD20E" w14:textId="77777777" w:rsidR="003428AA" w:rsidRPr="00BC0E7E" w:rsidRDefault="00944B8F" w:rsidP="003428AA">
      <w:pPr>
        <w:pStyle w:val="Paragraph"/>
        <w:spacing w:after="0" w:line="240" w:lineRule="auto"/>
        <w:rPr>
          <w:del w:id="662" w:author="AbbVie19" w:date="2025-04-16T10:35:00Z"/>
          <w:lang w:val="en-GB"/>
        </w:rPr>
      </w:pPr>
      <w:del w:id="663" w:author="AbbVie19" w:date="2025-04-16T10:35:00Z">
        <w:r w:rsidRPr="00B2265A">
          <w:rPr>
            <w:rFonts w:eastAsia="TimesNewRoman"/>
            <w:color w:val="000000"/>
            <w:sz w:val="22"/>
            <w:szCs w:val="22"/>
            <w:lang w:eastAsia="en-US"/>
          </w:rPr>
          <w:delText xml:space="preserve">In a prospective cohort registry, 257 women with </w:delText>
        </w:r>
        <w:r w:rsidRPr="00CF2F82">
          <w:rPr>
            <w:rFonts w:eastAsia="TimesNewRoman"/>
            <w:color w:val="000000"/>
            <w:sz w:val="22"/>
            <w:szCs w:val="22"/>
            <w:lang w:eastAsia="en-US"/>
          </w:rPr>
          <w:delText>rheumatoid arthritis (RA) or Crohn’s disease (CD)</w:delText>
        </w:r>
        <w:r w:rsidRPr="00B2265A">
          <w:rPr>
            <w:rFonts w:eastAsia="TimesNewRoman"/>
            <w:color w:val="000000"/>
            <w:sz w:val="22"/>
            <w:szCs w:val="22"/>
            <w:lang w:eastAsia="en-US"/>
          </w:rPr>
          <w:delText xml:space="preserve"> treated with adalimumab at least during the first trimester and 120 women with RA or CD not treated with adalimumab were enrolled.  The primary endpoint was the birth prevalence of major birth defects. The rate of </w:delText>
        </w:r>
        <w:r w:rsidRPr="00B2265A">
          <w:rPr>
            <w:rFonts w:eastAsia="TimesNewRoman"/>
            <w:sz w:val="22"/>
            <w:szCs w:val="22"/>
            <w:lang w:eastAsia="en-US"/>
          </w:rPr>
          <w:delText>pregnancies ending with at least one live born infant with a major birth defect</w:delText>
        </w:r>
        <w:r>
          <w:rPr>
            <w:rFonts w:eastAsia="TimesNewRoman"/>
            <w:sz w:val="22"/>
            <w:szCs w:val="22"/>
            <w:lang w:eastAsia="en-US"/>
          </w:rPr>
          <w:delText xml:space="preserve"> was 6/69 (8.7%)</w:delText>
        </w:r>
        <w:r w:rsidRPr="00B2265A">
          <w:rPr>
            <w:rFonts w:eastAsia="TimesNewRoman"/>
            <w:sz w:val="22"/>
            <w:szCs w:val="22"/>
            <w:lang w:eastAsia="en-US"/>
          </w:rPr>
          <w:delText xml:space="preserve"> </w:delText>
        </w:r>
        <w:r w:rsidRPr="00B2265A">
          <w:rPr>
            <w:sz w:val="22"/>
            <w:szCs w:val="22"/>
          </w:rPr>
          <w:delText xml:space="preserve">in the adalimumab-treated women with RA </w:delText>
        </w:r>
        <w:r>
          <w:rPr>
            <w:sz w:val="22"/>
            <w:szCs w:val="22"/>
          </w:rPr>
          <w:delText xml:space="preserve">and 5/74 (6.8%) in the untreated women with RA </w:delText>
        </w:r>
        <w:r w:rsidRPr="00B2265A">
          <w:rPr>
            <w:sz w:val="22"/>
            <w:szCs w:val="22"/>
          </w:rPr>
          <w:delText xml:space="preserve">(unadjusted OR 1.31, 95% CI 0.38-4.52) and </w:delText>
        </w:r>
        <w:r>
          <w:rPr>
            <w:sz w:val="22"/>
            <w:szCs w:val="22"/>
          </w:rPr>
          <w:delText xml:space="preserve">16/152 (10.5%) in the adalimumab-treated women with </w:delText>
        </w:r>
        <w:r w:rsidRPr="00B2265A">
          <w:rPr>
            <w:sz w:val="22"/>
            <w:szCs w:val="22"/>
          </w:rPr>
          <w:delText xml:space="preserve">CD </w:delText>
        </w:r>
        <w:r>
          <w:rPr>
            <w:sz w:val="22"/>
            <w:szCs w:val="22"/>
          </w:rPr>
          <w:delText xml:space="preserve">and 3/32 (9.4%) in the untreated women with CD </w:delText>
        </w:r>
        <w:r w:rsidRPr="00B2265A">
          <w:rPr>
            <w:sz w:val="22"/>
            <w:szCs w:val="22"/>
          </w:rPr>
          <w:delText>(unadjusted OR 1.14, 95% CI 0.31-4.16). The adjusted OR (accounting for baseline differences) was</w:delText>
        </w:r>
        <w:r w:rsidRPr="00B2265A">
          <w:rPr>
            <w:sz w:val="22"/>
            <w:szCs w:val="22"/>
            <w:lang w:val="en-GB"/>
          </w:rPr>
          <w:delText> 1.10 (95% CI 0.45-2.73)</w:delText>
        </w:r>
        <w:r>
          <w:rPr>
            <w:sz w:val="22"/>
            <w:szCs w:val="22"/>
            <w:lang w:val="en-GB"/>
          </w:rPr>
          <w:delText xml:space="preserve"> with RA and CD combined</w:delText>
        </w:r>
        <w:r>
          <w:rPr>
            <w:rFonts w:eastAsia="TimesNewRoman"/>
            <w:sz w:val="22"/>
            <w:szCs w:val="22"/>
            <w:lang w:eastAsia="en-US"/>
          </w:rPr>
          <w:delText xml:space="preserve">. </w:delText>
        </w:r>
        <w:r w:rsidRPr="00B2265A">
          <w:rPr>
            <w:rFonts w:eastAsia="TimesNewRoman"/>
            <w:sz w:val="22"/>
            <w:szCs w:val="22"/>
            <w:lang w:eastAsia="en-US"/>
          </w:rPr>
          <w:delText xml:space="preserve">There were no distinct differences between </w:delText>
        </w:r>
        <w:r w:rsidRPr="00B2265A">
          <w:rPr>
            <w:sz w:val="22"/>
            <w:szCs w:val="22"/>
          </w:rPr>
          <w:delText>adalimumab-treated and untreated women</w:delText>
        </w:r>
        <w:r>
          <w:rPr>
            <w:sz w:val="22"/>
            <w:szCs w:val="22"/>
          </w:rPr>
          <w:delText xml:space="preserve"> </w:delText>
        </w:r>
        <w:r w:rsidRPr="00B2265A">
          <w:rPr>
            <w:rFonts w:eastAsia="TimesNewRoman"/>
            <w:sz w:val="22"/>
            <w:szCs w:val="22"/>
            <w:lang w:eastAsia="en-US"/>
          </w:rPr>
          <w:delText xml:space="preserve">for the secondary </w:delText>
        </w:r>
        <w:r w:rsidRPr="00B2265A">
          <w:rPr>
            <w:rFonts w:eastAsia="TimesNewRoman"/>
            <w:color w:val="000000"/>
            <w:sz w:val="22"/>
            <w:szCs w:val="22"/>
            <w:lang w:eastAsia="en-US"/>
          </w:rPr>
          <w:delText xml:space="preserve">endpoints spontaneous abortions, minor birth defects, preterm </w:delText>
        </w:r>
        <w:r w:rsidRPr="00B2265A">
          <w:rPr>
            <w:rFonts w:eastAsia="TimesNewRoman"/>
            <w:sz w:val="22"/>
            <w:szCs w:val="22"/>
            <w:lang w:eastAsia="en-US"/>
          </w:rPr>
          <w:delText>delivery, birth size and serious or opportunistic infections</w:delText>
        </w:r>
        <w:r w:rsidRPr="00B2265A">
          <w:rPr>
            <w:rFonts w:eastAsia="TimesNewRoman"/>
            <w:sz w:val="22"/>
            <w:szCs w:val="22"/>
          </w:rPr>
          <w:delText xml:space="preserve"> </w:delText>
        </w:r>
        <w:r w:rsidRPr="00B2265A">
          <w:rPr>
            <w:sz w:val="22"/>
            <w:szCs w:val="22"/>
          </w:rPr>
          <w:delText xml:space="preserve">and no stillbirths or malignancies were reported. </w:delText>
        </w:r>
        <w:r w:rsidRPr="00B2265A">
          <w:rPr>
            <w:rFonts w:eastAsia="TimesNewRoman"/>
            <w:sz w:val="22"/>
            <w:szCs w:val="22"/>
            <w:lang w:eastAsia="en-US"/>
          </w:rPr>
          <w:delText>The interpretation of data</w:delText>
        </w:r>
        <w:r w:rsidRPr="00B2265A">
          <w:rPr>
            <w:rFonts w:eastAsia="TimesNewRoman"/>
            <w:sz w:val="22"/>
            <w:szCs w:val="22"/>
          </w:rPr>
          <w:delText xml:space="preserve"> </w:delText>
        </w:r>
        <w:r w:rsidRPr="00B2265A">
          <w:rPr>
            <w:sz w:val="22"/>
            <w:szCs w:val="22"/>
            <w:lang w:val="en-GB"/>
          </w:rPr>
          <w:delText xml:space="preserve">may be impacted due to methodological limitations of the </w:delText>
        </w:r>
        <w:r>
          <w:rPr>
            <w:sz w:val="22"/>
            <w:szCs w:val="22"/>
            <w:lang w:val="en-GB"/>
          </w:rPr>
          <w:delText>study</w:delText>
        </w:r>
        <w:r w:rsidRPr="00B2265A">
          <w:rPr>
            <w:sz w:val="22"/>
            <w:szCs w:val="22"/>
            <w:lang w:val="en-GB"/>
          </w:rPr>
          <w:delText>, including small sample size and non-randomized design</w:delText>
        </w:r>
        <w:r>
          <w:rPr>
            <w:sz w:val="22"/>
            <w:szCs w:val="22"/>
            <w:lang w:val="en-GB"/>
          </w:rPr>
          <w:delText>.</w:delText>
        </w:r>
      </w:del>
    </w:p>
    <w:p w14:paraId="52F62DF0" w14:textId="77777777" w:rsidR="00BC0E7E" w:rsidRPr="00BC0E7E" w:rsidRDefault="00BC0E7E" w:rsidP="00BC0E7E">
      <w:pPr>
        <w:keepNext/>
        <w:autoSpaceDE w:val="0"/>
        <w:autoSpaceDN w:val="0"/>
        <w:adjustRightInd w:val="0"/>
        <w:rPr>
          <w:del w:id="664" w:author="AbbVie19" w:date="2025-04-16T10:35:00Z"/>
        </w:rPr>
      </w:pPr>
    </w:p>
    <w:p w14:paraId="494D3BA2" w14:textId="77777777" w:rsidR="00BC0E7E" w:rsidRPr="00BC0E7E" w:rsidRDefault="00944B8F" w:rsidP="00BC0E7E">
      <w:pPr>
        <w:autoSpaceDE w:val="0"/>
        <w:autoSpaceDN w:val="0"/>
        <w:adjustRightInd w:val="0"/>
        <w:rPr>
          <w:del w:id="665" w:author="AbbVie19" w:date="2025-04-16T10:35:00Z"/>
        </w:rPr>
      </w:pPr>
      <w:del w:id="666" w:author="AbbVie19" w:date="2025-04-16T10:35:00Z">
        <w:r w:rsidRPr="00BC0E7E">
          <w:delText>In a developmental toxicity study conducted in monkeys, there was no indication of maternal toxicity, embryotoxicity or teratogenicity. Preclinical data on postnatal toxicity of adalimumab are not available (see section 5.3).</w:delText>
        </w:r>
      </w:del>
    </w:p>
    <w:p w14:paraId="32F5A1D3" w14:textId="77777777" w:rsidR="00BC0E7E" w:rsidRPr="00BC0E7E" w:rsidRDefault="00BC0E7E" w:rsidP="00BC0E7E">
      <w:pPr>
        <w:autoSpaceDE w:val="0"/>
        <w:autoSpaceDN w:val="0"/>
        <w:adjustRightInd w:val="0"/>
        <w:rPr>
          <w:del w:id="667" w:author="AbbVie19" w:date="2025-04-16T10:35:00Z"/>
        </w:rPr>
      </w:pPr>
    </w:p>
    <w:p w14:paraId="144DEBAE" w14:textId="77777777" w:rsidR="00BC0E7E" w:rsidRPr="00BC0E7E" w:rsidRDefault="00944B8F" w:rsidP="00BC0E7E">
      <w:pPr>
        <w:autoSpaceDE w:val="0"/>
        <w:autoSpaceDN w:val="0"/>
        <w:adjustRightInd w:val="0"/>
        <w:rPr>
          <w:del w:id="668" w:author="AbbVie19" w:date="2025-04-16T10:35:00Z"/>
        </w:rPr>
      </w:pPr>
      <w:del w:id="669" w:author="AbbVie19" w:date="2025-04-16T10:35:00Z">
        <w:r w:rsidRPr="00BC0E7E">
          <w:delText>Due to its inhibition of TNF</w:delText>
        </w:r>
        <w:r w:rsidRPr="00BC0E7E">
          <w:rPr>
            <w:rFonts w:ascii="Symbol" w:eastAsia="Symbol" w:hAnsi="Symbol" w:cs="Symbol"/>
            <w:szCs w:val="22"/>
          </w:rPr>
          <w:sym w:font="Symbol" w:char="F061"/>
        </w:r>
        <w:r w:rsidRPr="00BC0E7E">
          <w:delText xml:space="preserve">, adalimumab administered during pregnancy could affect normal immune responses in the newborn. </w:delText>
        </w:r>
        <w:r w:rsidR="003428AA" w:rsidRPr="003428AA">
          <w:delText xml:space="preserve"> Adalimumab should only be used during</w:delText>
        </w:r>
        <w:r w:rsidR="009D78A8">
          <w:delText xml:space="preserve"> pregnancy if clearly needed</w:delText>
        </w:r>
        <w:r w:rsidR="007871A2">
          <w:delText>.</w:delText>
        </w:r>
      </w:del>
    </w:p>
    <w:p w14:paraId="0C572564" w14:textId="77777777" w:rsidR="00BC0E7E" w:rsidRPr="00BC0E7E" w:rsidRDefault="00BC0E7E" w:rsidP="00BC0E7E">
      <w:pPr>
        <w:rPr>
          <w:del w:id="670" w:author="AbbVie19" w:date="2025-04-16T10:35:00Z"/>
          <w:szCs w:val="20"/>
        </w:rPr>
      </w:pPr>
    </w:p>
    <w:p w14:paraId="06422321" w14:textId="77777777" w:rsidR="00BC0E7E" w:rsidRPr="00BC0E7E" w:rsidRDefault="00944B8F" w:rsidP="00BC0E7E">
      <w:pPr>
        <w:autoSpaceDE w:val="0"/>
        <w:autoSpaceDN w:val="0"/>
        <w:adjustRightInd w:val="0"/>
        <w:rPr>
          <w:del w:id="671" w:author="AbbVie19" w:date="2025-04-16T10:35:00Z"/>
          <w:szCs w:val="22"/>
          <w:lang w:eastAsia="en-GB"/>
        </w:rPr>
      </w:pPr>
      <w:del w:id="672" w:author="AbbVie19" w:date="2025-04-16T10:35:00Z">
        <w:r w:rsidRPr="00BC0E7E">
          <w:rPr>
            <w:bCs/>
          </w:rPr>
          <w:delText>A</w:delText>
        </w:r>
        <w:r w:rsidRPr="00BC0E7E">
          <w:rPr>
            <w:szCs w:val="22"/>
            <w:lang w:eastAsia="en-GB"/>
          </w:rPr>
          <w:delText xml:space="preserve">dalimumab may cross the placenta into the serum of infants born to women treated with adalimumab during pregnancy. Consequently, these infants may be at increased risk for infection. Administration of live vaccines </w:delText>
        </w:r>
        <w:r w:rsidR="00527516" w:rsidRPr="00B2265A">
          <w:rPr>
            <w:szCs w:val="22"/>
          </w:rPr>
          <w:delText>(e.g., BCG vaccine)</w:delText>
        </w:r>
        <w:r w:rsidR="00527516">
          <w:rPr>
            <w:szCs w:val="22"/>
          </w:rPr>
          <w:delText xml:space="preserve"> </w:delText>
        </w:r>
        <w:r w:rsidRPr="00BC0E7E">
          <w:rPr>
            <w:szCs w:val="22"/>
            <w:lang w:eastAsia="en-GB"/>
          </w:rPr>
          <w:delText>to infants exposed to adalimumab in utero is not recommended for 5 months following the mother’s last adalimumab injection during pregnancy.</w:delText>
        </w:r>
      </w:del>
    </w:p>
    <w:p w14:paraId="324A6C80" w14:textId="77777777" w:rsidR="00BC0E7E" w:rsidRPr="00BC0E7E" w:rsidRDefault="00BC0E7E" w:rsidP="00BC0E7E">
      <w:pPr>
        <w:autoSpaceDE w:val="0"/>
        <w:autoSpaceDN w:val="0"/>
        <w:adjustRightInd w:val="0"/>
        <w:rPr>
          <w:del w:id="673" w:author="AbbVie19" w:date="2025-04-16T10:35:00Z"/>
          <w:szCs w:val="22"/>
          <w:lang w:eastAsia="en-GB"/>
        </w:rPr>
      </w:pPr>
    </w:p>
    <w:p w14:paraId="6C313739" w14:textId="77777777" w:rsidR="00BC0E7E" w:rsidRPr="00BC0E7E" w:rsidRDefault="00944B8F" w:rsidP="00BC0E7E">
      <w:pPr>
        <w:keepNext/>
        <w:rPr>
          <w:del w:id="674" w:author="AbbVie19" w:date="2025-04-16T10:35:00Z"/>
          <w:szCs w:val="22"/>
          <w:u w:val="single"/>
          <w:lang w:eastAsia="en-GB"/>
        </w:rPr>
      </w:pPr>
      <w:del w:id="675" w:author="AbbVie19" w:date="2025-04-16T10:35:00Z">
        <w:r w:rsidRPr="00BC0E7E">
          <w:rPr>
            <w:szCs w:val="22"/>
            <w:u w:val="single"/>
            <w:lang w:eastAsia="en-GB"/>
          </w:rPr>
          <w:delText>Breast</w:delText>
        </w:r>
        <w:r w:rsidR="00367800">
          <w:rPr>
            <w:szCs w:val="22"/>
            <w:u w:val="single"/>
            <w:lang w:eastAsia="en-GB"/>
          </w:rPr>
          <w:delText>-</w:delText>
        </w:r>
        <w:r w:rsidRPr="00BC0E7E">
          <w:rPr>
            <w:szCs w:val="22"/>
            <w:u w:val="single"/>
            <w:lang w:eastAsia="en-GB"/>
          </w:rPr>
          <w:delText>feeding</w:delText>
        </w:r>
      </w:del>
    </w:p>
    <w:p w14:paraId="372085E9" w14:textId="77777777" w:rsidR="00BC0E7E" w:rsidRPr="00BC0E7E" w:rsidRDefault="00BC0E7E" w:rsidP="00BC0E7E">
      <w:pPr>
        <w:keepNext/>
        <w:rPr>
          <w:del w:id="676" w:author="AbbVie19" w:date="2025-04-16T10:35:00Z"/>
          <w:szCs w:val="20"/>
        </w:rPr>
      </w:pPr>
    </w:p>
    <w:p w14:paraId="75BE0D63" w14:textId="77777777" w:rsidR="00BC0E7E" w:rsidRPr="00BC0E7E" w:rsidRDefault="00944B8F" w:rsidP="00BC0E7E">
      <w:pPr>
        <w:tabs>
          <w:tab w:val="clear" w:pos="562"/>
        </w:tabs>
        <w:rPr>
          <w:del w:id="677" w:author="AbbVie19" w:date="2025-04-16T10:35:00Z"/>
          <w:szCs w:val="22"/>
        </w:rPr>
      </w:pPr>
      <w:del w:id="678" w:author="AbbVie19" w:date="2025-04-16T10:35:00Z">
        <w:r w:rsidRPr="00DD0AB2">
          <w:delText xml:space="preserve">Limited information from the published literature indicates that adalimumab is excreted in breast milk at very low concentrations with the presence of adalimumab in human milk at concentrations of 0.1% to 1% of the maternal serum level. Given orally, immunoglobulin G proteins undergo intestinal proteolysis and </w:delText>
        </w:r>
        <w:r w:rsidRPr="00DD0AB2">
          <w:lastRenderedPageBreak/>
          <w:delText>have poor bioavailability. No effects on the breastfed newborns/infants are anticipated. Consequently, Humira can be used during breastfeeding.</w:delText>
        </w:r>
      </w:del>
    </w:p>
    <w:p w14:paraId="171495B0" w14:textId="77777777" w:rsidR="00BC0E7E" w:rsidRPr="00BC0E7E" w:rsidRDefault="00BC0E7E" w:rsidP="00BC0E7E">
      <w:pPr>
        <w:rPr>
          <w:del w:id="679" w:author="AbbVie19" w:date="2025-04-16T10:35:00Z"/>
        </w:rPr>
      </w:pPr>
    </w:p>
    <w:p w14:paraId="0BBF4B32" w14:textId="77777777" w:rsidR="00BC0E7E" w:rsidRPr="00BC0E7E" w:rsidRDefault="00944B8F" w:rsidP="00BC0E7E">
      <w:pPr>
        <w:rPr>
          <w:del w:id="680" w:author="AbbVie19" w:date="2025-04-16T10:35:00Z"/>
          <w:u w:val="single"/>
        </w:rPr>
      </w:pPr>
      <w:del w:id="681" w:author="AbbVie19" w:date="2025-04-16T10:35:00Z">
        <w:r w:rsidRPr="00BC0E7E">
          <w:rPr>
            <w:u w:val="single"/>
          </w:rPr>
          <w:delText>Fertility</w:delText>
        </w:r>
      </w:del>
    </w:p>
    <w:p w14:paraId="44B470DD" w14:textId="77777777" w:rsidR="00BC0E7E" w:rsidRPr="00BC0E7E" w:rsidRDefault="00BC0E7E" w:rsidP="00BC0E7E">
      <w:pPr>
        <w:rPr>
          <w:del w:id="682" w:author="AbbVie19" w:date="2025-04-16T10:35:00Z"/>
          <w:u w:val="single"/>
        </w:rPr>
      </w:pPr>
    </w:p>
    <w:p w14:paraId="595AB4DC" w14:textId="77777777" w:rsidR="00BC0E7E" w:rsidRPr="00BC0E7E" w:rsidRDefault="00944B8F" w:rsidP="00BC0E7E">
      <w:pPr>
        <w:rPr>
          <w:del w:id="683" w:author="AbbVie19" w:date="2025-04-16T10:35:00Z"/>
        </w:rPr>
      </w:pPr>
      <w:del w:id="684" w:author="AbbVie19" w:date="2025-04-16T10:35:00Z">
        <w:r w:rsidRPr="00BC0E7E">
          <w:delText>Preclinical data on fertility effects of adalimumab are not available.</w:delText>
        </w:r>
      </w:del>
    </w:p>
    <w:p w14:paraId="07D94F51" w14:textId="77777777" w:rsidR="00BC0E7E" w:rsidRPr="00BC0E7E" w:rsidRDefault="00BC0E7E" w:rsidP="00BC0E7E">
      <w:pPr>
        <w:rPr>
          <w:del w:id="685" w:author="AbbVie19" w:date="2025-04-16T10:35:00Z"/>
        </w:rPr>
      </w:pPr>
    </w:p>
    <w:p w14:paraId="36C47F6A" w14:textId="77777777" w:rsidR="00BC0E7E" w:rsidRPr="00BC0E7E" w:rsidRDefault="00944B8F" w:rsidP="003F7AAE">
      <w:pPr>
        <w:keepNext/>
        <w:suppressAutoHyphens w:val="0"/>
        <w:outlineLvl w:val="1"/>
        <w:rPr>
          <w:del w:id="686" w:author="AbbVie19" w:date="2025-04-16T10:35:00Z"/>
          <w:b/>
          <w:szCs w:val="20"/>
        </w:rPr>
      </w:pPr>
      <w:del w:id="687" w:author="AbbVie19" w:date="2025-04-16T10:35:00Z">
        <w:r w:rsidRPr="00BC0E7E">
          <w:rPr>
            <w:b/>
            <w:szCs w:val="20"/>
          </w:rPr>
          <w:delText>4.7</w:delText>
        </w:r>
        <w:r w:rsidRPr="00BC0E7E">
          <w:rPr>
            <w:b/>
            <w:szCs w:val="20"/>
          </w:rPr>
          <w:tab/>
          <w:delText xml:space="preserve">Effects on ability to drive and use machines </w:delText>
        </w:r>
      </w:del>
    </w:p>
    <w:p w14:paraId="2B58C6B2" w14:textId="77777777" w:rsidR="00BC0E7E" w:rsidRPr="00BC0E7E" w:rsidRDefault="00BC0E7E" w:rsidP="003F7AAE">
      <w:pPr>
        <w:keepNext/>
        <w:rPr>
          <w:del w:id="688" w:author="AbbVie19" w:date="2025-04-16T10:35:00Z"/>
          <w:szCs w:val="20"/>
        </w:rPr>
      </w:pPr>
    </w:p>
    <w:p w14:paraId="07CB758E" w14:textId="77777777" w:rsidR="00BC0E7E" w:rsidRPr="00BC0E7E" w:rsidRDefault="00944B8F" w:rsidP="003F7AAE">
      <w:pPr>
        <w:keepNext/>
        <w:tabs>
          <w:tab w:val="clear" w:pos="562"/>
        </w:tabs>
        <w:rPr>
          <w:del w:id="689" w:author="AbbVie19" w:date="2025-04-16T10:35:00Z"/>
        </w:rPr>
      </w:pPr>
      <w:del w:id="690" w:author="AbbVie19" w:date="2025-04-16T10:35:00Z">
        <w:r w:rsidRPr="00BC0E7E">
          <w:delText>Humira may have a minor influence on the ability to drive and use machines. Vertigo and visual impairment may occur following administration of Humira (see section 4.8).</w:delText>
        </w:r>
      </w:del>
    </w:p>
    <w:p w14:paraId="236988BA" w14:textId="77777777" w:rsidR="00BC0E7E" w:rsidRPr="00BC0E7E" w:rsidRDefault="00BC0E7E" w:rsidP="00BC0E7E">
      <w:pPr>
        <w:keepNext/>
        <w:tabs>
          <w:tab w:val="clear" w:pos="562"/>
        </w:tabs>
        <w:rPr>
          <w:del w:id="691" w:author="AbbVie19" w:date="2025-04-16T10:35:00Z"/>
        </w:rPr>
      </w:pPr>
    </w:p>
    <w:p w14:paraId="22AF0DA1" w14:textId="77777777" w:rsidR="00BC0E7E" w:rsidRPr="00BC0E7E" w:rsidRDefault="00944B8F" w:rsidP="00BC0E7E">
      <w:pPr>
        <w:suppressAutoHyphens w:val="0"/>
        <w:outlineLvl w:val="1"/>
        <w:rPr>
          <w:del w:id="692" w:author="AbbVie19" w:date="2025-04-16T10:35:00Z"/>
          <w:b/>
          <w:szCs w:val="20"/>
        </w:rPr>
      </w:pPr>
      <w:del w:id="693" w:author="AbbVie19" w:date="2025-04-16T10:35:00Z">
        <w:r w:rsidRPr="00BC0E7E">
          <w:rPr>
            <w:b/>
            <w:szCs w:val="20"/>
          </w:rPr>
          <w:delText>4.8</w:delText>
        </w:r>
        <w:r w:rsidRPr="00BC0E7E">
          <w:rPr>
            <w:b/>
            <w:szCs w:val="20"/>
          </w:rPr>
          <w:tab/>
          <w:delText>Undesirable effects</w:delText>
        </w:r>
      </w:del>
    </w:p>
    <w:p w14:paraId="30AAACF6" w14:textId="77777777" w:rsidR="00BC0E7E" w:rsidRPr="00BC0E7E" w:rsidRDefault="00BC0E7E" w:rsidP="00BC0E7E">
      <w:pPr>
        <w:rPr>
          <w:del w:id="694" w:author="AbbVie19" w:date="2025-04-16T10:35:00Z"/>
          <w:szCs w:val="20"/>
        </w:rPr>
      </w:pPr>
    </w:p>
    <w:p w14:paraId="1EBA1A2F" w14:textId="77777777" w:rsidR="00BC0E7E" w:rsidRPr="00BC0E7E" w:rsidRDefault="00944B8F" w:rsidP="00BC0E7E">
      <w:pPr>
        <w:autoSpaceDE w:val="0"/>
        <w:autoSpaceDN w:val="0"/>
        <w:adjustRightInd w:val="0"/>
        <w:rPr>
          <w:del w:id="695" w:author="AbbVie19" w:date="2025-04-16T10:35:00Z"/>
        </w:rPr>
      </w:pPr>
      <w:del w:id="696" w:author="AbbVie19" w:date="2025-04-16T10:35:00Z">
        <w:r w:rsidRPr="00BC0E7E">
          <w:rPr>
            <w:u w:val="single"/>
          </w:rPr>
          <w:delText>Summary of the safety profile</w:delText>
        </w:r>
        <w:r w:rsidRPr="00BC0E7E">
          <w:delText xml:space="preserve"> </w:delText>
        </w:r>
      </w:del>
    </w:p>
    <w:p w14:paraId="648B351E" w14:textId="77777777" w:rsidR="00BC0E7E" w:rsidRPr="00BC0E7E" w:rsidRDefault="00BC0E7E" w:rsidP="00BC0E7E">
      <w:pPr>
        <w:autoSpaceDE w:val="0"/>
        <w:autoSpaceDN w:val="0"/>
        <w:adjustRightInd w:val="0"/>
        <w:rPr>
          <w:del w:id="697" w:author="AbbVie19" w:date="2025-04-16T10:35:00Z"/>
        </w:rPr>
      </w:pPr>
    </w:p>
    <w:p w14:paraId="4B81BB01" w14:textId="77777777" w:rsidR="00BC0E7E" w:rsidRPr="00BC0E7E" w:rsidRDefault="00944B8F" w:rsidP="00BC0E7E">
      <w:pPr>
        <w:autoSpaceDE w:val="0"/>
        <w:autoSpaceDN w:val="0"/>
        <w:adjustRightInd w:val="0"/>
        <w:rPr>
          <w:del w:id="698" w:author="AbbVie19" w:date="2025-04-16T10:35:00Z"/>
        </w:rPr>
      </w:pPr>
      <w:del w:id="699" w:author="AbbVie19" w:date="2025-04-16T10:35:00Z">
        <w:r w:rsidRPr="00BC0E7E">
          <w:delText>Humira was studied in 9,506 patients in pivotal controlled and open label trials for up to 60 months or more. These trials included rheumatoid arthritis patients with short term and long standing disease, juvenile idiopathic arthritis (polyarticular juvenile idiopathic arthritis and enthesitis-related arthritis) as well as axial spondyloarthritis (ankylosing spondylitis and axial spondyloarthritis without radiographic evidence of AS), psoriatic arthritis, Crohn’s disease, ulcerative colitis, psoriasis, hidradenitis suppurativa and uveitis patients. The pivotal controlled studies involved 6,089 patients receiving Humira and 3,801 patients receiving placebo or active comparator during the controlled period.</w:delText>
        </w:r>
      </w:del>
    </w:p>
    <w:p w14:paraId="4AEFFFE9" w14:textId="77777777" w:rsidR="00BC0E7E" w:rsidRPr="00BC0E7E" w:rsidRDefault="00BC0E7E" w:rsidP="00BC0E7E">
      <w:pPr>
        <w:autoSpaceDE w:val="0"/>
        <w:autoSpaceDN w:val="0"/>
        <w:adjustRightInd w:val="0"/>
        <w:rPr>
          <w:del w:id="700" w:author="AbbVie19" w:date="2025-04-16T10:35:00Z"/>
        </w:rPr>
      </w:pPr>
    </w:p>
    <w:p w14:paraId="743972B8" w14:textId="77777777" w:rsidR="00BC0E7E" w:rsidRPr="00BC0E7E" w:rsidRDefault="00944B8F" w:rsidP="00BC0E7E">
      <w:pPr>
        <w:autoSpaceDE w:val="0"/>
        <w:autoSpaceDN w:val="0"/>
        <w:adjustRightInd w:val="0"/>
        <w:rPr>
          <w:del w:id="701" w:author="AbbVie19" w:date="2025-04-16T10:35:00Z"/>
        </w:rPr>
      </w:pPr>
      <w:del w:id="702" w:author="AbbVie19" w:date="2025-04-16T10:35:00Z">
        <w:r w:rsidRPr="00BC0E7E">
          <w:delText>The proportion of patients who discontinued treatment due to adverse events during the double-blind, controlled portion of pivotal studies was 5.9% for patients taking Humira and 5.4% for control treated patients.</w:delText>
        </w:r>
      </w:del>
    </w:p>
    <w:p w14:paraId="5AF2FE52" w14:textId="77777777" w:rsidR="00BC0E7E" w:rsidRPr="00BC0E7E" w:rsidRDefault="00BC0E7E" w:rsidP="00BC0E7E">
      <w:pPr>
        <w:autoSpaceDE w:val="0"/>
        <w:autoSpaceDN w:val="0"/>
        <w:adjustRightInd w:val="0"/>
        <w:rPr>
          <w:del w:id="703" w:author="AbbVie19" w:date="2025-04-16T10:35:00Z"/>
        </w:rPr>
      </w:pPr>
    </w:p>
    <w:p w14:paraId="371364D5" w14:textId="77777777" w:rsidR="00BC0E7E" w:rsidRPr="00BC0E7E" w:rsidRDefault="00944B8F" w:rsidP="00BC0E7E">
      <w:pPr>
        <w:autoSpaceDE w:val="0"/>
        <w:autoSpaceDN w:val="0"/>
        <w:adjustRightInd w:val="0"/>
        <w:rPr>
          <w:del w:id="704" w:author="AbbVie19" w:date="2025-04-16T10:35:00Z"/>
        </w:rPr>
      </w:pPr>
      <w:del w:id="705" w:author="AbbVie19" w:date="2025-04-16T10:35:00Z">
        <w:r w:rsidRPr="00BC0E7E">
          <w:delText>The most commonly reported adverse reactions are infections (such as nasopharyngitis, upper respiratory tract infection and sinusitis), injection site reactions (erythema, itching, haemorrhage, pain or swelling), headache and musculoskeletal pain.</w:delText>
        </w:r>
      </w:del>
    </w:p>
    <w:p w14:paraId="7E101F6F" w14:textId="77777777" w:rsidR="00BC0E7E" w:rsidRPr="00BC0E7E" w:rsidRDefault="00BC0E7E" w:rsidP="00BC0E7E">
      <w:pPr>
        <w:autoSpaceDE w:val="0"/>
        <w:autoSpaceDN w:val="0"/>
        <w:adjustRightInd w:val="0"/>
        <w:rPr>
          <w:del w:id="706" w:author="AbbVie19" w:date="2025-04-16T10:35:00Z"/>
        </w:rPr>
      </w:pPr>
    </w:p>
    <w:p w14:paraId="4B92E048" w14:textId="77777777" w:rsidR="00BC0E7E" w:rsidRPr="00BC0E7E" w:rsidRDefault="00944B8F" w:rsidP="00BC0E7E">
      <w:pPr>
        <w:autoSpaceDE w:val="0"/>
        <w:autoSpaceDN w:val="0"/>
        <w:adjustRightInd w:val="0"/>
        <w:rPr>
          <w:del w:id="707" w:author="AbbVie19" w:date="2025-04-16T10:35:00Z"/>
        </w:rPr>
      </w:pPr>
      <w:del w:id="708" w:author="AbbVie19" w:date="2025-04-16T10:35:00Z">
        <w:r w:rsidRPr="00BC0E7E">
          <w:delText>Serious adverse reactions have been reported for Humira. TNF-antagonists, such as Humira affect the immune system and their use may affect the body’s defence against infection and cancer.</w:delText>
        </w:r>
      </w:del>
    </w:p>
    <w:p w14:paraId="5CB306D7" w14:textId="77777777" w:rsidR="00BC0E7E" w:rsidRPr="00BC0E7E" w:rsidRDefault="00944B8F" w:rsidP="00BC0E7E">
      <w:pPr>
        <w:autoSpaceDE w:val="0"/>
        <w:autoSpaceDN w:val="0"/>
        <w:adjustRightInd w:val="0"/>
        <w:rPr>
          <w:del w:id="709" w:author="AbbVie19" w:date="2025-04-16T10:35:00Z"/>
        </w:rPr>
      </w:pPr>
      <w:del w:id="710" w:author="AbbVie19" w:date="2025-04-16T10:35:00Z">
        <w:r w:rsidRPr="00BC0E7E">
          <w:delText>Fatal and life-threatening infections (including sepsis, opportunistic infections and TB), HBV reactivation and various malignancies (including leukaemia, lymphoma and HSTCL) have also been reported with use of Humira.</w:delText>
        </w:r>
        <w:r w:rsidRPr="00BC0E7E">
          <w:br/>
        </w:r>
      </w:del>
    </w:p>
    <w:p w14:paraId="5B1A5A65" w14:textId="77777777" w:rsidR="00BC0E7E" w:rsidRPr="00BC0E7E" w:rsidRDefault="00944B8F" w:rsidP="00BC0E7E">
      <w:pPr>
        <w:autoSpaceDE w:val="0"/>
        <w:autoSpaceDN w:val="0"/>
        <w:adjustRightInd w:val="0"/>
        <w:rPr>
          <w:del w:id="711" w:author="AbbVie19" w:date="2025-04-16T10:35:00Z"/>
        </w:rPr>
      </w:pPr>
      <w:del w:id="712" w:author="AbbVie19" w:date="2025-04-16T10:35:00Z">
        <w:r w:rsidRPr="00BC0E7E">
          <w:delText>Serious haematological, neurological and autoimmune reactions have also been reported. These include rare reports of pancytopenia, aplastic anaemia, central and peripheral demyelinating events and reports of lupus, lupus-related conditions and Stevens-Johnson syndrome.</w:delText>
        </w:r>
      </w:del>
    </w:p>
    <w:p w14:paraId="1D0AAAF0" w14:textId="77777777" w:rsidR="00BC0E7E" w:rsidRPr="00BC0E7E" w:rsidRDefault="00BC0E7E" w:rsidP="00BC0E7E">
      <w:pPr>
        <w:autoSpaceDE w:val="0"/>
        <w:autoSpaceDN w:val="0"/>
        <w:adjustRightInd w:val="0"/>
        <w:rPr>
          <w:del w:id="713" w:author="AbbVie19" w:date="2025-04-16T10:35:00Z"/>
        </w:rPr>
      </w:pPr>
    </w:p>
    <w:p w14:paraId="3D4C6F49" w14:textId="77777777" w:rsidR="00BC0E7E" w:rsidRPr="00BC0E7E" w:rsidRDefault="00944B8F" w:rsidP="00BC0E7E">
      <w:pPr>
        <w:keepNext/>
        <w:autoSpaceDE w:val="0"/>
        <w:autoSpaceDN w:val="0"/>
        <w:adjustRightInd w:val="0"/>
        <w:rPr>
          <w:del w:id="714" w:author="AbbVie19" w:date="2025-04-16T10:35:00Z"/>
          <w:b/>
          <w:u w:val="single"/>
        </w:rPr>
      </w:pPr>
      <w:del w:id="715" w:author="AbbVie19" w:date="2025-04-16T10:35:00Z">
        <w:r w:rsidRPr="00BC0E7E">
          <w:rPr>
            <w:u w:val="single"/>
          </w:rPr>
          <w:delText>Paediatric population</w:delText>
        </w:r>
      </w:del>
    </w:p>
    <w:p w14:paraId="385622E7" w14:textId="77777777" w:rsidR="00BC0E7E" w:rsidRPr="00BC0E7E" w:rsidRDefault="00BC0E7E" w:rsidP="00BC0E7E">
      <w:pPr>
        <w:keepNext/>
        <w:tabs>
          <w:tab w:val="clear" w:pos="562"/>
        </w:tabs>
        <w:rPr>
          <w:del w:id="716" w:author="AbbVie19" w:date="2025-04-16T10:35:00Z"/>
        </w:rPr>
      </w:pPr>
    </w:p>
    <w:p w14:paraId="5B85DA86" w14:textId="77777777" w:rsidR="00BC0E7E" w:rsidRPr="00BC0E7E" w:rsidRDefault="00944B8F" w:rsidP="00BC0E7E">
      <w:pPr>
        <w:keepNext/>
        <w:autoSpaceDE w:val="0"/>
        <w:autoSpaceDN w:val="0"/>
        <w:adjustRightInd w:val="0"/>
        <w:rPr>
          <w:del w:id="717" w:author="AbbVie19" w:date="2025-04-16T10:35:00Z"/>
        </w:rPr>
      </w:pPr>
      <w:del w:id="718" w:author="AbbVie19" w:date="2025-04-16T10:35:00Z">
        <w:r w:rsidRPr="00BC0E7E">
          <w:delText>In general, the adverse events in paediatric patients were similar in frequency and type to those seen in adult patients.</w:delText>
        </w:r>
      </w:del>
    </w:p>
    <w:p w14:paraId="391D2205" w14:textId="77777777" w:rsidR="00BC0E7E" w:rsidRPr="00BC0E7E" w:rsidRDefault="00BC0E7E" w:rsidP="00BC0E7E">
      <w:pPr>
        <w:autoSpaceDE w:val="0"/>
        <w:autoSpaceDN w:val="0"/>
        <w:adjustRightInd w:val="0"/>
        <w:rPr>
          <w:del w:id="719" w:author="AbbVie19" w:date="2025-04-16T10:35:00Z"/>
        </w:rPr>
      </w:pPr>
    </w:p>
    <w:p w14:paraId="2DAEDD67" w14:textId="77777777" w:rsidR="00BC0E7E" w:rsidRPr="00BC0E7E" w:rsidRDefault="00944B8F" w:rsidP="00BC0E7E">
      <w:pPr>
        <w:keepNext/>
        <w:tabs>
          <w:tab w:val="clear" w:pos="562"/>
        </w:tabs>
        <w:rPr>
          <w:del w:id="720" w:author="AbbVie19" w:date="2025-04-16T10:35:00Z"/>
          <w:u w:val="single"/>
        </w:rPr>
      </w:pPr>
      <w:del w:id="721" w:author="AbbVie19" w:date="2025-04-16T10:35:00Z">
        <w:r w:rsidRPr="00BC0E7E">
          <w:rPr>
            <w:u w:val="single"/>
          </w:rPr>
          <w:delText>Tabulated list of adverse reactions</w:delText>
        </w:r>
      </w:del>
    </w:p>
    <w:p w14:paraId="28708C1D" w14:textId="77777777" w:rsidR="00BC0E7E" w:rsidRPr="00BC0E7E" w:rsidRDefault="00BC0E7E" w:rsidP="00BC0E7E">
      <w:pPr>
        <w:keepNext/>
        <w:tabs>
          <w:tab w:val="clear" w:pos="562"/>
        </w:tabs>
        <w:rPr>
          <w:del w:id="722" w:author="AbbVie19" w:date="2025-04-16T10:35:00Z"/>
        </w:rPr>
      </w:pPr>
    </w:p>
    <w:p w14:paraId="00BC0A42" w14:textId="77777777" w:rsidR="00BC0E7E" w:rsidRPr="00BC0E7E" w:rsidRDefault="00944B8F" w:rsidP="00BC0E7E">
      <w:pPr>
        <w:keepNext/>
        <w:tabs>
          <w:tab w:val="clear" w:pos="562"/>
        </w:tabs>
        <w:suppressAutoHyphens w:val="0"/>
        <w:autoSpaceDE w:val="0"/>
        <w:autoSpaceDN w:val="0"/>
        <w:adjustRightInd w:val="0"/>
        <w:rPr>
          <w:del w:id="723" w:author="AbbVie19" w:date="2025-04-16T10:35:00Z"/>
        </w:rPr>
      </w:pPr>
      <w:del w:id="724" w:author="AbbVie19" w:date="2025-04-16T10:35:00Z">
        <w:r w:rsidRPr="00BC0E7E">
          <w:delText xml:space="preserve">The following list of adverse reactions is based on experience from clinical trials and on postmarketing experience and are displayed by system organ class and frequency in Table </w:delText>
        </w:r>
        <w:r w:rsidR="00477A3B">
          <w:delText>7</w:delText>
        </w:r>
        <w:r w:rsidRPr="00BC0E7E">
          <w:delText xml:space="preserve"> below: very common (</w:delText>
        </w:r>
        <w:r w:rsidRPr="00BC0E7E">
          <w:rPr>
            <w:rFonts w:ascii="Symbol" w:eastAsia="Symbol" w:hAnsi="Symbol" w:cs="Symbol"/>
            <w:szCs w:val="22"/>
          </w:rPr>
          <w:sym w:font="Symbol" w:char="F0B3"/>
        </w:r>
        <w:r w:rsidRPr="00BC0E7E">
          <w:delText> 1/10); common (</w:delText>
        </w:r>
        <w:r w:rsidRPr="00BC0E7E">
          <w:rPr>
            <w:rFonts w:ascii="Symbol" w:eastAsia="Symbol" w:hAnsi="Symbol" w:cs="Symbol"/>
            <w:szCs w:val="22"/>
          </w:rPr>
          <w:sym w:font="Symbol" w:char="F0B3"/>
        </w:r>
        <w:r w:rsidRPr="00BC0E7E">
          <w:delText> 1/100 to &lt; 1/10); uncommon (</w:delText>
        </w:r>
        <w:r w:rsidRPr="00BC0E7E">
          <w:rPr>
            <w:rFonts w:ascii="Symbol" w:eastAsia="Symbol" w:hAnsi="Symbol" w:cs="Symbol"/>
            <w:szCs w:val="22"/>
          </w:rPr>
          <w:sym w:font="Symbol" w:char="F0B3"/>
        </w:r>
        <w:r w:rsidRPr="00BC0E7E">
          <w:delText> 1/1,000 to&lt; 1/100); rare (</w:delText>
        </w:r>
        <w:r w:rsidRPr="00BC0E7E">
          <w:rPr>
            <w:rFonts w:ascii="Symbol" w:eastAsia="Symbol" w:hAnsi="Symbol" w:cs="Symbol"/>
            <w:szCs w:val="22"/>
          </w:rPr>
          <w:sym w:font="Symbol" w:char="F0B3"/>
        </w:r>
        <w:r w:rsidRPr="00BC0E7E">
          <w:rPr>
            <w:szCs w:val="22"/>
          </w:rPr>
          <w:delText> </w:delText>
        </w:r>
        <w:r w:rsidRPr="00BC0E7E">
          <w:delText xml:space="preserve">1/10,000 to &lt; 1/1,000); </w:delText>
        </w:r>
        <w:r w:rsidRPr="00BC0E7E">
          <w:rPr>
            <w:iCs/>
            <w:szCs w:val="22"/>
          </w:rPr>
          <w:delText>and</w:delText>
        </w:r>
        <w:r w:rsidRPr="00BC0E7E">
          <w:rPr>
            <w:i/>
            <w:iCs/>
            <w:szCs w:val="22"/>
          </w:rPr>
          <w:delText xml:space="preserve"> </w:delText>
        </w:r>
        <w:r w:rsidRPr="00BC0E7E">
          <w:rPr>
            <w:iCs/>
            <w:szCs w:val="22"/>
          </w:rPr>
          <w:delText>not known (cannot be estimated from the available data)</w:delText>
        </w:r>
        <w:r w:rsidRPr="00BC0E7E">
          <w:delText xml:space="preserve">. Within each frequency grouping, </w:delText>
        </w:r>
        <w:r w:rsidRPr="00BC0E7E">
          <w:lastRenderedPageBreak/>
          <w:delText>undesirable effects are presented in order of decreasing seriousness. The highest frequency seen among the various indications has been included. An asterisk (*) appears in the SOC column if further information is found elsewhere in sections 4.3, 4.4 and 4.8.</w:delText>
        </w:r>
      </w:del>
    </w:p>
    <w:p w14:paraId="48E231A9" w14:textId="77777777" w:rsidR="00BC0E7E" w:rsidRPr="00BC0E7E" w:rsidRDefault="00BC0E7E" w:rsidP="00BC0E7E">
      <w:pPr>
        <w:tabs>
          <w:tab w:val="clear" w:pos="562"/>
        </w:tabs>
        <w:rPr>
          <w:del w:id="725" w:author="AbbVie19" w:date="2025-04-16T10:35:00Z"/>
        </w:rPr>
      </w:pPr>
    </w:p>
    <w:p w14:paraId="2897F644" w14:textId="77777777" w:rsidR="00BC0E7E" w:rsidRPr="00BC0E7E" w:rsidRDefault="00944B8F" w:rsidP="00BD1675">
      <w:pPr>
        <w:keepNext/>
        <w:pageBreakBefore/>
        <w:jc w:val="center"/>
        <w:rPr>
          <w:del w:id="726" w:author="AbbVie19" w:date="2025-04-16T10:35:00Z"/>
          <w:b/>
        </w:rPr>
      </w:pPr>
      <w:del w:id="727" w:author="AbbVie19" w:date="2025-04-16T10:35:00Z">
        <w:r w:rsidRPr="00BC0E7E">
          <w:rPr>
            <w:b/>
          </w:rPr>
          <w:lastRenderedPageBreak/>
          <w:delText xml:space="preserve">Table </w:delText>
        </w:r>
        <w:r w:rsidR="00A94350">
          <w:rPr>
            <w:b/>
          </w:rPr>
          <w:delText>7</w:delText>
        </w:r>
      </w:del>
    </w:p>
    <w:p w14:paraId="68CF53C9" w14:textId="77777777" w:rsidR="00BC0E7E" w:rsidRPr="00BC0E7E" w:rsidRDefault="00944B8F" w:rsidP="00BC0E7E">
      <w:pPr>
        <w:keepNext/>
        <w:jc w:val="center"/>
        <w:rPr>
          <w:del w:id="728" w:author="AbbVie19" w:date="2025-04-16T10:35:00Z"/>
          <w:b/>
        </w:rPr>
      </w:pPr>
      <w:del w:id="729" w:author="AbbVie19" w:date="2025-04-16T10:35:00Z">
        <w:r w:rsidRPr="00BC0E7E">
          <w:rPr>
            <w:b/>
          </w:rPr>
          <w:delText>Undesirable Effects</w:delText>
        </w:r>
      </w:del>
    </w:p>
    <w:p w14:paraId="74CE31FD" w14:textId="77777777" w:rsidR="00BC0E7E" w:rsidRPr="00BC0E7E" w:rsidRDefault="00BC0E7E" w:rsidP="00BC0E7E">
      <w:pPr>
        <w:keepNext/>
        <w:jc w:val="center"/>
        <w:rPr>
          <w:del w:id="730" w:author="AbbVie19" w:date="2025-04-16T10:35:00Z"/>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2074"/>
        <w:gridCol w:w="4575"/>
      </w:tblGrid>
      <w:tr w:rsidR="00C6578C" w14:paraId="38F96C9B" w14:textId="77777777" w:rsidTr="000244DF">
        <w:trPr>
          <w:cantSplit/>
          <w:tblHeader/>
          <w:del w:id="731" w:author="AbbVie19" w:date="2025-04-16T10:35:00Z"/>
        </w:trPr>
        <w:tc>
          <w:tcPr>
            <w:tcW w:w="2600" w:type="dxa"/>
          </w:tcPr>
          <w:p w14:paraId="2560AD4C" w14:textId="77777777" w:rsidR="00BC0E7E" w:rsidRPr="00BC0E7E" w:rsidRDefault="00944B8F" w:rsidP="00BC0E7E">
            <w:pPr>
              <w:keepNext/>
              <w:widowControl w:val="0"/>
              <w:spacing w:before="120" w:after="120"/>
              <w:jc w:val="center"/>
              <w:rPr>
                <w:del w:id="732" w:author="AbbVie19" w:date="2025-04-16T10:35:00Z"/>
                <w:b/>
              </w:rPr>
            </w:pPr>
            <w:del w:id="733" w:author="AbbVie19" w:date="2025-04-16T10:35:00Z">
              <w:r w:rsidRPr="00BC0E7E">
                <w:rPr>
                  <w:b/>
                  <w:bCs/>
                </w:rPr>
                <w:delText>System Organ Class</w:delText>
              </w:r>
            </w:del>
          </w:p>
        </w:tc>
        <w:tc>
          <w:tcPr>
            <w:tcW w:w="2074" w:type="dxa"/>
          </w:tcPr>
          <w:p w14:paraId="08E51627" w14:textId="77777777" w:rsidR="00BC0E7E" w:rsidRPr="00BC0E7E" w:rsidRDefault="00944B8F" w:rsidP="00BC0E7E">
            <w:pPr>
              <w:keepNext/>
              <w:widowControl w:val="0"/>
              <w:spacing w:before="120" w:after="120"/>
              <w:jc w:val="center"/>
              <w:rPr>
                <w:del w:id="734" w:author="AbbVie19" w:date="2025-04-16T10:35:00Z"/>
                <w:b/>
              </w:rPr>
            </w:pPr>
            <w:del w:id="735" w:author="AbbVie19" w:date="2025-04-16T10:35:00Z">
              <w:r w:rsidRPr="00BC0E7E">
                <w:rPr>
                  <w:b/>
                  <w:bCs/>
                </w:rPr>
                <w:delText>Frequency</w:delText>
              </w:r>
            </w:del>
          </w:p>
        </w:tc>
        <w:tc>
          <w:tcPr>
            <w:tcW w:w="4575" w:type="dxa"/>
          </w:tcPr>
          <w:p w14:paraId="578F8BF7" w14:textId="77777777" w:rsidR="00BC0E7E" w:rsidRPr="00BC0E7E" w:rsidRDefault="00944B8F" w:rsidP="00BC0E7E">
            <w:pPr>
              <w:keepNext/>
              <w:widowControl w:val="0"/>
              <w:spacing w:before="120" w:after="120"/>
              <w:jc w:val="center"/>
              <w:rPr>
                <w:del w:id="736" w:author="AbbVie19" w:date="2025-04-16T10:35:00Z"/>
                <w:b/>
              </w:rPr>
            </w:pPr>
            <w:del w:id="737" w:author="AbbVie19" w:date="2025-04-16T10:35:00Z">
              <w:r w:rsidRPr="00BC0E7E">
                <w:rPr>
                  <w:b/>
                  <w:bCs/>
                </w:rPr>
                <w:delText>Adverse Reaction</w:delText>
              </w:r>
            </w:del>
          </w:p>
        </w:tc>
      </w:tr>
      <w:tr w:rsidR="00C6578C" w14:paraId="2A96538F" w14:textId="77777777" w:rsidTr="000244DF">
        <w:trPr>
          <w:cantSplit/>
          <w:del w:id="738" w:author="AbbVie19" w:date="2025-04-16T10:35:00Z"/>
        </w:trPr>
        <w:tc>
          <w:tcPr>
            <w:tcW w:w="2600" w:type="dxa"/>
            <w:vMerge w:val="restart"/>
          </w:tcPr>
          <w:p w14:paraId="53C84309" w14:textId="77777777" w:rsidR="00BC0E7E" w:rsidRPr="00BC0E7E" w:rsidRDefault="00944B8F" w:rsidP="00BC0E7E">
            <w:pPr>
              <w:widowControl w:val="0"/>
              <w:spacing w:before="60"/>
              <w:rPr>
                <w:del w:id="739" w:author="AbbVie19" w:date="2025-04-16T10:35:00Z"/>
                <w:szCs w:val="20"/>
              </w:rPr>
            </w:pPr>
            <w:del w:id="740" w:author="AbbVie19" w:date="2025-04-16T10:35:00Z">
              <w:r w:rsidRPr="00BC0E7E">
                <w:rPr>
                  <w:szCs w:val="20"/>
                </w:rPr>
                <w:delText>Infections and infestations*</w:delText>
              </w:r>
            </w:del>
          </w:p>
          <w:p w14:paraId="44C08A1C" w14:textId="77777777" w:rsidR="00BC0E7E" w:rsidRPr="00BC0E7E" w:rsidRDefault="00BC0E7E" w:rsidP="00BC0E7E">
            <w:pPr>
              <w:widowControl w:val="0"/>
              <w:spacing w:before="60"/>
              <w:jc w:val="center"/>
              <w:rPr>
                <w:del w:id="741" w:author="AbbVie19" w:date="2025-04-16T10:35:00Z"/>
              </w:rPr>
            </w:pPr>
          </w:p>
        </w:tc>
        <w:tc>
          <w:tcPr>
            <w:tcW w:w="2074" w:type="dxa"/>
          </w:tcPr>
          <w:p w14:paraId="297F25D8" w14:textId="77777777" w:rsidR="00BC0E7E" w:rsidRPr="00BC0E7E" w:rsidRDefault="00944B8F" w:rsidP="00BC0E7E">
            <w:pPr>
              <w:widowControl w:val="0"/>
              <w:spacing w:before="60"/>
              <w:rPr>
                <w:del w:id="742" w:author="AbbVie19" w:date="2025-04-16T10:35:00Z"/>
                <w:szCs w:val="20"/>
              </w:rPr>
            </w:pPr>
            <w:del w:id="743" w:author="AbbVie19" w:date="2025-04-16T10:35:00Z">
              <w:r w:rsidRPr="00BC0E7E">
                <w:rPr>
                  <w:szCs w:val="20"/>
                </w:rPr>
                <w:delText>Very common</w:delText>
              </w:r>
            </w:del>
          </w:p>
        </w:tc>
        <w:tc>
          <w:tcPr>
            <w:tcW w:w="4575" w:type="dxa"/>
          </w:tcPr>
          <w:p w14:paraId="0DDBA8DD" w14:textId="77777777" w:rsidR="00BC0E7E" w:rsidRPr="00BC0E7E" w:rsidRDefault="00944B8F" w:rsidP="00BC0E7E">
            <w:pPr>
              <w:widowControl w:val="0"/>
              <w:spacing w:before="60"/>
              <w:rPr>
                <w:del w:id="744" w:author="AbbVie19" w:date="2025-04-16T10:35:00Z"/>
                <w:szCs w:val="20"/>
              </w:rPr>
            </w:pPr>
            <w:del w:id="745" w:author="AbbVie19" w:date="2025-04-16T10:35:00Z">
              <w:r>
                <w:rPr>
                  <w:szCs w:val="20"/>
                </w:rPr>
                <w:delText>R</w:delText>
              </w:r>
              <w:r w:rsidRPr="00BC0E7E">
                <w:rPr>
                  <w:szCs w:val="20"/>
                </w:rPr>
                <w:delText>espiratory tract infections (including lower and upper respiratory tract infection, pneumonia, sinusitis, pharyngitis, nasopharyngitis and pneumonia herpes viral)</w:delText>
              </w:r>
            </w:del>
          </w:p>
          <w:p w14:paraId="3EE9CE26" w14:textId="77777777" w:rsidR="00BC0E7E" w:rsidRPr="00BC0E7E" w:rsidRDefault="00BC0E7E" w:rsidP="00BC0E7E">
            <w:pPr>
              <w:widowControl w:val="0"/>
              <w:spacing w:before="60"/>
              <w:rPr>
                <w:del w:id="746" w:author="AbbVie19" w:date="2025-04-16T10:35:00Z"/>
                <w:szCs w:val="20"/>
              </w:rPr>
            </w:pPr>
          </w:p>
        </w:tc>
      </w:tr>
      <w:tr w:rsidR="00C6578C" w14:paraId="33DF060F" w14:textId="77777777" w:rsidTr="000244DF">
        <w:trPr>
          <w:cantSplit/>
          <w:del w:id="747" w:author="AbbVie19" w:date="2025-04-16T10:35:00Z"/>
        </w:trPr>
        <w:tc>
          <w:tcPr>
            <w:tcW w:w="2600" w:type="dxa"/>
            <w:vMerge/>
          </w:tcPr>
          <w:p w14:paraId="641060ED" w14:textId="77777777" w:rsidR="00BC0E7E" w:rsidRPr="00BC0E7E" w:rsidRDefault="00BC0E7E" w:rsidP="00BC0E7E">
            <w:pPr>
              <w:widowControl w:val="0"/>
              <w:spacing w:before="60"/>
              <w:jc w:val="center"/>
              <w:rPr>
                <w:del w:id="748" w:author="AbbVie19" w:date="2025-04-16T10:35:00Z"/>
                <w:b/>
              </w:rPr>
            </w:pPr>
          </w:p>
        </w:tc>
        <w:tc>
          <w:tcPr>
            <w:tcW w:w="2074" w:type="dxa"/>
          </w:tcPr>
          <w:p w14:paraId="636344FA" w14:textId="77777777" w:rsidR="00BC0E7E" w:rsidRPr="00BC0E7E" w:rsidRDefault="00944B8F" w:rsidP="00BC0E7E">
            <w:pPr>
              <w:widowControl w:val="0"/>
              <w:spacing w:before="60"/>
              <w:rPr>
                <w:del w:id="749" w:author="AbbVie19" w:date="2025-04-16T10:35:00Z"/>
                <w:szCs w:val="20"/>
              </w:rPr>
            </w:pPr>
            <w:del w:id="750" w:author="AbbVie19" w:date="2025-04-16T10:35:00Z">
              <w:r w:rsidRPr="00BC0E7E">
                <w:rPr>
                  <w:szCs w:val="20"/>
                </w:rPr>
                <w:delText>Common</w:delText>
              </w:r>
            </w:del>
          </w:p>
          <w:p w14:paraId="725A25B3" w14:textId="77777777" w:rsidR="00BC0E7E" w:rsidRPr="00BC0E7E" w:rsidRDefault="00BC0E7E" w:rsidP="00BC0E7E">
            <w:pPr>
              <w:widowControl w:val="0"/>
              <w:spacing w:before="60"/>
              <w:rPr>
                <w:del w:id="751" w:author="AbbVie19" w:date="2025-04-16T10:35:00Z"/>
                <w:szCs w:val="20"/>
              </w:rPr>
            </w:pPr>
          </w:p>
        </w:tc>
        <w:tc>
          <w:tcPr>
            <w:tcW w:w="4575" w:type="dxa"/>
          </w:tcPr>
          <w:p w14:paraId="0765400A" w14:textId="77777777" w:rsidR="00BC0E7E" w:rsidRPr="00BC0E7E" w:rsidRDefault="00944B8F" w:rsidP="00BC0E7E">
            <w:pPr>
              <w:widowControl w:val="0"/>
              <w:tabs>
                <w:tab w:val="clear" w:pos="562"/>
              </w:tabs>
              <w:rPr>
                <w:del w:id="752" w:author="AbbVie19" w:date="2025-04-16T10:35:00Z"/>
                <w:sz w:val="24"/>
                <w:szCs w:val="20"/>
              </w:rPr>
            </w:pPr>
            <w:del w:id="753" w:author="AbbVie19" w:date="2025-04-16T10:35:00Z">
              <w:r>
                <w:rPr>
                  <w:szCs w:val="22"/>
                </w:rPr>
                <w:delText>S</w:delText>
              </w:r>
              <w:r w:rsidRPr="00BC0E7E">
                <w:rPr>
                  <w:szCs w:val="22"/>
                </w:rPr>
                <w:delText xml:space="preserve">ystemic infections </w:delText>
              </w:r>
              <w:r w:rsidRPr="00BC0E7E">
                <w:delText>(including sepsis, candidiasis and influenza)</w:delText>
              </w:r>
              <w:r w:rsidRPr="00BC0E7E">
                <w:rPr>
                  <w:szCs w:val="22"/>
                </w:rPr>
                <w:delText>,</w:delText>
              </w:r>
            </w:del>
          </w:p>
          <w:p w14:paraId="5256646C" w14:textId="77777777" w:rsidR="00BC0E7E" w:rsidRPr="00BC0E7E" w:rsidRDefault="00944B8F" w:rsidP="00BC0E7E">
            <w:pPr>
              <w:widowControl w:val="0"/>
              <w:tabs>
                <w:tab w:val="clear" w:pos="562"/>
              </w:tabs>
              <w:rPr>
                <w:del w:id="754" w:author="AbbVie19" w:date="2025-04-16T10:35:00Z"/>
              </w:rPr>
            </w:pPr>
            <w:del w:id="755" w:author="AbbVie19" w:date="2025-04-16T10:35:00Z">
              <w:r w:rsidRPr="00BC0E7E">
                <w:rPr>
                  <w:szCs w:val="22"/>
                </w:rPr>
                <w:delText xml:space="preserve">intestinal infections </w:delText>
              </w:r>
              <w:r w:rsidRPr="00BC0E7E">
                <w:delText>(including gastroenteritis viral)</w:delText>
              </w:r>
              <w:r w:rsidRPr="00BC0E7E">
                <w:rPr>
                  <w:szCs w:val="22"/>
                </w:rPr>
                <w:delText>,</w:delText>
              </w:r>
            </w:del>
          </w:p>
          <w:p w14:paraId="57576431" w14:textId="77777777" w:rsidR="00BC0E7E" w:rsidRPr="00BC0E7E" w:rsidRDefault="00944B8F" w:rsidP="00BC0E7E">
            <w:pPr>
              <w:widowControl w:val="0"/>
              <w:tabs>
                <w:tab w:val="clear" w:pos="562"/>
              </w:tabs>
              <w:rPr>
                <w:del w:id="756" w:author="AbbVie19" w:date="2025-04-16T10:35:00Z"/>
              </w:rPr>
            </w:pPr>
            <w:del w:id="757" w:author="AbbVie19" w:date="2025-04-16T10:35:00Z">
              <w:r w:rsidRPr="00BC0E7E">
                <w:delText>skin and soft tissue infections (including paronychia, cellulitis, impetigo, necrotising fasciitis and herpes zoster),</w:delText>
              </w:r>
            </w:del>
          </w:p>
          <w:p w14:paraId="4EAB874A" w14:textId="77777777" w:rsidR="00BC0E7E" w:rsidRPr="00BC0E7E" w:rsidRDefault="00944B8F" w:rsidP="00BC0E7E">
            <w:pPr>
              <w:widowControl w:val="0"/>
              <w:tabs>
                <w:tab w:val="clear" w:pos="562"/>
              </w:tabs>
              <w:rPr>
                <w:del w:id="758" w:author="AbbVie19" w:date="2025-04-16T10:35:00Z"/>
              </w:rPr>
            </w:pPr>
            <w:del w:id="759" w:author="AbbVie19" w:date="2025-04-16T10:35:00Z">
              <w:r w:rsidRPr="00BC0E7E">
                <w:rPr>
                  <w:szCs w:val="22"/>
                </w:rPr>
                <w:delText>ear infections,</w:delText>
              </w:r>
            </w:del>
          </w:p>
          <w:p w14:paraId="2571F368" w14:textId="77777777" w:rsidR="00BC0E7E" w:rsidRPr="00BC0E7E" w:rsidRDefault="00944B8F" w:rsidP="00BC0E7E">
            <w:pPr>
              <w:widowControl w:val="0"/>
              <w:tabs>
                <w:tab w:val="clear" w:pos="562"/>
              </w:tabs>
              <w:rPr>
                <w:del w:id="760" w:author="AbbVie19" w:date="2025-04-16T10:35:00Z"/>
              </w:rPr>
            </w:pPr>
            <w:del w:id="761" w:author="AbbVie19" w:date="2025-04-16T10:35:00Z">
              <w:r w:rsidRPr="00BC0E7E">
                <w:rPr>
                  <w:szCs w:val="22"/>
                </w:rPr>
                <w:delText xml:space="preserve">oral infections </w:delText>
              </w:r>
              <w:r w:rsidRPr="00BC0E7E">
                <w:delText>(including herpes simplex, oral herpes and tooth infections)</w:delText>
              </w:r>
              <w:r w:rsidRPr="00BC0E7E">
                <w:rPr>
                  <w:szCs w:val="22"/>
                </w:rPr>
                <w:delText xml:space="preserve">, </w:delText>
              </w:r>
            </w:del>
          </w:p>
          <w:p w14:paraId="1F93A83D" w14:textId="77777777" w:rsidR="00BC0E7E" w:rsidRPr="00BC0E7E" w:rsidRDefault="00944B8F" w:rsidP="00BC0E7E">
            <w:pPr>
              <w:widowControl w:val="0"/>
              <w:tabs>
                <w:tab w:val="clear" w:pos="562"/>
              </w:tabs>
              <w:rPr>
                <w:del w:id="762" w:author="AbbVie19" w:date="2025-04-16T10:35:00Z"/>
              </w:rPr>
            </w:pPr>
            <w:del w:id="763" w:author="AbbVie19" w:date="2025-04-16T10:35:00Z">
              <w:r w:rsidRPr="00BC0E7E">
                <w:rPr>
                  <w:szCs w:val="22"/>
                </w:rPr>
                <w:delText xml:space="preserve">reproductive tract infections </w:delText>
              </w:r>
              <w:r w:rsidRPr="00BC0E7E">
                <w:delText>(including vulvovaginal mycotic infection)</w:delText>
              </w:r>
              <w:r w:rsidRPr="00BC0E7E">
                <w:rPr>
                  <w:szCs w:val="22"/>
                </w:rPr>
                <w:delText xml:space="preserve">, </w:delText>
              </w:r>
            </w:del>
          </w:p>
          <w:p w14:paraId="7EA9DC43" w14:textId="77777777" w:rsidR="00BC0E7E" w:rsidRPr="00BC0E7E" w:rsidRDefault="00944B8F" w:rsidP="00BC0E7E">
            <w:pPr>
              <w:widowControl w:val="0"/>
              <w:spacing w:before="60"/>
              <w:rPr>
                <w:del w:id="764" w:author="AbbVie19" w:date="2025-04-16T10:35:00Z"/>
                <w:szCs w:val="20"/>
              </w:rPr>
            </w:pPr>
            <w:del w:id="765" w:author="AbbVie19" w:date="2025-04-16T10:35:00Z">
              <w:r w:rsidRPr="00BC0E7E">
                <w:rPr>
                  <w:szCs w:val="20"/>
                </w:rPr>
                <w:delText>urinary tract infections (including pyelonephritis),</w:delText>
              </w:r>
            </w:del>
          </w:p>
          <w:p w14:paraId="5573E7B5" w14:textId="77777777" w:rsidR="00BC0E7E" w:rsidRPr="00BC0E7E" w:rsidRDefault="00944B8F" w:rsidP="00BC0E7E">
            <w:pPr>
              <w:widowControl w:val="0"/>
              <w:spacing w:before="60"/>
              <w:rPr>
                <w:del w:id="766" w:author="AbbVie19" w:date="2025-04-16T10:35:00Z"/>
                <w:szCs w:val="20"/>
              </w:rPr>
            </w:pPr>
            <w:del w:id="767" w:author="AbbVie19" w:date="2025-04-16T10:35:00Z">
              <w:r w:rsidRPr="00BC0E7E">
                <w:rPr>
                  <w:szCs w:val="20"/>
                </w:rPr>
                <w:delText>fungal infections,</w:delText>
              </w:r>
            </w:del>
          </w:p>
          <w:p w14:paraId="5A8CDDD9" w14:textId="77777777" w:rsidR="00BC0E7E" w:rsidRPr="00BC0E7E" w:rsidRDefault="00944B8F" w:rsidP="00BC0E7E">
            <w:pPr>
              <w:widowControl w:val="0"/>
              <w:spacing w:before="60"/>
              <w:rPr>
                <w:del w:id="768" w:author="AbbVie19" w:date="2025-04-16T10:35:00Z"/>
                <w:szCs w:val="20"/>
              </w:rPr>
            </w:pPr>
            <w:del w:id="769" w:author="AbbVie19" w:date="2025-04-16T10:35:00Z">
              <w:r w:rsidRPr="00BC0E7E">
                <w:rPr>
                  <w:szCs w:val="20"/>
                </w:rPr>
                <w:delText>joint infections</w:delText>
              </w:r>
            </w:del>
          </w:p>
          <w:p w14:paraId="6927B887" w14:textId="77777777" w:rsidR="00BC0E7E" w:rsidRPr="00BC0E7E" w:rsidRDefault="00BC0E7E" w:rsidP="00BC0E7E">
            <w:pPr>
              <w:widowControl w:val="0"/>
              <w:spacing w:before="60"/>
              <w:rPr>
                <w:del w:id="770" w:author="AbbVie19" w:date="2025-04-16T10:35:00Z"/>
                <w:szCs w:val="20"/>
              </w:rPr>
            </w:pPr>
          </w:p>
        </w:tc>
      </w:tr>
      <w:tr w:rsidR="00C6578C" w14:paraId="23F2C808" w14:textId="77777777" w:rsidTr="000244DF">
        <w:trPr>
          <w:cantSplit/>
          <w:del w:id="771" w:author="AbbVie19" w:date="2025-04-16T10:35:00Z"/>
        </w:trPr>
        <w:tc>
          <w:tcPr>
            <w:tcW w:w="2600" w:type="dxa"/>
            <w:vMerge/>
          </w:tcPr>
          <w:p w14:paraId="0DF84053" w14:textId="77777777" w:rsidR="00BC0E7E" w:rsidRPr="00BC0E7E" w:rsidRDefault="00BC0E7E" w:rsidP="00BC0E7E">
            <w:pPr>
              <w:widowControl w:val="0"/>
              <w:spacing w:before="60"/>
              <w:jc w:val="center"/>
              <w:rPr>
                <w:del w:id="772" w:author="AbbVie19" w:date="2025-04-16T10:35:00Z"/>
                <w:b/>
              </w:rPr>
            </w:pPr>
          </w:p>
        </w:tc>
        <w:tc>
          <w:tcPr>
            <w:tcW w:w="2074" w:type="dxa"/>
          </w:tcPr>
          <w:p w14:paraId="07C85F96" w14:textId="77777777" w:rsidR="00BC0E7E" w:rsidRPr="00BC0E7E" w:rsidRDefault="00944B8F" w:rsidP="00BC0E7E">
            <w:pPr>
              <w:widowControl w:val="0"/>
              <w:rPr>
                <w:del w:id="773" w:author="AbbVie19" w:date="2025-04-16T10:35:00Z"/>
                <w:szCs w:val="20"/>
              </w:rPr>
            </w:pPr>
            <w:del w:id="774" w:author="AbbVie19" w:date="2025-04-16T10:35:00Z">
              <w:r w:rsidRPr="00BC0E7E">
                <w:rPr>
                  <w:szCs w:val="20"/>
                </w:rPr>
                <w:delText>Uncommon</w:delText>
              </w:r>
            </w:del>
          </w:p>
          <w:p w14:paraId="2D07B025" w14:textId="77777777" w:rsidR="00BC0E7E" w:rsidRPr="00BC0E7E" w:rsidRDefault="00BC0E7E" w:rsidP="00BC0E7E">
            <w:pPr>
              <w:widowControl w:val="0"/>
              <w:rPr>
                <w:del w:id="775" w:author="AbbVie19" w:date="2025-04-16T10:35:00Z"/>
                <w:szCs w:val="20"/>
              </w:rPr>
            </w:pPr>
          </w:p>
        </w:tc>
        <w:tc>
          <w:tcPr>
            <w:tcW w:w="4575" w:type="dxa"/>
          </w:tcPr>
          <w:p w14:paraId="1AFD4D31" w14:textId="77777777" w:rsidR="00BC0E7E" w:rsidRPr="00BC0E7E" w:rsidRDefault="00944B8F" w:rsidP="00BC0E7E">
            <w:pPr>
              <w:widowControl w:val="0"/>
              <w:rPr>
                <w:del w:id="776" w:author="AbbVie19" w:date="2025-04-16T10:35:00Z"/>
                <w:szCs w:val="20"/>
              </w:rPr>
            </w:pPr>
            <w:del w:id="777" w:author="AbbVie19" w:date="2025-04-16T10:35:00Z">
              <w:r>
                <w:rPr>
                  <w:szCs w:val="20"/>
                </w:rPr>
                <w:delText>N</w:delText>
              </w:r>
              <w:r w:rsidRPr="00BC0E7E">
                <w:rPr>
                  <w:szCs w:val="20"/>
                </w:rPr>
                <w:delText>eurological infections (including viral meningitis),</w:delText>
              </w:r>
            </w:del>
          </w:p>
          <w:p w14:paraId="02870ACD" w14:textId="77777777" w:rsidR="00BC0E7E" w:rsidRPr="00BC0E7E" w:rsidRDefault="00944B8F" w:rsidP="00BC0E7E">
            <w:pPr>
              <w:widowControl w:val="0"/>
              <w:rPr>
                <w:del w:id="778" w:author="AbbVie19" w:date="2025-04-16T10:35:00Z"/>
                <w:szCs w:val="20"/>
              </w:rPr>
            </w:pPr>
            <w:del w:id="779" w:author="AbbVie19" w:date="2025-04-16T10:35:00Z">
              <w:r w:rsidRPr="00BC0E7E">
                <w:rPr>
                  <w:szCs w:val="20"/>
                </w:rPr>
                <w:delText xml:space="preserve">opportunistic infections and tuberculosis (including coccidioidomycosis, histoplasmosis and mycobacterium avium complex infection), </w:delText>
              </w:r>
            </w:del>
          </w:p>
          <w:p w14:paraId="11B5FE37" w14:textId="77777777" w:rsidR="00BC0E7E" w:rsidRPr="00BC0E7E" w:rsidRDefault="00944B8F" w:rsidP="00BC0E7E">
            <w:pPr>
              <w:widowControl w:val="0"/>
              <w:rPr>
                <w:del w:id="780" w:author="AbbVie19" w:date="2025-04-16T10:35:00Z"/>
                <w:szCs w:val="20"/>
              </w:rPr>
            </w:pPr>
            <w:del w:id="781" w:author="AbbVie19" w:date="2025-04-16T10:35:00Z">
              <w:r w:rsidRPr="00BC0E7E">
                <w:rPr>
                  <w:szCs w:val="20"/>
                </w:rPr>
                <w:delText>bacterial infections,</w:delText>
              </w:r>
            </w:del>
          </w:p>
          <w:p w14:paraId="0DE6501D" w14:textId="77777777" w:rsidR="00BC0E7E" w:rsidRPr="00BC0E7E" w:rsidRDefault="00944B8F" w:rsidP="00BC0E7E">
            <w:pPr>
              <w:widowControl w:val="0"/>
              <w:rPr>
                <w:del w:id="782" w:author="AbbVie19" w:date="2025-04-16T10:35:00Z"/>
                <w:b/>
                <w:i/>
                <w:szCs w:val="20"/>
              </w:rPr>
            </w:pPr>
            <w:del w:id="783" w:author="AbbVie19" w:date="2025-04-16T10:35:00Z">
              <w:r w:rsidRPr="00BC0E7E">
                <w:rPr>
                  <w:szCs w:val="20"/>
                </w:rPr>
                <w:delText>eye infections,</w:delText>
              </w:r>
            </w:del>
          </w:p>
          <w:p w14:paraId="579C21A1" w14:textId="77777777" w:rsidR="00BC0E7E" w:rsidRPr="00BC0E7E" w:rsidRDefault="00944B8F" w:rsidP="00BC0E7E">
            <w:pPr>
              <w:widowControl w:val="0"/>
              <w:rPr>
                <w:del w:id="784" w:author="AbbVie19" w:date="2025-04-16T10:35:00Z"/>
                <w:szCs w:val="20"/>
              </w:rPr>
            </w:pPr>
            <w:del w:id="785" w:author="AbbVie19" w:date="2025-04-16T10:35:00Z">
              <w:r w:rsidRPr="00BC0E7E">
                <w:rPr>
                  <w:szCs w:val="20"/>
                </w:rPr>
                <w:delText>diverticulitis</w:delText>
              </w:r>
              <w:r w:rsidRPr="00BC0E7E">
                <w:rPr>
                  <w:szCs w:val="20"/>
                  <w:vertAlign w:val="superscript"/>
                </w:rPr>
                <w:delText>1)</w:delText>
              </w:r>
              <w:r w:rsidRPr="00BC0E7E">
                <w:rPr>
                  <w:szCs w:val="20"/>
                </w:rPr>
                <w:delText xml:space="preserve"> </w:delText>
              </w:r>
            </w:del>
          </w:p>
          <w:p w14:paraId="1BC30711" w14:textId="77777777" w:rsidR="00BC0E7E" w:rsidRPr="00BC0E7E" w:rsidRDefault="00BC0E7E" w:rsidP="00BC0E7E">
            <w:pPr>
              <w:widowControl w:val="0"/>
              <w:rPr>
                <w:del w:id="786" w:author="AbbVie19" w:date="2025-04-16T10:35:00Z"/>
                <w:szCs w:val="20"/>
              </w:rPr>
            </w:pPr>
          </w:p>
        </w:tc>
      </w:tr>
      <w:tr w:rsidR="00C6578C" w14:paraId="08BFB1CD" w14:textId="77777777" w:rsidTr="000244DF">
        <w:trPr>
          <w:cantSplit/>
          <w:del w:id="787" w:author="AbbVie19" w:date="2025-04-16T10:35:00Z"/>
        </w:trPr>
        <w:tc>
          <w:tcPr>
            <w:tcW w:w="2600" w:type="dxa"/>
            <w:vMerge w:val="restart"/>
          </w:tcPr>
          <w:p w14:paraId="33F09EDE" w14:textId="77777777" w:rsidR="00BC0E7E" w:rsidRPr="00BC0E7E" w:rsidRDefault="00944B8F" w:rsidP="00BC0E7E">
            <w:pPr>
              <w:widowControl w:val="0"/>
              <w:spacing w:before="60"/>
              <w:rPr>
                <w:del w:id="788" w:author="AbbVie19" w:date="2025-04-16T10:35:00Z"/>
                <w:b/>
                <w:szCs w:val="20"/>
              </w:rPr>
            </w:pPr>
            <w:del w:id="789" w:author="AbbVie19" w:date="2025-04-16T10:35:00Z">
              <w:r w:rsidRPr="00BC0E7E">
                <w:rPr>
                  <w:szCs w:val="20"/>
                </w:rPr>
                <w:delText>Neoplasms benign, malignant and unspecified (including cysts and polyps)*</w:delText>
              </w:r>
            </w:del>
          </w:p>
        </w:tc>
        <w:tc>
          <w:tcPr>
            <w:tcW w:w="2074" w:type="dxa"/>
          </w:tcPr>
          <w:p w14:paraId="310B7AD3" w14:textId="77777777" w:rsidR="00BC0E7E" w:rsidRPr="00BC0E7E" w:rsidRDefault="00944B8F" w:rsidP="00BC0E7E">
            <w:pPr>
              <w:widowControl w:val="0"/>
              <w:spacing w:before="60"/>
              <w:rPr>
                <w:del w:id="790" w:author="AbbVie19" w:date="2025-04-16T10:35:00Z"/>
                <w:szCs w:val="20"/>
              </w:rPr>
            </w:pPr>
            <w:del w:id="791" w:author="AbbVie19" w:date="2025-04-16T10:35:00Z">
              <w:r w:rsidRPr="00BC0E7E">
                <w:rPr>
                  <w:szCs w:val="20"/>
                </w:rPr>
                <w:delText>Common</w:delText>
              </w:r>
            </w:del>
          </w:p>
          <w:p w14:paraId="2073B1C4" w14:textId="77777777" w:rsidR="00BC0E7E" w:rsidRPr="00BC0E7E" w:rsidRDefault="00BC0E7E" w:rsidP="00BC0E7E">
            <w:pPr>
              <w:widowControl w:val="0"/>
              <w:spacing w:before="60"/>
              <w:rPr>
                <w:del w:id="792" w:author="AbbVie19" w:date="2025-04-16T10:35:00Z"/>
                <w:szCs w:val="20"/>
              </w:rPr>
            </w:pPr>
          </w:p>
        </w:tc>
        <w:tc>
          <w:tcPr>
            <w:tcW w:w="4575" w:type="dxa"/>
          </w:tcPr>
          <w:p w14:paraId="11778020" w14:textId="77777777" w:rsidR="00BC0E7E" w:rsidRPr="00BC0E7E" w:rsidRDefault="00944B8F" w:rsidP="00BC0E7E">
            <w:pPr>
              <w:widowControl w:val="0"/>
              <w:spacing w:before="60"/>
              <w:rPr>
                <w:del w:id="793" w:author="AbbVie19" w:date="2025-04-16T10:35:00Z"/>
                <w:szCs w:val="20"/>
              </w:rPr>
            </w:pPr>
            <w:del w:id="794" w:author="AbbVie19" w:date="2025-04-16T10:35:00Z">
              <w:r>
                <w:rPr>
                  <w:szCs w:val="20"/>
                </w:rPr>
                <w:delText>S</w:delText>
              </w:r>
              <w:r w:rsidRPr="00BC0E7E">
                <w:rPr>
                  <w:szCs w:val="20"/>
                </w:rPr>
                <w:delText>kin cancer excluding melanoma (including basal cell carcinoma and squamous cell carcinoma),</w:delText>
              </w:r>
            </w:del>
          </w:p>
          <w:p w14:paraId="307B0FE3" w14:textId="77777777" w:rsidR="00BC0E7E" w:rsidRPr="00BC0E7E" w:rsidRDefault="00944B8F" w:rsidP="00BC0E7E">
            <w:pPr>
              <w:widowControl w:val="0"/>
              <w:spacing w:before="60"/>
              <w:rPr>
                <w:del w:id="795" w:author="AbbVie19" w:date="2025-04-16T10:35:00Z"/>
                <w:szCs w:val="20"/>
              </w:rPr>
            </w:pPr>
            <w:del w:id="796" w:author="AbbVie19" w:date="2025-04-16T10:35:00Z">
              <w:r w:rsidRPr="00BC0E7E">
                <w:rPr>
                  <w:szCs w:val="20"/>
                </w:rPr>
                <w:delText>benign neoplasm</w:delText>
              </w:r>
            </w:del>
          </w:p>
          <w:p w14:paraId="7C1D3D25" w14:textId="77777777" w:rsidR="00BC0E7E" w:rsidRPr="00BC0E7E" w:rsidRDefault="00BC0E7E" w:rsidP="00BC0E7E">
            <w:pPr>
              <w:widowControl w:val="0"/>
              <w:spacing w:before="60"/>
              <w:rPr>
                <w:del w:id="797" w:author="AbbVie19" w:date="2025-04-16T10:35:00Z"/>
                <w:szCs w:val="20"/>
              </w:rPr>
            </w:pPr>
          </w:p>
        </w:tc>
      </w:tr>
      <w:tr w:rsidR="00C6578C" w14:paraId="24A928CD" w14:textId="77777777" w:rsidTr="000244DF">
        <w:trPr>
          <w:cantSplit/>
          <w:del w:id="798" w:author="AbbVie19" w:date="2025-04-16T10:35:00Z"/>
        </w:trPr>
        <w:tc>
          <w:tcPr>
            <w:tcW w:w="2600" w:type="dxa"/>
            <w:vMerge/>
          </w:tcPr>
          <w:p w14:paraId="3D14B49A" w14:textId="77777777" w:rsidR="00BC0E7E" w:rsidRPr="00BC0E7E" w:rsidRDefault="00BC0E7E" w:rsidP="00BC0E7E">
            <w:pPr>
              <w:widowControl w:val="0"/>
              <w:spacing w:before="60"/>
              <w:jc w:val="center"/>
              <w:rPr>
                <w:del w:id="799" w:author="AbbVie19" w:date="2025-04-16T10:35:00Z"/>
                <w:b/>
              </w:rPr>
            </w:pPr>
          </w:p>
        </w:tc>
        <w:tc>
          <w:tcPr>
            <w:tcW w:w="2074" w:type="dxa"/>
          </w:tcPr>
          <w:p w14:paraId="5E615B73" w14:textId="77777777" w:rsidR="00BC0E7E" w:rsidRPr="00BC0E7E" w:rsidRDefault="00944B8F" w:rsidP="00BC0E7E">
            <w:pPr>
              <w:widowControl w:val="0"/>
              <w:rPr>
                <w:del w:id="800" w:author="AbbVie19" w:date="2025-04-16T10:35:00Z"/>
                <w:szCs w:val="20"/>
              </w:rPr>
            </w:pPr>
            <w:del w:id="801" w:author="AbbVie19" w:date="2025-04-16T10:35:00Z">
              <w:r w:rsidRPr="00BC0E7E">
                <w:rPr>
                  <w:szCs w:val="20"/>
                </w:rPr>
                <w:delText>Uncommon</w:delText>
              </w:r>
            </w:del>
          </w:p>
          <w:p w14:paraId="57FE2D02" w14:textId="77777777" w:rsidR="00BC0E7E" w:rsidRPr="00BC0E7E" w:rsidRDefault="00BC0E7E" w:rsidP="00BC0E7E">
            <w:pPr>
              <w:widowControl w:val="0"/>
              <w:rPr>
                <w:del w:id="802" w:author="AbbVie19" w:date="2025-04-16T10:35:00Z"/>
                <w:szCs w:val="20"/>
              </w:rPr>
            </w:pPr>
          </w:p>
        </w:tc>
        <w:tc>
          <w:tcPr>
            <w:tcW w:w="4575" w:type="dxa"/>
          </w:tcPr>
          <w:p w14:paraId="4D118496" w14:textId="77777777" w:rsidR="00BC0E7E" w:rsidRPr="00BC0E7E" w:rsidRDefault="00944B8F" w:rsidP="00BC0E7E">
            <w:pPr>
              <w:widowControl w:val="0"/>
              <w:rPr>
                <w:del w:id="803" w:author="AbbVie19" w:date="2025-04-16T10:35:00Z"/>
                <w:szCs w:val="20"/>
              </w:rPr>
            </w:pPr>
            <w:del w:id="804" w:author="AbbVie19" w:date="2025-04-16T10:35:00Z">
              <w:r>
                <w:rPr>
                  <w:szCs w:val="20"/>
                </w:rPr>
                <w:delText>L</w:delText>
              </w:r>
              <w:r w:rsidRPr="00BC0E7E">
                <w:rPr>
                  <w:szCs w:val="20"/>
                </w:rPr>
                <w:delText xml:space="preserve">ymphoma**, </w:delText>
              </w:r>
            </w:del>
          </w:p>
          <w:p w14:paraId="341846AF" w14:textId="77777777" w:rsidR="00BC0E7E" w:rsidRPr="00BC0E7E" w:rsidRDefault="00944B8F" w:rsidP="00BC0E7E">
            <w:pPr>
              <w:widowControl w:val="0"/>
              <w:rPr>
                <w:del w:id="805" w:author="AbbVie19" w:date="2025-04-16T10:35:00Z"/>
                <w:szCs w:val="20"/>
              </w:rPr>
            </w:pPr>
            <w:del w:id="806" w:author="AbbVie19" w:date="2025-04-16T10:35:00Z">
              <w:r w:rsidRPr="00BC0E7E">
                <w:rPr>
                  <w:szCs w:val="20"/>
                </w:rPr>
                <w:delText>solid organ neoplasm (including breast cancer, lung neoplasm and thyroid neoplasm),</w:delText>
              </w:r>
            </w:del>
          </w:p>
          <w:p w14:paraId="225C7966" w14:textId="77777777" w:rsidR="00BC0E7E" w:rsidRPr="00BC0E7E" w:rsidRDefault="00944B8F" w:rsidP="00BC0E7E">
            <w:pPr>
              <w:widowControl w:val="0"/>
              <w:rPr>
                <w:del w:id="807" w:author="AbbVie19" w:date="2025-04-16T10:35:00Z"/>
                <w:szCs w:val="20"/>
              </w:rPr>
            </w:pPr>
            <w:del w:id="808" w:author="AbbVie19" w:date="2025-04-16T10:35:00Z">
              <w:r w:rsidRPr="00BC0E7E">
                <w:rPr>
                  <w:szCs w:val="20"/>
                </w:rPr>
                <w:delText>melanoma**</w:delText>
              </w:r>
            </w:del>
          </w:p>
          <w:p w14:paraId="50A9FF04" w14:textId="77777777" w:rsidR="00BC0E7E" w:rsidRPr="00BC0E7E" w:rsidRDefault="00BC0E7E" w:rsidP="00BC0E7E">
            <w:pPr>
              <w:widowControl w:val="0"/>
              <w:rPr>
                <w:del w:id="809" w:author="AbbVie19" w:date="2025-04-16T10:35:00Z"/>
                <w:szCs w:val="20"/>
              </w:rPr>
            </w:pPr>
          </w:p>
        </w:tc>
      </w:tr>
      <w:tr w:rsidR="00C6578C" w14:paraId="06EC1A34" w14:textId="77777777" w:rsidTr="000244DF">
        <w:trPr>
          <w:cantSplit/>
          <w:trHeight w:val="480"/>
          <w:del w:id="810" w:author="AbbVie19" w:date="2025-04-16T10:35:00Z"/>
        </w:trPr>
        <w:tc>
          <w:tcPr>
            <w:tcW w:w="2600" w:type="dxa"/>
            <w:vMerge/>
          </w:tcPr>
          <w:p w14:paraId="088F0CFA" w14:textId="77777777" w:rsidR="00BC0E7E" w:rsidRPr="00BC0E7E" w:rsidRDefault="00BC0E7E" w:rsidP="00BC0E7E">
            <w:pPr>
              <w:widowControl w:val="0"/>
              <w:spacing w:before="60"/>
              <w:rPr>
                <w:del w:id="811" w:author="AbbVie19" w:date="2025-04-16T10:35:00Z"/>
              </w:rPr>
            </w:pPr>
          </w:p>
        </w:tc>
        <w:tc>
          <w:tcPr>
            <w:tcW w:w="2074" w:type="dxa"/>
          </w:tcPr>
          <w:p w14:paraId="72F197C0" w14:textId="77777777" w:rsidR="00BC0E7E" w:rsidRPr="00BC0E7E" w:rsidRDefault="00944B8F" w:rsidP="00BC0E7E">
            <w:pPr>
              <w:widowControl w:val="0"/>
              <w:spacing w:before="60"/>
              <w:jc w:val="both"/>
              <w:rPr>
                <w:del w:id="812" w:author="AbbVie19" w:date="2025-04-16T10:35:00Z"/>
                <w:szCs w:val="20"/>
              </w:rPr>
            </w:pPr>
            <w:del w:id="813" w:author="AbbVie19" w:date="2025-04-16T10:35:00Z">
              <w:r w:rsidRPr="00BC0E7E">
                <w:rPr>
                  <w:szCs w:val="20"/>
                </w:rPr>
                <w:delText>Rare</w:delText>
              </w:r>
            </w:del>
          </w:p>
        </w:tc>
        <w:tc>
          <w:tcPr>
            <w:tcW w:w="4575" w:type="dxa"/>
          </w:tcPr>
          <w:p w14:paraId="3957A526" w14:textId="77777777" w:rsidR="00BC0E7E" w:rsidRPr="00BC0E7E" w:rsidRDefault="00944B8F" w:rsidP="00BC0E7E">
            <w:pPr>
              <w:widowControl w:val="0"/>
              <w:spacing w:before="60"/>
              <w:rPr>
                <w:del w:id="814" w:author="AbbVie19" w:date="2025-04-16T10:35:00Z"/>
              </w:rPr>
            </w:pPr>
            <w:del w:id="815" w:author="AbbVie19" w:date="2025-04-16T10:35:00Z">
              <w:r>
                <w:delText>L</w:delText>
              </w:r>
              <w:r w:rsidRPr="00BC0E7E">
                <w:delText>eukaemia</w:delText>
              </w:r>
              <w:r w:rsidRPr="00BC0E7E">
                <w:rPr>
                  <w:vertAlign w:val="superscript"/>
                </w:rPr>
                <w:delText>1)</w:delText>
              </w:r>
            </w:del>
          </w:p>
          <w:p w14:paraId="72677B24" w14:textId="77777777" w:rsidR="00BC0E7E" w:rsidRPr="00BC0E7E" w:rsidRDefault="00BC0E7E" w:rsidP="00BC0E7E">
            <w:pPr>
              <w:widowControl w:val="0"/>
              <w:spacing w:before="60"/>
              <w:rPr>
                <w:del w:id="816" w:author="AbbVie19" w:date="2025-04-16T10:35:00Z"/>
              </w:rPr>
            </w:pPr>
          </w:p>
        </w:tc>
      </w:tr>
      <w:tr w:rsidR="00C6578C" w14:paraId="118FEC8D" w14:textId="77777777" w:rsidTr="000244DF">
        <w:trPr>
          <w:cantSplit/>
          <w:trHeight w:val="480"/>
          <w:del w:id="817" w:author="AbbVie19" w:date="2025-04-16T10:35:00Z"/>
        </w:trPr>
        <w:tc>
          <w:tcPr>
            <w:tcW w:w="2600" w:type="dxa"/>
            <w:vMerge/>
          </w:tcPr>
          <w:p w14:paraId="2AB5F5C3" w14:textId="77777777" w:rsidR="00BC0E7E" w:rsidRPr="00BC0E7E" w:rsidRDefault="00BC0E7E" w:rsidP="00BC0E7E">
            <w:pPr>
              <w:widowControl w:val="0"/>
              <w:spacing w:before="60"/>
              <w:rPr>
                <w:del w:id="818" w:author="AbbVie19" w:date="2025-04-16T10:35:00Z"/>
              </w:rPr>
            </w:pPr>
          </w:p>
        </w:tc>
        <w:tc>
          <w:tcPr>
            <w:tcW w:w="2074" w:type="dxa"/>
          </w:tcPr>
          <w:p w14:paraId="21A20E83" w14:textId="77777777" w:rsidR="00BC0E7E" w:rsidRPr="00BC0E7E" w:rsidRDefault="00944B8F" w:rsidP="00BC0E7E">
            <w:pPr>
              <w:widowControl w:val="0"/>
              <w:spacing w:before="60"/>
              <w:jc w:val="both"/>
              <w:rPr>
                <w:del w:id="819" w:author="AbbVie19" w:date="2025-04-16T10:35:00Z"/>
                <w:szCs w:val="20"/>
              </w:rPr>
            </w:pPr>
            <w:del w:id="820" w:author="AbbVie19" w:date="2025-04-16T10:35:00Z">
              <w:r w:rsidRPr="00BC0E7E">
                <w:rPr>
                  <w:szCs w:val="20"/>
                </w:rPr>
                <w:delText>Not known</w:delText>
              </w:r>
            </w:del>
          </w:p>
        </w:tc>
        <w:tc>
          <w:tcPr>
            <w:tcW w:w="4575" w:type="dxa"/>
          </w:tcPr>
          <w:p w14:paraId="611374CE" w14:textId="77777777" w:rsidR="00BC0E7E" w:rsidRPr="00BC0E7E" w:rsidRDefault="00944B8F" w:rsidP="00BC0E7E">
            <w:pPr>
              <w:widowControl w:val="0"/>
              <w:spacing w:before="60"/>
              <w:rPr>
                <w:del w:id="821" w:author="AbbVie19" w:date="2025-04-16T10:35:00Z"/>
              </w:rPr>
            </w:pPr>
            <w:del w:id="822" w:author="AbbVie19" w:date="2025-04-16T10:35:00Z">
              <w:r>
                <w:delText>H</w:delText>
              </w:r>
              <w:r w:rsidRPr="00BC0E7E">
                <w:delText>epatosplenic T-cell lymphoma</w:delText>
              </w:r>
              <w:r w:rsidRPr="00BC0E7E">
                <w:rPr>
                  <w:vertAlign w:val="superscript"/>
                </w:rPr>
                <w:delText>1)</w:delText>
              </w:r>
              <w:r w:rsidRPr="00BC0E7E">
                <w:delText>,</w:delText>
              </w:r>
            </w:del>
          </w:p>
          <w:p w14:paraId="4274EC09" w14:textId="77777777" w:rsidR="00BC0E7E" w:rsidRDefault="00944B8F" w:rsidP="00BC0E7E">
            <w:pPr>
              <w:widowControl w:val="0"/>
              <w:spacing w:before="60"/>
              <w:rPr>
                <w:del w:id="823" w:author="AbbVie19" w:date="2025-04-16T10:35:00Z"/>
              </w:rPr>
            </w:pPr>
            <w:del w:id="824" w:author="AbbVie19" w:date="2025-04-16T10:35:00Z">
              <w:r w:rsidRPr="00BC0E7E">
                <w:delText>Merkel cell carcinoma (neuroendocrine carcinoma of the skin)</w:delText>
              </w:r>
              <w:r w:rsidRPr="00BC0E7E">
                <w:rPr>
                  <w:vertAlign w:val="superscript"/>
                </w:rPr>
                <w:delText>1)</w:delText>
              </w:r>
              <w:r w:rsidR="000A4E90">
                <w:delText>,</w:delText>
              </w:r>
            </w:del>
          </w:p>
          <w:p w14:paraId="1A8FF003" w14:textId="77777777" w:rsidR="000A4E90" w:rsidRPr="00466CD6" w:rsidRDefault="00944B8F" w:rsidP="00BC0E7E">
            <w:pPr>
              <w:widowControl w:val="0"/>
              <w:spacing w:before="60"/>
              <w:rPr>
                <w:del w:id="825" w:author="AbbVie19" w:date="2025-04-16T10:35:00Z"/>
              </w:rPr>
            </w:pPr>
            <w:del w:id="826" w:author="AbbVie19" w:date="2025-04-16T10:35:00Z">
              <w:r>
                <w:delText>Kaposi’s sarcoma</w:delText>
              </w:r>
            </w:del>
          </w:p>
          <w:p w14:paraId="1EF7554B" w14:textId="77777777" w:rsidR="00BC0E7E" w:rsidRPr="00BC0E7E" w:rsidRDefault="00BC0E7E" w:rsidP="00BC0E7E">
            <w:pPr>
              <w:widowControl w:val="0"/>
              <w:spacing w:before="60"/>
              <w:rPr>
                <w:del w:id="827" w:author="AbbVie19" w:date="2025-04-16T10:35:00Z"/>
              </w:rPr>
            </w:pPr>
          </w:p>
        </w:tc>
      </w:tr>
      <w:tr w:rsidR="00C6578C" w14:paraId="21E04B0E" w14:textId="77777777" w:rsidTr="000244DF">
        <w:trPr>
          <w:cantSplit/>
          <w:del w:id="828" w:author="AbbVie19" w:date="2025-04-16T10:35:00Z"/>
        </w:trPr>
        <w:tc>
          <w:tcPr>
            <w:tcW w:w="2600" w:type="dxa"/>
            <w:vMerge w:val="restart"/>
          </w:tcPr>
          <w:p w14:paraId="59728994" w14:textId="77777777" w:rsidR="00BC0E7E" w:rsidRPr="00BC0E7E" w:rsidRDefault="00944B8F" w:rsidP="00BC0E7E">
            <w:pPr>
              <w:widowControl w:val="0"/>
              <w:spacing w:before="60"/>
              <w:rPr>
                <w:del w:id="829" w:author="AbbVie19" w:date="2025-04-16T10:35:00Z"/>
                <w:b/>
              </w:rPr>
            </w:pPr>
            <w:del w:id="830" w:author="AbbVie19" w:date="2025-04-16T10:35:00Z">
              <w:r w:rsidRPr="00BC0E7E">
                <w:delText>Blood and the lymphatic system disorders*</w:delText>
              </w:r>
            </w:del>
          </w:p>
        </w:tc>
        <w:tc>
          <w:tcPr>
            <w:tcW w:w="2074" w:type="dxa"/>
          </w:tcPr>
          <w:p w14:paraId="1A14E0FD" w14:textId="77777777" w:rsidR="00BC0E7E" w:rsidRPr="00BC0E7E" w:rsidRDefault="00944B8F" w:rsidP="00BC0E7E">
            <w:pPr>
              <w:widowControl w:val="0"/>
              <w:spacing w:before="60"/>
              <w:jc w:val="both"/>
              <w:rPr>
                <w:del w:id="831" w:author="AbbVie19" w:date="2025-04-16T10:35:00Z"/>
                <w:szCs w:val="20"/>
              </w:rPr>
            </w:pPr>
            <w:del w:id="832" w:author="AbbVie19" w:date="2025-04-16T10:35:00Z">
              <w:r w:rsidRPr="00BC0E7E">
                <w:rPr>
                  <w:szCs w:val="20"/>
                </w:rPr>
                <w:delText>Very common</w:delText>
              </w:r>
            </w:del>
          </w:p>
          <w:p w14:paraId="2E0804CE" w14:textId="77777777" w:rsidR="00BC0E7E" w:rsidRPr="00BC0E7E" w:rsidRDefault="00BC0E7E" w:rsidP="00BC0E7E">
            <w:pPr>
              <w:widowControl w:val="0"/>
              <w:spacing w:before="60"/>
              <w:jc w:val="both"/>
              <w:rPr>
                <w:del w:id="833" w:author="AbbVie19" w:date="2025-04-16T10:35:00Z"/>
                <w:szCs w:val="20"/>
              </w:rPr>
            </w:pPr>
          </w:p>
        </w:tc>
        <w:tc>
          <w:tcPr>
            <w:tcW w:w="4575" w:type="dxa"/>
          </w:tcPr>
          <w:p w14:paraId="04AD23D6" w14:textId="77777777" w:rsidR="00BC0E7E" w:rsidRPr="00BC0E7E" w:rsidRDefault="00944B8F" w:rsidP="00BC0E7E">
            <w:pPr>
              <w:widowControl w:val="0"/>
              <w:spacing w:before="60"/>
              <w:rPr>
                <w:del w:id="834" w:author="AbbVie19" w:date="2025-04-16T10:35:00Z"/>
              </w:rPr>
            </w:pPr>
            <w:del w:id="835" w:author="AbbVie19" w:date="2025-04-16T10:35:00Z">
              <w:r>
                <w:delText>L</w:delText>
              </w:r>
              <w:r w:rsidRPr="00BC0E7E">
                <w:delText xml:space="preserve">eukopenia (including neutropenia and agranulocytosis), </w:delText>
              </w:r>
            </w:del>
          </w:p>
          <w:p w14:paraId="014489C9" w14:textId="77777777" w:rsidR="00BC0E7E" w:rsidRPr="00BC0E7E" w:rsidRDefault="00944B8F" w:rsidP="00BC0E7E">
            <w:pPr>
              <w:widowControl w:val="0"/>
              <w:spacing w:before="60"/>
              <w:rPr>
                <w:del w:id="836" w:author="AbbVie19" w:date="2025-04-16T10:35:00Z"/>
              </w:rPr>
            </w:pPr>
            <w:del w:id="837" w:author="AbbVie19" w:date="2025-04-16T10:35:00Z">
              <w:r w:rsidRPr="00BC0E7E">
                <w:delText xml:space="preserve">anaemia </w:delText>
              </w:r>
            </w:del>
          </w:p>
          <w:p w14:paraId="3D668A9C" w14:textId="77777777" w:rsidR="00BC0E7E" w:rsidRPr="00BC0E7E" w:rsidRDefault="00BC0E7E" w:rsidP="00BC0E7E">
            <w:pPr>
              <w:widowControl w:val="0"/>
              <w:spacing w:before="60"/>
              <w:rPr>
                <w:del w:id="838" w:author="AbbVie19" w:date="2025-04-16T10:35:00Z"/>
                <w:b/>
              </w:rPr>
            </w:pPr>
          </w:p>
        </w:tc>
      </w:tr>
      <w:tr w:rsidR="00C6578C" w14:paraId="3319A08A" w14:textId="77777777" w:rsidTr="000244DF">
        <w:trPr>
          <w:cantSplit/>
          <w:del w:id="839" w:author="AbbVie19" w:date="2025-04-16T10:35:00Z"/>
        </w:trPr>
        <w:tc>
          <w:tcPr>
            <w:tcW w:w="2600" w:type="dxa"/>
            <w:vMerge/>
          </w:tcPr>
          <w:p w14:paraId="34AC28DC" w14:textId="77777777" w:rsidR="00BC0E7E" w:rsidRPr="00BC0E7E" w:rsidRDefault="00BC0E7E" w:rsidP="00BC0E7E">
            <w:pPr>
              <w:widowControl w:val="0"/>
              <w:spacing w:beforeLines="60" w:before="144"/>
              <w:jc w:val="center"/>
              <w:rPr>
                <w:del w:id="840" w:author="AbbVie19" w:date="2025-04-16T10:35:00Z"/>
                <w:b/>
              </w:rPr>
            </w:pPr>
          </w:p>
        </w:tc>
        <w:tc>
          <w:tcPr>
            <w:tcW w:w="2074" w:type="dxa"/>
          </w:tcPr>
          <w:p w14:paraId="4BA8526B" w14:textId="77777777" w:rsidR="00BC0E7E" w:rsidRPr="00BC0E7E" w:rsidRDefault="00944B8F" w:rsidP="00BC0E7E">
            <w:pPr>
              <w:widowControl w:val="0"/>
              <w:jc w:val="both"/>
              <w:rPr>
                <w:del w:id="841" w:author="AbbVie19" w:date="2025-04-16T10:35:00Z"/>
                <w:szCs w:val="20"/>
              </w:rPr>
            </w:pPr>
            <w:del w:id="842" w:author="AbbVie19" w:date="2025-04-16T10:35:00Z">
              <w:r w:rsidRPr="00BC0E7E">
                <w:rPr>
                  <w:szCs w:val="20"/>
                </w:rPr>
                <w:delText>Common</w:delText>
              </w:r>
            </w:del>
          </w:p>
        </w:tc>
        <w:tc>
          <w:tcPr>
            <w:tcW w:w="4575" w:type="dxa"/>
          </w:tcPr>
          <w:p w14:paraId="136EAC30" w14:textId="77777777" w:rsidR="00BC0E7E" w:rsidRPr="00BC0E7E" w:rsidRDefault="00944B8F" w:rsidP="00BC0E7E">
            <w:pPr>
              <w:widowControl w:val="0"/>
              <w:rPr>
                <w:del w:id="843" w:author="AbbVie19" w:date="2025-04-16T10:35:00Z"/>
              </w:rPr>
            </w:pPr>
            <w:del w:id="844" w:author="AbbVie19" w:date="2025-04-16T10:35:00Z">
              <w:r>
                <w:delText>L</w:delText>
              </w:r>
              <w:r w:rsidRPr="00BC0E7E">
                <w:delText>eucocytosis,</w:delText>
              </w:r>
              <w:r w:rsidRPr="00BC0E7E">
                <w:br/>
                <w:delText>thrombocytopenia</w:delText>
              </w:r>
            </w:del>
          </w:p>
          <w:p w14:paraId="17D074B2" w14:textId="77777777" w:rsidR="00BC0E7E" w:rsidRPr="00BC0E7E" w:rsidRDefault="00BC0E7E" w:rsidP="00BC0E7E">
            <w:pPr>
              <w:widowControl w:val="0"/>
              <w:rPr>
                <w:del w:id="845" w:author="AbbVie19" w:date="2025-04-16T10:35:00Z"/>
              </w:rPr>
            </w:pPr>
          </w:p>
        </w:tc>
      </w:tr>
      <w:tr w:rsidR="00C6578C" w14:paraId="62F284F0" w14:textId="77777777" w:rsidTr="000244DF">
        <w:trPr>
          <w:cantSplit/>
          <w:del w:id="846" w:author="AbbVie19" w:date="2025-04-16T10:35:00Z"/>
        </w:trPr>
        <w:tc>
          <w:tcPr>
            <w:tcW w:w="2600" w:type="dxa"/>
            <w:vMerge/>
          </w:tcPr>
          <w:p w14:paraId="793099BB" w14:textId="77777777" w:rsidR="00BC0E7E" w:rsidRPr="00BC0E7E" w:rsidRDefault="00BC0E7E" w:rsidP="00BC0E7E">
            <w:pPr>
              <w:widowControl w:val="0"/>
              <w:spacing w:beforeLines="60" w:before="144"/>
              <w:jc w:val="center"/>
              <w:rPr>
                <w:del w:id="847" w:author="AbbVie19" w:date="2025-04-16T10:35:00Z"/>
                <w:b/>
              </w:rPr>
            </w:pPr>
          </w:p>
        </w:tc>
        <w:tc>
          <w:tcPr>
            <w:tcW w:w="2074" w:type="dxa"/>
          </w:tcPr>
          <w:p w14:paraId="5886A5B3" w14:textId="77777777" w:rsidR="00BC0E7E" w:rsidRPr="00BC0E7E" w:rsidRDefault="00944B8F" w:rsidP="00BC0E7E">
            <w:pPr>
              <w:widowControl w:val="0"/>
              <w:jc w:val="both"/>
              <w:rPr>
                <w:del w:id="848" w:author="AbbVie19" w:date="2025-04-16T10:35:00Z"/>
                <w:szCs w:val="20"/>
              </w:rPr>
            </w:pPr>
            <w:del w:id="849" w:author="AbbVie19" w:date="2025-04-16T10:35:00Z">
              <w:r w:rsidRPr="00BC0E7E">
                <w:rPr>
                  <w:szCs w:val="20"/>
                </w:rPr>
                <w:delText>Uncommon</w:delText>
              </w:r>
            </w:del>
          </w:p>
        </w:tc>
        <w:tc>
          <w:tcPr>
            <w:tcW w:w="4575" w:type="dxa"/>
          </w:tcPr>
          <w:p w14:paraId="408FAD27" w14:textId="77777777" w:rsidR="00BC0E7E" w:rsidRPr="00BC0E7E" w:rsidRDefault="00944B8F" w:rsidP="00BC0E7E">
            <w:pPr>
              <w:widowControl w:val="0"/>
              <w:rPr>
                <w:del w:id="850" w:author="AbbVie19" w:date="2025-04-16T10:35:00Z"/>
              </w:rPr>
            </w:pPr>
            <w:del w:id="851" w:author="AbbVie19" w:date="2025-04-16T10:35:00Z">
              <w:r>
                <w:delText>I</w:delText>
              </w:r>
              <w:r w:rsidRPr="00BC0E7E">
                <w:delText>diopathic thrombocytopenic purpura</w:delText>
              </w:r>
              <w:r w:rsidRPr="00BC0E7E">
                <w:br/>
              </w:r>
            </w:del>
          </w:p>
        </w:tc>
      </w:tr>
      <w:tr w:rsidR="00C6578C" w14:paraId="2AFFD24F" w14:textId="77777777" w:rsidTr="000244DF">
        <w:trPr>
          <w:cantSplit/>
          <w:del w:id="852" w:author="AbbVie19" w:date="2025-04-16T10:35:00Z"/>
        </w:trPr>
        <w:tc>
          <w:tcPr>
            <w:tcW w:w="2600" w:type="dxa"/>
            <w:vMerge/>
          </w:tcPr>
          <w:p w14:paraId="0CE2C7E1" w14:textId="77777777" w:rsidR="00BC0E7E" w:rsidRPr="00BC0E7E" w:rsidRDefault="00BC0E7E" w:rsidP="00BC0E7E">
            <w:pPr>
              <w:widowControl w:val="0"/>
              <w:spacing w:beforeLines="60" w:before="144"/>
              <w:jc w:val="center"/>
              <w:rPr>
                <w:del w:id="853" w:author="AbbVie19" w:date="2025-04-16T10:35:00Z"/>
                <w:b/>
              </w:rPr>
            </w:pPr>
          </w:p>
        </w:tc>
        <w:tc>
          <w:tcPr>
            <w:tcW w:w="2074" w:type="dxa"/>
          </w:tcPr>
          <w:p w14:paraId="731AAA4C" w14:textId="77777777" w:rsidR="00BC0E7E" w:rsidRPr="00BC0E7E" w:rsidRDefault="00944B8F" w:rsidP="00BC0E7E">
            <w:pPr>
              <w:widowControl w:val="0"/>
              <w:jc w:val="both"/>
              <w:rPr>
                <w:del w:id="854" w:author="AbbVie19" w:date="2025-04-16T10:35:00Z"/>
                <w:szCs w:val="20"/>
              </w:rPr>
            </w:pPr>
            <w:del w:id="855" w:author="AbbVie19" w:date="2025-04-16T10:35:00Z">
              <w:r w:rsidRPr="00BC0E7E">
                <w:rPr>
                  <w:szCs w:val="20"/>
                </w:rPr>
                <w:delText>Rare</w:delText>
              </w:r>
            </w:del>
          </w:p>
          <w:p w14:paraId="61042237" w14:textId="77777777" w:rsidR="00BC0E7E" w:rsidRPr="00BC0E7E" w:rsidRDefault="00BC0E7E" w:rsidP="00BC0E7E">
            <w:pPr>
              <w:widowControl w:val="0"/>
              <w:jc w:val="both"/>
              <w:rPr>
                <w:del w:id="856" w:author="AbbVie19" w:date="2025-04-16T10:35:00Z"/>
                <w:szCs w:val="20"/>
              </w:rPr>
            </w:pPr>
          </w:p>
        </w:tc>
        <w:tc>
          <w:tcPr>
            <w:tcW w:w="4575" w:type="dxa"/>
          </w:tcPr>
          <w:p w14:paraId="76A17484" w14:textId="77777777" w:rsidR="00BC0E7E" w:rsidRPr="00BC0E7E" w:rsidRDefault="00944B8F" w:rsidP="00BC0E7E">
            <w:pPr>
              <w:widowControl w:val="0"/>
              <w:rPr>
                <w:del w:id="857" w:author="AbbVie19" w:date="2025-04-16T10:35:00Z"/>
                <w:b/>
              </w:rPr>
            </w:pPr>
            <w:del w:id="858" w:author="AbbVie19" w:date="2025-04-16T10:35:00Z">
              <w:r>
                <w:delText>P</w:delText>
              </w:r>
              <w:r w:rsidRPr="00BC0E7E">
                <w:delText>ancytopenia</w:delText>
              </w:r>
            </w:del>
          </w:p>
        </w:tc>
      </w:tr>
      <w:tr w:rsidR="00C6578C" w14:paraId="24D85A87" w14:textId="77777777" w:rsidTr="000244DF">
        <w:trPr>
          <w:cantSplit/>
          <w:del w:id="859" w:author="AbbVie19" w:date="2025-04-16T10:35:00Z"/>
        </w:trPr>
        <w:tc>
          <w:tcPr>
            <w:tcW w:w="2600" w:type="dxa"/>
            <w:vMerge w:val="restart"/>
          </w:tcPr>
          <w:p w14:paraId="3333D8F9" w14:textId="77777777" w:rsidR="00BC0E7E" w:rsidRPr="00BC0E7E" w:rsidRDefault="00944B8F" w:rsidP="00BC0E7E">
            <w:pPr>
              <w:widowControl w:val="0"/>
              <w:spacing w:before="60"/>
              <w:rPr>
                <w:del w:id="860" w:author="AbbVie19" w:date="2025-04-16T10:35:00Z"/>
                <w:szCs w:val="20"/>
                <w:lang w:val="de-DE"/>
              </w:rPr>
            </w:pPr>
            <w:del w:id="861" w:author="AbbVie19" w:date="2025-04-16T10:35:00Z">
              <w:r w:rsidRPr="00BC0E7E">
                <w:rPr>
                  <w:szCs w:val="20"/>
                  <w:lang w:val="de-DE"/>
                </w:rPr>
                <w:delText>Immune system disorders*</w:delText>
              </w:r>
            </w:del>
          </w:p>
        </w:tc>
        <w:tc>
          <w:tcPr>
            <w:tcW w:w="2074" w:type="dxa"/>
          </w:tcPr>
          <w:p w14:paraId="67178BBE" w14:textId="77777777" w:rsidR="00BC0E7E" w:rsidRPr="00BC0E7E" w:rsidRDefault="00944B8F" w:rsidP="00BC0E7E">
            <w:pPr>
              <w:widowControl w:val="0"/>
              <w:spacing w:before="60"/>
              <w:rPr>
                <w:del w:id="862" w:author="AbbVie19" w:date="2025-04-16T10:35:00Z"/>
                <w:szCs w:val="20"/>
              </w:rPr>
            </w:pPr>
            <w:del w:id="863" w:author="AbbVie19" w:date="2025-04-16T10:35:00Z">
              <w:r w:rsidRPr="00BC0E7E">
                <w:rPr>
                  <w:szCs w:val="20"/>
                </w:rPr>
                <w:delText>Common</w:delText>
              </w:r>
            </w:del>
          </w:p>
          <w:p w14:paraId="0D58D636" w14:textId="77777777" w:rsidR="00BC0E7E" w:rsidRPr="00BC0E7E" w:rsidRDefault="00BC0E7E" w:rsidP="00BC0E7E">
            <w:pPr>
              <w:widowControl w:val="0"/>
              <w:spacing w:before="60"/>
              <w:rPr>
                <w:del w:id="864" w:author="AbbVie19" w:date="2025-04-16T10:35:00Z"/>
                <w:szCs w:val="20"/>
              </w:rPr>
            </w:pPr>
          </w:p>
        </w:tc>
        <w:tc>
          <w:tcPr>
            <w:tcW w:w="4575" w:type="dxa"/>
          </w:tcPr>
          <w:p w14:paraId="241E9575" w14:textId="77777777" w:rsidR="00BC0E7E" w:rsidRPr="00BC0E7E" w:rsidRDefault="00944B8F" w:rsidP="00BC0E7E">
            <w:pPr>
              <w:widowControl w:val="0"/>
              <w:spacing w:before="60"/>
              <w:rPr>
                <w:del w:id="865" w:author="AbbVie19" w:date="2025-04-16T10:35:00Z"/>
                <w:szCs w:val="20"/>
              </w:rPr>
            </w:pPr>
            <w:del w:id="866" w:author="AbbVie19" w:date="2025-04-16T10:35:00Z">
              <w:r>
                <w:rPr>
                  <w:szCs w:val="20"/>
                </w:rPr>
                <w:delText>H</w:delText>
              </w:r>
              <w:r w:rsidRPr="00BC0E7E">
                <w:rPr>
                  <w:szCs w:val="20"/>
                </w:rPr>
                <w:delText>ypersensitivity,</w:delText>
              </w:r>
            </w:del>
          </w:p>
          <w:p w14:paraId="44587A0D" w14:textId="77777777" w:rsidR="00BC0E7E" w:rsidRPr="00BC0E7E" w:rsidRDefault="00944B8F" w:rsidP="00BC0E7E">
            <w:pPr>
              <w:widowControl w:val="0"/>
              <w:spacing w:before="60"/>
              <w:rPr>
                <w:del w:id="867" w:author="AbbVie19" w:date="2025-04-16T10:35:00Z"/>
                <w:szCs w:val="20"/>
              </w:rPr>
            </w:pPr>
            <w:del w:id="868" w:author="AbbVie19" w:date="2025-04-16T10:35:00Z">
              <w:r w:rsidRPr="00BC0E7E">
                <w:rPr>
                  <w:szCs w:val="20"/>
                </w:rPr>
                <w:delText>allergies (including seasonal allergy)</w:delText>
              </w:r>
            </w:del>
          </w:p>
          <w:p w14:paraId="114F28AE" w14:textId="77777777" w:rsidR="00BC0E7E" w:rsidRPr="00BC0E7E" w:rsidRDefault="00BC0E7E" w:rsidP="00BC0E7E">
            <w:pPr>
              <w:widowControl w:val="0"/>
              <w:spacing w:before="60"/>
              <w:rPr>
                <w:del w:id="869" w:author="AbbVie19" w:date="2025-04-16T10:35:00Z"/>
                <w:szCs w:val="20"/>
              </w:rPr>
            </w:pPr>
          </w:p>
        </w:tc>
      </w:tr>
      <w:tr w:rsidR="00C6578C" w14:paraId="1D204FD8" w14:textId="77777777" w:rsidTr="000244DF">
        <w:trPr>
          <w:cantSplit/>
          <w:del w:id="870" w:author="AbbVie19" w:date="2025-04-16T10:35:00Z"/>
        </w:trPr>
        <w:tc>
          <w:tcPr>
            <w:tcW w:w="2600" w:type="dxa"/>
            <w:vMerge/>
          </w:tcPr>
          <w:p w14:paraId="1B15B32E" w14:textId="77777777" w:rsidR="00BC0E7E" w:rsidRPr="00BC0E7E" w:rsidRDefault="00BC0E7E" w:rsidP="00BC0E7E">
            <w:pPr>
              <w:widowControl w:val="0"/>
              <w:spacing w:before="60"/>
              <w:rPr>
                <w:del w:id="871" w:author="AbbVie19" w:date="2025-04-16T10:35:00Z"/>
                <w:szCs w:val="20"/>
              </w:rPr>
            </w:pPr>
          </w:p>
        </w:tc>
        <w:tc>
          <w:tcPr>
            <w:tcW w:w="2074" w:type="dxa"/>
          </w:tcPr>
          <w:p w14:paraId="2A879FCA" w14:textId="77777777" w:rsidR="00BC0E7E" w:rsidRPr="00BC0E7E" w:rsidRDefault="00944B8F" w:rsidP="00BC0E7E">
            <w:pPr>
              <w:widowControl w:val="0"/>
              <w:spacing w:before="60"/>
              <w:rPr>
                <w:del w:id="872" w:author="AbbVie19" w:date="2025-04-16T10:35:00Z"/>
                <w:szCs w:val="20"/>
              </w:rPr>
            </w:pPr>
            <w:del w:id="873" w:author="AbbVie19" w:date="2025-04-16T10:35:00Z">
              <w:r w:rsidRPr="00BC0E7E">
                <w:rPr>
                  <w:szCs w:val="20"/>
                </w:rPr>
                <w:delText>Uncommon</w:delText>
              </w:r>
            </w:del>
          </w:p>
        </w:tc>
        <w:tc>
          <w:tcPr>
            <w:tcW w:w="4575" w:type="dxa"/>
          </w:tcPr>
          <w:p w14:paraId="3009C513" w14:textId="77777777" w:rsidR="00BC0E7E" w:rsidRPr="00BC0E7E" w:rsidRDefault="00944B8F" w:rsidP="00BC0E7E">
            <w:pPr>
              <w:widowControl w:val="0"/>
              <w:spacing w:before="60"/>
              <w:rPr>
                <w:del w:id="874" w:author="AbbVie19" w:date="2025-04-16T10:35:00Z"/>
                <w:szCs w:val="20"/>
              </w:rPr>
            </w:pPr>
            <w:del w:id="875" w:author="AbbVie19" w:date="2025-04-16T10:35:00Z">
              <w:r>
                <w:rPr>
                  <w:szCs w:val="20"/>
                </w:rPr>
                <w:delText>S</w:delText>
              </w:r>
              <w:r w:rsidRPr="00BC0E7E">
                <w:rPr>
                  <w:szCs w:val="20"/>
                </w:rPr>
                <w:delText>arcoidosis</w:delText>
              </w:r>
              <w:r w:rsidRPr="00BC0E7E">
                <w:rPr>
                  <w:szCs w:val="20"/>
                  <w:vertAlign w:val="superscript"/>
                </w:rPr>
                <w:delText>1)</w:delText>
              </w:r>
              <w:r w:rsidRPr="00BC0E7E">
                <w:rPr>
                  <w:szCs w:val="20"/>
                </w:rPr>
                <w:delText>,</w:delText>
              </w:r>
            </w:del>
          </w:p>
          <w:p w14:paraId="01DA48B1" w14:textId="77777777" w:rsidR="00BC0E7E" w:rsidRPr="00BC0E7E" w:rsidRDefault="00944B8F" w:rsidP="00BC0E7E">
            <w:pPr>
              <w:widowControl w:val="0"/>
              <w:spacing w:before="60"/>
              <w:rPr>
                <w:del w:id="876" w:author="AbbVie19" w:date="2025-04-16T10:35:00Z"/>
                <w:szCs w:val="20"/>
              </w:rPr>
            </w:pPr>
            <w:del w:id="877" w:author="AbbVie19" w:date="2025-04-16T10:35:00Z">
              <w:r w:rsidRPr="00BC0E7E">
                <w:rPr>
                  <w:szCs w:val="20"/>
                </w:rPr>
                <w:delText>vasculitis</w:delText>
              </w:r>
            </w:del>
          </w:p>
          <w:p w14:paraId="2E235929" w14:textId="77777777" w:rsidR="00BC0E7E" w:rsidRPr="00BC0E7E" w:rsidRDefault="00BC0E7E" w:rsidP="00BC0E7E">
            <w:pPr>
              <w:widowControl w:val="0"/>
              <w:spacing w:before="60"/>
              <w:rPr>
                <w:del w:id="878" w:author="AbbVie19" w:date="2025-04-16T10:35:00Z"/>
                <w:szCs w:val="20"/>
              </w:rPr>
            </w:pPr>
          </w:p>
        </w:tc>
      </w:tr>
      <w:tr w:rsidR="00C6578C" w14:paraId="75AC3932" w14:textId="77777777" w:rsidTr="000244DF">
        <w:trPr>
          <w:cantSplit/>
          <w:del w:id="879" w:author="AbbVie19" w:date="2025-04-16T10:35:00Z"/>
        </w:trPr>
        <w:tc>
          <w:tcPr>
            <w:tcW w:w="2600" w:type="dxa"/>
            <w:vMerge/>
          </w:tcPr>
          <w:p w14:paraId="7BA3C2B1" w14:textId="77777777" w:rsidR="00BC0E7E" w:rsidRPr="00BC0E7E" w:rsidRDefault="00BC0E7E" w:rsidP="00BC0E7E">
            <w:pPr>
              <w:widowControl w:val="0"/>
              <w:spacing w:before="60"/>
              <w:rPr>
                <w:del w:id="880" w:author="AbbVie19" w:date="2025-04-16T10:35:00Z"/>
                <w:szCs w:val="20"/>
              </w:rPr>
            </w:pPr>
          </w:p>
        </w:tc>
        <w:tc>
          <w:tcPr>
            <w:tcW w:w="2074" w:type="dxa"/>
          </w:tcPr>
          <w:p w14:paraId="54710D77" w14:textId="77777777" w:rsidR="00BC0E7E" w:rsidRPr="00BC0E7E" w:rsidRDefault="00944B8F" w:rsidP="00BC0E7E">
            <w:pPr>
              <w:widowControl w:val="0"/>
              <w:spacing w:before="60"/>
              <w:rPr>
                <w:del w:id="881" w:author="AbbVie19" w:date="2025-04-16T10:35:00Z"/>
                <w:szCs w:val="20"/>
              </w:rPr>
            </w:pPr>
            <w:del w:id="882" w:author="AbbVie19" w:date="2025-04-16T10:35:00Z">
              <w:r w:rsidRPr="00BC0E7E">
                <w:rPr>
                  <w:szCs w:val="20"/>
                </w:rPr>
                <w:delText>Rare</w:delText>
              </w:r>
            </w:del>
          </w:p>
        </w:tc>
        <w:tc>
          <w:tcPr>
            <w:tcW w:w="4575" w:type="dxa"/>
          </w:tcPr>
          <w:p w14:paraId="101E702A" w14:textId="77777777" w:rsidR="00BC0E7E" w:rsidRPr="00BC0E7E" w:rsidRDefault="00944B8F" w:rsidP="00BC0E7E">
            <w:pPr>
              <w:widowControl w:val="0"/>
              <w:spacing w:before="60"/>
              <w:rPr>
                <w:del w:id="883" w:author="AbbVie19" w:date="2025-04-16T10:35:00Z"/>
                <w:szCs w:val="20"/>
                <w:vertAlign w:val="superscript"/>
              </w:rPr>
            </w:pPr>
            <w:del w:id="884" w:author="AbbVie19" w:date="2025-04-16T10:35:00Z">
              <w:r>
                <w:rPr>
                  <w:szCs w:val="20"/>
                </w:rPr>
                <w:delText>A</w:delText>
              </w:r>
              <w:r w:rsidRPr="00BC0E7E">
                <w:rPr>
                  <w:szCs w:val="20"/>
                </w:rPr>
                <w:delText>naphylaxis</w:delText>
              </w:r>
              <w:r w:rsidRPr="00BC0E7E">
                <w:rPr>
                  <w:szCs w:val="20"/>
                  <w:vertAlign w:val="superscript"/>
                </w:rPr>
                <w:delText>1)</w:delText>
              </w:r>
            </w:del>
          </w:p>
          <w:p w14:paraId="7AC1BE3E" w14:textId="77777777" w:rsidR="00BC0E7E" w:rsidRPr="00BC0E7E" w:rsidRDefault="00BC0E7E" w:rsidP="00BC0E7E">
            <w:pPr>
              <w:widowControl w:val="0"/>
              <w:spacing w:before="60"/>
              <w:rPr>
                <w:del w:id="885" w:author="AbbVie19" w:date="2025-04-16T10:35:00Z"/>
                <w:szCs w:val="20"/>
              </w:rPr>
            </w:pPr>
          </w:p>
        </w:tc>
      </w:tr>
      <w:tr w:rsidR="00C6578C" w14:paraId="1C5CCA0B" w14:textId="77777777" w:rsidTr="000244DF">
        <w:trPr>
          <w:cantSplit/>
          <w:del w:id="886" w:author="AbbVie19" w:date="2025-04-16T10:35:00Z"/>
        </w:trPr>
        <w:tc>
          <w:tcPr>
            <w:tcW w:w="2600" w:type="dxa"/>
            <w:vMerge w:val="restart"/>
          </w:tcPr>
          <w:p w14:paraId="6B1B29EC" w14:textId="77777777" w:rsidR="00BC0E7E" w:rsidRPr="00BC0E7E" w:rsidRDefault="00944B8F" w:rsidP="00BC0E7E">
            <w:pPr>
              <w:widowControl w:val="0"/>
              <w:spacing w:before="60"/>
              <w:rPr>
                <w:del w:id="887" w:author="AbbVie19" w:date="2025-04-16T10:35:00Z"/>
                <w:szCs w:val="20"/>
              </w:rPr>
            </w:pPr>
            <w:del w:id="888" w:author="AbbVie19" w:date="2025-04-16T10:35:00Z">
              <w:r w:rsidRPr="00BC0E7E">
                <w:rPr>
                  <w:szCs w:val="20"/>
                </w:rPr>
                <w:delText>Metabolism and nutrition disorders</w:delText>
              </w:r>
            </w:del>
          </w:p>
        </w:tc>
        <w:tc>
          <w:tcPr>
            <w:tcW w:w="2074" w:type="dxa"/>
          </w:tcPr>
          <w:p w14:paraId="0C243F32" w14:textId="77777777" w:rsidR="00BC0E7E" w:rsidRPr="00BC0E7E" w:rsidRDefault="00944B8F" w:rsidP="00BC0E7E">
            <w:pPr>
              <w:widowControl w:val="0"/>
              <w:spacing w:before="60"/>
              <w:rPr>
                <w:del w:id="889" w:author="AbbVie19" w:date="2025-04-16T10:35:00Z"/>
                <w:szCs w:val="20"/>
              </w:rPr>
            </w:pPr>
            <w:del w:id="890" w:author="AbbVie19" w:date="2025-04-16T10:35:00Z">
              <w:r w:rsidRPr="00BC0E7E">
                <w:rPr>
                  <w:szCs w:val="20"/>
                </w:rPr>
                <w:delText>Very common</w:delText>
              </w:r>
            </w:del>
          </w:p>
          <w:p w14:paraId="65990966" w14:textId="77777777" w:rsidR="00BC0E7E" w:rsidRPr="00BC0E7E" w:rsidRDefault="00BC0E7E" w:rsidP="00BC0E7E">
            <w:pPr>
              <w:widowControl w:val="0"/>
              <w:spacing w:before="60"/>
              <w:rPr>
                <w:del w:id="891" w:author="AbbVie19" w:date="2025-04-16T10:35:00Z"/>
                <w:szCs w:val="20"/>
              </w:rPr>
            </w:pPr>
          </w:p>
        </w:tc>
        <w:tc>
          <w:tcPr>
            <w:tcW w:w="4575" w:type="dxa"/>
          </w:tcPr>
          <w:p w14:paraId="3B0A7CA6" w14:textId="77777777" w:rsidR="00BC0E7E" w:rsidRPr="00BC0E7E" w:rsidRDefault="00944B8F" w:rsidP="00BC0E7E">
            <w:pPr>
              <w:widowControl w:val="0"/>
              <w:spacing w:before="60"/>
              <w:rPr>
                <w:del w:id="892" w:author="AbbVie19" w:date="2025-04-16T10:35:00Z"/>
                <w:szCs w:val="20"/>
              </w:rPr>
            </w:pPr>
            <w:del w:id="893" w:author="AbbVie19" w:date="2025-04-16T10:35:00Z">
              <w:r>
                <w:rPr>
                  <w:szCs w:val="20"/>
                </w:rPr>
                <w:delText>L</w:delText>
              </w:r>
              <w:r w:rsidRPr="00BC0E7E">
                <w:rPr>
                  <w:szCs w:val="20"/>
                </w:rPr>
                <w:delText>ipids increased</w:delText>
              </w:r>
            </w:del>
          </w:p>
        </w:tc>
      </w:tr>
      <w:tr w:rsidR="00C6578C" w14:paraId="0FF16A33" w14:textId="77777777" w:rsidTr="000244DF">
        <w:trPr>
          <w:cantSplit/>
          <w:trHeight w:val="2589"/>
          <w:del w:id="894" w:author="AbbVie19" w:date="2025-04-16T10:35:00Z"/>
        </w:trPr>
        <w:tc>
          <w:tcPr>
            <w:tcW w:w="2600" w:type="dxa"/>
            <w:vMerge/>
          </w:tcPr>
          <w:p w14:paraId="2EBFC464" w14:textId="77777777" w:rsidR="00BC0E7E" w:rsidRPr="00BC0E7E" w:rsidRDefault="00BC0E7E" w:rsidP="00BC0E7E">
            <w:pPr>
              <w:widowControl w:val="0"/>
              <w:spacing w:before="60"/>
              <w:rPr>
                <w:del w:id="895" w:author="AbbVie19" w:date="2025-04-16T10:35:00Z"/>
                <w:szCs w:val="20"/>
              </w:rPr>
            </w:pPr>
          </w:p>
        </w:tc>
        <w:tc>
          <w:tcPr>
            <w:tcW w:w="2074" w:type="dxa"/>
          </w:tcPr>
          <w:p w14:paraId="0DDDF33E" w14:textId="77777777" w:rsidR="00BC0E7E" w:rsidRPr="00BC0E7E" w:rsidRDefault="00944B8F" w:rsidP="00BC0E7E">
            <w:pPr>
              <w:widowControl w:val="0"/>
              <w:spacing w:before="60"/>
              <w:rPr>
                <w:del w:id="896" w:author="AbbVie19" w:date="2025-04-16T10:35:00Z"/>
                <w:szCs w:val="20"/>
              </w:rPr>
            </w:pPr>
            <w:del w:id="897" w:author="AbbVie19" w:date="2025-04-16T10:35:00Z">
              <w:r w:rsidRPr="00BC0E7E">
                <w:rPr>
                  <w:szCs w:val="20"/>
                </w:rPr>
                <w:delText>Common</w:delText>
              </w:r>
            </w:del>
          </w:p>
          <w:p w14:paraId="16C94CDF" w14:textId="77777777" w:rsidR="00BC0E7E" w:rsidRPr="00BC0E7E" w:rsidRDefault="00BC0E7E" w:rsidP="00BC0E7E">
            <w:pPr>
              <w:widowControl w:val="0"/>
              <w:spacing w:before="60"/>
              <w:rPr>
                <w:del w:id="898" w:author="AbbVie19" w:date="2025-04-16T10:35:00Z"/>
                <w:szCs w:val="20"/>
              </w:rPr>
            </w:pPr>
          </w:p>
        </w:tc>
        <w:tc>
          <w:tcPr>
            <w:tcW w:w="4575" w:type="dxa"/>
          </w:tcPr>
          <w:p w14:paraId="4396B518" w14:textId="77777777" w:rsidR="00BC0E7E" w:rsidRPr="00BC0E7E" w:rsidRDefault="00944B8F" w:rsidP="00BC0E7E">
            <w:pPr>
              <w:widowControl w:val="0"/>
              <w:spacing w:before="60"/>
              <w:rPr>
                <w:del w:id="899" w:author="AbbVie19" w:date="2025-04-16T10:35:00Z"/>
                <w:szCs w:val="20"/>
              </w:rPr>
            </w:pPr>
            <w:del w:id="900" w:author="AbbVie19" w:date="2025-04-16T10:35:00Z">
              <w:r>
                <w:rPr>
                  <w:szCs w:val="20"/>
                </w:rPr>
                <w:delText>H</w:delText>
              </w:r>
              <w:r w:rsidRPr="00BC0E7E">
                <w:rPr>
                  <w:szCs w:val="20"/>
                </w:rPr>
                <w:delText xml:space="preserve">ypokalaemia, </w:delText>
              </w:r>
            </w:del>
          </w:p>
          <w:p w14:paraId="07AE2866" w14:textId="77777777" w:rsidR="00BC0E7E" w:rsidRPr="00BC0E7E" w:rsidRDefault="00944B8F" w:rsidP="00BC0E7E">
            <w:pPr>
              <w:widowControl w:val="0"/>
              <w:spacing w:before="60"/>
              <w:rPr>
                <w:del w:id="901" w:author="AbbVie19" w:date="2025-04-16T10:35:00Z"/>
                <w:szCs w:val="20"/>
              </w:rPr>
            </w:pPr>
            <w:del w:id="902" w:author="AbbVie19" w:date="2025-04-16T10:35:00Z">
              <w:r w:rsidRPr="00BC0E7E">
                <w:rPr>
                  <w:szCs w:val="20"/>
                </w:rPr>
                <w:delText xml:space="preserve">uric acid increased, </w:delText>
              </w:r>
            </w:del>
          </w:p>
          <w:p w14:paraId="3F5079E4" w14:textId="77777777" w:rsidR="00BC0E7E" w:rsidRPr="00BC0E7E" w:rsidRDefault="00944B8F" w:rsidP="00BC0E7E">
            <w:pPr>
              <w:widowControl w:val="0"/>
              <w:spacing w:before="60"/>
              <w:rPr>
                <w:del w:id="903" w:author="AbbVie19" w:date="2025-04-16T10:35:00Z"/>
                <w:szCs w:val="20"/>
              </w:rPr>
            </w:pPr>
            <w:del w:id="904" w:author="AbbVie19" w:date="2025-04-16T10:35:00Z">
              <w:r w:rsidRPr="00BC0E7E">
                <w:rPr>
                  <w:szCs w:val="20"/>
                </w:rPr>
                <w:delText>blood sodium abnormal,</w:delText>
              </w:r>
            </w:del>
          </w:p>
          <w:p w14:paraId="0D60F972" w14:textId="77777777" w:rsidR="00BC0E7E" w:rsidRPr="00BC0E7E" w:rsidRDefault="00944B8F" w:rsidP="00BC0E7E">
            <w:pPr>
              <w:widowControl w:val="0"/>
              <w:spacing w:before="60"/>
              <w:rPr>
                <w:del w:id="905" w:author="AbbVie19" w:date="2025-04-16T10:35:00Z"/>
                <w:szCs w:val="20"/>
              </w:rPr>
            </w:pPr>
            <w:del w:id="906" w:author="AbbVie19" w:date="2025-04-16T10:35:00Z">
              <w:r w:rsidRPr="00BC0E7E">
                <w:rPr>
                  <w:szCs w:val="20"/>
                </w:rPr>
                <w:delText>hypocalcaemia,</w:delText>
              </w:r>
            </w:del>
          </w:p>
          <w:p w14:paraId="5C4E472E" w14:textId="77777777" w:rsidR="00BC0E7E" w:rsidRPr="00BC0E7E" w:rsidRDefault="00944B8F" w:rsidP="00BC0E7E">
            <w:pPr>
              <w:widowControl w:val="0"/>
              <w:spacing w:before="60"/>
              <w:rPr>
                <w:del w:id="907" w:author="AbbVie19" w:date="2025-04-16T10:35:00Z"/>
                <w:szCs w:val="20"/>
              </w:rPr>
            </w:pPr>
            <w:del w:id="908" w:author="AbbVie19" w:date="2025-04-16T10:35:00Z">
              <w:r w:rsidRPr="00BC0E7E">
                <w:rPr>
                  <w:szCs w:val="20"/>
                </w:rPr>
                <w:delText>hyperglycaemia,</w:delText>
              </w:r>
            </w:del>
          </w:p>
          <w:p w14:paraId="420D9577" w14:textId="77777777" w:rsidR="00BC0E7E" w:rsidRPr="00BC0E7E" w:rsidRDefault="00944B8F" w:rsidP="00BC0E7E">
            <w:pPr>
              <w:widowControl w:val="0"/>
              <w:spacing w:before="60"/>
              <w:rPr>
                <w:del w:id="909" w:author="AbbVie19" w:date="2025-04-16T10:35:00Z"/>
                <w:szCs w:val="20"/>
              </w:rPr>
            </w:pPr>
            <w:del w:id="910" w:author="AbbVie19" w:date="2025-04-16T10:35:00Z">
              <w:r w:rsidRPr="00BC0E7E">
                <w:rPr>
                  <w:szCs w:val="20"/>
                </w:rPr>
                <w:delText>hypophosphatemia,</w:delText>
              </w:r>
            </w:del>
          </w:p>
          <w:p w14:paraId="1E2BC356" w14:textId="77777777" w:rsidR="00BC0E7E" w:rsidRPr="00BC0E7E" w:rsidRDefault="00944B8F" w:rsidP="00BC0E7E">
            <w:pPr>
              <w:widowControl w:val="0"/>
              <w:spacing w:before="60"/>
              <w:rPr>
                <w:del w:id="911" w:author="AbbVie19" w:date="2025-04-16T10:35:00Z"/>
                <w:szCs w:val="20"/>
              </w:rPr>
            </w:pPr>
            <w:del w:id="912" w:author="AbbVie19" w:date="2025-04-16T10:35:00Z">
              <w:r w:rsidRPr="00BC0E7E">
                <w:rPr>
                  <w:szCs w:val="20"/>
                </w:rPr>
                <w:delText>dehydration</w:delText>
              </w:r>
            </w:del>
          </w:p>
        </w:tc>
      </w:tr>
      <w:tr w:rsidR="00C6578C" w14:paraId="1D639477" w14:textId="77777777" w:rsidTr="000244DF">
        <w:trPr>
          <w:cantSplit/>
          <w:del w:id="913" w:author="AbbVie19" w:date="2025-04-16T10:35:00Z"/>
        </w:trPr>
        <w:tc>
          <w:tcPr>
            <w:tcW w:w="2600" w:type="dxa"/>
          </w:tcPr>
          <w:p w14:paraId="3B83E398" w14:textId="77777777" w:rsidR="00BC0E7E" w:rsidRPr="00BC0E7E" w:rsidRDefault="00944B8F" w:rsidP="00BC0E7E">
            <w:pPr>
              <w:widowControl w:val="0"/>
              <w:spacing w:before="60"/>
              <w:rPr>
                <w:del w:id="914" w:author="AbbVie19" w:date="2025-04-16T10:35:00Z"/>
                <w:szCs w:val="20"/>
              </w:rPr>
            </w:pPr>
            <w:del w:id="915" w:author="AbbVie19" w:date="2025-04-16T10:35:00Z">
              <w:r w:rsidRPr="00BC0E7E">
                <w:rPr>
                  <w:szCs w:val="20"/>
                </w:rPr>
                <w:delText>Psychiatric disorders</w:delText>
              </w:r>
            </w:del>
          </w:p>
        </w:tc>
        <w:tc>
          <w:tcPr>
            <w:tcW w:w="2074" w:type="dxa"/>
          </w:tcPr>
          <w:p w14:paraId="4DBF197B" w14:textId="77777777" w:rsidR="00BC0E7E" w:rsidRPr="00BC0E7E" w:rsidRDefault="00944B8F" w:rsidP="00BC0E7E">
            <w:pPr>
              <w:widowControl w:val="0"/>
              <w:spacing w:before="60"/>
              <w:rPr>
                <w:del w:id="916" w:author="AbbVie19" w:date="2025-04-16T10:35:00Z"/>
                <w:szCs w:val="20"/>
              </w:rPr>
            </w:pPr>
            <w:del w:id="917" w:author="AbbVie19" w:date="2025-04-16T10:35:00Z">
              <w:r w:rsidRPr="00BC0E7E">
                <w:rPr>
                  <w:szCs w:val="20"/>
                </w:rPr>
                <w:delText>Common</w:delText>
              </w:r>
            </w:del>
          </w:p>
          <w:p w14:paraId="374166AA" w14:textId="77777777" w:rsidR="00BC0E7E" w:rsidRPr="00BC0E7E" w:rsidRDefault="00BC0E7E" w:rsidP="00BC0E7E">
            <w:pPr>
              <w:widowControl w:val="0"/>
              <w:spacing w:before="60"/>
              <w:rPr>
                <w:del w:id="918" w:author="AbbVie19" w:date="2025-04-16T10:35:00Z"/>
                <w:szCs w:val="20"/>
              </w:rPr>
            </w:pPr>
          </w:p>
        </w:tc>
        <w:tc>
          <w:tcPr>
            <w:tcW w:w="4575" w:type="dxa"/>
          </w:tcPr>
          <w:p w14:paraId="630C5F92" w14:textId="77777777" w:rsidR="00BC0E7E" w:rsidRPr="00BC0E7E" w:rsidRDefault="00944B8F" w:rsidP="00BC0E7E">
            <w:pPr>
              <w:widowControl w:val="0"/>
              <w:spacing w:before="60"/>
              <w:rPr>
                <w:del w:id="919" w:author="AbbVie19" w:date="2025-04-16T10:35:00Z"/>
                <w:szCs w:val="20"/>
              </w:rPr>
            </w:pPr>
            <w:del w:id="920" w:author="AbbVie19" w:date="2025-04-16T10:35:00Z">
              <w:r>
                <w:rPr>
                  <w:szCs w:val="20"/>
                </w:rPr>
                <w:delText>M</w:delText>
              </w:r>
              <w:r w:rsidRPr="00BC0E7E">
                <w:rPr>
                  <w:szCs w:val="20"/>
                </w:rPr>
                <w:delText xml:space="preserve">ood alterations (including depression), </w:delText>
              </w:r>
            </w:del>
          </w:p>
          <w:p w14:paraId="6CBB5FBE" w14:textId="77777777" w:rsidR="00BC0E7E" w:rsidRPr="00BC0E7E" w:rsidRDefault="00944B8F" w:rsidP="00BC0E7E">
            <w:pPr>
              <w:widowControl w:val="0"/>
              <w:spacing w:before="60"/>
              <w:rPr>
                <w:del w:id="921" w:author="AbbVie19" w:date="2025-04-16T10:35:00Z"/>
                <w:szCs w:val="20"/>
              </w:rPr>
            </w:pPr>
            <w:del w:id="922" w:author="AbbVie19" w:date="2025-04-16T10:35:00Z">
              <w:r w:rsidRPr="00BC0E7E">
                <w:rPr>
                  <w:szCs w:val="20"/>
                </w:rPr>
                <w:delText>anxiety,</w:delText>
              </w:r>
            </w:del>
          </w:p>
          <w:p w14:paraId="6B54F7F4" w14:textId="77777777" w:rsidR="00BC0E7E" w:rsidRPr="00BC0E7E" w:rsidRDefault="00944B8F" w:rsidP="00BC0E7E">
            <w:pPr>
              <w:widowControl w:val="0"/>
              <w:spacing w:before="60"/>
              <w:rPr>
                <w:del w:id="923" w:author="AbbVie19" w:date="2025-04-16T10:35:00Z"/>
                <w:szCs w:val="20"/>
              </w:rPr>
            </w:pPr>
            <w:del w:id="924" w:author="AbbVie19" w:date="2025-04-16T10:35:00Z">
              <w:r w:rsidRPr="00BC0E7E">
                <w:rPr>
                  <w:szCs w:val="20"/>
                </w:rPr>
                <w:delText>insomnia</w:delText>
              </w:r>
            </w:del>
          </w:p>
          <w:p w14:paraId="35B93644" w14:textId="77777777" w:rsidR="00BC0E7E" w:rsidRPr="00BC0E7E" w:rsidRDefault="00BC0E7E" w:rsidP="00BC0E7E">
            <w:pPr>
              <w:widowControl w:val="0"/>
              <w:spacing w:before="60"/>
              <w:rPr>
                <w:del w:id="925" w:author="AbbVie19" w:date="2025-04-16T10:35:00Z"/>
                <w:szCs w:val="20"/>
              </w:rPr>
            </w:pPr>
          </w:p>
        </w:tc>
      </w:tr>
      <w:tr w:rsidR="00C6578C" w14:paraId="50D1123A" w14:textId="77777777" w:rsidTr="000244DF">
        <w:trPr>
          <w:cantSplit/>
          <w:del w:id="926" w:author="AbbVie19" w:date="2025-04-16T10:35:00Z"/>
        </w:trPr>
        <w:tc>
          <w:tcPr>
            <w:tcW w:w="2600" w:type="dxa"/>
            <w:vMerge w:val="restart"/>
          </w:tcPr>
          <w:p w14:paraId="104350D5" w14:textId="77777777" w:rsidR="00BC0E7E" w:rsidRPr="00BC0E7E" w:rsidRDefault="00944B8F" w:rsidP="00BC0E7E">
            <w:pPr>
              <w:widowControl w:val="0"/>
              <w:spacing w:before="60"/>
              <w:rPr>
                <w:del w:id="927" w:author="AbbVie19" w:date="2025-04-16T10:35:00Z"/>
                <w:szCs w:val="20"/>
                <w:lang w:val="de-DE"/>
              </w:rPr>
            </w:pPr>
            <w:del w:id="928" w:author="AbbVie19" w:date="2025-04-16T10:35:00Z">
              <w:r w:rsidRPr="00BC0E7E">
                <w:rPr>
                  <w:szCs w:val="20"/>
                  <w:lang w:val="de-DE"/>
                </w:rPr>
                <w:delText>Nervous system disorders*</w:delText>
              </w:r>
            </w:del>
          </w:p>
        </w:tc>
        <w:tc>
          <w:tcPr>
            <w:tcW w:w="2074" w:type="dxa"/>
          </w:tcPr>
          <w:p w14:paraId="0180A651" w14:textId="77777777" w:rsidR="00BC0E7E" w:rsidRPr="00BC0E7E" w:rsidRDefault="00944B8F" w:rsidP="00BC0E7E">
            <w:pPr>
              <w:widowControl w:val="0"/>
              <w:spacing w:before="60"/>
              <w:rPr>
                <w:del w:id="929" w:author="AbbVie19" w:date="2025-04-16T10:35:00Z"/>
                <w:szCs w:val="20"/>
              </w:rPr>
            </w:pPr>
            <w:del w:id="930" w:author="AbbVie19" w:date="2025-04-16T10:35:00Z">
              <w:r w:rsidRPr="00BC0E7E">
                <w:rPr>
                  <w:szCs w:val="20"/>
                </w:rPr>
                <w:delText>Very common</w:delText>
              </w:r>
            </w:del>
          </w:p>
          <w:p w14:paraId="3F7927F9" w14:textId="77777777" w:rsidR="00BC0E7E" w:rsidRPr="00BC0E7E" w:rsidRDefault="00BC0E7E" w:rsidP="00BC0E7E">
            <w:pPr>
              <w:widowControl w:val="0"/>
              <w:spacing w:before="60"/>
              <w:rPr>
                <w:del w:id="931" w:author="AbbVie19" w:date="2025-04-16T10:35:00Z"/>
                <w:szCs w:val="20"/>
              </w:rPr>
            </w:pPr>
          </w:p>
        </w:tc>
        <w:tc>
          <w:tcPr>
            <w:tcW w:w="4575" w:type="dxa"/>
          </w:tcPr>
          <w:p w14:paraId="25FF5E4A" w14:textId="77777777" w:rsidR="00BC0E7E" w:rsidRPr="00BC0E7E" w:rsidRDefault="00944B8F" w:rsidP="00BC0E7E">
            <w:pPr>
              <w:widowControl w:val="0"/>
              <w:spacing w:before="60"/>
              <w:rPr>
                <w:del w:id="932" w:author="AbbVie19" w:date="2025-04-16T10:35:00Z"/>
                <w:szCs w:val="20"/>
              </w:rPr>
            </w:pPr>
            <w:del w:id="933" w:author="AbbVie19" w:date="2025-04-16T10:35:00Z">
              <w:r>
                <w:rPr>
                  <w:szCs w:val="20"/>
                </w:rPr>
                <w:delText>H</w:delText>
              </w:r>
              <w:r w:rsidRPr="00BC0E7E">
                <w:rPr>
                  <w:szCs w:val="20"/>
                </w:rPr>
                <w:delText>eadache</w:delText>
              </w:r>
            </w:del>
          </w:p>
        </w:tc>
      </w:tr>
      <w:tr w:rsidR="00C6578C" w14:paraId="0CA78DD0" w14:textId="77777777" w:rsidTr="000244DF">
        <w:trPr>
          <w:cantSplit/>
          <w:del w:id="934" w:author="AbbVie19" w:date="2025-04-16T10:35:00Z"/>
        </w:trPr>
        <w:tc>
          <w:tcPr>
            <w:tcW w:w="2600" w:type="dxa"/>
            <w:vMerge/>
          </w:tcPr>
          <w:p w14:paraId="7FB510A3" w14:textId="77777777" w:rsidR="00BC0E7E" w:rsidRPr="00BC0E7E" w:rsidRDefault="00BC0E7E" w:rsidP="00BC0E7E">
            <w:pPr>
              <w:widowControl w:val="0"/>
              <w:spacing w:before="60"/>
              <w:rPr>
                <w:del w:id="935" w:author="AbbVie19" w:date="2025-04-16T10:35:00Z"/>
                <w:szCs w:val="20"/>
                <w:lang w:val="de-DE"/>
              </w:rPr>
            </w:pPr>
          </w:p>
        </w:tc>
        <w:tc>
          <w:tcPr>
            <w:tcW w:w="2074" w:type="dxa"/>
          </w:tcPr>
          <w:p w14:paraId="604C27B0" w14:textId="77777777" w:rsidR="00BC0E7E" w:rsidRPr="00BC0E7E" w:rsidRDefault="00944B8F" w:rsidP="00BC0E7E">
            <w:pPr>
              <w:widowControl w:val="0"/>
              <w:spacing w:before="60"/>
              <w:rPr>
                <w:del w:id="936" w:author="AbbVie19" w:date="2025-04-16T10:35:00Z"/>
                <w:szCs w:val="20"/>
              </w:rPr>
            </w:pPr>
            <w:del w:id="937" w:author="AbbVie19" w:date="2025-04-16T10:35:00Z">
              <w:r w:rsidRPr="00BC0E7E">
                <w:rPr>
                  <w:szCs w:val="20"/>
                </w:rPr>
                <w:delText>Common</w:delText>
              </w:r>
            </w:del>
          </w:p>
          <w:p w14:paraId="649B691F" w14:textId="77777777" w:rsidR="00BC0E7E" w:rsidRPr="00BC0E7E" w:rsidRDefault="00BC0E7E" w:rsidP="00BC0E7E">
            <w:pPr>
              <w:widowControl w:val="0"/>
              <w:spacing w:before="60"/>
              <w:rPr>
                <w:del w:id="938" w:author="AbbVie19" w:date="2025-04-16T10:35:00Z"/>
                <w:szCs w:val="20"/>
              </w:rPr>
            </w:pPr>
          </w:p>
        </w:tc>
        <w:tc>
          <w:tcPr>
            <w:tcW w:w="4575" w:type="dxa"/>
          </w:tcPr>
          <w:p w14:paraId="391CB077" w14:textId="77777777" w:rsidR="00BC0E7E" w:rsidRPr="00BC0E7E" w:rsidRDefault="00944B8F" w:rsidP="00BC0E7E">
            <w:pPr>
              <w:widowControl w:val="0"/>
              <w:spacing w:before="60"/>
              <w:rPr>
                <w:del w:id="939" w:author="AbbVie19" w:date="2025-04-16T10:35:00Z"/>
                <w:szCs w:val="20"/>
              </w:rPr>
            </w:pPr>
            <w:del w:id="940" w:author="AbbVie19" w:date="2025-04-16T10:35:00Z">
              <w:r>
                <w:rPr>
                  <w:szCs w:val="20"/>
                </w:rPr>
                <w:delText>P</w:delText>
              </w:r>
              <w:r w:rsidRPr="00BC0E7E">
                <w:rPr>
                  <w:szCs w:val="20"/>
                </w:rPr>
                <w:delText>araesthesias (including hypoesthesia),</w:delText>
              </w:r>
            </w:del>
          </w:p>
          <w:p w14:paraId="1CAA95C8" w14:textId="77777777" w:rsidR="00BC0E7E" w:rsidRPr="00BC0E7E" w:rsidRDefault="00944B8F" w:rsidP="00BC0E7E">
            <w:pPr>
              <w:widowControl w:val="0"/>
              <w:spacing w:before="60"/>
              <w:rPr>
                <w:del w:id="941" w:author="AbbVie19" w:date="2025-04-16T10:35:00Z"/>
                <w:szCs w:val="20"/>
              </w:rPr>
            </w:pPr>
            <w:del w:id="942" w:author="AbbVie19" w:date="2025-04-16T10:35:00Z">
              <w:r w:rsidRPr="00BC0E7E">
                <w:rPr>
                  <w:szCs w:val="20"/>
                </w:rPr>
                <w:delText>migraine,</w:delText>
              </w:r>
            </w:del>
          </w:p>
          <w:p w14:paraId="5740D73F" w14:textId="77777777" w:rsidR="00BC0E7E" w:rsidRPr="00BC0E7E" w:rsidRDefault="00944B8F" w:rsidP="00BC0E7E">
            <w:pPr>
              <w:widowControl w:val="0"/>
              <w:tabs>
                <w:tab w:val="left" w:pos="3540"/>
              </w:tabs>
              <w:spacing w:before="60"/>
              <w:rPr>
                <w:del w:id="943" w:author="AbbVie19" w:date="2025-04-16T10:35:00Z"/>
                <w:szCs w:val="20"/>
              </w:rPr>
            </w:pPr>
            <w:del w:id="944" w:author="AbbVie19" w:date="2025-04-16T10:35:00Z">
              <w:r w:rsidRPr="00BC0E7E">
                <w:rPr>
                  <w:szCs w:val="20"/>
                </w:rPr>
                <w:delText>nerve root compression</w:delText>
              </w:r>
              <w:r w:rsidRPr="00BC0E7E">
                <w:rPr>
                  <w:szCs w:val="20"/>
                </w:rPr>
                <w:tab/>
              </w:r>
            </w:del>
          </w:p>
          <w:p w14:paraId="6D8E7190" w14:textId="77777777" w:rsidR="00BC0E7E" w:rsidRPr="00BC0E7E" w:rsidRDefault="00BC0E7E" w:rsidP="00BC0E7E">
            <w:pPr>
              <w:widowControl w:val="0"/>
              <w:spacing w:before="60"/>
              <w:rPr>
                <w:del w:id="945" w:author="AbbVie19" w:date="2025-04-16T10:35:00Z"/>
                <w:szCs w:val="20"/>
              </w:rPr>
            </w:pPr>
          </w:p>
        </w:tc>
      </w:tr>
      <w:tr w:rsidR="00C6578C" w14:paraId="6F32A39C" w14:textId="77777777" w:rsidTr="000244DF">
        <w:trPr>
          <w:cantSplit/>
          <w:del w:id="946" w:author="AbbVie19" w:date="2025-04-16T10:35:00Z"/>
        </w:trPr>
        <w:tc>
          <w:tcPr>
            <w:tcW w:w="2600" w:type="dxa"/>
            <w:vMerge/>
          </w:tcPr>
          <w:p w14:paraId="12F818A4" w14:textId="77777777" w:rsidR="00BC0E7E" w:rsidRPr="00BC0E7E" w:rsidRDefault="00BC0E7E" w:rsidP="00BC0E7E">
            <w:pPr>
              <w:widowControl w:val="0"/>
              <w:spacing w:before="60"/>
              <w:jc w:val="center"/>
              <w:rPr>
                <w:del w:id="947" w:author="AbbVie19" w:date="2025-04-16T10:35:00Z"/>
                <w:b/>
              </w:rPr>
            </w:pPr>
          </w:p>
        </w:tc>
        <w:tc>
          <w:tcPr>
            <w:tcW w:w="2074" w:type="dxa"/>
          </w:tcPr>
          <w:p w14:paraId="52D60845" w14:textId="77777777" w:rsidR="00BC0E7E" w:rsidRPr="00BC0E7E" w:rsidRDefault="00944B8F" w:rsidP="00BC0E7E">
            <w:pPr>
              <w:widowControl w:val="0"/>
              <w:rPr>
                <w:del w:id="948" w:author="AbbVie19" w:date="2025-04-16T10:35:00Z"/>
                <w:szCs w:val="20"/>
              </w:rPr>
            </w:pPr>
            <w:del w:id="949" w:author="AbbVie19" w:date="2025-04-16T10:35:00Z">
              <w:r w:rsidRPr="00BC0E7E">
                <w:rPr>
                  <w:szCs w:val="20"/>
                </w:rPr>
                <w:delText>Uncommon</w:delText>
              </w:r>
            </w:del>
          </w:p>
          <w:p w14:paraId="78081DD9" w14:textId="77777777" w:rsidR="00BC0E7E" w:rsidRPr="00BC0E7E" w:rsidRDefault="00BC0E7E" w:rsidP="00BC0E7E">
            <w:pPr>
              <w:widowControl w:val="0"/>
              <w:rPr>
                <w:del w:id="950" w:author="AbbVie19" w:date="2025-04-16T10:35:00Z"/>
                <w:szCs w:val="20"/>
              </w:rPr>
            </w:pPr>
          </w:p>
        </w:tc>
        <w:tc>
          <w:tcPr>
            <w:tcW w:w="4575" w:type="dxa"/>
          </w:tcPr>
          <w:p w14:paraId="6A6E056A" w14:textId="77777777" w:rsidR="00BC0E7E" w:rsidRPr="00BC0E7E" w:rsidRDefault="00944B8F" w:rsidP="00BC0E7E">
            <w:pPr>
              <w:widowControl w:val="0"/>
              <w:rPr>
                <w:del w:id="951" w:author="AbbVie19" w:date="2025-04-16T10:35:00Z"/>
                <w:szCs w:val="20"/>
              </w:rPr>
            </w:pPr>
            <w:del w:id="952" w:author="AbbVie19" w:date="2025-04-16T10:35:00Z">
              <w:r>
                <w:rPr>
                  <w:szCs w:val="20"/>
                </w:rPr>
                <w:delText>C</w:delText>
              </w:r>
              <w:r w:rsidRPr="00BC0E7E">
                <w:rPr>
                  <w:szCs w:val="20"/>
                </w:rPr>
                <w:delText>erebrovascular accident</w:delText>
              </w:r>
              <w:r w:rsidRPr="00BC0E7E">
                <w:rPr>
                  <w:szCs w:val="20"/>
                  <w:vertAlign w:val="superscript"/>
                </w:rPr>
                <w:delText>1)</w:delText>
              </w:r>
              <w:r w:rsidRPr="00BC0E7E">
                <w:rPr>
                  <w:szCs w:val="20"/>
                </w:rPr>
                <w:delText>,</w:delText>
              </w:r>
            </w:del>
          </w:p>
          <w:p w14:paraId="19D2AFD1" w14:textId="77777777" w:rsidR="00BC0E7E" w:rsidRPr="00BC0E7E" w:rsidRDefault="00944B8F" w:rsidP="00BC0E7E">
            <w:pPr>
              <w:widowControl w:val="0"/>
              <w:rPr>
                <w:del w:id="953" w:author="AbbVie19" w:date="2025-04-16T10:35:00Z"/>
                <w:szCs w:val="20"/>
              </w:rPr>
            </w:pPr>
            <w:del w:id="954" w:author="AbbVie19" w:date="2025-04-16T10:35:00Z">
              <w:r w:rsidRPr="00BC0E7E">
                <w:rPr>
                  <w:szCs w:val="20"/>
                </w:rPr>
                <w:delText>tremor,</w:delText>
              </w:r>
            </w:del>
          </w:p>
          <w:p w14:paraId="42AFA584" w14:textId="77777777" w:rsidR="00BC0E7E" w:rsidRPr="00BC0E7E" w:rsidRDefault="00944B8F" w:rsidP="00BC0E7E">
            <w:pPr>
              <w:widowControl w:val="0"/>
              <w:rPr>
                <w:del w:id="955" w:author="AbbVie19" w:date="2025-04-16T10:35:00Z"/>
                <w:szCs w:val="20"/>
              </w:rPr>
            </w:pPr>
            <w:del w:id="956" w:author="AbbVie19" w:date="2025-04-16T10:35:00Z">
              <w:r w:rsidRPr="00BC0E7E">
                <w:rPr>
                  <w:szCs w:val="20"/>
                </w:rPr>
                <w:delText xml:space="preserve">neuropathy </w:delText>
              </w:r>
            </w:del>
          </w:p>
          <w:p w14:paraId="676D8275" w14:textId="77777777" w:rsidR="00BC0E7E" w:rsidRPr="00BC0E7E" w:rsidRDefault="00BC0E7E" w:rsidP="00BC0E7E">
            <w:pPr>
              <w:widowControl w:val="0"/>
              <w:rPr>
                <w:del w:id="957" w:author="AbbVie19" w:date="2025-04-16T10:35:00Z"/>
                <w:szCs w:val="20"/>
              </w:rPr>
            </w:pPr>
          </w:p>
        </w:tc>
      </w:tr>
      <w:tr w:rsidR="00C6578C" w14:paraId="14ACF113" w14:textId="77777777" w:rsidTr="000244DF">
        <w:trPr>
          <w:cantSplit/>
          <w:trHeight w:val="881"/>
          <w:del w:id="958" w:author="AbbVie19" w:date="2025-04-16T10:35:00Z"/>
        </w:trPr>
        <w:tc>
          <w:tcPr>
            <w:tcW w:w="2600" w:type="dxa"/>
            <w:vMerge/>
          </w:tcPr>
          <w:p w14:paraId="04BB811A" w14:textId="77777777" w:rsidR="00BC0E7E" w:rsidRPr="00BC0E7E" w:rsidRDefault="00BC0E7E" w:rsidP="00BC0E7E">
            <w:pPr>
              <w:widowControl w:val="0"/>
              <w:spacing w:before="60"/>
              <w:jc w:val="center"/>
              <w:rPr>
                <w:del w:id="959" w:author="AbbVie19" w:date="2025-04-16T10:35:00Z"/>
                <w:b/>
              </w:rPr>
            </w:pPr>
          </w:p>
        </w:tc>
        <w:tc>
          <w:tcPr>
            <w:tcW w:w="2074" w:type="dxa"/>
          </w:tcPr>
          <w:p w14:paraId="28546570" w14:textId="77777777" w:rsidR="00BC0E7E" w:rsidRPr="00BC0E7E" w:rsidRDefault="00944B8F" w:rsidP="00BC0E7E">
            <w:pPr>
              <w:widowControl w:val="0"/>
              <w:rPr>
                <w:del w:id="960" w:author="AbbVie19" w:date="2025-04-16T10:35:00Z"/>
                <w:szCs w:val="20"/>
              </w:rPr>
            </w:pPr>
            <w:del w:id="961" w:author="AbbVie19" w:date="2025-04-16T10:35:00Z">
              <w:r w:rsidRPr="00BC0E7E">
                <w:rPr>
                  <w:szCs w:val="20"/>
                </w:rPr>
                <w:delText>Rare</w:delText>
              </w:r>
            </w:del>
          </w:p>
          <w:p w14:paraId="48C44CDC" w14:textId="77777777" w:rsidR="00BC0E7E" w:rsidRPr="00BC0E7E" w:rsidRDefault="00BC0E7E" w:rsidP="00BC0E7E">
            <w:pPr>
              <w:widowControl w:val="0"/>
              <w:rPr>
                <w:del w:id="962" w:author="AbbVie19" w:date="2025-04-16T10:35:00Z"/>
                <w:szCs w:val="20"/>
              </w:rPr>
            </w:pPr>
          </w:p>
        </w:tc>
        <w:tc>
          <w:tcPr>
            <w:tcW w:w="4575" w:type="dxa"/>
          </w:tcPr>
          <w:p w14:paraId="2DC55F3A" w14:textId="77777777" w:rsidR="00BC0E7E" w:rsidRPr="00762FA7" w:rsidRDefault="00944B8F" w:rsidP="00BC0E7E">
            <w:pPr>
              <w:widowControl w:val="0"/>
              <w:rPr>
                <w:del w:id="963" w:author="AbbVie19" w:date="2025-04-16T10:35:00Z"/>
                <w:szCs w:val="20"/>
                <w:lang w:val="fr-FR"/>
              </w:rPr>
            </w:pPr>
            <w:del w:id="964" w:author="AbbVie19" w:date="2025-04-16T10:35:00Z">
              <w:r w:rsidRPr="00762FA7">
                <w:rPr>
                  <w:szCs w:val="20"/>
                  <w:lang w:val="fr-FR"/>
                </w:rPr>
                <w:delText>Multiple sclerosis,</w:delText>
              </w:r>
            </w:del>
          </w:p>
          <w:p w14:paraId="07E2FC9B" w14:textId="77777777" w:rsidR="00BC0E7E" w:rsidRPr="00762FA7" w:rsidRDefault="00944B8F" w:rsidP="00BC0E7E">
            <w:pPr>
              <w:widowControl w:val="0"/>
              <w:spacing w:before="60"/>
              <w:rPr>
                <w:del w:id="965" w:author="AbbVie19" w:date="2025-04-16T10:35:00Z"/>
                <w:szCs w:val="20"/>
                <w:vertAlign w:val="superscript"/>
                <w:lang w:val="fr-FR"/>
              </w:rPr>
            </w:pPr>
            <w:del w:id="966" w:author="AbbVie19" w:date="2025-04-16T10:35:00Z">
              <w:r w:rsidRPr="00762FA7">
                <w:rPr>
                  <w:szCs w:val="20"/>
                  <w:lang w:val="fr-FR"/>
                </w:rPr>
                <w:delText>demyelinating disorders (e.g. optic neuritis, Guillain-Barré syndrome)</w:delText>
              </w:r>
              <w:r w:rsidRPr="00762FA7">
                <w:rPr>
                  <w:szCs w:val="20"/>
                  <w:vertAlign w:val="superscript"/>
                  <w:lang w:val="fr-FR"/>
                </w:rPr>
                <w:delText xml:space="preserve"> 1)</w:delText>
              </w:r>
            </w:del>
          </w:p>
          <w:p w14:paraId="2A017331" w14:textId="77777777" w:rsidR="00BC0E7E" w:rsidRPr="00762FA7" w:rsidRDefault="00BC0E7E" w:rsidP="00BC0E7E">
            <w:pPr>
              <w:widowControl w:val="0"/>
              <w:spacing w:before="60"/>
              <w:rPr>
                <w:del w:id="967" w:author="AbbVie19" w:date="2025-04-16T10:35:00Z"/>
                <w:szCs w:val="20"/>
                <w:lang w:val="fr-FR"/>
              </w:rPr>
            </w:pPr>
          </w:p>
        </w:tc>
      </w:tr>
      <w:tr w:rsidR="00C6578C" w14:paraId="4AEFB3A5" w14:textId="77777777" w:rsidTr="000244DF">
        <w:trPr>
          <w:cantSplit/>
          <w:del w:id="968" w:author="AbbVie19" w:date="2025-04-16T10:35:00Z"/>
        </w:trPr>
        <w:tc>
          <w:tcPr>
            <w:tcW w:w="2600" w:type="dxa"/>
            <w:vMerge w:val="restart"/>
          </w:tcPr>
          <w:p w14:paraId="49A92A50" w14:textId="77777777" w:rsidR="00BC0E7E" w:rsidRPr="00BC0E7E" w:rsidRDefault="00944B8F" w:rsidP="00BC0E7E">
            <w:pPr>
              <w:widowControl w:val="0"/>
              <w:spacing w:before="60"/>
              <w:rPr>
                <w:del w:id="969" w:author="AbbVie19" w:date="2025-04-16T10:35:00Z"/>
                <w:szCs w:val="20"/>
              </w:rPr>
            </w:pPr>
            <w:del w:id="970" w:author="AbbVie19" w:date="2025-04-16T10:35:00Z">
              <w:r w:rsidRPr="00BC0E7E">
                <w:rPr>
                  <w:szCs w:val="20"/>
                </w:rPr>
                <w:delText>Eye disorders</w:delText>
              </w:r>
            </w:del>
          </w:p>
        </w:tc>
        <w:tc>
          <w:tcPr>
            <w:tcW w:w="2074" w:type="dxa"/>
          </w:tcPr>
          <w:p w14:paraId="79C912AE" w14:textId="77777777" w:rsidR="00BC0E7E" w:rsidRPr="00BC0E7E" w:rsidRDefault="00944B8F" w:rsidP="00BC0E7E">
            <w:pPr>
              <w:widowControl w:val="0"/>
              <w:spacing w:before="60"/>
              <w:rPr>
                <w:del w:id="971" w:author="AbbVie19" w:date="2025-04-16T10:35:00Z"/>
                <w:szCs w:val="20"/>
              </w:rPr>
            </w:pPr>
            <w:del w:id="972" w:author="AbbVie19" w:date="2025-04-16T10:35:00Z">
              <w:r w:rsidRPr="00BC0E7E">
                <w:rPr>
                  <w:szCs w:val="20"/>
                </w:rPr>
                <w:delText>Common</w:delText>
              </w:r>
            </w:del>
          </w:p>
          <w:p w14:paraId="31DE9253" w14:textId="77777777" w:rsidR="00BC0E7E" w:rsidRPr="00BC0E7E" w:rsidRDefault="00BC0E7E" w:rsidP="00BC0E7E">
            <w:pPr>
              <w:widowControl w:val="0"/>
              <w:spacing w:before="60"/>
              <w:rPr>
                <w:del w:id="973" w:author="AbbVie19" w:date="2025-04-16T10:35:00Z"/>
                <w:szCs w:val="20"/>
              </w:rPr>
            </w:pPr>
          </w:p>
        </w:tc>
        <w:tc>
          <w:tcPr>
            <w:tcW w:w="4575" w:type="dxa"/>
          </w:tcPr>
          <w:p w14:paraId="42A05065" w14:textId="77777777" w:rsidR="00BC0E7E" w:rsidRPr="00BC0E7E" w:rsidRDefault="00944B8F" w:rsidP="00BC0E7E">
            <w:pPr>
              <w:widowControl w:val="0"/>
              <w:spacing w:before="60"/>
              <w:rPr>
                <w:del w:id="974" w:author="AbbVie19" w:date="2025-04-16T10:35:00Z"/>
                <w:szCs w:val="20"/>
              </w:rPr>
            </w:pPr>
            <w:del w:id="975" w:author="AbbVie19" w:date="2025-04-16T10:35:00Z">
              <w:r>
                <w:rPr>
                  <w:szCs w:val="20"/>
                </w:rPr>
                <w:delText>V</w:delText>
              </w:r>
              <w:r w:rsidRPr="00BC0E7E">
                <w:rPr>
                  <w:szCs w:val="20"/>
                </w:rPr>
                <w:delText>isual impairment,</w:delText>
              </w:r>
            </w:del>
          </w:p>
          <w:p w14:paraId="1B390F28" w14:textId="77777777" w:rsidR="00BC0E7E" w:rsidRPr="00BC0E7E" w:rsidRDefault="00944B8F" w:rsidP="00BC0E7E">
            <w:pPr>
              <w:widowControl w:val="0"/>
              <w:spacing w:before="60"/>
              <w:rPr>
                <w:del w:id="976" w:author="AbbVie19" w:date="2025-04-16T10:35:00Z"/>
                <w:szCs w:val="20"/>
              </w:rPr>
            </w:pPr>
            <w:del w:id="977" w:author="AbbVie19" w:date="2025-04-16T10:35:00Z">
              <w:r w:rsidRPr="00BC0E7E">
                <w:rPr>
                  <w:szCs w:val="20"/>
                </w:rPr>
                <w:delText>conjunctivitis,</w:delText>
              </w:r>
            </w:del>
          </w:p>
          <w:p w14:paraId="77072A8C" w14:textId="77777777" w:rsidR="00BC0E7E" w:rsidRPr="00BC0E7E" w:rsidRDefault="00944B8F" w:rsidP="00BC0E7E">
            <w:pPr>
              <w:widowControl w:val="0"/>
              <w:spacing w:before="60"/>
              <w:rPr>
                <w:del w:id="978" w:author="AbbVie19" w:date="2025-04-16T10:35:00Z"/>
                <w:szCs w:val="20"/>
              </w:rPr>
            </w:pPr>
            <w:del w:id="979" w:author="AbbVie19" w:date="2025-04-16T10:35:00Z">
              <w:r w:rsidRPr="00BC0E7E">
                <w:rPr>
                  <w:szCs w:val="20"/>
                </w:rPr>
                <w:delText>blepharitis,</w:delText>
              </w:r>
            </w:del>
          </w:p>
          <w:p w14:paraId="68F845D3" w14:textId="77777777" w:rsidR="00BC0E7E" w:rsidRPr="00BC0E7E" w:rsidRDefault="00944B8F" w:rsidP="00BC0E7E">
            <w:pPr>
              <w:widowControl w:val="0"/>
              <w:spacing w:before="60"/>
              <w:rPr>
                <w:del w:id="980" w:author="AbbVie19" w:date="2025-04-16T10:35:00Z"/>
                <w:szCs w:val="20"/>
              </w:rPr>
            </w:pPr>
            <w:del w:id="981" w:author="AbbVie19" w:date="2025-04-16T10:35:00Z">
              <w:r w:rsidRPr="00BC0E7E">
                <w:rPr>
                  <w:szCs w:val="20"/>
                </w:rPr>
                <w:delText>eye swelling</w:delText>
              </w:r>
            </w:del>
          </w:p>
          <w:p w14:paraId="179BB15B" w14:textId="77777777" w:rsidR="00BC0E7E" w:rsidRPr="00BC0E7E" w:rsidRDefault="00BC0E7E" w:rsidP="00BC0E7E">
            <w:pPr>
              <w:widowControl w:val="0"/>
              <w:spacing w:before="60"/>
              <w:rPr>
                <w:del w:id="982" w:author="AbbVie19" w:date="2025-04-16T10:35:00Z"/>
                <w:szCs w:val="20"/>
              </w:rPr>
            </w:pPr>
          </w:p>
        </w:tc>
      </w:tr>
      <w:tr w:rsidR="00C6578C" w14:paraId="774F27DE" w14:textId="77777777" w:rsidTr="000244DF">
        <w:trPr>
          <w:cantSplit/>
          <w:del w:id="983" w:author="AbbVie19" w:date="2025-04-16T10:35:00Z"/>
        </w:trPr>
        <w:tc>
          <w:tcPr>
            <w:tcW w:w="2600" w:type="dxa"/>
            <w:vMerge/>
          </w:tcPr>
          <w:p w14:paraId="68CB94A2" w14:textId="77777777" w:rsidR="00BC0E7E" w:rsidRPr="00BC0E7E" w:rsidRDefault="00BC0E7E" w:rsidP="00BC0E7E">
            <w:pPr>
              <w:widowControl w:val="0"/>
              <w:spacing w:before="60"/>
              <w:jc w:val="center"/>
              <w:rPr>
                <w:del w:id="984" w:author="AbbVie19" w:date="2025-04-16T10:35:00Z"/>
                <w:b/>
              </w:rPr>
            </w:pPr>
          </w:p>
        </w:tc>
        <w:tc>
          <w:tcPr>
            <w:tcW w:w="2074" w:type="dxa"/>
          </w:tcPr>
          <w:p w14:paraId="651206EE" w14:textId="77777777" w:rsidR="00BC0E7E" w:rsidRPr="00762FA7" w:rsidRDefault="00944B8F" w:rsidP="00BC0E7E">
            <w:pPr>
              <w:widowControl w:val="0"/>
              <w:rPr>
                <w:del w:id="985" w:author="AbbVie19" w:date="2025-04-16T10:35:00Z"/>
                <w:szCs w:val="20"/>
                <w:lang w:val="fr-FR"/>
              </w:rPr>
            </w:pPr>
            <w:del w:id="986" w:author="AbbVie19" w:date="2025-04-16T10:35:00Z">
              <w:r w:rsidRPr="00762FA7">
                <w:rPr>
                  <w:szCs w:val="20"/>
                  <w:lang w:val="fr-FR"/>
                </w:rPr>
                <w:delText>Uncommon</w:delText>
              </w:r>
            </w:del>
          </w:p>
        </w:tc>
        <w:tc>
          <w:tcPr>
            <w:tcW w:w="4575" w:type="dxa"/>
          </w:tcPr>
          <w:p w14:paraId="7FA0D0DE" w14:textId="77777777" w:rsidR="00BC0E7E" w:rsidRPr="00BC0E7E" w:rsidRDefault="00944B8F" w:rsidP="00BC0E7E">
            <w:pPr>
              <w:widowControl w:val="0"/>
              <w:rPr>
                <w:del w:id="987" w:author="AbbVie19" w:date="2025-04-16T10:35:00Z"/>
                <w:szCs w:val="20"/>
              </w:rPr>
            </w:pPr>
            <w:del w:id="988" w:author="AbbVie19" w:date="2025-04-16T10:35:00Z">
              <w:r>
                <w:rPr>
                  <w:szCs w:val="20"/>
                </w:rPr>
                <w:delText>D</w:delText>
              </w:r>
              <w:r w:rsidRPr="00BC0E7E">
                <w:rPr>
                  <w:szCs w:val="20"/>
                </w:rPr>
                <w:delText>iplopia</w:delText>
              </w:r>
            </w:del>
          </w:p>
          <w:p w14:paraId="5779D0E1" w14:textId="77777777" w:rsidR="00BC0E7E" w:rsidRPr="00BC0E7E" w:rsidRDefault="00BC0E7E" w:rsidP="00BC0E7E">
            <w:pPr>
              <w:widowControl w:val="0"/>
              <w:rPr>
                <w:del w:id="989" w:author="AbbVie19" w:date="2025-04-16T10:35:00Z"/>
                <w:szCs w:val="20"/>
              </w:rPr>
            </w:pPr>
          </w:p>
        </w:tc>
      </w:tr>
      <w:tr w:rsidR="00C6578C" w14:paraId="3EBBDDE7" w14:textId="77777777" w:rsidTr="000244DF">
        <w:trPr>
          <w:cantSplit/>
          <w:del w:id="990" w:author="AbbVie19" w:date="2025-04-16T10:35:00Z"/>
        </w:trPr>
        <w:tc>
          <w:tcPr>
            <w:tcW w:w="2600" w:type="dxa"/>
            <w:vMerge w:val="restart"/>
          </w:tcPr>
          <w:p w14:paraId="32B97193" w14:textId="77777777" w:rsidR="00BC0E7E" w:rsidRPr="00BC0E7E" w:rsidRDefault="00944B8F" w:rsidP="00BC0E7E">
            <w:pPr>
              <w:widowControl w:val="0"/>
              <w:spacing w:before="60"/>
              <w:rPr>
                <w:del w:id="991" w:author="AbbVie19" w:date="2025-04-16T10:35:00Z"/>
                <w:szCs w:val="20"/>
              </w:rPr>
            </w:pPr>
            <w:del w:id="992" w:author="AbbVie19" w:date="2025-04-16T10:35:00Z">
              <w:r w:rsidRPr="00BC0E7E">
                <w:rPr>
                  <w:szCs w:val="20"/>
                </w:rPr>
                <w:delText xml:space="preserve">Ear and labyrinth disorders </w:delText>
              </w:r>
            </w:del>
          </w:p>
          <w:p w14:paraId="0F46ED0C" w14:textId="77777777" w:rsidR="00BC0E7E" w:rsidRPr="00BC0E7E" w:rsidRDefault="00BC0E7E" w:rsidP="00BC0E7E">
            <w:pPr>
              <w:widowControl w:val="0"/>
              <w:spacing w:before="60"/>
              <w:rPr>
                <w:del w:id="993" w:author="AbbVie19" w:date="2025-04-16T10:35:00Z"/>
                <w:szCs w:val="20"/>
              </w:rPr>
            </w:pPr>
          </w:p>
        </w:tc>
        <w:tc>
          <w:tcPr>
            <w:tcW w:w="2074" w:type="dxa"/>
          </w:tcPr>
          <w:p w14:paraId="2F009444" w14:textId="77777777" w:rsidR="00BC0E7E" w:rsidRPr="00BC0E7E" w:rsidRDefault="00944B8F" w:rsidP="00BC0E7E">
            <w:pPr>
              <w:widowControl w:val="0"/>
              <w:spacing w:before="60"/>
              <w:rPr>
                <w:del w:id="994" w:author="AbbVie19" w:date="2025-04-16T10:35:00Z"/>
                <w:szCs w:val="20"/>
              </w:rPr>
            </w:pPr>
            <w:del w:id="995" w:author="AbbVie19" w:date="2025-04-16T10:35:00Z">
              <w:r w:rsidRPr="00BC0E7E">
                <w:rPr>
                  <w:szCs w:val="20"/>
                </w:rPr>
                <w:delText>Common</w:delText>
              </w:r>
            </w:del>
          </w:p>
          <w:p w14:paraId="4444C34E" w14:textId="77777777" w:rsidR="00BC0E7E" w:rsidRPr="00BC0E7E" w:rsidRDefault="00BC0E7E" w:rsidP="00BC0E7E">
            <w:pPr>
              <w:widowControl w:val="0"/>
              <w:spacing w:before="60"/>
              <w:rPr>
                <w:del w:id="996" w:author="AbbVie19" w:date="2025-04-16T10:35:00Z"/>
                <w:szCs w:val="20"/>
              </w:rPr>
            </w:pPr>
          </w:p>
        </w:tc>
        <w:tc>
          <w:tcPr>
            <w:tcW w:w="4575" w:type="dxa"/>
          </w:tcPr>
          <w:p w14:paraId="1D054F92" w14:textId="77777777" w:rsidR="00BC0E7E" w:rsidRPr="00BC0E7E" w:rsidRDefault="00944B8F" w:rsidP="00BC0E7E">
            <w:pPr>
              <w:widowControl w:val="0"/>
              <w:spacing w:before="60"/>
              <w:rPr>
                <w:del w:id="997" w:author="AbbVie19" w:date="2025-04-16T10:35:00Z"/>
                <w:szCs w:val="20"/>
              </w:rPr>
            </w:pPr>
            <w:del w:id="998" w:author="AbbVie19" w:date="2025-04-16T10:35:00Z">
              <w:r>
                <w:rPr>
                  <w:szCs w:val="20"/>
                </w:rPr>
                <w:delText>V</w:delText>
              </w:r>
              <w:r w:rsidRPr="00BC0E7E">
                <w:rPr>
                  <w:szCs w:val="20"/>
                </w:rPr>
                <w:delText>ertigo</w:delText>
              </w:r>
            </w:del>
          </w:p>
          <w:p w14:paraId="6FCA4B69" w14:textId="77777777" w:rsidR="00BC0E7E" w:rsidRPr="00BC0E7E" w:rsidRDefault="00BC0E7E" w:rsidP="00BC0E7E">
            <w:pPr>
              <w:widowControl w:val="0"/>
              <w:spacing w:before="60"/>
              <w:rPr>
                <w:del w:id="999" w:author="AbbVie19" w:date="2025-04-16T10:35:00Z"/>
                <w:szCs w:val="20"/>
              </w:rPr>
            </w:pPr>
          </w:p>
        </w:tc>
      </w:tr>
      <w:tr w:rsidR="00C6578C" w14:paraId="2A854C3D" w14:textId="77777777" w:rsidTr="000244DF">
        <w:trPr>
          <w:cantSplit/>
          <w:del w:id="1000" w:author="AbbVie19" w:date="2025-04-16T10:35:00Z"/>
        </w:trPr>
        <w:tc>
          <w:tcPr>
            <w:tcW w:w="2600" w:type="dxa"/>
            <w:vMerge/>
          </w:tcPr>
          <w:p w14:paraId="483CA9FB" w14:textId="77777777" w:rsidR="00BC0E7E" w:rsidRPr="00BC0E7E" w:rsidRDefault="00BC0E7E" w:rsidP="00BC0E7E">
            <w:pPr>
              <w:widowControl w:val="0"/>
              <w:spacing w:before="60"/>
              <w:jc w:val="center"/>
              <w:rPr>
                <w:del w:id="1001" w:author="AbbVie19" w:date="2025-04-16T10:35:00Z"/>
                <w:b/>
              </w:rPr>
            </w:pPr>
          </w:p>
        </w:tc>
        <w:tc>
          <w:tcPr>
            <w:tcW w:w="2074" w:type="dxa"/>
          </w:tcPr>
          <w:p w14:paraId="5A51CB76" w14:textId="77777777" w:rsidR="00BC0E7E" w:rsidRPr="00BC0E7E" w:rsidRDefault="00944B8F" w:rsidP="00BC0E7E">
            <w:pPr>
              <w:widowControl w:val="0"/>
              <w:rPr>
                <w:del w:id="1002" w:author="AbbVie19" w:date="2025-04-16T10:35:00Z"/>
                <w:szCs w:val="20"/>
              </w:rPr>
            </w:pPr>
            <w:del w:id="1003" w:author="AbbVie19" w:date="2025-04-16T10:35:00Z">
              <w:r w:rsidRPr="00BC0E7E">
                <w:rPr>
                  <w:szCs w:val="20"/>
                </w:rPr>
                <w:delText>Uncommon</w:delText>
              </w:r>
            </w:del>
          </w:p>
          <w:p w14:paraId="0EF76070" w14:textId="77777777" w:rsidR="00BC0E7E" w:rsidRPr="00BC0E7E" w:rsidRDefault="00BC0E7E" w:rsidP="00BC0E7E">
            <w:pPr>
              <w:widowControl w:val="0"/>
              <w:rPr>
                <w:del w:id="1004" w:author="AbbVie19" w:date="2025-04-16T10:35:00Z"/>
                <w:szCs w:val="20"/>
              </w:rPr>
            </w:pPr>
          </w:p>
        </w:tc>
        <w:tc>
          <w:tcPr>
            <w:tcW w:w="4575" w:type="dxa"/>
          </w:tcPr>
          <w:p w14:paraId="433B51C0" w14:textId="77777777" w:rsidR="00BC0E7E" w:rsidRPr="00BC0E7E" w:rsidRDefault="00944B8F" w:rsidP="00BC0E7E">
            <w:pPr>
              <w:widowControl w:val="0"/>
              <w:rPr>
                <w:del w:id="1005" w:author="AbbVie19" w:date="2025-04-16T10:35:00Z"/>
                <w:szCs w:val="20"/>
              </w:rPr>
            </w:pPr>
            <w:del w:id="1006" w:author="AbbVie19" w:date="2025-04-16T10:35:00Z">
              <w:r>
                <w:rPr>
                  <w:szCs w:val="20"/>
                </w:rPr>
                <w:delText>D</w:delText>
              </w:r>
              <w:r w:rsidRPr="00BC0E7E">
                <w:rPr>
                  <w:szCs w:val="20"/>
                </w:rPr>
                <w:delText xml:space="preserve">eafness, </w:delText>
              </w:r>
            </w:del>
          </w:p>
          <w:p w14:paraId="55BBFAE8" w14:textId="77777777" w:rsidR="00BC0E7E" w:rsidRPr="00BC0E7E" w:rsidRDefault="00944B8F" w:rsidP="00BC0E7E">
            <w:pPr>
              <w:widowControl w:val="0"/>
              <w:rPr>
                <w:del w:id="1007" w:author="AbbVie19" w:date="2025-04-16T10:35:00Z"/>
                <w:szCs w:val="20"/>
              </w:rPr>
            </w:pPr>
            <w:del w:id="1008" w:author="AbbVie19" w:date="2025-04-16T10:35:00Z">
              <w:r w:rsidRPr="00BC0E7E">
                <w:rPr>
                  <w:szCs w:val="20"/>
                </w:rPr>
                <w:delText>tinnitus</w:delText>
              </w:r>
            </w:del>
          </w:p>
          <w:p w14:paraId="27956D0D" w14:textId="77777777" w:rsidR="00BC0E7E" w:rsidRPr="00BC0E7E" w:rsidRDefault="00BC0E7E" w:rsidP="00BC0E7E">
            <w:pPr>
              <w:widowControl w:val="0"/>
              <w:rPr>
                <w:del w:id="1009" w:author="AbbVie19" w:date="2025-04-16T10:35:00Z"/>
                <w:szCs w:val="20"/>
              </w:rPr>
            </w:pPr>
          </w:p>
        </w:tc>
      </w:tr>
      <w:tr w:rsidR="00C6578C" w14:paraId="3CBCCE8A" w14:textId="77777777" w:rsidTr="000244DF">
        <w:trPr>
          <w:cantSplit/>
          <w:del w:id="1010" w:author="AbbVie19" w:date="2025-04-16T10:35:00Z"/>
        </w:trPr>
        <w:tc>
          <w:tcPr>
            <w:tcW w:w="2600" w:type="dxa"/>
            <w:vMerge w:val="restart"/>
          </w:tcPr>
          <w:p w14:paraId="56CA82B2" w14:textId="77777777" w:rsidR="00BC0E7E" w:rsidRPr="00BC0E7E" w:rsidRDefault="00944B8F" w:rsidP="00BC0E7E">
            <w:pPr>
              <w:widowControl w:val="0"/>
              <w:spacing w:before="60"/>
              <w:rPr>
                <w:del w:id="1011" w:author="AbbVie19" w:date="2025-04-16T10:35:00Z"/>
                <w:szCs w:val="20"/>
              </w:rPr>
            </w:pPr>
            <w:del w:id="1012" w:author="AbbVie19" w:date="2025-04-16T10:35:00Z">
              <w:r w:rsidRPr="00BC0E7E">
                <w:rPr>
                  <w:szCs w:val="20"/>
                </w:rPr>
                <w:delText xml:space="preserve">Cardiac disorders* </w:delText>
              </w:r>
            </w:del>
          </w:p>
        </w:tc>
        <w:tc>
          <w:tcPr>
            <w:tcW w:w="2074" w:type="dxa"/>
          </w:tcPr>
          <w:p w14:paraId="3204CBE5" w14:textId="77777777" w:rsidR="00BC0E7E" w:rsidRPr="00BC0E7E" w:rsidRDefault="00944B8F" w:rsidP="00BC0E7E">
            <w:pPr>
              <w:widowControl w:val="0"/>
              <w:spacing w:before="60"/>
              <w:rPr>
                <w:del w:id="1013" w:author="AbbVie19" w:date="2025-04-16T10:35:00Z"/>
                <w:szCs w:val="20"/>
              </w:rPr>
            </w:pPr>
            <w:del w:id="1014" w:author="AbbVie19" w:date="2025-04-16T10:35:00Z">
              <w:r w:rsidRPr="00BC0E7E">
                <w:rPr>
                  <w:szCs w:val="20"/>
                </w:rPr>
                <w:delText>Common</w:delText>
              </w:r>
            </w:del>
          </w:p>
        </w:tc>
        <w:tc>
          <w:tcPr>
            <w:tcW w:w="4575" w:type="dxa"/>
          </w:tcPr>
          <w:p w14:paraId="7D0ED2E0" w14:textId="77777777" w:rsidR="00BC0E7E" w:rsidRPr="00BC0E7E" w:rsidRDefault="00944B8F" w:rsidP="00BC0E7E">
            <w:pPr>
              <w:widowControl w:val="0"/>
              <w:spacing w:before="60"/>
              <w:rPr>
                <w:del w:id="1015" w:author="AbbVie19" w:date="2025-04-16T10:35:00Z"/>
                <w:szCs w:val="20"/>
              </w:rPr>
            </w:pPr>
            <w:del w:id="1016" w:author="AbbVie19" w:date="2025-04-16T10:35:00Z">
              <w:r>
                <w:rPr>
                  <w:szCs w:val="20"/>
                </w:rPr>
                <w:delText>T</w:delText>
              </w:r>
              <w:r w:rsidRPr="00BC0E7E">
                <w:rPr>
                  <w:szCs w:val="20"/>
                </w:rPr>
                <w:delText>achycardia</w:delText>
              </w:r>
              <w:r w:rsidRPr="00BC0E7E">
                <w:rPr>
                  <w:szCs w:val="20"/>
                </w:rPr>
                <w:br/>
              </w:r>
            </w:del>
          </w:p>
        </w:tc>
      </w:tr>
      <w:tr w:rsidR="00C6578C" w14:paraId="7875389A" w14:textId="77777777" w:rsidTr="000244DF">
        <w:trPr>
          <w:cantSplit/>
          <w:del w:id="1017" w:author="AbbVie19" w:date="2025-04-16T10:35:00Z"/>
        </w:trPr>
        <w:tc>
          <w:tcPr>
            <w:tcW w:w="2600" w:type="dxa"/>
            <w:vMerge/>
          </w:tcPr>
          <w:p w14:paraId="324C6504" w14:textId="77777777" w:rsidR="00BC0E7E" w:rsidRPr="00BC0E7E" w:rsidRDefault="00BC0E7E" w:rsidP="00BC0E7E">
            <w:pPr>
              <w:widowControl w:val="0"/>
              <w:spacing w:before="60"/>
              <w:rPr>
                <w:del w:id="1018" w:author="AbbVie19" w:date="2025-04-16T10:35:00Z"/>
                <w:szCs w:val="20"/>
              </w:rPr>
            </w:pPr>
          </w:p>
        </w:tc>
        <w:tc>
          <w:tcPr>
            <w:tcW w:w="2074" w:type="dxa"/>
          </w:tcPr>
          <w:p w14:paraId="37CC1EF9" w14:textId="77777777" w:rsidR="00BC0E7E" w:rsidRPr="00BC0E7E" w:rsidRDefault="00944B8F" w:rsidP="00BC0E7E">
            <w:pPr>
              <w:widowControl w:val="0"/>
              <w:spacing w:before="60"/>
              <w:rPr>
                <w:del w:id="1019" w:author="AbbVie19" w:date="2025-04-16T10:35:00Z"/>
                <w:szCs w:val="20"/>
              </w:rPr>
            </w:pPr>
            <w:del w:id="1020" w:author="AbbVie19" w:date="2025-04-16T10:35:00Z">
              <w:r w:rsidRPr="00BC0E7E">
                <w:rPr>
                  <w:szCs w:val="20"/>
                </w:rPr>
                <w:delText>Uncommon</w:delText>
              </w:r>
            </w:del>
          </w:p>
          <w:p w14:paraId="2CCD0C1A" w14:textId="77777777" w:rsidR="00BC0E7E" w:rsidRPr="00BC0E7E" w:rsidRDefault="00BC0E7E" w:rsidP="00BC0E7E">
            <w:pPr>
              <w:widowControl w:val="0"/>
              <w:spacing w:before="60"/>
              <w:rPr>
                <w:del w:id="1021" w:author="AbbVie19" w:date="2025-04-16T10:35:00Z"/>
                <w:szCs w:val="20"/>
              </w:rPr>
            </w:pPr>
          </w:p>
        </w:tc>
        <w:tc>
          <w:tcPr>
            <w:tcW w:w="4575" w:type="dxa"/>
          </w:tcPr>
          <w:p w14:paraId="51560C86" w14:textId="77777777" w:rsidR="00BC0E7E" w:rsidRPr="00BC0E7E" w:rsidRDefault="00944B8F" w:rsidP="00BC0E7E">
            <w:pPr>
              <w:widowControl w:val="0"/>
              <w:rPr>
                <w:del w:id="1022" w:author="AbbVie19" w:date="2025-04-16T10:35:00Z"/>
                <w:szCs w:val="20"/>
              </w:rPr>
            </w:pPr>
            <w:del w:id="1023" w:author="AbbVie19" w:date="2025-04-16T10:35:00Z">
              <w:r>
                <w:rPr>
                  <w:szCs w:val="20"/>
                </w:rPr>
                <w:delText>M</w:delText>
              </w:r>
              <w:r w:rsidRPr="00BC0E7E">
                <w:rPr>
                  <w:szCs w:val="20"/>
                </w:rPr>
                <w:delText>yocardial infarction</w:delText>
              </w:r>
              <w:r w:rsidRPr="00BC0E7E">
                <w:rPr>
                  <w:szCs w:val="20"/>
                  <w:vertAlign w:val="superscript"/>
                </w:rPr>
                <w:delText>1)</w:delText>
              </w:r>
              <w:r w:rsidRPr="00BC0E7E">
                <w:rPr>
                  <w:szCs w:val="20"/>
                </w:rPr>
                <w:delText>,</w:delText>
              </w:r>
            </w:del>
          </w:p>
          <w:p w14:paraId="6D2B4AAB" w14:textId="77777777" w:rsidR="00BC0E7E" w:rsidRPr="00BC0E7E" w:rsidRDefault="00944B8F" w:rsidP="00BC0E7E">
            <w:pPr>
              <w:widowControl w:val="0"/>
              <w:spacing w:before="60"/>
              <w:rPr>
                <w:del w:id="1024" w:author="AbbVie19" w:date="2025-04-16T10:35:00Z"/>
                <w:szCs w:val="20"/>
              </w:rPr>
            </w:pPr>
            <w:del w:id="1025" w:author="AbbVie19" w:date="2025-04-16T10:35:00Z">
              <w:r w:rsidRPr="00BC0E7E">
                <w:rPr>
                  <w:szCs w:val="20"/>
                </w:rPr>
                <w:delText>arrhythmia,</w:delText>
              </w:r>
            </w:del>
          </w:p>
          <w:p w14:paraId="30DC61BB" w14:textId="77777777" w:rsidR="00BC0E7E" w:rsidRPr="00BC0E7E" w:rsidRDefault="00944B8F" w:rsidP="00BC0E7E">
            <w:pPr>
              <w:widowControl w:val="0"/>
              <w:spacing w:before="60"/>
              <w:rPr>
                <w:del w:id="1026" w:author="AbbVie19" w:date="2025-04-16T10:35:00Z"/>
                <w:szCs w:val="20"/>
              </w:rPr>
            </w:pPr>
            <w:del w:id="1027" w:author="AbbVie19" w:date="2025-04-16T10:35:00Z">
              <w:r w:rsidRPr="00BC0E7E">
                <w:rPr>
                  <w:szCs w:val="20"/>
                </w:rPr>
                <w:delText>congestive heart failure</w:delText>
              </w:r>
            </w:del>
          </w:p>
          <w:p w14:paraId="119E1416" w14:textId="77777777" w:rsidR="00BC0E7E" w:rsidRPr="00BC0E7E" w:rsidRDefault="00BC0E7E" w:rsidP="00BC0E7E">
            <w:pPr>
              <w:widowControl w:val="0"/>
              <w:spacing w:before="60"/>
              <w:rPr>
                <w:del w:id="1028" w:author="AbbVie19" w:date="2025-04-16T10:35:00Z"/>
                <w:szCs w:val="20"/>
              </w:rPr>
            </w:pPr>
          </w:p>
        </w:tc>
      </w:tr>
      <w:tr w:rsidR="00C6578C" w14:paraId="33501FF0" w14:textId="77777777" w:rsidTr="000244DF">
        <w:trPr>
          <w:cantSplit/>
          <w:del w:id="1029" w:author="AbbVie19" w:date="2025-04-16T10:35:00Z"/>
        </w:trPr>
        <w:tc>
          <w:tcPr>
            <w:tcW w:w="2600" w:type="dxa"/>
            <w:vMerge/>
          </w:tcPr>
          <w:p w14:paraId="44095705" w14:textId="77777777" w:rsidR="00BC0E7E" w:rsidRPr="00BC0E7E" w:rsidRDefault="00BC0E7E" w:rsidP="00BC0E7E">
            <w:pPr>
              <w:widowControl w:val="0"/>
              <w:spacing w:before="60"/>
              <w:jc w:val="center"/>
              <w:rPr>
                <w:del w:id="1030" w:author="AbbVie19" w:date="2025-04-16T10:35:00Z"/>
                <w:b/>
              </w:rPr>
            </w:pPr>
          </w:p>
        </w:tc>
        <w:tc>
          <w:tcPr>
            <w:tcW w:w="2074" w:type="dxa"/>
          </w:tcPr>
          <w:p w14:paraId="355C2406" w14:textId="77777777" w:rsidR="00BC0E7E" w:rsidRPr="00BC0E7E" w:rsidRDefault="00944B8F" w:rsidP="00BC0E7E">
            <w:pPr>
              <w:widowControl w:val="0"/>
              <w:rPr>
                <w:del w:id="1031" w:author="AbbVie19" w:date="2025-04-16T10:35:00Z"/>
                <w:szCs w:val="20"/>
              </w:rPr>
            </w:pPr>
            <w:del w:id="1032" w:author="AbbVie19" w:date="2025-04-16T10:35:00Z">
              <w:r w:rsidRPr="00BC0E7E">
                <w:rPr>
                  <w:szCs w:val="20"/>
                </w:rPr>
                <w:delText>Rare</w:delText>
              </w:r>
            </w:del>
          </w:p>
          <w:p w14:paraId="2ADEBF6A" w14:textId="77777777" w:rsidR="00BC0E7E" w:rsidRPr="00BC0E7E" w:rsidRDefault="00BC0E7E" w:rsidP="00BC0E7E">
            <w:pPr>
              <w:widowControl w:val="0"/>
              <w:rPr>
                <w:del w:id="1033" w:author="AbbVie19" w:date="2025-04-16T10:35:00Z"/>
                <w:szCs w:val="20"/>
              </w:rPr>
            </w:pPr>
          </w:p>
        </w:tc>
        <w:tc>
          <w:tcPr>
            <w:tcW w:w="4575" w:type="dxa"/>
          </w:tcPr>
          <w:p w14:paraId="3E62190E" w14:textId="77777777" w:rsidR="00BC0E7E" w:rsidRPr="00BC0E7E" w:rsidRDefault="00944B8F" w:rsidP="00BC0E7E">
            <w:pPr>
              <w:widowControl w:val="0"/>
              <w:rPr>
                <w:del w:id="1034" w:author="AbbVie19" w:date="2025-04-16T10:35:00Z"/>
                <w:szCs w:val="20"/>
              </w:rPr>
            </w:pPr>
            <w:del w:id="1035" w:author="AbbVie19" w:date="2025-04-16T10:35:00Z">
              <w:r>
                <w:rPr>
                  <w:szCs w:val="20"/>
                </w:rPr>
                <w:delText>C</w:delText>
              </w:r>
              <w:r w:rsidRPr="00BC0E7E">
                <w:rPr>
                  <w:szCs w:val="20"/>
                </w:rPr>
                <w:delText>ardiac arrest</w:delText>
              </w:r>
            </w:del>
          </w:p>
          <w:p w14:paraId="5467F5DE" w14:textId="77777777" w:rsidR="00BC0E7E" w:rsidRPr="00BC0E7E" w:rsidRDefault="00BC0E7E" w:rsidP="00BC0E7E">
            <w:pPr>
              <w:widowControl w:val="0"/>
              <w:rPr>
                <w:del w:id="1036" w:author="AbbVie19" w:date="2025-04-16T10:35:00Z"/>
                <w:szCs w:val="20"/>
              </w:rPr>
            </w:pPr>
          </w:p>
        </w:tc>
      </w:tr>
      <w:tr w:rsidR="00C6578C" w14:paraId="75A26CD2" w14:textId="77777777" w:rsidTr="000244DF">
        <w:trPr>
          <w:cantSplit/>
          <w:del w:id="1037" w:author="AbbVie19" w:date="2025-04-16T10:35:00Z"/>
        </w:trPr>
        <w:tc>
          <w:tcPr>
            <w:tcW w:w="2600" w:type="dxa"/>
            <w:vMerge w:val="restart"/>
          </w:tcPr>
          <w:p w14:paraId="23E60F4F" w14:textId="77777777" w:rsidR="00BC0E7E" w:rsidRPr="00BC0E7E" w:rsidRDefault="00944B8F" w:rsidP="00BC0E7E">
            <w:pPr>
              <w:widowControl w:val="0"/>
              <w:spacing w:before="60"/>
              <w:rPr>
                <w:del w:id="1038" w:author="AbbVie19" w:date="2025-04-16T10:35:00Z"/>
                <w:szCs w:val="20"/>
              </w:rPr>
            </w:pPr>
            <w:del w:id="1039" w:author="AbbVie19" w:date="2025-04-16T10:35:00Z">
              <w:r w:rsidRPr="00BC0E7E">
                <w:rPr>
                  <w:szCs w:val="20"/>
                </w:rPr>
                <w:delText>Vascular disorders</w:delText>
              </w:r>
            </w:del>
          </w:p>
        </w:tc>
        <w:tc>
          <w:tcPr>
            <w:tcW w:w="2074" w:type="dxa"/>
          </w:tcPr>
          <w:p w14:paraId="4BE60A5D" w14:textId="77777777" w:rsidR="00BC0E7E" w:rsidRPr="00BC0E7E" w:rsidRDefault="00944B8F" w:rsidP="00BC0E7E">
            <w:pPr>
              <w:widowControl w:val="0"/>
              <w:spacing w:before="60"/>
              <w:rPr>
                <w:del w:id="1040" w:author="AbbVie19" w:date="2025-04-16T10:35:00Z"/>
                <w:szCs w:val="20"/>
              </w:rPr>
            </w:pPr>
            <w:del w:id="1041" w:author="AbbVie19" w:date="2025-04-16T10:35:00Z">
              <w:r w:rsidRPr="00BC0E7E">
                <w:rPr>
                  <w:szCs w:val="20"/>
                </w:rPr>
                <w:delText>Common</w:delText>
              </w:r>
            </w:del>
          </w:p>
          <w:p w14:paraId="53286242" w14:textId="77777777" w:rsidR="00BC0E7E" w:rsidRPr="00BC0E7E" w:rsidRDefault="00BC0E7E" w:rsidP="00BC0E7E">
            <w:pPr>
              <w:widowControl w:val="0"/>
              <w:spacing w:before="60"/>
              <w:rPr>
                <w:del w:id="1042" w:author="AbbVie19" w:date="2025-04-16T10:35:00Z"/>
                <w:szCs w:val="20"/>
              </w:rPr>
            </w:pPr>
          </w:p>
        </w:tc>
        <w:tc>
          <w:tcPr>
            <w:tcW w:w="4575" w:type="dxa"/>
          </w:tcPr>
          <w:p w14:paraId="4F4E5AF6" w14:textId="77777777" w:rsidR="00BC0E7E" w:rsidRPr="00BC0E7E" w:rsidRDefault="00944B8F" w:rsidP="00BC0E7E">
            <w:pPr>
              <w:widowControl w:val="0"/>
              <w:spacing w:before="60"/>
              <w:rPr>
                <w:del w:id="1043" w:author="AbbVie19" w:date="2025-04-16T10:35:00Z"/>
                <w:szCs w:val="20"/>
              </w:rPr>
            </w:pPr>
            <w:del w:id="1044" w:author="AbbVie19" w:date="2025-04-16T10:35:00Z">
              <w:r>
                <w:rPr>
                  <w:szCs w:val="20"/>
                </w:rPr>
                <w:delText>H</w:delText>
              </w:r>
              <w:r w:rsidRPr="00BC0E7E">
                <w:rPr>
                  <w:szCs w:val="20"/>
                </w:rPr>
                <w:delText xml:space="preserve">ypertension, </w:delText>
              </w:r>
            </w:del>
          </w:p>
          <w:p w14:paraId="0C04792B" w14:textId="77777777" w:rsidR="00BC0E7E" w:rsidRPr="00BC0E7E" w:rsidRDefault="00944B8F" w:rsidP="00BC0E7E">
            <w:pPr>
              <w:widowControl w:val="0"/>
              <w:spacing w:before="60"/>
              <w:rPr>
                <w:del w:id="1045" w:author="AbbVie19" w:date="2025-04-16T10:35:00Z"/>
                <w:szCs w:val="20"/>
              </w:rPr>
            </w:pPr>
            <w:del w:id="1046" w:author="AbbVie19" w:date="2025-04-16T10:35:00Z">
              <w:r w:rsidRPr="00BC0E7E">
                <w:rPr>
                  <w:szCs w:val="20"/>
                </w:rPr>
                <w:delText xml:space="preserve">flushing, </w:delText>
              </w:r>
            </w:del>
          </w:p>
          <w:p w14:paraId="22A92C62" w14:textId="77777777" w:rsidR="00BC0E7E" w:rsidRPr="00BC0E7E" w:rsidRDefault="00944B8F" w:rsidP="00BC0E7E">
            <w:pPr>
              <w:widowControl w:val="0"/>
              <w:spacing w:before="60"/>
              <w:rPr>
                <w:del w:id="1047" w:author="AbbVie19" w:date="2025-04-16T10:35:00Z"/>
                <w:szCs w:val="20"/>
              </w:rPr>
            </w:pPr>
            <w:del w:id="1048" w:author="AbbVie19" w:date="2025-04-16T10:35:00Z">
              <w:r w:rsidRPr="00BC0E7E">
                <w:rPr>
                  <w:szCs w:val="20"/>
                </w:rPr>
                <w:delText>haematoma</w:delText>
              </w:r>
            </w:del>
          </w:p>
          <w:p w14:paraId="4F186333" w14:textId="77777777" w:rsidR="00BC0E7E" w:rsidRPr="00BC0E7E" w:rsidRDefault="00BC0E7E" w:rsidP="00BC0E7E">
            <w:pPr>
              <w:widowControl w:val="0"/>
              <w:spacing w:before="60"/>
              <w:rPr>
                <w:del w:id="1049" w:author="AbbVie19" w:date="2025-04-16T10:35:00Z"/>
                <w:szCs w:val="20"/>
              </w:rPr>
            </w:pPr>
          </w:p>
        </w:tc>
      </w:tr>
      <w:tr w:rsidR="00C6578C" w14:paraId="7C6DF674" w14:textId="77777777" w:rsidTr="000244DF">
        <w:trPr>
          <w:cantSplit/>
          <w:del w:id="1050" w:author="AbbVie19" w:date="2025-04-16T10:35:00Z"/>
        </w:trPr>
        <w:tc>
          <w:tcPr>
            <w:tcW w:w="2600" w:type="dxa"/>
            <w:vMerge/>
          </w:tcPr>
          <w:p w14:paraId="7335B790" w14:textId="77777777" w:rsidR="00BC0E7E" w:rsidRPr="00BC0E7E" w:rsidRDefault="00BC0E7E" w:rsidP="00BC0E7E">
            <w:pPr>
              <w:widowControl w:val="0"/>
              <w:spacing w:before="60"/>
              <w:rPr>
                <w:del w:id="1051" w:author="AbbVie19" w:date="2025-04-16T10:35:00Z"/>
                <w:szCs w:val="20"/>
              </w:rPr>
            </w:pPr>
          </w:p>
        </w:tc>
        <w:tc>
          <w:tcPr>
            <w:tcW w:w="2074" w:type="dxa"/>
          </w:tcPr>
          <w:p w14:paraId="6ECFF224" w14:textId="77777777" w:rsidR="00BC0E7E" w:rsidRPr="00BC0E7E" w:rsidRDefault="00944B8F" w:rsidP="00BC0E7E">
            <w:pPr>
              <w:widowControl w:val="0"/>
              <w:rPr>
                <w:del w:id="1052" w:author="AbbVie19" w:date="2025-04-16T10:35:00Z"/>
                <w:szCs w:val="20"/>
              </w:rPr>
            </w:pPr>
            <w:del w:id="1053" w:author="AbbVie19" w:date="2025-04-16T10:35:00Z">
              <w:r w:rsidRPr="00BC0E7E">
                <w:rPr>
                  <w:szCs w:val="20"/>
                </w:rPr>
                <w:delText>Uncommon</w:delText>
              </w:r>
            </w:del>
          </w:p>
        </w:tc>
        <w:tc>
          <w:tcPr>
            <w:tcW w:w="4575" w:type="dxa"/>
          </w:tcPr>
          <w:p w14:paraId="3A893F65" w14:textId="77777777" w:rsidR="00BC0E7E" w:rsidRPr="00BC0E7E" w:rsidRDefault="00944B8F" w:rsidP="00BC0E7E">
            <w:pPr>
              <w:widowControl w:val="0"/>
              <w:rPr>
                <w:del w:id="1054" w:author="AbbVie19" w:date="2025-04-16T10:35:00Z"/>
                <w:szCs w:val="20"/>
              </w:rPr>
            </w:pPr>
            <w:del w:id="1055" w:author="AbbVie19" w:date="2025-04-16T10:35:00Z">
              <w:r>
                <w:rPr>
                  <w:szCs w:val="20"/>
                </w:rPr>
                <w:delText>A</w:delText>
              </w:r>
              <w:r w:rsidRPr="00BC0E7E">
                <w:rPr>
                  <w:szCs w:val="20"/>
                </w:rPr>
                <w:delText>ortic aneurysm,</w:delText>
              </w:r>
            </w:del>
          </w:p>
          <w:p w14:paraId="3E51EA52" w14:textId="77777777" w:rsidR="00BC0E7E" w:rsidRPr="00BC0E7E" w:rsidRDefault="00944B8F" w:rsidP="00BC0E7E">
            <w:pPr>
              <w:widowControl w:val="0"/>
              <w:rPr>
                <w:del w:id="1056" w:author="AbbVie19" w:date="2025-04-16T10:35:00Z"/>
                <w:szCs w:val="20"/>
              </w:rPr>
            </w:pPr>
            <w:del w:id="1057" w:author="AbbVie19" w:date="2025-04-16T10:35:00Z">
              <w:r w:rsidRPr="00BC0E7E">
                <w:rPr>
                  <w:szCs w:val="20"/>
                </w:rPr>
                <w:delText>vascular arterial occlusion,</w:delText>
              </w:r>
            </w:del>
          </w:p>
          <w:p w14:paraId="67972374" w14:textId="77777777" w:rsidR="00BC0E7E" w:rsidRPr="00BC0E7E" w:rsidRDefault="00944B8F" w:rsidP="00BC0E7E">
            <w:pPr>
              <w:widowControl w:val="0"/>
              <w:rPr>
                <w:del w:id="1058" w:author="AbbVie19" w:date="2025-04-16T10:35:00Z"/>
                <w:szCs w:val="20"/>
              </w:rPr>
            </w:pPr>
            <w:del w:id="1059" w:author="AbbVie19" w:date="2025-04-16T10:35:00Z">
              <w:r w:rsidRPr="00BC0E7E">
                <w:rPr>
                  <w:szCs w:val="20"/>
                </w:rPr>
                <w:delText xml:space="preserve">thrombophlebitis </w:delText>
              </w:r>
            </w:del>
          </w:p>
          <w:p w14:paraId="2C3806E9" w14:textId="77777777" w:rsidR="00BC0E7E" w:rsidRPr="00BC0E7E" w:rsidRDefault="00BC0E7E" w:rsidP="00BC0E7E">
            <w:pPr>
              <w:widowControl w:val="0"/>
              <w:rPr>
                <w:del w:id="1060" w:author="AbbVie19" w:date="2025-04-16T10:35:00Z"/>
                <w:szCs w:val="20"/>
              </w:rPr>
            </w:pPr>
          </w:p>
        </w:tc>
      </w:tr>
      <w:tr w:rsidR="00C6578C" w14:paraId="4B3537FF" w14:textId="77777777" w:rsidTr="000244DF">
        <w:trPr>
          <w:cantSplit/>
          <w:del w:id="1061" w:author="AbbVie19" w:date="2025-04-16T10:35:00Z"/>
        </w:trPr>
        <w:tc>
          <w:tcPr>
            <w:tcW w:w="2600" w:type="dxa"/>
            <w:vMerge w:val="restart"/>
          </w:tcPr>
          <w:p w14:paraId="2194A9DE" w14:textId="77777777" w:rsidR="00BC0E7E" w:rsidRPr="00BC0E7E" w:rsidRDefault="00944B8F" w:rsidP="00BC0E7E">
            <w:pPr>
              <w:widowControl w:val="0"/>
              <w:spacing w:before="60"/>
              <w:rPr>
                <w:del w:id="1062" w:author="AbbVie19" w:date="2025-04-16T10:35:00Z"/>
                <w:szCs w:val="20"/>
              </w:rPr>
            </w:pPr>
            <w:del w:id="1063" w:author="AbbVie19" w:date="2025-04-16T10:35:00Z">
              <w:r w:rsidRPr="00BC0E7E">
                <w:rPr>
                  <w:szCs w:val="20"/>
                </w:rPr>
                <w:delText>Respiratory, thoracic and mediastinal disorders*</w:delText>
              </w:r>
            </w:del>
          </w:p>
        </w:tc>
        <w:tc>
          <w:tcPr>
            <w:tcW w:w="2074" w:type="dxa"/>
          </w:tcPr>
          <w:p w14:paraId="5F456883" w14:textId="77777777" w:rsidR="00BC0E7E" w:rsidRPr="00BC0E7E" w:rsidRDefault="00944B8F" w:rsidP="00BC0E7E">
            <w:pPr>
              <w:widowControl w:val="0"/>
              <w:spacing w:before="60"/>
              <w:rPr>
                <w:del w:id="1064" w:author="AbbVie19" w:date="2025-04-16T10:35:00Z"/>
                <w:szCs w:val="20"/>
              </w:rPr>
            </w:pPr>
            <w:del w:id="1065" w:author="AbbVie19" w:date="2025-04-16T10:35:00Z">
              <w:r w:rsidRPr="00BC0E7E">
                <w:rPr>
                  <w:szCs w:val="20"/>
                </w:rPr>
                <w:delText>Common</w:delText>
              </w:r>
            </w:del>
          </w:p>
          <w:p w14:paraId="04C752A5" w14:textId="77777777" w:rsidR="00BC0E7E" w:rsidRPr="00BC0E7E" w:rsidRDefault="00BC0E7E" w:rsidP="00BC0E7E">
            <w:pPr>
              <w:widowControl w:val="0"/>
              <w:spacing w:before="60"/>
              <w:rPr>
                <w:del w:id="1066" w:author="AbbVie19" w:date="2025-04-16T10:35:00Z"/>
                <w:szCs w:val="20"/>
              </w:rPr>
            </w:pPr>
          </w:p>
        </w:tc>
        <w:tc>
          <w:tcPr>
            <w:tcW w:w="4575" w:type="dxa"/>
          </w:tcPr>
          <w:p w14:paraId="6DBA2A61" w14:textId="77777777" w:rsidR="00BC0E7E" w:rsidRPr="00BC0E7E" w:rsidRDefault="00944B8F" w:rsidP="00BC0E7E">
            <w:pPr>
              <w:widowControl w:val="0"/>
              <w:spacing w:before="60"/>
              <w:rPr>
                <w:del w:id="1067" w:author="AbbVie19" w:date="2025-04-16T10:35:00Z"/>
                <w:szCs w:val="20"/>
              </w:rPr>
            </w:pPr>
            <w:del w:id="1068" w:author="AbbVie19" w:date="2025-04-16T10:35:00Z">
              <w:r>
                <w:rPr>
                  <w:szCs w:val="20"/>
                </w:rPr>
                <w:delText>A</w:delText>
              </w:r>
              <w:r w:rsidRPr="00BC0E7E">
                <w:rPr>
                  <w:szCs w:val="20"/>
                </w:rPr>
                <w:delText>sthma,</w:delText>
              </w:r>
            </w:del>
          </w:p>
          <w:p w14:paraId="19F8AC0C" w14:textId="77777777" w:rsidR="00BC0E7E" w:rsidRPr="00BC0E7E" w:rsidRDefault="00944B8F" w:rsidP="00BC0E7E">
            <w:pPr>
              <w:widowControl w:val="0"/>
              <w:spacing w:before="60"/>
              <w:rPr>
                <w:del w:id="1069" w:author="AbbVie19" w:date="2025-04-16T10:35:00Z"/>
                <w:szCs w:val="20"/>
              </w:rPr>
            </w:pPr>
            <w:del w:id="1070" w:author="AbbVie19" w:date="2025-04-16T10:35:00Z">
              <w:r w:rsidRPr="00BC0E7E">
                <w:rPr>
                  <w:szCs w:val="20"/>
                </w:rPr>
                <w:delText>dyspnoea,</w:delText>
              </w:r>
            </w:del>
          </w:p>
          <w:p w14:paraId="73ED15E8" w14:textId="77777777" w:rsidR="00BC0E7E" w:rsidRPr="00BC0E7E" w:rsidRDefault="00944B8F" w:rsidP="00BC0E7E">
            <w:pPr>
              <w:widowControl w:val="0"/>
              <w:spacing w:before="60"/>
              <w:rPr>
                <w:del w:id="1071" w:author="AbbVie19" w:date="2025-04-16T10:35:00Z"/>
                <w:szCs w:val="20"/>
              </w:rPr>
            </w:pPr>
            <w:del w:id="1072" w:author="AbbVie19" w:date="2025-04-16T10:35:00Z">
              <w:r w:rsidRPr="00BC0E7E">
                <w:rPr>
                  <w:szCs w:val="20"/>
                </w:rPr>
                <w:delText>cough</w:delText>
              </w:r>
            </w:del>
          </w:p>
          <w:p w14:paraId="696E6568" w14:textId="77777777" w:rsidR="00BC0E7E" w:rsidRPr="00BC0E7E" w:rsidRDefault="00BC0E7E" w:rsidP="00BC0E7E">
            <w:pPr>
              <w:widowControl w:val="0"/>
              <w:spacing w:before="60"/>
              <w:rPr>
                <w:del w:id="1073" w:author="AbbVie19" w:date="2025-04-16T10:35:00Z"/>
                <w:szCs w:val="20"/>
              </w:rPr>
            </w:pPr>
          </w:p>
        </w:tc>
      </w:tr>
      <w:tr w:rsidR="00C6578C" w14:paraId="716112F7" w14:textId="77777777" w:rsidTr="000244DF">
        <w:trPr>
          <w:cantSplit/>
          <w:del w:id="1074" w:author="AbbVie19" w:date="2025-04-16T10:35:00Z"/>
        </w:trPr>
        <w:tc>
          <w:tcPr>
            <w:tcW w:w="2600" w:type="dxa"/>
            <w:vMerge/>
          </w:tcPr>
          <w:p w14:paraId="53B21D15" w14:textId="77777777" w:rsidR="00BC0E7E" w:rsidRPr="00BC0E7E" w:rsidRDefault="00BC0E7E" w:rsidP="00BC0E7E">
            <w:pPr>
              <w:widowControl w:val="0"/>
              <w:spacing w:before="60"/>
              <w:jc w:val="center"/>
              <w:rPr>
                <w:del w:id="1075" w:author="AbbVie19" w:date="2025-04-16T10:35:00Z"/>
                <w:b/>
              </w:rPr>
            </w:pPr>
          </w:p>
        </w:tc>
        <w:tc>
          <w:tcPr>
            <w:tcW w:w="2074" w:type="dxa"/>
          </w:tcPr>
          <w:p w14:paraId="73129A99" w14:textId="77777777" w:rsidR="00BC0E7E" w:rsidRPr="00BC0E7E" w:rsidRDefault="00944B8F" w:rsidP="00BC0E7E">
            <w:pPr>
              <w:widowControl w:val="0"/>
              <w:rPr>
                <w:del w:id="1076" w:author="AbbVie19" w:date="2025-04-16T10:35:00Z"/>
                <w:szCs w:val="20"/>
              </w:rPr>
            </w:pPr>
            <w:del w:id="1077" w:author="AbbVie19" w:date="2025-04-16T10:35:00Z">
              <w:r w:rsidRPr="00BC0E7E">
                <w:rPr>
                  <w:szCs w:val="20"/>
                </w:rPr>
                <w:delText>Uncommon</w:delText>
              </w:r>
            </w:del>
          </w:p>
          <w:p w14:paraId="2BC1D5F8" w14:textId="77777777" w:rsidR="00BC0E7E" w:rsidRPr="00BC0E7E" w:rsidRDefault="00BC0E7E" w:rsidP="00BC0E7E">
            <w:pPr>
              <w:widowControl w:val="0"/>
              <w:rPr>
                <w:del w:id="1078" w:author="AbbVie19" w:date="2025-04-16T10:35:00Z"/>
                <w:szCs w:val="20"/>
              </w:rPr>
            </w:pPr>
          </w:p>
        </w:tc>
        <w:tc>
          <w:tcPr>
            <w:tcW w:w="4575" w:type="dxa"/>
          </w:tcPr>
          <w:p w14:paraId="463A64A2" w14:textId="77777777" w:rsidR="00BC0E7E" w:rsidRPr="00BC0E7E" w:rsidRDefault="00944B8F" w:rsidP="00BC0E7E">
            <w:pPr>
              <w:widowControl w:val="0"/>
              <w:spacing w:before="60"/>
              <w:rPr>
                <w:del w:id="1079" w:author="AbbVie19" w:date="2025-04-16T10:35:00Z"/>
                <w:szCs w:val="20"/>
              </w:rPr>
            </w:pPr>
            <w:del w:id="1080" w:author="AbbVie19" w:date="2025-04-16T10:35:00Z">
              <w:r>
                <w:rPr>
                  <w:szCs w:val="20"/>
                </w:rPr>
                <w:delText>P</w:delText>
              </w:r>
              <w:r w:rsidRPr="00BC0E7E">
                <w:rPr>
                  <w:szCs w:val="20"/>
                </w:rPr>
                <w:delText>ulmonary embolism</w:delText>
              </w:r>
              <w:r w:rsidRPr="00BC0E7E">
                <w:rPr>
                  <w:szCs w:val="20"/>
                  <w:vertAlign w:val="superscript"/>
                </w:rPr>
                <w:delText>1)</w:delText>
              </w:r>
              <w:r w:rsidRPr="00BC0E7E">
                <w:rPr>
                  <w:szCs w:val="20"/>
                </w:rPr>
                <w:delText>,</w:delText>
              </w:r>
            </w:del>
          </w:p>
          <w:p w14:paraId="49337703" w14:textId="77777777" w:rsidR="00BC0E7E" w:rsidRPr="00BC0E7E" w:rsidRDefault="00944B8F" w:rsidP="00BC0E7E">
            <w:pPr>
              <w:widowControl w:val="0"/>
              <w:rPr>
                <w:del w:id="1081" w:author="AbbVie19" w:date="2025-04-16T10:35:00Z"/>
                <w:szCs w:val="20"/>
              </w:rPr>
            </w:pPr>
            <w:del w:id="1082" w:author="AbbVie19" w:date="2025-04-16T10:35:00Z">
              <w:r w:rsidRPr="00BC0E7E">
                <w:rPr>
                  <w:szCs w:val="20"/>
                </w:rPr>
                <w:delText xml:space="preserve">interstitial lung disease, </w:delText>
              </w:r>
            </w:del>
          </w:p>
          <w:p w14:paraId="566997F6" w14:textId="77777777" w:rsidR="00BC0E7E" w:rsidRPr="00BC0E7E" w:rsidRDefault="00944B8F" w:rsidP="00BC0E7E">
            <w:pPr>
              <w:widowControl w:val="0"/>
              <w:rPr>
                <w:del w:id="1083" w:author="AbbVie19" w:date="2025-04-16T10:35:00Z"/>
                <w:szCs w:val="20"/>
              </w:rPr>
            </w:pPr>
            <w:del w:id="1084" w:author="AbbVie19" w:date="2025-04-16T10:35:00Z">
              <w:r w:rsidRPr="00BC0E7E">
                <w:rPr>
                  <w:szCs w:val="20"/>
                </w:rPr>
                <w:delText>chronic obstructive pulmonary disease,</w:delText>
              </w:r>
            </w:del>
          </w:p>
          <w:p w14:paraId="2BF7AB75" w14:textId="77777777" w:rsidR="00BC0E7E" w:rsidRPr="00BC0E7E" w:rsidRDefault="00944B8F" w:rsidP="00BC0E7E">
            <w:pPr>
              <w:widowControl w:val="0"/>
              <w:rPr>
                <w:del w:id="1085" w:author="AbbVie19" w:date="2025-04-16T10:35:00Z"/>
                <w:szCs w:val="20"/>
              </w:rPr>
            </w:pPr>
            <w:del w:id="1086" w:author="AbbVie19" w:date="2025-04-16T10:35:00Z">
              <w:r w:rsidRPr="00BC0E7E">
                <w:rPr>
                  <w:szCs w:val="20"/>
                </w:rPr>
                <w:delText>pneumonitis,</w:delText>
              </w:r>
            </w:del>
          </w:p>
          <w:p w14:paraId="57798158" w14:textId="77777777" w:rsidR="00BC0E7E" w:rsidRPr="00BC0E7E" w:rsidRDefault="00944B8F" w:rsidP="00BC0E7E">
            <w:pPr>
              <w:widowControl w:val="0"/>
              <w:rPr>
                <w:del w:id="1087" w:author="AbbVie19" w:date="2025-04-16T10:35:00Z"/>
                <w:szCs w:val="20"/>
              </w:rPr>
            </w:pPr>
            <w:del w:id="1088" w:author="AbbVie19" w:date="2025-04-16T10:35:00Z">
              <w:r w:rsidRPr="00BC0E7E">
                <w:rPr>
                  <w:szCs w:val="20"/>
                </w:rPr>
                <w:delText>pleural effusion</w:delText>
              </w:r>
              <w:r w:rsidRPr="00BC0E7E">
                <w:rPr>
                  <w:szCs w:val="20"/>
                  <w:vertAlign w:val="superscript"/>
                </w:rPr>
                <w:delText>1)</w:delText>
              </w:r>
            </w:del>
          </w:p>
          <w:p w14:paraId="6B63DEA3" w14:textId="77777777" w:rsidR="00BC0E7E" w:rsidRPr="00BC0E7E" w:rsidRDefault="00BC0E7E" w:rsidP="00BC0E7E">
            <w:pPr>
              <w:widowControl w:val="0"/>
              <w:rPr>
                <w:del w:id="1089" w:author="AbbVie19" w:date="2025-04-16T10:35:00Z"/>
                <w:szCs w:val="20"/>
              </w:rPr>
            </w:pPr>
          </w:p>
        </w:tc>
      </w:tr>
      <w:tr w:rsidR="00C6578C" w14:paraId="53BF1932" w14:textId="77777777" w:rsidTr="000244DF">
        <w:trPr>
          <w:cantSplit/>
          <w:del w:id="1090" w:author="AbbVie19" w:date="2025-04-16T10:35:00Z"/>
        </w:trPr>
        <w:tc>
          <w:tcPr>
            <w:tcW w:w="2600" w:type="dxa"/>
            <w:vMerge/>
          </w:tcPr>
          <w:p w14:paraId="34218265" w14:textId="77777777" w:rsidR="00BC0E7E" w:rsidRPr="00BC0E7E" w:rsidRDefault="00BC0E7E" w:rsidP="00BC0E7E">
            <w:pPr>
              <w:widowControl w:val="0"/>
              <w:spacing w:before="60"/>
              <w:rPr>
                <w:del w:id="1091" w:author="AbbVie19" w:date="2025-04-16T10:35:00Z"/>
                <w:szCs w:val="20"/>
              </w:rPr>
            </w:pPr>
          </w:p>
        </w:tc>
        <w:tc>
          <w:tcPr>
            <w:tcW w:w="2074" w:type="dxa"/>
          </w:tcPr>
          <w:p w14:paraId="04942F7E" w14:textId="77777777" w:rsidR="00BC0E7E" w:rsidRPr="00BC0E7E" w:rsidRDefault="00944B8F" w:rsidP="00BC0E7E">
            <w:pPr>
              <w:widowControl w:val="0"/>
              <w:spacing w:before="60"/>
              <w:rPr>
                <w:del w:id="1092" w:author="AbbVie19" w:date="2025-04-16T10:35:00Z"/>
                <w:szCs w:val="20"/>
              </w:rPr>
            </w:pPr>
            <w:del w:id="1093" w:author="AbbVie19" w:date="2025-04-16T10:35:00Z">
              <w:r w:rsidRPr="00BC0E7E">
                <w:rPr>
                  <w:szCs w:val="20"/>
                </w:rPr>
                <w:delText>Rare</w:delText>
              </w:r>
            </w:del>
          </w:p>
        </w:tc>
        <w:tc>
          <w:tcPr>
            <w:tcW w:w="4575" w:type="dxa"/>
          </w:tcPr>
          <w:p w14:paraId="43EE9D3C" w14:textId="77777777" w:rsidR="00BC0E7E" w:rsidRPr="00BC0E7E" w:rsidRDefault="00944B8F" w:rsidP="00BC0E7E">
            <w:pPr>
              <w:widowControl w:val="0"/>
              <w:spacing w:before="60"/>
              <w:rPr>
                <w:del w:id="1094" w:author="AbbVie19" w:date="2025-04-16T10:35:00Z"/>
                <w:szCs w:val="20"/>
                <w:vertAlign w:val="superscript"/>
              </w:rPr>
            </w:pPr>
            <w:del w:id="1095" w:author="AbbVie19" w:date="2025-04-16T10:35:00Z">
              <w:r>
                <w:rPr>
                  <w:szCs w:val="20"/>
                </w:rPr>
                <w:delText>P</w:delText>
              </w:r>
              <w:r w:rsidRPr="00BC0E7E">
                <w:rPr>
                  <w:szCs w:val="20"/>
                </w:rPr>
                <w:delText>ulmonary fibrosis</w:delText>
              </w:r>
              <w:r w:rsidRPr="00BC0E7E">
                <w:rPr>
                  <w:szCs w:val="20"/>
                  <w:vertAlign w:val="superscript"/>
                </w:rPr>
                <w:delText>1)</w:delText>
              </w:r>
            </w:del>
          </w:p>
          <w:p w14:paraId="3412E3EF" w14:textId="77777777" w:rsidR="00BC0E7E" w:rsidRPr="00BC0E7E" w:rsidRDefault="00BC0E7E" w:rsidP="00BC0E7E">
            <w:pPr>
              <w:widowControl w:val="0"/>
              <w:spacing w:before="60"/>
              <w:rPr>
                <w:del w:id="1096" w:author="AbbVie19" w:date="2025-04-16T10:35:00Z"/>
                <w:szCs w:val="20"/>
              </w:rPr>
            </w:pPr>
          </w:p>
        </w:tc>
      </w:tr>
      <w:tr w:rsidR="00C6578C" w14:paraId="246821FD" w14:textId="77777777" w:rsidTr="000244DF">
        <w:trPr>
          <w:cantSplit/>
          <w:del w:id="1097" w:author="AbbVie19" w:date="2025-04-16T10:35:00Z"/>
        </w:trPr>
        <w:tc>
          <w:tcPr>
            <w:tcW w:w="2600" w:type="dxa"/>
            <w:vMerge w:val="restart"/>
          </w:tcPr>
          <w:p w14:paraId="6536770B" w14:textId="77777777" w:rsidR="00BC0E7E" w:rsidRPr="00BC0E7E" w:rsidRDefault="00944B8F" w:rsidP="00BC0E7E">
            <w:pPr>
              <w:keepNext/>
              <w:widowControl w:val="0"/>
              <w:spacing w:before="60"/>
              <w:rPr>
                <w:del w:id="1098" w:author="AbbVie19" w:date="2025-04-16T10:35:00Z"/>
                <w:szCs w:val="20"/>
              </w:rPr>
            </w:pPr>
            <w:del w:id="1099" w:author="AbbVie19" w:date="2025-04-16T10:35:00Z">
              <w:r w:rsidRPr="00BC0E7E">
                <w:rPr>
                  <w:szCs w:val="20"/>
                </w:rPr>
                <w:delText>Gastrointestinal disorders</w:delText>
              </w:r>
            </w:del>
          </w:p>
        </w:tc>
        <w:tc>
          <w:tcPr>
            <w:tcW w:w="2074" w:type="dxa"/>
          </w:tcPr>
          <w:p w14:paraId="7581BFB4" w14:textId="77777777" w:rsidR="00BC0E7E" w:rsidRPr="00BC0E7E" w:rsidRDefault="00944B8F" w:rsidP="00BC0E7E">
            <w:pPr>
              <w:keepNext/>
              <w:widowControl w:val="0"/>
              <w:spacing w:before="60"/>
              <w:rPr>
                <w:del w:id="1100" w:author="AbbVie19" w:date="2025-04-16T10:35:00Z"/>
                <w:szCs w:val="20"/>
              </w:rPr>
            </w:pPr>
            <w:del w:id="1101" w:author="AbbVie19" w:date="2025-04-16T10:35:00Z">
              <w:r w:rsidRPr="00BC0E7E">
                <w:rPr>
                  <w:szCs w:val="20"/>
                </w:rPr>
                <w:delText>Very common</w:delText>
              </w:r>
            </w:del>
          </w:p>
          <w:p w14:paraId="0DA44D03" w14:textId="77777777" w:rsidR="00BC0E7E" w:rsidRPr="00BC0E7E" w:rsidRDefault="00BC0E7E" w:rsidP="00BC0E7E">
            <w:pPr>
              <w:keepNext/>
              <w:widowControl w:val="0"/>
              <w:spacing w:before="60"/>
              <w:rPr>
                <w:del w:id="1102" w:author="AbbVie19" w:date="2025-04-16T10:35:00Z"/>
                <w:szCs w:val="20"/>
              </w:rPr>
            </w:pPr>
          </w:p>
        </w:tc>
        <w:tc>
          <w:tcPr>
            <w:tcW w:w="4575" w:type="dxa"/>
          </w:tcPr>
          <w:p w14:paraId="732B1FDD" w14:textId="77777777" w:rsidR="00BC0E7E" w:rsidRPr="00BC0E7E" w:rsidRDefault="00944B8F" w:rsidP="00BC0E7E">
            <w:pPr>
              <w:keepNext/>
              <w:widowControl w:val="0"/>
              <w:spacing w:before="60"/>
              <w:rPr>
                <w:del w:id="1103" w:author="AbbVie19" w:date="2025-04-16T10:35:00Z"/>
                <w:szCs w:val="20"/>
              </w:rPr>
            </w:pPr>
            <w:del w:id="1104" w:author="AbbVie19" w:date="2025-04-16T10:35:00Z">
              <w:r>
                <w:rPr>
                  <w:szCs w:val="20"/>
                </w:rPr>
                <w:delText>A</w:delText>
              </w:r>
              <w:r w:rsidRPr="00BC0E7E">
                <w:rPr>
                  <w:szCs w:val="20"/>
                </w:rPr>
                <w:delText xml:space="preserve">bdominal pain, </w:delText>
              </w:r>
            </w:del>
          </w:p>
          <w:p w14:paraId="58724ED4" w14:textId="77777777" w:rsidR="00BC0E7E" w:rsidRPr="00BC0E7E" w:rsidRDefault="00944B8F" w:rsidP="00BC0E7E">
            <w:pPr>
              <w:keepNext/>
              <w:widowControl w:val="0"/>
              <w:spacing w:before="60"/>
              <w:rPr>
                <w:del w:id="1105" w:author="AbbVie19" w:date="2025-04-16T10:35:00Z"/>
                <w:szCs w:val="20"/>
              </w:rPr>
            </w:pPr>
            <w:del w:id="1106" w:author="AbbVie19" w:date="2025-04-16T10:35:00Z">
              <w:r w:rsidRPr="00BC0E7E">
                <w:rPr>
                  <w:szCs w:val="20"/>
                </w:rPr>
                <w:delText>nausea and vomiting</w:delText>
              </w:r>
            </w:del>
          </w:p>
          <w:p w14:paraId="34470A6F" w14:textId="77777777" w:rsidR="00BC0E7E" w:rsidRPr="00BC0E7E" w:rsidRDefault="00BC0E7E" w:rsidP="00BC0E7E">
            <w:pPr>
              <w:keepNext/>
              <w:widowControl w:val="0"/>
              <w:spacing w:before="60"/>
              <w:rPr>
                <w:del w:id="1107" w:author="AbbVie19" w:date="2025-04-16T10:35:00Z"/>
                <w:szCs w:val="20"/>
              </w:rPr>
            </w:pPr>
          </w:p>
        </w:tc>
      </w:tr>
      <w:tr w:rsidR="00C6578C" w14:paraId="30F89B4D" w14:textId="77777777" w:rsidTr="000244DF">
        <w:trPr>
          <w:cantSplit/>
          <w:del w:id="1108" w:author="AbbVie19" w:date="2025-04-16T10:35:00Z"/>
        </w:trPr>
        <w:tc>
          <w:tcPr>
            <w:tcW w:w="2600" w:type="dxa"/>
            <w:vMerge/>
          </w:tcPr>
          <w:p w14:paraId="49EC9C55" w14:textId="77777777" w:rsidR="00BC0E7E" w:rsidRPr="00BC0E7E" w:rsidRDefault="00BC0E7E" w:rsidP="00BC0E7E">
            <w:pPr>
              <w:keepNext/>
              <w:widowControl w:val="0"/>
              <w:spacing w:before="60"/>
              <w:jc w:val="center"/>
              <w:rPr>
                <w:del w:id="1109" w:author="AbbVie19" w:date="2025-04-16T10:35:00Z"/>
                <w:b/>
              </w:rPr>
            </w:pPr>
          </w:p>
        </w:tc>
        <w:tc>
          <w:tcPr>
            <w:tcW w:w="2074" w:type="dxa"/>
          </w:tcPr>
          <w:p w14:paraId="15365647" w14:textId="77777777" w:rsidR="00BC0E7E" w:rsidRPr="00BC0E7E" w:rsidRDefault="00944B8F" w:rsidP="00BC0E7E">
            <w:pPr>
              <w:keepNext/>
              <w:widowControl w:val="0"/>
              <w:rPr>
                <w:del w:id="1110" w:author="AbbVie19" w:date="2025-04-16T10:35:00Z"/>
                <w:szCs w:val="20"/>
              </w:rPr>
            </w:pPr>
            <w:del w:id="1111" w:author="AbbVie19" w:date="2025-04-16T10:35:00Z">
              <w:r w:rsidRPr="00BC0E7E">
                <w:rPr>
                  <w:szCs w:val="20"/>
                </w:rPr>
                <w:delText>Common</w:delText>
              </w:r>
            </w:del>
          </w:p>
          <w:p w14:paraId="60989CC3" w14:textId="77777777" w:rsidR="00BC0E7E" w:rsidRPr="00BC0E7E" w:rsidRDefault="00BC0E7E" w:rsidP="00BC0E7E">
            <w:pPr>
              <w:keepNext/>
              <w:widowControl w:val="0"/>
              <w:rPr>
                <w:del w:id="1112" w:author="AbbVie19" w:date="2025-04-16T10:35:00Z"/>
                <w:szCs w:val="20"/>
              </w:rPr>
            </w:pPr>
          </w:p>
        </w:tc>
        <w:tc>
          <w:tcPr>
            <w:tcW w:w="4575" w:type="dxa"/>
          </w:tcPr>
          <w:p w14:paraId="59C2BCCE" w14:textId="77777777" w:rsidR="00BC0E7E" w:rsidRPr="00BC0E7E" w:rsidRDefault="00944B8F" w:rsidP="00BC0E7E">
            <w:pPr>
              <w:keepNext/>
              <w:widowControl w:val="0"/>
              <w:rPr>
                <w:del w:id="1113" w:author="AbbVie19" w:date="2025-04-16T10:35:00Z"/>
                <w:szCs w:val="20"/>
              </w:rPr>
            </w:pPr>
            <w:del w:id="1114" w:author="AbbVie19" w:date="2025-04-16T10:35:00Z">
              <w:r w:rsidRPr="00BC0E7E">
                <w:rPr>
                  <w:szCs w:val="20"/>
                </w:rPr>
                <w:delText xml:space="preserve">GI haemorrhage, </w:delText>
              </w:r>
            </w:del>
          </w:p>
          <w:p w14:paraId="1ED20E1E" w14:textId="77777777" w:rsidR="00BC0E7E" w:rsidRPr="00BC0E7E" w:rsidRDefault="00944B8F" w:rsidP="00BC0E7E">
            <w:pPr>
              <w:keepNext/>
              <w:widowControl w:val="0"/>
              <w:rPr>
                <w:del w:id="1115" w:author="AbbVie19" w:date="2025-04-16T10:35:00Z"/>
                <w:szCs w:val="15"/>
              </w:rPr>
            </w:pPr>
            <w:del w:id="1116" w:author="AbbVie19" w:date="2025-04-16T10:35:00Z">
              <w:r w:rsidRPr="00BC0E7E">
                <w:rPr>
                  <w:szCs w:val="20"/>
                </w:rPr>
                <w:delText>dyspepsia,</w:delText>
              </w:r>
              <w:r w:rsidRPr="00BC0E7E">
                <w:rPr>
                  <w:szCs w:val="15"/>
                </w:rPr>
                <w:delText xml:space="preserve"> </w:delText>
              </w:r>
            </w:del>
          </w:p>
          <w:p w14:paraId="7B746239" w14:textId="77777777" w:rsidR="00BC0E7E" w:rsidRPr="00BC0E7E" w:rsidRDefault="00944B8F" w:rsidP="00BC0E7E">
            <w:pPr>
              <w:keepNext/>
              <w:widowControl w:val="0"/>
              <w:rPr>
                <w:del w:id="1117" w:author="AbbVie19" w:date="2025-04-16T10:35:00Z"/>
                <w:szCs w:val="20"/>
              </w:rPr>
            </w:pPr>
            <w:del w:id="1118" w:author="AbbVie19" w:date="2025-04-16T10:35:00Z">
              <w:r w:rsidRPr="00BC0E7E">
                <w:rPr>
                  <w:szCs w:val="20"/>
                </w:rPr>
                <w:delText>gastroesophageal reflux disease,</w:delText>
              </w:r>
            </w:del>
          </w:p>
          <w:p w14:paraId="3AE90FEE" w14:textId="77777777" w:rsidR="00BC0E7E" w:rsidRPr="00BC0E7E" w:rsidRDefault="00944B8F" w:rsidP="00BC0E7E">
            <w:pPr>
              <w:keepNext/>
              <w:widowControl w:val="0"/>
              <w:rPr>
                <w:del w:id="1119" w:author="AbbVie19" w:date="2025-04-16T10:35:00Z"/>
                <w:szCs w:val="20"/>
              </w:rPr>
            </w:pPr>
            <w:del w:id="1120" w:author="AbbVie19" w:date="2025-04-16T10:35:00Z">
              <w:r w:rsidRPr="00BC0E7E">
                <w:rPr>
                  <w:szCs w:val="20"/>
                </w:rPr>
                <w:delText>sicca syndrome</w:delText>
              </w:r>
            </w:del>
          </w:p>
          <w:p w14:paraId="1A14F49B" w14:textId="77777777" w:rsidR="00BC0E7E" w:rsidRPr="00BC0E7E" w:rsidRDefault="00BC0E7E" w:rsidP="00BC0E7E">
            <w:pPr>
              <w:keepNext/>
              <w:widowControl w:val="0"/>
              <w:rPr>
                <w:del w:id="1121" w:author="AbbVie19" w:date="2025-04-16T10:35:00Z"/>
                <w:szCs w:val="20"/>
              </w:rPr>
            </w:pPr>
          </w:p>
        </w:tc>
      </w:tr>
      <w:tr w:rsidR="00C6578C" w14:paraId="11570C29" w14:textId="77777777" w:rsidTr="000244DF">
        <w:trPr>
          <w:cantSplit/>
          <w:del w:id="1122" w:author="AbbVie19" w:date="2025-04-16T10:35:00Z"/>
        </w:trPr>
        <w:tc>
          <w:tcPr>
            <w:tcW w:w="2600" w:type="dxa"/>
            <w:vMerge/>
          </w:tcPr>
          <w:p w14:paraId="4C6AAD44" w14:textId="77777777" w:rsidR="00BC0E7E" w:rsidRPr="00BC0E7E" w:rsidRDefault="00BC0E7E" w:rsidP="00BC0E7E">
            <w:pPr>
              <w:widowControl w:val="0"/>
              <w:spacing w:before="60"/>
              <w:jc w:val="center"/>
              <w:rPr>
                <w:del w:id="1123" w:author="AbbVie19" w:date="2025-04-16T10:35:00Z"/>
                <w:b/>
              </w:rPr>
            </w:pPr>
          </w:p>
        </w:tc>
        <w:tc>
          <w:tcPr>
            <w:tcW w:w="2074" w:type="dxa"/>
          </w:tcPr>
          <w:p w14:paraId="3385F0CE" w14:textId="77777777" w:rsidR="00BC0E7E" w:rsidRPr="00BC0E7E" w:rsidRDefault="00944B8F" w:rsidP="00BC0E7E">
            <w:pPr>
              <w:widowControl w:val="0"/>
              <w:rPr>
                <w:del w:id="1124" w:author="AbbVie19" w:date="2025-04-16T10:35:00Z"/>
                <w:szCs w:val="20"/>
              </w:rPr>
            </w:pPr>
            <w:del w:id="1125" w:author="AbbVie19" w:date="2025-04-16T10:35:00Z">
              <w:r w:rsidRPr="00BC0E7E">
                <w:rPr>
                  <w:szCs w:val="20"/>
                </w:rPr>
                <w:delText>Uncommon</w:delText>
              </w:r>
            </w:del>
          </w:p>
          <w:p w14:paraId="3473E647" w14:textId="77777777" w:rsidR="00BC0E7E" w:rsidRPr="00BC0E7E" w:rsidRDefault="00BC0E7E" w:rsidP="00BC0E7E">
            <w:pPr>
              <w:widowControl w:val="0"/>
              <w:rPr>
                <w:del w:id="1126" w:author="AbbVie19" w:date="2025-04-16T10:35:00Z"/>
                <w:szCs w:val="20"/>
              </w:rPr>
            </w:pPr>
          </w:p>
        </w:tc>
        <w:tc>
          <w:tcPr>
            <w:tcW w:w="4575" w:type="dxa"/>
          </w:tcPr>
          <w:p w14:paraId="5D560AA8" w14:textId="77777777" w:rsidR="00BC0E7E" w:rsidRPr="00BC0E7E" w:rsidRDefault="00944B8F" w:rsidP="00BC0E7E">
            <w:pPr>
              <w:widowControl w:val="0"/>
              <w:rPr>
                <w:del w:id="1127" w:author="AbbVie19" w:date="2025-04-16T10:35:00Z"/>
                <w:szCs w:val="20"/>
              </w:rPr>
            </w:pPr>
            <w:del w:id="1128" w:author="AbbVie19" w:date="2025-04-16T10:35:00Z">
              <w:r>
                <w:rPr>
                  <w:szCs w:val="20"/>
                </w:rPr>
                <w:delText>P</w:delText>
              </w:r>
              <w:r w:rsidRPr="00BC0E7E">
                <w:rPr>
                  <w:szCs w:val="20"/>
                </w:rPr>
                <w:delText xml:space="preserve">ancreatitis, </w:delText>
              </w:r>
            </w:del>
          </w:p>
          <w:p w14:paraId="48E3B934" w14:textId="77777777" w:rsidR="00BC0E7E" w:rsidRPr="00BC0E7E" w:rsidRDefault="00944B8F" w:rsidP="00BC0E7E">
            <w:pPr>
              <w:widowControl w:val="0"/>
              <w:rPr>
                <w:del w:id="1129" w:author="AbbVie19" w:date="2025-04-16T10:35:00Z"/>
                <w:szCs w:val="20"/>
              </w:rPr>
            </w:pPr>
            <w:del w:id="1130" w:author="AbbVie19" w:date="2025-04-16T10:35:00Z">
              <w:r w:rsidRPr="00BC0E7E">
                <w:rPr>
                  <w:szCs w:val="20"/>
                </w:rPr>
                <w:delText>dysphagia,</w:delText>
              </w:r>
            </w:del>
          </w:p>
          <w:p w14:paraId="6344E87D" w14:textId="77777777" w:rsidR="00BC0E7E" w:rsidRPr="00BC0E7E" w:rsidRDefault="00944B8F" w:rsidP="00BC0E7E">
            <w:pPr>
              <w:widowControl w:val="0"/>
              <w:rPr>
                <w:del w:id="1131" w:author="AbbVie19" w:date="2025-04-16T10:35:00Z"/>
                <w:szCs w:val="20"/>
              </w:rPr>
            </w:pPr>
            <w:del w:id="1132" w:author="AbbVie19" w:date="2025-04-16T10:35:00Z">
              <w:r w:rsidRPr="00BC0E7E">
                <w:rPr>
                  <w:szCs w:val="20"/>
                </w:rPr>
                <w:delText>face oedema</w:delText>
              </w:r>
            </w:del>
          </w:p>
          <w:p w14:paraId="6597F320" w14:textId="77777777" w:rsidR="00BC0E7E" w:rsidRPr="00BC0E7E" w:rsidRDefault="00BC0E7E" w:rsidP="00BC0E7E">
            <w:pPr>
              <w:widowControl w:val="0"/>
              <w:rPr>
                <w:del w:id="1133" w:author="AbbVie19" w:date="2025-04-16T10:35:00Z"/>
                <w:szCs w:val="20"/>
              </w:rPr>
            </w:pPr>
          </w:p>
        </w:tc>
      </w:tr>
      <w:tr w:rsidR="00C6578C" w14:paraId="5156D099" w14:textId="77777777" w:rsidTr="000244DF">
        <w:trPr>
          <w:cantSplit/>
          <w:del w:id="1134" w:author="AbbVie19" w:date="2025-04-16T10:35:00Z"/>
        </w:trPr>
        <w:tc>
          <w:tcPr>
            <w:tcW w:w="2600" w:type="dxa"/>
            <w:vMerge/>
          </w:tcPr>
          <w:p w14:paraId="537A4C32" w14:textId="77777777" w:rsidR="00BC0E7E" w:rsidRPr="00BC0E7E" w:rsidRDefault="00BC0E7E" w:rsidP="00BC0E7E">
            <w:pPr>
              <w:widowControl w:val="0"/>
              <w:spacing w:before="60"/>
              <w:rPr>
                <w:del w:id="1135" w:author="AbbVie19" w:date="2025-04-16T10:35:00Z"/>
                <w:szCs w:val="20"/>
              </w:rPr>
            </w:pPr>
          </w:p>
        </w:tc>
        <w:tc>
          <w:tcPr>
            <w:tcW w:w="2074" w:type="dxa"/>
          </w:tcPr>
          <w:p w14:paraId="15CA0910" w14:textId="77777777" w:rsidR="00BC0E7E" w:rsidRPr="00BC0E7E" w:rsidRDefault="00944B8F" w:rsidP="00BC0E7E">
            <w:pPr>
              <w:widowControl w:val="0"/>
              <w:spacing w:before="60"/>
              <w:rPr>
                <w:del w:id="1136" w:author="AbbVie19" w:date="2025-04-16T10:35:00Z"/>
                <w:szCs w:val="20"/>
              </w:rPr>
            </w:pPr>
            <w:del w:id="1137" w:author="AbbVie19" w:date="2025-04-16T10:35:00Z">
              <w:r w:rsidRPr="00BC0E7E">
                <w:rPr>
                  <w:szCs w:val="20"/>
                </w:rPr>
                <w:delText>Rare</w:delText>
              </w:r>
            </w:del>
          </w:p>
        </w:tc>
        <w:tc>
          <w:tcPr>
            <w:tcW w:w="4575" w:type="dxa"/>
          </w:tcPr>
          <w:p w14:paraId="02CA57B3" w14:textId="77777777" w:rsidR="00BC0E7E" w:rsidRPr="00BC0E7E" w:rsidRDefault="00944B8F" w:rsidP="00BC0E7E">
            <w:pPr>
              <w:widowControl w:val="0"/>
              <w:spacing w:before="60"/>
              <w:rPr>
                <w:del w:id="1138" w:author="AbbVie19" w:date="2025-04-16T10:35:00Z"/>
                <w:szCs w:val="20"/>
                <w:vertAlign w:val="superscript"/>
              </w:rPr>
            </w:pPr>
            <w:del w:id="1139" w:author="AbbVie19" w:date="2025-04-16T10:35:00Z">
              <w:r>
                <w:rPr>
                  <w:szCs w:val="20"/>
                </w:rPr>
                <w:delText>I</w:delText>
              </w:r>
              <w:r w:rsidRPr="00BC0E7E">
                <w:rPr>
                  <w:szCs w:val="20"/>
                </w:rPr>
                <w:delText>ntestinal perforation</w:delText>
              </w:r>
              <w:r w:rsidRPr="00BC0E7E">
                <w:rPr>
                  <w:szCs w:val="20"/>
                  <w:vertAlign w:val="superscript"/>
                </w:rPr>
                <w:delText>1)</w:delText>
              </w:r>
            </w:del>
          </w:p>
          <w:p w14:paraId="279319F0" w14:textId="77777777" w:rsidR="00BC0E7E" w:rsidRPr="00BC0E7E" w:rsidRDefault="00BC0E7E" w:rsidP="00BC0E7E">
            <w:pPr>
              <w:widowControl w:val="0"/>
              <w:spacing w:before="60"/>
              <w:rPr>
                <w:del w:id="1140" w:author="AbbVie19" w:date="2025-04-16T10:35:00Z"/>
                <w:szCs w:val="20"/>
              </w:rPr>
            </w:pPr>
          </w:p>
        </w:tc>
      </w:tr>
      <w:tr w:rsidR="00C6578C" w14:paraId="0D9228ED" w14:textId="77777777" w:rsidTr="000244DF">
        <w:trPr>
          <w:cantSplit/>
          <w:del w:id="1141" w:author="AbbVie19" w:date="2025-04-16T10:35:00Z"/>
        </w:trPr>
        <w:tc>
          <w:tcPr>
            <w:tcW w:w="2600" w:type="dxa"/>
            <w:vMerge w:val="restart"/>
          </w:tcPr>
          <w:p w14:paraId="0A8D6835" w14:textId="77777777" w:rsidR="00BC0E7E" w:rsidRPr="00BC0E7E" w:rsidRDefault="00944B8F" w:rsidP="00BC0E7E">
            <w:pPr>
              <w:widowControl w:val="0"/>
              <w:spacing w:before="60"/>
              <w:rPr>
                <w:del w:id="1142" w:author="AbbVie19" w:date="2025-04-16T10:35:00Z"/>
                <w:szCs w:val="20"/>
              </w:rPr>
            </w:pPr>
            <w:del w:id="1143" w:author="AbbVie19" w:date="2025-04-16T10:35:00Z">
              <w:r w:rsidRPr="00BC0E7E">
                <w:rPr>
                  <w:szCs w:val="20"/>
                </w:rPr>
                <w:delText>Hepato-biliary disorders*</w:delText>
              </w:r>
            </w:del>
          </w:p>
        </w:tc>
        <w:tc>
          <w:tcPr>
            <w:tcW w:w="2074" w:type="dxa"/>
          </w:tcPr>
          <w:p w14:paraId="6DE37EEF" w14:textId="77777777" w:rsidR="00BC0E7E" w:rsidRPr="00BC0E7E" w:rsidRDefault="00944B8F" w:rsidP="00BC0E7E">
            <w:pPr>
              <w:widowControl w:val="0"/>
              <w:spacing w:before="60"/>
              <w:rPr>
                <w:del w:id="1144" w:author="AbbVie19" w:date="2025-04-16T10:35:00Z"/>
                <w:szCs w:val="20"/>
              </w:rPr>
            </w:pPr>
            <w:del w:id="1145" w:author="AbbVie19" w:date="2025-04-16T10:35:00Z">
              <w:r w:rsidRPr="00BC0E7E">
                <w:rPr>
                  <w:szCs w:val="20"/>
                </w:rPr>
                <w:delText>Very Common</w:delText>
              </w:r>
            </w:del>
          </w:p>
          <w:p w14:paraId="4B89942E" w14:textId="77777777" w:rsidR="00BC0E7E" w:rsidRPr="00BC0E7E" w:rsidRDefault="00BC0E7E" w:rsidP="00BC0E7E">
            <w:pPr>
              <w:widowControl w:val="0"/>
              <w:spacing w:before="60"/>
              <w:rPr>
                <w:del w:id="1146" w:author="AbbVie19" w:date="2025-04-16T10:35:00Z"/>
                <w:szCs w:val="20"/>
              </w:rPr>
            </w:pPr>
          </w:p>
        </w:tc>
        <w:tc>
          <w:tcPr>
            <w:tcW w:w="4575" w:type="dxa"/>
          </w:tcPr>
          <w:p w14:paraId="78067E33" w14:textId="77777777" w:rsidR="00BC0E7E" w:rsidRPr="00BC0E7E" w:rsidRDefault="00944B8F" w:rsidP="00BC0E7E">
            <w:pPr>
              <w:widowControl w:val="0"/>
              <w:spacing w:before="60"/>
              <w:rPr>
                <w:del w:id="1147" w:author="AbbVie19" w:date="2025-04-16T10:35:00Z"/>
                <w:szCs w:val="20"/>
              </w:rPr>
            </w:pPr>
            <w:del w:id="1148" w:author="AbbVie19" w:date="2025-04-16T10:35:00Z">
              <w:r>
                <w:rPr>
                  <w:szCs w:val="20"/>
                </w:rPr>
                <w:delText>E</w:delText>
              </w:r>
              <w:r w:rsidRPr="00BC0E7E">
                <w:rPr>
                  <w:szCs w:val="20"/>
                </w:rPr>
                <w:delText>levated liver enzymes</w:delText>
              </w:r>
            </w:del>
          </w:p>
          <w:p w14:paraId="2C247466" w14:textId="77777777" w:rsidR="00BC0E7E" w:rsidRPr="00BC0E7E" w:rsidRDefault="00BC0E7E" w:rsidP="00BC0E7E">
            <w:pPr>
              <w:widowControl w:val="0"/>
              <w:spacing w:before="60"/>
              <w:rPr>
                <w:del w:id="1149" w:author="AbbVie19" w:date="2025-04-16T10:35:00Z"/>
                <w:szCs w:val="20"/>
              </w:rPr>
            </w:pPr>
          </w:p>
        </w:tc>
      </w:tr>
      <w:tr w:rsidR="00C6578C" w14:paraId="0EDD5719" w14:textId="77777777" w:rsidTr="000244DF">
        <w:trPr>
          <w:cantSplit/>
          <w:del w:id="1150" w:author="AbbVie19" w:date="2025-04-16T10:35:00Z"/>
        </w:trPr>
        <w:tc>
          <w:tcPr>
            <w:tcW w:w="2600" w:type="dxa"/>
            <w:vMerge/>
          </w:tcPr>
          <w:p w14:paraId="3B38C498" w14:textId="77777777" w:rsidR="00BC0E7E" w:rsidRPr="00BC0E7E" w:rsidRDefault="00BC0E7E" w:rsidP="00BC0E7E">
            <w:pPr>
              <w:widowControl w:val="0"/>
              <w:spacing w:before="60"/>
              <w:rPr>
                <w:del w:id="1151" w:author="AbbVie19" w:date="2025-04-16T10:35:00Z"/>
                <w:szCs w:val="20"/>
              </w:rPr>
            </w:pPr>
          </w:p>
        </w:tc>
        <w:tc>
          <w:tcPr>
            <w:tcW w:w="2074" w:type="dxa"/>
          </w:tcPr>
          <w:p w14:paraId="0BDAD36A" w14:textId="77777777" w:rsidR="00BC0E7E" w:rsidRPr="00BC0E7E" w:rsidRDefault="00944B8F" w:rsidP="00BC0E7E">
            <w:pPr>
              <w:widowControl w:val="0"/>
              <w:rPr>
                <w:del w:id="1152" w:author="AbbVie19" w:date="2025-04-16T10:35:00Z"/>
                <w:szCs w:val="20"/>
              </w:rPr>
            </w:pPr>
            <w:del w:id="1153" w:author="AbbVie19" w:date="2025-04-16T10:35:00Z">
              <w:r w:rsidRPr="00BC0E7E">
                <w:rPr>
                  <w:szCs w:val="20"/>
                </w:rPr>
                <w:delText>Uncommon</w:delText>
              </w:r>
            </w:del>
          </w:p>
          <w:p w14:paraId="64ED34F7" w14:textId="77777777" w:rsidR="00BC0E7E" w:rsidRPr="00BC0E7E" w:rsidRDefault="00BC0E7E" w:rsidP="00BC0E7E">
            <w:pPr>
              <w:widowControl w:val="0"/>
              <w:rPr>
                <w:del w:id="1154" w:author="AbbVie19" w:date="2025-04-16T10:35:00Z"/>
                <w:szCs w:val="20"/>
              </w:rPr>
            </w:pPr>
          </w:p>
        </w:tc>
        <w:tc>
          <w:tcPr>
            <w:tcW w:w="4575" w:type="dxa"/>
          </w:tcPr>
          <w:p w14:paraId="7B15CF0E" w14:textId="77777777" w:rsidR="00BC0E7E" w:rsidRPr="00BC0E7E" w:rsidRDefault="00944B8F" w:rsidP="00BC0E7E">
            <w:pPr>
              <w:widowControl w:val="0"/>
              <w:rPr>
                <w:del w:id="1155" w:author="AbbVie19" w:date="2025-04-16T10:35:00Z"/>
                <w:szCs w:val="20"/>
              </w:rPr>
            </w:pPr>
            <w:del w:id="1156" w:author="AbbVie19" w:date="2025-04-16T10:35:00Z">
              <w:r>
                <w:rPr>
                  <w:szCs w:val="20"/>
                </w:rPr>
                <w:delText>C</w:delText>
              </w:r>
              <w:r w:rsidRPr="00BC0E7E">
                <w:rPr>
                  <w:szCs w:val="20"/>
                </w:rPr>
                <w:delText>holecystitis and cholelithiasis,</w:delText>
              </w:r>
            </w:del>
          </w:p>
          <w:p w14:paraId="0EB53870" w14:textId="77777777" w:rsidR="00BC0E7E" w:rsidRPr="00BC0E7E" w:rsidRDefault="00944B8F" w:rsidP="00BC0E7E">
            <w:pPr>
              <w:widowControl w:val="0"/>
              <w:rPr>
                <w:del w:id="1157" w:author="AbbVie19" w:date="2025-04-16T10:35:00Z"/>
                <w:szCs w:val="20"/>
              </w:rPr>
            </w:pPr>
            <w:del w:id="1158" w:author="AbbVie19" w:date="2025-04-16T10:35:00Z">
              <w:r w:rsidRPr="00BC0E7E">
                <w:rPr>
                  <w:szCs w:val="20"/>
                </w:rPr>
                <w:delText xml:space="preserve">hepatic steatosis, </w:delText>
              </w:r>
            </w:del>
          </w:p>
          <w:p w14:paraId="5942C6FA" w14:textId="77777777" w:rsidR="00BC0E7E" w:rsidRPr="00BC0E7E" w:rsidRDefault="00944B8F" w:rsidP="00BC0E7E">
            <w:pPr>
              <w:widowControl w:val="0"/>
              <w:rPr>
                <w:del w:id="1159" w:author="AbbVie19" w:date="2025-04-16T10:35:00Z"/>
                <w:szCs w:val="20"/>
              </w:rPr>
            </w:pPr>
            <w:del w:id="1160" w:author="AbbVie19" w:date="2025-04-16T10:35:00Z">
              <w:r w:rsidRPr="00BC0E7E">
                <w:rPr>
                  <w:szCs w:val="20"/>
                </w:rPr>
                <w:delText>bilirubin increased</w:delText>
              </w:r>
            </w:del>
          </w:p>
          <w:p w14:paraId="71D837B0" w14:textId="77777777" w:rsidR="00BC0E7E" w:rsidRPr="00BC0E7E" w:rsidRDefault="00BC0E7E" w:rsidP="00BC0E7E">
            <w:pPr>
              <w:widowControl w:val="0"/>
              <w:rPr>
                <w:del w:id="1161" w:author="AbbVie19" w:date="2025-04-16T10:35:00Z"/>
                <w:szCs w:val="20"/>
              </w:rPr>
            </w:pPr>
          </w:p>
        </w:tc>
      </w:tr>
      <w:tr w:rsidR="00C6578C" w14:paraId="3F22A9E8" w14:textId="77777777" w:rsidTr="000244DF">
        <w:trPr>
          <w:cantSplit/>
          <w:del w:id="1162" w:author="AbbVie19" w:date="2025-04-16T10:35:00Z"/>
        </w:trPr>
        <w:tc>
          <w:tcPr>
            <w:tcW w:w="2600" w:type="dxa"/>
            <w:vMerge/>
          </w:tcPr>
          <w:p w14:paraId="5C630CCF" w14:textId="77777777" w:rsidR="00BC0E7E" w:rsidRPr="00BC0E7E" w:rsidRDefault="00BC0E7E" w:rsidP="00BC0E7E">
            <w:pPr>
              <w:widowControl w:val="0"/>
              <w:spacing w:before="60"/>
              <w:rPr>
                <w:del w:id="1163" w:author="AbbVie19" w:date="2025-04-16T10:35:00Z"/>
                <w:szCs w:val="20"/>
              </w:rPr>
            </w:pPr>
          </w:p>
        </w:tc>
        <w:tc>
          <w:tcPr>
            <w:tcW w:w="2074" w:type="dxa"/>
          </w:tcPr>
          <w:p w14:paraId="5EEF39EA" w14:textId="77777777" w:rsidR="00BC0E7E" w:rsidRPr="00BC0E7E" w:rsidRDefault="00944B8F" w:rsidP="00BC0E7E">
            <w:pPr>
              <w:widowControl w:val="0"/>
              <w:spacing w:before="60"/>
              <w:rPr>
                <w:del w:id="1164" w:author="AbbVie19" w:date="2025-04-16T10:35:00Z"/>
                <w:szCs w:val="20"/>
              </w:rPr>
            </w:pPr>
            <w:del w:id="1165" w:author="AbbVie19" w:date="2025-04-16T10:35:00Z">
              <w:r w:rsidRPr="00BC0E7E">
                <w:rPr>
                  <w:szCs w:val="20"/>
                </w:rPr>
                <w:delText>Rare</w:delText>
              </w:r>
            </w:del>
          </w:p>
          <w:p w14:paraId="1A8DA23F" w14:textId="77777777" w:rsidR="00BC0E7E" w:rsidRPr="00BC0E7E" w:rsidRDefault="00BC0E7E" w:rsidP="00BC0E7E">
            <w:pPr>
              <w:widowControl w:val="0"/>
              <w:rPr>
                <w:del w:id="1166" w:author="AbbVie19" w:date="2025-04-16T10:35:00Z"/>
                <w:szCs w:val="20"/>
              </w:rPr>
            </w:pPr>
          </w:p>
        </w:tc>
        <w:tc>
          <w:tcPr>
            <w:tcW w:w="4575" w:type="dxa"/>
          </w:tcPr>
          <w:p w14:paraId="4696155E" w14:textId="77777777" w:rsidR="00BC0E7E" w:rsidRPr="00BC0E7E" w:rsidRDefault="00944B8F" w:rsidP="00BC0E7E">
            <w:pPr>
              <w:widowControl w:val="0"/>
              <w:spacing w:before="60"/>
              <w:rPr>
                <w:del w:id="1167" w:author="AbbVie19" w:date="2025-04-16T10:35:00Z"/>
                <w:szCs w:val="20"/>
              </w:rPr>
            </w:pPr>
            <w:del w:id="1168" w:author="AbbVie19" w:date="2025-04-16T10:35:00Z">
              <w:r>
                <w:rPr>
                  <w:szCs w:val="20"/>
                </w:rPr>
                <w:delText>H</w:delText>
              </w:r>
              <w:r w:rsidRPr="00BC0E7E">
                <w:rPr>
                  <w:szCs w:val="20"/>
                </w:rPr>
                <w:delText>epatitis</w:delText>
              </w:r>
            </w:del>
          </w:p>
          <w:p w14:paraId="06BE7FC2" w14:textId="77777777" w:rsidR="00BC0E7E" w:rsidRPr="00BC0E7E" w:rsidRDefault="00944B8F" w:rsidP="00BC0E7E">
            <w:pPr>
              <w:widowControl w:val="0"/>
              <w:spacing w:before="60"/>
              <w:rPr>
                <w:del w:id="1169" w:author="AbbVie19" w:date="2025-04-16T10:35:00Z"/>
                <w:szCs w:val="20"/>
                <w:vertAlign w:val="superscript"/>
              </w:rPr>
            </w:pPr>
            <w:del w:id="1170" w:author="AbbVie19" w:date="2025-04-16T10:35:00Z">
              <w:r w:rsidRPr="00BC0E7E">
                <w:rPr>
                  <w:szCs w:val="20"/>
                </w:rPr>
                <w:delText>reactivation of hepatitis B</w:delText>
              </w:r>
              <w:r w:rsidRPr="00BC0E7E">
                <w:rPr>
                  <w:szCs w:val="20"/>
                  <w:vertAlign w:val="superscript"/>
                </w:rPr>
                <w:delText xml:space="preserve">1) </w:delText>
              </w:r>
            </w:del>
          </w:p>
          <w:p w14:paraId="5537E953" w14:textId="77777777" w:rsidR="00BC0E7E" w:rsidRPr="00BC0E7E" w:rsidRDefault="00944B8F" w:rsidP="00BC0E7E">
            <w:pPr>
              <w:widowControl w:val="0"/>
              <w:spacing w:before="60"/>
              <w:rPr>
                <w:del w:id="1171" w:author="AbbVie19" w:date="2025-04-16T10:35:00Z"/>
                <w:szCs w:val="20"/>
                <w:vertAlign w:val="superscript"/>
              </w:rPr>
            </w:pPr>
            <w:del w:id="1172" w:author="AbbVie19" w:date="2025-04-16T10:35:00Z">
              <w:r w:rsidRPr="00BC0E7E">
                <w:rPr>
                  <w:szCs w:val="20"/>
                </w:rPr>
                <w:delText>autoimmune hepatitis</w:delText>
              </w:r>
              <w:r w:rsidRPr="00BC0E7E">
                <w:rPr>
                  <w:szCs w:val="20"/>
                  <w:vertAlign w:val="superscript"/>
                </w:rPr>
                <w:delText>1)</w:delText>
              </w:r>
            </w:del>
          </w:p>
          <w:p w14:paraId="5CFF09AA" w14:textId="77777777" w:rsidR="00BC0E7E" w:rsidRPr="00BC0E7E" w:rsidRDefault="00BC0E7E" w:rsidP="00BC0E7E">
            <w:pPr>
              <w:widowControl w:val="0"/>
              <w:rPr>
                <w:del w:id="1173" w:author="AbbVie19" w:date="2025-04-16T10:35:00Z"/>
                <w:szCs w:val="20"/>
              </w:rPr>
            </w:pPr>
          </w:p>
        </w:tc>
      </w:tr>
      <w:tr w:rsidR="00C6578C" w14:paraId="1DB7F60A" w14:textId="77777777" w:rsidTr="000244DF">
        <w:trPr>
          <w:cantSplit/>
          <w:del w:id="1174" w:author="AbbVie19" w:date="2025-04-16T10:35:00Z"/>
        </w:trPr>
        <w:tc>
          <w:tcPr>
            <w:tcW w:w="2600" w:type="dxa"/>
            <w:vMerge/>
          </w:tcPr>
          <w:p w14:paraId="2FDCF962" w14:textId="77777777" w:rsidR="00BC0E7E" w:rsidRPr="00BC0E7E" w:rsidRDefault="00BC0E7E" w:rsidP="00BC0E7E">
            <w:pPr>
              <w:widowControl w:val="0"/>
              <w:spacing w:before="60"/>
              <w:rPr>
                <w:del w:id="1175" w:author="AbbVie19" w:date="2025-04-16T10:35:00Z"/>
                <w:szCs w:val="20"/>
              </w:rPr>
            </w:pPr>
          </w:p>
        </w:tc>
        <w:tc>
          <w:tcPr>
            <w:tcW w:w="2074" w:type="dxa"/>
          </w:tcPr>
          <w:p w14:paraId="4B57DEBF" w14:textId="77777777" w:rsidR="00BC0E7E" w:rsidRPr="00BC0E7E" w:rsidRDefault="00944B8F" w:rsidP="00BC0E7E">
            <w:pPr>
              <w:widowControl w:val="0"/>
              <w:spacing w:before="60"/>
              <w:rPr>
                <w:del w:id="1176" w:author="AbbVie19" w:date="2025-04-16T10:35:00Z"/>
                <w:szCs w:val="20"/>
              </w:rPr>
            </w:pPr>
            <w:del w:id="1177" w:author="AbbVie19" w:date="2025-04-16T10:35:00Z">
              <w:r w:rsidRPr="00BC0E7E">
                <w:rPr>
                  <w:szCs w:val="20"/>
                </w:rPr>
                <w:delText>Not known</w:delText>
              </w:r>
            </w:del>
          </w:p>
        </w:tc>
        <w:tc>
          <w:tcPr>
            <w:tcW w:w="4575" w:type="dxa"/>
          </w:tcPr>
          <w:p w14:paraId="05091D6E" w14:textId="77777777" w:rsidR="00BC0E7E" w:rsidRPr="00BC0E7E" w:rsidRDefault="00944B8F" w:rsidP="00BC0E7E">
            <w:pPr>
              <w:widowControl w:val="0"/>
              <w:spacing w:before="60"/>
              <w:rPr>
                <w:del w:id="1178" w:author="AbbVie19" w:date="2025-04-16T10:35:00Z"/>
                <w:szCs w:val="20"/>
                <w:vertAlign w:val="superscript"/>
              </w:rPr>
            </w:pPr>
            <w:del w:id="1179" w:author="AbbVie19" w:date="2025-04-16T10:35:00Z">
              <w:r>
                <w:rPr>
                  <w:szCs w:val="20"/>
                </w:rPr>
                <w:delText>L</w:delText>
              </w:r>
              <w:r w:rsidRPr="00BC0E7E">
                <w:rPr>
                  <w:szCs w:val="20"/>
                </w:rPr>
                <w:delText>iver failure</w:delText>
              </w:r>
              <w:r w:rsidRPr="00BC0E7E">
                <w:rPr>
                  <w:szCs w:val="20"/>
                  <w:vertAlign w:val="superscript"/>
                </w:rPr>
                <w:delText>1)</w:delText>
              </w:r>
            </w:del>
          </w:p>
          <w:p w14:paraId="49BAC8D9" w14:textId="77777777" w:rsidR="00BC0E7E" w:rsidRPr="00BC0E7E" w:rsidRDefault="00BC0E7E" w:rsidP="00BC0E7E">
            <w:pPr>
              <w:widowControl w:val="0"/>
              <w:spacing w:before="60"/>
              <w:rPr>
                <w:del w:id="1180" w:author="AbbVie19" w:date="2025-04-16T10:35:00Z"/>
                <w:szCs w:val="20"/>
              </w:rPr>
            </w:pPr>
          </w:p>
        </w:tc>
      </w:tr>
      <w:tr w:rsidR="00C6578C" w14:paraId="6394CCC0" w14:textId="77777777" w:rsidTr="000244DF">
        <w:trPr>
          <w:cantSplit/>
          <w:del w:id="1181" w:author="AbbVie19" w:date="2025-04-16T10:35:00Z"/>
        </w:trPr>
        <w:tc>
          <w:tcPr>
            <w:tcW w:w="2600" w:type="dxa"/>
            <w:vMerge w:val="restart"/>
          </w:tcPr>
          <w:p w14:paraId="3566A2DE" w14:textId="77777777" w:rsidR="00BC0E7E" w:rsidRPr="00BC0E7E" w:rsidRDefault="00944B8F" w:rsidP="00BC0E7E">
            <w:pPr>
              <w:widowControl w:val="0"/>
              <w:spacing w:before="60"/>
              <w:rPr>
                <w:del w:id="1182" w:author="AbbVie19" w:date="2025-04-16T10:35:00Z"/>
                <w:szCs w:val="20"/>
              </w:rPr>
            </w:pPr>
            <w:del w:id="1183" w:author="AbbVie19" w:date="2025-04-16T10:35:00Z">
              <w:r w:rsidRPr="00BC0E7E">
                <w:rPr>
                  <w:szCs w:val="20"/>
                </w:rPr>
                <w:delText>Skin and subcutaneous tissue disorders</w:delText>
              </w:r>
            </w:del>
          </w:p>
        </w:tc>
        <w:tc>
          <w:tcPr>
            <w:tcW w:w="2074" w:type="dxa"/>
          </w:tcPr>
          <w:p w14:paraId="3D82F232" w14:textId="77777777" w:rsidR="00BC0E7E" w:rsidRPr="00BC0E7E" w:rsidRDefault="00944B8F" w:rsidP="00BC0E7E">
            <w:pPr>
              <w:widowControl w:val="0"/>
              <w:spacing w:before="60"/>
              <w:rPr>
                <w:del w:id="1184" w:author="AbbVie19" w:date="2025-04-16T10:35:00Z"/>
                <w:szCs w:val="20"/>
              </w:rPr>
            </w:pPr>
            <w:del w:id="1185" w:author="AbbVie19" w:date="2025-04-16T10:35:00Z">
              <w:r w:rsidRPr="00BC0E7E">
                <w:rPr>
                  <w:szCs w:val="20"/>
                </w:rPr>
                <w:delText>Very Common</w:delText>
              </w:r>
            </w:del>
          </w:p>
          <w:p w14:paraId="63922FF2" w14:textId="77777777" w:rsidR="00BC0E7E" w:rsidRPr="00BC0E7E" w:rsidRDefault="00BC0E7E" w:rsidP="00BC0E7E">
            <w:pPr>
              <w:widowControl w:val="0"/>
              <w:spacing w:before="60"/>
              <w:rPr>
                <w:del w:id="1186" w:author="AbbVie19" w:date="2025-04-16T10:35:00Z"/>
                <w:szCs w:val="20"/>
              </w:rPr>
            </w:pPr>
          </w:p>
        </w:tc>
        <w:tc>
          <w:tcPr>
            <w:tcW w:w="4575" w:type="dxa"/>
          </w:tcPr>
          <w:p w14:paraId="7A463133" w14:textId="77777777" w:rsidR="00BC0E7E" w:rsidRPr="00BC0E7E" w:rsidRDefault="00944B8F" w:rsidP="00BC0E7E">
            <w:pPr>
              <w:widowControl w:val="0"/>
              <w:spacing w:before="60"/>
              <w:rPr>
                <w:del w:id="1187" w:author="AbbVie19" w:date="2025-04-16T10:35:00Z"/>
                <w:szCs w:val="20"/>
              </w:rPr>
            </w:pPr>
            <w:del w:id="1188" w:author="AbbVie19" w:date="2025-04-16T10:35:00Z">
              <w:r>
                <w:rPr>
                  <w:szCs w:val="20"/>
                </w:rPr>
                <w:delText>R</w:delText>
              </w:r>
              <w:r w:rsidRPr="00BC0E7E">
                <w:rPr>
                  <w:szCs w:val="20"/>
                </w:rPr>
                <w:delText>ash (including exfoliative rash)</w:delText>
              </w:r>
            </w:del>
          </w:p>
          <w:p w14:paraId="71DA6D02" w14:textId="77777777" w:rsidR="00BC0E7E" w:rsidRPr="00BC0E7E" w:rsidRDefault="00BC0E7E" w:rsidP="00BC0E7E">
            <w:pPr>
              <w:widowControl w:val="0"/>
              <w:spacing w:before="60"/>
              <w:rPr>
                <w:del w:id="1189" w:author="AbbVie19" w:date="2025-04-16T10:35:00Z"/>
                <w:szCs w:val="20"/>
              </w:rPr>
            </w:pPr>
          </w:p>
        </w:tc>
      </w:tr>
      <w:tr w:rsidR="00C6578C" w14:paraId="00350ADC" w14:textId="77777777" w:rsidTr="000244DF">
        <w:trPr>
          <w:cantSplit/>
          <w:del w:id="1190" w:author="AbbVie19" w:date="2025-04-16T10:35:00Z"/>
        </w:trPr>
        <w:tc>
          <w:tcPr>
            <w:tcW w:w="2600" w:type="dxa"/>
            <w:vMerge/>
          </w:tcPr>
          <w:p w14:paraId="5E7FD8A9" w14:textId="77777777" w:rsidR="00BC0E7E" w:rsidRPr="00BC0E7E" w:rsidRDefault="00BC0E7E" w:rsidP="00BC0E7E">
            <w:pPr>
              <w:widowControl w:val="0"/>
              <w:spacing w:before="60"/>
              <w:jc w:val="center"/>
              <w:rPr>
                <w:del w:id="1191" w:author="AbbVie19" w:date="2025-04-16T10:35:00Z"/>
                <w:b/>
              </w:rPr>
            </w:pPr>
          </w:p>
        </w:tc>
        <w:tc>
          <w:tcPr>
            <w:tcW w:w="2074" w:type="dxa"/>
          </w:tcPr>
          <w:p w14:paraId="69A7AF59" w14:textId="77777777" w:rsidR="00BC0E7E" w:rsidRPr="00BC0E7E" w:rsidRDefault="00944B8F" w:rsidP="00BC0E7E">
            <w:pPr>
              <w:widowControl w:val="0"/>
              <w:rPr>
                <w:del w:id="1192" w:author="AbbVie19" w:date="2025-04-16T10:35:00Z"/>
                <w:szCs w:val="20"/>
              </w:rPr>
            </w:pPr>
            <w:del w:id="1193" w:author="AbbVie19" w:date="2025-04-16T10:35:00Z">
              <w:r w:rsidRPr="00BC0E7E">
                <w:rPr>
                  <w:szCs w:val="20"/>
                </w:rPr>
                <w:delText>Common</w:delText>
              </w:r>
            </w:del>
          </w:p>
          <w:p w14:paraId="60FECF02" w14:textId="77777777" w:rsidR="00BC0E7E" w:rsidRPr="00BC0E7E" w:rsidRDefault="00BC0E7E" w:rsidP="00BC0E7E">
            <w:pPr>
              <w:widowControl w:val="0"/>
              <w:rPr>
                <w:del w:id="1194" w:author="AbbVie19" w:date="2025-04-16T10:35:00Z"/>
                <w:szCs w:val="20"/>
              </w:rPr>
            </w:pPr>
          </w:p>
        </w:tc>
        <w:tc>
          <w:tcPr>
            <w:tcW w:w="4575" w:type="dxa"/>
          </w:tcPr>
          <w:p w14:paraId="2A586C39" w14:textId="77777777" w:rsidR="00BC0E7E" w:rsidRPr="00BC0E7E" w:rsidRDefault="00944B8F" w:rsidP="00BC0E7E">
            <w:pPr>
              <w:widowControl w:val="0"/>
              <w:rPr>
                <w:del w:id="1195" w:author="AbbVie19" w:date="2025-04-16T10:35:00Z"/>
                <w:szCs w:val="20"/>
              </w:rPr>
            </w:pPr>
            <w:del w:id="1196" w:author="AbbVie19" w:date="2025-04-16T10:35:00Z">
              <w:r>
                <w:rPr>
                  <w:szCs w:val="20"/>
                </w:rPr>
                <w:delText>W</w:delText>
              </w:r>
              <w:r w:rsidRPr="00BC0E7E">
                <w:rPr>
                  <w:szCs w:val="20"/>
                </w:rPr>
                <w:delText>orsening or new onset of psoriasis (including palmoplantar pustular psoriasis)</w:delText>
              </w:r>
              <w:r w:rsidRPr="00BC0E7E">
                <w:rPr>
                  <w:szCs w:val="20"/>
                  <w:vertAlign w:val="superscript"/>
                </w:rPr>
                <w:delText>1)</w:delText>
              </w:r>
              <w:r w:rsidRPr="00BC0E7E">
                <w:rPr>
                  <w:szCs w:val="20"/>
                </w:rPr>
                <w:delText>,</w:delText>
              </w:r>
            </w:del>
          </w:p>
          <w:p w14:paraId="1D3CA126" w14:textId="77777777" w:rsidR="00BC0E7E" w:rsidRPr="00BC0E7E" w:rsidRDefault="00944B8F" w:rsidP="00BC0E7E">
            <w:pPr>
              <w:widowControl w:val="0"/>
              <w:rPr>
                <w:del w:id="1197" w:author="AbbVie19" w:date="2025-04-16T10:35:00Z"/>
                <w:szCs w:val="20"/>
              </w:rPr>
            </w:pPr>
            <w:del w:id="1198" w:author="AbbVie19" w:date="2025-04-16T10:35:00Z">
              <w:r w:rsidRPr="00BC0E7E">
                <w:rPr>
                  <w:szCs w:val="20"/>
                </w:rPr>
                <w:delText>urticaria,</w:delText>
              </w:r>
            </w:del>
          </w:p>
          <w:p w14:paraId="39FEEB7F" w14:textId="77777777" w:rsidR="00BC0E7E" w:rsidRPr="00BC0E7E" w:rsidRDefault="00944B8F" w:rsidP="00BC0E7E">
            <w:pPr>
              <w:widowControl w:val="0"/>
              <w:rPr>
                <w:del w:id="1199" w:author="AbbVie19" w:date="2025-04-16T10:35:00Z"/>
                <w:szCs w:val="20"/>
              </w:rPr>
            </w:pPr>
            <w:del w:id="1200" w:author="AbbVie19" w:date="2025-04-16T10:35:00Z">
              <w:r w:rsidRPr="00BC0E7E">
                <w:rPr>
                  <w:szCs w:val="20"/>
                </w:rPr>
                <w:delText xml:space="preserve">bruising (including purpura), </w:delText>
              </w:r>
            </w:del>
          </w:p>
          <w:p w14:paraId="039D45ED" w14:textId="77777777" w:rsidR="00BC0E7E" w:rsidRPr="00BC0E7E" w:rsidRDefault="00944B8F" w:rsidP="00BC0E7E">
            <w:pPr>
              <w:widowControl w:val="0"/>
              <w:rPr>
                <w:del w:id="1201" w:author="AbbVie19" w:date="2025-04-16T10:35:00Z"/>
                <w:szCs w:val="20"/>
              </w:rPr>
            </w:pPr>
            <w:del w:id="1202" w:author="AbbVie19" w:date="2025-04-16T10:35:00Z">
              <w:r w:rsidRPr="00BC0E7E">
                <w:rPr>
                  <w:szCs w:val="20"/>
                </w:rPr>
                <w:delText>dermatitis (including eczema),</w:delText>
              </w:r>
            </w:del>
          </w:p>
          <w:p w14:paraId="43903FF5" w14:textId="77777777" w:rsidR="00BC0E7E" w:rsidRPr="00BC0E7E" w:rsidRDefault="00944B8F" w:rsidP="00BC0E7E">
            <w:pPr>
              <w:widowControl w:val="0"/>
              <w:rPr>
                <w:del w:id="1203" w:author="AbbVie19" w:date="2025-04-16T10:35:00Z"/>
                <w:szCs w:val="20"/>
                <w:lang w:val="it-IT"/>
              </w:rPr>
            </w:pPr>
            <w:del w:id="1204" w:author="AbbVie19" w:date="2025-04-16T10:35:00Z">
              <w:r w:rsidRPr="00BC0E7E">
                <w:rPr>
                  <w:szCs w:val="20"/>
                  <w:lang w:val="it-IT"/>
                </w:rPr>
                <w:delText xml:space="preserve">onychoclasis, </w:delText>
              </w:r>
            </w:del>
          </w:p>
          <w:p w14:paraId="0FF26FF3" w14:textId="77777777" w:rsidR="00BC0E7E" w:rsidRPr="00BC0E7E" w:rsidRDefault="00944B8F" w:rsidP="00BC0E7E">
            <w:pPr>
              <w:widowControl w:val="0"/>
              <w:rPr>
                <w:del w:id="1205" w:author="AbbVie19" w:date="2025-04-16T10:35:00Z"/>
                <w:szCs w:val="20"/>
                <w:lang w:val="it-IT"/>
              </w:rPr>
            </w:pPr>
            <w:del w:id="1206" w:author="AbbVie19" w:date="2025-04-16T10:35:00Z">
              <w:r w:rsidRPr="00BC0E7E">
                <w:rPr>
                  <w:szCs w:val="20"/>
                </w:rPr>
                <w:delText>hyperhidrosis</w:delText>
              </w:r>
              <w:r w:rsidRPr="00BC0E7E">
                <w:rPr>
                  <w:szCs w:val="20"/>
                  <w:lang w:val="it-IT"/>
                </w:rPr>
                <w:delText>,</w:delText>
              </w:r>
            </w:del>
          </w:p>
          <w:p w14:paraId="62BD7DDD" w14:textId="77777777" w:rsidR="00BC0E7E" w:rsidRPr="00BC0E7E" w:rsidRDefault="00944B8F" w:rsidP="00BC0E7E">
            <w:pPr>
              <w:widowControl w:val="0"/>
              <w:rPr>
                <w:del w:id="1207" w:author="AbbVie19" w:date="2025-04-16T10:35:00Z"/>
                <w:szCs w:val="20"/>
              </w:rPr>
            </w:pPr>
            <w:del w:id="1208" w:author="AbbVie19" w:date="2025-04-16T10:35:00Z">
              <w:r w:rsidRPr="00BC0E7E">
                <w:rPr>
                  <w:szCs w:val="20"/>
                  <w:lang w:val="it-IT"/>
                </w:rPr>
                <w:delText>alopecia</w:delText>
              </w:r>
              <w:r w:rsidRPr="00BC0E7E">
                <w:rPr>
                  <w:szCs w:val="20"/>
                  <w:vertAlign w:val="superscript"/>
                  <w:lang w:val="it-IT"/>
                </w:rPr>
                <w:delText>1)</w:delText>
              </w:r>
              <w:r w:rsidRPr="00BC0E7E">
                <w:rPr>
                  <w:szCs w:val="20"/>
                  <w:lang w:val="it-IT"/>
                </w:rPr>
                <w:delText>,</w:delText>
              </w:r>
            </w:del>
          </w:p>
          <w:p w14:paraId="1A927728" w14:textId="77777777" w:rsidR="00BC0E7E" w:rsidRPr="00BC0E7E" w:rsidRDefault="00944B8F" w:rsidP="00BC0E7E">
            <w:pPr>
              <w:widowControl w:val="0"/>
              <w:rPr>
                <w:del w:id="1209" w:author="AbbVie19" w:date="2025-04-16T10:35:00Z"/>
                <w:szCs w:val="20"/>
              </w:rPr>
            </w:pPr>
            <w:del w:id="1210" w:author="AbbVie19" w:date="2025-04-16T10:35:00Z">
              <w:r w:rsidRPr="00BC0E7E">
                <w:rPr>
                  <w:szCs w:val="20"/>
                </w:rPr>
                <w:delText>pruritus</w:delText>
              </w:r>
            </w:del>
          </w:p>
          <w:p w14:paraId="7FF1F445" w14:textId="77777777" w:rsidR="00BC0E7E" w:rsidRPr="00BC0E7E" w:rsidRDefault="00BC0E7E" w:rsidP="00BC0E7E">
            <w:pPr>
              <w:widowControl w:val="0"/>
              <w:rPr>
                <w:del w:id="1211" w:author="AbbVie19" w:date="2025-04-16T10:35:00Z"/>
                <w:szCs w:val="20"/>
              </w:rPr>
            </w:pPr>
          </w:p>
        </w:tc>
      </w:tr>
      <w:tr w:rsidR="00C6578C" w14:paraId="31AF40B4" w14:textId="77777777" w:rsidTr="000244DF">
        <w:trPr>
          <w:cantSplit/>
          <w:del w:id="1212" w:author="AbbVie19" w:date="2025-04-16T10:35:00Z"/>
        </w:trPr>
        <w:tc>
          <w:tcPr>
            <w:tcW w:w="2600" w:type="dxa"/>
            <w:vMerge/>
          </w:tcPr>
          <w:p w14:paraId="0DEE3CEB" w14:textId="77777777" w:rsidR="00BC0E7E" w:rsidRPr="00BC0E7E" w:rsidRDefault="00BC0E7E" w:rsidP="00BC0E7E">
            <w:pPr>
              <w:widowControl w:val="0"/>
              <w:spacing w:before="60"/>
              <w:jc w:val="center"/>
              <w:rPr>
                <w:del w:id="1213" w:author="AbbVie19" w:date="2025-04-16T10:35:00Z"/>
                <w:b/>
              </w:rPr>
            </w:pPr>
          </w:p>
        </w:tc>
        <w:tc>
          <w:tcPr>
            <w:tcW w:w="2074" w:type="dxa"/>
          </w:tcPr>
          <w:p w14:paraId="07A3B02F" w14:textId="77777777" w:rsidR="00BC0E7E" w:rsidRPr="00BC0E7E" w:rsidRDefault="00944B8F" w:rsidP="00BC0E7E">
            <w:pPr>
              <w:widowControl w:val="0"/>
              <w:rPr>
                <w:del w:id="1214" w:author="AbbVie19" w:date="2025-04-16T10:35:00Z"/>
                <w:szCs w:val="20"/>
                <w:lang w:val="it-IT"/>
              </w:rPr>
            </w:pPr>
            <w:del w:id="1215" w:author="AbbVie19" w:date="2025-04-16T10:35:00Z">
              <w:r w:rsidRPr="00BC0E7E">
                <w:rPr>
                  <w:szCs w:val="20"/>
                  <w:lang w:val="it-IT"/>
                </w:rPr>
                <w:delText>Uncommon</w:delText>
              </w:r>
            </w:del>
          </w:p>
          <w:p w14:paraId="2DAAAE62" w14:textId="77777777" w:rsidR="00BC0E7E" w:rsidRPr="00BC0E7E" w:rsidRDefault="00BC0E7E" w:rsidP="00BC0E7E">
            <w:pPr>
              <w:widowControl w:val="0"/>
              <w:rPr>
                <w:del w:id="1216" w:author="AbbVie19" w:date="2025-04-16T10:35:00Z"/>
                <w:szCs w:val="20"/>
                <w:lang w:val="it-IT"/>
              </w:rPr>
            </w:pPr>
          </w:p>
        </w:tc>
        <w:tc>
          <w:tcPr>
            <w:tcW w:w="4575" w:type="dxa"/>
          </w:tcPr>
          <w:p w14:paraId="07F0B130" w14:textId="77777777" w:rsidR="00BC0E7E" w:rsidRPr="00BC0E7E" w:rsidRDefault="00944B8F" w:rsidP="00BC0E7E">
            <w:pPr>
              <w:widowControl w:val="0"/>
              <w:rPr>
                <w:del w:id="1217" w:author="AbbVie19" w:date="2025-04-16T10:35:00Z"/>
                <w:szCs w:val="20"/>
                <w:lang w:val="it-IT"/>
              </w:rPr>
            </w:pPr>
            <w:del w:id="1218" w:author="AbbVie19" w:date="2025-04-16T10:35:00Z">
              <w:r>
                <w:rPr>
                  <w:szCs w:val="20"/>
                  <w:lang w:val="it-IT"/>
                </w:rPr>
                <w:delText>N</w:delText>
              </w:r>
              <w:r w:rsidRPr="00BC0E7E">
                <w:rPr>
                  <w:szCs w:val="20"/>
                  <w:lang w:val="it-IT"/>
                </w:rPr>
                <w:delText>ight sweats,</w:delText>
              </w:r>
            </w:del>
          </w:p>
          <w:p w14:paraId="37CA4459" w14:textId="77777777" w:rsidR="00BC0E7E" w:rsidRPr="00BC0E7E" w:rsidRDefault="00944B8F" w:rsidP="00BC0E7E">
            <w:pPr>
              <w:widowControl w:val="0"/>
              <w:rPr>
                <w:del w:id="1219" w:author="AbbVie19" w:date="2025-04-16T10:35:00Z"/>
                <w:szCs w:val="20"/>
                <w:lang w:val="it-IT"/>
              </w:rPr>
            </w:pPr>
            <w:del w:id="1220" w:author="AbbVie19" w:date="2025-04-16T10:35:00Z">
              <w:r w:rsidRPr="00BC0E7E">
                <w:rPr>
                  <w:szCs w:val="20"/>
                  <w:lang w:val="it-IT"/>
                </w:rPr>
                <w:delText>scar</w:delText>
              </w:r>
            </w:del>
          </w:p>
          <w:p w14:paraId="65ACCFDD" w14:textId="77777777" w:rsidR="00BC0E7E" w:rsidRPr="00BC0E7E" w:rsidRDefault="00BC0E7E" w:rsidP="00BC0E7E">
            <w:pPr>
              <w:widowControl w:val="0"/>
              <w:rPr>
                <w:del w:id="1221" w:author="AbbVie19" w:date="2025-04-16T10:35:00Z"/>
                <w:szCs w:val="20"/>
                <w:lang w:val="it-IT"/>
              </w:rPr>
            </w:pPr>
          </w:p>
        </w:tc>
      </w:tr>
      <w:tr w:rsidR="00C6578C" w14:paraId="1BE76C39" w14:textId="77777777" w:rsidTr="000244DF">
        <w:trPr>
          <w:cantSplit/>
          <w:trHeight w:val="1316"/>
          <w:del w:id="1222" w:author="AbbVie19" w:date="2025-04-16T10:35:00Z"/>
        </w:trPr>
        <w:tc>
          <w:tcPr>
            <w:tcW w:w="2600" w:type="dxa"/>
            <w:vMerge/>
          </w:tcPr>
          <w:p w14:paraId="2B52170D" w14:textId="77777777" w:rsidR="00BC0E7E" w:rsidRPr="00BC0E7E" w:rsidRDefault="00BC0E7E" w:rsidP="00BC0E7E">
            <w:pPr>
              <w:widowControl w:val="0"/>
              <w:spacing w:before="60"/>
              <w:rPr>
                <w:del w:id="1223" w:author="AbbVie19" w:date="2025-04-16T10:35:00Z"/>
                <w:szCs w:val="20"/>
              </w:rPr>
            </w:pPr>
          </w:p>
        </w:tc>
        <w:tc>
          <w:tcPr>
            <w:tcW w:w="2074" w:type="dxa"/>
          </w:tcPr>
          <w:p w14:paraId="074B2983" w14:textId="77777777" w:rsidR="00BC0E7E" w:rsidRPr="00BC0E7E" w:rsidRDefault="00944B8F" w:rsidP="00BC0E7E">
            <w:pPr>
              <w:widowControl w:val="0"/>
              <w:spacing w:before="60"/>
              <w:rPr>
                <w:del w:id="1224" w:author="AbbVie19" w:date="2025-04-16T10:35:00Z"/>
                <w:szCs w:val="20"/>
              </w:rPr>
            </w:pPr>
            <w:del w:id="1225" w:author="AbbVie19" w:date="2025-04-16T10:35:00Z">
              <w:r w:rsidRPr="00BC0E7E">
                <w:rPr>
                  <w:szCs w:val="20"/>
                </w:rPr>
                <w:delText>Rare</w:delText>
              </w:r>
            </w:del>
          </w:p>
        </w:tc>
        <w:tc>
          <w:tcPr>
            <w:tcW w:w="4575" w:type="dxa"/>
          </w:tcPr>
          <w:p w14:paraId="69844D9F" w14:textId="77777777" w:rsidR="00BC0E7E" w:rsidRPr="00762FA7" w:rsidRDefault="00944B8F" w:rsidP="00BC0E7E">
            <w:pPr>
              <w:widowControl w:val="0"/>
              <w:spacing w:before="60"/>
              <w:rPr>
                <w:del w:id="1226" w:author="AbbVie19" w:date="2025-04-16T10:35:00Z"/>
                <w:szCs w:val="20"/>
                <w:lang w:val="fr-FR"/>
              </w:rPr>
            </w:pPr>
            <w:del w:id="1227" w:author="AbbVie19" w:date="2025-04-16T10:35:00Z">
              <w:r w:rsidRPr="00762FA7">
                <w:rPr>
                  <w:szCs w:val="20"/>
                  <w:lang w:val="fr-FR"/>
                </w:rPr>
                <w:delText>Erythema multiforme</w:delText>
              </w:r>
              <w:r w:rsidRPr="00762FA7">
                <w:rPr>
                  <w:szCs w:val="20"/>
                  <w:vertAlign w:val="superscript"/>
                  <w:lang w:val="fr-FR"/>
                </w:rPr>
                <w:delText>1)</w:delText>
              </w:r>
              <w:r w:rsidRPr="00173B45">
                <w:rPr>
                  <w:szCs w:val="20"/>
                  <w:lang w:val="en-US"/>
                  <w:rPrChange w:id="1228" w:author="AbbVie19" w:date="2025-09-08T11:30:00Z" w16du:dateUtc="2025-09-08T08:30:00Z">
                    <w:rPr>
                      <w:szCs w:val="20"/>
                      <w:lang w:val="nb-NO"/>
                    </w:rPr>
                  </w:rPrChange>
                </w:rPr>
                <w:delText>,</w:delText>
              </w:r>
            </w:del>
          </w:p>
          <w:p w14:paraId="13A2AE19" w14:textId="77777777" w:rsidR="00BC0E7E" w:rsidRPr="00173B45" w:rsidRDefault="00944B8F" w:rsidP="00BC0E7E">
            <w:pPr>
              <w:widowControl w:val="0"/>
              <w:spacing w:before="60"/>
              <w:rPr>
                <w:del w:id="1229" w:author="AbbVie19" w:date="2025-04-16T10:35:00Z"/>
                <w:szCs w:val="20"/>
                <w:lang w:val="en-US"/>
                <w:rPrChange w:id="1230" w:author="AbbVie19" w:date="2025-09-08T11:30:00Z" w16du:dateUtc="2025-09-08T08:30:00Z">
                  <w:rPr>
                    <w:del w:id="1231" w:author="AbbVie19" w:date="2025-04-16T10:35:00Z"/>
                    <w:szCs w:val="20"/>
                    <w:lang w:val="nb-NO"/>
                  </w:rPr>
                </w:rPrChange>
              </w:rPr>
            </w:pPr>
            <w:del w:id="1232" w:author="AbbVie19" w:date="2025-04-16T10:35:00Z">
              <w:r w:rsidRPr="00173B45">
                <w:rPr>
                  <w:szCs w:val="20"/>
                  <w:lang w:val="en-US"/>
                  <w:rPrChange w:id="1233" w:author="AbbVie19" w:date="2025-09-08T11:30:00Z" w16du:dateUtc="2025-09-08T08:30:00Z">
                    <w:rPr>
                      <w:szCs w:val="20"/>
                      <w:lang w:val="nb-NO"/>
                    </w:rPr>
                  </w:rPrChange>
                </w:rPr>
                <w:delText>Stevens-Johnson syndrome</w:delText>
              </w:r>
              <w:r w:rsidRPr="00173B45">
                <w:rPr>
                  <w:szCs w:val="20"/>
                  <w:vertAlign w:val="superscript"/>
                  <w:lang w:val="en-US"/>
                  <w:rPrChange w:id="1234" w:author="AbbVie19" w:date="2025-09-08T11:30:00Z" w16du:dateUtc="2025-09-08T08:30:00Z">
                    <w:rPr>
                      <w:szCs w:val="20"/>
                      <w:vertAlign w:val="superscript"/>
                      <w:lang w:val="nb-NO"/>
                    </w:rPr>
                  </w:rPrChange>
                </w:rPr>
                <w:delText>1)</w:delText>
              </w:r>
              <w:r w:rsidRPr="00173B45">
                <w:rPr>
                  <w:szCs w:val="20"/>
                  <w:lang w:val="en-US"/>
                  <w:rPrChange w:id="1235" w:author="AbbVie19" w:date="2025-09-08T11:30:00Z" w16du:dateUtc="2025-09-08T08:30:00Z">
                    <w:rPr>
                      <w:szCs w:val="20"/>
                      <w:lang w:val="nb-NO"/>
                    </w:rPr>
                  </w:rPrChange>
                </w:rPr>
                <w:delText>,</w:delText>
              </w:r>
            </w:del>
          </w:p>
          <w:p w14:paraId="62FDA6AF" w14:textId="77777777" w:rsidR="00BC0E7E" w:rsidRPr="007224CE" w:rsidRDefault="00944B8F" w:rsidP="00BC0E7E">
            <w:pPr>
              <w:widowControl w:val="0"/>
              <w:spacing w:before="60"/>
              <w:rPr>
                <w:del w:id="1236" w:author="AbbVie19" w:date="2025-04-16T10:35:00Z"/>
                <w:szCs w:val="20"/>
              </w:rPr>
            </w:pPr>
            <w:del w:id="1237" w:author="AbbVie19" w:date="2025-04-16T10:35:00Z">
              <w:r w:rsidRPr="007224CE">
                <w:rPr>
                  <w:szCs w:val="20"/>
                </w:rPr>
                <w:delText>angioedema</w:delText>
              </w:r>
              <w:r w:rsidRPr="007224CE">
                <w:rPr>
                  <w:szCs w:val="20"/>
                  <w:vertAlign w:val="superscript"/>
                </w:rPr>
                <w:delText>1)</w:delText>
              </w:r>
              <w:r w:rsidRPr="007224CE">
                <w:rPr>
                  <w:szCs w:val="20"/>
                </w:rPr>
                <w:delText>,</w:delText>
              </w:r>
            </w:del>
          </w:p>
          <w:p w14:paraId="37F06ADB" w14:textId="77777777" w:rsidR="00BC0E7E" w:rsidRPr="00762FA7" w:rsidRDefault="00944B8F" w:rsidP="00BC0E7E">
            <w:pPr>
              <w:widowControl w:val="0"/>
              <w:spacing w:before="60"/>
              <w:rPr>
                <w:del w:id="1238" w:author="AbbVie19" w:date="2025-04-16T10:35:00Z"/>
                <w:szCs w:val="20"/>
                <w:vertAlign w:val="superscript"/>
                <w:lang w:val="fr-FR"/>
              </w:rPr>
            </w:pPr>
            <w:del w:id="1239" w:author="AbbVie19" w:date="2025-04-16T10:35:00Z">
              <w:r w:rsidRPr="00762FA7">
                <w:rPr>
                  <w:szCs w:val="20"/>
                  <w:lang w:val="fr-FR"/>
                </w:rPr>
                <w:delText>cutaneous vasculitis</w:delText>
              </w:r>
              <w:r w:rsidRPr="00762FA7">
                <w:rPr>
                  <w:szCs w:val="20"/>
                  <w:vertAlign w:val="superscript"/>
                  <w:lang w:val="fr-FR"/>
                </w:rPr>
                <w:delText>1)</w:delText>
              </w:r>
            </w:del>
          </w:p>
          <w:p w14:paraId="1D4020E3" w14:textId="77777777" w:rsidR="00BC1B36" w:rsidRDefault="00944B8F" w:rsidP="00BC1B36">
            <w:pPr>
              <w:pStyle w:val="EMEANormal"/>
              <w:widowControl w:val="0"/>
              <w:spacing w:before="60"/>
              <w:rPr>
                <w:del w:id="1240" w:author="AbbVie19" w:date="2025-04-16T10:35:00Z"/>
                <w:szCs w:val="22"/>
                <w:vertAlign w:val="superscript"/>
                <w:lang w:val="en-GB"/>
              </w:rPr>
            </w:pPr>
            <w:del w:id="1241" w:author="AbbVie19" w:date="2025-04-16T10:35:00Z">
              <w:r>
                <w:delText>lichenoid skin reaction</w:delText>
              </w:r>
              <w:r>
                <w:rPr>
                  <w:szCs w:val="22"/>
                  <w:vertAlign w:val="superscript"/>
                  <w:lang w:val="en-GB"/>
                </w:rPr>
                <w:delText>1)</w:delText>
              </w:r>
            </w:del>
          </w:p>
          <w:p w14:paraId="403A6953" w14:textId="77777777" w:rsidR="00EB3D9B" w:rsidRPr="00BC0E7E" w:rsidRDefault="00EB3D9B" w:rsidP="00BC0E7E">
            <w:pPr>
              <w:widowControl w:val="0"/>
              <w:spacing w:before="60"/>
              <w:rPr>
                <w:del w:id="1242" w:author="AbbVie19" w:date="2025-04-16T10:35:00Z"/>
                <w:szCs w:val="20"/>
              </w:rPr>
            </w:pPr>
          </w:p>
        </w:tc>
      </w:tr>
      <w:tr w:rsidR="00C6578C" w14:paraId="1FFF727D" w14:textId="77777777" w:rsidTr="000244DF">
        <w:trPr>
          <w:cantSplit/>
          <w:del w:id="1243" w:author="AbbVie19" w:date="2025-04-16T10:35:00Z"/>
        </w:trPr>
        <w:tc>
          <w:tcPr>
            <w:tcW w:w="2600" w:type="dxa"/>
            <w:vMerge/>
          </w:tcPr>
          <w:p w14:paraId="182F7CBC" w14:textId="77777777" w:rsidR="00BC0E7E" w:rsidRPr="00BC0E7E" w:rsidRDefault="00BC0E7E" w:rsidP="00BC0E7E">
            <w:pPr>
              <w:widowControl w:val="0"/>
              <w:spacing w:before="60"/>
              <w:rPr>
                <w:del w:id="1244" w:author="AbbVie19" w:date="2025-04-16T10:35:00Z"/>
                <w:szCs w:val="20"/>
              </w:rPr>
            </w:pPr>
          </w:p>
        </w:tc>
        <w:tc>
          <w:tcPr>
            <w:tcW w:w="2074" w:type="dxa"/>
          </w:tcPr>
          <w:p w14:paraId="70D0EA59" w14:textId="77777777" w:rsidR="00BC0E7E" w:rsidRPr="00BC0E7E" w:rsidRDefault="00944B8F" w:rsidP="00BC0E7E">
            <w:pPr>
              <w:widowControl w:val="0"/>
              <w:spacing w:before="60"/>
              <w:rPr>
                <w:del w:id="1245" w:author="AbbVie19" w:date="2025-04-16T10:35:00Z"/>
                <w:szCs w:val="20"/>
              </w:rPr>
            </w:pPr>
            <w:del w:id="1246" w:author="AbbVie19" w:date="2025-04-16T10:35:00Z">
              <w:r w:rsidRPr="00BC0E7E">
                <w:rPr>
                  <w:szCs w:val="20"/>
                </w:rPr>
                <w:delText>Not known</w:delText>
              </w:r>
            </w:del>
          </w:p>
        </w:tc>
        <w:tc>
          <w:tcPr>
            <w:tcW w:w="4575" w:type="dxa"/>
          </w:tcPr>
          <w:p w14:paraId="19BB3F10" w14:textId="77777777" w:rsidR="00BC0E7E" w:rsidRPr="00BC0E7E" w:rsidRDefault="00944B8F" w:rsidP="00BC0E7E">
            <w:pPr>
              <w:widowControl w:val="0"/>
              <w:spacing w:before="60"/>
              <w:rPr>
                <w:del w:id="1247" w:author="AbbVie19" w:date="2025-04-16T10:35:00Z"/>
                <w:szCs w:val="20"/>
                <w:vertAlign w:val="superscript"/>
              </w:rPr>
            </w:pPr>
            <w:del w:id="1248" w:author="AbbVie19" w:date="2025-04-16T10:35:00Z">
              <w:r>
                <w:rPr>
                  <w:szCs w:val="20"/>
                </w:rPr>
                <w:delText>W</w:delText>
              </w:r>
              <w:r w:rsidRPr="00BC0E7E">
                <w:rPr>
                  <w:szCs w:val="20"/>
                </w:rPr>
                <w:delText>orsening of symptoms of dermatomyositis</w:delText>
              </w:r>
              <w:r w:rsidRPr="00BC0E7E">
                <w:rPr>
                  <w:szCs w:val="20"/>
                  <w:vertAlign w:val="superscript"/>
                </w:rPr>
                <w:delText>1)</w:delText>
              </w:r>
            </w:del>
          </w:p>
          <w:p w14:paraId="3F6EFD7D" w14:textId="77777777" w:rsidR="00BC0E7E" w:rsidRPr="00BC0E7E" w:rsidRDefault="00BC0E7E" w:rsidP="00BC0E7E">
            <w:pPr>
              <w:widowControl w:val="0"/>
              <w:spacing w:before="60"/>
              <w:rPr>
                <w:del w:id="1249" w:author="AbbVie19" w:date="2025-04-16T10:35:00Z"/>
                <w:szCs w:val="20"/>
              </w:rPr>
            </w:pPr>
          </w:p>
        </w:tc>
      </w:tr>
      <w:tr w:rsidR="00C6578C" w14:paraId="7DE0843E" w14:textId="77777777" w:rsidTr="000244DF">
        <w:trPr>
          <w:cantSplit/>
          <w:del w:id="1250" w:author="AbbVie19" w:date="2025-04-16T10:35:00Z"/>
        </w:trPr>
        <w:tc>
          <w:tcPr>
            <w:tcW w:w="2600" w:type="dxa"/>
            <w:vMerge w:val="restart"/>
          </w:tcPr>
          <w:p w14:paraId="25D7E33A" w14:textId="77777777" w:rsidR="00BC0E7E" w:rsidRPr="00BC0E7E" w:rsidRDefault="00944B8F" w:rsidP="00BC0E7E">
            <w:pPr>
              <w:widowControl w:val="0"/>
              <w:spacing w:before="60"/>
              <w:rPr>
                <w:del w:id="1251" w:author="AbbVie19" w:date="2025-04-16T10:35:00Z"/>
                <w:szCs w:val="20"/>
              </w:rPr>
            </w:pPr>
            <w:del w:id="1252" w:author="AbbVie19" w:date="2025-04-16T10:35:00Z">
              <w:r w:rsidRPr="00BC0E7E">
                <w:rPr>
                  <w:szCs w:val="20"/>
                </w:rPr>
                <w:delText>Musculoskeletal and connective tissue disorders</w:delText>
              </w:r>
            </w:del>
          </w:p>
        </w:tc>
        <w:tc>
          <w:tcPr>
            <w:tcW w:w="2074" w:type="dxa"/>
          </w:tcPr>
          <w:p w14:paraId="6634FC4A" w14:textId="77777777" w:rsidR="00BC0E7E" w:rsidRPr="00BC0E7E" w:rsidRDefault="00944B8F" w:rsidP="00BC0E7E">
            <w:pPr>
              <w:widowControl w:val="0"/>
              <w:spacing w:before="60"/>
              <w:rPr>
                <w:del w:id="1253" w:author="AbbVie19" w:date="2025-04-16T10:35:00Z"/>
                <w:szCs w:val="20"/>
              </w:rPr>
            </w:pPr>
            <w:del w:id="1254" w:author="AbbVie19" w:date="2025-04-16T10:35:00Z">
              <w:r w:rsidRPr="00BC0E7E">
                <w:rPr>
                  <w:szCs w:val="20"/>
                </w:rPr>
                <w:delText>Very common</w:delText>
              </w:r>
            </w:del>
          </w:p>
          <w:p w14:paraId="19BF8305" w14:textId="77777777" w:rsidR="00BC0E7E" w:rsidRPr="00BC0E7E" w:rsidRDefault="00BC0E7E" w:rsidP="00BC0E7E">
            <w:pPr>
              <w:widowControl w:val="0"/>
              <w:spacing w:before="60"/>
              <w:rPr>
                <w:del w:id="1255" w:author="AbbVie19" w:date="2025-04-16T10:35:00Z"/>
                <w:szCs w:val="20"/>
              </w:rPr>
            </w:pPr>
          </w:p>
        </w:tc>
        <w:tc>
          <w:tcPr>
            <w:tcW w:w="4575" w:type="dxa"/>
          </w:tcPr>
          <w:p w14:paraId="63120C04" w14:textId="77777777" w:rsidR="00BC0E7E" w:rsidRPr="00BC0E7E" w:rsidRDefault="00944B8F" w:rsidP="00BC0E7E">
            <w:pPr>
              <w:widowControl w:val="0"/>
              <w:spacing w:before="60"/>
              <w:rPr>
                <w:del w:id="1256" w:author="AbbVie19" w:date="2025-04-16T10:35:00Z"/>
                <w:szCs w:val="20"/>
              </w:rPr>
            </w:pPr>
            <w:del w:id="1257" w:author="AbbVie19" w:date="2025-04-16T10:35:00Z">
              <w:r>
                <w:rPr>
                  <w:szCs w:val="20"/>
                </w:rPr>
                <w:delText>M</w:delText>
              </w:r>
              <w:r w:rsidRPr="00BC0E7E">
                <w:rPr>
                  <w:szCs w:val="20"/>
                </w:rPr>
                <w:delText>usculoskeletal pain</w:delText>
              </w:r>
            </w:del>
          </w:p>
          <w:p w14:paraId="4663CDF2" w14:textId="77777777" w:rsidR="00BC0E7E" w:rsidRPr="00BC0E7E" w:rsidRDefault="00BC0E7E" w:rsidP="00BC0E7E">
            <w:pPr>
              <w:widowControl w:val="0"/>
              <w:spacing w:before="60"/>
              <w:rPr>
                <w:del w:id="1258" w:author="AbbVie19" w:date="2025-04-16T10:35:00Z"/>
                <w:szCs w:val="20"/>
              </w:rPr>
            </w:pPr>
          </w:p>
        </w:tc>
      </w:tr>
      <w:tr w:rsidR="00C6578C" w14:paraId="75CD03FD" w14:textId="77777777" w:rsidTr="000244DF">
        <w:trPr>
          <w:cantSplit/>
          <w:del w:id="1259" w:author="AbbVie19" w:date="2025-04-16T10:35:00Z"/>
        </w:trPr>
        <w:tc>
          <w:tcPr>
            <w:tcW w:w="2600" w:type="dxa"/>
            <w:vMerge/>
          </w:tcPr>
          <w:p w14:paraId="293E3BBB" w14:textId="77777777" w:rsidR="00BC0E7E" w:rsidRPr="00BC0E7E" w:rsidRDefault="00BC0E7E" w:rsidP="00BC0E7E">
            <w:pPr>
              <w:widowControl w:val="0"/>
              <w:spacing w:before="60"/>
              <w:rPr>
                <w:del w:id="1260" w:author="AbbVie19" w:date="2025-04-16T10:35:00Z"/>
                <w:szCs w:val="20"/>
              </w:rPr>
            </w:pPr>
          </w:p>
        </w:tc>
        <w:tc>
          <w:tcPr>
            <w:tcW w:w="2074" w:type="dxa"/>
          </w:tcPr>
          <w:p w14:paraId="53863C7D" w14:textId="77777777" w:rsidR="00BC0E7E" w:rsidRPr="00BC0E7E" w:rsidRDefault="00944B8F" w:rsidP="00BC0E7E">
            <w:pPr>
              <w:widowControl w:val="0"/>
              <w:spacing w:before="60"/>
              <w:rPr>
                <w:del w:id="1261" w:author="AbbVie19" w:date="2025-04-16T10:35:00Z"/>
                <w:szCs w:val="20"/>
              </w:rPr>
            </w:pPr>
            <w:del w:id="1262" w:author="AbbVie19" w:date="2025-04-16T10:35:00Z">
              <w:r w:rsidRPr="00BC0E7E">
                <w:rPr>
                  <w:szCs w:val="20"/>
                </w:rPr>
                <w:delText>Common</w:delText>
              </w:r>
            </w:del>
          </w:p>
        </w:tc>
        <w:tc>
          <w:tcPr>
            <w:tcW w:w="4575" w:type="dxa"/>
          </w:tcPr>
          <w:p w14:paraId="5FCB7328" w14:textId="77777777" w:rsidR="00BC0E7E" w:rsidRPr="00BC0E7E" w:rsidRDefault="00944B8F" w:rsidP="00BC0E7E">
            <w:pPr>
              <w:widowControl w:val="0"/>
              <w:spacing w:before="60"/>
              <w:rPr>
                <w:del w:id="1263" w:author="AbbVie19" w:date="2025-04-16T10:35:00Z"/>
                <w:szCs w:val="20"/>
              </w:rPr>
            </w:pPr>
            <w:del w:id="1264" w:author="AbbVie19" w:date="2025-04-16T10:35:00Z">
              <w:r>
                <w:rPr>
                  <w:szCs w:val="20"/>
                </w:rPr>
                <w:delText>M</w:delText>
              </w:r>
              <w:r w:rsidRPr="00BC0E7E">
                <w:rPr>
                  <w:szCs w:val="20"/>
                </w:rPr>
                <w:delText>uscle spasms (including blood creatine phosphokinase increased)</w:delText>
              </w:r>
            </w:del>
          </w:p>
          <w:p w14:paraId="1B0DA704" w14:textId="77777777" w:rsidR="00BC0E7E" w:rsidRPr="00BC0E7E" w:rsidRDefault="00BC0E7E" w:rsidP="00BC0E7E">
            <w:pPr>
              <w:widowControl w:val="0"/>
              <w:spacing w:before="60"/>
              <w:rPr>
                <w:del w:id="1265" w:author="AbbVie19" w:date="2025-04-16T10:35:00Z"/>
                <w:szCs w:val="20"/>
              </w:rPr>
            </w:pPr>
          </w:p>
        </w:tc>
      </w:tr>
      <w:tr w:rsidR="00C6578C" w14:paraId="6F90A87A" w14:textId="77777777" w:rsidTr="000244DF">
        <w:trPr>
          <w:cantSplit/>
          <w:del w:id="1266" w:author="AbbVie19" w:date="2025-04-16T10:35:00Z"/>
        </w:trPr>
        <w:tc>
          <w:tcPr>
            <w:tcW w:w="2600" w:type="dxa"/>
            <w:vMerge/>
          </w:tcPr>
          <w:p w14:paraId="551F024F" w14:textId="77777777" w:rsidR="00BC0E7E" w:rsidRPr="00BC0E7E" w:rsidRDefault="00BC0E7E" w:rsidP="00BC0E7E">
            <w:pPr>
              <w:widowControl w:val="0"/>
              <w:spacing w:before="60"/>
              <w:jc w:val="center"/>
              <w:rPr>
                <w:del w:id="1267" w:author="AbbVie19" w:date="2025-04-16T10:35:00Z"/>
                <w:b/>
              </w:rPr>
            </w:pPr>
          </w:p>
        </w:tc>
        <w:tc>
          <w:tcPr>
            <w:tcW w:w="2074" w:type="dxa"/>
          </w:tcPr>
          <w:p w14:paraId="21A88537" w14:textId="77777777" w:rsidR="00BC0E7E" w:rsidRPr="00BC0E7E" w:rsidRDefault="00944B8F" w:rsidP="00BC0E7E">
            <w:pPr>
              <w:widowControl w:val="0"/>
              <w:rPr>
                <w:del w:id="1268" w:author="AbbVie19" w:date="2025-04-16T10:35:00Z"/>
                <w:szCs w:val="20"/>
              </w:rPr>
            </w:pPr>
            <w:del w:id="1269" w:author="AbbVie19" w:date="2025-04-16T10:35:00Z">
              <w:r w:rsidRPr="00BC0E7E">
                <w:rPr>
                  <w:szCs w:val="20"/>
                </w:rPr>
                <w:delText>Uncommon</w:delText>
              </w:r>
            </w:del>
          </w:p>
        </w:tc>
        <w:tc>
          <w:tcPr>
            <w:tcW w:w="4575" w:type="dxa"/>
          </w:tcPr>
          <w:p w14:paraId="590B53C3" w14:textId="77777777" w:rsidR="00BC0E7E" w:rsidRPr="00BC0E7E" w:rsidRDefault="00944B8F" w:rsidP="00BC0E7E">
            <w:pPr>
              <w:widowControl w:val="0"/>
              <w:rPr>
                <w:del w:id="1270" w:author="AbbVie19" w:date="2025-04-16T10:35:00Z"/>
                <w:szCs w:val="20"/>
              </w:rPr>
            </w:pPr>
            <w:del w:id="1271" w:author="AbbVie19" w:date="2025-04-16T10:35:00Z">
              <w:r>
                <w:rPr>
                  <w:szCs w:val="20"/>
                </w:rPr>
                <w:delText>R</w:delText>
              </w:r>
              <w:r w:rsidRPr="00BC0E7E">
                <w:rPr>
                  <w:szCs w:val="20"/>
                </w:rPr>
                <w:delText>habdomyolysis,</w:delText>
              </w:r>
            </w:del>
          </w:p>
          <w:p w14:paraId="2299564E" w14:textId="77777777" w:rsidR="00BC0E7E" w:rsidRPr="00BC0E7E" w:rsidRDefault="00944B8F" w:rsidP="00BC0E7E">
            <w:pPr>
              <w:widowControl w:val="0"/>
              <w:rPr>
                <w:del w:id="1272" w:author="AbbVie19" w:date="2025-04-16T10:35:00Z"/>
                <w:szCs w:val="20"/>
              </w:rPr>
            </w:pPr>
            <w:del w:id="1273" w:author="AbbVie19" w:date="2025-04-16T10:35:00Z">
              <w:r w:rsidRPr="00BC0E7E">
                <w:rPr>
                  <w:szCs w:val="20"/>
                </w:rPr>
                <w:delText>systemic lupus erythematosus</w:delText>
              </w:r>
              <w:r w:rsidRPr="00BC0E7E">
                <w:rPr>
                  <w:szCs w:val="20"/>
                </w:rPr>
                <w:br/>
              </w:r>
            </w:del>
          </w:p>
        </w:tc>
      </w:tr>
      <w:tr w:rsidR="00C6578C" w14:paraId="57501571" w14:textId="77777777" w:rsidTr="000244DF">
        <w:trPr>
          <w:cantSplit/>
          <w:del w:id="1274" w:author="AbbVie19" w:date="2025-04-16T10:35:00Z"/>
        </w:trPr>
        <w:tc>
          <w:tcPr>
            <w:tcW w:w="2600" w:type="dxa"/>
            <w:vMerge/>
          </w:tcPr>
          <w:p w14:paraId="1B9C4EBA" w14:textId="77777777" w:rsidR="00BC0E7E" w:rsidRPr="00BC0E7E" w:rsidRDefault="00BC0E7E" w:rsidP="00BC0E7E">
            <w:pPr>
              <w:widowControl w:val="0"/>
              <w:spacing w:before="60"/>
              <w:jc w:val="center"/>
              <w:rPr>
                <w:del w:id="1275" w:author="AbbVie19" w:date="2025-04-16T10:35:00Z"/>
                <w:b/>
              </w:rPr>
            </w:pPr>
          </w:p>
        </w:tc>
        <w:tc>
          <w:tcPr>
            <w:tcW w:w="2074" w:type="dxa"/>
          </w:tcPr>
          <w:p w14:paraId="5684F987" w14:textId="77777777" w:rsidR="00BC0E7E" w:rsidRPr="00BC0E7E" w:rsidRDefault="00944B8F" w:rsidP="00BC0E7E">
            <w:pPr>
              <w:widowControl w:val="0"/>
              <w:rPr>
                <w:del w:id="1276" w:author="AbbVie19" w:date="2025-04-16T10:35:00Z"/>
                <w:szCs w:val="20"/>
              </w:rPr>
            </w:pPr>
            <w:del w:id="1277" w:author="AbbVie19" w:date="2025-04-16T10:35:00Z">
              <w:r w:rsidRPr="00BC0E7E">
                <w:rPr>
                  <w:szCs w:val="20"/>
                </w:rPr>
                <w:delText>Rare</w:delText>
              </w:r>
            </w:del>
          </w:p>
          <w:p w14:paraId="4665A694" w14:textId="77777777" w:rsidR="00BC0E7E" w:rsidRPr="00BC0E7E" w:rsidRDefault="00BC0E7E" w:rsidP="00BC0E7E">
            <w:pPr>
              <w:widowControl w:val="0"/>
              <w:rPr>
                <w:del w:id="1278" w:author="AbbVie19" w:date="2025-04-16T10:35:00Z"/>
                <w:szCs w:val="20"/>
              </w:rPr>
            </w:pPr>
          </w:p>
        </w:tc>
        <w:tc>
          <w:tcPr>
            <w:tcW w:w="4575" w:type="dxa"/>
          </w:tcPr>
          <w:p w14:paraId="44B4633E" w14:textId="77777777" w:rsidR="00BC0E7E" w:rsidRPr="00BC0E7E" w:rsidRDefault="00944B8F" w:rsidP="00BC0E7E">
            <w:pPr>
              <w:widowControl w:val="0"/>
              <w:rPr>
                <w:del w:id="1279" w:author="AbbVie19" w:date="2025-04-16T10:35:00Z"/>
                <w:szCs w:val="20"/>
              </w:rPr>
            </w:pPr>
            <w:del w:id="1280" w:author="AbbVie19" w:date="2025-04-16T10:35:00Z">
              <w:r>
                <w:rPr>
                  <w:szCs w:val="20"/>
                </w:rPr>
                <w:delText>L</w:delText>
              </w:r>
              <w:r w:rsidRPr="00BC0E7E">
                <w:rPr>
                  <w:szCs w:val="20"/>
                </w:rPr>
                <w:delText>upus-like syndrome</w:delText>
              </w:r>
              <w:r w:rsidRPr="00BC0E7E">
                <w:rPr>
                  <w:szCs w:val="20"/>
                  <w:vertAlign w:val="superscript"/>
                </w:rPr>
                <w:delText>1)</w:delText>
              </w:r>
            </w:del>
          </w:p>
        </w:tc>
      </w:tr>
      <w:tr w:rsidR="00C6578C" w14:paraId="259DC21D" w14:textId="77777777" w:rsidTr="000244DF">
        <w:trPr>
          <w:cantSplit/>
          <w:del w:id="1281" w:author="AbbVie19" w:date="2025-04-16T10:35:00Z"/>
        </w:trPr>
        <w:tc>
          <w:tcPr>
            <w:tcW w:w="2600" w:type="dxa"/>
            <w:vMerge w:val="restart"/>
          </w:tcPr>
          <w:p w14:paraId="36537AAD" w14:textId="77777777" w:rsidR="00BC0E7E" w:rsidRPr="00BC0E7E" w:rsidRDefault="00944B8F" w:rsidP="00BC0E7E">
            <w:pPr>
              <w:widowControl w:val="0"/>
              <w:spacing w:before="60"/>
              <w:rPr>
                <w:del w:id="1282" w:author="AbbVie19" w:date="2025-04-16T10:35:00Z"/>
                <w:szCs w:val="20"/>
              </w:rPr>
            </w:pPr>
            <w:del w:id="1283" w:author="AbbVie19" w:date="2025-04-16T10:35:00Z">
              <w:r w:rsidRPr="00BC0E7E">
                <w:rPr>
                  <w:szCs w:val="20"/>
                </w:rPr>
                <w:delText xml:space="preserve">Renal and urinary disorders </w:delText>
              </w:r>
            </w:del>
          </w:p>
        </w:tc>
        <w:tc>
          <w:tcPr>
            <w:tcW w:w="2074" w:type="dxa"/>
          </w:tcPr>
          <w:p w14:paraId="3B960488" w14:textId="77777777" w:rsidR="00BC0E7E" w:rsidRPr="00BC0E7E" w:rsidRDefault="00944B8F" w:rsidP="00BC0E7E">
            <w:pPr>
              <w:widowControl w:val="0"/>
              <w:spacing w:before="60"/>
              <w:rPr>
                <w:del w:id="1284" w:author="AbbVie19" w:date="2025-04-16T10:35:00Z"/>
                <w:szCs w:val="20"/>
              </w:rPr>
            </w:pPr>
            <w:del w:id="1285" w:author="AbbVie19" w:date="2025-04-16T10:35:00Z">
              <w:r w:rsidRPr="00BC0E7E">
                <w:rPr>
                  <w:szCs w:val="20"/>
                </w:rPr>
                <w:delText>Common</w:delText>
              </w:r>
            </w:del>
          </w:p>
          <w:p w14:paraId="0538AC67" w14:textId="77777777" w:rsidR="00BC0E7E" w:rsidRPr="00BC0E7E" w:rsidRDefault="00BC0E7E" w:rsidP="00BC0E7E">
            <w:pPr>
              <w:widowControl w:val="0"/>
              <w:spacing w:before="60"/>
              <w:rPr>
                <w:del w:id="1286" w:author="AbbVie19" w:date="2025-04-16T10:35:00Z"/>
                <w:szCs w:val="20"/>
              </w:rPr>
            </w:pPr>
          </w:p>
        </w:tc>
        <w:tc>
          <w:tcPr>
            <w:tcW w:w="4575" w:type="dxa"/>
          </w:tcPr>
          <w:p w14:paraId="6A3A9A78" w14:textId="77777777" w:rsidR="00BC0E7E" w:rsidRPr="00BC0E7E" w:rsidRDefault="00944B8F" w:rsidP="00BC0E7E">
            <w:pPr>
              <w:widowControl w:val="0"/>
              <w:spacing w:before="60"/>
              <w:rPr>
                <w:del w:id="1287" w:author="AbbVie19" w:date="2025-04-16T10:35:00Z"/>
                <w:szCs w:val="20"/>
              </w:rPr>
            </w:pPr>
            <w:del w:id="1288" w:author="AbbVie19" w:date="2025-04-16T10:35:00Z">
              <w:r>
                <w:rPr>
                  <w:szCs w:val="20"/>
                </w:rPr>
                <w:delText>R</w:delText>
              </w:r>
              <w:r w:rsidRPr="00BC0E7E">
                <w:rPr>
                  <w:szCs w:val="20"/>
                </w:rPr>
                <w:delText>enal impairment,</w:delText>
              </w:r>
            </w:del>
          </w:p>
          <w:p w14:paraId="6544F07E" w14:textId="77777777" w:rsidR="00BC0E7E" w:rsidRPr="00BC0E7E" w:rsidRDefault="00944B8F" w:rsidP="00BC0E7E">
            <w:pPr>
              <w:widowControl w:val="0"/>
              <w:spacing w:before="60"/>
              <w:rPr>
                <w:del w:id="1289" w:author="AbbVie19" w:date="2025-04-16T10:35:00Z"/>
                <w:szCs w:val="20"/>
              </w:rPr>
            </w:pPr>
            <w:del w:id="1290" w:author="AbbVie19" w:date="2025-04-16T10:35:00Z">
              <w:r w:rsidRPr="00BC0E7E">
                <w:rPr>
                  <w:szCs w:val="20"/>
                </w:rPr>
                <w:delText>haematuria</w:delText>
              </w:r>
            </w:del>
          </w:p>
          <w:p w14:paraId="20CAF821" w14:textId="77777777" w:rsidR="00BC0E7E" w:rsidRPr="00BC0E7E" w:rsidRDefault="00BC0E7E" w:rsidP="00BC0E7E">
            <w:pPr>
              <w:widowControl w:val="0"/>
              <w:spacing w:before="60"/>
              <w:rPr>
                <w:del w:id="1291" w:author="AbbVie19" w:date="2025-04-16T10:35:00Z"/>
                <w:szCs w:val="20"/>
              </w:rPr>
            </w:pPr>
          </w:p>
        </w:tc>
      </w:tr>
      <w:tr w:rsidR="00C6578C" w14:paraId="1404C272" w14:textId="77777777" w:rsidTr="000244DF">
        <w:trPr>
          <w:cantSplit/>
          <w:del w:id="1292" w:author="AbbVie19" w:date="2025-04-16T10:35:00Z"/>
        </w:trPr>
        <w:tc>
          <w:tcPr>
            <w:tcW w:w="2600" w:type="dxa"/>
            <w:vMerge/>
          </w:tcPr>
          <w:p w14:paraId="302C87E3" w14:textId="77777777" w:rsidR="00BC0E7E" w:rsidRPr="00BC0E7E" w:rsidRDefault="00BC0E7E" w:rsidP="00BC0E7E">
            <w:pPr>
              <w:widowControl w:val="0"/>
              <w:spacing w:before="60"/>
              <w:jc w:val="center"/>
              <w:rPr>
                <w:del w:id="1293" w:author="AbbVie19" w:date="2025-04-16T10:35:00Z"/>
                <w:b/>
              </w:rPr>
            </w:pPr>
          </w:p>
        </w:tc>
        <w:tc>
          <w:tcPr>
            <w:tcW w:w="2074" w:type="dxa"/>
          </w:tcPr>
          <w:p w14:paraId="3765CF88" w14:textId="77777777" w:rsidR="00BC0E7E" w:rsidRPr="00BC0E7E" w:rsidRDefault="00944B8F" w:rsidP="00BC0E7E">
            <w:pPr>
              <w:widowControl w:val="0"/>
              <w:rPr>
                <w:del w:id="1294" w:author="AbbVie19" w:date="2025-04-16T10:35:00Z"/>
                <w:szCs w:val="20"/>
              </w:rPr>
            </w:pPr>
            <w:del w:id="1295" w:author="AbbVie19" w:date="2025-04-16T10:35:00Z">
              <w:r w:rsidRPr="00BC0E7E">
                <w:rPr>
                  <w:szCs w:val="20"/>
                </w:rPr>
                <w:delText>Uncommon</w:delText>
              </w:r>
            </w:del>
          </w:p>
          <w:p w14:paraId="57D7537F" w14:textId="77777777" w:rsidR="00BC0E7E" w:rsidRPr="00BC0E7E" w:rsidRDefault="00BC0E7E" w:rsidP="00BC0E7E">
            <w:pPr>
              <w:widowControl w:val="0"/>
              <w:rPr>
                <w:del w:id="1296" w:author="AbbVie19" w:date="2025-04-16T10:35:00Z"/>
                <w:szCs w:val="20"/>
              </w:rPr>
            </w:pPr>
          </w:p>
        </w:tc>
        <w:tc>
          <w:tcPr>
            <w:tcW w:w="4575" w:type="dxa"/>
          </w:tcPr>
          <w:p w14:paraId="7AAB06BA" w14:textId="77777777" w:rsidR="00BC0E7E" w:rsidRPr="00BC0E7E" w:rsidRDefault="00944B8F" w:rsidP="00BC0E7E">
            <w:pPr>
              <w:widowControl w:val="0"/>
              <w:rPr>
                <w:del w:id="1297" w:author="AbbVie19" w:date="2025-04-16T10:35:00Z"/>
                <w:szCs w:val="20"/>
              </w:rPr>
            </w:pPr>
            <w:del w:id="1298" w:author="AbbVie19" w:date="2025-04-16T10:35:00Z">
              <w:r>
                <w:rPr>
                  <w:szCs w:val="20"/>
                </w:rPr>
                <w:delText>N</w:delText>
              </w:r>
              <w:r w:rsidRPr="00BC0E7E">
                <w:rPr>
                  <w:szCs w:val="20"/>
                </w:rPr>
                <w:delText>octuria</w:delText>
              </w:r>
            </w:del>
          </w:p>
          <w:p w14:paraId="0E2DF460" w14:textId="77777777" w:rsidR="00BC0E7E" w:rsidRPr="00BC0E7E" w:rsidRDefault="00BC0E7E" w:rsidP="00BC0E7E">
            <w:pPr>
              <w:widowControl w:val="0"/>
              <w:rPr>
                <w:del w:id="1299" w:author="AbbVie19" w:date="2025-04-16T10:35:00Z"/>
                <w:szCs w:val="20"/>
              </w:rPr>
            </w:pPr>
          </w:p>
        </w:tc>
      </w:tr>
      <w:tr w:rsidR="00C6578C" w14:paraId="6CE6CC38" w14:textId="77777777" w:rsidTr="00171601">
        <w:trPr>
          <w:cantSplit/>
          <w:del w:id="1300" w:author="AbbVie19" w:date="2025-04-16T10:35:00Z"/>
        </w:trPr>
        <w:tc>
          <w:tcPr>
            <w:tcW w:w="2600" w:type="dxa"/>
          </w:tcPr>
          <w:p w14:paraId="15A45267" w14:textId="77777777" w:rsidR="00BC0E7E" w:rsidRPr="00BC0E7E" w:rsidRDefault="00944B8F" w:rsidP="00BC0E7E">
            <w:pPr>
              <w:widowControl w:val="0"/>
              <w:spacing w:before="60"/>
              <w:rPr>
                <w:del w:id="1301" w:author="AbbVie19" w:date="2025-04-16T10:35:00Z"/>
                <w:szCs w:val="20"/>
              </w:rPr>
            </w:pPr>
            <w:del w:id="1302" w:author="AbbVie19" w:date="2025-04-16T10:35:00Z">
              <w:r w:rsidRPr="00BC0E7E">
                <w:rPr>
                  <w:szCs w:val="20"/>
                </w:rPr>
                <w:delText>Reproductive system and breast disorders</w:delText>
              </w:r>
            </w:del>
          </w:p>
        </w:tc>
        <w:tc>
          <w:tcPr>
            <w:tcW w:w="2074" w:type="dxa"/>
          </w:tcPr>
          <w:p w14:paraId="5BF9FBBA" w14:textId="77777777" w:rsidR="00BC0E7E" w:rsidRPr="00BC0E7E" w:rsidRDefault="00944B8F" w:rsidP="00BC0E7E">
            <w:pPr>
              <w:widowControl w:val="0"/>
              <w:spacing w:before="60"/>
              <w:rPr>
                <w:del w:id="1303" w:author="AbbVie19" w:date="2025-04-16T10:35:00Z"/>
                <w:szCs w:val="20"/>
              </w:rPr>
            </w:pPr>
            <w:del w:id="1304" w:author="AbbVie19" w:date="2025-04-16T10:35:00Z">
              <w:r w:rsidRPr="00BC0E7E">
                <w:rPr>
                  <w:szCs w:val="20"/>
                </w:rPr>
                <w:delText>Uncommon</w:delText>
              </w:r>
            </w:del>
          </w:p>
        </w:tc>
        <w:tc>
          <w:tcPr>
            <w:tcW w:w="4575" w:type="dxa"/>
          </w:tcPr>
          <w:p w14:paraId="203B0542" w14:textId="77777777" w:rsidR="00BC0E7E" w:rsidRPr="00BC0E7E" w:rsidRDefault="00944B8F" w:rsidP="00BC0E7E">
            <w:pPr>
              <w:widowControl w:val="0"/>
              <w:spacing w:before="60"/>
              <w:rPr>
                <w:del w:id="1305" w:author="AbbVie19" w:date="2025-04-16T10:35:00Z"/>
                <w:szCs w:val="20"/>
              </w:rPr>
            </w:pPr>
            <w:del w:id="1306" w:author="AbbVie19" w:date="2025-04-16T10:35:00Z">
              <w:r>
                <w:rPr>
                  <w:szCs w:val="20"/>
                </w:rPr>
                <w:delText>E</w:delText>
              </w:r>
              <w:r w:rsidRPr="00BC0E7E">
                <w:rPr>
                  <w:szCs w:val="20"/>
                </w:rPr>
                <w:delText>rectile dysfunction</w:delText>
              </w:r>
            </w:del>
          </w:p>
          <w:p w14:paraId="13458407" w14:textId="77777777" w:rsidR="00BC0E7E" w:rsidRPr="00BC0E7E" w:rsidRDefault="00BC0E7E" w:rsidP="00BC0E7E">
            <w:pPr>
              <w:widowControl w:val="0"/>
              <w:spacing w:before="60"/>
              <w:rPr>
                <w:del w:id="1307" w:author="AbbVie19" w:date="2025-04-16T10:35:00Z"/>
                <w:szCs w:val="20"/>
              </w:rPr>
            </w:pPr>
          </w:p>
        </w:tc>
      </w:tr>
      <w:tr w:rsidR="00C6578C" w14:paraId="18534633" w14:textId="77777777" w:rsidTr="000244DF">
        <w:trPr>
          <w:cantSplit/>
          <w:del w:id="1308" w:author="AbbVie19" w:date="2025-04-16T10:35:00Z"/>
        </w:trPr>
        <w:tc>
          <w:tcPr>
            <w:tcW w:w="2600" w:type="dxa"/>
            <w:vMerge w:val="restart"/>
          </w:tcPr>
          <w:p w14:paraId="6D356BB7" w14:textId="77777777" w:rsidR="00BC0E7E" w:rsidRPr="00BC0E7E" w:rsidRDefault="00944B8F" w:rsidP="00BC0E7E">
            <w:pPr>
              <w:widowControl w:val="0"/>
              <w:spacing w:before="60"/>
              <w:rPr>
                <w:del w:id="1309" w:author="AbbVie19" w:date="2025-04-16T10:35:00Z"/>
                <w:szCs w:val="20"/>
              </w:rPr>
            </w:pPr>
            <w:del w:id="1310" w:author="AbbVie19" w:date="2025-04-16T10:35:00Z">
              <w:r w:rsidRPr="00BC0E7E">
                <w:rPr>
                  <w:szCs w:val="20"/>
                </w:rPr>
                <w:delText>General disorders and administration site conditions*</w:delText>
              </w:r>
            </w:del>
          </w:p>
        </w:tc>
        <w:tc>
          <w:tcPr>
            <w:tcW w:w="2074" w:type="dxa"/>
          </w:tcPr>
          <w:p w14:paraId="3572308F" w14:textId="77777777" w:rsidR="00BC0E7E" w:rsidRPr="00BC0E7E" w:rsidRDefault="00944B8F" w:rsidP="00BC0E7E">
            <w:pPr>
              <w:widowControl w:val="0"/>
              <w:spacing w:before="60"/>
              <w:rPr>
                <w:del w:id="1311" w:author="AbbVie19" w:date="2025-04-16T10:35:00Z"/>
                <w:szCs w:val="20"/>
              </w:rPr>
            </w:pPr>
            <w:del w:id="1312" w:author="AbbVie19" w:date="2025-04-16T10:35:00Z">
              <w:r w:rsidRPr="00BC0E7E">
                <w:rPr>
                  <w:szCs w:val="20"/>
                </w:rPr>
                <w:delText>Very Common</w:delText>
              </w:r>
            </w:del>
          </w:p>
          <w:p w14:paraId="78BDB922" w14:textId="77777777" w:rsidR="00BC0E7E" w:rsidRPr="00BC0E7E" w:rsidRDefault="00BC0E7E" w:rsidP="00BC0E7E">
            <w:pPr>
              <w:widowControl w:val="0"/>
              <w:spacing w:before="60"/>
              <w:rPr>
                <w:del w:id="1313" w:author="AbbVie19" w:date="2025-04-16T10:35:00Z"/>
                <w:szCs w:val="20"/>
              </w:rPr>
            </w:pPr>
          </w:p>
        </w:tc>
        <w:tc>
          <w:tcPr>
            <w:tcW w:w="4575" w:type="dxa"/>
          </w:tcPr>
          <w:p w14:paraId="21744FBB" w14:textId="77777777" w:rsidR="00BC0E7E" w:rsidRPr="00BC0E7E" w:rsidRDefault="00944B8F" w:rsidP="00BC0E7E">
            <w:pPr>
              <w:widowControl w:val="0"/>
              <w:spacing w:before="60"/>
              <w:rPr>
                <w:del w:id="1314" w:author="AbbVie19" w:date="2025-04-16T10:35:00Z"/>
                <w:szCs w:val="20"/>
              </w:rPr>
            </w:pPr>
            <w:del w:id="1315" w:author="AbbVie19" w:date="2025-04-16T10:35:00Z">
              <w:r>
                <w:rPr>
                  <w:szCs w:val="20"/>
                </w:rPr>
                <w:delText>I</w:delText>
              </w:r>
              <w:r w:rsidRPr="00BC0E7E">
                <w:rPr>
                  <w:szCs w:val="20"/>
                </w:rPr>
                <w:delText>njection site reaction (including injection site erythema)</w:delText>
              </w:r>
            </w:del>
          </w:p>
          <w:p w14:paraId="06236E83" w14:textId="77777777" w:rsidR="00BC0E7E" w:rsidRPr="00BC0E7E" w:rsidRDefault="00BC0E7E" w:rsidP="00BC0E7E">
            <w:pPr>
              <w:widowControl w:val="0"/>
              <w:spacing w:before="60"/>
              <w:rPr>
                <w:del w:id="1316" w:author="AbbVie19" w:date="2025-04-16T10:35:00Z"/>
                <w:szCs w:val="20"/>
              </w:rPr>
            </w:pPr>
          </w:p>
        </w:tc>
      </w:tr>
      <w:tr w:rsidR="00C6578C" w14:paraId="3F74ACCD" w14:textId="77777777" w:rsidTr="000244DF">
        <w:trPr>
          <w:cantSplit/>
          <w:del w:id="1317" w:author="AbbVie19" w:date="2025-04-16T10:35:00Z"/>
        </w:trPr>
        <w:tc>
          <w:tcPr>
            <w:tcW w:w="2600" w:type="dxa"/>
            <w:vMerge/>
          </w:tcPr>
          <w:p w14:paraId="4DB8C541" w14:textId="77777777" w:rsidR="00BC0E7E" w:rsidRPr="00BC0E7E" w:rsidRDefault="00BC0E7E" w:rsidP="00BC0E7E">
            <w:pPr>
              <w:widowControl w:val="0"/>
              <w:spacing w:before="60"/>
              <w:jc w:val="center"/>
              <w:rPr>
                <w:del w:id="1318" w:author="AbbVie19" w:date="2025-04-16T10:35:00Z"/>
                <w:b/>
              </w:rPr>
            </w:pPr>
          </w:p>
        </w:tc>
        <w:tc>
          <w:tcPr>
            <w:tcW w:w="2074" w:type="dxa"/>
          </w:tcPr>
          <w:p w14:paraId="44742754" w14:textId="77777777" w:rsidR="00BC0E7E" w:rsidRPr="00BC0E7E" w:rsidRDefault="00944B8F" w:rsidP="00BC0E7E">
            <w:pPr>
              <w:widowControl w:val="0"/>
              <w:rPr>
                <w:del w:id="1319" w:author="AbbVie19" w:date="2025-04-16T10:35:00Z"/>
                <w:szCs w:val="20"/>
              </w:rPr>
            </w:pPr>
            <w:del w:id="1320" w:author="AbbVie19" w:date="2025-04-16T10:35:00Z">
              <w:r w:rsidRPr="00BC0E7E">
                <w:rPr>
                  <w:szCs w:val="20"/>
                </w:rPr>
                <w:delText>Common</w:delText>
              </w:r>
            </w:del>
          </w:p>
          <w:p w14:paraId="37159DC1" w14:textId="77777777" w:rsidR="00BC0E7E" w:rsidRPr="00BC0E7E" w:rsidRDefault="00BC0E7E" w:rsidP="00BC0E7E">
            <w:pPr>
              <w:widowControl w:val="0"/>
              <w:rPr>
                <w:del w:id="1321" w:author="AbbVie19" w:date="2025-04-16T10:35:00Z"/>
                <w:szCs w:val="20"/>
              </w:rPr>
            </w:pPr>
          </w:p>
        </w:tc>
        <w:tc>
          <w:tcPr>
            <w:tcW w:w="4575" w:type="dxa"/>
          </w:tcPr>
          <w:p w14:paraId="5351BF97" w14:textId="77777777" w:rsidR="00BC0E7E" w:rsidRPr="00BC0E7E" w:rsidRDefault="00944B8F" w:rsidP="00BC0E7E">
            <w:pPr>
              <w:widowControl w:val="0"/>
              <w:rPr>
                <w:del w:id="1322" w:author="AbbVie19" w:date="2025-04-16T10:35:00Z"/>
                <w:szCs w:val="20"/>
              </w:rPr>
            </w:pPr>
            <w:del w:id="1323" w:author="AbbVie19" w:date="2025-04-16T10:35:00Z">
              <w:r>
                <w:rPr>
                  <w:szCs w:val="20"/>
                </w:rPr>
                <w:delText>C</w:delText>
              </w:r>
              <w:r w:rsidRPr="00BC0E7E">
                <w:rPr>
                  <w:szCs w:val="20"/>
                </w:rPr>
                <w:delText xml:space="preserve">hest pain, </w:delText>
              </w:r>
            </w:del>
          </w:p>
          <w:p w14:paraId="022FF2D4" w14:textId="77777777" w:rsidR="00BC0E7E" w:rsidRPr="00BC0E7E" w:rsidRDefault="00944B8F" w:rsidP="00BC0E7E">
            <w:pPr>
              <w:widowControl w:val="0"/>
              <w:rPr>
                <w:del w:id="1324" w:author="AbbVie19" w:date="2025-04-16T10:35:00Z"/>
                <w:szCs w:val="20"/>
              </w:rPr>
            </w:pPr>
            <w:del w:id="1325" w:author="AbbVie19" w:date="2025-04-16T10:35:00Z">
              <w:r w:rsidRPr="00BC0E7E">
                <w:rPr>
                  <w:szCs w:val="20"/>
                </w:rPr>
                <w:delText>oedema,</w:delText>
              </w:r>
            </w:del>
          </w:p>
          <w:p w14:paraId="048362DF" w14:textId="77777777" w:rsidR="00BC0E7E" w:rsidRPr="00BC0E7E" w:rsidRDefault="00944B8F" w:rsidP="00BC0E7E">
            <w:pPr>
              <w:widowControl w:val="0"/>
              <w:rPr>
                <w:del w:id="1326" w:author="AbbVie19" w:date="2025-04-16T10:35:00Z"/>
                <w:szCs w:val="20"/>
              </w:rPr>
            </w:pPr>
            <w:del w:id="1327" w:author="AbbVie19" w:date="2025-04-16T10:35:00Z">
              <w:r w:rsidRPr="00BC0E7E">
                <w:rPr>
                  <w:szCs w:val="20"/>
                </w:rPr>
                <w:delText>pyrexia</w:delText>
              </w:r>
              <w:r w:rsidRPr="00BC0E7E">
                <w:rPr>
                  <w:szCs w:val="20"/>
                  <w:vertAlign w:val="superscript"/>
                </w:rPr>
                <w:delText>1)</w:delText>
              </w:r>
              <w:r w:rsidRPr="00BC0E7E">
                <w:rPr>
                  <w:szCs w:val="20"/>
                </w:rPr>
                <w:br/>
              </w:r>
            </w:del>
          </w:p>
        </w:tc>
      </w:tr>
      <w:tr w:rsidR="00C6578C" w14:paraId="785D549B" w14:textId="77777777" w:rsidTr="000244DF">
        <w:trPr>
          <w:cantSplit/>
          <w:del w:id="1328" w:author="AbbVie19" w:date="2025-04-16T10:35:00Z"/>
        </w:trPr>
        <w:tc>
          <w:tcPr>
            <w:tcW w:w="2600" w:type="dxa"/>
            <w:vMerge/>
          </w:tcPr>
          <w:p w14:paraId="7A16103F" w14:textId="77777777" w:rsidR="00BC0E7E" w:rsidRPr="00BC0E7E" w:rsidRDefault="00BC0E7E" w:rsidP="00BC0E7E">
            <w:pPr>
              <w:widowControl w:val="0"/>
              <w:spacing w:before="60"/>
              <w:jc w:val="center"/>
              <w:rPr>
                <w:del w:id="1329" w:author="AbbVie19" w:date="2025-04-16T10:35:00Z"/>
                <w:b/>
              </w:rPr>
            </w:pPr>
          </w:p>
        </w:tc>
        <w:tc>
          <w:tcPr>
            <w:tcW w:w="2074" w:type="dxa"/>
          </w:tcPr>
          <w:p w14:paraId="3B7A455C" w14:textId="77777777" w:rsidR="00BC0E7E" w:rsidRPr="00BC0E7E" w:rsidRDefault="00944B8F" w:rsidP="00BC0E7E">
            <w:pPr>
              <w:widowControl w:val="0"/>
              <w:rPr>
                <w:del w:id="1330" w:author="AbbVie19" w:date="2025-04-16T10:35:00Z"/>
                <w:szCs w:val="20"/>
              </w:rPr>
            </w:pPr>
            <w:del w:id="1331" w:author="AbbVie19" w:date="2025-04-16T10:35:00Z">
              <w:r w:rsidRPr="00BC0E7E">
                <w:rPr>
                  <w:szCs w:val="20"/>
                </w:rPr>
                <w:delText>Uncommon</w:delText>
              </w:r>
            </w:del>
          </w:p>
          <w:p w14:paraId="5CC3B9A8" w14:textId="77777777" w:rsidR="00BC0E7E" w:rsidRPr="00BC0E7E" w:rsidRDefault="00BC0E7E" w:rsidP="00BC0E7E">
            <w:pPr>
              <w:widowControl w:val="0"/>
              <w:rPr>
                <w:del w:id="1332" w:author="AbbVie19" w:date="2025-04-16T10:35:00Z"/>
                <w:szCs w:val="20"/>
              </w:rPr>
            </w:pPr>
          </w:p>
        </w:tc>
        <w:tc>
          <w:tcPr>
            <w:tcW w:w="4575" w:type="dxa"/>
          </w:tcPr>
          <w:p w14:paraId="5BB636B3" w14:textId="77777777" w:rsidR="00BC0E7E" w:rsidRPr="00BC0E7E" w:rsidRDefault="00944B8F" w:rsidP="00BC0E7E">
            <w:pPr>
              <w:widowControl w:val="0"/>
              <w:rPr>
                <w:del w:id="1333" w:author="AbbVie19" w:date="2025-04-16T10:35:00Z"/>
                <w:szCs w:val="20"/>
              </w:rPr>
            </w:pPr>
            <w:del w:id="1334" w:author="AbbVie19" w:date="2025-04-16T10:35:00Z">
              <w:r>
                <w:rPr>
                  <w:szCs w:val="20"/>
                </w:rPr>
                <w:delText>I</w:delText>
              </w:r>
              <w:r w:rsidRPr="00BC0E7E">
                <w:rPr>
                  <w:szCs w:val="20"/>
                </w:rPr>
                <w:delText>nflammation</w:delText>
              </w:r>
            </w:del>
          </w:p>
        </w:tc>
      </w:tr>
      <w:tr w:rsidR="00C6578C" w14:paraId="1EA7A39F" w14:textId="77777777" w:rsidTr="000244DF">
        <w:trPr>
          <w:cantSplit/>
          <w:del w:id="1335" w:author="AbbVie19" w:date="2025-04-16T10:35:00Z"/>
        </w:trPr>
        <w:tc>
          <w:tcPr>
            <w:tcW w:w="2600" w:type="dxa"/>
            <w:vMerge w:val="restart"/>
          </w:tcPr>
          <w:p w14:paraId="2F83A782" w14:textId="77777777" w:rsidR="00693052" w:rsidRPr="00BC0E7E" w:rsidRDefault="00944B8F" w:rsidP="00BC0E7E">
            <w:pPr>
              <w:widowControl w:val="0"/>
              <w:spacing w:before="60"/>
              <w:rPr>
                <w:del w:id="1336" w:author="AbbVie19" w:date="2025-04-16T10:35:00Z"/>
                <w:szCs w:val="20"/>
              </w:rPr>
            </w:pPr>
            <w:del w:id="1337" w:author="AbbVie19" w:date="2025-04-16T10:35:00Z">
              <w:r w:rsidRPr="00BC0E7E">
                <w:rPr>
                  <w:szCs w:val="20"/>
                </w:rPr>
                <w:delText>Investigations*</w:delText>
              </w:r>
            </w:del>
          </w:p>
        </w:tc>
        <w:tc>
          <w:tcPr>
            <w:tcW w:w="2074" w:type="dxa"/>
          </w:tcPr>
          <w:p w14:paraId="68BE00F6" w14:textId="77777777" w:rsidR="00693052" w:rsidRPr="00BC0E7E" w:rsidRDefault="00944B8F" w:rsidP="00BC0E7E">
            <w:pPr>
              <w:widowControl w:val="0"/>
              <w:spacing w:before="60"/>
              <w:rPr>
                <w:del w:id="1338" w:author="AbbVie19" w:date="2025-04-16T10:35:00Z"/>
                <w:szCs w:val="20"/>
              </w:rPr>
            </w:pPr>
            <w:del w:id="1339" w:author="AbbVie19" w:date="2025-04-16T10:35:00Z">
              <w:r w:rsidRPr="00BC0E7E">
                <w:rPr>
                  <w:szCs w:val="20"/>
                </w:rPr>
                <w:delText>Common</w:delText>
              </w:r>
            </w:del>
          </w:p>
        </w:tc>
        <w:tc>
          <w:tcPr>
            <w:tcW w:w="4575" w:type="dxa"/>
          </w:tcPr>
          <w:p w14:paraId="5C37DC4B" w14:textId="77777777" w:rsidR="00693052" w:rsidRPr="00BC0E7E" w:rsidRDefault="00944B8F" w:rsidP="00BC0E7E">
            <w:pPr>
              <w:widowControl w:val="0"/>
              <w:spacing w:before="60"/>
              <w:rPr>
                <w:del w:id="1340" w:author="AbbVie19" w:date="2025-04-16T10:35:00Z"/>
                <w:szCs w:val="20"/>
              </w:rPr>
            </w:pPr>
            <w:del w:id="1341" w:author="AbbVie19" w:date="2025-04-16T10:35:00Z">
              <w:r>
                <w:rPr>
                  <w:szCs w:val="20"/>
                </w:rPr>
                <w:delText>C</w:delText>
              </w:r>
              <w:r w:rsidRPr="00BC0E7E">
                <w:rPr>
                  <w:szCs w:val="20"/>
                </w:rPr>
                <w:delText xml:space="preserve">oagulation and bleeding disorders (including activated partial thromboplastin time prolonged), </w:delText>
              </w:r>
            </w:del>
          </w:p>
          <w:p w14:paraId="660B1DE8" w14:textId="77777777" w:rsidR="00693052" w:rsidRPr="00BC0E7E" w:rsidRDefault="00944B8F" w:rsidP="00BC0E7E">
            <w:pPr>
              <w:widowControl w:val="0"/>
              <w:spacing w:before="60"/>
              <w:rPr>
                <w:del w:id="1342" w:author="AbbVie19" w:date="2025-04-16T10:35:00Z"/>
                <w:szCs w:val="20"/>
              </w:rPr>
            </w:pPr>
            <w:del w:id="1343" w:author="AbbVie19" w:date="2025-04-16T10:35:00Z">
              <w:r w:rsidRPr="00BC0E7E">
                <w:rPr>
                  <w:szCs w:val="20"/>
                </w:rPr>
                <w:delText xml:space="preserve">autoantibody test positive (including double stranded DNA antibody), </w:delText>
              </w:r>
            </w:del>
          </w:p>
          <w:p w14:paraId="5387465D" w14:textId="77777777" w:rsidR="00693052" w:rsidRPr="00BC0E7E" w:rsidRDefault="00944B8F" w:rsidP="00BC0E7E">
            <w:pPr>
              <w:widowControl w:val="0"/>
              <w:spacing w:before="60"/>
              <w:rPr>
                <w:del w:id="1344" w:author="AbbVie19" w:date="2025-04-16T10:35:00Z"/>
                <w:szCs w:val="20"/>
              </w:rPr>
            </w:pPr>
            <w:del w:id="1345" w:author="AbbVie19" w:date="2025-04-16T10:35:00Z">
              <w:r w:rsidRPr="00BC0E7E">
                <w:rPr>
                  <w:szCs w:val="20"/>
                </w:rPr>
                <w:delText>blood lactate dehydrogenase increased</w:delText>
              </w:r>
            </w:del>
          </w:p>
          <w:p w14:paraId="07A34C02" w14:textId="77777777" w:rsidR="00693052" w:rsidRPr="00BC0E7E" w:rsidRDefault="00693052" w:rsidP="00BC0E7E">
            <w:pPr>
              <w:widowControl w:val="0"/>
              <w:spacing w:before="60"/>
              <w:rPr>
                <w:del w:id="1346" w:author="AbbVie19" w:date="2025-04-16T10:35:00Z"/>
                <w:szCs w:val="20"/>
              </w:rPr>
            </w:pPr>
          </w:p>
        </w:tc>
      </w:tr>
      <w:tr w:rsidR="00C6578C" w14:paraId="27B70AAF" w14:textId="77777777" w:rsidTr="000244DF">
        <w:trPr>
          <w:cantSplit/>
          <w:del w:id="1347" w:author="AbbVie19" w:date="2025-04-16T10:35:00Z"/>
        </w:trPr>
        <w:tc>
          <w:tcPr>
            <w:tcW w:w="2600" w:type="dxa"/>
            <w:vMerge/>
          </w:tcPr>
          <w:p w14:paraId="203CDBC3" w14:textId="77777777" w:rsidR="00693052" w:rsidRPr="00BC0E7E" w:rsidRDefault="00693052" w:rsidP="00693052">
            <w:pPr>
              <w:widowControl w:val="0"/>
              <w:spacing w:before="60"/>
              <w:rPr>
                <w:del w:id="1348" w:author="AbbVie19" w:date="2025-04-16T10:35:00Z"/>
                <w:szCs w:val="20"/>
              </w:rPr>
            </w:pPr>
          </w:p>
        </w:tc>
        <w:tc>
          <w:tcPr>
            <w:tcW w:w="2074" w:type="dxa"/>
          </w:tcPr>
          <w:p w14:paraId="59C788E0" w14:textId="77777777" w:rsidR="00693052" w:rsidRPr="00BC0E7E" w:rsidRDefault="00944B8F" w:rsidP="00693052">
            <w:pPr>
              <w:widowControl w:val="0"/>
              <w:spacing w:before="60"/>
              <w:rPr>
                <w:del w:id="1349" w:author="AbbVie19" w:date="2025-04-16T10:35:00Z"/>
                <w:szCs w:val="20"/>
              </w:rPr>
            </w:pPr>
            <w:del w:id="1350" w:author="AbbVie19" w:date="2025-04-16T10:35:00Z">
              <w:r>
                <w:rPr>
                  <w:szCs w:val="20"/>
                </w:rPr>
                <w:delText>Not known</w:delText>
              </w:r>
            </w:del>
          </w:p>
        </w:tc>
        <w:tc>
          <w:tcPr>
            <w:tcW w:w="4575" w:type="dxa"/>
          </w:tcPr>
          <w:p w14:paraId="56DAECB0" w14:textId="77777777" w:rsidR="00693052" w:rsidRDefault="00944B8F" w:rsidP="00693052">
            <w:pPr>
              <w:widowControl w:val="0"/>
              <w:spacing w:before="60"/>
              <w:rPr>
                <w:del w:id="1351" w:author="AbbVie19" w:date="2025-04-16T10:35:00Z"/>
                <w:szCs w:val="20"/>
              </w:rPr>
            </w:pPr>
            <w:del w:id="1352" w:author="AbbVie19" w:date="2025-04-16T10:35:00Z">
              <w:r>
                <w:rPr>
                  <w:szCs w:val="20"/>
                </w:rPr>
                <w:delText>Weight increased</w:delText>
              </w:r>
              <w:r w:rsidRPr="00693052">
                <w:rPr>
                  <w:vertAlign w:val="superscript"/>
                </w:rPr>
                <w:delText>2)</w:delText>
              </w:r>
            </w:del>
          </w:p>
        </w:tc>
      </w:tr>
      <w:tr w:rsidR="00C6578C" w14:paraId="79F08D21" w14:textId="77777777" w:rsidTr="000244DF">
        <w:trPr>
          <w:cantSplit/>
          <w:del w:id="1353" w:author="AbbVie19" w:date="2025-04-16T10:35:00Z"/>
        </w:trPr>
        <w:tc>
          <w:tcPr>
            <w:tcW w:w="2600" w:type="dxa"/>
          </w:tcPr>
          <w:p w14:paraId="3421A0E2" w14:textId="77777777" w:rsidR="00693052" w:rsidRPr="00BC0E7E" w:rsidRDefault="00944B8F" w:rsidP="00693052">
            <w:pPr>
              <w:widowControl w:val="0"/>
              <w:spacing w:before="60"/>
              <w:rPr>
                <w:del w:id="1354" w:author="AbbVie19" w:date="2025-04-16T10:35:00Z"/>
                <w:szCs w:val="20"/>
              </w:rPr>
            </w:pPr>
            <w:del w:id="1355" w:author="AbbVie19" w:date="2025-04-16T10:35:00Z">
              <w:r w:rsidRPr="00BC0E7E">
                <w:rPr>
                  <w:szCs w:val="20"/>
                </w:rPr>
                <w:lastRenderedPageBreak/>
                <w:delText>Injury, poisoning and procedural complications</w:delText>
              </w:r>
            </w:del>
          </w:p>
        </w:tc>
        <w:tc>
          <w:tcPr>
            <w:tcW w:w="2074" w:type="dxa"/>
          </w:tcPr>
          <w:p w14:paraId="0925D89E" w14:textId="77777777" w:rsidR="00693052" w:rsidRPr="00BC0E7E" w:rsidRDefault="00944B8F" w:rsidP="00693052">
            <w:pPr>
              <w:widowControl w:val="0"/>
              <w:spacing w:before="60"/>
              <w:rPr>
                <w:del w:id="1356" w:author="AbbVie19" w:date="2025-04-16T10:35:00Z"/>
                <w:szCs w:val="20"/>
              </w:rPr>
            </w:pPr>
            <w:del w:id="1357" w:author="AbbVie19" w:date="2025-04-16T10:35:00Z">
              <w:r w:rsidRPr="00BC0E7E">
                <w:rPr>
                  <w:szCs w:val="20"/>
                </w:rPr>
                <w:delText>Common</w:delText>
              </w:r>
            </w:del>
          </w:p>
        </w:tc>
        <w:tc>
          <w:tcPr>
            <w:tcW w:w="4575" w:type="dxa"/>
          </w:tcPr>
          <w:p w14:paraId="0BF3E910" w14:textId="77777777" w:rsidR="00693052" w:rsidRPr="00BC0E7E" w:rsidRDefault="00944B8F" w:rsidP="00693052">
            <w:pPr>
              <w:widowControl w:val="0"/>
              <w:spacing w:before="60"/>
              <w:rPr>
                <w:del w:id="1358" w:author="AbbVie19" w:date="2025-04-16T10:35:00Z"/>
                <w:szCs w:val="20"/>
              </w:rPr>
            </w:pPr>
            <w:del w:id="1359" w:author="AbbVie19" w:date="2025-04-16T10:35:00Z">
              <w:r>
                <w:rPr>
                  <w:szCs w:val="20"/>
                </w:rPr>
                <w:delText>I</w:delText>
              </w:r>
              <w:r w:rsidRPr="00BC0E7E">
                <w:rPr>
                  <w:szCs w:val="20"/>
                </w:rPr>
                <w:delText>mpaired healing</w:delText>
              </w:r>
            </w:del>
          </w:p>
          <w:p w14:paraId="2740BF1D" w14:textId="77777777" w:rsidR="00693052" w:rsidRPr="00BC0E7E" w:rsidRDefault="00693052" w:rsidP="00693052">
            <w:pPr>
              <w:widowControl w:val="0"/>
              <w:spacing w:before="60"/>
              <w:rPr>
                <w:del w:id="1360" w:author="AbbVie19" w:date="2025-04-16T10:35:00Z"/>
                <w:szCs w:val="20"/>
              </w:rPr>
            </w:pPr>
          </w:p>
        </w:tc>
      </w:tr>
    </w:tbl>
    <w:p w14:paraId="1C6323C6" w14:textId="77777777" w:rsidR="00BC0E7E" w:rsidRPr="00BC0E7E" w:rsidRDefault="00BC0E7E" w:rsidP="00BC0E7E">
      <w:pPr>
        <w:rPr>
          <w:del w:id="1361" w:author="AbbVie19" w:date="2025-04-16T10:35:00Z"/>
          <w:sz w:val="20"/>
        </w:rPr>
      </w:pPr>
    </w:p>
    <w:p w14:paraId="22603547" w14:textId="77777777" w:rsidR="00BC0E7E" w:rsidRPr="000244DF" w:rsidRDefault="00944B8F" w:rsidP="00BC0E7E">
      <w:pPr>
        <w:rPr>
          <w:del w:id="1362" w:author="AbbVie19" w:date="2025-04-16T10:35:00Z"/>
          <w:szCs w:val="22"/>
        </w:rPr>
      </w:pPr>
      <w:del w:id="1363" w:author="AbbVie19" w:date="2025-04-16T10:35:00Z">
        <w:r w:rsidRPr="000244DF">
          <w:rPr>
            <w:szCs w:val="22"/>
          </w:rPr>
          <w:delText>* further information is found elsewhere in sections 4.3, 4.4 and 4.8</w:delText>
        </w:r>
      </w:del>
    </w:p>
    <w:p w14:paraId="5FE8B02B" w14:textId="77777777" w:rsidR="00BC0E7E" w:rsidRPr="000244DF" w:rsidRDefault="00944B8F" w:rsidP="00BC0E7E">
      <w:pPr>
        <w:rPr>
          <w:del w:id="1364" w:author="AbbVie19" w:date="2025-04-16T10:35:00Z"/>
          <w:szCs w:val="22"/>
        </w:rPr>
      </w:pPr>
      <w:del w:id="1365" w:author="AbbVie19" w:date="2025-04-16T10:35:00Z">
        <w:r w:rsidRPr="000244DF">
          <w:rPr>
            <w:szCs w:val="22"/>
          </w:rPr>
          <w:delText>** including open label extension studies</w:delText>
        </w:r>
      </w:del>
    </w:p>
    <w:p w14:paraId="7CBB577B" w14:textId="77777777" w:rsidR="00BC0E7E" w:rsidRPr="000244DF" w:rsidRDefault="00944B8F" w:rsidP="00BC0E7E">
      <w:pPr>
        <w:rPr>
          <w:del w:id="1366" w:author="AbbVie19" w:date="2025-04-16T10:35:00Z"/>
          <w:szCs w:val="22"/>
        </w:rPr>
      </w:pPr>
      <w:del w:id="1367" w:author="AbbVie19" w:date="2025-04-16T10:35:00Z">
        <w:r w:rsidRPr="000244DF">
          <w:rPr>
            <w:szCs w:val="22"/>
            <w:vertAlign w:val="superscript"/>
          </w:rPr>
          <w:delText>1)</w:delText>
        </w:r>
        <w:r w:rsidRPr="000244DF">
          <w:rPr>
            <w:szCs w:val="22"/>
          </w:rPr>
          <w:delText xml:space="preserve"> including spontaneous reporting data</w:delText>
        </w:r>
      </w:del>
    </w:p>
    <w:p w14:paraId="3A17FF2C" w14:textId="77777777" w:rsidR="00693052" w:rsidRPr="009F76D2" w:rsidRDefault="00944B8F" w:rsidP="00693052">
      <w:pPr>
        <w:rPr>
          <w:del w:id="1368" w:author="AbbVie19" w:date="2025-04-16T10:35:00Z"/>
          <w:szCs w:val="22"/>
        </w:rPr>
      </w:pPr>
      <w:del w:id="1369" w:author="AbbVie19" w:date="2025-04-16T10:35:00Z">
        <w:r w:rsidRPr="00D70FFA">
          <w:rPr>
            <w:vertAlign w:val="superscript"/>
          </w:rPr>
          <w:delText>2) </w:delText>
        </w:r>
        <w:r w:rsidR="00E05C80" w:rsidRPr="00693052">
          <w:delText>The mean weight change from baseline for adalimumab ranged from 0.3</w:delText>
        </w:r>
        <w:r w:rsidR="00E05C80">
          <w:delText> </w:delText>
        </w:r>
        <w:r w:rsidR="00E05C80" w:rsidRPr="00693052">
          <w:delText>kg to 1.0</w:delText>
        </w:r>
        <w:r w:rsidR="00E05C80">
          <w:delText> </w:delText>
        </w:r>
        <w:r w:rsidR="00E05C80" w:rsidRPr="00693052">
          <w:delText>kg across adult indications compared to (minus) -0.4</w:delText>
        </w:r>
        <w:r w:rsidR="00E05C80">
          <w:delText> </w:delText>
        </w:r>
        <w:r w:rsidR="00E05C80" w:rsidRPr="00693052">
          <w:delText>kg to 0.4</w:delText>
        </w:r>
        <w:r w:rsidR="00E05C80">
          <w:delText> </w:delText>
        </w:r>
        <w:r w:rsidR="00E05C80" w:rsidRPr="00693052">
          <w:delText>kg for placebo over a treatment period of 4-6 months. Weight increase of 5-6</w:delText>
        </w:r>
        <w:r w:rsidR="00E05C80">
          <w:delText> </w:delText>
        </w:r>
        <w:r w:rsidR="00E05C80" w:rsidRPr="00693052">
          <w:delText>kg has also been observed</w:delText>
        </w:r>
        <w:r w:rsidR="00E05C80">
          <w:delText xml:space="preserve"> in long-term extension studies with mean exposures of approximately 1-2 years without control group,</w:delText>
        </w:r>
        <w:r w:rsidR="00E05C80" w:rsidRPr="00693052">
          <w:delText xml:space="preserve"> particularly in patients with Crohn’s disease and U</w:delText>
        </w:r>
        <w:r w:rsidR="00E05C80" w:rsidRPr="00530CA3">
          <w:delText>l</w:delText>
        </w:r>
        <w:r w:rsidR="00E05C80" w:rsidRPr="00693052">
          <w:delText>cerative colitis. The mechanism behind this effect is unclear but could be associated with the anti</w:delText>
        </w:r>
        <w:r w:rsidR="00E05C80">
          <w:noBreakHyphen/>
        </w:r>
        <w:r w:rsidR="00E05C80" w:rsidRPr="00693052">
          <w:delText>inflammatory effect of adalimumab.</w:delText>
        </w:r>
      </w:del>
    </w:p>
    <w:p w14:paraId="45A50DA1" w14:textId="77777777" w:rsidR="006F31DF" w:rsidRDefault="006F31DF" w:rsidP="006F31DF">
      <w:pPr>
        <w:keepNext/>
        <w:rPr>
          <w:del w:id="1370" w:author="AbbVie19" w:date="2025-04-16T10:35:00Z"/>
          <w:szCs w:val="22"/>
          <w:u w:val="single"/>
        </w:rPr>
      </w:pPr>
    </w:p>
    <w:p w14:paraId="6808C0BD" w14:textId="77777777" w:rsidR="006F31DF" w:rsidRDefault="00944B8F" w:rsidP="006F31DF">
      <w:pPr>
        <w:keepNext/>
        <w:rPr>
          <w:del w:id="1371" w:author="AbbVie19" w:date="2025-04-16T10:35:00Z"/>
          <w:szCs w:val="22"/>
          <w:u w:val="single"/>
        </w:rPr>
      </w:pPr>
      <w:del w:id="1372" w:author="AbbVie19" w:date="2025-04-16T10:35:00Z">
        <w:r w:rsidRPr="002A3533">
          <w:rPr>
            <w:szCs w:val="22"/>
            <w:u w:val="single"/>
          </w:rPr>
          <w:delText>Hidradenitis suppurativa</w:delText>
        </w:r>
      </w:del>
    </w:p>
    <w:p w14:paraId="32D6F80A" w14:textId="77777777" w:rsidR="006F31DF" w:rsidRPr="002A3533" w:rsidRDefault="006F31DF" w:rsidP="006F31DF">
      <w:pPr>
        <w:keepNext/>
        <w:rPr>
          <w:del w:id="1373" w:author="AbbVie19" w:date="2025-04-16T10:35:00Z"/>
          <w:szCs w:val="22"/>
          <w:u w:val="single"/>
        </w:rPr>
      </w:pPr>
    </w:p>
    <w:p w14:paraId="7BF66841" w14:textId="77777777" w:rsidR="006F31DF" w:rsidRDefault="00944B8F" w:rsidP="006F31DF">
      <w:pPr>
        <w:pStyle w:val="EMEAHeadingUnderline"/>
        <w:keepNext/>
        <w:suppressAutoHyphens w:val="0"/>
        <w:spacing w:beforeLines="0" w:afterLines="0"/>
        <w:rPr>
          <w:del w:id="1374" w:author="AbbVie19" w:date="2025-04-16T10:35:00Z"/>
          <w:szCs w:val="22"/>
          <w:u w:val="none"/>
        </w:rPr>
      </w:pPr>
      <w:del w:id="1375" w:author="AbbVie19" w:date="2025-04-16T10:35:00Z">
        <w:r w:rsidRPr="002A3533">
          <w:rPr>
            <w:szCs w:val="22"/>
            <w:u w:val="none"/>
          </w:rPr>
          <w:delText>The safety profile for patients with HS treated with Humira weekly was consistent with the known safety profile of Humira.</w:delText>
        </w:r>
      </w:del>
    </w:p>
    <w:p w14:paraId="370A7089" w14:textId="77777777" w:rsidR="006F31DF" w:rsidRDefault="006F31DF" w:rsidP="006F31DF">
      <w:pPr>
        <w:rPr>
          <w:del w:id="1376" w:author="AbbVie19" w:date="2025-04-16T10:35:00Z"/>
          <w:szCs w:val="22"/>
          <w:u w:val="single"/>
        </w:rPr>
      </w:pPr>
    </w:p>
    <w:p w14:paraId="268C1967" w14:textId="77777777" w:rsidR="006F31DF" w:rsidRDefault="00944B8F" w:rsidP="006F31DF">
      <w:pPr>
        <w:rPr>
          <w:del w:id="1377" w:author="AbbVie19" w:date="2025-04-16T10:35:00Z"/>
          <w:szCs w:val="22"/>
          <w:u w:val="single"/>
        </w:rPr>
      </w:pPr>
      <w:del w:id="1378" w:author="AbbVie19" w:date="2025-04-16T10:35:00Z">
        <w:r>
          <w:rPr>
            <w:szCs w:val="22"/>
            <w:u w:val="single"/>
          </w:rPr>
          <w:delText>Uveitis</w:delText>
        </w:r>
      </w:del>
    </w:p>
    <w:p w14:paraId="67B751E4" w14:textId="77777777" w:rsidR="006F31DF" w:rsidRDefault="006F31DF" w:rsidP="006F31DF">
      <w:pPr>
        <w:rPr>
          <w:del w:id="1379" w:author="AbbVie19" w:date="2025-04-16T10:35:00Z"/>
          <w:szCs w:val="22"/>
          <w:u w:val="single"/>
        </w:rPr>
      </w:pPr>
    </w:p>
    <w:p w14:paraId="7ECD90FC" w14:textId="77777777" w:rsidR="006F31DF" w:rsidRPr="00805A35" w:rsidRDefault="00944B8F" w:rsidP="006F31DF">
      <w:pPr>
        <w:rPr>
          <w:del w:id="1380" w:author="AbbVie19" w:date="2025-04-16T10:35:00Z"/>
          <w:szCs w:val="22"/>
        </w:rPr>
      </w:pPr>
      <w:del w:id="1381" w:author="AbbVie19" w:date="2025-04-16T10:35:00Z">
        <w:r w:rsidRPr="00805A35">
          <w:rPr>
            <w:szCs w:val="22"/>
          </w:rPr>
          <w:delText>The safety profile for patients with uveitis treated with Humira every other week was consistent with the known safety profile of Humira.</w:delText>
        </w:r>
      </w:del>
    </w:p>
    <w:p w14:paraId="2F4008BC" w14:textId="77777777" w:rsidR="006F31DF" w:rsidRDefault="006F31DF" w:rsidP="00BC0E7E">
      <w:pPr>
        <w:keepNext/>
        <w:suppressAutoHyphens w:val="0"/>
        <w:rPr>
          <w:del w:id="1382" w:author="AbbVie19" w:date="2025-04-16T10:35:00Z"/>
          <w:szCs w:val="20"/>
          <w:u w:val="single"/>
        </w:rPr>
      </w:pPr>
    </w:p>
    <w:p w14:paraId="469BF16F" w14:textId="77777777" w:rsidR="00BC0E7E" w:rsidRPr="00BC0E7E" w:rsidRDefault="00944B8F" w:rsidP="00BC0E7E">
      <w:pPr>
        <w:keepNext/>
        <w:suppressAutoHyphens w:val="0"/>
        <w:rPr>
          <w:del w:id="1383" w:author="AbbVie19" w:date="2025-04-16T10:35:00Z"/>
          <w:szCs w:val="20"/>
          <w:u w:val="single"/>
        </w:rPr>
      </w:pPr>
      <w:del w:id="1384" w:author="AbbVie19" w:date="2025-04-16T10:35:00Z">
        <w:r w:rsidRPr="00BC0E7E">
          <w:rPr>
            <w:szCs w:val="20"/>
            <w:u w:val="single"/>
          </w:rPr>
          <w:delText>Description of selected adverse reactions</w:delText>
        </w:r>
      </w:del>
    </w:p>
    <w:p w14:paraId="678A00B2" w14:textId="77777777" w:rsidR="00BC0E7E" w:rsidRPr="00BC0E7E" w:rsidRDefault="00BC0E7E" w:rsidP="00BC0E7E">
      <w:pPr>
        <w:keepNext/>
        <w:rPr>
          <w:del w:id="1385" w:author="AbbVie19" w:date="2025-04-16T10:35:00Z"/>
          <w:szCs w:val="20"/>
        </w:rPr>
      </w:pPr>
    </w:p>
    <w:p w14:paraId="3449908B" w14:textId="77777777" w:rsidR="00BC0E7E" w:rsidRPr="00BC0E7E" w:rsidRDefault="00944B8F" w:rsidP="00BC0E7E">
      <w:pPr>
        <w:keepNext/>
        <w:suppressAutoHyphens w:val="0"/>
        <w:rPr>
          <w:del w:id="1386" w:author="AbbVie19" w:date="2025-04-16T10:35:00Z"/>
          <w:i/>
          <w:szCs w:val="20"/>
        </w:rPr>
      </w:pPr>
      <w:del w:id="1387" w:author="AbbVie19" w:date="2025-04-16T10:35:00Z">
        <w:r w:rsidRPr="00BC0E7E">
          <w:rPr>
            <w:i/>
            <w:szCs w:val="20"/>
          </w:rPr>
          <w:delText>Injection site reactions</w:delText>
        </w:r>
      </w:del>
    </w:p>
    <w:p w14:paraId="053B0336" w14:textId="77777777" w:rsidR="00BC0E7E" w:rsidRPr="00BC0E7E" w:rsidRDefault="00BC0E7E" w:rsidP="00BC0E7E">
      <w:pPr>
        <w:suppressAutoHyphens w:val="0"/>
        <w:rPr>
          <w:del w:id="1388" w:author="AbbVie19" w:date="2025-04-16T10:35:00Z"/>
          <w:i/>
          <w:szCs w:val="20"/>
        </w:rPr>
      </w:pPr>
    </w:p>
    <w:p w14:paraId="43F6D282" w14:textId="77777777" w:rsidR="00BC0E7E" w:rsidRPr="00BC0E7E" w:rsidRDefault="00944B8F" w:rsidP="00BC0E7E">
      <w:pPr>
        <w:tabs>
          <w:tab w:val="clear" w:pos="562"/>
        </w:tabs>
        <w:suppressAutoHyphens w:val="0"/>
        <w:rPr>
          <w:del w:id="1389" w:author="AbbVie19" w:date="2025-04-16T10:35:00Z"/>
        </w:rPr>
      </w:pPr>
      <w:del w:id="1390" w:author="AbbVie19" w:date="2025-04-16T10:35:00Z">
        <w:r w:rsidRPr="00BC0E7E">
          <w:delText xml:space="preserve">In the pivotal controlled trials in adults and children, 12.9% of patients treated with Humira developed injection site reactions (erythema and/or itching, haemorrhage, pain or swelling), compared to 7.2% of patients receiving placebo or active control. Injection site reactions generally did not necessitate discontinuation of the medicinal product. </w:delText>
        </w:r>
      </w:del>
    </w:p>
    <w:p w14:paraId="6EF69F4A" w14:textId="77777777" w:rsidR="00BC0E7E" w:rsidRPr="00BC0E7E" w:rsidRDefault="00BC0E7E" w:rsidP="00BC0E7E">
      <w:pPr>
        <w:tabs>
          <w:tab w:val="clear" w:pos="562"/>
        </w:tabs>
        <w:suppressAutoHyphens w:val="0"/>
        <w:rPr>
          <w:del w:id="1391" w:author="AbbVie19" w:date="2025-04-16T10:35:00Z"/>
        </w:rPr>
      </w:pPr>
    </w:p>
    <w:p w14:paraId="0649C077" w14:textId="77777777" w:rsidR="00BC0E7E" w:rsidRPr="00BC0E7E" w:rsidRDefault="00944B8F" w:rsidP="00BC0E7E">
      <w:pPr>
        <w:keepNext/>
        <w:rPr>
          <w:del w:id="1392" w:author="AbbVie19" w:date="2025-04-16T10:35:00Z"/>
          <w:szCs w:val="20"/>
          <w:u w:val="single"/>
        </w:rPr>
      </w:pPr>
      <w:del w:id="1393" w:author="AbbVie19" w:date="2025-04-16T10:35:00Z">
        <w:r w:rsidRPr="00BC0E7E">
          <w:rPr>
            <w:i/>
            <w:szCs w:val="20"/>
          </w:rPr>
          <w:delText>Infections</w:delText>
        </w:r>
        <w:r w:rsidRPr="00BC0E7E">
          <w:rPr>
            <w:szCs w:val="20"/>
            <w:u w:val="single"/>
          </w:rPr>
          <w:delText xml:space="preserve"> </w:delText>
        </w:r>
      </w:del>
    </w:p>
    <w:p w14:paraId="56693BF8" w14:textId="77777777" w:rsidR="00BC0E7E" w:rsidRPr="00BC0E7E" w:rsidRDefault="00BC0E7E" w:rsidP="00BC0E7E">
      <w:pPr>
        <w:rPr>
          <w:del w:id="1394" w:author="AbbVie19" w:date="2025-04-16T10:35:00Z"/>
          <w:szCs w:val="20"/>
        </w:rPr>
      </w:pPr>
    </w:p>
    <w:p w14:paraId="1E2E6F6A" w14:textId="77777777" w:rsidR="00BC0E7E" w:rsidRPr="00BC0E7E" w:rsidRDefault="00944B8F" w:rsidP="00BC0E7E">
      <w:pPr>
        <w:keepNext/>
        <w:rPr>
          <w:del w:id="1395" w:author="AbbVie19" w:date="2025-04-16T10:35:00Z"/>
        </w:rPr>
      </w:pPr>
      <w:del w:id="1396" w:author="AbbVie19" w:date="2025-04-16T10:35:00Z">
        <w:r w:rsidRPr="00BC0E7E">
          <w:delText>In the pivotal controlled trials in adults and children, the rate of infection was 1.51 per patient year in the Humira treated patients and 1.46 per patient year in the placebo and active control</w:delText>
        </w:r>
        <w:r w:rsidRPr="00BC0E7E">
          <w:noBreakHyphen/>
          <w:delText xml:space="preserve">treated patients. The infections consisted primarily of nasopharyngitis, upper respiratory tract infection, and sinusitis. Most patients continued on Humira after the infection resolved.  </w:delText>
        </w:r>
      </w:del>
    </w:p>
    <w:p w14:paraId="7674F292" w14:textId="77777777" w:rsidR="00BC0E7E" w:rsidRPr="00BC0E7E" w:rsidRDefault="00BC0E7E" w:rsidP="00BC0E7E">
      <w:pPr>
        <w:rPr>
          <w:del w:id="1397" w:author="AbbVie19" w:date="2025-04-16T10:35:00Z"/>
        </w:rPr>
      </w:pPr>
    </w:p>
    <w:p w14:paraId="7F8ACCA9" w14:textId="77777777" w:rsidR="00BC0E7E" w:rsidRPr="00BC0E7E" w:rsidRDefault="00944B8F" w:rsidP="00BC0E7E">
      <w:pPr>
        <w:rPr>
          <w:del w:id="1398" w:author="AbbVie19" w:date="2025-04-16T10:35:00Z"/>
        </w:rPr>
      </w:pPr>
      <w:del w:id="1399" w:author="AbbVie19" w:date="2025-04-16T10:35:00Z">
        <w:r w:rsidRPr="00BC0E7E">
          <w:delText xml:space="preserve">The incidence of serious infections was 0.04 per patient year in Humira treated patients and 0.03 per patient year in placebo and active control − treated patients.  </w:delText>
        </w:r>
      </w:del>
    </w:p>
    <w:p w14:paraId="0ADA78E4" w14:textId="77777777" w:rsidR="00BC0E7E" w:rsidRPr="00BC0E7E" w:rsidRDefault="00BC0E7E" w:rsidP="00BC0E7E">
      <w:pPr>
        <w:rPr>
          <w:del w:id="1400" w:author="AbbVie19" w:date="2025-04-16T10:35:00Z"/>
        </w:rPr>
      </w:pPr>
    </w:p>
    <w:p w14:paraId="7A5C824A" w14:textId="77777777" w:rsidR="00BC0E7E" w:rsidRPr="00BC0E7E" w:rsidRDefault="00944B8F" w:rsidP="00BC0E7E">
      <w:pPr>
        <w:rPr>
          <w:del w:id="1401" w:author="AbbVie19" w:date="2025-04-16T10:35:00Z"/>
        </w:rPr>
      </w:pPr>
      <w:del w:id="1402" w:author="AbbVie19" w:date="2025-04-16T10:35:00Z">
        <w:r w:rsidRPr="00BC0E7E">
          <w:delText xml:space="preserve">In controlled and open label adult and paediatric studies with Humira, serious infections (including fatal infections, which occurred rarely) have been reported, which include reports of tuberculosis (including miliary and extra-pulmonary locations) and invasive opportunistic infections (e.g. disseminated </w:delText>
        </w:r>
        <w:r w:rsidRPr="00BC0E7E">
          <w:rPr>
            <w:u w:color="0000FF"/>
          </w:rPr>
          <w:delText>or extrapulmonary</w:delText>
        </w:r>
        <w:r w:rsidRPr="00BC0E7E">
          <w:delText xml:space="preserve"> histoplasmosis, </w:delText>
        </w:r>
        <w:r w:rsidRPr="00BC0E7E">
          <w:rPr>
            <w:u w:color="0000FF"/>
          </w:rPr>
          <w:delText>blastomycosis, coccidioidomycosis, pneumocystis</w:delText>
        </w:r>
        <w:r w:rsidRPr="00BC0E7E">
          <w:delText xml:space="preserve">, </w:delText>
        </w:r>
        <w:r w:rsidRPr="00BC0E7E">
          <w:rPr>
            <w:u w:color="0000FF"/>
          </w:rPr>
          <w:delText>candidiasis</w:delText>
        </w:r>
        <w:r w:rsidRPr="00BC0E7E">
          <w:delText>, aspergillosis and listeriosis). Most of the cases of tuberculosis occurred within the first eight months after initiation of therapy and may reflect recrudescence of latent disease.</w:delText>
        </w:r>
      </w:del>
    </w:p>
    <w:p w14:paraId="49FF4B51" w14:textId="77777777" w:rsidR="00BC0E7E" w:rsidRPr="00BC0E7E" w:rsidRDefault="00BC0E7E" w:rsidP="00BC0E7E">
      <w:pPr>
        <w:rPr>
          <w:del w:id="1403" w:author="AbbVie19" w:date="2025-04-16T10:35:00Z"/>
        </w:rPr>
      </w:pPr>
    </w:p>
    <w:p w14:paraId="61F934C5" w14:textId="77777777" w:rsidR="00BC0E7E" w:rsidRPr="00BC0E7E" w:rsidRDefault="00944B8F" w:rsidP="003F5ADF">
      <w:pPr>
        <w:keepNext/>
        <w:rPr>
          <w:del w:id="1404" w:author="AbbVie19" w:date="2025-04-16T10:35:00Z"/>
          <w:i/>
          <w:szCs w:val="20"/>
        </w:rPr>
      </w:pPr>
      <w:del w:id="1405" w:author="AbbVie19" w:date="2025-04-16T10:35:00Z">
        <w:r w:rsidRPr="00BC0E7E">
          <w:rPr>
            <w:i/>
            <w:szCs w:val="20"/>
          </w:rPr>
          <w:lastRenderedPageBreak/>
          <w:delText>Malignancies and lymphoproliferative disorders</w:delText>
        </w:r>
      </w:del>
    </w:p>
    <w:p w14:paraId="306A5B4F" w14:textId="77777777" w:rsidR="00BC0E7E" w:rsidRPr="00BC0E7E" w:rsidRDefault="00BC0E7E" w:rsidP="003F5ADF">
      <w:pPr>
        <w:keepNext/>
        <w:rPr>
          <w:del w:id="1406" w:author="AbbVie19" w:date="2025-04-16T10:35:00Z"/>
          <w:szCs w:val="20"/>
        </w:rPr>
      </w:pPr>
    </w:p>
    <w:p w14:paraId="7B3DB532" w14:textId="77777777" w:rsidR="00BC0E7E" w:rsidRPr="00BC0E7E" w:rsidRDefault="00944B8F" w:rsidP="003F5ADF">
      <w:pPr>
        <w:keepNext/>
        <w:rPr>
          <w:del w:id="1407" w:author="AbbVie19" w:date="2025-04-16T10:35:00Z"/>
        </w:rPr>
      </w:pPr>
      <w:del w:id="1408" w:author="AbbVie19" w:date="2025-04-16T10:35:00Z">
        <w:r w:rsidRPr="00BC0E7E">
          <w:delText xml:space="preserve">No malignancies were observed in 249 paediatric patients with an exposure of 655.6 patient years during Humira trials in patients with juvenile idiopathic arthritis (polyarticular juvenile idiopathic arthritis and enthesitis-related arthritis). </w:delText>
        </w:r>
        <w:r w:rsidRPr="00BC0E7E">
          <w:rPr>
            <w:szCs w:val="22"/>
          </w:rPr>
          <w:delText xml:space="preserve">In addition, no malignancies were observed in 192 paediatric patients with an exposure of 498.1 patient years during Humira trials in paediatric patients with Crohn’s disease. No malignancies were observed in 77 paediatric patients with an exposure of 80.0 patient years during a Humira trial in paediatric patients with chronic plaque psoriasis. </w:delText>
        </w:r>
        <w:r w:rsidR="00EB00AA" w:rsidRPr="00EB00AA">
          <w:rPr>
            <w:rStyle w:val="normaltextrun"/>
            <w:shd w:val="clear" w:color="auto" w:fill="FFFFFF"/>
            <w:lang w:val="en-US"/>
          </w:rPr>
          <w:delText>No malignancies were observed in 93 paediatric patients with an exposure of 65.3 patient years during a Humira trial in paediatric patients with ulcerative colitis.</w:delText>
        </w:r>
        <w:r w:rsidR="00EB00AA" w:rsidRPr="00EB00AA">
          <w:rPr>
            <w:rStyle w:val="eop"/>
            <w:shd w:val="clear" w:color="auto" w:fill="FFFFFF"/>
          </w:rPr>
          <w:delText> </w:delText>
        </w:r>
        <w:r w:rsidRPr="00BC0E7E">
          <w:rPr>
            <w:szCs w:val="22"/>
          </w:rPr>
          <w:delText>No malignancies were observed in 60 paediatric patients with an exposure of 58.4 patient years during a Humira trial in paediatric patients with uveitis.</w:delText>
        </w:r>
      </w:del>
    </w:p>
    <w:p w14:paraId="095D34A8" w14:textId="77777777" w:rsidR="00BC0E7E" w:rsidRPr="00BC0E7E" w:rsidRDefault="00BC0E7E" w:rsidP="00BC0E7E">
      <w:pPr>
        <w:rPr>
          <w:del w:id="1409" w:author="AbbVie19" w:date="2025-04-16T10:35:00Z"/>
        </w:rPr>
      </w:pPr>
    </w:p>
    <w:p w14:paraId="57B9BD50" w14:textId="77777777" w:rsidR="00BC0E7E" w:rsidRPr="00BC0E7E" w:rsidRDefault="00944B8F" w:rsidP="00BC0E7E">
      <w:pPr>
        <w:rPr>
          <w:del w:id="1410" w:author="AbbVie19" w:date="2025-04-16T10:35:00Z"/>
        </w:rPr>
      </w:pPr>
      <w:del w:id="1411" w:author="AbbVie19" w:date="2025-04-16T10:35:00Z">
        <w:r w:rsidRPr="00BC0E7E">
          <w:delText xml:space="preserve">During the controlled portions of pivotal Humira trials in adults of at least 12 weeks in duration in patients with moderately to severely active rheumatoid arthritis, ankylosing spondylitis, axial spondyloarthritis without radiographic evidence of AS, psoriatic arthritis, psoriasis, hidradenitis suppurativa, Crohn’s disease, ulcerative colitis and uveitis, malignancies, other than lymphoma and non-melanoma skin cancer, were observed at a rate (95% confidence interval) of 6.8 (4.4, 10.5)  per 1,000 patient-years among 5,291 Humira treated patients </w:delText>
        </w:r>
        <w:r w:rsidRPr="00BC0E7E">
          <w:rPr>
            <w:i/>
            <w:iCs/>
          </w:rPr>
          <w:delText xml:space="preserve">versus </w:delText>
        </w:r>
        <w:r w:rsidRPr="00BC0E7E">
          <w:delText>a rate of 6.3 (3.4, 11.8) per 1,000 patient-years among 3,444 control patients (median duration of treatment was 4.0 months for Humira and 3.8 months for control-treated patients). The rate (95% confidence interval) of non-melanoma skin cancers was 8.8 (6.0, 13.0) per 1,000 patient-years among Humira-treated patients and 3.2 (1.3, 7.6) per 1,000 patient-years among control patients. Of these skin cancers, squamous cell carcinomas occurred at rates (95% confidence interval) of 2.7 (1.4, 5.4) per 1,000 patient-years among Humira-treated patients and 0.6 (0.1, 4.5) per 1,000 patient-years among control patients. The rate (95% confidence interval) of lymphomas was 0.7 (0.2, 2.7) per 1,000 patient-years among Humira-treated patients and 0.6 (0.1, 4.5) per 1,000 patient-years among control patients.</w:delText>
        </w:r>
      </w:del>
    </w:p>
    <w:p w14:paraId="0BA08D51" w14:textId="77777777" w:rsidR="00BC0E7E" w:rsidRPr="00BC0E7E" w:rsidRDefault="00BC0E7E" w:rsidP="00BC0E7E">
      <w:pPr>
        <w:rPr>
          <w:del w:id="1412" w:author="AbbVie19" w:date="2025-04-16T10:35:00Z"/>
        </w:rPr>
      </w:pPr>
    </w:p>
    <w:p w14:paraId="295A1B71" w14:textId="77777777" w:rsidR="00BC0E7E" w:rsidRPr="00BC0E7E" w:rsidRDefault="00944B8F" w:rsidP="00BC0E7E">
      <w:pPr>
        <w:rPr>
          <w:del w:id="1413" w:author="AbbVie19" w:date="2025-04-16T10:35:00Z"/>
        </w:rPr>
      </w:pPr>
      <w:del w:id="1414" w:author="AbbVie19" w:date="2025-04-16T10:35:00Z">
        <w:r w:rsidRPr="00BC0E7E">
          <w:delText>When combining controlled portions of these trials and ongoing and completed open label extension studies with a median duration of approximately 3.3 years including 6,427 patients and over 26,439 patient-years of therapy, the observed rate of malignancies, other than lymphoma and non-melanoma skin cancers is approximately 8.5 per 1,000 patient years. The observed rate of non-melanoma skin cancers is approximately 9.6 per 1,000 patient years, and the observed rate of lymphomas is approximately 1.3 per 1,000 patient years.</w:delText>
        </w:r>
      </w:del>
    </w:p>
    <w:p w14:paraId="00DB8EAE" w14:textId="77777777" w:rsidR="00BC0E7E" w:rsidRPr="00BC0E7E" w:rsidRDefault="00BC0E7E" w:rsidP="00BC0E7E">
      <w:pPr>
        <w:rPr>
          <w:del w:id="1415" w:author="AbbVie19" w:date="2025-04-16T10:35:00Z"/>
        </w:rPr>
      </w:pPr>
    </w:p>
    <w:p w14:paraId="01FD4769" w14:textId="77777777" w:rsidR="00BC0E7E" w:rsidRPr="00BC0E7E" w:rsidRDefault="00944B8F" w:rsidP="00BC0E7E">
      <w:pPr>
        <w:rPr>
          <w:del w:id="1416" w:author="AbbVie19" w:date="2025-04-16T10:35:00Z"/>
        </w:rPr>
      </w:pPr>
      <w:del w:id="1417" w:author="AbbVie19" w:date="2025-04-16T10:35:00Z">
        <w:r w:rsidRPr="00BC0E7E">
          <w:delText xml:space="preserve">In post-marketing experience from January 2003 to December 2010, predominantly in patients with rheumatoid arthritis, the </w:delText>
        </w:r>
        <w:r w:rsidR="00F2301E" w:rsidRPr="00F2301E">
          <w:delText>spontaneously</w:delText>
        </w:r>
        <w:r w:rsidR="00F2301E">
          <w:delText xml:space="preserve"> </w:delText>
        </w:r>
        <w:r w:rsidRPr="00BC0E7E">
          <w:delText xml:space="preserve">reported rate of malignancies is approximately 2.7 per 1,000 patient treatment years. The </w:delText>
        </w:r>
        <w:r w:rsidR="00F2301E" w:rsidRPr="00F2301E">
          <w:delText>spontaneously</w:delText>
        </w:r>
        <w:r w:rsidR="00F2301E">
          <w:delText xml:space="preserve"> </w:delText>
        </w:r>
        <w:r w:rsidRPr="00BC0E7E">
          <w:delText>reported rates for non-melanoma skin cancers and lymphomas are approximately 0.2 and 0.3 per 1,000 patient treatment years, respectively (see section 4.4).</w:delText>
        </w:r>
      </w:del>
    </w:p>
    <w:p w14:paraId="6CA94256" w14:textId="77777777" w:rsidR="00BC0E7E" w:rsidRPr="00BC0E7E" w:rsidRDefault="00BC0E7E" w:rsidP="00BC0E7E">
      <w:pPr>
        <w:rPr>
          <w:del w:id="1418" w:author="AbbVie19" w:date="2025-04-16T10:35:00Z"/>
          <w:szCs w:val="22"/>
        </w:rPr>
      </w:pPr>
    </w:p>
    <w:p w14:paraId="3462D59D" w14:textId="77777777" w:rsidR="00BC0E7E" w:rsidRPr="00BC0E7E" w:rsidRDefault="00944B8F" w:rsidP="00BC0E7E">
      <w:pPr>
        <w:rPr>
          <w:del w:id="1419" w:author="AbbVie19" w:date="2025-04-16T10:35:00Z"/>
          <w:szCs w:val="22"/>
        </w:rPr>
      </w:pPr>
      <w:del w:id="1420" w:author="AbbVie19" w:date="2025-04-16T10:35:00Z">
        <w:r w:rsidRPr="00BC0E7E">
          <w:rPr>
            <w:szCs w:val="22"/>
          </w:rPr>
          <w:delText>Rare post-marketing cases of hepatosplenic T-cell lymphoma have been reported in patients treated with adalimumab (see section 4.4).</w:delText>
        </w:r>
      </w:del>
    </w:p>
    <w:p w14:paraId="4EA9B6A2" w14:textId="77777777" w:rsidR="00BC0E7E" w:rsidRPr="00BC0E7E" w:rsidRDefault="00BC0E7E" w:rsidP="00BC0E7E">
      <w:pPr>
        <w:rPr>
          <w:del w:id="1421" w:author="AbbVie19" w:date="2025-04-16T10:35:00Z"/>
        </w:rPr>
      </w:pPr>
    </w:p>
    <w:p w14:paraId="5FD05372" w14:textId="77777777" w:rsidR="00BC0E7E" w:rsidRPr="00BC0E7E" w:rsidRDefault="00944B8F" w:rsidP="00BC0E7E">
      <w:pPr>
        <w:rPr>
          <w:del w:id="1422" w:author="AbbVie19" w:date="2025-04-16T10:35:00Z"/>
          <w:szCs w:val="20"/>
          <w:u w:val="single"/>
        </w:rPr>
      </w:pPr>
      <w:del w:id="1423" w:author="AbbVie19" w:date="2025-04-16T10:35:00Z">
        <w:r w:rsidRPr="00BC0E7E">
          <w:rPr>
            <w:i/>
            <w:szCs w:val="20"/>
          </w:rPr>
          <w:delText>Autoantibodies</w:delText>
        </w:r>
        <w:r w:rsidRPr="00BC0E7E">
          <w:rPr>
            <w:szCs w:val="20"/>
            <w:u w:val="single"/>
          </w:rPr>
          <w:delText xml:space="preserve"> </w:delText>
        </w:r>
      </w:del>
    </w:p>
    <w:p w14:paraId="561E1A26" w14:textId="77777777" w:rsidR="00BC0E7E" w:rsidRPr="00BC0E7E" w:rsidRDefault="00BC0E7E" w:rsidP="00BC0E7E">
      <w:pPr>
        <w:rPr>
          <w:del w:id="1424" w:author="AbbVie19" w:date="2025-04-16T10:35:00Z"/>
          <w:szCs w:val="20"/>
        </w:rPr>
      </w:pPr>
    </w:p>
    <w:p w14:paraId="5BDE068F" w14:textId="77777777" w:rsidR="00BC0E7E" w:rsidRPr="00BC0E7E" w:rsidRDefault="00944B8F" w:rsidP="00BC0E7E">
      <w:pPr>
        <w:rPr>
          <w:del w:id="1425" w:author="AbbVie19" w:date="2025-04-16T10:35:00Z"/>
          <w:szCs w:val="20"/>
        </w:rPr>
      </w:pPr>
      <w:del w:id="1426" w:author="AbbVie19" w:date="2025-04-16T10:35:00Z">
        <w:r w:rsidRPr="00BC0E7E">
          <w:rPr>
            <w:szCs w:val="20"/>
          </w:rPr>
          <w:delText>Patients had serum samples tested for autoantibodies at multiple time points in rheumatoid arthritis studies I − V. In these trials, 11.9% of patients treated with Humira and 8.1% of placebo and active control − treated patients that had negative baseline anti-nuclear antibody titres reported positive titres at Week 24. Two patients out of 3,441 treated with Humira in all rheumatoid arthritis and psoriatic arthritis studies developed clinical signs suggestive of new-onset lupus-like syndrome. The patients improved following discontinuation of therapy. No patients developed lupus nephritis or central nervous system symptoms.</w:delText>
        </w:r>
      </w:del>
    </w:p>
    <w:p w14:paraId="6FAE8539" w14:textId="77777777" w:rsidR="00BC0E7E" w:rsidRPr="00BC0E7E" w:rsidRDefault="00BC0E7E" w:rsidP="00BC0E7E">
      <w:pPr>
        <w:rPr>
          <w:del w:id="1427" w:author="AbbVie19" w:date="2025-04-16T10:35:00Z"/>
          <w:szCs w:val="20"/>
        </w:rPr>
      </w:pPr>
    </w:p>
    <w:p w14:paraId="1539BD6B" w14:textId="77777777" w:rsidR="00BC0E7E" w:rsidRPr="00BC0E7E" w:rsidRDefault="00944B8F" w:rsidP="00BC0E7E">
      <w:pPr>
        <w:keepNext/>
        <w:rPr>
          <w:del w:id="1428" w:author="AbbVie19" w:date="2025-04-16T10:35:00Z"/>
          <w:i/>
          <w:szCs w:val="20"/>
        </w:rPr>
      </w:pPr>
      <w:del w:id="1429" w:author="AbbVie19" w:date="2025-04-16T10:35:00Z">
        <w:r w:rsidRPr="00BC0E7E">
          <w:rPr>
            <w:i/>
            <w:szCs w:val="20"/>
          </w:rPr>
          <w:lastRenderedPageBreak/>
          <w:delText>Hepato-biliary events</w:delText>
        </w:r>
      </w:del>
    </w:p>
    <w:p w14:paraId="63245FF3" w14:textId="77777777" w:rsidR="00BC0E7E" w:rsidRPr="00BC0E7E" w:rsidRDefault="00BC0E7E" w:rsidP="00BC0E7E">
      <w:pPr>
        <w:keepNext/>
        <w:rPr>
          <w:del w:id="1430" w:author="AbbVie19" w:date="2025-04-16T10:35:00Z"/>
          <w:szCs w:val="20"/>
        </w:rPr>
      </w:pPr>
    </w:p>
    <w:p w14:paraId="0581E252" w14:textId="77777777" w:rsidR="00BC0E7E" w:rsidRPr="00BC0E7E" w:rsidRDefault="00944B8F" w:rsidP="00BC0E7E">
      <w:pPr>
        <w:keepNext/>
        <w:rPr>
          <w:del w:id="1431" w:author="AbbVie19" w:date="2025-04-16T10:35:00Z"/>
          <w:szCs w:val="20"/>
        </w:rPr>
      </w:pPr>
      <w:del w:id="1432" w:author="AbbVie19" w:date="2025-04-16T10:35:00Z">
        <w:r w:rsidRPr="00BC0E7E">
          <w:rPr>
            <w:szCs w:val="20"/>
          </w:rPr>
          <w:delText xml:space="preserve">In controlled Phase 3 trials of Humira in patients with rheumatoid arthritis and psoriatic arthritis with a control period duration ranging from 4 to 104 weeks, ALT elevations ≥ 3 x ULN occurred in 3.7% of Humira-treated patients and 1.6% of control-treated patients. </w:delText>
        </w:r>
      </w:del>
    </w:p>
    <w:p w14:paraId="62D40CA0" w14:textId="77777777" w:rsidR="00BC0E7E" w:rsidRPr="00BC0E7E" w:rsidRDefault="00BC0E7E" w:rsidP="00BC0E7E">
      <w:pPr>
        <w:rPr>
          <w:del w:id="1433" w:author="AbbVie19" w:date="2025-04-16T10:35:00Z"/>
          <w:szCs w:val="20"/>
        </w:rPr>
      </w:pPr>
    </w:p>
    <w:p w14:paraId="7BF52FBC" w14:textId="77777777" w:rsidR="00BC0E7E" w:rsidRPr="00BC0E7E" w:rsidRDefault="00944B8F" w:rsidP="00BC0E7E">
      <w:pPr>
        <w:rPr>
          <w:del w:id="1434" w:author="AbbVie19" w:date="2025-04-16T10:35:00Z"/>
          <w:szCs w:val="22"/>
        </w:rPr>
      </w:pPr>
      <w:del w:id="1435" w:author="AbbVie19" w:date="2025-04-16T10:35:00Z">
        <w:r w:rsidRPr="00BC0E7E">
          <w:rPr>
            <w:szCs w:val="22"/>
          </w:rPr>
          <w:delText>In controlled Phase 3 trials of Humira in patients with polyarticular juvenile idiopathic arthritis who were 4 to 17 years and enthesitis-related arthritis who were 6 to 17 years, ALT elevations ≥ 3 x ULN occurred in 6.1% of Humira-treated patients and 1.3% of control-treated patients. Most ALT elevations occurred with concomitant methotrexate use. No ALT elevations ≥ 3 x ULN occurred in the Phase 3 trial of Humira in patients with polyarticular juvenile idiopathic arthritis who were 2 to &lt;4 years.</w:delText>
        </w:r>
      </w:del>
    </w:p>
    <w:p w14:paraId="083548CB" w14:textId="77777777" w:rsidR="00BC0E7E" w:rsidRPr="00BC0E7E" w:rsidRDefault="00BC0E7E" w:rsidP="00BC0E7E">
      <w:pPr>
        <w:rPr>
          <w:del w:id="1436" w:author="AbbVie19" w:date="2025-04-16T10:35:00Z"/>
          <w:szCs w:val="20"/>
        </w:rPr>
      </w:pPr>
    </w:p>
    <w:p w14:paraId="7F365335" w14:textId="77777777" w:rsidR="00BC0E7E" w:rsidRPr="00BC0E7E" w:rsidRDefault="00944B8F" w:rsidP="00BC0E7E">
      <w:pPr>
        <w:rPr>
          <w:del w:id="1437" w:author="AbbVie19" w:date="2025-04-16T10:35:00Z"/>
          <w:i/>
          <w:iCs/>
          <w:szCs w:val="20"/>
        </w:rPr>
      </w:pPr>
      <w:del w:id="1438" w:author="AbbVie19" w:date="2025-04-16T10:35:00Z">
        <w:r w:rsidRPr="00BC0E7E">
          <w:rPr>
            <w:iCs/>
            <w:szCs w:val="20"/>
          </w:rPr>
          <w:delText>In controlled Phase 3 trials of Humira in patients with</w:delText>
        </w:r>
        <w:r w:rsidRPr="00BC0E7E">
          <w:rPr>
            <w:i/>
            <w:iCs/>
            <w:szCs w:val="20"/>
          </w:rPr>
          <w:delText xml:space="preserve"> </w:delText>
        </w:r>
        <w:r w:rsidRPr="00BC0E7E">
          <w:rPr>
            <w:iCs/>
            <w:szCs w:val="20"/>
          </w:rPr>
          <w:delText>Crohn’s disease and ulcerative colitis with a control period ranging from 4 to 52 weeks. ALT elevations ≥ 3 x ULN occurred in 0.9% of Humira-treated patients and 0.9% of controlled-treated patients.</w:delText>
        </w:r>
        <w:r w:rsidRPr="00BC0E7E">
          <w:rPr>
            <w:i/>
            <w:iCs/>
            <w:szCs w:val="20"/>
          </w:rPr>
          <w:delText xml:space="preserve"> </w:delText>
        </w:r>
      </w:del>
    </w:p>
    <w:p w14:paraId="622312AF" w14:textId="77777777" w:rsidR="00BC0E7E" w:rsidRPr="00BC0E7E" w:rsidRDefault="00BC0E7E" w:rsidP="00BC0E7E">
      <w:pPr>
        <w:rPr>
          <w:del w:id="1439" w:author="AbbVie19" w:date="2025-04-16T10:35:00Z"/>
          <w:iCs/>
          <w:szCs w:val="20"/>
        </w:rPr>
      </w:pPr>
    </w:p>
    <w:p w14:paraId="7690BC48" w14:textId="77777777" w:rsidR="00BC0E7E" w:rsidRPr="00BC0E7E" w:rsidRDefault="00944B8F" w:rsidP="00BC0E7E">
      <w:pPr>
        <w:rPr>
          <w:del w:id="1440" w:author="AbbVie19" w:date="2025-04-16T10:35:00Z"/>
          <w:szCs w:val="20"/>
        </w:rPr>
      </w:pPr>
      <w:del w:id="1441" w:author="AbbVie19" w:date="2025-04-16T10:35:00Z">
        <w:r w:rsidRPr="00BC0E7E">
          <w:rPr>
            <w:szCs w:val="20"/>
          </w:rPr>
          <w:delText>In the Phase 3 trial of Humira in patients with paediatric Crohn’s disease which evaluated efficacy and safety of two body weight adjusted maintenance dose regimens following body weight adjusted induction therapy up to 52 weeks of treatment, ALT elevations ≥ 3 x ULN occurred in 2.6% (5/192) of patients of whom 4 were receiving concomitant immunosuppressants at baseline.</w:delText>
        </w:r>
      </w:del>
    </w:p>
    <w:p w14:paraId="299407E6" w14:textId="77777777" w:rsidR="00BC0E7E" w:rsidRPr="00BC0E7E" w:rsidRDefault="00BC0E7E" w:rsidP="00BC0E7E">
      <w:pPr>
        <w:rPr>
          <w:del w:id="1442" w:author="AbbVie19" w:date="2025-04-16T10:35:00Z"/>
          <w:iCs/>
          <w:szCs w:val="20"/>
        </w:rPr>
      </w:pPr>
    </w:p>
    <w:p w14:paraId="2EFFD234" w14:textId="77777777" w:rsidR="00BC0E7E" w:rsidRPr="00BC0E7E" w:rsidRDefault="00944B8F" w:rsidP="00BC0E7E">
      <w:pPr>
        <w:rPr>
          <w:del w:id="1443" w:author="AbbVie19" w:date="2025-04-16T10:35:00Z"/>
          <w:iCs/>
          <w:szCs w:val="20"/>
        </w:rPr>
      </w:pPr>
      <w:del w:id="1444" w:author="AbbVie19" w:date="2025-04-16T10:35:00Z">
        <w:r w:rsidRPr="00BC0E7E">
          <w:rPr>
            <w:iCs/>
            <w:szCs w:val="20"/>
          </w:rPr>
          <w:delText xml:space="preserve">In controlled Phase 3 trials of Humira in patients with plaque </w:delText>
        </w:r>
        <w:r w:rsidR="006F31DF">
          <w:rPr>
            <w:iCs/>
            <w:szCs w:val="20"/>
          </w:rPr>
          <w:delText>p</w:delText>
        </w:r>
        <w:r w:rsidRPr="00BC0E7E">
          <w:rPr>
            <w:iCs/>
            <w:szCs w:val="20"/>
          </w:rPr>
          <w:delText>soriasis</w:delText>
        </w:r>
        <w:r w:rsidRPr="00BC0E7E">
          <w:rPr>
            <w:i/>
            <w:iCs/>
            <w:szCs w:val="20"/>
          </w:rPr>
          <w:delText xml:space="preserve"> </w:delText>
        </w:r>
        <w:r w:rsidRPr="00BC0E7E">
          <w:rPr>
            <w:iCs/>
            <w:szCs w:val="20"/>
          </w:rPr>
          <w:delText xml:space="preserve">with a control period duration ranging from 12 to 24 weeks, ALT elevations ≥ 3 x ULN occurred in 1.8% of Humira-treated patients and 1.8% of control-treated patients. </w:delText>
        </w:r>
      </w:del>
    </w:p>
    <w:p w14:paraId="272FF1F4" w14:textId="77777777" w:rsidR="00BC0E7E" w:rsidRPr="00BC0E7E" w:rsidRDefault="00BC0E7E" w:rsidP="00BC0E7E">
      <w:pPr>
        <w:rPr>
          <w:del w:id="1445" w:author="AbbVie19" w:date="2025-04-16T10:35:00Z"/>
          <w:iCs/>
          <w:szCs w:val="20"/>
        </w:rPr>
      </w:pPr>
    </w:p>
    <w:p w14:paraId="7561E80B" w14:textId="77777777" w:rsidR="00BC0E7E" w:rsidRPr="00BC0E7E" w:rsidRDefault="00944B8F" w:rsidP="00BC0E7E">
      <w:pPr>
        <w:rPr>
          <w:del w:id="1446" w:author="AbbVie19" w:date="2025-04-16T10:35:00Z"/>
        </w:rPr>
      </w:pPr>
      <w:del w:id="1447" w:author="AbbVie19" w:date="2025-04-16T10:35:00Z">
        <w:r w:rsidRPr="00BC0E7E">
          <w:rPr>
            <w:iCs/>
          </w:rPr>
          <w:delText>No ALT elevations ≥ 3 X ULN occurred</w:delText>
        </w:r>
        <w:r w:rsidRPr="00BC0E7E">
          <w:delText xml:space="preserve"> </w:delText>
        </w:r>
        <w:r w:rsidRPr="00BC0E7E">
          <w:rPr>
            <w:iCs/>
          </w:rPr>
          <w:delText>in the Phase 3 trial of Humira in paediatric patients with plaque psoriasis.</w:delText>
        </w:r>
      </w:del>
    </w:p>
    <w:p w14:paraId="480FD5FF" w14:textId="77777777" w:rsidR="00BC0E7E" w:rsidRPr="00BC0E7E" w:rsidRDefault="00BC0E7E" w:rsidP="00BC0E7E">
      <w:pPr>
        <w:autoSpaceDE w:val="0"/>
        <w:autoSpaceDN w:val="0"/>
        <w:adjustRightInd w:val="0"/>
        <w:rPr>
          <w:del w:id="1448" w:author="AbbVie19" w:date="2025-04-16T10:35:00Z"/>
        </w:rPr>
      </w:pPr>
    </w:p>
    <w:p w14:paraId="229175F9" w14:textId="77777777" w:rsidR="00BC0E7E" w:rsidRPr="00BC0E7E" w:rsidRDefault="00944B8F" w:rsidP="00BC0E7E">
      <w:pPr>
        <w:autoSpaceDE w:val="0"/>
        <w:autoSpaceDN w:val="0"/>
        <w:adjustRightInd w:val="0"/>
        <w:rPr>
          <w:del w:id="1449" w:author="AbbVie19" w:date="2025-04-16T10:35:00Z"/>
        </w:rPr>
      </w:pPr>
      <w:del w:id="1450" w:author="AbbVie19" w:date="2025-04-16T10:35:00Z">
        <w:r w:rsidRPr="00BC0E7E">
          <w:delText>In controlled trials of Humira (initial doses of 160 mg at Week 0 and 80 mg at Week 2, followed by 40 mg every week starting at Week 4), in patients with hidradenitis suppurativa with a control period duration ranging from 12 to 16 weeks, ALT elevations ≥ 3 x ULN occurred in 0.3% of Humira-treated patients and 0.6% of control-treated patients.</w:delText>
        </w:r>
      </w:del>
    </w:p>
    <w:p w14:paraId="41679F3C" w14:textId="77777777" w:rsidR="006F31DF" w:rsidRDefault="006F31DF" w:rsidP="006F31DF">
      <w:pPr>
        <w:autoSpaceDE w:val="0"/>
        <w:autoSpaceDN w:val="0"/>
        <w:adjustRightInd w:val="0"/>
        <w:rPr>
          <w:del w:id="1451" w:author="AbbVie19" w:date="2025-04-16T10:35:00Z"/>
        </w:rPr>
      </w:pPr>
    </w:p>
    <w:p w14:paraId="3F54891A" w14:textId="77777777" w:rsidR="006F31DF" w:rsidRPr="00AA6F91" w:rsidRDefault="00944B8F" w:rsidP="006F31DF">
      <w:pPr>
        <w:autoSpaceDE w:val="0"/>
        <w:autoSpaceDN w:val="0"/>
        <w:adjustRightInd w:val="0"/>
        <w:rPr>
          <w:del w:id="1452" w:author="AbbVie19" w:date="2025-04-16T10:35:00Z"/>
          <w:iCs/>
          <w:szCs w:val="20"/>
        </w:rPr>
      </w:pPr>
      <w:del w:id="1453" w:author="AbbVie19" w:date="2025-04-16T10:35:00Z">
        <w:r w:rsidRPr="008805F3">
          <w:rPr>
            <w:iCs/>
            <w:szCs w:val="20"/>
          </w:rPr>
          <w:delText>In controlled trials of Humira (initial doses of 80</w:delText>
        </w:r>
        <w:r>
          <w:rPr>
            <w:iCs/>
            <w:szCs w:val="20"/>
          </w:rPr>
          <w:delText> </w:delText>
        </w:r>
        <w:r w:rsidRPr="008805F3">
          <w:rPr>
            <w:iCs/>
            <w:szCs w:val="20"/>
          </w:rPr>
          <w:delText>mg at Week 0 followed by 40</w:delText>
        </w:r>
        <w:r>
          <w:rPr>
            <w:iCs/>
            <w:szCs w:val="20"/>
          </w:rPr>
          <w:delText> </w:delText>
        </w:r>
        <w:r w:rsidRPr="008805F3">
          <w:rPr>
            <w:iCs/>
            <w:szCs w:val="20"/>
          </w:rPr>
          <w:delText xml:space="preserve">mg every other week </w:delText>
        </w:r>
        <w:r w:rsidRPr="00B2585F">
          <w:rPr>
            <w:iCs/>
            <w:szCs w:val="20"/>
          </w:rPr>
          <w:delText xml:space="preserve">starting at Week 1) in </w:delText>
        </w:r>
        <w:r>
          <w:rPr>
            <w:iCs/>
            <w:szCs w:val="20"/>
          </w:rPr>
          <w:delText>adult patients with uveitis up to 80</w:delText>
        </w:r>
        <w:r w:rsidR="003E2F23">
          <w:rPr>
            <w:iCs/>
            <w:szCs w:val="20"/>
          </w:rPr>
          <w:delText> </w:delText>
        </w:r>
        <w:r>
          <w:rPr>
            <w:iCs/>
            <w:szCs w:val="20"/>
          </w:rPr>
          <w:delText>w</w:delText>
        </w:r>
        <w:r w:rsidRPr="00B2585F">
          <w:rPr>
            <w:iCs/>
            <w:szCs w:val="20"/>
          </w:rPr>
          <w:delText>eeks with a median exposure of 166.5 days and 105.0 days in Humira-treated and control-treated patients, respectively, ALT elevations ≥</w:delText>
        </w:r>
        <w:r w:rsidR="003E2F23">
          <w:rPr>
            <w:iCs/>
            <w:szCs w:val="20"/>
          </w:rPr>
          <w:delText> </w:delText>
        </w:r>
        <w:r w:rsidRPr="00B2585F">
          <w:rPr>
            <w:iCs/>
            <w:szCs w:val="20"/>
          </w:rPr>
          <w:delText>3</w:delText>
        </w:r>
        <w:r w:rsidR="003E2F23">
          <w:rPr>
            <w:iCs/>
            <w:szCs w:val="20"/>
          </w:rPr>
          <w:delText> </w:delText>
        </w:r>
        <w:r w:rsidRPr="00B2585F">
          <w:rPr>
            <w:iCs/>
            <w:szCs w:val="20"/>
          </w:rPr>
          <w:delText>x</w:delText>
        </w:r>
        <w:r w:rsidR="003E2F23">
          <w:rPr>
            <w:iCs/>
            <w:szCs w:val="20"/>
          </w:rPr>
          <w:delText> </w:delText>
        </w:r>
        <w:r w:rsidRPr="00B2585F">
          <w:rPr>
            <w:iCs/>
            <w:szCs w:val="20"/>
          </w:rPr>
          <w:delText xml:space="preserve">ULN occurred in 2.4% of Humira-treated patients and 2.4% of control-treated patients. </w:delText>
        </w:r>
      </w:del>
    </w:p>
    <w:p w14:paraId="291C8F27" w14:textId="77777777" w:rsidR="00B62C5A" w:rsidRPr="00B62C5A" w:rsidRDefault="00944B8F" w:rsidP="00B62C5A">
      <w:pPr>
        <w:autoSpaceDE w:val="0"/>
        <w:autoSpaceDN w:val="0"/>
        <w:adjustRightInd w:val="0"/>
        <w:rPr>
          <w:del w:id="1454" w:author="AbbVie19" w:date="2025-04-16T10:35:00Z"/>
          <w:rStyle w:val="normaltextrun"/>
          <w:shd w:val="clear" w:color="auto" w:fill="FFFFFF"/>
        </w:rPr>
      </w:pPr>
      <w:del w:id="1455" w:author="AbbVie19" w:date="2025-04-16T10:35:00Z">
        <w:r w:rsidRPr="00B62C5A">
          <w:rPr>
            <w:rStyle w:val="normaltextrun"/>
            <w:shd w:val="clear" w:color="auto" w:fill="FFFFFF"/>
          </w:rPr>
          <w:delText>In the controlled Phase 3 trial of Humira in patients with paediatric ulcerative colitis (N=93) which evaluated efficacy and safety of a maintenance dose of 0.6 mg/kg (maximum of 40 mg) every other week (N=31) and a maintenance dose of 0.6 mg/kg (maximum of 40 mg) every Week (N=32), following body weight adjusted induction dosing of 2.4 mg/kg (maximum of 160 mg) at Week 0 and Week 1, and 1.2 mg/kg (maximum of 80 mg) at Week 2 (N=63), or an induction dose of 2.4 mg/kg (maximum of 160 mg) at Week 0, placebo at Week 1, and 1.2 mg/kg (maximum of 80 mg) at Week 2 (N=30), ALT elevations ≥ 3 X ULN occurred in 1.1% (1/93) of patients.</w:delText>
        </w:r>
      </w:del>
    </w:p>
    <w:p w14:paraId="47AC8370" w14:textId="77777777" w:rsidR="005A3B69" w:rsidRDefault="005A3B69" w:rsidP="00BC0E7E">
      <w:pPr>
        <w:autoSpaceDE w:val="0"/>
        <w:autoSpaceDN w:val="0"/>
        <w:adjustRightInd w:val="0"/>
        <w:rPr>
          <w:del w:id="1456" w:author="AbbVie19" w:date="2025-04-16T10:35:00Z"/>
          <w:bCs/>
        </w:rPr>
      </w:pPr>
    </w:p>
    <w:p w14:paraId="403B4956" w14:textId="77777777" w:rsidR="00BC0E7E" w:rsidRPr="00BC0E7E" w:rsidRDefault="00944B8F" w:rsidP="00BC0E7E">
      <w:pPr>
        <w:autoSpaceDE w:val="0"/>
        <w:autoSpaceDN w:val="0"/>
        <w:adjustRightInd w:val="0"/>
        <w:rPr>
          <w:del w:id="1457" w:author="AbbVie19" w:date="2025-04-16T10:35:00Z"/>
        </w:rPr>
      </w:pPr>
      <w:del w:id="1458" w:author="AbbVie19" w:date="2025-04-16T10:35:00Z">
        <w:r w:rsidRPr="00BC0E7E">
          <w:rPr>
            <w:bCs/>
          </w:rPr>
          <w:delText>Across all indications in clinical trials patients with raised ALT were asymptomatic and in most cases elevations were transient and resolved on continued treatment. However, there have also been post-marketing reports of liver failure as well as less severe liver disorders that may precede liver failure, such as hepatitis including autoimmune hepatitis in patients receiving adalimumab.</w:delText>
        </w:r>
      </w:del>
    </w:p>
    <w:p w14:paraId="3D79466D" w14:textId="77777777" w:rsidR="00BC0E7E" w:rsidRPr="00BC0E7E" w:rsidRDefault="00BC0E7E" w:rsidP="00BC0E7E">
      <w:pPr>
        <w:autoSpaceDE w:val="0"/>
        <w:autoSpaceDN w:val="0"/>
        <w:adjustRightInd w:val="0"/>
        <w:rPr>
          <w:del w:id="1459" w:author="AbbVie19" w:date="2025-04-16T10:35:00Z"/>
          <w:bCs/>
        </w:rPr>
      </w:pPr>
    </w:p>
    <w:p w14:paraId="708FA9CC" w14:textId="77777777" w:rsidR="00BC0E7E" w:rsidRPr="00BC0E7E" w:rsidRDefault="00944B8F" w:rsidP="003F5ADF">
      <w:pPr>
        <w:keepNext/>
        <w:rPr>
          <w:del w:id="1460" w:author="AbbVie19" w:date="2025-04-16T10:35:00Z"/>
          <w:szCs w:val="20"/>
          <w:u w:val="single"/>
        </w:rPr>
      </w:pPr>
      <w:del w:id="1461" w:author="AbbVie19" w:date="2025-04-16T10:35:00Z">
        <w:r w:rsidRPr="00BC0E7E">
          <w:rPr>
            <w:szCs w:val="20"/>
            <w:u w:val="single"/>
          </w:rPr>
          <w:lastRenderedPageBreak/>
          <w:delText>Concurrent treatment with azathioprine/6</w:delText>
        </w:r>
        <w:r w:rsidRPr="00BC0E7E">
          <w:rPr>
            <w:szCs w:val="20"/>
            <w:u w:val="single"/>
          </w:rPr>
          <w:noBreakHyphen/>
          <w:delText>mercaptopurine</w:delText>
        </w:r>
      </w:del>
    </w:p>
    <w:p w14:paraId="5271EE05" w14:textId="77777777" w:rsidR="00BC0E7E" w:rsidRPr="00BC0E7E" w:rsidRDefault="00BC0E7E" w:rsidP="003F5ADF">
      <w:pPr>
        <w:keepNext/>
        <w:rPr>
          <w:del w:id="1462" w:author="AbbVie19" w:date="2025-04-16T10:35:00Z"/>
          <w:szCs w:val="20"/>
        </w:rPr>
      </w:pPr>
    </w:p>
    <w:p w14:paraId="77C519D8" w14:textId="77777777" w:rsidR="00BC0E7E" w:rsidRPr="00BC0E7E" w:rsidRDefault="00944B8F" w:rsidP="003F5ADF">
      <w:pPr>
        <w:keepNext/>
        <w:autoSpaceDE w:val="0"/>
        <w:autoSpaceDN w:val="0"/>
        <w:adjustRightInd w:val="0"/>
        <w:rPr>
          <w:del w:id="1463" w:author="AbbVie19" w:date="2025-04-16T10:35:00Z"/>
        </w:rPr>
      </w:pPr>
      <w:del w:id="1464" w:author="AbbVie19" w:date="2025-04-16T10:35:00Z">
        <w:r w:rsidRPr="00BC0E7E">
          <w:delText>In adult Crohn’s disease studies, higher incidences of malignant and serious infection-related adverse events were seen with the combination of Humira and azathioprine/6</w:delText>
        </w:r>
        <w:r w:rsidR="004916FC">
          <w:delText>-</w:delText>
        </w:r>
        <w:r w:rsidRPr="00BC0E7E">
          <w:delText>mercaptopurine compared with Humira alone.</w:delText>
        </w:r>
      </w:del>
    </w:p>
    <w:p w14:paraId="5F7D601D" w14:textId="77777777" w:rsidR="00BC0E7E" w:rsidRPr="00BC0E7E" w:rsidRDefault="00BC0E7E" w:rsidP="00BC0E7E">
      <w:pPr>
        <w:keepNext/>
        <w:autoSpaceDE w:val="0"/>
        <w:autoSpaceDN w:val="0"/>
        <w:adjustRightInd w:val="0"/>
        <w:rPr>
          <w:del w:id="1465" w:author="AbbVie19" w:date="2025-04-16T10:35:00Z"/>
        </w:rPr>
      </w:pPr>
    </w:p>
    <w:p w14:paraId="67DD210F" w14:textId="77777777" w:rsidR="00BC0E7E" w:rsidRPr="00BC0E7E" w:rsidRDefault="00944B8F" w:rsidP="00BC0E7E">
      <w:pPr>
        <w:keepNext/>
        <w:rPr>
          <w:del w:id="1466" w:author="AbbVie19" w:date="2025-04-16T10:35:00Z"/>
          <w:u w:val="single"/>
        </w:rPr>
      </w:pPr>
      <w:del w:id="1467" w:author="AbbVie19" w:date="2025-04-16T10:35:00Z">
        <w:r w:rsidRPr="00BC0E7E">
          <w:rPr>
            <w:u w:val="single"/>
          </w:rPr>
          <w:delText>Reporting of suspected adverse reactions</w:delText>
        </w:r>
      </w:del>
    </w:p>
    <w:p w14:paraId="294A2533" w14:textId="77777777" w:rsidR="00BC0E7E" w:rsidRPr="00BC0E7E" w:rsidRDefault="00BC0E7E" w:rsidP="00BC0E7E">
      <w:pPr>
        <w:keepNext/>
        <w:rPr>
          <w:del w:id="1468" w:author="AbbVie19" w:date="2025-04-16T10:35:00Z"/>
        </w:rPr>
      </w:pPr>
    </w:p>
    <w:p w14:paraId="1C81ECD2" w14:textId="77777777" w:rsidR="00BC0E7E" w:rsidRPr="00BC0E7E" w:rsidRDefault="00944B8F" w:rsidP="00BC0E7E">
      <w:pPr>
        <w:keepNext/>
        <w:rPr>
          <w:del w:id="1469" w:author="AbbVie19" w:date="2025-04-16T10:35:00Z"/>
        </w:rPr>
      </w:pPr>
      <w:del w:id="1470" w:author="AbbVie19" w:date="2025-04-16T10:35:00Z">
        <w:r w:rsidRPr="00BC0E7E">
          <w:delText xml:space="preserve">Reporting suspected adverse reactions after authorisation of the medicinal product is important. It allows continued monitoring of the benefit/risk balance of the medicinal product. Healthcare professionals are asked to report any suspected adverse reactions via </w:delText>
        </w:r>
        <w:r w:rsidRPr="00BC0E7E">
          <w:rPr>
            <w:highlight w:val="lightGray"/>
          </w:rPr>
          <w:delText xml:space="preserve">the national reporting system listed in </w:delText>
        </w:r>
        <w:r>
          <w:fldChar w:fldCharType="begin"/>
        </w:r>
        <w:r>
          <w:delInstrText>HYPERLINK "http://www.ema.europa.eu/docs/en_GB/document_library/Template_or_form/2013/03/WC500139752.doc"</w:delInstrText>
        </w:r>
        <w:r>
          <w:fldChar w:fldCharType="separate"/>
        </w:r>
        <w:r w:rsidRPr="00BC0E7E">
          <w:rPr>
            <w:color w:val="0000FF"/>
            <w:szCs w:val="22"/>
            <w:highlight w:val="lightGray"/>
            <w:u w:val="single"/>
          </w:rPr>
          <w:delText>Appendix V</w:delText>
        </w:r>
        <w:r>
          <w:fldChar w:fldCharType="end"/>
        </w:r>
        <w:r w:rsidRPr="00BC0E7E">
          <w:rPr>
            <w:highlight w:val="lightGray"/>
          </w:rPr>
          <w:delText>.</w:delText>
        </w:r>
        <w:r w:rsidRPr="00BC0E7E">
          <w:delText xml:space="preserve"> </w:delText>
        </w:r>
      </w:del>
    </w:p>
    <w:p w14:paraId="3F66FF38" w14:textId="77777777" w:rsidR="00BC0E7E" w:rsidRPr="00BC0E7E" w:rsidRDefault="00BC0E7E" w:rsidP="00BC0E7E">
      <w:pPr>
        <w:keepNext/>
        <w:rPr>
          <w:del w:id="1471" w:author="AbbVie19" w:date="2025-04-16T10:35:00Z"/>
        </w:rPr>
      </w:pPr>
    </w:p>
    <w:p w14:paraId="6D59D365" w14:textId="77777777" w:rsidR="00BC0E7E" w:rsidRPr="00BC0E7E" w:rsidRDefault="00944B8F" w:rsidP="00BC0E7E">
      <w:pPr>
        <w:keepNext/>
        <w:suppressAutoHyphens w:val="0"/>
        <w:outlineLvl w:val="1"/>
        <w:rPr>
          <w:del w:id="1472" w:author="AbbVie19" w:date="2025-04-16T10:35:00Z"/>
          <w:b/>
          <w:szCs w:val="20"/>
        </w:rPr>
      </w:pPr>
      <w:del w:id="1473" w:author="AbbVie19" w:date="2025-04-16T10:35:00Z">
        <w:r w:rsidRPr="00BC0E7E">
          <w:rPr>
            <w:b/>
            <w:szCs w:val="20"/>
          </w:rPr>
          <w:delText>4.9</w:delText>
        </w:r>
        <w:r w:rsidRPr="00BC0E7E">
          <w:rPr>
            <w:b/>
            <w:szCs w:val="20"/>
          </w:rPr>
          <w:tab/>
          <w:delText xml:space="preserve">Overdose </w:delText>
        </w:r>
      </w:del>
    </w:p>
    <w:p w14:paraId="2A0FB18B" w14:textId="77777777" w:rsidR="00BC0E7E" w:rsidRPr="00BC0E7E" w:rsidRDefault="00BC0E7E" w:rsidP="00BC0E7E">
      <w:pPr>
        <w:keepNext/>
        <w:rPr>
          <w:del w:id="1474" w:author="AbbVie19" w:date="2025-04-16T10:35:00Z"/>
          <w:szCs w:val="20"/>
        </w:rPr>
      </w:pPr>
    </w:p>
    <w:p w14:paraId="371AF20B" w14:textId="77777777" w:rsidR="00BC0E7E" w:rsidRPr="00BC0E7E" w:rsidRDefault="00944B8F" w:rsidP="00BC0E7E">
      <w:pPr>
        <w:keepNext/>
        <w:tabs>
          <w:tab w:val="clear" w:pos="562"/>
        </w:tabs>
        <w:rPr>
          <w:del w:id="1475" w:author="AbbVie19" w:date="2025-04-16T10:35:00Z"/>
        </w:rPr>
      </w:pPr>
      <w:del w:id="1476" w:author="AbbVie19" w:date="2025-04-16T10:35:00Z">
        <w:r w:rsidRPr="00BC0E7E">
          <w:delText xml:space="preserve">No dose-limiting toxicity was observed during clinical trials. The highest dose level evaluated has been multiple intravenous doses of 10 mg/kg, which is approximately 15 times the recommended dose.  </w:delText>
        </w:r>
      </w:del>
    </w:p>
    <w:p w14:paraId="1FC473F4" w14:textId="77777777" w:rsidR="00BC0E7E" w:rsidRPr="00BC0E7E" w:rsidRDefault="00BC0E7E" w:rsidP="00BC0E7E">
      <w:pPr>
        <w:tabs>
          <w:tab w:val="clear" w:pos="562"/>
        </w:tabs>
        <w:rPr>
          <w:del w:id="1477" w:author="AbbVie19" w:date="2025-04-16T10:35:00Z"/>
        </w:rPr>
      </w:pPr>
    </w:p>
    <w:p w14:paraId="4EA116F4" w14:textId="77777777" w:rsidR="00BC0E7E" w:rsidRPr="00BC0E7E" w:rsidRDefault="00BC0E7E" w:rsidP="00BC0E7E">
      <w:pPr>
        <w:tabs>
          <w:tab w:val="clear" w:pos="562"/>
        </w:tabs>
        <w:rPr>
          <w:del w:id="1478" w:author="AbbVie19" w:date="2025-04-16T10:35:00Z"/>
        </w:rPr>
      </w:pPr>
    </w:p>
    <w:p w14:paraId="14FA7B24" w14:textId="77777777" w:rsidR="00BC0E7E" w:rsidRPr="00BC0E7E" w:rsidRDefault="00944B8F" w:rsidP="00077477">
      <w:pPr>
        <w:keepNext/>
        <w:outlineLvl w:val="0"/>
        <w:rPr>
          <w:del w:id="1479" w:author="AbbVie19" w:date="2025-04-16T10:35:00Z"/>
          <w:b/>
          <w:caps/>
          <w:szCs w:val="20"/>
        </w:rPr>
      </w:pPr>
      <w:del w:id="1480" w:author="AbbVie19" w:date="2025-04-16T10:35:00Z">
        <w:r w:rsidRPr="00BC0E7E">
          <w:rPr>
            <w:b/>
            <w:caps/>
            <w:szCs w:val="20"/>
          </w:rPr>
          <w:delText>5.</w:delText>
        </w:r>
        <w:r w:rsidRPr="00BC0E7E">
          <w:rPr>
            <w:b/>
            <w:caps/>
            <w:szCs w:val="20"/>
          </w:rPr>
          <w:tab/>
          <w:delText>PHARMACOLOGICAL PROPERTIES</w:delText>
        </w:r>
      </w:del>
    </w:p>
    <w:p w14:paraId="6852C827" w14:textId="77777777" w:rsidR="00BC0E7E" w:rsidRPr="00BC0E7E" w:rsidRDefault="00BC0E7E" w:rsidP="00077477">
      <w:pPr>
        <w:keepNext/>
        <w:rPr>
          <w:del w:id="1481" w:author="AbbVie19" w:date="2025-04-16T10:35:00Z"/>
          <w:szCs w:val="20"/>
        </w:rPr>
      </w:pPr>
    </w:p>
    <w:p w14:paraId="4AD56339" w14:textId="77777777" w:rsidR="00BC0E7E" w:rsidRPr="00BC0E7E" w:rsidRDefault="00944B8F" w:rsidP="00077477">
      <w:pPr>
        <w:keepNext/>
        <w:suppressAutoHyphens w:val="0"/>
        <w:outlineLvl w:val="1"/>
        <w:rPr>
          <w:del w:id="1482" w:author="AbbVie19" w:date="2025-04-16T10:35:00Z"/>
          <w:b/>
          <w:szCs w:val="20"/>
        </w:rPr>
      </w:pPr>
      <w:del w:id="1483" w:author="AbbVie19" w:date="2025-04-16T10:35:00Z">
        <w:r w:rsidRPr="00BC0E7E">
          <w:rPr>
            <w:b/>
            <w:szCs w:val="20"/>
          </w:rPr>
          <w:delText>5.1</w:delText>
        </w:r>
        <w:r w:rsidRPr="00BC0E7E">
          <w:rPr>
            <w:b/>
            <w:szCs w:val="20"/>
          </w:rPr>
          <w:tab/>
          <w:delText>Pharmacodynamic properties</w:delText>
        </w:r>
      </w:del>
    </w:p>
    <w:p w14:paraId="774C607D" w14:textId="77777777" w:rsidR="00BC0E7E" w:rsidRPr="00BC0E7E" w:rsidRDefault="00BC0E7E" w:rsidP="00077477">
      <w:pPr>
        <w:keepNext/>
        <w:rPr>
          <w:del w:id="1484" w:author="AbbVie19" w:date="2025-04-16T10:35:00Z"/>
          <w:szCs w:val="20"/>
        </w:rPr>
      </w:pPr>
    </w:p>
    <w:p w14:paraId="481E92FF" w14:textId="77777777" w:rsidR="00BC0E7E" w:rsidRPr="00BC0E7E" w:rsidRDefault="00944B8F" w:rsidP="00077477">
      <w:pPr>
        <w:keepNext/>
        <w:tabs>
          <w:tab w:val="clear" w:pos="562"/>
        </w:tabs>
        <w:rPr>
          <w:del w:id="1485" w:author="AbbVie19" w:date="2025-04-16T10:35:00Z"/>
        </w:rPr>
      </w:pPr>
      <w:del w:id="1486" w:author="AbbVie19" w:date="2025-04-16T10:35:00Z">
        <w:r w:rsidRPr="00BC0E7E">
          <w:delText>Pharmacotherapeutic group: Immunosuppressants, Tumour Necrosis Factor alpha (TNF-α) inhibitors. ATC code: L04AB04</w:delText>
        </w:r>
      </w:del>
    </w:p>
    <w:p w14:paraId="57FA1694" w14:textId="77777777" w:rsidR="00BC0E7E" w:rsidRPr="00BC0E7E" w:rsidRDefault="00BC0E7E" w:rsidP="00077477">
      <w:pPr>
        <w:keepNext/>
        <w:tabs>
          <w:tab w:val="clear" w:pos="562"/>
        </w:tabs>
        <w:rPr>
          <w:del w:id="1487" w:author="AbbVie19" w:date="2025-04-16T10:35:00Z"/>
        </w:rPr>
      </w:pPr>
    </w:p>
    <w:p w14:paraId="304112B8" w14:textId="77777777" w:rsidR="00BC0E7E" w:rsidRPr="00BC0E7E" w:rsidRDefault="00944B8F" w:rsidP="00077477">
      <w:pPr>
        <w:keepNext/>
        <w:rPr>
          <w:del w:id="1488" w:author="AbbVie19" w:date="2025-04-16T10:35:00Z"/>
          <w:szCs w:val="20"/>
          <w:u w:val="single"/>
        </w:rPr>
      </w:pPr>
      <w:del w:id="1489" w:author="AbbVie19" w:date="2025-04-16T10:35:00Z">
        <w:r w:rsidRPr="00BC0E7E">
          <w:rPr>
            <w:szCs w:val="20"/>
            <w:u w:val="single"/>
          </w:rPr>
          <w:delText>Mechanism of action</w:delText>
        </w:r>
      </w:del>
    </w:p>
    <w:p w14:paraId="4B77E659" w14:textId="77777777" w:rsidR="00BC0E7E" w:rsidRPr="00BC0E7E" w:rsidRDefault="00BC0E7E" w:rsidP="00BC0E7E">
      <w:pPr>
        <w:rPr>
          <w:del w:id="1490" w:author="AbbVie19" w:date="2025-04-16T10:35:00Z"/>
          <w:szCs w:val="20"/>
        </w:rPr>
      </w:pPr>
    </w:p>
    <w:p w14:paraId="51CCC570" w14:textId="77777777" w:rsidR="00BC0E7E" w:rsidRPr="00BC0E7E" w:rsidRDefault="00944B8F" w:rsidP="00BC0E7E">
      <w:pPr>
        <w:rPr>
          <w:del w:id="1491" w:author="AbbVie19" w:date="2025-04-16T10:35:00Z"/>
        </w:rPr>
      </w:pPr>
      <w:del w:id="1492" w:author="AbbVie19" w:date="2025-04-16T10:35:00Z">
        <w:r w:rsidRPr="00BC0E7E">
          <w:delText xml:space="preserve">Adalimumab binds specifically to TNF and neutralises the biological function of TNF by blocking its interaction with the p55 and p75 cell surface TNF receptors.  </w:delText>
        </w:r>
      </w:del>
    </w:p>
    <w:p w14:paraId="37BF431D" w14:textId="77777777" w:rsidR="00BC0E7E" w:rsidRPr="00BC0E7E" w:rsidRDefault="00BC0E7E" w:rsidP="00BC0E7E">
      <w:pPr>
        <w:rPr>
          <w:del w:id="1493" w:author="AbbVie19" w:date="2025-04-16T10:35:00Z"/>
        </w:rPr>
      </w:pPr>
    </w:p>
    <w:p w14:paraId="3F7E78D1" w14:textId="77777777" w:rsidR="00BC0E7E" w:rsidRPr="00BC0E7E" w:rsidRDefault="00944B8F" w:rsidP="00BC0E7E">
      <w:pPr>
        <w:rPr>
          <w:del w:id="1494" w:author="AbbVie19" w:date="2025-04-16T10:35:00Z"/>
        </w:rPr>
      </w:pPr>
      <w:del w:id="1495" w:author="AbbVie19" w:date="2025-04-16T10:35:00Z">
        <w:r w:rsidRPr="00BC0E7E">
          <w:delText>Adalimumab also modulates biological responses that are induced or regulated by TNF, including changes in the levels of adhesion molecules responsible for leukocyte migration (ELAM-1, VCAM-1, and ICAM-1 with an IC</w:delText>
        </w:r>
        <w:r w:rsidRPr="00BC0E7E">
          <w:rPr>
            <w:vertAlign w:val="subscript"/>
          </w:rPr>
          <w:delText>50</w:delText>
        </w:r>
        <w:r w:rsidRPr="00BC0E7E">
          <w:delText xml:space="preserve"> of</w:delText>
        </w:r>
        <w:r w:rsidR="005851B4">
          <w:delText xml:space="preserve"> </w:delText>
        </w:r>
        <w:r w:rsidRPr="00BC0E7E">
          <w:delText xml:space="preserve">0.1-0.2 nM). </w:delText>
        </w:r>
      </w:del>
    </w:p>
    <w:p w14:paraId="71EDB620" w14:textId="77777777" w:rsidR="00BC0E7E" w:rsidRPr="00BC0E7E" w:rsidRDefault="00BC0E7E" w:rsidP="00BC0E7E">
      <w:pPr>
        <w:rPr>
          <w:del w:id="1496" w:author="AbbVie19" w:date="2025-04-16T10:35:00Z"/>
        </w:rPr>
      </w:pPr>
    </w:p>
    <w:p w14:paraId="4770DF6A" w14:textId="77777777" w:rsidR="00BC0E7E" w:rsidRPr="00BC0E7E" w:rsidRDefault="00944B8F" w:rsidP="00BC0E7E">
      <w:pPr>
        <w:rPr>
          <w:del w:id="1497" w:author="AbbVie19" w:date="2025-04-16T10:35:00Z"/>
          <w:szCs w:val="20"/>
          <w:u w:val="single"/>
        </w:rPr>
      </w:pPr>
      <w:del w:id="1498" w:author="AbbVie19" w:date="2025-04-16T10:35:00Z">
        <w:r w:rsidRPr="00BC0E7E">
          <w:rPr>
            <w:szCs w:val="20"/>
            <w:u w:val="single"/>
          </w:rPr>
          <w:delText xml:space="preserve">Pharmacodynamic effects </w:delText>
        </w:r>
      </w:del>
    </w:p>
    <w:p w14:paraId="5037ADAA" w14:textId="77777777" w:rsidR="00BC0E7E" w:rsidRPr="00BC0E7E" w:rsidRDefault="00BC0E7E" w:rsidP="00BC0E7E">
      <w:pPr>
        <w:rPr>
          <w:del w:id="1499" w:author="AbbVie19" w:date="2025-04-16T10:35:00Z"/>
          <w:szCs w:val="20"/>
        </w:rPr>
      </w:pPr>
    </w:p>
    <w:p w14:paraId="030E2987" w14:textId="77777777" w:rsidR="00BC0E7E" w:rsidRPr="00BC0E7E" w:rsidRDefault="00944B8F" w:rsidP="00BC0E7E">
      <w:pPr>
        <w:tabs>
          <w:tab w:val="clear" w:pos="562"/>
        </w:tabs>
        <w:rPr>
          <w:del w:id="1500" w:author="AbbVie19" w:date="2025-04-16T10:35:00Z"/>
        </w:rPr>
      </w:pPr>
      <w:del w:id="1501" w:author="AbbVie19" w:date="2025-04-16T10:35:00Z">
        <w:r w:rsidRPr="00BC0E7E">
          <w:delText>After treatment with Humira, a rapid decrease in levels of acute phase reactants of inflammation (C</w:delText>
        </w:r>
        <w:r w:rsidRPr="00BC0E7E">
          <w:noBreakHyphen/>
          <w:delText>reactive protein (CRP) and erythrocyte sedimentation rate (ESR)) and serum cytokines (IL-6) was observed, compared to baseline in patients with rheumatoid arthritis. Serum levels of matrix metalloproteinases (MMP-1 and MMP-3) that produce tissue remodelling responsible for cartilage destruction were also decreased after Humira administration. Patients treated with Humira usually experienced improvement in haematological signs of chronic inflammation.</w:delText>
        </w:r>
      </w:del>
    </w:p>
    <w:p w14:paraId="515BE08E" w14:textId="77777777" w:rsidR="00BC0E7E" w:rsidRPr="00BC0E7E" w:rsidRDefault="00BC0E7E" w:rsidP="00BC0E7E">
      <w:pPr>
        <w:tabs>
          <w:tab w:val="clear" w:pos="562"/>
        </w:tabs>
        <w:rPr>
          <w:del w:id="1502" w:author="AbbVie19" w:date="2025-04-16T10:35:00Z"/>
        </w:rPr>
      </w:pPr>
    </w:p>
    <w:p w14:paraId="4CC2907D" w14:textId="77777777" w:rsidR="00BC0E7E" w:rsidRPr="00BC0E7E" w:rsidRDefault="00944B8F" w:rsidP="00BC0E7E">
      <w:pPr>
        <w:tabs>
          <w:tab w:val="clear" w:pos="562"/>
        </w:tabs>
        <w:rPr>
          <w:del w:id="1503" w:author="AbbVie19" w:date="2025-04-16T10:35:00Z"/>
        </w:rPr>
      </w:pPr>
      <w:del w:id="1504" w:author="AbbVie19" w:date="2025-04-16T10:35:00Z">
        <w:r w:rsidRPr="00BC0E7E">
          <w:delText>A rapid decrease in CRP levels was also observed in patients with polyarticular juvenile idiopathic arthritis, Crohn's disease, ulcerative colitis and hidradenitis suppurativa after treatment with Humira. In patients with Crohn’s disease, a reduction of the number of cells expressing inflammatory markers in the colon including a significant reduction of expression of TNFα was seen. Endoscopic studies in intestinal mucosa have shown evidence of mucosal healing in adalimumab treated patients.</w:delText>
        </w:r>
      </w:del>
    </w:p>
    <w:p w14:paraId="5F2DE147" w14:textId="77777777" w:rsidR="00BC0E7E" w:rsidRPr="00BC0E7E" w:rsidRDefault="00BC0E7E" w:rsidP="00BC0E7E">
      <w:pPr>
        <w:tabs>
          <w:tab w:val="clear" w:pos="562"/>
        </w:tabs>
        <w:rPr>
          <w:del w:id="1505" w:author="AbbVie19" w:date="2025-04-16T10:35:00Z"/>
        </w:rPr>
      </w:pPr>
    </w:p>
    <w:p w14:paraId="7E2840C6" w14:textId="77777777" w:rsidR="00BC0E7E" w:rsidRPr="00BC0E7E" w:rsidRDefault="00944B8F" w:rsidP="003F5ADF">
      <w:pPr>
        <w:keepNext/>
        <w:rPr>
          <w:del w:id="1506" w:author="AbbVie19" w:date="2025-04-16T10:35:00Z"/>
          <w:szCs w:val="22"/>
          <w:u w:val="single"/>
        </w:rPr>
      </w:pPr>
      <w:del w:id="1507" w:author="AbbVie19" w:date="2025-04-16T10:35:00Z">
        <w:r w:rsidRPr="00BC0E7E">
          <w:rPr>
            <w:szCs w:val="22"/>
            <w:u w:val="single"/>
          </w:rPr>
          <w:lastRenderedPageBreak/>
          <w:delText>Clinical efficacy and safety</w:delText>
        </w:r>
      </w:del>
    </w:p>
    <w:p w14:paraId="6949DFEB" w14:textId="77777777" w:rsidR="00BC0E7E" w:rsidRPr="00BC0E7E" w:rsidRDefault="00BC0E7E" w:rsidP="003F5ADF">
      <w:pPr>
        <w:keepNext/>
        <w:rPr>
          <w:del w:id="1508" w:author="AbbVie19" w:date="2025-04-16T10:35:00Z"/>
          <w:szCs w:val="20"/>
        </w:rPr>
      </w:pPr>
    </w:p>
    <w:p w14:paraId="52201B1A" w14:textId="77777777" w:rsidR="00BC0E7E" w:rsidRPr="00BC0E7E" w:rsidRDefault="00944B8F" w:rsidP="003F5ADF">
      <w:pPr>
        <w:keepNext/>
        <w:rPr>
          <w:del w:id="1509" w:author="AbbVie19" w:date="2025-04-16T10:35:00Z"/>
          <w:szCs w:val="20"/>
          <w:u w:val="single"/>
        </w:rPr>
      </w:pPr>
      <w:del w:id="1510" w:author="AbbVie19" w:date="2025-04-16T10:35:00Z">
        <w:r w:rsidRPr="00BC0E7E">
          <w:rPr>
            <w:i/>
            <w:szCs w:val="20"/>
          </w:rPr>
          <w:delText>Adults with rheumatoid arthritis</w:delText>
        </w:r>
      </w:del>
    </w:p>
    <w:p w14:paraId="34BCA164" w14:textId="77777777" w:rsidR="00BC0E7E" w:rsidRPr="00BC0E7E" w:rsidRDefault="00BC0E7E" w:rsidP="003F5ADF">
      <w:pPr>
        <w:keepNext/>
        <w:rPr>
          <w:del w:id="1511" w:author="AbbVie19" w:date="2025-04-16T10:35:00Z"/>
          <w:szCs w:val="20"/>
        </w:rPr>
      </w:pPr>
    </w:p>
    <w:p w14:paraId="43885737" w14:textId="77777777" w:rsidR="00BC0E7E" w:rsidRPr="00BC0E7E" w:rsidRDefault="00944B8F" w:rsidP="003F5ADF">
      <w:pPr>
        <w:keepNext/>
        <w:rPr>
          <w:del w:id="1512" w:author="AbbVie19" w:date="2025-04-16T10:35:00Z"/>
        </w:rPr>
      </w:pPr>
      <w:del w:id="1513" w:author="AbbVie19" w:date="2025-04-16T10:35:00Z">
        <w:r w:rsidRPr="00BC0E7E">
          <w:delText xml:space="preserve">Humira was evaluated in over 3,000 patients in all rheumatoid arthritis clinical trials. The efficacy and safety of Humira were assessed in five randomised, double-blind and well-controlled studies. Some patients were treated for up to 120 months duration. </w:delText>
        </w:r>
      </w:del>
    </w:p>
    <w:p w14:paraId="6086A34F" w14:textId="77777777" w:rsidR="00BC0E7E" w:rsidRPr="00BC0E7E" w:rsidRDefault="00BC0E7E" w:rsidP="00BC0E7E">
      <w:pPr>
        <w:rPr>
          <w:del w:id="1514" w:author="AbbVie19" w:date="2025-04-16T10:35:00Z"/>
        </w:rPr>
      </w:pPr>
    </w:p>
    <w:p w14:paraId="2833EEBC" w14:textId="77777777" w:rsidR="00BC0E7E" w:rsidRPr="00BC0E7E" w:rsidRDefault="00944B8F" w:rsidP="00BC0E7E">
      <w:pPr>
        <w:rPr>
          <w:del w:id="1515" w:author="AbbVie19" w:date="2025-04-16T10:35:00Z"/>
        </w:rPr>
      </w:pPr>
      <w:del w:id="1516" w:author="AbbVie19" w:date="2025-04-16T10:35:00Z">
        <w:r w:rsidRPr="00BC0E7E">
          <w:delText xml:space="preserve">RA study I evaluated 271 patients with moderately to severely active rheumatoid arthritis who were </w:delText>
        </w:r>
        <w:r w:rsidRPr="00BC0E7E">
          <w:rPr>
            <w:rFonts w:ascii="Symbol" w:eastAsia="Symbol" w:hAnsi="Symbol" w:cs="Symbol"/>
            <w:szCs w:val="22"/>
          </w:rPr>
          <w:sym w:font="Symbol" w:char="F0B3"/>
        </w:r>
        <w:r w:rsidRPr="00BC0E7E">
          <w:delText xml:space="preserve"> 18 years old, had failed therapy with at least one disease-modifying, anti rheumatic drug and had insufficient efficacy with methotrexate at doses of 12.5 to 25 mg (10 mg if methotrexate-intolerant) every week and whose methotrexate dose remained constant at 10 to 25 mg every week. Doses of 20, 40 or 80 mg of Humira or placebo were given every other week for 24 weeks. </w:delText>
        </w:r>
      </w:del>
    </w:p>
    <w:p w14:paraId="6B5A5E63" w14:textId="77777777" w:rsidR="00BC0E7E" w:rsidRPr="00BC0E7E" w:rsidRDefault="00BC0E7E" w:rsidP="00BC0E7E">
      <w:pPr>
        <w:rPr>
          <w:del w:id="1517" w:author="AbbVie19" w:date="2025-04-16T10:35:00Z"/>
        </w:rPr>
      </w:pPr>
    </w:p>
    <w:p w14:paraId="04E3EFBC" w14:textId="77777777" w:rsidR="00BC0E7E" w:rsidRPr="00BC0E7E" w:rsidRDefault="00944B8F" w:rsidP="00BC0E7E">
      <w:pPr>
        <w:rPr>
          <w:del w:id="1518" w:author="AbbVie19" w:date="2025-04-16T10:35:00Z"/>
        </w:rPr>
      </w:pPr>
      <w:del w:id="1519" w:author="AbbVie19" w:date="2025-04-16T10:35:00Z">
        <w:r w:rsidRPr="00BC0E7E">
          <w:delText xml:space="preserve">RA study II evaluated 544 patients with moderately to severely active rheumatoid arthritis who were </w:delText>
        </w:r>
        <w:r w:rsidRPr="00BC0E7E">
          <w:rPr>
            <w:rFonts w:ascii="Symbol" w:eastAsia="Symbol" w:hAnsi="Symbol" w:cs="Symbol"/>
            <w:szCs w:val="22"/>
          </w:rPr>
          <w:sym w:font="Symbol" w:char="F0B3"/>
        </w:r>
        <w:r w:rsidRPr="00BC0E7E">
          <w:delText> 18 years old and had failed therapy with at least one disease-modifying, anti-rheumatic drugs. Doses of 20 or 40 mg of Humira were given by subcutaneous injection every other week with placebo on alternative weeks or every week for 26 weeks; placebo was given every week for the same duration. No other disease-modifying anti-rheumatic drugs were allowed.</w:delText>
        </w:r>
      </w:del>
    </w:p>
    <w:p w14:paraId="3770A4D6" w14:textId="77777777" w:rsidR="00BC0E7E" w:rsidRPr="00BC0E7E" w:rsidRDefault="00BC0E7E" w:rsidP="00BC0E7E">
      <w:pPr>
        <w:rPr>
          <w:del w:id="1520" w:author="AbbVie19" w:date="2025-04-16T10:35:00Z"/>
        </w:rPr>
      </w:pPr>
    </w:p>
    <w:p w14:paraId="77707FA7" w14:textId="77777777" w:rsidR="00BC0E7E" w:rsidRPr="00BC0E7E" w:rsidRDefault="00944B8F" w:rsidP="00BC0E7E">
      <w:pPr>
        <w:rPr>
          <w:del w:id="1521" w:author="AbbVie19" w:date="2025-04-16T10:35:00Z"/>
        </w:rPr>
      </w:pPr>
      <w:del w:id="1522" w:author="AbbVie19" w:date="2025-04-16T10:35:00Z">
        <w:r w:rsidRPr="00BC0E7E">
          <w:delText xml:space="preserve">RA study III evaluated 619 patients with moderately to severely active rheumatoid arthritis who were </w:delText>
        </w:r>
        <w:r w:rsidRPr="00BC0E7E">
          <w:rPr>
            <w:rFonts w:ascii="Symbol" w:eastAsia="Symbol" w:hAnsi="Symbol" w:cs="Symbol"/>
            <w:szCs w:val="22"/>
          </w:rPr>
          <w:sym w:font="Symbol" w:char="F0B3"/>
        </w:r>
        <w:r w:rsidRPr="00BC0E7E">
          <w:delText> 18 years old, and who had an ineffective response to methotrexate at doses of 12.5 to 25 mg or have been intolerant to 10 mg of methotrexate every week. There were three groups in this study. The first received placebo injections every week for 52 weeks. The second received 20 mg of Humira every week for 52 weeks. The third group received 40 mg of Humira every other week with placebo injections on alternate weeks. Upon completion of the first 52 weeks, 457 patients enrolled in an open-label extension phase in which 40 mg of Humira/MTX was administered every other week up to 10 years.</w:delText>
        </w:r>
      </w:del>
    </w:p>
    <w:p w14:paraId="31DE28AC" w14:textId="77777777" w:rsidR="00BC0E7E" w:rsidRPr="00BC0E7E" w:rsidRDefault="00BC0E7E" w:rsidP="00BC0E7E">
      <w:pPr>
        <w:rPr>
          <w:del w:id="1523" w:author="AbbVie19" w:date="2025-04-16T10:35:00Z"/>
        </w:rPr>
      </w:pPr>
    </w:p>
    <w:p w14:paraId="32CB23D4" w14:textId="77777777" w:rsidR="00BC0E7E" w:rsidRPr="00BC0E7E" w:rsidRDefault="00944B8F" w:rsidP="00BC0E7E">
      <w:pPr>
        <w:rPr>
          <w:del w:id="1524" w:author="AbbVie19" w:date="2025-04-16T10:35:00Z"/>
        </w:rPr>
      </w:pPr>
      <w:del w:id="1525" w:author="AbbVie19" w:date="2025-04-16T10:35:00Z">
        <w:r w:rsidRPr="00BC0E7E">
          <w:delText xml:space="preserve">RA study IV primarily assessed safety in 636 patients with moderately to severely active rheumatoid arthritis who were </w:delText>
        </w:r>
        <w:r w:rsidRPr="00BC0E7E">
          <w:rPr>
            <w:rFonts w:ascii="Symbol" w:eastAsia="Symbol" w:hAnsi="Symbol" w:cs="Symbol"/>
            <w:szCs w:val="22"/>
          </w:rPr>
          <w:sym w:font="Symbol" w:char="F0B3"/>
        </w:r>
        <w:r w:rsidRPr="00BC0E7E">
          <w:delText> 18 years old. Patients were permitted to be either disease-modifying, anti</w:delText>
        </w:r>
        <w:r w:rsidRPr="00BC0E7E">
          <w:noBreakHyphen/>
          <w:delText xml:space="preserve">rheumatic drug-naïve or to remain on their pre-existing rheumatologic therapy provided that therapy was stable for a minimum of 28 days. These therapies include methotrexate, leflunomide, hydroxychloroquine, sulfasalazine and/or gold salts. Patients were randomised to 40 mg of Humira or placebo every other week for 24 weeks.  </w:delText>
        </w:r>
      </w:del>
    </w:p>
    <w:p w14:paraId="362A5196" w14:textId="77777777" w:rsidR="00BC0E7E" w:rsidRPr="00BC0E7E" w:rsidRDefault="00BC0E7E" w:rsidP="00BC0E7E">
      <w:pPr>
        <w:rPr>
          <w:del w:id="1526" w:author="AbbVie19" w:date="2025-04-16T10:35:00Z"/>
        </w:rPr>
      </w:pPr>
    </w:p>
    <w:p w14:paraId="1088AB9B" w14:textId="77777777" w:rsidR="00BC0E7E" w:rsidRPr="00BC0E7E" w:rsidRDefault="00944B8F" w:rsidP="00BC0E7E">
      <w:pPr>
        <w:rPr>
          <w:del w:id="1527" w:author="AbbVie19" w:date="2025-04-16T10:35:00Z"/>
        </w:rPr>
      </w:pPr>
      <w:del w:id="1528" w:author="AbbVie19" w:date="2025-04-16T10:35:00Z">
        <w:r w:rsidRPr="00BC0E7E">
          <w:delText>RA study V evaluated 799 methotrexate-naïve, adult patients with moderate to severely active early rheumatoid arthritis (mean disease duration less than 9 months). This study evaluated the efficacy of Humira 40 mg every other week/methotrexate combination therapy, Humira 40 mg every other week monotherapy and methotrexate monotherapy in reducing the signs and symptoms and rate of progression of joint damage in rheumatoid arthritis for 104 weeks. Upon completion of the first 104 weeks, 497 patients enrolled in an open-label extension phase in which 40 mg of Humira was administered every other week up to 10 years.</w:delText>
        </w:r>
      </w:del>
    </w:p>
    <w:p w14:paraId="662C110E" w14:textId="77777777" w:rsidR="00BC0E7E" w:rsidRPr="00BC0E7E" w:rsidRDefault="00BC0E7E" w:rsidP="00BC0E7E">
      <w:pPr>
        <w:rPr>
          <w:del w:id="1529" w:author="AbbVie19" w:date="2025-04-16T10:35:00Z"/>
        </w:rPr>
      </w:pPr>
    </w:p>
    <w:p w14:paraId="43972552" w14:textId="77777777" w:rsidR="00BC0E7E" w:rsidRPr="00BC0E7E" w:rsidRDefault="00944B8F" w:rsidP="00BC0E7E">
      <w:pPr>
        <w:rPr>
          <w:del w:id="1530" w:author="AbbVie19" w:date="2025-04-16T10:35:00Z"/>
        </w:rPr>
      </w:pPr>
      <w:del w:id="1531" w:author="AbbVie19" w:date="2025-04-16T10:35:00Z">
        <w:r w:rsidRPr="00BC0E7E">
          <w:delText xml:space="preserve">The primary end point in RA studies I, II and III and the secondary endpoint in RA study IV was the percent of patients who achieved an ACR 20 response at Week 24 or 26. The primary endpoint in RA study V was the percent of patients who achieved an ACR 50 response at Week 52. RA studies III and V had an additional primary endpoint at 52 weeks of retardation of disease progression (as detected by X-ray results). RA study III also had a primary endpoint of changes in quality of life. </w:delText>
        </w:r>
      </w:del>
    </w:p>
    <w:p w14:paraId="187F8F76" w14:textId="77777777" w:rsidR="00BC0E7E" w:rsidRPr="00BC0E7E" w:rsidRDefault="00BC0E7E" w:rsidP="00BC0E7E">
      <w:pPr>
        <w:rPr>
          <w:del w:id="1532" w:author="AbbVie19" w:date="2025-04-16T10:35:00Z"/>
        </w:rPr>
      </w:pPr>
    </w:p>
    <w:p w14:paraId="70AF5F15" w14:textId="77777777" w:rsidR="00BC0E7E" w:rsidRPr="00BC0E7E" w:rsidRDefault="00944B8F" w:rsidP="00BC0E7E">
      <w:pPr>
        <w:rPr>
          <w:del w:id="1533" w:author="AbbVie19" w:date="2025-04-16T10:35:00Z"/>
          <w:i/>
          <w:szCs w:val="20"/>
          <w:u w:val="single"/>
        </w:rPr>
      </w:pPr>
      <w:del w:id="1534" w:author="AbbVie19" w:date="2025-04-16T10:35:00Z">
        <w:r w:rsidRPr="00BC0E7E">
          <w:rPr>
            <w:i/>
            <w:szCs w:val="20"/>
            <w:u w:val="single"/>
          </w:rPr>
          <w:delText>ACR response</w:delText>
        </w:r>
      </w:del>
    </w:p>
    <w:p w14:paraId="12DF91D5" w14:textId="77777777" w:rsidR="00BC0E7E" w:rsidRPr="00BC0E7E" w:rsidRDefault="00BC0E7E" w:rsidP="00BC0E7E">
      <w:pPr>
        <w:rPr>
          <w:del w:id="1535" w:author="AbbVie19" w:date="2025-04-16T10:35:00Z"/>
          <w:szCs w:val="20"/>
        </w:rPr>
      </w:pPr>
    </w:p>
    <w:p w14:paraId="25EA4CC1" w14:textId="77777777" w:rsidR="00BC0E7E" w:rsidRPr="00BC0E7E" w:rsidRDefault="00944B8F" w:rsidP="00BC0E7E">
      <w:pPr>
        <w:rPr>
          <w:del w:id="1536" w:author="AbbVie19" w:date="2025-04-16T10:35:00Z"/>
        </w:rPr>
      </w:pPr>
      <w:del w:id="1537" w:author="AbbVie19" w:date="2025-04-16T10:35:00Z">
        <w:r w:rsidRPr="00BC0E7E">
          <w:delText xml:space="preserve">The percent of Humira-treated patients achieving ACR 20, 50 and 70 responses was consistent across RA studies I, II and III. The results for the 40 mg every other week dose are summarised in Table </w:delText>
        </w:r>
        <w:r w:rsidR="00EE7833">
          <w:delText>8</w:delText>
        </w:r>
        <w:r w:rsidRPr="00BC0E7E">
          <w:delText xml:space="preserve">. </w:delText>
        </w:r>
      </w:del>
    </w:p>
    <w:p w14:paraId="288F60AE" w14:textId="77777777" w:rsidR="00BC0E7E" w:rsidRPr="00BC0E7E" w:rsidRDefault="00BC0E7E" w:rsidP="00BC0E7E">
      <w:pPr>
        <w:keepNext/>
        <w:rPr>
          <w:del w:id="1538" w:author="AbbVie19" w:date="2025-04-16T10:35:00Z"/>
        </w:rPr>
      </w:pPr>
    </w:p>
    <w:tbl>
      <w:tblPr>
        <w:tblW w:w="9124" w:type="dxa"/>
        <w:tblInd w:w="98" w:type="dxa"/>
        <w:tblLayout w:type="fixed"/>
        <w:tblCellMar>
          <w:left w:w="0" w:type="dxa"/>
          <w:right w:w="0" w:type="dxa"/>
        </w:tblCellMar>
        <w:tblLook w:val="0000" w:firstRow="0" w:lastRow="0" w:firstColumn="0" w:lastColumn="0" w:noHBand="0" w:noVBand="0"/>
      </w:tblPr>
      <w:tblGrid>
        <w:gridCol w:w="1186"/>
        <w:gridCol w:w="1134"/>
        <w:gridCol w:w="1550"/>
        <w:gridCol w:w="1285"/>
        <w:gridCol w:w="1276"/>
        <w:gridCol w:w="1276"/>
        <w:gridCol w:w="1417"/>
      </w:tblGrid>
      <w:tr w:rsidR="00C6578C" w14:paraId="159E25A2" w14:textId="77777777" w:rsidTr="00171601">
        <w:trPr>
          <w:del w:id="1539" w:author="AbbVie19" w:date="2025-04-16T10:35:00Z"/>
        </w:trPr>
        <w:tc>
          <w:tcPr>
            <w:tcW w:w="9124" w:type="dxa"/>
            <w:gridSpan w:val="7"/>
          </w:tcPr>
          <w:p w14:paraId="1F7CC183"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1540" w:author="AbbVie19" w:date="2025-04-16T10:35:00Z"/>
                <w:b/>
                <w:szCs w:val="20"/>
              </w:rPr>
            </w:pPr>
            <w:del w:id="1541" w:author="AbbVie19" w:date="2025-04-16T10:35:00Z">
              <w:r w:rsidRPr="00BC0E7E">
                <w:rPr>
                  <w:b/>
                  <w:szCs w:val="20"/>
                </w:rPr>
                <w:delText xml:space="preserve">Table </w:delText>
              </w:r>
              <w:r w:rsidR="00EE7833">
                <w:rPr>
                  <w:b/>
                  <w:szCs w:val="20"/>
                </w:rPr>
                <w:delText>8</w:delText>
              </w:r>
              <w:r w:rsidRPr="00BC0E7E">
                <w:rPr>
                  <w:b/>
                  <w:szCs w:val="20"/>
                </w:rPr>
                <w:delText xml:space="preserve"> ACR Responses in Placebo-Controlled Trials</w:delText>
              </w:r>
            </w:del>
          </w:p>
          <w:p w14:paraId="10189150"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1542" w:author="AbbVie19" w:date="2025-04-16T10:35:00Z"/>
                <w:b/>
                <w:szCs w:val="20"/>
              </w:rPr>
            </w:pPr>
            <w:del w:id="1543" w:author="AbbVie19" w:date="2025-04-16T10:35:00Z">
              <w:r w:rsidRPr="00BC0E7E">
                <w:rPr>
                  <w:b/>
                  <w:szCs w:val="20"/>
                </w:rPr>
                <w:delText>(Percent of Patients)</w:delText>
              </w:r>
            </w:del>
          </w:p>
          <w:p w14:paraId="198B71EC" w14:textId="77777777" w:rsidR="00BC0E7E" w:rsidRPr="00BC0E7E" w:rsidRDefault="00BC0E7E" w:rsidP="00BC0E7E">
            <w:pPr>
              <w:keepNext/>
              <w:tabs>
                <w:tab w:val="clear" w:pos="562"/>
              </w:tabs>
              <w:suppressAutoHyphens w:val="0"/>
              <w:overflowPunct w:val="0"/>
              <w:autoSpaceDE w:val="0"/>
              <w:autoSpaceDN w:val="0"/>
              <w:adjustRightInd w:val="0"/>
              <w:jc w:val="center"/>
              <w:textAlignment w:val="baseline"/>
              <w:rPr>
                <w:del w:id="1544" w:author="AbbVie19" w:date="2025-04-16T10:35:00Z"/>
                <w:b/>
                <w:szCs w:val="20"/>
              </w:rPr>
            </w:pPr>
          </w:p>
        </w:tc>
      </w:tr>
      <w:tr w:rsidR="00C6578C" w14:paraId="13E9EA8E" w14:textId="77777777" w:rsidTr="00171601">
        <w:trPr>
          <w:cantSplit/>
          <w:del w:id="1545" w:author="AbbVie19" w:date="2025-04-16T10:35:00Z"/>
        </w:trPr>
        <w:tc>
          <w:tcPr>
            <w:tcW w:w="1186" w:type="dxa"/>
            <w:tcBorders>
              <w:top w:val="single" w:sz="6" w:space="0" w:color="auto"/>
              <w:right w:val="single" w:sz="6" w:space="0" w:color="auto"/>
            </w:tcBorders>
          </w:tcPr>
          <w:p w14:paraId="6F16627C" w14:textId="77777777" w:rsidR="00BC0E7E" w:rsidRPr="00BC0E7E" w:rsidRDefault="00944B8F" w:rsidP="00BC0E7E">
            <w:pPr>
              <w:keepNext/>
              <w:tabs>
                <w:tab w:val="clear" w:pos="562"/>
              </w:tabs>
              <w:overflowPunct w:val="0"/>
              <w:autoSpaceDE w:val="0"/>
              <w:autoSpaceDN w:val="0"/>
              <w:adjustRightInd w:val="0"/>
              <w:textAlignment w:val="baseline"/>
              <w:rPr>
                <w:del w:id="1546" w:author="AbbVie19" w:date="2025-04-16T10:35:00Z"/>
              </w:rPr>
            </w:pPr>
            <w:del w:id="1547" w:author="AbbVie19" w:date="2025-04-16T10:35:00Z">
              <w:r w:rsidRPr="00BC0E7E">
                <w:delText>Response</w:delText>
              </w:r>
            </w:del>
          </w:p>
        </w:tc>
        <w:tc>
          <w:tcPr>
            <w:tcW w:w="2684" w:type="dxa"/>
            <w:gridSpan w:val="2"/>
            <w:tcBorders>
              <w:top w:val="single" w:sz="6" w:space="0" w:color="auto"/>
              <w:left w:val="single" w:sz="6" w:space="0" w:color="auto"/>
              <w:bottom w:val="single" w:sz="6" w:space="0" w:color="auto"/>
              <w:right w:val="single" w:sz="6" w:space="0" w:color="auto"/>
            </w:tcBorders>
          </w:tcPr>
          <w:p w14:paraId="48CD1673" w14:textId="77777777" w:rsidR="00BC0E7E" w:rsidRPr="00BC0E7E" w:rsidRDefault="00944B8F" w:rsidP="00BC0E7E">
            <w:pPr>
              <w:keepNext/>
              <w:tabs>
                <w:tab w:val="clear" w:pos="562"/>
              </w:tabs>
              <w:overflowPunct w:val="0"/>
              <w:autoSpaceDE w:val="0"/>
              <w:autoSpaceDN w:val="0"/>
              <w:adjustRightInd w:val="0"/>
              <w:jc w:val="center"/>
              <w:textAlignment w:val="baseline"/>
              <w:rPr>
                <w:del w:id="1548" w:author="AbbVie19" w:date="2025-04-16T10:35:00Z"/>
              </w:rPr>
            </w:pPr>
            <w:del w:id="1549" w:author="AbbVie19" w:date="2025-04-16T10:35:00Z">
              <w:r w:rsidRPr="00BC0E7E">
                <w:delText>RA Study I</w:delText>
              </w:r>
              <w:r w:rsidRPr="00BC0E7E">
                <w:rPr>
                  <w:vertAlign w:val="superscript"/>
                </w:rPr>
                <w:delText>a</w:delText>
              </w:r>
              <w:r w:rsidRPr="00BC0E7E">
                <w:delText>**</w:delText>
              </w:r>
            </w:del>
          </w:p>
        </w:tc>
        <w:tc>
          <w:tcPr>
            <w:tcW w:w="2561" w:type="dxa"/>
            <w:gridSpan w:val="2"/>
            <w:tcBorders>
              <w:top w:val="single" w:sz="6" w:space="0" w:color="auto"/>
              <w:left w:val="single" w:sz="6" w:space="0" w:color="auto"/>
              <w:bottom w:val="single" w:sz="6" w:space="0" w:color="auto"/>
              <w:right w:val="single" w:sz="6" w:space="0" w:color="auto"/>
            </w:tcBorders>
          </w:tcPr>
          <w:p w14:paraId="7EE306BA" w14:textId="77777777" w:rsidR="00BC0E7E" w:rsidRPr="00BC0E7E" w:rsidRDefault="00944B8F" w:rsidP="00BC0E7E">
            <w:pPr>
              <w:keepNext/>
              <w:tabs>
                <w:tab w:val="clear" w:pos="562"/>
              </w:tabs>
              <w:overflowPunct w:val="0"/>
              <w:autoSpaceDE w:val="0"/>
              <w:autoSpaceDN w:val="0"/>
              <w:adjustRightInd w:val="0"/>
              <w:jc w:val="center"/>
              <w:textAlignment w:val="baseline"/>
              <w:rPr>
                <w:del w:id="1550" w:author="AbbVie19" w:date="2025-04-16T10:35:00Z"/>
              </w:rPr>
            </w:pPr>
            <w:del w:id="1551" w:author="AbbVie19" w:date="2025-04-16T10:35:00Z">
              <w:r w:rsidRPr="00BC0E7E">
                <w:delText>RA Study II</w:delText>
              </w:r>
              <w:r w:rsidRPr="00BC0E7E">
                <w:rPr>
                  <w:vertAlign w:val="superscript"/>
                </w:rPr>
                <w:delText>a</w:delText>
              </w:r>
              <w:r w:rsidRPr="00BC0E7E">
                <w:delText>**</w:delText>
              </w:r>
            </w:del>
          </w:p>
        </w:tc>
        <w:tc>
          <w:tcPr>
            <w:tcW w:w="2693" w:type="dxa"/>
            <w:gridSpan w:val="2"/>
            <w:tcBorders>
              <w:top w:val="single" w:sz="6" w:space="0" w:color="auto"/>
              <w:left w:val="single" w:sz="6" w:space="0" w:color="auto"/>
              <w:bottom w:val="single" w:sz="6" w:space="0" w:color="auto"/>
            </w:tcBorders>
          </w:tcPr>
          <w:p w14:paraId="6685FC50" w14:textId="77777777" w:rsidR="00BC0E7E" w:rsidRPr="00BC0E7E" w:rsidRDefault="00944B8F" w:rsidP="00BC0E7E">
            <w:pPr>
              <w:keepNext/>
              <w:tabs>
                <w:tab w:val="clear" w:pos="562"/>
              </w:tabs>
              <w:overflowPunct w:val="0"/>
              <w:autoSpaceDE w:val="0"/>
              <w:autoSpaceDN w:val="0"/>
              <w:adjustRightInd w:val="0"/>
              <w:jc w:val="center"/>
              <w:textAlignment w:val="baseline"/>
              <w:rPr>
                <w:del w:id="1552" w:author="AbbVie19" w:date="2025-04-16T10:35:00Z"/>
              </w:rPr>
            </w:pPr>
            <w:del w:id="1553" w:author="AbbVie19" w:date="2025-04-16T10:35:00Z">
              <w:r w:rsidRPr="00BC0E7E">
                <w:delText>RA Study III</w:delText>
              </w:r>
              <w:r w:rsidRPr="00BC0E7E">
                <w:rPr>
                  <w:vertAlign w:val="superscript"/>
                </w:rPr>
                <w:delText>a</w:delText>
              </w:r>
              <w:r w:rsidRPr="00BC0E7E">
                <w:delText>**</w:delText>
              </w:r>
            </w:del>
          </w:p>
          <w:p w14:paraId="3D2D74E3" w14:textId="77777777" w:rsidR="00BC0E7E" w:rsidRPr="00BC0E7E" w:rsidRDefault="00BC0E7E" w:rsidP="00BC0E7E">
            <w:pPr>
              <w:keepNext/>
              <w:tabs>
                <w:tab w:val="clear" w:pos="562"/>
              </w:tabs>
              <w:overflowPunct w:val="0"/>
              <w:autoSpaceDE w:val="0"/>
              <w:autoSpaceDN w:val="0"/>
              <w:adjustRightInd w:val="0"/>
              <w:jc w:val="center"/>
              <w:textAlignment w:val="baseline"/>
              <w:rPr>
                <w:del w:id="1554" w:author="AbbVie19" w:date="2025-04-16T10:35:00Z"/>
              </w:rPr>
            </w:pPr>
          </w:p>
        </w:tc>
      </w:tr>
      <w:tr w:rsidR="00C6578C" w14:paraId="7A6AE7F9" w14:textId="77777777" w:rsidTr="00171601">
        <w:trPr>
          <w:cantSplit/>
          <w:del w:id="1555" w:author="AbbVie19" w:date="2025-04-16T10:35:00Z"/>
        </w:trPr>
        <w:tc>
          <w:tcPr>
            <w:tcW w:w="1186" w:type="dxa"/>
            <w:tcBorders>
              <w:bottom w:val="single" w:sz="6" w:space="0" w:color="auto"/>
              <w:right w:val="single" w:sz="6" w:space="0" w:color="auto"/>
            </w:tcBorders>
          </w:tcPr>
          <w:p w14:paraId="0FD80502" w14:textId="77777777" w:rsidR="00BC0E7E" w:rsidRPr="00BC0E7E" w:rsidRDefault="00BC0E7E" w:rsidP="00BC0E7E">
            <w:pPr>
              <w:keepNext/>
              <w:tabs>
                <w:tab w:val="clear" w:pos="562"/>
              </w:tabs>
              <w:overflowPunct w:val="0"/>
              <w:autoSpaceDE w:val="0"/>
              <w:autoSpaceDN w:val="0"/>
              <w:adjustRightInd w:val="0"/>
              <w:textAlignment w:val="baseline"/>
              <w:rPr>
                <w:del w:id="1556" w:author="AbbVie19" w:date="2025-04-16T10:35:00Z"/>
              </w:rPr>
            </w:pPr>
          </w:p>
        </w:tc>
        <w:tc>
          <w:tcPr>
            <w:tcW w:w="1134" w:type="dxa"/>
            <w:tcBorders>
              <w:top w:val="single" w:sz="6" w:space="0" w:color="auto"/>
              <w:left w:val="single" w:sz="6" w:space="0" w:color="auto"/>
              <w:bottom w:val="single" w:sz="6" w:space="0" w:color="auto"/>
            </w:tcBorders>
          </w:tcPr>
          <w:p w14:paraId="6D44D2C6" w14:textId="77777777" w:rsidR="00BC0E7E" w:rsidRPr="00BC0E7E" w:rsidRDefault="00944B8F" w:rsidP="00BC0E7E">
            <w:pPr>
              <w:keepNext/>
              <w:tabs>
                <w:tab w:val="clear" w:pos="562"/>
              </w:tabs>
              <w:overflowPunct w:val="0"/>
              <w:autoSpaceDE w:val="0"/>
              <w:autoSpaceDN w:val="0"/>
              <w:adjustRightInd w:val="0"/>
              <w:jc w:val="center"/>
              <w:textAlignment w:val="baseline"/>
              <w:rPr>
                <w:del w:id="1557" w:author="AbbVie19" w:date="2025-04-16T10:35:00Z"/>
              </w:rPr>
            </w:pPr>
            <w:del w:id="1558" w:author="AbbVie19" w:date="2025-04-16T10:35:00Z">
              <w:r w:rsidRPr="00BC0E7E">
                <w:delText>Placebo/ MTX</w:delText>
              </w:r>
              <w:r w:rsidRPr="00BC0E7E">
                <w:rPr>
                  <w:vertAlign w:val="superscript"/>
                </w:rPr>
                <w:delText>c</w:delText>
              </w:r>
            </w:del>
          </w:p>
          <w:p w14:paraId="0456E6DA" w14:textId="77777777" w:rsidR="00BC0E7E" w:rsidRPr="00BC0E7E" w:rsidRDefault="00944B8F" w:rsidP="00BC0E7E">
            <w:pPr>
              <w:keepNext/>
              <w:tabs>
                <w:tab w:val="clear" w:pos="562"/>
              </w:tabs>
              <w:overflowPunct w:val="0"/>
              <w:autoSpaceDE w:val="0"/>
              <w:autoSpaceDN w:val="0"/>
              <w:adjustRightInd w:val="0"/>
              <w:jc w:val="center"/>
              <w:textAlignment w:val="baseline"/>
              <w:rPr>
                <w:del w:id="1559" w:author="AbbVie19" w:date="2025-04-16T10:35:00Z"/>
              </w:rPr>
            </w:pPr>
            <w:del w:id="1560" w:author="AbbVie19" w:date="2025-04-16T10:35:00Z">
              <w:r w:rsidRPr="00BC0E7E">
                <w:delText>n=60</w:delText>
              </w:r>
            </w:del>
          </w:p>
        </w:tc>
        <w:tc>
          <w:tcPr>
            <w:tcW w:w="1550" w:type="dxa"/>
            <w:tcBorders>
              <w:top w:val="single" w:sz="6" w:space="0" w:color="auto"/>
              <w:bottom w:val="single" w:sz="6" w:space="0" w:color="auto"/>
              <w:right w:val="single" w:sz="6" w:space="0" w:color="auto"/>
            </w:tcBorders>
          </w:tcPr>
          <w:p w14:paraId="14E2E27C" w14:textId="77777777" w:rsidR="00BC0E7E" w:rsidRPr="00BC0E7E" w:rsidRDefault="00944B8F" w:rsidP="00BC0E7E">
            <w:pPr>
              <w:keepNext/>
              <w:tabs>
                <w:tab w:val="clear" w:pos="562"/>
              </w:tabs>
              <w:overflowPunct w:val="0"/>
              <w:autoSpaceDE w:val="0"/>
              <w:autoSpaceDN w:val="0"/>
              <w:adjustRightInd w:val="0"/>
              <w:jc w:val="center"/>
              <w:textAlignment w:val="baseline"/>
              <w:rPr>
                <w:del w:id="1561" w:author="AbbVie19" w:date="2025-04-16T10:35:00Z"/>
              </w:rPr>
            </w:pPr>
            <w:del w:id="1562" w:author="AbbVie19" w:date="2025-04-16T10:35:00Z">
              <w:r w:rsidRPr="00BC0E7E">
                <w:delText>Humira</w:delText>
              </w:r>
              <w:r w:rsidRPr="00BC0E7E">
                <w:rPr>
                  <w:vertAlign w:val="superscript"/>
                </w:rPr>
                <w:delText>b</w:delText>
              </w:r>
              <w:r w:rsidRPr="00BC0E7E">
                <w:delText>/ MTX</w:delText>
              </w:r>
              <w:r w:rsidRPr="00BC0E7E">
                <w:rPr>
                  <w:vertAlign w:val="superscript"/>
                </w:rPr>
                <w:delText>c</w:delText>
              </w:r>
            </w:del>
          </w:p>
          <w:p w14:paraId="5F1765BE" w14:textId="77777777" w:rsidR="00BC0E7E" w:rsidRPr="00762FA7" w:rsidRDefault="00944B8F" w:rsidP="00BC0E7E">
            <w:pPr>
              <w:keepNext/>
              <w:tabs>
                <w:tab w:val="clear" w:pos="562"/>
              </w:tabs>
              <w:overflowPunct w:val="0"/>
              <w:autoSpaceDE w:val="0"/>
              <w:autoSpaceDN w:val="0"/>
              <w:adjustRightInd w:val="0"/>
              <w:jc w:val="center"/>
              <w:textAlignment w:val="baseline"/>
              <w:rPr>
                <w:del w:id="1563" w:author="AbbVie19" w:date="2025-04-16T10:35:00Z"/>
                <w:lang w:val="fr-FR"/>
              </w:rPr>
            </w:pPr>
            <w:del w:id="1564" w:author="AbbVie19" w:date="2025-04-16T10:35:00Z">
              <w:r w:rsidRPr="00762FA7">
                <w:rPr>
                  <w:lang w:val="fr-FR"/>
                </w:rPr>
                <w:delText>n=63</w:delText>
              </w:r>
            </w:del>
          </w:p>
        </w:tc>
        <w:tc>
          <w:tcPr>
            <w:tcW w:w="1285" w:type="dxa"/>
            <w:tcBorders>
              <w:top w:val="single" w:sz="6" w:space="0" w:color="auto"/>
              <w:left w:val="single" w:sz="6" w:space="0" w:color="auto"/>
              <w:bottom w:val="single" w:sz="6" w:space="0" w:color="auto"/>
            </w:tcBorders>
          </w:tcPr>
          <w:p w14:paraId="1FA71ACB" w14:textId="77777777" w:rsidR="00BC0E7E" w:rsidRPr="00762FA7" w:rsidRDefault="00944B8F" w:rsidP="00BC0E7E">
            <w:pPr>
              <w:keepNext/>
              <w:tabs>
                <w:tab w:val="clear" w:pos="562"/>
              </w:tabs>
              <w:overflowPunct w:val="0"/>
              <w:autoSpaceDE w:val="0"/>
              <w:autoSpaceDN w:val="0"/>
              <w:adjustRightInd w:val="0"/>
              <w:jc w:val="center"/>
              <w:textAlignment w:val="baseline"/>
              <w:rPr>
                <w:del w:id="1565" w:author="AbbVie19" w:date="2025-04-16T10:35:00Z"/>
                <w:lang w:val="fr-FR"/>
              </w:rPr>
            </w:pPr>
            <w:del w:id="1566" w:author="AbbVie19" w:date="2025-04-16T10:35:00Z">
              <w:r w:rsidRPr="00762FA7">
                <w:rPr>
                  <w:lang w:val="fr-FR"/>
                </w:rPr>
                <w:delText>Placebo</w:delText>
              </w:r>
            </w:del>
          </w:p>
          <w:p w14:paraId="68BB9F62" w14:textId="77777777" w:rsidR="00BC0E7E" w:rsidRPr="00762FA7" w:rsidRDefault="00944B8F" w:rsidP="00BC0E7E">
            <w:pPr>
              <w:keepNext/>
              <w:tabs>
                <w:tab w:val="clear" w:pos="562"/>
              </w:tabs>
              <w:overflowPunct w:val="0"/>
              <w:autoSpaceDE w:val="0"/>
              <w:autoSpaceDN w:val="0"/>
              <w:adjustRightInd w:val="0"/>
              <w:jc w:val="center"/>
              <w:textAlignment w:val="baseline"/>
              <w:rPr>
                <w:del w:id="1567" w:author="AbbVie19" w:date="2025-04-16T10:35:00Z"/>
                <w:lang w:val="fr-FR"/>
              </w:rPr>
            </w:pPr>
            <w:del w:id="1568" w:author="AbbVie19" w:date="2025-04-16T10:35:00Z">
              <w:r w:rsidRPr="00762FA7">
                <w:rPr>
                  <w:lang w:val="fr-FR"/>
                </w:rPr>
                <w:delText>n=110</w:delText>
              </w:r>
            </w:del>
          </w:p>
        </w:tc>
        <w:tc>
          <w:tcPr>
            <w:tcW w:w="1276" w:type="dxa"/>
            <w:tcBorders>
              <w:top w:val="single" w:sz="6" w:space="0" w:color="auto"/>
              <w:bottom w:val="single" w:sz="6" w:space="0" w:color="auto"/>
              <w:right w:val="single" w:sz="6" w:space="0" w:color="auto"/>
            </w:tcBorders>
          </w:tcPr>
          <w:p w14:paraId="00DE50F1" w14:textId="77777777" w:rsidR="00BC0E7E" w:rsidRPr="00762FA7" w:rsidRDefault="00944B8F" w:rsidP="00BC0E7E">
            <w:pPr>
              <w:keepNext/>
              <w:tabs>
                <w:tab w:val="clear" w:pos="562"/>
              </w:tabs>
              <w:overflowPunct w:val="0"/>
              <w:autoSpaceDE w:val="0"/>
              <w:autoSpaceDN w:val="0"/>
              <w:adjustRightInd w:val="0"/>
              <w:jc w:val="center"/>
              <w:textAlignment w:val="baseline"/>
              <w:rPr>
                <w:del w:id="1569" w:author="AbbVie19" w:date="2025-04-16T10:35:00Z"/>
                <w:lang w:val="fr-FR"/>
              </w:rPr>
            </w:pPr>
            <w:del w:id="1570" w:author="AbbVie19" w:date="2025-04-16T10:35:00Z">
              <w:r w:rsidRPr="00762FA7">
                <w:rPr>
                  <w:lang w:val="fr-FR"/>
                </w:rPr>
                <w:delText>Humira</w:delText>
              </w:r>
              <w:r w:rsidRPr="00762FA7">
                <w:rPr>
                  <w:vertAlign w:val="superscript"/>
                  <w:lang w:val="fr-FR"/>
                </w:rPr>
                <w:delText>b</w:delText>
              </w:r>
            </w:del>
          </w:p>
          <w:p w14:paraId="6BD3D4F6" w14:textId="77777777" w:rsidR="00BC0E7E" w:rsidRPr="00762FA7" w:rsidRDefault="00944B8F" w:rsidP="00BC0E7E">
            <w:pPr>
              <w:keepNext/>
              <w:tabs>
                <w:tab w:val="clear" w:pos="562"/>
              </w:tabs>
              <w:overflowPunct w:val="0"/>
              <w:autoSpaceDE w:val="0"/>
              <w:autoSpaceDN w:val="0"/>
              <w:adjustRightInd w:val="0"/>
              <w:jc w:val="center"/>
              <w:textAlignment w:val="baseline"/>
              <w:rPr>
                <w:del w:id="1571" w:author="AbbVie19" w:date="2025-04-16T10:35:00Z"/>
                <w:lang w:val="fr-FR"/>
              </w:rPr>
            </w:pPr>
            <w:del w:id="1572" w:author="AbbVie19" w:date="2025-04-16T10:35:00Z">
              <w:r w:rsidRPr="00762FA7">
                <w:rPr>
                  <w:lang w:val="fr-FR"/>
                </w:rPr>
                <w:delText>n=113</w:delText>
              </w:r>
            </w:del>
          </w:p>
        </w:tc>
        <w:tc>
          <w:tcPr>
            <w:tcW w:w="1276" w:type="dxa"/>
            <w:tcBorders>
              <w:top w:val="single" w:sz="6" w:space="0" w:color="auto"/>
              <w:left w:val="single" w:sz="6" w:space="0" w:color="auto"/>
              <w:bottom w:val="single" w:sz="6" w:space="0" w:color="auto"/>
            </w:tcBorders>
          </w:tcPr>
          <w:p w14:paraId="389DD00A" w14:textId="77777777" w:rsidR="00BC0E7E" w:rsidRPr="00762FA7" w:rsidRDefault="00944B8F" w:rsidP="00BC0E7E">
            <w:pPr>
              <w:keepNext/>
              <w:tabs>
                <w:tab w:val="clear" w:pos="562"/>
              </w:tabs>
              <w:overflowPunct w:val="0"/>
              <w:autoSpaceDE w:val="0"/>
              <w:autoSpaceDN w:val="0"/>
              <w:adjustRightInd w:val="0"/>
              <w:jc w:val="center"/>
              <w:textAlignment w:val="baseline"/>
              <w:rPr>
                <w:del w:id="1573" w:author="AbbVie19" w:date="2025-04-16T10:35:00Z"/>
                <w:lang w:val="fr-FR"/>
              </w:rPr>
            </w:pPr>
            <w:del w:id="1574" w:author="AbbVie19" w:date="2025-04-16T10:35:00Z">
              <w:r w:rsidRPr="00762FA7">
                <w:rPr>
                  <w:lang w:val="fr-FR"/>
                </w:rPr>
                <w:delText>Placebo/ MTX</w:delText>
              </w:r>
              <w:r w:rsidRPr="00762FA7">
                <w:rPr>
                  <w:vertAlign w:val="superscript"/>
                  <w:lang w:val="fr-FR"/>
                </w:rPr>
                <w:delText>c</w:delText>
              </w:r>
            </w:del>
          </w:p>
          <w:p w14:paraId="1942D997" w14:textId="77777777" w:rsidR="00BC0E7E" w:rsidRPr="00762FA7" w:rsidRDefault="00944B8F" w:rsidP="00BC0E7E">
            <w:pPr>
              <w:keepNext/>
              <w:tabs>
                <w:tab w:val="clear" w:pos="562"/>
              </w:tabs>
              <w:overflowPunct w:val="0"/>
              <w:autoSpaceDE w:val="0"/>
              <w:autoSpaceDN w:val="0"/>
              <w:adjustRightInd w:val="0"/>
              <w:jc w:val="center"/>
              <w:textAlignment w:val="baseline"/>
              <w:rPr>
                <w:del w:id="1575" w:author="AbbVie19" w:date="2025-04-16T10:35:00Z"/>
                <w:lang w:val="fr-FR"/>
              </w:rPr>
            </w:pPr>
            <w:del w:id="1576" w:author="AbbVie19" w:date="2025-04-16T10:35:00Z">
              <w:r w:rsidRPr="00762FA7">
                <w:rPr>
                  <w:lang w:val="fr-FR"/>
                </w:rPr>
                <w:delText>n=200</w:delText>
              </w:r>
            </w:del>
          </w:p>
        </w:tc>
        <w:tc>
          <w:tcPr>
            <w:tcW w:w="1417" w:type="dxa"/>
            <w:tcBorders>
              <w:top w:val="single" w:sz="6" w:space="0" w:color="auto"/>
              <w:bottom w:val="single" w:sz="6" w:space="0" w:color="auto"/>
            </w:tcBorders>
          </w:tcPr>
          <w:p w14:paraId="34A2340C" w14:textId="77777777" w:rsidR="00BC0E7E" w:rsidRPr="00762FA7" w:rsidRDefault="00944B8F" w:rsidP="00BC0E7E">
            <w:pPr>
              <w:keepNext/>
              <w:tabs>
                <w:tab w:val="clear" w:pos="562"/>
              </w:tabs>
              <w:overflowPunct w:val="0"/>
              <w:autoSpaceDE w:val="0"/>
              <w:autoSpaceDN w:val="0"/>
              <w:adjustRightInd w:val="0"/>
              <w:jc w:val="center"/>
              <w:textAlignment w:val="baseline"/>
              <w:rPr>
                <w:del w:id="1577" w:author="AbbVie19" w:date="2025-04-16T10:35:00Z"/>
                <w:lang w:val="fr-FR"/>
              </w:rPr>
            </w:pPr>
            <w:del w:id="1578" w:author="AbbVie19" w:date="2025-04-16T10:35:00Z">
              <w:r w:rsidRPr="00762FA7">
                <w:rPr>
                  <w:lang w:val="fr-FR"/>
                </w:rPr>
                <w:delText>Humira</w:delText>
              </w:r>
              <w:r w:rsidRPr="00762FA7">
                <w:rPr>
                  <w:vertAlign w:val="superscript"/>
                  <w:lang w:val="fr-FR"/>
                </w:rPr>
                <w:delText>b</w:delText>
              </w:r>
              <w:r w:rsidRPr="00762FA7">
                <w:rPr>
                  <w:lang w:val="fr-FR"/>
                </w:rPr>
                <w:delText>/ MTX</w:delText>
              </w:r>
              <w:r w:rsidRPr="00762FA7">
                <w:rPr>
                  <w:vertAlign w:val="superscript"/>
                  <w:lang w:val="fr-FR"/>
                </w:rPr>
                <w:delText>c</w:delText>
              </w:r>
            </w:del>
          </w:p>
          <w:p w14:paraId="4DB3810E" w14:textId="77777777" w:rsidR="00BC0E7E" w:rsidRPr="00BC0E7E" w:rsidRDefault="00944B8F" w:rsidP="00BC0E7E">
            <w:pPr>
              <w:keepNext/>
              <w:tabs>
                <w:tab w:val="clear" w:pos="562"/>
              </w:tabs>
              <w:overflowPunct w:val="0"/>
              <w:autoSpaceDE w:val="0"/>
              <w:autoSpaceDN w:val="0"/>
              <w:adjustRightInd w:val="0"/>
              <w:jc w:val="center"/>
              <w:textAlignment w:val="baseline"/>
              <w:rPr>
                <w:del w:id="1579" w:author="AbbVie19" w:date="2025-04-16T10:35:00Z"/>
              </w:rPr>
            </w:pPr>
            <w:del w:id="1580" w:author="AbbVie19" w:date="2025-04-16T10:35:00Z">
              <w:r w:rsidRPr="00BC0E7E">
                <w:delText>n=207</w:delText>
              </w:r>
            </w:del>
          </w:p>
        </w:tc>
      </w:tr>
      <w:tr w:rsidR="00C6578C" w14:paraId="454A1288" w14:textId="77777777" w:rsidTr="00171601">
        <w:trPr>
          <w:cantSplit/>
          <w:del w:id="1581" w:author="AbbVie19" w:date="2025-04-16T10:35:00Z"/>
        </w:trPr>
        <w:tc>
          <w:tcPr>
            <w:tcW w:w="1186" w:type="dxa"/>
            <w:tcBorders>
              <w:right w:val="single" w:sz="6" w:space="0" w:color="auto"/>
            </w:tcBorders>
          </w:tcPr>
          <w:p w14:paraId="72523F41" w14:textId="77777777" w:rsidR="00BC0E7E" w:rsidRPr="00BC0E7E" w:rsidRDefault="00944B8F" w:rsidP="00BC0E7E">
            <w:pPr>
              <w:keepNext/>
              <w:tabs>
                <w:tab w:val="clear" w:pos="562"/>
                <w:tab w:val="left" w:pos="144"/>
              </w:tabs>
              <w:overflowPunct w:val="0"/>
              <w:autoSpaceDE w:val="0"/>
              <w:autoSpaceDN w:val="0"/>
              <w:adjustRightInd w:val="0"/>
              <w:textAlignment w:val="baseline"/>
              <w:rPr>
                <w:del w:id="1582" w:author="AbbVie19" w:date="2025-04-16T10:35:00Z"/>
              </w:rPr>
            </w:pPr>
            <w:del w:id="1583" w:author="AbbVie19" w:date="2025-04-16T10:35:00Z">
              <w:r w:rsidRPr="00BC0E7E">
                <w:delText>ACR 20</w:delText>
              </w:r>
            </w:del>
          </w:p>
        </w:tc>
        <w:tc>
          <w:tcPr>
            <w:tcW w:w="1134" w:type="dxa"/>
            <w:tcBorders>
              <w:left w:val="single" w:sz="6" w:space="0" w:color="auto"/>
            </w:tcBorders>
          </w:tcPr>
          <w:p w14:paraId="58518DEF" w14:textId="77777777" w:rsidR="00BC0E7E" w:rsidRPr="00BC0E7E" w:rsidRDefault="00BC0E7E" w:rsidP="00BC0E7E">
            <w:pPr>
              <w:keepNext/>
              <w:tabs>
                <w:tab w:val="clear" w:pos="562"/>
              </w:tabs>
              <w:overflowPunct w:val="0"/>
              <w:autoSpaceDE w:val="0"/>
              <w:autoSpaceDN w:val="0"/>
              <w:adjustRightInd w:val="0"/>
              <w:textAlignment w:val="baseline"/>
              <w:rPr>
                <w:del w:id="1584" w:author="AbbVie19" w:date="2025-04-16T10:35:00Z"/>
              </w:rPr>
            </w:pPr>
          </w:p>
        </w:tc>
        <w:tc>
          <w:tcPr>
            <w:tcW w:w="1550" w:type="dxa"/>
            <w:tcBorders>
              <w:right w:val="single" w:sz="6" w:space="0" w:color="auto"/>
            </w:tcBorders>
          </w:tcPr>
          <w:p w14:paraId="4BBEE443" w14:textId="77777777" w:rsidR="00BC0E7E" w:rsidRPr="00BC0E7E" w:rsidRDefault="00BC0E7E" w:rsidP="00BC0E7E">
            <w:pPr>
              <w:keepNext/>
              <w:tabs>
                <w:tab w:val="clear" w:pos="562"/>
              </w:tabs>
              <w:overflowPunct w:val="0"/>
              <w:autoSpaceDE w:val="0"/>
              <w:autoSpaceDN w:val="0"/>
              <w:adjustRightInd w:val="0"/>
              <w:textAlignment w:val="baseline"/>
              <w:rPr>
                <w:del w:id="1585" w:author="AbbVie19" w:date="2025-04-16T10:35:00Z"/>
              </w:rPr>
            </w:pPr>
          </w:p>
        </w:tc>
        <w:tc>
          <w:tcPr>
            <w:tcW w:w="1285" w:type="dxa"/>
            <w:tcBorders>
              <w:left w:val="single" w:sz="6" w:space="0" w:color="auto"/>
            </w:tcBorders>
          </w:tcPr>
          <w:p w14:paraId="7547C164" w14:textId="77777777" w:rsidR="00BC0E7E" w:rsidRPr="00BC0E7E" w:rsidRDefault="00BC0E7E" w:rsidP="00BC0E7E">
            <w:pPr>
              <w:keepNext/>
              <w:tabs>
                <w:tab w:val="clear" w:pos="562"/>
              </w:tabs>
              <w:overflowPunct w:val="0"/>
              <w:autoSpaceDE w:val="0"/>
              <w:autoSpaceDN w:val="0"/>
              <w:adjustRightInd w:val="0"/>
              <w:textAlignment w:val="baseline"/>
              <w:rPr>
                <w:del w:id="1586" w:author="AbbVie19" w:date="2025-04-16T10:35:00Z"/>
              </w:rPr>
            </w:pPr>
          </w:p>
        </w:tc>
        <w:tc>
          <w:tcPr>
            <w:tcW w:w="1276" w:type="dxa"/>
            <w:tcBorders>
              <w:right w:val="single" w:sz="6" w:space="0" w:color="auto"/>
            </w:tcBorders>
          </w:tcPr>
          <w:p w14:paraId="5CD31E79" w14:textId="77777777" w:rsidR="00BC0E7E" w:rsidRPr="00BC0E7E" w:rsidRDefault="00BC0E7E" w:rsidP="00BC0E7E">
            <w:pPr>
              <w:keepNext/>
              <w:tabs>
                <w:tab w:val="clear" w:pos="562"/>
              </w:tabs>
              <w:overflowPunct w:val="0"/>
              <w:autoSpaceDE w:val="0"/>
              <w:autoSpaceDN w:val="0"/>
              <w:adjustRightInd w:val="0"/>
              <w:textAlignment w:val="baseline"/>
              <w:rPr>
                <w:del w:id="1587" w:author="AbbVie19" w:date="2025-04-16T10:35:00Z"/>
              </w:rPr>
            </w:pPr>
          </w:p>
        </w:tc>
        <w:tc>
          <w:tcPr>
            <w:tcW w:w="1276" w:type="dxa"/>
            <w:tcBorders>
              <w:top w:val="single" w:sz="6" w:space="0" w:color="auto"/>
              <w:left w:val="single" w:sz="6" w:space="0" w:color="auto"/>
            </w:tcBorders>
          </w:tcPr>
          <w:p w14:paraId="2A44FF9F" w14:textId="77777777" w:rsidR="00BC0E7E" w:rsidRPr="00BC0E7E" w:rsidRDefault="00BC0E7E" w:rsidP="00BC0E7E">
            <w:pPr>
              <w:keepNext/>
              <w:tabs>
                <w:tab w:val="clear" w:pos="562"/>
              </w:tabs>
              <w:overflowPunct w:val="0"/>
              <w:autoSpaceDE w:val="0"/>
              <w:autoSpaceDN w:val="0"/>
              <w:adjustRightInd w:val="0"/>
              <w:textAlignment w:val="baseline"/>
              <w:rPr>
                <w:del w:id="1588" w:author="AbbVie19" w:date="2025-04-16T10:35:00Z"/>
              </w:rPr>
            </w:pPr>
          </w:p>
        </w:tc>
        <w:tc>
          <w:tcPr>
            <w:tcW w:w="1417" w:type="dxa"/>
            <w:tcBorders>
              <w:top w:val="single" w:sz="6" w:space="0" w:color="auto"/>
            </w:tcBorders>
          </w:tcPr>
          <w:p w14:paraId="340F2D50" w14:textId="77777777" w:rsidR="00BC0E7E" w:rsidRPr="00BC0E7E" w:rsidRDefault="00BC0E7E" w:rsidP="00BC0E7E">
            <w:pPr>
              <w:keepNext/>
              <w:tabs>
                <w:tab w:val="clear" w:pos="562"/>
              </w:tabs>
              <w:overflowPunct w:val="0"/>
              <w:autoSpaceDE w:val="0"/>
              <w:autoSpaceDN w:val="0"/>
              <w:adjustRightInd w:val="0"/>
              <w:textAlignment w:val="baseline"/>
              <w:rPr>
                <w:del w:id="1589" w:author="AbbVie19" w:date="2025-04-16T10:35:00Z"/>
              </w:rPr>
            </w:pPr>
          </w:p>
        </w:tc>
      </w:tr>
      <w:tr w:rsidR="00C6578C" w14:paraId="48B9BFBC" w14:textId="77777777" w:rsidTr="00171601">
        <w:trPr>
          <w:cantSplit/>
          <w:del w:id="1590" w:author="AbbVie19" w:date="2025-04-16T10:35:00Z"/>
        </w:trPr>
        <w:tc>
          <w:tcPr>
            <w:tcW w:w="1186" w:type="dxa"/>
            <w:tcBorders>
              <w:right w:val="single" w:sz="6" w:space="0" w:color="auto"/>
            </w:tcBorders>
          </w:tcPr>
          <w:p w14:paraId="45B5B549" w14:textId="77777777" w:rsidR="00BC0E7E" w:rsidRPr="00BC0E7E" w:rsidRDefault="00944B8F" w:rsidP="00BC0E7E">
            <w:pPr>
              <w:keepNext/>
              <w:tabs>
                <w:tab w:val="clear" w:pos="562"/>
                <w:tab w:val="left" w:pos="144"/>
              </w:tabs>
              <w:overflowPunct w:val="0"/>
              <w:autoSpaceDE w:val="0"/>
              <w:autoSpaceDN w:val="0"/>
              <w:adjustRightInd w:val="0"/>
              <w:textAlignment w:val="baseline"/>
              <w:rPr>
                <w:del w:id="1591" w:author="AbbVie19" w:date="2025-04-16T10:35:00Z"/>
              </w:rPr>
            </w:pPr>
            <w:del w:id="1592" w:author="AbbVie19" w:date="2025-04-16T10:35:00Z">
              <w:r w:rsidRPr="00BC0E7E">
                <w:tab/>
                <w:delText>6 months</w:delText>
              </w:r>
            </w:del>
          </w:p>
        </w:tc>
        <w:tc>
          <w:tcPr>
            <w:tcW w:w="1134" w:type="dxa"/>
            <w:tcBorders>
              <w:left w:val="single" w:sz="6" w:space="0" w:color="auto"/>
            </w:tcBorders>
          </w:tcPr>
          <w:p w14:paraId="66F88F1A" w14:textId="77777777" w:rsidR="00BC0E7E" w:rsidRPr="00BC0E7E" w:rsidRDefault="00944B8F" w:rsidP="00BC0E7E">
            <w:pPr>
              <w:keepNext/>
              <w:tabs>
                <w:tab w:val="clear" w:pos="562"/>
              </w:tabs>
              <w:overflowPunct w:val="0"/>
              <w:autoSpaceDE w:val="0"/>
              <w:autoSpaceDN w:val="0"/>
              <w:adjustRightInd w:val="0"/>
              <w:jc w:val="center"/>
              <w:textAlignment w:val="baseline"/>
              <w:rPr>
                <w:del w:id="1593" w:author="AbbVie19" w:date="2025-04-16T10:35:00Z"/>
              </w:rPr>
            </w:pPr>
            <w:del w:id="1594" w:author="AbbVie19" w:date="2025-04-16T10:35:00Z">
              <w:r w:rsidRPr="00BC0E7E">
                <w:delText>13.3%</w:delText>
              </w:r>
            </w:del>
          </w:p>
        </w:tc>
        <w:tc>
          <w:tcPr>
            <w:tcW w:w="1550" w:type="dxa"/>
            <w:tcBorders>
              <w:right w:val="single" w:sz="6" w:space="0" w:color="auto"/>
            </w:tcBorders>
          </w:tcPr>
          <w:p w14:paraId="6896D3A0" w14:textId="77777777" w:rsidR="00BC0E7E" w:rsidRPr="00BC0E7E" w:rsidRDefault="00944B8F" w:rsidP="00BC0E7E">
            <w:pPr>
              <w:keepNext/>
              <w:tabs>
                <w:tab w:val="clear" w:pos="562"/>
              </w:tabs>
              <w:overflowPunct w:val="0"/>
              <w:autoSpaceDE w:val="0"/>
              <w:autoSpaceDN w:val="0"/>
              <w:adjustRightInd w:val="0"/>
              <w:jc w:val="center"/>
              <w:textAlignment w:val="baseline"/>
              <w:rPr>
                <w:del w:id="1595" w:author="AbbVie19" w:date="2025-04-16T10:35:00Z"/>
              </w:rPr>
            </w:pPr>
            <w:del w:id="1596" w:author="AbbVie19" w:date="2025-04-16T10:35:00Z">
              <w:r w:rsidRPr="00BC0E7E">
                <w:delText>65.1%</w:delText>
              </w:r>
            </w:del>
          </w:p>
        </w:tc>
        <w:tc>
          <w:tcPr>
            <w:tcW w:w="1285" w:type="dxa"/>
            <w:tcBorders>
              <w:left w:val="single" w:sz="6" w:space="0" w:color="auto"/>
            </w:tcBorders>
          </w:tcPr>
          <w:p w14:paraId="7D4192A3" w14:textId="77777777" w:rsidR="00BC0E7E" w:rsidRPr="00BC0E7E" w:rsidRDefault="00944B8F" w:rsidP="00BC0E7E">
            <w:pPr>
              <w:keepNext/>
              <w:tabs>
                <w:tab w:val="clear" w:pos="562"/>
              </w:tabs>
              <w:overflowPunct w:val="0"/>
              <w:autoSpaceDE w:val="0"/>
              <w:autoSpaceDN w:val="0"/>
              <w:adjustRightInd w:val="0"/>
              <w:jc w:val="center"/>
              <w:textAlignment w:val="baseline"/>
              <w:rPr>
                <w:del w:id="1597" w:author="AbbVie19" w:date="2025-04-16T10:35:00Z"/>
              </w:rPr>
            </w:pPr>
            <w:del w:id="1598" w:author="AbbVie19" w:date="2025-04-16T10:35:00Z">
              <w:r w:rsidRPr="00BC0E7E">
                <w:delText>19.1%</w:delText>
              </w:r>
            </w:del>
          </w:p>
        </w:tc>
        <w:tc>
          <w:tcPr>
            <w:tcW w:w="1276" w:type="dxa"/>
            <w:tcBorders>
              <w:right w:val="single" w:sz="6" w:space="0" w:color="auto"/>
            </w:tcBorders>
          </w:tcPr>
          <w:p w14:paraId="57A37E89" w14:textId="77777777" w:rsidR="00BC0E7E" w:rsidRPr="00BC0E7E" w:rsidRDefault="00944B8F" w:rsidP="00BC0E7E">
            <w:pPr>
              <w:keepNext/>
              <w:tabs>
                <w:tab w:val="clear" w:pos="562"/>
              </w:tabs>
              <w:overflowPunct w:val="0"/>
              <w:autoSpaceDE w:val="0"/>
              <w:autoSpaceDN w:val="0"/>
              <w:adjustRightInd w:val="0"/>
              <w:jc w:val="center"/>
              <w:textAlignment w:val="baseline"/>
              <w:rPr>
                <w:del w:id="1599" w:author="AbbVie19" w:date="2025-04-16T10:35:00Z"/>
              </w:rPr>
            </w:pPr>
            <w:del w:id="1600" w:author="AbbVie19" w:date="2025-04-16T10:35:00Z">
              <w:r w:rsidRPr="00BC0E7E">
                <w:delText>46.0%</w:delText>
              </w:r>
            </w:del>
          </w:p>
        </w:tc>
        <w:tc>
          <w:tcPr>
            <w:tcW w:w="1276" w:type="dxa"/>
            <w:tcBorders>
              <w:left w:val="single" w:sz="6" w:space="0" w:color="auto"/>
            </w:tcBorders>
          </w:tcPr>
          <w:p w14:paraId="363A2968" w14:textId="77777777" w:rsidR="00BC0E7E" w:rsidRPr="00BC0E7E" w:rsidRDefault="00944B8F" w:rsidP="00BC0E7E">
            <w:pPr>
              <w:keepNext/>
              <w:tabs>
                <w:tab w:val="clear" w:pos="562"/>
                <w:tab w:val="decimal" w:pos="567"/>
              </w:tabs>
              <w:overflowPunct w:val="0"/>
              <w:autoSpaceDE w:val="0"/>
              <w:autoSpaceDN w:val="0"/>
              <w:adjustRightInd w:val="0"/>
              <w:textAlignment w:val="baseline"/>
              <w:rPr>
                <w:del w:id="1601" w:author="AbbVie19" w:date="2025-04-16T10:35:00Z"/>
              </w:rPr>
            </w:pPr>
            <w:del w:id="1602" w:author="AbbVie19" w:date="2025-04-16T10:35:00Z">
              <w:r w:rsidRPr="00BC0E7E">
                <w:delText>29.5%</w:delText>
              </w:r>
            </w:del>
          </w:p>
        </w:tc>
        <w:tc>
          <w:tcPr>
            <w:tcW w:w="1417" w:type="dxa"/>
          </w:tcPr>
          <w:p w14:paraId="70535A3D" w14:textId="77777777" w:rsidR="00BC0E7E" w:rsidRPr="00BC0E7E" w:rsidRDefault="00944B8F" w:rsidP="00BC0E7E">
            <w:pPr>
              <w:keepNext/>
              <w:tabs>
                <w:tab w:val="clear" w:pos="562"/>
                <w:tab w:val="decimal" w:pos="662"/>
              </w:tabs>
              <w:overflowPunct w:val="0"/>
              <w:autoSpaceDE w:val="0"/>
              <w:autoSpaceDN w:val="0"/>
              <w:adjustRightInd w:val="0"/>
              <w:textAlignment w:val="baseline"/>
              <w:rPr>
                <w:del w:id="1603" w:author="AbbVie19" w:date="2025-04-16T10:35:00Z"/>
              </w:rPr>
            </w:pPr>
            <w:del w:id="1604" w:author="AbbVie19" w:date="2025-04-16T10:35:00Z">
              <w:r w:rsidRPr="00BC0E7E">
                <w:delText>63.3%</w:delText>
              </w:r>
            </w:del>
          </w:p>
        </w:tc>
      </w:tr>
      <w:tr w:rsidR="00C6578C" w14:paraId="4E96A2E4" w14:textId="77777777" w:rsidTr="00171601">
        <w:trPr>
          <w:cantSplit/>
          <w:del w:id="1605" w:author="AbbVie19" w:date="2025-04-16T10:35:00Z"/>
        </w:trPr>
        <w:tc>
          <w:tcPr>
            <w:tcW w:w="1186" w:type="dxa"/>
            <w:tcBorders>
              <w:right w:val="single" w:sz="6" w:space="0" w:color="auto"/>
            </w:tcBorders>
          </w:tcPr>
          <w:p w14:paraId="18FD6697" w14:textId="77777777" w:rsidR="00BC0E7E" w:rsidRPr="00BC0E7E" w:rsidRDefault="00944B8F" w:rsidP="00BC0E7E">
            <w:pPr>
              <w:keepNext/>
              <w:tabs>
                <w:tab w:val="clear" w:pos="562"/>
                <w:tab w:val="left" w:pos="144"/>
              </w:tabs>
              <w:overflowPunct w:val="0"/>
              <w:autoSpaceDE w:val="0"/>
              <w:autoSpaceDN w:val="0"/>
              <w:adjustRightInd w:val="0"/>
              <w:textAlignment w:val="baseline"/>
              <w:rPr>
                <w:del w:id="1606" w:author="AbbVie19" w:date="2025-04-16T10:35:00Z"/>
              </w:rPr>
            </w:pPr>
            <w:del w:id="1607" w:author="AbbVie19" w:date="2025-04-16T10:35:00Z">
              <w:r w:rsidRPr="00BC0E7E">
                <w:tab/>
                <w:delText>12 months</w:delText>
              </w:r>
            </w:del>
          </w:p>
        </w:tc>
        <w:tc>
          <w:tcPr>
            <w:tcW w:w="1134" w:type="dxa"/>
            <w:tcBorders>
              <w:left w:val="single" w:sz="6" w:space="0" w:color="auto"/>
            </w:tcBorders>
          </w:tcPr>
          <w:p w14:paraId="4C5579C9" w14:textId="77777777" w:rsidR="00BC0E7E" w:rsidRPr="00BC0E7E" w:rsidRDefault="00944B8F" w:rsidP="00BC0E7E">
            <w:pPr>
              <w:keepNext/>
              <w:tabs>
                <w:tab w:val="clear" w:pos="562"/>
              </w:tabs>
              <w:overflowPunct w:val="0"/>
              <w:autoSpaceDE w:val="0"/>
              <w:autoSpaceDN w:val="0"/>
              <w:adjustRightInd w:val="0"/>
              <w:jc w:val="center"/>
              <w:textAlignment w:val="baseline"/>
              <w:rPr>
                <w:del w:id="1608" w:author="AbbVie19" w:date="2025-04-16T10:35:00Z"/>
              </w:rPr>
            </w:pPr>
            <w:del w:id="1609" w:author="AbbVie19" w:date="2025-04-16T10:35:00Z">
              <w:r w:rsidRPr="00BC0E7E">
                <w:delText>NA</w:delText>
              </w:r>
            </w:del>
          </w:p>
        </w:tc>
        <w:tc>
          <w:tcPr>
            <w:tcW w:w="1550" w:type="dxa"/>
            <w:tcBorders>
              <w:right w:val="single" w:sz="6" w:space="0" w:color="auto"/>
            </w:tcBorders>
          </w:tcPr>
          <w:p w14:paraId="062DE013" w14:textId="77777777" w:rsidR="00BC0E7E" w:rsidRPr="00BC0E7E" w:rsidRDefault="00944B8F" w:rsidP="00BC0E7E">
            <w:pPr>
              <w:keepNext/>
              <w:tabs>
                <w:tab w:val="clear" w:pos="562"/>
              </w:tabs>
              <w:overflowPunct w:val="0"/>
              <w:autoSpaceDE w:val="0"/>
              <w:autoSpaceDN w:val="0"/>
              <w:adjustRightInd w:val="0"/>
              <w:jc w:val="center"/>
              <w:textAlignment w:val="baseline"/>
              <w:rPr>
                <w:del w:id="1610" w:author="AbbVie19" w:date="2025-04-16T10:35:00Z"/>
              </w:rPr>
            </w:pPr>
            <w:del w:id="1611" w:author="AbbVie19" w:date="2025-04-16T10:35:00Z">
              <w:r w:rsidRPr="00BC0E7E">
                <w:delText>NA</w:delText>
              </w:r>
            </w:del>
          </w:p>
        </w:tc>
        <w:tc>
          <w:tcPr>
            <w:tcW w:w="1285" w:type="dxa"/>
            <w:tcBorders>
              <w:left w:val="single" w:sz="6" w:space="0" w:color="auto"/>
            </w:tcBorders>
          </w:tcPr>
          <w:p w14:paraId="28F9FA64" w14:textId="77777777" w:rsidR="00BC0E7E" w:rsidRPr="00BC0E7E" w:rsidRDefault="00944B8F" w:rsidP="00BC0E7E">
            <w:pPr>
              <w:keepNext/>
              <w:tabs>
                <w:tab w:val="clear" w:pos="562"/>
                <w:tab w:val="decimal" w:pos="151"/>
              </w:tabs>
              <w:overflowPunct w:val="0"/>
              <w:autoSpaceDE w:val="0"/>
              <w:autoSpaceDN w:val="0"/>
              <w:adjustRightInd w:val="0"/>
              <w:jc w:val="center"/>
              <w:textAlignment w:val="baseline"/>
              <w:rPr>
                <w:del w:id="1612" w:author="AbbVie19" w:date="2025-04-16T10:35:00Z"/>
                <w:lang w:val="it-IT"/>
              </w:rPr>
            </w:pPr>
            <w:del w:id="1613" w:author="AbbVie19" w:date="2025-04-16T10:35:00Z">
              <w:r w:rsidRPr="00BC0E7E">
                <w:rPr>
                  <w:lang w:val="it-IT"/>
                </w:rPr>
                <w:delText>NA</w:delText>
              </w:r>
            </w:del>
          </w:p>
        </w:tc>
        <w:tc>
          <w:tcPr>
            <w:tcW w:w="1276" w:type="dxa"/>
            <w:tcBorders>
              <w:right w:val="single" w:sz="6" w:space="0" w:color="auto"/>
            </w:tcBorders>
          </w:tcPr>
          <w:p w14:paraId="19079EBB" w14:textId="77777777" w:rsidR="00BC0E7E" w:rsidRPr="00BC0E7E" w:rsidRDefault="00944B8F" w:rsidP="00BC0E7E">
            <w:pPr>
              <w:keepNext/>
              <w:tabs>
                <w:tab w:val="clear" w:pos="562"/>
              </w:tabs>
              <w:overflowPunct w:val="0"/>
              <w:autoSpaceDE w:val="0"/>
              <w:autoSpaceDN w:val="0"/>
              <w:adjustRightInd w:val="0"/>
              <w:jc w:val="center"/>
              <w:textAlignment w:val="baseline"/>
              <w:rPr>
                <w:del w:id="1614" w:author="AbbVie19" w:date="2025-04-16T10:35:00Z"/>
                <w:lang w:val="it-IT"/>
              </w:rPr>
            </w:pPr>
            <w:del w:id="1615" w:author="AbbVie19" w:date="2025-04-16T10:35:00Z">
              <w:r w:rsidRPr="00BC0E7E">
                <w:rPr>
                  <w:lang w:val="it-IT"/>
                </w:rPr>
                <w:delText>NA</w:delText>
              </w:r>
            </w:del>
          </w:p>
        </w:tc>
        <w:tc>
          <w:tcPr>
            <w:tcW w:w="1276" w:type="dxa"/>
            <w:tcBorders>
              <w:left w:val="single" w:sz="6" w:space="0" w:color="auto"/>
            </w:tcBorders>
          </w:tcPr>
          <w:p w14:paraId="54611B96" w14:textId="77777777" w:rsidR="00BC0E7E" w:rsidRPr="00BC0E7E" w:rsidRDefault="00944B8F" w:rsidP="00BC0E7E">
            <w:pPr>
              <w:keepNext/>
              <w:tabs>
                <w:tab w:val="clear" w:pos="562"/>
                <w:tab w:val="decimal" w:pos="567"/>
              </w:tabs>
              <w:overflowPunct w:val="0"/>
              <w:autoSpaceDE w:val="0"/>
              <w:autoSpaceDN w:val="0"/>
              <w:adjustRightInd w:val="0"/>
              <w:textAlignment w:val="baseline"/>
              <w:rPr>
                <w:del w:id="1616" w:author="AbbVie19" w:date="2025-04-16T10:35:00Z"/>
                <w:lang w:val="it-IT"/>
              </w:rPr>
            </w:pPr>
            <w:del w:id="1617" w:author="AbbVie19" w:date="2025-04-16T10:35:00Z">
              <w:r w:rsidRPr="00BC0E7E">
                <w:rPr>
                  <w:lang w:val="it-IT"/>
                </w:rPr>
                <w:delText>24.0%</w:delText>
              </w:r>
            </w:del>
          </w:p>
        </w:tc>
        <w:tc>
          <w:tcPr>
            <w:tcW w:w="1417" w:type="dxa"/>
          </w:tcPr>
          <w:p w14:paraId="2C6C376A" w14:textId="77777777" w:rsidR="00BC0E7E" w:rsidRPr="00BC0E7E" w:rsidRDefault="00944B8F" w:rsidP="00BC0E7E">
            <w:pPr>
              <w:keepNext/>
              <w:tabs>
                <w:tab w:val="clear" w:pos="562"/>
                <w:tab w:val="decimal" w:pos="662"/>
              </w:tabs>
              <w:overflowPunct w:val="0"/>
              <w:autoSpaceDE w:val="0"/>
              <w:autoSpaceDN w:val="0"/>
              <w:adjustRightInd w:val="0"/>
              <w:textAlignment w:val="baseline"/>
              <w:rPr>
                <w:del w:id="1618" w:author="AbbVie19" w:date="2025-04-16T10:35:00Z"/>
                <w:lang w:val="it-IT"/>
              </w:rPr>
            </w:pPr>
            <w:del w:id="1619" w:author="AbbVie19" w:date="2025-04-16T10:35:00Z">
              <w:r w:rsidRPr="00BC0E7E">
                <w:rPr>
                  <w:lang w:val="it-IT"/>
                </w:rPr>
                <w:delText>58.9%</w:delText>
              </w:r>
            </w:del>
          </w:p>
        </w:tc>
      </w:tr>
      <w:tr w:rsidR="00C6578C" w14:paraId="0F671C98" w14:textId="77777777" w:rsidTr="00171601">
        <w:trPr>
          <w:cantSplit/>
          <w:del w:id="1620" w:author="AbbVie19" w:date="2025-04-16T10:35:00Z"/>
        </w:trPr>
        <w:tc>
          <w:tcPr>
            <w:tcW w:w="1186" w:type="dxa"/>
            <w:tcBorders>
              <w:right w:val="single" w:sz="6" w:space="0" w:color="auto"/>
            </w:tcBorders>
          </w:tcPr>
          <w:p w14:paraId="03F3E650" w14:textId="77777777" w:rsidR="00BC0E7E" w:rsidRPr="00BC0E7E" w:rsidRDefault="00944B8F" w:rsidP="00BC0E7E">
            <w:pPr>
              <w:keepNext/>
              <w:tabs>
                <w:tab w:val="clear" w:pos="562"/>
                <w:tab w:val="left" w:pos="144"/>
              </w:tabs>
              <w:overflowPunct w:val="0"/>
              <w:autoSpaceDE w:val="0"/>
              <w:autoSpaceDN w:val="0"/>
              <w:adjustRightInd w:val="0"/>
              <w:textAlignment w:val="baseline"/>
              <w:rPr>
                <w:del w:id="1621" w:author="AbbVie19" w:date="2025-04-16T10:35:00Z"/>
                <w:lang w:val="it-IT"/>
              </w:rPr>
            </w:pPr>
            <w:del w:id="1622" w:author="AbbVie19" w:date="2025-04-16T10:35:00Z">
              <w:r w:rsidRPr="00BC0E7E">
                <w:rPr>
                  <w:lang w:val="it-IT"/>
                </w:rPr>
                <w:delText>ACR 50</w:delText>
              </w:r>
            </w:del>
          </w:p>
        </w:tc>
        <w:tc>
          <w:tcPr>
            <w:tcW w:w="1134" w:type="dxa"/>
            <w:tcBorders>
              <w:left w:val="single" w:sz="6" w:space="0" w:color="auto"/>
            </w:tcBorders>
          </w:tcPr>
          <w:p w14:paraId="3ED74A9A" w14:textId="77777777" w:rsidR="00BC0E7E" w:rsidRPr="00BC0E7E" w:rsidRDefault="00BC0E7E" w:rsidP="00BC0E7E">
            <w:pPr>
              <w:keepNext/>
              <w:tabs>
                <w:tab w:val="clear" w:pos="562"/>
              </w:tabs>
              <w:overflowPunct w:val="0"/>
              <w:autoSpaceDE w:val="0"/>
              <w:autoSpaceDN w:val="0"/>
              <w:adjustRightInd w:val="0"/>
              <w:jc w:val="center"/>
              <w:textAlignment w:val="baseline"/>
              <w:rPr>
                <w:del w:id="1623" w:author="AbbVie19" w:date="2025-04-16T10:35:00Z"/>
                <w:lang w:val="it-IT"/>
              </w:rPr>
            </w:pPr>
          </w:p>
        </w:tc>
        <w:tc>
          <w:tcPr>
            <w:tcW w:w="1550" w:type="dxa"/>
            <w:tcBorders>
              <w:right w:val="single" w:sz="6" w:space="0" w:color="auto"/>
            </w:tcBorders>
          </w:tcPr>
          <w:p w14:paraId="6455D0FB" w14:textId="77777777" w:rsidR="00BC0E7E" w:rsidRPr="00BC0E7E" w:rsidRDefault="00BC0E7E" w:rsidP="00BC0E7E">
            <w:pPr>
              <w:keepNext/>
              <w:tabs>
                <w:tab w:val="clear" w:pos="562"/>
              </w:tabs>
              <w:overflowPunct w:val="0"/>
              <w:autoSpaceDE w:val="0"/>
              <w:autoSpaceDN w:val="0"/>
              <w:adjustRightInd w:val="0"/>
              <w:jc w:val="center"/>
              <w:textAlignment w:val="baseline"/>
              <w:rPr>
                <w:del w:id="1624" w:author="AbbVie19" w:date="2025-04-16T10:35:00Z"/>
                <w:lang w:val="it-IT"/>
              </w:rPr>
            </w:pPr>
          </w:p>
        </w:tc>
        <w:tc>
          <w:tcPr>
            <w:tcW w:w="1285" w:type="dxa"/>
            <w:tcBorders>
              <w:left w:val="single" w:sz="6" w:space="0" w:color="auto"/>
            </w:tcBorders>
          </w:tcPr>
          <w:p w14:paraId="4B3F219F" w14:textId="77777777" w:rsidR="00BC0E7E" w:rsidRPr="00BC0E7E" w:rsidRDefault="00BC0E7E" w:rsidP="00BC0E7E">
            <w:pPr>
              <w:keepNext/>
              <w:tabs>
                <w:tab w:val="clear" w:pos="562"/>
                <w:tab w:val="decimal" w:pos="151"/>
              </w:tabs>
              <w:overflowPunct w:val="0"/>
              <w:autoSpaceDE w:val="0"/>
              <w:autoSpaceDN w:val="0"/>
              <w:adjustRightInd w:val="0"/>
              <w:jc w:val="center"/>
              <w:textAlignment w:val="baseline"/>
              <w:rPr>
                <w:del w:id="1625" w:author="AbbVie19" w:date="2025-04-16T10:35:00Z"/>
                <w:lang w:val="it-IT"/>
              </w:rPr>
            </w:pPr>
          </w:p>
        </w:tc>
        <w:tc>
          <w:tcPr>
            <w:tcW w:w="1276" w:type="dxa"/>
            <w:tcBorders>
              <w:right w:val="single" w:sz="6" w:space="0" w:color="auto"/>
            </w:tcBorders>
          </w:tcPr>
          <w:p w14:paraId="4FF9B4F1" w14:textId="77777777" w:rsidR="00BC0E7E" w:rsidRPr="00BC0E7E" w:rsidRDefault="00BC0E7E" w:rsidP="00BC0E7E">
            <w:pPr>
              <w:keepNext/>
              <w:tabs>
                <w:tab w:val="clear" w:pos="562"/>
              </w:tabs>
              <w:overflowPunct w:val="0"/>
              <w:autoSpaceDE w:val="0"/>
              <w:autoSpaceDN w:val="0"/>
              <w:adjustRightInd w:val="0"/>
              <w:jc w:val="center"/>
              <w:textAlignment w:val="baseline"/>
              <w:rPr>
                <w:del w:id="1626" w:author="AbbVie19" w:date="2025-04-16T10:35:00Z"/>
                <w:lang w:val="it-IT"/>
              </w:rPr>
            </w:pPr>
          </w:p>
        </w:tc>
        <w:tc>
          <w:tcPr>
            <w:tcW w:w="1276" w:type="dxa"/>
            <w:tcBorders>
              <w:left w:val="single" w:sz="6" w:space="0" w:color="auto"/>
            </w:tcBorders>
          </w:tcPr>
          <w:p w14:paraId="399F55C5" w14:textId="77777777" w:rsidR="00BC0E7E" w:rsidRPr="00BC0E7E" w:rsidRDefault="00BC0E7E" w:rsidP="00BC0E7E">
            <w:pPr>
              <w:keepNext/>
              <w:tabs>
                <w:tab w:val="clear" w:pos="562"/>
                <w:tab w:val="decimal" w:pos="567"/>
              </w:tabs>
              <w:overflowPunct w:val="0"/>
              <w:autoSpaceDE w:val="0"/>
              <w:autoSpaceDN w:val="0"/>
              <w:adjustRightInd w:val="0"/>
              <w:textAlignment w:val="baseline"/>
              <w:rPr>
                <w:del w:id="1627" w:author="AbbVie19" w:date="2025-04-16T10:35:00Z"/>
                <w:lang w:val="it-IT"/>
              </w:rPr>
            </w:pPr>
          </w:p>
        </w:tc>
        <w:tc>
          <w:tcPr>
            <w:tcW w:w="1417" w:type="dxa"/>
          </w:tcPr>
          <w:p w14:paraId="30AA46B3" w14:textId="77777777" w:rsidR="00BC0E7E" w:rsidRPr="00BC0E7E" w:rsidRDefault="00BC0E7E" w:rsidP="00BC0E7E">
            <w:pPr>
              <w:keepNext/>
              <w:tabs>
                <w:tab w:val="clear" w:pos="562"/>
                <w:tab w:val="decimal" w:pos="662"/>
              </w:tabs>
              <w:overflowPunct w:val="0"/>
              <w:autoSpaceDE w:val="0"/>
              <w:autoSpaceDN w:val="0"/>
              <w:adjustRightInd w:val="0"/>
              <w:textAlignment w:val="baseline"/>
              <w:rPr>
                <w:del w:id="1628" w:author="AbbVie19" w:date="2025-04-16T10:35:00Z"/>
                <w:lang w:val="it-IT"/>
              </w:rPr>
            </w:pPr>
          </w:p>
        </w:tc>
      </w:tr>
      <w:tr w:rsidR="00C6578C" w14:paraId="78F9C58A" w14:textId="77777777" w:rsidTr="00171601">
        <w:trPr>
          <w:cantSplit/>
          <w:del w:id="1629" w:author="AbbVie19" w:date="2025-04-16T10:35:00Z"/>
        </w:trPr>
        <w:tc>
          <w:tcPr>
            <w:tcW w:w="1186" w:type="dxa"/>
            <w:tcBorders>
              <w:right w:val="single" w:sz="6" w:space="0" w:color="auto"/>
            </w:tcBorders>
          </w:tcPr>
          <w:p w14:paraId="01C0A55A" w14:textId="77777777" w:rsidR="00BC0E7E" w:rsidRPr="00BC0E7E" w:rsidRDefault="00944B8F" w:rsidP="00BC0E7E">
            <w:pPr>
              <w:keepNext/>
              <w:tabs>
                <w:tab w:val="clear" w:pos="562"/>
                <w:tab w:val="left" w:pos="144"/>
              </w:tabs>
              <w:overflowPunct w:val="0"/>
              <w:autoSpaceDE w:val="0"/>
              <w:autoSpaceDN w:val="0"/>
              <w:adjustRightInd w:val="0"/>
              <w:textAlignment w:val="baseline"/>
              <w:rPr>
                <w:del w:id="1630" w:author="AbbVie19" w:date="2025-04-16T10:35:00Z"/>
              </w:rPr>
            </w:pPr>
            <w:del w:id="1631" w:author="AbbVie19" w:date="2025-04-16T10:35:00Z">
              <w:r w:rsidRPr="00BC0E7E">
                <w:rPr>
                  <w:lang w:val="it-IT"/>
                </w:rPr>
                <w:tab/>
              </w:r>
              <w:r w:rsidRPr="00BC0E7E">
                <w:delText>6 months</w:delText>
              </w:r>
            </w:del>
          </w:p>
        </w:tc>
        <w:tc>
          <w:tcPr>
            <w:tcW w:w="1134" w:type="dxa"/>
            <w:tcBorders>
              <w:left w:val="single" w:sz="6" w:space="0" w:color="auto"/>
            </w:tcBorders>
          </w:tcPr>
          <w:p w14:paraId="56940EAA" w14:textId="77777777" w:rsidR="00BC0E7E" w:rsidRPr="00BC0E7E" w:rsidRDefault="00944B8F" w:rsidP="00BC0E7E">
            <w:pPr>
              <w:keepNext/>
              <w:tabs>
                <w:tab w:val="clear" w:pos="562"/>
                <w:tab w:val="decimal" w:pos="117"/>
              </w:tabs>
              <w:overflowPunct w:val="0"/>
              <w:autoSpaceDE w:val="0"/>
              <w:autoSpaceDN w:val="0"/>
              <w:adjustRightInd w:val="0"/>
              <w:jc w:val="center"/>
              <w:textAlignment w:val="baseline"/>
              <w:rPr>
                <w:del w:id="1632" w:author="AbbVie19" w:date="2025-04-16T10:35:00Z"/>
              </w:rPr>
            </w:pPr>
            <w:del w:id="1633" w:author="AbbVie19" w:date="2025-04-16T10:35:00Z">
              <w:r w:rsidRPr="00BC0E7E">
                <w:delText>6.7%</w:delText>
              </w:r>
            </w:del>
          </w:p>
        </w:tc>
        <w:tc>
          <w:tcPr>
            <w:tcW w:w="1550" w:type="dxa"/>
            <w:tcBorders>
              <w:right w:val="single" w:sz="6" w:space="0" w:color="auto"/>
            </w:tcBorders>
          </w:tcPr>
          <w:p w14:paraId="0903669B" w14:textId="77777777" w:rsidR="00BC0E7E" w:rsidRPr="00BC0E7E" w:rsidRDefault="00944B8F" w:rsidP="00BC0E7E">
            <w:pPr>
              <w:keepNext/>
              <w:tabs>
                <w:tab w:val="clear" w:pos="562"/>
              </w:tabs>
              <w:overflowPunct w:val="0"/>
              <w:autoSpaceDE w:val="0"/>
              <w:autoSpaceDN w:val="0"/>
              <w:adjustRightInd w:val="0"/>
              <w:jc w:val="center"/>
              <w:textAlignment w:val="baseline"/>
              <w:rPr>
                <w:del w:id="1634" w:author="AbbVie19" w:date="2025-04-16T10:35:00Z"/>
              </w:rPr>
            </w:pPr>
            <w:del w:id="1635" w:author="AbbVie19" w:date="2025-04-16T10:35:00Z">
              <w:r w:rsidRPr="00BC0E7E">
                <w:delText>52.4%</w:delText>
              </w:r>
            </w:del>
          </w:p>
        </w:tc>
        <w:tc>
          <w:tcPr>
            <w:tcW w:w="1285" w:type="dxa"/>
            <w:tcBorders>
              <w:left w:val="single" w:sz="6" w:space="0" w:color="auto"/>
            </w:tcBorders>
          </w:tcPr>
          <w:p w14:paraId="6284006E" w14:textId="77777777" w:rsidR="00BC0E7E" w:rsidRPr="00BC0E7E" w:rsidRDefault="00944B8F" w:rsidP="00BC0E7E">
            <w:pPr>
              <w:keepNext/>
              <w:tabs>
                <w:tab w:val="clear" w:pos="562"/>
                <w:tab w:val="decimal" w:pos="151"/>
              </w:tabs>
              <w:overflowPunct w:val="0"/>
              <w:autoSpaceDE w:val="0"/>
              <w:autoSpaceDN w:val="0"/>
              <w:adjustRightInd w:val="0"/>
              <w:jc w:val="center"/>
              <w:textAlignment w:val="baseline"/>
              <w:rPr>
                <w:del w:id="1636" w:author="AbbVie19" w:date="2025-04-16T10:35:00Z"/>
              </w:rPr>
            </w:pPr>
            <w:del w:id="1637" w:author="AbbVie19" w:date="2025-04-16T10:35:00Z">
              <w:r w:rsidRPr="00BC0E7E">
                <w:delText>8.2%</w:delText>
              </w:r>
            </w:del>
          </w:p>
        </w:tc>
        <w:tc>
          <w:tcPr>
            <w:tcW w:w="1276" w:type="dxa"/>
            <w:tcBorders>
              <w:right w:val="single" w:sz="6" w:space="0" w:color="auto"/>
            </w:tcBorders>
          </w:tcPr>
          <w:p w14:paraId="7D1157AB" w14:textId="77777777" w:rsidR="00BC0E7E" w:rsidRPr="00BC0E7E" w:rsidRDefault="00944B8F" w:rsidP="00BC0E7E">
            <w:pPr>
              <w:keepNext/>
              <w:tabs>
                <w:tab w:val="clear" w:pos="562"/>
              </w:tabs>
              <w:overflowPunct w:val="0"/>
              <w:autoSpaceDE w:val="0"/>
              <w:autoSpaceDN w:val="0"/>
              <w:adjustRightInd w:val="0"/>
              <w:jc w:val="center"/>
              <w:textAlignment w:val="baseline"/>
              <w:rPr>
                <w:del w:id="1638" w:author="AbbVie19" w:date="2025-04-16T10:35:00Z"/>
              </w:rPr>
            </w:pPr>
            <w:del w:id="1639" w:author="AbbVie19" w:date="2025-04-16T10:35:00Z">
              <w:r w:rsidRPr="00BC0E7E">
                <w:delText>22.1%</w:delText>
              </w:r>
            </w:del>
          </w:p>
        </w:tc>
        <w:tc>
          <w:tcPr>
            <w:tcW w:w="1276" w:type="dxa"/>
            <w:tcBorders>
              <w:left w:val="single" w:sz="6" w:space="0" w:color="auto"/>
            </w:tcBorders>
          </w:tcPr>
          <w:p w14:paraId="1D5D47EA" w14:textId="77777777" w:rsidR="00BC0E7E" w:rsidRPr="00BC0E7E" w:rsidRDefault="00944B8F" w:rsidP="00BC0E7E">
            <w:pPr>
              <w:keepNext/>
              <w:tabs>
                <w:tab w:val="clear" w:pos="562"/>
                <w:tab w:val="decimal" w:pos="567"/>
              </w:tabs>
              <w:overflowPunct w:val="0"/>
              <w:autoSpaceDE w:val="0"/>
              <w:autoSpaceDN w:val="0"/>
              <w:adjustRightInd w:val="0"/>
              <w:textAlignment w:val="baseline"/>
              <w:rPr>
                <w:del w:id="1640" w:author="AbbVie19" w:date="2025-04-16T10:35:00Z"/>
              </w:rPr>
            </w:pPr>
            <w:del w:id="1641" w:author="AbbVie19" w:date="2025-04-16T10:35:00Z">
              <w:r w:rsidRPr="00BC0E7E">
                <w:delText>9.5%</w:delText>
              </w:r>
            </w:del>
          </w:p>
        </w:tc>
        <w:tc>
          <w:tcPr>
            <w:tcW w:w="1417" w:type="dxa"/>
          </w:tcPr>
          <w:p w14:paraId="1E9C9B2D" w14:textId="77777777" w:rsidR="00BC0E7E" w:rsidRPr="00BC0E7E" w:rsidRDefault="00944B8F" w:rsidP="00BC0E7E">
            <w:pPr>
              <w:keepNext/>
              <w:tabs>
                <w:tab w:val="clear" w:pos="562"/>
                <w:tab w:val="decimal" w:pos="662"/>
              </w:tabs>
              <w:overflowPunct w:val="0"/>
              <w:autoSpaceDE w:val="0"/>
              <w:autoSpaceDN w:val="0"/>
              <w:adjustRightInd w:val="0"/>
              <w:textAlignment w:val="baseline"/>
              <w:rPr>
                <w:del w:id="1642" w:author="AbbVie19" w:date="2025-04-16T10:35:00Z"/>
              </w:rPr>
            </w:pPr>
            <w:del w:id="1643" w:author="AbbVie19" w:date="2025-04-16T10:35:00Z">
              <w:r w:rsidRPr="00BC0E7E">
                <w:delText>39.1%</w:delText>
              </w:r>
            </w:del>
          </w:p>
        </w:tc>
      </w:tr>
      <w:tr w:rsidR="00C6578C" w14:paraId="5167AEBE" w14:textId="77777777" w:rsidTr="00171601">
        <w:trPr>
          <w:cantSplit/>
          <w:del w:id="1644" w:author="AbbVie19" w:date="2025-04-16T10:35:00Z"/>
        </w:trPr>
        <w:tc>
          <w:tcPr>
            <w:tcW w:w="1186" w:type="dxa"/>
            <w:tcBorders>
              <w:right w:val="single" w:sz="6" w:space="0" w:color="auto"/>
            </w:tcBorders>
          </w:tcPr>
          <w:p w14:paraId="211C482E" w14:textId="77777777" w:rsidR="00BC0E7E" w:rsidRPr="00BC0E7E" w:rsidRDefault="00944B8F" w:rsidP="00BC0E7E">
            <w:pPr>
              <w:keepNext/>
              <w:tabs>
                <w:tab w:val="clear" w:pos="562"/>
                <w:tab w:val="left" w:pos="144"/>
              </w:tabs>
              <w:overflowPunct w:val="0"/>
              <w:autoSpaceDE w:val="0"/>
              <w:autoSpaceDN w:val="0"/>
              <w:adjustRightInd w:val="0"/>
              <w:textAlignment w:val="baseline"/>
              <w:rPr>
                <w:del w:id="1645" w:author="AbbVie19" w:date="2025-04-16T10:35:00Z"/>
              </w:rPr>
            </w:pPr>
            <w:del w:id="1646" w:author="AbbVie19" w:date="2025-04-16T10:35:00Z">
              <w:r w:rsidRPr="00BC0E7E">
                <w:tab/>
                <w:delText>12 months</w:delText>
              </w:r>
            </w:del>
          </w:p>
        </w:tc>
        <w:tc>
          <w:tcPr>
            <w:tcW w:w="1134" w:type="dxa"/>
            <w:tcBorders>
              <w:left w:val="single" w:sz="6" w:space="0" w:color="auto"/>
            </w:tcBorders>
          </w:tcPr>
          <w:p w14:paraId="5509C8BA" w14:textId="77777777" w:rsidR="00BC0E7E" w:rsidRPr="00BC0E7E" w:rsidRDefault="00944B8F" w:rsidP="00BC0E7E">
            <w:pPr>
              <w:keepNext/>
              <w:tabs>
                <w:tab w:val="clear" w:pos="562"/>
                <w:tab w:val="decimal" w:pos="117"/>
              </w:tabs>
              <w:overflowPunct w:val="0"/>
              <w:autoSpaceDE w:val="0"/>
              <w:autoSpaceDN w:val="0"/>
              <w:adjustRightInd w:val="0"/>
              <w:jc w:val="center"/>
              <w:textAlignment w:val="baseline"/>
              <w:rPr>
                <w:del w:id="1647" w:author="AbbVie19" w:date="2025-04-16T10:35:00Z"/>
              </w:rPr>
            </w:pPr>
            <w:del w:id="1648" w:author="AbbVie19" w:date="2025-04-16T10:35:00Z">
              <w:r w:rsidRPr="00BC0E7E">
                <w:delText>NA</w:delText>
              </w:r>
            </w:del>
          </w:p>
        </w:tc>
        <w:tc>
          <w:tcPr>
            <w:tcW w:w="1550" w:type="dxa"/>
            <w:tcBorders>
              <w:right w:val="single" w:sz="6" w:space="0" w:color="auto"/>
            </w:tcBorders>
          </w:tcPr>
          <w:p w14:paraId="7366745D" w14:textId="77777777" w:rsidR="00BC0E7E" w:rsidRPr="00BC0E7E" w:rsidRDefault="00944B8F" w:rsidP="00BC0E7E">
            <w:pPr>
              <w:keepNext/>
              <w:tabs>
                <w:tab w:val="clear" w:pos="562"/>
              </w:tabs>
              <w:overflowPunct w:val="0"/>
              <w:autoSpaceDE w:val="0"/>
              <w:autoSpaceDN w:val="0"/>
              <w:adjustRightInd w:val="0"/>
              <w:jc w:val="center"/>
              <w:textAlignment w:val="baseline"/>
              <w:rPr>
                <w:del w:id="1649" w:author="AbbVie19" w:date="2025-04-16T10:35:00Z"/>
                <w:lang w:val="it-IT"/>
              </w:rPr>
            </w:pPr>
            <w:del w:id="1650" w:author="AbbVie19" w:date="2025-04-16T10:35:00Z">
              <w:r w:rsidRPr="00BC0E7E">
                <w:rPr>
                  <w:lang w:val="it-IT"/>
                </w:rPr>
                <w:delText>NA</w:delText>
              </w:r>
            </w:del>
          </w:p>
        </w:tc>
        <w:tc>
          <w:tcPr>
            <w:tcW w:w="1285" w:type="dxa"/>
            <w:tcBorders>
              <w:left w:val="single" w:sz="6" w:space="0" w:color="auto"/>
            </w:tcBorders>
          </w:tcPr>
          <w:p w14:paraId="3C8B0A19" w14:textId="77777777" w:rsidR="00BC0E7E" w:rsidRPr="00BC0E7E" w:rsidRDefault="00944B8F" w:rsidP="00BC0E7E">
            <w:pPr>
              <w:keepNext/>
              <w:tabs>
                <w:tab w:val="clear" w:pos="562"/>
                <w:tab w:val="decimal" w:pos="151"/>
              </w:tabs>
              <w:overflowPunct w:val="0"/>
              <w:autoSpaceDE w:val="0"/>
              <w:autoSpaceDN w:val="0"/>
              <w:adjustRightInd w:val="0"/>
              <w:jc w:val="center"/>
              <w:textAlignment w:val="baseline"/>
              <w:rPr>
                <w:del w:id="1651" w:author="AbbVie19" w:date="2025-04-16T10:35:00Z"/>
                <w:lang w:val="it-IT"/>
              </w:rPr>
            </w:pPr>
            <w:del w:id="1652" w:author="AbbVie19" w:date="2025-04-16T10:35:00Z">
              <w:r w:rsidRPr="00BC0E7E">
                <w:rPr>
                  <w:lang w:val="it-IT"/>
                </w:rPr>
                <w:delText>NA</w:delText>
              </w:r>
            </w:del>
          </w:p>
        </w:tc>
        <w:tc>
          <w:tcPr>
            <w:tcW w:w="1276" w:type="dxa"/>
            <w:tcBorders>
              <w:right w:val="single" w:sz="6" w:space="0" w:color="auto"/>
            </w:tcBorders>
          </w:tcPr>
          <w:p w14:paraId="3D0F33BA" w14:textId="77777777" w:rsidR="00BC0E7E" w:rsidRPr="00BC0E7E" w:rsidRDefault="00944B8F" w:rsidP="00BC0E7E">
            <w:pPr>
              <w:keepNext/>
              <w:tabs>
                <w:tab w:val="clear" w:pos="562"/>
              </w:tabs>
              <w:overflowPunct w:val="0"/>
              <w:autoSpaceDE w:val="0"/>
              <w:autoSpaceDN w:val="0"/>
              <w:adjustRightInd w:val="0"/>
              <w:jc w:val="center"/>
              <w:textAlignment w:val="baseline"/>
              <w:rPr>
                <w:del w:id="1653" w:author="AbbVie19" w:date="2025-04-16T10:35:00Z"/>
                <w:lang w:val="it-IT"/>
              </w:rPr>
            </w:pPr>
            <w:del w:id="1654" w:author="AbbVie19" w:date="2025-04-16T10:35:00Z">
              <w:r w:rsidRPr="00BC0E7E">
                <w:rPr>
                  <w:lang w:val="it-IT"/>
                </w:rPr>
                <w:delText>NA</w:delText>
              </w:r>
            </w:del>
          </w:p>
        </w:tc>
        <w:tc>
          <w:tcPr>
            <w:tcW w:w="1276" w:type="dxa"/>
            <w:tcBorders>
              <w:left w:val="single" w:sz="6" w:space="0" w:color="auto"/>
            </w:tcBorders>
          </w:tcPr>
          <w:p w14:paraId="0B404DD3" w14:textId="77777777" w:rsidR="00BC0E7E" w:rsidRPr="00BC0E7E" w:rsidRDefault="00944B8F" w:rsidP="00BC0E7E">
            <w:pPr>
              <w:keepNext/>
              <w:tabs>
                <w:tab w:val="clear" w:pos="562"/>
                <w:tab w:val="decimal" w:pos="567"/>
              </w:tabs>
              <w:overflowPunct w:val="0"/>
              <w:autoSpaceDE w:val="0"/>
              <w:autoSpaceDN w:val="0"/>
              <w:adjustRightInd w:val="0"/>
              <w:textAlignment w:val="baseline"/>
              <w:rPr>
                <w:del w:id="1655" w:author="AbbVie19" w:date="2025-04-16T10:35:00Z"/>
              </w:rPr>
            </w:pPr>
            <w:del w:id="1656" w:author="AbbVie19" w:date="2025-04-16T10:35:00Z">
              <w:r w:rsidRPr="00BC0E7E">
                <w:delText>9.5%</w:delText>
              </w:r>
            </w:del>
          </w:p>
        </w:tc>
        <w:tc>
          <w:tcPr>
            <w:tcW w:w="1417" w:type="dxa"/>
          </w:tcPr>
          <w:p w14:paraId="3CF656AB" w14:textId="77777777" w:rsidR="00BC0E7E" w:rsidRPr="00BC0E7E" w:rsidRDefault="00944B8F" w:rsidP="00BC0E7E">
            <w:pPr>
              <w:keepNext/>
              <w:tabs>
                <w:tab w:val="clear" w:pos="562"/>
                <w:tab w:val="decimal" w:pos="662"/>
              </w:tabs>
              <w:overflowPunct w:val="0"/>
              <w:autoSpaceDE w:val="0"/>
              <w:autoSpaceDN w:val="0"/>
              <w:adjustRightInd w:val="0"/>
              <w:textAlignment w:val="baseline"/>
              <w:rPr>
                <w:del w:id="1657" w:author="AbbVie19" w:date="2025-04-16T10:35:00Z"/>
              </w:rPr>
            </w:pPr>
            <w:del w:id="1658" w:author="AbbVie19" w:date="2025-04-16T10:35:00Z">
              <w:r w:rsidRPr="00BC0E7E">
                <w:delText>41.5%</w:delText>
              </w:r>
            </w:del>
          </w:p>
        </w:tc>
      </w:tr>
      <w:tr w:rsidR="00C6578C" w14:paraId="2D609D01" w14:textId="77777777" w:rsidTr="00171601">
        <w:trPr>
          <w:cantSplit/>
          <w:del w:id="1659" w:author="AbbVie19" w:date="2025-04-16T10:35:00Z"/>
        </w:trPr>
        <w:tc>
          <w:tcPr>
            <w:tcW w:w="1186" w:type="dxa"/>
            <w:tcBorders>
              <w:right w:val="single" w:sz="6" w:space="0" w:color="auto"/>
            </w:tcBorders>
          </w:tcPr>
          <w:p w14:paraId="11A799F3" w14:textId="77777777" w:rsidR="00BC0E7E" w:rsidRPr="00BC0E7E" w:rsidRDefault="00944B8F" w:rsidP="00BC0E7E">
            <w:pPr>
              <w:keepNext/>
              <w:tabs>
                <w:tab w:val="clear" w:pos="562"/>
                <w:tab w:val="left" w:pos="144"/>
              </w:tabs>
              <w:overflowPunct w:val="0"/>
              <w:autoSpaceDE w:val="0"/>
              <w:autoSpaceDN w:val="0"/>
              <w:adjustRightInd w:val="0"/>
              <w:textAlignment w:val="baseline"/>
              <w:rPr>
                <w:del w:id="1660" w:author="AbbVie19" w:date="2025-04-16T10:35:00Z"/>
              </w:rPr>
            </w:pPr>
            <w:del w:id="1661" w:author="AbbVie19" w:date="2025-04-16T10:35:00Z">
              <w:r>
                <w:rPr>
                  <w:rFonts w:ascii="Arial" w:hAnsi="Arial"/>
                  <w:noProof/>
                  <w:sz w:val="16"/>
                  <w:lang w:val="en-US"/>
                </w:rPr>
                <mc:AlternateContent>
                  <mc:Choice Requires="wps">
                    <w:drawing>
                      <wp:anchor distT="0" distB="0" distL="114300" distR="114300" simplePos="0" relativeHeight="251658240" behindDoc="0" locked="0" layoutInCell="0" allowOverlap="1" wp14:anchorId="2CB1091F" wp14:editId="1EB7A455">
                        <wp:simplePos x="0" y="0"/>
                        <wp:positionH relativeFrom="column">
                          <wp:posOffset>-4972050</wp:posOffset>
                        </wp:positionH>
                        <wp:positionV relativeFrom="paragraph">
                          <wp:posOffset>38735</wp:posOffset>
                        </wp:positionV>
                        <wp:extent cx="3543300" cy="342900"/>
                        <wp:effectExtent l="0" t="0" r="4445" b="1905"/>
                        <wp:wrapNone/>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42D7DF" w14:textId="77777777" w:rsidR="00693052" w:rsidRDefault="00693052" w:rsidP="00BC0E7E">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CB1091F" id="Text Box 188" o:spid="_x0000_s1028" type="#_x0000_t202" style="position:absolute;margin-left:-391.5pt;margin-top:3.05pt;width:27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" o:allowincell="f" stroked="f">
                        <v:textbox>
                          <w:txbxContent>
                            <w:p w14:paraId="4342D7DF" w14:textId="77777777" w:rsidR="00693052" w:rsidRDefault="00693052" w:rsidP="00BC0E7E">
                              <w:pPr>
                                <w:rPr>
                                  <w:sz w:val="20"/>
                                </w:rPr>
                              </w:pPr>
                            </w:p>
                          </w:txbxContent>
                        </v:textbox>
                      </v:shape>
                    </w:pict>
                  </mc:Fallback>
                </mc:AlternateContent>
              </w:r>
              <w:r w:rsidRPr="00BC0E7E">
                <w:delText>ACR 70</w:delText>
              </w:r>
            </w:del>
          </w:p>
        </w:tc>
        <w:tc>
          <w:tcPr>
            <w:tcW w:w="1134" w:type="dxa"/>
            <w:tcBorders>
              <w:left w:val="single" w:sz="6" w:space="0" w:color="auto"/>
            </w:tcBorders>
          </w:tcPr>
          <w:p w14:paraId="65C9BA78" w14:textId="77777777" w:rsidR="00BC0E7E" w:rsidRPr="00BC0E7E" w:rsidRDefault="00BC0E7E" w:rsidP="00BC0E7E">
            <w:pPr>
              <w:keepNext/>
              <w:tabs>
                <w:tab w:val="clear" w:pos="562"/>
                <w:tab w:val="decimal" w:pos="117"/>
              </w:tabs>
              <w:overflowPunct w:val="0"/>
              <w:autoSpaceDE w:val="0"/>
              <w:autoSpaceDN w:val="0"/>
              <w:adjustRightInd w:val="0"/>
              <w:jc w:val="center"/>
              <w:textAlignment w:val="baseline"/>
              <w:rPr>
                <w:del w:id="1662" w:author="AbbVie19" w:date="2025-04-16T10:35:00Z"/>
              </w:rPr>
            </w:pPr>
          </w:p>
        </w:tc>
        <w:tc>
          <w:tcPr>
            <w:tcW w:w="1550" w:type="dxa"/>
            <w:tcBorders>
              <w:right w:val="single" w:sz="6" w:space="0" w:color="auto"/>
            </w:tcBorders>
          </w:tcPr>
          <w:p w14:paraId="07037A78" w14:textId="77777777" w:rsidR="00BC0E7E" w:rsidRPr="00BC0E7E" w:rsidRDefault="00BC0E7E" w:rsidP="00BC0E7E">
            <w:pPr>
              <w:keepNext/>
              <w:tabs>
                <w:tab w:val="clear" w:pos="562"/>
              </w:tabs>
              <w:overflowPunct w:val="0"/>
              <w:autoSpaceDE w:val="0"/>
              <w:autoSpaceDN w:val="0"/>
              <w:adjustRightInd w:val="0"/>
              <w:jc w:val="center"/>
              <w:textAlignment w:val="baseline"/>
              <w:rPr>
                <w:del w:id="1663" w:author="AbbVie19" w:date="2025-04-16T10:35:00Z"/>
              </w:rPr>
            </w:pPr>
          </w:p>
        </w:tc>
        <w:tc>
          <w:tcPr>
            <w:tcW w:w="1285" w:type="dxa"/>
            <w:tcBorders>
              <w:left w:val="single" w:sz="6" w:space="0" w:color="auto"/>
            </w:tcBorders>
          </w:tcPr>
          <w:p w14:paraId="2B7DFE26" w14:textId="77777777" w:rsidR="00BC0E7E" w:rsidRPr="00BC0E7E" w:rsidRDefault="00BC0E7E" w:rsidP="00BC0E7E">
            <w:pPr>
              <w:keepNext/>
              <w:tabs>
                <w:tab w:val="clear" w:pos="562"/>
                <w:tab w:val="decimal" w:pos="151"/>
              </w:tabs>
              <w:overflowPunct w:val="0"/>
              <w:autoSpaceDE w:val="0"/>
              <w:autoSpaceDN w:val="0"/>
              <w:adjustRightInd w:val="0"/>
              <w:jc w:val="center"/>
              <w:textAlignment w:val="baseline"/>
              <w:rPr>
                <w:del w:id="1664" w:author="AbbVie19" w:date="2025-04-16T10:35:00Z"/>
              </w:rPr>
            </w:pPr>
          </w:p>
        </w:tc>
        <w:tc>
          <w:tcPr>
            <w:tcW w:w="1276" w:type="dxa"/>
            <w:tcBorders>
              <w:right w:val="single" w:sz="6" w:space="0" w:color="auto"/>
            </w:tcBorders>
          </w:tcPr>
          <w:p w14:paraId="1B8BC642" w14:textId="77777777" w:rsidR="00BC0E7E" w:rsidRPr="00BC0E7E" w:rsidRDefault="00BC0E7E" w:rsidP="00BC0E7E">
            <w:pPr>
              <w:keepNext/>
              <w:tabs>
                <w:tab w:val="clear" w:pos="562"/>
              </w:tabs>
              <w:overflowPunct w:val="0"/>
              <w:autoSpaceDE w:val="0"/>
              <w:autoSpaceDN w:val="0"/>
              <w:adjustRightInd w:val="0"/>
              <w:jc w:val="center"/>
              <w:textAlignment w:val="baseline"/>
              <w:rPr>
                <w:del w:id="1665" w:author="AbbVie19" w:date="2025-04-16T10:35:00Z"/>
              </w:rPr>
            </w:pPr>
          </w:p>
        </w:tc>
        <w:tc>
          <w:tcPr>
            <w:tcW w:w="1276" w:type="dxa"/>
            <w:tcBorders>
              <w:left w:val="single" w:sz="6" w:space="0" w:color="auto"/>
            </w:tcBorders>
          </w:tcPr>
          <w:p w14:paraId="5C418C45" w14:textId="77777777" w:rsidR="00BC0E7E" w:rsidRPr="00BC0E7E" w:rsidRDefault="00BC0E7E" w:rsidP="00BC0E7E">
            <w:pPr>
              <w:keepNext/>
              <w:tabs>
                <w:tab w:val="clear" w:pos="562"/>
                <w:tab w:val="decimal" w:pos="567"/>
              </w:tabs>
              <w:overflowPunct w:val="0"/>
              <w:autoSpaceDE w:val="0"/>
              <w:autoSpaceDN w:val="0"/>
              <w:adjustRightInd w:val="0"/>
              <w:textAlignment w:val="baseline"/>
              <w:rPr>
                <w:del w:id="1666" w:author="AbbVie19" w:date="2025-04-16T10:35:00Z"/>
              </w:rPr>
            </w:pPr>
          </w:p>
        </w:tc>
        <w:tc>
          <w:tcPr>
            <w:tcW w:w="1417" w:type="dxa"/>
          </w:tcPr>
          <w:p w14:paraId="59AF190B" w14:textId="77777777" w:rsidR="00BC0E7E" w:rsidRPr="00BC0E7E" w:rsidRDefault="00BC0E7E" w:rsidP="00BC0E7E">
            <w:pPr>
              <w:keepNext/>
              <w:tabs>
                <w:tab w:val="clear" w:pos="562"/>
                <w:tab w:val="decimal" w:pos="662"/>
              </w:tabs>
              <w:overflowPunct w:val="0"/>
              <w:autoSpaceDE w:val="0"/>
              <w:autoSpaceDN w:val="0"/>
              <w:adjustRightInd w:val="0"/>
              <w:textAlignment w:val="baseline"/>
              <w:rPr>
                <w:del w:id="1667" w:author="AbbVie19" w:date="2025-04-16T10:35:00Z"/>
              </w:rPr>
            </w:pPr>
          </w:p>
        </w:tc>
      </w:tr>
      <w:tr w:rsidR="00C6578C" w14:paraId="714DD7CE" w14:textId="77777777" w:rsidTr="00171601">
        <w:trPr>
          <w:cantSplit/>
          <w:del w:id="1668" w:author="AbbVie19" w:date="2025-04-16T10:35:00Z"/>
        </w:trPr>
        <w:tc>
          <w:tcPr>
            <w:tcW w:w="1186" w:type="dxa"/>
            <w:tcBorders>
              <w:right w:val="single" w:sz="6" w:space="0" w:color="auto"/>
            </w:tcBorders>
          </w:tcPr>
          <w:p w14:paraId="6E73F951" w14:textId="77777777" w:rsidR="00BC0E7E" w:rsidRPr="00BC0E7E" w:rsidRDefault="00944B8F" w:rsidP="00BC0E7E">
            <w:pPr>
              <w:keepNext/>
              <w:tabs>
                <w:tab w:val="clear" w:pos="562"/>
                <w:tab w:val="left" w:pos="144"/>
              </w:tabs>
              <w:overflowPunct w:val="0"/>
              <w:autoSpaceDE w:val="0"/>
              <w:autoSpaceDN w:val="0"/>
              <w:adjustRightInd w:val="0"/>
              <w:textAlignment w:val="baseline"/>
              <w:rPr>
                <w:del w:id="1669" w:author="AbbVie19" w:date="2025-04-16T10:35:00Z"/>
              </w:rPr>
            </w:pPr>
            <w:del w:id="1670" w:author="AbbVie19" w:date="2025-04-16T10:35:00Z">
              <w:r w:rsidRPr="00BC0E7E">
                <w:tab/>
                <w:delText>6 months</w:delText>
              </w:r>
            </w:del>
          </w:p>
        </w:tc>
        <w:tc>
          <w:tcPr>
            <w:tcW w:w="1134" w:type="dxa"/>
            <w:tcBorders>
              <w:left w:val="single" w:sz="6" w:space="0" w:color="auto"/>
            </w:tcBorders>
          </w:tcPr>
          <w:p w14:paraId="72307CFA" w14:textId="77777777" w:rsidR="00BC0E7E" w:rsidRPr="00BC0E7E" w:rsidRDefault="00944B8F" w:rsidP="00BC0E7E">
            <w:pPr>
              <w:keepNext/>
              <w:tabs>
                <w:tab w:val="clear" w:pos="562"/>
                <w:tab w:val="decimal" w:pos="117"/>
              </w:tabs>
              <w:overflowPunct w:val="0"/>
              <w:autoSpaceDE w:val="0"/>
              <w:autoSpaceDN w:val="0"/>
              <w:adjustRightInd w:val="0"/>
              <w:jc w:val="center"/>
              <w:textAlignment w:val="baseline"/>
              <w:rPr>
                <w:del w:id="1671" w:author="AbbVie19" w:date="2025-04-16T10:35:00Z"/>
              </w:rPr>
            </w:pPr>
            <w:del w:id="1672" w:author="AbbVie19" w:date="2025-04-16T10:35:00Z">
              <w:r w:rsidRPr="00BC0E7E">
                <w:delText>3.3%</w:delText>
              </w:r>
            </w:del>
          </w:p>
        </w:tc>
        <w:tc>
          <w:tcPr>
            <w:tcW w:w="1550" w:type="dxa"/>
            <w:tcBorders>
              <w:right w:val="single" w:sz="6" w:space="0" w:color="auto"/>
            </w:tcBorders>
          </w:tcPr>
          <w:p w14:paraId="49377A08" w14:textId="77777777" w:rsidR="00BC0E7E" w:rsidRPr="00BC0E7E" w:rsidRDefault="00944B8F" w:rsidP="00BC0E7E">
            <w:pPr>
              <w:keepNext/>
              <w:tabs>
                <w:tab w:val="clear" w:pos="562"/>
              </w:tabs>
              <w:overflowPunct w:val="0"/>
              <w:autoSpaceDE w:val="0"/>
              <w:autoSpaceDN w:val="0"/>
              <w:adjustRightInd w:val="0"/>
              <w:jc w:val="center"/>
              <w:textAlignment w:val="baseline"/>
              <w:rPr>
                <w:del w:id="1673" w:author="AbbVie19" w:date="2025-04-16T10:35:00Z"/>
              </w:rPr>
            </w:pPr>
            <w:del w:id="1674" w:author="AbbVie19" w:date="2025-04-16T10:35:00Z">
              <w:r w:rsidRPr="00BC0E7E">
                <w:delText>23.8%</w:delText>
              </w:r>
            </w:del>
          </w:p>
        </w:tc>
        <w:tc>
          <w:tcPr>
            <w:tcW w:w="1285" w:type="dxa"/>
            <w:tcBorders>
              <w:left w:val="single" w:sz="6" w:space="0" w:color="auto"/>
            </w:tcBorders>
          </w:tcPr>
          <w:p w14:paraId="70515E71" w14:textId="77777777" w:rsidR="00BC0E7E" w:rsidRPr="00BC0E7E" w:rsidRDefault="00944B8F" w:rsidP="00BC0E7E">
            <w:pPr>
              <w:keepNext/>
              <w:tabs>
                <w:tab w:val="clear" w:pos="562"/>
                <w:tab w:val="decimal" w:pos="151"/>
              </w:tabs>
              <w:overflowPunct w:val="0"/>
              <w:autoSpaceDE w:val="0"/>
              <w:autoSpaceDN w:val="0"/>
              <w:adjustRightInd w:val="0"/>
              <w:jc w:val="center"/>
              <w:textAlignment w:val="baseline"/>
              <w:rPr>
                <w:del w:id="1675" w:author="AbbVie19" w:date="2025-04-16T10:35:00Z"/>
              </w:rPr>
            </w:pPr>
            <w:del w:id="1676" w:author="AbbVie19" w:date="2025-04-16T10:35:00Z">
              <w:r w:rsidRPr="00BC0E7E">
                <w:delText>1.8%</w:delText>
              </w:r>
            </w:del>
          </w:p>
        </w:tc>
        <w:tc>
          <w:tcPr>
            <w:tcW w:w="1276" w:type="dxa"/>
            <w:tcBorders>
              <w:right w:val="single" w:sz="6" w:space="0" w:color="auto"/>
            </w:tcBorders>
          </w:tcPr>
          <w:p w14:paraId="7CA11793" w14:textId="77777777" w:rsidR="00BC0E7E" w:rsidRPr="00BC0E7E" w:rsidRDefault="00944B8F" w:rsidP="00BC0E7E">
            <w:pPr>
              <w:keepNext/>
              <w:tabs>
                <w:tab w:val="clear" w:pos="562"/>
              </w:tabs>
              <w:overflowPunct w:val="0"/>
              <w:autoSpaceDE w:val="0"/>
              <w:autoSpaceDN w:val="0"/>
              <w:adjustRightInd w:val="0"/>
              <w:jc w:val="center"/>
              <w:textAlignment w:val="baseline"/>
              <w:rPr>
                <w:del w:id="1677" w:author="AbbVie19" w:date="2025-04-16T10:35:00Z"/>
              </w:rPr>
            </w:pPr>
            <w:del w:id="1678" w:author="AbbVie19" w:date="2025-04-16T10:35:00Z">
              <w:r w:rsidRPr="00BC0E7E">
                <w:delText>12.4%</w:delText>
              </w:r>
            </w:del>
          </w:p>
        </w:tc>
        <w:tc>
          <w:tcPr>
            <w:tcW w:w="1276" w:type="dxa"/>
            <w:tcBorders>
              <w:left w:val="single" w:sz="6" w:space="0" w:color="auto"/>
            </w:tcBorders>
          </w:tcPr>
          <w:p w14:paraId="4B124C6D" w14:textId="77777777" w:rsidR="00BC0E7E" w:rsidRPr="00BC0E7E" w:rsidRDefault="00944B8F" w:rsidP="00BC0E7E">
            <w:pPr>
              <w:keepNext/>
              <w:tabs>
                <w:tab w:val="clear" w:pos="562"/>
                <w:tab w:val="decimal" w:pos="567"/>
              </w:tabs>
              <w:overflowPunct w:val="0"/>
              <w:autoSpaceDE w:val="0"/>
              <w:autoSpaceDN w:val="0"/>
              <w:adjustRightInd w:val="0"/>
              <w:textAlignment w:val="baseline"/>
              <w:rPr>
                <w:del w:id="1679" w:author="AbbVie19" w:date="2025-04-16T10:35:00Z"/>
              </w:rPr>
            </w:pPr>
            <w:del w:id="1680" w:author="AbbVie19" w:date="2025-04-16T10:35:00Z">
              <w:r w:rsidRPr="00BC0E7E">
                <w:delText>2.5%</w:delText>
              </w:r>
            </w:del>
          </w:p>
        </w:tc>
        <w:tc>
          <w:tcPr>
            <w:tcW w:w="1417" w:type="dxa"/>
          </w:tcPr>
          <w:p w14:paraId="180ACC57" w14:textId="77777777" w:rsidR="00BC0E7E" w:rsidRPr="00BC0E7E" w:rsidRDefault="00944B8F" w:rsidP="00BC0E7E">
            <w:pPr>
              <w:keepNext/>
              <w:tabs>
                <w:tab w:val="clear" w:pos="562"/>
                <w:tab w:val="decimal" w:pos="662"/>
              </w:tabs>
              <w:overflowPunct w:val="0"/>
              <w:autoSpaceDE w:val="0"/>
              <w:autoSpaceDN w:val="0"/>
              <w:adjustRightInd w:val="0"/>
              <w:textAlignment w:val="baseline"/>
              <w:rPr>
                <w:del w:id="1681" w:author="AbbVie19" w:date="2025-04-16T10:35:00Z"/>
              </w:rPr>
            </w:pPr>
            <w:del w:id="1682" w:author="AbbVie19" w:date="2025-04-16T10:35:00Z">
              <w:r w:rsidRPr="00BC0E7E">
                <w:delText>20.8%</w:delText>
              </w:r>
            </w:del>
          </w:p>
        </w:tc>
      </w:tr>
      <w:tr w:rsidR="00C6578C" w14:paraId="3F608039" w14:textId="77777777" w:rsidTr="00171601">
        <w:trPr>
          <w:cantSplit/>
          <w:del w:id="1683" w:author="AbbVie19" w:date="2025-04-16T10:35:00Z"/>
        </w:trPr>
        <w:tc>
          <w:tcPr>
            <w:tcW w:w="1186" w:type="dxa"/>
            <w:tcBorders>
              <w:bottom w:val="single" w:sz="6" w:space="0" w:color="auto"/>
              <w:right w:val="single" w:sz="6" w:space="0" w:color="auto"/>
            </w:tcBorders>
          </w:tcPr>
          <w:p w14:paraId="525CEE80" w14:textId="77777777" w:rsidR="00BC0E7E" w:rsidRPr="00BC0E7E" w:rsidRDefault="00944B8F" w:rsidP="00BC0E7E">
            <w:pPr>
              <w:keepNext/>
              <w:tabs>
                <w:tab w:val="clear" w:pos="562"/>
                <w:tab w:val="left" w:pos="144"/>
              </w:tabs>
              <w:overflowPunct w:val="0"/>
              <w:autoSpaceDE w:val="0"/>
              <w:autoSpaceDN w:val="0"/>
              <w:adjustRightInd w:val="0"/>
              <w:textAlignment w:val="baseline"/>
              <w:rPr>
                <w:del w:id="1684" w:author="AbbVie19" w:date="2025-04-16T10:35:00Z"/>
              </w:rPr>
            </w:pPr>
            <w:del w:id="1685" w:author="AbbVie19" w:date="2025-04-16T10:35:00Z">
              <w:r w:rsidRPr="00BC0E7E">
                <w:tab/>
                <w:delText>12 months</w:delText>
              </w:r>
            </w:del>
          </w:p>
        </w:tc>
        <w:tc>
          <w:tcPr>
            <w:tcW w:w="1134" w:type="dxa"/>
            <w:tcBorders>
              <w:left w:val="single" w:sz="6" w:space="0" w:color="auto"/>
              <w:bottom w:val="single" w:sz="6" w:space="0" w:color="auto"/>
            </w:tcBorders>
          </w:tcPr>
          <w:p w14:paraId="5236774C" w14:textId="77777777" w:rsidR="00BC0E7E" w:rsidRPr="00BC0E7E" w:rsidRDefault="00944B8F" w:rsidP="00BC0E7E">
            <w:pPr>
              <w:keepNext/>
              <w:tabs>
                <w:tab w:val="clear" w:pos="562"/>
              </w:tabs>
              <w:overflowPunct w:val="0"/>
              <w:autoSpaceDE w:val="0"/>
              <w:autoSpaceDN w:val="0"/>
              <w:adjustRightInd w:val="0"/>
              <w:jc w:val="center"/>
              <w:textAlignment w:val="baseline"/>
              <w:rPr>
                <w:del w:id="1686" w:author="AbbVie19" w:date="2025-04-16T10:35:00Z"/>
                <w:lang w:val="it-IT"/>
              </w:rPr>
            </w:pPr>
            <w:del w:id="1687" w:author="AbbVie19" w:date="2025-04-16T10:35:00Z">
              <w:r w:rsidRPr="00BC0E7E">
                <w:rPr>
                  <w:lang w:val="it-IT"/>
                </w:rPr>
                <w:delText>NA</w:delText>
              </w:r>
            </w:del>
          </w:p>
        </w:tc>
        <w:tc>
          <w:tcPr>
            <w:tcW w:w="1550" w:type="dxa"/>
            <w:tcBorders>
              <w:bottom w:val="single" w:sz="6" w:space="0" w:color="auto"/>
              <w:right w:val="single" w:sz="6" w:space="0" w:color="auto"/>
            </w:tcBorders>
          </w:tcPr>
          <w:p w14:paraId="0E8B6D70" w14:textId="77777777" w:rsidR="00BC0E7E" w:rsidRPr="00BC0E7E" w:rsidRDefault="00944B8F" w:rsidP="00BC0E7E">
            <w:pPr>
              <w:keepNext/>
              <w:tabs>
                <w:tab w:val="clear" w:pos="562"/>
              </w:tabs>
              <w:overflowPunct w:val="0"/>
              <w:autoSpaceDE w:val="0"/>
              <w:autoSpaceDN w:val="0"/>
              <w:adjustRightInd w:val="0"/>
              <w:jc w:val="center"/>
              <w:textAlignment w:val="baseline"/>
              <w:rPr>
                <w:del w:id="1688" w:author="AbbVie19" w:date="2025-04-16T10:35:00Z"/>
                <w:lang w:val="it-IT"/>
              </w:rPr>
            </w:pPr>
            <w:del w:id="1689" w:author="AbbVie19" w:date="2025-04-16T10:35:00Z">
              <w:r w:rsidRPr="00BC0E7E">
                <w:rPr>
                  <w:lang w:val="it-IT"/>
                </w:rPr>
                <w:delText>NA</w:delText>
              </w:r>
            </w:del>
          </w:p>
        </w:tc>
        <w:tc>
          <w:tcPr>
            <w:tcW w:w="1285" w:type="dxa"/>
            <w:tcBorders>
              <w:left w:val="single" w:sz="6" w:space="0" w:color="auto"/>
              <w:bottom w:val="single" w:sz="6" w:space="0" w:color="auto"/>
            </w:tcBorders>
          </w:tcPr>
          <w:p w14:paraId="15F21877" w14:textId="77777777" w:rsidR="00BC0E7E" w:rsidRPr="00BC0E7E" w:rsidRDefault="00944B8F" w:rsidP="00BC0E7E">
            <w:pPr>
              <w:keepNext/>
              <w:tabs>
                <w:tab w:val="clear" w:pos="562"/>
              </w:tabs>
              <w:overflowPunct w:val="0"/>
              <w:autoSpaceDE w:val="0"/>
              <w:autoSpaceDN w:val="0"/>
              <w:adjustRightInd w:val="0"/>
              <w:jc w:val="center"/>
              <w:textAlignment w:val="baseline"/>
              <w:rPr>
                <w:del w:id="1690" w:author="AbbVie19" w:date="2025-04-16T10:35:00Z"/>
                <w:lang w:val="it-IT"/>
              </w:rPr>
            </w:pPr>
            <w:del w:id="1691" w:author="AbbVie19" w:date="2025-04-16T10:35:00Z">
              <w:r w:rsidRPr="00BC0E7E">
                <w:rPr>
                  <w:lang w:val="it-IT"/>
                </w:rPr>
                <w:delText>NA</w:delText>
              </w:r>
            </w:del>
          </w:p>
        </w:tc>
        <w:tc>
          <w:tcPr>
            <w:tcW w:w="1276" w:type="dxa"/>
            <w:tcBorders>
              <w:bottom w:val="single" w:sz="6" w:space="0" w:color="auto"/>
              <w:right w:val="single" w:sz="6" w:space="0" w:color="auto"/>
            </w:tcBorders>
          </w:tcPr>
          <w:p w14:paraId="03A1383E" w14:textId="77777777" w:rsidR="00BC0E7E" w:rsidRPr="00BC0E7E" w:rsidRDefault="00944B8F" w:rsidP="00BC0E7E">
            <w:pPr>
              <w:keepNext/>
              <w:tabs>
                <w:tab w:val="clear" w:pos="562"/>
              </w:tabs>
              <w:overflowPunct w:val="0"/>
              <w:autoSpaceDE w:val="0"/>
              <w:autoSpaceDN w:val="0"/>
              <w:adjustRightInd w:val="0"/>
              <w:jc w:val="center"/>
              <w:textAlignment w:val="baseline"/>
              <w:rPr>
                <w:del w:id="1692" w:author="AbbVie19" w:date="2025-04-16T10:35:00Z"/>
              </w:rPr>
            </w:pPr>
            <w:del w:id="1693" w:author="AbbVie19" w:date="2025-04-16T10:35:00Z">
              <w:r w:rsidRPr="00BC0E7E">
                <w:delText>NA</w:delText>
              </w:r>
            </w:del>
          </w:p>
        </w:tc>
        <w:tc>
          <w:tcPr>
            <w:tcW w:w="1276" w:type="dxa"/>
            <w:tcBorders>
              <w:left w:val="single" w:sz="6" w:space="0" w:color="auto"/>
              <w:bottom w:val="single" w:sz="6" w:space="0" w:color="auto"/>
            </w:tcBorders>
          </w:tcPr>
          <w:p w14:paraId="5AF7600A" w14:textId="77777777" w:rsidR="00BC0E7E" w:rsidRPr="00BC0E7E" w:rsidRDefault="00944B8F" w:rsidP="00BC0E7E">
            <w:pPr>
              <w:keepNext/>
              <w:tabs>
                <w:tab w:val="clear" w:pos="562"/>
                <w:tab w:val="decimal" w:pos="567"/>
              </w:tabs>
              <w:overflowPunct w:val="0"/>
              <w:autoSpaceDE w:val="0"/>
              <w:autoSpaceDN w:val="0"/>
              <w:adjustRightInd w:val="0"/>
              <w:textAlignment w:val="baseline"/>
              <w:rPr>
                <w:del w:id="1694" w:author="AbbVie19" w:date="2025-04-16T10:35:00Z"/>
              </w:rPr>
            </w:pPr>
            <w:del w:id="1695" w:author="AbbVie19" w:date="2025-04-16T10:35:00Z">
              <w:r w:rsidRPr="00BC0E7E">
                <w:delText>4.5%</w:delText>
              </w:r>
            </w:del>
          </w:p>
        </w:tc>
        <w:tc>
          <w:tcPr>
            <w:tcW w:w="1417" w:type="dxa"/>
            <w:tcBorders>
              <w:bottom w:val="single" w:sz="6" w:space="0" w:color="auto"/>
            </w:tcBorders>
          </w:tcPr>
          <w:p w14:paraId="5F2C3E57" w14:textId="77777777" w:rsidR="00BC0E7E" w:rsidRPr="00BC0E7E" w:rsidRDefault="00944B8F" w:rsidP="00BC0E7E">
            <w:pPr>
              <w:keepNext/>
              <w:tabs>
                <w:tab w:val="clear" w:pos="562"/>
                <w:tab w:val="decimal" w:pos="662"/>
              </w:tabs>
              <w:overflowPunct w:val="0"/>
              <w:autoSpaceDE w:val="0"/>
              <w:autoSpaceDN w:val="0"/>
              <w:adjustRightInd w:val="0"/>
              <w:textAlignment w:val="baseline"/>
              <w:rPr>
                <w:del w:id="1696" w:author="AbbVie19" w:date="2025-04-16T10:35:00Z"/>
              </w:rPr>
            </w:pPr>
            <w:del w:id="1697" w:author="AbbVie19" w:date="2025-04-16T10:35:00Z">
              <w:r w:rsidRPr="00BC0E7E">
                <w:delText>23.2%</w:delText>
              </w:r>
            </w:del>
          </w:p>
        </w:tc>
      </w:tr>
      <w:tr w:rsidR="00C6578C" w14:paraId="5C3F28FE" w14:textId="77777777" w:rsidTr="00171601">
        <w:trPr>
          <w:cantSplit/>
          <w:del w:id="1698" w:author="AbbVie19" w:date="2025-04-16T10:35:00Z"/>
        </w:trPr>
        <w:tc>
          <w:tcPr>
            <w:tcW w:w="9124" w:type="dxa"/>
            <w:gridSpan w:val="7"/>
          </w:tcPr>
          <w:p w14:paraId="7423E4C5" w14:textId="77777777" w:rsidR="00BC0E7E" w:rsidRPr="00BC0E7E" w:rsidRDefault="00944B8F" w:rsidP="00BC0E7E">
            <w:pPr>
              <w:keepNext/>
              <w:tabs>
                <w:tab w:val="clear" w:pos="562"/>
                <w:tab w:val="left" w:pos="142"/>
              </w:tabs>
              <w:overflowPunct w:val="0"/>
              <w:autoSpaceDE w:val="0"/>
              <w:autoSpaceDN w:val="0"/>
              <w:adjustRightInd w:val="0"/>
              <w:ind w:left="144" w:hanging="144"/>
              <w:textAlignment w:val="baseline"/>
              <w:rPr>
                <w:del w:id="1699" w:author="AbbVie19" w:date="2025-04-16T10:35:00Z"/>
              </w:rPr>
            </w:pPr>
            <w:del w:id="1700" w:author="AbbVie19" w:date="2025-04-16T10:35:00Z">
              <w:r w:rsidRPr="00BC0E7E">
                <w:rPr>
                  <w:vertAlign w:val="superscript"/>
                </w:rPr>
                <w:delText>a</w:delText>
              </w:r>
              <w:r w:rsidRPr="00BC0E7E">
                <w:tab/>
                <w:delText>RA  study I at 24 weeks, RA study II at 26 weeks , and RA study III at 24 and 52 weeks</w:delText>
              </w:r>
            </w:del>
          </w:p>
          <w:p w14:paraId="200C4025" w14:textId="77777777" w:rsidR="00BC0E7E" w:rsidRPr="00BC0E7E" w:rsidRDefault="00944B8F" w:rsidP="00BC0E7E">
            <w:pPr>
              <w:keepNext/>
              <w:tabs>
                <w:tab w:val="clear" w:pos="562"/>
                <w:tab w:val="left" w:pos="142"/>
              </w:tabs>
              <w:overflowPunct w:val="0"/>
              <w:autoSpaceDE w:val="0"/>
              <w:autoSpaceDN w:val="0"/>
              <w:adjustRightInd w:val="0"/>
              <w:ind w:left="144" w:hanging="144"/>
              <w:textAlignment w:val="baseline"/>
              <w:rPr>
                <w:del w:id="1701" w:author="AbbVie19" w:date="2025-04-16T10:35:00Z"/>
              </w:rPr>
            </w:pPr>
            <w:del w:id="1702" w:author="AbbVie19" w:date="2025-04-16T10:35:00Z">
              <w:r w:rsidRPr="00BC0E7E">
                <w:rPr>
                  <w:vertAlign w:val="superscript"/>
                </w:rPr>
                <w:delText>b</w:delText>
              </w:r>
              <w:r w:rsidRPr="00BC0E7E">
                <w:tab/>
                <w:delText>40 mg Humira administered every other week</w:delText>
              </w:r>
            </w:del>
          </w:p>
          <w:p w14:paraId="1105988C" w14:textId="77777777" w:rsidR="00BC0E7E" w:rsidRPr="00762FA7" w:rsidRDefault="00944B8F" w:rsidP="00BC0E7E">
            <w:pPr>
              <w:keepNext/>
              <w:tabs>
                <w:tab w:val="clear" w:pos="562"/>
                <w:tab w:val="left" w:pos="142"/>
              </w:tabs>
              <w:overflowPunct w:val="0"/>
              <w:autoSpaceDE w:val="0"/>
              <w:autoSpaceDN w:val="0"/>
              <w:adjustRightInd w:val="0"/>
              <w:ind w:left="144" w:hanging="144"/>
              <w:textAlignment w:val="baseline"/>
              <w:rPr>
                <w:del w:id="1703" w:author="AbbVie19" w:date="2025-04-16T10:35:00Z"/>
                <w:lang w:val="fr-FR"/>
              </w:rPr>
            </w:pPr>
            <w:del w:id="1704" w:author="AbbVie19" w:date="2025-04-16T10:35:00Z">
              <w:r w:rsidRPr="00762FA7">
                <w:rPr>
                  <w:vertAlign w:val="superscript"/>
                  <w:lang w:val="fr-FR"/>
                </w:rPr>
                <w:delText>c</w:delText>
              </w:r>
              <w:r w:rsidRPr="00762FA7">
                <w:rPr>
                  <w:lang w:val="fr-FR"/>
                </w:rPr>
                <w:delText xml:space="preserve"> MTX = methotrexate</w:delText>
              </w:r>
            </w:del>
          </w:p>
          <w:p w14:paraId="1EB9E2D1" w14:textId="77777777" w:rsidR="00BC0E7E" w:rsidRPr="00762FA7" w:rsidRDefault="00944B8F" w:rsidP="00BC0E7E">
            <w:pPr>
              <w:keepNext/>
              <w:tabs>
                <w:tab w:val="clear" w:pos="562"/>
                <w:tab w:val="left" w:pos="142"/>
              </w:tabs>
              <w:overflowPunct w:val="0"/>
              <w:autoSpaceDE w:val="0"/>
              <w:autoSpaceDN w:val="0"/>
              <w:adjustRightInd w:val="0"/>
              <w:ind w:left="144" w:hanging="144"/>
              <w:textAlignment w:val="baseline"/>
              <w:rPr>
                <w:del w:id="1705" w:author="AbbVie19" w:date="2025-04-16T10:35:00Z"/>
                <w:lang w:val="fr-FR"/>
              </w:rPr>
            </w:pPr>
            <w:del w:id="1706" w:author="AbbVie19" w:date="2025-04-16T10:35:00Z">
              <w:r w:rsidRPr="00762FA7">
                <w:rPr>
                  <w:lang w:val="fr-FR"/>
                </w:rPr>
                <w:delText xml:space="preserve">**p &lt; 0.01, Humira </w:delText>
              </w:r>
              <w:r w:rsidRPr="00762FA7">
                <w:rPr>
                  <w:i/>
                  <w:iCs/>
                  <w:lang w:val="fr-FR"/>
                </w:rPr>
                <w:delText xml:space="preserve">versus </w:delText>
              </w:r>
              <w:r w:rsidRPr="00762FA7">
                <w:rPr>
                  <w:lang w:val="fr-FR"/>
                </w:rPr>
                <w:delText>placebo</w:delText>
              </w:r>
            </w:del>
          </w:p>
        </w:tc>
      </w:tr>
    </w:tbl>
    <w:p w14:paraId="7E147388" w14:textId="77777777" w:rsidR="00BC0E7E" w:rsidRPr="00762FA7" w:rsidRDefault="00BC0E7E" w:rsidP="00BC0E7E">
      <w:pPr>
        <w:rPr>
          <w:del w:id="1707" w:author="AbbVie19" w:date="2025-04-16T10:35:00Z"/>
          <w:lang w:val="fr-FR"/>
        </w:rPr>
      </w:pPr>
    </w:p>
    <w:p w14:paraId="71A131BF" w14:textId="77777777" w:rsidR="00BC0E7E" w:rsidRPr="00BC0E7E" w:rsidRDefault="00944B8F" w:rsidP="00BC0E7E">
      <w:pPr>
        <w:rPr>
          <w:del w:id="1708" w:author="AbbVie19" w:date="2025-04-16T10:35:00Z"/>
        </w:rPr>
      </w:pPr>
      <w:del w:id="1709" w:author="AbbVie19" w:date="2025-04-16T10:35:00Z">
        <w:r w:rsidRPr="00BC0E7E">
          <w:delText xml:space="preserve">In RA studies I-IV, all individual components of the ACR response criteria (number of tender and swollen joints, physician and patient assessment of disease activity and pain, disability index (HAQ) scores and CRP (mg/dl) values) improved at 24 or 26 weeks compared to placebo. In RA study III, these improvements were maintained throughout 52 weeks. </w:delText>
        </w:r>
      </w:del>
    </w:p>
    <w:p w14:paraId="4FFE6AA4" w14:textId="77777777" w:rsidR="00BC0E7E" w:rsidRPr="00BC0E7E" w:rsidRDefault="00BC0E7E" w:rsidP="00BC0E7E">
      <w:pPr>
        <w:rPr>
          <w:del w:id="1710" w:author="AbbVie19" w:date="2025-04-16T10:35:00Z"/>
        </w:rPr>
      </w:pPr>
    </w:p>
    <w:p w14:paraId="6E4DF1F6" w14:textId="77777777" w:rsidR="00BC0E7E" w:rsidRPr="00BC0E7E" w:rsidRDefault="00944B8F" w:rsidP="00BC0E7E">
      <w:pPr>
        <w:rPr>
          <w:del w:id="1711" w:author="AbbVie19" w:date="2025-04-16T10:35:00Z"/>
        </w:rPr>
      </w:pPr>
      <w:del w:id="1712" w:author="AbbVie19" w:date="2025-04-16T10:35:00Z">
        <w:r w:rsidRPr="00BC0E7E">
          <w:delText>In the open-label extension for RA study III, most patients who were ACR responders maintained response when followed for up to 10 years. Of 207 patients</w:delText>
        </w:r>
        <w:r w:rsidRPr="00BC0E7E">
          <w:rPr>
            <w:color w:val="FF0000"/>
          </w:rPr>
          <w:delText xml:space="preserve"> </w:delText>
        </w:r>
        <w:r w:rsidRPr="00BC0E7E">
          <w:delText>who were randomised to Humira 40 mg every other week, 114 patients continued on Humira 40 mg every other week for 5 years. Among those, 86 patients (75.4%) had ACR 20 responses; 72 patients (63.2%) had ACR 50 responses; and 41 patients (36%) had ACR 70 responses. Of 207 patients, 81 patients continued on Humira 40 mg every other week for 10 years. Among those, 64 patients (79.0%) had ACR 20 responses; 56 patients (69.1%) had ACR 50 responses; and 43 patients (53.1%) had ACR 70 responses.</w:delText>
        </w:r>
      </w:del>
    </w:p>
    <w:p w14:paraId="3F486925" w14:textId="77777777" w:rsidR="00BC0E7E" w:rsidRPr="00BC0E7E" w:rsidRDefault="00BC0E7E" w:rsidP="00BC0E7E">
      <w:pPr>
        <w:rPr>
          <w:del w:id="1713" w:author="AbbVie19" w:date="2025-04-16T10:35:00Z"/>
        </w:rPr>
      </w:pPr>
    </w:p>
    <w:p w14:paraId="57F6972B" w14:textId="77777777" w:rsidR="00BC0E7E" w:rsidRPr="00BC0E7E" w:rsidRDefault="00944B8F" w:rsidP="00BC0E7E">
      <w:pPr>
        <w:rPr>
          <w:del w:id="1714" w:author="AbbVie19" w:date="2025-04-16T10:35:00Z"/>
        </w:rPr>
      </w:pPr>
      <w:del w:id="1715" w:author="AbbVie19" w:date="2025-04-16T10:35:00Z">
        <w:r w:rsidRPr="00BC0E7E">
          <w:delText xml:space="preserve">In RA study IV, the ACR 20 response of patients treated with Humira plus standard of care was statistically significantly better than patients treated with placebo plus standard of care (p &lt; 0.001).  </w:delText>
        </w:r>
      </w:del>
    </w:p>
    <w:p w14:paraId="2A122796" w14:textId="77777777" w:rsidR="00BC0E7E" w:rsidRPr="00BC0E7E" w:rsidRDefault="00BC0E7E" w:rsidP="00BC0E7E">
      <w:pPr>
        <w:tabs>
          <w:tab w:val="clear" w:pos="562"/>
        </w:tabs>
        <w:suppressAutoHyphens w:val="0"/>
        <w:overflowPunct w:val="0"/>
        <w:autoSpaceDE w:val="0"/>
        <w:autoSpaceDN w:val="0"/>
        <w:adjustRightInd w:val="0"/>
        <w:textAlignment w:val="baseline"/>
        <w:rPr>
          <w:del w:id="1716" w:author="AbbVie19" w:date="2025-04-16T10:35:00Z"/>
          <w:szCs w:val="20"/>
        </w:rPr>
      </w:pPr>
    </w:p>
    <w:p w14:paraId="15856C9A" w14:textId="77777777" w:rsidR="00BC0E7E" w:rsidRPr="00BC0E7E" w:rsidRDefault="00944B8F" w:rsidP="00BC0E7E">
      <w:pPr>
        <w:rPr>
          <w:del w:id="1717" w:author="AbbVie19" w:date="2025-04-16T10:35:00Z"/>
        </w:rPr>
      </w:pPr>
      <w:del w:id="1718" w:author="AbbVie19" w:date="2025-04-16T10:35:00Z">
        <w:r w:rsidRPr="00BC0E7E">
          <w:delText>In RA studies I-IV, Humira-treated patients achieved statistically significant ACR 20 and 50 responses compared to placebo as early as one to two weeks after initiation of treatment.</w:delText>
        </w:r>
      </w:del>
    </w:p>
    <w:p w14:paraId="3AA411E2" w14:textId="77777777" w:rsidR="00BC0E7E" w:rsidRPr="00BC0E7E" w:rsidRDefault="00BC0E7E" w:rsidP="00BC0E7E">
      <w:pPr>
        <w:rPr>
          <w:del w:id="1719" w:author="AbbVie19" w:date="2025-04-16T10:35:00Z"/>
        </w:rPr>
      </w:pPr>
    </w:p>
    <w:p w14:paraId="434EDEF2" w14:textId="77777777" w:rsidR="00BC0E7E" w:rsidRPr="00BC0E7E" w:rsidRDefault="00944B8F" w:rsidP="00BC0E7E">
      <w:pPr>
        <w:rPr>
          <w:del w:id="1720" w:author="AbbVie19" w:date="2025-04-16T10:35:00Z"/>
        </w:rPr>
      </w:pPr>
      <w:del w:id="1721" w:author="AbbVie19" w:date="2025-04-16T10:35:00Z">
        <w:r w:rsidRPr="00BC0E7E">
          <w:delText xml:space="preserve">In RA study V with early rheumatoid arthritis patients who were methotrexate naïve, combination therapy with Humira and methotrexate led to faster and significantly greater ACR responses than methotrexate monotherapy and Humira monotherapy at Week 52 and responses were sustained at Week 104 (see Table </w:delText>
        </w:r>
        <w:r w:rsidR="00EE7833">
          <w:delText>9</w:delText>
        </w:r>
        <w:r w:rsidRPr="00BC0E7E">
          <w:delText>).</w:delText>
        </w:r>
      </w:del>
    </w:p>
    <w:p w14:paraId="43CBCD92" w14:textId="77777777" w:rsidR="00BC0E7E" w:rsidRPr="00BC0E7E" w:rsidRDefault="00BC0E7E" w:rsidP="00BC0E7E">
      <w:pPr>
        <w:keepNext/>
        <w:rPr>
          <w:del w:id="1722" w:author="AbbVie19" w:date="2025-04-16T10:35:00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1718"/>
        <w:gridCol w:w="1320"/>
        <w:gridCol w:w="1320"/>
        <w:gridCol w:w="1576"/>
        <w:gridCol w:w="1100"/>
        <w:gridCol w:w="1173"/>
        <w:gridCol w:w="1210"/>
        <w:gridCol w:w="12"/>
      </w:tblGrid>
      <w:tr w:rsidR="00C6578C" w14:paraId="4A5FFB9A" w14:textId="77777777" w:rsidTr="00171601">
        <w:trPr>
          <w:gridBefore w:val="1"/>
          <w:wBefore w:w="6" w:type="dxa"/>
          <w:cantSplit/>
          <w:jc w:val="center"/>
          <w:del w:id="1723" w:author="AbbVie19" w:date="2025-04-16T10:35:00Z"/>
        </w:trPr>
        <w:tc>
          <w:tcPr>
            <w:tcW w:w="9429" w:type="dxa"/>
            <w:gridSpan w:val="8"/>
            <w:tcBorders>
              <w:top w:val="nil"/>
              <w:left w:val="nil"/>
              <w:bottom w:val="nil"/>
              <w:right w:val="nil"/>
            </w:tcBorders>
            <w:vAlign w:val="center"/>
          </w:tcPr>
          <w:p w14:paraId="7C9A23D7" w14:textId="77777777" w:rsidR="00BC0E7E" w:rsidRPr="003F7AAE" w:rsidRDefault="00944B8F" w:rsidP="00BC0E7E">
            <w:pPr>
              <w:keepNext/>
              <w:tabs>
                <w:tab w:val="left" w:pos="3600"/>
                <w:tab w:val="center" w:pos="5760"/>
              </w:tabs>
              <w:jc w:val="center"/>
              <w:rPr>
                <w:del w:id="1724" w:author="AbbVie19" w:date="2025-04-16T10:35:00Z"/>
                <w:iCs/>
              </w:rPr>
            </w:pPr>
            <w:del w:id="1725" w:author="AbbVie19" w:date="2025-04-16T10:35:00Z">
              <w:r w:rsidRPr="00BC0E7E">
                <w:rPr>
                  <w:b/>
                  <w:iCs/>
                </w:rPr>
                <w:delText xml:space="preserve">Table </w:delText>
              </w:r>
              <w:r w:rsidR="00EE7833">
                <w:rPr>
                  <w:b/>
                  <w:iCs/>
                </w:rPr>
                <w:delText>9</w:delText>
              </w:r>
              <w:r w:rsidRPr="00BC0E7E">
                <w:rPr>
                  <w:b/>
                  <w:iCs/>
                </w:rPr>
                <w:delText xml:space="preserve"> ACR Responses in RA Study V</w:delText>
              </w:r>
            </w:del>
          </w:p>
          <w:p w14:paraId="405DEC16" w14:textId="77777777" w:rsidR="00BC0E7E" w:rsidRPr="003F7AAE" w:rsidRDefault="00944B8F" w:rsidP="00BC0E7E">
            <w:pPr>
              <w:keepNext/>
              <w:tabs>
                <w:tab w:val="left" w:pos="3600"/>
                <w:tab w:val="center" w:pos="5760"/>
              </w:tabs>
              <w:jc w:val="center"/>
              <w:rPr>
                <w:del w:id="1726" w:author="AbbVie19" w:date="2025-04-16T10:35:00Z"/>
                <w:bCs/>
                <w:caps/>
              </w:rPr>
            </w:pPr>
            <w:del w:id="1727" w:author="AbbVie19" w:date="2025-04-16T10:35:00Z">
              <w:r w:rsidRPr="00BC0E7E">
                <w:rPr>
                  <w:b/>
                  <w:bCs/>
                </w:rPr>
                <w:delText>(percent of patients</w:delText>
              </w:r>
              <w:r w:rsidRPr="00BC0E7E">
                <w:rPr>
                  <w:b/>
                  <w:bCs/>
                  <w:caps/>
                </w:rPr>
                <w:delText>)</w:delText>
              </w:r>
            </w:del>
          </w:p>
          <w:p w14:paraId="6E36E0EE" w14:textId="77777777" w:rsidR="00BC0E7E" w:rsidRPr="00BC0E7E" w:rsidRDefault="00BC0E7E" w:rsidP="00BC0E7E">
            <w:pPr>
              <w:keepNext/>
              <w:tabs>
                <w:tab w:val="left" w:pos="3600"/>
                <w:tab w:val="center" w:pos="5760"/>
              </w:tabs>
              <w:jc w:val="center"/>
              <w:rPr>
                <w:del w:id="1728" w:author="AbbVie19" w:date="2025-04-16T10:35:00Z"/>
                <w:b/>
                <w:bCs/>
              </w:rPr>
            </w:pPr>
          </w:p>
        </w:tc>
      </w:tr>
      <w:tr w:rsidR="00C6578C" w14:paraId="6A22D508" w14:textId="77777777" w:rsidTr="00171601">
        <w:trPr>
          <w:gridAfter w:val="1"/>
          <w:wAfter w:w="12" w:type="dxa"/>
          <w:cantSplit/>
          <w:jc w:val="center"/>
          <w:del w:id="1729" w:author="AbbVie19" w:date="2025-04-16T10:35:00Z"/>
        </w:trPr>
        <w:tc>
          <w:tcPr>
            <w:tcW w:w="1724" w:type="dxa"/>
            <w:gridSpan w:val="2"/>
            <w:vAlign w:val="center"/>
          </w:tcPr>
          <w:p w14:paraId="5F442793" w14:textId="77777777" w:rsidR="00BC0E7E" w:rsidRPr="00762FA7" w:rsidRDefault="00944B8F" w:rsidP="00BC0E7E">
            <w:pPr>
              <w:keepNext/>
              <w:rPr>
                <w:del w:id="1730" w:author="AbbVie19" w:date="2025-04-16T10:35:00Z"/>
                <w:b/>
                <w:bCs/>
                <w:lang w:val="fr-FR"/>
              </w:rPr>
            </w:pPr>
            <w:del w:id="1731" w:author="AbbVie19" w:date="2025-04-16T10:35:00Z">
              <w:r w:rsidRPr="00762FA7">
                <w:rPr>
                  <w:b/>
                  <w:bCs/>
                  <w:lang w:val="fr-FR"/>
                </w:rPr>
                <w:delText>Response</w:delText>
              </w:r>
            </w:del>
          </w:p>
        </w:tc>
        <w:tc>
          <w:tcPr>
            <w:tcW w:w="1320" w:type="dxa"/>
            <w:vAlign w:val="center"/>
          </w:tcPr>
          <w:p w14:paraId="54AF0A11" w14:textId="77777777" w:rsidR="00BC0E7E" w:rsidRPr="00762FA7" w:rsidRDefault="00944B8F" w:rsidP="00BC0E7E">
            <w:pPr>
              <w:keepNext/>
              <w:jc w:val="center"/>
              <w:rPr>
                <w:del w:id="1732" w:author="AbbVie19" w:date="2025-04-16T10:35:00Z"/>
                <w:b/>
                <w:bCs/>
                <w:lang w:val="fr-FR"/>
              </w:rPr>
            </w:pPr>
            <w:del w:id="1733" w:author="AbbVie19" w:date="2025-04-16T10:35:00Z">
              <w:r w:rsidRPr="00762FA7">
                <w:rPr>
                  <w:b/>
                  <w:bCs/>
                  <w:lang w:val="fr-FR"/>
                </w:rPr>
                <w:delText>MTX</w:delText>
              </w:r>
            </w:del>
          </w:p>
          <w:p w14:paraId="5A221BF2" w14:textId="77777777" w:rsidR="00BC0E7E" w:rsidRPr="00762FA7" w:rsidRDefault="00944B8F" w:rsidP="00BC0E7E">
            <w:pPr>
              <w:keepNext/>
              <w:jc w:val="center"/>
              <w:rPr>
                <w:del w:id="1734" w:author="AbbVie19" w:date="2025-04-16T10:35:00Z"/>
                <w:b/>
                <w:bCs/>
                <w:lang w:val="fr-FR"/>
              </w:rPr>
            </w:pPr>
            <w:del w:id="1735" w:author="AbbVie19" w:date="2025-04-16T10:35:00Z">
              <w:r w:rsidRPr="00762FA7">
                <w:rPr>
                  <w:b/>
                  <w:bCs/>
                  <w:lang w:val="fr-FR"/>
                </w:rPr>
                <w:delText>n=257</w:delText>
              </w:r>
            </w:del>
          </w:p>
        </w:tc>
        <w:tc>
          <w:tcPr>
            <w:tcW w:w="1320" w:type="dxa"/>
            <w:vAlign w:val="center"/>
          </w:tcPr>
          <w:p w14:paraId="6996F0B9" w14:textId="77777777" w:rsidR="00BC0E7E" w:rsidRPr="00762FA7" w:rsidRDefault="00944B8F" w:rsidP="00BC0E7E">
            <w:pPr>
              <w:keepNext/>
              <w:jc w:val="center"/>
              <w:rPr>
                <w:del w:id="1736" w:author="AbbVie19" w:date="2025-04-16T10:35:00Z"/>
                <w:b/>
                <w:bCs/>
                <w:lang w:val="fr-FR"/>
              </w:rPr>
            </w:pPr>
            <w:del w:id="1737" w:author="AbbVie19" w:date="2025-04-16T10:35:00Z">
              <w:r w:rsidRPr="00762FA7">
                <w:rPr>
                  <w:b/>
                  <w:bCs/>
                  <w:lang w:val="fr-FR"/>
                </w:rPr>
                <w:delText>Humira</w:delText>
              </w:r>
            </w:del>
          </w:p>
          <w:p w14:paraId="5E9DD2EE" w14:textId="77777777" w:rsidR="00BC0E7E" w:rsidRPr="00762FA7" w:rsidRDefault="00944B8F" w:rsidP="00BC0E7E">
            <w:pPr>
              <w:keepNext/>
              <w:jc w:val="center"/>
              <w:rPr>
                <w:del w:id="1738" w:author="AbbVie19" w:date="2025-04-16T10:35:00Z"/>
                <w:b/>
                <w:bCs/>
                <w:lang w:val="fr-FR"/>
              </w:rPr>
            </w:pPr>
            <w:del w:id="1739" w:author="AbbVie19" w:date="2025-04-16T10:35:00Z">
              <w:r w:rsidRPr="00762FA7">
                <w:rPr>
                  <w:b/>
                  <w:bCs/>
                  <w:lang w:val="fr-FR"/>
                </w:rPr>
                <w:delText>n=274</w:delText>
              </w:r>
            </w:del>
          </w:p>
        </w:tc>
        <w:tc>
          <w:tcPr>
            <w:tcW w:w="1576" w:type="dxa"/>
            <w:vAlign w:val="center"/>
          </w:tcPr>
          <w:p w14:paraId="67B1D99D" w14:textId="77777777" w:rsidR="00BC0E7E" w:rsidRPr="00762FA7" w:rsidRDefault="00944B8F" w:rsidP="00BC0E7E">
            <w:pPr>
              <w:keepNext/>
              <w:jc w:val="center"/>
              <w:rPr>
                <w:del w:id="1740" w:author="AbbVie19" w:date="2025-04-16T10:35:00Z"/>
                <w:b/>
                <w:bCs/>
                <w:lang w:val="fr-FR"/>
              </w:rPr>
            </w:pPr>
            <w:del w:id="1741" w:author="AbbVie19" w:date="2025-04-16T10:35:00Z">
              <w:r w:rsidRPr="00762FA7">
                <w:rPr>
                  <w:b/>
                  <w:bCs/>
                  <w:lang w:val="fr-FR"/>
                </w:rPr>
                <w:delText>Humira/MTX</w:delText>
              </w:r>
            </w:del>
          </w:p>
          <w:p w14:paraId="2CF63E1E" w14:textId="77777777" w:rsidR="00BC0E7E" w:rsidRPr="00762FA7" w:rsidRDefault="00944B8F" w:rsidP="00BC0E7E">
            <w:pPr>
              <w:keepNext/>
              <w:jc w:val="center"/>
              <w:rPr>
                <w:del w:id="1742" w:author="AbbVie19" w:date="2025-04-16T10:35:00Z"/>
                <w:b/>
                <w:bCs/>
                <w:lang w:val="fr-FR"/>
              </w:rPr>
            </w:pPr>
            <w:del w:id="1743" w:author="AbbVie19" w:date="2025-04-16T10:35:00Z">
              <w:r w:rsidRPr="00762FA7">
                <w:rPr>
                  <w:b/>
                  <w:bCs/>
                  <w:lang w:val="fr-FR"/>
                </w:rPr>
                <w:delText>n=268</w:delText>
              </w:r>
            </w:del>
          </w:p>
        </w:tc>
        <w:tc>
          <w:tcPr>
            <w:tcW w:w="1100" w:type="dxa"/>
            <w:vAlign w:val="center"/>
          </w:tcPr>
          <w:p w14:paraId="7DB9D5D1" w14:textId="77777777" w:rsidR="00BC0E7E" w:rsidRPr="00762FA7" w:rsidRDefault="00944B8F" w:rsidP="00BC0E7E">
            <w:pPr>
              <w:keepNext/>
              <w:jc w:val="center"/>
              <w:rPr>
                <w:del w:id="1744" w:author="AbbVie19" w:date="2025-04-16T10:35:00Z"/>
                <w:b/>
                <w:bCs/>
                <w:lang w:val="fr-FR"/>
              </w:rPr>
            </w:pPr>
            <w:del w:id="1745" w:author="AbbVie19" w:date="2025-04-16T10:35:00Z">
              <w:r w:rsidRPr="00762FA7">
                <w:rPr>
                  <w:b/>
                  <w:bCs/>
                  <w:lang w:val="fr-FR"/>
                </w:rPr>
                <w:delText>p-value</w:delText>
              </w:r>
              <w:r w:rsidRPr="00762FA7">
                <w:rPr>
                  <w:b/>
                  <w:bCs/>
                  <w:vertAlign w:val="superscript"/>
                  <w:lang w:val="fr-FR"/>
                </w:rPr>
                <w:delText>a</w:delText>
              </w:r>
            </w:del>
          </w:p>
        </w:tc>
        <w:tc>
          <w:tcPr>
            <w:tcW w:w="1173" w:type="dxa"/>
            <w:vAlign w:val="center"/>
          </w:tcPr>
          <w:p w14:paraId="5D4CB9B8" w14:textId="77777777" w:rsidR="00BC0E7E" w:rsidRPr="00762FA7" w:rsidRDefault="00944B8F" w:rsidP="00BC0E7E">
            <w:pPr>
              <w:keepNext/>
              <w:jc w:val="center"/>
              <w:rPr>
                <w:del w:id="1746" w:author="AbbVie19" w:date="2025-04-16T10:35:00Z"/>
                <w:b/>
                <w:bCs/>
                <w:lang w:val="fr-FR"/>
              </w:rPr>
            </w:pPr>
            <w:del w:id="1747" w:author="AbbVie19" w:date="2025-04-16T10:35:00Z">
              <w:r w:rsidRPr="00762FA7">
                <w:rPr>
                  <w:b/>
                  <w:bCs/>
                  <w:lang w:val="fr-FR"/>
                </w:rPr>
                <w:delText>p-value</w:delText>
              </w:r>
              <w:r w:rsidRPr="00762FA7">
                <w:rPr>
                  <w:b/>
                  <w:bCs/>
                  <w:vertAlign w:val="superscript"/>
                  <w:lang w:val="fr-FR"/>
                </w:rPr>
                <w:delText>b</w:delText>
              </w:r>
            </w:del>
          </w:p>
        </w:tc>
        <w:tc>
          <w:tcPr>
            <w:tcW w:w="1210" w:type="dxa"/>
            <w:vAlign w:val="center"/>
          </w:tcPr>
          <w:p w14:paraId="637DBF5A" w14:textId="77777777" w:rsidR="00BC0E7E" w:rsidRPr="00BC0E7E" w:rsidRDefault="00944B8F" w:rsidP="00BC0E7E">
            <w:pPr>
              <w:keepNext/>
              <w:jc w:val="center"/>
              <w:rPr>
                <w:del w:id="1748" w:author="AbbVie19" w:date="2025-04-16T10:35:00Z"/>
              </w:rPr>
            </w:pPr>
            <w:del w:id="1749" w:author="AbbVie19" w:date="2025-04-16T10:35:00Z">
              <w:r w:rsidRPr="00BC0E7E">
                <w:rPr>
                  <w:b/>
                  <w:bCs/>
                </w:rPr>
                <w:delText>p-value</w:delText>
              </w:r>
              <w:r w:rsidRPr="00BC0E7E">
                <w:rPr>
                  <w:b/>
                  <w:bCs/>
                  <w:vertAlign w:val="superscript"/>
                </w:rPr>
                <w:delText>c</w:delText>
              </w:r>
            </w:del>
          </w:p>
        </w:tc>
      </w:tr>
      <w:tr w:rsidR="00C6578C" w14:paraId="05DC52C3" w14:textId="77777777" w:rsidTr="00171601">
        <w:trPr>
          <w:gridAfter w:val="1"/>
          <w:wAfter w:w="12" w:type="dxa"/>
          <w:cantSplit/>
          <w:jc w:val="center"/>
          <w:del w:id="1750" w:author="AbbVie19" w:date="2025-04-16T10:35:00Z"/>
        </w:trPr>
        <w:tc>
          <w:tcPr>
            <w:tcW w:w="1724" w:type="dxa"/>
            <w:gridSpan w:val="2"/>
          </w:tcPr>
          <w:p w14:paraId="55537EFA" w14:textId="77777777" w:rsidR="00BC0E7E" w:rsidRPr="00BC0E7E" w:rsidRDefault="00944B8F" w:rsidP="00BC0E7E">
            <w:pPr>
              <w:keepNext/>
              <w:rPr>
                <w:del w:id="1751" w:author="AbbVie19" w:date="2025-04-16T10:35:00Z"/>
              </w:rPr>
            </w:pPr>
            <w:del w:id="1752" w:author="AbbVie19" w:date="2025-04-16T10:35:00Z">
              <w:r w:rsidRPr="00BC0E7E">
                <w:delText>ACR 20</w:delText>
              </w:r>
            </w:del>
          </w:p>
        </w:tc>
        <w:tc>
          <w:tcPr>
            <w:tcW w:w="1320" w:type="dxa"/>
          </w:tcPr>
          <w:p w14:paraId="7F3B2C4F" w14:textId="77777777" w:rsidR="00BC0E7E" w:rsidRPr="00BC0E7E" w:rsidRDefault="00BC0E7E" w:rsidP="00BC0E7E">
            <w:pPr>
              <w:keepNext/>
              <w:jc w:val="center"/>
              <w:rPr>
                <w:del w:id="1753" w:author="AbbVie19" w:date="2025-04-16T10:35:00Z"/>
              </w:rPr>
            </w:pPr>
          </w:p>
        </w:tc>
        <w:tc>
          <w:tcPr>
            <w:tcW w:w="1320" w:type="dxa"/>
          </w:tcPr>
          <w:p w14:paraId="1C1FDDB2" w14:textId="77777777" w:rsidR="00BC0E7E" w:rsidRPr="00BC0E7E" w:rsidRDefault="00BC0E7E" w:rsidP="00BC0E7E">
            <w:pPr>
              <w:keepNext/>
              <w:jc w:val="center"/>
              <w:rPr>
                <w:del w:id="1754" w:author="AbbVie19" w:date="2025-04-16T10:35:00Z"/>
              </w:rPr>
            </w:pPr>
          </w:p>
        </w:tc>
        <w:tc>
          <w:tcPr>
            <w:tcW w:w="1576" w:type="dxa"/>
          </w:tcPr>
          <w:p w14:paraId="0D88A70C" w14:textId="77777777" w:rsidR="00BC0E7E" w:rsidRPr="00BC0E7E" w:rsidRDefault="00BC0E7E" w:rsidP="00BC0E7E">
            <w:pPr>
              <w:keepNext/>
              <w:jc w:val="center"/>
              <w:rPr>
                <w:del w:id="1755" w:author="AbbVie19" w:date="2025-04-16T10:35:00Z"/>
              </w:rPr>
            </w:pPr>
          </w:p>
        </w:tc>
        <w:tc>
          <w:tcPr>
            <w:tcW w:w="1100" w:type="dxa"/>
          </w:tcPr>
          <w:p w14:paraId="4E7D1F5F" w14:textId="77777777" w:rsidR="00BC0E7E" w:rsidRPr="00BC0E7E" w:rsidRDefault="00BC0E7E" w:rsidP="00BC0E7E">
            <w:pPr>
              <w:keepNext/>
              <w:jc w:val="center"/>
              <w:rPr>
                <w:del w:id="1756" w:author="AbbVie19" w:date="2025-04-16T10:35:00Z"/>
              </w:rPr>
            </w:pPr>
          </w:p>
        </w:tc>
        <w:tc>
          <w:tcPr>
            <w:tcW w:w="1173" w:type="dxa"/>
          </w:tcPr>
          <w:p w14:paraId="31295934" w14:textId="77777777" w:rsidR="00BC0E7E" w:rsidRPr="00BC0E7E" w:rsidRDefault="00BC0E7E" w:rsidP="00BC0E7E">
            <w:pPr>
              <w:keepNext/>
              <w:jc w:val="center"/>
              <w:rPr>
                <w:del w:id="1757" w:author="AbbVie19" w:date="2025-04-16T10:35:00Z"/>
              </w:rPr>
            </w:pPr>
          </w:p>
        </w:tc>
        <w:tc>
          <w:tcPr>
            <w:tcW w:w="1210" w:type="dxa"/>
          </w:tcPr>
          <w:p w14:paraId="1A4FE3A1" w14:textId="77777777" w:rsidR="00BC0E7E" w:rsidRPr="00BC0E7E" w:rsidRDefault="00BC0E7E" w:rsidP="00BC0E7E">
            <w:pPr>
              <w:keepNext/>
              <w:jc w:val="center"/>
              <w:rPr>
                <w:del w:id="1758" w:author="AbbVie19" w:date="2025-04-16T10:35:00Z"/>
              </w:rPr>
            </w:pPr>
          </w:p>
        </w:tc>
      </w:tr>
      <w:tr w:rsidR="00C6578C" w14:paraId="23D8EFA6" w14:textId="77777777" w:rsidTr="00171601">
        <w:trPr>
          <w:gridAfter w:val="1"/>
          <w:wAfter w:w="12" w:type="dxa"/>
          <w:cantSplit/>
          <w:jc w:val="center"/>
          <w:del w:id="1759" w:author="AbbVie19" w:date="2025-04-16T10:35:00Z"/>
        </w:trPr>
        <w:tc>
          <w:tcPr>
            <w:tcW w:w="1724" w:type="dxa"/>
            <w:gridSpan w:val="2"/>
          </w:tcPr>
          <w:p w14:paraId="705FA9F3" w14:textId="77777777" w:rsidR="00BC0E7E" w:rsidRPr="00BC0E7E" w:rsidRDefault="00944B8F" w:rsidP="00BC0E7E">
            <w:pPr>
              <w:keepNext/>
              <w:rPr>
                <w:del w:id="1760" w:author="AbbVie19" w:date="2025-04-16T10:35:00Z"/>
              </w:rPr>
            </w:pPr>
            <w:del w:id="1761" w:author="AbbVie19" w:date="2025-04-16T10:35:00Z">
              <w:r w:rsidRPr="00BC0E7E">
                <w:tab/>
                <w:delText>Week 52</w:delText>
              </w:r>
            </w:del>
          </w:p>
        </w:tc>
        <w:tc>
          <w:tcPr>
            <w:tcW w:w="1320" w:type="dxa"/>
          </w:tcPr>
          <w:p w14:paraId="2107C870" w14:textId="77777777" w:rsidR="00BC0E7E" w:rsidRPr="00BC0E7E" w:rsidRDefault="00944B8F" w:rsidP="00BC0E7E">
            <w:pPr>
              <w:keepNext/>
              <w:jc w:val="center"/>
              <w:rPr>
                <w:del w:id="1762" w:author="AbbVie19" w:date="2025-04-16T10:35:00Z"/>
              </w:rPr>
            </w:pPr>
            <w:del w:id="1763" w:author="AbbVie19" w:date="2025-04-16T10:35:00Z">
              <w:r w:rsidRPr="00BC0E7E">
                <w:delText>62.6%</w:delText>
              </w:r>
            </w:del>
          </w:p>
        </w:tc>
        <w:tc>
          <w:tcPr>
            <w:tcW w:w="1320" w:type="dxa"/>
          </w:tcPr>
          <w:p w14:paraId="42A13F96" w14:textId="77777777" w:rsidR="00BC0E7E" w:rsidRPr="00BC0E7E" w:rsidRDefault="00944B8F" w:rsidP="00BC0E7E">
            <w:pPr>
              <w:keepNext/>
              <w:jc w:val="center"/>
              <w:rPr>
                <w:del w:id="1764" w:author="AbbVie19" w:date="2025-04-16T10:35:00Z"/>
              </w:rPr>
            </w:pPr>
            <w:del w:id="1765" w:author="AbbVie19" w:date="2025-04-16T10:35:00Z">
              <w:r w:rsidRPr="00BC0E7E">
                <w:delText>54.4%</w:delText>
              </w:r>
            </w:del>
          </w:p>
        </w:tc>
        <w:tc>
          <w:tcPr>
            <w:tcW w:w="1576" w:type="dxa"/>
          </w:tcPr>
          <w:p w14:paraId="3F114199" w14:textId="77777777" w:rsidR="00BC0E7E" w:rsidRPr="00BC0E7E" w:rsidRDefault="00944B8F" w:rsidP="00BC0E7E">
            <w:pPr>
              <w:keepNext/>
              <w:jc w:val="center"/>
              <w:rPr>
                <w:del w:id="1766" w:author="AbbVie19" w:date="2025-04-16T10:35:00Z"/>
              </w:rPr>
            </w:pPr>
            <w:del w:id="1767" w:author="AbbVie19" w:date="2025-04-16T10:35:00Z">
              <w:r w:rsidRPr="00BC0E7E">
                <w:delText>72.8%</w:delText>
              </w:r>
            </w:del>
          </w:p>
        </w:tc>
        <w:tc>
          <w:tcPr>
            <w:tcW w:w="1100" w:type="dxa"/>
          </w:tcPr>
          <w:p w14:paraId="140E57D6" w14:textId="77777777" w:rsidR="00BC0E7E" w:rsidRPr="00BC0E7E" w:rsidRDefault="00944B8F" w:rsidP="00BC0E7E">
            <w:pPr>
              <w:keepNext/>
              <w:jc w:val="center"/>
              <w:rPr>
                <w:del w:id="1768" w:author="AbbVie19" w:date="2025-04-16T10:35:00Z"/>
              </w:rPr>
            </w:pPr>
            <w:del w:id="1769" w:author="AbbVie19" w:date="2025-04-16T10:35:00Z">
              <w:r w:rsidRPr="00BC0E7E">
                <w:delText>0.013</w:delText>
              </w:r>
            </w:del>
          </w:p>
        </w:tc>
        <w:tc>
          <w:tcPr>
            <w:tcW w:w="1173" w:type="dxa"/>
          </w:tcPr>
          <w:p w14:paraId="054C6AA3" w14:textId="77777777" w:rsidR="00BC0E7E" w:rsidRPr="00BC0E7E" w:rsidRDefault="00944B8F" w:rsidP="00BC0E7E">
            <w:pPr>
              <w:keepNext/>
              <w:jc w:val="center"/>
              <w:rPr>
                <w:del w:id="1770" w:author="AbbVie19" w:date="2025-04-16T10:35:00Z"/>
              </w:rPr>
            </w:pPr>
            <w:del w:id="1771" w:author="AbbVie19" w:date="2025-04-16T10:35:00Z">
              <w:r w:rsidRPr="00BC0E7E">
                <w:delText>&lt; 0.001</w:delText>
              </w:r>
            </w:del>
          </w:p>
        </w:tc>
        <w:tc>
          <w:tcPr>
            <w:tcW w:w="1210" w:type="dxa"/>
          </w:tcPr>
          <w:p w14:paraId="5FA3A40A" w14:textId="77777777" w:rsidR="00BC0E7E" w:rsidRPr="00BC0E7E" w:rsidRDefault="00944B8F" w:rsidP="00BC0E7E">
            <w:pPr>
              <w:keepNext/>
              <w:jc w:val="center"/>
              <w:rPr>
                <w:del w:id="1772" w:author="AbbVie19" w:date="2025-04-16T10:35:00Z"/>
              </w:rPr>
            </w:pPr>
            <w:del w:id="1773" w:author="AbbVie19" w:date="2025-04-16T10:35:00Z">
              <w:r w:rsidRPr="00BC0E7E">
                <w:delText>0.043</w:delText>
              </w:r>
            </w:del>
          </w:p>
        </w:tc>
      </w:tr>
      <w:tr w:rsidR="00C6578C" w14:paraId="7A6D3DA8" w14:textId="77777777" w:rsidTr="00171601">
        <w:trPr>
          <w:gridAfter w:val="1"/>
          <w:wAfter w:w="12" w:type="dxa"/>
          <w:cantSplit/>
          <w:jc w:val="center"/>
          <w:del w:id="1774" w:author="AbbVie19" w:date="2025-04-16T10:35:00Z"/>
        </w:trPr>
        <w:tc>
          <w:tcPr>
            <w:tcW w:w="1724" w:type="dxa"/>
            <w:gridSpan w:val="2"/>
          </w:tcPr>
          <w:p w14:paraId="546E68E1" w14:textId="77777777" w:rsidR="00BC0E7E" w:rsidRPr="00BC0E7E" w:rsidRDefault="00944B8F" w:rsidP="00BC0E7E">
            <w:pPr>
              <w:keepNext/>
              <w:rPr>
                <w:del w:id="1775" w:author="AbbVie19" w:date="2025-04-16T10:35:00Z"/>
              </w:rPr>
            </w:pPr>
            <w:del w:id="1776" w:author="AbbVie19" w:date="2025-04-16T10:35:00Z">
              <w:r w:rsidRPr="00BC0E7E">
                <w:tab/>
                <w:delText>Week 104</w:delText>
              </w:r>
            </w:del>
          </w:p>
        </w:tc>
        <w:tc>
          <w:tcPr>
            <w:tcW w:w="1320" w:type="dxa"/>
          </w:tcPr>
          <w:p w14:paraId="2ABA54B5" w14:textId="77777777" w:rsidR="00BC0E7E" w:rsidRPr="00BC0E7E" w:rsidRDefault="00944B8F" w:rsidP="00BC0E7E">
            <w:pPr>
              <w:keepNext/>
              <w:jc w:val="center"/>
              <w:rPr>
                <w:del w:id="1777" w:author="AbbVie19" w:date="2025-04-16T10:35:00Z"/>
              </w:rPr>
            </w:pPr>
            <w:del w:id="1778" w:author="AbbVie19" w:date="2025-04-16T10:35:00Z">
              <w:r w:rsidRPr="00BC0E7E">
                <w:delText>56.0%</w:delText>
              </w:r>
            </w:del>
          </w:p>
        </w:tc>
        <w:tc>
          <w:tcPr>
            <w:tcW w:w="1320" w:type="dxa"/>
          </w:tcPr>
          <w:p w14:paraId="49507CD8" w14:textId="77777777" w:rsidR="00BC0E7E" w:rsidRPr="00BC0E7E" w:rsidRDefault="00944B8F" w:rsidP="00BC0E7E">
            <w:pPr>
              <w:keepNext/>
              <w:jc w:val="center"/>
              <w:rPr>
                <w:del w:id="1779" w:author="AbbVie19" w:date="2025-04-16T10:35:00Z"/>
              </w:rPr>
            </w:pPr>
            <w:del w:id="1780" w:author="AbbVie19" w:date="2025-04-16T10:35:00Z">
              <w:r w:rsidRPr="00BC0E7E">
                <w:delText>49.3%</w:delText>
              </w:r>
            </w:del>
          </w:p>
        </w:tc>
        <w:tc>
          <w:tcPr>
            <w:tcW w:w="1576" w:type="dxa"/>
          </w:tcPr>
          <w:p w14:paraId="2FD2432F" w14:textId="77777777" w:rsidR="00BC0E7E" w:rsidRPr="00BC0E7E" w:rsidRDefault="00944B8F" w:rsidP="00BC0E7E">
            <w:pPr>
              <w:keepNext/>
              <w:jc w:val="center"/>
              <w:rPr>
                <w:del w:id="1781" w:author="AbbVie19" w:date="2025-04-16T10:35:00Z"/>
              </w:rPr>
            </w:pPr>
            <w:del w:id="1782" w:author="AbbVie19" w:date="2025-04-16T10:35:00Z">
              <w:r w:rsidRPr="00BC0E7E">
                <w:delText>69.4%</w:delText>
              </w:r>
            </w:del>
          </w:p>
        </w:tc>
        <w:tc>
          <w:tcPr>
            <w:tcW w:w="1100" w:type="dxa"/>
          </w:tcPr>
          <w:p w14:paraId="30683E50" w14:textId="77777777" w:rsidR="00BC0E7E" w:rsidRPr="00BC0E7E" w:rsidRDefault="00944B8F" w:rsidP="00BC0E7E">
            <w:pPr>
              <w:keepNext/>
              <w:jc w:val="center"/>
              <w:rPr>
                <w:del w:id="1783" w:author="AbbVie19" w:date="2025-04-16T10:35:00Z"/>
              </w:rPr>
            </w:pPr>
            <w:del w:id="1784" w:author="AbbVie19" w:date="2025-04-16T10:35:00Z">
              <w:r w:rsidRPr="00BC0E7E">
                <w:delText>0.002</w:delText>
              </w:r>
            </w:del>
          </w:p>
        </w:tc>
        <w:tc>
          <w:tcPr>
            <w:tcW w:w="1173" w:type="dxa"/>
          </w:tcPr>
          <w:p w14:paraId="2A2B4D8B" w14:textId="77777777" w:rsidR="00BC0E7E" w:rsidRPr="00BC0E7E" w:rsidRDefault="00944B8F" w:rsidP="00BC0E7E">
            <w:pPr>
              <w:keepNext/>
              <w:jc w:val="center"/>
              <w:rPr>
                <w:del w:id="1785" w:author="AbbVie19" w:date="2025-04-16T10:35:00Z"/>
              </w:rPr>
            </w:pPr>
            <w:del w:id="1786" w:author="AbbVie19" w:date="2025-04-16T10:35:00Z">
              <w:r w:rsidRPr="00BC0E7E">
                <w:delText>&lt; 0.001</w:delText>
              </w:r>
            </w:del>
          </w:p>
        </w:tc>
        <w:tc>
          <w:tcPr>
            <w:tcW w:w="1210" w:type="dxa"/>
          </w:tcPr>
          <w:p w14:paraId="5A4A961A" w14:textId="77777777" w:rsidR="00BC0E7E" w:rsidRPr="00BC0E7E" w:rsidRDefault="00944B8F" w:rsidP="00BC0E7E">
            <w:pPr>
              <w:keepNext/>
              <w:jc w:val="center"/>
              <w:rPr>
                <w:del w:id="1787" w:author="AbbVie19" w:date="2025-04-16T10:35:00Z"/>
              </w:rPr>
            </w:pPr>
            <w:del w:id="1788" w:author="AbbVie19" w:date="2025-04-16T10:35:00Z">
              <w:r w:rsidRPr="00BC0E7E">
                <w:delText>0.140</w:delText>
              </w:r>
            </w:del>
          </w:p>
        </w:tc>
      </w:tr>
      <w:tr w:rsidR="00C6578C" w14:paraId="32BA247B" w14:textId="77777777" w:rsidTr="00171601">
        <w:trPr>
          <w:gridAfter w:val="1"/>
          <w:wAfter w:w="12" w:type="dxa"/>
          <w:cantSplit/>
          <w:jc w:val="center"/>
          <w:del w:id="1789" w:author="AbbVie19" w:date="2025-04-16T10:35:00Z"/>
        </w:trPr>
        <w:tc>
          <w:tcPr>
            <w:tcW w:w="1724" w:type="dxa"/>
            <w:gridSpan w:val="2"/>
          </w:tcPr>
          <w:p w14:paraId="4BE34A8B" w14:textId="77777777" w:rsidR="00BC0E7E" w:rsidRPr="00BC0E7E" w:rsidRDefault="00944B8F" w:rsidP="00BC0E7E">
            <w:pPr>
              <w:keepNext/>
              <w:rPr>
                <w:del w:id="1790" w:author="AbbVie19" w:date="2025-04-16T10:35:00Z"/>
              </w:rPr>
            </w:pPr>
            <w:del w:id="1791" w:author="AbbVie19" w:date="2025-04-16T10:35:00Z">
              <w:r w:rsidRPr="00BC0E7E">
                <w:delText>ACR 50</w:delText>
              </w:r>
            </w:del>
          </w:p>
        </w:tc>
        <w:tc>
          <w:tcPr>
            <w:tcW w:w="1320" w:type="dxa"/>
          </w:tcPr>
          <w:p w14:paraId="69AFA1B7" w14:textId="77777777" w:rsidR="00BC0E7E" w:rsidRPr="00BC0E7E" w:rsidRDefault="00BC0E7E" w:rsidP="00BC0E7E">
            <w:pPr>
              <w:keepNext/>
              <w:jc w:val="center"/>
              <w:rPr>
                <w:del w:id="1792" w:author="AbbVie19" w:date="2025-04-16T10:35:00Z"/>
              </w:rPr>
            </w:pPr>
          </w:p>
        </w:tc>
        <w:tc>
          <w:tcPr>
            <w:tcW w:w="1320" w:type="dxa"/>
          </w:tcPr>
          <w:p w14:paraId="11DBE6EA" w14:textId="77777777" w:rsidR="00BC0E7E" w:rsidRPr="00BC0E7E" w:rsidRDefault="00BC0E7E" w:rsidP="00BC0E7E">
            <w:pPr>
              <w:keepNext/>
              <w:jc w:val="center"/>
              <w:rPr>
                <w:del w:id="1793" w:author="AbbVie19" w:date="2025-04-16T10:35:00Z"/>
              </w:rPr>
            </w:pPr>
          </w:p>
        </w:tc>
        <w:tc>
          <w:tcPr>
            <w:tcW w:w="1576" w:type="dxa"/>
          </w:tcPr>
          <w:p w14:paraId="3C365508" w14:textId="77777777" w:rsidR="00BC0E7E" w:rsidRPr="00BC0E7E" w:rsidRDefault="00BC0E7E" w:rsidP="00BC0E7E">
            <w:pPr>
              <w:keepNext/>
              <w:jc w:val="center"/>
              <w:rPr>
                <w:del w:id="1794" w:author="AbbVie19" w:date="2025-04-16T10:35:00Z"/>
              </w:rPr>
            </w:pPr>
          </w:p>
        </w:tc>
        <w:tc>
          <w:tcPr>
            <w:tcW w:w="1100" w:type="dxa"/>
          </w:tcPr>
          <w:p w14:paraId="0B68EC53" w14:textId="77777777" w:rsidR="00BC0E7E" w:rsidRPr="00BC0E7E" w:rsidRDefault="00BC0E7E" w:rsidP="00BC0E7E">
            <w:pPr>
              <w:keepNext/>
              <w:jc w:val="center"/>
              <w:rPr>
                <w:del w:id="1795" w:author="AbbVie19" w:date="2025-04-16T10:35:00Z"/>
              </w:rPr>
            </w:pPr>
          </w:p>
        </w:tc>
        <w:tc>
          <w:tcPr>
            <w:tcW w:w="1173" w:type="dxa"/>
          </w:tcPr>
          <w:p w14:paraId="533EEC84" w14:textId="77777777" w:rsidR="00BC0E7E" w:rsidRPr="00BC0E7E" w:rsidRDefault="00BC0E7E" w:rsidP="00BC0E7E">
            <w:pPr>
              <w:keepNext/>
              <w:jc w:val="center"/>
              <w:rPr>
                <w:del w:id="1796" w:author="AbbVie19" w:date="2025-04-16T10:35:00Z"/>
              </w:rPr>
            </w:pPr>
          </w:p>
        </w:tc>
        <w:tc>
          <w:tcPr>
            <w:tcW w:w="1210" w:type="dxa"/>
          </w:tcPr>
          <w:p w14:paraId="30045EEB" w14:textId="77777777" w:rsidR="00BC0E7E" w:rsidRPr="00BC0E7E" w:rsidRDefault="00BC0E7E" w:rsidP="00BC0E7E">
            <w:pPr>
              <w:keepNext/>
              <w:jc w:val="center"/>
              <w:rPr>
                <w:del w:id="1797" w:author="AbbVie19" w:date="2025-04-16T10:35:00Z"/>
              </w:rPr>
            </w:pPr>
          </w:p>
        </w:tc>
      </w:tr>
      <w:tr w:rsidR="00C6578C" w14:paraId="64CAA413" w14:textId="77777777" w:rsidTr="00171601">
        <w:trPr>
          <w:gridAfter w:val="1"/>
          <w:wAfter w:w="12" w:type="dxa"/>
          <w:cantSplit/>
          <w:jc w:val="center"/>
          <w:del w:id="1798" w:author="AbbVie19" w:date="2025-04-16T10:35:00Z"/>
        </w:trPr>
        <w:tc>
          <w:tcPr>
            <w:tcW w:w="1724" w:type="dxa"/>
            <w:gridSpan w:val="2"/>
          </w:tcPr>
          <w:p w14:paraId="2A16449F" w14:textId="77777777" w:rsidR="00BC0E7E" w:rsidRPr="00BC0E7E" w:rsidRDefault="00944B8F" w:rsidP="00BC0E7E">
            <w:pPr>
              <w:keepNext/>
              <w:rPr>
                <w:del w:id="1799" w:author="AbbVie19" w:date="2025-04-16T10:35:00Z"/>
              </w:rPr>
            </w:pPr>
            <w:del w:id="1800" w:author="AbbVie19" w:date="2025-04-16T10:35:00Z">
              <w:r w:rsidRPr="00BC0E7E">
                <w:tab/>
                <w:delText>Week 52</w:delText>
              </w:r>
            </w:del>
          </w:p>
        </w:tc>
        <w:tc>
          <w:tcPr>
            <w:tcW w:w="1320" w:type="dxa"/>
          </w:tcPr>
          <w:p w14:paraId="33535B9C" w14:textId="77777777" w:rsidR="00BC0E7E" w:rsidRPr="00BC0E7E" w:rsidRDefault="00944B8F" w:rsidP="00BC0E7E">
            <w:pPr>
              <w:keepNext/>
              <w:jc w:val="center"/>
              <w:rPr>
                <w:del w:id="1801" w:author="AbbVie19" w:date="2025-04-16T10:35:00Z"/>
              </w:rPr>
            </w:pPr>
            <w:del w:id="1802" w:author="AbbVie19" w:date="2025-04-16T10:35:00Z">
              <w:r w:rsidRPr="00BC0E7E">
                <w:delText>45.9%</w:delText>
              </w:r>
            </w:del>
          </w:p>
        </w:tc>
        <w:tc>
          <w:tcPr>
            <w:tcW w:w="1320" w:type="dxa"/>
          </w:tcPr>
          <w:p w14:paraId="1FEE2CF7" w14:textId="77777777" w:rsidR="00BC0E7E" w:rsidRPr="00BC0E7E" w:rsidRDefault="00944B8F" w:rsidP="00BC0E7E">
            <w:pPr>
              <w:keepNext/>
              <w:jc w:val="center"/>
              <w:rPr>
                <w:del w:id="1803" w:author="AbbVie19" w:date="2025-04-16T10:35:00Z"/>
              </w:rPr>
            </w:pPr>
            <w:del w:id="1804" w:author="AbbVie19" w:date="2025-04-16T10:35:00Z">
              <w:r w:rsidRPr="00BC0E7E">
                <w:delText>41.2%</w:delText>
              </w:r>
            </w:del>
          </w:p>
        </w:tc>
        <w:tc>
          <w:tcPr>
            <w:tcW w:w="1576" w:type="dxa"/>
          </w:tcPr>
          <w:p w14:paraId="0F3FC98A" w14:textId="77777777" w:rsidR="00BC0E7E" w:rsidRPr="00BC0E7E" w:rsidRDefault="00944B8F" w:rsidP="00BC0E7E">
            <w:pPr>
              <w:keepNext/>
              <w:jc w:val="center"/>
              <w:rPr>
                <w:del w:id="1805" w:author="AbbVie19" w:date="2025-04-16T10:35:00Z"/>
              </w:rPr>
            </w:pPr>
            <w:del w:id="1806" w:author="AbbVie19" w:date="2025-04-16T10:35:00Z">
              <w:r w:rsidRPr="00BC0E7E">
                <w:delText>61.6%</w:delText>
              </w:r>
            </w:del>
          </w:p>
        </w:tc>
        <w:tc>
          <w:tcPr>
            <w:tcW w:w="1100" w:type="dxa"/>
          </w:tcPr>
          <w:p w14:paraId="1D236364" w14:textId="77777777" w:rsidR="00BC0E7E" w:rsidRPr="00BC0E7E" w:rsidRDefault="00944B8F" w:rsidP="00BC0E7E">
            <w:pPr>
              <w:keepNext/>
              <w:jc w:val="center"/>
              <w:rPr>
                <w:del w:id="1807" w:author="AbbVie19" w:date="2025-04-16T10:35:00Z"/>
              </w:rPr>
            </w:pPr>
            <w:del w:id="1808" w:author="AbbVie19" w:date="2025-04-16T10:35:00Z">
              <w:r w:rsidRPr="00BC0E7E">
                <w:delText>&lt; 0.001</w:delText>
              </w:r>
            </w:del>
          </w:p>
        </w:tc>
        <w:tc>
          <w:tcPr>
            <w:tcW w:w="1173" w:type="dxa"/>
          </w:tcPr>
          <w:p w14:paraId="71A8A5E7" w14:textId="77777777" w:rsidR="00BC0E7E" w:rsidRPr="00BC0E7E" w:rsidRDefault="00944B8F" w:rsidP="00BC0E7E">
            <w:pPr>
              <w:keepNext/>
              <w:jc w:val="center"/>
              <w:rPr>
                <w:del w:id="1809" w:author="AbbVie19" w:date="2025-04-16T10:35:00Z"/>
              </w:rPr>
            </w:pPr>
            <w:del w:id="1810" w:author="AbbVie19" w:date="2025-04-16T10:35:00Z">
              <w:r w:rsidRPr="00BC0E7E">
                <w:delText>&lt; 0.001</w:delText>
              </w:r>
            </w:del>
          </w:p>
        </w:tc>
        <w:tc>
          <w:tcPr>
            <w:tcW w:w="1210" w:type="dxa"/>
          </w:tcPr>
          <w:p w14:paraId="6DF1800F" w14:textId="77777777" w:rsidR="00BC0E7E" w:rsidRPr="00BC0E7E" w:rsidRDefault="00944B8F" w:rsidP="00BC0E7E">
            <w:pPr>
              <w:keepNext/>
              <w:jc w:val="center"/>
              <w:rPr>
                <w:del w:id="1811" w:author="AbbVie19" w:date="2025-04-16T10:35:00Z"/>
              </w:rPr>
            </w:pPr>
            <w:del w:id="1812" w:author="AbbVie19" w:date="2025-04-16T10:35:00Z">
              <w:r w:rsidRPr="00BC0E7E">
                <w:delText>0.317</w:delText>
              </w:r>
            </w:del>
          </w:p>
        </w:tc>
      </w:tr>
      <w:tr w:rsidR="00C6578C" w14:paraId="02D68BC7" w14:textId="77777777" w:rsidTr="00171601">
        <w:trPr>
          <w:gridAfter w:val="1"/>
          <w:wAfter w:w="12" w:type="dxa"/>
          <w:cantSplit/>
          <w:jc w:val="center"/>
          <w:del w:id="1813" w:author="AbbVie19" w:date="2025-04-16T10:35:00Z"/>
        </w:trPr>
        <w:tc>
          <w:tcPr>
            <w:tcW w:w="1724" w:type="dxa"/>
            <w:gridSpan w:val="2"/>
          </w:tcPr>
          <w:p w14:paraId="4D056B02" w14:textId="77777777" w:rsidR="00BC0E7E" w:rsidRPr="00BC0E7E" w:rsidRDefault="00944B8F" w:rsidP="00BC0E7E">
            <w:pPr>
              <w:keepNext/>
              <w:rPr>
                <w:del w:id="1814" w:author="AbbVie19" w:date="2025-04-16T10:35:00Z"/>
              </w:rPr>
            </w:pPr>
            <w:del w:id="1815" w:author="AbbVie19" w:date="2025-04-16T10:35:00Z">
              <w:r w:rsidRPr="00BC0E7E">
                <w:tab/>
                <w:delText>Week 104</w:delText>
              </w:r>
            </w:del>
          </w:p>
        </w:tc>
        <w:tc>
          <w:tcPr>
            <w:tcW w:w="1320" w:type="dxa"/>
          </w:tcPr>
          <w:p w14:paraId="63E6FA1A" w14:textId="77777777" w:rsidR="00BC0E7E" w:rsidRPr="00BC0E7E" w:rsidRDefault="00944B8F" w:rsidP="00BC0E7E">
            <w:pPr>
              <w:keepNext/>
              <w:jc w:val="center"/>
              <w:rPr>
                <w:del w:id="1816" w:author="AbbVie19" w:date="2025-04-16T10:35:00Z"/>
              </w:rPr>
            </w:pPr>
            <w:del w:id="1817" w:author="AbbVie19" w:date="2025-04-16T10:35:00Z">
              <w:r w:rsidRPr="00BC0E7E">
                <w:delText>42.8%</w:delText>
              </w:r>
            </w:del>
          </w:p>
        </w:tc>
        <w:tc>
          <w:tcPr>
            <w:tcW w:w="1320" w:type="dxa"/>
          </w:tcPr>
          <w:p w14:paraId="2F159123" w14:textId="77777777" w:rsidR="00BC0E7E" w:rsidRPr="00BC0E7E" w:rsidRDefault="00944B8F" w:rsidP="00BC0E7E">
            <w:pPr>
              <w:keepNext/>
              <w:jc w:val="center"/>
              <w:rPr>
                <w:del w:id="1818" w:author="AbbVie19" w:date="2025-04-16T10:35:00Z"/>
              </w:rPr>
            </w:pPr>
            <w:del w:id="1819" w:author="AbbVie19" w:date="2025-04-16T10:35:00Z">
              <w:r w:rsidRPr="00BC0E7E">
                <w:delText>36.9%</w:delText>
              </w:r>
            </w:del>
          </w:p>
        </w:tc>
        <w:tc>
          <w:tcPr>
            <w:tcW w:w="1576" w:type="dxa"/>
          </w:tcPr>
          <w:p w14:paraId="696DAF73" w14:textId="77777777" w:rsidR="00BC0E7E" w:rsidRPr="00BC0E7E" w:rsidRDefault="00944B8F" w:rsidP="00BC0E7E">
            <w:pPr>
              <w:keepNext/>
              <w:jc w:val="center"/>
              <w:rPr>
                <w:del w:id="1820" w:author="AbbVie19" w:date="2025-04-16T10:35:00Z"/>
              </w:rPr>
            </w:pPr>
            <w:del w:id="1821" w:author="AbbVie19" w:date="2025-04-16T10:35:00Z">
              <w:r w:rsidRPr="00BC0E7E">
                <w:delText>59.0%</w:delText>
              </w:r>
            </w:del>
          </w:p>
        </w:tc>
        <w:tc>
          <w:tcPr>
            <w:tcW w:w="1100" w:type="dxa"/>
          </w:tcPr>
          <w:p w14:paraId="2FF0B069" w14:textId="77777777" w:rsidR="00BC0E7E" w:rsidRPr="00BC0E7E" w:rsidRDefault="00944B8F" w:rsidP="00BC0E7E">
            <w:pPr>
              <w:keepNext/>
              <w:jc w:val="center"/>
              <w:rPr>
                <w:del w:id="1822" w:author="AbbVie19" w:date="2025-04-16T10:35:00Z"/>
              </w:rPr>
            </w:pPr>
            <w:del w:id="1823" w:author="AbbVie19" w:date="2025-04-16T10:35:00Z">
              <w:r w:rsidRPr="00BC0E7E">
                <w:delText>&lt; 0.001</w:delText>
              </w:r>
            </w:del>
          </w:p>
        </w:tc>
        <w:tc>
          <w:tcPr>
            <w:tcW w:w="1173" w:type="dxa"/>
          </w:tcPr>
          <w:p w14:paraId="3FAC799F" w14:textId="77777777" w:rsidR="00BC0E7E" w:rsidRPr="00BC0E7E" w:rsidRDefault="00944B8F" w:rsidP="00BC0E7E">
            <w:pPr>
              <w:keepNext/>
              <w:jc w:val="center"/>
              <w:rPr>
                <w:del w:id="1824" w:author="AbbVie19" w:date="2025-04-16T10:35:00Z"/>
              </w:rPr>
            </w:pPr>
            <w:del w:id="1825" w:author="AbbVie19" w:date="2025-04-16T10:35:00Z">
              <w:r w:rsidRPr="00BC0E7E">
                <w:delText>&lt; 0.001</w:delText>
              </w:r>
            </w:del>
          </w:p>
        </w:tc>
        <w:tc>
          <w:tcPr>
            <w:tcW w:w="1210" w:type="dxa"/>
          </w:tcPr>
          <w:p w14:paraId="56C29B8E" w14:textId="77777777" w:rsidR="00BC0E7E" w:rsidRPr="00BC0E7E" w:rsidRDefault="00944B8F" w:rsidP="00BC0E7E">
            <w:pPr>
              <w:keepNext/>
              <w:jc w:val="center"/>
              <w:rPr>
                <w:del w:id="1826" w:author="AbbVie19" w:date="2025-04-16T10:35:00Z"/>
              </w:rPr>
            </w:pPr>
            <w:del w:id="1827" w:author="AbbVie19" w:date="2025-04-16T10:35:00Z">
              <w:r w:rsidRPr="00BC0E7E">
                <w:delText>0.162</w:delText>
              </w:r>
            </w:del>
          </w:p>
        </w:tc>
      </w:tr>
      <w:tr w:rsidR="00C6578C" w14:paraId="462A541C" w14:textId="77777777" w:rsidTr="00171601">
        <w:trPr>
          <w:gridAfter w:val="1"/>
          <w:wAfter w:w="12" w:type="dxa"/>
          <w:cantSplit/>
          <w:jc w:val="center"/>
          <w:del w:id="1828" w:author="AbbVie19" w:date="2025-04-16T10:35:00Z"/>
        </w:trPr>
        <w:tc>
          <w:tcPr>
            <w:tcW w:w="1724" w:type="dxa"/>
            <w:gridSpan w:val="2"/>
          </w:tcPr>
          <w:p w14:paraId="7BBD0810" w14:textId="77777777" w:rsidR="00BC0E7E" w:rsidRPr="00BC0E7E" w:rsidRDefault="00944B8F" w:rsidP="00BC0E7E">
            <w:pPr>
              <w:keepNext/>
              <w:rPr>
                <w:del w:id="1829" w:author="AbbVie19" w:date="2025-04-16T10:35:00Z"/>
              </w:rPr>
            </w:pPr>
            <w:del w:id="1830" w:author="AbbVie19" w:date="2025-04-16T10:35:00Z">
              <w:r w:rsidRPr="00BC0E7E">
                <w:delText>ACR 70</w:delText>
              </w:r>
            </w:del>
          </w:p>
        </w:tc>
        <w:tc>
          <w:tcPr>
            <w:tcW w:w="1320" w:type="dxa"/>
          </w:tcPr>
          <w:p w14:paraId="1DEB458D" w14:textId="77777777" w:rsidR="00BC0E7E" w:rsidRPr="00BC0E7E" w:rsidRDefault="00BC0E7E" w:rsidP="00BC0E7E">
            <w:pPr>
              <w:keepNext/>
              <w:jc w:val="center"/>
              <w:rPr>
                <w:del w:id="1831" w:author="AbbVie19" w:date="2025-04-16T10:35:00Z"/>
              </w:rPr>
            </w:pPr>
          </w:p>
        </w:tc>
        <w:tc>
          <w:tcPr>
            <w:tcW w:w="1320" w:type="dxa"/>
          </w:tcPr>
          <w:p w14:paraId="65D806D1" w14:textId="77777777" w:rsidR="00BC0E7E" w:rsidRPr="00BC0E7E" w:rsidRDefault="00BC0E7E" w:rsidP="00BC0E7E">
            <w:pPr>
              <w:keepNext/>
              <w:jc w:val="center"/>
              <w:rPr>
                <w:del w:id="1832" w:author="AbbVie19" w:date="2025-04-16T10:35:00Z"/>
              </w:rPr>
            </w:pPr>
          </w:p>
        </w:tc>
        <w:tc>
          <w:tcPr>
            <w:tcW w:w="1576" w:type="dxa"/>
          </w:tcPr>
          <w:p w14:paraId="2B8A5C8A" w14:textId="77777777" w:rsidR="00BC0E7E" w:rsidRPr="00BC0E7E" w:rsidRDefault="00BC0E7E" w:rsidP="00BC0E7E">
            <w:pPr>
              <w:keepNext/>
              <w:jc w:val="center"/>
              <w:rPr>
                <w:del w:id="1833" w:author="AbbVie19" w:date="2025-04-16T10:35:00Z"/>
              </w:rPr>
            </w:pPr>
          </w:p>
        </w:tc>
        <w:tc>
          <w:tcPr>
            <w:tcW w:w="1100" w:type="dxa"/>
          </w:tcPr>
          <w:p w14:paraId="760CE116" w14:textId="77777777" w:rsidR="00BC0E7E" w:rsidRPr="00BC0E7E" w:rsidRDefault="00BC0E7E" w:rsidP="00BC0E7E">
            <w:pPr>
              <w:keepNext/>
              <w:jc w:val="center"/>
              <w:rPr>
                <w:del w:id="1834" w:author="AbbVie19" w:date="2025-04-16T10:35:00Z"/>
              </w:rPr>
            </w:pPr>
          </w:p>
        </w:tc>
        <w:tc>
          <w:tcPr>
            <w:tcW w:w="1173" w:type="dxa"/>
          </w:tcPr>
          <w:p w14:paraId="672409B8" w14:textId="77777777" w:rsidR="00BC0E7E" w:rsidRPr="00BC0E7E" w:rsidRDefault="00BC0E7E" w:rsidP="00BC0E7E">
            <w:pPr>
              <w:keepNext/>
              <w:jc w:val="center"/>
              <w:rPr>
                <w:del w:id="1835" w:author="AbbVie19" w:date="2025-04-16T10:35:00Z"/>
              </w:rPr>
            </w:pPr>
          </w:p>
        </w:tc>
        <w:tc>
          <w:tcPr>
            <w:tcW w:w="1210" w:type="dxa"/>
          </w:tcPr>
          <w:p w14:paraId="6C95B414" w14:textId="77777777" w:rsidR="00BC0E7E" w:rsidRPr="00BC0E7E" w:rsidRDefault="00BC0E7E" w:rsidP="00BC0E7E">
            <w:pPr>
              <w:keepNext/>
              <w:jc w:val="center"/>
              <w:rPr>
                <w:del w:id="1836" w:author="AbbVie19" w:date="2025-04-16T10:35:00Z"/>
              </w:rPr>
            </w:pPr>
          </w:p>
        </w:tc>
      </w:tr>
      <w:tr w:rsidR="00C6578C" w14:paraId="09B4BF8F" w14:textId="77777777" w:rsidTr="00171601">
        <w:trPr>
          <w:gridAfter w:val="1"/>
          <w:wAfter w:w="12" w:type="dxa"/>
          <w:cantSplit/>
          <w:trHeight w:val="70"/>
          <w:jc w:val="center"/>
          <w:del w:id="1837" w:author="AbbVie19" w:date="2025-04-16T10:35:00Z"/>
        </w:trPr>
        <w:tc>
          <w:tcPr>
            <w:tcW w:w="1724" w:type="dxa"/>
            <w:gridSpan w:val="2"/>
          </w:tcPr>
          <w:p w14:paraId="60E97EED" w14:textId="77777777" w:rsidR="00BC0E7E" w:rsidRPr="00BC0E7E" w:rsidRDefault="00944B8F" w:rsidP="00BC0E7E">
            <w:pPr>
              <w:keepNext/>
              <w:rPr>
                <w:del w:id="1838" w:author="AbbVie19" w:date="2025-04-16T10:35:00Z"/>
              </w:rPr>
            </w:pPr>
            <w:del w:id="1839" w:author="AbbVie19" w:date="2025-04-16T10:35:00Z">
              <w:r w:rsidRPr="00BC0E7E">
                <w:tab/>
                <w:delText>Week 52</w:delText>
              </w:r>
            </w:del>
          </w:p>
        </w:tc>
        <w:tc>
          <w:tcPr>
            <w:tcW w:w="1320" w:type="dxa"/>
          </w:tcPr>
          <w:p w14:paraId="78B7323F" w14:textId="77777777" w:rsidR="00BC0E7E" w:rsidRPr="00BC0E7E" w:rsidRDefault="00944B8F" w:rsidP="00BC0E7E">
            <w:pPr>
              <w:keepNext/>
              <w:jc w:val="center"/>
              <w:rPr>
                <w:del w:id="1840" w:author="AbbVie19" w:date="2025-04-16T10:35:00Z"/>
              </w:rPr>
            </w:pPr>
            <w:del w:id="1841" w:author="AbbVie19" w:date="2025-04-16T10:35:00Z">
              <w:r w:rsidRPr="00BC0E7E">
                <w:delText>27.2%</w:delText>
              </w:r>
            </w:del>
          </w:p>
        </w:tc>
        <w:tc>
          <w:tcPr>
            <w:tcW w:w="1320" w:type="dxa"/>
          </w:tcPr>
          <w:p w14:paraId="270F8729" w14:textId="77777777" w:rsidR="00BC0E7E" w:rsidRPr="00BC0E7E" w:rsidRDefault="00944B8F" w:rsidP="00BC0E7E">
            <w:pPr>
              <w:keepNext/>
              <w:jc w:val="center"/>
              <w:rPr>
                <w:del w:id="1842" w:author="AbbVie19" w:date="2025-04-16T10:35:00Z"/>
              </w:rPr>
            </w:pPr>
            <w:del w:id="1843" w:author="AbbVie19" w:date="2025-04-16T10:35:00Z">
              <w:r w:rsidRPr="00BC0E7E">
                <w:delText>25.9%</w:delText>
              </w:r>
            </w:del>
          </w:p>
        </w:tc>
        <w:tc>
          <w:tcPr>
            <w:tcW w:w="1576" w:type="dxa"/>
          </w:tcPr>
          <w:p w14:paraId="19C0F581" w14:textId="77777777" w:rsidR="00BC0E7E" w:rsidRPr="00BC0E7E" w:rsidRDefault="00944B8F" w:rsidP="00BC0E7E">
            <w:pPr>
              <w:keepNext/>
              <w:jc w:val="center"/>
              <w:rPr>
                <w:del w:id="1844" w:author="AbbVie19" w:date="2025-04-16T10:35:00Z"/>
              </w:rPr>
            </w:pPr>
            <w:del w:id="1845" w:author="AbbVie19" w:date="2025-04-16T10:35:00Z">
              <w:r w:rsidRPr="00BC0E7E">
                <w:delText>45.5%</w:delText>
              </w:r>
            </w:del>
          </w:p>
        </w:tc>
        <w:tc>
          <w:tcPr>
            <w:tcW w:w="1100" w:type="dxa"/>
          </w:tcPr>
          <w:p w14:paraId="1A9725E4" w14:textId="77777777" w:rsidR="00BC0E7E" w:rsidRPr="00BC0E7E" w:rsidRDefault="00944B8F" w:rsidP="00BC0E7E">
            <w:pPr>
              <w:keepNext/>
              <w:jc w:val="center"/>
              <w:rPr>
                <w:del w:id="1846" w:author="AbbVie19" w:date="2025-04-16T10:35:00Z"/>
              </w:rPr>
            </w:pPr>
            <w:del w:id="1847" w:author="AbbVie19" w:date="2025-04-16T10:35:00Z">
              <w:r w:rsidRPr="00BC0E7E">
                <w:delText>&lt; 0.001</w:delText>
              </w:r>
            </w:del>
          </w:p>
        </w:tc>
        <w:tc>
          <w:tcPr>
            <w:tcW w:w="1173" w:type="dxa"/>
          </w:tcPr>
          <w:p w14:paraId="33954F01" w14:textId="77777777" w:rsidR="00BC0E7E" w:rsidRPr="00BC0E7E" w:rsidRDefault="00944B8F" w:rsidP="00BC0E7E">
            <w:pPr>
              <w:keepNext/>
              <w:jc w:val="center"/>
              <w:rPr>
                <w:del w:id="1848" w:author="AbbVie19" w:date="2025-04-16T10:35:00Z"/>
              </w:rPr>
            </w:pPr>
            <w:del w:id="1849" w:author="AbbVie19" w:date="2025-04-16T10:35:00Z">
              <w:r w:rsidRPr="00BC0E7E">
                <w:delText>&lt; 0.001</w:delText>
              </w:r>
            </w:del>
          </w:p>
        </w:tc>
        <w:tc>
          <w:tcPr>
            <w:tcW w:w="1210" w:type="dxa"/>
          </w:tcPr>
          <w:p w14:paraId="0204B587" w14:textId="77777777" w:rsidR="00BC0E7E" w:rsidRPr="00BC0E7E" w:rsidRDefault="00944B8F" w:rsidP="00BC0E7E">
            <w:pPr>
              <w:keepNext/>
              <w:jc w:val="center"/>
              <w:rPr>
                <w:del w:id="1850" w:author="AbbVie19" w:date="2025-04-16T10:35:00Z"/>
              </w:rPr>
            </w:pPr>
            <w:del w:id="1851" w:author="AbbVie19" w:date="2025-04-16T10:35:00Z">
              <w:r w:rsidRPr="00BC0E7E">
                <w:delText>0.656</w:delText>
              </w:r>
            </w:del>
          </w:p>
        </w:tc>
      </w:tr>
      <w:tr w:rsidR="00C6578C" w14:paraId="5AD07BED" w14:textId="77777777" w:rsidTr="00171601">
        <w:trPr>
          <w:gridAfter w:val="1"/>
          <w:wAfter w:w="12" w:type="dxa"/>
          <w:cantSplit/>
          <w:jc w:val="center"/>
          <w:del w:id="1852" w:author="AbbVie19" w:date="2025-04-16T10:35:00Z"/>
        </w:trPr>
        <w:tc>
          <w:tcPr>
            <w:tcW w:w="1724" w:type="dxa"/>
            <w:gridSpan w:val="2"/>
          </w:tcPr>
          <w:p w14:paraId="76257750" w14:textId="77777777" w:rsidR="00BC0E7E" w:rsidRPr="00BC0E7E" w:rsidRDefault="00944B8F" w:rsidP="00BC0E7E">
            <w:pPr>
              <w:keepNext/>
              <w:rPr>
                <w:del w:id="1853" w:author="AbbVie19" w:date="2025-04-16T10:35:00Z"/>
              </w:rPr>
            </w:pPr>
            <w:del w:id="1854" w:author="AbbVie19" w:date="2025-04-16T10:35:00Z">
              <w:r w:rsidRPr="00BC0E7E">
                <w:tab/>
                <w:delText>Week 104</w:delText>
              </w:r>
            </w:del>
          </w:p>
        </w:tc>
        <w:tc>
          <w:tcPr>
            <w:tcW w:w="1320" w:type="dxa"/>
          </w:tcPr>
          <w:p w14:paraId="165F28E6" w14:textId="77777777" w:rsidR="00BC0E7E" w:rsidRPr="00BC0E7E" w:rsidRDefault="00944B8F" w:rsidP="00BC0E7E">
            <w:pPr>
              <w:keepNext/>
              <w:jc w:val="center"/>
              <w:rPr>
                <w:del w:id="1855" w:author="AbbVie19" w:date="2025-04-16T10:35:00Z"/>
              </w:rPr>
            </w:pPr>
            <w:del w:id="1856" w:author="AbbVie19" w:date="2025-04-16T10:35:00Z">
              <w:r w:rsidRPr="00BC0E7E">
                <w:delText>28.4%</w:delText>
              </w:r>
            </w:del>
          </w:p>
        </w:tc>
        <w:tc>
          <w:tcPr>
            <w:tcW w:w="1320" w:type="dxa"/>
          </w:tcPr>
          <w:p w14:paraId="5BB0B906" w14:textId="77777777" w:rsidR="00BC0E7E" w:rsidRPr="00BC0E7E" w:rsidRDefault="00944B8F" w:rsidP="00BC0E7E">
            <w:pPr>
              <w:keepNext/>
              <w:jc w:val="center"/>
              <w:rPr>
                <w:del w:id="1857" w:author="AbbVie19" w:date="2025-04-16T10:35:00Z"/>
              </w:rPr>
            </w:pPr>
            <w:del w:id="1858" w:author="AbbVie19" w:date="2025-04-16T10:35:00Z">
              <w:r w:rsidRPr="00BC0E7E">
                <w:delText>28.1%</w:delText>
              </w:r>
            </w:del>
          </w:p>
        </w:tc>
        <w:tc>
          <w:tcPr>
            <w:tcW w:w="1576" w:type="dxa"/>
          </w:tcPr>
          <w:p w14:paraId="25B7013C" w14:textId="77777777" w:rsidR="00BC0E7E" w:rsidRPr="00BC0E7E" w:rsidRDefault="00944B8F" w:rsidP="00BC0E7E">
            <w:pPr>
              <w:keepNext/>
              <w:jc w:val="center"/>
              <w:rPr>
                <w:del w:id="1859" w:author="AbbVie19" w:date="2025-04-16T10:35:00Z"/>
              </w:rPr>
            </w:pPr>
            <w:del w:id="1860" w:author="AbbVie19" w:date="2025-04-16T10:35:00Z">
              <w:r w:rsidRPr="00BC0E7E">
                <w:delText>46.6%</w:delText>
              </w:r>
            </w:del>
          </w:p>
        </w:tc>
        <w:tc>
          <w:tcPr>
            <w:tcW w:w="1100" w:type="dxa"/>
          </w:tcPr>
          <w:p w14:paraId="78B71D68" w14:textId="77777777" w:rsidR="00BC0E7E" w:rsidRPr="00BC0E7E" w:rsidRDefault="00944B8F" w:rsidP="00BC0E7E">
            <w:pPr>
              <w:keepNext/>
              <w:jc w:val="center"/>
              <w:rPr>
                <w:del w:id="1861" w:author="AbbVie19" w:date="2025-04-16T10:35:00Z"/>
              </w:rPr>
            </w:pPr>
            <w:del w:id="1862" w:author="AbbVie19" w:date="2025-04-16T10:35:00Z">
              <w:r w:rsidRPr="00BC0E7E">
                <w:delText>&lt; 0.001</w:delText>
              </w:r>
            </w:del>
          </w:p>
        </w:tc>
        <w:tc>
          <w:tcPr>
            <w:tcW w:w="1173" w:type="dxa"/>
          </w:tcPr>
          <w:p w14:paraId="23F00AFB" w14:textId="77777777" w:rsidR="00BC0E7E" w:rsidRPr="00BC0E7E" w:rsidRDefault="00944B8F" w:rsidP="00BC0E7E">
            <w:pPr>
              <w:keepNext/>
              <w:jc w:val="center"/>
              <w:rPr>
                <w:del w:id="1863" w:author="AbbVie19" w:date="2025-04-16T10:35:00Z"/>
              </w:rPr>
            </w:pPr>
            <w:del w:id="1864" w:author="AbbVie19" w:date="2025-04-16T10:35:00Z">
              <w:r w:rsidRPr="00BC0E7E">
                <w:delText>&lt; 0.001</w:delText>
              </w:r>
            </w:del>
          </w:p>
        </w:tc>
        <w:tc>
          <w:tcPr>
            <w:tcW w:w="1210" w:type="dxa"/>
          </w:tcPr>
          <w:p w14:paraId="4AE1FDC0" w14:textId="77777777" w:rsidR="00BC0E7E" w:rsidRPr="00BC0E7E" w:rsidRDefault="00944B8F" w:rsidP="00BC0E7E">
            <w:pPr>
              <w:keepNext/>
              <w:jc w:val="center"/>
              <w:rPr>
                <w:del w:id="1865" w:author="AbbVie19" w:date="2025-04-16T10:35:00Z"/>
              </w:rPr>
            </w:pPr>
            <w:del w:id="1866" w:author="AbbVie19" w:date="2025-04-16T10:35:00Z">
              <w:r w:rsidRPr="00BC0E7E">
                <w:delText>0.864</w:delText>
              </w:r>
            </w:del>
          </w:p>
        </w:tc>
      </w:tr>
      <w:tr w:rsidR="00C6578C" w14:paraId="51BA659D" w14:textId="77777777" w:rsidTr="00171601">
        <w:trPr>
          <w:gridBefore w:val="1"/>
          <w:wBefore w:w="6" w:type="dxa"/>
          <w:cantSplit/>
          <w:jc w:val="center"/>
          <w:del w:id="1867" w:author="AbbVie19" w:date="2025-04-16T10:35:00Z"/>
        </w:trPr>
        <w:tc>
          <w:tcPr>
            <w:tcW w:w="9429" w:type="dxa"/>
            <w:gridSpan w:val="8"/>
          </w:tcPr>
          <w:p w14:paraId="0B2F1063" w14:textId="77777777" w:rsidR="00BC0E7E" w:rsidRPr="00BC0E7E" w:rsidRDefault="00944B8F" w:rsidP="00BC0E7E">
            <w:pPr>
              <w:keepNext/>
              <w:tabs>
                <w:tab w:val="clear" w:pos="562"/>
                <w:tab w:val="left" w:pos="330"/>
                <w:tab w:val="left" w:pos="10728"/>
              </w:tabs>
              <w:ind w:left="360" w:hanging="360"/>
              <w:rPr>
                <w:del w:id="1868" w:author="AbbVie19" w:date="2025-04-16T10:35:00Z"/>
              </w:rPr>
            </w:pPr>
            <w:del w:id="1869" w:author="AbbVie19" w:date="2025-04-16T10:35:00Z">
              <w:r w:rsidRPr="00BC0E7E">
                <w:rPr>
                  <w:vertAlign w:val="superscript"/>
                </w:rPr>
                <w:delText xml:space="preserve">a </w:delText>
              </w:r>
              <w:r w:rsidRPr="00BC0E7E">
                <w:delText>p-value is from the pairwise comparison of methotrexate monotherapy and Humira/methotrexate combination therapy using the Mann-Whitney U test.</w:delText>
              </w:r>
            </w:del>
          </w:p>
          <w:p w14:paraId="27945EEA" w14:textId="77777777" w:rsidR="00BC0E7E" w:rsidRPr="00BC0E7E" w:rsidRDefault="00944B8F" w:rsidP="00BC0E7E">
            <w:pPr>
              <w:keepNext/>
              <w:tabs>
                <w:tab w:val="clear" w:pos="562"/>
              </w:tabs>
              <w:ind w:left="330" w:hanging="330"/>
              <w:rPr>
                <w:del w:id="1870" w:author="AbbVie19" w:date="2025-04-16T10:35:00Z"/>
              </w:rPr>
            </w:pPr>
            <w:del w:id="1871" w:author="AbbVie19" w:date="2025-04-16T10:35:00Z">
              <w:r w:rsidRPr="00BC0E7E">
                <w:rPr>
                  <w:vertAlign w:val="superscript"/>
                </w:rPr>
                <w:delText xml:space="preserve">b </w:delText>
              </w:r>
              <w:r w:rsidRPr="00BC0E7E">
                <w:delText>p-value is from the pairwise comparison of Humira monotherapy and Humira/methotrexate combination therapy using the Mann-Whitney U test</w:delText>
              </w:r>
            </w:del>
          </w:p>
          <w:p w14:paraId="0209EC49" w14:textId="77777777" w:rsidR="00BC0E7E" w:rsidRPr="00BC0E7E" w:rsidRDefault="00944B8F" w:rsidP="00BC0E7E">
            <w:pPr>
              <w:keepNext/>
              <w:tabs>
                <w:tab w:val="clear" w:pos="562"/>
              </w:tabs>
              <w:ind w:left="330" w:hanging="330"/>
              <w:rPr>
                <w:del w:id="1872" w:author="AbbVie19" w:date="2025-04-16T10:35:00Z"/>
              </w:rPr>
            </w:pPr>
            <w:del w:id="1873" w:author="AbbVie19" w:date="2025-04-16T10:35:00Z">
              <w:r w:rsidRPr="00BC0E7E">
                <w:rPr>
                  <w:vertAlign w:val="superscript"/>
                </w:rPr>
                <w:delText xml:space="preserve">c </w:delText>
              </w:r>
              <w:r w:rsidRPr="00BC0E7E">
                <w:delText>p-value is from the pairwise comparison of Humira monotherapy and methotrexate monotherapy using the Mann-Whitney U test</w:delText>
              </w:r>
            </w:del>
          </w:p>
        </w:tc>
      </w:tr>
    </w:tbl>
    <w:p w14:paraId="76D9219C" w14:textId="77777777" w:rsidR="00BC0E7E" w:rsidRPr="00BC0E7E" w:rsidRDefault="00BC0E7E" w:rsidP="00BC0E7E">
      <w:pPr>
        <w:rPr>
          <w:del w:id="1874" w:author="AbbVie19" w:date="2025-04-16T10:35:00Z"/>
        </w:rPr>
      </w:pPr>
    </w:p>
    <w:p w14:paraId="02EB4BE5" w14:textId="77777777" w:rsidR="00BC0E7E" w:rsidRPr="00BC0E7E" w:rsidRDefault="00944B8F" w:rsidP="00BC0E7E">
      <w:pPr>
        <w:rPr>
          <w:del w:id="1875" w:author="AbbVie19" w:date="2025-04-16T10:35:00Z"/>
        </w:rPr>
      </w:pPr>
      <w:del w:id="1876" w:author="AbbVie19" w:date="2025-04-16T10:35:00Z">
        <w:r w:rsidRPr="00BC0E7E">
          <w:delText>In the open-label extension for RA study V, ACR response rates were maintained when followed for up to 10 years. Of 542 patients who were randomised to Humira 40 mg every other week, 170 patients continued on Humira 40 mg every other week for 10 years. Among those, 154 patients (90.6%) had ACR 20 responses; 127 patients (74.7%) had ACR 50 responses; and 102 patients (60.0%) had ACR 70 responses.</w:delText>
        </w:r>
      </w:del>
    </w:p>
    <w:p w14:paraId="17CB4B2A" w14:textId="77777777" w:rsidR="00BC0E7E" w:rsidRPr="00BC0E7E" w:rsidRDefault="00BC0E7E" w:rsidP="00BC0E7E">
      <w:pPr>
        <w:rPr>
          <w:del w:id="1877" w:author="AbbVie19" w:date="2025-04-16T10:35:00Z"/>
        </w:rPr>
      </w:pPr>
    </w:p>
    <w:p w14:paraId="6D0F3BDC" w14:textId="77777777" w:rsidR="00BC0E7E" w:rsidRPr="00BC0E7E" w:rsidRDefault="00944B8F" w:rsidP="00BC0E7E">
      <w:pPr>
        <w:rPr>
          <w:del w:id="1878" w:author="AbbVie19" w:date="2025-04-16T10:35:00Z"/>
        </w:rPr>
      </w:pPr>
      <w:del w:id="1879" w:author="AbbVie19" w:date="2025-04-16T10:35:00Z">
        <w:r w:rsidRPr="00BC0E7E">
          <w:delText>At Week 52, 42.9% of patients who received Humira/methotrexate combination therapy achieved clinical remission (DAS28 (CRP) &lt; 2.6) compared to 20.6% of patients receiving methotrexate monotherapy and 23.4% of patients receiving Humira monotherapy. Humira/methotrexate combination therapy was clinically and statistically superior to methotrexate (p &lt; 0.001) and Humira monotherapy (p &lt; 0.001) in achieving a low disease state in patients with recently diagnosed moderate to severe rheumatoid arthritis.</w:delText>
        </w:r>
        <w:r w:rsidR="00287A7B">
          <w:delText xml:space="preserve"> </w:delText>
        </w:r>
        <w:r w:rsidRPr="00BC0E7E">
          <w:delText>The response for the two monotherapy arms was similar (p = 0.447). Of 342 subjects originally randomized to Humira monotherapy or Humira/methotrexate combination therapy who entered the open-label extension study, 171 subjects completed 10 years of Humira treatment. Among those, 109 subjects (63.7%) were reported to be in remission at 10 years.</w:delText>
        </w:r>
      </w:del>
    </w:p>
    <w:p w14:paraId="7C786134" w14:textId="77777777" w:rsidR="00BC0E7E" w:rsidRPr="00BC0E7E" w:rsidRDefault="00BC0E7E" w:rsidP="00BC0E7E">
      <w:pPr>
        <w:rPr>
          <w:del w:id="1880" w:author="AbbVie19" w:date="2025-04-16T10:35:00Z"/>
        </w:rPr>
      </w:pPr>
    </w:p>
    <w:p w14:paraId="3135F284" w14:textId="77777777" w:rsidR="00BC0E7E" w:rsidRPr="00BC0E7E" w:rsidRDefault="00944B8F" w:rsidP="00BC0E7E">
      <w:pPr>
        <w:keepNext/>
        <w:rPr>
          <w:del w:id="1881" w:author="AbbVie19" w:date="2025-04-16T10:35:00Z"/>
          <w:i/>
          <w:szCs w:val="20"/>
          <w:u w:val="single"/>
        </w:rPr>
      </w:pPr>
      <w:del w:id="1882" w:author="AbbVie19" w:date="2025-04-16T10:35:00Z">
        <w:r w:rsidRPr="00BC0E7E">
          <w:rPr>
            <w:i/>
            <w:szCs w:val="20"/>
            <w:u w:val="single"/>
          </w:rPr>
          <w:delText>Radiographic response</w:delText>
        </w:r>
      </w:del>
    </w:p>
    <w:p w14:paraId="7DA577B5" w14:textId="77777777" w:rsidR="00BC0E7E" w:rsidRPr="00BC0E7E" w:rsidRDefault="00BC0E7E" w:rsidP="00BC0E7E">
      <w:pPr>
        <w:keepNext/>
        <w:rPr>
          <w:del w:id="1883" w:author="AbbVie19" w:date="2025-04-16T10:35:00Z"/>
          <w:szCs w:val="20"/>
        </w:rPr>
      </w:pPr>
    </w:p>
    <w:p w14:paraId="4FEE5F14" w14:textId="77777777" w:rsidR="00BC0E7E" w:rsidRPr="00BC0E7E" w:rsidRDefault="00944B8F" w:rsidP="00BC0E7E">
      <w:pPr>
        <w:keepNext/>
        <w:rPr>
          <w:del w:id="1884" w:author="AbbVie19" w:date="2025-04-16T10:35:00Z"/>
        </w:rPr>
      </w:pPr>
      <w:del w:id="1885" w:author="AbbVie19" w:date="2025-04-16T10:35:00Z">
        <w:r w:rsidRPr="00BC0E7E">
          <w:delText xml:space="preserve">In RA study III, where Humira treated patients had a mean duration of rheumatoid arthritis of approximately 11 years, structural joint damage was assessed radiographically and expressed as change in modified Total Sharp Score (TSS) and its components, the erosion score and joint space narrowing score. Humira/methotrexate patients demonstrated significantly less radiographic progression than patients receiving methotrexate alone at 6 and 12 months (see Table </w:delText>
        </w:r>
        <w:r w:rsidR="00EE7833">
          <w:delText>10</w:delText>
        </w:r>
        <w:r w:rsidRPr="00BC0E7E">
          <w:delText xml:space="preserve">). </w:delText>
        </w:r>
      </w:del>
    </w:p>
    <w:p w14:paraId="06C253B7" w14:textId="77777777" w:rsidR="00BC0E7E" w:rsidRPr="00BC0E7E" w:rsidRDefault="00BC0E7E" w:rsidP="00BC0E7E">
      <w:pPr>
        <w:rPr>
          <w:del w:id="1886" w:author="AbbVie19" w:date="2025-04-16T10:35:00Z"/>
        </w:rPr>
      </w:pPr>
    </w:p>
    <w:p w14:paraId="681257F6" w14:textId="77777777" w:rsidR="00BC0E7E" w:rsidRPr="00BC0E7E" w:rsidRDefault="00944B8F" w:rsidP="00BC0E7E">
      <w:pPr>
        <w:rPr>
          <w:del w:id="1887" w:author="AbbVie19" w:date="2025-04-16T10:35:00Z"/>
        </w:rPr>
      </w:pPr>
      <w:del w:id="1888" w:author="AbbVie19" w:date="2025-04-16T10:35:00Z">
        <w:r w:rsidRPr="00BC0E7E">
          <w:delText>In the open-label extension of RA Study III, the reduction in rate of progression of structural damage is maintained for 8 and 10 years in a subset of patients. At 8 years, 81 of 207 patients originally treated with 40 mg Humira every other week were evaluated radiographically. Among those, 48 patients showed no progression of structural damage defined by a change from baseline in the mTSS of 0.5 or less. At 10 years, 79 of 207 patients originally treated with 40 mg Humira every other week were evaluated radiographically. Among those, 40 patients showed no progression of structural damage defined by a change from baseline in the mTSS of 0.5 or less.</w:delText>
        </w:r>
      </w:del>
    </w:p>
    <w:p w14:paraId="22C57952" w14:textId="77777777" w:rsidR="00BC0E7E" w:rsidRPr="00BC0E7E" w:rsidRDefault="00BC0E7E" w:rsidP="00BC0E7E">
      <w:pPr>
        <w:keepNext/>
        <w:rPr>
          <w:del w:id="1889" w:author="AbbVie19" w:date="2025-04-16T10:35: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430"/>
        <w:gridCol w:w="1790"/>
        <w:gridCol w:w="2000"/>
        <w:gridCol w:w="1548"/>
      </w:tblGrid>
      <w:tr w:rsidR="00C6578C" w14:paraId="238BC87B" w14:textId="77777777" w:rsidTr="00171601">
        <w:trPr>
          <w:cantSplit/>
          <w:del w:id="1890" w:author="AbbVie19" w:date="2025-04-16T10:35:00Z"/>
        </w:trPr>
        <w:tc>
          <w:tcPr>
            <w:tcW w:w="8856" w:type="dxa"/>
            <w:gridSpan w:val="5"/>
            <w:tcBorders>
              <w:top w:val="nil"/>
              <w:left w:val="nil"/>
              <w:right w:val="nil"/>
            </w:tcBorders>
          </w:tcPr>
          <w:p w14:paraId="0CCC096C" w14:textId="77777777" w:rsidR="00BC0E7E" w:rsidRPr="00BC0E7E" w:rsidRDefault="00944B8F" w:rsidP="00BC0E7E">
            <w:pPr>
              <w:keepNext/>
              <w:jc w:val="center"/>
              <w:rPr>
                <w:del w:id="1891" w:author="AbbVie19" w:date="2025-04-16T10:35:00Z"/>
                <w:b/>
                <w:bCs/>
              </w:rPr>
            </w:pPr>
            <w:del w:id="1892" w:author="AbbVie19" w:date="2025-04-16T10:35:00Z">
              <w:r w:rsidRPr="00BC0E7E">
                <w:rPr>
                  <w:b/>
                  <w:bCs/>
                </w:rPr>
                <w:delText xml:space="preserve">Table </w:delText>
              </w:r>
              <w:r w:rsidR="00C14BCB">
                <w:rPr>
                  <w:b/>
                  <w:bCs/>
                </w:rPr>
                <w:delText>1</w:delText>
              </w:r>
              <w:r w:rsidR="00EE7833">
                <w:rPr>
                  <w:b/>
                  <w:bCs/>
                </w:rPr>
                <w:delText>0</w:delText>
              </w:r>
              <w:r w:rsidRPr="00BC0E7E">
                <w:rPr>
                  <w:b/>
                  <w:bCs/>
                </w:rPr>
                <w:delText xml:space="preserve"> Radiographic Mean Changes Over 12 Months in RA Study III</w:delText>
              </w:r>
            </w:del>
          </w:p>
          <w:p w14:paraId="0A92246B" w14:textId="77777777" w:rsidR="00BC0E7E" w:rsidRPr="00BC0E7E" w:rsidRDefault="00BC0E7E" w:rsidP="00BC0E7E">
            <w:pPr>
              <w:keepNext/>
              <w:jc w:val="center"/>
              <w:rPr>
                <w:del w:id="1893" w:author="AbbVie19" w:date="2025-04-16T10:35:00Z"/>
                <w:b/>
                <w:bCs/>
              </w:rPr>
            </w:pPr>
          </w:p>
        </w:tc>
      </w:tr>
      <w:tr w:rsidR="00C6578C" w14:paraId="7F3E5ADC" w14:textId="77777777" w:rsidTr="00171601">
        <w:trPr>
          <w:del w:id="1894" w:author="AbbVie19" w:date="2025-04-16T10:35:00Z"/>
        </w:trPr>
        <w:tc>
          <w:tcPr>
            <w:tcW w:w="2088" w:type="dxa"/>
          </w:tcPr>
          <w:p w14:paraId="4496E595" w14:textId="77777777" w:rsidR="00BC0E7E" w:rsidRPr="00BC0E7E" w:rsidRDefault="00BC0E7E" w:rsidP="00BC0E7E">
            <w:pPr>
              <w:keepNext/>
              <w:jc w:val="center"/>
              <w:rPr>
                <w:del w:id="1895" w:author="AbbVie19" w:date="2025-04-16T10:35:00Z"/>
              </w:rPr>
            </w:pPr>
          </w:p>
        </w:tc>
        <w:tc>
          <w:tcPr>
            <w:tcW w:w="1430" w:type="dxa"/>
          </w:tcPr>
          <w:p w14:paraId="6BF2693B" w14:textId="77777777" w:rsidR="00BC0E7E" w:rsidRPr="00BC0E7E" w:rsidRDefault="00944B8F" w:rsidP="00BC0E7E">
            <w:pPr>
              <w:keepNext/>
              <w:rPr>
                <w:del w:id="1896" w:author="AbbVie19" w:date="2025-04-16T10:35:00Z"/>
              </w:rPr>
            </w:pPr>
            <w:del w:id="1897" w:author="AbbVie19" w:date="2025-04-16T10:35:00Z">
              <w:r w:rsidRPr="00BC0E7E">
                <w:delText>Placebo/</w:delText>
              </w:r>
            </w:del>
          </w:p>
          <w:p w14:paraId="4DBBF00C" w14:textId="77777777" w:rsidR="00BC0E7E" w:rsidRPr="00BC0E7E" w:rsidRDefault="00944B8F" w:rsidP="00BC0E7E">
            <w:pPr>
              <w:keepNext/>
              <w:rPr>
                <w:del w:id="1898" w:author="AbbVie19" w:date="2025-04-16T10:35:00Z"/>
                <w:vertAlign w:val="superscript"/>
              </w:rPr>
            </w:pPr>
            <w:del w:id="1899" w:author="AbbVie19" w:date="2025-04-16T10:35:00Z">
              <w:r w:rsidRPr="00BC0E7E">
                <w:delText>MTX</w:delText>
              </w:r>
              <w:r w:rsidRPr="00BC0E7E">
                <w:rPr>
                  <w:vertAlign w:val="superscript"/>
                </w:rPr>
                <w:delText>a</w:delText>
              </w:r>
            </w:del>
          </w:p>
        </w:tc>
        <w:tc>
          <w:tcPr>
            <w:tcW w:w="1790" w:type="dxa"/>
          </w:tcPr>
          <w:p w14:paraId="3DF4E0B0" w14:textId="77777777" w:rsidR="00BC0E7E" w:rsidRPr="00BC0E7E" w:rsidRDefault="00944B8F" w:rsidP="00BC0E7E">
            <w:pPr>
              <w:keepNext/>
              <w:jc w:val="center"/>
              <w:rPr>
                <w:del w:id="1900" w:author="AbbVie19" w:date="2025-04-16T10:35:00Z"/>
              </w:rPr>
            </w:pPr>
            <w:del w:id="1901" w:author="AbbVie19" w:date="2025-04-16T10:35:00Z">
              <w:r w:rsidRPr="00BC0E7E">
                <w:delText>Humira/MTX</w:delText>
              </w:r>
            </w:del>
          </w:p>
          <w:p w14:paraId="765CA217" w14:textId="77777777" w:rsidR="00BC0E7E" w:rsidRPr="00BC0E7E" w:rsidRDefault="00944B8F" w:rsidP="00BC0E7E">
            <w:pPr>
              <w:keepNext/>
              <w:jc w:val="center"/>
              <w:rPr>
                <w:del w:id="1902" w:author="AbbVie19" w:date="2025-04-16T10:35:00Z"/>
              </w:rPr>
            </w:pPr>
            <w:del w:id="1903" w:author="AbbVie19" w:date="2025-04-16T10:35:00Z">
              <w:r w:rsidRPr="00BC0E7E">
                <w:delText>40 mg every other week</w:delText>
              </w:r>
            </w:del>
          </w:p>
        </w:tc>
        <w:tc>
          <w:tcPr>
            <w:tcW w:w="2000" w:type="dxa"/>
          </w:tcPr>
          <w:p w14:paraId="5AC34A9C" w14:textId="77777777" w:rsidR="00BC0E7E" w:rsidRPr="00BC0E7E" w:rsidRDefault="00944B8F" w:rsidP="00BC0E7E">
            <w:pPr>
              <w:keepNext/>
              <w:jc w:val="center"/>
              <w:rPr>
                <w:del w:id="1904" w:author="AbbVie19" w:date="2025-04-16T10:35:00Z"/>
              </w:rPr>
            </w:pPr>
            <w:del w:id="1905" w:author="AbbVie19" w:date="2025-04-16T10:35:00Z">
              <w:r w:rsidRPr="00BC0E7E">
                <w:delText>Placebo/MTX-Humira/MTX (95% Confidence Interval</w:delText>
              </w:r>
              <w:r w:rsidRPr="00BC0E7E">
                <w:rPr>
                  <w:vertAlign w:val="superscript"/>
                </w:rPr>
                <w:delText>b</w:delText>
              </w:r>
              <w:r w:rsidRPr="00BC0E7E">
                <w:delText>)</w:delText>
              </w:r>
            </w:del>
          </w:p>
        </w:tc>
        <w:tc>
          <w:tcPr>
            <w:tcW w:w="1548" w:type="dxa"/>
          </w:tcPr>
          <w:p w14:paraId="11121F10" w14:textId="77777777" w:rsidR="00BC0E7E" w:rsidRPr="00BC0E7E" w:rsidRDefault="00944B8F" w:rsidP="00BC0E7E">
            <w:pPr>
              <w:keepNext/>
              <w:jc w:val="center"/>
              <w:rPr>
                <w:del w:id="1906" w:author="AbbVie19" w:date="2025-04-16T10:35:00Z"/>
              </w:rPr>
            </w:pPr>
            <w:del w:id="1907" w:author="AbbVie19" w:date="2025-04-16T10:35:00Z">
              <w:r w:rsidRPr="00BC0E7E">
                <w:delText>p-value</w:delText>
              </w:r>
            </w:del>
          </w:p>
        </w:tc>
      </w:tr>
      <w:tr w:rsidR="00C6578C" w14:paraId="126EBFE9" w14:textId="77777777" w:rsidTr="00171601">
        <w:trPr>
          <w:del w:id="1908" w:author="AbbVie19" w:date="2025-04-16T10:35:00Z"/>
        </w:trPr>
        <w:tc>
          <w:tcPr>
            <w:tcW w:w="2088" w:type="dxa"/>
          </w:tcPr>
          <w:p w14:paraId="1630B704" w14:textId="77777777" w:rsidR="00BC0E7E" w:rsidRPr="00BC0E7E" w:rsidRDefault="00944B8F" w:rsidP="00BC0E7E">
            <w:pPr>
              <w:keepNext/>
              <w:jc w:val="center"/>
              <w:rPr>
                <w:del w:id="1909" w:author="AbbVie19" w:date="2025-04-16T10:35:00Z"/>
              </w:rPr>
            </w:pPr>
            <w:del w:id="1910" w:author="AbbVie19" w:date="2025-04-16T10:35:00Z">
              <w:r w:rsidRPr="00BC0E7E">
                <w:delText>Total Sharp Score</w:delText>
              </w:r>
            </w:del>
          </w:p>
        </w:tc>
        <w:tc>
          <w:tcPr>
            <w:tcW w:w="1430" w:type="dxa"/>
          </w:tcPr>
          <w:p w14:paraId="65E9C920" w14:textId="77777777" w:rsidR="00BC0E7E" w:rsidRPr="00BC0E7E" w:rsidRDefault="00944B8F" w:rsidP="00BC0E7E">
            <w:pPr>
              <w:keepNext/>
              <w:jc w:val="center"/>
              <w:rPr>
                <w:del w:id="1911" w:author="AbbVie19" w:date="2025-04-16T10:35:00Z"/>
                <w:lang w:val="it-IT"/>
              </w:rPr>
            </w:pPr>
            <w:del w:id="1912" w:author="AbbVie19" w:date="2025-04-16T10:35:00Z">
              <w:r w:rsidRPr="00BC0E7E">
                <w:rPr>
                  <w:lang w:val="it-IT"/>
                </w:rPr>
                <w:delText>2.7</w:delText>
              </w:r>
            </w:del>
          </w:p>
        </w:tc>
        <w:tc>
          <w:tcPr>
            <w:tcW w:w="1790" w:type="dxa"/>
          </w:tcPr>
          <w:p w14:paraId="54D5C510" w14:textId="77777777" w:rsidR="00BC0E7E" w:rsidRPr="00BC0E7E" w:rsidRDefault="00944B8F" w:rsidP="00BC0E7E">
            <w:pPr>
              <w:keepNext/>
              <w:jc w:val="center"/>
              <w:rPr>
                <w:del w:id="1913" w:author="AbbVie19" w:date="2025-04-16T10:35:00Z"/>
                <w:lang w:val="it-IT"/>
              </w:rPr>
            </w:pPr>
            <w:del w:id="1914" w:author="AbbVie19" w:date="2025-04-16T10:35:00Z">
              <w:r w:rsidRPr="00BC0E7E">
                <w:rPr>
                  <w:lang w:val="it-IT"/>
                </w:rPr>
                <w:delText>0.1</w:delText>
              </w:r>
            </w:del>
          </w:p>
        </w:tc>
        <w:tc>
          <w:tcPr>
            <w:tcW w:w="2000" w:type="dxa"/>
          </w:tcPr>
          <w:p w14:paraId="27F5DAFE" w14:textId="77777777" w:rsidR="00BC0E7E" w:rsidRPr="00BC0E7E" w:rsidRDefault="00944B8F" w:rsidP="00BC0E7E">
            <w:pPr>
              <w:keepNext/>
              <w:jc w:val="center"/>
              <w:rPr>
                <w:del w:id="1915" w:author="AbbVie19" w:date="2025-04-16T10:35:00Z"/>
                <w:lang w:val="it-IT"/>
              </w:rPr>
            </w:pPr>
            <w:del w:id="1916" w:author="AbbVie19" w:date="2025-04-16T10:35:00Z">
              <w:r w:rsidRPr="00BC0E7E">
                <w:rPr>
                  <w:lang w:val="it-IT"/>
                </w:rPr>
                <w:delText xml:space="preserve">2.6 (1.4, 3.8) </w:delText>
              </w:r>
            </w:del>
          </w:p>
        </w:tc>
        <w:tc>
          <w:tcPr>
            <w:tcW w:w="1548" w:type="dxa"/>
          </w:tcPr>
          <w:p w14:paraId="1DDF167F" w14:textId="77777777" w:rsidR="00BC0E7E" w:rsidRPr="00BC0E7E" w:rsidRDefault="00944B8F" w:rsidP="00BC0E7E">
            <w:pPr>
              <w:keepNext/>
              <w:jc w:val="center"/>
              <w:rPr>
                <w:del w:id="1917" w:author="AbbVie19" w:date="2025-04-16T10:35:00Z"/>
                <w:vertAlign w:val="superscript"/>
                <w:lang w:val="it-IT"/>
              </w:rPr>
            </w:pPr>
            <w:del w:id="1918" w:author="AbbVie19" w:date="2025-04-16T10:35:00Z">
              <w:r w:rsidRPr="00BC0E7E">
                <w:rPr>
                  <w:lang w:val="it-IT"/>
                </w:rPr>
                <w:delText>&lt; 0.001</w:delText>
              </w:r>
              <w:r w:rsidRPr="00BC0E7E">
                <w:rPr>
                  <w:vertAlign w:val="superscript"/>
                  <w:lang w:val="it-IT"/>
                </w:rPr>
                <w:delText>c</w:delText>
              </w:r>
            </w:del>
          </w:p>
        </w:tc>
      </w:tr>
      <w:tr w:rsidR="00C6578C" w14:paraId="5CD2C58D" w14:textId="77777777" w:rsidTr="00171601">
        <w:trPr>
          <w:del w:id="1919" w:author="AbbVie19" w:date="2025-04-16T10:35:00Z"/>
        </w:trPr>
        <w:tc>
          <w:tcPr>
            <w:tcW w:w="2088" w:type="dxa"/>
          </w:tcPr>
          <w:p w14:paraId="3DC502D8" w14:textId="77777777" w:rsidR="00BC0E7E" w:rsidRPr="00BC0E7E" w:rsidRDefault="00944B8F" w:rsidP="00BC0E7E">
            <w:pPr>
              <w:keepNext/>
              <w:jc w:val="center"/>
              <w:rPr>
                <w:del w:id="1920" w:author="AbbVie19" w:date="2025-04-16T10:35:00Z"/>
                <w:lang w:val="it-IT"/>
              </w:rPr>
            </w:pPr>
            <w:del w:id="1921" w:author="AbbVie19" w:date="2025-04-16T10:35:00Z">
              <w:r w:rsidRPr="00BC0E7E">
                <w:rPr>
                  <w:lang w:val="it-IT"/>
                </w:rPr>
                <w:delText>Erosion score</w:delText>
              </w:r>
            </w:del>
          </w:p>
        </w:tc>
        <w:tc>
          <w:tcPr>
            <w:tcW w:w="1430" w:type="dxa"/>
          </w:tcPr>
          <w:p w14:paraId="4A0AF0F5" w14:textId="77777777" w:rsidR="00BC0E7E" w:rsidRPr="00BC0E7E" w:rsidRDefault="00944B8F" w:rsidP="00BC0E7E">
            <w:pPr>
              <w:keepNext/>
              <w:jc w:val="center"/>
              <w:rPr>
                <w:del w:id="1922" w:author="AbbVie19" w:date="2025-04-16T10:35:00Z"/>
              </w:rPr>
            </w:pPr>
            <w:del w:id="1923" w:author="AbbVie19" w:date="2025-04-16T10:35:00Z">
              <w:r w:rsidRPr="00BC0E7E">
                <w:delText>1.6</w:delText>
              </w:r>
            </w:del>
          </w:p>
        </w:tc>
        <w:tc>
          <w:tcPr>
            <w:tcW w:w="1790" w:type="dxa"/>
          </w:tcPr>
          <w:p w14:paraId="20CAD4B3" w14:textId="77777777" w:rsidR="00BC0E7E" w:rsidRPr="00BC0E7E" w:rsidRDefault="00944B8F" w:rsidP="00BC0E7E">
            <w:pPr>
              <w:keepNext/>
              <w:jc w:val="center"/>
              <w:rPr>
                <w:del w:id="1924" w:author="AbbVie19" w:date="2025-04-16T10:35:00Z"/>
              </w:rPr>
            </w:pPr>
            <w:del w:id="1925" w:author="AbbVie19" w:date="2025-04-16T10:35:00Z">
              <w:r w:rsidRPr="00BC0E7E">
                <w:delText>0.0</w:delText>
              </w:r>
            </w:del>
          </w:p>
        </w:tc>
        <w:tc>
          <w:tcPr>
            <w:tcW w:w="2000" w:type="dxa"/>
          </w:tcPr>
          <w:p w14:paraId="204EADDF" w14:textId="77777777" w:rsidR="00BC0E7E" w:rsidRPr="00BC0E7E" w:rsidRDefault="00944B8F" w:rsidP="00BC0E7E">
            <w:pPr>
              <w:keepNext/>
              <w:jc w:val="center"/>
              <w:rPr>
                <w:del w:id="1926" w:author="AbbVie19" w:date="2025-04-16T10:35:00Z"/>
              </w:rPr>
            </w:pPr>
            <w:del w:id="1927" w:author="AbbVie19" w:date="2025-04-16T10:35:00Z">
              <w:r w:rsidRPr="00BC0E7E">
                <w:delText>1.6 (0.9, 2.2)</w:delText>
              </w:r>
            </w:del>
          </w:p>
        </w:tc>
        <w:tc>
          <w:tcPr>
            <w:tcW w:w="1548" w:type="dxa"/>
          </w:tcPr>
          <w:p w14:paraId="05710B7F" w14:textId="77777777" w:rsidR="00BC0E7E" w:rsidRPr="00BC0E7E" w:rsidRDefault="00944B8F" w:rsidP="00BC0E7E">
            <w:pPr>
              <w:keepNext/>
              <w:jc w:val="center"/>
              <w:rPr>
                <w:del w:id="1928" w:author="AbbVie19" w:date="2025-04-16T10:35:00Z"/>
              </w:rPr>
            </w:pPr>
            <w:del w:id="1929" w:author="AbbVie19" w:date="2025-04-16T10:35:00Z">
              <w:r w:rsidRPr="00BC0E7E">
                <w:delText>&lt; 0.001</w:delText>
              </w:r>
            </w:del>
          </w:p>
        </w:tc>
      </w:tr>
      <w:tr w:rsidR="00C6578C" w14:paraId="11FA3BEA" w14:textId="77777777" w:rsidTr="00171601">
        <w:trPr>
          <w:del w:id="1930" w:author="AbbVie19" w:date="2025-04-16T10:35:00Z"/>
        </w:trPr>
        <w:tc>
          <w:tcPr>
            <w:tcW w:w="2088" w:type="dxa"/>
          </w:tcPr>
          <w:p w14:paraId="1CF197D4" w14:textId="77777777" w:rsidR="00BC0E7E" w:rsidRPr="00BC0E7E" w:rsidRDefault="00944B8F" w:rsidP="00BC0E7E">
            <w:pPr>
              <w:keepNext/>
              <w:jc w:val="center"/>
              <w:rPr>
                <w:del w:id="1931" w:author="AbbVie19" w:date="2025-04-16T10:35:00Z"/>
              </w:rPr>
            </w:pPr>
            <w:del w:id="1932" w:author="AbbVie19" w:date="2025-04-16T10:35:00Z">
              <w:r w:rsidRPr="00BC0E7E">
                <w:delText>JSN</w:delText>
              </w:r>
              <w:r w:rsidRPr="00BC0E7E">
                <w:rPr>
                  <w:vertAlign w:val="superscript"/>
                </w:rPr>
                <w:delText>d</w:delText>
              </w:r>
              <w:r w:rsidRPr="00BC0E7E">
                <w:delText xml:space="preserve"> score</w:delText>
              </w:r>
            </w:del>
          </w:p>
        </w:tc>
        <w:tc>
          <w:tcPr>
            <w:tcW w:w="1430" w:type="dxa"/>
          </w:tcPr>
          <w:p w14:paraId="7B5A5F2D" w14:textId="77777777" w:rsidR="00BC0E7E" w:rsidRPr="00BC0E7E" w:rsidRDefault="00944B8F" w:rsidP="00BC0E7E">
            <w:pPr>
              <w:keepNext/>
              <w:jc w:val="center"/>
              <w:rPr>
                <w:del w:id="1933" w:author="AbbVie19" w:date="2025-04-16T10:35:00Z"/>
              </w:rPr>
            </w:pPr>
            <w:del w:id="1934" w:author="AbbVie19" w:date="2025-04-16T10:35:00Z">
              <w:r w:rsidRPr="00BC0E7E">
                <w:delText>1.0</w:delText>
              </w:r>
            </w:del>
          </w:p>
        </w:tc>
        <w:tc>
          <w:tcPr>
            <w:tcW w:w="1790" w:type="dxa"/>
          </w:tcPr>
          <w:p w14:paraId="55024645" w14:textId="77777777" w:rsidR="00BC0E7E" w:rsidRPr="00BC0E7E" w:rsidRDefault="00944B8F" w:rsidP="00BC0E7E">
            <w:pPr>
              <w:keepNext/>
              <w:jc w:val="center"/>
              <w:rPr>
                <w:del w:id="1935" w:author="AbbVie19" w:date="2025-04-16T10:35:00Z"/>
              </w:rPr>
            </w:pPr>
            <w:del w:id="1936" w:author="AbbVie19" w:date="2025-04-16T10:35:00Z">
              <w:r w:rsidRPr="00BC0E7E">
                <w:delText>0.1</w:delText>
              </w:r>
            </w:del>
          </w:p>
        </w:tc>
        <w:tc>
          <w:tcPr>
            <w:tcW w:w="2000" w:type="dxa"/>
          </w:tcPr>
          <w:p w14:paraId="534EA7E5" w14:textId="77777777" w:rsidR="00BC0E7E" w:rsidRPr="00BC0E7E" w:rsidRDefault="00944B8F" w:rsidP="00BC0E7E">
            <w:pPr>
              <w:keepNext/>
              <w:jc w:val="center"/>
              <w:rPr>
                <w:del w:id="1937" w:author="AbbVie19" w:date="2025-04-16T10:35:00Z"/>
              </w:rPr>
            </w:pPr>
            <w:del w:id="1938" w:author="AbbVie19" w:date="2025-04-16T10:35:00Z">
              <w:r w:rsidRPr="00BC0E7E">
                <w:delText>0.9 (0.3, 1.4)</w:delText>
              </w:r>
            </w:del>
          </w:p>
        </w:tc>
        <w:tc>
          <w:tcPr>
            <w:tcW w:w="1548" w:type="dxa"/>
          </w:tcPr>
          <w:p w14:paraId="0B8BEC70" w14:textId="77777777" w:rsidR="00BC0E7E" w:rsidRPr="00BC0E7E" w:rsidRDefault="00944B8F" w:rsidP="00BC0E7E">
            <w:pPr>
              <w:keepNext/>
              <w:jc w:val="center"/>
              <w:rPr>
                <w:del w:id="1939" w:author="AbbVie19" w:date="2025-04-16T10:35:00Z"/>
              </w:rPr>
            </w:pPr>
            <w:del w:id="1940" w:author="AbbVie19" w:date="2025-04-16T10:35:00Z">
              <w:r w:rsidRPr="00BC0E7E">
                <w:delText xml:space="preserve">  0.002</w:delText>
              </w:r>
            </w:del>
          </w:p>
        </w:tc>
      </w:tr>
    </w:tbl>
    <w:p w14:paraId="47D92E77" w14:textId="77777777" w:rsidR="00BC0E7E" w:rsidRPr="00BC0E7E" w:rsidRDefault="00944B8F" w:rsidP="00BC0E7E">
      <w:pPr>
        <w:keepNext/>
        <w:rPr>
          <w:del w:id="1941" w:author="AbbVie19" w:date="2025-04-16T10:35:00Z"/>
          <w:szCs w:val="20"/>
        </w:rPr>
      </w:pPr>
      <w:del w:id="1942" w:author="AbbVie19" w:date="2025-04-16T10:35:00Z">
        <w:r w:rsidRPr="00BC0E7E">
          <w:rPr>
            <w:b/>
            <w:bCs/>
            <w:szCs w:val="20"/>
            <w:vertAlign w:val="superscript"/>
          </w:rPr>
          <w:delText>a</w:delText>
        </w:r>
        <w:r w:rsidRPr="00BC0E7E">
          <w:rPr>
            <w:szCs w:val="20"/>
          </w:rPr>
          <w:delText>methotrexate</w:delText>
        </w:r>
      </w:del>
    </w:p>
    <w:p w14:paraId="71D85661" w14:textId="77777777" w:rsidR="00BC0E7E" w:rsidRPr="00BC0E7E" w:rsidRDefault="00944B8F" w:rsidP="00BC0E7E">
      <w:pPr>
        <w:keepNext/>
        <w:rPr>
          <w:del w:id="1943" w:author="AbbVie19" w:date="2025-04-16T10:35:00Z"/>
          <w:szCs w:val="20"/>
        </w:rPr>
      </w:pPr>
      <w:del w:id="1944" w:author="AbbVie19" w:date="2025-04-16T10:35:00Z">
        <w:r w:rsidRPr="00BC0E7E">
          <w:rPr>
            <w:szCs w:val="20"/>
            <w:vertAlign w:val="superscript"/>
          </w:rPr>
          <w:delText>b</w:delText>
        </w:r>
        <w:r w:rsidRPr="00BC0E7E">
          <w:rPr>
            <w:szCs w:val="20"/>
          </w:rPr>
          <w:delText xml:space="preserve">95% confidence intervals for the differences in change scores between methotrexate and Humira. </w:delText>
        </w:r>
      </w:del>
    </w:p>
    <w:p w14:paraId="1376CE90" w14:textId="77777777" w:rsidR="00BC0E7E" w:rsidRPr="00BC0E7E" w:rsidRDefault="00944B8F" w:rsidP="00BC0E7E">
      <w:pPr>
        <w:keepNext/>
        <w:rPr>
          <w:del w:id="1945" w:author="AbbVie19" w:date="2025-04-16T10:35:00Z"/>
          <w:szCs w:val="20"/>
        </w:rPr>
      </w:pPr>
      <w:del w:id="1946" w:author="AbbVie19" w:date="2025-04-16T10:35:00Z">
        <w:r w:rsidRPr="00BC0E7E">
          <w:rPr>
            <w:szCs w:val="20"/>
            <w:vertAlign w:val="superscript"/>
          </w:rPr>
          <w:delText>c</w:delText>
        </w:r>
        <w:r w:rsidRPr="00BC0E7E">
          <w:rPr>
            <w:szCs w:val="20"/>
          </w:rPr>
          <w:delText xml:space="preserve">Based on rank analysis </w:delText>
        </w:r>
      </w:del>
    </w:p>
    <w:p w14:paraId="4FDF1F96" w14:textId="77777777" w:rsidR="00BC0E7E" w:rsidRPr="00BC0E7E" w:rsidRDefault="00944B8F" w:rsidP="00BC0E7E">
      <w:pPr>
        <w:keepNext/>
        <w:rPr>
          <w:del w:id="1947" w:author="AbbVie19" w:date="2025-04-16T10:35:00Z"/>
          <w:szCs w:val="20"/>
        </w:rPr>
      </w:pPr>
      <w:del w:id="1948" w:author="AbbVie19" w:date="2025-04-16T10:35:00Z">
        <w:r w:rsidRPr="00BC0E7E">
          <w:rPr>
            <w:szCs w:val="20"/>
            <w:vertAlign w:val="superscript"/>
          </w:rPr>
          <w:delText>d</w:delText>
        </w:r>
        <w:r w:rsidRPr="00BC0E7E">
          <w:rPr>
            <w:szCs w:val="20"/>
          </w:rPr>
          <w:delText>Joint Space Narrowing</w:delText>
        </w:r>
      </w:del>
    </w:p>
    <w:p w14:paraId="3DCB9CF4" w14:textId="77777777" w:rsidR="00BC0E7E" w:rsidRPr="00BC0E7E" w:rsidRDefault="00BC0E7E" w:rsidP="00BC0E7E">
      <w:pPr>
        <w:rPr>
          <w:del w:id="1949" w:author="AbbVie19" w:date="2025-04-16T10:35:00Z"/>
          <w:szCs w:val="20"/>
        </w:rPr>
      </w:pPr>
    </w:p>
    <w:p w14:paraId="4750FFDA" w14:textId="77777777" w:rsidR="00BC0E7E" w:rsidRPr="00BC0E7E" w:rsidRDefault="00944B8F" w:rsidP="00BC0E7E">
      <w:pPr>
        <w:rPr>
          <w:del w:id="1950" w:author="AbbVie19" w:date="2025-04-16T10:35:00Z"/>
        </w:rPr>
      </w:pPr>
      <w:del w:id="1951" w:author="AbbVie19" w:date="2025-04-16T10:35:00Z">
        <w:r w:rsidRPr="00BC0E7E">
          <w:delText xml:space="preserve">In RA study V, structural joint damage was assessed radiographically and expressed as change in modified Total Sharp Score (see Table </w:delText>
        </w:r>
        <w:r w:rsidR="00C14BCB">
          <w:delText>1</w:delText>
        </w:r>
        <w:r w:rsidR="00EE7833">
          <w:delText>1</w:delText>
        </w:r>
        <w:r w:rsidRPr="00BC0E7E">
          <w:delText>).</w:delText>
        </w:r>
      </w:del>
    </w:p>
    <w:p w14:paraId="0974256A" w14:textId="77777777" w:rsidR="00BC0E7E" w:rsidRPr="00BC0E7E" w:rsidRDefault="00BC0E7E" w:rsidP="00BC0E7E">
      <w:pPr>
        <w:rPr>
          <w:del w:id="1952" w:author="AbbVie19" w:date="2025-04-16T10:35:00Z"/>
        </w:rPr>
      </w:pPr>
    </w:p>
    <w:tbl>
      <w:tblPr>
        <w:tblW w:w="8910" w:type="dxa"/>
        <w:tblInd w:w="108" w:type="dxa"/>
        <w:tblLayout w:type="fixed"/>
        <w:tblLook w:val="0000" w:firstRow="0" w:lastRow="0" w:firstColumn="0" w:lastColumn="0" w:noHBand="0" w:noVBand="0"/>
      </w:tblPr>
      <w:tblGrid>
        <w:gridCol w:w="1430"/>
        <w:gridCol w:w="1540"/>
        <w:gridCol w:w="1482"/>
        <w:gridCol w:w="1488"/>
        <w:gridCol w:w="990"/>
        <w:gridCol w:w="990"/>
        <w:gridCol w:w="990"/>
      </w:tblGrid>
      <w:tr w:rsidR="00C6578C" w14:paraId="3CB514AE" w14:textId="77777777" w:rsidTr="00171601">
        <w:trPr>
          <w:cantSplit/>
          <w:del w:id="1953" w:author="AbbVie19" w:date="2025-04-16T10:35:00Z"/>
        </w:trPr>
        <w:tc>
          <w:tcPr>
            <w:tcW w:w="8910" w:type="dxa"/>
            <w:gridSpan w:val="7"/>
            <w:tcBorders>
              <w:bottom w:val="single" w:sz="4" w:space="0" w:color="auto"/>
            </w:tcBorders>
          </w:tcPr>
          <w:p w14:paraId="47CC1778" w14:textId="77777777" w:rsidR="00BC0E7E" w:rsidRPr="00BC0E7E" w:rsidRDefault="00944B8F" w:rsidP="00BC0E7E">
            <w:pPr>
              <w:jc w:val="center"/>
              <w:outlineLvl w:val="4"/>
              <w:rPr>
                <w:del w:id="1954" w:author="AbbVie19" w:date="2025-04-16T10:35:00Z"/>
                <w:b/>
                <w:bCs/>
                <w:noProof/>
              </w:rPr>
            </w:pPr>
            <w:del w:id="1955" w:author="AbbVie19" w:date="2025-04-16T10:35:00Z">
              <w:r w:rsidRPr="00BC0E7E">
                <w:rPr>
                  <w:b/>
                  <w:bCs/>
                  <w:noProof/>
                </w:rPr>
                <w:delText xml:space="preserve">Table </w:delText>
              </w:r>
              <w:r w:rsidR="00C14BCB">
                <w:rPr>
                  <w:b/>
                  <w:bCs/>
                  <w:noProof/>
                </w:rPr>
                <w:delText>1</w:delText>
              </w:r>
              <w:r w:rsidR="00EE7833">
                <w:rPr>
                  <w:b/>
                  <w:bCs/>
                  <w:noProof/>
                </w:rPr>
                <w:delText>1</w:delText>
              </w:r>
              <w:r w:rsidRPr="00BC0E7E">
                <w:rPr>
                  <w:b/>
                  <w:bCs/>
                  <w:noProof/>
                </w:rPr>
                <w:delText xml:space="preserve"> Radiographic Mean Changes at Week 52 in RA Study V</w:delText>
              </w:r>
            </w:del>
          </w:p>
          <w:p w14:paraId="7BAD26C4" w14:textId="77777777" w:rsidR="00BC0E7E" w:rsidRPr="00BC0E7E" w:rsidRDefault="00BC0E7E" w:rsidP="00BC0E7E">
            <w:pPr>
              <w:rPr>
                <w:del w:id="1956" w:author="AbbVie19" w:date="2025-04-16T10:35:00Z"/>
              </w:rPr>
            </w:pPr>
          </w:p>
        </w:tc>
      </w:tr>
      <w:tr w:rsidR="00C6578C" w14:paraId="145BC35E" w14:textId="77777777" w:rsidTr="00171601">
        <w:trPr>
          <w:del w:id="1957" w:author="AbbVie19" w:date="2025-04-16T10:35:00Z"/>
        </w:trPr>
        <w:tc>
          <w:tcPr>
            <w:tcW w:w="1430" w:type="dxa"/>
            <w:tcBorders>
              <w:top w:val="single" w:sz="4" w:space="0" w:color="auto"/>
              <w:left w:val="single" w:sz="4" w:space="0" w:color="auto"/>
              <w:bottom w:val="single" w:sz="4" w:space="0" w:color="auto"/>
              <w:right w:val="single" w:sz="4" w:space="0" w:color="auto"/>
            </w:tcBorders>
            <w:vAlign w:val="center"/>
          </w:tcPr>
          <w:p w14:paraId="09E72B36" w14:textId="77777777" w:rsidR="00BC0E7E" w:rsidRPr="00BC0E7E" w:rsidRDefault="00BC0E7E" w:rsidP="00BC0E7E">
            <w:pPr>
              <w:rPr>
                <w:del w:id="1958" w:author="AbbVie19" w:date="2025-04-16T10:35:00Z"/>
              </w:rPr>
            </w:pPr>
          </w:p>
        </w:tc>
        <w:tc>
          <w:tcPr>
            <w:tcW w:w="1540" w:type="dxa"/>
            <w:tcBorders>
              <w:top w:val="single" w:sz="4" w:space="0" w:color="auto"/>
              <w:left w:val="single" w:sz="4" w:space="0" w:color="auto"/>
              <w:bottom w:val="single" w:sz="4" w:space="0" w:color="auto"/>
              <w:right w:val="single" w:sz="4" w:space="0" w:color="auto"/>
            </w:tcBorders>
            <w:vAlign w:val="center"/>
          </w:tcPr>
          <w:p w14:paraId="04715B7C" w14:textId="77777777" w:rsidR="00BC0E7E" w:rsidRPr="00BC0E7E" w:rsidRDefault="00944B8F" w:rsidP="00BC0E7E">
            <w:pPr>
              <w:jc w:val="center"/>
              <w:rPr>
                <w:del w:id="1959" w:author="AbbVie19" w:date="2025-04-16T10:35:00Z"/>
              </w:rPr>
            </w:pPr>
            <w:del w:id="1960" w:author="AbbVie19" w:date="2025-04-16T10:35:00Z">
              <w:r w:rsidRPr="00BC0E7E">
                <w:delText>MTX</w:delText>
              </w:r>
            </w:del>
          </w:p>
          <w:p w14:paraId="0BCF659D" w14:textId="77777777" w:rsidR="00BC0E7E" w:rsidRPr="00BC0E7E" w:rsidRDefault="00944B8F" w:rsidP="00BC0E7E">
            <w:pPr>
              <w:jc w:val="center"/>
              <w:rPr>
                <w:del w:id="1961" w:author="AbbVie19" w:date="2025-04-16T10:35:00Z"/>
              </w:rPr>
            </w:pPr>
            <w:del w:id="1962" w:author="AbbVie19" w:date="2025-04-16T10:35:00Z">
              <w:r w:rsidRPr="00BC0E7E">
                <w:delText>n=257</w:delText>
              </w:r>
            </w:del>
          </w:p>
          <w:p w14:paraId="2E79E90A" w14:textId="77777777" w:rsidR="00BC0E7E" w:rsidRPr="00BC0E7E" w:rsidRDefault="00944B8F" w:rsidP="00BC0E7E">
            <w:pPr>
              <w:jc w:val="center"/>
              <w:rPr>
                <w:del w:id="1963" w:author="AbbVie19" w:date="2025-04-16T10:35:00Z"/>
              </w:rPr>
            </w:pPr>
            <w:del w:id="1964" w:author="AbbVie19" w:date="2025-04-16T10:35:00Z">
              <w:r w:rsidRPr="00BC0E7E">
                <w:delText>(95% confidence interval)</w:delText>
              </w:r>
            </w:del>
          </w:p>
        </w:tc>
        <w:tc>
          <w:tcPr>
            <w:tcW w:w="1482" w:type="dxa"/>
            <w:tcBorders>
              <w:top w:val="single" w:sz="4" w:space="0" w:color="auto"/>
              <w:left w:val="single" w:sz="4" w:space="0" w:color="auto"/>
              <w:bottom w:val="single" w:sz="4" w:space="0" w:color="auto"/>
              <w:right w:val="single" w:sz="4" w:space="0" w:color="auto"/>
            </w:tcBorders>
            <w:vAlign w:val="center"/>
          </w:tcPr>
          <w:p w14:paraId="15EDF688" w14:textId="77777777" w:rsidR="00BC0E7E" w:rsidRPr="00BC0E7E" w:rsidRDefault="00944B8F" w:rsidP="00BC0E7E">
            <w:pPr>
              <w:jc w:val="center"/>
              <w:rPr>
                <w:del w:id="1965" w:author="AbbVie19" w:date="2025-04-16T10:35:00Z"/>
              </w:rPr>
            </w:pPr>
            <w:del w:id="1966" w:author="AbbVie19" w:date="2025-04-16T10:35:00Z">
              <w:r w:rsidRPr="00BC0E7E">
                <w:delText>Humira</w:delText>
              </w:r>
            </w:del>
          </w:p>
          <w:p w14:paraId="65178756" w14:textId="77777777" w:rsidR="00BC0E7E" w:rsidRPr="00BC0E7E" w:rsidRDefault="00944B8F" w:rsidP="00BC0E7E">
            <w:pPr>
              <w:jc w:val="center"/>
              <w:rPr>
                <w:del w:id="1967" w:author="AbbVie19" w:date="2025-04-16T10:35:00Z"/>
                <w:szCs w:val="20"/>
              </w:rPr>
            </w:pPr>
            <w:del w:id="1968" w:author="AbbVie19" w:date="2025-04-16T10:35:00Z">
              <w:r w:rsidRPr="00BC0E7E">
                <w:rPr>
                  <w:szCs w:val="20"/>
                </w:rPr>
                <w:delText>n=274</w:delText>
              </w:r>
            </w:del>
          </w:p>
          <w:p w14:paraId="52AFD677" w14:textId="77777777" w:rsidR="00BC0E7E" w:rsidRPr="00BC0E7E" w:rsidRDefault="00944B8F" w:rsidP="00BC0E7E">
            <w:pPr>
              <w:jc w:val="center"/>
              <w:rPr>
                <w:del w:id="1969" w:author="AbbVie19" w:date="2025-04-16T10:35:00Z"/>
              </w:rPr>
            </w:pPr>
            <w:del w:id="1970" w:author="AbbVie19" w:date="2025-04-16T10:35:00Z">
              <w:r w:rsidRPr="00BC0E7E">
                <w:delText>(95% confidence interval)</w:delText>
              </w:r>
            </w:del>
          </w:p>
        </w:tc>
        <w:tc>
          <w:tcPr>
            <w:tcW w:w="1488" w:type="dxa"/>
            <w:tcBorders>
              <w:top w:val="single" w:sz="4" w:space="0" w:color="auto"/>
              <w:left w:val="single" w:sz="4" w:space="0" w:color="auto"/>
              <w:bottom w:val="single" w:sz="4" w:space="0" w:color="auto"/>
              <w:right w:val="single" w:sz="4" w:space="0" w:color="auto"/>
            </w:tcBorders>
            <w:vAlign w:val="center"/>
          </w:tcPr>
          <w:p w14:paraId="3EC38678" w14:textId="77777777" w:rsidR="00BC0E7E" w:rsidRPr="00BC0E7E" w:rsidRDefault="00944B8F" w:rsidP="00BC0E7E">
            <w:pPr>
              <w:jc w:val="center"/>
              <w:rPr>
                <w:del w:id="1971" w:author="AbbVie19" w:date="2025-04-16T10:35:00Z"/>
              </w:rPr>
            </w:pPr>
            <w:del w:id="1972" w:author="AbbVie19" w:date="2025-04-16T10:35:00Z">
              <w:r w:rsidRPr="00BC0E7E">
                <w:delText>Humira/MTX</w:delText>
              </w:r>
            </w:del>
          </w:p>
          <w:p w14:paraId="6E0A915E" w14:textId="77777777" w:rsidR="00BC0E7E" w:rsidRPr="00BC0E7E" w:rsidRDefault="00944B8F" w:rsidP="00BC0E7E">
            <w:pPr>
              <w:jc w:val="center"/>
              <w:rPr>
                <w:del w:id="1973" w:author="AbbVie19" w:date="2025-04-16T10:35:00Z"/>
                <w:szCs w:val="20"/>
              </w:rPr>
            </w:pPr>
            <w:del w:id="1974" w:author="AbbVie19" w:date="2025-04-16T10:35:00Z">
              <w:r w:rsidRPr="00BC0E7E">
                <w:rPr>
                  <w:szCs w:val="20"/>
                </w:rPr>
                <w:delText>n=268</w:delText>
              </w:r>
            </w:del>
          </w:p>
          <w:p w14:paraId="2677B2F1" w14:textId="77777777" w:rsidR="00BC0E7E" w:rsidRPr="00BC0E7E" w:rsidRDefault="00944B8F" w:rsidP="00BC0E7E">
            <w:pPr>
              <w:jc w:val="center"/>
              <w:rPr>
                <w:del w:id="1975" w:author="AbbVie19" w:date="2025-04-16T10:35:00Z"/>
                <w:szCs w:val="20"/>
              </w:rPr>
            </w:pPr>
            <w:del w:id="1976" w:author="AbbVie19" w:date="2025-04-16T10:35:00Z">
              <w:r w:rsidRPr="00BC0E7E">
                <w:rPr>
                  <w:szCs w:val="20"/>
                </w:rPr>
                <w:delText>(95% confidence interval)</w:delText>
              </w:r>
            </w:del>
          </w:p>
        </w:tc>
        <w:tc>
          <w:tcPr>
            <w:tcW w:w="990" w:type="dxa"/>
            <w:tcBorders>
              <w:top w:val="single" w:sz="4" w:space="0" w:color="auto"/>
              <w:left w:val="single" w:sz="4" w:space="0" w:color="auto"/>
              <w:bottom w:val="single" w:sz="4" w:space="0" w:color="auto"/>
              <w:right w:val="single" w:sz="4" w:space="0" w:color="auto"/>
            </w:tcBorders>
            <w:vAlign w:val="center"/>
          </w:tcPr>
          <w:p w14:paraId="5918A1B0" w14:textId="77777777" w:rsidR="00BC0E7E" w:rsidRPr="00BC0E7E" w:rsidRDefault="00944B8F" w:rsidP="00BC0E7E">
            <w:pPr>
              <w:jc w:val="center"/>
              <w:rPr>
                <w:del w:id="1977" w:author="AbbVie19" w:date="2025-04-16T10:35:00Z"/>
                <w:szCs w:val="20"/>
              </w:rPr>
            </w:pPr>
            <w:del w:id="1978" w:author="AbbVie19" w:date="2025-04-16T10:35:00Z">
              <w:r w:rsidRPr="00BC0E7E">
                <w:rPr>
                  <w:szCs w:val="20"/>
                </w:rPr>
                <w:delText>p-value</w:delText>
              </w:r>
              <w:r w:rsidRPr="00BC0E7E">
                <w:rPr>
                  <w:szCs w:val="20"/>
                  <w:vertAlign w:val="superscript"/>
                </w:rPr>
                <w:delText>a</w:delText>
              </w:r>
            </w:del>
          </w:p>
        </w:tc>
        <w:tc>
          <w:tcPr>
            <w:tcW w:w="990" w:type="dxa"/>
            <w:tcBorders>
              <w:top w:val="single" w:sz="4" w:space="0" w:color="auto"/>
              <w:left w:val="single" w:sz="4" w:space="0" w:color="auto"/>
              <w:bottom w:val="single" w:sz="4" w:space="0" w:color="auto"/>
              <w:right w:val="single" w:sz="4" w:space="0" w:color="auto"/>
            </w:tcBorders>
            <w:vAlign w:val="center"/>
          </w:tcPr>
          <w:p w14:paraId="20FFCA7C" w14:textId="77777777" w:rsidR="00BC0E7E" w:rsidRPr="00BC0E7E" w:rsidRDefault="00944B8F" w:rsidP="00BC0E7E">
            <w:pPr>
              <w:jc w:val="center"/>
              <w:rPr>
                <w:del w:id="1979" w:author="AbbVie19" w:date="2025-04-16T10:35:00Z"/>
              </w:rPr>
            </w:pPr>
            <w:del w:id="1980" w:author="AbbVie19" w:date="2025-04-16T10:35:00Z">
              <w:r w:rsidRPr="00BC0E7E">
                <w:delText>p-value</w:delText>
              </w:r>
              <w:r w:rsidRPr="00BC0E7E">
                <w:rPr>
                  <w:vertAlign w:val="superscript"/>
                </w:rPr>
                <w:delText>b</w:delText>
              </w:r>
            </w:del>
          </w:p>
        </w:tc>
        <w:tc>
          <w:tcPr>
            <w:tcW w:w="990" w:type="dxa"/>
            <w:tcBorders>
              <w:top w:val="single" w:sz="4" w:space="0" w:color="auto"/>
              <w:left w:val="single" w:sz="4" w:space="0" w:color="auto"/>
              <w:bottom w:val="single" w:sz="4" w:space="0" w:color="auto"/>
              <w:right w:val="single" w:sz="4" w:space="0" w:color="auto"/>
            </w:tcBorders>
            <w:vAlign w:val="center"/>
          </w:tcPr>
          <w:p w14:paraId="1007BFF5" w14:textId="77777777" w:rsidR="00BC0E7E" w:rsidRPr="00BC0E7E" w:rsidRDefault="00944B8F" w:rsidP="00BC0E7E">
            <w:pPr>
              <w:jc w:val="center"/>
              <w:rPr>
                <w:del w:id="1981" w:author="AbbVie19" w:date="2025-04-16T10:35:00Z"/>
              </w:rPr>
            </w:pPr>
            <w:del w:id="1982" w:author="AbbVie19" w:date="2025-04-16T10:35:00Z">
              <w:r w:rsidRPr="00BC0E7E">
                <w:delText>p-value</w:delText>
              </w:r>
              <w:r w:rsidRPr="00BC0E7E">
                <w:rPr>
                  <w:vertAlign w:val="superscript"/>
                </w:rPr>
                <w:delText>c</w:delText>
              </w:r>
            </w:del>
          </w:p>
        </w:tc>
      </w:tr>
      <w:tr w:rsidR="00C6578C" w14:paraId="2CEC9813" w14:textId="77777777" w:rsidTr="00171601">
        <w:trPr>
          <w:del w:id="1983" w:author="AbbVie19" w:date="2025-04-16T10:35:00Z"/>
        </w:trPr>
        <w:tc>
          <w:tcPr>
            <w:tcW w:w="1430" w:type="dxa"/>
            <w:tcBorders>
              <w:top w:val="single" w:sz="4" w:space="0" w:color="auto"/>
              <w:left w:val="single" w:sz="4" w:space="0" w:color="auto"/>
              <w:bottom w:val="single" w:sz="4" w:space="0" w:color="auto"/>
              <w:right w:val="single" w:sz="4" w:space="0" w:color="auto"/>
            </w:tcBorders>
          </w:tcPr>
          <w:p w14:paraId="1F62AAD1" w14:textId="77777777" w:rsidR="00BC0E7E" w:rsidRPr="00BC0E7E" w:rsidRDefault="00944B8F" w:rsidP="00BC0E7E">
            <w:pPr>
              <w:jc w:val="center"/>
              <w:rPr>
                <w:del w:id="1984" w:author="AbbVie19" w:date="2025-04-16T10:35:00Z"/>
              </w:rPr>
            </w:pPr>
            <w:del w:id="1985" w:author="AbbVie19" w:date="2025-04-16T10:35:00Z">
              <w:r w:rsidRPr="00BC0E7E">
                <w:delText>Total Sharp Score</w:delText>
              </w:r>
            </w:del>
          </w:p>
        </w:tc>
        <w:tc>
          <w:tcPr>
            <w:tcW w:w="1540" w:type="dxa"/>
            <w:tcBorders>
              <w:top w:val="single" w:sz="4" w:space="0" w:color="auto"/>
              <w:left w:val="single" w:sz="4" w:space="0" w:color="auto"/>
              <w:bottom w:val="single" w:sz="4" w:space="0" w:color="auto"/>
              <w:right w:val="single" w:sz="4" w:space="0" w:color="auto"/>
            </w:tcBorders>
          </w:tcPr>
          <w:p w14:paraId="273FDA36" w14:textId="77777777" w:rsidR="00BC0E7E" w:rsidRPr="00BC0E7E" w:rsidRDefault="00944B8F" w:rsidP="00BC0E7E">
            <w:pPr>
              <w:jc w:val="center"/>
              <w:rPr>
                <w:del w:id="1986" w:author="AbbVie19" w:date="2025-04-16T10:35:00Z"/>
                <w:lang w:val="it-IT"/>
              </w:rPr>
            </w:pPr>
            <w:del w:id="1987" w:author="AbbVie19" w:date="2025-04-16T10:35:00Z">
              <w:r w:rsidRPr="00BC0E7E">
                <w:rPr>
                  <w:lang w:val="it-IT"/>
                </w:rPr>
                <w:delText>5.7 (4.2-7.3)</w:delText>
              </w:r>
            </w:del>
          </w:p>
        </w:tc>
        <w:tc>
          <w:tcPr>
            <w:tcW w:w="1482" w:type="dxa"/>
            <w:tcBorders>
              <w:top w:val="single" w:sz="4" w:space="0" w:color="auto"/>
              <w:left w:val="single" w:sz="4" w:space="0" w:color="auto"/>
              <w:bottom w:val="single" w:sz="4" w:space="0" w:color="auto"/>
              <w:right w:val="single" w:sz="4" w:space="0" w:color="auto"/>
            </w:tcBorders>
          </w:tcPr>
          <w:p w14:paraId="57A30BA1" w14:textId="77777777" w:rsidR="00BC0E7E" w:rsidRPr="00BC0E7E" w:rsidRDefault="00944B8F" w:rsidP="00BC0E7E">
            <w:pPr>
              <w:jc w:val="center"/>
              <w:rPr>
                <w:del w:id="1988" w:author="AbbVie19" w:date="2025-04-16T10:35:00Z"/>
                <w:lang w:val="it-IT"/>
              </w:rPr>
            </w:pPr>
            <w:del w:id="1989" w:author="AbbVie19" w:date="2025-04-16T10:35:00Z">
              <w:r w:rsidRPr="00BC0E7E">
                <w:rPr>
                  <w:lang w:val="it-IT"/>
                </w:rPr>
                <w:delText>3.0 (1.7-4.3)</w:delText>
              </w:r>
            </w:del>
          </w:p>
        </w:tc>
        <w:tc>
          <w:tcPr>
            <w:tcW w:w="1488" w:type="dxa"/>
            <w:tcBorders>
              <w:top w:val="single" w:sz="4" w:space="0" w:color="auto"/>
              <w:left w:val="single" w:sz="4" w:space="0" w:color="auto"/>
              <w:bottom w:val="single" w:sz="4" w:space="0" w:color="auto"/>
              <w:right w:val="single" w:sz="4" w:space="0" w:color="auto"/>
            </w:tcBorders>
          </w:tcPr>
          <w:p w14:paraId="2501FA4E" w14:textId="77777777" w:rsidR="00BC0E7E" w:rsidRPr="00BC0E7E" w:rsidRDefault="00944B8F" w:rsidP="00BC0E7E">
            <w:pPr>
              <w:jc w:val="center"/>
              <w:rPr>
                <w:del w:id="1990" w:author="AbbVie19" w:date="2025-04-16T10:35:00Z"/>
                <w:lang w:val="it-IT"/>
              </w:rPr>
            </w:pPr>
            <w:del w:id="1991" w:author="AbbVie19" w:date="2025-04-16T10:35:00Z">
              <w:r w:rsidRPr="00BC0E7E">
                <w:rPr>
                  <w:lang w:val="it-IT"/>
                </w:rPr>
                <w:delText>1.3 (0.5-2.1)</w:delText>
              </w:r>
            </w:del>
          </w:p>
        </w:tc>
        <w:tc>
          <w:tcPr>
            <w:tcW w:w="990" w:type="dxa"/>
            <w:tcBorders>
              <w:top w:val="single" w:sz="4" w:space="0" w:color="auto"/>
              <w:left w:val="single" w:sz="4" w:space="0" w:color="auto"/>
              <w:bottom w:val="single" w:sz="4" w:space="0" w:color="auto"/>
              <w:right w:val="single" w:sz="4" w:space="0" w:color="auto"/>
            </w:tcBorders>
          </w:tcPr>
          <w:p w14:paraId="57EC3B81" w14:textId="77777777" w:rsidR="00BC0E7E" w:rsidRPr="00BC0E7E" w:rsidRDefault="00944B8F" w:rsidP="00BC0E7E">
            <w:pPr>
              <w:jc w:val="center"/>
              <w:rPr>
                <w:del w:id="1992" w:author="AbbVie19" w:date="2025-04-16T10:35:00Z"/>
                <w:lang w:val="it-IT"/>
              </w:rPr>
            </w:pPr>
            <w:del w:id="1993" w:author="AbbVie19" w:date="2025-04-16T10:35:00Z">
              <w:r w:rsidRPr="00BC0E7E">
                <w:rPr>
                  <w:lang w:val="it-IT"/>
                </w:rPr>
                <w:delText>&lt; 0.001</w:delText>
              </w:r>
            </w:del>
          </w:p>
        </w:tc>
        <w:tc>
          <w:tcPr>
            <w:tcW w:w="990" w:type="dxa"/>
            <w:tcBorders>
              <w:top w:val="single" w:sz="4" w:space="0" w:color="auto"/>
              <w:left w:val="single" w:sz="4" w:space="0" w:color="auto"/>
              <w:bottom w:val="single" w:sz="4" w:space="0" w:color="auto"/>
              <w:right w:val="single" w:sz="4" w:space="0" w:color="auto"/>
            </w:tcBorders>
          </w:tcPr>
          <w:p w14:paraId="1CB3B468" w14:textId="77777777" w:rsidR="00BC0E7E" w:rsidRPr="00BC0E7E" w:rsidRDefault="00944B8F" w:rsidP="00BC0E7E">
            <w:pPr>
              <w:jc w:val="center"/>
              <w:rPr>
                <w:del w:id="1994" w:author="AbbVie19" w:date="2025-04-16T10:35:00Z"/>
                <w:lang w:val="it-IT"/>
              </w:rPr>
            </w:pPr>
            <w:del w:id="1995" w:author="AbbVie19" w:date="2025-04-16T10:35:00Z">
              <w:r w:rsidRPr="00BC0E7E">
                <w:rPr>
                  <w:lang w:val="it-IT"/>
                </w:rPr>
                <w:delText>0.0020</w:delText>
              </w:r>
            </w:del>
          </w:p>
        </w:tc>
        <w:tc>
          <w:tcPr>
            <w:tcW w:w="990" w:type="dxa"/>
            <w:tcBorders>
              <w:top w:val="single" w:sz="4" w:space="0" w:color="auto"/>
              <w:left w:val="single" w:sz="4" w:space="0" w:color="auto"/>
              <w:bottom w:val="single" w:sz="4" w:space="0" w:color="auto"/>
              <w:right w:val="single" w:sz="4" w:space="0" w:color="auto"/>
            </w:tcBorders>
          </w:tcPr>
          <w:p w14:paraId="351CCCE1" w14:textId="77777777" w:rsidR="00BC0E7E" w:rsidRPr="00BC0E7E" w:rsidRDefault="00944B8F" w:rsidP="00BC0E7E">
            <w:pPr>
              <w:jc w:val="center"/>
              <w:rPr>
                <w:del w:id="1996" w:author="AbbVie19" w:date="2025-04-16T10:35:00Z"/>
                <w:lang w:val="it-IT"/>
              </w:rPr>
            </w:pPr>
            <w:del w:id="1997" w:author="AbbVie19" w:date="2025-04-16T10:35:00Z">
              <w:r w:rsidRPr="00BC0E7E">
                <w:rPr>
                  <w:lang w:val="it-IT"/>
                </w:rPr>
                <w:delText>&lt; 0.001</w:delText>
              </w:r>
            </w:del>
          </w:p>
        </w:tc>
      </w:tr>
      <w:tr w:rsidR="00C6578C" w14:paraId="43ED9891" w14:textId="77777777" w:rsidTr="00171601">
        <w:trPr>
          <w:del w:id="1998" w:author="AbbVie19" w:date="2025-04-16T10:35:00Z"/>
        </w:trPr>
        <w:tc>
          <w:tcPr>
            <w:tcW w:w="1430" w:type="dxa"/>
            <w:tcBorders>
              <w:top w:val="single" w:sz="4" w:space="0" w:color="auto"/>
              <w:left w:val="single" w:sz="4" w:space="0" w:color="auto"/>
              <w:bottom w:val="single" w:sz="4" w:space="0" w:color="auto"/>
              <w:right w:val="single" w:sz="4" w:space="0" w:color="auto"/>
            </w:tcBorders>
          </w:tcPr>
          <w:p w14:paraId="0B92DD8F" w14:textId="77777777" w:rsidR="00BC0E7E" w:rsidRPr="00BC0E7E" w:rsidRDefault="00944B8F" w:rsidP="00BC0E7E">
            <w:pPr>
              <w:jc w:val="center"/>
              <w:rPr>
                <w:del w:id="1999" w:author="AbbVie19" w:date="2025-04-16T10:35:00Z"/>
                <w:lang w:val="it-IT"/>
              </w:rPr>
            </w:pPr>
            <w:del w:id="2000" w:author="AbbVie19" w:date="2025-04-16T10:35:00Z">
              <w:r w:rsidRPr="00BC0E7E">
                <w:rPr>
                  <w:lang w:val="it-IT"/>
                </w:rPr>
                <w:delText>Erosion score</w:delText>
              </w:r>
            </w:del>
          </w:p>
        </w:tc>
        <w:tc>
          <w:tcPr>
            <w:tcW w:w="1540" w:type="dxa"/>
            <w:tcBorders>
              <w:top w:val="single" w:sz="4" w:space="0" w:color="auto"/>
              <w:left w:val="single" w:sz="4" w:space="0" w:color="auto"/>
              <w:bottom w:val="single" w:sz="4" w:space="0" w:color="auto"/>
              <w:right w:val="single" w:sz="4" w:space="0" w:color="auto"/>
            </w:tcBorders>
          </w:tcPr>
          <w:p w14:paraId="1C4A6376" w14:textId="77777777" w:rsidR="00BC0E7E" w:rsidRPr="00BC0E7E" w:rsidRDefault="00944B8F" w:rsidP="00BC0E7E">
            <w:pPr>
              <w:jc w:val="center"/>
              <w:rPr>
                <w:del w:id="2001" w:author="AbbVie19" w:date="2025-04-16T10:35:00Z"/>
                <w:lang w:val="it-IT"/>
              </w:rPr>
            </w:pPr>
            <w:del w:id="2002" w:author="AbbVie19" w:date="2025-04-16T10:35:00Z">
              <w:r w:rsidRPr="00BC0E7E">
                <w:rPr>
                  <w:lang w:val="it-IT"/>
                </w:rPr>
                <w:delText>3.7 (2.7-4.7)</w:delText>
              </w:r>
            </w:del>
          </w:p>
        </w:tc>
        <w:tc>
          <w:tcPr>
            <w:tcW w:w="1482" w:type="dxa"/>
            <w:tcBorders>
              <w:top w:val="single" w:sz="4" w:space="0" w:color="auto"/>
              <w:left w:val="single" w:sz="4" w:space="0" w:color="auto"/>
              <w:bottom w:val="single" w:sz="4" w:space="0" w:color="auto"/>
              <w:right w:val="single" w:sz="4" w:space="0" w:color="auto"/>
            </w:tcBorders>
          </w:tcPr>
          <w:p w14:paraId="6CD6554B" w14:textId="77777777" w:rsidR="00BC0E7E" w:rsidRPr="00BC0E7E" w:rsidRDefault="00944B8F" w:rsidP="00BC0E7E">
            <w:pPr>
              <w:jc w:val="center"/>
              <w:rPr>
                <w:del w:id="2003" w:author="AbbVie19" w:date="2025-04-16T10:35:00Z"/>
                <w:lang w:val="it-IT"/>
              </w:rPr>
            </w:pPr>
            <w:del w:id="2004" w:author="AbbVie19" w:date="2025-04-16T10:35:00Z">
              <w:r w:rsidRPr="00BC0E7E">
                <w:rPr>
                  <w:lang w:val="it-IT"/>
                </w:rPr>
                <w:delText>1.7 (1.0-2.4)</w:delText>
              </w:r>
            </w:del>
          </w:p>
        </w:tc>
        <w:tc>
          <w:tcPr>
            <w:tcW w:w="1488" w:type="dxa"/>
            <w:tcBorders>
              <w:top w:val="single" w:sz="4" w:space="0" w:color="auto"/>
              <w:left w:val="single" w:sz="4" w:space="0" w:color="auto"/>
              <w:bottom w:val="single" w:sz="4" w:space="0" w:color="auto"/>
              <w:right w:val="single" w:sz="4" w:space="0" w:color="auto"/>
            </w:tcBorders>
          </w:tcPr>
          <w:p w14:paraId="75931D9F" w14:textId="77777777" w:rsidR="00BC0E7E" w:rsidRPr="00BC0E7E" w:rsidRDefault="00944B8F" w:rsidP="00BC0E7E">
            <w:pPr>
              <w:jc w:val="center"/>
              <w:rPr>
                <w:del w:id="2005" w:author="AbbVie19" w:date="2025-04-16T10:35:00Z"/>
                <w:lang w:val="it-IT"/>
              </w:rPr>
            </w:pPr>
            <w:del w:id="2006" w:author="AbbVie19" w:date="2025-04-16T10:35:00Z">
              <w:r w:rsidRPr="00BC0E7E">
                <w:rPr>
                  <w:lang w:val="it-IT"/>
                </w:rPr>
                <w:delText>0.8 (0.4-1.2)</w:delText>
              </w:r>
            </w:del>
          </w:p>
        </w:tc>
        <w:tc>
          <w:tcPr>
            <w:tcW w:w="990" w:type="dxa"/>
            <w:tcBorders>
              <w:top w:val="single" w:sz="4" w:space="0" w:color="auto"/>
              <w:left w:val="single" w:sz="4" w:space="0" w:color="auto"/>
              <w:bottom w:val="single" w:sz="4" w:space="0" w:color="auto"/>
              <w:right w:val="single" w:sz="4" w:space="0" w:color="auto"/>
            </w:tcBorders>
          </w:tcPr>
          <w:p w14:paraId="27E454E0" w14:textId="77777777" w:rsidR="00BC0E7E" w:rsidRPr="00BC0E7E" w:rsidRDefault="00944B8F" w:rsidP="00BC0E7E">
            <w:pPr>
              <w:jc w:val="center"/>
              <w:rPr>
                <w:del w:id="2007" w:author="AbbVie19" w:date="2025-04-16T10:35:00Z"/>
                <w:lang w:val="it-IT"/>
              </w:rPr>
            </w:pPr>
            <w:del w:id="2008" w:author="AbbVie19" w:date="2025-04-16T10:35:00Z">
              <w:r w:rsidRPr="00BC0E7E">
                <w:rPr>
                  <w:lang w:val="it-IT"/>
                </w:rPr>
                <w:delText>&lt; 0.001</w:delText>
              </w:r>
            </w:del>
          </w:p>
        </w:tc>
        <w:tc>
          <w:tcPr>
            <w:tcW w:w="990" w:type="dxa"/>
            <w:tcBorders>
              <w:top w:val="single" w:sz="4" w:space="0" w:color="auto"/>
              <w:left w:val="single" w:sz="4" w:space="0" w:color="auto"/>
              <w:bottom w:val="single" w:sz="4" w:space="0" w:color="auto"/>
              <w:right w:val="single" w:sz="4" w:space="0" w:color="auto"/>
            </w:tcBorders>
          </w:tcPr>
          <w:p w14:paraId="7D98CF71" w14:textId="77777777" w:rsidR="00BC0E7E" w:rsidRPr="00BC0E7E" w:rsidRDefault="00944B8F" w:rsidP="00BC0E7E">
            <w:pPr>
              <w:jc w:val="center"/>
              <w:rPr>
                <w:del w:id="2009" w:author="AbbVie19" w:date="2025-04-16T10:35:00Z"/>
                <w:lang w:val="it-IT"/>
              </w:rPr>
            </w:pPr>
            <w:del w:id="2010" w:author="AbbVie19" w:date="2025-04-16T10:35:00Z">
              <w:r w:rsidRPr="00BC0E7E">
                <w:rPr>
                  <w:lang w:val="it-IT"/>
                </w:rPr>
                <w:delText>0.0082</w:delText>
              </w:r>
            </w:del>
          </w:p>
        </w:tc>
        <w:tc>
          <w:tcPr>
            <w:tcW w:w="990" w:type="dxa"/>
            <w:tcBorders>
              <w:top w:val="single" w:sz="4" w:space="0" w:color="auto"/>
              <w:left w:val="single" w:sz="4" w:space="0" w:color="auto"/>
              <w:bottom w:val="single" w:sz="4" w:space="0" w:color="auto"/>
              <w:right w:val="single" w:sz="4" w:space="0" w:color="auto"/>
            </w:tcBorders>
          </w:tcPr>
          <w:p w14:paraId="6A5B197C" w14:textId="77777777" w:rsidR="00BC0E7E" w:rsidRPr="00BC0E7E" w:rsidRDefault="00944B8F" w:rsidP="00BC0E7E">
            <w:pPr>
              <w:jc w:val="center"/>
              <w:rPr>
                <w:del w:id="2011" w:author="AbbVie19" w:date="2025-04-16T10:35:00Z"/>
                <w:lang w:val="it-IT"/>
              </w:rPr>
            </w:pPr>
            <w:del w:id="2012" w:author="AbbVie19" w:date="2025-04-16T10:35:00Z">
              <w:r w:rsidRPr="00BC0E7E">
                <w:rPr>
                  <w:lang w:val="it-IT"/>
                </w:rPr>
                <w:delText>&lt; 0.001</w:delText>
              </w:r>
            </w:del>
          </w:p>
        </w:tc>
      </w:tr>
      <w:tr w:rsidR="00C6578C" w14:paraId="2A7E2392" w14:textId="77777777" w:rsidTr="00171601">
        <w:trPr>
          <w:del w:id="2013" w:author="AbbVie19" w:date="2025-04-16T10:35:00Z"/>
        </w:trPr>
        <w:tc>
          <w:tcPr>
            <w:tcW w:w="1430" w:type="dxa"/>
            <w:tcBorders>
              <w:top w:val="single" w:sz="4" w:space="0" w:color="auto"/>
              <w:left w:val="single" w:sz="4" w:space="0" w:color="auto"/>
              <w:bottom w:val="single" w:sz="4" w:space="0" w:color="auto"/>
              <w:right w:val="single" w:sz="4" w:space="0" w:color="auto"/>
            </w:tcBorders>
          </w:tcPr>
          <w:p w14:paraId="0D02C972" w14:textId="77777777" w:rsidR="00BC0E7E" w:rsidRPr="00BC0E7E" w:rsidRDefault="00944B8F" w:rsidP="00BC0E7E">
            <w:pPr>
              <w:jc w:val="center"/>
              <w:rPr>
                <w:del w:id="2014" w:author="AbbVie19" w:date="2025-04-16T10:35:00Z"/>
                <w:lang w:val="it-IT"/>
              </w:rPr>
            </w:pPr>
            <w:del w:id="2015" w:author="AbbVie19" w:date="2025-04-16T10:35:00Z">
              <w:r w:rsidRPr="00BC0E7E">
                <w:rPr>
                  <w:lang w:val="it-IT"/>
                </w:rPr>
                <w:delText>JSN score</w:delText>
              </w:r>
            </w:del>
          </w:p>
        </w:tc>
        <w:tc>
          <w:tcPr>
            <w:tcW w:w="1540" w:type="dxa"/>
            <w:tcBorders>
              <w:top w:val="single" w:sz="4" w:space="0" w:color="auto"/>
              <w:left w:val="single" w:sz="4" w:space="0" w:color="auto"/>
              <w:bottom w:val="single" w:sz="4" w:space="0" w:color="auto"/>
              <w:right w:val="single" w:sz="4" w:space="0" w:color="auto"/>
            </w:tcBorders>
          </w:tcPr>
          <w:p w14:paraId="3EF6DAED" w14:textId="77777777" w:rsidR="00BC0E7E" w:rsidRPr="00BC0E7E" w:rsidRDefault="00944B8F" w:rsidP="00BC0E7E">
            <w:pPr>
              <w:jc w:val="center"/>
              <w:rPr>
                <w:del w:id="2016" w:author="AbbVie19" w:date="2025-04-16T10:35:00Z"/>
              </w:rPr>
            </w:pPr>
            <w:del w:id="2017" w:author="AbbVie19" w:date="2025-04-16T10:35:00Z">
              <w:r w:rsidRPr="00BC0E7E">
                <w:delText>2.0 (1.2-2.8)</w:delText>
              </w:r>
            </w:del>
          </w:p>
        </w:tc>
        <w:tc>
          <w:tcPr>
            <w:tcW w:w="1482" w:type="dxa"/>
            <w:tcBorders>
              <w:top w:val="single" w:sz="4" w:space="0" w:color="auto"/>
              <w:left w:val="single" w:sz="4" w:space="0" w:color="auto"/>
              <w:bottom w:val="single" w:sz="4" w:space="0" w:color="auto"/>
              <w:right w:val="single" w:sz="4" w:space="0" w:color="auto"/>
            </w:tcBorders>
          </w:tcPr>
          <w:p w14:paraId="1F399F00" w14:textId="77777777" w:rsidR="00BC0E7E" w:rsidRPr="00BC0E7E" w:rsidRDefault="00944B8F" w:rsidP="00BC0E7E">
            <w:pPr>
              <w:jc w:val="center"/>
              <w:rPr>
                <w:del w:id="2018" w:author="AbbVie19" w:date="2025-04-16T10:35:00Z"/>
              </w:rPr>
            </w:pPr>
            <w:del w:id="2019" w:author="AbbVie19" w:date="2025-04-16T10:35:00Z">
              <w:r w:rsidRPr="00BC0E7E">
                <w:delText>1.3 (0.5-2.1)</w:delText>
              </w:r>
            </w:del>
          </w:p>
        </w:tc>
        <w:tc>
          <w:tcPr>
            <w:tcW w:w="1488" w:type="dxa"/>
            <w:tcBorders>
              <w:top w:val="single" w:sz="4" w:space="0" w:color="auto"/>
              <w:left w:val="single" w:sz="4" w:space="0" w:color="auto"/>
              <w:bottom w:val="single" w:sz="4" w:space="0" w:color="auto"/>
              <w:right w:val="single" w:sz="4" w:space="0" w:color="auto"/>
            </w:tcBorders>
          </w:tcPr>
          <w:p w14:paraId="009581DE" w14:textId="77777777" w:rsidR="00BC0E7E" w:rsidRPr="00BC0E7E" w:rsidRDefault="00944B8F" w:rsidP="00BC0E7E">
            <w:pPr>
              <w:jc w:val="center"/>
              <w:rPr>
                <w:del w:id="2020" w:author="AbbVie19" w:date="2025-04-16T10:35:00Z"/>
              </w:rPr>
            </w:pPr>
            <w:del w:id="2021" w:author="AbbVie19" w:date="2025-04-16T10:35:00Z">
              <w:r w:rsidRPr="00BC0E7E">
                <w:delText>0.5 (0-1.0)</w:delText>
              </w:r>
            </w:del>
          </w:p>
        </w:tc>
        <w:tc>
          <w:tcPr>
            <w:tcW w:w="990" w:type="dxa"/>
            <w:tcBorders>
              <w:top w:val="single" w:sz="4" w:space="0" w:color="auto"/>
              <w:left w:val="single" w:sz="4" w:space="0" w:color="auto"/>
              <w:bottom w:val="single" w:sz="4" w:space="0" w:color="auto"/>
              <w:right w:val="single" w:sz="4" w:space="0" w:color="auto"/>
            </w:tcBorders>
          </w:tcPr>
          <w:p w14:paraId="02A3E457" w14:textId="77777777" w:rsidR="00BC0E7E" w:rsidRPr="00BC0E7E" w:rsidRDefault="00944B8F" w:rsidP="00BC0E7E">
            <w:pPr>
              <w:jc w:val="center"/>
              <w:rPr>
                <w:del w:id="2022" w:author="AbbVie19" w:date="2025-04-16T10:35:00Z"/>
              </w:rPr>
            </w:pPr>
            <w:del w:id="2023" w:author="AbbVie19" w:date="2025-04-16T10:35:00Z">
              <w:r w:rsidRPr="00BC0E7E">
                <w:delText>&lt; 0.001</w:delText>
              </w:r>
            </w:del>
          </w:p>
        </w:tc>
        <w:tc>
          <w:tcPr>
            <w:tcW w:w="990" w:type="dxa"/>
            <w:tcBorders>
              <w:top w:val="single" w:sz="4" w:space="0" w:color="auto"/>
              <w:left w:val="single" w:sz="4" w:space="0" w:color="auto"/>
              <w:bottom w:val="single" w:sz="4" w:space="0" w:color="auto"/>
              <w:right w:val="single" w:sz="4" w:space="0" w:color="auto"/>
            </w:tcBorders>
          </w:tcPr>
          <w:p w14:paraId="647B840B" w14:textId="77777777" w:rsidR="00BC0E7E" w:rsidRPr="00BC0E7E" w:rsidRDefault="00944B8F" w:rsidP="00BC0E7E">
            <w:pPr>
              <w:jc w:val="center"/>
              <w:rPr>
                <w:del w:id="2024" w:author="AbbVie19" w:date="2025-04-16T10:35:00Z"/>
              </w:rPr>
            </w:pPr>
            <w:del w:id="2025" w:author="AbbVie19" w:date="2025-04-16T10:35:00Z">
              <w:r w:rsidRPr="00BC0E7E">
                <w:delText>0.0037</w:delText>
              </w:r>
            </w:del>
          </w:p>
        </w:tc>
        <w:tc>
          <w:tcPr>
            <w:tcW w:w="990" w:type="dxa"/>
            <w:tcBorders>
              <w:top w:val="single" w:sz="4" w:space="0" w:color="auto"/>
              <w:left w:val="single" w:sz="4" w:space="0" w:color="auto"/>
              <w:bottom w:val="single" w:sz="4" w:space="0" w:color="auto"/>
              <w:right w:val="single" w:sz="4" w:space="0" w:color="auto"/>
            </w:tcBorders>
          </w:tcPr>
          <w:p w14:paraId="7185864D" w14:textId="77777777" w:rsidR="00BC0E7E" w:rsidRPr="00BC0E7E" w:rsidRDefault="00944B8F" w:rsidP="00BC0E7E">
            <w:pPr>
              <w:jc w:val="center"/>
              <w:rPr>
                <w:del w:id="2026" w:author="AbbVie19" w:date="2025-04-16T10:35:00Z"/>
              </w:rPr>
            </w:pPr>
            <w:del w:id="2027" w:author="AbbVie19" w:date="2025-04-16T10:35:00Z">
              <w:r w:rsidRPr="00BC0E7E">
                <w:delText>0.151</w:delText>
              </w:r>
            </w:del>
          </w:p>
        </w:tc>
      </w:tr>
      <w:tr w:rsidR="00C6578C" w14:paraId="4F52EBF6" w14:textId="77777777" w:rsidTr="00171601">
        <w:trPr>
          <w:cantSplit/>
          <w:del w:id="2028" w:author="AbbVie19" w:date="2025-04-16T10:35:00Z"/>
        </w:trPr>
        <w:tc>
          <w:tcPr>
            <w:tcW w:w="8910" w:type="dxa"/>
            <w:gridSpan w:val="7"/>
            <w:tcBorders>
              <w:top w:val="single" w:sz="4" w:space="0" w:color="auto"/>
              <w:bottom w:val="single" w:sz="4" w:space="0" w:color="auto"/>
            </w:tcBorders>
          </w:tcPr>
          <w:p w14:paraId="44276B96" w14:textId="77777777" w:rsidR="00BC0E7E" w:rsidRPr="00BC0E7E" w:rsidRDefault="00944B8F" w:rsidP="00BC0E7E">
            <w:pPr>
              <w:tabs>
                <w:tab w:val="clear" w:pos="562"/>
                <w:tab w:val="left" w:pos="330"/>
              </w:tabs>
              <w:ind w:left="330" w:hanging="330"/>
              <w:rPr>
                <w:del w:id="2029" w:author="AbbVie19" w:date="2025-04-16T10:35:00Z"/>
                <w:bCs/>
              </w:rPr>
            </w:pPr>
            <w:del w:id="2030" w:author="AbbVie19" w:date="2025-04-16T10:35:00Z">
              <w:r w:rsidRPr="00BC0E7E">
                <w:rPr>
                  <w:bCs/>
                  <w:vertAlign w:val="superscript"/>
                </w:rPr>
                <w:delText>a</w:delText>
              </w:r>
              <w:r w:rsidRPr="00BC0E7E">
                <w:rPr>
                  <w:bCs/>
                </w:rPr>
                <w:delText xml:space="preserve"> p-value is from the pairwise comparison of methotrexate monotherapy and Humira/methotrexate combination therapy using the Mann-Whitney U test.</w:delText>
              </w:r>
            </w:del>
          </w:p>
          <w:p w14:paraId="37572146" w14:textId="77777777" w:rsidR="00BC0E7E" w:rsidRPr="00BC0E7E" w:rsidRDefault="00944B8F" w:rsidP="00BC0E7E">
            <w:pPr>
              <w:tabs>
                <w:tab w:val="clear" w:pos="562"/>
                <w:tab w:val="left" w:pos="330"/>
              </w:tabs>
              <w:ind w:left="360" w:hanging="360"/>
              <w:rPr>
                <w:del w:id="2031" w:author="AbbVie19" w:date="2025-04-16T10:35:00Z"/>
                <w:bCs/>
              </w:rPr>
            </w:pPr>
            <w:del w:id="2032" w:author="AbbVie19" w:date="2025-04-16T10:35:00Z">
              <w:r w:rsidRPr="00BC0E7E">
                <w:rPr>
                  <w:bCs/>
                  <w:vertAlign w:val="superscript"/>
                </w:rPr>
                <w:delText xml:space="preserve">b </w:delText>
              </w:r>
              <w:r w:rsidRPr="00BC0E7E">
                <w:rPr>
                  <w:bCs/>
                </w:rPr>
                <w:delText xml:space="preserve">p-value is from the pairwise comparison of Humira monotherapy and Humira/methotrexate combination therapy using the Mann-Whitney U test </w:delText>
              </w:r>
            </w:del>
          </w:p>
          <w:p w14:paraId="24A454B8" w14:textId="77777777" w:rsidR="00BC0E7E" w:rsidRPr="00BC0E7E" w:rsidRDefault="00944B8F" w:rsidP="00BC0E7E">
            <w:pPr>
              <w:tabs>
                <w:tab w:val="clear" w:pos="562"/>
                <w:tab w:val="left" w:pos="330"/>
              </w:tabs>
              <w:ind w:left="360" w:hanging="360"/>
              <w:rPr>
                <w:del w:id="2033" w:author="AbbVie19" w:date="2025-04-16T10:35:00Z"/>
                <w:bCs/>
              </w:rPr>
            </w:pPr>
            <w:del w:id="2034" w:author="AbbVie19" w:date="2025-04-16T10:35:00Z">
              <w:r w:rsidRPr="00BC0E7E">
                <w:rPr>
                  <w:bCs/>
                  <w:vertAlign w:val="superscript"/>
                </w:rPr>
                <w:delText>c</w:delText>
              </w:r>
              <w:r w:rsidRPr="00BC0E7E">
                <w:rPr>
                  <w:bCs/>
                </w:rPr>
                <w:delText xml:space="preserve"> p-value is from the pairwise comparison of Humira monotherapy and methotrexate monotherapy using the Mann-Whitney U test</w:delText>
              </w:r>
            </w:del>
          </w:p>
        </w:tc>
      </w:tr>
    </w:tbl>
    <w:p w14:paraId="3B332365" w14:textId="77777777" w:rsidR="00BC0E7E" w:rsidRPr="00BC0E7E" w:rsidRDefault="00BC0E7E" w:rsidP="00BC0E7E">
      <w:pPr>
        <w:rPr>
          <w:del w:id="2035" w:author="AbbVie19" w:date="2025-04-16T10:35:00Z"/>
        </w:rPr>
      </w:pPr>
    </w:p>
    <w:p w14:paraId="33E1AA2A" w14:textId="77777777" w:rsidR="00BC0E7E" w:rsidRPr="00BC0E7E" w:rsidRDefault="00944B8F" w:rsidP="00BC0E7E">
      <w:pPr>
        <w:rPr>
          <w:del w:id="2036" w:author="AbbVie19" w:date="2025-04-16T10:35:00Z"/>
          <w:szCs w:val="20"/>
        </w:rPr>
      </w:pPr>
      <w:del w:id="2037" w:author="AbbVie19" w:date="2025-04-16T10:35:00Z">
        <w:r w:rsidRPr="00BC0E7E">
          <w:rPr>
            <w:szCs w:val="20"/>
          </w:rPr>
          <w:delText xml:space="preserve">Following 52 weeks and 104 weeks of treatment, the percentage of patients without progression (change from baseline in modified Total Sharp Score </w:delText>
        </w:r>
        <w:r w:rsidRPr="00BC0E7E">
          <w:rPr>
            <w:rFonts w:ascii="Symbol" w:eastAsia="Symbol" w:hAnsi="Symbol" w:cs="Symbol"/>
            <w:szCs w:val="22"/>
          </w:rPr>
          <w:sym w:font="Symbol" w:char="F0A3"/>
        </w:r>
        <w:r w:rsidRPr="00BC0E7E">
          <w:rPr>
            <w:szCs w:val="20"/>
          </w:rPr>
          <w:delText> 0.5) was significantly higher with Humira/methotrexate combination therapy (63.8% and 61.2% respectively) compared to methotrexate monotherapy (37.4% and 33.5% respectively, p &lt; 0.001) and Humira monotherapy (50.7%, p &lt; 0.002 and 44.5%, p &lt; 0.001 respectively).</w:delText>
        </w:r>
      </w:del>
    </w:p>
    <w:p w14:paraId="7349EA3E" w14:textId="77777777" w:rsidR="00BC0E7E" w:rsidRPr="00BC0E7E" w:rsidRDefault="00BC0E7E" w:rsidP="00BC0E7E">
      <w:pPr>
        <w:rPr>
          <w:del w:id="2038" w:author="AbbVie19" w:date="2025-04-16T10:35:00Z"/>
          <w:szCs w:val="20"/>
        </w:rPr>
      </w:pPr>
    </w:p>
    <w:p w14:paraId="75AC3652" w14:textId="77777777" w:rsidR="00BC0E7E" w:rsidRPr="00BC0E7E" w:rsidRDefault="00944B8F" w:rsidP="00BC0E7E">
      <w:pPr>
        <w:rPr>
          <w:del w:id="2039" w:author="AbbVie19" w:date="2025-04-16T10:35:00Z"/>
          <w:szCs w:val="20"/>
        </w:rPr>
      </w:pPr>
      <w:del w:id="2040" w:author="AbbVie19" w:date="2025-04-16T10:35:00Z">
        <w:r w:rsidRPr="00BC0E7E">
          <w:rPr>
            <w:szCs w:val="22"/>
          </w:rPr>
          <w:delText xml:space="preserve">In the open-label extension of RA study V, the mean change from baseline at Year 10 in the modified Total Sharp Score was 10.8, 9.2 and 3.9 in patients originally randomized to methotrexate monotherapy, Humira monotherapy and Humira/methotrexate combination therapy, respectively. </w:delText>
        </w:r>
        <w:r w:rsidRPr="00BC0E7E">
          <w:rPr>
            <w:szCs w:val="20"/>
          </w:rPr>
          <w:delText>The corresponding proportions of patients with no radiographic progression were 31.3%, 23.7% and 36.7% respectively.</w:delText>
        </w:r>
      </w:del>
    </w:p>
    <w:p w14:paraId="6AACD3E9" w14:textId="77777777" w:rsidR="00BC0E7E" w:rsidRPr="00BC0E7E" w:rsidRDefault="00BC0E7E" w:rsidP="00BC0E7E">
      <w:pPr>
        <w:rPr>
          <w:del w:id="2041" w:author="AbbVie19" w:date="2025-04-16T10:35:00Z"/>
          <w:szCs w:val="20"/>
        </w:rPr>
      </w:pPr>
    </w:p>
    <w:p w14:paraId="034A6FAF" w14:textId="77777777" w:rsidR="00BC0E7E" w:rsidRPr="00BC0E7E" w:rsidRDefault="00944B8F" w:rsidP="009072FC">
      <w:pPr>
        <w:keepNext/>
        <w:spacing w:line="0" w:lineRule="atLeast"/>
        <w:rPr>
          <w:del w:id="2042" w:author="AbbVie19" w:date="2025-04-16T10:35:00Z"/>
          <w:i/>
          <w:szCs w:val="20"/>
          <w:u w:val="single"/>
        </w:rPr>
      </w:pPr>
      <w:del w:id="2043" w:author="AbbVie19" w:date="2025-04-16T10:35:00Z">
        <w:r w:rsidRPr="00BC0E7E">
          <w:rPr>
            <w:i/>
            <w:szCs w:val="20"/>
            <w:u w:val="single"/>
          </w:rPr>
          <w:delText>Quality of life and physical function</w:delText>
        </w:r>
      </w:del>
    </w:p>
    <w:p w14:paraId="59AB3E7A" w14:textId="77777777" w:rsidR="00BC0E7E" w:rsidRPr="00BC0E7E" w:rsidRDefault="00BC0E7E" w:rsidP="009072FC">
      <w:pPr>
        <w:keepNext/>
        <w:rPr>
          <w:del w:id="2044" w:author="AbbVie19" w:date="2025-04-16T10:35:00Z"/>
          <w:szCs w:val="20"/>
        </w:rPr>
      </w:pPr>
    </w:p>
    <w:p w14:paraId="1988A71E" w14:textId="77777777" w:rsidR="00BC0E7E" w:rsidRPr="00BC0E7E" w:rsidRDefault="00944B8F" w:rsidP="009072FC">
      <w:pPr>
        <w:keepNext/>
        <w:rPr>
          <w:del w:id="2045" w:author="AbbVie19" w:date="2025-04-16T10:35:00Z"/>
        </w:rPr>
      </w:pPr>
      <w:del w:id="2046" w:author="AbbVie19" w:date="2025-04-16T10:35:00Z">
        <w:r w:rsidRPr="00BC0E7E">
          <w:delText xml:space="preserve">Health-related quality of life and physical function were assessed using the disability index of the Health Assessment Questionnaire (HAQ) in the four original adequate and well-controlled trials, which was a pre-specified primary endpoint at Week 52 in RA study III. All doses/schedules of Humira in all four studies showed statistically significantly greater improvement in the disability index of the HAQ from </w:delText>
        </w:r>
        <w:r w:rsidRPr="00BC0E7E">
          <w:lastRenderedPageBreak/>
          <w:delText>baseline to Month 6 compared to placebo and in RA study III the same was seen at Week 52. Results from the Short Form Health Survey (SF 36) for all doses/schedules of Humira in all four studies support these findings, with statistically significant physical component summary (PCS) scores, as well as statistically significant pain and vitality domain scores for the 40 mg every other week dose. A statistically significant decrease in fatigue as measured by functional assessment of chronic illness therapy (FACIT) scores was seen in all three studies in which it was assessed (RA studies I, III, IV).</w:delText>
        </w:r>
      </w:del>
    </w:p>
    <w:p w14:paraId="2A7FD762" w14:textId="77777777" w:rsidR="00BC0E7E" w:rsidRPr="00BC0E7E" w:rsidRDefault="00BC0E7E" w:rsidP="00BC0E7E">
      <w:pPr>
        <w:keepLines/>
        <w:rPr>
          <w:del w:id="2047" w:author="AbbVie19" w:date="2025-04-16T10:35:00Z"/>
        </w:rPr>
      </w:pPr>
    </w:p>
    <w:p w14:paraId="057687E6" w14:textId="77777777" w:rsidR="00BC0E7E" w:rsidRPr="00BC0E7E" w:rsidRDefault="00944B8F" w:rsidP="00BC0E7E">
      <w:pPr>
        <w:keepLines/>
        <w:rPr>
          <w:del w:id="2048" w:author="AbbVie19" w:date="2025-04-16T10:35:00Z"/>
        </w:rPr>
      </w:pPr>
      <w:del w:id="2049" w:author="AbbVie19" w:date="2025-04-16T10:35:00Z">
        <w:r w:rsidRPr="00BC0E7E">
          <w:delText>In RA study III, most subjects who achieved improvement in physical function and continued treatment maintained improvement through Week 520 (120 months) of open-label treatment. Improvement in quality of life was measured up to Week 156 (36 months) and improvement was maintained through that time.</w:delText>
        </w:r>
      </w:del>
    </w:p>
    <w:p w14:paraId="2F4825FF" w14:textId="77777777" w:rsidR="00BC0E7E" w:rsidRPr="00BC0E7E" w:rsidRDefault="00BC0E7E" w:rsidP="00BC0E7E">
      <w:pPr>
        <w:keepLines/>
        <w:rPr>
          <w:del w:id="2050" w:author="AbbVie19" w:date="2025-04-16T10:35:00Z"/>
        </w:rPr>
      </w:pPr>
    </w:p>
    <w:p w14:paraId="7DE67E40" w14:textId="77777777" w:rsidR="00BC0E7E" w:rsidRPr="00BC0E7E" w:rsidRDefault="00944B8F" w:rsidP="00BC0E7E">
      <w:pPr>
        <w:rPr>
          <w:del w:id="2051" w:author="AbbVie19" w:date="2025-04-16T10:35:00Z"/>
          <w:szCs w:val="20"/>
          <w:u w:val="single"/>
        </w:rPr>
      </w:pPr>
      <w:del w:id="2052" w:author="AbbVie19" w:date="2025-04-16T10:35:00Z">
        <w:r w:rsidRPr="00BC0E7E">
          <w:rPr>
            <w:szCs w:val="20"/>
          </w:rPr>
          <w:delText xml:space="preserve">In RA study V, the improvement in the HAQ disability index and the physical component of the SF 36 showed greater improvement (p &lt; 0.001) for Humira/methotrexate combination therapy </w:delText>
        </w:r>
        <w:r w:rsidRPr="00BC0E7E">
          <w:rPr>
            <w:i/>
            <w:iCs/>
            <w:szCs w:val="20"/>
          </w:rPr>
          <w:delText>versus</w:delText>
        </w:r>
        <w:r w:rsidRPr="00BC0E7E">
          <w:rPr>
            <w:szCs w:val="20"/>
          </w:rPr>
          <w:delText xml:space="preserve"> methotrexate monotherapy and Humira monotherapy at Week 52, which was maintained through Week 104.</w:delText>
        </w:r>
        <w:r w:rsidRPr="00BC0E7E">
          <w:rPr>
            <w:szCs w:val="20"/>
            <w:u w:val="single"/>
          </w:rPr>
          <w:delText xml:space="preserve"> </w:delText>
        </w:r>
        <w:r w:rsidRPr="00BC0E7E">
          <w:rPr>
            <w:szCs w:val="20"/>
          </w:rPr>
          <w:delText>Among the 250 subjects who completed the open-label extension study, improvements in physical function were maintained through 10 years of treatment.</w:delText>
        </w:r>
      </w:del>
    </w:p>
    <w:p w14:paraId="0E865C8E" w14:textId="77777777" w:rsidR="00BC0E7E" w:rsidRPr="00BC0E7E" w:rsidRDefault="00BC0E7E" w:rsidP="00BC0E7E">
      <w:pPr>
        <w:rPr>
          <w:del w:id="2053" w:author="AbbVie19" w:date="2025-04-16T10:35:00Z"/>
          <w:rFonts w:eastAsia="TimesNewRoman"/>
          <w:szCs w:val="22"/>
        </w:rPr>
      </w:pPr>
    </w:p>
    <w:p w14:paraId="53997E70" w14:textId="77777777" w:rsidR="00BC0E7E" w:rsidRPr="00BC0E7E" w:rsidRDefault="00944B8F" w:rsidP="00BC0E7E">
      <w:pPr>
        <w:rPr>
          <w:del w:id="2054" w:author="AbbVie19" w:date="2025-04-16T10:35:00Z"/>
          <w:u w:val="single"/>
        </w:rPr>
      </w:pPr>
      <w:del w:id="2055" w:author="AbbVie19" w:date="2025-04-16T10:35:00Z">
        <w:r w:rsidRPr="00BC0E7E">
          <w:rPr>
            <w:i/>
          </w:rPr>
          <w:delText>Adult plaque psoriasis</w:delText>
        </w:r>
      </w:del>
    </w:p>
    <w:p w14:paraId="42947A23" w14:textId="77777777" w:rsidR="00BC0E7E" w:rsidRPr="00BC0E7E" w:rsidRDefault="00BC0E7E" w:rsidP="00BC0E7E">
      <w:pPr>
        <w:rPr>
          <w:del w:id="2056" w:author="AbbVie19" w:date="2025-04-16T10:35:00Z"/>
          <w:u w:val="single"/>
        </w:rPr>
      </w:pPr>
    </w:p>
    <w:p w14:paraId="551E5653" w14:textId="77777777" w:rsidR="00BC0E7E" w:rsidRPr="00BC0E7E" w:rsidRDefault="00944B8F" w:rsidP="00BC0E7E">
      <w:pPr>
        <w:rPr>
          <w:del w:id="2057" w:author="AbbVie19" w:date="2025-04-16T10:35:00Z"/>
          <w:szCs w:val="22"/>
        </w:rPr>
      </w:pPr>
      <w:del w:id="2058" w:author="AbbVie19" w:date="2025-04-16T10:35:00Z">
        <w:r w:rsidRPr="00BC0E7E">
          <w:delText>The safety and efficacy of Humira were studied in adult patients with chronic plaque psoriasis (</w:delText>
        </w:r>
        <w:r w:rsidRPr="00BC0E7E">
          <w:rPr>
            <w:rFonts w:ascii="Symbol" w:eastAsia="Symbol" w:hAnsi="Symbol" w:cs="Symbol"/>
            <w:szCs w:val="22"/>
          </w:rPr>
          <w:sym w:font="Symbol" w:char="F0B3"/>
        </w:r>
        <w:r w:rsidRPr="00BC0E7E">
          <w:delText xml:space="preserve"> 10% BSA involvement and PASI </w:delText>
        </w:r>
        <w:r w:rsidRPr="00BC0E7E">
          <w:rPr>
            <w:rFonts w:ascii="Symbol" w:eastAsia="Symbol" w:hAnsi="Symbol" w:cs="Symbol"/>
            <w:szCs w:val="22"/>
          </w:rPr>
          <w:sym w:font="Symbol" w:char="F0B3"/>
        </w:r>
        <w:r w:rsidRPr="00BC0E7E">
          <w:rPr>
            <w:szCs w:val="22"/>
          </w:rPr>
          <w:delText> </w:delText>
        </w:r>
        <w:r w:rsidRPr="00BC0E7E">
          <w:delText xml:space="preserve">12 or </w:delText>
        </w:r>
        <w:r w:rsidRPr="00BC0E7E">
          <w:rPr>
            <w:rFonts w:ascii="Symbol" w:eastAsia="Symbol" w:hAnsi="Symbol" w:cs="Symbol"/>
            <w:szCs w:val="22"/>
          </w:rPr>
          <w:sym w:font="Symbol" w:char="F0B3"/>
        </w:r>
        <w:r w:rsidRPr="00BC0E7E">
          <w:rPr>
            <w:szCs w:val="22"/>
          </w:rPr>
          <w:delText> </w:delText>
        </w:r>
        <w:r w:rsidRPr="00BC0E7E">
          <w:delText xml:space="preserve">10) who were candidates for systemic therapy or phototherapy in randomised, double-blind studies. 73% of patients enrolled in Psoriasis Studies I and II had received prior systemic therapy or phototherapy. The safety and efficacy of Humira were also studied in adult patients with moderate to severe </w:delText>
        </w:r>
        <w:r w:rsidRPr="00BC0E7E">
          <w:rPr>
            <w:szCs w:val="22"/>
          </w:rPr>
          <w:delText xml:space="preserve">chronic plaque psoriasis with concomitant hand and/or foot psoriasis who were candidates for systemic therapy in a randomised double-blind study (Psoriasis Study III).  </w:delText>
        </w:r>
      </w:del>
    </w:p>
    <w:p w14:paraId="07E27E2E" w14:textId="77777777" w:rsidR="00BC0E7E" w:rsidRPr="00BC0E7E" w:rsidRDefault="00BC0E7E" w:rsidP="00BC0E7E">
      <w:pPr>
        <w:rPr>
          <w:del w:id="2059" w:author="AbbVie19" w:date="2025-04-16T10:35:00Z"/>
          <w:sz w:val="20"/>
          <w:szCs w:val="20"/>
        </w:rPr>
      </w:pPr>
    </w:p>
    <w:p w14:paraId="170F5DE4" w14:textId="77777777" w:rsidR="00BC0E7E" w:rsidRPr="00BC0E7E" w:rsidRDefault="00944B8F" w:rsidP="00BC0E7E">
      <w:pPr>
        <w:rPr>
          <w:del w:id="2060" w:author="AbbVie19" w:date="2025-04-16T10:35:00Z"/>
        </w:rPr>
      </w:pPr>
      <w:del w:id="2061" w:author="AbbVie19" w:date="2025-04-16T10:35:00Z">
        <w:r w:rsidRPr="00BC0E7E">
          <w:delText xml:space="preserve">Psoriasis Study I (REVEAL) evaluated 1,212 patients within three treatment periods. In period A, patients received placebo or Humira at an initial dose of 80 mg followed by 40 mg every other week starting one week after the initial dose. After 16weeks of therapy, patients who achieved at least a PASI 75 response (PASI score improvement of at least 75% relative to baseline), entered period B and received open-label 40 mg Humira every other week. Patients who maintained </w:delText>
        </w:r>
        <w:r w:rsidRPr="00BC0E7E">
          <w:rPr>
            <w:rFonts w:ascii="Symbol" w:eastAsia="Symbol" w:hAnsi="Symbol" w:cs="Symbol"/>
            <w:szCs w:val="22"/>
          </w:rPr>
          <w:sym w:font="Symbol" w:char="F0B3"/>
        </w:r>
        <w:r w:rsidRPr="00BC0E7E">
          <w:delText>PASI 75 response at Week 33 and were originally randomised to active therapy in Period A, were re-randomised in period C to receive 40 mg Humira every other week or placebo for an additional 19 weeks. Across all treatment groups, the mean baseline PASI score was 18.9 and the baseline PGA score ranged from “moderate” (53% of subjects included) to “severe” (41%) to “very severe” (6%).</w:delText>
        </w:r>
      </w:del>
    </w:p>
    <w:p w14:paraId="4391A9A0" w14:textId="77777777" w:rsidR="00BC0E7E" w:rsidRPr="00BC0E7E" w:rsidRDefault="00BC0E7E" w:rsidP="00BC0E7E">
      <w:pPr>
        <w:rPr>
          <w:del w:id="2062" w:author="AbbVie19" w:date="2025-04-16T10:35:00Z"/>
        </w:rPr>
      </w:pPr>
    </w:p>
    <w:p w14:paraId="46254900" w14:textId="77777777" w:rsidR="00BC0E7E" w:rsidRPr="00BC0E7E" w:rsidRDefault="00944B8F" w:rsidP="00BC0E7E">
      <w:pPr>
        <w:autoSpaceDE w:val="0"/>
        <w:autoSpaceDN w:val="0"/>
        <w:adjustRightInd w:val="0"/>
        <w:rPr>
          <w:del w:id="2063" w:author="AbbVie19" w:date="2025-04-16T10:35:00Z"/>
        </w:rPr>
      </w:pPr>
      <w:del w:id="2064" w:author="AbbVie19" w:date="2025-04-16T10:35:00Z">
        <w:r w:rsidRPr="00BC0E7E">
          <w:rPr>
            <w:szCs w:val="22"/>
          </w:rPr>
          <w:delText xml:space="preserve">Psoriasis Study II (CHAMPION) compared the efficacy and safety of Humira </w:delText>
        </w:r>
        <w:r w:rsidRPr="00BC0E7E">
          <w:rPr>
            <w:i/>
            <w:iCs/>
            <w:szCs w:val="22"/>
          </w:rPr>
          <w:delText>versus</w:delText>
        </w:r>
        <w:r w:rsidRPr="00BC0E7E">
          <w:rPr>
            <w:szCs w:val="22"/>
          </w:rPr>
          <w:delText xml:space="preserve"> methotrexate and placebo in 271 patients. </w:delText>
        </w:r>
        <w:r w:rsidRPr="00BC0E7E">
          <w:delText xml:space="preserve">Patients received placebo, an initial dose of MTX 7.5 mg and thereafter dose increases up to Week 12, with a maximum dose of 25 mg or an initial dose of 80 mg Humira followed by 40 mg every other week (starting one week after the initial dose) for 16 weeks. There are no data available comparing Humira and MTX beyond 16 weeks of therapy. Patients receiving MTX who achieved a </w:delText>
        </w:r>
        <w:r w:rsidRPr="00BC0E7E">
          <w:rPr>
            <w:rFonts w:ascii="Symbol" w:eastAsia="Symbol" w:hAnsi="Symbol" w:cs="Symbol"/>
            <w:szCs w:val="22"/>
          </w:rPr>
          <w:sym w:font="Symbol" w:char="F0B3"/>
        </w:r>
        <w:r w:rsidRPr="00BC0E7E">
          <w:delText xml:space="preserve">PASI 50 response at Week 8 and/or 12 did not receive further dose increases. Across all treatment groups, the mean baseline </w:delText>
        </w:r>
        <w:r w:rsidRPr="00BC0E7E">
          <w:rPr>
            <w:caps/>
          </w:rPr>
          <w:delText>Pasi</w:delText>
        </w:r>
        <w:r w:rsidRPr="00BC0E7E">
          <w:delText xml:space="preserve"> score was 19.7 and the baseline PGA score ranged from “mild” (&lt;1%) to “moderate” (48%) to “severe” (46%) to “very severe” (6%).</w:delText>
        </w:r>
      </w:del>
    </w:p>
    <w:p w14:paraId="1F6E51BB" w14:textId="77777777" w:rsidR="00BC0E7E" w:rsidRPr="00BC0E7E" w:rsidRDefault="00BC0E7E" w:rsidP="00BC0E7E">
      <w:pPr>
        <w:autoSpaceDE w:val="0"/>
        <w:autoSpaceDN w:val="0"/>
        <w:adjustRightInd w:val="0"/>
        <w:rPr>
          <w:del w:id="2065" w:author="AbbVie19" w:date="2025-04-16T10:35:00Z"/>
        </w:rPr>
      </w:pPr>
    </w:p>
    <w:p w14:paraId="66422668" w14:textId="77777777" w:rsidR="00BC0E7E" w:rsidRPr="00BC0E7E" w:rsidRDefault="00944B8F" w:rsidP="00BC0E7E">
      <w:pPr>
        <w:autoSpaceDE w:val="0"/>
        <w:autoSpaceDN w:val="0"/>
        <w:adjustRightInd w:val="0"/>
        <w:rPr>
          <w:del w:id="2066" w:author="AbbVie19" w:date="2025-04-16T10:35:00Z"/>
        </w:rPr>
      </w:pPr>
      <w:del w:id="2067" w:author="AbbVie19" w:date="2025-04-16T10:35:00Z">
        <w:r w:rsidRPr="00BC0E7E">
          <w:delText>Patients participating in all Phase 2 and Phase 3 psoriasis studies were eligible to enrol into an open-label extension trial, where Humira was given for at least an additional 108 weeks.</w:delText>
        </w:r>
      </w:del>
    </w:p>
    <w:p w14:paraId="12C85BD2" w14:textId="77777777" w:rsidR="00BC0E7E" w:rsidRPr="00BC0E7E" w:rsidRDefault="00BC0E7E" w:rsidP="00BC0E7E">
      <w:pPr>
        <w:autoSpaceDE w:val="0"/>
        <w:autoSpaceDN w:val="0"/>
        <w:adjustRightInd w:val="0"/>
        <w:rPr>
          <w:del w:id="2068" w:author="AbbVie19" w:date="2025-04-16T10:35:00Z"/>
        </w:rPr>
      </w:pPr>
    </w:p>
    <w:p w14:paraId="2B773A51" w14:textId="77777777" w:rsidR="00BC0E7E" w:rsidRPr="00BC0E7E" w:rsidRDefault="00944B8F" w:rsidP="00BC0E7E">
      <w:pPr>
        <w:autoSpaceDE w:val="0"/>
        <w:autoSpaceDN w:val="0"/>
        <w:adjustRightInd w:val="0"/>
        <w:rPr>
          <w:del w:id="2069" w:author="AbbVie19" w:date="2025-04-16T10:35:00Z"/>
        </w:rPr>
      </w:pPr>
      <w:del w:id="2070" w:author="AbbVie19" w:date="2025-04-16T10:35:00Z">
        <w:r w:rsidRPr="00BC0E7E">
          <w:rPr>
            <w:iCs/>
          </w:rPr>
          <w:delText xml:space="preserve">In Psoriasis Studies I and II, a primary endpoint was the proportion of patients who achieved a PASI 75 response from baseline at Week 16 </w:delText>
        </w:r>
        <w:r w:rsidRPr="00BC0E7E">
          <w:rPr>
            <w:szCs w:val="22"/>
          </w:rPr>
          <w:delText xml:space="preserve">(see Tables </w:delText>
        </w:r>
        <w:r w:rsidR="00C25049">
          <w:rPr>
            <w:szCs w:val="22"/>
          </w:rPr>
          <w:delText>1</w:delText>
        </w:r>
        <w:r w:rsidR="005F03EC">
          <w:rPr>
            <w:szCs w:val="22"/>
          </w:rPr>
          <w:delText>2</w:delText>
        </w:r>
        <w:r w:rsidRPr="00BC0E7E">
          <w:rPr>
            <w:szCs w:val="22"/>
          </w:rPr>
          <w:delText xml:space="preserve"> and </w:delText>
        </w:r>
        <w:r w:rsidR="00C25049">
          <w:rPr>
            <w:szCs w:val="22"/>
          </w:rPr>
          <w:delText>1</w:delText>
        </w:r>
        <w:r w:rsidR="005F03EC">
          <w:rPr>
            <w:szCs w:val="22"/>
          </w:rPr>
          <w:delText>3</w:delText>
        </w:r>
        <w:r w:rsidRPr="00BC0E7E">
          <w:rPr>
            <w:szCs w:val="22"/>
          </w:rPr>
          <w:delText>).</w:delText>
        </w:r>
      </w:del>
    </w:p>
    <w:p w14:paraId="180503A7" w14:textId="77777777" w:rsidR="00BC0E7E" w:rsidRPr="00BC0E7E" w:rsidRDefault="00BC0E7E" w:rsidP="00BC0E7E">
      <w:pPr>
        <w:keepNext/>
        <w:rPr>
          <w:del w:id="2071" w:author="AbbVie19" w:date="2025-04-16T10:35:00Z"/>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C6578C" w14:paraId="080B1881" w14:textId="77777777" w:rsidTr="00171601">
        <w:trPr>
          <w:cantSplit/>
          <w:jc w:val="center"/>
          <w:del w:id="2072" w:author="AbbVie19" w:date="2025-04-16T10:35:00Z"/>
        </w:trPr>
        <w:tc>
          <w:tcPr>
            <w:tcW w:w="6949" w:type="dxa"/>
            <w:gridSpan w:val="3"/>
            <w:tcBorders>
              <w:top w:val="nil"/>
              <w:left w:val="nil"/>
              <w:right w:val="nil"/>
            </w:tcBorders>
          </w:tcPr>
          <w:p w14:paraId="1369E96C" w14:textId="77777777" w:rsidR="00BC0E7E" w:rsidRPr="003F7AAE" w:rsidRDefault="00944B8F" w:rsidP="00BC0E7E">
            <w:pPr>
              <w:keepNext/>
              <w:tabs>
                <w:tab w:val="clear" w:pos="562"/>
              </w:tabs>
              <w:suppressAutoHyphens w:val="0"/>
              <w:overflowPunct w:val="0"/>
              <w:autoSpaceDE w:val="0"/>
              <w:autoSpaceDN w:val="0"/>
              <w:adjustRightInd w:val="0"/>
              <w:jc w:val="center"/>
              <w:textAlignment w:val="baseline"/>
              <w:rPr>
                <w:del w:id="2073" w:author="AbbVie19" w:date="2025-04-16T10:35:00Z"/>
                <w:iCs/>
                <w:szCs w:val="20"/>
              </w:rPr>
            </w:pPr>
            <w:del w:id="2074" w:author="AbbVie19" w:date="2025-04-16T10:35:00Z">
              <w:r w:rsidRPr="00BC0E7E">
                <w:rPr>
                  <w:b/>
                  <w:iCs/>
                  <w:szCs w:val="20"/>
                </w:rPr>
                <w:delText xml:space="preserve">Table </w:delText>
              </w:r>
              <w:r w:rsidR="00C25049">
                <w:rPr>
                  <w:b/>
                  <w:iCs/>
                  <w:szCs w:val="20"/>
                </w:rPr>
                <w:delText>1</w:delText>
              </w:r>
              <w:r w:rsidR="005F03EC">
                <w:rPr>
                  <w:b/>
                  <w:iCs/>
                  <w:szCs w:val="20"/>
                </w:rPr>
                <w:delText>2</w:delText>
              </w:r>
            </w:del>
          </w:p>
          <w:p w14:paraId="612CA036"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075" w:author="AbbVie19" w:date="2025-04-16T10:35:00Z"/>
                <w:b/>
                <w:iCs/>
                <w:szCs w:val="20"/>
              </w:rPr>
            </w:pPr>
            <w:del w:id="2076" w:author="AbbVie19" w:date="2025-04-16T10:35:00Z">
              <w:r w:rsidRPr="00BC0E7E">
                <w:rPr>
                  <w:b/>
                  <w:iCs/>
                  <w:szCs w:val="20"/>
                </w:rPr>
                <w:delText>Ps Study I (REVEAL)  - Efficacy Results at 16 Weeks</w:delText>
              </w:r>
            </w:del>
          </w:p>
        </w:tc>
      </w:tr>
      <w:tr w:rsidR="00C6578C" w14:paraId="0284D828" w14:textId="77777777" w:rsidTr="00171601">
        <w:trPr>
          <w:cantSplit/>
          <w:jc w:val="center"/>
          <w:del w:id="2077" w:author="AbbVie19" w:date="2025-04-16T10:35:00Z"/>
        </w:trPr>
        <w:tc>
          <w:tcPr>
            <w:tcW w:w="2977" w:type="dxa"/>
            <w:vAlign w:val="center"/>
          </w:tcPr>
          <w:p w14:paraId="2CB7BB05" w14:textId="77777777" w:rsidR="00BC0E7E" w:rsidRPr="00BC0E7E" w:rsidRDefault="00BC0E7E" w:rsidP="00BC0E7E">
            <w:pPr>
              <w:keepNext/>
              <w:tabs>
                <w:tab w:val="clear" w:pos="562"/>
              </w:tabs>
              <w:suppressAutoHyphens w:val="0"/>
              <w:overflowPunct w:val="0"/>
              <w:autoSpaceDE w:val="0"/>
              <w:autoSpaceDN w:val="0"/>
              <w:adjustRightInd w:val="0"/>
              <w:textAlignment w:val="baseline"/>
              <w:rPr>
                <w:del w:id="2078" w:author="AbbVie19" w:date="2025-04-16T10:35:00Z"/>
                <w:b/>
                <w:iCs/>
                <w:szCs w:val="20"/>
              </w:rPr>
            </w:pPr>
          </w:p>
        </w:tc>
        <w:tc>
          <w:tcPr>
            <w:tcW w:w="1620" w:type="dxa"/>
            <w:vAlign w:val="center"/>
          </w:tcPr>
          <w:p w14:paraId="1F8E8476" w14:textId="77777777" w:rsidR="00BC0E7E" w:rsidRPr="00762FA7" w:rsidRDefault="00944B8F" w:rsidP="00BC0E7E">
            <w:pPr>
              <w:keepNext/>
              <w:tabs>
                <w:tab w:val="clear" w:pos="562"/>
              </w:tabs>
              <w:suppressAutoHyphens w:val="0"/>
              <w:overflowPunct w:val="0"/>
              <w:autoSpaceDE w:val="0"/>
              <w:autoSpaceDN w:val="0"/>
              <w:adjustRightInd w:val="0"/>
              <w:jc w:val="center"/>
              <w:textAlignment w:val="baseline"/>
              <w:rPr>
                <w:del w:id="2079" w:author="AbbVie19" w:date="2025-04-16T10:35:00Z"/>
                <w:b/>
                <w:iCs/>
                <w:szCs w:val="20"/>
                <w:lang w:val="fr-FR"/>
              </w:rPr>
            </w:pPr>
            <w:del w:id="2080" w:author="AbbVie19" w:date="2025-04-16T10:35:00Z">
              <w:r w:rsidRPr="00762FA7">
                <w:rPr>
                  <w:b/>
                  <w:iCs/>
                  <w:szCs w:val="20"/>
                  <w:lang w:val="fr-FR"/>
                </w:rPr>
                <w:delText>Placebo</w:delText>
              </w:r>
            </w:del>
          </w:p>
          <w:p w14:paraId="397C6DF2" w14:textId="77777777" w:rsidR="00BC0E7E" w:rsidRPr="00762FA7" w:rsidRDefault="00944B8F" w:rsidP="00BC0E7E">
            <w:pPr>
              <w:keepNext/>
              <w:tabs>
                <w:tab w:val="clear" w:pos="562"/>
              </w:tabs>
              <w:suppressAutoHyphens w:val="0"/>
              <w:overflowPunct w:val="0"/>
              <w:autoSpaceDE w:val="0"/>
              <w:autoSpaceDN w:val="0"/>
              <w:adjustRightInd w:val="0"/>
              <w:jc w:val="center"/>
              <w:textAlignment w:val="baseline"/>
              <w:rPr>
                <w:del w:id="2081" w:author="AbbVie19" w:date="2025-04-16T10:35:00Z"/>
                <w:b/>
                <w:iCs/>
                <w:szCs w:val="20"/>
                <w:lang w:val="fr-FR"/>
              </w:rPr>
            </w:pPr>
            <w:del w:id="2082" w:author="AbbVie19" w:date="2025-04-16T10:35:00Z">
              <w:r w:rsidRPr="00762FA7">
                <w:rPr>
                  <w:b/>
                  <w:iCs/>
                  <w:szCs w:val="20"/>
                  <w:lang w:val="fr-FR"/>
                </w:rPr>
                <w:delText>N=398</w:delText>
              </w:r>
            </w:del>
          </w:p>
          <w:p w14:paraId="7592B6E6" w14:textId="77777777" w:rsidR="00BC0E7E" w:rsidRPr="00762FA7" w:rsidRDefault="00944B8F" w:rsidP="00BC0E7E">
            <w:pPr>
              <w:keepNext/>
              <w:tabs>
                <w:tab w:val="clear" w:pos="562"/>
              </w:tabs>
              <w:suppressAutoHyphens w:val="0"/>
              <w:overflowPunct w:val="0"/>
              <w:autoSpaceDE w:val="0"/>
              <w:autoSpaceDN w:val="0"/>
              <w:adjustRightInd w:val="0"/>
              <w:jc w:val="center"/>
              <w:textAlignment w:val="baseline"/>
              <w:rPr>
                <w:del w:id="2083" w:author="AbbVie19" w:date="2025-04-16T10:35:00Z"/>
                <w:b/>
                <w:iCs/>
                <w:szCs w:val="20"/>
                <w:lang w:val="fr-FR"/>
              </w:rPr>
            </w:pPr>
            <w:del w:id="2084" w:author="AbbVie19" w:date="2025-04-16T10:35:00Z">
              <w:r w:rsidRPr="00762FA7">
                <w:rPr>
                  <w:b/>
                  <w:iCs/>
                  <w:szCs w:val="20"/>
                  <w:lang w:val="fr-FR"/>
                </w:rPr>
                <w:delText>n (%)</w:delText>
              </w:r>
            </w:del>
          </w:p>
        </w:tc>
        <w:tc>
          <w:tcPr>
            <w:tcW w:w="2352" w:type="dxa"/>
            <w:vAlign w:val="center"/>
          </w:tcPr>
          <w:p w14:paraId="187F9B87"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085" w:author="AbbVie19" w:date="2025-04-16T10:35:00Z"/>
                <w:b/>
                <w:iCs/>
                <w:szCs w:val="20"/>
                <w:lang w:val="es-ES"/>
              </w:rPr>
            </w:pPr>
            <w:del w:id="2086" w:author="AbbVie19" w:date="2025-04-16T10:35:00Z">
              <w:r w:rsidRPr="00BC0E7E">
                <w:rPr>
                  <w:b/>
                  <w:iCs/>
                  <w:szCs w:val="20"/>
                  <w:lang w:val="es-ES"/>
                </w:rPr>
                <w:delText>Humira 40 mg eow</w:delText>
              </w:r>
            </w:del>
          </w:p>
          <w:p w14:paraId="727E5B30"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087" w:author="AbbVie19" w:date="2025-04-16T10:35:00Z"/>
                <w:b/>
                <w:iCs/>
                <w:szCs w:val="20"/>
                <w:lang w:val="it-IT"/>
              </w:rPr>
            </w:pPr>
            <w:del w:id="2088" w:author="AbbVie19" w:date="2025-04-16T10:35:00Z">
              <w:r w:rsidRPr="00BC0E7E">
                <w:rPr>
                  <w:b/>
                  <w:iCs/>
                  <w:szCs w:val="20"/>
                  <w:lang w:val="it-IT"/>
                </w:rPr>
                <w:delText>N=814</w:delText>
              </w:r>
            </w:del>
          </w:p>
          <w:p w14:paraId="747D35C6"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089" w:author="AbbVie19" w:date="2025-04-16T10:35:00Z"/>
                <w:b/>
                <w:iCs/>
                <w:szCs w:val="20"/>
                <w:lang w:val="it-IT"/>
              </w:rPr>
            </w:pPr>
            <w:del w:id="2090" w:author="AbbVie19" w:date="2025-04-16T10:35:00Z">
              <w:r w:rsidRPr="00BC0E7E">
                <w:rPr>
                  <w:b/>
                  <w:iCs/>
                  <w:szCs w:val="20"/>
                  <w:lang w:val="it-IT"/>
                </w:rPr>
                <w:delText>n (%)</w:delText>
              </w:r>
            </w:del>
          </w:p>
        </w:tc>
      </w:tr>
      <w:tr w:rsidR="00C6578C" w14:paraId="5655CEA3" w14:textId="77777777" w:rsidTr="00171601">
        <w:trPr>
          <w:cantSplit/>
          <w:jc w:val="center"/>
          <w:del w:id="2091" w:author="AbbVie19" w:date="2025-04-16T10:35:00Z"/>
        </w:trPr>
        <w:tc>
          <w:tcPr>
            <w:tcW w:w="2977" w:type="dxa"/>
          </w:tcPr>
          <w:p w14:paraId="3D65274F" w14:textId="77777777" w:rsidR="00BC0E7E" w:rsidRPr="00BC0E7E" w:rsidRDefault="00944B8F" w:rsidP="00BC0E7E">
            <w:pPr>
              <w:keepNext/>
              <w:tabs>
                <w:tab w:val="clear" w:pos="562"/>
              </w:tabs>
              <w:suppressAutoHyphens w:val="0"/>
              <w:overflowPunct w:val="0"/>
              <w:autoSpaceDE w:val="0"/>
              <w:autoSpaceDN w:val="0"/>
              <w:adjustRightInd w:val="0"/>
              <w:textAlignment w:val="baseline"/>
              <w:rPr>
                <w:del w:id="2092" w:author="AbbVie19" w:date="2025-04-16T10:35:00Z"/>
                <w:b/>
                <w:iCs/>
                <w:szCs w:val="20"/>
                <w:lang w:val="it-IT"/>
              </w:rPr>
            </w:pPr>
            <w:del w:id="2093" w:author="AbbVie19" w:date="2025-04-16T10:35:00Z">
              <w:r w:rsidRPr="00BC0E7E">
                <w:rPr>
                  <w:b/>
                  <w:iCs/>
                  <w:szCs w:val="20"/>
                  <w:lang w:val="it-IT"/>
                </w:rPr>
                <w:delText xml:space="preserve">    </w:delText>
              </w:r>
              <w:r w:rsidRPr="00BC0E7E">
                <w:rPr>
                  <w:rFonts w:ascii="Symbol" w:eastAsia="Symbol" w:hAnsi="Symbol" w:cs="Symbol"/>
                  <w:b/>
                  <w:szCs w:val="22"/>
                </w:rPr>
                <w:sym w:font="Symbol" w:char="F0B3"/>
              </w:r>
              <w:r w:rsidRPr="00BC0E7E">
                <w:rPr>
                  <w:b/>
                  <w:iCs/>
                  <w:szCs w:val="20"/>
                  <w:lang w:val="it-IT"/>
                </w:rPr>
                <w:delText>PASI 75</w:delText>
              </w:r>
              <w:r w:rsidRPr="00BC0E7E">
                <w:rPr>
                  <w:b/>
                  <w:iCs/>
                  <w:szCs w:val="20"/>
                  <w:vertAlign w:val="superscript"/>
                  <w:lang w:val="it-IT"/>
                </w:rPr>
                <w:delText>a</w:delText>
              </w:r>
            </w:del>
          </w:p>
        </w:tc>
        <w:tc>
          <w:tcPr>
            <w:tcW w:w="1620" w:type="dxa"/>
          </w:tcPr>
          <w:p w14:paraId="6CA1E50E"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094" w:author="AbbVie19" w:date="2025-04-16T10:35:00Z"/>
                <w:bCs/>
                <w:iCs/>
                <w:szCs w:val="20"/>
                <w:lang w:val="it-IT"/>
              </w:rPr>
            </w:pPr>
            <w:del w:id="2095" w:author="AbbVie19" w:date="2025-04-16T10:35:00Z">
              <w:r w:rsidRPr="00BC0E7E">
                <w:rPr>
                  <w:bCs/>
                  <w:iCs/>
                  <w:szCs w:val="20"/>
                  <w:lang w:val="it-IT"/>
                </w:rPr>
                <w:delText>26 (6.5)</w:delText>
              </w:r>
            </w:del>
          </w:p>
        </w:tc>
        <w:tc>
          <w:tcPr>
            <w:tcW w:w="2352" w:type="dxa"/>
          </w:tcPr>
          <w:p w14:paraId="19DD3563"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096" w:author="AbbVie19" w:date="2025-04-16T10:35:00Z"/>
                <w:bCs/>
                <w:iCs/>
                <w:szCs w:val="20"/>
                <w:lang w:val="it-IT"/>
              </w:rPr>
            </w:pPr>
            <w:del w:id="2097" w:author="AbbVie19" w:date="2025-04-16T10:35:00Z">
              <w:r w:rsidRPr="00BC0E7E">
                <w:rPr>
                  <w:bCs/>
                  <w:iCs/>
                  <w:szCs w:val="20"/>
                  <w:lang w:val="it-IT"/>
                </w:rPr>
                <w:delText>578 (70.9)</w:delText>
              </w:r>
              <w:r w:rsidRPr="00BC0E7E">
                <w:rPr>
                  <w:bCs/>
                  <w:iCs/>
                  <w:szCs w:val="20"/>
                  <w:vertAlign w:val="superscript"/>
                  <w:lang w:val="it-IT"/>
                </w:rPr>
                <w:delText>b</w:delText>
              </w:r>
            </w:del>
          </w:p>
        </w:tc>
      </w:tr>
      <w:tr w:rsidR="00C6578C" w14:paraId="32A1289E" w14:textId="77777777" w:rsidTr="00171601">
        <w:trPr>
          <w:cantSplit/>
          <w:trHeight w:val="70"/>
          <w:jc w:val="center"/>
          <w:del w:id="2098" w:author="AbbVie19" w:date="2025-04-16T10:35:00Z"/>
        </w:trPr>
        <w:tc>
          <w:tcPr>
            <w:tcW w:w="2977" w:type="dxa"/>
          </w:tcPr>
          <w:p w14:paraId="34E51B7B" w14:textId="77777777" w:rsidR="00BC0E7E" w:rsidRPr="00BC0E7E" w:rsidRDefault="00944B8F" w:rsidP="00BC0E7E">
            <w:pPr>
              <w:keepNext/>
              <w:tabs>
                <w:tab w:val="clear" w:pos="562"/>
              </w:tabs>
              <w:suppressAutoHyphens w:val="0"/>
              <w:overflowPunct w:val="0"/>
              <w:autoSpaceDE w:val="0"/>
              <w:autoSpaceDN w:val="0"/>
              <w:adjustRightInd w:val="0"/>
              <w:textAlignment w:val="baseline"/>
              <w:rPr>
                <w:del w:id="2099" w:author="AbbVie19" w:date="2025-04-16T10:35:00Z"/>
                <w:b/>
                <w:iCs/>
                <w:szCs w:val="20"/>
                <w:lang w:val="it-IT"/>
              </w:rPr>
            </w:pPr>
            <w:del w:id="2100" w:author="AbbVie19" w:date="2025-04-16T10:35:00Z">
              <w:r w:rsidRPr="00BC0E7E">
                <w:rPr>
                  <w:b/>
                  <w:iCs/>
                  <w:szCs w:val="20"/>
                  <w:lang w:val="it-IT"/>
                </w:rPr>
                <w:delText xml:space="preserve">    PASI 100</w:delText>
              </w:r>
            </w:del>
          </w:p>
        </w:tc>
        <w:tc>
          <w:tcPr>
            <w:tcW w:w="1620" w:type="dxa"/>
          </w:tcPr>
          <w:p w14:paraId="545C1679"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01" w:author="AbbVie19" w:date="2025-04-16T10:35:00Z"/>
                <w:bCs/>
                <w:iCs/>
                <w:szCs w:val="20"/>
                <w:lang w:val="it-IT"/>
              </w:rPr>
            </w:pPr>
            <w:del w:id="2102" w:author="AbbVie19" w:date="2025-04-16T10:35:00Z">
              <w:r w:rsidRPr="00BC0E7E">
                <w:rPr>
                  <w:bCs/>
                  <w:iCs/>
                  <w:szCs w:val="20"/>
                  <w:lang w:val="it-IT"/>
                </w:rPr>
                <w:delText>3 (0.8)</w:delText>
              </w:r>
            </w:del>
          </w:p>
        </w:tc>
        <w:tc>
          <w:tcPr>
            <w:tcW w:w="2352" w:type="dxa"/>
          </w:tcPr>
          <w:p w14:paraId="6BD70329"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03" w:author="AbbVie19" w:date="2025-04-16T10:35:00Z"/>
                <w:bCs/>
                <w:iCs/>
                <w:szCs w:val="20"/>
                <w:lang w:val="it-IT"/>
              </w:rPr>
            </w:pPr>
            <w:del w:id="2104" w:author="AbbVie19" w:date="2025-04-16T10:35:00Z">
              <w:r w:rsidRPr="00BC0E7E">
                <w:rPr>
                  <w:bCs/>
                  <w:iCs/>
                  <w:szCs w:val="20"/>
                  <w:lang w:val="it-IT"/>
                </w:rPr>
                <w:delText>163 (20.0)</w:delText>
              </w:r>
              <w:r w:rsidRPr="00BC0E7E">
                <w:rPr>
                  <w:bCs/>
                  <w:iCs/>
                  <w:szCs w:val="20"/>
                  <w:vertAlign w:val="superscript"/>
                  <w:lang w:val="it-IT"/>
                </w:rPr>
                <w:delText>b</w:delText>
              </w:r>
            </w:del>
          </w:p>
        </w:tc>
      </w:tr>
      <w:tr w:rsidR="00C6578C" w14:paraId="04BBC231" w14:textId="77777777" w:rsidTr="00171601">
        <w:trPr>
          <w:cantSplit/>
          <w:jc w:val="center"/>
          <w:del w:id="2105" w:author="AbbVie19" w:date="2025-04-16T10:35:00Z"/>
        </w:trPr>
        <w:tc>
          <w:tcPr>
            <w:tcW w:w="2977" w:type="dxa"/>
          </w:tcPr>
          <w:p w14:paraId="6B9FFE74" w14:textId="77777777" w:rsidR="00BC0E7E" w:rsidRPr="00BC0E7E" w:rsidRDefault="00944B8F" w:rsidP="00BC0E7E">
            <w:pPr>
              <w:keepNext/>
              <w:tabs>
                <w:tab w:val="clear" w:pos="562"/>
              </w:tabs>
              <w:suppressAutoHyphens w:val="0"/>
              <w:overflowPunct w:val="0"/>
              <w:autoSpaceDE w:val="0"/>
              <w:autoSpaceDN w:val="0"/>
              <w:adjustRightInd w:val="0"/>
              <w:textAlignment w:val="baseline"/>
              <w:rPr>
                <w:del w:id="2106" w:author="AbbVie19" w:date="2025-04-16T10:35:00Z"/>
                <w:b/>
                <w:iCs/>
                <w:szCs w:val="20"/>
              </w:rPr>
            </w:pPr>
            <w:del w:id="2107" w:author="AbbVie19" w:date="2025-04-16T10:35:00Z">
              <w:r w:rsidRPr="00BC0E7E">
                <w:rPr>
                  <w:b/>
                  <w:iCs/>
                  <w:szCs w:val="20"/>
                  <w:lang w:val="it-IT"/>
                </w:rPr>
                <w:delText xml:space="preserve">    </w:delText>
              </w:r>
              <w:r w:rsidRPr="00BC0E7E">
                <w:rPr>
                  <w:b/>
                  <w:iCs/>
                  <w:szCs w:val="20"/>
                </w:rPr>
                <w:delText>PGA: Clear/minimal</w:delText>
              </w:r>
            </w:del>
          </w:p>
        </w:tc>
        <w:tc>
          <w:tcPr>
            <w:tcW w:w="1620" w:type="dxa"/>
          </w:tcPr>
          <w:p w14:paraId="73F185CC"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08" w:author="AbbVie19" w:date="2025-04-16T10:35:00Z"/>
                <w:bCs/>
                <w:iCs/>
                <w:szCs w:val="20"/>
              </w:rPr>
            </w:pPr>
            <w:del w:id="2109" w:author="AbbVie19" w:date="2025-04-16T10:35:00Z">
              <w:r w:rsidRPr="00BC0E7E">
                <w:rPr>
                  <w:bCs/>
                  <w:iCs/>
                  <w:szCs w:val="20"/>
                </w:rPr>
                <w:delText>17 (4.3)</w:delText>
              </w:r>
            </w:del>
          </w:p>
        </w:tc>
        <w:tc>
          <w:tcPr>
            <w:tcW w:w="2352" w:type="dxa"/>
          </w:tcPr>
          <w:p w14:paraId="13A6E56A"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10" w:author="AbbVie19" w:date="2025-04-16T10:35:00Z"/>
                <w:bCs/>
                <w:iCs/>
                <w:szCs w:val="20"/>
              </w:rPr>
            </w:pPr>
            <w:del w:id="2111" w:author="AbbVie19" w:date="2025-04-16T10:35:00Z">
              <w:r w:rsidRPr="00BC0E7E">
                <w:rPr>
                  <w:bCs/>
                  <w:iCs/>
                  <w:szCs w:val="20"/>
                </w:rPr>
                <w:delText>506 (62.2)</w:delText>
              </w:r>
              <w:r w:rsidRPr="00BC0E7E">
                <w:rPr>
                  <w:bCs/>
                  <w:iCs/>
                  <w:szCs w:val="20"/>
                  <w:vertAlign w:val="superscript"/>
                </w:rPr>
                <w:delText>b</w:delText>
              </w:r>
            </w:del>
          </w:p>
        </w:tc>
      </w:tr>
      <w:tr w:rsidR="00C6578C" w14:paraId="1FECF18C" w14:textId="77777777" w:rsidTr="00171601">
        <w:trPr>
          <w:cantSplit/>
          <w:jc w:val="center"/>
          <w:del w:id="2112" w:author="AbbVie19" w:date="2025-04-16T10:35:00Z"/>
        </w:trPr>
        <w:tc>
          <w:tcPr>
            <w:tcW w:w="6949" w:type="dxa"/>
            <w:gridSpan w:val="3"/>
          </w:tcPr>
          <w:p w14:paraId="32158B7F" w14:textId="77777777" w:rsidR="00BC0E7E" w:rsidRPr="00BC0E7E" w:rsidRDefault="00944B8F" w:rsidP="00BC0E7E">
            <w:pPr>
              <w:keepNext/>
              <w:tabs>
                <w:tab w:val="clear" w:pos="562"/>
              </w:tabs>
              <w:suppressAutoHyphens w:val="0"/>
              <w:overflowPunct w:val="0"/>
              <w:autoSpaceDE w:val="0"/>
              <w:autoSpaceDN w:val="0"/>
              <w:adjustRightInd w:val="0"/>
              <w:textAlignment w:val="baseline"/>
              <w:rPr>
                <w:del w:id="2113" w:author="AbbVie19" w:date="2025-04-16T10:35:00Z"/>
                <w:bCs/>
                <w:iCs/>
                <w:szCs w:val="20"/>
              </w:rPr>
            </w:pPr>
            <w:del w:id="2114" w:author="AbbVie19" w:date="2025-04-16T10:35:00Z">
              <w:r w:rsidRPr="00BC0E7E">
                <w:rPr>
                  <w:bCs/>
                  <w:iCs/>
                  <w:szCs w:val="20"/>
                  <w:vertAlign w:val="superscript"/>
                </w:rPr>
                <w:delText>a</w:delText>
              </w:r>
              <w:r w:rsidRPr="00BC0E7E">
                <w:rPr>
                  <w:bCs/>
                  <w:iCs/>
                  <w:szCs w:val="20"/>
                </w:rPr>
                <w:delText xml:space="preserve"> Percent of patients achieving PASI75 response was calculated as centre-adjusted rate</w:delText>
              </w:r>
            </w:del>
          </w:p>
          <w:p w14:paraId="7F955BBA" w14:textId="77777777" w:rsidR="00BC0E7E" w:rsidRPr="00762FA7" w:rsidRDefault="00944B8F" w:rsidP="00BC0E7E">
            <w:pPr>
              <w:keepNext/>
              <w:tabs>
                <w:tab w:val="clear" w:pos="562"/>
              </w:tabs>
              <w:suppressAutoHyphens w:val="0"/>
              <w:overflowPunct w:val="0"/>
              <w:autoSpaceDE w:val="0"/>
              <w:autoSpaceDN w:val="0"/>
              <w:adjustRightInd w:val="0"/>
              <w:textAlignment w:val="baseline"/>
              <w:rPr>
                <w:del w:id="2115" w:author="AbbVie19" w:date="2025-04-16T10:35:00Z"/>
                <w:bCs/>
                <w:iCs/>
                <w:szCs w:val="20"/>
                <w:lang w:val="fr-FR"/>
              </w:rPr>
            </w:pPr>
            <w:del w:id="2116" w:author="AbbVie19" w:date="2025-04-16T10:35:00Z">
              <w:r w:rsidRPr="00762FA7">
                <w:rPr>
                  <w:bCs/>
                  <w:iCs/>
                  <w:szCs w:val="20"/>
                  <w:vertAlign w:val="superscript"/>
                  <w:lang w:val="fr-FR"/>
                </w:rPr>
                <w:delText>b</w:delText>
              </w:r>
              <w:r w:rsidRPr="00762FA7">
                <w:rPr>
                  <w:bCs/>
                  <w:iCs/>
                  <w:szCs w:val="20"/>
                  <w:lang w:val="fr-FR"/>
                </w:rPr>
                <w:delText xml:space="preserve"> p&lt;0.001, Humira vs. placebo</w:delText>
              </w:r>
            </w:del>
          </w:p>
        </w:tc>
      </w:tr>
    </w:tbl>
    <w:p w14:paraId="5FFB4ED1" w14:textId="77777777" w:rsidR="00BC0E7E" w:rsidRPr="00762FA7" w:rsidRDefault="00BC0E7E" w:rsidP="00BC0E7E">
      <w:pPr>
        <w:jc w:val="both"/>
        <w:rPr>
          <w:del w:id="2117" w:author="AbbVie19" w:date="2025-04-16T10:35:00Z"/>
          <w:sz w:val="16"/>
          <w:szCs w:val="16"/>
          <w:lang w:val="fr-FR"/>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9"/>
        <w:gridCol w:w="1668"/>
        <w:gridCol w:w="1347"/>
        <w:gridCol w:w="2392"/>
      </w:tblGrid>
      <w:tr w:rsidR="00C6578C" w14:paraId="726A15D8" w14:textId="77777777" w:rsidTr="00171601">
        <w:trPr>
          <w:cantSplit/>
          <w:jc w:val="center"/>
          <w:del w:id="2118" w:author="AbbVie19" w:date="2025-04-16T10:35:00Z"/>
        </w:trPr>
        <w:tc>
          <w:tcPr>
            <w:tcW w:w="7046" w:type="dxa"/>
            <w:gridSpan w:val="4"/>
            <w:tcBorders>
              <w:top w:val="nil"/>
              <w:left w:val="nil"/>
              <w:right w:val="nil"/>
            </w:tcBorders>
          </w:tcPr>
          <w:p w14:paraId="470B824A" w14:textId="77777777" w:rsidR="00BC0E7E" w:rsidRPr="003F7AAE" w:rsidRDefault="00944B8F" w:rsidP="00BC0E7E">
            <w:pPr>
              <w:keepNext/>
              <w:tabs>
                <w:tab w:val="clear" w:pos="562"/>
              </w:tabs>
              <w:suppressAutoHyphens w:val="0"/>
              <w:overflowPunct w:val="0"/>
              <w:autoSpaceDE w:val="0"/>
              <w:autoSpaceDN w:val="0"/>
              <w:adjustRightInd w:val="0"/>
              <w:jc w:val="center"/>
              <w:textAlignment w:val="baseline"/>
              <w:rPr>
                <w:del w:id="2119" w:author="AbbVie19" w:date="2025-04-16T10:35:00Z"/>
                <w:iCs/>
                <w:szCs w:val="20"/>
              </w:rPr>
            </w:pPr>
            <w:del w:id="2120" w:author="AbbVie19" w:date="2025-04-16T10:35:00Z">
              <w:r w:rsidRPr="00BC0E7E">
                <w:rPr>
                  <w:b/>
                  <w:iCs/>
                  <w:szCs w:val="20"/>
                </w:rPr>
                <w:delText xml:space="preserve">Table </w:delText>
              </w:r>
              <w:r w:rsidR="00C25049">
                <w:rPr>
                  <w:b/>
                  <w:iCs/>
                  <w:szCs w:val="20"/>
                </w:rPr>
                <w:delText>1</w:delText>
              </w:r>
              <w:r w:rsidR="005F03EC">
                <w:rPr>
                  <w:b/>
                  <w:iCs/>
                  <w:szCs w:val="20"/>
                </w:rPr>
                <w:delText>3</w:delText>
              </w:r>
            </w:del>
          </w:p>
          <w:p w14:paraId="1F922CF9" w14:textId="77777777" w:rsidR="00BC0E7E" w:rsidRPr="003F7AAE" w:rsidRDefault="00944B8F" w:rsidP="00BC0E7E">
            <w:pPr>
              <w:keepNext/>
              <w:tabs>
                <w:tab w:val="clear" w:pos="562"/>
              </w:tabs>
              <w:suppressAutoHyphens w:val="0"/>
              <w:overflowPunct w:val="0"/>
              <w:autoSpaceDE w:val="0"/>
              <w:autoSpaceDN w:val="0"/>
              <w:adjustRightInd w:val="0"/>
              <w:jc w:val="center"/>
              <w:textAlignment w:val="baseline"/>
              <w:rPr>
                <w:del w:id="2121" w:author="AbbVie19" w:date="2025-04-16T10:35:00Z"/>
                <w:iCs/>
                <w:szCs w:val="20"/>
              </w:rPr>
            </w:pPr>
            <w:del w:id="2122" w:author="AbbVie19" w:date="2025-04-16T10:35:00Z">
              <w:r w:rsidRPr="00BC0E7E">
                <w:rPr>
                  <w:b/>
                  <w:iCs/>
                  <w:szCs w:val="20"/>
                </w:rPr>
                <w:delText xml:space="preserve"> Ps Study II (CHAMPION) Efficacy Results at 16 Weeks</w:delText>
              </w:r>
            </w:del>
          </w:p>
          <w:p w14:paraId="45D40900" w14:textId="77777777" w:rsidR="00BC0E7E" w:rsidRPr="00BC0E7E" w:rsidRDefault="00BC0E7E" w:rsidP="00BC0E7E">
            <w:pPr>
              <w:keepNext/>
              <w:tabs>
                <w:tab w:val="clear" w:pos="562"/>
              </w:tabs>
              <w:suppressAutoHyphens w:val="0"/>
              <w:overflowPunct w:val="0"/>
              <w:autoSpaceDE w:val="0"/>
              <w:autoSpaceDN w:val="0"/>
              <w:adjustRightInd w:val="0"/>
              <w:jc w:val="center"/>
              <w:textAlignment w:val="baseline"/>
              <w:rPr>
                <w:del w:id="2123" w:author="AbbVie19" w:date="2025-04-16T10:35:00Z"/>
                <w:bCs/>
                <w:iCs/>
                <w:szCs w:val="20"/>
              </w:rPr>
            </w:pPr>
          </w:p>
        </w:tc>
      </w:tr>
      <w:tr w:rsidR="00C6578C" w14:paraId="7973F150" w14:textId="77777777" w:rsidTr="00171601">
        <w:trPr>
          <w:cantSplit/>
          <w:jc w:val="center"/>
          <w:del w:id="2124" w:author="AbbVie19" w:date="2025-04-16T10:35:00Z"/>
        </w:trPr>
        <w:tc>
          <w:tcPr>
            <w:tcW w:w="1639" w:type="dxa"/>
          </w:tcPr>
          <w:p w14:paraId="6AD4FF4B" w14:textId="77777777" w:rsidR="00BC0E7E" w:rsidRPr="00BC0E7E" w:rsidRDefault="00BC0E7E" w:rsidP="00BC0E7E">
            <w:pPr>
              <w:keepNext/>
              <w:tabs>
                <w:tab w:val="clear" w:pos="562"/>
              </w:tabs>
              <w:suppressAutoHyphens w:val="0"/>
              <w:overflowPunct w:val="0"/>
              <w:autoSpaceDE w:val="0"/>
              <w:autoSpaceDN w:val="0"/>
              <w:adjustRightInd w:val="0"/>
              <w:jc w:val="center"/>
              <w:textAlignment w:val="baseline"/>
              <w:rPr>
                <w:del w:id="2125" w:author="AbbVie19" w:date="2025-04-16T10:35:00Z"/>
                <w:b/>
                <w:iCs/>
                <w:szCs w:val="20"/>
              </w:rPr>
            </w:pPr>
          </w:p>
        </w:tc>
        <w:tc>
          <w:tcPr>
            <w:tcW w:w="1668" w:type="dxa"/>
            <w:vAlign w:val="center"/>
          </w:tcPr>
          <w:p w14:paraId="0852DBF5"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26" w:author="AbbVie19" w:date="2025-04-16T10:35:00Z"/>
                <w:b/>
                <w:iCs/>
                <w:szCs w:val="20"/>
              </w:rPr>
            </w:pPr>
            <w:del w:id="2127" w:author="AbbVie19" w:date="2025-04-16T10:35:00Z">
              <w:r w:rsidRPr="00BC0E7E">
                <w:rPr>
                  <w:b/>
                  <w:iCs/>
                  <w:szCs w:val="20"/>
                </w:rPr>
                <w:delText>Placebo</w:delText>
              </w:r>
            </w:del>
          </w:p>
          <w:p w14:paraId="6DCCF548"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28" w:author="AbbVie19" w:date="2025-04-16T10:35:00Z"/>
                <w:b/>
                <w:iCs/>
                <w:szCs w:val="20"/>
              </w:rPr>
            </w:pPr>
            <w:del w:id="2129" w:author="AbbVie19" w:date="2025-04-16T10:35:00Z">
              <w:r w:rsidRPr="00BC0E7E">
                <w:rPr>
                  <w:b/>
                  <w:iCs/>
                  <w:szCs w:val="20"/>
                </w:rPr>
                <w:delText>N=53</w:delText>
              </w:r>
            </w:del>
          </w:p>
          <w:p w14:paraId="6AEABC98"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30" w:author="AbbVie19" w:date="2025-04-16T10:35:00Z"/>
                <w:b/>
                <w:iCs/>
                <w:szCs w:val="20"/>
              </w:rPr>
            </w:pPr>
            <w:del w:id="2131" w:author="AbbVie19" w:date="2025-04-16T10:35:00Z">
              <w:r w:rsidRPr="00BC0E7E">
                <w:rPr>
                  <w:b/>
                  <w:iCs/>
                  <w:szCs w:val="20"/>
                </w:rPr>
                <w:delText>n (%)</w:delText>
              </w:r>
            </w:del>
          </w:p>
        </w:tc>
        <w:tc>
          <w:tcPr>
            <w:tcW w:w="1347" w:type="dxa"/>
            <w:vAlign w:val="center"/>
          </w:tcPr>
          <w:p w14:paraId="4A5213B8"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32" w:author="AbbVie19" w:date="2025-04-16T10:35:00Z"/>
                <w:b/>
                <w:iCs/>
                <w:szCs w:val="20"/>
              </w:rPr>
            </w:pPr>
            <w:del w:id="2133" w:author="AbbVie19" w:date="2025-04-16T10:35:00Z">
              <w:r w:rsidRPr="00BC0E7E">
                <w:rPr>
                  <w:b/>
                  <w:iCs/>
                  <w:szCs w:val="20"/>
                </w:rPr>
                <w:delText>MTX</w:delText>
              </w:r>
            </w:del>
          </w:p>
          <w:p w14:paraId="49CB6777"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34" w:author="AbbVie19" w:date="2025-04-16T10:35:00Z"/>
                <w:b/>
                <w:iCs/>
                <w:szCs w:val="20"/>
              </w:rPr>
            </w:pPr>
            <w:del w:id="2135" w:author="AbbVie19" w:date="2025-04-16T10:35:00Z">
              <w:r w:rsidRPr="00BC0E7E">
                <w:rPr>
                  <w:b/>
                  <w:iCs/>
                  <w:szCs w:val="20"/>
                </w:rPr>
                <w:delText>N=110</w:delText>
              </w:r>
            </w:del>
          </w:p>
          <w:p w14:paraId="1B4D101B"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36" w:author="AbbVie19" w:date="2025-04-16T10:35:00Z"/>
                <w:b/>
                <w:iCs/>
                <w:szCs w:val="20"/>
              </w:rPr>
            </w:pPr>
            <w:del w:id="2137" w:author="AbbVie19" w:date="2025-04-16T10:35:00Z">
              <w:r w:rsidRPr="00BC0E7E">
                <w:rPr>
                  <w:b/>
                  <w:iCs/>
                  <w:szCs w:val="20"/>
                </w:rPr>
                <w:delText>n (%)</w:delText>
              </w:r>
            </w:del>
          </w:p>
        </w:tc>
        <w:tc>
          <w:tcPr>
            <w:tcW w:w="2392" w:type="dxa"/>
            <w:vAlign w:val="center"/>
          </w:tcPr>
          <w:p w14:paraId="766FA769"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38" w:author="AbbVie19" w:date="2025-04-16T10:35:00Z"/>
                <w:b/>
                <w:iCs/>
                <w:szCs w:val="20"/>
                <w:lang w:val="it-IT"/>
              </w:rPr>
            </w:pPr>
            <w:del w:id="2139" w:author="AbbVie19" w:date="2025-04-16T10:35:00Z">
              <w:r w:rsidRPr="00BC0E7E">
                <w:rPr>
                  <w:b/>
                  <w:iCs/>
                  <w:szCs w:val="20"/>
                  <w:lang w:val="it-IT"/>
                </w:rPr>
                <w:delText>Humira 40 mg eow</w:delText>
              </w:r>
            </w:del>
          </w:p>
          <w:p w14:paraId="34764B8D"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40" w:author="AbbVie19" w:date="2025-04-16T10:35:00Z"/>
                <w:b/>
                <w:iCs/>
                <w:szCs w:val="20"/>
                <w:lang w:val="it-IT"/>
              </w:rPr>
            </w:pPr>
            <w:del w:id="2141" w:author="AbbVie19" w:date="2025-04-16T10:35:00Z">
              <w:r w:rsidRPr="00BC0E7E">
                <w:rPr>
                  <w:b/>
                  <w:iCs/>
                  <w:szCs w:val="20"/>
                  <w:lang w:val="it-IT"/>
                </w:rPr>
                <w:delText>N=108</w:delText>
              </w:r>
            </w:del>
          </w:p>
          <w:p w14:paraId="393D22FC"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42" w:author="AbbVie19" w:date="2025-04-16T10:35:00Z"/>
                <w:b/>
                <w:iCs/>
                <w:szCs w:val="20"/>
                <w:lang w:val="it-IT"/>
              </w:rPr>
            </w:pPr>
            <w:del w:id="2143" w:author="AbbVie19" w:date="2025-04-16T10:35:00Z">
              <w:r w:rsidRPr="00BC0E7E">
                <w:rPr>
                  <w:b/>
                  <w:iCs/>
                  <w:szCs w:val="20"/>
                  <w:lang w:val="it-IT"/>
                </w:rPr>
                <w:delText>n (%)</w:delText>
              </w:r>
            </w:del>
          </w:p>
        </w:tc>
      </w:tr>
      <w:tr w:rsidR="00C6578C" w14:paraId="48E91E33" w14:textId="77777777" w:rsidTr="00171601">
        <w:trPr>
          <w:cantSplit/>
          <w:jc w:val="center"/>
          <w:del w:id="2144" w:author="AbbVie19" w:date="2025-04-16T10:35:00Z"/>
        </w:trPr>
        <w:tc>
          <w:tcPr>
            <w:tcW w:w="1639" w:type="dxa"/>
          </w:tcPr>
          <w:p w14:paraId="6FFD8D1C" w14:textId="77777777" w:rsidR="00BC0E7E" w:rsidRPr="00BC0E7E" w:rsidRDefault="00944B8F" w:rsidP="00BC0E7E">
            <w:pPr>
              <w:keepNext/>
              <w:tabs>
                <w:tab w:val="clear" w:pos="562"/>
              </w:tabs>
              <w:suppressAutoHyphens w:val="0"/>
              <w:overflowPunct w:val="0"/>
              <w:autoSpaceDE w:val="0"/>
              <w:autoSpaceDN w:val="0"/>
              <w:adjustRightInd w:val="0"/>
              <w:textAlignment w:val="baseline"/>
              <w:rPr>
                <w:del w:id="2145" w:author="AbbVie19" w:date="2025-04-16T10:35:00Z"/>
                <w:b/>
                <w:iCs/>
                <w:szCs w:val="20"/>
                <w:lang w:val="it-IT"/>
              </w:rPr>
            </w:pPr>
            <w:del w:id="2146" w:author="AbbVie19" w:date="2025-04-16T10:35:00Z">
              <w:r w:rsidRPr="00BC0E7E">
                <w:rPr>
                  <w:b/>
                  <w:iCs/>
                  <w:szCs w:val="20"/>
                  <w:lang w:val="it-IT"/>
                </w:rPr>
                <w:delText xml:space="preserve">    </w:delText>
              </w:r>
              <w:r w:rsidRPr="00BC0E7E">
                <w:rPr>
                  <w:rFonts w:ascii="Symbol" w:eastAsia="Symbol" w:hAnsi="Symbol" w:cs="Symbol"/>
                  <w:b/>
                  <w:szCs w:val="22"/>
                </w:rPr>
                <w:sym w:font="Symbol" w:char="F0B3"/>
              </w:r>
              <w:r w:rsidRPr="00BC0E7E">
                <w:rPr>
                  <w:b/>
                  <w:iCs/>
                  <w:szCs w:val="20"/>
                  <w:lang w:val="it-IT"/>
                </w:rPr>
                <w:delText>PASI 75</w:delText>
              </w:r>
            </w:del>
          </w:p>
        </w:tc>
        <w:tc>
          <w:tcPr>
            <w:tcW w:w="1668" w:type="dxa"/>
          </w:tcPr>
          <w:p w14:paraId="6D1B5F88"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47" w:author="AbbVie19" w:date="2025-04-16T10:35:00Z"/>
                <w:bCs/>
                <w:iCs/>
                <w:szCs w:val="20"/>
                <w:lang w:val="it-IT"/>
              </w:rPr>
            </w:pPr>
            <w:del w:id="2148" w:author="AbbVie19" w:date="2025-04-16T10:35:00Z">
              <w:r w:rsidRPr="00BC0E7E">
                <w:rPr>
                  <w:bCs/>
                  <w:iCs/>
                  <w:szCs w:val="20"/>
                  <w:lang w:val="it-IT"/>
                </w:rPr>
                <w:delText>10 (18.9)</w:delText>
              </w:r>
            </w:del>
          </w:p>
        </w:tc>
        <w:tc>
          <w:tcPr>
            <w:tcW w:w="1347" w:type="dxa"/>
          </w:tcPr>
          <w:p w14:paraId="4E2CE80E"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49" w:author="AbbVie19" w:date="2025-04-16T10:35:00Z"/>
                <w:bCs/>
                <w:iCs/>
                <w:szCs w:val="20"/>
                <w:lang w:val="it-IT"/>
              </w:rPr>
            </w:pPr>
            <w:del w:id="2150" w:author="AbbVie19" w:date="2025-04-16T10:35:00Z">
              <w:r w:rsidRPr="00BC0E7E">
                <w:rPr>
                  <w:bCs/>
                  <w:iCs/>
                  <w:szCs w:val="20"/>
                  <w:lang w:val="it-IT"/>
                </w:rPr>
                <w:delText>39 (35.5)</w:delText>
              </w:r>
            </w:del>
          </w:p>
        </w:tc>
        <w:tc>
          <w:tcPr>
            <w:tcW w:w="2392" w:type="dxa"/>
          </w:tcPr>
          <w:p w14:paraId="2BCF4079"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51" w:author="AbbVie19" w:date="2025-04-16T10:35:00Z"/>
                <w:bCs/>
                <w:iCs/>
                <w:szCs w:val="20"/>
                <w:lang w:val="it-IT"/>
              </w:rPr>
            </w:pPr>
            <w:del w:id="2152" w:author="AbbVie19" w:date="2025-04-16T10:35:00Z">
              <w:r w:rsidRPr="00BC0E7E">
                <w:rPr>
                  <w:bCs/>
                  <w:iCs/>
                  <w:szCs w:val="20"/>
                  <w:lang w:val="it-IT"/>
                </w:rPr>
                <w:delText>86 (79.6)</w:delText>
              </w:r>
              <w:r w:rsidRPr="00BC0E7E">
                <w:rPr>
                  <w:bCs/>
                  <w:iCs/>
                  <w:szCs w:val="20"/>
                  <w:vertAlign w:val="superscript"/>
                  <w:lang w:val="it-IT"/>
                </w:rPr>
                <w:delText xml:space="preserve"> a, b</w:delText>
              </w:r>
            </w:del>
          </w:p>
        </w:tc>
      </w:tr>
      <w:tr w:rsidR="00C6578C" w14:paraId="6010E4D1" w14:textId="77777777" w:rsidTr="00171601">
        <w:trPr>
          <w:cantSplit/>
          <w:jc w:val="center"/>
          <w:del w:id="2153" w:author="AbbVie19" w:date="2025-04-16T10:35:00Z"/>
        </w:trPr>
        <w:tc>
          <w:tcPr>
            <w:tcW w:w="1639" w:type="dxa"/>
          </w:tcPr>
          <w:p w14:paraId="323865DE" w14:textId="77777777" w:rsidR="00BC0E7E" w:rsidRPr="00BC0E7E" w:rsidRDefault="00944B8F" w:rsidP="00BC0E7E">
            <w:pPr>
              <w:keepNext/>
              <w:tabs>
                <w:tab w:val="clear" w:pos="562"/>
              </w:tabs>
              <w:suppressAutoHyphens w:val="0"/>
              <w:overflowPunct w:val="0"/>
              <w:autoSpaceDE w:val="0"/>
              <w:autoSpaceDN w:val="0"/>
              <w:adjustRightInd w:val="0"/>
              <w:textAlignment w:val="baseline"/>
              <w:rPr>
                <w:del w:id="2154" w:author="AbbVie19" w:date="2025-04-16T10:35:00Z"/>
                <w:b/>
                <w:iCs/>
                <w:szCs w:val="20"/>
                <w:lang w:val="it-IT"/>
              </w:rPr>
            </w:pPr>
            <w:del w:id="2155" w:author="AbbVie19" w:date="2025-04-16T10:35:00Z">
              <w:r w:rsidRPr="00BC0E7E">
                <w:rPr>
                  <w:b/>
                  <w:iCs/>
                  <w:szCs w:val="20"/>
                  <w:lang w:val="it-IT"/>
                </w:rPr>
                <w:delText xml:space="preserve">    PASI 100</w:delText>
              </w:r>
            </w:del>
          </w:p>
        </w:tc>
        <w:tc>
          <w:tcPr>
            <w:tcW w:w="1668" w:type="dxa"/>
          </w:tcPr>
          <w:p w14:paraId="38A8B93C"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56" w:author="AbbVie19" w:date="2025-04-16T10:35:00Z"/>
                <w:bCs/>
                <w:iCs/>
                <w:szCs w:val="20"/>
              </w:rPr>
            </w:pPr>
            <w:del w:id="2157" w:author="AbbVie19" w:date="2025-04-16T10:35:00Z">
              <w:r w:rsidRPr="00BC0E7E">
                <w:rPr>
                  <w:bCs/>
                  <w:iCs/>
                  <w:szCs w:val="20"/>
                </w:rPr>
                <w:delText>1 (1.9)</w:delText>
              </w:r>
            </w:del>
          </w:p>
        </w:tc>
        <w:tc>
          <w:tcPr>
            <w:tcW w:w="1347" w:type="dxa"/>
          </w:tcPr>
          <w:p w14:paraId="3BD7067E"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58" w:author="AbbVie19" w:date="2025-04-16T10:35:00Z"/>
                <w:bCs/>
                <w:iCs/>
                <w:szCs w:val="20"/>
              </w:rPr>
            </w:pPr>
            <w:del w:id="2159" w:author="AbbVie19" w:date="2025-04-16T10:35:00Z">
              <w:r w:rsidRPr="00BC0E7E">
                <w:rPr>
                  <w:bCs/>
                  <w:iCs/>
                  <w:szCs w:val="20"/>
                </w:rPr>
                <w:delText>8 (7.3)</w:delText>
              </w:r>
            </w:del>
          </w:p>
        </w:tc>
        <w:tc>
          <w:tcPr>
            <w:tcW w:w="2392" w:type="dxa"/>
          </w:tcPr>
          <w:p w14:paraId="4320E57E"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60" w:author="AbbVie19" w:date="2025-04-16T10:35:00Z"/>
                <w:bCs/>
                <w:iCs/>
                <w:szCs w:val="20"/>
              </w:rPr>
            </w:pPr>
            <w:del w:id="2161" w:author="AbbVie19" w:date="2025-04-16T10:35:00Z">
              <w:r w:rsidRPr="00BC0E7E">
                <w:rPr>
                  <w:bCs/>
                  <w:iCs/>
                  <w:szCs w:val="20"/>
                </w:rPr>
                <w:delText>18 (16.7)</w:delText>
              </w:r>
              <w:r w:rsidRPr="00BC0E7E">
                <w:rPr>
                  <w:bCs/>
                  <w:iCs/>
                  <w:szCs w:val="20"/>
                  <w:vertAlign w:val="superscript"/>
                </w:rPr>
                <w:delText xml:space="preserve"> c, d</w:delText>
              </w:r>
            </w:del>
          </w:p>
        </w:tc>
      </w:tr>
      <w:tr w:rsidR="00C6578C" w14:paraId="04679889" w14:textId="77777777" w:rsidTr="00171601">
        <w:trPr>
          <w:cantSplit/>
          <w:jc w:val="center"/>
          <w:del w:id="2162" w:author="AbbVie19" w:date="2025-04-16T10:35:00Z"/>
        </w:trPr>
        <w:tc>
          <w:tcPr>
            <w:tcW w:w="1639" w:type="dxa"/>
          </w:tcPr>
          <w:p w14:paraId="03272229" w14:textId="77777777" w:rsidR="00BC0E7E" w:rsidRPr="00BC0E7E" w:rsidRDefault="00944B8F" w:rsidP="00BC0E7E">
            <w:pPr>
              <w:keepNext/>
              <w:tabs>
                <w:tab w:val="clear" w:pos="562"/>
              </w:tabs>
              <w:suppressAutoHyphens w:val="0"/>
              <w:overflowPunct w:val="0"/>
              <w:autoSpaceDE w:val="0"/>
              <w:autoSpaceDN w:val="0"/>
              <w:adjustRightInd w:val="0"/>
              <w:textAlignment w:val="baseline"/>
              <w:rPr>
                <w:del w:id="2163" w:author="AbbVie19" w:date="2025-04-16T10:35:00Z"/>
                <w:b/>
                <w:iCs/>
                <w:szCs w:val="20"/>
              </w:rPr>
            </w:pPr>
            <w:del w:id="2164" w:author="AbbVie19" w:date="2025-04-16T10:35:00Z">
              <w:r w:rsidRPr="00BC0E7E">
                <w:rPr>
                  <w:b/>
                  <w:iCs/>
                  <w:szCs w:val="20"/>
                </w:rPr>
                <w:delText xml:space="preserve">    PGA: Clear/minimal</w:delText>
              </w:r>
            </w:del>
          </w:p>
        </w:tc>
        <w:tc>
          <w:tcPr>
            <w:tcW w:w="1668" w:type="dxa"/>
          </w:tcPr>
          <w:p w14:paraId="0F563885"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65" w:author="AbbVie19" w:date="2025-04-16T10:35:00Z"/>
                <w:bCs/>
                <w:iCs/>
                <w:szCs w:val="20"/>
              </w:rPr>
            </w:pPr>
            <w:del w:id="2166" w:author="AbbVie19" w:date="2025-04-16T10:35:00Z">
              <w:r w:rsidRPr="00BC0E7E">
                <w:rPr>
                  <w:bCs/>
                  <w:iCs/>
                  <w:szCs w:val="20"/>
                </w:rPr>
                <w:delText>6 (11.3)</w:delText>
              </w:r>
            </w:del>
          </w:p>
        </w:tc>
        <w:tc>
          <w:tcPr>
            <w:tcW w:w="1347" w:type="dxa"/>
          </w:tcPr>
          <w:p w14:paraId="79C2ED94"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67" w:author="AbbVie19" w:date="2025-04-16T10:35:00Z"/>
                <w:bCs/>
                <w:iCs/>
                <w:szCs w:val="20"/>
              </w:rPr>
            </w:pPr>
            <w:del w:id="2168" w:author="AbbVie19" w:date="2025-04-16T10:35:00Z">
              <w:r w:rsidRPr="00BC0E7E">
                <w:rPr>
                  <w:bCs/>
                  <w:iCs/>
                  <w:szCs w:val="20"/>
                </w:rPr>
                <w:delText>33 (30.0)</w:delText>
              </w:r>
            </w:del>
          </w:p>
        </w:tc>
        <w:tc>
          <w:tcPr>
            <w:tcW w:w="2392" w:type="dxa"/>
          </w:tcPr>
          <w:p w14:paraId="46213E80"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del w:id="2169" w:author="AbbVie19" w:date="2025-04-16T10:35:00Z"/>
                <w:bCs/>
                <w:iCs/>
                <w:szCs w:val="20"/>
              </w:rPr>
            </w:pPr>
            <w:del w:id="2170" w:author="AbbVie19" w:date="2025-04-16T10:35:00Z">
              <w:r w:rsidRPr="00BC0E7E">
                <w:rPr>
                  <w:bCs/>
                  <w:iCs/>
                  <w:szCs w:val="20"/>
                </w:rPr>
                <w:delText>79 (73.1)</w:delText>
              </w:r>
              <w:r w:rsidRPr="00BC0E7E">
                <w:rPr>
                  <w:bCs/>
                  <w:iCs/>
                  <w:szCs w:val="20"/>
                  <w:vertAlign w:val="superscript"/>
                </w:rPr>
                <w:delText xml:space="preserve"> a, b</w:delText>
              </w:r>
            </w:del>
          </w:p>
        </w:tc>
      </w:tr>
      <w:tr w:rsidR="00C6578C" w14:paraId="4A382AE6" w14:textId="77777777" w:rsidTr="00171601">
        <w:trPr>
          <w:cantSplit/>
          <w:jc w:val="center"/>
          <w:del w:id="2171" w:author="AbbVie19" w:date="2025-04-16T10:35:00Z"/>
        </w:trPr>
        <w:tc>
          <w:tcPr>
            <w:tcW w:w="7046" w:type="dxa"/>
            <w:gridSpan w:val="4"/>
          </w:tcPr>
          <w:p w14:paraId="15535FB1" w14:textId="77777777" w:rsidR="00BC0E7E" w:rsidRPr="0083028C" w:rsidRDefault="00944B8F" w:rsidP="00BC0E7E">
            <w:pPr>
              <w:keepNext/>
              <w:tabs>
                <w:tab w:val="clear" w:pos="562"/>
              </w:tabs>
              <w:suppressAutoHyphens w:val="0"/>
              <w:overflowPunct w:val="0"/>
              <w:autoSpaceDE w:val="0"/>
              <w:autoSpaceDN w:val="0"/>
              <w:adjustRightInd w:val="0"/>
              <w:textAlignment w:val="baseline"/>
              <w:rPr>
                <w:del w:id="2172" w:author="AbbVie19" w:date="2025-04-16T10:35:00Z"/>
                <w:bCs/>
                <w:iCs/>
                <w:szCs w:val="20"/>
              </w:rPr>
            </w:pPr>
            <w:del w:id="2173" w:author="AbbVie19" w:date="2025-04-16T10:35:00Z">
              <w:r w:rsidRPr="0083028C">
                <w:rPr>
                  <w:bCs/>
                  <w:iCs/>
                  <w:szCs w:val="20"/>
                  <w:vertAlign w:val="superscript"/>
                </w:rPr>
                <w:delText>a</w:delText>
              </w:r>
              <w:r w:rsidRPr="0083028C">
                <w:rPr>
                  <w:bCs/>
                  <w:iCs/>
                  <w:szCs w:val="20"/>
                </w:rPr>
                <w:delText xml:space="preserve"> p&lt;0.001 Humira vs. placebo</w:delText>
              </w:r>
            </w:del>
          </w:p>
          <w:p w14:paraId="3A8ACB50" w14:textId="77777777" w:rsidR="00BC0E7E" w:rsidRPr="0083028C" w:rsidRDefault="00944B8F" w:rsidP="00BC0E7E">
            <w:pPr>
              <w:keepNext/>
              <w:tabs>
                <w:tab w:val="clear" w:pos="562"/>
              </w:tabs>
              <w:suppressAutoHyphens w:val="0"/>
              <w:overflowPunct w:val="0"/>
              <w:autoSpaceDE w:val="0"/>
              <w:autoSpaceDN w:val="0"/>
              <w:adjustRightInd w:val="0"/>
              <w:textAlignment w:val="baseline"/>
              <w:rPr>
                <w:del w:id="2174" w:author="AbbVie19" w:date="2025-04-16T10:35:00Z"/>
                <w:bCs/>
                <w:iCs/>
                <w:szCs w:val="20"/>
              </w:rPr>
            </w:pPr>
            <w:del w:id="2175" w:author="AbbVie19" w:date="2025-04-16T10:35:00Z">
              <w:r w:rsidRPr="0083028C">
                <w:rPr>
                  <w:bCs/>
                  <w:iCs/>
                  <w:szCs w:val="20"/>
                  <w:vertAlign w:val="superscript"/>
                </w:rPr>
                <w:delText>b</w:delText>
              </w:r>
              <w:r w:rsidRPr="0083028C">
                <w:rPr>
                  <w:bCs/>
                  <w:iCs/>
                  <w:szCs w:val="20"/>
                </w:rPr>
                <w:delText xml:space="preserve"> p&lt;0.001 Humira vs. methotrexate</w:delText>
              </w:r>
            </w:del>
          </w:p>
          <w:p w14:paraId="79A696DF" w14:textId="77777777" w:rsidR="00BC0E7E" w:rsidRPr="0083028C" w:rsidRDefault="00944B8F" w:rsidP="00BC0E7E">
            <w:pPr>
              <w:keepNext/>
              <w:tabs>
                <w:tab w:val="clear" w:pos="562"/>
              </w:tabs>
              <w:suppressAutoHyphens w:val="0"/>
              <w:overflowPunct w:val="0"/>
              <w:autoSpaceDE w:val="0"/>
              <w:autoSpaceDN w:val="0"/>
              <w:adjustRightInd w:val="0"/>
              <w:textAlignment w:val="baseline"/>
              <w:rPr>
                <w:del w:id="2176" w:author="AbbVie19" w:date="2025-04-16T10:35:00Z"/>
                <w:bCs/>
                <w:iCs/>
                <w:szCs w:val="20"/>
              </w:rPr>
            </w:pPr>
            <w:del w:id="2177" w:author="AbbVie19" w:date="2025-04-16T10:35:00Z">
              <w:r w:rsidRPr="0083028C">
                <w:rPr>
                  <w:bCs/>
                  <w:iCs/>
                  <w:szCs w:val="20"/>
                  <w:vertAlign w:val="superscript"/>
                </w:rPr>
                <w:delText>c</w:delText>
              </w:r>
              <w:r w:rsidRPr="0083028C">
                <w:rPr>
                  <w:bCs/>
                  <w:iCs/>
                  <w:szCs w:val="20"/>
                </w:rPr>
                <w:delText xml:space="preserve"> p&lt;0.01 Humira vs. placebo</w:delText>
              </w:r>
            </w:del>
          </w:p>
          <w:p w14:paraId="06F6EEEA" w14:textId="77777777" w:rsidR="00BC0E7E" w:rsidRPr="00762FA7" w:rsidRDefault="00944B8F" w:rsidP="00BC0E7E">
            <w:pPr>
              <w:keepNext/>
              <w:tabs>
                <w:tab w:val="clear" w:pos="562"/>
              </w:tabs>
              <w:suppressAutoHyphens w:val="0"/>
              <w:overflowPunct w:val="0"/>
              <w:autoSpaceDE w:val="0"/>
              <w:autoSpaceDN w:val="0"/>
              <w:adjustRightInd w:val="0"/>
              <w:textAlignment w:val="baseline"/>
              <w:rPr>
                <w:del w:id="2178" w:author="AbbVie19" w:date="2025-04-16T10:35:00Z"/>
                <w:bCs/>
                <w:iCs/>
                <w:szCs w:val="20"/>
                <w:lang w:val="fr-FR"/>
              </w:rPr>
            </w:pPr>
            <w:del w:id="2179" w:author="AbbVie19" w:date="2025-04-16T10:35:00Z">
              <w:r w:rsidRPr="00762FA7">
                <w:rPr>
                  <w:bCs/>
                  <w:iCs/>
                  <w:szCs w:val="20"/>
                  <w:vertAlign w:val="superscript"/>
                  <w:lang w:val="fr-FR"/>
                </w:rPr>
                <w:delText>d</w:delText>
              </w:r>
              <w:r w:rsidRPr="00762FA7">
                <w:rPr>
                  <w:bCs/>
                  <w:iCs/>
                  <w:szCs w:val="20"/>
                  <w:lang w:val="fr-FR"/>
                </w:rPr>
                <w:delText xml:space="preserve"> p&lt;0.05 Humira vs. methotrexate</w:delText>
              </w:r>
            </w:del>
          </w:p>
        </w:tc>
      </w:tr>
    </w:tbl>
    <w:p w14:paraId="67D2939E" w14:textId="77777777" w:rsidR="00BC0E7E" w:rsidRPr="00762FA7" w:rsidRDefault="00BC0E7E" w:rsidP="00BC0E7E">
      <w:pPr>
        <w:keepNext/>
        <w:rPr>
          <w:del w:id="2180" w:author="AbbVie19" w:date="2025-04-16T10:35:00Z"/>
          <w:bCs/>
          <w:szCs w:val="22"/>
          <w:lang w:val="fr-FR"/>
        </w:rPr>
      </w:pPr>
    </w:p>
    <w:p w14:paraId="1475FAFA" w14:textId="77777777" w:rsidR="00BC0E7E" w:rsidRPr="00BC0E7E" w:rsidRDefault="00944B8F" w:rsidP="00BC0E7E">
      <w:pPr>
        <w:rPr>
          <w:del w:id="2181" w:author="AbbVie19" w:date="2025-04-16T10:35:00Z"/>
          <w:szCs w:val="22"/>
        </w:rPr>
      </w:pPr>
      <w:del w:id="2182" w:author="AbbVie19" w:date="2025-04-16T10:35:00Z">
        <w:r w:rsidRPr="00BC0E7E">
          <w:rPr>
            <w:szCs w:val="22"/>
          </w:rPr>
          <w:delText xml:space="preserve">In </w:delText>
        </w:r>
        <w:r w:rsidRPr="00BC0E7E">
          <w:rPr>
            <w:iCs/>
          </w:rPr>
          <w:delText xml:space="preserve">Psoriasis </w:delText>
        </w:r>
        <w:r w:rsidRPr="00BC0E7E">
          <w:rPr>
            <w:szCs w:val="22"/>
          </w:rPr>
          <w:delText>Study I, 28% of patients who were PASI 75 responders and were re-randomised to placebo at Week 33 compared to 5% continuing on Humira, p&lt;0.001, experienced “loss of adequate response”</w:delText>
        </w:r>
        <w:r w:rsidRPr="00BC0E7E">
          <w:rPr>
            <w:iCs/>
          </w:rPr>
          <w:delText xml:space="preserve"> (PASI score after Week 33 and on or before Week 52 that resulted in a &lt;PASI 50 response relative to baseline with a minimum of a 6</w:delText>
        </w:r>
        <w:r w:rsidRPr="00BC0E7E">
          <w:rPr>
            <w:iCs/>
          </w:rPr>
          <w:noBreakHyphen/>
          <w:delText>point increase in PASI score relative to Week 33)</w:delText>
        </w:r>
        <w:r w:rsidRPr="00BC0E7E">
          <w:rPr>
            <w:szCs w:val="22"/>
          </w:rPr>
          <w:delText>. Of the patients who lost adequate response after re-randomisation to placebo who then enrolled into the open-label extension trial, 38% (25/66) and 55% (36/66) regained PASI 75 response after 12 and 24 weeks of re-treatment, respectively.</w:delText>
        </w:r>
      </w:del>
    </w:p>
    <w:p w14:paraId="0D2A15DA" w14:textId="77777777" w:rsidR="00BC0E7E" w:rsidRPr="00BC0E7E" w:rsidRDefault="00BC0E7E" w:rsidP="00BC0E7E">
      <w:pPr>
        <w:rPr>
          <w:del w:id="2183" w:author="AbbVie19" w:date="2025-04-16T10:35:00Z"/>
          <w:szCs w:val="22"/>
        </w:rPr>
      </w:pPr>
    </w:p>
    <w:p w14:paraId="2294F52F" w14:textId="77777777" w:rsidR="00BC0E7E" w:rsidRPr="00BC0E7E" w:rsidRDefault="00944B8F" w:rsidP="00BC0E7E">
      <w:pPr>
        <w:rPr>
          <w:del w:id="2184" w:author="AbbVie19" w:date="2025-04-16T10:35:00Z"/>
          <w:szCs w:val="22"/>
        </w:rPr>
      </w:pPr>
      <w:del w:id="2185" w:author="AbbVie19" w:date="2025-04-16T10:35:00Z">
        <w:r w:rsidRPr="00BC0E7E">
          <w:rPr>
            <w:szCs w:val="22"/>
          </w:rPr>
          <w:delText>A total of 233 PASI 75 responders at Week 16 and Week 33 received continuous Humira therapy for 52 weeks in Psoriasis Study I, and continued Humira in the open-label extension trial. PASI 75 and PGA of clear or minimal response rates in these patients were 74.7% and 59.0%, respectively, after an additional 108 weeks of open-label therapy (total of 160 weeks). In an analysis in which all patients who dropped out of the study for adverse events or lack of efficacy, or who dose-escalated, were considered non-responders, PASI 75 and PGA of clear or minimal response rates in these patients were 69.6% and 55.7%, respectively, after an additional 108 weeks of open-label therapy (total of 160 weeks).</w:delText>
        </w:r>
      </w:del>
    </w:p>
    <w:p w14:paraId="478ECD43" w14:textId="77777777" w:rsidR="00BC0E7E" w:rsidRPr="00BC0E7E" w:rsidRDefault="00BC0E7E" w:rsidP="00BC0E7E">
      <w:pPr>
        <w:rPr>
          <w:del w:id="2186" w:author="AbbVie19" w:date="2025-04-16T10:35:00Z"/>
          <w:szCs w:val="22"/>
        </w:rPr>
      </w:pPr>
    </w:p>
    <w:p w14:paraId="4C655E3A" w14:textId="77777777" w:rsidR="00BC0E7E" w:rsidRPr="00BC0E7E" w:rsidRDefault="00944B8F" w:rsidP="00BC0E7E">
      <w:pPr>
        <w:rPr>
          <w:del w:id="2187" w:author="AbbVie19" w:date="2025-04-16T10:35:00Z"/>
          <w:szCs w:val="22"/>
        </w:rPr>
      </w:pPr>
      <w:del w:id="2188" w:author="AbbVie19" w:date="2025-04-16T10:35:00Z">
        <w:r w:rsidRPr="00BC0E7E">
          <w:rPr>
            <w:szCs w:val="22"/>
          </w:rPr>
          <w:delText>A total of 347 stable responders participated in a withdrawal and retreatment evaluation in an open-label extension study. During the withdrawal period, symptoms of psoriasis returned over time with a median time to relapse (decline to PGA “moderate” or worse) of approximately 5 months. None of these patients experienced rebound during the withdrawal period. A total of 76.5% (218/285) of patients who entered the retreatment period had a response of PGA “clear” or “minimal” after 16 weeks of retreatment, irrespective of whether they relapsed during withdrawal (69.1%[123/178] and 88.8% [95/107] for patients who relapsed and who did not relapse during the withdrawal period, respectively). A similar safety profile was observed during retreatment as before withdrawal.</w:delText>
        </w:r>
      </w:del>
    </w:p>
    <w:p w14:paraId="67DCBD92" w14:textId="77777777" w:rsidR="00BC0E7E" w:rsidRPr="00BC0E7E" w:rsidRDefault="00BC0E7E" w:rsidP="00BC0E7E">
      <w:pPr>
        <w:autoSpaceDE w:val="0"/>
        <w:autoSpaceDN w:val="0"/>
        <w:adjustRightInd w:val="0"/>
        <w:rPr>
          <w:del w:id="2189" w:author="AbbVie19" w:date="2025-04-16T10:35:00Z"/>
        </w:rPr>
      </w:pPr>
    </w:p>
    <w:p w14:paraId="1A617677" w14:textId="77777777" w:rsidR="00BC0E7E" w:rsidRPr="00BC0E7E" w:rsidRDefault="00944B8F" w:rsidP="00BC0E7E">
      <w:pPr>
        <w:rPr>
          <w:del w:id="2190" w:author="AbbVie19" w:date="2025-04-16T10:35:00Z"/>
          <w:szCs w:val="20"/>
        </w:rPr>
      </w:pPr>
      <w:del w:id="2191" w:author="AbbVie19" w:date="2025-04-16T10:35:00Z">
        <w:r w:rsidRPr="00BC0E7E">
          <w:rPr>
            <w:szCs w:val="20"/>
          </w:rPr>
          <w:lastRenderedPageBreak/>
          <w:delText>Significant improvements at Week 16 from baseline compared to placebo (Studies I and II) and MTX (Study II) were demonstrated in the DLQI (Dermatology Life Quality Index). In Study I, improvements in the physical and mental component summary scores of the SF-36 were also significant compared to placebo.</w:delText>
        </w:r>
      </w:del>
    </w:p>
    <w:p w14:paraId="280A6057" w14:textId="77777777" w:rsidR="00BC0E7E" w:rsidRPr="00BC0E7E" w:rsidRDefault="00BC0E7E" w:rsidP="00BC0E7E">
      <w:pPr>
        <w:rPr>
          <w:del w:id="2192" w:author="AbbVie19" w:date="2025-04-16T10:35:00Z"/>
          <w:szCs w:val="20"/>
        </w:rPr>
      </w:pPr>
    </w:p>
    <w:p w14:paraId="311EAA6B" w14:textId="77777777" w:rsidR="00BC0E7E" w:rsidRPr="00BC0E7E" w:rsidRDefault="00944B8F" w:rsidP="00BC0E7E">
      <w:pPr>
        <w:rPr>
          <w:del w:id="2193" w:author="AbbVie19" w:date="2025-04-16T10:35:00Z"/>
          <w:szCs w:val="20"/>
        </w:rPr>
      </w:pPr>
      <w:del w:id="2194" w:author="AbbVie19" w:date="2025-04-16T10:35:00Z">
        <w:r w:rsidRPr="00BC0E7E">
          <w:rPr>
            <w:szCs w:val="20"/>
          </w:rPr>
          <w:delText>In an open-label extension study, for patients who dose escalated from 40 mg every other week to 40 mg weekly due to a PASI response below 50%, 26.4% (92/349) and 37.8% (132/349) of patients achieved PASI 75 response at Week 12 and 24, respectively.</w:delText>
        </w:r>
      </w:del>
    </w:p>
    <w:p w14:paraId="007CA949" w14:textId="77777777" w:rsidR="00BC0E7E" w:rsidRPr="00BC0E7E" w:rsidRDefault="00BC0E7E" w:rsidP="00BC0E7E">
      <w:pPr>
        <w:rPr>
          <w:del w:id="2195" w:author="AbbVie19" w:date="2025-04-16T10:35:00Z"/>
          <w:szCs w:val="20"/>
        </w:rPr>
      </w:pPr>
    </w:p>
    <w:p w14:paraId="497703E6" w14:textId="77777777" w:rsidR="00BC0E7E" w:rsidRPr="00BC0E7E" w:rsidRDefault="00944B8F" w:rsidP="00BC0E7E">
      <w:pPr>
        <w:rPr>
          <w:del w:id="2196" w:author="AbbVie19" w:date="2025-04-16T10:35:00Z"/>
          <w:szCs w:val="20"/>
        </w:rPr>
      </w:pPr>
      <w:del w:id="2197" w:author="AbbVie19" w:date="2025-04-16T10:35:00Z">
        <w:r w:rsidRPr="00BC0E7E">
          <w:rPr>
            <w:szCs w:val="20"/>
          </w:rPr>
          <w:delText>Psoriasis Study III (REACH)</w:delText>
        </w:r>
        <w:r w:rsidRPr="00BC0E7E">
          <w:rPr>
            <w:szCs w:val="22"/>
          </w:rPr>
          <w:delText xml:space="preserve"> compared the efficacy and safety of Humira </w:delText>
        </w:r>
        <w:r w:rsidRPr="00BC0E7E">
          <w:rPr>
            <w:i/>
            <w:iCs/>
            <w:szCs w:val="22"/>
          </w:rPr>
          <w:delText>versus</w:delText>
        </w:r>
        <w:r w:rsidRPr="00BC0E7E">
          <w:rPr>
            <w:szCs w:val="22"/>
          </w:rPr>
          <w:delText xml:space="preserve"> placebo in 72 patients with moderate to severe chronic plaque psoriasis and hand and/or foot psoriasis. Patients received an initial </w:delText>
        </w:r>
        <w:r w:rsidRPr="00BC0E7E">
          <w:rPr>
            <w:szCs w:val="20"/>
          </w:rPr>
          <w:delText>dose of 80 mg Humira followed by 40 mg every other week (starting one week after the initial dose) or placebo for 16 weeks. At Week 16, a statistically significantly greater proportion of patients who received Humira achieved PGA of 'clear' or 'almost clear' for the hands and/or feet compared to patients who received placebo (30.6% versus 4.3%, respectively [P = 0.014]).</w:delText>
        </w:r>
      </w:del>
    </w:p>
    <w:p w14:paraId="75DD791A" w14:textId="77777777" w:rsidR="00BC0E7E" w:rsidRPr="00BC0E7E" w:rsidRDefault="00BC0E7E" w:rsidP="00BC0E7E">
      <w:pPr>
        <w:rPr>
          <w:del w:id="2198" w:author="AbbVie19" w:date="2025-04-16T10:35:00Z"/>
          <w:szCs w:val="20"/>
        </w:rPr>
      </w:pPr>
    </w:p>
    <w:p w14:paraId="4C7BCAFD" w14:textId="77777777" w:rsidR="00BC0E7E" w:rsidRPr="00BC0E7E" w:rsidRDefault="00944B8F" w:rsidP="00BC0E7E">
      <w:pPr>
        <w:tabs>
          <w:tab w:val="clear" w:pos="562"/>
        </w:tabs>
        <w:suppressAutoHyphens w:val="0"/>
        <w:rPr>
          <w:del w:id="2199" w:author="AbbVie19" w:date="2025-04-16T10:35:00Z"/>
          <w:szCs w:val="22"/>
        </w:rPr>
      </w:pPr>
      <w:del w:id="2200" w:author="AbbVie19" w:date="2025-04-16T10:35:00Z">
        <w:r w:rsidRPr="00BC0E7E">
          <w:rPr>
            <w:szCs w:val="22"/>
          </w:rPr>
          <w:delText xml:space="preserve">Psoriasis Study IV compared efficacy and safety of Humira versus placebo in 217 adult patients with moderate to severe nail psoriasis. Patients received an initial dose of 80 mg Humira followed by 40 mg every other week (starting one week after the initial dose) or placebo for 26 weeks followed by open-label Humira treatment for an additional 26 weeks. Nail psoriasis assessments included the Modified Nail Psoriasis Severity Index (mNAPSI), the Physician’s Global Assessment of Fingernail Psoriasis (PGA-F) and the Nail Psoriasis Severity Index (NAPSI) (see Table </w:delText>
        </w:r>
        <w:r w:rsidR="00C25049">
          <w:rPr>
            <w:szCs w:val="22"/>
          </w:rPr>
          <w:delText>1</w:delText>
        </w:r>
        <w:r w:rsidR="005F03EC">
          <w:rPr>
            <w:szCs w:val="22"/>
          </w:rPr>
          <w:delText>4</w:delText>
        </w:r>
        <w:r w:rsidRPr="00BC0E7E">
          <w:rPr>
            <w:szCs w:val="22"/>
          </w:rPr>
          <w:delText xml:space="preserve">). Humira demonstrated a treatment benefit in nail psoriasis patients with different extents of skin involvement (BSA≥10% (60% of patients) and BSA&lt;10% and ≥5% (40% of patients)).    </w:delText>
        </w:r>
      </w:del>
    </w:p>
    <w:p w14:paraId="44271F28" w14:textId="77777777" w:rsidR="00BC0E7E" w:rsidRPr="00BC0E7E" w:rsidRDefault="00BC0E7E" w:rsidP="00BC0E7E">
      <w:pPr>
        <w:tabs>
          <w:tab w:val="clear" w:pos="562"/>
        </w:tabs>
        <w:suppressAutoHyphens w:val="0"/>
        <w:rPr>
          <w:del w:id="2201" w:author="AbbVie19" w:date="2025-04-16T10:35:00Z"/>
          <w:szCs w:val="22"/>
        </w:rPr>
      </w:pPr>
    </w:p>
    <w:p w14:paraId="2BE313CE" w14:textId="77777777" w:rsidR="00BC0E7E" w:rsidRPr="00BC0E7E" w:rsidRDefault="00944B8F" w:rsidP="00BC0E7E">
      <w:pPr>
        <w:keepNext/>
        <w:tabs>
          <w:tab w:val="clear" w:pos="562"/>
        </w:tabs>
        <w:suppressAutoHyphens w:val="0"/>
        <w:jc w:val="center"/>
        <w:rPr>
          <w:del w:id="2202" w:author="AbbVie19" w:date="2025-04-16T10:35:00Z"/>
          <w:b/>
          <w:szCs w:val="22"/>
        </w:rPr>
      </w:pPr>
      <w:del w:id="2203" w:author="AbbVie19" w:date="2025-04-16T10:35:00Z">
        <w:r w:rsidRPr="00BC0E7E">
          <w:rPr>
            <w:b/>
            <w:szCs w:val="22"/>
          </w:rPr>
          <w:delText xml:space="preserve">Table </w:delText>
        </w:r>
        <w:r w:rsidR="00C25049">
          <w:rPr>
            <w:b/>
            <w:szCs w:val="22"/>
          </w:rPr>
          <w:delText>1</w:delText>
        </w:r>
        <w:r w:rsidR="005F03EC">
          <w:rPr>
            <w:b/>
            <w:szCs w:val="22"/>
          </w:rPr>
          <w:delText>4</w:delText>
        </w:r>
      </w:del>
    </w:p>
    <w:p w14:paraId="417B8A3F" w14:textId="77777777" w:rsidR="00BC0E7E" w:rsidRPr="00BC0E7E" w:rsidRDefault="00944B8F" w:rsidP="00BC0E7E">
      <w:pPr>
        <w:keepNext/>
        <w:tabs>
          <w:tab w:val="clear" w:pos="562"/>
        </w:tabs>
        <w:suppressAutoHyphens w:val="0"/>
        <w:jc w:val="center"/>
        <w:rPr>
          <w:del w:id="2204" w:author="AbbVie19" w:date="2025-04-16T10:35:00Z"/>
          <w:b/>
          <w:bCs/>
          <w:szCs w:val="22"/>
        </w:rPr>
      </w:pPr>
      <w:del w:id="2205" w:author="AbbVie19" w:date="2025-04-16T10:35:00Z">
        <w:r w:rsidRPr="00BC0E7E">
          <w:rPr>
            <w:b/>
            <w:szCs w:val="22"/>
          </w:rPr>
          <w:delText>Ps Study IV Efficacy Results at 16, 26 and 52 Weeks</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268"/>
      </w:tblGrid>
      <w:tr w:rsidR="00C6578C" w14:paraId="29E06E0C" w14:textId="77777777" w:rsidTr="00171601">
        <w:trPr>
          <w:del w:id="2206" w:author="AbbVie19" w:date="2025-04-16T10:35:00Z"/>
        </w:trPr>
        <w:tc>
          <w:tcPr>
            <w:tcW w:w="2718" w:type="dxa"/>
            <w:vMerge w:val="restart"/>
          </w:tcPr>
          <w:p w14:paraId="3B736682" w14:textId="77777777" w:rsidR="00BC0E7E" w:rsidRPr="00BC0E7E" w:rsidRDefault="00944B8F" w:rsidP="00BC0E7E">
            <w:pPr>
              <w:tabs>
                <w:tab w:val="clear" w:pos="562"/>
              </w:tabs>
              <w:suppressAutoHyphens w:val="0"/>
              <w:rPr>
                <w:del w:id="2207" w:author="AbbVie19" w:date="2025-04-16T10:35:00Z"/>
                <w:szCs w:val="22"/>
              </w:rPr>
            </w:pPr>
            <w:del w:id="2208" w:author="AbbVie19" w:date="2025-04-16T10:35:00Z">
              <w:r w:rsidRPr="00BC0E7E">
                <w:rPr>
                  <w:szCs w:val="22"/>
                </w:rPr>
                <w:delText>Endpoint</w:delText>
              </w:r>
            </w:del>
          </w:p>
        </w:tc>
        <w:tc>
          <w:tcPr>
            <w:tcW w:w="2340" w:type="dxa"/>
            <w:gridSpan w:val="2"/>
          </w:tcPr>
          <w:p w14:paraId="553057FA" w14:textId="77777777" w:rsidR="00BC0E7E" w:rsidRPr="00BC0E7E" w:rsidRDefault="00944B8F" w:rsidP="00BC0E7E">
            <w:pPr>
              <w:tabs>
                <w:tab w:val="clear" w:pos="562"/>
              </w:tabs>
              <w:suppressAutoHyphens w:val="0"/>
              <w:jc w:val="center"/>
              <w:rPr>
                <w:del w:id="2209" w:author="AbbVie19" w:date="2025-04-16T10:35:00Z"/>
                <w:szCs w:val="22"/>
              </w:rPr>
            </w:pPr>
            <w:del w:id="2210" w:author="AbbVie19" w:date="2025-04-16T10:35:00Z">
              <w:r w:rsidRPr="00BC0E7E">
                <w:rPr>
                  <w:szCs w:val="22"/>
                </w:rPr>
                <w:delText>Week 16</w:delText>
              </w:r>
            </w:del>
          </w:p>
          <w:p w14:paraId="3AABE7FD" w14:textId="77777777" w:rsidR="00BC0E7E" w:rsidRPr="00BC0E7E" w:rsidRDefault="00944B8F" w:rsidP="00BC0E7E">
            <w:pPr>
              <w:tabs>
                <w:tab w:val="clear" w:pos="562"/>
              </w:tabs>
              <w:suppressAutoHyphens w:val="0"/>
              <w:jc w:val="center"/>
              <w:rPr>
                <w:del w:id="2211" w:author="AbbVie19" w:date="2025-04-16T10:35:00Z"/>
                <w:szCs w:val="22"/>
              </w:rPr>
            </w:pPr>
            <w:del w:id="2212" w:author="AbbVie19" w:date="2025-04-16T10:35:00Z">
              <w:r w:rsidRPr="00BC0E7E">
                <w:rPr>
                  <w:szCs w:val="22"/>
                </w:rPr>
                <w:delText>Placebo-Controlled</w:delText>
              </w:r>
            </w:del>
          </w:p>
        </w:tc>
        <w:tc>
          <w:tcPr>
            <w:tcW w:w="2250" w:type="dxa"/>
            <w:gridSpan w:val="2"/>
          </w:tcPr>
          <w:p w14:paraId="6FEFAA67" w14:textId="77777777" w:rsidR="00BC0E7E" w:rsidRPr="00BC0E7E" w:rsidRDefault="00944B8F" w:rsidP="00BC0E7E">
            <w:pPr>
              <w:tabs>
                <w:tab w:val="clear" w:pos="562"/>
              </w:tabs>
              <w:suppressAutoHyphens w:val="0"/>
              <w:jc w:val="center"/>
              <w:rPr>
                <w:del w:id="2213" w:author="AbbVie19" w:date="2025-04-16T10:35:00Z"/>
                <w:szCs w:val="22"/>
              </w:rPr>
            </w:pPr>
            <w:del w:id="2214" w:author="AbbVie19" w:date="2025-04-16T10:35:00Z">
              <w:r w:rsidRPr="00BC0E7E">
                <w:rPr>
                  <w:szCs w:val="22"/>
                </w:rPr>
                <w:delText>Week 26</w:delText>
              </w:r>
            </w:del>
          </w:p>
          <w:p w14:paraId="586914EC" w14:textId="77777777" w:rsidR="00BC0E7E" w:rsidRPr="00BC0E7E" w:rsidRDefault="00944B8F" w:rsidP="00BC0E7E">
            <w:pPr>
              <w:tabs>
                <w:tab w:val="clear" w:pos="562"/>
              </w:tabs>
              <w:suppressAutoHyphens w:val="0"/>
              <w:jc w:val="center"/>
              <w:rPr>
                <w:del w:id="2215" w:author="AbbVie19" w:date="2025-04-16T10:35:00Z"/>
                <w:szCs w:val="22"/>
              </w:rPr>
            </w:pPr>
            <w:del w:id="2216" w:author="AbbVie19" w:date="2025-04-16T10:35:00Z">
              <w:r w:rsidRPr="00BC0E7E">
                <w:rPr>
                  <w:szCs w:val="22"/>
                </w:rPr>
                <w:delText>Placebo-Controlled</w:delText>
              </w:r>
            </w:del>
          </w:p>
        </w:tc>
        <w:tc>
          <w:tcPr>
            <w:tcW w:w="2268" w:type="dxa"/>
          </w:tcPr>
          <w:p w14:paraId="525483F7" w14:textId="77777777" w:rsidR="00BC0E7E" w:rsidRPr="00BC0E7E" w:rsidRDefault="00944B8F" w:rsidP="00BC0E7E">
            <w:pPr>
              <w:tabs>
                <w:tab w:val="clear" w:pos="562"/>
              </w:tabs>
              <w:suppressAutoHyphens w:val="0"/>
              <w:jc w:val="center"/>
              <w:rPr>
                <w:del w:id="2217" w:author="AbbVie19" w:date="2025-04-16T10:35:00Z"/>
                <w:szCs w:val="22"/>
              </w:rPr>
            </w:pPr>
            <w:del w:id="2218" w:author="AbbVie19" w:date="2025-04-16T10:35:00Z">
              <w:r w:rsidRPr="00BC0E7E">
                <w:rPr>
                  <w:szCs w:val="22"/>
                </w:rPr>
                <w:delText>Week 52</w:delText>
              </w:r>
            </w:del>
          </w:p>
          <w:p w14:paraId="0F577998" w14:textId="77777777" w:rsidR="00BC0E7E" w:rsidRPr="00BC0E7E" w:rsidRDefault="00944B8F" w:rsidP="00BC0E7E">
            <w:pPr>
              <w:tabs>
                <w:tab w:val="clear" w:pos="562"/>
              </w:tabs>
              <w:suppressAutoHyphens w:val="0"/>
              <w:jc w:val="center"/>
              <w:rPr>
                <w:del w:id="2219" w:author="AbbVie19" w:date="2025-04-16T10:35:00Z"/>
                <w:szCs w:val="22"/>
              </w:rPr>
            </w:pPr>
            <w:del w:id="2220" w:author="AbbVie19" w:date="2025-04-16T10:35:00Z">
              <w:r w:rsidRPr="00BC0E7E">
                <w:rPr>
                  <w:szCs w:val="22"/>
                </w:rPr>
                <w:delText>Open-label</w:delText>
              </w:r>
            </w:del>
          </w:p>
        </w:tc>
      </w:tr>
      <w:tr w:rsidR="00C6578C" w14:paraId="45004AA8" w14:textId="77777777" w:rsidTr="00171601">
        <w:trPr>
          <w:del w:id="2221" w:author="AbbVie19" w:date="2025-04-16T10:35:00Z"/>
        </w:trPr>
        <w:tc>
          <w:tcPr>
            <w:tcW w:w="2718" w:type="dxa"/>
            <w:vMerge/>
          </w:tcPr>
          <w:p w14:paraId="21EA942F" w14:textId="77777777" w:rsidR="00BC0E7E" w:rsidRPr="00BC0E7E" w:rsidRDefault="00BC0E7E" w:rsidP="00BC0E7E">
            <w:pPr>
              <w:tabs>
                <w:tab w:val="clear" w:pos="562"/>
              </w:tabs>
              <w:suppressAutoHyphens w:val="0"/>
              <w:rPr>
                <w:del w:id="2222" w:author="AbbVie19" w:date="2025-04-16T10:35:00Z"/>
                <w:szCs w:val="22"/>
              </w:rPr>
            </w:pPr>
          </w:p>
        </w:tc>
        <w:tc>
          <w:tcPr>
            <w:tcW w:w="1080" w:type="dxa"/>
          </w:tcPr>
          <w:p w14:paraId="3F43900A" w14:textId="77777777" w:rsidR="00BC0E7E" w:rsidRPr="00BC0E7E" w:rsidRDefault="00944B8F" w:rsidP="00BC0E7E">
            <w:pPr>
              <w:tabs>
                <w:tab w:val="clear" w:pos="562"/>
              </w:tabs>
              <w:suppressAutoHyphens w:val="0"/>
              <w:jc w:val="center"/>
              <w:rPr>
                <w:del w:id="2223" w:author="AbbVie19" w:date="2025-04-16T10:35:00Z"/>
                <w:szCs w:val="22"/>
              </w:rPr>
            </w:pPr>
            <w:del w:id="2224" w:author="AbbVie19" w:date="2025-04-16T10:35:00Z">
              <w:r w:rsidRPr="00BC0E7E">
                <w:rPr>
                  <w:szCs w:val="2"/>
                </w:rPr>
                <w:delText>Placebo</w:delText>
              </w:r>
              <w:r w:rsidRPr="00BC0E7E">
                <w:rPr>
                  <w:szCs w:val="2"/>
                </w:rPr>
                <w:br/>
                <w:delText>N=108</w:delText>
              </w:r>
            </w:del>
          </w:p>
        </w:tc>
        <w:tc>
          <w:tcPr>
            <w:tcW w:w="1260" w:type="dxa"/>
          </w:tcPr>
          <w:p w14:paraId="1DF9959E" w14:textId="77777777" w:rsidR="00BC0E7E" w:rsidRPr="00BC0E7E" w:rsidRDefault="00944B8F" w:rsidP="00BC0E7E">
            <w:pPr>
              <w:tabs>
                <w:tab w:val="clear" w:pos="562"/>
              </w:tabs>
              <w:overflowPunct w:val="0"/>
              <w:autoSpaceDE w:val="0"/>
              <w:autoSpaceDN w:val="0"/>
              <w:adjustRightInd w:val="0"/>
              <w:jc w:val="center"/>
              <w:textAlignment w:val="baseline"/>
              <w:rPr>
                <w:del w:id="2225" w:author="AbbVie19" w:date="2025-04-16T10:35:00Z"/>
              </w:rPr>
            </w:pPr>
            <w:del w:id="2226" w:author="AbbVie19" w:date="2025-04-16T10:35:00Z">
              <w:r w:rsidRPr="00BC0E7E">
                <w:delText>Humira</w:delText>
              </w:r>
            </w:del>
          </w:p>
          <w:p w14:paraId="0AED9AE7" w14:textId="77777777" w:rsidR="00BC0E7E" w:rsidRPr="00BC0E7E" w:rsidRDefault="00944B8F" w:rsidP="00BC0E7E">
            <w:pPr>
              <w:tabs>
                <w:tab w:val="clear" w:pos="562"/>
              </w:tabs>
              <w:suppressAutoHyphens w:val="0"/>
              <w:jc w:val="center"/>
              <w:rPr>
                <w:del w:id="2227" w:author="AbbVie19" w:date="2025-04-16T10:35:00Z"/>
                <w:szCs w:val="22"/>
              </w:rPr>
            </w:pPr>
            <w:del w:id="2228" w:author="AbbVie19" w:date="2025-04-16T10:35:00Z">
              <w:r w:rsidRPr="00BC0E7E">
                <w:rPr>
                  <w:szCs w:val="2"/>
                </w:rPr>
                <w:delText xml:space="preserve">40 mg eow </w:delText>
              </w:r>
              <w:r w:rsidRPr="00BC0E7E">
                <w:rPr>
                  <w:szCs w:val="2"/>
                </w:rPr>
                <w:br/>
                <w:delText>N=109</w:delText>
              </w:r>
            </w:del>
          </w:p>
        </w:tc>
        <w:tc>
          <w:tcPr>
            <w:tcW w:w="990" w:type="dxa"/>
          </w:tcPr>
          <w:p w14:paraId="585C54DA" w14:textId="77777777" w:rsidR="00BC0E7E" w:rsidRPr="00BC0E7E" w:rsidRDefault="00944B8F" w:rsidP="00BC0E7E">
            <w:pPr>
              <w:tabs>
                <w:tab w:val="clear" w:pos="562"/>
              </w:tabs>
              <w:suppressAutoHyphens w:val="0"/>
              <w:jc w:val="center"/>
              <w:rPr>
                <w:del w:id="2229" w:author="AbbVie19" w:date="2025-04-16T10:35:00Z"/>
                <w:szCs w:val="22"/>
              </w:rPr>
            </w:pPr>
            <w:del w:id="2230" w:author="AbbVie19" w:date="2025-04-16T10:35:00Z">
              <w:r w:rsidRPr="00BC0E7E">
                <w:rPr>
                  <w:szCs w:val="2"/>
                </w:rPr>
                <w:delText>Placebo</w:delText>
              </w:r>
              <w:r w:rsidRPr="00BC0E7E">
                <w:rPr>
                  <w:szCs w:val="2"/>
                </w:rPr>
                <w:br/>
                <w:delText>N=108</w:delText>
              </w:r>
            </w:del>
          </w:p>
        </w:tc>
        <w:tc>
          <w:tcPr>
            <w:tcW w:w="1260" w:type="dxa"/>
          </w:tcPr>
          <w:p w14:paraId="69300D3A" w14:textId="77777777" w:rsidR="00BC0E7E" w:rsidRPr="00BC0E7E" w:rsidRDefault="00944B8F" w:rsidP="00BC0E7E">
            <w:pPr>
              <w:tabs>
                <w:tab w:val="clear" w:pos="562"/>
              </w:tabs>
              <w:overflowPunct w:val="0"/>
              <w:autoSpaceDE w:val="0"/>
              <w:autoSpaceDN w:val="0"/>
              <w:adjustRightInd w:val="0"/>
              <w:jc w:val="center"/>
              <w:textAlignment w:val="baseline"/>
              <w:rPr>
                <w:del w:id="2231" w:author="AbbVie19" w:date="2025-04-16T10:35:00Z"/>
              </w:rPr>
            </w:pPr>
            <w:del w:id="2232" w:author="AbbVie19" w:date="2025-04-16T10:35:00Z">
              <w:r w:rsidRPr="00BC0E7E">
                <w:delText>Humira</w:delText>
              </w:r>
            </w:del>
          </w:p>
          <w:p w14:paraId="737868B2" w14:textId="77777777" w:rsidR="00BC0E7E" w:rsidRPr="00BC0E7E" w:rsidRDefault="00944B8F" w:rsidP="00BC0E7E">
            <w:pPr>
              <w:tabs>
                <w:tab w:val="clear" w:pos="562"/>
              </w:tabs>
              <w:suppressAutoHyphens w:val="0"/>
              <w:jc w:val="center"/>
              <w:rPr>
                <w:del w:id="2233" w:author="AbbVie19" w:date="2025-04-16T10:35:00Z"/>
                <w:szCs w:val="22"/>
              </w:rPr>
            </w:pPr>
            <w:del w:id="2234" w:author="AbbVie19" w:date="2025-04-16T10:35:00Z">
              <w:r w:rsidRPr="00BC0E7E">
                <w:rPr>
                  <w:szCs w:val="2"/>
                </w:rPr>
                <w:delText xml:space="preserve">40 mg eow </w:delText>
              </w:r>
              <w:r w:rsidRPr="00BC0E7E">
                <w:rPr>
                  <w:szCs w:val="2"/>
                </w:rPr>
                <w:br/>
                <w:delText>N=109</w:delText>
              </w:r>
            </w:del>
          </w:p>
        </w:tc>
        <w:tc>
          <w:tcPr>
            <w:tcW w:w="2268" w:type="dxa"/>
          </w:tcPr>
          <w:p w14:paraId="6D5573D1" w14:textId="77777777" w:rsidR="00BC0E7E" w:rsidRPr="00BC0E7E" w:rsidRDefault="00944B8F" w:rsidP="00BC0E7E">
            <w:pPr>
              <w:tabs>
                <w:tab w:val="clear" w:pos="562"/>
              </w:tabs>
              <w:overflowPunct w:val="0"/>
              <w:autoSpaceDE w:val="0"/>
              <w:autoSpaceDN w:val="0"/>
              <w:adjustRightInd w:val="0"/>
              <w:jc w:val="center"/>
              <w:textAlignment w:val="baseline"/>
              <w:rPr>
                <w:del w:id="2235" w:author="AbbVie19" w:date="2025-04-16T10:35:00Z"/>
              </w:rPr>
            </w:pPr>
            <w:del w:id="2236" w:author="AbbVie19" w:date="2025-04-16T10:35:00Z">
              <w:r w:rsidRPr="00BC0E7E">
                <w:delText>Humira</w:delText>
              </w:r>
            </w:del>
          </w:p>
          <w:p w14:paraId="0248FC36" w14:textId="77777777" w:rsidR="00BC0E7E" w:rsidRPr="00BC0E7E" w:rsidRDefault="00944B8F" w:rsidP="00BC0E7E">
            <w:pPr>
              <w:tabs>
                <w:tab w:val="clear" w:pos="562"/>
              </w:tabs>
              <w:suppressAutoHyphens w:val="0"/>
              <w:jc w:val="center"/>
              <w:rPr>
                <w:del w:id="2237" w:author="AbbVie19" w:date="2025-04-16T10:35:00Z"/>
                <w:szCs w:val="22"/>
              </w:rPr>
            </w:pPr>
            <w:del w:id="2238" w:author="AbbVie19" w:date="2025-04-16T10:35:00Z">
              <w:r w:rsidRPr="00BC0E7E">
                <w:rPr>
                  <w:szCs w:val="2"/>
                </w:rPr>
                <w:delText xml:space="preserve">40 mg eow </w:delText>
              </w:r>
              <w:r w:rsidRPr="00BC0E7E">
                <w:rPr>
                  <w:szCs w:val="2"/>
                </w:rPr>
                <w:br/>
                <w:delText>N=80</w:delText>
              </w:r>
            </w:del>
          </w:p>
        </w:tc>
      </w:tr>
      <w:tr w:rsidR="00C6578C" w14:paraId="284FD56B" w14:textId="77777777" w:rsidTr="00171601">
        <w:trPr>
          <w:del w:id="2239" w:author="AbbVie19" w:date="2025-04-16T10:35:00Z"/>
        </w:trPr>
        <w:tc>
          <w:tcPr>
            <w:tcW w:w="2718" w:type="dxa"/>
          </w:tcPr>
          <w:p w14:paraId="373CDADD" w14:textId="77777777" w:rsidR="00BC0E7E" w:rsidRPr="00BC0E7E" w:rsidRDefault="00944B8F" w:rsidP="00BC0E7E">
            <w:pPr>
              <w:tabs>
                <w:tab w:val="clear" w:pos="562"/>
              </w:tabs>
              <w:suppressAutoHyphens w:val="0"/>
              <w:rPr>
                <w:del w:id="2240" w:author="AbbVie19" w:date="2025-04-16T10:35:00Z"/>
                <w:szCs w:val="22"/>
              </w:rPr>
            </w:pPr>
            <w:del w:id="2241" w:author="AbbVie19" w:date="2025-04-16T10:35:00Z">
              <w:r w:rsidRPr="00BC0E7E">
                <w:rPr>
                  <w:szCs w:val="2"/>
                </w:rPr>
                <w:delText>≥ mNAPSI 75 (%)</w:delText>
              </w:r>
            </w:del>
          </w:p>
        </w:tc>
        <w:tc>
          <w:tcPr>
            <w:tcW w:w="1080" w:type="dxa"/>
          </w:tcPr>
          <w:p w14:paraId="34A513DF" w14:textId="77777777" w:rsidR="00BC0E7E" w:rsidRPr="00BC0E7E" w:rsidRDefault="00944B8F" w:rsidP="00BC0E7E">
            <w:pPr>
              <w:tabs>
                <w:tab w:val="clear" w:pos="562"/>
              </w:tabs>
              <w:suppressAutoHyphens w:val="0"/>
              <w:jc w:val="center"/>
              <w:rPr>
                <w:del w:id="2242" w:author="AbbVie19" w:date="2025-04-16T10:35:00Z"/>
                <w:szCs w:val="22"/>
              </w:rPr>
            </w:pPr>
            <w:del w:id="2243" w:author="AbbVie19" w:date="2025-04-16T10:35:00Z">
              <w:r w:rsidRPr="00BC0E7E">
                <w:rPr>
                  <w:szCs w:val="22"/>
                </w:rPr>
                <w:delText>2.9</w:delText>
              </w:r>
            </w:del>
          </w:p>
        </w:tc>
        <w:tc>
          <w:tcPr>
            <w:tcW w:w="1260" w:type="dxa"/>
          </w:tcPr>
          <w:p w14:paraId="3BF825B5" w14:textId="77777777" w:rsidR="00BC0E7E" w:rsidRPr="00BC0E7E" w:rsidRDefault="00944B8F" w:rsidP="00BC0E7E">
            <w:pPr>
              <w:tabs>
                <w:tab w:val="clear" w:pos="562"/>
              </w:tabs>
              <w:suppressAutoHyphens w:val="0"/>
              <w:jc w:val="center"/>
              <w:rPr>
                <w:del w:id="2244" w:author="AbbVie19" w:date="2025-04-16T10:35:00Z"/>
                <w:szCs w:val="22"/>
              </w:rPr>
            </w:pPr>
            <w:del w:id="2245" w:author="AbbVie19" w:date="2025-04-16T10:35:00Z">
              <w:r w:rsidRPr="00BC0E7E">
                <w:rPr>
                  <w:szCs w:val="22"/>
                </w:rPr>
                <w:delText>26.0</w:delText>
              </w:r>
              <w:r w:rsidRPr="00BC0E7E">
                <w:rPr>
                  <w:szCs w:val="22"/>
                  <w:vertAlign w:val="superscript"/>
                </w:rPr>
                <w:delText>a</w:delText>
              </w:r>
            </w:del>
          </w:p>
        </w:tc>
        <w:tc>
          <w:tcPr>
            <w:tcW w:w="990" w:type="dxa"/>
          </w:tcPr>
          <w:p w14:paraId="39CB6679" w14:textId="77777777" w:rsidR="00BC0E7E" w:rsidRPr="00BC0E7E" w:rsidRDefault="00944B8F" w:rsidP="00BC0E7E">
            <w:pPr>
              <w:keepNext/>
              <w:jc w:val="center"/>
              <w:rPr>
                <w:del w:id="2246" w:author="AbbVie19" w:date="2025-04-16T10:35:00Z"/>
                <w:szCs w:val="22"/>
              </w:rPr>
            </w:pPr>
            <w:del w:id="2247" w:author="AbbVie19" w:date="2025-04-16T10:35:00Z">
              <w:r w:rsidRPr="00BC0E7E">
                <w:rPr>
                  <w:szCs w:val="22"/>
                </w:rPr>
                <w:delText>3.4</w:delText>
              </w:r>
            </w:del>
          </w:p>
        </w:tc>
        <w:tc>
          <w:tcPr>
            <w:tcW w:w="1260" w:type="dxa"/>
          </w:tcPr>
          <w:p w14:paraId="4B270201" w14:textId="77777777" w:rsidR="00BC0E7E" w:rsidRPr="00BC0E7E" w:rsidRDefault="00944B8F" w:rsidP="00BC0E7E">
            <w:pPr>
              <w:keepNext/>
              <w:jc w:val="center"/>
              <w:rPr>
                <w:del w:id="2248" w:author="AbbVie19" w:date="2025-04-16T10:35:00Z"/>
                <w:szCs w:val="22"/>
              </w:rPr>
            </w:pPr>
            <w:del w:id="2249" w:author="AbbVie19" w:date="2025-04-16T10:35:00Z">
              <w:r w:rsidRPr="00BC0E7E">
                <w:rPr>
                  <w:szCs w:val="22"/>
                </w:rPr>
                <w:delText>46.6</w:delText>
              </w:r>
              <w:r w:rsidRPr="00BC0E7E">
                <w:rPr>
                  <w:szCs w:val="22"/>
                  <w:vertAlign w:val="superscript"/>
                </w:rPr>
                <w:delText>a</w:delText>
              </w:r>
            </w:del>
          </w:p>
        </w:tc>
        <w:tc>
          <w:tcPr>
            <w:tcW w:w="2268" w:type="dxa"/>
          </w:tcPr>
          <w:p w14:paraId="3284B63B" w14:textId="77777777" w:rsidR="00BC0E7E" w:rsidRPr="00BC0E7E" w:rsidRDefault="00944B8F" w:rsidP="00BC0E7E">
            <w:pPr>
              <w:tabs>
                <w:tab w:val="clear" w:pos="562"/>
              </w:tabs>
              <w:suppressAutoHyphens w:val="0"/>
              <w:jc w:val="center"/>
              <w:rPr>
                <w:del w:id="2250" w:author="AbbVie19" w:date="2025-04-16T10:35:00Z"/>
                <w:szCs w:val="22"/>
              </w:rPr>
            </w:pPr>
            <w:del w:id="2251" w:author="AbbVie19" w:date="2025-04-16T10:35:00Z">
              <w:r w:rsidRPr="00BC0E7E">
                <w:rPr>
                  <w:szCs w:val="22"/>
                </w:rPr>
                <w:delText>65.0</w:delText>
              </w:r>
            </w:del>
          </w:p>
        </w:tc>
      </w:tr>
      <w:tr w:rsidR="00C6578C" w14:paraId="2D782BD8" w14:textId="77777777" w:rsidTr="00171601">
        <w:trPr>
          <w:del w:id="2252" w:author="AbbVie19" w:date="2025-04-16T10:35:00Z"/>
        </w:trPr>
        <w:tc>
          <w:tcPr>
            <w:tcW w:w="2718" w:type="dxa"/>
          </w:tcPr>
          <w:p w14:paraId="19BB3780" w14:textId="77777777" w:rsidR="00BC0E7E" w:rsidRPr="00BC0E7E" w:rsidRDefault="00944B8F" w:rsidP="00BC0E7E">
            <w:pPr>
              <w:tabs>
                <w:tab w:val="clear" w:pos="562"/>
              </w:tabs>
              <w:suppressAutoHyphens w:val="0"/>
              <w:rPr>
                <w:del w:id="2253" w:author="AbbVie19" w:date="2025-04-16T10:35:00Z"/>
                <w:szCs w:val="22"/>
              </w:rPr>
            </w:pPr>
            <w:del w:id="2254" w:author="AbbVie19" w:date="2025-04-16T10:35:00Z">
              <w:r w:rsidRPr="00BC0E7E">
                <w:rPr>
                  <w:szCs w:val="22"/>
                </w:rPr>
                <w:delText>PGA-F clear/minimal and ≥2-grade improvement (%)</w:delText>
              </w:r>
            </w:del>
          </w:p>
        </w:tc>
        <w:tc>
          <w:tcPr>
            <w:tcW w:w="1080" w:type="dxa"/>
          </w:tcPr>
          <w:p w14:paraId="3E4CE3DF" w14:textId="77777777" w:rsidR="00BC0E7E" w:rsidRPr="00BC0E7E" w:rsidRDefault="00944B8F" w:rsidP="00BC0E7E">
            <w:pPr>
              <w:tabs>
                <w:tab w:val="clear" w:pos="562"/>
              </w:tabs>
              <w:suppressAutoHyphens w:val="0"/>
              <w:jc w:val="center"/>
              <w:rPr>
                <w:del w:id="2255" w:author="AbbVie19" w:date="2025-04-16T10:35:00Z"/>
                <w:szCs w:val="22"/>
              </w:rPr>
            </w:pPr>
            <w:del w:id="2256" w:author="AbbVie19" w:date="2025-04-16T10:35:00Z">
              <w:r w:rsidRPr="00BC0E7E">
                <w:rPr>
                  <w:szCs w:val="22"/>
                </w:rPr>
                <w:delText>2.9</w:delText>
              </w:r>
            </w:del>
          </w:p>
        </w:tc>
        <w:tc>
          <w:tcPr>
            <w:tcW w:w="1260" w:type="dxa"/>
          </w:tcPr>
          <w:p w14:paraId="26CEA899" w14:textId="77777777" w:rsidR="00BC0E7E" w:rsidRPr="00BC0E7E" w:rsidRDefault="00944B8F" w:rsidP="00BC0E7E">
            <w:pPr>
              <w:tabs>
                <w:tab w:val="clear" w:pos="562"/>
              </w:tabs>
              <w:suppressAutoHyphens w:val="0"/>
              <w:jc w:val="center"/>
              <w:rPr>
                <w:del w:id="2257" w:author="AbbVie19" w:date="2025-04-16T10:35:00Z"/>
                <w:szCs w:val="22"/>
              </w:rPr>
            </w:pPr>
            <w:del w:id="2258" w:author="AbbVie19" w:date="2025-04-16T10:35:00Z">
              <w:r w:rsidRPr="00BC0E7E">
                <w:rPr>
                  <w:szCs w:val="22"/>
                </w:rPr>
                <w:delText>29.7</w:delText>
              </w:r>
              <w:r w:rsidRPr="00BC0E7E">
                <w:rPr>
                  <w:szCs w:val="22"/>
                  <w:vertAlign w:val="superscript"/>
                </w:rPr>
                <w:delText>a</w:delText>
              </w:r>
            </w:del>
          </w:p>
        </w:tc>
        <w:tc>
          <w:tcPr>
            <w:tcW w:w="990" w:type="dxa"/>
          </w:tcPr>
          <w:p w14:paraId="6126AD1A" w14:textId="77777777" w:rsidR="00BC0E7E" w:rsidRPr="00BC0E7E" w:rsidRDefault="00944B8F" w:rsidP="00BC0E7E">
            <w:pPr>
              <w:keepNext/>
              <w:jc w:val="center"/>
              <w:rPr>
                <w:del w:id="2259" w:author="AbbVie19" w:date="2025-04-16T10:35:00Z"/>
                <w:szCs w:val="22"/>
              </w:rPr>
            </w:pPr>
            <w:del w:id="2260" w:author="AbbVie19" w:date="2025-04-16T10:35:00Z">
              <w:r w:rsidRPr="00BC0E7E">
                <w:rPr>
                  <w:szCs w:val="22"/>
                </w:rPr>
                <w:delText>6.9</w:delText>
              </w:r>
            </w:del>
          </w:p>
        </w:tc>
        <w:tc>
          <w:tcPr>
            <w:tcW w:w="1260" w:type="dxa"/>
          </w:tcPr>
          <w:p w14:paraId="23CBAF24" w14:textId="77777777" w:rsidR="00BC0E7E" w:rsidRPr="00BC0E7E" w:rsidRDefault="00944B8F" w:rsidP="00BC0E7E">
            <w:pPr>
              <w:keepNext/>
              <w:jc w:val="center"/>
              <w:rPr>
                <w:del w:id="2261" w:author="AbbVie19" w:date="2025-04-16T10:35:00Z"/>
                <w:szCs w:val="22"/>
              </w:rPr>
            </w:pPr>
            <w:del w:id="2262" w:author="AbbVie19" w:date="2025-04-16T10:35:00Z">
              <w:r w:rsidRPr="00BC0E7E">
                <w:rPr>
                  <w:szCs w:val="22"/>
                </w:rPr>
                <w:delText>48.9</w:delText>
              </w:r>
              <w:r w:rsidRPr="00BC0E7E">
                <w:rPr>
                  <w:szCs w:val="22"/>
                  <w:vertAlign w:val="superscript"/>
                </w:rPr>
                <w:delText>a</w:delText>
              </w:r>
            </w:del>
          </w:p>
        </w:tc>
        <w:tc>
          <w:tcPr>
            <w:tcW w:w="2268" w:type="dxa"/>
          </w:tcPr>
          <w:p w14:paraId="580AB2BF" w14:textId="77777777" w:rsidR="00BC0E7E" w:rsidRPr="00BC0E7E" w:rsidRDefault="00944B8F" w:rsidP="00BC0E7E">
            <w:pPr>
              <w:tabs>
                <w:tab w:val="clear" w:pos="562"/>
              </w:tabs>
              <w:suppressAutoHyphens w:val="0"/>
              <w:jc w:val="center"/>
              <w:rPr>
                <w:del w:id="2263" w:author="AbbVie19" w:date="2025-04-16T10:35:00Z"/>
                <w:szCs w:val="22"/>
              </w:rPr>
            </w:pPr>
            <w:del w:id="2264" w:author="AbbVie19" w:date="2025-04-16T10:35:00Z">
              <w:r w:rsidRPr="00BC0E7E">
                <w:rPr>
                  <w:szCs w:val="22"/>
                </w:rPr>
                <w:delText>61.3</w:delText>
              </w:r>
            </w:del>
          </w:p>
        </w:tc>
      </w:tr>
      <w:tr w:rsidR="00C6578C" w14:paraId="46B4A552" w14:textId="77777777" w:rsidTr="00171601">
        <w:trPr>
          <w:del w:id="2265" w:author="AbbVie19" w:date="2025-04-16T10:35:00Z"/>
        </w:trPr>
        <w:tc>
          <w:tcPr>
            <w:tcW w:w="2718" w:type="dxa"/>
          </w:tcPr>
          <w:p w14:paraId="7636CADE" w14:textId="77777777" w:rsidR="00BC0E7E" w:rsidRPr="00BC0E7E" w:rsidRDefault="00944B8F" w:rsidP="00BC0E7E">
            <w:pPr>
              <w:tabs>
                <w:tab w:val="clear" w:pos="562"/>
              </w:tabs>
              <w:suppressAutoHyphens w:val="0"/>
              <w:rPr>
                <w:del w:id="2266" w:author="AbbVie19" w:date="2025-04-16T10:35:00Z"/>
                <w:szCs w:val="22"/>
              </w:rPr>
            </w:pPr>
            <w:del w:id="2267" w:author="AbbVie19" w:date="2025-04-16T10:35:00Z">
              <w:r w:rsidRPr="00BC0E7E">
                <w:rPr>
                  <w:szCs w:val="22"/>
                </w:rPr>
                <w:delText>Percent Change in Total Fingernail NAPSI (%)</w:delText>
              </w:r>
            </w:del>
          </w:p>
        </w:tc>
        <w:tc>
          <w:tcPr>
            <w:tcW w:w="1080" w:type="dxa"/>
          </w:tcPr>
          <w:p w14:paraId="2F1198D7" w14:textId="77777777" w:rsidR="00BC0E7E" w:rsidRPr="00BC0E7E" w:rsidRDefault="00944B8F" w:rsidP="00BC0E7E">
            <w:pPr>
              <w:tabs>
                <w:tab w:val="clear" w:pos="562"/>
              </w:tabs>
              <w:suppressAutoHyphens w:val="0"/>
              <w:jc w:val="center"/>
              <w:rPr>
                <w:del w:id="2268" w:author="AbbVie19" w:date="2025-04-16T10:35:00Z"/>
                <w:szCs w:val="22"/>
              </w:rPr>
            </w:pPr>
            <w:del w:id="2269" w:author="AbbVie19" w:date="2025-04-16T10:35:00Z">
              <w:r w:rsidRPr="00BC0E7E">
                <w:rPr>
                  <w:szCs w:val="22"/>
                </w:rPr>
                <w:delText>-7.8</w:delText>
              </w:r>
            </w:del>
          </w:p>
        </w:tc>
        <w:tc>
          <w:tcPr>
            <w:tcW w:w="1260" w:type="dxa"/>
          </w:tcPr>
          <w:p w14:paraId="5121430D" w14:textId="77777777" w:rsidR="00BC0E7E" w:rsidRPr="00BC0E7E" w:rsidRDefault="00944B8F" w:rsidP="00BC0E7E">
            <w:pPr>
              <w:tabs>
                <w:tab w:val="clear" w:pos="562"/>
              </w:tabs>
              <w:suppressAutoHyphens w:val="0"/>
              <w:jc w:val="center"/>
              <w:rPr>
                <w:del w:id="2270" w:author="AbbVie19" w:date="2025-04-16T10:35:00Z"/>
                <w:szCs w:val="22"/>
              </w:rPr>
            </w:pPr>
            <w:del w:id="2271" w:author="AbbVie19" w:date="2025-04-16T10:35:00Z">
              <w:r w:rsidRPr="00BC0E7E">
                <w:rPr>
                  <w:szCs w:val="22"/>
                </w:rPr>
                <w:delText>-44.2</w:delText>
              </w:r>
              <w:r w:rsidRPr="00BC0E7E">
                <w:rPr>
                  <w:szCs w:val="22"/>
                  <w:vertAlign w:val="superscript"/>
                </w:rPr>
                <w:delText xml:space="preserve"> a</w:delText>
              </w:r>
            </w:del>
          </w:p>
        </w:tc>
        <w:tc>
          <w:tcPr>
            <w:tcW w:w="990" w:type="dxa"/>
          </w:tcPr>
          <w:p w14:paraId="0416267D" w14:textId="77777777" w:rsidR="00BC0E7E" w:rsidRPr="00BC0E7E" w:rsidRDefault="00944B8F" w:rsidP="00BC0E7E">
            <w:pPr>
              <w:keepNext/>
              <w:jc w:val="center"/>
              <w:rPr>
                <w:del w:id="2272" w:author="AbbVie19" w:date="2025-04-16T10:35:00Z"/>
                <w:szCs w:val="22"/>
              </w:rPr>
            </w:pPr>
            <w:del w:id="2273" w:author="AbbVie19" w:date="2025-04-16T10:35:00Z">
              <w:r w:rsidRPr="00BC0E7E">
                <w:rPr>
                  <w:szCs w:val="22"/>
                </w:rPr>
                <w:delText>-11.5</w:delText>
              </w:r>
            </w:del>
          </w:p>
        </w:tc>
        <w:tc>
          <w:tcPr>
            <w:tcW w:w="1260" w:type="dxa"/>
          </w:tcPr>
          <w:p w14:paraId="60CF37F0" w14:textId="77777777" w:rsidR="00BC0E7E" w:rsidRPr="00BC0E7E" w:rsidRDefault="00944B8F" w:rsidP="00BC0E7E">
            <w:pPr>
              <w:keepNext/>
              <w:jc w:val="center"/>
              <w:rPr>
                <w:del w:id="2274" w:author="AbbVie19" w:date="2025-04-16T10:35:00Z"/>
                <w:szCs w:val="22"/>
              </w:rPr>
            </w:pPr>
            <w:del w:id="2275" w:author="AbbVie19" w:date="2025-04-16T10:35:00Z">
              <w:r w:rsidRPr="00BC0E7E">
                <w:rPr>
                  <w:szCs w:val="22"/>
                </w:rPr>
                <w:delText>-56.2</w:delText>
              </w:r>
              <w:r w:rsidRPr="00BC0E7E">
                <w:rPr>
                  <w:szCs w:val="22"/>
                  <w:vertAlign w:val="superscript"/>
                </w:rPr>
                <w:delText>a</w:delText>
              </w:r>
            </w:del>
          </w:p>
        </w:tc>
        <w:tc>
          <w:tcPr>
            <w:tcW w:w="2268" w:type="dxa"/>
          </w:tcPr>
          <w:p w14:paraId="08A1EAAD" w14:textId="77777777" w:rsidR="00BC0E7E" w:rsidRPr="00BC0E7E" w:rsidRDefault="00944B8F" w:rsidP="00BC0E7E">
            <w:pPr>
              <w:tabs>
                <w:tab w:val="clear" w:pos="562"/>
              </w:tabs>
              <w:suppressAutoHyphens w:val="0"/>
              <w:jc w:val="center"/>
              <w:rPr>
                <w:del w:id="2276" w:author="AbbVie19" w:date="2025-04-16T10:35:00Z"/>
                <w:szCs w:val="22"/>
              </w:rPr>
            </w:pPr>
            <w:del w:id="2277" w:author="AbbVie19" w:date="2025-04-16T10:35:00Z">
              <w:r w:rsidRPr="00BC0E7E">
                <w:rPr>
                  <w:szCs w:val="22"/>
                </w:rPr>
                <w:delText>-72.2</w:delText>
              </w:r>
            </w:del>
          </w:p>
        </w:tc>
      </w:tr>
      <w:tr w:rsidR="00C6578C" w14:paraId="2B6CD2AB" w14:textId="77777777" w:rsidTr="00171601">
        <w:trPr>
          <w:del w:id="2278" w:author="AbbVie19" w:date="2025-04-16T10:35:00Z"/>
        </w:trPr>
        <w:tc>
          <w:tcPr>
            <w:tcW w:w="9576" w:type="dxa"/>
            <w:gridSpan w:val="6"/>
          </w:tcPr>
          <w:p w14:paraId="1B3716A7" w14:textId="77777777" w:rsidR="00BC0E7E" w:rsidRPr="00BC0E7E" w:rsidRDefault="00944B8F" w:rsidP="00BC0E7E">
            <w:pPr>
              <w:tabs>
                <w:tab w:val="clear" w:pos="562"/>
              </w:tabs>
              <w:suppressAutoHyphens w:val="0"/>
              <w:rPr>
                <w:del w:id="2279" w:author="AbbVie19" w:date="2025-04-16T10:35:00Z"/>
                <w:szCs w:val="22"/>
              </w:rPr>
            </w:pPr>
            <w:del w:id="2280" w:author="AbbVie19" w:date="2025-04-16T10:35:00Z">
              <w:r w:rsidRPr="00BC0E7E">
                <w:rPr>
                  <w:szCs w:val="22"/>
                  <w:vertAlign w:val="superscript"/>
                </w:rPr>
                <w:delText>a</w:delText>
              </w:r>
              <w:r w:rsidRPr="00BC0E7E">
                <w:rPr>
                  <w:szCs w:val="22"/>
                </w:rPr>
                <w:delText xml:space="preserve"> p&lt;0.001, Humira </w:delText>
              </w:r>
              <w:r w:rsidRPr="00BC0E7E">
                <w:rPr>
                  <w:i/>
                  <w:szCs w:val="22"/>
                </w:rPr>
                <w:delText>vs.</w:delText>
              </w:r>
              <w:r w:rsidRPr="00BC0E7E">
                <w:rPr>
                  <w:szCs w:val="22"/>
                </w:rPr>
                <w:delText xml:space="preserve"> placebo </w:delText>
              </w:r>
            </w:del>
          </w:p>
        </w:tc>
      </w:tr>
    </w:tbl>
    <w:p w14:paraId="08DAC756" w14:textId="77777777" w:rsidR="00BC0E7E" w:rsidRPr="00BC0E7E" w:rsidRDefault="00BC0E7E" w:rsidP="00BC0E7E">
      <w:pPr>
        <w:tabs>
          <w:tab w:val="clear" w:pos="562"/>
        </w:tabs>
        <w:suppressAutoHyphens w:val="0"/>
        <w:rPr>
          <w:del w:id="2281" w:author="AbbVie19" w:date="2025-04-16T10:35:00Z"/>
          <w:szCs w:val="22"/>
        </w:rPr>
      </w:pPr>
    </w:p>
    <w:p w14:paraId="4C1DE038" w14:textId="77777777" w:rsidR="00BC0E7E" w:rsidRPr="00BC0E7E" w:rsidRDefault="00944B8F" w:rsidP="00BC0E7E">
      <w:pPr>
        <w:rPr>
          <w:del w:id="2282" w:author="AbbVie19" w:date="2025-04-16T10:35:00Z"/>
          <w:szCs w:val="22"/>
        </w:rPr>
      </w:pPr>
      <w:del w:id="2283" w:author="AbbVie19" w:date="2025-04-16T10:35:00Z">
        <w:r w:rsidRPr="00BC0E7E">
          <w:rPr>
            <w:szCs w:val="22"/>
          </w:rPr>
          <w:delText xml:space="preserve">Humira treated patients showed statistically significant improvements at Week 26 compared with placebo in the DLQI. </w:delText>
        </w:r>
      </w:del>
    </w:p>
    <w:p w14:paraId="312FA41A" w14:textId="77777777" w:rsidR="00BC0E7E" w:rsidRPr="00BC0E7E" w:rsidRDefault="00BC0E7E" w:rsidP="00BC0E7E">
      <w:pPr>
        <w:rPr>
          <w:del w:id="2284" w:author="AbbVie19" w:date="2025-04-16T10:35:00Z"/>
          <w:i/>
          <w:szCs w:val="20"/>
        </w:rPr>
      </w:pPr>
    </w:p>
    <w:p w14:paraId="0BB75888" w14:textId="77777777" w:rsidR="00BC0E7E" w:rsidRPr="00BC0E7E" w:rsidRDefault="00944B8F" w:rsidP="003F7AAE">
      <w:pPr>
        <w:keepNext/>
        <w:rPr>
          <w:del w:id="2285" w:author="AbbVie19" w:date="2025-04-16T10:35:00Z"/>
          <w:i/>
          <w:szCs w:val="22"/>
        </w:rPr>
      </w:pPr>
      <w:del w:id="2286" w:author="AbbVie19" w:date="2025-04-16T10:35:00Z">
        <w:r w:rsidRPr="00BC0E7E">
          <w:rPr>
            <w:i/>
            <w:szCs w:val="22"/>
          </w:rPr>
          <w:delText>Adult hidradenitis suppurativa</w:delText>
        </w:r>
      </w:del>
    </w:p>
    <w:p w14:paraId="13CC2024" w14:textId="77777777" w:rsidR="00BC0E7E" w:rsidRPr="00BC0E7E" w:rsidRDefault="00BC0E7E" w:rsidP="003F7AAE">
      <w:pPr>
        <w:keepNext/>
        <w:rPr>
          <w:del w:id="2287" w:author="AbbVie19" w:date="2025-04-16T10:35:00Z"/>
          <w:szCs w:val="22"/>
          <w:u w:val="single"/>
        </w:rPr>
      </w:pPr>
    </w:p>
    <w:p w14:paraId="18F9CA8A" w14:textId="77777777" w:rsidR="00BC0E7E" w:rsidRPr="00BC0E7E" w:rsidRDefault="00944B8F" w:rsidP="003F7AAE">
      <w:pPr>
        <w:keepNext/>
        <w:tabs>
          <w:tab w:val="clear" w:pos="562"/>
        </w:tabs>
        <w:suppressAutoHyphens w:val="0"/>
        <w:rPr>
          <w:del w:id="2288" w:author="AbbVie19" w:date="2025-04-16T10:35:00Z"/>
          <w:rFonts w:eastAsia="MS Mincho"/>
          <w:szCs w:val="22"/>
          <w:lang w:eastAsia="ja-JP"/>
        </w:rPr>
      </w:pPr>
      <w:del w:id="2289" w:author="AbbVie19" w:date="2025-04-16T10:35:00Z">
        <w:r w:rsidRPr="00BC0E7E">
          <w:rPr>
            <w:rFonts w:eastAsia="MS Mincho"/>
            <w:szCs w:val="22"/>
            <w:lang w:eastAsia="ja-JP"/>
          </w:rPr>
          <w:delText>The safety and efficacy of Humira were assessed in randomised, double-blind, placebo-controlled studies and an open-label extension study in adult patients with moderate to severe hidradenitis suppurativa (HS) who were intolerant, had a contraindication or an inadequate response to at least a 3-month trial of systemic antibiotic therapy. The patients in HS-I and HS-II had Hurley Stage II or III disease with at least 3 abscesses or inflammatory nodules.</w:delText>
        </w:r>
      </w:del>
    </w:p>
    <w:p w14:paraId="41DBD238" w14:textId="77777777" w:rsidR="00BC0E7E" w:rsidRPr="00BC0E7E" w:rsidRDefault="00BC0E7E" w:rsidP="00BC0E7E">
      <w:pPr>
        <w:tabs>
          <w:tab w:val="clear" w:pos="562"/>
        </w:tabs>
        <w:suppressAutoHyphens w:val="0"/>
        <w:rPr>
          <w:del w:id="2290" w:author="AbbVie19" w:date="2025-04-16T10:35:00Z"/>
          <w:rFonts w:eastAsia="MS Mincho"/>
          <w:szCs w:val="22"/>
          <w:lang w:eastAsia="ja-JP"/>
        </w:rPr>
      </w:pPr>
    </w:p>
    <w:p w14:paraId="291C9020" w14:textId="77777777" w:rsidR="00BC0E7E" w:rsidRPr="00BC0E7E" w:rsidRDefault="00944B8F" w:rsidP="00BC0E7E">
      <w:pPr>
        <w:tabs>
          <w:tab w:val="clear" w:pos="562"/>
        </w:tabs>
        <w:suppressAutoHyphens w:val="0"/>
        <w:rPr>
          <w:del w:id="2291" w:author="AbbVie19" w:date="2025-04-16T10:35:00Z"/>
          <w:rFonts w:eastAsia="MS Mincho"/>
          <w:szCs w:val="22"/>
          <w:lang w:eastAsia="ja-JP"/>
        </w:rPr>
      </w:pPr>
      <w:del w:id="2292" w:author="AbbVie19" w:date="2025-04-16T10:35:00Z">
        <w:r w:rsidRPr="00BC0E7E">
          <w:rPr>
            <w:rFonts w:eastAsia="MS Mincho"/>
            <w:szCs w:val="22"/>
            <w:lang w:eastAsia="ja-JP"/>
          </w:rPr>
          <w:delText xml:space="preserve">Study HS-I (PIONEER I) evaluated 307 patients with 2 treatment periods. In Period A, patients received placebo or Humira at an initial dose of 160 mg at Week 0, 80 mg at Week 2, and 40 mg every week starting at Week 4 to Week 11. Concomitant antibiotic use was not allowed during the study. After </w:delText>
        </w:r>
        <w:r w:rsidRPr="00BC0E7E">
          <w:rPr>
            <w:rFonts w:eastAsia="MS Mincho"/>
            <w:szCs w:val="22"/>
            <w:lang w:eastAsia="ja-JP"/>
          </w:rPr>
          <w:lastRenderedPageBreak/>
          <w:delText>12 weeks of therapy, patients who had received Humira in Period A were re</w:delText>
        </w:r>
        <w:r w:rsidRPr="00BC0E7E">
          <w:rPr>
            <w:rFonts w:eastAsia="MS Mincho"/>
            <w:szCs w:val="22"/>
            <w:lang w:eastAsia="ja-JP"/>
          </w:rPr>
          <w:noBreakHyphen/>
          <w:delText>randomised in Period B to 1 of 3 treatment groups (Humira 40 mg every week, Humira 40 mg every other week, or placebo from Week 12 to Week 35). Patients who had been randomised to placebo in Period A were assigned to receive Humira 40 mg every week in Period B.</w:delText>
        </w:r>
      </w:del>
    </w:p>
    <w:p w14:paraId="47D1F70A" w14:textId="77777777" w:rsidR="00BC0E7E" w:rsidRPr="00BC0E7E" w:rsidRDefault="00BC0E7E" w:rsidP="00BC0E7E">
      <w:pPr>
        <w:tabs>
          <w:tab w:val="clear" w:pos="562"/>
        </w:tabs>
        <w:suppressAutoHyphens w:val="0"/>
        <w:rPr>
          <w:del w:id="2293" w:author="AbbVie19" w:date="2025-04-16T10:35:00Z"/>
          <w:rFonts w:eastAsia="MS Mincho"/>
          <w:szCs w:val="22"/>
          <w:lang w:eastAsia="ja-JP"/>
        </w:rPr>
      </w:pPr>
    </w:p>
    <w:p w14:paraId="5CFF052F" w14:textId="77777777" w:rsidR="00BC0E7E" w:rsidRPr="00BC0E7E" w:rsidRDefault="00944B8F" w:rsidP="00BC0E7E">
      <w:pPr>
        <w:tabs>
          <w:tab w:val="clear" w:pos="562"/>
        </w:tabs>
        <w:suppressAutoHyphens w:val="0"/>
        <w:rPr>
          <w:del w:id="2294" w:author="AbbVie19" w:date="2025-04-16T10:35:00Z"/>
          <w:rFonts w:eastAsia="MS Mincho"/>
          <w:szCs w:val="22"/>
          <w:lang w:eastAsia="ja-JP"/>
        </w:rPr>
      </w:pPr>
      <w:del w:id="2295" w:author="AbbVie19" w:date="2025-04-16T10:35:00Z">
        <w:r w:rsidRPr="00BC0E7E">
          <w:rPr>
            <w:rFonts w:eastAsia="MS Mincho"/>
            <w:szCs w:val="22"/>
            <w:lang w:eastAsia="ja-JP"/>
          </w:rPr>
          <w:delText>Study HS-II (PIONEER II) evaluated 326 patients with 2 treatment periods. In Period A, patients received placebo or Humira at an initial dose of 160 mg at Week 0 and 80 mg at Week 2 and 40 mg every week starting at Week 4 to Week 11. 19.3% of patients had continued baseline oral antibiotic therapy during the study.  After 12 weeks of therapy, patients who had received Humira in Period A were re</w:delText>
        </w:r>
        <w:r w:rsidRPr="00BC0E7E">
          <w:rPr>
            <w:rFonts w:eastAsia="MS Mincho"/>
            <w:szCs w:val="22"/>
            <w:lang w:eastAsia="ja-JP"/>
          </w:rPr>
          <w:noBreakHyphen/>
          <w:delText>randomised in Period B to 1 of 3 treatment groups (Humira 40 mg every week, Humira 40 mg every other week, or placebo from Week 12 to Week 35). Patients who had been randomised to placebo in Period A were assigned to receive placebo in Period B.</w:delText>
        </w:r>
      </w:del>
    </w:p>
    <w:p w14:paraId="3E76D203" w14:textId="77777777" w:rsidR="00BC0E7E" w:rsidRPr="00BC0E7E" w:rsidRDefault="00BC0E7E" w:rsidP="00BC0E7E">
      <w:pPr>
        <w:tabs>
          <w:tab w:val="clear" w:pos="562"/>
        </w:tabs>
        <w:suppressAutoHyphens w:val="0"/>
        <w:rPr>
          <w:del w:id="2296" w:author="AbbVie19" w:date="2025-04-16T10:35:00Z"/>
          <w:rFonts w:eastAsia="MS Mincho"/>
          <w:szCs w:val="22"/>
          <w:lang w:eastAsia="ja-JP"/>
        </w:rPr>
      </w:pPr>
    </w:p>
    <w:p w14:paraId="6F63932E" w14:textId="77777777" w:rsidR="00BC0E7E" w:rsidRPr="00BC0E7E" w:rsidRDefault="00944B8F" w:rsidP="00BC0E7E">
      <w:pPr>
        <w:tabs>
          <w:tab w:val="clear" w:pos="562"/>
        </w:tabs>
        <w:suppressAutoHyphens w:val="0"/>
        <w:rPr>
          <w:del w:id="2297" w:author="AbbVie19" w:date="2025-04-16T10:35:00Z"/>
          <w:rFonts w:eastAsia="MS Mincho"/>
          <w:szCs w:val="22"/>
          <w:lang w:eastAsia="ja-JP"/>
        </w:rPr>
      </w:pPr>
      <w:del w:id="2298" w:author="AbbVie19" w:date="2025-04-16T10:35:00Z">
        <w:r w:rsidRPr="00BC0E7E">
          <w:rPr>
            <w:rFonts w:eastAsia="MS Mincho"/>
            <w:szCs w:val="22"/>
            <w:lang w:eastAsia="ja-JP"/>
          </w:rPr>
          <w:delText>Patients participating in Studies HS-I and HS-II were eligible to enrol into an open</w:delText>
        </w:r>
        <w:r w:rsidRPr="00BC0E7E">
          <w:rPr>
            <w:rFonts w:eastAsia="MS Mincho"/>
            <w:szCs w:val="22"/>
            <w:lang w:eastAsia="ja-JP"/>
          </w:rPr>
          <w:noBreakHyphen/>
          <w:delText>label extension study in which Humira 40mg was administered every week.</w:delText>
        </w:r>
        <w:r w:rsidRPr="00BC0E7E">
          <w:rPr>
            <w:lang w:eastAsia="ja-JP"/>
          </w:rPr>
          <w:delText xml:space="preserve"> Mean exposure in all adalimumab population was 762 days.</w:delText>
        </w:r>
        <w:r w:rsidRPr="00BC0E7E">
          <w:rPr>
            <w:rFonts w:eastAsia="MS Mincho"/>
            <w:szCs w:val="22"/>
            <w:lang w:eastAsia="ja-JP"/>
          </w:rPr>
          <w:delText xml:space="preserve"> Throughout all 3 studies patients used topical antiseptic wash daily.</w:delText>
        </w:r>
      </w:del>
    </w:p>
    <w:p w14:paraId="5A124099" w14:textId="77777777" w:rsidR="00BC0E7E" w:rsidRPr="00BC0E7E" w:rsidRDefault="00BC0E7E" w:rsidP="00BC0E7E">
      <w:pPr>
        <w:tabs>
          <w:tab w:val="clear" w:pos="562"/>
        </w:tabs>
        <w:suppressAutoHyphens w:val="0"/>
        <w:rPr>
          <w:del w:id="2299" w:author="AbbVie19" w:date="2025-04-16T10:35:00Z"/>
          <w:rFonts w:eastAsia="MS Mincho"/>
          <w:szCs w:val="22"/>
          <w:lang w:eastAsia="ja-JP"/>
        </w:rPr>
      </w:pPr>
    </w:p>
    <w:p w14:paraId="09451536" w14:textId="77777777" w:rsidR="00BC0E7E" w:rsidRPr="00BC0E7E" w:rsidRDefault="00944B8F" w:rsidP="00BC0E7E">
      <w:pPr>
        <w:keepNext/>
        <w:keepLines/>
        <w:tabs>
          <w:tab w:val="clear" w:pos="562"/>
        </w:tabs>
        <w:suppressAutoHyphens w:val="0"/>
        <w:rPr>
          <w:del w:id="2300" w:author="AbbVie19" w:date="2025-04-16T10:35:00Z"/>
          <w:rFonts w:eastAsia="MS Mincho"/>
          <w:bCs/>
          <w:i/>
          <w:szCs w:val="22"/>
          <w:u w:val="single"/>
          <w:lang w:eastAsia="ja-JP"/>
        </w:rPr>
      </w:pPr>
      <w:del w:id="2301" w:author="AbbVie19" w:date="2025-04-16T10:35:00Z">
        <w:r w:rsidRPr="00BC0E7E">
          <w:rPr>
            <w:rFonts w:eastAsia="MS Mincho"/>
            <w:bCs/>
            <w:i/>
            <w:szCs w:val="22"/>
            <w:u w:val="single"/>
            <w:lang w:eastAsia="ja-JP"/>
          </w:rPr>
          <w:delText>Clinical Response</w:delText>
        </w:r>
      </w:del>
    </w:p>
    <w:p w14:paraId="3A4B741C" w14:textId="77777777" w:rsidR="00BC0E7E" w:rsidRPr="003F7AAE" w:rsidRDefault="00BC0E7E" w:rsidP="00BC0E7E">
      <w:pPr>
        <w:tabs>
          <w:tab w:val="clear" w:pos="562"/>
        </w:tabs>
        <w:suppressAutoHyphens w:val="0"/>
        <w:rPr>
          <w:del w:id="2302" w:author="AbbVie19" w:date="2025-04-16T10:35:00Z"/>
          <w:rFonts w:eastAsia="MS Mincho"/>
          <w:szCs w:val="22"/>
          <w:lang w:eastAsia="ja-JP"/>
        </w:rPr>
      </w:pPr>
    </w:p>
    <w:p w14:paraId="7BB2388D" w14:textId="77777777" w:rsidR="00BC0E7E" w:rsidRPr="00BC0E7E" w:rsidRDefault="00944B8F" w:rsidP="00BC0E7E">
      <w:pPr>
        <w:tabs>
          <w:tab w:val="clear" w:pos="562"/>
        </w:tabs>
        <w:suppressAutoHyphens w:val="0"/>
        <w:rPr>
          <w:del w:id="2303" w:author="AbbVie19" w:date="2025-04-16T10:35:00Z"/>
          <w:rFonts w:eastAsia="MS Mincho"/>
          <w:szCs w:val="22"/>
          <w:lang w:eastAsia="ja-JP"/>
        </w:rPr>
      </w:pPr>
      <w:del w:id="2304" w:author="AbbVie19" w:date="2025-04-16T10:35:00Z">
        <w:r w:rsidRPr="00BC0E7E">
          <w:rPr>
            <w:rFonts w:eastAsia="MS Mincho"/>
            <w:szCs w:val="22"/>
            <w:lang w:eastAsia="ja-JP"/>
          </w:rPr>
          <w:delText xml:space="preserve">Reduction of inflammatory lesions and prevention of worsening of abscesses and draining fistulas was assessed using Hidradenitis Suppurativa Clinical Response (HiSCR; at least a 50% reduction in total abscess and inflammatory nodule count with no increase in abscess count and no increase in draining fistula count relative to Baseline). Reduction in HS-related skin pain was assessed using a Numeric Rating Scale in patients who entered the study with an initial baseline score of 3 or greater on a 11 point scale. </w:delText>
        </w:r>
      </w:del>
    </w:p>
    <w:p w14:paraId="7F306604" w14:textId="77777777" w:rsidR="00BC0E7E" w:rsidRPr="00BC0E7E" w:rsidRDefault="00BC0E7E" w:rsidP="00BC0E7E">
      <w:pPr>
        <w:tabs>
          <w:tab w:val="clear" w:pos="562"/>
        </w:tabs>
        <w:suppressAutoHyphens w:val="0"/>
        <w:rPr>
          <w:del w:id="2305" w:author="AbbVie19" w:date="2025-04-16T10:35:00Z"/>
          <w:rFonts w:eastAsia="MS Mincho"/>
          <w:szCs w:val="22"/>
          <w:lang w:eastAsia="ja-JP"/>
        </w:rPr>
      </w:pPr>
    </w:p>
    <w:p w14:paraId="7EC69DC3" w14:textId="77777777" w:rsidR="00BC0E7E" w:rsidRPr="00BC0E7E" w:rsidRDefault="00944B8F" w:rsidP="00BC0E7E">
      <w:pPr>
        <w:rPr>
          <w:del w:id="2306" w:author="AbbVie19" w:date="2025-04-16T10:35:00Z"/>
          <w:szCs w:val="22"/>
        </w:rPr>
      </w:pPr>
      <w:del w:id="2307" w:author="AbbVie19" w:date="2025-04-16T10:35:00Z">
        <w:r w:rsidRPr="00BC0E7E">
          <w:rPr>
            <w:szCs w:val="22"/>
          </w:rPr>
          <w:delText xml:space="preserve">At Week 12, a significantly higher proportion of patients treated with Humira versus placebo achieved HiSCR.   At Week 12, a significantly higher proportion of patients in Study HS-II experienced a clinically relevant decrease in HS-related skin pain (see Table </w:delText>
        </w:r>
        <w:r w:rsidR="00C25049">
          <w:rPr>
            <w:szCs w:val="22"/>
          </w:rPr>
          <w:delText>1</w:delText>
        </w:r>
        <w:r w:rsidR="005F03EC">
          <w:rPr>
            <w:szCs w:val="22"/>
          </w:rPr>
          <w:delText>5</w:delText>
        </w:r>
        <w:r w:rsidRPr="00BC0E7E">
          <w:rPr>
            <w:szCs w:val="22"/>
          </w:rPr>
          <w:delText>). Patients treated with Humira had significantly reduced risk of disease flare during the initial 12 weeks of treatment.</w:delText>
        </w:r>
      </w:del>
    </w:p>
    <w:p w14:paraId="249F3ADA" w14:textId="77777777" w:rsidR="00BC0E7E" w:rsidRPr="00BC0E7E" w:rsidRDefault="00BC0E7E" w:rsidP="00BC0E7E">
      <w:pPr>
        <w:rPr>
          <w:del w:id="2308" w:author="AbbVie19" w:date="2025-04-16T10:35:00Z"/>
          <w:szCs w:val="22"/>
        </w:rPr>
      </w:pPr>
    </w:p>
    <w:p w14:paraId="0BA17E29" w14:textId="77777777" w:rsidR="00BC0E7E" w:rsidRPr="00BC0E7E" w:rsidRDefault="00944B8F" w:rsidP="005D7F61">
      <w:pPr>
        <w:keepNext/>
        <w:keepLines/>
        <w:widowControl w:val="0"/>
        <w:tabs>
          <w:tab w:val="clear" w:pos="562"/>
        </w:tabs>
        <w:suppressAutoHyphens w:val="0"/>
        <w:spacing w:line="320" w:lineRule="exact"/>
        <w:ind w:left="360"/>
        <w:jc w:val="center"/>
        <w:rPr>
          <w:del w:id="2309" w:author="AbbVie19" w:date="2025-04-16T10:35:00Z"/>
          <w:rFonts w:eastAsia="MS Mincho"/>
          <w:b/>
          <w:bCs/>
          <w:iCs/>
          <w:szCs w:val="22"/>
          <w:lang w:eastAsia="ja-JP"/>
        </w:rPr>
      </w:pPr>
      <w:del w:id="2310" w:author="AbbVie19" w:date="2025-04-16T10:35:00Z">
        <w:r w:rsidRPr="00BC0E7E">
          <w:rPr>
            <w:rFonts w:eastAsia="MS Mincho"/>
            <w:b/>
            <w:szCs w:val="22"/>
            <w:lang w:eastAsia="ja-JP"/>
          </w:rPr>
          <w:delText xml:space="preserve">Table </w:delText>
        </w:r>
        <w:r w:rsidR="00C25049">
          <w:rPr>
            <w:rFonts w:eastAsia="MS Mincho"/>
            <w:b/>
            <w:szCs w:val="22"/>
            <w:lang w:eastAsia="ja-JP"/>
          </w:rPr>
          <w:delText>1</w:delText>
        </w:r>
        <w:r w:rsidR="005F03EC">
          <w:rPr>
            <w:rFonts w:eastAsia="MS Mincho"/>
            <w:b/>
            <w:szCs w:val="22"/>
            <w:lang w:eastAsia="ja-JP"/>
          </w:rPr>
          <w:delText>5</w:delText>
        </w:r>
        <w:r w:rsidRPr="00BC0E7E">
          <w:rPr>
            <w:rFonts w:eastAsia="MS Mincho"/>
            <w:b/>
            <w:szCs w:val="22"/>
            <w:lang w:eastAsia="ja-JP"/>
          </w:rPr>
          <w:delText xml:space="preserve">:  </w:delText>
        </w:r>
        <w:r w:rsidRPr="00BC0E7E">
          <w:rPr>
            <w:rFonts w:eastAsia="MS Mincho"/>
            <w:b/>
            <w:bCs/>
            <w:iCs/>
            <w:szCs w:val="22"/>
            <w:lang w:eastAsia="ja-JP"/>
          </w:rPr>
          <w:delText>Efficacy Results at 12 Weeks, HS Studies I and II</w:delText>
        </w:r>
      </w:del>
    </w:p>
    <w:p w14:paraId="4D71B0E1" w14:textId="77777777" w:rsidR="00BC0E7E" w:rsidRPr="009072FC" w:rsidRDefault="00BC0E7E" w:rsidP="005D7F61">
      <w:pPr>
        <w:keepNext/>
        <w:keepLines/>
        <w:widowControl w:val="0"/>
        <w:tabs>
          <w:tab w:val="clear" w:pos="562"/>
        </w:tabs>
        <w:suppressAutoHyphens w:val="0"/>
        <w:ind w:left="357"/>
        <w:jc w:val="center"/>
        <w:rPr>
          <w:del w:id="2311" w:author="AbbVie19" w:date="2025-04-16T10:35:00Z"/>
          <w:rFonts w:eastAsia="MS Mincho"/>
          <w:szCs w:val="22"/>
          <w:lang w:eastAsia="ja-JP"/>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C6578C" w14:paraId="595E9F79" w14:textId="77777777" w:rsidTr="00171601">
        <w:trPr>
          <w:jc w:val="center"/>
          <w:del w:id="2312" w:author="AbbVie19" w:date="2025-04-16T10:35:00Z"/>
        </w:trPr>
        <w:tc>
          <w:tcPr>
            <w:tcW w:w="2847" w:type="dxa"/>
            <w:vMerge w:val="restart"/>
            <w:tcMar>
              <w:top w:w="0" w:type="dxa"/>
              <w:left w:w="115" w:type="dxa"/>
              <w:bottom w:w="0" w:type="dxa"/>
              <w:right w:w="115" w:type="dxa"/>
            </w:tcMar>
            <w:vAlign w:val="bottom"/>
          </w:tcPr>
          <w:p w14:paraId="1D9B743E" w14:textId="77777777" w:rsidR="00BC0E7E" w:rsidRPr="00BC0E7E" w:rsidRDefault="00BC0E7E" w:rsidP="005D7F61">
            <w:pPr>
              <w:keepNext/>
              <w:widowControl w:val="0"/>
              <w:rPr>
                <w:del w:id="2313" w:author="AbbVie19" w:date="2025-04-16T10:35:00Z"/>
                <w:b/>
              </w:rPr>
            </w:pPr>
          </w:p>
        </w:tc>
        <w:tc>
          <w:tcPr>
            <w:tcW w:w="3186" w:type="dxa"/>
            <w:gridSpan w:val="2"/>
            <w:tcMar>
              <w:top w:w="0" w:type="dxa"/>
              <w:left w:w="115" w:type="dxa"/>
              <w:bottom w:w="0" w:type="dxa"/>
              <w:right w:w="115" w:type="dxa"/>
            </w:tcMar>
            <w:vAlign w:val="bottom"/>
          </w:tcPr>
          <w:p w14:paraId="6FC73374" w14:textId="77777777" w:rsidR="00BC0E7E" w:rsidRPr="00BC0E7E" w:rsidRDefault="00944B8F" w:rsidP="005D7F61">
            <w:pPr>
              <w:keepNext/>
              <w:widowControl w:val="0"/>
              <w:jc w:val="center"/>
              <w:rPr>
                <w:del w:id="2314" w:author="AbbVie19" w:date="2025-04-16T10:35:00Z"/>
                <w:b/>
                <w:bCs/>
              </w:rPr>
            </w:pPr>
            <w:del w:id="2315" w:author="AbbVie19" w:date="2025-04-16T10:35:00Z">
              <w:r w:rsidRPr="00BC0E7E">
                <w:rPr>
                  <w:b/>
                  <w:bCs/>
                </w:rPr>
                <w:delText>HS Study I</w:delText>
              </w:r>
            </w:del>
          </w:p>
        </w:tc>
        <w:tc>
          <w:tcPr>
            <w:tcW w:w="3260" w:type="dxa"/>
            <w:gridSpan w:val="2"/>
            <w:tcMar>
              <w:top w:w="0" w:type="dxa"/>
              <w:left w:w="115" w:type="dxa"/>
              <w:bottom w:w="0" w:type="dxa"/>
              <w:right w:w="115" w:type="dxa"/>
            </w:tcMar>
            <w:vAlign w:val="bottom"/>
          </w:tcPr>
          <w:p w14:paraId="480DED8A" w14:textId="77777777" w:rsidR="00BC0E7E" w:rsidRPr="00BC0E7E" w:rsidRDefault="00944B8F" w:rsidP="005D7F61">
            <w:pPr>
              <w:keepNext/>
              <w:widowControl w:val="0"/>
              <w:jc w:val="center"/>
              <w:rPr>
                <w:del w:id="2316" w:author="AbbVie19" w:date="2025-04-16T10:35:00Z"/>
                <w:b/>
                <w:bCs/>
              </w:rPr>
            </w:pPr>
            <w:del w:id="2317" w:author="AbbVie19" w:date="2025-04-16T10:35:00Z">
              <w:r w:rsidRPr="00BC0E7E">
                <w:rPr>
                  <w:b/>
                  <w:bCs/>
                </w:rPr>
                <w:delText>HS Study II</w:delText>
              </w:r>
            </w:del>
          </w:p>
        </w:tc>
      </w:tr>
      <w:tr w:rsidR="00C6578C" w14:paraId="38990D79" w14:textId="77777777" w:rsidTr="00171601">
        <w:trPr>
          <w:jc w:val="center"/>
          <w:del w:id="2318" w:author="AbbVie19" w:date="2025-04-16T10:35:00Z"/>
        </w:trPr>
        <w:tc>
          <w:tcPr>
            <w:tcW w:w="2847" w:type="dxa"/>
            <w:vMerge/>
            <w:tcMar>
              <w:top w:w="0" w:type="dxa"/>
              <w:left w:w="115" w:type="dxa"/>
              <w:bottom w:w="0" w:type="dxa"/>
              <w:right w:w="115" w:type="dxa"/>
            </w:tcMar>
            <w:vAlign w:val="center"/>
            <w:hideMark/>
          </w:tcPr>
          <w:p w14:paraId="1E18C4B8" w14:textId="77777777" w:rsidR="00BC0E7E" w:rsidRPr="00BC0E7E" w:rsidRDefault="00BC0E7E" w:rsidP="005D7F61">
            <w:pPr>
              <w:keepNext/>
              <w:widowControl w:val="0"/>
              <w:rPr>
                <w:del w:id="2319" w:author="AbbVie19" w:date="2025-04-16T10:35:00Z"/>
              </w:rPr>
            </w:pPr>
          </w:p>
        </w:tc>
        <w:tc>
          <w:tcPr>
            <w:tcW w:w="1440" w:type="dxa"/>
            <w:tcMar>
              <w:top w:w="0" w:type="dxa"/>
              <w:left w:w="115" w:type="dxa"/>
              <w:bottom w:w="0" w:type="dxa"/>
              <w:right w:w="115" w:type="dxa"/>
            </w:tcMar>
            <w:vAlign w:val="bottom"/>
            <w:hideMark/>
          </w:tcPr>
          <w:p w14:paraId="373F7F91" w14:textId="77777777" w:rsidR="00BC0E7E" w:rsidRPr="00BC0E7E" w:rsidRDefault="00944B8F" w:rsidP="005D7F61">
            <w:pPr>
              <w:keepNext/>
              <w:widowControl w:val="0"/>
              <w:jc w:val="center"/>
              <w:rPr>
                <w:del w:id="2320" w:author="AbbVie19" w:date="2025-04-16T10:35:00Z"/>
              </w:rPr>
            </w:pPr>
            <w:del w:id="2321" w:author="AbbVie19" w:date="2025-04-16T10:35:00Z">
              <w:r w:rsidRPr="00BC0E7E">
                <w:rPr>
                  <w:b/>
                  <w:bCs/>
                </w:rPr>
                <w:delText>Placebo</w:delText>
              </w:r>
            </w:del>
          </w:p>
        </w:tc>
        <w:tc>
          <w:tcPr>
            <w:tcW w:w="1746" w:type="dxa"/>
            <w:tcMar>
              <w:top w:w="0" w:type="dxa"/>
              <w:left w:w="115" w:type="dxa"/>
              <w:bottom w:w="0" w:type="dxa"/>
              <w:right w:w="115" w:type="dxa"/>
            </w:tcMar>
            <w:vAlign w:val="bottom"/>
            <w:hideMark/>
          </w:tcPr>
          <w:p w14:paraId="1A0DA469" w14:textId="77777777" w:rsidR="00BC0E7E" w:rsidRPr="00BC0E7E" w:rsidRDefault="00944B8F" w:rsidP="005D7F61">
            <w:pPr>
              <w:keepNext/>
              <w:widowControl w:val="0"/>
              <w:jc w:val="center"/>
              <w:rPr>
                <w:del w:id="2322" w:author="AbbVie19" w:date="2025-04-16T10:35:00Z"/>
                <w:b/>
                <w:bCs/>
              </w:rPr>
            </w:pPr>
            <w:del w:id="2323" w:author="AbbVie19" w:date="2025-04-16T10:35:00Z">
              <w:r w:rsidRPr="00BC0E7E">
                <w:rPr>
                  <w:b/>
                  <w:bCs/>
                </w:rPr>
                <w:delText>Humira 40 mg Weekly</w:delText>
              </w:r>
            </w:del>
          </w:p>
        </w:tc>
        <w:tc>
          <w:tcPr>
            <w:tcW w:w="1404" w:type="dxa"/>
            <w:tcMar>
              <w:top w:w="0" w:type="dxa"/>
              <w:left w:w="115" w:type="dxa"/>
              <w:bottom w:w="0" w:type="dxa"/>
              <w:right w:w="115" w:type="dxa"/>
            </w:tcMar>
            <w:vAlign w:val="bottom"/>
            <w:hideMark/>
          </w:tcPr>
          <w:p w14:paraId="1869159B" w14:textId="77777777" w:rsidR="00BC0E7E" w:rsidRPr="00BC0E7E" w:rsidRDefault="00944B8F" w:rsidP="005D7F61">
            <w:pPr>
              <w:keepNext/>
              <w:widowControl w:val="0"/>
              <w:jc w:val="center"/>
              <w:rPr>
                <w:del w:id="2324" w:author="AbbVie19" w:date="2025-04-16T10:35:00Z"/>
                <w:b/>
                <w:bCs/>
              </w:rPr>
            </w:pPr>
            <w:del w:id="2325" w:author="AbbVie19" w:date="2025-04-16T10:35:00Z">
              <w:r w:rsidRPr="00BC0E7E">
                <w:rPr>
                  <w:b/>
                  <w:bCs/>
                </w:rPr>
                <w:delText xml:space="preserve">Placebo </w:delText>
              </w:r>
            </w:del>
          </w:p>
        </w:tc>
        <w:tc>
          <w:tcPr>
            <w:tcW w:w="1856" w:type="dxa"/>
            <w:tcMar>
              <w:top w:w="0" w:type="dxa"/>
              <w:left w:w="115" w:type="dxa"/>
              <w:bottom w:w="0" w:type="dxa"/>
              <w:right w:w="115" w:type="dxa"/>
            </w:tcMar>
            <w:vAlign w:val="bottom"/>
            <w:hideMark/>
          </w:tcPr>
          <w:p w14:paraId="126E9D66" w14:textId="77777777" w:rsidR="00BC0E7E" w:rsidRPr="00BC0E7E" w:rsidRDefault="00944B8F" w:rsidP="005D7F61">
            <w:pPr>
              <w:keepNext/>
              <w:widowControl w:val="0"/>
              <w:jc w:val="center"/>
              <w:rPr>
                <w:del w:id="2326" w:author="AbbVie19" w:date="2025-04-16T10:35:00Z"/>
                <w:b/>
                <w:bCs/>
              </w:rPr>
            </w:pPr>
            <w:del w:id="2327" w:author="AbbVie19" w:date="2025-04-16T10:35:00Z">
              <w:r w:rsidRPr="00BC0E7E">
                <w:rPr>
                  <w:b/>
                  <w:bCs/>
                </w:rPr>
                <w:delText>Humira 40 mg Weekly</w:delText>
              </w:r>
            </w:del>
          </w:p>
        </w:tc>
      </w:tr>
      <w:tr w:rsidR="00C6578C" w14:paraId="2FF9727A" w14:textId="77777777" w:rsidTr="00171601">
        <w:trPr>
          <w:trHeight w:val="755"/>
          <w:jc w:val="center"/>
          <w:del w:id="2328" w:author="AbbVie19" w:date="2025-04-16T10:35:00Z"/>
        </w:trPr>
        <w:tc>
          <w:tcPr>
            <w:tcW w:w="2847" w:type="dxa"/>
            <w:tcMar>
              <w:top w:w="0" w:type="dxa"/>
              <w:left w:w="115" w:type="dxa"/>
              <w:bottom w:w="0" w:type="dxa"/>
              <w:right w:w="115" w:type="dxa"/>
            </w:tcMar>
            <w:vAlign w:val="center"/>
            <w:hideMark/>
          </w:tcPr>
          <w:p w14:paraId="62A6B65E" w14:textId="77777777" w:rsidR="00BC0E7E" w:rsidRPr="00BC0E7E" w:rsidRDefault="00944B8F" w:rsidP="005D7F61">
            <w:pPr>
              <w:keepNext/>
              <w:widowControl w:val="0"/>
              <w:rPr>
                <w:del w:id="2329" w:author="AbbVie19" w:date="2025-04-16T10:35:00Z"/>
              </w:rPr>
            </w:pPr>
            <w:del w:id="2330" w:author="AbbVie19" w:date="2025-04-16T10:35:00Z">
              <w:r w:rsidRPr="00BC0E7E">
                <w:delText>Hidradenitis Suppurativa Clinical Response (HiSCR)</w:delText>
              </w:r>
              <w:r w:rsidRPr="00BC0E7E">
                <w:rPr>
                  <w:vertAlign w:val="superscript"/>
                </w:rPr>
                <w:delText>a</w:delText>
              </w:r>
              <w:r w:rsidRPr="00BC0E7E">
                <w:delText xml:space="preserve"> </w:delText>
              </w:r>
            </w:del>
          </w:p>
          <w:p w14:paraId="30AF2511" w14:textId="77777777" w:rsidR="00BC0E7E" w:rsidRPr="00BC0E7E" w:rsidRDefault="00BC0E7E" w:rsidP="005D7F61">
            <w:pPr>
              <w:keepNext/>
              <w:widowControl w:val="0"/>
              <w:rPr>
                <w:del w:id="2331" w:author="AbbVie19" w:date="2025-04-16T10:35:00Z"/>
              </w:rPr>
            </w:pPr>
          </w:p>
        </w:tc>
        <w:tc>
          <w:tcPr>
            <w:tcW w:w="1440" w:type="dxa"/>
            <w:tcMar>
              <w:top w:w="0" w:type="dxa"/>
              <w:left w:w="115" w:type="dxa"/>
              <w:bottom w:w="0" w:type="dxa"/>
              <w:right w:w="115" w:type="dxa"/>
            </w:tcMar>
            <w:hideMark/>
          </w:tcPr>
          <w:p w14:paraId="4A2DCCC0" w14:textId="77777777" w:rsidR="00BC0E7E" w:rsidRPr="00BC0E7E" w:rsidRDefault="00944B8F" w:rsidP="005D7F61">
            <w:pPr>
              <w:keepNext/>
              <w:widowControl w:val="0"/>
              <w:jc w:val="center"/>
              <w:rPr>
                <w:del w:id="2332" w:author="AbbVie19" w:date="2025-04-16T10:35:00Z"/>
              </w:rPr>
            </w:pPr>
            <w:del w:id="2333" w:author="AbbVie19" w:date="2025-04-16T10:35:00Z">
              <w:r w:rsidRPr="00BC0E7E">
                <w:delText>N = 154</w:delText>
              </w:r>
              <w:r w:rsidRPr="00BC0E7E">
                <w:br/>
                <w:delText>40 (26.0%)</w:delText>
              </w:r>
            </w:del>
          </w:p>
        </w:tc>
        <w:tc>
          <w:tcPr>
            <w:tcW w:w="1746" w:type="dxa"/>
            <w:tcMar>
              <w:top w:w="0" w:type="dxa"/>
              <w:left w:w="115" w:type="dxa"/>
              <w:bottom w:w="0" w:type="dxa"/>
              <w:right w:w="115" w:type="dxa"/>
            </w:tcMar>
            <w:hideMark/>
          </w:tcPr>
          <w:p w14:paraId="5A14B7D7" w14:textId="77777777" w:rsidR="00BC0E7E" w:rsidRPr="00BC0E7E" w:rsidRDefault="00944B8F" w:rsidP="005D7F61">
            <w:pPr>
              <w:keepNext/>
              <w:widowControl w:val="0"/>
              <w:jc w:val="center"/>
              <w:rPr>
                <w:del w:id="2334" w:author="AbbVie19" w:date="2025-04-16T10:35:00Z"/>
              </w:rPr>
            </w:pPr>
            <w:del w:id="2335" w:author="AbbVie19" w:date="2025-04-16T10:35:00Z">
              <w:r w:rsidRPr="00BC0E7E">
                <w:delText>N = 153</w:delText>
              </w:r>
              <w:r w:rsidRPr="00BC0E7E">
                <w:br/>
                <w:delText xml:space="preserve">64 (41.8%) </w:delText>
              </w:r>
              <w:r w:rsidRPr="00BC0E7E">
                <w:rPr>
                  <w:vertAlign w:val="superscript"/>
                </w:rPr>
                <w:delText>*</w:delText>
              </w:r>
            </w:del>
          </w:p>
        </w:tc>
        <w:tc>
          <w:tcPr>
            <w:tcW w:w="1404" w:type="dxa"/>
            <w:tcMar>
              <w:top w:w="0" w:type="dxa"/>
              <w:left w:w="115" w:type="dxa"/>
              <w:bottom w:w="0" w:type="dxa"/>
              <w:right w:w="115" w:type="dxa"/>
            </w:tcMar>
          </w:tcPr>
          <w:p w14:paraId="67DDA7FE" w14:textId="77777777" w:rsidR="00BC0E7E" w:rsidRPr="00BC0E7E" w:rsidRDefault="00944B8F" w:rsidP="005D7F61">
            <w:pPr>
              <w:keepNext/>
              <w:widowControl w:val="0"/>
              <w:jc w:val="center"/>
              <w:rPr>
                <w:del w:id="2336" w:author="AbbVie19" w:date="2025-04-16T10:35:00Z"/>
              </w:rPr>
            </w:pPr>
            <w:del w:id="2337" w:author="AbbVie19" w:date="2025-04-16T10:35:00Z">
              <w:r w:rsidRPr="00BC0E7E">
                <w:delText>N=163</w:delText>
              </w:r>
            </w:del>
          </w:p>
          <w:p w14:paraId="3D82A2E6" w14:textId="77777777" w:rsidR="00BC0E7E" w:rsidRPr="00BC0E7E" w:rsidRDefault="00944B8F" w:rsidP="005D7F61">
            <w:pPr>
              <w:keepNext/>
              <w:widowControl w:val="0"/>
              <w:jc w:val="center"/>
              <w:rPr>
                <w:del w:id="2338" w:author="AbbVie19" w:date="2025-04-16T10:35:00Z"/>
              </w:rPr>
            </w:pPr>
            <w:del w:id="2339" w:author="AbbVie19" w:date="2025-04-16T10:35:00Z">
              <w:r w:rsidRPr="00BC0E7E">
                <w:delText>45 (27.6%)</w:delText>
              </w:r>
            </w:del>
          </w:p>
        </w:tc>
        <w:tc>
          <w:tcPr>
            <w:tcW w:w="1856" w:type="dxa"/>
            <w:tcMar>
              <w:top w:w="0" w:type="dxa"/>
              <w:left w:w="115" w:type="dxa"/>
              <w:bottom w:w="0" w:type="dxa"/>
              <w:right w:w="115" w:type="dxa"/>
            </w:tcMar>
          </w:tcPr>
          <w:p w14:paraId="57B03369" w14:textId="77777777" w:rsidR="00BC0E7E" w:rsidRPr="00BC0E7E" w:rsidRDefault="00944B8F" w:rsidP="005D7F61">
            <w:pPr>
              <w:keepNext/>
              <w:widowControl w:val="0"/>
              <w:jc w:val="center"/>
              <w:rPr>
                <w:del w:id="2340" w:author="AbbVie19" w:date="2025-04-16T10:35:00Z"/>
              </w:rPr>
            </w:pPr>
            <w:del w:id="2341" w:author="AbbVie19" w:date="2025-04-16T10:35:00Z">
              <w:r w:rsidRPr="00BC0E7E">
                <w:delText>N=163</w:delText>
              </w:r>
            </w:del>
          </w:p>
          <w:p w14:paraId="1DB12587" w14:textId="77777777" w:rsidR="00BC0E7E" w:rsidRPr="00BC0E7E" w:rsidRDefault="00944B8F" w:rsidP="005D7F61">
            <w:pPr>
              <w:keepNext/>
              <w:widowControl w:val="0"/>
              <w:jc w:val="center"/>
              <w:rPr>
                <w:del w:id="2342" w:author="AbbVie19" w:date="2025-04-16T10:35:00Z"/>
              </w:rPr>
            </w:pPr>
            <w:del w:id="2343" w:author="AbbVie19" w:date="2025-04-16T10:35:00Z">
              <w:r w:rsidRPr="00BC0E7E">
                <w:delText xml:space="preserve">96 (58.9%) </w:delText>
              </w:r>
              <w:r w:rsidRPr="00BC0E7E">
                <w:rPr>
                  <w:vertAlign w:val="superscript"/>
                </w:rPr>
                <w:delText>***</w:delText>
              </w:r>
            </w:del>
          </w:p>
        </w:tc>
      </w:tr>
      <w:tr w:rsidR="00C6578C" w14:paraId="6D250149" w14:textId="77777777" w:rsidTr="00171601">
        <w:trPr>
          <w:jc w:val="center"/>
          <w:del w:id="2344" w:author="AbbVie19" w:date="2025-04-16T10:35:00Z"/>
        </w:trPr>
        <w:tc>
          <w:tcPr>
            <w:tcW w:w="2847" w:type="dxa"/>
            <w:tcMar>
              <w:top w:w="0" w:type="dxa"/>
              <w:left w:w="115" w:type="dxa"/>
              <w:bottom w:w="0" w:type="dxa"/>
              <w:right w:w="115" w:type="dxa"/>
            </w:tcMar>
            <w:vAlign w:val="center"/>
            <w:hideMark/>
          </w:tcPr>
          <w:p w14:paraId="0FA98246" w14:textId="77777777" w:rsidR="00BC0E7E" w:rsidRPr="00BC0E7E" w:rsidRDefault="00944B8F" w:rsidP="005D7F61">
            <w:pPr>
              <w:keepNext/>
              <w:widowControl w:val="0"/>
              <w:rPr>
                <w:del w:id="2345" w:author="AbbVie19" w:date="2025-04-16T10:35:00Z"/>
              </w:rPr>
            </w:pPr>
            <w:del w:id="2346" w:author="AbbVie19" w:date="2025-04-16T10:35:00Z">
              <w:r w:rsidRPr="00BC0E7E">
                <w:delText>≥30% Reduction in Skin Pain</w:delText>
              </w:r>
              <w:r w:rsidRPr="00BC0E7E">
                <w:rPr>
                  <w:vertAlign w:val="superscript"/>
                </w:rPr>
                <w:delText>b</w:delText>
              </w:r>
            </w:del>
          </w:p>
        </w:tc>
        <w:tc>
          <w:tcPr>
            <w:tcW w:w="1440" w:type="dxa"/>
            <w:tcMar>
              <w:top w:w="0" w:type="dxa"/>
              <w:left w:w="115" w:type="dxa"/>
              <w:bottom w:w="0" w:type="dxa"/>
              <w:right w:w="115" w:type="dxa"/>
            </w:tcMar>
            <w:hideMark/>
          </w:tcPr>
          <w:p w14:paraId="74F763A2" w14:textId="77777777" w:rsidR="00BC0E7E" w:rsidRPr="00BC0E7E" w:rsidRDefault="00944B8F" w:rsidP="005D7F61">
            <w:pPr>
              <w:keepNext/>
              <w:widowControl w:val="0"/>
              <w:jc w:val="center"/>
              <w:rPr>
                <w:del w:id="2347" w:author="AbbVie19" w:date="2025-04-16T10:35:00Z"/>
              </w:rPr>
            </w:pPr>
            <w:del w:id="2348" w:author="AbbVie19" w:date="2025-04-16T10:35:00Z">
              <w:r w:rsidRPr="00BC0E7E">
                <w:delText>N = 109</w:delText>
              </w:r>
              <w:r w:rsidRPr="00BC0E7E">
                <w:br/>
                <w:delText>27 (24.8%)</w:delText>
              </w:r>
            </w:del>
          </w:p>
        </w:tc>
        <w:tc>
          <w:tcPr>
            <w:tcW w:w="1746" w:type="dxa"/>
            <w:tcMar>
              <w:top w:w="0" w:type="dxa"/>
              <w:left w:w="115" w:type="dxa"/>
              <w:bottom w:w="0" w:type="dxa"/>
              <w:right w:w="115" w:type="dxa"/>
            </w:tcMar>
            <w:hideMark/>
          </w:tcPr>
          <w:p w14:paraId="51B6447F" w14:textId="77777777" w:rsidR="00BC0E7E" w:rsidRPr="00BC0E7E" w:rsidRDefault="00944B8F" w:rsidP="005D7F61">
            <w:pPr>
              <w:keepNext/>
              <w:widowControl w:val="0"/>
              <w:jc w:val="center"/>
              <w:rPr>
                <w:del w:id="2349" w:author="AbbVie19" w:date="2025-04-16T10:35:00Z"/>
              </w:rPr>
            </w:pPr>
            <w:del w:id="2350" w:author="AbbVie19" w:date="2025-04-16T10:35:00Z">
              <w:r w:rsidRPr="00BC0E7E">
                <w:delText>N = 122</w:delText>
              </w:r>
              <w:r w:rsidRPr="00BC0E7E">
                <w:br/>
                <w:delText>34 (27.9%)</w:delText>
              </w:r>
            </w:del>
          </w:p>
        </w:tc>
        <w:tc>
          <w:tcPr>
            <w:tcW w:w="1404" w:type="dxa"/>
            <w:tcMar>
              <w:top w:w="0" w:type="dxa"/>
              <w:left w:w="115" w:type="dxa"/>
              <w:bottom w:w="0" w:type="dxa"/>
              <w:right w:w="115" w:type="dxa"/>
            </w:tcMar>
          </w:tcPr>
          <w:p w14:paraId="586EA5B6" w14:textId="77777777" w:rsidR="00BC0E7E" w:rsidRPr="00BC0E7E" w:rsidRDefault="00944B8F" w:rsidP="005D7F61">
            <w:pPr>
              <w:keepNext/>
              <w:widowControl w:val="0"/>
              <w:jc w:val="center"/>
              <w:rPr>
                <w:del w:id="2351" w:author="AbbVie19" w:date="2025-04-16T10:35:00Z"/>
              </w:rPr>
            </w:pPr>
            <w:del w:id="2352" w:author="AbbVie19" w:date="2025-04-16T10:35:00Z">
              <w:r w:rsidRPr="00BC0E7E">
                <w:delText>N=111</w:delText>
              </w:r>
            </w:del>
          </w:p>
          <w:p w14:paraId="27D80E56" w14:textId="77777777" w:rsidR="00BC0E7E" w:rsidRPr="00BC0E7E" w:rsidRDefault="00944B8F" w:rsidP="005D7F61">
            <w:pPr>
              <w:keepNext/>
              <w:widowControl w:val="0"/>
              <w:jc w:val="center"/>
              <w:rPr>
                <w:del w:id="2353" w:author="AbbVie19" w:date="2025-04-16T10:35:00Z"/>
              </w:rPr>
            </w:pPr>
            <w:del w:id="2354" w:author="AbbVie19" w:date="2025-04-16T10:35:00Z">
              <w:r w:rsidRPr="00BC0E7E">
                <w:delText>23 (20.7%)</w:delText>
              </w:r>
            </w:del>
          </w:p>
        </w:tc>
        <w:tc>
          <w:tcPr>
            <w:tcW w:w="1856" w:type="dxa"/>
            <w:tcMar>
              <w:top w:w="0" w:type="dxa"/>
              <w:left w:w="115" w:type="dxa"/>
              <w:bottom w:w="0" w:type="dxa"/>
              <w:right w:w="115" w:type="dxa"/>
            </w:tcMar>
          </w:tcPr>
          <w:p w14:paraId="26AABD34" w14:textId="77777777" w:rsidR="00BC0E7E" w:rsidRPr="00BC0E7E" w:rsidRDefault="00944B8F" w:rsidP="005D7F61">
            <w:pPr>
              <w:keepNext/>
              <w:widowControl w:val="0"/>
              <w:jc w:val="center"/>
              <w:rPr>
                <w:del w:id="2355" w:author="AbbVie19" w:date="2025-04-16T10:35:00Z"/>
              </w:rPr>
            </w:pPr>
            <w:del w:id="2356" w:author="AbbVie19" w:date="2025-04-16T10:35:00Z">
              <w:r w:rsidRPr="00BC0E7E">
                <w:delText>N=105</w:delText>
              </w:r>
            </w:del>
          </w:p>
          <w:p w14:paraId="7F29440F" w14:textId="77777777" w:rsidR="00BC0E7E" w:rsidRPr="00BC0E7E" w:rsidRDefault="00944B8F" w:rsidP="005D7F61">
            <w:pPr>
              <w:keepNext/>
              <w:widowControl w:val="0"/>
              <w:jc w:val="center"/>
              <w:rPr>
                <w:del w:id="2357" w:author="AbbVie19" w:date="2025-04-16T10:35:00Z"/>
              </w:rPr>
            </w:pPr>
            <w:del w:id="2358" w:author="AbbVie19" w:date="2025-04-16T10:35:00Z">
              <w:r w:rsidRPr="00BC0E7E">
                <w:delText xml:space="preserve">48 (45.7%) </w:delText>
              </w:r>
              <w:r w:rsidRPr="00BC0E7E">
                <w:rPr>
                  <w:vertAlign w:val="superscript"/>
                </w:rPr>
                <w:delText>***</w:delText>
              </w:r>
            </w:del>
          </w:p>
        </w:tc>
      </w:tr>
      <w:tr w:rsidR="00C6578C" w14:paraId="31D3424A" w14:textId="77777777" w:rsidTr="00171601">
        <w:trPr>
          <w:jc w:val="center"/>
          <w:del w:id="2359" w:author="AbbVie19" w:date="2025-04-16T10:35:00Z"/>
        </w:trPr>
        <w:tc>
          <w:tcPr>
            <w:tcW w:w="9293" w:type="dxa"/>
            <w:gridSpan w:val="5"/>
            <w:tcMar>
              <w:top w:w="0" w:type="dxa"/>
              <w:left w:w="115" w:type="dxa"/>
              <w:bottom w:w="0" w:type="dxa"/>
              <w:right w:w="115" w:type="dxa"/>
            </w:tcMar>
            <w:vAlign w:val="center"/>
          </w:tcPr>
          <w:p w14:paraId="3FAF47E1" w14:textId="77777777" w:rsidR="00BC0E7E" w:rsidRPr="00BC0E7E" w:rsidRDefault="00944B8F" w:rsidP="005D7F61">
            <w:pPr>
              <w:keepNext/>
              <w:widowControl w:val="0"/>
              <w:ind w:left="360"/>
              <w:rPr>
                <w:del w:id="2360" w:author="AbbVie19" w:date="2025-04-16T10:35:00Z"/>
              </w:rPr>
            </w:pPr>
            <w:del w:id="2361" w:author="AbbVie19" w:date="2025-04-16T10:35:00Z">
              <w:r w:rsidRPr="00BC0E7E">
                <w:delText xml:space="preserve">* </w:delText>
              </w:r>
              <w:r w:rsidRPr="00BC0E7E">
                <w:rPr>
                  <w:i/>
                </w:rPr>
                <w:delText>P</w:delText>
              </w:r>
              <w:r w:rsidRPr="00BC0E7E">
                <w:delText xml:space="preserve"> &lt; 0.05, ***</w:delText>
              </w:r>
              <w:r w:rsidRPr="00BC0E7E">
                <w:rPr>
                  <w:i/>
                </w:rPr>
                <w:delText xml:space="preserve">P </w:delText>
              </w:r>
              <w:r w:rsidRPr="00BC0E7E">
                <w:delText xml:space="preserve">&lt; 0.001, Humira versus placebo </w:delText>
              </w:r>
            </w:del>
          </w:p>
          <w:p w14:paraId="42654E0B" w14:textId="77777777" w:rsidR="00BC0E7E" w:rsidRPr="00BC0E7E" w:rsidRDefault="00944B8F" w:rsidP="001B6DEE">
            <w:pPr>
              <w:keepNext/>
              <w:keepLines/>
              <w:widowControl w:val="0"/>
              <w:numPr>
                <w:ilvl w:val="0"/>
                <w:numId w:val="152"/>
              </w:numPr>
              <w:tabs>
                <w:tab w:val="clear" w:pos="562"/>
              </w:tabs>
              <w:suppressAutoHyphens w:val="0"/>
              <w:spacing w:line="240" w:lineRule="exact"/>
              <w:rPr>
                <w:del w:id="2362" w:author="AbbVie19" w:date="2025-04-16T10:35:00Z"/>
              </w:rPr>
            </w:pPr>
            <w:del w:id="2363" w:author="AbbVie19" w:date="2025-04-16T10:35:00Z">
              <w:r w:rsidRPr="00BC0E7E">
                <w:delText>Among all randomised patients.</w:delText>
              </w:r>
            </w:del>
          </w:p>
          <w:p w14:paraId="436FC487" w14:textId="77777777" w:rsidR="00BC0E7E" w:rsidRPr="00BC0E7E" w:rsidRDefault="00944B8F" w:rsidP="001B6DEE">
            <w:pPr>
              <w:keepNext/>
              <w:keepLines/>
              <w:widowControl w:val="0"/>
              <w:numPr>
                <w:ilvl w:val="0"/>
                <w:numId w:val="152"/>
              </w:numPr>
              <w:tabs>
                <w:tab w:val="clear" w:pos="562"/>
              </w:tabs>
              <w:suppressAutoHyphens w:val="0"/>
              <w:spacing w:line="240" w:lineRule="exact"/>
              <w:rPr>
                <w:del w:id="2364" w:author="AbbVie19" w:date="2025-04-16T10:35:00Z"/>
              </w:rPr>
            </w:pPr>
            <w:del w:id="2365" w:author="AbbVie19" w:date="2025-04-16T10:35:00Z">
              <w:r w:rsidRPr="00BC0E7E">
                <w:delText>Among patients with baseline HS-related skin pain assessment ≥ 3, based on Numeric Rating Scale 0 – 10; 0 = no skin pain, 10 = skin pain as bad as you can imagine.</w:delText>
              </w:r>
            </w:del>
          </w:p>
        </w:tc>
      </w:tr>
    </w:tbl>
    <w:p w14:paraId="10A2E328" w14:textId="77777777" w:rsidR="00BC0E7E" w:rsidRPr="00BC0E7E" w:rsidRDefault="00BC0E7E" w:rsidP="00BC0E7E">
      <w:pPr>
        <w:rPr>
          <w:del w:id="2366" w:author="AbbVie19" w:date="2025-04-16T10:35:00Z"/>
          <w:szCs w:val="22"/>
        </w:rPr>
      </w:pPr>
    </w:p>
    <w:p w14:paraId="53F139F1" w14:textId="77777777" w:rsidR="00BC0E7E" w:rsidRPr="00BC0E7E" w:rsidRDefault="00944B8F" w:rsidP="00BC0E7E">
      <w:pPr>
        <w:rPr>
          <w:del w:id="2367" w:author="AbbVie19" w:date="2025-04-16T10:35:00Z"/>
          <w:szCs w:val="22"/>
        </w:rPr>
      </w:pPr>
      <w:del w:id="2368" w:author="AbbVie19" w:date="2025-04-16T10:35:00Z">
        <w:r w:rsidRPr="00BC0E7E">
          <w:rPr>
            <w:szCs w:val="22"/>
          </w:rPr>
          <w:delText>Treatment with Humira 40 mg every week significantly reduced the risk of worsening of abscesses and draining fistulas. Approximately twice the proportion of patients in the placebo group in the first 12 weeks of Studies HS-I and HS-II, compared with those in the Humira group experienced worsening of abscesses (23.0% vs 11.4%, respectively) and draining fistulas (30.0% vs 13.9%, respectively).</w:delText>
        </w:r>
      </w:del>
    </w:p>
    <w:p w14:paraId="6848A62B" w14:textId="77777777" w:rsidR="00BC0E7E" w:rsidRPr="00BC0E7E" w:rsidRDefault="00BC0E7E" w:rsidP="00BC0E7E">
      <w:pPr>
        <w:tabs>
          <w:tab w:val="clear" w:pos="562"/>
        </w:tabs>
        <w:suppressAutoHyphens w:val="0"/>
        <w:rPr>
          <w:del w:id="2369" w:author="AbbVie19" w:date="2025-04-16T10:35:00Z"/>
          <w:szCs w:val="22"/>
          <w:lang w:eastAsia="ja-JP"/>
        </w:rPr>
      </w:pPr>
    </w:p>
    <w:p w14:paraId="461BB4BC" w14:textId="77777777" w:rsidR="00BC0E7E" w:rsidRPr="00BC0E7E" w:rsidRDefault="00944B8F" w:rsidP="00BC0E7E">
      <w:pPr>
        <w:tabs>
          <w:tab w:val="clear" w:pos="562"/>
        </w:tabs>
        <w:suppressAutoHyphens w:val="0"/>
        <w:rPr>
          <w:del w:id="2370" w:author="AbbVie19" w:date="2025-04-16T10:35:00Z"/>
          <w:szCs w:val="22"/>
          <w:lang w:eastAsia="ja-JP"/>
        </w:rPr>
      </w:pPr>
      <w:del w:id="2371" w:author="AbbVie19" w:date="2025-04-16T10:35:00Z">
        <w:r w:rsidRPr="00BC0E7E">
          <w:rPr>
            <w:szCs w:val="22"/>
            <w:lang w:eastAsia="ja-JP"/>
          </w:rPr>
          <w:delText xml:space="preserve">Greater improvements at Week 12 from baseline compared to placebo were demonstrated in skin-specific health-related quality of life, as measured by the Dermatology Life Quality Index (DLQI; Studies HS-I and HS-II), patient global satisfaction with medication treatment as measured by the Treatment </w:delText>
        </w:r>
        <w:r w:rsidRPr="00BC0E7E">
          <w:rPr>
            <w:szCs w:val="22"/>
            <w:lang w:eastAsia="ja-JP"/>
          </w:rPr>
          <w:lastRenderedPageBreak/>
          <w:delText>Satisfaction Questio</w:delText>
        </w:r>
        <w:r w:rsidRPr="00BC0E7E">
          <w:rPr>
            <w:rFonts w:eastAsia="MS Mincho"/>
            <w:szCs w:val="22"/>
            <w:lang w:eastAsia="ja-JP"/>
          </w:rPr>
          <w:delText>nnaire - medication (TSQM; Studies HS-I and</w:delText>
        </w:r>
        <w:r w:rsidRPr="00BC0E7E">
          <w:rPr>
            <w:szCs w:val="22"/>
            <w:lang w:eastAsia="ja-JP"/>
          </w:rPr>
          <w:delText xml:space="preserve"> HS-II), and physical health as measured by the physical compon</w:delText>
        </w:r>
        <w:r w:rsidRPr="00BC0E7E">
          <w:rPr>
            <w:rFonts w:eastAsia="MS Mincho"/>
            <w:szCs w:val="22"/>
            <w:lang w:eastAsia="ja-JP"/>
          </w:rPr>
          <w:delText>ent summary score of the SF-36</w:delText>
        </w:r>
        <w:r w:rsidRPr="00BC0E7E">
          <w:rPr>
            <w:szCs w:val="22"/>
            <w:lang w:eastAsia="ja-JP"/>
          </w:rPr>
          <w:delText xml:space="preserve"> (Study HS-I).</w:delText>
        </w:r>
      </w:del>
    </w:p>
    <w:p w14:paraId="2FF16677" w14:textId="77777777" w:rsidR="00BC0E7E" w:rsidRPr="00BC0E7E" w:rsidRDefault="00BC0E7E" w:rsidP="00BC0E7E">
      <w:pPr>
        <w:tabs>
          <w:tab w:val="clear" w:pos="562"/>
        </w:tabs>
        <w:suppressAutoHyphens w:val="0"/>
        <w:rPr>
          <w:del w:id="2372" w:author="AbbVie19" w:date="2025-04-16T10:35:00Z"/>
          <w:szCs w:val="22"/>
          <w:lang w:eastAsia="ja-JP"/>
        </w:rPr>
      </w:pPr>
    </w:p>
    <w:p w14:paraId="5AF4B8B9" w14:textId="77777777" w:rsidR="00BC0E7E" w:rsidRPr="00BC0E7E" w:rsidRDefault="00944B8F" w:rsidP="00BC0E7E">
      <w:pPr>
        <w:tabs>
          <w:tab w:val="clear" w:pos="562"/>
        </w:tabs>
        <w:suppressAutoHyphens w:val="0"/>
        <w:rPr>
          <w:del w:id="2373" w:author="AbbVie19" w:date="2025-04-16T10:35:00Z"/>
          <w:rFonts w:eastAsia="Calibri"/>
          <w:szCs w:val="22"/>
        </w:rPr>
      </w:pPr>
      <w:del w:id="2374" w:author="AbbVie19" w:date="2025-04-16T10:35:00Z">
        <w:r w:rsidRPr="00BC0E7E">
          <w:rPr>
            <w:rFonts w:eastAsia="Calibri"/>
            <w:szCs w:val="22"/>
          </w:rPr>
          <w:delText xml:space="preserve">In patients with at least a partial response to Humira 40 mg weekly at Week 12, the HiSCR rate at Week 36 was higher in patients who continued weekly Humira than in patients in whom dosing frequency was reduced to every other week, or in whom treatment was withdrawn (see Table </w:delText>
        </w:r>
        <w:r w:rsidR="00C25049">
          <w:rPr>
            <w:rFonts w:eastAsia="Calibri"/>
            <w:szCs w:val="22"/>
          </w:rPr>
          <w:delText>1</w:delText>
        </w:r>
        <w:r w:rsidR="005F03EC">
          <w:rPr>
            <w:rFonts w:eastAsia="Calibri"/>
            <w:szCs w:val="22"/>
          </w:rPr>
          <w:delText>6</w:delText>
        </w:r>
        <w:r w:rsidRPr="00BC0E7E">
          <w:rPr>
            <w:rFonts w:eastAsia="Calibri"/>
            <w:szCs w:val="22"/>
          </w:rPr>
          <w:delText xml:space="preserve">).  </w:delText>
        </w:r>
      </w:del>
    </w:p>
    <w:p w14:paraId="795F74B5" w14:textId="77777777" w:rsidR="00BC0E7E" w:rsidRPr="00BC0E7E" w:rsidRDefault="00BC0E7E" w:rsidP="00BC0E7E">
      <w:pPr>
        <w:rPr>
          <w:del w:id="2375" w:author="AbbVie19" w:date="2025-04-16T10:35:00Z"/>
          <w:szCs w:val="20"/>
        </w:rPr>
      </w:pPr>
    </w:p>
    <w:p w14:paraId="5E0D4C59" w14:textId="77777777" w:rsidR="00BC0E7E" w:rsidRPr="00BC0E7E" w:rsidRDefault="00944B8F" w:rsidP="00BC0E7E">
      <w:pPr>
        <w:tabs>
          <w:tab w:val="clear" w:pos="562"/>
        </w:tabs>
        <w:suppressAutoHyphens w:val="0"/>
        <w:jc w:val="center"/>
        <w:rPr>
          <w:del w:id="2376" w:author="AbbVie19" w:date="2025-04-16T10:35:00Z"/>
          <w:rFonts w:eastAsia="MS Mincho"/>
          <w:b/>
          <w:szCs w:val="22"/>
          <w:lang w:eastAsia="ja-JP"/>
        </w:rPr>
      </w:pPr>
      <w:del w:id="2377" w:author="AbbVie19" w:date="2025-04-16T10:35:00Z">
        <w:r w:rsidRPr="00BC0E7E">
          <w:rPr>
            <w:rFonts w:eastAsia="MS Mincho"/>
            <w:b/>
            <w:szCs w:val="22"/>
            <w:lang w:eastAsia="ja-JP"/>
          </w:rPr>
          <w:delText>Table </w:delText>
        </w:r>
        <w:r w:rsidR="00C25049">
          <w:rPr>
            <w:rFonts w:eastAsia="MS Mincho"/>
            <w:b/>
            <w:szCs w:val="22"/>
            <w:lang w:eastAsia="ja-JP"/>
          </w:rPr>
          <w:delText>1</w:delText>
        </w:r>
        <w:r w:rsidR="005F03EC">
          <w:rPr>
            <w:rFonts w:eastAsia="MS Mincho"/>
            <w:b/>
            <w:szCs w:val="22"/>
            <w:lang w:eastAsia="ja-JP"/>
          </w:rPr>
          <w:delText>6</w:delText>
        </w:r>
        <w:r w:rsidRPr="00BC0E7E">
          <w:rPr>
            <w:rFonts w:eastAsia="MS Mincho"/>
            <w:b/>
            <w:szCs w:val="22"/>
            <w:lang w:eastAsia="ja-JP"/>
          </w:rPr>
          <w:delText>:</w:delText>
        </w:r>
        <w:r w:rsidRPr="00BC0E7E">
          <w:rPr>
            <w:rFonts w:eastAsia="MS Mincho"/>
            <w:b/>
            <w:szCs w:val="22"/>
            <w:lang w:eastAsia="ja-JP"/>
          </w:rPr>
          <w:tab/>
          <w:delText xml:space="preserve"> Proportion of Patients</w:delText>
        </w:r>
        <w:r w:rsidRPr="00BC0E7E">
          <w:rPr>
            <w:rFonts w:eastAsia="MS Mincho"/>
            <w:b/>
            <w:szCs w:val="22"/>
            <w:vertAlign w:val="superscript"/>
            <w:lang w:eastAsia="ja-JP"/>
          </w:rPr>
          <w:delText>a</w:delText>
        </w:r>
        <w:r w:rsidRPr="00BC0E7E">
          <w:rPr>
            <w:rFonts w:eastAsia="MS Mincho"/>
            <w:b/>
            <w:szCs w:val="22"/>
            <w:lang w:eastAsia="ja-JP"/>
          </w:rPr>
          <w:delText xml:space="preserve"> Achieving HiSCR</w:delText>
        </w:r>
        <w:r w:rsidRPr="00BC0E7E">
          <w:rPr>
            <w:rFonts w:eastAsia="MS Mincho"/>
            <w:b/>
            <w:szCs w:val="22"/>
            <w:vertAlign w:val="superscript"/>
            <w:lang w:eastAsia="ja-JP"/>
          </w:rPr>
          <w:delText xml:space="preserve">b </w:delText>
        </w:r>
        <w:r w:rsidRPr="00BC0E7E">
          <w:rPr>
            <w:rFonts w:eastAsia="MS Mincho"/>
            <w:b/>
            <w:szCs w:val="22"/>
            <w:lang w:eastAsia="ja-JP"/>
          </w:rPr>
          <w:delText xml:space="preserve">at Weeks 24 and 36 After </w:delText>
        </w:r>
      </w:del>
    </w:p>
    <w:p w14:paraId="3F36D144" w14:textId="77777777" w:rsidR="00BC0E7E" w:rsidRPr="00BC0E7E" w:rsidRDefault="00944B8F" w:rsidP="00BC0E7E">
      <w:pPr>
        <w:tabs>
          <w:tab w:val="clear" w:pos="562"/>
        </w:tabs>
        <w:suppressAutoHyphens w:val="0"/>
        <w:ind w:left="567"/>
        <w:jc w:val="center"/>
        <w:rPr>
          <w:del w:id="2378" w:author="AbbVie19" w:date="2025-04-16T10:35:00Z"/>
          <w:rFonts w:eastAsia="MS Mincho"/>
          <w:b/>
          <w:szCs w:val="22"/>
          <w:lang w:eastAsia="ja-JP"/>
        </w:rPr>
      </w:pPr>
      <w:del w:id="2379" w:author="AbbVie19" w:date="2025-04-16T10:35:00Z">
        <w:r w:rsidRPr="00BC0E7E">
          <w:rPr>
            <w:rFonts w:eastAsia="MS Mincho"/>
            <w:b/>
            <w:szCs w:val="22"/>
            <w:lang w:eastAsia="ja-JP"/>
          </w:rPr>
          <w:delText>Treatment Reassignment from Weekly Humira at Week 12</w:delText>
        </w:r>
      </w:del>
    </w:p>
    <w:p w14:paraId="3506FCDD" w14:textId="77777777" w:rsidR="00BC0E7E" w:rsidRPr="00BC0E7E" w:rsidRDefault="00BC0E7E" w:rsidP="00BC0E7E">
      <w:pPr>
        <w:tabs>
          <w:tab w:val="clear" w:pos="562"/>
        </w:tabs>
        <w:suppressAutoHyphens w:val="0"/>
        <w:ind w:left="567"/>
        <w:jc w:val="center"/>
        <w:rPr>
          <w:del w:id="2380" w:author="AbbVie19" w:date="2025-04-16T10:35:00Z"/>
          <w:rFonts w:eastAsia="MS Mincho"/>
          <w:b/>
          <w:szCs w:val="22"/>
          <w:lang w:eastAsia="ja-JP"/>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C6578C" w14:paraId="326FC30C" w14:textId="77777777" w:rsidTr="00171601">
        <w:trPr>
          <w:tblHeader/>
          <w:jc w:val="center"/>
          <w:del w:id="2381" w:author="AbbVie19" w:date="2025-04-16T10:35:00Z"/>
        </w:trPr>
        <w:tc>
          <w:tcPr>
            <w:tcW w:w="1437" w:type="dxa"/>
            <w:vAlign w:val="bottom"/>
          </w:tcPr>
          <w:p w14:paraId="681F77FC" w14:textId="77777777" w:rsidR="00BC0E7E" w:rsidRPr="00BC0E7E" w:rsidRDefault="00BC0E7E" w:rsidP="00BC0E7E">
            <w:pPr>
              <w:keepNext/>
              <w:tabs>
                <w:tab w:val="clear" w:pos="562"/>
              </w:tabs>
              <w:suppressAutoHyphens w:val="0"/>
              <w:spacing w:line="240" w:lineRule="exact"/>
              <w:rPr>
                <w:del w:id="2382" w:author="AbbVie19" w:date="2025-04-16T10:35:00Z"/>
                <w:rFonts w:eastAsia="Calibri"/>
                <w:b/>
                <w:szCs w:val="22"/>
                <w:lang w:eastAsia="ja-JP"/>
              </w:rPr>
            </w:pPr>
          </w:p>
        </w:tc>
        <w:tc>
          <w:tcPr>
            <w:tcW w:w="1980" w:type="dxa"/>
            <w:vAlign w:val="bottom"/>
          </w:tcPr>
          <w:p w14:paraId="1A4AE640" w14:textId="77777777" w:rsidR="00BC0E7E" w:rsidRPr="00BC0E7E" w:rsidRDefault="00944B8F" w:rsidP="00BC0E7E">
            <w:pPr>
              <w:keepNext/>
              <w:tabs>
                <w:tab w:val="clear" w:pos="562"/>
              </w:tabs>
              <w:suppressAutoHyphens w:val="0"/>
              <w:spacing w:line="240" w:lineRule="exact"/>
              <w:jc w:val="center"/>
              <w:rPr>
                <w:del w:id="2383" w:author="AbbVie19" w:date="2025-04-16T10:35:00Z"/>
                <w:rFonts w:eastAsia="Calibri"/>
                <w:b/>
                <w:szCs w:val="22"/>
                <w:lang w:eastAsia="ja-JP"/>
              </w:rPr>
            </w:pPr>
            <w:del w:id="2384" w:author="AbbVie19" w:date="2025-04-16T10:35:00Z">
              <w:r w:rsidRPr="00BC0E7E">
                <w:rPr>
                  <w:rFonts w:eastAsia="Calibri"/>
                  <w:b/>
                  <w:szCs w:val="22"/>
                  <w:lang w:eastAsia="ja-JP"/>
                </w:rPr>
                <w:delText>Placebo</w:delText>
              </w:r>
              <w:r w:rsidRPr="00BC0E7E">
                <w:rPr>
                  <w:rFonts w:eastAsia="Calibri"/>
                  <w:b/>
                  <w:szCs w:val="22"/>
                  <w:lang w:eastAsia="ja-JP"/>
                </w:rPr>
                <w:br/>
                <w:delText>(treatment withdrawal)</w:delText>
              </w:r>
              <w:r w:rsidRPr="00BC0E7E">
                <w:rPr>
                  <w:rFonts w:eastAsia="Calibri"/>
                  <w:b/>
                  <w:szCs w:val="22"/>
                  <w:lang w:eastAsia="ja-JP"/>
                </w:rPr>
                <w:br/>
                <w:delText>N = 73</w:delText>
              </w:r>
            </w:del>
          </w:p>
        </w:tc>
        <w:tc>
          <w:tcPr>
            <w:tcW w:w="1980" w:type="dxa"/>
            <w:vAlign w:val="bottom"/>
          </w:tcPr>
          <w:p w14:paraId="466FE7B6" w14:textId="77777777" w:rsidR="00BC0E7E" w:rsidRPr="00BC0E7E" w:rsidRDefault="00944B8F" w:rsidP="00BC0E7E">
            <w:pPr>
              <w:keepNext/>
              <w:tabs>
                <w:tab w:val="clear" w:pos="562"/>
              </w:tabs>
              <w:suppressAutoHyphens w:val="0"/>
              <w:spacing w:line="240" w:lineRule="exact"/>
              <w:jc w:val="center"/>
              <w:rPr>
                <w:del w:id="2385" w:author="AbbVie19" w:date="2025-04-16T10:35:00Z"/>
                <w:rFonts w:eastAsia="Calibri"/>
                <w:b/>
                <w:szCs w:val="22"/>
                <w:lang w:eastAsia="ja-JP"/>
              </w:rPr>
            </w:pPr>
            <w:del w:id="2386" w:author="AbbVie19" w:date="2025-04-16T10:35:00Z">
              <w:r w:rsidRPr="00BC0E7E">
                <w:rPr>
                  <w:rFonts w:eastAsia="Calibri"/>
                  <w:b/>
                  <w:szCs w:val="22"/>
                  <w:lang w:eastAsia="ja-JP"/>
                </w:rPr>
                <w:delText>Humira 40 mg</w:delText>
              </w:r>
              <w:r w:rsidRPr="00BC0E7E">
                <w:rPr>
                  <w:rFonts w:eastAsia="Calibri"/>
                  <w:b/>
                  <w:szCs w:val="22"/>
                  <w:lang w:eastAsia="ja-JP"/>
                </w:rPr>
                <w:br/>
                <w:delText>every other week</w:delText>
              </w:r>
              <w:r w:rsidRPr="00BC0E7E">
                <w:rPr>
                  <w:rFonts w:eastAsia="Calibri"/>
                  <w:b/>
                  <w:szCs w:val="22"/>
                  <w:lang w:eastAsia="ja-JP"/>
                </w:rPr>
                <w:br/>
                <w:delText>N = 70</w:delText>
              </w:r>
            </w:del>
          </w:p>
        </w:tc>
        <w:tc>
          <w:tcPr>
            <w:tcW w:w="1855" w:type="dxa"/>
            <w:vAlign w:val="bottom"/>
          </w:tcPr>
          <w:p w14:paraId="4E190F60" w14:textId="77777777" w:rsidR="00BC0E7E" w:rsidRPr="00BC0E7E" w:rsidRDefault="00944B8F" w:rsidP="00BC0E7E">
            <w:pPr>
              <w:keepNext/>
              <w:tabs>
                <w:tab w:val="clear" w:pos="562"/>
              </w:tabs>
              <w:suppressAutoHyphens w:val="0"/>
              <w:spacing w:line="240" w:lineRule="exact"/>
              <w:jc w:val="center"/>
              <w:rPr>
                <w:del w:id="2387" w:author="AbbVie19" w:date="2025-04-16T10:35:00Z"/>
                <w:rFonts w:eastAsia="Calibri"/>
                <w:b/>
                <w:szCs w:val="22"/>
                <w:lang w:eastAsia="ja-JP"/>
              </w:rPr>
            </w:pPr>
            <w:del w:id="2388" w:author="AbbVie19" w:date="2025-04-16T10:35:00Z">
              <w:r w:rsidRPr="00BC0E7E">
                <w:rPr>
                  <w:rFonts w:eastAsia="Calibri"/>
                  <w:b/>
                  <w:szCs w:val="22"/>
                  <w:lang w:eastAsia="ja-JP"/>
                </w:rPr>
                <w:delText>Humira 40 mg</w:delText>
              </w:r>
              <w:r w:rsidRPr="00BC0E7E">
                <w:rPr>
                  <w:rFonts w:eastAsia="Calibri"/>
                  <w:b/>
                  <w:szCs w:val="22"/>
                  <w:lang w:eastAsia="ja-JP"/>
                </w:rPr>
                <w:br/>
                <w:delText>weekly</w:delText>
              </w:r>
              <w:r w:rsidRPr="00BC0E7E">
                <w:rPr>
                  <w:rFonts w:eastAsia="Calibri"/>
                  <w:b/>
                  <w:szCs w:val="22"/>
                  <w:lang w:eastAsia="ja-JP"/>
                </w:rPr>
                <w:br/>
                <w:delText>N = 70</w:delText>
              </w:r>
            </w:del>
          </w:p>
        </w:tc>
      </w:tr>
      <w:tr w:rsidR="00C6578C" w14:paraId="703D7348" w14:textId="77777777" w:rsidTr="00171601">
        <w:trPr>
          <w:jc w:val="center"/>
          <w:del w:id="2389" w:author="AbbVie19" w:date="2025-04-16T10:35:00Z"/>
        </w:trPr>
        <w:tc>
          <w:tcPr>
            <w:tcW w:w="1437" w:type="dxa"/>
          </w:tcPr>
          <w:p w14:paraId="049A6FCA" w14:textId="77777777" w:rsidR="00BC0E7E" w:rsidRPr="00BC0E7E" w:rsidRDefault="00944B8F" w:rsidP="00BC0E7E">
            <w:pPr>
              <w:keepNext/>
              <w:tabs>
                <w:tab w:val="clear" w:pos="562"/>
              </w:tabs>
              <w:suppressAutoHyphens w:val="0"/>
              <w:spacing w:line="240" w:lineRule="exact"/>
              <w:rPr>
                <w:del w:id="2390" w:author="AbbVie19" w:date="2025-04-16T10:35:00Z"/>
                <w:rFonts w:eastAsia="Calibri"/>
                <w:szCs w:val="22"/>
                <w:lang w:eastAsia="ja-JP"/>
              </w:rPr>
            </w:pPr>
            <w:del w:id="2391" w:author="AbbVie19" w:date="2025-04-16T10:35:00Z">
              <w:r w:rsidRPr="00BC0E7E">
                <w:rPr>
                  <w:rFonts w:eastAsia="Calibri"/>
                  <w:szCs w:val="22"/>
                  <w:lang w:eastAsia="ja-JP"/>
                </w:rPr>
                <w:delText>Week 24</w:delText>
              </w:r>
            </w:del>
          </w:p>
        </w:tc>
        <w:tc>
          <w:tcPr>
            <w:tcW w:w="1980" w:type="dxa"/>
          </w:tcPr>
          <w:p w14:paraId="33BF5659" w14:textId="77777777" w:rsidR="00BC0E7E" w:rsidRPr="00BC0E7E" w:rsidRDefault="00944B8F" w:rsidP="00BC0E7E">
            <w:pPr>
              <w:keepNext/>
              <w:tabs>
                <w:tab w:val="clear" w:pos="562"/>
              </w:tabs>
              <w:suppressAutoHyphens w:val="0"/>
              <w:spacing w:line="240" w:lineRule="exact"/>
              <w:jc w:val="center"/>
              <w:rPr>
                <w:del w:id="2392" w:author="AbbVie19" w:date="2025-04-16T10:35:00Z"/>
                <w:rFonts w:eastAsia="Calibri"/>
                <w:szCs w:val="22"/>
                <w:lang w:eastAsia="ja-JP"/>
              </w:rPr>
            </w:pPr>
            <w:del w:id="2393" w:author="AbbVie19" w:date="2025-04-16T10:35:00Z">
              <w:r w:rsidRPr="00BC0E7E">
                <w:rPr>
                  <w:rFonts w:eastAsia="Calibri"/>
                  <w:szCs w:val="22"/>
                  <w:lang w:eastAsia="ja-JP"/>
                </w:rPr>
                <w:delText>24 (32.9%)</w:delText>
              </w:r>
            </w:del>
          </w:p>
        </w:tc>
        <w:tc>
          <w:tcPr>
            <w:tcW w:w="1980" w:type="dxa"/>
          </w:tcPr>
          <w:p w14:paraId="4E60767D" w14:textId="77777777" w:rsidR="00BC0E7E" w:rsidRPr="00BC0E7E" w:rsidRDefault="00944B8F" w:rsidP="00BC0E7E">
            <w:pPr>
              <w:keepNext/>
              <w:tabs>
                <w:tab w:val="clear" w:pos="562"/>
              </w:tabs>
              <w:suppressAutoHyphens w:val="0"/>
              <w:spacing w:line="240" w:lineRule="exact"/>
              <w:jc w:val="center"/>
              <w:rPr>
                <w:del w:id="2394" w:author="AbbVie19" w:date="2025-04-16T10:35:00Z"/>
                <w:rFonts w:eastAsia="Calibri"/>
                <w:szCs w:val="22"/>
                <w:lang w:eastAsia="ja-JP"/>
              </w:rPr>
            </w:pPr>
            <w:del w:id="2395" w:author="AbbVie19" w:date="2025-04-16T10:35:00Z">
              <w:r w:rsidRPr="00BC0E7E">
                <w:rPr>
                  <w:rFonts w:eastAsia="Calibri"/>
                  <w:szCs w:val="22"/>
                  <w:lang w:eastAsia="ja-JP"/>
                </w:rPr>
                <w:delText>36 (51.4%)</w:delText>
              </w:r>
            </w:del>
          </w:p>
        </w:tc>
        <w:tc>
          <w:tcPr>
            <w:tcW w:w="1855" w:type="dxa"/>
          </w:tcPr>
          <w:p w14:paraId="65AE714D" w14:textId="77777777" w:rsidR="00BC0E7E" w:rsidRPr="00BC0E7E" w:rsidRDefault="00944B8F" w:rsidP="00BC0E7E">
            <w:pPr>
              <w:keepNext/>
              <w:tabs>
                <w:tab w:val="clear" w:pos="562"/>
              </w:tabs>
              <w:suppressAutoHyphens w:val="0"/>
              <w:spacing w:line="240" w:lineRule="exact"/>
              <w:jc w:val="center"/>
              <w:rPr>
                <w:del w:id="2396" w:author="AbbVie19" w:date="2025-04-16T10:35:00Z"/>
                <w:rFonts w:eastAsia="Calibri"/>
                <w:szCs w:val="22"/>
                <w:lang w:eastAsia="ja-JP"/>
              </w:rPr>
            </w:pPr>
            <w:del w:id="2397" w:author="AbbVie19" w:date="2025-04-16T10:35:00Z">
              <w:r w:rsidRPr="00BC0E7E">
                <w:rPr>
                  <w:rFonts w:eastAsia="Calibri"/>
                  <w:szCs w:val="22"/>
                  <w:lang w:eastAsia="ja-JP"/>
                </w:rPr>
                <w:delText>40 (57.1%)</w:delText>
              </w:r>
            </w:del>
          </w:p>
        </w:tc>
      </w:tr>
      <w:tr w:rsidR="00C6578C" w14:paraId="3CA8E1E5" w14:textId="77777777" w:rsidTr="00171601">
        <w:trPr>
          <w:jc w:val="center"/>
          <w:del w:id="2398" w:author="AbbVie19" w:date="2025-04-16T10:35:00Z"/>
        </w:trPr>
        <w:tc>
          <w:tcPr>
            <w:tcW w:w="1437" w:type="dxa"/>
          </w:tcPr>
          <w:p w14:paraId="007C88F9" w14:textId="77777777" w:rsidR="00BC0E7E" w:rsidRPr="00BC0E7E" w:rsidRDefault="00944B8F" w:rsidP="00BC0E7E">
            <w:pPr>
              <w:keepNext/>
              <w:tabs>
                <w:tab w:val="clear" w:pos="562"/>
              </w:tabs>
              <w:suppressAutoHyphens w:val="0"/>
              <w:spacing w:line="240" w:lineRule="exact"/>
              <w:rPr>
                <w:del w:id="2399" w:author="AbbVie19" w:date="2025-04-16T10:35:00Z"/>
                <w:rFonts w:eastAsia="Calibri"/>
                <w:szCs w:val="22"/>
                <w:lang w:eastAsia="ja-JP"/>
              </w:rPr>
            </w:pPr>
            <w:del w:id="2400" w:author="AbbVie19" w:date="2025-04-16T10:35:00Z">
              <w:r w:rsidRPr="00BC0E7E">
                <w:rPr>
                  <w:rFonts w:eastAsia="Calibri"/>
                  <w:szCs w:val="22"/>
                  <w:lang w:eastAsia="ja-JP"/>
                </w:rPr>
                <w:delText>Week 36</w:delText>
              </w:r>
            </w:del>
          </w:p>
        </w:tc>
        <w:tc>
          <w:tcPr>
            <w:tcW w:w="1980" w:type="dxa"/>
          </w:tcPr>
          <w:p w14:paraId="449F56A7" w14:textId="77777777" w:rsidR="00BC0E7E" w:rsidRPr="00BC0E7E" w:rsidRDefault="00944B8F" w:rsidP="00BC0E7E">
            <w:pPr>
              <w:keepNext/>
              <w:tabs>
                <w:tab w:val="clear" w:pos="562"/>
              </w:tabs>
              <w:suppressAutoHyphens w:val="0"/>
              <w:spacing w:line="240" w:lineRule="exact"/>
              <w:jc w:val="center"/>
              <w:rPr>
                <w:del w:id="2401" w:author="AbbVie19" w:date="2025-04-16T10:35:00Z"/>
                <w:rFonts w:eastAsia="Calibri"/>
                <w:szCs w:val="22"/>
                <w:lang w:eastAsia="ja-JP"/>
              </w:rPr>
            </w:pPr>
            <w:del w:id="2402" w:author="AbbVie19" w:date="2025-04-16T10:35:00Z">
              <w:r w:rsidRPr="00BC0E7E">
                <w:rPr>
                  <w:rFonts w:eastAsia="Calibri"/>
                  <w:szCs w:val="22"/>
                  <w:lang w:eastAsia="ja-JP"/>
                </w:rPr>
                <w:delText>22 (30.1%)</w:delText>
              </w:r>
            </w:del>
          </w:p>
        </w:tc>
        <w:tc>
          <w:tcPr>
            <w:tcW w:w="1980" w:type="dxa"/>
          </w:tcPr>
          <w:p w14:paraId="2FCC263A" w14:textId="77777777" w:rsidR="00BC0E7E" w:rsidRPr="00BC0E7E" w:rsidRDefault="00944B8F" w:rsidP="00BC0E7E">
            <w:pPr>
              <w:keepNext/>
              <w:tabs>
                <w:tab w:val="clear" w:pos="562"/>
              </w:tabs>
              <w:suppressAutoHyphens w:val="0"/>
              <w:spacing w:line="240" w:lineRule="exact"/>
              <w:jc w:val="center"/>
              <w:rPr>
                <w:del w:id="2403" w:author="AbbVie19" w:date="2025-04-16T10:35:00Z"/>
                <w:rFonts w:eastAsia="Calibri"/>
                <w:szCs w:val="22"/>
                <w:lang w:eastAsia="ja-JP"/>
              </w:rPr>
            </w:pPr>
            <w:del w:id="2404" w:author="AbbVie19" w:date="2025-04-16T10:35:00Z">
              <w:r w:rsidRPr="00BC0E7E">
                <w:rPr>
                  <w:rFonts w:eastAsia="Calibri"/>
                  <w:szCs w:val="22"/>
                  <w:lang w:eastAsia="ja-JP"/>
                </w:rPr>
                <w:delText>28 (40.0%)</w:delText>
              </w:r>
            </w:del>
          </w:p>
        </w:tc>
        <w:tc>
          <w:tcPr>
            <w:tcW w:w="1855" w:type="dxa"/>
          </w:tcPr>
          <w:p w14:paraId="45E3510B" w14:textId="77777777" w:rsidR="00BC0E7E" w:rsidRPr="00BC0E7E" w:rsidRDefault="00944B8F" w:rsidP="00BC0E7E">
            <w:pPr>
              <w:keepNext/>
              <w:tabs>
                <w:tab w:val="clear" w:pos="562"/>
              </w:tabs>
              <w:suppressAutoHyphens w:val="0"/>
              <w:spacing w:line="240" w:lineRule="exact"/>
              <w:jc w:val="center"/>
              <w:rPr>
                <w:del w:id="2405" w:author="AbbVie19" w:date="2025-04-16T10:35:00Z"/>
                <w:rFonts w:eastAsia="Calibri"/>
                <w:szCs w:val="22"/>
                <w:lang w:eastAsia="ja-JP"/>
              </w:rPr>
            </w:pPr>
            <w:del w:id="2406" w:author="AbbVie19" w:date="2025-04-16T10:35:00Z">
              <w:r w:rsidRPr="00BC0E7E">
                <w:rPr>
                  <w:rFonts w:eastAsia="Calibri"/>
                  <w:szCs w:val="22"/>
                  <w:lang w:eastAsia="ja-JP"/>
                </w:rPr>
                <w:delText>39 (55.7%)</w:delText>
              </w:r>
            </w:del>
          </w:p>
        </w:tc>
      </w:tr>
      <w:tr w:rsidR="00C6578C" w14:paraId="595D4E2D" w14:textId="77777777" w:rsidTr="00171601">
        <w:trPr>
          <w:jc w:val="center"/>
          <w:del w:id="2407" w:author="AbbVie19" w:date="2025-04-16T10:35:00Z"/>
        </w:trPr>
        <w:tc>
          <w:tcPr>
            <w:tcW w:w="7252" w:type="dxa"/>
            <w:gridSpan w:val="4"/>
          </w:tcPr>
          <w:p w14:paraId="35EEF24C" w14:textId="77777777" w:rsidR="00BC0E7E" w:rsidRPr="00BC0E7E" w:rsidRDefault="00944B8F" w:rsidP="008870BC">
            <w:pPr>
              <w:keepLines/>
              <w:numPr>
                <w:ilvl w:val="0"/>
                <w:numId w:val="45"/>
              </w:numPr>
              <w:tabs>
                <w:tab w:val="clear" w:pos="562"/>
              </w:tabs>
              <w:suppressAutoHyphens w:val="0"/>
              <w:spacing w:line="240" w:lineRule="exact"/>
              <w:ind w:left="333" w:hanging="270"/>
              <w:rPr>
                <w:del w:id="2408" w:author="AbbVie19" w:date="2025-04-16T10:35:00Z"/>
                <w:rFonts w:eastAsia="MS Mincho"/>
                <w:szCs w:val="22"/>
                <w:lang w:eastAsia="ja-JP"/>
              </w:rPr>
            </w:pPr>
            <w:del w:id="2409" w:author="AbbVie19" w:date="2025-04-16T10:35:00Z">
              <w:r w:rsidRPr="00BC0E7E">
                <w:rPr>
                  <w:rFonts w:eastAsia="MS Mincho"/>
                  <w:szCs w:val="22"/>
                  <w:lang w:eastAsia="ja-JP"/>
                </w:rPr>
                <w:delText>Patients with at least a partial response to Humira 40 mg weekly after 12 weeks of treatment.</w:delText>
              </w:r>
            </w:del>
          </w:p>
          <w:p w14:paraId="2AD21ADD" w14:textId="77777777" w:rsidR="00BC0E7E" w:rsidRPr="00BC0E7E" w:rsidRDefault="00944B8F" w:rsidP="008870BC">
            <w:pPr>
              <w:keepLines/>
              <w:numPr>
                <w:ilvl w:val="0"/>
                <w:numId w:val="45"/>
              </w:numPr>
              <w:tabs>
                <w:tab w:val="clear" w:pos="562"/>
              </w:tabs>
              <w:suppressAutoHyphens w:val="0"/>
              <w:spacing w:line="240" w:lineRule="exact"/>
              <w:ind w:left="333" w:hanging="270"/>
              <w:rPr>
                <w:del w:id="2410" w:author="AbbVie19" w:date="2025-04-16T10:35:00Z"/>
                <w:rFonts w:eastAsia="MS Mincho"/>
                <w:szCs w:val="22"/>
                <w:lang w:eastAsia="ja-JP"/>
              </w:rPr>
            </w:pPr>
            <w:del w:id="2411" w:author="AbbVie19" w:date="2025-04-16T10:35:00Z">
              <w:r w:rsidRPr="00BC0E7E">
                <w:rPr>
                  <w:rFonts w:eastAsia="MS Mincho"/>
                  <w:szCs w:val="22"/>
                  <w:lang w:eastAsia="ja-JP"/>
                </w:rPr>
                <w:delText>Patients meeting protocol-specified criteria for loss of response or no improvement were required to discontinue from the studies and were counted as nonresponders.</w:delText>
              </w:r>
            </w:del>
          </w:p>
        </w:tc>
      </w:tr>
    </w:tbl>
    <w:p w14:paraId="6B8CEF88" w14:textId="77777777" w:rsidR="00BC0E7E" w:rsidRPr="00BC0E7E" w:rsidRDefault="00944B8F" w:rsidP="00BC0E7E">
      <w:pPr>
        <w:keepLines/>
        <w:tabs>
          <w:tab w:val="clear" w:pos="562"/>
          <w:tab w:val="num" w:pos="720"/>
        </w:tabs>
        <w:suppressAutoHyphens w:val="0"/>
        <w:spacing w:line="240" w:lineRule="exact"/>
        <w:ind w:left="567" w:hanging="360"/>
        <w:rPr>
          <w:del w:id="2412" w:author="AbbVie19" w:date="2025-04-16T10:35:00Z"/>
          <w:rFonts w:eastAsia="MS Mincho"/>
          <w:szCs w:val="22"/>
          <w:lang w:eastAsia="ja-JP"/>
        </w:rPr>
      </w:pPr>
      <w:del w:id="2413" w:author="AbbVie19" w:date="2025-04-16T10:35:00Z">
        <w:r w:rsidRPr="00BC0E7E">
          <w:rPr>
            <w:rFonts w:eastAsia="MS Mincho"/>
            <w:szCs w:val="22"/>
            <w:lang w:eastAsia="ja-JP"/>
          </w:rPr>
          <w:tab/>
        </w:r>
        <w:r w:rsidRPr="00BC0E7E">
          <w:rPr>
            <w:rFonts w:eastAsia="MS Mincho"/>
            <w:szCs w:val="22"/>
            <w:lang w:eastAsia="ja-JP"/>
          </w:rPr>
          <w:tab/>
        </w:r>
      </w:del>
    </w:p>
    <w:p w14:paraId="18CE36C9" w14:textId="77777777" w:rsidR="00BC0E7E" w:rsidRPr="00BC0E7E" w:rsidRDefault="00944B8F" w:rsidP="00BC0E7E">
      <w:pPr>
        <w:rPr>
          <w:del w:id="2414" w:author="AbbVie19" w:date="2025-04-16T10:35:00Z"/>
          <w:szCs w:val="22"/>
        </w:rPr>
      </w:pPr>
      <w:del w:id="2415" w:author="AbbVie19" w:date="2025-04-16T10:35:00Z">
        <w:r w:rsidRPr="00BC0E7E">
          <w:rPr>
            <w:szCs w:val="22"/>
          </w:rPr>
          <w:delText>Among patients who were at least partial responders at Week 12, and who received continuous weekly Humira therapy, the HiSCR rate at Week 48 was 68.3% and at Week 96 was 65.1%. Longer term treatment with Humira 40 mg weekly for 96 weeks identified no new safety findings.</w:delText>
        </w:r>
      </w:del>
    </w:p>
    <w:p w14:paraId="3A187298" w14:textId="77777777" w:rsidR="00BC0E7E" w:rsidRPr="00BC0E7E" w:rsidRDefault="00BC0E7E" w:rsidP="00BC0E7E">
      <w:pPr>
        <w:rPr>
          <w:del w:id="2416" w:author="AbbVie19" w:date="2025-04-16T10:35:00Z"/>
          <w:szCs w:val="22"/>
        </w:rPr>
      </w:pPr>
    </w:p>
    <w:p w14:paraId="56F10630" w14:textId="77777777" w:rsidR="00BC0E7E" w:rsidRPr="00BC0E7E" w:rsidRDefault="00944B8F" w:rsidP="00BC0E7E">
      <w:pPr>
        <w:rPr>
          <w:del w:id="2417" w:author="AbbVie19" w:date="2025-04-16T10:35:00Z"/>
          <w:szCs w:val="22"/>
        </w:rPr>
      </w:pPr>
      <w:del w:id="2418" w:author="AbbVie19" w:date="2025-04-16T10:35:00Z">
        <w:r w:rsidRPr="00BC0E7E">
          <w:rPr>
            <w:szCs w:val="22"/>
          </w:rPr>
          <w:delText>Among patients whose Humira treatment was withdrawn at Week 12 in Studies HS-I and HS-II, the HiSCR rate 12 weeks after re-introduction of Humira 40 mg weekly returned to levels similar to that observed before withdrawal (56.0 %).</w:delText>
        </w:r>
      </w:del>
    </w:p>
    <w:p w14:paraId="77873886" w14:textId="77777777" w:rsidR="00BC0E7E" w:rsidRPr="00BC0E7E" w:rsidRDefault="00BC0E7E" w:rsidP="00BC0E7E">
      <w:pPr>
        <w:rPr>
          <w:del w:id="2419" w:author="AbbVie19" w:date="2025-04-16T10:35:00Z"/>
          <w:szCs w:val="20"/>
          <w:u w:val="single"/>
        </w:rPr>
      </w:pPr>
    </w:p>
    <w:p w14:paraId="19906BC3" w14:textId="77777777" w:rsidR="00BC0E7E" w:rsidRPr="00BC0E7E" w:rsidRDefault="00944B8F" w:rsidP="00BC0E7E">
      <w:pPr>
        <w:rPr>
          <w:del w:id="2420" w:author="AbbVie19" w:date="2025-04-16T10:35:00Z"/>
          <w:i/>
          <w:szCs w:val="20"/>
        </w:rPr>
      </w:pPr>
      <w:del w:id="2421" w:author="AbbVie19" w:date="2025-04-16T10:35:00Z">
        <w:r w:rsidRPr="00BC0E7E">
          <w:rPr>
            <w:i/>
            <w:szCs w:val="20"/>
          </w:rPr>
          <w:delText>Adult Crohn’s disease</w:delText>
        </w:r>
      </w:del>
    </w:p>
    <w:p w14:paraId="5482CDB6" w14:textId="77777777" w:rsidR="00BC0E7E" w:rsidRPr="00BC0E7E" w:rsidRDefault="00BC0E7E" w:rsidP="00BC0E7E">
      <w:pPr>
        <w:rPr>
          <w:del w:id="2422" w:author="AbbVie19" w:date="2025-04-16T10:35:00Z"/>
          <w:szCs w:val="20"/>
        </w:rPr>
      </w:pPr>
    </w:p>
    <w:p w14:paraId="391AAFF6" w14:textId="77777777" w:rsidR="00BC0E7E" w:rsidRPr="00BC0E7E" w:rsidRDefault="00944B8F" w:rsidP="00BC0E7E">
      <w:pPr>
        <w:rPr>
          <w:del w:id="2423" w:author="AbbVie19" w:date="2025-04-16T10:35:00Z"/>
          <w:szCs w:val="20"/>
        </w:rPr>
      </w:pPr>
      <w:del w:id="2424" w:author="AbbVie19" w:date="2025-04-16T10:35:00Z">
        <w:r w:rsidRPr="00BC0E7E">
          <w:rPr>
            <w:szCs w:val="20"/>
          </w:rPr>
          <w:delText xml:space="preserve">The safety and efficacy of Humira were assessed in over 1500 patients with moderately to severely active Crohn’s disease (Crohn’s Disease Activity Index (CDAI) </w:delText>
        </w:r>
        <w:r w:rsidRPr="00BC0E7E">
          <w:rPr>
            <w:rFonts w:ascii="Symbol" w:eastAsia="Symbol" w:hAnsi="Symbol" w:cs="Symbol"/>
            <w:szCs w:val="22"/>
          </w:rPr>
          <w:sym w:font="Symbol" w:char="F0B3"/>
        </w:r>
        <w:r w:rsidRPr="00BC0E7E">
          <w:rPr>
            <w:szCs w:val="20"/>
          </w:rPr>
          <w:delText xml:space="preserve"> 220 and </w:delText>
        </w:r>
        <w:r w:rsidRPr="00BC0E7E">
          <w:rPr>
            <w:rFonts w:ascii="Symbol" w:eastAsia="Symbol" w:hAnsi="Symbol" w:cs="Symbol"/>
            <w:szCs w:val="22"/>
          </w:rPr>
          <w:sym w:font="Symbol" w:char="F0A3"/>
        </w:r>
        <w:r w:rsidRPr="00BC0E7E">
          <w:rPr>
            <w:szCs w:val="20"/>
          </w:rPr>
          <w:delText xml:space="preserve"> 450) in randomised, double-blind, placebo-controlled studies. Concomitant stable doses of aminosalicylates, corticosteroids, and/or immunomodulatory agents were permitted and 80% of patients continued to receive at least one of these medications. </w:delText>
        </w:r>
      </w:del>
    </w:p>
    <w:p w14:paraId="4FDD38F9" w14:textId="77777777" w:rsidR="00BC0E7E" w:rsidRPr="00BC0E7E" w:rsidRDefault="00BC0E7E" w:rsidP="00BC0E7E">
      <w:pPr>
        <w:rPr>
          <w:del w:id="2425" w:author="AbbVie19" w:date="2025-04-16T10:35:00Z"/>
          <w:szCs w:val="20"/>
        </w:rPr>
      </w:pPr>
    </w:p>
    <w:p w14:paraId="74DF82AB" w14:textId="77777777" w:rsidR="00BC0E7E" w:rsidRPr="00BC0E7E" w:rsidRDefault="00944B8F" w:rsidP="00BC0E7E">
      <w:pPr>
        <w:rPr>
          <w:del w:id="2426" w:author="AbbVie19" w:date="2025-04-16T10:35:00Z"/>
          <w:szCs w:val="20"/>
        </w:rPr>
      </w:pPr>
      <w:del w:id="2427" w:author="AbbVie19" w:date="2025-04-16T10:35:00Z">
        <w:r w:rsidRPr="00BC0E7E">
          <w:rPr>
            <w:szCs w:val="20"/>
          </w:rPr>
          <w:delText>Induction of clinical remission (defined as CDAI &lt; 150) was evaluated in two studies, CD Study I (CLASSIC I) and CD Study II (GAIN). In CD Study I, 299 TNF-antagonist naive patients were randomised to one of four treatment groups; placebo at Weeks 0 and 2, 160 mg Humira at Week 0 and 80 mg at Week 2, 80 mg at Week 0 and 40 mg at Week 2, and 40 mg at Week 0 and 20 mg at Week 2. In CD Study II, 325 patients who had lost response or were intolerant to infliximab were randomised to receive either 160 mg Humira at Week 0 and 80 mg at Week 2 or placebo at Weeks 0 and 2. The primary non-responders were excluded from the studies and therefore these patients were not further evaluated.</w:delText>
        </w:r>
      </w:del>
    </w:p>
    <w:p w14:paraId="3DA4CEA3" w14:textId="77777777" w:rsidR="00BC0E7E" w:rsidRPr="00BC0E7E" w:rsidRDefault="00BC0E7E" w:rsidP="00BC0E7E">
      <w:pPr>
        <w:rPr>
          <w:del w:id="2428" w:author="AbbVie19" w:date="2025-04-16T10:35:00Z"/>
          <w:szCs w:val="20"/>
        </w:rPr>
      </w:pPr>
    </w:p>
    <w:p w14:paraId="76980812" w14:textId="77777777" w:rsidR="00BC0E7E" w:rsidRPr="00BC0E7E" w:rsidRDefault="00944B8F" w:rsidP="00BC0E7E">
      <w:pPr>
        <w:rPr>
          <w:del w:id="2429" w:author="AbbVie19" w:date="2025-04-16T10:35:00Z"/>
          <w:szCs w:val="20"/>
        </w:rPr>
      </w:pPr>
      <w:del w:id="2430" w:author="AbbVie19" w:date="2025-04-16T10:35:00Z">
        <w:r w:rsidRPr="00BC0E7E">
          <w:rPr>
            <w:szCs w:val="20"/>
          </w:rPr>
          <w:delText xml:space="preserve">Maintenance of clinical remission was evaluated in CD study III (CHARM). In CD Study III, 854 patients received open-label 80 mg at Week 0 and 40 mg at Week 2. At Week 4 patients were randomised to 40 mg every other week, 40 mg every week, or placebo with a total study duration of 56 weeks. Patients in clinical response (decrease in CDAI ≥ 70) at Week 4 were stratified and analysed separately from those not in clinical response at Week 4. Corticosteroid taper was permitted after Week 8. </w:delText>
        </w:r>
      </w:del>
    </w:p>
    <w:p w14:paraId="417A97F8" w14:textId="77777777" w:rsidR="00BC0E7E" w:rsidRPr="00BC0E7E" w:rsidRDefault="00BC0E7E" w:rsidP="00BC0E7E">
      <w:pPr>
        <w:rPr>
          <w:del w:id="2431" w:author="AbbVie19" w:date="2025-04-16T10:35:00Z"/>
          <w:szCs w:val="20"/>
        </w:rPr>
      </w:pPr>
    </w:p>
    <w:p w14:paraId="1724E1A2" w14:textId="77777777" w:rsidR="00BC0E7E" w:rsidRPr="00BC0E7E" w:rsidRDefault="00944B8F" w:rsidP="00BC0E7E">
      <w:pPr>
        <w:rPr>
          <w:del w:id="2432" w:author="AbbVie19" w:date="2025-04-16T10:35:00Z"/>
          <w:szCs w:val="20"/>
        </w:rPr>
      </w:pPr>
      <w:del w:id="2433" w:author="AbbVie19" w:date="2025-04-16T10:35:00Z">
        <w:r w:rsidRPr="00BC0E7E">
          <w:rPr>
            <w:szCs w:val="20"/>
          </w:rPr>
          <w:delText xml:space="preserve">CD study I and CD study II induction of remission and response rates are presented in Table </w:delText>
        </w:r>
        <w:r w:rsidR="005F03EC">
          <w:rPr>
            <w:szCs w:val="20"/>
          </w:rPr>
          <w:delText>17</w:delText>
        </w:r>
        <w:r w:rsidRPr="00BC0E7E">
          <w:rPr>
            <w:szCs w:val="20"/>
          </w:rPr>
          <w:delText>.</w:delText>
        </w:r>
      </w:del>
    </w:p>
    <w:p w14:paraId="7CF0C3D6" w14:textId="77777777" w:rsidR="00BC0E7E" w:rsidRPr="00BC0E7E" w:rsidRDefault="00BC0E7E" w:rsidP="00BC0E7E">
      <w:pPr>
        <w:rPr>
          <w:del w:id="2434" w:author="AbbVie19" w:date="2025-04-16T10:35:00Z"/>
          <w:szCs w:val="20"/>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1"/>
        <w:gridCol w:w="1192"/>
        <w:gridCol w:w="1249"/>
        <w:gridCol w:w="1176"/>
        <w:gridCol w:w="1494"/>
        <w:gridCol w:w="1816"/>
      </w:tblGrid>
      <w:tr w:rsidR="00C6578C" w14:paraId="304FAECB" w14:textId="77777777" w:rsidTr="00171601">
        <w:trPr>
          <w:cantSplit/>
          <w:del w:id="2435" w:author="AbbVie19" w:date="2025-04-16T10:35:00Z"/>
        </w:trPr>
        <w:tc>
          <w:tcPr>
            <w:tcW w:w="9238" w:type="dxa"/>
            <w:gridSpan w:val="6"/>
            <w:tcBorders>
              <w:top w:val="nil"/>
              <w:left w:val="nil"/>
              <w:right w:val="nil"/>
            </w:tcBorders>
          </w:tcPr>
          <w:p w14:paraId="3B95ED97" w14:textId="77777777" w:rsidR="00BC0E7E" w:rsidRPr="00BC0E7E" w:rsidRDefault="00944B8F" w:rsidP="00BC0E7E">
            <w:pPr>
              <w:keepLines/>
              <w:tabs>
                <w:tab w:val="clear" w:pos="562"/>
                <w:tab w:val="left" w:pos="360"/>
              </w:tabs>
              <w:spacing w:before="40" w:after="40" w:line="240" w:lineRule="exact"/>
              <w:jc w:val="center"/>
              <w:rPr>
                <w:del w:id="2436" w:author="AbbVie19" w:date="2025-04-16T10:35:00Z"/>
                <w:b/>
                <w:bCs/>
                <w:szCs w:val="20"/>
              </w:rPr>
            </w:pPr>
            <w:del w:id="2437" w:author="AbbVie19" w:date="2025-04-16T10:35:00Z">
              <w:r w:rsidRPr="00BC0E7E">
                <w:rPr>
                  <w:b/>
                  <w:bCs/>
                  <w:szCs w:val="20"/>
                </w:rPr>
                <w:delText xml:space="preserve">Table </w:delText>
              </w:r>
              <w:r w:rsidR="005F03EC">
                <w:rPr>
                  <w:b/>
                  <w:bCs/>
                  <w:szCs w:val="20"/>
                </w:rPr>
                <w:delText>17</w:delText>
              </w:r>
            </w:del>
          </w:p>
          <w:p w14:paraId="01C895A6" w14:textId="77777777" w:rsidR="00BC0E7E" w:rsidRPr="00BC0E7E" w:rsidRDefault="00944B8F" w:rsidP="00BC0E7E">
            <w:pPr>
              <w:keepLines/>
              <w:tabs>
                <w:tab w:val="clear" w:pos="562"/>
                <w:tab w:val="left" w:pos="360"/>
              </w:tabs>
              <w:spacing w:before="40" w:after="40" w:line="240" w:lineRule="exact"/>
              <w:jc w:val="center"/>
              <w:rPr>
                <w:del w:id="2438" w:author="AbbVie19" w:date="2025-04-16T10:35:00Z"/>
                <w:b/>
                <w:bCs/>
                <w:szCs w:val="20"/>
              </w:rPr>
            </w:pPr>
            <w:del w:id="2439" w:author="AbbVie19" w:date="2025-04-16T10:35:00Z">
              <w:r w:rsidRPr="00BC0E7E">
                <w:rPr>
                  <w:b/>
                  <w:bCs/>
                  <w:szCs w:val="20"/>
                </w:rPr>
                <w:delText>Induction of Clinical Remission and Response</w:delText>
              </w:r>
            </w:del>
          </w:p>
          <w:p w14:paraId="0721A1FA" w14:textId="77777777" w:rsidR="00BC0E7E" w:rsidRPr="00BC0E7E" w:rsidRDefault="00944B8F" w:rsidP="00BC0E7E">
            <w:pPr>
              <w:keepLines/>
              <w:tabs>
                <w:tab w:val="clear" w:pos="562"/>
                <w:tab w:val="left" w:pos="360"/>
              </w:tabs>
              <w:spacing w:before="40" w:after="40" w:line="240" w:lineRule="exact"/>
              <w:jc w:val="center"/>
              <w:rPr>
                <w:del w:id="2440" w:author="AbbVie19" w:date="2025-04-16T10:35:00Z"/>
                <w:b/>
                <w:bCs/>
                <w:szCs w:val="20"/>
              </w:rPr>
            </w:pPr>
            <w:del w:id="2441" w:author="AbbVie19" w:date="2025-04-16T10:35:00Z">
              <w:r w:rsidRPr="00BC0E7E">
                <w:rPr>
                  <w:b/>
                  <w:bCs/>
                  <w:szCs w:val="20"/>
                </w:rPr>
                <w:delText>(Percent of Patients)</w:delText>
              </w:r>
            </w:del>
          </w:p>
        </w:tc>
      </w:tr>
      <w:tr w:rsidR="00C6578C" w14:paraId="15E759FD" w14:textId="77777777" w:rsidTr="00171601">
        <w:trPr>
          <w:cantSplit/>
          <w:del w:id="2442" w:author="AbbVie19" w:date="2025-04-16T10:35:00Z"/>
        </w:trPr>
        <w:tc>
          <w:tcPr>
            <w:tcW w:w="2416" w:type="dxa"/>
          </w:tcPr>
          <w:p w14:paraId="7BF16A57" w14:textId="77777777" w:rsidR="00BC0E7E" w:rsidRPr="00BC0E7E" w:rsidRDefault="00BC0E7E" w:rsidP="00BC0E7E">
            <w:pPr>
              <w:keepLines/>
              <w:tabs>
                <w:tab w:val="clear" w:pos="562"/>
                <w:tab w:val="left" w:pos="360"/>
              </w:tabs>
              <w:spacing w:before="40" w:after="40" w:line="240" w:lineRule="exact"/>
              <w:rPr>
                <w:del w:id="2443" w:author="AbbVie19" w:date="2025-04-16T10:35:00Z"/>
                <w:b/>
                <w:bCs/>
                <w:szCs w:val="20"/>
              </w:rPr>
            </w:pPr>
          </w:p>
        </w:tc>
        <w:tc>
          <w:tcPr>
            <w:tcW w:w="3412" w:type="dxa"/>
            <w:gridSpan w:val="3"/>
          </w:tcPr>
          <w:p w14:paraId="77897CEE" w14:textId="77777777" w:rsidR="00BC0E7E" w:rsidRPr="00BC0E7E" w:rsidRDefault="00944B8F" w:rsidP="00BC0E7E">
            <w:pPr>
              <w:keepLines/>
              <w:tabs>
                <w:tab w:val="clear" w:pos="562"/>
                <w:tab w:val="left" w:pos="360"/>
              </w:tabs>
              <w:spacing w:before="40" w:after="40" w:line="240" w:lineRule="exact"/>
              <w:rPr>
                <w:del w:id="2444" w:author="AbbVie19" w:date="2025-04-16T10:35:00Z"/>
                <w:b/>
                <w:bCs/>
                <w:szCs w:val="20"/>
              </w:rPr>
            </w:pPr>
            <w:del w:id="2445" w:author="AbbVie19" w:date="2025-04-16T10:35:00Z">
              <w:r w:rsidRPr="00BC0E7E">
                <w:rPr>
                  <w:b/>
                  <w:bCs/>
                  <w:szCs w:val="20"/>
                </w:rPr>
                <w:delText>CD Study I: Infliximab Naive Patients</w:delText>
              </w:r>
            </w:del>
          </w:p>
        </w:tc>
        <w:tc>
          <w:tcPr>
            <w:tcW w:w="3410" w:type="dxa"/>
            <w:gridSpan w:val="2"/>
          </w:tcPr>
          <w:p w14:paraId="708ABFA7" w14:textId="77777777" w:rsidR="00BC0E7E" w:rsidRPr="00BC0E7E" w:rsidRDefault="00944B8F" w:rsidP="00BC0E7E">
            <w:pPr>
              <w:keepLines/>
              <w:tabs>
                <w:tab w:val="clear" w:pos="562"/>
                <w:tab w:val="left" w:pos="360"/>
              </w:tabs>
              <w:spacing w:before="40" w:after="40" w:line="240" w:lineRule="exact"/>
              <w:rPr>
                <w:del w:id="2446" w:author="AbbVie19" w:date="2025-04-16T10:35:00Z"/>
                <w:b/>
                <w:bCs/>
                <w:szCs w:val="20"/>
              </w:rPr>
            </w:pPr>
            <w:del w:id="2447" w:author="AbbVie19" w:date="2025-04-16T10:35:00Z">
              <w:r w:rsidRPr="00BC0E7E">
                <w:rPr>
                  <w:b/>
                  <w:bCs/>
                  <w:szCs w:val="20"/>
                </w:rPr>
                <w:delText>CD Study II: Infliximab Experienced Patients</w:delText>
              </w:r>
            </w:del>
          </w:p>
        </w:tc>
      </w:tr>
      <w:tr w:rsidR="00C6578C" w14:paraId="52633308" w14:textId="77777777" w:rsidTr="00171601">
        <w:trPr>
          <w:cantSplit/>
          <w:del w:id="2448" w:author="AbbVie19" w:date="2025-04-16T10:35:00Z"/>
        </w:trPr>
        <w:tc>
          <w:tcPr>
            <w:tcW w:w="2416" w:type="dxa"/>
          </w:tcPr>
          <w:p w14:paraId="6773FD2C" w14:textId="77777777" w:rsidR="00BC0E7E" w:rsidRPr="00BC0E7E" w:rsidRDefault="00BC0E7E" w:rsidP="00BC0E7E">
            <w:pPr>
              <w:keepLines/>
              <w:tabs>
                <w:tab w:val="clear" w:pos="562"/>
                <w:tab w:val="left" w:pos="360"/>
              </w:tabs>
              <w:spacing w:before="40" w:after="40" w:line="240" w:lineRule="exact"/>
              <w:jc w:val="center"/>
              <w:rPr>
                <w:del w:id="2449" w:author="AbbVie19" w:date="2025-04-16T10:35:00Z"/>
                <w:b/>
                <w:bCs/>
                <w:szCs w:val="20"/>
              </w:rPr>
            </w:pPr>
          </w:p>
        </w:tc>
        <w:tc>
          <w:tcPr>
            <w:tcW w:w="1212" w:type="dxa"/>
          </w:tcPr>
          <w:p w14:paraId="67C47F03" w14:textId="77777777" w:rsidR="00BC0E7E" w:rsidRPr="00762FA7" w:rsidRDefault="00944B8F" w:rsidP="00BC0E7E">
            <w:pPr>
              <w:keepLines/>
              <w:tabs>
                <w:tab w:val="clear" w:pos="562"/>
                <w:tab w:val="left" w:pos="360"/>
              </w:tabs>
              <w:spacing w:before="40" w:after="40" w:line="240" w:lineRule="exact"/>
              <w:jc w:val="center"/>
              <w:rPr>
                <w:del w:id="2450" w:author="AbbVie19" w:date="2025-04-16T10:35:00Z"/>
                <w:b/>
                <w:bCs/>
                <w:szCs w:val="20"/>
                <w:lang w:val="fr-FR"/>
              </w:rPr>
            </w:pPr>
            <w:del w:id="2451" w:author="AbbVie19" w:date="2025-04-16T10:35:00Z">
              <w:r w:rsidRPr="00762FA7">
                <w:rPr>
                  <w:b/>
                  <w:bCs/>
                  <w:szCs w:val="20"/>
                  <w:lang w:val="fr-FR"/>
                </w:rPr>
                <w:delText>Placebo</w:delText>
              </w:r>
            </w:del>
          </w:p>
          <w:p w14:paraId="784983DB" w14:textId="77777777" w:rsidR="00BC0E7E" w:rsidRPr="00762FA7" w:rsidRDefault="00944B8F" w:rsidP="00BC0E7E">
            <w:pPr>
              <w:keepLines/>
              <w:tabs>
                <w:tab w:val="clear" w:pos="562"/>
                <w:tab w:val="left" w:pos="360"/>
              </w:tabs>
              <w:spacing w:before="40" w:after="40" w:line="240" w:lineRule="exact"/>
              <w:jc w:val="center"/>
              <w:rPr>
                <w:del w:id="2452" w:author="AbbVie19" w:date="2025-04-16T10:35:00Z"/>
                <w:b/>
                <w:bCs/>
                <w:szCs w:val="20"/>
                <w:lang w:val="fr-FR"/>
              </w:rPr>
            </w:pPr>
            <w:del w:id="2453" w:author="AbbVie19" w:date="2025-04-16T10:35:00Z">
              <w:r w:rsidRPr="00762FA7">
                <w:rPr>
                  <w:b/>
                  <w:bCs/>
                  <w:szCs w:val="20"/>
                  <w:lang w:val="fr-FR"/>
                </w:rPr>
                <w:delText>N=74</w:delText>
              </w:r>
            </w:del>
          </w:p>
        </w:tc>
        <w:tc>
          <w:tcPr>
            <w:tcW w:w="1264" w:type="dxa"/>
          </w:tcPr>
          <w:p w14:paraId="37546CBC" w14:textId="77777777" w:rsidR="00BC0E7E" w:rsidRPr="00762FA7" w:rsidRDefault="00944B8F" w:rsidP="00BC0E7E">
            <w:pPr>
              <w:keepLines/>
              <w:tabs>
                <w:tab w:val="clear" w:pos="562"/>
                <w:tab w:val="left" w:pos="360"/>
              </w:tabs>
              <w:spacing w:before="40" w:after="40" w:line="240" w:lineRule="exact"/>
              <w:jc w:val="center"/>
              <w:rPr>
                <w:del w:id="2454" w:author="AbbVie19" w:date="2025-04-16T10:35:00Z"/>
                <w:b/>
                <w:bCs/>
                <w:szCs w:val="20"/>
                <w:lang w:val="fr-FR"/>
              </w:rPr>
            </w:pPr>
            <w:del w:id="2455" w:author="AbbVie19" w:date="2025-04-16T10:35:00Z">
              <w:r w:rsidRPr="00762FA7">
                <w:rPr>
                  <w:b/>
                  <w:bCs/>
                  <w:szCs w:val="20"/>
                  <w:lang w:val="fr-FR"/>
                </w:rPr>
                <w:delText>Humira</w:delText>
              </w:r>
            </w:del>
          </w:p>
          <w:p w14:paraId="3CDC2BA8" w14:textId="77777777" w:rsidR="00BC0E7E" w:rsidRPr="00762FA7" w:rsidRDefault="00944B8F" w:rsidP="00BC0E7E">
            <w:pPr>
              <w:keepLines/>
              <w:tabs>
                <w:tab w:val="clear" w:pos="562"/>
                <w:tab w:val="left" w:pos="360"/>
              </w:tabs>
              <w:spacing w:before="40" w:after="40" w:line="240" w:lineRule="exact"/>
              <w:jc w:val="center"/>
              <w:rPr>
                <w:del w:id="2456" w:author="AbbVie19" w:date="2025-04-16T10:35:00Z"/>
                <w:b/>
                <w:bCs/>
                <w:szCs w:val="20"/>
                <w:lang w:val="fr-FR"/>
              </w:rPr>
            </w:pPr>
            <w:del w:id="2457" w:author="AbbVie19" w:date="2025-04-16T10:35:00Z">
              <w:r w:rsidRPr="00762FA7">
                <w:rPr>
                  <w:b/>
                  <w:bCs/>
                  <w:szCs w:val="20"/>
                  <w:lang w:val="fr-FR"/>
                </w:rPr>
                <w:delText>80/40 mg</w:delText>
              </w:r>
            </w:del>
          </w:p>
          <w:p w14:paraId="6583B12F" w14:textId="77777777" w:rsidR="00BC0E7E" w:rsidRPr="00762FA7" w:rsidRDefault="00944B8F" w:rsidP="00BC0E7E">
            <w:pPr>
              <w:keepLines/>
              <w:tabs>
                <w:tab w:val="clear" w:pos="562"/>
                <w:tab w:val="left" w:pos="360"/>
              </w:tabs>
              <w:spacing w:before="40" w:after="40" w:line="240" w:lineRule="exact"/>
              <w:jc w:val="center"/>
              <w:rPr>
                <w:del w:id="2458" w:author="AbbVie19" w:date="2025-04-16T10:35:00Z"/>
                <w:b/>
                <w:bCs/>
                <w:szCs w:val="20"/>
                <w:lang w:val="fr-FR"/>
              </w:rPr>
            </w:pPr>
            <w:del w:id="2459" w:author="AbbVie19" w:date="2025-04-16T10:35:00Z">
              <w:r w:rsidRPr="00762FA7">
                <w:rPr>
                  <w:b/>
                  <w:bCs/>
                  <w:szCs w:val="20"/>
                  <w:lang w:val="fr-FR"/>
                </w:rPr>
                <w:delText>N = 75</w:delText>
              </w:r>
            </w:del>
          </w:p>
        </w:tc>
        <w:tc>
          <w:tcPr>
            <w:tcW w:w="936" w:type="dxa"/>
          </w:tcPr>
          <w:p w14:paraId="08313A29" w14:textId="77777777" w:rsidR="00BC0E7E" w:rsidRPr="00762FA7" w:rsidRDefault="00944B8F" w:rsidP="00BC0E7E">
            <w:pPr>
              <w:keepLines/>
              <w:tabs>
                <w:tab w:val="clear" w:pos="562"/>
                <w:tab w:val="left" w:pos="360"/>
              </w:tabs>
              <w:spacing w:before="40" w:after="40" w:line="240" w:lineRule="exact"/>
              <w:jc w:val="center"/>
              <w:rPr>
                <w:del w:id="2460" w:author="AbbVie19" w:date="2025-04-16T10:35:00Z"/>
                <w:b/>
                <w:bCs/>
                <w:szCs w:val="20"/>
                <w:lang w:val="fr-FR"/>
              </w:rPr>
            </w:pPr>
            <w:del w:id="2461" w:author="AbbVie19" w:date="2025-04-16T10:35:00Z">
              <w:r w:rsidRPr="00762FA7">
                <w:rPr>
                  <w:b/>
                  <w:bCs/>
                  <w:szCs w:val="20"/>
                  <w:lang w:val="fr-FR"/>
                </w:rPr>
                <w:delText xml:space="preserve">Humira </w:delText>
              </w:r>
            </w:del>
          </w:p>
          <w:p w14:paraId="6390E174" w14:textId="77777777" w:rsidR="00BC0E7E" w:rsidRPr="00762FA7" w:rsidRDefault="00944B8F" w:rsidP="00BC0E7E">
            <w:pPr>
              <w:keepLines/>
              <w:tabs>
                <w:tab w:val="clear" w:pos="562"/>
                <w:tab w:val="left" w:pos="360"/>
              </w:tabs>
              <w:spacing w:before="40" w:after="40" w:line="240" w:lineRule="exact"/>
              <w:jc w:val="center"/>
              <w:rPr>
                <w:del w:id="2462" w:author="AbbVie19" w:date="2025-04-16T10:35:00Z"/>
                <w:b/>
                <w:bCs/>
                <w:szCs w:val="20"/>
                <w:lang w:val="fr-FR"/>
              </w:rPr>
            </w:pPr>
            <w:del w:id="2463" w:author="AbbVie19" w:date="2025-04-16T10:35:00Z">
              <w:r w:rsidRPr="00762FA7">
                <w:rPr>
                  <w:b/>
                  <w:bCs/>
                  <w:szCs w:val="20"/>
                  <w:lang w:val="fr-FR"/>
                </w:rPr>
                <w:delText>160/80 mg N=76</w:delText>
              </w:r>
            </w:del>
          </w:p>
        </w:tc>
        <w:tc>
          <w:tcPr>
            <w:tcW w:w="1540" w:type="dxa"/>
          </w:tcPr>
          <w:p w14:paraId="4825FF93" w14:textId="77777777" w:rsidR="00BC0E7E" w:rsidRPr="00762FA7" w:rsidRDefault="00944B8F" w:rsidP="00BC0E7E">
            <w:pPr>
              <w:keepLines/>
              <w:tabs>
                <w:tab w:val="clear" w:pos="562"/>
                <w:tab w:val="left" w:pos="360"/>
              </w:tabs>
              <w:spacing w:before="40" w:after="40" w:line="240" w:lineRule="exact"/>
              <w:jc w:val="center"/>
              <w:rPr>
                <w:del w:id="2464" w:author="AbbVie19" w:date="2025-04-16T10:35:00Z"/>
                <w:b/>
                <w:bCs/>
                <w:szCs w:val="20"/>
                <w:lang w:val="fr-FR"/>
              </w:rPr>
            </w:pPr>
            <w:del w:id="2465" w:author="AbbVie19" w:date="2025-04-16T10:35:00Z">
              <w:r w:rsidRPr="00762FA7">
                <w:rPr>
                  <w:b/>
                  <w:bCs/>
                  <w:szCs w:val="20"/>
                  <w:lang w:val="fr-FR"/>
                </w:rPr>
                <w:delText>Placebo</w:delText>
              </w:r>
            </w:del>
          </w:p>
          <w:p w14:paraId="74CA7B79" w14:textId="77777777" w:rsidR="00BC0E7E" w:rsidRPr="00762FA7" w:rsidRDefault="00944B8F" w:rsidP="00BC0E7E">
            <w:pPr>
              <w:keepLines/>
              <w:tabs>
                <w:tab w:val="clear" w:pos="562"/>
                <w:tab w:val="left" w:pos="360"/>
              </w:tabs>
              <w:spacing w:before="40" w:after="40" w:line="240" w:lineRule="exact"/>
              <w:jc w:val="center"/>
              <w:rPr>
                <w:del w:id="2466" w:author="AbbVie19" w:date="2025-04-16T10:35:00Z"/>
                <w:b/>
                <w:bCs/>
                <w:szCs w:val="20"/>
                <w:lang w:val="fr-FR"/>
              </w:rPr>
            </w:pPr>
            <w:del w:id="2467" w:author="AbbVie19" w:date="2025-04-16T10:35:00Z">
              <w:r w:rsidRPr="00762FA7">
                <w:rPr>
                  <w:b/>
                  <w:bCs/>
                  <w:szCs w:val="20"/>
                  <w:lang w:val="fr-FR"/>
                </w:rPr>
                <w:delText>N=166</w:delText>
              </w:r>
            </w:del>
          </w:p>
        </w:tc>
        <w:tc>
          <w:tcPr>
            <w:tcW w:w="1870" w:type="dxa"/>
          </w:tcPr>
          <w:p w14:paraId="16EFBF54" w14:textId="77777777" w:rsidR="00BC0E7E" w:rsidRPr="00762FA7" w:rsidRDefault="00944B8F" w:rsidP="00BC0E7E">
            <w:pPr>
              <w:keepLines/>
              <w:tabs>
                <w:tab w:val="clear" w:pos="562"/>
                <w:tab w:val="left" w:pos="360"/>
              </w:tabs>
              <w:spacing w:before="40" w:after="40" w:line="240" w:lineRule="exact"/>
              <w:jc w:val="center"/>
              <w:rPr>
                <w:del w:id="2468" w:author="AbbVie19" w:date="2025-04-16T10:35:00Z"/>
                <w:b/>
                <w:bCs/>
                <w:szCs w:val="20"/>
                <w:lang w:val="fr-FR"/>
              </w:rPr>
            </w:pPr>
            <w:del w:id="2469" w:author="AbbVie19" w:date="2025-04-16T10:35:00Z">
              <w:r w:rsidRPr="00762FA7">
                <w:rPr>
                  <w:b/>
                  <w:bCs/>
                  <w:szCs w:val="20"/>
                  <w:lang w:val="fr-FR"/>
                </w:rPr>
                <w:delText xml:space="preserve">Humira </w:delText>
              </w:r>
            </w:del>
          </w:p>
          <w:p w14:paraId="068BC26D" w14:textId="77777777" w:rsidR="00BC0E7E" w:rsidRPr="00762FA7" w:rsidRDefault="00944B8F" w:rsidP="00BC0E7E">
            <w:pPr>
              <w:keepLines/>
              <w:tabs>
                <w:tab w:val="clear" w:pos="562"/>
                <w:tab w:val="left" w:pos="360"/>
              </w:tabs>
              <w:spacing w:before="40" w:after="40" w:line="240" w:lineRule="exact"/>
              <w:jc w:val="center"/>
              <w:rPr>
                <w:del w:id="2470" w:author="AbbVie19" w:date="2025-04-16T10:35:00Z"/>
                <w:b/>
                <w:bCs/>
                <w:szCs w:val="20"/>
                <w:lang w:val="fr-FR"/>
              </w:rPr>
            </w:pPr>
            <w:del w:id="2471" w:author="AbbVie19" w:date="2025-04-16T10:35:00Z">
              <w:r w:rsidRPr="00762FA7">
                <w:rPr>
                  <w:b/>
                  <w:bCs/>
                  <w:szCs w:val="20"/>
                  <w:lang w:val="fr-FR"/>
                </w:rPr>
                <w:delText>160/80 mg</w:delText>
              </w:r>
            </w:del>
          </w:p>
          <w:p w14:paraId="3AAE78F5" w14:textId="77777777" w:rsidR="00BC0E7E" w:rsidRPr="00BC0E7E" w:rsidRDefault="00944B8F" w:rsidP="00BC0E7E">
            <w:pPr>
              <w:keepLines/>
              <w:tabs>
                <w:tab w:val="clear" w:pos="562"/>
                <w:tab w:val="left" w:pos="360"/>
              </w:tabs>
              <w:spacing w:before="40" w:after="40" w:line="240" w:lineRule="exact"/>
              <w:jc w:val="center"/>
              <w:rPr>
                <w:del w:id="2472" w:author="AbbVie19" w:date="2025-04-16T10:35:00Z"/>
                <w:b/>
                <w:bCs/>
                <w:szCs w:val="20"/>
              </w:rPr>
            </w:pPr>
            <w:del w:id="2473" w:author="AbbVie19" w:date="2025-04-16T10:35:00Z">
              <w:r w:rsidRPr="00BC0E7E">
                <w:rPr>
                  <w:b/>
                  <w:bCs/>
                  <w:szCs w:val="20"/>
                </w:rPr>
                <w:delText>N=159</w:delText>
              </w:r>
            </w:del>
          </w:p>
        </w:tc>
      </w:tr>
      <w:tr w:rsidR="00C6578C" w14:paraId="5EA329B8" w14:textId="77777777" w:rsidTr="00171601">
        <w:trPr>
          <w:cantSplit/>
          <w:del w:id="2474" w:author="AbbVie19" w:date="2025-04-16T10:35:00Z"/>
        </w:trPr>
        <w:tc>
          <w:tcPr>
            <w:tcW w:w="2416" w:type="dxa"/>
            <w:vAlign w:val="bottom"/>
          </w:tcPr>
          <w:p w14:paraId="42A9A68D" w14:textId="77777777" w:rsidR="00BC0E7E" w:rsidRPr="00BC0E7E" w:rsidRDefault="00944B8F" w:rsidP="00BC0E7E">
            <w:pPr>
              <w:keepLines/>
              <w:tabs>
                <w:tab w:val="clear" w:pos="562"/>
                <w:tab w:val="left" w:pos="360"/>
              </w:tabs>
              <w:spacing w:before="40" w:after="40" w:line="240" w:lineRule="exact"/>
              <w:rPr>
                <w:del w:id="2475" w:author="AbbVie19" w:date="2025-04-16T10:35:00Z"/>
                <w:szCs w:val="20"/>
              </w:rPr>
            </w:pPr>
            <w:del w:id="2476" w:author="AbbVie19" w:date="2025-04-16T10:35:00Z">
              <w:r w:rsidRPr="00BC0E7E">
                <w:rPr>
                  <w:szCs w:val="20"/>
                </w:rPr>
                <w:delText>Week 4</w:delText>
              </w:r>
            </w:del>
          </w:p>
        </w:tc>
        <w:tc>
          <w:tcPr>
            <w:tcW w:w="1212" w:type="dxa"/>
            <w:vAlign w:val="bottom"/>
          </w:tcPr>
          <w:p w14:paraId="0167579A" w14:textId="77777777" w:rsidR="00BC0E7E" w:rsidRPr="00BC0E7E" w:rsidRDefault="00BC0E7E" w:rsidP="00BC0E7E">
            <w:pPr>
              <w:keepLines/>
              <w:tabs>
                <w:tab w:val="clear" w:pos="562"/>
                <w:tab w:val="left" w:pos="360"/>
              </w:tabs>
              <w:spacing w:before="40" w:after="40" w:line="240" w:lineRule="exact"/>
              <w:rPr>
                <w:del w:id="2477" w:author="AbbVie19" w:date="2025-04-16T10:35:00Z"/>
                <w:szCs w:val="20"/>
              </w:rPr>
            </w:pPr>
          </w:p>
        </w:tc>
        <w:tc>
          <w:tcPr>
            <w:tcW w:w="1264" w:type="dxa"/>
            <w:vAlign w:val="bottom"/>
          </w:tcPr>
          <w:p w14:paraId="74986364" w14:textId="77777777" w:rsidR="00BC0E7E" w:rsidRPr="00BC0E7E" w:rsidRDefault="00BC0E7E" w:rsidP="00BC0E7E">
            <w:pPr>
              <w:keepLines/>
              <w:tabs>
                <w:tab w:val="clear" w:pos="562"/>
                <w:tab w:val="left" w:pos="360"/>
              </w:tabs>
              <w:spacing w:before="40" w:after="40" w:line="240" w:lineRule="exact"/>
              <w:rPr>
                <w:del w:id="2478" w:author="AbbVie19" w:date="2025-04-16T10:35:00Z"/>
                <w:szCs w:val="20"/>
              </w:rPr>
            </w:pPr>
          </w:p>
        </w:tc>
        <w:tc>
          <w:tcPr>
            <w:tcW w:w="936" w:type="dxa"/>
            <w:vAlign w:val="bottom"/>
          </w:tcPr>
          <w:p w14:paraId="1529F93B" w14:textId="77777777" w:rsidR="00BC0E7E" w:rsidRPr="00BC0E7E" w:rsidRDefault="00BC0E7E" w:rsidP="00BC0E7E">
            <w:pPr>
              <w:keepLines/>
              <w:tabs>
                <w:tab w:val="clear" w:pos="562"/>
                <w:tab w:val="left" w:pos="360"/>
              </w:tabs>
              <w:spacing w:before="40" w:after="40" w:line="240" w:lineRule="exact"/>
              <w:rPr>
                <w:del w:id="2479" w:author="AbbVie19" w:date="2025-04-16T10:35:00Z"/>
                <w:szCs w:val="20"/>
              </w:rPr>
            </w:pPr>
          </w:p>
        </w:tc>
        <w:tc>
          <w:tcPr>
            <w:tcW w:w="1540" w:type="dxa"/>
            <w:vAlign w:val="bottom"/>
          </w:tcPr>
          <w:p w14:paraId="064AFBDE" w14:textId="77777777" w:rsidR="00BC0E7E" w:rsidRPr="00BC0E7E" w:rsidRDefault="00BC0E7E" w:rsidP="00BC0E7E">
            <w:pPr>
              <w:keepLines/>
              <w:tabs>
                <w:tab w:val="clear" w:pos="562"/>
                <w:tab w:val="left" w:pos="360"/>
              </w:tabs>
              <w:spacing w:before="40" w:after="40" w:line="240" w:lineRule="exact"/>
              <w:rPr>
                <w:del w:id="2480" w:author="AbbVie19" w:date="2025-04-16T10:35:00Z"/>
                <w:szCs w:val="20"/>
              </w:rPr>
            </w:pPr>
          </w:p>
        </w:tc>
        <w:tc>
          <w:tcPr>
            <w:tcW w:w="1870" w:type="dxa"/>
            <w:vAlign w:val="bottom"/>
          </w:tcPr>
          <w:p w14:paraId="05AD264E" w14:textId="77777777" w:rsidR="00BC0E7E" w:rsidRPr="00BC0E7E" w:rsidRDefault="00BC0E7E" w:rsidP="00BC0E7E">
            <w:pPr>
              <w:keepLines/>
              <w:tabs>
                <w:tab w:val="clear" w:pos="562"/>
                <w:tab w:val="left" w:pos="360"/>
              </w:tabs>
              <w:spacing w:before="40" w:after="40" w:line="240" w:lineRule="exact"/>
              <w:rPr>
                <w:del w:id="2481" w:author="AbbVie19" w:date="2025-04-16T10:35:00Z"/>
                <w:szCs w:val="20"/>
              </w:rPr>
            </w:pPr>
          </w:p>
        </w:tc>
      </w:tr>
      <w:tr w:rsidR="00C6578C" w14:paraId="07157FDA" w14:textId="77777777" w:rsidTr="00171601">
        <w:trPr>
          <w:cantSplit/>
          <w:del w:id="2482" w:author="AbbVie19" w:date="2025-04-16T10:35:00Z"/>
        </w:trPr>
        <w:tc>
          <w:tcPr>
            <w:tcW w:w="2416" w:type="dxa"/>
            <w:vAlign w:val="bottom"/>
          </w:tcPr>
          <w:p w14:paraId="34845834" w14:textId="77777777" w:rsidR="00BC0E7E" w:rsidRPr="00BC0E7E" w:rsidRDefault="00944B8F" w:rsidP="00BC0E7E">
            <w:pPr>
              <w:keepLines/>
              <w:tabs>
                <w:tab w:val="clear" w:pos="562"/>
                <w:tab w:val="left" w:pos="360"/>
              </w:tabs>
              <w:spacing w:before="40" w:after="40" w:line="240" w:lineRule="exact"/>
              <w:rPr>
                <w:del w:id="2483" w:author="AbbVie19" w:date="2025-04-16T10:35:00Z"/>
                <w:szCs w:val="20"/>
              </w:rPr>
            </w:pPr>
            <w:del w:id="2484" w:author="AbbVie19" w:date="2025-04-16T10:35:00Z">
              <w:r w:rsidRPr="00BC0E7E">
                <w:rPr>
                  <w:szCs w:val="20"/>
                </w:rPr>
                <w:delText>Clinical remission</w:delText>
              </w:r>
            </w:del>
          </w:p>
        </w:tc>
        <w:tc>
          <w:tcPr>
            <w:tcW w:w="1212" w:type="dxa"/>
            <w:vAlign w:val="bottom"/>
          </w:tcPr>
          <w:p w14:paraId="54388CFE" w14:textId="77777777" w:rsidR="00BC0E7E" w:rsidRPr="00BC0E7E" w:rsidRDefault="00944B8F" w:rsidP="00BC0E7E">
            <w:pPr>
              <w:keepLines/>
              <w:tabs>
                <w:tab w:val="clear" w:pos="562"/>
                <w:tab w:val="left" w:pos="360"/>
              </w:tabs>
              <w:spacing w:before="40" w:after="40" w:line="240" w:lineRule="exact"/>
              <w:jc w:val="center"/>
              <w:rPr>
                <w:del w:id="2485" w:author="AbbVie19" w:date="2025-04-16T10:35:00Z"/>
                <w:szCs w:val="20"/>
              </w:rPr>
            </w:pPr>
            <w:del w:id="2486" w:author="AbbVie19" w:date="2025-04-16T10:35:00Z">
              <w:r w:rsidRPr="00BC0E7E">
                <w:rPr>
                  <w:szCs w:val="20"/>
                </w:rPr>
                <w:delText>12%</w:delText>
              </w:r>
            </w:del>
          </w:p>
        </w:tc>
        <w:tc>
          <w:tcPr>
            <w:tcW w:w="1264" w:type="dxa"/>
            <w:vAlign w:val="bottom"/>
          </w:tcPr>
          <w:p w14:paraId="1885DEC4" w14:textId="77777777" w:rsidR="00BC0E7E" w:rsidRPr="00BC0E7E" w:rsidRDefault="00944B8F" w:rsidP="00BC0E7E">
            <w:pPr>
              <w:keepLines/>
              <w:tabs>
                <w:tab w:val="clear" w:pos="562"/>
                <w:tab w:val="left" w:pos="360"/>
              </w:tabs>
              <w:spacing w:before="40" w:after="40" w:line="240" w:lineRule="exact"/>
              <w:jc w:val="center"/>
              <w:rPr>
                <w:del w:id="2487" w:author="AbbVie19" w:date="2025-04-16T10:35:00Z"/>
                <w:bCs/>
                <w:iCs/>
                <w:szCs w:val="20"/>
              </w:rPr>
            </w:pPr>
            <w:del w:id="2488" w:author="AbbVie19" w:date="2025-04-16T10:35:00Z">
              <w:r w:rsidRPr="00BC0E7E">
                <w:rPr>
                  <w:bCs/>
                  <w:iCs/>
                  <w:szCs w:val="20"/>
                </w:rPr>
                <w:delText>24%</w:delText>
              </w:r>
            </w:del>
          </w:p>
        </w:tc>
        <w:tc>
          <w:tcPr>
            <w:tcW w:w="936" w:type="dxa"/>
            <w:vAlign w:val="bottom"/>
          </w:tcPr>
          <w:p w14:paraId="62BFCDA8" w14:textId="77777777" w:rsidR="00BC0E7E" w:rsidRPr="00BC0E7E" w:rsidRDefault="00944B8F" w:rsidP="00BC0E7E">
            <w:pPr>
              <w:keepLines/>
              <w:tabs>
                <w:tab w:val="clear" w:pos="562"/>
                <w:tab w:val="left" w:pos="360"/>
              </w:tabs>
              <w:spacing w:before="40" w:after="40" w:line="240" w:lineRule="exact"/>
              <w:jc w:val="center"/>
              <w:rPr>
                <w:del w:id="2489" w:author="AbbVie19" w:date="2025-04-16T10:35:00Z"/>
                <w:bCs/>
                <w:iCs/>
                <w:szCs w:val="20"/>
              </w:rPr>
            </w:pPr>
            <w:del w:id="2490" w:author="AbbVie19" w:date="2025-04-16T10:35:00Z">
              <w:r w:rsidRPr="00BC0E7E">
                <w:rPr>
                  <w:szCs w:val="20"/>
                </w:rPr>
                <w:delText>36%</w:delText>
              </w:r>
              <w:r w:rsidRPr="00BC0E7E">
                <w:rPr>
                  <w:szCs w:val="20"/>
                  <w:vertAlign w:val="superscript"/>
                </w:rPr>
                <w:delText>*</w:delText>
              </w:r>
            </w:del>
          </w:p>
        </w:tc>
        <w:tc>
          <w:tcPr>
            <w:tcW w:w="1540" w:type="dxa"/>
            <w:vAlign w:val="bottom"/>
          </w:tcPr>
          <w:p w14:paraId="734198AB" w14:textId="77777777" w:rsidR="00BC0E7E" w:rsidRPr="00BC0E7E" w:rsidRDefault="00944B8F" w:rsidP="00BC0E7E">
            <w:pPr>
              <w:keepLines/>
              <w:tabs>
                <w:tab w:val="clear" w:pos="562"/>
                <w:tab w:val="left" w:pos="360"/>
              </w:tabs>
              <w:spacing w:before="40" w:after="40" w:line="240" w:lineRule="exact"/>
              <w:jc w:val="center"/>
              <w:rPr>
                <w:del w:id="2491" w:author="AbbVie19" w:date="2025-04-16T10:35:00Z"/>
                <w:szCs w:val="20"/>
              </w:rPr>
            </w:pPr>
            <w:del w:id="2492" w:author="AbbVie19" w:date="2025-04-16T10:35:00Z">
              <w:r w:rsidRPr="00BC0E7E">
                <w:rPr>
                  <w:szCs w:val="20"/>
                </w:rPr>
                <w:delText>7%</w:delText>
              </w:r>
            </w:del>
          </w:p>
        </w:tc>
        <w:tc>
          <w:tcPr>
            <w:tcW w:w="1870" w:type="dxa"/>
            <w:vAlign w:val="bottom"/>
          </w:tcPr>
          <w:p w14:paraId="368AD4E1" w14:textId="77777777" w:rsidR="00BC0E7E" w:rsidRPr="00BC0E7E" w:rsidRDefault="00944B8F" w:rsidP="00BC0E7E">
            <w:pPr>
              <w:keepLines/>
              <w:tabs>
                <w:tab w:val="clear" w:pos="562"/>
                <w:tab w:val="left" w:pos="360"/>
              </w:tabs>
              <w:spacing w:before="40" w:after="40" w:line="240" w:lineRule="exact"/>
              <w:jc w:val="center"/>
              <w:rPr>
                <w:del w:id="2493" w:author="AbbVie19" w:date="2025-04-16T10:35:00Z"/>
                <w:szCs w:val="20"/>
              </w:rPr>
            </w:pPr>
            <w:del w:id="2494" w:author="AbbVie19" w:date="2025-04-16T10:35:00Z">
              <w:r w:rsidRPr="00BC0E7E">
                <w:rPr>
                  <w:szCs w:val="20"/>
                </w:rPr>
                <w:delText>21%</w:delText>
              </w:r>
              <w:r w:rsidRPr="00BC0E7E">
                <w:rPr>
                  <w:szCs w:val="20"/>
                  <w:vertAlign w:val="superscript"/>
                </w:rPr>
                <w:delText>*</w:delText>
              </w:r>
            </w:del>
          </w:p>
        </w:tc>
      </w:tr>
      <w:tr w:rsidR="00C6578C" w14:paraId="0E1C3ADA" w14:textId="77777777" w:rsidTr="00171601">
        <w:trPr>
          <w:cantSplit/>
          <w:del w:id="2495" w:author="AbbVie19" w:date="2025-04-16T10:35:00Z"/>
        </w:trPr>
        <w:tc>
          <w:tcPr>
            <w:tcW w:w="2416" w:type="dxa"/>
          </w:tcPr>
          <w:p w14:paraId="5ED685F1" w14:textId="77777777" w:rsidR="00BC0E7E" w:rsidRPr="00BC0E7E" w:rsidRDefault="00944B8F" w:rsidP="00BC0E7E">
            <w:pPr>
              <w:keepLines/>
              <w:tabs>
                <w:tab w:val="clear" w:pos="562"/>
                <w:tab w:val="left" w:pos="360"/>
              </w:tabs>
              <w:spacing w:before="40" w:after="40" w:line="240" w:lineRule="exact"/>
              <w:rPr>
                <w:del w:id="2496" w:author="AbbVie19" w:date="2025-04-16T10:35:00Z"/>
                <w:szCs w:val="20"/>
              </w:rPr>
            </w:pPr>
            <w:del w:id="2497" w:author="AbbVie19" w:date="2025-04-16T10:35:00Z">
              <w:r w:rsidRPr="00BC0E7E">
                <w:rPr>
                  <w:szCs w:val="20"/>
                </w:rPr>
                <w:delText>Clinical response (CR-100)</w:delText>
              </w:r>
            </w:del>
          </w:p>
        </w:tc>
        <w:tc>
          <w:tcPr>
            <w:tcW w:w="1212" w:type="dxa"/>
          </w:tcPr>
          <w:p w14:paraId="66DD4DC8" w14:textId="77777777" w:rsidR="00BC0E7E" w:rsidRPr="00BC0E7E" w:rsidRDefault="00944B8F" w:rsidP="00BC0E7E">
            <w:pPr>
              <w:keepLines/>
              <w:tabs>
                <w:tab w:val="clear" w:pos="562"/>
                <w:tab w:val="left" w:pos="360"/>
              </w:tabs>
              <w:spacing w:before="40" w:after="40" w:line="240" w:lineRule="exact"/>
              <w:jc w:val="center"/>
              <w:rPr>
                <w:del w:id="2498" w:author="AbbVie19" w:date="2025-04-16T10:35:00Z"/>
                <w:szCs w:val="20"/>
              </w:rPr>
            </w:pPr>
            <w:del w:id="2499" w:author="AbbVie19" w:date="2025-04-16T10:35:00Z">
              <w:r w:rsidRPr="00BC0E7E">
                <w:rPr>
                  <w:szCs w:val="20"/>
                </w:rPr>
                <w:delText>24%</w:delText>
              </w:r>
            </w:del>
          </w:p>
        </w:tc>
        <w:tc>
          <w:tcPr>
            <w:tcW w:w="1264" w:type="dxa"/>
          </w:tcPr>
          <w:p w14:paraId="52FDECB0" w14:textId="77777777" w:rsidR="00BC0E7E" w:rsidRPr="00BC0E7E" w:rsidRDefault="00944B8F" w:rsidP="00BC0E7E">
            <w:pPr>
              <w:keepLines/>
              <w:tabs>
                <w:tab w:val="clear" w:pos="562"/>
                <w:tab w:val="left" w:pos="360"/>
              </w:tabs>
              <w:spacing w:before="40" w:after="40" w:line="240" w:lineRule="exact"/>
              <w:jc w:val="center"/>
              <w:rPr>
                <w:del w:id="2500" w:author="AbbVie19" w:date="2025-04-16T10:35:00Z"/>
                <w:szCs w:val="20"/>
              </w:rPr>
            </w:pPr>
            <w:del w:id="2501" w:author="AbbVie19" w:date="2025-04-16T10:35:00Z">
              <w:r w:rsidRPr="00BC0E7E">
                <w:rPr>
                  <w:szCs w:val="20"/>
                </w:rPr>
                <w:delText>37%</w:delText>
              </w:r>
            </w:del>
          </w:p>
        </w:tc>
        <w:tc>
          <w:tcPr>
            <w:tcW w:w="936" w:type="dxa"/>
          </w:tcPr>
          <w:p w14:paraId="726DFF84" w14:textId="77777777" w:rsidR="00BC0E7E" w:rsidRPr="00BC0E7E" w:rsidRDefault="00944B8F" w:rsidP="00BC0E7E">
            <w:pPr>
              <w:keepLines/>
              <w:tabs>
                <w:tab w:val="clear" w:pos="562"/>
                <w:tab w:val="left" w:pos="360"/>
              </w:tabs>
              <w:spacing w:before="40" w:after="40" w:line="240" w:lineRule="exact"/>
              <w:jc w:val="center"/>
              <w:rPr>
                <w:del w:id="2502" w:author="AbbVie19" w:date="2025-04-16T10:35:00Z"/>
                <w:szCs w:val="20"/>
              </w:rPr>
            </w:pPr>
            <w:del w:id="2503" w:author="AbbVie19" w:date="2025-04-16T10:35:00Z">
              <w:r w:rsidRPr="00BC0E7E">
                <w:rPr>
                  <w:szCs w:val="20"/>
                </w:rPr>
                <w:delText>49%</w:delText>
              </w:r>
              <w:r w:rsidRPr="00BC0E7E">
                <w:rPr>
                  <w:szCs w:val="20"/>
                  <w:vertAlign w:val="superscript"/>
                </w:rPr>
                <w:delText>**</w:delText>
              </w:r>
            </w:del>
          </w:p>
        </w:tc>
        <w:tc>
          <w:tcPr>
            <w:tcW w:w="1540" w:type="dxa"/>
          </w:tcPr>
          <w:p w14:paraId="00F05428" w14:textId="77777777" w:rsidR="00BC0E7E" w:rsidRPr="00BC0E7E" w:rsidRDefault="00944B8F" w:rsidP="00BC0E7E">
            <w:pPr>
              <w:keepLines/>
              <w:tabs>
                <w:tab w:val="clear" w:pos="562"/>
                <w:tab w:val="left" w:pos="360"/>
              </w:tabs>
              <w:spacing w:before="40" w:after="40" w:line="240" w:lineRule="exact"/>
              <w:jc w:val="center"/>
              <w:rPr>
                <w:del w:id="2504" w:author="AbbVie19" w:date="2025-04-16T10:35:00Z"/>
                <w:szCs w:val="20"/>
              </w:rPr>
            </w:pPr>
            <w:del w:id="2505" w:author="AbbVie19" w:date="2025-04-16T10:35:00Z">
              <w:r w:rsidRPr="00BC0E7E">
                <w:rPr>
                  <w:szCs w:val="20"/>
                </w:rPr>
                <w:delText>25%</w:delText>
              </w:r>
            </w:del>
          </w:p>
        </w:tc>
        <w:tc>
          <w:tcPr>
            <w:tcW w:w="1870" w:type="dxa"/>
          </w:tcPr>
          <w:p w14:paraId="1ED936E9" w14:textId="77777777" w:rsidR="00BC0E7E" w:rsidRPr="00BC0E7E" w:rsidRDefault="00944B8F" w:rsidP="00BC0E7E">
            <w:pPr>
              <w:keepLines/>
              <w:tabs>
                <w:tab w:val="clear" w:pos="562"/>
                <w:tab w:val="left" w:pos="360"/>
              </w:tabs>
              <w:spacing w:before="40" w:after="40" w:line="240" w:lineRule="exact"/>
              <w:jc w:val="center"/>
              <w:rPr>
                <w:del w:id="2506" w:author="AbbVie19" w:date="2025-04-16T10:35:00Z"/>
                <w:szCs w:val="20"/>
              </w:rPr>
            </w:pPr>
            <w:del w:id="2507" w:author="AbbVie19" w:date="2025-04-16T10:35:00Z">
              <w:r w:rsidRPr="00BC0E7E">
                <w:rPr>
                  <w:szCs w:val="20"/>
                </w:rPr>
                <w:delText>38%</w:delText>
              </w:r>
              <w:r w:rsidRPr="00BC0E7E">
                <w:rPr>
                  <w:szCs w:val="20"/>
                  <w:vertAlign w:val="superscript"/>
                </w:rPr>
                <w:delText>**</w:delText>
              </w:r>
            </w:del>
          </w:p>
        </w:tc>
      </w:tr>
      <w:tr w:rsidR="00C6578C" w14:paraId="468716CB" w14:textId="77777777" w:rsidTr="00171601">
        <w:trPr>
          <w:cantSplit/>
          <w:del w:id="2508" w:author="AbbVie19" w:date="2025-04-16T10:35:00Z"/>
        </w:trPr>
        <w:tc>
          <w:tcPr>
            <w:tcW w:w="9238" w:type="dxa"/>
            <w:gridSpan w:val="6"/>
            <w:tcBorders>
              <w:left w:val="nil"/>
              <w:bottom w:val="nil"/>
              <w:right w:val="nil"/>
            </w:tcBorders>
          </w:tcPr>
          <w:p w14:paraId="6C0A70A2" w14:textId="77777777" w:rsidR="00BC0E7E" w:rsidRPr="00BC0E7E" w:rsidRDefault="00944B8F" w:rsidP="00BC0E7E">
            <w:pPr>
              <w:keepLines/>
              <w:tabs>
                <w:tab w:val="clear" w:pos="562"/>
                <w:tab w:val="left" w:pos="360"/>
              </w:tabs>
              <w:spacing w:before="40" w:after="40" w:line="240" w:lineRule="exact"/>
              <w:rPr>
                <w:del w:id="2509" w:author="AbbVie19" w:date="2025-04-16T10:35:00Z"/>
                <w:szCs w:val="20"/>
              </w:rPr>
            </w:pPr>
            <w:del w:id="2510" w:author="AbbVie19" w:date="2025-04-16T10:35:00Z">
              <w:r w:rsidRPr="00BC0E7E">
                <w:rPr>
                  <w:szCs w:val="20"/>
                </w:rPr>
                <w:delText xml:space="preserve">All p-values are pairwise comparisons of proportions for Humira </w:delText>
              </w:r>
              <w:r w:rsidRPr="00BC0E7E">
                <w:rPr>
                  <w:i/>
                  <w:iCs/>
                  <w:szCs w:val="20"/>
                </w:rPr>
                <w:delText>versus</w:delText>
              </w:r>
              <w:r w:rsidRPr="00BC0E7E">
                <w:rPr>
                  <w:szCs w:val="20"/>
                </w:rPr>
                <w:delText xml:space="preserve"> placebo</w:delText>
              </w:r>
            </w:del>
          </w:p>
          <w:p w14:paraId="678FD838" w14:textId="77777777" w:rsidR="00BC0E7E" w:rsidRPr="00BC0E7E" w:rsidRDefault="00944B8F" w:rsidP="00BC0E7E">
            <w:pPr>
              <w:keepLines/>
              <w:tabs>
                <w:tab w:val="clear" w:pos="562"/>
                <w:tab w:val="left" w:pos="360"/>
              </w:tabs>
              <w:spacing w:before="40" w:after="40" w:line="240" w:lineRule="exact"/>
              <w:rPr>
                <w:del w:id="2511" w:author="AbbVie19" w:date="2025-04-16T10:35:00Z"/>
                <w:szCs w:val="20"/>
              </w:rPr>
            </w:pPr>
            <w:del w:id="2512" w:author="AbbVie19" w:date="2025-04-16T10:35:00Z">
              <w:r w:rsidRPr="00BC0E7E">
                <w:rPr>
                  <w:szCs w:val="20"/>
                  <w:vertAlign w:val="superscript"/>
                </w:rPr>
                <w:delText>*</w:delText>
              </w:r>
              <w:r w:rsidRPr="00BC0E7E">
                <w:rPr>
                  <w:szCs w:val="20"/>
                </w:rPr>
                <w:tab/>
                <w:delText>p &lt; 0.001</w:delText>
              </w:r>
            </w:del>
          </w:p>
          <w:p w14:paraId="1466CB04" w14:textId="77777777" w:rsidR="00BC0E7E" w:rsidRPr="00BC0E7E" w:rsidRDefault="00944B8F" w:rsidP="00BC0E7E">
            <w:pPr>
              <w:keepLines/>
              <w:tabs>
                <w:tab w:val="clear" w:pos="562"/>
                <w:tab w:val="left" w:pos="360"/>
              </w:tabs>
              <w:spacing w:before="40" w:after="40" w:line="240" w:lineRule="exact"/>
              <w:rPr>
                <w:del w:id="2513" w:author="AbbVie19" w:date="2025-04-16T10:35:00Z"/>
                <w:szCs w:val="20"/>
              </w:rPr>
            </w:pPr>
            <w:del w:id="2514" w:author="AbbVie19" w:date="2025-04-16T10:35:00Z">
              <w:r w:rsidRPr="00BC0E7E">
                <w:rPr>
                  <w:szCs w:val="20"/>
                  <w:vertAlign w:val="superscript"/>
                </w:rPr>
                <w:delText>**</w:delText>
              </w:r>
              <w:r w:rsidRPr="00BC0E7E">
                <w:rPr>
                  <w:szCs w:val="20"/>
                </w:rPr>
                <w:tab/>
                <w:delText>p &lt; 0.01</w:delText>
              </w:r>
            </w:del>
          </w:p>
        </w:tc>
      </w:tr>
    </w:tbl>
    <w:p w14:paraId="47824861" w14:textId="77777777" w:rsidR="00BC0E7E" w:rsidRPr="00BC0E7E" w:rsidRDefault="00BC0E7E" w:rsidP="00BC0E7E">
      <w:pPr>
        <w:rPr>
          <w:del w:id="2515" w:author="AbbVie19" w:date="2025-04-16T10:35:00Z"/>
          <w:szCs w:val="20"/>
        </w:rPr>
      </w:pPr>
    </w:p>
    <w:p w14:paraId="6C1F9AE3" w14:textId="77777777" w:rsidR="00BC0E7E" w:rsidRPr="00BC0E7E" w:rsidRDefault="00944B8F" w:rsidP="00BC0E7E">
      <w:pPr>
        <w:rPr>
          <w:del w:id="2516" w:author="AbbVie19" w:date="2025-04-16T10:35:00Z"/>
          <w:szCs w:val="20"/>
        </w:rPr>
      </w:pPr>
      <w:del w:id="2517" w:author="AbbVie19" w:date="2025-04-16T10:35:00Z">
        <w:r w:rsidRPr="00BC0E7E">
          <w:rPr>
            <w:szCs w:val="20"/>
          </w:rPr>
          <w:delText>Similar remission rates were observed for the 160/80 mg and 80/40 mg induction regimens by Week 8 and adverse events were more frequently noted in the 160/80 mg group.</w:delText>
        </w:r>
      </w:del>
    </w:p>
    <w:p w14:paraId="1385D4A7" w14:textId="77777777" w:rsidR="00BC0E7E" w:rsidRPr="00BC0E7E" w:rsidRDefault="00BC0E7E" w:rsidP="00BC0E7E">
      <w:pPr>
        <w:rPr>
          <w:del w:id="2518" w:author="AbbVie19" w:date="2025-04-16T10:35:00Z"/>
          <w:szCs w:val="20"/>
        </w:rPr>
      </w:pPr>
    </w:p>
    <w:p w14:paraId="103BCA96" w14:textId="77777777" w:rsidR="00BC0E7E" w:rsidRPr="00BC0E7E" w:rsidRDefault="00944B8F" w:rsidP="00BC0E7E">
      <w:pPr>
        <w:rPr>
          <w:del w:id="2519" w:author="AbbVie19" w:date="2025-04-16T10:35:00Z"/>
          <w:bCs/>
          <w:szCs w:val="20"/>
        </w:rPr>
      </w:pPr>
      <w:del w:id="2520" w:author="AbbVie19" w:date="2025-04-16T10:35:00Z">
        <w:r w:rsidRPr="00BC0E7E">
          <w:rPr>
            <w:szCs w:val="20"/>
          </w:rPr>
          <w:delText xml:space="preserve">In CD Study III, at Week 4, 58% (499/854) of patients were in clinical response and were assessed in the primary analysis. Of those in clinical response at Week 4, 48% had been previously exposed to other TNF-antagonists. Maintenance of remission and response rates are presented in Table </w:delText>
        </w:r>
        <w:r w:rsidR="005F03EC">
          <w:rPr>
            <w:szCs w:val="20"/>
          </w:rPr>
          <w:delText>18</w:delText>
        </w:r>
        <w:r w:rsidRPr="00BC0E7E">
          <w:rPr>
            <w:szCs w:val="20"/>
          </w:rPr>
          <w:delText xml:space="preserve">. </w:delText>
        </w:r>
        <w:r w:rsidRPr="00BC0E7E">
          <w:rPr>
            <w:bCs/>
            <w:szCs w:val="20"/>
          </w:rPr>
          <w:delText>Clinical remission results remained relatively constant irrespective of previous TNF-antagonist exposure.</w:delText>
        </w:r>
      </w:del>
    </w:p>
    <w:p w14:paraId="60D78DA5" w14:textId="77777777" w:rsidR="00BC0E7E" w:rsidRPr="00BC0E7E" w:rsidRDefault="00BC0E7E" w:rsidP="00BC0E7E">
      <w:pPr>
        <w:rPr>
          <w:del w:id="2521" w:author="AbbVie19" w:date="2025-04-16T10:35:00Z"/>
          <w:bCs/>
          <w:szCs w:val="20"/>
        </w:rPr>
      </w:pPr>
    </w:p>
    <w:p w14:paraId="4861D2C6" w14:textId="77777777" w:rsidR="00BC0E7E" w:rsidRPr="00BC0E7E" w:rsidRDefault="00944B8F" w:rsidP="00BC0E7E">
      <w:pPr>
        <w:rPr>
          <w:del w:id="2522" w:author="AbbVie19" w:date="2025-04-16T10:35:00Z"/>
          <w:bCs/>
          <w:szCs w:val="20"/>
        </w:rPr>
      </w:pPr>
      <w:del w:id="2523" w:author="AbbVie19" w:date="2025-04-16T10:35:00Z">
        <w:r w:rsidRPr="00BC0E7E">
          <w:rPr>
            <w:bCs/>
            <w:szCs w:val="20"/>
          </w:rPr>
          <w:delText>Disease-related hospitalisations and surgeries were statistically significantly reduced with adalimumab compared with placebo at Week</w:delText>
        </w:r>
        <w:r w:rsidRPr="00BC0E7E">
          <w:rPr>
            <w:szCs w:val="20"/>
          </w:rPr>
          <w:delText> </w:delText>
        </w:r>
        <w:r w:rsidRPr="00BC0E7E">
          <w:rPr>
            <w:bCs/>
            <w:szCs w:val="20"/>
          </w:rPr>
          <w:delText>56.</w:delText>
        </w:r>
      </w:del>
    </w:p>
    <w:p w14:paraId="6BDFDBFB" w14:textId="77777777" w:rsidR="00BC0E7E" w:rsidRPr="00BC0E7E" w:rsidRDefault="00BC0E7E" w:rsidP="00BC0E7E">
      <w:pPr>
        <w:keepNext/>
        <w:rPr>
          <w:del w:id="2524" w:author="AbbVie19" w:date="2025-04-16T10:35:00Z"/>
          <w:bCs/>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1"/>
        <w:gridCol w:w="1751"/>
        <w:gridCol w:w="1928"/>
        <w:gridCol w:w="1700"/>
      </w:tblGrid>
      <w:tr w:rsidR="00C6578C" w14:paraId="3874BC91" w14:textId="77777777" w:rsidTr="00171601">
        <w:trPr>
          <w:cantSplit/>
          <w:del w:id="2525" w:author="AbbVie19" w:date="2025-04-16T10:35:00Z"/>
        </w:trPr>
        <w:tc>
          <w:tcPr>
            <w:tcW w:w="9020" w:type="dxa"/>
            <w:gridSpan w:val="4"/>
            <w:tcBorders>
              <w:top w:val="nil"/>
              <w:left w:val="nil"/>
              <w:right w:val="nil"/>
            </w:tcBorders>
          </w:tcPr>
          <w:p w14:paraId="06071529" w14:textId="77777777" w:rsidR="00BC0E7E" w:rsidRPr="00BC0E7E" w:rsidRDefault="00944B8F" w:rsidP="00BC0E7E">
            <w:pPr>
              <w:keepNext/>
              <w:keepLines/>
              <w:tabs>
                <w:tab w:val="clear" w:pos="562"/>
                <w:tab w:val="left" w:pos="360"/>
              </w:tabs>
              <w:spacing w:before="40" w:after="40" w:line="240" w:lineRule="exact"/>
              <w:jc w:val="center"/>
              <w:rPr>
                <w:del w:id="2526" w:author="AbbVie19" w:date="2025-04-16T10:35:00Z"/>
                <w:b/>
                <w:bCs/>
                <w:szCs w:val="20"/>
              </w:rPr>
            </w:pPr>
            <w:del w:id="2527" w:author="AbbVie19" w:date="2025-04-16T10:35:00Z">
              <w:r w:rsidRPr="00BC0E7E">
                <w:rPr>
                  <w:b/>
                  <w:bCs/>
                  <w:szCs w:val="20"/>
                </w:rPr>
                <w:delText xml:space="preserve">Table </w:delText>
              </w:r>
              <w:r w:rsidR="005F03EC">
                <w:rPr>
                  <w:b/>
                  <w:bCs/>
                  <w:szCs w:val="20"/>
                </w:rPr>
                <w:delText>18</w:delText>
              </w:r>
            </w:del>
          </w:p>
          <w:p w14:paraId="58C38BCD" w14:textId="77777777" w:rsidR="00BC0E7E" w:rsidRPr="00BC0E7E" w:rsidRDefault="00944B8F" w:rsidP="00BC0E7E">
            <w:pPr>
              <w:keepNext/>
              <w:keepLines/>
              <w:tabs>
                <w:tab w:val="clear" w:pos="562"/>
                <w:tab w:val="left" w:pos="360"/>
              </w:tabs>
              <w:spacing w:before="40" w:after="40" w:line="240" w:lineRule="exact"/>
              <w:jc w:val="center"/>
              <w:rPr>
                <w:del w:id="2528" w:author="AbbVie19" w:date="2025-04-16T10:35:00Z"/>
                <w:b/>
                <w:bCs/>
                <w:szCs w:val="20"/>
              </w:rPr>
            </w:pPr>
            <w:del w:id="2529" w:author="AbbVie19" w:date="2025-04-16T10:35:00Z">
              <w:r w:rsidRPr="00BC0E7E">
                <w:rPr>
                  <w:b/>
                  <w:bCs/>
                  <w:szCs w:val="20"/>
                </w:rPr>
                <w:delText>Maintenance of Clinical Remission and Response</w:delText>
              </w:r>
            </w:del>
          </w:p>
          <w:p w14:paraId="60D7235E" w14:textId="77777777" w:rsidR="00BC0E7E" w:rsidRPr="00BC0E7E" w:rsidRDefault="00944B8F" w:rsidP="00BC0E7E">
            <w:pPr>
              <w:keepNext/>
              <w:keepLines/>
              <w:tabs>
                <w:tab w:val="clear" w:pos="562"/>
                <w:tab w:val="left" w:pos="360"/>
              </w:tabs>
              <w:spacing w:before="40" w:after="40" w:line="240" w:lineRule="exact"/>
              <w:jc w:val="center"/>
              <w:rPr>
                <w:del w:id="2530" w:author="AbbVie19" w:date="2025-04-16T10:35:00Z"/>
                <w:b/>
                <w:bCs/>
                <w:szCs w:val="20"/>
              </w:rPr>
            </w:pPr>
            <w:del w:id="2531" w:author="AbbVie19" w:date="2025-04-16T10:35:00Z">
              <w:r w:rsidRPr="00BC0E7E">
                <w:rPr>
                  <w:b/>
                  <w:bCs/>
                  <w:szCs w:val="20"/>
                </w:rPr>
                <w:delText>(Percent of Patients)</w:delText>
              </w:r>
            </w:del>
          </w:p>
        </w:tc>
      </w:tr>
      <w:tr w:rsidR="00C6578C" w14:paraId="3B71AE7D" w14:textId="77777777" w:rsidTr="00171601">
        <w:trPr>
          <w:del w:id="2532" w:author="AbbVie19" w:date="2025-04-16T10:35:00Z"/>
        </w:trPr>
        <w:tc>
          <w:tcPr>
            <w:tcW w:w="3641" w:type="dxa"/>
          </w:tcPr>
          <w:p w14:paraId="7172E455" w14:textId="77777777" w:rsidR="00BC0E7E" w:rsidRPr="00BC0E7E" w:rsidRDefault="00BC0E7E" w:rsidP="00BC0E7E">
            <w:pPr>
              <w:keepNext/>
              <w:keepLines/>
              <w:tabs>
                <w:tab w:val="clear" w:pos="562"/>
                <w:tab w:val="left" w:pos="360"/>
              </w:tabs>
              <w:spacing w:before="40" w:after="40" w:line="240" w:lineRule="exact"/>
              <w:rPr>
                <w:del w:id="2533" w:author="AbbVie19" w:date="2025-04-16T10:35:00Z"/>
                <w:b/>
                <w:bCs/>
                <w:szCs w:val="20"/>
              </w:rPr>
            </w:pPr>
          </w:p>
        </w:tc>
        <w:tc>
          <w:tcPr>
            <w:tcW w:w="1751" w:type="dxa"/>
          </w:tcPr>
          <w:p w14:paraId="5FAE9307" w14:textId="77777777" w:rsidR="00BC0E7E" w:rsidRPr="00BC0E7E" w:rsidRDefault="00944B8F" w:rsidP="00BC0E7E">
            <w:pPr>
              <w:keepNext/>
              <w:keepLines/>
              <w:tabs>
                <w:tab w:val="clear" w:pos="562"/>
                <w:tab w:val="left" w:pos="360"/>
              </w:tabs>
              <w:spacing w:before="40" w:after="40" w:line="240" w:lineRule="exact"/>
              <w:jc w:val="center"/>
              <w:rPr>
                <w:del w:id="2534" w:author="AbbVie19" w:date="2025-04-16T10:35:00Z"/>
                <w:b/>
                <w:bCs/>
                <w:szCs w:val="20"/>
              </w:rPr>
            </w:pPr>
            <w:del w:id="2535" w:author="AbbVie19" w:date="2025-04-16T10:35:00Z">
              <w:r w:rsidRPr="00BC0E7E">
                <w:rPr>
                  <w:b/>
                  <w:bCs/>
                  <w:szCs w:val="20"/>
                </w:rPr>
                <w:delText>Placebo</w:delText>
              </w:r>
            </w:del>
          </w:p>
        </w:tc>
        <w:tc>
          <w:tcPr>
            <w:tcW w:w="1928" w:type="dxa"/>
          </w:tcPr>
          <w:p w14:paraId="474B6103" w14:textId="77777777" w:rsidR="00BC0E7E" w:rsidRPr="00BC0E7E" w:rsidRDefault="00944B8F" w:rsidP="00BC0E7E">
            <w:pPr>
              <w:keepNext/>
              <w:keepLines/>
              <w:tabs>
                <w:tab w:val="clear" w:pos="562"/>
                <w:tab w:val="left" w:pos="360"/>
              </w:tabs>
              <w:spacing w:before="40" w:after="40" w:line="240" w:lineRule="exact"/>
              <w:jc w:val="center"/>
              <w:rPr>
                <w:del w:id="2536" w:author="AbbVie19" w:date="2025-04-16T10:35:00Z"/>
                <w:b/>
                <w:bCs/>
                <w:szCs w:val="20"/>
              </w:rPr>
            </w:pPr>
            <w:del w:id="2537" w:author="AbbVie19" w:date="2025-04-16T10:35:00Z">
              <w:r w:rsidRPr="00BC0E7E">
                <w:rPr>
                  <w:b/>
                  <w:bCs/>
                  <w:szCs w:val="20"/>
                </w:rPr>
                <w:delText>40 mg Humira</w:delText>
              </w:r>
              <w:r w:rsidRPr="00BC0E7E">
                <w:rPr>
                  <w:b/>
                  <w:bCs/>
                  <w:szCs w:val="20"/>
                </w:rPr>
                <w:br/>
                <w:delText>every other week</w:delText>
              </w:r>
            </w:del>
          </w:p>
        </w:tc>
        <w:tc>
          <w:tcPr>
            <w:tcW w:w="1700" w:type="dxa"/>
          </w:tcPr>
          <w:p w14:paraId="31D59864" w14:textId="77777777" w:rsidR="00BC0E7E" w:rsidRPr="00BC0E7E" w:rsidRDefault="00944B8F" w:rsidP="00BC0E7E">
            <w:pPr>
              <w:keepNext/>
              <w:keepLines/>
              <w:tabs>
                <w:tab w:val="clear" w:pos="562"/>
                <w:tab w:val="left" w:pos="360"/>
              </w:tabs>
              <w:spacing w:before="40" w:after="40" w:line="240" w:lineRule="exact"/>
              <w:jc w:val="center"/>
              <w:rPr>
                <w:del w:id="2538" w:author="AbbVie19" w:date="2025-04-16T10:35:00Z"/>
                <w:b/>
                <w:bCs/>
                <w:szCs w:val="20"/>
              </w:rPr>
            </w:pPr>
            <w:del w:id="2539" w:author="AbbVie19" w:date="2025-04-16T10:35:00Z">
              <w:r w:rsidRPr="00BC0E7E">
                <w:rPr>
                  <w:b/>
                  <w:bCs/>
                  <w:szCs w:val="20"/>
                </w:rPr>
                <w:delText>40 mg Humira</w:delText>
              </w:r>
              <w:r w:rsidRPr="00BC0E7E">
                <w:rPr>
                  <w:b/>
                  <w:bCs/>
                  <w:szCs w:val="20"/>
                </w:rPr>
                <w:br/>
                <w:delText>every week</w:delText>
              </w:r>
            </w:del>
          </w:p>
        </w:tc>
      </w:tr>
      <w:tr w:rsidR="00C6578C" w14:paraId="22F02DD2" w14:textId="77777777" w:rsidTr="00171601">
        <w:trPr>
          <w:del w:id="2540" w:author="AbbVie19" w:date="2025-04-16T10:35:00Z"/>
        </w:trPr>
        <w:tc>
          <w:tcPr>
            <w:tcW w:w="3641" w:type="dxa"/>
          </w:tcPr>
          <w:p w14:paraId="4EFA63A3" w14:textId="77777777" w:rsidR="00BC0E7E" w:rsidRPr="00BC0E7E" w:rsidRDefault="00944B8F" w:rsidP="00BC0E7E">
            <w:pPr>
              <w:keepNext/>
              <w:keepLines/>
              <w:tabs>
                <w:tab w:val="clear" w:pos="562"/>
                <w:tab w:val="left" w:pos="360"/>
              </w:tabs>
              <w:spacing w:before="40" w:after="40" w:line="240" w:lineRule="exact"/>
              <w:rPr>
                <w:del w:id="2541" w:author="AbbVie19" w:date="2025-04-16T10:35:00Z"/>
                <w:b/>
                <w:bCs/>
                <w:szCs w:val="20"/>
              </w:rPr>
            </w:pPr>
            <w:del w:id="2542" w:author="AbbVie19" w:date="2025-04-16T10:35:00Z">
              <w:r w:rsidRPr="00BC0E7E">
                <w:rPr>
                  <w:b/>
                  <w:bCs/>
                  <w:szCs w:val="20"/>
                </w:rPr>
                <w:delText>Week</w:delText>
              </w:r>
              <w:r w:rsidRPr="00BC0E7E">
                <w:rPr>
                  <w:sz w:val="20"/>
                  <w:szCs w:val="20"/>
                </w:rPr>
                <w:delText> </w:delText>
              </w:r>
              <w:r w:rsidRPr="00BC0E7E">
                <w:rPr>
                  <w:b/>
                  <w:bCs/>
                  <w:szCs w:val="20"/>
                </w:rPr>
                <w:delText>26</w:delText>
              </w:r>
            </w:del>
          </w:p>
        </w:tc>
        <w:tc>
          <w:tcPr>
            <w:tcW w:w="1751" w:type="dxa"/>
          </w:tcPr>
          <w:p w14:paraId="76CD5461" w14:textId="77777777" w:rsidR="00BC0E7E" w:rsidRPr="00BC0E7E" w:rsidRDefault="00944B8F" w:rsidP="00BC0E7E">
            <w:pPr>
              <w:keepNext/>
              <w:keepLines/>
              <w:tabs>
                <w:tab w:val="clear" w:pos="562"/>
                <w:tab w:val="left" w:pos="360"/>
              </w:tabs>
              <w:spacing w:before="40" w:after="40" w:line="240" w:lineRule="exact"/>
              <w:jc w:val="center"/>
              <w:rPr>
                <w:del w:id="2543" w:author="AbbVie19" w:date="2025-04-16T10:35:00Z"/>
                <w:b/>
                <w:bCs/>
                <w:szCs w:val="20"/>
              </w:rPr>
            </w:pPr>
            <w:del w:id="2544" w:author="AbbVie19" w:date="2025-04-16T10:35:00Z">
              <w:r w:rsidRPr="00BC0E7E">
                <w:rPr>
                  <w:b/>
                  <w:bCs/>
                  <w:szCs w:val="20"/>
                </w:rPr>
                <w:delText>N=170</w:delText>
              </w:r>
            </w:del>
          </w:p>
        </w:tc>
        <w:tc>
          <w:tcPr>
            <w:tcW w:w="1928" w:type="dxa"/>
          </w:tcPr>
          <w:p w14:paraId="3E2B0A38" w14:textId="77777777" w:rsidR="00BC0E7E" w:rsidRPr="00BC0E7E" w:rsidRDefault="00944B8F" w:rsidP="00BC0E7E">
            <w:pPr>
              <w:keepNext/>
              <w:keepLines/>
              <w:tabs>
                <w:tab w:val="clear" w:pos="562"/>
                <w:tab w:val="left" w:pos="360"/>
              </w:tabs>
              <w:spacing w:before="40" w:after="40" w:line="240" w:lineRule="exact"/>
              <w:jc w:val="center"/>
              <w:rPr>
                <w:del w:id="2545" w:author="AbbVie19" w:date="2025-04-16T10:35:00Z"/>
                <w:b/>
                <w:bCs/>
                <w:szCs w:val="20"/>
              </w:rPr>
            </w:pPr>
            <w:del w:id="2546" w:author="AbbVie19" w:date="2025-04-16T10:35:00Z">
              <w:r w:rsidRPr="00BC0E7E">
                <w:rPr>
                  <w:b/>
                  <w:bCs/>
                  <w:szCs w:val="20"/>
                </w:rPr>
                <w:delText>N=172</w:delText>
              </w:r>
            </w:del>
          </w:p>
        </w:tc>
        <w:tc>
          <w:tcPr>
            <w:tcW w:w="1700" w:type="dxa"/>
          </w:tcPr>
          <w:p w14:paraId="1433DF49" w14:textId="77777777" w:rsidR="00BC0E7E" w:rsidRPr="00BC0E7E" w:rsidRDefault="00944B8F" w:rsidP="00BC0E7E">
            <w:pPr>
              <w:keepNext/>
              <w:keepLines/>
              <w:tabs>
                <w:tab w:val="clear" w:pos="562"/>
                <w:tab w:val="left" w:pos="360"/>
              </w:tabs>
              <w:spacing w:before="40" w:after="40" w:line="240" w:lineRule="exact"/>
              <w:jc w:val="center"/>
              <w:rPr>
                <w:del w:id="2547" w:author="AbbVie19" w:date="2025-04-16T10:35:00Z"/>
                <w:b/>
                <w:bCs/>
                <w:szCs w:val="20"/>
              </w:rPr>
            </w:pPr>
            <w:del w:id="2548" w:author="AbbVie19" w:date="2025-04-16T10:35:00Z">
              <w:r w:rsidRPr="00BC0E7E">
                <w:rPr>
                  <w:b/>
                  <w:bCs/>
                  <w:szCs w:val="20"/>
                </w:rPr>
                <w:delText>N=157</w:delText>
              </w:r>
            </w:del>
          </w:p>
        </w:tc>
      </w:tr>
      <w:tr w:rsidR="00C6578C" w14:paraId="5F36E06C" w14:textId="77777777" w:rsidTr="00171601">
        <w:trPr>
          <w:del w:id="2549" w:author="AbbVie19" w:date="2025-04-16T10:35:00Z"/>
        </w:trPr>
        <w:tc>
          <w:tcPr>
            <w:tcW w:w="3641" w:type="dxa"/>
          </w:tcPr>
          <w:p w14:paraId="01D64E18" w14:textId="77777777" w:rsidR="00BC0E7E" w:rsidRPr="00BC0E7E" w:rsidRDefault="00944B8F" w:rsidP="00BC0E7E">
            <w:pPr>
              <w:keepNext/>
              <w:keepLines/>
              <w:tabs>
                <w:tab w:val="clear" w:pos="562"/>
                <w:tab w:val="left" w:pos="360"/>
              </w:tabs>
              <w:spacing w:before="40" w:after="40" w:line="240" w:lineRule="exact"/>
              <w:rPr>
                <w:del w:id="2550" w:author="AbbVie19" w:date="2025-04-16T10:35:00Z"/>
                <w:szCs w:val="20"/>
              </w:rPr>
            </w:pPr>
            <w:del w:id="2551" w:author="AbbVie19" w:date="2025-04-16T10:35:00Z">
              <w:r w:rsidRPr="00BC0E7E">
                <w:rPr>
                  <w:szCs w:val="20"/>
                </w:rPr>
                <w:delText>Clinical remission</w:delText>
              </w:r>
            </w:del>
          </w:p>
        </w:tc>
        <w:tc>
          <w:tcPr>
            <w:tcW w:w="1751" w:type="dxa"/>
          </w:tcPr>
          <w:p w14:paraId="157E9216" w14:textId="77777777" w:rsidR="00BC0E7E" w:rsidRPr="00BC0E7E" w:rsidRDefault="00944B8F" w:rsidP="00BC0E7E">
            <w:pPr>
              <w:keepNext/>
              <w:keepLines/>
              <w:tabs>
                <w:tab w:val="clear" w:pos="562"/>
                <w:tab w:val="left" w:pos="360"/>
              </w:tabs>
              <w:spacing w:before="40" w:after="40" w:line="240" w:lineRule="exact"/>
              <w:jc w:val="center"/>
              <w:rPr>
                <w:del w:id="2552" w:author="AbbVie19" w:date="2025-04-16T10:35:00Z"/>
                <w:szCs w:val="20"/>
              </w:rPr>
            </w:pPr>
            <w:del w:id="2553" w:author="AbbVie19" w:date="2025-04-16T10:35:00Z">
              <w:r w:rsidRPr="00BC0E7E">
                <w:rPr>
                  <w:szCs w:val="20"/>
                </w:rPr>
                <w:delText>17%</w:delText>
              </w:r>
            </w:del>
          </w:p>
        </w:tc>
        <w:tc>
          <w:tcPr>
            <w:tcW w:w="1928" w:type="dxa"/>
          </w:tcPr>
          <w:p w14:paraId="33B725A5" w14:textId="77777777" w:rsidR="00BC0E7E" w:rsidRPr="00BC0E7E" w:rsidRDefault="00944B8F" w:rsidP="00BC0E7E">
            <w:pPr>
              <w:keepNext/>
              <w:keepLines/>
              <w:tabs>
                <w:tab w:val="clear" w:pos="562"/>
                <w:tab w:val="left" w:pos="360"/>
              </w:tabs>
              <w:spacing w:before="40" w:after="40" w:line="240" w:lineRule="exact"/>
              <w:jc w:val="center"/>
              <w:rPr>
                <w:del w:id="2554" w:author="AbbVie19" w:date="2025-04-16T10:35:00Z"/>
                <w:szCs w:val="20"/>
              </w:rPr>
            </w:pPr>
            <w:del w:id="2555" w:author="AbbVie19" w:date="2025-04-16T10:35:00Z">
              <w:r w:rsidRPr="00BC0E7E">
                <w:rPr>
                  <w:szCs w:val="20"/>
                </w:rPr>
                <w:delText>40%*</w:delText>
              </w:r>
            </w:del>
          </w:p>
        </w:tc>
        <w:tc>
          <w:tcPr>
            <w:tcW w:w="1700" w:type="dxa"/>
          </w:tcPr>
          <w:p w14:paraId="142BF8A5" w14:textId="77777777" w:rsidR="00BC0E7E" w:rsidRPr="00BC0E7E" w:rsidRDefault="00944B8F" w:rsidP="00BC0E7E">
            <w:pPr>
              <w:keepNext/>
              <w:keepLines/>
              <w:tabs>
                <w:tab w:val="clear" w:pos="562"/>
                <w:tab w:val="left" w:pos="360"/>
              </w:tabs>
              <w:spacing w:before="40" w:after="40" w:line="240" w:lineRule="exact"/>
              <w:jc w:val="center"/>
              <w:rPr>
                <w:del w:id="2556" w:author="AbbVie19" w:date="2025-04-16T10:35:00Z"/>
                <w:szCs w:val="20"/>
              </w:rPr>
            </w:pPr>
            <w:del w:id="2557" w:author="AbbVie19" w:date="2025-04-16T10:35:00Z">
              <w:r w:rsidRPr="00BC0E7E">
                <w:rPr>
                  <w:szCs w:val="20"/>
                </w:rPr>
                <w:delText>47%*</w:delText>
              </w:r>
            </w:del>
          </w:p>
        </w:tc>
      </w:tr>
      <w:tr w:rsidR="00C6578C" w14:paraId="7C2AF19F" w14:textId="77777777" w:rsidTr="00171601">
        <w:trPr>
          <w:del w:id="2558" w:author="AbbVie19" w:date="2025-04-16T10:35:00Z"/>
        </w:trPr>
        <w:tc>
          <w:tcPr>
            <w:tcW w:w="3641" w:type="dxa"/>
          </w:tcPr>
          <w:p w14:paraId="5C94F39E" w14:textId="77777777" w:rsidR="00BC0E7E" w:rsidRPr="00BC0E7E" w:rsidRDefault="00944B8F" w:rsidP="00BC0E7E">
            <w:pPr>
              <w:keepNext/>
              <w:keepLines/>
              <w:tabs>
                <w:tab w:val="clear" w:pos="562"/>
                <w:tab w:val="left" w:pos="360"/>
              </w:tabs>
              <w:spacing w:before="40" w:after="40" w:line="240" w:lineRule="exact"/>
              <w:rPr>
                <w:del w:id="2559" w:author="AbbVie19" w:date="2025-04-16T10:35:00Z"/>
                <w:szCs w:val="20"/>
              </w:rPr>
            </w:pPr>
            <w:del w:id="2560" w:author="AbbVie19" w:date="2025-04-16T10:35:00Z">
              <w:r w:rsidRPr="00BC0E7E">
                <w:rPr>
                  <w:szCs w:val="20"/>
                </w:rPr>
                <w:delText>Clinical response (CR-100)</w:delText>
              </w:r>
            </w:del>
          </w:p>
        </w:tc>
        <w:tc>
          <w:tcPr>
            <w:tcW w:w="1751" w:type="dxa"/>
          </w:tcPr>
          <w:p w14:paraId="5952D2BB" w14:textId="77777777" w:rsidR="00BC0E7E" w:rsidRPr="00BC0E7E" w:rsidRDefault="00944B8F" w:rsidP="00BC0E7E">
            <w:pPr>
              <w:keepNext/>
              <w:keepLines/>
              <w:tabs>
                <w:tab w:val="clear" w:pos="562"/>
                <w:tab w:val="left" w:pos="360"/>
              </w:tabs>
              <w:spacing w:before="40" w:after="40" w:line="240" w:lineRule="exact"/>
              <w:jc w:val="center"/>
              <w:rPr>
                <w:del w:id="2561" w:author="AbbVie19" w:date="2025-04-16T10:35:00Z"/>
                <w:szCs w:val="20"/>
              </w:rPr>
            </w:pPr>
            <w:del w:id="2562" w:author="AbbVie19" w:date="2025-04-16T10:35:00Z">
              <w:r w:rsidRPr="00BC0E7E">
                <w:rPr>
                  <w:szCs w:val="20"/>
                </w:rPr>
                <w:delText>27%</w:delText>
              </w:r>
            </w:del>
          </w:p>
        </w:tc>
        <w:tc>
          <w:tcPr>
            <w:tcW w:w="1928" w:type="dxa"/>
          </w:tcPr>
          <w:p w14:paraId="596B4412" w14:textId="77777777" w:rsidR="00BC0E7E" w:rsidRPr="00BC0E7E" w:rsidRDefault="00944B8F" w:rsidP="00BC0E7E">
            <w:pPr>
              <w:keepNext/>
              <w:keepLines/>
              <w:tabs>
                <w:tab w:val="clear" w:pos="562"/>
                <w:tab w:val="left" w:pos="360"/>
              </w:tabs>
              <w:spacing w:before="40" w:after="40" w:line="240" w:lineRule="exact"/>
              <w:jc w:val="center"/>
              <w:rPr>
                <w:del w:id="2563" w:author="AbbVie19" w:date="2025-04-16T10:35:00Z"/>
                <w:szCs w:val="20"/>
              </w:rPr>
            </w:pPr>
            <w:del w:id="2564" w:author="AbbVie19" w:date="2025-04-16T10:35:00Z">
              <w:r w:rsidRPr="00BC0E7E">
                <w:rPr>
                  <w:szCs w:val="20"/>
                </w:rPr>
                <w:delText>52%*</w:delText>
              </w:r>
            </w:del>
          </w:p>
        </w:tc>
        <w:tc>
          <w:tcPr>
            <w:tcW w:w="1700" w:type="dxa"/>
          </w:tcPr>
          <w:p w14:paraId="031F5536" w14:textId="77777777" w:rsidR="00BC0E7E" w:rsidRPr="00BC0E7E" w:rsidRDefault="00944B8F" w:rsidP="00BC0E7E">
            <w:pPr>
              <w:keepNext/>
              <w:keepLines/>
              <w:tabs>
                <w:tab w:val="clear" w:pos="562"/>
                <w:tab w:val="left" w:pos="360"/>
              </w:tabs>
              <w:spacing w:before="40" w:after="40" w:line="240" w:lineRule="exact"/>
              <w:jc w:val="center"/>
              <w:rPr>
                <w:del w:id="2565" w:author="AbbVie19" w:date="2025-04-16T10:35:00Z"/>
                <w:szCs w:val="20"/>
              </w:rPr>
            </w:pPr>
            <w:del w:id="2566" w:author="AbbVie19" w:date="2025-04-16T10:35:00Z">
              <w:r w:rsidRPr="00BC0E7E">
                <w:rPr>
                  <w:szCs w:val="20"/>
                </w:rPr>
                <w:delText>52%*</w:delText>
              </w:r>
            </w:del>
          </w:p>
        </w:tc>
      </w:tr>
      <w:tr w:rsidR="00C6578C" w14:paraId="65B4B773" w14:textId="77777777" w:rsidTr="00171601">
        <w:trPr>
          <w:del w:id="2567" w:author="AbbVie19" w:date="2025-04-16T10:35:00Z"/>
        </w:trPr>
        <w:tc>
          <w:tcPr>
            <w:tcW w:w="3641" w:type="dxa"/>
          </w:tcPr>
          <w:p w14:paraId="09BBB3A5" w14:textId="77777777" w:rsidR="00BC0E7E" w:rsidRPr="00BC0E7E" w:rsidRDefault="00944B8F" w:rsidP="00BC0E7E">
            <w:pPr>
              <w:keepNext/>
              <w:keepLines/>
              <w:tabs>
                <w:tab w:val="clear" w:pos="562"/>
                <w:tab w:val="left" w:pos="360"/>
              </w:tabs>
              <w:spacing w:before="40" w:after="40" w:line="240" w:lineRule="exact"/>
              <w:ind w:left="360"/>
              <w:rPr>
                <w:del w:id="2568" w:author="AbbVie19" w:date="2025-04-16T10:35:00Z"/>
                <w:szCs w:val="20"/>
              </w:rPr>
            </w:pPr>
            <w:del w:id="2569" w:author="AbbVie19" w:date="2025-04-16T10:35:00Z">
              <w:r w:rsidRPr="00BC0E7E">
                <w:rPr>
                  <w:szCs w:val="20"/>
                </w:rPr>
                <w:delText xml:space="preserve">Patients in steroid-free remission </w:delText>
              </w:r>
              <w:r w:rsidRPr="00BC0E7E">
                <w:rPr>
                  <w:szCs w:val="20"/>
                </w:rPr>
                <w:br/>
                <w:delText>for &gt;=90</w:delText>
              </w:r>
              <w:r w:rsidRPr="00BC0E7E">
                <w:rPr>
                  <w:sz w:val="20"/>
                  <w:szCs w:val="20"/>
                </w:rPr>
                <w:delText> </w:delText>
              </w:r>
              <w:r w:rsidRPr="00BC0E7E">
                <w:rPr>
                  <w:szCs w:val="20"/>
                </w:rPr>
                <w:delText>days</w:delText>
              </w:r>
              <w:r w:rsidRPr="00BC0E7E">
                <w:rPr>
                  <w:szCs w:val="20"/>
                  <w:vertAlign w:val="superscript"/>
                </w:rPr>
                <w:delText>a</w:delText>
              </w:r>
            </w:del>
          </w:p>
        </w:tc>
        <w:tc>
          <w:tcPr>
            <w:tcW w:w="1751" w:type="dxa"/>
          </w:tcPr>
          <w:p w14:paraId="00E774DF" w14:textId="77777777" w:rsidR="00BC0E7E" w:rsidRPr="00BC0E7E" w:rsidRDefault="00944B8F" w:rsidP="00BC0E7E">
            <w:pPr>
              <w:keepNext/>
              <w:keepLines/>
              <w:tabs>
                <w:tab w:val="clear" w:pos="562"/>
                <w:tab w:val="left" w:pos="360"/>
              </w:tabs>
              <w:spacing w:before="40" w:after="40" w:line="240" w:lineRule="exact"/>
              <w:jc w:val="center"/>
              <w:rPr>
                <w:del w:id="2570" w:author="AbbVie19" w:date="2025-04-16T10:35:00Z"/>
                <w:szCs w:val="20"/>
              </w:rPr>
            </w:pPr>
            <w:del w:id="2571" w:author="AbbVie19" w:date="2025-04-16T10:35:00Z">
              <w:r w:rsidRPr="00BC0E7E">
                <w:rPr>
                  <w:szCs w:val="20"/>
                </w:rPr>
                <w:delText>3% (2/66)</w:delText>
              </w:r>
            </w:del>
          </w:p>
        </w:tc>
        <w:tc>
          <w:tcPr>
            <w:tcW w:w="1928" w:type="dxa"/>
          </w:tcPr>
          <w:p w14:paraId="4A7B3DC4" w14:textId="77777777" w:rsidR="00BC0E7E" w:rsidRPr="00BC0E7E" w:rsidRDefault="00944B8F" w:rsidP="00BC0E7E">
            <w:pPr>
              <w:keepNext/>
              <w:keepLines/>
              <w:tabs>
                <w:tab w:val="clear" w:pos="562"/>
                <w:tab w:val="left" w:pos="360"/>
              </w:tabs>
              <w:spacing w:before="40" w:after="40" w:line="240" w:lineRule="exact"/>
              <w:jc w:val="center"/>
              <w:rPr>
                <w:del w:id="2572" w:author="AbbVie19" w:date="2025-04-16T10:35:00Z"/>
                <w:szCs w:val="20"/>
              </w:rPr>
            </w:pPr>
            <w:del w:id="2573" w:author="AbbVie19" w:date="2025-04-16T10:35:00Z">
              <w:r w:rsidRPr="00BC0E7E">
                <w:rPr>
                  <w:szCs w:val="20"/>
                </w:rPr>
                <w:delText>19% (11/58)**</w:delText>
              </w:r>
            </w:del>
          </w:p>
        </w:tc>
        <w:tc>
          <w:tcPr>
            <w:tcW w:w="1700" w:type="dxa"/>
          </w:tcPr>
          <w:p w14:paraId="74FD6F3A" w14:textId="77777777" w:rsidR="00BC0E7E" w:rsidRPr="00BC0E7E" w:rsidRDefault="00944B8F" w:rsidP="00BC0E7E">
            <w:pPr>
              <w:keepNext/>
              <w:keepLines/>
              <w:tabs>
                <w:tab w:val="clear" w:pos="562"/>
                <w:tab w:val="left" w:pos="360"/>
              </w:tabs>
              <w:spacing w:before="40" w:after="40" w:line="240" w:lineRule="exact"/>
              <w:jc w:val="center"/>
              <w:rPr>
                <w:del w:id="2574" w:author="AbbVie19" w:date="2025-04-16T10:35:00Z"/>
                <w:szCs w:val="20"/>
              </w:rPr>
            </w:pPr>
            <w:del w:id="2575" w:author="AbbVie19" w:date="2025-04-16T10:35:00Z">
              <w:r w:rsidRPr="00BC0E7E">
                <w:rPr>
                  <w:szCs w:val="20"/>
                </w:rPr>
                <w:delText>15% (11/74)**</w:delText>
              </w:r>
            </w:del>
          </w:p>
        </w:tc>
      </w:tr>
      <w:tr w:rsidR="00C6578C" w14:paraId="0EBF482E" w14:textId="77777777" w:rsidTr="00171601">
        <w:trPr>
          <w:del w:id="2576" w:author="AbbVie19" w:date="2025-04-16T10:35:00Z"/>
        </w:trPr>
        <w:tc>
          <w:tcPr>
            <w:tcW w:w="3641" w:type="dxa"/>
          </w:tcPr>
          <w:p w14:paraId="717E3F8D" w14:textId="77777777" w:rsidR="00BC0E7E" w:rsidRPr="00BC0E7E" w:rsidRDefault="00944B8F" w:rsidP="00BC0E7E">
            <w:pPr>
              <w:keepNext/>
              <w:keepLines/>
              <w:tabs>
                <w:tab w:val="clear" w:pos="562"/>
                <w:tab w:val="left" w:pos="360"/>
              </w:tabs>
              <w:spacing w:before="40" w:after="40" w:line="240" w:lineRule="exact"/>
              <w:rPr>
                <w:del w:id="2577" w:author="AbbVie19" w:date="2025-04-16T10:35:00Z"/>
                <w:b/>
                <w:bCs/>
                <w:szCs w:val="20"/>
              </w:rPr>
            </w:pPr>
            <w:del w:id="2578" w:author="AbbVie19" w:date="2025-04-16T10:35:00Z">
              <w:r w:rsidRPr="00BC0E7E">
                <w:rPr>
                  <w:b/>
                  <w:bCs/>
                  <w:szCs w:val="20"/>
                </w:rPr>
                <w:delText>Week</w:delText>
              </w:r>
              <w:r w:rsidRPr="00BC0E7E">
                <w:rPr>
                  <w:sz w:val="20"/>
                  <w:szCs w:val="20"/>
                </w:rPr>
                <w:delText> </w:delText>
              </w:r>
              <w:r w:rsidRPr="00BC0E7E">
                <w:rPr>
                  <w:b/>
                  <w:bCs/>
                  <w:szCs w:val="20"/>
                </w:rPr>
                <w:delText>56</w:delText>
              </w:r>
            </w:del>
          </w:p>
        </w:tc>
        <w:tc>
          <w:tcPr>
            <w:tcW w:w="1751" w:type="dxa"/>
          </w:tcPr>
          <w:p w14:paraId="13590AA6" w14:textId="77777777" w:rsidR="00BC0E7E" w:rsidRPr="00BC0E7E" w:rsidRDefault="00944B8F" w:rsidP="00BC0E7E">
            <w:pPr>
              <w:keepNext/>
              <w:keepLines/>
              <w:tabs>
                <w:tab w:val="clear" w:pos="562"/>
                <w:tab w:val="left" w:pos="360"/>
              </w:tabs>
              <w:spacing w:before="40" w:after="40" w:line="240" w:lineRule="exact"/>
              <w:jc w:val="center"/>
              <w:rPr>
                <w:del w:id="2579" w:author="AbbVie19" w:date="2025-04-16T10:35:00Z"/>
                <w:b/>
                <w:bCs/>
                <w:szCs w:val="20"/>
              </w:rPr>
            </w:pPr>
            <w:del w:id="2580" w:author="AbbVie19" w:date="2025-04-16T10:35:00Z">
              <w:r w:rsidRPr="00BC0E7E">
                <w:rPr>
                  <w:b/>
                  <w:bCs/>
                  <w:szCs w:val="20"/>
                </w:rPr>
                <w:delText>N=170</w:delText>
              </w:r>
            </w:del>
          </w:p>
        </w:tc>
        <w:tc>
          <w:tcPr>
            <w:tcW w:w="1928" w:type="dxa"/>
          </w:tcPr>
          <w:p w14:paraId="59FA30AF" w14:textId="77777777" w:rsidR="00BC0E7E" w:rsidRPr="00BC0E7E" w:rsidRDefault="00944B8F" w:rsidP="00BC0E7E">
            <w:pPr>
              <w:keepNext/>
              <w:keepLines/>
              <w:tabs>
                <w:tab w:val="clear" w:pos="562"/>
                <w:tab w:val="left" w:pos="360"/>
              </w:tabs>
              <w:spacing w:before="40" w:after="40" w:line="240" w:lineRule="exact"/>
              <w:jc w:val="center"/>
              <w:rPr>
                <w:del w:id="2581" w:author="AbbVie19" w:date="2025-04-16T10:35:00Z"/>
                <w:b/>
                <w:bCs/>
                <w:szCs w:val="20"/>
              </w:rPr>
            </w:pPr>
            <w:del w:id="2582" w:author="AbbVie19" w:date="2025-04-16T10:35:00Z">
              <w:r w:rsidRPr="00BC0E7E">
                <w:rPr>
                  <w:b/>
                  <w:bCs/>
                  <w:szCs w:val="20"/>
                </w:rPr>
                <w:delText>N=172</w:delText>
              </w:r>
            </w:del>
          </w:p>
        </w:tc>
        <w:tc>
          <w:tcPr>
            <w:tcW w:w="1700" w:type="dxa"/>
          </w:tcPr>
          <w:p w14:paraId="6E2A941F" w14:textId="77777777" w:rsidR="00BC0E7E" w:rsidRPr="00BC0E7E" w:rsidRDefault="00944B8F" w:rsidP="00BC0E7E">
            <w:pPr>
              <w:keepNext/>
              <w:keepLines/>
              <w:tabs>
                <w:tab w:val="clear" w:pos="562"/>
                <w:tab w:val="left" w:pos="360"/>
              </w:tabs>
              <w:spacing w:before="40" w:after="40" w:line="240" w:lineRule="exact"/>
              <w:jc w:val="center"/>
              <w:rPr>
                <w:del w:id="2583" w:author="AbbVie19" w:date="2025-04-16T10:35:00Z"/>
                <w:b/>
                <w:bCs/>
                <w:szCs w:val="20"/>
              </w:rPr>
            </w:pPr>
            <w:del w:id="2584" w:author="AbbVie19" w:date="2025-04-16T10:35:00Z">
              <w:r w:rsidRPr="00BC0E7E">
                <w:rPr>
                  <w:b/>
                  <w:bCs/>
                  <w:szCs w:val="20"/>
                </w:rPr>
                <w:delText>N=157</w:delText>
              </w:r>
            </w:del>
          </w:p>
        </w:tc>
      </w:tr>
      <w:tr w:rsidR="00C6578C" w14:paraId="38D06CF7" w14:textId="77777777" w:rsidTr="00171601">
        <w:trPr>
          <w:del w:id="2585" w:author="AbbVie19" w:date="2025-04-16T10:35:00Z"/>
        </w:trPr>
        <w:tc>
          <w:tcPr>
            <w:tcW w:w="3641" w:type="dxa"/>
          </w:tcPr>
          <w:p w14:paraId="65A73ACB" w14:textId="77777777" w:rsidR="00BC0E7E" w:rsidRPr="00BC0E7E" w:rsidRDefault="00944B8F" w:rsidP="00BC0E7E">
            <w:pPr>
              <w:keepNext/>
              <w:keepLines/>
              <w:tabs>
                <w:tab w:val="clear" w:pos="562"/>
                <w:tab w:val="left" w:pos="360"/>
              </w:tabs>
              <w:spacing w:before="40" w:after="40" w:line="240" w:lineRule="exact"/>
              <w:rPr>
                <w:del w:id="2586" w:author="AbbVie19" w:date="2025-04-16T10:35:00Z"/>
                <w:szCs w:val="20"/>
              </w:rPr>
            </w:pPr>
            <w:del w:id="2587" w:author="AbbVie19" w:date="2025-04-16T10:35:00Z">
              <w:r w:rsidRPr="00BC0E7E">
                <w:rPr>
                  <w:szCs w:val="20"/>
                </w:rPr>
                <w:delText>Clinical remission</w:delText>
              </w:r>
            </w:del>
          </w:p>
        </w:tc>
        <w:tc>
          <w:tcPr>
            <w:tcW w:w="1751" w:type="dxa"/>
          </w:tcPr>
          <w:p w14:paraId="5B8759D5" w14:textId="77777777" w:rsidR="00BC0E7E" w:rsidRPr="00BC0E7E" w:rsidRDefault="00944B8F" w:rsidP="00BC0E7E">
            <w:pPr>
              <w:keepNext/>
              <w:keepLines/>
              <w:tabs>
                <w:tab w:val="clear" w:pos="562"/>
                <w:tab w:val="left" w:pos="360"/>
              </w:tabs>
              <w:spacing w:before="40" w:after="40" w:line="240" w:lineRule="exact"/>
              <w:jc w:val="center"/>
              <w:rPr>
                <w:del w:id="2588" w:author="AbbVie19" w:date="2025-04-16T10:35:00Z"/>
                <w:szCs w:val="20"/>
              </w:rPr>
            </w:pPr>
            <w:del w:id="2589" w:author="AbbVie19" w:date="2025-04-16T10:35:00Z">
              <w:r w:rsidRPr="00BC0E7E">
                <w:rPr>
                  <w:szCs w:val="20"/>
                </w:rPr>
                <w:delText>12%</w:delText>
              </w:r>
            </w:del>
          </w:p>
        </w:tc>
        <w:tc>
          <w:tcPr>
            <w:tcW w:w="1928" w:type="dxa"/>
          </w:tcPr>
          <w:p w14:paraId="728E2348" w14:textId="77777777" w:rsidR="00BC0E7E" w:rsidRPr="00BC0E7E" w:rsidRDefault="00944B8F" w:rsidP="00BC0E7E">
            <w:pPr>
              <w:keepNext/>
              <w:keepLines/>
              <w:tabs>
                <w:tab w:val="clear" w:pos="562"/>
                <w:tab w:val="left" w:pos="360"/>
              </w:tabs>
              <w:spacing w:before="40" w:after="40" w:line="240" w:lineRule="exact"/>
              <w:jc w:val="center"/>
              <w:rPr>
                <w:del w:id="2590" w:author="AbbVie19" w:date="2025-04-16T10:35:00Z"/>
                <w:szCs w:val="20"/>
              </w:rPr>
            </w:pPr>
            <w:del w:id="2591" w:author="AbbVie19" w:date="2025-04-16T10:35:00Z">
              <w:r w:rsidRPr="00BC0E7E">
                <w:rPr>
                  <w:szCs w:val="20"/>
                </w:rPr>
                <w:delText>36%*</w:delText>
              </w:r>
            </w:del>
          </w:p>
        </w:tc>
        <w:tc>
          <w:tcPr>
            <w:tcW w:w="1700" w:type="dxa"/>
          </w:tcPr>
          <w:p w14:paraId="51EC785E" w14:textId="77777777" w:rsidR="00BC0E7E" w:rsidRPr="00BC0E7E" w:rsidRDefault="00944B8F" w:rsidP="00BC0E7E">
            <w:pPr>
              <w:keepNext/>
              <w:keepLines/>
              <w:tabs>
                <w:tab w:val="clear" w:pos="562"/>
                <w:tab w:val="left" w:pos="360"/>
              </w:tabs>
              <w:spacing w:before="40" w:after="40" w:line="240" w:lineRule="exact"/>
              <w:jc w:val="center"/>
              <w:rPr>
                <w:del w:id="2592" w:author="AbbVie19" w:date="2025-04-16T10:35:00Z"/>
                <w:szCs w:val="20"/>
              </w:rPr>
            </w:pPr>
            <w:del w:id="2593" w:author="AbbVie19" w:date="2025-04-16T10:35:00Z">
              <w:r w:rsidRPr="00BC0E7E">
                <w:rPr>
                  <w:szCs w:val="20"/>
                </w:rPr>
                <w:delText>41%*</w:delText>
              </w:r>
            </w:del>
          </w:p>
        </w:tc>
      </w:tr>
      <w:tr w:rsidR="00C6578C" w14:paraId="7072323F" w14:textId="77777777" w:rsidTr="00171601">
        <w:trPr>
          <w:del w:id="2594" w:author="AbbVie19" w:date="2025-04-16T10:35:00Z"/>
        </w:trPr>
        <w:tc>
          <w:tcPr>
            <w:tcW w:w="3641" w:type="dxa"/>
          </w:tcPr>
          <w:p w14:paraId="62AC4719" w14:textId="77777777" w:rsidR="00BC0E7E" w:rsidRPr="00BC0E7E" w:rsidRDefault="00944B8F" w:rsidP="00BC0E7E">
            <w:pPr>
              <w:keepNext/>
              <w:keepLines/>
              <w:tabs>
                <w:tab w:val="clear" w:pos="562"/>
                <w:tab w:val="left" w:pos="360"/>
              </w:tabs>
              <w:spacing w:before="40" w:after="40" w:line="240" w:lineRule="exact"/>
              <w:rPr>
                <w:del w:id="2595" w:author="AbbVie19" w:date="2025-04-16T10:35:00Z"/>
                <w:szCs w:val="20"/>
              </w:rPr>
            </w:pPr>
            <w:del w:id="2596" w:author="AbbVie19" w:date="2025-04-16T10:35:00Z">
              <w:r w:rsidRPr="00BC0E7E">
                <w:rPr>
                  <w:szCs w:val="20"/>
                </w:rPr>
                <w:delText>Clinical response (CR-100)</w:delText>
              </w:r>
            </w:del>
          </w:p>
        </w:tc>
        <w:tc>
          <w:tcPr>
            <w:tcW w:w="1751" w:type="dxa"/>
          </w:tcPr>
          <w:p w14:paraId="0630741C" w14:textId="77777777" w:rsidR="00BC0E7E" w:rsidRPr="00BC0E7E" w:rsidRDefault="00944B8F" w:rsidP="00BC0E7E">
            <w:pPr>
              <w:keepNext/>
              <w:keepLines/>
              <w:tabs>
                <w:tab w:val="clear" w:pos="562"/>
                <w:tab w:val="left" w:pos="360"/>
              </w:tabs>
              <w:spacing w:before="40" w:after="40" w:line="240" w:lineRule="exact"/>
              <w:jc w:val="center"/>
              <w:rPr>
                <w:del w:id="2597" w:author="AbbVie19" w:date="2025-04-16T10:35:00Z"/>
                <w:szCs w:val="20"/>
              </w:rPr>
            </w:pPr>
            <w:del w:id="2598" w:author="AbbVie19" w:date="2025-04-16T10:35:00Z">
              <w:r w:rsidRPr="00BC0E7E">
                <w:rPr>
                  <w:szCs w:val="20"/>
                </w:rPr>
                <w:delText>17%</w:delText>
              </w:r>
            </w:del>
          </w:p>
        </w:tc>
        <w:tc>
          <w:tcPr>
            <w:tcW w:w="1928" w:type="dxa"/>
          </w:tcPr>
          <w:p w14:paraId="0BE30A7A" w14:textId="77777777" w:rsidR="00BC0E7E" w:rsidRPr="00BC0E7E" w:rsidRDefault="00944B8F" w:rsidP="00BC0E7E">
            <w:pPr>
              <w:keepNext/>
              <w:keepLines/>
              <w:tabs>
                <w:tab w:val="clear" w:pos="562"/>
                <w:tab w:val="left" w:pos="360"/>
              </w:tabs>
              <w:spacing w:before="40" w:after="40" w:line="240" w:lineRule="exact"/>
              <w:jc w:val="center"/>
              <w:rPr>
                <w:del w:id="2599" w:author="AbbVie19" w:date="2025-04-16T10:35:00Z"/>
                <w:szCs w:val="20"/>
              </w:rPr>
            </w:pPr>
            <w:del w:id="2600" w:author="AbbVie19" w:date="2025-04-16T10:35:00Z">
              <w:r w:rsidRPr="00BC0E7E">
                <w:rPr>
                  <w:szCs w:val="20"/>
                </w:rPr>
                <w:delText>41%*</w:delText>
              </w:r>
            </w:del>
          </w:p>
        </w:tc>
        <w:tc>
          <w:tcPr>
            <w:tcW w:w="1700" w:type="dxa"/>
          </w:tcPr>
          <w:p w14:paraId="2015958E" w14:textId="77777777" w:rsidR="00BC0E7E" w:rsidRPr="00BC0E7E" w:rsidRDefault="00944B8F" w:rsidP="00BC0E7E">
            <w:pPr>
              <w:keepNext/>
              <w:keepLines/>
              <w:tabs>
                <w:tab w:val="clear" w:pos="562"/>
                <w:tab w:val="left" w:pos="360"/>
              </w:tabs>
              <w:spacing w:before="40" w:after="40" w:line="240" w:lineRule="exact"/>
              <w:jc w:val="center"/>
              <w:rPr>
                <w:del w:id="2601" w:author="AbbVie19" w:date="2025-04-16T10:35:00Z"/>
                <w:szCs w:val="20"/>
              </w:rPr>
            </w:pPr>
            <w:del w:id="2602" w:author="AbbVie19" w:date="2025-04-16T10:35:00Z">
              <w:r w:rsidRPr="00BC0E7E">
                <w:rPr>
                  <w:szCs w:val="20"/>
                </w:rPr>
                <w:delText>48%*</w:delText>
              </w:r>
            </w:del>
          </w:p>
        </w:tc>
      </w:tr>
      <w:tr w:rsidR="00C6578C" w14:paraId="55E8C1BD" w14:textId="77777777" w:rsidTr="00171601">
        <w:trPr>
          <w:del w:id="2603" w:author="AbbVie19" w:date="2025-04-16T10:35:00Z"/>
        </w:trPr>
        <w:tc>
          <w:tcPr>
            <w:tcW w:w="3641" w:type="dxa"/>
          </w:tcPr>
          <w:p w14:paraId="513F8E12" w14:textId="77777777" w:rsidR="00BC0E7E" w:rsidRPr="00BC0E7E" w:rsidRDefault="00944B8F" w:rsidP="00BC0E7E">
            <w:pPr>
              <w:keepNext/>
              <w:keepLines/>
              <w:tabs>
                <w:tab w:val="clear" w:pos="562"/>
                <w:tab w:val="left" w:pos="360"/>
              </w:tabs>
              <w:spacing w:before="40" w:after="40" w:line="240" w:lineRule="exact"/>
              <w:ind w:left="360"/>
              <w:rPr>
                <w:del w:id="2604" w:author="AbbVie19" w:date="2025-04-16T10:35:00Z"/>
                <w:szCs w:val="20"/>
              </w:rPr>
            </w:pPr>
            <w:del w:id="2605" w:author="AbbVie19" w:date="2025-04-16T10:35:00Z">
              <w:r w:rsidRPr="00BC0E7E">
                <w:rPr>
                  <w:szCs w:val="20"/>
                </w:rPr>
                <w:delText xml:space="preserve">Patients in steroid-free remission </w:delText>
              </w:r>
              <w:r w:rsidRPr="00BC0E7E">
                <w:rPr>
                  <w:szCs w:val="20"/>
                </w:rPr>
                <w:br/>
                <w:delText>for &gt;=90</w:delText>
              </w:r>
              <w:r w:rsidRPr="00BC0E7E">
                <w:rPr>
                  <w:sz w:val="20"/>
                  <w:szCs w:val="20"/>
                </w:rPr>
                <w:delText> </w:delText>
              </w:r>
              <w:r w:rsidRPr="00BC0E7E">
                <w:rPr>
                  <w:szCs w:val="20"/>
                </w:rPr>
                <w:delText>days</w:delText>
              </w:r>
              <w:r w:rsidRPr="00BC0E7E">
                <w:rPr>
                  <w:szCs w:val="20"/>
                  <w:vertAlign w:val="superscript"/>
                </w:rPr>
                <w:delText>a</w:delText>
              </w:r>
            </w:del>
          </w:p>
        </w:tc>
        <w:tc>
          <w:tcPr>
            <w:tcW w:w="1751" w:type="dxa"/>
          </w:tcPr>
          <w:p w14:paraId="0E3A3A5C" w14:textId="77777777" w:rsidR="00BC0E7E" w:rsidRPr="00BC0E7E" w:rsidRDefault="00944B8F" w:rsidP="00BC0E7E">
            <w:pPr>
              <w:keepNext/>
              <w:keepLines/>
              <w:tabs>
                <w:tab w:val="clear" w:pos="562"/>
                <w:tab w:val="left" w:pos="360"/>
              </w:tabs>
              <w:spacing w:before="40" w:after="40" w:line="240" w:lineRule="exact"/>
              <w:jc w:val="center"/>
              <w:rPr>
                <w:del w:id="2606" w:author="AbbVie19" w:date="2025-04-16T10:35:00Z"/>
                <w:szCs w:val="20"/>
              </w:rPr>
            </w:pPr>
            <w:del w:id="2607" w:author="AbbVie19" w:date="2025-04-16T10:35:00Z">
              <w:r w:rsidRPr="00BC0E7E">
                <w:rPr>
                  <w:szCs w:val="20"/>
                </w:rPr>
                <w:delText>5% (3/66)</w:delText>
              </w:r>
            </w:del>
          </w:p>
        </w:tc>
        <w:tc>
          <w:tcPr>
            <w:tcW w:w="1928" w:type="dxa"/>
          </w:tcPr>
          <w:p w14:paraId="6ADD8B86" w14:textId="77777777" w:rsidR="00BC0E7E" w:rsidRPr="00BC0E7E" w:rsidRDefault="00944B8F" w:rsidP="00BC0E7E">
            <w:pPr>
              <w:keepNext/>
              <w:keepLines/>
              <w:tabs>
                <w:tab w:val="clear" w:pos="562"/>
                <w:tab w:val="left" w:pos="360"/>
              </w:tabs>
              <w:spacing w:before="40" w:after="40" w:line="240" w:lineRule="exact"/>
              <w:jc w:val="center"/>
              <w:rPr>
                <w:del w:id="2608" w:author="AbbVie19" w:date="2025-04-16T10:35:00Z"/>
                <w:szCs w:val="20"/>
              </w:rPr>
            </w:pPr>
            <w:del w:id="2609" w:author="AbbVie19" w:date="2025-04-16T10:35:00Z">
              <w:r w:rsidRPr="00BC0E7E">
                <w:rPr>
                  <w:szCs w:val="20"/>
                </w:rPr>
                <w:delText>29% (17/58)*</w:delText>
              </w:r>
            </w:del>
          </w:p>
        </w:tc>
        <w:tc>
          <w:tcPr>
            <w:tcW w:w="1700" w:type="dxa"/>
          </w:tcPr>
          <w:p w14:paraId="503E850C" w14:textId="77777777" w:rsidR="00BC0E7E" w:rsidRPr="00BC0E7E" w:rsidRDefault="00944B8F" w:rsidP="00BC0E7E">
            <w:pPr>
              <w:keepNext/>
              <w:keepLines/>
              <w:tabs>
                <w:tab w:val="clear" w:pos="562"/>
                <w:tab w:val="left" w:pos="360"/>
              </w:tabs>
              <w:spacing w:before="40" w:after="40" w:line="240" w:lineRule="exact"/>
              <w:jc w:val="center"/>
              <w:rPr>
                <w:del w:id="2610" w:author="AbbVie19" w:date="2025-04-16T10:35:00Z"/>
                <w:szCs w:val="20"/>
              </w:rPr>
            </w:pPr>
            <w:del w:id="2611" w:author="AbbVie19" w:date="2025-04-16T10:35:00Z">
              <w:r w:rsidRPr="00BC0E7E">
                <w:rPr>
                  <w:szCs w:val="20"/>
                </w:rPr>
                <w:delText>20% (15/74)**</w:delText>
              </w:r>
            </w:del>
          </w:p>
        </w:tc>
      </w:tr>
      <w:tr w:rsidR="00C6578C" w14:paraId="090CCD00" w14:textId="77777777" w:rsidTr="00171601">
        <w:trPr>
          <w:cantSplit/>
          <w:del w:id="2612" w:author="AbbVie19" w:date="2025-04-16T10:35:00Z"/>
        </w:trPr>
        <w:tc>
          <w:tcPr>
            <w:tcW w:w="9020" w:type="dxa"/>
            <w:gridSpan w:val="4"/>
            <w:tcBorders>
              <w:left w:val="nil"/>
              <w:right w:val="nil"/>
            </w:tcBorders>
          </w:tcPr>
          <w:p w14:paraId="7F4F7CD6" w14:textId="77777777" w:rsidR="00BC0E7E" w:rsidRPr="00BC0E7E" w:rsidRDefault="00944B8F" w:rsidP="00BC0E7E">
            <w:pPr>
              <w:keepNext/>
              <w:keepLines/>
              <w:tabs>
                <w:tab w:val="clear" w:pos="562"/>
                <w:tab w:val="left" w:pos="360"/>
              </w:tabs>
              <w:spacing w:before="40" w:after="40" w:line="240" w:lineRule="exact"/>
              <w:rPr>
                <w:del w:id="2613" w:author="AbbVie19" w:date="2025-04-16T10:35:00Z"/>
                <w:szCs w:val="20"/>
              </w:rPr>
            </w:pPr>
            <w:del w:id="2614" w:author="AbbVie19" w:date="2025-04-16T10:35:00Z">
              <w:r w:rsidRPr="00BC0E7E">
                <w:rPr>
                  <w:szCs w:val="20"/>
                </w:rPr>
                <w:delText>*</w:delText>
              </w:r>
              <w:r w:rsidRPr="00BC0E7E">
                <w:rPr>
                  <w:szCs w:val="20"/>
                </w:rPr>
                <w:tab/>
                <w:delText xml:space="preserve">p &lt; 0.001 for Humira </w:delText>
              </w:r>
              <w:r w:rsidRPr="00BC0E7E">
                <w:rPr>
                  <w:i/>
                  <w:iCs/>
                  <w:szCs w:val="20"/>
                </w:rPr>
                <w:delText>versus</w:delText>
              </w:r>
              <w:r w:rsidRPr="00BC0E7E">
                <w:rPr>
                  <w:szCs w:val="20"/>
                </w:rPr>
                <w:delText xml:space="preserve"> placebo pairwise comparisons of proportions</w:delText>
              </w:r>
            </w:del>
          </w:p>
          <w:p w14:paraId="277510C2" w14:textId="77777777" w:rsidR="00BC0E7E" w:rsidRPr="00BC0E7E" w:rsidRDefault="00944B8F" w:rsidP="00BC0E7E">
            <w:pPr>
              <w:keepNext/>
              <w:keepLines/>
              <w:tabs>
                <w:tab w:val="clear" w:pos="562"/>
                <w:tab w:val="left" w:pos="360"/>
              </w:tabs>
              <w:spacing w:before="40" w:after="40" w:line="240" w:lineRule="exact"/>
              <w:rPr>
                <w:del w:id="2615" w:author="AbbVie19" w:date="2025-04-16T10:35:00Z"/>
                <w:szCs w:val="20"/>
              </w:rPr>
            </w:pPr>
            <w:del w:id="2616" w:author="AbbVie19" w:date="2025-04-16T10:35:00Z">
              <w:r w:rsidRPr="00BC0E7E">
                <w:rPr>
                  <w:szCs w:val="20"/>
                </w:rPr>
                <w:delText>**</w:delText>
              </w:r>
              <w:r w:rsidRPr="00BC0E7E">
                <w:rPr>
                  <w:szCs w:val="20"/>
                </w:rPr>
                <w:tab/>
                <w:delText xml:space="preserve">p &lt; 0.02 for Humira </w:delText>
              </w:r>
              <w:r w:rsidRPr="00BC0E7E">
                <w:rPr>
                  <w:i/>
                  <w:iCs/>
                  <w:szCs w:val="20"/>
                </w:rPr>
                <w:delText>versus</w:delText>
              </w:r>
              <w:r w:rsidRPr="00BC0E7E">
                <w:rPr>
                  <w:szCs w:val="20"/>
                </w:rPr>
                <w:delText xml:space="preserve"> placebo pairwise comparisons of proportions</w:delText>
              </w:r>
            </w:del>
          </w:p>
          <w:p w14:paraId="5110B56C" w14:textId="77777777" w:rsidR="00BC0E7E" w:rsidRPr="00BC0E7E" w:rsidRDefault="00944B8F" w:rsidP="00BC0E7E">
            <w:pPr>
              <w:keepNext/>
              <w:keepLines/>
              <w:tabs>
                <w:tab w:val="clear" w:pos="562"/>
                <w:tab w:val="left" w:pos="360"/>
              </w:tabs>
              <w:spacing w:before="40" w:after="40" w:line="240" w:lineRule="exact"/>
              <w:rPr>
                <w:del w:id="2617" w:author="AbbVie19" w:date="2025-04-16T10:35:00Z"/>
                <w:szCs w:val="20"/>
              </w:rPr>
            </w:pPr>
            <w:del w:id="2618" w:author="AbbVie19" w:date="2025-04-16T10:35:00Z">
              <w:r w:rsidRPr="00BC0E7E">
                <w:rPr>
                  <w:szCs w:val="20"/>
                  <w:vertAlign w:val="superscript"/>
                </w:rPr>
                <w:delText>a</w:delText>
              </w:r>
              <w:r w:rsidRPr="00BC0E7E">
                <w:rPr>
                  <w:szCs w:val="20"/>
                  <w:vertAlign w:val="superscript"/>
                </w:rPr>
                <w:tab/>
              </w:r>
              <w:r w:rsidRPr="00BC0E7E">
                <w:rPr>
                  <w:szCs w:val="20"/>
                </w:rPr>
                <w:delText>Of those receiving corticosteroids at baseline</w:delText>
              </w:r>
            </w:del>
          </w:p>
        </w:tc>
      </w:tr>
    </w:tbl>
    <w:p w14:paraId="4B212788" w14:textId="77777777" w:rsidR="00BC0E7E" w:rsidRPr="00BC0E7E" w:rsidRDefault="00BC0E7E" w:rsidP="00BC0E7E">
      <w:pPr>
        <w:rPr>
          <w:del w:id="2619" w:author="AbbVie19" w:date="2025-04-16T10:35:00Z"/>
          <w:szCs w:val="20"/>
        </w:rPr>
      </w:pPr>
    </w:p>
    <w:p w14:paraId="51F65E87" w14:textId="77777777" w:rsidR="00BC0E7E" w:rsidRPr="00BC0E7E" w:rsidRDefault="00944B8F" w:rsidP="00BC0E7E">
      <w:pPr>
        <w:rPr>
          <w:del w:id="2620" w:author="AbbVie19" w:date="2025-04-16T10:35:00Z"/>
          <w:bCs/>
        </w:rPr>
      </w:pPr>
      <w:del w:id="2621" w:author="AbbVie19" w:date="2025-04-16T10:35:00Z">
        <w:r w:rsidRPr="00BC0E7E">
          <w:rPr>
            <w:bCs/>
          </w:rPr>
          <w:lastRenderedPageBreak/>
          <w:delText>Among patients who were not in response at Week</w:delText>
        </w:r>
        <w:r w:rsidRPr="00BC0E7E">
          <w:delText> </w:delText>
        </w:r>
        <w:r w:rsidRPr="00BC0E7E">
          <w:rPr>
            <w:bCs/>
          </w:rPr>
          <w:delText>4, 43% of Humira maintenance patients responded by Week</w:delText>
        </w:r>
        <w:r w:rsidRPr="00BC0E7E">
          <w:delText> </w:delText>
        </w:r>
        <w:r w:rsidRPr="00BC0E7E">
          <w:rPr>
            <w:bCs/>
          </w:rPr>
          <w:delText>12 compared to 30% of placebo maintenance patients. These results suggest that some patients who have not responded by Week</w:delText>
        </w:r>
        <w:r w:rsidRPr="00BC0E7E">
          <w:delText> </w:delText>
        </w:r>
        <w:r w:rsidRPr="00BC0E7E">
          <w:rPr>
            <w:bCs/>
          </w:rPr>
          <w:delText>4 benefit from continued maintenance therapy through Week</w:delText>
        </w:r>
        <w:r w:rsidRPr="00BC0E7E">
          <w:delText> </w:delText>
        </w:r>
        <w:r w:rsidRPr="00BC0E7E">
          <w:rPr>
            <w:bCs/>
          </w:rPr>
          <w:delText>12. Therapy continued beyond 12</w:delText>
        </w:r>
        <w:r w:rsidRPr="00BC0E7E">
          <w:delText> </w:delText>
        </w:r>
        <w:r w:rsidRPr="00BC0E7E">
          <w:rPr>
            <w:bCs/>
          </w:rPr>
          <w:delText xml:space="preserve">weeks did not result in significantly more responses </w:delText>
        </w:r>
        <w:r w:rsidRPr="00BC0E7E">
          <w:delText>(see section 4.2).</w:delText>
        </w:r>
        <w:r w:rsidRPr="00BC0E7E">
          <w:rPr>
            <w:bCs/>
          </w:rPr>
          <w:delText xml:space="preserve">  </w:delText>
        </w:r>
      </w:del>
    </w:p>
    <w:p w14:paraId="73953DE0" w14:textId="77777777" w:rsidR="00BC0E7E" w:rsidRPr="00BC0E7E" w:rsidRDefault="00BC0E7E" w:rsidP="00BC0E7E">
      <w:pPr>
        <w:rPr>
          <w:del w:id="2622" w:author="AbbVie19" w:date="2025-04-16T10:35:00Z"/>
          <w:bCs/>
        </w:rPr>
      </w:pPr>
    </w:p>
    <w:p w14:paraId="3F73BC9A" w14:textId="77777777" w:rsidR="00BC0E7E" w:rsidRPr="00BC0E7E" w:rsidRDefault="00944B8F" w:rsidP="00BC0E7E">
      <w:pPr>
        <w:rPr>
          <w:del w:id="2623" w:author="AbbVie19" w:date="2025-04-16T10:35:00Z"/>
          <w:bCs/>
        </w:rPr>
      </w:pPr>
      <w:del w:id="2624" w:author="AbbVie19" w:date="2025-04-16T10:35:00Z">
        <w:r w:rsidRPr="00BC0E7E">
          <w:rPr>
            <w:bCs/>
          </w:rPr>
          <w:delText>117/276 patients from CD study I and 272/777 patients from CD studies II and III were followed through at least 3</w:delText>
        </w:r>
        <w:r w:rsidRPr="00BC0E7E">
          <w:delText> </w:delText>
        </w:r>
        <w:r w:rsidRPr="00BC0E7E">
          <w:rPr>
            <w:bCs/>
          </w:rPr>
          <w:delText>years of open-label adalimumab therapy. 88 and 189 patients, respectively, continued to be in clinical remission. Clinical response (CR-100) was maintained in 102 and 233 patients, respectively.</w:delText>
        </w:r>
      </w:del>
    </w:p>
    <w:p w14:paraId="56172E18" w14:textId="77777777" w:rsidR="00BC0E7E" w:rsidRPr="00BC0E7E" w:rsidRDefault="00BC0E7E" w:rsidP="00BC0E7E">
      <w:pPr>
        <w:rPr>
          <w:del w:id="2625" w:author="AbbVie19" w:date="2025-04-16T10:35:00Z"/>
          <w:bCs/>
        </w:rPr>
      </w:pPr>
    </w:p>
    <w:p w14:paraId="525039DE" w14:textId="77777777" w:rsidR="00BC0E7E" w:rsidRPr="00BC0E7E" w:rsidRDefault="00944B8F" w:rsidP="00BC0E7E">
      <w:pPr>
        <w:rPr>
          <w:del w:id="2626" w:author="AbbVie19" w:date="2025-04-16T10:35:00Z"/>
          <w:i/>
          <w:szCs w:val="20"/>
          <w:u w:val="single"/>
        </w:rPr>
      </w:pPr>
      <w:del w:id="2627" w:author="AbbVie19" w:date="2025-04-16T10:35:00Z">
        <w:r w:rsidRPr="00BC0E7E">
          <w:rPr>
            <w:i/>
            <w:szCs w:val="20"/>
            <w:u w:val="single"/>
          </w:rPr>
          <w:delText>Quality of life</w:delText>
        </w:r>
      </w:del>
    </w:p>
    <w:p w14:paraId="6AC8C9BF" w14:textId="77777777" w:rsidR="00BC0E7E" w:rsidRPr="00BC0E7E" w:rsidRDefault="00BC0E7E" w:rsidP="00BC0E7E">
      <w:pPr>
        <w:rPr>
          <w:del w:id="2628" w:author="AbbVie19" w:date="2025-04-16T10:35:00Z"/>
          <w:szCs w:val="20"/>
        </w:rPr>
      </w:pPr>
    </w:p>
    <w:p w14:paraId="33F084E5" w14:textId="77777777" w:rsidR="00BC0E7E" w:rsidRPr="00BC0E7E" w:rsidRDefault="00944B8F" w:rsidP="00BC0E7E">
      <w:pPr>
        <w:rPr>
          <w:del w:id="2629" w:author="AbbVie19" w:date="2025-04-16T10:35:00Z"/>
          <w:bCs/>
          <w:szCs w:val="20"/>
        </w:rPr>
      </w:pPr>
      <w:del w:id="2630" w:author="AbbVie19" w:date="2025-04-16T10:35:00Z">
        <w:r w:rsidRPr="00BC0E7E">
          <w:rPr>
            <w:bCs/>
            <w:szCs w:val="20"/>
          </w:rPr>
          <w:delText>In CD Study I and CD Study II, statistically significant improvement in the disease-specific inflammatory bowel disease questionnaire (IBDQ) total score was achieved at Week</w:delText>
        </w:r>
        <w:r w:rsidRPr="00BC0E7E">
          <w:rPr>
            <w:szCs w:val="20"/>
          </w:rPr>
          <w:delText> </w:delText>
        </w:r>
        <w:r w:rsidRPr="00BC0E7E">
          <w:rPr>
            <w:bCs/>
            <w:szCs w:val="20"/>
          </w:rPr>
          <w:delText>4 in patients randomised to Humira 80/40 mg and 160/80 mg compared to placebo and was seen at Weeks 26 and 56 in CD Study III as well among the adalimumab treatment groups compared to the placebo group.</w:delText>
        </w:r>
      </w:del>
    </w:p>
    <w:p w14:paraId="2D271D3C" w14:textId="77777777" w:rsidR="00BC0E7E" w:rsidRPr="00BC0E7E" w:rsidRDefault="00BC0E7E" w:rsidP="00BC0E7E">
      <w:pPr>
        <w:rPr>
          <w:del w:id="2631" w:author="AbbVie19" w:date="2025-04-16T10:35:00Z"/>
          <w:bCs/>
          <w:szCs w:val="20"/>
        </w:rPr>
      </w:pPr>
    </w:p>
    <w:p w14:paraId="50994AAE" w14:textId="77777777" w:rsidR="00BC0E7E" w:rsidRPr="00BC0E7E" w:rsidRDefault="00944B8F" w:rsidP="00BC0E7E">
      <w:pPr>
        <w:keepNext/>
        <w:rPr>
          <w:del w:id="2632" w:author="AbbVie19" w:date="2025-04-16T10:35:00Z"/>
          <w:bCs/>
          <w:i/>
          <w:szCs w:val="22"/>
        </w:rPr>
      </w:pPr>
      <w:del w:id="2633" w:author="AbbVie19" w:date="2025-04-16T10:35:00Z">
        <w:r w:rsidRPr="00BC0E7E">
          <w:rPr>
            <w:bCs/>
            <w:i/>
            <w:szCs w:val="22"/>
          </w:rPr>
          <w:delText>Adult Uveitis</w:delText>
        </w:r>
      </w:del>
    </w:p>
    <w:p w14:paraId="23D2E4C8" w14:textId="77777777" w:rsidR="00BC0E7E" w:rsidRPr="00BC0E7E" w:rsidRDefault="00BC0E7E" w:rsidP="00BC0E7E">
      <w:pPr>
        <w:keepNext/>
        <w:rPr>
          <w:del w:id="2634" w:author="AbbVie19" w:date="2025-04-16T10:35:00Z"/>
          <w:bCs/>
          <w:szCs w:val="22"/>
        </w:rPr>
      </w:pPr>
    </w:p>
    <w:p w14:paraId="6C9F91E3" w14:textId="77777777" w:rsidR="00BC0E7E" w:rsidRPr="00BC0E7E" w:rsidRDefault="00944B8F" w:rsidP="00BC0E7E">
      <w:pPr>
        <w:rPr>
          <w:del w:id="2635" w:author="AbbVie19" w:date="2025-04-16T10:35:00Z"/>
          <w:szCs w:val="22"/>
        </w:rPr>
      </w:pPr>
      <w:del w:id="2636" w:author="AbbVie19" w:date="2025-04-16T10:35:00Z">
        <w:r w:rsidRPr="00BC0E7E">
          <w:rPr>
            <w:szCs w:val="22"/>
          </w:rPr>
          <w:delText>The safety and efficacy of Humira were assessed in adult patients with non-infectious intermediate, posterior, and panuveitis, excluding patients with isolated anterior uveitis, in two randomised, double-masked, placebo-controlled studies (UV I and II). Patients received placebo or Humira at an initial dose of 80 mg followed by 40 mg every other week starting one week after the initial dose. Concomitant stable doses of one</w:delText>
        </w:r>
        <w:r w:rsidRPr="00BC0E7E">
          <w:rPr>
            <w:b/>
            <w:i/>
            <w:szCs w:val="22"/>
          </w:rPr>
          <w:delText xml:space="preserve"> </w:delText>
        </w:r>
        <w:r w:rsidRPr="00BC0E7E">
          <w:rPr>
            <w:szCs w:val="22"/>
          </w:rPr>
          <w:delText xml:space="preserve">non-biologic immunosuppressant were permitted. </w:delText>
        </w:r>
      </w:del>
    </w:p>
    <w:p w14:paraId="40ACAB60" w14:textId="77777777" w:rsidR="00BC0E7E" w:rsidRPr="00BC0E7E" w:rsidRDefault="00BC0E7E" w:rsidP="00BC0E7E">
      <w:pPr>
        <w:rPr>
          <w:del w:id="2637" w:author="AbbVie19" w:date="2025-04-16T10:35:00Z"/>
          <w:szCs w:val="22"/>
        </w:rPr>
      </w:pPr>
    </w:p>
    <w:p w14:paraId="3B3749BB" w14:textId="77777777" w:rsidR="00BC0E7E" w:rsidRPr="00BC0E7E" w:rsidRDefault="00944B8F" w:rsidP="00BC0E7E">
      <w:pPr>
        <w:rPr>
          <w:del w:id="2638" w:author="AbbVie19" w:date="2025-04-16T10:35:00Z"/>
          <w:szCs w:val="22"/>
        </w:rPr>
      </w:pPr>
      <w:del w:id="2639" w:author="AbbVie19" w:date="2025-04-16T10:35:00Z">
        <w:r w:rsidRPr="00BC0E7E">
          <w:rPr>
            <w:szCs w:val="22"/>
          </w:rPr>
          <w:delText>Study UV I evaluated 217 patients with active uveitis despite treatment with corticosteroids (oral prednisone at a dose of 10 to 60 mg/day). All patients received a 2</w:delText>
        </w:r>
        <w:r w:rsidRPr="00BC0E7E">
          <w:rPr>
            <w:szCs w:val="22"/>
          </w:rPr>
          <w:noBreakHyphen/>
          <w:delText>week</w:delText>
        </w:r>
        <w:r w:rsidRPr="00BC0E7E">
          <w:rPr>
            <w:b/>
            <w:i/>
            <w:szCs w:val="22"/>
          </w:rPr>
          <w:delText xml:space="preserve"> </w:delText>
        </w:r>
        <w:r w:rsidRPr="00BC0E7E">
          <w:rPr>
            <w:szCs w:val="22"/>
          </w:rPr>
          <w:delText xml:space="preserve">standardised dose of prednisone 60 mg/day at study entry followed by a mandatory taper schedule, with complete corticosteroid discontinuation by Week 15. </w:delText>
        </w:r>
      </w:del>
    </w:p>
    <w:p w14:paraId="53146C31" w14:textId="77777777" w:rsidR="00BC0E7E" w:rsidRPr="00BC0E7E" w:rsidRDefault="00BC0E7E" w:rsidP="00BC0E7E">
      <w:pPr>
        <w:rPr>
          <w:del w:id="2640" w:author="AbbVie19" w:date="2025-04-16T10:35:00Z"/>
          <w:szCs w:val="22"/>
        </w:rPr>
      </w:pPr>
    </w:p>
    <w:p w14:paraId="518764CC" w14:textId="77777777" w:rsidR="00BC0E7E" w:rsidRPr="00BC0E7E" w:rsidRDefault="00944B8F" w:rsidP="00BC0E7E">
      <w:pPr>
        <w:rPr>
          <w:del w:id="2641" w:author="AbbVie19" w:date="2025-04-16T10:35:00Z"/>
          <w:szCs w:val="22"/>
        </w:rPr>
      </w:pPr>
      <w:del w:id="2642" w:author="AbbVie19" w:date="2025-04-16T10:35:00Z">
        <w:r w:rsidRPr="00BC0E7E">
          <w:rPr>
            <w:szCs w:val="22"/>
          </w:rPr>
          <w:delText xml:space="preserve">Study UV II evaluated 226 patients with inactive uveitis requiring chronic corticosteroid treatment (oral prednisone 10 to 35 mg/day) at baseline to control their disease. Patients subsequently underwent a mandatory taper schedule, with complete corticosteroid discontinuation by Week 19. </w:delText>
        </w:r>
      </w:del>
    </w:p>
    <w:p w14:paraId="5232CD82" w14:textId="77777777" w:rsidR="00BC0E7E" w:rsidRPr="00BC0E7E" w:rsidRDefault="00BC0E7E" w:rsidP="00BC0E7E">
      <w:pPr>
        <w:rPr>
          <w:del w:id="2643" w:author="AbbVie19" w:date="2025-04-16T10:35:00Z"/>
          <w:szCs w:val="22"/>
        </w:rPr>
      </w:pPr>
    </w:p>
    <w:p w14:paraId="0202E78C" w14:textId="77777777" w:rsidR="00BC0E7E" w:rsidRPr="00BC0E7E" w:rsidRDefault="00944B8F" w:rsidP="00BC0E7E">
      <w:pPr>
        <w:rPr>
          <w:del w:id="2644" w:author="AbbVie19" w:date="2025-04-16T10:35:00Z"/>
          <w:szCs w:val="22"/>
        </w:rPr>
      </w:pPr>
      <w:del w:id="2645" w:author="AbbVie19" w:date="2025-04-16T10:35:00Z">
        <w:r w:rsidRPr="00BC0E7E">
          <w:rPr>
            <w:szCs w:val="22"/>
          </w:rPr>
          <w:delText xml:space="preserve">The primary efficacy endpoint in both studies was ´time to treatment failure´. Treatment failure was defined by a multi-component outcome based on inflammatory chorioretinal and/or inflammatory retinal vascular lesions, anterior chamber (AC) cell grade, vitreous haze (VH) grade and best corrected visual acuity (BCVA). </w:delText>
        </w:r>
      </w:del>
    </w:p>
    <w:p w14:paraId="447987E0" w14:textId="77777777" w:rsidR="00BC0E7E" w:rsidRDefault="00BC0E7E" w:rsidP="00BC0E7E">
      <w:pPr>
        <w:rPr>
          <w:del w:id="2646" w:author="AbbVie19" w:date="2025-04-16T10:35:00Z"/>
          <w:szCs w:val="22"/>
        </w:rPr>
      </w:pPr>
    </w:p>
    <w:p w14:paraId="055E880E" w14:textId="77777777" w:rsidR="00FE0DB0" w:rsidRDefault="00944B8F" w:rsidP="00BC0E7E">
      <w:pPr>
        <w:rPr>
          <w:del w:id="2647" w:author="AbbVie19" w:date="2025-04-16T10:35:00Z"/>
          <w:szCs w:val="22"/>
        </w:rPr>
      </w:pPr>
      <w:del w:id="2648" w:author="AbbVie19" w:date="2025-04-16T10:35:00Z">
        <w:r>
          <w:rPr>
            <w:szCs w:val="22"/>
          </w:rPr>
          <w:delText>Patients who completed Studies UV I and UV</w:delText>
        </w:r>
        <w:r w:rsidR="00947BEB">
          <w:rPr>
            <w:szCs w:val="22"/>
          </w:rPr>
          <w:delText xml:space="preserve"> II were eligible to enroll in</w:delText>
        </w:r>
        <w:r>
          <w:rPr>
            <w:szCs w:val="22"/>
          </w:rPr>
          <w:delText xml:space="preserve"> an uncontrolled long-term extension study with an originally planned duration of 78 weeks. Patients were allowed to continue on study medication beyond Week 78 until they had access to Humira.</w:delText>
        </w:r>
      </w:del>
    </w:p>
    <w:p w14:paraId="169625E1" w14:textId="77777777" w:rsidR="00FE0DB0" w:rsidRPr="00BC0E7E" w:rsidRDefault="00FE0DB0" w:rsidP="00BC0E7E">
      <w:pPr>
        <w:rPr>
          <w:del w:id="2649" w:author="AbbVie19" w:date="2025-04-16T10:35:00Z"/>
          <w:szCs w:val="22"/>
        </w:rPr>
      </w:pPr>
    </w:p>
    <w:p w14:paraId="1937E356" w14:textId="77777777" w:rsidR="00BC0E7E" w:rsidRPr="00BC0E7E" w:rsidRDefault="00944B8F" w:rsidP="00BC0E7E">
      <w:pPr>
        <w:rPr>
          <w:del w:id="2650" w:author="AbbVie19" w:date="2025-04-16T10:35:00Z"/>
          <w:i/>
          <w:szCs w:val="22"/>
          <w:u w:val="single"/>
        </w:rPr>
      </w:pPr>
      <w:del w:id="2651" w:author="AbbVie19" w:date="2025-04-16T10:35:00Z">
        <w:r w:rsidRPr="00BC0E7E">
          <w:rPr>
            <w:i/>
            <w:szCs w:val="22"/>
            <w:u w:val="single"/>
          </w:rPr>
          <w:delText>Clinical Response</w:delText>
        </w:r>
      </w:del>
    </w:p>
    <w:p w14:paraId="10190F5F" w14:textId="77777777" w:rsidR="00BC0E7E" w:rsidRPr="00F619C1" w:rsidRDefault="00BC0E7E" w:rsidP="00BC0E7E">
      <w:pPr>
        <w:rPr>
          <w:del w:id="2652" w:author="AbbVie19" w:date="2025-04-16T10:35:00Z"/>
          <w:szCs w:val="22"/>
          <w:u w:val="single"/>
        </w:rPr>
      </w:pPr>
    </w:p>
    <w:p w14:paraId="2C6F5AAC" w14:textId="77777777" w:rsidR="00BC0E7E" w:rsidRPr="00BC0E7E" w:rsidRDefault="00944B8F" w:rsidP="00BC0E7E">
      <w:pPr>
        <w:rPr>
          <w:del w:id="2653" w:author="AbbVie19" w:date="2025-04-16T10:35:00Z"/>
          <w:szCs w:val="22"/>
        </w:rPr>
      </w:pPr>
      <w:del w:id="2654" w:author="AbbVie19" w:date="2025-04-16T10:35:00Z">
        <w:r w:rsidRPr="00BC0E7E">
          <w:rPr>
            <w:szCs w:val="22"/>
          </w:rPr>
          <w:delText xml:space="preserve">Results from both studies demonstrated statistically significant reduction of the risk of treatment failure in patients treated with Humira versus patients receiving placebo (See Table </w:delText>
        </w:r>
        <w:r w:rsidR="005F03EC">
          <w:rPr>
            <w:szCs w:val="22"/>
          </w:rPr>
          <w:delText>19</w:delText>
        </w:r>
        <w:r w:rsidRPr="00BC0E7E">
          <w:rPr>
            <w:szCs w:val="22"/>
          </w:rPr>
          <w:delText xml:space="preserve">). Both studies demonstrated an early and sustained effect of Humira on the treatment failure rate versus placebo (see Figure </w:delText>
        </w:r>
        <w:r w:rsidR="005F03EC">
          <w:rPr>
            <w:szCs w:val="22"/>
          </w:rPr>
          <w:delText>1</w:delText>
        </w:r>
        <w:r w:rsidRPr="00BC0E7E">
          <w:rPr>
            <w:szCs w:val="22"/>
          </w:rPr>
          <w:delText xml:space="preserve">). </w:delText>
        </w:r>
      </w:del>
    </w:p>
    <w:p w14:paraId="46F643F0" w14:textId="77777777" w:rsidR="00BC0E7E" w:rsidRPr="003F7AAE" w:rsidRDefault="00BC0E7E" w:rsidP="00BC0E7E">
      <w:pPr>
        <w:rPr>
          <w:del w:id="2655" w:author="AbbVie19" w:date="2025-04-16T10:35:00Z"/>
          <w:szCs w:val="22"/>
        </w:rPr>
      </w:pPr>
    </w:p>
    <w:p w14:paraId="709924A7" w14:textId="77777777" w:rsidR="00BC0E7E" w:rsidRPr="003F7AAE" w:rsidRDefault="00944B8F" w:rsidP="00F043D5">
      <w:pPr>
        <w:keepNext/>
        <w:jc w:val="center"/>
        <w:rPr>
          <w:del w:id="2656" w:author="AbbVie19" w:date="2025-04-16T10:35:00Z"/>
          <w:szCs w:val="22"/>
        </w:rPr>
      </w:pPr>
      <w:del w:id="2657" w:author="AbbVie19" w:date="2025-04-16T10:35:00Z">
        <w:r w:rsidRPr="00BC0E7E">
          <w:rPr>
            <w:b/>
            <w:szCs w:val="22"/>
          </w:rPr>
          <w:lastRenderedPageBreak/>
          <w:delText xml:space="preserve">Table </w:delText>
        </w:r>
        <w:r w:rsidR="005F03EC">
          <w:rPr>
            <w:b/>
            <w:szCs w:val="22"/>
          </w:rPr>
          <w:delText>19</w:delText>
        </w:r>
      </w:del>
    </w:p>
    <w:p w14:paraId="3E200C09" w14:textId="77777777" w:rsidR="00BC0E7E" w:rsidRPr="003F7AAE" w:rsidRDefault="00944B8F" w:rsidP="00F043D5">
      <w:pPr>
        <w:keepNext/>
        <w:jc w:val="center"/>
        <w:rPr>
          <w:del w:id="2658" w:author="AbbVie19" w:date="2025-04-16T10:35:00Z"/>
          <w:szCs w:val="22"/>
        </w:rPr>
      </w:pPr>
      <w:del w:id="2659" w:author="AbbVie19" w:date="2025-04-16T10:35:00Z">
        <w:r w:rsidRPr="00BC0E7E">
          <w:rPr>
            <w:b/>
            <w:szCs w:val="22"/>
          </w:rPr>
          <w:delText>Time to Treatment Failure in Studies UV I and UV II</w:delText>
        </w:r>
      </w:del>
    </w:p>
    <w:p w14:paraId="6E7A885D" w14:textId="77777777" w:rsidR="00BC0E7E" w:rsidRPr="003F7AAE" w:rsidRDefault="00BC0E7E" w:rsidP="00F043D5">
      <w:pPr>
        <w:keepNext/>
        <w:jc w:val="center"/>
        <w:rPr>
          <w:del w:id="2660" w:author="AbbVie19" w:date="2025-04-16T10:35:00Z"/>
          <w:szCs w:val="22"/>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C6578C" w14:paraId="6141FD77" w14:textId="77777777" w:rsidTr="00171601">
        <w:trPr>
          <w:del w:id="2661" w:author="AbbVie19" w:date="2025-04-16T10:35:00Z"/>
        </w:trPr>
        <w:tc>
          <w:tcPr>
            <w:tcW w:w="2268" w:type="dxa"/>
            <w:tcBorders>
              <w:top w:val="single" w:sz="4" w:space="0" w:color="auto"/>
              <w:bottom w:val="single" w:sz="4" w:space="0" w:color="auto"/>
            </w:tcBorders>
          </w:tcPr>
          <w:p w14:paraId="6DCE427B" w14:textId="77777777" w:rsidR="00BC0E7E" w:rsidRPr="00BC0E7E" w:rsidRDefault="00944B8F" w:rsidP="00F043D5">
            <w:pPr>
              <w:keepNext/>
              <w:rPr>
                <w:del w:id="2662" w:author="AbbVie19" w:date="2025-04-16T10:35:00Z"/>
                <w:b/>
                <w:szCs w:val="22"/>
              </w:rPr>
            </w:pPr>
            <w:del w:id="2663" w:author="AbbVie19" w:date="2025-04-16T10:35:00Z">
              <w:r w:rsidRPr="00BC0E7E">
                <w:rPr>
                  <w:b/>
                  <w:szCs w:val="22"/>
                </w:rPr>
                <w:delText>Analysis</w:delText>
              </w:r>
            </w:del>
          </w:p>
          <w:p w14:paraId="1CD95BB3" w14:textId="77777777" w:rsidR="00BC0E7E" w:rsidRPr="00BC0E7E" w:rsidRDefault="00944B8F" w:rsidP="00F043D5">
            <w:pPr>
              <w:keepNext/>
              <w:rPr>
                <w:del w:id="2664" w:author="AbbVie19" w:date="2025-04-16T10:35:00Z"/>
                <w:b/>
                <w:szCs w:val="22"/>
              </w:rPr>
            </w:pPr>
            <w:del w:id="2665" w:author="AbbVie19" w:date="2025-04-16T10:35:00Z">
              <w:r w:rsidRPr="00BC0E7E">
                <w:rPr>
                  <w:b/>
                  <w:szCs w:val="22"/>
                </w:rPr>
                <w:tab/>
                <w:delText>Treatment</w:delText>
              </w:r>
            </w:del>
          </w:p>
        </w:tc>
        <w:tc>
          <w:tcPr>
            <w:tcW w:w="720" w:type="dxa"/>
            <w:tcBorders>
              <w:top w:val="single" w:sz="4" w:space="0" w:color="auto"/>
              <w:bottom w:val="single" w:sz="4" w:space="0" w:color="auto"/>
            </w:tcBorders>
          </w:tcPr>
          <w:p w14:paraId="599FB4F9" w14:textId="77777777" w:rsidR="00BC0E7E" w:rsidRPr="00BC0E7E" w:rsidRDefault="00944B8F" w:rsidP="00F043D5">
            <w:pPr>
              <w:keepNext/>
              <w:rPr>
                <w:del w:id="2666" w:author="AbbVie19" w:date="2025-04-16T10:35:00Z"/>
                <w:b/>
                <w:szCs w:val="22"/>
              </w:rPr>
            </w:pPr>
            <w:del w:id="2667" w:author="AbbVie19" w:date="2025-04-16T10:35:00Z">
              <w:r w:rsidRPr="00BC0E7E">
                <w:rPr>
                  <w:b/>
                  <w:szCs w:val="22"/>
                </w:rPr>
                <w:delText>N</w:delText>
              </w:r>
            </w:del>
          </w:p>
        </w:tc>
        <w:tc>
          <w:tcPr>
            <w:tcW w:w="1170" w:type="dxa"/>
            <w:tcBorders>
              <w:top w:val="single" w:sz="4" w:space="0" w:color="auto"/>
              <w:bottom w:val="single" w:sz="4" w:space="0" w:color="auto"/>
            </w:tcBorders>
          </w:tcPr>
          <w:p w14:paraId="5EEE9137" w14:textId="77777777" w:rsidR="00BC0E7E" w:rsidRPr="00BC0E7E" w:rsidRDefault="00944B8F" w:rsidP="00F043D5">
            <w:pPr>
              <w:keepNext/>
              <w:rPr>
                <w:del w:id="2668" w:author="AbbVie19" w:date="2025-04-16T10:35:00Z"/>
                <w:b/>
                <w:szCs w:val="22"/>
              </w:rPr>
            </w:pPr>
            <w:del w:id="2669" w:author="AbbVie19" w:date="2025-04-16T10:35:00Z">
              <w:r w:rsidRPr="00BC0E7E">
                <w:rPr>
                  <w:b/>
                  <w:szCs w:val="22"/>
                </w:rPr>
                <w:delText>Failure</w:delText>
              </w:r>
              <w:r w:rsidRPr="00BC0E7E">
                <w:rPr>
                  <w:b/>
                  <w:szCs w:val="22"/>
                </w:rPr>
                <w:br/>
                <w:delText>N (%)</w:delText>
              </w:r>
            </w:del>
          </w:p>
        </w:tc>
        <w:tc>
          <w:tcPr>
            <w:tcW w:w="1890" w:type="dxa"/>
            <w:tcBorders>
              <w:top w:val="single" w:sz="4" w:space="0" w:color="auto"/>
              <w:bottom w:val="single" w:sz="4" w:space="0" w:color="auto"/>
            </w:tcBorders>
          </w:tcPr>
          <w:p w14:paraId="0145E63E" w14:textId="77777777" w:rsidR="00BC0E7E" w:rsidRPr="00BC0E7E" w:rsidRDefault="00944B8F" w:rsidP="00F043D5">
            <w:pPr>
              <w:keepNext/>
              <w:rPr>
                <w:del w:id="2670" w:author="AbbVie19" w:date="2025-04-16T10:35:00Z"/>
                <w:b/>
                <w:szCs w:val="22"/>
              </w:rPr>
            </w:pPr>
            <w:del w:id="2671" w:author="AbbVie19" w:date="2025-04-16T10:35:00Z">
              <w:r w:rsidRPr="00BC0E7E">
                <w:rPr>
                  <w:b/>
                  <w:szCs w:val="22"/>
                </w:rPr>
                <w:delText>Median Time to Failure (months)</w:delText>
              </w:r>
            </w:del>
          </w:p>
        </w:tc>
        <w:tc>
          <w:tcPr>
            <w:tcW w:w="720" w:type="dxa"/>
            <w:tcBorders>
              <w:top w:val="single" w:sz="4" w:space="0" w:color="auto"/>
              <w:bottom w:val="single" w:sz="4" w:space="0" w:color="auto"/>
            </w:tcBorders>
          </w:tcPr>
          <w:p w14:paraId="719E8447" w14:textId="77777777" w:rsidR="00BC0E7E" w:rsidRPr="00BC0E7E" w:rsidRDefault="00944B8F" w:rsidP="00F043D5">
            <w:pPr>
              <w:keepNext/>
              <w:rPr>
                <w:del w:id="2672" w:author="AbbVie19" w:date="2025-04-16T10:35:00Z"/>
                <w:b/>
                <w:szCs w:val="22"/>
              </w:rPr>
            </w:pPr>
            <w:del w:id="2673" w:author="AbbVie19" w:date="2025-04-16T10:35:00Z">
              <w:r w:rsidRPr="00BC0E7E">
                <w:rPr>
                  <w:b/>
                  <w:szCs w:val="22"/>
                </w:rPr>
                <w:delText>HR</w:delText>
              </w:r>
              <w:r w:rsidRPr="00BC0E7E">
                <w:rPr>
                  <w:b/>
                  <w:szCs w:val="22"/>
                  <w:vertAlign w:val="superscript"/>
                </w:rPr>
                <w:delText>a</w:delText>
              </w:r>
            </w:del>
          </w:p>
        </w:tc>
        <w:tc>
          <w:tcPr>
            <w:tcW w:w="1170" w:type="dxa"/>
            <w:tcBorders>
              <w:top w:val="single" w:sz="4" w:space="0" w:color="auto"/>
              <w:bottom w:val="single" w:sz="4" w:space="0" w:color="auto"/>
            </w:tcBorders>
          </w:tcPr>
          <w:p w14:paraId="69459AFE" w14:textId="77777777" w:rsidR="00BC0E7E" w:rsidRPr="00BC0E7E" w:rsidRDefault="00944B8F" w:rsidP="00F043D5">
            <w:pPr>
              <w:keepNext/>
              <w:rPr>
                <w:del w:id="2674" w:author="AbbVie19" w:date="2025-04-16T10:35:00Z"/>
                <w:b/>
                <w:szCs w:val="22"/>
              </w:rPr>
            </w:pPr>
            <w:del w:id="2675" w:author="AbbVie19" w:date="2025-04-16T10:35:00Z">
              <w:r w:rsidRPr="00BC0E7E">
                <w:rPr>
                  <w:b/>
                  <w:szCs w:val="22"/>
                </w:rPr>
                <w:delText>CI 95% for HR</w:delText>
              </w:r>
              <w:r w:rsidRPr="00BC0E7E">
                <w:rPr>
                  <w:b/>
                  <w:szCs w:val="22"/>
                  <w:vertAlign w:val="superscript"/>
                </w:rPr>
                <w:delText>a</w:delText>
              </w:r>
            </w:del>
          </w:p>
        </w:tc>
        <w:tc>
          <w:tcPr>
            <w:tcW w:w="1080" w:type="dxa"/>
            <w:tcBorders>
              <w:top w:val="single" w:sz="4" w:space="0" w:color="auto"/>
              <w:bottom w:val="single" w:sz="4" w:space="0" w:color="auto"/>
            </w:tcBorders>
          </w:tcPr>
          <w:p w14:paraId="2E57E9C0" w14:textId="77777777" w:rsidR="00BC0E7E" w:rsidRPr="00BC0E7E" w:rsidRDefault="00944B8F" w:rsidP="00F043D5">
            <w:pPr>
              <w:keepNext/>
              <w:rPr>
                <w:del w:id="2676" w:author="AbbVie19" w:date="2025-04-16T10:35:00Z"/>
                <w:b/>
                <w:szCs w:val="22"/>
              </w:rPr>
            </w:pPr>
            <w:del w:id="2677" w:author="AbbVie19" w:date="2025-04-16T10:35:00Z">
              <w:r w:rsidRPr="00BC0E7E">
                <w:rPr>
                  <w:b/>
                  <w:i/>
                  <w:szCs w:val="22"/>
                </w:rPr>
                <w:delText>P</w:delText>
              </w:r>
              <w:r w:rsidRPr="00BC0E7E">
                <w:rPr>
                  <w:b/>
                  <w:szCs w:val="22"/>
                </w:rPr>
                <w:delText xml:space="preserve"> Value</w:delText>
              </w:r>
              <w:r w:rsidRPr="00BC0E7E">
                <w:rPr>
                  <w:szCs w:val="22"/>
                  <w:vertAlign w:val="superscript"/>
                </w:rPr>
                <w:delText xml:space="preserve"> b</w:delText>
              </w:r>
            </w:del>
          </w:p>
        </w:tc>
      </w:tr>
      <w:tr w:rsidR="00C6578C" w14:paraId="02033526" w14:textId="77777777" w:rsidTr="00171601">
        <w:trPr>
          <w:del w:id="2678" w:author="AbbVie19" w:date="2025-04-16T10:35:00Z"/>
        </w:trPr>
        <w:tc>
          <w:tcPr>
            <w:tcW w:w="9018" w:type="dxa"/>
            <w:gridSpan w:val="7"/>
            <w:tcBorders>
              <w:top w:val="single" w:sz="4" w:space="0" w:color="auto"/>
              <w:bottom w:val="nil"/>
            </w:tcBorders>
          </w:tcPr>
          <w:p w14:paraId="470410BE" w14:textId="77777777" w:rsidR="00BC0E7E" w:rsidRPr="00BC0E7E" w:rsidRDefault="00944B8F" w:rsidP="00F043D5">
            <w:pPr>
              <w:keepNext/>
              <w:rPr>
                <w:del w:id="2679" w:author="AbbVie19" w:date="2025-04-16T10:35:00Z"/>
                <w:b/>
                <w:szCs w:val="22"/>
              </w:rPr>
            </w:pPr>
            <w:del w:id="2680" w:author="AbbVie19" w:date="2025-04-16T10:35:00Z">
              <w:r w:rsidRPr="00BC0E7E">
                <w:rPr>
                  <w:b/>
                  <w:szCs w:val="22"/>
                </w:rPr>
                <w:delText xml:space="preserve">Time to Treatment Failure At or After Week 6 in Study UV I  </w:delText>
              </w:r>
            </w:del>
          </w:p>
        </w:tc>
      </w:tr>
      <w:tr w:rsidR="00C6578C" w14:paraId="4D47540E" w14:textId="77777777" w:rsidTr="00171601">
        <w:trPr>
          <w:del w:id="2681" w:author="AbbVie19" w:date="2025-04-16T10:35:00Z"/>
        </w:trPr>
        <w:tc>
          <w:tcPr>
            <w:tcW w:w="2988" w:type="dxa"/>
            <w:gridSpan w:val="2"/>
            <w:tcBorders>
              <w:top w:val="nil"/>
              <w:bottom w:val="nil"/>
            </w:tcBorders>
          </w:tcPr>
          <w:p w14:paraId="501AAA67" w14:textId="77777777" w:rsidR="00BC0E7E" w:rsidRPr="00BC0E7E" w:rsidRDefault="00944B8F" w:rsidP="00F043D5">
            <w:pPr>
              <w:keepNext/>
              <w:rPr>
                <w:del w:id="2682" w:author="AbbVie19" w:date="2025-04-16T10:35:00Z"/>
                <w:szCs w:val="22"/>
              </w:rPr>
            </w:pPr>
            <w:del w:id="2683" w:author="AbbVie19" w:date="2025-04-16T10:35:00Z">
              <w:r w:rsidRPr="00BC0E7E">
                <w:rPr>
                  <w:szCs w:val="22"/>
                </w:rPr>
                <w:delText>Primary analysis (ITT)</w:delText>
              </w:r>
            </w:del>
          </w:p>
        </w:tc>
        <w:tc>
          <w:tcPr>
            <w:tcW w:w="1170" w:type="dxa"/>
            <w:tcBorders>
              <w:top w:val="nil"/>
              <w:bottom w:val="nil"/>
            </w:tcBorders>
          </w:tcPr>
          <w:p w14:paraId="2A0802B8" w14:textId="77777777" w:rsidR="00BC0E7E" w:rsidRPr="00BC0E7E" w:rsidRDefault="00BC0E7E" w:rsidP="00F043D5">
            <w:pPr>
              <w:keepNext/>
              <w:rPr>
                <w:del w:id="2684" w:author="AbbVie19" w:date="2025-04-16T10:35:00Z"/>
                <w:szCs w:val="22"/>
              </w:rPr>
            </w:pPr>
          </w:p>
        </w:tc>
        <w:tc>
          <w:tcPr>
            <w:tcW w:w="1890" w:type="dxa"/>
            <w:tcBorders>
              <w:top w:val="nil"/>
              <w:bottom w:val="nil"/>
            </w:tcBorders>
          </w:tcPr>
          <w:p w14:paraId="105D1A66" w14:textId="77777777" w:rsidR="00BC0E7E" w:rsidRPr="00BC0E7E" w:rsidRDefault="00BC0E7E" w:rsidP="00F043D5">
            <w:pPr>
              <w:keepNext/>
              <w:rPr>
                <w:del w:id="2685" w:author="AbbVie19" w:date="2025-04-16T10:35:00Z"/>
                <w:szCs w:val="22"/>
              </w:rPr>
            </w:pPr>
          </w:p>
        </w:tc>
        <w:tc>
          <w:tcPr>
            <w:tcW w:w="720" w:type="dxa"/>
            <w:tcBorders>
              <w:top w:val="nil"/>
              <w:bottom w:val="nil"/>
            </w:tcBorders>
          </w:tcPr>
          <w:p w14:paraId="5ECA6E74" w14:textId="77777777" w:rsidR="00BC0E7E" w:rsidRPr="00BC0E7E" w:rsidRDefault="00BC0E7E" w:rsidP="00F043D5">
            <w:pPr>
              <w:keepNext/>
              <w:rPr>
                <w:del w:id="2686" w:author="AbbVie19" w:date="2025-04-16T10:35:00Z"/>
                <w:szCs w:val="22"/>
              </w:rPr>
            </w:pPr>
          </w:p>
        </w:tc>
        <w:tc>
          <w:tcPr>
            <w:tcW w:w="1170" w:type="dxa"/>
            <w:tcBorders>
              <w:top w:val="nil"/>
              <w:bottom w:val="nil"/>
            </w:tcBorders>
          </w:tcPr>
          <w:p w14:paraId="16FC4936" w14:textId="77777777" w:rsidR="00BC0E7E" w:rsidRPr="00BC0E7E" w:rsidRDefault="00BC0E7E" w:rsidP="00F043D5">
            <w:pPr>
              <w:keepNext/>
              <w:rPr>
                <w:del w:id="2687" w:author="AbbVie19" w:date="2025-04-16T10:35:00Z"/>
                <w:szCs w:val="22"/>
              </w:rPr>
            </w:pPr>
          </w:p>
        </w:tc>
        <w:tc>
          <w:tcPr>
            <w:tcW w:w="1080" w:type="dxa"/>
            <w:tcBorders>
              <w:top w:val="nil"/>
              <w:bottom w:val="nil"/>
            </w:tcBorders>
          </w:tcPr>
          <w:p w14:paraId="679153C3" w14:textId="77777777" w:rsidR="00BC0E7E" w:rsidRPr="00BC0E7E" w:rsidRDefault="00BC0E7E" w:rsidP="00F043D5">
            <w:pPr>
              <w:keepNext/>
              <w:rPr>
                <w:del w:id="2688" w:author="AbbVie19" w:date="2025-04-16T10:35:00Z"/>
                <w:szCs w:val="22"/>
              </w:rPr>
            </w:pPr>
          </w:p>
        </w:tc>
      </w:tr>
      <w:tr w:rsidR="00C6578C" w14:paraId="2A188B16" w14:textId="77777777" w:rsidTr="00171601">
        <w:trPr>
          <w:del w:id="2689" w:author="AbbVie19" w:date="2025-04-16T10:35:00Z"/>
        </w:trPr>
        <w:tc>
          <w:tcPr>
            <w:tcW w:w="2268" w:type="dxa"/>
            <w:tcBorders>
              <w:top w:val="nil"/>
              <w:bottom w:val="nil"/>
            </w:tcBorders>
          </w:tcPr>
          <w:p w14:paraId="44706C5C" w14:textId="77777777" w:rsidR="00BC0E7E" w:rsidRPr="00BC0E7E" w:rsidRDefault="00944B8F" w:rsidP="00F043D5">
            <w:pPr>
              <w:keepNext/>
              <w:rPr>
                <w:del w:id="2690" w:author="AbbVie19" w:date="2025-04-16T10:35:00Z"/>
                <w:szCs w:val="22"/>
              </w:rPr>
            </w:pPr>
            <w:del w:id="2691" w:author="AbbVie19" w:date="2025-04-16T10:35:00Z">
              <w:r w:rsidRPr="00BC0E7E">
                <w:rPr>
                  <w:szCs w:val="22"/>
                </w:rPr>
                <w:tab/>
                <w:delText>Placebo</w:delText>
              </w:r>
            </w:del>
          </w:p>
        </w:tc>
        <w:tc>
          <w:tcPr>
            <w:tcW w:w="720" w:type="dxa"/>
            <w:tcBorders>
              <w:top w:val="nil"/>
              <w:bottom w:val="nil"/>
            </w:tcBorders>
          </w:tcPr>
          <w:p w14:paraId="27F9E602" w14:textId="77777777" w:rsidR="00BC0E7E" w:rsidRPr="00BC0E7E" w:rsidRDefault="00944B8F" w:rsidP="00F043D5">
            <w:pPr>
              <w:keepNext/>
              <w:rPr>
                <w:del w:id="2692" w:author="AbbVie19" w:date="2025-04-16T10:35:00Z"/>
                <w:szCs w:val="22"/>
              </w:rPr>
            </w:pPr>
            <w:del w:id="2693" w:author="AbbVie19" w:date="2025-04-16T10:35:00Z">
              <w:r w:rsidRPr="00BC0E7E">
                <w:rPr>
                  <w:szCs w:val="22"/>
                </w:rPr>
                <w:delText>107</w:delText>
              </w:r>
            </w:del>
          </w:p>
        </w:tc>
        <w:tc>
          <w:tcPr>
            <w:tcW w:w="1170" w:type="dxa"/>
            <w:tcBorders>
              <w:top w:val="nil"/>
              <w:bottom w:val="nil"/>
            </w:tcBorders>
          </w:tcPr>
          <w:p w14:paraId="38F99360" w14:textId="77777777" w:rsidR="00BC0E7E" w:rsidRPr="00BC0E7E" w:rsidRDefault="00944B8F" w:rsidP="00F043D5">
            <w:pPr>
              <w:keepNext/>
              <w:rPr>
                <w:del w:id="2694" w:author="AbbVie19" w:date="2025-04-16T10:35:00Z"/>
                <w:szCs w:val="22"/>
              </w:rPr>
            </w:pPr>
            <w:del w:id="2695" w:author="AbbVie19" w:date="2025-04-16T10:35:00Z">
              <w:r w:rsidRPr="00BC0E7E">
                <w:rPr>
                  <w:szCs w:val="22"/>
                </w:rPr>
                <w:delText>84 (78.5)</w:delText>
              </w:r>
            </w:del>
          </w:p>
        </w:tc>
        <w:tc>
          <w:tcPr>
            <w:tcW w:w="1890" w:type="dxa"/>
            <w:tcBorders>
              <w:top w:val="nil"/>
              <w:bottom w:val="nil"/>
            </w:tcBorders>
          </w:tcPr>
          <w:p w14:paraId="599789A3" w14:textId="77777777" w:rsidR="00BC0E7E" w:rsidRPr="00BC0E7E" w:rsidRDefault="00944B8F" w:rsidP="00F043D5">
            <w:pPr>
              <w:keepNext/>
              <w:rPr>
                <w:del w:id="2696" w:author="AbbVie19" w:date="2025-04-16T10:35:00Z"/>
                <w:szCs w:val="22"/>
              </w:rPr>
            </w:pPr>
            <w:del w:id="2697" w:author="AbbVie19" w:date="2025-04-16T10:35:00Z">
              <w:r w:rsidRPr="00BC0E7E">
                <w:rPr>
                  <w:szCs w:val="22"/>
                </w:rPr>
                <w:delText>3.0</w:delText>
              </w:r>
            </w:del>
          </w:p>
        </w:tc>
        <w:tc>
          <w:tcPr>
            <w:tcW w:w="720" w:type="dxa"/>
            <w:tcBorders>
              <w:top w:val="nil"/>
              <w:bottom w:val="nil"/>
            </w:tcBorders>
          </w:tcPr>
          <w:p w14:paraId="25882229" w14:textId="77777777" w:rsidR="00BC0E7E" w:rsidRPr="00BC0E7E" w:rsidRDefault="00944B8F" w:rsidP="00F043D5">
            <w:pPr>
              <w:keepNext/>
              <w:rPr>
                <w:del w:id="2698" w:author="AbbVie19" w:date="2025-04-16T10:35:00Z"/>
                <w:szCs w:val="22"/>
              </w:rPr>
            </w:pPr>
            <w:del w:id="2699" w:author="AbbVie19" w:date="2025-04-16T10:35:00Z">
              <w:r w:rsidRPr="00BC0E7E">
                <w:rPr>
                  <w:szCs w:val="22"/>
                </w:rPr>
                <w:delText>--</w:delText>
              </w:r>
            </w:del>
          </w:p>
        </w:tc>
        <w:tc>
          <w:tcPr>
            <w:tcW w:w="1170" w:type="dxa"/>
            <w:tcBorders>
              <w:top w:val="nil"/>
              <w:bottom w:val="nil"/>
            </w:tcBorders>
          </w:tcPr>
          <w:p w14:paraId="7293409B" w14:textId="77777777" w:rsidR="00BC0E7E" w:rsidRPr="00BC0E7E" w:rsidRDefault="00944B8F" w:rsidP="00F043D5">
            <w:pPr>
              <w:keepNext/>
              <w:rPr>
                <w:del w:id="2700" w:author="AbbVie19" w:date="2025-04-16T10:35:00Z"/>
                <w:szCs w:val="22"/>
              </w:rPr>
            </w:pPr>
            <w:del w:id="2701" w:author="AbbVie19" w:date="2025-04-16T10:35:00Z">
              <w:r w:rsidRPr="00BC0E7E">
                <w:rPr>
                  <w:szCs w:val="22"/>
                </w:rPr>
                <w:delText>--</w:delText>
              </w:r>
            </w:del>
          </w:p>
        </w:tc>
        <w:tc>
          <w:tcPr>
            <w:tcW w:w="1080" w:type="dxa"/>
            <w:tcBorders>
              <w:top w:val="nil"/>
              <w:bottom w:val="nil"/>
            </w:tcBorders>
          </w:tcPr>
          <w:p w14:paraId="16225F9D" w14:textId="77777777" w:rsidR="00BC0E7E" w:rsidRPr="00BC0E7E" w:rsidRDefault="00944B8F" w:rsidP="00F043D5">
            <w:pPr>
              <w:keepNext/>
              <w:rPr>
                <w:del w:id="2702" w:author="AbbVie19" w:date="2025-04-16T10:35:00Z"/>
                <w:szCs w:val="22"/>
              </w:rPr>
            </w:pPr>
            <w:del w:id="2703" w:author="AbbVie19" w:date="2025-04-16T10:35:00Z">
              <w:r w:rsidRPr="00BC0E7E">
                <w:rPr>
                  <w:szCs w:val="22"/>
                </w:rPr>
                <w:delText>--</w:delText>
              </w:r>
            </w:del>
          </w:p>
        </w:tc>
      </w:tr>
      <w:tr w:rsidR="00C6578C" w14:paraId="5F48C481" w14:textId="77777777" w:rsidTr="00171601">
        <w:trPr>
          <w:del w:id="2704" w:author="AbbVie19" w:date="2025-04-16T10:35:00Z"/>
        </w:trPr>
        <w:tc>
          <w:tcPr>
            <w:tcW w:w="2268" w:type="dxa"/>
            <w:tcBorders>
              <w:top w:val="nil"/>
              <w:bottom w:val="single" w:sz="4" w:space="0" w:color="auto"/>
            </w:tcBorders>
          </w:tcPr>
          <w:p w14:paraId="7D57F5FA" w14:textId="77777777" w:rsidR="00BC0E7E" w:rsidRPr="00BC0E7E" w:rsidRDefault="00944B8F" w:rsidP="00F043D5">
            <w:pPr>
              <w:keepNext/>
              <w:rPr>
                <w:del w:id="2705" w:author="AbbVie19" w:date="2025-04-16T10:35:00Z"/>
                <w:szCs w:val="22"/>
              </w:rPr>
            </w:pPr>
            <w:del w:id="2706" w:author="AbbVie19" w:date="2025-04-16T10:35:00Z">
              <w:r w:rsidRPr="00BC0E7E">
                <w:rPr>
                  <w:szCs w:val="22"/>
                </w:rPr>
                <w:tab/>
                <w:delText>Adalimumab</w:delText>
              </w:r>
            </w:del>
          </w:p>
        </w:tc>
        <w:tc>
          <w:tcPr>
            <w:tcW w:w="720" w:type="dxa"/>
            <w:tcBorders>
              <w:top w:val="nil"/>
              <w:bottom w:val="single" w:sz="4" w:space="0" w:color="auto"/>
            </w:tcBorders>
          </w:tcPr>
          <w:p w14:paraId="32847F5E" w14:textId="77777777" w:rsidR="00BC0E7E" w:rsidRPr="00BC0E7E" w:rsidRDefault="00944B8F" w:rsidP="00F043D5">
            <w:pPr>
              <w:keepNext/>
              <w:rPr>
                <w:del w:id="2707" w:author="AbbVie19" w:date="2025-04-16T10:35:00Z"/>
                <w:szCs w:val="22"/>
              </w:rPr>
            </w:pPr>
            <w:del w:id="2708" w:author="AbbVie19" w:date="2025-04-16T10:35:00Z">
              <w:r w:rsidRPr="00BC0E7E">
                <w:rPr>
                  <w:szCs w:val="22"/>
                </w:rPr>
                <w:delText>110</w:delText>
              </w:r>
            </w:del>
          </w:p>
        </w:tc>
        <w:tc>
          <w:tcPr>
            <w:tcW w:w="1170" w:type="dxa"/>
            <w:tcBorders>
              <w:top w:val="nil"/>
              <w:bottom w:val="single" w:sz="4" w:space="0" w:color="auto"/>
            </w:tcBorders>
          </w:tcPr>
          <w:p w14:paraId="20170341" w14:textId="77777777" w:rsidR="00BC0E7E" w:rsidRPr="00BC0E7E" w:rsidRDefault="00944B8F" w:rsidP="00F043D5">
            <w:pPr>
              <w:keepNext/>
              <w:rPr>
                <w:del w:id="2709" w:author="AbbVie19" w:date="2025-04-16T10:35:00Z"/>
                <w:szCs w:val="22"/>
              </w:rPr>
            </w:pPr>
            <w:del w:id="2710" w:author="AbbVie19" w:date="2025-04-16T10:35:00Z">
              <w:r w:rsidRPr="00BC0E7E">
                <w:rPr>
                  <w:szCs w:val="22"/>
                </w:rPr>
                <w:delText>60 (54.5)</w:delText>
              </w:r>
            </w:del>
          </w:p>
        </w:tc>
        <w:tc>
          <w:tcPr>
            <w:tcW w:w="1890" w:type="dxa"/>
            <w:tcBorders>
              <w:top w:val="nil"/>
              <w:bottom w:val="single" w:sz="4" w:space="0" w:color="auto"/>
            </w:tcBorders>
          </w:tcPr>
          <w:p w14:paraId="2DE4A0BE" w14:textId="77777777" w:rsidR="00BC0E7E" w:rsidRPr="00BC0E7E" w:rsidRDefault="00944B8F" w:rsidP="00F043D5">
            <w:pPr>
              <w:keepNext/>
              <w:rPr>
                <w:del w:id="2711" w:author="AbbVie19" w:date="2025-04-16T10:35:00Z"/>
                <w:szCs w:val="22"/>
              </w:rPr>
            </w:pPr>
            <w:del w:id="2712" w:author="AbbVie19" w:date="2025-04-16T10:35:00Z">
              <w:r w:rsidRPr="00BC0E7E">
                <w:rPr>
                  <w:szCs w:val="22"/>
                </w:rPr>
                <w:delText>5.6</w:delText>
              </w:r>
            </w:del>
          </w:p>
        </w:tc>
        <w:tc>
          <w:tcPr>
            <w:tcW w:w="720" w:type="dxa"/>
            <w:tcBorders>
              <w:top w:val="nil"/>
              <w:bottom w:val="single" w:sz="4" w:space="0" w:color="auto"/>
            </w:tcBorders>
          </w:tcPr>
          <w:p w14:paraId="36F7617B" w14:textId="77777777" w:rsidR="00BC0E7E" w:rsidRPr="00BC0E7E" w:rsidRDefault="00944B8F" w:rsidP="00F043D5">
            <w:pPr>
              <w:keepNext/>
              <w:rPr>
                <w:del w:id="2713" w:author="AbbVie19" w:date="2025-04-16T10:35:00Z"/>
                <w:szCs w:val="22"/>
              </w:rPr>
            </w:pPr>
            <w:del w:id="2714" w:author="AbbVie19" w:date="2025-04-16T10:35:00Z">
              <w:r w:rsidRPr="00BC0E7E">
                <w:rPr>
                  <w:szCs w:val="22"/>
                </w:rPr>
                <w:delText>0.50</w:delText>
              </w:r>
            </w:del>
          </w:p>
        </w:tc>
        <w:tc>
          <w:tcPr>
            <w:tcW w:w="1170" w:type="dxa"/>
            <w:tcBorders>
              <w:top w:val="nil"/>
              <w:bottom w:val="single" w:sz="4" w:space="0" w:color="auto"/>
            </w:tcBorders>
          </w:tcPr>
          <w:p w14:paraId="4B6377F6" w14:textId="77777777" w:rsidR="00BC0E7E" w:rsidRPr="00BC0E7E" w:rsidRDefault="00944B8F" w:rsidP="00F043D5">
            <w:pPr>
              <w:keepNext/>
              <w:rPr>
                <w:del w:id="2715" w:author="AbbVie19" w:date="2025-04-16T10:35:00Z"/>
                <w:szCs w:val="22"/>
              </w:rPr>
            </w:pPr>
            <w:del w:id="2716" w:author="AbbVie19" w:date="2025-04-16T10:35:00Z">
              <w:r w:rsidRPr="00BC0E7E">
                <w:rPr>
                  <w:szCs w:val="22"/>
                </w:rPr>
                <w:delText>0.36, 0.70</w:delText>
              </w:r>
              <w:r w:rsidRPr="00BC0E7E">
                <w:rPr>
                  <w:szCs w:val="22"/>
                  <w:vertAlign w:val="superscript"/>
                </w:rPr>
                <w:delText xml:space="preserve"> </w:delText>
              </w:r>
            </w:del>
          </w:p>
        </w:tc>
        <w:tc>
          <w:tcPr>
            <w:tcW w:w="1080" w:type="dxa"/>
            <w:tcBorders>
              <w:top w:val="nil"/>
              <w:bottom w:val="single" w:sz="4" w:space="0" w:color="auto"/>
            </w:tcBorders>
          </w:tcPr>
          <w:p w14:paraId="41FDEEC2" w14:textId="77777777" w:rsidR="00BC0E7E" w:rsidRPr="00BC0E7E" w:rsidRDefault="00944B8F" w:rsidP="00F043D5">
            <w:pPr>
              <w:keepNext/>
              <w:rPr>
                <w:del w:id="2717" w:author="AbbVie19" w:date="2025-04-16T10:35:00Z"/>
                <w:szCs w:val="22"/>
              </w:rPr>
            </w:pPr>
            <w:del w:id="2718" w:author="AbbVie19" w:date="2025-04-16T10:35:00Z">
              <w:r w:rsidRPr="00BC0E7E">
                <w:rPr>
                  <w:szCs w:val="22"/>
                </w:rPr>
                <w:delText>&lt; 0.001</w:delText>
              </w:r>
            </w:del>
          </w:p>
        </w:tc>
      </w:tr>
      <w:tr w:rsidR="00C6578C" w14:paraId="0B54F550" w14:textId="77777777" w:rsidTr="00171601">
        <w:tblPrEx>
          <w:tblBorders>
            <w:left w:val="single" w:sz="4" w:space="0" w:color="auto"/>
            <w:right w:val="single" w:sz="4" w:space="0" w:color="auto"/>
            <w:insideH w:val="single" w:sz="4" w:space="0" w:color="auto"/>
            <w:insideV w:val="single" w:sz="4" w:space="0" w:color="auto"/>
          </w:tblBorders>
        </w:tblPrEx>
        <w:trPr>
          <w:del w:id="2719" w:author="AbbVie19" w:date="2025-04-16T10:35:00Z"/>
        </w:trPr>
        <w:tc>
          <w:tcPr>
            <w:tcW w:w="9018" w:type="dxa"/>
            <w:gridSpan w:val="7"/>
            <w:tcBorders>
              <w:left w:val="nil"/>
              <w:bottom w:val="nil"/>
              <w:right w:val="nil"/>
            </w:tcBorders>
          </w:tcPr>
          <w:p w14:paraId="0FECD285" w14:textId="77777777" w:rsidR="00BC0E7E" w:rsidRPr="00BC0E7E" w:rsidRDefault="00944B8F" w:rsidP="00F043D5">
            <w:pPr>
              <w:keepNext/>
              <w:rPr>
                <w:del w:id="2720" w:author="AbbVie19" w:date="2025-04-16T10:35:00Z"/>
                <w:b/>
                <w:szCs w:val="22"/>
              </w:rPr>
            </w:pPr>
            <w:del w:id="2721" w:author="AbbVie19" w:date="2025-04-16T10:35:00Z">
              <w:r w:rsidRPr="00BC0E7E">
                <w:rPr>
                  <w:b/>
                  <w:szCs w:val="22"/>
                </w:rPr>
                <w:delText>Time to Treatment Failure At or After Week 2 in Study UV II</w:delText>
              </w:r>
            </w:del>
          </w:p>
        </w:tc>
      </w:tr>
      <w:tr w:rsidR="00C6578C" w14:paraId="21F1F34B" w14:textId="77777777" w:rsidTr="00171601">
        <w:tblPrEx>
          <w:tblBorders>
            <w:left w:val="single" w:sz="4" w:space="0" w:color="auto"/>
            <w:right w:val="single" w:sz="4" w:space="0" w:color="auto"/>
            <w:insideH w:val="single" w:sz="4" w:space="0" w:color="auto"/>
            <w:insideV w:val="single" w:sz="4" w:space="0" w:color="auto"/>
          </w:tblBorders>
        </w:tblPrEx>
        <w:trPr>
          <w:del w:id="2722" w:author="AbbVie19" w:date="2025-04-16T10:35:00Z"/>
        </w:trPr>
        <w:tc>
          <w:tcPr>
            <w:tcW w:w="2988" w:type="dxa"/>
            <w:gridSpan w:val="2"/>
            <w:tcBorders>
              <w:top w:val="nil"/>
              <w:left w:val="nil"/>
              <w:bottom w:val="nil"/>
              <w:right w:val="nil"/>
            </w:tcBorders>
          </w:tcPr>
          <w:p w14:paraId="5553ABFE" w14:textId="77777777" w:rsidR="00BC0E7E" w:rsidRPr="00BC0E7E" w:rsidRDefault="00944B8F" w:rsidP="00F043D5">
            <w:pPr>
              <w:keepNext/>
              <w:rPr>
                <w:del w:id="2723" w:author="AbbVie19" w:date="2025-04-16T10:35:00Z"/>
                <w:szCs w:val="22"/>
              </w:rPr>
            </w:pPr>
            <w:del w:id="2724" w:author="AbbVie19" w:date="2025-04-16T10:35:00Z">
              <w:r w:rsidRPr="00BC0E7E">
                <w:rPr>
                  <w:szCs w:val="22"/>
                </w:rPr>
                <w:delText>Primary analysis (ITT)</w:delText>
              </w:r>
            </w:del>
          </w:p>
        </w:tc>
        <w:tc>
          <w:tcPr>
            <w:tcW w:w="1170" w:type="dxa"/>
            <w:tcBorders>
              <w:top w:val="nil"/>
              <w:left w:val="nil"/>
              <w:bottom w:val="nil"/>
              <w:right w:val="nil"/>
            </w:tcBorders>
          </w:tcPr>
          <w:p w14:paraId="05FA1661" w14:textId="77777777" w:rsidR="00BC0E7E" w:rsidRPr="00BC0E7E" w:rsidRDefault="00BC0E7E" w:rsidP="00F043D5">
            <w:pPr>
              <w:keepNext/>
              <w:rPr>
                <w:del w:id="2725" w:author="AbbVie19" w:date="2025-04-16T10:35:00Z"/>
                <w:szCs w:val="22"/>
              </w:rPr>
            </w:pPr>
          </w:p>
        </w:tc>
        <w:tc>
          <w:tcPr>
            <w:tcW w:w="1890" w:type="dxa"/>
            <w:tcBorders>
              <w:top w:val="nil"/>
              <w:left w:val="nil"/>
              <w:bottom w:val="nil"/>
              <w:right w:val="nil"/>
            </w:tcBorders>
          </w:tcPr>
          <w:p w14:paraId="66393850" w14:textId="77777777" w:rsidR="00BC0E7E" w:rsidRPr="00BC0E7E" w:rsidRDefault="00BC0E7E" w:rsidP="00F043D5">
            <w:pPr>
              <w:keepNext/>
              <w:rPr>
                <w:del w:id="2726" w:author="AbbVie19" w:date="2025-04-16T10:35:00Z"/>
                <w:szCs w:val="22"/>
              </w:rPr>
            </w:pPr>
          </w:p>
        </w:tc>
        <w:tc>
          <w:tcPr>
            <w:tcW w:w="720" w:type="dxa"/>
            <w:tcBorders>
              <w:top w:val="nil"/>
              <w:left w:val="nil"/>
              <w:bottom w:val="nil"/>
              <w:right w:val="nil"/>
            </w:tcBorders>
          </w:tcPr>
          <w:p w14:paraId="3C32544B" w14:textId="77777777" w:rsidR="00BC0E7E" w:rsidRPr="00BC0E7E" w:rsidRDefault="00BC0E7E" w:rsidP="00F043D5">
            <w:pPr>
              <w:keepNext/>
              <w:rPr>
                <w:del w:id="2727" w:author="AbbVie19" w:date="2025-04-16T10:35:00Z"/>
                <w:szCs w:val="22"/>
              </w:rPr>
            </w:pPr>
          </w:p>
        </w:tc>
        <w:tc>
          <w:tcPr>
            <w:tcW w:w="1170" w:type="dxa"/>
            <w:tcBorders>
              <w:top w:val="nil"/>
              <w:left w:val="nil"/>
              <w:bottom w:val="nil"/>
              <w:right w:val="nil"/>
            </w:tcBorders>
          </w:tcPr>
          <w:p w14:paraId="71D8850E" w14:textId="77777777" w:rsidR="00BC0E7E" w:rsidRPr="00BC0E7E" w:rsidRDefault="00BC0E7E" w:rsidP="00F043D5">
            <w:pPr>
              <w:keepNext/>
              <w:rPr>
                <w:del w:id="2728" w:author="AbbVie19" w:date="2025-04-16T10:35:00Z"/>
                <w:szCs w:val="22"/>
              </w:rPr>
            </w:pPr>
          </w:p>
        </w:tc>
        <w:tc>
          <w:tcPr>
            <w:tcW w:w="1080" w:type="dxa"/>
            <w:tcBorders>
              <w:top w:val="nil"/>
              <w:left w:val="nil"/>
              <w:bottom w:val="nil"/>
              <w:right w:val="nil"/>
            </w:tcBorders>
          </w:tcPr>
          <w:p w14:paraId="1A7552B0" w14:textId="77777777" w:rsidR="00BC0E7E" w:rsidRPr="00BC0E7E" w:rsidRDefault="00BC0E7E" w:rsidP="00F043D5">
            <w:pPr>
              <w:keepNext/>
              <w:rPr>
                <w:del w:id="2729" w:author="AbbVie19" w:date="2025-04-16T10:35:00Z"/>
                <w:szCs w:val="22"/>
              </w:rPr>
            </w:pPr>
          </w:p>
        </w:tc>
      </w:tr>
      <w:tr w:rsidR="00C6578C" w14:paraId="38E4DF38" w14:textId="77777777" w:rsidTr="00171601">
        <w:tblPrEx>
          <w:tblBorders>
            <w:left w:val="single" w:sz="4" w:space="0" w:color="auto"/>
            <w:right w:val="single" w:sz="4" w:space="0" w:color="auto"/>
            <w:insideH w:val="single" w:sz="4" w:space="0" w:color="auto"/>
            <w:insideV w:val="single" w:sz="4" w:space="0" w:color="auto"/>
          </w:tblBorders>
        </w:tblPrEx>
        <w:trPr>
          <w:del w:id="2730" w:author="AbbVie19" w:date="2025-04-16T10:35:00Z"/>
        </w:trPr>
        <w:tc>
          <w:tcPr>
            <w:tcW w:w="2268" w:type="dxa"/>
            <w:tcBorders>
              <w:top w:val="nil"/>
              <w:left w:val="nil"/>
              <w:bottom w:val="nil"/>
              <w:right w:val="nil"/>
            </w:tcBorders>
          </w:tcPr>
          <w:p w14:paraId="5A0F576A" w14:textId="77777777" w:rsidR="00BC0E7E" w:rsidRPr="00BC0E7E" w:rsidRDefault="00944B8F" w:rsidP="00F043D5">
            <w:pPr>
              <w:keepNext/>
              <w:rPr>
                <w:del w:id="2731" w:author="AbbVie19" w:date="2025-04-16T10:35:00Z"/>
                <w:szCs w:val="22"/>
              </w:rPr>
            </w:pPr>
            <w:del w:id="2732" w:author="AbbVie19" w:date="2025-04-16T10:35:00Z">
              <w:r w:rsidRPr="00BC0E7E">
                <w:rPr>
                  <w:szCs w:val="22"/>
                </w:rPr>
                <w:tab/>
                <w:delText>Placebo</w:delText>
              </w:r>
            </w:del>
          </w:p>
        </w:tc>
        <w:tc>
          <w:tcPr>
            <w:tcW w:w="720" w:type="dxa"/>
            <w:tcBorders>
              <w:top w:val="nil"/>
              <w:left w:val="nil"/>
              <w:bottom w:val="nil"/>
              <w:right w:val="nil"/>
            </w:tcBorders>
          </w:tcPr>
          <w:p w14:paraId="19996F2D" w14:textId="77777777" w:rsidR="00BC0E7E" w:rsidRPr="00BC0E7E" w:rsidRDefault="00944B8F" w:rsidP="00F043D5">
            <w:pPr>
              <w:keepNext/>
              <w:rPr>
                <w:del w:id="2733" w:author="AbbVie19" w:date="2025-04-16T10:35:00Z"/>
                <w:szCs w:val="22"/>
              </w:rPr>
            </w:pPr>
            <w:del w:id="2734" w:author="AbbVie19" w:date="2025-04-16T10:35:00Z">
              <w:r w:rsidRPr="00BC0E7E">
                <w:rPr>
                  <w:szCs w:val="22"/>
                </w:rPr>
                <w:delText>111</w:delText>
              </w:r>
            </w:del>
          </w:p>
        </w:tc>
        <w:tc>
          <w:tcPr>
            <w:tcW w:w="1170" w:type="dxa"/>
            <w:tcBorders>
              <w:top w:val="nil"/>
              <w:left w:val="nil"/>
              <w:bottom w:val="nil"/>
              <w:right w:val="nil"/>
            </w:tcBorders>
          </w:tcPr>
          <w:p w14:paraId="2E4AD9E1" w14:textId="77777777" w:rsidR="00BC0E7E" w:rsidRPr="00BC0E7E" w:rsidRDefault="00944B8F" w:rsidP="00F043D5">
            <w:pPr>
              <w:keepNext/>
              <w:rPr>
                <w:del w:id="2735" w:author="AbbVie19" w:date="2025-04-16T10:35:00Z"/>
                <w:szCs w:val="22"/>
              </w:rPr>
            </w:pPr>
            <w:del w:id="2736" w:author="AbbVie19" w:date="2025-04-16T10:35:00Z">
              <w:r w:rsidRPr="00BC0E7E">
                <w:rPr>
                  <w:szCs w:val="22"/>
                </w:rPr>
                <w:delText>61 (55.0)</w:delText>
              </w:r>
            </w:del>
          </w:p>
        </w:tc>
        <w:tc>
          <w:tcPr>
            <w:tcW w:w="1890" w:type="dxa"/>
            <w:tcBorders>
              <w:top w:val="nil"/>
              <w:left w:val="nil"/>
              <w:bottom w:val="nil"/>
              <w:right w:val="nil"/>
            </w:tcBorders>
          </w:tcPr>
          <w:p w14:paraId="08955FFD" w14:textId="77777777" w:rsidR="00BC0E7E" w:rsidRPr="00BC0E7E" w:rsidRDefault="00944B8F" w:rsidP="00F043D5">
            <w:pPr>
              <w:keepNext/>
              <w:rPr>
                <w:del w:id="2737" w:author="AbbVie19" w:date="2025-04-16T10:35:00Z"/>
                <w:szCs w:val="22"/>
              </w:rPr>
            </w:pPr>
            <w:del w:id="2738" w:author="AbbVie19" w:date="2025-04-16T10:35:00Z">
              <w:r w:rsidRPr="00BC0E7E">
                <w:rPr>
                  <w:szCs w:val="22"/>
                </w:rPr>
                <w:delText>8.3</w:delText>
              </w:r>
            </w:del>
          </w:p>
        </w:tc>
        <w:tc>
          <w:tcPr>
            <w:tcW w:w="720" w:type="dxa"/>
            <w:tcBorders>
              <w:top w:val="nil"/>
              <w:left w:val="nil"/>
              <w:bottom w:val="nil"/>
              <w:right w:val="nil"/>
            </w:tcBorders>
          </w:tcPr>
          <w:p w14:paraId="659018D1" w14:textId="77777777" w:rsidR="00BC0E7E" w:rsidRPr="00BC0E7E" w:rsidRDefault="00944B8F" w:rsidP="00F043D5">
            <w:pPr>
              <w:keepNext/>
              <w:rPr>
                <w:del w:id="2739" w:author="AbbVie19" w:date="2025-04-16T10:35:00Z"/>
                <w:szCs w:val="22"/>
              </w:rPr>
            </w:pPr>
            <w:del w:id="2740" w:author="AbbVie19" w:date="2025-04-16T10:35:00Z">
              <w:r w:rsidRPr="00BC0E7E">
                <w:rPr>
                  <w:szCs w:val="22"/>
                </w:rPr>
                <w:delText>--</w:delText>
              </w:r>
            </w:del>
          </w:p>
        </w:tc>
        <w:tc>
          <w:tcPr>
            <w:tcW w:w="1170" w:type="dxa"/>
            <w:tcBorders>
              <w:top w:val="nil"/>
              <w:left w:val="nil"/>
              <w:bottom w:val="nil"/>
              <w:right w:val="nil"/>
            </w:tcBorders>
          </w:tcPr>
          <w:p w14:paraId="6414F4B2" w14:textId="77777777" w:rsidR="00BC0E7E" w:rsidRPr="00BC0E7E" w:rsidRDefault="00944B8F" w:rsidP="00F043D5">
            <w:pPr>
              <w:keepNext/>
              <w:rPr>
                <w:del w:id="2741" w:author="AbbVie19" w:date="2025-04-16T10:35:00Z"/>
                <w:szCs w:val="22"/>
              </w:rPr>
            </w:pPr>
            <w:del w:id="2742" w:author="AbbVie19" w:date="2025-04-16T10:35:00Z">
              <w:r w:rsidRPr="00BC0E7E">
                <w:rPr>
                  <w:szCs w:val="22"/>
                </w:rPr>
                <w:delText>--</w:delText>
              </w:r>
            </w:del>
          </w:p>
        </w:tc>
        <w:tc>
          <w:tcPr>
            <w:tcW w:w="1080" w:type="dxa"/>
            <w:tcBorders>
              <w:top w:val="nil"/>
              <w:left w:val="nil"/>
              <w:bottom w:val="nil"/>
              <w:right w:val="nil"/>
            </w:tcBorders>
          </w:tcPr>
          <w:p w14:paraId="12FC4AA7" w14:textId="77777777" w:rsidR="00BC0E7E" w:rsidRPr="00BC0E7E" w:rsidRDefault="00944B8F" w:rsidP="00F043D5">
            <w:pPr>
              <w:keepNext/>
              <w:rPr>
                <w:del w:id="2743" w:author="AbbVie19" w:date="2025-04-16T10:35:00Z"/>
                <w:szCs w:val="22"/>
              </w:rPr>
            </w:pPr>
            <w:del w:id="2744" w:author="AbbVie19" w:date="2025-04-16T10:35:00Z">
              <w:r w:rsidRPr="00BC0E7E">
                <w:rPr>
                  <w:szCs w:val="22"/>
                </w:rPr>
                <w:delText>--</w:delText>
              </w:r>
            </w:del>
          </w:p>
        </w:tc>
      </w:tr>
      <w:tr w:rsidR="00C6578C" w14:paraId="7B9D8E10" w14:textId="77777777" w:rsidTr="00171601">
        <w:tblPrEx>
          <w:tblBorders>
            <w:left w:val="single" w:sz="4" w:space="0" w:color="auto"/>
            <w:right w:val="single" w:sz="4" w:space="0" w:color="auto"/>
            <w:insideH w:val="single" w:sz="4" w:space="0" w:color="auto"/>
            <w:insideV w:val="single" w:sz="4" w:space="0" w:color="auto"/>
          </w:tblBorders>
        </w:tblPrEx>
        <w:trPr>
          <w:del w:id="2745" w:author="AbbVie19" w:date="2025-04-16T10:35:00Z"/>
        </w:trPr>
        <w:tc>
          <w:tcPr>
            <w:tcW w:w="2268" w:type="dxa"/>
            <w:tcBorders>
              <w:top w:val="nil"/>
              <w:left w:val="nil"/>
              <w:bottom w:val="single" w:sz="4" w:space="0" w:color="auto"/>
              <w:right w:val="nil"/>
            </w:tcBorders>
          </w:tcPr>
          <w:p w14:paraId="70719C40" w14:textId="77777777" w:rsidR="00BC0E7E" w:rsidRPr="00BC0E7E" w:rsidRDefault="00944B8F" w:rsidP="00F043D5">
            <w:pPr>
              <w:keepNext/>
              <w:rPr>
                <w:del w:id="2746" w:author="AbbVie19" w:date="2025-04-16T10:35:00Z"/>
                <w:szCs w:val="22"/>
              </w:rPr>
            </w:pPr>
            <w:del w:id="2747" w:author="AbbVie19" w:date="2025-04-16T10:35:00Z">
              <w:r w:rsidRPr="00BC0E7E">
                <w:rPr>
                  <w:szCs w:val="22"/>
                </w:rPr>
                <w:tab/>
                <w:delText>Adalimumab</w:delText>
              </w:r>
            </w:del>
          </w:p>
        </w:tc>
        <w:tc>
          <w:tcPr>
            <w:tcW w:w="720" w:type="dxa"/>
            <w:tcBorders>
              <w:top w:val="nil"/>
              <w:left w:val="nil"/>
              <w:bottom w:val="single" w:sz="4" w:space="0" w:color="auto"/>
              <w:right w:val="nil"/>
            </w:tcBorders>
          </w:tcPr>
          <w:p w14:paraId="51843F41" w14:textId="77777777" w:rsidR="00BC0E7E" w:rsidRPr="00BC0E7E" w:rsidRDefault="00944B8F" w:rsidP="00F043D5">
            <w:pPr>
              <w:keepNext/>
              <w:rPr>
                <w:del w:id="2748" w:author="AbbVie19" w:date="2025-04-16T10:35:00Z"/>
                <w:szCs w:val="22"/>
              </w:rPr>
            </w:pPr>
            <w:del w:id="2749" w:author="AbbVie19" w:date="2025-04-16T10:35:00Z">
              <w:r w:rsidRPr="00BC0E7E">
                <w:rPr>
                  <w:szCs w:val="22"/>
                </w:rPr>
                <w:delText>115</w:delText>
              </w:r>
            </w:del>
          </w:p>
        </w:tc>
        <w:tc>
          <w:tcPr>
            <w:tcW w:w="1170" w:type="dxa"/>
            <w:tcBorders>
              <w:top w:val="nil"/>
              <w:left w:val="nil"/>
              <w:bottom w:val="single" w:sz="4" w:space="0" w:color="auto"/>
              <w:right w:val="nil"/>
            </w:tcBorders>
          </w:tcPr>
          <w:p w14:paraId="597B9221" w14:textId="77777777" w:rsidR="00BC0E7E" w:rsidRPr="00BC0E7E" w:rsidRDefault="00944B8F" w:rsidP="00F043D5">
            <w:pPr>
              <w:keepNext/>
              <w:rPr>
                <w:del w:id="2750" w:author="AbbVie19" w:date="2025-04-16T10:35:00Z"/>
                <w:szCs w:val="22"/>
              </w:rPr>
            </w:pPr>
            <w:del w:id="2751" w:author="AbbVie19" w:date="2025-04-16T10:35:00Z">
              <w:r w:rsidRPr="00BC0E7E">
                <w:rPr>
                  <w:szCs w:val="22"/>
                </w:rPr>
                <w:delText>45 (39.1)</w:delText>
              </w:r>
            </w:del>
          </w:p>
        </w:tc>
        <w:tc>
          <w:tcPr>
            <w:tcW w:w="1890" w:type="dxa"/>
            <w:tcBorders>
              <w:top w:val="nil"/>
              <w:left w:val="nil"/>
              <w:bottom w:val="single" w:sz="4" w:space="0" w:color="auto"/>
              <w:right w:val="nil"/>
            </w:tcBorders>
          </w:tcPr>
          <w:p w14:paraId="74A1DCF1" w14:textId="77777777" w:rsidR="00BC0E7E" w:rsidRPr="00BC0E7E" w:rsidRDefault="00944B8F" w:rsidP="00F043D5">
            <w:pPr>
              <w:keepNext/>
              <w:rPr>
                <w:del w:id="2752" w:author="AbbVie19" w:date="2025-04-16T10:35:00Z"/>
                <w:szCs w:val="22"/>
              </w:rPr>
            </w:pPr>
            <w:del w:id="2753" w:author="AbbVie19" w:date="2025-04-16T10:35:00Z">
              <w:r w:rsidRPr="00BC0E7E">
                <w:rPr>
                  <w:szCs w:val="22"/>
                </w:rPr>
                <w:delText>NE</w:delText>
              </w:r>
              <w:r w:rsidRPr="00BC0E7E">
                <w:rPr>
                  <w:szCs w:val="22"/>
                  <w:vertAlign w:val="superscript"/>
                </w:rPr>
                <w:delText>c</w:delText>
              </w:r>
            </w:del>
          </w:p>
        </w:tc>
        <w:tc>
          <w:tcPr>
            <w:tcW w:w="720" w:type="dxa"/>
            <w:tcBorders>
              <w:top w:val="nil"/>
              <w:left w:val="nil"/>
              <w:bottom w:val="single" w:sz="4" w:space="0" w:color="auto"/>
              <w:right w:val="nil"/>
            </w:tcBorders>
          </w:tcPr>
          <w:p w14:paraId="00A60B68" w14:textId="77777777" w:rsidR="00BC0E7E" w:rsidRPr="00BC0E7E" w:rsidRDefault="00944B8F" w:rsidP="00F043D5">
            <w:pPr>
              <w:keepNext/>
              <w:rPr>
                <w:del w:id="2754" w:author="AbbVie19" w:date="2025-04-16T10:35:00Z"/>
                <w:szCs w:val="22"/>
              </w:rPr>
            </w:pPr>
            <w:del w:id="2755" w:author="AbbVie19" w:date="2025-04-16T10:35:00Z">
              <w:r w:rsidRPr="00BC0E7E">
                <w:rPr>
                  <w:szCs w:val="22"/>
                </w:rPr>
                <w:delText>0.57</w:delText>
              </w:r>
            </w:del>
          </w:p>
        </w:tc>
        <w:tc>
          <w:tcPr>
            <w:tcW w:w="1170" w:type="dxa"/>
            <w:tcBorders>
              <w:top w:val="nil"/>
              <w:left w:val="nil"/>
              <w:bottom w:val="single" w:sz="4" w:space="0" w:color="auto"/>
              <w:right w:val="nil"/>
            </w:tcBorders>
          </w:tcPr>
          <w:p w14:paraId="7D104003" w14:textId="77777777" w:rsidR="00BC0E7E" w:rsidRPr="00BC0E7E" w:rsidRDefault="00944B8F" w:rsidP="00F043D5">
            <w:pPr>
              <w:keepNext/>
              <w:rPr>
                <w:del w:id="2756" w:author="AbbVie19" w:date="2025-04-16T10:35:00Z"/>
                <w:szCs w:val="22"/>
              </w:rPr>
            </w:pPr>
            <w:del w:id="2757" w:author="AbbVie19" w:date="2025-04-16T10:35:00Z">
              <w:r w:rsidRPr="00BC0E7E">
                <w:rPr>
                  <w:szCs w:val="22"/>
                </w:rPr>
                <w:delText>0.39, 0.84</w:delText>
              </w:r>
            </w:del>
          </w:p>
        </w:tc>
        <w:tc>
          <w:tcPr>
            <w:tcW w:w="1080" w:type="dxa"/>
            <w:tcBorders>
              <w:top w:val="nil"/>
              <w:left w:val="nil"/>
              <w:bottom w:val="single" w:sz="4" w:space="0" w:color="auto"/>
              <w:right w:val="nil"/>
            </w:tcBorders>
          </w:tcPr>
          <w:p w14:paraId="7374ABDF" w14:textId="77777777" w:rsidR="00BC0E7E" w:rsidRPr="00BC0E7E" w:rsidRDefault="00944B8F" w:rsidP="00F043D5">
            <w:pPr>
              <w:keepNext/>
              <w:rPr>
                <w:del w:id="2758" w:author="AbbVie19" w:date="2025-04-16T10:35:00Z"/>
                <w:szCs w:val="22"/>
              </w:rPr>
            </w:pPr>
            <w:del w:id="2759" w:author="AbbVie19" w:date="2025-04-16T10:35:00Z">
              <w:r w:rsidRPr="00BC0E7E">
                <w:rPr>
                  <w:szCs w:val="22"/>
                </w:rPr>
                <w:delText>0.004</w:delText>
              </w:r>
            </w:del>
          </w:p>
        </w:tc>
      </w:tr>
    </w:tbl>
    <w:p w14:paraId="3D486ABE" w14:textId="77777777" w:rsidR="00BC0E7E" w:rsidRPr="00BC0E7E" w:rsidRDefault="00944B8F" w:rsidP="00F043D5">
      <w:pPr>
        <w:keepNext/>
        <w:rPr>
          <w:del w:id="2760" w:author="AbbVie19" w:date="2025-04-16T10:35:00Z"/>
          <w:szCs w:val="22"/>
        </w:rPr>
      </w:pPr>
      <w:del w:id="2761" w:author="AbbVie19" w:date="2025-04-16T10:35:00Z">
        <w:r w:rsidRPr="00BC0E7E">
          <w:rPr>
            <w:szCs w:val="22"/>
          </w:rPr>
          <w:delText>Note: Treatment failure at or after Week 6 (Study UV I), or at or after Week 2 (Study UV II), was counted as event. Drop outs due to reasons other than treatment failure were censored at the time of dropping out.</w:delText>
        </w:r>
      </w:del>
    </w:p>
    <w:p w14:paraId="1E33E307" w14:textId="77777777" w:rsidR="00BC0E7E" w:rsidRPr="00BC0E7E" w:rsidRDefault="00944B8F" w:rsidP="00F043D5">
      <w:pPr>
        <w:keepNext/>
        <w:numPr>
          <w:ilvl w:val="0"/>
          <w:numId w:val="122"/>
        </w:numPr>
        <w:rPr>
          <w:del w:id="2762" w:author="AbbVie19" w:date="2025-04-16T10:35:00Z"/>
          <w:szCs w:val="22"/>
        </w:rPr>
      </w:pPr>
      <w:del w:id="2763" w:author="AbbVie19" w:date="2025-04-16T10:35:00Z">
        <w:r w:rsidRPr="00BC0E7E">
          <w:rPr>
            <w:szCs w:val="22"/>
          </w:rPr>
          <w:delText>HR of adalimumab vs placebo from proportional hazards regression with treatment as factor.</w:delText>
        </w:r>
      </w:del>
    </w:p>
    <w:p w14:paraId="47993B84" w14:textId="77777777" w:rsidR="00BC0E7E" w:rsidRPr="00BC0E7E" w:rsidRDefault="00944B8F" w:rsidP="00F043D5">
      <w:pPr>
        <w:keepNext/>
        <w:numPr>
          <w:ilvl w:val="0"/>
          <w:numId w:val="122"/>
        </w:numPr>
        <w:rPr>
          <w:del w:id="2764" w:author="AbbVie19" w:date="2025-04-16T10:35:00Z"/>
          <w:szCs w:val="22"/>
        </w:rPr>
      </w:pPr>
      <w:del w:id="2765" w:author="AbbVie19" w:date="2025-04-16T10:35:00Z">
        <w:r w:rsidRPr="00BC0E7E">
          <w:rPr>
            <w:szCs w:val="22"/>
          </w:rPr>
          <w:delText xml:space="preserve">2-sided </w:delText>
        </w:r>
        <w:r w:rsidRPr="00BC0E7E">
          <w:rPr>
            <w:i/>
            <w:szCs w:val="22"/>
          </w:rPr>
          <w:delText>P</w:delText>
        </w:r>
        <w:r w:rsidRPr="00BC0E7E">
          <w:rPr>
            <w:szCs w:val="22"/>
          </w:rPr>
          <w:delText xml:space="preserve"> value from log rank test.</w:delText>
        </w:r>
      </w:del>
    </w:p>
    <w:p w14:paraId="5C8D04BA" w14:textId="77777777" w:rsidR="00BC0E7E" w:rsidRPr="00BC0E7E" w:rsidRDefault="00944B8F" w:rsidP="00F043D5">
      <w:pPr>
        <w:keepNext/>
        <w:numPr>
          <w:ilvl w:val="0"/>
          <w:numId w:val="122"/>
        </w:numPr>
        <w:rPr>
          <w:del w:id="2766" w:author="AbbVie19" w:date="2025-04-16T10:35:00Z"/>
          <w:szCs w:val="22"/>
        </w:rPr>
      </w:pPr>
      <w:del w:id="2767" w:author="AbbVie19" w:date="2025-04-16T10:35:00Z">
        <w:r w:rsidRPr="00BC0E7E">
          <w:rPr>
            <w:szCs w:val="22"/>
          </w:rPr>
          <w:delText xml:space="preserve">NE = not estimable. Fewer than half of at-risk subjects had an event. </w:delText>
        </w:r>
      </w:del>
    </w:p>
    <w:p w14:paraId="28FB423E" w14:textId="77777777" w:rsidR="00BC0E7E" w:rsidRPr="00BC0E7E" w:rsidRDefault="00BC0E7E" w:rsidP="00BC0E7E">
      <w:pPr>
        <w:rPr>
          <w:del w:id="2768" w:author="AbbVie19" w:date="2025-04-16T10:35:00Z"/>
          <w:szCs w:val="22"/>
        </w:rPr>
      </w:pPr>
    </w:p>
    <w:p w14:paraId="4A2902DD" w14:textId="77777777" w:rsidR="00BC0E7E" w:rsidRPr="003F7AAE" w:rsidRDefault="00944B8F" w:rsidP="00BC0E7E">
      <w:pPr>
        <w:keepNext/>
        <w:jc w:val="center"/>
        <w:rPr>
          <w:del w:id="2769" w:author="AbbVie19" w:date="2025-04-16T10:35:00Z"/>
          <w:szCs w:val="22"/>
        </w:rPr>
      </w:pPr>
      <w:del w:id="2770" w:author="AbbVie19" w:date="2025-04-16T10:35:00Z">
        <w:r w:rsidRPr="00BC0E7E">
          <w:rPr>
            <w:b/>
            <w:szCs w:val="22"/>
          </w:rPr>
          <w:delText xml:space="preserve">Figure </w:delText>
        </w:r>
        <w:r w:rsidR="005F03EC">
          <w:rPr>
            <w:b/>
            <w:szCs w:val="22"/>
          </w:rPr>
          <w:delText>1</w:delText>
        </w:r>
        <w:r w:rsidRPr="00BC0E7E">
          <w:rPr>
            <w:b/>
            <w:szCs w:val="22"/>
          </w:rPr>
          <w:delText>: Kaplan-Meier Curves Summarizing Time to Treatment Failure on or after Week 6 (Stud</w:delText>
        </w:r>
        <w:r w:rsidR="003F7AAE">
          <w:rPr>
            <w:b/>
            <w:szCs w:val="22"/>
          </w:rPr>
          <w:delText>y UV I) or Week 2 (Study UV II)</w:delText>
        </w:r>
      </w:del>
    </w:p>
    <w:p w14:paraId="225FB6EC" w14:textId="77777777" w:rsidR="00BC0E7E" w:rsidRPr="003F7AAE" w:rsidRDefault="00BC0E7E" w:rsidP="00BC0E7E">
      <w:pPr>
        <w:keepNext/>
        <w:jc w:val="center"/>
        <w:rPr>
          <w:del w:id="2771" w:author="AbbVie19" w:date="2025-04-16T10:35:00Z"/>
          <w:szCs w:val="22"/>
          <w:highlight w:val="yellow"/>
        </w:rPr>
      </w:pPr>
    </w:p>
    <w:tbl>
      <w:tblPr>
        <w:tblW w:w="9288" w:type="dxa"/>
        <w:tblLayout w:type="fixed"/>
        <w:tblLook w:val="04A0" w:firstRow="1" w:lastRow="0" w:firstColumn="1" w:lastColumn="0" w:noHBand="0" w:noVBand="1"/>
      </w:tblPr>
      <w:tblGrid>
        <w:gridCol w:w="482"/>
        <w:gridCol w:w="3496"/>
        <w:gridCol w:w="1170"/>
        <w:gridCol w:w="1350"/>
        <w:gridCol w:w="900"/>
        <w:gridCol w:w="1890"/>
      </w:tblGrid>
      <w:tr w:rsidR="00C6578C" w14:paraId="68A8C333" w14:textId="77777777" w:rsidTr="00171601">
        <w:trPr>
          <w:cantSplit/>
          <w:trHeight w:val="3806"/>
          <w:del w:id="2772" w:author="AbbVie19" w:date="2025-04-16T10:35:00Z"/>
        </w:trPr>
        <w:tc>
          <w:tcPr>
            <w:tcW w:w="482" w:type="dxa"/>
            <w:textDirection w:val="btLr"/>
            <w:vAlign w:val="bottom"/>
          </w:tcPr>
          <w:p w14:paraId="4CF93F05" w14:textId="77777777" w:rsidR="00BC0E7E" w:rsidRPr="00BC0E7E" w:rsidRDefault="00944B8F" w:rsidP="00BC0E7E">
            <w:pPr>
              <w:keepNext/>
              <w:ind w:left="113" w:right="113"/>
              <w:jc w:val="center"/>
              <w:rPr>
                <w:del w:id="2773" w:author="AbbVie19" w:date="2025-04-16T10:35:00Z"/>
                <w:b/>
                <w:szCs w:val="22"/>
              </w:rPr>
            </w:pPr>
            <w:del w:id="2774" w:author="AbbVie19" w:date="2025-04-16T10:35:00Z">
              <w:r w:rsidRPr="00BC0E7E">
                <w:rPr>
                  <w:b/>
                  <w:szCs w:val="22"/>
                </w:rPr>
                <w:delText>TREATMENT FAILURE RATE (%)</w:delText>
              </w:r>
            </w:del>
          </w:p>
        </w:tc>
        <w:tc>
          <w:tcPr>
            <w:tcW w:w="8806" w:type="dxa"/>
            <w:gridSpan w:val="5"/>
            <w:vAlign w:val="bottom"/>
          </w:tcPr>
          <w:p w14:paraId="10F38101" w14:textId="77777777" w:rsidR="00BC0E7E" w:rsidRPr="00BC0E7E" w:rsidRDefault="00944B8F" w:rsidP="00BC0E7E">
            <w:pPr>
              <w:keepNext/>
              <w:rPr>
                <w:del w:id="2775" w:author="AbbVie19" w:date="2025-04-16T10:35:00Z"/>
                <w:b/>
                <w:szCs w:val="22"/>
              </w:rPr>
            </w:pPr>
            <w:del w:id="2776" w:author="AbbVie19" w:date="2025-04-16T10:35:00Z">
              <w:r>
                <w:rPr>
                  <w:b/>
                  <w:noProof/>
                  <w:szCs w:val="22"/>
                  <w:lang w:val="en-US"/>
                </w:rPr>
                <w:drawing>
                  <wp:inline distT="0" distB="0" distL="0" distR="0" wp14:anchorId="062821F5" wp14:editId="4CAB55A5">
                    <wp:extent cx="5486400" cy="2210435"/>
                    <wp:effectExtent l="0" t="0" r="0" b="0"/>
                    <wp:docPr id="182" name="Picture 182"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0" descr="Humira Uveitis Figure 5_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86400" cy="2210435"/>
                            </a:xfrm>
                            <a:prstGeom prst="rect">
                              <a:avLst/>
                            </a:prstGeom>
                            <a:noFill/>
                            <a:ln>
                              <a:noFill/>
                            </a:ln>
                          </pic:spPr>
                        </pic:pic>
                      </a:graphicData>
                    </a:graphic>
                  </wp:inline>
                </w:drawing>
              </w:r>
            </w:del>
          </w:p>
        </w:tc>
      </w:tr>
      <w:tr w:rsidR="00C6578C" w14:paraId="17B57742" w14:textId="77777777" w:rsidTr="00171601">
        <w:trPr>
          <w:del w:id="2777" w:author="AbbVie19" w:date="2025-04-16T10:35:00Z"/>
        </w:trPr>
        <w:tc>
          <w:tcPr>
            <w:tcW w:w="482" w:type="dxa"/>
          </w:tcPr>
          <w:p w14:paraId="2D557271" w14:textId="77777777" w:rsidR="00BC0E7E" w:rsidRPr="00BC0E7E" w:rsidRDefault="00BC0E7E" w:rsidP="00BC0E7E">
            <w:pPr>
              <w:rPr>
                <w:del w:id="2778" w:author="AbbVie19" w:date="2025-04-16T10:35:00Z"/>
                <w:szCs w:val="22"/>
              </w:rPr>
            </w:pPr>
          </w:p>
        </w:tc>
        <w:tc>
          <w:tcPr>
            <w:tcW w:w="8806" w:type="dxa"/>
            <w:gridSpan w:val="5"/>
          </w:tcPr>
          <w:p w14:paraId="421416A4" w14:textId="77777777" w:rsidR="00BC0E7E" w:rsidRPr="00BC0E7E" w:rsidRDefault="00944B8F" w:rsidP="00BC0E7E">
            <w:pPr>
              <w:jc w:val="center"/>
              <w:rPr>
                <w:del w:id="2779" w:author="AbbVie19" w:date="2025-04-16T10:35:00Z"/>
                <w:szCs w:val="22"/>
              </w:rPr>
            </w:pPr>
            <w:del w:id="2780" w:author="AbbVie19" w:date="2025-04-16T10:35:00Z">
              <w:r w:rsidRPr="00BC0E7E">
                <w:rPr>
                  <w:szCs w:val="22"/>
                </w:rPr>
                <w:delText>TIME (MONTHS)</w:delText>
              </w:r>
            </w:del>
          </w:p>
        </w:tc>
      </w:tr>
      <w:tr w:rsidR="00C6578C" w14:paraId="7424BC08" w14:textId="77777777" w:rsidTr="00171601">
        <w:trPr>
          <w:del w:id="2781" w:author="AbbVie19" w:date="2025-04-16T10:35:00Z"/>
        </w:trPr>
        <w:tc>
          <w:tcPr>
            <w:tcW w:w="482" w:type="dxa"/>
          </w:tcPr>
          <w:p w14:paraId="27ACE51C" w14:textId="77777777" w:rsidR="00BC0E7E" w:rsidRPr="00BC0E7E" w:rsidRDefault="00BC0E7E" w:rsidP="00BC0E7E">
            <w:pPr>
              <w:rPr>
                <w:del w:id="2782" w:author="AbbVie19" w:date="2025-04-16T10:35:00Z"/>
                <w:szCs w:val="22"/>
              </w:rPr>
            </w:pPr>
          </w:p>
        </w:tc>
        <w:tc>
          <w:tcPr>
            <w:tcW w:w="3496" w:type="dxa"/>
          </w:tcPr>
          <w:p w14:paraId="2EDE3D9D" w14:textId="77777777" w:rsidR="00BC0E7E" w:rsidRPr="00BC0E7E" w:rsidRDefault="00944B8F" w:rsidP="00BC0E7E">
            <w:pPr>
              <w:rPr>
                <w:del w:id="2783" w:author="AbbVie19" w:date="2025-04-16T10:35:00Z"/>
                <w:szCs w:val="22"/>
              </w:rPr>
            </w:pPr>
            <w:del w:id="2784" w:author="AbbVie19" w:date="2025-04-16T10:35:00Z">
              <w:r w:rsidRPr="00BC0E7E">
                <w:rPr>
                  <w:szCs w:val="22"/>
                </w:rPr>
                <w:delText>Study UV I                        Treatment</w:delText>
              </w:r>
            </w:del>
          </w:p>
        </w:tc>
        <w:tc>
          <w:tcPr>
            <w:tcW w:w="1170" w:type="dxa"/>
          </w:tcPr>
          <w:p w14:paraId="1EEE6CBB" w14:textId="77777777" w:rsidR="00BC0E7E" w:rsidRPr="00BC0E7E" w:rsidRDefault="00944B8F" w:rsidP="00BC0E7E">
            <w:pPr>
              <w:jc w:val="right"/>
              <w:rPr>
                <w:del w:id="2785" w:author="AbbVie19" w:date="2025-04-16T10:35:00Z"/>
                <w:szCs w:val="22"/>
              </w:rPr>
            </w:pPr>
            <w:del w:id="2786" w:author="AbbVie19" w:date="2025-04-16T10:35:00Z">
              <w:r>
                <w:rPr>
                  <w:noProof/>
                  <w:szCs w:val="22"/>
                  <w:lang w:val="en-US"/>
                </w:rPr>
                <w:drawing>
                  <wp:inline distT="0" distB="0" distL="0" distR="0" wp14:anchorId="64018A22" wp14:editId="2A1D2979">
                    <wp:extent cx="397510" cy="182880"/>
                    <wp:effectExtent l="0" t="0" r="2540" b="7620"/>
                    <wp:docPr id="181" name="Picture 181"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1" descr="Humira Uveitis Figure 5_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97510" cy="182880"/>
                            </a:xfrm>
                            <a:prstGeom prst="rect">
                              <a:avLst/>
                            </a:prstGeom>
                            <a:noFill/>
                            <a:ln>
                              <a:noFill/>
                            </a:ln>
                          </pic:spPr>
                        </pic:pic>
                      </a:graphicData>
                    </a:graphic>
                  </wp:inline>
                </w:drawing>
              </w:r>
            </w:del>
          </w:p>
        </w:tc>
        <w:tc>
          <w:tcPr>
            <w:tcW w:w="1350" w:type="dxa"/>
          </w:tcPr>
          <w:p w14:paraId="3BCDFA5B" w14:textId="77777777" w:rsidR="00BC0E7E" w:rsidRPr="00BC0E7E" w:rsidRDefault="00944B8F" w:rsidP="00BC0E7E">
            <w:pPr>
              <w:rPr>
                <w:del w:id="2787" w:author="AbbVie19" w:date="2025-04-16T10:35:00Z"/>
                <w:szCs w:val="22"/>
              </w:rPr>
            </w:pPr>
            <w:del w:id="2788" w:author="AbbVie19" w:date="2025-04-16T10:35:00Z">
              <w:r w:rsidRPr="00BC0E7E">
                <w:rPr>
                  <w:szCs w:val="22"/>
                </w:rPr>
                <w:delText>Placebo</w:delText>
              </w:r>
            </w:del>
          </w:p>
        </w:tc>
        <w:tc>
          <w:tcPr>
            <w:tcW w:w="900" w:type="dxa"/>
          </w:tcPr>
          <w:p w14:paraId="680A4647" w14:textId="77777777" w:rsidR="00BC0E7E" w:rsidRPr="00BC0E7E" w:rsidRDefault="00944B8F" w:rsidP="00BC0E7E">
            <w:pPr>
              <w:jc w:val="right"/>
              <w:rPr>
                <w:del w:id="2789" w:author="AbbVie19" w:date="2025-04-16T10:35:00Z"/>
                <w:szCs w:val="22"/>
              </w:rPr>
            </w:pPr>
            <w:del w:id="2790" w:author="AbbVie19" w:date="2025-04-16T10:35:00Z">
              <w:r>
                <w:rPr>
                  <w:noProof/>
                  <w:szCs w:val="22"/>
                  <w:lang w:val="en-US"/>
                </w:rPr>
                <w:drawing>
                  <wp:inline distT="0" distB="0" distL="0" distR="0" wp14:anchorId="3BCCC8BF" wp14:editId="3A3E0D4C">
                    <wp:extent cx="556895" cy="182880"/>
                    <wp:effectExtent l="0" t="0" r="0" b="7620"/>
                    <wp:docPr id="180" name="Picture 180"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2" descr="Humira Uveitis Figure 5_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56895" cy="182880"/>
                            </a:xfrm>
                            <a:prstGeom prst="rect">
                              <a:avLst/>
                            </a:prstGeom>
                            <a:noFill/>
                            <a:ln>
                              <a:noFill/>
                            </a:ln>
                          </pic:spPr>
                        </pic:pic>
                      </a:graphicData>
                    </a:graphic>
                  </wp:inline>
                </w:drawing>
              </w:r>
            </w:del>
          </w:p>
        </w:tc>
        <w:tc>
          <w:tcPr>
            <w:tcW w:w="1890" w:type="dxa"/>
          </w:tcPr>
          <w:p w14:paraId="6D370E19" w14:textId="77777777" w:rsidR="00BC0E7E" w:rsidRPr="00BC0E7E" w:rsidRDefault="00944B8F" w:rsidP="00BC0E7E">
            <w:pPr>
              <w:rPr>
                <w:del w:id="2791" w:author="AbbVie19" w:date="2025-04-16T10:35:00Z"/>
                <w:szCs w:val="22"/>
              </w:rPr>
            </w:pPr>
            <w:del w:id="2792" w:author="AbbVie19" w:date="2025-04-16T10:35:00Z">
              <w:r w:rsidRPr="00BC0E7E">
                <w:rPr>
                  <w:szCs w:val="22"/>
                </w:rPr>
                <w:delText>Adalimumab</w:delText>
              </w:r>
            </w:del>
          </w:p>
        </w:tc>
      </w:tr>
      <w:tr w:rsidR="00C6578C" w14:paraId="1DCB8D59" w14:textId="77777777" w:rsidTr="00171601">
        <w:trPr>
          <w:trHeight w:val="3869"/>
          <w:del w:id="2793" w:author="AbbVie19" w:date="2025-04-16T10:35:00Z"/>
        </w:trPr>
        <w:tc>
          <w:tcPr>
            <w:tcW w:w="482" w:type="dxa"/>
            <w:textDirection w:val="btLr"/>
            <w:vAlign w:val="bottom"/>
          </w:tcPr>
          <w:p w14:paraId="404E6EED" w14:textId="77777777" w:rsidR="00BC0E7E" w:rsidRPr="00BC0E7E" w:rsidRDefault="00944B8F" w:rsidP="00BC0E7E">
            <w:pPr>
              <w:jc w:val="center"/>
              <w:rPr>
                <w:del w:id="2794" w:author="AbbVie19" w:date="2025-04-16T10:35:00Z"/>
                <w:b/>
                <w:szCs w:val="22"/>
              </w:rPr>
            </w:pPr>
            <w:del w:id="2795" w:author="AbbVie19" w:date="2025-04-16T10:35:00Z">
              <w:r w:rsidRPr="00BC0E7E">
                <w:rPr>
                  <w:b/>
                  <w:szCs w:val="22"/>
                </w:rPr>
                <w:lastRenderedPageBreak/>
                <w:delText>TREATMENT FAILURE RATE (%)</w:delText>
              </w:r>
            </w:del>
          </w:p>
        </w:tc>
        <w:tc>
          <w:tcPr>
            <w:tcW w:w="8806" w:type="dxa"/>
            <w:gridSpan w:val="5"/>
            <w:vAlign w:val="bottom"/>
          </w:tcPr>
          <w:p w14:paraId="1C0242DB" w14:textId="77777777" w:rsidR="00BC0E7E" w:rsidRPr="00BC0E7E" w:rsidRDefault="00944B8F" w:rsidP="00BC0E7E">
            <w:pPr>
              <w:rPr>
                <w:del w:id="2796" w:author="AbbVie19" w:date="2025-04-16T10:35:00Z"/>
                <w:b/>
                <w:szCs w:val="22"/>
              </w:rPr>
            </w:pPr>
            <w:del w:id="2797" w:author="AbbVie19" w:date="2025-04-16T10:35:00Z">
              <w:r>
                <w:rPr>
                  <w:b/>
                  <w:noProof/>
                  <w:szCs w:val="22"/>
                  <w:lang w:val="en-US"/>
                </w:rPr>
                <w:drawing>
                  <wp:inline distT="0" distB="0" distL="0" distR="0" wp14:anchorId="7990E224" wp14:editId="46406E7F">
                    <wp:extent cx="5486400" cy="2178685"/>
                    <wp:effectExtent l="0" t="0" r="0" b="0"/>
                    <wp:docPr id="179" name="Picture 179"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3" descr="Humira Uveitis Figure 5_7"/>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486400" cy="2178685"/>
                            </a:xfrm>
                            <a:prstGeom prst="rect">
                              <a:avLst/>
                            </a:prstGeom>
                            <a:noFill/>
                            <a:ln>
                              <a:noFill/>
                            </a:ln>
                          </pic:spPr>
                        </pic:pic>
                      </a:graphicData>
                    </a:graphic>
                  </wp:inline>
                </w:drawing>
              </w:r>
            </w:del>
          </w:p>
        </w:tc>
      </w:tr>
      <w:tr w:rsidR="00C6578C" w14:paraId="7CC09580" w14:textId="77777777" w:rsidTr="00171601">
        <w:trPr>
          <w:del w:id="2798" w:author="AbbVie19" w:date="2025-04-16T10:35:00Z"/>
        </w:trPr>
        <w:tc>
          <w:tcPr>
            <w:tcW w:w="482" w:type="dxa"/>
          </w:tcPr>
          <w:p w14:paraId="24FA553E" w14:textId="77777777" w:rsidR="00BC0E7E" w:rsidRPr="00BC0E7E" w:rsidRDefault="00BC0E7E" w:rsidP="00BC0E7E">
            <w:pPr>
              <w:rPr>
                <w:del w:id="2799" w:author="AbbVie19" w:date="2025-04-16T10:35:00Z"/>
                <w:szCs w:val="22"/>
              </w:rPr>
            </w:pPr>
          </w:p>
        </w:tc>
        <w:tc>
          <w:tcPr>
            <w:tcW w:w="8806" w:type="dxa"/>
            <w:gridSpan w:val="5"/>
          </w:tcPr>
          <w:p w14:paraId="32A4F10F" w14:textId="77777777" w:rsidR="00BC0E7E" w:rsidRPr="00BC0E7E" w:rsidRDefault="00944B8F" w:rsidP="00BC0E7E">
            <w:pPr>
              <w:jc w:val="center"/>
              <w:rPr>
                <w:del w:id="2800" w:author="AbbVie19" w:date="2025-04-16T10:35:00Z"/>
                <w:szCs w:val="22"/>
              </w:rPr>
            </w:pPr>
            <w:del w:id="2801" w:author="AbbVie19" w:date="2025-04-16T10:35:00Z">
              <w:r w:rsidRPr="00BC0E7E">
                <w:rPr>
                  <w:szCs w:val="22"/>
                </w:rPr>
                <w:delText>TIME (MONTHS)</w:delText>
              </w:r>
            </w:del>
          </w:p>
        </w:tc>
      </w:tr>
      <w:tr w:rsidR="00C6578C" w14:paraId="4270EECF" w14:textId="77777777" w:rsidTr="00171601">
        <w:trPr>
          <w:trHeight w:val="369"/>
          <w:del w:id="2802" w:author="AbbVie19" w:date="2025-04-16T10:35:00Z"/>
        </w:trPr>
        <w:tc>
          <w:tcPr>
            <w:tcW w:w="482" w:type="dxa"/>
          </w:tcPr>
          <w:p w14:paraId="03345387" w14:textId="77777777" w:rsidR="00BC0E7E" w:rsidRPr="00BC0E7E" w:rsidRDefault="00BC0E7E" w:rsidP="00BC0E7E">
            <w:pPr>
              <w:rPr>
                <w:del w:id="2803" w:author="AbbVie19" w:date="2025-04-16T10:35:00Z"/>
                <w:szCs w:val="22"/>
              </w:rPr>
            </w:pPr>
          </w:p>
        </w:tc>
        <w:tc>
          <w:tcPr>
            <w:tcW w:w="3496" w:type="dxa"/>
          </w:tcPr>
          <w:p w14:paraId="0975179F" w14:textId="77777777" w:rsidR="00BC0E7E" w:rsidRPr="00BC0E7E" w:rsidRDefault="00944B8F" w:rsidP="00BC0E7E">
            <w:pPr>
              <w:rPr>
                <w:del w:id="2804" w:author="AbbVie19" w:date="2025-04-16T10:35:00Z"/>
                <w:szCs w:val="22"/>
              </w:rPr>
            </w:pPr>
            <w:del w:id="2805" w:author="AbbVie19" w:date="2025-04-16T10:35:00Z">
              <w:r w:rsidRPr="00BC0E7E">
                <w:rPr>
                  <w:szCs w:val="22"/>
                </w:rPr>
                <w:delText>Study UV II                       Treatment</w:delText>
              </w:r>
            </w:del>
          </w:p>
        </w:tc>
        <w:tc>
          <w:tcPr>
            <w:tcW w:w="1170" w:type="dxa"/>
          </w:tcPr>
          <w:p w14:paraId="6C17DD5E" w14:textId="77777777" w:rsidR="00BC0E7E" w:rsidRPr="00BC0E7E" w:rsidRDefault="00944B8F" w:rsidP="00BC0E7E">
            <w:pPr>
              <w:jc w:val="right"/>
              <w:rPr>
                <w:del w:id="2806" w:author="AbbVie19" w:date="2025-04-16T10:35:00Z"/>
                <w:szCs w:val="22"/>
              </w:rPr>
            </w:pPr>
            <w:del w:id="2807" w:author="AbbVie19" w:date="2025-04-16T10:35:00Z">
              <w:r>
                <w:rPr>
                  <w:noProof/>
                  <w:szCs w:val="22"/>
                  <w:lang w:val="en-US"/>
                </w:rPr>
                <w:drawing>
                  <wp:inline distT="0" distB="0" distL="0" distR="0" wp14:anchorId="30DBDBE0" wp14:editId="7D8EDCC4">
                    <wp:extent cx="397510" cy="182880"/>
                    <wp:effectExtent l="0" t="0" r="2540" b="7620"/>
                    <wp:docPr id="178" name="Picture 17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4" descr="Humira Uveitis Figure 5_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97510" cy="182880"/>
                            </a:xfrm>
                            <a:prstGeom prst="rect">
                              <a:avLst/>
                            </a:prstGeom>
                            <a:noFill/>
                            <a:ln>
                              <a:noFill/>
                            </a:ln>
                          </pic:spPr>
                        </pic:pic>
                      </a:graphicData>
                    </a:graphic>
                  </wp:inline>
                </w:drawing>
              </w:r>
            </w:del>
          </w:p>
        </w:tc>
        <w:tc>
          <w:tcPr>
            <w:tcW w:w="1350" w:type="dxa"/>
          </w:tcPr>
          <w:p w14:paraId="6A944F3B" w14:textId="77777777" w:rsidR="00BC0E7E" w:rsidRPr="00BC0E7E" w:rsidRDefault="00944B8F" w:rsidP="00BC0E7E">
            <w:pPr>
              <w:rPr>
                <w:del w:id="2808" w:author="AbbVie19" w:date="2025-04-16T10:35:00Z"/>
                <w:szCs w:val="22"/>
              </w:rPr>
            </w:pPr>
            <w:del w:id="2809" w:author="AbbVie19" w:date="2025-04-16T10:35:00Z">
              <w:r w:rsidRPr="00BC0E7E">
                <w:rPr>
                  <w:szCs w:val="22"/>
                </w:rPr>
                <w:delText>Placebo</w:delText>
              </w:r>
            </w:del>
          </w:p>
        </w:tc>
        <w:tc>
          <w:tcPr>
            <w:tcW w:w="900" w:type="dxa"/>
          </w:tcPr>
          <w:p w14:paraId="56B0714F" w14:textId="77777777" w:rsidR="00BC0E7E" w:rsidRPr="00BC0E7E" w:rsidRDefault="00944B8F" w:rsidP="00BC0E7E">
            <w:pPr>
              <w:jc w:val="right"/>
              <w:rPr>
                <w:del w:id="2810" w:author="AbbVie19" w:date="2025-04-16T10:35:00Z"/>
                <w:szCs w:val="22"/>
              </w:rPr>
            </w:pPr>
            <w:del w:id="2811" w:author="AbbVie19" w:date="2025-04-16T10:35:00Z">
              <w:r>
                <w:rPr>
                  <w:noProof/>
                  <w:szCs w:val="22"/>
                  <w:lang w:val="en-US"/>
                </w:rPr>
                <w:drawing>
                  <wp:inline distT="0" distB="0" distL="0" distR="0" wp14:anchorId="6CB8347A" wp14:editId="71C20E19">
                    <wp:extent cx="556895" cy="182880"/>
                    <wp:effectExtent l="0" t="0" r="0" b="7620"/>
                    <wp:docPr id="177" name="Picture 177"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5" descr="Humira Uveitis Figure 5_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56895" cy="182880"/>
                            </a:xfrm>
                            <a:prstGeom prst="rect">
                              <a:avLst/>
                            </a:prstGeom>
                            <a:noFill/>
                            <a:ln>
                              <a:noFill/>
                            </a:ln>
                          </pic:spPr>
                        </pic:pic>
                      </a:graphicData>
                    </a:graphic>
                  </wp:inline>
                </w:drawing>
              </w:r>
            </w:del>
          </w:p>
        </w:tc>
        <w:tc>
          <w:tcPr>
            <w:tcW w:w="1890" w:type="dxa"/>
          </w:tcPr>
          <w:p w14:paraId="49F7CC99" w14:textId="77777777" w:rsidR="00BC0E7E" w:rsidRPr="00BC0E7E" w:rsidRDefault="00944B8F" w:rsidP="00BC0E7E">
            <w:pPr>
              <w:rPr>
                <w:del w:id="2812" w:author="AbbVie19" w:date="2025-04-16T10:35:00Z"/>
                <w:szCs w:val="22"/>
              </w:rPr>
            </w:pPr>
            <w:del w:id="2813" w:author="AbbVie19" w:date="2025-04-16T10:35:00Z">
              <w:r w:rsidRPr="00BC0E7E">
                <w:rPr>
                  <w:szCs w:val="22"/>
                </w:rPr>
                <w:delText>Adalimumab</w:delText>
              </w:r>
            </w:del>
          </w:p>
        </w:tc>
      </w:tr>
      <w:tr w:rsidR="00C6578C" w14:paraId="4B61AB88" w14:textId="77777777" w:rsidTr="00171601">
        <w:trPr>
          <w:trHeight w:val="629"/>
          <w:del w:id="2814" w:author="AbbVie19" w:date="2025-04-16T10:35:00Z"/>
        </w:trPr>
        <w:tc>
          <w:tcPr>
            <w:tcW w:w="9288" w:type="dxa"/>
            <w:gridSpan w:val="6"/>
            <w:vAlign w:val="center"/>
          </w:tcPr>
          <w:p w14:paraId="01866441" w14:textId="77777777" w:rsidR="00BC0E7E" w:rsidRPr="00BC0E7E" w:rsidRDefault="00944B8F" w:rsidP="00BC0E7E">
            <w:pPr>
              <w:rPr>
                <w:del w:id="2815" w:author="AbbVie19" w:date="2025-04-16T10:35:00Z"/>
                <w:szCs w:val="22"/>
              </w:rPr>
            </w:pPr>
            <w:del w:id="2816" w:author="AbbVie19" w:date="2025-04-16T10:35:00Z">
              <w:r w:rsidRPr="00BC0E7E">
                <w:rPr>
                  <w:szCs w:val="22"/>
                </w:rPr>
                <w:delText>Note: P# = Placebo (Number of Events/Number at Risk); A# = HUMIRA (Number of</w:delText>
              </w:r>
            </w:del>
          </w:p>
          <w:p w14:paraId="1BC0B80E" w14:textId="77777777" w:rsidR="00BC0E7E" w:rsidRPr="00BC0E7E" w:rsidRDefault="00944B8F" w:rsidP="00BC0E7E">
            <w:pPr>
              <w:rPr>
                <w:del w:id="2817" w:author="AbbVie19" w:date="2025-04-16T10:35:00Z"/>
                <w:szCs w:val="22"/>
              </w:rPr>
            </w:pPr>
            <w:del w:id="2818" w:author="AbbVie19" w:date="2025-04-16T10:35:00Z">
              <w:r w:rsidRPr="00BC0E7E">
                <w:rPr>
                  <w:szCs w:val="22"/>
                </w:rPr>
                <w:delText>Events/Number at Risk).</w:delText>
              </w:r>
            </w:del>
          </w:p>
        </w:tc>
      </w:tr>
    </w:tbl>
    <w:p w14:paraId="7CFE5975" w14:textId="77777777" w:rsidR="00BC0E7E" w:rsidRPr="00BC0E7E" w:rsidRDefault="00BC0E7E" w:rsidP="00BC0E7E">
      <w:pPr>
        <w:rPr>
          <w:del w:id="2819" w:author="AbbVie19" w:date="2025-04-16T10:35:00Z"/>
          <w:szCs w:val="20"/>
        </w:rPr>
      </w:pPr>
    </w:p>
    <w:p w14:paraId="44BAC5F4" w14:textId="77777777" w:rsidR="00BC0E7E" w:rsidRPr="00BC0E7E" w:rsidRDefault="00944B8F" w:rsidP="00BC0E7E">
      <w:pPr>
        <w:rPr>
          <w:del w:id="2820" w:author="AbbVie19" w:date="2025-04-16T10:35:00Z"/>
          <w:szCs w:val="20"/>
        </w:rPr>
      </w:pPr>
      <w:del w:id="2821" w:author="AbbVie19" w:date="2025-04-16T10:35:00Z">
        <w:r w:rsidRPr="00BC0E7E">
          <w:rPr>
            <w:szCs w:val="20"/>
          </w:rPr>
          <w:delText>In Study UV I statistically significant differences in favour of adalimumab versus placebo were observed for each component of treatment failure. In Study UV II, statistically significant differences were observed for visual acuity only, but the other components were numerically in favour of adalimumab.</w:delText>
        </w:r>
      </w:del>
    </w:p>
    <w:p w14:paraId="4C490392" w14:textId="77777777" w:rsidR="0053724F" w:rsidRDefault="0053724F" w:rsidP="0053724F">
      <w:pPr>
        <w:rPr>
          <w:del w:id="2822" w:author="AbbVie19" w:date="2025-04-16T10:35:00Z"/>
        </w:rPr>
      </w:pPr>
    </w:p>
    <w:p w14:paraId="281AE164" w14:textId="77777777" w:rsidR="0053724F" w:rsidRDefault="00944B8F" w:rsidP="0053724F">
      <w:pPr>
        <w:rPr>
          <w:del w:id="2823" w:author="AbbVie19" w:date="2025-04-16T10:35:00Z"/>
        </w:rPr>
      </w:pPr>
      <w:del w:id="2824" w:author="AbbVie19" w:date="2025-04-16T10:35:00Z">
        <w:r w:rsidRPr="00FC76E7">
          <w:delText xml:space="preserve">Of the </w:delText>
        </w:r>
        <w:r w:rsidR="00FE0DB0">
          <w:delText>424</w:delText>
        </w:r>
        <w:r w:rsidRPr="00FC76E7">
          <w:delText xml:space="preserve"> subjects included</w:delText>
        </w:r>
        <w:r>
          <w:delText xml:space="preserve"> in</w:delText>
        </w:r>
        <w:r w:rsidRPr="00FC76E7">
          <w:delText xml:space="preserve"> the uncontrolled long-term extension of Studies UV I and UV II, </w:delText>
        </w:r>
        <w:r w:rsidR="00FE0DB0">
          <w:delText>60</w:delText>
        </w:r>
        <w:r w:rsidRPr="00FC76E7">
          <w:delText xml:space="preserve"> subjects were regarded ineligible (e.g. </w:delText>
        </w:r>
        <w:r w:rsidR="00FE0DB0">
          <w:delText xml:space="preserve">due to deviations or due to </w:delText>
        </w:r>
        <w:r w:rsidRPr="00FC76E7">
          <w:delText>complications secondary to diabetic retinopathy, due to cataract surgery or vitrectomy) and were excluded from the primary analys</w:delText>
        </w:r>
        <w:r>
          <w:delText>is</w:delText>
        </w:r>
        <w:r w:rsidRPr="00FC76E7">
          <w:delText xml:space="preserve"> of efficacy. Of the </w:delText>
        </w:r>
        <w:r w:rsidR="00FE0DB0">
          <w:delText>364</w:delText>
        </w:r>
        <w:r w:rsidRPr="00FC76E7">
          <w:delText xml:space="preserve"> remaining patients, </w:delText>
        </w:r>
        <w:r w:rsidR="00085B64">
          <w:delText>2</w:delText>
        </w:r>
        <w:r w:rsidR="00FE0DB0">
          <w:delText>69</w:delText>
        </w:r>
        <w:r>
          <w:delText xml:space="preserve"> evaluable patients</w:delText>
        </w:r>
        <w:r w:rsidRPr="00FC76E7">
          <w:delText xml:space="preserve"> </w:delText>
        </w:r>
        <w:r w:rsidR="00FE0DB0">
          <w:delText xml:space="preserve">(74%) </w:delText>
        </w:r>
        <w:r w:rsidRPr="00FC76E7">
          <w:delText xml:space="preserve">reached 78 weeks of open-label adalimumab treatment. Based on the observed data approach, </w:delText>
        </w:r>
        <w:r w:rsidR="00FE0DB0">
          <w:delText>216</w:delText>
        </w:r>
        <w:r w:rsidRPr="00FC76E7">
          <w:delText xml:space="preserve"> (</w:delText>
        </w:r>
        <w:r w:rsidR="00FE0DB0">
          <w:delText>80.3</w:delText>
        </w:r>
        <w:r w:rsidRPr="00FC76E7">
          <w:delText xml:space="preserve">%) were in quiescence (no active inflammatory lesions, AC cell grade  ≤ 0.5+, VH grade ≤ 0.5+) with a concomitant steroid dose ≤ 7.5 mg per day, and </w:delText>
        </w:r>
        <w:r w:rsidR="00FE0DB0">
          <w:delText>178</w:delText>
        </w:r>
        <w:r w:rsidRPr="00FC76E7">
          <w:delText xml:space="preserve"> (</w:delText>
        </w:r>
        <w:r w:rsidR="00FE0DB0">
          <w:delText>66.2%</w:delText>
        </w:r>
        <w:r w:rsidRPr="00FC76E7">
          <w:delText>) were in steroid-free quiescence. BCVA was either improved or maintained (&lt; 5 letters deterioration) in 88.</w:delText>
        </w:r>
        <w:r w:rsidR="00FE0DB0">
          <w:delText>6</w:delText>
        </w:r>
        <w:r w:rsidRPr="00FC76E7">
          <w:delText xml:space="preserve">% of the eyes at week 78. </w:delText>
        </w:r>
        <w:r w:rsidR="00FE0DB0" w:rsidRPr="003929CE">
          <w:delText>Data beyond Week 78 were generally consistent with these results but the number of enrolled subjects declined after this time</w:delText>
        </w:r>
        <w:r w:rsidR="00FE0DB0">
          <w:delText>. Overall, a</w:delText>
        </w:r>
        <w:r w:rsidRPr="00FC76E7">
          <w:delText xml:space="preserve">mong the patients who discontinued the study, </w:delText>
        </w:r>
        <w:r w:rsidR="00FE0DB0">
          <w:delText>18</w:delText>
        </w:r>
        <w:r w:rsidRPr="00FC76E7">
          <w:delText xml:space="preserve">% discontinued due to adverse events, and </w:delText>
        </w:r>
        <w:r w:rsidR="00FE0DB0">
          <w:delText>8</w:delText>
        </w:r>
        <w:r w:rsidRPr="00FC76E7">
          <w:delText>% due to insufficient re</w:delText>
        </w:r>
        <w:r>
          <w:delText>sponse to adalimumab treatment.</w:delText>
        </w:r>
      </w:del>
    </w:p>
    <w:p w14:paraId="2A457BA4" w14:textId="77777777" w:rsidR="00BC0E7E" w:rsidRPr="00BC0E7E" w:rsidRDefault="00BC0E7E" w:rsidP="00BC0E7E">
      <w:pPr>
        <w:rPr>
          <w:del w:id="2825" w:author="AbbVie19" w:date="2025-04-16T10:35:00Z"/>
          <w:szCs w:val="20"/>
        </w:rPr>
      </w:pPr>
    </w:p>
    <w:p w14:paraId="46A512E7" w14:textId="77777777" w:rsidR="00BC0E7E" w:rsidRPr="00BC0E7E" w:rsidRDefault="00944B8F" w:rsidP="00BC0E7E">
      <w:pPr>
        <w:rPr>
          <w:del w:id="2826" w:author="AbbVie19" w:date="2025-04-16T10:35:00Z"/>
          <w:i/>
          <w:szCs w:val="22"/>
          <w:u w:val="single"/>
        </w:rPr>
      </w:pPr>
      <w:del w:id="2827" w:author="AbbVie19" w:date="2025-04-16T10:35:00Z">
        <w:r w:rsidRPr="00BC0E7E">
          <w:rPr>
            <w:i/>
            <w:szCs w:val="22"/>
            <w:u w:val="single"/>
          </w:rPr>
          <w:delText>Quality of Life</w:delText>
        </w:r>
      </w:del>
    </w:p>
    <w:p w14:paraId="45D2F6F8" w14:textId="77777777" w:rsidR="00BC0E7E" w:rsidRPr="00F619C1" w:rsidRDefault="00BC0E7E" w:rsidP="00BC0E7E">
      <w:pPr>
        <w:rPr>
          <w:del w:id="2828" w:author="AbbVie19" w:date="2025-04-16T10:35:00Z"/>
          <w:szCs w:val="22"/>
          <w:u w:val="single"/>
        </w:rPr>
      </w:pPr>
    </w:p>
    <w:p w14:paraId="495953C5" w14:textId="77777777" w:rsidR="00BC0E7E" w:rsidRPr="00BC0E7E" w:rsidRDefault="00944B8F" w:rsidP="00BC0E7E">
      <w:pPr>
        <w:rPr>
          <w:del w:id="2829" w:author="AbbVie19" w:date="2025-04-16T10:35:00Z"/>
          <w:bCs/>
          <w:szCs w:val="20"/>
        </w:rPr>
      </w:pPr>
      <w:del w:id="2830" w:author="AbbVie19" w:date="2025-04-16T10:35:00Z">
        <w:r w:rsidRPr="00BC0E7E">
          <w:rPr>
            <w:szCs w:val="20"/>
          </w:rPr>
          <w:delText>Patient reported outcomes regarding vision-related functioning were measured in both clinical studies, using the NEI VFQ-25. Humira was numerically favoured for the majority of subscores with statistically significant mean differences for general vision, ocular pain, near vision, mental health, and total score in Study UV I, and for general vision and mental health in Study UV II. Vision related effects were not numerically in favour of Humira for colour vision in Study UVI and for colour vision, peripheral vision and near vision in Study UV II.</w:delText>
        </w:r>
      </w:del>
    </w:p>
    <w:p w14:paraId="02EF97F1" w14:textId="77777777" w:rsidR="00BC0E7E" w:rsidRPr="00BC0E7E" w:rsidRDefault="00BC0E7E" w:rsidP="00BC0E7E">
      <w:pPr>
        <w:rPr>
          <w:del w:id="2831" w:author="AbbVie19" w:date="2025-04-16T10:35:00Z"/>
          <w:bCs/>
          <w:szCs w:val="20"/>
        </w:rPr>
      </w:pPr>
    </w:p>
    <w:p w14:paraId="3CA4B731" w14:textId="77777777" w:rsidR="00BC0E7E" w:rsidRPr="00BC0E7E" w:rsidRDefault="00944B8F" w:rsidP="00BC0E7E">
      <w:pPr>
        <w:rPr>
          <w:del w:id="2832" w:author="AbbVie19" w:date="2025-04-16T10:35:00Z"/>
          <w:szCs w:val="20"/>
          <w:u w:val="single"/>
        </w:rPr>
      </w:pPr>
      <w:del w:id="2833" w:author="AbbVie19" w:date="2025-04-16T10:35:00Z">
        <w:r>
          <w:rPr>
            <w:szCs w:val="20"/>
            <w:u w:val="single"/>
          </w:rPr>
          <w:delText>Immunogenicity</w:delText>
        </w:r>
      </w:del>
    </w:p>
    <w:p w14:paraId="1614A6F3" w14:textId="77777777" w:rsidR="00BC0E7E" w:rsidRPr="00BC0E7E" w:rsidRDefault="00BC0E7E" w:rsidP="00BC0E7E">
      <w:pPr>
        <w:rPr>
          <w:del w:id="2834" w:author="AbbVie19" w:date="2025-04-16T10:35:00Z"/>
          <w:szCs w:val="20"/>
        </w:rPr>
      </w:pPr>
    </w:p>
    <w:p w14:paraId="31558215" w14:textId="77777777" w:rsidR="00BC0E7E" w:rsidRPr="00BC0E7E" w:rsidRDefault="00944B8F" w:rsidP="00BC0E7E">
      <w:pPr>
        <w:tabs>
          <w:tab w:val="left" w:pos="1294"/>
        </w:tabs>
        <w:autoSpaceDE w:val="0"/>
        <w:autoSpaceDN w:val="0"/>
        <w:adjustRightInd w:val="0"/>
        <w:rPr>
          <w:del w:id="2835" w:author="AbbVie19" w:date="2025-04-16T10:35:00Z"/>
        </w:rPr>
      </w:pPr>
      <w:del w:id="2836" w:author="AbbVie19" w:date="2025-04-16T10:35:00Z">
        <w:r w:rsidRPr="00BC0E7E">
          <w:delText>Formation of anti-adalimumab antibodies is associated with increased clearance and reduced efficacy of adalimumab. There is no apparent correlation between the presence of anti-adalimumab antibodies and the occurrence of adverse events.</w:delText>
        </w:r>
      </w:del>
    </w:p>
    <w:p w14:paraId="386C363F" w14:textId="77777777" w:rsidR="00BC0E7E" w:rsidRPr="00BC0E7E" w:rsidRDefault="00BC0E7E" w:rsidP="00BC0E7E">
      <w:pPr>
        <w:tabs>
          <w:tab w:val="left" w:pos="1294"/>
        </w:tabs>
        <w:autoSpaceDE w:val="0"/>
        <w:autoSpaceDN w:val="0"/>
        <w:adjustRightInd w:val="0"/>
        <w:rPr>
          <w:del w:id="2837" w:author="AbbVie19" w:date="2025-04-16T10:35:00Z"/>
        </w:rPr>
      </w:pPr>
    </w:p>
    <w:p w14:paraId="2A69E7D4" w14:textId="77777777" w:rsidR="00BC0E7E" w:rsidRPr="00BC0E7E" w:rsidRDefault="00944B8F" w:rsidP="00BC0E7E">
      <w:pPr>
        <w:tabs>
          <w:tab w:val="left" w:pos="1294"/>
        </w:tabs>
        <w:autoSpaceDE w:val="0"/>
        <w:autoSpaceDN w:val="0"/>
        <w:adjustRightInd w:val="0"/>
        <w:rPr>
          <w:del w:id="2838" w:author="AbbVie19" w:date="2025-04-16T10:35:00Z"/>
        </w:rPr>
      </w:pPr>
      <w:del w:id="2839" w:author="AbbVie19" w:date="2025-04-16T10:35:00Z">
        <w:r w:rsidRPr="00BC0E7E">
          <w:lastRenderedPageBreak/>
          <w:delText>In patients with polyarticular juvenile idiopathic arthritis who were 4 to 17 years, anti- adalimumab antibodies were identified in 15.8% (27/171) of patients treated with adalimumab. In patients not given concomitant methotrexate, the incidence was 25.6% (22/86) compared to 5.9% (5/85) when adalimumab was used as add-on to methotrexate.</w:delText>
        </w:r>
        <w:r w:rsidR="00203F45">
          <w:delText xml:space="preserve"> In patients with polyarticular juvenile idiopathic arthritis who were 2 to &lt; 4 years old or aged 4 and above weighing &lt;15 kg, anti-adalimumab antibodies were identified in 7% (1/15) of patients, and the one patient was receiving concomitant methotrexate.</w:delText>
        </w:r>
      </w:del>
    </w:p>
    <w:p w14:paraId="3BEF7ACB" w14:textId="77777777" w:rsidR="00BC0E7E" w:rsidRPr="00BC0E7E" w:rsidRDefault="00BC0E7E" w:rsidP="00BC0E7E">
      <w:pPr>
        <w:tabs>
          <w:tab w:val="left" w:pos="1294"/>
        </w:tabs>
        <w:autoSpaceDE w:val="0"/>
        <w:autoSpaceDN w:val="0"/>
        <w:adjustRightInd w:val="0"/>
        <w:rPr>
          <w:del w:id="2840" w:author="AbbVie19" w:date="2025-04-16T10:35:00Z"/>
        </w:rPr>
      </w:pPr>
    </w:p>
    <w:p w14:paraId="6D46A239" w14:textId="77777777" w:rsidR="00BC0E7E" w:rsidRPr="00BC0E7E" w:rsidRDefault="00944B8F" w:rsidP="00BC0E7E">
      <w:pPr>
        <w:tabs>
          <w:tab w:val="left" w:pos="1294"/>
        </w:tabs>
        <w:autoSpaceDE w:val="0"/>
        <w:autoSpaceDN w:val="0"/>
        <w:adjustRightInd w:val="0"/>
        <w:rPr>
          <w:del w:id="2841" w:author="AbbVie19" w:date="2025-04-16T10:35:00Z"/>
        </w:rPr>
      </w:pPr>
      <w:del w:id="2842" w:author="AbbVie19" w:date="2025-04-16T10:35:00Z">
        <w:r w:rsidRPr="00BC0E7E">
          <w:rPr>
            <w:szCs w:val="22"/>
          </w:rPr>
          <w:delText>In patients with enthesitis-related arthritis, anti-adalimumab antibodies were identified in 10.9% (5/46) of patients treated with adalimumab. In patients not given concomitant methotrexate, the incidence was 13.6% (3/22), compared to 8.3% (2/24) when adalimumab was used as add-on to methotrexate.</w:delText>
        </w:r>
      </w:del>
    </w:p>
    <w:p w14:paraId="49CA54CD" w14:textId="77777777" w:rsidR="00BC0E7E" w:rsidRPr="00BC0E7E" w:rsidRDefault="00BC0E7E" w:rsidP="00BC0E7E">
      <w:pPr>
        <w:tabs>
          <w:tab w:val="left" w:pos="1294"/>
        </w:tabs>
        <w:autoSpaceDE w:val="0"/>
        <w:autoSpaceDN w:val="0"/>
        <w:adjustRightInd w:val="0"/>
        <w:rPr>
          <w:del w:id="2843" w:author="AbbVie19" w:date="2025-04-16T10:35:00Z"/>
        </w:rPr>
      </w:pPr>
    </w:p>
    <w:p w14:paraId="72240C1E" w14:textId="77777777" w:rsidR="00BC0E7E" w:rsidRPr="00BC0E7E" w:rsidRDefault="00944B8F" w:rsidP="00BC0E7E">
      <w:pPr>
        <w:tabs>
          <w:tab w:val="left" w:pos="1294"/>
        </w:tabs>
        <w:autoSpaceDE w:val="0"/>
        <w:autoSpaceDN w:val="0"/>
        <w:adjustRightInd w:val="0"/>
        <w:rPr>
          <w:del w:id="2844" w:author="AbbVie19" w:date="2025-04-16T10:35:00Z"/>
        </w:rPr>
      </w:pPr>
      <w:del w:id="2845" w:author="AbbVie19" w:date="2025-04-16T10:35:00Z">
        <w:r w:rsidRPr="00BC0E7E">
          <w:delText xml:space="preserve">Patients in rheumatoid arthritis studies I, II and III were tested at multiple time points for anti-adalimumab antibodies during the 6 to 12 month period. In the pivotal trials, anti-adalimumab antibodies were identified in 5.5% (58/1053) of patients treated with adalimumab, compared to 0.5% (2/370) on placebo. In patients not given concomitant methotrexate, the incidence was 12.4%, compared to 0.6% when adalimumab was used as add-on to methotrexate.  </w:delText>
        </w:r>
      </w:del>
    </w:p>
    <w:p w14:paraId="6BF1DE52" w14:textId="77777777" w:rsidR="00BC0E7E" w:rsidRPr="00BC0E7E" w:rsidRDefault="00BC0E7E" w:rsidP="00BC0E7E">
      <w:pPr>
        <w:tabs>
          <w:tab w:val="left" w:pos="1294"/>
        </w:tabs>
        <w:autoSpaceDE w:val="0"/>
        <w:autoSpaceDN w:val="0"/>
        <w:adjustRightInd w:val="0"/>
        <w:rPr>
          <w:del w:id="2846" w:author="AbbVie19" w:date="2025-04-16T10:35:00Z"/>
        </w:rPr>
      </w:pPr>
    </w:p>
    <w:p w14:paraId="38EAE0B5" w14:textId="77777777" w:rsidR="00BC0E7E" w:rsidRPr="00BC0E7E" w:rsidRDefault="00944B8F" w:rsidP="00BC0E7E">
      <w:pPr>
        <w:tabs>
          <w:tab w:val="left" w:pos="1294"/>
        </w:tabs>
        <w:autoSpaceDE w:val="0"/>
        <w:autoSpaceDN w:val="0"/>
        <w:adjustRightInd w:val="0"/>
        <w:rPr>
          <w:del w:id="2847" w:author="AbbVie19" w:date="2025-04-16T10:35:00Z"/>
          <w:bCs/>
          <w:iCs/>
          <w:szCs w:val="20"/>
        </w:rPr>
      </w:pPr>
      <w:del w:id="2848" w:author="AbbVie19" w:date="2025-04-16T10:35:00Z">
        <w:r w:rsidRPr="00BC0E7E">
          <w:rPr>
            <w:bCs/>
            <w:iCs/>
            <w:szCs w:val="20"/>
          </w:rPr>
          <w:delText>In patients with paediatric psoriasis, anti-adalimumab antibodies were identified in 5/38 subjects (13%) treated with 0.8 mg/kg adalimumab monotherapy.</w:delText>
        </w:r>
      </w:del>
    </w:p>
    <w:p w14:paraId="25BB4F68" w14:textId="77777777" w:rsidR="00BC0E7E" w:rsidRPr="00BC0E7E" w:rsidRDefault="00BC0E7E" w:rsidP="00BC0E7E">
      <w:pPr>
        <w:tabs>
          <w:tab w:val="left" w:pos="1294"/>
        </w:tabs>
        <w:autoSpaceDE w:val="0"/>
        <w:autoSpaceDN w:val="0"/>
        <w:adjustRightInd w:val="0"/>
        <w:rPr>
          <w:del w:id="2849" w:author="AbbVie19" w:date="2025-04-16T10:35:00Z"/>
          <w:bCs/>
          <w:iCs/>
          <w:szCs w:val="20"/>
        </w:rPr>
      </w:pPr>
    </w:p>
    <w:p w14:paraId="1DE1FF7B" w14:textId="77777777" w:rsidR="00BC0E7E" w:rsidRPr="00BC0E7E" w:rsidRDefault="00944B8F" w:rsidP="00BC0E7E">
      <w:pPr>
        <w:tabs>
          <w:tab w:val="left" w:pos="1294"/>
        </w:tabs>
        <w:autoSpaceDE w:val="0"/>
        <w:autoSpaceDN w:val="0"/>
        <w:adjustRightInd w:val="0"/>
        <w:rPr>
          <w:del w:id="2850" w:author="AbbVie19" w:date="2025-04-16T10:35:00Z"/>
          <w:bCs/>
          <w:iCs/>
          <w:szCs w:val="20"/>
        </w:rPr>
      </w:pPr>
      <w:del w:id="2851" w:author="AbbVie19" w:date="2025-04-16T10:35:00Z">
        <w:r w:rsidRPr="00BC0E7E">
          <w:rPr>
            <w:bCs/>
            <w:iCs/>
            <w:szCs w:val="20"/>
          </w:rPr>
          <w:delText>In adult patients with psoriasis, anti-adalimumab antibodies were identified in 77/920 subjects (8.4%) treated with adalimumab monotherapy.</w:delText>
        </w:r>
      </w:del>
    </w:p>
    <w:p w14:paraId="0212DC17" w14:textId="77777777" w:rsidR="00203F45" w:rsidRDefault="00203F45" w:rsidP="00203F45">
      <w:pPr>
        <w:tabs>
          <w:tab w:val="left" w:pos="1294"/>
        </w:tabs>
        <w:autoSpaceDE w:val="0"/>
        <w:autoSpaceDN w:val="0"/>
        <w:adjustRightInd w:val="0"/>
        <w:rPr>
          <w:del w:id="2852" w:author="AbbVie19" w:date="2025-04-16T10:35:00Z"/>
          <w:bCs/>
          <w:iCs/>
          <w:szCs w:val="20"/>
        </w:rPr>
      </w:pPr>
    </w:p>
    <w:p w14:paraId="28921FFF" w14:textId="77777777" w:rsidR="00203F45" w:rsidRPr="002A3533" w:rsidRDefault="00944B8F" w:rsidP="00203F45">
      <w:pPr>
        <w:tabs>
          <w:tab w:val="left" w:pos="1294"/>
        </w:tabs>
        <w:autoSpaceDE w:val="0"/>
        <w:autoSpaceDN w:val="0"/>
        <w:adjustRightInd w:val="0"/>
        <w:rPr>
          <w:del w:id="2853" w:author="AbbVie19" w:date="2025-04-16T10:35:00Z"/>
          <w:bCs/>
          <w:iCs/>
          <w:szCs w:val="20"/>
        </w:rPr>
      </w:pPr>
      <w:del w:id="2854" w:author="AbbVie19" w:date="2025-04-16T10:35:00Z">
        <w:r w:rsidRPr="002A3533">
          <w:delText>In adult plaque psoriasis patients on long term adalimumab monotherapy who participated in a withdrawal and retreatment study, the rate of antibodies to adalimumab after retreatment (11 of 482 subjects, 2.3%) was similar to the rate observed prior to withdrawal (11 of 590 subjects, 1.9%).</w:delText>
        </w:r>
      </w:del>
    </w:p>
    <w:p w14:paraId="08E2319D" w14:textId="77777777" w:rsidR="00BC0E7E" w:rsidRPr="00BC0E7E" w:rsidRDefault="00BC0E7E" w:rsidP="00BC0E7E">
      <w:pPr>
        <w:tabs>
          <w:tab w:val="left" w:pos="1294"/>
        </w:tabs>
        <w:autoSpaceDE w:val="0"/>
        <w:autoSpaceDN w:val="0"/>
        <w:adjustRightInd w:val="0"/>
        <w:rPr>
          <w:del w:id="2855" w:author="AbbVie19" w:date="2025-04-16T10:35:00Z"/>
        </w:rPr>
      </w:pPr>
    </w:p>
    <w:p w14:paraId="68961273" w14:textId="77777777" w:rsidR="00BC0E7E" w:rsidRPr="00BC0E7E" w:rsidRDefault="00944B8F" w:rsidP="00BC0E7E">
      <w:pPr>
        <w:tabs>
          <w:tab w:val="left" w:pos="1294"/>
        </w:tabs>
        <w:autoSpaceDE w:val="0"/>
        <w:autoSpaceDN w:val="0"/>
        <w:adjustRightInd w:val="0"/>
        <w:rPr>
          <w:del w:id="2856" w:author="AbbVie19" w:date="2025-04-16T10:35:00Z"/>
          <w:bCs/>
          <w:iCs/>
          <w:szCs w:val="20"/>
        </w:rPr>
      </w:pPr>
      <w:del w:id="2857" w:author="AbbVie19" w:date="2025-04-16T10:35:00Z">
        <w:r w:rsidRPr="00BC0E7E">
          <w:rPr>
            <w:bCs/>
            <w:iCs/>
            <w:szCs w:val="20"/>
          </w:rPr>
          <w:delText xml:space="preserve">In patients with moderately to severely active paediatric Crohn’s disease, the rate of anti-adalimumab antibody development in patients receiving adalimumab was 3.3%. </w:delText>
        </w:r>
      </w:del>
    </w:p>
    <w:p w14:paraId="604EAB61" w14:textId="77777777" w:rsidR="00203F45" w:rsidRDefault="00203F45" w:rsidP="00203F45">
      <w:pPr>
        <w:tabs>
          <w:tab w:val="left" w:pos="1294"/>
        </w:tabs>
        <w:autoSpaceDE w:val="0"/>
        <w:autoSpaceDN w:val="0"/>
        <w:adjustRightInd w:val="0"/>
        <w:rPr>
          <w:del w:id="2858" w:author="AbbVie19" w:date="2025-04-16T10:35:00Z"/>
          <w:bCs/>
          <w:iCs/>
          <w:szCs w:val="20"/>
        </w:rPr>
      </w:pPr>
    </w:p>
    <w:p w14:paraId="45118DC4" w14:textId="77777777" w:rsidR="00203F45" w:rsidRPr="00584763" w:rsidRDefault="00944B8F" w:rsidP="00203F45">
      <w:pPr>
        <w:tabs>
          <w:tab w:val="left" w:pos="1294"/>
        </w:tabs>
        <w:autoSpaceDE w:val="0"/>
        <w:autoSpaceDN w:val="0"/>
        <w:adjustRightInd w:val="0"/>
        <w:rPr>
          <w:del w:id="2859" w:author="AbbVie19" w:date="2025-04-16T10:35:00Z"/>
          <w:bCs/>
          <w:iCs/>
          <w:szCs w:val="20"/>
        </w:rPr>
      </w:pPr>
      <w:del w:id="2860" w:author="AbbVie19" w:date="2025-04-16T10:35:00Z">
        <w:r w:rsidRPr="002A3533">
          <w:delText xml:space="preserve">In </w:delText>
        </w:r>
        <w:r>
          <w:delText xml:space="preserve">adult </w:delText>
        </w:r>
        <w:r w:rsidRPr="002A3533">
          <w:delText>patients with Crohn’s disease, anti-adalimumab antibodies were identified in 7/269 subjects (2.6%).</w:delText>
        </w:r>
      </w:del>
    </w:p>
    <w:p w14:paraId="4D7876C3" w14:textId="77777777" w:rsidR="00203F45" w:rsidRDefault="00203F45" w:rsidP="00203F45">
      <w:pPr>
        <w:tabs>
          <w:tab w:val="left" w:pos="1294"/>
        </w:tabs>
        <w:autoSpaceDE w:val="0"/>
        <w:autoSpaceDN w:val="0"/>
        <w:adjustRightInd w:val="0"/>
        <w:rPr>
          <w:del w:id="2861" w:author="AbbVie19" w:date="2025-04-16T10:35:00Z"/>
        </w:rPr>
      </w:pPr>
    </w:p>
    <w:p w14:paraId="2170F986" w14:textId="77777777" w:rsidR="00203F45" w:rsidRPr="008805F3" w:rsidRDefault="00944B8F" w:rsidP="00203F45">
      <w:pPr>
        <w:tabs>
          <w:tab w:val="left" w:pos="1294"/>
        </w:tabs>
        <w:autoSpaceDE w:val="0"/>
        <w:autoSpaceDN w:val="0"/>
        <w:adjustRightInd w:val="0"/>
        <w:rPr>
          <w:del w:id="2862" w:author="AbbVie19" w:date="2025-04-16T10:35:00Z"/>
          <w:bCs/>
          <w:iCs/>
          <w:szCs w:val="20"/>
        </w:rPr>
      </w:pPr>
      <w:del w:id="2863" w:author="AbbVie19" w:date="2025-04-16T10:35:00Z">
        <w:r w:rsidRPr="008805F3">
          <w:rPr>
            <w:bCs/>
            <w:iCs/>
            <w:szCs w:val="20"/>
          </w:rPr>
          <w:delText xml:space="preserve">In </w:delText>
        </w:r>
        <w:r>
          <w:rPr>
            <w:bCs/>
            <w:iCs/>
            <w:szCs w:val="20"/>
          </w:rPr>
          <w:delText xml:space="preserve">adult </w:delText>
        </w:r>
        <w:r w:rsidRPr="008805F3">
          <w:rPr>
            <w:bCs/>
            <w:iCs/>
            <w:szCs w:val="20"/>
          </w:rPr>
          <w:delText>patients with non-infectious uveitis, anti-adalimumab antibodies were identified in 4.8% (12/249) of patients treated with adalimumab.</w:delText>
        </w:r>
      </w:del>
    </w:p>
    <w:p w14:paraId="062145A0" w14:textId="77777777" w:rsidR="00BC0E7E" w:rsidRPr="00BC0E7E" w:rsidRDefault="00BC0E7E" w:rsidP="00BC0E7E">
      <w:pPr>
        <w:rPr>
          <w:del w:id="2864" w:author="AbbVie19" w:date="2025-04-16T10:35:00Z"/>
          <w:szCs w:val="20"/>
        </w:rPr>
      </w:pPr>
    </w:p>
    <w:p w14:paraId="4578CA97" w14:textId="77777777" w:rsidR="001C6054" w:rsidRDefault="00944B8F" w:rsidP="001C6054">
      <w:pPr>
        <w:rPr>
          <w:del w:id="2865" w:author="AbbVie19" w:date="2025-04-16T10:35:00Z"/>
        </w:rPr>
      </w:pPr>
      <w:del w:id="2866" w:author="AbbVie19" w:date="2025-04-16T10:35:00Z">
        <w:r>
          <w:delText xml:space="preserve">In patients with moderately to severely active paediatric ulcerative colitis, the rate of anti-adalimumab antibody development in patients receiving adalimumab was </w:delText>
        </w:r>
        <w:r w:rsidR="008A7D66">
          <w:delText>3</w:delText>
        </w:r>
        <w:r>
          <w:delText>%.</w:delText>
        </w:r>
      </w:del>
    </w:p>
    <w:p w14:paraId="4600D6ED" w14:textId="77777777" w:rsidR="001C6054" w:rsidRDefault="001C6054" w:rsidP="00BC0E7E">
      <w:pPr>
        <w:rPr>
          <w:del w:id="2867" w:author="AbbVie19" w:date="2025-04-16T10:35:00Z"/>
          <w:szCs w:val="20"/>
        </w:rPr>
      </w:pPr>
    </w:p>
    <w:p w14:paraId="2942144C" w14:textId="77777777" w:rsidR="00BC0E7E" w:rsidRPr="00BC0E7E" w:rsidRDefault="00944B8F" w:rsidP="00BC0E7E">
      <w:pPr>
        <w:rPr>
          <w:del w:id="2868" w:author="AbbVie19" w:date="2025-04-16T10:35:00Z"/>
          <w:szCs w:val="20"/>
        </w:rPr>
      </w:pPr>
      <w:del w:id="2869" w:author="AbbVie19" w:date="2025-04-16T10:35:00Z">
        <w:r w:rsidRPr="00BC0E7E">
          <w:rPr>
            <w:szCs w:val="20"/>
          </w:rPr>
          <w:delText>Because immunogenicity analyses are product-specific, comparison of antibody rates with those from other products is not appropriate.</w:delText>
        </w:r>
      </w:del>
    </w:p>
    <w:p w14:paraId="6711650C" w14:textId="77777777" w:rsidR="00BC0E7E" w:rsidRPr="00BC0E7E" w:rsidRDefault="00BC0E7E" w:rsidP="00BC0E7E">
      <w:pPr>
        <w:rPr>
          <w:del w:id="2870" w:author="AbbVie19" w:date="2025-04-16T10:35:00Z"/>
          <w:szCs w:val="20"/>
        </w:rPr>
      </w:pPr>
    </w:p>
    <w:p w14:paraId="215E7B77" w14:textId="77777777" w:rsidR="00BC0E7E" w:rsidRPr="00BC0E7E" w:rsidRDefault="00944B8F" w:rsidP="00BC0E7E">
      <w:pPr>
        <w:keepNext/>
        <w:rPr>
          <w:del w:id="2871" w:author="AbbVie19" w:date="2025-04-16T10:35:00Z"/>
          <w:szCs w:val="20"/>
          <w:u w:val="single"/>
        </w:rPr>
      </w:pPr>
      <w:del w:id="2872" w:author="AbbVie19" w:date="2025-04-16T10:35:00Z">
        <w:r w:rsidRPr="00BC0E7E">
          <w:rPr>
            <w:szCs w:val="20"/>
            <w:u w:val="single"/>
          </w:rPr>
          <w:delText>Paediatric population</w:delText>
        </w:r>
      </w:del>
    </w:p>
    <w:p w14:paraId="40B3529B" w14:textId="77777777" w:rsidR="00BC0E7E" w:rsidRPr="00BC0E7E" w:rsidRDefault="00BC0E7E" w:rsidP="00BC0E7E">
      <w:pPr>
        <w:keepNext/>
        <w:rPr>
          <w:del w:id="2873" w:author="AbbVie19" w:date="2025-04-16T10:35:00Z"/>
          <w:szCs w:val="22"/>
          <w:lang w:eastAsia="en-GB"/>
        </w:rPr>
      </w:pPr>
    </w:p>
    <w:p w14:paraId="3A74DE00" w14:textId="77777777" w:rsidR="008A7D66" w:rsidRPr="00BC0E7E" w:rsidRDefault="00944B8F" w:rsidP="008A7D66">
      <w:pPr>
        <w:keepNext/>
        <w:rPr>
          <w:del w:id="2874" w:author="AbbVie19" w:date="2025-04-16T10:35:00Z"/>
          <w:szCs w:val="20"/>
        </w:rPr>
      </w:pPr>
      <w:del w:id="2875" w:author="AbbVie19" w:date="2025-04-16T10:35:00Z">
        <w:r w:rsidRPr="00BC0E7E">
          <w:rPr>
            <w:bCs/>
            <w:i/>
            <w:iCs/>
            <w:szCs w:val="22"/>
          </w:rPr>
          <w:delText>Juvenile idiopathic arthritis (JIA)</w:delText>
        </w:r>
      </w:del>
    </w:p>
    <w:p w14:paraId="307569BD" w14:textId="77777777" w:rsidR="008A7D66" w:rsidRPr="00BC0E7E" w:rsidRDefault="008A7D66" w:rsidP="008A7D66">
      <w:pPr>
        <w:rPr>
          <w:del w:id="2876" w:author="AbbVie19" w:date="2025-04-16T10:35:00Z"/>
          <w:bCs/>
          <w:iCs/>
          <w:szCs w:val="22"/>
          <w:u w:val="single"/>
        </w:rPr>
      </w:pPr>
    </w:p>
    <w:p w14:paraId="236632EE" w14:textId="77777777" w:rsidR="008A7D66" w:rsidRPr="00BC0E7E" w:rsidRDefault="00944B8F" w:rsidP="008A7D66">
      <w:pPr>
        <w:rPr>
          <w:del w:id="2877" w:author="AbbVie19" w:date="2025-04-16T10:35:00Z"/>
          <w:bCs/>
          <w:iCs/>
          <w:szCs w:val="22"/>
          <w:u w:val="single"/>
        </w:rPr>
      </w:pPr>
      <w:del w:id="2878" w:author="AbbVie19" w:date="2025-04-16T10:35:00Z">
        <w:r w:rsidRPr="00BC0E7E">
          <w:rPr>
            <w:bCs/>
            <w:i/>
            <w:iCs/>
            <w:szCs w:val="22"/>
            <w:u w:val="single"/>
          </w:rPr>
          <w:delText>Polyarticular juvenile</w:delText>
        </w:r>
        <w:r w:rsidRPr="00BC0E7E">
          <w:rPr>
            <w:i/>
            <w:iCs/>
            <w:szCs w:val="22"/>
            <w:u w:val="single"/>
          </w:rPr>
          <w:delText xml:space="preserve"> </w:delText>
        </w:r>
        <w:r w:rsidRPr="00BC0E7E">
          <w:rPr>
            <w:bCs/>
            <w:i/>
            <w:iCs/>
            <w:szCs w:val="22"/>
            <w:u w:val="single"/>
          </w:rPr>
          <w:delText>idiopathic</w:delText>
        </w:r>
        <w:r w:rsidRPr="00BC0E7E">
          <w:rPr>
            <w:i/>
            <w:iCs/>
            <w:szCs w:val="22"/>
            <w:u w:val="single"/>
          </w:rPr>
          <w:delText xml:space="preserve"> </w:delText>
        </w:r>
        <w:r w:rsidRPr="00BC0E7E">
          <w:rPr>
            <w:bCs/>
            <w:i/>
            <w:iCs/>
            <w:szCs w:val="22"/>
            <w:u w:val="single"/>
          </w:rPr>
          <w:delText>arthritis (pJIA)</w:delText>
        </w:r>
      </w:del>
    </w:p>
    <w:p w14:paraId="22BCA1F0" w14:textId="77777777" w:rsidR="008A7D66" w:rsidRPr="00BC0E7E" w:rsidRDefault="008A7D66" w:rsidP="008A7D66">
      <w:pPr>
        <w:rPr>
          <w:del w:id="2879" w:author="AbbVie19" w:date="2025-04-16T10:35:00Z"/>
          <w:bCs/>
          <w:iCs/>
          <w:szCs w:val="22"/>
          <w:u w:val="single"/>
        </w:rPr>
      </w:pPr>
    </w:p>
    <w:p w14:paraId="399D46FC" w14:textId="77777777" w:rsidR="008A7D66" w:rsidRPr="00BC0E7E" w:rsidRDefault="00944B8F" w:rsidP="008A7D66">
      <w:pPr>
        <w:rPr>
          <w:del w:id="2880" w:author="AbbVie19" w:date="2025-04-16T10:35:00Z"/>
          <w:bCs/>
          <w:iCs/>
          <w:szCs w:val="22"/>
        </w:rPr>
      </w:pPr>
      <w:del w:id="2881" w:author="AbbVie19" w:date="2025-04-16T10:35:00Z">
        <w:r w:rsidRPr="00BC0E7E">
          <w:rPr>
            <w:bCs/>
            <w:iCs/>
            <w:szCs w:val="22"/>
          </w:rPr>
          <w:delText>The safety and efficacy of Humira was assessed in two studies (pJIA I and II) in children with active polyarticular or polyarticular course juvenile idiopathic arthritis, who had a variety of JIA onset types (most frequently rheumatoid-factor negative or positive polyarthritis and extended oligoarthritis).</w:delText>
        </w:r>
      </w:del>
    </w:p>
    <w:p w14:paraId="61B9005F" w14:textId="77777777" w:rsidR="008A7D66" w:rsidRPr="00BC0E7E" w:rsidRDefault="008A7D66" w:rsidP="008A7D66">
      <w:pPr>
        <w:keepNext/>
        <w:rPr>
          <w:del w:id="2882" w:author="AbbVie19" w:date="2025-04-16T10:35:00Z"/>
          <w:iCs/>
          <w:szCs w:val="22"/>
          <w:u w:val="single"/>
        </w:rPr>
      </w:pPr>
    </w:p>
    <w:p w14:paraId="115019A7" w14:textId="77777777" w:rsidR="008A7D66" w:rsidRPr="00BC0E7E" w:rsidRDefault="00944B8F" w:rsidP="003F5ADF">
      <w:pPr>
        <w:keepNext/>
        <w:rPr>
          <w:del w:id="2883" w:author="AbbVie19" w:date="2025-04-16T10:35:00Z"/>
          <w:bCs/>
          <w:iCs/>
          <w:szCs w:val="22"/>
        </w:rPr>
      </w:pPr>
      <w:del w:id="2884" w:author="AbbVie19" w:date="2025-04-16T10:35:00Z">
        <w:r w:rsidRPr="00BC0E7E">
          <w:rPr>
            <w:bCs/>
            <w:iCs/>
            <w:szCs w:val="22"/>
          </w:rPr>
          <w:delText>pJIA I</w:delText>
        </w:r>
      </w:del>
    </w:p>
    <w:p w14:paraId="48F4C6AD" w14:textId="77777777" w:rsidR="008A7D66" w:rsidRPr="00BC0E7E" w:rsidRDefault="008A7D66" w:rsidP="003F5ADF">
      <w:pPr>
        <w:keepNext/>
        <w:jc w:val="both"/>
        <w:rPr>
          <w:del w:id="2885" w:author="AbbVie19" w:date="2025-04-16T10:35:00Z"/>
          <w:sz w:val="16"/>
          <w:szCs w:val="16"/>
        </w:rPr>
      </w:pPr>
    </w:p>
    <w:p w14:paraId="7176BEB9" w14:textId="77777777" w:rsidR="008A7D66" w:rsidRPr="00BC0E7E" w:rsidRDefault="00944B8F" w:rsidP="003F5ADF">
      <w:pPr>
        <w:keepNext/>
        <w:tabs>
          <w:tab w:val="left" w:pos="6840"/>
        </w:tabs>
        <w:autoSpaceDE w:val="0"/>
        <w:autoSpaceDN w:val="0"/>
        <w:adjustRightInd w:val="0"/>
        <w:ind w:right="53"/>
        <w:rPr>
          <w:del w:id="2886" w:author="AbbVie19" w:date="2025-04-16T10:35:00Z"/>
        </w:rPr>
      </w:pPr>
      <w:del w:id="2887" w:author="AbbVie19" w:date="2025-04-16T10:35:00Z">
        <w:r w:rsidRPr="00BC0E7E">
          <w:delText xml:space="preserve">The safety and efficacy of Humira were assessed in a multicentre, randomised, double-blind, parallel − group study in 171 children (4-17 years old) with polyarticular JIA. In the open-label lead in phase (OL LI) patients were stratified into two groups, MTX (methotrexate)-treated or non- MTX-treated. Patients who were in the non-MTX stratum were either naïve to or had been withdrawn from MTX at least two weeks prior to study drug administration. Patients remained on stable doses of </w:delText>
        </w:r>
        <w:r w:rsidRPr="00BC0E7E">
          <w:rPr>
            <w:szCs w:val="20"/>
          </w:rPr>
          <w:delText>non</w:delText>
        </w:r>
        <w:r>
          <w:rPr>
            <w:szCs w:val="20"/>
          </w:rPr>
          <w:delText>-</w:delText>
        </w:r>
        <w:r w:rsidRPr="00BC0E7E">
          <w:rPr>
            <w:szCs w:val="20"/>
          </w:rPr>
          <w:delText>steroidal anti-inflammatory drugs</w:delText>
        </w:r>
        <w:r>
          <w:rPr>
            <w:szCs w:val="20"/>
          </w:rPr>
          <w:delText xml:space="preserve"> (</w:delText>
        </w:r>
        <w:r w:rsidRPr="00BC0E7E">
          <w:delText>NSAIDs</w:delText>
        </w:r>
        <w:r>
          <w:delText>)</w:delText>
        </w:r>
        <w:r w:rsidRPr="00BC0E7E">
          <w:delText xml:space="preserve"> and or prednisone (</w:delText>
        </w:r>
        <w:r w:rsidRPr="00BC0E7E">
          <w:rPr>
            <w:rFonts w:ascii="Symbol" w:eastAsia="Symbol" w:hAnsi="Symbol" w:cs="Symbol"/>
            <w:szCs w:val="22"/>
          </w:rPr>
          <w:sym w:font="Symbol" w:char="F0A3"/>
        </w:r>
        <w:r w:rsidRPr="00BC0E7E">
          <w:delText xml:space="preserve"> 0.2 mg /kg/day or 10 mg/day maximum). In the OL LI phase all patients received 24 mg/m</w:delText>
        </w:r>
        <w:r w:rsidRPr="00BC0E7E">
          <w:rPr>
            <w:vertAlign w:val="superscript"/>
          </w:rPr>
          <w:delText xml:space="preserve">2 </w:delText>
        </w:r>
        <w:r w:rsidRPr="00BC0E7E">
          <w:delText xml:space="preserve">up to a maximum of 40 mg Humira every other week for 16 weeks. The distribution of patients by age and minimum, median and maximum dose received during the OL LI phase is presented in Table </w:delText>
        </w:r>
        <w:r w:rsidR="005F03EC">
          <w:delText>20</w:delText>
        </w:r>
        <w:r w:rsidRPr="00BC0E7E">
          <w:delText>.</w:delText>
        </w:r>
      </w:del>
    </w:p>
    <w:p w14:paraId="737FC447" w14:textId="77777777" w:rsidR="008A7D66" w:rsidRPr="00BC0E7E" w:rsidRDefault="008A7D66" w:rsidP="008A7D66">
      <w:pPr>
        <w:tabs>
          <w:tab w:val="left" w:pos="6840"/>
        </w:tabs>
        <w:autoSpaceDE w:val="0"/>
        <w:autoSpaceDN w:val="0"/>
        <w:adjustRightInd w:val="0"/>
        <w:ind w:right="53"/>
        <w:rPr>
          <w:del w:id="2888" w:author="AbbVie19" w:date="2025-04-16T10:35:00Z"/>
        </w:rPr>
      </w:pPr>
    </w:p>
    <w:p w14:paraId="0799C86A" w14:textId="77777777" w:rsidR="008A7D66" w:rsidRPr="00BC0E7E" w:rsidRDefault="00944B8F" w:rsidP="008A7D66">
      <w:pPr>
        <w:tabs>
          <w:tab w:val="clear" w:pos="562"/>
        </w:tabs>
        <w:ind w:left="110" w:right="53"/>
        <w:jc w:val="center"/>
        <w:rPr>
          <w:del w:id="2889" w:author="AbbVie19" w:date="2025-04-16T10:35:00Z"/>
          <w:b/>
          <w:szCs w:val="22"/>
        </w:rPr>
      </w:pPr>
      <w:del w:id="2890" w:author="AbbVie19" w:date="2025-04-16T10:35:00Z">
        <w:r w:rsidRPr="00BC0E7E">
          <w:rPr>
            <w:b/>
            <w:szCs w:val="22"/>
          </w:rPr>
          <w:delText xml:space="preserve">Table </w:delText>
        </w:r>
        <w:r w:rsidR="005F03EC">
          <w:rPr>
            <w:b/>
            <w:szCs w:val="22"/>
          </w:rPr>
          <w:delText>20</w:delText>
        </w:r>
      </w:del>
    </w:p>
    <w:p w14:paraId="31AA3E49" w14:textId="77777777" w:rsidR="008A7D66" w:rsidRPr="00BC0E7E" w:rsidRDefault="00944B8F" w:rsidP="008A7D66">
      <w:pPr>
        <w:tabs>
          <w:tab w:val="clear" w:pos="562"/>
        </w:tabs>
        <w:ind w:left="110" w:right="53"/>
        <w:jc w:val="center"/>
        <w:rPr>
          <w:del w:id="2891" w:author="AbbVie19" w:date="2025-04-16T10:35:00Z"/>
          <w:b/>
          <w:szCs w:val="22"/>
        </w:rPr>
      </w:pPr>
      <w:del w:id="2892" w:author="AbbVie19" w:date="2025-04-16T10:35:00Z">
        <w:r w:rsidRPr="00BC0E7E">
          <w:rPr>
            <w:b/>
            <w:szCs w:val="22"/>
          </w:rPr>
          <w:delText>Distribution of patients by age and adalimumab dose received during the OL LI phase</w:delText>
        </w:r>
      </w:del>
    </w:p>
    <w:p w14:paraId="6B243DB3" w14:textId="77777777" w:rsidR="008A7D66" w:rsidRPr="00BC0E7E" w:rsidRDefault="008A7D66" w:rsidP="008A7D66">
      <w:pPr>
        <w:tabs>
          <w:tab w:val="clear" w:pos="562"/>
        </w:tabs>
        <w:ind w:left="110" w:right="53"/>
        <w:jc w:val="center"/>
        <w:rPr>
          <w:del w:id="2893" w:author="AbbVie19" w:date="2025-04-16T10:35:00Z"/>
          <w:b/>
          <w:bCs/>
          <w:sz w:val="24"/>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8"/>
        <w:gridCol w:w="3520"/>
        <w:gridCol w:w="3239"/>
      </w:tblGrid>
      <w:tr w:rsidR="00C6578C" w14:paraId="0AA3DCD2" w14:textId="77777777" w:rsidTr="008A7D66">
        <w:trPr>
          <w:cantSplit/>
          <w:del w:id="2894" w:author="AbbVie19" w:date="2025-04-16T10:35:00Z"/>
        </w:trPr>
        <w:tc>
          <w:tcPr>
            <w:tcW w:w="2418" w:type="dxa"/>
          </w:tcPr>
          <w:p w14:paraId="685FEB4B" w14:textId="77777777" w:rsidR="008A7D66" w:rsidRPr="00BC0E7E" w:rsidRDefault="00944B8F" w:rsidP="008A7D66">
            <w:pPr>
              <w:tabs>
                <w:tab w:val="clear" w:pos="562"/>
              </w:tabs>
              <w:ind w:right="53"/>
              <w:rPr>
                <w:del w:id="2895" w:author="AbbVie19" w:date="2025-04-16T10:35:00Z"/>
                <w:b/>
                <w:bCs/>
              </w:rPr>
            </w:pPr>
            <w:del w:id="2896" w:author="AbbVie19" w:date="2025-04-16T10:35:00Z">
              <w:r w:rsidRPr="00BC0E7E">
                <w:rPr>
                  <w:b/>
                  <w:bCs/>
                </w:rPr>
                <w:delText>Age Group</w:delText>
              </w:r>
            </w:del>
          </w:p>
        </w:tc>
        <w:tc>
          <w:tcPr>
            <w:tcW w:w="3520" w:type="dxa"/>
          </w:tcPr>
          <w:p w14:paraId="42D29268" w14:textId="77777777" w:rsidR="008A7D66" w:rsidRPr="00BC0E7E" w:rsidRDefault="00944B8F" w:rsidP="008A7D66">
            <w:pPr>
              <w:tabs>
                <w:tab w:val="clear" w:pos="562"/>
              </w:tabs>
              <w:ind w:right="53"/>
              <w:rPr>
                <w:del w:id="2897" w:author="AbbVie19" w:date="2025-04-16T10:35:00Z"/>
                <w:b/>
                <w:bCs/>
              </w:rPr>
            </w:pPr>
            <w:del w:id="2898" w:author="AbbVie19" w:date="2025-04-16T10:35:00Z">
              <w:r w:rsidRPr="00BC0E7E">
                <w:rPr>
                  <w:b/>
                  <w:bCs/>
                </w:rPr>
                <w:delText>Number of patients at Baseline n (%)</w:delText>
              </w:r>
            </w:del>
          </w:p>
        </w:tc>
        <w:tc>
          <w:tcPr>
            <w:tcW w:w="3239" w:type="dxa"/>
          </w:tcPr>
          <w:p w14:paraId="23478AC8" w14:textId="77777777" w:rsidR="008A7D66" w:rsidRPr="00BC0E7E" w:rsidRDefault="00944B8F" w:rsidP="008A7D66">
            <w:pPr>
              <w:tabs>
                <w:tab w:val="clear" w:pos="562"/>
              </w:tabs>
              <w:ind w:right="53"/>
              <w:rPr>
                <w:del w:id="2899" w:author="AbbVie19" w:date="2025-04-16T10:35:00Z"/>
                <w:b/>
                <w:bCs/>
              </w:rPr>
            </w:pPr>
            <w:del w:id="2900" w:author="AbbVie19" w:date="2025-04-16T10:35:00Z">
              <w:r w:rsidRPr="00BC0E7E">
                <w:rPr>
                  <w:b/>
                  <w:bCs/>
                </w:rPr>
                <w:delText>Minimum, median and maximum dose</w:delText>
              </w:r>
            </w:del>
          </w:p>
        </w:tc>
      </w:tr>
      <w:tr w:rsidR="00C6578C" w14:paraId="50642AC8" w14:textId="77777777" w:rsidTr="008A7D66">
        <w:trPr>
          <w:cantSplit/>
          <w:del w:id="2901" w:author="AbbVie19" w:date="2025-04-16T10:35:00Z"/>
        </w:trPr>
        <w:tc>
          <w:tcPr>
            <w:tcW w:w="2418" w:type="dxa"/>
          </w:tcPr>
          <w:p w14:paraId="4B5B26AD" w14:textId="77777777" w:rsidR="008A7D66" w:rsidRPr="00BC0E7E" w:rsidRDefault="00944B8F" w:rsidP="008A7D66">
            <w:pPr>
              <w:tabs>
                <w:tab w:val="clear" w:pos="562"/>
              </w:tabs>
              <w:ind w:right="53"/>
              <w:rPr>
                <w:del w:id="2902" w:author="AbbVie19" w:date="2025-04-16T10:35:00Z"/>
                <w:bCs/>
              </w:rPr>
            </w:pPr>
            <w:del w:id="2903" w:author="AbbVie19" w:date="2025-04-16T10:35:00Z">
              <w:r w:rsidRPr="00BC0E7E">
                <w:rPr>
                  <w:bCs/>
                </w:rPr>
                <w:delText>4 to 7 years</w:delText>
              </w:r>
            </w:del>
          </w:p>
        </w:tc>
        <w:tc>
          <w:tcPr>
            <w:tcW w:w="3520" w:type="dxa"/>
          </w:tcPr>
          <w:p w14:paraId="02E79225" w14:textId="77777777" w:rsidR="008A7D66" w:rsidRPr="00BC0E7E" w:rsidRDefault="00944B8F" w:rsidP="008A7D66">
            <w:pPr>
              <w:tabs>
                <w:tab w:val="clear" w:pos="562"/>
              </w:tabs>
              <w:ind w:right="53"/>
              <w:rPr>
                <w:del w:id="2904" w:author="AbbVie19" w:date="2025-04-16T10:35:00Z"/>
                <w:bCs/>
              </w:rPr>
            </w:pPr>
            <w:del w:id="2905" w:author="AbbVie19" w:date="2025-04-16T10:35:00Z">
              <w:r w:rsidRPr="00BC0E7E">
                <w:rPr>
                  <w:bCs/>
                </w:rPr>
                <w:delText>31 (18.1)</w:delText>
              </w:r>
            </w:del>
          </w:p>
        </w:tc>
        <w:tc>
          <w:tcPr>
            <w:tcW w:w="3239" w:type="dxa"/>
          </w:tcPr>
          <w:p w14:paraId="08DE3A03" w14:textId="77777777" w:rsidR="008A7D66" w:rsidRPr="00BC0E7E" w:rsidRDefault="00944B8F" w:rsidP="008A7D66">
            <w:pPr>
              <w:tabs>
                <w:tab w:val="clear" w:pos="562"/>
              </w:tabs>
              <w:ind w:right="53"/>
              <w:rPr>
                <w:del w:id="2906" w:author="AbbVie19" w:date="2025-04-16T10:35:00Z"/>
                <w:bCs/>
              </w:rPr>
            </w:pPr>
            <w:del w:id="2907" w:author="AbbVie19" w:date="2025-04-16T10:35:00Z">
              <w:r w:rsidRPr="00BC0E7E">
                <w:rPr>
                  <w:bCs/>
                </w:rPr>
                <w:delText>10, 20 and 25 mg</w:delText>
              </w:r>
            </w:del>
          </w:p>
        </w:tc>
      </w:tr>
      <w:tr w:rsidR="00C6578C" w14:paraId="3EAE44B2" w14:textId="77777777" w:rsidTr="008A7D66">
        <w:trPr>
          <w:cantSplit/>
          <w:del w:id="2908" w:author="AbbVie19" w:date="2025-04-16T10:35:00Z"/>
        </w:trPr>
        <w:tc>
          <w:tcPr>
            <w:tcW w:w="2418" w:type="dxa"/>
          </w:tcPr>
          <w:p w14:paraId="2DCA1323" w14:textId="77777777" w:rsidR="008A7D66" w:rsidRPr="00BC0E7E" w:rsidRDefault="00944B8F" w:rsidP="008A7D66">
            <w:pPr>
              <w:tabs>
                <w:tab w:val="clear" w:pos="562"/>
              </w:tabs>
              <w:ind w:right="53"/>
              <w:rPr>
                <w:del w:id="2909" w:author="AbbVie19" w:date="2025-04-16T10:35:00Z"/>
                <w:bCs/>
              </w:rPr>
            </w:pPr>
            <w:del w:id="2910" w:author="AbbVie19" w:date="2025-04-16T10:35:00Z">
              <w:r w:rsidRPr="00BC0E7E">
                <w:rPr>
                  <w:bCs/>
                </w:rPr>
                <w:delText>8 to 12 years</w:delText>
              </w:r>
            </w:del>
          </w:p>
        </w:tc>
        <w:tc>
          <w:tcPr>
            <w:tcW w:w="3520" w:type="dxa"/>
          </w:tcPr>
          <w:p w14:paraId="3C4D0420" w14:textId="77777777" w:rsidR="008A7D66" w:rsidRPr="00BC0E7E" w:rsidRDefault="00944B8F" w:rsidP="008A7D66">
            <w:pPr>
              <w:tabs>
                <w:tab w:val="clear" w:pos="562"/>
              </w:tabs>
              <w:ind w:right="53"/>
              <w:rPr>
                <w:del w:id="2911" w:author="AbbVie19" w:date="2025-04-16T10:35:00Z"/>
                <w:bCs/>
              </w:rPr>
            </w:pPr>
            <w:del w:id="2912" w:author="AbbVie19" w:date="2025-04-16T10:35:00Z">
              <w:r w:rsidRPr="00BC0E7E">
                <w:rPr>
                  <w:bCs/>
                </w:rPr>
                <w:delText>71 (41.5)</w:delText>
              </w:r>
            </w:del>
          </w:p>
        </w:tc>
        <w:tc>
          <w:tcPr>
            <w:tcW w:w="3239" w:type="dxa"/>
          </w:tcPr>
          <w:p w14:paraId="71A4145E" w14:textId="77777777" w:rsidR="008A7D66" w:rsidRPr="00BC0E7E" w:rsidRDefault="00944B8F" w:rsidP="008A7D66">
            <w:pPr>
              <w:tabs>
                <w:tab w:val="clear" w:pos="562"/>
              </w:tabs>
              <w:ind w:right="53"/>
              <w:rPr>
                <w:del w:id="2913" w:author="AbbVie19" w:date="2025-04-16T10:35:00Z"/>
                <w:bCs/>
              </w:rPr>
            </w:pPr>
            <w:del w:id="2914" w:author="AbbVie19" w:date="2025-04-16T10:35:00Z">
              <w:r w:rsidRPr="00BC0E7E">
                <w:rPr>
                  <w:bCs/>
                </w:rPr>
                <w:delText>20, 25 and 40 mg</w:delText>
              </w:r>
            </w:del>
          </w:p>
        </w:tc>
      </w:tr>
      <w:tr w:rsidR="00C6578C" w14:paraId="664BC703" w14:textId="77777777" w:rsidTr="008A7D66">
        <w:trPr>
          <w:cantSplit/>
          <w:del w:id="2915" w:author="AbbVie19" w:date="2025-04-16T10:35:00Z"/>
        </w:trPr>
        <w:tc>
          <w:tcPr>
            <w:tcW w:w="2418" w:type="dxa"/>
          </w:tcPr>
          <w:p w14:paraId="3E8E45E5" w14:textId="77777777" w:rsidR="008A7D66" w:rsidRPr="00BC0E7E" w:rsidRDefault="00944B8F" w:rsidP="008A7D66">
            <w:pPr>
              <w:tabs>
                <w:tab w:val="clear" w:pos="562"/>
              </w:tabs>
              <w:ind w:right="53"/>
              <w:rPr>
                <w:del w:id="2916" w:author="AbbVie19" w:date="2025-04-16T10:35:00Z"/>
                <w:bCs/>
              </w:rPr>
            </w:pPr>
            <w:del w:id="2917" w:author="AbbVie19" w:date="2025-04-16T10:35:00Z">
              <w:r w:rsidRPr="00BC0E7E">
                <w:rPr>
                  <w:bCs/>
                </w:rPr>
                <w:delText>13 to 17 years</w:delText>
              </w:r>
            </w:del>
          </w:p>
        </w:tc>
        <w:tc>
          <w:tcPr>
            <w:tcW w:w="3520" w:type="dxa"/>
          </w:tcPr>
          <w:p w14:paraId="731C24E0" w14:textId="77777777" w:rsidR="008A7D66" w:rsidRPr="00BC0E7E" w:rsidRDefault="00944B8F" w:rsidP="008A7D66">
            <w:pPr>
              <w:tabs>
                <w:tab w:val="clear" w:pos="562"/>
              </w:tabs>
              <w:ind w:right="53"/>
              <w:rPr>
                <w:del w:id="2918" w:author="AbbVie19" w:date="2025-04-16T10:35:00Z"/>
                <w:bCs/>
              </w:rPr>
            </w:pPr>
            <w:del w:id="2919" w:author="AbbVie19" w:date="2025-04-16T10:35:00Z">
              <w:r w:rsidRPr="00BC0E7E">
                <w:rPr>
                  <w:bCs/>
                </w:rPr>
                <w:delText>69 (40.4)</w:delText>
              </w:r>
            </w:del>
          </w:p>
        </w:tc>
        <w:tc>
          <w:tcPr>
            <w:tcW w:w="3239" w:type="dxa"/>
          </w:tcPr>
          <w:p w14:paraId="19BF988B" w14:textId="77777777" w:rsidR="008A7D66" w:rsidRPr="00BC0E7E" w:rsidRDefault="00944B8F" w:rsidP="008A7D66">
            <w:pPr>
              <w:tabs>
                <w:tab w:val="clear" w:pos="562"/>
              </w:tabs>
              <w:ind w:right="53"/>
              <w:rPr>
                <w:del w:id="2920" w:author="AbbVie19" w:date="2025-04-16T10:35:00Z"/>
                <w:bCs/>
              </w:rPr>
            </w:pPr>
            <w:del w:id="2921" w:author="AbbVie19" w:date="2025-04-16T10:35:00Z">
              <w:r w:rsidRPr="00BC0E7E">
                <w:rPr>
                  <w:bCs/>
                </w:rPr>
                <w:delText>25, 40 and 40 mg</w:delText>
              </w:r>
            </w:del>
          </w:p>
        </w:tc>
      </w:tr>
    </w:tbl>
    <w:p w14:paraId="041EB8FA" w14:textId="77777777" w:rsidR="008A7D66" w:rsidRPr="00BC0E7E" w:rsidRDefault="008A7D66" w:rsidP="008A7D66">
      <w:pPr>
        <w:tabs>
          <w:tab w:val="left" w:pos="6840"/>
        </w:tabs>
        <w:autoSpaceDE w:val="0"/>
        <w:autoSpaceDN w:val="0"/>
        <w:adjustRightInd w:val="0"/>
        <w:ind w:right="53"/>
        <w:rPr>
          <w:del w:id="2922" w:author="AbbVie19" w:date="2025-04-16T10:35:00Z"/>
        </w:rPr>
      </w:pPr>
    </w:p>
    <w:p w14:paraId="29AAFE1A" w14:textId="77777777" w:rsidR="008A7D66" w:rsidRPr="00BC0E7E" w:rsidRDefault="00944B8F" w:rsidP="008A7D66">
      <w:pPr>
        <w:tabs>
          <w:tab w:val="left" w:pos="6840"/>
        </w:tabs>
        <w:autoSpaceDE w:val="0"/>
        <w:autoSpaceDN w:val="0"/>
        <w:adjustRightInd w:val="0"/>
        <w:ind w:right="53"/>
        <w:rPr>
          <w:del w:id="2923" w:author="AbbVie19" w:date="2025-04-16T10:35:00Z"/>
        </w:rPr>
      </w:pPr>
      <w:del w:id="2924" w:author="AbbVie19" w:date="2025-04-16T10:35:00Z">
        <w:r w:rsidRPr="00BC0E7E">
          <w:delText>Patients demonstrating a P</w:delText>
        </w:r>
        <w:r w:rsidR="00043E67">
          <w:delText>a</w:delText>
        </w:r>
        <w:r w:rsidRPr="00BC0E7E">
          <w:delText>ediatric ACR 30 response at Week 16 were eligible to be randomised into the double blind (DB) phase and received either Humira 24 mg/m</w:delText>
        </w:r>
        <w:r w:rsidRPr="00BC0E7E">
          <w:rPr>
            <w:vertAlign w:val="superscript"/>
          </w:rPr>
          <w:delText xml:space="preserve">2 </w:delText>
        </w:r>
        <w:r w:rsidRPr="00BC0E7E">
          <w:delText xml:space="preserve">up to a maximum of 40 mg, or placebo every other week for an additional 32 weeks or until disease flare. Disease flare criteria were defined as a worsening of </w:delText>
        </w:r>
        <w:r w:rsidRPr="00BC0E7E">
          <w:rPr>
            <w:rFonts w:ascii="Symbol" w:eastAsia="Symbol" w:hAnsi="Symbol" w:cs="Symbol"/>
            <w:szCs w:val="22"/>
          </w:rPr>
          <w:sym w:font="Symbol" w:char="F0B3"/>
        </w:r>
        <w:r w:rsidRPr="00BC0E7E">
          <w:rPr>
            <w:szCs w:val="22"/>
          </w:rPr>
          <w:delText> </w:delText>
        </w:r>
        <w:r w:rsidRPr="00BC0E7E">
          <w:delText xml:space="preserve">30% from baseline in </w:delText>
        </w:r>
        <w:r w:rsidRPr="00BC0E7E">
          <w:rPr>
            <w:rFonts w:ascii="Symbol" w:eastAsia="Symbol" w:hAnsi="Symbol" w:cs="Symbol"/>
            <w:szCs w:val="22"/>
          </w:rPr>
          <w:sym w:font="Symbol" w:char="F0B3"/>
        </w:r>
        <w:r w:rsidRPr="00BC0E7E">
          <w:rPr>
            <w:szCs w:val="22"/>
          </w:rPr>
          <w:delText> </w:delText>
        </w:r>
        <w:r w:rsidRPr="00BC0E7E">
          <w:delText>3 of 6 P</w:delText>
        </w:r>
        <w:r w:rsidR="00043E67">
          <w:delText>a</w:delText>
        </w:r>
        <w:r w:rsidRPr="00BC0E7E">
          <w:delText xml:space="preserve">ediatric ACR core criteria, </w:delText>
        </w:r>
        <w:r w:rsidRPr="00BC0E7E">
          <w:rPr>
            <w:rFonts w:ascii="Symbol" w:eastAsia="Symbol" w:hAnsi="Symbol" w:cs="Symbol"/>
            <w:szCs w:val="22"/>
          </w:rPr>
          <w:sym w:font="Symbol" w:char="F0B3"/>
        </w:r>
        <w:r w:rsidRPr="00BC0E7E">
          <w:rPr>
            <w:szCs w:val="22"/>
          </w:rPr>
          <w:delText> </w:delText>
        </w:r>
        <w:r w:rsidRPr="00BC0E7E">
          <w:delText xml:space="preserve">2 active joints, and improvement of </w:delText>
        </w:r>
        <w:r w:rsidRPr="00BC0E7E">
          <w:rPr>
            <w:rFonts w:ascii="Symbol" w:eastAsia="Symbol" w:hAnsi="Symbol" w:cs="Symbol"/>
            <w:szCs w:val="22"/>
          </w:rPr>
          <w:sym w:font="Symbol" w:char="F03E"/>
        </w:r>
        <w:r w:rsidRPr="00BC0E7E">
          <w:rPr>
            <w:szCs w:val="22"/>
          </w:rPr>
          <w:delText> </w:delText>
        </w:r>
        <w:r w:rsidRPr="00BC0E7E">
          <w:delText xml:space="preserve">30% in no more than 1 of the 6 criteria. After 32 weeks or at disease flare, patients were eligible to enrol into the open label extension phase. </w:delText>
        </w:r>
      </w:del>
    </w:p>
    <w:p w14:paraId="1FE2F687" w14:textId="77777777" w:rsidR="008A7D66" w:rsidRPr="00BC0E7E" w:rsidRDefault="008A7D66" w:rsidP="008A7D66">
      <w:pPr>
        <w:rPr>
          <w:del w:id="2925" w:author="AbbVie19" w:date="2025-04-16T10:35:00Z"/>
          <w:szCs w:val="20"/>
        </w:rPr>
      </w:pPr>
    </w:p>
    <w:p w14:paraId="61184CAB" w14:textId="77777777" w:rsidR="008A7D66" w:rsidRPr="003F7AAE" w:rsidRDefault="00944B8F" w:rsidP="008A7D66">
      <w:pPr>
        <w:keepNext/>
        <w:tabs>
          <w:tab w:val="clear" w:pos="562"/>
        </w:tabs>
        <w:ind w:left="110" w:right="53"/>
        <w:jc w:val="center"/>
        <w:rPr>
          <w:del w:id="2926" w:author="AbbVie19" w:date="2025-04-16T10:35:00Z"/>
          <w:szCs w:val="22"/>
        </w:rPr>
      </w:pPr>
      <w:del w:id="2927" w:author="AbbVie19" w:date="2025-04-16T10:35:00Z">
        <w:r w:rsidRPr="00BC0E7E">
          <w:rPr>
            <w:b/>
            <w:szCs w:val="22"/>
          </w:rPr>
          <w:delText xml:space="preserve">Table </w:delText>
        </w:r>
        <w:r w:rsidR="005F03EC">
          <w:rPr>
            <w:b/>
            <w:szCs w:val="22"/>
          </w:rPr>
          <w:delText>21</w:delText>
        </w:r>
      </w:del>
    </w:p>
    <w:p w14:paraId="7C421BBA" w14:textId="77777777" w:rsidR="008A7D66" w:rsidRPr="003F7AAE" w:rsidRDefault="00944B8F" w:rsidP="008A7D66">
      <w:pPr>
        <w:keepNext/>
        <w:tabs>
          <w:tab w:val="clear" w:pos="562"/>
        </w:tabs>
        <w:ind w:left="110" w:right="53"/>
        <w:jc w:val="center"/>
        <w:rPr>
          <w:del w:id="2928" w:author="AbbVie19" w:date="2025-04-16T10:35:00Z"/>
          <w:szCs w:val="22"/>
        </w:rPr>
      </w:pPr>
      <w:del w:id="2929" w:author="AbbVie19" w:date="2025-04-16T10:35:00Z">
        <w:r w:rsidRPr="00BC0E7E">
          <w:rPr>
            <w:b/>
            <w:szCs w:val="22"/>
          </w:rPr>
          <w:delText>Ped ACR 30 Responses in the JIA study</w:delText>
        </w:r>
      </w:del>
    </w:p>
    <w:p w14:paraId="0F2EA616" w14:textId="77777777" w:rsidR="008A7D66" w:rsidRPr="003F7AAE" w:rsidRDefault="008A7D66" w:rsidP="008A7D66">
      <w:pPr>
        <w:keepNext/>
        <w:tabs>
          <w:tab w:val="clear" w:pos="562"/>
        </w:tabs>
        <w:ind w:left="110" w:right="53"/>
        <w:jc w:val="center"/>
        <w:rPr>
          <w:del w:id="2930" w:author="AbbVie19" w:date="2025-04-16T10:35:00Z"/>
          <w:bCs/>
          <w:sz w:val="24"/>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8"/>
        <w:gridCol w:w="1760"/>
        <w:gridCol w:w="1760"/>
        <w:gridCol w:w="1650"/>
        <w:gridCol w:w="1589"/>
      </w:tblGrid>
      <w:tr w:rsidR="00C6578C" w14:paraId="1BED61C0" w14:textId="77777777" w:rsidTr="008A7D66">
        <w:trPr>
          <w:cantSplit/>
          <w:del w:id="2931" w:author="AbbVie19" w:date="2025-04-16T10:35:00Z"/>
        </w:trPr>
        <w:tc>
          <w:tcPr>
            <w:tcW w:w="2418" w:type="dxa"/>
          </w:tcPr>
          <w:p w14:paraId="0BA642AF" w14:textId="77777777" w:rsidR="008A7D66" w:rsidRPr="00BC0E7E" w:rsidRDefault="00944B8F" w:rsidP="008A7D66">
            <w:pPr>
              <w:keepNext/>
              <w:tabs>
                <w:tab w:val="clear" w:pos="562"/>
              </w:tabs>
              <w:ind w:right="53"/>
              <w:rPr>
                <w:del w:id="2932" w:author="AbbVie19" w:date="2025-04-16T10:35:00Z"/>
                <w:b/>
                <w:bCs/>
              </w:rPr>
            </w:pPr>
            <w:del w:id="2933" w:author="AbbVie19" w:date="2025-04-16T10:35:00Z">
              <w:r w:rsidRPr="00BC0E7E">
                <w:rPr>
                  <w:b/>
                  <w:bCs/>
                </w:rPr>
                <w:delText>Stratum</w:delText>
              </w:r>
            </w:del>
          </w:p>
        </w:tc>
        <w:tc>
          <w:tcPr>
            <w:tcW w:w="3520" w:type="dxa"/>
            <w:gridSpan w:val="2"/>
          </w:tcPr>
          <w:p w14:paraId="0458D8E4" w14:textId="77777777" w:rsidR="008A7D66" w:rsidRPr="00BC0E7E" w:rsidRDefault="00944B8F" w:rsidP="008A7D66">
            <w:pPr>
              <w:keepNext/>
              <w:tabs>
                <w:tab w:val="clear" w:pos="562"/>
              </w:tabs>
              <w:ind w:right="53"/>
              <w:jc w:val="center"/>
              <w:rPr>
                <w:del w:id="2934" w:author="AbbVie19" w:date="2025-04-16T10:35:00Z"/>
                <w:b/>
                <w:bCs/>
              </w:rPr>
            </w:pPr>
            <w:del w:id="2935" w:author="AbbVie19" w:date="2025-04-16T10:35:00Z">
              <w:r w:rsidRPr="00BC0E7E">
                <w:rPr>
                  <w:b/>
                  <w:bCs/>
                </w:rPr>
                <w:delText>MTX</w:delText>
              </w:r>
            </w:del>
          </w:p>
        </w:tc>
        <w:tc>
          <w:tcPr>
            <w:tcW w:w="3239" w:type="dxa"/>
            <w:gridSpan w:val="2"/>
          </w:tcPr>
          <w:p w14:paraId="5F8567D6" w14:textId="77777777" w:rsidR="008A7D66" w:rsidRPr="00BC0E7E" w:rsidRDefault="00944B8F" w:rsidP="008A7D66">
            <w:pPr>
              <w:keepNext/>
              <w:tabs>
                <w:tab w:val="clear" w:pos="562"/>
              </w:tabs>
              <w:ind w:right="53"/>
              <w:jc w:val="center"/>
              <w:rPr>
                <w:del w:id="2936" w:author="AbbVie19" w:date="2025-04-16T10:35:00Z"/>
                <w:b/>
                <w:bCs/>
              </w:rPr>
            </w:pPr>
            <w:del w:id="2937" w:author="AbbVie19" w:date="2025-04-16T10:35:00Z">
              <w:r w:rsidRPr="00BC0E7E">
                <w:rPr>
                  <w:b/>
                  <w:bCs/>
                </w:rPr>
                <w:delText>Without MTX</w:delText>
              </w:r>
            </w:del>
          </w:p>
        </w:tc>
      </w:tr>
      <w:tr w:rsidR="00C6578C" w14:paraId="5BB10B10" w14:textId="77777777" w:rsidTr="008A7D66">
        <w:trPr>
          <w:cantSplit/>
          <w:del w:id="2938" w:author="AbbVie19" w:date="2025-04-16T10:35:00Z"/>
        </w:trPr>
        <w:tc>
          <w:tcPr>
            <w:tcW w:w="2418" w:type="dxa"/>
          </w:tcPr>
          <w:p w14:paraId="7CCBB087" w14:textId="77777777" w:rsidR="008A7D66" w:rsidRPr="00BC0E7E" w:rsidRDefault="00944B8F" w:rsidP="008A7D66">
            <w:pPr>
              <w:keepNext/>
              <w:tabs>
                <w:tab w:val="clear" w:pos="562"/>
              </w:tabs>
              <w:ind w:right="53"/>
              <w:rPr>
                <w:del w:id="2939" w:author="AbbVie19" w:date="2025-04-16T10:35:00Z"/>
                <w:b/>
                <w:bCs/>
              </w:rPr>
            </w:pPr>
            <w:del w:id="2940" w:author="AbbVie19" w:date="2025-04-16T10:35:00Z">
              <w:r w:rsidRPr="00BC0E7E">
                <w:rPr>
                  <w:b/>
                  <w:bCs/>
                </w:rPr>
                <w:delText>Phase</w:delText>
              </w:r>
            </w:del>
          </w:p>
        </w:tc>
        <w:tc>
          <w:tcPr>
            <w:tcW w:w="3520" w:type="dxa"/>
            <w:gridSpan w:val="2"/>
          </w:tcPr>
          <w:p w14:paraId="2D402A93" w14:textId="77777777" w:rsidR="008A7D66" w:rsidRPr="00BC0E7E" w:rsidRDefault="008A7D66" w:rsidP="008A7D66">
            <w:pPr>
              <w:keepNext/>
              <w:tabs>
                <w:tab w:val="clear" w:pos="562"/>
              </w:tabs>
              <w:ind w:right="53"/>
              <w:jc w:val="center"/>
              <w:rPr>
                <w:del w:id="2941" w:author="AbbVie19" w:date="2025-04-16T10:35:00Z"/>
                <w:bCs/>
              </w:rPr>
            </w:pPr>
          </w:p>
        </w:tc>
        <w:tc>
          <w:tcPr>
            <w:tcW w:w="3239" w:type="dxa"/>
            <w:gridSpan w:val="2"/>
          </w:tcPr>
          <w:p w14:paraId="11AE02E0" w14:textId="77777777" w:rsidR="008A7D66" w:rsidRPr="00BC0E7E" w:rsidRDefault="008A7D66" w:rsidP="008A7D66">
            <w:pPr>
              <w:keepNext/>
              <w:tabs>
                <w:tab w:val="clear" w:pos="562"/>
              </w:tabs>
              <w:ind w:right="53"/>
              <w:jc w:val="center"/>
              <w:rPr>
                <w:del w:id="2942" w:author="AbbVie19" w:date="2025-04-16T10:35:00Z"/>
                <w:bCs/>
              </w:rPr>
            </w:pPr>
          </w:p>
        </w:tc>
      </w:tr>
      <w:tr w:rsidR="00C6578C" w14:paraId="230735D3" w14:textId="77777777" w:rsidTr="008A7D66">
        <w:trPr>
          <w:cantSplit/>
          <w:del w:id="2943" w:author="AbbVie19" w:date="2025-04-16T10:35:00Z"/>
        </w:trPr>
        <w:tc>
          <w:tcPr>
            <w:tcW w:w="2418" w:type="dxa"/>
          </w:tcPr>
          <w:p w14:paraId="32024DCA" w14:textId="77777777" w:rsidR="008A7D66" w:rsidRPr="00BC0E7E" w:rsidRDefault="00944B8F" w:rsidP="008A7D66">
            <w:pPr>
              <w:keepNext/>
              <w:tabs>
                <w:tab w:val="clear" w:pos="562"/>
              </w:tabs>
              <w:ind w:right="53"/>
              <w:rPr>
                <w:del w:id="2944" w:author="AbbVie19" w:date="2025-04-16T10:35:00Z"/>
                <w:bCs/>
              </w:rPr>
            </w:pPr>
            <w:del w:id="2945" w:author="AbbVie19" w:date="2025-04-16T10:35:00Z">
              <w:r w:rsidRPr="00BC0E7E">
                <w:rPr>
                  <w:bCs/>
                </w:rPr>
                <w:delText>OL-LI 16 weeks</w:delText>
              </w:r>
            </w:del>
          </w:p>
        </w:tc>
        <w:tc>
          <w:tcPr>
            <w:tcW w:w="3520" w:type="dxa"/>
            <w:gridSpan w:val="2"/>
          </w:tcPr>
          <w:p w14:paraId="1D6F0438" w14:textId="77777777" w:rsidR="008A7D66" w:rsidRPr="00BC0E7E" w:rsidRDefault="008A7D66" w:rsidP="008A7D66">
            <w:pPr>
              <w:keepNext/>
              <w:tabs>
                <w:tab w:val="clear" w:pos="562"/>
              </w:tabs>
              <w:ind w:right="53"/>
              <w:jc w:val="center"/>
              <w:rPr>
                <w:del w:id="2946" w:author="AbbVie19" w:date="2025-04-16T10:35:00Z"/>
                <w:bCs/>
              </w:rPr>
            </w:pPr>
          </w:p>
        </w:tc>
        <w:tc>
          <w:tcPr>
            <w:tcW w:w="3239" w:type="dxa"/>
            <w:gridSpan w:val="2"/>
          </w:tcPr>
          <w:p w14:paraId="470196E9" w14:textId="77777777" w:rsidR="008A7D66" w:rsidRPr="00BC0E7E" w:rsidRDefault="008A7D66" w:rsidP="008A7D66">
            <w:pPr>
              <w:keepNext/>
              <w:tabs>
                <w:tab w:val="clear" w:pos="562"/>
              </w:tabs>
              <w:ind w:right="53"/>
              <w:jc w:val="center"/>
              <w:rPr>
                <w:del w:id="2947" w:author="AbbVie19" w:date="2025-04-16T10:35:00Z"/>
                <w:bCs/>
              </w:rPr>
            </w:pPr>
          </w:p>
        </w:tc>
      </w:tr>
      <w:tr w:rsidR="00C6578C" w14:paraId="72534CA5" w14:textId="77777777" w:rsidTr="008A7D66">
        <w:trPr>
          <w:cantSplit/>
          <w:del w:id="2948" w:author="AbbVie19" w:date="2025-04-16T10:35:00Z"/>
        </w:trPr>
        <w:tc>
          <w:tcPr>
            <w:tcW w:w="2418" w:type="dxa"/>
          </w:tcPr>
          <w:p w14:paraId="66A89693" w14:textId="77777777" w:rsidR="008A7D66" w:rsidRPr="00BC0E7E" w:rsidRDefault="00944B8F" w:rsidP="008A7D66">
            <w:pPr>
              <w:keepNext/>
              <w:tabs>
                <w:tab w:val="clear" w:pos="562"/>
              </w:tabs>
              <w:ind w:left="567" w:right="53"/>
              <w:rPr>
                <w:del w:id="2949" w:author="AbbVie19" w:date="2025-04-16T10:35:00Z"/>
                <w:bCs/>
              </w:rPr>
            </w:pPr>
            <w:del w:id="2950" w:author="AbbVie19" w:date="2025-04-16T10:35:00Z">
              <w:r w:rsidRPr="00BC0E7E">
                <w:rPr>
                  <w:bCs/>
                </w:rPr>
                <w:delText>Ped ACR 30 response (n/N)</w:delText>
              </w:r>
            </w:del>
          </w:p>
        </w:tc>
        <w:tc>
          <w:tcPr>
            <w:tcW w:w="3520" w:type="dxa"/>
            <w:gridSpan w:val="2"/>
          </w:tcPr>
          <w:p w14:paraId="6CA564B5" w14:textId="77777777" w:rsidR="008A7D66" w:rsidRPr="00BC0E7E" w:rsidRDefault="00944B8F" w:rsidP="008A7D66">
            <w:pPr>
              <w:keepNext/>
              <w:tabs>
                <w:tab w:val="clear" w:pos="562"/>
              </w:tabs>
              <w:ind w:right="53"/>
              <w:jc w:val="center"/>
              <w:rPr>
                <w:del w:id="2951" w:author="AbbVie19" w:date="2025-04-16T10:35:00Z"/>
                <w:bCs/>
              </w:rPr>
            </w:pPr>
            <w:del w:id="2952" w:author="AbbVie19" w:date="2025-04-16T10:35:00Z">
              <w:r w:rsidRPr="00BC0E7E">
                <w:rPr>
                  <w:bCs/>
                </w:rPr>
                <w:delText>94.1% (80/85)</w:delText>
              </w:r>
            </w:del>
          </w:p>
        </w:tc>
        <w:tc>
          <w:tcPr>
            <w:tcW w:w="3239" w:type="dxa"/>
            <w:gridSpan w:val="2"/>
          </w:tcPr>
          <w:p w14:paraId="201575C2" w14:textId="77777777" w:rsidR="008A7D66" w:rsidRPr="00BC0E7E" w:rsidRDefault="00944B8F" w:rsidP="008A7D66">
            <w:pPr>
              <w:keepNext/>
              <w:tabs>
                <w:tab w:val="clear" w:pos="562"/>
              </w:tabs>
              <w:ind w:right="53"/>
              <w:jc w:val="center"/>
              <w:rPr>
                <w:del w:id="2953" w:author="AbbVie19" w:date="2025-04-16T10:35:00Z"/>
                <w:bCs/>
              </w:rPr>
            </w:pPr>
            <w:del w:id="2954" w:author="AbbVie19" w:date="2025-04-16T10:35:00Z">
              <w:r w:rsidRPr="00BC0E7E">
                <w:rPr>
                  <w:bCs/>
                </w:rPr>
                <w:delText>74.4% (64/86)</w:delText>
              </w:r>
            </w:del>
          </w:p>
        </w:tc>
      </w:tr>
      <w:tr w:rsidR="00C6578C" w14:paraId="058CD64C" w14:textId="77777777" w:rsidTr="008A7D66">
        <w:trPr>
          <w:cantSplit/>
          <w:del w:id="2955" w:author="AbbVie19" w:date="2025-04-16T10:35:00Z"/>
        </w:trPr>
        <w:tc>
          <w:tcPr>
            <w:tcW w:w="9177" w:type="dxa"/>
            <w:gridSpan w:val="5"/>
          </w:tcPr>
          <w:p w14:paraId="00B0467D" w14:textId="77777777" w:rsidR="008A7D66" w:rsidRPr="00BC0E7E" w:rsidRDefault="00944B8F" w:rsidP="008A7D66">
            <w:pPr>
              <w:keepNext/>
              <w:tabs>
                <w:tab w:val="clear" w:pos="562"/>
              </w:tabs>
              <w:ind w:right="53"/>
              <w:rPr>
                <w:del w:id="2956" w:author="AbbVie19" w:date="2025-04-16T10:35:00Z"/>
                <w:bCs/>
              </w:rPr>
            </w:pPr>
            <w:del w:id="2957" w:author="AbbVie19" w:date="2025-04-16T10:35:00Z">
              <w:r w:rsidRPr="00BC0E7E">
                <w:rPr>
                  <w:bCs/>
                </w:rPr>
                <w:delText xml:space="preserve">                                                          Efficacy Outcomes</w:delText>
              </w:r>
            </w:del>
          </w:p>
        </w:tc>
      </w:tr>
      <w:tr w:rsidR="00C6578C" w14:paraId="412C756E" w14:textId="77777777" w:rsidTr="008A7D66">
        <w:trPr>
          <w:del w:id="2958" w:author="AbbVie19" w:date="2025-04-16T10:35:00Z"/>
        </w:trPr>
        <w:tc>
          <w:tcPr>
            <w:tcW w:w="2418" w:type="dxa"/>
          </w:tcPr>
          <w:p w14:paraId="0705CD86" w14:textId="77777777" w:rsidR="008A7D66" w:rsidRPr="00BC0E7E" w:rsidRDefault="00944B8F" w:rsidP="008A7D66">
            <w:pPr>
              <w:keepNext/>
              <w:tabs>
                <w:tab w:val="clear" w:pos="562"/>
              </w:tabs>
              <w:ind w:right="53"/>
              <w:rPr>
                <w:del w:id="2959" w:author="AbbVie19" w:date="2025-04-16T10:35:00Z"/>
                <w:bCs/>
              </w:rPr>
            </w:pPr>
            <w:del w:id="2960" w:author="AbbVie19" w:date="2025-04-16T10:35:00Z">
              <w:r w:rsidRPr="00BC0E7E">
                <w:rPr>
                  <w:bCs/>
                </w:rPr>
                <w:delText>Double Blind 32 weeks</w:delText>
              </w:r>
            </w:del>
          </w:p>
        </w:tc>
        <w:tc>
          <w:tcPr>
            <w:tcW w:w="1760" w:type="dxa"/>
          </w:tcPr>
          <w:p w14:paraId="04AA373A" w14:textId="77777777" w:rsidR="008A7D66" w:rsidRPr="00BC0E7E" w:rsidRDefault="00944B8F" w:rsidP="008A7D66">
            <w:pPr>
              <w:keepNext/>
              <w:tabs>
                <w:tab w:val="clear" w:pos="562"/>
              </w:tabs>
              <w:ind w:right="53"/>
              <w:rPr>
                <w:del w:id="2961" w:author="AbbVie19" w:date="2025-04-16T10:35:00Z"/>
                <w:bCs/>
              </w:rPr>
            </w:pPr>
            <w:del w:id="2962" w:author="AbbVie19" w:date="2025-04-16T10:35:00Z">
              <w:r w:rsidRPr="00BC0E7E">
                <w:rPr>
                  <w:bCs/>
                </w:rPr>
                <w:delText>Humira / MTX</w:delText>
              </w:r>
            </w:del>
          </w:p>
          <w:p w14:paraId="1115605B" w14:textId="77777777" w:rsidR="008A7D66" w:rsidRPr="00BC0E7E" w:rsidRDefault="00944B8F" w:rsidP="008A7D66">
            <w:pPr>
              <w:keepNext/>
              <w:tabs>
                <w:tab w:val="clear" w:pos="562"/>
              </w:tabs>
              <w:ind w:right="53"/>
              <w:rPr>
                <w:del w:id="2963" w:author="AbbVie19" w:date="2025-04-16T10:35:00Z"/>
                <w:bCs/>
              </w:rPr>
            </w:pPr>
            <w:del w:id="2964" w:author="AbbVie19" w:date="2025-04-16T10:35:00Z">
              <w:r w:rsidRPr="00BC0E7E">
                <w:rPr>
                  <w:bCs/>
                </w:rPr>
                <w:delText>(N = 38)</w:delText>
              </w:r>
            </w:del>
          </w:p>
          <w:p w14:paraId="7C1E3623" w14:textId="77777777" w:rsidR="008A7D66" w:rsidRPr="00BC0E7E" w:rsidRDefault="008A7D66" w:rsidP="008A7D66">
            <w:pPr>
              <w:keepNext/>
              <w:tabs>
                <w:tab w:val="clear" w:pos="562"/>
              </w:tabs>
              <w:ind w:right="53"/>
              <w:rPr>
                <w:del w:id="2965" w:author="AbbVie19" w:date="2025-04-16T10:35:00Z"/>
                <w:bCs/>
              </w:rPr>
            </w:pPr>
          </w:p>
        </w:tc>
        <w:tc>
          <w:tcPr>
            <w:tcW w:w="1760" w:type="dxa"/>
          </w:tcPr>
          <w:p w14:paraId="2E0FE01F" w14:textId="77777777" w:rsidR="008A7D66" w:rsidRPr="00BC0E7E" w:rsidRDefault="00944B8F" w:rsidP="008A7D66">
            <w:pPr>
              <w:keepNext/>
              <w:tabs>
                <w:tab w:val="clear" w:pos="562"/>
              </w:tabs>
              <w:ind w:right="53"/>
              <w:rPr>
                <w:del w:id="2966" w:author="AbbVie19" w:date="2025-04-16T10:35:00Z"/>
                <w:bCs/>
              </w:rPr>
            </w:pPr>
            <w:del w:id="2967" w:author="AbbVie19" w:date="2025-04-16T10:35:00Z">
              <w:r w:rsidRPr="00BC0E7E">
                <w:rPr>
                  <w:bCs/>
                </w:rPr>
                <w:delText>Placebo / MTX</w:delText>
              </w:r>
            </w:del>
          </w:p>
          <w:p w14:paraId="3215D79C" w14:textId="77777777" w:rsidR="008A7D66" w:rsidRPr="00BC0E7E" w:rsidRDefault="00944B8F" w:rsidP="008A7D66">
            <w:pPr>
              <w:keepNext/>
              <w:tabs>
                <w:tab w:val="clear" w:pos="562"/>
              </w:tabs>
              <w:ind w:right="53"/>
              <w:rPr>
                <w:del w:id="2968" w:author="AbbVie19" w:date="2025-04-16T10:35:00Z"/>
                <w:bCs/>
              </w:rPr>
            </w:pPr>
            <w:del w:id="2969" w:author="AbbVie19" w:date="2025-04-16T10:35:00Z">
              <w:r w:rsidRPr="00BC0E7E">
                <w:rPr>
                  <w:bCs/>
                </w:rPr>
                <w:delText>(N = 37)</w:delText>
              </w:r>
            </w:del>
          </w:p>
        </w:tc>
        <w:tc>
          <w:tcPr>
            <w:tcW w:w="1650" w:type="dxa"/>
          </w:tcPr>
          <w:p w14:paraId="0AFD470E" w14:textId="77777777" w:rsidR="008A7D66" w:rsidRPr="00BC0E7E" w:rsidRDefault="00944B8F" w:rsidP="008A7D66">
            <w:pPr>
              <w:keepNext/>
              <w:tabs>
                <w:tab w:val="clear" w:pos="562"/>
              </w:tabs>
              <w:ind w:right="53"/>
              <w:rPr>
                <w:del w:id="2970" w:author="AbbVie19" w:date="2025-04-16T10:35:00Z"/>
                <w:bCs/>
              </w:rPr>
            </w:pPr>
            <w:del w:id="2971" w:author="AbbVie19" w:date="2025-04-16T10:35:00Z">
              <w:r w:rsidRPr="00BC0E7E">
                <w:rPr>
                  <w:bCs/>
                </w:rPr>
                <w:delText xml:space="preserve">Humira </w:delText>
              </w:r>
            </w:del>
          </w:p>
          <w:p w14:paraId="319B8D39" w14:textId="77777777" w:rsidR="008A7D66" w:rsidRPr="00BC0E7E" w:rsidRDefault="00944B8F" w:rsidP="008A7D66">
            <w:pPr>
              <w:keepNext/>
              <w:tabs>
                <w:tab w:val="clear" w:pos="562"/>
              </w:tabs>
              <w:ind w:right="53"/>
              <w:rPr>
                <w:del w:id="2972" w:author="AbbVie19" w:date="2025-04-16T10:35:00Z"/>
                <w:bCs/>
              </w:rPr>
            </w:pPr>
            <w:del w:id="2973" w:author="AbbVie19" w:date="2025-04-16T10:35:00Z">
              <w:r w:rsidRPr="00BC0E7E">
                <w:rPr>
                  <w:bCs/>
                </w:rPr>
                <w:delText>(N = 30)</w:delText>
              </w:r>
            </w:del>
          </w:p>
        </w:tc>
        <w:tc>
          <w:tcPr>
            <w:tcW w:w="1589" w:type="dxa"/>
          </w:tcPr>
          <w:p w14:paraId="378592D5" w14:textId="77777777" w:rsidR="008A7D66" w:rsidRPr="00BC0E7E" w:rsidRDefault="00944B8F" w:rsidP="008A7D66">
            <w:pPr>
              <w:keepNext/>
              <w:tabs>
                <w:tab w:val="clear" w:pos="562"/>
              </w:tabs>
              <w:ind w:right="53"/>
              <w:rPr>
                <w:del w:id="2974" w:author="AbbVie19" w:date="2025-04-16T10:35:00Z"/>
                <w:bCs/>
              </w:rPr>
            </w:pPr>
            <w:del w:id="2975" w:author="AbbVie19" w:date="2025-04-16T10:35:00Z">
              <w:r w:rsidRPr="00BC0E7E">
                <w:rPr>
                  <w:bCs/>
                </w:rPr>
                <w:delText>Placebo</w:delText>
              </w:r>
            </w:del>
          </w:p>
          <w:p w14:paraId="1A5EC807" w14:textId="77777777" w:rsidR="008A7D66" w:rsidRPr="00BC0E7E" w:rsidRDefault="00944B8F" w:rsidP="008A7D66">
            <w:pPr>
              <w:keepNext/>
              <w:tabs>
                <w:tab w:val="clear" w:pos="562"/>
              </w:tabs>
              <w:ind w:right="53"/>
              <w:rPr>
                <w:del w:id="2976" w:author="AbbVie19" w:date="2025-04-16T10:35:00Z"/>
                <w:bCs/>
              </w:rPr>
            </w:pPr>
            <w:del w:id="2977" w:author="AbbVie19" w:date="2025-04-16T10:35:00Z">
              <w:r w:rsidRPr="00BC0E7E">
                <w:rPr>
                  <w:bCs/>
                </w:rPr>
                <w:delText>(N = 28)</w:delText>
              </w:r>
            </w:del>
          </w:p>
        </w:tc>
      </w:tr>
      <w:tr w:rsidR="00C6578C" w14:paraId="33C89C62" w14:textId="77777777" w:rsidTr="008A7D66">
        <w:trPr>
          <w:del w:id="2978" w:author="AbbVie19" w:date="2025-04-16T10:35:00Z"/>
        </w:trPr>
        <w:tc>
          <w:tcPr>
            <w:tcW w:w="2418" w:type="dxa"/>
          </w:tcPr>
          <w:p w14:paraId="61A1E256" w14:textId="77777777" w:rsidR="008A7D66" w:rsidRPr="00BC0E7E" w:rsidRDefault="00944B8F" w:rsidP="008A7D66">
            <w:pPr>
              <w:keepNext/>
              <w:tabs>
                <w:tab w:val="clear" w:pos="562"/>
              </w:tabs>
              <w:ind w:left="567" w:right="53"/>
              <w:rPr>
                <w:del w:id="2979" w:author="AbbVie19" w:date="2025-04-16T10:35:00Z"/>
                <w:bCs/>
              </w:rPr>
            </w:pPr>
            <w:del w:id="2980" w:author="AbbVie19" w:date="2025-04-16T10:35:00Z">
              <w:r w:rsidRPr="00BC0E7E">
                <w:rPr>
                  <w:bCs/>
                </w:rPr>
                <w:delText>Disease flares at the end of 32weeks</w:delText>
              </w:r>
              <w:r w:rsidRPr="00BC0E7E">
                <w:rPr>
                  <w:bCs/>
                  <w:vertAlign w:val="superscript"/>
                </w:rPr>
                <w:delText>a</w:delText>
              </w:r>
              <w:r w:rsidRPr="00BC0E7E">
                <w:rPr>
                  <w:bCs/>
                </w:rPr>
                <w:delText xml:space="preserve"> (n/N)</w:delText>
              </w:r>
            </w:del>
          </w:p>
        </w:tc>
        <w:tc>
          <w:tcPr>
            <w:tcW w:w="1760" w:type="dxa"/>
          </w:tcPr>
          <w:p w14:paraId="1A74F43B" w14:textId="77777777" w:rsidR="008A7D66" w:rsidRPr="00BC0E7E" w:rsidRDefault="00944B8F" w:rsidP="008A7D66">
            <w:pPr>
              <w:keepNext/>
              <w:tabs>
                <w:tab w:val="clear" w:pos="562"/>
              </w:tabs>
              <w:ind w:right="53"/>
              <w:rPr>
                <w:del w:id="2981" w:author="AbbVie19" w:date="2025-04-16T10:35:00Z"/>
                <w:bCs/>
              </w:rPr>
            </w:pPr>
            <w:del w:id="2982" w:author="AbbVie19" w:date="2025-04-16T10:35:00Z">
              <w:r w:rsidRPr="00BC0E7E">
                <w:rPr>
                  <w:bCs/>
                </w:rPr>
                <w:delText>36.8% (14/38)</w:delText>
              </w:r>
            </w:del>
          </w:p>
        </w:tc>
        <w:tc>
          <w:tcPr>
            <w:tcW w:w="1760" w:type="dxa"/>
          </w:tcPr>
          <w:p w14:paraId="13CA3FFF" w14:textId="77777777" w:rsidR="008A7D66" w:rsidRPr="00BC0E7E" w:rsidRDefault="00944B8F" w:rsidP="008A7D66">
            <w:pPr>
              <w:keepNext/>
              <w:tabs>
                <w:tab w:val="clear" w:pos="562"/>
              </w:tabs>
              <w:ind w:right="53"/>
              <w:rPr>
                <w:del w:id="2983" w:author="AbbVie19" w:date="2025-04-16T10:35:00Z"/>
                <w:bCs/>
              </w:rPr>
            </w:pPr>
            <w:del w:id="2984" w:author="AbbVie19" w:date="2025-04-16T10:35:00Z">
              <w:r w:rsidRPr="00BC0E7E">
                <w:rPr>
                  <w:bCs/>
                </w:rPr>
                <w:delText>64.9% (24/37)</w:delText>
              </w:r>
              <w:r w:rsidRPr="00BC0E7E">
                <w:rPr>
                  <w:bCs/>
                  <w:vertAlign w:val="superscript"/>
                </w:rPr>
                <w:delText>b</w:delText>
              </w:r>
            </w:del>
          </w:p>
        </w:tc>
        <w:tc>
          <w:tcPr>
            <w:tcW w:w="1650" w:type="dxa"/>
          </w:tcPr>
          <w:p w14:paraId="5105D4D4" w14:textId="77777777" w:rsidR="008A7D66" w:rsidRPr="00BC0E7E" w:rsidRDefault="00944B8F" w:rsidP="008A7D66">
            <w:pPr>
              <w:keepNext/>
              <w:tabs>
                <w:tab w:val="clear" w:pos="562"/>
              </w:tabs>
              <w:ind w:right="53"/>
              <w:rPr>
                <w:del w:id="2985" w:author="AbbVie19" w:date="2025-04-16T10:35:00Z"/>
                <w:bCs/>
              </w:rPr>
            </w:pPr>
            <w:del w:id="2986" w:author="AbbVie19" w:date="2025-04-16T10:35:00Z">
              <w:r w:rsidRPr="00BC0E7E">
                <w:rPr>
                  <w:bCs/>
                </w:rPr>
                <w:delText>43.3% (13/30)</w:delText>
              </w:r>
            </w:del>
          </w:p>
        </w:tc>
        <w:tc>
          <w:tcPr>
            <w:tcW w:w="1589" w:type="dxa"/>
          </w:tcPr>
          <w:p w14:paraId="67C2B5E2" w14:textId="77777777" w:rsidR="008A7D66" w:rsidRPr="00BC0E7E" w:rsidRDefault="00944B8F" w:rsidP="008A7D66">
            <w:pPr>
              <w:keepNext/>
              <w:tabs>
                <w:tab w:val="clear" w:pos="562"/>
              </w:tabs>
              <w:ind w:right="53"/>
              <w:rPr>
                <w:del w:id="2987" w:author="AbbVie19" w:date="2025-04-16T10:35:00Z"/>
                <w:bCs/>
              </w:rPr>
            </w:pPr>
            <w:del w:id="2988" w:author="AbbVie19" w:date="2025-04-16T10:35:00Z">
              <w:r w:rsidRPr="00BC0E7E">
                <w:rPr>
                  <w:bCs/>
                </w:rPr>
                <w:delText>71.4% (20/28)</w:delText>
              </w:r>
              <w:r w:rsidRPr="00BC0E7E">
                <w:rPr>
                  <w:bCs/>
                  <w:vertAlign w:val="superscript"/>
                </w:rPr>
                <w:delText>c</w:delText>
              </w:r>
            </w:del>
          </w:p>
        </w:tc>
      </w:tr>
      <w:tr w:rsidR="00C6578C" w14:paraId="6736B0E9" w14:textId="77777777" w:rsidTr="008A7D66">
        <w:trPr>
          <w:del w:id="2989" w:author="AbbVie19" w:date="2025-04-16T10:35:00Z"/>
        </w:trPr>
        <w:tc>
          <w:tcPr>
            <w:tcW w:w="2418" w:type="dxa"/>
          </w:tcPr>
          <w:p w14:paraId="32242A0D" w14:textId="77777777" w:rsidR="008A7D66" w:rsidRPr="00BC0E7E" w:rsidRDefault="00944B8F" w:rsidP="008A7D66">
            <w:pPr>
              <w:keepNext/>
              <w:tabs>
                <w:tab w:val="clear" w:pos="562"/>
              </w:tabs>
              <w:ind w:left="567" w:right="53"/>
              <w:rPr>
                <w:del w:id="2990" w:author="AbbVie19" w:date="2025-04-16T10:35:00Z"/>
                <w:bCs/>
              </w:rPr>
            </w:pPr>
            <w:del w:id="2991" w:author="AbbVie19" w:date="2025-04-16T10:35:00Z">
              <w:r w:rsidRPr="00BC0E7E">
                <w:rPr>
                  <w:bCs/>
                </w:rPr>
                <w:delText>Median time to disease flare</w:delText>
              </w:r>
            </w:del>
          </w:p>
        </w:tc>
        <w:tc>
          <w:tcPr>
            <w:tcW w:w="1760" w:type="dxa"/>
          </w:tcPr>
          <w:p w14:paraId="306E1562" w14:textId="77777777" w:rsidR="008A7D66" w:rsidRPr="00BC0E7E" w:rsidRDefault="00944B8F" w:rsidP="008A7D66">
            <w:pPr>
              <w:keepNext/>
              <w:tabs>
                <w:tab w:val="clear" w:pos="562"/>
              </w:tabs>
              <w:ind w:right="53"/>
              <w:rPr>
                <w:del w:id="2992" w:author="AbbVie19" w:date="2025-04-16T10:35:00Z"/>
                <w:bCs/>
              </w:rPr>
            </w:pPr>
            <w:del w:id="2993" w:author="AbbVie19" w:date="2025-04-16T10:35:00Z">
              <w:r w:rsidRPr="00BC0E7E">
                <w:rPr>
                  <w:bCs/>
                </w:rPr>
                <w:delText>&gt;32 weeks</w:delText>
              </w:r>
            </w:del>
          </w:p>
        </w:tc>
        <w:tc>
          <w:tcPr>
            <w:tcW w:w="1760" w:type="dxa"/>
          </w:tcPr>
          <w:p w14:paraId="0A371038" w14:textId="77777777" w:rsidR="008A7D66" w:rsidRPr="00BC0E7E" w:rsidRDefault="00944B8F" w:rsidP="008A7D66">
            <w:pPr>
              <w:keepNext/>
              <w:tabs>
                <w:tab w:val="clear" w:pos="562"/>
              </w:tabs>
              <w:ind w:right="53"/>
              <w:rPr>
                <w:del w:id="2994" w:author="AbbVie19" w:date="2025-04-16T10:35:00Z"/>
                <w:bCs/>
              </w:rPr>
            </w:pPr>
            <w:del w:id="2995" w:author="AbbVie19" w:date="2025-04-16T10:35:00Z">
              <w:r w:rsidRPr="00BC0E7E">
                <w:rPr>
                  <w:bCs/>
                </w:rPr>
                <w:delText>20 weeks</w:delText>
              </w:r>
            </w:del>
          </w:p>
        </w:tc>
        <w:tc>
          <w:tcPr>
            <w:tcW w:w="1650" w:type="dxa"/>
          </w:tcPr>
          <w:p w14:paraId="7D75EFFC" w14:textId="77777777" w:rsidR="008A7D66" w:rsidRPr="00BC0E7E" w:rsidRDefault="00944B8F" w:rsidP="008A7D66">
            <w:pPr>
              <w:keepNext/>
              <w:tabs>
                <w:tab w:val="clear" w:pos="562"/>
              </w:tabs>
              <w:ind w:right="53"/>
              <w:rPr>
                <w:del w:id="2996" w:author="AbbVie19" w:date="2025-04-16T10:35:00Z"/>
                <w:bCs/>
              </w:rPr>
            </w:pPr>
            <w:del w:id="2997" w:author="AbbVie19" w:date="2025-04-16T10:35:00Z">
              <w:r w:rsidRPr="00BC0E7E">
                <w:rPr>
                  <w:bCs/>
                </w:rPr>
                <w:delText>&gt;32 weeks</w:delText>
              </w:r>
            </w:del>
          </w:p>
        </w:tc>
        <w:tc>
          <w:tcPr>
            <w:tcW w:w="1589" w:type="dxa"/>
          </w:tcPr>
          <w:p w14:paraId="308486DE" w14:textId="77777777" w:rsidR="008A7D66" w:rsidRPr="00BC0E7E" w:rsidRDefault="00944B8F" w:rsidP="008A7D66">
            <w:pPr>
              <w:keepNext/>
              <w:tabs>
                <w:tab w:val="clear" w:pos="562"/>
              </w:tabs>
              <w:ind w:right="53"/>
              <w:rPr>
                <w:del w:id="2998" w:author="AbbVie19" w:date="2025-04-16T10:35:00Z"/>
                <w:bCs/>
              </w:rPr>
            </w:pPr>
            <w:del w:id="2999" w:author="AbbVie19" w:date="2025-04-16T10:35:00Z">
              <w:r w:rsidRPr="00BC0E7E">
                <w:rPr>
                  <w:bCs/>
                </w:rPr>
                <w:delText>14 weeks</w:delText>
              </w:r>
            </w:del>
          </w:p>
        </w:tc>
      </w:tr>
    </w:tbl>
    <w:p w14:paraId="382DD8AD" w14:textId="77777777" w:rsidR="008A7D66" w:rsidRPr="00BC0E7E" w:rsidRDefault="008A7D66" w:rsidP="008A7D66">
      <w:pPr>
        <w:tabs>
          <w:tab w:val="clear" w:pos="562"/>
        </w:tabs>
        <w:ind w:left="110" w:right="53"/>
        <w:rPr>
          <w:del w:id="3000" w:author="AbbVie19" w:date="2025-04-16T10:35:00Z"/>
          <w:b/>
          <w:bCs/>
          <w:sz w:val="24"/>
          <w:vertAlign w:val="superscript"/>
        </w:rPr>
      </w:pPr>
    </w:p>
    <w:p w14:paraId="51DE2C41" w14:textId="77777777" w:rsidR="008A7D66" w:rsidRPr="00BC0E7E" w:rsidRDefault="00944B8F" w:rsidP="008A7D66">
      <w:pPr>
        <w:tabs>
          <w:tab w:val="clear" w:pos="562"/>
        </w:tabs>
        <w:ind w:left="110" w:right="53"/>
        <w:rPr>
          <w:del w:id="3001" w:author="AbbVie19" w:date="2025-04-16T10:35:00Z"/>
          <w:bCs/>
          <w:i/>
          <w:iCs/>
          <w:szCs w:val="22"/>
        </w:rPr>
      </w:pPr>
      <w:del w:id="3002" w:author="AbbVie19" w:date="2025-04-16T10:35:00Z">
        <w:r w:rsidRPr="00BC0E7E">
          <w:rPr>
            <w:bCs/>
            <w:szCs w:val="22"/>
            <w:vertAlign w:val="superscript"/>
          </w:rPr>
          <w:delText xml:space="preserve">a </w:delText>
        </w:r>
        <w:r w:rsidRPr="00BC0E7E">
          <w:rPr>
            <w:bCs/>
            <w:szCs w:val="22"/>
          </w:rPr>
          <w:delText xml:space="preserve">Ped ACR 30/50/70 responses Week 48 significantly greater than those of placebo treated patients </w:delText>
        </w:r>
      </w:del>
    </w:p>
    <w:p w14:paraId="5354976C" w14:textId="77777777" w:rsidR="008A7D66" w:rsidRPr="00BC0E7E" w:rsidRDefault="00944B8F" w:rsidP="008A7D66">
      <w:pPr>
        <w:tabs>
          <w:tab w:val="clear" w:pos="562"/>
        </w:tabs>
        <w:ind w:left="110" w:right="53"/>
        <w:rPr>
          <w:del w:id="3003" w:author="AbbVie19" w:date="2025-04-16T10:35:00Z"/>
          <w:bCs/>
          <w:szCs w:val="22"/>
        </w:rPr>
      </w:pPr>
      <w:del w:id="3004" w:author="AbbVie19" w:date="2025-04-16T10:35:00Z">
        <w:r w:rsidRPr="00BC0E7E">
          <w:rPr>
            <w:bCs/>
            <w:szCs w:val="22"/>
            <w:vertAlign w:val="superscript"/>
          </w:rPr>
          <w:delText>b</w:delText>
        </w:r>
        <w:r w:rsidRPr="00BC0E7E">
          <w:rPr>
            <w:bCs/>
            <w:szCs w:val="22"/>
          </w:rPr>
          <w:delText xml:space="preserve"> p = 0.015</w:delText>
        </w:r>
      </w:del>
    </w:p>
    <w:p w14:paraId="6F41F3F5" w14:textId="77777777" w:rsidR="008A7D66" w:rsidRPr="00BC0E7E" w:rsidRDefault="00944B8F" w:rsidP="008A7D66">
      <w:pPr>
        <w:tabs>
          <w:tab w:val="clear" w:pos="562"/>
        </w:tabs>
        <w:ind w:left="110" w:right="53"/>
        <w:rPr>
          <w:del w:id="3005" w:author="AbbVie19" w:date="2025-04-16T10:35:00Z"/>
          <w:bCs/>
          <w:szCs w:val="22"/>
        </w:rPr>
      </w:pPr>
      <w:del w:id="3006" w:author="AbbVie19" w:date="2025-04-16T10:35:00Z">
        <w:r w:rsidRPr="00BC0E7E">
          <w:rPr>
            <w:bCs/>
            <w:szCs w:val="22"/>
            <w:vertAlign w:val="superscript"/>
          </w:rPr>
          <w:delText>c</w:delText>
        </w:r>
        <w:r w:rsidRPr="00BC0E7E">
          <w:rPr>
            <w:bCs/>
            <w:szCs w:val="22"/>
          </w:rPr>
          <w:delText xml:space="preserve"> p = 0.031</w:delText>
        </w:r>
      </w:del>
    </w:p>
    <w:p w14:paraId="5038E328" w14:textId="77777777" w:rsidR="008A7D66" w:rsidRPr="003F7AAE" w:rsidRDefault="008A7D66" w:rsidP="008A7D66">
      <w:pPr>
        <w:tabs>
          <w:tab w:val="clear" w:pos="562"/>
        </w:tabs>
        <w:ind w:left="110" w:right="53"/>
        <w:rPr>
          <w:del w:id="3007" w:author="AbbVie19" w:date="2025-04-16T10:35:00Z"/>
          <w:bCs/>
          <w:szCs w:val="22"/>
        </w:rPr>
      </w:pPr>
    </w:p>
    <w:p w14:paraId="316F57C3" w14:textId="77777777" w:rsidR="008A7D66" w:rsidRPr="00BC0E7E" w:rsidRDefault="00944B8F" w:rsidP="008A7D66">
      <w:pPr>
        <w:rPr>
          <w:del w:id="3008" w:author="AbbVie19" w:date="2025-04-16T10:35:00Z"/>
          <w:szCs w:val="20"/>
        </w:rPr>
      </w:pPr>
      <w:del w:id="3009" w:author="AbbVie19" w:date="2025-04-16T10:35:00Z">
        <w:r w:rsidRPr="00BC0E7E">
          <w:rPr>
            <w:szCs w:val="20"/>
          </w:rPr>
          <w:lastRenderedPageBreak/>
          <w:delText>Amongst those who responded at Week 16</w:delText>
        </w:r>
        <w:r w:rsidRPr="00BC0E7E">
          <w:rPr>
            <w:i/>
            <w:iCs/>
            <w:szCs w:val="20"/>
          </w:rPr>
          <w:delText xml:space="preserve"> </w:delText>
        </w:r>
        <w:r w:rsidRPr="00BC0E7E">
          <w:rPr>
            <w:szCs w:val="20"/>
          </w:rPr>
          <w:delText>(n=144), the P</w:delText>
        </w:r>
        <w:r w:rsidR="00043E67">
          <w:rPr>
            <w:szCs w:val="20"/>
          </w:rPr>
          <w:delText>a</w:delText>
        </w:r>
        <w:r w:rsidRPr="00BC0E7E">
          <w:rPr>
            <w:szCs w:val="20"/>
          </w:rPr>
          <w:delText>ediatric ACR 30/50/70/90 responses were maintained for up to six years in the OLE phase in patients who received Humira throughout the study.</w:delText>
        </w:r>
        <w:r w:rsidRPr="00BC0E7E">
          <w:rPr>
            <w:szCs w:val="22"/>
          </w:rPr>
          <w:delText xml:space="preserve"> Over all 19 subjects, of which 11 of the baseline age group 4 to 12 and 8 of the baseline age group 13 to 17 years were treated 6 years or longer.</w:delText>
        </w:r>
      </w:del>
    </w:p>
    <w:p w14:paraId="1786B2B4" w14:textId="77777777" w:rsidR="008A7D66" w:rsidRPr="00BC0E7E" w:rsidRDefault="008A7D66" w:rsidP="008A7D66">
      <w:pPr>
        <w:rPr>
          <w:del w:id="3010" w:author="AbbVie19" w:date="2025-04-16T10:35:00Z"/>
          <w:szCs w:val="20"/>
        </w:rPr>
      </w:pPr>
    </w:p>
    <w:p w14:paraId="25825538" w14:textId="77777777" w:rsidR="008A7D66" w:rsidRPr="00BC0E7E" w:rsidRDefault="00944B8F" w:rsidP="008A7D66">
      <w:pPr>
        <w:rPr>
          <w:del w:id="3011" w:author="AbbVie19" w:date="2025-04-16T10:35:00Z"/>
          <w:szCs w:val="20"/>
        </w:rPr>
      </w:pPr>
      <w:del w:id="3012" w:author="AbbVie19" w:date="2025-04-16T10:35:00Z">
        <w:r w:rsidRPr="00BC0E7E">
          <w:rPr>
            <w:szCs w:val="20"/>
          </w:rPr>
          <w:delText xml:space="preserve">Overall responses were generally better and, fewer patients developed antibodies when treated with the combination of Humira and MTX compared to Humira alone. Taking these results into consideration, Humira is recommended for use in combination with MTX and for use as monotherapy in patients for whom MTX use is not appropriate (see section 4.2). </w:delText>
        </w:r>
      </w:del>
    </w:p>
    <w:p w14:paraId="140C172B" w14:textId="77777777" w:rsidR="008A7D66" w:rsidRPr="00BC0E7E" w:rsidRDefault="008A7D66" w:rsidP="008A7D66">
      <w:pPr>
        <w:rPr>
          <w:del w:id="3013" w:author="AbbVie19" w:date="2025-04-16T10:35:00Z"/>
          <w:szCs w:val="20"/>
        </w:rPr>
      </w:pPr>
    </w:p>
    <w:p w14:paraId="2EE18D96" w14:textId="77777777" w:rsidR="008A7D66" w:rsidRPr="00BC0E7E" w:rsidRDefault="00944B8F" w:rsidP="008A7D66">
      <w:pPr>
        <w:rPr>
          <w:del w:id="3014" w:author="AbbVie19" w:date="2025-04-16T10:35:00Z"/>
          <w:szCs w:val="20"/>
        </w:rPr>
      </w:pPr>
      <w:del w:id="3015" w:author="AbbVie19" w:date="2025-04-16T10:35:00Z">
        <w:r w:rsidRPr="00BC0E7E">
          <w:rPr>
            <w:szCs w:val="20"/>
          </w:rPr>
          <w:delText>pJIA II</w:delText>
        </w:r>
      </w:del>
    </w:p>
    <w:p w14:paraId="1E01797A" w14:textId="77777777" w:rsidR="008A7D66" w:rsidRPr="00BC0E7E" w:rsidRDefault="008A7D66" w:rsidP="008A7D66">
      <w:pPr>
        <w:rPr>
          <w:del w:id="3016" w:author="AbbVie19" w:date="2025-04-16T10:35:00Z"/>
          <w:szCs w:val="20"/>
        </w:rPr>
      </w:pPr>
    </w:p>
    <w:p w14:paraId="399E09D3" w14:textId="77777777" w:rsidR="008A7D66" w:rsidRPr="00BC0E7E" w:rsidRDefault="00944B8F" w:rsidP="008A7D66">
      <w:pPr>
        <w:tabs>
          <w:tab w:val="left" w:pos="6840"/>
        </w:tabs>
        <w:autoSpaceDE w:val="0"/>
        <w:autoSpaceDN w:val="0"/>
        <w:adjustRightInd w:val="0"/>
        <w:ind w:right="53"/>
        <w:rPr>
          <w:del w:id="3017" w:author="AbbVie19" w:date="2025-04-16T10:35:00Z"/>
        </w:rPr>
      </w:pPr>
      <w:del w:id="3018" w:author="AbbVie19" w:date="2025-04-16T10:35:00Z">
        <w:r w:rsidRPr="00BC0E7E">
          <w:delText>The safety and efficacy of Humira was assessed in an open-label, multicentre study in 32 children (2 - &lt;4 years old or</w:delText>
        </w:r>
        <w:r w:rsidRPr="00BC0E7E">
          <w:rPr>
            <w:szCs w:val="22"/>
          </w:rPr>
          <w:delText xml:space="preserve"> aged 4 and above weighing &lt; 15 kg</w:delText>
        </w:r>
        <w:r w:rsidRPr="00BC0E7E">
          <w:delText xml:space="preserve">) with moderately to severely active polyarticular JIA. The patients </w:delText>
        </w:r>
        <w:r w:rsidRPr="00BC0E7E">
          <w:rPr>
            <w:szCs w:val="22"/>
          </w:rPr>
          <w:delText>received 24 mg/m</w:delText>
        </w:r>
        <w:r w:rsidRPr="00BC0E7E">
          <w:rPr>
            <w:szCs w:val="22"/>
            <w:vertAlign w:val="superscript"/>
          </w:rPr>
          <w:delText>2</w:delText>
        </w:r>
        <w:r w:rsidRPr="00BC0E7E">
          <w:rPr>
            <w:szCs w:val="22"/>
          </w:rPr>
          <w:delText xml:space="preserve"> body surface area (BSA) of Humira up to a maximum of 20 mg every other week as a single dose via SC injection for at least 24 weeks. During the study, most subjects used concomitant MTX, with fewer reporting use of corticosteroids or NSAIDs.</w:delText>
        </w:r>
      </w:del>
    </w:p>
    <w:p w14:paraId="7EEBA895" w14:textId="77777777" w:rsidR="008A7D66" w:rsidRPr="00BC0E7E" w:rsidRDefault="008A7D66" w:rsidP="008A7D66">
      <w:pPr>
        <w:rPr>
          <w:del w:id="3019" w:author="AbbVie19" w:date="2025-04-16T10:35:00Z"/>
          <w:szCs w:val="20"/>
        </w:rPr>
      </w:pPr>
    </w:p>
    <w:p w14:paraId="31AF6087" w14:textId="77777777" w:rsidR="008A7D66" w:rsidRPr="00BC0E7E" w:rsidRDefault="00944B8F" w:rsidP="008A7D66">
      <w:pPr>
        <w:rPr>
          <w:del w:id="3020" w:author="AbbVie19" w:date="2025-04-16T10:35:00Z"/>
          <w:szCs w:val="22"/>
        </w:rPr>
      </w:pPr>
      <w:del w:id="3021" w:author="AbbVie19" w:date="2025-04-16T10:35:00Z">
        <w:r w:rsidRPr="00BC0E7E">
          <w:rPr>
            <w:szCs w:val="22"/>
          </w:rPr>
          <w:delText>At Week 12 and Week 24, PedACR30 response was 93.5% and 90.0%, respectively, using the observed data approach. The proportions of subjects with PedACR50/70/90 at Week 12 and Week 24 were 90.3%/61.3%/38.7% and 83.3%/73.3%/36.7%, respectively. Amongst those who responded (P</w:delText>
        </w:r>
        <w:r w:rsidR="00043E67">
          <w:rPr>
            <w:szCs w:val="22"/>
          </w:rPr>
          <w:delText>a</w:delText>
        </w:r>
        <w:r w:rsidRPr="00BC0E7E">
          <w:rPr>
            <w:szCs w:val="22"/>
          </w:rPr>
          <w:delText>ediatric ACR 30) at Week 24 (n=27 out of 30 patients), the P</w:delText>
        </w:r>
        <w:r w:rsidR="00043E67">
          <w:rPr>
            <w:szCs w:val="22"/>
          </w:rPr>
          <w:delText>a</w:delText>
        </w:r>
        <w:r w:rsidRPr="00BC0E7E">
          <w:rPr>
            <w:szCs w:val="22"/>
          </w:rPr>
          <w:delText>ediatric ACR 30 responses were maintained for up to 60 weeks in the OLE phase in patients who received Humira throughout this time period. Overall, 20 subjects were treated for 60 weeks or longer.</w:delText>
        </w:r>
      </w:del>
    </w:p>
    <w:p w14:paraId="3016F362" w14:textId="77777777" w:rsidR="008A7D66" w:rsidRPr="00BC0E7E" w:rsidRDefault="008A7D66" w:rsidP="008A7D66">
      <w:pPr>
        <w:rPr>
          <w:del w:id="3022" w:author="AbbVie19" w:date="2025-04-16T10:35:00Z"/>
          <w:szCs w:val="22"/>
        </w:rPr>
      </w:pPr>
    </w:p>
    <w:p w14:paraId="7B83D65B" w14:textId="77777777" w:rsidR="008A7D66" w:rsidRPr="00BC0E7E" w:rsidRDefault="00944B8F" w:rsidP="008A7D66">
      <w:pPr>
        <w:tabs>
          <w:tab w:val="clear" w:pos="562"/>
        </w:tabs>
        <w:suppressAutoHyphens w:val="0"/>
        <w:rPr>
          <w:del w:id="3023" w:author="AbbVie19" w:date="2025-04-16T10:35:00Z"/>
          <w:bCs/>
          <w:szCs w:val="22"/>
          <w:u w:val="single"/>
        </w:rPr>
      </w:pPr>
      <w:del w:id="3024" w:author="AbbVie19" w:date="2025-04-16T10:35:00Z">
        <w:r w:rsidRPr="00BC0E7E">
          <w:rPr>
            <w:bCs/>
            <w:i/>
            <w:szCs w:val="22"/>
            <w:u w:val="single"/>
          </w:rPr>
          <w:delText>Enthesitis-related arthritis</w:delText>
        </w:r>
      </w:del>
    </w:p>
    <w:p w14:paraId="0BC36682" w14:textId="77777777" w:rsidR="008A7D66" w:rsidRPr="00BC0E7E" w:rsidRDefault="008A7D66" w:rsidP="008A7D66">
      <w:pPr>
        <w:tabs>
          <w:tab w:val="clear" w:pos="562"/>
        </w:tabs>
        <w:suppressAutoHyphens w:val="0"/>
        <w:rPr>
          <w:del w:id="3025" w:author="AbbVie19" w:date="2025-04-16T10:35:00Z"/>
          <w:bCs/>
          <w:szCs w:val="22"/>
          <w:u w:val="single"/>
        </w:rPr>
      </w:pPr>
    </w:p>
    <w:p w14:paraId="62405008" w14:textId="77777777" w:rsidR="008A7D66" w:rsidRPr="00BC0E7E" w:rsidRDefault="00944B8F" w:rsidP="008A7D66">
      <w:pPr>
        <w:rPr>
          <w:del w:id="3026" w:author="AbbVie19" w:date="2025-04-16T10:35:00Z"/>
          <w:szCs w:val="20"/>
        </w:rPr>
      </w:pPr>
      <w:del w:id="3027" w:author="AbbVie19" w:date="2025-04-16T10:35:00Z">
        <w:r w:rsidRPr="00BC0E7E">
          <w:rPr>
            <w:szCs w:val="22"/>
          </w:rPr>
          <w:delText xml:space="preserve">The safety and efficacy of Humira were assessed in a </w:delText>
        </w:r>
        <w:r w:rsidRPr="00BC0E7E">
          <w:rPr>
            <w:szCs w:val="20"/>
          </w:rPr>
          <w:delText>multicentre</w:delText>
        </w:r>
        <w:r w:rsidRPr="00BC0E7E">
          <w:rPr>
            <w:szCs w:val="22"/>
          </w:rPr>
          <w:delText>, randomised, double-blind study in 46 paediatric patients (6 to 17 years old) with moderate enthesitis-related arthritis. Patients were randomised to receive either 24 mg/m</w:delText>
        </w:r>
        <w:r w:rsidRPr="00BC0E7E">
          <w:rPr>
            <w:szCs w:val="22"/>
            <w:vertAlign w:val="superscript"/>
          </w:rPr>
          <w:delText>2</w:delText>
        </w:r>
        <w:r w:rsidRPr="00BC0E7E">
          <w:rPr>
            <w:szCs w:val="22"/>
          </w:rPr>
          <w:delText xml:space="preserve"> body surface area (BSA) of Humira up to a maximum of 40 mg, or placebo every other week for 12 weeks. The double-blind period is followed by an open-label (OL) period during which patients received </w:delText>
        </w:r>
        <w:r w:rsidRPr="00BC0E7E">
          <w:rPr>
            <w:szCs w:val="20"/>
          </w:rPr>
          <w:delText>24 mg/m</w:delText>
        </w:r>
        <w:r w:rsidRPr="00BC0E7E">
          <w:rPr>
            <w:szCs w:val="20"/>
            <w:vertAlign w:val="superscript"/>
          </w:rPr>
          <w:delText>2</w:delText>
        </w:r>
        <w:r w:rsidRPr="00BC0E7E">
          <w:rPr>
            <w:szCs w:val="20"/>
          </w:rPr>
          <w:delText xml:space="preserve"> BSA of Humira up to a maximum of 40 mg every other week </w:delText>
        </w:r>
        <w:r w:rsidRPr="00BC0E7E">
          <w:rPr>
            <w:szCs w:val="22"/>
          </w:rPr>
          <w:delText>subcutaneously for up to an additional 192 weeks. The primary endpoint was the percent change from Baseline to Week 12 in the number of active joints with arthritis (swelling not due to deformity or joints with loss of motion plus pain and/or tenderness), which was achieved with mean percent decrease of -62.6% (median percent change -88.9%) in patients in the Humira group compared to -11.6% (median percent change -50.0%) in patients in the placebo group. Improvement in number of active joints with arthritis was maintained during the OL period through Week 156 for the 26 of 31 (84%) patients in the Humira group who remained in</w:delText>
        </w:r>
        <w:r w:rsidR="00547FB1">
          <w:rPr>
            <w:szCs w:val="22"/>
          </w:rPr>
          <w:delText xml:space="preserve"> </w:delText>
        </w:r>
        <w:r w:rsidRPr="00BC0E7E">
          <w:rPr>
            <w:szCs w:val="22"/>
          </w:rPr>
          <w:delText>the study. Although not statistically significant, the majority of patients demonstrated clinical improvement in secondary endpoints such as number of sites of enthesitis, tender joint count (TJC), swollen joint count (SJC), P</w:delText>
        </w:r>
        <w:r w:rsidR="00043E67">
          <w:rPr>
            <w:szCs w:val="22"/>
          </w:rPr>
          <w:delText>a</w:delText>
        </w:r>
        <w:r w:rsidRPr="00BC0E7E">
          <w:rPr>
            <w:szCs w:val="22"/>
          </w:rPr>
          <w:delText>ediatric ACR 50 response, and P</w:delText>
        </w:r>
        <w:r w:rsidR="00043E67">
          <w:rPr>
            <w:szCs w:val="22"/>
          </w:rPr>
          <w:delText>a</w:delText>
        </w:r>
        <w:r w:rsidRPr="00BC0E7E">
          <w:rPr>
            <w:szCs w:val="22"/>
          </w:rPr>
          <w:delText>ediatric ACR 70 response.</w:delText>
        </w:r>
      </w:del>
    </w:p>
    <w:p w14:paraId="584B35B2" w14:textId="77777777" w:rsidR="008A7D66" w:rsidRDefault="008A7D66" w:rsidP="00BC0E7E">
      <w:pPr>
        <w:keepNext/>
        <w:rPr>
          <w:del w:id="3028" w:author="AbbVie19" w:date="2025-04-16T10:35:00Z"/>
          <w:szCs w:val="22"/>
          <w:lang w:eastAsia="en-GB"/>
        </w:rPr>
      </w:pPr>
    </w:p>
    <w:p w14:paraId="5857D1FE" w14:textId="77777777" w:rsidR="008A7D66" w:rsidRPr="00BC0E7E" w:rsidRDefault="00944B8F" w:rsidP="008A7D66">
      <w:pPr>
        <w:tabs>
          <w:tab w:val="clear" w:pos="562"/>
        </w:tabs>
        <w:suppressAutoHyphens w:val="0"/>
        <w:spacing w:line="300" w:lineRule="auto"/>
        <w:rPr>
          <w:del w:id="3029" w:author="AbbVie19" w:date="2025-04-16T10:35:00Z"/>
          <w:bCs/>
          <w:i/>
          <w:szCs w:val="22"/>
        </w:rPr>
      </w:pPr>
      <w:del w:id="3030" w:author="AbbVie19" w:date="2025-04-16T10:35:00Z">
        <w:r w:rsidRPr="00BC0E7E">
          <w:rPr>
            <w:bCs/>
            <w:i/>
            <w:szCs w:val="22"/>
          </w:rPr>
          <w:delText>Paediatric plaque psoriasis</w:delText>
        </w:r>
      </w:del>
    </w:p>
    <w:p w14:paraId="3C1FDF6E" w14:textId="77777777" w:rsidR="008A7D66" w:rsidRPr="00BC0E7E" w:rsidRDefault="008A7D66" w:rsidP="008A7D66">
      <w:pPr>
        <w:tabs>
          <w:tab w:val="clear" w:pos="562"/>
        </w:tabs>
        <w:suppressAutoHyphens w:val="0"/>
        <w:spacing w:line="300" w:lineRule="auto"/>
        <w:rPr>
          <w:del w:id="3031" w:author="AbbVie19" w:date="2025-04-16T10:35:00Z"/>
          <w:bCs/>
          <w:szCs w:val="22"/>
          <w:u w:val="single"/>
        </w:rPr>
      </w:pPr>
    </w:p>
    <w:p w14:paraId="2DCB56DA" w14:textId="77777777" w:rsidR="008A7D66" w:rsidRPr="00BC0E7E" w:rsidRDefault="00944B8F" w:rsidP="008A7D66">
      <w:pPr>
        <w:autoSpaceDE w:val="0"/>
        <w:autoSpaceDN w:val="0"/>
        <w:adjustRightInd w:val="0"/>
        <w:rPr>
          <w:del w:id="3032" w:author="AbbVie19" w:date="2025-04-16T10:35:00Z"/>
          <w:szCs w:val="22"/>
        </w:rPr>
      </w:pPr>
      <w:del w:id="3033" w:author="AbbVie19" w:date="2025-04-16T10:35:00Z">
        <w:r w:rsidRPr="00BC0E7E">
          <w:rPr>
            <w:szCs w:val="22"/>
          </w:rPr>
          <w:delText xml:space="preserve">The efficacy of Humira was assessed in a randomised, double-blind, controlled study of 114 paediatric patients from 4 years of age with severe chronic plaque psoriasis (as defined by a </w:delText>
        </w:r>
        <w:r w:rsidRPr="00BC0E7E">
          <w:delText>Physician’s Global Assessment</w:delText>
        </w:r>
        <w:r w:rsidRPr="00BC0E7E">
          <w:rPr>
            <w:szCs w:val="22"/>
          </w:rPr>
          <w:delText xml:space="preserve"> (PGA) ≥ 4 or &gt; 20% BSA involvement or &gt; 10% BSA involvement with very thick lesions or </w:delText>
        </w:r>
        <w:r w:rsidRPr="00BC0E7E">
          <w:delText>Psoriasis Area and Severity Index (</w:delText>
        </w:r>
        <w:r w:rsidRPr="00BC0E7E">
          <w:rPr>
            <w:szCs w:val="22"/>
          </w:rPr>
          <w:delText xml:space="preserve">PASI) ≥ 20 or ≥ 10 with clinically relevant facial, genital, or hand/ foot involvement) who were inadequately controlled with topical therapy and heliotherapy or phototherapy. </w:delText>
        </w:r>
      </w:del>
    </w:p>
    <w:p w14:paraId="6CCFC581" w14:textId="77777777" w:rsidR="008A7D66" w:rsidRPr="00BC0E7E" w:rsidRDefault="008A7D66" w:rsidP="008A7D66">
      <w:pPr>
        <w:autoSpaceDE w:val="0"/>
        <w:autoSpaceDN w:val="0"/>
        <w:adjustRightInd w:val="0"/>
        <w:rPr>
          <w:del w:id="3034" w:author="AbbVie19" w:date="2025-04-16T10:35:00Z"/>
          <w:szCs w:val="22"/>
        </w:rPr>
      </w:pPr>
    </w:p>
    <w:p w14:paraId="79D8DDAC" w14:textId="77777777" w:rsidR="008A7D66" w:rsidRPr="00BC0E7E" w:rsidRDefault="00944B8F" w:rsidP="008A7D66">
      <w:pPr>
        <w:autoSpaceDE w:val="0"/>
        <w:autoSpaceDN w:val="0"/>
        <w:adjustRightInd w:val="0"/>
        <w:rPr>
          <w:del w:id="3035" w:author="AbbVie19" w:date="2025-04-16T10:35:00Z"/>
          <w:szCs w:val="22"/>
        </w:rPr>
      </w:pPr>
      <w:del w:id="3036" w:author="AbbVie19" w:date="2025-04-16T10:35:00Z">
        <w:r w:rsidRPr="00BC0E7E">
          <w:rPr>
            <w:szCs w:val="22"/>
          </w:rPr>
          <w:lastRenderedPageBreak/>
          <w:delText xml:space="preserve">Patients received Humira 0.8 mg/kg eow (up to 40 mg), 0.4 mg/kg eow (up to 20 mg), or methotrexate 0.1 – 0.4 mg/kg weekly (up to 25 mg). At week 16, more patients randomised to Humira 0.8 mg/kg had positive efficacy responses (e.g., PASI 75) than those randomised to 0.4 mg/kg eow or MTX.  </w:delText>
        </w:r>
      </w:del>
    </w:p>
    <w:p w14:paraId="0FBCFA69" w14:textId="77777777" w:rsidR="008A7D66" w:rsidRPr="00BC0E7E" w:rsidRDefault="008A7D66" w:rsidP="008A7D66">
      <w:pPr>
        <w:keepNext/>
        <w:autoSpaceDE w:val="0"/>
        <w:autoSpaceDN w:val="0"/>
        <w:adjustRightInd w:val="0"/>
        <w:rPr>
          <w:del w:id="3037" w:author="AbbVie19" w:date="2025-04-16T10:35:00Z"/>
          <w:bCs/>
          <w:szCs w:val="22"/>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528"/>
        <w:gridCol w:w="1681"/>
        <w:gridCol w:w="3188"/>
      </w:tblGrid>
      <w:tr w:rsidR="00C6578C" w14:paraId="4CCD7A58" w14:textId="77777777" w:rsidTr="008A7D66">
        <w:trPr>
          <w:jc w:val="center"/>
          <w:del w:id="3038" w:author="AbbVie19" w:date="2025-04-16T10:35:00Z"/>
        </w:trPr>
        <w:tc>
          <w:tcPr>
            <w:tcW w:w="5000" w:type="pct"/>
            <w:gridSpan w:val="3"/>
            <w:tcBorders>
              <w:top w:val="nil"/>
              <w:left w:val="nil"/>
              <w:bottom w:val="nil"/>
              <w:right w:val="nil"/>
            </w:tcBorders>
            <w:vAlign w:val="center"/>
          </w:tcPr>
          <w:p w14:paraId="5FDF4969" w14:textId="77777777" w:rsidR="008A7D66" w:rsidRPr="00BC0E7E" w:rsidRDefault="00944B8F" w:rsidP="008A7D66">
            <w:pPr>
              <w:keepNext/>
              <w:autoSpaceDE w:val="0"/>
              <w:autoSpaceDN w:val="0"/>
              <w:adjustRightInd w:val="0"/>
              <w:jc w:val="center"/>
              <w:rPr>
                <w:del w:id="3039" w:author="AbbVie19" w:date="2025-04-16T10:35:00Z"/>
                <w:b/>
                <w:bCs/>
                <w:szCs w:val="22"/>
              </w:rPr>
            </w:pPr>
            <w:del w:id="3040" w:author="AbbVie19" w:date="2025-04-16T10:35:00Z">
              <w:r w:rsidRPr="00BC0E7E">
                <w:rPr>
                  <w:b/>
                  <w:szCs w:val="22"/>
                </w:rPr>
                <w:delText xml:space="preserve">Table </w:delText>
              </w:r>
              <w:r w:rsidR="005F03EC">
                <w:rPr>
                  <w:b/>
                  <w:szCs w:val="22"/>
                </w:rPr>
                <w:delText>22</w:delText>
              </w:r>
              <w:r w:rsidRPr="00BC0E7E">
                <w:rPr>
                  <w:b/>
                  <w:szCs w:val="22"/>
                </w:rPr>
                <w:delText xml:space="preserve">: </w:delText>
              </w:r>
              <w:r w:rsidRPr="00BC0E7E">
                <w:rPr>
                  <w:b/>
                  <w:bCs/>
                  <w:szCs w:val="22"/>
                </w:rPr>
                <w:delText>Paediatric Plaque Psoriasis Efficacy Results at 16 Weeks</w:delText>
              </w:r>
            </w:del>
          </w:p>
          <w:p w14:paraId="141034FD" w14:textId="77777777" w:rsidR="008A7D66" w:rsidRPr="00BC0E7E" w:rsidRDefault="008A7D66" w:rsidP="008A7D66">
            <w:pPr>
              <w:keepNext/>
              <w:jc w:val="center"/>
              <w:rPr>
                <w:del w:id="3041" w:author="AbbVie19" w:date="2025-04-16T10:35:00Z"/>
                <w:b/>
                <w:szCs w:val="22"/>
              </w:rPr>
            </w:pPr>
          </w:p>
        </w:tc>
      </w:tr>
      <w:tr w:rsidR="00C6578C" w14:paraId="39FAC7D7" w14:textId="77777777" w:rsidTr="008A7D66">
        <w:trPr>
          <w:jc w:val="center"/>
          <w:del w:id="3042" w:author="AbbVie19" w:date="2025-04-16T10:35:00Z"/>
        </w:trPr>
        <w:tc>
          <w:tcPr>
            <w:tcW w:w="0" w:type="auto"/>
            <w:tcBorders>
              <w:top w:val="single" w:sz="6" w:space="0" w:color="000000"/>
              <w:left w:val="single" w:sz="6" w:space="0" w:color="000000"/>
              <w:bottom w:val="outset" w:sz="6" w:space="0" w:color="auto"/>
              <w:right w:val="outset" w:sz="6" w:space="0" w:color="auto"/>
            </w:tcBorders>
            <w:vAlign w:val="center"/>
          </w:tcPr>
          <w:p w14:paraId="01DB50CC" w14:textId="77777777" w:rsidR="008A7D66" w:rsidRPr="00BC0E7E" w:rsidRDefault="008A7D66" w:rsidP="008A7D66">
            <w:pPr>
              <w:keepNext/>
              <w:rPr>
                <w:del w:id="3043" w:author="AbbVie19" w:date="2025-04-16T10:35:00Z"/>
                <w:szCs w:val="22"/>
              </w:rPr>
            </w:pPr>
          </w:p>
        </w:tc>
        <w:tc>
          <w:tcPr>
            <w:tcW w:w="0" w:type="auto"/>
            <w:tcBorders>
              <w:top w:val="single" w:sz="6" w:space="0" w:color="000000"/>
              <w:left w:val="single" w:sz="6" w:space="0" w:color="000000"/>
              <w:bottom w:val="outset" w:sz="6" w:space="0" w:color="auto"/>
              <w:right w:val="outset" w:sz="6" w:space="0" w:color="auto"/>
            </w:tcBorders>
            <w:vAlign w:val="center"/>
          </w:tcPr>
          <w:p w14:paraId="55B758E2" w14:textId="77777777" w:rsidR="008A7D66" w:rsidRPr="00BC0E7E" w:rsidRDefault="00944B8F" w:rsidP="008A7D66">
            <w:pPr>
              <w:keepNext/>
              <w:jc w:val="center"/>
              <w:rPr>
                <w:del w:id="3044" w:author="AbbVie19" w:date="2025-04-16T10:35:00Z"/>
                <w:szCs w:val="22"/>
              </w:rPr>
            </w:pPr>
            <w:del w:id="3045" w:author="AbbVie19" w:date="2025-04-16T10:35:00Z">
              <w:r w:rsidRPr="00BC0E7E">
                <w:rPr>
                  <w:szCs w:val="22"/>
                </w:rPr>
                <w:delText>MTX</w:delText>
              </w:r>
              <w:r w:rsidRPr="00BC0E7E">
                <w:rPr>
                  <w:szCs w:val="22"/>
                  <w:vertAlign w:val="superscript"/>
                </w:rPr>
                <w:delText>a</w:delText>
              </w:r>
              <w:r w:rsidRPr="00BC0E7E">
                <w:rPr>
                  <w:szCs w:val="22"/>
                </w:rPr>
                <w:br/>
                <w:delText xml:space="preserve">N=37 </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75D9A779" w14:textId="77777777" w:rsidR="008A7D66" w:rsidRPr="00BC0E7E" w:rsidRDefault="00944B8F" w:rsidP="008A7D66">
            <w:pPr>
              <w:keepNext/>
              <w:jc w:val="center"/>
              <w:rPr>
                <w:del w:id="3046" w:author="AbbVie19" w:date="2025-04-16T10:35:00Z"/>
                <w:szCs w:val="22"/>
                <w:lang w:val="pt-BR"/>
              </w:rPr>
            </w:pPr>
            <w:del w:id="3047" w:author="AbbVie19" w:date="2025-04-16T10:35:00Z">
              <w:r w:rsidRPr="00BC0E7E">
                <w:rPr>
                  <w:szCs w:val="22"/>
                  <w:lang w:val="pt-BR"/>
                </w:rPr>
                <w:delText>Humira 0.8 mg/kg eow</w:delText>
              </w:r>
              <w:r w:rsidRPr="00BC0E7E">
                <w:rPr>
                  <w:szCs w:val="22"/>
                  <w:lang w:val="pt-BR"/>
                </w:rPr>
                <w:br/>
                <w:delText xml:space="preserve">N=38 </w:delText>
              </w:r>
            </w:del>
          </w:p>
        </w:tc>
      </w:tr>
      <w:tr w:rsidR="00C6578C" w14:paraId="19A590F9" w14:textId="77777777" w:rsidTr="008A7D66">
        <w:trPr>
          <w:jc w:val="center"/>
          <w:del w:id="3048" w:author="AbbVie19" w:date="2025-04-16T10:35:00Z"/>
        </w:trPr>
        <w:tc>
          <w:tcPr>
            <w:tcW w:w="0" w:type="auto"/>
            <w:tcBorders>
              <w:top w:val="single" w:sz="6" w:space="0" w:color="000000"/>
              <w:left w:val="single" w:sz="6" w:space="0" w:color="000000"/>
              <w:bottom w:val="outset" w:sz="6" w:space="0" w:color="auto"/>
              <w:right w:val="outset" w:sz="6" w:space="0" w:color="auto"/>
            </w:tcBorders>
            <w:vAlign w:val="center"/>
          </w:tcPr>
          <w:p w14:paraId="64D158BF" w14:textId="77777777" w:rsidR="008A7D66" w:rsidRPr="00BC0E7E" w:rsidRDefault="00944B8F" w:rsidP="008A7D66">
            <w:pPr>
              <w:keepNext/>
              <w:rPr>
                <w:del w:id="3049" w:author="AbbVie19" w:date="2025-04-16T10:35:00Z"/>
                <w:szCs w:val="22"/>
              </w:rPr>
            </w:pPr>
            <w:del w:id="3050" w:author="AbbVie19" w:date="2025-04-16T10:35:00Z">
              <w:r w:rsidRPr="00BC0E7E">
                <w:rPr>
                  <w:szCs w:val="22"/>
                </w:rPr>
                <w:delText> </w:delText>
              </w:r>
              <w:r w:rsidRPr="00BC0E7E">
                <w:rPr>
                  <w:szCs w:val="22"/>
                </w:rPr>
                <w:delText>PASI 75</w:delText>
              </w:r>
              <w:r w:rsidRPr="00BC0E7E">
                <w:rPr>
                  <w:szCs w:val="22"/>
                  <w:vertAlign w:val="superscript"/>
                </w:rPr>
                <w:delText>b</w:delText>
              </w:r>
            </w:del>
          </w:p>
        </w:tc>
        <w:tc>
          <w:tcPr>
            <w:tcW w:w="0" w:type="auto"/>
            <w:tcBorders>
              <w:top w:val="single" w:sz="6" w:space="0" w:color="000000"/>
              <w:left w:val="single" w:sz="6" w:space="0" w:color="000000"/>
              <w:bottom w:val="outset" w:sz="6" w:space="0" w:color="auto"/>
              <w:right w:val="outset" w:sz="6" w:space="0" w:color="auto"/>
            </w:tcBorders>
            <w:vAlign w:val="center"/>
          </w:tcPr>
          <w:p w14:paraId="4E4688D4" w14:textId="77777777" w:rsidR="008A7D66" w:rsidRPr="00BC0E7E" w:rsidRDefault="00944B8F" w:rsidP="008A7D66">
            <w:pPr>
              <w:keepNext/>
              <w:jc w:val="center"/>
              <w:rPr>
                <w:del w:id="3051" w:author="AbbVie19" w:date="2025-04-16T10:35:00Z"/>
                <w:szCs w:val="22"/>
              </w:rPr>
            </w:pPr>
            <w:del w:id="3052" w:author="AbbVie19" w:date="2025-04-16T10:35:00Z">
              <w:r w:rsidRPr="00BC0E7E">
                <w:rPr>
                  <w:szCs w:val="22"/>
                </w:rPr>
                <w:delText>12 (32.4%)</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02FC0702" w14:textId="77777777" w:rsidR="008A7D66" w:rsidRPr="00BC0E7E" w:rsidRDefault="00944B8F" w:rsidP="008A7D66">
            <w:pPr>
              <w:keepNext/>
              <w:jc w:val="center"/>
              <w:rPr>
                <w:del w:id="3053" w:author="AbbVie19" w:date="2025-04-16T10:35:00Z"/>
                <w:szCs w:val="22"/>
              </w:rPr>
            </w:pPr>
            <w:del w:id="3054" w:author="AbbVie19" w:date="2025-04-16T10:35:00Z">
              <w:r w:rsidRPr="00BC0E7E">
                <w:rPr>
                  <w:szCs w:val="22"/>
                </w:rPr>
                <w:delText>22 (57.9%)</w:delText>
              </w:r>
            </w:del>
          </w:p>
        </w:tc>
      </w:tr>
      <w:tr w:rsidR="00C6578C" w14:paraId="48D183DE" w14:textId="77777777" w:rsidTr="008A7D66">
        <w:trPr>
          <w:jc w:val="center"/>
          <w:del w:id="3055" w:author="AbbVie19" w:date="2025-04-16T10:35:00Z"/>
        </w:trPr>
        <w:tc>
          <w:tcPr>
            <w:tcW w:w="0" w:type="auto"/>
            <w:tcBorders>
              <w:top w:val="single" w:sz="6" w:space="0" w:color="000000"/>
              <w:left w:val="single" w:sz="6" w:space="0" w:color="000000"/>
              <w:bottom w:val="single" w:sz="6" w:space="0" w:color="000000"/>
              <w:right w:val="outset" w:sz="6" w:space="0" w:color="auto"/>
            </w:tcBorders>
            <w:vAlign w:val="center"/>
          </w:tcPr>
          <w:p w14:paraId="7FB7719A" w14:textId="77777777" w:rsidR="008A7D66" w:rsidRPr="00BC0E7E" w:rsidRDefault="00944B8F" w:rsidP="008A7D66">
            <w:pPr>
              <w:keepNext/>
              <w:rPr>
                <w:del w:id="3056" w:author="AbbVie19" w:date="2025-04-16T10:35:00Z"/>
                <w:szCs w:val="22"/>
              </w:rPr>
            </w:pPr>
            <w:del w:id="3057" w:author="AbbVie19" w:date="2025-04-16T10:35:00Z">
              <w:r w:rsidRPr="00BC0E7E">
                <w:rPr>
                  <w:szCs w:val="22"/>
                </w:rPr>
                <w:delText> </w:delText>
              </w:r>
              <w:r w:rsidRPr="00BC0E7E">
                <w:rPr>
                  <w:szCs w:val="22"/>
                </w:rPr>
                <w:delText>PGA: Clear/minimal</w:delText>
              </w:r>
              <w:r w:rsidRPr="00BC0E7E">
                <w:rPr>
                  <w:szCs w:val="22"/>
                  <w:vertAlign w:val="superscript"/>
                </w:rPr>
                <w:delText>c</w:delText>
              </w:r>
            </w:del>
          </w:p>
        </w:tc>
        <w:tc>
          <w:tcPr>
            <w:tcW w:w="0" w:type="auto"/>
            <w:tcBorders>
              <w:top w:val="single" w:sz="6" w:space="0" w:color="000000"/>
              <w:left w:val="single" w:sz="6" w:space="0" w:color="000000"/>
              <w:bottom w:val="single" w:sz="6" w:space="0" w:color="000000"/>
              <w:right w:val="outset" w:sz="6" w:space="0" w:color="auto"/>
            </w:tcBorders>
            <w:vAlign w:val="center"/>
          </w:tcPr>
          <w:p w14:paraId="3B8E2D49" w14:textId="77777777" w:rsidR="008A7D66" w:rsidRPr="00BC0E7E" w:rsidRDefault="00944B8F" w:rsidP="008A7D66">
            <w:pPr>
              <w:keepNext/>
              <w:jc w:val="center"/>
              <w:rPr>
                <w:del w:id="3058" w:author="AbbVie19" w:date="2025-04-16T10:35:00Z"/>
                <w:szCs w:val="22"/>
              </w:rPr>
            </w:pPr>
            <w:del w:id="3059" w:author="AbbVie19" w:date="2025-04-16T10:35:00Z">
              <w:r w:rsidRPr="00BC0E7E">
                <w:rPr>
                  <w:szCs w:val="22"/>
                </w:rPr>
                <w:delText>15 (40.5%)</w:delText>
              </w:r>
            </w:del>
          </w:p>
        </w:tc>
        <w:tc>
          <w:tcPr>
            <w:tcW w:w="1898" w:type="pct"/>
            <w:tcBorders>
              <w:top w:val="single" w:sz="6" w:space="0" w:color="000000"/>
              <w:left w:val="single" w:sz="6" w:space="0" w:color="000000"/>
              <w:bottom w:val="single" w:sz="6" w:space="0" w:color="000000"/>
              <w:right w:val="single" w:sz="6" w:space="0" w:color="000000"/>
            </w:tcBorders>
            <w:vAlign w:val="center"/>
          </w:tcPr>
          <w:p w14:paraId="586C2B99" w14:textId="77777777" w:rsidR="008A7D66" w:rsidRPr="00BC0E7E" w:rsidRDefault="00944B8F" w:rsidP="008A7D66">
            <w:pPr>
              <w:keepNext/>
              <w:jc w:val="center"/>
              <w:rPr>
                <w:del w:id="3060" w:author="AbbVie19" w:date="2025-04-16T10:35:00Z"/>
                <w:szCs w:val="22"/>
              </w:rPr>
            </w:pPr>
            <w:del w:id="3061" w:author="AbbVie19" w:date="2025-04-16T10:35:00Z">
              <w:r w:rsidRPr="00BC0E7E">
                <w:rPr>
                  <w:szCs w:val="22"/>
                </w:rPr>
                <w:delText>23 (60.5%)</w:delText>
              </w:r>
            </w:del>
          </w:p>
        </w:tc>
      </w:tr>
      <w:tr w:rsidR="00C6578C" w14:paraId="23E900F6" w14:textId="77777777" w:rsidTr="008A7D66">
        <w:trPr>
          <w:jc w:val="center"/>
          <w:del w:id="3062" w:author="AbbVie19" w:date="2025-04-16T10:35:00Z"/>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28BCBC15" w14:textId="77777777" w:rsidR="008A7D66" w:rsidRPr="00BC0E7E" w:rsidRDefault="00944B8F" w:rsidP="008A7D66">
            <w:pPr>
              <w:keepNext/>
              <w:rPr>
                <w:del w:id="3063" w:author="AbbVie19" w:date="2025-04-16T10:35:00Z"/>
                <w:szCs w:val="22"/>
                <w:lang w:val="pt-BR"/>
              </w:rPr>
            </w:pPr>
            <w:del w:id="3064" w:author="AbbVie19" w:date="2025-04-16T10:35:00Z">
              <w:r w:rsidRPr="00BC0E7E">
                <w:rPr>
                  <w:szCs w:val="22"/>
                  <w:vertAlign w:val="superscript"/>
                  <w:lang w:val="pt-BR"/>
                </w:rPr>
                <w:delText xml:space="preserve">a </w:delText>
              </w:r>
              <w:r w:rsidRPr="00BC0E7E">
                <w:rPr>
                  <w:szCs w:val="22"/>
                  <w:lang w:val="pt-BR"/>
                </w:rPr>
                <w:delText>MTX = methotrexate</w:delText>
              </w:r>
            </w:del>
          </w:p>
          <w:p w14:paraId="6B8842B3" w14:textId="77777777" w:rsidR="008A7D66" w:rsidRPr="00BC0E7E" w:rsidRDefault="00944B8F" w:rsidP="008A7D66">
            <w:pPr>
              <w:keepNext/>
              <w:rPr>
                <w:del w:id="3065" w:author="AbbVie19" w:date="2025-04-16T10:35:00Z"/>
                <w:szCs w:val="22"/>
                <w:lang w:val="pt-BR"/>
              </w:rPr>
            </w:pPr>
            <w:del w:id="3066" w:author="AbbVie19" w:date="2025-04-16T10:35:00Z">
              <w:r w:rsidRPr="00BC0E7E">
                <w:rPr>
                  <w:szCs w:val="22"/>
                  <w:vertAlign w:val="superscript"/>
                  <w:lang w:val="pt-BR"/>
                </w:rPr>
                <w:delText>b</w:delText>
              </w:r>
              <w:r w:rsidRPr="00BC0E7E">
                <w:rPr>
                  <w:szCs w:val="22"/>
                  <w:lang w:val="pt-BR"/>
                </w:rPr>
                <w:delText xml:space="preserve"> P=0.027, Humira 0.8 mg/kg versus MTX</w:delText>
              </w:r>
            </w:del>
          </w:p>
          <w:p w14:paraId="6573BB65" w14:textId="77777777" w:rsidR="008A7D66" w:rsidRPr="00BC0E7E" w:rsidRDefault="00944B8F" w:rsidP="008A7D66">
            <w:pPr>
              <w:keepNext/>
              <w:rPr>
                <w:del w:id="3067" w:author="AbbVie19" w:date="2025-04-16T10:35:00Z"/>
                <w:szCs w:val="22"/>
                <w:lang w:val="pt-BR"/>
              </w:rPr>
            </w:pPr>
            <w:del w:id="3068" w:author="AbbVie19" w:date="2025-04-16T10:35:00Z">
              <w:r w:rsidRPr="00BC0E7E">
                <w:rPr>
                  <w:szCs w:val="22"/>
                  <w:vertAlign w:val="superscript"/>
                  <w:lang w:val="pt-BR"/>
                </w:rPr>
                <w:delText>c</w:delText>
              </w:r>
              <w:r w:rsidRPr="00BC0E7E">
                <w:rPr>
                  <w:szCs w:val="22"/>
                  <w:lang w:val="pt-BR"/>
                </w:rPr>
                <w:delText xml:space="preserve"> P=0.083, Humira 0.8 mg/kg versus MTX</w:delText>
              </w:r>
            </w:del>
          </w:p>
        </w:tc>
      </w:tr>
    </w:tbl>
    <w:p w14:paraId="3CD6AD17" w14:textId="77777777" w:rsidR="008A7D66" w:rsidRPr="00BC0E7E" w:rsidRDefault="008A7D66" w:rsidP="008A7D66">
      <w:pPr>
        <w:rPr>
          <w:del w:id="3069" w:author="AbbVie19" w:date="2025-04-16T10:35:00Z"/>
          <w:szCs w:val="22"/>
          <w:lang w:val="de-DE"/>
        </w:rPr>
      </w:pPr>
    </w:p>
    <w:p w14:paraId="12BB2F63" w14:textId="77777777" w:rsidR="008A7D66" w:rsidRPr="00BC0E7E" w:rsidRDefault="00944B8F" w:rsidP="008A7D66">
      <w:pPr>
        <w:rPr>
          <w:del w:id="3070" w:author="AbbVie19" w:date="2025-04-16T10:35:00Z"/>
          <w:szCs w:val="22"/>
        </w:rPr>
      </w:pPr>
      <w:del w:id="3071" w:author="AbbVie19" w:date="2025-04-16T10:35:00Z">
        <w:r w:rsidRPr="00BC0E7E">
          <w:rPr>
            <w:szCs w:val="22"/>
          </w:rPr>
          <w:delText>Patients who achieved PASI 75 and PGA clear or minimal were withdrawn from treatment for up to 36 weeks and monitored for loss of disease control (</w:delText>
        </w:r>
        <w:r w:rsidRPr="00BC0E7E">
          <w:delText>i.e. a worsening of PGA by at least 2 grades</w:delText>
        </w:r>
        <w:r w:rsidRPr="00BC0E7E">
          <w:rPr>
            <w:szCs w:val="22"/>
          </w:rPr>
          <w:delText>). Patients were then re-treated with adalimumab 0.8 mg/kg eow for an additional 16 weeks and response rates observed during retreatment were similar to the previous double-blind period:  PASI 75 response of 78.9% (15 of 19 subjects) and PGA clear or minimal of 52.6% (10 of 19 subjects).</w:delText>
        </w:r>
      </w:del>
    </w:p>
    <w:p w14:paraId="3215AF40" w14:textId="77777777" w:rsidR="008A7D66" w:rsidRPr="00BC0E7E" w:rsidRDefault="008A7D66" w:rsidP="008A7D66">
      <w:pPr>
        <w:rPr>
          <w:del w:id="3072" w:author="AbbVie19" w:date="2025-04-16T10:35:00Z"/>
          <w:szCs w:val="22"/>
        </w:rPr>
      </w:pPr>
    </w:p>
    <w:p w14:paraId="04F0EC44" w14:textId="77777777" w:rsidR="008A7D66" w:rsidRPr="00BC0E7E" w:rsidRDefault="00944B8F" w:rsidP="008A7D66">
      <w:pPr>
        <w:rPr>
          <w:del w:id="3073" w:author="AbbVie19" w:date="2025-04-16T10:35:00Z"/>
          <w:rFonts w:eastAsia="TimesNewRoman"/>
          <w:szCs w:val="22"/>
        </w:rPr>
      </w:pPr>
      <w:del w:id="3074" w:author="AbbVie19" w:date="2025-04-16T10:35:00Z">
        <w:r w:rsidRPr="00BC0E7E">
          <w:rPr>
            <w:szCs w:val="22"/>
          </w:rPr>
          <w:delText>In the open label period of the study, PASI 75 and PGA clear or minimal responses were maintained for up to an additional 52 weeks with no</w:delText>
        </w:r>
        <w:r w:rsidRPr="00BC0E7E">
          <w:rPr>
            <w:rFonts w:eastAsia="TimesNewRoman"/>
            <w:szCs w:val="22"/>
          </w:rPr>
          <w:delText xml:space="preserve"> new safety findings.</w:delText>
        </w:r>
      </w:del>
    </w:p>
    <w:p w14:paraId="29A4A128" w14:textId="77777777" w:rsidR="008A7D66" w:rsidRDefault="008A7D66" w:rsidP="00BC0E7E">
      <w:pPr>
        <w:keepNext/>
        <w:rPr>
          <w:del w:id="3075" w:author="AbbVie19" w:date="2025-04-16T10:35:00Z"/>
          <w:szCs w:val="22"/>
          <w:lang w:eastAsia="en-GB"/>
        </w:rPr>
      </w:pPr>
    </w:p>
    <w:p w14:paraId="2BC734B4" w14:textId="77777777" w:rsidR="004B1864" w:rsidRPr="00BC0E7E" w:rsidRDefault="00944B8F" w:rsidP="004B1864">
      <w:pPr>
        <w:rPr>
          <w:del w:id="3076" w:author="AbbVie19" w:date="2025-04-16T10:35:00Z"/>
          <w:i/>
          <w:szCs w:val="20"/>
        </w:rPr>
      </w:pPr>
      <w:del w:id="3077" w:author="AbbVie19" w:date="2025-04-16T10:35:00Z">
        <w:r w:rsidRPr="00BC0E7E">
          <w:rPr>
            <w:i/>
            <w:szCs w:val="20"/>
          </w:rPr>
          <w:delText>Adolescent hidradenitis suppurativa</w:delText>
        </w:r>
      </w:del>
    </w:p>
    <w:p w14:paraId="143DA793" w14:textId="77777777" w:rsidR="004B1864" w:rsidRPr="00BC0E7E" w:rsidRDefault="004B1864" w:rsidP="004B1864">
      <w:pPr>
        <w:rPr>
          <w:del w:id="3078" w:author="AbbVie19" w:date="2025-04-16T10:35:00Z"/>
          <w:i/>
          <w:szCs w:val="20"/>
        </w:rPr>
      </w:pPr>
    </w:p>
    <w:p w14:paraId="1C525F23" w14:textId="77777777" w:rsidR="004B1864" w:rsidRPr="00BC0E7E" w:rsidRDefault="00944B8F" w:rsidP="004B1864">
      <w:pPr>
        <w:rPr>
          <w:del w:id="3079" w:author="AbbVie19" w:date="2025-04-16T10:35:00Z"/>
          <w:rFonts w:cs="Calibri"/>
          <w:szCs w:val="20"/>
        </w:rPr>
      </w:pPr>
      <w:del w:id="3080" w:author="AbbVie19" w:date="2025-04-16T10:35:00Z">
        <w:r w:rsidRPr="00BC0E7E">
          <w:rPr>
            <w:rFonts w:cs="Calibri"/>
            <w:szCs w:val="20"/>
          </w:rPr>
          <w:delText>There are no clinical trials with Humira in adolescent patients with HS. E</w:delText>
        </w:r>
        <w:r w:rsidRPr="00BC0E7E">
          <w:rPr>
            <w:rFonts w:cs="Calibri"/>
            <w:iCs/>
            <w:szCs w:val="20"/>
          </w:rPr>
          <w:delText xml:space="preserve">fficacy of adalimumab for the treatment of adolescent patients with HS is predicted based on the demonstrated efficacy and exposure-response relationship in adult HS patients and the likelihood that the disease course, pathophysiology, and drug effects are substantially similar to that of adults at the same exposure levels. Safety of the recommended adalimumab dose in the adolescent HS population is based on cross-indication safety profile of adalimumab in both adults and paediatric patients at similar or more frequent doses </w:delText>
        </w:r>
        <w:r w:rsidRPr="00BC0E7E">
          <w:rPr>
            <w:rFonts w:cs="Calibri"/>
            <w:szCs w:val="20"/>
          </w:rPr>
          <w:delText>(see section 5.2).</w:delText>
        </w:r>
      </w:del>
    </w:p>
    <w:p w14:paraId="1F18860D" w14:textId="77777777" w:rsidR="004B1864" w:rsidRPr="00BC0E7E" w:rsidRDefault="004B1864" w:rsidP="004B1864">
      <w:pPr>
        <w:rPr>
          <w:del w:id="3081" w:author="AbbVie19" w:date="2025-04-16T10:35:00Z"/>
          <w:rFonts w:cs="Calibri"/>
          <w:szCs w:val="20"/>
        </w:rPr>
      </w:pPr>
    </w:p>
    <w:p w14:paraId="0ADB6D61" w14:textId="77777777" w:rsidR="008A7D66" w:rsidRPr="00BC0E7E" w:rsidRDefault="00944B8F" w:rsidP="008A7D66">
      <w:pPr>
        <w:keepNext/>
        <w:tabs>
          <w:tab w:val="left" w:pos="1980"/>
        </w:tabs>
        <w:rPr>
          <w:del w:id="3082" w:author="AbbVie19" w:date="2025-04-16T10:35:00Z"/>
          <w:szCs w:val="20"/>
          <w:u w:val="single"/>
        </w:rPr>
      </w:pPr>
      <w:del w:id="3083" w:author="AbbVie19" w:date="2025-04-16T10:35:00Z">
        <w:r w:rsidRPr="00BC0E7E">
          <w:rPr>
            <w:i/>
            <w:szCs w:val="20"/>
          </w:rPr>
          <w:delText>Paediatric Crohn’s disease</w:delText>
        </w:r>
      </w:del>
    </w:p>
    <w:p w14:paraId="1EFFCEBF" w14:textId="77777777" w:rsidR="008A7D66" w:rsidRPr="00A97DEE" w:rsidRDefault="008A7D66" w:rsidP="008A7D66">
      <w:pPr>
        <w:keepNext/>
        <w:jc w:val="both"/>
        <w:rPr>
          <w:del w:id="3084" w:author="AbbVie19" w:date="2025-04-16T10:35:00Z"/>
          <w:szCs w:val="22"/>
        </w:rPr>
      </w:pPr>
    </w:p>
    <w:p w14:paraId="56AB4B2E" w14:textId="77777777" w:rsidR="008A7D66" w:rsidRPr="00BC0E7E" w:rsidRDefault="00944B8F" w:rsidP="008A7D66">
      <w:pPr>
        <w:keepNext/>
        <w:keepLines/>
        <w:rPr>
          <w:del w:id="3085" w:author="AbbVie19" w:date="2025-04-16T10:35:00Z"/>
          <w:szCs w:val="22"/>
        </w:rPr>
      </w:pPr>
      <w:del w:id="3086" w:author="AbbVie19" w:date="2025-04-16T10:35:00Z">
        <w:r w:rsidRPr="00BC0E7E">
          <w:rPr>
            <w:szCs w:val="22"/>
          </w:rPr>
          <w:delText>Humira was assessed in a multicentre, randomised, double-blind clinical trial designed to evaluate the efficacy and safety of induction and maintenance treatment with doses dependent on body weight (&lt; 40 kg or</w:delText>
        </w:r>
        <w:r w:rsidRPr="00BC0E7E">
          <w:delText> ≥</w:delText>
        </w:r>
        <w:r w:rsidRPr="00BC0E7E">
          <w:rPr>
            <w:szCs w:val="22"/>
          </w:rPr>
          <w:delText xml:space="preserve"> 40 kg) in 192 paediatric subjects between the ages of 6 and 17 (inclusive) years, with moderate to severe Crohn´s disease (CD) defined as Paediatric Crohn's Disease Activity Index (PCDAI) score &gt; 30. Subjects had to have failed conventional therapy (including a corticosteroid and/or an immunomodulator) for CD. Subjects may also have previously lost response or been intolerant to infliximab. </w:delText>
        </w:r>
      </w:del>
    </w:p>
    <w:p w14:paraId="046FFCBB" w14:textId="77777777" w:rsidR="008A7D66" w:rsidRPr="00BC0E7E" w:rsidRDefault="008A7D66" w:rsidP="008A7D66">
      <w:pPr>
        <w:keepLines/>
        <w:rPr>
          <w:del w:id="3087" w:author="AbbVie19" w:date="2025-04-16T10:35:00Z"/>
        </w:rPr>
      </w:pPr>
    </w:p>
    <w:p w14:paraId="573F3D51" w14:textId="77777777" w:rsidR="008A7D66" w:rsidRPr="00BC0E7E" w:rsidRDefault="00944B8F" w:rsidP="008A7D66">
      <w:pPr>
        <w:tabs>
          <w:tab w:val="left" w:pos="1294"/>
        </w:tabs>
        <w:autoSpaceDE w:val="0"/>
        <w:autoSpaceDN w:val="0"/>
        <w:adjustRightInd w:val="0"/>
        <w:rPr>
          <w:del w:id="3088" w:author="AbbVie19" w:date="2025-04-16T10:35:00Z"/>
        </w:rPr>
      </w:pPr>
      <w:del w:id="3089" w:author="AbbVie19" w:date="2025-04-16T10:35:00Z">
        <w:r w:rsidRPr="00BC0E7E">
          <w:delText>All subjects received open-label induction therapy at a dose based on their Baseline body weight: 160 mg at Week 0 and 80 mg at Week 2 for subjects ≥ 40 kg, and 80 mg and 40 mg, respectively, for subjects &lt; 40 kg.</w:delText>
        </w:r>
      </w:del>
    </w:p>
    <w:p w14:paraId="30202CC9" w14:textId="77777777" w:rsidR="008A7D66" w:rsidRPr="00BC0E7E" w:rsidRDefault="008A7D66" w:rsidP="008A7D66">
      <w:pPr>
        <w:tabs>
          <w:tab w:val="left" w:pos="1294"/>
        </w:tabs>
        <w:autoSpaceDE w:val="0"/>
        <w:autoSpaceDN w:val="0"/>
        <w:adjustRightInd w:val="0"/>
        <w:rPr>
          <w:del w:id="3090" w:author="AbbVie19" w:date="2025-04-16T10:35:00Z"/>
        </w:rPr>
      </w:pPr>
    </w:p>
    <w:p w14:paraId="5D62E51F" w14:textId="77777777" w:rsidR="008A7D66" w:rsidRPr="00BC0E7E" w:rsidRDefault="00944B8F" w:rsidP="008A7D66">
      <w:pPr>
        <w:rPr>
          <w:del w:id="3091" w:author="AbbVie19" w:date="2025-04-16T10:35:00Z"/>
          <w:szCs w:val="20"/>
        </w:rPr>
      </w:pPr>
      <w:del w:id="3092" w:author="AbbVie19" w:date="2025-04-16T10:35:00Z">
        <w:r w:rsidRPr="00BC0E7E">
          <w:rPr>
            <w:szCs w:val="20"/>
          </w:rPr>
          <w:delText xml:space="preserve">At Week 4, subjects were randomised 1:1 based on their body weight at the time to either the Low Dose or Standard Dose maintenance regimens as shown in Table </w:delText>
        </w:r>
        <w:r w:rsidR="005F03EC">
          <w:rPr>
            <w:szCs w:val="20"/>
          </w:rPr>
          <w:delText>23</w:delText>
        </w:r>
        <w:r w:rsidRPr="00BC0E7E">
          <w:rPr>
            <w:szCs w:val="20"/>
          </w:rPr>
          <w:delText>.</w:delText>
        </w:r>
      </w:del>
    </w:p>
    <w:p w14:paraId="35FCC8C1" w14:textId="77777777" w:rsidR="008A7D66" w:rsidRPr="00BC0E7E" w:rsidRDefault="008A7D66" w:rsidP="008A7D66">
      <w:pPr>
        <w:keepNext/>
        <w:rPr>
          <w:del w:id="3093" w:author="AbbVie19" w:date="2025-04-16T10:35:00Z"/>
          <w:szCs w:val="20"/>
        </w:rPr>
      </w:pPr>
    </w:p>
    <w:tbl>
      <w:tblPr>
        <w:tblW w:w="0" w:type="auto"/>
        <w:jc w:val="center"/>
        <w:tblLook w:val="01E0" w:firstRow="1" w:lastRow="1" w:firstColumn="1" w:lastColumn="1" w:noHBand="0" w:noVBand="0"/>
      </w:tblPr>
      <w:tblGrid>
        <w:gridCol w:w="988"/>
        <w:gridCol w:w="1210"/>
        <w:gridCol w:w="1210"/>
      </w:tblGrid>
      <w:tr w:rsidR="00C6578C" w14:paraId="68320ED1" w14:textId="77777777" w:rsidTr="008A7D66">
        <w:trPr>
          <w:trHeight w:val="263"/>
          <w:jc w:val="center"/>
          <w:del w:id="3094" w:author="AbbVie19" w:date="2025-04-16T10:35:00Z"/>
        </w:trPr>
        <w:tc>
          <w:tcPr>
            <w:tcW w:w="3408" w:type="dxa"/>
            <w:gridSpan w:val="3"/>
          </w:tcPr>
          <w:p w14:paraId="3DAE5C92" w14:textId="77777777" w:rsidR="008A7D66" w:rsidRPr="00BC0E7E" w:rsidRDefault="00944B8F" w:rsidP="008A7D66">
            <w:pPr>
              <w:keepNext/>
              <w:jc w:val="center"/>
              <w:rPr>
                <w:del w:id="3095" w:author="AbbVie19" w:date="2025-04-16T10:35:00Z"/>
                <w:b/>
              </w:rPr>
            </w:pPr>
            <w:del w:id="3096" w:author="AbbVie19" w:date="2025-04-16T10:35:00Z">
              <w:r w:rsidRPr="00BC0E7E">
                <w:rPr>
                  <w:b/>
                </w:rPr>
                <w:delText xml:space="preserve">Table </w:delText>
              </w:r>
              <w:r w:rsidR="005F03EC">
                <w:rPr>
                  <w:b/>
                </w:rPr>
                <w:delText>23</w:delText>
              </w:r>
            </w:del>
          </w:p>
          <w:p w14:paraId="65221950" w14:textId="77777777" w:rsidR="008A7D66" w:rsidRPr="00BC0E7E" w:rsidRDefault="00944B8F" w:rsidP="008A7D66">
            <w:pPr>
              <w:keepNext/>
              <w:jc w:val="center"/>
              <w:rPr>
                <w:del w:id="3097" w:author="AbbVie19" w:date="2025-04-16T10:35:00Z"/>
              </w:rPr>
            </w:pPr>
            <w:del w:id="3098" w:author="AbbVie19" w:date="2025-04-16T10:35:00Z">
              <w:r w:rsidRPr="00BC0E7E">
                <w:rPr>
                  <w:b/>
                </w:rPr>
                <w:delText>Maintenance regimen</w:delText>
              </w:r>
            </w:del>
          </w:p>
        </w:tc>
      </w:tr>
      <w:tr w:rsidR="00C6578C" w14:paraId="7027E13D" w14:textId="77777777" w:rsidTr="008A7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del w:id="3099" w:author="AbbVie19" w:date="2025-04-16T10:35:00Z"/>
        </w:trPr>
        <w:tc>
          <w:tcPr>
            <w:tcW w:w="988" w:type="dxa"/>
          </w:tcPr>
          <w:p w14:paraId="636F5252" w14:textId="77777777" w:rsidR="008A7D66" w:rsidRPr="00BC0E7E" w:rsidRDefault="00944B8F" w:rsidP="008A7D66">
            <w:pPr>
              <w:keepNext/>
              <w:rPr>
                <w:del w:id="3100" w:author="AbbVie19" w:date="2025-04-16T10:35:00Z"/>
                <w:b/>
              </w:rPr>
            </w:pPr>
            <w:del w:id="3101" w:author="AbbVie19" w:date="2025-04-16T10:35:00Z">
              <w:r w:rsidRPr="00BC0E7E">
                <w:rPr>
                  <w:b/>
                </w:rPr>
                <w:delText>Patient Weight</w:delText>
              </w:r>
            </w:del>
          </w:p>
        </w:tc>
        <w:tc>
          <w:tcPr>
            <w:tcW w:w="1210" w:type="dxa"/>
          </w:tcPr>
          <w:p w14:paraId="40B6114B" w14:textId="77777777" w:rsidR="008A7D66" w:rsidRPr="00BC0E7E" w:rsidRDefault="00944B8F" w:rsidP="008A7D66">
            <w:pPr>
              <w:keepNext/>
              <w:rPr>
                <w:del w:id="3102" w:author="AbbVie19" w:date="2025-04-16T10:35:00Z"/>
                <w:b/>
              </w:rPr>
            </w:pPr>
            <w:del w:id="3103" w:author="AbbVie19" w:date="2025-04-16T10:35:00Z">
              <w:r w:rsidRPr="00BC0E7E">
                <w:rPr>
                  <w:b/>
                </w:rPr>
                <w:delText>Low dose</w:delText>
              </w:r>
            </w:del>
          </w:p>
        </w:tc>
        <w:tc>
          <w:tcPr>
            <w:tcW w:w="1210" w:type="dxa"/>
          </w:tcPr>
          <w:p w14:paraId="23C24D9A" w14:textId="77777777" w:rsidR="008A7D66" w:rsidRPr="00BC0E7E" w:rsidRDefault="00944B8F" w:rsidP="008A7D66">
            <w:pPr>
              <w:keepNext/>
              <w:rPr>
                <w:del w:id="3104" w:author="AbbVie19" w:date="2025-04-16T10:35:00Z"/>
                <w:b/>
              </w:rPr>
            </w:pPr>
            <w:del w:id="3105" w:author="AbbVie19" w:date="2025-04-16T10:35:00Z">
              <w:r w:rsidRPr="00BC0E7E">
                <w:rPr>
                  <w:b/>
                </w:rPr>
                <w:delText>Standard dose</w:delText>
              </w:r>
            </w:del>
          </w:p>
        </w:tc>
      </w:tr>
      <w:tr w:rsidR="00C6578C" w14:paraId="69E4567D" w14:textId="77777777" w:rsidTr="008A7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del w:id="3106" w:author="AbbVie19" w:date="2025-04-16T10:35:00Z"/>
        </w:trPr>
        <w:tc>
          <w:tcPr>
            <w:tcW w:w="988" w:type="dxa"/>
          </w:tcPr>
          <w:p w14:paraId="44F8C843" w14:textId="77777777" w:rsidR="008A7D66" w:rsidRPr="00BC0E7E" w:rsidRDefault="00944B8F" w:rsidP="008A7D66">
            <w:pPr>
              <w:keepNext/>
              <w:rPr>
                <w:del w:id="3107" w:author="AbbVie19" w:date="2025-04-16T10:35:00Z"/>
              </w:rPr>
            </w:pPr>
            <w:del w:id="3108" w:author="AbbVie19" w:date="2025-04-16T10:35:00Z">
              <w:r w:rsidRPr="00BC0E7E">
                <w:delText>&lt;</w:delText>
              </w:r>
              <w:r w:rsidRPr="00BC0E7E">
                <w:rPr>
                  <w:szCs w:val="22"/>
                </w:rPr>
                <w:delText> </w:delText>
              </w:r>
              <w:r w:rsidRPr="00BC0E7E">
                <w:delText>40 kg</w:delText>
              </w:r>
            </w:del>
          </w:p>
        </w:tc>
        <w:tc>
          <w:tcPr>
            <w:tcW w:w="1210" w:type="dxa"/>
          </w:tcPr>
          <w:p w14:paraId="172789C9" w14:textId="77777777" w:rsidR="008A7D66" w:rsidRPr="00BC0E7E" w:rsidRDefault="00944B8F" w:rsidP="008A7D66">
            <w:pPr>
              <w:keepNext/>
              <w:rPr>
                <w:del w:id="3109" w:author="AbbVie19" w:date="2025-04-16T10:35:00Z"/>
              </w:rPr>
            </w:pPr>
            <w:del w:id="3110" w:author="AbbVie19" w:date="2025-04-16T10:35:00Z">
              <w:r w:rsidRPr="00BC0E7E">
                <w:delText>10 mg eow</w:delText>
              </w:r>
            </w:del>
          </w:p>
        </w:tc>
        <w:tc>
          <w:tcPr>
            <w:tcW w:w="1210" w:type="dxa"/>
          </w:tcPr>
          <w:p w14:paraId="62DD9685" w14:textId="77777777" w:rsidR="008A7D66" w:rsidRPr="00BC0E7E" w:rsidRDefault="00944B8F" w:rsidP="008A7D66">
            <w:pPr>
              <w:keepNext/>
              <w:rPr>
                <w:del w:id="3111" w:author="AbbVie19" w:date="2025-04-16T10:35:00Z"/>
              </w:rPr>
            </w:pPr>
            <w:del w:id="3112" w:author="AbbVie19" w:date="2025-04-16T10:35:00Z">
              <w:r w:rsidRPr="00BC0E7E">
                <w:delText>20 mg eow</w:delText>
              </w:r>
            </w:del>
          </w:p>
        </w:tc>
      </w:tr>
      <w:tr w:rsidR="00C6578C" w14:paraId="29E5F3AB" w14:textId="77777777" w:rsidTr="008A7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del w:id="3113" w:author="AbbVie19" w:date="2025-04-16T10:35:00Z"/>
        </w:trPr>
        <w:tc>
          <w:tcPr>
            <w:tcW w:w="988" w:type="dxa"/>
          </w:tcPr>
          <w:p w14:paraId="77D6E202" w14:textId="77777777" w:rsidR="008A7D66" w:rsidRPr="00BC0E7E" w:rsidRDefault="00944B8F" w:rsidP="008A7D66">
            <w:pPr>
              <w:keepNext/>
              <w:rPr>
                <w:del w:id="3114" w:author="AbbVie19" w:date="2025-04-16T10:35:00Z"/>
              </w:rPr>
            </w:pPr>
            <w:del w:id="3115" w:author="AbbVie19" w:date="2025-04-16T10:35:00Z">
              <w:r w:rsidRPr="00BC0E7E">
                <w:delText>≥ 40 kg</w:delText>
              </w:r>
            </w:del>
          </w:p>
        </w:tc>
        <w:tc>
          <w:tcPr>
            <w:tcW w:w="1210" w:type="dxa"/>
          </w:tcPr>
          <w:p w14:paraId="09A95673" w14:textId="77777777" w:rsidR="008A7D66" w:rsidRPr="00BC0E7E" w:rsidRDefault="00944B8F" w:rsidP="008A7D66">
            <w:pPr>
              <w:keepNext/>
              <w:rPr>
                <w:del w:id="3116" w:author="AbbVie19" w:date="2025-04-16T10:35:00Z"/>
              </w:rPr>
            </w:pPr>
            <w:del w:id="3117" w:author="AbbVie19" w:date="2025-04-16T10:35:00Z">
              <w:r w:rsidRPr="00BC0E7E">
                <w:delText>20 mg eow</w:delText>
              </w:r>
            </w:del>
          </w:p>
        </w:tc>
        <w:tc>
          <w:tcPr>
            <w:tcW w:w="1210" w:type="dxa"/>
          </w:tcPr>
          <w:p w14:paraId="406626A9" w14:textId="77777777" w:rsidR="008A7D66" w:rsidRPr="00BC0E7E" w:rsidRDefault="00944B8F" w:rsidP="008A7D66">
            <w:pPr>
              <w:keepNext/>
              <w:rPr>
                <w:del w:id="3118" w:author="AbbVie19" w:date="2025-04-16T10:35:00Z"/>
              </w:rPr>
            </w:pPr>
            <w:del w:id="3119" w:author="AbbVie19" w:date="2025-04-16T10:35:00Z">
              <w:r w:rsidRPr="00BC0E7E">
                <w:delText>40 mg eow</w:delText>
              </w:r>
            </w:del>
          </w:p>
        </w:tc>
      </w:tr>
    </w:tbl>
    <w:p w14:paraId="75C1AB87" w14:textId="77777777" w:rsidR="008A7D66" w:rsidRPr="00BC0E7E" w:rsidRDefault="008A7D66" w:rsidP="008A7D66">
      <w:pPr>
        <w:rPr>
          <w:del w:id="3120" w:author="AbbVie19" w:date="2025-04-16T10:35:00Z"/>
        </w:rPr>
      </w:pPr>
    </w:p>
    <w:p w14:paraId="21DE5407" w14:textId="77777777" w:rsidR="008A7D66" w:rsidRPr="00BC0E7E" w:rsidRDefault="00944B8F" w:rsidP="008A7D66">
      <w:pPr>
        <w:rPr>
          <w:del w:id="3121" w:author="AbbVie19" w:date="2025-04-16T10:35:00Z"/>
          <w:i/>
        </w:rPr>
      </w:pPr>
      <w:del w:id="3122" w:author="AbbVie19" w:date="2025-04-16T10:35:00Z">
        <w:r w:rsidRPr="00BC0E7E">
          <w:rPr>
            <w:i/>
            <w:u w:val="single"/>
          </w:rPr>
          <w:delText>Efficacy results</w:delText>
        </w:r>
      </w:del>
    </w:p>
    <w:p w14:paraId="694A5F4A" w14:textId="77777777" w:rsidR="008A7D66" w:rsidRPr="00BC0E7E" w:rsidRDefault="008A7D66" w:rsidP="008A7D66">
      <w:pPr>
        <w:rPr>
          <w:del w:id="3123" w:author="AbbVie19" w:date="2025-04-16T10:35:00Z"/>
        </w:rPr>
      </w:pPr>
    </w:p>
    <w:p w14:paraId="65369669" w14:textId="77777777" w:rsidR="008A7D66" w:rsidRPr="00BC0E7E" w:rsidRDefault="00944B8F" w:rsidP="008A7D66">
      <w:pPr>
        <w:tabs>
          <w:tab w:val="clear" w:pos="562"/>
        </w:tabs>
        <w:suppressAutoHyphens w:val="0"/>
        <w:autoSpaceDE w:val="0"/>
        <w:autoSpaceDN w:val="0"/>
        <w:adjustRightInd w:val="0"/>
        <w:rPr>
          <w:del w:id="3124" w:author="AbbVie19" w:date="2025-04-16T10:35:00Z"/>
        </w:rPr>
      </w:pPr>
      <w:del w:id="3125" w:author="AbbVie19" w:date="2025-04-16T10:35:00Z">
        <w:r w:rsidRPr="00BC0E7E">
          <w:delText xml:space="preserve">The primary endpoint of the study was clinical remission at Week 26, defined as PCDAI score </w:delText>
        </w:r>
        <w:r w:rsidRPr="00BC0E7E">
          <w:rPr>
            <w:rFonts w:ascii="Symbol" w:eastAsia="Symbol" w:hAnsi="Symbol" w:cs="Symbol"/>
          </w:rPr>
          <w:sym w:font="Symbol" w:char="F0A3"/>
        </w:r>
        <w:r w:rsidRPr="00BC0E7E">
          <w:rPr>
            <w:szCs w:val="22"/>
          </w:rPr>
          <w:delText> </w:delText>
        </w:r>
        <w:r w:rsidRPr="00BC0E7E">
          <w:delText>10.</w:delText>
        </w:r>
      </w:del>
    </w:p>
    <w:p w14:paraId="7A3535FF" w14:textId="77777777" w:rsidR="008A7D66" w:rsidRPr="00BC0E7E" w:rsidRDefault="008A7D66" w:rsidP="008A7D66">
      <w:pPr>
        <w:rPr>
          <w:del w:id="3126" w:author="AbbVie19" w:date="2025-04-16T10:35:00Z"/>
        </w:rPr>
      </w:pPr>
    </w:p>
    <w:p w14:paraId="66658181" w14:textId="77777777" w:rsidR="008A7D66" w:rsidRPr="00BC0E7E" w:rsidRDefault="00944B8F" w:rsidP="008A7D66">
      <w:pPr>
        <w:tabs>
          <w:tab w:val="clear" w:pos="562"/>
        </w:tabs>
        <w:suppressAutoHyphens w:val="0"/>
        <w:autoSpaceDE w:val="0"/>
        <w:autoSpaceDN w:val="0"/>
        <w:adjustRightInd w:val="0"/>
        <w:rPr>
          <w:del w:id="3127" w:author="AbbVie19" w:date="2025-04-16T10:35:00Z"/>
        </w:rPr>
      </w:pPr>
      <w:del w:id="3128" w:author="AbbVie19" w:date="2025-04-16T10:35:00Z">
        <w:r w:rsidRPr="00BC0E7E">
          <w:delText xml:space="preserve">Clinical remission and clinical response (defined as reduction in PCDAI score of at least 15 points from Baseline) rates are presented in Table </w:delText>
        </w:r>
        <w:r>
          <w:delText>2</w:delText>
        </w:r>
        <w:r w:rsidR="005F03EC">
          <w:delText>4</w:delText>
        </w:r>
        <w:r w:rsidRPr="00BC0E7E">
          <w:delText xml:space="preserve">. Rates of discontinuation of corticosteroids or immunomodulators are presented in Table </w:delText>
        </w:r>
        <w:r>
          <w:delText>2</w:delText>
        </w:r>
        <w:r w:rsidR="005F03EC">
          <w:delText>5</w:delText>
        </w:r>
        <w:r w:rsidRPr="00BC0E7E">
          <w:delText>.</w:delText>
        </w:r>
      </w:del>
    </w:p>
    <w:p w14:paraId="5F261418" w14:textId="77777777" w:rsidR="008A7D66" w:rsidRPr="00BC0E7E" w:rsidRDefault="008A7D66" w:rsidP="008A7D66">
      <w:pPr>
        <w:tabs>
          <w:tab w:val="clear" w:pos="562"/>
        </w:tabs>
        <w:suppressAutoHyphens w:val="0"/>
        <w:autoSpaceDE w:val="0"/>
        <w:autoSpaceDN w:val="0"/>
        <w:adjustRightInd w:val="0"/>
        <w:rPr>
          <w:del w:id="3129" w:author="AbbVie19" w:date="2025-04-16T10:35:00Z"/>
          <w:rFonts w:ascii="Tms Rmn" w:hAnsi="Tms Rmn"/>
          <w:sz w:val="24"/>
        </w:rPr>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C6578C" w14:paraId="33F781FB" w14:textId="77777777" w:rsidTr="008A7D66">
        <w:trPr>
          <w:jc w:val="center"/>
          <w:del w:id="3130" w:author="AbbVie19" w:date="2025-04-16T10:35:00Z"/>
        </w:trPr>
        <w:tc>
          <w:tcPr>
            <w:tcW w:w="6673" w:type="dxa"/>
            <w:gridSpan w:val="4"/>
            <w:tcBorders>
              <w:top w:val="single" w:sz="6" w:space="0" w:color="000000"/>
              <w:left w:val="single" w:sz="6" w:space="0" w:color="000000"/>
              <w:bottom w:val="single" w:sz="6" w:space="0" w:color="000000"/>
              <w:right w:val="single" w:sz="6" w:space="0" w:color="000000"/>
            </w:tcBorders>
          </w:tcPr>
          <w:p w14:paraId="52DDBB94" w14:textId="77777777" w:rsidR="008A7D66" w:rsidRPr="00BC0E7E" w:rsidRDefault="00944B8F" w:rsidP="008A7D66">
            <w:pPr>
              <w:tabs>
                <w:tab w:val="clear" w:pos="562"/>
                <w:tab w:val="left" w:pos="-878"/>
              </w:tabs>
              <w:suppressAutoHyphens w:val="0"/>
              <w:autoSpaceDE w:val="0"/>
              <w:autoSpaceDN w:val="0"/>
              <w:adjustRightInd w:val="0"/>
              <w:ind w:left="15"/>
              <w:jc w:val="center"/>
              <w:rPr>
                <w:del w:id="3131" w:author="AbbVie19" w:date="2025-04-16T10:35:00Z"/>
                <w:b/>
                <w:bCs/>
              </w:rPr>
            </w:pPr>
            <w:del w:id="3132" w:author="AbbVie19" w:date="2025-04-16T10:35:00Z">
              <w:r w:rsidRPr="00BC0E7E">
                <w:rPr>
                  <w:b/>
                  <w:bCs/>
                  <w:szCs w:val="22"/>
                </w:rPr>
                <w:delText xml:space="preserve">Table </w:delText>
              </w:r>
              <w:r>
                <w:rPr>
                  <w:b/>
                  <w:bCs/>
                  <w:szCs w:val="22"/>
                </w:rPr>
                <w:delText>2</w:delText>
              </w:r>
              <w:r w:rsidR="005F03EC">
                <w:rPr>
                  <w:b/>
                  <w:bCs/>
                  <w:szCs w:val="22"/>
                </w:rPr>
                <w:delText>4</w:delText>
              </w:r>
            </w:del>
          </w:p>
          <w:p w14:paraId="1F71F4F5" w14:textId="77777777" w:rsidR="008A7D66" w:rsidRPr="00BC0E7E" w:rsidRDefault="00944B8F" w:rsidP="008A7D66">
            <w:pPr>
              <w:tabs>
                <w:tab w:val="clear" w:pos="562"/>
                <w:tab w:val="left" w:pos="-878"/>
              </w:tabs>
              <w:suppressAutoHyphens w:val="0"/>
              <w:autoSpaceDE w:val="0"/>
              <w:autoSpaceDN w:val="0"/>
              <w:adjustRightInd w:val="0"/>
              <w:ind w:left="15"/>
              <w:jc w:val="center"/>
              <w:rPr>
                <w:del w:id="3133" w:author="AbbVie19" w:date="2025-04-16T10:35:00Z"/>
                <w:b/>
                <w:bCs/>
              </w:rPr>
            </w:pPr>
            <w:del w:id="3134" w:author="AbbVie19" w:date="2025-04-16T10:35:00Z">
              <w:r w:rsidRPr="00BC0E7E">
                <w:rPr>
                  <w:b/>
                  <w:bCs/>
                  <w:szCs w:val="22"/>
                </w:rPr>
                <w:delText>Paediatric CD Study</w:delText>
              </w:r>
            </w:del>
          </w:p>
          <w:p w14:paraId="71CF2CD3" w14:textId="77777777" w:rsidR="008A7D66" w:rsidRPr="00BC0E7E" w:rsidRDefault="00944B8F" w:rsidP="008A7D66">
            <w:pPr>
              <w:tabs>
                <w:tab w:val="clear" w:pos="562"/>
                <w:tab w:val="left" w:pos="-878"/>
              </w:tabs>
              <w:suppressAutoHyphens w:val="0"/>
              <w:autoSpaceDE w:val="0"/>
              <w:autoSpaceDN w:val="0"/>
              <w:adjustRightInd w:val="0"/>
              <w:ind w:left="15"/>
              <w:jc w:val="center"/>
              <w:rPr>
                <w:del w:id="3135" w:author="AbbVie19" w:date="2025-04-16T10:35:00Z"/>
                <w:b/>
                <w:bCs/>
              </w:rPr>
            </w:pPr>
            <w:del w:id="3136" w:author="AbbVie19" w:date="2025-04-16T10:35:00Z">
              <w:r w:rsidRPr="00BC0E7E">
                <w:rPr>
                  <w:b/>
                  <w:bCs/>
                  <w:szCs w:val="22"/>
                </w:rPr>
                <w:delText>PCDAI Clinical Remission and Response</w:delText>
              </w:r>
            </w:del>
          </w:p>
        </w:tc>
      </w:tr>
      <w:tr w:rsidR="00C6578C" w14:paraId="37EFB192" w14:textId="77777777" w:rsidTr="008A7D66">
        <w:trPr>
          <w:jc w:val="center"/>
          <w:del w:id="3137" w:author="AbbVie19" w:date="2025-04-16T10:35:00Z"/>
        </w:trPr>
        <w:tc>
          <w:tcPr>
            <w:tcW w:w="2321" w:type="dxa"/>
            <w:tcBorders>
              <w:top w:val="single" w:sz="6" w:space="0" w:color="000000"/>
              <w:left w:val="single" w:sz="6" w:space="0" w:color="000000"/>
              <w:bottom w:val="single" w:sz="6" w:space="0" w:color="000000"/>
              <w:right w:val="single" w:sz="6" w:space="0" w:color="000000"/>
            </w:tcBorders>
          </w:tcPr>
          <w:p w14:paraId="3942403E" w14:textId="77777777" w:rsidR="008A7D66" w:rsidRPr="00BC0E7E" w:rsidRDefault="008A7D66" w:rsidP="008A7D66">
            <w:pPr>
              <w:keepLines/>
              <w:tabs>
                <w:tab w:val="clear" w:pos="562"/>
                <w:tab w:val="left" w:pos="-1080"/>
              </w:tabs>
              <w:suppressAutoHyphens w:val="0"/>
              <w:autoSpaceDE w:val="0"/>
              <w:autoSpaceDN w:val="0"/>
              <w:adjustRightInd w:val="0"/>
              <w:ind w:left="15"/>
              <w:jc w:val="center"/>
              <w:rPr>
                <w:del w:id="3138" w:author="AbbVie19" w:date="2025-04-16T10:35:00Z"/>
                <w:b/>
                <w:bCs/>
              </w:rPr>
            </w:pPr>
          </w:p>
        </w:tc>
        <w:tc>
          <w:tcPr>
            <w:tcW w:w="1614" w:type="dxa"/>
            <w:tcBorders>
              <w:top w:val="single" w:sz="6" w:space="0" w:color="000000"/>
              <w:left w:val="single" w:sz="6" w:space="0" w:color="000000"/>
              <w:bottom w:val="single" w:sz="6" w:space="0" w:color="000000"/>
              <w:right w:val="single" w:sz="6" w:space="0" w:color="000000"/>
            </w:tcBorders>
          </w:tcPr>
          <w:p w14:paraId="3DA75DFE" w14:textId="77777777" w:rsidR="008A7D66" w:rsidRPr="00BC0E7E" w:rsidRDefault="00944B8F" w:rsidP="008A7D66">
            <w:pPr>
              <w:keepLines/>
              <w:tabs>
                <w:tab w:val="clear" w:pos="562"/>
                <w:tab w:val="left" w:pos="-1080"/>
              </w:tabs>
              <w:suppressAutoHyphens w:val="0"/>
              <w:autoSpaceDE w:val="0"/>
              <w:autoSpaceDN w:val="0"/>
              <w:adjustRightInd w:val="0"/>
              <w:ind w:left="15"/>
              <w:jc w:val="center"/>
              <w:rPr>
                <w:del w:id="3139" w:author="AbbVie19" w:date="2025-04-16T10:35:00Z"/>
                <w:b/>
                <w:bCs/>
                <w:lang w:val="de-DE"/>
              </w:rPr>
            </w:pPr>
            <w:del w:id="3140" w:author="AbbVie19" w:date="2025-04-16T10:35:00Z">
              <w:r w:rsidRPr="00BC0E7E">
                <w:rPr>
                  <w:b/>
                  <w:bCs/>
                  <w:szCs w:val="22"/>
                  <w:lang w:val="de-DE"/>
                </w:rPr>
                <w:delText>Standard Dose</w:delText>
              </w:r>
            </w:del>
          </w:p>
          <w:p w14:paraId="58CDC073" w14:textId="77777777" w:rsidR="008A7D66" w:rsidRPr="00BC0E7E" w:rsidRDefault="00944B8F" w:rsidP="008A7D66">
            <w:pPr>
              <w:keepLines/>
              <w:tabs>
                <w:tab w:val="clear" w:pos="562"/>
                <w:tab w:val="left" w:pos="-1080"/>
              </w:tabs>
              <w:suppressAutoHyphens w:val="0"/>
              <w:autoSpaceDE w:val="0"/>
              <w:autoSpaceDN w:val="0"/>
              <w:adjustRightInd w:val="0"/>
              <w:ind w:left="15"/>
              <w:jc w:val="center"/>
              <w:rPr>
                <w:del w:id="3141" w:author="AbbVie19" w:date="2025-04-16T10:35:00Z"/>
                <w:b/>
                <w:bCs/>
                <w:lang w:val="de-DE"/>
              </w:rPr>
            </w:pPr>
            <w:del w:id="3142" w:author="AbbVie19" w:date="2025-04-16T10:35:00Z">
              <w:r w:rsidRPr="00BC0E7E">
                <w:rPr>
                  <w:b/>
                  <w:bCs/>
                  <w:szCs w:val="22"/>
                  <w:lang w:val="de-DE"/>
                </w:rPr>
                <w:delText xml:space="preserve">40/20 mg eow </w:delText>
              </w:r>
            </w:del>
          </w:p>
          <w:p w14:paraId="685CDA2F" w14:textId="77777777" w:rsidR="008A7D66" w:rsidRPr="00BC0E7E" w:rsidRDefault="00944B8F" w:rsidP="008A7D66">
            <w:pPr>
              <w:keepLines/>
              <w:tabs>
                <w:tab w:val="clear" w:pos="562"/>
                <w:tab w:val="left" w:pos="-1080"/>
              </w:tabs>
              <w:suppressAutoHyphens w:val="0"/>
              <w:autoSpaceDE w:val="0"/>
              <w:autoSpaceDN w:val="0"/>
              <w:adjustRightInd w:val="0"/>
              <w:ind w:left="15"/>
              <w:jc w:val="center"/>
              <w:rPr>
                <w:del w:id="3143" w:author="AbbVie19" w:date="2025-04-16T10:35:00Z"/>
                <w:b/>
                <w:bCs/>
                <w:lang w:val="de-DE"/>
              </w:rPr>
            </w:pPr>
            <w:del w:id="3144" w:author="AbbVie19" w:date="2025-04-16T10:35:00Z">
              <w:r w:rsidRPr="00BC0E7E">
                <w:rPr>
                  <w:b/>
                  <w:bCs/>
                  <w:szCs w:val="22"/>
                  <w:lang w:val="de-DE"/>
                </w:rPr>
                <w:delText>N = 93</w:delText>
              </w:r>
            </w:del>
          </w:p>
        </w:tc>
        <w:tc>
          <w:tcPr>
            <w:tcW w:w="1591" w:type="dxa"/>
            <w:tcBorders>
              <w:top w:val="single" w:sz="6" w:space="0" w:color="000000"/>
              <w:left w:val="single" w:sz="6" w:space="0" w:color="000000"/>
              <w:bottom w:val="single" w:sz="6" w:space="0" w:color="000000"/>
              <w:right w:val="single" w:sz="6" w:space="0" w:color="000000"/>
            </w:tcBorders>
          </w:tcPr>
          <w:p w14:paraId="4D2B382E" w14:textId="77777777" w:rsidR="008A7D66" w:rsidRPr="00BC0E7E" w:rsidRDefault="00944B8F" w:rsidP="008A7D66">
            <w:pPr>
              <w:keepLines/>
              <w:tabs>
                <w:tab w:val="clear" w:pos="562"/>
                <w:tab w:val="left" w:pos="-1080"/>
              </w:tabs>
              <w:suppressAutoHyphens w:val="0"/>
              <w:autoSpaceDE w:val="0"/>
              <w:autoSpaceDN w:val="0"/>
              <w:adjustRightInd w:val="0"/>
              <w:ind w:left="15"/>
              <w:jc w:val="center"/>
              <w:rPr>
                <w:del w:id="3145" w:author="AbbVie19" w:date="2025-04-16T10:35:00Z"/>
                <w:b/>
                <w:bCs/>
              </w:rPr>
            </w:pPr>
            <w:del w:id="3146" w:author="AbbVie19" w:date="2025-04-16T10:35:00Z">
              <w:r w:rsidRPr="00BC0E7E">
                <w:rPr>
                  <w:b/>
                  <w:bCs/>
                  <w:szCs w:val="22"/>
                </w:rPr>
                <w:delText>Low Dose</w:delText>
              </w:r>
            </w:del>
          </w:p>
          <w:p w14:paraId="0E172743" w14:textId="77777777" w:rsidR="008A7D66" w:rsidRPr="00BC0E7E" w:rsidRDefault="00944B8F" w:rsidP="008A7D66">
            <w:pPr>
              <w:keepLines/>
              <w:tabs>
                <w:tab w:val="clear" w:pos="562"/>
                <w:tab w:val="left" w:pos="-1080"/>
              </w:tabs>
              <w:suppressAutoHyphens w:val="0"/>
              <w:autoSpaceDE w:val="0"/>
              <w:autoSpaceDN w:val="0"/>
              <w:adjustRightInd w:val="0"/>
              <w:ind w:left="15"/>
              <w:jc w:val="center"/>
              <w:rPr>
                <w:del w:id="3147" w:author="AbbVie19" w:date="2025-04-16T10:35:00Z"/>
                <w:b/>
                <w:bCs/>
              </w:rPr>
            </w:pPr>
            <w:del w:id="3148" w:author="AbbVie19" w:date="2025-04-16T10:35:00Z">
              <w:r w:rsidRPr="00BC0E7E">
                <w:rPr>
                  <w:b/>
                  <w:bCs/>
                  <w:szCs w:val="22"/>
                </w:rPr>
                <w:delText xml:space="preserve">20/10 mg eow </w:delText>
              </w:r>
            </w:del>
          </w:p>
          <w:p w14:paraId="2949F40E" w14:textId="77777777" w:rsidR="008A7D66" w:rsidRPr="00BC0E7E" w:rsidRDefault="00944B8F" w:rsidP="008A7D66">
            <w:pPr>
              <w:keepLines/>
              <w:tabs>
                <w:tab w:val="clear" w:pos="562"/>
                <w:tab w:val="left" w:pos="-1080"/>
              </w:tabs>
              <w:suppressAutoHyphens w:val="0"/>
              <w:autoSpaceDE w:val="0"/>
              <w:autoSpaceDN w:val="0"/>
              <w:adjustRightInd w:val="0"/>
              <w:ind w:left="15"/>
              <w:jc w:val="center"/>
              <w:rPr>
                <w:del w:id="3149" w:author="AbbVie19" w:date="2025-04-16T10:35:00Z"/>
                <w:b/>
                <w:bCs/>
              </w:rPr>
            </w:pPr>
            <w:del w:id="3150" w:author="AbbVie19" w:date="2025-04-16T10:35:00Z">
              <w:r w:rsidRPr="00BC0E7E">
                <w:rPr>
                  <w:b/>
                  <w:bCs/>
                  <w:szCs w:val="22"/>
                </w:rPr>
                <w:delText>N = 95</w:delText>
              </w:r>
            </w:del>
          </w:p>
        </w:tc>
        <w:tc>
          <w:tcPr>
            <w:tcW w:w="1147" w:type="dxa"/>
            <w:tcBorders>
              <w:top w:val="single" w:sz="6" w:space="0" w:color="000000"/>
              <w:left w:val="single" w:sz="6" w:space="0" w:color="000000"/>
              <w:bottom w:val="single" w:sz="6" w:space="0" w:color="000000"/>
              <w:right w:val="single" w:sz="6" w:space="0" w:color="000000"/>
            </w:tcBorders>
          </w:tcPr>
          <w:p w14:paraId="15249834" w14:textId="77777777" w:rsidR="008A7D66" w:rsidRPr="00BC0E7E" w:rsidRDefault="00944B8F" w:rsidP="008A7D66">
            <w:pPr>
              <w:keepLines/>
              <w:tabs>
                <w:tab w:val="clear" w:pos="562"/>
                <w:tab w:val="left" w:pos="-1080"/>
              </w:tabs>
              <w:suppressAutoHyphens w:val="0"/>
              <w:autoSpaceDE w:val="0"/>
              <w:autoSpaceDN w:val="0"/>
              <w:adjustRightInd w:val="0"/>
              <w:ind w:left="15"/>
              <w:jc w:val="center"/>
              <w:rPr>
                <w:del w:id="3151" w:author="AbbVie19" w:date="2025-04-16T10:35:00Z"/>
              </w:rPr>
            </w:pPr>
            <w:del w:id="3152" w:author="AbbVie19" w:date="2025-04-16T10:35:00Z">
              <w:r w:rsidRPr="00BC0E7E">
                <w:rPr>
                  <w:b/>
                  <w:bCs/>
                  <w:szCs w:val="22"/>
                </w:rPr>
                <w:delText>P value</w:delText>
              </w:r>
              <w:r w:rsidRPr="00BC0E7E">
                <w:rPr>
                  <w:szCs w:val="22"/>
                </w:rPr>
                <w:delText>*</w:delText>
              </w:r>
            </w:del>
          </w:p>
        </w:tc>
      </w:tr>
      <w:tr w:rsidR="00C6578C" w14:paraId="6A415429" w14:textId="77777777" w:rsidTr="008A7D66">
        <w:trPr>
          <w:jc w:val="center"/>
          <w:del w:id="3153" w:author="AbbVie19" w:date="2025-04-16T10:35:00Z"/>
        </w:trPr>
        <w:tc>
          <w:tcPr>
            <w:tcW w:w="2321" w:type="dxa"/>
            <w:tcBorders>
              <w:top w:val="single" w:sz="6" w:space="0" w:color="000000"/>
              <w:left w:val="single" w:sz="6" w:space="0" w:color="000000"/>
              <w:bottom w:val="single" w:sz="6" w:space="0" w:color="000000"/>
              <w:right w:val="single" w:sz="6" w:space="0" w:color="000000"/>
            </w:tcBorders>
            <w:vAlign w:val="bottom"/>
          </w:tcPr>
          <w:p w14:paraId="017C0E1A" w14:textId="77777777" w:rsidR="008A7D66" w:rsidRPr="00BC0E7E" w:rsidRDefault="00944B8F" w:rsidP="008A7D66">
            <w:pPr>
              <w:keepLines/>
              <w:tabs>
                <w:tab w:val="clear" w:pos="562"/>
                <w:tab w:val="left" w:pos="-1080"/>
              </w:tabs>
              <w:suppressAutoHyphens w:val="0"/>
              <w:autoSpaceDE w:val="0"/>
              <w:autoSpaceDN w:val="0"/>
              <w:adjustRightInd w:val="0"/>
              <w:ind w:left="15"/>
              <w:rPr>
                <w:del w:id="3154" w:author="AbbVie19" w:date="2025-04-16T10:35:00Z"/>
                <w:b/>
                <w:bCs/>
              </w:rPr>
            </w:pPr>
            <w:del w:id="3155" w:author="AbbVie19" w:date="2025-04-16T10:35:00Z">
              <w:r w:rsidRPr="00BC0E7E">
                <w:rPr>
                  <w:b/>
                  <w:bCs/>
                  <w:szCs w:val="22"/>
                </w:rPr>
                <w:delText>Week 26</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0F35A9AE" w14:textId="77777777" w:rsidR="008A7D66" w:rsidRPr="00BC0E7E" w:rsidRDefault="008A7D66" w:rsidP="008A7D66">
            <w:pPr>
              <w:keepLines/>
              <w:tabs>
                <w:tab w:val="clear" w:pos="562"/>
                <w:tab w:val="left" w:pos="-1080"/>
              </w:tabs>
              <w:suppressAutoHyphens w:val="0"/>
              <w:autoSpaceDE w:val="0"/>
              <w:autoSpaceDN w:val="0"/>
              <w:adjustRightInd w:val="0"/>
              <w:ind w:left="15"/>
              <w:jc w:val="center"/>
              <w:rPr>
                <w:del w:id="3156" w:author="AbbVie19" w:date="2025-04-16T10:35:00Z"/>
                <w:b/>
                <w:bCs/>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18BB2E77" w14:textId="77777777" w:rsidR="008A7D66" w:rsidRPr="00BC0E7E" w:rsidRDefault="008A7D66" w:rsidP="008A7D66">
            <w:pPr>
              <w:keepLines/>
              <w:tabs>
                <w:tab w:val="clear" w:pos="562"/>
                <w:tab w:val="left" w:pos="-1080"/>
              </w:tabs>
              <w:suppressAutoHyphens w:val="0"/>
              <w:autoSpaceDE w:val="0"/>
              <w:autoSpaceDN w:val="0"/>
              <w:adjustRightInd w:val="0"/>
              <w:ind w:left="15"/>
              <w:jc w:val="center"/>
              <w:rPr>
                <w:del w:id="3157" w:author="AbbVie19" w:date="2025-04-16T10:35:00Z"/>
                <w:b/>
                <w:bCs/>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5FF23753" w14:textId="77777777" w:rsidR="008A7D66" w:rsidRPr="00BC0E7E" w:rsidRDefault="008A7D66" w:rsidP="008A7D66">
            <w:pPr>
              <w:tabs>
                <w:tab w:val="clear" w:pos="562"/>
              </w:tabs>
              <w:suppressAutoHyphens w:val="0"/>
              <w:autoSpaceDE w:val="0"/>
              <w:autoSpaceDN w:val="0"/>
              <w:adjustRightInd w:val="0"/>
              <w:ind w:left="15"/>
              <w:rPr>
                <w:del w:id="3158" w:author="AbbVie19" w:date="2025-04-16T10:35:00Z"/>
                <w:b/>
                <w:bCs/>
              </w:rPr>
            </w:pPr>
          </w:p>
        </w:tc>
      </w:tr>
      <w:tr w:rsidR="00C6578C" w14:paraId="4EAADD06" w14:textId="77777777" w:rsidTr="008A7D66">
        <w:trPr>
          <w:jc w:val="center"/>
          <w:del w:id="3159" w:author="AbbVie19" w:date="2025-04-16T10:35:00Z"/>
        </w:trPr>
        <w:tc>
          <w:tcPr>
            <w:tcW w:w="2321" w:type="dxa"/>
            <w:tcBorders>
              <w:top w:val="single" w:sz="6" w:space="0" w:color="000000"/>
              <w:left w:val="single" w:sz="6" w:space="0" w:color="000000"/>
              <w:bottom w:val="single" w:sz="6" w:space="0" w:color="000000"/>
              <w:right w:val="single" w:sz="6" w:space="0" w:color="000000"/>
            </w:tcBorders>
            <w:vAlign w:val="bottom"/>
          </w:tcPr>
          <w:p w14:paraId="6746ABB8" w14:textId="77777777" w:rsidR="008A7D66" w:rsidRPr="00BC0E7E" w:rsidRDefault="00944B8F" w:rsidP="008A7D66">
            <w:pPr>
              <w:keepLines/>
              <w:tabs>
                <w:tab w:val="clear" w:pos="562"/>
                <w:tab w:val="left" w:pos="-1080"/>
              </w:tabs>
              <w:suppressAutoHyphens w:val="0"/>
              <w:autoSpaceDE w:val="0"/>
              <w:autoSpaceDN w:val="0"/>
              <w:adjustRightInd w:val="0"/>
              <w:ind w:left="15"/>
              <w:rPr>
                <w:del w:id="3160" w:author="AbbVie19" w:date="2025-04-16T10:35:00Z"/>
              </w:rPr>
            </w:pPr>
            <w:del w:id="3161" w:author="AbbVie19" w:date="2025-04-16T10:35:00Z">
              <w:r w:rsidRPr="00BC0E7E">
                <w:rPr>
                  <w:szCs w:val="22"/>
                </w:rPr>
                <w:delText xml:space="preserve">   Clinical remission</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1D36913B" w14:textId="77777777" w:rsidR="008A7D66" w:rsidRPr="00BC0E7E" w:rsidRDefault="00944B8F" w:rsidP="008A7D66">
            <w:pPr>
              <w:keepLines/>
              <w:tabs>
                <w:tab w:val="clear" w:pos="562"/>
                <w:tab w:val="left" w:pos="-1080"/>
              </w:tabs>
              <w:suppressAutoHyphens w:val="0"/>
              <w:autoSpaceDE w:val="0"/>
              <w:autoSpaceDN w:val="0"/>
              <w:adjustRightInd w:val="0"/>
              <w:ind w:left="15"/>
              <w:jc w:val="center"/>
              <w:rPr>
                <w:del w:id="3162" w:author="AbbVie19" w:date="2025-04-16T10:35:00Z"/>
              </w:rPr>
            </w:pPr>
            <w:del w:id="3163" w:author="AbbVie19" w:date="2025-04-16T10:35:00Z">
              <w:r w:rsidRPr="00BC0E7E">
                <w:rPr>
                  <w:szCs w:val="22"/>
                </w:rPr>
                <w:delText>38.7%</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14:paraId="516E40AD" w14:textId="77777777" w:rsidR="008A7D66" w:rsidRPr="00BC0E7E" w:rsidRDefault="00944B8F" w:rsidP="008A7D66">
            <w:pPr>
              <w:keepLines/>
              <w:tabs>
                <w:tab w:val="clear" w:pos="562"/>
                <w:tab w:val="left" w:pos="-1080"/>
              </w:tabs>
              <w:suppressAutoHyphens w:val="0"/>
              <w:autoSpaceDE w:val="0"/>
              <w:autoSpaceDN w:val="0"/>
              <w:adjustRightInd w:val="0"/>
              <w:ind w:left="15"/>
              <w:jc w:val="center"/>
              <w:rPr>
                <w:del w:id="3164" w:author="AbbVie19" w:date="2025-04-16T10:35:00Z"/>
              </w:rPr>
            </w:pPr>
            <w:del w:id="3165" w:author="AbbVie19" w:date="2025-04-16T10:35:00Z">
              <w:r w:rsidRPr="00BC0E7E">
                <w:rPr>
                  <w:szCs w:val="22"/>
                </w:rPr>
                <w:delText>28.4%</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14:paraId="0DB40830" w14:textId="77777777" w:rsidR="008A7D66" w:rsidRPr="00BC0E7E" w:rsidRDefault="00944B8F" w:rsidP="008A7D66">
            <w:pPr>
              <w:keepLines/>
              <w:tabs>
                <w:tab w:val="clear" w:pos="562"/>
                <w:tab w:val="left" w:pos="-1080"/>
              </w:tabs>
              <w:suppressAutoHyphens w:val="0"/>
              <w:autoSpaceDE w:val="0"/>
              <w:autoSpaceDN w:val="0"/>
              <w:adjustRightInd w:val="0"/>
              <w:ind w:left="15"/>
              <w:jc w:val="center"/>
              <w:rPr>
                <w:del w:id="3166" w:author="AbbVie19" w:date="2025-04-16T10:35:00Z"/>
              </w:rPr>
            </w:pPr>
            <w:del w:id="3167" w:author="AbbVie19" w:date="2025-04-16T10:35:00Z">
              <w:r w:rsidRPr="00BC0E7E">
                <w:rPr>
                  <w:szCs w:val="22"/>
                </w:rPr>
                <w:delText>0.075</w:delText>
              </w:r>
            </w:del>
          </w:p>
        </w:tc>
      </w:tr>
      <w:tr w:rsidR="00C6578C" w14:paraId="1EE5B2AD" w14:textId="77777777" w:rsidTr="008A7D66">
        <w:trPr>
          <w:jc w:val="center"/>
          <w:del w:id="3168" w:author="AbbVie19" w:date="2025-04-16T10:35:00Z"/>
        </w:trPr>
        <w:tc>
          <w:tcPr>
            <w:tcW w:w="2321" w:type="dxa"/>
            <w:tcBorders>
              <w:top w:val="single" w:sz="6" w:space="0" w:color="000000"/>
              <w:left w:val="single" w:sz="6" w:space="0" w:color="000000"/>
              <w:bottom w:val="single" w:sz="6" w:space="0" w:color="000000"/>
              <w:right w:val="single" w:sz="6" w:space="0" w:color="000000"/>
            </w:tcBorders>
          </w:tcPr>
          <w:p w14:paraId="0BEE02E1" w14:textId="77777777" w:rsidR="008A7D66" w:rsidRPr="00BC0E7E" w:rsidRDefault="00944B8F" w:rsidP="008A7D66">
            <w:pPr>
              <w:keepLines/>
              <w:tabs>
                <w:tab w:val="clear" w:pos="562"/>
                <w:tab w:val="left" w:pos="-1080"/>
              </w:tabs>
              <w:suppressAutoHyphens w:val="0"/>
              <w:autoSpaceDE w:val="0"/>
              <w:autoSpaceDN w:val="0"/>
              <w:adjustRightInd w:val="0"/>
              <w:ind w:left="15"/>
              <w:rPr>
                <w:del w:id="3169" w:author="AbbVie19" w:date="2025-04-16T10:35:00Z"/>
              </w:rPr>
            </w:pPr>
            <w:del w:id="3170" w:author="AbbVie19" w:date="2025-04-16T10:35:00Z">
              <w:r w:rsidRPr="00BC0E7E">
                <w:rPr>
                  <w:szCs w:val="22"/>
                </w:rPr>
                <w:delText xml:space="preserve">   Clinical response </w:delText>
              </w:r>
            </w:del>
          </w:p>
        </w:tc>
        <w:tc>
          <w:tcPr>
            <w:tcW w:w="1614" w:type="dxa"/>
            <w:tcBorders>
              <w:top w:val="single" w:sz="6" w:space="0" w:color="000000"/>
              <w:left w:val="single" w:sz="6" w:space="0" w:color="000000"/>
              <w:bottom w:val="single" w:sz="6" w:space="0" w:color="000000"/>
              <w:right w:val="single" w:sz="6" w:space="0" w:color="000000"/>
            </w:tcBorders>
          </w:tcPr>
          <w:p w14:paraId="44F12118" w14:textId="77777777" w:rsidR="008A7D66" w:rsidRPr="00BC0E7E" w:rsidRDefault="00944B8F" w:rsidP="008A7D66">
            <w:pPr>
              <w:keepLines/>
              <w:tabs>
                <w:tab w:val="clear" w:pos="562"/>
                <w:tab w:val="left" w:pos="-1080"/>
              </w:tabs>
              <w:suppressAutoHyphens w:val="0"/>
              <w:autoSpaceDE w:val="0"/>
              <w:autoSpaceDN w:val="0"/>
              <w:adjustRightInd w:val="0"/>
              <w:ind w:left="15"/>
              <w:jc w:val="center"/>
              <w:rPr>
                <w:del w:id="3171" w:author="AbbVie19" w:date="2025-04-16T10:35:00Z"/>
              </w:rPr>
            </w:pPr>
            <w:del w:id="3172" w:author="AbbVie19" w:date="2025-04-16T10:35:00Z">
              <w:r w:rsidRPr="00BC0E7E">
                <w:rPr>
                  <w:szCs w:val="22"/>
                </w:rPr>
                <w:delText>59.1%</w:delText>
              </w:r>
            </w:del>
          </w:p>
        </w:tc>
        <w:tc>
          <w:tcPr>
            <w:tcW w:w="1591" w:type="dxa"/>
            <w:tcBorders>
              <w:top w:val="single" w:sz="6" w:space="0" w:color="000000"/>
              <w:left w:val="single" w:sz="6" w:space="0" w:color="000000"/>
              <w:bottom w:val="single" w:sz="6" w:space="0" w:color="000000"/>
              <w:right w:val="single" w:sz="6" w:space="0" w:color="000000"/>
            </w:tcBorders>
          </w:tcPr>
          <w:p w14:paraId="718F67C3" w14:textId="77777777" w:rsidR="008A7D66" w:rsidRPr="00BC0E7E" w:rsidRDefault="00944B8F" w:rsidP="008A7D66">
            <w:pPr>
              <w:keepLines/>
              <w:tabs>
                <w:tab w:val="clear" w:pos="562"/>
                <w:tab w:val="left" w:pos="-1080"/>
              </w:tabs>
              <w:suppressAutoHyphens w:val="0"/>
              <w:autoSpaceDE w:val="0"/>
              <w:autoSpaceDN w:val="0"/>
              <w:adjustRightInd w:val="0"/>
              <w:ind w:left="15"/>
              <w:jc w:val="center"/>
              <w:rPr>
                <w:del w:id="3173" w:author="AbbVie19" w:date="2025-04-16T10:35:00Z"/>
              </w:rPr>
            </w:pPr>
            <w:del w:id="3174" w:author="AbbVie19" w:date="2025-04-16T10:35:00Z">
              <w:r w:rsidRPr="00BC0E7E">
                <w:rPr>
                  <w:szCs w:val="22"/>
                </w:rPr>
                <w:delText>48.4%</w:delText>
              </w:r>
            </w:del>
          </w:p>
        </w:tc>
        <w:tc>
          <w:tcPr>
            <w:tcW w:w="1147" w:type="dxa"/>
            <w:tcBorders>
              <w:top w:val="single" w:sz="6" w:space="0" w:color="000000"/>
              <w:left w:val="single" w:sz="6" w:space="0" w:color="000000"/>
              <w:bottom w:val="single" w:sz="6" w:space="0" w:color="000000"/>
              <w:right w:val="single" w:sz="6" w:space="0" w:color="000000"/>
            </w:tcBorders>
          </w:tcPr>
          <w:p w14:paraId="258CA013" w14:textId="77777777" w:rsidR="008A7D66" w:rsidRPr="00BC0E7E" w:rsidRDefault="00944B8F" w:rsidP="008A7D66">
            <w:pPr>
              <w:keepLines/>
              <w:tabs>
                <w:tab w:val="clear" w:pos="562"/>
                <w:tab w:val="left" w:pos="-1080"/>
              </w:tabs>
              <w:suppressAutoHyphens w:val="0"/>
              <w:autoSpaceDE w:val="0"/>
              <w:autoSpaceDN w:val="0"/>
              <w:adjustRightInd w:val="0"/>
              <w:ind w:left="15"/>
              <w:jc w:val="center"/>
              <w:rPr>
                <w:del w:id="3175" w:author="AbbVie19" w:date="2025-04-16T10:35:00Z"/>
              </w:rPr>
            </w:pPr>
            <w:del w:id="3176" w:author="AbbVie19" w:date="2025-04-16T10:35:00Z">
              <w:r w:rsidRPr="00BC0E7E">
                <w:rPr>
                  <w:szCs w:val="22"/>
                </w:rPr>
                <w:delText>0.073</w:delText>
              </w:r>
            </w:del>
          </w:p>
        </w:tc>
      </w:tr>
      <w:tr w:rsidR="00C6578C" w14:paraId="1D5624D7" w14:textId="77777777" w:rsidTr="008A7D66">
        <w:trPr>
          <w:jc w:val="center"/>
          <w:del w:id="3177" w:author="AbbVie19" w:date="2025-04-16T10:35:00Z"/>
        </w:trPr>
        <w:tc>
          <w:tcPr>
            <w:tcW w:w="2321" w:type="dxa"/>
            <w:tcBorders>
              <w:top w:val="single" w:sz="6" w:space="0" w:color="000000"/>
              <w:left w:val="single" w:sz="6" w:space="0" w:color="000000"/>
              <w:bottom w:val="single" w:sz="6" w:space="0" w:color="000000"/>
              <w:right w:val="single" w:sz="6" w:space="0" w:color="000000"/>
            </w:tcBorders>
            <w:vAlign w:val="bottom"/>
          </w:tcPr>
          <w:p w14:paraId="6D044C0B" w14:textId="77777777" w:rsidR="008A7D66" w:rsidRPr="00BC0E7E" w:rsidRDefault="00944B8F" w:rsidP="008A7D66">
            <w:pPr>
              <w:keepLines/>
              <w:tabs>
                <w:tab w:val="clear" w:pos="562"/>
                <w:tab w:val="left" w:pos="-1080"/>
              </w:tabs>
              <w:suppressAutoHyphens w:val="0"/>
              <w:autoSpaceDE w:val="0"/>
              <w:autoSpaceDN w:val="0"/>
              <w:adjustRightInd w:val="0"/>
              <w:ind w:left="15"/>
              <w:rPr>
                <w:del w:id="3178" w:author="AbbVie19" w:date="2025-04-16T10:35:00Z"/>
                <w:b/>
                <w:bCs/>
              </w:rPr>
            </w:pPr>
            <w:del w:id="3179" w:author="AbbVie19" w:date="2025-04-16T10:35:00Z">
              <w:r w:rsidRPr="00BC0E7E">
                <w:rPr>
                  <w:b/>
                  <w:bCs/>
                  <w:szCs w:val="22"/>
                </w:rPr>
                <w:delText>Week 52</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58E640D9" w14:textId="77777777" w:rsidR="008A7D66" w:rsidRPr="00BC0E7E" w:rsidRDefault="008A7D66" w:rsidP="008A7D66">
            <w:pPr>
              <w:keepLines/>
              <w:tabs>
                <w:tab w:val="clear" w:pos="562"/>
                <w:tab w:val="left" w:pos="-1080"/>
              </w:tabs>
              <w:suppressAutoHyphens w:val="0"/>
              <w:autoSpaceDE w:val="0"/>
              <w:autoSpaceDN w:val="0"/>
              <w:adjustRightInd w:val="0"/>
              <w:ind w:left="15"/>
              <w:jc w:val="center"/>
              <w:rPr>
                <w:del w:id="3180" w:author="AbbVie19" w:date="2025-04-16T10:35:00Z"/>
                <w:b/>
                <w:bCs/>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1452B29B" w14:textId="77777777" w:rsidR="008A7D66" w:rsidRPr="00BC0E7E" w:rsidRDefault="008A7D66" w:rsidP="008A7D66">
            <w:pPr>
              <w:keepLines/>
              <w:tabs>
                <w:tab w:val="clear" w:pos="562"/>
                <w:tab w:val="left" w:pos="-1080"/>
              </w:tabs>
              <w:suppressAutoHyphens w:val="0"/>
              <w:autoSpaceDE w:val="0"/>
              <w:autoSpaceDN w:val="0"/>
              <w:adjustRightInd w:val="0"/>
              <w:ind w:left="15"/>
              <w:jc w:val="center"/>
              <w:rPr>
                <w:del w:id="3181" w:author="AbbVie19" w:date="2025-04-16T10:35:00Z"/>
                <w:b/>
                <w:bCs/>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439A9BC1" w14:textId="77777777" w:rsidR="008A7D66" w:rsidRPr="00BC0E7E" w:rsidRDefault="008A7D66" w:rsidP="008A7D66">
            <w:pPr>
              <w:tabs>
                <w:tab w:val="clear" w:pos="562"/>
              </w:tabs>
              <w:suppressAutoHyphens w:val="0"/>
              <w:autoSpaceDE w:val="0"/>
              <w:autoSpaceDN w:val="0"/>
              <w:adjustRightInd w:val="0"/>
              <w:ind w:left="15"/>
              <w:rPr>
                <w:del w:id="3182" w:author="AbbVie19" w:date="2025-04-16T10:35:00Z"/>
                <w:b/>
                <w:bCs/>
              </w:rPr>
            </w:pPr>
          </w:p>
        </w:tc>
      </w:tr>
      <w:tr w:rsidR="00C6578C" w14:paraId="63F7F30F" w14:textId="77777777" w:rsidTr="008A7D66">
        <w:trPr>
          <w:jc w:val="center"/>
          <w:del w:id="3183" w:author="AbbVie19" w:date="2025-04-16T10:35:00Z"/>
        </w:trPr>
        <w:tc>
          <w:tcPr>
            <w:tcW w:w="2321" w:type="dxa"/>
            <w:tcBorders>
              <w:top w:val="single" w:sz="6" w:space="0" w:color="000000"/>
              <w:left w:val="single" w:sz="6" w:space="0" w:color="000000"/>
              <w:bottom w:val="single" w:sz="6" w:space="0" w:color="000000"/>
              <w:right w:val="single" w:sz="6" w:space="0" w:color="000000"/>
            </w:tcBorders>
            <w:vAlign w:val="bottom"/>
          </w:tcPr>
          <w:p w14:paraId="0CD00AE6" w14:textId="77777777" w:rsidR="008A7D66" w:rsidRPr="00BC0E7E" w:rsidRDefault="00944B8F" w:rsidP="008A7D66">
            <w:pPr>
              <w:keepLines/>
              <w:tabs>
                <w:tab w:val="clear" w:pos="562"/>
                <w:tab w:val="left" w:pos="-1080"/>
              </w:tabs>
              <w:suppressAutoHyphens w:val="0"/>
              <w:autoSpaceDE w:val="0"/>
              <w:autoSpaceDN w:val="0"/>
              <w:adjustRightInd w:val="0"/>
              <w:ind w:left="15"/>
              <w:rPr>
                <w:del w:id="3184" w:author="AbbVie19" w:date="2025-04-16T10:35:00Z"/>
              </w:rPr>
            </w:pPr>
            <w:del w:id="3185" w:author="AbbVie19" w:date="2025-04-16T10:35:00Z">
              <w:r w:rsidRPr="00BC0E7E">
                <w:rPr>
                  <w:szCs w:val="22"/>
                </w:rPr>
                <w:delText xml:space="preserve">   Clinical remission</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243ED546" w14:textId="77777777" w:rsidR="008A7D66" w:rsidRPr="00BC0E7E" w:rsidRDefault="00944B8F" w:rsidP="008A7D66">
            <w:pPr>
              <w:keepLines/>
              <w:tabs>
                <w:tab w:val="clear" w:pos="562"/>
                <w:tab w:val="left" w:pos="-1080"/>
              </w:tabs>
              <w:suppressAutoHyphens w:val="0"/>
              <w:autoSpaceDE w:val="0"/>
              <w:autoSpaceDN w:val="0"/>
              <w:adjustRightInd w:val="0"/>
              <w:ind w:left="15"/>
              <w:jc w:val="center"/>
              <w:rPr>
                <w:del w:id="3186" w:author="AbbVie19" w:date="2025-04-16T10:35:00Z"/>
              </w:rPr>
            </w:pPr>
            <w:del w:id="3187" w:author="AbbVie19" w:date="2025-04-16T10:35:00Z">
              <w:r w:rsidRPr="00BC0E7E">
                <w:rPr>
                  <w:szCs w:val="22"/>
                </w:rPr>
                <w:delText>33.3%</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14:paraId="1988AF5B" w14:textId="77777777" w:rsidR="008A7D66" w:rsidRPr="00BC0E7E" w:rsidRDefault="00944B8F" w:rsidP="008A7D66">
            <w:pPr>
              <w:keepLines/>
              <w:tabs>
                <w:tab w:val="clear" w:pos="562"/>
                <w:tab w:val="left" w:pos="-1080"/>
              </w:tabs>
              <w:suppressAutoHyphens w:val="0"/>
              <w:autoSpaceDE w:val="0"/>
              <w:autoSpaceDN w:val="0"/>
              <w:adjustRightInd w:val="0"/>
              <w:ind w:left="15"/>
              <w:jc w:val="center"/>
              <w:rPr>
                <w:del w:id="3188" w:author="AbbVie19" w:date="2025-04-16T10:35:00Z"/>
              </w:rPr>
            </w:pPr>
            <w:del w:id="3189" w:author="AbbVie19" w:date="2025-04-16T10:35:00Z">
              <w:r w:rsidRPr="00BC0E7E">
                <w:rPr>
                  <w:szCs w:val="22"/>
                </w:rPr>
                <w:delText>23.2%</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14:paraId="2BBBF021" w14:textId="77777777" w:rsidR="008A7D66" w:rsidRPr="00BC0E7E" w:rsidRDefault="00944B8F" w:rsidP="008A7D66">
            <w:pPr>
              <w:keepLines/>
              <w:tabs>
                <w:tab w:val="clear" w:pos="562"/>
                <w:tab w:val="left" w:pos="-1080"/>
              </w:tabs>
              <w:suppressAutoHyphens w:val="0"/>
              <w:autoSpaceDE w:val="0"/>
              <w:autoSpaceDN w:val="0"/>
              <w:adjustRightInd w:val="0"/>
              <w:ind w:left="15"/>
              <w:jc w:val="center"/>
              <w:rPr>
                <w:del w:id="3190" w:author="AbbVie19" w:date="2025-04-16T10:35:00Z"/>
              </w:rPr>
            </w:pPr>
            <w:del w:id="3191" w:author="AbbVie19" w:date="2025-04-16T10:35:00Z">
              <w:r w:rsidRPr="00BC0E7E">
                <w:rPr>
                  <w:szCs w:val="22"/>
                </w:rPr>
                <w:delText>0.100</w:delText>
              </w:r>
            </w:del>
          </w:p>
        </w:tc>
      </w:tr>
      <w:tr w:rsidR="00C6578C" w14:paraId="6E3B3437" w14:textId="77777777" w:rsidTr="008A7D66">
        <w:trPr>
          <w:jc w:val="center"/>
          <w:del w:id="3192" w:author="AbbVie19" w:date="2025-04-16T10:35:00Z"/>
        </w:trPr>
        <w:tc>
          <w:tcPr>
            <w:tcW w:w="2321" w:type="dxa"/>
            <w:tcBorders>
              <w:top w:val="single" w:sz="6" w:space="0" w:color="000000"/>
              <w:left w:val="single" w:sz="6" w:space="0" w:color="000000"/>
              <w:bottom w:val="single" w:sz="6" w:space="0" w:color="000000"/>
              <w:right w:val="single" w:sz="6" w:space="0" w:color="000000"/>
            </w:tcBorders>
          </w:tcPr>
          <w:p w14:paraId="3A3474D2" w14:textId="77777777" w:rsidR="008A7D66" w:rsidRPr="00BC0E7E" w:rsidRDefault="00944B8F" w:rsidP="008A7D66">
            <w:pPr>
              <w:keepLines/>
              <w:tabs>
                <w:tab w:val="clear" w:pos="562"/>
                <w:tab w:val="left" w:pos="-1080"/>
              </w:tabs>
              <w:suppressAutoHyphens w:val="0"/>
              <w:autoSpaceDE w:val="0"/>
              <w:autoSpaceDN w:val="0"/>
              <w:adjustRightInd w:val="0"/>
              <w:ind w:left="15"/>
              <w:rPr>
                <w:del w:id="3193" w:author="AbbVie19" w:date="2025-04-16T10:35:00Z"/>
              </w:rPr>
            </w:pPr>
            <w:del w:id="3194" w:author="AbbVie19" w:date="2025-04-16T10:35:00Z">
              <w:r w:rsidRPr="00BC0E7E">
                <w:rPr>
                  <w:szCs w:val="22"/>
                </w:rPr>
                <w:delText xml:space="preserve">   Clinical response</w:delText>
              </w:r>
            </w:del>
          </w:p>
        </w:tc>
        <w:tc>
          <w:tcPr>
            <w:tcW w:w="1614" w:type="dxa"/>
            <w:tcBorders>
              <w:top w:val="single" w:sz="6" w:space="0" w:color="000000"/>
              <w:left w:val="single" w:sz="6" w:space="0" w:color="000000"/>
              <w:bottom w:val="single" w:sz="6" w:space="0" w:color="000000"/>
              <w:right w:val="single" w:sz="6" w:space="0" w:color="000000"/>
            </w:tcBorders>
          </w:tcPr>
          <w:p w14:paraId="0972651F" w14:textId="77777777" w:rsidR="008A7D66" w:rsidRPr="00BC0E7E" w:rsidRDefault="00944B8F" w:rsidP="008A7D66">
            <w:pPr>
              <w:keepLines/>
              <w:tabs>
                <w:tab w:val="clear" w:pos="562"/>
                <w:tab w:val="left" w:pos="-1080"/>
              </w:tabs>
              <w:suppressAutoHyphens w:val="0"/>
              <w:autoSpaceDE w:val="0"/>
              <w:autoSpaceDN w:val="0"/>
              <w:adjustRightInd w:val="0"/>
              <w:ind w:left="15"/>
              <w:jc w:val="center"/>
              <w:rPr>
                <w:del w:id="3195" w:author="AbbVie19" w:date="2025-04-16T10:35:00Z"/>
              </w:rPr>
            </w:pPr>
            <w:del w:id="3196" w:author="AbbVie19" w:date="2025-04-16T10:35:00Z">
              <w:r w:rsidRPr="00BC0E7E">
                <w:rPr>
                  <w:szCs w:val="22"/>
                </w:rPr>
                <w:delText>41.9%</w:delText>
              </w:r>
            </w:del>
          </w:p>
        </w:tc>
        <w:tc>
          <w:tcPr>
            <w:tcW w:w="1591" w:type="dxa"/>
            <w:tcBorders>
              <w:top w:val="single" w:sz="6" w:space="0" w:color="000000"/>
              <w:left w:val="single" w:sz="6" w:space="0" w:color="000000"/>
              <w:bottom w:val="single" w:sz="6" w:space="0" w:color="000000"/>
              <w:right w:val="single" w:sz="6" w:space="0" w:color="000000"/>
            </w:tcBorders>
          </w:tcPr>
          <w:p w14:paraId="049E1F05" w14:textId="77777777" w:rsidR="008A7D66" w:rsidRPr="00BC0E7E" w:rsidRDefault="00944B8F" w:rsidP="008A7D66">
            <w:pPr>
              <w:keepLines/>
              <w:tabs>
                <w:tab w:val="clear" w:pos="562"/>
                <w:tab w:val="left" w:pos="-1080"/>
              </w:tabs>
              <w:suppressAutoHyphens w:val="0"/>
              <w:autoSpaceDE w:val="0"/>
              <w:autoSpaceDN w:val="0"/>
              <w:adjustRightInd w:val="0"/>
              <w:ind w:left="15"/>
              <w:jc w:val="center"/>
              <w:rPr>
                <w:del w:id="3197" w:author="AbbVie19" w:date="2025-04-16T10:35:00Z"/>
              </w:rPr>
            </w:pPr>
            <w:del w:id="3198" w:author="AbbVie19" w:date="2025-04-16T10:35:00Z">
              <w:r w:rsidRPr="00BC0E7E">
                <w:rPr>
                  <w:szCs w:val="22"/>
                </w:rPr>
                <w:delText>28.4%</w:delText>
              </w:r>
            </w:del>
          </w:p>
        </w:tc>
        <w:tc>
          <w:tcPr>
            <w:tcW w:w="1147" w:type="dxa"/>
            <w:tcBorders>
              <w:top w:val="single" w:sz="6" w:space="0" w:color="000000"/>
              <w:left w:val="single" w:sz="6" w:space="0" w:color="000000"/>
              <w:bottom w:val="single" w:sz="6" w:space="0" w:color="000000"/>
              <w:right w:val="single" w:sz="6" w:space="0" w:color="000000"/>
            </w:tcBorders>
          </w:tcPr>
          <w:p w14:paraId="4118C49B" w14:textId="77777777" w:rsidR="008A7D66" w:rsidRPr="00BC0E7E" w:rsidRDefault="00944B8F" w:rsidP="008A7D66">
            <w:pPr>
              <w:keepLines/>
              <w:tabs>
                <w:tab w:val="clear" w:pos="562"/>
                <w:tab w:val="left" w:pos="-1080"/>
              </w:tabs>
              <w:suppressAutoHyphens w:val="0"/>
              <w:autoSpaceDE w:val="0"/>
              <w:autoSpaceDN w:val="0"/>
              <w:adjustRightInd w:val="0"/>
              <w:ind w:left="15"/>
              <w:jc w:val="center"/>
              <w:rPr>
                <w:del w:id="3199" w:author="AbbVie19" w:date="2025-04-16T10:35:00Z"/>
              </w:rPr>
            </w:pPr>
            <w:del w:id="3200" w:author="AbbVie19" w:date="2025-04-16T10:35:00Z">
              <w:r w:rsidRPr="00BC0E7E">
                <w:rPr>
                  <w:szCs w:val="22"/>
                </w:rPr>
                <w:delText>0.038</w:delText>
              </w:r>
            </w:del>
          </w:p>
        </w:tc>
      </w:tr>
      <w:tr w:rsidR="00C6578C" w14:paraId="23D439CC" w14:textId="77777777" w:rsidTr="008A7D66">
        <w:trPr>
          <w:jc w:val="center"/>
          <w:del w:id="3201" w:author="AbbVie19" w:date="2025-04-16T10:35:00Z"/>
        </w:trPr>
        <w:tc>
          <w:tcPr>
            <w:tcW w:w="6673" w:type="dxa"/>
            <w:gridSpan w:val="4"/>
            <w:tcBorders>
              <w:top w:val="single" w:sz="6" w:space="0" w:color="000000"/>
              <w:left w:val="single" w:sz="6" w:space="0" w:color="000000"/>
              <w:bottom w:val="single" w:sz="6" w:space="0" w:color="000000"/>
              <w:right w:val="single" w:sz="6" w:space="0" w:color="000000"/>
            </w:tcBorders>
          </w:tcPr>
          <w:p w14:paraId="704F0DE0" w14:textId="77777777" w:rsidR="008A7D66" w:rsidRPr="00BC0E7E" w:rsidRDefault="00944B8F" w:rsidP="008A7D66">
            <w:pPr>
              <w:keepLines/>
              <w:tabs>
                <w:tab w:val="clear" w:pos="562"/>
                <w:tab w:val="left" w:pos="-1080"/>
              </w:tabs>
              <w:suppressAutoHyphens w:val="0"/>
              <w:autoSpaceDE w:val="0"/>
              <w:autoSpaceDN w:val="0"/>
              <w:adjustRightInd w:val="0"/>
              <w:ind w:left="15"/>
              <w:rPr>
                <w:del w:id="3202" w:author="AbbVie19" w:date="2025-04-16T10:35:00Z"/>
              </w:rPr>
            </w:pPr>
            <w:del w:id="3203" w:author="AbbVie19" w:date="2025-04-16T10:35:00Z">
              <w:r w:rsidRPr="00BC0E7E">
                <w:rPr>
                  <w:szCs w:val="22"/>
                </w:rPr>
                <w:delText xml:space="preserve">* p value for Standard Dose </w:delText>
              </w:r>
              <w:r w:rsidRPr="00BC0E7E">
                <w:rPr>
                  <w:i/>
                  <w:iCs/>
                  <w:szCs w:val="22"/>
                </w:rPr>
                <w:delText>versus</w:delText>
              </w:r>
              <w:r w:rsidRPr="00BC0E7E">
                <w:rPr>
                  <w:szCs w:val="22"/>
                </w:rPr>
                <w:delText xml:space="preserve"> Low Dose comparison.</w:delText>
              </w:r>
            </w:del>
          </w:p>
        </w:tc>
      </w:tr>
    </w:tbl>
    <w:p w14:paraId="1FB9FE7C" w14:textId="77777777" w:rsidR="008A7D66" w:rsidRPr="00BC0E7E" w:rsidRDefault="008A7D66" w:rsidP="008A7D66">
      <w:pPr>
        <w:keepNext/>
        <w:tabs>
          <w:tab w:val="left" w:pos="1294"/>
        </w:tabs>
        <w:autoSpaceDE w:val="0"/>
        <w:autoSpaceDN w:val="0"/>
        <w:adjustRightInd w:val="0"/>
        <w:rPr>
          <w:del w:id="3204" w:author="AbbVie19" w:date="2025-04-16T10:35:00Z"/>
          <w:szCs w:val="22"/>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C6578C" w14:paraId="6167FC58" w14:textId="77777777" w:rsidTr="008A7D66">
        <w:trPr>
          <w:cantSplit/>
          <w:jc w:val="center"/>
          <w:del w:id="3205" w:author="AbbVie19" w:date="2025-04-16T10:35:00Z"/>
        </w:trPr>
        <w:tc>
          <w:tcPr>
            <w:tcW w:w="8440" w:type="dxa"/>
            <w:gridSpan w:val="4"/>
            <w:tcBorders>
              <w:top w:val="single" w:sz="6" w:space="0" w:color="000000"/>
              <w:left w:val="single" w:sz="6" w:space="0" w:color="000000"/>
              <w:bottom w:val="single" w:sz="6" w:space="0" w:color="000000"/>
              <w:right w:val="single" w:sz="6" w:space="0" w:color="000000"/>
            </w:tcBorders>
          </w:tcPr>
          <w:p w14:paraId="3D649771" w14:textId="77777777" w:rsidR="008A7D66" w:rsidRPr="00BC0E7E" w:rsidRDefault="00944B8F" w:rsidP="008A7D66">
            <w:pPr>
              <w:keepNext/>
              <w:keepLines/>
              <w:tabs>
                <w:tab w:val="clear" w:pos="562"/>
                <w:tab w:val="left" w:pos="-878"/>
              </w:tabs>
              <w:suppressAutoHyphens w:val="0"/>
              <w:autoSpaceDE w:val="0"/>
              <w:autoSpaceDN w:val="0"/>
              <w:adjustRightInd w:val="0"/>
              <w:jc w:val="center"/>
              <w:rPr>
                <w:del w:id="3206" w:author="AbbVie19" w:date="2025-04-16T10:35:00Z"/>
                <w:b/>
                <w:bCs/>
              </w:rPr>
            </w:pPr>
            <w:del w:id="3207" w:author="AbbVie19" w:date="2025-04-16T10:35:00Z">
              <w:r w:rsidRPr="00BC0E7E">
                <w:rPr>
                  <w:b/>
                  <w:bCs/>
                  <w:szCs w:val="22"/>
                </w:rPr>
                <w:delText xml:space="preserve">Table </w:delText>
              </w:r>
              <w:r>
                <w:rPr>
                  <w:b/>
                  <w:bCs/>
                  <w:szCs w:val="22"/>
                </w:rPr>
                <w:delText>2</w:delText>
              </w:r>
              <w:r w:rsidR="005F03EC">
                <w:rPr>
                  <w:b/>
                  <w:bCs/>
                  <w:szCs w:val="22"/>
                </w:rPr>
                <w:delText>5</w:delText>
              </w:r>
            </w:del>
          </w:p>
          <w:p w14:paraId="57128CF6" w14:textId="77777777" w:rsidR="008A7D66" w:rsidRPr="00BC0E7E" w:rsidRDefault="00944B8F" w:rsidP="008A7D66">
            <w:pPr>
              <w:keepNext/>
              <w:keepLines/>
              <w:tabs>
                <w:tab w:val="clear" w:pos="562"/>
                <w:tab w:val="left" w:pos="-878"/>
              </w:tabs>
              <w:suppressAutoHyphens w:val="0"/>
              <w:autoSpaceDE w:val="0"/>
              <w:autoSpaceDN w:val="0"/>
              <w:adjustRightInd w:val="0"/>
              <w:jc w:val="center"/>
              <w:rPr>
                <w:del w:id="3208" w:author="AbbVie19" w:date="2025-04-16T10:35:00Z"/>
                <w:b/>
                <w:bCs/>
              </w:rPr>
            </w:pPr>
            <w:del w:id="3209" w:author="AbbVie19" w:date="2025-04-16T10:35:00Z">
              <w:r w:rsidRPr="00BC0E7E">
                <w:rPr>
                  <w:b/>
                  <w:bCs/>
                  <w:szCs w:val="22"/>
                </w:rPr>
                <w:delText>Paediatric CD Study</w:delText>
              </w:r>
            </w:del>
          </w:p>
          <w:p w14:paraId="7DB69B12" w14:textId="77777777" w:rsidR="008A7D66" w:rsidRPr="00BC0E7E" w:rsidRDefault="00944B8F" w:rsidP="008A7D66">
            <w:pPr>
              <w:keepNext/>
              <w:keepLines/>
              <w:tabs>
                <w:tab w:val="clear" w:pos="562"/>
                <w:tab w:val="left" w:pos="-878"/>
              </w:tabs>
              <w:suppressAutoHyphens w:val="0"/>
              <w:autoSpaceDE w:val="0"/>
              <w:autoSpaceDN w:val="0"/>
              <w:adjustRightInd w:val="0"/>
              <w:jc w:val="center"/>
              <w:rPr>
                <w:del w:id="3210" w:author="AbbVie19" w:date="2025-04-16T10:35:00Z"/>
                <w:b/>
                <w:bCs/>
              </w:rPr>
            </w:pPr>
            <w:del w:id="3211" w:author="AbbVie19" w:date="2025-04-16T10:35:00Z">
              <w:r w:rsidRPr="00BC0E7E">
                <w:rPr>
                  <w:b/>
                  <w:bCs/>
                  <w:szCs w:val="22"/>
                </w:rPr>
                <w:delText>Discontinuation of Corticosteroids or Immunomodulators and Fistula Remission</w:delText>
              </w:r>
            </w:del>
          </w:p>
        </w:tc>
      </w:tr>
      <w:tr w:rsidR="00C6578C" w14:paraId="28EFC06C" w14:textId="77777777" w:rsidTr="008A7D66">
        <w:trPr>
          <w:cantSplit/>
          <w:jc w:val="center"/>
          <w:del w:id="3212" w:author="AbbVie19" w:date="2025-04-16T10:35:00Z"/>
        </w:trPr>
        <w:tc>
          <w:tcPr>
            <w:tcW w:w="4025" w:type="dxa"/>
            <w:tcBorders>
              <w:top w:val="single" w:sz="6" w:space="0" w:color="000000"/>
              <w:left w:val="single" w:sz="6" w:space="0" w:color="000000"/>
              <w:bottom w:val="single" w:sz="6" w:space="0" w:color="000000"/>
              <w:right w:val="single" w:sz="6" w:space="0" w:color="000000"/>
            </w:tcBorders>
          </w:tcPr>
          <w:p w14:paraId="6D48B114" w14:textId="77777777" w:rsidR="008A7D66" w:rsidRPr="00BC0E7E" w:rsidRDefault="008A7D66" w:rsidP="008A7D66">
            <w:pPr>
              <w:keepNext/>
              <w:keepLines/>
              <w:tabs>
                <w:tab w:val="clear" w:pos="562"/>
                <w:tab w:val="left" w:pos="-1080"/>
              </w:tabs>
              <w:suppressAutoHyphens w:val="0"/>
              <w:autoSpaceDE w:val="0"/>
              <w:autoSpaceDN w:val="0"/>
              <w:adjustRightInd w:val="0"/>
              <w:jc w:val="center"/>
              <w:rPr>
                <w:del w:id="3213" w:author="AbbVie19" w:date="2025-04-16T10:35:00Z"/>
                <w:b/>
                <w:bCs/>
              </w:rPr>
            </w:pPr>
          </w:p>
        </w:tc>
        <w:tc>
          <w:tcPr>
            <w:tcW w:w="1656" w:type="dxa"/>
            <w:tcBorders>
              <w:top w:val="single" w:sz="6" w:space="0" w:color="000000"/>
              <w:left w:val="single" w:sz="6" w:space="0" w:color="000000"/>
              <w:bottom w:val="single" w:sz="6" w:space="0" w:color="000000"/>
              <w:right w:val="single" w:sz="6" w:space="0" w:color="000000"/>
            </w:tcBorders>
          </w:tcPr>
          <w:p w14:paraId="18BE48CD"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14" w:author="AbbVie19" w:date="2025-04-16T10:35:00Z"/>
                <w:b/>
                <w:bCs/>
              </w:rPr>
            </w:pPr>
            <w:del w:id="3215" w:author="AbbVie19" w:date="2025-04-16T10:35:00Z">
              <w:r w:rsidRPr="00BC0E7E">
                <w:rPr>
                  <w:b/>
                  <w:bCs/>
                  <w:szCs w:val="22"/>
                </w:rPr>
                <w:delText>Standard Dose</w:delText>
              </w:r>
            </w:del>
          </w:p>
          <w:p w14:paraId="56FB8FC0"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16" w:author="AbbVie19" w:date="2025-04-16T10:35:00Z"/>
                <w:b/>
                <w:bCs/>
              </w:rPr>
            </w:pPr>
            <w:del w:id="3217" w:author="AbbVie19" w:date="2025-04-16T10:35:00Z">
              <w:r w:rsidRPr="00BC0E7E">
                <w:rPr>
                  <w:b/>
                  <w:bCs/>
                  <w:szCs w:val="22"/>
                </w:rPr>
                <w:delText xml:space="preserve">40/20 mg eow </w:delText>
              </w:r>
            </w:del>
          </w:p>
        </w:tc>
        <w:tc>
          <w:tcPr>
            <w:tcW w:w="1619" w:type="dxa"/>
            <w:tcBorders>
              <w:top w:val="single" w:sz="6" w:space="0" w:color="000000"/>
              <w:left w:val="single" w:sz="6" w:space="0" w:color="000000"/>
              <w:bottom w:val="single" w:sz="6" w:space="0" w:color="000000"/>
              <w:right w:val="single" w:sz="6" w:space="0" w:color="000000"/>
            </w:tcBorders>
          </w:tcPr>
          <w:p w14:paraId="0BC6AA32"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18" w:author="AbbVie19" w:date="2025-04-16T10:35:00Z"/>
                <w:b/>
                <w:bCs/>
              </w:rPr>
            </w:pPr>
            <w:del w:id="3219" w:author="AbbVie19" w:date="2025-04-16T10:35:00Z">
              <w:r w:rsidRPr="00BC0E7E">
                <w:rPr>
                  <w:b/>
                  <w:bCs/>
                  <w:szCs w:val="22"/>
                </w:rPr>
                <w:delText>Low Dose</w:delText>
              </w:r>
            </w:del>
          </w:p>
          <w:p w14:paraId="5F7BF3CA"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20" w:author="AbbVie19" w:date="2025-04-16T10:35:00Z"/>
                <w:b/>
                <w:bCs/>
              </w:rPr>
            </w:pPr>
            <w:del w:id="3221" w:author="AbbVie19" w:date="2025-04-16T10:35:00Z">
              <w:r w:rsidRPr="00BC0E7E">
                <w:rPr>
                  <w:b/>
                  <w:bCs/>
                  <w:szCs w:val="22"/>
                </w:rPr>
                <w:delText xml:space="preserve">20/10 mg eow </w:delText>
              </w:r>
            </w:del>
          </w:p>
        </w:tc>
        <w:tc>
          <w:tcPr>
            <w:tcW w:w="1140" w:type="dxa"/>
            <w:tcBorders>
              <w:top w:val="single" w:sz="6" w:space="0" w:color="000000"/>
              <w:left w:val="single" w:sz="6" w:space="0" w:color="000000"/>
              <w:bottom w:val="single" w:sz="6" w:space="0" w:color="000000"/>
              <w:right w:val="single" w:sz="6" w:space="0" w:color="000000"/>
            </w:tcBorders>
          </w:tcPr>
          <w:p w14:paraId="31446BFE"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22" w:author="AbbVie19" w:date="2025-04-16T10:35:00Z"/>
                <w:b/>
                <w:bCs/>
              </w:rPr>
            </w:pPr>
            <w:del w:id="3223" w:author="AbbVie19" w:date="2025-04-16T10:35:00Z">
              <w:r w:rsidRPr="00BC0E7E">
                <w:rPr>
                  <w:b/>
                  <w:bCs/>
                  <w:szCs w:val="22"/>
                </w:rPr>
                <w:delText>P value</w:delText>
              </w:r>
              <w:r w:rsidRPr="00BC0E7E">
                <w:rPr>
                  <w:b/>
                  <w:bCs/>
                  <w:szCs w:val="22"/>
                  <w:vertAlign w:val="superscript"/>
                </w:rPr>
                <w:delText>1</w:delText>
              </w:r>
            </w:del>
          </w:p>
        </w:tc>
      </w:tr>
      <w:tr w:rsidR="00C6578C" w14:paraId="1B6A1FB5" w14:textId="77777777" w:rsidTr="008A7D66">
        <w:trPr>
          <w:cantSplit/>
          <w:jc w:val="center"/>
          <w:del w:id="3224" w:author="AbbVie19" w:date="2025-04-16T10:35:00Z"/>
        </w:trPr>
        <w:tc>
          <w:tcPr>
            <w:tcW w:w="4025" w:type="dxa"/>
            <w:tcBorders>
              <w:top w:val="single" w:sz="6" w:space="0" w:color="000000"/>
              <w:left w:val="single" w:sz="6" w:space="0" w:color="000000"/>
              <w:bottom w:val="single" w:sz="6" w:space="0" w:color="000000"/>
              <w:right w:val="single" w:sz="6" w:space="0" w:color="000000"/>
            </w:tcBorders>
            <w:vAlign w:val="bottom"/>
          </w:tcPr>
          <w:p w14:paraId="10B5BE36" w14:textId="77777777" w:rsidR="008A7D66" w:rsidRPr="00BC0E7E" w:rsidRDefault="00944B8F" w:rsidP="008A7D66">
            <w:pPr>
              <w:keepNext/>
              <w:keepLines/>
              <w:tabs>
                <w:tab w:val="clear" w:pos="562"/>
                <w:tab w:val="left" w:pos="-1080"/>
              </w:tabs>
              <w:suppressAutoHyphens w:val="0"/>
              <w:autoSpaceDE w:val="0"/>
              <w:autoSpaceDN w:val="0"/>
              <w:adjustRightInd w:val="0"/>
              <w:rPr>
                <w:del w:id="3225" w:author="AbbVie19" w:date="2025-04-16T10:35:00Z"/>
                <w:b/>
              </w:rPr>
            </w:pPr>
            <w:del w:id="3226" w:author="AbbVie19" w:date="2025-04-16T10:35:00Z">
              <w:r w:rsidRPr="00BC0E7E">
                <w:rPr>
                  <w:b/>
                  <w:szCs w:val="22"/>
                </w:rPr>
                <w:delText>Discontinued corticosteroids</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274EE254"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27" w:author="AbbVie19" w:date="2025-04-16T10:35:00Z"/>
                <w:b/>
              </w:rPr>
            </w:pPr>
            <w:del w:id="3228" w:author="AbbVie19" w:date="2025-04-16T10:35:00Z">
              <w:r w:rsidRPr="00BC0E7E">
                <w:rPr>
                  <w:b/>
                  <w:szCs w:val="22"/>
                </w:rPr>
                <w:delText>N= 33</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184D79A6"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29" w:author="AbbVie19" w:date="2025-04-16T10:35:00Z"/>
                <w:b/>
              </w:rPr>
            </w:pPr>
            <w:del w:id="3230" w:author="AbbVie19" w:date="2025-04-16T10:35:00Z">
              <w:r w:rsidRPr="00BC0E7E">
                <w:rPr>
                  <w:b/>
                  <w:szCs w:val="22"/>
                </w:rPr>
                <w:delText>N=38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6F409391" w14:textId="77777777" w:rsidR="008A7D66" w:rsidRPr="00BC0E7E" w:rsidRDefault="008A7D66" w:rsidP="008A7D66">
            <w:pPr>
              <w:keepNext/>
              <w:keepLines/>
              <w:tabs>
                <w:tab w:val="clear" w:pos="562"/>
              </w:tabs>
              <w:suppressAutoHyphens w:val="0"/>
              <w:autoSpaceDE w:val="0"/>
              <w:autoSpaceDN w:val="0"/>
              <w:adjustRightInd w:val="0"/>
              <w:ind w:left="15"/>
              <w:rPr>
                <w:del w:id="3231" w:author="AbbVie19" w:date="2025-04-16T10:35:00Z"/>
                <w:b/>
              </w:rPr>
            </w:pPr>
          </w:p>
        </w:tc>
      </w:tr>
      <w:tr w:rsidR="00C6578C" w14:paraId="3118A8C2" w14:textId="77777777" w:rsidTr="008A7D66">
        <w:trPr>
          <w:cantSplit/>
          <w:jc w:val="center"/>
          <w:del w:id="3232" w:author="AbbVie19" w:date="2025-04-16T10:35:00Z"/>
        </w:trPr>
        <w:tc>
          <w:tcPr>
            <w:tcW w:w="4025" w:type="dxa"/>
            <w:tcBorders>
              <w:top w:val="single" w:sz="6" w:space="0" w:color="000000"/>
              <w:left w:val="single" w:sz="6" w:space="0" w:color="000000"/>
              <w:bottom w:val="single" w:sz="6" w:space="0" w:color="000000"/>
              <w:right w:val="single" w:sz="6" w:space="0" w:color="000000"/>
            </w:tcBorders>
            <w:vAlign w:val="bottom"/>
          </w:tcPr>
          <w:p w14:paraId="514F2A4F" w14:textId="77777777" w:rsidR="008A7D66" w:rsidRPr="00BC0E7E" w:rsidRDefault="00944B8F" w:rsidP="008A7D66">
            <w:pPr>
              <w:keepNext/>
              <w:keepLines/>
              <w:tabs>
                <w:tab w:val="clear" w:pos="562"/>
                <w:tab w:val="left" w:pos="-1080"/>
              </w:tabs>
              <w:suppressAutoHyphens w:val="0"/>
              <w:autoSpaceDE w:val="0"/>
              <w:autoSpaceDN w:val="0"/>
              <w:adjustRightInd w:val="0"/>
              <w:rPr>
                <w:del w:id="3233" w:author="AbbVie19" w:date="2025-04-16T10:35:00Z"/>
                <w:bCs/>
              </w:rPr>
            </w:pPr>
            <w:del w:id="3234" w:author="AbbVie19" w:date="2025-04-16T10:35:00Z">
              <w:r w:rsidRPr="00BC0E7E">
                <w:rPr>
                  <w:bCs/>
                  <w:szCs w:val="22"/>
                </w:rPr>
                <w:delText>Week 26</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65170472"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35" w:author="AbbVie19" w:date="2025-04-16T10:35:00Z"/>
              </w:rPr>
            </w:pPr>
            <w:del w:id="3236" w:author="AbbVie19" w:date="2025-04-16T10:35:00Z">
              <w:r w:rsidRPr="00BC0E7E">
                <w:rPr>
                  <w:szCs w:val="22"/>
                </w:rPr>
                <w:delText>84.8%</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3F126AE5"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37" w:author="AbbVie19" w:date="2025-04-16T10:35:00Z"/>
              </w:rPr>
            </w:pPr>
            <w:del w:id="3238" w:author="AbbVie19" w:date="2025-04-16T10:35:00Z">
              <w:r w:rsidRPr="00BC0E7E">
                <w:rPr>
                  <w:szCs w:val="22"/>
                </w:rPr>
                <w:delText>65.8%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409BB918"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39" w:author="AbbVie19" w:date="2025-04-16T10:35:00Z"/>
              </w:rPr>
            </w:pPr>
            <w:del w:id="3240" w:author="AbbVie19" w:date="2025-04-16T10:35:00Z">
              <w:r w:rsidRPr="00BC0E7E">
                <w:rPr>
                  <w:szCs w:val="22"/>
                </w:rPr>
                <w:delText>0.066</w:delText>
              </w:r>
            </w:del>
          </w:p>
        </w:tc>
      </w:tr>
      <w:tr w:rsidR="00C6578C" w14:paraId="24D246E5" w14:textId="77777777" w:rsidTr="008A7D66">
        <w:trPr>
          <w:cantSplit/>
          <w:jc w:val="center"/>
          <w:del w:id="3241" w:author="AbbVie19" w:date="2025-04-16T10:35:00Z"/>
        </w:trPr>
        <w:tc>
          <w:tcPr>
            <w:tcW w:w="4025" w:type="dxa"/>
            <w:tcBorders>
              <w:top w:val="single" w:sz="6" w:space="0" w:color="000000"/>
              <w:left w:val="single" w:sz="6" w:space="0" w:color="000000"/>
              <w:bottom w:val="single" w:sz="6" w:space="0" w:color="000000"/>
              <w:right w:val="single" w:sz="6" w:space="0" w:color="000000"/>
            </w:tcBorders>
            <w:vAlign w:val="bottom"/>
          </w:tcPr>
          <w:p w14:paraId="1A0EE88E" w14:textId="77777777" w:rsidR="008A7D66" w:rsidRPr="00BC0E7E" w:rsidRDefault="00944B8F" w:rsidP="008A7D66">
            <w:pPr>
              <w:keepNext/>
              <w:keepLines/>
              <w:tabs>
                <w:tab w:val="clear" w:pos="562"/>
                <w:tab w:val="left" w:pos="-1080"/>
              </w:tabs>
              <w:suppressAutoHyphens w:val="0"/>
              <w:autoSpaceDE w:val="0"/>
              <w:autoSpaceDN w:val="0"/>
              <w:adjustRightInd w:val="0"/>
              <w:rPr>
                <w:del w:id="3242" w:author="AbbVie19" w:date="2025-04-16T10:35:00Z"/>
                <w:bCs/>
              </w:rPr>
            </w:pPr>
            <w:del w:id="3243" w:author="AbbVie19" w:date="2025-04-16T10:35:00Z">
              <w:r w:rsidRPr="00BC0E7E">
                <w:rPr>
                  <w:bCs/>
                  <w:szCs w:val="22"/>
                </w:rPr>
                <w:delText>Week 52</w:delText>
              </w:r>
            </w:del>
          </w:p>
        </w:tc>
        <w:tc>
          <w:tcPr>
            <w:tcW w:w="1656" w:type="dxa"/>
            <w:tcBorders>
              <w:top w:val="single" w:sz="6" w:space="0" w:color="000000"/>
              <w:left w:val="single" w:sz="6" w:space="0" w:color="000000"/>
              <w:bottom w:val="single" w:sz="6" w:space="0" w:color="000000"/>
              <w:right w:val="single" w:sz="6" w:space="0" w:color="000000"/>
            </w:tcBorders>
          </w:tcPr>
          <w:p w14:paraId="48FC4D67"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44" w:author="AbbVie19" w:date="2025-04-16T10:35:00Z"/>
              </w:rPr>
            </w:pPr>
            <w:del w:id="3245" w:author="AbbVie19" w:date="2025-04-16T10:35:00Z">
              <w:r w:rsidRPr="00BC0E7E">
                <w:rPr>
                  <w:szCs w:val="22"/>
                </w:rPr>
                <w:delText>69.7%</w:delText>
              </w:r>
            </w:del>
          </w:p>
        </w:tc>
        <w:tc>
          <w:tcPr>
            <w:tcW w:w="1619" w:type="dxa"/>
            <w:tcBorders>
              <w:top w:val="single" w:sz="6" w:space="0" w:color="000000"/>
              <w:left w:val="single" w:sz="6" w:space="0" w:color="000000"/>
              <w:bottom w:val="single" w:sz="6" w:space="0" w:color="000000"/>
              <w:right w:val="single" w:sz="6" w:space="0" w:color="000000"/>
            </w:tcBorders>
          </w:tcPr>
          <w:p w14:paraId="12323CA4"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46" w:author="AbbVie19" w:date="2025-04-16T10:35:00Z"/>
              </w:rPr>
            </w:pPr>
            <w:del w:id="3247" w:author="AbbVie19" w:date="2025-04-16T10:35:00Z">
              <w:r w:rsidRPr="00BC0E7E">
                <w:rPr>
                  <w:szCs w:val="22"/>
                </w:rPr>
                <w:delText>60.5%</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2C4D1959"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48" w:author="AbbVie19" w:date="2025-04-16T10:35:00Z"/>
              </w:rPr>
            </w:pPr>
            <w:del w:id="3249" w:author="AbbVie19" w:date="2025-04-16T10:35:00Z">
              <w:r w:rsidRPr="00BC0E7E">
                <w:rPr>
                  <w:szCs w:val="22"/>
                </w:rPr>
                <w:delText>0.420</w:delText>
              </w:r>
            </w:del>
          </w:p>
        </w:tc>
      </w:tr>
      <w:tr w:rsidR="00C6578C" w14:paraId="0FEA5197" w14:textId="77777777" w:rsidTr="008A7D66">
        <w:trPr>
          <w:cantSplit/>
          <w:jc w:val="center"/>
          <w:del w:id="3250" w:author="AbbVie19" w:date="2025-04-16T10:35:00Z"/>
        </w:trPr>
        <w:tc>
          <w:tcPr>
            <w:tcW w:w="4025" w:type="dxa"/>
            <w:tcBorders>
              <w:top w:val="single" w:sz="6" w:space="0" w:color="000000"/>
              <w:left w:val="single" w:sz="6" w:space="0" w:color="000000"/>
              <w:bottom w:val="single" w:sz="6" w:space="0" w:color="000000"/>
              <w:right w:val="single" w:sz="6" w:space="0" w:color="000000"/>
            </w:tcBorders>
            <w:vAlign w:val="bottom"/>
          </w:tcPr>
          <w:p w14:paraId="31F697AF" w14:textId="77777777" w:rsidR="008A7D66" w:rsidRPr="00BC0E7E" w:rsidRDefault="00944B8F" w:rsidP="008A7D66">
            <w:pPr>
              <w:keepNext/>
              <w:keepLines/>
              <w:tabs>
                <w:tab w:val="clear" w:pos="562"/>
                <w:tab w:val="left" w:pos="-1080"/>
              </w:tabs>
              <w:suppressAutoHyphens w:val="0"/>
              <w:autoSpaceDE w:val="0"/>
              <w:autoSpaceDN w:val="0"/>
              <w:adjustRightInd w:val="0"/>
              <w:rPr>
                <w:del w:id="3251" w:author="AbbVie19" w:date="2025-04-16T10:35:00Z"/>
                <w:b/>
              </w:rPr>
            </w:pPr>
            <w:del w:id="3252" w:author="AbbVie19" w:date="2025-04-16T10:35:00Z">
              <w:r w:rsidRPr="00BC0E7E">
                <w:rPr>
                  <w:b/>
                  <w:szCs w:val="22"/>
                </w:rPr>
                <w:delText>Discontinuation of Immunomodulators</w:delText>
              </w:r>
              <w:r w:rsidRPr="00BC0E7E">
                <w:rPr>
                  <w:b/>
                  <w:szCs w:val="22"/>
                  <w:vertAlign w:val="superscript"/>
                </w:rPr>
                <w:delText>2</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5C25DBE8"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53" w:author="AbbVie19" w:date="2025-04-16T10:35:00Z"/>
                <w:b/>
              </w:rPr>
            </w:pPr>
            <w:del w:id="3254" w:author="AbbVie19" w:date="2025-04-16T10:35:00Z">
              <w:r w:rsidRPr="00BC0E7E">
                <w:rPr>
                  <w:b/>
                  <w:szCs w:val="22"/>
                </w:rPr>
                <w:delText>N=60</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33722A20"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55" w:author="AbbVie19" w:date="2025-04-16T10:35:00Z"/>
                <w:b/>
              </w:rPr>
            </w:pPr>
            <w:del w:id="3256" w:author="AbbVie19" w:date="2025-04-16T10:35:00Z">
              <w:r w:rsidRPr="00BC0E7E">
                <w:rPr>
                  <w:b/>
                  <w:szCs w:val="22"/>
                </w:rPr>
                <w:delText>N=57</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3DC6D51B" w14:textId="77777777" w:rsidR="008A7D66" w:rsidRPr="00BC0E7E" w:rsidRDefault="008A7D66" w:rsidP="008A7D66">
            <w:pPr>
              <w:keepNext/>
              <w:keepLines/>
              <w:tabs>
                <w:tab w:val="clear" w:pos="562"/>
              </w:tabs>
              <w:suppressAutoHyphens w:val="0"/>
              <w:autoSpaceDE w:val="0"/>
              <w:autoSpaceDN w:val="0"/>
              <w:adjustRightInd w:val="0"/>
              <w:ind w:left="15"/>
              <w:rPr>
                <w:del w:id="3257" w:author="AbbVie19" w:date="2025-04-16T10:35:00Z"/>
                <w:b/>
              </w:rPr>
            </w:pPr>
          </w:p>
        </w:tc>
      </w:tr>
      <w:tr w:rsidR="00C6578C" w14:paraId="1A476D07" w14:textId="77777777" w:rsidTr="008A7D66">
        <w:trPr>
          <w:cantSplit/>
          <w:jc w:val="center"/>
          <w:del w:id="3258" w:author="AbbVie19" w:date="2025-04-16T10:35:00Z"/>
        </w:trPr>
        <w:tc>
          <w:tcPr>
            <w:tcW w:w="4025" w:type="dxa"/>
            <w:tcBorders>
              <w:top w:val="single" w:sz="6" w:space="0" w:color="000000"/>
              <w:left w:val="single" w:sz="6" w:space="0" w:color="000000"/>
              <w:bottom w:val="single" w:sz="6" w:space="0" w:color="000000"/>
              <w:right w:val="single" w:sz="6" w:space="0" w:color="000000"/>
            </w:tcBorders>
          </w:tcPr>
          <w:p w14:paraId="2B48CD19" w14:textId="77777777" w:rsidR="008A7D66" w:rsidRPr="00BC0E7E" w:rsidRDefault="00944B8F" w:rsidP="008A7D66">
            <w:pPr>
              <w:keepNext/>
              <w:keepLines/>
              <w:tabs>
                <w:tab w:val="clear" w:pos="562"/>
                <w:tab w:val="left" w:pos="-1080"/>
              </w:tabs>
              <w:suppressAutoHyphens w:val="0"/>
              <w:autoSpaceDE w:val="0"/>
              <w:autoSpaceDN w:val="0"/>
              <w:adjustRightInd w:val="0"/>
              <w:rPr>
                <w:del w:id="3259" w:author="AbbVie19" w:date="2025-04-16T10:35:00Z"/>
                <w:bCs/>
              </w:rPr>
            </w:pPr>
            <w:del w:id="3260" w:author="AbbVie19" w:date="2025-04-16T10:35:00Z">
              <w:r w:rsidRPr="00BC0E7E">
                <w:rPr>
                  <w:bCs/>
                  <w:szCs w:val="22"/>
                </w:rPr>
                <w:delText>Week 52</w:delText>
              </w:r>
            </w:del>
          </w:p>
        </w:tc>
        <w:tc>
          <w:tcPr>
            <w:tcW w:w="1656" w:type="dxa"/>
            <w:tcBorders>
              <w:top w:val="single" w:sz="6" w:space="0" w:color="000000"/>
              <w:left w:val="single" w:sz="6" w:space="0" w:color="000000"/>
              <w:bottom w:val="single" w:sz="6" w:space="0" w:color="000000"/>
              <w:right w:val="single" w:sz="6" w:space="0" w:color="000000"/>
            </w:tcBorders>
          </w:tcPr>
          <w:p w14:paraId="22F0F740"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61" w:author="AbbVie19" w:date="2025-04-16T10:35:00Z"/>
              </w:rPr>
            </w:pPr>
            <w:del w:id="3262" w:author="AbbVie19" w:date="2025-04-16T10:35:00Z">
              <w:r w:rsidRPr="00BC0E7E">
                <w:rPr>
                  <w:szCs w:val="22"/>
                </w:rPr>
                <w:delText>30.0%</w:delText>
              </w:r>
            </w:del>
          </w:p>
        </w:tc>
        <w:tc>
          <w:tcPr>
            <w:tcW w:w="1619" w:type="dxa"/>
            <w:tcBorders>
              <w:top w:val="single" w:sz="6" w:space="0" w:color="000000"/>
              <w:left w:val="single" w:sz="6" w:space="0" w:color="000000"/>
              <w:bottom w:val="single" w:sz="6" w:space="0" w:color="000000"/>
              <w:right w:val="single" w:sz="6" w:space="0" w:color="000000"/>
            </w:tcBorders>
          </w:tcPr>
          <w:p w14:paraId="114A0A73"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63" w:author="AbbVie19" w:date="2025-04-16T10:35:00Z"/>
              </w:rPr>
            </w:pPr>
            <w:del w:id="3264" w:author="AbbVie19" w:date="2025-04-16T10:35:00Z">
              <w:r w:rsidRPr="00BC0E7E">
                <w:rPr>
                  <w:szCs w:val="22"/>
                </w:rPr>
                <w:delText>29.8%</w:delText>
              </w:r>
            </w:del>
          </w:p>
        </w:tc>
        <w:tc>
          <w:tcPr>
            <w:tcW w:w="1140" w:type="dxa"/>
            <w:tcBorders>
              <w:top w:val="single" w:sz="6" w:space="0" w:color="000000"/>
              <w:left w:val="single" w:sz="6" w:space="0" w:color="000000"/>
              <w:bottom w:val="single" w:sz="6" w:space="0" w:color="000000"/>
              <w:right w:val="single" w:sz="6" w:space="0" w:color="000000"/>
            </w:tcBorders>
          </w:tcPr>
          <w:p w14:paraId="607F9A18"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65" w:author="AbbVie19" w:date="2025-04-16T10:35:00Z"/>
              </w:rPr>
            </w:pPr>
            <w:del w:id="3266" w:author="AbbVie19" w:date="2025-04-16T10:35:00Z">
              <w:r w:rsidRPr="00BC0E7E">
                <w:rPr>
                  <w:szCs w:val="22"/>
                </w:rPr>
                <w:delText>0.983</w:delText>
              </w:r>
            </w:del>
          </w:p>
        </w:tc>
      </w:tr>
      <w:tr w:rsidR="00C6578C" w14:paraId="3CA299D2" w14:textId="77777777" w:rsidTr="008A7D66">
        <w:trPr>
          <w:cantSplit/>
          <w:jc w:val="center"/>
          <w:del w:id="3267" w:author="AbbVie19" w:date="2025-04-16T10:35:00Z"/>
        </w:trPr>
        <w:tc>
          <w:tcPr>
            <w:tcW w:w="4025" w:type="dxa"/>
            <w:tcBorders>
              <w:top w:val="single" w:sz="6" w:space="0" w:color="000000"/>
              <w:left w:val="single" w:sz="6" w:space="0" w:color="000000"/>
              <w:bottom w:val="single" w:sz="6" w:space="0" w:color="000000"/>
              <w:right w:val="single" w:sz="6" w:space="0" w:color="000000"/>
            </w:tcBorders>
          </w:tcPr>
          <w:p w14:paraId="412E6502" w14:textId="77777777" w:rsidR="008A7D66" w:rsidRPr="00BC0E7E" w:rsidRDefault="00944B8F" w:rsidP="008A7D66">
            <w:pPr>
              <w:keepNext/>
              <w:keepLines/>
              <w:tabs>
                <w:tab w:val="clear" w:pos="562"/>
                <w:tab w:val="left" w:pos="-1080"/>
              </w:tabs>
              <w:suppressAutoHyphens w:val="0"/>
              <w:autoSpaceDE w:val="0"/>
              <w:autoSpaceDN w:val="0"/>
              <w:adjustRightInd w:val="0"/>
              <w:rPr>
                <w:del w:id="3268" w:author="AbbVie19" w:date="2025-04-16T10:35:00Z"/>
                <w:b/>
                <w:bCs/>
              </w:rPr>
            </w:pPr>
            <w:del w:id="3269" w:author="AbbVie19" w:date="2025-04-16T10:35:00Z">
              <w:r w:rsidRPr="00BC0E7E">
                <w:rPr>
                  <w:b/>
                </w:rPr>
                <w:delText>Fistula remission</w:delText>
              </w:r>
              <w:r w:rsidRPr="00BC0E7E">
                <w:rPr>
                  <w:b/>
                  <w:vertAlign w:val="superscript"/>
                </w:rPr>
                <w:delText>3</w:delText>
              </w:r>
            </w:del>
          </w:p>
        </w:tc>
        <w:tc>
          <w:tcPr>
            <w:tcW w:w="1656" w:type="dxa"/>
            <w:tcBorders>
              <w:top w:val="single" w:sz="6" w:space="0" w:color="000000"/>
              <w:left w:val="single" w:sz="6" w:space="0" w:color="000000"/>
              <w:bottom w:val="single" w:sz="6" w:space="0" w:color="000000"/>
              <w:right w:val="single" w:sz="6" w:space="0" w:color="000000"/>
            </w:tcBorders>
          </w:tcPr>
          <w:p w14:paraId="2BE5D1CC"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70" w:author="AbbVie19" w:date="2025-04-16T10:35:00Z"/>
                <w:b/>
              </w:rPr>
            </w:pPr>
            <w:del w:id="3271" w:author="AbbVie19" w:date="2025-04-16T10:35:00Z">
              <w:r w:rsidRPr="00BC0E7E">
                <w:rPr>
                  <w:b/>
                  <w:szCs w:val="22"/>
                </w:rPr>
                <w:delText>N=15</w:delText>
              </w:r>
            </w:del>
          </w:p>
        </w:tc>
        <w:tc>
          <w:tcPr>
            <w:tcW w:w="1619" w:type="dxa"/>
            <w:tcBorders>
              <w:top w:val="single" w:sz="6" w:space="0" w:color="000000"/>
              <w:left w:val="single" w:sz="6" w:space="0" w:color="000000"/>
              <w:bottom w:val="single" w:sz="6" w:space="0" w:color="000000"/>
              <w:right w:val="single" w:sz="6" w:space="0" w:color="000000"/>
            </w:tcBorders>
          </w:tcPr>
          <w:p w14:paraId="2AAE514F"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72" w:author="AbbVie19" w:date="2025-04-16T10:35:00Z"/>
                <w:b/>
              </w:rPr>
            </w:pPr>
            <w:del w:id="3273" w:author="AbbVie19" w:date="2025-04-16T10:35:00Z">
              <w:r w:rsidRPr="00BC0E7E">
                <w:rPr>
                  <w:b/>
                  <w:szCs w:val="22"/>
                </w:rPr>
                <w:delText>N=21</w:delText>
              </w:r>
            </w:del>
          </w:p>
        </w:tc>
        <w:tc>
          <w:tcPr>
            <w:tcW w:w="1140" w:type="dxa"/>
            <w:tcBorders>
              <w:top w:val="single" w:sz="6" w:space="0" w:color="000000"/>
              <w:left w:val="single" w:sz="6" w:space="0" w:color="000000"/>
              <w:bottom w:val="single" w:sz="6" w:space="0" w:color="000000"/>
              <w:right w:val="single" w:sz="6" w:space="0" w:color="000000"/>
            </w:tcBorders>
          </w:tcPr>
          <w:p w14:paraId="7C720123" w14:textId="77777777" w:rsidR="008A7D66" w:rsidRPr="00BC0E7E" w:rsidRDefault="008A7D66" w:rsidP="008A7D66">
            <w:pPr>
              <w:keepNext/>
              <w:keepLines/>
              <w:tabs>
                <w:tab w:val="clear" w:pos="562"/>
                <w:tab w:val="left" w:pos="-1080"/>
              </w:tabs>
              <w:suppressAutoHyphens w:val="0"/>
              <w:autoSpaceDE w:val="0"/>
              <w:autoSpaceDN w:val="0"/>
              <w:adjustRightInd w:val="0"/>
              <w:ind w:left="15"/>
              <w:jc w:val="center"/>
              <w:rPr>
                <w:del w:id="3274" w:author="AbbVie19" w:date="2025-04-16T10:35:00Z"/>
              </w:rPr>
            </w:pPr>
          </w:p>
        </w:tc>
      </w:tr>
      <w:tr w:rsidR="00C6578C" w14:paraId="2A92678E" w14:textId="77777777" w:rsidTr="008A7D66">
        <w:trPr>
          <w:cantSplit/>
          <w:jc w:val="center"/>
          <w:del w:id="3275" w:author="AbbVie19" w:date="2025-04-16T10:35:00Z"/>
        </w:trPr>
        <w:tc>
          <w:tcPr>
            <w:tcW w:w="4025" w:type="dxa"/>
            <w:tcBorders>
              <w:top w:val="single" w:sz="6" w:space="0" w:color="000000"/>
              <w:left w:val="single" w:sz="6" w:space="0" w:color="000000"/>
              <w:bottom w:val="single" w:sz="6" w:space="0" w:color="000000"/>
              <w:right w:val="single" w:sz="6" w:space="0" w:color="000000"/>
            </w:tcBorders>
          </w:tcPr>
          <w:p w14:paraId="44F3DBBD" w14:textId="77777777" w:rsidR="008A7D66" w:rsidRPr="00BC0E7E" w:rsidRDefault="00944B8F" w:rsidP="008A7D66">
            <w:pPr>
              <w:keepNext/>
              <w:keepLines/>
              <w:tabs>
                <w:tab w:val="clear" w:pos="562"/>
                <w:tab w:val="left" w:pos="-1080"/>
              </w:tabs>
              <w:suppressAutoHyphens w:val="0"/>
              <w:autoSpaceDE w:val="0"/>
              <w:autoSpaceDN w:val="0"/>
              <w:adjustRightInd w:val="0"/>
              <w:rPr>
                <w:del w:id="3276" w:author="AbbVie19" w:date="2025-04-16T10:35:00Z"/>
                <w:bCs/>
              </w:rPr>
            </w:pPr>
            <w:del w:id="3277" w:author="AbbVie19" w:date="2025-04-16T10:35:00Z">
              <w:r w:rsidRPr="00BC0E7E">
                <w:rPr>
                  <w:bCs/>
                  <w:szCs w:val="22"/>
                </w:rPr>
                <w:delText>Week 26</w:delText>
              </w:r>
            </w:del>
          </w:p>
        </w:tc>
        <w:tc>
          <w:tcPr>
            <w:tcW w:w="1656" w:type="dxa"/>
            <w:tcBorders>
              <w:top w:val="single" w:sz="6" w:space="0" w:color="000000"/>
              <w:left w:val="single" w:sz="6" w:space="0" w:color="000000"/>
              <w:bottom w:val="single" w:sz="6" w:space="0" w:color="000000"/>
              <w:right w:val="single" w:sz="6" w:space="0" w:color="000000"/>
            </w:tcBorders>
          </w:tcPr>
          <w:p w14:paraId="5A41C251"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78" w:author="AbbVie19" w:date="2025-04-16T10:35:00Z"/>
              </w:rPr>
            </w:pPr>
            <w:del w:id="3279" w:author="AbbVie19" w:date="2025-04-16T10:35:00Z">
              <w:r w:rsidRPr="00BC0E7E">
                <w:delText>46.7%</w:delText>
              </w:r>
            </w:del>
          </w:p>
        </w:tc>
        <w:tc>
          <w:tcPr>
            <w:tcW w:w="1619" w:type="dxa"/>
            <w:tcBorders>
              <w:top w:val="single" w:sz="6" w:space="0" w:color="000000"/>
              <w:left w:val="single" w:sz="6" w:space="0" w:color="000000"/>
              <w:bottom w:val="single" w:sz="6" w:space="0" w:color="000000"/>
              <w:right w:val="single" w:sz="6" w:space="0" w:color="000000"/>
            </w:tcBorders>
          </w:tcPr>
          <w:p w14:paraId="27C88368"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80" w:author="AbbVie19" w:date="2025-04-16T10:35:00Z"/>
              </w:rPr>
            </w:pPr>
            <w:del w:id="3281" w:author="AbbVie19" w:date="2025-04-16T10:35:00Z">
              <w:r w:rsidRPr="00BC0E7E">
                <w:delText>38.1%</w:delText>
              </w:r>
            </w:del>
          </w:p>
        </w:tc>
        <w:tc>
          <w:tcPr>
            <w:tcW w:w="1140" w:type="dxa"/>
            <w:tcBorders>
              <w:top w:val="single" w:sz="6" w:space="0" w:color="000000"/>
              <w:left w:val="single" w:sz="6" w:space="0" w:color="000000"/>
              <w:bottom w:val="single" w:sz="6" w:space="0" w:color="000000"/>
              <w:right w:val="single" w:sz="6" w:space="0" w:color="000000"/>
            </w:tcBorders>
          </w:tcPr>
          <w:p w14:paraId="5265E86C"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82" w:author="AbbVie19" w:date="2025-04-16T10:35:00Z"/>
              </w:rPr>
            </w:pPr>
            <w:del w:id="3283" w:author="AbbVie19" w:date="2025-04-16T10:35:00Z">
              <w:r w:rsidRPr="00BC0E7E">
                <w:delText>0.608</w:delText>
              </w:r>
            </w:del>
          </w:p>
        </w:tc>
      </w:tr>
      <w:tr w:rsidR="00C6578C" w14:paraId="001B5F88" w14:textId="77777777" w:rsidTr="008A7D66">
        <w:trPr>
          <w:cantSplit/>
          <w:jc w:val="center"/>
          <w:del w:id="3284" w:author="AbbVie19" w:date="2025-04-16T10:35:00Z"/>
        </w:trPr>
        <w:tc>
          <w:tcPr>
            <w:tcW w:w="4025" w:type="dxa"/>
            <w:tcBorders>
              <w:top w:val="single" w:sz="6" w:space="0" w:color="000000"/>
              <w:left w:val="single" w:sz="6" w:space="0" w:color="000000"/>
              <w:bottom w:val="single" w:sz="4" w:space="0" w:color="auto"/>
              <w:right w:val="single" w:sz="6" w:space="0" w:color="000000"/>
            </w:tcBorders>
          </w:tcPr>
          <w:p w14:paraId="4D9B70C7" w14:textId="77777777" w:rsidR="008A7D66" w:rsidRPr="00BC0E7E" w:rsidRDefault="00944B8F" w:rsidP="008A7D66">
            <w:pPr>
              <w:keepNext/>
              <w:keepLines/>
              <w:tabs>
                <w:tab w:val="clear" w:pos="562"/>
                <w:tab w:val="left" w:pos="-1080"/>
              </w:tabs>
              <w:suppressAutoHyphens w:val="0"/>
              <w:autoSpaceDE w:val="0"/>
              <w:autoSpaceDN w:val="0"/>
              <w:adjustRightInd w:val="0"/>
              <w:rPr>
                <w:del w:id="3285" w:author="AbbVie19" w:date="2025-04-16T10:35:00Z"/>
                <w:bCs/>
              </w:rPr>
            </w:pPr>
            <w:del w:id="3286" w:author="AbbVie19" w:date="2025-04-16T10:35:00Z">
              <w:r w:rsidRPr="00BC0E7E">
                <w:delText>Week 52,</w:delText>
              </w:r>
            </w:del>
          </w:p>
        </w:tc>
        <w:tc>
          <w:tcPr>
            <w:tcW w:w="1656" w:type="dxa"/>
            <w:tcBorders>
              <w:top w:val="single" w:sz="6" w:space="0" w:color="000000"/>
              <w:left w:val="single" w:sz="6" w:space="0" w:color="000000"/>
              <w:bottom w:val="single" w:sz="4" w:space="0" w:color="auto"/>
              <w:right w:val="single" w:sz="6" w:space="0" w:color="000000"/>
            </w:tcBorders>
          </w:tcPr>
          <w:p w14:paraId="5F4252FD"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87" w:author="AbbVie19" w:date="2025-04-16T10:35:00Z"/>
              </w:rPr>
            </w:pPr>
            <w:del w:id="3288" w:author="AbbVie19" w:date="2025-04-16T10:35:00Z">
              <w:r w:rsidRPr="00BC0E7E">
                <w:delText>40.0%</w:delText>
              </w:r>
            </w:del>
          </w:p>
        </w:tc>
        <w:tc>
          <w:tcPr>
            <w:tcW w:w="1619" w:type="dxa"/>
            <w:tcBorders>
              <w:top w:val="single" w:sz="6" w:space="0" w:color="000000"/>
              <w:left w:val="single" w:sz="6" w:space="0" w:color="000000"/>
              <w:bottom w:val="single" w:sz="4" w:space="0" w:color="auto"/>
              <w:right w:val="single" w:sz="6" w:space="0" w:color="000000"/>
            </w:tcBorders>
          </w:tcPr>
          <w:p w14:paraId="0E76A5CE"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89" w:author="AbbVie19" w:date="2025-04-16T10:35:00Z"/>
              </w:rPr>
            </w:pPr>
            <w:del w:id="3290" w:author="AbbVie19" w:date="2025-04-16T10:35:00Z">
              <w:r w:rsidRPr="00BC0E7E">
                <w:delText>23.8%</w:delText>
              </w:r>
            </w:del>
          </w:p>
        </w:tc>
        <w:tc>
          <w:tcPr>
            <w:tcW w:w="1140" w:type="dxa"/>
            <w:tcBorders>
              <w:top w:val="single" w:sz="6" w:space="0" w:color="000000"/>
              <w:left w:val="single" w:sz="6" w:space="0" w:color="000000"/>
              <w:bottom w:val="single" w:sz="4" w:space="0" w:color="auto"/>
              <w:right w:val="single" w:sz="6" w:space="0" w:color="000000"/>
            </w:tcBorders>
          </w:tcPr>
          <w:p w14:paraId="78C386E8" w14:textId="77777777" w:rsidR="008A7D66" w:rsidRPr="00BC0E7E" w:rsidRDefault="00944B8F" w:rsidP="008A7D66">
            <w:pPr>
              <w:keepNext/>
              <w:keepLines/>
              <w:tabs>
                <w:tab w:val="clear" w:pos="562"/>
                <w:tab w:val="left" w:pos="-1080"/>
              </w:tabs>
              <w:suppressAutoHyphens w:val="0"/>
              <w:autoSpaceDE w:val="0"/>
              <w:autoSpaceDN w:val="0"/>
              <w:adjustRightInd w:val="0"/>
              <w:ind w:left="15"/>
              <w:jc w:val="center"/>
              <w:rPr>
                <w:del w:id="3291" w:author="AbbVie19" w:date="2025-04-16T10:35:00Z"/>
              </w:rPr>
            </w:pPr>
            <w:del w:id="3292" w:author="AbbVie19" w:date="2025-04-16T10:35:00Z">
              <w:r w:rsidRPr="00BC0E7E">
                <w:delText>0.303</w:delText>
              </w:r>
            </w:del>
          </w:p>
        </w:tc>
      </w:tr>
      <w:tr w:rsidR="00C6578C" w14:paraId="6B185926" w14:textId="77777777" w:rsidTr="008A7D66">
        <w:trPr>
          <w:cantSplit/>
          <w:trHeight w:val="177"/>
          <w:jc w:val="center"/>
          <w:del w:id="3293" w:author="AbbVie19" w:date="2025-04-16T10:35:00Z"/>
        </w:trPr>
        <w:tc>
          <w:tcPr>
            <w:tcW w:w="8440" w:type="dxa"/>
            <w:gridSpan w:val="4"/>
            <w:tcBorders>
              <w:top w:val="single" w:sz="4" w:space="0" w:color="auto"/>
            </w:tcBorders>
          </w:tcPr>
          <w:p w14:paraId="352C9197" w14:textId="77777777" w:rsidR="008A7D66" w:rsidRPr="00BC0E7E" w:rsidRDefault="00944B8F" w:rsidP="008A7D66">
            <w:pPr>
              <w:keepNext/>
              <w:keepLines/>
              <w:tabs>
                <w:tab w:val="clear" w:pos="562"/>
                <w:tab w:val="left" w:pos="-1080"/>
              </w:tabs>
              <w:suppressAutoHyphens w:val="0"/>
              <w:autoSpaceDE w:val="0"/>
              <w:autoSpaceDN w:val="0"/>
              <w:adjustRightInd w:val="0"/>
              <w:rPr>
                <w:del w:id="3294" w:author="AbbVie19" w:date="2025-04-16T10:35:00Z"/>
              </w:rPr>
            </w:pPr>
            <w:del w:id="3295" w:author="AbbVie19" w:date="2025-04-16T10:35:00Z">
              <w:r w:rsidRPr="00BC0E7E">
                <w:rPr>
                  <w:szCs w:val="22"/>
                  <w:vertAlign w:val="superscript"/>
                </w:rPr>
                <w:delText>1</w:delText>
              </w:r>
              <w:r w:rsidRPr="00BC0E7E">
                <w:rPr>
                  <w:szCs w:val="22"/>
                </w:rPr>
                <w:delText xml:space="preserve">  p value for Standard Dose </w:delText>
              </w:r>
              <w:r w:rsidRPr="00BC0E7E">
                <w:rPr>
                  <w:i/>
                  <w:iCs/>
                  <w:szCs w:val="22"/>
                </w:rPr>
                <w:delText>versus</w:delText>
              </w:r>
              <w:r w:rsidRPr="00BC0E7E">
                <w:rPr>
                  <w:szCs w:val="22"/>
                </w:rPr>
                <w:delText xml:space="preserve"> Low Dose comparison.</w:delText>
              </w:r>
            </w:del>
          </w:p>
          <w:p w14:paraId="09DA15A4" w14:textId="77777777" w:rsidR="008A7D66" w:rsidRPr="00BC0E7E" w:rsidRDefault="00944B8F" w:rsidP="008A7D66">
            <w:pPr>
              <w:keepNext/>
              <w:keepLines/>
              <w:tabs>
                <w:tab w:val="clear" w:pos="562"/>
                <w:tab w:val="left" w:pos="-1080"/>
              </w:tabs>
              <w:suppressAutoHyphens w:val="0"/>
              <w:autoSpaceDE w:val="0"/>
              <w:autoSpaceDN w:val="0"/>
              <w:adjustRightInd w:val="0"/>
              <w:rPr>
                <w:del w:id="3296" w:author="AbbVie19" w:date="2025-04-16T10:35:00Z"/>
              </w:rPr>
            </w:pPr>
            <w:del w:id="3297" w:author="AbbVie19" w:date="2025-04-16T10:35:00Z">
              <w:r w:rsidRPr="00BC0E7E">
                <w:rPr>
                  <w:szCs w:val="22"/>
                  <w:vertAlign w:val="superscript"/>
                </w:rPr>
                <w:delText xml:space="preserve"> 2</w:delText>
              </w:r>
              <w:r w:rsidRPr="00BC0E7E">
                <w:rPr>
                  <w:szCs w:val="22"/>
                </w:rPr>
                <w:delText xml:space="preserve">  Immunosuppressant therapy could only be discontinued at or after Week 26 at the investigator's discretion if the subject met the clinical response criterion </w:delText>
              </w:r>
            </w:del>
          </w:p>
          <w:p w14:paraId="0E7CF6E5" w14:textId="77777777" w:rsidR="008A7D66" w:rsidRPr="00BC0E7E" w:rsidRDefault="00944B8F" w:rsidP="008A7D66">
            <w:pPr>
              <w:keepNext/>
              <w:keepLines/>
              <w:tabs>
                <w:tab w:val="clear" w:pos="562"/>
                <w:tab w:val="left" w:pos="-1080"/>
              </w:tabs>
              <w:suppressAutoHyphens w:val="0"/>
              <w:autoSpaceDE w:val="0"/>
              <w:autoSpaceDN w:val="0"/>
              <w:adjustRightInd w:val="0"/>
              <w:rPr>
                <w:del w:id="3298" w:author="AbbVie19" w:date="2025-04-16T10:35:00Z"/>
              </w:rPr>
            </w:pPr>
            <w:del w:id="3299" w:author="AbbVie19" w:date="2025-04-16T10:35:00Z">
              <w:r w:rsidRPr="00BC0E7E">
                <w:rPr>
                  <w:szCs w:val="22"/>
                  <w:vertAlign w:val="superscript"/>
                </w:rPr>
                <w:delText>3</w:delText>
              </w:r>
              <w:r w:rsidRPr="00BC0E7E">
                <w:rPr>
                  <w:szCs w:val="22"/>
                </w:rPr>
                <w:delText xml:space="preserve">  defined as a closure of all fistulas that were draining at Baseline for at least 2 consecutive post-Baseline visits</w:delText>
              </w:r>
            </w:del>
          </w:p>
        </w:tc>
      </w:tr>
    </w:tbl>
    <w:p w14:paraId="2020FC38" w14:textId="77777777" w:rsidR="008A7D66" w:rsidRPr="00BC0E7E" w:rsidRDefault="008A7D66" w:rsidP="008A7D66">
      <w:pPr>
        <w:rPr>
          <w:del w:id="3300" w:author="AbbVie19" w:date="2025-04-16T10:35:00Z"/>
          <w:szCs w:val="20"/>
        </w:rPr>
      </w:pPr>
    </w:p>
    <w:p w14:paraId="2C78BC19" w14:textId="77777777" w:rsidR="008A7D66" w:rsidRPr="00BC0E7E" w:rsidRDefault="00944B8F" w:rsidP="008A7D66">
      <w:pPr>
        <w:tabs>
          <w:tab w:val="clear" w:pos="562"/>
        </w:tabs>
        <w:suppressAutoHyphens w:val="0"/>
        <w:autoSpaceDE w:val="0"/>
        <w:autoSpaceDN w:val="0"/>
        <w:adjustRightInd w:val="0"/>
        <w:rPr>
          <w:del w:id="3301" w:author="AbbVie19" w:date="2025-04-16T10:35:00Z"/>
        </w:rPr>
      </w:pPr>
      <w:del w:id="3302" w:author="AbbVie19" w:date="2025-04-16T10:35:00Z">
        <w:r w:rsidRPr="00BC0E7E">
          <w:delText>Statistically significant increases (improvement) from Baseline to Week 26 and 52 in Body Mass Index and height velocity were observed for both treatment groups.</w:delText>
        </w:r>
      </w:del>
    </w:p>
    <w:p w14:paraId="2ED4D710" w14:textId="77777777" w:rsidR="008A7D66" w:rsidRPr="00BC0E7E" w:rsidRDefault="008A7D66" w:rsidP="008A7D66">
      <w:pPr>
        <w:tabs>
          <w:tab w:val="clear" w:pos="562"/>
        </w:tabs>
        <w:suppressAutoHyphens w:val="0"/>
        <w:autoSpaceDE w:val="0"/>
        <w:autoSpaceDN w:val="0"/>
        <w:adjustRightInd w:val="0"/>
        <w:rPr>
          <w:del w:id="3303" w:author="AbbVie19" w:date="2025-04-16T10:35:00Z"/>
        </w:rPr>
      </w:pPr>
    </w:p>
    <w:p w14:paraId="364B3B55" w14:textId="77777777" w:rsidR="008A7D66" w:rsidRPr="00BC0E7E" w:rsidRDefault="00944B8F" w:rsidP="008A7D66">
      <w:pPr>
        <w:rPr>
          <w:del w:id="3304" w:author="AbbVie19" w:date="2025-04-16T10:35:00Z"/>
          <w:bCs/>
          <w:szCs w:val="22"/>
        </w:rPr>
      </w:pPr>
      <w:del w:id="3305" w:author="AbbVie19" w:date="2025-04-16T10:35:00Z">
        <w:r w:rsidRPr="00BC0E7E">
          <w:rPr>
            <w:bCs/>
            <w:szCs w:val="22"/>
          </w:rPr>
          <w:lastRenderedPageBreak/>
          <w:delText>Statistically and clinically significant improvements from Baseline were also observed in both treatment groups for quality of life parameters (including IMPACT III).</w:delText>
        </w:r>
      </w:del>
    </w:p>
    <w:p w14:paraId="7F300065" w14:textId="77777777" w:rsidR="008A7D66" w:rsidRPr="00BC0E7E" w:rsidRDefault="008A7D66" w:rsidP="008A7D66">
      <w:pPr>
        <w:rPr>
          <w:del w:id="3306" w:author="AbbVie19" w:date="2025-04-16T10:35:00Z"/>
          <w:szCs w:val="20"/>
        </w:rPr>
      </w:pPr>
    </w:p>
    <w:p w14:paraId="6F8C1EB2" w14:textId="77777777" w:rsidR="008A7D66" w:rsidRPr="00BC0E7E" w:rsidRDefault="00944B8F" w:rsidP="008A7D66">
      <w:pPr>
        <w:rPr>
          <w:del w:id="3307" w:author="AbbVie19" w:date="2025-04-16T10:35:00Z"/>
          <w:szCs w:val="20"/>
        </w:rPr>
      </w:pPr>
      <w:del w:id="3308" w:author="AbbVie19" w:date="2025-04-16T10:35:00Z">
        <w:r w:rsidRPr="00BC0E7E">
          <w:rPr>
            <w:szCs w:val="20"/>
          </w:rPr>
          <w:delText>One hundred patients (n=100) from the Paediatric CD Study continued in an open-label long-term extension study. After 5 years of adalimumab therapy, 74.0% (37/50) of the 50 patients remaining in the study continued to be in clinical remission, and 92.0% (46/50) of patients continued to be in clinical response per PCDAI.</w:delText>
        </w:r>
      </w:del>
    </w:p>
    <w:p w14:paraId="6D82842E" w14:textId="77777777" w:rsidR="008A7D66" w:rsidRDefault="008A7D66" w:rsidP="00BC0E7E">
      <w:pPr>
        <w:keepNext/>
        <w:rPr>
          <w:del w:id="3309" w:author="AbbVie19" w:date="2025-04-16T10:35:00Z"/>
          <w:szCs w:val="22"/>
          <w:lang w:eastAsia="en-GB"/>
        </w:rPr>
      </w:pPr>
    </w:p>
    <w:p w14:paraId="4315B9BE" w14:textId="77777777" w:rsidR="009A5A23" w:rsidRDefault="00944B8F" w:rsidP="009A5A23">
      <w:pPr>
        <w:keepNext/>
        <w:rPr>
          <w:del w:id="3310" w:author="AbbVie19" w:date="2025-04-16T10:35:00Z"/>
          <w:bCs/>
          <w:i/>
          <w:szCs w:val="22"/>
        </w:rPr>
      </w:pPr>
      <w:del w:id="3311" w:author="AbbVie19" w:date="2025-04-16T10:35:00Z">
        <w:r>
          <w:rPr>
            <w:bCs/>
            <w:i/>
            <w:szCs w:val="22"/>
          </w:rPr>
          <w:delText>Paediatric ulcerative colitis</w:delText>
        </w:r>
      </w:del>
    </w:p>
    <w:p w14:paraId="3383908E" w14:textId="77777777" w:rsidR="009A5A23" w:rsidRDefault="009A5A23" w:rsidP="009A5A23">
      <w:pPr>
        <w:keepNext/>
        <w:rPr>
          <w:del w:id="3312" w:author="AbbVie19" w:date="2025-04-16T10:35:00Z"/>
          <w:bCs/>
          <w:i/>
          <w:szCs w:val="22"/>
        </w:rPr>
      </w:pPr>
    </w:p>
    <w:p w14:paraId="594D6BF4" w14:textId="77777777" w:rsidR="009A5A23" w:rsidRPr="00986E88" w:rsidRDefault="00944B8F" w:rsidP="009A5A23">
      <w:pPr>
        <w:rPr>
          <w:del w:id="3313" w:author="AbbVie19" w:date="2025-04-16T10:35:00Z"/>
          <w:szCs w:val="22"/>
          <w:lang w:val="en-US"/>
        </w:rPr>
      </w:pPr>
      <w:del w:id="3314" w:author="AbbVie19" w:date="2025-04-16T10:35:00Z">
        <w:r w:rsidRPr="00986E88">
          <w:rPr>
            <w:szCs w:val="22"/>
            <w:lang w:val="en-US"/>
          </w:rPr>
          <w:delText>The safety and efficacy of Humira was assessed in a multicenter, randomized, double-blind, trial in 93 paediatric patients from 5 to 17 years of age with moderate to severe ulcerative colitis (Mayo score 6 to 12 with endoscopy subscore of 2 to 3 points, confirmed by centrally read endoscopy) who had an inadequate response or intolerance to conventional therapy. Approximately 16% of patients in the study had failed prior anti-TNF treatment. Patients who received corticosteroids at enrollment were allowed to taper their corticosteroid therapy after Week 4.</w:delText>
        </w:r>
      </w:del>
    </w:p>
    <w:p w14:paraId="0A335DB7" w14:textId="77777777" w:rsidR="009A5A23" w:rsidRPr="00986E88" w:rsidRDefault="009A5A23" w:rsidP="009A5A23">
      <w:pPr>
        <w:rPr>
          <w:del w:id="3315" w:author="AbbVie19" w:date="2025-04-16T10:35:00Z"/>
          <w:szCs w:val="22"/>
          <w:lang w:val="en-US"/>
        </w:rPr>
      </w:pPr>
    </w:p>
    <w:p w14:paraId="6F9EE26F" w14:textId="77777777" w:rsidR="009A5A23" w:rsidRPr="004A1B86" w:rsidRDefault="00944B8F" w:rsidP="009A5A23">
      <w:pPr>
        <w:rPr>
          <w:del w:id="3316" w:author="AbbVie19" w:date="2025-04-16T10:35:00Z"/>
          <w:szCs w:val="22"/>
          <w:lang w:val="en-US"/>
        </w:rPr>
      </w:pPr>
      <w:del w:id="3317" w:author="AbbVie19" w:date="2025-04-16T10:35:00Z">
        <w:r w:rsidRPr="004A1B86">
          <w:rPr>
            <w:rStyle w:val="normaltextrun"/>
            <w:szCs w:val="22"/>
            <w:shd w:val="clear" w:color="auto" w:fill="FFFFFF"/>
            <w:lang w:val="en-US"/>
          </w:rPr>
          <w:delText>In the induction period of the study, 77 patients were randomized 3:2 to receive double-blind treatment with Humira at an induction dose of 2.4 mg/kg (maximum of 160 mg) at Week 0 and Week 1, and 1.2 mg/kg (maximum of 80 mg) at Week 2; or an induction dose of 2.4 mg/kg (maximum of 160 mg) at Week 0, placebo at Week 1, and 1.2 mg/kg (maximum of 80 mg) at Week 2. Both groups received 0.6 mg/kg (maximum of 40 mg) at Week 4 and Week 6. Following an amendment to the study design, the remaining 16 patients who enrolled in the induction period received open-label treatment with Humira at the induction dose of 2.4 mg/kg (maximum of 160 mg) at Week 0 and Week 1, and 1.2 mg/kg (maximum of 80 mg) at Week 2.</w:delText>
        </w:r>
        <w:r w:rsidRPr="004A1B86">
          <w:rPr>
            <w:rStyle w:val="eop"/>
            <w:szCs w:val="22"/>
            <w:shd w:val="clear" w:color="auto" w:fill="FFFFFF"/>
          </w:rPr>
          <w:delText> </w:delText>
        </w:r>
      </w:del>
    </w:p>
    <w:p w14:paraId="3D61BBED" w14:textId="77777777" w:rsidR="009A5A23" w:rsidRPr="004A1B86" w:rsidRDefault="009A5A23" w:rsidP="009A5A23">
      <w:pPr>
        <w:rPr>
          <w:del w:id="3318" w:author="AbbVie19" w:date="2025-04-16T10:35:00Z"/>
          <w:lang w:val="en-US"/>
        </w:rPr>
      </w:pPr>
    </w:p>
    <w:p w14:paraId="697359D2" w14:textId="77777777" w:rsidR="009A5A23" w:rsidRPr="004A1B86" w:rsidRDefault="00944B8F" w:rsidP="009A5A23">
      <w:pPr>
        <w:rPr>
          <w:del w:id="3319" w:author="AbbVie19" w:date="2025-04-16T10:35:00Z"/>
          <w:rStyle w:val="eop"/>
          <w:szCs w:val="22"/>
          <w:shd w:val="clear" w:color="auto" w:fill="FFFFFF"/>
        </w:rPr>
      </w:pPr>
      <w:del w:id="3320" w:author="AbbVie19" w:date="2025-04-16T10:35:00Z">
        <w:r w:rsidRPr="004A1B86">
          <w:rPr>
            <w:rStyle w:val="normaltextrun"/>
            <w:szCs w:val="22"/>
            <w:shd w:val="clear" w:color="auto" w:fill="FFFFFF"/>
            <w:lang w:val="en-US"/>
          </w:rPr>
          <w:delText>At Week 8, 62 patients who demonstrated clinical response per Partial Mayo Score (PMS; defined as a decrease in PMS ≥ 2 points and ≥ 30% from Baseline) were randomized equally to receive double-blind maintenance treatment with Humira at a dose of 0.6 mg/kg (maximum of 40 mg) every week (</w:delText>
        </w:r>
        <w:r w:rsidRPr="004A1B86">
          <w:rPr>
            <w:rStyle w:val="spellingerror"/>
            <w:szCs w:val="22"/>
            <w:shd w:val="clear" w:color="auto" w:fill="FFFFFF"/>
            <w:lang w:val="en-US"/>
          </w:rPr>
          <w:delText>ew</w:delText>
        </w:r>
        <w:r w:rsidRPr="004A1B86">
          <w:rPr>
            <w:rStyle w:val="normaltextrun"/>
            <w:szCs w:val="22"/>
            <w:shd w:val="clear" w:color="auto" w:fill="FFFFFF"/>
            <w:lang w:val="en-US"/>
          </w:rPr>
          <w:delText>), or a maintenance dose of 0.6 mg/kg (maximum of 40 mg) every other week (</w:delText>
        </w:r>
        <w:r w:rsidRPr="004A1B86">
          <w:rPr>
            <w:rStyle w:val="spellingerror"/>
            <w:szCs w:val="22"/>
            <w:shd w:val="clear" w:color="auto" w:fill="FFFFFF"/>
            <w:lang w:val="en-US"/>
          </w:rPr>
          <w:delText>eow</w:delText>
        </w:r>
        <w:r w:rsidRPr="004A1B86">
          <w:rPr>
            <w:rStyle w:val="normaltextrun"/>
            <w:szCs w:val="22"/>
            <w:shd w:val="clear" w:color="auto" w:fill="FFFFFF"/>
            <w:lang w:val="en-US"/>
          </w:rPr>
          <w:delText>). Prior to an amendment to the study design, 12 additional patients who demonstrated clinical response per PMS were randomized to receive placebo but were not included in the confirmatory analysis of efficacy.</w:delText>
        </w:r>
      </w:del>
    </w:p>
    <w:p w14:paraId="0949CE9E" w14:textId="77777777" w:rsidR="009A5A23" w:rsidRPr="00986E88" w:rsidRDefault="009A5A23" w:rsidP="009A5A23">
      <w:pPr>
        <w:rPr>
          <w:del w:id="3321" w:author="AbbVie19" w:date="2025-04-16T10:35:00Z"/>
          <w:szCs w:val="22"/>
          <w:lang w:val="en-US"/>
        </w:rPr>
      </w:pPr>
    </w:p>
    <w:p w14:paraId="6F884A81" w14:textId="77777777" w:rsidR="009A5A23" w:rsidRPr="00986E88" w:rsidRDefault="00944B8F" w:rsidP="009A5A23">
      <w:pPr>
        <w:rPr>
          <w:del w:id="3322" w:author="AbbVie19" w:date="2025-04-16T10:35:00Z"/>
          <w:szCs w:val="22"/>
          <w:lang w:val="en-US"/>
        </w:rPr>
      </w:pPr>
      <w:del w:id="3323" w:author="AbbVie19" w:date="2025-04-16T10:35:00Z">
        <w:r w:rsidRPr="00986E88">
          <w:rPr>
            <w:szCs w:val="22"/>
            <w:lang w:val="en-US"/>
          </w:rPr>
          <w:delText xml:space="preserve">Disease flare was defined as an increase in PMS of </w:delText>
        </w:r>
        <w:r>
          <w:rPr>
            <w:szCs w:val="22"/>
            <w:lang w:val="en-US"/>
          </w:rPr>
          <w:delText xml:space="preserve">at least </w:delText>
        </w:r>
        <w:r w:rsidRPr="00986E88">
          <w:rPr>
            <w:szCs w:val="22"/>
            <w:lang w:val="en-US"/>
          </w:rPr>
          <w:delText xml:space="preserve">3 points (for patients with PMS of 0 to 2 at Week 8), </w:delText>
        </w:r>
        <w:r>
          <w:rPr>
            <w:szCs w:val="22"/>
            <w:lang w:val="en-US"/>
          </w:rPr>
          <w:delText xml:space="preserve">at least </w:delText>
        </w:r>
        <w:r w:rsidRPr="00986E88">
          <w:rPr>
            <w:szCs w:val="22"/>
            <w:lang w:val="en-US"/>
          </w:rPr>
          <w:delText xml:space="preserve">2 points (for patients with PMS of 3 to 4 at Week 8), or </w:delText>
        </w:r>
        <w:r>
          <w:rPr>
            <w:szCs w:val="22"/>
            <w:lang w:val="en-US"/>
          </w:rPr>
          <w:delText xml:space="preserve">at least </w:delText>
        </w:r>
        <w:r w:rsidRPr="00986E88">
          <w:rPr>
            <w:szCs w:val="22"/>
            <w:lang w:val="en-US"/>
          </w:rPr>
          <w:delText>1</w:delText>
        </w:r>
        <w:r>
          <w:rPr>
            <w:szCs w:val="22"/>
            <w:lang w:val="en-US"/>
          </w:rPr>
          <w:delText xml:space="preserve"> </w:delText>
        </w:r>
        <w:r w:rsidRPr="00986E88">
          <w:rPr>
            <w:szCs w:val="22"/>
            <w:lang w:val="en-US"/>
          </w:rPr>
          <w:delText>point (for patients with PMS of 5 to 6 at Week 8). </w:delText>
        </w:r>
      </w:del>
    </w:p>
    <w:p w14:paraId="5A9F1F2A" w14:textId="77777777" w:rsidR="009A5A23" w:rsidRPr="00986E88" w:rsidRDefault="009A5A23" w:rsidP="009A5A23">
      <w:pPr>
        <w:rPr>
          <w:del w:id="3324" w:author="AbbVie19" w:date="2025-04-16T10:35:00Z"/>
          <w:szCs w:val="22"/>
          <w:lang w:val="en-US"/>
        </w:rPr>
      </w:pPr>
    </w:p>
    <w:p w14:paraId="257B621B" w14:textId="77777777" w:rsidR="009A5A23" w:rsidRPr="00986E88" w:rsidRDefault="00944B8F" w:rsidP="009A5A23">
      <w:pPr>
        <w:rPr>
          <w:del w:id="3325" w:author="AbbVie19" w:date="2025-04-16T10:35:00Z"/>
          <w:szCs w:val="22"/>
          <w:lang w:val="en-US"/>
        </w:rPr>
      </w:pPr>
      <w:del w:id="3326" w:author="AbbVie19" w:date="2025-04-16T10:35:00Z">
        <w:r w:rsidRPr="00986E88">
          <w:rPr>
            <w:szCs w:val="22"/>
            <w:lang w:val="en-US"/>
          </w:rPr>
          <w:delText>Patients who met criteria for disease flare at or after Week 12 were randomized to receive a re-induction dose of 2.4 mg/kg (maximum of 160 mg) or a dose of 0.6 mg/kg (maximum of 40 mg) and continued to receive their respective maintenance dose regimen afterwards. </w:delText>
        </w:r>
      </w:del>
    </w:p>
    <w:p w14:paraId="096F631B" w14:textId="77777777" w:rsidR="00AB3AFC" w:rsidRPr="002A70BB" w:rsidRDefault="00AB3AFC" w:rsidP="00AB3AFC">
      <w:pPr>
        <w:pStyle w:val="gtcbodytext"/>
        <w:spacing w:before="0" w:after="0"/>
        <w:rPr>
          <w:del w:id="3327" w:author="AbbVie19" w:date="2025-04-16T10:35:00Z"/>
          <w:iCs/>
          <w:sz w:val="22"/>
          <w:szCs w:val="22"/>
        </w:rPr>
      </w:pPr>
    </w:p>
    <w:p w14:paraId="1139A641" w14:textId="77777777" w:rsidR="009A5A23" w:rsidRDefault="00944B8F" w:rsidP="00AB3AFC">
      <w:pPr>
        <w:pStyle w:val="gtcbodytext"/>
        <w:spacing w:before="0" w:after="0"/>
        <w:rPr>
          <w:del w:id="3328" w:author="AbbVie19" w:date="2025-04-16T10:35:00Z"/>
          <w:i/>
          <w:sz w:val="22"/>
          <w:szCs w:val="22"/>
        </w:rPr>
      </w:pPr>
      <w:del w:id="3329" w:author="AbbVie19" w:date="2025-04-16T10:35:00Z">
        <w:r w:rsidRPr="002D6C33">
          <w:rPr>
            <w:i/>
            <w:sz w:val="22"/>
            <w:szCs w:val="22"/>
          </w:rPr>
          <w:delText>Efficacy Results</w:delText>
        </w:r>
      </w:del>
    </w:p>
    <w:p w14:paraId="6BABBBDD" w14:textId="77777777" w:rsidR="00AB3AFC" w:rsidRPr="002A70BB" w:rsidRDefault="00AB3AFC" w:rsidP="00AB3AFC">
      <w:pPr>
        <w:pStyle w:val="gtcbodytext"/>
        <w:spacing w:before="0" w:after="0"/>
        <w:rPr>
          <w:del w:id="3330" w:author="AbbVie19" w:date="2025-04-16T10:35:00Z"/>
          <w:iCs/>
          <w:sz w:val="22"/>
          <w:szCs w:val="22"/>
        </w:rPr>
      </w:pPr>
    </w:p>
    <w:p w14:paraId="36530C97" w14:textId="77777777" w:rsidR="009A5A23" w:rsidRDefault="00944B8F" w:rsidP="009A5A23">
      <w:pPr>
        <w:tabs>
          <w:tab w:val="clear" w:pos="562"/>
        </w:tabs>
        <w:suppressAutoHyphens w:val="0"/>
        <w:textAlignment w:val="baseline"/>
        <w:rPr>
          <w:del w:id="3331" w:author="AbbVie19" w:date="2025-04-16T10:35:00Z"/>
          <w:szCs w:val="22"/>
          <w:lang w:val="en-US"/>
        </w:rPr>
      </w:pPr>
      <w:del w:id="3332" w:author="AbbVie19" w:date="2025-04-16T10:35:00Z">
        <w:r w:rsidRPr="00C006EF">
          <w:rPr>
            <w:szCs w:val="22"/>
            <w:lang w:val="en-US"/>
          </w:rPr>
          <w:delText>The co-primary endpoints of the study were clinical remission per PMS (defined as PMS ≤ 2 and no individual subscore &gt; 1) at Week 8, and clinical remission per FMS (Full Mayo Score) (defined as a Mayo Score ≤ 2 and no individua</w:delText>
        </w:r>
        <w:r w:rsidRPr="00986E88">
          <w:rPr>
            <w:szCs w:val="22"/>
            <w:lang w:val="en-US"/>
          </w:rPr>
          <w:delText>l subscore &gt; 1) at Week 52 in patients who achieved clinical response per PMS at Week 8.</w:delText>
        </w:r>
      </w:del>
    </w:p>
    <w:p w14:paraId="2B16C7B6" w14:textId="77777777" w:rsidR="002A70BB" w:rsidRDefault="002A70BB" w:rsidP="009A5A23">
      <w:pPr>
        <w:tabs>
          <w:tab w:val="clear" w:pos="562"/>
        </w:tabs>
        <w:suppressAutoHyphens w:val="0"/>
        <w:textAlignment w:val="baseline"/>
        <w:rPr>
          <w:del w:id="3333" w:author="AbbVie19" w:date="2025-04-16T10:35:00Z"/>
          <w:szCs w:val="22"/>
          <w:lang w:val="en-US"/>
        </w:rPr>
      </w:pPr>
    </w:p>
    <w:p w14:paraId="23F85634" w14:textId="77777777" w:rsidR="009A5A23" w:rsidRPr="00986E88" w:rsidRDefault="00944B8F" w:rsidP="009A5A23">
      <w:pPr>
        <w:tabs>
          <w:tab w:val="clear" w:pos="562"/>
        </w:tabs>
        <w:suppressAutoHyphens w:val="0"/>
        <w:textAlignment w:val="baseline"/>
        <w:rPr>
          <w:del w:id="3334" w:author="AbbVie19" w:date="2025-04-16T10:35:00Z"/>
          <w:szCs w:val="22"/>
          <w:lang w:val="en-US"/>
        </w:rPr>
      </w:pPr>
      <w:del w:id="3335" w:author="AbbVie19" w:date="2025-04-16T10:35:00Z">
        <w:r w:rsidRPr="000D5A5A">
          <w:rPr>
            <w:lang w:val="en-US"/>
          </w:rPr>
          <w:delText>Clinical remission rates per PMS at Week 8 for patients in each of the Humira double-blind induction groups</w:delText>
        </w:r>
        <w:r>
          <w:rPr>
            <w:lang w:val="en-US"/>
          </w:rPr>
          <w:delText xml:space="preserve"> are presented in</w:delText>
        </w:r>
        <w:r w:rsidRPr="000D5A5A">
          <w:rPr>
            <w:lang w:val="en-US"/>
          </w:rPr>
          <w:delText> </w:delText>
        </w:r>
        <w:r w:rsidRPr="00986E88">
          <w:rPr>
            <w:szCs w:val="22"/>
            <w:lang w:val="en-US"/>
          </w:rPr>
          <w:delText>Table 26. </w:delText>
        </w:r>
      </w:del>
    </w:p>
    <w:p w14:paraId="090FCE81" w14:textId="77777777" w:rsidR="009A5A23" w:rsidRPr="002D6C33" w:rsidRDefault="00944B8F" w:rsidP="00F043D5">
      <w:pPr>
        <w:pStyle w:val="gtcbodytext"/>
        <w:keepNext/>
        <w:jc w:val="center"/>
        <w:rPr>
          <w:del w:id="3336" w:author="AbbVie19" w:date="2025-04-16T10:35:00Z"/>
          <w:sz w:val="22"/>
          <w:szCs w:val="22"/>
        </w:rPr>
      </w:pPr>
      <w:del w:id="3337" w:author="AbbVie19" w:date="2025-04-16T10:35:00Z">
        <w:r w:rsidRPr="002D6C33">
          <w:rPr>
            <w:b/>
            <w:sz w:val="22"/>
            <w:szCs w:val="22"/>
          </w:rPr>
          <w:lastRenderedPageBreak/>
          <w:delText xml:space="preserve">Table 26: Clinical Remission per PMS at 8 Weeks </w:delText>
        </w:r>
      </w:del>
    </w:p>
    <w:tbl>
      <w:tblPr>
        <w:tblW w:w="4246" w:type="pct"/>
        <w:jc w:val="center"/>
        <w:tblLook w:val="04A0" w:firstRow="1" w:lastRow="0" w:firstColumn="1" w:lastColumn="0" w:noHBand="0" w:noVBand="1"/>
      </w:tblPr>
      <w:tblGrid>
        <w:gridCol w:w="1977"/>
        <w:gridCol w:w="2976"/>
        <w:gridCol w:w="3031"/>
      </w:tblGrid>
      <w:tr w:rsidR="00C6578C" w14:paraId="4E5EC6C4" w14:textId="77777777" w:rsidTr="00EA5EEF">
        <w:trPr>
          <w:jc w:val="center"/>
          <w:del w:id="3338" w:author="AbbVie19" w:date="2025-04-16T10:35: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E71D486" w14:textId="77777777" w:rsidR="009A5A23" w:rsidRDefault="009A5A23" w:rsidP="00F043D5">
            <w:pPr>
              <w:keepNext/>
              <w:tabs>
                <w:tab w:val="clear" w:pos="562"/>
              </w:tabs>
              <w:suppressAutoHyphens w:val="0"/>
              <w:rPr>
                <w:del w:id="3339" w:author="AbbVie19" w:date="2025-04-16T10:35:00Z"/>
                <w:szCs w:val="20"/>
                <w:lang w:val="en-US"/>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FF2F238" w14:textId="77777777" w:rsidR="009A5A23" w:rsidRDefault="00944B8F" w:rsidP="00F043D5">
            <w:pPr>
              <w:pStyle w:val="paragraph0"/>
              <w:keepNext/>
              <w:spacing w:before="0" w:beforeAutospacing="0" w:after="0" w:afterAutospacing="0" w:line="276" w:lineRule="auto"/>
              <w:jc w:val="center"/>
              <w:textAlignment w:val="baseline"/>
              <w:rPr>
                <w:del w:id="3340" w:author="AbbVie19" w:date="2025-04-16T10:35:00Z"/>
                <w:rFonts w:ascii="Segoe UI" w:hAnsi="Segoe UI" w:cs="Segoe UI"/>
                <w:sz w:val="22"/>
                <w:szCs w:val="22"/>
              </w:rPr>
            </w:pPr>
            <w:del w:id="3341" w:author="AbbVie19" w:date="2025-04-16T10:35:00Z">
              <w:r>
                <w:rPr>
                  <w:rStyle w:val="spellingerror"/>
                  <w:rFonts w:cs="Calibri"/>
                  <w:b/>
                  <w:bCs/>
                  <w:sz w:val="22"/>
                  <w:szCs w:val="22"/>
                </w:rPr>
                <w:delText>Humira</w:delText>
              </w:r>
              <w:r>
                <w:rPr>
                  <w:rStyle w:val="spellingerror"/>
                  <w:rFonts w:cs="Calibri"/>
                  <w:b/>
                  <w:sz w:val="22"/>
                  <w:szCs w:val="22"/>
                  <w:vertAlign w:val="superscript"/>
                </w:rPr>
                <w:delText>a</w:delText>
              </w:r>
              <w:r>
                <w:rPr>
                  <w:rStyle w:val="eop"/>
                  <w:rFonts w:cs="Calibri"/>
                  <w:sz w:val="22"/>
                  <w:szCs w:val="22"/>
                </w:rPr>
                <w:delText> </w:delText>
              </w:r>
            </w:del>
          </w:p>
          <w:p w14:paraId="16432A82" w14:textId="77777777" w:rsidR="009A5A23" w:rsidRDefault="00944B8F" w:rsidP="00F043D5">
            <w:pPr>
              <w:keepNext/>
              <w:spacing w:line="276" w:lineRule="auto"/>
              <w:jc w:val="center"/>
              <w:rPr>
                <w:del w:id="3342" w:author="AbbVie19" w:date="2025-04-16T10:35:00Z"/>
                <w:rStyle w:val="eop"/>
                <w:rFonts w:cs="Calibri"/>
              </w:rPr>
            </w:pPr>
            <w:del w:id="3343" w:author="AbbVie19" w:date="2025-04-16T10:35:00Z">
              <w:r>
                <w:rPr>
                  <w:rStyle w:val="normaltextrun"/>
                  <w:rFonts w:cs="Calibri"/>
                  <w:b/>
                  <w:bCs/>
                  <w:szCs w:val="22"/>
                </w:rPr>
                <w:delText>Maximum of 160 mg at Week 0 / Placebo at Week 1</w:delText>
              </w:r>
              <w:r>
                <w:rPr>
                  <w:rStyle w:val="eop"/>
                  <w:rFonts w:cs="Calibri"/>
                  <w:szCs w:val="22"/>
                </w:rPr>
                <w:delText> </w:delText>
              </w:r>
            </w:del>
          </w:p>
          <w:p w14:paraId="29C280BD" w14:textId="77777777" w:rsidR="009A5A23" w:rsidRDefault="00944B8F" w:rsidP="00F043D5">
            <w:pPr>
              <w:keepNext/>
              <w:spacing w:line="276" w:lineRule="auto"/>
              <w:jc w:val="center"/>
              <w:rPr>
                <w:del w:id="3344" w:author="AbbVie19" w:date="2025-04-16T10:35:00Z"/>
                <w:lang w:val="en-US"/>
              </w:rPr>
            </w:pPr>
            <w:del w:id="3345" w:author="AbbVie19" w:date="2025-04-16T10:35:00Z">
              <w:r>
                <w:rPr>
                  <w:rStyle w:val="eop"/>
                  <w:rFonts w:cs="Calibri"/>
                </w:rPr>
                <w:delText>N=30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5D19F63" w14:textId="77777777" w:rsidR="009A5A23" w:rsidRDefault="00944B8F" w:rsidP="00F043D5">
            <w:pPr>
              <w:pStyle w:val="paragraph0"/>
              <w:keepNext/>
              <w:spacing w:before="0" w:beforeAutospacing="0" w:after="0" w:afterAutospacing="0" w:line="276" w:lineRule="auto"/>
              <w:jc w:val="center"/>
              <w:textAlignment w:val="baseline"/>
              <w:rPr>
                <w:del w:id="3346" w:author="AbbVie19" w:date="2025-04-16T10:35:00Z"/>
                <w:rFonts w:ascii="Segoe UI" w:hAnsi="Segoe UI" w:cs="Segoe UI"/>
                <w:sz w:val="22"/>
                <w:szCs w:val="22"/>
              </w:rPr>
            </w:pPr>
            <w:del w:id="3347" w:author="AbbVie19" w:date="2025-04-16T10:35:00Z">
              <w:r>
                <w:rPr>
                  <w:rStyle w:val="spellingerror"/>
                  <w:rFonts w:cs="Calibri"/>
                  <w:b/>
                  <w:bCs/>
                  <w:sz w:val="22"/>
                  <w:szCs w:val="22"/>
                </w:rPr>
                <w:delText>Humira</w:delText>
              </w:r>
              <w:r>
                <w:rPr>
                  <w:rStyle w:val="spellingerror"/>
                  <w:rFonts w:cs="Calibri"/>
                  <w:b/>
                  <w:sz w:val="22"/>
                  <w:szCs w:val="22"/>
                  <w:vertAlign w:val="superscript"/>
                </w:rPr>
                <w:delText>b</w:delText>
              </w:r>
              <w:r>
                <w:rPr>
                  <w:rStyle w:val="normaltextrun"/>
                  <w:rFonts w:cs="Calibri"/>
                  <w:b/>
                  <w:sz w:val="22"/>
                  <w:szCs w:val="22"/>
                  <w:vertAlign w:val="superscript"/>
                </w:rPr>
                <w:delText>, c</w:delText>
              </w:r>
              <w:r>
                <w:rPr>
                  <w:rStyle w:val="eop"/>
                  <w:rFonts w:cs="Calibri"/>
                  <w:sz w:val="22"/>
                  <w:szCs w:val="22"/>
                </w:rPr>
                <w:delText> </w:delText>
              </w:r>
            </w:del>
          </w:p>
          <w:p w14:paraId="75DC72CD" w14:textId="77777777" w:rsidR="009A5A23" w:rsidRDefault="00944B8F" w:rsidP="00F043D5">
            <w:pPr>
              <w:keepNext/>
              <w:spacing w:line="276" w:lineRule="auto"/>
              <w:jc w:val="center"/>
              <w:rPr>
                <w:del w:id="3348" w:author="AbbVie19" w:date="2025-04-16T10:35:00Z"/>
                <w:rStyle w:val="eop"/>
                <w:rFonts w:cs="Calibri"/>
              </w:rPr>
            </w:pPr>
            <w:del w:id="3349" w:author="AbbVie19" w:date="2025-04-16T10:35:00Z">
              <w:r>
                <w:rPr>
                  <w:rStyle w:val="normaltextrun"/>
                  <w:rFonts w:cs="Calibri"/>
                  <w:b/>
                  <w:bCs/>
                  <w:szCs w:val="22"/>
                </w:rPr>
                <w:delText>Maximum of 160 mg at Week 0 and Week 1</w:delText>
              </w:r>
              <w:r>
                <w:rPr>
                  <w:rStyle w:val="eop"/>
                  <w:rFonts w:cs="Calibri"/>
                  <w:szCs w:val="22"/>
                </w:rPr>
                <w:delText> </w:delText>
              </w:r>
            </w:del>
          </w:p>
          <w:p w14:paraId="252D1A82" w14:textId="77777777" w:rsidR="009A5A23" w:rsidRDefault="00944B8F" w:rsidP="00F043D5">
            <w:pPr>
              <w:keepNext/>
              <w:spacing w:line="276" w:lineRule="auto"/>
              <w:jc w:val="center"/>
              <w:rPr>
                <w:del w:id="3350" w:author="AbbVie19" w:date="2025-04-16T10:35:00Z"/>
                <w:lang w:val="en-US"/>
              </w:rPr>
            </w:pPr>
            <w:del w:id="3351" w:author="AbbVie19" w:date="2025-04-16T10:35:00Z">
              <w:r>
                <w:rPr>
                  <w:rStyle w:val="eop"/>
                  <w:rFonts w:cs="Calibri"/>
                </w:rPr>
                <w:delText>N=47</w:delText>
              </w:r>
            </w:del>
          </w:p>
        </w:tc>
      </w:tr>
      <w:tr w:rsidR="00C6578C" w14:paraId="25E94D1A" w14:textId="77777777" w:rsidTr="00EA5EEF">
        <w:trPr>
          <w:jc w:val="center"/>
          <w:del w:id="3352" w:author="AbbVie19" w:date="2025-04-16T10:35: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4FC295E" w14:textId="77777777" w:rsidR="009A5A23" w:rsidRDefault="00944B8F" w:rsidP="00F043D5">
            <w:pPr>
              <w:keepNext/>
              <w:spacing w:line="276" w:lineRule="auto"/>
              <w:rPr>
                <w:del w:id="3353" w:author="AbbVie19" w:date="2025-04-16T10:35:00Z"/>
                <w:szCs w:val="22"/>
                <w:lang w:val="en-US"/>
              </w:rPr>
            </w:pPr>
            <w:del w:id="3354" w:author="AbbVie19" w:date="2025-04-16T10:35:00Z">
              <w:r>
                <w:rPr>
                  <w:szCs w:val="22"/>
                  <w:lang w:val="en-US"/>
                </w:rPr>
                <w:delText>Clinical remission</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8CBBEA8" w14:textId="77777777" w:rsidR="009A5A23" w:rsidRDefault="00944B8F" w:rsidP="00F043D5">
            <w:pPr>
              <w:keepNext/>
              <w:spacing w:line="276" w:lineRule="auto"/>
              <w:jc w:val="center"/>
              <w:rPr>
                <w:del w:id="3355" w:author="AbbVie19" w:date="2025-04-16T10:35:00Z"/>
                <w:szCs w:val="22"/>
                <w:lang w:val="en-US"/>
              </w:rPr>
            </w:pPr>
            <w:del w:id="3356" w:author="AbbVie19" w:date="2025-04-16T10:35:00Z">
              <w:r>
                <w:rPr>
                  <w:szCs w:val="22"/>
                  <w:lang w:val="en-US"/>
                </w:rPr>
                <w:delText>13/30 (43.3%)</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B5E261F" w14:textId="77777777" w:rsidR="009A5A23" w:rsidRDefault="00944B8F" w:rsidP="00F043D5">
            <w:pPr>
              <w:keepNext/>
              <w:spacing w:line="276" w:lineRule="auto"/>
              <w:jc w:val="center"/>
              <w:rPr>
                <w:del w:id="3357" w:author="AbbVie19" w:date="2025-04-16T10:35:00Z"/>
                <w:szCs w:val="22"/>
                <w:vertAlign w:val="superscript"/>
                <w:lang w:val="en-US"/>
              </w:rPr>
            </w:pPr>
            <w:del w:id="3358" w:author="AbbVie19" w:date="2025-04-16T10:35:00Z">
              <w:r>
                <w:rPr>
                  <w:szCs w:val="22"/>
                  <w:lang w:val="en-US"/>
                </w:rPr>
                <w:delText>28/47 (59.6%)</w:delText>
              </w:r>
            </w:del>
          </w:p>
        </w:tc>
      </w:tr>
      <w:tr w:rsidR="00C6578C" w14:paraId="7333AC37" w14:textId="77777777" w:rsidTr="00EA5EEF">
        <w:trPr>
          <w:trHeight w:val="2517"/>
          <w:jc w:val="center"/>
          <w:del w:id="3359" w:author="AbbVie19" w:date="2025-04-16T10:35: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23FB01F" w14:textId="77777777" w:rsidR="009A5A23" w:rsidRDefault="00944B8F" w:rsidP="00F043D5">
            <w:pPr>
              <w:pStyle w:val="paragraph0"/>
              <w:keepNext/>
              <w:spacing w:before="0" w:beforeAutospacing="0" w:after="0" w:afterAutospacing="0" w:line="276" w:lineRule="auto"/>
              <w:textAlignment w:val="baseline"/>
              <w:rPr>
                <w:del w:id="3360" w:author="AbbVie19" w:date="2025-04-16T10:35:00Z"/>
                <w:rFonts w:ascii="Segoe UI" w:hAnsi="Segoe UI" w:cs="Segoe UI"/>
                <w:sz w:val="22"/>
                <w:szCs w:val="22"/>
              </w:rPr>
            </w:pPr>
            <w:del w:id="3361" w:author="AbbVie19" w:date="2025-04-16T10:35:00Z">
              <w:r>
                <w:rPr>
                  <w:rStyle w:val="normaltextrun"/>
                  <w:sz w:val="22"/>
                  <w:szCs w:val="22"/>
                  <w:vertAlign w:val="superscript"/>
                </w:rPr>
                <w:delText>a </w:delText>
              </w:r>
              <w:r>
                <w:rPr>
                  <w:rStyle w:val="normaltextrun"/>
                  <w:sz w:val="22"/>
                  <w:szCs w:val="22"/>
                </w:rPr>
                <w:delText>Humira 2.4 mg/kg (maximum of 160 mg) at Week 0, placebo at Week 1, and 1.2 mg/kg (maximum of 80 mg) at Week 2</w:delText>
              </w:r>
              <w:r>
                <w:rPr>
                  <w:rStyle w:val="eop"/>
                  <w:sz w:val="22"/>
                  <w:szCs w:val="22"/>
                </w:rPr>
                <w:delText> </w:delText>
              </w:r>
            </w:del>
          </w:p>
          <w:p w14:paraId="60544849" w14:textId="77777777" w:rsidR="009A5A23" w:rsidRDefault="00944B8F" w:rsidP="00F043D5">
            <w:pPr>
              <w:pStyle w:val="paragraph0"/>
              <w:keepNext/>
              <w:spacing w:before="0" w:beforeAutospacing="0" w:after="0" w:afterAutospacing="0" w:line="276" w:lineRule="auto"/>
              <w:textAlignment w:val="baseline"/>
              <w:rPr>
                <w:del w:id="3362" w:author="AbbVie19" w:date="2025-04-16T10:35:00Z"/>
                <w:rFonts w:ascii="Segoe UI" w:hAnsi="Segoe UI" w:cs="Segoe UI"/>
                <w:sz w:val="22"/>
                <w:szCs w:val="22"/>
              </w:rPr>
            </w:pPr>
            <w:del w:id="3363" w:author="AbbVie19" w:date="2025-04-16T10:35:00Z">
              <w:r>
                <w:rPr>
                  <w:rStyle w:val="normaltextrun"/>
                  <w:sz w:val="22"/>
                  <w:szCs w:val="22"/>
                  <w:vertAlign w:val="superscript"/>
                </w:rPr>
                <w:delText>b </w:delText>
              </w:r>
              <w:r>
                <w:rPr>
                  <w:rStyle w:val="normaltextrun"/>
                  <w:sz w:val="22"/>
                  <w:szCs w:val="22"/>
                </w:rPr>
                <w:delText>Humira 2.4 mg/kg (maximum of 160 mg) at Week 0 and Week 1, and 1.2 mg/kg (maximum of 80 mg) at Week 2</w:delText>
              </w:r>
              <w:r>
                <w:rPr>
                  <w:rStyle w:val="eop"/>
                  <w:sz w:val="22"/>
                  <w:szCs w:val="22"/>
                </w:rPr>
                <w:delText> </w:delText>
              </w:r>
            </w:del>
          </w:p>
          <w:p w14:paraId="1C660D1D" w14:textId="77777777" w:rsidR="009A5A23" w:rsidRDefault="00944B8F" w:rsidP="00F043D5">
            <w:pPr>
              <w:pStyle w:val="paragraph0"/>
              <w:keepNext/>
              <w:spacing w:before="0" w:beforeAutospacing="0" w:after="0" w:afterAutospacing="0" w:line="276" w:lineRule="auto"/>
              <w:textAlignment w:val="baseline"/>
              <w:rPr>
                <w:del w:id="3364" w:author="AbbVie19" w:date="2025-04-16T10:35:00Z"/>
                <w:rFonts w:ascii="Segoe UI" w:hAnsi="Segoe UI" w:cs="Segoe UI"/>
                <w:sz w:val="22"/>
                <w:szCs w:val="22"/>
              </w:rPr>
            </w:pPr>
            <w:del w:id="3365" w:author="AbbVie19" w:date="2025-04-16T10:35:00Z">
              <w:r>
                <w:rPr>
                  <w:rStyle w:val="normaltextrun"/>
                  <w:rFonts w:cs="Calibri"/>
                  <w:sz w:val="22"/>
                  <w:szCs w:val="22"/>
                  <w:vertAlign w:val="superscript"/>
                </w:rPr>
                <w:delText>c</w:delText>
              </w:r>
              <w:r>
                <w:rPr>
                  <w:rStyle w:val="normaltextrun"/>
                  <w:rFonts w:cs="Calibri"/>
                  <w:sz w:val="22"/>
                  <w:szCs w:val="22"/>
                </w:rPr>
                <w:delText> Not including open-label Induction dose of </w:delText>
              </w:r>
              <w:r>
                <w:rPr>
                  <w:rStyle w:val="normaltextrun"/>
                  <w:sz w:val="22"/>
                  <w:szCs w:val="22"/>
                </w:rPr>
                <w:delText>Humira 2.4 mg/kg (maximum of 160 mg) at Week 0 and Week 1, and 1.2 mg/kg (maximum of 80 mg) at Week 2</w:delText>
              </w:r>
            </w:del>
          </w:p>
          <w:p w14:paraId="1211CDEE" w14:textId="77777777" w:rsidR="009A5A23" w:rsidRDefault="00944B8F" w:rsidP="00F043D5">
            <w:pPr>
              <w:pStyle w:val="paragraph0"/>
              <w:keepNext/>
              <w:spacing w:before="0" w:beforeAutospacing="0" w:after="0" w:afterAutospacing="0" w:line="276" w:lineRule="auto"/>
              <w:textAlignment w:val="baseline"/>
              <w:rPr>
                <w:del w:id="3366" w:author="AbbVie19" w:date="2025-04-16T10:35:00Z"/>
                <w:rFonts w:ascii="Segoe UI" w:hAnsi="Segoe UI" w:cs="Segoe UI"/>
                <w:sz w:val="22"/>
                <w:szCs w:val="22"/>
              </w:rPr>
            </w:pPr>
            <w:del w:id="3367" w:author="AbbVie19" w:date="2025-04-16T10:35:00Z">
              <w:r>
                <w:rPr>
                  <w:rStyle w:val="normaltextrun"/>
                  <w:rFonts w:cs="Calibri"/>
                  <w:sz w:val="22"/>
                  <w:szCs w:val="22"/>
                </w:rPr>
                <w:delText>Note 1: Both induction groups received 0.6 mg/kg (maximum of 40 mg) at Week 4 and Week 6</w:delText>
              </w:r>
              <w:r>
                <w:rPr>
                  <w:rStyle w:val="eop"/>
                  <w:rFonts w:cs="Calibri"/>
                  <w:sz w:val="22"/>
                  <w:szCs w:val="22"/>
                </w:rPr>
                <w:delText> </w:delText>
              </w:r>
            </w:del>
          </w:p>
          <w:p w14:paraId="5015E65F" w14:textId="77777777" w:rsidR="009A5A23" w:rsidRDefault="00944B8F" w:rsidP="00F043D5">
            <w:pPr>
              <w:pStyle w:val="paragraph0"/>
              <w:keepNext/>
              <w:spacing w:before="0" w:beforeAutospacing="0" w:after="0" w:afterAutospacing="0" w:line="276" w:lineRule="auto"/>
              <w:textAlignment w:val="baseline"/>
              <w:rPr>
                <w:del w:id="3368" w:author="AbbVie19" w:date="2025-04-16T10:35:00Z"/>
                <w:sz w:val="22"/>
                <w:szCs w:val="22"/>
              </w:rPr>
            </w:pPr>
            <w:del w:id="3369" w:author="AbbVie19" w:date="2025-04-16T10:35:00Z">
              <w:r>
                <w:rPr>
                  <w:rStyle w:val="normaltextrun"/>
                  <w:rFonts w:cs="Calibri"/>
                  <w:sz w:val="22"/>
                  <w:szCs w:val="22"/>
                </w:rPr>
                <w:delText>Note 2: Patients with missing values at Week 8 were considered as not having met the endpoint</w:delText>
              </w:r>
              <w:r>
                <w:rPr>
                  <w:rStyle w:val="eop"/>
                  <w:rFonts w:cs="Calibri"/>
                  <w:sz w:val="22"/>
                  <w:szCs w:val="22"/>
                </w:rPr>
                <w:delText> </w:delText>
              </w:r>
            </w:del>
          </w:p>
        </w:tc>
      </w:tr>
    </w:tbl>
    <w:p w14:paraId="2062B4CA" w14:textId="77777777" w:rsidR="009A5A23" w:rsidRDefault="009A5A23" w:rsidP="009A5A23">
      <w:pPr>
        <w:rPr>
          <w:del w:id="3370" w:author="AbbVie19" w:date="2025-04-16T10:35:00Z"/>
          <w:rStyle w:val="normaltextrun"/>
          <w:szCs w:val="22"/>
          <w:shd w:val="clear" w:color="auto" w:fill="FFFFFF"/>
          <w:lang w:val="en-US"/>
        </w:rPr>
      </w:pPr>
    </w:p>
    <w:p w14:paraId="05BE7823" w14:textId="77777777" w:rsidR="009A5A23" w:rsidRPr="000B3606" w:rsidRDefault="00944B8F" w:rsidP="009A5A23">
      <w:pPr>
        <w:rPr>
          <w:del w:id="3371" w:author="AbbVie19" w:date="2025-04-16T10:35:00Z"/>
          <w:szCs w:val="22"/>
        </w:rPr>
      </w:pPr>
      <w:del w:id="3372" w:author="AbbVie19" w:date="2025-04-16T10:35:00Z">
        <w:r w:rsidRPr="009C07A5">
          <w:rPr>
            <w:rStyle w:val="normaltextrun"/>
            <w:szCs w:val="22"/>
            <w:shd w:val="clear" w:color="auto" w:fill="FFFFFF"/>
            <w:lang w:val="en-US"/>
          </w:rPr>
          <w:delText xml:space="preserve">At Week 52, clinical remission per FMS in Week 8 responders, clinical response per FMS (defined as a decrease in Mayo Score ≥ 3 points and ≥ 30% from Baseline) in Week 8 responders, mucosal healing (defined as Mayo endoscopy </w:delText>
        </w:r>
        <w:r w:rsidR="00032598">
          <w:rPr>
            <w:rStyle w:val="normaltextrun"/>
            <w:szCs w:val="22"/>
            <w:shd w:val="clear" w:color="auto" w:fill="FFFFFF"/>
            <w:lang w:val="en-US"/>
          </w:rPr>
          <w:delText>sub</w:delText>
        </w:r>
        <w:r w:rsidRPr="009C07A5">
          <w:rPr>
            <w:rStyle w:val="normaltextrun"/>
            <w:szCs w:val="22"/>
            <w:shd w:val="clear" w:color="auto" w:fill="FFFFFF"/>
            <w:lang w:val="en-US"/>
          </w:rPr>
          <w:delText>score ≤ 1) in Week 8 responders, clinical remission per FMS in Week 8 remitters, and the proportion of subjects in corticosteroid-free remission per FMS in Week 8 responders were assessed in patients who received Humira at the double-blind maximum 40 mg </w:delText>
        </w:r>
        <w:r w:rsidRPr="009C07A5">
          <w:rPr>
            <w:rStyle w:val="spellingerror"/>
            <w:szCs w:val="22"/>
            <w:shd w:val="clear" w:color="auto" w:fill="FFFFFF"/>
            <w:lang w:val="en-US"/>
          </w:rPr>
          <w:delText>eow</w:delText>
        </w:r>
        <w:r w:rsidRPr="009C07A5">
          <w:rPr>
            <w:rStyle w:val="normaltextrun"/>
            <w:szCs w:val="22"/>
            <w:shd w:val="clear" w:color="auto" w:fill="FFFFFF"/>
            <w:lang w:val="en-US"/>
          </w:rPr>
          <w:delText> (0.6 mg/kg) and maximum 40 mg </w:delText>
        </w:r>
        <w:r w:rsidRPr="009C07A5">
          <w:rPr>
            <w:rStyle w:val="spellingerror"/>
            <w:szCs w:val="22"/>
            <w:shd w:val="clear" w:color="auto" w:fill="FFFFFF"/>
            <w:lang w:val="en-US"/>
          </w:rPr>
          <w:delText>ew</w:delText>
        </w:r>
        <w:r w:rsidRPr="009C07A5">
          <w:rPr>
            <w:rStyle w:val="normaltextrun"/>
            <w:szCs w:val="22"/>
            <w:shd w:val="clear" w:color="auto" w:fill="FFFFFF"/>
            <w:lang w:val="en-US"/>
          </w:rPr>
          <w:delText> (0.6 mg/kg) maintenance doses (Table 27).</w:delText>
        </w:r>
        <w:r w:rsidRPr="009C07A5">
          <w:rPr>
            <w:rStyle w:val="eop"/>
            <w:szCs w:val="22"/>
            <w:shd w:val="clear" w:color="auto" w:fill="FFFFFF"/>
          </w:rPr>
          <w:delText> </w:delText>
        </w:r>
      </w:del>
    </w:p>
    <w:p w14:paraId="77138684" w14:textId="77777777" w:rsidR="009A5A23" w:rsidRPr="00986E88" w:rsidRDefault="009A5A23" w:rsidP="009A5A23">
      <w:pPr>
        <w:rPr>
          <w:del w:id="3373" w:author="AbbVie19" w:date="2025-04-16T10:35:00Z"/>
          <w:szCs w:val="22"/>
        </w:rPr>
      </w:pPr>
    </w:p>
    <w:p w14:paraId="431C71CF" w14:textId="77777777" w:rsidR="009A5A23" w:rsidRPr="00412F64" w:rsidRDefault="00944B8F" w:rsidP="009A5A23">
      <w:pPr>
        <w:tabs>
          <w:tab w:val="clear" w:pos="562"/>
        </w:tabs>
        <w:suppressAutoHyphens w:val="0"/>
        <w:jc w:val="center"/>
        <w:textAlignment w:val="baseline"/>
        <w:rPr>
          <w:del w:id="3374" w:author="AbbVie19" w:date="2025-04-16T10:35:00Z"/>
          <w:szCs w:val="22"/>
          <w:lang w:eastAsia="en-GB"/>
        </w:rPr>
      </w:pPr>
      <w:del w:id="3375" w:author="AbbVie19" w:date="2025-04-16T10:35:00Z">
        <w:r w:rsidRPr="00412F64">
          <w:rPr>
            <w:b/>
            <w:szCs w:val="22"/>
            <w:lang w:val="en-US" w:eastAsia="en-GB"/>
          </w:rPr>
          <w:delText>Table 27: Efficacy Results at 52 Weeks</w:delText>
        </w:r>
        <w:r w:rsidRPr="004A1B86">
          <w:rPr>
            <w:szCs w:val="22"/>
            <w:lang w:eastAsia="en-GB"/>
          </w:rPr>
          <w:delText> </w:delText>
        </w:r>
      </w:del>
    </w:p>
    <w:p w14:paraId="3546F5C8" w14:textId="77777777" w:rsidR="009A5A23" w:rsidRPr="00BA51B8" w:rsidRDefault="009A5A23" w:rsidP="009A5A23">
      <w:pPr>
        <w:tabs>
          <w:tab w:val="clear" w:pos="562"/>
        </w:tabs>
        <w:suppressAutoHyphens w:val="0"/>
        <w:jc w:val="center"/>
        <w:textAlignment w:val="baseline"/>
        <w:rPr>
          <w:del w:id="3376" w:author="AbbVie19" w:date="2025-04-16T10:35:00Z"/>
          <w:szCs w:val="22"/>
          <w:lang w:eastAsia="en-GB"/>
        </w:rPr>
      </w:pP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6"/>
        <w:gridCol w:w="2409"/>
        <w:gridCol w:w="2633"/>
      </w:tblGrid>
      <w:tr w:rsidR="00C6578C" w14:paraId="28BC8582" w14:textId="77777777" w:rsidTr="0065221F">
        <w:trPr>
          <w:trHeight w:val="912"/>
          <w:jc w:val="center"/>
          <w:del w:id="3377" w:author="AbbVie19" w:date="2025-04-16T10:35:00Z"/>
        </w:trPr>
        <w:tc>
          <w:tcPr>
            <w:tcW w:w="2526" w:type="dxa"/>
            <w:tcBorders>
              <w:top w:val="single" w:sz="6" w:space="0" w:color="auto"/>
              <w:left w:val="single" w:sz="6" w:space="0" w:color="auto"/>
              <w:bottom w:val="single" w:sz="6" w:space="0" w:color="auto"/>
              <w:right w:val="single" w:sz="6" w:space="0" w:color="auto"/>
            </w:tcBorders>
            <w:hideMark/>
          </w:tcPr>
          <w:p w14:paraId="7E4FBC7D" w14:textId="77777777" w:rsidR="009A5A23" w:rsidRPr="004A7E7E" w:rsidRDefault="009A5A23" w:rsidP="0065221F">
            <w:pPr>
              <w:tabs>
                <w:tab w:val="clear" w:pos="562"/>
              </w:tabs>
              <w:suppressAutoHyphens w:val="0"/>
              <w:jc w:val="center"/>
              <w:textAlignment w:val="baseline"/>
              <w:rPr>
                <w:del w:id="3378" w:author="AbbVie19" w:date="2025-04-16T10:35:00Z"/>
                <w:szCs w:val="22"/>
                <w:lang w:eastAsia="en-GB"/>
              </w:rPr>
            </w:pPr>
          </w:p>
        </w:tc>
        <w:tc>
          <w:tcPr>
            <w:tcW w:w="2409" w:type="dxa"/>
            <w:tcBorders>
              <w:top w:val="single" w:sz="6" w:space="0" w:color="auto"/>
              <w:left w:val="nil"/>
              <w:bottom w:val="single" w:sz="6" w:space="0" w:color="auto"/>
              <w:right w:val="single" w:sz="6" w:space="0" w:color="auto"/>
            </w:tcBorders>
            <w:vAlign w:val="center"/>
            <w:hideMark/>
          </w:tcPr>
          <w:p w14:paraId="53FF0883" w14:textId="77777777" w:rsidR="009A5A23" w:rsidRPr="004C1E5C" w:rsidRDefault="00944B8F" w:rsidP="0065221F">
            <w:pPr>
              <w:tabs>
                <w:tab w:val="clear" w:pos="562"/>
              </w:tabs>
              <w:suppressAutoHyphens w:val="0"/>
              <w:jc w:val="center"/>
              <w:textAlignment w:val="baseline"/>
              <w:rPr>
                <w:del w:id="3379" w:author="AbbVie19" w:date="2025-04-16T10:35:00Z"/>
                <w:szCs w:val="22"/>
                <w:lang w:eastAsia="en-GB"/>
              </w:rPr>
            </w:pPr>
            <w:del w:id="3380" w:author="AbbVie19" w:date="2025-04-16T10:35:00Z">
              <w:r w:rsidRPr="004C1E5C">
                <w:rPr>
                  <w:b/>
                  <w:bCs/>
                  <w:szCs w:val="22"/>
                  <w:lang w:val="en-US" w:eastAsia="en-GB"/>
                </w:rPr>
                <w:delText>Humira</w:delText>
              </w:r>
              <w:r w:rsidRPr="004C1E5C">
                <w:rPr>
                  <w:b/>
                  <w:szCs w:val="22"/>
                  <w:vertAlign w:val="superscript"/>
                  <w:lang w:val="en-US" w:eastAsia="en-GB"/>
                </w:rPr>
                <w:delText>a</w:delText>
              </w:r>
              <w:r w:rsidRPr="004C1E5C">
                <w:rPr>
                  <w:b/>
                  <w:bCs/>
                  <w:szCs w:val="22"/>
                  <w:lang w:val="en-US" w:eastAsia="en-GB"/>
                </w:rPr>
                <w:delText> </w:delText>
              </w:r>
              <w:r w:rsidRPr="004C1E5C">
                <w:rPr>
                  <w:szCs w:val="22"/>
                  <w:lang w:eastAsia="en-GB"/>
                </w:rPr>
                <w:delText> </w:delText>
              </w:r>
            </w:del>
          </w:p>
          <w:p w14:paraId="79F6623A" w14:textId="77777777" w:rsidR="009A5A23" w:rsidRPr="004C1E5C" w:rsidRDefault="00944B8F" w:rsidP="0065221F">
            <w:pPr>
              <w:tabs>
                <w:tab w:val="clear" w:pos="562"/>
              </w:tabs>
              <w:suppressAutoHyphens w:val="0"/>
              <w:jc w:val="center"/>
              <w:textAlignment w:val="baseline"/>
              <w:rPr>
                <w:del w:id="3381" w:author="AbbVie19" w:date="2025-04-16T10:35:00Z"/>
                <w:szCs w:val="22"/>
                <w:lang w:eastAsia="en-GB"/>
              </w:rPr>
            </w:pPr>
            <w:del w:id="3382" w:author="AbbVie19" w:date="2025-04-16T10:35:00Z">
              <w:r w:rsidRPr="004C1E5C">
                <w:rPr>
                  <w:b/>
                  <w:bCs/>
                  <w:szCs w:val="22"/>
                  <w:lang w:val="en-US" w:eastAsia="en-GB"/>
                </w:rPr>
                <w:delText>Maximum of 40 mg</w:delText>
              </w:r>
              <w:r w:rsidRPr="004C1E5C">
                <w:rPr>
                  <w:szCs w:val="22"/>
                  <w:lang w:eastAsia="en-GB"/>
                </w:rPr>
                <w:delText> </w:delText>
              </w:r>
              <w:r w:rsidRPr="004C1E5C">
                <w:rPr>
                  <w:b/>
                  <w:bCs/>
                  <w:szCs w:val="22"/>
                  <w:lang w:val="en-US" w:eastAsia="en-GB"/>
                </w:rPr>
                <w:delText>eow</w:delText>
              </w:r>
              <w:r w:rsidRPr="004C1E5C">
                <w:rPr>
                  <w:szCs w:val="22"/>
                  <w:lang w:eastAsia="en-GB"/>
                </w:rPr>
                <w:delText> </w:delText>
              </w:r>
            </w:del>
          </w:p>
          <w:p w14:paraId="7C2346B3" w14:textId="77777777" w:rsidR="009A5A23" w:rsidRPr="00245558" w:rsidRDefault="00944B8F" w:rsidP="0065221F">
            <w:pPr>
              <w:tabs>
                <w:tab w:val="clear" w:pos="562"/>
              </w:tabs>
              <w:suppressAutoHyphens w:val="0"/>
              <w:jc w:val="center"/>
              <w:textAlignment w:val="baseline"/>
              <w:rPr>
                <w:del w:id="3383" w:author="AbbVie19" w:date="2025-04-16T10:35:00Z"/>
                <w:szCs w:val="22"/>
                <w:lang w:eastAsia="en-GB"/>
              </w:rPr>
            </w:pPr>
            <w:del w:id="3384" w:author="AbbVie19" w:date="2025-04-16T10:35:00Z">
              <w:r w:rsidRPr="00245558">
                <w:rPr>
                  <w:szCs w:val="22"/>
                  <w:lang w:eastAsia="en-GB"/>
                </w:rPr>
                <w:delText>N=31</w:delText>
              </w:r>
            </w:del>
          </w:p>
        </w:tc>
        <w:tc>
          <w:tcPr>
            <w:tcW w:w="2633" w:type="dxa"/>
            <w:tcBorders>
              <w:top w:val="single" w:sz="6" w:space="0" w:color="auto"/>
              <w:left w:val="nil"/>
              <w:bottom w:val="single" w:sz="6" w:space="0" w:color="auto"/>
              <w:right w:val="single" w:sz="6" w:space="0" w:color="auto"/>
            </w:tcBorders>
            <w:vAlign w:val="center"/>
            <w:hideMark/>
          </w:tcPr>
          <w:p w14:paraId="705C3623" w14:textId="77777777" w:rsidR="009A5A23" w:rsidRPr="004C1E5C" w:rsidRDefault="00944B8F" w:rsidP="0065221F">
            <w:pPr>
              <w:tabs>
                <w:tab w:val="clear" w:pos="562"/>
              </w:tabs>
              <w:suppressAutoHyphens w:val="0"/>
              <w:jc w:val="center"/>
              <w:textAlignment w:val="baseline"/>
              <w:rPr>
                <w:del w:id="3385" w:author="AbbVie19" w:date="2025-04-16T10:35:00Z"/>
                <w:szCs w:val="22"/>
                <w:lang w:eastAsia="en-GB"/>
              </w:rPr>
            </w:pPr>
            <w:del w:id="3386" w:author="AbbVie19" w:date="2025-04-16T10:35:00Z">
              <w:r w:rsidRPr="004C1E5C">
                <w:rPr>
                  <w:b/>
                  <w:bCs/>
                  <w:szCs w:val="22"/>
                  <w:lang w:val="en-US" w:eastAsia="en-GB"/>
                </w:rPr>
                <w:delText>Humira</w:delText>
              </w:r>
              <w:r w:rsidRPr="004C1E5C">
                <w:rPr>
                  <w:b/>
                  <w:szCs w:val="22"/>
                  <w:vertAlign w:val="superscript"/>
                  <w:lang w:val="en-US" w:eastAsia="en-GB"/>
                </w:rPr>
                <w:delText>b</w:delText>
              </w:r>
              <w:r w:rsidRPr="004C1E5C">
                <w:rPr>
                  <w:b/>
                  <w:bCs/>
                  <w:szCs w:val="22"/>
                  <w:lang w:val="en-US" w:eastAsia="en-GB"/>
                </w:rPr>
                <w:delText> </w:delText>
              </w:r>
              <w:r w:rsidRPr="004C1E5C">
                <w:rPr>
                  <w:szCs w:val="22"/>
                  <w:lang w:eastAsia="en-GB"/>
                </w:rPr>
                <w:delText> </w:delText>
              </w:r>
            </w:del>
          </w:p>
          <w:p w14:paraId="1C95D953" w14:textId="77777777" w:rsidR="009A5A23" w:rsidRPr="004C1E5C" w:rsidRDefault="00944B8F" w:rsidP="0065221F">
            <w:pPr>
              <w:tabs>
                <w:tab w:val="clear" w:pos="562"/>
              </w:tabs>
              <w:suppressAutoHyphens w:val="0"/>
              <w:jc w:val="center"/>
              <w:textAlignment w:val="baseline"/>
              <w:rPr>
                <w:del w:id="3387" w:author="AbbVie19" w:date="2025-04-16T10:35:00Z"/>
                <w:szCs w:val="22"/>
                <w:lang w:eastAsia="en-GB"/>
              </w:rPr>
            </w:pPr>
            <w:del w:id="3388" w:author="AbbVie19" w:date="2025-04-16T10:35:00Z">
              <w:r w:rsidRPr="004C1E5C">
                <w:rPr>
                  <w:b/>
                  <w:bCs/>
                  <w:szCs w:val="22"/>
                  <w:lang w:val="en-US" w:eastAsia="en-GB"/>
                </w:rPr>
                <w:delText>Maximum of 40 mg</w:delText>
              </w:r>
              <w:r w:rsidRPr="004C1E5C">
                <w:rPr>
                  <w:szCs w:val="22"/>
                  <w:lang w:eastAsia="en-GB"/>
                </w:rPr>
                <w:delText> </w:delText>
              </w:r>
              <w:r w:rsidRPr="004C1E5C">
                <w:rPr>
                  <w:b/>
                  <w:bCs/>
                  <w:szCs w:val="22"/>
                  <w:lang w:val="en-US" w:eastAsia="en-GB"/>
                </w:rPr>
                <w:delText>ew</w:delText>
              </w:r>
              <w:r w:rsidRPr="004C1E5C">
                <w:rPr>
                  <w:szCs w:val="22"/>
                  <w:lang w:eastAsia="en-GB"/>
                </w:rPr>
                <w:delText> </w:delText>
              </w:r>
            </w:del>
          </w:p>
          <w:p w14:paraId="3BBEFB53" w14:textId="77777777" w:rsidR="009A5A23" w:rsidRPr="00245558" w:rsidRDefault="00944B8F" w:rsidP="0065221F">
            <w:pPr>
              <w:tabs>
                <w:tab w:val="clear" w:pos="562"/>
              </w:tabs>
              <w:suppressAutoHyphens w:val="0"/>
              <w:jc w:val="center"/>
              <w:textAlignment w:val="baseline"/>
              <w:rPr>
                <w:del w:id="3389" w:author="AbbVie19" w:date="2025-04-16T10:35:00Z"/>
                <w:szCs w:val="22"/>
                <w:lang w:eastAsia="en-GB"/>
              </w:rPr>
            </w:pPr>
            <w:del w:id="3390" w:author="AbbVie19" w:date="2025-04-16T10:35:00Z">
              <w:r w:rsidRPr="00245558">
                <w:rPr>
                  <w:szCs w:val="22"/>
                  <w:lang w:eastAsia="en-GB"/>
                </w:rPr>
                <w:delText>N=31</w:delText>
              </w:r>
            </w:del>
          </w:p>
        </w:tc>
      </w:tr>
      <w:tr w:rsidR="00C6578C" w14:paraId="788DC6AF" w14:textId="77777777" w:rsidTr="0065221F">
        <w:trPr>
          <w:trHeight w:val="570"/>
          <w:jc w:val="center"/>
          <w:del w:id="3391" w:author="AbbVie19" w:date="2025-04-16T10:35:00Z"/>
        </w:trPr>
        <w:tc>
          <w:tcPr>
            <w:tcW w:w="2526" w:type="dxa"/>
            <w:tcBorders>
              <w:top w:val="nil"/>
              <w:left w:val="single" w:sz="6" w:space="0" w:color="auto"/>
              <w:bottom w:val="single" w:sz="6" w:space="0" w:color="auto"/>
              <w:right w:val="single" w:sz="6" w:space="0" w:color="auto"/>
            </w:tcBorders>
            <w:vAlign w:val="center"/>
            <w:hideMark/>
          </w:tcPr>
          <w:p w14:paraId="635A8459" w14:textId="77777777" w:rsidR="009A5A23" w:rsidRPr="004A7E7E" w:rsidRDefault="00944B8F" w:rsidP="0065221F">
            <w:pPr>
              <w:tabs>
                <w:tab w:val="clear" w:pos="562"/>
              </w:tabs>
              <w:suppressAutoHyphens w:val="0"/>
              <w:textAlignment w:val="baseline"/>
              <w:rPr>
                <w:del w:id="3392" w:author="AbbVie19" w:date="2025-04-16T10:35:00Z"/>
                <w:szCs w:val="22"/>
                <w:lang w:eastAsia="en-GB"/>
              </w:rPr>
            </w:pPr>
            <w:del w:id="3393" w:author="AbbVie19" w:date="2025-04-16T10:35:00Z">
              <w:r w:rsidRPr="004A7E7E">
                <w:rPr>
                  <w:szCs w:val="22"/>
                  <w:lang w:val="en-US" w:eastAsia="en-GB"/>
                </w:rPr>
                <w:delText>Clinical remission in Week 8 PMS responders</w:delText>
              </w:r>
              <w:r w:rsidRPr="004A7E7E">
                <w:rPr>
                  <w:szCs w:val="22"/>
                  <w:lang w:eastAsia="en-GB"/>
                </w:rPr>
                <w:delText> </w:delText>
              </w:r>
            </w:del>
          </w:p>
        </w:tc>
        <w:tc>
          <w:tcPr>
            <w:tcW w:w="2409" w:type="dxa"/>
            <w:tcBorders>
              <w:top w:val="nil"/>
              <w:left w:val="nil"/>
              <w:bottom w:val="single" w:sz="6" w:space="0" w:color="auto"/>
              <w:right w:val="single" w:sz="6" w:space="0" w:color="auto"/>
            </w:tcBorders>
            <w:vAlign w:val="center"/>
            <w:hideMark/>
          </w:tcPr>
          <w:p w14:paraId="2294260C" w14:textId="77777777" w:rsidR="009A5A23" w:rsidRPr="004A7E7E" w:rsidRDefault="00944B8F" w:rsidP="0065221F">
            <w:pPr>
              <w:tabs>
                <w:tab w:val="clear" w:pos="562"/>
              </w:tabs>
              <w:suppressAutoHyphens w:val="0"/>
              <w:jc w:val="center"/>
              <w:textAlignment w:val="baseline"/>
              <w:rPr>
                <w:del w:id="3394" w:author="AbbVie19" w:date="2025-04-16T10:35:00Z"/>
                <w:szCs w:val="22"/>
                <w:lang w:eastAsia="en-GB"/>
              </w:rPr>
            </w:pPr>
            <w:del w:id="3395" w:author="AbbVie19" w:date="2025-04-16T10:35:00Z">
              <w:r w:rsidRPr="004A7E7E">
                <w:rPr>
                  <w:szCs w:val="22"/>
                  <w:lang w:val="en-US" w:eastAsia="en-GB"/>
                </w:rPr>
                <w:delText>9/31 (29.0%)</w:delText>
              </w:r>
              <w:r w:rsidRPr="004A7E7E">
                <w:rPr>
                  <w:szCs w:val="22"/>
                  <w:lang w:eastAsia="en-GB"/>
                </w:rPr>
                <w:delText> </w:delText>
              </w:r>
            </w:del>
          </w:p>
        </w:tc>
        <w:tc>
          <w:tcPr>
            <w:tcW w:w="2633" w:type="dxa"/>
            <w:tcBorders>
              <w:top w:val="nil"/>
              <w:left w:val="nil"/>
              <w:bottom w:val="single" w:sz="6" w:space="0" w:color="auto"/>
              <w:right w:val="single" w:sz="6" w:space="0" w:color="auto"/>
            </w:tcBorders>
            <w:vAlign w:val="center"/>
            <w:hideMark/>
          </w:tcPr>
          <w:p w14:paraId="28845A6D" w14:textId="77777777" w:rsidR="009A5A23" w:rsidRPr="004A7E7E" w:rsidRDefault="00944B8F" w:rsidP="0065221F">
            <w:pPr>
              <w:tabs>
                <w:tab w:val="clear" w:pos="562"/>
              </w:tabs>
              <w:suppressAutoHyphens w:val="0"/>
              <w:jc w:val="center"/>
              <w:textAlignment w:val="baseline"/>
              <w:rPr>
                <w:del w:id="3396" w:author="AbbVie19" w:date="2025-04-16T10:35:00Z"/>
                <w:szCs w:val="22"/>
                <w:lang w:eastAsia="en-GB"/>
              </w:rPr>
            </w:pPr>
            <w:del w:id="3397" w:author="AbbVie19" w:date="2025-04-16T10:35:00Z">
              <w:r w:rsidRPr="004A7E7E">
                <w:rPr>
                  <w:szCs w:val="22"/>
                  <w:lang w:val="en-US" w:eastAsia="en-GB"/>
                </w:rPr>
                <w:delText>14/31 (45.2%)</w:delText>
              </w:r>
            </w:del>
          </w:p>
        </w:tc>
      </w:tr>
      <w:tr w:rsidR="00C6578C" w14:paraId="37DA5E2B" w14:textId="77777777" w:rsidTr="0065221F">
        <w:trPr>
          <w:trHeight w:val="555"/>
          <w:jc w:val="center"/>
          <w:del w:id="3398" w:author="AbbVie19" w:date="2025-04-16T10:35:00Z"/>
        </w:trPr>
        <w:tc>
          <w:tcPr>
            <w:tcW w:w="2526" w:type="dxa"/>
            <w:tcBorders>
              <w:top w:val="nil"/>
              <w:left w:val="single" w:sz="6" w:space="0" w:color="auto"/>
              <w:bottom w:val="single" w:sz="6" w:space="0" w:color="auto"/>
              <w:right w:val="single" w:sz="6" w:space="0" w:color="auto"/>
            </w:tcBorders>
            <w:vAlign w:val="center"/>
            <w:hideMark/>
          </w:tcPr>
          <w:p w14:paraId="720C2587" w14:textId="77777777" w:rsidR="009A5A23" w:rsidRPr="004A7E7E" w:rsidRDefault="00944B8F" w:rsidP="0065221F">
            <w:pPr>
              <w:tabs>
                <w:tab w:val="clear" w:pos="562"/>
              </w:tabs>
              <w:suppressAutoHyphens w:val="0"/>
              <w:textAlignment w:val="baseline"/>
              <w:rPr>
                <w:del w:id="3399" w:author="AbbVie19" w:date="2025-04-16T10:35:00Z"/>
                <w:szCs w:val="22"/>
                <w:lang w:eastAsia="en-GB"/>
              </w:rPr>
            </w:pPr>
            <w:del w:id="3400" w:author="AbbVie19" w:date="2025-04-16T10:35:00Z">
              <w:r w:rsidRPr="004A7E7E">
                <w:rPr>
                  <w:szCs w:val="22"/>
                  <w:lang w:val="en-US" w:eastAsia="en-GB"/>
                </w:rPr>
                <w:delText>Clinical response in Week 8 PMS responders</w:delText>
              </w:r>
              <w:r w:rsidRPr="004A7E7E">
                <w:rPr>
                  <w:szCs w:val="22"/>
                  <w:lang w:eastAsia="en-GB"/>
                </w:rPr>
                <w:delText> </w:delText>
              </w:r>
            </w:del>
          </w:p>
        </w:tc>
        <w:tc>
          <w:tcPr>
            <w:tcW w:w="2409" w:type="dxa"/>
            <w:tcBorders>
              <w:top w:val="nil"/>
              <w:left w:val="nil"/>
              <w:bottom w:val="single" w:sz="6" w:space="0" w:color="auto"/>
              <w:right w:val="single" w:sz="6" w:space="0" w:color="auto"/>
            </w:tcBorders>
            <w:vAlign w:val="center"/>
            <w:hideMark/>
          </w:tcPr>
          <w:p w14:paraId="570892EB" w14:textId="77777777" w:rsidR="009A5A23" w:rsidRPr="004A7E7E" w:rsidRDefault="00944B8F" w:rsidP="0065221F">
            <w:pPr>
              <w:tabs>
                <w:tab w:val="clear" w:pos="562"/>
              </w:tabs>
              <w:suppressAutoHyphens w:val="0"/>
              <w:jc w:val="center"/>
              <w:textAlignment w:val="baseline"/>
              <w:rPr>
                <w:del w:id="3401" w:author="AbbVie19" w:date="2025-04-16T10:35:00Z"/>
                <w:szCs w:val="22"/>
                <w:lang w:eastAsia="en-GB"/>
              </w:rPr>
            </w:pPr>
            <w:del w:id="3402" w:author="AbbVie19" w:date="2025-04-16T10:35:00Z">
              <w:r w:rsidRPr="004A7E7E">
                <w:rPr>
                  <w:szCs w:val="22"/>
                  <w:lang w:val="en-US" w:eastAsia="en-GB"/>
                </w:rPr>
                <w:delText>19/31 (61.3%)</w:delText>
              </w:r>
              <w:r w:rsidRPr="004A7E7E">
                <w:rPr>
                  <w:szCs w:val="22"/>
                  <w:lang w:eastAsia="en-GB"/>
                </w:rPr>
                <w:delText> </w:delText>
              </w:r>
            </w:del>
          </w:p>
        </w:tc>
        <w:tc>
          <w:tcPr>
            <w:tcW w:w="2633" w:type="dxa"/>
            <w:tcBorders>
              <w:top w:val="nil"/>
              <w:left w:val="nil"/>
              <w:bottom w:val="single" w:sz="6" w:space="0" w:color="auto"/>
              <w:right w:val="single" w:sz="6" w:space="0" w:color="auto"/>
            </w:tcBorders>
            <w:vAlign w:val="center"/>
            <w:hideMark/>
          </w:tcPr>
          <w:p w14:paraId="7EF92A58" w14:textId="77777777" w:rsidR="009A5A23" w:rsidRPr="004A7E7E" w:rsidRDefault="00944B8F" w:rsidP="0065221F">
            <w:pPr>
              <w:tabs>
                <w:tab w:val="clear" w:pos="562"/>
              </w:tabs>
              <w:suppressAutoHyphens w:val="0"/>
              <w:jc w:val="center"/>
              <w:textAlignment w:val="baseline"/>
              <w:rPr>
                <w:del w:id="3403" w:author="AbbVie19" w:date="2025-04-16T10:35:00Z"/>
                <w:szCs w:val="22"/>
                <w:lang w:eastAsia="en-GB"/>
              </w:rPr>
            </w:pPr>
            <w:del w:id="3404" w:author="AbbVie19" w:date="2025-04-16T10:35:00Z">
              <w:r w:rsidRPr="004A7E7E">
                <w:rPr>
                  <w:szCs w:val="22"/>
                  <w:lang w:val="en-US" w:eastAsia="en-GB"/>
                </w:rPr>
                <w:delText>21/31 (67.7%)</w:delText>
              </w:r>
              <w:r w:rsidRPr="004A7E7E">
                <w:rPr>
                  <w:szCs w:val="22"/>
                  <w:lang w:eastAsia="en-GB"/>
                </w:rPr>
                <w:delText> </w:delText>
              </w:r>
            </w:del>
          </w:p>
        </w:tc>
      </w:tr>
      <w:tr w:rsidR="00C6578C" w14:paraId="2F5A992D" w14:textId="77777777" w:rsidTr="0065221F">
        <w:trPr>
          <w:jc w:val="center"/>
          <w:del w:id="3405" w:author="AbbVie19" w:date="2025-04-16T10:35:00Z"/>
        </w:trPr>
        <w:tc>
          <w:tcPr>
            <w:tcW w:w="2526" w:type="dxa"/>
            <w:tcBorders>
              <w:top w:val="nil"/>
              <w:left w:val="single" w:sz="6" w:space="0" w:color="auto"/>
              <w:bottom w:val="single" w:sz="6" w:space="0" w:color="auto"/>
              <w:right w:val="single" w:sz="6" w:space="0" w:color="auto"/>
            </w:tcBorders>
            <w:vAlign w:val="center"/>
            <w:hideMark/>
          </w:tcPr>
          <w:p w14:paraId="4F5B5630" w14:textId="77777777" w:rsidR="009A5A23" w:rsidRPr="004A7E7E" w:rsidRDefault="00944B8F" w:rsidP="0065221F">
            <w:pPr>
              <w:tabs>
                <w:tab w:val="clear" w:pos="562"/>
              </w:tabs>
              <w:suppressAutoHyphens w:val="0"/>
              <w:textAlignment w:val="baseline"/>
              <w:rPr>
                <w:del w:id="3406" w:author="AbbVie19" w:date="2025-04-16T10:35:00Z"/>
                <w:szCs w:val="22"/>
                <w:lang w:eastAsia="en-GB"/>
              </w:rPr>
            </w:pPr>
            <w:del w:id="3407" w:author="AbbVie19" w:date="2025-04-16T10:35:00Z">
              <w:r w:rsidRPr="004A7E7E">
                <w:rPr>
                  <w:szCs w:val="22"/>
                  <w:lang w:val="en-US" w:eastAsia="en-GB"/>
                </w:rPr>
                <w:delText>Mucosal healing in Week 8 PMS responders</w:delText>
              </w:r>
              <w:r w:rsidRPr="004A7E7E">
                <w:rPr>
                  <w:szCs w:val="22"/>
                  <w:lang w:eastAsia="en-GB"/>
                </w:rPr>
                <w:delText> </w:delText>
              </w:r>
            </w:del>
          </w:p>
        </w:tc>
        <w:tc>
          <w:tcPr>
            <w:tcW w:w="2409" w:type="dxa"/>
            <w:tcBorders>
              <w:top w:val="nil"/>
              <w:left w:val="nil"/>
              <w:bottom w:val="single" w:sz="6" w:space="0" w:color="auto"/>
              <w:right w:val="single" w:sz="6" w:space="0" w:color="auto"/>
            </w:tcBorders>
            <w:vAlign w:val="center"/>
            <w:hideMark/>
          </w:tcPr>
          <w:p w14:paraId="7E063C9C" w14:textId="77777777" w:rsidR="009A5A23" w:rsidRPr="004A7E7E" w:rsidRDefault="00944B8F" w:rsidP="0065221F">
            <w:pPr>
              <w:tabs>
                <w:tab w:val="clear" w:pos="562"/>
              </w:tabs>
              <w:suppressAutoHyphens w:val="0"/>
              <w:jc w:val="center"/>
              <w:textAlignment w:val="baseline"/>
              <w:rPr>
                <w:del w:id="3408" w:author="AbbVie19" w:date="2025-04-16T10:35:00Z"/>
                <w:szCs w:val="22"/>
                <w:lang w:eastAsia="en-GB"/>
              </w:rPr>
            </w:pPr>
            <w:del w:id="3409" w:author="AbbVie19" w:date="2025-04-16T10:35:00Z">
              <w:r w:rsidRPr="004A7E7E">
                <w:rPr>
                  <w:szCs w:val="22"/>
                  <w:lang w:val="en-US" w:eastAsia="en-GB"/>
                </w:rPr>
                <w:delText>12/31 (38.7%)</w:delText>
              </w:r>
              <w:r w:rsidRPr="004A7E7E">
                <w:rPr>
                  <w:szCs w:val="22"/>
                  <w:lang w:eastAsia="en-GB"/>
                </w:rPr>
                <w:delText> </w:delText>
              </w:r>
            </w:del>
          </w:p>
        </w:tc>
        <w:tc>
          <w:tcPr>
            <w:tcW w:w="2633" w:type="dxa"/>
            <w:tcBorders>
              <w:top w:val="nil"/>
              <w:left w:val="nil"/>
              <w:bottom w:val="single" w:sz="6" w:space="0" w:color="auto"/>
              <w:right w:val="single" w:sz="6" w:space="0" w:color="auto"/>
            </w:tcBorders>
            <w:vAlign w:val="center"/>
            <w:hideMark/>
          </w:tcPr>
          <w:p w14:paraId="50503052" w14:textId="77777777" w:rsidR="009A5A23" w:rsidRPr="004A7E7E" w:rsidRDefault="00944B8F" w:rsidP="0065221F">
            <w:pPr>
              <w:tabs>
                <w:tab w:val="clear" w:pos="562"/>
              </w:tabs>
              <w:suppressAutoHyphens w:val="0"/>
              <w:jc w:val="center"/>
              <w:textAlignment w:val="baseline"/>
              <w:rPr>
                <w:del w:id="3410" w:author="AbbVie19" w:date="2025-04-16T10:35:00Z"/>
                <w:szCs w:val="22"/>
                <w:lang w:eastAsia="en-GB"/>
              </w:rPr>
            </w:pPr>
            <w:del w:id="3411" w:author="AbbVie19" w:date="2025-04-16T10:35:00Z">
              <w:r w:rsidRPr="004A7E7E">
                <w:rPr>
                  <w:szCs w:val="22"/>
                  <w:lang w:val="en-US" w:eastAsia="en-GB"/>
                </w:rPr>
                <w:delText>16/31 (51.6%)</w:delText>
              </w:r>
              <w:r w:rsidRPr="004A7E7E">
                <w:rPr>
                  <w:szCs w:val="22"/>
                  <w:lang w:eastAsia="en-GB"/>
                </w:rPr>
                <w:delText> </w:delText>
              </w:r>
            </w:del>
          </w:p>
        </w:tc>
      </w:tr>
      <w:tr w:rsidR="00C6578C" w14:paraId="01CADD73" w14:textId="77777777" w:rsidTr="0065221F">
        <w:trPr>
          <w:jc w:val="center"/>
          <w:del w:id="3412" w:author="AbbVie19" w:date="2025-04-16T10:35:00Z"/>
        </w:trPr>
        <w:tc>
          <w:tcPr>
            <w:tcW w:w="2526" w:type="dxa"/>
            <w:tcBorders>
              <w:top w:val="nil"/>
              <w:left w:val="single" w:sz="6" w:space="0" w:color="auto"/>
              <w:bottom w:val="single" w:sz="6" w:space="0" w:color="auto"/>
              <w:right w:val="single" w:sz="6" w:space="0" w:color="auto"/>
            </w:tcBorders>
            <w:vAlign w:val="center"/>
            <w:hideMark/>
          </w:tcPr>
          <w:p w14:paraId="41B30F97" w14:textId="77777777" w:rsidR="009A5A23" w:rsidRPr="004A7E7E" w:rsidRDefault="00944B8F" w:rsidP="0065221F">
            <w:pPr>
              <w:tabs>
                <w:tab w:val="clear" w:pos="562"/>
              </w:tabs>
              <w:suppressAutoHyphens w:val="0"/>
              <w:textAlignment w:val="baseline"/>
              <w:rPr>
                <w:del w:id="3413" w:author="AbbVie19" w:date="2025-04-16T10:35:00Z"/>
                <w:szCs w:val="22"/>
                <w:lang w:eastAsia="en-GB"/>
              </w:rPr>
            </w:pPr>
            <w:del w:id="3414" w:author="AbbVie19" w:date="2025-04-16T10:35:00Z">
              <w:r w:rsidRPr="004A7E7E">
                <w:rPr>
                  <w:szCs w:val="22"/>
                  <w:lang w:val="en-US" w:eastAsia="en-GB"/>
                </w:rPr>
                <w:delText>Clinical remission in Week 8 PMS remitters</w:delText>
              </w:r>
              <w:r w:rsidRPr="004A7E7E">
                <w:rPr>
                  <w:szCs w:val="22"/>
                  <w:lang w:eastAsia="en-GB"/>
                </w:rPr>
                <w:delText> </w:delText>
              </w:r>
            </w:del>
          </w:p>
        </w:tc>
        <w:tc>
          <w:tcPr>
            <w:tcW w:w="2409" w:type="dxa"/>
            <w:tcBorders>
              <w:top w:val="nil"/>
              <w:left w:val="nil"/>
              <w:bottom w:val="single" w:sz="6" w:space="0" w:color="auto"/>
              <w:right w:val="single" w:sz="6" w:space="0" w:color="auto"/>
            </w:tcBorders>
            <w:vAlign w:val="center"/>
            <w:hideMark/>
          </w:tcPr>
          <w:p w14:paraId="0D69EF32" w14:textId="77777777" w:rsidR="009A5A23" w:rsidRPr="004A7E7E" w:rsidRDefault="00944B8F" w:rsidP="0065221F">
            <w:pPr>
              <w:tabs>
                <w:tab w:val="clear" w:pos="562"/>
              </w:tabs>
              <w:suppressAutoHyphens w:val="0"/>
              <w:jc w:val="center"/>
              <w:textAlignment w:val="baseline"/>
              <w:rPr>
                <w:del w:id="3415" w:author="AbbVie19" w:date="2025-04-16T10:35:00Z"/>
                <w:szCs w:val="22"/>
                <w:lang w:eastAsia="en-GB"/>
              </w:rPr>
            </w:pPr>
            <w:del w:id="3416" w:author="AbbVie19" w:date="2025-04-16T10:35:00Z">
              <w:r w:rsidRPr="004A7E7E">
                <w:rPr>
                  <w:szCs w:val="22"/>
                  <w:lang w:val="en-US" w:eastAsia="en-GB"/>
                </w:rPr>
                <w:delText>9/21 (42.9%)</w:delText>
              </w:r>
              <w:r w:rsidRPr="004A7E7E">
                <w:rPr>
                  <w:szCs w:val="22"/>
                  <w:lang w:eastAsia="en-GB"/>
                </w:rPr>
                <w:delText> </w:delText>
              </w:r>
            </w:del>
          </w:p>
        </w:tc>
        <w:tc>
          <w:tcPr>
            <w:tcW w:w="2633" w:type="dxa"/>
            <w:tcBorders>
              <w:top w:val="nil"/>
              <w:left w:val="nil"/>
              <w:bottom w:val="single" w:sz="6" w:space="0" w:color="auto"/>
              <w:right w:val="single" w:sz="6" w:space="0" w:color="auto"/>
            </w:tcBorders>
            <w:vAlign w:val="center"/>
            <w:hideMark/>
          </w:tcPr>
          <w:p w14:paraId="340A14C0" w14:textId="77777777" w:rsidR="009A5A23" w:rsidRPr="004A7E7E" w:rsidRDefault="00944B8F" w:rsidP="0065221F">
            <w:pPr>
              <w:tabs>
                <w:tab w:val="clear" w:pos="562"/>
              </w:tabs>
              <w:suppressAutoHyphens w:val="0"/>
              <w:jc w:val="center"/>
              <w:textAlignment w:val="baseline"/>
              <w:rPr>
                <w:del w:id="3417" w:author="AbbVie19" w:date="2025-04-16T10:35:00Z"/>
                <w:szCs w:val="22"/>
                <w:lang w:eastAsia="en-GB"/>
              </w:rPr>
            </w:pPr>
            <w:del w:id="3418" w:author="AbbVie19" w:date="2025-04-16T10:35:00Z">
              <w:r w:rsidRPr="004A7E7E">
                <w:rPr>
                  <w:szCs w:val="22"/>
                  <w:lang w:val="en-US" w:eastAsia="en-GB"/>
                </w:rPr>
                <w:delText>10/22 (45.5%)</w:delText>
              </w:r>
              <w:r w:rsidRPr="004A7E7E">
                <w:rPr>
                  <w:szCs w:val="22"/>
                  <w:lang w:eastAsia="en-GB"/>
                </w:rPr>
                <w:delText> </w:delText>
              </w:r>
            </w:del>
          </w:p>
        </w:tc>
      </w:tr>
      <w:tr w:rsidR="00C6578C" w14:paraId="02D75A18" w14:textId="77777777" w:rsidTr="0065221F">
        <w:trPr>
          <w:jc w:val="center"/>
          <w:del w:id="3419" w:author="AbbVie19" w:date="2025-04-16T10:35:00Z"/>
        </w:trPr>
        <w:tc>
          <w:tcPr>
            <w:tcW w:w="2526" w:type="dxa"/>
            <w:tcBorders>
              <w:top w:val="nil"/>
              <w:left w:val="single" w:sz="6" w:space="0" w:color="auto"/>
              <w:bottom w:val="single" w:sz="6" w:space="0" w:color="auto"/>
              <w:right w:val="single" w:sz="6" w:space="0" w:color="auto"/>
            </w:tcBorders>
            <w:vAlign w:val="center"/>
            <w:hideMark/>
          </w:tcPr>
          <w:p w14:paraId="5E9E3421" w14:textId="77777777" w:rsidR="009A5A23" w:rsidRPr="004A7E7E" w:rsidRDefault="00944B8F" w:rsidP="0065221F">
            <w:pPr>
              <w:tabs>
                <w:tab w:val="clear" w:pos="562"/>
              </w:tabs>
              <w:suppressAutoHyphens w:val="0"/>
              <w:textAlignment w:val="baseline"/>
              <w:rPr>
                <w:del w:id="3420" w:author="AbbVie19" w:date="2025-04-16T10:35:00Z"/>
                <w:szCs w:val="22"/>
                <w:lang w:eastAsia="en-GB"/>
              </w:rPr>
            </w:pPr>
            <w:del w:id="3421" w:author="AbbVie19" w:date="2025-04-16T10:35:00Z">
              <w:r w:rsidRPr="004A7E7E">
                <w:rPr>
                  <w:szCs w:val="22"/>
                  <w:lang w:val="en-US" w:eastAsia="en-GB"/>
                </w:rPr>
                <w:delText>Corticosteroid-free remission in Week 8 PMS responders</w:delText>
              </w:r>
              <w:r>
                <w:rPr>
                  <w:szCs w:val="22"/>
                  <w:vertAlign w:val="superscript"/>
                  <w:lang w:val="en-US" w:eastAsia="en-GB"/>
                </w:rPr>
                <w:delText>c</w:delText>
              </w:r>
              <w:r w:rsidRPr="004A7E7E">
                <w:rPr>
                  <w:szCs w:val="22"/>
                  <w:lang w:eastAsia="en-GB"/>
                </w:rPr>
                <w:delText> </w:delText>
              </w:r>
            </w:del>
          </w:p>
        </w:tc>
        <w:tc>
          <w:tcPr>
            <w:tcW w:w="2409" w:type="dxa"/>
            <w:tcBorders>
              <w:top w:val="nil"/>
              <w:left w:val="nil"/>
              <w:bottom w:val="single" w:sz="6" w:space="0" w:color="auto"/>
              <w:right w:val="single" w:sz="6" w:space="0" w:color="auto"/>
            </w:tcBorders>
            <w:vAlign w:val="center"/>
            <w:hideMark/>
          </w:tcPr>
          <w:p w14:paraId="7642CE66" w14:textId="77777777" w:rsidR="009A5A23" w:rsidRPr="004A7E7E" w:rsidRDefault="00944B8F" w:rsidP="0065221F">
            <w:pPr>
              <w:tabs>
                <w:tab w:val="clear" w:pos="562"/>
              </w:tabs>
              <w:suppressAutoHyphens w:val="0"/>
              <w:jc w:val="center"/>
              <w:textAlignment w:val="baseline"/>
              <w:rPr>
                <w:del w:id="3422" w:author="AbbVie19" w:date="2025-04-16T10:35:00Z"/>
                <w:szCs w:val="22"/>
                <w:lang w:eastAsia="en-GB"/>
              </w:rPr>
            </w:pPr>
            <w:del w:id="3423" w:author="AbbVie19" w:date="2025-04-16T10:35:00Z">
              <w:r w:rsidRPr="004A7E7E">
                <w:rPr>
                  <w:szCs w:val="22"/>
                  <w:lang w:val="en-US" w:eastAsia="en-GB"/>
                </w:rPr>
                <w:delText>4/13 (30.8%)</w:delText>
              </w:r>
              <w:r w:rsidRPr="004A7E7E">
                <w:rPr>
                  <w:szCs w:val="22"/>
                  <w:lang w:eastAsia="en-GB"/>
                </w:rPr>
                <w:delText> </w:delText>
              </w:r>
            </w:del>
          </w:p>
        </w:tc>
        <w:tc>
          <w:tcPr>
            <w:tcW w:w="2633" w:type="dxa"/>
            <w:tcBorders>
              <w:top w:val="nil"/>
              <w:left w:val="nil"/>
              <w:bottom w:val="single" w:sz="6" w:space="0" w:color="auto"/>
              <w:right w:val="single" w:sz="6" w:space="0" w:color="auto"/>
            </w:tcBorders>
            <w:vAlign w:val="center"/>
            <w:hideMark/>
          </w:tcPr>
          <w:p w14:paraId="7BF50BEC" w14:textId="77777777" w:rsidR="009A5A23" w:rsidRPr="004A7E7E" w:rsidRDefault="00944B8F" w:rsidP="0065221F">
            <w:pPr>
              <w:tabs>
                <w:tab w:val="clear" w:pos="562"/>
              </w:tabs>
              <w:suppressAutoHyphens w:val="0"/>
              <w:jc w:val="center"/>
              <w:textAlignment w:val="baseline"/>
              <w:rPr>
                <w:del w:id="3424" w:author="AbbVie19" w:date="2025-04-16T10:35:00Z"/>
                <w:szCs w:val="22"/>
                <w:lang w:eastAsia="en-GB"/>
              </w:rPr>
            </w:pPr>
            <w:del w:id="3425" w:author="AbbVie19" w:date="2025-04-16T10:35:00Z">
              <w:r w:rsidRPr="004A7E7E">
                <w:rPr>
                  <w:szCs w:val="22"/>
                  <w:lang w:val="en-US" w:eastAsia="en-GB"/>
                </w:rPr>
                <w:delText>5/16 (31.3%)</w:delText>
              </w:r>
              <w:r w:rsidRPr="004A7E7E">
                <w:rPr>
                  <w:szCs w:val="22"/>
                  <w:lang w:eastAsia="en-GB"/>
                </w:rPr>
                <w:delText> </w:delText>
              </w:r>
            </w:del>
          </w:p>
        </w:tc>
      </w:tr>
      <w:tr w:rsidR="00C6578C" w14:paraId="480124A0" w14:textId="77777777" w:rsidTr="0065221F">
        <w:trPr>
          <w:jc w:val="center"/>
          <w:del w:id="3426" w:author="AbbVie19" w:date="2025-04-16T10:35:00Z"/>
        </w:trPr>
        <w:tc>
          <w:tcPr>
            <w:tcW w:w="7568" w:type="dxa"/>
            <w:gridSpan w:val="3"/>
            <w:tcBorders>
              <w:top w:val="nil"/>
              <w:left w:val="single" w:sz="6" w:space="0" w:color="auto"/>
              <w:bottom w:val="single" w:sz="6" w:space="0" w:color="auto"/>
              <w:right w:val="single" w:sz="6" w:space="0" w:color="auto"/>
            </w:tcBorders>
            <w:hideMark/>
          </w:tcPr>
          <w:p w14:paraId="1AA7F9DA" w14:textId="77777777" w:rsidR="009A5A23" w:rsidRPr="004A7E7E" w:rsidRDefault="00944B8F" w:rsidP="0065221F">
            <w:pPr>
              <w:tabs>
                <w:tab w:val="clear" w:pos="562"/>
              </w:tabs>
              <w:suppressAutoHyphens w:val="0"/>
              <w:textAlignment w:val="baseline"/>
              <w:rPr>
                <w:del w:id="3427" w:author="AbbVie19" w:date="2025-04-16T10:35:00Z"/>
                <w:szCs w:val="22"/>
                <w:lang w:eastAsia="en-GB"/>
              </w:rPr>
            </w:pPr>
            <w:del w:id="3428" w:author="AbbVie19" w:date="2025-04-16T10:35:00Z">
              <w:r w:rsidRPr="004A7E7E">
                <w:rPr>
                  <w:szCs w:val="22"/>
                  <w:vertAlign w:val="superscript"/>
                  <w:lang w:val="en-US" w:eastAsia="en-GB"/>
                </w:rPr>
                <w:delText>a </w:delText>
              </w:r>
              <w:r w:rsidRPr="004A7E7E">
                <w:rPr>
                  <w:szCs w:val="22"/>
                  <w:lang w:val="en-US" w:eastAsia="en-GB"/>
                </w:rPr>
                <w:delText>Humira 0.6 mg/kg (maximum of 40 mg) every other week</w:delText>
              </w:r>
              <w:r w:rsidRPr="004A7E7E">
                <w:rPr>
                  <w:szCs w:val="22"/>
                  <w:lang w:eastAsia="en-GB"/>
                </w:rPr>
                <w:delText> </w:delText>
              </w:r>
            </w:del>
          </w:p>
          <w:p w14:paraId="3928DD57" w14:textId="77777777" w:rsidR="009A5A23" w:rsidRPr="004A7E7E" w:rsidRDefault="00944B8F" w:rsidP="0065221F">
            <w:pPr>
              <w:tabs>
                <w:tab w:val="clear" w:pos="562"/>
              </w:tabs>
              <w:suppressAutoHyphens w:val="0"/>
              <w:textAlignment w:val="baseline"/>
              <w:rPr>
                <w:del w:id="3429" w:author="AbbVie19" w:date="2025-04-16T10:35:00Z"/>
                <w:szCs w:val="22"/>
                <w:lang w:eastAsia="en-GB"/>
              </w:rPr>
            </w:pPr>
            <w:del w:id="3430" w:author="AbbVie19" w:date="2025-04-16T10:35:00Z">
              <w:r w:rsidRPr="004A7E7E">
                <w:rPr>
                  <w:szCs w:val="22"/>
                  <w:vertAlign w:val="superscript"/>
                  <w:lang w:val="en-US" w:eastAsia="en-GB"/>
                </w:rPr>
                <w:delText>b </w:delText>
              </w:r>
              <w:r w:rsidRPr="004A7E7E">
                <w:rPr>
                  <w:szCs w:val="22"/>
                  <w:lang w:val="en-US" w:eastAsia="en-GB"/>
                </w:rPr>
                <w:delText>Humira 0.6 mg/kg (maximum of 40 mg) every week</w:delText>
              </w:r>
              <w:r w:rsidRPr="004A7E7E">
                <w:rPr>
                  <w:szCs w:val="22"/>
                  <w:lang w:eastAsia="en-GB"/>
                </w:rPr>
                <w:delText> </w:delText>
              </w:r>
            </w:del>
          </w:p>
          <w:p w14:paraId="6FC02579" w14:textId="77777777" w:rsidR="009A5A23" w:rsidRPr="004A7E7E" w:rsidRDefault="00944B8F" w:rsidP="0065221F">
            <w:pPr>
              <w:tabs>
                <w:tab w:val="clear" w:pos="562"/>
              </w:tabs>
              <w:suppressAutoHyphens w:val="0"/>
              <w:textAlignment w:val="baseline"/>
              <w:rPr>
                <w:del w:id="3431" w:author="AbbVie19" w:date="2025-04-16T10:35:00Z"/>
                <w:szCs w:val="22"/>
                <w:lang w:eastAsia="en-GB"/>
              </w:rPr>
            </w:pPr>
            <w:del w:id="3432" w:author="AbbVie19" w:date="2025-04-16T10:35:00Z">
              <w:r>
                <w:rPr>
                  <w:szCs w:val="22"/>
                  <w:vertAlign w:val="superscript"/>
                  <w:lang w:val="en-US" w:eastAsia="en-GB"/>
                </w:rPr>
                <w:delText>c</w:delText>
              </w:r>
              <w:r w:rsidRPr="004A7E7E">
                <w:rPr>
                  <w:szCs w:val="22"/>
                  <w:lang w:val="en-US" w:eastAsia="en-GB"/>
                </w:rPr>
                <w:delText> In patients receiving concomitant corticosteroids at baseline</w:delText>
              </w:r>
              <w:r w:rsidRPr="004A7E7E">
                <w:rPr>
                  <w:szCs w:val="22"/>
                  <w:lang w:eastAsia="en-GB"/>
                </w:rPr>
                <w:delText> </w:delText>
              </w:r>
            </w:del>
          </w:p>
          <w:p w14:paraId="396A8F1D" w14:textId="77777777" w:rsidR="009A5A23" w:rsidRPr="004A7E7E" w:rsidRDefault="00944B8F" w:rsidP="0065221F">
            <w:pPr>
              <w:tabs>
                <w:tab w:val="clear" w:pos="562"/>
              </w:tabs>
              <w:suppressAutoHyphens w:val="0"/>
              <w:textAlignment w:val="baseline"/>
              <w:rPr>
                <w:del w:id="3433" w:author="AbbVie19" w:date="2025-04-16T10:35:00Z"/>
                <w:szCs w:val="22"/>
                <w:lang w:eastAsia="en-GB"/>
              </w:rPr>
            </w:pPr>
            <w:del w:id="3434" w:author="AbbVie19" w:date="2025-04-16T10:35:00Z">
              <w:r w:rsidRPr="004A7E7E">
                <w:rPr>
                  <w:szCs w:val="22"/>
                  <w:lang w:val="en-US" w:eastAsia="en-GB"/>
                </w:rPr>
                <w:delText>Note: Patients with missing values at Week 52 or who were randomized to receive re-induction or maintenance treatment were considered non-responders for Week 52 endpoints</w:delText>
              </w:r>
              <w:r w:rsidRPr="004A7E7E">
                <w:rPr>
                  <w:szCs w:val="22"/>
                  <w:lang w:eastAsia="en-GB"/>
                </w:rPr>
                <w:delText> </w:delText>
              </w:r>
            </w:del>
          </w:p>
        </w:tc>
      </w:tr>
    </w:tbl>
    <w:p w14:paraId="6EE6E6D6" w14:textId="77777777" w:rsidR="009A5A23" w:rsidRPr="00986E88" w:rsidRDefault="009A5A23" w:rsidP="009A5A23">
      <w:pPr>
        <w:rPr>
          <w:del w:id="3435" w:author="AbbVie19" w:date="2025-04-16T10:35:00Z"/>
          <w:szCs w:val="22"/>
        </w:rPr>
      </w:pPr>
    </w:p>
    <w:p w14:paraId="2B32A258" w14:textId="77777777" w:rsidR="009A5A23" w:rsidRDefault="00944B8F" w:rsidP="009A5A23">
      <w:pPr>
        <w:rPr>
          <w:del w:id="3436" w:author="AbbVie19" w:date="2025-04-16T10:35:00Z"/>
          <w:szCs w:val="22"/>
        </w:rPr>
      </w:pPr>
      <w:del w:id="3437" w:author="AbbVie19" w:date="2025-04-16T10:35:00Z">
        <w:r w:rsidRPr="00986E88">
          <w:rPr>
            <w:szCs w:val="22"/>
          </w:rPr>
          <w:lastRenderedPageBreak/>
          <w:delText>Additional exploratory efficacy endpoints included clinical response per the P</w:delText>
        </w:r>
        <w:r>
          <w:rPr>
            <w:szCs w:val="22"/>
          </w:rPr>
          <w:delText>a</w:delText>
        </w:r>
        <w:r w:rsidRPr="00986E88">
          <w:rPr>
            <w:szCs w:val="22"/>
          </w:rPr>
          <w:delText>ediatric Ulcerative Colitis Activity Index (PUCAI) (defined as a decrease in PUCAI ≥ 20 points from Baseline) and clinical remission per PUCAI (defined as PUCAI &lt; 10) at Week 8</w:delText>
        </w:r>
        <w:r>
          <w:rPr>
            <w:szCs w:val="22"/>
          </w:rPr>
          <w:delText xml:space="preserve"> </w:delText>
        </w:r>
        <w:r w:rsidRPr="00986E88">
          <w:rPr>
            <w:szCs w:val="22"/>
          </w:rPr>
          <w:delText>and Week 52</w:delText>
        </w:r>
        <w:r>
          <w:rPr>
            <w:szCs w:val="22"/>
          </w:rPr>
          <w:delText xml:space="preserve"> (Table 28)</w:delText>
        </w:r>
        <w:r w:rsidRPr="00986E88">
          <w:rPr>
            <w:szCs w:val="22"/>
          </w:rPr>
          <w:delText xml:space="preserve">. </w:delText>
        </w:r>
      </w:del>
    </w:p>
    <w:p w14:paraId="508AD486" w14:textId="77777777" w:rsidR="009A5A23" w:rsidRDefault="009A5A23" w:rsidP="009A5A23">
      <w:pPr>
        <w:rPr>
          <w:del w:id="3438" w:author="AbbVie19" w:date="2025-04-16T10:35:00Z"/>
          <w:szCs w:val="22"/>
        </w:rPr>
      </w:pPr>
    </w:p>
    <w:tbl>
      <w:tblPr>
        <w:tblW w:w="8262" w:type="dxa"/>
        <w:jc w:val="center"/>
        <w:tblCellMar>
          <w:left w:w="0" w:type="dxa"/>
          <w:right w:w="0" w:type="dxa"/>
        </w:tblCellMar>
        <w:tblLook w:val="04A0" w:firstRow="1" w:lastRow="0" w:firstColumn="1" w:lastColumn="0" w:noHBand="0" w:noVBand="1"/>
      </w:tblPr>
      <w:tblGrid>
        <w:gridCol w:w="2934"/>
        <w:gridCol w:w="2898"/>
        <w:gridCol w:w="2430"/>
      </w:tblGrid>
      <w:tr w:rsidR="00C6578C" w14:paraId="3F65DBB5" w14:textId="77777777" w:rsidTr="004E4AB0">
        <w:trPr>
          <w:trHeight w:val="60"/>
          <w:jc w:val="center"/>
          <w:del w:id="3439" w:author="AbbVie19" w:date="2025-04-16T10:35:00Z"/>
        </w:trPr>
        <w:tc>
          <w:tcPr>
            <w:tcW w:w="8262" w:type="dxa"/>
            <w:gridSpan w:val="3"/>
            <w:tcMar>
              <w:top w:w="0" w:type="dxa"/>
              <w:left w:w="108" w:type="dxa"/>
              <w:bottom w:w="0" w:type="dxa"/>
              <w:right w:w="108" w:type="dxa"/>
            </w:tcMar>
            <w:hideMark/>
          </w:tcPr>
          <w:p w14:paraId="7907E840" w14:textId="77777777" w:rsidR="009A5A23" w:rsidRDefault="00944B8F" w:rsidP="004E4AB0">
            <w:pPr>
              <w:spacing w:line="276" w:lineRule="auto"/>
              <w:jc w:val="center"/>
              <w:rPr>
                <w:del w:id="3440" w:author="AbbVie19" w:date="2025-04-16T10:35:00Z"/>
                <w:b/>
                <w:bCs/>
              </w:rPr>
            </w:pPr>
            <w:del w:id="3441" w:author="AbbVie19" w:date="2025-04-16T10:35:00Z">
              <w:r>
                <w:rPr>
                  <w:b/>
                  <w:bCs/>
                </w:rPr>
                <w:delText>Table 28: Exploratory Endpoints Results per PUCAI</w:delText>
              </w:r>
            </w:del>
          </w:p>
        </w:tc>
      </w:tr>
      <w:tr w:rsidR="00C6578C" w14:paraId="0FB7F89F" w14:textId="77777777" w:rsidTr="004E4AB0">
        <w:trPr>
          <w:trHeight w:val="265"/>
          <w:jc w:val="center"/>
          <w:del w:id="3442" w:author="AbbVie19" w:date="2025-04-16T10:35:00Z"/>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41AA7D5B" w14:textId="77777777" w:rsidR="009A5A23" w:rsidRDefault="009A5A23" w:rsidP="004E4AB0">
            <w:pPr>
              <w:spacing w:line="276" w:lineRule="auto"/>
              <w:rPr>
                <w:del w:id="3443" w:author="AbbVie19" w:date="2025-04-16T10:35:00Z"/>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97D44A" w14:textId="77777777" w:rsidR="009A5A23" w:rsidRDefault="00944B8F" w:rsidP="004E4AB0">
            <w:pPr>
              <w:spacing w:line="276" w:lineRule="auto"/>
              <w:jc w:val="center"/>
              <w:rPr>
                <w:del w:id="3444" w:author="AbbVie19" w:date="2025-04-16T10:35:00Z"/>
                <w:b/>
                <w:bCs/>
              </w:rPr>
            </w:pPr>
            <w:del w:id="3445" w:author="AbbVie19" w:date="2025-04-16T10:35:00Z">
              <w:r>
                <w:rPr>
                  <w:b/>
                  <w:bCs/>
                </w:rPr>
                <w:delText>Week 8</w:delText>
              </w:r>
            </w:del>
          </w:p>
        </w:tc>
      </w:tr>
      <w:tr w:rsidR="00C6578C" w14:paraId="75677242" w14:textId="77777777" w:rsidTr="004E4AB0">
        <w:trPr>
          <w:trHeight w:val="1042"/>
          <w:jc w:val="center"/>
          <w:del w:id="3446" w:author="AbbVie19" w:date="2025-04-16T10:35:00Z"/>
        </w:trPr>
        <w:tc>
          <w:tcPr>
            <w:tcW w:w="0" w:type="auto"/>
            <w:vMerge/>
            <w:tcBorders>
              <w:top w:val="single" w:sz="4" w:space="0" w:color="auto"/>
              <w:left w:val="single" w:sz="8" w:space="0" w:color="auto"/>
              <w:bottom w:val="single" w:sz="8" w:space="0" w:color="auto"/>
              <w:right w:val="single" w:sz="4" w:space="0" w:color="auto"/>
            </w:tcBorders>
            <w:vAlign w:val="center"/>
            <w:hideMark/>
          </w:tcPr>
          <w:p w14:paraId="1FC9A828" w14:textId="77777777" w:rsidR="009A5A23" w:rsidRDefault="009A5A23" w:rsidP="004E4AB0">
            <w:pPr>
              <w:tabs>
                <w:tab w:val="clear" w:pos="562"/>
              </w:tabs>
              <w:suppressAutoHyphens w:val="0"/>
              <w:spacing w:line="276" w:lineRule="auto"/>
              <w:rPr>
                <w:del w:id="3447" w:author="AbbVie19" w:date="2025-04-16T10:35:00Z"/>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44C972" w14:textId="77777777" w:rsidR="009A5A23" w:rsidRDefault="00944B8F" w:rsidP="004E4AB0">
            <w:pPr>
              <w:spacing w:line="276" w:lineRule="auto"/>
              <w:jc w:val="center"/>
              <w:rPr>
                <w:del w:id="3448" w:author="AbbVie19" w:date="2025-04-16T10:35:00Z"/>
                <w:b/>
                <w:bCs/>
                <w:vertAlign w:val="superscript"/>
              </w:rPr>
            </w:pPr>
            <w:del w:id="3449" w:author="AbbVie19" w:date="2025-04-16T10:35:00Z">
              <w:r>
                <w:rPr>
                  <w:b/>
                  <w:bCs/>
                </w:rPr>
                <w:delText>Humira</w:delText>
              </w:r>
              <w:r>
                <w:rPr>
                  <w:b/>
                  <w:bCs/>
                  <w:vertAlign w:val="superscript"/>
                </w:rPr>
                <w:delText>a</w:delText>
              </w:r>
            </w:del>
          </w:p>
          <w:p w14:paraId="67F0D5C1" w14:textId="77777777" w:rsidR="009A5A23" w:rsidRDefault="00944B8F" w:rsidP="004E4AB0">
            <w:pPr>
              <w:spacing w:line="276" w:lineRule="auto"/>
              <w:jc w:val="center"/>
              <w:rPr>
                <w:del w:id="3450" w:author="AbbVie19" w:date="2025-04-16T10:35:00Z"/>
                <w:b/>
                <w:bCs/>
              </w:rPr>
            </w:pPr>
            <w:del w:id="3451" w:author="AbbVie19" w:date="2025-04-16T10:35:00Z">
              <w:r>
                <w:rPr>
                  <w:b/>
                  <w:bCs/>
                </w:rPr>
                <w:delText>Maximum of 160 mg at Week 0 / Placebo at Week 1</w:delText>
              </w:r>
            </w:del>
          </w:p>
          <w:p w14:paraId="1D4547EC" w14:textId="77777777" w:rsidR="009A5A23" w:rsidRDefault="00944B8F" w:rsidP="004E4AB0">
            <w:pPr>
              <w:spacing w:line="276" w:lineRule="auto"/>
              <w:jc w:val="center"/>
              <w:rPr>
                <w:del w:id="3452" w:author="AbbVie19" w:date="2025-04-16T10:35:00Z"/>
              </w:rPr>
            </w:pPr>
            <w:del w:id="3453" w:author="AbbVie19" w:date="2025-04-16T10:35:00Z">
              <w:r>
                <w:delText>N=30</w:delText>
              </w:r>
            </w:del>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E4F76A" w14:textId="77777777" w:rsidR="009A5A23" w:rsidRDefault="00944B8F" w:rsidP="004E4AB0">
            <w:pPr>
              <w:spacing w:line="276" w:lineRule="auto"/>
              <w:jc w:val="center"/>
              <w:rPr>
                <w:del w:id="3454" w:author="AbbVie19" w:date="2025-04-16T10:35:00Z"/>
                <w:b/>
                <w:bCs/>
                <w:vertAlign w:val="superscript"/>
              </w:rPr>
            </w:pPr>
            <w:del w:id="3455" w:author="AbbVie19" w:date="2025-04-16T10:35:00Z">
              <w:r>
                <w:rPr>
                  <w:b/>
                  <w:bCs/>
                </w:rPr>
                <w:delText>Humira</w:delText>
              </w:r>
              <w:r>
                <w:rPr>
                  <w:b/>
                  <w:bCs/>
                  <w:vertAlign w:val="superscript"/>
                </w:rPr>
                <w:delText>b,c</w:delText>
              </w:r>
            </w:del>
          </w:p>
          <w:p w14:paraId="3BF44658" w14:textId="77777777" w:rsidR="009A5A23" w:rsidRDefault="00944B8F" w:rsidP="004E4AB0">
            <w:pPr>
              <w:spacing w:line="276" w:lineRule="auto"/>
              <w:jc w:val="center"/>
              <w:rPr>
                <w:del w:id="3456" w:author="AbbVie19" w:date="2025-04-16T10:35:00Z"/>
                <w:b/>
                <w:bCs/>
              </w:rPr>
            </w:pPr>
            <w:del w:id="3457" w:author="AbbVie19" w:date="2025-04-16T10:35:00Z">
              <w:r>
                <w:rPr>
                  <w:b/>
                  <w:bCs/>
                </w:rPr>
                <w:delText>Maximum of 160 mg at Week 0 and Week 1</w:delText>
              </w:r>
            </w:del>
          </w:p>
          <w:p w14:paraId="253B7796" w14:textId="77777777" w:rsidR="009A5A23" w:rsidRDefault="00944B8F" w:rsidP="004E4AB0">
            <w:pPr>
              <w:spacing w:line="276" w:lineRule="auto"/>
              <w:jc w:val="center"/>
              <w:rPr>
                <w:del w:id="3458" w:author="AbbVie19" w:date="2025-04-16T10:35:00Z"/>
              </w:rPr>
            </w:pPr>
            <w:del w:id="3459" w:author="AbbVie19" w:date="2025-04-16T10:35:00Z">
              <w:r>
                <w:delText>N=47</w:delText>
              </w:r>
            </w:del>
          </w:p>
        </w:tc>
      </w:tr>
      <w:tr w:rsidR="00C6578C" w14:paraId="0271EEDB" w14:textId="77777777" w:rsidTr="004E4AB0">
        <w:trPr>
          <w:trHeight w:val="202"/>
          <w:jc w:val="center"/>
          <w:del w:id="3460" w:author="AbbVie19" w:date="2025-04-16T10:35:00Z"/>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9733BB" w14:textId="77777777" w:rsidR="009A5A23" w:rsidRDefault="00944B8F" w:rsidP="004E4AB0">
            <w:pPr>
              <w:spacing w:line="276" w:lineRule="auto"/>
              <w:rPr>
                <w:del w:id="3461" w:author="AbbVie19" w:date="2025-04-16T10:35:00Z"/>
              </w:rPr>
            </w:pPr>
            <w:del w:id="3462" w:author="AbbVie19" w:date="2025-04-16T10:35:00Z">
              <w:r>
                <w:delText>Clinical remission per PUCAI</w:delText>
              </w:r>
            </w:del>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6FA85A2F" w14:textId="77777777" w:rsidR="009A5A23" w:rsidRDefault="00944B8F" w:rsidP="004E4AB0">
            <w:pPr>
              <w:spacing w:line="276" w:lineRule="auto"/>
              <w:jc w:val="center"/>
              <w:rPr>
                <w:del w:id="3463" w:author="AbbVie19" w:date="2025-04-16T10:35:00Z"/>
              </w:rPr>
            </w:pPr>
            <w:del w:id="3464" w:author="AbbVie19" w:date="2025-04-16T10:35:00Z">
              <w:r>
                <w:delText>10/30 (33.3%)</w:delText>
              </w:r>
            </w:del>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2898A154" w14:textId="77777777" w:rsidR="009A5A23" w:rsidRDefault="00944B8F" w:rsidP="004E4AB0">
            <w:pPr>
              <w:spacing w:line="276" w:lineRule="auto"/>
              <w:jc w:val="center"/>
              <w:rPr>
                <w:del w:id="3465" w:author="AbbVie19" w:date="2025-04-16T10:35:00Z"/>
              </w:rPr>
            </w:pPr>
            <w:del w:id="3466" w:author="AbbVie19" w:date="2025-04-16T10:35:00Z">
              <w:r>
                <w:delText>22/47 (46.8%)</w:delText>
              </w:r>
            </w:del>
          </w:p>
        </w:tc>
      </w:tr>
      <w:tr w:rsidR="00C6578C" w14:paraId="5EB9FEAB" w14:textId="77777777" w:rsidTr="004E4AB0">
        <w:trPr>
          <w:trHeight w:val="238"/>
          <w:jc w:val="center"/>
          <w:del w:id="3467" w:author="AbbVie19" w:date="2025-04-16T10:35: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7E50B24" w14:textId="77777777" w:rsidR="009A5A23" w:rsidRDefault="00944B8F" w:rsidP="004E4AB0">
            <w:pPr>
              <w:spacing w:line="276" w:lineRule="auto"/>
              <w:rPr>
                <w:del w:id="3468" w:author="AbbVie19" w:date="2025-04-16T10:35:00Z"/>
              </w:rPr>
            </w:pPr>
            <w:del w:id="3469" w:author="AbbVie19" w:date="2025-04-16T10:35:00Z">
              <w:r>
                <w:delText>Clinical response per PUCAI</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58E95E23" w14:textId="77777777" w:rsidR="009A5A23" w:rsidRDefault="00944B8F" w:rsidP="004E4AB0">
            <w:pPr>
              <w:spacing w:line="276" w:lineRule="auto"/>
              <w:jc w:val="center"/>
              <w:rPr>
                <w:del w:id="3470" w:author="AbbVie19" w:date="2025-04-16T10:35:00Z"/>
              </w:rPr>
            </w:pPr>
            <w:del w:id="3471" w:author="AbbVie19" w:date="2025-04-16T10:35:00Z">
              <w:r>
                <w:delText>15/30 (50.0%)</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0BCD5170" w14:textId="77777777" w:rsidR="009A5A23" w:rsidRDefault="00944B8F" w:rsidP="004E4AB0">
            <w:pPr>
              <w:spacing w:line="276" w:lineRule="auto"/>
              <w:jc w:val="center"/>
              <w:rPr>
                <w:del w:id="3472" w:author="AbbVie19" w:date="2025-04-16T10:35:00Z"/>
              </w:rPr>
            </w:pPr>
            <w:del w:id="3473" w:author="AbbVie19" w:date="2025-04-16T10:35:00Z">
              <w:r>
                <w:delText>32/47 (68.1%)</w:delText>
              </w:r>
            </w:del>
          </w:p>
        </w:tc>
      </w:tr>
      <w:tr w:rsidR="00C6578C" w14:paraId="4623839D" w14:textId="77777777" w:rsidTr="004E4AB0">
        <w:trPr>
          <w:trHeight w:val="238"/>
          <w:jc w:val="center"/>
          <w:del w:id="3474" w:author="AbbVie19" w:date="2025-04-16T10:35:00Z"/>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206BBCD1" w14:textId="77777777" w:rsidR="009A5A23" w:rsidRDefault="009A5A23" w:rsidP="004E4AB0">
            <w:pPr>
              <w:spacing w:line="276" w:lineRule="auto"/>
              <w:rPr>
                <w:del w:id="3475" w:author="AbbVie19" w:date="2025-04-16T10:35:00Z"/>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60375778" w14:textId="77777777" w:rsidR="009A5A23" w:rsidRDefault="00944B8F" w:rsidP="004E4AB0">
            <w:pPr>
              <w:spacing w:line="276" w:lineRule="auto"/>
              <w:jc w:val="center"/>
              <w:rPr>
                <w:del w:id="3476" w:author="AbbVie19" w:date="2025-04-16T10:35:00Z"/>
                <w:b/>
                <w:bCs/>
              </w:rPr>
            </w:pPr>
            <w:del w:id="3477" w:author="AbbVie19" w:date="2025-04-16T10:35:00Z">
              <w:r>
                <w:rPr>
                  <w:b/>
                  <w:bCs/>
                </w:rPr>
                <w:delText>Week 52</w:delText>
              </w:r>
            </w:del>
          </w:p>
        </w:tc>
      </w:tr>
      <w:tr w:rsidR="00C6578C" w14:paraId="323BC242" w14:textId="77777777" w:rsidTr="004E4AB0">
        <w:trPr>
          <w:trHeight w:val="238"/>
          <w:jc w:val="center"/>
          <w:del w:id="3478" w:author="AbbVie19" w:date="2025-04-16T10:35:00Z"/>
        </w:trPr>
        <w:tc>
          <w:tcPr>
            <w:tcW w:w="0" w:type="auto"/>
            <w:vMerge/>
            <w:tcBorders>
              <w:top w:val="nil"/>
              <w:left w:val="single" w:sz="8" w:space="0" w:color="auto"/>
              <w:bottom w:val="single" w:sz="4" w:space="0" w:color="auto"/>
              <w:right w:val="single" w:sz="8" w:space="0" w:color="auto"/>
            </w:tcBorders>
            <w:vAlign w:val="center"/>
            <w:hideMark/>
          </w:tcPr>
          <w:p w14:paraId="5B7D02E3" w14:textId="77777777" w:rsidR="009A5A23" w:rsidRDefault="009A5A23" w:rsidP="004E4AB0">
            <w:pPr>
              <w:tabs>
                <w:tab w:val="clear" w:pos="562"/>
              </w:tabs>
              <w:suppressAutoHyphens w:val="0"/>
              <w:spacing w:line="276" w:lineRule="auto"/>
              <w:rPr>
                <w:del w:id="3479" w:author="AbbVie19" w:date="2025-04-16T10:35:00Z"/>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65E4AB09" w14:textId="77777777" w:rsidR="009A5A23" w:rsidRDefault="00944B8F" w:rsidP="004E4AB0">
            <w:pPr>
              <w:spacing w:line="276" w:lineRule="auto"/>
              <w:jc w:val="center"/>
              <w:rPr>
                <w:del w:id="3480" w:author="AbbVie19" w:date="2025-04-16T10:35:00Z"/>
                <w:b/>
                <w:bCs/>
                <w:vertAlign w:val="superscript"/>
              </w:rPr>
            </w:pPr>
            <w:del w:id="3481" w:author="AbbVie19" w:date="2025-04-16T10:35:00Z">
              <w:r>
                <w:rPr>
                  <w:b/>
                  <w:bCs/>
                </w:rPr>
                <w:delText>Humira</w:delText>
              </w:r>
              <w:r>
                <w:rPr>
                  <w:b/>
                  <w:bCs/>
                  <w:vertAlign w:val="superscript"/>
                </w:rPr>
                <w:delText>d</w:delText>
              </w:r>
            </w:del>
          </w:p>
          <w:p w14:paraId="108259AE" w14:textId="77777777" w:rsidR="009A5A23" w:rsidRDefault="00944B8F" w:rsidP="004E4AB0">
            <w:pPr>
              <w:spacing w:line="276" w:lineRule="auto"/>
              <w:jc w:val="center"/>
              <w:rPr>
                <w:del w:id="3482" w:author="AbbVie19" w:date="2025-04-16T10:35:00Z"/>
                <w:b/>
                <w:bCs/>
              </w:rPr>
            </w:pPr>
            <w:del w:id="3483" w:author="AbbVie19" w:date="2025-04-16T10:35:00Z">
              <w:r>
                <w:rPr>
                  <w:b/>
                  <w:bCs/>
                </w:rPr>
                <w:delText>Maximum of 40 mg eow</w:delText>
              </w:r>
            </w:del>
          </w:p>
          <w:p w14:paraId="73B720C7" w14:textId="77777777" w:rsidR="009A5A23" w:rsidRDefault="00944B8F" w:rsidP="004E4AB0">
            <w:pPr>
              <w:spacing w:line="276" w:lineRule="auto"/>
              <w:jc w:val="center"/>
              <w:rPr>
                <w:del w:id="3484" w:author="AbbVie19" w:date="2025-04-16T10:35:00Z"/>
              </w:rPr>
            </w:pPr>
            <w:del w:id="3485" w:author="AbbVie19" w:date="2025-04-16T10:35:00Z">
              <w:r>
                <w:delText>N=31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537177D0" w14:textId="77777777" w:rsidR="009A5A23" w:rsidRDefault="00944B8F" w:rsidP="004E4AB0">
            <w:pPr>
              <w:spacing w:line="276" w:lineRule="auto"/>
              <w:jc w:val="center"/>
              <w:rPr>
                <w:del w:id="3486" w:author="AbbVie19" w:date="2025-04-16T10:35:00Z"/>
                <w:b/>
                <w:bCs/>
                <w:vertAlign w:val="superscript"/>
              </w:rPr>
            </w:pPr>
            <w:del w:id="3487" w:author="AbbVie19" w:date="2025-04-16T10:35:00Z">
              <w:r>
                <w:rPr>
                  <w:b/>
                  <w:bCs/>
                </w:rPr>
                <w:delText>Humira</w:delText>
              </w:r>
              <w:r>
                <w:rPr>
                  <w:b/>
                  <w:bCs/>
                  <w:vertAlign w:val="superscript"/>
                </w:rPr>
                <w:delText>e</w:delText>
              </w:r>
            </w:del>
          </w:p>
          <w:p w14:paraId="430E5AC7" w14:textId="77777777" w:rsidR="009A5A23" w:rsidRDefault="00944B8F" w:rsidP="004E4AB0">
            <w:pPr>
              <w:spacing w:line="276" w:lineRule="auto"/>
              <w:jc w:val="center"/>
              <w:rPr>
                <w:del w:id="3488" w:author="AbbVie19" w:date="2025-04-16T10:35:00Z"/>
                <w:b/>
                <w:bCs/>
              </w:rPr>
            </w:pPr>
            <w:del w:id="3489" w:author="AbbVie19" w:date="2025-04-16T10:35:00Z">
              <w:r>
                <w:rPr>
                  <w:b/>
                  <w:bCs/>
                </w:rPr>
                <w:delText>Maximum of 40 mg ew</w:delText>
              </w:r>
            </w:del>
          </w:p>
          <w:p w14:paraId="18BD5392" w14:textId="77777777" w:rsidR="009A5A23" w:rsidRDefault="00944B8F" w:rsidP="004E4AB0">
            <w:pPr>
              <w:spacing w:line="276" w:lineRule="auto"/>
              <w:jc w:val="center"/>
              <w:rPr>
                <w:del w:id="3490" w:author="AbbVie19" w:date="2025-04-16T10:35:00Z"/>
              </w:rPr>
            </w:pPr>
            <w:del w:id="3491" w:author="AbbVie19" w:date="2025-04-16T10:35:00Z">
              <w:r>
                <w:delText>N=31</w:delText>
              </w:r>
            </w:del>
          </w:p>
        </w:tc>
      </w:tr>
      <w:tr w:rsidR="00C6578C" w14:paraId="129638AD" w14:textId="77777777" w:rsidTr="004E4AB0">
        <w:trPr>
          <w:trHeight w:val="238"/>
          <w:jc w:val="center"/>
          <w:del w:id="3492" w:author="AbbVie19" w:date="2025-04-16T10:35: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9983CFD" w14:textId="77777777" w:rsidR="009A5A23" w:rsidRDefault="00944B8F" w:rsidP="004E4AB0">
            <w:pPr>
              <w:spacing w:line="276" w:lineRule="auto"/>
              <w:rPr>
                <w:del w:id="3493" w:author="AbbVie19" w:date="2025-04-16T10:35:00Z"/>
              </w:rPr>
            </w:pPr>
            <w:del w:id="3494" w:author="AbbVie19" w:date="2025-04-16T10:35:00Z">
              <w:r>
                <w:delText>Clinical remission per PUCAI in Week 8 PMS responders</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206875AD" w14:textId="77777777" w:rsidR="009A5A23" w:rsidRDefault="00944B8F" w:rsidP="004E4AB0">
            <w:pPr>
              <w:spacing w:line="276" w:lineRule="auto"/>
              <w:jc w:val="center"/>
              <w:rPr>
                <w:del w:id="3495" w:author="AbbVie19" w:date="2025-04-16T10:35:00Z"/>
              </w:rPr>
            </w:pPr>
            <w:del w:id="3496" w:author="AbbVie19" w:date="2025-04-16T10:35:00Z">
              <w:r>
                <w:delText>14/31 (45.2%)</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6277376D" w14:textId="77777777" w:rsidR="009A5A23" w:rsidRDefault="00944B8F" w:rsidP="004E4AB0">
            <w:pPr>
              <w:spacing w:line="276" w:lineRule="auto"/>
              <w:jc w:val="center"/>
              <w:rPr>
                <w:del w:id="3497" w:author="AbbVie19" w:date="2025-04-16T10:35:00Z"/>
              </w:rPr>
            </w:pPr>
            <w:del w:id="3498" w:author="AbbVie19" w:date="2025-04-16T10:35:00Z">
              <w:r>
                <w:delText>18/31 (58.1%)</w:delText>
              </w:r>
            </w:del>
          </w:p>
        </w:tc>
      </w:tr>
      <w:tr w:rsidR="00C6578C" w14:paraId="295FDC65" w14:textId="77777777" w:rsidTr="004E4AB0">
        <w:trPr>
          <w:trHeight w:val="238"/>
          <w:jc w:val="center"/>
          <w:del w:id="3499" w:author="AbbVie19" w:date="2025-04-16T10:35: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80903CA" w14:textId="77777777" w:rsidR="009A5A23" w:rsidRDefault="00944B8F" w:rsidP="004E4AB0">
            <w:pPr>
              <w:spacing w:line="276" w:lineRule="auto"/>
              <w:rPr>
                <w:del w:id="3500" w:author="AbbVie19" w:date="2025-04-16T10:35:00Z"/>
              </w:rPr>
            </w:pPr>
            <w:del w:id="3501" w:author="AbbVie19" w:date="2025-04-16T10:35:00Z">
              <w:r>
                <w:delText>Clinical response per PUCAI in Week 8 PMS responders</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7CE32609" w14:textId="77777777" w:rsidR="009A5A23" w:rsidRDefault="00944B8F" w:rsidP="004E4AB0">
            <w:pPr>
              <w:spacing w:line="276" w:lineRule="auto"/>
              <w:jc w:val="center"/>
              <w:rPr>
                <w:del w:id="3502" w:author="AbbVie19" w:date="2025-04-16T10:35:00Z"/>
              </w:rPr>
            </w:pPr>
            <w:del w:id="3503" w:author="AbbVie19" w:date="2025-04-16T10:35:00Z">
              <w:r>
                <w:delText>18/31 (58.1%)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31371651" w14:textId="77777777" w:rsidR="009A5A23" w:rsidRDefault="00944B8F" w:rsidP="004E4AB0">
            <w:pPr>
              <w:spacing w:line="276" w:lineRule="auto"/>
              <w:jc w:val="center"/>
              <w:rPr>
                <w:del w:id="3504" w:author="AbbVie19" w:date="2025-04-16T10:35:00Z"/>
              </w:rPr>
            </w:pPr>
            <w:del w:id="3505" w:author="AbbVie19" w:date="2025-04-16T10:35:00Z">
              <w:r>
                <w:delText>16/31 (51.6%)</w:delText>
              </w:r>
            </w:del>
          </w:p>
        </w:tc>
      </w:tr>
      <w:tr w:rsidR="00C6578C" w14:paraId="44264C0D" w14:textId="77777777" w:rsidTr="004E4AB0">
        <w:trPr>
          <w:trHeight w:val="533"/>
          <w:jc w:val="center"/>
          <w:del w:id="3506" w:author="AbbVie19" w:date="2025-04-16T10:35:00Z"/>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D96E6A8" w14:textId="77777777" w:rsidR="009A5A23" w:rsidRDefault="00944B8F" w:rsidP="004E4AB0">
            <w:pPr>
              <w:spacing w:line="276" w:lineRule="auto"/>
              <w:rPr>
                <w:del w:id="3507" w:author="AbbVie19" w:date="2025-04-16T10:35:00Z"/>
                <w:rStyle w:val="eop"/>
              </w:rPr>
            </w:pPr>
            <w:del w:id="3508" w:author="AbbVie19" w:date="2025-04-16T10:35:00Z">
              <w:r>
                <w:rPr>
                  <w:vertAlign w:val="superscript"/>
                </w:rPr>
                <w:delText>a</w:delText>
              </w:r>
              <w:r>
                <w:delText xml:space="preserve"> </w:delText>
              </w:r>
              <w:r>
                <w:rPr>
                  <w:rStyle w:val="normaltextrun"/>
                </w:rPr>
                <w:delText>Humira 2.4 mg/kg (maximum of 160 mg) at Week 0, placebo at Week 1, and 1.2 mg/kg (maximum of 80 mg) at Week 2</w:delText>
              </w:r>
              <w:r>
                <w:rPr>
                  <w:rStyle w:val="eop"/>
                </w:rPr>
                <w:delText> </w:delText>
              </w:r>
            </w:del>
          </w:p>
          <w:p w14:paraId="011B9E51" w14:textId="77777777" w:rsidR="009A5A23" w:rsidRDefault="00944B8F" w:rsidP="004E4AB0">
            <w:pPr>
              <w:pStyle w:val="paragraph0"/>
              <w:spacing w:before="0" w:beforeAutospacing="0" w:after="0" w:afterAutospacing="0" w:line="276" w:lineRule="auto"/>
              <w:textAlignment w:val="baseline"/>
              <w:rPr>
                <w:del w:id="3509" w:author="AbbVie19" w:date="2025-04-16T10:35:00Z"/>
                <w:rStyle w:val="eop"/>
                <w:sz w:val="22"/>
                <w:szCs w:val="22"/>
              </w:rPr>
            </w:pPr>
            <w:del w:id="3510" w:author="AbbVie19" w:date="2025-04-16T10:35:00Z">
              <w:r>
                <w:rPr>
                  <w:sz w:val="22"/>
                  <w:szCs w:val="22"/>
                  <w:vertAlign w:val="superscript"/>
                </w:rPr>
                <w:delText xml:space="preserve">b </w:delText>
              </w:r>
              <w:r>
                <w:rPr>
                  <w:rStyle w:val="normaltextrun"/>
                  <w:sz w:val="22"/>
                  <w:szCs w:val="22"/>
                  <w:vertAlign w:val="superscript"/>
                </w:rPr>
                <w:delText> </w:delText>
              </w:r>
              <w:r>
                <w:rPr>
                  <w:rStyle w:val="normaltextrun"/>
                  <w:sz w:val="22"/>
                  <w:szCs w:val="22"/>
                </w:rPr>
                <w:delText>Humira 2.4 mg/kg (maximum of 160 mg) at Week 0 and Week 1, and 1.2 mg/kg (maximum of 80 mg) at Week 2</w:delText>
              </w:r>
              <w:r>
                <w:rPr>
                  <w:rStyle w:val="eop"/>
                  <w:sz w:val="22"/>
                  <w:szCs w:val="22"/>
                </w:rPr>
                <w:delText> </w:delText>
              </w:r>
            </w:del>
          </w:p>
          <w:p w14:paraId="1B953064" w14:textId="77777777" w:rsidR="009A5A23" w:rsidRDefault="00944B8F" w:rsidP="004E4AB0">
            <w:pPr>
              <w:pStyle w:val="paragraph0"/>
              <w:spacing w:before="0" w:beforeAutospacing="0" w:after="0" w:afterAutospacing="0" w:line="276" w:lineRule="auto"/>
              <w:textAlignment w:val="baseline"/>
              <w:rPr>
                <w:del w:id="3511" w:author="AbbVie19" w:date="2025-04-16T10:35:00Z"/>
                <w:rStyle w:val="normaltextrun"/>
              </w:rPr>
            </w:pPr>
            <w:del w:id="3512" w:author="AbbVie19" w:date="2025-04-16T10:35:00Z">
              <w:r>
                <w:rPr>
                  <w:rStyle w:val="normaltextrun"/>
                  <w:rFonts w:cs="Calibri"/>
                  <w:sz w:val="22"/>
                  <w:szCs w:val="22"/>
                  <w:vertAlign w:val="superscript"/>
                </w:rPr>
                <w:delText>c</w:delText>
              </w:r>
              <w:r>
                <w:rPr>
                  <w:rStyle w:val="normaltextrun"/>
                  <w:rFonts w:cs="Calibri"/>
                  <w:sz w:val="22"/>
                  <w:szCs w:val="22"/>
                </w:rPr>
                <w:delText> Not including open-label Induction dose of </w:delText>
              </w:r>
              <w:r>
                <w:rPr>
                  <w:rStyle w:val="normaltextrun"/>
                  <w:sz w:val="22"/>
                  <w:szCs w:val="22"/>
                </w:rPr>
                <w:delText>Humira 2.4 mg/kg (maximum of 160 mg) at Week 0 and Week 1, and 1.2 mg/kg (maximum of 80 mg) at Week 2</w:delText>
              </w:r>
            </w:del>
          </w:p>
          <w:p w14:paraId="456E3130" w14:textId="77777777" w:rsidR="009A5A23" w:rsidRPr="00703E9C" w:rsidRDefault="00944B8F" w:rsidP="004E4AB0">
            <w:pPr>
              <w:pStyle w:val="paragraph0"/>
              <w:spacing w:before="0" w:beforeAutospacing="0" w:after="0" w:afterAutospacing="0" w:line="276" w:lineRule="auto"/>
              <w:textAlignment w:val="baseline"/>
              <w:rPr>
                <w:del w:id="3513" w:author="AbbVie19" w:date="2025-04-16T10:35:00Z"/>
                <w:sz w:val="22"/>
                <w:szCs w:val="22"/>
                <w:lang w:eastAsia="en-GB"/>
              </w:rPr>
            </w:pPr>
            <w:del w:id="3514" w:author="AbbVie19" w:date="2025-04-16T10:35:00Z">
              <w:r>
                <w:rPr>
                  <w:rStyle w:val="normaltextrun"/>
                  <w:sz w:val="22"/>
                  <w:szCs w:val="22"/>
                  <w:vertAlign w:val="superscript"/>
                </w:rPr>
                <w:delText>d</w:delText>
              </w:r>
              <w:r w:rsidRPr="00703E9C">
                <w:rPr>
                  <w:sz w:val="22"/>
                  <w:szCs w:val="22"/>
                  <w:lang w:eastAsia="en-GB"/>
                </w:rPr>
                <w:delText xml:space="preserve"> Humira 0.6 mg/kg (maximum of 40 mg) every other week</w:delText>
              </w:r>
            </w:del>
          </w:p>
          <w:p w14:paraId="2F61E102" w14:textId="77777777" w:rsidR="009A5A23" w:rsidRDefault="00944B8F" w:rsidP="004E4AB0">
            <w:pPr>
              <w:spacing w:line="276" w:lineRule="auto"/>
              <w:rPr>
                <w:del w:id="3515" w:author="AbbVie19" w:date="2025-04-16T10:35:00Z"/>
                <w:lang w:eastAsia="en-GB"/>
              </w:rPr>
            </w:pPr>
            <w:del w:id="3516" w:author="AbbVie19" w:date="2025-04-16T10:35:00Z">
              <w:r>
                <w:rPr>
                  <w:vertAlign w:val="superscript"/>
                  <w:lang w:eastAsia="en-GB"/>
                </w:rPr>
                <w:delText>e</w:delText>
              </w:r>
              <w:r>
                <w:rPr>
                  <w:lang w:eastAsia="en-GB"/>
                </w:rPr>
                <w:delText xml:space="preserve"> Humira 0.6 mg/kg (maximum of 40 mg) every week</w:delText>
              </w:r>
            </w:del>
          </w:p>
          <w:p w14:paraId="5901CE5C" w14:textId="77777777" w:rsidR="009A5A23" w:rsidRDefault="00944B8F" w:rsidP="004E4AB0">
            <w:pPr>
              <w:pStyle w:val="paragraph0"/>
              <w:spacing w:before="0" w:beforeAutospacing="0" w:after="0" w:afterAutospacing="0" w:line="276" w:lineRule="auto"/>
              <w:textAlignment w:val="baseline"/>
              <w:rPr>
                <w:del w:id="3517" w:author="AbbVie19" w:date="2025-04-16T10:35:00Z"/>
                <w:rFonts w:ascii="Segoe UI" w:hAnsi="Segoe UI" w:cs="Segoe UI"/>
                <w:sz w:val="22"/>
                <w:szCs w:val="22"/>
              </w:rPr>
            </w:pPr>
            <w:del w:id="3518" w:author="AbbVie19" w:date="2025-04-16T10:35:00Z">
              <w:r>
                <w:rPr>
                  <w:rStyle w:val="normaltextrun"/>
                  <w:rFonts w:cs="Calibri"/>
                  <w:sz w:val="22"/>
                  <w:szCs w:val="22"/>
                </w:rPr>
                <w:delText>Note 1: Both induction groups received 0.6 mg/kg (maximum of 40 mg) at Week 4 and Week 6</w:delText>
              </w:r>
              <w:r>
                <w:rPr>
                  <w:rStyle w:val="eop"/>
                  <w:rFonts w:cs="Calibri"/>
                  <w:sz w:val="22"/>
                  <w:szCs w:val="22"/>
                </w:rPr>
                <w:delText> </w:delText>
              </w:r>
            </w:del>
          </w:p>
          <w:p w14:paraId="355687F3" w14:textId="77777777" w:rsidR="009A5A23" w:rsidRDefault="00944B8F" w:rsidP="004E4AB0">
            <w:pPr>
              <w:pStyle w:val="paragraph0"/>
              <w:spacing w:before="0" w:beforeAutospacing="0" w:after="0" w:afterAutospacing="0" w:line="276" w:lineRule="auto"/>
              <w:textAlignment w:val="baseline"/>
              <w:rPr>
                <w:del w:id="3519" w:author="AbbVie19" w:date="2025-04-16T10:35:00Z"/>
                <w:rStyle w:val="eop"/>
                <w:rFonts w:cs="Calibri"/>
              </w:rPr>
            </w:pPr>
            <w:del w:id="3520" w:author="AbbVie19" w:date="2025-04-16T10:35:00Z">
              <w:r>
                <w:rPr>
                  <w:rStyle w:val="normaltextrun"/>
                  <w:rFonts w:cs="Calibri"/>
                  <w:sz w:val="22"/>
                  <w:szCs w:val="22"/>
                </w:rPr>
                <w:delText>Note 2: Patients with missing values at Week 8 were considered as not having met the endpoints</w:delText>
              </w:r>
              <w:r>
                <w:rPr>
                  <w:rStyle w:val="eop"/>
                  <w:rFonts w:cs="Calibri"/>
                  <w:sz w:val="22"/>
                  <w:szCs w:val="22"/>
                </w:rPr>
                <w:delText> </w:delText>
              </w:r>
            </w:del>
          </w:p>
          <w:p w14:paraId="53AA37AA" w14:textId="77777777" w:rsidR="009A5A23" w:rsidRDefault="00944B8F" w:rsidP="004E4AB0">
            <w:pPr>
              <w:pStyle w:val="paragraph0"/>
              <w:spacing w:before="0" w:beforeAutospacing="0" w:after="0" w:afterAutospacing="0" w:line="276" w:lineRule="auto"/>
              <w:textAlignment w:val="baseline"/>
              <w:rPr>
                <w:del w:id="3521" w:author="AbbVie19" w:date="2025-04-16T10:35:00Z"/>
              </w:rPr>
            </w:pPr>
            <w:del w:id="3522" w:author="AbbVie19" w:date="2025-04-16T10:35:00Z">
              <w:r>
                <w:rPr>
                  <w:rStyle w:val="eop"/>
                  <w:rFonts w:cs="Calibri"/>
                  <w:sz w:val="22"/>
                  <w:szCs w:val="22"/>
                </w:rPr>
                <w:delText xml:space="preserve">Note 3: </w:delText>
              </w:r>
              <w:r>
                <w:rPr>
                  <w:sz w:val="22"/>
                  <w:szCs w:val="22"/>
                  <w:lang w:eastAsia="en-GB"/>
                </w:rPr>
                <w:delText>Patients with missing values at Week 52 or who were randomized to receive re-induction or maintenance treatment were considered non-responders for Week 52 endpoints</w:delText>
              </w:r>
            </w:del>
          </w:p>
        </w:tc>
      </w:tr>
    </w:tbl>
    <w:p w14:paraId="0C4059A8" w14:textId="77777777" w:rsidR="009A5A23" w:rsidRDefault="009A5A23" w:rsidP="009A5A23">
      <w:pPr>
        <w:rPr>
          <w:del w:id="3523" w:author="AbbVie19" w:date="2025-04-16T10:35:00Z"/>
          <w:szCs w:val="22"/>
        </w:rPr>
      </w:pPr>
    </w:p>
    <w:p w14:paraId="1BBC27B9" w14:textId="77777777" w:rsidR="009A5A23" w:rsidRDefault="009A5A23" w:rsidP="009A5A23">
      <w:pPr>
        <w:rPr>
          <w:del w:id="3524" w:author="AbbVie19" w:date="2025-04-16T10:35:00Z"/>
          <w:szCs w:val="22"/>
        </w:rPr>
      </w:pPr>
    </w:p>
    <w:p w14:paraId="1C4CA5B2" w14:textId="77777777" w:rsidR="009A5A23" w:rsidRPr="00986E88" w:rsidRDefault="00944B8F" w:rsidP="009A5A23">
      <w:pPr>
        <w:rPr>
          <w:del w:id="3525" w:author="AbbVie19" w:date="2025-04-16T10:35:00Z"/>
          <w:szCs w:val="22"/>
        </w:rPr>
      </w:pPr>
      <w:del w:id="3526" w:author="AbbVie19" w:date="2025-04-16T10:35:00Z">
        <w:r w:rsidRPr="00986E88">
          <w:rPr>
            <w:szCs w:val="22"/>
          </w:rPr>
          <w:delText>Of the Humira-treated patients who received re-induction treatment during the maintenance period, 2/6 (33%) achieved clinical response per FMS at Week 52.</w:delText>
        </w:r>
      </w:del>
    </w:p>
    <w:p w14:paraId="437D6E10" w14:textId="77777777" w:rsidR="009A5A23" w:rsidRPr="00986E88" w:rsidRDefault="009A5A23" w:rsidP="009A5A23">
      <w:pPr>
        <w:rPr>
          <w:del w:id="3527" w:author="AbbVie19" w:date="2025-04-16T10:35:00Z"/>
          <w:szCs w:val="22"/>
        </w:rPr>
      </w:pPr>
    </w:p>
    <w:p w14:paraId="3DF431D5" w14:textId="77777777" w:rsidR="009A5A23" w:rsidRDefault="00944B8F" w:rsidP="009A5A23">
      <w:pPr>
        <w:keepNext/>
        <w:rPr>
          <w:del w:id="3528" w:author="AbbVie19" w:date="2025-04-16T10:35:00Z"/>
          <w:bCs/>
          <w:i/>
          <w:szCs w:val="22"/>
          <w:u w:val="single"/>
        </w:rPr>
      </w:pPr>
      <w:del w:id="3529" w:author="AbbVie19" w:date="2025-04-16T10:35:00Z">
        <w:r>
          <w:rPr>
            <w:bCs/>
            <w:i/>
            <w:szCs w:val="22"/>
            <w:u w:val="single"/>
          </w:rPr>
          <w:delText>Quality of life</w:delText>
        </w:r>
      </w:del>
    </w:p>
    <w:p w14:paraId="5C287FEF" w14:textId="77777777" w:rsidR="009A5A23" w:rsidRDefault="009A5A23" w:rsidP="009A5A23">
      <w:pPr>
        <w:keepNext/>
        <w:rPr>
          <w:del w:id="3530" w:author="AbbVie19" w:date="2025-04-16T10:35:00Z"/>
          <w:bCs/>
          <w:i/>
          <w:szCs w:val="22"/>
          <w:u w:val="single"/>
        </w:rPr>
      </w:pPr>
    </w:p>
    <w:p w14:paraId="18C0DF93" w14:textId="77777777" w:rsidR="009A5A23" w:rsidRDefault="00944B8F" w:rsidP="009A5A23">
      <w:pPr>
        <w:keepNext/>
        <w:rPr>
          <w:del w:id="3531" w:author="AbbVie19" w:date="2025-04-16T10:35:00Z"/>
          <w:szCs w:val="22"/>
        </w:rPr>
      </w:pPr>
      <w:del w:id="3532" w:author="AbbVie19" w:date="2025-04-16T10:35:00Z">
        <w:r w:rsidRPr="00986E88">
          <w:rPr>
            <w:szCs w:val="22"/>
          </w:rPr>
          <w:delText xml:space="preserve">Clinically meaningful improvements from Baseline were observed in IMPACT III and the caregiver Work Productivity and Activity Impairment (WPAI) scores for the groups treated with </w:delText>
        </w:r>
        <w:r>
          <w:rPr>
            <w:szCs w:val="22"/>
          </w:rPr>
          <w:delText>Humira.</w:delText>
        </w:r>
      </w:del>
    </w:p>
    <w:p w14:paraId="3A4DC585" w14:textId="77777777" w:rsidR="009A5A23" w:rsidRPr="00986E88" w:rsidRDefault="009A5A23" w:rsidP="009A5A23">
      <w:pPr>
        <w:keepNext/>
        <w:rPr>
          <w:del w:id="3533" w:author="AbbVie19" w:date="2025-04-16T10:35:00Z"/>
          <w:szCs w:val="22"/>
        </w:rPr>
      </w:pPr>
    </w:p>
    <w:p w14:paraId="549F6538" w14:textId="77777777" w:rsidR="009A5A23" w:rsidRPr="006E11D0" w:rsidRDefault="00944B8F" w:rsidP="009A5A23">
      <w:pPr>
        <w:tabs>
          <w:tab w:val="clear" w:pos="562"/>
        </w:tabs>
        <w:suppressAutoHyphens w:val="0"/>
        <w:rPr>
          <w:del w:id="3534" w:author="AbbVie19" w:date="2025-04-16T10:35:00Z"/>
          <w:rFonts w:eastAsiaTheme="minorHAnsi"/>
          <w:szCs w:val="22"/>
          <w:lang w:eastAsia="en-GB"/>
        </w:rPr>
      </w:pPr>
      <w:del w:id="3535" w:author="AbbVie19" w:date="2025-04-16T10:35:00Z">
        <w:r w:rsidRPr="00986E88">
          <w:rPr>
            <w:szCs w:val="22"/>
          </w:rPr>
          <w:delText>Clinically meaningful increases (improvement) from Baseline in h</w:delText>
        </w:r>
        <w:r>
          <w:rPr>
            <w:szCs w:val="22"/>
          </w:rPr>
          <w:delText>eight</w:delText>
        </w:r>
        <w:r w:rsidRPr="00986E88">
          <w:rPr>
            <w:szCs w:val="22"/>
          </w:rPr>
          <w:delText xml:space="preserve"> velocity were observed for the groups treated with adalimumab, and clinically meaningful increases (improvement) from Baseline in </w:delText>
        </w:r>
        <w:r w:rsidRPr="00986E88">
          <w:rPr>
            <w:szCs w:val="22"/>
          </w:rPr>
          <w:lastRenderedPageBreak/>
          <w:delText>Body Mass Index were observed for subjects on the high maintenance dose of max</w:delText>
        </w:r>
        <w:r>
          <w:rPr>
            <w:szCs w:val="22"/>
          </w:rPr>
          <w:delText>imum</w:delText>
        </w:r>
        <w:r w:rsidRPr="00986E88">
          <w:rPr>
            <w:szCs w:val="22"/>
          </w:rPr>
          <w:delText xml:space="preserve"> 40 mg (0.6 mg/kg) ew. </w:delText>
        </w:r>
      </w:del>
    </w:p>
    <w:p w14:paraId="01FAF063" w14:textId="77777777" w:rsidR="00A733E3" w:rsidRDefault="00A733E3" w:rsidP="008A7D66">
      <w:pPr>
        <w:keepNext/>
        <w:rPr>
          <w:del w:id="3536" w:author="AbbVie19" w:date="2025-04-16T10:35:00Z"/>
          <w:bCs/>
          <w:i/>
          <w:szCs w:val="22"/>
        </w:rPr>
      </w:pPr>
    </w:p>
    <w:p w14:paraId="12E4ADAE" w14:textId="77777777" w:rsidR="008A7D66" w:rsidRPr="00BC0E7E" w:rsidRDefault="00944B8F" w:rsidP="008A7D66">
      <w:pPr>
        <w:keepNext/>
        <w:rPr>
          <w:del w:id="3537" w:author="AbbVie19" w:date="2025-04-16T10:35:00Z"/>
          <w:b/>
          <w:bCs/>
          <w:i/>
          <w:szCs w:val="20"/>
        </w:rPr>
      </w:pPr>
      <w:del w:id="3538" w:author="AbbVie19" w:date="2025-04-16T10:35:00Z">
        <w:r w:rsidRPr="00BC0E7E">
          <w:rPr>
            <w:bCs/>
            <w:i/>
            <w:szCs w:val="22"/>
          </w:rPr>
          <w:delText>Paediatric Uveitis</w:delText>
        </w:r>
        <w:r w:rsidRPr="00BC0E7E">
          <w:rPr>
            <w:b/>
            <w:bCs/>
            <w:i/>
            <w:szCs w:val="20"/>
          </w:rPr>
          <w:delText xml:space="preserve"> </w:delText>
        </w:r>
      </w:del>
    </w:p>
    <w:p w14:paraId="69E7AA07" w14:textId="77777777" w:rsidR="008A7D66" w:rsidRPr="00BC0E7E" w:rsidRDefault="008A7D66" w:rsidP="008A7D66">
      <w:pPr>
        <w:tabs>
          <w:tab w:val="clear" w:pos="562"/>
        </w:tabs>
        <w:suppressAutoHyphens w:val="0"/>
        <w:rPr>
          <w:del w:id="3539" w:author="AbbVie19" w:date="2025-04-16T10:35:00Z"/>
          <w:bCs/>
          <w:szCs w:val="20"/>
        </w:rPr>
      </w:pPr>
    </w:p>
    <w:p w14:paraId="7772B9C3" w14:textId="77777777" w:rsidR="008A7D66" w:rsidRPr="00BC0E7E" w:rsidRDefault="00944B8F" w:rsidP="008A7D66">
      <w:pPr>
        <w:tabs>
          <w:tab w:val="clear" w:pos="562"/>
        </w:tabs>
        <w:suppressAutoHyphens w:val="0"/>
        <w:rPr>
          <w:del w:id="3540" w:author="AbbVie19" w:date="2025-04-16T10:35:00Z"/>
          <w:bCs/>
          <w:szCs w:val="20"/>
        </w:rPr>
      </w:pPr>
      <w:del w:id="3541" w:author="AbbVie19" w:date="2025-04-16T10:35:00Z">
        <w:r w:rsidRPr="00BC0E7E">
          <w:rPr>
            <w:bCs/>
            <w:szCs w:val="20"/>
          </w:rPr>
          <w:delText>The safety and efficacy of Humira was assessed in a randomized, double</w:delText>
        </w:r>
        <w:r w:rsidRPr="00BC0E7E">
          <w:rPr>
            <w:bCs/>
            <w:szCs w:val="20"/>
          </w:rPr>
          <w:noBreakHyphen/>
          <w:delText xml:space="preserve">masked, controlled study of 90 paediatric patients from 2 to &lt; 18 years of age with active JIA-associated noninfectious anterior uveitis who were refractory to at least 12 weeks of methotrexate treatment. Patients received either placebo or 20 mg adalimumab (if &lt; 30 kg) or 40 mg adalimumab (if ≥ 30 kg) every other week in combination with their baseline dose of methotrexate. </w:delText>
        </w:r>
      </w:del>
    </w:p>
    <w:p w14:paraId="074D6B46" w14:textId="77777777" w:rsidR="008A7D66" w:rsidRPr="00BC0E7E" w:rsidRDefault="008A7D66" w:rsidP="008A7D66">
      <w:pPr>
        <w:tabs>
          <w:tab w:val="clear" w:pos="562"/>
        </w:tabs>
        <w:suppressAutoHyphens w:val="0"/>
        <w:rPr>
          <w:del w:id="3542" w:author="AbbVie19" w:date="2025-04-16T10:35:00Z"/>
          <w:bCs/>
          <w:szCs w:val="20"/>
        </w:rPr>
      </w:pPr>
    </w:p>
    <w:p w14:paraId="4019129A" w14:textId="77777777" w:rsidR="008A7D66" w:rsidRPr="00BC0E7E" w:rsidRDefault="00944B8F" w:rsidP="008A7D66">
      <w:pPr>
        <w:tabs>
          <w:tab w:val="clear" w:pos="562"/>
        </w:tabs>
        <w:suppressAutoHyphens w:val="0"/>
        <w:rPr>
          <w:del w:id="3543" w:author="AbbVie19" w:date="2025-04-16T10:35:00Z"/>
          <w:bCs/>
          <w:szCs w:val="20"/>
        </w:rPr>
      </w:pPr>
      <w:del w:id="3544" w:author="AbbVie19" w:date="2025-04-16T10:35:00Z">
        <w:r w:rsidRPr="00BC0E7E">
          <w:rPr>
            <w:bCs/>
            <w:szCs w:val="20"/>
          </w:rPr>
          <w:delText>The primary endpoint was ‘time to treatment failure’. The criteria determining treatment failure were worsening or sustained non-improvement in ocular inflammation, partial improvement with development of sustained ocular co-morbidities or worsening of ocular co-morbidities, non-permitted use of concomitant medications, and suspension of treatment for an extended period of time.</w:delText>
        </w:r>
      </w:del>
    </w:p>
    <w:p w14:paraId="1CEB844D" w14:textId="77777777" w:rsidR="008A7D66" w:rsidRPr="00BC0E7E" w:rsidRDefault="008A7D66" w:rsidP="008A7D66">
      <w:pPr>
        <w:tabs>
          <w:tab w:val="clear" w:pos="562"/>
        </w:tabs>
        <w:suppressAutoHyphens w:val="0"/>
        <w:rPr>
          <w:del w:id="3545" w:author="AbbVie19" w:date="2025-04-16T10:35:00Z"/>
          <w:bCs/>
          <w:szCs w:val="20"/>
        </w:rPr>
      </w:pPr>
    </w:p>
    <w:p w14:paraId="123F3619" w14:textId="77777777" w:rsidR="008A7D66" w:rsidRPr="00BC0E7E" w:rsidRDefault="00944B8F" w:rsidP="008A7D66">
      <w:pPr>
        <w:keepNext/>
        <w:rPr>
          <w:del w:id="3546" w:author="AbbVie19" w:date="2025-04-16T10:35:00Z"/>
          <w:i/>
          <w:szCs w:val="20"/>
          <w:u w:val="single"/>
        </w:rPr>
      </w:pPr>
      <w:del w:id="3547" w:author="AbbVie19" w:date="2025-04-16T10:35:00Z">
        <w:r w:rsidRPr="00BC0E7E">
          <w:rPr>
            <w:i/>
            <w:szCs w:val="20"/>
            <w:u w:val="single"/>
          </w:rPr>
          <w:delText>Clinical Response</w:delText>
        </w:r>
      </w:del>
    </w:p>
    <w:p w14:paraId="1E0B126F" w14:textId="77777777" w:rsidR="008A7D66" w:rsidRPr="00BC0E7E" w:rsidRDefault="008A7D66" w:rsidP="008A7D66">
      <w:pPr>
        <w:keepNext/>
        <w:tabs>
          <w:tab w:val="clear" w:pos="562"/>
        </w:tabs>
        <w:suppressAutoHyphens w:val="0"/>
        <w:rPr>
          <w:del w:id="3548" w:author="AbbVie19" w:date="2025-04-16T10:35:00Z"/>
          <w:i/>
          <w:sz w:val="24"/>
          <w:u w:val="single"/>
        </w:rPr>
      </w:pPr>
    </w:p>
    <w:p w14:paraId="29CEEC64" w14:textId="77777777" w:rsidR="008A7D66" w:rsidRDefault="00944B8F" w:rsidP="008A7D66">
      <w:pPr>
        <w:keepNext/>
        <w:tabs>
          <w:tab w:val="clear" w:pos="562"/>
        </w:tabs>
        <w:suppressAutoHyphens w:val="0"/>
        <w:rPr>
          <w:del w:id="3549" w:author="AbbVie19" w:date="2025-04-16T10:35:00Z"/>
          <w:bCs/>
          <w:szCs w:val="20"/>
        </w:rPr>
      </w:pPr>
      <w:del w:id="3550" w:author="AbbVie19" w:date="2025-04-16T10:35:00Z">
        <w:r w:rsidRPr="00BC0E7E">
          <w:rPr>
            <w:bCs/>
            <w:szCs w:val="20"/>
          </w:rPr>
          <w:delText xml:space="preserve">Adalimumab significantly delayed the time to treatment failure, as compared to placebo (See Figure </w:delText>
        </w:r>
        <w:r w:rsidR="005F03EC">
          <w:rPr>
            <w:bCs/>
            <w:szCs w:val="20"/>
          </w:rPr>
          <w:delText>2</w:delText>
        </w:r>
        <w:r w:rsidRPr="00BC0E7E">
          <w:rPr>
            <w:bCs/>
            <w:szCs w:val="20"/>
          </w:rPr>
          <w:delText xml:space="preserve">, P &lt; 0.0001 from log rank test).The median time to treatment failure was 24.1 weeks for subjects treated with placebo, whereas the median time to treatment failure was not estimable for subjects treated with adalimumab because less than one-half of these subjects experienced treatment failure.  Adalimumab </w:delText>
        </w:r>
        <w:r w:rsidRPr="00BC0E7E">
          <w:rPr>
            <w:bCs/>
            <w:szCs w:val="20"/>
          </w:rPr>
          <w:lastRenderedPageBreak/>
          <w:delText>significantly decreased the risk of treatment failure by 75% relative to placebo, as shown by the hazard ratio (HR = 0.25 [95% CI: 0.12, 0.49]).</w:delText>
        </w:r>
      </w:del>
    </w:p>
    <w:p w14:paraId="024F776C" w14:textId="77777777" w:rsidR="008A7D66" w:rsidRPr="00BC0E7E" w:rsidRDefault="008A7D66" w:rsidP="008A7D66">
      <w:pPr>
        <w:keepNext/>
        <w:tabs>
          <w:tab w:val="clear" w:pos="562"/>
        </w:tabs>
        <w:suppressAutoHyphens w:val="0"/>
        <w:rPr>
          <w:del w:id="3551" w:author="AbbVie19" w:date="2025-04-16T10:35:00Z"/>
          <w:bCs/>
          <w:szCs w:val="20"/>
        </w:rPr>
      </w:pPr>
    </w:p>
    <w:p w14:paraId="3DA51B76" w14:textId="77777777" w:rsidR="008A7D66" w:rsidRDefault="00944B8F" w:rsidP="008A7D66">
      <w:pPr>
        <w:keepNext/>
        <w:tabs>
          <w:tab w:val="clear" w:pos="562"/>
        </w:tabs>
        <w:suppressAutoHyphens w:val="0"/>
        <w:spacing w:line="300" w:lineRule="auto"/>
        <w:jc w:val="center"/>
        <w:rPr>
          <w:del w:id="3552" w:author="AbbVie19" w:date="2025-04-16T10:35:00Z"/>
          <w:b/>
          <w:szCs w:val="22"/>
        </w:rPr>
      </w:pPr>
      <w:del w:id="3553" w:author="AbbVie19" w:date="2025-04-16T10:35:00Z">
        <w:r w:rsidRPr="00BC0E7E">
          <w:rPr>
            <w:b/>
            <w:szCs w:val="22"/>
          </w:rPr>
          <w:delText xml:space="preserve">Figure </w:delText>
        </w:r>
        <w:r w:rsidR="005F03EC">
          <w:rPr>
            <w:b/>
            <w:szCs w:val="22"/>
          </w:rPr>
          <w:delText>2</w:delText>
        </w:r>
        <w:r w:rsidRPr="00BC0E7E">
          <w:rPr>
            <w:b/>
            <w:szCs w:val="22"/>
          </w:rPr>
          <w:delText>: Kaplan-Meier Curves Summarizing Time to Treatment Failure in the Paediatric Uveitis Study</w:delText>
        </w:r>
      </w:del>
    </w:p>
    <w:p w14:paraId="021B64AD" w14:textId="77777777" w:rsidR="008A7D66" w:rsidRPr="00BC0E7E" w:rsidRDefault="008A7D66" w:rsidP="008A7D66">
      <w:pPr>
        <w:keepNext/>
        <w:tabs>
          <w:tab w:val="clear" w:pos="562"/>
        </w:tabs>
        <w:suppressAutoHyphens w:val="0"/>
        <w:spacing w:line="300" w:lineRule="auto"/>
        <w:jc w:val="center"/>
        <w:rPr>
          <w:del w:id="3554" w:author="AbbVie19" w:date="2025-04-16T10:35:00Z"/>
          <w:b/>
          <w:szCs w:val="22"/>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C6578C" w14:paraId="7C6DA0A6" w14:textId="77777777" w:rsidTr="008A7D66">
        <w:trPr>
          <w:cantSplit/>
          <w:trHeight w:val="3806"/>
          <w:del w:id="3555" w:author="AbbVie19" w:date="2025-04-16T10:35:00Z"/>
        </w:trPr>
        <w:tc>
          <w:tcPr>
            <w:tcW w:w="468" w:type="dxa"/>
            <w:textDirection w:val="btLr"/>
            <w:vAlign w:val="bottom"/>
          </w:tcPr>
          <w:p w14:paraId="6FF1ED0E" w14:textId="77777777" w:rsidR="008A7D66" w:rsidRPr="00BC0E7E" w:rsidRDefault="00944B8F" w:rsidP="008A7D66">
            <w:pPr>
              <w:keepNext/>
              <w:ind w:left="113" w:right="113"/>
              <w:jc w:val="center"/>
              <w:rPr>
                <w:del w:id="3556" w:author="AbbVie19" w:date="2025-04-16T10:35:00Z"/>
                <w:b/>
                <w:szCs w:val="22"/>
              </w:rPr>
            </w:pPr>
            <w:del w:id="3557" w:author="AbbVie19" w:date="2025-04-16T10:35:00Z">
              <w:r w:rsidRPr="00BC0E7E">
                <w:rPr>
                  <w:b/>
                  <w:szCs w:val="22"/>
                </w:rPr>
                <w:delText>PROBABILITY OF FAILING TREATMENT</w:delText>
              </w:r>
            </w:del>
          </w:p>
        </w:tc>
        <w:tc>
          <w:tcPr>
            <w:tcW w:w="8820" w:type="dxa"/>
            <w:gridSpan w:val="5"/>
            <w:vAlign w:val="bottom"/>
          </w:tcPr>
          <w:p w14:paraId="2F20125F" w14:textId="77777777" w:rsidR="008A7D66" w:rsidRPr="00BC0E7E" w:rsidRDefault="00944B8F" w:rsidP="008A7D66">
            <w:pPr>
              <w:keepNext/>
              <w:rPr>
                <w:del w:id="3558" w:author="AbbVie19" w:date="2025-04-16T10:35:00Z"/>
                <w:szCs w:val="22"/>
              </w:rPr>
            </w:pPr>
            <w:del w:id="3559" w:author="AbbVie19" w:date="2025-04-16T10:35:00Z">
              <w:r>
                <w:rPr>
                  <w:noProof/>
                  <w:szCs w:val="22"/>
                  <w:lang w:val="en-US"/>
                </w:rPr>
                <w:drawing>
                  <wp:inline distT="0" distB="0" distL="0" distR="0" wp14:anchorId="3CA3D6EF" wp14:editId="7479606B">
                    <wp:extent cx="5486400" cy="4556125"/>
                    <wp:effectExtent l="0" t="0" r="0" b="0"/>
                    <wp:docPr id="18" name="Picture 18"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7" descr="Humira PED UV KM Curve REVISED 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486400" cy="4556125"/>
                            </a:xfrm>
                            <a:prstGeom prst="rect">
                              <a:avLst/>
                            </a:prstGeom>
                            <a:noFill/>
                            <a:ln>
                              <a:noFill/>
                            </a:ln>
                          </pic:spPr>
                        </pic:pic>
                      </a:graphicData>
                    </a:graphic>
                  </wp:inline>
                </w:drawing>
              </w:r>
            </w:del>
          </w:p>
        </w:tc>
      </w:tr>
      <w:tr w:rsidR="00C6578C" w14:paraId="58FCADE9" w14:textId="77777777" w:rsidTr="008A7D66">
        <w:trPr>
          <w:del w:id="3560" w:author="AbbVie19" w:date="2025-04-16T10:35:00Z"/>
        </w:trPr>
        <w:tc>
          <w:tcPr>
            <w:tcW w:w="468" w:type="dxa"/>
          </w:tcPr>
          <w:p w14:paraId="14B8EDDA" w14:textId="77777777" w:rsidR="008A7D66" w:rsidRPr="00BC0E7E" w:rsidRDefault="008A7D66" w:rsidP="008A7D66">
            <w:pPr>
              <w:keepNext/>
              <w:rPr>
                <w:del w:id="3561" w:author="AbbVie19" w:date="2025-04-16T10:35:00Z"/>
                <w:szCs w:val="22"/>
              </w:rPr>
            </w:pPr>
          </w:p>
        </w:tc>
        <w:tc>
          <w:tcPr>
            <w:tcW w:w="8820" w:type="dxa"/>
            <w:gridSpan w:val="5"/>
          </w:tcPr>
          <w:p w14:paraId="15898D41" w14:textId="77777777" w:rsidR="008A7D66" w:rsidRPr="00BC0E7E" w:rsidRDefault="00944B8F" w:rsidP="008A7D66">
            <w:pPr>
              <w:keepNext/>
              <w:jc w:val="center"/>
              <w:rPr>
                <w:del w:id="3562" w:author="AbbVie19" w:date="2025-04-16T10:35:00Z"/>
                <w:b/>
                <w:szCs w:val="22"/>
              </w:rPr>
            </w:pPr>
            <w:del w:id="3563" w:author="AbbVie19" w:date="2025-04-16T10:35:00Z">
              <w:r w:rsidRPr="00BC0E7E">
                <w:rPr>
                  <w:b/>
                  <w:szCs w:val="22"/>
                </w:rPr>
                <w:delText>TIME (WEEKS)</w:delText>
              </w:r>
            </w:del>
          </w:p>
        </w:tc>
      </w:tr>
      <w:tr w:rsidR="00C6578C" w14:paraId="4DC6AD5F" w14:textId="77777777" w:rsidTr="008A7D66">
        <w:trPr>
          <w:del w:id="3564" w:author="AbbVie19" w:date="2025-04-16T10:35:00Z"/>
        </w:trPr>
        <w:tc>
          <w:tcPr>
            <w:tcW w:w="468" w:type="dxa"/>
          </w:tcPr>
          <w:p w14:paraId="70A89F6E" w14:textId="77777777" w:rsidR="008A7D66" w:rsidRPr="00BC0E7E" w:rsidRDefault="008A7D66" w:rsidP="008A7D66">
            <w:pPr>
              <w:keepNext/>
              <w:rPr>
                <w:del w:id="3565" w:author="AbbVie19" w:date="2025-04-16T10:35:00Z"/>
                <w:szCs w:val="22"/>
              </w:rPr>
            </w:pPr>
          </w:p>
        </w:tc>
        <w:tc>
          <w:tcPr>
            <w:tcW w:w="3510" w:type="dxa"/>
          </w:tcPr>
          <w:p w14:paraId="0FF92C5C" w14:textId="77777777" w:rsidR="008A7D66" w:rsidRPr="00BC0E7E" w:rsidRDefault="00944B8F" w:rsidP="008A7D66">
            <w:pPr>
              <w:keepNext/>
              <w:rPr>
                <w:del w:id="3566" w:author="AbbVie19" w:date="2025-04-16T10:35:00Z"/>
                <w:szCs w:val="22"/>
              </w:rPr>
            </w:pPr>
            <w:del w:id="3567" w:author="AbbVie19" w:date="2025-04-16T10:35:00Z">
              <w:r w:rsidRPr="00BC0E7E">
                <w:rPr>
                  <w:szCs w:val="22"/>
                </w:rPr>
                <w:delText>Treatment</w:delText>
              </w:r>
            </w:del>
          </w:p>
        </w:tc>
        <w:tc>
          <w:tcPr>
            <w:tcW w:w="1170" w:type="dxa"/>
            <w:vAlign w:val="bottom"/>
          </w:tcPr>
          <w:p w14:paraId="65278063" w14:textId="77777777" w:rsidR="008A7D66" w:rsidRPr="00BC0E7E" w:rsidRDefault="00944B8F" w:rsidP="008A7D66">
            <w:pPr>
              <w:keepNext/>
              <w:jc w:val="center"/>
              <w:rPr>
                <w:del w:id="3568" w:author="AbbVie19" w:date="2025-04-16T10:35:00Z"/>
                <w:szCs w:val="22"/>
              </w:rPr>
            </w:pPr>
            <w:del w:id="3569" w:author="AbbVie19" w:date="2025-04-16T10:35:00Z">
              <w:r>
                <w:rPr>
                  <w:noProof/>
                  <w:szCs w:val="22"/>
                  <w:lang w:val="en-US"/>
                </w:rPr>
                <w:drawing>
                  <wp:inline distT="0" distB="0" distL="0" distR="0" wp14:anchorId="6F74E1A7" wp14:editId="7201BC60">
                    <wp:extent cx="461010" cy="119380"/>
                    <wp:effectExtent l="0" t="0" r="0" b="0"/>
                    <wp:docPr id="42" name="Picture 42"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8" descr="Humira PED UV KM Curve 1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61010" cy="119380"/>
                            </a:xfrm>
                            <a:prstGeom prst="rect">
                              <a:avLst/>
                            </a:prstGeom>
                            <a:noFill/>
                            <a:ln>
                              <a:noFill/>
                            </a:ln>
                          </pic:spPr>
                        </pic:pic>
                      </a:graphicData>
                    </a:graphic>
                  </wp:inline>
                </w:drawing>
              </w:r>
            </w:del>
          </w:p>
        </w:tc>
        <w:tc>
          <w:tcPr>
            <w:tcW w:w="1350" w:type="dxa"/>
          </w:tcPr>
          <w:p w14:paraId="3775544B" w14:textId="77777777" w:rsidR="008A7D66" w:rsidRPr="00BC0E7E" w:rsidRDefault="00944B8F" w:rsidP="008A7D66">
            <w:pPr>
              <w:keepNext/>
              <w:rPr>
                <w:del w:id="3570" w:author="AbbVie19" w:date="2025-04-16T10:35:00Z"/>
                <w:szCs w:val="22"/>
              </w:rPr>
            </w:pPr>
            <w:del w:id="3571" w:author="AbbVie19" w:date="2025-04-16T10:35:00Z">
              <w:r w:rsidRPr="00BC0E7E">
                <w:rPr>
                  <w:szCs w:val="22"/>
                </w:rPr>
                <w:delText>Placebo</w:delText>
              </w:r>
            </w:del>
          </w:p>
        </w:tc>
        <w:tc>
          <w:tcPr>
            <w:tcW w:w="900" w:type="dxa"/>
            <w:vAlign w:val="center"/>
          </w:tcPr>
          <w:p w14:paraId="2B2FA487" w14:textId="77777777" w:rsidR="008A7D66" w:rsidRPr="00BC0E7E" w:rsidRDefault="00944B8F" w:rsidP="008A7D66">
            <w:pPr>
              <w:keepNext/>
              <w:rPr>
                <w:del w:id="3572" w:author="AbbVie19" w:date="2025-04-16T10:35:00Z"/>
                <w:szCs w:val="22"/>
              </w:rPr>
            </w:pPr>
            <w:del w:id="3573" w:author="AbbVie19" w:date="2025-04-16T10:35:00Z">
              <w:r>
                <w:rPr>
                  <w:noProof/>
                  <w:szCs w:val="22"/>
                  <w:lang w:val="en-US"/>
                </w:rPr>
                <w:drawing>
                  <wp:inline distT="0" distB="0" distL="0" distR="0" wp14:anchorId="47A4A0B1" wp14:editId="11B57CD9">
                    <wp:extent cx="453390" cy="87630"/>
                    <wp:effectExtent l="0" t="0" r="3810" b="7620"/>
                    <wp:docPr id="43" name="Picture 43"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9" descr="Humira PED UV KM Curve 1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53390" cy="87630"/>
                            </a:xfrm>
                            <a:prstGeom prst="rect">
                              <a:avLst/>
                            </a:prstGeom>
                            <a:noFill/>
                            <a:ln>
                              <a:noFill/>
                            </a:ln>
                          </pic:spPr>
                        </pic:pic>
                      </a:graphicData>
                    </a:graphic>
                  </wp:inline>
                </w:drawing>
              </w:r>
            </w:del>
          </w:p>
        </w:tc>
        <w:tc>
          <w:tcPr>
            <w:tcW w:w="1890" w:type="dxa"/>
          </w:tcPr>
          <w:p w14:paraId="5DC79C5E" w14:textId="77777777" w:rsidR="008A7D66" w:rsidRPr="00BC0E7E" w:rsidRDefault="00944B8F" w:rsidP="008A7D66">
            <w:pPr>
              <w:keepNext/>
              <w:rPr>
                <w:del w:id="3574" w:author="AbbVie19" w:date="2025-04-16T10:35:00Z"/>
                <w:szCs w:val="22"/>
              </w:rPr>
            </w:pPr>
            <w:del w:id="3575" w:author="AbbVie19" w:date="2025-04-16T10:35:00Z">
              <w:r w:rsidRPr="00BC0E7E">
                <w:rPr>
                  <w:szCs w:val="22"/>
                </w:rPr>
                <w:delText>Adalimumab</w:delText>
              </w:r>
            </w:del>
          </w:p>
        </w:tc>
      </w:tr>
      <w:tr w:rsidR="00C6578C" w14:paraId="6F9B9E95" w14:textId="77777777" w:rsidTr="008A7D66">
        <w:trPr>
          <w:del w:id="3576" w:author="AbbVie19" w:date="2025-04-16T10:35:00Z"/>
        </w:trPr>
        <w:tc>
          <w:tcPr>
            <w:tcW w:w="468" w:type="dxa"/>
          </w:tcPr>
          <w:p w14:paraId="59F5EC94" w14:textId="77777777" w:rsidR="008A7D66" w:rsidRPr="00BC0E7E" w:rsidRDefault="008A7D66" w:rsidP="008A7D66">
            <w:pPr>
              <w:rPr>
                <w:del w:id="3577" w:author="AbbVie19" w:date="2025-04-16T10:35:00Z"/>
                <w:szCs w:val="22"/>
              </w:rPr>
            </w:pPr>
          </w:p>
        </w:tc>
        <w:tc>
          <w:tcPr>
            <w:tcW w:w="8820" w:type="dxa"/>
            <w:gridSpan w:val="5"/>
          </w:tcPr>
          <w:p w14:paraId="4A81C627" w14:textId="77777777" w:rsidR="008A7D66" w:rsidRPr="00BC0E7E" w:rsidRDefault="00944B8F" w:rsidP="008A7D66">
            <w:pPr>
              <w:rPr>
                <w:del w:id="3578" w:author="AbbVie19" w:date="2025-04-16T10:35:00Z"/>
                <w:szCs w:val="22"/>
              </w:rPr>
            </w:pPr>
            <w:del w:id="3579" w:author="AbbVie19" w:date="2025-04-16T10:35:00Z">
              <w:r w:rsidRPr="00BC0E7E">
                <w:rPr>
                  <w:szCs w:val="22"/>
                </w:rPr>
                <w:delText>Note: P = Placebo (Number at Risk); H = HUMIRA (Number at Risk).</w:delText>
              </w:r>
            </w:del>
          </w:p>
        </w:tc>
      </w:tr>
    </w:tbl>
    <w:p w14:paraId="401FA0DB" w14:textId="77777777" w:rsidR="008A7D66" w:rsidRDefault="008A7D66" w:rsidP="00BC0E7E">
      <w:pPr>
        <w:keepNext/>
        <w:rPr>
          <w:del w:id="3580" w:author="AbbVie19" w:date="2025-04-16T10:35:00Z"/>
          <w:szCs w:val="22"/>
          <w:lang w:eastAsia="en-GB"/>
        </w:rPr>
      </w:pPr>
    </w:p>
    <w:p w14:paraId="186ACC99" w14:textId="77777777" w:rsidR="00BC0E7E" w:rsidRPr="00BC0E7E" w:rsidRDefault="00BC0E7E" w:rsidP="00BC0E7E">
      <w:pPr>
        <w:rPr>
          <w:del w:id="3581" w:author="AbbVie19" w:date="2025-04-16T10:35:00Z"/>
          <w:szCs w:val="20"/>
        </w:rPr>
      </w:pPr>
    </w:p>
    <w:p w14:paraId="5437D7A8" w14:textId="77777777" w:rsidR="00BC0E7E" w:rsidRPr="00BC0E7E" w:rsidRDefault="00944B8F" w:rsidP="00BC0E7E">
      <w:pPr>
        <w:keepNext/>
        <w:suppressAutoHyphens w:val="0"/>
        <w:outlineLvl w:val="1"/>
        <w:rPr>
          <w:del w:id="3582" w:author="AbbVie19" w:date="2025-04-16T10:35:00Z"/>
          <w:b/>
          <w:szCs w:val="20"/>
        </w:rPr>
      </w:pPr>
      <w:del w:id="3583" w:author="AbbVie19" w:date="2025-04-16T10:35:00Z">
        <w:r w:rsidRPr="00BC0E7E">
          <w:rPr>
            <w:b/>
            <w:szCs w:val="20"/>
          </w:rPr>
          <w:delText>5.2</w:delText>
        </w:r>
        <w:r w:rsidRPr="00BC0E7E">
          <w:rPr>
            <w:b/>
            <w:szCs w:val="20"/>
          </w:rPr>
          <w:tab/>
          <w:delText>Pharmacokinetic properties</w:delText>
        </w:r>
      </w:del>
    </w:p>
    <w:p w14:paraId="7D592C35" w14:textId="77777777" w:rsidR="00BC0E7E" w:rsidRPr="00BC0E7E" w:rsidRDefault="00BC0E7E" w:rsidP="00BC0E7E">
      <w:pPr>
        <w:keepNext/>
        <w:rPr>
          <w:del w:id="3584" w:author="AbbVie19" w:date="2025-04-16T10:35:00Z"/>
          <w:szCs w:val="20"/>
        </w:rPr>
      </w:pPr>
    </w:p>
    <w:p w14:paraId="6101E7D6" w14:textId="77777777" w:rsidR="00BC0E7E" w:rsidRPr="00BC0E7E" w:rsidRDefault="00944B8F" w:rsidP="00BC0E7E">
      <w:pPr>
        <w:keepNext/>
        <w:rPr>
          <w:del w:id="3585" w:author="AbbVie19" w:date="2025-04-16T10:35:00Z"/>
          <w:szCs w:val="20"/>
          <w:u w:val="single"/>
        </w:rPr>
      </w:pPr>
      <w:del w:id="3586" w:author="AbbVie19" w:date="2025-04-16T10:35:00Z">
        <w:r w:rsidRPr="00BC0E7E">
          <w:rPr>
            <w:szCs w:val="20"/>
            <w:u w:val="single"/>
          </w:rPr>
          <w:delText>Absorption and distribution</w:delText>
        </w:r>
      </w:del>
    </w:p>
    <w:p w14:paraId="2127DCE1" w14:textId="77777777" w:rsidR="00BC0E7E" w:rsidRPr="00BC0E7E" w:rsidRDefault="00BC0E7E" w:rsidP="00BC0E7E">
      <w:pPr>
        <w:keepNext/>
        <w:rPr>
          <w:del w:id="3587" w:author="AbbVie19" w:date="2025-04-16T10:35:00Z"/>
          <w:szCs w:val="20"/>
        </w:rPr>
      </w:pPr>
    </w:p>
    <w:p w14:paraId="115158F1" w14:textId="77777777" w:rsidR="00BC0E7E" w:rsidRPr="00BC0E7E" w:rsidRDefault="00944B8F" w:rsidP="00BC0E7E">
      <w:pPr>
        <w:keepNext/>
        <w:rPr>
          <w:del w:id="3588" w:author="AbbVie19" w:date="2025-04-16T10:35:00Z"/>
          <w:szCs w:val="20"/>
        </w:rPr>
      </w:pPr>
      <w:del w:id="3589" w:author="AbbVie19" w:date="2025-04-16T10:35:00Z">
        <w:r w:rsidRPr="00BC0E7E">
          <w:rPr>
            <w:szCs w:val="20"/>
          </w:rPr>
          <w:delText>Following the administration of 24 mg/m</w:delText>
        </w:r>
        <w:r w:rsidRPr="00BC0E7E">
          <w:rPr>
            <w:szCs w:val="20"/>
            <w:vertAlign w:val="superscript"/>
          </w:rPr>
          <w:delText>2</w:delText>
        </w:r>
        <w:r w:rsidRPr="00BC0E7E">
          <w:rPr>
            <w:szCs w:val="20"/>
          </w:rPr>
          <w:delText xml:space="preserve"> (maximum of 40 mg) subcutaneously every other week to patients with polyarticular juvenile idiopathic arthritis (JIA) who were 4 to 17 years the mean trough steady-state (values measured from Week 20 to 48) serum adalimumab concentration was 5.6 ± 5.6 µg/ml (102% CV) for adalimumab without concomitant methotrexate and 10.9 ± 5.2 µg/ml (47.7% CV) with concomitant methotrexate.</w:delText>
        </w:r>
      </w:del>
    </w:p>
    <w:p w14:paraId="78CDC7AD" w14:textId="77777777" w:rsidR="00BC0E7E" w:rsidRPr="00BC0E7E" w:rsidRDefault="00BC0E7E" w:rsidP="00BC0E7E">
      <w:pPr>
        <w:rPr>
          <w:del w:id="3590" w:author="AbbVie19" w:date="2025-04-16T10:35:00Z"/>
          <w:szCs w:val="20"/>
        </w:rPr>
      </w:pPr>
    </w:p>
    <w:p w14:paraId="0972258C" w14:textId="77777777" w:rsidR="00BC0E7E" w:rsidRPr="00BC0E7E" w:rsidRDefault="00944B8F" w:rsidP="00BC0E7E">
      <w:pPr>
        <w:rPr>
          <w:del w:id="3591" w:author="AbbVie19" w:date="2025-04-16T10:35:00Z"/>
          <w:szCs w:val="22"/>
        </w:rPr>
      </w:pPr>
      <w:del w:id="3592" w:author="AbbVie19" w:date="2025-04-16T10:35:00Z">
        <w:r w:rsidRPr="00BC0E7E">
          <w:rPr>
            <w:szCs w:val="20"/>
          </w:rPr>
          <w:delText>In patients with polyarticular JIA who were 2 to &lt;4 years old or aged 4 and above weighing &lt;15 kg dosed with adalimumab 24 mg/</w:delText>
        </w:r>
        <w:r w:rsidRPr="00BC0E7E">
          <w:rPr>
            <w:szCs w:val="22"/>
          </w:rPr>
          <w:delText>m</w:delText>
        </w:r>
        <w:r w:rsidRPr="00BC0E7E">
          <w:rPr>
            <w:szCs w:val="22"/>
            <w:vertAlign w:val="superscript"/>
          </w:rPr>
          <w:delText>2</w:delText>
        </w:r>
        <w:r w:rsidRPr="00BC0E7E">
          <w:rPr>
            <w:szCs w:val="22"/>
          </w:rPr>
          <w:delText xml:space="preserve">, the mean trough steady-state serum adalimumab concentrations was </w:delText>
        </w:r>
        <w:r w:rsidRPr="00BC0E7E">
          <w:rPr>
            <w:szCs w:val="22"/>
          </w:rPr>
          <w:lastRenderedPageBreak/>
          <w:delText>6.0</w:delText>
        </w:r>
        <w:r w:rsidRPr="00BC0E7E">
          <w:rPr>
            <w:szCs w:val="20"/>
          </w:rPr>
          <w:delText> </w:delText>
        </w:r>
        <w:r w:rsidRPr="00BC0E7E">
          <w:rPr>
            <w:szCs w:val="22"/>
          </w:rPr>
          <w:delText>±</w:delText>
        </w:r>
        <w:r w:rsidRPr="00BC0E7E">
          <w:rPr>
            <w:szCs w:val="20"/>
          </w:rPr>
          <w:delText> </w:delText>
        </w:r>
        <w:r w:rsidRPr="00BC0E7E">
          <w:rPr>
            <w:szCs w:val="22"/>
          </w:rPr>
          <w:delText>6.1</w:delText>
        </w:r>
        <w:r w:rsidRPr="00BC0E7E">
          <w:rPr>
            <w:szCs w:val="20"/>
          </w:rPr>
          <w:delText> </w:delText>
        </w:r>
        <w:r w:rsidRPr="00BC0E7E">
          <w:rPr>
            <w:szCs w:val="22"/>
          </w:rPr>
          <w:delText>µg/ml (101% CV) for adalimumab without concomitant methotrexate and 7.9</w:delText>
        </w:r>
        <w:r w:rsidRPr="00BC0E7E">
          <w:rPr>
            <w:szCs w:val="20"/>
          </w:rPr>
          <w:delText> </w:delText>
        </w:r>
        <w:r w:rsidRPr="00BC0E7E">
          <w:rPr>
            <w:szCs w:val="22"/>
          </w:rPr>
          <w:delText>±</w:delText>
        </w:r>
        <w:r w:rsidRPr="00BC0E7E">
          <w:rPr>
            <w:szCs w:val="20"/>
          </w:rPr>
          <w:delText> </w:delText>
        </w:r>
        <w:r w:rsidRPr="00BC0E7E">
          <w:rPr>
            <w:szCs w:val="22"/>
          </w:rPr>
          <w:delText>5.6</w:delText>
        </w:r>
        <w:r w:rsidRPr="00BC0E7E">
          <w:rPr>
            <w:szCs w:val="20"/>
          </w:rPr>
          <w:delText> </w:delText>
        </w:r>
        <w:r w:rsidRPr="00BC0E7E">
          <w:rPr>
            <w:szCs w:val="22"/>
          </w:rPr>
          <w:delText>µg/ml (71.2% CV) with concomitant methotrexate.</w:delText>
        </w:r>
      </w:del>
    </w:p>
    <w:p w14:paraId="7B171C56" w14:textId="77777777" w:rsidR="00BC0E7E" w:rsidRPr="00BC0E7E" w:rsidRDefault="00BC0E7E" w:rsidP="00BC0E7E">
      <w:pPr>
        <w:rPr>
          <w:del w:id="3593" w:author="AbbVie19" w:date="2025-04-16T10:35:00Z"/>
          <w:szCs w:val="22"/>
        </w:rPr>
      </w:pPr>
    </w:p>
    <w:p w14:paraId="40A6FD16" w14:textId="77777777" w:rsidR="00BC0E7E" w:rsidRPr="00BC0E7E" w:rsidRDefault="00944B8F" w:rsidP="00BC0E7E">
      <w:pPr>
        <w:tabs>
          <w:tab w:val="clear" w:pos="562"/>
        </w:tabs>
        <w:suppressAutoHyphens w:val="0"/>
        <w:rPr>
          <w:del w:id="3594" w:author="AbbVie19" w:date="2025-04-16T10:35:00Z"/>
          <w:szCs w:val="22"/>
        </w:rPr>
      </w:pPr>
      <w:del w:id="3595" w:author="AbbVie19" w:date="2025-04-16T10:35:00Z">
        <w:r w:rsidRPr="00BC0E7E">
          <w:rPr>
            <w:szCs w:val="22"/>
          </w:rPr>
          <w:delText>Following the administration of 24</w:delText>
        </w:r>
        <w:r w:rsidRPr="00BC0E7E">
          <w:rPr>
            <w:sz w:val="24"/>
          </w:rPr>
          <w:delText> </w:delText>
        </w:r>
        <w:r w:rsidRPr="00BC0E7E">
          <w:rPr>
            <w:szCs w:val="22"/>
          </w:rPr>
          <w:delText>mg/m</w:delText>
        </w:r>
        <w:r w:rsidRPr="00BC0E7E">
          <w:rPr>
            <w:szCs w:val="22"/>
            <w:vertAlign w:val="superscript"/>
          </w:rPr>
          <w:delText>2</w:delText>
        </w:r>
        <w:r w:rsidRPr="00BC0E7E">
          <w:rPr>
            <w:szCs w:val="22"/>
          </w:rPr>
          <w:delText xml:space="preserve"> (maximum of 40</w:delText>
        </w:r>
        <w:r w:rsidRPr="00BC0E7E">
          <w:rPr>
            <w:sz w:val="24"/>
          </w:rPr>
          <w:delText> </w:delText>
        </w:r>
        <w:r w:rsidRPr="00BC0E7E">
          <w:rPr>
            <w:szCs w:val="22"/>
          </w:rPr>
          <w:delText>mg) subcutaneously every other week to patients with enthesitis-related arthritis who were 6 to 17</w:delText>
        </w:r>
        <w:r w:rsidRPr="00BC0E7E">
          <w:rPr>
            <w:sz w:val="24"/>
          </w:rPr>
          <w:delText> </w:delText>
        </w:r>
        <w:r w:rsidRPr="00BC0E7E">
          <w:rPr>
            <w:szCs w:val="22"/>
          </w:rPr>
          <w:delText>years, the mean trough steady-state (values measured at Week</w:delText>
        </w:r>
        <w:r w:rsidRPr="00BC0E7E">
          <w:rPr>
            <w:sz w:val="24"/>
          </w:rPr>
          <w:delText> </w:delText>
        </w:r>
        <w:r w:rsidRPr="00BC0E7E">
          <w:rPr>
            <w:szCs w:val="22"/>
          </w:rPr>
          <w:delText>24) serum adalimumab concentrations were 8.8</w:delText>
        </w:r>
        <w:r w:rsidRPr="00BC0E7E">
          <w:rPr>
            <w:sz w:val="24"/>
          </w:rPr>
          <w:delText> </w:delText>
        </w:r>
        <w:r w:rsidRPr="00BC0E7E">
          <w:rPr>
            <w:szCs w:val="22"/>
          </w:rPr>
          <w:delText>±</w:delText>
        </w:r>
        <w:r w:rsidRPr="00BC0E7E">
          <w:rPr>
            <w:sz w:val="24"/>
          </w:rPr>
          <w:delText> </w:delText>
        </w:r>
        <w:r w:rsidRPr="00BC0E7E">
          <w:rPr>
            <w:szCs w:val="22"/>
          </w:rPr>
          <w:delText>6.6</w:delText>
        </w:r>
        <w:r w:rsidRPr="00BC0E7E">
          <w:rPr>
            <w:sz w:val="24"/>
          </w:rPr>
          <w:delText> </w:delText>
        </w:r>
        <w:r w:rsidRPr="00BC0E7E">
          <w:rPr>
            <w:szCs w:val="22"/>
          </w:rPr>
          <w:delText>μg/ml for adalimumab without concomitant methotrexate and 11.8</w:delText>
        </w:r>
        <w:r w:rsidRPr="00BC0E7E">
          <w:rPr>
            <w:sz w:val="24"/>
          </w:rPr>
          <w:delText> </w:delText>
        </w:r>
        <w:r w:rsidRPr="00BC0E7E">
          <w:rPr>
            <w:szCs w:val="22"/>
          </w:rPr>
          <w:delText>±</w:delText>
        </w:r>
        <w:r w:rsidRPr="00BC0E7E">
          <w:rPr>
            <w:sz w:val="24"/>
          </w:rPr>
          <w:delText> </w:delText>
        </w:r>
        <w:r w:rsidRPr="00BC0E7E">
          <w:rPr>
            <w:szCs w:val="22"/>
          </w:rPr>
          <w:delText>4.3</w:delText>
        </w:r>
        <w:r w:rsidRPr="00BC0E7E">
          <w:rPr>
            <w:sz w:val="24"/>
          </w:rPr>
          <w:delText> </w:delText>
        </w:r>
        <w:r w:rsidRPr="00BC0E7E">
          <w:rPr>
            <w:szCs w:val="22"/>
          </w:rPr>
          <w:delText>μg/ml with concomitant methotrexate.</w:delText>
        </w:r>
      </w:del>
    </w:p>
    <w:p w14:paraId="614819EB" w14:textId="77777777" w:rsidR="00BC0E7E" w:rsidRPr="00BC0E7E" w:rsidRDefault="00BC0E7E" w:rsidP="00BC0E7E">
      <w:pPr>
        <w:rPr>
          <w:del w:id="3596" w:author="AbbVie19" w:date="2025-04-16T10:35:00Z"/>
          <w:szCs w:val="20"/>
        </w:rPr>
      </w:pPr>
    </w:p>
    <w:p w14:paraId="26173FEA" w14:textId="77777777" w:rsidR="00203F45" w:rsidRPr="002A3533" w:rsidRDefault="00944B8F" w:rsidP="00203F45">
      <w:pPr>
        <w:pStyle w:val="EMEANormal"/>
        <w:rPr>
          <w:del w:id="3597" w:author="AbbVie19" w:date="2025-04-16T10:35:00Z"/>
        </w:rPr>
      </w:pPr>
      <w:del w:id="3598" w:author="AbbVie19" w:date="2025-04-16T10:35:00Z">
        <w:r w:rsidRPr="002A3533">
          <w:delText>Following the administration of 0.8</w:delText>
        </w:r>
        <w:r>
          <w:delText> </w:delText>
        </w:r>
        <w:r w:rsidRPr="002A3533">
          <w:delText>mg/kg (maximum of 40</w:delText>
        </w:r>
        <w:r>
          <w:delText> </w:delText>
        </w:r>
        <w:r w:rsidRPr="002A3533">
          <w:delText>mg) subcutaneously every other week to paediatric patients with chronic plaque psoriasis, the mean</w:delText>
        </w:r>
        <w:r>
          <w:delText> </w:delText>
        </w:r>
        <w:r w:rsidRPr="002A3533">
          <w:delText>±</w:delText>
        </w:r>
        <w:r>
          <w:delText> </w:delText>
        </w:r>
        <w:r w:rsidRPr="002A3533">
          <w:delText>SD steady-state adalimumab trough concentration was approximately 7.4</w:delText>
        </w:r>
        <w:r>
          <w:delText> </w:delText>
        </w:r>
        <w:r w:rsidRPr="002A3533">
          <w:delText>±</w:delText>
        </w:r>
        <w:r>
          <w:delText> </w:delText>
        </w:r>
        <w:r w:rsidRPr="002A3533">
          <w:delText>5.8</w:delText>
        </w:r>
        <w:r>
          <w:delText> </w:delText>
        </w:r>
        <w:r w:rsidRPr="002A3533">
          <w:delText>µg/m</w:delText>
        </w:r>
        <w:r>
          <w:delText>l</w:delText>
        </w:r>
        <w:r w:rsidRPr="002A3533">
          <w:delText xml:space="preserve"> (79% CV).</w:delText>
        </w:r>
      </w:del>
    </w:p>
    <w:p w14:paraId="64FBAAEE" w14:textId="77777777" w:rsidR="00203F45" w:rsidRPr="002A3533" w:rsidRDefault="00203F45" w:rsidP="00203F45">
      <w:pPr>
        <w:pStyle w:val="EMEANormal"/>
        <w:rPr>
          <w:del w:id="3599" w:author="AbbVie19" w:date="2025-04-16T10:35:00Z"/>
          <w:lang w:val="en-GB"/>
        </w:rPr>
      </w:pPr>
    </w:p>
    <w:p w14:paraId="25D94BC6" w14:textId="77777777" w:rsidR="00203F45" w:rsidRDefault="00944B8F" w:rsidP="00203F45">
      <w:pPr>
        <w:pStyle w:val="EMEANormal"/>
        <w:rPr>
          <w:del w:id="3600" w:author="AbbVie19" w:date="2025-04-16T10:35:00Z"/>
          <w:iCs/>
        </w:rPr>
      </w:pPr>
      <w:del w:id="3601" w:author="AbbVie19" w:date="2025-04-16T10:35:00Z">
        <w:r>
          <w:rPr>
            <w:iCs/>
          </w:rPr>
          <w:delText xml:space="preserve">Adalimumab exposure in adolescent HS patients was predicted using population pharmacokinetic modelling and simulation based on cross-indication pharmacokinetics in other paediatric patients (paediatric psoriasis, juvenile idiopathic </w:delText>
        </w:r>
        <w:r w:rsidRPr="0069422B">
          <w:rPr>
            <w:iCs/>
          </w:rPr>
          <w:delText xml:space="preserve">arthritis, paediatric Crohn’s disease, and </w:delText>
        </w:r>
        <w:r>
          <w:rPr>
            <w:iCs/>
          </w:rPr>
          <w:delText>enthesitis-related arthritis). </w:delText>
        </w:r>
        <w:r w:rsidRPr="00014C5D">
          <w:rPr>
            <w:iCs/>
          </w:rPr>
          <w:delText>The recommended adol</w:delText>
        </w:r>
        <w:r>
          <w:rPr>
            <w:iCs/>
          </w:rPr>
          <w:delText>escent HS dosing schedule is 40 </w:delText>
        </w:r>
        <w:r w:rsidRPr="00014C5D">
          <w:rPr>
            <w:iCs/>
          </w:rPr>
          <w:delText>mg every other week. Since exposure to adalimumab can be affected by body size, adolescents with higher body weight and inadequate response may benefit from receiving t</w:delText>
        </w:r>
        <w:r>
          <w:rPr>
            <w:iCs/>
          </w:rPr>
          <w:delText>he recommended adult dose of 40 </w:delText>
        </w:r>
        <w:r w:rsidRPr="00014C5D">
          <w:rPr>
            <w:iCs/>
          </w:rPr>
          <w:delText>mg every week.</w:delText>
        </w:r>
      </w:del>
    </w:p>
    <w:p w14:paraId="1C3CA035" w14:textId="77777777" w:rsidR="00203F45" w:rsidRDefault="00203F45" w:rsidP="00203F45">
      <w:pPr>
        <w:pStyle w:val="EMEANormal"/>
        <w:rPr>
          <w:del w:id="3602" w:author="AbbVie19" w:date="2025-04-16T10:35:00Z"/>
          <w:iCs/>
        </w:rPr>
      </w:pPr>
    </w:p>
    <w:p w14:paraId="5CDACA59" w14:textId="77777777" w:rsidR="00BC0E7E" w:rsidRPr="00BC0E7E" w:rsidRDefault="00944B8F" w:rsidP="00BC0E7E">
      <w:pPr>
        <w:rPr>
          <w:del w:id="3603" w:author="AbbVie19" w:date="2025-04-16T10:35:00Z"/>
          <w:szCs w:val="20"/>
        </w:rPr>
      </w:pPr>
      <w:del w:id="3604" w:author="AbbVie19" w:date="2025-04-16T10:35:00Z">
        <w:r w:rsidRPr="00BC0E7E">
          <w:rPr>
            <w:szCs w:val="20"/>
            <w:lang w:eastAsia="en-GB"/>
          </w:rPr>
          <w:delText>In paediatric patients with moderate to severe CD, the open-label adalimumab induction dose was 160/80</w:delText>
        </w:r>
        <w:r w:rsidRPr="00BC0E7E">
          <w:rPr>
            <w:szCs w:val="20"/>
          </w:rPr>
          <w:delText> </w:delText>
        </w:r>
        <w:r w:rsidRPr="00BC0E7E">
          <w:rPr>
            <w:szCs w:val="20"/>
            <w:lang w:eastAsia="en-GB"/>
          </w:rPr>
          <w:delText>mg or 80/40</w:delText>
        </w:r>
        <w:r w:rsidRPr="00BC0E7E">
          <w:rPr>
            <w:szCs w:val="20"/>
          </w:rPr>
          <w:delText> </w:delText>
        </w:r>
        <w:r w:rsidRPr="00BC0E7E">
          <w:rPr>
            <w:szCs w:val="20"/>
            <w:lang w:eastAsia="en-GB"/>
          </w:rPr>
          <w:delText>mg at Weeks</w:delText>
        </w:r>
        <w:r w:rsidRPr="00BC0E7E">
          <w:rPr>
            <w:szCs w:val="20"/>
          </w:rPr>
          <w:delText> </w:delText>
        </w:r>
        <w:r w:rsidRPr="00BC0E7E">
          <w:rPr>
            <w:szCs w:val="20"/>
            <w:lang w:eastAsia="en-GB"/>
          </w:rPr>
          <w:delText>0 and 2, respectively, dependent on a body weight cut-off of 40</w:delText>
        </w:r>
        <w:r w:rsidRPr="00BC0E7E">
          <w:rPr>
            <w:szCs w:val="20"/>
          </w:rPr>
          <w:delText> </w:delText>
        </w:r>
        <w:r w:rsidRPr="00BC0E7E">
          <w:rPr>
            <w:szCs w:val="20"/>
            <w:lang w:eastAsia="en-GB"/>
          </w:rPr>
          <w:delText>kg. At Week</w:delText>
        </w:r>
        <w:r w:rsidRPr="00BC0E7E">
          <w:rPr>
            <w:szCs w:val="20"/>
          </w:rPr>
          <w:delText> </w:delText>
        </w:r>
        <w:r w:rsidRPr="00BC0E7E">
          <w:rPr>
            <w:szCs w:val="20"/>
            <w:lang w:eastAsia="en-GB"/>
          </w:rPr>
          <w:delText xml:space="preserve">4, patients were </w:delText>
        </w:r>
        <w:r w:rsidRPr="00BC0E7E">
          <w:rPr>
            <w:szCs w:val="20"/>
          </w:rPr>
          <w:delText>randomised 1:1 to either the Standard Dose (</w:delText>
        </w:r>
        <w:r w:rsidRPr="00BC0E7E">
          <w:rPr>
            <w:szCs w:val="20"/>
            <w:lang w:eastAsia="en-GB"/>
          </w:rPr>
          <w:delText>40/20</w:delText>
        </w:r>
        <w:r w:rsidRPr="00BC0E7E">
          <w:rPr>
            <w:szCs w:val="20"/>
          </w:rPr>
          <w:delText> </w:delText>
        </w:r>
        <w:r w:rsidRPr="00BC0E7E">
          <w:rPr>
            <w:szCs w:val="20"/>
            <w:lang w:eastAsia="en-GB"/>
          </w:rPr>
          <w:delText xml:space="preserve">mg eow) </w:delText>
        </w:r>
        <w:r w:rsidRPr="00BC0E7E">
          <w:rPr>
            <w:szCs w:val="20"/>
          </w:rPr>
          <w:delText>or Low Dose (</w:delText>
        </w:r>
        <w:r w:rsidRPr="00BC0E7E">
          <w:rPr>
            <w:szCs w:val="20"/>
            <w:lang w:eastAsia="en-GB"/>
          </w:rPr>
          <w:delText xml:space="preserve">20/10 mg eow) </w:delText>
        </w:r>
        <w:r w:rsidRPr="00BC0E7E">
          <w:rPr>
            <w:szCs w:val="20"/>
          </w:rPr>
          <w:delText>maintenance treatment groups based on their body weight</w:delText>
        </w:r>
        <w:r w:rsidRPr="00BC0E7E">
          <w:rPr>
            <w:szCs w:val="20"/>
            <w:lang w:eastAsia="en-GB"/>
          </w:rPr>
          <w:delText xml:space="preserve">. </w:delText>
        </w:r>
        <w:r w:rsidRPr="00BC0E7E">
          <w:rPr>
            <w:szCs w:val="22"/>
            <w:lang w:eastAsia="en-GB"/>
          </w:rPr>
          <w:delText>The mean (</w:delText>
        </w:r>
        <w:r w:rsidRPr="00BC0E7E">
          <w:rPr>
            <w:rFonts w:eastAsia="Arial Unicode MS"/>
            <w:szCs w:val="20"/>
          </w:rPr>
          <w:delText xml:space="preserve">±SD) </w:delText>
        </w:r>
        <w:r w:rsidRPr="00BC0E7E">
          <w:rPr>
            <w:szCs w:val="22"/>
            <w:lang w:eastAsia="en-GB"/>
          </w:rPr>
          <w:delText>serum adalimumab trough concentrations achieved at Week</w:delText>
        </w:r>
        <w:r w:rsidRPr="00BC0E7E">
          <w:rPr>
            <w:szCs w:val="20"/>
          </w:rPr>
          <w:delText> </w:delText>
        </w:r>
        <w:r w:rsidRPr="00BC0E7E">
          <w:rPr>
            <w:szCs w:val="22"/>
            <w:lang w:eastAsia="en-GB"/>
          </w:rPr>
          <w:delText>4 were 15.7 </w:delText>
        </w:r>
        <w:r w:rsidRPr="00BC0E7E">
          <w:rPr>
            <w:rFonts w:eastAsia="Arial Unicode MS"/>
            <w:szCs w:val="20"/>
          </w:rPr>
          <w:delText>± 6.6</w:delText>
        </w:r>
        <w:r w:rsidRPr="00BC0E7E">
          <w:rPr>
            <w:szCs w:val="20"/>
          </w:rPr>
          <w:delText> </w:delText>
        </w:r>
        <w:r w:rsidRPr="00BC0E7E">
          <w:rPr>
            <w:rFonts w:ascii="Symbol" w:eastAsia="Symbol" w:hAnsi="Symbol" w:cs="Symbol"/>
            <w:szCs w:val="22"/>
          </w:rPr>
          <w:sym w:font="Symbol" w:char="F06D"/>
        </w:r>
        <w:r w:rsidRPr="00BC0E7E">
          <w:rPr>
            <w:szCs w:val="20"/>
          </w:rPr>
          <w:delText xml:space="preserve">g/ml for patients </w:delText>
        </w:r>
        <w:r w:rsidRPr="00BC0E7E">
          <w:rPr>
            <w:rFonts w:ascii="Symbol" w:eastAsia="Symbol" w:hAnsi="Symbol" w:cs="Symbol"/>
            <w:szCs w:val="20"/>
          </w:rPr>
          <w:sym w:font="Symbol" w:char="F0B3"/>
        </w:r>
        <w:r w:rsidRPr="00BC0E7E">
          <w:rPr>
            <w:szCs w:val="20"/>
          </w:rPr>
          <w:delText xml:space="preserve"> 40 kg (160/80 mg) and </w:delText>
        </w:r>
        <w:r w:rsidRPr="00BC0E7E">
          <w:rPr>
            <w:szCs w:val="22"/>
            <w:lang w:eastAsia="en-GB"/>
          </w:rPr>
          <w:delText>10.6 </w:delText>
        </w:r>
        <w:r w:rsidRPr="00BC0E7E">
          <w:rPr>
            <w:rFonts w:eastAsia="Arial Unicode MS"/>
            <w:szCs w:val="20"/>
          </w:rPr>
          <w:delText>± 6.1</w:delText>
        </w:r>
        <w:r w:rsidRPr="00BC0E7E">
          <w:rPr>
            <w:szCs w:val="20"/>
          </w:rPr>
          <w:delText> </w:delText>
        </w:r>
        <w:r w:rsidRPr="00BC0E7E">
          <w:rPr>
            <w:rFonts w:ascii="Symbol" w:eastAsia="Symbol" w:hAnsi="Symbol" w:cs="Symbol"/>
            <w:szCs w:val="22"/>
          </w:rPr>
          <w:sym w:font="Symbol" w:char="F06D"/>
        </w:r>
        <w:r w:rsidRPr="00BC0E7E">
          <w:rPr>
            <w:szCs w:val="20"/>
          </w:rPr>
          <w:delText>g/ml for patients &lt; 40 kg (80/40 mg).</w:delText>
        </w:r>
      </w:del>
    </w:p>
    <w:p w14:paraId="5091A1E8" w14:textId="77777777" w:rsidR="00BC0E7E" w:rsidRPr="00BC0E7E" w:rsidRDefault="00BC0E7E" w:rsidP="00BC0E7E">
      <w:pPr>
        <w:rPr>
          <w:del w:id="3605" w:author="AbbVie19" w:date="2025-04-16T10:35:00Z"/>
          <w:szCs w:val="20"/>
          <w:lang w:eastAsia="en-GB"/>
        </w:rPr>
      </w:pPr>
    </w:p>
    <w:p w14:paraId="7DFD187F" w14:textId="77777777" w:rsidR="00BC0E7E" w:rsidRPr="00BC0E7E" w:rsidRDefault="00944B8F" w:rsidP="00BC0E7E">
      <w:pPr>
        <w:rPr>
          <w:del w:id="3606" w:author="AbbVie19" w:date="2025-04-16T10:35:00Z"/>
          <w:szCs w:val="20"/>
        </w:rPr>
      </w:pPr>
      <w:del w:id="3607" w:author="AbbVie19" w:date="2025-04-16T10:35:00Z">
        <w:r w:rsidRPr="00BC0E7E">
          <w:rPr>
            <w:rFonts w:eastAsia="Arial Unicode MS"/>
            <w:szCs w:val="20"/>
          </w:rPr>
          <w:delText>F</w:delText>
        </w:r>
        <w:r w:rsidRPr="00BC0E7E">
          <w:rPr>
            <w:szCs w:val="20"/>
          </w:rPr>
          <w:delText xml:space="preserve">or patients who stayed on their randomised therapy, the mean </w:delText>
        </w:r>
        <w:r w:rsidRPr="00BC0E7E">
          <w:rPr>
            <w:szCs w:val="22"/>
            <w:lang w:eastAsia="en-GB"/>
          </w:rPr>
          <w:delText>(</w:delText>
        </w:r>
        <w:r w:rsidRPr="00BC0E7E">
          <w:rPr>
            <w:rFonts w:eastAsia="Arial Unicode MS"/>
            <w:szCs w:val="20"/>
          </w:rPr>
          <w:delText xml:space="preserve">±SD) </w:delText>
        </w:r>
        <w:r w:rsidRPr="00BC0E7E">
          <w:rPr>
            <w:szCs w:val="20"/>
          </w:rPr>
          <w:delText xml:space="preserve">adalimumab trough concentrations at Week 52 were </w:delText>
        </w:r>
        <w:r w:rsidRPr="00BC0E7E">
          <w:rPr>
            <w:rFonts w:eastAsia="Arial Unicode MS"/>
            <w:szCs w:val="20"/>
          </w:rPr>
          <w:delText>9.5 ± 5.6</w:delText>
        </w:r>
        <w:r w:rsidRPr="00BC0E7E">
          <w:rPr>
            <w:szCs w:val="20"/>
          </w:rPr>
          <w:delText> </w:delText>
        </w:r>
        <w:r w:rsidRPr="00BC0E7E">
          <w:rPr>
            <w:rFonts w:ascii="Symbol" w:eastAsia="Symbol" w:hAnsi="Symbol" w:cs="Symbol"/>
            <w:szCs w:val="22"/>
          </w:rPr>
          <w:sym w:font="Symbol" w:char="F06D"/>
        </w:r>
        <w:r w:rsidRPr="00BC0E7E">
          <w:rPr>
            <w:szCs w:val="20"/>
          </w:rPr>
          <w:delText xml:space="preserve">g/ml for the Standard Dose group and </w:delText>
        </w:r>
        <w:r w:rsidRPr="00BC0E7E">
          <w:rPr>
            <w:rFonts w:eastAsia="Arial Unicode MS"/>
            <w:szCs w:val="20"/>
          </w:rPr>
          <w:delText>3.5 ± 2.2</w:delText>
        </w:r>
        <w:r w:rsidRPr="00BC0E7E">
          <w:rPr>
            <w:szCs w:val="20"/>
          </w:rPr>
          <w:delText> </w:delText>
        </w:r>
        <w:r w:rsidRPr="00BC0E7E">
          <w:rPr>
            <w:rFonts w:ascii="Symbol" w:eastAsia="Symbol" w:hAnsi="Symbol" w:cs="Symbol"/>
            <w:szCs w:val="22"/>
          </w:rPr>
          <w:sym w:font="Symbol" w:char="F06D"/>
        </w:r>
        <w:r w:rsidRPr="00BC0E7E">
          <w:rPr>
            <w:szCs w:val="20"/>
          </w:rPr>
          <w:delText xml:space="preserve">g/ml for the Low Dose group. </w:delText>
        </w:r>
        <w:r w:rsidRPr="00BC0E7E">
          <w:rPr>
            <w:szCs w:val="22"/>
            <w:lang w:eastAsia="en-GB"/>
          </w:rPr>
          <w:delText>The mean trough concentrations were maintained in patients who continued to receive adalimumab treatment eow for 52</w:delText>
        </w:r>
        <w:r w:rsidRPr="00BC0E7E">
          <w:rPr>
            <w:szCs w:val="20"/>
          </w:rPr>
          <w:delText> </w:delText>
        </w:r>
        <w:r w:rsidRPr="00BC0E7E">
          <w:rPr>
            <w:szCs w:val="22"/>
            <w:lang w:eastAsia="en-GB"/>
          </w:rPr>
          <w:delText xml:space="preserve">weeks. </w:delText>
        </w:r>
        <w:r w:rsidRPr="00BC0E7E">
          <w:rPr>
            <w:szCs w:val="20"/>
          </w:rPr>
          <w:delText xml:space="preserve">For patients who dose escalated from eow to weekly regimen, the mean </w:delText>
        </w:r>
        <w:r w:rsidRPr="00BC0E7E">
          <w:rPr>
            <w:szCs w:val="22"/>
            <w:lang w:eastAsia="en-GB"/>
          </w:rPr>
          <w:delText>(</w:delText>
        </w:r>
        <w:r w:rsidRPr="00BC0E7E">
          <w:rPr>
            <w:rFonts w:eastAsia="Arial Unicode MS"/>
            <w:szCs w:val="20"/>
          </w:rPr>
          <w:delText xml:space="preserve">±SD) </w:delText>
        </w:r>
        <w:r w:rsidRPr="00BC0E7E">
          <w:rPr>
            <w:szCs w:val="20"/>
          </w:rPr>
          <w:delText>serum concentrations of adalimumab at Week 52 were 15.3 </w:delText>
        </w:r>
        <w:r w:rsidRPr="00BC0E7E">
          <w:rPr>
            <w:rFonts w:eastAsia="Arial Unicode MS"/>
            <w:szCs w:val="20"/>
          </w:rPr>
          <w:delText>± 11.4</w:delText>
        </w:r>
        <w:r w:rsidRPr="00BC0E7E">
          <w:rPr>
            <w:szCs w:val="20"/>
          </w:rPr>
          <w:delText> μg/ml (40/20 mg, weekly) and 6.7 </w:delText>
        </w:r>
        <w:r w:rsidRPr="00BC0E7E">
          <w:rPr>
            <w:rFonts w:eastAsia="Arial Unicode MS"/>
            <w:szCs w:val="20"/>
          </w:rPr>
          <w:delText>± 3.5</w:delText>
        </w:r>
        <w:r w:rsidRPr="00BC0E7E">
          <w:rPr>
            <w:szCs w:val="20"/>
          </w:rPr>
          <w:delText> μg/ml (20/10 mg, weekly).</w:delText>
        </w:r>
      </w:del>
    </w:p>
    <w:p w14:paraId="71A1AA75" w14:textId="77777777" w:rsidR="00BC0E7E" w:rsidRPr="00BC0E7E" w:rsidRDefault="00BC0E7E" w:rsidP="00BC0E7E">
      <w:pPr>
        <w:rPr>
          <w:del w:id="3608" w:author="AbbVie19" w:date="2025-04-16T10:35:00Z"/>
          <w:iCs/>
          <w:szCs w:val="20"/>
        </w:rPr>
      </w:pPr>
    </w:p>
    <w:p w14:paraId="6215411D" w14:textId="77777777" w:rsidR="00BC0E7E" w:rsidRPr="00BC0E7E" w:rsidRDefault="00944B8F" w:rsidP="00BC0E7E">
      <w:pPr>
        <w:rPr>
          <w:del w:id="3609" w:author="AbbVie19" w:date="2025-04-16T10:35:00Z"/>
          <w:iCs/>
          <w:szCs w:val="20"/>
        </w:rPr>
      </w:pPr>
      <w:del w:id="3610" w:author="AbbVie19" w:date="2025-04-16T10:35:00Z">
        <w:r w:rsidRPr="00BC0E7E">
          <w:rPr>
            <w:iCs/>
            <w:szCs w:val="20"/>
          </w:rPr>
          <w:delText>Adalimumab exposure in paediatric uveitis patients was predicted using population pharmacokinetic modelling and simulation based on cross-indication pharmacokinetics in other paediatric patients (paediatric psoriasis, juvenile idiopathic arthritis, paediatric Crohn’s disease, and enthesitis-related arthritis). No clinical exposure data are available on the use of a loading dose in children &lt; 6 years. The predicted exposures indicate that in the absence of methotrexate, a loading dose may lead to an initial increase in systemic exposure.</w:delText>
        </w:r>
      </w:del>
    </w:p>
    <w:p w14:paraId="646FE40D" w14:textId="77777777" w:rsidR="00EA1503" w:rsidRDefault="00EA1503" w:rsidP="00BC0E7E">
      <w:pPr>
        <w:rPr>
          <w:del w:id="3611" w:author="AbbVie19" w:date="2025-04-16T10:35:00Z"/>
          <w:szCs w:val="20"/>
        </w:rPr>
      </w:pPr>
    </w:p>
    <w:p w14:paraId="338CC3DB" w14:textId="77777777" w:rsidR="00F83D51" w:rsidRPr="006C4805" w:rsidRDefault="00944B8F" w:rsidP="00F83D51">
      <w:pPr>
        <w:autoSpaceDE w:val="0"/>
        <w:autoSpaceDN w:val="0"/>
        <w:adjustRightInd w:val="0"/>
        <w:rPr>
          <w:del w:id="3612" w:author="AbbVie19" w:date="2025-04-16T10:35:00Z"/>
        </w:rPr>
      </w:pPr>
      <w:del w:id="3613" w:author="AbbVie19" w:date="2025-04-16T10:35:00Z">
        <w:r w:rsidRPr="004478E7">
          <w:rPr>
            <w:u w:val="single"/>
          </w:rPr>
          <w:delText>Exposure-response relationship in paediatric population</w:delText>
        </w:r>
      </w:del>
    </w:p>
    <w:p w14:paraId="3A426913" w14:textId="77777777" w:rsidR="00F83D51" w:rsidRPr="006C4805" w:rsidRDefault="00944B8F" w:rsidP="00F83D51">
      <w:pPr>
        <w:autoSpaceDE w:val="0"/>
        <w:autoSpaceDN w:val="0"/>
        <w:adjustRightInd w:val="0"/>
        <w:rPr>
          <w:del w:id="3614" w:author="AbbVie19" w:date="2025-04-16T10:35:00Z"/>
        </w:rPr>
      </w:pPr>
      <w:del w:id="3615" w:author="AbbVie19" w:date="2025-04-16T10:35:00Z">
        <w:r w:rsidRPr="006C4805">
          <w:delText>On the basis of clinical trial data in patients with JIA (pJIA and ERA), an exposure-response relationship was established between plasma concentrations and PedACR 50 response. The apparent adalimumab plasma concentration that produces half the maximum probability of PedACR 50 response (EC50) was 3</w:delText>
        </w:r>
        <w:r>
          <w:delText> </w:delText>
        </w:r>
        <w:r w:rsidRPr="006C4805">
          <w:delText>μg/ml (95% CI: 1</w:delText>
        </w:r>
        <w:r>
          <w:noBreakHyphen/>
        </w:r>
        <w:r w:rsidRPr="006C4805">
          <w:delText>6</w:delText>
        </w:r>
        <w:r>
          <w:delText> </w:delText>
        </w:r>
        <w:r w:rsidRPr="006C4805">
          <w:delText xml:space="preserve">μg/ml). </w:delText>
        </w:r>
      </w:del>
    </w:p>
    <w:p w14:paraId="20C5C071" w14:textId="77777777" w:rsidR="00F83D51" w:rsidRPr="006C4805" w:rsidRDefault="00F83D51" w:rsidP="00F83D51">
      <w:pPr>
        <w:autoSpaceDE w:val="0"/>
        <w:autoSpaceDN w:val="0"/>
        <w:adjustRightInd w:val="0"/>
        <w:rPr>
          <w:del w:id="3616" w:author="AbbVie19" w:date="2025-04-16T10:35:00Z"/>
        </w:rPr>
      </w:pPr>
    </w:p>
    <w:p w14:paraId="5D746DEA" w14:textId="77777777" w:rsidR="00F83D51" w:rsidRDefault="00944B8F" w:rsidP="00F83D51">
      <w:pPr>
        <w:autoSpaceDE w:val="0"/>
        <w:autoSpaceDN w:val="0"/>
        <w:adjustRightInd w:val="0"/>
        <w:rPr>
          <w:del w:id="3617" w:author="AbbVie19" w:date="2025-04-16T10:35:00Z"/>
        </w:rPr>
      </w:pPr>
      <w:del w:id="3618" w:author="AbbVie19" w:date="2025-04-16T10:35:00Z">
        <w:r w:rsidRPr="006C4805">
          <w:delText>Exposure-response relationships between adalimumab concentration and efficacy in paediatric patients with severe chronic plaque psoriasis were established for PASI 75 and PGA</w:delText>
        </w:r>
        <w:r>
          <w:delText xml:space="preserve"> </w:delText>
        </w:r>
        <w:r w:rsidRPr="006C4805">
          <w:delText>clear or minimal, respectively. PASI 75 and PGA clear or minimal increased with increasing adalimumab concentrations, both with a similar apparent EC50 of approximately 4.5</w:delText>
        </w:r>
        <w:r>
          <w:delText> </w:delText>
        </w:r>
        <w:r w:rsidRPr="006C4805">
          <w:delText>μg/m</w:delText>
        </w:r>
        <w:r w:rsidR="00E83962">
          <w:delText>l</w:delText>
        </w:r>
        <w:r w:rsidRPr="006C4805">
          <w:delText xml:space="preserve"> (95% CI 0.4-47.6 and 1.9-10.5, respectively).</w:delText>
        </w:r>
      </w:del>
    </w:p>
    <w:p w14:paraId="56A9930E" w14:textId="77777777" w:rsidR="00F83D51" w:rsidRPr="00BC0E7E" w:rsidRDefault="00F83D51" w:rsidP="00BC0E7E">
      <w:pPr>
        <w:rPr>
          <w:del w:id="3619" w:author="AbbVie19" w:date="2025-04-16T10:35:00Z"/>
          <w:szCs w:val="20"/>
        </w:rPr>
      </w:pPr>
    </w:p>
    <w:p w14:paraId="427B7340" w14:textId="77777777" w:rsidR="00BC0E7E" w:rsidRPr="00BC0E7E" w:rsidRDefault="00944B8F" w:rsidP="003F5ADF">
      <w:pPr>
        <w:keepNext/>
        <w:autoSpaceDE w:val="0"/>
        <w:autoSpaceDN w:val="0"/>
        <w:adjustRightInd w:val="0"/>
        <w:rPr>
          <w:del w:id="3620" w:author="AbbVie19" w:date="2025-04-16T10:35:00Z"/>
          <w:u w:val="single"/>
        </w:rPr>
      </w:pPr>
      <w:del w:id="3621" w:author="AbbVie19" w:date="2025-04-16T10:35:00Z">
        <w:r w:rsidRPr="00BC0E7E">
          <w:rPr>
            <w:u w:val="single"/>
          </w:rPr>
          <w:lastRenderedPageBreak/>
          <w:delText>Adults</w:delText>
        </w:r>
      </w:del>
    </w:p>
    <w:p w14:paraId="15013F0F" w14:textId="77777777" w:rsidR="00BC0E7E" w:rsidRPr="00BC0E7E" w:rsidRDefault="00BC0E7E" w:rsidP="003F5ADF">
      <w:pPr>
        <w:keepNext/>
        <w:autoSpaceDE w:val="0"/>
        <w:autoSpaceDN w:val="0"/>
        <w:adjustRightInd w:val="0"/>
        <w:rPr>
          <w:del w:id="3622" w:author="AbbVie19" w:date="2025-04-16T10:35:00Z"/>
        </w:rPr>
      </w:pPr>
    </w:p>
    <w:p w14:paraId="6BDCEFFF" w14:textId="77777777" w:rsidR="00BC0E7E" w:rsidRPr="00BC0E7E" w:rsidRDefault="00944B8F" w:rsidP="003F5ADF">
      <w:pPr>
        <w:keepNext/>
        <w:autoSpaceDE w:val="0"/>
        <w:autoSpaceDN w:val="0"/>
        <w:adjustRightInd w:val="0"/>
        <w:rPr>
          <w:del w:id="3623" w:author="AbbVie19" w:date="2025-04-16T10:35:00Z"/>
        </w:rPr>
      </w:pPr>
      <w:del w:id="3624" w:author="AbbVie19" w:date="2025-04-16T10:35:00Z">
        <w:r w:rsidRPr="00BC0E7E">
          <w:delText>After subcutaneous administration of a single 40 mg dose, absorption and distribution of adalimumab was slow, with peak serum concentrations being reached about 5 days after administration. The average absolute bioavailability of adalimumab estimated from three studies following a single 40 mg subcutaneous dose was 64%. After single intravenous doses ranging from 0.25 to 10 mg/kg, concentrations were dose proportional. After doses of 0.5 mg/kg (~40 mg), clearances ranged from 11 to 15 ml/hour, the distribution volume (V</w:delText>
        </w:r>
        <w:r w:rsidRPr="00BC0E7E">
          <w:rPr>
            <w:vertAlign w:val="subscript"/>
          </w:rPr>
          <w:delText>ss</w:delText>
        </w:r>
        <w:r w:rsidRPr="00BC0E7E">
          <w:delText>) ranged from 5 to 6 litres and the mean terminal phase half-life was approximately two weeks. Adalimumab concentrations in the synovial fluid from several rheumatoid arthritis patients ranged from 31-96% of those in serum.</w:delText>
        </w:r>
      </w:del>
    </w:p>
    <w:p w14:paraId="15F009C4" w14:textId="77777777" w:rsidR="00BC0E7E" w:rsidRPr="00BC0E7E" w:rsidRDefault="00BC0E7E" w:rsidP="00BC0E7E">
      <w:pPr>
        <w:autoSpaceDE w:val="0"/>
        <w:autoSpaceDN w:val="0"/>
        <w:adjustRightInd w:val="0"/>
        <w:rPr>
          <w:del w:id="3625" w:author="AbbVie19" w:date="2025-04-16T10:35:00Z"/>
        </w:rPr>
      </w:pPr>
    </w:p>
    <w:p w14:paraId="34B36F0F" w14:textId="77777777" w:rsidR="00BC0E7E" w:rsidRPr="00BC0E7E" w:rsidRDefault="00944B8F" w:rsidP="00BC0E7E">
      <w:pPr>
        <w:autoSpaceDE w:val="0"/>
        <w:autoSpaceDN w:val="0"/>
        <w:adjustRightInd w:val="0"/>
        <w:rPr>
          <w:del w:id="3626" w:author="AbbVie19" w:date="2025-04-16T10:35:00Z"/>
        </w:rPr>
      </w:pPr>
      <w:del w:id="3627" w:author="AbbVie19" w:date="2025-04-16T10:35:00Z">
        <w:r w:rsidRPr="00BC0E7E">
          <w:delText>Following subcutaneous administration of 40 mg of adalimumab every other week in adult rheumatoid arthritis (RA) patients the mean steady-state trough concentrations were approximately 5 </w:delText>
        </w:r>
        <w:r w:rsidRPr="00BC0E7E">
          <w:rPr>
            <w:rFonts w:ascii="Symbol" w:eastAsia="Symbol" w:hAnsi="Symbol" w:cs="Symbol"/>
            <w:szCs w:val="22"/>
          </w:rPr>
          <w:sym w:font="Symbol" w:char="F06D"/>
        </w:r>
        <w:r w:rsidRPr="00BC0E7E">
          <w:delText>g/ml (without concomitant methotrexate) and 8 to 9 </w:delText>
        </w:r>
        <w:r w:rsidRPr="00BC0E7E">
          <w:rPr>
            <w:rFonts w:ascii="Symbol" w:eastAsia="Symbol" w:hAnsi="Symbol" w:cs="Symbol"/>
            <w:szCs w:val="22"/>
          </w:rPr>
          <w:sym w:font="Symbol" w:char="F06D"/>
        </w:r>
        <w:r w:rsidRPr="00BC0E7E">
          <w:delText>g/ml (with concomitant methotrexate), respectively. The serum adalimumab trough levels at steady-state increased roughly proportionally with dose following 20, 40 and 80 mg subcutaneous dosing every other week and every week.</w:delText>
        </w:r>
      </w:del>
    </w:p>
    <w:p w14:paraId="62B85788" w14:textId="77777777" w:rsidR="00BC0E7E" w:rsidRPr="00BC0E7E" w:rsidRDefault="00BC0E7E" w:rsidP="00BC0E7E">
      <w:pPr>
        <w:autoSpaceDE w:val="0"/>
        <w:autoSpaceDN w:val="0"/>
        <w:adjustRightInd w:val="0"/>
        <w:rPr>
          <w:del w:id="3628" w:author="AbbVie19" w:date="2025-04-16T10:35:00Z"/>
        </w:rPr>
      </w:pPr>
    </w:p>
    <w:p w14:paraId="5502E861" w14:textId="77777777" w:rsidR="00BC0E7E" w:rsidRPr="00BC0E7E" w:rsidRDefault="00944B8F" w:rsidP="00BC0E7E">
      <w:pPr>
        <w:autoSpaceDE w:val="0"/>
        <w:autoSpaceDN w:val="0"/>
        <w:adjustRightInd w:val="0"/>
        <w:rPr>
          <w:del w:id="3629" w:author="AbbVie19" w:date="2025-04-16T10:35:00Z"/>
        </w:rPr>
      </w:pPr>
      <w:del w:id="3630" w:author="AbbVie19" w:date="2025-04-16T10:35:00Z">
        <w:r w:rsidRPr="00BC0E7E">
          <w:delText>In adult patients with psoriasis, the mean steady-state trough concentration was 5 </w:delText>
        </w:r>
        <w:r w:rsidRPr="00BC0E7E">
          <w:rPr>
            <w:rFonts w:hint="eastAsia"/>
          </w:rPr>
          <w:delText>μ</w:delText>
        </w:r>
        <w:r w:rsidRPr="00BC0E7E">
          <w:delText>g/ml during</w:delText>
        </w:r>
      </w:del>
    </w:p>
    <w:p w14:paraId="6B99A142" w14:textId="77777777" w:rsidR="00BC0E7E" w:rsidRPr="00BC0E7E" w:rsidRDefault="00944B8F" w:rsidP="00BC0E7E">
      <w:pPr>
        <w:autoSpaceDE w:val="0"/>
        <w:autoSpaceDN w:val="0"/>
        <w:adjustRightInd w:val="0"/>
        <w:rPr>
          <w:del w:id="3631" w:author="AbbVie19" w:date="2025-04-16T10:35:00Z"/>
        </w:rPr>
      </w:pPr>
      <w:del w:id="3632" w:author="AbbVie19" w:date="2025-04-16T10:35:00Z">
        <w:r w:rsidRPr="00BC0E7E">
          <w:delText>adalimumab 40 mg every other week monotherapy treatment.</w:delText>
        </w:r>
      </w:del>
    </w:p>
    <w:p w14:paraId="7FCC60E0" w14:textId="77777777" w:rsidR="00203F45" w:rsidRDefault="00203F45" w:rsidP="00203F45">
      <w:pPr>
        <w:pStyle w:val="EMEANormal"/>
        <w:rPr>
          <w:del w:id="3633" w:author="AbbVie19" w:date="2025-04-16T10:35:00Z"/>
        </w:rPr>
      </w:pPr>
    </w:p>
    <w:p w14:paraId="5EAD73F9" w14:textId="77777777" w:rsidR="00203F45" w:rsidRPr="002A3533" w:rsidRDefault="00944B8F" w:rsidP="00203F45">
      <w:pPr>
        <w:pStyle w:val="EMEANormal"/>
        <w:rPr>
          <w:del w:id="3634" w:author="AbbVie19" w:date="2025-04-16T10:35:00Z"/>
          <w:lang w:val="en-GB" w:eastAsia="en-GB"/>
        </w:rPr>
      </w:pPr>
      <w:del w:id="3635" w:author="AbbVie19" w:date="2025-04-16T10:35:00Z">
        <w:r w:rsidRPr="002A3533">
          <w:delText xml:space="preserve">In </w:delText>
        </w:r>
        <w:r>
          <w:delText xml:space="preserve">adult </w:delText>
        </w:r>
        <w:r w:rsidRPr="002A3533">
          <w:delText>patients with hidradenitis suppurativa, a dose of 160</w:delText>
        </w:r>
        <w:r w:rsidR="003E2F23">
          <w:delText> </w:delText>
        </w:r>
        <w:r w:rsidRPr="002A3533">
          <w:delText>mg Humira on Week 0 followed by 80</w:delText>
        </w:r>
        <w:r w:rsidR="003E2F23">
          <w:delText> </w:delText>
        </w:r>
        <w:r w:rsidRPr="002A3533">
          <w:delText>mg on Week 2 achieved serum adalimumab trough concentrations of approximately 7 to 8</w:delText>
        </w:r>
        <w:r w:rsidR="003E2F23">
          <w:delText> </w:delText>
        </w:r>
        <w:r w:rsidRPr="002A3533">
          <w:delText>μg/m</w:delText>
        </w:r>
        <w:r>
          <w:delText>l</w:delText>
        </w:r>
        <w:r w:rsidRPr="002A3533">
          <w:delText xml:space="preserve"> at Week 2 and Week 4.  The mean steady-state trough concentration at Week 12 through Week 36 were approximately 8 to 10</w:delText>
        </w:r>
        <w:r w:rsidR="003E2F23">
          <w:delText> </w:delText>
        </w:r>
        <w:r w:rsidRPr="002A3533">
          <w:delText>μg/m</w:delText>
        </w:r>
        <w:r>
          <w:delText>l</w:delText>
        </w:r>
        <w:r w:rsidRPr="002A3533">
          <w:delText xml:space="preserve"> during adalimumab 40</w:delText>
        </w:r>
        <w:r w:rsidR="003E2F23">
          <w:delText> </w:delText>
        </w:r>
        <w:r w:rsidRPr="002A3533">
          <w:delText xml:space="preserve">mg every week treatment.  </w:delText>
        </w:r>
      </w:del>
    </w:p>
    <w:p w14:paraId="3F470860" w14:textId="77777777" w:rsidR="00203F45" w:rsidRDefault="00203F45" w:rsidP="00203F45">
      <w:pPr>
        <w:autoSpaceDE w:val="0"/>
        <w:autoSpaceDN w:val="0"/>
        <w:adjustRightInd w:val="0"/>
        <w:rPr>
          <w:del w:id="3636" w:author="AbbVie19" w:date="2025-04-16T10:35:00Z"/>
        </w:rPr>
      </w:pPr>
    </w:p>
    <w:p w14:paraId="23191A73" w14:textId="77777777" w:rsidR="00203F45" w:rsidRPr="004D066E" w:rsidRDefault="00944B8F" w:rsidP="00203F45">
      <w:pPr>
        <w:pStyle w:val="EMEANormal"/>
        <w:rPr>
          <w:del w:id="3637" w:author="AbbVie19" w:date="2025-04-16T10:35:00Z"/>
          <w:lang w:val="en-GB"/>
        </w:rPr>
      </w:pPr>
      <w:del w:id="3638" w:author="AbbVie19" w:date="2025-04-16T10:35:00Z">
        <w:r w:rsidRPr="002A3533">
          <w:rPr>
            <w:lang w:val="en-GB"/>
          </w:rPr>
          <w:delText>In patients with Crohn’s disease, the loading dose of 80 mg Humira on Week 0 followed by 40 mg Humira on Week 2 achieves serum adalimumab trough concentrations of approximately 5.5 </w:delText>
        </w:r>
        <w:r w:rsidRPr="002A3533">
          <w:rPr>
            <w:rFonts w:ascii="Symbol" w:eastAsia="Symbol" w:hAnsi="Symbol" w:cs="Symbol"/>
            <w:szCs w:val="22"/>
            <w:lang w:val="en-GB"/>
          </w:rPr>
          <w:sym w:font="Symbol" w:char="F06D"/>
        </w:r>
        <w:r w:rsidRPr="002A3533">
          <w:rPr>
            <w:lang w:val="en-GB"/>
          </w:rPr>
          <w:delText>g/ml during the induction period. A loading dose of 160 mg Humira on Week 0 followed by 80 mg Humira on Week 2 achieves serum adalimumab trough concentrations of approximately 12 </w:delText>
        </w:r>
        <w:r w:rsidRPr="002A3533">
          <w:rPr>
            <w:rFonts w:ascii="Symbol" w:eastAsia="Symbol" w:hAnsi="Symbol" w:cs="Symbol"/>
            <w:szCs w:val="22"/>
            <w:lang w:val="en-GB"/>
          </w:rPr>
          <w:sym w:font="Symbol" w:char="F06D"/>
        </w:r>
        <w:r w:rsidRPr="002A3533">
          <w:rPr>
            <w:lang w:val="en-GB"/>
          </w:rPr>
          <w:delText>g/ml during the induction period. Mean steady-state trough levels of approximately 7 </w:delText>
        </w:r>
        <w:r w:rsidRPr="002A3533">
          <w:rPr>
            <w:rFonts w:ascii="Symbol" w:eastAsia="Symbol" w:hAnsi="Symbol" w:cs="Symbol"/>
            <w:szCs w:val="22"/>
            <w:lang w:val="en-GB"/>
          </w:rPr>
          <w:sym w:font="Symbol" w:char="F06D"/>
        </w:r>
        <w:r w:rsidRPr="002A3533">
          <w:rPr>
            <w:lang w:val="en-GB"/>
          </w:rPr>
          <w:delText>g/ml were observed in Crohn’s disease patients who received a maintenance dose of 40 mg Humira every other week.</w:delText>
        </w:r>
      </w:del>
    </w:p>
    <w:p w14:paraId="151883DF" w14:textId="77777777" w:rsidR="00203F45" w:rsidRPr="00651591" w:rsidRDefault="00203F45" w:rsidP="00203F45">
      <w:pPr>
        <w:tabs>
          <w:tab w:val="clear" w:pos="562"/>
          <w:tab w:val="left" w:pos="638"/>
        </w:tabs>
        <w:autoSpaceDE w:val="0"/>
        <w:autoSpaceDN w:val="0"/>
        <w:adjustRightInd w:val="0"/>
        <w:rPr>
          <w:del w:id="3639" w:author="AbbVie19" w:date="2025-04-16T10:35:00Z"/>
          <w:szCs w:val="22"/>
        </w:rPr>
      </w:pPr>
    </w:p>
    <w:p w14:paraId="6887D089" w14:textId="77777777" w:rsidR="005622E9" w:rsidRDefault="00944B8F" w:rsidP="003A5886">
      <w:pPr>
        <w:tabs>
          <w:tab w:val="clear" w:pos="562"/>
          <w:tab w:val="left" w:pos="638"/>
        </w:tabs>
        <w:autoSpaceDE w:val="0"/>
        <w:autoSpaceDN w:val="0"/>
        <w:adjustRightInd w:val="0"/>
        <w:rPr>
          <w:del w:id="3640" w:author="AbbVie19" w:date="2025-04-16T10:35:00Z"/>
        </w:rPr>
      </w:pPr>
      <w:del w:id="3641" w:author="AbbVie19" w:date="2025-04-16T10:35:00Z">
        <w:r>
          <w:delText>Following the subcutaneous administration of body weight-based dosing of 0.6</w:delText>
        </w:r>
        <w:r w:rsidR="00FA4ACF">
          <w:delText> </w:delText>
        </w:r>
        <w:r>
          <w:delText>mg/kg (maximum of 40</w:delText>
        </w:r>
        <w:r w:rsidR="00FA4ACF">
          <w:delText> </w:delText>
        </w:r>
        <w:r>
          <w:delText xml:space="preserve">mg) every other week to paediatric patients with ulcerative colitis, the mean trough steady-state serum adalimumab concentration was </w:delText>
        </w:r>
        <w:r w:rsidR="00B01042">
          <w:delText>5.01±3.28</w:delText>
        </w:r>
        <w:r w:rsidR="00FA4ACF">
          <w:delText> </w:delText>
        </w:r>
        <w:r>
          <w:delText>µg/m</w:delText>
        </w:r>
        <w:r w:rsidR="003B65EC">
          <w:delText>l</w:delText>
        </w:r>
        <w:r w:rsidR="00B5348E">
          <w:delText> </w:delText>
        </w:r>
        <w:r w:rsidR="00C86C8D">
          <w:delText>at Week</w:delText>
        </w:r>
        <w:r w:rsidR="00FA4ACF">
          <w:delText> </w:delText>
        </w:r>
        <w:r w:rsidR="00C86C8D">
          <w:delText>52</w:delText>
        </w:r>
        <w:r>
          <w:delText xml:space="preserve">. </w:delText>
        </w:r>
        <w:r w:rsidR="003A5886">
          <w:delText>For patients who received 0.6</w:delText>
        </w:r>
        <w:r w:rsidR="00FA4ACF">
          <w:delText> </w:delText>
        </w:r>
        <w:r w:rsidR="003A5886">
          <w:delText>mg/kg (maximum of 40</w:delText>
        </w:r>
        <w:r w:rsidR="00FA4ACF">
          <w:delText> </w:delText>
        </w:r>
        <w:r w:rsidR="003A5886">
          <w:delText xml:space="preserve">mg) every week, the mean (±SD) trough steady-state serum adalimumab concentration </w:delText>
        </w:r>
        <w:r w:rsidR="008D590F">
          <w:delText>was</w:delText>
        </w:r>
        <w:r w:rsidR="003A5886">
          <w:delText xml:space="preserve"> 15</w:delText>
        </w:r>
        <w:r w:rsidR="003A5886" w:rsidRPr="00CB1BB2">
          <w:delText>.7±5.60</w:delText>
        </w:r>
        <w:r w:rsidR="003B65EC">
          <w:delText> </w:delText>
        </w:r>
        <w:r w:rsidR="003A5886" w:rsidRPr="00CB1BB2">
          <w:delText>μg</w:delText>
        </w:r>
        <w:r w:rsidR="003A5886">
          <w:delText>/m</w:delText>
        </w:r>
        <w:r w:rsidR="003B65EC">
          <w:delText>l</w:delText>
        </w:r>
        <w:r w:rsidR="003A5886">
          <w:delText xml:space="preserve"> at Week</w:delText>
        </w:r>
        <w:r w:rsidR="00FA4ACF">
          <w:delText> </w:delText>
        </w:r>
        <w:r w:rsidR="003A5886">
          <w:delText>52</w:delText>
        </w:r>
        <w:r w:rsidR="00B5348E">
          <w:delText>.</w:delText>
        </w:r>
      </w:del>
    </w:p>
    <w:p w14:paraId="3D57FF65" w14:textId="77777777" w:rsidR="00C472ED" w:rsidRDefault="00C472ED" w:rsidP="003A5886">
      <w:pPr>
        <w:tabs>
          <w:tab w:val="clear" w:pos="562"/>
          <w:tab w:val="left" w:pos="638"/>
        </w:tabs>
        <w:autoSpaceDE w:val="0"/>
        <w:autoSpaceDN w:val="0"/>
        <w:adjustRightInd w:val="0"/>
        <w:rPr>
          <w:del w:id="3642" w:author="AbbVie19" w:date="2025-04-16T10:35:00Z"/>
          <w:szCs w:val="22"/>
        </w:rPr>
      </w:pPr>
    </w:p>
    <w:p w14:paraId="73EDA78B" w14:textId="77777777" w:rsidR="00203F45" w:rsidRPr="00E95E17" w:rsidRDefault="00944B8F" w:rsidP="00203F45">
      <w:pPr>
        <w:autoSpaceDE w:val="0"/>
        <w:autoSpaceDN w:val="0"/>
        <w:adjustRightInd w:val="0"/>
        <w:rPr>
          <w:del w:id="3643" w:author="AbbVie19" w:date="2025-04-16T10:35:00Z"/>
        </w:rPr>
      </w:pPr>
      <w:del w:id="3644" w:author="AbbVie19" w:date="2025-04-16T10:35:00Z">
        <w:r w:rsidRPr="00651591">
          <w:rPr>
            <w:szCs w:val="22"/>
          </w:rPr>
          <w:delText xml:space="preserve">In </w:delText>
        </w:r>
        <w:r>
          <w:rPr>
            <w:szCs w:val="22"/>
          </w:rPr>
          <w:delText xml:space="preserve">adult </w:delText>
        </w:r>
        <w:r w:rsidRPr="00651591">
          <w:rPr>
            <w:szCs w:val="22"/>
          </w:rPr>
          <w:delText>patients with uveitis, a loading dose of 80 mg adalimumab on Week 0 followed by 40 mg adalimumab every other week starting at Week 1, resulted in mean steady-state concentrations of approximately 8 to 10 </w:delText>
        </w:r>
        <w:r w:rsidRPr="00651591">
          <w:rPr>
            <w:rFonts w:ascii="Symbol" w:eastAsia="Symbol" w:hAnsi="Symbol" w:cs="Symbol"/>
            <w:szCs w:val="22"/>
          </w:rPr>
          <w:sym w:font="Symbol" w:char="F06D"/>
        </w:r>
        <w:r>
          <w:rPr>
            <w:szCs w:val="22"/>
          </w:rPr>
          <w:delText>g/m</w:delText>
        </w:r>
        <w:r w:rsidR="00E83962">
          <w:rPr>
            <w:szCs w:val="22"/>
          </w:rPr>
          <w:delText>l</w:delText>
        </w:r>
        <w:r w:rsidRPr="00651591">
          <w:rPr>
            <w:szCs w:val="22"/>
          </w:rPr>
          <w:delText>.</w:delText>
        </w:r>
      </w:del>
    </w:p>
    <w:p w14:paraId="7F41883D" w14:textId="77777777" w:rsidR="009E075A" w:rsidRDefault="009E075A" w:rsidP="009E075A">
      <w:pPr>
        <w:rPr>
          <w:del w:id="3645" w:author="AbbVie19" w:date="2025-04-16T10:35:00Z"/>
          <w:iCs/>
          <w:szCs w:val="20"/>
        </w:rPr>
      </w:pPr>
    </w:p>
    <w:p w14:paraId="10147909" w14:textId="77777777" w:rsidR="00203F45" w:rsidRPr="00BA6405" w:rsidRDefault="00944B8F" w:rsidP="00BA6405">
      <w:pPr>
        <w:autoSpaceDE w:val="0"/>
        <w:autoSpaceDN w:val="0"/>
        <w:adjustRightInd w:val="0"/>
        <w:rPr>
          <w:del w:id="3646" w:author="AbbVie19" w:date="2025-04-16T10:35:00Z"/>
          <w:iCs/>
          <w:szCs w:val="20"/>
        </w:rPr>
      </w:pPr>
      <w:del w:id="3647" w:author="AbbVie19" w:date="2025-04-16T10:35:00Z">
        <w:r w:rsidRPr="00EA1503">
          <w:rPr>
            <w:iCs/>
            <w:szCs w:val="20"/>
          </w:rPr>
          <w:delText>Population pharmacokinetic and pharmacokinetic/pharmacodynamic modelling and simulation predicted comparable adalimumab exposure and efficacy in patients treated with 80</w:delText>
        </w:r>
        <w:r w:rsidR="00E6118C">
          <w:rPr>
            <w:iCs/>
            <w:szCs w:val="20"/>
          </w:rPr>
          <w:delText> </w:delText>
        </w:r>
        <w:r w:rsidRPr="00EA1503">
          <w:rPr>
            <w:iCs/>
            <w:szCs w:val="20"/>
          </w:rPr>
          <w:delText>mg every other week when compared with 40</w:delText>
        </w:r>
        <w:r w:rsidR="00E6118C">
          <w:rPr>
            <w:iCs/>
            <w:szCs w:val="20"/>
          </w:rPr>
          <w:delText> </w:delText>
        </w:r>
        <w:r w:rsidRPr="00EA1503">
          <w:rPr>
            <w:iCs/>
            <w:szCs w:val="20"/>
          </w:rPr>
          <w:delText>mg every week (including adu</w:delText>
        </w:r>
        <w:r>
          <w:rPr>
            <w:iCs/>
            <w:szCs w:val="20"/>
          </w:rPr>
          <w:delText>lt patients with RA, HS, UC, CD or</w:delText>
        </w:r>
        <w:r w:rsidRPr="00EA1503">
          <w:rPr>
            <w:iCs/>
            <w:szCs w:val="20"/>
          </w:rPr>
          <w:delText xml:space="preserve"> Ps, patients with adolescent HS, and paediatric patients ≥</w:delText>
        </w:r>
        <w:r w:rsidR="00E6118C">
          <w:rPr>
            <w:iCs/>
            <w:szCs w:val="20"/>
          </w:rPr>
          <w:delText> </w:delText>
        </w:r>
        <w:r w:rsidRPr="00EA1503">
          <w:rPr>
            <w:iCs/>
            <w:szCs w:val="20"/>
          </w:rPr>
          <w:delText>40</w:delText>
        </w:r>
        <w:r w:rsidR="00E6118C">
          <w:rPr>
            <w:iCs/>
            <w:szCs w:val="20"/>
          </w:rPr>
          <w:delText> </w:delText>
        </w:r>
        <w:r w:rsidRPr="00EA1503">
          <w:rPr>
            <w:iCs/>
            <w:szCs w:val="20"/>
          </w:rPr>
          <w:delText>kg with CD</w:delText>
        </w:r>
        <w:r w:rsidR="005622E9">
          <w:rPr>
            <w:iCs/>
            <w:szCs w:val="20"/>
          </w:rPr>
          <w:delText xml:space="preserve"> and UC</w:delText>
        </w:r>
        <w:r w:rsidRPr="00EA1503">
          <w:rPr>
            <w:iCs/>
            <w:szCs w:val="20"/>
          </w:rPr>
          <w:delText>).</w:delText>
        </w:r>
      </w:del>
    </w:p>
    <w:p w14:paraId="7C73FEE5" w14:textId="77777777" w:rsidR="00E33F23" w:rsidRDefault="00E33F23" w:rsidP="00203F45">
      <w:pPr>
        <w:autoSpaceDE w:val="0"/>
        <w:autoSpaceDN w:val="0"/>
        <w:adjustRightInd w:val="0"/>
        <w:rPr>
          <w:del w:id="3648" w:author="AbbVie19" w:date="2025-04-16T10:35:00Z"/>
        </w:rPr>
      </w:pPr>
    </w:p>
    <w:p w14:paraId="090692FA" w14:textId="77777777" w:rsidR="00BC0E7E" w:rsidRPr="00BC0E7E" w:rsidRDefault="00944B8F" w:rsidP="00BC0E7E">
      <w:pPr>
        <w:autoSpaceDE w:val="0"/>
        <w:autoSpaceDN w:val="0"/>
        <w:adjustRightInd w:val="0"/>
        <w:rPr>
          <w:del w:id="3649" w:author="AbbVie19" w:date="2025-04-16T10:35:00Z"/>
          <w:u w:val="single"/>
        </w:rPr>
      </w:pPr>
      <w:del w:id="3650" w:author="AbbVie19" w:date="2025-04-16T10:35:00Z">
        <w:r w:rsidRPr="00BC0E7E">
          <w:rPr>
            <w:u w:val="single"/>
          </w:rPr>
          <w:delText>Elimination</w:delText>
        </w:r>
      </w:del>
    </w:p>
    <w:p w14:paraId="5C4136FE" w14:textId="77777777" w:rsidR="00BC0E7E" w:rsidRPr="00BC0E7E" w:rsidRDefault="00BC0E7E" w:rsidP="00BC0E7E">
      <w:pPr>
        <w:autoSpaceDE w:val="0"/>
        <w:autoSpaceDN w:val="0"/>
        <w:adjustRightInd w:val="0"/>
        <w:rPr>
          <w:del w:id="3651" w:author="AbbVie19" w:date="2025-04-16T10:35:00Z"/>
        </w:rPr>
      </w:pPr>
    </w:p>
    <w:p w14:paraId="4CE794A0" w14:textId="77777777" w:rsidR="00BC0E7E" w:rsidRPr="00BC0E7E" w:rsidRDefault="00944B8F" w:rsidP="00BC0E7E">
      <w:pPr>
        <w:autoSpaceDE w:val="0"/>
        <w:autoSpaceDN w:val="0"/>
        <w:adjustRightInd w:val="0"/>
        <w:rPr>
          <w:del w:id="3652" w:author="AbbVie19" w:date="2025-04-16T10:35:00Z"/>
        </w:rPr>
      </w:pPr>
      <w:del w:id="3653" w:author="AbbVie19" w:date="2025-04-16T10:35:00Z">
        <w:r w:rsidRPr="00BC0E7E">
          <w:delText xml:space="preserve">Population pharmacokinetic analyses with data from over 1,300 RA patients revealed a trend toward higher apparent clearance of adalimumab with increasing body weight. After adjustment for weight differences, gender and age appeared to have a minimal effect on adalimumab clearance. The serum levels </w:delText>
        </w:r>
        <w:r w:rsidRPr="00BC0E7E">
          <w:lastRenderedPageBreak/>
          <w:delText xml:space="preserve">of free adalimumab (not bound to anti-adalimumab antibodies, AAA) were observed to be lower in patients with measurable AAA. </w:delText>
        </w:r>
      </w:del>
    </w:p>
    <w:p w14:paraId="6B3D9C9B" w14:textId="77777777" w:rsidR="00BC0E7E" w:rsidRPr="00BC0E7E" w:rsidRDefault="00BC0E7E" w:rsidP="00BC0E7E">
      <w:pPr>
        <w:autoSpaceDE w:val="0"/>
        <w:autoSpaceDN w:val="0"/>
        <w:adjustRightInd w:val="0"/>
        <w:rPr>
          <w:del w:id="3654" w:author="AbbVie19" w:date="2025-04-16T10:35:00Z"/>
        </w:rPr>
      </w:pPr>
    </w:p>
    <w:p w14:paraId="35ADE863" w14:textId="77777777" w:rsidR="00BC0E7E" w:rsidRPr="00BC0E7E" w:rsidRDefault="00944B8F" w:rsidP="00BC0E7E">
      <w:pPr>
        <w:autoSpaceDE w:val="0"/>
        <w:autoSpaceDN w:val="0"/>
        <w:adjustRightInd w:val="0"/>
        <w:rPr>
          <w:del w:id="3655" w:author="AbbVie19" w:date="2025-04-16T10:35:00Z"/>
          <w:u w:val="single"/>
        </w:rPr>
      </w:pPr>
      <w:del w:id="3656" w:author="AbbVie19" w:date="2025-04-16T10:35:00Z">
        <w:r w:rsidRPr="00BC0E7E">
          <w:rPr>
            <w:u w:val="single"/>
          </w:rPr>
          <w:delText>Hepatic or renal impairment</w:delText>
        </w:r>
      </w:del>
    </w:p>
    <w:p w14:paraId="6BB8DE07" w14:textId="77777777" w:rsidR="00BC0E7E" w:rsidRPr="00BC0E7E" w:rsidRDefault="00BC0E7E" w:rsidP="00BC0E7E">
      <w:pPr>
        <w:autoSpaceDE w:val="0"/>
        <w:autoSpaceDN w:val="0"/>
        <w:adjustRightInd w:val="0"/>
        <w:rPr>
          <w:del w:id="3657" w:author="AbbVie19" w:date="2025-04-16T10:35:00Z"/>
          <w:u w:val="single"/>
        </w:rPr>
      </w:pPr>
    </w:p>
    <w:p w14:paraId="2E2A97FF" w14:textId="77777777" w:rsidR="00BC0E7E" w:rsidRPr="00BC0E7E" w:rsidRDefault="00944B8F" w:rsidP="00BC0E7E">
      <w:pPr>
        <w:autoSpaceDE w:val="0"/>
        <w:autoSpaceDN w:val="0"/>
        <w:adjustRightInd w:val="0"/>
        <w:rPr>
          <w:del w:id="3658" w:author="AbbVie19" w:date="2025-04-16T10:35:00Z"/>
          <w:b/>
        </w:rPr>
      </w:pPr>
      <w:del w:id="3659" w:author="AbbVie19" w:date="2025-04-16T10:35:00Z">
        <w:r w:rsidRPr="00BC0E7E">
          <w:delText>Humira has not been studied in patients with hepatic or renal impairment.</w:delText>
        </w:r>
      </w:del>
    </w:p>
    <w:p w14:paraId="3315E961" w14:textId="77777777" w:rsidR="00BC0E7E" w:rsidRPr="00BC0E7E" w:rsidRDefault="00BC0E7E" w:rsidP="00BC0E7E">
      <w:pPr>
        <w:rPr>
          <w:del w:id="3660" w:author="AbbVie19" w:date="2025-04-16T10:35:00Z"/>
          <w:szCs w:val="20"/>
        </w:rPr>
      </w:pPr>
    </w:p>
    <w:p w14:paraId="6AA6FC9C" w14:textId="77777777" w:rsidR="00BC0E7E" w:rsidRPr="00BC0E7E" w:rsidRDefault="00944B8F" w:rsidP="00BC0E7E">
      <w:pPr>
        <w:suppressAutoHyphens w:val="0"/>
        <w:outlineLvl w:val="1"/>
        <w:rPr>
          <w:del w:id="3661" w:author="AbbVie19" w:date="2025-04-16T10:35:00Z"/>
          <w:b/>
          <w:szCs w:val="20"/>
        </w:rPr>
      </w:pPr>
      <w:del w:id="3662" w:author="AbbVie19" w:date="2025-04-16T10:35:00Z">
        <w:r w:rsidRPr="00BC0E7E">
          <w:rPr>
            <w:b/>
            <w:szCs w:val="20"/>
          </w:rPr>
          <w:delText>5.3</w:delText>
        </w:r>
        <w:r w:rsidRPr="00BC0E7E">
          <w:rPr>
            <w:b/>
            <w:szCs w:val="20"/>
          </w:rPr>
          <w:tab/>
          <w:delText xml:space="preserve">Preclinical safety data </w:delText>
        </w:r>
      </w:del>
    </w:p>
    <w:p w14:paraId="2335ECBA" w14:textId="77777777" w:rsidR="00BC0E7E" w:rsidRPr="00BC0E7E" w:rsidRDefault="00BC0E7E" w:rsidP="00BC0E7E">
      <w:pPr>
        <w:rPr>
          <w:del w:id="3663" w:author="AbbVie19" w:date="2025-04-16T10:35:00Z"/>
          <w:szCs w:val="20"/>
        </w:rPr>
      </w:pPr>
    </w:p>
    <w:p w14:paraId="66C75F4E" w14:textId="77777777" w:rsidR="00BC0E7E" w:rsidRPr="00BC0E7E" w:rsidRDefault="00944B8F" w:rsidP="00BC0E7E">
      <w:pPr>
        <w:autoSpaceDE w:val="0"/>
        <w:autoSpaceDN w:val="0"/>
        <w:adjustRightInd w:val="0"/>
        <w:rPr>
          <w:del w:id="3664" w:author="AbbVie19" w:date="2025-04-16T10:35:00Z"/>
        </w:rPr>
      </w:pPr>
      <w:del w:id="3665" w:author="AbbVie19" w:date="2025-04-16T10:35:00Z">
        <w:r w:rsidRPr="00BC0E7E">
          <w:delText xml:space="preserve">Non-clinical data reveal no special hazard for humans based on studies of single dose toxicity, repeated dose toxicity, and genotoxicity.  </w:delText>
        </w:r>
      </w:del>
    </w:p>
    <w:p w14:paraId="09A014F9" w14:textId="77777777" w:rsidR="00BC0E7E" w:rsidRPr="00BC0E7E" w:rsidRDefault="00BC0E7E" w:rsidP="00BC0E7E">
      <w:pPr>
        <w:autoSpaceDE w:val="0"/>
        <w:autoSpaceDN w:val="0"/>
        <w:adjustRightInd w:val="0"/>
        <w:rPr>
          <w:del w:id="3666" w:author="AbbVie19" w:date="2025-04-16T10:35:00Z"/>
        </w:rPr>
      </w:pPr>
    </w:p>
    <w:p w14:paraId="5D513B91" w14:textId="77777777" w:rsidR="00BC0E7E" w:rsidRPr="00BC0E7E" w:rsidRDefault="00944B8F" w:rsidP="00BC0E7E">
      <w:pPr>
        <w:autoSpaceDE w:val="0"/>
        <w:autoSpaceDN w:val="0"/>
        <w:adjustRightInd w:val="0"/>
        <w:rPr>
          <w:del w:id="3667" w:author="AbbVie19" w:date="2025-04-16T10:35:00Z"/>
        </w:rPr>
      </w:pPr>
      <w:del w:id="3668" w:author="AbbVie19" w:date="2025-04-16T10:35:00Z">
        <w:r w:rsidRPr="00BC0E7E">
          <w:delText>An embryo-foetal developmental toxicity/perinatal developmental study has been performed in cynomolgus monkeys at 0, 30 and 100 mg/kg (9-17 monkeys/group) and has revealed no evidence of harm to the foetuses due to adalimumab. Neither carcinogenicity studies, nor a standard assessment of fertility and postnatal toxicity, were performed with adalimumab due to the lack of appropriate models for an antibody with limited cross-reactivity to rodent TNF and to the development of neutralising antibodies in rodents.</w:delText>
        </w:r>
      </w:del>
    </w:p>
    <w:p w14:paraId="106722D7" w14:textId="77777777" w:rsidR="00BC0E7E" w:rsidRPr="00BC0E7E" w:rsidRDefault="00BC0E7E" w:rsidP="00BC0E7E">
      <w:pPr>
        <w:autoSpaceDE w:val="0"/>
        <w:autoSpaceDN w:val="0"/>
        <w:adjustRightInd w:val="0"/>
        <w:rPr>
          <w:del w:id="3669" w:author="AbbVie19" w:date="2025-04-16T10:35:00Z"/>
        </w:rPr>
      </w:pPr>
    </w:p>
    <w:p w14:paraId="5FB03A91" w14:textId="77777777" w:rsidR="00BC0E7E" w:rsidRPr="00BC0E7E" w:rsidRDefault="00BC0E7E" w:rsidP="00BC0E7E">
      <w:pPr>
        <w:autoSpaceDE w:val="0"/>
        <w:autoSpaceDN w:val="0"/>
        <w:adjustRightInd w:val="0"/>
        <w:rPr>
          <w:del w:id="3670" w:author="AbbVie19" w:date="2025-04-16T10:35:00Z"/>
        </w:rPr>
      </w:pPr>
    </w:p>
    <w:p w14:paraId="06C3A9D1" w14:textId="77777777" w:rsidR="00BC0E7E" w:rsidRPr="00BC0E7E" w:rsidRDefault="00944B8F" w:rsidP="00BC0E7E">
      <w:pPr>
        <w:outlineLvl w:val="0"/>
        <w:rPr>
          <w:del w:id="3671" w:author="AbbVie19" w:date="2025-04-16T10:35:00Z"/>
          <w:rFonts w:ascii="Times New Roman Bold" w:hAnsi="Times New Roman Bold"/>
          <w:caps/>
          <w:szCs w:val="20"/>
        </w:rPr>
      </w:pPr>
      <w:del w:id="3672" w:author="AbbVie19" w:date="2025-04-16T10:35:00Z">
        <w:r w:rsidRPr="00BC0E7E">
          <w:rPr>
            <w:rFonts w:ascii="Times New Roman Bold" w:hAnsi="Times New Roman Bold"/>
            <w:caps/>
            <w:szCs w:val="20"/>
          </w:rPr>
          <w:delText>6.</w:delText>
        </w:r>
        <w:r w:rsidRPr="00BC0E7E">
          <w:rPr>
            <w:rFonts w:ascii="Times New Roman Bold" w:hAnsi="Times New Roman Bold"/>
            <w:caps/>
            <w:szCs w:val="20"/>
          </w:rPr>
          <w:tab/>
        </w:r>
        <w:r w:rsidRPr="00BC0E7E">
          <w:rPr>
            <w:b/>
            <w:caps/>
            <w:szCs w:val="20"/>
          </w:rPr>
          <w:delText>PHARMACEUTICAL</w:delText>
        </w:r>
        <w:r w:rsidRPr="00BC0E7E">
          <w:rPr>
            <w:rFonts w:ascii="Times New Roman Bold" w:hAnsi="Times New Roman Bold"/>
            <w:caps/>
            <w:szCs w:val="20"/>
          </w:rPr>
          <w:delText xml:space="preserve"> PARTICULARS</w:delText>
        </w:r>
      </w:del>
    </w:p>
    <w:p w14:paraId="1B5661F0" w14:textId="77777777" w:rsidR="00BC0E7E" w:rsidRPr="003F7AAE" w:rsidRDefault="00BC0E7E" w:rsidP="00BC0E7E">
      <w:pPr>
        <w:autoSpaceDE w:val="0"/>
        <w:autoSpaceDN w:val="0"/>
        <w:adjustRightInd w:val="0"/>
        <w:rPr>
          <w:del w:id="3673" w:author="AbbVie19" w:date="2025-04-16T10:35:00Z"/>
        </w:rPr>
      </w:pPr>
    </w:p>
    <w:p w14:paraId="5BF7F1B4" w14:textId="77777777" w:rsidR="00BC0E7E" w:rsidRPr="00BC0E7E" w:rsidRDefault="00944B8F" w:rsidP="00BC0E7E">
      <w:pPr>
        <w:suppressAutoHyphens w:val="0"/>
        <w:outlineLvl w:val="1"/>
        <w:rPr>
          <w:del w:id="3674" w:author="AbbVie19" w:date="2025-04-16T10:35:00Z"/>
          <w:b/>
          <w:szCs w:val="20"/>
        </w:rPr>
      </w:pPr>
      <w:del w:id="3675" w:author="AbbVie19" w:date="2025-04-16T10:35:00Z">
        <w:r w:rsidRPr="00BC0E7E">
          <w:rPr>
            <w:b/>
            <w:szCs w:val="20"/>
          </w:rPr>
          <w:delText>6.1</w:delText>
        </w:r>
        <w:r w:rsidRPr="00BC0E7E">
          <w:rPr>
            <w:b/>
            <w:szCs w:val="20"/>
          </w:rPr>
          <w:tab/>
          <w:delText xml:space="preserve">List of excipients </w:delText>
        </w:r>
      </w:del>
    </w:p>
    <w:p w14:paraId="52006519" w14:textId="77777777" w:rsidR="00BC0E7E" w:rsidRPr="00BC0E7E" w:rsidRDefault="00BC0E7E" w:rsidP="00BC0E7E">
      <w:pPr>
        <w:rPr>
          <w:del w:id="3676" w:author="AbbVie19" w:date="2025-04-16T10:35:00Z"/>
          <w:szCs w:val="20"/>
        </w:rPr>
      </w:pPr>
    </w:p>
    <w:p w14:paraId="743360B2" w14:textId="77777777" w:rsidR="00BC0E7E" w:rsidRPr="00BC0E7E" w:rsidRDefault="00944B8F" w:rsidP="00BC0E7E">
      <w:pPr>
        <w:autoSpaceDE w:val="0"/>
        <w:autoSpaceDN w:val="0"/>
        <w:adjustRightInd w:val="0"/>
        <w:rPr>
          <w:del w:id="3677" w:author="AbbVie19" w:date="2025-04-16T10:35:00Z"/>
        </w:rPr>
      </w:pPr>
      <w:del w:id="3678" w:author="AbbVie19" w:date="2025-04-16T10:35:00Z">
        <w:r w:rsidRPr="00BC0E7E">
          <w:delText>Mannitol</w:delText>
        </w:r>
      </w:del>
    </w:p>
    <w:p w14:paraId="72118D17" w14:textId="77777777" w:rsidR="00BC0E7E" w:rsidRPr="00BC0E7E" w:rsidRDefault="00944B8F" w:rsidP="00BC0E7E">
      <w:pPr>
        <w:autoSpaceDE w:val="0"/>
        <w:autoSpaceDN w:val="0"/>
        <w:adjustRightInd w:val="0"/>
        <w:rPr>
          <w:del w:id="3679" w:author="AbbVie19" w:date="2025-04-16T10:35:00Z"/>
        </w:rPr>
      </w:pPr>
      <w:del w:id="3680" w:author="AbbVie19" w:date="2025-04-16T10:35:00Z">
        <w:r w:rsidRPr="00BC0E7E">
          <w:delText>Citric acid monohydrate</w:delText>
        </w:r>
      </w:del>
    </w:p>
    <w:p w14:paraId="265E9216" w14:textId="77777777" w:rsidR="00BC0E7E" w:rsidRPr="00BC0E7E" w:rsidRDefault="00944B8F" w:rsidP="00BC0E7E">
      <w:pPr>
        <w:autoSpaceDE w:val="0"/>
        <w:autoSpaceDN w:val="0"/>
        <w:adjustRightInd w:val="0"/>
        <w:rPr>
          <w:del w:id="3681" w:author="AbbVie19" w:date="2025-04-16T10:35:00Z"/>
        </w:rPr>
      </w:pPr>
      <w:del w:id="3682" w:author="AbbVie19" w:date="2025-04-16T10:35:00Z">
        <w:r w:rsidRPr="00BC0E7E">
          <w:delText>Sodium citrate</w:delText>
        </w:r>
      </w:del>
    </w:p>
    <w:p w14:paraId="15170AAB" w14:textId="77777777" w:rsidR="00BC0E7E" w:rsidRPr="00BC0E7E" w:rsidRDefault="00944B8F" w:rsidP="00BC0E7E">
      <w:pPr>
        <w:autoSpaceDE w:val="0"/>
        <w:autoSpaceDN w:val="0"/>
        <w:adjustRightInd w:val="0"/>
        <w:rPr>
          <w:del w:id="3683" w:author="AbbVie19" w:date="2025-04-16T10:35:00Z"/>
        </w:rPr>
      </w:pPr>
      <w:del w:id="3684" w:author="AbbVie19" w:date="2025-04-16T10:35:00Z">
        <w:r w:rsidRPr="00BC0E7E">
          <w:delText>Sodium dihydrogen phosphate dihydrate</w:delText>
        </w:r>
      </w:del>
    </w:p>
    <w:p w14:paraId="30011033" w14:textId="77777777" w:rsidR="00BC0E7E" w:rsidRPr="00BC0E7E" w:rsidRDefault="00944B8F" w:rsidP="00BC0E7E">
      <w:pPr>
        <w:autoSpaceDE w:val="0"/>
        <w:autoSpaceDN w:val="0"/>
        <w:adjustRightInd w:val="0"/>
        <w:rPr>
          <w:del w:id="3685" w:author="AbbVie19" w:date="2025-04-16T10:35:00Z"/>
        </w:rPr>
      </w:pPr>
      <w:del w:id="3686" w:author="AbbVie19" w:date="2025-04-16T10:35:00Z">
        <w:r w:rsidRPr="00BC0E7E">
          <w:delText>Disodium phosphate dihydrate</w:delText>
        </w:r>
      </w:del>
    </w:p>
    <w:p w14:paraId="33D73258" w14:textId="77777777" w:rsidR="00BC0E7E" w:rsidRPr="00BC0E7E" w:rsidRDefault="00944B8F" w:rsidP="00BC0E7E">
      <w:pPr>
        <w:autoSpaceDE w:val="0"/>
        <w:autoSpaceDN w:val="0"/>
        <w:adjustRightInd w:val="0"/>
        <w:rPr>
          <w:del w:id="3687" w:author="AbbVie19" w:date="2025-04-16T10:35:00Z"/>
        </w:rPr>
      </w:pPr>
      <w:del w:id="3688" w:author="AbbVie19" w:date="2025-04-16T10:35:00Z">
        <w:r w:rsidRPr="00BC0E7E">
          <w:delText>Sodium chloride</w:delText>
        </w:r>
      </w:del>
    </w:p>
    <w:p w14:paraId="61B32E30" w14:textId="77777777" w:rsidR="00BC0E7E" w:rsidRPr="00BC0E7E" w:rsidRDefault="00944B8F" w:rsidP="00BC0E7E">
      <w:pPr>
        <w:autoSpaceDE w:val="0"/>
        <w:autoSpaceDN w:val="0"/>
        <w:adjustRightInd w:val="0"/>
        <w:rPr>
          <w:del w:id="3689" w:author="AbbVie19" w:date="2025-04-16T10:35:00Z"/>
        </w:rPr>
      </w:pPr>
      <w:del w:id="3690" w:author="AbbVie19" w:date="2025-04-16T10:35:00Z">
        <w:r w:rsidRPr="00BC0E7E">
          <w:delText>Polysorbate 80</w:delText>
        </w:r>
      </w:del>
    </w:p>
    <w:p w14:paraId="31FFC792" w14:textId="77777777" w:rsidR="00BC0E7E" w:rsidRPr="00BC0E7E" w:rsidRDefault="00944B8F" w:rsidP="00BC0E7E">
      <w:pPr>
        <w:autoSpaceDE w:val="0"/>
        <w:autoSpaceDN w:val="0"/>
        <w:adjustRightInd w:val="0"/>
        <w:rPr>
          <w:del w:id="3691" w:author="AbbVie19" w:date="2025-04-16T10:35:00Z"/>
        </w:rPr>
      </w:pPr>
      <w:del w:id="3692" w:author="AbbVie19" w:date="2025-04-16T10:35:00Z">
        <w:r w:rsidRPr="00BC0E7E">
          <w:delText>Sodium hydroxide</w:delText>
        </w:r>
      </w:del>
    </w:p>
    <w:p w14:paraId="3C98079A" w14:textId="77777777" w:rsidR="00BC0E7E" w:rsidRPr="00BC0E7E" w:rsidRDefault="00944B8F" w:rsidP="00BC0E7E">
      <w:pPr>
        <w:autoSpaceDE w:val="0"/>
        <w:autoSpaceDN w:val="0"/>
        <w:adjustRightInd w:val="0"/>
        <w:rPr>
          <w:del w:id="3693" w:author="AbbVie19" w:date="2025-04-16T10:35:00Z"/>
        </w:rPr>
      </w:pPr>
      <w:del w:id="3694" w:author="AbbVie19" w:date="2025-04-16T10:35:00Z">
        <w:r w:rsidRPr="00BC0E7E">
          <w:delText>Water for injections.</w:delText>
        </w:r>
      </w:del>
    </w:p>
    <w:p w14:paraId="2F687770" w14:textId="77777777" w:rsidR="00BC0E7E" w:rsidRPr="00BC0E7E" w:rsidRDefault="00BC0E7E" w:rsidP="00BC0E7E">
      <w:pPr>
        <w:autoSpaceDE w:val="0"/>
        <w:autoSpaceDN w:val="0"/>
        <w:adjustRightInd w:val="0"/>
        <w:rPr>
          <w:del w:id="3695" w:author="AbbVie19" w:date="2025-04-16T10:35:00Z"/>
        </w:rPr>
      </w:pPr>
    </w:p>
    <w:p w14:paraId="55BACB05" w14:textId="77777777" w:rsidR="00BC0E7E" w:rsidRPr="00BC0E7E" w:rsidRDefault="00944B8F" w:rsidP="00BC0E7E">
      <w:pPr>
        <w:keepNext/>
        <w:suppressAutoHyphens w:val="0"/>
        <w:outlineLvl w:val="1"/>
        <w:rPr>
          <w:del w:id="3696" w:author="AbbVie19" w:date="2025-04-16T10:35:00Z"/>
          <w:b/>
          <w:szCs w:val="20"/>
        </w:rPr>
      </w:pPr>
      <w:del w:id="3697" w:author="AbbVie19" w:date="2025-04-16T10:35:00Z">
        <w:r w:rsidRPr="00BC0E7E">
          <w:rPr>
            <w:b/>
            <w:szCs w:val="20"/>
          </w:rPr>
          <w:delText>6.2</w:delText>
        </w:r>
        <w:r w:rsidRPr="00BC0E7E">
          <w:rPr>
            <w:b/>
            <w:szCs w:val="20"/>
          </w:rPr>
          <w:tab/>
          <w:delText xml:space="preserve">Incompatibilities </w:delText>
        </w:r>
      </w:del>
    </w:p>
    <w:p w14:paraId="7A0B55A8" w14:textId="77777777" w:rsidR="00BC0E7E" w:rsidRPr="00BC0E7E" w:rsidRDefault="00BC0E7E" w:rsidP="00BC0E7E">
      <w:pPr>
        <w:keepNext/>
        <w:rPr>
          <w:del w:id="3698" w:author="AbbVie19" w:date="2025-04-16T10:35:00Z"/>
          <w:szCs w:val="20"/>
        </w:rPr>
      </w:pPr>
    </w:p>
    <w:p w14:paraId="1FE1FBE1" w14:textId="77777777" w:rsidR="00BC0E7E" w:rsidRPr="00BC0E7E" w:rsidRDefault="00944B8F" w:rsidP="00BC0E7E">
      <w:pPr>
        <w:keepNext/>
        <w:tabs>
          <w:tab w:val="clear" w:pos="562"/>
        </w:tabs>
        <w:rPr>
          <w:del w:id="3699" w:author="AbbVie19" w:date="2025-04-16T10:35:00Z"/>
        </w:rPr>
      </w:pPr>
      <w:del w:id="3700" w:author="AbbVie19" w:date="2025-04-16T10:35:00Z">
        <w:r w:rsidRPr="00BC0E7E">
          <w:delText>In the absence of compatibility studies, this medicinal product must not be mixed with other medicinal products.</w:delText>
        </w:r>
      </w:del>
    </w:p>
    <w:p w14:paraId="3B88A54E" w14:textId="77777777" w:rsidR="00BC0E7E" w:rsidRPr="00BC0E7E" w:rsidRDefault="00BC0E7E" w:rsidP="00BC0E7E">
      <w:pPr>
        <w:tabs>
          <w:tab w:val="clear" w:pos="562"/>
        </w:tabs>
        <w:rPr>
          <w:del w:id="3701" w:author="AbbVie19" w:date="2025-04-16T10:35:00Z"/>
        </w:rPr>
      </w:pPr>
    </w:p>
    <w:p w14:paraId="043A6E84" w14:textId="77777777" w:rsidR="00BC0E7E" w:rsidRPr="00BC0E7E" w:rsidRDefault="00944B8F" w:rsidP="00BC0E7E">
      <w:pPr>
        <w:suppressAutoHyphens w:val="0"/>
        <w:outlineLvl w:val="1"/>
        <w:rPr>
          <w:del w:id="3702" w:author="AbbVie19" w:date="2025-04-16T10:35:00Z"/>
          <w:b/>
          <w:szCs w:val="20"/>
        </w:rPr>
      </w:pPr>
      <w:del w:id="3703" w:author="AbbVie19" w:date="2025-04-16T10:35:00Z">
        <w:r w:rsidRPr="00BC0E7E">
          <w:rPr>
            <w:b/>
            <w:szCs w:val="20"/>
          </w:rPr>
          <w:delText>6.3</w:delText>
        </w:r>
        <w:r w:rsidRPr="00BC0E7E">
          <w:rPr>
            <w:b/>
            <w:szCs w:val="20"/>
          </w:rPr>
          <w:tab/>
          <w:delText xml:space="preserve">Shelf life </w:delText>
        </w:r>
      </w:del>
    </w:p>
    <w:p w14:paraId="50AE74E0" w14:textId="77777777" w:rsidR="00BC0E7E" w:rsidRPr="00BC0E7E" w:rsidRDefault="00BC0E7E" w:rsidP="00BC0E7E">
      <w:pPr>
        <w:rPr>
          <w:del w:id="3704" w:author="AbbVie19" w:date="2025-04-16T10:35:00Z"/>
          <w:szCs w:val="20"/>
        </w:rPr>
      </w:pPr>
    </w:p>
    <w:p w14:paraId="4FC694AF" w14:textId="77777777" w:rsidR="00BC0E7E" w:rsidRPr="00BC0E7E" w:rsidRDefault="00944B8F" w:rsidP="00BC0E7E">
      <w:pPr>
        <w:tabs>
          <w:tab w:val="clear" w:pos="562"/>
        </w:tabs>
        <w:rPr>
          <w:del w:id="3705" w:author="AbbVie19" w:date="2025-04-16T10:35:00Z"/>
        </w:rPr>
      </w:pPr>
      <w:del w:id="3706" w:author="AbbVie19" w:date="2025-04-16T10:35:00Z">
        <w:r w:rsidRPr="00BC0E7E">
          <w:delText xml:space="preserve">2 years </w:delText>
        </w:r>
      </w:del>
    </w:p>
    <w:p w14:paraId="1042D937" w14:textId="77777777" w:rsidR="00BC0E7E" w:rsidRPr="00BC0E7E" w:rsidRDefault="00BC0E7E" w:rsidP="00BC0E7E">
      <w:pPr>
        <w:tabs>
          <w:tab w:val="clear" w:pos="562"/>
        </w:tabs>
        <w:rPr>
          <w:del w:id="3707" w:author="AbbVie19" w:date="2025-04-16T10:35:00Z"/>
        </w:rPr>
      </w:pPr>
    </w:p>
    <w:p w14:paraId="6F93CC13" w14:textId="77777777" w:rsidR="00BC0E7E" w:rsidRPr="00BC0E7E" w:rsidRDefault="00944B8F" w:rsidP="00BC0E7E">
      <w:pPr>
        <w:suppressAutoHyphens w:val="0"/>
        <w:outlineLvl w:val="1"/>
        <w:rPr>
          <w:del w:id="3708" w:author="AbbVie19" w:date="2025-04-16T10:35:00Z"/>
          <w:b/>
          <w:szCs w:val="20"/>
        </w:rPr>
      </w:pPr>
      <w:del w:id="3709" w:author="AbbVie19" w:date="2025-04-16T10:35:00Z">
        <w:r w:rsidRPr="00BC0E7E">
          <w:rPr>
            <w:b/>
            <w:szCs w:val="20"/>
          </w:rPr>
          <w:delText>6.4</w:delText>
        </w:r>
        <w:r w:rsidRPr="00BC0E7E">
          <w:rPr>
            <w:b/>
            <w:szCs w:val="20"/>
          </w:rPr>
          <w:tab/>
          <w:delText xml:space="preserve">Special precautions for storage </w:delText>
        </w:r>
      </w:del>
    </w:p>
    <w:p w14:paraId="1408DE7B" w14:textId="77777777" w:rsidR="00BC0E7E" w:rsidRPr="00BC0E7E" w:rsidRDefault="00BC0E7E" w:rsidP="00BC0E7E">
      <w:pPr>
        <w:rPr>
          <w:del w:id="3710" w:author="AbbVie19" w:date="2025-04-16T10:35:00Z"/>
          <w:szCs w:val="20"/>
        </w:rPr>
      </w:pPr>
    </w:p>
    <w:p w14:paraId="334BC59D" w14:textId="77777777" w:rsidR="00BC0E7E" w:rsidRPr="00BC0E7E" w:rsidRDefault="00944B8F" w:rsidP="00BC0E7E">
      <w:pPr>
        <w:tabs>
          <w:tab w:val="clear" w:pos="562"/>
        </w:tabs>
        <w:rPr>
          <w:del w:id="3711" w:author="AbbVie19" w:date="2025-04-16T10:35:00Z"/>
        </w:rPr>
      </w:pPr>
      <w:del w:id="3712" w:author="AbbVie19" w:date="2025-04-16T10:35:00Z">
        <w:r w:rsidRPr="00BC0E7E">
          <w:delText>Store in a refrigerator (2</w:delText>
        </w:r>
        <w:r w:rsidRPr="00BC0E7E">
          <w:rPr>
            <w:rFonts w:ascii="Symbol" w:eastAsia="Symbol" w:hAnsi="Symbol" w:cs="Symbol"/>
            <w:szCs w:val="22"/>
          </w:rPr>
          <w:sym w:font="Symbol" w:char="F0B0"/>
        </w:r>
        <w:r w:rsidRPr="00BC0E7E">
          <w:delText>C – 8</w:delText>
        </w:r>
        <w:r w:rsidRPr="00BC0E7E">
          <w:rPr>
            <w:rFonts w:ascii="Symbol" w:eastAsia="Symbol" w:hAnsi="Symbol" w:cs="Symbol"/>
            <w:szCs w:val="22"/>
          </w:rPr>
          <w:sym w:font="Symbol" w:char="F0B0"/>
        </w:r>
        <w:r w:rsidRPr="00BC0E7E">
          <w:delText xml:space="preserve">C). Do not freeze. Keep the vial in the outer carton in order to protect from light.  </w:delText>
        </w:r>
      </w:del>
    </w:p>
    <w:p w14:paraId="7CE8E2F6" w14:textId="77777777" w:rsidR="00BC0E7E" w:rsidRPr="00BC0E7E" w:rsidRDefault="00BC0E7E" w:rsidP="00BC0E7E">
      <w:pPr>
        <w:tabs>
          <w:tab w:val="clear" w:pos="562"/>
        </w:tabs>
        <w:rPr>
          <w:del w:id="3713" w:author="AbbVie19" w:date="2025-04-16T10:35:00Z"/>
        </w:rPr>
      </w:pPr>
    </w:p>
    <w:p w14:paraId="0D57E9C9" w14:textId="77777777" w:rsidR="00BC0E7E" w:rsidRPr="00BC0E7E" w:rsidRDefault="00944B8F" w:rsidP="00BC0E7E">
      <w:pPr>
        <w:keepNext/>
        <w:suppressAutoHyphens w:val="0"/>
        <w:outlineLvl w:val="1"/>
        <w:rPr>
          <w:del w:id="3714" w:author="AbbVie19" w:date="2025-04-16T10:35:00Z"/>
          <w:b/>
          <w:szCs w:val="20"/>
        </w:rPr>
      </w:pPr>
      <w:del w:id="3715" w:author="AbbVie19" w:date="2025-04-16T10:35:00Z">
        <w:r w:rsidRPr="00BC0E7E">
          <w:rPr>
            <w:b/>
            <w:szCs w:val="20"/>
          </w:rPr>
          <w:delText>6.5</w:delText>
        </w:r>
        <w:r w:rsidRPr="00BC0E7E">
          <w:rPr>
            <w:b/>
            <w:szCs w:val="20"/>
          </w:rPr>
          <w:tab/>
          <w:delText xml:space="preserve">Nature and contents of container  </w:delText>
        </w:r>
      </w:del>
    </w:p>
    <w:p w14:paraId="00B08596" w14:textId="77777777" w:rsidR="00BC0E7E" w:rsidRPr="00BC0E7E" w:rsidRDefault="00BC0E7E" w:rsidP="00BC0E7E">
      <w:pPr>
        <w:rPr>
          <w:del w:id="3716" w:author="AbbVie19" w:date="2025-04-16T10:35:00Z"/>
          <w:szCs w:val="20"/>
        </w:rPr>
      </w:pPr>
    </w:p>
    <w:p w14:paraId="0F017C80" w14:textId="77777777" w:rsidR="00BC0E7E" w:rsidRPr="00BC0E7E" w:rsidRDefault="00944B8F" w:rsidP="00BC0E7E">
      <w:pPr>
        <w:keepNext/>
        <w:tabs>
          <w:tab w:val="clear" w:pos="562"/>
        </w:tabs>
        <w:rPr>
          <w:del w:id="3717" w:author="AbbVie19" w:date="2025-04-16T10:35:00Z"/>
        </w:rPr>
      </w:pPr>
      <w:del w:id="3718" w:author="AbbVie19" w:date="2025-04-16T10:35:00Z">
        <w:r w:rsidRPr="00BC0E7E">
          <w:delText xml:space="preserve">Humira 40 mg solution for injection in single-use vial (type I glass), fitted with rubber stoppers, aluminium crimps and flip-off seals. </w:delText>
        </w:r>
      </w:del>
    </w:p>
    <w:p w14:paraId="4711E609" w14:textId="77777777" w:rsidR="00BC0E7E" w:rsidRPr="00BC0E7E" w:rsidRDefault="00BC0E7E" w:rsidP="00BC0E7E">
      <w:pPr>
        <w:tabs>
          <w:tab w:val="clear" w:pos="562"/>
        </w:tabs>
        <w:rPr>
          <w:del w:id="3719" w:author="AbbVie19" w:date="2025-04-16T10:35:00Z"/>
        </w:rPr>
      </w:pPr>
    </w:p>
    <w:p w14:paraId="14B2BAB5" w14:textId="77777777" w:rsidR="00BC0E7E" w:rsidRPr="00BC0E7E" w:rsidRDefault="00944B8F" w:rsidP="00BC0E7E">
      <w:pPr>
        <w:tabs>
          <w:tab w:val="clear" w:pos="562"/>
        </w:tabs>
        <w:rPr>
          <w:del w:id="3720" w:author="AbbVie19" w:date="2025-04-16T10:35:00Z"/>
        </w:rPr>
      </w:pPr>
      <w:del w:id="3721" w:author="AbbVie19" w:date="2025-04-16T10:35:00Z">
        <w:r w:rsidRPr="00BC0E7E">
          <w:lastRenderedPageBreak/>
          <w:delText>1 Pack of 2 boxes each containing:</w:delText>
        </w:r>
      </w:del>
    </w:p>
    <w:p w14:paraId="27B15BDE" w14:textId="77777777" w:rsidR="00BC0E7E" w:rsidRPr="00BC0E7E" w:rsidRDefault="00944B8F" w:rsidP="00BC0E7E">
      <w:pPr>
        <w:tabs>
          <w:tab w:val="clear" w:pos="562"/>
        </w:tabs>
        <w:rPr>
          <w:del w:id="3722" w:author="AbbVie19" w:date="2025-04-16T10:35:00Z"/>
        </w:rPr>
      </w:pPr>
      <w:del w:id="3723" w:author="AbbVie19" w:date="2025-04-16T10:35:00Z">
        <w:r w:rsidRPr="00BC0E7E">
          <w:delText>1 vial (0.8 ml sterile solution), 1 empty sterile injection syringe, 1 needle, 1 vial adapter and 2 alcohol pads.</w:delText>
        </w:r>
      </w:del>
    </w:p>
    <w:p w14:paraId="5A1E0A45" w14:textId="77777777" w:rsidR="00BC0E7E" w:rsidRPr="00BC0E7E" w:rsidRDefault="00BC0E7E" w:rsidP="00BC0E7E">
      <w:pPr>
        <w:tabs>
          <w:tab w:val="clear" w:pos="562"/>
        </w:tabs>
        <w:rPr>
          <w:del w:id="3724" w:author="AbbVie19" w:date="2025-04-16T10:35:00Z"/>
        </w:rPr>
      </w:pPr>
    </w:p>
    <w:p w14:paraId="4D7CE2DD" w14:textId="77777777" w:rsidR="00BC0E7E" w:rsidRPr="00BC0E7E" w:rsidRDefault="00944B8F" w:rsidP="00BC0E7E">
      <w:pPr>
        <w:suppressAutoHyphens w:val="0"/>
        <w:outlineLvl w:val="1"/>
        <w:rPr>
          <w:del w:id="3725" w:author="AbbVie19" w:date="2025-04-16T10:35:00Z"/>
          <w:b/>
          <w:szCs w:val="20"/>
        </w:rPr>
      </w:pPr>
      <w:del w:id="3726" w:author="AbbVie19" w:date="2025-04-16T10:35:00Z">
        <w:r w:rsidRPr="00BC0E7E">
          <w:rPr>
            <w:b/>
            <w:szCs w:val="20"/>
          </w:rPr>
          <w:delText>6.6</w:delText>
        </w:r>
        <w:r w:rsidRPr="00BC0E7E">
          <w:rPr>
            <w:b/>
            <w:szCs w:val="20"/>
          </w:rPr>
          <w:tab/>
          <w:delText>Special precautions for disposal</w:delText>
        </w:r>
      </w:del>
    </w:p>
    <w:p w14:paraId="4B182468" w14:textId="77777777" w:rsidR="00BC0E7E" w:rsidRPr="00BC0E7E" w:rsidRDefault="00BC0E7E" w:rsidP="00BC0E7E">
      <w:pPr>
        <w:rPr>
          <w:del w:id="3727" w:author="AbbVie19" w:date="2025-04-16T10:35:00Z"/>
          <w:szCs w:val="20"/>
        </w:rPr>
      </w:pPr>
    </w:p>
    <w:p w14:paraId="783987BD" w14:textId="77777777" w:rsidR="00BC0E7E" w:rsidRPr="00BC0E7E" w:rsidRDefault="00944B8F" w:rsidP="00BC0E7E">
      <w:pPr>
        <w:tabs>
          <w:tab w:val="clear" w:pos="562"/>
        </w:tabs>
        <w:rPr>
          <w:del w:id="3728" w:author="AbbVie19" w:date="2025-04-16T10:35:00Z"/>
        </w:rPr>
      </w:pPr>
      <w:del w:id="3729" w:author="AbbVie19" w:date="2025-04-16T10:35:00Z">
        <w:r w:rsidRPr="00BC0E7E">
          <w:delText>Any unused medicinal product or waste material should be disposed of in accordance with local requirements.</w:delText>
        </w:r>
      </w:del>
    </w:p>
    <w:p w14:paraId="52195552" w14:textId="77777777" w:rsidR="00BC0E7E" w:rsidRPr="00BC0E7E" w:rsidRDefault="00BC0E7E" w:rsidP="00BC0E7E">
      <w:pPr>
        <w:tabs>
          <w:tab w:val="clear" w:pos="562"/>
        </w:tabs>
        <w:rPr>
          <w:del w:id="3730" w:author="AbbVie19" w:date="2025-04-16T10:35:00Z"/>
        </w:rPr>
      </w:pPr>
    </w:p>
    <w:p w14:paraId="30EB07C7" w14:textId="77777777" w:rsidR="00BC0E7E" w:rsidRPr="00BC0E7E" w:rsidRDefault="00BC0E7E" w:rsidP="00BC0E7E">
      <w:pPr>
        <w:tabs>
          <w:tab w:val="clear" w:pos="562"/>
        </w:tabs>
        <w:rPr>
          <w:del w:id="3731" w:author="AbbVie19" w:date="2025-04-16T10:35:00Z"/>
        </w:rPr>
      </w:pPr>
    </w:p>
    <w:p w14:paraId="439620BB" w14:textId="77777777" w:rsidR="00BC0E7E" w:rsidRPr="003B65EC" w:rsidRDefault="00944B8F" w:rsidP="00BC0E7E">
      <w:pPr>
        <w:outlineLvl w:val="0"/>
        <w:rPr>
          <w:del w:id="3732" w:author="AbbVie19" w:date="2025-04-16T10:35:00Z"/>
          <w:b/>
          <w:caps/>
          <w:szCs w:val="20"/>
        </w:rPr>
      </w:pPr>
      <w:del w:id="3733" w:author="AbbVie19" w:date="2025-04-16T10:35:00Z">
        <w:r w:rsidRPr="003B65EC">
          <w:rPr>
            <w:b/>
            <w:caps/>
            <w:szCs w:val="20"/>
          </w:rPr>
          <w:delText>7.</w:delText>
        </w:r>
        <w:r w:rsidRPr="003B65EC">
          <w:rPr>
            <w:b/>
            <w:caps/>
            <w:szCs w:val="20"/>
          </w:rPr>
          <w:tab/>
          <w:delText xml:space="preserve">MARKETING AUTHORISATION HOLDER </w:delText>
        </w:r>
      </w:del>
    </w:p>
    <w:p w14:paraId="71726BB0" w14:textId="77777777" w:rsidR="00BC0E7E" w:rsidRPr="003B65EC" w:rsidRDefault="00BC0E7E" w:rsidP="00BC0E7E">
      <w:pPr>
        <w:rPr>
          <w:del w:id="3734" w:author="AbbVie19" w:date="2025-04-16T10:35:00Z"/>
          <w:szCs w:val="20"/>
        </w:rPr>
      </w:pPr>
    </w:p>
    <w:p w14:paraId="4D9A4343" w14:textId="77777777" w:rsidR="006A01D2" w:rsidRPr="003B65EC" w:rsidRDefault="00944B8F" w:rsidP="006A01D2">
      <w:pPr>
        <w:keepNext/>
        <w:tabs>
          <w:tab w:val="clear" w:pos="562"/>
        </w:tabs>
        <w:suppressAutoHyphens w:val="0"/>
        <w:autoSpaceDE w:val="0"/>
        <w:autoSpaceDN w:val="0"/>
        <w:adjustRightInd w:val="0"/>
        <w:spacing w:line="240" w:lineRule="atLeast"/>
        <w:rPr>
          <w:del w:id="3735" w:author="AbbVie19" w:date="2025-04-16T10:35:00Z"/>
          <w:szCs w:val="22"/>
          <w:lang w:eastAsia="en-GB"/>
        </w:rPr>
      </w:pPr>
      <w:del w:id="3736" w:author="AbbVie19" w:date="2025-04-16T10:35:00Z">
        <w:r w:rsidRPr="003B65EC">
          <w:rPr>
            <w:szCs w:val="22"/>
            <w:lang w:eastAsia="en-GB"/>
          </w:rPr>
          <w:delText>AbbVie Deutschland GmbH &amp; Co. KG</w:delText>
        </w:r>
      </w:del>
    </w:p>
    <w:p w14:paraId="321332CA" w14:textId="77777777" w:rsidR="006A01D2" w:rsidRPr="003B65EC" w:rsidRDefault="00944B8F" w:rsidP="006A01D2">
      <w:pPr>
        <w:keepNext/>
        <w:tabs>
          <w:tab w:val="clear" w:pos="562"/>
        </w:tabs>
        <w:suppressAutoHyphens w:val="0"/>
        <w:autoSpaceDE w:val="0"/>
        <w:autoSpaceDN w:val="0"/>
        <w:adjustRightInd w:val="0"/>
        <w:spacing w:line="240" w:lineRule="atLeast"/>
        <w:rPr>
          <w:del w:id="3737" w:author="AbbVie19" w:date="2025-04-16T10:35:00Z"/>
          <w:szCs w:val="22"/>
          <w:lang w:eastAsia="en-GB"/>
        </w:rPr>
      </w:pPr>
      <w:del w:id="3738" w:author="AbbVie19" w:date="2025-04-16T10:35:00Z">
        <w:r w:rsidRPr="003B65EC">
          <w:rPr>
            <w:szCs w:val="22"/>
            <w:lang w:eastAsia="en-GB"/>
          </w:rPr>
          <w:delText>Knollstrasse</w:delText>
        </w:r>
      </w:del>
    </w:p>
    <w:p w14:paraId="259033DF" w14:textId="77777777" w:rsidR="006A01D2" w:rsidRPr="003B65EC" w:rsidRDefault="00944B8F" w:rsidP="006A01D2">
      <w:pPr>
        <w:keepNext/>
        <w:tabs>
          <w:tab w:val="clear" w:pos="562"/>
        </w:tabs>
        <w:suppressAutoHyphens w:val="0"/>
        <w:autoSpaceDE w:val="0"/>
        <w:autoSpaceDN w:val="0"/>
        <w:adjustRightInd w:val="0"/>
        <w:spacing w:line="240" w:lineRule="atLeast"/>
        <w:rPr>
          <w:del w:id="3739" w:author="AbbVie19" w:date="2025-04-16T10:35:00Z"/>
          <w:szCs w:val="22"/>
          <w:lang w:eastAsia="en-GB"/>
        </w:rPr>
      </w:pPr>
      <w:del w:id="3740" w:author="AbbVie19" w:date="2025-04-16T10:35:00Z">
        <w:r w:rsidRPr="003B65EC">
          <w:rPr>
            <w:szCs w:val="22"/>
            <w:lang w:eastAsia="en-GB"/>
          </w:rPr>
          <w:delText>67061 Ludwigshafen</w:delText>
        </w:r>
      </w:del>
    </w:p>
    <w:p w14:paraId="2822A63D" w14:textId="77777777" w:rsidR="006A01D2" w:rsidRDefault="00944B8F" w:rsidP="006A01D2">
      <w:pPr>
        <w:keepNext/>
        <w:tabs>
          <w:tab w:val="clear" w:pos="562"/>
        </w:tabs>
        <w:suppressAutoHyphens w:val="0"/>
        <w:autoSpaceDE w:val="0"/>
        <w:autoSpaceDN w:val="0"/>
        <w:adjustRightInd w:val="0"/>
        <w:spacing w:line="240" w:lineRule="atLeast"/>
        <w:rPr>
          <w:del w:id="3741" w:author="AbbVie19" w:date="2025-04-16T10:35:00Z"/>
          <w:szCs w:val="22"/>
          <w:lang w:eastAsia="en-GB"/>
        </w:rPr>
      </w:pPr>
      <w:del w:id="3742" w:author="AbbVie19" w:date="2025-04-16T10:35:00Z">
        <w:r w:rsidRPr="00EB4204">
          <w:rPr>
            <w:szCs w:val="22"/>
            <w:lang w:eastAsia="en-GB"/>
          </w:rPr>
          <w:delText>Germany</w:delText>
        </w:r>
        <w:r w:rsidRPr="002A3533">
          <w:rPr>
            <w:szCs w:val="22"/>
            <w:lang w:eastAsia="en-GB"/>
          </w:rPr>
          <w:delText xml:space="preserve"> </w:delText>
        </w:r>
      </w:del>
    </w:p>
    <w:p w14:paraId="54503CCA" w14:textId="77777777" w:rsidR="00BC0E7E" w:rsidRPr="00BC0E7E" w:rsidRDefault="00BC0E7E" w:rsidP="00BC0E7E">
      <w:pPr>
        <w:tabs>
          <w:tab w:val="clear" w:pos="562"/>
        </w:tabs>
        <w:suppressAutoHyphens w:val="0"/>
        <w:autoSpaceDE w:val="0"/>
        <w:autoSpaceDN w:val="0"/>
        <w:adjustRightInd w:val="0"/>
        <w:spacing w:line="240" w:lineRule="atLeast"/>
        <w:rPr>
          <w:del w:id="3743" w:author="AbbVie19" w:date="2025-04-16T10:35:00Z"/>
          <w:szCs w:val="22"/>
          <w:lang w:eastAsia="en-GB"/>
        </w:rPr>
      </w:pPr>
    </w:p>
    <w:p w14:paraId="2538E7ED" w14:textId="77777777" w:rsidR="00BC0E7E" w:rsidRPr="00BC0E7E" w:rsidRDefault="00BC0E7E" w:rsidP="00BC0E7E">
      <w:pPr>
        <w:tabs>
          <w:tab w:val="clear" w:pos="562"/>
        </w:tabs>
        <w:suppressAutoHyphens w:val="0"/>
        <w:autoSpaceDE w:val="0"/>
        <w:autoSpaceDN w:val="0"/>
        <w:adjustRightInd w:val="0"/>
        <w:spacing w:line="240" w:lineRule="atLeast"/>
        <w:rPr>
          <w:del w:id="3744" w:author="AbbVie19" w:date="2025-04-16T10:35:00Z"/>
          <w:szCs w:val="22"/>
          <w:lang w:eastAsia="en-GB"/>
        </w:rPr>
      </w:pPr>
    </w:p>
    <w:p w14:paraId="13264113" w14:textId="77777777" w:rsidR="00BC0E7E" w:rsidRPr="003B65EC" w:rsidRDefault="00944B8F" w:rsidP="003B65EC">
      <w:pPr>
        <w:outlineLvl w:val="0"/>
        <w:rPr>
          <w:del w:id="3745" w:author="AbbVie19" w:date="2025-04-16T10:35:00Z"/>
          <w:b/>
          <w:caps/>
          <w:szCs w:val="20"/>
        </w:rPr>
      </w:pPr>
      <w:del w:id="3746" w:author="AbbVie19" w:date="2025-04-16T10:35:00Z">
        <w:r w:rsidRPr="003B65EC">
          <w:rPr>
            <w:b/>
            <w:caps/>
            <w:szCs w:val="20"/>
          </w:rPr>
          <w:delText>8.</w:delText>
        </w:r>
        <w:r w:rsidRPr="003B65EC">
          <w:rPr>
            <w:b/>
            <w:caps/>
            <w:szCs w:val="20"/>
          </w:rPr>
          <w:tab/>
          <w:delText xml:space="preserve">MARKETING AUTHORISATION NUMBER </w:delText>
        </w:r>
      </w:del>
    </w:p>
    <w:p w14:paraId="3D9B1E70" w14:textId="77777777" w:rsidR="00BC0E7E" w:rsidRPr="00BC0E7E" w:rsidRDefault="00BC0E7E" w:rsidP="00BC0E7E">
      <w:pPr>
        <w:tabs>
          <w:tab w:val="clear" w:pos="562"/>
        </w:tabs>
        <w:rPr>
          <w:del w:id="3747" w:author="AbbVie19" w:date="2025-04-16T10:35:00Z"/>
        </w:rPr>
      </w:pPr>
    </w:p>
    <w:p w14:paraId="02EB92CC" w14:textId="77777777" w:rsidR="00BC0E7E" w:rsidRPr="00BC0E7E" w:rsidRDefault="00944B8F" w:rsidP="00BC0E7E">
      <w:pPr>
        <w:tabs>
          <w:tab w:val="clear" w:pos="562"/>
        </w:tabs>
        <w:rPr>
          <w:del w:id="3748" w:author="AbbVie19" w:date="2025-04-16T10:35:00Z"/>
        </w:rPr>
      </w:pPr>
      <w:del w:id="3749" w:author="AbbVie19" w:date="2025-04-16T10:35:00Z">
        <w:r w:rsidRPr="00BC0E7E">
          <w:delText>EU/1/03/256/001</w:delText>
        </w:r>
      </w:del>
    </w:p>
    <w:p w14:paraId="226B4300" w14:textId="77777777" w:rsidR="00BC0E7E" w:rsidRPr="00BC0E7E" w:rsidRDefault="00BC0E7E" w:rsidP="00BC0E7E">
      <w:pPr>
        <w:tabs>
          <w:tab w:val="clear" w:pos="562"/>
        </w:tabs>
        <w:rPr>
          <w:del w:id="3750" w:author="AbbVie19" w:date="2025-04-16T10:35:00Z"/>
        </w:rPr>
      </w:pPr>
    </w:p>
    <w:p w14:paraId="07F614E6" w14:textId="77777777" w:rsidR="00BC0E7E" w:rsidRPr="00BC0E7E" w:rsidRDefault="00BC0E7E" w:rsidP="00BC0E7E">
      <w:pPr>
        <w:tabs>
          <w:tab w:val="clear" w:pos="562"/>
        </w:tabs>
        <w:rPr>
          <w:del w:id="3751" w:author="AbbVie19" w:date="2025-04-16T10:35:00Z"/>
        </w:rPr>
      </w:pPr>
    </w:p>
    <w:p w14:paraId="068C6106" w14:textId="77777777" w:rsidR="00BC0E7E" w:rsidRPr="00BC0E7E" w:rsidRDefault="00944B8F" w:rsidP="00BC0E7E">
      <w:pPr>
        <w:outlineLvl w:val="0"/>
        <w:rPr>
          <w:del w:id="3752" w:author="AbbVie19" w:date="2025-04-16T10:35:00Z"/>
          <w:b/>
          <w:caps/>
          <w:szCs w:val="20"/>
        </w:rPr>
      </w:pPr>
      <w:del w:id="3753" w:author="AbbVie19" w:date="2025-04-16T10:35:00Z">
        <w:r w:rsidRPr="00BC0E7E">
          <w:rPr>
            <w:b/>
            <w:caps/>
            <w:szCs w:val="20"/>
          </w:rPr>
          <w:delText>9.</w:delText>
        </w:r>
        <w:r w:rsidRPr="00BC0E7E">
          <w:rPr>
            <w:b/>
            <w:caps/>
            <w:szCs w:val="20"/>
          </w:rPr>
          <w:tab/>
          <w:delText>DATE OF FIRST AUTHORISATION/RENEWAL OF THE AUTHORISATION</w:delText>
        </w:r>
      </w:del>
    </w:p>
    <w:p w14:paraId="5272CFC3" w14:textId="77777777" w:rsidR="00BC0E7E" w:rsidRPr="00BC0E7E" w:rsidRDefault="00BC0E7E" w:rsidP="00BC0E7E">
      <w:pPr>
        <w:rPr>
          <w:del w:id="3754" w:author="AbbVie19" w:date="2025-04-16T10:35:00Z"/>
          <w:szCs w:val="20"/>
        </w:rPr>
      </w:pPr>
    </w:p>
    <w:p w14:paraId="1999489B" w14:textId="77777777" w:rsidR="00BC0E7E" w:rsidRPr="00BC0E7E" w:rsidRDefault="00944B8F" w:rsidP="00BC0E7E">
      <w:pPr>
        <w:autoSpaceDE w:val="0"/>
        <w:autoSpaceDN w:val="0"/>
        <w:adjustRightInd w:val="0"/>
        <w:rPr>
          <w:del w:id="3755" w:author="AbbVie19" w:date="2025-04-16T10:35:00Z"/>
          <w:szCs w:val="22"/>
          <w:lang w:eastAsia="en-GB"/>
        </w:rPr>
      </w:pPr>
      <w:del w:id="3756" w:author="AbbVie19" w:date="2025-04-16T10:35:00Z">
        <w:r w:rsidRPr="00BC0E7E">
          <w:rPr>
            <w:szCs w:val="22"/>
          </w:rPr>
          <w:delText xml:space="preserve">Date of first authorisation:  </w:delText>
        </w:r>
        <w:r w:rsidRPr="00BC0E7E">
          <w:rPr>
            <w:szCs w:val="22"/>
            <w:lang w:eastAsia="en-GB"/>
          </w:rPr>
          <w:delText>8 September 2003</w:delText>
        </w:r>
      </w:del>
    </w:p>
    <w:p w14:paraId="288310D7" w14:textId="77777777" w:rsidR="00BC0E7E" w:rsidRPr="00BC0E7E" w:rsidRDefault="00944B8F" w:rsidP="00BC0E7E">
      <w:pPr>
        <w:rPr>
          <w:del w:id="3757" w:author="AbbVie19" w:date="2025-04-16T10:35:00Z"/>
          <w:szCs w:val="22"/>
          <w:lang w:eastAsia="en-GB"/>
        </w:rPr>
      </w:pPr>
      <w:del w:id="3758" w:author="AbbVie19" w:date="2025-04-16T10:35:00Z">
        <w:r w:rsidRPr="00BC0E7E">
          <w:rPr>
            <w:szCs w:val="22"/>
            <w:lang w:eastAsia="en-GB"/>
          </w:rPr>
          <w:delText>Date of latest renewal: 8 September 2008</w:delText>
        </w:r>
      </w:del>
    </w:p>
    <w:p w14:paraId="4729DA3A" w14:textId="77777777" w:rsidR="00BC0E7E" w:rsidRPr="00BC0E7E" w:rsidRDefault="00BC0E7E" w:rsidP="00BC0E7E">
      <w:pPr>
        <w:rPr>
          <w:del w:id="3759" w:author="AbbVie19" w:date="2025-04-16T10:35:00Z"/>
          <w:szCs w:val="22"/>
          <w:lang w:eastAsia="en-GB"/>
        </w:rPr>
      </w:pPr>
    </w:p>
    <w:p w14:paraId="2BA5BFE8" w14:textId="77777777" w:rsidR="00BC0E7E" w:rsidRPr="00BC0E7E" w:rsidRDefault="00BC0E7E" w:rsidP="00BC0E7E">
      <w:pPr>
        <w:rPr>
          <w:del w:id="3760" w:author="AbbVie19" w:date="2025-04-16T10:35:00Z"/>
        </w:rPr>
      </w:pPr>
    </w:p>
    <w:p w14:paraId="10C00326" w14:textId="77777777" w:rsidR="00BC0E7E" w:rsidRPr="00BC0E7E" w:rsidRDefault="00944B8F" w:rsidP="00BC0E7E">
      <w:pPr>
        <w:outlineLvl w:val="0"/>
        <w:rPr>
          <w:del w:id="3761" w:author="AbbVie19" w:date="2025-04-16T10:35:00Z"/>
          <w:b/>
          <w:caps/>
          <w:szCs w:val="20"/>
        </w:rPr>
      </w:pPr>
      <w:del w:id="3762" w:author="AbbVie19" w:date="2025-04-16T10:35:00Z">
        <w:r w:rsidRPr="00BC0E7E">
          <w:rPr>
            <w:b/>
            <w:caps/>
            <w:szCs w:val="20"/>
          </w:rPr>
          <w:delText>10.</w:delText>
        </w:r>
        <w:r w:rsidRPr="00BC0E7E">
          <w:rPr>
            <w:b/>
            <w:caps/>
            <w:szCs w:val="20"/>
          </w:rPr>
          <w:tab/>
          <w:delText>DATE OF REVISION OF THE TEXT</w:delText>
        </w:r>
      </w:del>
    </w:p>
    <w:p w14:paraId="31457071" w14:textId="77777777" w:rsidR="00BC0E7E" w:rsidRPr="00BC0E7E" w:rsidRDefault="00BC0E7E" w:rsidP="00BC0E7E">
      <w:pPr>
        <w:rPr>
          <w:del w:id="3763" w:author="AbbVie19" w:date="2025-04-16T10:35:00Z"/>
          <w:szCs w:val="20"/>
        </w:rPr>
      </w:pPr>
    </w:p>
    <w:p w14:paraId="4FF77C43" w14:textId="77777777" w:rsidR="00BC0E7E" w:rsidRPr="00BC0E7E" w:rsidRDefault="00944B8F" w:rsidP="00BC0E7E">
      <w:pPr>
        <w:rPr>
          <w:del w:id="3764" w:author="AbbVie19" w:date="2025-04-16T10:35:00Z"/>
          <w:szCs w:val="20"/>
        </w:rPr>
      </w:pPr>
      <w:del w:id="3765" w:author="AbbVie19" w:date="2025-04-16T10:35:00Z">
        <w:r w:rsidRPr="00BC0E7E">
          <w:rPr>
            <w:szCs w:val="20"/>
          </w:rPr>
          <w:delText xml:space="preserve">Detailed information on this medicinal product is available on the website of the European Medicines Agency </w:delText>
        </w:r>
        <w:r>
          <w:fldChar w:fldCharType="begin"/>
        </w:r>
        <w:r>
          <w:delInstrText>HYPERLINK "http://www.ema.europa.eu"</w:delInstrText>
        </w:r>
        <w:r>
          <w:fldChar w:fldCharType="separate"/>
        </w:r>
        <w:r w:rsidRPr="00203F45">
          <w:rPr>
            <w:rStyle w:val="Hyperlink"/>
            <w:szCs w:val="20"/>
          </w:rPr>
          <w:delText>http://www.ema.europa.eu</w:delText>
        </w:r>
        <w:r>
          <w:fldChar w:fldCharType="end"/>
        </w:r>
      </w:del>
    </w:p>
    <w:p w14:paraId="6466EEAE" w14:textId="77777777" w:rsidR="00BC0E7E" w:rsidRPr="00BC0E7E" w:rsidRDefault="00944B8F" w:rsidP="00AA4A2A">
      <w:pPr>
        <w:outlineLvl w:val="0"/>
        <w:rPr>
          <w:del w:id="3766" w:author="AbbVie19" w:date="2025-04-16T10:42:00Z"/>
          <w:b/>
          <w:caps/>
          <w:szCs w:val="20"/>
        </w:rPr>
      </w:pPr>
      <w:del w:id="3767" w:author="AbbVie19" w:date="2025-04-16T10:35:00Z">
        <w:r w:rsidRPr="00BC0E7E">
          <w:rPr>
            <w:b/>
            <w:caps/>
            <w:szCs w:val="20"/>
          </w:rPr>
          <w:br w:type="page"/>
        </w:r>
      </w:del>
      <w:del w:id="3768" w:author="AbbVie19" w:date="2025-04-16T10:42:00Z">
        <w:r w:rsidRPr="00BC0E7E">
          <w:rPr>
            <w:b/>
            <w:caps/>
            <w:szCs w:val="20"/>
          </w:rPr>
          <w:lastRenderedPageBreak/>
          <w:delText>1.</w:delText>
        </w:r>
        <w:r w:rsidRPr="00BC0E7E">
          <w:rPr>
            <w:b/>
            <w:caps/>
            <w:szCs w:val="20"/>
          </w:rPr>
          <w:tab/>
          <w:delText xml:space="preserve">NAME OF THE MEDICINAL PRODUCT </w:delText>
        </w:r>
      </w:del>
    </w:p>
    <w:p w14:paraId="5BDF68F8" w14:textId="77777777" w:rsidR="00BC0E7E" w:rsidRPr="00BC0E7E" w:rsidRDefault="00BC0E7E" w:rsidP="00762FA7">
      <w:pPr>
        <w:rPr>
          <w:del w:id="3769" w:author="AbbVie19" w:date="2025-04-16T10:42:00Z"/>
          <w:szCs w:val="20"/>
        </w:rPr>
      </w:pPr>
    </w:p>
    <w:p w14:paraId="24CAD12E" w14:textId="77777777" w:rsidR="00BC0E7E" w:rsidRPr="00BC0E7E" w:rsidRDefault="00944B8F" w:rsidP="00762FA7">
      <w:pPr>
        <w:tabs>
          <w:tab w:val="clear" w:pos="562"/>
        </w:tabs>
        <w:rPr>
          <w:del w:id="3770" w:author="AbbVie19" w:date="2025-04-16T10:42:00Z"/>
        </w:rPr>
      </w:pPr>
      <w:del w:id="3771" w:author="AbbVie19" w:date="2025-04-16T10:42:00Z">
        <w:r w:rsidRPr="00BC0E7E">
          <w:delText>Humira 40 mg solution for injection in pre-filled syringe</w:delText>
        </w:r>
      </w:del>
    </w:p>
    <w:p w14:paraId="13C79872" w14:textId="77777777" w:rsidR="00BC0E7E" w:rsidRPr="00BC0E7E" w:rsidRDefault="00944B8F" w:rsidP="00762FA7">
      <w:pPr>
        <w:tabs>
          <w:tab w:val="clear" w:pos="562"/>
        </w:tabs>
        <w:rPr>
          <w:del w:id="3772" w:author="AbbVie19" w:date="2025-04-16T10:42:00Z"/>
        </w:rPr>
      </w:pPr>
      <w:del w:id="3773" w:author="AbbVie19" w:date="2025-04-16T10:42:00Z">
        <w:r w:rsidRPr="00BC0E7E">
          <w:delText>Humira 40 mg solution for injection in pre-filled pen</w:delText>
        </w:r>
      </w:del>
    </w:p>
    <w:p w14:paraId="6B3012DF" w14:textId="77777777" w:rsidR="00BC0E7E" w:rsidRPr="00BC0E7E" w:rsidRDefault="00BC0E7E" w:rsidP="00762FA7">
      <w:pPr>
        <w:tabs>
          <w:tab w:val="clear" w:pos="562"/>
        </w:tabs>
        <w:rPr>
          <w:del w:id="3774" w:author="AbbVie19" w:date="2025-04-16T10:42:00Z"/>
        </w:rPr>
      </w:pPr>
    </w:p>
    <w:p w14:paraId="2E50DD77" w14:textId="77777777" w:rsidR="00BC0E7E" w:rsidRPr="00BC0E7E" w:rsidRDefault="00BC0E7E" w:rsidP="00762FA7">
      <w:pPr>
        <w:tabs>
          <w:tab w:val="clear" w:pos="562"/>
        </w:tabs>
        <w:rPr>
          <w:del w:id="3775" w:author="AbbVie19" w:date="2025-04-16T10:42:00Z"/>
        </w:rPr>
      </w:pPr>
    </w:p>
    <w:p w14:paraId="6F4CD9CC" w14:textId="77777777" w:rsidR="00BC0E7E" w:rsidRPr="00BC0E7E" w:rsidRDefault="00944B8F" w:rsidP="00AA4A2A">
      <w:pPr>
        <w:outlineLvl w:val="0"/>
        <w:rPr>
          <w:del w:id="3776" w:author="AbbVie19" w:date="2025-04-16T10:42:00Z"/>
          <w:b/>
          <w:caps/>
          <w:szCs w:val="20"/>
        </w:rPr>
      </w:pPr>
      <w:del w:id="3777" w:author="AbbVie19" w:date="2025-04-16T10:42:00Z">
        <w:r w:rsidRPr="00BC0E7E">
          <w:rPr>
            <w:b/>
            <w:caps/>
            <w:szCs w:val="20"/>
          </w:rPr>
          <w:delText>2.</w:delText>
        </w:r>
        <w:r w:rsidRPr="00BC0E7E">
          <w:rPr>
            <w:b/>
            <w:caps/>
            <w:szCs w:val="20"/>
          </w:rPr>
          <w:tab/>
          <w:delText xml:space="preserve">QUALITATIVE AND QUANTITATIVE COMPOSITION </w:delText>
        </w:r>
      </w:del>
    </w:p>
    <w:p w14:paraId="724C5075" w14:textId="77777777" w:rsidR="00BC0E7E" w:rsidRPr="00BC0E7E" w:rsidRDefault="00BC0E7E" w:rsidP="00762FA7">
      <w:pPr>
        <w:rPr>
          <w:del w:id="3778" w:author="AbbVie19" w:date="2025-04-16T10:42:00Z"/>
          <w:szCs w:val="20"/>
        </w:rPr>
      </w:pPr>
    </w:p>
    <w:p w14:paraId="74B78153" w14:textId="77777777" w:rsidR="00BC0E7E" w:rsidRPr="00BC0E7E" w:rsidRDefault="00944B8F" w:rsidP="00762FA7">
      <w:pPr>
        <w:tabs>
          <w:tab w:val="clear" w:pos="562"/>
        </w:tabs>
        <w:rPr>
          <w:del w:id="3779" w:author="AbbVie19" w:date="2025-04-16T10:42:00Z"/>
          <w:u w:val="single"/>
        </w:rPr>
      </w:pPr>
      <w:del w:id="3780" w:author="AbbVie19" w:date="2025-04-16T10:42:00Z">
        <w:r w:rsidRPr="00BC0E7E">
          <w:rPr>
            <w:u w:val="single"/>
          </w:rPr>
          <w:delText xml:space="preserve">Humira 40 mg solution for injection in pre-filled syringe </w:delText>
        </w:r>
      </w:del>
    </w:p>
    <w:p w14:paraId="3EE951DA" w14:textId="77777777" w:rsidR="00BC0E7E" w:rsidRPr="00BC0E7E" w:rsidRDefault="00944B8F" w:rsidP="00762FA7">
      <w:pPr>
        <w:autoSpaceDE w:val="0"/>
        <w:autoSpaceDN w:val="0"/>
        <w:adjustRightInd w:val="0"/>
        <w:rPr>
          <w:del w:id="3781" w:author="AbbVie19" w:date="2025-04-16T10:42:00Z"/>
        </w:rPr>
      </w:pPr>
      <w:del w:id="3782" w:author="AbbVie19" w:date="2025-04-16T10:42:00Z">
        <w:r w:rsidRPr="00BC0E7E">
          <w:delText xml:space="preserve">Each 0.8 ml single dose pre-filled syringe contains 40 mg of adalimumab. </w:delText>
        </w:r>
      </w:del>
    </w:p>
    <w:p w14:paraId="17F5E60C" w14:textId="77777777" w:rsidR="00BC0E7E" w:rsidRPr="00BC0E7E" w:rsidRDefault="00BC0E7E" w:rsidP="00762FA7">
      <w:pPr>
        <w:autoSpaceDE w:val="0"/>
        <w:autoSpaceDN w:val="0"/>
        <w:adjustRightInd w:val="0"/>
        <w:rPr>
          <w:del w:id="3783" w:author="AbbVie19" w:date="2025-04-16T10:42:00Z"/>
        </w:rPr>
      </w:pPr>
    </w:p>
    <w:p w14:paraId="4F8729A2" w14:textId="77777777" w:rsidR="00BC0E7E" w:rsidRPr="00BC0E7E" w:rsidRDefault="00944B8F" w:rsidP="00762FA7">
      <w:pPr>
        <w:tabs>
          <w:tab w:val="clear" w:pos="562"/>
        </w:tabs>
        <w:rPr>
          <w:del w:id="3784" w:author="AbbVie19" w:date="2025-04-16T10:42:00Z"/>
          <w:u w:val="single"/>
        </w:rPr>
      </w:pPr>
      <w:del w:id="3785" w:author="AbbVie19" w:date="2025-04-16T10:42:00Z">
        <w:r w:rsidRPr="00BC0E7E">
          <w:rPr>
            <w:u w:val="single"/>
          </w:rPr>
          <w:delText>Humira 40 mg solution for injection in pre-filled pen</w:delText>
        </w:r>
      </w:del>
    </w:p>
    <w:p w14:paraId="0F550C70" w14:textId="77777777" w:rsidR="00BC0E7E" w:rsidRPr="00BC0E7E" w:rsidRDefault="00944B8F" w:rsidP="00762FA7">
      <w:pPr>
        <w:autoSpaceDE w:val="0"/>
        <w:autoSpaceDN w:val="0"/>
        <w:adjustRightInd w:val="0"/>
        <w:rPr>
          <w:del w:id="3786" w:author="AbbVie19" w:date="2025-04-16T10:42:00Z"/>
        </w:rPr>
      </w:pPr>
      <w:del w:id="3787" w:author="AbbVie19" w:date="2025-04-16T10:42:00Z">
        <w:r w:rsidRPr="00BC0E7E">
          <w:delText xml:space="preserve">Each 0.8 ml single dose pre-filled pen contains 40 mg of adalimumab. </w:delText>
        </w:r>
      </w:del>
    </w:p>
    <w:p w14:paraId="4CCADD55" w14:textId="77777777" w:rsidR="00BC0E7E" w:rsidRPr="00BC0E7E" w:rsidRDefault="00BC0E7E" w:rsidP="00762FA7">
      <w:pPr>
        <w:autoSpaceDE w:val="0"/>
        <w:autoSpaceDN w:val="0"/>
        <w:adjustRightInd w:val="0"/>
        <w:rPr>
          <w:del w:id="3788" w:author="AbbVie19" w:date="2025-04-16T10:42:00Z"/>
        </w:rPr>
      </w:pPr>
    </w:p>
    <w:p w14:paraId="1D99EC02" w14:textId="77777777" w:rsidR="00BC0E7E" w:rsidRPr="00BC0E7E" w:rsidRDefault="00944B8F" w:rsidP="00762FA7">
      <w:pPr>
        <w:autoSpaceDE w:val="0"/>
        <w:autoSpaceDN w:val="0"/>
        <w:adjustRightInd w:val="0"/>
        <w:rPr>
          <w:del w:id="3789" w:author="AbbVie19" w:date="2025-04-16T10:42:00Z"/>
        </w:rPr>
      </w:pPr>
      <w:del w:id="3790" w:author="AbbVie19" w:date="2025-04-16T10:42:00Z">
        <w:r w:rsidRPr="00BC0E7E">
          <w:delText xml:space="preserve">Adalimumab is a recombinant human monoclonal antibody </w:delText>
        </w:r>
        <w:r w:rsidR="00203F45">
          <w:delText>produced</w:delText>
        </w:r>
        <w:r w:rsidR="00203F45" w:rsidRPr="00BC0E7E">
          <w:delText xml:space="preserve"> </w:delText>
        </w:r>
        <w:r w:rsidRPr="00BC0E7E">
          <w:delText>in Chinese Hamster Ovary cells.</w:delText>
        </w:r>
      </w:del>
    </w:p>
    <w:p w14:paraId="34FFD24F" w14:textId="77777777" w:rsidR="00BC0E7E" w:rsidRPr="00BC0E7E" w:rsidRDefault="00BC0E7E" w:rsidP="00762FA7">
      <w:pPr>
        <w:autoSpaceDE w:val="0"/>
        <w:autoSpaceDN w:val="0"/>
        <w:adjustRightInd w:val="0"/>
        <w:rPr>
          <w:del w:id="3791" w:author="AbbVie19" w:date="2025-04-16T10:42:00Z"/>
        </w:rPr>
      </w:pPr>
    </w:p>
    <w:p w14:paraId="5533E269" w14:textId="77777777" w:rsidR="00BC0E7E" w:rsidRPr="00BC0E7E" w:rsidRDefault="00944B8F" w:rsidP="00762FA7">
      <w:pPr>
        <w:tabs>
          <w:tab w:val="clear" w:pos="562"/>
        </w:tabs>
        <w:rPr>
          <w:del w:id="3792" w:author="AbbVie19" w:date="2025-04-16T10:42:00Z"/>
        </w:rPr>
      </w:pPr>
      <w:del w:id="3793" w:author="AbbVie19" w:date="2025-04-16T10:42:00Z">
        <w:r w:rsidRPr="00BC0E7E">
          <w:delText xml:space="preserve">For the full list of excipients, see section 6.1. </w:delText>
        </w:r>
      </w:del>
    </w:p>
    <w:p w14:paraId="4281BB73" w14:textId="77777777" w:rsidR="00BC0E7E" w:rsidRPr="00BC0E7E" w:rsidRDefault="00BC0E7E" w:rsidP="00762FA7">
      <w:pPr>
        <w:tabs>
          <w:tab w:val="clear" w:pos="562"/>
        </w:tabs>
        <w:rPr>
          <w:del w:id="3794" w:author="AbbVie19" w:date="2025-04-16T10:42:00Z"/>
        </w:rPr>
      </w:pPr>
    </w:p>
    <w:p w14:paraId="0600F470" w14:textId="77777777" w:rsidR="00BC0E7E" w:rsidRPr="00BC0E7E" w:rsidRDefault="00BC0E7E" w:rsidP="00762FA7">
      <w:pPr>
        <w:tabs>
          <w:tab w:val="clear" w:pos="562"/>
        </w:tabs>
        <w:rPr>
          <w:del w:id="3795" w:author="AbbVie19" w:date="2025-04-16T10:42:00Z"/>
        </w:rPr>
      </w:pPr>
    </w:p>
    <w:p w14:paraId="6DAE0F01" w14:textId="77777777" w:rsidR="00BC0E7E" w:rsidRPr="00BC0E7E" w:rsidRDefault="00944B8F" w:rsidP="00AA4A2A">
      <w:pPr>
        <w:outlineLvl w:val="0"/>
        <w:rPr>
          <w:del w:id="3796" w:author="AbbVie19" w:date="2025-04-16T10:42:00Z"/>
          <w:b/>
          <w:szCs w:val="20"/>
        </w:rPr>
      </w:pPr>
      <w:del w:id="3797" w:author="AbbVie19" w:date="2025-04-16T10:42:00Z">
        <w:r w:rsidRPr="00BC0E7E">
          <w:rPr>
            <w:b/>
            <w:caps/>
            <w:szCs w:val="20"/>
          </w:rPr>
          <w:delText>3.</w:delText>
        </w:r>
        <w:r w:rsidRPr="00BC0E7E">
          <w:rPr>
            <w:b/>
            <w:caps/>
            <w:szCs w:val="20"/>
          </w:rPr>
          <w:tab/>
          <w:delText xml:space="preserve">PHARMACEUTICAL </w:delText>
        </w:r>
        <w:r w:rsidRPr="00BC0E7E">
          <w:rPr>
            <w:b/>
            <w:szCs w:val="20"/>
          </w:rPr>
          <w:delText xml:space="preserve">FORM </w:delText>
        </w:r>
      </w:del>
    </w:p>
    <w:p w14:paraId="49827A8C" w14:textId="77777777" w:rsidR="00BC0E7E" w:rsidRPr="00BC0E7E" w:rsidRDefault="00BC0E7E" w:rsidP="00762FA7">
      <w:pPr>
        <w:rPr>
          <w:del w:id="3798" w:author="AbbVie19" w:date="2025-04-16T10:42:00Z"/>
          <w:szCs w:val="20"/>
        </w:rPr>
      </w:pPr>
    </w:p>
    <w:p w14:paraId="2DA416F7" w14:textId="77777777" w:rsidR="00BC0E7E" w:rsidRPr="00BC0E7E" w:rsidRDefault="00944B8F" w:rsidP="00762FA7">
      <w:pPr>
        <w:tabs>
          <w:tab w:val="clear" w:pos="562"/>
        </w:tabs>
        <w:rPr>
          <w:del w:id="3799" w:author="AbbVie19" w:date="2025-04-16T10:42:00Z"/>
        </w:rPr>
      </w:pPr>
      <w:del w:id="3800" w:author="AbbVie19" w:date="2025-04-16T10:42:00Z">
        <w:r w:rsidRPr="00BC0E7E">
          <w:delText>Solution for injection.</w:delText>
        </w:r>
        <w:r w:rsidR="00203F45">
          <w:delText xml:space="preserve"> (injection)</w:delText>
        </w:r>
      </w:del>
    </w:p>
    <w:p w14:paraId="0B11CDDC" w14:textId="77777777" w:rsidR="00BC0E7E" w:rsidRPr="00BC0E7E" w:rsidRDefault="00BC0E7E" w:rsidP="00762FA7">
      <w:pPr>
        <w:tabs>
          <w:tab w:val="clear" w:pos="562"/>
        </w:tabs>
        <w:rPr>
          <w:del w:id="3801" w:author="AbbVie19" w:date="2025-04-16T10:42:00Z"/>
        </w:rPr>
      </w:pPr>
    </w:p>
    <w:p w14:paraId="45133961" w14:textId="77777777" w:rsidR="00BC0E7E" w:rsidRPr="00BC0E7E" w:rsidRDefault="00944B8F" w:rsidP="00762FA7">
      <w:pPr>
        <w:tabs>
          <w:tab w:val="clear" w:pos="562"/>
        </w:tabs>
        <w:rPr>
          <w:del w:id="3802" w:author="AbbVie19" w:date="2025-04-16T10:42:00Z"/>
        </w:rPr>
      </w:pPr>
      <w:del w:id="3803" w:author="AbbVie19" w:date="2025-04-16T10:42:00Z">
        <w:r w:rsidRPr="00BC0E7E">
          <w:delText xml:space="preserve">Clear, colourless solution. </w:delText>
        </w:r>
      </w:del>
    </w:p>
    <w:p w14:paraId="0D8D0A85" w14:textId="77777777" w:rsidR="00BC0E7E" w:rsidRPr="00BC0E7E" w:rsidRDefault="00BC0E7E" w:rsidP="00762FA7">
      <w:pPr>
        <w:tabs>
          <w:tab w:val="clear" w:pos="562"/>
        </w:tabs>
        <w:rPr>
          <w:del w:id="3804" w:author="AbbVie19" w:date="2025-04-16T10:42:00Z"/>
        </w:rPr>
      </w:pPr>
    </w:p>
    <w:p w14:paraId="76D94058" w14:textId="77777777" w:rsidR="00BC0E7E" w:rsidRPr="00BC0E7E" w:rsidRDefault="00BC0E7E" w:rsidP="00762FA7">
      <w:pPr>
        <w:tabs>
          <w:tab w:val="clear" w:pos="562"/>
        </w:tabs>
        <w:rPr>
          <w:del w:id="3805" w:author="AbbVie19" w:date="2025-04-16T10:42:00Z"/>
        </w:rPr>
      </w:pPr>
    </w:p>
    <w:p w14:paraId="07865A5F" w14:textId="77777777" w:rsidR="00BC0E7E" w:rsidRPr="00BC0E7E" w:rsidRDefault="00944B8F" w:rsidP="00AA4A2A">
      <w:pPr>
        <w:outlineLvl w:val="0"/>
        <w:rPr>
          <w:del w:id="3806" w:author="AbbVie19" w:date="2025-04-16T10:42:00Z"/>
          <w:b/>
          <w:caps/>
          <w:szCs w:val="20"/>
        </w:rPr>
      </w:pPr>
      <w:del w:id="3807" w:author="AbbVie19" w:date="2025-04-16T10:42:00Z">
        <w:r w:rsidRPr="00BC0E7E">
          <w:rPr>
            <w:b/>
            <w:szCs w:val="20"/>
          </w:rPr>
          <w:delText>4.</w:delText>
        </w:r>
        <w:r w:rsidRPr="00BC0E7E">
          <w:rPr>
            <w:b/>
            <w:szCs w:val="20"/>
          </w:rPr>
          <w:tab/>
          <w:delText>CLINICAL PARTICULARS</w:delText>
        </w:r>
      </w:del>
    </w:p>
    <w:p w14:paraId="48459F4A" w14:textId="77777777" w:rsidR="00BC0E7E" w:rsidRPr="00BC0E7E" w:rsidRDefault="00BC0E7E" w:rsidP="00762FA7">
      <w:pPr>
        <w:rPr>
          <w:del w:id="3808" w:author="AbbVie19" w:date="2025-04-16T10:42:00Z"/>
          <w:szCs w:val="20"/>
        </w:rPr>
      </w:pPr>
    </w:p>
    <w:p w14:paraId="31FCBD3D" w14:textId="77777777" w:rsidR="00BC0E7E" w:rsidRPr="00BC0E7E" w:rsidRDefault="00944B8F" w:rsidP="00762FA7">
      <w:pPr>
        <w:suppressAutoHyphens w:val="0"/>
        <w:outlineLvl w:val="1"/>
        <w:rPr>
          <w:del w:id="3809" w:author="AbbVie19" w:date="2025-04-16T10:42:00Z"/>
          <w:b/>
          <w:szCs w:val="20"/>
        </w:rPr>
      </w:pPr>
      <w:del w:id="3810" w:author="AbbVie19" w:date="2025-04-16T10:42:00Z">
        <w:r w:rsidRPr="00BC0E7E">
          <w:rPr>
            <w:b/>
            <w:szCs w:val="20"/>
          </w:rPr>
          <w:delText>4.1</w:delText>
        </w:r>
        <w:r w:rsidRPr="00BC0E7E">
          <w:rPr>
            <w:b/>
            <w:szCs w:val="20"/>
          </w:rPr>
          <w:tab/>
          <w:delText xml:space="preserve">Therapeutic indications </w:delText>
        </w:r>
      </w:del>
    </w:p>
    <w:p w14:paraId="47F4A174" w14:textId="77777777" w:rsidR="00BC0E7E" w:rsidRPr="00BC0E7E" w:rsidRDefault="00BC0E7E" w:rsidP="00762FA7">
      <w:pPr>
        <w:rPr>
          <w:del w:id="3811" w:author="AbbVie19" w:date="2025-04-16T10:42:00Z"/>
          <w:szCs w:val="20"/>
        </w:rPr>
      </w:pPr>
    </w:p>
    <w:p w14:paraId="0EE2C63F" w14:textId="77777777" w:rsidR="00BC0E7E" w:rsidRPr="00BC0E7E" w:rsidRDefault="00944B8F" w:rsidP="00762FA7">
      <w:pPr>
        <w:rPr>
          <w:del w:id="3812" w:author="AbbVie19" w:date="2025-04-16T10:42:00Z"/>
          <w:szCs w:val="20"/>
          <w:u w:val="single"/>
        </w:rPr>
      </w:pPr>
      <w:del w:id="3813" w:author="AbbVie19" w:date="2025-04-16T10:42:00Z">
        <w:r w:rsidRPr="00BC0E7E">
          <w:rPr>
            <w:szCs w:val="20"/>
            <w:u w:val="single"/>
          </w:rPr>
          <w:delText>Rheumatoid arthritis</w:delText>
        </w:r>
      </w:del>
    </w:p>
    <w:p w14:paraId="2CDC0FF7" w14:textId="77777777" w:rsidR="00BC0E7E" w:rsidRPr="00BC0E7E" w:rsidRDefault="00BC0E7E" w:rsidP="00762FA7">
      <w:pPr>
        <w:rPr>
          <w:del w:id="3814" w:author="AbbVie19" w:date="2025-04-16T10:42:00Z"/>
          <w:szCs w:val="20"/>
        </w:rPr>
      </w:pPr>
    </w:p>
    <w:p w14:paraId="115D4F99" w14:textId="77777777" w:rsidR="00BC0E7E" w:rsidRPr="00BC0E7E" w:rsidRDefault="00944B8F" w:rsidP="00762FA7">
      <w:pPr>
        <w:tabs>
          <w:tab w:val="clear" w:pos="562"/>
        </w:tabs>
        <w:rPr>
          <w:del w:id="3815" w:author="AbbVie19" w:date="2025-04-16T10:42:00Z"/>
        </w:rPr>
      </w:pPr>
      <w:del w:id="3816" w:author="AbbVie19" w:date="2025-04-16T10:42:00Z">
        <w:r w:rsidRPr="00BC0E7E">
          <w:delText>Humira in combination with methotrexate, is indicated for:</w:delText>
        </w:r>
      </w:del>
    </w:p>
    <w:p w14:paraId="43C36464" w14:textId="77777777" w:rsidR="00BC0E7E" w:rsidRPr="00BC0E7E" w:rsidRDefault="00BC0E7E" w:rsidP="00762FA7">
      <w:pPr>
        <w:tabs>
          <w:tab w:val="clear" w:pos="562"/>
        </w:tabs>
        <w:rPr>
          <w:del w:id="3817" w:author="AbbVie19" w:date="2025-04-16T10:42:00Z"/>
        </w:rPr>
      </w:pPr>
    </w:p>
    <w:p w14:paraId="39EF38EE" w14:textId="77777777" w:rsidR="00BC0E7E" w:rsidRPr="00BC0E7E" w:rsidRDefault="00944B8F" w:rsidP="00762FA7">
      <w:pPr>
        <w:numPr>
          <w:ilvl w:val="0"/>
          <w:numId w:val="16"/>
        </w:numPr>
        <w:tabs>
          <w:tab w:val="clear" w:pos="562"/>
          <w:tab w:val="num" w:pos="550"/>
        </w:tabs>
        <w:ind w:left="550" w:hanging="550"/>
        <w:rPr>
          <w:del w:id="3818" w:author="AbbVie19" w:date="2025-04-16T10:42:00Z"/>
        </w:rPr>
      </w:pPr>
      <w:del w:id="3819" w:author="AbbVie19" w:date="2025-04-16T10:42:00Z">
        <w:r w:rsidRPr="00BC0E7E">
          <w:delText>the treatment of moderate to severe, active rheumatoid arthritis in adult patients when the response to disease-modifying anti-rheumatic drugs including methotrexate has been inadequate.</w:delText>
        </w:r>
      </w:del>
    </w:p>
    <w:p w14:paraId="2967CBD1" w14:textId="77777777" w:rsidR="00BC0E7E" w:rsidRPr="00BC0E7E" w:rsidRDefault="00944B8F" w:rsidP="00762FA7">
      <w:pPr>
        <w:numPr>
          <w:ilvl w:val="0"/>
          <w:numId w:val="16"/>
        </w:numPr>
        <w:tabs>
          <w:tab w:val="clear" w:pos="562"/>
          <w:tab w:val="num" w:pos="550"/>
        </w:tabs>
        <w:ind w:left="550" w:hanging="550"/>
        <w:rPr>
          <w:del w:id="3820" w:author="AbbVie19" w:date="2025-04-16T10:42:00Z"/>
        </w:rPr>
      </w:pPr>
      <w:del w:id="3821" w:author="AbbVie19" w:date="2025-04-16T10:42:00Z">
        <w:r w:rsidRPr="00BC0E7E">
          <w:delText>the treatment of severe, active and progressive rheumatoid arthritis in adults not previously treated with methotrexate.</w:delText>
        </w:r>
      </w:del>
    </w:p>
    <w:p w14:paraId="0E02E419" w14:textId="77777777" w:rsidR="00BC0E7E" w:rsidRPr="00BC0E7E" w:rsidRDefault="00BC0E7E" w:rsidP="00762FA7">
      <w:pPr>
        <w:tabs>
          <w:tab w:val="clear" w:pos="562"/>
        </w:tabs>
        <w:rPr>
          <w:del w:id="3822" w:author="AbbVie19" w:date="2025-04-16T10:42:00Z"/>
        </w:rPr>
      </w:pPr>
    </w:p>
    <w:p w14:paraId="1FF55E63" w14:textId="77777777" w:rsidR="00BC0E7E" w:rsidRPr="00BC0E7E" w:rsidRDefault="00944B8F" w:rsidP="00762FA7">
      <w:pPr>
        <w:tabs>
          <w:tab w:val="clear" w:pos="562"/>
        </w:tabs>
        <w:rPr>
          <w:del w:id="3823" w:author="AbbVie19" w:date="2025-04-16T10:42:00Z"/>
        </w:rPr>
      </w:pPr>
      <w:del w:id="3824" w:author="AbbVie19" w:date="2025-04-16T10:42:00Z">
        <w:r w:rsidRPr="00BC0E7E">
          <w:delText>Humira can be given as monotherapy in case of intolerance to methotrexate or when continued treatment with methotrexate is inappropriate.</w:delText>
        </w:r>
      </w:del>
    </w:p>
    <w:p w14:paraId="2332C47F" w14:textId="77777777" w:rsidR="00BC0E7E" w:rsidRPr="00BC0E7E" w:rsidRDefault="00BC0E7E" w:rsidP="00762FA7">
      <w:pPr>
        <w:tabs>
          <w:tab w:val="clear" w:pos="562"/>
        </w:tabs>
        <w:rPr>
          <w:del w:id="3825" w:author="AbbVie19" w:date="2025-04-16T10:42:00Z"/>
        </w:rPr>
      </w:pPr>
    </w:p>
    <w:p w14:paraId="6DA90F61" w14:textId="77777777" w:rsidR="00BC0E7E" w:rsidRPr="00BC0E7E" w:rsidRDefault="00944B8F" w:rsidP="00762FA7">
      <w:pPr>
        <w:tabs>
          <w:tab w:val="clear" w:pos="562"/>
        </w:tabs>
        <w:rPr>
          <w:del w:id="3826" w:author="AbbVie19" w:date="2025-04-16T10:42:00Z"/>
        </w:rPr>
      </w:pPr>
      <w:del w:id="3827" w:author="AbbVie19" w:date="2025-04-16T10:42:00Z">
        <w:r w:rsidRPr="00BC0E7E">
          <w:delText>Humira has been shown to reduce the rate of progression of joint damage as measured by X-ray and to improve physical function, when given in combination with methotrexate.</w:delText>
        </w:r>
      </w:del>
    </w:p>
    <w:p w14:paraId="09BFF4E0" w14:textId="77777777" w:rsidR="00BC0E7E" w:rsidRPr="00BC0E7E" w:rsidRDefault="00BC0E7E" w:rsidP="00762FA7">
      <w:pPr>
        <w:tabs>
          <w:tab w:val="clear" w:pos="562"/>
        </w:tabs>
        <w:rPr>
          <w:del w:id="3828" w:author="AbbVie19" w:date="2025-04-16T10:42:00Z"/>
        </w:rPr>
      </w:pPr>
    </w:p>
    <w:p w14:paraId="2421F9F0" w14:textId="77777777" w:rsidR="00BC0E7E" w:rsidRPr="00BC0E7E" w:rsidRDefault="00944B8F" w:rsidP="00762FA7">
      <w:pPr>
        <w:rPr>
          <w:del w:id="3829" w:author="AbbVie19" w:date="2025-04-16T10:42:00Z"/>
          <w:szCs w:val="20"/>
          <w:u w:val="single"/>
        </w:rPr>
      </w:pPr>
      <w:del w:id="3830" w:author="AbbVie19" w:date="2025-04-16T10:42:00Z">
        <w:r w:rsidRPr="00BC0E7E">
          <w:rPr>
            <w:szCs w:val="20"/>
            <w:u w:val="single"/>
          </w:rPr>
          <w:delText>Juvenile idiopathic arthritis</w:delText>
        </w:r>
      </w:del>
    </w:p>
    <w:p w14:paraId="467E2761" w14:textId="77777777" w:rsidR="00BC0E7E" w:rsidRPr="00BC0E7E" w:rsidRDefault="00BC0E7E" w:rsidP="00762FA7">
      <w:pPr>
        <w:rPr>
          <w:del w:id="3831" w:author="AbbVie19" w:date="2025-04-16T10:42:00Z"/>
          <w:szCs w:val="20"/>
          <w:u w:val="single"/>
        </w:rPr>
      </w:pPr>
    </w:p>
    <w:p w14:paraId="70B9A11B" w14:textId="77777777" w:rsidR="00BC0E7E" w:rsidRPr="00BC0E7E" w:rsidRDefault="00944B8F" w:rsidP="00762FA7">
      <w:pPr>
        <w:rPr>
          <w:del w:id="3832" w:author="AbbVie19" w:date="2025-04-16T10:42:00Z"/>
        </w:rPr>
      </w:pPr>
      <w:del w:id="3833" w:author="AbbVie19" w:date="2025-04-16T10:42:00Z">
        <w:r w:rsidRPr="00BC0E7E">
          <w:rPr>
            <w:i/>
          </w:rPr>
          <w:delText>Polyarticular juvenile idiopathic arthritis</w:delText>
        </w:r>
      </w:del>
    </w:p>
    <w:p w14:paraId="1C668617" w14:textId="77777777" w:rsidR="00BC0E7E" w:rsidRPr="00BC0E7E" w:rsidRDefault="00BC0E7E" w:rsidP="00762FA7">
      <w:pPr>
        <w:tabs>
          <w:tab w:val="clear" w:pos="562"/>
        </w:tabs>
        <w:rPr>
          <w:del w:id="3834" w:author="AbbVie19" w:date="2025-04-16T10:42:00Z"/>
        </w:rPr>
      </w:pPr>
    </w:p>
    <w:p w14:paraId="2432EECF" w14:textId="77777777" w:rsidR="00BC0E7E" w:rsidRPr="00BC0E7E" w:rsidRDefault="00944B8F" w:rsidP="00762FA7">
      <w:pPr>
        <w:tabs>
          <w:tab w:val="clear" w:pos="562"/>
        </w:tabs>
        <w:rPr>
          <w:del w:id="3835" w:author="AbbVie19" w:date="2025-04-16T10:42:00Z"/>
        </w:rPr>
      </w:pPr>
      <w:del w:id="3836" w:author="AbbVie19" w:date="2025-04-16T10:42:00Z">
        <w:r w:rsidRPr="00BC0E7E">
          <w:delText xml:space="preserve">Humira in combination with methotrexate is indicated for the treatment of active polyarticular juvenile idiopathic arthritis, in patients from the age of 2 years who have had an inadequate response to one or more disease-modifying anti-rheumatic drugs (DMARDs). Humira can be given as monotherapy in case </w:delText>
        </w:r>
        <w:r w:rsidRPr="00BC0E7E">
          <w:lastRenderedPageBreak/>
          <w:delText>of intolerance to methotrexate or when continued treatment with methotrexate is inappropriate (for the efficacy in monotherapy see section 5.1). Humira has not been studied in patients aged less than 2 years.</w:delText>
        </w:r>
      </w:del>
    </w:p>
    <w:p w14:paraId="5100357E" w14:textId="77777777" w:rsidR="00BC0E7E" w:rsidRPr="00BC0E7E" w:rsidRDefault="00BC0E7E" w:rsidP="00762FA7">
      <w:pPr>
        <w:tabs>
          <w:tab w:val="clear" w:pos="562"/>
        </w:tabs>
        <w:rPr>
          <w:del w:id="3837" w:author="AbbVie19" w:date="2025-04-16T10:42:00Z"/>
        </w:rPr>
      </w:pPr>
    </w:p>
    <w:p w14:paraId="101108C1" w14:textId="77777777" w:rsidR="00BC0E7E" w:rsidRPr="00BC0E7E" w:rsidRDefault="00944B8F" w:rsidP="00762FA7">
      <w:pPr>
        <w:keepNext/>
        <w:tabs>
          <w:tab w:val="clear" w:pos="562"/>
        </w:tabs>
        <w:rPr>
          <w:del w:id="3838" w:author="AbbVie19" w:date="2025-04-16T10:42:00Z"/>
          <w:i/>
        </w:rPr>
      </w:pPr>
      <w:del w:id="3839" w:author="AbbVie19" w:date="2025-04-16T10:42:00Z">
        <w:r w:rsidRPr="00BC0E7E">
          <w:rPr>
            <w:i/>
          </w:rPr>
          <w:delText>Enthesitis-related arthritis</w:delText>
        </w:r>
      </w:del>
    </w:p>
    <w:p w14:paraId="78898FC1" w14:textId="77777777" w:rsidR="00BC0E7E" w:rsidRPr="00BC0E7E" w:rsidRDefault="00BC0E7E" w:rsidP="00762FA7">
      <w:pPr>
        <w:keepNext/>
        <w:tabs>
          <w:tab w:val="clear" w:pos="562"/>
        </w:tabs>
        <w:rPr>
          <w:del w:id="3840" w:author="AbbVie19" w:date="2025-04-16T10:42:00Z"/>
          <w:i/>
        </w:rPr>
      </w:pPr>
    </w:p>
    <w:p w14:paraId="505CCF6E" w14:textId="77777777" w:rsidR="00BC0E7E" w:rsidRPr="00BC0E7E" w:rsidRDefault="00944B8F" w:rsidP="00762FA7">
      <w:pPr>
        <w:keepNext/>
        <w:tabs>
          <w:tab w:val="clear" w:pos="562"/>
        </w:tabs>
        <w:rPr>
          <w:del w:id="3841" w:author="AbbVie19" w:date="2025-04-16T10:42:00Z"/>
        </w:rPr>
      </w:pPr>
      <w:del w:id="3842" w:author="AbbVie19" w:date="2025-04-16T10:42:00Z">
        <w:r w:rsidRPr="00BC0E7E">
          <w:rPr>
            <w:bCs/>
            <w:iCs/>
          </w:rPr>
          <w:delText>Humira is indicated for the treatment of active enthesitis-related arthritis in patients, 6</w:delText>
        </w:r>
        <w:r w:rsidRPr="00BC0E7E">
          <w:delText> </w:delText>
        </w:r>
        <w:r w:rsidRPr="00BC0E7E">
          <w:rPr>
            <w:bCs/>
            <w:iCs/>
          </w:rPr>
          <w:delText xml:space="preserve">years of age and older, who have </w:delText>
        </w:r>
        <w:r w:rsidRPr="00BC0E7E">
          <w:delText>had an inadequate response to, or who are intolerant of, conventional therapy (see section 5.1).</w:delText>
        </w:r>
      </w:del>
    </w:p>
    <w:p w14:paraId="138E9398" w14:textId="77777777" w:rsidR="00BC0E7E" w:rsidRPr="00BC0E7E" w:rsidRDefault="00BC0E7E" w:rsidP="00762FA7">
      <w:pPr>
        <w:rPr>
          <w:del w:id="3843" w:author="AbbVie19" w:date="2025-04-16T10:42:00Z"/>
          <w:szCs w:val="20"/>
          <w:u w:val="single"/>
        </w:rPr>
      </w:pPr>
    </w:p>
    <w:p w14:paraId="5FC0DF85" w14:textId="77777777" w:rsidR="00BC0E7E" w:rsidRPr="00BC0E7E" w:rsidRDefault="00944B8F" w:rsidP="00762FA7">
      <w:pPr>
        <w:tabs>
          <w:tab w:val="clear" w:pos="562"/>
        </w:tabs>
        <w:rPr>
          <w:del w:id="3844" w:author="AbbVie19" w:date="2025-04-16T10:42:00Z"/>
          <w:u w:val="single"/>
        </w:rPr>
      </w:pPr>
      <w:del w:id="3845" w:author="AbbVie19" w:date="2025-04-16T10:42:00Z">
        <w:r w:rsidRPr="00BC0E7E">
          <w:rPr>
            <w:u w:val="single"/>
          </w:rPr>
          <w:delText xml:space="preserve">Axial spondyloarthritis </w:delText>
        </w:r>
      </w:del>
    </w:p>
    <w:p w14:paraId="054BDF17" w14:textId="77777777" w:rsidR="00BC0E7E" w:rsidRPr="00BC0E7E" w:rsidRDefault="00BC0E7E" w:rsidP="00762FA7">
      <w:pPr>
        <w:rPr>
          <w:del w:id="3846" w:author="AbbVie19" w:date="2025-04-16T10:42:00Z"/>
          <w:szCs w:val="20"/>
          <w:u w:val="single"/>
        </w:rPr>
      </w:pPr>
    </w:p>
    <w:p w14:paraId="4ABA2CCD" w14:textId="77777777" w:rsidR="00BC0E7E" w:rsidRPr="00BC0E7E" w:rsidRDefault="00944B8F" w:rsidP="00762FA7">
      <w:pPr>
        <w:rPr>
          <w:del w:id="3847" w:author="AbbVie19" w:date="2025-04-16T10:42:00Z"/>
          <w:szCs w:val="20"/>
        </w:rPr>
      </w:pPr>
      <w:del w:id="3848" w:author="AbbVie19" w:date="2025-04-16T10:42:00Z">
        <w:r w:rsidRPr="00BC0E7E">
          <w:rPr>
            <w:i/>
            <w:szCs w:val="20"/>
          </w:rPr>
          <w:delText>Ankylosing spondylitis (AS)</w:delText>
        </w:r>
      </w:del>
    </w:p>
    <w:p w14:paraId="63559E32" w14:textId="77777777" w:rsidR="00BC0E7E" w:rsidRPr="00BC0E7E" w:rsidRDefault="00BC0E7E" w:rsidP="00762FA7">
      <w:pPr>
        <w:rPr>
          <w:del w:id="3849" w:author="AbbVie19" w:date="2025-04-16T10:42:00Z"/>
          <w:szCs w:val="20"/>
        </w:rPr>
      </w:pPr>
    </w:p>
    <w:p w14:paraId="66A2C951" w14:textId="77777777" w:rsidR="00BC0E7E" w:rsidRPr="00BC0E7E" w:rsidRDefault="00944B8F" w:rsidP="00762FA7">
      <w:pPr>
        <w:rPr>
          <w:del w:id="3850" w:author="AbbVie19" w:date="2025-04-16T10:42:00Z"/>
          <w:szCs w:val="20"/>
        </w:rPr>
      </w:pPr>
      <w:del w:id="3851" w:author="AbbVie19" w:date="2025-04-16T10:42:00Z">
        <w:r w:rsidRPr="00BC0E7E">
          <w:rPr>
            <w:szCs w:val="20"/>
          </w:rPr>
          <w:delText>Humira is indicated for the treatment of adults with severe active ankylosing spondylitis who have had an inadequate response to conventional therapy.</w:delText>
        </w:r>
      </w:del>
    </w:p>
    <w:p w14:paraId="0E120A83" w14:textId="77777777" w:rsidR="00BC0E7E" w:rsidRPr="00BC0E7E" w:rsidRDefault="00BC0E7E" w:rsidP="00762FA7">
      <w:pPr>
        <w:rPr>
          <w:del w:id="3852" w:author="AbbVie19" w:date="2025-04-16T10:42:00Z"/>
          <w:szCs w:val="20"/>
        </w:rPr>
      </w:pPr>
    </w:p>
    <w:p w14:paraId="6529EE26" w14:textId="77777777" w:rsidR="00BC0E7E" w:rsidRPr="00BC0E7E" w:rsidRDefault="00944B8F" w:rsidP="00762FA7">
      <w:pPr>
        <w:rPr>
          <w:del w:id="3853" w:author="AbbVie19" w:date="2025-04-16T10:42:00Z"/>
          <w:szCs w:val="20"/>
          <w:u w:val="single"/>
        </w:rPr>
      </w:pPr>
      <w:del w:id="3854" w:author="AbbVie19" w:date="2025-04-16T10:42:00Z">
        <w:r w:rsidRPr="00BC0E7E">
          <w:rPr>
            <w:i/>
            <w:szCs w:val="20"/>
          </w:rPr>
          <w:delText>Axial spondyloarthritis without radiographic evidence of AS</w:delText>
        </w:r>
      </w:del>
    </w:p>
    <w:p w14:paraId="14A2083E" w14:textId="77777777" w:rsidR="00BC0E7E" w:rsidRPr="00BC0E7E" w:rsidRDefault="00BC0E7E" w:rsidP="00762FA7">
      <w:pPr>
        <w:rPr>
          <w:del w:id="3855" w:author="AbbVie19" w:date="2025-04-16T10:42:00Z"/>
          <w:szCs w:val="20"/>
          <w:u w:val="single"/>
        </w:rPr>
      </w:pPr>
    </w:p>
    <w:p w14:paraId="2722DD3C" w14:textId="77777777" w:rsidR="00BC0E7E" w:rsidRPr="00BC0E7E" w:rsidRDefault="00944B8F" w:rsidP="00762FA7">
      <w:pPr>
        <w:rPr>
          <w:del w:id="3856" w:author="AbbVie19" w:date="2025-04-16T10:42:00Z"/>
          <w:szCs w:val="20"/>
        </w:rPr>
      </w:pPr>
      <w:del w:id="3857" w:author="AbbVie19" w:date="2025-04-16T10:42:00Z">
        <w:r w:rsidRPr="00BC0E7E">
          <w:rPr>
            <w:szCs w:val="20"/>
          </w:rPr>
          <w:delText>Humira is indicated for the treatment of adults with severe axial spondyloarthritis without radiographic evidence of AS but with objective signs of inflammation by elevated CRP and / or MRI, who have had an inadequate response to, or are intolerant to non</w:delText>
        </w:r>
        <w:r w:rsidR="00E85DFE">
          <w:rPr>
            <w:szCs w:val="20"/>
          </w:rPr>
          <w:delText>-</w:delText>
        </w:r>
        <w:r w:rsidRPr="00BC0E7E">
          <w:rPr>
            <w:szCs w:val="20"/>
          </w:rPr>
          <w:delText>steroidal anti-inflammatory drugs</w:delText>
        </w:r>
        <w:r w:rsidR="004B6F4F">
          <w:rPr>
            <w:szCs w:val="20"/>
          </w:rPr>
          <w:delText xml:space="preserve"> (NSAIDs)</w:delText>
        </w:r>
        <w:r w:rsidRPr="00BC0E7E">
          <w:rPr>
            <w:szCs w:val="20"/>
          </w:rPr>
          <w:delText>.</w:delText>
        </w:r>
      </w:del>
    </w:p>
    <w:p w14:paraId="7F8E0ECD" w14:textId="77777777" w:rsidR="00BC0E7E" w:rsidRPr="00BC0E7E" w:rsidRDefault="00BC0E7E" w:rsidP="00762FA7">
      <w:pPr>
        <w:rPr>
          <w:del w:id="3858" w:author="AbbVie19" w:date="2025-04-16T10:42:00Z"/>
          <w:szCs w:val="20"/>
        </w:rPr>
      </w:pPr>
    </w:p>
    <w:p w14:paraId="07DABDAC" w14:textId="77777777" w:rsidR="00BC0E7E" w:rsidRPr="00BC0E7E" w:rsidRDefault="00944B8F" w:rsidP="00762FA7">
      <w:pPr>
        <w:rPr>
          <w:del w:id="3859" w:author="AbbVie19" w:date="2025-04-16T10:42:00Z"/>
          <w:szCs w:val="20"/>
          <w:u w:val="single"/>
        </w:rPr>
      </w:pPr>
      <w:del w:id="3860" w:author="AbbVie19" w:date="2025-04-16T10:42:00Z">
        <w:r w:rsidRPr="00BC0E7E">
          <w:rPr>
            <w:szCs w:val="20"/>
            <w:u w:val="single"/>
          </w:rPr>
          <w:delText>Psoriatic arthritis</w:delText>
        </w:r>
      </w:del>
    </w:p>
    <w:p w14:paraId="6DAB11E0" w14:textId="77777777" w:rsidR="00BC0E7E" w:rsidRPr="00BC0E7E" w:rsidRDefault="00BC0E7E" w:rsidP="00762FA7">
      <w:pPr>
        <w:rPr>
          <w:del w:id="3861" w:author="AbbVie19" w:date="2025-04-16T10:42:00Z"/>
          <w:szCs w:val="20"/>
        </w:rPr>
      </w:pPr>
    </w:p>
    <w:p w14:paraId="56D9A686" w14:textId="77777777" w:rsidR="00BC0E7E" w:rsidRPr="00BC0E7E" w:rsidRDefault="00944B8F" w:rsidP="00762FA7">
      <w:pPr>
        <w:rPr>
          <w:del w:id="3862" w:author="AbbVie19" w:date="2025-04-16T10:42:00Z"/>
          <w:szCs w:val="20"/>
        </w:rPr>
      </w:pPr>
      <w:del w:id="3863" w:author="AbbVie19" w:date="2025-04-16T10:42:00Z">
        <w:r w:rsidRPr="00BC0E7E">
          <w:rPr>
            <w:szCs w:val="20"/>
          </w:rPr>
          <w:delText>Humira is indicated for the treatment of active and progressive psoriatic arthritis in adults when the response to previous disease-modifying anti</w:delText>
        </w:r>
        <w:r w:rsidRPr="00BC0E7E">
          <w:rPr>
            <w:szCs w:val="20"/>
          </w:rPr>
          <w:noBreakHyphen/>
          <w:delText xml:space="preserve">rheumatic drug therapy has been inadequate. Humira has been shown to reduce the rate of progression of </w:delText>
        </w:r>
        <w:r w:rsidRPr="00BC0E7E">
          <w:rPr>
            <w:szCs w:val="22"/>
          </w:rPr>
          <w:delText>peripheral</w:delText>
        </w:r>
        <w:r w:rsidRPr="00BC0E7E">
          <w:rPr>
            <w:szCs w:val="20"/>
          </w:rPr>
          <w:delText xml:space="preserve"> joint damage as measured by X-ray </w:delText>
        </w:r>
        <w:r w:rsidRPr="00BC0E7E">
          <w:rPr>
            <w:szCs w:val="22"/>
          </w:rPr>
          <w:delText>in patients with polyarticular symmetrical subtypes of the disease (see Section 5.1)</w:delText>
        </w:r>
        <w:r w:rsidRPr="00BC0E7E">
          <w:rPr>
            <w:szCs w:val="20"/>
          </w:rPr>
          <w:delText xml:space="preserve"> and to improve physical function.</w:delText>
        </w:r>
      </w:del>
    </w:p>
    <w:p w14:paraId="76D64F19" w14:textId="77777777" w:rsidR="00BC0E7E" w:rsidRPr="00BC0E7E" w:rsidRDefault="00BC0E7E" w:rsidP="00762FA7">
      <w:pPr>
        <w:rPr>
          <w:del w:id="3864" w:author="AbbVie19" w:date="2025-04-16T10:42:00Z"/>
          <w:szCs w:val="20"/>
        </w:rPr>
      </w:pPr>
    </w:p>
    <w:p w14:paraId="16A56BEB" w14:textId="77777777" w:rsidR="00BC0E7E" w:rsidRPr="00BC0E7E" w:rsidRDefault="00944B8F" w:rsidP="00762FA7">
      <w:pPr>
        <w:tabs>
          <w:tab w:val="clear" w:pos="562"/>
        </w:tabs>
        <w:suppressAutoHyphens w:val="0"/>
        <w:overflowPunct w:val="0"/>
        <w:autoSpaceDE w:val="0"/>
        <w:autoSpaceDN w:val="0"/>
        <w:adjustRightInd w:val="0"/>
        <w:textAlignment w:val="baseline"/>
        <w:rPr>
          <w:del w:id="3865" w:author="AbbVie19" w:date="2025-04-16T10:42:00Z"/>
          <w:bCs/>
          <w:iCs/>
          <w:szCs w:val="20"/>
          <w:u w:val="single"/>
        </w:rPr>
      </w:pPr>
      <w:del w:id="3866" w:author="AbbVie19" w:date="2025-04-16T10:42:00Z">
        <w:r w:rsidRPr="00BC0E7E">
          <w:rPr>
            <w:bCs/>
            <w:iCs/>
            <w:szCs w:val="20"/>
            <w:u w:val="single"/>
          </w:rPr>
          <w:delText>Psoriasis</w:delText>
        </w:r>
      </w:del>
    </w:p>
    <w:p w14:paraId="6329D755" w14:textId="77777777" w:rsidR="00BC0E7E" w:rsidRPr="00BC0E7E" w:rsidRDefault="00BC0E7E" w:rsidP="00762FA7">
      <w:pPr>
        <w:tabs>
          <w:tab w:val="clear" w:pos="562"/>
        </w:tabs>
        <w:suppressAutoHyphens w:val="0"/>
        <w:overflowPunct w:val="0"/>
        <w:autoSpaceDE w:val="0"/>
        <w:autoSpaceDN w:val="0"/>
        <w:adjustRightInd w:val="0"/>
        <w:textAlignment w:val="baseline"/>
        <w:rPr>
          <w:del w:id="3867" w:author="AbbVie19" w:date="2025-04-16T10:42:00Z"/>
          <w:b/>
          <w:iCs/>
          <w:szCs w:val="20"/>
        </w:rPr>
      </w:pPr>
    </w:p>
    <w:p w14:paraId="5736C439" w14:textId="77777777" w:rsidR="00BC0E7E" w:rsidRPr="00BC0E7E" w:rsidRDefault="00944B8F" w:rsidP="00762FA7">
      <w:pPr>
        <w:rPr>
          <w:del w:id="3868" w:author="AbbVie19" w:date="2025-04-16T10:42:00Z"/>
          <w:szCs w:val="20"/>
        </w:rPr>
      </w:pPr>
      <w:del w:id="3869" w:author="AbbVie19" w:date="2025-04-16T10:42:00Z">
        <w:r w:rsidRPr="00BC0E7E">
          <w:rPr>
            <w:szCs w:val="20"/>
          </w:rPr>
          <w:delText>Humira is indicated for the treatment of moderate to severe chronic plaque psoriasis in adult patients who are candidates for systemic therapy.</w:delText>
        </w:r>
      </w:del>
    </w:p>
    <w:p w14:paraId="6B12B192" w14:textId="77777777" w:rsidR="00BC0E7E" w:rsidRPr="00BC0E7E" w:rsidRDefault="00BC0E7E" w:rsidP="00762FA7">
      <w:pPr>
        <w:rPr>
          <w:del w:id="3870" w:author="AbbVie19" w:date="2025-04-16T10:42:00Z"/>
          <w:szCs w:val="20"/>
        </w:rPr>
      </w:pPr>
    </w:p>
    <w:p w14:paraId="47331956" w14:textId="77777777" w:rsidR="00BC0E7E" w:rsidRPr="00BC0E7E" w:rsidRDefault="00944B8F" w:rsidP="00762FA7">
      <w:pPr>
        <w:rPr>
          <w:del w:id="3871" w:author="AbbVie19" w:date="2025-04-16T10:42:00Z"/>
          <w:szCs w:val="20"/>
          <w:u w:val="single"/>
        </w:rPr>
      </w:pPr>
      <w:del w:id="3872" w:author="AbbVie19" w:date="2025-04-16T10:42:00Z">
        <w:r w:rsidRPr="00BC0E7E">
          <w:rPr>
            <w:szCs w:val="20"/>
            <w:u w:val="single"/>
          </w:rPr>
          <w:delText>Paediatric plaque psoriasis</w:delText>
        </w:r>
      </w:del>
    </w:p>
    <w:p w14:paraId="0E5FD648" w14:textId="77777777" w:rsidR="00BC0E7E" w:rsidRPr="00BC0E7E" w:rsidRDefault="00BC0E7E" w:rsidP="00762FA7">
      <w:pPr>
        <w:rPr>
          <w:del w:id="3873" w:author="AbbVie19" w:date="2025-04-16T10:42:00Z"/>
          <w:szCs w:val="20"/>
        </w:rPr>
      </w:pPr>
    </w:p>
    <w:p w14:paraId="0DAC3A10" w14:textId="77777777" w:rsidR="00BC0E7E" w:rsidRPr="00BC0E7E" w:rsidRDefault="00944B8F" w:rsidP="00762FA7">
      <w:pPr>
        <w:rPr>
          <w:del w:id="3874" w:author="AbbVie19" w:date="2025-04-16T10:42:00Z"/>
          <w:iCs/>
        </w:rPr>
      </w:pPr>
      <w:del w:id="3875" w:author="AbbVie19" w:date="2025-04-16T10:42:00Z">
        <w:r w:rsidRPr="00BC0E7E">
          <w:rPr>
            <w:iCs/>
          </w:rPr>
          <w:delText>Humira is indicated for the treatment of severe chronic plaque psoriasis in children and adolescents from 4</w:delText>
        </w:r>
        <w:r w:rsidRPr="00BC0E7E">
          <w:delText> </w:delText>
        </w:r>
        <w:r w:rsidRPr="00BC0E7E">
          <w:rPr>
            <w:iCs/>
          </w:rPr>
          <w:delText>years of age who have had an inadequate response to or are inappropriate candidates for topical therapy and phototherapies.</w:delText>
        </w:r>
      </w:del>
    </w:p>
    <w:p w14:paraId="233C2A3E" w14:textId="77777777" w:rsidR="00BC0E7E" w:rsidRPr="00BC0E7E" w:rsidRDefault="00BC0E7E" w:rsidP="00762FA7">
      <w:pPr>
        <w:rPr>
          <w:del w:id="3876" w:author="AbbVie19" w:date="2025-04-16T10:42:00Z"/>
          <w:iCs/>
          <w:szCs w:val="20"/>
          <w:u w:val="single"/>
        </w:rPr>
      </w:pPr>
    </w:p>
    <w:p w14:paraId="562D495D" w14:textId="77777777" w:rsidR="00BC0E7E" w:rsidRPr="00BC0E7E" w:rsidRDefault="00944B8F" w:rsidP="00762FA7">
      <w:pPr>
        <w:rPr>
          <w:del w:id="3877" w:author="AbbVie19" w:date="2025-04-16T10:42:00Z"/>
          <w:szCs w:val="20"/>
          <w:u w:val="single"/>
        </w:rPr>
      </w:pPr>
      <w:del w:id="3878" w:author="AbbVie19" w:date="2025-04-16T10:42:00Z">
        <w:r w:rsidRPr="00BC0E7E">
          <w:rPr>
            <w:szCs w:val="20"/>
            <w:u w:val="single"/>
          </w:rPr>
          <w:delText>Hidradenitis suppurativa (HS)</w:delText>
        </w:r>
      </w:del>
    </w:p>
    <w:p w14:paraId="22646182" w14:textId="77777777" w:rsidR="00BC0E7E" w:rsidRPr="00BC0E7E" w:rsidRDefault="00BC0E7E" w:rsidP="00762FA7">
      <w:pPr>
        <w:rPr>
          <w:del w:id="3879" w:author="AbbVie19" w:date="2025-04-16T10:42:00Z"/>
          <w:szCs w:val="20"/>
          <w:u w:val="single"/>
        </w:rPr>
      </w:pPr>
    </w:p>
    <w:p w14:paraId="7FFD8134" w14:textId="77777777" w:rsidR="00BC0E7E" w:rsidRPr="00BC0E7E" w:rsidRDefault="00944B8F" w:rsidP="00762FA7">
      <w:pPr>
        <w:rPr>
          <w:del w:id="3880" w:author="AbbVie19" w:date="2025-04-16T10:42:00Z"/>
          <w:szCs w:val="20"/>
        </w:rPr>
      </w:pPr>
      <w:del w:id="3881" w:author="AbbVie19" w:date="2025-04-16T10:42:00Z">
        <w:r w:rsidRPr="00BC0E7E">
          <w:rPr>
            <w:szCs w:val="20"/>
          </w:rPr>
          <w:delText>Humira is indicated for the treatment of active moderate to severe hidradenitis suppurativa (acne inversa) in adults and adolescents from 12 years of age with an inadequate response to conventional systemic HS therapy (see sections 5.1 and 5.2).</w:delText>
        </w:r>
      </w:del>
    </w:p>
    <w:p w14:paraId="3B52A4F2" w14:textId="77777777" w:rsidR="00BC0E7E" w:rsidRPr="00BC0E7E" w:rsidRDefault="00BC0E7E" w:rsidP="00762FA7">
      <w:pPr>
        <w:rPr>
          <w:del w:id="3882" w:author="AbbVie19" w:date="2025-04-16T10:42:00Z"/>
          <w:szCs w:val="20"/>
          <w:u w:val="single"/>
        </w:rPr>
      </w:pPr>
    </w:p>
    <w:p w14:paraId="6C8EB7E5" w14:textId="77777777" w:rsidR="00BC0E7E" w:rsidRPr="00BC0E7E" w:rsidRDefault="00944B8F" w:rsidP="00762FA7">
      <w:pPr>
        <w:rPr>
          <w:del w:id="3883" w:author="AbbVie19" w:date="2025-04-16T10:42:00Z"/>
          <w:szCs w:val="20"/>
          <w:u w:val="single"/>
        </w:rPr>
      </w:pPr>
      <w:del w:id="3884" w:author="AbbVie19" w:date="2025-04-16T10:42:00Z">
        <w:r w:rsidRPr="00BC0E7E">
          <w:rPr>
            <w:szCs w:val="20"/>
            <w:u w:val="single"/>
          </w:rPr>
          <w:delText>Crohn’s disease</w:delText>
        </w:r>
      </w:del>
    </w:p>
    <w:p w14:paraId="3A31C02E" w14:textId="77777777" w:rsidR="00BC0E7E" w:rsidRPr="00BC0E7E" w:rsidRDefault="00BC0E7E" w:rsidP="00762FA7">
      <w:pPr>
        <w:rPr>
          <w:del w:id="3885" w:author="AbbVie19" w:date="2025-04-16T10:42:00Z"/>
          <w:szCs w:val="20"/>
        </w:rPr>
      </w:pPr>
    </w:p>
    <w:p w14:paraId="21A68572" w14:textId="77777777" w:rsidR="00BC0E7E" w:rsidRPr="00BC0E7E" w:rsidRDefault="00944B8F" w:rsidP="00762FA7">
      <w:pPr>
        <w:rPr>
          <w:del w:id="3886" w:author="AbbVie19" w:date="2025-04-16T10:42:00Z"/>
          <w:szCs w:val="20"/>
        </w:rPr>
      </w:pPr>
      <w:del w:id="3887" w:author="AbbVie19" w:date="2025-04-16T10:42:00Z">
        <w:r w:rsidRPr="00BC0E7E">
          <w:rPr>
            <w:szCs w:val="20"/>
          </w:rPr>
          <w:delText xml:space="preserve">Humira is indicated for treatment of moderately to severely active Crohn’s disease, in adult patients who have not responded despite a full and adequate course of therapy with a corticosteroid and/or an immunosuppressant; or who are intolerant to or have medical contraindications for such therapies. </w:delText>
        </w:r>
      </w:del>
    </w:p>
    <w:p w14:paraId="0C5A2D00" w14:textId="77777777" w:rsidR="00BC0E7E" w:rsidRPr="00BC0E7E" w:rsidRDefault="00BC0E7E" w:rsidP="00762FA7">
      <w:pPr>
        <w:rPr>
          <w:del w:id="3888" w:author="AbbVie19" w:date="2025-04-16T10:42:00Z"/>
          <w:i/>
          <w:sz w:val="24"/>
          <w:u w:val="single"/>
        </w:rPr>
      </w:pPr>
    </w:p>
    <w:p w14:paraId="7A7D1085" w14:textId="77777777" w:rsidR="00BC0E7E" w:rsidRPr="00BC0E7E" w:rsidRDefault="00944B8F" w:rsidP="00762FA7">
      <w:pPr>
        <w:keepNext/>
        <w:rPr>
          <w:del w:id="3889" w:author="AbbVie19" w:date="2025-04-16T10:42:00Z"/>
          <w:szCs w:val="22"/>
          <w:u w:val="single"/>
        </w:rPr>
      </w:pPr>
      <w:del w:id="3890" w:author="AbbVie19" w:date="2025-04-16T10:42:00Z">
        <w:r w:rsidRPr="00BC0E7E">
          <w:rPr>
            <w:szCs w:val="22"/>
            <w:u w:val="single"/>
          </w:rPr>
          <w:lastRenderedPageBreak/>
          <w:delText xml:space="preserve">Paediatric Crohn's disease </w:delText>
        </w:r>
      </w:del>
    </w:p>
    <w:p w14:paraId="2AEFAF03" w14:textId="77777777" w:rsidR="00BC0E7E" w:rsidRPr="00BC0E7E" w:rsidRDefault="00BC0E7E" w:rsidP="00762FA7">
      <w:pPr>
        <w:keepNext/>
        <w:rPr>
          <w:del w:id="3891" w:author="AbbVie19" w:date="2025-04-16T10:42:00Z"/>
          <w:i/>
          <w:sz w:val="24"/>
        </w:rPr>
      </w:pPr>
    </w:p>
    <w:p w14:paraId="4819C0C2" w14:textId="77777777" w:rsidR="00BC0E7E" w:rsidRPr="00BC0E7E" w:rsidRDefault="00944B8F" w:rsidP="00762FA7">
      <w:pPr>
        <w:keepNext/>
        <w:tabs>
          <w:tab w:val="clear" w:pos="562"/>
        </w:tabs>
        <w:rPr>
          <w:del w:id="3892" w:author="AbbVie19" w:date="2025-04-16T10:42:00Z"/>
        </w:rPr>
      </w:pPr>
      <w:del w:id="3893" w:author="AbbVie19" w:date="2025-04-16T10:42:00Z">
        <w:r w:rsidRPr="00BC0E7E">
          <w:delText>Humira is indicated for the treatment of moderately to severely active Crohn's disease in paediatric patients (from 6 years of age) who have had an inadequate response to conventional therapy including primary nutrition therapy and a corticosteroid and/or an immunomodulator, or who are intolerant to or have contraindications for such therapies.</w:delText>
        </w:r>
      </w:del>
    </w:p>
    <w:p w14:paraId="1F04B4EF" w14:textId="77777777" w:rsidR="00BC0E7E" w:rsidRPr="00BC0E7E" w:rsidRDefault="00BC0E7E" w:rsidP="00762FA7">
      <w:pPr>
        <w:rPr>
          <w:del w:id="3894" w:author="AbbVie19" w:date="2025-04-16T10:42:00Z"/>
          <w:szCs w:val="20"/>
        </w:rPr>
      </w:pPr>
    </w:p>
    <w:p w14:paraId="129E023A" w14:textId="77777777" w:rsidR="00BC0E7E" w:rsidRPr="00BC0E7E" w:rsidRDefault="00944B8F" w:rsidP="00762FA7">
      <w:pPr>
        <w:keepNext/>
        <w:tabs>
          <w:tab w:val="clear" w:pos="562"/>
        </w:tabs>
        <w:rPr>
          <w:del w:id="3895" w:author="AbbVie19" w:date="2025-04-16T10:42:00Z"/>
          <w:u w:val="single"/>
        </w:rPr>
      </w:pPr>
      <w:del w:id="3896" w:author="AbbVie19" w:date="2025-04-16T10:42:00Z">
        <w:r w:rsidRPr="00BC0E7E">
          <w:rPr>
            <w:u w:val="single"/>
          </w:rPr>
          <w:delText>Ulcerative colitis</w:delText>
        </w:r>
      </w:del>
    </w:p>
    <w:p w14:paraId="52C836E6" w14:textId="77777777" w:rsidR="00BC0E7E" w:rsidRPr="00BC0E7E" w:rsidRDefault="00BC0E7E" w:rsidP="00762FA7">
      <w:pPr>
        <w:keepNext/>
        <w:tabs>
          <w:tab w:val="clear" w:pos="562"/>
        </w:tabs>
        <w:rPr>
          <w:del w:id="3897" w:author="AbbVie19" w:date="2025-04-16T10:42:00Z"/>
          <w:u w:val="single"/>
        </w:rPr>
      </w:pPr>
    </w:p>
    <w:p w14:paraId="65EEE880" w14:textId="77777777" w:rsidR="00BC0E7E" w:rsidRPr="00BC0E7E" w:rsidRDefault="00944B8F" w:rsidP="00762FA7">
      <w:pPr>
        <w:rPr>
          <w:del w:id="3898" w:author="AbbVie19" w:date="2025-04-16T10:42:00Z"/>
          <w:szCs w:val="20"/>
        </w:rPr>
      </w:pPr>
      <w:del w:id="3899" w:author="AbbVie19" w:date="2025-04-16T10:42:00Z">
        <w:r w:rsidRPr="00BC0E7E">
          <w:rPr>
            <w:szCs w:val="20"/>
          </w:rPr>
          <w:delText>Humira is indicated for treatment of moderately to severely active ulcerative colitis in adult patients who have had an inadequate response to conventional therapy including corticosteroids and 6</w:delText>
        </w:r>
        <w:r w:rsidRPr="00BC0E7E">
          <w:rPr>
            <w:szCs w:val="20"/>
          </w:rPr>
          <w:noBreakHyphen/>
          <w:delText xml:space="preserve">mercaptopurine (6-MP) or azathioprine (AZA), or who are intolerant to or have medical contraindications for such therapies. </w:delText>
        </w:r>
      </w:del>
    </w:p>
    <w:p w14:paraId="195A5344" w14:textId="77777777" w:rsidR="00BC0E7E" w:rsidRPr="00BC0E7E" w:rsidRDefault="00BC0E7E" w:rsidP="00762FA7">
      <w:pPr>
        <w:rPr>
          <w:del w:id="3900" w:author="AbbVie19" w:date="2025-04-16T10:42:00Z"/>
          <w:szCs w:val="20"/>
        </w:rPr>
      </w:pPr>
    </w:p>
    <w:p w14:paraId="3939063C" w14:textId="77777777" w:rsidR="009B0666" w:rsidRPr="005037B5" w:rsidRDefault="00944B8F" w:rsidP="00762FA7">
      <w:pPr>
        <w:rPr>
          <w:del w:id="3901" w:author="AbbVie19" w:date="2025-04-16T10:42:00Z"/>
          <w:szCs w:val="20"/>
          <w:u w:val="single"/>
        </w:rPr>
      </w:pPr>
      <w:del w:id="3902" w:author="AbbVie19" w:date="2025-04-16T10:42:00Z">
        <w:r w:rsidRPr="00DA728B">
          <w:rPr>
            <w:szCs w:val="20"/>
            <w:u w:val="single"/>
          </w:rPr>
          <w:delText>Paediatric ulcerative colitis</w:delText>
        </w:r>
      </w:del>
    </w:p>
    <w:p w14:paraId="5BB0FDEB" w14:textId="77777777" w:rsidR="009B0666" w:rsidRPr="005037B5" w:rsidRDefault="009B0666" w:rsidP="00762FA7">
      <w:pPr>
        <w:rPr>
          <w:del w:id="3903" w:author="AbbVie19" w:date="2025-04-16T10:42:00Z"/>
          <w:szCs w:val="20"/>
        </w:rPr>
      </w:pPr>
    </w:p>
    <w:p w14:paraId="3009FD35" w14:textId="77777777" w:rsidR="00ED4982" w:rsidRPr="006527B0" w:rsidRDefault="00944B8F" w:rsidP="00762FA7">
      <w:pPr>
        <w:rPr>
          <w:del w:id="3904" w:author="AbbVie19" w:date="2025-04-16T10:42:00Z"/>
          <w:szCs w:val="20"/>
        </w:rPr>
      </w:pPr>
      <w:del w:id="3905" w:author="AbbVie19" w:date="2025-04-16T10:42:00Z">
        <w:r w:rsidRPr="005037B5">
          <w:rPr>
            <w:szCs w:val="20"/>
          </w:rPr>
          <w:delText>Humira is indicated for the treatment of moderately to severely active ulcerative colitis in paediatric patients (</w:delText>
        </w:r>
        <w:r>
          <w:rPr>
            <w:szCs w:val="20"/>
          </w:rPr>
          <w:delText>from 6</w:delText>
        </w:r>
        <w:r w:rsidRPr="005037B5">
          <w:rPr>
            <w:szCs w:val="20"/>
          </w:rPr>
          <w:delText xml:space="preserve"> years of age) who have had an inadequate response to conventional therapy including corticosteroids and/or 6-mercaptopurine (6-MP) or azathioprine (AZA), or who are intolerant </w:delText>
        </w:r>
        <w:r w:rsidRPr="006527B0">
          <w:rPr>
            <w:szCs w:val="20"/>
          </w:rPr>
          <w:delText>to or have medical contraindications for such therapies</w:delText>
        </w:r>
        <w:r w:rsidRPr="005037B5">
          <w:rPr>
            <w:szCs w:val="20"/>
          </w:rPr>
          <w:delText>.</w:delText>
        </w:r>
      </w:del>
    </w:p>
    <w:p w14:paraId="0A43B61F" w14:textId="77777777" w:rsidR="009B0666" w:rsidRDefault="009B0666" w:rsidP="00762FA7">
      <w:pPr>
        <w:keepNext/>
        <w:tabs>
          <w:tab w:val="clear" w:pos="562"/>
        </w:tabs>
        <w:rPr>
          <w:del w:id="3906" w:author="AbbVie19" w:date="2025-04-16T10:42:00Z"/>
          <w:u w:val="single"/>
        </w:rPr>
      </w:pPr>
    </w:p>
    <w:p w14:paraId="62AE6AE6" w14:textId="77777777" w:rsidR="00BC0E7E" w:rsidRPr="00BC0E7E" w:rsidRDefault="00944B8F" w:rsidP="00762FA7">
      <w:pPr>
        <w:keepNext/>
        <w:tabs>
          <w:tab w:val="clear" w:pos="562"/>
        </w:tabs>
        <w:rPr>
          <w:del w:id="3907" w:author="AbbVie19" w:date="2025-04-16T10:42:00Z"/>
          <w:u w:val="single"/>
        </w:rPr>
      </w:pPr>
      <w:del w:id="3908" w:author="AbbVie19" w:date="2025-04-16T10:42:00Z">
        <w:r w:rsidRPr="00BC0E7E">
          <w:rPr>
            <w:u w:val="single"/>
          </w:rPr>
          <w:delText>Uveitis</w:delText>
        </w:r>
      </w:del>
    </w:p>
    <w:p w14:paraId="5847D6C4" w14:textId="77777777" w:rsidR="00BC0E7E" w:rsidRPr="00BC0E7E" w:rsidRDefault="00BC0E7E" w:rsidP="00762FA7">
      <w:pPr>
        <w:keepNext/>
        <w:tabs>
          <w:tab w:val="clear" w:pos="562"/>
        </w:tabs>
        <w:rPr>
          <w:del w:id="3909" w:author="AbbVie19" w:date="2025-04-16T10:42:00Z"/>
          <w:u w:val="single"/>
        </w:rPr>
      </w:pPr>
    </w:p>
    <w:p w14:paraId="5706F58B" w14:textId="77777777" w:rsidR="00BC0E7E" w:rsidRPr="00BC0E7E" w:rsidRDefault="00944B8F" w:rsidP="00762FA7">
      <w:pPr>
        <w:rPr>
          <w:del w:id="3910" w:author="AbbVie19" w:date="2025-04-16T10:42:00Z"/>
          <w:szCs w:val="20"/>
        </w:rPr>
      </w:pPr>
      <w:del w:id="3911" w:author="AbbVie19" w:date="2025-04-16T10:42:00Z">
        <w:r w:rsidRPr="00BC0E7E">
          <w:rPr>
            <w:szCs w:val="20"/>
          </w:rPr>
          <w:delText>Humira is indicated for the treatment of non-infectious intermediate, posterior and panuveitis in adult patients who have had an inadequate response to corticosteroids, in patients in need of corticosteroid-sparing, or in whom corticosteroid treatment is inappropriate.</w:delText>
        </w:r>
      </w:del>
    </w:p>
    <w:p w14:paraId="4106B541" w14:textId="77777777" w:rsidR="00BC0E7E" w:rsidRPr="00BC0E7E" w:rsidRDefault="00BC0E7E" w:rsidP="00762FA7">
      <w:pPr>
        <w:rPr>
          <w:del w:id="3912" w:author="AbbVie19" w:date="2025-04-16T10:42:00Z"/>
          <w:szCs w:val="20"/>
        </w:rPr>
      </w:pPr>
    </w:p>
    <w:p w14:paraId="39645DB3" w14:textId="77777777" w:rsidR="00BC0E7E" w:rsidRPr="00BC0E7E" w:rsidRDefault="00944B8F" w:rsidP="00762FA7">
      <w:pPr>
        <w:rPr>
          <w:del w:id="3913" w:author="AbbVie19" w:date="2025-04-16T10:42:00Z"/>
          <w:szCs w:val="22"/>
          <w:u w:val="single"/>
        </w:rPr>
      </w:pPr>
      <w:del w:id="3914" w:author="AbbVie19" w:date="2025-04-16T10:42:00Z">
        <w:r w:rsidRPr="00BC0E7E">
          <w:rPr>
            <w:szCs w:val="22"/>
            <w:u w:val="single"/>
          </w:rPr>
          <w:delText>Paediatric Uveitis</w:delText>
        </w:r>
      </w:del>
    </w:p>
    <w:p w14:paraId="5A6B62C2" w14:textId="77777777" w:rsidR="00BC0E7E" w:rsidRPr="00BC0E7E" w:rsidRDefault="00BC0E7E" w:rsidP="00762FA7">
      <w:pPr>
        <w:tabs>
          <w:tab w:val="clear" w:pos="562"/>
        </w:tabs>
        <w:rPr>
          <w:del w:id="3915" w:author="AbbVie19" w:date="2025-04-16T10:42:00Z"/>
        </w:rPr>
      </w:pPr>
    </w:p>
    <w:p w14:paraId="64B8984C" w14:textId="77777777" w:rsidR="0030126B" w:rsidRPr="00BC0E7E" w:rsidRDefault="00944B8F" w:rsidP="00762FA7">
      <w:pPr>
        <w:rPr>
          <w:del w:id="3916" w:author="AbbVie19" w:date="2025-04-16T10:42:00Z"/>
          <w:szCs w:val="20"/>
        </w:rPr>
      </w:pPr>
      <w:del w:id="3917" w:author="AbbVie19" w:date="2025-04-16T10:42:00Z">
        <w:r w:rsidRPr="00BC0E7E">
          <w:rPr>
            <w:szCs w:val="20"/>
          </w:rPr>
          <w:delText>Humira is indicated for the treatment of paediatric chronic non-infectious anterior uveitis in patients from 2 years of age who have had an inadequate response to or are intolerant to conventional therapy, or in whom conventional therapy is inappropriate.</w:delText>
        </w:r>
      </w:del>
    </w:p>
    <w:p w14:paraId="18B78410" w14:textId="77777777" w:rsidR="00BC0E7E" w:rsidRPr="00BC0E7E" w:rsidRDefault="00BC0E7E" w:rsidP="00762FA7">
      <w:pPr>
        <w:rPr>
          <w:del w:id="3918" w:author="AbbVie19" w:date="2025-04-16T10:42:00Z"/>
          <w:szCs w:val="20"/>
        </w:rPr>
      </w:pPr>
    </w:p>
    <w:p w14:paraId="5352153B" w14:textId="77777777" w:rsidR="00BC0E7E" w:rsidRPr="00BC0E7E" w:rsidRDefault="00944B8F" w:rsidP="00762FA7">
      <w:pPr>
        <w:tabs>
          <w:tab w:val="left" w:pos="1134"/>
          <w:tab w:val="left" w:pos="1701"/>
          <w:tab w:val="left" w:pos="2268"/>
          <w:tab w:val="left" w:pos="2835"/>
          <w:tab w:val="left" w:pos="3402"/>
          <w:tab w:val="left" w:pos="3969"/>
          <w:tab w:val="left" w:pos="6285"/>
        </w:tabs>
        <w:suppressAutoHyphens w:val="0"/>
        <w:outlineLvl w:val="1"/>
        <w:rPr>
          <w:del w:id="3919" w:author="AbbVie19" w:date="2025-04-16T10:42:00Z"/>
          <w:b/>
          <w:szCs w:val="20"/>
        </w:rPr>
      </w:pPr>
      <w:del w:id="3920" w:author="AbbVie19" w:date="2025-04-16T10:42:00Z">
        <w:r w:rsidRPr="00BC0E7E">
          <w:rPr>
            <w:b/>
            <w:szCs w:val="20"/>
          </w:rPr>
          <w:delText>4.2</w:delText>
        </w:r>
        <w:r w:rsidRPr="00BC0E7E">
          <w:rPr>
            <w:b/>
            <w:szCs w:val="20"/>
          </w:rPr>
          <w:tab/>
          <w:delText xml:space="preserve">Posology and method of administration  </w:delText>
        </w:r>
      </w:del>
    </w:p>
    <w:p w14:paraId="0F0553D9" w14:textId="77777777" w:rsidR="00BC0E7E" w:rsidRPr="00BC0E7E" w:rsidRDefault="00BC0E7E" w:rsidP="00762FA7">
      <w:pPr>
        <w:rPr>
          <w:del w:id="3921" w:author="AbbVie19" w:date="2025-04-16T10:42:00Z"/>
          <w:szCs w:val="20"/>
        </w:rPr>
      </w:pPr>
    </w:p>
    <w:p w14:paraId="5A6E7662" w14:textId="77777777" w:rsidR="00BC0E7E" w:rsidRPr="00BC0E7E" w:rsidRDefault="00944B8F" w:rsidP="00762FA7">
      <w:pPr>
        <w:tabs>
          <w:tab w:val="clear" w:pos="562"/>
        </w:tabs>
        <w:rPr>
          <w:del w:id="3922" w:author="AbbVie19" w:date="2025-04-16T10:42:00Z"/>
          <w:szCs w:val="22"/>
        </w:rPr>
      </w:pPr>
      <w:del w:id="3923" w:author="AbbVie19" w:date="2025-04-16T10:42:00Z">
        <w:r w:rsidRPr="00BC0E7E">
          <w:rPr>
            <w:szCs w:val="22"/>
          </w:rPr>
          <w:delText xml:space="preserve">Humira treatment should be initiated and supervised by specialist physicians experienced in the diagnosis and treatment of conditions for which Humira is indicated. Ophthalmologists are advised to consult with an appropriate specialist before initiation of treatment with Humira (see section 4.4). Patients treated with Humira should be given the </w:delText>
        </w:r>
        <w:r w:rsidR="002179FE">
          <w:rPr>
            <w:szCs w:val="22"/>
          </w:rPr>
          <w:delText>Patient Reminder Card</w:delText>
        </w:r>
        <w:r w:rsidRPr="00BC0E7E">
          <w:rPr>
            <w:szCs w:val="22"/>
          </w:rPr>
          <w:delText>.</w:delText>
        </w:r>
      </w:del>
    </w:p>
    <w:p w14:paraId="5AC0838A" w14:textId="77777777" w:rsidR="00BC0E7E" w:rsidRPr="00BC0E7E" w:rsidRDefault="00BC0E7E" w:rsidP="00762FA7">
      <w:pPr>
        <w:tabs>
          <w:tab w:val="clear" w:pos="562"/>
        </w:tabs>
        <w:rPr>
          <w:del w:id="3924" w:author="AbbVie19" w:date="2025-04-16T10:42:00Z"/>
          <w:szCs w:val="22"/>
        </w:rPr>
      </w:pPr>
    </w:p>
    <w:p w14:paraId="26831B3A" w14:textId="77777777" w:rsidR="00BC0E7E" w:rsidRPr="00BC0E7E" w:rsidRDefault="00944B8F" w:rsidP="00762FA7">
      <w:pPr>
        <w:tabs>
          <w:tab w:val="clear" w:pos="562"/>
        </w:tabs>
        <w:rPr>
          <w:del w:id="3925" w:author="AbbVie19" w:date="2025-04-16T10:42:00Z"/>
          <w:szCs w:val="22"/>
        </w:rPr>
      </w:pPr>
      <w:del w:id="3926" w:author="AbbVie19" w:date="2025-04-16T10:42:00Z">
        <w:r w:rsidRPr="00BC0E7E">
          <w:rPr>
            <w:szCs w:val="22"/>
          </w:rPr>
          <w:delText xml:space="preserve">After proper training in injection technique, patients may self-inject with Humira if their physician determines that it is appropriate and with medical follow-up as necessary. </w:delText>
        </w:r>
      </w:del>
    </w:p>
    <w:p w14:paraId="0EB84E99" w14:textId="77777777" w:rsidR="00BC0E7E" w:rsidRPr="00BC0E7E" w:rsidRDefault="00BC0E7E" w:rsidP="00762FA7">
      <w:pPr>
        <w:rPr>
          <w:del w:id="3927" w:author="AbbVie19" w:date="2025-04-16T10:42:00Z"/>
        </w:rPr>
      </w:pPr>
    </w:p>
    <w:p w14:paraId="4FAC04D8" w14:textId="77777777" w:rsidR="00BC0E7E" w:rsidRPr="00BC0E7E" w:rsidRDefault="00944B8F" w:rsidP="00762FA7">
      <w:pPr>
        <w:rPr>
          <w:del w:id="3928" w:author="AbbVie19" w:date="2025-04-16T10:42:00Z"/>
        </w:rPr>
      </w:pPr>
      <w:del w:id="3929" w:author="AbbVie19" w:date="2025-04-16T10:42:00Z">
        <w:r w:rsidRPr="00BC0E7E">
          <w:delText>During treatment with Humira, other concomitant therapies (e.g., corticosteroids and/or immunomodulatory agents) should be optimised.</w:delText>
        </w:r>
      </w:del>
    </w:p>
    <w:p w14:paraId="1542B454" w14:textId="77777777" w:rsidR="00BC0E7E" w:rsidRPr="00BC0E7E" w:rsidRDefault="00BC0E7E" w:rsidP="00762FA7">
      <w:pPr>
        <w:rPr>
          <w:del w:id="3930" w:author="AbbVie19" w:date="2025-04-16T10:42:00Z"/>
        </w:rPr>
      </w:pPr>
    </w:p>
    <w:p w14:paraId="3B0CB689" w14:textId="77777777" w:rsidR="00BC0E7E" w:rsidRPr="00BC0E7E" w:rsidRDefault="00944B8F" w:rsidP="00762FA7">
      <w:pPr>
        <w:rPr>
          <w:del w:id="3931" w:author="AbbVie19" w:date="2025-04-16T10:42:00Z"/>
          <w:szCs w:val="20"/>
          <w:u w:val="single"/>
        </w:rPr>
      </w:pPr>
      <w:del w:id="3932" w:author="AbbVie19" w:date="2025-04-16T10:42:00Z">
        <w:r w:rsidRPr="00BC0E7E">
          <w:rPr>
            <w:szCs w:val="20"/>
            <w:u w:val="single"/>
          </w:rPr>
          <w:delText>Posology</w:delText>
        </w:r>
      </w:del>
    </w:p>
    <w:p w14:paraId="71C36C33" w14:textId="77777777" w:rsidR="00BC0E7E" w:rsidRPr="00BC0E7E" w:rsidRDefault="00BC0E7E" w:rsidP="00762FA7">
      <w:pPr>
        <w:rPr>
          <w:del w:id="3933" w:author="AbbVie19" w:date="2025-04-16T10:42:00Z"/>
          <w:szCs w:val="20"/>
          <w:u w:val="single"/>
        </w:rPr>
      </w:pPr>
    </w:p>
    <w:p w14:paraId="711AD6D6" w14:textId="77777777" w:rsidR="00BC0E7E" w:rsidRPr="00BC0E7E" w:rsidRDefault="00944B8F" w:rsidP="00762FA7">
      <w:pPr>
        <w:rPr>
          <w:del w:id="3934" w:author="AbbVie19" w:date="2025-04-16T10:42:00Z"/>
          <w:szCs w:val="20"/>
          <w:u w:val="single"/>
        </w:rPr>
      </w:pPr>
      <w:del w:id="3935" w:author="AbbVie19" w:date="2025-04-16T10:42:00Z">
        <w:r w:rsidRPr="00BC0E7E">
          <w:rPr>
            <w:i/>
            <w:szCs w:val="20"/>
          </w:rPr>
          <w:delText>Rheumatoid arthritis</w:delText>
        </w:r>
      </w:del>
    </w:p>
    <w:p w14:paraId="2DB0C8C1" w14:textId="77777777" w:rsidR="00BC0E7E" w:rsidRPr="00BC0E7E" w:rsidRDefault="00BC0E7E" w:rsidP="00762FA7">
      <w:pPr>
        <w:rPr>
          <w:del w:id="3936" w:author="AbbVie19" w:date="2025-04-16T10:42:00Z"/>
          <w:szCs w:val="20"/>
        </w:rPr>
      </w:pPr>
    </w:p>
    <w:p w14:paraId="72125513" w14:textId="77777777" w:rsidR="00BC0E7E" w:rsidRPr="00BC0E7E" w:rsidRDefault="00944B8F" w:rsidP="00762FA7">
      <w:pPr>
        <w:tabs>
          <w:tab w:val="clear" w:pos="562"/>
        </w:tabs>
        <w:rPr>
          <w:del w:id="3937" w:author="AbbVie19" w:date="2025-04-16T10:42:00Z"/>
        </w:rPr>
      </w:pPr>
      <w:del w:id="3938" w:author="AbbVie19" w:date="2025-04-16T10:42:00Z">
        <w:r w:rsidRPr="00BC0E7E">
          <w:delText>The recommended dose of Humira for adult patients with rheumatoid arthritis is 40 mg adalimumab administered every other week as a single dose via subcutaneous injection. Methotrexate should be continued during treatment with Humira.</w:delText>
        </w:r>
      </w:del>
    </w:p>
    <w:p w14:paraId="4456A640" w14:textId="77777777" w:rsidR="00BC0E7E" w:rsidRPr="00BC0E7E" w:rsidRDefault="00BC0E7E" w:rsidP="00762FA7">
      <w:pPr>
        <w:tabs>
          <w:tab w:val="clear" w:pos="562"/>
        </w:tabs>
        <w:rPr>
          <w:del w:id="3939" w:author="AbbVie19" w:date="2025-04-16T10:42:00Z"/>
        </w:rPr>
      </w:pPr>
    </w:p>
    <w:p w14:paraId="4B34B1E7" w14:textId="77777777" w:rsidR="00BC0E7E" w:rsidRPr="00BC0E7E" w:rsidRDefault="00944B8F" w:rsidP="00762FA7">
      <w:pPr>
        <w:tabs>
          <w:tab w:val="clear" w:pos="562"/>
        </w:tabs>
        <w:rPr>
          <w:del w:id="3940" w:author="AbbVie19" w:date="2025-04-16T10:42:00Z"/>
        </w:rPr>
      </w:pPr>
      <w:del w:id="3941" w:author="AbbVie19" w:date="2025-04-16T10:42:00Z">
        <w:r w:rsidRPr="00BC0E7E">
          <w:delText>Glucocorticoids, salicylates, non</w:delText>
        </w:r>
        <w:r w:rsidR="00E14247">
          <w:delText>-</w:delText>
        </w:r>
        <w:r w:rsidRPr="00BC0E7E">
          <w:delText>steroidal anti-inflammatory drugs, or analgesics can be continued during treatment with Humira. Regarding combination with disease modifying anti-rheumatic drugs other than methotrexate see sections 4.4 and 5.1.</w:delText>
        </w:r>
      </w:del>
    </w:p>
    <w:p w14:paraId="3F99BDCA" w14:textId="77777777" w:rsidR="00BC0E7E" w:rsidRPr="00BC0E7E" w:rsidRDefault="00BC0E7E" w:rsidP="00762FA7">
      <w:pPr>
        <w:rPr>
          <w:del w:id="3942" w:author="AbbVie19" w:date="2025-04-16T10:42:00Z"/>
        </w:rPr>
      </w:pPr>
    </w:p>
    <w:p w14:paraId="0812C42E" w14:textId="77777777" w:rsidR="00BC0E7E" w:rsidRPr="00BC0E7E" w:rsidRDefault="00944B8F" w:rsidP="00762FA7">
      <w:pPr>
        <w:rPr>
          <w:del w:id="3943" w:author="AbbVie19" w:date="2025-04-16T10:42:00Z"/>
        </w:rPr>
      </w:pPr>
      <w:del w:id="3944" w:author="AbbVie19" w:date="2025-04-16T10:42:00Z">
        <w:r w:rsidRPr="00BC0E7E">
          <w:delText xml:space="preserve">In monotherapy, some patients who experience a decrease in their response </w:delText>
        </w:r>
        <w:r w:rsidR="000C2195">
          <w:delText>to Humira 40</w:delText>
        </w:r>
        <w:r w:rsidR="00E6118C">
          <w:delText> </w:delText>
        </w:r>
        <w:r w:rsidR="000C2195">
          <w:delText xml:space="preserve">mg every other week </w:delText>
        </w:r>
        <w:r w:rsidRPr="00BC0E7E">
          <w:delText>may benefit from an increase in dos</w:delText>
        </w:r>
        <w:r w:rsidR="000C2195">
          <w:delText>ag</w:delText>
        </w:r>
        <w:r w:rsidRPr="00BC0E7E">
          <w:delText>e to 40 mg adalimumab every week</w:delText>
        </w:r>
        <w:r w:rsidR="000C2195">
          <w:delText xml:space="preserve"> or 80</w:delText>
        </w:r>
        <w:r w:rsidR="00E6118C">
          <w:delText> </w:delText>
        </w:r>
        <w:r w:rsidR="000C2195">
          <w:delText>mg every other week</w:delText>
        </w:r>
        <w:r w:rsidRPr="00BC0E7E">
          <w:delText xml:space="preserve">. </w:delText>
        </w:r>
      </w:del>
    </w:p>
    <w:p w14:paraId="52FCCB5D" w14:textId="77777777" w:rsidR="00BC0E7E" w:rsidRPr="00BC0E7E" w:rsidRDefault="00BC0E7E" w:rsidP="00762FA7">
      <w:pPr>
        <w:rPr>
          <w:del w:id="3945" w:author="AbbVie19" w:date="2025-04-16T10:42:00Z"/>
        </w:rPr>
      </w:pPr>
    </w:p>
    <w:p w14:paraId="47128088" w14:textId="77777777" w:rsidR="00BC0E7E" w:rsidRPr="00BC0E7E" w:rsidRDefault="00944B8F" w:rsidP="00762FA7">
      <w:pPr>
        <w:rPr>
          <w:del w:id="3946" w:author="AbbVie19" w:date="2025-04-16T10:42:00Z"/>
        </w:rPr>
      </w:pPr>
      <w:del w:id="3947" w:author="AbbVie19" w:date="2025-04-16T10:42:00Z">
        <w:r w:rsidRPr="00BC0E7E">
          <w:delText>Available data suggest that the clinical response is usually achieved within 12 weeks of treatment. Continued therapy should be reconsidered in a patient not responding within this time period.</w:delText>
        </w:r>
      </w:del>
    </w:p>
    <w:p w14:paraId="2BD9C1C4" w14:textId="77777777" w:rsidR="00BC0E7E" w:rsidRDefault="00BC0E7E" w:rsidP="00762FA7">
      <w:pPr>
        <w:rPr>
          <w:del w:id="3948" w:author="AbbVie19" w:date="2025-04-16T10:42:00Z"/>
        </w:rPr>
      </w:pPr>
    </w:p>
    <w:p w14:paraId="5BEB464E" w14:textId="77777777" w:rsidR="000C2195" w:rsidRDefault="00944B8F" w:rsidP="00762FA7">
      <w:pPr>
        <w:rPr>
          <w:del w:id="3949" w:author="AbbVie19" w:date="2025-04-16T10:42:00Z"/>
        </w:rPr>
      </w:pPr>
      <w:del w:id="3950" w:author="AbbVie19" w:date="2025-04-16T10:42:00Z">
        <w:r w:rsidRPr="004B1BA6">
          <w:delText>Humira may be available in other strengths and/or presentations depending on the individual treatment needs.</w:delText>
        </w:r>
      </w:del>
    </w:p>
    <w:p w14:paraId="6BF510D3" w14:textId="77777777" w:rsidR="000C2195" w:rsidRPr="00BC0E7E" w:rsidRDefault="000C2195" w:rsidP="00762FA7">
      <w:pPr>
        <w:rPr>
          <w:del w:id="3951" w:author="AbbVie19" w:date="2025-04-16T10:42:00Z"/>
        </w:rPr>
      </w:pPr>
    </w:p>
    <w:p w14:paraId="33935D79" w14:textId="77777777" w:rsidR="00BC0E7E" w:rsidRPr="00BC0E7E" w:rsidRDefault="00944B8F" w:rsidP="00762FA7">
      <w:pPr>
        <w:rPr>
          <w:del w:id="3952" w:author="AbbVie19" w:date="2025-04-16T10:42:00Z"/>
          <w:i/>
        </w:rPr>
      </w:pPr>
      <w:del w:id="3953" w:author="AbbVie19" w:date="2025-04-16T10:42:00Z">
        <w:r w:rsidRPr="00BC0E7E">
          <w:rPr>
            <w:i/>
            <w:u w:val="single"/>
          </w:rPr>
          <w:delText>Dose interruption</w:delText>
        </w:r>
      </w:del>
    </w:p>
    <w:p w14:paraId="3775B74F" w14:textId="77777777" w:rsidR="00BC0E7E" w:rsidRPr="00BC0E7E" w:rsidRDefault="00BC0E7E" w:rsidP="00762FA7">
      <w:pPr>
        <w:rPr>
          <w:del w:id="3954" w:author="AbbVie19" w:date="2025-04-16T10:42:00Z"/>
          <w:szCs w:val="20"/>
        </w:rPr>
      </w:pPr>
    </w:p>
    <w:p w14:paraId="3A062F10" w14:textId="77777777" w:rsidR="00BC0E7E" w:rsidRPr="00BC0E7E" w:rsidRDefault="00944B8F" w:rsidP="00762FA7">
      <w:pPr>
        <w:rPr>
          <w:del w:id="3955" w:author="AbbVie19" w:date="2025-04-16T10:42:00Z"/>
          <w:szCs w:val="20"/>
        </w:rPr>
      </w:pPr>
      <w:del w:id="3956" w:author="AbbVie19" w:date="2025-04-16T10:42:00Z">
        <w:r w:rsidRPr="00BC0E7E">
          <w:rPr>
            <w:bCs/>
            <w:iCs/>
            <w:szCs w:val="22"/>
          </w:rPr>
          <w:delText>There may be a need for dose interruption, for instance before surgery or if a serious infection occurs.</w:delText>
        </w:r>
      </w:del>
    </w:p>
    <w:p w14:paraId="1A4838BB" w14:textId="77777777" w:rsidR="00BC0E7E" w:rsidRPr="00BC0E7E" w:rsidRDefault="00BC0E7E" w:rsidP="00762FA7">
      <w:pPr>
        <w:rPr>
          <w:del w:id="3957" w:author="AbbVie19" w:date="2025-04-16T10:42:00Z"/>
        </w:rPr>
      </w:pPr>
    </w:p>
    <w:p w14:paraId="5FB50F16" w14:textId="77777777" w:rsidR="00BC0E7E" w:rsidRPr="00BC0E7E" w:rsidRDefault="00944B8F" w:rsidP="00762FA7">
      <w:pPr>
        <w:rPr>
          <w:del w:id="3958" w:author="AbbVie19" w:date="2025-04-16T10:42:00Z"/>
        </w:rPr>
      </w:pPr>
      <w:del w:id="3959" w:author="AbbVie19" w:date="2025-04-16T10:42:00Z">
        <w:r w:rsidRPr="00BC0E7E">
          <w:delText>Available data suggest that re-introduction of Humira after discontinuation for 70 days or longer resulted in the same magnitudes of clinical response and similar safety profile as before dose interruption.</w:delText>
        </w:r>
      </w:del>
    </w:p>
    <w:p w14:paraId="40109ED3" w14:textId="77777777" w:rsidR="00BC0E7E" w:rsidRPr="00BC0E7E" w:rsidRDefault="00BC0E7E" w:rsidP="00762FA7">
      <w:pPr>
        <w:rPr>
          <w:del w:id="3960" w:author="AbbVie19" w:date="2025-04-16T10:42:00Z"/>
        </w:rPr>
      </w:pPr>
    </w:p>
    <w:p w14:paraId="58A9EAB4" w14:textId="77777777" w:rsidR="00BC0E7E" w:rsidRPr="00BC0E7E" w:rsidRDefault="00944B8F" w:rsidP="00762FA7">
      <w:pPr>
        <w:keepNext/>
        <w:rPr>
          <w:del w:id="3961" w:author="AbbVie19" w:date="2025-04-16T10:42:00Z"/>
          <w:i/>
          <w:szCs w:val="20"/>
        </w:rPr>
      </w:pPr>
      <w:del w:id="3962" w:author="AbbVie19" w:date="2025-04-16T10:42:00Z">
        <w:r w:rsidRPr="00BC0E7E">
          <w:rPr>
            <w:i/>
            <w:szCs w:val="20"/>
          </w:rPr>
          <w:delText>Ankylosing spondylitis, axial spondyloarthritis without radiographic evidence of AS and psoriatic arthritis</w:delText>
        </w:r>
      </w:del>
    </w:p>
    <w:p w14:paraId="099DE45E" w14:textId="77777777" w:rsidR="00BC0E7E" w:rsidRPr="00BC0E7E" w:rsidRDefault="00BC0E7E" w:rsidP="00762FA7">
      <w:pPr>
        <w:rPr>
          <w:del w:id="3963" w:author="AbbVie19" w:date="2025-04-16T10:42:00Z"/>
          <w:szCs w:val="20"/>
        </w:rPr>
      </w:pPr>
    </w:p>
    <w:p w14:paraId="094EAFFC" w14:textId="77777777" w:rsidR="00BC0E7E" w:rsidRPr="00BC0E7E" w:rsidRDefault="00944B8F" w:rsidP="00762FA7">
      <w:pPr>
        <w:keepNext/>
        <w:rPr>
          <w:del w:id="3964" w:author="AbbVie19" w:date="2025-04-16T10:42:00Z"/>
          <w:szCs w:val="20"/>
        </w:rPr>
      </w:pPr>
      <w:del w:id="3965" w:author="AbbVie19" w:date="2025-04-16T10:42:00Z">
        <w:r w:rsidRPr="00BC0E7E">
          <w:rPr>
            <w:szCs w:val="20"/>
          </w:rPr>
          <w:delText>The recommended dose of Humira for patients with ankylosing spondylitis, axial spondyloarthritis without radiographic evidence of AS and for patients with psoriatic arthritis is 40 mg adalimumab administered every other week as a single dose via subcutaneous injection.</w:delText>
        </w:r>
      </w:del>
    </w:p>
    <w:p w14:paraId="2AC2151D" w14:textId="77777777" w:rsidR="00BC0E7E" w:rsidRPr="00BC0E7E" w:rsidRDefault="00BC0E7E" w:rsidP="00762FA7">
      <w:pPr>
        <w:rPr>
          <w:del w:id="3966" w:author="AbbVie19" w:date="2025-04-16T10:42:00Z"/>
          <w:szCs w:val="20"/>
        </w:rPr>
      </w:pPr>
    </w:p>
    <w:p w14:paraId="72B0C6B5" w14:textId="77777777" w:rsidR="00BC0E7E" w:rsidRPr="00BC0E7E" w:rsidRDefault="00944B8F" w:rsidP="00762FA7">
      <w:pPr>
        <w:rPr>
          <w:del w:id="3967" w:author="AbbVie19" w:date="2025-04-16T10:42:00Z"/>
          <w:szCs w:val="20"/>
        </w:rPr>
      </w:pPr>
      <w:del w:id="3968" w:author="AbbVie19" w:date="2025-04-16T10:42:00Z">
        <w:r w:rsidRPr="00BC0E7E">
          <w:rPr>
            <w:szCs w:val="20"/>
          </w:rPr>
          <w:delText>Available data suggest that the clinical response is usually achieved within 12 weeks of treatment. Continued therapy should be reconsidered in a patient not responding within this time period.</w:delText>
        </w:r>
      </w:del>
    </w:p>
    <w:p w14:paraId="02C41168" w14:textId="77777777" w:rsidR="00BC0E7E" w:rsidRPr="00BC0E7E" w:rsidRDefault="00BC0E7E" w:rsidP="00762FA7">
      <w:pPr>
        <w:rPr>
          <w:del w:id="3969" w:author="AbbVie19" w:date="2025-04-16T10:42:00Z"/>
          <w:szCs w:val="20"/>
        </w:rPr>
      </w:pPr>
    </w:p>
    <w:p w14:paraId="36DC7BCD" w14:textId="77777777" w:rsidR="00BC0E7E" w:rsidRPr="00BC0E7E" w:rsidRDefault="00944B8F" w:rsidP="00762FA7">
      <w:pPr>
        <w:keepNext/>
        <w:tabs>
          <w:tab w:val="clear" w:pos="562"/>
        </w:tabs>
        <w:suppressAutoHyphens w:val="0"/>
        <w:overflowPunct w:val="0"/>
        <w:autoSpaceDE w:val="0"/>
        <w:autoSpaceDN w:val="0"/>
        <w:adjustRightInd w:val="0"/>
        <w:textAlignment w:val="baseline"/>
        <w:rPr>
          <w:del w:id="3970" w:author="AbbVie19" w:date="2025-04-16T10:42:00Z"/>
          <w:bCs/>
          <w:i/>
          <w:iCs/>
          <w:szCs w:val="20"/>
        </w:rPr>
      </w:pPr>
      <w:del w:id="3971" w:author="AbbVie19" w:date="2025-04-16T10:42:00Z">
        <w:r w:rsidRPr="00BC0E7E">
          <w:rPr>
            <w:bCs/>
            <w:i/>
            <w:iCs/>
            <w:szCs w:val="20"/>
          </w:rPr>
          <w:delText>Psoriasis</w:delText>
        </w:r>
      </w:del>
    </w:p>
    <w:p w14:paraId="43864A15" w14:textId="77777777" w:rsidR="00BC0E7E" w:rsidRPr="00BC0E7E" w:rsidRDefault="00BC0E7E" w:rsidP="00762FA7">
      <w:pPr>
        <w:keepNext/>
        <w:tabs>
          <w:tab w:val="clear" w:pos="562"/>
        </w:tabs>
        <w:suppressAutoHyphens w:val="0"/>
        <w:overflowPunct w:val="0"/>
        <w:autoSpaceDE w:val="0"/>
        <w:autoSpaceDN w:val="0"/>
        <w:adjustRightInd w:val="0"/>
        <w:textAlignment w:val="baseline"/>
        <w:rPr>
          <w:del w:id="3972" w:author="AbbVie19" w:date="2025-04-16T10:42:00Z"/>
          <w:bCs/>
          <w:iCs/>
          <w:szCs w:val="20"/>
        </w:rPr>
      </w:pPr>
    </w:p>
    <w:p w14:paraId="11D4D39C" w14:textId="77777777" w:rsidR="00BC0E7E" w:rsidRPr="00BC0E7E" w:rsidRDefault="00944B8F" w:rsidP="00762FA7">
      <w:pPr>
        <w:keepNext/>
        <w:rPr>
          <w:del w:id="3973" w:author="AbbVie19" w:date="2025-04-16T10:42:00Z"/>
        </w:rPr>
      </w:pPr>
      <w:del w:id="3974" w:author="AbbVie19" w:date="2025-04-16T10:42:00Z">
        <w:r w:rsidRPr="00BC0E7E">
          <w:delText>The recommended dose of Humira for adult patients is an initial dose of 80 mg administered subcutaneously, followed by 40 mg subcutaneously given every other week starting one week after the initial dose.</w:delText>
        </w:r>
      </w:del>
    </w:p>
    <w:p w14:paraId="2CC6C231" w14:textId="77777777" w:rsidR="00BC0E7E" w:rsidRPr="00BC0E7E" w:rsidRDefault="00BC0E7E" w:rsidP="00762FA7">
      <w:pPr>
        <w:rPr>
          <w:del w:id="3975" w:author="AbbVie19" w:date="2025-04-16T10:42:00Z"/>
          <w:szCs w:val="20"/>
        </w:rPr>
      </w:pPr>
    </w:p>
    <w:p w14:paraId="6014A651" w14:textId="77777777" w:rsidR="00BC0E7E" w:rsidRPr="00BC0E7E" w:rsidRDefault="00944B8F" w:rsidP="00762FA7">
      <w:pPr>
        <w:rPr>
          <w:del w:id="3976" w:author="AbbVie19" w:date="2025-04-16T10:42:00Z"/>
          <w:szCs w:val="20"/>
        </w:rPr>
      </w:pPr>
      <w:del w:id="3977" w:author="AbbVie19" w:date="2025-04-16T10:42:00Z">
        <w:r w:rsidRPr="00BC0E7E">
          <w:rPr>
            <w:szCs w:val="20"/>
          </w:rPr>
          <w:delText>Continued therapy beyond 16 weeks should be carefully reconsidered in a patient not responding within this time period.</w:delText>
        </w:r>
      </w:del>
    </w:p>
    <w:p w14:paraId="133D6D6F" w14:textId="77777777" w:rsidR="00BC0E7E" w:rsidRPr="00BC0E7E" w:rsidRDefault="00BC0E7E" w:rsidP="00762FA7">
      <w:pPr>
        <w:rPr>
          <w:del w:id="3978" w:author="AbbVie19" w:date="2025-04-16T10:42:00Z"/>
          <w:szCs w:val="20"/>
        </w:rPr>
      </w:pPr>
    </w:p>
    <w:p w14:paraId="369C0667" w14:textId="77777777" w:rsidR="00BC0E7E" w:rsidRPr="00BC0E7E" w:rsidRDefault="00944B8F" w:rsidP="00762FA7">
      <w:pPr>
        <w:rPr>
          <w:del w:id="3979" w:author="AbbVie19" w:date="2025-04-16T10:42:00Z"/>
          <w:szCs w:val="22"/>
        </w:rPr>
      </w:pPr>
      <w:del w:id="3980" w:author="AbbVie19" w:date="2025-04-16T10:42:00Z">
        <w:r w:rsidRPr="00BC0E7E">
          <w:rPr>
            <w:rFonts w:cs="Calibri"/>
            <w:szCs w:val="22"/>
          </w:rPr>
          <w:delText xml:space="preserve">Beyond 16 weeks, patients with inadequate response </w:delText>
        </w:r>
        <w:r w:rsidR="00C04E61">
          <w:rPr>
            <w:rFonts w:cs="Calibri"/>
            <w:szCs w:val="22"/>
          </w:rPr>
          <w:delText>to Humira 40</w:delText>
        </w:r>
        <w:r w:rsidR="00E6118C">
          <w:rPr>
            <w:rFonts w:cs="Calibri"/>
            <w:szCs w:val="22"/>
          </w:rPr>
          <w:delText> </w:delText>
        </w:r>
        <w:r w:rsidR="00C04E61">
          <w:rPr>
            <w:rFonts w:cs="Calibri"/>
            <w:szCs w:val="22"/>
          </w:rPr>
          <w:delText xml:space="preserve">mg every other week </w:delText>
        </w:r>
        <w:r w:rsidRPr="00BC0E7E">
          <w:rPr>
            <w:rFonts w:cs="Calibri"/>
            <w:szCs w:val="22"/>
          </w:rPr>
          <w:delText>may benefit from an increase in dos</w:delText>
        </w:r>
        <w:r w:rsidR="00C04E61">
          <w:rPr>
            <w:rFonts w:cs="Calibri"/>
            <w:szCs w:val="22"/>
          </w:rPr>
          <w:delText>age</w:delText>
        </w:r>
        <w:r w:rsidRPr="00BC0E7E">
          <w:rPr>
            <w:rFonts w:cs="Calibri"/>
            <w:szCs w:val="22"/>
          </w:rPr>
          <w:delText xml:space="preserve"> to 40 mg every week</w:delText>
        </w:r>
        <w:r w:rsidR="00C04E61">
          <w:rPr>
            <w:rFonts w:cs="Calibri"/>
            <w:szCs w:val="22"/>
          </w:rPr>
          <w:delText xml:space="preserve"> or 80</w:delText>
        </w:r>
        <w:r w:rsidR="00E6118C">
          <w:rPr>
            <w:rFonts w:cs="Calibri"/>
            <w:szCs w:val="22"/>
          </w:rPr>
          <w:delText> </w:delText>
        </w:r>
        <w:r w:rsidR="00C04E61">
          <w:rPr>
            <w:rFonts w:cs="Calibri"/>
            <w:szCs w:val="22"/>
          </w:rPr>
          <w:delText>mg every other week</w:delText>
        </w:r>
        <w:r w:rsidRPr="00BC0E7E">
          <w:rPr>
            <w:rFonts w:cs="Calibri"/>
            <w:szCs w:val="22"/>
          </w:rPr>
          <w:delText>. The benefits and risks of continued</w:delText>
        </w:r>
        <w:r w:rsidR="00C04E61">
          <w:rPr>
            <w:rFonts w:cs="Calibri"/>
            <w:szCs w:val="22"/>
          </w:rPr>
          <w:delText xml:space="preserve"> 40</w:delText>
        </w:r>
        <w:r w:rsidR="00E6118C">
          <w:rPr>
            <w:rFonts w:cs="Calibri"/>
            <w:szCs w:val="22"/>
          </w:rPr>
          <w:delText> </w:delText>
        </w:r>
        <w:r w:rsidR="00C04E61">
          <w:rPr>
            <w:rFonts w:cs="Calibri"/>
            <w:szCs w:val="22"/>
          </w:rPr>
          <w:delText>mg</w:delText>
        </w:r>
        <w:r w:rsidRPr="00BC0E7E">
          <w:rPr>
            <w:rFonts w:cs="Calibri"/>
            <w:szCs w:val="22"/>
          </w:rPr>
          <w:delText xml:space="preserve"> weekly </w:delText>
        </w:r>
        <w:r w:rsidR="00C04E61">
          <w:rPr>
            <w:rFonts w:cs="Calibri"/>
            <w:szCs w:val="22"/>
          </w:rPr>
          <w:delText>or 80</w:delText>
        </w:r>
        <w:r w:rsidR="00E6118C">
          <w:rPr>
            <w:rFonts w:cs="Calibri"/>
            <w:szCs w:val="22"/>
          </w:rPr>
          <w:delText> </w:delText>
        </w:r>
        <w:r w:rsidR="00C04E61">
          <w:rPr>
            <w:rFonts w:cs="Calibri"/>
            <w:szCs w:val="22"/>
          </w:rPr>
          <w:delText>mg every other week</w:delText>
        </w:r>
        <w:r w:rsidRPr="00BC0E7E">
          <w:rPr>
            <w:rFonts w:cs="Calibri"/>
            <w:szCs w:val="22"/>
          </w:rPr>
          <w:delText xml:space="preserve"> therapy should be carefully reconsidered in a patient with an inadequate response after the increase in dos</w:delText>
        </w:r>
        <w:r w:rsidR="00C04E61">
          <w:rPr>
            <w:rFonts w:cs="Calibri"/>
            <w:szCs w:val="22"/>
          </w:rPr>
          <w:delText>age</w:delText>
        </w:r>
        <w:r w:rsidRPr="00BC0E7E">
          <w:rPr>
            <w:rFonts w:cs="Calibri"/>
            <w:szCs w:val="22"/>
          </w:rPr>
          <w:delText xml:space="preserve"> (see section 5.1).</w:delText>
        </w:r>
        <w:r w:rsidRPr="00BC0E7E">
          <w:rPr>
            <w:szCs w:val="22"/>
          </w:rPr>
          <w:delText xml:space="preserve"> If adequate response is achieved with </w:delText>
        </w:r>
        <w:r w:rsidR="00C04E61">
          <w:rPr>
            <w:szCs w:val="22"/>
          </w:rPr>
          <w:delText>40</w:delText>
        </w:r>
        <w:r w:rsidR="00E6118C">
          <w:rPr>
            <w:szCs w:val="22"/>
          </w:rPr>
          <w:delText> </w:delText>
        </w:r>
        <w:r w:rsidR="00C04E61">
          <w:rPr>
            <w:szCs w:val="22"/>
          </w:rPr>
          <w:delText>mg every week or 80</w:delText>
        </w:r>
        <w:r w:rsidR="00E6118C">
          <w:rPr>
            <w:szCs w:val="22"/>
          </w:rPr>
          <w:delText> </w:delText>
        </w:r>
        <w:r w:rsidR="00C04E61">
          <w:rPr>
            <w:szCs w:val="22"/>
          </w:rPr>
          <w:delText>mg every other wee</w:delText>
        </w:r>
        <w:r w:rsidR="00050234">
          <w:rPr>
            <w:szCs w:val="22"/>
          </w:rPr>
          <w:delText>k</w:delText>
        </w:r>
        <w:r w:rsidR="00C04E61">
          <w:rPr>
            <w:szCs w:val="22"/>
          </w:rPr>
          <w:delText xml:space="preserve">, </w:delText>
        </w:r>
        <w:r w:rsidRPr="00BC0E7E">
          <w:rPr>
            <w:szCs w:val="22"/>
          </w:rPr>
          <w:delText>the dos</w:delText>
        </w:r>
        <w:r w:rsidR="00C04E61">
          <w:rPr>
            <w:szCs w:val="22"/>
          </w:rPr>
          <w:delText>ag</w:delText>
        </w:r>
        <w:r w:rsidRPr="00BC0E7E">
          <w:rPr>
            <w:szCs w:val="22"/>
          </w:rPr>
          <w:delText>e may subsequently be reduced to 40</w:delText>
        </w:r>
        <w:r w:rsidRPr="00BC0E7E">
          <w:delText> </w:delText>
        </w:r>
        <w:r w:rsidRPr="00BC0E7E">
          <w:rPr>
            <w:szCs w:val="22"/>
          </w:rPr>
          <w:delText>mg every other week.</w:delText>
        </w:r>
      </w:del>
    </w:p>
    <w:p w14:paraId="1AAE7769" w14:textId="77777777" w:rsidR="00BC0E7E" w:rsidRDefault="00BC0E7E" w:rsidP="00762FA7">
      <w:pPr>
        <w:rPr>
          <w:del w:id="3981" w:author="AbbVie19" w:date="2025-04-16T10:42:00Z"/>
          <w:szCs w:val="20"/>
          <w:u w:val="single"/>
        </w:rPr>
      </w:pPr>
    </w:p>
    <w:p w14:paraId="3227B064" w14:textId="77777777" w:rsidR="00351613" w:rsidRDefault="00944B8F" w:rsidP="00762FA7">
      <w:pPr>
        <w:rPr>
          <w:del w:id="3982" w:author="AbbVie19" w:date="2025-04-16T10:42:00Z"/>
          <w:szCs w:val="20"/>
          <w:u w:val="single"/>
        </w:rPr>
      </w:pPr>
      <w:del w:id="3983" w:author="AbbVie19" w:date="2025-04-16T10:42:00Z">
        <w:r w:rsidRPr="00D21ABE">
          <w:delText>Humira may be available in other strengths and/or presentations depending on the individual treatment needs.</w:delText>
        </w:r>
      </w:del>
    </w:p>
    <w:p w14:paraId="37A6BD7A" w14:textId="77777777" w:rsidR="00351613" w:rsidRPr="00BC0E7E" w:rsidRDefault="00351613" w:rsidP="00762FA7">
      <w:pPr>
        <w:rPr>
          <w:del w:id="3984" w:author="AbbVie19" w:date="2025-04-16T10:42:00Z"/>
          <w:szCs w:val="20"/>
          <w:u w:val="single"/>
        </w:rPr>
      </w:pPr>
    </w:p>
    <w:p w14:paraId="12BFC04C" w14:textId="77777777" w:rsidR="00BC0E7E" w:rsidRPr="00BC0E7E" w:rsidRDefault="00944B8F" w:rsidP="00762FA7">
      <w:pPr>
        <w:keepNext/>
        <w:rPr>
          <w:del w:id="3985" w:author="AbbVie19" w:date="2025-04-16T10:42:00Z"/>
          <w:i/>
          <w:szCs w:val="20"/>
        </w:rPr>
      </w:pPr>
      <w:del w:id="3986" w:author="AbbVie19" w:date="2025-04-16T10:42:00Z">
        <w:r w:rsidRPr="00BC0E7E">
          <w:rPr>
            <w:i/>
            <w:szCs w:val="20"/>
          </w:rPr>
          <w:lastRenderedPageBreak/>
          <w:delText>Hidradenitis suppurativa</w:delText>
        </w:r>
      </w:del>
    </w:p>
    <w:p w14:paraId="6140E851" w14:textId="77777777" w:rsidR="00BC0E7E" w:rsidRPr="00BC0E7E" w:rsidRDefault="00BC0E7E" w:rsidP="00762FA7">
      <w:pPr>
        <w:keepNext/>
        <w:rPr>
          <w:del w:id="3987" w:author="AbbVie19" w:date="2025-04-16T10:42:00Z"/>
          <w:szCs w:val="20"/>
          <w:u w:val="single"/>
        </w:rPr>
      </w:pPr>
    </w:p>
    <w:p w14:paraId="121D5AEC" w14:textId="77777777" w:rsidR="00BC0E7E" w:rsidRPr="00BC0E7E" w:rsidRDefault="00944B8F" w:rsidP="00762FA7">
      <w:pPr>
        <w:keepNext/>
        <w:rPr>
          <w:del w:id="3988" w:author="AbbVie19" w:date="2025-04-16T10:42:00Z"/>
          <w:szCs w:val="20"/>
        </w:rPr>
      </w:pPr>
      <w:del w:id="3989" w:author="AbbVie19" w:date="2025-04-16T10:42:00Z">
        <w:r w:rsidRPr="00BC0E7E">
          <w:rPr>
            <w:szCs w:val="20"/>
          </w:rPr>
          <w:delText>The recommended Humira dose regimen for adult patients with hidradenitis suppurativa (HS) is 160 mg initially at Day 1 (given as four 40 mg injections in one day or as two 40 mg injections per day for two consecutive days), followed by 80 mg two weeks later at Day 15 (given as two 40 mg injections in one day). Two weeks later (Day 29) continue with a dose of 40 mg every week</w:delText>
        </w:r>
        <w:r w:rsidR="00E34FE0">
          <w:rPr>
            <w:szCs w:val="20"/>
          </w:rPr>
          <w:delText xml:space="preserve"> or 80</w:delText>
        </w:r>
        <w:r w:rsidR="00E6118C">
          <w:rPr>
            <w:szCs w:val="20"/>
          </w:rPr>
          <w:delText> </w:delText>
        </w:r>
        <w:r w:rsidR="00E34FE0">
          <w:rPr>
            <w:szCs w:val="20"/>
          </w:rPr>
          <w:delText>mg every other week (given as two 40</w:delText>
        </w:r>
        <w:r w:rsidR="00E6118C">
          <w:rPr>
            <w:szCs w:val="20"/>
          </w:rPr>
          <w:delText> </w:delText>
        </w:r>
        <w:r w:rsidR="00E34FE0">
          <w:rPr>
            <w:szCs w:val="20"/>
          </w:rPr>
          <w:delText>mg injections in one day)</w:delText>
        </w:r>
        <w:r w:rsidRPr="00BC0E7E">
          <w:rPr>
            <w:szCs w:val="20"/>
          </w:rPr>
          <w:delText>. Antibiotics may be continued during treatment with Humira if necessary. It is recommended that the patient should use a topical antiseptic wash on their HS lesions on a daily basis during treatment with Humira.</w:delText>
        </w:r>
      </w:del>
    </w:p>
    <w:p w14:paraId="0B35CE01" w14:textId="77777777" w:rsidR="00BC0E7E" w:rsidRPr="00BC0E7E" w:rsidRDefault="00BC0E7E" w:rsidP="00762FA7">
      <w:pPr>
        <w:rPr>
          <w:del w:id="3990" w:author="AbbVie19" w:date="2025-04-16T10:42:00Z"/>
          <w:szCs w:val="20"/>
        </w:rPr>
      </w:pPr>
    </w:p>
    <w:p w14:paraId="2A2CADAB" w14:textId="77777777" w:rsidR="00BC0E7E" w:rsidRPr="00BC0E7E" w:rsidRDefault="00944B8F" w:rsidP="00762FA7">
      <w:pPr>
        <w:rPr>
          <w:del w:id="3991" w:author="AbbVie19" w:date="2025-04-16T10:42:00Z"/>
          <w:szCs w:val="20"/>
        </w:rPr>
      </w:pPr>
      <w:del w:id="3992" w:author="AbbVie19" w:date="2025-04-16T10:42:00Z">
        <w:r w:rsidRPr="00BC0E7E">
          <w:rPr>
            <w:szCs w:val="20"/>
          </w:rPr>
          <w:delText xml:space="preserve">Continued therapy beyond 12 weeks should be carefully reconsidered in a patient with no improvement within this time period.  </w:delText>
        </w:r>
      </w:del>
    </w:p>
    <w:p w14:paraId="0F0F4088" w14:textId="77777777" w:rsidR="00BC0E7E" w:rsidRPr="00BC0E7E" w:rsidRDefault="00BC0E7E" w:rsidP="00762FA7">
      <w:pPr>
        <w:rPr>
          <w:del w:id="3993" w:author="AbbVie19" w:date="2025-04-16T10:42:00Z"/>
          <w:szCs w:val="20"/>
        </w:rPr>
      </w:pPr>
    </w:p>
    <w:p w14:paraId="572B58DA" w14:textId="77777777" w:rsidR="00BC0E7E" w:rsidRPr="00BC0E7E" w:rsidRDefault="00944B8F" w:rsidP="00762FA7">
      <w:pPr>
        <w:rPr>
          <w:del w:id="3994" w:author="AbbVie19" w:date="2025-04-16T10:42:00Z"/>
          <w:szCs w:val="20"/>
        </w:rPr>
      </w:pPr>
      <w:del w:id="3995" w:author="AbbVie19" w:date="2025-04-16T10:42:00Z">
        <w:r w:rsidRPr="00BC0E7E">
          <w:rPr>
            <w:szCs w:val="20"/>
          </w:rPr>
          <w:delText xml:space="preserve">Should treatment be interrupted, Humira 40 mg every week </w:delText>
        </w:r>
        <w:r w:rsidR="00E34FE0">
          <w:rPr>
            <w:szCs w:val="20"/>
          </w:rPr>
          <w:delText>or 80</w:delText>
        </w:r>
        <w:r w:rsidR="00E6118C">
          <w:rPr>
            <w:szCs w:val="20"/>
          </w:rPr>
          <w:delText> </w:delText>
        </w:r>
        <w:r w:rsidR="00E34FE0">
          <w:rPr>
            <w:szCs w:val="20"/>
          </w:rPr>
          <w:delText xml:space="preserve">mg every other week </w:delText>
        </w:r>
        <w:r w:rsidRPr="00BC0E7E">
          <w:rPr>
            <w:szCs w:val="20"/>
          </w:rPr>
          <w:delText xml:space="preserve">may be re-introduced (see section 5.1). </w:delText>
        </w:r>
      </w:del>
    </w:p>
    <w:p w14:paraId="34FC8CEC" w14:textId="77777777" w:rsidR="00BC0E7E" w:rsidRPr="00BC0E7E" w:rsidRDefault="00BC0E7E" w:rsidP="00762FA7">
      <w:pPr>
        <w:rPr>
          <w:del w:id="3996" w:author="AbbVie19" w:date="2025-04-16T10:42:00Z"/>
          <w:szCs w:val="20"/>
        </w:rPr>
      </w:pPr>
    </w:p>
    <w:p w14:paraId="57B6F886" w14:textId="77777777" w:rsidR="00BC0E7E" w:rsidRPr="00BC0E7E" w:rsidRDefault="00944B8F" w:rsidP="00762FA7">
      <w:pPr>
        <w:rPr>
          <w:del w:id="3997" w:author="AbbVie19" w:date="2025-04-16T10:42:00Z"/>
          <w:szCs w:val="20"/>
        </w:rPr>
      </w:pPr>
      <w:del w:id="3998" w:author="AbbVie19" w:date="2025-04-16T10:42:00Z">
        <w:r w:rsidRPr="00BC0E7E">
          <w:rPr>
            <w:szCs w:val="20"/>
          </w:rPr>
          <w:delText>The benefit and risk of continued long-term treatment should be periodically evaluated (see section 5.1).</w:delText>
        </w:r>
      </w:del>
    </w:p>
    <w:p w14:paraId="21690EC3" w14:textId="77777777" w:rsidR="00BC0E7E" w:rsidRDefault="00BC0E7E" w:rsidP="00762FA7">
      <w:pPr>
        <w:rPr>
          <w:del w:id="3999" w:author="AbbVie19" w:date="2025-04-16T10:42:00Z"/>
          <w:szCs w:val="20"/>
          <w:u w:val="single"/>
        </w:rPr>
      </w:pPr>
    </w:p>
    <w:p w14:paraId="56681FC3" w14:textId="77777777" w:rsidR="00E34FE0" w:rsidRDefault="00944B8F" w:rsidP="00762FA7">
      <w:pPr>
        <w:rPr>
          <w:del w:id="4000" w:author="AbbVie19" w:date="2025-04-16T10:42:00Z"/>
          <w:szCs w:val="20"/>
          <w:u w:val="single"/>
        </w:rPr>
      </w:pPr>
      <w:del w:id="4001" w:author="AbbVie19" w:date="2025-04-16T10:42:00Z">
        <w:r w:rsidRPr="00D21ABE">
          <w:delText>Humira may be available in other strengths and/or presentations depending on the individual treatment needs.</w:delText>
        </w:r>
      </w:del>
    </w:p>
    <w:p w14:paraId="73975C45" w14:textId="77777777" w:rsidR="00E34FE0" w:rsidRPr="00BC0E7E" w:rsidRDefault="00E34FE0" w:rsidP="00762FA7">
      <w:pPr>
        <w:rPr>
          <w:del w:id="4002" w:author="AbbVie19" w:date="2025-04-16T10:42:00Z"/>
          <w:szCs w:val="20"/>
          <w:u w:val="single"/>
        </w:rPr>
      </w:pPr>
    </w:p>
    <w:p w14:paraId="10BBBA81" w14:textId="77777777" w:rsidR="00BC0E7E" w:rsidRPr="00BC0E7E" w:rsidRDefault="00944B8F" w:rsidP="00762FA7">
      <w:pPr>
        <w:keepNext/>
        <w:rPr>
          <w:del w:id="4003" w:author="AbbVie19" w:date="2025-04-16T10:42:00Z"/>
          <w:i/>
          <w:szCs w:val="20"/>
        </w:rPr>
      </w:pPr>
      <w:del w:id="4004" w:author="AbbVie19" w:date="2025-04-16T10:42:00Z">
        <w:r w:rsidRPr="00BC0E7E">
          <w:rPr>
            <w:i/>
            <w:szCs w:val="20"/>
          </w:rPr>
          <w:delText>Crohn’s disease</w:delText>
        </w:r>
      </w:del>
    </w:p>
    <w:p w14:paraId="0CEEAF06" w14:textId="77777777" w:rsidR="00BC0E7E" w:rsidRPr="00BC0E7E" w:rsidRDefault="00BC0E7E" w:rsidP="00762FA7">
      <w:pPr>
        <w:keepNext/>
        <w:rPr>
          <w:del w:id="4005" w:author="AbbVie19" w:date="2025-04-16T10:42:00Z"/>
          <w:szCs w:val="20"/>
        </w:rPr>
      </w:pPr>
    </w:p>
    <w:p w14:paraId="3BBD2995" w14:textId="77777777" w:rsidR="00BC0E7E" w:rsidRPr="00BC0E7E" w:rsidRDefault="00944B8F" w:rsidP="00762FA7">
      <w:pPr>
        <w:keepNext/>
        <w:rPr>
          <w:del w:id="4006" w:author="AbbVie19" w:date="2025-04-16T10:42:00Z"/>
          <w:szCs w:val="20"/>
        </w:rPr>
      </w:pPr>
      <w:del w:id="4007" w:author="AbbVie19" w:date="2025-04-16T10:42:00Z">
        <w:r w:rsidRPr="00BC0E7E">
          <w:rPr>
            <w:szCs w:val="20"/>
          </w:rPr>
          <w:delText>The recommended Humira induction dose regimen for adult patients with moderately to severely active Crohn’s disease is 80 mg at Week 0 followed by 40 mg at Week 2. In case there is a need for a more rapid response to therapy, the regimen 160 mg at Week 0 (</w:delText>
        </w:r>
        <w:r w:rsidR="00934F3B">
          <w:rPr>
            <w:szCs w:val="20"/>
          </w:rPr>
          <w:delText>given</w:delText>
        </w:r>
        <w:r w:rsidRPr="00BC0E7E">
          <w:rPr>
            <w:szCs w:val="20"/>
          </w:rPr>
          <w:delText xml:space="preserve"> as four</w:delText>
        </w:r>
        <w:r w:rsidR="00934F3B">
          <w:rPr>
            <w:szCs w:val="20"/>
          </w:rPr>
          <w:delText xml:space="preserve"> 40</w:delText>
        </w:r>
        <w:r w:rsidR="00E6118C">
          <w:rPr>
            <w:szCs w:val="20"/>
          </w:rPr>
          <w:delText> </w:delText>
        </w:r>
        <w:r w:rsidR="00934F3B">
          <w:rPr>
            <w:szCs w:val="20"/>
          </w:rPr>
          <w:delText>mg</w:delText>
        </w:r>
        <w:r w:rsidRPr="00BC0E7E">
          <w:rPr>
            <w:szCs w:val="20"/>
          </w:rPr>
          <w:delText xml:space="preserve"> injections in one day or as two </w:delText>
        </w:r>
        <w:r w:rsidR="00934F3B">
          <w:rPr>
            <w:szCs w:val="20"/>
          </w:rPr>
          <w:delText>40</w:delText>
        </w:r>
        <w:r w:rsidR="00E6118C">
          <w:rPr>
            <w:szCs w:val="20"/>
          </w:rPr>
          <w:delText> </w:delText>
        </w:r>
        <w:r w:rsidR="00934F3B">
          <w:rPr>
            <w:szCs w:val="20"/>
          </w:rPr>
          <w:delText xml:space="preserve">mg </w:delText>
        </w:r>
        <w:r w:rsidRPr="00BC0E7E">
          <w:rPr>
            <w:szCs w:val="20"/>
          </w:rPr>
          <w:delText>injections per day for two consecutive days),</w:delText>
        </w:r>
        <w:r w:rsidR="003E4C7E">
          <w:rPr>
            <w:szCs w:val="20"/>
          </w:rPr>
          <w:delText xml:space="preserve"> followed by</w:delText>
        </w:r>
        <w:r w:rsidRPr="00BC0E7E">
          <w:rPr>
            <w:szCs w:val="20"/>
          </w:rPr>
          <w:delText xml:space="preserve"> 80 mg at Week 2</w:delText>
        </w:r>
        <w:r w:rsidR="00934F3B">
          <w:rPr>
            <w:szCs w:val="20"/>
          </w:rPr>
          <w:delText xml:space="preserve"> (given as two 40</w:delText>
        </w:r>
        <w:r w:rsidR="00E6118C">
          <w:rPr>
            <w:szCs w:val="20"/>
          </w:rPr>
          <w:delText> </w:delText>
        </w:r>
        <w:r w:rsidR="00934F3B">
          <w:rPr>
            <w:szCs w:val="20"/>
          </w:rPr>
          <w:delText>mg injections in one day)</w:delText>
        </w:r>
        <w:r w:rsidRPr="00BC0E7E">
          <w:rPr>
            <w:szCs w:val="20"/>
          </w:rPr>
          <w:delText>, can be used with the awareness that the risk for adverse events is higher during induction.</w:delText>
        </w:r>
      </w:del>
    </w:p>
    <w:p w14:paraId="62F12001" w14:textId="77777777" w:rsidR="00BC0E7E" w:rsidRPr="00BC0E7E" w:rsidRDefault="00BC0E7E" w:rsidP="00762FA7">
      <w:pPr>
        <w:rPr>
          <w:del w:id="4008" w:author="AbbVie19" w:date="2025-04-16T10:42:00Z"/>
          <w:szCs w:val="20"/>
        </w:rPr>
      </w:pPr>
    </w:p>
    <w:p w14:paraId="5765AF43" w14:textId="77777777" w:rsidR="00BC0E7E" w:rsidRPr="00BC0E7E" w:rsidRDefault="00944B8F" w:rsidP="00762FA7">
      <w:pPr>
        <w:rPr>
          <w:del w:id="4009" w:author="AbbVie19" w:date="2025-04-16T10:42:00Z"/>
          <w:szCs w:val="20"/>
        </w:rPr>
      </w:pPr>
      <w:del w:id="4010" w:author="AbbVie19" w:date="2025-04-16T10:42:00Z">
        <w:r w:rsidRPr="00BC0E7E">
          <w:rPr>
            <w:szCs w:val="20"/>
          </w:rPr>
          <w:delText>After induction treatment, the recommended dose is 40 mg every other week via subcutaneous injection. Alternatively, if a patient has stopped Humira and signs and symptoms of disease recur, Humira may be re</w:delText>
        </w:r>
        <w:r w:rsidRPr="00BC0E7E">
          <w:rPr>
            <w:szCs w:val="20"/>
          </w:rPr>
          <w:noBreakHyphen/>
          <w:delText>administered. There is little experience from re</w:delText>
        </w:r>
        <w:r w:rsidRPr="00BC0E7E">
          <w:rPr>
            <w:szCs w:val="20"/>
          </w:rPr>
          <w:noBreakHyphen/>
          <w:delText>administration after more than 8 weeks since the previous dose.</w:delText>
        </w:r>
      </w:del>
    </w:p>
    <w:p w14:paraId="73018291" w14:textId="77777777" w:rsidR="00BC0E7E" w:rsidRPr="00BC0E7E" w:rsidRDefault="00BC0E7E" w:rsidP="00762FA7">
      <w:pPr>
        <w:rPr>
          <w:del w:id="4011" w:author="AbbVie19" w:date="2025-04-16T10:42:00Z"/>
          <w:szCs w:val="20"/>
        </w:rPr>
      </w:pPr>
    </w:p>
    <w:p w14:paraId="1BFADDBA" w14:textId="77777777" w:rsidR="00BC0E7E" w:rsidRPr="00BC0E7E" w:rsidRDefault="00944B8F" w:rsidP="00762FA7">
      <w:pPr>
        <w:rPr>
          <w:del w:id="4012" w:author="AbbVie19" w:date="2025-04-16T10:42:00Z"/>
          <w:szCs w:val="20"/>
        </w:rPr>
      </w:pPr>
      <w:del w:id="4013" w:author="AbbVie19" w:date="2025-04-16T10:42:00Z">
        <w:r w:rsidRPr="00BC0E7E">
          <w:rPr>
            <w:szCs w:val="20"/>
          </w:rPr>
          <w:delText>During maintenance treatment, corticosteroids may be tapered in accordance with clinical practice guidelines.</w:delText>
        </w:r>
      </w:del>
    </w:p>
    <w:p w14:paraId="0218F587" w14:textId="77777777" w:rsidR="00BC0E7E" w:rsidRPr="00BC0E7E" w:rsidRDefault="00BC0E7E" w:rsidP="00762FA7">
      <w:pPr>
        <w:rPr>
          <w:del w:id="4014" w:author="AbbVie19" w:date="2025-04-16T10:42:00Z"/>
          <w:szCs w:val="20"/>
        </w:rPr>
      </w:pPr>
    </w:p>
    <w:p w14:paraId="128FDE10" w14:textId="77777777" w:rsidR="00BC0E7E" w:rsidRPr="00BC0E7E" w:rsidRDefault="00944B8F" w:rsidP="00762FA7">
      <w:pPr>
        <w:rPr>
          <w:del w:id="4015" w:author="AbbVie19" w:date="2025-04-16T10:42:00Z"/>
          <w:szCs w:val="20"/>
        </w:rPr>
      </w:pPr>
      <w:del w:id="4016" w:author="AbbVie19" w:date="2025-04-16T10:42:00Z">
        <w:r w:rsidRPr="00BC0E7E">
          <w:rPr>
            <w:szCs w:val="20"/>
          </w:rPr>
          <w:delText>Some patients who experience decrease in their response</w:delText>
        </w:r>
        <w:r w:rsidR="00934F3B">
          <w:rPr>
            <w:szCs w:val="20"/>
          </w:rPr>
          <w:delText xml:space="preserve"> to Humira 40</w:delText>
        </w:r>
        <w:r w:rsidR="00E6118C">
          <w:rPr>
            <w:szCs w:val="20"/>
          </w:rPr>
          <w:delText> </w:delText>
        </w:r>
        <w:r w:rsidR="00934F3B">
          <w:rPr>
            <w:szCs w:val="20"/>
          </w:rPr>
          <w:delText>mg every other week</w:delText>
        </w:r>
        <w:r w:rsidRPr="00BC0E7E">
          <w:rPr>
            <w:szCs w:val="20"/>
          </w:rPr>
          <w:delText xml:space="preserve"> may benefit from an increase in dos</w:delText>
        </w:r>
        <w:r w:rsidR="00934F3B">
          <w:rPr>
            <w:szCs w:val="20"/>
          </w:rPr>
          <w:delText>age</w:delText>
        </w:r>
        <w:r w:rsidRPr="00BC0E7E">
          <w:rPr>
            <w:szCs w:val="20"/>
          </w:rPr>
          <w:delText xml:space="preserve"> to 40 mg Humira every week</w:delText>
        </w:r>
        <w:r w:rsidR="00934F3B">
          <w:rPr>
            <w:szCs w:val="20"/>
          </w:rPr>
          <w:delText xml:space="preserve"> or 80</w:delText>
        </w:r>
        <w:r w:rsidR="00E6118C">
          <w:rPr>
            <w:szCs w:val="20"/>
          </w:rPr>
          <w:delText> </w:delText>
        </w:r>
        <w:r w:rsidR="00934F3B">
          <w:rPr>
            <w:szCs w:val="20"/>
          </w:rPr>
          <w:delText>mg every other week</w:delText>
        </w:r>
        <w:r w:rsidRPr="00BC0E7E">
          <w:rPr>
            <w:szCs w:val="20"/>
          </w:rPr>
          <w:delText>.</w:delText>
        </w:r>
      </w:del>
    </w:p>
    <w:p w14:paraId="3446D120" w14:textId="77777777" w:rsidR="00BC0E7E" w:rsidRPr="00BC0E7E" w:rsidRDefault="00BC0E7E" w:rsidP="00762FA7">
      <w:pPr>
        <w:rPr>
          <w:del w:id="4017" w:author="AbbVie19" w:date="2025-04-16T10:42:00Z"/>
          <w:szCs w:val="20"/>
        </w:rPr>
      </w:pPr>
    </w:p>
    <w:p w14:paraId="1BD183C8" w14:textId="77777777" w:rsidR="00BC0E7E" w:rsidRPr="00BC0E7E" w:rsidRDefault="00944B8F" w:rsidP="00762FA7">
      <w:pPr>
        <w:rPr>
          <w:del w:id="4018" w:author="AbbVie19" w:date="2025-04-16T10:42:00Z"/>
          <w:bCs/>
          <w:szCs w:val="20"/>
        </w:rPr>
      </w:pPr>
      <w:del w:id="4019" w:author="AbbVie19" w:date="2025-04-16T10:42:00Z">
        <w:r w:rsidRPr="00BC0E7E">
          <w:rPr>
            <w:bCs/>
            <w:szCs w:val="20"/>
          </w:rPr>
          <w:delText>Some patients who have not responded by Week</w:delText>
        </w:r>
        <w:r w:rsidRPr="00BC0E7E">
          <w:rPr>
            <w:szCs w:val="20"/>
          </w:rPr>
          <w:delText> </w:delText>
        </w:r>
        <w:r w:rsidRPr="00BC0E7E">
          <w:rPr>
            <w:bCs/>
            <w:szCs w:val="20"/>
          </w:rPr>
          <w:delText>4 may benefit from continued maintenance therapy through Week 12. Continued therapy should be carefully reconsidered in a patient not responding within this time period.</w:delText>
        </w:r>
      </w:del>
    </w:p>
    <w:p w14:paraId="4FB94A40" w14:textId="77777777" w:rsidR="00BC0E7E" w:rsidRDefault="00BC0E7E" w:rsidP="00762FA7">
      <w:pPr>
        <w:rPr>
          <w:del w:id="4020" w:author="AbbVie19" w:date="2025-04-16T10:42:00Z"/>
          <w:bCs/>
          <w:szCs w:val="20"/>
        </w:rPr>
      </w:pPr>
    </w:p>
    <w:p w14:paraId="126254BE" w14:textId="77777777" w:rsidR="00934F3B" w:rsidRDefault="00944B8F" w:rsidP="00762FA7">
      <w:pPr>
        <w:rPr>
          <w:del w:id="4021" w:author="AbbVie19" w:date="2025-04-16T10:42:00Z"/>
        </w:rPr>
      </w:pPr>
      <w:del w:id="4022" w:author="AbbVie19" w:date="2025-04-16T10:42:00Z">
        <w:r w:rsidRPr="00D21ABE">
          <w:delText>Humira may be available in other strengths and/or presentations depending on the individual treatment needs</w:delText>
        </w:r>
        <w:r w:rsidR="00623837">
          <w:delText>.</w:delText>
        </w:r>
      </w:del>
    </w:p>
    <w:p w14:paraId="6159A82E" w14:textId="77777777" w:rsidR="00934F3B" w:rsidRPr="00BC0E7E" w:rsidRDefault="00934F3B" w:rsidP="00762FA7">
      <w:pPr>
        <w:rPr>
          <w:del w:id="4023" w:author="AbbVie19" w:date="2025-04-16T10:42:00Z"/>
          <w:bCs/>
          <w:szCs w:val="20"/>
        </w:rPr>
      </w:pPr>
    </w:p>
    <w:p w14:paraId="4795DE87" w14:textId="77777777" w:rsidR="00BC0E7E" w:rsidRPr="00BC0E7E" w:rsidRDefault="00944B8F" w:rsidP="00762FA7">
      <w:pPr>
        <w:keepNext/>
        <w:rPr>
          <w:del w:id="4024" w:author="AbbVie19" w:date="2025-04-16T10:42:00Z"/>
          <w:i/>
          <w:szCs w:val="20"/>
        </w:rPr>
      </w:pPr>
      <w:del w:id="4025" w:author="AbbVie19" w:date="2025-04-16T10:42:00Z">
        <w:r w:rsidRPr="00BC0E7E">
          <w:rPr>
            <w:i/>
            <w:szCs w:val="20"/>
          </w:rPr>
          <w:delText>Ulcerative colitis</w:delText>
        </w:r>
      </w:del>
    </w:p>
    <w:p w14:paraId="5B86B782" w14:textId="77777777" w:rsidR="00BC0E7E" w:rsidRPr="00BC0E7E" w:rsidRDefault="00BC0E7E" w:rsidP="00762FA7">
      <w:pPr>
        <w:keepNext/>
        <w:rPr>
          <w:del w:id="4026" w:author="AbbVie19" w:date="2025-04-16T10:42:00Z"/>
          <w:szCs w:val="20"/>
        </w:rPr>
      </w:pPr>
    </w:p>
    <w:p w14:paraId="5A3AE797" w14:textId="77777777" w:rsidR="00BC0E7E" w:rsidRPr="00BC0E7E" w:rsidRDefault="00944B8F" w:rsidP="00762FA7">
      <w:pPr>
        <w:keepNext/>
        <w:rPr>
          <w:del w:id="4027" w:author="AbbVie19" w:date="2025-04-16T10:42:00Z"/>
          <w:szCs w:val="20"/>
        </w:rPr>
      </w:pPr>
      <w:del w:id="4028" w:author="AbbVie19" w:date="2025-04-16T10:42:00Z">
        <w:r w:rsidRPr="00BC0E7E">
          <w:rPr>
            <w:szCs w:val="20"/>
          </w:rPr>
          <w:delText>The recommended Humira induction dose regimen for adult patients with moderate to severe ulcerative colitis is 160 mg at Week 0 (</w:delText>
        </w:r>
        <w:r w:rsidR="001A21CA">
          <w:rPr>
            <w:szCs w:val="20"/>
          </w:rPr>
          <w:delText>given</w:delText>
        </w:r>
        <w:r w:rsidRPr="00BC0E7E">
          <w:rPr>
            <w:szCs w:val="20"/>
          </w:rPr>
          <w:delText xml:space="preserve"> as four</w:delText>
        </w:r>
        <w:r w:rsidR="001A21CA">
          <w:rPr>
            <w:szCs w:val="20"/>
          </w:rPr>
          <w:delText xml:space="preserve"> 40</w:delText>
        </w:r>
        <w:r w:rsidR="00E6118C">
          <w:rPr>
            <w:szCs w:val="20"/>
          </w:rPr>
          <w:delText> </w:delText>
        </w:r>
        <w:r w:rsidR="001A21CA">
          <w:rPr>
            <w:szCs w:val="20"/>
          </w:rPr>
          <w:delText>mg</w:delText>
        </w:r>
        <w:r w:rsidRPr="00BC0E7E">
          <w:rPr>
            <w:szCs w:val="20"/>
          </w:rPr>
          <w:delText xml:space="preserve"> injections in one day or as two </w:delText>
        </w:r>
        <w:r w:rsidR="001A21CA">
          <w:rPr>
            <w:szCs w:val="20"/>
          </w:rPr>
          <w:delText>40</w:delText>
        </w:r>
        <w:r w:rsidR="00E6118C">
          <w:rPr>
            <w:szCs w:val="20"/>
          </w:rPr>
          <w:delText> </w:delText>
        </w:r>
        <w:r w:rsidR="001A21CA">
          <w:rPr>
            <w:szCs w:val="20"/>
          </w:rPr>
          <w:delText xml:space="preserve">mg </w:delText>
        </w:r>
        <w:r w:rsidRPr="00BC0E7E">
          <w:rPr>
            <w:szCs w:val="20"/>
          </w:rPr>
          <w:delText xml:space="preserve">injections per day </w:delText>
        </w:r>
        <w:r w:rsidRPr="00BC0E7E">
          <w:rPr>
            <w:szCs w:val="20"/>
          </w:rPr>
          <w:lastRenderedPageBreak/>
          <w:delText>for two consecutive days) and 80 mg at Week 2</w:delText>
        </w:r>
        <w:r w:rsidR="001A21CA">
          <w:rPr>
            <w:szCs w:val="20"/>
          </w:rPr>
          <w:delText xml:space="preserve"> (given as two 40</w:delText>
        </w:r>
        <w:r w:rsidR="00E6118C">
          <w:rPr>
            <w:szCs w:val="20"/>
          </w:rPr>
          <w:delText> </w:delText>
        </w:r>
        <w:r w:rsidR="001A21CA">
          <w:rPr>
            <w:szCs w:val="20"/>
          </w:rPr>
          <w:delText>mg injections in one day)</w:delText>
        </w:r>
        <w:r w:rsidRPr="00BC0E7E">
          <w:rPr>
            <w:szCs w:val="20"/>
          </w:rPr>
          <w:delText xml:space="preserve">. After induction treatment, the recommended dose is 40 mg every other week via subcutaneous injection. </w:delText>
        </w:r>
      </w:del>
    </w:p>
    <w:p w14:paraId="20D3853E" w14:textId="77777777" w:rsidR="00BC0E7E" w:rsidRPr="00BC0E7E" w:rsidRDefault="00BC0E7E" w:rsidP="00762FA7">
      <w:pPr>
        <w:keepNext/>
        <w:rPr>
          <w:del w:id="4029" w:author="AbbVie19" w:date="2025-04-16T10:42:00Z"/>
          <w:szCs w:val="20"/>
        </w:rPr>
      </w:pPr>
    </w:p>
    <w:p w14:paraId="6DAB58E3" w14:textId="77777777" w:rsidR="00BC0E7E" w:rsidRPr="00BC0E7E" w:rsidRDefault="00944B8F" w:rsidP="00762FA7">
      <w:pPr>
        <w:rPr>
          <w:del w:id="4030" w:author="AbbVie19" w:date="2025-04-16T10:42:00Z"/>
          <w:szCs w:val="20"/>
        </w:rPr>
      </w:pPr>
      <w:del w:id="4031" w:author="AbbVie19" w:date="2025-04-16T10:42:00Z">
        <w:r w:rsidRPr="00BC0E7E">
          <w:rPr>
            <w:szCs w:val="20"/>
          </w:rPr>
          <w:delText xml:space="preserve">During maintenance treatment, corticosteroids may be tapered in accordance with clinical practice guidelines. </w:delText>
        </w:r>
      </w:del>
    </w:p>
    <w:p w14:paraId="617DF399" w14:textId="77777777" w:rsidR="00BC0E7E" w:rsidRPr="00BC0E7E" w:rsidRDefault="00BC0E7E" w:rsidP="00762FA7">
      <w:pPr>
        <w:rPr>
          <w:del w:id="4032" w:author="AbbVie19" w:date="2025-04-16T10:42:00Z"/>
          <w:szCs w:val="20"/>
        </w:rPr>
      </w:pPr>
    </w:p>
    <w:p w14:paraId="37F72D98" w14:textId="77777777" w:rsidR="00BC0E7E" w:rsidRPr="00BC0E7E" w:rsidRDefault="00944B8F" w:rsidP="00762FA7">
      <w:pPr>
        <w:rPr>
          <w:del w:id="4033" w:author="AbbVie19" w:date="2025-04-16T10:42:00Z"/>
          <w:szCs w:val="20"/>
        </w:rPr>
      </w:pPr>
      <w:del w:id="4034" w:author="AbbVie19" w:date="2025-04-16T10:42:00Z">
        <w:r w:rsidRPr="00BC0E7E">
          <w:rPr>
            <w:szCs w:val="20"/>
          </w:rPr>
          <w:delText xml:space="preserve">Some patients who experience decrease in their response </w:delText>
        </w:r>
        <w:r w:rsidR="007A1158">
          <w:rPr>
            <w:szCs w:val="20"/>
          </w:rPr>
          <w:delText>to Humira 40</w:delText>
        </w:r>
        <w:r w:rsidR="00E6118C">
          <w:rPr>
            <w:szCs w:val="20"/>
          </w:rPr>
          <w:delText> </w:delText>
        </w:r>
        <w:r w:rsidR="007A1158">
          <w:rPr>
            <w:szCs w:val="20"/>
          </w:rPr>
          <w:delText xml:space="preserve">mg every other week </w:delText>
        </w:r>
        <w:r w:rsidRPr="00BC0E7E">
          <w:rPr>
            <w:szCs w:val="20"/>
          </w:rPr>
          <w:delText>may benefit from an increase in dos</w:delText>
        </w:r>
        <w:r w:rsidR="007A1158">
          <w:rPr>
            <w:szCs w:val="20"/>
          </w:rPr>
          <w:delText>age</w:delText>
        </w:r>
        <w:r w:rsidRPr="00BC0E7E">
          <w:rPr>
            <w:szCs w:val="20"/>
          </w:rPr>
          <w:delText xml:space="preserve"> to 40 mg Humira every week</w:delText>
        </w:r>
        <w:r w:rsidR="007A1158">
          <w:rPr>
            <w:szCs w:val="20"/>
          </w:rPr>
          <w:delText xml:space="preserve"> or 80</w:delText>
        </w:r>
        <w:r w:rsidR="00E6118C">
          <w:rPr>
            <w:szCs w:val="20"/>
          </w:rPr>
          <w:delText> </w:delText>
        </w:r>
        <w:r w:rsidR="007A1158">
          <w:rPr>
            <w:szCs w:val="20"/>
          </w:rPr>
          <w:delText>mg every other week</w:delText>
        </w:r>
        <w:r w:rsidRPr="00BC0E7E">
          <w:rPr>
            <w:szCs w:val="20"/>
          </w:rPr>
          <w:delText>.</w:delText>
        </w:r>
      </w:del>
    </w:p>
    <w:p w14:paraId="209CE11C" w14:textId="77777777" w:rsidR="00BC0E7E" w:rsidRPr="00BC0E7E" w:rsidRDefault="00BC0E7E" w:rsidP="00762FA7">
      <w:pPr>
        <w:rPr>
          <w:del w:id="4035" w:author="AbbVie19" w:date="2025-04-16T10:42:00Z"/>
          <w:szCs w:val="20"/>
        </w:rPr>
      </w:pPr>
    </w:p>
    <w:p w14:paraId="3D74AE30" w14:textId="77777777" w:rsidR="00BC0E7E" w:rsidRPr="00BC0E7E" w:rsidRDefault="00944B8F" w:rsidP="00762FA7">
      <w:pPr>
        <w:rPr>
          <w:del w:id="4036" w:author="AbbVie19" w:date="2025-04-16T10:42:00Z"/>
          <w:szCs w:val="22"/>
        </w:rPr>
      </w:pPr>
      <w:del w:id="4037" w:author="AbbVie19" w:date="2025-04-16T10:42:00Z">
        <w:r w:rsidRPr="00BC0E7E">
          <w:rPr>
            <w:szCs w:val="22"/>
          </w:rPr>
          <w:delText>Available data suggest that clinical response is usually achieved within 2-8</w:delText>
        </w:r>
        <w:r w:rsidRPr="00BC0E7E">
          <w:rPr>
            <w:szCs w:val="20"/>
          </w:rPr>
          <w:delText> </w:delText>
        </w:r>
        <w:r w:rsidRPr="00BC0E7E">
          <w:rPr>
            <w:szCs w:val="22"/>
          </w:rPr>
          <w:delText>weeks of treatment. Humira therapy should not be continued in patients failing to respond within this time period.</w:delText>
        </w:r>
      </w:del>
    </w:p>
    <w:p w14:paraId="404B3810" w14:textId="77777777" w:rsidR="00BC0E7E" w:rsidRDefault="00BC0E7E" w:rsidP="00762FA7">
      <w:pPr>
        <w:rPr>
          <w:del w:id="4038" w:author="AbbVie19" w:date="2025-04-16T10:42:00Z"/>
          <w:szCs w:val="22"/>
        </w:rPr>
      </w:pPr>
    </w:p>
    <w:p w14:paraId="20B28260" w14:textId="77777777" w:rsidR="007A1158" w:rsidRDefault="00944B8F" w:rsidP="00762FA7">
      <w:pPr>
        <w:rPr>
          <w:del w:id="4039" w:author="AbbVie19" w:date="2025-04-16T10:42:00Z"/>
        </w:rPr>
      </w:pPr>
      <w:del w:id="4040" w:author="AbbVie19" w:date="2025-04-16T10:42:00Z">
        <w:r w:rsidRPr="00D21ABE">
          <w:delText>Humira may be available in other strengths and/or presentations depending on the individual treatment needs</w:delText>
        </w:r>
        <w:r w:rsidR="00623837">
          <w:delText>.</w:delText>
        </w:r>
      </w:del>
    </w:p>
    <w:p w14:paraId="7B405811" w14:textId="77777777" w:rsidR="007A1158" w:rsidRPr="00BC0E7E" w:rsidRDefault="007A1158" w:rsidP="00762FA7">
      <w:pPr>
        <w:rPr>
          <w:del w:id="4041" w:author="AbbVie19" w:date="2025-04-16T10:42:00Z"/>
          <w:szCs w:val="22"/>
        </w:rPr>
      </w:pPr>
    </w:p>
    <w:p w14:paraId="6E7F710B" w14:textId="77777777" w:rsidR="00BC0E7E" w:rsidRPr="00BC0E7E" w:rsidRDefault="00944B8F" w:rsidP="00762FA7">
      <w:pPr>
        <w:tabs>
          <w:tab w:val="clear" w:pos="562"/>
        </w:tabs>
        <w:suppressAutoHyphens w:val="0"/>
        <w:overflowPunct w:val="0"/>
        <w:autoSpaceDE w:val="0"/>
        <w:autoSpaceDN w:val="0"/>
        <w:adjustRightInd w:val="0"/>
        <w:textAlignment w:val="baseline"/>
        <w:rPr>
          <w:del w:id="4042" w:author="AbbVie19" w:date="2025-04-16T10:42:00Z"/>
          <w:bCs/>
          <w:i/>
          <w:iCs/>
          <w:szCs w:val="20"/>
        </w:rPr>
      </w:pPr>
      <w:del w:id="4043" w:author="AbbVie19" w:date="2025-04-16T10:42:00Z">
        <w:r w:rsidRPr="00BC0E7E">
          <w:rPr>
            <w:bCs/>
            <w:i/>
            <w:iCs/>
            <w:szCs w:val="20"/>
          </w:rPr>
          <w:delText>Uveitis</w:delText>
        </w:r>
      </w:del>
    </w:p>
    <w:p w14:paraId="2A20B05A" w14:textId="77777777" w:rsidR="00BC0E7E" w:rsidRPr="00BC0E7E" w:rsidRDefault="00BC0E7E" w:rsidP="00762FA7">
      <w:pPr>
        <w:tabs>
          <w:tab w:val="clear" w:pos="562"/>
        </w:tabs>
        <w:suppressAutoHyphens w:val="0"/>
        <w:overflowPunct w:val="0"/>
        <w:autoSpaceDE w:val="0"/>
        <w:autoSpaceDN w:val="0"/>
        <w:adjustRightInd w:val="0"/>
        <w:textAlignment w:val="baseline"/>
        <w:rPr>
          <w:del w:id="4044" w:author="AbbVie19" w:date="2025-04-16T10:42:00Z"/>
          <w:bCs/>
          <w:iCs/>
          <w:szCs w:val="20"/>
        </w:rPr>
      </w:pPr>
    </w:p>
    <w:p w14:paraId="431A4230" w14:textId="77777777" w:rsidR="00BC0E7E" w:rsidRPr="00BC0E7E" w:rsidRDefault="00944B8F" w:rsidP="00762FA7">
      <w:pPr>
        <w:rPr>
          <w:del w:id="4045" w:author="AbbVie19" w:date="2025-04-16T10:42:00Z"/>
          <w:szCs w:val="22"/>
        </w:rPr>
      </w:pPr>
      <w:del w:id="4046" w:author="AbbVie19" w:date="2025-04-16T10:42:00Z">
        <w:r w:rsidRPr="00BC0E7E">
          <w:rPr>
            <w:szCs w:val="22"/>
          </w:rPr>
          <w:delText xml:space="preserve">The recommended dose of Humira for adult patients with uveitis is an initial dose of 80 mg, followed by 40 mg given every other week starting one week after the initial dose. There is limited experience in the initiation of treatment with Humira alone. Treatment with Humira can be initiated in combination with corticosteroids and/or with other non-biologic immunomodulatory agents. Concomitant corticosteroids may be tapered in accordance with clinical practice starting two weeks after initiating treatment with Humira.   </w:delText>
        </w:r>
      </w:del>
    </w:p>
    <w:p w14:paraId="616A0EF1" w14:textId="77777777" w:rsidR="00BC0E7E" w:rsidRPr="00BC0E7E" w:rsidRDefault="00BC0E7E" w:rsidP="00762FA7">
      <w:pPr>
        <w:rPr>
          <w:del w:id="4047" w:author="AbbVie19" w:date="2025-04-16T10:42:00Z"/>
          <w:szCs w:val="22"/>
        </w:rPr>
      </w:pPr>
    </w:p>
    <w:p w14:paraId="3CCC15C8" w14:textId="77777777" w:rsidR="00BC0E7E" w:rsidRPr="00BC0E7E" w:rsidRDefault="00944B8F" w:rsidP="00762FA7">
      <w:pPr>
        <w:rPr>
          <w:del w:id="4048" w:author="AbbVie19" w:date="2025-04-16T10:42:00Z"/>
          <w:szCs w:val="22"/>
        </w:rPr>
      </w:pPr>
      <w:del w:id="4049" w:author="AbbVie19" w:date="2025-04-16T10:42:00Z">
        <w:r w:rsidRPr="00BC0E7E">
          <w:rPr>
            <w:szCs w:val="22"/>
          </w:rPr>
          <w:delText xml:space="preserve">It is recommended that the benefit and risk of continued long-term treatment should be evaluated on a yearly basis (see section 5.1).  </w:delText>
        </w:r>
      </w:del>
    </w:p>
    <w:p w14:paraId="7C6C7883" w14:textId="77777777" w:rsidR="006B49F3" w:rsidRDefault="006B49F3" w:rsidP="00762FA7">
      <w:pPr>
        <w:keepNext/>
        <w:rPr>
          <w:del w:id="4050" w:author="AbbVie19" w:date="2025-04-16T10:42:00Z"/>
          <w:szCs w:val="22"/>
        </w:rPr>
      </w:pPr>
    </w:p>
    <w:p w14:paraId="68583824" w14:textId="77777777" w:rsidR="006B49F3" w:rsidRPr="002A3533" w:rsidRDefault="00944B8F" w:rsidP="00762FA7">
      <w:pPr>
        <w:keepNext/>
        <w:rPr>
          <w:del w:id="4051" w:author="AbbVie19" w:date="2025-04-16T10:42:00Z"/>
        </w:rPr>
      </w:pPr>
      <w:del w:id="4052" w:author="AbbVie19" w:date="2025-04-16T10:42:00Z">
        <w:r w:rsidRPr="00154096">
          <w:rPr>
            <w:szCs w:val="22"/>
          </w:rPr>
          <w:delText>Humira may be available in other strengths and/or presentations depending on the individual treatment needs</w:delText>
        </w:r>
        <w:r>
          <w:rPr>
            <w:szCs w:val="22"/>
          </w:rPr>
          <w:delText>.</w:delText>
        </w:r>
      </w:del>
    </w:p>
    <w:p w14:paraId="1B6EB557" w14:textId="77777777" w:rsidR="00BC0E7E" w:rsidRPr="00BC0E7E" w:rsidRDefault="00BC0E7E" w:rsidP="00762FA7">
      <w:pPr>
        <w:rPr>
          <w:del w:id="4053" w:author="AbbVie19" w:date="2025-04-16T10:42:00Z"/>
          <w:szCs w:val="22"/>
        </w:rPr>
      </w:pPr>
    </w:p>
    <w:p w14:paraId="012F928A" w14:textId="77777777" w:rsidR="009043B2" w:rsidRDefault="00944B8F" w:rsidP="00762FA7">
      <w:pPr>
        <w:keepNext/>
        <w:rPr>
          <w:del w:id="4054" w:author="AbbVie19" w:date="2025-04-16T10:42:00Z"/>
          <w:u w:val="single"/>
        </w:rPr>
      </w:pPr>
      <w:del w:id="4055" w:author="AbbVie19" w:date="2025-04-16T10:42:00Z">
        <w:r>
          <w:rPr>
            <w:u w:val="single"/>
          </w:rPr>
          <w:delText>Special populations</w:delText>
        </w:r>
        <w:r w:rsidRPr="00BC0E7E">
          <w:rPr>
            <w:u w:val="single"/>
          </w:rPr>
          <w:delText xml:space="preserve"> </w:delText>
        </w:r>
      </w:del>
    </w:p>
    <w:p w14:paraId="191579FF" w14:textId="77777777" w:rsidR="009043B2" w:rsidRDefault="009043B2" w:rsidP="00762FA7">
      <w:pPr>
        <w:keepNext/>
        <w:rPr>
          <w:del w:id="4056" w:author="AbbVie19" w:date="2025-04-16T10:42:00Z"/>
          <w:u w:val="single"/>
        </w:rPr>
      </w:pPr>
    </w:p>
    <w:p w14:paraId="67F5F883" w14:textId="77777777" w:rsidR="00BC0E7E" w:rsidRPr="000244DF" w:rsidRDefault="00944B8F" w:rsidP="00762FA7">
      <w:pPr>
        <w:keepNext/>
        <w:rPr>
          <w:del w:id="4057" w:author="AbbVie19" w:date="2025-04-16T10:42:00Z"/>
        </w:rPr>
      </w:pPr>
      <w:del w:id="4058" w:author="AbbVie19" w:date="2025-04-16T10:42:00Z">
        <w:r w:rsidRPr="000244DF">
          <w:delText>Elderly</w:delText>
        </w:r>
      </w:del>
    </w:p>
    <w:p w14:paraId="624BACDE" w14:textId="77777777" w:rsidR="00BC0E7E" w:rsidRPr="00BC0E7E" w:rsidRDefault="00BC0E7E" w:rsidP="00762FA7">
      <w:pPr>
        <w:keepNext/>
        <w:rPr>
          <w:del w:id="4059" w:author="AbbVie19" w:date="2025-04-16T10:42:00Z"/>
          <w:u w:val="single"/>
        </w:rPr>
      </w:pPr>
    </w:p>
    <w:p w14:paraId="0C3398C5" w14:textId="77777777" w:rsidR="00BC0E7E" w:rsidRPr="00BC0E7E" w:rsidRDefault="00944B8F" w:rsidP="00762FA7">
      <w:pPr>
        <w:keepNext/>
        <w:rPr>
          <w:del w:id="4060" w:author="AbbVie19" w:date="2025-04-16T10:42:00Z"/>
        </w:rPr>
      </w:pPr>
      <w:del w:id="4061" w:author="AbbVie19" w:date="2025-04-16T10:42:00Z">
        <w:r w:rsidRPr="00BC0E7E">
          <w:delText>No dose adjustment is required.</w:delText>
        </w:r>
      </w:del>
    </w:p>
    <w:p w14:paraId="3278620F" w14:textId="77777777" w:rsidR="00BC0E7E" w:rsidRPr="00BC0E7E" w:rsidRDefault="00BC0E7E" w:rsidP="00762FA7">
      <w:pPr>
        <w:rPr>
          <w:del w:id="4062" w:author="AbbVie19" w:date="2025-04-16T10:42:00Z"/>
        </w:rPr>
      </w:pPr>
    </w:p>
    <w:p w14:paraId="4F569E88" w14:textId="77777777" w:rsidR="00BC0E7E" w:rsidRPr="00BC0E7E" w:rsidRDefault="00944B8F" w:rsidP="00762FA7">
      <w:pPr>
        <w:rPr>
          <w:del w:id="4063" w:author="AbbVie19" w:date="2025-04-16T10:42:00Z"/>
          <w:u w:val="single"/>
        </w:rPr>
      </w:pPr>
      <w:del w:id="4064" w:author="AbbVie19" w:date="2025-04-16T10:42:00Z">
        <w:r w:rsidRPr="00A06B15">
          <w:rPr>
            <w:u w:val="single"/>
          </w:rPr>
          <w:delText>Renal</w:delText>
        </w:r>
        <w:r w:rsidRPr="00BC0E7E">
          <w:rPr>
            <w:u w:val="single"/>
          </w:rPr>
          <w:delText xml:space="preserve"> and/or hepatic impairment</w:delText>
        </w:r>
      </w:del>
    </w:p>
    <w:p w14:paraId="490CB361" w14:textId="77777777" w:rsidR="00BC0E7E" w:rsidRPr="00BC0E7E" w:rsidRDefault="00BC0E7E" w:rsidP="00762FA7">
      <w:pPr>
        <w:rPr>
          <w:del w:id="4065" w:author="AbbVie19" w:date="2025-04-16T10:42:00Z"/>
        </w:rPr>
      </w:pPr>
    </w:p>
    <w:p w14:paraId="074A6044" w14:textId="77777777" w:rsidR="00BC0E7E" w:rsidRPr="00BC0E7E" w:rsidRDefault="00944B8F" w:rsidP="00762FA7">
      <w:pPr>
        <w:rPr>
          <w:del w:id="4066" w:author="AbbVie19" w:date="2025-04-16T10:42:00Z"/>
        </w:rPr>
      </w:pPr>
      <w:del w:id="4067" w:author="AbbVie19" w:date="2025-04-16T10:42:00Z">
        <w:r w:rsidRPr="00BC0E7E">
          <w:delText>Humira has not been studied in these patient populations. No dose recommendations can be made.</w:delText>
        </w:r>
      </w:del>
    </w:p>
    <w:p w14:paraId="4B5BC3E1" w14:textId="77777777" w:rsidR="00BC0E7E" w:rsidRPr="00BC0E7E" w:rsidRDefault="00BC0E7E" w:rsidP="00762FA7">
      <w:pPr>
        <w:rPr>
          <w:del w:id="4068" w:author="AbbVie19" w:date="2025-04-16T10:42:00Z"/>
        </w:rPr>
      </w:pPr>
    </w:p>
    <w:p w14:paraId="1A766AE7" w14:textId="77777777" w:rsidR="00BC0E7E" w:rsidRPr="000244DF" w:rsidRDefault="00944B8F" w:rsidP="00762FA7">
      <w:pPr>
        <w:keepNext/>
        <w:rPr>
          <w:del w:id="4069" w:author="AbbVie19" w:date="2025-04-16T10:42:00Z"/>
          <w:szCs w:val="20"/>
        </w:rPr>
      </w:pPr>
      <w:del w:id="4070" w:author="AbbVie19" w:date="2025-04-16T10:42:00Z">
        <w:r w:rsidRPr="000244DF">
          <w:rPr>
            <w:szCs w:val="20"/>
          </w:rPr>
          <w:delText>Paediatric population</w:delText>
        </w:r>
      </w:del>
    </w:p>
    <w:p w14:paraId="4BEFE36E" w14:textId="77777777" w:rsidR="00BC0E7E" w:rsidRPr="00BC0E7E" w:rsidRDefault="00BC0E7E" w:rsidP="00762FA7">
      <w:pPr>
        <w:keepNext/>
        <w:rPr>
          <w:del w:id="4071" w:author="AbbVie19" w:date="2025-04-16T10:42:00Z"/>
          <w:szCs w:val="20"/>
          <w:u w:val="single"/>
        </w:rPr>
      </w:pPr>
    </w:p>
    <w:p w14:paraId="4CF4BFB0" w14:textId="77777777" w:rsidR="00BC0E7E" w:rsidRPr="00BC0E7E" w:rsidRDefault="00944B8F" w:rsidP="00762FA7">
      <w:pPr>
        <w:keepNext/>
        <w:rPr>
          <w:del w:id="4072" w:author="AbbVie19" w:date="2025-04-16T10:42:00Z"/>
          <w:szCs w:val="20"/>
          <w:u w:val="single"/>
        </w:rPr>
      </w:pPr>
      <w:del w:id="4073" w:author="AbbVie19" w:date="2025-04-16T10:42:00Z">
        <w:r w:rsidRPr="00BC0E7E">
          <w:rPr>
            <w:i/>
            <w:szCs w:val="20"/>
          </w:rPr>
          <w:delText>Juvenile idiopathic arthritis</w:delText>
        </w:r>
      </w:del>
    </w:p>
    <w:p w14:paraId="646A9CC6" w14:textId="77777777" w:rsidR="00BC0E7E" w:rsidRPr="00BC0E7E" w:rsidRDefault="00BC0E7E" w:rsidP="00762FA7">
      <w:pPr>
        <w:keepNext/>
        <w:rPr>
          <w:del w:id="4074" w:author="AbbVie19" w:date="2025-04-16T10:42:00Z"/>
          <w:szCs w:val="20"/>
          <w:u w:val="single"/>
        </w:rPr>
      </w:pPr>
    </w:p>
    <w:p w14:paraId="690D4FF6" w14:textId="77777777" w:rsidR="00BC0E7E" w:rsidRPr="00BC0E7E" w:rsidRDefault="00944B8F" w:rsidP="00762FA7">
      <w:pPr>
        <w:keepNext/>
        <w:rPr>
          <w:del w:id="4075" w:author="AbbVie19" w:date="2025-04-16T10:42:00Z"/>
          <w:i/>
          <w:u w:val="single"/>
        </w:rPr>
      </w:pPr>
      <w:del w:id="4076" w:author="AbbVie19" w:date="2025-04-16T10:42:00Z">
        <w:r w:rsidRPr="00BC0E7E">
          <w:rPr>
            <w:i/>
            <w:u w:val="single"/>
          </w:rPr>
          <w:delText>Polyarticular juvenile idiopathic arthritis from 2 years of age</w:delText>
        </w:r>
      </w:del>
    </w:p>
    <w:p w14:paraId="3EC1901F" w14:textId="77777777" w:rsidR="00BC0E7E" w:rsidRPr="00BC0E7E" w:rsidRDefault="00BC0E7E" w:rsidP="00762FA7">
      <w:pPr>
        <w:keepNext/>
        <w:tabs>
          <w:tab w:val="clear" w:pos="562"/>
        </w:tabs>
        <w:suppressAutoHyphens w:val="0"/>
        <w:overflowPunct w:val="0"/>
        <w:autoSpaceDE w:val="0"/>
        <w:autoSpaceDN w:val="0"/>
        <w:adjustRightInd w:val="0"/>
        <w:textAlignment w:val="baseline"/>
        <w:rPr>
          <w:del w:id="4077" w:author="AbbVie19" w:date="2025-04-16T10:42:00Z"/>
          <w:bCs/>
          <w:iCs/>
          <w:szCs w:val="20"/>
          <w:u w:val="single"/>
        </w:rPr>
      </w:pPr>
    </w:p>
    <w:p w14:paraId="22C2C37D" w14:textId="77777777" w:rsidR="00943948" w:rsidRPr="00BC0E7E" w:rsidRDefault="00944B8F" w:rsidP="00762FA7">
      <w:pPr>
        <w:keepNext/>
        <w:tabs>
          <w:tab w:val="clear" w:pos="562"/>
        </w:tabs>
        <w:rPr>
          <w:del w:id="4078" w:author="AbbVie19" w:date="2025-04-16T10:42:00Z"/>
        </w:rPr>
      </w:pPr>
      <w:del w:id="4079" w:author="AbbVie19" w:date="2025-04-16T10:42:00Z">
        <w:r w:rsidRPr="00BC0E7E">
          <w:delText>The recommended dose of Humira for patients with polyarticular juvenile idiopathic arthritis</w:delText>
        </w:r>
        <w:r w:rsidR="00CD5D0F">
          <w:delText xml:space="preserve"> </w:delText>
        </w:r>
        <w:r>
          <w:delText>from</w:delText>
        </w:r>
        <w:r w:rsidRPr="00BC0E7E">
          <w:delText xml:space="preserve"> 2 years</w:delText>
        </w:r>
        <w:r>
          <w:delText xml:space="preserve"> of age is based on body weight (Table 1). Humira is</w:delText>
        </w:r>
        <w:r w:rsidRPr="00BC0E7E">
          <w:delText xml:space="preserve"> administered every other week via subcutaneous injection.</w:delText>
        </w:r>
      </w:del>
    </w:p>
    <w:p w14:paraId="24D25E2A" w14:textId="77777777" w:rsidR="00BC0E7E" w:rsidRPr="00BC0E7E" w:rsidRDefault="00BC0E7E" w:rsidP="00762FA7">
      <w:pPr>
        <w:tabs>
          <w:tab w:val="clear" w:pos="562"/>
        </w:tabs>
        <w:rPr>
          <w:del w:id="4080" w:author="AbbVie19" w:date="2025-04-16T10:42:00Z"/>
        </w:rPr>
      </w:pPr>
    </w:p>
    <w:p w14:paraId="35733D3C" w14:textId="77777777" w:rsidR="00943948" w:rsidRPr="00900223" w:rsidRDefault="00944B8F" w:rsidP="00762FA7">
      <w:pPr>
        <w:keepNext/>
        <w:jc w:val="center"/>
        <w:rPr>
          <w:del w:id="4081" w:author="AbbVie19" w:date="2025-04-16T10:42:00Z"/>
          <w:b/>
          <w:szCs w:val="22"/>
        </w:rPr>
      </w:pPr>
      <w:del w:id="4082" w:author="AbbVie19" w:date="2025-04-16T10:42:00Z">
        <w:r w:rsidRPr="00F8398A">
          <w:rPr>
            <w:b/>
            <w:szCs w:val="22"/>
          </w:rPr>
          <w:lastRenderedPageBreak/>
          <w:delText xml:space="preserve">Table 1. Humira </w:delText>
        </w:r>
        <w:r w:rsidRPr="00900223">
          <w:rPr>
            <w:b/>
            <w:szCs w:val="22"/>
          </w:rPr>
          <w:delText>Dose for Patients with Polyarticular Juvenile Idiopathic Arthr</w:delText>
        </w:r>
        <w:r w:rsidR="00237F82">
          <w:rPr>
            <w:b/>
            <w:szCs w:val="22"/>
          </w:rPr>
          <w:delText>i</w:delText>
        </w:r>
        <w:r w:rsidRPr="00900223">
          <w:rPr>
            <w:b/>
            <w:szCs w:val="22"/>
          </w:rPr>
          <w:delText xml:space="preserve">tis </w:delText>
        </w:r>
      </w:del>
    </w:p>
    <w:p w14:paraId="210107AE" w14:textId="77777777" w:rsidR="00943948" w:rsidRPr="00900223" w:rsidRDefault="00943948" w:rsidP="00762FA7">
      <w:pPr>
        <w:keepNext/>
        <w:rPr>
          <w:del w:id="4083" w:author="AbbVie19" w:date="2025-04-16T10:42:00Z"/>
          <w:szCs w:val="22"/>
        </w:rPr>
      </w:pPr>
    </w:p>
    <w:tbl>
      <w:tblPr>
        <w:tblW w:w="6795" w:type="dxa"/>
        <w:jc w:val="center"/>
        <w:tblLayout w:type="fixed"/>
        <w:tblLook w:val="0000" w:firstRow="0" w:lastRow="0" w:firstColumn="0" w:lastColumn="0" w:noHBand="0" w:noVBand="0"/>
      </w:tblPr>
      <w:tblGrid>
        <w:gridCol w:w="3401"/>
        <w:gridCol w:w="3394"/>
      </w:tblGrid>
      <w:tr w:rsidR="00C6578C" w14:paraId="241009D9" w14:textId="77777777" w:rsidTr="004F68D4">
        <w:trPr>
          <w:tblHeader/>
          <w:jc w:val="center"/>
          <w:del w:id="4084" w:author="AbbVie19" w:date="2025-04-16T10:42:00Z"/>
        </w:trPr>
        <w:tc>
          <w:tcPr>
            <w:tcW w:w="3401" w:type="dxa"/>
            <w:tcBorders>
              <w:top w:val="single" w:sz="4" w:space="0" w:color="auto"/>
              <w:bottom w:val="single" w:sz="4" w:space="0" w:color="auto"/>
            </w:tcBorders>
          </w:tcPr>
          <w:p w14:paraId="3F9072BB" w14:textId="77777777" w:rsidR="00943948" w:rsidRPr="00900223" w:rsidRDefault="00944B8F" w:rsidP="00762FA7">
            <w:pPr>
              <w:pStyle w:val="TableLeft"/>
              <w:jc w:val="center"/>
              <w:rPr>
                <w:del w:id="4085" w:author="AbbVie19" w:date="2025-04-16T10:42:00Z"/>
                <w:b/>
                <w:szCs w:val="22"/>
              </w:rPr>
            </w:pPr>
            <w:del w:id="4086" w:author="AbbVie19" w:date="2025-04-16T10:42:00Z">
              <w:r w:rsidRPr="00900223">
                <w:rPr>
                  <w:b/>
                  <w:szCs w:val="22"/>
                </w:rPr>
                <w:delText>Patient Weight</w:delText>
              </w:r>
            </w:del>
          </w:p>
        </w:tc>
        <w:tc>
          <w:tcPr>
            <w:tcW w:w="3394" w:type="dxa"/>
            <w:tcBorders>
              <w:top w:val="single" w:sz="4" w:space="0" w:color="auto"/>
              <w:bottom w:val="single" w:sz="4" w:space="0" w:color="auto"/>
            </w:tcBorders>
          </w:tcPr>
          <w:p w14:paraId="238E4594" w14:textId="77777777" w:rsidR="00943948" w:rsidRPr="00900223" w:rsidRDefault="00944B8F" w:rsidP="00762FA7">
            <w:pPr>
              <w:pStyle w:val="TableLeft"/>
              <w:jc w:val="center"/>
              <w:rPr>
                <w:del w:id="4087" w:author="AbbVie19" w:date="2025-04-16T10:42:00Z"/>
                <w:b/>
                <w:szCs w:val="22"/>
              </w:rPr>
            </w:pPr>
            <w:del w:id="4088" w:author="AbbVie19" w:date="2025-04-16T10:42:00Z">
              <w:r w:rsidRPr="00900223">
                <w:rPr>
                  <w:b/>
                  <w:szCs w:val="22"/>
                </w:rPr>
                <w:delText>Dosing Regimen</w:delText>
              </w:r>
            </w:del>
          </w:p>
        </w:tc>
      </w:tr>
      <w:tr w:rsidR="00C6578C" w14:paraId="1FBE16AF" w14:textId="77777777" w:rsidTr="004F68D4">
        <w:trPr>
          <w:tblHeader/>
          <w:jc w:val="center"/>
          <w:del w:id="4089" w:author="AbbVie19" w:date="2025-04-16T10:42:00Z"/>
        </w:trPr>
        <w:tc>
          <w:tcPr>
            <w:tcW w:w="3401" w:type="dxa"/>
            <w:tcBorders>
              <w:top w:val="single" w:sz="4" w:space="0" w:color="auto"/>
              <w:bottom w:val="single" w:sz="4" w:space="0" w:color="auto"/>
            </w:tcBorders>
          </w:tcPr>
          <w:p w14:paraId="16567D76" w14:textId="77777777" w:rsidR="00943948" w:rsidRPr="00900223" w:rsidRDefault="00944B8F" w:rsidP="00762FA7">
            <w:pPr>
              <w:pStyle w:val="TableLeft"/>
              <w:jc w:val="center"/>
              <w:rPr>
                <w:del w:id="4090" w:author="AbbVie19" w:date="2025-04-16T10:42:00Z"/>
                <w:b/>
                <w:szCs w:val="22"/>
              </w:rPr>
            </w:pPr>
            <w:del w:id="4091" w:author="AbbVie19" w:date="2025-04-16T10:42:00Z">
              <w:r w:rsidRPr="00900223">
                <w:rPr>
                  <w:szCs w:val="22"/>
                </w:rPr>
                <w:delText>10 kg to &lt; 30 kg</w:delText>
              </w:r>
            </w:del>
          </w:p>
        </w:tc>
        <w:tc>
          <w:tcPr>
            <w:tcW w:w="3394" w:type="dxa"/>
            <w:tcBorders>
              <w:top w:val="single" w:sz="4" w:space="0" w:color="auto"/>
              <w:bottom w:val="single" w:sz="4" w:space="0" w:color="auto"/>
            </w:tcBorders>
          </w:tcPr>
          <w:p w14:paraId="0F17D11E" w14:textId="77777777" w:rsidR="00943948" w:rsidRPr="00900223" w:rsidRDefault="00944B8F" w:rsidP="00762FA7">
            <w:pPr>
              <w:pStyle w:val="TableLeft"/>
              <w:jc w:val="center"/>
              <w:rPr>
                <w:del w:id="4092" w:author="AbbVie19" w:date="2025-04-16T10:42:00Z"/>
                <w:b/>
                <w:szCs w:val="22"/>
              </w:rPr>
            </w:pPr>
            <w:del w:id="4093" w:author="AbbVie19" w:date="2025-04-16T10:42:00Z">
              <w:r w:rsidRPr="00900223">
                <w:rPr>
                  <w:szCs w:val="22"/>
                </w:rPr>
                <w:delText>20 mg every other week</w:delText>
              </w:r>
            </w:del>
          </w:p>
        </w:tc>
      </w:tr>
      <w:tr w:rsidR="00C6578C" w14:paraId="5AF280F4" w14:textId="77777777" w:rsidTr="004F68D4">
        <w:trPr>
          <w:tblHeader/>
          <w:jc w:val="center"/>
          <w:del w:id="4094" w:author="AbbVie19" w:date="2025-04-16T10:42:00Z"/>
        </w:trPr>
        <w:tc>
          <w:tcPr>
            <w:tcW w:w="3401" w:type="dxa"/>
            <w:tcBorders>
              <w:top w:val="single" w:sz="4" w:space="0" w:color="auto"/>
              <w:bottom w:val="single" w:sz="4" w:space="0" w:color="auto"/>
            </w:tcBorders>
          </w:tcPr>
          <w:p w14:paraId="5A79068C" w14:textId="77777777" w:rsidR="00943948" w:rsidRPr="00900223" w:rsidRDefault="00944B8F" w:rsidP="00762FA7">
            <w:pPr>
              <w:pStyle w:val="TableLeft"/>
              <w:jc w:val="center"/>
              <w:rPr>
                <w:del w:id="4095" w:author="AbbVie19" w:date="2025-04-16T10:42:00Z"/>
                <w:b/>
                <w:szCs w:val="22"/>
              </w:rPr>
            </w:pPr>
            <w:del w:id="4096" w:author="AbbVie19" w:date="2025-04-16T10:42:00Z">
              <w:r w:rsidRPr="00900223">
                <w:rPr>
                  <w:szCs w:val="22"/>
                </w:rPr>
                <w:delText>≥ 30 kg</w:delText>
              </w:r>
            </w:del>
          </w:p>
        </w:tc>
        <w:tc>
          <w:tcPr>
            <w:tcW w:w="3394" w:type="dxa"/>
            <w:tcBorders>
              <w:top w:val="single" w:sz="4" w:space="0" w:color="auto"/>
              <w:bottom w:val="single" w:sz="4" w:space="0" w:color="auto"/>
            </w:tcBorders>
          </w:tcPr>
          <w:p w14:paraId="6FFD13EE" w14:textId="77777777" w:rsidR="00943948" w:rsidRPr="00900223" w:rsidRDefault="00944B8F" w:rsidP="00762FA7">
            <w:pPr>
              <w:pStyle w:val="TableLeft"/>
              <w:jc w:val="center"/>
              <w:rPr>
                <w:del w:id="4097" w:author="AbbVie19" w:date="2025-04-16T10:42:00Z"/>
                <w:b/>
                <w:szCs w:val="22"/>
              </w:rPr>
            </w:pPr>
            <w:del w:id="4098" w:author="AbbVie19" w:date="2025-04-16T10:42:00Z">
              <w:r w:rsidRPr="00900223">
                <w:rPr>
                  <w:szCs w:val="22"/>
                </w:rPr>
                <w:delText>40 mg every other week</w:delText>
              </w:r>
            </w:del>
          </w:p>
        </w:tc>
      </w:tr>
    </w:tbl>
    <w:p w14:paraId="2449F545" w14:textId="77777777" w:rsidR="00BC0E7E" w:rsidRPr="00BC0E7E" w:rsidRDefault="00BC0E7E" w:rsidP="00762FA7">
      <w:pPr>
        <w:rPr>
          <w:del w:id="4099" w:author="AbbVie19" w:date="2025-04-16T10:42:00Z"/>
        </w:rPr>
      </w:pPr>
    </w:p>
    <w:p w14:paraId="44532FBC" w14:textId="77777777" w:rsidR="00BC0E7E" w:rsidRPr="00BC0E7E" w:rsidRDefault="00944B8F" w:rsidP="00762FA7">
      <w:pPr>
        <w:rPr>
          <w:del w:id="4100" w:author="AbbVie19" w:date="2025-04-16T10:42:00Z"/>
        </w:rPr>
      </w:pPr>
      <w:del w:id="4101" w:author="AbbVie19" w:date="2025-04-16T10:42:00Z">
        <w:r w:rsidRPr="00BC0E7E">
          <w:delText>Available data suggest that clinical response is usually achieved within 12 weeks of treatment. Continued therapy should be carefully reconsidered in a patient not responding within this time period.</w:delText>
        </w:r>
      </w:del>
    </w:p>
    <w:p w14:paraId="465B06B4" w14:textId="77777777" w:rsidR="00BC0E7E" w:rsidRPr="00BC0E7E" w:rsidRDefault="00BC0E7E" w:rsidP="00762FA7">
      <w:pPr>
        <w:rPr>
          <w:del w:id="4102" w:author="AbbVie19" w:date="2025-04-16T10:42:00Z"/>
        </w:rPr>
      </w:pPr>
    </w:p>
    <w:p w14:paraId="2D1D0534" w14:textId="77777777" w:rsidR="00BC0E7E" w:rsidRPr="00BC0E7E" w:rsidRDefault="00944B8F" w:rsidP="00762FA7">
      <w:pPr>
        <w:rPr>
          <w:del w:id="4103" w:author="AbbVie19" w:date="2025-04-16T10:42:00Z"/>
        </w:rPr>
      </w:pPr>
      <w:del w:id="4104" w:author="AbbVie19" w:date="2025-04-16T10:42:00Z">
        <w:r w:rsidRPr="00BC0E7E">
          <w:delText xml:space="preserve">There is no relevant use of Humira in patients aged </w:delText>
        </w:r>
        <w:r w:rsidR="00943948">
          <w:delText xml:space="preserve">less than </w:delText>
        </w:r>
        <w:r w:rsidRPr="00BC0E7E">
          <w:delText>2 years for this indication.</w:delText>
        </w:r>
      </w:del>
    </w:p>
    <w:p w14:paraId="4D5D5F40" w14:textId="77777777" w:rsidR="006B49F3" w:rsidRDefault="006B49F3" w:rsidP="00762FA7">
      <w:pPr>
        <w:keepNext/>
        <w:rPr>
          <w:del w:id="4105" w:author="AbbVie19" w:date="2025-04-16T10:42:00Z"/>
          <w:szCs w:val="22"/>
        </w:rPr>
      </w:pPr>
    </w:p>
    <w:p w14:paraId="121BFF68" w14:textId="77777777" w:rsidR="006B49F3" w:rsidRPr="002A3533" w:rsidRDefault="00944B8F" w:rsidP="00762FA7">
      <w:pPr>
        <w:keepNext/>
        <w:rPr>
          <w:del w:id="4106" w:author="AbbVie19" w:date="2025-04-16T10:42:00Z"/>
        </w:rPr>
      </w:pPr>
      <w:del w:id="4107" w:author="AbbVie19" w:date="2025-04-16T10:42:00Z">
        <w:r w:rsidRPr="00154096">
          <w:rPr>
            <w:szCs w:val="22"/>
          </w:rPr>
          <w:delText>Humira may be available in other strengths and/or presentations depending on the individual treatment needs</w:delText>
        </w:r>
        <w:r>
          <w:rPr>
            <w:szCs w:val="22"/>
          </w:rPr>
          <w:delText>.</w:delText>
        </w:r>
      </w:del>
    </w:p>
    <w:p w14:paraId="5721F47F" w14:textId="77777777" w:rsidR="00BC0E7E" w:rsidRPr="00BC0E7E" w:rsidRDefault="00BC0E7E" w:rsidP="00762FA7">
      <w:pPr>
        <w:rPr>
          <w:del w:id="4108" w:author="AbbVie19" w:date="2025-04-16T10:42:00Z"/>
        </w:rPr>
      </w:pPr>
    </w:p>
    <w:p w14:paraId="4CADA36C" w14:textId="77777777" w:rsidR="00BC0E7E" w:rsidRPr="00BC0E7E" w:rsidRDefault="00944B8F" w:rsidP="00762FA7">
      <w:pPr>
        <w:keepNext/>
        <w:tabs>
          <w:tab w:val="clear" w:pos="562"/>
        </w:tabs>
        <w:suppressAutoHyphens w:val="0"/>
        <w:rPr>
          <w:del w:id="4109" w:author="AbbVie19" w:date="2025-04-16T10:42:00Z"/>
          <w:szCs w:val="22"/>
        </w:rPr>
      </w:pPr>
      <w:del w:id="4110" w:author="AbbVie19" w:date="2025-04-16T10:42:00Z">
        <w:r w:rsidRPr="00BC0E7E">
          <w:rPr>
            <w:i/>
            <w:szCs w:val="22"/>
            <w:u w:val="single"/>
          </w:rPr>
          <w:delText>Enthesitis-related arthritis</w:delText>
        </w:r>
      </w:del>
    </w:p>
    <w:p w14:paraId="3C6346AB" w14:textId="77777777" w:rsidR="00BC0E7E" w:rsidRPr="003F7AAE" w:rsidRDefault="00BC0E7E" w:rsidP="00762FA7">
      <w:pPr>
        <w:keepNext/>
        <w:tabs>
          <w:tab w:val="clear" w:pos="562"/>
        </w:tabs>
        <w:suppressAutoHyphens w:val="0"/>
        <w:rPr>
          <w:del w:id="4111" w:author="AbbVie19" w:date="2025-04-16T10:42:00Z"/>
          <w:szCs w:val="22"/>
        </w:rPr>
      </w:pPr>
    </w:p>
    <w:p w14:paraId="479ADF32" w14:textId="77777777" w:rsidR="00943948" w:rsidRPr="002A3533" w:rsidRDefault="00944B8F" w:rsidP="00762FA7">
      <w:pPr>
        <w:tabs>
          <w:tab w:val="clear" w:pos="562"/>
        </w:tabs>
        <w:rPr>
          <w:del w:id="4112" w:author="AbbVie19" w:date="2025-04-16T10:42:00Z"/>
        </w:rPr>
      </w:pPr>
      <w:del w:id="4113" w:author="AbbVie19" w:date="2025-04-16T10:42:00Z">
        <w:r w:rsidRPr="00BC0E7E">
          <w:rPr>
            <w:szCs w:val="22"/>
          </w:rPr>
          <w:delText xml:space="preserve">The recommended dose of Humira for patients with enthesitis-related arthritis </w:delText>
        </w:r>
        <w:r>
          <w:rPr>
            <w:szCs w:val="22"/>
          </w:rPr>
          <w:delText xml:space="preserve">from </w:delText>
        </w:r>
        <w:r w:rsidRPr="00BC0E7E">
          <w:rPr>
            <w:bCs/>
            <w:iCs/>
            <w:szCs w:val="22"/>
          </w:rPr>
          <w:delText>6</w:delText>
        </w:r>
        <w:r w:rsidRPr="00BC0E7E">
          <w:delText> </w:delText>
        </w:r>
        <w:r w:rsidRPr="00BC0E7E">
          <w:rPr>
            <w:bCs/>
            <w:iCs/>
            <w:szCs w:val="22"/>
          </w:rPr>
          <w:delText xml:space="preserve">years of age </w:delText>
        </w:r>
        <w:r>
          <w:rPr>
            <w:bCs/>
            <w:iCs/>
            <w:szCs w:val="22"/>
          </w:rPr>
          <w:delText>is based on body weight (Table 2).</w:delText>
        </w:r>
        <w:r w:rsidR="005B7DD5">
          <w:rPr>
            <w:bCs/>
            <w:iCs/>
            <w:szCs w:val="22"/>
          </w:rPr>
          <w:delText xml:space="preserve"> </w:delText>
        </w:r>
        <w:r>
          <w:rPr>
            <w:szCs w:val="22"/>
          </w:rPr>
          <w:delText xml:space="preserve">Humira is </w:delText>
        </w:r>
        <w:r w:rsidRPr="00BC0E7E">
          <w:rPr>
            <w:szCs w:val="22"/>
          </w:rPr>
          <w:delText>administered every other week via subcutaneous injection.</w:delText>
        </w:r>
      </w:del>
    </w:p>
    <w:p w14:paraId="1B71492C" w14:textId="77777777" w:rsidR="00943948" w:rsidRDefault="00943948" w:rsidP="00762FA7">
      <w:pPr>
        <w:pStyle w:val="gtcbodytext"/>
        <w:spacing w:before="0" w:after="0" w:line="240" w:lineRule="auto"/>
        <w:rPr>
          <w:del w:id="4114" w:author="AbbVie19" w:date="2025-04-16T10:42:00Z"/>
          <w:szCs w:val="22"/>
        </w:rPr>
      </w:pPr>
    </w:p>
    <w:p w14:paraId="6410E5D0" w14:textId="77777777" w:rsidR="00943948" w:rsidRPr="003F7AAE" w:rsidRDefault="00944B8F" w:rsidP="00762FA7">
      <w:pPr>
        <w:jc w:val="center"/>
        <w:rPr>
          <w:del w:id="4115" w:author="AbbVie19" w:date="2025-04-16T10:42:00Z"/>
          <w:szCs w:val="22"/>
        </w:rPr>
      </w:pPr>
      <w:del w:id="4116" w:author="AbbVie19" w:date="2025-04-16T10:42:00Z">
        <w:r w:rsidRPr="00987440">
          <w:rPr>
            <w:b/>
            <w:szCs w:val="22"/>
          </w:rPr>
          <w:delText>Table</w:delText>
        </w:r>
        <w:r w:rsidRPr="00BF005B">
          <w:rPr>
            <w:b/>
            <w:szCs w:val="22"/>
          </w:rPr>
          <w:delText xml:space="preserve"> 2. Humira Dose for Patients with Enthesitis-Related Arthr</w:delText>
        </w:r>
        <w:r>
          <w:rPr>
            <w:b/>
            <w:szCs w:val="22"/>
          </w:rPr>
          <w:delText>i</w:delText>
        </w:r>
        <w:r w:rsidR="003F7AAE">
          <w:rPr>
            <w:b/>
            <w:szCs w:val="22"/>
          </w:rPr>
          <w:delText>tis</w:delText>
        </w:r>
      </w:del>
    </w:p>
    <w:p w14:paraId="774D4BAE" w14:textId="77777777" w:rsidR="00943948" w:rsidRPr="00BF005B" w:rsidRDefault="00943948" w:rsidP="00762FA7">
      <w:pPr>
        <w:rPr>
          <w:del w:id="4117" w:author="AbbVie19" w:date="2025-04-16T10:42:00Z"/>
          <w:szCs w:val="22"/>
        </w:rPr>
      </w:pPr>
    </w:p>
    <w:tbl>
      <w:tblPr>
        <w:tblW w:w="6795" w:type="dxa"/>
        <w:jc w:val="center"/>
        <w:tblLayout w:type="fixed"/>
        <w:tblLook w:val="0000" w:firstRow="0" w:lastRow="0" w:firstColumn="0" w:lastColumn="0" w:noHBand="0" w:noVBand="0"/>
      </w:tblPr>
      <w:tblGrid>
        <w:gridCol w:w="3401"/>
        <w:gridCol w:w="3394"/>
      </w:tblGrid>
      <w:tr w:rsidR="00C6578C" w14:paraId="50C37D03" w14:textId="77777777" w:rsidTr="004F68D4">
        <w:trPr>
          <w:tblHeader/>
          <w:jc w:val="center"/>
          <w:del w:id="4118" w:author="AbbVie19" w:date="2025-04-16T10:42:00Z"/>
        </w:trPr>
        <w:tc>
          <w:tcPr>
            <w:tcW w:w="3401" w:type="dxa"/>
            <w:tcBorders>
              <w:top w:val="single" w:sz="4" w:space="0" w:color="auto"/>
              <w:bottom w:val="single" w:sz="4" w:space="0" w:color="auto"/>
            </w:tcBorders>
          </w:tcPr>
          <w:p w14:paraId="6B5D3A5C" w14:textId="77777777" w:rsidR="00943948" w:rsidRPr="00BF005B" w:rsidRDefault="00944B8F" w:rsidP="00762FA7">
            <w:pPr>
              <w:pStyle w:val="TableLeft"/>
              <w:jc w:val="center"/>
              <w:rPr>
                <w:del w:id="4119" w:author="AbbVie19" w:date="2025-04-16T10:42:00Z"/>
                <w:b/>
                <w:szCs w:val="22"/>
              </w:rPr>
            </w:pPr>
            <w:del w:id="4120" w:author="AbbVie19" w:date="2025-04-16T10:42:00Z">
              <w:r w:rsidRPr="00BF005B">
                <w:rPr>
                  <w:b/>
                  <w:szCs w:val="22"/>
                </w:rPr>
                <w:delText>Patient Weight</w:delText>
              </w:r>
            </w:del>
          </w:p>
        </w:tc>
        <w:tc>
          <w:tcPr>
            <w:tcW w:w="3394" w:type="dxa"/>
            <w:tcBorders>
              <w:top w:val="single" w:sz="4" w:space="0" w:color="auto"/>
              <w:bottom w:val="single" w:sz="4" w:space="0" w:color="auto"/>
            </w:tcBorders>
          </w:tcPr>
          <w:p w14:paraId="7294C7D7" w14:textId="77777777" w:rsidR="00943948" w:rsidRPr="00BF005B" w:rsidRDefault="00944B8F" w:rsidP="00762FA7">
            <w:pPr>
              <w:pStyle w:val="TableLeft"/>
              <w:jc w:val="center"/>
              <w:rPr>
                <w:del w:id="4121" w:author="AbbVie19" w:date="2025-04-16T10:42:00Z"/>
                <w:b/>
                <w:szCs w:val="22"/>
              </w:rPr>
            </w:pPr>
            <w:del w:id="4122" w:author="AbbVie19" w:date="2025-04-16T10:42:00Z">
              <w:r w:rsidRPr="00BF005B">
                <w:rPr>
                  <w:b/>
                  <w:szCs w:val="22"/>
                </w:rPr>
                <w:delText>Dosing Regimen</w:delText>
              </w:r>
            </w:del>
          </w:p>
        </w:tc>
      </w:tr>
      <w:tr w:rsidR="00C6578C" w14:paraId="6FED9D26" w14:textId="77777777" w:rsidTr="004F68D4">
        <w:trPr>
          <w:tblHeader/>
          <w:jc w:val="center"/>
          <w:del w:id="4123" w:author="AbbVie19" w:date="2025-04-16T10:42:00Z"/>
        </w:trPr>
        <w:tc>
          <w:tcPr>
            <w:tcW w:w="3401" w:type="dxa"/>
            <w:tcBorders>
              <w:top w:val="single" w:sz="4" w:space="0" w:color="auto"/>
              <w:bottom w:val="single" w:sz="4" w:space="0" w:color="auto"/>
            </w:tcBorders>
          </w:tcPr>
          <w:p w14:paraId="769FCA4E" w14:textId="77777777" w:rsidR="00943948" w:rsidRPr="00BF005B" w:rsidRDefault="00944B8F" w:rsidP="00762FA7">
            <w:pPr>
              <w:pStyle w:val="TableLeft"/>
              <w:jc w:val="center"/>
              <w:rPr>
                <w:del w:id="4124" w:author="AbbVie19" w:date="2025-04-16T10:42:00Z"/>
                <w:b/>
                <w:szCs w:val="22"/>
              </w:rPr>
            </w:pPr>
            <w:del w:id="4125" w:author="AbbVie19" w:date="2025-04-16T10:42:00Z">
              <w:r w:rsidRPr="00BF005B">
                <w:rPr>
                  <w:szCs w:val="22"/>
                </w:rPr>
                <w:delText>1</w:delText>
              </w:r>
              <w:r>
                <w:rPr>
                  <w:szCs w:val="22"/>
                </w:rPr>
                <w:delText>5</w:delText>
              </w:r>
              <w:r w:rsidRPr="00BF005B">
                <w:rPr>
                  <w:szCs w:val="22"/>
                </w:rPr>
                <w:delText xml:space="preserve"> kg to &lt; 30 kg</w:delText>
              </w:r>
            </w:del>
          </w:p>
        </w:tc>
        <w:tc>
          <w:tcPr>
            <w:tcW w:w="3394" w:type="dxa"/>
            <w:tcBorders>
              <w:top w:val="single" w:sz="4" w:space="0" w:color="auto"/>
              <w:bottom w:val="single" w:sz="4" w:space="0" w:color="auto"/>
            </w:tcBorders>
          </w:tcPr>
          <w:p w14:paraId="6B2119F4" w14:textId="77777777" w:rsidR="00943948" w:rsidRPr="00BF005B" w:rsidRDefault="00944B8F" w:rsidP="00762FA7">
            <w:pPr>
              <w:pStyle w:val="TableLeft"/>
              <w:jc w:val="center"/>
              <w:rPr>
                <w:del w:id="4126" w:author="AbbVie19" w:date="2025-04-16T10:42:00Z"/>
                <w:b/>
                <w:szCs w:val="22"/>
              </w:rPr>
            </w:pPr>
            <w:del w:id="4127" w:author="AbbVie19" w:date="2025-04-16T10:42:00Z">
              <w:r w:rsidRPr="00BF005B">
                <w:rPr>
                  <w:szCs w:val="22"/>
                </w:rPr>
                <w:delText>20 mg every other week</w:delText>
              </w:r>
            </w:del>
          </w:p>
        </w:tc>
      </w:tr>
      <w:tr w:rsidR="00C6578C" w14:paraId="701F2B0F" w14:textId="77777777" w:rsidTr="004F68D4">
        <w:trPr>
          <w:tblHeader/>
          <w:jc w:val="center"/>
          <w:del w:id="4128" w:author="AbbVie19" w:date="2025-04-16T10:42:00Z"/>
        </w:trPr>
        <w:tc>
          <w:tcPr>
            <w:tcW w:w="3401" w:type="dxa"/>
            <w:tcBorders>
              <w:top w:val="single" w:sz="4" w:space="0" w:color="auto"/>
              <w:bottom w:val="single" w:sz="4" w:space="0" w:color="auto"/>
            </w:tcBorders>
          </w:tcPr>
          <w:p w14:paraId="09B2B039" w14:textId="77777777" w:rsidR="00943948" w:rsidRPr="00BF005B" w:rsidRDefault="00944B8F" w:rsidP="00762FA7">
            <w:pPr>
              <w:pStyle w:val="TableLeft"/>
              <w:jc w:val="center"/>
              <w:rPr>
                <w:del w:id="4129" w:author="AbbVie19" w:date="2025-04-16T10:42:00Z"/>
                <w:b/>
                <w:szCs w:val="22"/>
              </w:rPr>
            </w:pPr>
            <w:del w:id="4130" w:author="AbbVie19" w:date="2025-04-16T10:42:00Z">
              <w:r w:rsidRPr="00BF005B">
                <w:rPr>
                  <w:szCs w:val="22"/>
                </w:rPr>
                <w:delText>≥ 30 kg</w:delText>
              </w:r>
            </w:del>
          </w:p>
        </w:tc>
        <w:tc>
          <w:tcPr>
            <w:tcW w:w="3394" w:type="dxa"/>
            <w:tcBorders>
              <w:top w:val="single" w:sz="4" w:space="0" w:color="auto"/>
              <w:bottom w:val="single" w:sz="4" w:space="0" w:color="auto"/>
            </w:tcBorders>
          </w:tcPr>
          <w:p w14:paraId="271F2019" w14:textId="77777777" w:rsidR="00943948" w:rsidRPr="00BF005B" w:rsidRDefault="00944B8F" w:rsidP="00762FA7">
            <w:pPr>
              <w:pStyle w:val="TableLeft"/>
              <w:jc w:val="center"/>
              <w:rPr>
                <w:del w:id="4131" w:author="AbbVie19" w:date="2025-04-16T10:42:00Z"/>
                <w:b/>
                <w:szCs w:val="22"/>
              </w:rPr>
            </w:pPr>
            <w:del w:id="4132" w:author="AbbVie19" w:date="2025-04-16T10:42:00Z">
              <w:r w:rsidRPr="00BF005B">
                <w:rPr>
                  <w:szCs w:val="22"/>
                </w:rPr>
                <w:delText>40 mg every other week</w:delText>
              </w:r>
            </w:del>
          </w:p>
        </w:tc>
      </w:tr>
    </w:tbl>
    <w:p w14:paraId="76C3BF54" w14:textId="77777777" w:rsidR="00BC0E7E" w:rsidRPr="00BC0E7E" w:rsidRDefault="00BC0E7E" w:rsidP="00762FA7">
      <w:pPr>
        <w:tabs>
          <w:tab w:val="clear" w:pos="562"/>
        </w:tabs>
        <w:suppressAutoHyphens w:val="0"/>
        <w:rPr>
          <w:del w:id="4133" w:author="AbbVie19" w:date="2025-04-16T10:42:00Z"/>
          <w:szCs w:val="22"/>
        </w:rPr>
      </w:pPr>
    </w:p>
    <w:p w14:paraId="4E8FF479" w14:textId="77777777" w:rsidR="00BC0E7E" w:rsidRPr="00BC0E7E" w:rsidRDefault="00944B8F" w:rsidP="00762FA7">
      <w:pPr>
        <w:tabs>
          <w:tab w:val="clear" w:pos="562"/>
        </w:tabs>
        <w:suppressAutoHyphens w:val="0"/>
        <w:rPr>
          <w:del w:id="4134" w:author="AbbVie19" w:date="2025-04-16T10:42:00Z"/>
          <w:szCs w:val="22"/>
        </w:rPr>
      </w:pPr>
      <w:del w:id="4135" w:author="AbbVie19" w:date="2025-04-16T10:42:00Z">
        <w:r w:rsidRPr="00BC0E7E">
          <w:rPr>
            <w:szCs w:val="22"/>
          </w:rPr>
          <w:delText>Humira has not been studied in patients with enthesitis-related arthritis aged less than 6</w:delText>
        </w:r>
        <w:r w:rsidRPr="00BC0E7E">
          <w:rPr>
            <w:sz w:val="24"/>
          </w:rPr>
          <w:delText> </w:delText>
        </w:r>
        <w:r w:rsidRPr="00BC0E7E">
          <w:rPr>
            <w:szCs w:val="22"/>
          </w:rPr>
          <w:delText>years.</w:delText>
        </w:r>
      </w:del>
    </w:p>
    <w:p w14:paraId="03A2A2A6" w14:textId="77777777" w:rsidR="006B49F3" w:rsidRDefault="006B49F3" w:rsidP="00762FA7">
      <w:pPr>
        <w:keepNext/>
        <w:rPr>
          <w:del w:id="4136" w:author="AbbVie19" w:date="2025-04-16T10:42:00Z"/>
          <w:szCs w:val="22"/>
        </w:rPr>
      </w:pPr>
    </w:p>
    <w:p w14:paraId="114661DF" w14:textId="77777777" w:rsidR="006B49F3" w:rsidRPr="002A3533" w:rsidRDefault="00944B8F" w:rsidP="00762FA7">
      <w:pPr>
        <w:keepNext/>
        <w:rPr>
          <w:del w:id="4137" w:author="AbbVie19" w:date="2025-04-16T10:42:00Z"/>
        </w:rPr>
      </w:pPr>
      <w:del w:id="4138" w:author="AbbVie19" w:date="2025-04-16T10:42:00Z">
        <w:r w:rsidRPr="00154096">
          <w:rPr>
            <w:szCs w:val="22"/>
          </w:rPr>
          <w:delText>Humira may be available in other strengths and/or presentations depending on the individual treatment needs</w:delText>
        </w:r>
        <w:r>
          <w:rPr>
            <w:szCs w:val="22"/>
          </w:rPr>
          <w:delText>.</w:delText>
        </w:r>
      </w:del>
    </w:p>
    <w:p w14:paraId="542557E4" w14:textId="77777777" w:rsidR="00BC0E7E" w:rsidRPr="00BC0E7E" w:rsidRDefault="00BC0E7E" w:rsidP="00762FA7">
      <w:pPr>
        <w:rPr>
          <w:del w:id="4139" w:author="AbbVie19" w:date="2025-04-16T10:42:00Z"/>
        </w:rPr>
      </w:pPr>
    </w:p>
    <w:p w14:paraId="37A9A24A" w14:textId="77777777" w:rsidR="00385150" w:rsidRPr="00BC0E7E" w:rsidRDefault="00944B8F" w:rsidP="00762FA7">
      <w:pPr>
        <w:keepNext/>
        <w:rPr>
          <w:del w:id="4140" w:author="AbbVie19" w:date="2025-04-16T10:42:00Z"/>
          <w:szCs w:val="20"/>
          <w:u w:val="single"/>
        </w:rPr>
      </w:pPr>
      <w:del w:id="4141" w:author="AbbVie19" w:date="2025-04-16T10:42:00Z">
        <w:r w:rsidRPr="00BC0E7E">
          <w:rPr>
            <w:i/>
            <w:szCs w:val="20"/>
          </w:rPr>
          <w:delText>Psoriatic arthritis and axial spondyloarthritis including ankylosing spondyliti</w:delText>
        </w:r>
        <w:r w:rsidRPr="00BC0E7E">
          <w:rPr>
            <w:szCs w:val="20"/>
          </w:rPr>
          <w:delText>s</w:delText>
        </w:r>
      </w:del>
    </w:p>
    <w:p w14:paraId="01C3D045" w14:textId="77777777" w:rsidR="00385150" w:rsidRPr="00BC0E7E" w:rsidRDefault="00385150" w:rsidP="00762FA7">
      <w:pPr>
        <w:keepNext/>
        <w:rPr>
          <w:del w:id="4142" w:author="AbbVie19" w:date="2025-04-16T10:42:00Z"/>
          <w:szCs w:val="20"/>
          <w:u w:val="single"/>
        </w:rPr>
      </w:pPr>
    </w:p>
    <w:p w14:paraId="5019A34F" w14:textId="77777777" w:rsidR="00385150" w:rsidRPr="00BC0E7E" w:rsidRDefault="00944B8F" w:rsidP="00762FA7">
      <w:pPr>
        <w:keepNext/>
        <w:rPr>
          <w:del w:id="4143" w:author="AbbVie19" w:date="2025-04-16T10:42:00Z"/>
          <w:szCs w:val="20"/>
        </w:rPr>
      </w:pPr>
      <w:del w:id="4144" w:author="AbbVie19" w:date="2025-04-16T10:42:00Z">
        <w:r w:rsidRPr="00BC0E7E">
          <w:rPr>
            <w:szCs w:val="20"/>
          </w:rPr>
          <w:delText>There is no relevant use of Humira in the paediatric population for the indications of ankylosing spondylitis and psoriatic arthritis.</w:delText>
        </w:r>
      </w:del>
    </w:p>
    <w:p w14:paraId="029AE90B" w14:textId="77777777" w:rsidR="00385150" w:rsidRPr="00BC0E7E" w:rsidRDefault="00385150" w:rsidP="00762FA7">
      <w:pPr>
        <w:rPr>
          <w:del w:id="4145" w:author="AbbVie19" w:date="2025-04-16T10:42:00Z"/>
          <w:szCs w:val="20"/>
          <w:u w:val="single"/>
        </w:rPr>
      </w:pPr>
    </w:p>
    <w:p w14:paraId="0BEAFF3A" w14:textId="77777777" w:rsidR="00BC0E7E" w:rsidRPr="00BC0E7E" w:rsidRDefault="00944B8F" w:rsidP="00762FA7">
      <w:pPr>
        <w:rPr>
          <w:del w:id="4146" w:author="AbbVie19" w:date="2025-04-16T10:42:00Z"/>
          <w:i/>
        </w:rPr>
      </w:pPr>
      <w:del w:id="4147" w:author="AbbVie19" w:date="2025-04-16T10:42:00Z">
        <w:r w:rsidRPr="00BC0E7E">
          <w:rPr>
            <w:i/>
          </w:rPr>
          <w:delText>Paediatric plaque psoriasis</w:delText>
        </w:r>
      </w:del>
    </w:p>
    <w:p w14:paraId="514DF856" w14:textId="77777777" w:rsidR="00BC0E7E" w:rsidRPr="00BC0E7E" w:rsidRDefault="00BC0E7E" w:rsidP="00762FA7">
      <w:pPr>
        <w:rPr>
          <w:del w:id="4148" w:author="AbbVie19" w:date="2025-04-16T10:42:00Z"/>
        </w:rPr>
      </w:pPr>
    </w:p>
    <w:p w14:paraId="373CE8C7" w14:textId="77777777" w:rsidR="00943948" w:rsidRDefault="00944B8F" w:rsidP="00762FA7">
      <w:pPr>
        <w:pStyle w:val="EMEAHeadingUnderline"/>
        <w:spacing w:beforeLines="0" w:afterLines="0"/>
        <w:rPr>
          <w:del w:id="4149" w:author="AbbVie19" w:date="2025-04-16T10:42:00Z"/>
        </w:rPr>
      </w:pPr>
      <w:del w:id="4150" w:author="AbbVie19" w:date="2025-04-16T10:42:00Z">
        <w:r w:rsidRPr="00B655CE">
          <w:delText>The recommended Humira dose f</w:delText>
        </w:r>
        <w:r>
          <w:delText>or patients with plaque psoriasis from 4 to 17 years of age is based on body weight (Table 3).</w:delText>
        </w:r>
        <w:r w:rsidRPr="00B655CE">
          <w:delText xml:space="preserve"> Humira is administered </w:delText>
        </w:r>
        <w:r>
          <w:delText>via subcutaneous injection.</w:delText>
        </w:r>
        <w:r w:rsidRPr="002A3533">
          <w:delText xml:space="preserve"> </w:delText>
        </w:r>
      </w:del>
    </w:p>
    <w:p w14:paraId="36BAFA47" w14:textId="77777777" w:rsidR="00943948" w:rsidRDefault="00943948" w:rsidP="00762FA7">
      <w:pPr>
        <w:pStyle w:val="EMEAHeadingUnderline"/>
        <w:spacing w:beforeLines="0" w:afterLines="0"/>
        <w:rPr>
          <w:del w:id="4151" w:author="AbbVie19" w:date="2025-04-16T10:42:00Z"/>
        </w:rPr>
      </w:pPr>
    </w:p>
    <w:p w14:paraId="3E20436B" w14:textId="77777777" w:rsidR="00943948" w:rsidRPr="003F7AAE" w:rsidRDefault="00944B8F" w:rsidP="00762FA7">
      <w:pPr>
        <w:keepNext/>
        <w:jc w:val="center"/>
        <w:rPr>
          <w:del w:id="4152" w:author="AbbVie19" w:date="2025-04-16T10:42:00Z"/>
          <w:szCs w:val="22"/>
        </w:rPr>
      </w:pPr>
      <w:del w:id="4153" w:author="AbbVie19" w:date="2025-04-16T10:42:00Z">
        <w:r w:rsidRPr="00754D21">
          <w:rPr>
            <w:b/>
            <w:szCs w:val="22"/>
          </w:rPr>
          <w:delText xml:space="preserve">Table 3. Humira Dose </w:delText>
        </w:r>
        <w:r w:rsidRPr="008E3986">
          <w:rPr>
            <w:b/>
            <w:szCs w:val="22"/>
          </w:rPr>
          <w:delText>for Paediat</w:delText>
        </w:r>
        <w:r>
          <w:rPr>
            <w:b/>
            <w:szCs w:val="22"/>
          </w:rPr>
          <w:delText>ric</w:delText>
        </w:r>
        <w:r w:rsidR="003F7AAE">
          <w:rPr>
            <w:b/>
            <w:szCs w:val="22"/>
          </w:rPr>
          <w:delText xml:space="preserve"> Patients with Plaque Psoriasis</w:delText>
        </w:r>
      </w:del>
    </w:p>
    <w:p w14:paraId="76C7409A" w14:textId="77777777" w:rsidR="00943948" w:rsidRPr="00BF005B" w:rsidRDefault="00943948" w:rsidP="00762FA7">
      <w:pPr>
        <w:keepNext/>
        <w:rPr>
          <w:del w:id="4154" w:author="AbbVie19" w:date="2025-04-16T10:42:00Z"/>
          <w:szCs w:val="22"/>
        </w:rPr>
      </w:pPr>
    </w:p>
    <w:tbl>
      <w:tblPr>
        <w:tblW w:w="6795" w:type="dxa"/>
        <w:jc w:val="center"/>
        <w:tblLayout w:type="fixed"/>
        <w:tblLook w:val="0000" w:firstRow="0" w:lastRow="0" w:firstColumn="0" w:lastColumn="0" w:noHBand="0" w:noVBand="0"/>
      </w:tblPr>
      <w:tblGrid>
        <w:gridCol w:w="3401"/>
        <w:gridCol w:w="3394"/>
      </w:tblGrid>
      <w:tr w:rsidR="00C6578C" w14:paraId="159C1E8E" w14:textId="77777777" w:rsidTr="004F68D4">
        <w:trPr>
          <w:tblHeader/>
          <w:jc w:val="center"/>
          <w:del w:id="4155" w:author="AbbVie19" w:date="2025-04-16T10:42:00Z"/>
        </w:trPr>
        <w:tc>
          <w:tcPr>
            <w:tcW w:w="3401" w:type="dxa"/>
            <w:tcBorders>
              <w:top w:val="single" w:sz="4" w:space="0" w:color="auto"/>
              <w:bottom w:val="single" w:sz="4" w:space="0" w:color="auto"/>
            </w:tcBorders>
          </w:tcPr>
          <w:p w14:paraId="550640E4" w14:textId="77777777" w:rsidR="00943948" w:rsidRPr="00BF005B" w:rsidRDefault="00944B8F" w:rsidP="00762FA7">
            <w:pPr>
              <w:pStyle w:val="TableLeft"/>
              <w:jc w:val="center"/>
              <w:rPr>
                <w:del w:id="4156" w:author="AbbVie19" w:date="2025-04-16T10:42:00Z"/>
                <w:b/>
                <w:szCs w:val="22"/>
              </w:rPr>
            </w:pPr>
            <w:del w:id="4157" w:author="AbbVie19" w:date="2025-04-16T10:42:00Z">
              <w:r w:rsidRPr="00BF005B">
                <w:rPr>
                  <w:b/>
                  <w:szCs w:val="22"/>
                </w:rPr>
                <w:delText>Patient Weight</w:delText>
              </w:r>
            </w:del>
          </w:p>
        </w:tc>
        <w:tc>
          <w:tcPr>
            <w:tcW w:w="3394" w:type="dxa"/>
            <w:tcBorders>
              <w:top w:val="single" w:sz="4" w:space="0" w:color="auto"/>
              <w:bottom w:val="single" w:sz="4" w:space="0" w:color="auto"/>
            </w:tcBorders>
          </w:tcPr>
          <w:p w14:paraId="6BF448DC" w14:textId="77777777" w:rsidR="00943948" w:rsidRPr="00BF005B" w:rsidRDefault="00944B8F" w:rsidP="00762FA7">
            <w:pPr>
              <w:pStyle w:val="TableLeft"/>
              <w:jc w:val="center"/>
              <w:rPr>
                <w:del w:id="4158" w:author="AbbVie19" w:date="2025-04-16T10:42:00Z"/>
                <w:b/>
                <w:szCs w:val="22"/>
              </w:rPr>
            </w:pPr>
            <w:del w:id="4159" w:author="AbbVie19" w:date="2025-04-16T10:42:00Z">
              <w:r w:rsidRPr="00BF005B">
                <w:rPr>
                  <w:b/>
                  <w:szCs w:val="22"/>
                </w:rPr>
                <w:delText>Dosing Regimen</w:delText>
              </w:r>
            </w:del>
          </w:p>
        </w:tc>
      </w:tr>
      <w:tr w:rsidR="00C6578C" w14:paraId="4CFD1BBF" w14:textId="77777777" w:rsidTr="004F68D4">
        <w:trPr>
          <w:tblHeader/>
          <w:jc w:val="center"/>
          <w:del w:id="4160" w:author="AbbVie19" w:date="2025-04-16T10:42:00Z"/>
        </w:trPr>
        <w:tc>
          <w:tcPr>
            <w:tcW w:w="3401" w:type="dxa"/>
            <w:tcBorders>
              <w:top w:val="single" w:sz="4" w:space="0" w:color="auto"/>
              <w:bottom w:val="single" w:sz="4" w:space="0" w:color="auto"/>
            </w:tcBorders>
          </w:tcPr>
          <w:p w14:paraId="214CE02A" w14:textId="77777777" w:rsidR="00943948" w:rsidRPr="00BF005B" w:rsidRDefault="00944B8F" w:rsidP="00762FA7">
            <w:pPr>
              <w:pStyle w:val="TableLeft"/>
              <w:jc w:val="center"/>
              <w:rPr>
                <w:del w:id="4161" w:author="AbbVie19" w:date="2025-04-16T10:42:00Z"/>
                <w:b/>
                <w:szCs w:val="22"/>
              </w:rPr>
            </w:pPr>
            <w:del w:id="4162" w:author="AbbVie19" w:date="2025-04-16T10:42:00Z">
              <w:r w:rsidRPr="00BF005B">
                <w:rPr>
                  <w:szCs w:val="22"/>
                </w:rPr>
                <w:delText>1</w:delText>
              </w:r>
              <w:r>
                <w:rPr>
                  <w:szCs w:val="22"/>
                </w:rPr>
                <w:delText>5</w:delText>
              </w:r>
              <w:r w:rsidRPr="00BF005B">
                <w:rPr>
                  <w:szCs w:val="22"/>
                </w:rPr>
                <w:delText xml:space="preserve"> kg to &lt; 30 kg</w:delText>
              </w:r>
            </w:del>
          </w:p>
        </w:tc>
        <w:tc>
          <w:tcPr>
            <w:tcW w:w="3394" w:type="dxa"/>
            <w:tcBorders>
              <w:top w:val="single" w:sz="4" w:space="0" w:color="auto"/>
              <w:bottom w:val="single" w:sz="4" w:space="0" w:color="auto"/>
            </w:tcBorders>
          </w:tcPr>
          <w:p w14:paraId="1D40760A" w14:textId="77777777" w:rsidR="00943948" w:rsidRPr="00145558" w:rsidRDefault="00944B8F" w:rsidP="00762FA7">
            <w:pPr>
              <w:pStyle w:val="TableLeft"/>
              <w:jc w:val="center"/>
              <w:rPr>
                <w:del w:id="4163" w:author="AbbVie19" w:date="2025-04-16T10:42:00Z"/>
                <w:b/>
                <w:szCs w:val="22"/>
              </w:rPr>
            </w:pPr>
            <w:del w:id="4164" w:author="AbbVie19" w:date="2025-04-16T10:42:00Z">
              <w:r w:rsidRPr="00145558">
                <w:rPr>
                  <w:szCs w:val="22"/>
                </w:rPr>
                <w:delText>Initial dose of 20 mg, followed by 20 mg given every other week starting one week after the initial dose</w:delText>
              </w:r>
            </w:del>
          </w:p>
        </w:tc>
      </w:tr>
      <w:tr w:rsidR="00C6578C" w14:paraId="4AE4EDF1" w14:textId="77777777" w:rsidTr="004F68D4">
        <w:trPr>
          <w:tblHeader/>
          <w:jc w:val="center"/>
          <w:del w:id="4165" w:author="AbbVie19" w:date="2025-04-16T10:42:00Z"/>
        </w:trPr>
        <w:tc>
          <w:tcPr>
            <w:tcW w:w="3401" w:type="dxa"/>
            <w:tcBorders>
              <w:top w:val="single" w:sz="4" w:space="0" w:color="auto"/>
              <w:bottom w:val="single" w:sz="4" w:space="0" w:color="auto"/>
            </w:tcBorders>
          </w:tcPr>
          <w:p w14:paraId="251E5E7B" w14:textId="77777777" w:rsidR="00943948" w:rsidRPr="00BF005B" w:rsidRDefault="00944B8F" w:rsidP="00762FA7">
            <w:pPr>
              <w:pStyle w:val="TableLeft"/>
              <w:jc w:val="center"/>
              <w:rPr>
                <w:del w:id="4166" w:author="AbbVie19" w:date="2025-04-16T10:42:00Z"/>
                <w:b/>
                <w:szCs w:val="22"/>
              </w:rPr>
            </w:pPr>
            <w:del w:id="4167" w:author="AbbVie19" w:date="2025-04-16T10:42:00Z">
              <w:r w:rsidRPr="00BF005B">
                <w:rPr>
                  <w:szCs w:val="22"/>
                </w:rPr>
                <w:delText>≥ 30 kg</w:delText>
              </w:r>
            </w:del>
          </w:p>
        </w:tc>
        <w:tc>
          <w:tcPr>
            <w:tcW w:w="3394" w:type="dxa"/>
            <w:tcBorders>
              <w:top w:val="single" w:sz="4" w:space="0" w:color="auto"/>
              <w:bottom w:val="single" w:sz="4" w:space="0" w:color="auto"/>
            </w:tcBorders>
          </w:tcPr>
          <w:p w14:paraId="191B6456" w14:textId="77777777" w:rsidR="00943948" w:rsidRPr="00145558" w:rsidRDefault="00944B8F" w:rsidP="00762FA7">
            <w:pPr>
              <w:pStyle w:val="TableLeft"/>
              <w:jc w:val="center"/>
              <w:rPr>
                <w:del w:id="4168" w:author="AbbVie19" w:date="2025-04-16T10:42:00Z"/>
                <w:b/>
                <w:szCs w:val="22"/>
              </w:rPr>
            </w:pPr>
            <w:del w:id="4169" w:author="AbbVie19" w:date="2025-04-16T10:42:00Z">
              <w:r w:rsidRPr="00145558">
                <w:rPr>
                  <w:szCs w:val="22"/>
                </w:rPr>
                <w:delText>Initial dose of 40 mg, followed by 40 mg given every other week starting one week after the initial dose</w:delText>
              </w:r>
            </w:del>
          </w:p>
        </w:tc>
      </w:tr>
    </w:tbl>
    <w:p w14:paraId="4B8900F4" w14:textId="77777777" w:rsidR="00943948" w:rsidRDefault="00943948" w:rsidP="00762FA7">
      <w:pPr>
        <w:pStyle w:val="EMEAHeadingUnderline"/>
        <w:spacing w:beforeLines="0" w:afterLines="0"/>
        <w:rPr>
          <w:del w:id="4170" w:author="AbbVie19" w:date="2025-04-16T10:42:00Z"/>
        </w:rPr>
      </w:pPr>
    </w:p>
    <w:p w14:paraId="61F678A4" w14:textId="77777777" w:rsidR="00BC0E7E" w:rsidRPr="00BC0E7E" w:rsidRDefault="00944B8F" w:rsidP="00762FA7">
      <w:pPr>
        <w:rPr>
          <w:del w:id="4171" w:author="AbbVie19" w:date="2025-04-16T10:42:00Z"/>
          <w:szCs w:val="20"/>
        </w:rPr>
      </w:pPr>
      <w:del w:id="4172" w:author="AbbVie19" w:date="2025-04-16T10:42:00Z">
        <w:r w:rsidRPr="00BC0E7E">
          <w:rPr>
            <w:szCs w:val="20"/>
          </w:rPr>
          <w:lastRenderedPageBreak/>
          <w:delText>Continued therapy beyond 16</w:delText>
        </w:r>
        <w:r w:rsidR="004916FC">
          <w:rPr>
            <w:szCs w:val="20"/>
            <w:u w:val="single"/>
          </w:rPr>
          <w:delText xml:space="preserve"> </w:delText>
        </w:r>
        <w:r w:rsidRPr="00BC0E7E">
          <w:rPr>
            <w:szCs w:val="20"/>
          </w:rPr>
          <w:delText>weeks should be carefully considered in a patient not responding within this time period.</w:delText>
        </w:r>
      </w:del>
    </w:p>
    <w:p w14:paraId="477F09EA" w14:textId="77777777" w:rsidR="00BC0E7E" w:rsidRPr="00BC0E7E" w:rsidRDefault="00BC0E7E" w:rsidP="00762FA7">
      <w:pPr>
        <w:rPr>
          <w:del w:id="4173" w:author="AbbVie19" w:date="2025-04-16T10:42:00Z"/>
          <w:szCs w:val="20"/>
        </w:rPr>
      </w:pPr>
    </w:p>
    <w:p w14:paraId="6FAC23C8" w14:textId="77777777" w:rsidR="00BC0E7E" w:rsidRPr="00BC0E7E" w:rsidRDefault="00944B8F" w:rsidP="00762FA7">
      <w:pPr>
        <w:rPr>
          <w:del w:id="4174" w:author="AbbVie19" w:date="2025-04-16T10:42:00Z"/>
          <w:szCs w:val="20"/>
        </w:rPr>
      </w:pPr>
      <w:del w:id="4175" w:author="AbbVie19" w:date="2025-04-16T10:42:00Z">
        <w:r w:rsidRPr="00BC0E7E">
          <w:rPr>
            <w:szCs w:val="20"/>
          </w:rPr>
          <w:delText>If retreatment with Humira is indicated, the above guidance on dose and treatment duration should be followed.</w:delText>
        </w:r>
      </w:del>
    </w:p>
    <w:p w14:paraId="39E59E53" w14:textId="77777777" w:rsidR="00BC0E7E" w:rsidRPr="00BC0E7E" w:rsidRDefault="00BC0E7E" w:rsidP="00762FA7">
      <w:pPr>
        <w:rPr>
          <w:del w:id="4176" w:author="AbbVie19" w:date="2025-04-16T10:42:00Z"/>
          <w:szCs w:val="20"/>
        </w:rPr>
      </w:pPr>
    </w:p>
    <w:p w14:paraId="38F7BAEF" w14:textId="77777777" w:rsidR="00BC0E7E" w:rsidRPr="00BC0E7E" w:rsidRDefault="00944B8F" w:rsidP="00762FA7">
      <w:pPr>
        <w:rPr>
          <w:del w:id="4177" w:author="AbbVie19" w:date="2025-04-16T10:42:00Z"/>
          <w:szCs w:val="20"/>
        </w:rPr>
      </w:pPr>
      <w:del w:id="4178" w:author="AbbVie19" w:date="2025-04-16T10:42:00Z">
        <w:r w:rsidRPr="00BC0E7E">
          <w:rPr>
            <w:szCs w:val="20"/>
          </w:rPr>
          <w:delText>The safety of Humira in paediatric patients with plaque psoriasis has been assessed for a mean of 13 months.</w:delText>
        </w:r>
      </w:del>
    </w:p>
    <w:p w14:paraId="12CB2211" w14:textId="77777777" w:rsidR="00BC0E7E" w:rsidRPr="00BC0E7E" w:rsidRDefault="00BC0E7E" w:rsidP="00762FA7">
      <w:pPr>
        <w:rPr>
          <w:del w:id="4179" w:author="AbbVie19" w:date="2025-04-16T10:42:00Z"/>
          <w:szCs w:val="20"/>
        </w:rPr>
      </w:pPr>
    </w:p>
    <w:p w14:paraId="15E6A558" w14:textId="77777777" w:rsidR="00BC0E7E" w:rsidRPr="00BC0E7E" w:rsidRDefault="00944B8F" w:rsidP="00762FA7">
      <w:pPr>
        <w:rPr>
          <w:del w:id="4180" w:author="AbbVie19" w:date="2025-04-16T10:42:00Z"/>
          <w:szCs w:val="20"/>
        </w:rPr>
      </w:pPr>
      <w:del w:id="4181" w:author="AbbVie19" w:date="2025-04-16T10:42:00Z">
        <w:r w:rsidRPr="00BC0E7E">
          <w:rPr>
            <w:szCs w:val="20"/>
          </w:rPr>
          <w:delText>There is no relevant use of Humira in children aged less than 4</w:delText>
        </w:r>
        <w:r w:rsidR="009478FF">
          <w:rPr>
            <w:szCs w:val="20"/>
            <w:u w:val="single"/>
          </w:rPr>
          <w:delText> </w:delText>
        </w:r>
        <w:r w:rsidRPr="00BC0E7E">
          <w:rPr>
            <w:szCs w:val="20"/>
          </w:rPr>
          <w:delText>years for this indication.</w:delText>
        </w:r>
      </w:del>
    </w:p>
    <w:p w14:paraId="4C61D92A" w14:textId="77777777" w:rsidR="006B49F3" w:rsidRDefault="006B49F3" w:rsidP="00762FA7">
      <w:pPr>
        <w:keepNext/>
        <w:rPr>
          <w:del w:id="4182" w:author="AbbVie19" w:date="2025-04-16T10:42:00Z"/>
          <w:szCs w:val="22"/>
        </w:rPr>
      </w:pPr>
    </w:p>
    <w:p w14:paraId="60D502F0" w14:textId="77777777" w:rsidR="006B49F3" w:rsidRPr="002A3533" w:rsidRDefault="00944B8F" w:rsidP="00762FA7">
      <w:pPr>
        <w:keepNext/>
        <w:rPr>
          <w:del w:id="4183" w:author="AbbVie19" w:date="2025-04-16T10:42:00Z"/>
        </w:rPr>
      </w:pPr>
      <w:del w:id="4184" w:author="AbbVie19" w:date="2025-04-16T10:42:00Z">
        <w:r w:rsidRPr="00154096">
          <w:rPr>
            <w:szCs w:val="22"/>
          </w:rPr>
          <w:delText>Humira may be available in other strengths and/or presentations depending on the individual treatment needs</w:delText>
        </w:r>
        <w:r>
          <w:rPr>
            <w:szCs w:val="22"/>
          </w:rPr>
          <w:delText>.</w:delText>
        </w:r>
      </w:del>
    </w:p>
    <w:p w14:paraId="66DE937E" w14:textId="77777777" w:rsidR="00BC0E7E" w:rsidRPr="00BC0E7E" w:rsidRDefault="00BC0E7E" w:rsidP="00762FA7">
      <w:pPr>
        <w:rPr>
          <w:del w:id="4185" w:author="AbbVie19" w:date="2025-04-16T10:42:00Z"/>
          <w:szCs w:val="20"/>
        </w:rPr>
      </w:pPr>
    </w:p>
    <w:p w14:paraId="03CD2E9B" w14:textId="77777777" w:rsidR="00BC0E7E" w:rsidRPr="00BC0E7E" w:rsidRDefault="00944B8F" w:rsidP="00762FA7">
      <w:pPr>
        <w:keepNext/>
        <w:rPr>
          <w:del w:id="4186" w:author="AbbVie19" w:date="2025-04-16T10:42:00Z"/>
          <w:i/>
        </w:rPr>
      </w:pPr>
      <w:del w:id="4187" w:author="AbbVie19" w:date="2025-04-16T10:42:00Z">
        <w:r w:rsidRPr="00BC0E7E">
          <w:rPr>
            <w:i/>
          </w:rPr>
          <w:delText>Adolescent hidradenitis suppurativa (from 12 years of age, weighing at least 30 kg)</w:delText>
        </w:r>
      </w:del>
    </w:p>
    <w:p w14:paraId="71819E03" w14:textId="77777777" w:rsidR="00BC0E7E" w:rsidRPr="00BC0E7E" w:rsidRDefault="00BC0E7E" w:rsidP="00762FA7">
      <w:pPr>
        <w:keepNext/>
        <w:rPr>
          <w:del w:id="4188" w:author="AbbVie19" w:date="2025-04-16T10:42:00Z"/>
          <w:i/>
        </w:rPr>
      </w:pPr>
    </w:p>
    <w:p w14:paraId="1497D1A7" w14:textId="77777777" w:rsidR="00BC0E7E" w:rsidRPr="00BC0E7E" w:rsidRDefault="00944B8F" w:rsidP="00762FA7">
      <w:pPr>
        <w:rPr>
          <w:del w:id="4189" w:author="AbbVie19" w:date="2025-04-16T10:42:00Z"/>
          <w:shd w:val="clear" w:color="auto" w:fill="FFFFFF"/>
        </w:rPr>
      </w:pPr>
      <w:del w:id="4190" w:author="AbbVie19" w:date="2025-04-16T10:42:00Z">
        <w:r w:rsidRPr="00BC0E7E">
          <w:delText>There are no clinical trials with Humira in adolescent patients with HS.  The posology of Humira in these patients has been determined from pharmacokinetic modelling and simulation (see section 5.2).</w:delText>
        </w:r>
      </w:del>
    </w:p>
    <w:p w14:paraId="1F52B130" w14:textId="77777777" w:rsidR="00BC0E7E" w:rsidRPr="00BC0E7E" w:rsidRDefault="00BC0E7E" w:rsidP="00762FA7">
      <w:pPr>
        <w:rPr>
          <w:del w:id="4191" w:author="AbbVie19" w:date="2025-04-16T10:42:00Z"/>
          <w:szCs w:val="20"/>
        </w:rPr>
      </w:pPr>
    </w:p>
    <w:p w14:paraId="426436C9" w14:textId="77777777" w:rsidR="00BC0E7E" w:rsidRPr="00BC0E7E" w:rsidRDefault="00944B8F" w:rsidP="00762FA7">
      <w:pPr>
        <w:rPr>
          <w:del w:id="4192" w:author="AbbVie19" w:date="2025-04-16T10:42:00Z"/>
          <w:szCs w:val="20"/>
        </w:rPr>
      </w:pPr>
      <w:del w:id="4193" w:author="AbbVie19" w:date="2025-04-16T10:42:00Z">
        <w:r w:rsidRPr="00BC0E7E">
          <w:rPr>
            <w:szCs w:val="20"/>
          </w:rPr>
          <w:delText xml:space="preserve">The recommended Humira dose is 80 mg at Week 0 followed by 40 mg every other week starting at Week 1 via subcutaneous injection. </w:delText>
        </w:r>
      </w:del>
    </w:p>
    <w:p w14:paraId="19968747" w14:textId="77777777" w:rsidR="00BC0E7E" w:rsidRPr="00BC0E7E" w:rsidRDefault="00BC0E7E" w:rsidP="00762FA7">
      <w:pPr>
        <w:rPr>
          <w:del w:id="4194" w:author="AbbVie19" w:date="2025-04-16T10:42:00Z"/>
          <w:szCs w:val="20"/>
        </w:rPr>
      </w:pPr>
    </w:p>
    <w:p w14:paraId="3ED0627E" w14:textId="77777777" w:rsidR="00BC0E7E" w:rsidRPr="00BC0E7E" w:rsidRDefault="00944B8F" w:rsidP="00762FA7">
      <w:pPr>
        <w:rPr>
          <w:del w:id="4195" w:author="AbbVie19" w:date="2025-04-16T10:42:00Z"/>
        </w:rPr>
      </w:pPr>
      <w:del w:id="4196" w:author="AbbVie19" w:date="2025-04-16T10:42:00Z">
        <w:r w:rsidRPr="00BC0E7E">
          <w:delText>In adolescent patients with inadequate response to Humira 40 mg every other week, an increase in dos</w:delText>
        </w:r>
        <w:r w:rsidR="007C2DFF">
          <w:delText>age</w:delText>
        </w:r>
        <w:r w:rsidRPr="00BC0E7E">
          <w:delText xml:space="preserve"> to 40 mg every week </w:delText>
        </w:r>
        <w:r w:rsidR="007C2DFF">
          <w:delText>or 80</w:delText>
        </w:r>
        <w:r w:rsidR="00E6118C">
          <w:delText> </w:delText>
        </w:r>
        <w:r w:rsidR="007C2DFF">
          <w:delText xml:space="preserve">mg every other week </w:delText>
        </w:r>
        <w:r w:rsidRPr="00BC0E7E">
          <w:delText>may be considered.</w:delText>
        </w:r>
      </w:del>
    </w:p>
    <w:p w14:paraId="5B5F6259" w14:textId="77777777" w:rsidR="00BC0E7E" w:rsidRPr="00BC0E7E" w:rsidRDefault="00BC0E7E" w:rsidP="00762FA7">
      <w:pPr>
        <w:rPr>
          <w:del w:id="4197" w:author="AbbVie19" w:date="2025-04-16T10:42:00Z"/>
          <w:szCs w:val="20"/>
        </w:rPr>
      </w:pPr>
    </w:p>
    <w:p w14:paraId="754CE3B8" w14:textId="77777777" w:rsidR="00BC0E7E" w:rsidRPr="00BC0E7E" w:rsidRDefault="00944B8F" w:rsidP="00762FA7">
      <w:pPr>
        <w:rPr>
          <w:del w:id="4198" w:author="AbbVie19" w:date="2025-04-16T10:42:00Z"/>
          <w:szCs w:val="20"/>
        </w:rPr>
      </w:pPr>
      <w:del w:id="4199" w:author="AbbVie19" w:date="2025-04-16T10:42:00Z">
        <w:r w:rsidRPr="00BC0E7E">
          <w:rPr>
            <w:szCs w:val="20"/>
          </w:rPr>
          <w:delText xml:space="preserve">Antibiotics may be continued during treatment with Humira if necessary.  It is recommended that the patient should use a topical antiseptic wash on their HS lesions on a daily basis during treatment with Humira. </w:delText>
        </w:r>
      </w:del>
    </w:p>
    <w:p w14:paraId="21C8FF8F" w14:textId="77777777" w:rsidR="00BC0E7E" w:rsidRPr="00BC0E7E" w:rsidRDefault="00BC0E7E" w:rsidP="00762FA7">
      <w:pPr>
        <w:rPr>
          <w:del w:id="4200" w:author="AbbVie19" w:date="2025-04-16T10:42:00Z"/>
          <w:szCs w:val="20"/>
        </w:rPr>
      </w:pPr>
    </w:p>
    <w:p w14:paraId="3700D236" w14:textId="77777777" w:rsidR="00BC0E7E" w:rsidRPr="00BC0E7E" w:rsidRDefault="00944B8F" w:rsidP="00762FA7">
      <w:pPr>
        <w:rPr>
          <w:del w:id="4201" w:author="AbbVie19" w:date="2025-04-16T10:42:00Z"/>
          <w:szCs w:val="20"/>
        </w:rPr>
      </w:pPr>
      <w:del w:id="4202" w:author="AbbVie19" w:date="2025-04-16T10:42:00Z">
        <w:r w:rsidRPr="00BC0E7E">
          <w:rPr>
            <w:szCs w:val="20"/>
          </w:rPr>
          <w:delText xml:space="preserve">Continued therapy beyond 12 weeks should be carefully reconsidered in a patient with no improvement within this time period.  </w:delText>
        </w:r>
      </w:del>
    </w:p>
    <w:p w14:paraId="358D4379" w14:textId="77777777" w:rsidR="00BC0E7E" w:rsidRPr="00BC0E7E" w:rsidRDefault="00BC0E7E" w:rsidP="00762FA7">
      <w:pPr>
        <w:rPr>
          <w:del w:id="4203" w:author="AbbVie19" w:date="2025-04-16T10:42:00Z"/>
          <w:i/>
        </w:rPr>
      </w:pPr>
    </w:p>
    <w:p w14:paraId="07625B57" w14:textId="77777777" w:rsidR="00BC0E7E" w:rsidRPr="00BC0E7E" w:rsidRDefault="00944B8F" w:rsidP="00762FA7">
      <w:pPr>
        <w:rPr>
          <w:del w:id="4204" w:author="AbbVie19" w:date="2025-04-16T10:42:00Z"/>
          <w:szCs w:val="20"/>
        </w:rPr>
      </w:pPr>
      <w:del w:id="4205" w:author="AbbVie19" w:date="2025-04-16T10:42:00Z">
        <w:r w:rsidRPr="00BC0E7E">
          <w:rPr>
            <w:szCs w:val="20"/>
          </w:rPr>
          <w:delText>Should treatment be interrupted, Humira may be re-introduced as appropriate.</w:delText>
        </w:r>
      </w:del>
    </w:p>
    <w:p w14:paraId="6356DF09" w14:textId="77777777" w:rsidR="00BC0E7E" w:rsidRPr="00BC0E7E" w:rsidRDefault="00BC0E7E" w:rsidP="00762FA7">
      <w:pPr>
        <w:rPr>
          <w:del w:id="4206" w:author="AbbVie19" w:date="2025-04-16T10:42:00Z"/>
          <w:szCs w:val="20"/>
        </w:rPr>
      </w:pPr>
    </w:p>
    <w:p w14:paraId="16B75296" w14:textId="77777777" w:rsidR="00153F15" w:rsidRPr="00BC0E7E" w:rsidRDefault="00944B8F" w:rsidP="00762FA7">
      <w:pPr>
        <w:rPr>
          <w:del w:id="4207" w:author="AbbVie19" w:date="2025-04-16T10:42:00Z"/>
          <w:szCs w:val="20"/>
        </w:rPr>
      </w:pPr>
      <w:del w:id="4208" w:author="AbbVie19" w:date="2025-04-16T10:42:00Z">
        <w:r w:rsidRPr="00BC0E7E">
          <w:rPr>
            <w:szCs w:val="20"/>
          </w:rPr>
          <w:delText>The benefit and risk of continued long-term treatment should be periodically evaluated (see adult data in section 5.1)</w:delText>
        </w:r>
      </w:del>
    </w:p>
    <w:p w14:paraId="11E7F0B4" w14:textId="77777777" w:rsidR="00153F15" w:rsidRPr="00BC0E7E" w:rsidRDefault="00153F15" w:rsidP="00762FA7">
      <w:pPr>
        <w:rPr>
          <w:del w:id="4209" w:author="AbbVie19" w:date="2025-04-16T10:42:00Z"/>
          <w:szCs w:val="20"/>
        </w:rPr>
      </w:pPr>
    </w:p>
    <w:p w14:paraId="0A09E350" w14:textId="77777777" w:rsidR="00BC0E7E" w:rsidRPr="00BC0E7E" w:rsidRDefault="00944B8F" w:rsidP="00762FA7">
      <w:pPr>
        <w:rPr>
          <w:del w:id="4210" w:author="AbbVie19" w:date="2025-04-16T10:42:00Z"/>
        </w:rPr>
      </w:pPr>
      <w:del w:id="4211" w:author="AbbVie19" w:date="2025-04-16T10:42:00Z">
        <w:r w:rsidRPr="00BC0E7E">
          <w:delText>There is no relevant use of Humira in children aged less than 12 years in this indication.</w:delText>
        </w:r>
      </w:del>
    </w:p>
    <w:p w14:paraId="38623733" w14:textId="77777777" w:rsidR="006B49F3" w:rsidRDefault="006B49F3" w:rsidP="00762FA7">
      <w:pPr>
        <w:keepNext/>
        <w:rPr>
          <w:del w:id="4212" w:author="AbbVie19" w:date="2025-04-16T10:42:00Z"/>
          <w:szCs w:val="22"/>
        </w:rPr>
      </w:pPr>
    </w:p>
    <w:p w14:paraId="2AEC6FC7" w14:textId="77777777" w:rsidR="006B49F3" w:rsidRPr="002A3533" w:rsidRDefault="00944B8F" w:rsidP="00762FA7">
      <w:pPr>
        <w:keepNext/>
        <w:rPr>
          <w:del w:id="4213" w:author="AbbVie19" w:date="2025-04-16T10:42:00Z"/>
        </w:rPr>
      </w:pPr>
      <w:del w:id="4214" w:author="AbbVie19" w:date="2025-04-16T10:42:00Z">
        <w:r w:rsidRPr="00154096">
          <w:rPr>
            <w:szCs w:val="22"/>
          </w:rPr>
          <w:delText>Humira may be available in other strengths and/or presentations depending on the individual treatment needs</w:delText>
        </w:r>
        <w:r>
          <w:rPr>
            <w:szCs w:val="22"/>
          </w:rPr>
          <w:delText>.</w:delText>
        </w:r>
      </w:del>
    </w:p>
    <w:p w14:paraId="4B88ED60" w14:textId="77777777" w:rsidR="00BC0E7E" w:rsidRPr="00BC0E7E" w:rsidRDefault="00BC0E7E" w:rsidP="00762FA7">
      <w:pPr>
        <w:rPr>
          <w:del w:id="4215" w:author="AbbVie19" w:date="2025-04-16T10:42:00Z"/>
          <w:i/>
        </w:rPr>
      </w:pPr>
    </w:p>
    <w:p w14:paraId="5F074BAC" w14:textId="77777777" w:rsidR="00BC0E7E" w:rsidRPr="00BC0E7E" w:rsidRDefault="00944B8F" w:rsidP="00762FA7">
      <w:pPr>
        <w:keepNext/>
        <w:rPr>
          <w:del w:id="4216" w:author="AbbVie19" w:date="2025-04-16T10:42:00Z"/>
          <w:u w:val="single"/>
        </w:rPr>
      </w:pPr>
      <w:del w:id="4217" w:author="AbbVie19" w:date="2025-04-16T10:42:00Z">
        <w:r w:rsidRPr="00BC0E7E">
          <w:rPr>
            <w:i/>
          </w:rPr>
          <w:delText>Paediatric Crohn's disease</w:delText>
        </w:r>
      </w:del>
    </w:p>
    <w:p w14:paraId="35EEF07C" w14:textId="77777777" w:rsidR="00BC0E7E" w:rsidRPr="00BC0E7E" w:rsidRDefault="00BC0E7E" w:rsidP="00762FA7">
      <w:pPr>
        <w:keepNext/>
        <w:rPr>
          <w:del w:id="4218" w:author="AbbVie19" w:date="2025-04-16T10:42:00Z"/>
          <w:u w:val="single"/>
        </w:rPr>
      </w:pPr>
    </w:p>
    <w:p w14:paraId="2A8C8736" w14:textId="77777777" w:rsidR="00943948" w:rsidRDefault="00944B8F" w:rsidP="00762FA7">
      <w:pPr>
        <w:rPr>
          <w:del w:id="4219" w:author="AbbVie19" w:date="2025-04-16T10:42:00Z"/>
          <w:szCs w:val="22"/>
        </w:rPr>
      </w:pPr>
      <w:del w:id="4220" w:author="AbbVie19" w:date="2025-04-16T10:42:00Z">
        <w:r w:rsidRPr="00E20D59">
          <w:rPr>
            <w:szCs w:val="22"/>
          </w:rPr>
          <w:delText xml:space="preserve">The recommended dose of Humira for patients with </w:delText>
        </w:r>
        <w:r>
          <w:rPr>
            <w:szCs w:val="22"/>
          </w:rPr>
          <w:delText>Crohn’s disease from 6</w:delText>
        </w:r>
        <w:r w:rsidRPr="00E20D59">
          <w:rPr>
            <w:szCs w:val="22"/>
          </w:rPr>
          <w:delText xml:space="preserve"> </w:delText>
        </w:r>
        <w:r>
          <w:rPr>
            <w:szCs w:val="22"/>
          </w:rPr>
          <w:delText>to 17 </w:delText>
        </w:r>
        <w:r w:rsidRPr="00E20D59">
          <w:rPr>
            <w:szCs w:val="22"/>
          </w:rPr>
          <w:delText>years</w:delText>
        </w:r>
        <w:r>
          <w:rPr>
            <w:szCs w:val="22"/>
          </w:rPr>
          <w:delText xml:space="preserve"> of age </w:delText>
        </w:r>
        <w:r w:rsidRPr="00E20D59">
          <w:rPr>
            <w:szCs w:val="22"/>
          </w:rPr>
          <w:delText xml:space="preserve">is based on </w:delText>
        </w:r>
        <w:r>
          <w:rPr>
            <w:szCs w:val="22"/>
          </w:rPr>
          <w:delText xml:space="preserve">body </w:delText>
        </w:r>
        <w:r w:rsidRPr="00E20D59">
          <w:rPr>
            <w:szCs w:val="22"/>
          </w:rPr>
          <w:delText>weight</w:delText>
        </w:r>
        <w:r>
          <w:rPr>
            <w:szCs w:val="22"/>
          </w:rPr>
          <w:delText xml:space="preserve"> (Table 4).</w:delText>
        </w:r>
        <w:r w:rsidRPr="00E20D59">
          <w:rPr>
            <w:szCs w:val="22"/>
          </w:rPr>
          <w:delText xml:space="preserve"> </w:delText>
        </w:r>
        <w:r>
          <w:rPr>
            <w:szCs w:val="22"/>
          </w:rPr>
          <w:delText xml:space="preserve">Humira is </w:delText>
        </w:r>
        <w:r w:rsidRPr="00E20D59">
          <w:rPr>
            <w:szCs w:val="22"/>
          </w:rPr>
          <w:delText>administered via subcutaneous injection.</w:delText>
        </w:r>
      </w:del>
    </w:p>
    <w:p w14:paraId="6C2BE500" w14:textId="77777777" w:rsidR="00943948" w:rsidRDefault="00943948" w:rsidP="00762FA7">
      <w:pPr>
        <w:rPr>
          <w:del w:id="4221" w:author="AbbVie19" w:date="2025-04-16T10:42:00Z"/>
          <w:szCs w:val="22"/>
        </w:rPr>
      </w:pPr>
    </w:p>
    <w:p w14:paraId="6AFD2EA7" w14:textId="77777777" w:rsidR="00943948" w:rsidRPr="003F7AAE" w:rsidRDefault="00944B8F" w:rsidP="00762FA7">
      <w:pPr>
        <w:jc w:val="center"/>
        <w:rPr>
          <w:del w:id="4222" w:author="AbbVie19" w:date="2025-04-16T10:42:00Z"/>
          <w:szCs w:val="22"/>
        </w:rPr>
      </w:pPr>
      <w:del w:id="4223" w:author="AbbVie19" w:date="2025-04-16T10:42:00Z">
        <w:r w:rsidRPr="00840AC3">
          <w:rPr>
            <w:b/>
            <w:szCs w:val="22"/>
          </w:rPr>
          <w:delText xml:space="preserve">Table </w:delText>
        </w:r>
        <w:r>
          <w:rPr>
            <w:b/>
            <w:szCs w:val="22"/>
          </w:rPr>
          <w:delText>4</w:delText>
        </w:r>
        <w:r w:rsidRPr="00840AC3">
          <w:rPr>
            <w:b/>
            <w:szCs w:val="22"/>
          </w:rPr>
          <w:delText>. Humira Do</w:delText>
        </w:r>
        <w:r w:rsidRPr="00A41D77">
          <w:rPr>
            <w:b/>
            <w:szCs w:val="22"/>
          </w:rPr>
          <w:delText xml:space="preserve">se </w:delText>
        </w:r>
        <w:r>
          <w:rPr>
            <w:b/>
            <w:szCs w:val="22"/>
          </w:rPr>
          <w:delText>for Paediatric Patients with Crohn’s disease</w:delText>
        </w:r>
      </w:del>
    </w:p>
    <w:p w14:paraId="0DF3AE0A" w14:textId="77777777" w:rsidR="00943948" w:rsidRDefault="00943948" w:rsidP="00762FA7">
      <w:pPr>
        <w:rPr>
          <w:del w:id="4224" w:author="AbbVie19" w:date="2025-04-16T10:42:00Z"/>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71"/>
        <w:gridCol w:w="6851"/>
        <w:gridCol w:w="1580"/>
      </w:tblGrid>
      <w:tr w:rsidR="00C6578C" w14:paraId="6B94F6E5" w14:textId="77777777" w:rsidTr="004F68D4">
        <w:trPr>
          <w:tblHeader/>
          <w:del w:id="4225" w:author="AbbVie19" w:date="2025-04-16T10:42:00Z"/>
        </w:trPr>
        <w:tc>
          <w:tcPr>
            <w:tcW w:w="0" w:type="auto"/>
            <w:tcBorders>
              <w:top w:val="single" w:sz="6" w:space="0" w:color="000000"/>
              <w:left w:val="single" w:sz="6" w:space="0" w:color="000000"/>
              <w:bottom w:val="single" w:sz="6" w:space="0" w:color="000000"/>
              <w:right w:val="single" w:sz="6" w:space="0" w:color="000000"/>
            </w:tcBorders>
            <w:hideMark/>
          </w:tcPr>
          <w:p w14:paraId="5868625D" w14:textId="77777777" w:rsidR="00943948" w:rsidRDefault="00944B8F" w:rsidP="00762FA7">
            <w:pPr>
              <w:jc w:val="center"/>
              <w:rPr>
                <w:del w:id="4226" w:author="AbbVie19" w:date="2025-04-16T10:42:00Z"/>
              </w:rPr>
            </w:pPr>
            <w:del w:id="4227" w:author="AbbVie19" w:date="2025-04-16T10:42:00Z">
              <w:r>
                <w:rPr>
                  <w:b/>
                </w:rPr>
                <w:lastRenderedPageBreak/>
                <w:delText>Patient Weight</w:delText>
              </w:r>
            </w:del>
          </w:p>
        </w:tc>
        <w:tc>
          <w:tcPr>
            <w:tcW w:w="0" w:type="auto"/>
            <w:tcBorders>
              <w:top w:val="single" w:sz="6" w:space="0" w:color="000000"/>
              <w:left w:val="single" w:sz="6" w:space="0" w:color="000000"/>
              <w:bottom w:val="single" w:sz="6" w:space="0" w:color="000000"/>
              <w:right w:val="single" w:sz="6" w:space="0" w:color="000000"/>
            </w:tcBorders>
            <w:hideMark/>
          </w:tcPr>
          <w:p w14:paraId="3792747C" w14:textId="77777777" w:rsidR="00943948" w:rsidRDefault="00944B8F" w:rsidP="00762FA7">
            <w:pPr>
              <w:jc w:val="center"/>
              <w:rPr>
                <w:del w:id="4228" w:author="AbbVie19" w:date="2025-04-16T10:42:00Z"/>
              </w:rPr>
            </w:pPr>
            <w:del w:id="4229" w:author="AbbVie19" w:date="2025-04-16T10:42:00Z">
              <w:r>
                <w:rPr>
                  <w:b/>
                </w:rPr>
                <w:delText>Induction Dose</w:delText>
              </w:r>
            </w:del>
          </w:p>
        </w:tc>
        <w:tc>
          <w:tcPr>
            <w:tcW w:w="0" w:type="auto"/>
            <w:tcBorders>
              <w:top w:val="single" w:sz="6" w:space="0" w:color="000000"/>
              <w:left w:val="single" w:sz="6" w:space="0" w:color="000000"/>
              <w:bottom w:val="single" w:sz="6" w:space="0" w:color="000000"/>
              <w:right w:val="single" w:sz="6" w:space="0" w:color="000000"/>
            </w:tcBorders>
            <w:hideMark/>
          </w:tcPr>
          <w:p w14:paraId="088B85B4" w14:textId="77777777" w:rsidR="00943948" w:rsidRDefault="00944B8F" w:rsidP="00762FA7">
            <w:pPr>
              <w:jc w:val="center"/>
              <w:rPr>
                <w:del w:id="4230" w:author="AbbVie19" w:date="2025-04-16T10:42:00Z"/>
              </w:rPr>
            </w:pPr>
            <w:del w:id="4231" w:author="AbbVie19" w:date="2025-04-16T10:42:00Z">
              <w:r>
                <w:rPr>
                  <w:b/>
                </w:rPr>
                <w:delText>Maintenance Dose</w:delText>
              </w:r>
              <w:r>
                <w:rPr>
                  <w:b/>
                </w:rPr>
                <w:br/>
                <w:delText>Starting at Week 4</w:delText>
              </w:r>
            </w:del>
          </w:p>
        </w:tc>
      </w:tr>
      <w:tr w:rsidR="00C6578C" w14:paraId="2834F3AE" w14:textId="77777777" w:rsidTr="004F68D4">
        <w:trPr>
          <w:del w:id="4232" w:author="AbbVie19" w:date="2025-04-16T10:42:00Z"/>
        </w:trPr>
        <w:tc>
          <w:tcPr>
            <w:tcW w:w="0" w:type="auto"/>
            <w:tcBorders>
              <w:top w:val="single" w:sz="6" w:space="0" w:color="000000"/>
              <w:left w:val="single" w:sz="6" w:space="0" w:color="000000"/>
              <w:bottom w:val="single" w:sz="6" w:space="0" w:color="000000"/>
              <w:right w:val="single" w:sz="6" w:space="0" w:color="000000"/>
            </w:tcBorders>
            <w:hideMark/>
          </w:tcPr>
          <w:p w14:paraId="4CD0AB59" w14:textId="77777777" w:rsidR="00943948" w:rsidRDefault="00944B8F" w:rsidP="00762FA7">
            <w:pPr>
              <w:jc w:val="center"/>
              <w:rPr>
                <w:del w:id="4233" w:author="AbbVie19" w:date="2025-04-16T10:42:00Z"/>
              </w:rPr>
            </w:pPr>
            <w:del w:id="4234" w:author="AbbVie19" w:date="2025-04-16T10:42:00Z">
              <w:r>
                <w:delText>&lt;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7C4A4E6B" w14:textId="77777777" w:rsidR="00943948" w:rsidRPr="00F8398A" w:rsidRDefault="00944B8F" w:rsidP="00762FA7">
            <w:pPr>
              <w:numPr>
                <w:ilvl w:val="0"/>
                <w:numId w:val="94"/>
              </w:numPr>
              <w:tabs>
                <w:tab w:val="clear" w:pos="562"/>
              </w:tabs>
              <w:suppressAutoHyphens w:val="0"/>
              <w:ind w:left="307" w:hanging="180"/>
              <w:rPr>
                <w:del w:id="4235" w:author="AbbVie19" w:date="2025-04-16T10:42:00Z"/>
                <w:szCs w:val="22"/>
              </w:rPr>
            </w:pPr>
            <w:del w:id="4236" w:author="AbbVie19" w:date="2025-04-16T10:42:00Z">
              <w:r>
                <w:rPr>
                  <w:szCs w:val="22"/>
                </w:rPr>
                <w:delText>40 mg at Week 0 and 20 mg at w</w:delText>
              </w:r>
              <w:r w:rsidRPr="00F8398A">
                <w:rPr>
                  <w:szCs w:val="22"/>
                </w:rPr>
                <w:delText>eek 2</w:delText>
              </w:r>
            </w:del>
          </w:p>
          <w:p w14:paraId="49AF5DF3" w14:textId="77777777" w:rsidR="00943948" w:rsidRPr="00F8398A" w:rsidRDefault="00943948" w:rsidP="00762FA7">
            <w:pPr>
              <w:tabs>
                <w:tab w:val="clear" w:pos="562"/>
              </w:tabs>
              <w:suppressAutoHyphens w:val="0"/>
              <w:ind w:left="337"/>
              <w:rPr>
                <w:del w:id="4237" w:author="AbbVie19" w:date="2025-04-16T10:42:00Z"/>
                <w:szCs w:val="22"/>
              </w:rPr>
            </w:pPr>
          </w:p>
          <w:p w14:paraId="67B40F83" w14:textId="77777777" w:rsidR="00943948" w:rsidRPr="00F8398A" w:rsidRDefault="00944B8F" w:rsidP="00762FA7">
            <w:pPr>
              <w:tabs>
                <w:tab w:val="clear" w:pos="562"/>
              </w:tabs>
              <w:suppressAutoHyphens w:val="0"/>
              <w:ind w:left="150"/>
              <w:rPr>
                <w:del w:id="4238" w:author="AbbVie19" w:date="2025-04-16T10:42:00Z"/>
                <w:szCs w:val="22"/>
              </w:rPr>
            </w:pPr>
            <w:del w:id="4239" w:author="AbbVie19" w:date="2025-04-16T10:42:00Z">
              <w:r w:rsidRPr="00F8398A">
                <w:rPr>
                  <w:szCs w:val="22"/>
                </w:rPr>
                <w:delText xml:space="preserve">In case there is a need for a more rapid response to therapy </w:delText>
              </w:r>
              <w:r w:rsidRPr="00F8398A">
                <w:rPr>
                  <w:iCs/>
                  <w:szCs w:val="22"/>
                </w:rPr>
                <w:delText>with the awareness that the risk for adverse events may be higher with use of the higher induction dose, the following dose may be used:</w:delText>
              </w:r>
            </w:del>
          </w:p>
          <w:p w14:paraId="01C40570" w14:textId="77777777" w:rsidR="00943948" w:rsidRPr="00F8398A" w:rsidRDefault="00944B8F" w:rsidP="00762FA7">
            <w:pPr>
              <w:numPr>
                <w:ilvl w:val="0"/>
                <w:numId w:val="90"/>
              </w:numPr>
              <w:tabs>
                <w:tab w:val="clear" w:pos="562"/>
              </w:tabs>
              <w:suppressAutoHyphens w:val="0"/>
              <w:ind w:left="307" w:hanging="180"/>
              <w:rPr>
                <w:del w:id="4240" w:author="AbbVie19" w:date="2025-04-16T10:42:00Z"/>
                <w:iCs/>
                <w:szCs w:val="22"/>
              </w:rPr>
            </w:pPr>
            <w:del w:id="4241" w:author="AbbVie19" w:date="2025-04-16T10:42:00Z">
              <w:r>
                <w:rPr>
                  <w:szCs w:val="22"/>
                </w:rPr>
                <w:delText>80 mg at week 0 and 40 mg at w</w:delText>
              </w:r>
              <w:r w:rsidRPr="00F8398A">
                <w:rPr>
                  <w:szCs w:val="22"/>
                </w:rPr>
                <w:delText>eek 2</w:delText>
              </w:r>
            </w:del>
          </w:p>
        </w:tc>
        <w:tc>
          <w:tcPr>
            <w:tcW w:w="0" w:type="auto"/>
            <w:tcBorders>
              <w:top w:val="single" w:sz="6" w:space="0" w:color="000000"/>
              <w:left w:val="single" w:sz="6" w:space="0" w:color="000000"/>
              <w:bottom w:val="single" w:sz="6" w:space="0" w:color="000000"/>
              <w:right w:val="single" w:sz="6" w:space="0" w:color="000000"/>
            </w:tcBorders>
            <w:hideMark/>
          </w:tcPr>
          <w:p w14:paraId="58113BEE" w14:textId="77777777" w:rsidR="00943948" w:rsidRDefault="00944B8F" w:rsidP="00762FA7">
            <w:pPr>
              <w:tabs>
                <w:tab w:val="clear" w:pos="562"/>
              </w:tabs>
              <w:suppressAutoHyphens w:val="0"/>
              <w:ind w:left="27" w:hanging="3"/>
              <w:jc w:val="center"/>
              <w:rPr>
                <w:del w:id="4242" w:author="AbbVie19" w:date="2025-04-16T10:42:00Z"/>
              </w:rPr>
            </w:pPr>
            <w:del w:id="4243" w:author="AbbVie19" w:date="2025-04-16T10:42:00Z">
              <w:r>
                <w:delText>20 mg every other week</w:delText>
              </w:r>
            </w:del>
          </w:p>
        </w:tc>
      </w:tr>
      <w:tr w:rsidR="00C6578C" w14:paraId="78541FA5" w14:textId="77777777" w:rsidTr="004F68D4">
        <w:trPr>
          <w:del w:id="4244" w:author="AbbVie19" w:date="2025-04-16T10:42:00Z"/>
        </w:trPr>
        <w:tc>
          <w:tcPr>
            <w:tcW w:w="0" w:type="auto"/>
            <w:tcBorders>
              <w:top w:val="single" w:sz="6" w:space="0" w:color="000000"/>
              <w:left w:val="single" w:sz="6" w:space="0" w:color="000000"/>
              <w:bottom w:val="single" w:sz="6" w:space="0" w:color="000000"/>
              <w:right w:val="single" w:sz="6" w:space="0" w:color="000000"/>
            </w:tcBorders>
            <w:hideMark/>
          </w:tcPr>
          <w:p w14:paraId="12751901" w14:textId="77777777" w:rsidR="00943948" w:rsidRDefault="00944B8F" w:rsidP="00762FA7">
            <w:pPr>
              <w:jc w:val="center"/>
              <w:rPr>
                <w:del w:id="4245" w:author="AbbVie19" w:date="2025-04-16T10:42:00Z"/>
              </w:rPr>
            </w:pPr>
            <w:del w:id="4246" w:author="AbbVie19" w:date="2025-04-16T10:42:00Z">
              <w:r>
                <w:delText>≥ 40 kg</w:delText>
              </w:r>
            </w:del>
          </w:p>
        </w:tc>
        <w:tc>
          <w:tcPr>
            <w:tcW w:w="0" w:type="auto"/>
            <w:tcBorders>
              <w:top w:val="single" w:sz="6" w:space="0" w:color="000000"/>
              <w:left w:val="single" w:sz="6" w:space="0" w:color="000000"/>
              <w:bottom w:val="single" w:sz="6" w:space="0" w:color="000000"/>
              <w:right w:val="single" w:sz="6" w:space="0" w:color="000000"/>
            </w:tcBorders>
            <w:hideMark/>
          </w:tcPr>
          <w:p w14:paraId="314CF715" w14:textId="77777777" w:rsidR="00943948" w:rsidRPr="00F8398A" w:rsidRDefault="00944B8F" w:rsidP="00762FA7">
            <w:pPr>
              <w:numPr>
                <w:ilvl w:val="0"/>
                <w:numId w:val="97"/>
              </w:numPr>
              <w:tabs>
                <w:tab w:val="clear" w:pos="562"/>
              </w:tabs>
              <w:suppressAutoHyphens w:val="0"/>
              <w:ind w:left="307" w:hanging="175"/>
              <w:rPr>
                <w:del w:id="4247" w:author="AbbVie19" w:date="2025-04-16T10:42:00Z"/>
                <w:szCs w:val="22"/>
              </w:rPr>
            </w:pPr>
            <w:del w:id="4248" w:author="AbbVie19" w:date="2025-04-16T10:42:00Z">
              <w:r>
                <w:rPr>
                  <w:szCs w:val="22"/>
                </w:rPr>
                <w:delText>80 mg at week 0 and 40 mg at w</w:delText>
              </w:r>
              <w:r w:rsidRPr="00F8398A">
                <w:rPr>
                  <w:szCs w:val="22"/>
                </w:rPr>
                <w:delText>eek 2</w:delText>
              </w:r>
            </w:del>
          </w:p>
          <w:p w14:paraId="70AFB18C" w14:textId="77777777" w:rsidR="00943948" w:rsidRPr="00F8398A" w:rsidRDefault="00943948" w:rsidP="00762FA7">
            <w:pPr>
              <w:tabs>
                <w:tab w:val="clear" w:pos="562"/>
              </w:tabs>
              <w:suppressAutoHyphens w:val="0"/>
              <w:rPr>
                <w:del w:id="4249" w:author="AbbVie19" w:date="2025-04-16T10:42:00Z"/>
                <w:szCs w:val="22"/>
              </w:rPr>
            </w:pPr>
          </w:p>
          <w:p w14:paraId="1F3B4EA8" w14:textId="77777777" w:rsidR="00943948" w:rsidRPr="00F8398A" w:rsidRDefault="00944B8F" w:rsidP="00762FA7">
            <w:pPr>
              <w:tabs>
                <w:tab w:val="clear" w:pos="562"/>
              </w:tabs>
              <w:suppressAutoHyphens w:val="0"/>
              <w:ind w:left="150"/>
              <w:rPr>
                <w:del w:id="4250" w:author="AbbVie19" w:date="2025-04-16T10:42:00Z"/>
                <w:iCs/>
                <w:szCs w:val="22"/>
              </w:rPr>
            </w:pPr>
            <w:del w:id="4251" w:author="AbbVie19" w:date="2025-04-16T10:42:00Z">
              <w:r w:rsidRPr="00F8398A">
                <w:rPr>
                  <w:szCs w:val="22"/>
                </w:rPr>
                <w:delText xml:space="preserve">In case there is a need for a more rapid response to therapy </w:delText>
              </w:r>
              <w:r w:rsidRPr="00F8398A">
                <w:rPr>
                  <w:iCs/>
                  <w:szCs w:val="22"/>
                </w:rPr>
                <w:delText>with the awareness that the risk for adverse events may be higher with use of the higher induction dose, the following dose may be used:</w:delText>
              </w:r>
            </w:del>
          </w:p>
          <w:p w14:paraId="4145542E" w14:textId="77777777" w:rsidR="00943948" w:rsidRPr="00F8398A" w:rsidRDefault="00944B8F" w:rsidP="00762FA7">
            <w:pPr>
              <w:numPr>
                <w:ilvl w:val="0"/>
                <w:numId w:val="95"/>
              </w:numPr>
              <w:tabs>
                <w:tab w:val="clear" w:pos="562"/>
              </w:tabs>
              <w:suppressAutoHyphens w:val="0"/>
              <w:ind w:left="314" w:hanging="187"/>
              <w:rPr>
                <w:del w:id="4252" w:author="AbbVie19" w:date="2025-04-16T10:42:00Z"/>
                <w:szCs w:val="22"/>
              </w:rPr>
            </w:pPr>
            <w:del w:id="4253" w:author="AbbVie19" w:date="2025-04-16T10:42:00Z">
              <w:r>
                <w:rPr>
                  <w:szCs w:val="22"/>
                </w:rPr>
                <w:delText>160 mg at w</w:delText>
              </w:r>
              <w:r w:rsidRPr="00F8398A">
                <w:rPr>
                  <w:szCs w:val="22"/>
                </w:rPr>
                <w:delText>ee</w:delText>
              </w:r>
              <w:r>
                <w:rPr>
                  <w:szCs w:val="22"/>
                </w:rPr>
                <w:delText>k 0 and 80 mg at w</w:delText>
              </w:r>
              <w:r w:rsidRPr="00F8398A">
                <w:rPr>
                  <w:szCs w:val="22"/>
                </w:rPr>
                <w:delText>eek 2</w:delText>
              </w:r>
            </w:del>
          </w:p>
        </w:tc>
        <w:tc>
          <w:tcPr>
            <w:tcW w:w="0" w:type="auto"/>
            <w:tcBorders>
              <w:top w:val="single" w:sz="6" w:space="0" w:color="000000"/>
              <w:left w:val="single" w:sz="6" w:space="0" w:color="000000"/>
              <w:bottom w:val="single" w:sz="6" w:space="0" w:color="000000"/>
              <w:right w:val="single" w:sz="6" w:space="0" w:color="000000"/>
            </w:tcBorders>
            <w:hideMark/>
          </w:tcPr>
          <w:p w14:paraId="1BBB37B0" w14:textId="77777777" w:rsidR="00943948" w:rsidRDefault="00944B8F" w:rsidP="00762FA7">
            <w:pPr>
              <w:tabs>
                <w:tab w:val="clear" w:pos="562"/>
              </w:tabs>
              <w:suppressAutoHyphens w:val="0"/>
              <w:ind w:left="27" w:hanging="3"/>
              <w:jc w:val="center"/>
              <w:rPr>
                <w:del w:id="4254" w:author="AbbVie19" w:date="2025-04-16T10:42:00Z"/>
              </w:rPr>
            </w:pPr>
            <w:del w:id="4255" w:author="AbbVie19" w:date="2025-04-16T10:42:00Z">
              <w:r>
                <w:delText>40 mg every other week</w:delText>
              </w:r>
            </w:del>
          </w:p>
        </w:tc>
      </w:tr>
    </w:tbl>
    <w:p w14:paraId="4E4EEC6F" w14:textId="77777777" w:rsidR="00943948" w:rsidRDefault="00943948" w:rsidP="00762FA7">
      <w:pPr>
        <w:keepNext/>
        <w:rPr>
          <w:del w:id="4256" w:author="AbbVie19" w:date="2025-04-16T10:42:00Z"/>
        </w:rPr>
      </w:pPr>
    </w:p>
    <w:p w14:paraId="44D142F4" w14:textId="77777777" w:rsidR="00943948" w:rsidRDefault="00944B8F" w:rsidP="00762FA7">
      <w:pPr>
        <w:keepNext/>
        <w:rPr>
          <w:del w:id="4257" w:author="AbbVie19" w:date="2025-04-16T10:42:00Z"/>
        </w:rPr>
      </w:pPr>
      <w:del w:id="4258" w:author="AbbVie19" w:date="2025-04-16T10:42:00Z">
        <w:r>
          <w:delText xml:space="preserve">Patients </w:delText>
        </w:r>
        <w:r w:rsidRPr="002A3533">
          <w:delText xml:space="preserve">who experience insufficient response may benefit from </w:delText>
        </w:r>
        <w:r>
          <w:delText xml:space="preserve">an increase in </w:delText>
        </w:r>
        <w:r w:rsidR="001F67CD">
          <w:delText>dosage</w:delText>
        </w:r>
        <w:r>
          <w:delText>:</w:delText>
        </w:r>
      </w:del>
    </w:p>
    <w:p w14:paraId="2B02624F" w14:textId="77777777" w:rsidR="00943948" w:rsidRDefault="00944B8F" w:rsidP="00762FA7">
      <w:pPr>
        <w:keepNext/>
        <w:numPr>
          <w:ilvl w:val="0"/>
          <w:numId w:val="89"/>
        </w:numPr>
        <w:tabs>
          <w:tab w:val="clear" w:pos="562"/>
          <w:tab w:val="left" w:pos="540"/>
        </w:tabs>
        <w:ind w:left="540" w:hanging="540"/>
        <w:rPr>
          <w:del w:id="4259" w:author="AbbVie19" w:date="2025-04-16T10:42:00Z"/>
        </w:rPr>
      </w:pPr>
      <w:del w:id="4260" w:author="AbbVie19" w:date="2025-04-16T10:42:00Z">
        <w:r>
          <w:delText>&lt; 40 kg: 20 mg every week</w:delText>
        </w:r>
      </w:del>
    </w:p>
    <w:p w14:paraId="1582381C" w14:textId="77777777" w:rsidR="00943948" w:rsidRPr="002A3533" w:rsidRDefault="00944B8F" w:rsidP="00762FA7">
      <w:pPr>
        <w:keepNext/>
        <w:numPr>
          <w:ilvl w:val="0"/>
          <w:numId w:val="89"/>
        </w:numPr>
        <w:tabs>
          <w:tab w:val="clear" w:pos="562"/>
          <w:tab w:val="left" w:pos="540"/>
        </w:tabs>
        <w:ind w:left="540" w:hanging="540"/>
        <w:rPr>
          <w:del w:id="4261" w:author="AbbVie19" w:date="2025-04-16T10:42:00Z"/>
        </w:rPr>
      </w:pPr>
      <w:del w:id="4262" w:author="AbbVie19" w:date="2025-04-16T10:42:00Z">
        <w:r>
          <w:delText>≥ 40 kg: 40 mg every week</w:delText>
        </w:r>
        <w:r w:rsidR="00A61ECF">
          <w:delText xml:space="preserve"> or 80</w:delText>
        </w:r>
        <w:r w:rsidR="00E6118C">
          <w:delText> </w:delText>
        </w:r>
        <w:r w:rsidR="00A61ECF">
          <w:delText>mg every other week</w:delText>
        </w:r>
      </w:del>
    </w:p>
    <w:p w14:paraId="3FAF419F" w14:textId="77777777" w:rsidR="00BC0E7E" w:rsidRPr="00BC0E7E" w:rsidRDefault="00BC0E7E" w:rsidP="00762FA7">
      <w:pPr>
        <w:rPr>
          <w:del w:id="4263" w:author="AbbVie19" w:date="2025-04-16T10:42:00Z"/>
        </w:rPr>
      </w:pPr>
    </w:p>
    <w:p w14:paraId="4175341F" w14:textId="77777777" w:rsidR="00BC0E7E" w:rsidRPr="00BC0E7E" w:rsidRDefault="00944B8F" w:rsidP="00762FA7">
      <w:pPr>
        <w:rPr>
          <w:del w:id="4264" w:author="AbbVie19" w:date="2025-04-16T10:42:00Z"/>
        </w:rPr>
      </w:pPr>
      <w:del w:id="4265" w:author="AbbVie19" w:date="2025-04-16T10:42:00Z">
        <w:r w:rsidRPr="00BC0E7E">
          <w:delText xml:space="preserve">Continued therapy should be carefully considered in a subject not responding by </w:delText>
        </w:r>
        <w:r w:rsidR="004776BD">
          <w:delText>w</w:delText>
        </w:r>
        <w:r w:rsidRPr="00BC0E7E">
          <w:delText>eek 12.</w:delText>
        </w:r>
      </w:del>
    </w:p>
    <w:p w14:paraId="485D6E6A" w14:textId="77777777" w:rsidR="00BC0E7E" w:rsidRPr="00BC0E7E" w:rsidRDefault="00BC0E7E" w:rsidP="00762FA7">
      <w:pPr>
        <w:rPr>
          <w:del w:id="4266" w:author="AbbVie19" w:date="2025-04-16T10:42:00Z"/>
        </w:rPr>
      </w:pPr>
    </w:p>
    <w:p w14:paraId="4361BA97" w14:textId="77777777" w:rsidR="00BC0E7E" w:rsidRPr="00BC0E7E" w:rsidRDefault="00944B8F" w:rsidP="00762FA7">
      <w:pPr>
        <w:rPr>
          <w:del w:id="4267" w:author="AbbVie19" w:date="2025-04-16T10:42:00Z"/>
        </w:rPr>
      </w:pPr>
      <w:del w:id="4268" w:author="AbbVie19" w:date="2025-04-16T10:42:00Z">
        <w:r w:rsidRPr="00BC0E7E">
          <w:delText xml:space="preserve">There is no relevant use of Humira in children aged </w:delText>
        </w:r>
        <w:r w:rsidR="00943948">
          <w:delText>less than</w:delText>
        </w:r>
        <w:r w:rsidR="00943948" w:rsidRPr="00BC0E7E">
          <w:delText xml:space="preserve"> </w:delText>
        </w:r>
        <w:r w:rsidRPr="00BC0E7E">
          <w:delText>6 years for this indication.</w:delText>
        </w:r>
      </w:del>
    </w:p>
    <w:p w14:paraId="174003C8" w14:textId="77777777" w:rsidR="006B49F3" w:rsidRDefault="006B49F3" w:rsidP="00762FA7">
      <w:pPr>
        <w:keepNext/>
        <w:rPr>
          <w:del w:id="4269" w:author="AbbVie19" w:date="2025-04-16T10:42:00Z"/>
          <w:szCs w:val="22"/>
        </w:rPr>
      </w:pPr>
    </w:p>
    <w:p w14:paraId="0DDDC9BB" w14:textId="77777777" w:rsidR="006B49F3" w:rsidRPr="002A3533" w:rsidRDefault="00944B8F" w:rsidP="00762FA7">
      <w:pPr>
        <w:keepNext/>
        <w:rPr>
          <w:del w:id="4270" w:author="AbbVie19" w:date="2025-04-16T10:42:00Z"/>
        </w:rPr>
      </w:pPr>
      <w:del w:id="4271" w:author="AbbVie19" w:date="2025-04-16T10:42:00Z">
        <w:r w:rsidRPr="00154096">
          <w:rPr>
            <w:szCs w:val="22"/>
          </w:rPr>
          <w:delText>Humira may be available in other strengths and/or presentations depending on the individual treatment needs</w:delText>
        </w:r>
        <w:r>
          <w:rPr>
            <w:szCs w:val="22"/>
          </w:rPr>
          <w:delText>.</w:delText>
        </w:r>
      </w:del>
    </w:p>
    <w:p w14:paraId="1090B5A5" w14:textId="77777777" w:rsidR="00BC0E7E" w:rsidRPr="00BC0E7E" w:rsidRDefault="00BC0E7E" w:rsidP="00762FA7">
      <w:pPr>
        <w:tabs>
          <w:tab w:val="clear" w:pos="562"/>
          <w:tab w:val="left" w:pos="1695"/>
        </w:tabs>
        <w:rPr>
          <w:del w:id="4272" w:author="AbbVie19" w:date="2025-04-16T10:42:00Z"/>
        </w:rPr>
      </w:pPr>
    </w:p>
    <w:p w14:paraId="1A9542F3" w14:textId="77777777" w:rsidR="009A633A" w:rsidRPr="003A75F8" w:rsidRDefault="00944B8F" w:rsidP="00762FA7">
      <w:pPr>
        <w:rPr>
          <w:del w:id="4273" w:author="AbbVie19" w:date="2025-04-16T10:42:00Z"/>
          <w:b/>
          <w:bCs/>
          <w:iCs/>
        </w:rPr>
      </w:pPr>
      <w:del w:id="4274" w:author="AbbVie19" w:date="2025-04-16T10:42:00Z">
        <w:r w:rsidRPr="003A75F8">
          <w:rPr>
            <w:i/>
            <w:szCs w:val="20"/>
          </w:rPr>
          <w:delText>Paediatric ulcerative colitis</w:delText>
        </w:r>
        <w:r w:rsidRPr="003A75F8">
          <w:rPr>
            <w:b/>
            <w:bCs/>
            <w:iCs/>
          </w:rPr>
          <w:delText xml:space="preserve"> </w:delText>
        </w:r>
      </w:del>
    </w:p>
    <w:p w14:paraId="6B362D1B" w14:textId="77777777" w:rsidR="009A633A" w:rsidRPr="005037B5" w:rsidRDefault="009A633A" w:rsidP="00762FA7">
      <w:pPr>
        <w:rPr>
          <w:del w:id="4275" w:author="AbbVie19" w:date="2025-04-16T10:42:00Z"/>
          <w:szCs w:val="20"/>
        </w:rPr>
      </w:pPr>
    </w:p>
    <w:p w14:paraId="186D53EE" w14:textId="77777777" w:rsidR="00AD29D8" w:rsidRPr="005037B5" w:rsidRDefault="00944B8F" w:rsidP="00762FA7">
      <w:pPr>
        <w:rPr>
          <w:del w:id="4276" w:author="AbbVie19" w:date="2025-04-16T10:42:00Z"/>
        </w:rPr>
      </w:pPr>
      <w:del w:id="4277" w:author="AbbVie19" w:date="2025-04-16T10:42:00Z">
        <w:r w:rsidRPr="005037B5">
          <w:delText xml:space="preserve">The recommended dose of Humira for patients from </w:delText>
        </w:r>
        <w:r>
          <w:delText>6</w:delText>
        </w:r>
        <w:r w:rsidRPr="005037B5">
          <w:delText xml:space="preserve"> to 17 years of age with ulcerative colitis is based on body weight (Table </w:delText>
        </w:r>
        <w:r>
          <w:delText>5</w:delText>
        </w:r>
        <w:r w:rsidRPr="005037B5">
          <w:delText>). Humira is administered via subcutaneous injection. </w:delText>
        </w:r>
      </w:del>
    </w:p>
    <w:p w14:paraId="35399353" w14:textId="77777777" w:rsidR="009A633A" w:rsidRPr="005037B5" w:rsidRDefault="009A633A" w:rsidP="00762FA7">
      <w:pPr>
        <w:rPr>
          <w:del w:id="4278" w:author="AbbVie19" w:date="2025-04-16T10:42:00Z"/>
        </w:rPr>
      </w:pPr>
    </w:p>
    <w:p w14:paraId="7CD5A406" w14:textId="77777777" w:rsidR="009A633A" w:rsidRPr="005037B5" w:rsidRDefault="00944B8F" w:rsidP="00762FA7">
      <w:pPr>
        <w:keepNext/>
        <w:jc w:val="center"/>
        <w:rPr>
          <w:del w:id="4279" w:author="AbbVie19" w:date="2025-04-16T10:42:00Z"/>
          <w:szCs w:val="22"/>
        </w:rPr>
      </w:pPr>
      <w:del w:id="4280" w:author="AbbVie19" w:date="2025-04-16T10:42:00Z">
        <w:r w:rsidRPr="003B65EC">
          <w:rPr>
            <w:b/>
            <w:szCs w:val="22"/>
          </w:rPr>
          <w:delText xml:space="preserve">Table </w:delText>
        </w:r>
        <w:r w:rsidR="005F03EC" w:rsidRPr="003B65EC">
          <w:rPr>
            <w:b/>
            <w:szCs w:val="22"/>
          </w:rPr>
          <w:delText>5</w:delText>
        </w:r>
        <w:r w:rsidRPr="003B65EC">
          <w:rPr>
            <w:b/>
            <w:szCs w:val="22"/>
          </w:rPr>
          <w:delText xml:space="preserve">. Humira Dose for Paediatric Patients with Ulcerative Colitis </w:delText>
        </w:r>
      </w:del>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73"/>
        <w:gridCol w:w="3449"/>
        <w:gridCol w:w="3279"/>
      </w:tblGrid>
      <w:tr w:rsidR="00C6578C" w14:paraId="6754DF1E" w14:textId="77777777" w:rsidTr="00617CCA">
        <w:trPr>
          <w:jc w:val="center"/>
          <w:del w:id="4281" w:author="AbbVie19" w:date="2025-04-16T10:42:00Z"/>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B028852" w14:textId="77777777" w:rsidR="00617CCA" w:rsidRPr="007E3998" w:rsidRDefault="00944B8F" w:rsidP="00762FA7">
            <w:pPr>
              <w:jc w:val="center"/>
              <w:rPr>
                <w:del w:id="4282" w:author="AbbVie19" w:date="2025-04-16T10:42:00Z"/>
                <w:b/>
                <w:szCs w:val="22"/>
              </w:rPr>
            </w:pPr>
            <w:del w:id="4283" w:author="AbbVie19" w:date="2025-04-16T10:42:00Z">
              <w:r w:rsidRPr="003B591C">
                <w:rPr>
                  <w:b/>
                  <w:szCs w:val="22"/>
                </w:rPr>
                <w:delText>Patient Weight</w:delText>
              </w:r>
            </w:del>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1B347B4C" w14:textId="77777777" w:rsidR="00617CCA" w:rsidRPr="00986E88" w:rsidRDefault="00944B8F" w:rsidP="00762FA7">
            <w:pPr>
              <w:jc w:val="center"/>
              <w:rPr>
                <w:del w:id="4284" w:author="AbbVie19" w:date="2025-04-16T10:42:00Z"/>
                <w:b/>
                <w:szCs w:val="22"/>
              </w:rPr>
            </w:pPr>
            <w:del w:id="4285" w:author="AbbVie19" w:date="2025-04-16T10:42:00Z">
              <w:r w:rsidRPr="00AC0E90">
                <w:rPr>
                  <w:b/>
                  <w:szCs w:val="22"/>
                </w:rPr>
                <w:delText>Induction Dose</w:delText>
              </w:r>
            </w:del>
          </w:p>
        </w:tc>
        <w:tc>
          <w:tcPr>
            <w:tcW w:w="1906" w:type="pct"/>
            <w:tcBorders>
              <w:top w:val="single" w:sz="6" w:space="0" w:color="000000"/>
              <w:left w:val="single" w:sz="6" w:space="0" w:color="000000"/>
              <w:bottom w:val="single" w:sz="6" w:space="0" w:color="000000"/>
              <w:right w:val="single" w:sz="6" w:space="0" w:color="000000"/>
            </w:tcBorders>
            <w:hideMark/>
          </w:tcPr>
          <w:p w14:paraId="476ACD5A" w14:textId="77777777" w:rsidR="00617CCA" w:rsidRPr="00986E88" w:rsidRDefault="00944B8F" w:rsidP="00762FA7">
            <w:pPr>
              <w:jc w:val="center"/>
              <w:rPr>
                <w:del w:id="4286" w:author="AbbVie19" w:date="2025-04-16T10:42:00Z"/>
                <w:b/>
                <w:szCs w:val="22"/>
              </w:rPr>
            </w:pPr>
            <w:del w:id="4287" w:author="AbbVie19" w:date="2025-04-16T10:42:00Z">
              <w:r w:rsidRPr="00986E88">
                <w:rPr>
                  <w:b/>
                  <w:szCs w:val="22"/>
                </w:rPr>
                <w:delText>Maintenance Dose</w:delText>
              </w:r>
              <w:r w:rsidRPr="00986E88">
                <w:rPr>
                  <w:b/>
                  <w:szCs w:val="22"/>
                </w:rPr>
                <w:br/>
                <w:delText>Starting at Week 4*</w:delText>
              </w:r>
            </w:del>
          </w:p>
        </w:tc>
      </w:tr>
      <w:tr w:rsidR="00C6578C" w14:paraId="7A7D0F60" w14:textId="77777777" w:rsidTr="00617CCA">
        <w:trPr>
          <w:jc w:val="center"/>
          <w:del w:id="4288" w:author="AbbVie19" w:date="2025-04-16T10:42:00Z"/>
        </w:trPr>
        <w:tc>
          <w:tcPr>
            <w:tcW w:w="0" w:type="auto"/>
            <w:tcBorders>
              <w:top w:val="single" w:sz="6" w:space="0" w:color="000000"/>
              <w:left w:val="single" w:sz="6" w:space="0" w:color="000000"/>
              <w:bottom w:val="single" w:sz="6" w:space="0" w:color="000000"/>
              <w:right w:val="single" w:sz="6" w:space="0" w:color="000000"/>
            </w:tcBorders>
            <w:hideMark/>
          </w:tcPr>
          <w:p w14:paraId="3E00718B" w14:textId="77777777" w:rsidR="00617CCA" w:rsidRPr="00986E88" w:rsidRDefault="00944B8F" w:rsidP="00762FA7">
            <w:pPr>
              <w:jc w:val="center"/>
              <w:rPr>
                <w:del w:id="4289" w:author="AbbVie19" w:date="2025-04-16T10:42:00Z"/>
                <w:szCs w:val="22"/>
              </w:rPr>
            </w:pPr>
            <w:del w:id="4290" w:author="AbbVie19" w:date="2025-04-16T10:42:00Z">
              <w:r w:rsidRPr="00AC0E90">
                <w:rPr>
                  <w:szCs w:val="22"/>
                </w:rPr>
                <w:delText>&lt; 40 kg</w:delText>
              </w:r>
            </w:del>
          </w:p>
        </w:tc>
        <w:tc>
          <w:tcPr>
            <w:tcW w:w="2005" w:type="pct"/>
            <w:tcBorders>
              <w:top w:val="single" w:sz="6" w:space="0" w:color="000000"/>
              <w:left w:val="single" w:sz="6" w:space="0" w:color="000000"/>
              <w:bottom w:val="single" w:sz="6" w:space="0" w:color="000000"/>
              <w:right w:val="single" w:sz="6" w:space="0" w:color="000000"/>
            </w:tcBorders>
            <w:hideMark/>
          </w:tcPr>
          <w:p w14:paraId="3210ADB3" w14:textId="77777777" w:rsidR="00617CCA" w:rsidRPr="00986E88" w:rsidRDefault="00944B8F" w:rsidP="00762FA7">
            <w:pPr>
              <w:numPr>
                <w:ilvl w:val="0"/>
                <w:numId w:val="154"/>
              </w:numPr>
              <w:tabs>
                <w:tab w:val="clear" w:pos="562"/>
              </w:tabs>
              <w:suppressAutoHyphens w:val="0"/>
              <w:ind w:left="360" w:hanging="210"/>
              <w:rPr>
                <w:del w:id="4291" w:author="AbbVie19" w:date="2025-04-16T10:42:00Z"/>
                <w:szCs w:val="22"/>
              </w:rPr>
            </w:pPr>
            <w:del w:id="4292" w:author="AbbVie19" w:date="2025-04-16T10:42:00Z">
              <w:r w:rsidRPr="00986E88">
                <w:rPr>
                  <w:szCs w:val="22"/>
                </w:rPr>
                <w:delText>80 mg at Week 0</w:delText>
              </w:r>
              <w:r>
                <w:delText xml:space="preserve"> (given as two 40 mg injections in one day)</w:delText>
              </w:r>
              <w:r w:rsidRPr="00986E88">
                <w:rPr>
                  <w:szCs w:val="22"/>
                </w:rPr>
                <w:delText xml:space="preserve"> and</w:delText>
              </w:r>
            </w:del>
          </w:p>
          <w:p w14:paraId="44E47B74" w14:textId="77777777" w:rsidR="00617CCA" w:rsidRPr="00986E88" w:rsidRDefault="00944B8F" w:rsidP="00762FA7">
            <w:pPr>
              <w:numPr>
                <w:ilvl w:val="0"/>
                <w:numId w:val="154"/>
              </w:numPr>
              <w:tabs>
                <w:tab w:val="clear" w:pos="562"/>
              </w:tabs>
              <w:suppressAutoHyphens w:val="0"/>
              <w:ind w:left="360" w:hanging="210"/>
              <w:rPr>
                <w:del w:id="4293" w:author="AbbVie19" w:date="2025-04-16T10:42:00Z"/>
                <w:szCs w:val="22"/>
              </w:rPr>
            </w:pPr>
            <w:del w:id="4294" w:author="AbbVie19" w:date="2025-04-16T10:42:00Z">
              <w:r w:rsidRPr="00986E88">
                <w:rPr>
                  <w:szCs w:val="22"/>
                </w:rPr>
                <w:delText>40 mg at Week 2</w:delText>
              </w:r>
              <w:r>
                <w:delText xml:space="preserve"> (given as one 40 mg injection)</w:delText>
              </w:r>
            </w:del>
          </w:p>
        </w:tc>
        <w:tc>
          <w:tcPr>
            <w:tcW w:w="1906" w:type="pct"/>
            <w:tcBorders>
              <w:top w:val="single" w:sz="6" w:space="0" w:color="000000"/>
              <w:left w:val="single" w:sz="6" w:space="0" w:color="000000"/>
              <w:bottom w:val="single" w:sz="6" w:space="0" w:color="000000"/>
              <w:right w:val="single" w:sz="6" w:space="0" w:color="000000"/>
            </w:tcBorders>
            <w:hideMark/>
          </w:tcPr>
          <w:p w14:paraId="0C60D94D" w14:textId="77777777" w:rsidR="00617CCA" w:rsidRPr="00986E88" w:rsidRDefault="00944B8F" w:rsidP="00762FA7">
            <w:pPr>
              <w:numPr>
                <w:ilvl w:val="0"/>
                <w:numId w:val="154"/>
              </w:numPr>
              <w:tabs>
                <w:tab w:val="clear" w:pos="562"/>
              </w:tabs>
              <w:suppressAutoHyphens w:val="0"/>
              <w:ind w:left="360" w:hanging="210"/>
              <w:rPr>
                <w:del w:id="4295" w:author="AbbVie19" w:date="2025-04-16T10:42:00Z"/>
                <w:szCs w:val="22"/>
              </w:rPr>
            </w:pPr>
            <w:del w:id="4296" w:author="AbbVie19" w:date="2025-04-16T10:42:00Z">
              <w:r w:rsidRPr="00986E88">
                <w:rPr>
                  <w:szCs w:val="22"/>
                </w:rPr>
                <w:delText>40 mg every other week</w:delText>
              </w:r>
            </w:del>
          </w:p>
        </w:tc>
      </w:tr>
      <w:tr w:rsidR="00C6578C" w14:paraId="44C81683" w14:textId="77777777" w:rsidTr="00617CCA">
        <w:trPr>
          <w:jc w:val="center"/>
          <w:del w:id="4297" w:author="AbbVie19" w:date="2025-04-16T10:42:00Z"/>
        </w:trPr>
        <w:tc>
          <w:tcPr>
            <w:tcW w:w="0" w:type="auto"/>
            <w:tcBorders>
              <w:top w:val="single" w:sz="6" w:space="0" w:color="000000"/>
              <w:left w:val="single" w:sz="6" w:space="0" w:color="000000"/>
              <w:bottom w:val="single" w:sz="4" w:space="0" w:color="auto"/>
              <w:right w:val="single" w:sz="6" w:space="0" w:color="000000"/>
            </w:tcBorders>
            <w:hideMark/>
          </w:tcPr>
          <w:p w14:paraId="2AC3BCC1" w14:textId="77777777" w:rsidR="00617CCA" w:rsidRPr="00986E88" w:rsidRDefault="00944B8F" w:rsidP="00762FA7">
            <w:pPr>
              <w:jc w:val="center"/>
              <w:rPr>
                <w:del w:id="4298" w:author="AbbVie19" w:date="2025-04-16T10:42:00Z"/>
                <w:szCs w:val="22"/>
              </w:rPr>
            </w:pPr>
            <w:del w:id="4299" w:author="AbbVie19" w:date="2025-04-16T10:42:00Z">
              <w:r w:rsidRPr="00AC0E90">
                <w:rPr>
                  <w:szCs w:val="22"/>
                </w:rPr>
                <w:delText>≥</w:delText>
              </w:r>
              <w:r w:rsidRPr="00986E88">
                <w:rPr>
                  <w:szCs w:val="22"/>
                </w:rPr>
                <w:delText xml:space="preserve"> 40 kg</w:delText>
              </w:r>
            </w:del>
          </w:p>
        </w:tc>
        <w:tc>
          <w:tcPr>
            <w:tcW w:w="2005" w:type="pct"/>
            <w:tcBorders>
              <w:top w:val="single" w:sz="6" w:space="0" w:color="000000"/>
              <w:left w:val="single" w:sz="6" w:space="0" w:color="000000"/>
              <w:bottom w:val="single" w:sz="4" w:space="0" w:color="auto"/>
              <w:right w:val="single" w:sz="6" w:space="0" w:color="000000"/>
            </w:tcBorders>
            <w:hideMark/>
          </w:tcPr>
          <w:p w14:paraId="322CFABA" w14:textId="77777777" w:rsidR="00617CCA" w:rsidRPr="00986E88" w:rsidRDefault="00944B8F" w:rsidP="00762FA7">
            <w:pPr>
              <w:numPr>
                <w:ilvl w:val="0"/>
                <w:numId w:val="155"/>
              </w:numPr>
              <w:tabs>
                <w:tab w:val="clear" w:pos="562"/>
              </w:tabs>
              <w:suppressAutoHyphens w:val="0"/>
              <w:ind w:left="360" w:hanging="210"/>
              <w:rPr>
                <w:del w:id="4300" w:author="AbbVie19" w:date="2025-04-16T10:42:00Z"/>
                <w:szCs w:val="22"/>
              </w:rPr>
            </w:pPr>
            <w:del w:id="4301" w:author="AbbVie19" w:date="2025-04-16T10:42:00Z">
              <w:r w:rsidRPr="00986E88">
                <w:rPr>
                  <w:szCs w:val="22"/>
                </w:rPr>
                <w:delText>160 mg at Week 0</w:delText>
              </w:r>
              <w:r>
                <w:delText xml:space="preserve"> (given as four 40 mg injections in one day or two 40 mg injections per day for two consecutive days)</w:delText>
              </w:r>
              <w:r w:rsidRPr="00986E88">
                <w:rPr>
                  <w:szCs w:val="22"/>
                </w:rPr>
                <w:delText xml:space="preserve"> and</w:delText>
              </w:r>
            </w:del>
          </w:p>
          <w:p w14:paraId="029B7768" w14:textId="77777777" w:rsidR="00617CCA" w:rsidRPr="00986E88" w:rsidRDefault="00944B8F" w:rsidP="00762FA7">
            <w:pPr>
              <w:numPr>
                <w:ilvl w:val="0"/>
                <w:numId w:val="155"/>
              </w:numPr>
              <w:tabs>
                <w:tab w:val="clear" w:pos="562"/>
              </w:tabs>
              <w:suppressAutoHyphens w:val="0"/>
              <w:ind w:left="360" w:hanging="210"/>
              <w:rPr>
                <w:del w:id="4302" w:author="AbbVie19" w:date="2025-04-16T10:42:00Z"/>
                <w:szCs w:val="22"/>
              </w:rPr>
            </w:pPr>
            <w:del w:id="4303" w:author="AbbVie19" w:date="2025-04-16T10:42:00Z">
              <w:r w:rsidRPr="00986E88">
                <w:rPr>
                  <w:szCs w:val="22"/>
                </w:rPr>
                <w:delText>80 mg at Week 2</w:delText>
              </w:r>
              <w:r>
                <w:delText xml:space="preserve"> (given as two 40 mg injections in one day)</w:delText>
              </w:r>
            </w:del>
          </w:p>
        </w:tc>
        <w:tc>
          <w:tcPr>
            <w:tcW w:w="1906" w:type="pct"/>
            <w:tcBorders>
              <w:top w:val="single" w:sz="6" w:space="0" w:color="000000"/>
              <w:left w:val="single" w:sz="6" w:space="0" w:color="000000"/>
              <w:bottom w:val="single" w:sz="4" w:space="0" w:color="auto"/>
              <w:right w:val="single" w:sz="6" w:space="0" w:color="000000"/>
            </w:tcBorders>
            <w:hideMark/>
          </w:tcPr>
          <w:p w14:paraId="21408F59" w14:textId="77777777" w:rsidR="00617CCA" w:rsidRPr="00986E88" w:rsidRDefault="00944B8F" w:rsidP="00762FA7">
            <w:pPr>
              <w:numPr>
                <w:ilvl w:val="0"/>
                <w:numId w:val="154"/>
              </w:numPr>
              <w:tabs>
                <w:tab w:val="clear" w:pos="562"/>
              </w:tabs>
              <w:suppressAutoHyphens w:val="0"/>
              <w:ind w:left="360" w:hanging="210"/>
              <w:rPr>
                <w:del w:id="4304" w:author="AbbVie19" w:date="2025-04-16T10:42:00Z"/>
                <w:szCs w:val="22"/>
              </w:rPr>
            </w:pPr>
            <w:del w:id="4305" w:author="AbbVie19" w:date="2025-04-16T10:42:00Z">
              <w:r w:rsidRPr="00986E88">
                <w:rPr>
                  <w:szCs w:val="22"/>
                </w:rPr>
                <w:delText>80 mg every other week</w:delText>
              </w:r>
            </w:del>
          </w:p>
        </w:tc>
      </w:tr>
      <w:tr w:rsidR="00C6578C" w14:paraId="69BA3732" w14:textId="77777777" w:rsidTr="00617CCA">
        <w:trPr>
          <w:jc w:val="center"/>
          <w:del w:id="4306" w:author="AbbVie19" w:date="2025-04-16T10:42:00Z"/>
        </w:trPr>
        <w:tc>
          <w:tcPr>
            <w:tcW w:w="5000" w:type="pct"/>
            <w:gridSpan w:val="3"/>
            <w:tcBorders>
              <w:top w:val="single" w:sz="4" w:space="0" w:color="auto"/>
              <w:left w:val="nil"/>
              <w:bottom w:val="nil"/>
              <w:right w:val="nil"/>
            </w:tcBorders>
          </w:tcPr>
          <w:p w14:paraId="4B146D84" w14:textId="77777777" w:rsidR="00617CCA" w:rsidRPr="00986E88" w:rsidRDefault="00944B8F" w:rsidP="00762FA7">
            <w:pPr>
              <w:rPr>
                <w:del w:id="4307" w:author="AbbVie19" w:date="2025-04-16T10:42:00Z"/>
                <w:szCs w:val="22"/>
              </w:rPr>
            </w:pPr>
            <w:del w:id="4308" w:author="AbbVie19" w:date="2025-04-16T10:42:00Z">
              <w:r w:rsidRPr="00AC0E90">
                <w:rPr>
                  <w:szCs w:val="22"/>
                  <w:vertAlign w:val="superscript"/>
                </w:rPr>
                <w:delText xml:space="preserve">* </w:delText>
              </w:r>
              <w:r w:rsidRPr="00986E88">
                <w:rPr>
                  <w:szCs w:val="22"/>
                </w:rPr>
                <w:delText>Paediatric patients who turn 18 years of age while on Humira should continue their prescribed maintenance dose.</w:delText>
              </w:r>
            </w:del>
          </w:p>
        </w:tc>
      </w:tr>
    </w:tbl>
    <w:p w14:paraId="27E455A1" w14:textId="77777777" w:rsidR="009A633A" w:rsidRPr="005037B5" w:rsidRDefault="009A633A" w:rsidP="00762FA7">
      <w:pPr>
        <w:pStyle w:val="gtctablespaceafter"/>
        <w:numPr>
          <w:ilvl w:val="0"/>
          <w:numId w:val="153"/>
        </w:numPr>
        <w:jc w:val="center"/>
        <w:rPr>
          <w:del w:id="4309" w:author="AbbVie19" w:date="2025-04-16T10:42:00Z"/>
        </w:rPr>
      </w:pPr>
    </w:p>
    <w:p w14:paraId="7DB5BA81" w14:textId="77777777" w:rsidR="009A633A" w:rsidRPr="005037B5" w:rsidRDefault="00944B8F" w:rsidP="00762FA7">
      <w:pPr>
        <w:rPr>
          <w:del w:id="4310" w:author="AbbVie19" w:date="2025-04-16T10:42:00Z"/>
        </w:rPr>
      </w:pPr>
      <w:del w:id="4311" w:author="AbbVie19" w:date="2025-04-16T10:42:00Z">
        <w:r w:rsidRPr="005037B5">
          <w:delText xml:space="preserve">Continued therapy beyond 8 weeks should be carefully considered in </w:delText>
        </w:r>
        <w:r w:rsidRPr="00B15DF4">
          <w:delText>patients not showing signs of response</w:delText>
        </w:r>
        <w:r w:rsidRPr="005037B5">
          <w:delText xml:space="preserve"> within this time period.</w:delText>
        </w:r>
      </w:del>
    </w:p>
    <w:p w14:paraId="3FC0EFD5" w14:textId="77777777" w:rsidR="009A633A" w:rsidRPr="005037B5" w:rsidRDefault="009A633A" w:rsidP="00762FA7">
      <w:pPr>
        <w:rPr>
          <w:del w:id="4312" w:author="AbbVie19" w:date="2025-04-16T10:42:00Z"/>
        </w:rPr>
      </w:pPr>
    </w:p>
    <w:p w14:paraId="67BD99B7" w14:textId="77777777" w:rsidR="00AD29D8" w:rsidRDefault="00944B8F" w:rsidP="00762FA7">
      <w:pPr>
        <w:rPr>
          <w:del w:id="4313" w:author="AbbVie19" w:date="2025-04-16T10:42:00Z"/>
        </w:rPr>
      </w:pPr>
      <w:del w:id="4314" w:author="AbbVie19" w:date="2025-04-16T10:42:00Z">
        <w:r w:rsidRPr="005037B5">
          <w:delText xml:space="preserve">There is no relevant use of Humira in children aged less than </w:delText>
        </w:r>
        <w:r>
          <w:delText>6</w:delText>
        </w:r>
        <w:r w:rsidRPr="005037B5">
          <w:delText xml:space="preserve"> years in this indication.</w:delText>
        </w:r>
      </w:del>
    </w:p>
    <w:p w14:paraId="6FBEEB6D" w14:textId="77777777" w:rsidR="003A75F8" w:rsidRDefault="003A75F8" w:rsidP="00762FA7">
      <w:pPr>
        <w:rPr>
          <w:del w:id="4315" w:author="AbbVie19" w:date="2025-04-16T10:42:00Z"/>
        </w:rPr>
      </w:pPr>
    </w:p>
    <w:p w14:paraId="0A5AAEA9" w14:textId="77777777" w:rsidR="003A75F8" w:rsidRDefault="00944B8F" w:rsidP="00762FA7">
      <w:pPr>
        <w:rPr>
          <w:del w:id="4316" w:author="AbbVie19" w:date="2025-04-16T10:42:00Z"/>
        </w:rPr>
      </w:pPr>
      <w:del w:id="4317" w:author="AbbVie19" w:date="2025-04-16T10:42:00Z">
        <w:r w:rsidRPr="005037B5">
          <w:delText>Humira may be available in different strengths and/or presentations</w:delText>
        </w:r>
        <w:r>
          <w:delText xml:space="preserve"> depending on the individual treatment needs</w:delText>
        </w:r>
        <w:r w:rsidRPr="005037B5">
          <w:delText>.</w:delText>
        </w:r>
      </w:del>
    </w:p>
    <w:p w14:paraId="53EB38D3" w14:textId="77777777" w:rsidR="009A633A" w:rsidRDefault="009A633A" w:rsidP="00762FA7">
      <w:pPr>
        <w:keepNext/>
        <w:rPr>
          <w:del w:id="4318" w:author="AbbVie19" w:date="2025-04-16T10:42:00Z"/>
          <w:i/>
        </w:rPr>
      </w:pPr>
    </w:p>
    <w:p w14:paraId="01EFCFAC" w14:textId="77777777" w:rsidR="00BC0E7E" w:rsidRPr="00BC0E7E" w:rsidRDefault="00944B8F" w:rsidP="00762FA7">
      <w:pPr>
        <w:keepNext/>
        <w:rPr>
          <w:del w:id="4319" w:author="AbbVie19" w:date="2025-04-16T10:42:00Z"/>
          <w:b/>
          <w:bCs/>
          <w:iCs/>
        </w:rPr>
      </w:pPr>
      <w:del w:id="4320" w:author="AbbVie19" w:date="2025-04-16T10:42:00Z">
        <w:r w:rsidRPr="00BC0E7E">
          <w:rPr>
            <w:i/>
          </w:rPr>
          <w:delText>Paediatric Uveitis</w:delText>
        </w:r>
      </w:del>
    </w:p>
    <w:p w14:paraId="67FEA4DE" w14:textId="77777777" w:rsidR="00BC0E7E" w:rsidRPr="00BC0E7E" w:rsidRDefault="00BC0E7E" w:rsidP="00762FA7">
      <w:pPr>
        <w:rPr>
          <w:del w:id="4321" w:author="AbbVie19" w:date="2025-04-16T10:42:00Z"/>
        </w:rPr>
      </w:pPr>
    </w:p>
    <w:p w14:paraId="2F07B903" w14:textId="77777777" w:rsidR="00943948" w:rsidRDefault="00944B8F" w:rsidP="00762FA7">
      <w:pPr>
        <w:rPr>
          <w:del w:id="4322" w:author="AbbVie19" w:date="2025-04-16T10:42:00Z"/>
          <w:szCs w:val="22"/>
        </w:rPr>
      </w:pPr>
      <w:del w:id="4323" w:author="AbbVie19" w:date="2025-04-16T10:42:00Z">
        <w:r w:rsidRPr="00E20D59">
          <w:rPr>
            <w:szCs w:val="22"/>
          </w:rPr>
          <w:delText xml:space="preserve">The recommended dose of Humira for </w:delText>
        </w:r>
        <w:r>
          <w:rPr>
            <w:szCs w:val="22"/>
          </w:rPr>
          <w:delText xml:space="preserve">paediatric </w:delText>
        </w:r>
        <w:r w:rsidRPr="00E20D59">
          <w:rPr>
            <w:szCs w:val="22"/>
          </w:rPr>
          <w:delText xml:space="preserve">patients with </w:delText>
        </w:r>
        <w:r>
          <w:rPr>
            <w:szCs w:val="22"/>
          </w:rPr>
          <w:delText xml:space="preserve">uveitis from 2 </w:delText>
        </w:r>
        <w:r w:rsidRPr="00E20D59">
          <w:rPr>
            <w:szCs w:val="22"/>
          </w:rPr>
          <w:delText>years</w:delText>
        </w:r>
        <w:r>
          <w:rPr>
            <w:szCs w:val="22"/>
          </w:rPr>
          <w:delText xml:space="preserve"> of age </w:delText>
        </w:r>
        <w:r w:rsidRPr="00E20D59">
          <w:rPr>
            <w:szCs w:val="22"/>
          </w:rPr>
          <w:delText xml:space="preserve">is based on </w:delText>
        </w:r>
        <w:r>
          <w:rPr>
            <w:szCs w:val="22"/>
          </w:rPr>
          <w:delText xml:space="preserve">body </w:delText>
        </w:r>
        <w:r w:rsidRPr="00E20D59">
          <w:rPr>
            <w:szCs w:val="22"/>
          </w:rPr>
          <w:delText>weight</w:delText>
        </w:r>
        <w:r>
          <w:rPr>
            <w:szCs w:val="22"/>
          </w:rPr>
          <w:delText xml:space="preserve"> (Table </w:delText>
        </w:r>
        <w:r w:rsidR="005F03EC">
          <w:rPr>
            <w:szCs w:val="22"/>
          </w:rPr>
          <w:delText>6</w:delText>
        </w:r>
        <w:r>
          <w:rPr>
            <w:szCs w:val="22"/>
          </w:rPr>
          <w:delText>).</w:delText>
        </w:r>
        <w:r w:rsidRPr="00E20D59">
          <w:rPr>
            <w:szCs w:val="22"/>
          </w:rPr>
          <w:delText xml:space="preserve"> </w:delText>
        </w:r>
        <w:r>
          <w:rPr>
            <w:szCs w:val="22"/>
          </w:rPr>
          <w:delText xml:space="preserve">Humira is </w:delText>
        </w:r>
        <w:r w:rsidRPr="00E20D59">
          <w:rPr>
            <w:szCs w:val="22"/>
          </w:rPr>
          <w:delText>administered via subcutaneous injection.</w:delText>
        </w:r>
      </w:del>
    </w:p>
    <w:p w14:paraId="565162D5" w14:textId="77777777" w:rsidR="00943948" w:rsidRDefault="00943948" w:rsidP="00762FA7">
      <w:pPr>
        <w:rPr>
          <w:del w:id="4324" w:author="AbbVie19" w:date="2025-04-16T10:42:00Z"/>
        </w:rPr>
      </w:pPr>
    </w:p>
    <w:p w14:paraId="0B496ECE" w14:textId="77777777" w:rsidR="00BC0E7E" w:rsidRPr="00BC0E7E" w:rsidRDefault="00944B8F" w:rsidP="00762FA7">
      <w:pPr>
        <w:rPr>
          <w:del w:id="4325" w:author="AbbVie19" w:date="2025-04-16T10:42:00Z"/>
        </w:rPr>
      </w:pPr>
      <w:del w:id="4326" w:author="AbbVie19" w:date="2025-04-16T10:42:00Z">
        <w:r w:rsidRPr="00BC0E7E">
          <w:delText>In paediatric uveitis, there is no experience in the treatment with Humira without concomitant treatment with methotrexate.</w:delText>
        </w:r>
      </w:del>
    </w:p>
    <w:p w14:paraId="1B2C9E1E" w14:textId="77777777" w:rsidR="00BC0E7E" w:rsidRPr="00BC0E7E" w:rsidRDefault="00BC0E7E" w:rsidP="00762FA7">
      <w:pPr>
        <w:rPr>
          <w:del w:id="4327" w:author="AbbVie19" w:date="2025-04-16T10:42:00Z"/>
          <w:szCs w:val="20"/>
        </w:rPr>
      </w:pPr>
    </w:p>
    <w:p w14:paraId="19BAB11A" w14:textId="77777777" w:rsidR="00943948" w:rsidRDefault="00944B8F" w:rsidP="00762FA7">
      <w:pPr>
        <w:jc w:val="center"/>
        <w:rPr>
          <w:del w:id="4328" w:author="AbbVie19" w:date="2025-04-16T10:42:00Z"/>
          <w:b/>
          <w:szCs w:val="22"/>
        </w:rPr>
      </w:pPr>
      <w:del w:id="4329" w:author="AbbVie19" w:date="2025-04-16T10:42:00Z">
        <w:r w:rsidRPr="00987440">
          <w:rPr>
            <w:b/>
            <w:szCs w:val="22"/>
          </w:rPr>
          <w:delText>Table</w:delText>
        </w:r>
        <w:r w:rsidRPr="00BF005B">
          <w:rPr>
            <w:b/>
            <w:szCs w:val="22"/>
          </w:rPr>
          <w:delText xml:space="preserve"> </w:delText>
        </w:r>
        <w:r w:rsidR="005F03EC">
          <w:rPr>
            <w:b/>
            <w:szCs w:val="22"/>
          </w:rPr>
          <w:delText>6</w:delText>
        </w:r>
        <w:r w:rsidRPr="00BF005B">
          <w:rPr>
            <w:b/>
            <w:szCs w:val="22"/>
          </w:rPr>
          <w:delText xml:space="preserve">. Humira Dose for </w:delText>
        </w:r>
        <w:r>
          <w:rPr>
            <w:b/>
            <w:szCs w:val="22"/>
          </w:rPr>
          <w:delText xml:space="preserve">Paediatric </w:delText>
        </w:r>
        <w:r w:rsidRPr="00BF005B">
          <w:rPr>
            <w:b/>
            <w:szCs w:val="22"/>
          </w:rPr>
          <w:delText xml:space="preserve">Patients with </w:delText>
        </w:r>
        <w:r>
          <w:rPr>
            <w:b/>
            <w:szCs w:val="22"/>
          </w:rPr>
          <w:delText>Uveitis</w:delText>
        </w:r>
      </w:del>
    </w:p>
    <w:p w14:paraId="2A2901DF" w14:textId="77777777" w:rsidR="00943948" w:rsidRPr="00813F27" w:rsidRDefault="00943948" w:rsidP="00762FA7">
      <w:pPr>
        <w:rPr>
          <w:del w:id="4330" w:author="AbbVie19" w:date="2025-04-16T10:42:00Z"/>
        </w:rPr>
      </w:pPr>
    </w:p>
    <w:tbl>
      <w:tblPr>
        <w:tblW w:w="6795" w:type="dxa"/>
        <w:jc w:val="center"/>
        <w:tblLayout w:type="fixed"/>
        <w:tblLook w:val="0000" w:firstRow="0" w:lastRow="0" w:firstColumn="0" w:lastColumn="0" w:noHBand="0" w:noVBand="0"/>
      </w:tblPr>
      <w:tblGrid>
        <w:gridCol w:w="3401"/>
        <w:gridCol w:w="3394"/>
      </w:tblGrid>
      <w:tr w:rsidR="00C6578C" w14:paraId="7C4EF4D7" w14:textId="77777777" w:rsidTr="004F68D4">
        <w:trPr>
          <w:tblHeader/>
          <w:jc w:val="center"/>
          <w:del w:id="4331" w:author="AbbVie19" w:date="2025-04-16T10:42:00Z"/>
        </w:trPr>
        <w:tc>
          <w:tcPr>
            <w:tcW w:w="3401" w:type="dxa"/>
            <w:tcBorders>
              <w:top w:val="single" w:sz="4" w:space="0" w:color="auto"/>
              <w:bottom w:val="single" w:sz="4" w:space="0" w:color="auto"/>
            </w:tcBorders>
          </w:tcPr>
          <w:p w14:paraId="0239902C" w14:textId="77777777" w:rsidR="00943948" w:rsidRPr="00BF005B" w:rsidRDefault="00944B8F" w:rsidP="00762FA7">
            <w:pPr>
              <w:pStyle w:val="TableLeft"/>
              <w:jc w:val="center"/>
              <w:rPr>
                <w:del w:id="4332" w:author="AbbVie19" w:date="2025-04-16T10:42:00Z"/>
                <w:b/>
                <w:szCs w:val="22"/>
              </w:rPr>
            </w:pPr>
            <w:del w:id="4333" w:author="AbbVie19" w:date="2025-04-16T10:42:00Z">
              <w:r w:rsidRPr="00BF005B">
                <w:rPr>
                  <w:b/>
                  <w:szCs w:val="22"/>
                </w:rPr>
                <w:delText>Patient Weight</w:delText>
              </w:r>
            </w:del>
          </w:p>
        </w:tc>
        <w:tc>
          <w:tcPr>
            <w:tcW w:w="3394" w:type="dxa"/>
            <w:tcBorders>
              <w:top w:val="single" w:sz="4" w:space="0" w:color="auto"/>
              <w:bottom w:val="single" w:sz="4" w:space="0" w:color="auto"/>
            </w:tcBorders>
          </w:tcPr>
          <w:p w14:paraId="755C9863" w14:textId="77777777" w:rsidR="00943948" w:rsidRPr="00BF005B" w:rsidRDefault="00944B8F" w:rsidP="00762FA7">
            <w:pPr>
              <w:pStyle w:val="TableLeft"/>
              <w:jc w:val="center"/>
              <w:rPr>
                <w:del w:id="4334" w:author="AbbVie19" w:date="2025-04-16T10:42:00Z"/>
                <w:b/>
                <w:szCs w:val="22"/>
              </w:rPr>
            </w:pPr>
            <w:del w:id="4335" w:author="AbbVie19" w:date="2025-04-16T10:42:00Z">
              <w:r w:rsidRPr="00BF005B">
                <w:rPr>
                  <w:b/>
                  <w:szCs w:val="22"/>
                </w:rPr>
                <w:delText>Dosing Regimen</w:delText>
              </w:r>
            </w:del>
          </w:p>
        </w:tc>
      </w:tr>
      <w:tr w:rsidR="00C6578C" w14:paraId="1BED1249" w14:textId="77777777" w:rsidTr="004F68D4">
        <w:trPr>
          <w:tblHeader/>
          <w:jc w:val="center"/>
          <w:del w:id="4336" w:author="AbbVie19" w:date="2025-04-16T10:42:00Z"/>
        </w:trPr>
        <w:tc>
          <w:tcPr>
            <w:tcW w:w="3401" w:type="dxa"/>
            <w:tcBorders>
              <w:top w:val="single" w:sz="4" w:space="0" w:color="auto"/>
              <w:bottom w:val="single" w:sz="4" w:space="0" w:color="auto"/>
            </w:tcBorders>
          </w:tcPr>
          <w:p w14:paraId="7C13DC01" w14:textId="77777777" w:rsidR="00943948" w:rsidRPr="00BF005B" w:rsidRDefault="00944B8F" w:rsidP="00762FA7">
            <w:pPr>
              <w:pStyle w:val="TableLeft"/>
              <w:jc w:val="center"/>
              <w:rPr>
                <w:del w:id="4337" w:author="AbbVie19" w:date="2025-04-16T10:42:00Z"/>
                <w:b/>
                <w:szCs w:val="22"/>
              </w:rPr>
            </w:pPr>
            <w:del w:id="4338" w:author="AbbVie19" w:date="2025-04-16T10:42:00Z">
              <w:r w:rsidRPr="00BF005B">
                <w:rPr>
                  <w:szCs w:val="22"/>
                </w:rPr>
                <w:delText>&lt; 30 kg</w:delText>
              </w:r>
            </w:del>
          </w:p>
        </w:tc>
        <w:tc>
          <w:tcPr>
            <w:tcW w:w="3394" w:type="dxa"/>
            <w:tcBorders>
              <w:top w:val="single" w:sz="4" w:space="0" w:color="auto"/>
              <w:bottom w:val="single" w:sz="4" w:space="0" w:color="auto"/>
            </w:tcBorders>
          </w:tcPr>
          <w:p w14:paraId="20EC14F7" w14:textId="77777777" w:rsidR="00943948" w:rsidRPr="00145558" w:rsidRDefault="00944B8F" w:rsidP="00762FA7">
            <w:pPr>
              <w:pStyle w:val="TableLeft"/>
              <w:jc w:val="center"/>
              <w:rPr>
                <w:del w:id="4339" w:author="AbbVie19" w:date="2025-04-16T10:42:00Z"/>
                <w:b/>
                <w:szCs w:val="22"/>
              </w:rPr>
            </w:pPr>
            <w:del w:id="4340" w:author="AbbVie19" w:date="2025-04-16T10:42:00Z">
              <w:r>
                <w:rPr>
                  <w:szCs w:val="22"/>
                </w:rPr>
                <w:delText>20 mg every other week in combination with methotrexate</w:delText>
              </w:r>
            </w:del>
          </w:p>
        </w:tc>
      </w:tr>
      <w:tr w:rsidR="00C6578C" w14:paraId="068F0A2B" w14:textId="77777777" w:rsidTr="004F68D4">
        <w:trPr>
          <w:tblHeader/>
          <w:jc w:val="center"/>
          <w:del w:id="4341" w:author="AbbVie19" w:date="2025-04-16T10:42:00Z"/>
        </w:trPr>
        <w:tc>
          <w:tcPr>
            <w:tcW w:w="3401" w:type="dxa"/>
            <w:tcBorders>
              <w:top w:val="single" w:sz="4" w:space="0" w:color="auto"/>
              <w:bottom w:val="single" w:sz="4" w:space="0" w:color="auto"/>
            </w:tcBorders>
          </w:tcPr>
          <w:p w14:paraId="70E34A17" w14:textId="77777777" w:rsidR="00943948" w:rsidRPr="00BF005B" w:rsidRDefault="00944B8F" w:rsidP="00762FA7">
            <w:pPr>
              <w:pStyle w:val="TableLeft"/>
              <w:jc w:val="center"/>
              <w:rPr>
                <w:del w:id="4342" w:author="AbbVie19" w:date="2025-04-16T10:42:00Z"/>
                <w:b/>
                <w:szCs w:val="22"/>
              </w:rPr>
            </w:pPr>
            <w:del w:id="4343" w:author="AbbVie19" w:date="2025-04-16T10:42:00Z">
              <w:r w:rsidRPr="00BF005B">
                <w:rPr>
                  <w:szCs w:val="22"/>
                </w:rPr>
                <w:delText>≥ 30 kg</w:delText>
              </w:r>
            </w:del>
          </w:p>
        </w:tc>
        <w:tc>
          <w:tcPr>
            <w:tcW w:w="3394" w:type="dxa"/>
            <w:tcBorders>
              <w:top w:val="single" w:sz="4" w:space="0" w:color="auto"/>
              <w:bottom w:val="single" w:sz="4" w:space="0" w:color="auto"/>
            </w:tcBorders>
          </w:tcPr>
          <w:p w14:paraId="5A9E50CF" w14:textId="77777777" w:rsidR="00943948" w:rsidRPr="00145558" w:rsidRDefault="00944B8F" w:rsidP="00762FA7">
            <w:pPr>
              <w:pStyle w:val="TableLeft"/>
              <w:jc w:val="center"/>
              <w:rPr>
                <w:del w:id="4344" w:author="AbbVie19" w:date="2025-04-16T10:42:00Z"/>
                <w:b/>
                <w:szCs w:val="22"/>
              </w:rPr>
            </w:pPr>
            <w:del w:id="4345" w:author="AbbVie19" w:date="2025-04-16T10:42:00Z">
              <w:r>
                <w:rPr>
                  <w:szCs w:val="22"/>
                </w:rPr>
                <w:delText>40 mg every other week in combination with methotrexate</w:delText>
              </w:r>
            </w:del>
          </w:p>
        </w:tc>
      </w:tr>
    </w:tbl>
    <w:p w14:paraId="3885B57D" w14:textId="77777777" w:rsidR="00BC0E7E" w:rsidRPr="00BC0E7E" w:rsidRDefault="00BC0E7E" w:rsidP="00762FA7">
      <w:pPr>
        <w:rPr>
          <w:del w:id="4346" w:author="AbbVie19" w:date="2025-04-16T10:42:00Z"/>
        </w:rPr>
      </w:pPr>
    </w:p>
    <w:p w14:paraId="7C905A24" w14:textId="77777777" w:rsidR="00BC0E7E" w:rsidRPr="00BC0E7E" w:rsidRDefault="00944B8F" w:rsidP="00762FA7">
      <w:pPr>
        <w:rPr>
          <w:del w:id="4347" w:author="AbbVie19" w:date="2025-04-16T10:42:00Z"/>
        </w:rPr>
      </w:pPr>
      <w:del w:id="4348" w:author="AbbVie19" w:date="2025-04-16T10:42:00Z">
        <w:r w:rsidRPr="00BC0E7E">
          <w:delText>When Humira therapy is initiated, a loading dose of 40 mg</w:delText>
        </w:r>
        <w:r w:rsidR="004916FC" w:rsidRPr="004916FC">
          <w:delText xml:space="preserve"> </w:delText>
        </w:r>
        <w:r w:rsidR="004916FC">
          <w:delText>for patients &lt; 30 kg or 80 mg for patients ≥ 30 kg</w:delText>
        </w:r>
        <w:r w:rsidRPr="00BC0E7E">
          <w:delText xml:space="preserve"> may be administered one week prior to the start of maintenance therapy. No clinical data are available on the use of a Humira loading dose in children &lt; 6 years of age (see section 5.2).</w:delText>
        </w:r>
      </w:del>
    </w:p>
    <w:p w14:paraId="48DF2032" w14:textId="77777777" w:rsidR="00BC0E7E" w:rsidRPr="00BC0E7E" w:rsidRDefault="00BC0E7E" w:rsidP="00762FA7">
      <w:pPr>
        <w:rPr>
          <w:del w:id="4349" w:author="AbbVie19" w:date="2025-04-16T10:42:00Z"/>
        </w:rPr>
      </w:pPr>
    </w:p>
    <w:p w14:paraId="32E30797" w14:textId="77777777" w:rsidR="00BC0E7E" w:rsidRPr="00BC0E7E" w:rsidRDefault="00944B8F" w:rsidP="00762FA7">
      <w:pPr>
        <w:rPr>
          <w:del w:id="4350" w:author="AbbVie19" w:date="2025-04-16T10:42:00Z"/>
          <w:szCs w:val="20"/>
        </w:rPr>
      </w:pPr>
      <w:del w:id="4351" w:author="AbbVie19" w:date="2025-04-16T10:42:00Z">
        <w:r w:rsidRPr="00BC0E7E">
          <w:rPr>
            <w:szCs w:val="20"/>
          </w:rPr>
          <w:delText>There is no relevant use of Humira in children aged less than 2 years in this indication.</w:delText>
        </w:r>
      </w:del>
    </w:p>
    <w:p w14:paraId="4AA6F523" w14:textId="77777777" w:rsidR="00BC0E7E" w:rsidRPr="00BC0E7E" w:rsidRDefault="00BC0E7E" w:rsidP="00762FA7">
      <w:pPr>
        <w:rPr>
          <w:del w:id="4352" w:author="AbbVie19" w:date="2025-04-16T10:42:00Z"/>
          <w:szCs w:val="20"/>
        </w:rPr>
      </w:pPr>
    </w:p>
    <w:p w14:paraId="02170BEC" w14:textId="77777777" w:rsidR="00BC0E7E" w:rsidRPr="00BC0E7E" w:rsidRDefault="00944B8F" w:rsidP="00762FA7">
      <w:pPr>
        <w:rPr>
          <w:del w:id="4353" w:author="AbbVie19" w:date="2025-04-16T10:42:00Z"/>
          <w:szCs w:val="20"/>
        </w:rPr>
      </w:pPr>
      <w:del w:id="4354" w:author="AbbVie19" w:date="2025-04-16T10:42:00Z">
        <w:r w:rsidRPr="00BC0E7E">
          <w:rPr>
            <w:szCs w:val="22"/>
          </w:rPr>
          <w:delText>It is recommended that the benefit and risk of continued long-term treatment should be evaluated on a yearly basis (see section 5.1).</w:delText>
        </w:r>
      </w:del>
    </w:p>
    <w:p w14:paraId="493105CB" w14:textId="77777777" w:rsidR="006B49F3" w:rsidRDefault="006B49F3" w:rsidP="00762FA7">
      <w:pPr>
        <w:keepNext/>
        <w:rPr>
          <w:del w:id="4355" w:author="AbbVie19" w:date="2025-04-16T10:42:00Z"/>
          <w:szCs w:val="22"/>
        </w:rPr>
      </w:pPr>
    </w:p>
    <w:p w14:paraId="78B82B44" w14:textId="77777777" w:rsidR="006B49F3" w:rsidRDefault="00944B8F" w:rsidP="00762FA7">
      <w:pPr>
        <w:keepNext/>
        <w:rPr>
          <w:del w:id="4356" w:author="AbbVie19" w:date="2025-04-16T10:42:00Z"/>
          <w:szCs w:val="22"/>
        </w:rPr>
      </w:pPr>
      <w:del w:id="4357" w:author="AbbVie19" w:date="2025-04-16T10:42:00Z">
        <w:r w:rsidRPr="00154096">
          <w:rPr>
            <w:szCs w:val="22"/>
          </w:rPr>
          <w:delText>Humira may be available in other strengths and/or presentations depending on the individual treatment needs</w:delText>
        </w:r>
        <w:r>
          <w:rPr>
            <w:szCs w:val="22"/>
          </w:rPr>
          <w:delText>.</w:delText>
        </w:r>
      </w:del>
    </w:p>
    <w:p w14:paraId="4C60BD79" w14:textId="77777777" w:rsidR="00744E63" w:rsidRPr="002A3533" w:rsidRDefault="00744E63" w:rsidP="00762FA7">
      <w:pPr>
        <w:keepNext/>
        <w:rPr>
          <w:del w:id="4358" w:author="AbbVie19" w:date="2025-04-16T10:42:00Z"/>
        </w:rPr>
      </w:pPr>
    </w:p>
    <w:p w14:paraId="3651A8D8" w14:textId="77777777" w:rsidR="00BC0E7E" w:rsidRPr="00BC0E7E" w:rsidRDefault="00944B8F" w:rsidP="00762FA7">
      <w:pPr>
        <w:keepNext/>
        <w:rPr>
          <w:del w:id="4359" w:author="AbbVie19" w:date="2025-04-16T10:42:00Z"/>
          <w:szCs w:val="20"/>
          <w:u w:val="single"/>
        </w:rPr>
      </w:pPr>
      <w:del w:id="4360" w:author="AbbVie19" w:date="2025-04-16T10:42:00Z">
        <w:r w:rsidRPr="00BC0E7E">
          <w:rPr>
            <w:szCs w:val="20"/>
            <w:u w:val="single"/>
          </w:rPr>
          <w:delText>Method of administration</w:delText>
        </w:r>
      </w:del>
    </w:p>
    <w:p w14:paraId="75C730CB" w14:textId="77777777" w:rsidR="00BC0E7E" w:rsidRPr="00BC0E7E" w:rsidRDefault="00BC0E7E" w:rsidP="00762FA7">
      <w:pPr>
        <w:keepNext/>
        <w:rPr>
          <w:del w:id="4361" w:author="AbbVie19" w:date="2025-04-16T10:42:00Z"/>
          <w:szCs w:val="20"/>
          <w:u w:val="single"/>
        </w:rPr>
      </w:pPr>
    </w:p>
    <w:p w14:paraId="75A7E323" w14:textId="77777777" w:rsidR="00BC0E7E" w:rsidRPr="00BC0E7E" w:rsidRDefault="00944B8F" w:rsidP="00762FA7">
      <w:pPr>
        <w:keepNext/>
        <w:rPr>
          <w:del w:id="4362" w:author="AbbVie19" w:date="2025-04-16T10:42:00Z"/>
          <w:szCs w:val="20"/>
        </w:rPr>
      </w:pPr>
      <w:del w:id="4363" w:author="AbbVie19" w:date="2025-04-16T10:42:00Z">
        <w:r w:rsidRPr="00BC0E7E">
          <w:rPr>
            <w:szCs w:val="20"/>
          </w:rPr>
          <w:delText>Humira is administered by subcutaneous injection. Full instructions for use are provided in the package leaflet.</w:delText>
        </w:r>
      </w:del>
    </w:p>
    <w:p w14:paraId="44C1BE9C" w14:textId="77777777" w:rsidR="00BC0E7E" w:rsidRPr="00BC0E7E" w:rsidRDefault="00BC0E7E" w:rsidP="00762FA7">
      <w:pPr>
        <w:keepNext/>
        <w:rPr>
          <w:del w:id="4364" w:author="AbbVie19" w:date="2025-04-16T10:42:00Z"/>
          <w:szCs w:val="20"/>
        </w:rPr>
      </w:pPr>
    </w:p>
    <w:p w14:paraId="57BA3B1D" w14:textId="77777777" w:rsidR="00BC0E7E" w:rsidRDefault="00944B8F" w:rsidP="00762FA7">
      <w:pPr>
        <w:rPr>
          <w:del w:id="4365" w:author="AbbVie19" w:date="2025-04-16T10:42:00Z"/>
        </w:rPr>
      </w:pPr>
      <w:del w:id="4366" w:author="AbbVie19" w:date="2025-04-16T10:42:00Z">
        <w:r>
          <w:delText>Humira is available in other strengths and presentations.</w:delText>
        </w:r>
      </w:del>
    </w:p>
    <w:p w14:paraId="1E7ABC93" w14:textId="77777777" w:rsidR="005D7F61" w:rsidRPr="00BC0E7E" w:rsidRDefault="005D7F61" w:rsidP="00762FA7">
      <w:pPr>
        <w:rPr>
          <w:del w:id="4367" w:author="AbbVie19" w:date="2025-04-16T10:42:00Z"/>
        </w:rPr>
      </w:pPr>
    </w:p>
    <w:p w14:paraId="65A12299" w14:textId="77777777" w:rsidR="00BC0E7E" w:rsidRPr="00BC0E7E" w:rsidRDefault="00944B8F" w:rsidP="00762FA7">
      <w:pPr>
        <w:suppressAutoHyphens w:val="0"/>
        <w:outlineLvl w:val="1"/>
        <w:rPr>
          <w:del w:id="4368" w:author="AbbVie19" w:date="2025-04-16T10:42:00Z"/>
          <w:b/>
          <w:szCs w:val="20"/>
        </w:rPr>
      </w:pPr>
      <w:del w:id="4369" w:author="AbbVie19" w:date="2025-04-16T10:42:00Z">
        <w:r w:rsidRPr="00BC0E7E">
          <w:rPr>
            <w:b/>
            <w:szCs w:val="20"/>
          </w:rPr>
          <w:delText>4.3</w:delText>
        </w:r>
        <w:r w:rsidRPr="00BC0E7E">
          <w:rPr>
            <w:b/>
            <w:szCs w:val="20"/>
          </w:rPr>
          <w:tab/>
          <w:delText xml:space="preserve">Contraindications </w:delText>
        </w:r>
      </w:del>
    </w:p>
    <w:p w14:paraId="71B9478F" w14:textId="77777777" w:rsidR="00BC0E7E" w:rsidRPr="00BC0E7E" w:rsidRDefault="00BC0E7E" w:rsidP="00762FA7">
      <w:pPr>
        <w:rPr>
          <w:del w:id="4370" w:author="AbbVie19" w:date="2025-04-16T10:42:00Z"/>
          <w:szCs w:val="20"/>
        </w:rPr>
      </w:pPr>
    </w:p>
    <w:p w14:paraId="6BFB1C14" w14:textId="77777777" w:rsidR="00BC0E7E" w:rsidRPr="00BC0E7E" w:rsidRDefault="00944B8F" w:rsidP="00762FA7">
      <w:pPr>
        <w:tabs>
          <w:tab w:val="clear" w:pos="562"/>
        </w:tabs>
        <w:rPr>
          <w:del w:id="4371" w:author="AbbVie19" w:date="2025-04-16T10:42:00Z"/>
        </w:rPr>
      </w:pPr>
      <w:del w:id="4372" w:author="AbbVie19" w:date="2025-04-16T10:42:00Z">
        <w:r w:rsidRPr="00BC0E7E">
          <w:delText xml:space="preserve">Hypersensitivity to the active substance or to any of the excipients listed in section 6.1. </w:delText>
        </w:r>
      </w:del>
    </w:p>
    <w:p w14:paraId="1B711119" w14:textId="77777777" w:rsidR="00BC0E7E" w:rsidRPr="00BC0E7E" w:rsidRDefault="00BC0E7E" w:rsidP="00762FA7">
      <w:pPr>
        <w:tabs>
          <w:tab w:val="clear" w:pos="562"/>
        </w:tabs>
        <w:rPr>
          <w:del w:id="4373" w:author="AbbVie19" w:date="2025-04-16T10:42:00Z"/>
        </w:rPr>
      </w:pPr>
    </w:p>
    <w:p w14:paraId="5BA999DD" w14:textId="77777777" w:rsidR="00BC0E7E" w:rsidRPr="00BC0E7E" w:rsidRDefault="00944B8F" w:rsidP="00762FA7">
      <w:pPr>
        <w:tabs>
          <w:tab w:val="clear" w:pos="562"/>
        </w:tabs>
        <w:rPr>
          <w:del w:id="4374" w:author="AbbVie19" w:date="2025-04-16T10:42:00Z"/>
        </w:rPr>
      </w:pPr>
      <w:del w:id="4375" w:author="AbbVie19" w:date="2025-04-16T10:42:00Z">
        <w:r w:rsidRPr="00BC0E7E">
          <w:delText>Active tuberculosis or other severe infections such as sepsis, and opportunistic infections (see section 4.4).</w:delText>
        </w:r>
      </w:del>
    </w:p>
    <w:p w14:paraId="14808C74" w14:textId="77777777" w:rsidR="00BC0E7E" w:rsidRPr="00BC0E7E" w:rsidRDefault="00BC0E7E" w:rsidP="00762FA7">
      <w:pPr>
        <w:tabs>
          <w:tab w:val="clear" w:pos="562"/>
        </w:tabs>
        <w:rPr>
          <w:del w:id="4376" w:author="AbbVie19" w:date="2025-04-16T10:42:00Z"/>
          <w:sz w:val="20"/>
          <w:szCs w:val="20"/>
        </w:rPr>
      </w:pPr>
    </w:p>
    <w:p w14:paraId="2298F777" w14:textId="77777777" w:rsidR="00BC0E7E" w:rsidRPr="00BC0E7E" w:rsidRDefault="00944B8F" w:rsidP="00762FA7">
      <w:pPr>
        <w:rPr>
          <w:del w:id="4377" w:author="AbbVie19" w:date="2025-04-16T10:42:00Z"/>
        </w:rPr>
      </w:pPr>
      <w:del w:id="4378" w:author="AbbVie19" w:date="2025-04-16T10:42:00Z">
        <w:r w:rsidRPr="00BC0E7E">
          <w:delText>Moderate to severe heart failure (NYHA class III/IV) (see section 4.4).</w:delText>
        </w:r>
      </w:del>
    </w:p>
    <w:p w14:paraId="615A41FB" w14:textId="77777777" w:rsidR="00BC0E7E" w:rsidRPr="00BC0E7E" w:rsidRDefault="00BC0E7E" w:rsidP="00762FA7">
      <w:pPr>
        <w:rPr>
          <w:del w:id="4379" w:author="AbbVie19" w:date="2025-04-16T10:42:00Z"/>
        </w:rPr>
      </w:pPr>
    </w:p>
    <w:p w14:paraId="5EA22B66" w14:textId="77777777" w:rsidR="00BC0E7E" w:rsidRPr="00BC0E7E" w:rsidRDefault="00944B8F" w:rsidP="00762FA7">
      <w:pPr>
        <w:keepNext/>
        <w:suppressAutoHyphens w:val="0"/>
        <w:outlineLvl w:val="1"/>
        <w:rPr>
          <w:del w:id="4380" w:author="AbbVie19" w:date="2025-04-16T10:42:00Z"/>
          <w:b/>
          <w:szCs w:val="20"/>
        </w:rPr>
      </w:pPr>
      <w:del w:id="4381" w:author="AbbVie19" w:date="2025-04-16T10:42:00Z">
        <w:r w:rsidRPr="00BC0E7E">
          <w:rPr>
            <w:b/>
            <w:szCs w:val="20"/>
          </w:rPr>
          <w:lastRenderedPageBreak/>
          <w:delText>4.4</w:delText>
        </w:r>
        <w:r w:rsidRPr="00BC0E7E">
          <w:rPr>
            <w:b/>
            <w:szCs w:val="20"/>
          </w:rPr>
          <w:tab/>
          <w:delText xml:space="preserve">Special warnings and precautions for use  </w:delText>
        </w:r>
      </w:del>
    </w:p>
    <w:p w14:paraId="0E67D381" w14:textId="77777777" w:rsidR="00BC0E7E" w:rsidRPr="00BC0E7E" w:rsidRDefault="00BC0E7E" w:rsidP="00762FA7">
      <w:pPr>
        <w:keepNext/>
        <w:rPr>
          <w:del w:id="4382" w:author="AbbVie19" w:date="2025-04-16T10:42:00Z"/>
          <w:szCs w:val="20"/>
        </w:rPr>
      </w:pPr>
    </w:p>
    <w:p w14:paraId="4029C179" w14:textId="77777777" w:rsidR="004916FC" w:rsidRPr="000244DF" w:rsidRDefault="00944B8F" w:rsidP="00762FA7">
      <w:pPr>
        <w:pStyle w:val="Heading4"/>
        <w:autoSpaceDE w:val="0"/>
        <w:autoSpaceDN w:val="0"/>
        <w:adjustRightInd w:val="0"/>
        <w:rPr>
          <w:del w:id="4383" w:author="AbbVie19" w:date="2025-04-16T10:42:00Z"/>
          <w:szCs w:val="22"/>
          <w:u w:val="single"/>
        </w:rPr>
      </w:pPr>
      <w:del w:id="4384" w:author="AbbVie19" w:date="2025-04-16T10:42:00Z">
        <w:r w:rsidRPr="000244DF">
          <w:rPr>
            <w:szCs w:val="22"/>
            <w:u w:val="single"/>
          </w:rPr>
          <w:delText xml:space="preserve">Traceability </w:delText>
        </w:r>
      </w:del>
    </w:p>
    <w:p w14:paraId="1CF00EFC" w14:textId="77777777" w:rsidR="004916FC" w:rsidRPr="00473C7B" w:rsidRDefault="004916FC" w:rsidP="00762FA7">
      <w:pPr>
        <w:rPr>
          <w:del w:id="4385" w:author="AbbVie19" w:date="2025-04-16T10:42:00Z"/>
        </w:rPr>
      </w:pPr>
    </w:p>
    <w:p w14:paraId="407B8CB9" w14:textId="77777777" w:rsidR="00BC0E7E" w:rsidRPr="00BC0E7E" w:rsidRDefault="00944B8F" w:rsidP="00762FA7">
      <w:pPr>
        <w:autoSpaceDE w:val="0"/>
        <w:autoSpaceDN w:val="0"/>
        <w:adjustRightInd w:val="0"/>
        <w:rPr>
          <w:del w:id="4386" w:author="AbbVie19" w:date="2025-04-16T10:42:00Z"/>
        </w:rPr>
      </w:pPr>
      <w:del w:id="4387" w:author="AbbVie19" w:date="2025-04-16T10:42:00Z">
        <w:r w:rsidRPr="00BC0E7E">
          <w:delText xml:space="preserve">In order to improve traceability of biological medicinal products, the </w:delText>
        </w:r>
        <w:r w:rsidR="00367800">
          <w:rPr>
            <w:szCs w:val="22"/>
          </w:rPr>
          <w:delText>name</w:delText>
        </w:r>
        <w:r w:rsidRPr="00BC0E7E">
          <w:delText xml:space="preserve"> and the batch number of the administered product should be clearly recorded.</w:delText>
        </w:r>
      </w:del>
    </w:p>
    <w:p w14:paraId="5ED2715E" w14:textId="77777777" w:rsidR="00BC0E7E" w:rsidRPr="003F7AAE" w:rsidRDefault="00BC0E7E" w:rsidP="00762FA7">
      <w:pPr>
        <w:autoSpaceDE w:val="0"/>
        <w:autoSpaceDN w:val="0"/>
        <w:adjustRightInd w:val="0"/>
        <w:rPr>
          <w:del w:id="4388" w:author="AbbVie19" w:date="2025-04-16T10:42:00Z"/>
          <w:szCs w:val="22"/>
        </w:rPr>
      </w:pPr>
    </w:p>
    <w:p w14:paraId="4A540D06" w14:textId="77777777" w:rsidR="00BC0E7E" w:rsidRPr="00BC0E7E" w:rsidRDefault="00944B8F" w:rsidP="00762FA7">
      <w:pPr>
        <w:rPr>
          <w:del w:id="4389" w:author="AbbVie19" w:date="2025-04-16T10:42:00Z"/>
          <w:b/>
          <w:szCs w:val="22"/>
          <w:u w:val="single"/>
        </w:rPr>
      </w:pPr>
      <w:del w:id="4390" w:author="AbbVie19" w:date="2025-04-16T10:42:00Z">
        <w:r w:rsidRPr="00BC0E7E">
          <w:rPr>
            <w:szCs w:val="20"/>
            <w:u w:val="single"/>
          </w:rPr>
          <w:delText>Infections</w:delText>
        </w:r>
      </w:del>
    </w:p>
    <w:p w14:paraId="15846BE9" w14:textId="77777777" w:rsidR="00BC0E7E" w:rsidRPr="00BC0E7E" w:rsidRDefault="00BC0E7E" w:rsidP="00762FA7">
      <w:pPr>
        <w:autoSpaceDE w:val="0"/>
        <w:autoSpaceDN w:val="0"/>
        <w:adjustRightInd w:val="0"/>
        <w:rPr>
          <w:del w:id="4391" w:author="AbbVie19" w:date="2025-04-16T10:42:00Z"/>
        </w:rPr>
      </w:pPr>
    </w:p>
    <w:p w14:paraId="142C7D20" w14:textId="77777777" w:rsidR="00BC0E7E" w:rsidRPr="00BC0E7E" w:rsidRDefault="00944B8F" w:rsidP="00762FA7">
      <w:pPr>
        <w:autoSpaceDE w:val="0"/>
        <w:autoSpaceDN w:val="0"/>
        <w:adjustRightInd w:val="0"/>
        <w:rPr>
          <w:del w:id="4392" w:author="AbbVie19" w:date="2025-04-16T10:42:00Z"/>
        </w:rPr>
      </w:pPr>
      <w:del w:id="4393" w:author="AbbVie19" w:date="2025-04-16T10:42:00Z">
        <w:r w:rsidRPr="00BC0E7E">
          <w:delText>Patients taking TNF-antagonists are more susceptible to serious infections. Impaired lung function may increase the risk for developing infections. Patients must therefore be monitored closely for infections, including tuberculosis, before, during and after treatment with Humira. Because the elimination of adalimumab may take up to four months, monitoring should be continued throughout this period.</w:delText>
        </w:r>
      </w:del>
    </w:p>
    <w:p w14:paraId="09C8DFF0" w14:textId="77777777" w:rsidR="00BC0E7E" w:rsidRPr="00BC0E7E" w:rsidRDefault="00BC0E7E" w:rsidP="00762FA7">
      <w:pPr>
        <w:autoSpaceDE w:val="0"/>
        <w:autoSpaceDN w:val="0"/>
        <w:adjustRightInd w:val="0"/>
        <w:rPr>
          <w:del w:id="4394" w:author="AbbVie19" w:date="2025-04-16T10:42:00Z"/>
        </w:rPr>
      </w:pPr>
    </w:p>
    <w:p w14:paraId="7A43AD36" w14:textId="77777777" w:rsidR="00BC0E7E" w:rsidRPr="00BC0E7E" w:rsidRDefault="00944B8F" w:rsidP="00762FA7">
      <w:pPr>
        <w:autoSpaceDE w:val="0"/>
        <w:autoSpaceDN w:val="0"/>
        <w:adjustRightInd w:val="0"/>
        <w:rPr>
          <w:del w:id="4395" w:author="AbbVie19" w:date="2025-04-16T10:42:00Z"/>
        </w:rPr>
      </w:pPr>
      <w:del w:id="4396" w:author="AbbVie19" w:date="2025-04-16T10:42:00Z">
        <w:r w:rsidRPr="00BC0E7E">
          <w:delText xml:space="preserve">Treatment with Humira should not be initiated in patients with active infections including chronic or localised infections until infections are controlled. In patients who have been exposed to tuberculosis and patients who have travelled in areas of high risk of tuberculosis or endemic mycoses, such as histoplasmosis, coccidioidomycosis, or blastomycosis, the risk and benefits of treatment with Humira should be considered prior to initiating therapy (see </w:delText>
        </w:r>
        <w:r w:rsidRPr="00BC0E7E">
          <w:rPr>
            <w:i/>
            <w:iCs/>
          </w:rPr>
          <w:delText>Other opportunistic infections</w:delText>
        </w:r>
        <w:r w:rsidRPr="00BC0E7E">
          <w:delText>).</w:delText>
        </w:r>
      </w:del>
    </w:p>
    <w:p w14:paraId="1158E535" w14:textId="77777777" w:rsidR="00BC0E7E" w:rsidRPr="00BC0E7E" w:rsidRDefault="00BC0E7E" w:rsidP="00762FA7">
      <w:pPr>
        <w:autoSpaceDE w:val="0"/>
        <w:autoSpaceDN w:val="0"/>
        <w:adjustRightInd w:val="0"/>
        <w:rPr>
          <w:del w:id="4397" w:author="AbbVie19" w:date="2025-04-16T10:42:00Z"/>
        </w:rPr>
      </w:pPr>
    </w:p>
    <w:p w14:paraId="1A5DEE02" w14:textId="77777777" w:rsidR="00BC0E7E" w:rsidRPr="00BC0E7E" w:rsidRDefault="00944B8F" w:rsidP="00762FA7">
      <w:pPr>
        <w:autoSpaceDE w:val="0"/>
        <w:autoSpaceDN w:val="0"/>
        <w:adjustRightInd w:val="0"/>
        <w:rPr>
          <w:del w:id="4398" w:author="AbbVie19" w:date="2025-04-16T10:42:00Z"/>
        </w:rPr>
      </w:pPr>
      <w:del w:id="4399" w:author="AbbVie19" w:date="2025-04-16T10:42:00Z">
        <w:r w:rsidRPr="00BC0E7E">
          <w:delText>Patients who develop a new infection while undergoing treatment with Humira should be monitored closely and undergo a complete diagnostic evaluation. Administration of Humira should be discontinued if a patient develops a new serious infection or sepsis, and appropriate antimicrobial or antifungal therapy should be initiated until the infection is controlled. Physicians should exercise caution when considering the use of Humira in patients with a history of recurring infection or with underlying conditions which may predispose patients to infections, including the use of concomitant immunosuppressive medications.</w:delText>
        </w:r>
      </w:del>
    </w:p>
    <w:p w14:paraId="20808EB5" w14:textId="77777777" w:rsidR="00BC0E7E" w:rsidRPr="00BC0E7E" w:rsidRDefault="00BC0E7E" w:rsidP="00762FA7">
      <w:pPr>
        <w:autoSpaceDE w:val="0"/>
        <w:autoSpaceDN w:val="0"/>
        <w:adjustRightInd w:val="0"/>
        <w:rPr>
          <w:del w:id="4400" w:author="AbbVie19" w:date="2025-04-16T10:42:00Z"/>
        </w:rPr>
      </w:pPr>
    </w:p>
    <w:p w14:paraId="7EEF7045" w14:textId="77777777" w:rsidR="00BC0E7E" w:rsidRPr="00BC0E7E" w:rsidRDefault="00944B8F" w:rsidP="00762FA7">
      <w:pPr>
        <w:keepNext/>
        <w:autoSpaceDE w:val="0"/>
        <w:autoSpaceDN w:val="0"/>
        <w:adjustRightInd w:val="0"/>
        <w:rPr>
          <w:del w:id="4401" w:author="AbbVie19" w:date="2025-04-16T10:42:00Z"/>
          <w:i/>
          <w:iCs/>
        </w:rPr>
      </w:pPr>
      <w:del w:id="4402" w:author="AbbVie19" w:date="2025-04-16T10:42:00Z">
        <w:r w:rsidRPr="00BC0E7E">
          <w:rPr>
            <w:i/>
            <w:iCs/>
          </w:rPr>
          <w:delText>Serious infections</w:delText>
        </w:r>
      </w:del>
    </w:p>
    <w:p w14:paraId="42B301F3" w14:textId="77777777" w:rsidR="00BC0E7E" w:rsidRPr="00BC0E7E" w:rsidRDefault="00BC0E7E" w:rsidP="00762FA7">
      <w:pPr>
        <w:keepNext/>
        <w:autoSpaceDE w:val="0"/>
        <w:autoSpaceDN w:val="0"/>
        <w:adjustRightInd w:val="0"/>
        <w:rPr>
          <w:del w:id="4403" w:author="AbbVie19" w:date="2025-04-16T10:42:00Z"/>
        </w:rPr>
      </w:pPr>
    </w:p>
    <w:p w14:paraId="685E9CEB" w14:textId="77777777" w:rsidR="00BC0E7E" w:rsidRPr="00BC0E7E" w:rsidRDefault="00944B8F" w:rsidP="00762FA7">
      <w:pPr>
        <w:keepNext/>
        <w:autoSpaceDE w:val="0"/>
        <w:autoSpaceDN w:val="0"/>
        <w:adjustRightInd w:val="0"/>
        <w:rPr>
          <w:del w:id="4404" w:author="AbbVie19" w:date="2025-04-16T10:42:00Z"/>
        </w:rPr>
      </w:pPr>
      <w:del w:id="4405" w:author="AbbVie19" w:date="2025-04-16T10:42:00Z">
        <w:r w:rsidRPr="00BC0E7E">
          <w:delText xml:space="preserve">Serious infections, </w:delText>
        </w:r>
        <w:r w:rsidRPr="00BC0E7E">
          <w:rPr>
            <w:u w:color="0000FF"/>
          </w:rPr>
          <w:delText>including sepsis,</w:delText>
        </w:r>
        <w:r w:rsidRPr="00BC0E7E">
          <w:delText xml:space="preserve"> due to bacterial, mycobacterial, invasive fungal, parasitic, viral, or other opportunistic infections</w:delText>
        </w:r>
        <w:r w:rsidRPr="00BC0E7E">
          <w:rPr>
            <w:u w:color="0000FF"/>
          </w:rPr>
          <w:delText xml:space="preserve"> such as listeriosis, legionellosis and pneumocystis</w:delText>
        </w:r>
        <w:r w:rsidRPr="00BC0E7E">
          <w:delText xml:space="preserve"> have been reported in patients receiving Humira.  </w:delText>
        </w:r>
      </w:del>
    </w:p>
    <w:p w14:paraId="10B6D4D1" w14:textId="77777777" w:rsidR="00BC0E7E" w:rsidRPr="00BC0E7E" w:rsidRDefault="00BC0E7E" w:rsidP="00762FA7">
      <w:pPr>
        <w:autoSpaceDE w:val="0"/>
        <w:autoSpaceDN w:val="0"/>
        <w:adjustRightInd w:val="0"/>
        <w:rPr>
          <w:del w:id="4406" w:author="AbbVie19" w:date="2025-04-16T10:42:00Z"/>
        </w:rPr>
      </w:pPr>
    </w:p>
    <w:p w14:paraId="510F098D" w14:textId="77777777" w:rsidR="00BC0E7E" w:rsidRPr="00BC0E7E" w:rsidRDefault="00944B8F" w:rsidP="00762FA7">
      <w:pPr>
        <w:autoSpaceDE w:val="0"/>
        <w:autoSpaceDN w:val="0"/>
        <w:adjustRightInd w:val="0"/>
        <w:rPr>
          <w:del w:id="4407" w:author="AbbVie19" w:date="2025-04-16T10:42:00Z"/>
        </w:rPr>
      </w:pPr>
      <w:del w:id="4408" w:author="AbbVie19" w:date="2025-04-16T10:42:00Z">
        <w:r w:rsidRPr="00BC0E7E">
          <w:delText xml:space="preserve">Other serious infections seen in clinical trials include pneumonia, pyelonephritis, septic arthritis and septicaemia. Hospitalisation or fatal outcomes associated with infections have been reported. </w:delText>
        </w:r>
      </w:del>
    </w:p>
    <w:p w14:paraId="48EE45D5" w14:textId="77777777" w:rsidR="00BC0E7E" w:rsidRPr="00BC0E7E" w:rsidRDefault="00BC0E7E" w:rsidP="00762FA7">
      <w:pPr>
        <w:autoSpaceDE w:val="0"/>
        <w:autoSpaceDN w:val="0"/>
        <w:adjustRightInd w:val="0"/>
        <w:rPr>
          <w:del w:id="4409" w:author="AbbVie19" w:date="2025-04-16T10:42:00Z"/>
        </w:rPr>
      </w:pPr>
    </w:p>
    <w:p w14:paraId="77F9CD86" w14:textId="77777777" w:rsidR="00BC0E7E" w:rsidRPr="00BC0E7E" w:rsidRDefault="00944B8F" w:rsidP="00762FA7">
      <w:pPr>
        <w:keepNext/>
        <w:autoSpaceDE w:val="0"/>
        <w:autoSpaceDN w:val="0"/>
        <w:adjustRightInd w:val="0"/>
        <w:rPr>
          <w:del w:id="4410" w:author="AbbVie19" w:date="2025-04-16T10:42:00Z"/>
          <w:i/>
          <w:iCs/>
        </w:rPr>
      </w:pPr>
      <w:del w:id="4411" w:author="AbbVie19" w:date="2025-04-16T10:42:00Z">
        <w:r w:rsidRPr="00BC0E7E">
          <w:rPr>
            <w:i/>
            <w:iCs/>
          </w:rPr>
          <w:delText>Tuberculosis</w:delText>
        </w:r>
      </w:del>
    </w:p>
    <w:p w14:paraId="454E8304" w14:textId="77777777" w:rsidR="00BC0E7E" w:rsidRPr="00BC0E7E" w:rsidRDefault="00BC0E7E" w:rsidP="00762FA7">
      <w:pPr>
        <w:keepNext/>
        <w:autoSpaceDE w:val="0"/>
        <w:autoSpaceDN w:val="0"/>
        <w:adjustRightInd w:val="0"/>
        <w:rPr>
          <w:del w:id="4412" w:author="AbbVie19" w:date="2025-04-16T10:42:00Z"/>
        </w:rPr>
      </w:pPr>
    </w:p>
    <w:p w14:paraId="70051BAC" w14:textId="77777777" w:rsidR="00BC0E7E" w:rsidRPr="00BC0E7E" w:rsidRDefault="00944B8F" w:rsidP="00762FA7">
      <w:pPr>
        <w:keepNext/>
        <w:autoSpaceDE w:val="0"/>
        <w:autoSpaceDN w:val="0"/>
        <w:adjustRightInd w:val="0"/>
        <w:rPr>
          <w:del w:id="4413" w:author="AbbVie19" w:date="2025-04-16T10:42:00Z"/>
        </w:rPr>
      </w:pPr>
      <w:del w:id="4414" w:author="AbbVie19" w:date="2025-04-16T10:42:00Z">
        <w:r w:rsidRPr="00BC0E7E">
          <w:delText xml:space="preserve">Tuberculosis, including reactivation and new onset of tuberculosis, has been reported in patients receiving Humira.  Reports included cases of pulmonary and extra-pulmonary (i.e. disseminated) tuberculosis. </w:delText>
        </w:r>
      </w:del>
    </w:p>
    <w:p w14:paraId="0F0392EB" w14:textId="77777777" w:rsidR="00BC0E7E" w:rsidRPr="00BC0E7E" w:rsidRDefault="00BC0E7E" w:rsidP="00762FA7">
      <w:pPr>
        <w:keepNext/>
        <w:autoSpaceDE w:val="0"/>
        <w:autoSpaceDN w:val="0"/>
        <w:adjustRightInd w:val="0"/>
        <w:rPr>
          <w:del w:id="4415" w:author="AbbVie19" w:date="2025-04-16T10:42:00Z"/>
        </w:rPr>
      </w:pPr>
    </w:p>
    <w:p w14:paraId="1727F78C" w14:textId="77777777" w:rsidR="00BC0E7E" w:rsidRPr="00BC0E7E" w:rsidRDefault="00944B8F" w:rsidP="00762FA7">
      <w:pPr>
        <w:rPr>
          <w:del w:id="4416" w:author="AbbVie19" w:date="2025-04-16T10:42:00Z"/>
        </w:rPr>
      </w:pPr>
      <w:del w:id="4417" w:author="AbbVie19" w:date="2025-04-16T10:42:00Z">
        <w:r w:rsidRPr="00BC0E7E">
          <w:delText>Before initiation of therapy with Humira, all patients must be evaluated for both active or inactive (“latent”) tuberculosis infection.  This evaluation should include a detailed medical assessment of patient history of tuberculosis or possible previous exposure to people with active tuberculosis and previous and/or current immunosuppressive therapy.  Appropriate screening tests (i.e. tuberculin skin test and chest X</w:delText>
        </w:r>
        <w:r w:rsidRPr="00BC0E7E">
          <w:noBreakHyphen/>
          <w:delText xml:space="preserve">ray) should be performed in all patients (local recommendations may apply).  It is recommended that the conduct and results of these tests are recorded in the </w:delText>
        </w:r>
        <w:r w:rsidR="002179FE">
          <w:delText>Patient Reminder Card</w:delText>
        </w:r>
        <w:r w:rsidRPr="00BC0E7E">
          <w:delText xml:space="preserve">.  Prescribers are reminded of the risk of false negative tuberculin skin test results, especially in patients who are severely ill or immunocompromised. </w:delText>
        </w:r>
      </w:del>
    </w:p>
    <w:p w14:paraId="735075D8" w14:textId="77777777" w:rsidR="00BC0E7E" w:rsidRPr="00BC0E7E" w:rsidRDefault="00BC0E7E" w:rsidP="00762FA7">
      <w:pPr>
        <w:rPr>
          <w:del w:id="4418" w:author="AbbVie19" w:date="2025-04-16T10:42:00Z"/>
        </w:rPr>
      </w:pPr>
    </w:p>
    <w:p w14:paraId="70C5E450" w14:textId="77777777" w:rsidR="00BC0E7E" w:rsidRPr="00BC0E7E" w:rsidRDefault="00944B8F" w:rsidP="00762FA7">
      <w:pPr>
        <w:rPr>
          <w:del w:id="4419" w:author="AbbVie19" w:date="2025-04-16T10:42:00Z"/>
        </w:rPr>
      </w:pPr>
      <w:del w:id="4420" w:author="AbbVie19" w:date="2025-04-16T10:42:00Z">
        <w:r w:rsidRPr="00BC0E7E">
          <w:delText xml:space="preserve">If active tuberculosis is diagnosed, Humira therapy must not be initiated (see section 4.3). </w:delText>
        </w:r>
      </w:del>
    </w:p>
    <w:p w14:paraId="72D4D336" w14:textId="77777777" w:rsidR="00BC0E7E" w:rsidRPr="00BC0E7E" w:rsidRDefault="00BC0E7E" w:rsidP="00762FA7">
      <w:pPr>
        <w:rPr>
          <w:del w:id="4421" w:author="AbbVie19" w:date="2025-04-16T10:42:00Z"/>
        </w:rPr>
      </w:pPr>
    </w:p>
    <w:p w14:paraId="69B7AC16" w14:textId="77777777" w:rsidR="00BC0E7E" w:rsidRPr="00BC0E7E" w:rsidRDefault="00944B8F" w:rsidP="00762FA7">
      <w:pPr>
        <w:rPr>
          <w:del w:id="4422" w:author="AbbVie19" w:date="2025-04-16T10:42:00Z"/>
        </w:rPr>
      </w:pPr>
      <w:del w:id="4423" w:author="AbbVie19" w:date="2025-04-16T10:42:00Z">
        <w:r w:rsidRPr="00BC0E7E">
          <w:delText>In all situations described below, the benefit/risk balance of therapy should be very carefully considered.</w:delText>
        </w:r>
      </w:del>
    </w:p>
    <w:p w14:paraId="4651B05E" w14:textId="77777777" w:rsidR="00BC0E7E" w:rsidRPr="00BC0E7E" w:rsidRDefault="00BC0E7E" w:rsidP="00762FA7">
      <w:pPr>
        <w:rPr>
          <w:del w:id="4424" w:author="AbbVie19" w:date="2025-04-16T10:42:00Z"/>
        </w:rPr>
      </w:pPr>
    </w:p>
    <w:p w14:paraId="46E7E0F6" w14:textId="77777777" w:rsidR="00BC0E7E" w:rsidRPr="00BC0E7E" w:rsidRDefault="00944B8F" w:rsidP="00762FA7">
      <w:pPr>
        <w:rPr>
          <w:del w:id="4425" w:author="AbbVie19" w:date="2025-04-16T10:42:00Z"/>
        </w:rPr>
      </w:pPr>
      <w:del w:id="4426" w:author="AbbVie19" w:date="2025-04-16T10:42:00Z">
        <w:r w:rsidRPr="00BC0E7E">
          <w:delText xml:space="preserve">If latent tuberculosis is suspected, </w:delText>
        </w:r>
        <w:r w:rsidRPr="00BC0E7E">
          <w:rPr>
            <w:szCs w:val="22"/>
          </w:rPr>
          <w:delText>a physician with expertise in the treatment of tuberculosis should be consulted.</w:delText>
        </w:r>
        <w:r w:rsidRPr="00BC0E7E">
          <w:delText xml:space="preserve">  </w:delText>
        </w:r>
      </w:del>
    </w:p>
    <w:p w14:paraId="48AE1CE7" w14:textId="77777777" w:rsidR="00BC0E7E" w:rsidRPr="00BC0E7E" w:rsidRDefault="00BC0E7E" w:rsidP="00762FA7">
      <w:pPr>
        <w:rPr>
          <w:del w:id="4427" w:author="AbbVie19" w:date="2025-04-16T10:42:00Z"/>
        </w:rPr>
      </w:pPr>
    </w:p>
    <w:p w14:paraId="5A979418" w14:textId="77777777" w:rsidR="00BC0E7E" w:rsidRPr="00BC0E7E" w:rsidRDefault="00944B8F" w:rsidP="00762FA7">
      <w:pPr>
        <w:rPr>
          <w:del w:id="4428" w:author="AbbVie19" w:date="2025-04-16T10:42:00Z"/>
          <w:bCs/>
          <w:snapToGrid w:val="0"/>
          <w:szCs w:val="22"/>
        </w:rPr>
      </w:pPr>
      <w:del w:id="4429" w:author="AbbVie19" w:date="2025-04-16T10:42:00Z">
        <w:r w:rsidRPr="00BC0E7E">
          <w:rPr>
            <w:szCs w:val="22"/>
          </w:rPr>
          <w:delText xml:space="preserve">If latent tuberculosis is diagnosed, appropriate treatment must be started with anti-tuberculosis prophylaxis treatment before the initiation of Humira, and in accordance with local recommendations. </w:delText>
        </w:r>
      </w:del>
    </w:p>
    <w:p w14:paraId="0419562E" w14:textId="77777777" w:rsidR="00BC0E7E" w:rsidRPr="003F7AAE" w:rsidRDefault="00BC0E7E" w:rsidP="00762FA7">
      <w:pPr>
        <w:rPr>
          <w:del w:id="4430" w:author="AbbVie19" w:date="2025-04-16T10:42:00Z"/>
          <w:bCs/>
          <w:iCs/>
        </w:rPr>
      </w:pPr>
    </w:p>
    <w:p w14:paraId="5B0BE70B" w14:textId="77777777" w:rsidR="00BC0E7E" w:rsidRPr="00BC0E7E" w:rsidRDefault="00944B8F" w:rsidP="00762FA7">
      <w:pPr>
        <w:rPr>
          <w:del w:id="4431" w:author="AbbVie19" w:date="2025-04-16T10:42:00Z"/>
        </w:rPr>
      </w:pPr>
      <w:del w:id="4432" w:author="AbbVie19" w:date="2025-04-16T10:42:00Z">
        <w:r w:rsidRPr="00BC0E7E">
          <w:delText xml:space="preserve">Use of anti-tuberculosis prophylaxis treatment should also be considered before the initiation of Humira in patients with several or significant risk factors for tuberculosis despite a negative test for tuberculosis and in patients with a past history of latent or active tuberculosis in whom an adequate course of treatment cannot be confirmed.  </w:delText>
        </w:r>
      </w:del>
    </w:p>
    <w:p w14:paraId="72AB8402" w14:textId="77777777" w:rsidR="00BC0E7E" w:rsidRPr="00BC0E7E" w:rsidRDefault="00BC0E7E" w:rsidP="00762FA7">
      <w:pPr>
        <w:rPr>
          <w:del w:id="4433" w:author="AbbVie19" w:date="2025-04-16T10:42:00Z"/>
        </w:rPr>
      </w:pPr>
    </w:p>
    <w:p w14:paraId="38F439F6" w14:textId="77777777" w:rsidR="00BC0E7E" w:rsidRPr="00BC0E7E" w:rsidRDefault="00944B8F" w:rsidP="00762FA7">
      <w:pPr>
        <w:rPr>
          <w:del w:id="4434" w:author="AbbVie19" w:date="2025-04-16T10:42:00Z"/>
        </w:rPr>
      </w:pPr>
      <w:del w:id="4435" w:author="AbbVie19" w:date="2025-04-16T10:42:00Z">
        <w:r w:rsidRPr="00BC0E7E">
          <w:delText>Despite prophylactic treatment for tuberculosis, cases of reactivated tuberculosis have occurred in patients treated with Humira. Some patients who have been successfully treated for active tuberculosis have redeveloped tuberculosis while being treated with Humira.</w:delText>
        </w:r>
      </w:del>
    </w:p>
    <w:p w14:paraId="0C606850" w14:textId="77777777" w:rsidR="00BC0E7E" w:rsidRPr="00BC0E7E" w:rsidRDefault="00BC0E7E" w:rsidP="00762FA7">
      <w:pPr>
        <w:rPr>
          <w:del w:id="4436" w:author="AbbVie19" w:date="2025-04-16T10:42:00Z"/>
        </w:rPr>
      </w:pPr>
    </w:p>
    <w:p w14:paraId="698E85A6" w14:textId="77777777" w:rsidR="00BC0E7E" w:rsidRPr="00BC0E7E" w:rsidRDefault="00944B8F" w:rsidP="00762FA7">
      <w:pPr>
        <w:autoSpaceDE w:val="0"/>
        <w:autoSpaceDN w:val="0"/>
        <w:adjustRightInd w:val="0"/>
        <w:rPr>
          <w:del w:id="4437" w:author="AbbVie19" w:date="2025-04-16T10:42:00Z"/>
        </w:rPr>
      </w:pPr>
      <w:del w:id="4438" w:author="AbbVie19" w:date="2025-04-16T10:42:00Z">
        <w:r w:rsidRPr="00BC0E7E">
          <w:delText xml:space="preserve">Patients should be instructed to seek medical advice if signs/symptoms suggestive of a tuberculosis infection (e.g., persistent cough, wasting/weight loss, low grade fever, listlessness) occur during or after therapy with Humira. </w:delText>
        </w:r>
      </w:del>
    </w:p>
    <w:p w14:paraId="1BAA212D" w14:textId="77777777" w:rsidR="00BC0E7E" w:rsidRPr="00BC0E7E" w:rsidRDefault="00BC0E7E" w:rsidP="00762FA7">
      <w:pPr>
        <w:autoSpaceDE w:val="0"/>
        <w:autoSpaceDN w:val="0"/>
        <w:adjustRightInd w:val="0"/>
        <w:rPr>
          <w:del w:id="4439" w:author="AbbVie19" w:date="2025-04-16T10:42:00Z"/>
        </w:rPr>
      </w:pPr>
    </w:p>
    <w:p w14:paraId="68C77617" w14:textId="77777777" w:rsidR="00BC0E7E" w:rsidRPr="00BC0E7E" w:rsidRDefault="00944B8F" w:rsidP="00762FA7">
      <w:pPr>
        <w:autoSpaceDE w:val="0"/>
        <w:autoSpaceDN w:val="0"/>
        <w:adjustRightInd w:val="0"/>
        <w:rPr>
          <w:del w:id="4440" w:author="AbbVie19" w:date="2025-04-16T10:42:00Z"/>
          <w:i/>
          <w:iCs/>
        </w:rPr>
      </w:pPr>
      <w:del w:id="4441" w:author="AbbVie19" w:date="2025-04-16T10:42:00Z">
        <w:r w:rsidRPr="00BC0E7E">
          <w:rPr>
            <w:i/>
            <w:iCs/>
          </w:rPr>
          <w:delText>Other opportunistic infections</w:delText>
        </w:r>
      </w:del>
    </w:p>
    <w:p w14:paraId="470A39C8" w14:textId="77777777" w:rsidR="00BC0E7E" w:rsidRPr="00BC0E7E" w:rsidRDefault="00BC0E7E" w:rsidP="00762FA7">
      <w:pPr>
        <w:autoSpaceDE w:val="0"/>
        <w:autoSpaceDN w:val="0"/>
        <w:adjustRightInd w:val="0"/>
        <w:rPr>
          <w:del w:id="4442" w:author="AbbVie19" w:date="2025-04-16T10:42:00Z"/>
        </w:rPr>
      </w:pPr>
    </w:p>
    <w:p w14:paraId="6E5776EF" w14:textId="77777777" w:rsidR="00BC0E7E" w:rsidRPr="00BC0E7E" w:rsidRDefault="00944B8F" w:rsidP="00762FA7">
      <w:pPr>
        <w:autoSpaceDE w:val="0"/>
        <w:autoSpaceDN w:val="0"/>
        <w:adjustRightInd w:val="0"/>
        <w:rPr>
          <w:del w:id="4443" w:author="AbbVie19" w:date="2025-04-16T10:42:00Z"/>
        </w:rPr>
      </w:pPr>
      <w:del w:id="4444" w:author="AbbVie19" w:date="2025-04-16T10:42:00Z">
        <w:r w:rsidRPr="00BC0E7E">
          <w:delText xml:space="preserve">Opportunistic infections, including invasive fungal infections have been observed in patients receiving Humira. These infections have not consistently been recognised in patients taking TNF-antagonists and this has resulted in delays in appropriate treatment, sometimes resulting in fatal outcomes. </w:delText>
        </w:r>
      </w:del>
    </w:p>
    <w:p w14:paraId="2C7AA164" w14:textId="77777777" w:rsidR="00BC0E7E" w:rsidRPr="00BC0E7E" w:rsidRDefault="00BC0E7E" w:rsidP="00762FA7">
      <w:pPr>
        <w:autoSpaceDE w:val="0"/>
        <w:autoSpaceDN w:val="0"/>
        <w:adjustRightInd w:val="0"/>
        <w:rPr>
          <w:del w:id="4445" w:author="AbbVie19" w:date="2025-04-16T10:42:00Z"/>
        </w:rPr>
      </w:pPr>
    </w:p>
    <w:p w14:paraId="778E48D3" w14:textId="77777777" w:rsidR="00BC0E7E" w:rsidRPr="00BC0E7E" w:rsidRDefault="00944B8F" w:rsidP="00762FA7">
      <w:pPr>
        <w:autoSpaceDE w:val="0"/>
        <w:autoSpaceDN w:val="0"/>
        <w:adjustRightInd w:val="0"/>
        <w:spacing w:line="240" w:lineRule="atLeast"/>
        <w:rPr>
          <w:del w:id="4446" w:author="AbbVie19" w:date="2025-04-16T10:42:00Z"/>
          <w:szCs w:val="20"/>
        </w:rPr>
      </w:pPr>
      <w:del w:id="4447" w:author="AbbVie19" w:date="2025-04-16T10:42:00Z">
        <w:r w:rsidRPr="00BC0E7E">
          <w:rPr>
            <w:szCs w:val="20"/>
          </w:rPr>
          <w:delText xml:space="preserve">For patients who develop the signs and symptoms such as fever, malaise, weight loss, sweats, cough, dyspnoea, and/or pulmonary infiltrates or other serious systemic illness with or without concomitant shock an invasive fungal infection should be suspected and administration of Humira should be promptly discontinued.  Diagnosis and administration of empiric antifungal therapy in these patients should be made in consultation with a physician with expertise in the care of patients with invasive fungal infections. </w:delText>
        </w:r>
      </w:del>
    </w:p>
    <w:p w14:paraId="288CBC24" w14:textId="77777777" w:rsidR="00BC0E7E" w:rsidRPr="00BC0E7E" w:rsidRDefault="00BC0E7E" w:rsidP="00762FA7">
      <w:pPr>
        <w:autoSpaceDE w:val="0"/>
        <w:autoSpaceDN w:val="0"/>
        <w:adjustRightInd w:val="0"/>
        <w:spacing w:line="240" w:lineRule="atLeast"/>
        <w:rPr>
          <w:del w:id="4448" w:author="AbbVie19" w:date="2025-04-16T10:42:00Z"/>
          <w:szCs w:val="20"/>
        </w:rPr>
      </w:pPr>
    </w:p>
    <w:p w14:paraId="3A1A83BA" w14:textId="77777777" w:rsidR="00BC0E7E" w:rsidRPr="00BC0E7E" w:rsidRDefault="00944B8F" w:rsidP="00762FA7">
      <w:pPr>
        <w:keepNext/>
        <w:autoSpaceDE w:val="0"/>
        <w:autoSpaceDN w:val="0"/>
        <w:adjustRightInd w:val="0"/>
        <w:spacing w:line="240" w:lineRule="atLeast"/>
        <w:rPr>
          <w:del w:id="4449" w:author="AbbVie19" w:date="2025-04-16T10:42:00Z"/>
          <w:szCs w:val="22"/>
          <w:u w:val="single"/>
        </w:rPr>
      </w:pPr>
      <w:del w:id="4450" w:author="AbbVie19" w:date="2025-04-16T10:42:00Z">
        <w:r w:rsidRPr="00BC0E7E">
          <w:rPr>
            <w:szCs w:val="22"/>
            <w:u w:val="single"/>
          </w:rPr>
          <w:delText>Hepatitis B reactivation</w:delText>
        </w:r>
      </w:del>
    </w:p>
    <w:p w14:paraId="263C3776" w14:textId="77777777" w:rsidR="00BC0E7E" w:rsidRPr="00BC0E7E" w:rsidRDefault="00BC0E7E" w:rsidP="00762FA7">
      <w:pPr>
        <w:keepNext/>
        <w:autoSpaceDE w:val="0"/>
        <w:autoSpaceDN w:val="0"/>
        <w:adjustRightInd w:val="0"/>
        <w:spacing w:line="240" w:lineRule="atLeast"/>
        <w:rPr>
          <w:del w:id="4451" w:author="AbbVie19" w:date="2025-04-16T10:42:00Z"/>
          <w:bCs/>
          <w:i/>
          <w:iCs/>
          <w:szCs w:val="22"/>
        </w:rPr>
      </w:pPr>
    </w:p>
    <w:p w14:paraId="6F2868E1" w14:textId="77777777" w:rsidR="00BC0E7E" w:rsidRPr="00BC0E7E" w:rsidRDefault="00944B8F" w:rsidP="00762FA7">
      <w:pPr>
        <w:keepNext/>
        <w:tabs>
          <w:tab w:val="clear" w:pos="562"/>
        </w:tabs>
        <w:suppressAutoHyphens w:val="0"/>
        <w:autoSpaceDE w:val="0"/>
        <w:autoSpaceDN w:val="0"/>
        <w:adjustRightInd w:val="0"/>
        <w:spacing w:line="240" w:lineRule="atLeast"/>
        <w:rPr>
          <w:del w:id="4452" w:author="AbbVie19" w:date="2025-04-16T10:42:00Z"/>
          <w:szCs w:val="22"/>
        </w:rPr>
      </w:pPr>
      <w:del w:id="4453" w:author="AbbVie19" w:date="2025-04-16T10:42:00Z">
        <w:r w:rsidRPr="00BC0E7E">
          <w:rPr>
            <w:szCs w:val="22"/>
          </w:rPr>
          <w:delText>Reactivation of hepatitis B has occurred in patients receiving a TNF-antagonist including Humira, who are chronic carriers of this virus (i.e. surface antigen positive).  Some cases have had a fatal outcome. Patients should be tested for HBV infection before initiating treatment with Humira. For patients who test positive for hepatitis B infection, consultation with a physician with expertise in the treatment of hepatitis B is recommended.</w:delText>
        </w:r>
      </w:del>
    </w:p>
    <w:p w14:paraId="7C4C76B9" w14:textId="77777777" w:rsidR="00BC0E7E" w:rsidRPr="00BC0E7E" w:rsidRDefault="00BC0E7E" w:rsidP="00762FA7">
      <w:pPr>
        <w:keepNext/>
        <w:tabs>
          <w:tab w:val="clear" w:pos="562"/>
        </w:tabs>
        <w:suppressAutoHyphens w:val="0"/>
        <w:autoSpaceDE w:val="0"/>
        <w:autoSpaceDN w:val="0"/>
        <w:adjustRightInd w:val="0"/>
        <w:spacing w:line="240" w:lineRule="atLeast"/>
        <w:rPr>
          <w:del w:id="4454" w:author="AbbVie19" w:date="2025-04-16T10:42:00Z"/>
          <w:szCs w:val="22"/>
        </w:rPr>
      </w:pPr>
    </w:p>
    <w:p w14:paraId="1C738222" w14:textId="77777777" w:rsidR="00BC0E7E" w:rsidRPr="00BC0E7E" w:rsidRDefault="00944B8F" w:rsidP="00762FA7">
      <w:pPr>
        <w:tabs>
          <w:tab w:val="clear" w:pos="562"/>
        </w:tabs>
        <w:suppressAutoHyphens w:val="0"/>
        <w:autoSpaceDE w:val="0"/>
        <w:autoSpaceDN w:val="0"/>
        <w:adjustRightInd w:val="0"/>
        <w:spacing w:line="240" w:lineRule="atLeast"/>
        <w:rPr>
          <w:del w:id="4455" w:author="AbbVie19" w:date="2025-04-16T10:42:00Z"/>
          <w:szCs w:val="22"/>
        </w:rPr>
      </w:pPr>
      <w:del w:id="4456" w:author="AbbVie19" w:date="2025-04-16T10:42:00Z">
        <w:r w:rsidRPr="00BC0E7E">
          <w:rPr>
            <w:szCs w:val="22"/>
          </w:rPr>
          <w:delText xml:space="preserve">Carriers of HBV who require treatment with Humira should be closely monitored for signs and symptoms of active HBV infection throughout therapy and for several months following termination of therapy. Adequate data from treating patients who are carriers of HBV with anti-viral therapy in conjunction with TNF-antagonist therapy to prevent HBV reactivation are not available. In patients who develop HBV reactivation, Humira should be stopped and effective anti-viral therapy with appropriate supportive treatment should be initiated. </w:delText>
        </w:r>
      </w:del>
    </w:p>
    <w:p w14:paraId="16540D9F" w14:textId="77777777" w:rsidR="00BC0E7E" w:rsidRPr="00BC0E7E" w:rsidRDefault="00BC0E7E" w:rsidP="00762FA7">
      <w:pPr>
        <w:tabs>
          <w:tab w:val="clear" w:pos="562"/>
        </w:tabs>
        <w:suppressAutoHyphens w:val="0"/>
        <w:autoSpaceDE w:val="0"/>
        <w:autoSpaceDN w:val="0"/>
        <w:adjustRightInd w:val="0"/>
        <w:spacing w:line="240" w:lineRule="atLeast"/>
        <w:rPr>
          <w:del w:id="4457" w:author="AbbVie19" w:date="2025-04-16T10:42:00Z"/>
          <w:szCs w:val="22"/>
        </w:rPr>
      </w:pPr>
    </w:p>
    <w:p w14:paraId="319B5A3D" w14:textId="77777777" w:rsidR="00BC0E7E" w:rsidRPr="00BC0E7E" w:rsidRDefault="00944B8F" w:rsidP="00762FA7">
      <w:pPr>
        <w:keepNext/>
        <w:rPr>
          <w:del w:id="4458" w:author="AbbVie19" w:date="2025-04-16T10:42:00Z"/>
          <w:szCs w:val="20"/>
          <w:u w:val="single"/>
        </w:rPr>
      </w:pPr>
      <w:del w:id="4459" w:author="AbbVie19" w:date="2025-04-16T10:42:00Z">
        <w:r w:rsidRPr="00BC0E7E">
          <w:rPr>
            <w:szCs w:val="20"/>
            <w:u w:val="single"/>
          </w:rPr>
          <w:delText xml:space="preserve">Neurological events </w:delText>
        </w:r>
      </w:del>
    </w:p>
    <w:p w14:paraId="2FE1A8F5" w14:textId="77777777" w:rsidR="00BC0E7E" w:rsidRPr="00BC0E7E" w:rsidRDefault="00BC0E7E" w:rsidP="00762FA7">
      <w:pPr>
        <w:keepNext/>
        <w:rPr>
          <w:del w:id="4460" w:author="AbbVie19" w:date="2025-04-16T10:42:00Z"/>
          <w:szCs w:val="20"/>
        </w:rPr>
      </w:pPr>
    </w:p>
    <w:p w14:paraId="7F1B8DD3" w14:textId="77777777" w:rsidR="00BC0E7E" w:rsidRPr="00BC0E7E" w:rsidRDefault="00944B8F" w:rsidP="00762FA7">
      <w:pPr>
        <w:keepNext/>
        <w:autoSpaceDE w:val="0"/>
        <w:autoSpaceDN w:val="0"/>
        <w:adjustRightInd w:val="0"/>
        <w:rPr>
          <w:del w:id="4461" w:author="AbbVie19" w:date="2025-04-16T10:42:00Z"/>
        </w:rPr>
      </w:pPr>
      <w:del w:id="4462" w:author="AbbVie19" w:date="2025-04-16T10:42:00Z">
        <w:r w:rsidRPr="00BC0E7E">
          <w:delText>TNF-antagonists including Humira have been associated in rare instances with new onset or exacerbation of clinical symptoms and/or radiographic evidence of central nervous system demyelinating disease including multiple sclerosis and optic neuritis, and peripheral demyelinating disease, including Guillain-Barré syndrome. Prescribers should exercise caution in considering the use of Humira in patients with pre-</w:delText>
        </w:r>
        <w:r w:rsidRPr="00BC0E7E">
          <w:lastRenderedPageBreak/>
          <w:delText>existing or recent-onset central or peripheral nervous system demyelinating disorders</w:delText>
        </w:r>
        <w:r w:rsidRPr="00BC0E7E">
          <w:rPr>
            <w:bCs/>
          </w:rPr>
          <w:delText>; discontinuation of Humira should be considered if any of these disorders develop. There is a known association between intermediate uveitis and central demyelinating disorders. Neurologic evaluation should be performed in patients with non-infectious intermediate uveitis prior to the initiation of Humira therapy and regularly during treatment to assess for pre-existing or developing central demyelinating disorders</w:delText>
        </w:r>
        <w:r w:rsidRPr="00BC0E7E">
          <w:delText xml:space="preserve">. </w:delText>
        </w:r>
      </w:del>
    </w:p>
    <w:p w14:paraId="5F1CDB26" w14:textId="77777777" w:rsidR="00BC0E7E" w:rsidRPr="00BC0E7E" w:rsidRDefault="00BC0E7E" w:rsidP="00762FA7">
      <w:pPr>
        <w:autoSpaceDE w:val="0"/>
        <w:autoSpaceDN w:val="0"/>
        <w:adjustRightInd w:val="0"/>
        <w:rPr>
          <w:del w:id="4463" w:author="AbbVie19" w:date="2025-04-16T10:42:00Z"/>
        </w:rPr>
      </w:pPr>
    </w:p>
    <w:p w14:paraId="7110389D" w14:textId="77777777" w:rsidR="00BC0E7E" w:rsidRPr="00BC0E7E" w:rsidRDefault="00944B8F" w:rsidP="00762FA7">
      <w:pPr>
        <w:keepNext/>
        <w:rPr>
          <w:del w:id="4464" w:author="AbbVie19" w:date="2025-04-16T10:42:00Z"/>
          <w:szCs w:val="20"/>
          <w:u w:val="single"/>
        </w:rPr>
      </w:pPr>
      <w:del w:id="4465" w:author="AbbVie19" w:date="2025-04-16T10:42:00Z">
        <w:r w:rsidRPr="00BC0E7E">
          <w:rPr>
            <w:szCs w:val="20"/>
            <w:u w:val="single"/>
          </w:rPr>
          <w:delText>Allergic reactions</w:delText>
        </w:r>
      </w:del>
    </w:p>
    <w:p w14:paraId="1658C9E3" w14:textId="77777777" w:rsidR="00BC0E7E" w:rsidRPr="00BC0E7E" w:rsidRDefault="00BC0E7E" w:rsidP="00762FA7">
      <w:pPr>
        <w:rPr>
          <w:del w:id="4466" w:author="AbbVie19" w:date="2025-04-16T10:42:00Z"/>
          <w:szCs w:val="20"/>
        </w:rPr>
      </w:pPr>
    </w:p>
    <w:p w14:paraId="6745BDD6" w14:textId="77777777" w:rsidR="00BC0E7E" w:rsidRPr="00BC0E7E" w:rsidRDefault="00944B8F" w:rsidP="00762FA7">
      <w:pPr>
        <w:keepNext/>
        <w:autoSpaceDE w:val="0"/>
        <w:autoSpaceDN w:val="0"/>
        <w:adjustRightInd w:val="0"/>
        <w:rPr>
          <w:del w:id="4467" w:author="AbbVie19" w:date="2025-04-16T10:42:00Z"/>
        </w:rPr>
      </w:pPr>
      <w:del w:id="4468" w:author="AbbVie19" w:date="2025-04-16T10:42:00Z">
        <w:r w:rsidRPr="00BC0E7E">
          <w:delText xml:space="preserve">Serious allergic reactions associated with Humira were rare during clinical trials. Non-serious allergic reactions associated with Humira were uncommon during clinical trials. Reports of serious allergic reactions including anaphylaxis have been received following Humira administration. If an anaphylactic reaction or other serious allergic reaction occurs, administration of Humira should be discontinued immediately and appropriate therapy initiated. </w:delText>
        </w:r>
      </w:del>
    </w:p>
    <w:p w14:paraId="7990B9AB" w14:textId="77777777" w:rsidR="00BC0E7E" w:rsidRPr="00BC0E7E" w:rsidRDefault="00BC0E7E" w:rsidP="00762FA7">
      <w:pPr>
        <w:autoSpaceDE w:val="0"/>
        <w:autoSpaceDN w:val="0"/>
        <w:adjustRightInd w:val="0"/>
        <w:rPr>
          <w:del w:id="4469" w:author="AbbVie19" w:date="2025-04-16T10:42:00Z"/>
        </w:rPr>
      </w:pPr>
    </w:p>
    <w:p w14:paraId="402FC9C9" w14:textId="77777777" w:rsidR="00BC0E7E" w:rsidRPr="00BC0E7E" w:rsidRDefault="00944B8F" w:rsidP="00762FA7">
      <w:pPr>
        <w:keepNext/>
        <w:rPr>
          <w:del w:id="4470" w:author="AbbVie19" w:date="2025-04-16T10:42:00Z"/>
          <w:szCs w:val="20"/>
          <w:u w:val="single"/>
        </w:rPr>
      </w:pPr>
      <w:del w:id="4471" w:author="AbbVie19" w:date="2025-04-16T10:42:00Z">
        <w:r w:rsidRPr="00BC0E7E">
          <w:rPr>
            <w:szCs w:val="20"/>
            <w:u w:val="single"/>
          </w:rPr>
          <w:delText>Immunosuppression</w:delText>
        </w:r>
      </w:del>
    </w:p>
    <w:p w14:paraId="045CF6D2" w14:textId="77777777" w:rsidR="00BC0E7E" w:rsidRPr="00BC0E7E" w:rsidRDefault="00BC0E7E" w:rsidP="00762FA7">
      <w:pPr>
        <w:keepNext/>
        <w:rPr>
          <w:del w:id="4472" w:author="AbbVie19" w:date="2025-04-16T10:42:00Z"/>
          <w:szCs w:val="20"/>
        </w:rPr>
      </w:pPr>
    </w:p>
    <w:p w14:paraId="7D757EBF" w14:textId="77777777" w:rsidR="00BC0E7E" w:rsidRPr="00BC0E7E" w:rsidRDefault="00944B8F" w:rsidP="00762FA7">
      <w:pPr>
        <w:keepNext/>
        <w:rPr>
          <w:del w:id="4473" w:author="AbbVie19" w:date="2025-04-16T10:42:00Z"/>
          <w:szCs w:val="20"/>
        </w:rPr>
      </w:pPr>
      <w:del w:id="4474" w:author="AbbVie19" w:date="2025-04-16T10:42:00Z">
        <w:r w:rsidRPr="00BC0E7E">
          <w:rPr>
            <w:szCs w:val="20"/>
          </w:rPr>
          <w:delText>In a study of 64 patients with rheumatoid arthritis that were treated with Humira, there was no evidence of depression of delayed-type hypersensitivity, depression of immunoglobulin levels, or change in enumeration of effector T-, B</w:delText>
        </w:r>
        <w:r w:rsidR="00E77479">
          <w:rPr>
            <w:szCs w:val="20"/>
          </w:rPr>
          <w:delText>-</w:delText>
        </w:r>
        <w:r w:rsidRPr="00BC0E7E">
          <w:rPr>
            <w:szCs w:val="20"/>
          </w:rPr>
          <w:delText>, NK-cells, monocyte/macrophages, and neutrophils.</w:delText>
        </w:r>
      </w:del>
    </w:p>
    <w:p w14:paraId="1F8C68E3" w14:textId="77777777" w:rsidR="00BC0E7E" w:rsidRPr="00BC0E7E" w:rsidRDefault="00BC0E7E" w:rsidP="00762FA7">
      <w:pPr>
        <w:rPr>
          <w:del w:id="4475" w:author="AbbVie19" w:date="2025-04-16T10:42:00Z"/>
          <w:szCs w:val="20"/>
        </w:rPr>
      </w:pPr>
    </w:p>
    <w:p w14:paraId="68A09DE9" w14:textId="77777777" w:rsidR="00BC0E7E" w:rsidRPr="00BC0E7E" w:rsidRDefault="00944B8F" w:rsidP="00762FA7">
      <w:pPr>
        <w:rPr>
          <w:del w:id="4476" w:author="AbbVie19" w:date="2025-04-16T10:42:00Z"/>
          <w:szCs w:val="20"/>
          <w:u w:val="single"/>
        </w:rPr>
      </w:pPr>
      <w:del w:id="4477" w:author="AbbVie19" w:date="2025-04-16T10:42:00Z">
        <w:r w:rsidRPr="00BC0E7E">
          <w:rPr>
            <w:szCs w:val="20"/>
            <w:u w:val="single"/>
          </w:rPr>
          <w:delText>Malignancies and lymphoproliferative disorders</w:delText>
        </w:r>
      </w:del>
    </w:p>
    <w:p w14:paraId="74D6DE7D" w14:textId="77777777" w:rsidR="00BC0E7E" w:rsidRPr="00BC0E7E" w:rsidRDefault="00BC0E7E" w:rsidP="00762FA7">
      <w:pPr>
        <w:rPr>
          <w:del w:id="4478" w:author="AbbVie19" w:date="2025-04-16T10:42:00Z"/>
          <w:szCs w:val="20"/>
        </w:rPr>
      </w:pPr>
    </w:p>
    <w:p w14:paraId="7222625C" w14:textId="77777777" w:rsidR="00BC0E7E" w:rsidRPr="00BC0E7E" w:rsidRDefault="00944B8F" w:rsidP="00762FA7">
      <w:pPr>
        <w:rPr>
          <w:del w:id="4479" w:author="AbbVie19" w:date="2025-04-16T10:42:00Z"/>
          <w:szCs w:val="20"/>
        </w:rPr>
      </w:pPr>
      <w:del w:id="4480" w:author="AbbVie19" w:date="2025-04-16T10:42:00Z">
        <w:r w:rsidRPr="00BC0E7E">
          <w:rPr>
            <w:szCs w:val="20"/>
          </w:rPr>
          <w:delText>In the controlled portions of clinical trials of TNF-antagonists, more cases of malignancies including lymphoma have been observed among patients receiving a TNF-antagonist compared with control patients. However, the occurrence was rare. In the post marketing setting, cases of leukaemia have been reported in patients treated with a TNF-antagonist. There is an increased background risk for lymphoma and leukaemia in rheumatoid arthritis patients with long-standing, highly active, inflammatory disease, which complicates the risk estimation. With the current knowledge, a possible risk for the development of lymphomas, leukaemia, and other malignancies in patients treated with a TNF-antagonist cannot be excluded.</w:delText>
        </w:r>
      </w:del>
    </w:p>
    <w:p w14:paraId="2C24547D" w14:textId="77777777" w:rsidR="00BC0E7E" w:rsidRPr="00BC0E7E" w:rsidRDefault="00BC0E7E" w:rsidP="00762FA7">
      <w:pPr>
        <w:rPr>
          <w:del w:id="4481" w:author="AbbVie19" w:date="2025-04-16T10:42:00Z"/>
          <w:szCs w:val="20"/>
        </w:rPr>
      </w:pPr>
    </w:p>
    <w:p w14:paraId="08CA1D00" w14:textId="77777777" w:rsidR="00BC0E7E" w:rsidRPr="00BC0E7E" w:rsidRDefault="00944B8F" w:rsidP="00762FA7">
      <w:pPr>
        <w:rPr>
          <w:del w:id="4482" w:author="AbbVie19" w:date="2025-04-16T10:42:00Z"/>
          <w:szCs w:val="20"/>
        </w:rPr>
      </w:pPr>
      <w:del w:id="4483" w:author="AbbVie19" w:date="2025-04-16T10:42:00Z">
        <w:r w:rsidRPr="00BC0E7E">
          <w:rPr>
            <w:szCs w:val="20"/>
          </w:rPr>
          <w:delText xml:space="preserve">Malignancies, some fatal, have been reported among children, adolescents and young adults (up to 22 years of age) treated with TNF-antagonists (initiation of therapy ≤ 18 years of age), including adalimumab in the post marketing setting. Approximately half the cases were lymphomas. The other cases represented a variety of different malignancies and included rare malignancies usually associated with immunosuppression. A risk for the development of malignancies in children and adolescents treated with TNF-antagonists cannot be excluded. </w:delText>
        </w:r>
      </w:del>
    </w:p>
    <w:p w14:paraId="4CC73775" w14:textId="77777777" w:rsidR="00BC0E7E" w:rsidRPr="00BC0E7E" w:rsidRDefault="00BC0E7E" w:rsidP="00762FA7">
      <w:pPr>
        <w:rPr>
          <w:del w:id="4484" w:author="AbbVie19" w:date="2025-04-16T10:42:00Z"/>
          <w:szCs w:val="20"/>
        </w:rPr>
      </w:pPr>
    </w:p>
    <w:p w14:paraId="11A74EA9" w14:textId="77777777" w:rsidR="00BC0E7E" w:rsidRPr="00BC0E7E" w:rsidRDefault="00944B8F" w:rsidP="00762FA7">
      <w:pPr>
        <w:rPr>
          <w:del w:id="4485" w:author="AbbVie19" w:date="2025-04-16T10:42:00Z"/>
          <w:szCs w:val="20"/>
        </w:rPr>
      </w:pPr>
      <w:del w:id="4486" w:author="AbbVie19" w:date="2025-04-16T10:42:00Z">
        <w:r w:rsidRPr="00BC0E7E">
          <w:rPr>
            <w:szCs w:val="20"/>
          </w:rPr>
          <w:delText>Rare postmarketing cases of hepatosplenic T-cell lymphoma have been identified in patients treated with adalimumab. This rare type of T-cell lymphoma has a very aggressive disease course and is usually fatal. Some of these hepatosplenic T-cell lymphomas with Humira have occurred in young adult patients on concomitant treatment with azathioprine or 6</w:delText>
        </w:r>
        <w:r w:rsidRPr="00BC0E7E">
          <w:rPr>
            <w:szCs w:val="20"/>
          </w:rPr>
          <w:noBreakHyphen/>
          <w:delText>mercaptopurine used for inflammatory bowel disease. The potential risk with the combination of azathioprine or 6</w:delText>
        </w:r>
        <w:r w:rsidRPr="00BC0E7E">
          <w:rPr>
            <w:szCs w:val="20"/>
          </w:rPr>
          <w:noBreakHyphen/>
          <w:delText>mercaptopurine and Humira should be carefully considered. A risk for the development of hepatosplenic T-cell lymphoma in patients treated with Humira cannot be excluded (see section 4.8).</w:delText>
        </w:r>
      </w:del>
    </w:p>
    <w:p w14:paraId="5A8163FD" w14:textId="77777777" w:rsidR="00BC0E7E" w:rsidRPr="00BC0E7E" w:rsidRDefault="00BC0E7E" w:rsidP="00762FA7">
      <w:pPr>
        <w:rPr>
          <w:del w:id="4487" w:author="AbbVie19" w:date="2025-04-16T10:42:00Z"/>
          <w:szCs w:val="20"/>
        </w:rPr>
      </w:pPr>
    </w:p>
    <w:p w14:paraId="30E5BC66" w14:textId="77777777" w:rsidR="00BC0E7E" w:rsidRPr="00BC0E7E" w:rsidRDefault="00944B8F" w:rsidP="00762FA7">
      <w:pPr>
        <w:rPr>
          <w:del w:id="4488" w:author="AbbVie19" w:date="2025-04-16T10:42:00Z"/>
        </w:rPr>
      </w:pPr>
      <w:del w:id="4489" w:author="AbbVie19" w:date="2025-04-16T10:42:00Z">
        <w:r w:rsidRPr="00BC0E7E">
          <w:delText>No studies have been conducted that include patients with a history of malignancy or in whom treatment with Humira is continued following development of malignancy.  Thus</w:delText>
        </w:r>
        <w:r w:rsidR="00C22BBE">
          <w:delText>,</w:delText>
        </w:r>
        <w:r w:rsidRPr="00BC0E7E">
          <w:delText xml:space="preserve"> additional caution should be exercised in considering Humira treatment of these patients (see section 4.8).</w:delText>
        </w:r>
      </w:del>
    </w:p>
    <w:p w14:paraId="78796693" w14:textId="77777777" w:rsidR="00BC0E7E" w:rsidRPr="00BC0E7E" w:rsidRDefault="00BC0E7E" w:rsidP="00762FA7">
      <w:pPr>
        <w:rPr>
          <w:del w:id="4490" w:author="AbbVie19" w:date="2025-04-16T10:42:00Z"/>
        </w:rPr>
      </w:pPr>
    </w:p>
    <w:p w14:paraId="64610737" w14:textId="77777777" w:rsidR="00BC0E7E" w:rsidRPr="00BC0E7E" w:rsidRDefault="00944B8F" w:rsidP="00762FA7">
      <w:pPr>
        <w:rPr>
          <w:del w:id="4491" w:author="AbbVie19" w:date="2025-04-16T10:42:00Z"/>
          <w:i/>
          <w:u w:val="single"/>
        </w:rPr>
      </w:pPr>
      <w:del w:id="4492" w:author="AbbVie19" w:date="2025-04-16T10:42:00Z">
        <w:r w:rsidRPr="00BC0E7E">
          <w:delText>All patients, and in particular patients with a medical history of extensive immunosuppressant therapy or psoriasis patients with a history of PUVA treatment should be examined for the presence of non-</w:delText>
        </w:r>
        <w:r w:rsidRPr="00BC0E7E">
          <w:lastRenderedPageBreak/>
          <w:delText>melanoma skin cancer prior to and during treatment with Humira.  Melanoma and Merkel cell carcinoma have also been reported in patients treated with TNF-antagonists including adalimumab (see section 4.8).</w:delText>
        </w:r>
      </w:del>
    </w:p>
    <w:p w14:paraId="795EC5E2" w14:textId="77777777" w:rsidR="00BC0E7E" w:rsidRPr="00BC0E7E" w:rsidRDefault="00BC0E7E" w:rsidP="00762FA7">
      <w:pPr>
        <w:rPr>
          <w:del w:id="4493" w:author="AbbVie19" w:date="2025-04-16T10:42:00Z"/>
          <w:i/>
          <w:u w:val="single"/>
        </w:rPr>
      </w:pPr>
    </w:p>
    <w:p w14:paraId="43DA6770" w14:textId="77777777" w:rsidR="00BC0E7E" w:rsidRPr="00BC0E7E" w:rsidRDefault="00944B8F" w:rsidP="00762FA7">
      <w:pPr>
        <w:rPr>
          <w:del w:id="4494" w:author="AbbVie19" w:date="2025-04-16T10:42:00Z"/>
        </w:rPr>
      </w:pPr>
      <w:del w:id="4495" w:author="AbbVie19" w:date="2025-04-16T10:42:00Z">
        <w:r w:rsidRPr="00BC0E7E">
          <w:delText>In an exploratory clinical trial evaluating the use of another TNF-antagonist, infliximab, in patients with moderate to severe chronic obstructive pulmonary disease (COPD), more malignancies, mostly in the lung or head and neck, were reported in infliximab-treated patients compared with control patients. All patients had a history of heavy smoking. Therefore, caution should be exercised when using any TNF-antagonist in COPD patients, as well as in patients with increased risk for malignancy due to heavy smoking.</w:delText>
        </w:r>
      </w:del>
    </w:p>
    <w:p w14:paraId="2CBF02BD" w14:textId="77777777" w:rsidR="00BC0E7E" w:rsidRPr="00BC0E7E" w:rsidRDefault="00BC0E7E" w:rsidP="00762FA7">
      <w:pPr>
        <w:rPr>
          <w:del w:id="4496" w:author="AbbVie19" w:date="2025-04-16T10:42:00Z"/>
          <w:iCs/>
          <w:szCs w:val="22"/>
        </w:rPr>
      </w:pPr>
    </w:p>
    <w:p w14:paraId="36D8D857" w14:textId="77777777" w:rsidR="00BC0E7E" w:rsidRPr="00BC0E7E" w:rsidRDefault="00944B8F" w:rsidP="00762FA7">
      <w:pPr>
        <w:rPr>
          <w:del w:id="4497" w:author="AbbVie19" w:date="2025-04-16T10:42:00Z"/>
        </w:rPr>
      </w:pPr>
      <w:del w:id="4498" w:author="AbbVie19" w:date="2025-04-16T10:42:00Z">
        <w:r w:rsidRPr="00BC0E7E">
          <w:rPr>
            <w:iCs/>
            <w:szCs w:val="22"/>
          </w:rPr>
          <w:delText>With current data it is not known if adalimumab treatment influences the risk for developing dysplasia or colon cancer.  All patients with ulcerative colitis who are at increased risk for dysplasia or colon carcinoma (for example, patients with long-standing ulcerative colitis or primary sclerosing cholangitis), or who had a prior history of dysplasia or colon carcinoma should be screened for dysplasia at regular intervals before therapy and throughout their disease course. This evaluation should include colonoscopy and biopsies per local recommendations.</w:delText>
        </w:r>
      </w:del>
    </w:p>
    <w:p w14:paraId="37F0469E" w14:textId="77777777" w:rsidR="00BC0E7E" w:rsidRPr="00BC0E7E" w:rsidRDefault="00BC0E7E" w:rsidP="00762FA7">
      <w:pPr>
        <w:rPr>
          <w:del w:id="4499" w:author="AbbVie19" w:date="2025-04-16T10:42:00Z"/>
        </w:rPr>
      </w:pPr>
    </w:p>
    <w:p w14:paraId="17D1DA0B" w14:textId="77777777" w:rsidR="00BC0E7E" w:rsidRPr="00BC0E7E" w:rsidRDefault="00944B8F" w:rsidP="00762FA7">
      <w:pPr>
        <w:rPr>
          <w:del w:id="4500" w:author="AbbVie19" w:date="2025-04-16T10:42:00Z"/>
          <w:u w:val="single"/>
        </w:rPr>
      </w:pPr>
      <w:del w:id="4501" w:author="AbbVie19" w:date="2025-04-16T10:42:00Z">
        <w:r w:rsidRPr="00BC0E7E">
          <w:rPr>
            <w:u w:val="single"/>
          </w:rPr>
          <w:delText>Haematologic reactions</w:delText>
        </w:r>
      </w:del>
    </w:p>
    <w:p w14:paraId="68A685C6" w14:textId="77777777" w:rsidR="00BC0E7E" w:rsidRPr="00BC0E7E" w:rsidRDefault="00BC0E7E" w:rsidP="00762FA7">
      <w:pPr>
        <w:rPr>
          <w:del w:id="4502" w:author="AbbVie19" w:date="2025-04-16T10:42:00Z"/>
        </w:rPr>
      </w:pPr>
    </w:p>
    <w:p w14:paraId="5766FC75" w14:textId="77777777" w:rsidR="00BC0E7E" w:rsidRPr="00BC0E7E" w:rsidRDefault="00944B8F" w:rsidP="00762FA7">
      <w:pPr>
        <w:rPr>
          <w:del w:id="4503" w:author="AbbVie19" w:date="2025-04-16T10:42:00Z"/>
        </w:rPr>
      </w:pPr>
      <w:del w:id="4504" w:author="AbbVie19" w:date="2025-04-16T10:42:00Z">
        <w:r w:rsidRPr="00BC0E7E">
          <w:delText>Rare reports of pancytopenia including aplastic anaemia have been reported with TNF-antagonists.  Adverse events of the haematologic system, including medically significant cytopenia (e.g. thrombocytopenia, leukopenia) have been reported with Humira. All patients should be advised to seek immediate medical attention if they develop signs and symptoms suggestive of blood dyscrasias (e.g. persistent fever, bruising, bleeding, pallor) while on Humira. Discontinuation of Humira therapy should be considered in patients with confirmed significant haematologic abnormalities.</w:delText>
        </w:r>
      </w:del>
    </w:p>
    <w:p w14:paraId="24EFF430" w14:textId="77777777" w:rsidR="00BC0E7E" w:rsidRPr="00BC0E7E" w:rsidRDefault="00BC0E7E" w:rsidP="00762FA7">
      <w:pPr>
        <w:rPr>
          <w:del w:id="4505" w:author="AbbVie19" w:date="2025-04-16T10:42:00Z"/>
        </w:rPr>
      </w:pPr>
    </w:p>
    <w:p w14:paraId="2477AD8E" w14:textId="77777777" w:rsidR="00BC0E7E" w:rsidRPr="00BC0E7E" w:rsidRDefault="00944B8F" w:rsidP="00762FA7">
      <w:pPr>
        <w:keepNext/>
        <w:rPr>
          <w:del w:id="4506" w:author="AbbVie19" w:date="2025-04-16T10:42:00Z"/>
          <w:u w:val="single"/>
        </w:rPr>
      </w:pPr>
      <w:del w:id="4507" w:author="AbbVie19" w:date="2025-04-16T10:42:00Z">
        <w:r w:rsidRPr="00BC0E7E">
          <w:rPr>
            <w:u w:val="single"/>
          </w:rPr>
          <w:delText xml:space="preserve">Vaccinations </w:delText>
        </w:r>
      </w:del>
    </w:p>
    <w:p w14:paraId="1E49EB71" w14:textId="77777777" w:rsidR="00BC0E7E" w:rsidRPr="00BC0E7E" w:rsidRDefault="00BC0E7E" w:rsidP="00762FA7">
      <w:pPr>
        <w:keepNext/>
        <w:rPr>
          <w:del w:id="4508" w:author="AbbVie19" w:date="2025-04-16T10:42:00Z"/>
          <w:szCs w:val="20"/>
        </w:rPr>
      </w:pPr>
    </w:p>
    <w:p w14:paraId="14DA1323" w14:textId="77777777" w:rsidR="00BC0E7E" w:rsidRPr="00BC0E7E" w:rsidRDefault="00944B8F" w:rsidP="00762FA7">
      <w:pPr>
        <w:keepNext/>
        <w:autoSpaceDE w:val="0"/>
        <w:autoSpaceDN w:val="0"/>
        <w:adjustRightInd w:val="0"/>
        <w:rPr>
          <w:del w:id="4509" w:author="AbbVie19" w:date="2025-04-16T10:42:00Z"/>
        </w:rPr>
      </w:pPr>
      <w:del w:id="4510" w:author="AbbVie19" w:date="2025-04-16T10:42:00Z">
        <w:r w:rsidRPr="00BC0E7E">
          <w:delText xml:space="preserve">Similar antibody responses to the standard 23-valent pneumococcal vaccine and the influenza trivalent virus vaccination were observed in a study in 226 adult subjects with rheumatoid arthritis who were treated with adalimumab or placebo. No data are available on the secondary transmission of infection by live vaccines in patients receiving Humira.  </w:delText>
        </w:r>
      </w:del>
    </w:p>
    <w:p w14:paraId="0D1CEB54" w14:textId="77777777" w:rsidR="00BC0E7E" w:rsidRPr="00BC0E7E" w:rsidRDefault="00BC0E7E" w:rsidP="00762FA7">
      <w:pPr>
        <w:autoSpaceDE w:val="0"/>
        <w:autoSpaceDN w:val="0"/>
        <w:adjustRightInd w:val="0"/>
        <w:rPr>
          <w:del w:id="4511" w:author="AbbVie19" w:date="2025-04-16T10:42:00Z"/>
        </w:rPr>
      </w:pPr>
    </w:p>
    <w:p w14:paraId="297C9F2D" w14:textId="77777777" w:rsidR="00BC0E7E" w:rsidRPr="00BC0E7E" w:rsidRDefault="00944B8F" w:rsidP="00762FA7">
      <w:pPr>
        <w:autoSpaceDE w:val="0"/>
        <w:autoSpaceDN w:val="0"/>
        <w:adjustRightInd w:val="0"/>
        <w:rPr>
          <w:del w:id="4512" w:author="AbbVie19" w:date="2025-04-16T10:42:00Z"/>
        </w:rPr>
      </w:pPr>
      <w:del w:id="4513" w:author="AbbVie19" w:date="2025-04-16T10:42:00Z">
        <w:r w:rsidRPr="00BC0E7E">
          <w:delText>It is recommended that paediatric patients, if possible, be brought up to date with all immunisations in agreement with current immunisation guidelines prior to initiating Humira therapy.</w:delText>
        </w:r>
      </w:del>
    </w:p>
    <w:p w14:paraId="2CF35AE3" w14:textId="77777777" w:rsidR="00BC0E7E" w:rsidRPr="00BC0E7E" w:rsidRDefault="00BC0E7E" w:rsidP="00762FA7">
      <w:pPr>
        <w:autoSpaceDE w:val="0"/>
        <w:autoSpaceDN w:val="0"/>
        <w:adjustRightInd w:val="0"/>
        <w:rPr>
          <w:del w:id="4514" w:author="AbbVie19" w:date="2025-04-16T10:42:00Z"/>
        </w:rPr>
      </w:pPr>
    </w:p>
    <w:p w14:paraId="0EF292A1" w14:textId="77777777" w:rsidR="00BC0E7E" w:rsidRPr="00BC0E7E" w:rsidRDefault="00944B8F" w:rsidP="00762FA7">
      <w:pPr>
        <w:autoSpaceDE w:val="0"/>
        <w:autoSpaceDN w:val="0"/>
        <w:adjustRightInd w:val="0"/>
        <w:rPr>
          <w:del w:id="4515" w:author="AbbVie19" w:date="2025-04-16T10:42:00Z"/>
        </w:rPr>
      </w:pPr>
      <w:del w:id="4516" w:author="AbbVie19" w:date="2025-04-16T10:42:00Z">
        <w:r w:rsidRPr="00BC0E7E">
          <w:delText xml:space="preserve">Patients on Humira may receive concurrent vaccinations, except for live vaccines. Administration of live vaccines </w:delText>
        </w:r>
        <w:r w:rsidR="007F7575" w:rsidRPr="00B2265A">
          <w:rPr>
            <w:szCs w:val="22"/>
          </w:rPr>
          <w:delText>(e.g., BCG vaccine)</w:delText>
        </w:r>
        <w:r w:rsidR="007F7575">
          <w:rPr>
            <w:szCs w:val="22"/>
          </w:rPr>
          <w:delText xml:space="preserve"> </w:delText>
        </w:r>
        <w:r w:rsidRPr="00BC0E7E">
          <w:delText>to infants exposed to adalimumab in utero is not recommended for 5 months following the mother’s last adalimumab injection during pregnancy.</w:delText>
        </w:r>
      </w:del>
    </w:p>
    <w:p w14:paraId="0AEFEE01" w14:textId="77777777" w:rsidR="00BC0E7E" w:rsidRPr="00BC0E7E" w:rsidRDefault="00BC0E7E" w:rsidP="00762FA7">
      <w:pPr>
        <w:autoSpaceDE w:val="0"/>
        <w:autoSpaceDN w:val="0"/>
        <w:adjustRightInd w:val="0"/>
        <w:rPr>
          <w:del w:id="4517" w:author="AbbVie19" w:date="2025-04-16T10:42:00Z"/>
        </w:rPr>
      </w:pPr>
    </w:p>
    <w:p w14:paraId="318A42BA" w14:textId="77777777" w:rsidR="00BC0E7E" w:rsidRPr="00BC0E7E" w:rsidRDefault="00944B8F" w:rsidP="00762FA7">
      <w:pPr>
        <w:keepNext/>
        <w:rPr>
          <w:del w:id="4518" w:author="AbbVie19" w:date="2025-04-16T10:42:00Z"/>
          <w:szCs w:val="20"/>
          <w:u w:val="single"/>
        </w:rPr>
      </w:pPr>
      <w:del w:id="4519" w:author="AbbVie19" w:date="2025-04-16T10:42:00Z">
        <w:r w:rsidRPr="00BC0E7E">
          <w:rPr>
            <w:szCs w:val="20"/>
            <w:u w:val="single"/>
          </w:rPr>
          <w:delText>Congestive heart failure</w:delText>
        </w:r>
      </w:del>
    </w:p>
    <w:p w14:paraId="202EB369" w14:textId="77777777" w:rsidR="00BC0E7E" w:rsidRPr="00BC0E7E" w:rsidRDefault="00BC0E7E" w:rsidP="00762FA7">
      <w:pPr>
        <w:keepNext/>
        <w:rPr>
          <w:del w:id="4520" w:author="AbbVie19" w:date="2025-04-16T10:42:00Z"/>
          <w:szCs w:val="20"/>
        </w:rPr>
      </w:pPr>
    </w:p>
    <w:p w14:paraId="3AA594D1" w14:textId="77777777" w:rsidR="00BC0E7E" w:rsidRPr="00BC0E7E" w:rsidRDefault="00944B8F" w:rsidP="00762FA7">
      <w:pPr>
        <w:keepNext/>
        <w:rPr>
          <w:del w:id="4521" w:author="AbbVie19" w:date="2025-04-16T10:42:00Z"/>
          <w:szCs w:val="20"/>
        </w:rPr>
      </w:pPr>
      <w:del w:id="4522" w:author="AbbVie19" w:date="2025-04-16T10:42:00Z">
        <w:r w:rsidRPr="00BC0E7E">
          <w:rPr>
            <w:szCs w:val="20"/>
          </w:rPr>
          <w:delText>In a clinical trial with another TNF-antagonist worsening congestive heart failure and increased mortality due to congestive heart failure have been observed. Cases of worsening congestive heart failure have also been reported in patients receiving Humira. Humira should be used with caution in patients with mild heart failure (NYHA class I/II). Humira is contraindicated in moderate to severe heart failure (see section 4.3). Treatment with Humira must be discontinued in patients who develop new or worsening symptoms of congestive heart failure.</w:delText>
        </w:r>
      </w:del>
    </w:p>
    <w:p w14:paraId="7D4AEF50" w14:textId="77777777" w:rsidR="00BC0E7E" w:rsidRPr="00BC0E7E" w:rsidRDefault="00BC0E7E" w:rsidP="00762FA7">
      <w:pPr>
        <w:keepNext/>
        <w:rPr>
          <w:del w:id="4523" w:author="AbbVie19" w:date="2025-04-16T10:42:00Z"/>
          <w:i/>
          <w:iCs/>
          <w:szCs w:val="20"/>
        </w:rPr>
      </w:pPr>
    </w:p>
    <w:p w14:paraId="3ECBC4A7" w14:textId="77777777" w:rsidR="00BC0E7E" w:rsidRPr="00BC0E7E" w:rsidRDefault="00944B8F" w:rsidP="00762FA7">
      <w:pPr>
        <w:keepNext/>
        <w:rPr>
          <w:del w:id="4524" w:author="AbbVie19" w:date="2025-04-16T10:42:00Z"/>
          <w:szCs w:val="20"/>
          <w:u w:val="single"/>
        </w:rPr>
      </w:pPr>
      <w:del w:id="4525" w:author="AbbVie19" w:date="2025-04-16T10:42:00Z">
        <w:r w:rsidRPr="00BC0E7E">
          <w:rPr>
            <w:szCs w:val="20"/>
            <w:u w:val="single"/>
          </w:rPr>
          <w:delText>Autoimmune processes</w:delText>
        </w:r>
      </w:del>
    </w:p>
    <w:p w14:paraId="2A44066C" w14:textId="77777777" w:rsidR="00BC0E7E" w:rsidRPr="00BC0E7E" w:rsidRDefault="00BC0E7E" w:rsidP="00762FA7">
      <w:pPr>
        <w:keepNext/>
        <w:rPr>
          <w:del w:id="4526" w:author="AbbVie19" w:date="2025-04-16T10:42:00Z"/>
          <w:szCs w:val="20"/>
        </w:rPr>
      </w:pPr>
    </w:p>
    <w:p w14:paraId="0EB72937" w14:textId="77777777" w:rsidR="00BC0E7E" w:rsidRPr="00BC0E7E" w:rsidRDefault="00944B8F" w:rsidP="00762FA7">
      <w:pPr>
        <w:keepNext/>
        <w:rPr>
          <w:del w:id="4527" w:author="AbbVie19" w:date="2025-04-16T10:42:00Z"/>
          <w:szCs w:val="22"/>
        </w:rPr>
      </w:pPr>
      <w:del w:id="4528" w:author="AbbVie19" w:date="2025-04-16T10:42:00Z">
        <w:r w:rsidRPr="00BC0E7E">
          <w:delText>Treatment with Humira may result in the formation of autoimmune antibodies.</w:delText>
        </w:r>
        <w:r w:rsidRPr="00BC0E7E">
          <w:rPr>
            <w:i/>
            <w:iCs/>
          </w:rPr>
          <w:delText xml:space="preserve"> </w:delText>
        </w:r>
        <w:r w:rsidRPr="00BC0E7E">
          <w:delText xml:space="preserve">The impact of long-term treatment with Humira on the development of autoimmune diseases is unknown. </w:delText>
        </w:r>
        <w:r w:rsidRPr="00BC0E7E">
          <w:rPr>
            <w:szCs w:val="22"/>
          </w:rPr>
          <w:delText xml:space="preserve">If a patient develops symptoms suggestive of a lupus-like syndrome following treatment with Humira and is positive for </w:delText>
        </w:r>
        <w:r w:rsidRPr="00BC0E7E">
          <w:rPr>
            <w:szCs w:val="22"/>
          </w:rPr>
          <w:lastRenderedPageBreak/>
          <w:delText>antibodies against double-stranded DNA, further treatment with Humira should not be given (see section 4.8).</w:delText>
        </w:r>
      </w:del>
    </w:p>
    <w:p w14:paraId="23B4DD80" w14:textId="77777777" w:rsidR="00BC0E7E" w:rsidRPr="00BC0E7E" w:rsidRDefault="00BC0E7E" w:rsidP="00762FA7">
      <w:pPr>
        <w:rPr>
          <w:del w:id="4529" w:author="AbbVie19" w:date="2025-04-16T10:42:00Z"/>
        </w:rPr>
      </w:pPr>
    </w:p>
    <w:p w14:paraId="6CA24C04" w14:textId="77777777" w:rsidR="00BC0E7E" w:rsidRPr="00BC0E7E" w:rsidRDefault="00944B8F" w:rsidP="00762FA7">
      <w:pPr>
        <w:rPr>
          <w:del w:id="4530" w:author="AbbVie19" w:date="2025-04-16T10:42:00Z"/>
          <w:szCs w:val="20"/>
          <w:u w:val="single"/>
        </w:rPr>
      </w:pPr>
      <w:del w:id="4531" w:author="AbbVie19" w:date="2025-04-16T10:42:00Z">
        <w:r w:rsidRPr="00BC0E7E">
          <w:rPr>
            <w:szCs w:val="20"/>
            <w:u w:val="single"/>
          </w:rPr>
          <w:delText>Concurrent administration of biologic DMARDS or TNF-antagonists</w:delText>
        </w:r>
      </w:del>
    </w:p>
    <w:p w14:paraId="294B3176" w14:textId="77777777" w:rsidR="00BC0E7E" w:rsidRPr="00BC0E7E" w:rsidRDefault="00BC0E7E" w:rsidP="00762FA7">
      <w:pPr>
        <w:rPr>
          <w:del w:id="4532" w:author="AbbVie19" w:date="2025-04-16T10:42:00Z"/>
          <w:szCs w:val="20"/>
        </w:rPr>
      </w:pPr>
    </w:p>
    <w:p w14:paraId="44B54705" w14:textId="77777777" w:rsidR="00BC0E7E" w:rsidRPr="00BC0E7E" w:rsidRDefault="00944B8F" w:rsidP="00762FA7">
      <w:pPr>
        <w:rPr>
          <w:del w:id="4533" w:author="AbbVie19" w:date="2025-04-16T10:42:00Z"/>
          <w:szCs w:val="20"/>
        </w:rPr>
      </w:pPr>
      <w:del w:id="4534" w:author="AbbVie19" w:date="2025-04-16T10:42:00Z">
        <w:r w:rsidRPr="00BC0E7E">
          <w:rPr>
            <w:szCs w:val="20"/>
          </w:rPr>
          <w:delText>Serious infections were seen in clinical studies with concurrent use of anakinra and another TNF</w:delText>
        </w:r>
        <w:r w:rsidRPr="00BC0E7E">
          <w:rPr>
            <w:szCs w:val="20"/>
          </w:rPr>
          <w:noBreakHyphen/>
          <w:delText>antagonist, etanercept, with no added clinical benefit compared to etanercept alone. Because of the nature of the adverse events seen with the combination of etanercept and anakinra therapy, similar toxicities may also result from the combination of anakinra and other TNF-antagonists. Therefore, the combination of adalimumab and anakinra is not recommended. (See section 4.5).</w:delText>
        </w:r>
      </w:del>
    </w:p>
    <w:p w14:paraId="79726BC5" w14:textId="77777777" w:rsidR="00BC0E7E" w:rsidRPr="00BC0E7E" w:rsidRDefault="00BC0E7E" w:rsidP="00762FA7">
      <w:pPr>
        <w:rPr>
          <w:del w:id="4535" w:author="AbbVie19" w:date="2025-04-16T10:42:00Z"/>
          <w:szCs w:val="20"/>
        </w:rPr>
      </w:pPr>
    </w:p>
    <w:p w14:paraId="359D666B" w14:textId="77777777" w:rsidR="00BC0E7E" w:rsidRPr="00BC0E7E" w:rsidRDefault="00944B8F" w:rsidP="00762FA7">
      <w:pPr>
        <w:rPr>
          <w:del w:id="4536" w:author="AbbVie19" w:date="2025-04-16T10:42:00Z"/>
          <w:szCs w:val="20"/>
        </w:rPr>
      </w:pPr>
      <w:del w:id="4537" w:author="AbbVie19" w:date="2025-04-16T10:42:00Z">
        <w:r w:rsidRPr="00BC0E7E">
          <w:rPr>
            <w:szCs w:val="20"/>
          </w:rPr>
          <w:delText>Concomitant administration of adalimumab with other biologic DMARDS (e.g, anakinra and abatacept) or other TNF-antagonists is not recommended based upon the possible increased risk for infections, including serious infections and other potential pharmacological interactions. (See section 4.5).</w:delText>
        </w:r>
      </w:del>
    </w:p>
    <w:p w14:paraId="726EE877" w14:textId="77777777" w:rsidR="00BC0E7E" w:rsidRPr="00BC0E7E" w:rsidRDefault="00BC0E7E" w:rsidP="00762FA7">
      <w:pPr>
        <w:rPr>
          <w:del w:id="4538" w:author="AbbVie19" w:date="2025-04-16T10:42:00Z"/>
          <w:szCs w:val="20"/>
        </w:rPr>
      </w:pPr>
    </w:p>
    <w:p w14:paraId="23D91604" w14:textId="77777777" w:rsidR="00BC0E7E" w:rsidRPr="00BC0E7E" w:rsidRDefault="00944B8F" w:rsidP="00762FA7">
      <w:pPr>
        <w:rPr>
          <w:del w:id="4539" w:author="AbbVie19" w:date="2025-04-16T10:42:00Z"/>
          <w:szCs w:val="20"/>
          <w:u w:val="single"/>
        </w:rPr>
      </w:pPr>
      <w:del w:id="4540" w:author="AbbVie19" w:date="2025-04-16T10:42:00Z">
        <w:r w:rsidRPr="00BC0E7E">
          <w:rPr>
            <w:szCs w:val="20"/>
            <w:u w:val="single"/>
          </w:rPr>
          <w:delText>Surgery</w:delText>
        </w:r>
      </w:del>
    </w:p>
    <w:p w14:paraId="5A2E69CC" w14:textId="77777777" w:rsidR="00BC0E7E" w:rsidRPr="00BC0E7E" w:rsidRDefault="00BC0E7E" w:rsidP="00762FA7">
      <w:pPr>
        <w:rPr>
          <w:del w:id="4541" w:author="AbbVie19" w:date="2025-04-16T10:42:00Z"/>
          <w:szCs w:val="20"/>
        </w:rPr>
      </w:pPr>
    </w:p>
    <w:p w14:paraId="419DA8DA" w14:textId="77777777" w:rsidR="00BC0E7E" w:rsidRPr="00BC0E7E" w:rsidRDefault="00944B8F" w:rsidP="00762FA7">
      <w:pPr>
        <w:tabs>
          <w:tab w:val="clear" w:pos="562"/>
        </w:tabs>
        <w:rPr>
          <w:del w:id="4542" w:author="AbbVie19" w:date="2025-04-16T10:42:00Z"/>
        </w:rPr>
      </w:pPr>
      <w:del w:id="4543" w:author="AbbVie19" w:date="2025-04-16T10:42:00Z">
        <w:r w:rsidRPr="00BC0E7E">
          <w:delText xml:space="preserve">There is limited safety experience of surgical procedures in patients treated with Humira. The long half-life of adalimumab should be taken into consideration if a surgical procedure is planned.  A patient who requires surgery while on Humira should be closely monitored for infections, and appropriate actions should be taken. There is limited safety experience in patients undergoing arthroplasty while receiving Humira. </w:delText>
        </w:r>
      </w:del>
    </w:p>
    <w:p w14:paraId="586382B1" w14:textId="77777777" w:rsidR="00BC0E7E" w:rsidRPr="00BC0E7E" w:rsidRDefault="00BC0E7E" w:rsidP="00762FA7">
      <w:pPr>
        <w:tabs>
          <w:tab w:val="clear" w:pos="562"/>
        </w:tabs>
        <w:rPr>
          <w:del w:id="4544" w:author="AbbVie19" w:date="2025-04-16T10:42:00Z"/>
        </w:rPr>
      </w:pPr>
    </w:p>
    <w:p w14:paraId="7C99B5C9" w14:textId="77777777" w:rsidR="00BC0E7E" w:rsidRPr="00BC0E7E" w:rsidRDefault="00944B8F" w:rsidP="00762FA7">
      <w:pPr>
        <w:keepNext/>
        <w:tabs>
          <w:tab w:val="clear" w:pos="562"/>
        </w:tabs>
        <w:rPr>
          <w:del w:id="4545" w:author="AbbVie19" w:date="2025-04-16T10:42:00Z"/>
          <w:u w:val="single"/>
        </w:rPr>
      </w:pPr>
      <w:del w:id="4546" w:author="AbbVie19" w:date="2025-04-16T10:42:00Z">
        <w:r w:rsidRPr="00BC0E7E">
          <w:rPr>
            <w:u w:val="single"/>
          </w:rPr>
          <w:delText>Small bowel obstruction</w:delText>
        </w:r>
      </w:del>
    </w:p>
    <w:p w14:paraId="2FDFD908" w14:textId="77777777" w:rsidR="00BC0E7E" w:rsidRPr="00BC0E7E" w:rsidRDefault="00BC0E7E" w:rsidP="00762FA7">
      <w:pPr>
        <w:keepNext/>
        <w:tabs>
          <w:tab w:val="clear" w:pos="562"/>
        </w:tabs>
        <w:rPr>
          <w:del w:id="4547" w:author="AbbVie19" w:date="2025-04-16T10:42:00Z"/>
        </w:rPr>
      </w:pPr>
    </w:p>
    <w:p w14:paraId="3995C8DF" w14:textId="77777777" w:rsidR="00BC0E7E" w:rsidRPr="00BC0E7E" w:rsidRDefault="00944B8F" w:rsidP="00762FA7">
      <w:pPr>
        <w:keepNext/>
        <w:tabs>
          <w:tab w:val="clear" w:pos="562"/>
        </w:tabs>
        <w:rPr>
          <w:del w:id="4548" w:author="AbbVie19" w:date="2025-04-16T10:42:00Z"/>
        </w:rPr>
      </w:pPr>
      <w:del w:id="4549" w:author="AbbVie19" w:date="2025-04-16T10:42:00Z">
        <w:r w:rsidRPr="00BC0E7E">
          <w:delText>Failure to respond to treatment for Crohn’s disease may indicate the presence of fixed fibrotic stricture that may require surgical treatment. Available data suggest that Humira does not worsen or cause strictures.</w:delText>
        </w:r>
      </w:del>
    </w:p>
    <w:p w14:paraId="4247D8FF" w14:textId="77777777" w:rsidR="00BC0E7E" w:rsidRPr="00BC0E7E" w:rsidRDefault="00BC0E7E" w:rsidP="00762FA7">
      <w:pPr>
        <w:tabs>
          <w:tab w:val="clear" w:pos="562"/>
        </w:tabs>
        <w:rPr>
          <w:del w:id="4550" w:author="AbbVie19" w:date="2025-04-16T10:42:00Z"/>
        </w:rPr>
      </w:pPr>
    </w:p>
    <w:p w14:paraId="595C7B23" w14:textId="77777777" w:rsidR="00BC0E7E" w:rsidRPr="00BC0E7E" w:rsidRDefault="00944B8F" w:rsidP="00762FA7">
      <w:pPr>
        <w:keepNext/>
        <w:tabs>
          <w:tab w:val="clear" w:pos="562"/>
        </w:tabs>
        <w:rPr>
          <w:del w:id="4551" w:author="AbbVie19" w:date="2025-04-16T10:42:00Z"/>
          <w:u w:val="single"/>
        </w:rPr>
      </w:pPr>
      <w:del w:id="4552" w:author="AbbVie19" w:date="2025-04-16T10:42:00Z">
        <w:r w:rsidRPr="00BC0E7E">
          <w:rPr>
            <w:u w:val="single"/>
          </w:rPr>
          <w:delText>Elderly</w:delText>
        </w:r>
      </w:del>
    </w:p>
    <w:p w14:paraId="4BECD903" w14:textId="77777777" w:rsidR="00BC0E7E" w:rsidRPr="00BC0E7E" w:rsidRDefault="00BC0E7E" w:rsidP="00762FA7">
      <w:pPr>
        <w:keepNext/>
        <w:tabs>
          <w:tab w:val="clear" w:pos="562"/>
        </w:tabs>
        <w:rPr>
          <w:del w:id="4553" w:author="AbbVie19" w:date="2025-04-16T10:42:00Z"/>
        </w:rPr>
      </w:pPr>
    </w:p>
    <w:p w14:paraId="584E2620" w14:textId="77777777" w:rsidR="00BC0E7E" w:rsidRPr="00BC0E7E" w:rsidRDefault="00944B8F" w:rsidP="00762FA7">
      <w:pPr>
        <w:tabs>
          <w:tab w:val="clear" w:pos="562"/>
        </w:tabs>
        <w:rPr>
          <w:del w:id="4554" w:author="AbbVie19" w:date="2025-04-16T10:42:00Z"/>
        </w:rPr>
      </w:pPr>
      <w:del w:id="4555" w:author="AbbVie19" w:date="2025-04-16T10:42:00Z">
        <w:r w:rsidRPr="00BC0E7E">
          <w:delText>The frequency of serious infections among Humira treated subjects over 65 years of age (3.7%) was higher than for those under 65 years of age (1.5%). Some of those had a fatal outcome. Particular attention regarding the risk for infection should be paid when treating the elderly.</w:delText>
        </w:r>
      </w:del>
    </w:p>
    <w:p w14:paraId="491971E4" w14:textId="77777777" w:rsidR="00BC0E7E" w:rsidRPr="00BC0E7E" w:rsidRDefault="00BC0E7E" w:rsidP="00762FA7">
      <w:pPr>
        <w:tabs>
          <w:tab w:val="clear" w:pos="562"/>
        </w:tabs>
        <w:rPr>
          <w:del w:id="4556" w:author="AbbVie19" w:date="2025-04-16T10:42:00Z"/>
        </w:rPr>
      </w:pPr>
    </w:p>
    <w:p w14:paraId="7033109E" w14:textId="77777777" w:rsidR="00BC0E7E" w:rsidRPr="00BC0E7E" w:rsidRDefault="00944B8F" w:rsidP="00762FA7">
      <w:pPr>
        <w:tabs>
          <w:tab w:val="clear" w:pos="562"/>
        </w:tabs>
        <w:rPr>
          <w:del w:id="4557" w:author="AbbVie19" w:date="2025-04-16T10:42:00Z"/>
          <w:u w:val="single"/>
        </w:rPr>
      </w:pPr>
      <w:del w:id="4558" w:author="AbbVie19" w:date="2025-04-16T10:42:00Z">
        <w:r w:rsidRPr="00BC0E7E">
          <w:rPr>
            <w:u w:val="single"/>
          </w:rPr>
          <w:delText>Paediatric population</w:delText>
        </w:r>
      </w:del>
    </w:p>
    <w:p w14:paraId="7211609A" w14:textId="77777777" w:rsidR="00BC0E7E" w:rsidRPr="00BC0E7E" w:rsidRDefault="00BC0E7E" w:rsidP="00762FA7">
      <w:pPr>
        <w:tabs>
          <w:tab w:val="clear" w:pos="562"/>
        </w:tabs>
        <w:rPr>
          <w:del w:id="4559" w:author="AbbVie19" w:date="2025-04-16T10:42:00Z"/>
        </w:rPr>
      </w:pPr>
    </w:p>
    <w:p w14:paraId="1FB3E0AB" w14:textId="77777777" w:rsidR="00BC0E7E" w:rsidRPr="00BC0E7E" w:rsidRDefault="00944B8F" w:rsidP="00762FA7">
      <w:pPr>
        <w:tabs>
          <w:tab w:val="clear" w:pos="562"/>
        </w:tabs>
        <w:rPr>
          <w:del w:id="4560" w:author="AbbVie19" w:date="2025-04-16T10:42:00Z"/>
        </w:rPr>
      </w:pPr>
      <w:del w:id="4561" w:author="AbbVie19" w:date="2025-04-16T10:42:00Z">
        <w:r w:rsidRPr="00BC0E7E">
          <w:delText>See Vaccinations above.</w:delText>
        </w:r>
      </w:del>
    </w:p>
    <w:p w14:paraId="52BEC92D" w14:textId="77777777" w:rsidR="006A589F" w:rsidRDefault="006A589F" w:rsidP="00762FA7">
      <w:pPr>
        <w:tabs>
          <w:tab w:val="clear" w:pos="562"/>
        </w:tabs>
        <w:rPr>
          <w:del w:id="4562" w:author="AbbVie19" w:date="2025-04-16T10:42:00Z"/>
          <w:u w:val="single"/>
        </w:rPr>
      </w:pPr>
    </w:p>
    <w:p w14:paraId="7C38A101" w14:textId="77777777" w:rsidR="006A589F" w:rsidRPr="006A589F" w:rsidRDefault="00944B8F" w:rsidP="00762FA7">
      <w:pPr>
        <w:tabs>
          <w:tab w:val="clear" w:pos="562"/>
        </w:tabs>
        <w:rPr>
          <w:del w:id="4563" w:author="AbbVie19" w:date="2025-04-16T10:42:00Z"/>
          <w:u w:val="single"/>
        </w:rPr>
      </w:pPr>
      <w:del w:id="4564" w:author="AbbVie19" w:date="2025-04-16T10:42:00Z">
        <w:r w:rsidRPr="006A589F">
          <w:rPr>
            <w:u w:val="single"/>
          </w:rPr>
          <w:delText>Excipients</w:delText>
        </w:r>
        <w:r w:rsidR="009043B2">
          <w:rPr>
            <w:u w:val="single"/>
          </w:rPr>
          <w:delText xml:space="preserve"> with known effects</w:delText>
        </w:r>
      </w:del>
    </w:p>
    <w:p w14:paraId="2385A584" w14:textId="77777777" w:rsidR="006A589F" w:rsidRDefault="006A589F" w:rsidP="00762FA7">
      <w:pPr>
        <w:autoSpaceDE w:val="0"/>
        <w:autoSpaceDN w:val="0"/>
        <w:adjustRightInd w:val="0"/>
        <w:rPr>
          <w:del w:id="4565" w:author="AbbVie19" w:date="2025-04-16T10:42:00Z"/>
          <w:szCs w:val="22"/>
        </w:rPr>
      </w:pPr>
    </w:p>
    <w:p w14:paraId="592B800F" w14:textId="77777777" w:rsidR="006A589F" w:rsidRDefault="00944B8F" w:rsidP="00762FA7">
      <w:pPr>
        <w:autoSpaceDE w:val="0"/>
        <w:autoSpaceDN w:val="0"/>
        <w:adjustRightInd w:val="0"/>
        <w:rPr>
          <w:del w:id="4566" w:author="AbbVie19" w:date="2025-04-16T10:42:00Z"/>
          <w:szCs w:val="22"/>
        </w:rPr>
      </w:pPr>
      <w:del w:id="4567" w:author="AbbVie19" w:date="2025-04-16T10:42:00Z">
        <w:r w:rsidRPr="004D066E">
          <w:rPr>
            <w:szCs w:val="22"/>
          </w:rPr>
          <w:delText>This medicinal product contains less than 1</w:delText>
        </w:r>
        <w:r w:rsidR="003E2F23">
          <w:rPr>
            <w:szCs w:val="22"/>
          </w:rPr>
          <w:delText> </w:delText>
        </w:r>
        <w:r w:rsidRPr="004D066E">
          <w:rPr>
            <w:szCs w:val="22"/>
          </w:rPr>
          <w:delText>mmol of sodium (23</w:delText>
        </w:r>
        <w:r w:rsidR="003E2F23">
          <w:rPr>
            <w:szCs w:val="22"/>
          </w:rPr>
          <w:delText> </w:delText>
        </w:r>
        <w:r w:rsidRPr="004D066E">
          <w:rPr>
            <w:szCs w:val="22"/>
          </w:rPr>
          <w:delText>mg) per 0.8</w:delText>
        </w:r>
        <w:r w:rsidR="003E2F23">
          <w:rPr>
            <w:szCs w:val="22"/>
          </w:rPr>
          <w:delText> </w:delText>
        </w:r>
        <w:r w:rsidRPr="004D066E">
          <w:rPr>
            <w:szCs w:val="22"/>
          </w:rPr>
          <w:delText>ml dose, i.e. essentially ‘sodium-free’</w:delText>
        </w:r>
        <w:r w:rsidRPr="002A3533">
          <w:rPr>
            <w:szCs w:val="22"/>
          </w:rPr>
          <w:delText>.</w:delText>
        </w:r>
      </w:del>
    </w:p>
    <w:p w14:paraId="74DCA7BF" w14:textId="77777777" w:rsidR="00BC0E7E" w:rsidRPr="00BC0E7E" w:rsidRDefault="00BC0E7E" w:rsidP="00762FA7">
      <w:pPr>
        <w:tabs>
          <w:tab w:val="clear" w:pos="562"/>
        </w:tabs>
        <w:rPr>
          <w:del w:id="4568" w:author="AbbVie19" w:date="2025-04-16T10:42:00Z"/>
        </w:rPr>
      </w:pPr>
    </w:p>
    <w:p w14:paraId="501C4498" w14:textId="77777777" w:rsidR="00BC0E7E" w:rsidRPr="00BC0E7E" w:rsidRDefault="00944B8F" w:rsidP="00762FA7">
      <w:pPr>
        <w:keepNext/>
        <w:suppressAutoHyphens w:val="0"/>
        <w:outlineLvl w:val="1"/>
        <w:rPr>
          <w:del w:id="4569" w:author="AbbVie19" w:date="2025-04-16T10:42:00Z"/>
          <w:b/>
          <w:szCs w:val="20"/>
        </w:rPr>
      </w:pPr>
      <w:del w:id="4570" w:author="AbbVie19" w:date="2025-04-16T10:42:00Z">
        <w:r w:rsidRPr="00BC0E7E">
          <w:rPr>
            <w:b/>
            <w:szCs w:val="20"/>
          </w:rPr>
          <w:delText>4.5</w:delText>
        </w:r>
        <w:r w:rsidRPr="00BC0E7E">
          <w:rPr>
            <w:b/>
            <w:szCs w:val="20"/>
          </w:rPr>
          <w:tab/>
          <w:delText xml:space="preserve">Interaction with other medicinal products and other forms of interaction </w:delText>
        </w:r>
      </w:del>
    </w:p>
    <w:p w14:paraId="67805EF2" w14:textId="77777777" w:rsidR="00BC0E7E" w:rsidRPr="00BC0E7E" w:rsidRDefault="00BC0E7E" w:rsidP="00762FA7">
      <w:pPr>
        <w:keepNext/>
        <w:rPr>
          <w:del w:id="4571" w:author="AbbVie19" w:date="2025-04-16T10:42:00Z"/>
          <w:szCs w:val="20"/>
        </w:rPr>
      </w:pPr>
    </w:p>
    <w:p w14:paraId="42C7610D" w14:textId="77777777" w:rsidR="00BC0E7E" w:rsidRPr="00BC0E7E" w:rsidRDefault="00944B8F" w:rsidP="00762FA7">
      <w:pPr>
        <w:keepNext/>
        <w:autoSpaceDE w:val="0"/>
        <w:autoSpaceDN w:val="0"/>
        <w:adjustRightInd w:val="0"/>
        <w:rPr>
          <w:del w:id="4572" w:author="AbbVie19" w:date="2025-04-16T10:42:00Z"/>
        </w:rPr>
      </w:pPr>
      <w:del w:id="4573" w:author="AbbVie19" w:date="2025-04-16T10:42:00Z">
        <w:r w:rsidRPr="00BC0E7E">
          <w:delText xml:space="preserve">Humira has been studied in rheumatoid arthritis, polyarticular juvenile idiopathic arthritis and psoriatic arthritis patients taking Humira as monotherapy and those taking concomitant methotrexate.  Antibody formation was lower when Humira was given together with methotrexate in comparison with use as monotherapy. Administration of Humira without methotrexate resulted in increased formation of antibodies, increased clearance and reduced efficacy of adalimumab (see section 5.1). </w:delText>
        </w:r>
      </w:del>
    </w:p>
    <w:p w14:paraId="75E30237" w14:textId="77777777" w:rsidR="00BC0E7E" w:rsidRPr="00BC0E7E" w:rsidRDefault="00BC0E7E" w:rsidP="00762FA7">
      <w:pPr>
        <w:autoSpaceDE w:val="0"/>
        <w:autoSpaceDN w:val="0"/>
        <w:adjustRightInd w:val="0"/>
        <w:rPr>
          <w:del w:id="4574" w:author="AbbVie19" w:date="2025-04-16T10:42:00Z"/>
        </w:rPr>
      </w:pPr>
    </w:p>
    <w:p w14:paraId="20D8F7A9" w14:textId="77777777" w:rsidR="00BC0E7E" w:rsidRPr="00BC0E7E" w:rsidRDefault="00944B8F" w:rsidP="00762FA7">
      <w:pPr>
        <w:autoSpaceDE w:val="0"/>
        <w:autoSpaceDN w:val="0"/>
        <w:adjustRightInd w:val="0"/>
        <w:rPr>
          <w:del w:id="4575" w:author="AbbVie19" w:date="2025-04-16T10:42:00Z"/>
        </w:rPr>
      </w:pPr>
      <w:del w:id="4576" w:author="AbbVie19" w:date="2025-04-16T10:42:00Z">
        <w:r w:rsidRPr="00BC0E7E">
          <w:lastRenderedPageBreak/>
          <w:delText xml:space="preserve">The combination of Humira and anakinra is not recommended (see section 4.4 “Concurrent administration of biologic DMARDS or TNF-antagonists”). </w:delText>
        </w:r>
      </w:del>
    </w:p>
    <w:p w14:paraId="3EA1D5A7" w14:textId="77777777" w:rsidR="00BC0E7E" w:rsidRPr="00BC0E7E" w:rsidRDefault="00BC0E7E" w:rsidP="00762FA7">
      <w:pPr>
        <w:autoSpaceDE w:val="0"/>
        <w:autoSpaceDN w:val="0"/>
        <w:adjustRightInd w:val="0"/>
        <w:rPr>
          <w:del w:id="4577" w:author="AbbVie19" w:date="2025-04-16T10:42:00Z"/>
        </w:rPr>
      </w:pPr>
    </w:p>
    <w:p w14:paraId="618E378A" w14:textId="77777777" w:rsidR="00BC0E7E" w:rsidRPr="00BC0E7E" w:rsidRDefault="00944B8F" w:rsidP="00762FA7">
      <w:pPr>
        <w:autoSpaceDE w:val="0"/>
        <w:autoSpaceDN w:val="0"/>
        <w:adjustRightInd w:val="0"/>
        <w:rPr>
          <w:del w:id="4578" w:author="AbbVie19" w:date="2025-04-16T10:42:00Z"/>
        </w:rPr>
      </w:pPr>
      <w:del w:id="4579" w:author="AbbVie19" w:date="2025-04-16T10:42:00Z">
        <w:r w:rsidRPr="00BC0E7E">
          <w:delText>The combination of Humira and abatacept is not recommended (see section 4.4 “Concurrent administration of biologic DMARDS or TNF-antagonists”).</w:delText>
        </w:r>
      </w:del>
    </w:p>
    <w:p w14:paraId="27F59B1A" w14:textId="77777777" w:rsidR="00BC0E7E" w:rsidRPr="00BC0E7E" w:rsidRDefault="00BC0E7E" w:rsidP="00762FA7">
      <w:pPr>
        <w:autoSpaceDE w:val="0"/>
        <w:autoSpaceDN w:val="0"/>
        <w:adjustRightInd w:val="0"/>
        <w:rPr>
          <w:del w:id="4580" w:author="AbbVie19" w:date="2025-04-16T10:42:00Z"/>
        </w:rPr>
      </w:pPr>
    </w:p>
    <w:p w14:paraId="144BF27D" w14:textId="77777777" w:rsidR="00BC0E7E" w:rsidRPr="00816607" w:rsidRDefault="00944B8F" w:rsidP="00762FA7">
      <w:pPr>
        <w:keepNext/>
        <w:autoSpaceDE w:val="0"/>
        <w:autoSpaceDN w:val="0"/>
        <w:adjustRightInd w:val="0"/>
        <w:rPr>
          <w:del w:id="4581" w:author="AbbVie19" w:date="2025-04-16T10:42:00Z"/>
          <w:bCs/>
        </w:rPr>
      </w:pPr>
      <w:del w:id="4582" w:author="AbbVie19" w:date="2025-04-16T10:42:00Z">
        <w:r w:rsidRPr="00BC0E7E">
          <w:rPr>
            <w:b/>
            <w:bCs/>
          </w:rPr>
          <w:delText>4.6</w:delText>
        </w:r>
        <w:r w:rsidRPr="00BC0E7E">
          <w:rPr>
            <w:b/>
            <w:bCs/>
          </w:rPr>
          <w:tab/>
          <w:delText>Fer</w:delText>
        </w:r>
        <w:r w:rsidR="00816607">
          <w:rPr>
            <w:b/>
            <w:bCs/>
          </w:rPr>
          <w:delText>tility, pregnancy and lactation</w:delText>
        </w:r>
      </w:del>
    </w:p>
    <w:p w14:paraId="40A2682C" w14:textId="77777777" w:rsidR="00BC0E7E" w:rsidRPr="00BC0E7E" w:rsidRDefault="00BC0E7E" w:rsidP="00762FA7">
      <w:pPr>
        <w:keepNext/>
        <w:autoSpaceDE w:val="0"/>
        <w:autoSpaceDN w:val="0"/>
        <w:adjustRightInd w:val="0"/>
        <w:rPr>
          <w:del w:id="4583" w:author="AbbVie19" w:date="2025-04-16T10:42:00Z"/>
        </w:rPr>
      </w:pPr>
    </w:p>
    <w:p w14:paraId="318333C1" w14:textId="77777777" w:rsidR="00BC0E7E" w:rsidRPr="00BC0E7E" w:rsidRDefault="00944B8F" w:rsidP="00762FA7">
      <w:pPr>
        <w:keepNext/>
        <w:autoSpaceDE w:val="0"/>
        <w:autoSpaceDN w:val="0"/>
        <w:adjustRightInd w:val="0"/>
        <w:rPr>
          <w:del w:id="4584" w:author="AbbVie19" w:date="2025-04-16T10:42:00Z"/>
          <w:u w:val="single"/>
        </w:rPr>
      </w:pPr>
      <w:del w:id="4585" w:author="AbbVie19" w:date="2025-04-16T10:42:00Z">
        <w:r w:rsidRPr="00BC0E7E">
          <w:rPr>
            <w:u w:val="single"/>
          </w:rPr>
          <w:delText>Women of childbearing potential</w:delText>
        </w:r>
      </w:del>
    </w:p>
    <w:p w14:paraId="11654FCE" w14:textId="77777777" w:rsidR="00BC0E7E" w:rsidRPr="00BC0E7E" w:rsidRDefault="00BC0E7E" w:rsidP="00762FA7">
      <w:pPr>
        <w:keepNext/>
        <w:rPr>
          <w:del w:id="4586" w:author="AbbVie19" w:date="2025-04-16T10:42:00Z"/>
        </w:rPr>
      </w:pPr>
    </w:p>
    <w:p w14:paraId="76B33965" w14:textId="77777777" w:rsidR="00BC0E7E" w:rsidRPr="00BC0E7E" w:rsidRDefault="00944B8F" w:rsidP="00762FA7">
      <w:pPr>
        <w:keepNext/>
        <w:rPr>
          <w:del w:id="4587" w:author="AbbVie19" w:date="2025-04-16T10:42:00Z"/>
        </w:rPr>
      </w:pPr>
      <w:del w:id="4588" w:author="AbbVie19" w:date="2025-04-16T10:42:00Z">
        <w:r w:rsidRPr="00BC0E7E">
          <w:delText xml:space="preserve">Women of childbearing potential </w:delText>
        </w:r>
        <w:r w:rsidR="007F7575">
          <w:delText>should consider the</w:delText>
        </w:r>
        <w:r w:rsidRPr="00BC0E7E">
          <w:delText xml:space="preserve"> use </w:delText>
        </w:r>
        <w:r w:rsidR="007F7575">
          <w:delText xml:space="preserve">of </w:delText>
        </w:r>
        <w:r w:rsidRPr="00BC0E7E">
          <w:delText>adequate contraception to prevent pregnancy and continue its use for at least five months after the last Humira treatment.</w:delText>
        </w:r>
      </w:del>
    </w:p>
    <w:p w14:paraId="54ADD44C" w14:textId="77777777" w:rsidR="00BC0E7E" w:rsidRPr="00BC0E7E" w:rsidRDefault="00BC0E7E" w:rsidP="00762FA7">
      <w:pPr>
        <w:autoSpaceDE w:val="0"/>
        <w:autoSpaceDN w:val="0"/>
        <w:adjustRightInd w:val="0"/>
        <w:rPr>
          <w:del w:id="4589" w:author="AbbVie19" w:date="2025-04-16T10:42:00Z"/>
          <w:bCs/>
          <w:u w:val="single"/>
        </w:rPr>
      </w:pPr>
    </w:p>
    <w:p w14:paraId="2BB64426" w14:textId="77777777" w:rsidR="00BC0E7E" w:rsidRPr="00BC0E7E" w:rsidRDefault="00944B8F" w:rsidP="00762FA7">
      <w:pPr>
        <w:autoSpaceDE w:val="0"/>
        <w:autoSpaceDN w:val="0"/>
        <w:adjustRightInd w:val="0"/>
        <w:rPr>
          <w:del w:id="4590" w:author="AbbVie19" w:date="2025-04-16T10:42:00Z"/>
          <w:bCs/>
          <w:u w:val="single"/>
        </w:rPr>
      </w:pPr>
      <w:del w:id="4591" w:author="AbbVie19" w:date="2025-04-16T10:42:00Z">
        <w:r w:rsidRPr="00BC0E7E">
          <w:rPr>
            <w:bCs/>
            <w:u w:val="single"/>
          </w:rPr>
          <w:delText>Pregnancy</w:delText>
        </w:r>
      </w:del>
    </w:p>
    <w:p w14:paraId="0A6125CC" w14:textId="77777777" w:rsidR="00BC0E7E" w:rsidRPr="00BC0E7E" w:rsidRDefault="00BC0E7E" w:rsidP="00762FA7">
      <w:pPr>
        <w:autoSpaceDE w:val="0"/>
        <w:autoSpaceDN w:val="0"/>
        <w:adjustRightInd w:val="0"/>
        <w:rPr>
          <w:del w:id="4592" w:author="AbbVie19" w:date="2025-04-16T10:42:00Z"/>
          <w:bCs/>
        </w:rPr>
      </w:pPr>
    </w:p>
    <w:p w14:paraId="4BF3BB3B" w14:textId="77777777" w:rsidR="00BC0E7E" w:rsidRDefault="00944B8F" w:rsidP="00762FA7">
      <w:pPr>
        <w:autoSpaceDE w:val="0"/>
        <w:autoSpaceDN w:val="0"/>
        <w:adjustRightInd w:val="0"/>
        <w:rPr>
          <w:del w:id="4593" w:author="AbbVie19" w:date="2025-04-16T10:42:00Z"/>
        </w:rPr>
      </w:pPr>
      <w:del w:id="4594" w:author="AbbVie19" w:date="2025-04-16T10:42:00Z">
        <w:r w:rsidRPr="00946ECA">
          <w:rPr>
            <w:bCs/>
          </w:rPr>
          <w:delText>A large number (approximately 2100) of prospectively collected pregnancies exposed to adalimumab resulting in live birth with known outcomes, including more than 1500 exposed during the first trimester, does not indicate an increase in the rate of malformation in the newborn.</w:delText>
        </w:r>
      </w:del>
    </w:p>
    <w:p w14:paraId="6062A225" w14:textId="77777777" w:rsidR="007F7575" w:rsidRDefault="007F7575" w:rsidP="00762FA7">
      <w:pPr>
        <w:autoSpaceDE w:val="0"/>
        <w:autoSpaceDN w:val="0"/>
        <w:adjustRightInd w:val="0"/>
        <w:rPr>
          <w:del w:id="4595" w:author="AbbVie19" w:date="2025-04-16T10:42:00Z"/>
        </w:rPr>
      </w:pPr>
    </w:p>
    <w:p w14:paraId="42F34BDE" w14:textId="77777777" w:rsidR="007F7575" w:rsidRPr="00946ECA" w:rsidRDefault="00944B8F" w:rsidP="00762FA7">
      <w:pPr>
        <w:pStyle w:val="Paragraph"/>
        <w:spacing w:after="0" w:line="240" w:lineRule="auto"/>
        <w:rPr>
          <w:del w:id="4596" w:author="AbbVie19" w:date="2025-04-16T10:42:00Z"/>
          <w:rFonts w:eastAsia="TimesNewRoman"/>
          <w:szCs w:val="22"/>
        </w:rPr>
      </w:pPr>
      <w:del w:id="4597" w:author="AbbVie19" w:date="2025-04-16T10:42:00Z">
        <w:r w:rsidRPr="00946ECA">
          <w:rPr>
            <w:rFonts w:eastAsia="TimesNewRoman"/>
            <w:color w:val="000000"/>
            <w:szCs w:val="22"/>
          </w:rPr>
          <w:delText xml:space="preserve">In a prospective cohort registry, 257 women with rheumatoid arthritis (RA) or Crohn’s disease (CD) treated with adalimumab at least during the first trimester and 120 women with RA or CD not treated with adalimumab were enrolled.  The primary endpoint was the birth prevalence of major birth defects. The rate of </w:delText>
        </w:r>
        <w:r w:rsidRPr="00946ECA">
          <w:rPr>
            <w:rFonts w:eastAsia="TimesNewRoman"/>
            <w:szCs w:val="22"/>
          </w:rPr>
          <w:delText xml:space="preserve">pregnancies ending with at least one live born infant with a major birth defect was 6/69 (8.7%) </w:delText>
        </w:r>
        <w:r w:rsidRPr="00946ECA">
          <w:rPr>
            <w:szCs w:val="22"/>
          </w:rPr>
          <w:delText>in the adalimumab-treated women with RA and 5/74 (6.8%) in the untreated women with RA (unadjusted OR 1.31, 95% CI 0.38-4.52) and 16/152 (10.5%) in the adalimumab-treated women with CD and 3/32 (9.4%) in the untreated women with CD (unadjusted OR 1.14, 95% CI 0.31-4.16). The adjusted OR (accounting for baseline differences) was 1.10 (95% CI 0.45-2.73) with RA and CD combined</w:delText>
        </w:r>
        <w:r w:rsidRPr="00946ECA">
          <w:rPr>
            <w:rFonts w:eastAsia="TimesNewRoman"/>
            <w:szCs w:val="22"/>
          </w:rPr>
          <w:delText xml:space="preserve">. There were no distinct differences between </w:delText>
        </w:r>
        <w:r w:rsidRPr="00946ECA">
          <w:rPr>
            <w:szCs w:val="22"/>
          </w:rPr>
          <w:delText xml:space="preserve">adalimumab-treated and untreated women </w:delText>
        </w:r>
        <w:r w:rsidRPr="00946ECA">
          <w:rPr>
            <w:rFonts w:eastAsia="TimesNewRoman"/>
            <w:szCs w:val="22"/>
          </w:rPr>
          <w:delText xml:space="preserve">for the secondary </w:delText>
        </w:r>
        <w:r w:rsidRPr="00946ECA">
          <w:rPr>
            <w:rFonts w:eastAsia="TimesNewRoman"/>
            <w:color w:val="000000"/>
            <w:szCs w:val="22"/>
          </w:rPr>
          <w:delText xml:space="preserve">endpoints spontaneous abortions, minor birth defects, preterm </w:delText>
        </w:r>
        <w:r w:rsidRPr="00946ECA">
          <w:rPr>
            <w:rFonts w:eastAsia="TimesNewRoman"/>
            <w:szCs w:val="22"/>
          </w:rPr>
          <w:delText xml:space="preserve">delivery, birth size and serious or opportunistic infections </w:delText>
        </w:r>
        <w:r w:rsidRPr="00946ECA">
          <w:rPr>
            <w:szCs w:val="22"/>
          </w:rPr>
          <w:delText xml:space="preserve">and no stillbirths or malignancies were reported. </w:delText>
        </w:r>
        <w:r w:rsidRPr="00946ECA">
          <w:rPr>
            <w:rFonts w:eastAsia="TimesNewRoman"/>
            <w:szCs w:val="22"/>
          </w:rPr>
          <w:delText xml:space="preserve">The interpretation of data </w:delText>
        </w:r>
        <w:r w:rsidRPr="00946ECA">
          <w:rPr>
            <w:szCs w:val="22"/>
          </w:rPr>
          <w:delText>may be impacted due to methodological limitations of the study, including small sample size and non-randomized design.</w:delText>
        </w:r>
      </w:del>
    </w:p>
    <w:p w14:paraId="0AB2691B" w14:textId="77777777" w:rsidR="00BC0E7E" w:rsidRPr="00BC0E7E" w:rsidRDefault="00BC0E7E" w:rsidP="00762FA7">
      <w:pPr>
        <w:autoSpaceDE w:val="0"/>
        <w:autoSpaceDN w:val="0"/>
        <w:adjustRightInd w:val="0"/>
        <w:rPr>
          <w:del w:id="4598" w:author="AbbVie19" w:date="2025-04-16T10:42:00Z"/>
        </w:rPr>
      </w:pPr>
    </w:p>
    <w:p w14:paraId="7976E209" w14:textId="77777777" w:rsidR="00BC0E7E" w:rsidRPr="00BC0E7E" w:rsidRDefault="00944B8F" w:rsidP="00762FA7">
      <w:pPr>
        <w:autoSpaceDE w:val="0"/>
        <w:autoSpaceDN w:val="0"/>
        <w:adjustRightInd w:val="0"/>
        <w:rPr>
          <w:del w:id="4599" w:author="AbbVie19" w:date="2025-04-16T10:42:00Z"/>
        </w:rPr>
      </w:pPr>
      <w:del w:id="4600" w:author="AbbVie19" w:date="2025-04-16T10:42:00Z">
        <w:r w:rsidRPr="00BC0E7E">
          <w:delText>In a developmental toxicity study conducted in monkeys, there was no indication of maternal toxicity, embryotoxicity or teratogenicity. Preclinical data on postnatal toxicity of adalimumab are not available (see section 5.3).</w:delText>
        </w:r>
      </w:del>
    </w:p>
    <w:p w14:paraId="60CA5A12" w14:textId="77777777" w:rsidR="00BC0E7E" w:rsidRPr="00BC0E7E" w:rsidRDefault="00BC0E7E" w:rsidP="00762FA7">
      <w:pPr>
        <w:autoSpaceDE w:val="0"/>
        <w:autoSpaceDN w:val="0"/>
        <w:adjustRightInd w:val="0"/>
        <w:rPr>
          <w:del w:id="4601" w:author="AbbVie19" w:date="2025-04-16T10:42:00Z"/>
        </w:rPr>
      </w:pPr>
    </w:p>
    <w:p w14:paraId="4DEE4678" w14:textId="77777777" w:rsidR="00BC0E7E" w:rsidRPr="00BC0E7E" w:rsidRDefault="00944B8F" w:rsidP="00762FA7">
      <w:pPr>
        <w:autoSpaceDE w:val="0"/>
        <w:autoSpaceDN w:val="0"/>
        <w:adjustRightInd w:val="0"/>
        <w:rPr>
          <w:del w:id="4602" w:author="AbbVie19" w:date="2025-04-16T10:42:00Z"/>
        </w:rPr>
      </w:pPr>
      <w:del w:id="4603" w:author="AbbVie19" w:date="2025-04-16T10:42:00Z">
        <w:r w:rsidRPr="00BC0E7E">
          <w:delText>Due to its inhibition of TNF</w:delText>
        </w:r>
        <w:r w:rsidRPr="00BC0E7E">
          <w:rPr>
            <w:rFonts w:ascii="Symbol" w:eastAsia="Symbol" w:hAnsi="Symbol" w:cs="Symbol"/>
            <w:szCs w:val="22"/>
          </w:rPr>
          <w:sym w:font="Symbol" w:char="F061"/>
        </w:r>
        <w:r w:rsidRPr="00BC0E7E">
          <w:delText>, adalimumab administered during pregnancy could affect normal immune responses in the newborn.</w:delText>
        </w:r>
        <w:r w:rsidR="007F7575" w:rsidRPr="007F7575">
          <w:rPr>
            <w:bCs/>
            <w:iCs/>
            <w:szCs w:val="22"/>
          </w:rPr>
          <w:delText xml:space="preserve"> </w:delText>
        </w:r>
        <w:r w:rsidR="007F7575" w:rsidRPr="00B2265A">
          <w:rPr>
            <w:bCs/>
            <w:iCs/>
            <w:szCs w:val="22"/>
          </w:rPr>
          <w:delText>Adalimumab should only be used during pregnancy if clearly needed.</w:delText>
        </w:r>
        <w:r w:rsidRPr="00BC0E7E">
          <w:delText xml:space="preserve">  </w:delText>
        </w:r>
      </w:del>
    </w:p>
    <w:p w14:paraId="491252F1" w14:textId="77777777" w:rsidR="00BC0E7E" w:rsidRPr="00BC0E7E" w:rsidRDefault="00BC0E7E" w:rsidP="00762FA7">
      <w:pPr>
        <w:rPr>
          <w:del w:id="4604" w:author="AbbVie19" w:date="2025-04-16T10:42:00Z"/>
        </w:rPr>
      </w:pPr>
    </w:p>
    <w:p w14:paraId="5F04D039" w14:textId="77777777" w:rsidR="00BC0E7E" w:rsidRPr="00BC0E7E" w:rsidRDefault="00944B8F" w:rsidP="00762FA7">
      <w:pPr>
        <w:autoSpaceDE w:val="0"/>
        <w:autoSpaceDN w:val="0"/>
        <w:adjustRightInd w:val="0"/>
        <w:rPr>
          <w:del w:id="4605" w:author="AbbVie19" w:date="2025-04-16T10:42:00Z"/>
        </w:rPr>
      </w:pPr>
      <w:del w:id="4606" w:author="AbbVie19" w:date="2025-04-16T10:42:00Z">
        <w:r w:rsidRPr="00BC0E7E">
          <w:rPr>
            <w:bCs/>
          </w:rPr>
          <w:delText>A</w:delText>
        </w:r>
        <w:r w:rsidRPr="00BC0E7E">
          <w:rPr>
            <w:szCs w:val="22"/>
            <w:lang w:eastAsia="en-GB"/>
          </w:rPr>
          <w:delText xml:space="preserve">dalimumab may cross the placenta into the serum of infants born to women treated with adalimumab during pregnancy. Consequently, these infants may be at increased risk for infection. Administration of live vaccines </w:delText>
        </w:r>
        <w:r w:rsidR="007F7575" w:rsidRPr="00B2265A">
          <w:rPr>
            <w:szCs w:val="22"/>
          </w:rPr>
          <w:delText>(e.g., BCG vaccine)</w:delText>
        </w:r>
        <w:r w:rsidR="007F7575">
          <w:rPr>
            <w:szCs w:val="22"/>
          </w:rPr>
          <w:delText xml:space="preserve"> </w:delText>
        </w:r>
        <w:r w:rsidRPr="00BC0E7E">
          <w:rPr>
            <w:szCs w:val="22"/>
            <w:lang w:eastAsia="en-GB"/>
          </w:rPr>
          <w:delText>to infants exposed to adalimumab in utero is not recommended for 5</w:delText>
        </w:r>
        <w:r w:rsidRPr="00BC0E7E">
          <w:delText> </w:delText>
        </w:r>
        <w:r w:rsidRPr="00BC0E7E">
          <w:rPr>
            <w:szCs w:val="22"/>
            <w:lang w:eastAsia="en-GB"/>
          </w:rPr>
          <w:delText>months following the mother’s last adalimumab injection during pregnancy.</w:delText>
        </w:r>
      </w:del>
    </w:p>
    <w:p w14:paraId="56B51164" w14:textId="77777777" w:rsidR="00BC0E7E" w:rsidRPr="00BC0E7E" w:rsidRDefault="00BC0E7E" w:rsidP="00762FA7">
      <w:pPr>
        <w:autoSpaceDE w:val="0"/>
        <w:autoSpaceDN w:val="0"/>
        <w:adjustRightInd w:val="0"/>
        <w:rPr>
          <w:del w:id="4607" w:author="AbbVie19" w:date="2025-04-16T10:42:00Z"/>
        </w:rPr>
      </w:pPr>
    </w:p>
    <w:p w14:paraId="7B691EBD" w14:textId="77777777" w:rsidR="00BC0E7E" w:rsidRPr="00BC0E7E" w:rsidRDefault="00944B8F" w:rsidP="00762FA7">
      <w:pPr>
        <w:keepNext/>
        <w:rPr>
          <w:del w:id="4608" w:author="AbbVie19" w:date="2025-04-16T10:42:00Z"/>
          <w:u w:val="single"/>
        </w:rPr>
      </w:pPr>
      <w:del w:id="4609" w:author="AbbVie19" w:date="2025-04-16T10:42:00Z">
        <w:r w:rsidRPr="00BC0E7E">
          <w:rPr>
            <w:u w:val="single"/>
          </w:rPr>
          <w:delText>Breast</w:delText>
        </w:r>
        <w:r w:rsidR="00367800">
          <w:rPr>
            <w:u w:val="single"/>
          </w:rPr>
          <w:delText>-</w:delText>
        </w:r>
        <w:r w:rsidRPr="00BC0E7E">
          <w:rPr>
            <w:u w:val="single"/>
          </w:rPr>
          <w:delText>feeding</w:delText>
        </w:r>
      </w:del>
    </w:p>
    <w:p w14:paraId="0ACD2AB4" w14:textId="77777777" w:rsidR="00BC0E7E" w:rsidRPr="00BC0E7E" w:rsidRDefault="00BC0E7E" w:rsidP="00762FA7">
      <w:pPr>
        <w:keepNext/>
        <w:rPr>
          <w:del w:id="4610" w:author="AbbVie19" w:date="2025-04-16T10:42:00Z"/>
        </w:rPr>
      </w:pPr>
    </w:p>
    <w:p w14:paraId="7BEC008C" w14:textId="77777777" w:rsidR="00BC0E7E" w:rsidRPr="00B2715B" w:rsidRDefault="00944B8F" w:rsidP="00762FA7">
      <w:pPr>
        <w:rPr>
          <w:del w:id="4611" w:author="AbbVie19" w:date="2025-04-16T10:42:00Z"/>
        </w:rPr>
      </w:pPr>
      <w:del w:id="4612" w:author="AbbVie19" w:date="2025-04-16T10:42:00Z">
        <w:r w:rsidRPr="00946ECA">
          <w:rPr>
            <w:szCs w:val="22"/>
          </w:rPr>
          <w:delText xml:space="preserve">Limited information from the published literature indicates that adalimumab is excreted in breast milk at very low concentrations with the presence of adalimumab in human milk at concentrations of 0.1% to 1% of the maternal serum level. Given orally, immunoglobulin G proteins undergo intestinal proteolysis and </w:delText>
        </w:r>
        <w:r w:rsidRPr="00946ECA">
          <w:rPr>
            <w:szCs w:val="22"/>
          </w:rPr>
          <w:lastRenderedPageBreak/>
          <w:delText>have poor bioavailability. No effects on the breastfed newborns/infants are anticipated. Consequently, Humira can be used during breastfeeding.</w:delText>
        </w:r>
      </w:del>
    </w:p>
    <w:p w14:paraId="27DDEDCD" w14:textId="77777777" w:rsidR="00BC0E7E" w:rsidRPr="00BC0E7E" w:rsidRDefault="00BC0E7E" w:rsidP="00762FA7">
      <w:pPr>
        <w:rPr>
          <w:del w:id="4613" w:author="AbbVie19" w:date="2025-04-16T10:42:00Z"/>
        </w:rPr>
      </w:pPr>
    </w:p>
    <w:p w14:paraId="07F89D87" w14:textId="77777777" w:rsidR="00BC0E7E" w:rsidRPr="00BC0E7E" w:rsidRDefault="00944B8F" w:rsidP="00762FA7">
      <w:pPr>
        <w:rPr>
          <w:del w:id="4614" w:author="AbbVie19" w:date="2025-04-16T10:42:00Z"/>
          <w:u w:val="single"/>
        </w:rPr>
      </w:pPr>
      <w:del w:id="4615" w:author="AbbVie19" w:date="2025-04-16T10:42:00Z">
        <w:r w:rsidRPr="00BC0E7E">
          <w:rPr>
            <w:u w:val="single"/>
          </w:rPr>
          <w:delText>Fertility</w:delText>
        </w:r>
      </w:del>
    </w:p>
    <w:p w14:paraId="67C00587" w14:textId="77777777" w:rsidR="00BC0E7E" w:rsidRPr="00BC0E7E" w:rsidRDefault="00BC0E7E" w:rsidP="00762FA7">
      <w:pPr>
        <w:rPr>
          <w:del w:id="4616" w:author="AbbVie19" w:date="2025-04-16T10:42:00Z"/>
          <w:u w:val="single"/>
        </w:rPr>
      </w:pPr>
    </w:p>
    <w:p w14:paraId="4CA102CE" w14:textId="77777777" w:rsidR="00BC0E7E" w:rsidRPr="00BC0E7E" w:rsidRDefault="00944B8F" w:rsidP="00762FA7">
      <w:pPr>
        <w:rPr>
          <w:del w:id="4617" w:author="AbbVie19" w:date="2025-04-16T10:42:00Z"/>
        </w:rPr>
      </w:pPr>
      <w:del w:id="4618" w:author="AbbVie19" w:date="2025-04-16T10:42:00Z">
        <w:r w:rsidRPr="00BC0E7E">
          <w:delText>Preclinical data on fertility effects of adalimumab are not available.</w:delText>
        </w:r>
      </w:del>
    </w:p>
    <w:p w14:paraId="57F56EDA" w14:textId="77777777" w:rsidR="00BC0E7E" w:rsidRPr="00BC0E7E" w:rsidRDefault="00BC0E7E" w:rsidP="00762FA7">
      <w:pPr>
        <w:rPr>
          <w:del w:id="4619" w:author="AbbVie19" w:date="2025-04-16T10:42:00Z"/>
        </w:rPr>
      </w:pPr>
    </w:p>
    <w:p w14:paraId="7DAA8F1D" w14:textId="77777777" w:rsidR="00BC0E7E" w:rsidRPr="00BC0E7E" w:rsidRDefault="00944B8F" w:rsidP="00762FA7">
      <w:pPr>
        <w:suppressAutoHyphens w:val="0"/>
        <w:outlineLvl w:val="1"/>
        <w:rPr>
          <w:del w:id="4620" w:author="AbbVie19" w:date="2025-04-16T10:42:00Z"/>
          <w:b/>
          <w:szCs w:val="20"/>
        </w:rPr>
      </w:pPr>
      <w:del w:id="4621" w:author="AbbVie19" w:date="2025-04-16T10:42:00Z">
        <w:r w:rsidRPr="00BC0E7E">
          <w:rPr>
            <w:b/>
            <w:szCs w:val="20"/>
          </w:rPr>
          <w:delText>4.7</w:delText>
        </w:r>
        <w:r w:rsidRPr="00BC0E7E">
          <w:rPr>
            <w:b/>
            <w:szCs w:val="20"/>
          </w:rPr>
          <w:tab/>
          <w:delText xml:space="preserve">Effects on ability to drive and use machines </w:delText>
        </w:r>
      </w:del>
    </w:p>
    <w:p w14:paraId="13413749" w14:textId="77777777" w:rsidR="00BC0E7E" w:rsidRPr="00BC0E7E" w:rsidRDefault="00BC0E7E" w:rsidP="00762FA7">
      <w:pPr>
        <w:rPr>
          <w:del w:id="4622" w:author="AbbVie19" w:date="2025-04-16T10:42:00Z"/>
          <w:szCs w:val="20"/>
        </w:rPr>
      </w:pPr>
    </w:p>
    <w:p w14:paraId="47F2A6CA" w14:textId="77777777" w:rsidR="00BC0E7E" w:rsidRPr="00BC0E7E" w:rsidRDefault="00944B8F" w:rsidP="00762FA7">
      <w:pPr>
        <w:tabs>
          <w:tab w:val="clear" w:pos="562"/>
        </w:tabs>
        <w:rPr>
          <w:del w:id="4623" w:author="AbbVie19" w:date="2025-04-16T10:42:00Z"/>
        </w:rPr>
      </w:pPr>
      <w:del w:id="4624" w:author="AbbVie19" w:date="2025-04-16T10:42:00Z">
        <w:r w:rsidRPr="00BC0E7E">
          <w:delText>Humira may have a minor influence on the ability to drive and use machines. Vertigo and visual impairment may occur following administration of Humira (see section 4.8).</w:delText>
        </w:r>
      </w:del>
    </w:p>
    <w:p w14:paraId="42F560DC" w14:textId="77777777" w:rsidR="00BC0E7E" w:rsidRPr="00BC0E7E" w:rsidRDefault="00BC0E7E" w:rsidP="00762FA7">
      <w:pPr>
        <w:tabs>
          <w:tab w:val="clear" w:pos="562"/>
        </w:tabs>
        <w:rPr>
          <w:del w:id="4625" w:author="AbbVie19" w:date="2025-04-16T10:42:00Z"/>
        </w:rPr>
      </w:pPr>
    </w:p>
    <w:p w14:paraId="5A91AAB7" w14:textId="77777777" w:rsidR="00BC0E7E" w:rsidRPr="00BC0E7E" w:rsidRDefault="00944B8F" w:rsidP="00762FA7">
      <w:pPr>
        <w:keepNext/>
        <w:suppressAutoHyphens w:val="0"/>
        <w:outlineLvl w:val="1"/>
        <w:rPr>
          <w:del w:id="4626" w:author="AbbVie19" w:date="2025-04-16T10:42:00Z"/>
          <w:b/>
          <w:szCs w:val="20"/>
        </w:rPr>
      </w:pPr>
      <w:del w:id="4627" w:author="AbbVie19" w:date="2025-04-16T10:42:00Z">
        <w:r w:rsidRPr="00BC0E7E">
          <w:rPr>
            <w:b/>
            <w:szCs w:val="20"/>
          </w:rPr>
          <w:delText>4.8</w:delText>
        </w:r>
        <w:r w:rsidRPr="00BC0E7E">
          <w:rPr>
            <w:b/>
            <w:szCs w:val="20"/>
          </w:rPr>
          <w:tab/>
          <w:delText>Undesirable effects</w:delText>
        </w:r>
      </w:del>
    </w:p>
    <w:p w14:paraId="214F23AC" w14:textId="77777777" w:rsidR="00BC0E7E" w:rsidRPr="00BC0E7E" w:rsidRDefault="00BC0E7E" w:rsidP="00762FA7">
      <w:pPr>
        <w:rPr>
          <w:del w:id="4628" w:author="AbbVie19" w:date="2025-04-16T10:42:00Z"/>
          <w:szCs w:val="20"/>
        </w:rPr>
      </w:pPr>
    </w:p>
    <w:p w14:paraId="74183441" w14:textId="77777777" w:rsidR="00BC0E7E" w:rsidRPr="00BC0E7E" w:rsidRDefault="00944B8F" w:rsidP="00762FA7">
      <w:pPr>
        <w:keepNext/>
        <w:autoSpaceDE w:val="0"/>
        <w:autoSpaceDN w:val="0"/>
        <w:adjustRightInd w:val="0"/>
        <w:rPr>
          <w:del w:id="4629" w:author="AbbVie19" w:date="2025-04-16T10:42:00Z"/>
        </w:rPr>
      </w:pPr>
      <w:del w:id="4630" w:author="AbbVie19" w:date="2025-04-16T10:42:00Z">
        <w:r w:rsidRPr="00BC0E7E">
          <w:rPr>
            <w:u w:val="single"/>
          </w:rPr>
          <w:delText>Summary of the safety profile</w:delText>
        </w:r>
        <w:r w:rsidRPr="00BC0E7E">
          <w:delText xml:space="preserve"> </w:delText>
        </w:r>
      </w:del>
    </w:p>
    <w:p w14:paraId="5F999959" w14:textId="77777777" w:rsidR="00BC0E7E" w:rsidRPr="00BC0E7E" w:rsidRDefault="00BC0E7E" w:rsidP="00762FA7">
      <w:pPr>
        <w:autoSpaceDE w:val="0"/>
        <w:autoSpaceDN w:val="0"/>
        <w:adjustRightInd w:val="0"/>
        <w:rPr>
          <w:del w:id="4631" w:author="AbbVie19" w:date="2025-04-16T10:42:00Z"/>
        </w:rPr>
      </w:pPr>
    </w:p>
    <w:p w14:paraId="229CCF5D" w14:textId="77777777" w:rsidR="00BC0E7E" w:rsidRPr="00BC0E7E" w:rsidRDefault="00944B8F" w:rsidP="00762FA7">
      <w:pPr>
        <w:autoSpaceDE w:val="0"/>
        <w:autoSpaceDN w:val="0"/>
        <w:adjustRightInd w:val="0"/>
        <w:rPr>
          <w:del w:id="4632" w:author="AbbVie19" w:date="2025-04-16T10:42:00Z"/>
        </w:rPr>
      </w:pPr>
      <w:del w:id="4633" w:author="AbbVie19" w:date="2025-04-16T10:42:00Z">
        <w:r w:rsidRPr="00BC0E7E">
          <w:delText>Humira was studied in 9,506 patients in pivotal controlled and open label trials for up to 60 months or more. These trials included rheumatoid arthritis patients with short term and long standing disease, juvenile idiopathic arthritis (polyarticular juvenile idiopathic arthritis and enthesitis-related arthritis) as well as axial spondyloarthritis (ankylosing spondylitis and axial spondyloarthritis without radiographic evidence of AS), psoriatic arthritis, Crohn’s disease, ulcerative colitis, psoriasis, hidradenitis suppurativa and uveitis patients. The pivotal controlled studies involved 6,089 patients receiving Humira and 3,801 patients receiving placebo or active comparator during the controlled period.</w:delText>
        </w:r>
      </w:del>
    </w:p>
    <w:p w14:paraId="74CBE911" w14:textId="77777777" w:rsidR="00BC0E7E" w:rsidRPr="00BC0E7E" w:rsidRDefault="00BC0E7E" w:rsidP="00762FA7">
      <w:pPr>
        <w:autoSpaceDE w:val="0"/>
        <w:autoSpaceDN w:val="0"/>
        <w:adjustRightInd w:val="0"/>
        <w:rPr>
          <w:del w:id="4634" w:author="AbbVie19" w:date="2025-04-16T10:42:00Z"/>
        </w:rPr>
      </w:pPr>
    </w:p>
    <w:p w14:paraId="4DB9198D" w14:textId="77777777" w:rsidR="00BC0E7E" w:rsidRPr="00BC0E7E" w:rsidRDefault="00944B8F" w:rsidP="00762FA7">
      <w:pPr>
        <w:autoSpaceDE w:val="0"/>
        <w:autoSpaceDN w:val="0"/>
        <w:adjustRightInd w:val="0"/>
        <w:rPr>
          <w:del w:id="4635" w:author="AbbVie19" w:date="2025-04-16T10:42:00Z"/>
        </w:rPr>
      </w:pPr>
      <w:del w:id="4636" w:author="AbbVie19" w:date="2025-04-16T10:42:00Z">
        <w:r w:rsidRPr="00BC0E7E">
          <w:delText>The proportion of patients who discontinued treatment due to adverse events during the double-blind, controlled portion of pivotal studies was 5.9% for patients taking Humira and 5.4% for control treated patients.</w:delText>
        </w:r>
      </w:del>
    </w:p>
    <w:p w14:paraId="5116111C" w14:textId="77777777" w:rsidR="00BC0E7E" w:rsidRPr="00BC0E7E" w:rsidRDefault="00BC0E7E" w:rsidP="00762FA7">
      <w:pPr>
        <w:autoSpaceDE w:val="0"/>
        <w:autoSpaceDN w:val="0"/>
        <w:adjustRightInd w:val="0"/>
        <w:rPr>
          <w:del w:id="4637" w:author="AbbVie19" w:date="2025-04-16T10:42:00Z"/>
        </w:rPr>
      </w:pPr>
    </w:p>
    <w:p w14:paraId="569B45AC" w14:textId="77777777" w:rsidR="00BC0E7E" w:rsidRPr="00BC0E7E" w:rsidRDefault="00944B8F" w:rsidP="00762FA7">
      <w:pPr>
        <w:autoSpaceDE w:val="0"/>
        <w:autoSpaceDN w:val="0"/>
        <w:adjustRightInd w:val="0"/>
        <w:rPr>
          <w:del w:id="4638" w:author="AbbVie19" w:date="2025-04-16T10:42:00Z"/>
        </w:rPr>
      </w:pPr>
      <w:del w:id="4639" w:author="AbbVie19" w:date="2025-04-16T10:42:00Z">
        <w:r w:rsidRPr="00BC0E7E">
          <w:delText>The most commonly reported adverse reactions are infections (such as nasopharyngitis, upper respiratory tract infection and sinusitis), injection site reactions (erythema, itching, haemorrhage, pain or swelling), headache and musculoskeletal pain.</w:delText>
        </w:r>
      </w:del>
    </w:p>
    <w:p w14:paraId="1DCCC3E8" w14:textId="77777777" w:rsidR="00BC0E7E" w:rsidRPr="00BC0E7E" w:rsidRDefault="00BC0E7E" w:rsidP="00762FA7">
      <w:pPr>
        <w:autoSpaceDE w:val="0"/>
        <w:autoSpaceDN w:val="0"/>
        <w:adjustRightInd w:val="0"/>
        <w:rPr>
          <w:del w:id="4640" w:author="AbbVie19" w:date="2025-04-16T10:42:00Z"/>
        </w:rPr>
      </w:pPr>
    </w:p>
    <w:p w14:paraId="53846EC0" w14:textId="77777777" w:rsidR="00BC0E7E" w:rsidRPr="00BC0E7E" w:rsidRDefault="00944B8F" w:rsidP="00762FA7">
      <w:pPr>
        <w:autoSpaceDE w:val="0"/>
        <w:autoSpaceDN w:val="0"/>
        <w:adjustRightInd w:val="0"/>
        <w:rPr>
          <w:del w:id="4641" w:author="AbbVie19" w:date="2025-04-16T10:42:00Z"/>
        </w:rPr>
      </w:pPr>
      <w:del w:id="4642" w:author="AbbVie19" w:date="2025-04-16T10:42:00Z">
        <w:r w:rsidRPr="00BC0E7E">
          <w:delText>Serious adverse reactions have been reported for Humira. TNF-antagonists, such as Humira affect the immune system and their use may affect the body’s defence against infection and cancer.</w:delText>
        </w:r>
      </w:del>
    </w:p>
    <w:p w14:paraId="1A99A2EE" w14:textId="77777777" w:rsidR="00BC0E7E" w:rsidRPr="00BC0E7E" w:rsidRDefault="00944B8F" w:rsidP="00762FA7">
      <w:pPr>
        <w:autoSpaceDE w:val="0"/>
        <w:autoSpaceDN w:val="0"/>
        <w:adjustRightInd w:val="0"/>
        <w:rPr>
          <w:del w:id="4643" w:author="AbbVie19" w:date="2025-04-16T10:42:00Z"/>
        </w:rPr>
      </w:pPr>
      <w:del w:id="4644" w:author="AbbVie19" w:date="2025-04-16T10:42:00Z">
        <w:r w:rsidRPr="00BC0E7E">
          <w:delText>Fatal and life-threatening infections (including sepsis, opportunistic infections and TB), HBV reactivation and various malignancies (including leukaemia, lymphoma and HSTCL) have also been reported with use of Humira.</w:delText>
        </w:r>
      </w:del>
    </w:p>
    <w:p w14:paraId="130C3C83" w14:textId="77777777" w:rsidR="00BC0E7E" w:rsidRPr="00BC0E7E" w:rsidRDefault="00BC0E7E" w:rsidP="00762FA7">
      <w:pPr>
        <w:autoSpaceDE w:val="0"/>
        <w:autoSpaceDN w:val="0"/>
        <w:adjustRightInd w:val="0"/>
        <w:rPr>
          <w:del w:id="4645" w:author="AbbVie19" w:date="2025-04-16T10:42:00Z"/>
        </w:rPr>
      </w:pPr>
    </w:p>
    <w:p w14:paraId="577A1BF8" w14:textId="77777777" w:rsidR="00BC0E7E" w:rsidRPr="00BC0E7E" w:rsidRDefault="00944B8F" w:rsidP="00762FA7">
      <w:pPr>
        <w:autoSpaceDE w:val="0"/>
        <w:autoSpaceDN w:val="0"/>
        <w:adjustRightInd w:val="0"/>
        <w:rPr>
          <w:del w:id="4646" w:author="AbbVie19" w:date="2025-04-16T10:42:00Z"/>
        </w:rPr>
      </w:pPr>
      <w:del w:id="4647" w:author="AbbVie19" w:date="2025-04-16T10:42:00Z">
        <w:r w:rsidRPr="00BC0E7E">
          <w:delText>Serious haematological, neurological and autoimmune reactions have also been reported. These include rare reports of pancytopenia, aplastic anaemia, central and peripheral demyelinating events and reports of lupus, lupus-related conditions and Stevens-Johnson syndrome.</w:delText>
        </w:r>
      </w:del>
    </w:p>
    <w:p w14:paraId="028FE3A5" w14:textId="77777777" w:rsidR="00BC0E7E" w:rsidRPr="00BC0E7E" w:rsidRDefault="00BC0E7E" w:rsidP="00762FA7">
      <w:pPr>
        <w:autoSpaceDE w:val="0"/>
        <w:autoSpaceDN w:val="0"/>
        <w:adjustRightInd w:val="0"/>
        <w:rPr>
          <w:del w:id="4648" w:author="AbbVie19" w:date="2025-04-16T10:42:00Z"/>
        </w:rPr>
      </w:pPr>
    </w:p>
    <w:p w14:paraId="651CEFA8" w14:textId="77777777" w:rsidR="00BC0E7E" w:rsidRPr="00BC0E7E" w:rsidRDefault="00944B8F" w:rsidP="00762FA7">
      <w:pPr>
        <w:autoSpaceDE w:val="0"/>
        <w:autoSpaceDN w:val="0"/>
        <w:adjustRightInd w:val="0"/>
        <w:rPr>
          <w:del w:id="4649" w:author="AbbVie19" w:date="2025-04-16T10:42:00Z"/>
          <w:b/>
          <w:u w:val="single"/>
        </w:rPr>
      </w:pPr>
      <w:del w:id="4650" w:author="AbbVie19" w:date="2025-04-16T10:42:00Z">
        <w:r w:rsidRPr="00BC0E7E">
          <w:rPr>
            <w:u w:val="single"/>
          </w:rPr>
          <w:delText>Paediatric population</w:delText>
        </w:r>
      </w:del>
    </w:p>
    <w:p w14:paraId="2222DB26" w14:textId="77777777" w:rsidR="00BC0E7E" w:rsidRPr="00BC0E7E" w:rsidRDefault="00BC0E7E" w:rsidP="00762FA7">
      <w:pPr>
        <w:autoSpaceDE w:val="0"/>
        <w:autoSpaceDN w:val="0"/>
        <w:adjustRightInd w:val="0"/>
        <w:rPr>
          <w:del w:id="4651" w:author="AbbVie19" w:date="2025-04-16T10:42:00Z"/>
        </w:rPr>
      </w:pPr>
    </w:p>
    <w:p w14:paraId="2E3E067D" w14:textId="77777777" w:rsidR="00BC0E7E" w:rsidRPr="00BC0E7E" w:rsidRDefault="00944B8F" w:rsidP="00762FA7">
      <w:pPr>
        <w:autoSpaceDE w:val="0"/>
        <w:autoSpaceDN w:val="0"/>
        <w:adjustRightInd w:val="0"/>
        <w:rPr>
          <w:del w:id="4652" w:author="AbbVie19" w:date="2025-04-16T10:42:00Z"/>
        </w:rPr>
      </w:pPr>
      <w:del w:id="4653" w:author="AbbVie19" w:date="2025-04-16T10:42:00Z">
        <w:r w:rsidRPr="00BC0E7E">
          <w:delText>In general, the adverse events in paediatric patients were similar in frequency and type to those seen in adult patients.</w:delText>
        </w:r>
      </w:del>
    </w:p>
    <w:p w14:paraId="1C8BC068" w14:textId="77777777" w:rsidR="00BC0E7E" w:rsidRPr="00BC0E7E" w:rsidRDefault="00BC0E7E" w:rsidP="00762FA7">
      <w:pPr>
        <w:autoSpaceDE w:val="0"/>
        <w:autoSpaceDN w:val="0"/>
        <w:adjustRightInd w:val="0"/>
        <w:rPr>
          <w:del w:id="4654" w:author="AbbVie19" w:date="2025-04-16T10:42:00Z"/>
        </w:rPr>
      </w:pPr>
    </w:p>
    <w:p w14:paraId="386104D6" w14:textId="77777777" w:rsidR="00BC0E7E" w:rsidRPr="00BC0E7E" w:rsidRDefault="00944B8F" w:rsidP="00762FA7">
      <w:pPr>
        <w:keepNext/>
        <w:tabs>
          <w:tab w:val="clear" w:pos="562"/>
        </w:tabs>
        <w:rPr>
          <w:del w:id="4655" w:author="AbbVie19" w:date="2025-04-16T10:42:00Z"/>
          <w:u w:val="single"/>
        </w:rPr>
      </w:pPr>
      <w:del w:id="4656" w:author="AbbVie19" w:date="2025-04-16T10:42:00Z">
        <w:r w:rsidRPr="00BC0E7E">
          <w:rPr>
            <w:u w:val="single"/>
          </w:rPr>
          <w:delText>Tabulated list of adverse reactions</w:delText>
        </w:r>
      </w:del>
    </w:p>
    <w:p w14:paraId="7D036246" w14:textId="77777777" w:rsidR="00BC0E7E" w:rsidRPr="00BC0E7E" w:rsidRDefault="00BC0E7E" w:rsidP="00762FA7">
      <w:pPr>
        <w:keepNext/>
        <w:tabs>
          <w:tab w:val="clear" w:pos="562"/>
        </w:tabs>
        <w:rPr>
          <w:del w:id="4657" w:author="AbbVie19" w:date="2025-04-16T10:42:00Z"/>
        </w:rPr>
      </w:pPr>
    </w:p>
    <w:p w14:paraId="05DE2426" w14:textId="77777777" w:rsidR="00BC0E7E" w:rsidRPr="00BC0E7E" w:rsidRDefault="00944B8F" w:rsidP="00762FA7">
      <w:pPr>
        <w:keepNext/>
        <w:tabs>
          <w:tab w:val="clear" w:pos="562"/>
        </w:tabs>
        <w:suppressAutoHyphens w:val="0"/>
        <w:autoSpaceDE w:val="0"/>
        <w:autoSpaceDN w:val="0"/>
        <w:adjustRightInd w:val="0"/>
        <w:rPr>
          <w:del w:id="4658" w:author="AbbVie19" w:date="2025-04-16T10:42:00Z"/>
        </w:rPr>
      </w:pPr>
      <w:del w:id="4659" w:author="AbbVie19" w:date="2025-04-16T10:42:00Z">
        <w:r w:rsidRPr="00BC0E7E">
          <w:delText xml:space="preserve">The following list of adverse reactions is based on experience from clinical trials and on postmarketing experience and are displayed by system organ class and frequency in Table </w:delText>
        </w:r>
        <w:r w:rsidR="005F03EC">
          <w:delText>7</w:delText>
        </w:r>
        <w:r w:rsidRPr="00BC0E7E">
          <w:delText xml:space="preserve"> below: very common (</w:delText>
        </w:r>
        <w:r w:rsidRPr="00BC0E7E">
          <w:rPr>
            <w:rFonts w:ascii="Symbol" w:eastAsia="Symbol" w:hAnsi="Symbol" w:cs="Symbol"/>
            <w:szCs w:val="22"/>
          </w:rPr>
          <w:sym w:font="Symbol" w:char="F0B3"/>
        </w:r>
        <w:r w:rsidRPr="00BC0E7E">
          <w:delText> 1/10); common (</w:delText>
        </w:r>
        <w:r w:rsidRPr="00BC0E7E">
          <w:rPr>
            <w:rFonts w:ascii="Symbol" w:eastAsia="Symbol" w:hAnsi="Symbol" w:cs="Symbol"/>
            <w:szCs w:val="22"/>
          </w:rPr>
          <w:sym w:font="Symbol" w:char="F0B3"/>
        </w:r>
        <w:r w:rsidRPr="00BC0E7E">
          <w:delText> 1/100 to &lt; 1/10); uncommon (</w:delText>
        </w:r>
        <w:r w:rsidRPr="00BC0E7E">
          <w:rPr>
            <w:rFonts w:ascii="Symbol" w:eastAsia="Symbol" w:hAnsi="Symbol" w:cs="Symbol"/>
            <w:szCs w:val="22"/>
          </w:rPr>
          <w:sym w:font="Symbol" w:char="F0B3"/>
        </w:r>
        <w:r w:rsidRPr="00BC0E7E">
          <w:delText> 1/1,000 to &lt; 1/100); rare (</w:delText>
        </w:r>
        <w:r w:rsidRPr="00BC0E7E">
          <w:rPr>
            <w:rFonts w:ascii="Symbol" w:eastAsia="Symbol" w:hAnsi="Symbol" w:cs="Symbol"/>
            <w:szCs w:val="22"/>
          </w:rPr>
          <w:sym w:font="Symbol" w:char="F0B3"/>
        </w:r>
        <w:r w:rsidRPr="00BC0E7E">
          <w:delText xml:space="preserve"> 1/10,000 to &lt; 1/1,000); </w:delText>
        </w:r>
        <w:r w:rsidRPr="00BC0E7E">
          <w:rPr>
            <w:iCs/>
            <w:szCs w:val="22"/>
          </w:rPr>
          <w:delText>and not known (cannot be estimated from the available data)</w:delText>
        </w:r>
        <w:r w:rsidRPr="00BC0E7E">
          <w:delText xml:space="preserve">. Within each frequency grouping, </w:delText>
        </w:r>
        <w:r w:rsidRPr="00BC0E7E">
          <w:lastRenderedPageBreak/>
          <w:delText>undesirable effects are presented in order of decreasing seriousness. The highest frequency seen among the various indications has been included. An asterisk (*) appears in the SOC column if further information is found elsewhere in sections 4.3, 4.4 and 4.8.</w:delText>
        </w:r>
      </w:del>
    </w:p>
    <w:p w14:paraId="361D7E14" w14:textId="77777777" w:rsidR="00BC0E7E" w:rsidRPr="00BC0E7E" w:rsidRDefault="00BC0E7E" w:rsidP="00762FA7">
      <w:pPr>
        <w:tabs>
          <w:tab w:val="clear" w:pos="562"/>
        </w:tabs>
        <w:rPr>
          <w:del w:id="4660" w:author="AbbVie19" w:date="2025-04-16T10:42:00Z"/>
        </w:rPr>
      </w:pPr>
    </w:p>
    <w:p w14:paraId="247A888E" w14:textId="77777777" w:rsidR="00BC0E7E" w:rsidRPr="00BC0E7E" w:rsidRDefault="00944B8F" w:rsidP="00762FA7">
      <w:pPr>
        <w:jc w:val="center"/>
        <w:rPr>
          <w:del w:id="4661" w:author="AbbVie19" w:date="2025-04-16T10:42:00Z"/>
          <w:b/>
        </w:rPr>
      </w:pPr>
      <w:del w:id="4662" w:author="AbbVie19" w:date="2025-04-16T10:42:00Z">
        <w:r w:rsidRPr="00BC0E7E">
          <w:rPr>
            <w:b/>
          </w:rPr>
          <w:delText xml:space="preserve">Table </w:delText>
        </w:r>
        <w:r w:rsidR="005F03EC">
          <w:rPr>
            <w:b/>
          </w:rPr>
          <w:delText>7</w:delText>
        </w:r>
      </w:del>
    </w:p>
    <w:p w14:paraId="0BD56769" w14:textId="77777777" w:rsidR="00BC0E7E" w:rsidRPr="00BC0E7E" w:rsidRDefault="00944B8F" w:rsidP="00762FA7">
      <w:pPr>
        <w:jc w:val="center"/>
        <w:rPr>
          <w:del w:id="4663" w:author="AbbVie19" w:date="2025-04-16T10:42:00Z"/>
          <w:b/>
        </w:rPr>
      </w:pPr>
      <w:del w:id="4664" w:author="AbbVie19" w:date="2025-04-16T10:42:00Z">
        <w:r w:rsidRPr="00BC0E7E">
          <w:rPr>
            <w:b/>
          </w:rPr>
          <w:delText>Undesirable Effects</w:delText>
        </w:r>
      </w:del>
    </w:p>
    <w:p w14:paraId="14ECE6FD" w14:textId="77777777" w:rsidR="00BC0E7E" w:rsidRPr="00BC0E7E" w:rsidRDefault="00BC0E7E" w:rsidP="00762FA7">
      <w:pPr>
        <w:jc w:val="center"/>
        <w:rPr>
          <w:del w:id="4665" w:author="AbbVie19" w:date="2025-04-16T10:42:00Z"/>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2074"/>
        <w:gridCol w:w="4575"/>
      </w:tblGrid>
      <w:tr w:rsidR="00C6578C" w14:paraId="52B39377" w14:textId="77777777" w:rsidTr="00171601">
        <w:trPr>
          <w:tblHeader/>
          <w:del w:id="4666" w:author="AbbVie19" w:date="2025-04-16T10:42:00Z"/>
        </w:trPr>
        <w:tc>
          <w:tcPr>
            <w:tcW w:w="2600" w:type="dxa"/>
          </w:tcPr>
          <w:p w14:paraId="5F662218" w14:textId="77777777" w:rsidR="00BC0E7E" w:rsidRPr="00BC0E7E" w:rsidRDefault="00944B8F" w:rsidP="00762FA7">
            <w:pPr>
              <w:widowControl w:val="0"/>
              <w:spacing w:before="120" w:after="120"/>
              <w:jc w:val="center"/>
              <w:rPr>
                <w:del w:id="4667" w:author="AbbVie19" w:date="2025-04-16T10:42:00Z"/>
                <w:b/>
              </w:rPr>
            </w:pPr>
            <w:del w:id="4668" w:author="AbbVie19" w:date="2025-04-16T10:42:00Z">
              <w:r w:rsidRPr="00BC0E7E">
                <w:rPr>
                  <w:b/>
                  <w:bCs/>
                </w:rPr>
                <w:delText>System Organ Class</w:delText>
              </w:r>
            </w:del>
          </w:p>
        </w:tc>
        <w:tc>
          <w:tcPr>
            <w:tcW w:w="2074" w:type="dxa"/>
          </w:tcPr>
          <w:p w14:paraId="6C36D6AC" w14:textId="77777777" w:rsidR="00BC0E7E" w:rsidRPr="00BC0E7E" w:rsidRDefault="00944B8F" w:rsidP="00762FA7">
            <w:pPr>
              <w:widowControl w:val="0"/>
              <w:spacing w:before="120" w:after="120"/>
              <w:jc w:val="center"/>
              <w:rPr>
                <w:del w:id="4669" w:author="AbbVie19" w:date="2025-04-16T10:42:00Z"/>
                <w:b/>
              </w:rPr>
            </w:pPr>
            <w:del w:id="4670" w:author="AbbVie19" w:date="2025-04-16T10:42:00Z">
              <w:r w:rsidRPr="00BC0E7E">
                <w:rPr>
                  <w:b/>
                  <w:bCs/>
                </w:rPr>
                <w:delText>Frequency</w:delText>
              </w:r>
            </w:del>
          </w:p>
        </w:tc>
        <w:tc>
          <w:tcPr>
            <w:tcW w:w="4575" w:type="dxa"/>
          </w:tcPr>
          <w:p w14:paraId="0ED66A2A" w14:textId="77777777" w:rsidR="00BC0E7E" w:rsidRPr="00BC0E7E" w:rsidRDefault="00944B8F" w:rsidP="00762FA7">
            <w:pPr>
              <w:widowControl w:val="0"/>
              <w:spacing w:before="120" w:after="120"/>
              <w:jc w:val="center"/>
              <w:rPr>
                <w:del w:id="4671" w:author="AbbVie19" w:date="2025-04-16T10:42:00Z"/>
                <w:b/>
              </w:rPr>
            </w:pPr>
            <w:del w:id="4672" w:author="AbbVie19" w:date="2025-04-16T10:42:00Z">
              <w:r w:rsidRPr="00BC0E7E">
                <w:rPr>
                  <w:b/>
                  <w:bCs/>
                </w:rPr>
                <w:delText>Adverse Reaction</w:delText>
              </w:r>
            </w:del>
          </w:p>
        </w:tc>
      </w:tr>
      <w:tr w:rsidR="00C6578C" w14:paraId="7BE30137" w14:textId="77777777" w:rsidTr="000244DF">
        <w:trPr>
          <w:del w:id="4673" w:author="AbbVie19" w:date="2025-04-16T10:42:00Z"/>
        </w:trPr>
        <w:tc>
          <w:tcPr>
            <w:tcW w:w="2600" w:type="dxa"/>
            <w:vMerge w:val="restart"/>
          </w:tcPr>
          <w:p w14:paraId="4E2D1DA3" w14:textId="77777777" w:rsidR="00BC0E7E" w:rsidRPr="00BC0E7E" w:rsidRDefault="00944B8F" w:rsidP="00762FA7">
            <w:pPr>
              <w:widowControl w:val="0"/>
              <w:spacing w:before="60"/>
              <w:rPr>
                <w:del w:id="4674" w:author="AbbVie19" w:date="2025-04-16T10:42:00Z"/>
                <w:szCs w:val="20"/>
              </w:rPr>
            </w:pPr>
            <w:del w:id="4675" w:author="AbbVie19" w:date="2025-04-16T10:42:00Z">
              <w:r w:rsidRPr="00BC0E7E">
                <w:rPr>
                  <w:szCs w:val="20"/>
                </w:rPr>
                <w:delText>Infections and infestations*</w:delText>
              </w:r>
            </w:del>
          </w:p>
          <w:p w14:paraId="33D6D526" w14:textId="77777777" w:rsidR="00BC0E7E" w:rsidRPr="00BC0E7E" w:rsidRDefault="00BC0E7E" w:rsidP="00762FA7">
            <w:pPr>
              <w:widowControl w:val="0"/>
              <w:spacing w:before="60"/>
              <w:jc w:val="center"/>
              <w:rPr>
                <w:del w:id="4676" w:author="AbbVie19" w:date="2025-04-16T10:42:00Z"/>
              </w:rPr>
            </w:pPr>
          </w:p>
        </w:tc>
        <w:tc>
          <w:tcPr>
            <w:tcW w:w="2074" w:type="dxa"/>
          </w:tcPr>
          <w:p w14:paraId="53BBF1F6" w14:textId="77777777" w:rsidR="00BC0E7E" w:rsidRPr="00BC0E7E" w:rsidRDefault="00944B8F" w:rsidP="00762FA7">
            <w:pPr>
              <w:widowControl w:val="0"/>
              <w:spacing w:before="60"/>
              <w:rPr>
                <w:del w:id="4677" w:author="AbbVie19" w:date="2025-04-16T10:42:00Z"/>
                <w:szCs w:val="20"/>
              </w:rPr>
            </w:pPr>
            <w:del w:id="4678" w:author="AbbVie19" w:date="2025-04-16T10:42:00Z">
              <w:r w:rsidRPr="00BC0E7E">
                <w:rPr>
                  <w:szCs w:val="20"/>
                </w:rPr>
                <w:delText>Very common</w:delText>
              </w:r>
            </w:del>
          </w:p>
        </w:tc>
        <w:tc>
          <w:tcPr>
            <w:tcW w:w="4575" w:type="dxa"/>
          </w:tcPr>
          <w:p w14:paraId="6C3E5E6E" w14:textId="77777777" w:rsidR="00BC0E7E" w:rsidRPr="00BC0E7E" w:rsidRDefault="00944B8F" w:rsidP="00762FA7">
            <w:pPr>
              <w:widowControl w:val="0"/>
              <w:spacing w:before="60"/>
              <w:rPr>
                <w:del w:id="4679" w:author="AbbVie19" w:date="2025-04-16T10:42:00Z"/>
                <w:szCs w:val="20"/>
              </w:rPr>
            </w:pPr>
            <w:del w:id="4680" w:author="AbbVie19" w:date="2025-04-16T10:42:00Z">
              <w:r>
                <w:rPr>
                  <w:szCs w:val="20"/>
                </w:rPr>
                <w:delText>R</w:delText>
              </w:r>
              <w:r w:rsidRPr="00BC0E7E">
                <w:rPr>
                  <w:szCs w:val="20"/>
                </w:rPr>
                <w:delText>espiratory tract infections (including lower and upper respiratory tract infection, pneumonia, sinusitis, pharyngitis, nasopharyngitis and pneumonia herpes viral)</w:delText>
              </w:r>
            </w:del>
          </w:p>
          <w:p w14:paraId="2FB989AA" w14:textId="77777777" w:rsidR="00BC0E7E" w:rsidRPr="00BC0E7E" w:rsidRDefault="00BC0E7E" w:rsidP="00762FA7">
            <w:pPr>
              <w:widowControl w:val="0"/>
              <w:spacing w:before="60"/>
              <w:rPr>
                <w:del w:id="4681" w:author="AbbVie19" w:date="2025-04-16T10:42:00Z"/>
                <w:szCs w:val="20"/>
              </w:rPr>
            </w:pPr>
          </w:p>
        </w:tc>
      </w:tr>
      <w:tr w:rsidR="00C6578C" w14:paraId="4A79BA91" w14:textId="77777777" w:rsidTr="000244DF">
        <w:trPr>
          <w:del w:id="4682" w:author="AbbVie19" w:date="2025-04-16T10:42:00Z"/>
        </w:trPr>
        <w:tc>
          <w:tcPr>
            <w:tcW w:w="2600" w:type="dxa"/>
            <w:vMerge/>
          </w:tcPr>
          <w:p w14:paraId="4EB29F9A" w14:textId="77777777" w:rsidR="00BC0E7E" w:rsidRPr="00BC0E7E" w:rsidRDefault="00BC0E7E" w:rsidP="00762FA7">
            <w:pPr>
              <w:widowControl w:val="0"/>
              <w:spacing w:before="60"/>
              <w:jc w:val="center"/>
              <w:rPr>
                <w:del w:id="4683" w:author="AbbVie19" w:date="2025-04-16T10:42:00Z"/>
                <w:b/>
              </w:rPr>
            </w:pPr>
          </w:p>
        </w:tc>
        <w:tc>
          <w:tcPr>
            <w:tcW w:w="2074" w:type="dxa"/>
          </w:tcPr>
          <w:p w14:paraId="35A1C444" w14:textId="77777777" w:rsidR="00BC0E7E" w:rsidRPr="00BC0E7E" w:rsidRDefault="00944B8F" w:rsidP="00762FA7">
            <w:pPr>
              <w:widowControl w:val="0"/>
              <w:spacing w:before="60"/>
              <w:rPr>
                <w:del w:id="4684" w:author="AbbVie19" w:date="2025-04-16T10:42:00Z"/>
                <w:szCs w:val="20"/>
              </w:rPr>
            </w:pPr>
            <w:del w:id="4685" w:author="AbbVie19" w:date="2025-04-16T10:42:00Z">
              <w:r w:rsidRPr="00BC0E7E">
                <w:rPr>
                  <w:szCs w:val="20"/>
                </w:rPr>
                <w:delText>Common</w:delText>
              </w:r>
            </w:del>
          </w:p>
          <w:p w14:paraId="19F33F12" w14:textId="77777777" w:rsidR="00BC0E7E" w:rsidRPr="00BC0E7E" w:rsidRDefault="00BC0E7E" w:rsidP="00762FA7">
            <w:pPr>
              <w:widowControl w:val="0"/>
              <w:spacing w:before="60"/>
              <w:rPr>
                <w:del w:id="4686" w:author="AbbVie19" w:date="2025-04-16T10:42:00Z"/>
                <w:szCs w:val="20"/>
              </w:rPr>
            </w:pPr>
          </w:p>
        </w:tc>
        <w:tc>
          <w:tcPr>
            <w:tcW w:w="4575" w:type="dxa"/>
          </w:tcPr>
          <w:p w14:paraId="23C74B44" w14:textId="77777777" w:rsidR="00BC0E7E" w:rsidRPr="00BC0E7E" w:rsidRDefault="00944B8F" w:rsidP="00762FA7">
            <w:pPr>
              <w:widowControl w:val="0"/>
              <w:tabs>
                <w:tab w:val="clear" w:pos="562"/>
              </w:tabs>
              <w:rPr>
                <w:del w:id="4687" w:author="AbbVie19" w:date="2025-04-16T10:42:00Z"/>
                <w:sz w:val="24"/>
                <w:szCs w:val="20"/>
              </w:rPr>
            </w:pPr>
            <w:del w:id="4688" w:author="AbbVie19" w:date="2025-04-16T10:42:00Z">
              <w:r>
                <w:rPr>
                  <w:szCs w:val="22"/>
                </w:rPr>
                <w:delText>S</w:delText>
              </w:r>
              <w:r w:rsidRPr="00BC0E7E">
                <w:rPr>
                  <w:szCs w:val="22"/>
                </w:rPr>
                <w:delText xml:space="preserve">ystemic infections </w:delText>
              </w:r>
              <w:r w:rsidRPr="00BC0E7E">
                <w:delText>(including sepsis, candidiasis and influenza)</w:delText>
              </w:r>
              <w:r w:rsidRPr="00BC0E7E">
                <w:rPr>
                  <w:szCs w:val="22"/>
                </w:rPr>
                <w:delText>,</w:delText>
              </w:r>
            </w:del>
          </w:p>
          <w:p w14:paraId="2F9F2C3F" w14:textId="77777777" w:rsidR="00BC0E7E" w:rsidRPr="00BC0E7E" w:rsidRDefault="00944B8F" w:rsidP="00762FA7">
            <w:pPr>
              <w:widowControl w:val="0"/>
              <w:tabs>
                <w:tab w:val="clear" w:pos="562"/>
              </w:tabs>
              <w:rPr>
                <w:del w:id="4689" w:author="AbbVie19" w:date="2025-04-16T10:42:00Z"/>
              </w:rPr>
            </w:pPr>
            <w:del w:id="4690" w:author="AbbVie19" w:date="2025-04-16T10:42:00Z">
              <w:r w:rsidRPr="00BC0E7E">
                <w:rPr>
                  <w:szCs w:val="22"/>
                </w:rPr>
                <w:delText xml:space="preserve">intestinal infections </w:delText>
              </w:r>
              <w:r w:rsidRPr="00BC0E7E">
                <w:delText>(including gastroenteritis viral)</w:delText>
              </w:r>
              <w:r w:rsidRPr="00BC0E7E">
                <w:rPr>
                  <w:szCs w:val="22"/>
                </w:rPr>
                <w:delText>,</w:delText>
              </w:r>
            </w:del>
          </w:p>
          <w:p w14:paraId="08713DBD" w14:textId="77777777" w:rsidR="00BC0E7E" w:rsidRPr="00BC0E7E" w:rsidRDefault="00944B8F" w:rsidP="00762FA7">
            <w:pPr>
              <w:widowControl w:val="0"/>
              <w:tabs>
                <w:tab w:val="clear" w:pos="562"/>
              </w:tabs>
              <w:rPr>
                <w:del w:id="4691" w:author="AbbVie19" w:date="2025-04-16T10:42:00Z"/>
              </w:rPr>
            </w:pPr>
            <w:del w:id="4692" w:author="AbbVie19" w:date="2025-04-16T10:42:00Z">
              <w:r w:rsidRPr="00BC0E7E">
                <w:delText>skin and soft tissue infections (including paronychia, cellulitis, impetigo, necrotising fasciitis and herpes zoster),</w:delText>
              </w:r>
            </w:del>
          </w:p>
          <w:p w14:paraId="7B5A2EC2" w14:textId="77777777" w:rsidR="00BC0E7E" w:rsidRPr="00BC0E7E" w:rsidRDefault="00944B8F" w:rsidP="00762FA7">
            <w:pPr>
              <w:widowControl w:val="0"/>
              <w:tabs>
                <w:tab w:val="clear" w:pos="562"/>
              </w:tabs>
              <w:rPr>
                <w:del w:id="4693" w:author="AbbVie19" w:date="2025-04-16T10:42:00Z"/>
              </w:rPr>
            </w:pPr>
            <w:del w:id="4694" w:author="AbbVie19" w:date="2025-04-16T10:42:00Z">
              <w:r w:rsidRPr="00BC0E7E">
                <w:rPr>
                  <w:szCs w:val="22"/>
                </w:rPr>
                <w:delText>ear infections,</w:delText>
              </w:r>
            </w:del>
          </w:p>
          <w:p w14:paraId="4DC0C408" w14:textId="77777777" w:rsidR="00BC0E7E" w:rsidRPr="00BC0E7E" w:rsidRDefault="00944B8F" w:rsidP="00762FA7">
            <w:pPr>
              <w:widowControl w:val="0"/>
              <w:tabs>
                <w:tab w:val="clear" w:pos="562"/>
              </w:tabs>
              <w:rPr>
                <w:del w:id="4695" w:author="AbbVie19" w:date="2025-04-16T10:42:00Z"/>
              </w:rPr>
            </w:pPr>
            <w:del w:id="4696" w:author="AbbVie19" w:date="2025-04-16T10:42:00Z">
              <w:r w:rsidRPr="00BC0E7E">
                <w:rPr>
                  <w:szCs w:val="22"/>
                </w:rPr>
                <w:delText xml:space="preserve">oral infections </w:delText>
              </w:r>
              <w:r w:rsidRPr="00BC0E7E">
                <w:delText>(including herpes simplex, oral herpes and tooth infections)</w:delText>
              </w:r>
              <w:r w:rsidRPr="00BC0E7E">
                <w:rPr>
                  <w:szCs w:val="22"/>
                </w:rPr>
                <w:delText xml:space="preserve">, </w:delText>
              </w:r>
            </w:del>
          </w:p>
          <w:p w14:paraId="772D54F9" w14:textId="77777777" w:rsidR="00BC0E7E" w:rsidRPr="00BC0E7E" w:rsidRDefault="00944B8F" w:rsidP="00762FA7">
            <w:pPr>
              <w:widowControl w:val="0"/>
              <w:tabs>
                <w:tab w:val="clear" w:pos="562"/>
              </w:tabs>
              <w:rPr>
                <w:del w:id="4697" w:author="AbbVie19" w:date="2025-04-16T10:42:00Z"/>
              </w:rPr>
            </w:pPr>
            <w:del w:id="4698" w:author="AbbVie19" w:date="2025-04-16T10:42:00Z">
              <w:r w:rsidRPr="00BC0E7E">
                <w:rPr>
                  <w:szCs w:val="22"/>
                </w:rPr>
                <w:delText xml:space="preserve">reproductive tract infections </w:delText>
              </w:r>
              <w:r w:rsidRPr="00BC0E7E">
                <w:delText>(including vulvovaginal mycotic infection)</w:delText>
              </w:r>
              <w:r w:rsidRPr="00BC0E7E">
                <w:rPr>
                  <w:szCs w:val="22"/>
                </w:rPr>
                <w:delText xml:space="preserve">, </w:delText>
              </w:r>
            </w:del>
          </w:p>
          <w:p w14:paraId="2121CE25" w14:textId="77777777" w:rsidR="00BC0E7E" w:rsidRPr="00BC0E7E" w:rsidRDefault="00944B8F" w:rsidP="00762FA7">
            <w:pPr>
              <w:outlineLvl w:val="0"/>
              <w:rPr>
                <w:del w:id="4699" w:author="AbbVie19" w:date="2025-04-16T10:42:00Z"/>
                <w:szCs w:val="20"/>
              </w:rPr>
            </w:pPr>
            <w:del w:id="4700" w:author="AbbVie19" w:date="2025-04-16T10:42:00Z">
              <w:r w:rsidRPr="00BC0E7E">
                <w:rPr>
                  <w:szCs w:val="20"/>
                </w:rPr>
                <w:delText>urinary tract infections (including pyelonephritis),</w:delText>
              </w:r>
            </w:del>
          </w:p>
          <w:p w14:paraId="28EE1452" w14:textId="77777777" w:rsidR="00BC0E7E" w:rsidRPr="00BC0E7E" w:rsidRDefault="00944B8F" w:rsidP="00762FA7">
            <w:pPr>
              <w:outlineLvl w:val="0"/>
              <w:rPr>
                <w:del w:id="4701" w:author="AbbVie19" w:date="2025-04-16T10:42:00Z"/>
                <w:szCs w:val="20"/>
              </w:rPr>
            </w:pPr>
            <w:del w:id="4702" w:author="AbbVie19" w:date="2025-04-16T10:42:00Z">
              <w:r w:rsidRPr="00BC0E7E">
                <w:rPr>
                  <w:szCs w:val="20"/>
                </w:rPr>
                <w:delText>fungal infections,</w:delText>
              </w:r>
            </w:del>
          </w:p>
          <w:p w14:paraId="508E4E14" w14:textId="77777777" w:rsidR="00BC0E7E" w:rsidRPr="00BC0E7E" w:rsidRDefault="00944B8F" w:rsidP="00762FA7">
            <w:pPr>
              <w:outlineLvl w:val="0"/>
              <w:rPr>
                <w:del w:id="4703" w:author="AbbVie19" w:date="2025-04-16T10:42:00Z"/>
                <w:szCs w:val="20"/>
              </w:rPr>
            </w:pPr>
            <w:del w:id="4704" w:author="AbbVie19" w:date="2025-04-16T10:42:00Z">
              <w:r w:rsidRPr="00BC0E7E">
                <w:rPr>
                  <w:szCs w:val="20"/>
                </w:rPr>
                <w:delText>joint infections</w:delText>
              </w:r>
            </w:del>
          </w:p>
          <w:p w14:paraId="7E562942" w14:textId="77777777" w:rsidR="00BC0E7E" w:rsidRPr="00BC0E7E" w:rsidRDefault="00BC0E7E" w:rsidP="00762FA7">
            <w:pPr>
              <w:outlineLvl w:val="0"/>
              <w:rPr>
                <w:del w:id="4705" w:author="AbbVie19" w:date="2025-04-16T10:42:00Z"/>
                <w:szCs w:val="20"/>
              </w:rPr>
            </w:pPr>
          </w:p>
        </w:tc>
      </w:tr>
      <w:tr w:rsidR="00C6578C" w14:paraId="026183E1" w14:textId="77777777" w:rsidTr="000244DF">
        <w:trPr>
          <w:del w:id="4706" w:author="AbbVie19" w:date="2025-04-16T10:42:00Z"/>
        </w:trPr>
        <w:tc>
          <w:tcPr>
            <w:tcW w:w="2600" w:type="dxa"/>
            <w:vMerge/>
          </w:tcPr>
          <w:p w14:paraId="3AF7349A" w14:textId="77777777" w:rsidR="00BC0E7E" w:rsidRPr="00BC0E7E" w:rsidRDefault="00BC0E7E" w:rsidP="00762FA7">
            <w:pPr>
              <w:widowControl w:val="0"/>
              <w:spacing w:before="60"/>
              <w:jc w:val="center"/>
              <w:rPr>
                <w:del w:id="4707" w:author="AbbVie19" w:date="2025-04-16T10:42:00Z"/>
                <w:b/>
              </w:rPr>
            </w:pPr>
          </w:p>
        </w:tc>
        <w:tc>
          <w:tcPr>
            <w:tcW w:w="2074" w:type="dxa"/>
          </w:tcPr>
          <w:p w14:paraId="38A9CF50" w14:textId="77777777" w:rsidR="00BC0E7E" w:rsidRPr="00BC0E7E" w:rsidRDefault="00944B8F" w:rsidP="00762FA7">
            <w:pPr>
              <w:outlineLvl w:val="0"/>
              <w:rPr>
                <w:del w:id="4708" w:author="AbbVie19" w:date="2025-04-16T10:42:00Z"/>
                <w:szCs w:val="20"/>
              </w:rPr>
            </w:pPr>
            <w:del w:id="4709" w:author="AbbVie19" w:date="2025-04-16T10:42:00Z">
              <w:r w:rsidRPr="00BC0E7E">
                <w:rPr>
                  <w:szCs w:val="20"/>
                </w:rPr>
                <w:delText>Uncommon</w:delText>
              </w:r>
            </w:del>
          </w:p>
          <w:p w14:paraId="658301F5" w14:textId="77777777" w:rsidR="00BC0E7E" w:rsidRPr="00BC0E7E" w:rsidRDefault="00BC0E7E" w:rsidP="00762FA7">
            <w:pPr>
              <w:outlineLvl w:val="0"/>
              <w:rPr>
                <w:del w:id="4710" w:author="AbbVie19" w:date="2025-04-16T10:42:00Z"/>
                <w:szCs w:val="20"/>
              </w:rPr>
            </w:pPr>
          </w:p>
        </w:tc>
        <w:tc>
          <w:tcPr>
            <w:tcW w:w="4575" w:type="dxa"/>
          </w:tcPr>
          <w:p w14:paraId="6DEF024C" w14:textId="77777777" w:rsidR="00BC0E7E" w:rsidRPr="00BC0E7E" w:rsidRDefault="00944B8F" w:rsidP="00762FA7">
            <w:pPr>
              <w:outlineLvl w:val="0"/>
              <w:rPr>
                <w:del w:id="4711" w:author="AbbVie19" w:date="2025-04-16T10:42:00Z"/>
                <w:szCs w:val="20"/>
              </w:rPr>
            </w:pPr>
            <w:del w:id="4712" w:author="AbbVie19" w:date="2025-04-16T10:42:00Z">
              <w:r>
                <w:rPr>
                  <w:szCs w:val="20"/>
                </w:rPr>
                <w:delText>N</w:delText>
              </w:r>
              <w:r w:rsidRPr="00BC0E7E">
                <w:rPr>
                  <w:szCs w:val="20"/>
                </w:rPr>
                <w:delText>eurological infections (including viral meningitis),</w:delText>
              </w:r>
            </w:del>
          </w:p>
          <w:p w14:paraId="053805D7" w14:textId="77777777" w:rsidR="00BC0E7E" w:rsidRPr="00BC0E7E" w:rsidRDefault="00944B8F" w:rsidP="00762FA7">
            <w:pPr>
              <w:outlineLvl w:val="0"/>
              <w:rPr>
                <w:del w:id="4713" w:author="AbbVie19" w:date="2025-04-16T10:42:00Z"/>
                <w:szCs w:val="20"/>
              </w:rPr>
            </w:pPr>
            <w:del w:id="4714" w:author="AbbVie19" w:date="2025-04-16T10:42:00Z">
              <w:r w:rsidRPr="00BC0E7E">
                <w:rPr>
                  <w:szCs w:val="20"/>
                </w:rPr>
                <w:delText xml:space="preserve">opportunistic infections and tuberculosis (including coccidioidomycosis, histoplasmosis and mycobacterium avium complex infection), </w:delText>
              </w:r>
            </w:del>
          </w:p>
          <w:p w14:paraId="5144AFB1" w14:textId="77777777" w:rsidR="00BC0E7E" w:rsidRPr="00BC0E7E" w:rsidRDefault="00944B8F" w:rsidP="00762FA7">
            <w:pPr>
              <w:outlineLvl w:val="0"/>
              <w:rPr>
                <w:del w:id="4715" w:author="AbbVie19" w:date="2025-04-16T10:42:00Z"/>
                <w:szCs w:val="20"/>
              </w:rPr>
            </w:pPr>
            <w:del w:id="4716" w:author="AbbVie19" w:date="2025-04-16T10:42:00Z">
              <w:r w:rsidRPr="00BC0E7E">
                <w:rPr>
                  <w:szCs w:val="20"/>
                </w:rPr>
                <w:delText>bacterial infections,</w:delText>
              </w:r>
            </w:del>
          </w:p>
          <w:p w14:paraId="5315080B" w14:textId="77777777" w:rsidR="00BC0E7E" w:rsidRPr="00BC0E7E" w:rsidRDefault="00944B8F" w:rsidP="00762FA7">
            <w:pPr>
              <w:outlineLvl w:val="0"/>
              <w:rPr>
                <w:del w:id="4717" w:author="AbbVie19" w:date="2025-04-16T10:42:00Z"/>
                <w:b/>
                <w:i/>
                <w:szCs w:val="20"/>
              </w:rPr>
            </w:pPr>
            <w:del w:id="4718" w:author="AbbVie19" w:date="2025-04-16T10:42:00Z">
              <w:r w:rsidRPr="00BC0E7E">
                <w:rPr>
                  <w:szCs w:val="20"/>
                </w:rPr>
                <w:delText>eye infections,</w:delText>
              </w:r>
            </w:del>
          </w:p>
          <w:p w14:paraId="68E279AA" w14:textId="77777777" w:rsidR="00BC0E7E" w:rsidRPr="00BC0E7E" w:rsidRDefault="00944B8F" w:rsidP="00762FA7">
            <w:pPr>
              <w:outlineLvl w:val="0"/>
              <w:rPr>
                <w:del w:id="4719" w:author="AbbVie19" w:date="2025-04-16T10:42:00Z"/>
                <w:szCs w:val="20"/>
              </w:rPr>
            </w:pPr>
            <w:del w:id="4720" w:author="AbbVie19" w:date="2025-04-16T10:42:00Z">
              <w:r w:rsidRPr="00BC0E7E">
                <w:rPr>
                  <w:szCs w:val="20"/>
                </w:rPr>
                <w:delText>diverticulitis</w:delText>
              </w:r>
              <w:r w:rsidRPr="00BC0E7E">
                <w:rPr>
                  <w:szCs w:val="20"/>
                  <w:vertAlign w:val="superscript"/>
                </w:rPr>
                <w:delText>1)</w:delText>
              </w:r>
              <w:r w:rsidRPr="00BC0E7E">
                <w:rPr>
                  <w:szCs w:val="20"/>
                </w:rPr>
                <w:delText xml:space="preserve"> </w:delText>
              </w:r>
            </w:del>
          </w:p>
          <w:p w14:paraId="53626FA2" w14:textId="77777777" w:rsidR="00BC0E7E" w:rsidRPr="00BC0E7E" w:rsidRDefault="00BC0E7E" w:rsidP="00762FA7">
            <w:pPr>
              <w:outlineLvl w:val="0"/>
              <w:rPr>
                <w:del w:id="4721" w:author="AbbVie19" w:date="2025-04-16T10:42:00Z"/>
                <w:szCs w:val="20"/>
              </w:rPr>
            </w:pPr>
          </w:p>
        </w:tc>
      </w:tr>
      <w:tr w:rsidR="00C6578C" w14:paraId="396C26FF" w14:textId="77777777" w:rsidTr="000244DF">
        <w:trPr>
          <w:del w:id="4722" w:author="AbbVie19" w:date="2025-04-16T10:42:00Z"/>
        </w:trPr>
        <w:tc>
          <w:tcPr>
            <w:tcW w:w="2600" w:type="dxa"/>
            <w:vMerge w:val="restart"/>
          </w:tcPr>
          <w:p w14:paraId="720D0309" w14:textId="77777777" w:rsidR="00BC0E7E" w:rsidRPr="00BC0E7E" w:rsidRDefault="00944B8F" w:rsidP="00762FA7">
            <w:pPr>
              <w:widowControl w:val="0"/>
              <w:spacing w:before="60"/>
              <w:rPr>
                <w:del w:id="4723" w:author="AbbVie19" w:date="2025-04-16T10:42:00Z"/>
                <w:b/>
              </w:rPr>
            </w:pPr>
            <w:del w:id="4724" w:author="AbbVie19" w:date="2025-04-16T10:42:00Z">
              <w:r w:rsidRPr="00BC0E7E">
                <w:delText>Neoplasms benign, malignant and unspecified (including cysts and polyps)*</w:delText>
              </w:r>
            </w:del>
          </w:p>
        </w:tc>
        <w:tc>
          <w:tcPr>
            <w:tcW w:w="2074" w:type="dxa"/>
          </w:tcPr>
          <w:p w14:paraId="783A683B" w14:textId="77777777" w:rsidR="00BC0E7E" w:rsidRPr="00BC0E7E" w:rsidRDefault="00944B8F" w:rsidP="00762FA7">
            <w:pPr>
              <w:widowControl w:val="0"/>
              <w:spacing w:before="60"/>
              <w:rPr>
                <w:del w:id="4725" w:author="AbbVie19" w:date="2025-04-16T10:42:00Z"/>
                <w:szCs w:val="20"/>
              </w:rPr>
            </w:pPr>
            <w:del w:id="4726" w:author="AbbVie19" w:date="2025-04-16T10:42:00Z">
              <w:r w:rsidRPr="00BC0E7E">
                <w:rPr>
                  <w:szCs w:val="20"/>
                </w:rPr>
                <w:delText>Common</w:delText>
              </w:r>
            </w:del>
          </w:p>
          <w:p w14:paraId="73BD88DB" w14:textId="77777777" w:rsidR="00BC0E7E" w:rsidRPr="00BC0E7E" w:rsidRDefault="00BC0E7E" w:rsidP="00762FA7">
            <w:pPr>
              <w:widowControl w:val="0"/>
              <w:spacing w:before="60"/>
              <w:rPr>
                <w:del w:id="4727" w:author="AbbVie19" w:date="2025-04-16T10:42:00Z"/>
                <w:szCs w:val="20"/>
              </w:rPr>
            </w:pPr>
          </w:p>
        </w:tc>
        <w:tc>
          <w:tcPr>
            <w:tcW w:w="4575" w:type="dxa"/>
          </w:tcPr>
          <w:p w14:paraId="49382947" w14:textId="77777777" w:rsidR="00BC0E7E" w:rsidRPr="00BC0E7E" w:rsidRDefault="00944B8F" w:rsidP="00762FA7">
            <w:pPr>
              <w:widowControl w:val="0"/>
              <w:spacing w:before="60"/>
              <w:rPr>
                <w:del w:id="4728" w:author="AbbVie19" w:date="2025-04-16T10:42:00Z"/>
                <w:szCs w:val="20"/>
              </w:rPr>
            </w:pPr>
            <w:del w:id="4729" w:author="AbbVie19" w:date="2025-04-16T10:42:00Z">
              <w:r>
                <w:rPr>
                  <w:szCs w:val="20"/>
                </w:rPr>
                <w:delText>S</w:delText>
              </w:r>
              <w:r w:rsidRPr="00BC0E7E">
                <w:rPr>
                  <w:szCs w:val="20"/>
                </w:rPr>
                <w:delText>kin cancer excluding melanoma (including basal cell carcinoma and squamous cell carcinoma),</w:delText>
              </w:r>
            </w:del>
          </w:p>
          <w:p w14:paraId="0A945C0B" w14:textId="77777777" w:rsidR="00BC0E7E" w:rsidRPr="00BC0E7E" w:rsidRDefault="00BC0E7E" w:rsidP="00762FA7">
            <w:pPr>
              <w:widowControl w:val="0"/>
              <w:spacing w:before="60"/>
              <w:rPr>
                <w:del w:id="4730" w:author="AbbVie19" w:date="2025-04-16T10:42:00Z"/>
                <w:szCs w:val="20"/>
              </w:rPr>
            </w:pPr>
          </w:p>
          <w:p w14:paraId="789BBDE7" w14:textId="77777777" w:rsidR="00BC0E7E" w:rsidRPr="00BC0E7E" w:rsidRDefault="00944B8F" w:rsidP="00762FA7">
            <w:pPr>
              <w:outlineLvl w:val="0"/>
              <w:rPr>
                <w:del w:id="4731" w:author="AbbVie19" w:date="2025-04-16T10:42:00Z"/>
                <w:szCs w:val="20"/>
              </w:rPr>
            </w:pPr>
            <w:del w:id="4732" w:author="AbbVie19" w:date="2025-04-16T10:42:00Z">
              <w:r w:rsidRPr="00BC0E7E">
                <w:rPr>
                  <w:szCs w:val="20"/>
                </w:rPr>
                <w:delText>benign neoplasm</w:delText>
              </w:r>
            </w:del>
          </w:p>
          <w:p w14:paraId="09D131B2" w14:textId="77777777" w:rsidR="00BC0E7E" w:rsidRPr="00BC0E7E" w:rsidRDefault="00BC0E7E" w:rsidP="00762FA7">
            <w:pPr>
              <w:widowControl w:val="0"/>
              <w:spacing w:before="60"/>
              <w:rPr>
                <w:del w:id="4733" w:author="AbbVie19" w:date="2025-04-16T10:42:00Z"/>
                <w:szCs w:val="20"/>
              </w:rPr>
            </w:pPr>
          </w:p>
        </w:tc>
      </w:tr>
      <w:tr w:rsidR="00C6578C" w14:paraId="10EBECA5" w14:textId="77777777" w:rsidTr="000244DF">
        <w:trPr>
          <w:del w:id="4734" w:author="AbbVie19" w:date="2025-04-16T10:42:00Z"/>
        </w:trPr>
        <w:tc>
          <w:tcPr>
            <w:tcW w:w="2600" w:type="dxa"/>
            <w:vMerge/>
          </w:tcPr>
          <w:p w14:paraId="0520DA5C" w14:textId="77777777" w:rsidR="00BC0E7E" w:rsidRPr="00BC0E7E" w:rsidRDefault="00BC0E7E" w:rsidP="00762FA7">
            <w:pPr>
              <w:widowControl w:val="0"/>
              <w:spacing w:before="60"/>
              <w:jc w:val="center"/>
              <w:rPr>
                <w:del w:id="4735" w:author="AbbVie19" w:date="2025-04-16T10:42:00Z"/>
                <w:b/>
              </w:rPr>
            </w:pPr>
          </w:p>
        </w:tc>
        <w:tc>
          <w:tcPr>
            <w:tcW w:w="2074" w:type="dxa"/>
          </w:tcPr>
          <w:p w14:paraId="5865A71B" w14:textId="77777777" w:rsidR="00BC0E7E" w:rsidRPr="00BC0E7E" w:rsidRDefault="00944B8F" w:rsidP="00762FA7">
            <w:pPr>
              <w:widowControl w:val="0"/>
              <w:rPr>
                <w:del w:id="4736" w:author="AbbVie19" w:date="2025-04-16T10:42:00Z"/>
                <w:szCs w:val="20"/>
              </w:rPr>
            </w:pPr>
            <w:del w:id="4737" w:author="AbbVie19" w:date="2025-04-16T10:42:00Z">
              <w:r w:rsidRPr="00BC0E7E">
                <w:rPr>
                  <w:szCs w:val="20"/>
                </w:rPr>
                <w:delText>Uncommon</w:delText>
              </w:r>
            </w:del>
          </w:p>
          <w:p w14:paraId="4EC88CAD" w14:textId="77777777" w:rsidR="00BC0E7E" w:rsidRPr="00BC0E7E" w:rsidRDefault="00BC0E7E" w:rsidP="00762FA7">
            <w:pPr>
              <w:widowControl w:val="0"/>
              <w:rPr>
                <w:del w:id="4738" w:author="AbbVie19" w:date="2025-04-16T10:42:00Z"/>
                <w:szCs w:val="20"/>
              </w:rPr>
            </w:pPr>
          </w:p>
        </w:tc>
        <w:tc>
          <w:tcPr>
            <w:tcW w:w="4575" w:type="dxa"/>
          </w:tcPr>
          <w:p w14:paraId="7EC9A8D4" w14:textId="77777777" w:rsidR="00BC0E7E" w:rsidRPr="00BC0E7E" w:rsidRDefault="00944B8F" w:rsidP="00762FA7">
            <w:pPr>
              <w:widowControl w:val="0"/>
              <w:rPr>
                <w:del w:id="4739" w:author="AbbVie19" w:date="2025-04-16T10:42:00Z"/>
                <w:szCs w:val="20"/>
              </w:rPr>
            </w:pPr>
            <w:del w:id="4740" w:author="AbbVie19" w:date="2025-04-16T10:42:00Z">
              <w:r>
                <w:rPr>
                  <w:szCs w:val="20"/>
                </w:rPr>
                <w:delText>L</w:delText>
              </w:r>
              <w:r w:rsidRPr="00BC0E7E">
                <w:rPr>
                  <w:szCs w:val="20"/>
                </w:rPr>
                <w:delText xml:space="preserve">ymphoma**, </w:delText>
              </w:r>
            </w:del>
          </w:p>
          <w:p w14:paraId="195EC102" w14:textId="77777777" w:rsidR="00BC0E7E" w:rsidRPr="00BC0E7E" w:rsidRDefault="00944B8F" w:rsidP="00762FA7">
            <w:pPr>
              <w:widowControl w:val="0"/>
              <w:rPr>
                <w:del w:id="4741" w:author="AbbVie19" w:date="2025-04-16T10:42:00Z"/>
                <w:szCs w:val="20"/>
              </w:rPr>
            </w:pPr>
            <w:del w:id="4742" w:author="AbbVie19" w:date="2025-04-16T10:42:00Z">
              <w:r w:rsidRPr="00BC0E7E">
                <w:rPr>
                  <w:szCs w:val="20"/>
                </w:rPr>
                <w:delText xml:space="preserve">solid organ neoplasm (including breast cancer, lung neoplasm and thyroid neoplasm), </w:delText>
              </w:r>
            </w:del>
          </w:p>
          <w:p w14:paraId="631F2418" w14:textId="77777777" w:rsidR="00BC0E7E" w:rsidRPr="00BC0E7E" w:rsidRDefault="00944B8F" w:rsidP="00762FA7">
            <w:pPr>
              <w:widowControl w:val="0"/>
              <w:rPr>
                <w:del w:id="4743" w:author="AbbVie19" w:date="2025-04-16T10:42:00Z"/>
                <w:szCs w:val="20"/>
              </w:rPr>
            </w:pPr>
            <w:del w:id="4744" w:author="AbbVie19" w:date="2025-04-16T10:42:00Z">
              <w:r w:rsidRPr="00BC0E7E">
                <w:rPr>
                  <w:szCs w:val="20"/>
                </w:rPr>
                <w:delText>melanoma**</w:delText>
              </w:r>
            </w:del>
          </w:p>
          <w:p w14:paraId="3CB899AA" w14:textId="77777777" w:rsidR="00BC0E7E" w:rsidRPr="00BC0E7E" w:rsidRDefault="00BC0E7E" w:rsidP="00762FA7">
            <w:pPr>
              <w:widowControl w:val="0"/>
              <w:rPr>
                <w:del w:id="4745" w:author="AbbVie19" w:date="2025-04-16T10:42:00Z"/>
                <w:szCs w:val="20"/>
              </w:rPr>
            </w:pPr>
          </w:p>
        </w:tc>
      </w:tr>
      <w:tr w:rsidR="00C6578C" w14:paraId="7D22C398" w14:textId="77777777" w:rsidTr="000244DF">
        <w:trPr>
          <w:trHeight w:val="323"/>
          <w:del w:id="4746" w:author="AbbVie19" w:date="2025-04-16T10:42:00Z"/>
        </w:trPr>
        <w:tc>
          <w:tcPr>
            <w:tcW w:w="2600" w:type="dxa"/>
            <w:vMerge w:val="restart"/>
          </w:tcPr>
          <w:p w14:paraId="45E24045" w14:textId="77777777" w:rsidR="00BC0E7E" w:rsidRPr="00BC0E7E" w:rsidRDefault="00BC0E7E" w:rsidP="00762FA7">
            <w:pPr>
              <w:widowControl w:val="0"/>
              <w:spacing w:before="60"/>
              <w:rPr>
                <w:del w:id="4747" w:author="AbbVie19" w:date="2025-04-16T10:42:00Z"/>
              </w:rPr>
            </w:pPr>
          </w:p>
        </w:tc>
        <w:tc>
          <w:tcPr>
            <w:tcW w:w="2074" w:type="dxa"/>
          </w:tcPr>
          <w:p w14:paraId="13C8781A" w14:textId="77777777" w:rsidR="00BC0E7E" w:rsidRPr="00BC0E7E" w:rsidRDefault="00944B8F" w:rsidP="00762FA7">
            <w:pPr>
              <w:outlineLvl w:val="0"/>
              <w:rPr>
                <w:del w:id="4748" w:author="AbbVie19" w:date="2025-04-16T10:42:00Z"/>
                <w:szCs w:val="20"/>
              </w:rPr>
            </w:pPr>
            <w:del w:id="4749" w:author="AbbVie19" w:date="2025-04-16T10:42:00Z">
              <w:r w:rsidRPr="00BC0E7E">
                <w:rPr>
                  <w:szCs w:val="20"/>
                </w:rPr>
                <w:delText>Rare</w:delText>
              </w:r>
            </w:del>
          </w:p>
        </w:tc>
        <w:tc>
          <w:tcPr>
            <w:tcW w:w="4575" w:type="dxa"/>
          </w:tcPr>
          <w:p w14:paraId="0CB4398B" w14:textId="77777777" w:rsidR="00BC0E7E" w:rsidRPr="00BC0E7E" w:rsidRDefault="00944B8F" w:rsidP="00762FA7">
            <w:pPr>
              <w:outlineLvl w:val="0"/>
              <w:rPr>
                <w:del w:id="4750" w:author="AbbVie19" w:date="2025-04-16T10:42:00Z"/>
              </w:rPr>
            </w:pPr>
            <w:del w:id="4751" w:author="AbbVie19" w:date="2025-04-16T10:42:00Z">
              <w:r>
                <w:delText>L</w:delText>
              </w:r>
              <w:r w:rsidRPr="00BC0E7E">
                <w:delText>eukaemia</w:delText>
              </w:r>
              <w:r w:rsidRPr="00BC0E7E">
                <w:rPr>
                  <w:vertAlign w:val="superscript"/>
                </w:rPr>
                <w:delText>1)</w:delText>
              </w:r>
            </w:del>
          </w:p>
          <w:p w14:paraId="79103088" w14:textId="77777777" w:rsidR="00BC0E7E" w:rsidRPr="00BC0E7E" w:rsidRDefault="00BC0E7E" w:rsidP="00762FA7">
            <w:pPr>
              <w:outlineLvl w:val="0"/>
              <w:rPr>
                <w:del w:id="4752" w:author="AbbVie19" w:date="2025-04-16T10:42:00Z"/>
              </w:rPr>
            </w:pPr>
          </w:p>
        </w:tc>
      </w:tr>
      <w:tr w:rsidR="00C6578C" w14:paraId="1A6D7591" w14:textId="77777777" w:rsidTr="000244DF">
        <w:trPr>
          <w:trHeight w:val="322"/>
          <w:del w:id="4753" w:author="AbbVie19" w:date="2025-04-16T10:42:00Z"/>
        </w:trPr>
        <w:tc>
          <w:tcPr>
            <w:tcW w:w="2600" w:type="dxa"/>
            <w:vMerge/>
          </w:tcPr>
          <w:p w14:paraId="39B69787" w14:textId="77777777" w:rsidR="00BC0E7E" w:rsidRPr="00BC0E7E" w:rsidRDefault="00BC0E7E" w:rsidP="00762FA7">
            <w:pPr>
              <w:widowControl w:val="0"/>
              <w:spacing w:before="60"/>
              <w:rPr>
                <w:del w:id="4754" w:author="AbbVie19" w:date="2025-04-16T10:42:00Z"/>
              </w:rPr>
            </w:pPr>
          </w:p>
        </w:tc>
        <w:tc>
          <w:tcPr>
            <w:tcW w:w="2074" w:type="dxa"/>
          </w:tcPr>
          <w:p w14:paraId="2CDFF2E1" w14:textId="77777777" w:rsidR="00BC0E7E" w:rsidRPr="00BC0E7E" w:rsidRDefault="00944B8F" w:rsidP="00762FA7">
            <w:pPr>
              <w:outlineLvl w:val="0"/>
              <w:rPr>
                <w:del w:id="4755" w:author="AbbVie19" w:date="2025-04-16T10:42:00Z"/>
                <w:szCs w:val="20"/>
              </w:rPr>
            </w:pPr>
            <w:del w:id="4756" w:author="AbbVie19" w:date="2025-04-16T10:42:00Z">
              <w:r w:rsidRPr="00BC0E7E">
                <w:rPr>
                  <w:szCs w:val="20"/>
                </w:rPr>
                <w:delText>Not known</w:delText>
              </w:r>
            </w:del>
          </w:p>
        </w:tc>
        <w:tc>
          <w:tcPr>
            <w:tcW w:w="4575" w:type="dxa"/>
          </w:tcPr>
          <w:p w14:paraId="26757D9A" w14:textId="77777777" w:rsidR="00BC0E7E" w:rsidRPr="00BC0E7E" w:rsidRDefault="00944B8F" w:rsidP="00762FA7">
            <w:pPr>
              <w:outlineLvl w:val="0"/>
              <w:rPr>
                <w:del w:id="4757" w:author="AbbVie19" w:date="2025-04-16T10:42:00Z"/>
              </w:rPr>
            </w:pPr>
            <w:del w:id="4758" w:author="AbbVie19" w:date="2025-04-16T10:42:00Z">
              <w:r>
                <w:delText>H</w:delText>
              </w:r>
              <w:r w:rsidRPr="00BC0E7E">
                <w:delText>epatosplenic T-cell lymphoma</w:delText>
              </w:r>
              <w:r w:rsidRPr="00BC0E7E">
                <w:rPr>
                  <w:vertAlign w:val="superscript"/>
                </w:rPr>
                <w:delText>1)</w:delText>
              </w:r>
              <w:r w:rsidRPr="00BC0E7E">
                <w:delText>,</w:delText>
              </w:r>
            </w:del>
          </w:p>
          <w:p w14:paraId="04604AF3" w14:textId="77777777" w:rsidR="00BC0E7E" w:rsidRDefault="00944B8F" w:rsidP="00762FA7">
            <w:pPr>
              <w:outlineLvl w:val="0"/>
              <w:rPr>
                <w:del w:id="4759" w:author="AbbVie19" w:date="2025-04-16T10:42:00Z"/>
              </w:rPr>
            </w:pPr>
            <w:del w:id="4760" w:author="AbbVie19" w:date="2025-04-16T10:42:00Z">
              <w:r w:rsidRPr="00BC0E7E">
                <w:delText>Merkel cell carcinoma (neuroendocrine carcinoma of the skin)</w:delText>
              </w:r>
              <w:r w:rsidRPr="00BC0E7E">
                <w:rPr>
                  <w:vertAlign w:val="superscript"/>
                </w:rPr>
                <w:delText>1)</w:delText>
              </w:r>
              <w:r w:rsidR="000A4E90">
                <w:delText>,</w:delText>
              </w:r>
            </w:del>
          </w:p>
          <w:p w14:paraId="7D28031F" w14:textId="77777777" w:rsidR="000A4E90" w:rsidRPr="000A4E90" w:rsidRDefault="00944B8F" w:rsidP="00762FA7">
            <w:pPr>
              <w:outlineLvl w:val="0"/>
              <w:rPr>
                <w:del w:id="4761" w:author="AbbVie19" w:date="2025-04-16T10:42:00Z"/>
              </w:rPr>
            </w:pPr>
            <w:del w:id="4762" w:author="AbbVie19" w:date="2025-04-16T10:42:00Z">
              <w:r>
                <w:delText>Kaposi’s sarcoma</w:delText>
              </w:r>
            </w:del>
          </w:p>
          <w:p w14:paraId="030CBAF8" w14:textId="77777777" w:rsidR="00BC0E7E" w:rsidRPr="00BC0E7E" w:rsidRDefault="00BC0E7E" w:rsidP="00762FA7">
            <w:pPr>
              <w:outlineLvl w:val="0"/>
              <w:rPr>
                <w:del w:id="4763" w:author="AbbVie19" w:date="2025-04-16T10:42:00Z"/>
              </w:rPr>
            </w:pPr>
          </w:p>
        </w:tc>
      </w:tr>
      <w:tr w:rsidR="00C6578C" w14:paraId="4032B874" w14:textId="77777777" w:rsidTr="000244DF">
        <w:trPr>
          <w:del w:id="4764" w:author="AbbVie19" w:date="2025-04-16T10:42:00Z"/>
        </w:trPr>
        <w:tc>
          <w:tcPr>
            <w:tcW w:w="2600" w:type="dxa"/>
            <w:vMerge w:val="restart"/>
          </w:tcPr>
          <w:p w14:paraId="7443FB5D" w14:textId="77777777" w:rsidR="00BC0E7E" w:rsidRPr="00BC0E7E" w:rsidRDefault="00944B8F" w:rsidP="00762FA7">
            <w:pPr>
              <w:widowControl w:val="0"/>
              <w:spacing w:before="60"/>
              <w:rPr>
                <w:del w:id="4765" w:author="AbbVie19" w:date="2025-04-16T10:42:00Z"/>
                <w:b/>
              </w:rPr>
            </w:pPr>
            <w:del w:id="4766" w:author="AbbVie19" w:date="2025-04-16T10:42:00Z">
              <w:r w:rsidRPr="00BC0E7E">
                <w:delText>Blood and the lymphatic system disorders*</w:delText>
              </w:r>
            </w:del>
          </w:p>
        </w:tc>
        <w:tc>
          <w:tcPr>
            <w:tcW w:w="2074" w:type="dxa"/>
          </w:tcPr>
          <w:p w14:paraId="6F0F1EC3" w14:textId="77777777" w:rsidR="00BC0E7E" w:rsidRPr="00BC0E7E" w:rsidRDefault="00944B8F" w:rsidP="00762FA7">
            <w:pPr>
              <w:outlineLvl w:val="0"/>
              <w:rPr>
                <w:del w:id="4767" w:author="AbbVie19" w:date="2025-04-16T10:42:00Z"/>
                <w:szCs w:val="20"/>
              </w:rPr>
            </w:pPr>
            <w:del w:id="4768" w:author="AbbVie19" w:date="2025-04-16T10:42:00Z">
              <w:r w:rsidRPr="00BC0E7E">
                <w:rPr>
                  <w:szCs w:val="20"/>
                </w:rPr>
                <w:delText>Very common</w:delText>
              </w:r>
            </w:del>
          </w:p>
          <w:p w14:paraId="321C01F9" w14:textId="77777777" w:rsidR="00BC0E7E" w:rsidRPr="00BC0E7E" w:rsidRDefault="00BC0E7E" w:rsidP="00762FA7">
            <w:pPr>
              <w:outlineLvl w:val="0"/>
              <w:rPr>
                <w:del w:id="4769" w:author="AbbVie19" w:date="2025-04-16T10:42:00Z"/>
                <w:szCs w:val="20"/>
              </w:rPr>
            </w:pPr>
          </w:p>
        </w:tc>
        <w:tc>
          <w:tcPr>
            <w:tcW w:w="4575" w:type="dxa"/>
          </w:tcPr>
          <w:p w14:paraId="77846CEB" w14:textId="77777777" w:rsidR="00BC0E7E" w:rsidRPr="00BC0E7E" w:rsidRDefault="00944B8F" w:rsidP="00762FA7">
            <w:pPr>
              <w:outlineLvl w:val="0"/>
              <w:rPr>
                <w:del w:id="4770" w:author="AbbVie19" w:date="2025-04-16T10:42:00Z"/>
              </w:rPr>
            </w:pPr>
            <w:del w:id="4771" w:author="AbbVie19" w:date="2025-04-16T10:42:00Z">
              <w:r>
                <w:delText>L</w:delText>
              </w:r>
              <w:r w:rsidRPr="00BC0E7E">
                <w:delText xml:space="preserve">eukopenia (including neutropenia and agranulocytosis), </w:delText>
              </w:r>
            </w:del>
          </w:p>
          <w:p w14:paraId="2E536DCE" w14:textId="77777777" w:rsidR="00BC0E7E" w:rsidRPr="00BC0E7E" w:rsidRDefault="00944B8F" w:rsidP="00762FA7">
            <w:pPr>
              <w:outlineLvl w:val="0"/>
              <w:rPr>
                <w:del w:id="4772" w:author="AbbVie19" w:date="2025-04-16T10:42:00Z"/>
              </w:rPr>
            </w:pPr>
            <w:del w:id="4773" w:author="AbbVie19" w:date="2025-04-16T10:42:00Z">
              <w:r w:rsidRPr="00BC0E7E">
                <w:delText>anaemia</w:delText>
              </w:r>
            </w:del>
          </w:p>
          <w:p w14:paraId="51A84A2E" w14:textId="77777777" w:rsidR="00BC0E7E" w:rsidRPr="00BC0E7E" w:rsidRDefault="00BC0E7E" w:rsidP="00762FA7">
            <w:pPr>
              <w:outlineLvl w:val="0"/>
              <w:rPr>
                <w:del w:id="4774" w:author="AbbVie19" w:date="2025-04-16T10:42:00Z"/>
                <w:b/>
              </w:rPr>
            </w:pPr>
          </w:p>
        </w:tc>
      </w:tr>
      <w:tr w:rsidR="00C6578C" w14:paraId="1E6582B2" w14:textId="77777777" w:rsidTr="000244DF">
        <w:trPr>
          <w:del w:id="4775" w:author="AbbVie19" w:date="2025-04-16T10:42:00Z"/>
        </w:trPr>
        <w:tc>
          <w:tcPr>
            <w:tcW w:w="2600" w:type="dxa"/>
            <w:vMerge/>
          </w:tcPr>
          <w:p w14:paraId="74DB09A3" w14:textId="77777777" w:rsidR="00BC0E7E" w:rsidRPr="00BC0E7E" w:rsidRDefault="00BC0E7E" w:rsidP="00762FA7">
            <w:pPr>
              <w:widowControl w:val="0"/>
              <w:spacing w:beforeLines="60" w:before="144"/>
              <w:jc w:val="center"/>
              <w:rPr>
                <w:del w:id="4776" w:author="AbbVie19" w:date="2025-04-16T10:42:00Z"/>
                <w:b/>
              </w:rPr>
            </w:pPr>
          </w:p>
        </w:tc>
        <w:tc>
          <w:tcPr>
            <w:tcW w:w="2074" w:type="dxa"/>
          </w:tcPr>
          <w:p w14:paraId="120DA7B5" w14:textId="77777777" w:rsidR="00BC0E7E" w:rsidRPr="00BC0E7E" w:rsidRDefault="00944B8F" w:rsidP="00762FA7">
            <w:pPr>
              <w:outlineLvl w:val="0"/>
              <w:rPr>
                <w:del w:id="4777" w:author="AbbVie19" w:date="2025-04-16T10:42:00Z"/>
                <w:szCs w:val="20"/>
              </w:rPr>
            </w:pPr>
            <w:del w:id="4778" w:author="AbbVie19" w:date="2025-04-16T10:42:00Z">
              <w:r w:rsidRPr="00BC0E7E">
                <w:rPr>
                  <w:szCs w:val="20"/>
                </w:rPr>
                <w:delText>Common</w:delText>
              </w:r>
            </w:del>
          </w:p>
        </w:tc>
        <w:tc>
          <w:tcPr>
            <w:tcW w:w="4575" w:type="dxa"/>
          </w:tcPr>
          <w:p w14:paraId="30E7770A" w14:textId="77777777" w:rsidR="00BC0E7E" w:rsidRPr="00BC0E7E" w:rsidRDefault="00944B8F" w:rsidP="00762FA7">
            <w:pPr>
              <w:outlineLvl w:val="0"/>
              <w:rPr>
                <w:del w:id="4779" w:author="AbbVie19" w:date="2025-04-16T10:42:00Z"/>
              </w:rPr>
            </w:pPr>
            <w:del w:id="4780" w:author="AbbVie19" w:date="2025-04-16T10:42:00Z">
              <w:r>
                <w:delText>L</w:delText>
              </w:r>
              <w:r w:rsidRPr="00BC0E7E">
                <w:delText>eucocytosis,</w:delText>
              </w:r>
            </w:del>
          </w:p>
          <w:p w14:paraId="3ACE7B85" w14:textId="77777777" w:rsidR="00BC0E7E" w:rsidRPr="00BC0E7E" w:rsidRDefault="00944B8F" w:rsidP="00762FA7">
            <w:pPr>
              <w:outlineLvl w:val="0"/>
              <w:rPr>
                <w:del w:id="4781" w:author="AbbVie19" w:date="2025-04-16T10:42:00Z"/>
              </w:rPr>
            </w:pPr>
            <w:del w:id="4782" w:author="AbbVie19" w:date="2025-04-16T10:42:00Z">
              <w:r w:rsidRPr="00BC0E7E">
                <w:delText>thrombocytopenia</w:delText>
              </w:r>
            </w:del>
          </w:p>
        </w:tc>
      </w:tr>
      <w:tr w:rsidR="00C6578C" w14:paraId="3780E4A1" w14:textId="77777777" w:rsidTr="000244DF">
        <w:trPr>
          <w:del w:id="4783" w:author="AbbVie19" w:date="2025-04-16T10:42:00Z"/>
        </w:trPr>
        <w:tc>
          <w:tcPr>
            <w:tcW w:w="2600" w:type="dxa"/>
            <w:vMerge/>
          </w:tcPr>
          <w:p w14:paraId="3753B74A" w14:textId="77777777" w:rsidR="00BC0E7E" w:rsidRPr="00BC0E7E" w:rsidRDefault="00BC0E7E" w:rsidP="00762FA7">
            <w:pPr>
              <w:widowControl w:val="0"/>
              <w:spacing w:beforeLines="60" w:before="144"/>
              <w:jc w:val="center"/>
              <w:rPr>
                <w:del w:id="4784" w:author="AbbVie19" w:date="2025-04-16T10:42:00Z"/>
                <w:b/>
              </w:rPr>
            </w:pPr>
          </w:p>
        </w:tc>
        <w:tc>
          <w:tcPr>
            <w:tcW w:w="2074" w:type="dxa"/>
          </w:tcPr>
          <w:p w14:paraId="21AB5672" w14:textId="77777777" w:rsidR="00BC0E7E" w:rsidRPr="00BC0E7E" w:rsidRDefault="00944B8F" w:rsidP="00762FA7">
            <w:pPr>
              <w:outlineLvl w:val="0"/>
              <w:rPr>
                <w:del w:id="4785" w:author="AbbVie19" w:date="2025-04-16T10:42:00Z"/>
                <w:szCs w:val="20"/>
              </w:rPr>
            </w:pPr>
            <w:del w:id="4786" w:author="AbbVie19" w:date="2025-04-16T10:42:00Z">
              <w:r w:rsidRPr="00BC0E7E">
                <w:rPr>
                  <w:szCs w:val="20"/>
                </w:rPr>
                <w:delText>Uncommon</w:delText>
              </w:r>
            </w:del>
          </w:p>
        </w:tc>
        <w:tc>
          <w:tcPr>
            <w:tcW w:w="4575" w:type="dxa"/>
          </w:tcPr>
          <w:p w14:paraId="45200E9C" w14:textId="77777777" w:rsidR="00BC0E7E" w:rsidRPr="00BC0E7E" w:rsidRDefault="00944B8F" w:rsidP="00762FA7">
            <w:pPr>
              <w:widowControl w:val="0"/>
              <w:rPr>
                <w:del w:id="4787" w:author="AbbVie19" w:date="2025-04-16T10:42:00Z"/>
              </w:rPr>
            </w:pPr>
            <w:del w:id="4788" w:author="AbbVie19" w:date="2025-04-16T10:42:00Z">
              <w:r>
                <w:delText>I</w:delText>
              </w:r>
              <w:r w:rsidRPr="00BC0E7E">
                <w:delText>diopathic thrombocytopenic purpura</w:delText>
              </w:r>
            </w:del>
          </w:p>
          <w:p w14:paraId="79DD3D2D" w14:textId="77777777" w:rsidR="00BC0E7E" w:rsidRPr="00BC0E7E" w:rsidRDefault="00BC0E7E" w:rsidP="00762FA7">
            <w:pPr>
              <w:widowControl w:val="0"/>
              <w:rPr>
                <w:del w:id="4789" w:author="AbbVie19" w:date="2025-04-16T10:42:00Z"/>
              </w:rPr>
            </w:pPr>
          </w:p>
        </w:tc>
      </w:tr>
      <w:tr w:rsidR="00C6578C" w14:paraId="10FFAD31" w14:textId="77777777" w:rsidTr="000244DF">
        <w:trPr>
          <w:del w:id="4790" w:author="AbbVie19" w:date="2025-04-16T10:42:00Z"/>
        </w:trPr>
        <w:tc>
          <w:tcPr>
            <w:tcW w:w="2600" w:type="dxa"/>
            <w:vMerge/>
          </w:tcPr>
          <w:p w14:paraId="66CFC2F0" w14:textId="77777777" w:rsidR="00BC0E7E" w:rsidRPr="00BC0E7E" w:rsidRDefault="00BC0E7E" w:rsidP="00762FA7">
            <w:pPr>
              <w:widowControl w:val="0"/>
              <w:spacing w:beforeLines="60" w:before="144"/>
              <w:jc w:val="center"/>
              <w:rPr>
                <w:del w:id="4791" w:author="AbbVie19" w:date="2025-04-16T10:42:00Z"/>
                <w:b/>
              </w:rPr>
            </w:pPr>
          </w:p>
        </w:tc>
        <w:tc>
          <w:tcPr>
            <w:tcW w:w="2074" w:type="dxa"/>
          </w:tcPr>
          <w:p w14:paraId="4B7651D8" w14:textId="77777777" w:rsidR="00BC0E7E" w:rsidRPr="00BC0E7E" w:rsidRDefault="00944B8F" w:rsidP="00762FA7">
            <w:pPr>
              <w:widowControl w:val="0"/>
              <w:jc w:val="both"/>
              <w:rPr>
                <w:del w:id="4792" w:author="AbbVie19" w:date="2025-04-16T10:42:00Z"/>
                <w:szCs w:val="20"/>
              </w:rPr>
            </w:pPr>
            <w:del w:id="4793" w:author="AbbVie19" w:date="2025-04-16T10:42:00Z">
              <w:r w:rsidRPr="00BC0E7E">
                <w:rPr>
                  <w:szCs w:val="20"/>
                </w:rPr>
                <w:delText>Rare</w:delText>
              </w:r>
            </w:del>
          </w:p>
          <w:p w14:paraId="152EB173" w14:textId="77777777" w:rsidR="00BC0E7E" w:rsidRPr="00BC0E7E" w:rsidRDefault="00BC0E7E" w:rsidP="00762FA7">
            <w:pPr>
              <w:widowControl w:val="0"/>
              <w:jc w:val="both"/>
              <w:rPr>
                <w:del w:id="4794" w:author="AbbVie19" w:date="2025-04-16T10:42:00Z"/>
                <w:szCs w:val="20"/>
              </w:rPr>
            </w:pPr>
          </w:p>
        </w:tc>
        <w:tc>
          <w:tcPr>
            <w:tcW w:w="4575" w:type="dxa"/>
          </w:tcPr>
          <w:p w14:paraId="3B5A446C" w14:textId="77777777" w:rsidR="00BC0E7E" w:rsidRPr="00BC0E7E" w:rsidRDefault="00944B8F" w:rsidP="00762FA7">
            <w:pPr>
              <w:widowControl w:val="0"/>
              <w:rPr>
                <w:del w:id="4795" w:author="AbbVie19" w:date="2025-04-16T10:42:00Z"/>
                <w:b/>
              </w:rPr>
            </w:pPr>
            <w:del w:id="4796" w:author="AbbVie19" w:date="2025-04-16T10:42:00Z">
              <w:r>
                <w:delText>P</w:delText>
              </w:r>
              <w:r w:rsidRPr="00BC0E7E">
                <w:delText>ancytopenia</w:delText>
              </w:r>
            </w:del>
          </w:p>
        </w:tc>
      </w:tr>
      <w:tr w:rsidR="00C6578C" w14:paraId="040EC329" w14:textId="77777777" w:rsidTr="000244DF">
        <w:trPr>
          <w:del w:id="4797" w:author="AbbVie19" w:date="2025-04-16T10:42:00Z"/>
        </w:trPr>
        <w:tc>
          <w:tcPr>
            <w:tcW w:w="2600" w:type="dxa"/>
            <w:vMerge w:val="restart"/>
          </w:tcPr>
          <w:p w14:paraId="3BA3EEFE" w14:textId="77777777" w:rsidR="00BC0E7E" w:rsidRPr="00BC0E7E" w:rsidRDefault="00944B8F" w:rsidP="00762FA7">
            <w:pPr>
              <w:widowControl w:val="0"/>
              <w:spacing w:before="60"/>
              <w:rPr>
                <w:del w:id="4798" w:author="AbbVie19" w:date="2025-04-16T10:42:00Z"/>
                <w:szCs w:val="20"/>
                <w:lang w:val="de-DE"/>
              </w:rPr>
            </w:pPr>
            <w:del w:id="4799" w:author="AbbVie19" w:date="2025-04-16T10:42:00Z">
              <w:r w:rsidRPr="00BC0E7E">
                <w:rPr>
                  <w:szCs w:val="20"/>
                  <w:lang w:val="de-DE"/>
                </w:rPr>
                <w:delText>Immune system disorders*</w:delText>
              </w:r>
            </w:del>
          </w:p>
        </w:tc>
        <w:tc>
          <w:tcPr>
            <w:tcW w:w="2074" w:type="dxa"/>
          </w:tcPr>
          <w:p w14:paraId="1B1456F9" w14:textId="77777777" w:rsidR="00BC0E7E" w:rsidRPr="00BC0E7E" w:rsidRDefault="00944B8F" w:rsidP="00762FA7">
            <w:pPr>
              <w:widowControl w:val="0"/>
              <w:spacing w:before="60"/>
              <w:rPr>
                <w:del w:id="4800" w:author="AbbVie19" w:date="2025-04-16T10:42:00Z"/>
                <w:szCs w:val="20"/>
              </w:rPr>
            </w:pPr>
            <w:del w:id="4801" w:author="AbbVie19" w:date="2025-04-16T10:42:00Z">
              <w:r w:rsidRPr="00BC0E7E">
                <w:rPr>
                  <w:szCs w:val="20"/>
                </w:rPr>
                <w:delText>Common</w:delText>
              </w:r>
            </w:del>
          </w:p>
          <w:p w14:paraId="765959FB" w14:textId="77777777" w:rsidR="00BC0E7E" w:rsidRPr="00BC0E7E" w:rsidRDefault="00BC0E7E" w:rsidP="00762FA7">
            <w:pPr>
              <w:widowControl w:val="0"/>
              <w:spacing w:before="60"/>
              <w:rPr>
                <w:del w:id="4802" w:author="AbbVie19" w:date="2025-04-16T10:42:00Z"/>
                <w:szCs w:val="20"/>
              </w:rPr>
            </w:pPr>
          </w:p>
        </w:tc>
        <w:tc>
          <w:tcPr>
            <w:tcW w:w="4575" w:type="dxa"/>
          </w:tcPr>
          <w:p w14:paraId="5CDDF5FB" w14:textId="77777777" w:rsidR="00BC0E7E" w:rsidRPr="00BC0E7E" w:rsidRDefault="00944B8F" w:rsidP="00762FA7">
            <w:pPr>
              <w:widowControl w:val="0"/>
              <w:spacing w:before="60"/>
              <w:rPr>
                <w:del w:id="4803" w:author="AbbVie19" w:date="2025-04-16T10:42:00Z"/>
                <w:szCs w:val="20"/>
              </w:rPr>
            </w:pPr>
            <w:del w:id="4804" w:author="AbbVie19" w:date="2025-04-16T10:42:00Z">
              <w:r>
                <w:rPr>
                  <w:szCs w:val="20"/>
                </w:rPr>
                <w:delText>H</w:delText>
              </w:r>
              <w:r w:rsidRPr="00BC0E7E">
                <w:rPr>
                  <w:szCs w:val="20"/>
                </w:rPr>
                <w:delText>ypersensitivity,</w:delText>
              </w:r>
            </w:del>
          </w:p>
          <w:p w14:paraId="4A328B81" w14:textId="77777777" w:rsidR="00BC0E7E" w:rsidRPr="00BC0E7E" w:rsidRDefault="00944B8F" w:rsidP="00762FA7">
            <w:pPr>
              <w:widowControl w:val="0"/>
              <w:spacing w:before="60"/>
              <w:rPr>
                <w:del w:id="4805" w:author="AbbVie19" w:date="2025-04-16T10:42:00Z"/>
                <w:szCs w:val="20"/>
              </w:rPr>
            </w:pPr>
            <w:del w:id="4806" w:author="AbbVie19" w:date="2025-04-16T10:42:00Z">
              <w:r w:rsidRPr="00BC0E7E">
                <w:rPr>
                  <w:szCs w:val="20"/>
                </w:rPr>
                <w:delText>allergies (including seasonal allergy)</w:delText>
              </w:r>
            </w:del>
          </w:p>
          <w:p w14:paraId="101EAE3B" w14:textId="77777777" w:rsidR="00BC0E7E" w:rsidRPr="00BC0E7E" w:rsidRDefault="00BC0E7E" w:rsidP="00762FA7">
            <w:pPr>
              <w:widowControl w:val="0"/>
              <w:spacing w:before="60"/>
              <w:rPr>
                <w:del w:id="4807" w:author="AbbVie19" w:date="2025-04-16T10:42:00Z"/>
                <w:szCs w:val="20"/>
              </w:rPr>
            </w:pPr>
          </w:p>
        </w:tc>
      </w:tr>
      <w:tr w:rsidR="00C6578C" w14:paraId="5F7CB3A2" w14:textId="77777777" w:rsidTr="000244DF">
        <w:trPr>
          <w:del w:id="4808" w:author="AbbVie19" w:date="2025-04-16T10:42:00Z"/>
        </w:trPr>
        <w:tc>
          <w:tcPr>
            <w:tcW w:w="2600" w:type="dxa"/>
            <w:vMerge/>
          </w:tcPr>
          <w:p w14:paraId="4561B870" w14:textId="77777777" w:rsidR="00BC0E7E" w:rsidRPr="00BC0E7E" w:rsidRDefault="00BC0E7E" w:rsidP="00762FA7">
            <w:pPr>
              <w:widowControl w:val="0"/>
              <w:spacing w:before="60"/>
              <w:rPr>
                <w:del w:id="4809" w:author="AbbVie19" w:date="2025-04-16T10:42:00Z"/>
                <w:szCs w:val="20"/>
              </w:rPr>
            </w:pPr>
          </w:p>
        </w:tc>
        <w:tc>
          <w:tcPr>
            <w:tcW w:w="2074" w:type="dxa"/>
          </w:tcPr>
          <w:p w14:paraId="50ED7189" w14:textId="77777777" w:rsidR="00BC0E7E" w:rsidRPr="00BC0E7E" w:rsidRDefault="00944B8F" w:rsidP="00762FA7">
            <w:pPr>
              <w:widowControl w:val="0"/>
              <w:spacing w:before="60"/>
              <w:rPr>
                <w:del w:id="4810" w:author="AbbVie19" w:date="2025-04-16T10:42:00Z"/>
                <w:szCs w:val="20"/>
              </w:rPr>
            </w:pPr>
            <w:del w:id="4811" w:author="AbbVie19" w:date="2025-04-16T10:42:00Z">
              <w:r w:rsidRPr="00BC0E7E">
                <w:rPr>
                  <w:szCs w:val="20"/>
                </w:rPr>
                <w:delText>Uncommon</w:delText>
              </w:r>
            </w:del>
          </w:p>
        </w:tc>
        <w:tc>
          <w:tcPr>
            <w:tcW w:w="4575" w:type="dxa"/>
          </w:tcPr>
          <w:p w14:paraId="40296E3C" w14:textId="77777777" w:rsidR="00BC0E7E" w:rsidRPr="00BC0E7E" w:rsidRDefault="00944B8F" w:rsidP="00762FA7">
            <w:pPr>
              <w:widowControl w:val="0"/>
              <w:spacing w:before="60"/>
              <w:rPr>
                <w:del w:id="4812" w:author="AbbVie19" w:date="2025-04-16T10:42:00Z"/>
                <w:szCs w:val="20"/>
              </w:rPr>
            </w:pPr>
            <w:del w:id="4813" w:author="AbbVie19" w:date="2025-04-16T10:42:00Z">
              <w:r>
                <w:rPr>
                  <w:szCs w:val="20"/>
                </w:rPr>
                <w:delText>S</w:delText>
              </w:r>
              <w:r w:rsidRPr="00BC0E7E">
                <w:rPr>
                  <w:szCs w:val="20"/>
                </w:rPr>
                <w:delText>arcoidosis</w:delText>
              </w:r>
              <w:r w:rsidRPr="00BC0E7E">
                <w:rPr>
                  <w:szCs w:val="20"/>
                  <w:vertAlign w:val="superscript"/>
                </w:rPr>
                <w:delText>1)</w:delText>
              </w:r>
              <w:r w:rsidRPr="00BC0E7E">
                <w:rPr>
                  <w:szCs w:val="20"/>
                </w:rPr>
                <w:delText>,</w:delText>
              </w:r>
            </w:del>
          </w:p>
          <w:p w14:paraId="1076C8FE" w14:textId="77777777" w:rsidR="00BC0E7E" w:rsidRPr="00BC0E7E" w:rsidRDefault="00944B8F" w:rsidP="00762FA7">
            <w:pPr>
              <w:widowControl w:val="0"/>
              <w:spacing w:before="60"/>
              <w:rPr>
                <w:del w:id="4814" w:author="AbbVie19" w:date="2025-04-16T10:42:00Z"/>
                <w:szCs w:val="20"/>
              </w:rPr>
            </w:pPr>
            <w:del w:id="4815" w:author="AbbVie19" w:date="2025-04-16T10:42:00Z">
              <w:r w:rsidRPr="00BC0E7E">
                <w:rPr>
                  <w:szCs w:val="20"/>
                </w:rPr>
                <w:delText>vasculitis</w:delText>
              </w:r>
            </w:del>
          </w:p>
          <w:p w14:paraId="38097FE8" w14:textId="77777777" w:rsidR="00BC0E7E" w:rsidRPr="00BC0E7E" w:rsidRDefault="00BC0E7E" w:rsidP="00762FA7">
            <w:pPr>
              <w:widowControl w:val="0"/>
              <w:spacing w:before="60"/>
              <w:rPr>
                <w:del w:id="4816" w:author="AbbVie19" w:date="2025-04-16T10:42:00Z"/>
                <w:szCs w:val="20"/>
              </w:rPr>
            </w:pPr>
          </w:p>
        </w:tc>
      </w:tr>
      <w:tr w:rsidR="00C6578C" w14:paraId="1BD8779F" w14:textId="77777777" w:rsidTr="000244DF">
        <w:trPr>
          <w:del w:id="4817" w:author="AbbVie19" w:date="2025-04-16T10:42:00Z"/>
        </w:trPr>
        <w:tc>
          <w:tcPr>
            <w:tcW w:w="2600" w:type="dxa"/>
            <w:vMerge/>
          </w:tcPr>
          <w:p w14:paraId="4E042B36" w14:textId="77777777" w:rsidR="00BC0E7E" w:rsidRPr="00BC0E7E" w:rsidRDefault="00BC0E7E" w:rsidP="00762FA7">
            <w:pPr>
              <w:widowControl w:val="0"/>
              <w:spacing w:before="60"/>
              <w:rPr>
                <w:del w:id="4818" w:author="AbbVie19" w:date="2025-04-16T10:42:00Z"/>
                <w:szCs w:val="20"/>
              </w:rPr>
            </w:pPr>
          </w:p>
        </w:tc>
        <w:tc>
          <w:tcPr>
            <w:tcW w:w="2074" w:type="dxa"/>
          </w:tcPr>
          <w:p w14:paraId="10FA9CE6" w14:textId="77777777" w:rsidR="00BC0E7E" w:rsidRPr="00BC0E7E" w:rsidRDefault="00944B8F" w:rsidP="00762FA7">
            <w:pPr>
              <w:widowControl w:val="0"/>
              <w:spacing w:before="60"/>
              <w:rPr>
                <w:del w:id="4819" w:author="AbbVie19" w:date="2025-04-16T10:42:00Z"/>
                <w:szCs w:val="20"/>
              </w:rPr>
            </w:pPr>
            <w:del w:id="4820" w:author="AbbVie19" w:date="2025-04-16T10:42:00Z">
              <w:r w:rsidRPr="00BC0E7E">
                <w:rPr>
                  <w:szCs w:val="20"/>
                </w:rPr>
                <w:delText>Rare</w:delText>
              </w:r>
            </w:del>
          </w:p>
        </w:tc>
        <w:tc>
          <w:tcPr>
            <w:tcW w:w="4575" w:type="dxa"/>
          </w:tcPr>
          <w:p w14:paraId="7961D4B4" w14:textId="77777777" w:rsidR="00BC0E7E" w:rsidRPr="00BC0E7E" w:rsidRDefault="00944B8F" w:rsidP="00762FA7">
            <w:pPr>
              <w:widowControl w:val="0"/>
              <w:spacing w:before="60"/>
              <w:rPr>
                <w:del w:id="4821" w:author="AbbVie19" w:date="2025-04-16T10:42:00Z"/>
                <w:szCs w:val="20"/>
                <w:vertAlign w:val="superscript"/>
              </w:rPr>
            </w:pPr>
            <w:del w:id="4822" w:author="AbbVie19" w:date="2025-04-16T10:42:00Z">
              <w:r>
                <w:rPr>
                  <w:szCs w:val="20"/>
                </w:rPr>
                <w:delText>A</w:delText>
              </w:r>
              <w:r w:rsidRPr="00BC0E7E">
                <w:rPr>
                  <w:szCs w:val="20"/>
                </w:rPr>
                <w:delText>naphylaxis</w:delText>
              </w:r>
              <w:r w:rsidRPr="00BC0E7E">
                <w:rPr>
                  <w:szCs w:val="20"/>
                  <w:vertAlign w:val="superscript"/>
                </w:rPr>
                <w:delText>1)</w:delText>
              </w:r>
            </w:del>
          </w:p>
          <w:p w14:paraId="392A0397" w14:textId="77777777" w:rsidR="00BC0E7E" w:rsidRPr="00BC0E7E" w:rsidRDefault="00BC0E7E" w:rsidP="00762FA7">
            <w:pPr>
              <w:widowControl w:val="0"/>
              <w:spacing w:before="60"/>
              <w:rPr>
                <w:del w:id="4823" w:author="AbbVie19" w:date="2025-04-16T10:42:00Z"/>
                <w:szCs w:val="20"/>
              </w:rPr>
            </w:pPr>
          </w:p>
        </w:tc>
      </w:tr>
      <w:tr w:rsidR="00C6578C" w14:paraId="7DD29B59" w14:textId="77777777" w:rsidTr="000244DF">
        <w:trPr>
          <w:del w:id="4824" w:author="AbbVie19" w:date="2025-04-16T10:42:00Z"/>
        </w:trPr>
        <w:tc>
          <w:tcPr>
            <w:tcW w:w="2600" w:type="dxa"/>
            <w:vMerge w:val="restart"/>
          </w:tcPr>
          <w:p w14:paraId="5A71D857" w14:textId="77777777" w:rsidR="00BC0E7E" w:rsidRPr="00BC0E7E" w:rsidRDefault="00944B8F" w:rsidP="00762FA7">
            <w:pPr>
              <w:widowControl w:val="0"/>
              <w:spacing w:before="60"/>
              <w:rPr>
                <w:del w:id="4825" w:author="AbbVie19" w:date="2025-04-16T10:42:00Z"/>
                <w:szCs w:val="20"/>
              </w:rPr>
            </w:pPr>
            <w:del w:id="4826" w:author="AbbVie19" w:date="2025-04-16T10:42:00Z">
              <w:r w:rsidRPr="00BC0E7E">
                <w:rPr>
                  <w:szCs w:val="20"/>
                </w:rPr>
                <w:delText>Metabolism and nutrition disorders</w:delText>
              </w:r>
            </w:del>
          </w:p>
        </w:tc>
        <w:tc>
          <w:tcPr>
            <w:tcW w:w="2074" w:type="dxa"/>
          </w:tcPr>
          <w:p w14:paraId="5C8569AE" w14:textId="77777777" w:rsidR="00BC0E7E" w:rsidRPr="00BC0E7E" w:rsidRDefault="00944B8F" w:rsidP="00762FA7">
            <w:pPr>
              <w:widowControl w:val="0"/>
              <w:spacing w:before="60"/>
              <w:rPr>
                <w:del w:id="4827" w:author="AbbVie19" w:date="2025-04-16T10:42:00Z"/>
                <w:szCs w:val="20"/>
              </w:rPr>
            </w:pPr>
            <w:del w:id="4828" w:author="AbbVie19" w:date="2025-04-16T10:42:00Z">
              <w:r w:rsidRPr="00BC0E7E">
                <w:rPr>
                  <w:szCs w:val="20"/>
                </w:rPr>
                <w:delText>Very common</w:delText>
              </w:r>
            </w:del>
          </w:p>
          <w:p w14:paraId="05341D85" w14:textId="77777777" w:rsidR="00BC0E7E" w:rsidRPr="00BC0E7E" w:rsidRDefault="00BC0E7E" w:rsidP="00762FA7">
            <w:pPr>
              <w:widowControl w:val="0"/>
              <w:spacing w:before="60"/>
              <w:rPr>
                <w:del w:id="4829" w:author="AbbVie19" w:date="2025-04-16T10:42:00Z"/>
                <w:szCs w:val="20"/>
              </w:rPr>
            </w:pPr>
          </w:p>
        </w:tc>
        <w:tc>
          <w:tcPr>
            <w:tcW w:w="4575" w:type="dxa"/>
          </w:tcPr>
          <w:p w14:paraId="3B5D1A9C" w14:textId="77777777" w:rsidR="00BC0E7E" w:rsidRPr="00BC0E7E" w:rsidRDefault="00944B8F" w:rsidP="00762FA7">
            <w:pPr>
              <w:widowControl w:val="0"/>
              <w:spacing w:before="60"/>
              <w:rPr>
                <w:del w:id="4830" w:author="AbbVie19" w:date="2025-04-16T10:42:00Z"/>
                <w:szCs w:val="20"/>
              </w:rPr>
            </w:pPr>
            <w:del w:id="4831" w:author="AbbVie19" w:date="2025-04-16T10:42:00Z">
              <w:r>
                <w:rPr>
                  <w:szCs w:val="20"/>
                </w:rPr>
                <w:delText>L</w:delText>
              </w:r>
              <w:r w:rsidRPr="00BC0E7E">
                <w:rPr>
                  <w:szCs w:val="20"/>
                </w:rPr>
                <w:delText>ipids increased</w:delText>
              </w:r>
            </w:del>
          </w:p>
        </w:tc>
      </w:tr>
      <w:tr w:rsidR="00C6578C" w14:paraId="0C02ACF6" w14:textId="77777777" w:rsidTr="000244DF">
        <w:trPr>
          <w:trHeight w:val="2687"/>
          <w:del w:id="4832" w:author="AbbVie19" w:date="2025-04-16T10:42:00Z"/>
        </w:trPr>
        <w:tc>
          <w:tcPr>
            <w:tcW w:w="2600" w:type="dxa"/>
            <w:vMerge/>
          </w:tcPr>
          <w:p w14:paraId="139EACE1" w14:textId="77777777" w:rsidR="00BC0E7E" w:rsidRPr="00BC0E7E" w:rsidRDefault="00BC0E7E" w:rsidP="00762FA7">
            <w:pPr>
              <w:widowControl w:val="0"/>
              <w:spacing w:before="60"/>
              <w:rPr>
                <w:del w:id="4833" w:author="AbbVie19" w:date="2025-04-16T10:42:00Z"/>
                <w:szCs w:val="20"/>
              </w:rPr>
            </w:pPr>
          </w:p>
        </w:tc>
        <w:tc>
          <w:tcPr>
            <w:tcW w:w="2074" w:type="dxa"/>
          </w:tcPr>
          <w:p w14:paraId="495AFDD8" w14:textId="77777777" w:rsidR="00BC0E7E" w:rsidRPr="00BC0E7E" w:rsidRDefault="00944B8F" w:rsidP="00762FA7">
            <w:pPr>
              <w:widowControl w:val="0"/>
              <w:spacing w:before="60"/>
              <w:rPr>
                <w:del w:id="4834" w:author="AbbVie19" w:date="2025-04-16T10:42:00Z"/>
                <w:szCs w:val="20"/>
              </w:rPr>
            </w:pPr>
            <w:del w:id="4835" w:author="AbbVie19" w:date="2025-04-16T10:42:00Z">
              <w:r w:rsidRPr="00BC0E7E">
                <w:rPr>
                  <w:szCs w:val="20"/>
                </w:rPr>
                <w:delText>Common</w:delText>
              </w:r>
            </w:del>
          </w:p>
        </w:tc>
        <w:tc>
          <w:tcPr>
            <w:tcW w:w="4575" w:type="dxa"/>
          </w:tcPr>
          <w:p w14:paraId="42C91399" w14:textId="77777777" w:rsidR="00BC0E7E" w:rsidRPr="00BC0E7E" w:rsidRDefault="00944B8F" w:rsidP="00762FA7">
            <w:pPr>
              <w:widowControl w:val="0"/>
              <w:spacing w:before="60"/>
              <w:rPr>
                <w:del w:id="4836" w:author="AbbVie19" w:date="2025-04-16T10:42:00Z"/>
                <w:szCs w:val="20"/>
              </w:rPr>
            </w:pPr>
            <w:del w:id="4837" w:author="AbbVie19" w:date="2025-04-16T10:42:00Z">
              <w:r>
                <w:rPr>
                  <w:szCs w:val="20"/>
                </w:rPr>
                <w:delText>H</w:delText>
              </w:r>
              <w:r w:rsidRPr="00BC0E7E">
                <w:rPr>
                  <w:szCs w:val="20"/>
                </w:rPr>
                <w:delText xml:space="preserve">ypokalaemia, </w:delText>
              </w:r>
            </w:del>
          </w:p>
          <w:p w14:paraId="37019D0A" w14:textId="77777777" w:rsidR="00BC0E7E" w:rsidRPr="00BC0E7E" w:rsidRDefault="00944B8F" w:rsidP="00762FA7">
            <w:pPr>
              <w:widowControl w:val="0"/>
              <w:spacing w:before="60"/>
              <w:rPr>
                <w:del w:id="4838" w:author="AbbVie19" w:date="2025-04-16T10:42:00Z"/>
                <w:szCs w:val="20"/>
              </w:rPr>
            </w:pPr>
            <w:del w:id="4839" w:author="AbbVie19" w:date="2025-04-16T10:42:00Z">
              <w:r w:rsidRPr="00BC0E7E">
                <w:rPr>
                  <w:szCs w:val="20"/>
                </w:rPr>
                <w:delText xml:space="preserve">uric acid increased, </w:delText>
              </w:r>
            </w:del>
          </w:p>
          <w:p w14:paraId="53F254E9" w14:textId="77777777" w:rsidR="00BC0E7E" w:rsidRPr="00BC0E7E" w:rsidRDefault="00944B8F" w:rsidP="00762FA7">
            <w:pPr>
              <w:widowControl w:val="0"/>
              <w:spacing w:before="60"/>
              <w:rPr>
                <w:del w:id="4840" w:author="AbbVie19" w:date="2025-04-16T10:42:00Z"/>
                <w:szCs w:val="20"/>
              </w:rPr>
            </w:pPr>
            <w:del w:id="4841" w:author="AbbVie19" w:date="2025-04-16T10:42:00Z">
              <w:r w:rsidRPr="00BC0E7E">
                <w:rPr>
                  <w:szCs w:val="20"/>
                </w:rPr>
                <w:delText>blood sodium abnormal,</w:delText>
              </w:r>
            </w:del>
          </w:p>
          <w:p w14:paraId="12B0450A" w14:textId="77777777" w:rsidR="00BC0E7E" w:rsidRPr="00BC0E7E" w:rsidRDefault="00944B8F" w:rsidP="00762FA7">
            <w:pPr>
              <w:widowControl w:val="0"/>
              <w:spacing w:before="60"/>
              <w:rPr>
                <w:del w:id="4842" w:author="AbbVie19" w:date="2025-04-16T10:42:00Z"/>
                <w:szCs w:val="20"/>
              </w:rPr>
            </w:pPr>
            <w:del w:id="4843" w:author="AbbVie19" w:date="2025-04-16T10:42:00Z">
              <w:r w:rsidRPr="00BC0E7E">
                <w:rPr>
                  <w:szCs w:val="20"/>
                </w:rPr>
                <w:delText>hypocalcaemia,</w:delText>
              </w:r>
            </w:del>
          </w:p>
          <w:p w14:paraId="0F5554AC" w14:textId="77777777" w:rsidR="00BC0E7E" w:rsidRPr="00BC0E7E" w:rsidRDefault="00944B8F" w:rsidP="00762FA7">
            <w:pPr>
              <w:widowControl w:val="0"/>
              <w:spacing w:before="60"/>
              <w:rPr>
                <w:del w:id="4844" w:author="AbbVie19" w:date="2025-04-16T10:42:00Z"/>
                <w:szCs w:val="20"/>
              </w:rPr>
            </w:pPr>
            <w:del w:id="4845" w:author="AbbVie19" w:date="2025-04-16T10:42:00Z">
              <w:r w:rsidRPr="00BC0E7E">
                <w:rPr>
                  <w:szCs w:val="20"/>
                </w:rPr>
                <w:delText>hyperglycaemia,</w:delText>
              </w:r>
            </w:del>
          </w:p>
          <w:p w14:paraId="579DFB43" w14:textId="77777777" w:rsidR="00BC0E7E" w:rsidRPr="00BC0E7E" w:rsidRDefault="00944B8F" w:rsidP="00762FA7">
            <w:pPr>
              <w:widowControl w:val="0"/>
              <w:spacing w:before="60"/>
              <w:rPr>
                <w:del w:id="4846" w:author="AbbVie19" w:date="2025-04-16T10:42:00Z"/>
                <w:szCs w:val="20"/>
              </w:rPr>
            </w:pPr>
            <w:del w:id="4847" w:author="AbbVie19" w:date="2025-04-16T10:42:00Z">
              <w:r w:rsidRPr="00BC0E7E">
                <w:rPr>
                  <w:szCs w:val="20"/>
                </w:rPr>
                <w:delText>hypophosphatemia,</w:delText>
              </w:r>
            </w:del>
          </w:p>
          <w:p w14:paraId="62BD1CB1" w14:textId="77777777" w:rsidR="00BC0E7E" w:rsidRPr="00BC0E7E" w:rsidRDefault="00944B8F" w:rsidP="00762FA7">
            <w:pPr>
              <w:widowControl w:val="0"/>
              <w:spacing w:before="60"/>
              <w:rPr>
                <w:del w:id="4848" w:author="AbbVie19" w:date="2025-04-16T10:42:00Z"/>
                <w:szCs w:val="20"/>
              </w:rPr>
            </w:pPr>
            <w:del w:id="4849" w:author="AbbVie19" w:date="2025-04-16T10:42:00Z">
              <w:r w:rsidRPr="00BC0E7E">
                <w:rPr>
                  <w:szCs w:val="20"/>
                </w:rPr>
                <w:delText>dehydration</w:delText>
              </w:r>
            </w:del>
          </w:p>
        </w:tc>
      </w:tr>
      <w:tr w:rsidR="00C6578C" w14:paraId="655872A9" w14:textId="77777777" w:rsidTr="000244DF">
        <w:trPr>
          <w:del w:id="4850" w:author="AbbVie19" w:date="2025-04-16T10:42:00Z"/>
        </w:trPr>
        <w:tc>
          <w:tcPr>
            <w:tcW w:w="2600" w:type="dxa"/>
          </w:tcPr>
          <w:p w14:paraId="5DB21A1B" w14:textId="77777777" w:rsidR="00BC0E7E" w:rsidRPr="00BC0E7E" w:rsidRDefault="00944B8F" w:rsidP="00762FA7">
            <w:pPr>
              <w:widowControl w:val="0"/>
              <w:spacing w:before="60"/>
              <w:rPr>
                <w:del w:id="4851" w:author="AbbVie19" w:date="2025-04-16T10:42:00Z"/>
                <w:szCs w:val="20"/>
              </w:rPr>
            </w:pPr>
            <w:del w:id="4852" w:author="AbbVie19" w:date="2025-04-16T10:42:00Z">
              <w:r w:rsidRPr="00BC0E7E">
                <w:rPr>
                  <w:szCs w:val="20"/>
                </w:rPr>
                <w:delText>Psychiatric disorders</w:delText>
              </w:r>
            </w:del>
          </w:p>
        </w:tc>
        <w:tc>
          <w:tcPr>
            <w:tcW w:w="2074" w:type="dxa"/>
          </w:tcPr>
          <w:p w14:paraId="14A05541" w14:textId="77777777" w:rsidR="00BC0E7E" w:rsidRPr="00BC0E7E" w:rsidRDefault="00944B8F" w:rsidP="00762FA7">
            <w:pPr>
              <w:widowControl w:val="0"/>
              <w:spacing w:before="60"/>
              <w:rPr>
                <w:del w:id="4853" w:author="AbbVie19" w:date="2025-04-16T10:42:00Z"/>
                <w:szCs w:val="20"/>
              </w:rPr>
            </w:pPr>
            <w:del w:id="4854" w:author="AbbVie19" w:date="2025-04-16T10:42:00Z">
              <w:r w:rsidRPr="00BC0E7E">
                <w:rPr>
                  <w:szCs w:val="20"/>
                </w:rPr>
                <w:delText>Common</w:delText>
              </w:r>
            </w:del>
          </w:p>
          <w:p w14:paraId="65F3511D" w14:textId="77777777" w:rsidR="00BC0E7E" w:rsidRPr="00BC0E7E" w:rsidRDefault="00BC0E7E" w:rsidP="00762FA7">
            <w:pPr>
              <w:widowControl w:val="0"/>
              <w:spacing w:before="60"/>
              <w:rPr>
                <w:del w:id="4855" w:author="AbbVie19" w:date="2025-04-16T10:42:00Z"/>
                <w:szCs w:val="20"/>
              </w:rPr>
            </w:pPr>
          </w:p>
        </w:tc>
        <w:tc>
          <w:tcPr>
            <w:tcW w:w="4575" w:type="dxa"/>
          </w:tcPr>
          <w:p w14:paraId="427BAFB5" w14:textId="77777777" w:rsidR="00BC0E7E" w:rsidRPr="00BC0E7E" w:rsidRDefault="00944B8F" w:rsidP="00762FA7">
            <w:pPr>
              <w:widowControl w:val="0"/>
              <w:spacing w:before="60"/>
              <w:rPr>
                <w:del w:id="4856" w:author="AbbVie19" w:date="2025-04-16T10:42:00Z"/>
                <w:szCs w:val="20"/>
              </w:rPr>
            </w:pPr>
            <w:del w:id="4857" w:author="AbbVie19" w:date="2025-04-16T10:42:00Z">
              <w:r>
                <w:rPr>
                  <w:szCs w:val="20"/>
                </w:rPr>
                <w:delText>M</w:delText>
              </w:r>
              <w:r w:rsidRPr="00BC0E7E">
                <w:rPr>
                  <w:szCs w:val="20"/>
                </w:rPr>
                <w:delText xml:space="preserve">ood alterations (including depression), </w:delText>
              </w:r>
            </w:del>
          </w:p>
          <w:p w14:paraId="1E109B5B" w14:textId="77777777" w:rsidR="00BC0E7E" w:rsidRPr="00BC0E7E" w:rsidRDefault="00944B8F" w:rsidP="00762FA7">
            <w:pPr>
              <w:widowControl w:val="0"/>
              <w:spacing w:before="60"/>
              <w:rPr>
                <w:del w:id="4858" w:author="AbbVie19" w:date="2025-04-16T10:42:00Z"/>
                <w:szCs w:val="20"/>
              </w:rPr>
            </w:pPr>
            <w:del w:id="4859" w:author="AbbVie19" w:date="2025-04-16T10:42:00Z">
              <w:r w:rsidRPr="00BC0E7E">
                <w:rPr>
                  <w:szCs w:val="20"/>
                </w:rPr>
                <w:delText>anxiety,</w:delText>
              </w:r>
            </w:del>
          </w:p>
          <w:p w14:paraId="7E24BB69" w14:textId="77777777" w:rsidR="00BC0E7E" w:rsidRPr="00BC0E7E" w:rsidRDefault="00944B8F" w:rsidP="00762FA7">
            <w:pPr>
              <w:widowControl w:val="0"/>
              <w:spacing w:before="60"/>
              <w:rPr>
                <w:del w:id="4860" w:author="AbbVie19" w:date="2025-04-16T10:42:00Z"/>
                <w:szCs w:val="20"/>
              </w:rPr>
            </w:pPr>
            <w:del w:id="4861" w:author="AbbVie19" w:date="2025-04-16T10:42:00Z">
              <w:r w:rsidRPr="00BC0E7E">
                <w:rPr>
                  <w:szCs w:val="20"/>
                </w:rPr>
                <w:delText>insomnia</w:delText>
              </w:r>
            </w:del>
          </w:p>
          <w:p w14:paraId="6236A4AD" w14:textId="77777777" w:rsidR="00BC0E7E" w:rsidRPr="00BC0E7E" w:rsidRDefault="00BC0E7E" w:rsidP="00762FA7">
            <w:pPr>
              <w:widowControl w:val="0"/>
              <w:spacing w:before="60"/>
              <w:rPr>
                <w:del w:id="4862" w:author="AbbVie19" w:date="2025-04-16T10:42:00Z"/>
                <w:szCs w:val="20"/>
              </w:rPr>
            </w:pPr>
          </w:p>
        </w:tc>
      </w:tr>
      <w:tr w:rsidR="00C6578C" w14:paraId="6634CC13" w14:textId="77777777" w:rsidTr="000244DF">
        <w:trPr>
          <w:del w:id="4863" w:author="AbbVie19" w:date="2025-04-16T10:42:00Z"/>
        </w:trPr>
        <w:tc>
          <w:tcPr>
            <w:tcW w:w="2600" w:type="dxa"/>
            <w:vMerge w:val="restart"/>
          </w:tcPr>
          <w:p w14:paraId="0D33BA3A" w14:textId="77777777" w:rsidR="00BC0E7E" w:rsidRPr="00BC0E7E" w:rsidRDefault="00944B8F" w:rsidP="00762FA7">
            <w:pPr>
              <w:widowControl w:val="0"/>
              <w:spacing w:before="60"/>
              <w:rPr>
                <w:del w:id="4864" w:author="AbbVie19" w:date="2025-04-16T10:42:00Z"/>
                <w:szCs w:val="20"/>
                <w:lang w:val="de-DE"/>
              </w:rPr>
            </w:pPr>
            <w:del w:id="4865" w:author="AbbVie19" w:date="2025-04-16T10:42:00Z">
              <w:r w:rsidRPr="00BC0E7E">
                <w:rPr>
                  <w:szCs w:val="20"/>
                  <w:lang w:val="de-DE"/>
                </w:rPr>
                <w:delText>Nervous system disorders*</w:delText>
              </w:r>
            </w:del>
          </w:p>
        </w:tc>
        <w:tc>
          <w:tcPr>
            <w:tcW w:w="2074" w:type="dxa"/>
          </w:tcPr>
          <w:p w14:paraId="147C0E14" w14:textId="77777777" w:rsidR="00BC0E7E" w:rsidRPr="00BC0E7E" w:rsidRDefault="00944B8F" w:rsidP="00762FA7">
            <w:pPr>
              <w:widowControl w:val="0"/>
              <w:spacing w:before="60"/>
              <w:rPr>
                <w:del w:id="4866" w:author="AbbVie19" w:date="2025-04-16T10:42:00Z"/>
                <w:szCs w:val="20"/>
              </w:rPr>
            </w:pPr>
            <w:del w:id="4867" w:author="AbbVie19" w:date="2025-04-16T10:42:00Z">
              <w:r w:rsidRPr="00BC0E7E">
                <w:rPr>
                  <w:szCs w:val="20"/>
                </w:rPr>
                <w:delText>Very common</w:delText>
              </w:r>
            </w:del>
          </w:p>
          <w:p w14:paraId="7634C1EB" w14:textId="77777777" w:rsidR="00BC0E7E" w:rsidRPr="00BC0E7E" w:rsidRDefault="00BC0E7E" w:rsidP="00762FA7">
            <w:pPr>
              <w:widowControl w:val="0"/>
              <w:spacing w:before="60"/>
              <w:rPr>
                <w:del w:id="4868" w:author="AbbVie19" w:date="2025-04-16T10:42:00Z"/>
                <w:szCs w:val="20"/>
              </w:rPr>
            </w:pPr>
          </w:p>
        </w:tc>
        <w:tc>
          <w:tcPr>
            <w:tcW w:w="4575" w:type="dxa"/>
          </w:tcPr>
          <w:p w14:paraId="61005E76" w14:textId="77777777" w:rsidR="00BC0E7E" w:rsidRPr="00BC0E7E" w:rsidRDefault="00944B8F" w:rsidP="00762FA7">
            <w:pPr>
              <w:widowControl w:val="0"/>
              <w:spacing w:before="60"/>
              <w:rPr>
                <w:del w:id="4869" w:author="AbbVie19" w:date="2025-04-16T10:42:00Z"/>
                <w:szCs w:val="20"/>
              </w:rPr>
            </w:pPr>
            <w:del w:id="4870" w:author="AbbVie19" w:date="2025-04-16T10:42:00Z">
              <w:r>
                <w:rPr>
                  <w:szCs w:val="20"/>
                </w:rPr>
                <w:delText>H</w:delText>
              </w:r>
              <w:r w:rsidRPr="00BC0E7E">
                <w:rPr>
                  <w:szCs w:val="20"/>
                </w:rPr>
                <w:delText>eadache</w:delText>
              </w:r>
            </w:del>
          </w:p>
        </w:tc>
      </w:tr>
      <w:tr w:rsidR="00C6578C" w14:paraId="1EC23D02" w14:textId="77777777" w:rsidTr="000244DF">
        <w:trPr>
          <w:del w:id="4871" w:author="AbbVie19" w:date="2025-04-16T10:42:00Z"/>
        </w:trPr>
        <w:tc>
          <w:tcPr>
            <w:tcW w:w="2600" w:type="dxa"/>
            <w:vMerge/>
          </w:tcPr>
          <w:p w14:paraId="1285F4BC" w14:textId="77777777" w:rsidR="00BC0E7E" w:rsidRPr="00BC0E7E" w:rsidRDefault="00BC0E7E" w:rsidP="00762FA7">
            <w:pPr>
              <w:widowControl w:val="0"/>
              <w:spacing w:before="60"/>
              <w:rPr>
                <w:del w:id="4872" w:author="AbbVie19" w:date="2025-04-16T10:42:00Z"/>
                <w:szCs w:val="20"/>
                <w:lang w:val="de-DE"/>
              </w:rPr>
            </w:pPr>
          </w:p>
        </w:tc>
        <w:tc>
          <w:tcPr>
            <w:tcW w:w="2074" w:type="dxa"/>
          </w:tcPr>
          <w:p w14:paraId="380A7F21" w14:textId="77777777" w:rsidR="00BC0E7E" w:rsidRPr="00BC0E7E" w:rsidRDefault="00944B8F" w:rsidP="00762FA7">
            <w:pPr>
              <w:widowControl w:val="0"/>
              <w:spacing w:before="60"/>
              <w:rPr>
                <w:del w:id="4873" w:author="AbbVie19" w:date="2025-04-16T10:42:00Z"/>
                <w:szCs w:val="20"/>
              </w:rPr>
            </w:pPr>
            <w:del w:id="4874" w:author="AbbVie19" w:date="2025-04-16T10:42:00Z">
              <w:r w:rsidRPr="00BC0E7E">
                <w:rPr>
                  <w:szCs w:val="20"/>
                </w:rPr>
                <w:delText>Common</w:delText>
              </w:r>
            </w:del>
          </w:p>
          <w:p w14:paraId="05BBDCA0" w14:textId="77777777" w:rsidR="00BC0E7E" w:rsidRPr="00BC0E7E" w:rsidRDefault="00BC0E7E" w:rsidP="00762FA7">
            <w:pPr>
              <w:widowControl w:val="0"/>
              <w:spacing w:before="60"/>
              <w:rPr>
                <w:del w:id="4875" w:author="AbbVie19" w:date="2025-04-16T10:42:00Z"/>
                <w:szCs w:val="20"/>
              </w:rPr>
            </w:pPr>
          </w:p>
        </w:tc>
        <w:tc>
          <w:tcPr>
            <w:tcW w:w="4575" w:type="dxa"/>
          </w:tcPr>
          <w:p w14:paraId="130B8C1E" w14:textId="77777777" w:rsidR="00BC0E7E" w:rsidRPr="00BC0E7E" w:rsidRDefault="00944B8F" w:rsidP="00762FA7">
            <w:pPr>
              <w:widowControl w:val="0"/>
              <w:spacing w:before="60"/>
              <w:rPr>
                <w:del w:id="4876" w:author="AbbVie19" w:date="2025-04-16T10:42:00Z"/>
                <w:szCs w:val="20"/>
              </w:rPr>
            </w:pPr>
            <w:del w:id="4877" w:author="AbbVie19" w:date="2025-04-16T10:42:00Z">
              <w:r>
                <w:rPr>
                  <w:szCs w:val="20"/>
                </w:rPr>
                <w:delText>P</w:delText>
              </w:r>
              <w:r w:rsidRPr="00BC0E7E">
                <w:rPr>
                  <w:szCs w:val="20"/>
                </w:rPr>
                <w:delText>araesthesias (including hypoesthesia),</w:delText>
              </w:r>
            </w:del>
          </w:p>
          <w:p w14:paraId="3D0B11E5" w14:textId="77777777" w:rsidR="00BC0E7E" w:rsidRPr="00BC0E7E" w:rsidRDefault="00944B8F" w:rsidP="00762FA7">
            <w:pPr>
              <w:widowControl w:val="0"/>
              <w:spacing w:before="60"/>
              <w:rPr>
                <w:del w:id="4878" w:author="AbbVie19" w:date="2025-04-16T10:42:00Z"/>
                <w:szCs w:val="20"/>
              </w:rPr>
            </w:pPr>
            <w:del w:id="4879" w:author="AbbVie19" w:date="2025-04-16T10:42:00Z">
              <w:r w:rsidRPr="00BC0E7E">
                <w:rPr>
                  <w:szCs w:val="20"/>
                </w:rPr>
                <w:delText>migraine,</w:delText>
              </w:r>
            </w:del>
          </w:p>
          <w:p w14:paraId="6CBA6477" w14:textId="77777777" w:rsidR="00BC0E7E" w:rsidRPr="00BC0E7E" w:rsidRDefault="00944B8F" w:rsidP="00762FA7">
            <w:pPr>
              <w:widowControl w:val="0"/>
              <w:spacing w:before="60"/>
              <w:rPr>
                <w:del w:id="4880" w:author="AbbVie19" w:date="2025-04-16T10:42:00Z"/>
                <w:szCs w:val="20"/>
              </w:rPr>
            </w:pPr>
            <w:del w:id="4881" w:author="AbbVie19" w:date="2025-04-16T10:42:00Z">
              <w:r w:rsidRPr="00BC0E7E">
                <w:rPr>
                  <w:szCs w:val="20"/>
                </w:rPr>
                <w:lastRenderedPageBreak/>
                <w:delText>nerve root compression</w:delText>
              </w:r>
            </w:del>
          </w:p>
          <w:p w14:paraId="45AD271C" w14:textId="77777777" w:rsidR="00BC0E7E" w:rsidRPr="00BC0E7E" w:rsidRDefault="00BC0E7E" w:rsidP="00762FA7">
            <w:pPr>
              <w:widowControl w:val="0"/>
              <w:spacing w:before="60"/>
              <w:rPr>
                <w:del w:id="4882" w:author="AbbVie19" w:date="2025-04-16T10:42:00Z"/>
                <w:szCs w:val="20"/>
              </w:rPr>
            </w:pPr>
          </w:p>
        </w:tc>
      </w:tr>
      <w:tr w:rsidR="00C6578C" w14:paraId="3EACB523" w14:textId="77777777" w:rsidTr="000244DF">
        <w:trPr>
          <w:del w:id="4883" w:author="AbbVie19" w:date="2025-04-16T10:42:00Z"/>
        </w:trPr>
        <w:tc>
          <w:tcPr>
            <w:tcW w:w="2600" w:type="dxa"/>
            <w:vMerge/>
          </w:tcPr>
          <w:p w14:paraId="1CAB356B" w14:textId="77777777" w:rsidR="00BC0E7E" w:rsidRPr="00BC0E7E" w:rsidRDefault="00BC0E7E" w:rsidP="00762FA7">
            <w:pPr>
              <w:widowControl w:val="0"/>
              <w:spacing w:before="60"/>
              <w:jc w:val="center"/>
              <w:rPr>
                <w:del w:id="4884" w:author="AbbVie19" w:date="2025-04-16T10:42:00Z"/>
                <w:b/>
              </w:rPr>
            </w:pPr>
          </w:p>
        </w:tc>
        <w:tc>
          <w:tcPr>
            <w:tcW w:w="2074" w:type="dxa"/>
          </w:tcPr>
          <w:p w14:paraId="6F2D0C7B" w14:textId="77777777" w:rsidR="00BC0E7E" w:rsidRPr="00BC0E7E" w:rsidRDefault="00944B8F" w:rsidP="00762FA7">
            <w:pPr>
              <w:widowControl w:val="0"/>
              <w:rPr>
                <w:del w:id="4885" w:author="AbbVie19" w:date="2025-04-16T10:42:00Z"/>
                <w:szCs w:val="20"/>
              </w:rPr>
            </w:pPr>
            <w:del w:id="4886" w:author="AbbVie19" w:date="2025-04-16T10:42:00Z">
              <w:r w:rsidRPr="00BC0E7E">
                <w:rPr>
                  <w:szCs w:val="20"/>
                </w:rPr>
                <w:delText>Uncommon</w:delText>
              </w:r>
            </w:del>
          </w:p>
          <w:p w14:paraId="2E44B6E2" w14:textId="77777777" w:rsidR="00BC0E7E" w:rsidRPr="00BC0E7E" w:rsidRDefault="00BC0E7E" w:rsidP="00762FA7">
            <w:pPr>
              <w:widowControl w:val="0"/>
              <w:rPr>
                <w:del w:id="4887" w:author="AbbVie19" w:date="2025-04-16T10:42:00Z"/>
                <w:szCs w:val="20"/>
              </w:rPr>
            </w:pPr>
          </w:p>
        </w:tc>
        <w:tc>
          <w:tcPr>
            <w:tcW w:w="4575" w:type="dxa"/>
          </w:tcPr>
          <w:p w14:paraId="1D28BAAB" w14:textId="77777777" w:rsidR="00BC0E7E" w:rsidRPr="00BC0E7E" w:rsidRDefault="00944B8F" w:rsidP="00762FA7">
            <w:pPr>
              <w:widowControl w:val="0"/>
              <w:rPr>
                <w:del w:id="4888" w:author="AbbVie19" w:date="2025-04-16T10:42:00Z"/>
                <w:szCs w:val="20"/>
              </w:rPr>
            </w:pPr>
            <w:del w:id="4889" w:author="AbbVie19" w:date="2025-04-16T10:42:00Z">
              <w:r>
                <w:rPr>
                  <w:szCs w:val="20"/>
                </w:rPr>
                <w:delText>C</w:delText>
              </w:r>
              <w:r w:rsidRPr="00BC0E7E">
                <w:rPr>
                  <w:szCs w:val="20"/>
                </w:rPr>
                <w:delText>erebrovascular accident</w:delText>
              </w:r>
              <w:r w:rsidRPr="00BC0E7E">
                <w:rPr>
                  <w:szCs w:val="20"/>
                  <w:vertAlign w:val="superscript"/>
                </w:rPr>
                <w:delText>1)</w:delText>
              </w:r>
              <w:r w:rsidRPr="00BC0E7E">
                <w:rPr>
                  <w:szCs w:val="20"/>
                </w:rPr>
                <w:delText>,</w:delText>
              </w:r>
            </w:del>
          </w:p>
          <w:p w14:paraId="3E8DFF4C" w14:textId="77777777" w:rsidR="00BC0E7E" w:rsidRPr="00BC0E7E" w:rsidRDefault="00944B8F" w:rsidP="00762FA7">
            <w:pPr>
              <w:widowControl w:val="0"/>
              <w:rPr>
                <w:del w:id="4890" w:author="AbbVie19" w:date="2025-04-16T10:42:00Z"/>
                <w:szCs w:val="20"/>
              </w:rPr>
            </w:pPr>
            <w:del w:id="4891" w:author="AbbVie19" w:date="2025-04-16T10:42:00Z">
              <w:r w:rsidRPr="00BC0E7E">
                <w:rPr>
                  <w:szCs w:val="20"/>
                </w:rPr>
                <w:delText>tremor,</w:delText>
              </w:r>
            </w:del>
          </w:p>
          <w:p w14:paraId="6887E3E5" w14:textId="77777777" w:rsidR="00BC0E7E" w:rsidRPr="00BC0E7E" w:rsidRDefault="00944B8F" w:rsidP="00762FA7">
            <w:pPr>
              <w:widowControl w:val="0"/>
              <w:rPr>
                <w:del w:id="4892" w:author="AbbVie19" w:date="2025-04-16T10:42:00Z"/>
                <w:szCs w:val="20"/>
              </w:rPr>
            </w:pPr>
            <w:del w:id="4893" w:author="AbbVie19" w:date="2025-04-16T10:42:00Z">
              <w:r w:rsidRPr="00BC0E7E">
                <w:rPr>
                  <w:szCs w:val="20"/>
                </w:rPr>
                <w:delText xml:space="preserve">neuropathy  </w:delText>
              </w:r>
            </w:del>
          </w:p>
          <w:p w14:paraId="403EA780" w14:textId="77777777" w:rsidR="00BC0E7E" w:rsidRPr="00BC0E7E" w:rsidRDefault="00BC0E7E" w:rsidP="00762FA7">
            <w:pPr>
              <w:widowControl w:val="0"/>
              <w:rPr>
                <w:del w:id="4894" w:author="AbbVie19" w:date="2025-04-16T10:42:00Z"/>
                <w:szCs w:val="20"/>
              </w:rPr>
            </w:pPr>
          </w:p>
        </w:tc>
      </w:tr>
      <w:tr w:rsidR="00C6578C" w14:paraId="61EF20F2" w14:textId="77777777" w:rsidTr="000244DF">
        <w:trPr>
          <w:trHeight w:val="881"/>
          <w:del w:id="4895" w:author="AbbVie19" w:date="2025-04-16T10:42:00Z"/>
        </w:trPr>
        <w:tc>
          <w:tcPr>
            <w:tcW w:w="2600" w:type="dxa"/>
            <w:vMerge/>
          </w:tcPr>
          <w:p w14:paraId="02ADDF2D" w14:textId="77777777" w:rsidR="00BC0E7E" w:rsidRPr="00BC0E7E" w:rsidRDefault="00BC0E7E" w:rsidP="00762FA7">
            <w:pPr>
              <w:widowControl w:val="0"/>
              <w:spacing w:before="60"/>
              <w:jc w:val="center"/>
              <w:rPr>
                <w:del w:id="4896" w:author="AbbVie19" w:date="2025-04-16T10:42:00Z"/>
                <w:b/>
              </w:rPr>
            </w:pPr>
          </w:p>
        </w:tc>
        <w:tc>
          <w:tcPr>
            <w:tcW w:w="2074" w:type="dxa"/>
          </w:tcPr>
          <w:p w14:paraId="6357848E" w14:textId="77777777" w:rsidR="00BC0E7E" w:rsidRPr="00BC0E7E" w:rsidRDefault="00944B8F" w:rsidP="00762FA7">
            <w:pPr>
              <w:widowControl w:val="0"/>
              <w:rPr>
                <w:del w:id="4897" w:author="AbbVie19" w:date="2025-04-16T10:42:00Z"/>
                <w:szCs w:val="20"/>
              </w:rPr>
            </w:pPr>
            <w:del w:id="4898" w:author="AbbVie19" w:date="2025-04-16T10:42:00Z">
              <w:r w:rsidRPr="00BC0E7E">
                <w:rPr>
                  <w:szCs w:val="20"/>
                </w:rPr>
                <w:delText>Rare</w:delText>
              </w:r>
            </w:del>
          </w:p>
          <w:p w14:paraId="2F85392B" w14:textId="77777777" w:rsidR="00BC0E7E" w:rsidRPr="00BC0E7E" w:rsidRDefault="00BC0E7E" w:rsidP="00762FA7">
            <w:pPr>
              <w:widowControl w:val="0"/>
              <w:rPr>
                <w:del w:id="4899" w:author="AbbVie19" w:date="2025-04-16T10:42:00Z"/>
                <w:szCs w:val="20"/>
              </w:rPr>
            </w:pPr>
          </w:p>
        </w:tc>
        <w:tc>
          <w:tcPr>
            <w:tcW w:w="4575" w:type="dxa"/>
          </w:tcPr>
          <w:p w14:paraId="24EF0196" w14:textId="77777777" w:rsidR="00BC0E7E" w:rsidRPr="00762FA7" w:rsidRDefault="00944B8F" w:rsidP="00762FA7">
            <w:pPr>
              <w:widowControl w:val="0"/>
              <w:rPr>
                <w:del w:id="4900" w:author="AbbVie19" w:date="2025-04-16T10:42:00Z"/>
                <w:szCs w:val="20"/>
                <w:lang w:val="fr-FR"/>
              </w:rPr>
            </w:pPr>
            <w:del w:id="4901" w:author="AbbVie19" w:date="2025-04-16T10:42:00Z">
              <w:r w:rsidRPr="00762FA7">
                <w:rPr>
                  <w:szCs w:val="20"/>
                  <w:lang w:val="fr-FR"/>
                </w:rPr>
                <w:delText>Multiple sclerosis,</w:delText>
              </w:r>
            </w:del>
          </w:p>
          <w:p w14:paraId="001C9E9A" w14:textId="77777777" w:rsidR="00BC0E7E" w:rsidRPr="00762FA7" w:rsidRDefault="00944B8F" w:rsidP="00762FA7">
            <w:pPr>
              <w:widowControl w:val="0"/>
              <w:spacing w:before="60"/>
              <w:rPr>
                <w:del w:id="4902" w:author="AbbVie19" w:date="2025-04-16T10:42:00Z"/>
                <w:szCs w:val="20"/>
                <w:vertAlign w:val="superscript"/>
                <w:lang w:val="fr-FR"/>
              </w:rPr>
            </w:pPr>
            <w:del w:id="4903" w:author="AbbVie19" w:date="2025-04-16T10:42:00Z">
              <w:r w:rsidRPr="00762FA7">
                <w:rPr>
                  <w:szCs w:val="20"/>
                  <w:lang w:val="fr-FR"/>
                </w:rPr>
                <w:delText>demyelinating disorders (e.g. optic neuritis, Guillain-Barré syndrome)</w:delText>
              </w:r>
              <w:r w:rsidRPr="00762FA7">
                <w:rPr>
                  <w:szCs w:val="20"/>
                  <w:vertAlign w:val="superscript"/>
                  <w:lang w:val="fr-FR"/>
                </w:rPr>
                <w:delText xml:space="preserve"> 1)</w:delText>
              </w:r>
            </w:del>
          </w:p>
          <w:p w14:paraId="64FD3BE1" w14:textId="77777777" w:rsidR="00BC0E7E" w:rsidRPr="00762FA7" w:rsidRDefault="00BC0E7E" w:rsidP="00762FA7">
            <w:pPr>
              <w:widowControl w:val="0"/>
              <w:spacing w:before="60"/>
              <w:rPr>
                <w:del w:id="4904" w:author="AbbVie19" w:date="2025-04-16T10:42:00Z"/>
                <w:szCs w:val="20"/>
                <w:lang w:val="fr-FR"/>
              </w:rPr>
            </w:pPr>
          </w:p>
        </w:tc>
      </w:tr>
      <w:tr w:rsidR="00C6578C" w14:paraId="1A1AE381" w14:textId="77777777" w:rsidTr="000244DF">
        <w:trPr>
          <w:del w:id="4905" w:author="AbbVie19" w:date="2025-04-16T10:42:00Z"/>
        </w:trPr>
        <w:tc>
          <w:tcPr>
            <w:tcW w:w="2600" w:type="dxa"/>
            <w:vMerge w:val="restart"/>
          </w:tcPr>
          <w:p w14:paraId="2DCFD5F5" w14:textId="77777777" w:rsidR="00BC0E7E" w:rsidRPr="00BC0E7E" w:rsidRDefault="00944B8F" w:rsidP="00762FA7">
            <w:pPr>
              <w:widowControl w:val="0"/>
              <w:spacing w:before="60"/>
              <w:rPr>
                <w:del w:id="4906" w:author="AbbVie19" w:date="2025-04-16T10:42:00Z"/>
                <w:szCs w:val="20"/>
              </w:rPr>
            </w:pPr>
            <w:del w:id="4907" w:author="AbbVie19" w:date="2025-04-16T10:42:00Z">
              <w:r w:rsidRPr="00BC0E7E">
                <w:rPr>
                  <w:szCs w:val="20"/>
                </w:rPr>
                <w:delText>Eye disorders</w:delText>
              </w:r>
            </w:del>
          </w:p>
        </w:tc>
        <w:tc>
          <w:tcPr>
            <w:tcW w:w="2074" w:type="dxa"/>
          </w:tcPr>
          <w:p w14:paraId="194FDD04" w14:textId="77777777" w:rsidR="00BC0E7E" w:rsidRPr="00BC0E7E" w:rsidRDefault="00944B8F" w:rsidP="00762FA7">
            <w:pPr>
              <w:widowControl w:val="0"/>
              <w:spacing w:before="60"/>
              <w:rPr>
                <w:del w:id="4908" w:author="AbbVie19" w:date="2025-04-16T10:42:00Z"/>
                <w:szCs w:val="20"/>
              </w:rPr>
            </w:pPr>
            <w:del w:id="4909" w:author="AbbVie19" w:date="2025-04-16T10:42:00Z">
              <w:r w:rsidRPr="00BC0E7E">
                <w:rPr>
                  <w:szCs w:val="20"/>
                </w:rPr>
                <w:delText>Common</w:delText>
              </w:r>
            </w:del>
          </w:p>
          <w:p w14:paraId="27DEA118" w14:textId="77777777" w:rsidR="00BC0E7E" w:rsidRPr="00BC0E7E" w:rsidRDefault="00BC0E7E" w:rsidP="00762FA7">
            <w:pPr>
              <w:widowControl w:val="0"/>
              <w:spacing w:before="60"/>
              <w:rPr>
                <w:del w:id="4910" w:author="AbbVie19" w:date="2025-04-16T10:42:00Z"/>
                <w:szCs w:val="20"/>
              </w:rPr>
            </w:pPr>
          </w:p>
        </w:tc>
        <w:tc>
          <w:tcPr>
            <w:tcW w:w="4575" w:type="dxa"/>
          </w:tcPr>
          <w:p w14:paraId="22D6E9DE" w14:textId="77777777" w:rsidR="00BC0E7E" w:rsidRPr="00BC0E7E" w:rsidRDefault="00944B8F" w:rsidP="00762FA7">
            <w:pPr>
              <w:widowControl w:val="0"/>
              <w:spacing w:before="60"/>
              <w:rPr>
                <w:del w:id="4911" w:author="AbbVie19" w:date="2025-04-16T10:42:00Z"/>
                <w:szCs w:val="20"/>
              </w:rPr>
            </w:pPr>
            <w:del w:id="4912" w:author="AbbVie19" w:date="2025-04-16T10:42:00Z">
              <w:r>
                <w:rPr>
                  <w:szCs w:val="20"/>
                </w:rPr>
                <w:delText>V</w:delText>
              </w:r>
              <w:r w:rsidRPr="00BC0E7E">
                <w:rPr>
                  <w:szCs w:val="20"/>
                </w:rPr>
                <w:delText>isual impairment,</w:delText>
              </w:r>
            </w:del>
          </w:p>
          <w:p w14:paraId="29D69C74" w14:textId="77777777" w:rsidR="00BC0E7E" w:rsidRPr="00BC0E7E" w:rsidRDefault="00944B8F" w:rsidP="00762FA7">
            <w:pPr>
              <w:widowControl w:val="0"/>
              <w:spacing w:before="60"/>
              <w:rPr>
                <w:del w:id="4913" w:author="AbbVie19" w:date="2025-04-16T10:42:00Z"/>
                <w:szCs w:val="20"/>
              </w:rPr>
            </w:pPr>
            <w:del w:id="4914" w:author="AbbVie19" w:date="2025-04-16T10:42:00Z">
              <w:r w:rsidRPr="00BC0E7E">
                <w:rPr>
                  <w:szCs w:val="20"/>
                </w:rPr>
                <w:delText>conjunctivitis,</w:delText>
              </w:r>
            </w:del>
          </w:p>
          <w:p w14:paraId="293CC776" w14:textId="77777777" w:rsidR="00BC0E7E" w:rsidRPr="00BC0E7E" w:rsidRDefault="00944B8F" w:rsidP="00762FA7">
            <w:pPr>
              <w:widowControl w:val="0"/>
              <w:spacing w:before="60"/>
              <w:rPr>
                <w:del w:id="4915" w:author="AbbVie19" w:date="2025-04-16T10:42:00Z"/>
                <w:szCs w:val="20"/>
              </w:rPr>
            </w:pPr>
            <w:del w:id="4916" w:author="AbbVie19" w:date="2025-04-16T10:42:00Z">
              <w:r w:rsidRPr="00BC0E7E">
                <w:rPr>
                  <w:szCs w:val="20"/>
                </w:rPr>
                <w:delText>blepharitis,</w:delText>
              </w:r>
            </w:del>
          </w:p>
          <w:p w14:paraId="1BBCD1FC" w14:textId="77777777" w:rsidR="00BC0E7E" w:rsidRPr="00BC0E7E" w:rsidRDefault="00944B8F" w:rsidP="00762FA7">
            <w:pPr>
              <w:widowControl w:val="0"/>
              <w:spacing w:before="60"/>
              <w:rPr>
                <w:del w:id="4917" w:author="AbbVie19" w:date="2025-04-16T10:42:00Z"/>
                <w:szCs w:val="20"/>
              </w:rPr>
            </w:pPr>
            <w:del w:id="4918" w:author="AbbVie19" w:date="2025-04-16T10:42:00Z">
              <w:r w:rsidRPr="00BC0E7E">
                <w:rPr>
                  <w:szCs w:val="20"/>
                </w:rPr>
                <w:delText>eye swelling</w:delText>
              </w:r>
            </w:del>
          </w:p>
          <w:p w14:paraId="35D07B67" w14:textId="77777777" w:rsidR="00BC0E7E" w:rsidRPr="00BC0E7E" w:rsidRDefault="00BC0E7E" w:rsidP="00762FA7">
            <w:pPr>
              <w:widowControl w:val="0"/>
              <w:spacing w:before="60"/>
              <w:rPr>
                <w:del w:id="4919" w:author="AbbVie19" w:date="2025-04-16T10:42:00Z"/>
                <w:szCs w:val="20"/>
              </w:rPr>
            </w:pPr>
          </w:p>
        </w:tc>
      </w:tr>
      <w:tr w:rsidR="00C6578C" w14:paraId="7EDCBCE4" w14:textId="77777777" w:rsidTr="000244DF">
        <w:trPr>
          <w:del w:id="4920" w:author="AbbVie19" w:date="2025-04-16T10:42:00Z"/>
        </w:trPr>
        <w:tc>
          <w:tcPr>
            <w:tcW w:w="2600" w:type="dxa"/>
            <w:vMerge/>
          </w:tcPr>
          <w:p w14:paraId="1496917A" w14:textId="77777777" w:rsidR="00BC0E7E" w:rsidRPr="00BC0E7E" w:rsidRDefault="00BC0E7E" w:rsidP="00762FA7">
            <w:pPr>
              <w:widowControl w:val="0"/>
              <w:spacing w:before="60"/>
              <w:jc w:val="center"/>
              <w:rPr>
                <w:del w:id="4921" w:author="AbbVie19" w:date="2025-04-16T10:42:00Z"/>
                <w:b/>
              </w:rPr>
            </w:pPr>
          </w:p>
        </w:tc>
        <w:tc>
          <w:tcPr>
            <w:tcW w:w="2074" w:type="dxa"/>
          </w:tcPr>
          <w:p w14:paraId="6F579EFA" w14:textId="77777777" w:rsidR="00BC0E7E" w:rsidRPr="00762FA7" w:rsidRDefault="00944B8F" w:rsidP="00762FA7">
            <w:pPr>
              <w:widowControl w:val="0"/>
              <w:rPr>
                <w:del w:id="4922" w:author="AbbVie19" w:date="2025-04-16T10:42:00Z"/>
                <w:szCs w:val="20"/>
                <w:lang w:val="fr-FR"/>
              </w:rPr>
            </w:pPr>
            <w:del w:id="4923" w:author="AbbVie19" w:date="2025-04-16T10:42:00Z">
              <w:r w:rsidRPr="00762FA7">
                <w:rPr>
                  <w:szCs w:val="20"/>
                  <w:lang w:val="fr-FR"/>
                </w:rPr>
                <w:delText>Uncommon</w:delText>
              </w:r>
            </w:del>
          </w:p>
        </w:tc>
        <w:tc>
          <w:tcPr>
            <w:tcW w:w="4575" w:type="dxa"/>
          </w:tcPr>
          <w:p w14:paraId="0F7ADCBA" w14:textId="77777777" w:rsidR="00BC0E7E" w:rsidRPr="00BC0E7E" w:rsidRDefault="00944B8F" w:rsidP="00762FA7">
            <w:pPr>
              <w:widowControl w:val="0"/>
              <w:rPr>
                <w:del w:id="4924" w:author="AbbVie19" w:date="2025-04-16T10:42:00Z"/>
                <w:szCs w:val="20"/>
              </w:rPr>
            </w:pPr>
            <w:del w:id="4925" w:author="AbbVie19" w:date="2025-04-16T10:42:00Z">
              <w:r>
                <w:rPr>
                  <w:szCs w:val="20"/>
                </w:rPr>
                <w:delText>D</w:delText>
              </w:r>
              <w:r w:rsidRPr="00BC0E7E">
                <w:rPr>
                  <w:szCs w:val="20"/>
                </w:rPr>
                <w:delText>iplopia</w:delText>
              </w:r>
            </w:del>
          </w:p>
          <w:p w14:paraId="77728171" w14:textId="77777777" w:rsidR="00BC0E7E" w:rsidRPr="00BC0E7E" w:rsidRDefault="00BC0E7E" w:rsidP="00762FA7">
            <w:pPr>
              <w:widowControl w:val="0"/>
              <w:rPr>
                <w:del w:id="4926" w:author="AbbVie19" w:date="2025-04-16T10:42:00Z"/>
                <w:szCs w:val="20"/>
              </w:rPr>
            </w:pPr>
          </w:p>
        </w:tc>
      </w:tr>
      <w:tr w:rsidR="00C6578C" w14:paraId="74C7D2BC" w14:textId="77777777" w:rsidTr="000244DF">
        <w:trPr>
          <w:del w:id="4927" w:author="AbbVie19" w:date="2025-04-16T10:42:00Z"/>
        </w:trPr>
        <w:tc>
          <w:tcPr>
            <w:tcW w:w="2600" w:type="dxa"/>
            <w:vMerge w:val="restart"/>
          </w:tcPr>
          <w:p w14:paraId="754765F2" w14:textId="77777777" w:rsidR="00BC0E7E" w:rsidRPr="00BC0E7E" w:rsidRDefault="00944B8F" w:rsidP="00762FA7">
            <w:pPr>
              <w:widowControl w:val="0"/>
              <w:spacing w:before="60"/>
              <w:rPr>
                <w:del w:id="4928" w:author="AbbVie19" w:date="2025-04-16T10:42:00Z"/>
                <w:szCs w:val="20"/>
              </w:rPr>
            </w:pPr>
            <w:del w:id="4929" w:author="AbbVie19" w:date="2025-04-16T10:42:00Z">
              <w:r w:rsidRPr="00BC0E7E">
                <w:rPr>
                  <w:szCs w:val="20"/>
                </w:rPr>
                <w:delText xml:space="preserve">Ear and labyrinth disorders </w:delText>
              </w:r>
            </w:del>
          </w:p>
          <w:p w14:paraId="4F1EDD24" w14:textId="77777777" w:rsidR="00BC0E7E" w:rsidRPr="00BC0E7E" w:rsidRDefault="00BC0E7E" w:rsidP="00762FA7">
            <w:pPr>
              <w:widowControl w:val="0"/>
              <w:spacing w:before="60"/>
              <w:rPr>
                <w:del w:id="4930" w:author="AbbVie19" w:date="2025-04-16T10:42:00Z"/>
                <w:szCs w:val="20"/>
              </w:rPr>
            </w:pPr>
          </w:p>
        </w:tc>
        <w:tc>
          <w:tcPr>
            <w:tcW w:w="2074" w:type="dxa"/>
          </w:tcPr>
          <w:p w14:paraId="6E167B07" w14:textId="77777777" w:rsidR="00BC0E7E" w:rsidRPr="00BC0E7E" w:rsidRDefault="00944B8F" w:rsidP="00762FA7">
            <w:pPr>
              <w:widowControl w:val="0"/>
              <w:spacing w:before="60"/>
              <w:rPr>
                <w:del w:id="4931" w:author="AbbVie19" w:date="2025-04-16T10:42:00Z"/>
                <w:szCs w:val="20"/>
              </w:rPr>
            </w:pPr>
            <w:del w:id="4932" w:author="AbbVie19" w:date="2025-04-16T10:42:00Z">
              <w:r w:rsidRPr="00BC0E7E">
                <w:rPr>
                  <w:szCs w:val="20"/>
                </w:rPr>
                <w:delText>Common</w:delText>
              </w:r>
            </w:del>
          </w:p>
          <w:p w14:paraId="6F7AAA49" w14:textId="77777777" w:rsidR="00BC0E7E" w:rsidRPr="00BC0E7E" w:rsidRDefault="00BC0E7E" w:rsidP="00762FA7">
            <w:pPr>
              <w:widowControl w:val="0"/>
              <w:spacing w:before="60"/>
              <w:rPr>
                <w:del w:id="4933" w:author="AbbVie19" w:date="2025-04-16T10:42:00Z"/>
                <w:szCs w:val="20"/>
              </w:rPr>
            </w:pPr>
          </w:p>
        </w:tc>
        <w:tc>
          <w:tcPr>
            <w:tcW w:w="4575" w:type="dxa"/>
          </w:tcPr>
          <w:p w14:paraId="4FE39E57" w14:textId="77777777" w:rsidR="00BC0E7E" w:rsidRPr="00BC0E7E" w:rsidRDefault="00944B8F" w:rsidP="00762FA7">
            <w:pPr>
              <w:widowControl w:val="0"/>
              <w:spacing w:before="60"/>
              <w:rPr>
                <w:del w:id="4934" w:author="AbbVie19" w:date="2025-04-16T10:42:00Z"/>
                <w:szCs w:val="20"/>
              </w:rPr>
            </w:pPr>
            <w:del w:id="4935" w:author="AbbVie19" w:date="2025-04-16T10:42:00Z">
              <w:r>
                <w:rPr>
                  <w:szCs w:val="20"/>
                </w:rPr>
                <w:delText>V</w:delText>
              </w:r>
              <w:r w:rsidRPr="00BC0E7E">
                <w:rPr>
                  <w:szCs w:val="20"/>
                </w:rPr>
                <w:delText>ertigo</w:delText>
              </w:r>
            </w:del>
          </w:p>
          <w:p w14:paraId="6A3E5821" w14:textId="77777777" w:rsidR="00BC0E7E" w:rsidRPr="00BC0E7E" w:rsidRDefault="00BC0E7E" w:rsidP="00762FA7">
            <w:pPr>
              <w:widowControl w:val="0"/>
              <w:spacing w:before="60"/>
              <w:rPr>
                <w:del w:id="4936" w:author="AbbVie19" w:date="2025-04-16T10:42:00Z"/>
                <w:szCs w:val="20"/>
              </w:rPr>
            </w:pPr>
          </w:p>
        </w:tc>
      </w:tr>
      <w:tr w:rsidR="00C6578C" w14:paraId="13575867" w14:textId="77777777" w:rsidTr="000244DF">
        <w:trPr>
          <w:del w:id="4937" w:author="AbbVie19" w:date="2025-04-16T10:42:00Z"/>
        </w:trPr>
        <w:tc>
          <w:tcPr>
            <w:tcW w:w="2600" w:type="dxa"/>
            <w:vMerge/>
          </w:tcPr>
          <w:p w14:paraId="30EC73F4" w14:textId="77777777" w:rsidR="00BC0E7E" w:rsidRPr="00BC0E7E" w:rsidRDefault="00BC0E7E" w:rsidP="00762FA7">
            <w:pPr>
              <w:widowControl w:val="0"/>
              <w:spacing w:before="60"/>
              <w:jc w:val="center"/>
              <w:rPr>
                <w:del w:id="4938" w:author="AbbVie19" w:date="2025-04-16T10:42:00Z"/>
                <w:b/>
              </w:rPr>
            </w:pPr>
          </w:p>
        </w:tc>
        <w:tc>
          <w:tcPr>
            <w:tcW w:w="2074" w:type="dxa"/>
          </w:tcPr>
          <w:p w14:paraId="7A2922A4" w14:textId="77777777" w:rsidR="00BC0E7E" w:rsidRPr="00BC0E7E" w:rsidRDefault="00944B8F" w:rsidP="00762FA7">
            <w:pPr>
              <w:widowControl w:val="0"/>
              <w:rPr>
                <w:del w:id="4939" w:author="AbbVie19" w:date="2025-04-16T10:42:00Z"/>
                <w:szCs w:val="20"/>
              </w:rPr>
            </w:pPr>
            <w:del w:id="4940" w:author="AbbVie19" w:date="2025-04-16T10:42:00Z">
              <w:r w:rsidRPr="00BC0E7E">
                <w:rPr>
                  <w:szCs w:val="20"/>
                </w:rPr>
                <w:delText>Uncommon</w:delText>
              </w:r>
            </w:del>
          </w:p>
          <w:p w14:paraId="1722E6F7" w14:textId="77777777" w:rsidR="00BC0E7E" w:rsidRPr="00BC0E7E" w:rsidRDefault="00BC0E7E" w:rsidP="00762FA7">
            <w:pPr>
              <w:widowControl w:val="0"/>
              <w:rPr>
                <w:del w:id="4941" w:author="AbbVie19" w:date="2025-04-16T10:42:00Z"/>
                <w:szCs w:val="20"/>
              </w:rPr>
            </w:pPr>
          </w:p>
        </w:tc>
        <w:tc>
          <w:tcPr>
            <w:tcW w:w="4575" w:type="dxa"/>
          </w:tcPr>
          <w:p w14:paraId="31034F19" w14:textId="77777777" w:rsidR="00BC0E7E" w:rsidRPr="00BC0E7E" w:rsidRDefault="00944B8F" w:rsidP="00762FA7">
            <w:pPr>
              <w:widowControl w:val="0"/>
              <w:rPr>
                <w:del w:id="4942" w:author="AbbVie19" w:date="2025-04-16T10:42:00Z"/>
                <w:szCs w:val="20"/>
              </w:rPr>
            </w:pPr>
            <w:del w:id="4943" w:author="AbbVie19" w:date="2025-04-16T10:42:00Z">
              <w:r>
                <w:rPr>
                  <w:szCs w:val="20"/>
                </w:rPr>
                <w:delText>D</w:delText>
              </w:r>
              <w:r w:rsidRPr="00BC0E7E">
                <w:rPr>
                  <w:szCs w:val="20"/>
                </w:rPr>
                <w:delText xml:space="preserve">eafness, </w:delText>
              </w:r>
            </w:del>
          </w:p>
          <w:p w14:paraId="66FE42DA" w14:textId="77777777" w:rsidR="00BC0E7E" w:rsidRPr="00BC0E7E" w:rsidRDefault="00944B8F" w:rsidP="00762FA7">
            <w:pPr>
              <w:widowControl w:val="0"/>
              <w:rPr>
                <w:del w:id="4944" w:author="AbbVie19" w:date="2025-04-16T10:42:00Z"/>
                <w:szCs w:val="20"/>
              </w:rPr>
            </w:pPr>
            <w:del w:id="4945" w:author="AbbVie19" w:date="2025-04-16T10:42:00Z">
              <w:r w:rsidRPr="00BC0E7E">
                <w:rPr>
                  <w:szCs w:val="20"/>
                </w:rPr>
                <w:delText>tinnitus</w:delText>
              </w:r>
            </w:del>
          </w:p>
          <w:p w14:paraId="43579E0E" w14:textId="77777777" w:rsidR="00BC0E7E" w:rsidRPr="00BC0E7E" w:rsidRDefault="00BC0E7E" w:rsidP="00762FA7">
            <w:pPr>
              <w:widowControl w:val="0"/>
              <w:rPr>
                <w:del w:id="4946" w:author="AbbVie19" w:date="2025-04-16T10:42:00Z"/>
                <w:szCs w:val="20"/>
              </w:rPr>
            </w:pPr>
          </w:p>
        </w:tc>
      </w:tr>
      <w:tr w:rsidR="00C6578C" w14:paraId="0DD45FF2" w14:textId="77777777" w:rsidTr="000244DF">
        <w:trPr>
          <w:del w:id="4947" w:author="AbbVie19" w:date="2025-04-16T10:42:00Z"/>
        </w:trPr>
        <w:tc>
          <w:tcPr>
            <w:tcW w:w="2600" w:type="dxa"/>
            <w:vMerge w:val="restart"/>
          </w:tcPr>
          <w:p w14:paraId="18E72EAD" w14:textId="77777777" w:rsidR="00BC0E7E" w:rsidRPr="00BC0E7E" w:rsidRDefault="00944B8F" w:rsidP="00762FA7">
            <w:pPr>
              <w:widowControl w:val="0"/>
              <w:spacing w:before="60"/>
              <w:rPr>
                <w:del w:id="4948" w:author="AbbVie19" w:date="2025-04-16T10:42:00Z"/>
                <w:szCs w:val="20"/>
              </w:rPr>
            </w:pPr>
            <w:del w:id="4949" w:author="AbbVie19" w:date="2025-04-16T10:42:00Z">
              <w:r w:rsidRPr="00BC0E7E">
                <w:rPr>
                  <w:szCs w:val="20"/>
                </w:rPr>
                <w:delText xml:space="preserve">Cardiac disorders* </w:delText>
              </w:r>
            </w:del>
          </w:p>
        </w:tc>
        <w:tc>
          <w:tcPr>
            <w:tcW w:w="2074" w:type="dxa"/>
          </w:tcPr>
          <w:p w14:paraId="77F672B8" w14:textId="77777777" w:rsidR="00BC0E7E" w:rsidRPr="00BC0E7E" w:rsidRDefault="00944B8F" w:rsidP="00762FA7">
            <w:pPr>
              <w:widowControl w:val="0"/>
              <w:spacing w:before="60"/>
              <w:rPr>
                <w:del w:id="4950" w:author="AbbVie19" w:date="2025-04-16T10:42:00Z"/>
                <w:szCs w:val="20"/>
              </w:rPr>
            </w:pPr>
            <w:del w:id="4951" w:author="AbbVie19" w:date="2025-04-16T10:42:00Z">
              <w:r w:rsidRPr="00BC0E7E">
                <w:rPr>
                  <w:szCs w:val="20"/>
                </w:rPr>
                <w:delText>Common</w:delText>
              </w:r>
            </w:del>
          </w:p>
        </w:tc>
        <w:tc>
          <w:tcPr>
            <w:tcW w:w="4575" w:type="dxa"/>
          </w:tcPr>
          <w:p w14:paraId="449BEECF" w14:textId="77777777" w:rsidR="00BC0E7E" w:rsidRPr="00BC0E7E" w:rsidRDefault="00944B8F" w:rsidP="00762FA7">
            <w:pPr>
              <w:widowControl w:val="0"/>
              <w:spacing w:before="60"/>
              <w:rPr>
                <w:del w:id="4952" w:author="AbbVie19" w:date="2025-04-16T10:42:00Z"/>
                <w:szCs w:val="20"/>
              </w:rPr>
            </w:pPr>
            <w:del w:id="4953" w:author="AbbVie19" w:date="2025-04-16T10:42:00Z">
              <w:r>
                <w:rPr>
                  <w:szCs w:val="20"/>
                </w:rPr>
                <w:delText>T</w:delText>
              </w:r>
              <w:r w:rsidRPr="00BC0E7E">
                <w:rPr>
                  <w:szCs w:val="20"/>
                </w:rPr>
                <w:delText>achycardia</w:delText>
              </w:r>
            </w:del>
          </w:p>
          <w:p w14:paraId="2D255FAE" w14:textId="77777777" w:rsidR="00BC0E7E" w:rsidRPr="00BC0E7E" w:rsidRDefault="00BC0E7E" w:rsidP="00762FA7">
            <w:pPr>
              <w:widowControl w:val="0"/>
              <w:spacing w:before="60"/>
              <w:rPr>
                <w:del w:id="4954" w:author="AbbVie19" w:date="2025-04-16T10:42:00Z"/>
                <w:szCs w:val="20"/>
              </w:rPr>
            </w:pPr>
          </w:p>
        </w:tc>
      </w:tr>
      <w:tr w:rsidR="00C6578C" w14:paraId="70B03610" w14:textId="77777777" w:rsidTr="000244DF">
        <w:trPr>
          <w:del w:id="4955" w:author="AbbVie19" w:date="2025-04-16T10:42:00Z"/>
        </w:trPr>
        <w:tc>
          <w:tcPr>
            <w:tcW w:w="2600" w:type="dxa"/>
            <w:vMerge/>
          </w:tcPr>
          <w:p w14:paraId="27717034" w14:textId="77777777" w:rsidR="00BC0E7E" w:rsidRPr="00BC0E7E" w:rsidRDefault="00BC0E7E" w:rsidP="00762FA7">
            <w:pPr>
              <w:widowControl w:val="0"/>
              <w:spacing w:before="60"/>
              <w:rPr>
                <w:del w:id="4956" w:author="AbbVie19" w:date="2025-04-16T10:42:00Z"/>
                <w:szCs w:val="20"/>
              </w:rPr>
            </w:pPr>
          </w:p>
        </w:tc>
        <w:tc>
          <w:tcPr>
            <w:tcW w:w="2074" w:type="dxa"/>
          </w:tcPr>
          <w:p w14:paraId="45EA3197" w14:textId="77777777" w:rsidR="00BC0E7E" w:rsidRPr="00BC0E7E" w:rsidRDefault="00944B8F" w:rsidP="00762FA7">
            <w:pPr>
              <w:widowControl w:val="0"/>
              <w:spacing w:before="60"/>
              <w:rPr>
                <w:del w:id="4957" w:author="AbbVie19" w:date="2025-04-16T10:42:00Z"/>
                <w:szCs w:val="20"/>
              </w:rPr>
            </w:pPr>
            <w:del w:id="4958" w:author="AbbVie19" w:date="2025-04-16T10:42:00Z">
              <w:r w:rsidRPr="00BC0E7E">
                <w:rPr>
                  <w:szCs w:val="20"/>
                </w:rPr>
                <w:delText>Uncommon</w:delText>
              </w:r>
            </w:del>
          </w:p>
          <w:p w14:paraId="447D3842" w14:textId="77777777" w:rsidR="00BC0E7E" w:rsidRPr="00BC0E7E" w:rsidRDefault="00BC0E7E" w:rsidP="00762FA7">
            <w:pPr>
              <w:widowControl w:val="0"/>
              <w:spacing w:before="60"/>
              <w:rPr>
                <w:del w:id="4959" w:author="AbbVie19" w:date="2025-04-16T10:42:00Z"/>
                <w:szCs w:val="20"/>
              </w:rPr>
            </w:pPr>
          </w:p>
        </w:tc>
        <w:tc>
          <w:tcPr>
            <w:tcW w:w="4575" w:type="dxa"/>
          </w:tcPr>
          <w:p w14:paraId="12E423FB" w14:textId="77777777" w:rsidR="00BC0E7E" w:rsidRPr="00BC0E7E" w:rsidRDefault="00944B8F" w:rsidP="00762FA7">
            <w:pPr>
              <w:widowControl w:val="0"/>
              <w:spacing w:before="60"/>
              <w:rPr>
                <w:del w:id="4960" w:author="AbbVie19" w:date="2025-04-16T10:42:00Z"/>
                <w:szCs w:val="20"/>
              </w:rPr>
            </w:pPr>
            <w:del w:id="4961" w:author="AbbVie19" w:date="2025-04-16T10:42:00Z">
              <w:r>
                <w:rPr>
                  <w:szCs w:val="20"/>
                </w:rPr>
                <w:delText>M</w:delText>
              </w:r>
              <w:r w:rsidRPr="00BC0E7E">
                <w:rPr>
                  <w:szCs w:val="20"/>
                </w:rPr>
                <w:delText>yocardial infarction</w:delText>
              </w:r>
              <w:r w:rsidRPr="00BC0E7E">
                <w:rPr>
                  <w:szCs w:val="20"/>
                  <w:vertAlign w:val="superscript"/>
                </w:rPr>
                <w:delText>1)</w:delText>
              </w:r>
              <w:r w:rsidRPr="00BC0E7E">
                <w:rPr>
                  <w:szCs w:val="20"/>
                </w:rPr>
                <w:delText>,</w:delText>
              </w:r>
            </w:del>
          </w:p>
          <w:p w14:paraId="55450C27" w14:textId="77777777" w:rsidR="00BC0E7E" w:rsidRPr="00BC0E7E" w:rsidRDefault="00944B8F" w:rsidP="00762FA7">
            <w:pPr>
              <w:widowControl w:val="0"/>
              <w:spacing w:before="60"/>
              <w:rPr>
                <w:del w:id="4962" w:author="AbbVie19" w:date="2025-04-16T10:42:00Z"/>
                <w:szCs w:val="20"/>
              </w:rPr>
            </w:pPr>
            <w:del w:id="4963" w:author="AbbVie19" w:date="2025-04-16T10:42:00Z">
              <w:r w:rsidRPr="00BC0E7E">
                <w:rPr>
                  <w:szCs w:val="20"/>
                </w:rPr>
                <w:delText>arrhythmia,</w:delText>
              </w:r>
            </w:del>
          </w:p>
          <w:p w14:paraId="54F0284E" w14:textId="77777777" w:rsidR="00BC0E7E" w:rsidRPr="00BC0E7E" w:rsidRDefault="00944B8F" w:rsidP="00762FA7">
            <w:pPr>
              <w:widowControl w:val="0"/>
              <w:spacing w:before="60"/>
              <w:rPr>
                <w:del w:id="4964" w:author="AbbVie19" w:date="2025-04-16T10:42:00Z"/>
                <w:szCs w:val="20"/>
              </w:rPr>
            </w:pPr>
            <w:del w:id="4965" w:author="AbbVie19" w:date="2025-04-16T10:42:00Z">
              <w:r w:rsidRPr="00BC0E7E">
                <w:rPr>
                  <w:szCs w:val="20"/>
                </w:rPr>
                <w:delText>congestive heart failure</w:delText>
              </w:r>
            </w:del>
          </w:p>
          <w:p w14:paraId="1C472702" w14:textId="77777777" w:rsidR="00BC0E7E" w:rsidRPr="00BC0E7E" w:rsidRDefault="00BC0E7E" w:rsidP="00762FA7">
            <w:pPr>
              <w:widowControl w:val="0"/>
              <w:spacing w:before="60"/>
              <w:rPr>
                <w:del w:id="4966" w:author="AbbVie19" w:date="2025-04-16T10:42:00Z"/>
                <w:szCs w:val="20"/>
              </w:rPr>
            </w:pPr>
          </w:p>
        </w:tc>
      </w:tr>
      <w:tr w:rsidR="00C6578C" w14:paraId="6F872E16" w14:textId="77777777" w:rsidTr="000244DF">
        <w:trPr>
          <w:del w:id="4967" w:author="AbbVie19" w:date="2025-04-16T10:42:00Z"/>
        </w:trPr>
        <w:tc>
          <w:tcPr>
            <w:tcW w:w="2600" w:type="dxa"/>
            <w:vMerge/>
          </w:tcPr>
          <w:p w14:paraId="331708D0" w14:textId="77777777" w:rsidR="00BC0E7E" w:rsidRPr="00BC0E7E" w:rsidRDefault="00BC0E7E" w:rsidP="00762FA7">
            <w:pPr>
              <w:widowControl w:val="0"/>
              <w:spacing w:before="60"/>
              <w:jc w:val="center"/>
              <w:rPr>
                <w:del w:id="4968" w:author="AbbVie19" w:date="2025-04-16T10:42:00Z"/>
                <w:b/>
              </w:rPr>
            </w:pPr>
          </w:p>
        </w:tc>
        <w:tc>
          <w:tcPr>
            <w:tcW w:w="2074" w:type="dxa"/>
          </w:tcPr>
          <w:p w14:paraId="15B9D6ED" w14:textId="77777777" w:rsidR="00BC0E7E" w:rsidRPr="00BC0E7E" w:rsidRDefault="00944B8F" w:rsidP="00762FA7">
            <w:pPr>
              <w:widowControl w:val="0"/>
              <w:rPr>
                <w:del w:id="4969" w:author="AbbVie19" w:date="2025-04-16T10:42:00Z"/>
                <w:szCs w:val="20"/>
              </w:rPr>
            </w:pPr>
            <w:del w:id="4970" w:author="AbbVie19" w:date="2025-04-16T10:42:00Z">
              <w:r w:rsidRPr="00BC0E7E">
                <w:rPr>
                  <w:szCs w:val="20"/>
                </w:rPr>
                <w:delText>Rare</w:delText>
              </w:r>
            </w:del>
          </w:p>
          <w:p w14:paraId="157700E4" w14:textId="77777777" w:rsidR="00BC0E7E" w:rsidRPr="00BC0E7E" w:rsidRDefault="00BC0E7E" w:rsidP="00762FA7">
            <w:pPr>
              <w:widowControl w:val="0"/>
              <w:rPr>
                <w:del w:id="4971" w:author="AbbVie19" w:date="2025-04-16T10:42:00Z"/>
                <w:szCs w:val="20"/>
              </w:rPr>
            </w:pPr>
          </w:p>
        </w:tc>
        <w:tc>
          <w:tcPr>
            <w:tcW w:w="4575" w:type="dxa"/>
          </w:tcPr>
          <w:p w14:paraId="1169E68D" w14:textId="77777777" w:rsidR="00BC0E7E" w:rsidRPr="00BC0E7E" w:rsidRDefault="00944B8F" w:rsidP="00762FA7">
            <w:pPr>
              <w:widowControl w:val="0"/>
              <w:rPr>
                <w:del w:id="4972" w:author="AbbVie19" w:date="2025-04-16T10:42:00Z"/>
                <w:szCs w:val="20"/>
              </w:rPr>
            </w:pPr>
            <w:del w:id="4973" w:author="AbbVie19" w:date="2025-04-16T10:42:00Z">
              <w:r>
                <w:rPr>
                  <w:szCs w:val="20"/>
                </w:rPr>
                <w:delText>C</w:delText>
              </w:r>
              <w:r w:rsidRPr="00BC0E7E">
                <w:rPr>
                  <w:szCs w:val="20"/>
                </w:rPr>
                <w:delText>ardiac arrest</w:delText>
              </w:r>
            </w:del>
          </w:p>
          <w:p w14:paraId="26BE59C9" w14:textId="77777777" w:rsidR="00BC0E7E" w:rsidRPr="00BC0E7E" w:rsidRDefault="00BC0E7E" w:rsidP="00762FA7">
            <w:pPr>
              <w:widowControl w:val="0"/>
              <w:rPr>
                <w:del w:id="4974" w:author="AbbVie19" w:date="2025-04-16T10:42:00Z"/>
                <w:szCs w:val="20"/>
              </w:rPr>
            </w:pPr>
          </w:p>
        </w:tc>
      </w:tr>
      <w:tr w:rsidR="00C6578C" w14:paraId="0D9D41F7" w14:textId="77777777" w:rsidTr="000244DF">
        <w:trPr>
          <w:del w:id="4975" w:author="AbbVie19" w:date="2025-04-16T10:42:00Z"/>
        </w:trPr>
        <w:tc>
          <w:tcPr>
            <w:tcW w:w="2600" w:type="dxa"/>
            <w:vMerge w:val="restart"/>
          </w:tcPr>
          <w:p w14:paraId="2FFFF96E" w14:textId="77777777" w:rsidR="00BC0E7E" w:rsidRPr="00BC0E7E" w:rsidRDefault="00944B8F" w:rsidP="00762FA7">
            <w:pPr>
              <w:widowControl w:val="0"/>
              <w:spacing w:before="60"/>
              <w:rPr>
                <w:del w:id="4976" w:author="AbbVie19" w:date="2025-04-16T10:42:00Z"/>
                <w:szCs w:val="20"/>
              </w:rPr>
            </w:pPr>
            <w:del w:id="4977" w:author="AbbVie19" w:date="2025-04-16T10:42:00Z">
              <w:r w:rsidRPr="00BC0E7E">
                <w:rPr>
                  <w:szCs w:val="20"/>
                </w:rPr>
                <w:delText>Vascular disorders</w:delText>
              </w:r>
            </w:del>
          </w:p>
        </w:tc>
        <w:tc>
          <w:tcPr>
            <w:tcW w:w="2074" w:type="dxa"/>
          </w:tcPr>
          <w:p w14:paraId="0A10B91F" w14:textId="77777777" w:rsidR="00BC0E7E" w:rsidRPr="00BC0E7E" w:rsidRDefault="00944B8F" w:rsidP="00762FA7">
            <w:pPr>
              <w:widowControl w:val="0"/>
              <w:spacing w:before="60"/>
              <w:rPr>
                <w:del w:id="4978" w:author="AbbVie19" w:date="2025-04-16T10:42:00Z"/>
                <w:szCs w:val="20"/>
              </w:rPr>
            </w:pPr>
            <w:del w:id="4979" w:author="AbbVie19" w:date="2025-04-16T10:42:00Z">
              <w:r w:rsidRPr="00BC0E7E">
                <w:rPr>
                  <w:szCs w:val="20"/>
                </w:rPr>
                <w:delText>Common</w:delText>
              </w:r>
            </w:del>
          </w:p>
          <w:p w14:paraId="3E9A8AAA" w14:textId="77777777" w:rsidR="00BC0E7E" w:rsidRPr="00BC0E7E" w:rsidRDefault="00BC0E7E" w:rsidP="00762FA7">
            <w:pPr>
              <w:widowControl w:val="0"/>
              <w:spacing w:before="60"/>
              <w:rPr>
                <w:del w:id="4980" w:author="AbbVie19" w:date="2025-04-16T10:42:00Z"/>
                <w:szCs w:val="20"/>
              </w:rPr>
            </w:pPr>
          </w:p>
        </w:tc>
        <w:tc>
          <w:tcPr>
            <w:tcW w:w="4575" w:type="dxa"/>
          </w:tcPr>
          <w:p w14:paraId="49C682A2" w14:textId="77777777" w:rsidR="00BC0E7E" w:rsidRPr="00BC0E7E" w:rsidRDefault="00944B8F" w:rsidP="00762FA7">
            <w:pPr>
              <w:widowControl w:val="0"/>
              <w:spacing w:before="60"/>
              <w:rPr>
                <w:del w:id="4981" w:author="AbbVie19" w:date="2025-04-16T10:42:00Z"/>
                <w:szCs w:val="20"/>
              </w:rPr>
            </w:pPr>
            <w:del w:id="4982" w:author="AbbVie19" w:date="2025-04-16T10:42:00Z">
              <w:r>
                <w:rPr>
                  <w:szCs w:val="20"/>
                </w:rPr>
                <w:delText>H</w:delText>
              </w:r>
              <w:r w:rsidRPr="00BC0E7E">
                <w:rPr>
                  <w:szCs w:val="20"/>
                </w:rPr>
                <w:delText xml:space="preserve">ypertension, </w:delText>
              </w:r>
            </w:del>
          </w:p>
          <w:p w14:paraId="5F8E69C0" w14:textId="77777777" w:rsidR="00BC0E7E" w:rsidRPr="00BC0E7E" w:rsidRDefault="00944B8F" w:rsidP="00762FA7">
            <w:pPr>
              <w:widowControl w:val="0"/>
              <w:spacing w:before="60"/>
              <w:rPr>
                <w:del w:id="4983" w:author="AbbVie19" w:date="2025-04-16T10:42:00Z"/>
                <w:szCs w:val="20"/>
              </w:rPr>
            </w:pPr>
            <w:del w:id="4984" w:author="AbbVie19" w:date="2025-04-16T10:42:00Z">
              <w:r w:rsidRPr="00BC0E7E">
                <w:rPr>
                  <w:szCs w:val="20"/>
                </w:rPr>
                <w:delText xml:space="preserve">flushing, </w:delText>
              </w:r>
            </w:del>
          </w:p>
          <w:p w14:paraId="757BCFFA" w14:textId="77777777" w:rsidR="00BC0E7E" w:rsidRPr="00BC0E7E" w:rsidRDefault="00944B8F" w:rsidP="00762FA7">
            <w:pPr>
              <w:widowControl w:val="0"/>
              <w:spacing w:before="60"/>
              <w:rPr>
                <w:del w:id="4985" w:author="AbbVie19" w:date="2025-04-16T10:42:00Z"/>
                <w:szCs w:val="20"/>
              </w:rPr>
            </w:pPr>
            <w:del w:id="4986" w:author="AbbVie19" w:date="2025-04-16T10:42:00Z">
              <w:r w:rsidRPr="00BC0E7E">
                <w:rPr>
                  <w:szCs w:val="20"/>
                </w:rPr>
                <w:delText>haematoma</w:delText>
              </w:r>
            </w:del>
          </w:p>
          <w:p w14:paraId="29E692DF" w14:textId="77777777" w:rsidR="00BC0E7E" w:rsidRPr="00BC0E7E" w:rsidRDefault="00BC0E7E" w:rsidP="00762FA7">
            <w:pPr>
              <w:widowControl w:val="0"/>
              <w:spacing w:before="60"/>
              <w:rPr>
                <w:del w:id="4987" w:author="AbbVie19" w:date="2025-04-16T10:42:00Z"/>
                <w:szCs w:val="20"/>
              </w:rPr>
            </w:pPr>
          </w:p>
        </w:tc>
      </w:tr>
      <w:tr w:rsidR="00C6578C" w14:paraId="59EB2667" w14:textId="77777777" w:rsidTr="000244DF">
        <w:trPr>
          <w:del w:id="4988" w:author="AbbVie19" w:date="2025-04-16T10:42:00Z"/>
        </w:trPr>
        <w:tc>
          <w:tcPr>
            <w:tcW w:w="2600" w:type="dxa"/>
            <w:vMerge/>
          </w:tcPr>
          <w:p w14:paraId="64F8691C" w14:textId="77777777" w:rsidR="00BC0E7E" w:rsidRPr="00BC0E7E" w:rsidRDefault="00BC0E7E" w:rsidP="00762FA7">
            <w:pPr>
              <w:widowControl w:val="0"/>
              <w:spacing w:before="60"/>
              <w:rPr>
                <w:del w:id="4989" w:author="AbbVie19" w:date="2025-04-16T10:42:00Z"/>
                <w:szCs w:val="20"/>
              </w:rPr>
            </w:pPr>
          </w:p>
        </w:tc>
        <w:tc>
          <w:tcPr>
            <w:tcW w:w="2074" w:type="dxa"/>
          </w:tcPr>
          <w:p w14:paraId="28E542D8" w14:textId="77777777" w:rsidR="00BC0E7E" w:rsidRPr="00BC0E7E" w:rsidRDefault="00944B8F" w:rsidP="00762FA7">
            <w:pPr>
              <w:widowControl w:val="0"/>
              <w:rPr>
                <w:del w:id="4990" w:author="AbbVie19" w:date="2025-04-16T10:42:00Z"/>
                <w:szCs w:val="20"/>
              </w:rPr>
            </w:pPr>
            <w:del w:id="4991" w:author="AbbVie19" w:date="2025-04-16T10:42:00Z">
              <w:r w:rsidRPr="00BC0E7E">
                <w:rPr>
                  <w:szCs w:val="20"/>
                </w:rPr>
                <w:delText>Uncommon</w:delText>
              </w:r>
            </w:del>
          </w:p>
        </w:tc>
        <w:tc>
          <w:tcPr>
            <w:tcW w:w="4575" w:type="dxa"/>
          </w:tcPr>
          <w:p w14:paraId="7E4232FB" w14:textId="77777777" w:rsidR="00BC0E7E" w:rsidRPr="00BC0E7E" w:rsidRDefault="00944B8F" w:rsidP="00762FA7">
            <w:pPr>
              <w:widowControl w:val="0"/>
              <w:rPr>
                <w:del w:id="4992" w:author="AbbVie19" w:date="2025-04-16T10:42:00Z"/>
                <w:szCs w:val="20"/>
              </w:rPr>
            </w:pPr>
            <w:del w:id="4993" w:author="AbbVie19" w:date="2025-04-16T10:42:00Z">
              <w:r>
                <w:rPr>
                  <w:szCs w:val="20"/>
                </w:rPr>
                <w:delText>A</w:delText>
              </w:r>
              <w:r w:rsidRPr="00BC0E7E">
                <w:rPr>
                  <w:szCs w:val="20"/>
                </w:rPr>
                <w:delText>ortic aneurysm,</w:delText>
              </w:r>
            </w:del>
          </w:p>
          <w:p w14:paraId="4CAAB135" w14:textId="77777777" w:rsidR="00BC0E7E" w:rsidRPr="00BC0E7E" w:rsidRDefault="00944B8F" w:rsidP="00762FA7">
            <w:pPr>
              <w:widowControl w:val="0"/>
              <w:rPr>
                <w:del w:id="4994" w:author="AbbVie19" w:date="2025-04-16T10:42:00Z"/>
                <w:szCs w:val="20"/>
              </w:rPr>
            </w:pPr>
            <w:del w:id="4995" w:author="AbbVie19" w:date="2025-04-16T10:42:00Z">
              <w:r w:rsidRPr="00BC0E7E">
                <w:rPr>
                  <w:szCs w:val="20"/>
                </w:rPr>
                <w:delText>vascular arterial occlusion,</w:delText>
              </w:r>
            </w:del>
          </w:p>
          <w:p w14:paraId="4B5D18FE" w14:textId="77777777" w:rsidR="00BC0E7E" w:rsidRPr="00BC0E7E" w:rsidRDefault="00944B8F" w:rsidP="00762FA7">
            <w:pPr>
              <w:widowControl w:val="0"/>
              <w:rPr>
                <w:del w:id="4996" w:author="AbbVie19" w:date="2025-04-16T10:42:00Z"/>
                <w:szCs w:val="20"/>
              </w:rPr>
            </w:pPr>
            <w:del w:id="4997" w:author="AbbVie19" w:date="2025-04-16T10:42:00Z">
              <w:r w:rsidRPr="00BC0E7E">
                <w:rPr>
                  <w:szCs w:val="20"/>
                </w:rPr>
                <w:delText xml:space="preserve">thrombophlebitis   </w:delText>
              </w:r>
            </w:del>
          </w:p>
          <w:p w14:paraId="4D94A0D7" w14:textId="77777777" w:rsidR="00BC0E7E" w:rsidRPr="00BC0E7E" w:rsidRDefault="00BC0E7E" w:rsidP="00762FA7">
            <w:pPr>
              <w:widowControl w:val="0"/>
              <w:rPr>
                <w:del w:id="4998" w:author="AbbVie19" w:date="2025-04-16T10:42:00Z"/>
                <w:szCs w:val="20"/>
              </w:rPr>
            </w:pPr>
          </w:p>
        </w:tc>
      </w:tr>
      <w:tr w:rsidR="00C6578C" w14:paraId="705920C0" w14:textId="77777777" w:rsidTr="000244DF">
        <w:trPr>
          <w:del w:id="4999" w:author="AbbVie19" w:date="2025-04-16T10:42:00Z"/>
        </w:trPr>
        <w:tc>
          <w:tcPr>
            <w:tcW w:w="2600" w:type="dxa"/>
            <w:vMerge w:val="restart"/>
          </w:tcPr>
          <w:p w14:paraId="2D2D3681" w14:textId="77777777" w:rsidR="00BC0E7E" w:rsidRPr="00BC0E7E" w:rsidRDefault="00944B8F" w:rsidP="00762FA7">
            <w:pPr>
              <w:widowControl w:val="0"/>
              <w:spacing w:before="60"/>
              <w:rPr>
                <w:del w:id="5000" w:author="AbbVie19" w:date="2025-04-16T10:42:00Z"/>
                <w:szCs w:val="20"/>
              </w:rPr>
            </w:pPr>
            <w:del w:id="5001" w:author="AbbVie19" w:date="2025-04-16T10:42:00Z">
              <w:r w:rsidRPr="00BC0E7E">
                <w:rPr>
                  <w:szCs w:val="20"/>
                </w:rPr>
                <w:delText>Respiratory, thoracic and mediastinal disorders*</w:delText>
              </w:r>
            </w:del>
          </w:p>
        </w:tc>
        <w:tc>
          <w:tcPr>
            <w:tcW w:w="2074" w:type="dxa"/>
          </w:tcPr>
          <w:p w14:paraId="3A90BAB8" w14:textId="77777777" w:rsidR="00BC0E7E" w:rsidRPr="00BC0E7E" w:rsidRDefault="00944B8F" w:rsidP="00762FA7">
            <w:pPr>
              <w:widowControl w:val="0"/>
              <w:spacing w:before="60"/>
              <w:rPr>
                <w:del w:id="5002" w:author="AbbVie19" w:date="2025-04-16T10:42:00Z"/>
                <w:szCs w:val="20"/>
              </w:rPr>
            </w:pPr>
            <w:del w:id="5003" w:author="AbbVie19" w:date="2025-04-16T10:42:00Z">
              <w:r w:rsidRPr="00BC0E7E">
                <w:rPr>
                  <w:szCs w:val="20"/>
                </w:rPr>
                <w:delText>Common</w:delText>
              </w:r>
            </w:del>
          </w:p>
          <w:p w14:paraId="5D580619" w14:textId="77777777" w:rsidR="00BC0E7E" w:rsidRPr="00BC0E7E" w:rsidRDefault="00BC0E7E" w:rsidP="00762FA7">
            <w:pPr>
              <w:widowControl w:val="0"/>
              <w:spacing w:before="60"/>
              <w:rPr>
                <w:del w:id="5004" w:author="AbbVie19" w:date="2025-04-16T10:42:00Z"/>
                <w:szCs w:val="20"/>
              </w:rPr>
            </w:pPr>
          </w:p>
        </w:tc>
        <w:tc>
          <w:tcPr>
            <w:tcW w:w="4575" w:type="dxa"/>
          </w:tcPr>
          <w:p w14:paraId="14EEE472" w14:textId="77777777" w:rsidR="00BC0E7E" w:rsidRPr="00BC0E7E" w:rsidRDefault="00944B8F" w:rsidP="00762FA7">
            <w:pPr>
              <w:widowControl w:val="0"/>
              <w:spacing w:before="60"/>
              <w:rPr>
                <w:del w:id="5005" w:author="AbbVie19" w:date="2025-04-16T10:42:00Z"/>
                <w:szCs w:val="20"/>
              </w:rPr>
            </w:pPr>
            <w:del w:id="5006" w:author="AbbVie19" w:date="2025-04-16T10:42:00Z">
              <w:r>
                <w:rPr>
                  <w:szCs w:val="20"/>
                </w:rPr>
                <w:delText>A</w:delText>
              </w:r>
              <w:r w:rsidRPr="00BC0E7E">
                <w:rPr>
                  <w:szCs w:val="20"/>
                </w:rPr>
                <w:delText>sthma,</w:delText>
              </w:r>
            </w:del>
          </w:p>
          <w:p w14:paraId="2BBEAA74" w14:textId="77777777" w:rsidR="00BC0E7E" w:rsidRPr="00BC0E7E" w:rsidRDefault="00944B8F" w:rsidP="00762FA7">
            <w:pPr>
              <w:widowControl w:val="0"/>
              <w:spacing w:before="60"/>
              <w:rPr>
                <w:del w:id="5007" w:author="AbbVie19" w:date="2025-04-16T10:42:00Z"/>
                <w:szCs w:val="20"/>
              </w:rPr>
            </w:pPr>
            <w:del w:id="5008" w:author="AbbVie19" w:date="2025-04-16T10:42:00Z">
              <w:r w:rsidRPr="00BC0E7E">
                <w:rPr>
                  <w:szCs w:val="20"/>
                </w:rPr>
                <w:delText>dyspnoea,</w:delText>
              </w:r>
            </w:del>
          </w:p>
          <w:p w14:paraId="4C9DF117" w14:textId="77777777" w:rsidR="00BC0E7E" w:rsidRPr="00BC0E7E" w:rsidRDefault="00944B8F" w:rsidP="00762FA7">
            <w:pPr>
              <w:widowControl w:val="0"/>
              <w:spacing w:before="60"/>
              <w:rPr>
                <w:del w:id="5009" w:author="AbbVie19" w:date="2025-04-16T10:42:00Z"/>
                <w:szCs w:val="20"/>
              </w:rPr>
            </w:pPr>
            <w:del w:id="5010" w:author="AbbVie19" w:date="2025-04-16T10:42:00Z">
              <w:r w:rsidRPr="00BC0E7E">
                <w:rPr>
                  <w:szCs w:val="20"/>
                </w:rPr>
                <w:delText>cough</w:delText>
              </w:r>
            </w:del>
          </w:p>
          <w:p w14:paraId="6236EE19" w14:textId="77777777" w:rsidR="00BC0E7E" w:rsidRPr="00BC0E7E" w:rsidRDefault="00BC0E7E" w:rsidP="00762FA7">
            <w:pPr>
              <w:widowControl w:val="0"/>
              <w:spacing w:before="60"/>
              <w:rPr>
                <w:del w:id="5011" w:author="AbbVie19" w:date="2025-04-16T10:42:00Z"/>
                <w:szCs w:val="20"/>
              </w:rPr>
            </w:pPr>
          </w:p>
        </w:tc>
      </w:tr>
      <w:tr w:rsidR="00C6578C" w14:paraId="059BD8F9" w14:textId="77777777" w:rsidTr="000244DF">
        <w:trPr>
          <w:del w:id="5012" w:author="AbbVie19" w:date="2025-04-16T10:42:00Z"/>
        </w:trPr>
        <w:tc>
          <w:tcPr>
            <w:tcW w:w="2600" w:type="dxa"/>
            <w:vMerge/>
          </w:tcPr>
          <w:p w14:paraId="264A66A1" w14:textId="77777777" w:rsidR="00BC0E7E" w:rsidRPr="00BC0E7E" w:rsidRDefault="00BC0E7E" w:rsidP="00762FA7">
            <w:pPr>
              <w:widowControl w:val="0"/>
              <w:spacing w:before="60"/>
              <w:jc w:val="center"/>
              <w:rPr>
                <w:del w:id="5013" w:author="AbbVie19" w:date="2025-04-16T10:42:00Z"/>
                <w:b/>
              </w:rPr>
            </w:pPr>
          </w:p>
        </w:tc>
        <w:tc>
          <w:tcPr>
            <w:tcW w:w="2074" w:type="dxa"/>
          </w:tcPr>
          <w:p w14:paraId="0F4FF227" w14:textId="77777777" w:rsidR="00BC0E7E" w:rsidRPr="00BC0E7E" w:rsidRDefault="00944B8F" w:rsidP="00762FA7">
            <w:pPr>
              <w:widowControl w:val="0"/>
              <w:rPr>
                <w:del w:id="5014" w:author="AbbVie19" w:date="2025-04-16T10:42:00Z"/>
                <w:szCs w:val="20"/>
              </w:rPr>
            </w:pPr>
            <w:del w:id="5015" w:author="AbbVie19" w:date="2025-04-16T10:42:00Z">
              <w:r w:rsidRPr="00BC0E7E">
                <w:rPr>
                  <w:szCs w:val="20"/>
                </w:rPr>
                <w:delText>Uncommon</w:delText>
              </w:r>
            </w:del>
          </w:p>
          <w:p w14:paraId="09097679" w14:textId="77777777" w:rsidR="00BC0E7E" w:rsidRPr="00BC0E7E" w:rsidRDefault="00BC0E7E" w:rsidP="00762FA7">
            <w:pPr>
              <w:widowControl w:val="0"/>
              <w:rPr>
                <w:del w:id="5016" w:author="AbbVie19" w:date="2025-04-16T10:42:00Z"/>
                <w:szCs w:val="20"/>
              </w:rPr>
            </w:pPr>
          </w:p>
        </w:tc>
        <w:tc>
          <w:tcPr>
            <w:tcW w:w="4575" w:type="dxa"/>
          </w:tcPr>
          <w:p w14:paraId="4B12AB31" w14:textId="77777777" w:rsidR="00BC0E7E" w:rsidRPr="00BC0E7E" w:rsidRDefault="00944B8F" w:rsidP="00762FA7">
            <w:pPr>
              <w:widowControl w:val="0"/>
              <w:rPr>
                <w:del w:id="5017" w:author="AbbVie19" w:date="2025-04-16T10:42:00Z"/>
                <w:szCs w:val="20"/>
              </w:rPr>
            </w:pPr>
            <w:del w:id="5018" w:author="AbbVie19" w:date="2025-04-16T10:42:00Z">
              <w:r>
                <w:rPr>
                  <w:szCs w:val="20"/>
                </w:rPr>
                <w:delText>P</w:delText>
              </w:r>
              <w:r w:rsidRPr="00BC0E7E">
                <w:rPr>
                  <w:szCs w:val="20"/>
                </w:rPr>
                <w:delText>ulmonary embolism</w:delText>
              </w:r>
              <w:r w:rsidRPr="00BC0E7E">
                <w:rPr>
                  <w:szCs w:val="20"/>
                  <w:vertAlign w:val="superscript"/>
                </w:rPr>
                <w:delText>1)</w:delText>
              </w:r>
              <w:r w:rsidRPr="00BC0E7E">
                <w:rPr>
                  <w:szCs w:val="20"/>
                </w:rPr>
                <w:delText>,</w:delText>
              </w:r>
            </w:del>
          </w:p>
          <w:p w14:paraId="263E4939" w14:textId="77777777" w:rsidR="00BC0E7E" w:rsidRPr="00BC0E7E" w:rsidRDefault="00944B8F" w:rsidP="00762FA7">
            <w:pPr>
              <w:widowControl w:val="0"/>
              <w:rPr>
                <w:del w:id="5019" w:author="AbbVie19" w:date="2025-04-16T10:42:00Z"/>
                <w:szCs w:val="20"/>
              </w:rPr>
            </w:pPr>
            <w:del w:id="5020" w:author="AbbVie19" w:date="2025-04-16T10:42:00Z">
              <w:r w:rsidRPr="00BC0E7E">
                <w:rPr>
                  <w:szCs w:val="20"/>
                </w:rPr>
                <w:delText xml:space="preserve">interstitial lung disease, </w:delText>
              </w:r>
            </w:del>
          </w:p>
          <w:p w14:paraId="3E8BE20E" w14:textId="77777777" w:rsidR="00BC0E7E" w:rsidRPr="00BC0E7E" w:rsidRDefault="00944B8F" w:rsidP="00762FA7">
            <w:pPr>
              <w:widowControl w:val="0"/>
              <w:rPr>
                <w:del w:id="5021" w:author="AbbVie19" w:date="2025-04-16T10:42:00Z"/>
                <w:szCs w:val="20"/>
              </w:rPr>
            </w:pPr>
            <w:del w:id="5022" w:author="AbbVie19" w:date="2025-04-16T10:42:00Z">
              <w:r w:rsidRPr="00BC0E7E">
                <w:rPr>
                  <w:szCs w:val="20"/>
                </w:rPr>
                <w:delText>chronic obstructive pulmonary disease,</w:delText>
              </w:r>
            </w:del>
          </w:p>
          <w:p w14:paraId="176BFE77" w14:textId="77777777" w:rsidR="00BC0E7E" w:rsidRPr="00BC0E7E" w:rsidRDefault="00944B8F" w:rsidP="00762FA7">
            <w:pPr>
              <w:widowControl w:val="0"/>
              <w:rPr>
                <w:del w:id="5023" w:author="AbbVie19" w:date="2025-04-16T10:42:00Z"/>
                <w:szCs w:val="20"/>
              </w:rPr>
            </w:pPr>
            <w:del w:id="5024" w:author="AbbVie19" w:date="2025-04-16T10:42:00Z">
              <w:r w:rsidRPr="00BC0E7E">
                <w:rPr>
                  <w:szCs w:val="20"/>
                </w:rPr>
                <w:lastRenderedPageBreak/>
                <w:delText>pneumonitis,</w:delText>
              </w:r>
            </w:del>
          </w:p>
          <w:p w14:paraId="250DEABB" w14:textId="77777777" w:rsidR="00BC0E7E" w:rsidRPr="00BC0E7E" w:rsidRDefault="00BC0E7E" w:rsidP="00762FA7">
            <w:pPr>
              <w:widowControl w:val="0"/>
              <w:rPr>
                <w:del w:id="5025" w:author="AbbVie19" w:date="2025-04-16T10:42:00Z"/>
                <w:szCs w:val="20"/>
              </w:rPr>
            </w:pPr>
          </w:p>
          <w:p w14:paraId="21F2D70F" w14:textId="77777777" w:rsidR="00BC0E7E" w:rsidRPr="00BC0E7E" w:rsidRDefault="00944B8F" w:rsidP="00762FA7">
            <w:pPr>
              <w:widowControl w:val="0"/>
              <w:rPr>
                <w:del w:id="5026" w:author="AbbVie19" w:date="2025-04-16T10:42:00Z"/>
                <w:szCs w:val="20"/>
              </w:rPr>
            </w:pPr>
            <w:del w:id="5027" w:author="AbbVie19" w:date="2025-04-16T10:42:00Z">
              <w:r w:rsidRPr="00BC0E7E">
                <w:rPr>
                  <w:szCs w:val="20"/>
                </w:rPr>
                <w:delText>pleural effusion</w:delText>
              </w:r>
              <w:r w:rsidRPr="00BC0E7E">
                <w:rPr>
                  <w:szCs w:val="20"/>
                  <w:vertAlign w:val="superscript"/>
                </w:rPr>
                <w:delText>1)</w:delText>
              </w:r>
            </w:del>
          </w:p>
          <w:p w14:paraId="7C312D17" w14:textId="77777777" w:rsidR="00BC0E7E" w:rsidRPr="00BC0E7E" w:rsidRDefault="00BC0E7E" w:rsidP="00762FA7">
            <w:pPr>
              <w:widowControl w:val="0"/>
              <w:rPr>
                <w:del w:id="5028" w:author="AbbVie19" w:date="2025-04-16T10:42:00Z"/>
                <w:szCs w:val="20"/>
              </w:rPr>
            </w:pPr>
          </w:p>
        </w:tc>
      </w:tr>
      <w:tr w:rsidR="00C6578C" w14:paraId="4F08E362" w14:textId="77777777" w:rsidTr="000244DF">
        <w:trPr>
          <w:del w:id="5029" w:author="AbbVie19" w:date="2025-04-16T10:42:00Z"/>
        </w:trPr>
        <w:tc>
          <w:tcPr>
            <w:tcW w:w="2600" w:type="dxa"/>
            <w:vMerge/>
          </w:tcPr>
          <w:p w14:paraId="46DF879F" w14:textId="77777777" w:rsidR="00BC0E7E" w:rsidRPr="00BC0E7E" w:rsidRDefault="00BC0E7E" w:rsidP="00762FA7">
            <w:pPr>
              <w:widowControl w:val="0"/>
              <w:spacing w:before="60"/>
              <w:rPr>
                <w:del w:id="5030" w:author="AbbVie19" w:date="2025-04-16T10:42:00Z"/>
                <w:szCs w:val="20"/>
              </w:rPr>
            </w:pPr>
          </w:p>
        </w:tc>
        <w:tc>
          <w:tcPr>
            <w:tcW w:w="2074" w:type="dxa"/>
          </w:tcPr>
          <w:p w14:paraId="0862BD53" w14:textId="77777777" w:rsidR="00BC0E7E" w:rsidRPr="00BC0E7E" w:rsidRDefault="00944B8F" w:rsidP="00762FA7">
            <w:pPr>
              <w:widowControl w:val="0"/>
              <w:spacing w:before="60"/>
              <w:rPr>
                <w:del w:id="5031" w:author="AbbVie19" w:date="2025-04-16T10:42:00Z"/>
                <w:szCs w:val="20"/>
              </w:rPr>
            </w:pPr>
            <w:del w:id="5032" w:author="AbbVie19" w:date="2025-04-16T10:42:00Z">
              <w:r w:rsidRPr="00BC0E7E">
                <w:rPr>
                  <w:szCs w:val="20"/>
                </w:rPr>
                <w:delText>Rare</w:delText>
              </w:r>
            </w:del>
          </w:p>
        </w:tc>
        <w:tc>
          <w:tcPr>
            <w:tcW w:w="4575" w:type="dxa"/>
          </w:tcPr>
          <w:p w14:paraId="4F05D578" w14:textId="77777777" w:rsidR="00BC0E7E" w:rsidRPr="00BC0E7E" w:rsidRDefault="00944B8F" w:rsidP="00762FA7">
            <w:pPr>
              <w:widowControl w:val="0"/>
              <w:rPr>
                <w:del w:id="5033" w:author="AbbVie19" w:date="2025-04-16T10:42:00Z"/>
                <w:szCs w:val="20"/>
                <w:vertAlign w:val="superscript"/>
              </w:rPr>
            </w:pPr>
            <w:del w:id="5034" w:author="AbbVie19" w:date="2025-04-16T10:42:00Z">
              <w:r>
                <w:rPr>
                  <w:szCs w:val="20"/>
                </w:rPr>
                <w:delText>P</w:delText>
              </w:r>
              <w:r w:rsidRPr="00BC0E7E">
                <w:rPr>
                  <w:szCs w:val="20"/>
                </w:rPr>
                <w:delText>ulmonary fibrosis</w:delText>
              </w:r>
              <w:r w:rsidRPr="00BC0E7E">
                <w:rPr>
                  <w:szCs w:val="20"/>
                  <w:vertAlign w:val="superscript"/>
                </w:rPr>
                <w:delText>1)</w:delText>
              </w:r>
            </w:del>
          </w:p>
          <w:p w14:paraId="2DDB3EE7" w14:textId="77777777" w:rsidR="00BC0E7E" w:rsidRPr="00BC0E7E" w:rsidRDefault="00BC0E7E" w:rsidP="00762FA7">
            <w:pPr>
              <w:widowControl w:val="0"/>
              <w:rPr>
                <w:del w:id="5035" w:author="AbbVie19" w:date="2025-04-16T10:42:00Z"/>
                <w:szCs w:val="20"/>
              </w:rPr>
            </w:pPr>
          </w:p>
        </w:tc>
      </w:tr>
      <w:tr w:rsidR="00C6578C" w14:paraId="5973D721" w14:textId="77777777" w:rsidTr="000244DF">
        <w:trPr>
          <w:del w:id="5036" w:author="AbbVie19" w:date="2025-04-16T10:42:00Z"/>
        </w:trPr>
        <w:tc>
          <w:tcPr>
            <w:tcW w:w="2600" w:type="dxa"/>
            <w:vMerge w:val="restart"/>
          </w:tcPr>
          <w:p w14:paraId="2307FAAC" w14:textId="77777777" w:rsidR="00BC0E7E" w:rsidRPr="00BC0E7E" w:rsidRDefault="00944B8F" w:rsidP="00762FA7">
            <w:pPr>
              <w:widowControl w:val="0"/>
              <w:spacing w:before="60"/>
              <w:rPr>
                <w:del w:id="5037" w:author="AbbVie19" w:date="2025-04-16T10:42:00Z"/>
                <w:szCs w:val="20"/>
              </w:rPr>
            </w:pPr>
            <w:del w:id="5038" w:author="AbbVie19" w:date="2025-04-16T10:42:00Z">
              <w:r w:rsidRPr="00BC0E7E">
                <w:rPr>
                  <w:szCs w:val="20"/>
                </w:rPr>
                <w:delText>Gastrointestinal disorders</w:delText>
              </w:r>
            </w:del>
          </w:p>
        </w:tc>
        <w:tc>
          <w:tcPr>
            <w:tcW w:w="2074" w:type="dxa"/>
          </w:tcPr>
          <w:p w14:paraId="04286AAF" w14:textId="77777777" w:rsidR="00BC0E7E" w:rsidRPr="00BC0E7E" w:rsidRDefault="00944B8F" w:rsidP="00762FA7">
            <w:pPr>
              <w:widowControl w:val="0"/>
              <w:spacing w:before="60"/>
              <w:rPr>
                <w:del w:id="5039" w:author="AbbVie19" w:date="2025-04-16T10:42:00Z"/>
                <w:szCs w:val="20"/>
              </w:rPr>
            </w:pPr>
            <w:del w:id="5040" w:author="AbbVie19" w:date="2025-04-16T10:42:00Z">
              <w:r w:rsidRPr="00BC0E7E">
                <w:rPr>
                  <w:szCs w:val="20"/>
                </w:rPr>
                <w:delText>Very common</w:delText>
              </w:r>
            </w:del>
          </w:p>
          <w:p w14:paraId="1D917905" w14:textId="77777777" w:rsidR="00BC0E7E" w:rsidRPr="00BC0E7E" w:rsidRDefault="00BC0E7E" w:rsidP="00762FA7">
            <w:pPr>
              <w:widowControl w:val="0"/>
              <w:spacing w:before="60"/>
              <w:rPr>
                <w:del w:id="5041" w:author="AbbVie19" w:date="2025-04-16T10:42:00Z"/>
                <w:szCs w:val="20"/>
              </w:rPr>
            </w:pPr>
          </w:p>
        </w:tc>
        <w:tc>
          <w:tcPr>
            <w:tcW w:w="4575" w:type="dxa"/>
          </w:tcPr>
          <w:p w14:paraId="70DC6631" w14:textId="77777777" w:rsidR="00BC0E7E" w:rsidRPr="00BC0E7E" w:rsidRDefault="00944B8F" w:rsidP="00762FA7">
            <w:pPr>
              <w:widowControl w:val="0"/>
              <w:spacing w:before="60"/>
              <w:rPr>
                <w:del w:id="5042" w:author="AbbVie19" w:date="2025-04-16T10:42:00Z"/>
                <w:szCs w:val="20"/>
              </w:rPr>
            </w:pPr>
            <w:del w:id="5043" w:author="AbbVie19" w:date="2025-04-16T10:42:00Z">
              <w:r>
                <w:rPr>
                  <w:szCs w:val="20"/>
                </w:rPr>
                <w:delText>A</w:delText>
              </w:r>
              <w:r w:rsidRPr="00BC0E7E">
                <w:rPr>
                  <w:szCs w:val="20"/>
                </w:rPr>
                <w:delText xml:space="preserve">bdominal pain, </w:delText>
              </w:r>
            </w:del>
          </w:p>
          <w:p w14:paraId="52495A8A" w14:textId="77777777" w:rsidR="00BC0E7E" w:rsidRPr="00BC0E7E" w:rsidRDefault="00944B8F" w:rsidP="00762FA7">
            <w:pPr>
              <w:widowControl w:val="0"/>
              <w:spacing w:before="60"/>
              <w:rPr>
                <w:del w:id="5044" w:author="AbbVie19" w:date="2025-04-16T10:42:00Z"/>
                <w:szCs w:val="20"/>
              </w:rPr>
            </w:pPr>
            <w:del w:id="5045" w:author="AbbVie19" w:date="2025-04-16T10:42:00Z">
              <w:r w:rsidRPr="00BC0E7E">
                <w:rPr>
                  <w:szCs w:val="20"/>
                </w:rPr>
                <w:delText>nausea and vomiting</w:delText>
              </w:r>
            </w:del>
          </w:p>
          <w:p w14:paraId="632339F8" w14:textId="77777777" w:rsidR="00BC0E7E" w:rsidRPr="00BC0E7E" w:rsidRDefault="00BC0E7E" w:rsidP="00762FA7">
            <w:pPr>
              <w:widowControl w:val="0"/>
              <w:spacing w:before="60"/>
              <w:rPr>
                <w:del w:id="5046" w:author="AbbVie19" w:date="2025-04-16T10:42:00Z"/>
                <w:szCs w:val="20"/>
              </w:rPr>
            </w:pPr>
          </w:p>
        </w:tc>
      </w:tr>
      <w:tr w:rsidR="00C6578C" w14:paraId="60F56CF7" w14:textId="77777777" w:rsidTr="000244DF">
        <w:trPr>
          <w:del w:id="5047" w:author="AbbVie19" w:date="2025-04-16T10:42:00Z"/>
        </w:trPr>
        <w:tc>
          <w:tcPr>
            <w:tcW w:w="2600" w:type="dxa"/>
            <w:vMerge/>
          </w:tcPr>
          <w:p w14:paraId="4C10E661" w14:textId="77777777" w:rsidR="00BC0E7E" w:rsidRPr="00BC0E7E" w:rsidRDefault="00BC0E7E" w:rsidP="00762FA7">
            <w:pPr>
              <w:widowControl w:val="0"/>
              <w:spacing w:before="60"/>
              <w:jc w:val="center"/>
              <w:rPr>
                <w:del w:id="5048" w:author="AbbVie19" w:date="2025-04-16T10:42:00Z"/>
                <w:b/>
              </w:rPr>
            </w:pPr>
          </w:p>
        </w:tc>
        <w:tc>
          <w:tcPr>
            <w:tcW w:w="2074" w:type="dxa"/>
          </w:tcPr>
          <w:p w14:paraId="3F62E577" w14:textId="77777777" w:rsidR="00BC0E7E" w:rsidRPr="00BC0E7E" w:rsidRDefault="00944B8F" w:rsidP="00762FA7">
            <w:pPr>
              <w:widowControl w:val="0"/>
              <w:rPr>
                <w:del w:id="5049" w:author="AbbVie19" w:date="2025-04-16T10:42:00Z"/>
                <w:szCs w:val="20"/>
              </w:rPr>
            </w:pPr>
            <w:del w:id="5050" w:author="AbbVie19" w:date="2025-04-16T10:42:00Z">
              <w:r w:rsidRPr="00BC0E7E">
                <w:rPr>
                  <w:szCs w:val="20"/>
                </w:rPr>
                <w:delText>Common</w:delText>
              </w:r>
            </w:del>
          </w:p>
          <w:p w14:paraId="5009D1FB" w14:textId="77777777" w:rsidR="00BC0E7E" w:rsidRPr="00BC0E7E" w:rsidRDefault="00BC0E7E" w:rsidP="00762FA7">
            <w:pPr>
              <w:widowControl w:val="0"/>
              <w:rPr>
                <w:del w:id="5051" w:author="AbbVie19" w:date="2025-04-16T10:42:00Z"/>
                <w:szCs w:val="20"/>
              </w:rPr>
            </w:pPr>
          </w:p>
        </w:tc>
        <w:tc>
          <w:tcPr>
            <w:tcW w:w="4575" w:type="dxa"/>
          </w:tcPr>
          <w:p w14:paraId="23C97C87" w14:textId="77777777" w:rsidR="00BC0E7E" w:rsidRPr="00BC0E7E" w:rsidRDefault="00944B8F" w:rsidP="00762FA7">
            <w:pPr>
              <w:widowControl w:val="0"/>
              <w:rPr>
                <w:del w:id="5052" w:author="AbbVie19" w:date="2025-04-16T10:42:00Z"/>
                <w:szCs w:val="20"/>
              </w:rPr>
            </w:pPr>
            <w:del w:id="5053" w:author="AbbVie19" w:date="2025-04-16T10:42:00Z">
              <w:r w:rsidRPr="00BC0E7E">
                <w:rPr>
                  <w:szCs w:val="20"/>
                </w:rPr>
                <w:delText xml:space="preserve">GI haemorrhage, </w:delText>
              </w:r>
            </w:del>
          </w:p>
          <w:p w14:paraId="03BB0191" w14:textId="77777777" w:rsidR="00BC0E7E" w:rsidRPr="00BC0E7E" w:rsidRDefault="00944B8F" w:rsidP="00762FA7">
            <w:pPr>
              <w:widowControl w:val="0"/>
              <w:rPr>
                <w:del w:id="5054" w:author="AbbVie19" w:date="2025-04-16T10:42:00Z"/>
                <w:szCs w:val="15"/>
              </w:rPr>
            </w:pPr>
            <w:del w:id="5055" w:author="AbbVie19" w:date="2025-04-16T10:42:00Z">
              <w:r w:rsidRPr="00BC0E7E">
                <w:rPr>
                  <w:szCs w:val="20"/>
                </w:rPr>
                <w:delText>dyspepsia,</w:delText>
              </w:r>
              <w:r w:rsidRPr="00BC0E7E">
                <w:rPr>
                  <w:szCs w:val="15"/>
                </w:rPr>
                <w:delText xml:space="preserve"> </w:delText>
              </w:r>
            </w:del>
          </w:p>
          <w:p w14:paraId="3837C5D5" w14:textId="77777777" w:rsidR="00BC0E7E" w:rsidRPr="00BC0E7E" w:rsidRDefault="00944B8F" w:rsidP="00762FA7">
            <w:pPr>
              <w:widowControl w:val="0"/>
              <w:rPr>
                <w:del w:id="5056" w:author="AbbVie19" w:date="2025-04-16T10:42:00Z"/>
                <w:szCs w:val="20"/>
              </w:rPr>
            </w:pPr>
            <w:del w:id="5057" w:author="AbbVie19" w:date="2025-04-16T10:42:00Z">
              <w:r w:rsidRPr="00BC0E7E">
                <w:rPr>
                  <w:szCs w:val="20"/>
                </w:rPr>
                <w:delText>gastroesophageal reflux disease,</w:delText>
              </w:r>
            </w:del>
          </w:p>
          <w:p w14:paraId="4EAD5205" w14:textId="77777777" w:rsidR="00BC0E7E" w:rsidRPr="00BC0E7E" w:rsidRDefault="00944B8F" w:rsidP="00762FA7">
            <w:pPr>
              <w:widowControl w:val="0"/>
              <w:rPr>
                <w:del w:id="5058" w:author="AbbVie19" w:date="2025-04-16T10:42:00Z"/>
                <w:szCs w:val="20"/>
              </w:rPr>
            </w:pPr>
            <w:del w:id="5059" w:author="AbbVie19" w:date="2025-04-16T10:42:00Z">
              <w:r w:rsidRPr="00BC0E7E">
                <w:rPr>
                  <w:szCs w:val="20"/>
                </w:rPr>
                <w:delText>sicca syndrome</w:delText>
              </w:r>
            </w:del>
          </w:p>
          <w:p w14:paraId="6A307B41" w14:textId="77777777" w:rsidR="00BC0E7E" w:rsidRPr="00BC0E7E" w:rsidRDefault="00BC0E7E" w:rsidP="00762FA7">
            <w:pPr>
              <w:widowControl w:val="0"/>
              <w:rPr>
                <w:del w:id="5060" w:author="AbbVie19" w:date="2025-04-16T10:42:00Z"/>
                <w:szCs w:val="20"/>
              </w:rPr>
            </w:pPr>
          </w:p>
        </w:tc>
      </w:tr>
      <w:tr w:rsidR="00C6578C" w14:paraId="53E3A7AA" w14:textId="77777777" w:rsidTr="000244DF">
        <w:trPr>
          <w:del w:id="5061" w:author="AbbVie19" w:date="2025-04-16T10:42:00Z"/>
        </w:trPr>
        <w:tc>
          <w:tcPr>
            <w:tcW w:w="2600" w:type="dxa"/>
            <w:vMerge/>
          </w:tcPr>
          <w:p w14:paraId="42621F57" w14:textId="77777777" w:rsidR="00BC0E7E" w:rsidRPr="00BC0E7E" w:rsidRDefault="00BC0E7E" w:rsidP="00762FA7">
            <w:pPr>
              <w:widowControl w:val="0"/>
              <w:spacing w:before="60"/>
              <w:jc w:val="center"/>
              <w:rPr>
                <w:del w:id="5062" w:author="AbbVie19" w:date="2025-04-16T10:42:00Z"/>
                <w:b/>
              </w:rPr>
            </w:pPr>
          </w:p>
        </w:tc>
        <w:tc>
          <w:tcPr>
            <w:tcW w:w="2074" w:type="dxa"/>
          </w:tcPr>
          <w:p w14:paraId="49591DC1" w14:textId="77777777" w:rsidR="00BC0E7E" w:rsidRPr="00BC0E7E" w:rsidRDefault="00944B8F" w:rsidP="00762FA7">
            <w:pPr>
              <w:widowControl w:val="0"/>
              <w:rPr>
                <w:del w:id="5063" w:author="AbbVie19" w:date="2025-04-16T10:42:00Z"/>
                <w:szCs w:val="20"/>
              </w:rPr>
            </w:pPr>
            <w:del w:id="5064" w:author="AbbVie19" w:date="2025-04-16T10:42:00Z">
              <w:r w:rsidRPr="00BC0E7E">
                <w:rPr>
                  <w:szCs w:val="20"/>
                </w:rPr>
                <w:delText>Uncommon</w:delText>
              </w:r>
            </w:del>
          </w:p>
          <w:p w14:paraId="7AD74416" w14:textId="77777777" w:rsidR="00BC0E7E" w:rsidRPr="00BC0E7E" w:rsidRDefault="00BC0E7E" w:rsidP="00762FA7">
            <w:pPr>
              <w:widowControl w:val="0"/>
              <w:rPr>
                <w:del w:id="5065" w:author="AbbVie19" w:date="2025-04-16T10:42:00Z"/>
                <w:szCs w:val="20"/>
              </w:rPr>
            </w:pPr>
          </w:p>
        </w:tc>
        <w:tc>
          <w:tcPr>
            <w:tcW w:w="4575" w:type="dxa"/>
          </w:tcPr>
          <w:p w14:paraId="2F5BEB11" w14:textId="77777777" w:rsidR="00BC0E7E" w:rsidRPr="00BC0E7E" w:rsidRDefault="00944B8F" w:rsidP="00762FA7">
            <w:pPr>
              <w:widowControl w:val="0"/>
              <w:rPr>
                <w:del w:id="5066" w:author="AbbVie19" w:date="2025-04-16T10:42:00Z"/>
                <w:szCs w:val="20"/>
              </w:rPr>
            </w:pPr>
            <w:del w:id="5067" w:author="AbbVie19" w:date="2025-04-16T10:42:00Z">
              <w:r>
                <w:rPr>
                  <w:szCs w:val="20"/>
                </w:rPr>
                <w:delText>P</w:delText>
              </w:r>
              <w:r w:rsidRPr="00BC0E7E">
                <w:rPr>
                  <w:szCs w:val="20"/>
                </w:rPr>
                <w:delText xml:space="preserve">ancreatitis, </w:delText>
              </w:r>
            </w:del>
          </w:p>
          <w:p w14:paraId="7455B461" w14:textId="77777777" w:rsidR="00BC0E7E" w:rsidRPr="00BC0E7E" w:rsidRDefault="00944B8F" w:rsidP="00762FA7">
            <w:pPr>
              <w:widowControl w:val="0"/>
              <w:rPr>
                <w:del w:id="5068" w:author="AbbVie19" w:date="2025-04-16T10:42:00Z"/>
                <w:szCs w:val="20"/>
              </w:rPr>
            </w:pPr>
            <w:del w:id="5069" w:author="AbbVie19" w:date="2025-04-16T10:42:00Z">
              <w:r w:rsidRPr="00BC0E7E">
                <w:rPr>
                  <w:szCs w:val="20"/>
                </w:rPr>
                <w:delText>dysphagia,</w:delText>
              </w:r>
            </w:del>
          </w:p>
          <w:p w14:paraId="16F5D8D7" w14:textId="77777777" w:rsidR="00BC0E7E" w:rsidRPr="00BC0E7E" w:rsidRDefault="00944B8F" w:rsidP="00762FA7">
            <w:pPr>
              <w:widowControl w:val="0"/>
              <w:rPr>
                <w:del w:id="5070" w:author="AbbVie19" w:date="2025-04-16T10:42:00Z"/>
                <w:szCs w:val="20"/>
              </w:rPr>
            </w:pPr>
            <w:del w:id="5071" w:author="AbbVie19" w:date="2025-04-16T10:42:00Z">
              <w:r w:rsidRPr="00BC0E7E">
                <w:rPr>
                  <w:szCs w:val="20"/>
                </w:rPr>
                <w:delText>face oedema</w:delText>
              </w:r>
            </w:del>
          </w:p>
          <w:p w14:paraId="708C5D49" w14:textId="77777777" w:rsidR="00BC0E7E" w:rsidRPr="00BC0E7E" w:rsidRDefault="00BC0E7E" w:rsidP="00762FA7">
            <w:pPr>
              <w:widowControl w:val="0"/>
              <w:rPr>
                <w:del w:id="5072" w:author="AbbVie19" w:date="2025-04-16T10:42:00Z"/>
                <w:szCs w:val="20"/>
              </w:rPr>
            </w:pPr>
          </w:p>
        </w:tc>
      </w:tr>
      <w:tr w:rsidR="00C6578C" w14:paraId="5D4D738F" w14:textId="77777777" w:rsidTr="000244DF">
        <w:trPr>
          <w:del w:id="5073" w:author="AbbVie19" w:date="2025-04-16T10:42:00Z"/>
        </w:trPr>
        <w:tc>
          <w:tcPr>
            <w:tcW w:w="2600" w:type="dxa"/>
            <w:vMerge/>
          </w:tcPr>
          <w:p w14:paraId="5FA3FF32" w14:textId="77777777" w:rsidR="00BC0E7E" w:rsidRPr="00BC0E7E" w:rsidRDefault="00BC0E7E" w:rsidP="00762FA7">
            <w:pPr>
              <w:widowControl w:val="0"/>
              <w:spacing w:before="60"/>
              <w:rPr>
                <w:del w:id="5074" w:author="AbbVie19" w:date="2025-04-16T10:42:00Z"/>
                <w:szCs w:val="20"/>
              </w:rPr>
            </w:pPr>
          </w:p>
        </w:tc>
        <w:tc>
          <w:tcPr>
            <w:tcW w:w="2074" w:type="dxa"/>
          </w:tcPr>
          <w:p w14:paraId="31820438" w14:textId="77777777" w:rsidR="00BC0E7E" w:rsidRPr="00BC0E7E" w:rsidRDefault="00944B8F" w:rsidP="00762FA7">
            <w:pPr>
              <w:widowControl w:val="0"/>
              <w:spacing w:before="60"/>
              <w:rPr>
                <w:del w:id="5075" w:author="AbbVie19" w:date="2025-04-16T10:42:00Z"/>
                <w:szCs w:val="20"/>
              </w:rPr>
            </w:pPr>
            <w:del w:id="5076" w:author="AbbVie19" w:date="2025-04-16T10:42:00Z">
              <w:r w:rsidRPr="00BC0E7E">
                <w:rPr>
                  <w:szCs w:val="20"/>
                </w:rPr>
                <w:delText>Rare</w:delText>
              </w:r>
            </w:del>
          </w:p>
        </w:tc>
        <w:tc>
          <w:tcPr>
            <w:tcW w:w="4575" w:type="dxa"/>
          </w:tcPr>
          <w:p w14:paraId="63E8B720" w14:textId="77777777" w:rsidR="00BC0E7E" w:rsidRPr="00BC0E7E" w:rsidRDefault="00944B8F" w:rsidP="00762FA7">
            <w:pPr>
              <w:widowControl w:val="0"/>
              <w:spacing w:before="60"/>
              <w:rPr>
                <w:del w:id="5077" w:author="AbbVie19" w:date="2025-04-16T10:42:00Z"/>
                <w:szCs w:val="20"/>
                <w:vertAlign w:val="superscript"/>
              </w:rPr>
            </w:pPr>
            <w:del w:id="5078" w:author="AbbVie19" w:date="2025-04-16T10:42:00Z">
              <w:r>
                <w:rPr>
                  <w:szCs w:val="20"/>
                </w:rPr>
                <w:delText>I</w:delText>
              </w:r>
              <w:r w:rsidRPr="00BC0E7E">
                <w:rPr>
                  <w:szCs w:val="20"/>
                </w:rPr>
                <w:delText>ntestinal perforation</w:delText>
              </w:r>
              <w:r w:rsidRPr="00BC0E7E">
                <w:rPr>
                  <w:szCs w:val="20"/>
                  <w:vertAlign w:val="superscript"/>
                </w:rPr>
                <w:delText>1)</w:delText>
              </w:r>
            </w:del>
          </w:p>
          <w:p w14:paraId="71C63E35" w14:textId="77777777" w:rsidR="00BC0E7E" w:rsidRPr="00BC0E7E" w:rsidRDefault="00BC0E7E" w:rsidP="00762FA7">
            <w:pPr>
              <w:widowControl w:val="0"/>
              <w:spacing w:before="60"/>
              <w:rPr>
                <w:del w:id="5079" w:author="AbbVie19" w:date="2025-04-16T10:42:00Z"/>
                <w:szCs w:val="20"/>
              </w:rPr>
            </w:pPr>
          </w:p>
        </w:tc>
      </w:tr>
      <w:tr w:rsidR="00C6578C" w14:paraId="54039DF3" w14:textId="77777777" w:rsidTr="000244DF">
        <w:trPr>
          <w:del w:id="5080" w:author="AbbVie19" w:date="2025-04-16T10:42:00Z"/>
        </w:trPr>
        <w:tc>
          <w:tcPr>
            <w:tcW w:w="2600" w:type="dxa"/>
            <w:vMerge w:val="restart"/>
          </w:tcPr>
          <w:p w14:paraId="7F571BF9" w14:textId="77777777" w:rsidR="00BC0E7E" w:rsidRPr="00BC0E7E" w:rsidRDefault="00944B8F" w:rsidP="00762FA7">
            <w:pPr>
              <w:widowControl w:val="0"/>
              <w:spacing w:before="60"/>
              <w:rPr>
                <w:del w:id="5081" w:author="AbbVie19" w:date="2025-04-16T10:42:00Z"/>
                <w:szCs w:val="20"/>
              </w:rPr>
            </w:pPr>
            <w:del w:id="5082" w:author="AbbVie19" w:date="2025-04-16T10:42:00Z">
              <w:r w:rsidRPr="00BC0E7E">
                <w:rPr>
                  <w:szCs w:val="20"/>
                </w:rPr>
                <w:delText>Hepato-biliary disorders*</w:delText>
              </w:r>
            </w:del>
          </w:p>
        </w:tc>
        <w:tc>
          <w:tcPr>
            <w:tcW w:w="2074" w:type="dxa"/>
          </w:tcPr>
          <w:p w14:paraId="4BD9164B" w14:textId="77777777" w:rsidR="00BC0E7E" w:rsidRPr="00BC0E7E" w:rsidRDefault="00944B8F" w:rsidP="00762FA7">
            <w:pPr>
              <w:widowControl w:val="0"/>
              <w:spacing w:before="60"/>
              <w:rPr>
                <w:del w:id="5083" w:author="AbbVie19" w:date="2025-04-16T10:42:00Z"/>
                <w:szCs w:val="20"/>
              </w:rPr>
            </w:pPr>
            <w:del w:id="5084" w:author="AbbVie19" w:date="2025-04-16T10:42:00Z">
              <w:r w:rsidRPr="00BC0E7E">
                <w:rPr>
                  <w:szCs w:val="20"/>
                </w:rPr>
                <w:delText>Very Common</w:delText>
              </w:r>
            </w:del>
          </w:p>
          <w:p w14:paraId="62391861" w14:textId="77777777" w:rsidR="00BC0E7E" w:rsidRPr="00BC0E7E" w:rsidRDefault="00BC0E7E" w:rsidP="00762FA7">
            <w:pPr>
              <w:widowControl w:val="0"/>
              <w:spacing w:before="60"/>
              <w:rPr>
                <w:del w:id="5085" w:author="AbbVie19" w:date="2025-04-16T10:42:00Z"/>
                <w:szCs w:val="20"/>
              </w:rPr>
            </w:pPr>
          </w:p>
        </w:tc>
        <w:tc>
          <w:tcPr>
            <w:tcW w:w="4575" w:type="dxa"/>
          </w:tcPr>
          <w:p w14:paraId="436938F9" w14:textId="77777777" w:rsidR="00BC0E7E" w:rsidRPr="00BC0E7E" w:rsidRDefault="00944B8F" w:rsidP="00762FA7">
            <w:pPr>
              <w:widowControl w:val="0"/>
              <w:spacing w:before="60"/>
              <w:rPr>
                <w:del w:id="5086" w:author="AbbVie19" w:date="2025-04-16T10:42:00Z"/>
                <w:szCs w:val="20"/>
              </w:rPr>
            </w:pPr>
            <w:del w:id="5087" w:author="AbbVie19" w:date="2025-04-16T10:42:00Z">
              <w:r>
                <w:rPr>
                  <w:szCs w:val="20"/>
                </w:rPr>
                <w:delText>E</w:delText>
              </w:r>
              <w:r w:rsidRPr="00BC0E7E">
                <w:rPr>
                  <w:szCs w:val="20"/>
                </w:rPr>
                <w:delText>levated liver enzymes</w:delText>
              </w:r>
            </w:del>
          </w:p>
          <w:p w14:paraId="36BB8C56" w14:textId="77777777" w:rsidR="00BC0E7E" w:rsidRPr="00BC0E7E" w:rsidRDefault="00BC0E7E" w:rsidP="00762FA7">
            <w:pPr>
              <w:widowControl w:val="0"/>
              <w:spacing w:before="60"/>
              <w:rPr>
                <w:del w:id="5088" w:author="AbbVie19" w:date="2025-04-16T10:42:00Z"/>
                <w:szCs w:val="20"/>
              </w:rPr>
            </w:pPr>
          </w:p>
        </w:tc>
      </w:tr>
      <w:tr w:rsidR="00C6578C" w14:paraId="2EA18562" w14:textId="77777777" w:rsidTr="000244DF">
        <w:trPr>
          <w:del w:id="5089" w:author="AbbVie19" w:date="2025-04-16T10:42:00Z"/>
        </w:trPr>
        <w:tc>
          <w:tcPr>
            <w:tcW w:w="2600" w:type="dxa"/>
            <w:vMerge/>
          </w:tcPr>
          <w:p w14:paraId="29CF63E5" w14:textId="77777777" w:rsidR="00BC0E7E" w:rsidRPr="00BC0E7E" w:rsidRDefault="00BC0E7E" w:rsidP="00762FA7">
            <w:pPr>
              <w:widowControl w:val="0"/>
              <w:spacing w:before="60"/>
              <w:rPr>
                <w:del w:id="5090" w:author="AbbVie19" w:date="2025-04-16T10:42:00Z"/>
                <w:szCs w:val="20"/>
              </w:rPr>
            </w:pPr>
          </w:p>
        </w:tc>
        <w:tc>
          <w:tcPr>
            <w:tcW w:w="2074" w:type="dxa"/>
          </w:tcPr>
          <w:p w14:paraId="14382242" w14:textId="77777777" w:rsidR="00BC0E7E" w:rsidRPr="00BC0E7E" w:rsidRDefault="00944B8F" w:rsidP="00762FA7">
            <w:pPr>
              <w:widowControl w:val="0"/>
              <w:rPr>
                <w:del w:id="5091" w:author="AbbVie19" w:date="2025-04-16T10:42:00Z"/>
                <w:szCs w:val="20"/>
              </w:rPr>
            </w:pPr>
            <w:del w:id="5092" w:author="AbbVie19" w:date="2025-04-16T10:42:00Z">
              <w:r w:rsidRPr="00BC0E7E">
                <w:rPr>
                  <w:szCs w:val="20"/>
                </w:rPr>
                <w:delText>Uncommon</w:delText>
              </w:r>
            </w:del>
          </w:p>
          <w:p w14:paraId="4886FE31" w14:textId="77777777" w:rsidR="00BC0E7E" w:rsidRPr="00BC0E7E" w:rsidRDefault="00BC0E7E" w:rsidP="00762FA7">
            <w:pPr>
              <w:widowControl w:val="0"/>
              <w:rPr>
                <w:del w:id="5093" w:author="AbbVie19" w:date="2025-04-16T10:42:00Z"/>
                <w:szCs w:val="20"/>
              </w:rPr>
            </w:pPr>
          </w:p>
        </w:tc>
        <w:tc>
          <w:tcPr>
            <w:tcW w:w="4575" w:type="dxa"/>
          </w:tcPr>
          <w:p w14:paraId="7DD26AD3" w14:textId="77777777" w:rsidR="00BC0E7E" w:rsidRPr="00BC0E7E" w:rsidRDefault="00944B8F" w:rsidP="00762FA7">
            <w:pPr>
              <w:widowControl w:val="0"/>
              <w:rPr>
                <w:del w:id="5094" w:author="AbbVie19" w:date="2025-04-16T10:42:00Z"/>
                <w:szCs w:val="20"/>
              </w:rPr>
            </w:pPr>
            <w:del w:id="5095" w:author="AbbVie19" w:date="2025-04-16T10:42:00Z">
              <w:r>
                <w:rPr>
                  <w:szCs w:val="20"/>
                </w:rPr>
                <w:delText>C</w:delText>
              </w:r>
              <w:r w:rsidRPr="00BC0E7E">
                <w:rPr>
                  <w:szCs w:val="20"/>
                </w:rPr>
                <w:delText>holecystitis and cholelithiasis,</w:delText>
              </w:r>
            </w:del>
          </w:p>
          <w:p w14:paraId="0C59165E" w14:textId="77777777" w:rsidR="00BC0E7E" w:rsidRPr="00BC0E7E" w:rsidRDefault="00944B8F" w:rsidP="00762FA7">
            <w:pPr>
              <w:widowControl w:val="0"/>
              <w:rPr>
                <w:del w:id="5096" w:author="AbbVie19" w:date="2025-04-16T10:42:00Z"/>
                <w:szCs w:val="20"/>
              </w:rPr>
            </w:pPr>
            <w:del w:id="5097" w:author="AbbVie19" w:date="2025-04-16T10:42:00Z">
              <w:r w:rsidRPr="00BC0E7E">
                <w:rPr>
                  <w:szCs w:val="20"/>
                </w:rPr>
                <w:delText>hepatic steatosis,</w:delText>
              </w:r>
            </w:del>
          </w:p>
          <w:p w14:paraId="50BBD569" w14:textId="77777777" w:rsidR="00BC0E7E" w:rsidRPr="00BC0E7E" w:rsidRDefault="00944B8F" w:rsidP="00762FA7">
            <w:pPr>
              <w:widowControl w:val="0"/>
              <w:rPr>
                <w:del w:id="5098" w:author="AbbVie19" w:date="2025-04-16T10:42:00Z"/>
                <w:szCs w:val="20"/>
              </w:rPr>
            </w:pPr>
            <w:del w:id="5099" w:author="AbbVie19" w:date="2025-04-16T10:42:00Z">
              <w:r w:rsidRPr="00BC0E7E">
                <w:rPr>
                  <w:szCs w:val="20"/>
                </w:rPr>
                <w:delText>bilirubin increased</w:delText>
              </w:r>
            </w:del>
          </w:p>
          <w:p w14:paraId="50F6FF00" w14:textId="77777777" w:rsidR="00BC0E7E" w:rsidRPr="00BC0E7E" w:rsidRDefault="00BC0E7E" w:rsidP="00762FA7">
            <w:pPr>
              <w:widowControl w:val="0"/>
              <w:rPr>
                <w:del w:id="5100" w:author="AbbVie19" w:date="2025-04-16T10:42:00Z"/>
                <w:szCs w:val="20"/>
              </w:rPr>
            </w:pPr>
          </w:p>
        </w:tc>
      </w:tr>
      <w:tr w:rsidR="00C6578C" w14:paraId="4C0D04BE" w14:textId="77777777" w:rsidTr="000244DF">
        <w:trPr>
          <w:del w:id="5101" w:author="AbbVie19" w:date="2025-04-16T10:42:00Z"/>
        </w:trPr>
        <w:tc>
          <w:tcPr>
            <w:tcW w:w="2600" w:type="dxa"/>
            <w:vMerge/>
          </w:tcPr>
          <w:p w14:paraId="0586C70A" w14:textId="77777777" w:rsidR="00BC0E7E" w:rsidRPr="00BC0E7E" w:rsidRDefault="00BC0E7E" w:rsidP="00762FA7">
            <w:pPr>
              <w:widowControl w:val="0"/>
              <w:spacing w:before="60"/>
              <w:rPr>
                <w:del w:id="5102" w:author="AbbVie19" w:date="2025-04-16T10:42:00Z"/>
                <w:szCs w:val="20"/>
              </w:rPr>
            </w:pPr>
          </w:p>
        </w:tc>
        <w:tc>
          <w:tcPr>
            <w:tcW w:w="2074" w:type="dxa"/>
          </w:tcPr>
          <w:p w14:paraId="1E8E7438" w14:textId="77777777" w:rsidR="00BC0E7E" w:rsidRPr="00BC0E7E" w:rsidRDefault="00944B8F" w:rsidP="00762FA7">
            <w:pPr>
              <w:widowControl w:val="0"/>
              <w:spacing w:before="60"/>
              <w:rPr>
                <w:del w:id="5103" w:author="AbbVie19" w:date="2025-04-16T10:42:00Z"/>
                <w:szCs w:val="20"/>
              </w:rPr>
            </w:pPr>
            <w:del w:id="5104" w:author="AbbVie19" w:date="2025-04-16T10:42:00Z">
              <w:r w:rsidRPr="00BC0E7E">
                <w:rPr>
                  <w:szCs w:val="20"/>
                </w:rPr>
                <w:delText>Rare</w:delText>
              </w:r>
            </w:del>
          </w:p>
          <w:p w14:paraId="5A0D5AEA" w14:textId="77777777" w:rsidR="00BC0E7E" w:rsidRPr="00BC0E7E" w:rsidRDefault="00BC0E7E" w:rsidP="00762FA7">
            <w:pPr>
              <w:widowControl w:val="0"/>
              <w:rPr>
                <w:del w:id="5105" w:author="AbbVie19" w:date="2025-04-16T10:42:00Z"/>
                <w:szCs w:val="20"/>
              </w:rPr>
            </w:pPr>
          </w:p>
        </w:tc>
        <w:tc>
          <w:tcPr>
            <w:tcW w:w="4575" w:type="dxa"/>
          </w:tcPr>
          <w:p w14:paraId="4D65A34A" w14:textId="77777777" w:rsidR="00BC0E7E" w:rsidRPr="00BC0E7E" w:rsidRDefault="00944B8F" w:rsidP="00762FA7">
            <w:pPr>
              <w:widowControl w:val="0"/>
              <w:spacing w:before="60"/>
              <w:rPr>
                <w:del w:id="5106" w:author="AbbVie19" w:date="2025-04-16T10:42:00Z"/>
                <w:szCs w:val="20"/>
              </w:rPr>
            </w:pPr>
            <w:del w:id="5107" w:author="AbbVie19" w:date="2025-04-16T10:42:00Z">
              <w:r>
                <w:rPr>
                  <w:szCs w:val="20"/>
                </w:rPr>
                <w:delText>H</w:delText>
              </w:r>
              <w:r w:rsidRPr="00BC0E7E">
                <w:rPr>
                  <w:szCs w:val="20"/>
                </w:rPr>
                <w:delText>epatitis</w:delText>
              </w:r>
            </w:del>
          </w:p>
          <w:p w14:paraId="4F363762" w14:textId="77777777" w:rsidR="00BC0E7E" w:rsidRPr="00BC0E7E" w:rsidRDefault="00944B8F" w:rsidP="00762FA7">
            <w:pPr>
              <w:widowControl w:val="0"/>
              <w:spacing w:before="60"/>
              <w:rPr>
                <w:del w:id="5108" w:author="AbbVie19" w:date="2025-04-16T10:42:00Z"/>
                <w:szCs w:val="20"/>
                <w:vertAlign w:val="superscript"/>
              </w:rPr>
            </w:pPr>
            <w:del w:id="5109" w:author="AbbVie19" w:date="2025-04-16T10:42:00Z">
              <w:r w:rsidRPr="00BC0E7E">
                <w:rPr>
                  <w:szCs w:val="20"/>
                </w:rPr>
                <w:delText>reactivation of hepatitis B</w:delText>
              </w:r>
              <w:r w:rsidRPr="00BC0E7E">
                <w:rPr>
                  <w:szCs w:val="20"/>
                  <w:vertAlign w:val="superscript"/>
                </w:rPr>
                <w:delText xml:space="preserve">1) </w:delText>
              </w:r>
            </w:del>
          </w:p>
          <w:p w14:paraId="6DF77AD9" w14:textId="77777777" w:rsidR="00BC0E7E" w:rsidRPr="00BC0E7E" w:rsidRDefault="00944B8F" w:rsidP="00762FA7">
            <w:pPr>
              <w:widowControl w:val="0"/>
              <w:spacing w:before="60"/>
              <w:rPr>
                <w:del w:id="5110" w:author="AbbVie19" w:date="2025-04-16T10:42:00Z"/>
                <w:szCs w:val="20"/>
                <w:vertAlign w:val="superscript"/>
              </w:rPr>
            </w:pPr>
            <w:del w:id="5111" w:author="AbbVie19" w:date="2025-04-16T10:42:00Z">
              <w:r w:rsidRPr="00BC0E7E">
                <w:rPr>
                  <w:szCs w:val="20"/>
                </w:rPr>
                <w:delText>autoimmune hepatitis</w:delText>
              </w:r>
              <w:r w:rsidRPr="00BC0E7E">
                <w:rPr>
                  <w:szCs w:val="20"/>
                  <w:vertAlign w:val="superscript"/>
                </w:rPr>
                <w:delText>1)</w:delText>
              </w:r>
            </w:del>
          </w:p>
          <w:p w14:paraId="4A30C547" w14:textId="77777777" w:rsidR="00BC0E7E" w:rsidRPr="00BC0E7E" w:rsidRDefault="00BC0E7E" w:rsidP="00762FA7">
            <w:pPr>
              <w:widowControl w:val="0"/>
              <w:spacing w:before="60"/>
              <w:rPr>
                <w:del w:id="5112" w:author="AbbVie19" w:date="2025-04-16T10:42:00Z"/>
                <w:szCs w:val="20"/>
              </w:rPr>
            </w:pPr>
          </w:p>
        </w:tc>
      </w:tr>
      <w:tr w:rsidR="00C6578C" w14:paraId="1B92F969" w14:textId="77777777" w:rsidTr="000244DF">
        <w:trPr>
          <w:del w:id="5113" w:author="AbbVie19" w:date="2025-04-16T10:42:00Z"/>
        </w:trPr>
        <w:tc>
          <w:tcPr>
            <w:tcW w:w="2600" w:type="dxa"/>
            <w:vMerge/>
          </w:tcPr>
          <w:p w14:paraId="2A7BBF99" w14:textId="77777777" w:rsidR="00BC0E7E" w:rsidRPr="00BC0E7E" w:rsidRDefault="00BC0E7E" w:rsidP="00762FA7">
            <w:pPr>
              <w:widowControl w:val="0"/>
              <w:spacing w:before="60"/>
              <w:rPr>
                <w:del w:id="5114" w:author="AbbVie19" w:date="2025-04-16T10:42:00Z"/>
                <w:szCs w:val="20"/>
              </w:rPr>
            </w:pPr>
          </w:p>
        </w:tc>
        <w:tc>
          <w:tcPr>
            <w:tcW w:w="2074" w:type="dxa"/>
          </w:tcPr>
          <w:p w14:paraId="68720A80" w14:textId="77777777" w:rsidR="00BC0E7E" w:rsidRPr="00BC0E7E" w:rsidRDefault="00944B8F" w:rsidP="00762FA7">
            <w:pPr>
              <w:widowControl w:val="0"/>
              <w:spacing w:before="60"/>
              <w:rPr>
                <w:del w:id="5115" w:author="AbbVie19" w:date="2025-04-16T10:42:00Z"/>
                <w:szCs w:val="20"/>
              </w:rPr>
            </w:pPr>
            <w:del w:id="5116" w:author="AbbVie19" w:date="2025-04-16T10:42:00Z">
              <w:r w:rsidRPr="00BC0E7E">
                <w:rPr>
                  <w:szCs w:val="20"/>
                </w:rPr>
                <w:delText>Not known</w:delText>
              </w:r>
            </w:del>
          </w:p>
          <w:p w14:paraId="7A09B9FF" w14:textId="77777777" w:rsidR="00BC0E7E" w:rsidRPr="00BC0E7E" w:rsidRDefault="00BC0E7E" w:rsidP="00762FA7">
            <w:pPr>
              <w:widowControl w:val="0"/>
              <w:spacing w:before="60"/>
              <w:rPr>
                <w:del w:id="5117" w:author="AbbVie19" w:date="2025-04-16T10:42:00Z"/>
                <w:szCs w:val="20"/>
              </w:rPr>
            </w:pPr>
          </w:p>
        </w:tc>
        <w:tc>
          <w:tcPr>
            <w:tcW w:w="4575" w:type="dxa"/>
          </w:tcPr>
          <w:p w14:paraId="6231623F" w14:textId="77777777" w:rsidR="00BC0E7E" w:rsidRPr="00BC0E7E" w:rsidRDefault="00944B8F" w:rsidP="00762FA7">
            <w:pPr>
              <w:widowControl w:val="0"/>
              <w:spacing w:before="60"/>
              <w:rPr>
                <w:del w:id="5118" w:author="AbbVie19" w:date="2025-04-16T10:42:00Z"/>
                <w:szCs w:val="20"/>
              </w:rPr>
            </w:pPr>
            <w:del w:id="5119" w:author="AbbVie19" w:date="2025-04-16T10:42:00Z">
              <w:r>
                <w:rPr>
                  <w:szCs w:val="20"/>
                </w:rPr>
                <w:delText>L</w:delText>
              </w:r>
              <w:r w:rsidRPr="00BC0E7E">
                <w:rPr>
                  <w:szCs w:val="20"/>
                </w:rPr>
                <w:delText>iver failure</w:delText>
              </w:r>
              <w:r w:rsidRPr="00BC0E7E">
                <w:rPr>
                  <w:szCs w:val="20"/>
                  <w:vertAlign w:val="superscript"/>
                </w:rPr>
                <w:delText>1)</w:delText>
              </w:r>
            </w:del>
          </w:p>
        </w:tc>
      </w:tr>
      <w:tr w:rsidR="00C6578C" w14:paraId="794FF93D" w14:textId="77777777" w:rsidTr="000244DF">
        <w:trPr>
          <w:del w:id="5120" w:author="AbbVie19" w:date="2025-04-16T10:42:00Z"/>
        </w:trPr>
        <w:tc>
          <w:tcPr>
            <w:tcW w:w="2600" w:type="dxa"/>
            <w:vMerge w:val="restart"/>
          </w:tcPr>
          <w:p w14:paraId="7076E18C" w14:textId="77777777" w:rsidR="00BC0E7E" w:rsidRPr="00BC0E7E" w:rsidRDefault="00944B8F" w:rsidP="00762FA7">
            <w:pPr>
              <w:widowControl w:val="0"/>
              <w:spacing w:before="60"/>
              <w:rPr>
                <w:del w:id="5121" w:author="AbbVie19" w:date="2025-04-16T10:42:00Z"/>
                <w:szCs w:val="20"/>
              </w:rPr>
            </w:pPr>
            <w:del w:id="5122" w:author="AbbVie19" w:date="2025-04-16T10:42:00Z">
              <w:r w:rsidRPr="00BC0E7E">
                <w:rPr>
                  <w:szCs w:val="20"/>
                </w:rPr>
                <w:delText>Skin and subcutaneous tissue disorders</w:delText>
              </w:r>
            </w:del>
          </w:p>
        </w:tc>
        <w:tc>
          <w:tcPr>
            <w:tcW w:w="2074" w:type="dxa"/>
          </w:tcPr>
          <w:p w14:paraId="1BB79EBD" w14:textId="77777777" w:rsidR="00BC0E7E" w:rsidRPr="00BC0E7E" w:rsidRDefault="00944B8F" w:rsidP="00762FA7">
            <w:pPr>
              <w:widowControl w:val="0"/>
              <w:spacing w:before="60"/>
              <w:rPr>
                <w:del w:id="5123" w:author="AbbVie19" w:date="2025-04-16T10:42:00Z"/>
                <w:szCs w:val="20"/>
              </w:rPr>
            </w:pPr>
            <w:del w:id="5124" w:author="AbbVie19" w:date="2025-04-16T10:42:00Z">
              <w:r w:rsidRPr="00BC0E7E">
                <w:rPr>
                  <w:szCs w:val="20"/>
                </w:rPr>
                <w:delText>Very Common</w:delText>
              </w:r>
            </w:del>
          </w:p>
          <w:p w14:paraId="6E517B45" w14:textId="77777777" w:rsidR="00BC0E7E" w:rsidRPr="00BC0E7E" w:rsidRDefault="00BC0E7E" w:rsidP="00762FA7">
            <w:pPr>
              <w:widowControl w:val="0"/>
              <w:spacing w:before="60"/>
              <w:rPr>
                <w:del w:id="5125" w:author="AbbVie19" w:date="2025-04-16T10:42:00Z"/>
                <w:szCs w:val="20"/>
              </w:rPr>
            </w:pPr>
          </w:p>
        </w:tc>
        <w:tc>
          <w:tcPr>
            <w:tcW w:w="4575" w:type="dxa"/>
          </w:tcPr>
          <w:p w14:paraId="46F2F243" w14:textId="77777777" w:rsidR="00BC0E7E" w:rsidRPr="00BC0E7E" w:rsidRDefault="00944B8F" w:rsidP="00762FA7">
            <w:pPr>
              <w:widowControl w:val="0"/>
              <w:spacing w:before="60"/>
              <w:rPr>
                <w:del w:id="5126" w:author="AbbVie19" w:date="2025-04-16T10:42:00Z"/>
                <w:szCs w:val="20"/>
              </w:rPr>
            </w:pPr>
            <w:del w:id="5127" w:author="AbbVie19" w:date="2025-04-16T10:42:00Z">
              <w:r>
                <w:rPr>
                  <w:szCs w:val="20"/>
                </w:rPr>
                <w:delText>R</w:delText>
              </w:r>
              <w:r w:rsidRPr="00BC0E7E">
                <w:rPr>
                  <w:szCs w:val="20"/>
                </w:rPr>
                <w:delText>ash (including exfoliative rash)</w:delText>
              </w:r>
            </w:del>
          </w:p>
          <w:p w14:paraId="7144D944" w14:textId="77777777" w:rsidR="00BC0E7E" w:rsidRPr="00BC0E7E" w:rsidRDefault="00BC0E7E" w:rsidP="00762FA7">
            <w:pPr>
              <w:widowControl w:val="0"/>
              <w:spacing w:before="60"/>
              <w:rPr>
                <w:del w:id="5128" w:author="AbbVie19" w:date="2025-04-16T10:42:00Z"/>
                <w:szCs w:val="20"/>
              </w:rPr>
            </w:pPr>
          </w:p>
        </w:tc>
      </w:tr>
      <w:tr w:rsidR="00C6578C" w14:paraId="5D9A7CCD" w14:textId="77777777" w:rsidTr="000244DF">
        <w:trPr>
          <w:del w:id="5129" w:author="AbbVie19" w:date="2025-04-16T10:42:00Z"/>
        </w:trPr>
        <w:tc>
          <w:tcPr>
            <w:tcW w:w="2600" w:type="dxa"/>
            <w:vMerge/>
          </w:tcPr>
          <w:p w14:paraId="0C199CF6" w14:textId="77777777" w:rsidR="00BC0E7E" w:rsidRPr="00BC0E7E" w:rsidRDefault="00BC0E7E" w:rsidP="00762FA7">
            <w:pPr>
              <w:widowControl w:val="0"/>
              <w:spacing w:before="60"/>
              <w:jc w:val="center"/>
              <w:rPr>
                <w:del w:id="5130" w:author="AbbVie19" w:date="2025-04-16T10:42:00Z"/>
                <w:b/>
              </w:rPr>
            </w:pPr>
          </w:p>
        </w:tc>
        <w:tc>
          <w:tcPr>
            <w:tcW w:w="2074" w:type="dxa"/>
          </w:tcPr>
          <w:p w14:paraId="4DA75053" w14:textId="77777777" w:rsidR="00BC0E7E" w:rsidRPr="00BC0E7E" w:rsidRDefault="00944B8F" w:rsidP="00762FA7">
            <w:pPr>
              <w:widowControl w:val="0"/>
              <w:rPr>
                <w:del w:id="5131" w:author="AbbVie19" w:date="2025-04-16T10:42:00Z"/>
                <w:szCs w:val="20"/>
              </w:rPr>
            </w:pPr>
            <w:del w:id="5132" w:author="AbbVie19" w:date="2025-04-16T10:42:00Z">
              <w:r w:rsidRPr="00BC0E7E">
                <w:rPr>
                  <w:szCs w:val="20"/>
                </w:rPr>
                <w:delText>Common</w:delText>
              </w:r>
            </w:del>
          </w:p>
          <w:p w14:paraId="26C15A85" w14:textId="77777777" w:rsidR="00BC0E7E" w:rsidRPr="00BC0E7E" w:rsidRDefault="00BC0E7E" w:rsidP="00762FA7">
            <w:pPr>
              <w:widowControl w:val="0"/>
              <w:rPr>
                <w:del w:id="5133" w:author="AbbVie19" w:date="2025-04-16T10:42:00Z"/>
                <w:szCs w:val="20"/>
              </w:rPr>
            </w:pPr>
          </w:p>
        </w:tc>
        <w:tc>
          <w:tcPr>
            <w:tcW w:w="4575" w:type="dxa"/>
          </w:tcPr>
          <w:p w14:paraId="62BA560A" w14:textId="77777777" w:rsidR="00BC0E7E" w:rsidRPr="00BC0E7E" w:rsidRDefault="00944B8F" w:rsidP="00762FA7">
            <w:pPr>
              <w:widowControl w:val="0"/>
              <w:rPr>
                <w:del w:id="5134" w:author="AbbVie19" w:date="2025-04-16T10:42:00Z"/>
                <w:szCs w:val="20"/>
              </w:rPr>
            </w:pPr>
            <w:del w:id="5135" w:author="AbbVie19" w:date="2025-04-16T10:42:00Z">
              <w:r>
                <w:rPr>
                  <w:szCs w:val="20"/>
                </w:rPr>
                <w:delText>W</w:delText>
              </w:r>
              <w:r w:rsidRPr="00BC0E7E">
                <w:rPr>
                  <w:szCs w:val="20"/>
                </w:rPr>
                <w:delText>orsening or new onset of psoriasis(including palmoplantar pustular psoriasis)</w:delText>
              </w:r>
              <w:r w:rsidRPr="00BC0E7E">
                <w:rPr>
                  <w:szCs w:val="20"/>
                  <w:vertAlign w:val="superscript"/>
                </w:rPr>
                <w:delText>1)</w:delText>
              </w:r>
              <w:r w:rsidRPr="00BC0E7E">
                <w:rPr>
                  <w:szCs w:val="20"/>
                </w:rPr>
                <w:delText>,</w:delText>
              </w:r>
            </w:del>
          </w:p>
          <w:p w14:paraId="2183A08A" w14:textId="77777777" w:rsidR="00BC0E7E" w:rsidRPr="00BC0E7E" w:rsidRDefault="00944B8F" w:rsidP="00762FA7">
            <w:pPr>
              <w:widowControl w:val="0"/>
              <w:rPr>
                <w:del w:id="5136" w:author="AbbVie19" w:date="2025-04-16T10:42:00Z"/>
                <w:szCs w:val="20"/>
              </w:rPr>
            </w:pPr>
            <w:del w:id="5137" w:author="AbbVie19" w:date="2025-04-16T10:42:00Z">
              <w:r w:rsidRPr="00BC0E7E">
                <w:rPr>
                  <w:szCs w:val="20"/>
                </w:rPr>
                <w:delText>urticaria,</w:delText>
              </w:r>
            </w:del>
          </w:p>
          <w:p w14:paraId="51B29EFB" w14:textId="77777777" w:rsidR="00BC0E7E" w:rsidRPr="00BC0E7E" w:rsidRDefault="00944B8F" w:rsidP="00762FA7">
            <w:pPr>
              <w:widowControl w:val="0"/>
              <w:rPr>
                <w:del w:id="5138" w:author="AbbVie19" w:date="2025-04-16T10:42:00Z"/>
                <w:szCs w:val="20"/>
              </w:rPr>
            </w:pPr>
            <w:del w:id="5139" w:author="AbbVie19" w:date="2025-04-16T10:42:00Z">
              <w:r w:rsidRPr="00BC0E7E">
                <w:rPr>
                  <w:szCs w:val="20"/>
                </w:rPr>
                <w:delText xml:space="preserve">bruising (including purpura), </w:delText>
              </w:r>
            </w:del>
          </w:p>
          <w:p w14:paraId="4C89DCA6" w14:textId="77777777" w:rsidR="00BC0E7E" w:rsidRPr="00BC0E7E" w:rsidRDefault="00944B8F" w:rsidP="00762FA7">
            <w:pPr>
              <w:widowControl w:val="0"/>
              <w:rPr>
                <w:del w:id="5140" w:author="AbbVie19" w:date="2025-04-16T10:42:00Z"/>
                <w:szCs w:val="20"/>
              </w:rPr>
            </w:pPr>
            <w:del w:id="5141" w:author="AbbVie19" w:date="2025-04-16T10:42:00Z">
              <w:r w:rsidRPr="00BC0E7E">
                <w:rPr>
                  <w:szCs w:val="20"/>
                </w:rPr>
                <w:delText>dermatitis (including eczema),</w:delText>
              </w:r>
            </w:del>
          </w:p>
          <w:p w14:paraId="5FE2A17F" w14:textId="77777777" w:rsidR="00BC0E7E" w:rsidRPr="00BC0E7E" w:rsidRDefault="00944B8F" w:rsidP="00762FA7">
            <w:pPr>
              <w:widowControl w:val="0"/>
              <w:rPr>
                <w:del w:id="5142" w:author="AbbVie19" w:date="2025-04-16T10:42:00Z"/>
                <w:szCs w:val="20"/>
                <w:lang w:val="it-IT"/>
              </w:rPr>
            </w:pPr>
            <w:del w:id="5143" w:author="AbbVie19" w:date="2025-04-16T10:42:00Z">
              <w:r w:rsidRPr="00BC0E7E">
                <w:rPr>
                  <w:szCs w:val="20"/>
                  <w:lang w:val="it-IT"/>
                </w:rPr>
                <w:delText xml:space="preserve">onychoclasis, </w:delText>
              </w:r>
            </w:del>
          </w:p>
          <w:p w14:paraId="145A7322" w14:textId="77777777" w:rsidR="00BC0E7E" w:rsidRPr="00BC0E7E" w:rsidRDefault="00944B8F" w:rsidP="00762FA7">
            <w:pPr>
              <w:widowControl w:val="0"/>
              <w:rPr>
                <w:del w:id="5144" w:author="AbbVie19" w:date="2025-04-16T10:42:00Z"/>
                <w:szCs w:val="20"/>
                <w:lang w:val="it-IT"/>
              </w:rPr>
            </w:pPr>
            <w:del w:id="5145" w:author="AbbVie19" w:date="2025-04-16T10:42:00Z">
              <w:r w:rsidRPr="00BC0E7E">
                <w:rPr>
                  <w:szCs w:val="20"/>
                </w:rPr>
                <w:delText>hyperhidrosis</w:delText>
              </w:r>
              <w:r w:rsidRPr="00BC0E7E">
                <w:rPr>
                  <w:szCs w:val="20"/>
                  <w:lang w:val="it-IT"/>
                </w:rPr>
                <w:delText>,</w:delText>
              </w:r>
            </w:del>
          </w:p>
          <w:p w14:paraId="6CFFABB3" w14:textId="77777777" w:rsidR="00BC0E7E" w:rsidRPr="00BC0E7E" w:rsidRDefault="00944B8F" w:rsidP="00762FA7">
            <w:pPr>
              <w:widowControl w:val="0"/>
              <w:rPr>
                <w:del w:id="5146" w:author="AbbVie19" w:date="2025-04-16T10:42:00Z"/>
                <w:szCs w:val="20"/>
              </w:rPr>
            </w:pPr>
            <w:del w:id="5147" w:author="AbbVie19" w:date="2025-04-16T10:42:00Z">
              <w:r w:rsidRPr="00BC0E7E">
                <w:rPr>
                  <w:szCs w:val="20"/>
                  <w:lang w:val="it-IT"/>
                </w:rPr>
                <w:delText>alopecia</w:delText>
              </w:r>
              <w:r w:rsidRPr="00BC0E7E">
                <w:rPr>
                  <w:szCs w:val="20"/>
                  <w:vertAlign w:val="superscript"/>
                  <w:lang w:val="it-IT"/>
                </w:rPr>
                <w:delText>1)</w:delText>
              </w:r>
              <w:r w:rsidRPr="00BC0E7E">
                <w:rPr>
                  <w:szCs w:val="20"/>
                  <w:lang w:val="it-IT"/>
                </w:rPr>
                <w:delText>,</w:delText>
              </w:r>
            </w:del>
          </w:p>
          <w:p w14:paraId="276AF5C1" w14:textId="77777777" w:rsidR="00BC0E7E" w:rsidRPr="00BC0E7E" w:rsidRDefault="00944B8F" w:rsidP="00762FA7">
            <w:pPr>
              <w:widowControl w:val="0"/>
              <w:rPr>
                <w:del w:id="5148" w:author="AbbVie19" w:date="2025-04-16T10:42:00Z"/>
                <w:szCs w:val="20"/>
              </w:rPr>
            </w:pPr>
            <w:del w:id="5149" w:author="AbbVie19" w:date="2025-04-16T10:42:00Z">
              <w:r w:rsidRPr="00BC0E7E">
                <w:rPr>
                  <w:szCs w:val="20"/>
                </w:rPr>
                <w:delText xml:space="preserve">pruritus </w:delText>
              </w:r>
            </w:del>
          </w:p>
          <w:p w14:paraId="4D62AD2D" w14:textId="77777777" w:rsidR="00BC0E7E" w:rsidRPr="00BC0E7E" w:rsidRDefault="00BC0E7E" w:rsidP="00762FA7">
            <w:pPr>
              <w:widowControl w:val="0"/>
              <w:rPr>
                <w:del w:id="5150" w:author="AbbVie19" w:date="2025-04-16T10:42:00Z"/>
                <w:szCs w:val="20"/>
              </w:rPr>
            </w:pPr>
          </w:p>
        </w:tc>
      </w:tr>
      <w:tr w:rsidR="00C6578C" w14:paraId="53220270" w14:textId="77777777" w:rsidTr="000244DF">
        <w:trPr>
          <w:del w:id="5151" w:author="AbbVie19" w:date="2025-04-16T10:42:00Z"/>
        </w:trPr>
        <w:tc>
          <w:tcPr>
            <w:tcW w:w="2600" w:type="dxa"/>
            <w:vMerge/>
          </w:tcPr>
          <w:p w14:paraId="0AB29C11" w14:textId="77777777" w:rsidR="00BC0E7E" w:rsidRPr="00BC0E7E" w:rsidRDefault="00BC0E7E" w:rsidP="00762FA7">
            <w:pPr>
              <w:widowControl w:val="0"/>
              <w:spacing w:before="60"/>
              <w:jc w:val="center"/>
              <w:rPr>
                <w:del w:id="5152" w:author="AbbVie19" w:date="2025-04-16T10:42:00Z"/>
                <w:b/>
              </w:rPr>
            </w:pPr>
          </w:p>
        </w:tc>
        <w:tc>
          <w:tcPr>
            <w:tcW w:w="2074" w:type="dxa"/>
          </w:tcPr>
          <w:p w14:paraId="0119F89E" w14:textId="77777777" w:rsidR="00BC0E7E" w:rsidRPr="00BC0E7E" w:rsidRDefault="00944B8F" w:rsidP="00762FA7">
            <w:pPr>
              <w:widowControl w:val="0"/>
              <w:rPr>
                <w:del w:id="5153" w:author="AbbVie19" w:date="2025-04-16T10:42:00Z"/>
                <w:szCs w:val="20"/>
                <w:lang w:val="it-IT"/>
              </w:rPr>
            </w:pPr>
            <w:del w:id="5154" w:author="AbbVie19" w:date="2025-04-16T10:42:00Z">
              <w:r w:rsidRPr="00BC0E7E">
                <w:rPr>
                  <w:szCs w:val="20"/>
                  <w:lang w:val="it-IT"/>
                </w:rPr>
                <w:delText>Uncommon</w:delText>
              </w:r>
            </w:del>
          </w:p>
          <w:p w14:paraId="5C6380F7" w14:textId="77777777" w:rsidR="00BC0E7E" w:rsidRPr="00BC0E7E" w:rsidRDefault="00BC0E7E" w:rsidP="00762FA7">
            <w:pPr>
              <w:widowControl w:val="0"/>
              <w:rPr>
                <w:del w:id="5155" w:author="AbbVie19" w:date="2025-04-16T10:42:00Z"/>
                <w:szCs w:val="20"/>
                <w:lang w:val="it-IT"/>
              </w:rPr>
            </w:pPr>
          </w:p>
        </w:tc>
        <w:tc>
          <w:tcPr>
            <w:tcW w:w="4575" w:type="dxa"/>
          </w:tcPr>
          <w:p w14:paraId="70576D14" w14:textId="77777777" w:rsidR="00BC0E7E" w:rsidRPr="00BC0E7E" w:rsidRDefault="00944B8F" w:rsidP="00762FA7">
            <w:pPr>
              <w:widowControl w:val="0"/>
              <w:rPr>
                <w:del w:id="5156" w:author="AbbVie19" w:date="2025-04-16T10:42:00Z"/>
                <w:szCs w:val="20"/>
                <w:lang w:val="it-IT"/>
              </w:rPr>
            </w:pPr>
            <w:del w:id="5157" w:author="AbbVie19" w:date="2025-04-16T10:42:00Z">
              <w:r>
                <w:rPr>
                  <w:szCs w:val="20"/>
                  <w:lang w:val="it-IT"/>
                </w:rPr>
                <w:delText>N</w:delText>
              </w:r>
              <w:r w:rsidRPr="00BC0E7E">
                <w:rPr>
                  <w:szCs w:val="20"/>
                  <w:lang w:val="it-IT"/>
                </w:rPr>
                <w:delText>ight sweats,</w:delText>
              </w:r>
            </w:del>
          </w:p>
          <w:p w14:paraId="65008C67" w14:textId="77777777" w:rsidR="00BC0E7E" w:rsidRPr="00BC0E7E" w:rsidRDefault="00944B8F" w:rsidP="00762FA7">
            <w:pPr>
              <w:widowControl w:val="0"/>
              <w:rPr>
                <w:del w:id="5158" w:author="AbbVie19" w:date="2025-04-16T10:42:00Z"/>
                <w:szCs w:val="20"/>
                <w:lang w:val="it-IT"/>
              </w:rPr>
            </w:pPr>
            <w:del w:id="5159" w:author="AbbVie19" w:date="2025-04-16T10:42:00Z">
              <w:r w:rsidRPr="00BC0E7E">
                <w:rPr>
                  <w:szCs w:val="20"/>
                  <w:lang w:val="it-IT"/>
                </w:rPr>
                <w:delText>scar</w:delText>
              </w:r>
            </w:del>
          </w:p>
          <w:p w14:paraId="61173A3C" w14:textId="77777777" w:rsidR="00BC0E7E" w:rsidRPr="00BC0E7E" w:rsidRDefault="00BC0E7E" w:rsidP="00762FA7">
            <w:pPr>
              <w:widowControl w:val="0"/>
              <w:rPr>
                <w:del w:id="5160" w:author="AbbVie19" w:date="2025-04-16T10:42:00Z"/>
                <w:szCs w:val="20"/>
                <w:lang w:val="it-IT"/>
              </w:rPr>
            </w:pPr>
          </w:p>
        </w:tc>
      </w:tr>
      <w:tr w:rsidR="00C6578C" w14:paraId="621A415D" w14:textId="77777777" w:rsidTr="000244DF">
        <w:trPr>
          <w:trHeight w:val="1333"/>
          <w:del w:id="5161" w:author="AbbVie19" w:date="2025-04-16T10:42:00Z"/>
        </w:trPr>
        <w:tc>
          <w:tcPr>
            <w:tcW w:w="2600" w:type="dxa"/>
            <w:vMerge/>
          </w:tcPr>
          <w:p w14:paraId="5AC45914" w14:textId="77777777" w:rsidR="00BC0E7E" w:rsidRPr="00BC0E7E" w:rsidRDefault="00BC0E7E" w:rsidP="00762FA7">
            <w:pPr>
              <w:widowControl w:val="0"/>
              <w:spacing w:before="60"/>
              <w:rPr>
                <w:del w:id="5162" w:author="AbbVie19" w:date="2025-04-16T10:42:00Z"/>
                <w:szCs w:val="20"/>
              </w:rPr>
            </w:pPr>
          </w:p>
        </w:tc>
        <w:tc>
          <w:tcPr>
            <w:tcW w:w="2074" w:type="dxa"/>
          </w:tcPr>
          <w:p w14:paraId="399A3EAA" w14:textId="77777777" w:rsidR="00BC0E7E" w:rsidRPr="00BC0E7E" w:rsidRDefault="00944B8F" w:rsidP="00762FA7">
            <w:pPr>
              <w:widowControl w:val="0"/>
              <w:spacing w:before="60"/>
              <w:rPr>
                <w:del w:id="5163" w:author="AbbVie19" w:date="2025-04-16T10:42:00Z"/>
                <w:szCs w:val="20"/>
              </w:rPr>
            </w:pPr>
            <w:del w:id="5164" w:author="AbbVie19" w:date="2025-04-16T10:42:00Z">
              <w:r w:rsidRPr="00BC0E7E">
                <w:rPr>
                  <w:szCs w:val="20"/>
                </w:rPr>
                <w:delText>Rare</w:delText>
              </w:r>
            </w:del>
          </w:p>
        </w:tc>
        <w:tc>
          <w:tcPr>
            <w:tcW w:w="4575" w:type="dxa"/>
          </w:tcPr>
          <w:p w14:paraId="6D62D6E6" w14:textId="77777777" w:rsidR="00BC0E7E" w:rsidRPr="00762FA7" w:rsidRDefault="00944B8F" w:rsidP="00762FA7">
            <w:pPr>
              <w:widowControl w:val="0"/>
              <w:spacing w:before="60"/>
              <w:rPr>
                <w:del w:id="5165" w:author="AbbVie19" w:date="2025-04-16T10:42:00Z"/>
                <w:szCs w:val="20"/>
                <w:lang w:val="fr-FR"/>
              </w:rPr>
            </w:pPr>
            <w:del w:id="5166" w:author="AbbVie19" w:date="2025-04-16T10:42:00Z">
              <w:r w:rsidRPr="00762FA7">
                <w:rPr>
                  <w:szCs w:val="20"/>
                  <w:lang w:val="fr-FR"/>
                </w:rPr>
                <w:delText>Erythema multiforme</w:delText>
              </w:r>
              <w:r w:rsidRPr="00762FA7">
                <w:rPr>
                  <w:szCs w:val="20"/>
                  <w:vertAlign w:val="superscript"/>
                  <w:lang w:val="fr-FR"/>
                </w:rPr>
                <w:delText>1)</w:delText>
              </w:r>
              <w:r w:rsidRPr="00762FA7">
                <w:rPr>
                  <w:szCs w:val="20"/>
                  <w:lang w:val="fr-FR"/>
                </w:rPr>
                <w:delText>,</w:delText>
              </w:r>
            </w:del>
          </w:p>
          <w:p w14:paraId="03DB18EA" w14:textId="77777777" w:rsidR="00BC0E7E" w:rsidRPr="00173B45" w:rsidRDefault="00944B8F" w:rsidP="00762FA7">
            <w:pPr>
              <w:widowControl w:val="0"/>
              <w:spacing w:before="60"/>
              <w:rPr>
                <w:del w:id="5167" w:author="AbbVie19" w:date="2025-04-16T10:42:00Z"/>
                <w:szCs w:val="20"/>
                <w:lang w:val="en-US"/>
                <w:rPrChange w:id="5168" w:author="AbbVie19" w:date="2025-09-08T11:30:00Z" w16du:dateUtc="2025-09-08T08:30:00Z">
                  <w:rPr>
                    <w:del w:id="5169" w:author="AbbVie19" w:date="2025-04-16T10:42:00Z"/>
                    <w:szCs w:val="20"/>
                    <w:lang w:val="nb-NO"/>
                  </w:rPr>
                </w:rPrChange>
              </w:rPr>
            </w:pPr>
            <w:del w:id="5170" w:author="AbbVie19" w:date="2025-04-16T10:42:00Z">
              <w:r w:rsidRPr="00173B45">
                <w:rPr>
                  <w:szCs w:val="20"/>
                  <w:lang w:val="en-US"/>
                  <w:rPrChange w:id="5171" w:author="AbbVie19" w:date="2025-09-08T11:30:00Z" w16du:dateUtc="2025-09-08T08:30:00Z">
                    <w:rPr>
                      <w:szCs w:val="20"/>
                      <w:lang w:val="nb-NO"/>
                    </w:rPr>
                  </w:rPrChange>
                </w:rPr>
                <w:delText>Stevens-Johnson syndrome</w:delText>
              </w:r>
              <w:r w:rsidRPr="00173B45">
                <w:rPr>
                  <w:szCs w:val="20"/>
                  <w:vertAlign w:val="superscript"/>
                  <w:lang w:val="en-US"/>
                  <w:rPrChange w:id="5172" w:author="AbbVie19" w:date="2025-09-08T11:30:00Z" w16du:dateUtc="2025-09-08T08:30:00Z">
                    <w:rPr>
                      <w:szCs w:val="20"/>
                      <w:vertAlign w:val="superscript"/>
                      <w:lang w:val="nb-NO"/>
                    </w:rPr>
                  </w:rPrChange>
                </w:rPr>
                <w:delText>1)</w:delText>
              </w:r>
              <w:r w:rsidRPr="00173B45">
                <w:rPr>
                  <w:szCs w:val="20"/>
                  <w:lang w:val="en-US"/>
                  <w:rPrChange w:id="5173" w:author="AbbVie19" w:date="2025-09-08T11:30:00Z" w16du:dateUtc="2025-09-08T08:30:00Z">
                    <w:rPr>
                      <w:szCs w:val="20"/>
                      <w:lang w:val="nb-NO"/>
                    </w:rPr>
                  </w:rPrChange>
                </w:rPr>
                <w:delText>,</w:delText>
              </w:r>
            </w:del>
          </w:p>
          <w:p w14:paraId="07577718" w14:textId="77777777" w:rsidR="00BC0E7E" w:rsidRPr="007224CE" w:rsidRDefault="00944B8F" w:rsidP="00762FA7">
            <w:pPr>
              <w:widowControl w:val="0"/>
              <w:spacing w:before="60"/>
              <w:rPr>
                <w:del w:id="5174" w:author="AbbVie19" w:date="2025-04-16T10:42:00Z"/>
                <w:szCs w:val="20"/>
              </w:rPr>
            </w:pPr>
            <w:del w:id="5175" w:author="AbbVie19" w:date="2025-04-16T10:42:00Z">
              <w:r w:rsidRPr="007224CE">
                <w:rPr>
                  <w:szCs w:val="20"/>
                </w:rPr>
                <w:delText>angioedema</w:delText>
              </w:r>
              <w:r w:rsidRPr="007224CE">
                <w:rPr>
                  <w:szCs w:val="20"/>
                  <w:vertAlign w:val="superscript"/>
                </w:rPr>
                <w:delText>1)</w:delText>
              </w:r>
              <w:r w:rsidRPr="007224CE">
                <w:rPr>
                  <w:szCs w:val="20"/>
                </w:rPr>
                <w:delText>,</w:delText>
              </w:r>
            </w:del>
          </w:p>
          <w:p w14:paraId="41807C08" w14:textId="77777777" w:rsidR="00BC0E7E" w:rsidRPr="00762FA7" w:rsidRDefault="00944B8F" w:rsidP="00762FA7">
            <w:pPr>
              <w:widowControl w:val="0"/>
              <w:spacing w:before="60"/>
              <w:rPr>
                <w:del w:id="5176" w:author="AbbVie19" w:date="2025-04-16T10:42:00Z"/>
                <w:szCs w:val="20"/>
                <w:vertAlign w:val="superscript"/>
                <w:lang w:val="fr-FR"/>
              </w:rPr>
            </w:pPr>
            <w:del w:id="5177" w:author="AbbVie19" w:date="2025-04-16T10:42:00Z">
              <w:r w:rsidRPr="00762FA7">
                <w:rPr>
                  <w:szCs w:val="20"/>
                  <w:lang w:val="fr-FR"/>
                </w:rPr>
                <w:delText>cutaneous vasculitis</w:delText>
              </w:r>
              <w:r w:rsidRPr="00762FA7">
                <w:rPr>
                  <w:szCs w:val="20"/>
                  <w:vertAlign w:val="superscript"/>
                  <w:lang w:val="fr-FR"/>
                </w:rPr>
                <w:delText>1)</w:delText>
              </w:r>
            </w:del>
          </w:p>
          <w:p w14:paraId="79230E1A" w14:textId="77777777" w:rsidR="00A81D15" w:rsidRDefault="00944B8F" w:rsidP="00762FA7">
            <w:pPr>
              <w:pStyle w:val="EMEANormal"/>
              <w:widowControl w:val="0"/>
              <w:spacing w:before="60"/>
              <w:rPr>
                <w:del w:id="5178" w:author="AbbVie19" w:date="2025-04-16T10:42:00Z"/>
                <w:szCs w:val="22"/>
                <w:vertAlign w:val="superscript"/>
              </w:rPr>
            </w:pPr>
            <w:del w:id="5179" w:author="AbbVie19" w:date="2025-04-16T10:42:00Z">
              <w:r>
                <w:delText>lichenoid skin reaction</w:delText>
              </w:r>
              <w:r>
                <w:rPr>
                  <w:szCs w:val="22"/>
                  <w:vertAlign w:val="superscript"/>
                </w:rPr>
                <w:delText>1)</w:delText>
              </w:r>
            </w:del>
          </w:p>
          <w:p w14:paraId="50E0FB6C" w14:textId="77777777" w:rsidR="00EB3D9B" w:rsidRPr="00BC0E7E" w:rsidRDefault="00EB3D9B" w:rsidP="00762FA7">
            <w:pPr>
              <w:widowControl w:val="0"/>
              <w:spacing w:before="60"/>
              <w:rPr>
                <w:del w:id="5180" w:author="AbbVie19" w:date="2025-04-16T10:42:00Z"/>
                <w:szCs w:val="20"/>
              </w:rPr>
            </w:pPr>
          </w:p>
        </w:tc>
      </w:tr>
      <w:tr w:rsidR="00C6578C" w14:paraId="72423B11" w14:textId="77777777" w:rsidTr="000244DF">
        <w:trPr>
          <w:del w:id="5181" w:author="AbbVie19" w:date="2025-04-16T10:42:00Z"/>
        </w:trPr>
        <w:tc>
          <w:tcPr>
            <w:tcW w:w="2600" w:type="dxa"/>
            <w:vMerge/>
          </w:tcPr>
          <w:p w14:paraId="244A728A" w14:textId="77777777" w:rsidR="00BC0E7E" w:rsidRPr="00BC0E7E" w:rsidRDefault="00BC0E7E" w:rsidP="00762FA7">
            <w:pPr>
              <w:widowControl w:val="0"/>
              <w:spacing w:before="60"/>
              <w:rPr>
                <w:del w:id="5182" w:author="AbbVie19" w:date="2025-04-16T10:42:00Z"/>
                <w:szCs w:val="20"/>
              </w:rPr>
            </w:pPr>
          </w:p>
        </w:tc>
        <w:tc>
          <w:tcPr>
            <w:tcW w:w="2074" w:type="dxa"/>
          </w:tcPr>
          <w:p w14:paraId="5718E53C" w14:textId="77777777" w:rsidR="00BC0E7E" w:rsidRPr="00BC0E7E" w:rsidRDefault="00944B8F" w:rsidP="00762FA7">
            <w:pPr>
              <w:widowControl w:val="0"/>
              <w:spacing w:before="60"/>
              <w:rPr>
                <w:del w:id="5183" w:author="AbbVie19" w:date="2025-04-16T10:42:00Z"/>
                <w:szCs w:val="20"/>
              </w:rPr>
            </w:pPr>
            <w:del w:id="5184" w:author="AbbVie19" w:date="2025-04-16T10:42:00Z">
              <w:r w:rsidRPr="00BC0E7E">
                <w:rPr>
                  <w:szCs w:val="20"/>
                </w:rPr>
                <w:delText>Not known</w:delText>
              </w:r>
            </w:del>
          </w:p>
        </w:tc>
        <w:tc>
          <w:tcPr>
            <w:tcW w:w="4575" w:type="dxa"/>
          </w:tcPr>
          <w:p w14:paraId="711F051D" w14:textId="77777777" w:rsidR="00BC0E7E" w:rsidRPr="00BC0E7E" w:rsidRDefault="00944B8F" w:rsidP="00762FA7">
            <w:pPr>
              <w:widowControl w:val="0"/>
              <w:spacing w:before="60"/>
              <w:rPr>
                <w:del w:id="5185" w:author="AbbVie19" w:date="2025-04-16T10:42:00Z"/>
                <w:szCs w:val="20"/>
                <w:vertAlign w:val="superscript"/>
              </w:rPr>
            </w:pPr>
            <w:del w:id="5186" w:author="AbbVie19" w:date="2025-04-16T10:42:00Z">
              <w:r>
                <w:rPr>
                  <w:szCs w:val="20"/>
                </w:rPr>
                <w:delText>W</w:delText>
              </w:r>
              <w:r w:rsidRPr="00BC0E7E">
                <w:rPr>
                  <w:szCs w:val="20"/>
                </w:rPr>
                <w:delText>orsening of symptoms of dermatomyositis</w:delText>
              </w:r>
              <w:r w:rsidRPr="00BC0E7E">
                <w:rPr>
                  <w:szCs w:val="20"/>
                  <w:vertAlign w:val="superscript"/>
                </w:rPr>
                <w:delText>1)</w:delText>
              </w:r>
            </w:del>
          </w:p>
          <w:p w14:paraId="4E140CF7" w14:textId="77777777" w:rsidR="00BC0E7E" w:rsidRPr="00BC0E7E" w:rsidRDefault="00BC0E7E" w:rsidP="00762FA7">
            <w:pPr>
              <w:widowControl w:val="0"/>
              <w:spacing w:before="60"/>
              <w:rPr>
                <w:del w:id="5187" w:author="AbbVie19" w:date="2025-04-16T10:42:00Z"/>
                <w:szCs w:val="20"/>
              </w:rPr>
            </w:pPr>
          </w:p>
        </w:tc>
      </w:tr>
      <w:tr w:rsidR="00C6578C" w14:paraId="12184989" w14:textId="77777777" w:rsidTr="000244DF">
        <w:trPr>
          <w:del w:id="5188" w:author="AbbVie19" w:date="2025-04-16T10:42:00Z"/>
        </w:trPr>
        <w:tc>
          <w:tcPr>
            <w:tcW w:w="2600" w:type="dxa"/>
            <w:vMerge w:val="restart"/>
          </w:tcPr>
          <w:p w14:paraId="71E0E51F" w14:textId="77777777" w:rsidR="00BC0E7E" w:rsidRPr="00BC0E7E" w:rsidRDefault="00944B8F" w:rsidP="00762FA7">
            <w:pPr>
              <w:widowControl w:val="0"/>
              <w:spacing w:before="60"/>
              <w:rPr>
                <w:del w:id="5189" w:author="AbbVie19" w:date="2025-04-16T10:42:00Z"/>
                <w:szCs w:val="20"/>
              </w:rPr>
            </w:pPr>
            <w:del w:id="5190" w:author="AbbVie19" w:date="2025-04-16T10:42:00Z">
              <w:r w:rsidRPr="00BC0E7E">
                <w:rPr>
                  <w:szCs w:val="20"/>
                </w:rPr>
                <w:delText>Musculoskeletal and connective tissue disorders</w:delText>
              </w:r>
            </w:del>
          </w:p>
        </w:tc>
        <w:tc>
          <w:tcPr>
            <w:tcW w:w="2074" w:type="dxa"/>
          </w:tcPr>
          <w:p w14:paraId="5BC2D078" w14:textId="77777777" w:rsidR="00BC0E7E" w:rsidRPr="00BC0E7E" w:rsidRDefault="00944B8F" w:rsidP="00762FA7">
            <w:pPr>
              <w:widowControl w:val="0"/>
              <w:spacing w:before="60"/>
              <w:rPr>
                <w:del w:id="5191" w:author="AbbVie19" w:date="2025-04-16T10:42:00Z"/>
                <w:szCs w:val="20"/>
              </w:rPr>
            </w:pPr>
            <w:del w:id="5192" w:author="AbbVie19" w:date="2025-04-16T10:42:00Z">
              <w:r w:rsidRPr="00BC0E7E">
                <w:rPr>
                  <w:szCs w:val="20"/>
                </w:rPr>
                <w:delText>Very common</w:delText>
              </w:r>
            </w:del>
          </w:p>
          <w:p w14:paraId="5BC46F52" w14:textId="77777777" w:rsidR="00BC0E7E" w:rsidRPr="00BC0E7E" w:rsidRDefault="00BC0E7E" w:rsidP="00762FA7">
            <w:pPr>
              <w:widowControl w:val="0"/>
              <w:spacing w:before="60"/>
              <w:rPr>
                <w:del w:id="5193" w:author="AbbVie19" w:date="2025-04-16T10:42:00Z"/>
                <w:szCs w:val="20"/>
              </w:rPr>
            </w:pPr>
          </w:p>
        </w:tc>
        <w:tc>
          <w:tcPr>
            <w:tcW w:w="4575" w:type="dxa"/>
          </w:tcPr>
          <w:p w14:paraId="19EF93ED" w14:textId="77777777" w:rsidR="00BC0E7E" w:rsidRPr="00BC0E7E" w:rsidRDefault="00944B8F" w:rsidP="00762FA7">
            <w:pPr>
              <w:widowControl w:val="0"/>
              <w:spacing w:before="60"/>
              <w:rPr>
                <w:del w:id="5194" w:author="AbbVie19" w:date="2025-04-16T10:42:00Z"/>
                <w:szCs w:val="20"/>
              </w:rPr>
            </w:pPr>
            <w:del w:id="5195" w:author="AbbVie19" w:date="2025-04-16T10:42:00Z">
              <w:r>
                <w:rPr>
                  <w:szCs w:val="20"/>
                </w:rPr>
                <w:delText>M</w:delText>
              </w:r>
              <w:r w:rsidRPr="00BC0E7E">
                <w:rPr>
                  <w:szCs w:val="20"/>
                </w:rPr>
                <w:delText>usculoskeletal pain</w:delText>
              </w:r>
            </w:del>
          </w:p>
          <w:p w14:paraId="170ABD99" w14:textId="77777777" w:rsidR="00BC0E7E" w:rsidRPr="00BC0E7E" w:rsidRDefault="00BC0E7E" w:rsidP="00762FA7">
            <w:pPr>
              <w:widowControl w:val="0"/>
              <w:spacing w:before="60"/>
              <w:rPr>
                <w:del w:id="5196" w:author="AbbVie19" w:date="2025-04-16T10:42:00Z"/>
                <w:szCs w:val="20"/>
              </w:rPr>
            </w:pPr>
          </w:p>
        </w:tc>
      </w:tr>
      <w:tr w:rsidR="00C6578C" w14:paraId="1EA1CB8D" w14:textId="77777777" w:rsidTr="000244DF">
        <w:trPr>
          <w:del w:id="5197" w:author="AbbVie19" w:date="2025-04-16T10:42:00Z"/>
        </w:trPr>
        <w:tc>
          <w:tcPr>
            <w:tcW w:w="2600" w:type="dxa"/>
            <w:vMerge/>
          </w:tcPr>
          <w:p w14:paraId="48C9D407" w14:textId="77777777" w:rsidR="00BC0E7E" w:rsidRPr="00BC0E7E" w:rsidRDefault="00BC0E7E" w:rsidP="00762FA7">
            <w:pPr>
              <w:widowControl w:val="0"/>
              <w:spacing w:before="60"/>
              <w:rPr>
                <w:del w:id="5198" w:author="AbbVie19" w:date="2025-04-16T10:42:00Z"/>
                <w:szCs w:val="20"/>
              </w:rPr>
            </w:pPr>
          </w:p>
        </w:tc>
        <w:tc>
          <w:tcPr>
            <w:tcW w:w="2074" w:type="dxa"/>
          </w:tcPr>
          <w:p w14:paraId="01D7E06C" w14:textId="77777777" w:rsidR="00BC0E7E" w:rsidRPr="00BC0E7E" w:rsidRDefault="00944B8F" w:rsidP="00762FA7">
            <w:pPr>
              <w:widowControl w:val="0"/>
              <w:spacing w:before="60"/>
              <w:rPr>
                <w:del w:id="5199" w:author="AbbVie19" w:date="2025-04-16T10:42:00Z"/>
                <w:szCs w:val="20"/>
              </w:rPr>
            </w:pPr>
            <w:del w:id="5200" w:author="AbbVie19" w:date="2025-04-16T10:42:00Z">
              <w:r w:rsidRPr="00BC0E7E">
                <w:rPr>
                  <w:szCs w:val="20"/>
                </w:rPr>
                <w:delText>Common</w:delText>
              </w:r>
            </w:del>
          </w:p>
        </w:tc>
        <w:tc>
          <w:tcPr>
            <w:tcW w:w="4575" w:type="dxa"/>
          </w:tcPr>
          <w:p w14:paraId="51C93479" w14:textId="77777777" w:rsidR="00BC0E7E" w:rsidRPr="00BC0E7E" w:rsidRDefault="00944B8F" w:rsidP="00762FA7">
            <w:pPr>
              <w:widowControl w:val="0"/>
              <w:spacing w:before="60"/>
              <w:rPr>
                <w:del w:id="5201" w:author="AbbVie19" w:date="2025-04-16T10:42:00Z"/>
                <w:szCs w:val="20"/>
              </w:rPr>
            </w:pPr>
            <w:del w:id="5202" w:author="AbbVie19" w:date="2025-04-16T10:42:00Z">
              <w:r>
                <w:rPr>
                  <w:szCs w:val="20"/>
                </w:rPr>
                <w:delText>M</w:delText>
              </w:r>
              <w:r w:rsidRPr="00BC0E7E">
                <w:rPr>
                  <w:szCs w:val="20"/>
                </w:rPr>
                <w:delText>uscle spasms (including blood creatine phosphokinase increased)</w:delText>
              </w:r>
            </w:del>
          </w:p>
          <w:p w14:paraId="2EEEEA5D" w14:textId="77777777" w:rsidR="00BC0E7E" w:rsidRPr="00BC0E7E" w:rsidRDefault="00BC0E7E" w:rsidP="00762FA7">
            <w:pPr>
              <w:widowControl w:val="0"/>
              <w:spacing w:before="60"/>
              <w:rPr>
                <w:del w:id="5203" w:author="AbbVie19" w:date="2025-04-16T10:42:00Z"/>
                <w:szCs w:val="20"/>
              </w:rPr>
            </w:pPr>
          </w:p>
        </w:tc>
      </w:tr>
      <w:tr w:rsidR="00C6578C" w14:paraId="5C6394C1" w14:textId="77777777" w:rsidTr="000244DF">
        <w:trPr>
          <w:del w:id="5204" w:author="AbbVie19" w:date="2025-04-16T10:42:00Z"/>
        </w:trPr>
        <w:tc>
          <w:tcPr>
            <w:tcW w:w="2600" w:type="dxa"/>
            <w:vMerge/>
          </w:tcPr>
          <w:p w14:paraId="400AAAED" w14:textId="77777777" w:rsidR="00BC0E7E" w:rsidRPr="00BC0E7E" w:rsidRDefault="00BC0E7E" w:rsidP="00762FA7">
            <w:pPr>
              <w:widowControl w:val="0"/>
              <w:spacing w:before="60"/>
              <w:jc w:val="center"/>
              <w:rPr>
                <w:del w:id="5205" w:author="AbbVie19" w:date="2025-04-16T10:42:00Z"/>
                <w:b/>
              </w:rPr>
            </w:pPr>
          </w:p>
        </w:tc>
        <w:tc>
          <w:tcPr>
            <w:tcW w:w="2074" w:type="dxa"/>
          </w:tcPr>
          <w:p w14:paraId="744C239B" w14:textId="77777777" w:rsidR="00BC0E7E" w:rsidRPr="00BC0E7E" w:rsidRDefault="00944B8F" w:rsidP="00762FA7">
            <w:pPr>
              <w:widowControl w:val="0"/>
              <w:rPr>
                <w:del w:id="5206" w:author="AbbVie19" w:date="2025-04-16T10:42:00Z"/>
                <w:szCs w:val="20"/>
              </w:rPr>
            </w:pPr>
            <w:del w:id="5207" w:author="AbbVie19" w:date="2025-04-16T10:42:00Z">
              <w:r w:rsidRPr="00BC0E7E">
                <w:rPr>
                  <w:szCs w:val="20"/>
                </w:rPr>
                <w:delText>Uncommon</w:delText>
              </w:r>
            </w:del>
          </w:p>
        </w:tc>
        <w:tc>
          <w:tcPr>
            <w:tcW w:w="4575" w:type="dxa"/>
          </w:tcPr>
          <w:p w14:paraId="27FEE586" w14:textId="77777777" w:rsidR="00BC0E7E" w:rsidRPr="00BC0E7E" w:rsidRDefault="00944B8F" w:rsidP="00762FA7">
            <w:pPr>
              <w:widowControl w:val="0"/>
              <w:rPr>
                <w:del w:id="5208" w:author="AbbVie19" w:date="2025-04-16T10:42:00Z"/>
                <w:szCs w:val="20"/>
              </w:rPr>
            </w:pPr>
            <w:del w:id="5209" w:author="AbbVie19" w:date="2025-04-16T10:42:00Z">
              <w:r>
                <w:rPr>
                  <w:szCs w:val="20"/>
                </w:rPr>
                <w:delText>R</w:delText>
              </w:r>
              <w:r w:rsidRPr="00BC0E7E">
                <w:rPr>
                  <w:szCs w:val="20"/>
                </w:rPr>
                <w:delText>habdomyolysis,</w:delText>
              </w:r>
            </w:del>
          </w:p>
          <w:p w14:paraId="78B81507" w14:textId="77777777" w:rsidR="00BC0E7E" w:rsidRPr="00BC0E7E" w:rsidRDefault="00944B8F" w:rsidP="00762FA7">
            <w:pPr>
              <w:widowControl w:val="0"/>
              <w:rPr>
                <w:del w:id="5210" w:author="AbbVie19" w:date="2025-04-16T10:42:00Z"/>
                <w:szCs w:val="20"/>
              </w:rPr>
            </w:pPr>
            <w:del w:id="5211" w:author="AbbVie19" w:date="2025-04-16T10:42:00Z">
              <w:r w:rsidRPr="00BC0E7E">
                <w:rPr>
                  <w:szCs w:val="20"/>
                </w:rPr>
                <w:delText>systemic lupus erythematosus</w:delText>
              </w:r>
            </w:del>
          </w:p>
          <w:p w14:paraId="490B9518" w14:textId="77777777" w:rsidR="00BC0E7E" w:rsidRPr="00BC0E7E" w:rsidRDefault="00BC0E7E" w:rsidP="00762FA7">
            <w:pPr>
              <w:widowControl w:val="0"/>
              <w:rPr>
                <w:del w:id="5212" w:author="AbbVie19" w:date="2025-04-16T10:42:00Z"/>
                <w:szCs w:val="20"/>
              </w:rPr>
            </w:pPr>
          </w:p>
        </w:tc>
      </w:tr>
      <w:tr w:rsidR="00C6578C" w14:paraId="6B53F3E2" w14:textId="77777777" w:rsidTr="000244DF">
        <w:trPr>
          <w:del w:id="5213" w:author="AbbVie19" w:date="2025-04-16T10:42:00Z"/>
        </w:trPr>
        <w:tc>
          <w:tcPr>
            <w:tcW w:w="2600" w:type="dxa"/>
            <w:vMerge/>
          </w:tcPr>
          <w:p w14:paraId="734EA48D" w14:textId="77777777" w:rsidR="00BC0E7E" w:rsidRPr="00BC0E7E" w:rsidRDefault="00BC0E7E" w:rsidP="00762FA7">
            <w:pPr>
              <w:widowControl w:val="0"/>
              <w:spacing w:before="60"/>
              <w:jc w:val="center"/>
              <w:rPr>
                <w:del w:id="5214" w:author="AbbVie19" w:date="2025-04-16T10:42:00Z"/>
                <w:b/>
              </w:rPr>
            </w:pPr>
          </w:p>
        </w:tc>
        <w:tc>
          <w:tcPr>
            <w:tcW w:w="2074" w:type="dxa"/>
          </w:tcPr>
          <w:p w14:paraId="2B0B9967" w14:textId="77777777" w:rsidR="00BC0E7E" w:rsidRPr="00BC0E7E" w:rsidRDefault="00944B8F" w:rsidP="00762FA7">
            <w:pPr>
              <w:widowControl w:val="0"/>
              <w:rPr>
                <w:del w:id="5215" w:author="AbbVie19" w:date="2025-04-16T10:42:00Z"/>
                <w:szCs w:val="20"/>
              </w:rPr>
            </w:pPr>
            <w:del w:id="5216" w:author="AbbVie19" w:date="2025-04-16T10:42:00Z">
              <w:r w:rsidRPr="00BC0E7E">
                <w:rPr>
                  <w:szCs w:val="20"/>
                </w:rPr>
                <w:delText>Rare</w:delText>
              </w:r>
            </w:del>
          </w:p>
          <w:p w14:paraId="7708D8B6" w14:textId="77777777" w:rsidR="00BC0E7E" w:rsidRPr="00BC0E7E" w:rsidRDefault="00BC0E7E" w:rsidP="00762FA7">
            <w:pPr>
              <w:widowControl w:val="0"/>
              <w:rPr>
                <w:del w:id="5217" w:author="AbbVie19" w:date="2025-04-16T10:42:00Z"/>
                <w:szCs w:val="20"/>
              </w:rPr>
            </w:pPr>
          </w:p>
        </w:tc>
        <w:tc>
          <w:tcPr>
            <w:tcW w:w="4575" w:type="dxa"/>
          </w:tcPr>
          <w:p w14:paraId="296EA538" w14:textId="77777777" w:rsidR="00BC0E7E" w:rsidRPr="00BC0E7E" w:rsidRDefault="00944B8F" w:rsidP="00762FA7">
            <w:pPr>
              <w:widowControl w:val="0"/>
              <w:rPr>
                <w:del w:id="5218" w:author="AbbVie19" w:date="2025-04-16T10:42:00Z"/>
                <w:szCs w:val="20"/>
                <w:vertAlign w:val="superscript"/>
              </w:rPr>
            </w:pPr>
            <w:del w:id="5219" w:author="AbbVie19" w:date="2025-04-16T10:42:00Z">
              <w:r>
                <w:rPr>
                  <w:szCs w:val="20"/>
                </w:rPr>
                <w:delText>L</w:delText>
              </w:r>
              <w:r w:rsidRPr="00BC0E7E">
                <w:rPr>
                  <w:szCs w:val="20"/>
                </w:rPr>
                <w:delText>upus-like syndrome</w:delText>
              </w:r>
              <w:r w:rsidRPr="00BC0E7E">
                <w:rPr>
                  <w:szCs w:val="20"/>
                  <w:vertAlign w:val="superscript"/>
                </w:rPr>
                <w:delText>1)</w:delText>
              </w:r>
            </w:del>
          </w:p>
          <w:p w14:paraId="14C52CCA" w14:textId="77777777" w:rsidR="00BC0E7E" w:rsidRPr="00BC0E7E" w:rsidRDefault="00BC0E7E" w:rsidP="00762FA7">
            <w:pPr>
              <w:widowControl w:val="0"/>
              <w:rPr>
                <w:del w:id="5220" w:author="AbbVie19" w:date="2025-04-16T10:42:00Z"/>
                <w:szCs w:val="20"/>
              </w:rPr>
            </w:pPr>
          </w:p>
        </w:tc>
      </w:tr>
      <w:tr w:rsidR="00C6578C" w14:paraId="21440C41" w14:textId="77777777" w:rsidTr="000244DF">
        <w:trPr>
          <w:del w:id="5221" w:author="AbbVie19" w:date="2025-04-16T10:42:00Z"/>
        </w:trPr>
        <w:tc>
          <w:tcPr>
            <w:tcW w:w="2600" w:type="dxa"/>
            <w:vMerge w:val="restart"/>
          </w:tcPr>
          <w:p w14:paraId="0EC00F47" w14:textId="77777777" w:rsidR="00BC0E7E" w:rsidRPr="00BC0E7E" w:rsidRDefault="00944B8F" w:rsidP="00762FA7">
            <w:pPr>
              <w:widowControl w:val="0"/>
              <w:spacing w:before="60"/>
              <w:rPr>
                <w:del w:id="5222" w:author="AbbVie19" w:date="2025-04-16T10:42:00Z"/>
                <w:szCs w:val="20"/>
              </w:rPr>
            </w:pPr>
            <w:del w:id="5223" w:author="AbbVie19" w:date="2025-04-16T10:42:00Z">
              <w:r w:rsidRPr="00BC0E7E">
                <w:rPr>
                  <w:szCs w:val="20"/>
                </w:rPr>
                <w:delText xml:space="preserve">Renal and urinary disorders </w:delText>
              </w:r>
            </w:del>
          </w:p>
        </w:tc>
        <w:tc>
          <w:tcPr>
            <w:tcW w:w="2074" w:type="dxa"/>
          </w:tcPr>
          <w:p w14:paraId="7916D91A" w14:textId="77777777" w:rsidR="00BC0E7E" w:rsidRPr="00BC0E7E" w:rsidRDefault="00944B8F" w:rsidP="00762FA7">
            <w:pPr>
              <w:widowControl w:val="0"/>
              <w:spacing w:before="60"/>
              <w:rPr>
                <w:del w:id="5224" w:author="AbbVie19" w:date="2025-04-16T10:42:00Z"/>
                <w:szCs w:val="20"/>
              </w:rPr>
            </w:pPr>
            <w:del w:id="5225" w:author="AbbVie19" w:date="2025-04-16T10:42:00Z">
              <w:r w:rsidRPr="00BC0E7E">
                <w:rPr>
                  <w:szCs w:val="20"/>
                </w:rPr>
                <w:delText>Common</w:delText>
              </w:r>
            </w:del>
          </w:p>
          <w:p w14:paraId="7C93B121" w14:textId="77777777" w:rsidR="00BC0E7E" w:rsidRPr="00BC0E7E" w:rsidRDefault="00BC0E7E" w:rsidP="00762FA7">
            <w:pPr>
              <w:widowControl w:val="0"/>
              <w:spacing w:before="60"/>
              <w:rPr>
                <w:del w:id="5226" w:author="AbbVie19" w:date="2025-04-16T10:42:00Z"/>
                <w:szCs w:val="20"/>
              </w:rPr>
            </w:pPr>
          </w:p>
        </w:tc>
        <w:tc>
          <w:tcPr>
            <w:tcW w:w="4575" w:type="dxa"/>
          </w:tcPr>
          <w:p w14:paraId="48FF3467" w14:textId="77777777" w:rsidR="00BC0E7E" w:rsidRPr="00BC0E7E" w:rsidRDefault="00944B8F" w:rsidP="00762FA7">
            <w:pPr>
              <w:widowControl w:val="0"/>
              <w:spacing w:before="60"/>
              <w:rPr>
                <w:del w:id="5227" w:author="AbbVie19" w:date="2025-04-16T10:42:00Z"/>
                <w:szCs w:val="20"/>
              </w:rPr>
            </w:pPr>
            <w:del w:id="5228" w:author="AbbVie19" w:date="2025-04-16T10:42:00Z">
              <w:r>
                <w:rPr>
                  <w:szCs w:val="20"/>
                </w:rPr>
                <w:delText>R</w:delText>
              </w:r>
              <w:r w:rsidRPr="00BC0E7E">
                <w:rPr>
                  <w:szCs w:val="20"/>
                </w:rPr>
                <w:delText>enal impairment,</w:delText>
              </w:r>
            </w:del>
          </w:p>
          <w:p w14:paraId="018A1F2D" w14:textId="77777777" w:rsidR="00BC0E7E" w:rsidRPr="00BC0E7E" w:rsidRDefault="00944B8F" w:rsidP="00762FA7">
            <w:pPr>
              <w:widowControl w:val="0"/>
              <w:spacing w:before="60"/>
              <w:rPr>
                <w:del w:id="5229" w:author="AbbVie19" w:date="2025-04-16T10:42:00Z"/>
                <w:szCs w:val="20"/>
              </w:rPr>
            </w:pPr>
            <w:del w:id="5230" w:author="AbbVie19" w:date="2025-04-16T10:42:00Z">
              <w:r w:rsidRPr="00BC0E7E">
                <w:rPr>
                  <w:szCs w:val="20"/>
                </w:rPr>
                <w:delText>haematuria</w:delText>
              </w:r>
            </w:del>
          </w:p>
          <w:p w14:paraId="2ADAA6F7" w14:textId="77777777" w:rsidR="00BC0E7E" w:rsidRPr="00BC0E7E" w:rsidRDefault="00BC0E7E" w:rsidP="00762FA7">
            <w:pPr>
              <w:widowControl w:val="0"/>
              <w:spacing w:before="60"/>
              <w:rPr>
                <w:del w:id="5231" w:author="AbbVie19" w:date="2025-04-16T10:42:00Z"/>
                <w:szCs w:val="20"/>
              </w:rPr>
            </w:pPr>
          </w:p>
        </w:tc>
      </w:tr>
      <w:tr w:rsidR="00C6578C" w14:paraId="7CD16F2D" w14:textId="77777777" w:rsidTr="000244DF">
        <w:trPr>
          <w:del w:id="5232" w:author="AbbVie19" w:date="2025-04-16T10:42:00Z"/>
        </w:trPr>
        <w:tc>
          <w:tcPr>
            <w:tcW w:w="2600" w:type="dxa"/>
            <w:vMerge/>
          </w:tcPr>
          <w:p w14:paraId="4A96D345" w14:textId="77777777" w:rsidR="00BC0E7E" w:rsidRPr="00BC0E7E" w:rsidRDefault="00BC0E7E" w:rsidP="00762FA7">
            <w:pPr>
              <w:widowControl w:val="0"/>
              <w:spacing w:before="60"/>
              <w:jc w:val="center"/>
              <w:rPr>
                <w:del w:id="5233" w:author="AbbVie19" w:date="2025-04-16T10:42:00Z"/>
                <w:b/>
              </w:rPr>
            </w:pPr>
          </w:p>
        </w:tc>
        <w:tc>
          <w:tcPr>
            <w:tcW w:w="2074" w:type="dxa"/>
          </w:tcPr>
          <w:p w14:paraId="1733E25C" w14:textId="77777777" w:rsidR="00BC0E7E" w:rsidRPr="00BC0E7E" w:rsidRDefault="00944B8F" w:rsidP="00762FA7">
            <w:pPr>
              <w:widowControl w:val="0"/>
              <w:rPr>
                <w:del w:id="5234" w:author="AbbVie19" w:date="2025-04-16T10:42:00Z"/>
                <w:szCs w:val="20"/>
              </w:rPr>
            </w:pPr>
            <w:del w:id="5235" w:author="AbbVie19" w:date="2025-04-16T10:42:00Z">
              <w:r w:rsidRPr="00BC0E7E">
                <w:rPr>
                  <w:szCs w:val="20"/>
                </w:rPr>
                <w:delText>Uncommon</w:delText>
              </w:r>
            </w:del>
          </w:p>
          <w:p w14:paraId="3C7FAEF3" w14:textId="77777777" w:rsidR="00BC0E7E" w:rsidRPr="00BC0E7E" w:rsidRDefault="00BC0E7E" w:rsidP="00762FA7">
            <w:pPr>
              <w:widowControl w:val="0"/>
              <w:rPr>
                <w:del w:id="5236" w:author="AbbVie19" w:date="2025-04-16T10:42:00Z"/>
                <w:szCs w:val="20"/>
              </w:rPr>
            </w:pPr>
          </w:p>
        </w:tc>
        <w:tc>
          <w:tcPr>
            <w:tcW w:w="4575" w:type="dxa"/>
          </w:tcPr>
          <w:p w14:paraId="09677DB7" w14:textId="77777777" w:rsidR="00BC0E7E" w:rsidRPr="00BC0E7E" w:rsidRDefault="00944B8F" w:rsidP="00762FA7">
            <w:pPr>
              <w:widowControl w:val="0"/>
              <w:rPr>
                <w:del w:id="5237" w:author="AbbVie19" w:date="2025-04-16T10:42:00Z"/>
                <w:szCs w:val="20"/>
              </w:rPr>
            </w:pPr>
            <w:del w:id="5238" w:author="AbbVie19" w:date="2025-04-16T10:42:00Z">
              <w:r>
                <w:rPr>
                  <w:szCs w:val="20"/>
                </w:rPr>
                <w:delText>N</w:delText>
              </w:r>
              <w:r w:rsidRPr="00BC0E7E">
                <w:rPr>
                  <w:szCs w:val="20"/>
                </w:rPr>
                <w:delText>octuria</w:delText>
              </w:r>
            </w:del>
          </w:p>
          <w:p w14:paraId="624E9C5C" w14:textId="77777777" w:rsidR="00BC0E7E" w:rsidRPr="00BC0E7E" w:rsidRDefault="00BC0E7E" w:rsidP="00762FA7">
            <w:pPr>
              <w:widowControl w:val="0"/>
              <w:rPr>
                <w:del w:id="5239" w:author="AbbVie19" w:date="2025-04-16T10:42:00Z"/>
                <w:szCs w:val="20"/>
              </w:rPr>
            </w:pPr>
          </w:p>
        </w:tc>
      </w:tr>
      <w:tr w:rsidR="00C6578C" w14:paraId="7E0CE02C" w14:textId="77777777" w:rsidTr="00171601">
        <w:trPr>
          <w:del w:id="5240" w:author="AbbVie19" w:date="2025-04-16T10:42:00Z"/>
        </w:trPr>
        <w:tc>
          <w:tcPr>
            <w:tcW w:w="2600" w:type="dxa"/>
          </w:tcPr>
          <w:p w14:paraId="09A317EC" w14:textId="77777777" w:rsidR="00BC0E7E" w:rsidRPr="00BC0E7E" w:rsidRDefault="00944B8F" w:rsidP="00762FA7">
            <w:pPr>
              <w:widowControl w:val="0"/>
              <w:spacing w:before="60"/>
              <w:rPr>
                <w:del w:id="5241" w:author="AbbVie19" w:date="2025-04-16T10:42:00Z"/>
                <w:szCs w:val="20"/>
              </w:rPr>
            </w:pPr>
            <w:del w:id="5242" w:author="AbbVie19" w:date="2025-04-16T10:42:00Z">
              <w:r w:rsidRPr="00BC0E7E">
                <w:rPr>
                  <w:szCs w:val="20"/>
                </w:rPr>
                <w:delText>Reproductive system and breast disorders</w:delText>
              </w:r>
            </w:del>
          </w:p>
        </w:tc>
        <w:tc>
          <w:tcPr>
            <w:tcW w:w="2074" w:type="dxa"/>
          </w:tcPr>
          <w:p w14:paraId="50D974E7" w14:textId="77777777" w:rsidR="00BC0E7E" w:rsidRPr="00BC0E7E" w:rsidRDefault="00944B8F" w:rsidP="00762FA7">
            <w:pPr>
              <w:widowControl w:val="0"/>
              <w:spacing w:before="60"/>
              <w:rPr>
                <w:del w:id="5243" w:author="AbbVie19" w:date="2025-04-16T10:42:00Z"/>
                <w:szCs w:val="20"/>
              </w:rPr>
            </w:pPr>
            <w:del w:id="5244" w:author="AbbVie19" w:date="2025-04-16T10:42:00Z">
              <w:r w:rsidRPr="00BC0E7E">
                <w:rPr>
                  <w:szCs w:val="20"/>
                </w:rPr>
                <w:delText>Uncommon</w:delText>
              </w:r>
            </w:del>
          </w:p>
        </w:tc>
        <w:tc>
          <w:tcPr>
            <w:tcW w:w="4575" w:type="dxa"/>
          </w:tcPr>
          <w:p w14:paraId="4166964A" w14:textId="77777777" w:rsidR="00BC0E7E" w:rsidRPr="00BC0E7E" w:rsidRDefault="00944B8F" w:rsidP="00762FA7">
            <w:pPr>
              <w:widowControl w:val="0"/>
              <w:spacing w:before="60"/>
              <w:rPr>
                <w:del w:id="5245" w:author="AbbVie19" w:date="2025-04-16T10:42:00Z"/>
                <w:szCs w:val="20"/>
              </w:rPr>
            </w:pPr>
            <w:del w:id="5246" w:author="AbbVie19" w:date="2025-04-16T10:42:00Z">
              <w:r>
                <w:rPr>
                  <w:szCs w:val="20"/>
                </w:rPr>
                <w:delText>E</w:delText>
              </w:r>
              <w:r w:rsidRPr="00BC0E7E">
                <w:rPr>
                  <w:szCs w:val="20"/>
                </w:rPr>
                <w:delText>rectile dysfunction</w:delText>
              </w:r>
            </w:del>
          </w:p>
          <w:p w14:paraId="17A05C98" w14:textId="77777777" w:rsidR="00BC0E7E" w:rsidRPr="00BC0E7E" w:rsidRDefault="00BC0E7E" w:rsidP="00762FA7">
            <w:pPr>
              <w:widowControl w:val="0"/>
              <w:spacing w:before="60"/>
              <w:rPr>
                <w:del w:id="5247" w:author="AbbVie19" w:date="2025-04-16T10:42:00Z"/>
                <w:szCs w:val="20"/>
              </w:rPr>
            </w:pPr>
          </w:p>
        </w:tc>
      </w:tr>
      <w:tr w:rsidR="00C6578C" w14:paraId="38208D57" w14:textId="77777777" w:rsidTr="000244DF">
        <w:trPr>
          <w:del w:id="5248" w:author="AbbVie19" w:date="2025-04-16T10:42:00Z"/>
        </w:trPr>
        <w:tc>
          <w:tcPr>
            <w:tcW w:w="2600" w:type="dxa"/>
            <w:vMerge w:val="restart"/>
          </w:tcPr>
          <w:p w14:paraId="4F00F796" w14:textId="77777777" w:rsidR="00BC0E7E" w:rsidRPr="00BC0E7E" w:rsidRDefault="00944B8F" w:rsidP="00762FA7">
            <w:pPr>
              <w:widowControl w:val="0"/>
              <w:spacing w:before="60"/>
              <w:rPr>
                <w:del w:id="5249" w:author="AbbVie19" w:date="2025-04-16T10:42:00Z"/>
                <w:szCs w:val="20"/>
              </w:rPr>
            </w:pPr>
            <w:del w:id="5250" w:author="AbbVie19" w:date="2025-04-16T10:42:00Z">
              <w:r w:rsidRPr="00BC0E7E">
                <w:rPr>
                  <w:szCs w:val="20"/>
                </w:rPr>
                <w:delText>General disorders and administration site conditions*</w:delText>
              </w:r>
            </w:del>
          </w:p>
        </w:tc>
        <w:tc>
          <w:tcPr>
            <w:tcW w:w="2074" w:type="dxa"/>
          </w:tcPr>
          <w:p w14:paraId="73271C37" w14:textId="77777777" w:rsidR="00BC0E7E" w:rsidRPr="00BC0E7E" w:rsidRDefault="00944B8F" w:rsidP="00762FA7">
            <w:pPr>
              <w:widowControl w:val="0"/>
              <w:spacing w:before="60"/>
              <w:rPr>
                <w:del w:id="5251" w:author="AbbVie19" w:date="2025-04-16T10:42:00Z"/>
                <w:szCs w:val="20"/>
              </w:rPr>
            </w:pPr>
            <w:del w:id="5252" w:author="AbbVie19" w:date="2025-04-16T10:42:00Z">
              <w:r w:rsidRPr="00BC0E7E">
                <w:rPr>
                  <w:szCs w:val="20"/>
                </w:rPr>
                <w:delText>Very Common</w:delText>
              </w:r>
            </w:del>
          </w:p>
          <w:p w14:paraId="3E726B4F" w14:textId="77777777" w:rsidR="00BC0E7E" w:rsidRPr="00BC0E7E" w:rsidRDefault="00BC0E7E" w:rsidP="00762FA7">
            <w:pPr>
              <w:widowControl w:val="0"/>
              <w:spacing w:before="60"/>
              <w:rPr>
                <w:del w:id="5253" w:author="AbbVie19" w:date="2025-04-16T10:42:00Z"/>
                <w:szCs w:val="20"/>
              </w:rPr>
            </w:pPr>
          </w:p>
        </w:tc>
        <w:tc>
          <w:tcPr>
            <w:tcW w:w="4575" w:type="dxa"/>
          </w:tcPr>
          <w:p w14:paraId="468B7CF5" w14:textId="77777777" w:rsidR="00BC0E7E" w:rsidRPr="00BC0E7E" w:rsidRDefault="00944B8F" w:rsidP="00762FA7">
            <w:pPr>
              <w:widowControl w:val="0"/>
              <w:spacing w:before="60"/>
              <w:rPr>
                <w:del w:id="5254" w:author="AbbVie19" w:date="2025-04-16T10:42:00Z"/>
                <w:szCs w:val="20"/>
              </w:rPr>
            </w:pPr>
            <w:del w:id="5255" w:author="AbbVie19" w:date="2025-04-16T10:42:00Z">
              <w:r>
                <w:rPr>
                  <w:szCs w:val="20"/>
                </w:rPr>
                <w:delText>I</w:delText>
              </w:r>
              <w:r w:rsidRPr="00BC0E7E">
                <w:rPr>
                  <w:szCs w:val="20"/>
                </w:rPr>
                <w:delText>njection site reaction (including injection site erythema)</w:delText>
              </w:r>
            </w:del>
          </w:p>
          <w:p w14:paraId="704592E0" w14:textId="77777777" w:rsidR="00BC0E7E" w:rsidRPr="00BC0E7E" w:rsidRDefault="00BC0E7E" w:rsidP="00762FA7">
            <w:pPr>
              <w:widowControl w:val="0"/>
              <w:spacing w:before="60"/>
              <w:rPr>
                <w:del w:id="5256" w:author="AbbVie19" w:date="2025-04-16T10:42:00Z"/>
                <w:szCs w:val="20"/>
              </w:rPr>
            </w:pPr>
          </w:p>
        </w:tc>
      </w:tr>
      <w:tr w:rsidR="00C6578C" w14:paraId="76629BD6" w14:textId="77777777" w:rsidTr="000244DF">
        <w:trPr>
          <w:del w:id="5257" w:author="AbbVie19" w:date="2025-04-16T10:42:00Z"/>
        </w:trPr>
        <w:tc>
          <w:tcPr>
            <w:tcW w:w="2600" w:type="dxa"/>
            <w:vMerge/>
          </w:tcPr>
          <w:p w14:paraId="53DB2715" w14:textId="77777777" w:rsidR="00BC0E7E" w:rsidRPr="00BC0E7E" w:rsidRDefault="00BC0E7E" w:rsidP="00762FA7">
            <w:pPr>
              <w:widowControl w:val="0"/>
              <w:spacing w:before="60"/>
              <w:jc w:val="center"/>
              <w:rPr>
                <w:del w:id="5258" w:author="AbbVie19" w:date="2025-04-16T10:42:00Z"/>
                <w:b/>
              </w:rPr>
            </w:pPr>
          </w:p>
        </w:tc>
        <w:tc>
          <w:tcPr>
            <w:tcW w:w="2074" w:type="dxa"/>
          </w:tcPr>
          <w:p w14:paraId="197740B9" w14:textId="77777777" w:rsidR="00BC0E7E" w:rsidRPr="00BC0E7E" w:rsidRDefault="00944B8F" w:rsidP="00762FA7">
            <w:pPr>
              <w:widowControl w:val="0"/>
              <w:rPr>
                <w:del w:id="5259" w:author="AbbVie19" w:date="2025-04-16T10:42:00Z"/>
                <w:szCs w:val="20"/>
              </w:rPr>
            </w:pPr>
            <w:del w:id="5260" w:author="AbbVie19" w:date="2025-04-16T10:42:00Z">
              <w:r w:rsidRPr="00BC0E7E">
                <w:rPr>
                  <w:szCs w:val="20"/>
                </w:rPr>
                <w:delText>Common</w:delText>
              </w:r>
            </w:del>
          </w:p>
          <w:p w14:paraId="0EFAC8DC" w14:textId="77777777" w:rsidR="00BC0E7E" w:rsidRPr="00BC0E7E" w:rsidRDefault="00BC0E7E" w:rsidP="00762FA7">
            <w:pPr>
              <w:widowControl w:val="0"/>
              <w:rPr>
                <w:del w:id="5261" w:author="AbbVie19" w:date="2025-04-16T10:42:00Z"/>
                <w:szCs w:val="20"/>
              </w:rPr>
            </w:pPr>
          </w:p>
        </w:tc>
        <w:tc>
          <w:tcPr>
            <w:tcW w:w="4575" w:type="dxa"/>
          </w:tcPr>
          <w:p w14:paraId="45F8569F" w14:textId="77777777" w:rsidR="00BC0E7E" w:rsidRPr="00BC0E7E" w:rsidRDefault="00944B8F" w:rsidP="00762FA7">
            <w:pPr>
              <w:widowControl w:val="0"/>
              <w:rPr>
                <w:del w:id="5262" w:author="AbbVie19" w:date="2025-04-16T10:42:00Z"/>
                <w:szCs w:val="20"/>
              </w:rPr>
            </w:pPr>
            <w:del w:id="5263" w:author="AbbVie19" w:date="2025-04-16T10:42:00Z">
              <w:r>
                <w:rPr>
                  <w:szCs w:val="20"/>
                </w:rPr>
                <w:delText>C</w:delText>
              </w:r>
              <w:r w:rsidRPr="00BC0E7E">
                <w:rPr>
                  <w:szCs w:val="20"/>
                </w:rPr>
                <w:delText xml:space="preserve">hest pain, </w:delText>
              </w:r>
            </w:del>
          </w:p>
          <w:p w14:paraId="631FDC2A" w14:textId="77777777" w:rsidR="00BC0E7E" w:rsidRPr="00BC0E7E" w:rsidRDefault="00944B8F" w:rsidP="00762FA7">
            <w:pPr>
              <w:widowControl w:val="0"/>
              <w:rPr>
                <w:del w:id="5264" w:author="AbbVie19" w:date="2025-04-16T10:42:00Z"/>
                <w:szCs w:val="20"/>
              </w:rPr>
            </w:pPr>
            <w:del w:id="5265" w:author="AbbVie19" w:date="2025-04-16T10:42:00Z">
              <w:r w:rsidRPr="00BC0E7E">
                <w:rPr>
                  <w:szCs w:val="20"/>
                </w:rPr>
                <w:delText>oedema,</w:delText>
              </w:r>
            </w:del>
          </w:p>
          <w:p w14:paraId="584E1F42" w14:textId="77777777" w:rsidR="00BC0E7E" w:rsidRPr="00BC0E7E" w:rsidRDefault="00944B8F" w:rsidP="00762FA7">
            <w:pPr>
              <w:widowControl w:val="0"/>
              <w:rPr>
                <w:del w:id="5266" w:author="AbbVie19" w:date="2025-04-16T10:42:00Z"/>
                <w:szCs w:val="20"/>
              </w:rPr>
            </w:pPr>
            <w:del w:id="5267" w:author="AbbVie19" w:date="2025-04-16T10:42:00Z">
              <w:r w:rsidRPr="00BC0E7E">
                <w:rPr>
                  <w:szCs w:val="20"/>
                </w:rPr>
                <w:delText>pyrexia</w:delText>
              </w:r>
              <w:r w:rsidRPr="00BC0E7E">
                <w:rPr>
                  <w:szCs w:val="20"/>
                  <w:vertAlign w:val="superscript"/>
                </w:rPr>
                <w:delText>1)</w:delText>
              </w:r>
            </w:del>
          </w:p>
          <w:p w14:paraId="48120550" w14:textId="77777777" w:rsidR="00BC0E7E" w:rsidRPr="00BC0E7E" w:rsidRDefault="00BC0E7E" w:rsidP="00762FA7">
            <w:pPr>
              <w:widowControl w:val="0"/>
              <w:rPr>
                <w:del w:id="5268" w:author="AbbVie19" w:date="2025-04-16T10:42:00Z"/>
                <w:szCs w:val="20"/>
              </w:rPr>
            </w:pPr>
          </w:p>
        </w:tc>
      </w:tr>
      <w:tr w:rsidR="00C6578C" w14:paraId="2AFD4621" w14:textId="77777777" w:rsidTr="000244DF">
        <w:trPr>
          <w:del w:id="5269" w:author="AbbVie19" w:date="2025-04-16T10:42:00Z"/>
        </w:trPr>
        <w:tc>
          <w:tcPr>
            <w:tcW w:w="2600" w:type="dxa"/>
            <w:vMerge/>
          </w:tcPr>
          <w:p w14:paraId="40014F69" w14:textId="77777777" w:rsidR="00BC0E7E" w:rsidRPr="00BC0E7E" w:rsidRDefault="00BC0E7E" w:rsidP="00762FA7">
            <w:pPr>
              <w:widowControl w:val="0"/>
              <w:spacing w:before="60"/>
              <w:jc w:val="center"/>
              <w:rPr>
                <w:del w:id="5270" w:author="AbbVie19" w:date="2025-04-16T10:42:00Z"/>
                <w:b/>
              </w:rPr>
            </w:pPr>
          </w:p>
        </w:tc>
        <w:tc>
          <w:tcPr>
            <w:tcW w:w="2074" w:type="dxa"/>
          </w:tcPr>
          <w:p w14:paraId="0D5053ED" w14:textId="77777777" w:rsidR="00BC0E7E" w:rsidRPr="00BC0E7E" w:rsidRDefault="00944B8F" w:rsidP="00762FA7">
            <w:pPr>
              <w:widowControl w:val="0"/>
              <w:rPr>
                <w:del w:id="5271" w:author="AbbVie19" w:date="2025-04-16T10:42:00Z"/>
                <w:szCs w:val="20"/>
              </w:rPr>
            </w:pPr>
            <w:del w:id="5272" w:author="AbbVie19" w:date="2025-04-16T10:42:00Z">
              <w:r w:rsidRPr="00BC0E7E">
                <w:rPr>
                  <w:szCs w:val="20"/>
                </w:rPr>
                <w:delText>Uncommon</w:delText>
              </w:r>
            </w:del>
          </w:p>
          <w:p w14:paraId="5DB06A56" w14:textId="77777777" w:rsidR="00BC0E7E" w:rsidRPr="00BC0E7E" w:rsidRDefault="00BC0E7E" w:rsidP="00762FA7">
            <w:pPr>
              <w:widowControl w:val="0"/>
              <w:rPr>
                <w:del w:id="5273" w:author="AbbVie19" w:date="2025-04-16T10:42:00Z"/>
                <w:szCs w:val="20"/>
              </w:rPr>
            </w:pPr>
          </w:p>
        </w:tc>
        <w:tc>
          <w:tcPr>
            <w:tcW w:w="4575" w:type="dxa"/>
          </w:tcPr>
          <w:p w14:paraId="53EC4AC5" w14:textId="77777777" w:rsidR="00BC0E7E" w:rsidRPr="00BC0E7E" w:rsidRDefault="00944B8F" w:rsidP="00762FA7">
            <w:pPr>
              <w:widowControl w:val="0"/>
              <w:rPr>
                <w:del w:id="5274" w:author="AbbVie19" w:date="2025-04-16T10:42:00Z"/>
                <w:szCs w:val="20"/>
              </w:rPr>
            </w:pPr>
            <w:del w:id="5275" w:author="AbbVie19" w:date="2025-04-16T10:42:00Z">
              <w:r>
                <w:rPr>
                  <w:szCs w:val="20"/>
                </w:rPr>
                <w:delText>I</w:delText>
              </w:r>
              <w:r w:rsidRPr="00BC0E7E">
                <w:rPr>
                  <w:szCs w:val="20"/>
                </w:rPr>
                <w:delText>nflammation</w:delText>
              </w:r>
            </w:del>
          </w:p>
        </w:tc>
      </w:tr>
      <w:tr w:rsidR="00C6578C" w14:paraId="5CC13117" w14:textId="77777777" w:rsidTr="00171601">
        <w:trPr>
          <w:del w:id="5276" w:author="AbbVie19" w:date="2025-04-16T10:42:00Z"/>
        </w:trPr>
        <w:tc>
          <w:tcPr>
            <w:tcW w:w="2600" w:type="dxa"/>
            <w:vMerge w:val="restart"/>
          </w:tcPr>
          <w:p w14:paraId="51781C4E" w14:textId="77777777" w:rsidR="00693052" w:rsidRPr="00BC0E7E" w:rsidRDefault="00944B8F" w:rsidP="00762FA7">
            <w:pPr>
              <w:widowControl w:val="0"/>
              <w:spacing w:before="60"/>
              <w:rPr>
                <w:del w:id="5277" w:author="AbbVie19" w:date="2025-04-16T10:42:00Z"/>
                <w:szCs w:val="20"/>
              </w:rPr>
            </w:pPr>
            <w:del w:id="5278" w:author="AbbVie19" w:date="2025-04-16T10:42:00Z">
              <w:r w:rsidRPr="00BC0E7E">
                <w:rPr>
                  <w:szCs w:val="20"/>
                </w:rPr>
                <w:delText>Investigations*</w:delText>
              </w:r>
            </w:del>
          </w:p>
        </w:tc>
        <w:tc>
          <w:tcPr>
            <w:tcW w:w="2074" w:type="dxa"/>
          </w:tcPr>
          <w:p w14:paraId="07E2BEA5" w14:textId="77777777" w:rsidR="00693052" w:rsidRPr="00BC0E7E" w:rsidRDefault="00944B8F" w:rsidP="00762FA7">
            <w:pPr>
              <w:widowControl w:val="0"/>
              <w:spacing w:before="60"/>
              <w:rPr>
                <w:del w:id="5279" w:author="AbbVie19" w:date="2025-04-16T10:42:00Z"/>
                <w:szCs w:val="20"/>
              </w:rPr>
            </w:pPr>
            <w:del w:id="5280" w:author="AbbVie19" w:date="2025-04-16T10:42:00Z">
              <w:r w:rsidRPr="00BC0E7E">
                <w:rPr>
                  <w:szCs w:val="20"/>
                </w:rPr>
                <w:delText>Common</w:delText>
              </w:r>
            </w:del>
          </w:p>
        </w:tc>
        <w:tc>
          <w:tcPr>
            <w:tcW w:w="4575" w:type="dxa"/>
          </w:tcPr>
          <w:p w14:paraId="20B87F68" w14:textId="77777777" w:rsidR="00693052" w:rsidRPr="00BC0E7E" w:rsidRDefault="00944B8F" w:rsidP="00762FA7">
            <w:pPr>
              <w:widowControl w:val="0"/>
              <w:spacing w:before="60"/>
              <w:rPr>
                <w:del w:id="5281" w:author="AbbVie19" w:date="2025-04-16T10:42:00Z"/>
                <w:szCs w:val="20"/>
              </w:rPr>
            </w:pPr>
            <w:del w:id="5282" w:author="AbbVie19" w:date="2025-04-16T10:42:00Z">
              <w:r>
                <w:rPr>
                  <w:szCs w:val="20"/>
                </w:rPr>
                <w:delText>C</w:delText>
              </w:r>
              <w:r w:rsidRPr="00BC0E7E">
                <w:rPr>
                  <w:szCs w:val="20"/>
                </w:rPr>
                <w:delText xml:space="preserve">oagulation and bleeding disorders (including activated partial thromboplastin time prolonged), </w:delText>
              </w:r>
            </w:del>
          </w:p>
          <w:p w14:paraId="60FC8CD9" w14:textId="77777777" w:rsidR="00693052" w:rsidRPr="00BC0E7E" w:rsidRDefault="00944B8F" w:rsidP="00762FA7">
            <w:pPr>
              <w:widowControl w:val="0"/>
              <w:spacing w:before="60"/>
              <w:rPr>
                <w:del w:id="5283" w:author="AbbVie19" w:date="2025-04-16T10:42:00Z"/>
                <w:szCs w:val="20"/>
              </w:rPr>
            </w:pPr>
            <w:del w:id="5284" w:author="AbbVie19" w:date="2025-04-16T10:42:00Z">
              <w:r w:rsidRPr="00BC0E7E">
                <w:rPr>
                  <w:szCs w:val="20"/>
                </w:rPr>
                <w:delText xml:space="preserve">autoantibody test positive (including double stranded DNA antibody), </w:delText>
              </w:r>
            </w:del>
          </w:p>
          <w:p w14:paraId="53B45964" w14:textId="77777777" w:rsidR="00693052" w:rsidRPr="00BC0E7E" w:rsidRDefault="00944B8F" w:rsidP="00762FA7">
            <w:pPr>
              <w:widowControl w:val="0"/>
              <w:spacing w:before="60"/>
              <w:rPr>
                <w:del w:id="5285" w:author="AbbVie19" w:date="2025-04-16T10:42:00Z"/>
                <w:szCs w:val="20"/>
              </w:rPr>
            </w:pPr>
            <w:del w:id="5286" w:author="AbbVie19" w:date="2025-04-16T10:42:00Z">
              <w:r w:rsidRPr="00BC0E7E">
                <w:rPr>
                  <w:szCs w:val="20"/>
                </w:rPr>
                <w:delText>blood lactate dehydrogenase increased</w:delText>
              </w:r>
            </w:del>
          </w:p>
          <w:p w14:paraId="48D63522" w14:textId="77777777" w:rsidR="00693052" w:rsidRPr="00BC0E7E" w:rsidRDefault="00693052" w:rsidP="00762FA7">
            <w:pPr>
              <w:widowControl w:val="0"/>
              <w:spacing w:before="60"/>
              <w:rPr>
                <w:del w:id="5287" w:author="AbbVie19" w:date="2025-04-16T10:42:00Z"/>
                <w:szCs w:val="20"/>
              </w:rPr>
            </w:pPr>
          </w:p>
        </w:tc>
      </w:tr>
      <w:tr w:rsidR="00C6578C" w14:paraId="72B3223D" w14:textId="77777777" w:rsidTr="00171601">
        <w:trPr>
          <w:del w:id="5288" w:author="AbbVie19" w:date="2025-04-16T10:42:00Z"/>
        </w:trPr>
        <w:tc>
          <w:tcPr>
            <w:tcW w:w="2600" w:type="dxa"/>
            <w:vMerge/>
          </w:tcPr>
          <w:p w14:paraId="7A853417" w14:textId="77777777" w:rsidR="00693052" w:rsidRPr="00BC0E7E" w:rsidRDefault="00693052" w:rsidP="00762FA7">
            <w:pPr>
              <w:widowControl w:val="0"/>
              <w:spacing w:before="60"/>
              <w:rPr>
                <w:del w:id="5289" w:author="AbbVie19" w:date="2025-04-16T10:42:00Z"/>
                <w:szCs w:val="20"/>
              </w:rPr>
            </w:pPr>
          </w:p>
        </w:tc>
        <w:tc>
          <w:tcPr>
            <w:tcW w:w="2074" w:type="dxa"/>
          </w:tcPr>
          <w:p w14:paraId="632C5668" w14:textId="77777777" w:rsidR="00693052" w:rsidRPr="00BC0E7E" w:rsidRDefault="00944B8F" w:rsidP="00762FA7">
            <w:pPr>
              <w:widowControl w:val="0"/>
              <w:spacing w:before="60"/>
              <w:rPr>
                <w:del w:id="5290" w:author="AbbVie19" w:date="2025-04-16T10:42:00Z"/>
                <w:szCs w:val="20"/>
              </w:rPr>
            </w:pPr>
            <w:del w:id="5291" w:author="AbbVie19" w:date="2025-04-16T10:42:00Z">
              <w:r>
                <w:rPr>
                  <w:szCs w:val="20"/>
                </w:rPr>
                <w:delText>Not known</w:delText>
              </w:r>
            </w:del>
          </w:p>
        </w:tc>
        <w:tc>
          <w:tcPr>
            <w:tcW w:w="4575" w:type="dxa"/>
          </w:tcPr>
          <w:p w14:paraId="36FBBDF5" w14:textId="77777777" w:rsidR="00693052" w:rsidRDefault="00944B8F" w:rsidP="00762FA7">
            <w:pPr>
              <w:widowControl w:val="0"/>
              <w:spacing w:before="60"/>
              <w:rPr>
                <w:del w:id="5292" w:author="AbbVie19" w:date="2025-04-16T10:42:00Z"/>
                <w:szCs w:val="20"/>
              </w:rPr>
            </w:pPr>
            <w:del w:id="5293" w:author="AbbVie19" w:date="2025-04-16T10:42:00Z">
              <w:r>
                <w:rPr>
                  <w:szCs w:val="20"/>
                </w:rPr>
                <w:delText>Weight increased</w:delText>
              </w:r>
              <w:r w:rsidRPr="00693052">
                <w:rPr>
                  <w:vertAlign w:val="superscript"/>
                </w:rPr>
                <w:delText>2)</w:delText>
              </w:r>
            </w:del>
          </w:p>
        </w:tc>
      </w:tr>
      <w:tr w:rsidR="00C6578C" w14:paraId="420B1EA6" w14:textId="77777777" w:rsidTr="00171601">
        <w:trPr>
          <w:del w:id="5294" w:author="AbbVie19" w:date="2025-04-16T10:42:00Z"/>
        </w:trPr>
        <w:tc>
          <w:tcPr>
            <w:tcW w:w="2600" w:type="dxa"/>
          </w:tcPr>
          <w:p w14:paraId="5D356DE0" w14:textId="77777777" w:rsidR="00693052" w:rsidRPr="00BC0E7E" w:rsidRDefault="00944B8F" w:rsidP="00762FA7">
            <w:pPr>
              <w:widowControl w:val="0"/>
              <w:spacing w:before="60"/>
              <w:rPr>
                <w:del w:id="5295" w:author="AbbVie19" w:date="2025-04-16T10:42:00Z"/>
                <w:szCs w:val="20"/>
              </w:rPr>
            </w:pPr>
            <w:del w:id="5296" w:author="AbbVie19" w:date="2025-04-16T10:42:00Z">
              <w:r w:rsidRPr="00BC0E7E">
                <w:rPr>
                  <w:szCs w:val="20"/>
                </w:rPr>
                <w:delText>Injury, poisoning and procedural complications</w:delText>
              </w:r>
            </w:del>
          </w:p>
        </w:tc>
        <w:tc>
          <w:tcPr>
            <w:tcW w:w="2074" w:type="dxa"/>
          </w:tcPr>
          <w:p w14:paraId="65C523FB" w14:textId="77777777" w:rsidR="00693052" w:rsidRPr="00BC0E7E" w:rsidRDefault="00944B8F" w:rsidP="00762FA7">
            <w:pPr>
              <w:widowControl w:val="0"/>
              <w:spacing w:before="60"/>
              <w:rPr>
                <w:del w:id="5297" w:author="AbbVie19" w:date="2025-04-16T10:42:00Z"/>
                <w:szCs w:val="20"/>
              </w:rPr>
            </w:pPr>
            <w:del w:id="5298" w:author="AbbVie19" w:date="2025-04-16T10:42:00Z">
              <w:r w:rsidRPr="00BC0E7E">
                <w:rPr>
                  <w:szCs w:val="20"/>
                </w:rPr>
                <w:delText>Common</w:delText>
              </w:r>
            </w:del>
          </w:p>
        </w:tc>
        <w:tc>
          <w:tcPr>
            <w:tcW w:w="4575" w:type="dxa"/>
          </w:tcPr>
          <w:p w14:paraId="57024CD1" w14:textId="77777777" w:rsidR="00693052" w:rsidRPr="00BC0E7E" w:rsidRDefault="00944B8F" w:rsidP="00762FA7">
            <w:pPr>
              <w:widowControl w:val="0"/>
              <w:spacing w:before="60"/>
              <w:rPr>
                <w:del w:id="5299" w:author="AbbVie19" w:date="2025-04-16T10:42:00Z"/>
                <w:szCs w:val="20"/>
              </w:rPr>
            </w:pPr>
            <w:del w:id="5300" w:author="AbbVie19" w:date="2025-04-16T10:42:00Z">
              <w:r>
                <w:rPr>
                  <w:szCs w:val="20"/>
                </w:rPr>
                <w:delText>I</w:delText>
              </w:r>
              <w:r w:rsidRPr="00BC0E7E">
                <w:rPr>
                  <w:szCs w:val="20"/>
                </w:rPr>
                <w:delText>mpaired healing</w:delText>
              </w:r>
            </w:del>
          </w:p>
          <w:p w14:paraId="0E49D8B4" w14:textId="77777777" w:rsidR="00693052" w:rsidRPr="00BC0E7E" w:rsidRDefault="00693052" w:rsidP="00762FA7">
            <w:pPr>
              <w:widowControl w:val="0"/>
              <w:spacing w:before="60"/>
              <w:rPr>
                <w:del w:id="5301" w:author="AbbVie19" w:date="2025-04-16T10:42:00Z"/>
                <w:szCs w:val="20"/>
              </w:rPr>
            </w:pPr>
          </w:p>
        </w:tc>
      </w:tr>
    </w:tbl>
    <w:p w14:paraId="3FA3950E" w14:textId="77777777" w:rsidR="00BC0E7E" w:rsidRPr="00BC0E7E" w:rsidRDefault="00BC0E7E" w:rsidP="00762FA7">
      <w:pPr>
        <w:rPr>
          <w:del w:id="5302" w:author="AbbVie19" w:date="2025-04-16T10:42:00Z"/>
          <w:sz w:val="20"/>
        </w:rPr>
      </w:pPr>
    </w:p>
    <w:p w14:paraId="019A1042" w14:textId="77777777" w:rsidR="00BC0E7E" w:rsidRPr="00BC0E7E" w:rsidRDefault="00944B8F" w:rsidP="00762FA7">
      <w:pPr>
        <w:rPr>
          <w:del w:id="5303" w:author="AbbVie19" w:date="2025-04-16T10:42:00Z"/>
        </w:rPr>
      </w:pPr>
      <w:del w:id="5304" w:author="AbbVie19" w:date="2025-04-16T10:42:00Z">
        <w:r w:rsidRPr="00BC0E7E">
          <w:lastRenderedPageBreak/>
          <w:delText>* further information is found elsewhere in sections 4.3, 4.4 and 4.8</w:delText>
        </w:r>
      </w:del>
    </w:p>
    <w:p w14:paraId="0E6E631C" w14:textId="77777777" w:rsidR="00BC0E7E" w:rsidRPr="00BC0E7E" w:rsidRDefault="00944B8F" w:rsidP="00762FA7">
      <w:pPr>
        <w:rPr>
          <w:del w:id="5305" w:author="AbbVie19" w:date="2025-04-16T10:42:00Z"/>
          <w:szCs w:val="22"/>
        </w:rPr>
      </w:pPr>
      <w:del w:id="5306" w:author="AbbVie19" w:date="2025-04-16T10:42:00Z">
        <w:r w:rsidRPr="00BC0E7E">
          <w:rPr>
            <w:szCs w:val="20"/>
          </w:rPr>
          <w:delText>** including open label extension stu</w:delText>
        </w:r>
        <w:r w:rsidRPr="00BC0E7E">
          <w:rPr>
            <w:szCs w:val="22"/>
          </w:rPr>
          <w:delText>dies</w:delText>
        </w:r>
      </w:del>
    </w:p>
    <w:p w14:paraId="3BDCE651" w14:textId="77777777" w:rsidR="00BC0E7E" w:rsidRPr="00BC0E7E" w:rsidRDefault="00944B8F" w:rsidP="00762FA7">
      <w:pPr>
        <w:rPr>
          <w:del w:id="5307" w:author="AbbVie19" w:date="2025-04-16T10:42:00Z"/>
          <w:szCs w:val="22"/>
        </w:rPr>
      </w:pPr>
      <w:del w:id="5308" w:author="AbbVie19" w:date="2025-04-16T10:42:00Z">
        <w:r w:rsidRPr="00BC0E7E">
          <w:rPr>
            <w:szCs w:val="22"/>
            <w:vertAlign w:val="superscript"/>
          </w:rPr>
          <w:delText>1)</w:delText>
        </w:r>
        <w:r w:rsidRPr="00BC0E7E">
          <w:rPr>
            <w:szCs w:val="22"/>
          </w:rPr>
          <w:delText xml:space="preserve"> including spontaneous reporting data</w:delText>
        </w:r>
      </w:del>
    </w:p>
    <w:p w14:paraId="247C78CC" w14:textId="77777777" w:rsidR="00693052" w:rsidRPr="009F76D2" w:rsidRDefault="00944B8F" w:rsidP="00762FA7">
      <w:pPr>
        <w:rPr>
          <w:del w:id="5309" w:author="AbbVie19" w:date="2025-04-16T10:42:00Z"/>
          <w:szCs w:val="22"/>
        </w:rPr>
      </w:pPr>
      <w:del w:id="5310" w:author="AbbVie19" w:date="2025-04-16T10:42:00Z">
        <w:r w:rsidRPr="00D70FFA">
          <w:rPr>
            <w:vertAlign w:val="superscript"/>
          </w:rPr>
          <w:delText>2) </w:delText>
        </w:r>
        <w:r w:rsidR="00E05C80" w:rsidRPr="00693052">
          <w:delText>The mean weight change from baseline for adalimumab ranged from 0.3</w:delText>
        </w:r>
        <w:r w:rsidR="00E05C80">
          <w:delText> </w:delText>
        </w:r>
        <w:r w:rsidR="00E05C80" w:rsidRPr="00693052">
          <w:delText>kg to 1.0</w:delText>
        </w:r>
        <w:r w:rsidR="00E05C80">
          <w:delText> </w:delText>
        </w:r>
        <w:r w:rsidR="00E05C80" w:rsidRPr="00693052">
          <w:delText>kg across adult indications compared to (minus) -0.4</w:delText>
        </w:r>
        <w:r w:rsidR="00E05C80">
          <w:delText> </w:delText>
        </w:r>
        <w:r w:rsidR="00E05C80" w:rsidRPr="00693052">
          <w:delText>kg to 0.4</w:delText>
        </w:r>
        <w:r w:rsidR="00E05C80">
          <w:delText> </w:delText>
        </w:r>
        <w:r w:rsidR="00E05C80" w:rsidRPr="00693052">
          <w:delText>kg for placebo over a treatment period of 4-6 months. Weight increase of 5-6</w:delText>
        </w:r>
        <w:r w:rsidR="00E05C80">
          <w:delText> </w:delText>
        </w:r>
        <w:r w:rsidR="00E05C80" w:rsidRPr="00693052">
          <w:delText>kg has also been observed</w:delText>
        </w:r>
        <w:r w:rsidR="00E05C80">
          <w:delText xml:space="preserve"> in long-term extension studies with mean exposures of approximately 1-2 years without control group,</w:delText>
        </w:r>
        <w:r w:rsidR="00E05C80" w:rsidRPr="00693052">
          <w:delText xml:space="preserve"> particularly in patients with Crohn’s disease and U</w:delText>
        </w:r>
        <w:r w:rsidR="00E05C80" w:rsidRPr="00530CA3">
          <w:delText>l</w:delText>
        </w:r>
        <w:r w:rsidR="00E05C80" w:rsidRPr="00693052">
          <w:delText>cerative colitis. The mechanism behind this effect is unclear but could be associated with the anti</w:delText>
        </w:r>
        <w:r w:rsidR="00E05C80">
          <w:noBreakHyphen/>
        </w:r>
        <w:r w:rsidR="00E05C80" w:rsidRPr="00693052">
          <w:delText>inflammatory effect of adalimumab.</w:delText>
        </w:r>
      </w:del>
    </w:p>
    <w:p w14:paraId="5632F14A" w14:textId="77777777" w:rsidR="00BC0E7E" w:rsidRPr="00BC0E7E" w:rsidRDefault="00BC0E7E" w:rsidP="00762FA7">
      <w:pPr>
        <w:rPr>
          <w:del w:id="5311" w:author="AbbVie19" w:date="2025-04-16T10:42:00Z"/>
          <w:szCs w:val="22"/>
          <w:u w:val="single"/>
        </w:rPr>
      </w:pPr>
    </w:p>
    <w:p w14:paraId="7B5F9326" w14:textId="77777777" w:rsidR="00BC0E7E" w:rsidRPr="00BC0E7E" w:rsidRDefault="00944B8F" w:rsidP="00762FA7">
      <w:pPr>
        <w:keepNext/>
        <w:rPr>
          <w:del w:id="5312" w:author="AbbVie19" w:date="2025-04-16T10:42:00Z"/>
          <w:szCs w:val="22"/>
          <w:u w:val="single"/>
        </w:rPr>
      </w:pPr>
      <w:del w:id="5313" w:author="AbbVie19" w:date="2025-04-16T10:42:00Z">
        <w:r w:rsidRPr="00BC0E7E">
          <w:rPr>
            <w:szCs w:val="22"/>
            <w:u w:val="single"/>
          </w:rPr>
          <w:delText>Hidradenitis suppurativa</w:delText>
        </w:r>
      </w:del>
    </w:p>
    <w:p w14:paraId="1C9D0EE5" w14:textId="77777777" w:rsidR="00BC0E7E" w:rsidRPr="00BC0E7E" w:rsidRDefault="00BC0E7E" w:rsidP="00762FA7">
      <w:pPr>
        <w:keepNext/>
        <w:rPr>
          <w:del w:id="5314" w:author="AbbVie19" w:date="2025-04-16T10:42:00Z"/>
          <w:szCs w:val="22"/>
          <w:u w:val="single"/>
        </w:rPr>
      </w:pPr>
    </w:p>
    <w:p w14:paraId="505124DB" w14:textId="77777777" w:rsidR="00BC0E7E" w:rsidRPr="00BC0E7E" w:rsidRDefault="00944B8F" w:rsidP="00762FA7">
      <w:pPr>
        <w:keepNext/>
        <w:rPr>
          <w:del w:id="5315" w:author="AbbVie19" w:date="2025-04-16T10:42:00Z"/>
          <w:szCs w:val="22"/>
        </w:rPr>
      </w:pPr>
      <w:del w:id="5316" w:author="AbbVie19" w:date="2025-04-16T10:42:00Z">
        <w:r w:rsidRPr="00BC0E7E">
          <w:rPr>
            <w:szCs w:val="22"/>
          </w:rPr>
          <w:delText>The safety profile for patients with HS treated with Humira weekly was consistent with the known safety profile of Humira.</w:delText>
        </w:r>
      </w:del>
    </w:p>
    <w:p w14:paraId="53FFD234" w14:textId="77777777" w:rsidR="00BC0E7E" w:rsidRPr="00BC0E7E" w:rsidRDefault="00BC0E7E" w:rsidP="00762FA7">
      <w:pPr>
        <w:rPr>
          <w:del w:id="5317" w:author="AbbVie19" w:date="2025-04-16T10:42:00Z"/>
          <w:szCs w:val="22"/>
          <w:u w:val="single"/>
        </w:rPr>
      </w:pPr>
    </w:p>
    <w:p w14:paraId="182FFD45" w14:textId="77777777" w:rsidR="00BC0E7E" w:rsidRPr="00BC0E7E" w:rsidRDefault="00944B8F" w:rsidP="00762FA7">
      <w:pPr>
        <w:rPr>
          <w:del w:id="5318" w:author="AbbVie19" w:date="2025-04-16T10:42:00Z"/>
          <w:szCs w:val="22"/>
          <w:u w:val="single"/>
        </w:rPr>
      </w:pPr>
      <w:del w:id="5319" w:author="AbbVie19" w:date="2025-04-16T10:42:00Z">
        <w:r w:rsidRPr="00BC0E7E">
          <w:rPr>
            <w:szCs w:val="22"/>
            <w:u w:val="single"/>
          </w:rPr>
          <w:delText>Uveitis</w:delText>
        </w:r>
      </w:del>
    </w:p>
    <w:p w14:paraId="0413F485" w14:textId="77777777" w:rsidR="00BC0E7E" w:rsidRPr="00BC0E7E" w:rsidRDefault="00BC0E7E" w:rsidP="00762FA7">
      <w:pPr>
        <w:rPr>
          <w:del w:id="5320" w:author="AbbVie19" w:date="2025-04-16T10:42:00Z"/>
          <w:szCs w:val="22"/>
          <w:u w:val="single"/>
        </w:rPr>
      </w:pPr>
    </w:p>
    <w:p w14:paraId="0C984B7D" w14:textId="77777777" w:rsidR="00BC0E7E" w:rsidRPr="00BC0E7E" w:rsidRDefault="00944B8F" w:rsidP="00762FA7">
      <w:pPr>
        <w:rPr>
          <w:del w:id="5321" w:author="AbbVie19" w:date="2025-04-16T10:42:00Z"/>
          <w:szCs w:val="22"/>
        </w:rPr>
      </w:pPr>
      <w:del w:id="5322" w:author="AbbVie19" w:date="2025-04-16T10:42:00Z">
        <w:r w:rsidRPr="00BC0E7E">
          <w:rPr>
            <w:szCs w:val="22"/>
          </w:rPr>
          <w:delText>The safety profile for patients with uveitis treated with Humira every other week was consistent with the known safety profile of Humira.</w:delText>
        </w:r>
      </w:del>
    </w:p>
    <w:p w14:paraId="4994C497" w14:textId="77777777" w:rsidR="00BC0E7E" w:rsidRPr="00BC0E7E" w:rsidRDefault="00BC0E7E" w:rsidP="00762FA7">
      <w:pPr>
        <w:rPr>
          <w:del w:id="5323" w:author="AbbVie19" w:date="2025-04-16T10:42:00Z"/>
          <w:szCs w:val="20"/>
        </w:rPr>
      </w:pPr>
    </w:p>
    <w:p w14:paraId="6B46A7F3" w14:textId="77777777" w:rsidR="00BC0E7E" w:rsidRPr="00BC0E7E" w:rsidRDefault="00944B8F" w:rsidP="00762FA7">
      <w:pPr>
        <w:rPr>
          <w:del w:id="5324" w:author="AbbVie19" w:date="2025-04-16T10:42:00Z"/>
          <w:szCs w:val="20"/>
          <w:u w:val="single"/>
        </w:rPr>
      </w:pPr>
      <w:del w:id="5325" w:author="AbbVie19" w:date="2025-04-16T10:42:00Z">
        <w:r w:rsidRPr="00BC0E7E">
          <w:rPr>
            <w:szCs w:val="20"/>
            <w:u w:val="single"/>
          </w:rPr>
          <w:delText>Description of selected adverse reactions</w:delText>
        </w:r>
      </w:del>
    </w:p>
    <w:p w14:paraId="10A5FFFA" w14:textId="77777777" w:rsidR="00BC0E7E" w:rsidRPr="00BC0E7E" w:rsidRDefault="00BC0E7E" w:rsidP="00762FA7">
      <w:pPr>
        <w:rPr>
          <w:del w:id="5326" w:author="AbbVie19" w:date="2025-04-16T10:42:00Z"/>
          <w:szCs w:val="20"/>
        </w:rPr>
      </w:pPr>
    </w:p>
    <w:p w14:paraId="4B59E679" w14:textId="77777777" w:rsidR="00BC0E7E" w:rsidRPr="00BC0E7E" w:rsidRDefault="00944B8F" w:rsidP="00762FA7">
      <w:pPr>
        <w:rPr>
          <w:del w:id="5327" w:author="AbbVie19" w:date="2025-04-16T10:42:00Z"/>
          <w:szCs w:val="20"/>
          <w:u w:val="single"/>
        </w:rPr>
      </w:pPr>
      <w:del w:id="5328" w:author="AbbVie19" w:date="2025-04-16T10:42:00Z">
        <w:r w:rsidRPr="00BC0E7E">
          <w:rPr>
            <w:i/>
            <w:szCs w:val="20"/>
          </w:rPr>
          <w:delText>Injection site reactions</w:delText>
        </w:r>
        <w:r w:rsidRPr="00BC0E7E">
          <w:rPr>
            <w:szCs w:val="20"/>
            <w:u w:val="single"/>
          </w:rPr>
          <w:delText xml:space="preserve">  </w:delText>
        </w:r>
      </w:del>
    </w:p>
    <w:p w14:paraId="52EB82D4" w14:textId="77777777" w:rsidR="00BC0E7E" w:rsidRPr="00BC0E7E" w:rsidRDefault="00BC0E7E" w:rsidP="00762FA7">
      <w:pPr>
        <w:rPr>
          <w:del w:id="5329" w:author="AbbVie19" w:date="2025-04-16T10:42:00Z"/>
          <w:szCs w:val="20"/>
        </w:rPr>
      </w:pPr>
    </w:p>
    <w:p w14:paraId="3006D4CF" w14:textId="77777777" w:rsidR="00BC0E7E" w:rsidRPr="00BC0E7E" w:rsidRDefault="00944B8F" w:rsidP="00762FA7">
      <w:pPr>
        <w:tabs>
          <w:tab w:val="clear" w:pos="562"/>
        </w:tabs>
        <w:rPr>
          <w:del w:id="5330" w:author="AbbVie19" w:date="2025-04-16T10:42:00Z"/>
        </w:rPr>
      </w:pPr>
      <w:del w:id="5331" w:author="AbbVie19" w:date="2025-04-16T10:42:00Z">
        <w:r w:rsidRPr="00BC0E7E">
          <w:delText xml:space="preserve">In the pivotal controlled trials in adults and children, 12.9% of patients treated with Humira developed injection site reactions (erythema and/or itching, haemorrhage, pain or swelling), compared to 7.2% of patients receiving placebo or active control. Injection site reactions generally did not necessitate discontinuation of the medicinal product. </w:delText>
        </w:r>
      </w:del>
    </w:p>
    <w:p w14:paraId="111EE238" w14:textId="77777777" w:rsidR="00BC0E7E" w:rsidRPr="00BC0E7E" w:rsidRDefault="00BC0E7E" w:rsidP="00762FA7">
      <w:pPr>
        <w:tabs>
          <w:tab w:val="clear" w:pos="562"/>
        </w:tabs>
        <w:rPr>
          <w:del w:id="5332" w:author="AbbVie19" w:date="2025-04-16T10:42:00Z"/>
        </w:rPr>
      </w:pPr>
    </w:p>
    <w:p w14:paraId="68D929BA" w14:textId="77777777" w:rsidR="00BC0E7E" w:rsidRPr="00BC0E7E" w:rsidRDefault="00944B8F" w:rsidP="00762FA7">
      <w:pPr>
        <w:keepNext/>
        <w:rPr>
          <w:del w:id="5333" w:author="AbbVie19" w:date="2025-04-16T10:42:00Z"/>
          <w:szCs w:val="20"/>
          <w:u w:val="single"/>
        </w:rPr>
      </w:pPr>
      <w:del w:id="5334" w:author="AbbVie19" w:date="2025-04-16T10:42:00Z">
        <w:r w:rsidRPr="00BC0E7E">
          <w:rPr>
            <w:i/>
            <w:szCs w:val="20"/>
          </w:rPr>
          <w:delText>Infections</w:delText>
        </w:r>
        <w:r w:rsidRPr="00BC0E7E">
          <w:rPr>
            <w:szCs w:val="20"/>
            <w:u w:val="single"/>
          </w:rPr>
          <w:delText xml:space="preserve"> </w:delText>
        </w:r>
      </w:del>
    </w:p>
    <w:p w14:paraId="6E22A4ED" w14:textId="77777777" w:rsidR="00BC0E7E" w:rsidRPr="00BC0E7E" w:rsidRDefault="00BC0E7E" w:rsidP="00762FA7">
      <w:pPr>
        <w:keepNext/>
        <w:rPr>
          <w:del w:id="5335" w:author="AbbVie19" w:date="2025-04-16T10:42:00Z"/>
          <w:szCs w:val="20"/>
        </w:rPr>
      </w:pPr>
    </w:p>
    <w:p w14:paraId="421E0891" w14:textId="77777777" w:rsidR="00BC0E7E" w:rsidRPr="00BC0E7E" w:rsidRDefault="00944B8F" w:rsidP="00762FA7">
      <w:pPr>
        <w:keepNext/>
        <w:rPr>
          <w:del w:id="5336" w:author="AbbVie19" w:date="2025-04-16T10:42:00Z"/>
        </w:rPr>
      </w:pPr>
      <w:del w:id="5337" w:author="AbbVie19" w:date="2025-04-16T10:42:00Z">
        <w:r w:rsidRPr="00BC0E7E">
          <w:delText>In the pivotal controlled trials in adults and children, the rate of infection was 1.51 per patient year in the Humira treated patients and 1.46 per patient year in the placebo and active control</w:delText>
        </w:r>
        <w:r w:rsidRPr="00BC0E7E">
          <w:noBreakHyphen/>
          <w:delText xml:space="preserve">treated patients. The infections consisted primarily of nasopharyngitis, upper respiratory tract infection, and sinusitis. Most patients continued on Humira after the infection resolved.  </w:delText>
        </w:r>
      </w:del>
    </w:p>
    <w:p w14:paraId="153B6EE1" w14:textId="77777777" w:rsidR="00BC0E7E" w:rsidRPr="00BC0E7E" w:rsidRDefault="00BC0E7E" w:rsidP="00762FA7">
      <w:pPr>
        <w:rPr>
          <w:del w:id="5338" w:author="AbbVie19" w:date="2025-04-16T10:42:00Z"/>
        </w:rPr>
      </w:pPr>
    </w:p>
    <w:p w14:paraId="24197D2A" w14:textId="77777777" w:rsidR="00BC0E7E" w:rsidRPr="00BC0E7E" w:rsidRDefault="00944B8F" w:rsidP="00762FA7">
      <w:pPr>
        <w:rPr>
          <w:del w:id="5339" w:author="AbbVie19" w:date="2025-04-16T10:42:00Z"/>
        </w:rPr>
      </w:pPr>
      <w:del w:id="5340" w:author="AbbVie19" w:date="2025-04-16T10:42:00Z">
        <w:r w:rsidRPr="00BC0E7E">
          <w:delText xml:space="preserve">The incidence of serious infections was 0.04 per patient year in Humira treated patients and 0.03 per patient year in placebo and active control − treated patients.  </w:delText>
        </w:r>
      </w:del>
    </w:p>
    <w:p w14:paraId="00E37C6B" w14:textId="77777777" w:rsidR="00BC0E7E" w:rsidRPr="00BC0E7E" w:rsidRDefault="00BC0E7E" w:rsidP="00762FA7">
      <w:pPr>
        <w:rPr>
          <w:del w:id="5341" w:author="AbbVie19" w:date="2025-04-16T10:42:00Z"/>
        </w:rPr>
      </w:pPr>
    </w:p>
    <w:p w14:paraId="3228C547" w14:textId="77777777" w:rsidR="00BC0E7E" w:rsidRPr="00BC0E7E" w:rsidRDefault="00944B8F" w:rsidP="00762FA7">
      <w:pPr>
        <w:rPr>
          <w:del w:id="5342" w:author="AbbVie19" w:date="2025-04-16T10:42:00Z"/>
        </w:rPr>
      </w:pPr>
      <w:del w:id="5343" w:author="AbbVie19" w:date="2025-04-16T10:42:00Z">
        <w:r w:rsidRPr="00BC0E7E">
          <w:delText xml:space="preserve">In controlled and open label adult and paediatric studies with Humira, serious infections (including fatal infections, which occurred rarely) have been reported, which include reports of tuberculosis (including miliary and extra-pulmonary locations) and invasive opportunistic infections (e.g. disseminated </w:delText>
        </w:r>
        <w:r w:rsidRPr="00BC0E7E">
          <w:rPr>
            <w:u w:color="0000FF"/>
          </w:rPr>
          <w:delText>or extrapulmonary</w:delText>
        </w:r>
        <w:r w:rsidRPr="00BC0E7E">
          <w:delText xml:space="preserve">  histoplasmosis,  </w:delText>
        </w:r>
        <w:r w:rsidRPr="00BC0E7E">
          <w:rPr>
            <w:u w:color="0000FF"/>
          </w:rPr>
          <w:delText>blastomycosis, coccidioidomycosis, pneumocystis,</w:delText>
        </w:r>
        <w:r w:rsidRPr="00BC0E7E">
          <w:delText xml:space="preserve">  </w:delText>
        </w:r>
        <w:r w:rsidRPr="00BC0E7E">
          <w:rPr>
            <w:u w:color="0000FF"/>
          </w:rPr>
          <w:delText>candidiasis</w:delText>
        </w:r>
        <w:r w:rsidRPr="00BC0E7E">
          <w:delText>, aspergillosis and listeriosis). Most of the cases of tuberculosis occurred within the first eight months after initiation of therapy and may reflect recrudescence of latent disease.</w:delText>
        </w:r>
      </w:del>
    </w:p>
    <w:p w14:paraId="6124F54E" w14:textId="77777777" w:rsidR="00BC0E7E" w:rsidRPr="00BC0E7E" w:rsidRDefault="00BC0E7E" w:rsidP="00762FA7">
      <w:pPr>
        <w:rPr>
          <w:del w:id="5344" w:author="AbbVie19" w:date="2025-04-16T10:42:00Z"/>
        </w:rPr>
      </w:pPr>
    </w:p>
    <w:p w14:paraId="61E3A5BC" w14:textId="77777777" w:rsidR="00BC0E7E" w:rsidRPr="00BC0E7E" w:rsidRDefault="00944B8F" w:rsidP="00762FA7">
      <w:pPr>
        <w:keepNext/>
        <w:rPr>
          <w:del w:id="5345" w:author="AbbVie19" w:date="2025-04-16T10:42:00Z"/>
          <w:i/>
          <w:szCs w:val="20"/>
        </w:rPr>
      </w:pPr>
      <w:del w:id="5346" w:author="AbbVie19" w:date="2025-04-16T10:42:00Z">
        <w:r w:rsidRPr="00BC0E7E">
          <w:rPr>
            <w:i/>
            <w:szCs w:val="20"/>
          </w:rPr>
          <w:delText>Malignancies and lymphoproliferative disorders</w:delText>
        </w:r>
      </w:del>
    </w:p>
    <w:p w14:paraId="755A1122" w14:textId="77777777" w:rsidR="00BC0E7E" w:rsidRPr="00BC0E7E" w:rsidRDefault="00BC0E7E" w:rsidP="00762FA7">
      <w:pPr>
        <w:rPr>
          <w:del w:id="5347" w:author="AbbVie19" w:date="2025-04-16T10:42:00Z"/>
          <w:szCs w:val="20"/>
        </w:rPr>
      </w:pPr>
    </w:p>
    <w:p w14:paraId="1B503E83" w14:textId="77777777" w:rsidR="00BC0E7E" w:rsidRPr="00BC0E7E" w:rsidRDefault="00944B8F" w:rsidP="00762FA7">
      <w:pPr>
        <w:rPr>
          <w:del w:id="5348" w:author="AbbVie19" w:date="2025-04-16T10:42:00Z"/>
        </w:rPr>
      </w:pPr>
      <w:del w:id="5349" w:author="AbbVie19" w:date="2025-04-16T10:42:00Z">
        <w:r w:rsidRPr="00BC0E7E">
          <w:delText xml:space="preserve">No malignancies were observed in 249 paediatric patients with an exposure of 655.6 patient years during Humira trials in patients with juvenile idiopathic arthritis (polyarticular juvenile idiopathic arthritis and enthesitis-related arthritis). </w:delText>
        </w:r>
        <w:r w:rsidRPr="00BC0E7E">
          <w:rPr>
            <w:szCs w:val="22"/>
          </w:rPr>
          <w:delText>In addition, no malignancies were observed in 192</w:delText>
        </w:r>
        <w:r w:rsidRPr="00BC0E7E">
          <w:delText> </w:delText>
        </w:r>
        <w:r w:rsidRPr="00BC0E7E">
          <w:rPr>
            <w:szCs w:val="22"/>
          </w:rPr>
          <w:delText>paediatric patients with an exposure of 498.1</w:delText>
        </w:r>
        <w:r w:rsidRPr="00BC0E7E">
          <w:delText> </w:delText>
        </w:r>
        <w:r w:rsidRPr="00BC0E7E">
          <w:rPr>
            <w:szCs w:val="22"/>
          </w:rPr>
          <w:delText>patient years during Humira trials in paediatric patients with Crohn’s disease. No malignancies were observed in 77 paediatric patients with an exposure of 80.0</w:delText>
        </w:r>
        <w:r w:rsidRPr="00BC0E7E">
          <w:delText> </w:delText>
        </w:r>
        <w:r w:rsidRPr="00BC0E7E">
          <w:rPr>
            <w:szCs w:val="22"/>
          </w:rPr>
          <w:delText xml:space="preserve">patient years during a </w:delText>
        </w:r>
        <w:r w:rsidRPr="00BC0E7E">
          <w:rPr>
            <w:szCs w:val="22"/>
          </w:rPr>
          <w:lastRenderedPageBreak/>
          <w:delText>Humira trial in paediatric patients with chronic plaque psoriasis.</w:delText>
        </w:r>
        <w:r w:rsidR="00630266" w:rsidRPr="00630266">
          <w:rPr>
            <w:rStyle w:val="normaltextrun"/>
            <w:shd w:val="clear" w:color="auto" w:fill="FFFFFF"/>
            <w:lang w:val="en-US"/>
          </w:rPr>
          <w:delText xml:space="preserve"> No malignancies were observed in 93 paediatric patients with an exposure of 65.3 patient years during a Humira trial in paediatric patients with ulcerative colitis.</w:delText>
        </w:r>
        <w:r w:rsidR="00587BA5">
          <w:rPr>
            <w:rStyle w:val="eop"/>
            <w:color w:val="000000"/>
            <w:shd w:val="clear" w:color="auto" w:fill="FFFFFF"/>
          </w:rPr>
          <w:delText> </w:delText>
        </w:r>
        <w:r w:rsidRPr="00BC0E7E">
          <w:rPr>
            <w:szCs w:val="22"/>
          </w:rPr>
          <w:delText>No malignancies were observed in 60 paediatric patients with an exposure of 58.4 patient years during a Humira trial in paediatric patients with uveitis.</w:delText>
        </w:r>
      </w:del>
    </w:p>
    <w:p w14:paraId="707AF67D" w14:textId="77777777" w:rsidR="00BC0E7E" w:rsidRPr="00BC0E7E" w:rsidRDefault="00BC0E7E" w:rsidP="00762FA7">
      <w:pPr>
        <w:keepNext/>
        <w:rPr>
          <w:del w:id="5350" w:author="AbbVie19" w:date="2025-04-16T10:42:00Z"/>
        </w:rPr>
      </w:pPr>
    </w:p>
    <w:p w14:paraId="384EFD84" w14:textId="77777777" w:rsidR="00BC0E7E" w:rsidRPr="00BC0E7E" w:rsidRDefault="00944B8F" w:rsidP="00762FA7">
      <w:pPr>
        <w:rPr>
          <w:del w:id="5351" w:author="AbbVie19" w:date="2025-04-16T10:42:00Z"/>
        </w:rPr>
      </w:pPr>
      <w:del w:id="5352" w:author="AbbVie19" w:date="2025-04-16T10:42:00Z">
        <w:r w:rsidRPr="00BC0E7E">
          <w:delText xml:space="preserve">During the controlled portions of pivotal Humira trials in adults of at least 12 weeks in duration in patients with moderately to severely active rheumatoid arthritis, ankylosing spondylitis, axial spondyloarthritis without radiographic evidence of AS,  psoriatic arthritis, psoriasis, hidradenitis suppurativa, Crohn’s disease, ulcerative colitis and uveitis, malignancies, other than lymphoma and non-melanoma skin cancer, were observed at a rate (95% confidence interval) of 6.8 (4.4, 10.5)  per 1,000 patient-years among 5,291 Humira treated patients </w:delText>
        </w:r>
        <w:r w:rsidRPr="00BC0E7E">
          <w:rPr>
            <w:i/>
            <w:iCs/>
          </w:rPr>
          <w:delText xml:space="preserve">versus </w:delText>
        </w:r>
        <w:r w:rsidRPr="00BC0E7E">
          <w:delText>a rate of 6.3 (3.4, 11.8)  per 1,000 patient-years among 3,444 control patients (median duration of treatment was 4.0 months for Humira and 3.8 months for control-treated patients). The rate (95% confidence interval) of non-melanoma skin cancers was 8.8 (6.0, 13.0) per 1,000 patient-years among Humira-treated patients and 3.2 (1.3, 7.6)  per 1,000 patient-years among control patients. Of these skin cancers, squamous cell carcinomas occurred at rates (95% confidence interval) of 2.7 (1.4, 5.4) per 1,000 patient-years among Humira-treated patients and 0.6 (0.1, 4.5) per 1,000 patient-years among control patients. The rate (95% confidence interval) of lymphomas was 0.7 (0.2, 2.7) per 1,000 patient-years among Humira-treated patients and 0.6 (0.1, 4.5)  per 1,000 patient-years among control patients.</w:delText>
        </w:r>
      </w:del>
    </w:p>
    <w:p w14:paraId="49607E34" w14:textId="77777777" w:rsidR="00BC0E7E" w:rsidRPr="00BC0E7E" w:rsidRDefault="00BC0E7E" w:rsidP="00762FA7">
      <w:pPr>
        <w:rPr>
          <w:del w:id="5353" w:author="AbbVie19" w:date="2025-04-16T10:42:00Z"/>
        </w:rPr>
      </w:pPr>
    </w:p>
    <w:p w14:paraId="15D67526" w14:textId="77777777" w:rsidR="00BC0E7E" w:rsidRPr="00BC0E7E" w:rsidRDefault="00944B8F" w:rsidP="00762FA7">
      <w:pPr>
        <w:rPr>
          <w:del w:id="5354" w:author="AbbVie19" w:date="2025-04-16T10:42:00Z"/>
        </w:rPr>
      </w:pPr>
      <w:del w:id="5355" w:author="AbbVie19" w:date="2025-04-16T10:42:00Z">
        <w:r w:rsidRPr="00BC0E7E">
          <w:delText>When combining controlled portions of these trials and ongoing and completed open label extension studies with a median duration of approximately 3.3 years including 6,427 patients and over 26,439 patient-years of therapy, the observed rate of malignancies, other than lymphoma and non-melanoma skin cancers is approximately 8.5 per 1,000 patient years. The observed rate of non-melanoma skin cancers is approximately 9.6 per 1,000 patient years, and the observed rate of lymphomas is approximately 1.3 per 1,000 patient years.</w:delText>
        </w:r>
      </w:del>
    </w:p>
    <w:p w14:paraId="5F58E7A1" w14:textId="77777777" w:rsidR="00BC0E7E" w:rsidRPr="00BC0E7E" w:rsidRDefault="00BC0E7E" w:rsidP="00762FA7">
      <w:pPr>
        <w:rPr>
          <w:del w:id="5356" w:author="AbbVie19" w:date="2025-04-16T10:42:00Z"/>
        </w:rPr>
      </w:pPr>
    </w:p>
    <w:p w14:paraId="70BAE77F" w14:textId="77777777" w:rsidR="00BC0E7E" w:rsidRPr="00BC0E7E" w:rsidRDefault="00944B8F" w:rsidP="00762FA7">
      <w:pPr>
        <w:rPr>
          <w:del w:id="5357" w:author="AbbVie19" w:date="2025-04-16T10:42:00Z"/>
        </w:rPr>
      </w:pPr>
      <w:del w:id="5358" w:author="AbbVie19" w:date="2025-04-16T10:42:00Z">
        <w:r w:rsidRPr="00BC0E7E">
          <w:delText xml:space="preserve">In post-marketing experience from January 2003 to December 2010, predominantly in patients with rheumatoid arthritis, the </w:delText>
        </w:r>
        <w:r w:rsidR="00F2301E" w:rsidRPr="00F2301E">
          <w:delText>spontaneously</w:delText>
        </w:r>
        <w:r w:rsidR="00F2301E">
          <w:delText xml:space="preserve"> </w:delText>
        </w:r>
        <w:r w:rsidRPr="00BC0E7E">
          <w:delText xml:space="preserve">reported rate of malignancies is approximately 2.7 per 1,000 patient treatment years. The </w:delText>
        </w:r>
        <w:r w:rsidR="00F2301E" w:rsidRPr="00F2301E">
          <w:delText>spontaneously</w:delText>
        </w:r>
        <w:r w:rsidR="00F2301E">
          <w:delText xml:space="preserve"> </w:delText>
        </w:r>
        <w:r w:rsidRPr="00BC0E7E">
          <w:delText>reported rates for non-melanoma skin cancers and lymphomas are approximately 0.2 and 0.3 per 1,000 patient treatment years, respectively (see section 4.4).</w:delText>
        </w:r>
      </w:del>
    </w:p>
    <w:p w14:paraId="4D4FF570" w14:textId="77777777" w:rsidR="00BC0E7E" w:rsidRPr="00BC0E7E" w:rsidRDefault="00BC0E7E" w:rsidP="00762FA7">
      <w:pPr>
        <w:rPr>
          <w:del w:id="5359" w:author="AbbVie19" w:date="2025-04-16T10:42:00Z"/>
          <w:szCs w:val="22"/>
        </w:rPr>
      </w:pPr>
    </w:p>
    <w:p w14:paraId="0F879EBC" w14:textId="77777777" w:rsidR="00BC0E7E" w:rsidRPr="00BC0E7E" w:rsidRDefault="00944B8F" w:rsidP="00762FA7">
      <w:pPr>
        <w:rPr>
          <w:del w:id="5360" w:author="AbbVie19" w:date="2025-04-16T10:42:00Z"/>
          <w:szCs w:val="22"/>
        </w:rPr>
      </w:pPr>
      <w:del w:id="5361" w:author="AbbVie19" w:date="2025-04-16T10:42:00Z">
        <w:r w:rsidRPr="00BC0E7E">
          <w:rPr>
            <w:szCs w:val="22"/>
          </w:rPr>
          <w:delText>Rare post-marketing cases of hepatosplenic T-cell lymphoma have been reported in patients treated with adalimumab (see section 4.4).</w:delText>
        </w:r>
      </w:del>
    </w:p>
    <w:p w14:paraId="60E14BFD" w14:textId="77777777" w:rsidR="00BC0E7E" w:rsidRPr="00BC0E7E" w:rsidRDefault="00BC0E7E" w:rsidP="00762FA7">
      <w:pPr>
        <w:rPr>
          <w:del w:id="5362" w:author="AbbVie19" w:date="2025-04-16T10:42:00Z"/>
        </w:rPr>
      </w:pPr>
    </w:p>
    <w:p w14:paraId="3E2D23DE" w14:textId="77777777" w:rsidR="00BC0E7E" w:rsidRPr="00BC0E7E" w:rsidRDefault="00944B8F" w:rsidP="00762FA7">
      <w:pPr>
        <w:keepNext/>
        <w:rPr>
          <w:del w:id="5363" w:author="AbbVie19" w:date="2025-04-16T10:42:00Z"/>
          <w:szCs w:val="20"/>
          <w:u w:val="single"/>
        </w:rPr>
      </w:pPr>
      <w:del w:id="5364" w:author="AbbVie19" w:date="2025-04-16T10:42:00Z">
        <w:r w:rsidRPr="00BC0E7E">
          <w:rPr>
            <w:i/>
            <w:szCs w:val="20"/>
          </w:rPr>
          <w:delText>Autoantibodies</w:delText>
        </w:r>
        <w:r w:rsidRPr="00BC0E7E">
          <w:rPr>
            <w:szCs w:val="20"/>
            <w:u w:val="single"/>
          </w:rPr>
          <w:delText xml:space="preserve"> </w:delText>
        </w:r>
      </w:del>
    </w:p>
    <w:p w14:paraId="64C5D842" w14:textId="77777777" w:rsidR="00BC0E7E" w:rsidRPr="00BC0E7E" w:rsidRDefault="00BC0E7E" w:rsidP="00762FA7">
      <w:pPr>
        <w:keepNext/>
        <w:rPr>
          <w:del w:id="5365" w:author="AbbVie19" w:date="2025-04-16T10:42:00Z"/>
          <w:szCs w:val="20"/>
        </w:rPr>
      </w:pPr>
    </w:p>
    <w:p w14:paraId="1506494D" w14:textId="77777777" w:rsidR="00BC0E7E" w:rsidRPr="00BC0E7E" w:rsidRDefault="00944B8F" w:rsidP="00762FA7">
      <w:pPr>
        <w:keepNext/>
        <w:rPr>
          <w:del w:id="5366" w:author="AbbVie19" w:date="2025-04-16T10:42:00Z"/>
          <w:szCs w:val="20"/>
        </w:rPr>
      </w:pPr>
      <w:del w:id="5367" w:author="AbbVie19" w:date="2025-04-16T10:42:00Z">
        <w:r w:rsidRPr="00BC0E7E">
          <w:rPr>
            <w:szCs w:val="20"/>
          </w:rPr>
          <w:delText>Patients had serum samples tested for autoantibodies at multiple time points in rheumatoid arthritis studies I − V. In these trials, 11.9% of patients treated with Humira and 8.1% of placebo and active control − treated patients that had negative baseline anti-nuclear antibody titres reported positive titres at Week 24. Two patients out of 3,441 treated with Humira in all rheumatoid arthritis and psoriatic arthritis studies developed clinical signs suggestive of new-onset lupus-like syndrome. The patients improved following discontinuation of therapy. No patients developed lupus nephritis or central nervous system symptoms.</w:delText>
        </w:r>
      </w:del>
    </w:p>
    <w:p w14:paraId="2D36C2F9" w14:textId="77777777" w:rsidR="00BC0E7E" w:rsidRPr="00BC0E7E" w:rsidRDefault="00BC0E7E" w:rsidP="00762FA7">
      <w:pPr>
        <w:rPr>
          <w:del w:id="5368" w:author="AbbVie19" w:date="2025-04-16T10:42:00Z"/>
          <w:szCs w:val="20"/>
        </w:rPr>
      </w:pPr>
    </w:p>
    <w:p w14:paraId="28E2A68C" w14:textId="77777777" w:rsidR="00BC0E7E" w:rsidRPr="00BC0E7E" w:rsidRDefault="00944B8F" w:rsidP="00762FA7">
      <w:pPr>
        <w:rPr>
          <w:del w:id="5369" w:author="AbbVie19" w:date="2025-04-16T10:42:00Z"/>
          <w:i/>
          <w:szCs w:val="20"/>
        </w:rPr>
      </w:pPr>
      <w:del w:id="5370" w:author="AbbVie19" w:date="2025-04-16T10:42:00Z">
        <w:r w:rsidRPr="00BC0E7E">
          <w:rPr>
            <w:i/>
            <w:szCs w:val="20"/>
          </w:rPr>
          <w:delText>Hepato-biliary events</w:delText>
        </w:r>
      </w:del>
    </w:p>
    <w:p w14:paraId="1A1C0567" w14:textId="77777777" w:rsidR="00BC0E7E" w:rsidRPr="00BC0E7E" w:rsidRDefault="00BC0E7E" w:rsidP="00762FA7">
      <w:pPr>
        <w:rPr>
          <w:del w:id="5371" w:author="AbbVie19" w:date="2025-04-16T10:42:00Z"/>
          <w:szCs w:val="20"/>
        </w:rPr>
      </w:pPr>
    </w:p>
    <w:p w14:paraId="40081144" w14:textId="77777777" w:rsidR="00BC0E7E" w:rsidRPr="00BC0E7E" w:rsidRDefault="00944B8F" w:rsidP="00762FA7">
      <w:pPr>
        <w:rPr>
          <w:del w:id="5372" w:author="AbbVie19" w:date="2025-04-16T10:42:00Z"/>
          <w:szCs w:val="20"/>
        </w:rPr>
      </w:pPr>
      <w:del w:id="5373" w:author="AbbVie19" w:date="2025-04-16T10:42:00Z">
        <w:r w:rsidRPr="00BC0E7E">
          <w:rPr>
            <w:szCs w:val="20"/>
          </w:rPr>
          <w:delText xml:space="preserve">In controlled Phase 3 trials of Humira in patients with rheumatoid arthritis and psoriatic arthritis with a control period duration ranging from 4 to 104 weeks, ALT elevations ≥ 3 x ULN occurred in 3.7% of Humira-treated patients and 1.6% of control-treated patients. </w:delText>
        </w:r>
      </w:del>
    </w:p>
    <w:p w14:paraId="108B372C" w14:textId="77777777" w:rsidR="00BC0E7E" w:rsidRPr="00BC0E7E" w:rsidRDefault="00BC0E7E" w:rsidP="00762FA7">
      <w:pPr>
        <w:rPr>
          <w:del w:id="5374" w:author="AbbVie19" w:date="2025-04-16T10:42:00Z"/>
          <w:szCs w:val="20"/>
        </w:rPr>
      </w:pPr>
    </w:p>
    <w:p w14:paraId="47D041D0" w14:textId="77777777" w:rsidR="00BC0E7E" w:rsidRPr="00BC0E7E" w:rsidRDefault="00944B8F" w:rsidP="00762FA7">
      <w:pPr>
        <w:rPr>
          <w:del w:id="5375" w:author="AbbVie19" w:date="2025-04-16T10:42:00Z"/>
          <w:szCs w:val="22"/>
        </w:rPr>
      </w:pPr>
      <w:del w:id="5376" w:author="AbbVie19" w:date="2025-04-16T10:42:00Z">
        <w:r w:rsidRPr="00BC0E7E">
          <w:rPr>
            <w:szCs w:val="22"/>
          </w:rPr>
          <w:delText>In controlled Phase 3 trials of Humira in patients with polyarticular juvenile idiopathic arthritis who were 4 to 17</w:delText>
        </w:r>
        <w:r w:rsidRPr="00BC0E7E">
          <w:rPr>
            <w:szCs w:val="20"/>
          </w:rPr>
          <w:delText> </w:delText>
        </w:r>
        <w:r w:rsidRPr="00BC0E7E">
          <w:rPr>
            <w:szCs w:val="22"/>
          </w:rPr>
          <w:delText>years and enthesitis-related arthritis who were 6 to 17</w:delText>
        </w:r>
        <w:r w:rsidRPr="00BC0E7E">
          <w:rPr>
            <w:szCs w:val="20"/>
          </w:rPr>
          <w:delText> </w:delText>
        </w:r>
        <w:r w:rsidRPr="00BC0E7E">
          <w:rPr>
            <w:szCs w:val="22"/>
          </w:rPr>
          <w:delText xml:space="preserve">years, ALT elevations ≥ 3 x ULN occurred </w:delText>
        </w:r>
        <w:r w:rsidRPr="00BC0E7E">
          <w:rPr>
            <w:szCs w:val="22"/>
          </w:rPr>
          <w:lastRenderedPageBreak/>
          <w:delText>in 6.1% of Humira-treated patients and 1.3% of control-treated patients. Most ALT elevations occurred with concomitant methotrexate use. No ALT elevations ≥ 3 x ULN occurred in the Phase 3 trial of Humira in patients with polyarticular juvenile idiopathic arthritis who were 2 to &lt;4</w:delText>
        </w:r>
        <w:r w:rsidRPr="00BC0E7E">
          <w:rPr>
            <w:szCs w:val="20"/>
          </w:rPr>
          <w:delText> </w:delText>
        </w:r>
        <w:r w:rsidRPr="00BC0E7E">
          <w:rPr>
            <w:szCs w:val="22"/>
          </w:rPr>
          <w:delText>years.</w:delText>
        </w:r>
      </w:del>
    </w:p>
    <w:p w14:paraId="1B79B68F" w14:textId="77777777" w:rsidR="00BC0E7E" w:rsidRPr="00BC0E7E" w:rsidRDefault="00BC0E7E" w:rsidP="00762FA7">
      <w:pPr>
        <w:rPr>
          <w:del w:id="5377" w:author="AbbVie19" w:date="2025-04-16T10:42:00Z"/>
          <w:szCs w:val="20"/>
        </w:rPr>
      </w:pPr>
    </w:p>
    <w:p w14:paraId="275D584E" w14:textId="77777777" w:rsidR="00BC0E7E" w:rsidRPr="00BC0E7E" w:rsidRDefault="00944B8F" w:rsidP="00762FA7">
      <w:pPr>
        <w:rPr>
          <w:del w:id="5378" w:author="AbbVie19" w:date="2025-04-16T10:42:00Z"/>
          <w:i/>
          <w:iCs/>
          <w:szCs w:val="20"/>
        </w:rPr>
      </w:pPr>
      <w:del w:id="5379" w:author="AbbVie19" w:date="2025-04-16T10:42:00Z">
        <w:r w:rsidRPr="00BC0E7E">
          <w:rPr>
            <w:iCs/>
            <w:szCs w:val="20"/>
          </w:rPr>
          <w:delText>In controlled Phase 3 trials of Humira in patients with</w:delText>
        </w:r>
        <w:r w:rsidRPr="00BC0E7E">
          <w:rPr>
            <w:i/>
            <w:iCs/>
            <w:szCs w:val="20"/>
          </w:rPr>
          <w:delText xml:space="preserve"> </w:delText>
        </w:r>
        <w:r w:rsidRPr="00BC0E7E">
          <w:rPr>
            <w:iCs/>
            <w:szCs w:val="20"/>
          </w:rPr>
          <w:delText>Crohn’s disease and ulcerative colitis with a control period ranging from 4 to 52</w:delText>
        </w:r>
        <w:r w:rsidRPr="00BC0E7E">
          <w:rPr>
            <w:szCs w:val="20"/>
          </w:rPr>
          <w:delText> </w:delText>
        </w:r>
        <w:r w:rsidRPr="00BC0E7E">
          <w:rPr>
            <w:iCs/>
            <w:szCs w:val="20"/>
          </w:rPr>
          <w:delText>weeks. ALT elevations ≥ 3 x ULN occurred in 0.9% of Humira-treated patients and 0.9% of controlled-treated patients.</w:delText>
        </w:r>
        <w:r w:rsidRPr="00BC0E7E">
          <w:rPr>
            <w:i/>
            <w:iCs/>
            <w:szCs w:val="20"/>
          </w:rPr>
          <w:delText xml:space="preserve"> </w:delText>
        </w:r>
      </w:del>
    </w:p>
    <w:p w14:paraId="43115F55" w14:textId="77777777" w:rsidR="00BC0E7E" w:rsidRPr="00BC0E7E" w:rsidRDefault="00BC0E7E" w:rsidP="00762FA7">
      <w:pPr>
        <w:rPr>
          <w:del w:id="5380" w:author="AbbVie19" w:date="2025-04-16T10:42:00Z"/>
          <w:i/>
          <w:iCs/>
          <w:szCs w:val="20"/>
        </w:rPr>
      </w:pPr>
    </w:p>
    <w:p w14:paraId="0C832629" w14:textId="77777777" w:rsidR="00BC0E7E" w:rsidRPr="00BC0E7E" w:rsidRDefault="00944B8F" w:rsidP="00762FA7">
      <w:pPr>
        <w:rPr>
          <w:del w:id="5381" w:author="AbbVie19" w:date="2025-04-16T10:42:00Z"/>
          <w:szCs w:val="20"/>
        </w:rPr>
      </w:pPr>
      <w:del w:id="5382" w:author="AbbVie19" w:date="2025-04-16T10:42:00Z">
        <w:r w:rsidRPr="00BC0E7E">
          <w:rPr>
            <w:szCs w:val="20"/>
          </w:rPr>
          <w:delText>In the Phase 3 trial of Humira in patients with paediatric Crohn’s disease which evaluated efficacy and safety of two body weight adjusted maintenance dose regimens following body weight adjusted induction therapy up to 52 weeks of treatment, ALT elevations ≥ 3 x ULN occurred in 2.6% (5/192) of patients of whom 4 were receiving concomitant immunosuppressants at baseline.</w:delText>
        </w:r>
      </w:del>
    </w:p>
    <w:p w14:paraId="1E5BA40D" w14:textId="77777777" w:rsidR="00BC0E7E" w:rsidRPr="00BC0E7E" w:rsidRDefault="00BC0E7E" w:rsidP="00762FA7">
      <w:pPr>
        <w:rPr>
          <w:del w:id="5383" w:author="AbbVie19" w:date="2025-04-16T10:42:00Z"/>
          <w:iCs/>
          <w:szCs w:val="20"/>
        </w:rPr>
      </w:pPr>
    </w:p>
    <w:p w14:paraId="3CB14031" w14:textId="77777777" w:rsidR="00BC0E7E" w:rsidRPr="00BC0E7E" w:rsidRDefault="00944B8F" w:rsidP="00762FA7">
      <w:pPr>
        <w:rPr>
          <w:del w:id="5384" w:author="AbbVie19" w:date="2025-04-16T10:42:00Z"/>
          <w:iCs/>
          <w:szCs w:val="20"/>
        </w:rPr>
      </w:pPr>
      <w:del w:id="5385" w:author="AbbVie19" w:date="2025-04-16T10:42:00Z">
        <w:r w:rsidRPr="00BC0E7E">
          <w:rPr>
            <w:iCs/>
            <w:szCs w:val="20"/>
          </w:rPr>
          <w:delText>In controlled Phase 3 trials of Humira in patients with plaque Psoriasis</w:delText>
        </w:r>
        <w:r w:rsidRPr="00BC0E7E">
          <w:rPr>
            <w:i/>
            <w:iCs/>
            <w:szCs w:val="20"/>
          </w:rPr>
          <w:delText xml:space="preserve"> </w:delText>
        </w:r>
        <w:r w:rsidRPr="00BC0E7E">
          <w:rPr>
            <w:iCs/>
            <w:szCs w:val="20"/>
          </w:rPr>
          <w:delText>with a control period duration ranging from 12 to 24</w:delText>
        </w:r>
        <w:r w:rsidRPr="00BC0E7E">
          <w:rPr>
            <w:szCs w:val="20"/>
          </w:rPr>
          <w:delText> </w:delText>
        </w:r>
        <w:r w:rsidRPr="00BC0E7E">
          <w:rPr>
            <w:iCs/>
            <w:szCs w:val="20"/>
          </w:rPr>
          <w:delText xml:space="preserve">weeks, ALT elevations ≥ 3 x ULN occurred in 1.8% of Humira-treated patients and 1.8% of control-treated patients. </w:delText>
        </w:r>
      </w:del>
    </w:p>
    <w:p w14:paraId="76F87DDA" w14:textId="77777777" w:rsidR="00BC0E7E" w:rsidRPr="00BC0E7E" w:rsidRDefault="00BC0E7E" w:rsidP="00762FA7">
      <w:pPr>
        <w:rPr>
          <w:del w:id="5386" w:author="AbbVie19" w:date="2025-04-16T10:42:00Z"/>
          <w:iCs/>
          <w:szCs w:val="20"/>
        </w:rPr>
      </w:pPr>
    </w:p>
    <w:p w14:paraId="3600FD2C" w14:textId="77777777" w:rsidR="00BC0E7E" w:rsidRPr="00BC0E7E" w:rsidRDefault="00944B8F" w:rsidP="00762FA7">
      <w:pPr>
        <w:autoSpaceDE w:val="0"/>
        <w:autoSpaceDN w:val="0"/>
        <w:adjustRightInd w:val="0"/>
        <w:rPr>
          <w:del w:id="5387" w:author="AbbVie19" w:date="2025-04-16T10:42:00Z"/>
        </w:rPr>
      </w:pPr>
      <w:del w:id="5388" w:author="AbbVie19" w:date="2025-04-16T10:42:00Z">
        <w:r w:rsidRPr="00BC0E7E">
          <w:rPr>
            <w:iCs/>
          </w:rPr>
          <w:delText>No ALT elevations ≥3 X ULN occurred in the Phase 3 trial of Humira in paediatric patients with plaque psoriasis.</w:delText>
        </w:r>
      </w:del>
    </w:p>
    <w:p w14:paraId="5EFD46E4" w14:textId="77777777" w:rsidR="00BC0E7E" w:rsidRPr="00BC0E7E" w:rsidRDefault="00BC0E7E" w:rsidP="00762FA7">
      <w:pPr>
        <w:autoSpaceDE w:val="0"/>
        <w:autoSpaceDN w:val="0"/>
        <w:adjustRightInd w:val="0"/>
        <w:rPr>
          <w:del w:id="5389" w:author="AbbVie19" w:date="2025-04-16T10:42:00Z"/>
          <w:iCs/>
        </w:rPr>
      </w:pPr>
    </w:p>
    <w:p w14:paraId="359584BA" w14:textId="77777777" w:rsidR="00BC0E7E" w:rsidRPr="00BC0E7E" w:rsidRDefault="00944B8F" w:rsidP="00762FA7">
      <w:pPr>
        <w:autoSpaceDE w:val="0"/>
        <w:autoSpaceDN w:val="0"/>
        <w:adjustRightInd w:val="0"/>
        <w:rPr>
          <w:del w:id="5390" w:author="AbbVie19" w:date="2025-04-16T10:42:00Z"/>
        </w:rPr>
      </w:pPr>
      <w:del w:id="5391" w:author="AbbVie19" w:date="2025-04-16T10:42:00Z">
        <w:r w:rsidRPr="00BC0E7E">
          <w:delText>In controlled trials of Humira (initial doses of 160 mg at Week 0 and 80 mg at Week 2, followed by 40 mg every week starting at Week 4), in patients with hidradenitis suppurativa with a control period duration ranging from 12 to 16 weeks, ALT elevations ≥ 3 x ULN occurred in 0.3% of Humira-treated patients and 0.6% of control-treated patients.</w:delText>
        </w:r>
      </w:del>
    </w:p>
    <w:p w14:paraId="44119CA0" w14:textId="77777777" w:rsidR="00BC0E7E" w:rsidRPr="00BC0E7E" w:rsidRDefault="00BC0E7E" w:rsidP="00762FA7">
      <w:pPr>
        <w:autoSpaceDE w:val="0"/>
        <w:autoSpaceDN w:val="0"/>
        <w:adjustRightInd w:val="0"/>
        <w:rPr>
          <w:del w:id="5392" w:author="AbbVie19" w:date="2025-04-16T10:42:00Z"/>
        </w:rPr>
      </w:pPr>
    </w:p>
    <w:p w14:paraId="72B283C8" w14:textId="77777777" w:rsidR="00BC0E7E" w:rsidRPr="00BC0E7E" w:rsidRDefault="00944B8F" w:rsidP="00762FA7">
      <w:pPr>
        <w:autoSpaceDE w:val="0"/>
        <w:autoSpaceDN w:val="0"/>
        <w:adjustRightInd w:val="0"/>
        <w:rPr>
          <w:del w:id="5393" w:author="AbbVie19" w:date="2025-04-16T10:42:00Z"/>
          <w:iCs/>
          <w:szCs w:val="20"/>
        </w:rPr>
      </w:pPr>
      <w:del w:id="5394" w:author="AbbVie19" w:date="2025-04-16T10:42:00Z">
        <w:r w:rsidRPr="00BC0E7E">
          <w:rPr>
            <w:iCs/>
            <w:szCs w:val="20"/>
          </w:rPr>
          <w:delText xml:space="preserve">In controlled trials of Humira (initial doses of 80 mg at Week 0 followed by 40 mg every other week starting at Week 1) in </w:delText>
        </w:r>
        <w:r w:rsidR="004245FF">
          <w:rPr>
            <w:iCs/>
            <w:szCs w:val="20"/>
          </w:rPr>
          <w:delText xml:space="preserve">adult </w:delText>
        </w:r>
        <w:r w:rsidRPr="00BC0E7E">
          <w:rPr>
            <w:iCs/>
            <w:szCs w:val="20"/>
          </w:rPr>
          <w:delText xml:space="preserve">patients with uveitis up to 80 weeks with a median exposure of 166.5 days and 105.0 days in Humira-treated and control-treated patients, respectively, ALT elevations ≥ 3 x ULN occurred in 2.4% of Humira-treated patients and 2.4% of control-treated patients. </w:delText>
        </w:r>
      </w:del>
    </w:p>
    <w:p w14:paraId="457691CF" w14:textId="77777777" w:rsidR="00BC0E7E" w:rsidRPr="00BC0E7E" w:rsidRDefault="00BC0E7E" w:rsidP="00762FA7">
      <w:pPr>
        <w:autoSpaceDE w:val="0"/>
        <w:autoSpaceDN w:val="0"/>
        <w:adjustRightInd w:val="0"/>
        <w:rPr>
          <w:del w:id="5395" w:author="AbbVie19" w:date="2025-04-16T10:42:00Z"/>
        </w:rPr>
      </w:pPr>
    </w:p>
    <w:p w14:paraId="70C4794E" w14:textId="77777777" w:rsidR="00630266" w:rsidRPr="00630266" w:rsidRDefault="00944B8F" w:rsidP="00762FA7">
      <w:pPr>
        <w:autoSpaceDE w:val="0"/>
        <w:autoSpaceDN w:val="0"/>
        <w:adjustRightInd w:val="0"/>
        <w:rPr>
          <w:del w:id="5396" w:author="AbbVie19" w:date="2025-04-16T10:42:00Z"/>
          <w:rStyle w:val="normaltextrun"/>
          <w:shd w:val="clear" w:color="auto" w:fill="FFFFFF"/>
        </w:rPr>
      </w:pPr>
      <w:del w:id="5397" w:author="AbbVie19" w:date="2025-04-16T10:42:00Z">
        <w:r w:rsidRPr="00630266">
          <w:rPr>
            <w:rStyle w:val="normaltextrun"/>
            <w:shd w:val="clear" w:color="auto" w:fill="FFFFFF"/>
          </w:rPr>
          <w:delText>In the controlled Phase 3 trial of Humira in patients with paediatric ulcerative colitis (N=93) which evaluated efficacy and safety of a maintenance dose of 0.6 mg/kg (maximum of 40 mg) every other week (N=31) and a maintenance dose of 0.6 mg/kg (maximum of 40 mg) every Week (N=32), following body weight adjusted induction dosing of 2.4 mg/kg (maximum of 160 mg) at Week 0 and Week 1, and 1.2 mg/kg (maximum of 80 mg) at Week 2 (N=63), or an induction dose of 2.4 mg/kg (maximum of 160 mg) at Week 0, placebo at Week 1, and 1.2 mg/kg (maximum of 80 mg) at Week 2 (N=30), ALT elevations ≥ 3 X ULN occurred in 1.1% (1/93) of patients.</w:delText>
        </w:r>
      </w:del>
    </w:p>
    <w:p w14:paraId="3C6E8DA3" w14:textId="77777777" w:rsidR="00CF63AF" w:rsidRDefault="00CF63AF" w:rsidP="00762FA7">
      <w:pPr>
        <w:autoSpaceDE w:val="0"/>
        <w:autoSpaceDN w:val="0"/>
        <w:adjustRightInd w:val="0"/>
        <w:rPr>
          <w:del w:id="5398" w:author="AbbVie19" w:date="2025-04-16T10:42:00Z"/>
        </w:rPr>
      </w:pPr>
    </w:p>
    <w:p w14:paraId="783C7A0E" w14:textId="77777777" w:rsidR="00BC0E7E" w:rsidRPr="00BC0E7E" w:rsidRDefault="00944B8F" w:rsidP="00762FA7">
      <w:pPr>
        <w:autoSpaceDE w:val="0"/>
        <w:autoSpaceDN w:val="0"/>
        <w:adjustRightInd w:val="0"/>
        <w:rPr>
          <w:del w:id="5399" w:author="AbbVie19" w:date="2025-04-16T10:42:00Z"/>
        </w:rPr>
      </w:pPr>
      <w:del w:id="5400" w:author="AbbVie19" w:date="2025-04-16T10:42:00Z">
        <w:r w:rsidRPr="00BC0E7E">
          <w:delText>Across all indications in clinical trials patients with raised ALT were asymptomatic and in most cases elevations were transient and resolved on continued treatment.  However, there have also been post-marketing reports of liver failure as well as less severe liver disorders that may precede liver failure, such as hepatitis including autoimmune hepatitis in patients receiving adalimumab.</w:delText>
        </w:r>
      </w:del>
    </w:p>
    <w:p w14:paraId="4323751B" w14:textId="77777777" w:rsidR="00BC0E7E" w:rsidRPr="00BC0E7E" w:rsidRDefault="00BC0E7E" w:rsidP="00762FA7">
      <w:pPr>
        <w:autoSpaceDE w:val="0"/>
        <w:autoSpaceDN w:val="0"/>
        <w:adjustRightInd w:val="0"/>
        <w:rPr>
          <w:del w:id="5401" w:author="AbbVie19" w:date="2025-04-16T10:42:00Z"/>
        </w:rPr>
      </w:pPr>
    </w:p>
    <w:p w14:paraId="425056C3" w14:textId="77777777" w:rsidR="00BC0E7E" w:rsidRPr="00BC0E7E" w:rsidRDefault="00944B8F" w:rsidP="00762FA7">
      <w:pPr>
        <w:keepNext/>
        <w:autoSpaceDE w:val="0"/>
        <w:autoSpaceDN w:val="0"/>
        <w:adjustRightInd w:val="0"/>
        <w:rPr>
          <w:del w:id="5402" w:author="AbbVie19" w:date="2025-04-16T10:42:00Z"/>
          <w:u w:val="single"/>
        </w:rPr>
      </w:pPr>
      <w:del w:id="5403" w:author="AbbVie19" w:date="2025-04-16T10:42:00Z">
        <w:r w:rsidRPr="00BC0E7E">
          <w:rPr>
            <w:u w:val="single"/>
          </w:rPr>
          <w:delText>Concurrent treatment with azathioprine/6</w:delText>
        </w:r>
        <w:r w:rsidRPr="00BC0E7E">
          <w:rPr>
            <w:u w:val="single"/>
          </w:rPr>
          <w:noBreakHyphen/>
          <w:delText>mercaptopurine</w:delText>
        </w:r>
      </w:del>
    </w:p>
    <w:p w14:paraId="1F1D5B65" w14:textId="77777777" w:rsidR="00BC0E7E" w:rsidRPr="00BC0E7E" w:rsidRDefault="00BC0E7E" w:rsidP="00762FA7">
      <w:pPr>
        <w:keepNext/>
        <w:rPr>
          <w:del w:id="5404" w:author="AbbVie19" w:date="2025-04-16T10:42:00Z"/>
          <w:szCs w:val="20"/>
        </w:rPr>
      </w:pPr>
    </w:p>
    <w:p w14:paraId="44480264" w14:textId="77777777" w:rsidR="00BC0E7E" w:rsidRPr="00BC0E7E" w:rsidRDefault="00944B8F" w:rsidP="00762FA7">
      <w:pPr>
        <w:keepNext/>
        <w:rPr>
          <w:del w:id="5405" w:author="AbbVie19" w:date="2025-04-16T10:42:00Z"/>
          <w:szCs w:val="20"/>
        </w:rPr>
      </w:pPr>
      <w:del w:id="5406" w:author="AbbVie19" w:date="2025-04-16T10:42:00Z">
        <w:r w:rsidRPr="00BC0E7E">
          <w:rPr>
            <w:szCs w:val="20"/>
          </w:rPr>
          <w:delText>In adult Crohn’s disease studies, higher incidences of malignant and serious infection-related adverse events were seen with the combination of Humira and azathioprine/6</w:delText>
        </w:r>
        <w:r w:rsidRPr="00BC0E7E">
          <w:rPr>
            <w:szCs w:val="20"/>
            <w:u w:val="single"/>
          </w:rPr>
          <w:noBreakHyphen/>
        </w:r>
        <w:r w:rsidRPr="00BC0E7E">
          <w:rPr>
            <w:szCs w:val="20"/>
          </w:rPr>
          <w:delText>mercaptopurine compared with Humira alone.</w:delText>
        </w:r>
      </w:del>
    </w:p>
    <w:p w14:paraId="199081DC" w14:textId="77777777" w:rsidR="00BC0E7E" w:rsidRPr="00BC0E7E" w:rsidRDefault="00BC0E7E" w:rsidP="00762FA7">
      <w:pPr>
        <w:rPr>
          <w:del w:id="5407" w:author="AbbVie19" w:date="2025-04-16T10:42:00Z"/>
          <w:szCs w:val="20"/>
        </w:rPr>
      </w:pPr>
    </w:p>
    <w:p w14:paraId="57D28BFE" w14:textId="77777777" w:rsidR="00BC0E7E" w:rsidRPr="00BC0E7E" w:rsidRDefault="00944B8F" w:rsidP="00762FA7">
      <w:pPr>
        <w:rPr>
          <w:del w:id="5408" w:author="AbbVie19" w:date="2025-04-16T10:42:00Z"/>
          <w:u w:val="single"/>
        </w:rPr>
      </w:pPr>
      <w:del w:id="5409" w:author="AbbVie19" w:date="2025-04-16T10:42:00Z">
        <w:r w:rsidRPr="00BC0E7E">
          <w:rPr>
            <w:u w:val="single"/>
          </w:rPr>
          <w:delText>Reporting of suspected adverse reactions</w:delText>
        </w:r>
      </w:del>
    </w:p>
    <w:p w14:paraId="43517C85" w14:textId="77777777" w:rsidR="00BC0E7E" w:rsidRPr="00BC0E7E" w:rsidRDefault="00BC0E7E" w:rsidP="00762FA7">
      <w:pPr>
        <w:rPr>
          <w:del w:id="5410" w:author="AbbVie19" w:date="2025-04-16T10:42:00Z"/>
        </w:rPr>
      </w:pPr>
    </w:p>
    <w:p w14:paraId="2822CDB7" w14:textId="77777777" w:rsidR="00BC0E7E" w:rsidRPr="00BC0E7E" w:rsidRDefault="00944B8F" w:rsidP="00762FA7">
      <w:pPr>
        <w:rPr>
          <w:del w:id="5411" w:author="AbbVie19" w:date="2025-04-16T10:42:00Z"/>
        </w:rPr>
      </w:pPr>
      <w:del w:id="5412" w:author="AbbVie19" w:date="2025-04-16T10:42:00Z">
        <w:r w:rsidRPr="00BC0E7E">
          <w:lastRenderedPageBreak/>
          <w:delText xml:space="preserve">Reporting suspected adverse reactions after authorisation of the medicinal product is important.  It allows continued monitoring of the benefit/risk balance of the medicinal product.  Healthcare professionals are asked to report any suspected adverse reactions via </w:delText>
        </w:r>
        <w:r w:rsidRPr="00BC0E7E">
          <w:rPr>
            <w:highlight w:val="lightGray"/>
          </w:rPr>
          <w:delText xml:space="preserve">the national reporting system listed in </w:delText>
        </w:r>
        <w:r>
          <w:fldChar w:fldCharType="begin"/>
        </w:r>
        <w:r>
          <w:delInstrText>HYPERLINK "http://www.ema.europa.eu/docs/en_GB/document_library/Template_or_form/2013/03/WC500139752.doc"</w:delInstrText>
        </w:r>
        <w:r>
          <w:fldChar w:fldCharType="separate"/>
        </w:r>
        <w:r w:rsidRPr="00BC0E7E">
          <w:rPr>
            <w:color w:val="0000FF"/>
            <w:szCs w:val="22"/>
            <w:highlight w:val="lightGray"/>
            <w:u w:val="single"/>
          </w:rPr>
          <w:delText>Appendix V</w:delText>
        </w:r>
        <w:r>
          <w:fldChar w:fldCharType="end"/>
        </w:r>
        <w:r w:rsidRPr="00BC0E7E">
          <w:rPr>
            <w:highlight w:val="lightGray"/>
          </w:rPr>
          <w:delText>.</w:delText>
        </w:r>
        <w:r w:rsidRPr="00BC0E7E">
          <w:delText xml:space="preserve"> </w:delText>
        </w:r>
      </w:del>
    </w:p>
    <w:p w14:paraId="5A3A9F53" w14:textId="77777777" w:rsidR="00BC0E7E" w:rsidRPr="00BC0E7E" w:rsidRDefault="00BC0E7E" w:rsidP="00762FA7">
      <w:pPr>
        <w:rPr>
          <w:del w:id="5413" w:author="AbbVie19" w:date="2025-04-16T10:42:00Z"/>
        </w:rPr>
      </w:pPr>
    </w:p>
    <w:p w14:paraId="15FF15B0" w14:textId="77777777" w:rsidR="00BC0E7E" w:rsidRPr="00BC0E7E" w:rsidRDefault="00944B8F" w:rsidP="00762FA7">
      <w:pPr>
        <w:keepNext/>
        <w:tabs>
          <w:tab w:val="clear" w:pos="562"/>
        </w:tabs>
        <w:rPr>
          <w:del w:id="5414" w:author="AbbVie19" w:date="2025-04-16T10:42:00Z"/>
          <w:b/>
          <w:szCs w:val="22"/>
        </w:rPr>
      </w:pPr>
      <w:del w:id="5415" w:author="AbbVie19" w:date="2025-04-16T10:42:00Z">
        <w:r w:rsidRPr="00BC0E7E">
          <w:rPr>
            <w:b/>
            <w:szCs w:val="22"/>
          </w:rPr>
          <w:delText>4.9</w:delText>
        </w:r>
        <w:r w:rsidRPr="00BC0E7E">
          <w:rPr>
            <w:b/>
            <w:szCs w:val="22"/>
          </w:rPr>
          <w:tab/>
          <w:delText>Overdose</w:delText>
        </w:r>
      </w:del>
    </w:p>
    <w:p w14:paraId="75EFAEF1" w14:textId="77777777" w:rsidR="00BC0E7E" w:rsidRPr="003F7AAE" w:rsidRDefault="00BC0E7E" w:rsidP="00762FA7">
      <w:pPr>
        <w:keepNext/>
        <w:tabs>
          <w:tab w:val="clear" w:pos="562"/>
        </w:tabs>
        <w:rPr>
          <w:del w:id="5416" w:author="AbbVie19" w:date="2025-04-16T10:42:00Z"/>
          <w:szCs w:val="22"/>
        </w:rPr>
      </w:pPr>
    </w:p>
    <w:p w14:paraId="071741A0" w14:textId="77777777" w:rsidR="00BC0E7E" w:rsidRPr="00BC0E7E" w:rsidRDefault="00944B8F" w:rsidP="00762FA7">
      <w:pPr>
        <w:keepNext/>
        <w:tabs>
          <w:tab w:val="clear" w:pos="562"/>
        </w:tabs>
        <w:rPr>
          <w:del w:id="5417" w:author="AbbVie19" w:date="2025-04-16T10:42:00Z"/>
        </w:rPr>
      </w:pPr>
      <w:del w:id="5418" w:author="AbbVie19" w:date="2025-04-16T10:42:00Z">
        <w:r w:rsidRPr="00BC0E7E">
          <w:delText xml:space="preserve">No dose-limiting toxicity was observed during clinical trials. The highest dose level evaluated has been multiple intravenous doses of 10 mg/kg, which is approximately 15 times the recommended dose.    </w:delText>
        </w:r>
      </w:del>
    </w:p>
    <w:p w14:paraId="223D4429" w14:textId="77777777" w:rsidR="00BC0E7E" w:rsidRPr="00BC0E7E" w:rsidRDefault="00BC0E7E" w:rsidP="00762FA7">
      <w:pPr>
        <w:keepNext/>
        <w:tabs>
          <w:tab w:val="clear" w:pos="562"/>
        </w:tabs>
        <w:rPr>
          <w:del w:id="5419" w:author="AbbVie19" w:date="2025-04-16T10:42:00Z"/>
        </w:rPr>
      </w:pPr>
    </w:p>
    <w:p w14:paraId="236C92BE" w14:textId="77777777" w:rsidR="00BC0E7E" w:rsidRPr="00BC0E7E" w:rsidRDefault="00BC0E7E" w:rsidP="00762FA7">
      <w:pPr>
        <w:keepNext/>
        <w:tabs>
          <w:tab w:val="clear" w:pos="562"/>
        </w:tabs>
        <w:rPr>
          <w:del w:id="5420" w:author="AbbVie19" w:date="2025-04-16T10:42:00Z"/>
        </w:rPr>
      </w:pPr>
    </w:p>
    <w:p w14:paraId="17463F32" w14:textId="77777777" w:rsidR="00BC0E7E" w:rsidRPr="00BC0E7E" w:rsidRDefault="00944B8F" w:rsidP="00AA4A2A">
      <w:pPr>
        <w:outlineLvl w:val="0"/>
        <w:rPr>
          <w:del w:id="5421" w:author="AbbVie19" w:date="2025-04-16T10:42:00Z"/>
          <w:b/>
          <w:caps/>
          <w:szCs w:val="20"/>
        </w:rPr>
      </w:pPr>
      <w:del w:id="5422" w:author="AbbVie19" w:date="2025-04-16T10:42:00Z">
        <w:r w:rsidRPr="00BC0E7E">
          <w:rPr>
            <w:b/>
            <w:caps/>
            <w:szCs w:val="20"/>
          </w:rPr>
          <w:delText>5.</w:delText>
        </w:r>
        <w:r w:rsidRPr="00BC0E7E">
          <w:rPr>
            <w:b/>
            <w:caps/>
            <w:szCs w:val="20"/>
          </w:rPr>
          <w:tab/>
          <w:delText>PHARMACOLOGICAL PROPERTIES</w:delText>
        </w:r>
      </w:del>
    </w:p>
    <w:p w14:paraId="7CF30F2B" w14:textId="77777777" w:rsidR="00BC0E7E" w:rsidRPr="00BC0E7E" w:rsidRDefault="00BC0E7E" w:rsidP="00762FA7">
      <w:pPr>
        <w:rPr>
          <w:del w:id="5423" w:author="AbbVie19" w:date="2025-04-16T10:42:00Z"/>
          <w:szCs w:val="20"/>
        </w:rPr>
      </w:pPr>
    </w:p>
    <w:p w14:paraId="1399D2B2" w14:textId="77777777" w:rsidR="00BC0E7E" w:rsidRPr="00BC0E7E" w:rsidRDefault="00944B8F" w:rsidP="00762FA7">
      <w:pPr>
        <w:suppressAutoHyphens w:val="0"/>
        <w:outlineLvl w:val="1"/>
        <w:rPr>
          <w:del w:id="5424" w:author="AbbVie19" w:date="2025-04-16T10:42:00Z"/>
          <w:b/>
          <w:szCs w:val="20"/>
        </w:rPr>
      </w:pPr>
      <w:del w:id="5425" w:author="AbbVie19" w:date="2025-04-16T10:42:00Z">
        <w:r w:rsidRPr="00BC0E7E">
          <w:rPr>
            <w:b/>
            <w:szCs w:val="20"/>
          </w:rPr>
          <w:delText>5.1</w:delText>
        </w:r>
        <w:r w:rsidRPr="00BC0E7E">
          <w:rPr>
            <w:b/>
            <w:szCs w:val="20"/>
          </w:rPr>
          <w:tab/>
          <w:delText>Pharmacodynamic properties</w:delText>
        </w:r>
      </w:del>
    </w:p>
    <w:p w14:paraId="0F34A3B3" w14:textId="77777777" w:rsidR="00BC0E7E" w:rsidRPr="00BC0E7E" w:rsidRDefault="00BC0E7E" w:rsidP="00762FA7">
      <w:pPr>
        <w:rPr>
          <w:del w:id="5426" w:author="AbbVie19" w:date="2025-04-16T10:42:00Z"/>
          <w:szCs w:val="20"/>
        </w:rPr>
      </w:pPr>
    </w:p>
    <w:p w14:paraId="7178C3DF" w14:textId="77777777" w:rsidR="00BC0E7E" w:rsidRPr="00BC0E7E" w:rsidRDefault="00944B8F" w:rsidP="00762FA7">
      <w:pPr>
        <w:tabs>
          <w:tab w:val="clear" w:pos="562"/>
        </w:tabs>
        <w:rPr>
          <w:del w:id="5427" w:author="AbbVie19" w:date="2025-04-16T10:42:00Z"/>
        </w:rPr>
      </w:pPr>
      <w:del w:id="5428" w:author="AbbVie19" w:date="2025-04-16T10:42:00Z">
        <w:r w:rsidRPr="00BC0E7E">
          <w:delText>Pharmacotherapeutic group: Immunosuppressants, Tumour Necrosis Factor alpha (TNF-α) inhibitors. ATC code: L04AB04</w:delText>
        </w:r>
      </w:del>
    </w:p>
    <w:p w14:paraId="40FF248B" w14:textId="77777777" w:rsidR="00BC0E7E" w:rsidRPr="00BC0E7E" w:rsidRDefault="00BC0E7E" w:rsidP="00762FA7">
      <w:pPr>
        <w:tabs>
          <w:tab w:val="clear" w:pos="562"/>
        </w:tabs>
        <w:rPr>
          <w:del w:id="5429" w:author="AbbVie19" w:date="2025-04-16T10:42:00Z"/>
        </w:rPr>
      </w:pPr>
    </w:p>
    <w:p w14:paraId="1729BCF1" w14:textId="77777777" w:rsidR="00BC0E7E" w:rsidRPr="00BC0E7E" w:rsidRDefault="00944B8F" w:rsidP="00762FA7">
      <w:pPr>
        <w:keepNext/>
        <w:rPr>
          <w:del w:id="5430" w:author="AbbVie19" w:date="2025-04-16T10:42:00Z"/>
          <w:szCs w:val="20"/>
          <w:u w:val="single"/>
        </w:rPr>
      </w:pPr>
      <w:del w:id="5431" w:author="AbbVie19" w:date="2025-04-16T10:42:00Z">
        <w:r w:rsidRPr="00BC0E7E">
          <w:rPr>
            <w:szCs w:val="20"/>
            <w:u w:val="single"/>
          </w:rPr>
          <w:delText>Mechanism of action</w:delText>
        </w:r>
      </w:del>
    </w:p>
    <w:p w14:paraId="3742383A" w14:textId="77777777" w:rsidR="00BC0E7E" w:rsidRPr="00BC0E7E" w:rsidRDefault="00BC0E7E" w:rsidP="00762FA7">
      <w:pPr>
        <w:keepNext/>
        <w:rPr>
          <w:del w:id="5432" w:author="AbbVie19" w:date="2025-04-16T10:42:00Z"/>
          <w:szCs w:val="20"/>
        </w:rPr>
      </w:pPr>
    </w:p>
    <w:p w14:paraId="0273D846" w14:textId="77777777" w:rsidR="00BC0E7E" w:rsidRPr="00BC0E7E" w:rsidRDefault="00944B8F" w:rsidP="00762FA7">
      <w:pPr>
        <w:keepNext/>
        <w:rPr>
          <w:del w:id="5433" w:author="AbbVie19" w:date="2025-04-16T10:42:00Z"/>
        </w:rPr>
      </w:pPr>
      <w:del w:id="5434" w:author="AbbVie19" w:date="2025-04-16T10:42:00Z">
        <w:r w:rsidRPr="00BC0E7E">
          <w:delText xml:space="preserve">Adalimumab binds specifically to TNF and neutralises the biological function of TNF by blocking its interaction with the p55 and p75 cell surface TNF receptors.  </w:delText>
        </w:r>
      </w:del>
    </w:p>
    <w:p w14:paraId="313CA8AF" w14:textId="77777777" w:rsidR="00BC0E7E" w:rsidRPr="00BC0E7E" w:rsidRDefault="00BC0E7E" w:rsidP="00762FA7">
      <w:pPr>
        <w:keepNext/>
        <w:rPr>
          <w:del w:id="5435" w:author="AbbVie19" w:date="2025-04-16T10:42:00Z"/>
        </w:rPr>
      </w:pPr>
    </w:p>
    <w:p w14:paraId="7F1FFE57" w14:textId="77777777" w:rsidR="00BC0E7E" w:rsidRPr="00BC0E7E" w:rsidRDefault="00944B8F" w:rsidP="00762FA7">
      <w:pPr>
        <w:rPr>
          <w:del w:id="5436" w:author="AbbVie19" w:date="2025-04-16T10:42:00Z"/>
        </w:rPr>
      </w:pPr>
      <w:del w:id="5437" w:author="AbbVie19" w:date="2025-04-16T10:42:00Z">
        <w:r w:rsidRPr="00BC0E7E">
          <w:delText>Adalimumab also modulates biological responses that are induced or regulated by TNF, including changes in the levels of adhesion molecules responsible for leukocyte migration (ELAM-1, VCAM-1, and ICAM-1 with an IC</w:delText>
        </w:r>
        <w:r w:rsidRPr="00BC0E7E">
          <w:rPr>
            <w:vertAlign w:val="subscript"/>
          </w:rPr>
          <w:delText>50</w:delText>
        </w:r>
        <w:r w:rsidRPr="00BC0E7E">
          <w:delText xml:space="preserve"> of</w:delText>
        </w:r>
        <w:r w:rsidR="00954842">
          <w:delText xml:space="preserve"> </w:delText>
        </w:r>
        <w:r w:rsidRPr="00BC0E7E">
          <w:delText xml:space="preserve">0.1-0.2 nM). </w:delText>
        </w:r>
      </w:del>
    </w:p>
    <w:p w14:paraId="096D4C5D" w14:textId="77777777" w:rsidR="00BC0E7E" w:rsidRPr="00BC0E7E" w:rsidRDefault="00BC0E7E" w:rsidP="00762FA7">
      <w:pPr>
        <w:rPr>
          <w:del w:id="5438" w:author="AbbVie19" w:date="2025-04-16T10:42:00Z"/>
        </w:rPr>
      </w:pPr>
    </w:p>
    <w:p w14:paraId="41174FE5" w14:textId="77777777" w:rsidR="00BC0E7E" w:rsidRPr="00BC0E7E" w:rsidRDefault="00944B8F" w:rsidP="00762FA7">
      <w:pPr>
        <w:keepNext/>
        <w:rPr>
          <w:del w:id="5439" w:author="AbbVie19" w:date="2025-04-16T10:42:00Z"/>
          <w:szCs w:val="20"/>
          <w:u w:val="single"/>
        </w:rPr>
      </w:pPr>
      <w:del w:id="5440" w:author="AbbVie19" w:date="2025-04-16T10:42:00Z">
        <w:r w:rsidRPr="00BC0E7E">
          <w:rPr>
            <w:szCs w:val="20"/>
            <w:u w:val="single"/>
          </w:rPr>
          <w:delText xml:space="preserve">Pharmacodynamic effects </w:delText>
        </w:r>
      </w:del>
    </w:p>
    <w:p w14:paraId="3660E24D" w14:textId="77777777" w:rsidR="00BC0E7E" w:rsidRPr="00BC0E7E" w:rsidRDefault="00BC0E7E" w:rsidP="00762FA7">
      <w:pPr>
        <w:keepNext/>
        <w:rPr>
          <w:del w:id="5441" w:author="AbbVie19" w:date="2025-04-16T10:42:00Z"/>
          <w:szCs w:val="20"/>
        </w:rPr>
      </w:pPr>
    </w:p>
    <w:p w14:paraId="3DD68335" w14:textId="77777777" w:rsidR="00BC0E7E" w:rsidRPr="00BC0E7E" w:rsidRDefault="00944B8F" w:rsidP="00762FA7">
      <w:pPr>
        <w:keepNext/>
        <w:tabs>
          <w:tab w:val="clear" w:pos="562"/>
        </w:tabs>
        <w:rPr>
          <w:del w:id="5442" w:author="AbbVie19" w:date="2025-04-16T10:42:00Z"/>
        </w:rPr>
      </w:pPr>
      <w:del w:id="5443" w:author="AbbVie19" w:date="2025-04-16T10:42:00Z">
        <w:r w:rsidRPr="00BC0E7E">
          <w:delText>After treatment with Humira, a rapid decrease in levels of acute phase reactants of inflammation (C</w:delText>
        </w:r>
        <w:r w:rsidRPr="00BC0E7E">
          <w:noBreakHyphen/>
          <w:delText>reactive protein (CRP) and erythrocyte sedimentation rate (ESR)) and serum cytokines (IL-6) was observed, compared to baseline in patients with rheumatoid arthritis. Serum levels of matrix metalloproteinases (MMP-1 and MMP-3) that produce tissue remodelling responsible for cartilage destruction were also decreased after Humira administration. Patients treated with Humira usually experienced improvement in haematological signs of chronic inflammation.</w:delText>
        </w:r>
      </w:del>
    </w:p>
    <w:p w14:paraId="69745CEC" w14:textId="77777777" w:rsidR="00BC0E7E" w:rsidRPr="00BC0E7E" w:rsidRDefault="00BC0E7E" w:rsidP="00762FA7">
      <w:pPr>
        <w:tabs>
          <w:tab w:val="clear" w:pos="562"/>
        </w:tabs>
        <w:rPr>
          <w:del w:id="5444" w:author="AbbVie19" w:date="2025-04-16T10:42:00Z"/>
        </w:rPr>
      </w:pPr>
    </w:p>
    <w:p w14:paraId="301DAD51" w14:textId="77777777" w:rsidR="00BC0E7E" w:rsidRPr="00BC0E7E" w:rsidRDefault="00944B8F" w:rsidP="00762FA7">
      <w:pPr>
        <w:tabs>
          <w:tab w:val="clear" w:pos="562"/>
        </w:tabs>
        <w:rPr>
          <w:del w:id="5445" w:author="AbbVie19" w:date="2025-04-16T10:42:00Z"/>
        </w:rPr>
      </w:pPr>
      <w:del w:id="5446" w:author="AbbVie19" w:date="2025-04-16T10:42:00Z">
        <w:r w:rsidRPr="00BC0E7E">
          <w:delText>A rapid decrease in CRP levels was also observed in patients with polyarticular juvenile idiopathic arthritis, Crohn’s disease, ulcerative colitis and hidradenitis suppurativa after treatment with Humira. In patients with Crohn’s disease, a reduction of the number of cells expressing inflammatory markers in the colon including a significant reduction of expression of TNFα was seen. Endoscopic studies in intestinal mucosa have shown evidence of mucosal healing in adalimumab treated patients.</w:delText>
        </w:r>
      </w:del>
    </w:p>
    <w:p w14:paraId="7D8EBF42" w14:textId="77777777" w:rsidR="00BC0E7E" w:rsidRPr="00BC0E7E" w:rsidRDefault="00BC0E7E" w:rsidP="00762FA7">
      <w:pPr>
        <w:tabs>
          <w:tab w:val="clear" w:pos="562"/>
        </w:tabs>
        <w:rPr>
          <w:del w:id="5447" w:author="AbbVie19" w:date="2025-04-16T10:42:00Z"/>
        </w:rPr>
      </w:pPr>
    </w:p>
    <w:p w14:paraId="684C4813" w14:textId="77777777" w:rsidR="00BC0E7E" w:rsidRPr="00BC0E7E" w:rsidRDefault="00944B8F" w:rsidP="00762FA7">
      <w:pPr>
        <w:keepNext/>
        <w:rPr>
          <w:del w:id="5448" w:author="AbbVie19" w:date="2025-04-16T10:42:00Z"/>
          <w:szCs w:val="20"/>
          <w:u w:val="single"/>
        </w:rPr>
      </w:pPr>
      <w:del w:id="5449" w:author="AbbVie19" w:date="2025-04-16T10:42:00Z">
        <w:r w:rsidRPr="00BC0E7E">
          <w:rPr>
            <w:szCs w:val="20"/>
            <w:u w:val="single"/>
          </w:rPr>
          <w:delText>Clinical efficacy and safety</w:delText>
        </w:r>
      </w:del>
    </w:p>
    <w:p w14:paraId="5175FFE8" w14:textId="77777777" w:rsidR="00BC0E7E" w:rsidRPr="00BC0E7E" w:rsidRDefault="00BC0E7E" w:rsidP="00762FA7">
      <w:pPr>
        <w:keepNext/>
        <w:rPr>
          <w:del w:id="5450" w:author="AbbVie19" w:date="2025-04-16T10:42:00Z"/>
          <w:szCs w:val="20"/>
        </w:rPr>
      </w:pPr>
    </w:p>
    <w:p w14:paraId="36E73C8D" w14:textId="77777777" w:rsidR="00BC0E7E" w:rsidRPr="00BC0E7E" w:rsidRDefault="00944B8F" w:rsidP="00762FA7">
      <w:pPr>
        <w:keepNext/>
        <w:rPr>
          <w:del w:id="5451" w:author="AbbVie19" w:date="2025-04-16T10:42:00Z"/>
          <w:i/>
          <w:szCs w:val="20"/>
        </w:rPr>
      </w:pPr>
      <w:del w:id="5452" w:author="AbbVie19" w:date="2025-04-16T10:42:00Z">
        <w:r w:rsidRPr="00BC0E7E">
          <w:rPr>
            <w:i/>
            <w:szCs w:val="20"/>
          </w:rPr>
          <w:delText>Rheumatoid arthritis</w:delText>
        </w:r>
      </w:del>
    </w:p>
    <w:p w14:paraId="600ABBD2" w14:textId="77777777" w:rsidR="00BC0E7E" w:rsidRPr="00BC0E7E" w:rsidRDefault="00BC0E7E" w:rsidP="00762FA7">
      <w:pPr>
        <w:keepNext/>
        <w:rPr>
          <w:del w:id="5453" w:author="AbbVie19" w:date="2025-04-16T10:42:00Z"/>
          <w:szCs w:val="20"/>
        </w:rPr>
      </w:pPr>
    </w:p>
    <w:p w14:paraId="16D455E3" w14:textId="77777777" w:rsidR="00BC0E7E" w:rsidRPr="00BC0E7E" w:rsidRDefault="00944B8F" w:rsidP="00762FA7">
      <w:pPr>
        <w:keepNext/>
        <w:rPr>
          <w:del w:id="5454" w:author="AbbVie19" w:date="2025-04-16T10:42:00Z"/>
        </w:rPr>
      </w:pPr>
      <w:del w:id="5455" w:author="AbbVie19" w:date="2025-04-16T10:42:00Z">
        <w:r w:rsidRPr="00BC0E7E">
          <w:delText>Humira was evaluated in over 3</w:delText>
        </w:r>
        <w:r w:rsidR="004245FF">
          <w:delText>,</w:delText>
        </w:r>
        <w:r w:rsidRPr="00BC0E7E">
          <w:delText xml:space="preserve">000 patients in all rheumatoid arthritis clinical trials. The efficacy and safety of Humira were assessed in five randomised, double-blind and well-controlled studies. Some patients were treated for up to 120 months duration. </w:delText>
        </w:r>
      </w:del>
    </w:p>
    <w:p w14:paraId="6AEF9CD6" w14:textId="77777777" w:rsidR="00BC0E7E" w:rsidRPr="00BC0E7E" w:rsidRDefault="00BC0E7E" w:rsidP="00762FA7">
      <w:pPr>
        <w:rPr>
          <w:del w:id="5456" w:author="AbbVie19" w:date="2025-04-16T10:42:00Z"/>
        </w:rPr>
      </w:pPr>
    </w:p>
    <w:p w14:paraId="0560A080" w14:textId="77777777" w:rsidR="00BC0E7E" w:rsidRPr="00BC0E7E" w:rsidRDefault="00944B8F" w:rsidP="00762FA7">
      <w:pPr>
        <w:rPr>
          <w:del w:id="5457" w:author="AbbVie19" w:date="2025-04-16T10:42:00Z"/>
        </w:rPr>
      </w:pPr>
      <w:del w:id="5458" w:author="AbbVie19" w:date="2025-04-16T10:42:00Z">
        <w:r w:rsidRPr="00BC0E7E">
          <w:delText xml:space="preserve">RA study I evaluated 271 patients with moderately to severely active rheumatoid arthritis who were </w:delText>
        </w:r>
        <w:r w:rsidRPr="00BC0E7E">
          <w:rPr>
            <w:rFonts w:ascii="Symbol" w:eastAsia="Symbol" w:hAnsi="Symbol" w:cs="Symbol"/>
            <w:szCs w:val="22"/>
          </w:rPr>
          <w:sym w:font="Symbol" w:char="F0B3"/>
        </w:r>
        <w:r w:rsidRPr="00BC0E7E">
          <w:delText xml:space="preserve"> 18 years old, had failed therapy with at least one disease-modifying, anti rheumatic drug and had insufficient efficacy with methotrexate at doses of 12.5 to 25 mg (10 mg if methotrexate-intolerant) every week and </w:delText>
        </w:r>
        <w:r w:rsidRPr="00BC0E7E">
          <w:lastRenderedPageBreak/>
          <w:delText xml:space="preserve">whose methotrexate dose remained constant at 10 to 25 mg every week. Doses of 20, 40 or 80 mg of Humira or placebo were given every other week for 24 weeks. </w:delText>
        </w:r>
      </w:del>
    </w:p>
    <w:p w14:paraId="66FA118F" w14:textId="77777777" w:rsidR="00BC0E7E" w:rsidRPr="00BC0E7E" w:rsidRDefault="00BC0E7E" w:rsidP="00762FA7">
      <w:pPr>
        <w:rPr>
          <w:del w:id="5459" w:author="AbbVie19" w:date="2025-04-16T10:42:00Z"/>
        </w:rPr>
      </w:pPr>
    </w:p>
    <w:p w14:paraId="22808A98" w14:textId="77777777" w:rsidR="00BC0E7E" w:rsidRPr="00BC0E7E" w:rsidRDefault="00944B8F" w:rsidP="00762FA7">
      <w:pPr>
        <w:rPr>
          <w:del w:id="5460" w:author="AbbVie19" w:date="2025-04-16T10:42:00Z"/>
        </w:rPr>
      </w:pPr>
      <w:del w:id="5461" w:author="AbbVie19" w:date="2025-04-16T10:42:00Z">
        <w:r w:rsidRPr="00BC0E7E">
          <w:delText xml:space="preserve">RA study II evaluated 544 patients with moderately to severely active rheumatoid arthritis who were </w:delText>
        </w:r>
        <w:r w:rsidRPr="00BC0E7E">
          <w:rPr>
            <w:rFonts w:ascii="Symbol" w:eastAsia="Symbol" w:hAnsi="Symbol" w:cs="Symbol"/>
            <w:szCs w:val="22"/>
          </w:rPr>
          <w:sym w:font="Symbol" w:char="F0B3"/>
        </w:r>
        <w:r w:rsidRPr="00BC0E7E">
          <w:delText> 18 years old and had failed therapy with at least one disease-modifying, anti-rheumatic drugs.  Doses of 20 or 40 mg of Humira were given by subcutaneous injection every other week with placebo on alternative weeks or every week for 26 weeks; placebo was given every week for the same duration.  No other disease-modifying anti-rheumatic drugs were allowed.</w:delText>
        </w:r>
      </w:del>
    </w:p>
    <w:p w14:paraId="3851B56C" w14:textId="77777777" w:rsidR="00BC0E7E" w:rsidRPr="00BC0E7E" w:rsidRDefault="00BC0E7E" w:rsidP="00762FA7">
      <w:pPr>
        <w:rPr>
          <w:del w:id="5462" w:author="AbbVie19" w:date="2025-04-16T10:42:00Z"/>
        </w:rPr>
      </w:pPr>
    </w:p>
    <w:p w14:paraId="31A9BFA9" w14:textId="77777777" w:rsidR="00BC0E7E" w:rsidRPr="00BC0E7E" w:rsidRDefault="00944B8F" w:rsidP="00762FA7">
      <w:pPr>
        <w:rPr>
          <w:del w:id="5463" w:author="AbbVie19" w:date="2025-04-16T10:42:00Z"/>
        </w:rPr>
      </w:pPr>
      <w:del w:id="5464" w:author="AbbVie19" w:date="2025-04-16T10:42:00Z">
        <w:r w:rsidRPr="00BC0E7E">
          <w:delText xml:space="preserve">RA study III evaluated 619 patients with moderately to severely active rheumatoid arthritis who were </w:delText>
        </w:r>
        <w:r w:rsidRPr="00BC0E7E">
          <w:rPr>
            <w:rFonts w:ascii="Symbol" w:eastAsia="Symbol" w:hAnsi="Symbol" w:cs="Symbol"/>
            <w:szCs w:val="22"/>
          </w:rPr>
          <w:sym w:font="Symbol" w:char="F0B3"/>
        </w:r>
        <w:r w:rsidRPr="00BC0E7E">
          <w:delText> 18 years old, and who had an ineffective response to methotrexate at doses of 12.5 to 25 mg or have been intolerant to 10 mg of methotrexate every week. There were three groups in this study.  The first received placebo injections every week for 52 weeks. The second received 20 mg of Humira every week for 52 weeks. The third group received 40 mg of Humira every other week with placebo injections on alternate weeks. Upon completion of the first 52 weeks, 457 patients enrolled in an open-label extension phase in which 40 mg of Humira/MTX was administered every other week up to 10 years.</w:delText>
        </w:r>
      </w:del>
    </w:p>
    <w:p w14:paraId="582A7E8D" w14:textId="77777777" w:rsidR="00BC0E7E" w:rsidRPr="00BC0E7E" w:rsidRDefault="00BC0E7E" w:rsidP="00762FA7">
      <w:pPr>
        <w:rPr>
          <w:del w:id="5465" w:author="AbbVie19" w:date="2025-04-16T10:42:00Z"/>
        </w:rPr>
      </w:pPr>
    </w:p>
    <w:p w14:paraId="7145BDFD" w14:textId="77777777" w:rsidR="00BC0E7E" w:rsidRPr="00BC0E7E" w:rsidRDefault="00944B8F" w:rsidP="00762FA7">
      <w:pPr>
        <w:rPr>
          <w:del w:id="5466" w:author="AbbVie19" w:date="2025-04-16T10:42:00Z"/>
        </w:rPr>
      </w:pPr>
      <w:del w:id="5467" w:author="AbbVie19" w:date="2025-04-16T10:42:00Z">
        <w:r w:rsidRPr="00BC0E7E">
          <w:delText xml:space="preserve">RA study IV primarily assessed safety in 636 patients with moderately to severely active rheumatoid arthritis who were </w:delText>
        </w:r>
        <w:r w:rsidRPr="00BC0E7E">
          <w:rPr>
            <w:rFonts w:ascii="Symbol" w:eastAsia="Symbol" w:hAnsi="Symbol" w:cs="Symbol"/>
            <w:szCs w:val="22"/>
          </w:rPr>
          <w:sym w:font="Symbol" w:char="F0B3"/>
        </w:r>
        <w:r w:rsidRPr="00BC0E7E">
          <w:delText> 18 years old. Patients were permitted to be either disease-modifying, anti</w:delText>
        </w:r>
        <w:r w:rsidRPr="00BC0E7E">
          <w:noBreakHyphen/>
          <w:delText xml:space="preserve">rheumatic drug-naïve or to remain on their pre-existing rheumatologic therapy provided that therapy was stable for a minimum of 28 days. These therapies include methotrexate, leflunomide, hydroxychloroquine, sulfasalazine and/or gold salts. Patients were randomised to 40 mg of Humira or placebo every other week for 24 weeks.  </w:delText>
        </w:r>
      </w:del>
    </w:p>
    <w:p w14:paraId="1B9679CA" w14:textId="77777777" w:rsidR="00BC0E7E" w:rsidRPr="00BC0E7E" w:rsidRDefault="00BC0E7E" w:rsidP="00762FA7">
      <w:pPr>
        <w:rPr>
          <w:del w:id="5468" w:author="AbbVie19" w:date="2025-04-16T10:42:00Z"/>
        </w:rPr>
      </w:pPr>
    </w:p>
    <w:p w14:paraId="76CAFCFE" w14:textId="77777777" w:rsidR="00BC0E7E" w:rsidRPr="00BC0E7E" w:rsidRDefault="00944B8F" w:rsidP="00762FA7">
      <w:pPr>
        <w:rPr>
          <w:del w:id="5469" w:author="AbbVie19" w:date="2025-04-16T10:42:00Z"/>
        </w:rPr>
      </w:pPr>
      <w:del w:id="5470" w:author="AbbVie19" w:date="2025-04-16T10:42:00Z">
        <w:r w:rsidRPr="00BC0E7E">
          <w:delText>RA study V evaluated 799 methotrexate-naïve, adult patients with moderate to severely active early rheumatoid arthritis (mean disease duration less than 9 months). This study evaluated the efficacy of Humira 40 mg every other week/methotrexate combination therapy, Humira 40 mg every other week monotherapy and methotrexate monotherapy in reducing the signs and symptoms and rate of progression of joint damage in rheumatoid arthritis for 104 weeks. Upon completion of the first 104 weeks, 497 patients enrolled in an open-label extension phase in which 40 mg of Humira was administered every other week up to 10 years.</w:delText>
        </w:r>
      </w:del>
    </w:p>
    <w:p w14:paraId="64588878" w14:textId="77777777" w:rsidR="00BC0E7E" w:rsidRPr="00BC0E7E" w:rsidRDefault="00BC0E7E" w:rsidP="00762FA7">
      <w:pPr>
        <w:rPr>
          <w:del w:id="5471" w:author="AbbVie19" w:date="2025-04-16T10:42:00Z"/>
        </w:rPr>
      </w:pPr>
    </w:p>
    <w:p w14:paraId="33784886" w14:textId="77777777" w:rsidR="00BC0E7E" w:rsidRPr="00BC0E7E" w:rsidRDefault="00944B8F" w:rsidP="00762FA7">
      <w:pPr>
        <w:rPr>
          <w:del w:id="5472" w:author="AbbVie19" w:date="2025-04-16T10:42:00Z"/>
        </w:rPr>
      </w:pPr>
      <w:del w:id="5473" w:author="AbbVie19" w:date="2025-04-16T10:42:00Z">
        <w:r w:rsidRPr="00BC0E7E">
          <w:delText>The primary end point in RA studies I, II and III and the secondary endpoint in RA study IV was the percent of patients who achieved an ACR 20 response at Week 24 or 26. The primary endpoint in RA study V was the percent of patients who achieved an ACR 50 response at Week 52. RA studies III and V had an additional primary endpoint at 52 weeks of retardation of disease progression (as detected by X-ray results). RA study III also had a primary endpoint of changes in quality of life.</w:delText>
        </w:r>
      </w:del>
    </w:p>
    <w:p w14:paraId="288309DC" w14:textId="77777777" w:rsidR="00BC0E7E" w:rsidRPr="00BC0E7E" w:rsidRDefault="00BC0E7E" w:rsidP="00762FA7">
      <w:pPr>
        <w:rPr>
          <w:del w:id="5474" w:author="AbbVie19" w:date="2025-04-16T10:42:00Z"/>
        </w:rPr>
      </w:pPr>
    </w:p>
    <w:p w14:paraId="461DF3D8" w14:textId="77777777" w:rsidR="00BC0E7E" w:rsidRPr="00BC0E7E" w:rsidRDefault="00944B8F" w:rsidP="00762FA7">
      <w:pPr>
        <w:rPr>
          <w:del w:id="5475" w:author="AbbVie19" w:date="2025-04-16T10:42:00Z"/>
          <w:i/>
          <w:szCs w:val="20"/>
          <w:u w:val="single"/>
        </w:rPr>
      </w:pPr>
      <w:del w:id="5476" w:author="AbbVie19" w:date="2025-04-16T10:42:00Z">
        <w:r w:rsidRPr="00BC0E7E">
          <w:rPr>
            <w:i/>
            <w:szCs w:val="20"/>
            <w:u w:val="single"/>
          </w:rPr>
          <w:delText>ACR response</w:delText>
        </w:r>
      </w:del>
    </w:p>
    <w:p w14:paraId="062084C8" w14:textId="77777777" w:rsidR="00BC0E7E" w:rsidRPr="00BC0E7E" w:rsidRDefault="00BC0E7E" w:rsidP="00762FA7">
      <w:pPr>
        <w:rPr>
          <w:del w:id="5477" w:author="AbbVie19" w:date="2025-04-16T10:42:00Z"/>
          <w:szCs w:val="20"/>
        </w:rPr>
      </w:pPr>
    </w:p>
    <w:p w14:paraId="2892A1EF" w14:textId="77777777" w:rsidR="00BC0E7E" w:rsidRPr="00BC0E7E" w:rsidRDefault="00944B8F" w:rsidP="00762FA7">
      <w:pPr>
        <w:rPr>
          <w:del w:id="5478" w:author="AbbVie19" w:date="2025-04-16T10:42:00Z"/>
        </w:rPr>
      </w:pPr>
      <w:del w:id="5479" w:author="AbbVie19" w:date="2025-04-16T10:42:00Z">
        <w:r w:rsidRPr="00BC0E7E">
          <w:delText xml:space="preserve">The percent of Humira-treated patients achieving ACR 20, 50 and 70 responses was consistent across RA studies I, II and III. The results for the 40 mg every other week dose are summarised in Table </w:delText>
        </w:r>
        <w:r w:rsidR="005F03EC">
          <w:delText>8</w:delText>
        </w:r>
        <w:r w:rsidRPr="00BC0E7E">
          <w:delText xml:space="preserve">. </w:delText>
        </w:r>
      </w:del>
    </w:p>
    <w:p w14:paraId="1C5B06EC" w14:textId="77777777" w:rsidR="00BC0E7E" w:rsidRPr="00BC0E7E" w:rsidRDefault="00BC0E7E" w:rsidP="00762FA7">
      <w:pPr>
        <w:rPr>
          <w:del w:id="5480" w:author="AbbVie19" w:date="2025-04-16T10:42:00Z"/>
        </w:rPr>
      </w:pPr>
    </w:p>
    <w:tbl>
      <w:tblPr>
        <w:tblW w:w="9124" w:type="dxa"/>
        <w:tblInd w:w="98" w:type="dxa"/>
        <w:tblLayout w:type="fixed"/>
        <w:tblCellMar>
          <w:left w:w="0" w:type="dxa"/>
          <w:right w:w="0" w:type="dxa"/>
        </w:tblCellMar>
        <w:tblLook w:val="0000" w:firstRow="0" w:lastRow="0" w:firstColumn="0" w:lastColumn="0" w:noHBand="0" w:noVBand="0"/>
      </w:tblPr>
      <w:tblGrid>
        <w:gridCol w:w="1186"/>
        <w:gridCol w:w="1134"/>
        <w:gridCol w:w="1550"/>
        <w:gridCol w:w="1285"/>
        <w:gridCol w:w="1276"/>
        <w:gridCol w:w="1276"/>
        <w:gridCol w:w="1417"/>
      </w:tblGrid>
      <w:tr w:rsidR="00C6578C" w14:paraId="17DC4F47" w14:textId="77777777" w:rsidTr="00171601">
        <w:trPr>
          <w:del w:id="5481" w:author="AbbVie19" w:date="2025-04-16T10:42:00Z"/>
        </w:trPr>
        <w:tc>
          <w:tcPr>
            <w:tcW w:w="9124" w:type="dxa"/>
            <w:gridSpan w:val="7"/>
          </w:tcPr>
          <w:p w14:paraId="6B254EF1"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5482" w:author="AbbVie19" w:date="2025-04-16T10:42:00Z"/>
                <w:b/>
                <w:szCs w:val="20"/>
              </w:rPr>
            </w:pPr>
            <w:del w:id="5483" w:author="AbbVie19" w:date="2025-04-16T10:42:00Z">
              <w:r w:rsidRPr="00BC0E7E">
                <w:rPr>
                  <w:b/>
                  <w:szCs w:val="20"/>
                </w:rPr>
                <w:lastRenderedPageBreak/>
                <w:delText xml:space="preserve">Table </w:delText>
              </w:r>
              <w:r w:rsidR="005F03EC">
                <w:rPr>
                  <w:b/>
                  <w:szCs w:val="20"/>
                </w:rPr>
                <w:delText>8</w:delText>
              </w:r>
              <w:r w:rsidRPr="00BC0E7E">
                <w:rPr>
                  <w:b/>
                  <w:szCs w:val="20"/>
                </w:rPr>
                <w:delText xml:space="preserve"> </w:delText>
              </w:r>
            </w:del>
          </w:p>
          <w:p w14:paraId="11527122"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5484" w:author="AbbVie19" w:date="2025-04-16T10:42:00Z"/>
                <w:b/>
                <w:szCs w:val="20"/>
              </w:rPr>
            </w:pPr>
            <w:del w:id="5485" w:author="AbbVie19" w:date="2025-04-16T10:42:00Z">
              <w:r w:rsidRPr="00BC0E7E">
                <w:rPr>
                  <w:b/>
                  <w:szCs w:val="20"/>
                </w:rPr>
                <w:delText>ACR Responses in Placebo-Controlled Trials</w:delText>
              </w:r>
            </w:del>
          </w:p>
          <w:p w14:paraId="22CAE950"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5486" w:author="AbbVie19" w:date="2025-04-16T10:42:00Z"/>
                <w:b/>
                <w:szCs w:val="20"/>
              </w:rPr>
            </w:pPr>
            <w:del w:id="5487" w:author="AbbVie19" w:date="2025-04-16T10:42:00Z">
              <w:r w:rsidRPr="00BC0E7E">
                <w:rPr>
                  <w:b/>
                  <w:szCs w:val="20"/>
                </w:rPr>
                <w:delText>(Percent of Patients)</w:delText>
              </w:r>
            </w:del>
          </w:p>
          <w:p w14:paraId="5D65723C" w14:textId="77777777" w:rsidR="00BC0E7E" w:rsidRPr="00BC0E7E" w:rsidRDefault="00BC0E7E" w:rsidP="00762FA7">
            <w:pPr>
              <w:keepNext/>
              <w:tabs>
                <w:tab w:val="clear" w:pos="562"/>
              </w:tabs>
              <w:suppressAutoHyphens w:val="0"/>
              <w:overflowPunct w:val="0"/>
              <w:autoSpaceDE w:val="0"/>
              <w:autoSpaceDN w:val="0"/>
              <w:adjustRightInd w:val="0"/>
              <w:jc w:val="center"/>
              <w:textAlignment w:val="baseline"/>
              <w:rPr>
                <w:del w:id="5488" w:author="AbbVie19" w:date="2025-04-16T10:42:00Z"/>
                <w:b/>
                <w:szCs w:val="20"/>
              </w:rPr>
            </w:pPr>
          </w:p>
        </w:tc>
      </w:tr>
      <w:tr w:rsidR="00C6578C" w14:paraId="776B8D37" w14:textId="77777777" w:rsidTr="00171601">
        <w:trPr>
          <w:cantSplit/>
          <w:del w:id="5489" w:author="AbbVie19" w:date="2025-04-16T10:42:00Z"/>
        </w:trPr>
        <w:tc>
          <w:tcPr>
            <w:tcW w:w="1186" w:type="dxa"/>
            <w:tcBorders>
              <w:top w:val="single" w:sz="6" w:space="0" w:color="auto"/>
              <w:right w:val="single" w:sz="6" w:space="0" w:color="auto"/>
            </w:tcBorders>
          </w:tcPr>
          <w:p w14:paraId="79DA0459" w14:textId="77777777" w:rsidR="00BC0E7E" w:rsidRPr="00BC0E7E" w:rsidRDefault="00944B8F" w:rsidP="00762FA7">
            <w:pPr>
              <w:keepNext/>
              <w:tabs>
                <w:tab w:val="clear" w:pos="562"/>
              </w:tabs>
              <w:overflowPunct w:val="0"/>
              <w:autoSpaceDE w:val="0"/>
              <w:autoSpaceDN w:val="0"/>
              <w:adjustRightInd w:val="0"/>
              <w:textAlignment w:val="baseline"/>
              <w:rPr>
                <w:del w:id="5490" w:author="AbbVie19" w:date="2025-04-16T10:42:00Z"/>
              </w:rPr>
            </w:pPr>
            <w:del w:id="5491" w:author="AbbVie19" w:date="2025-04-16T10:42:00Z">
              <w:r w:rsidRPr="00BC0E7E">
                <w:delText>Response</w:delText>
              </w:r>
            </w:del>
          </w:p>
        </w:tc>
        <w:tc>
          <w:tcPr>
            <w:tcW w:w="2684" w:type="dxa"/>
            <w:gridSpan w:val="2"/>
            <w:tcBorders>
              <w:top w:val="single" w:sz="6" w:space="0" w:color="auto"/>
              <w:left w:val="single" w:sz="6" w:space="0" w:color="auto"/>
              <w:bottom w:val="single" w:sz="6" w:space="0" w:color="auto"/>
              <w:right w:val="single" w:sz="6" w:space="0" w:color="auto"/>
            </w:tcBorders>
          </w:tcPr>
          <w:p w14:paraId="3BE5B4F5" w14:textId="77777777" w:rsidR="00BC0E7E" w:rsidRPr="00BC0E7E" w:rsidRDefault="00944B8F" w:rsidP="00762FA7">
            <w:pPr>
              <w:keepNext/>
              <w:tabs>
                <w:tab w:val="clear" w:pos="562"/>
              </w:tabs>
              <w:overflowPunct w:val="0"/>
              <w:autoSpaceDE w:val="0"/>
              <w:autoSpaceDN w:val="0"/>
              <w:adjustRightInd w:val="0"/>
              <w:jc w:val="center"/>
              <w:textAlignment w:val="baseline"/>
              <w:rPr>
                <w:del w:id="5492" w:author="AbbVie19" w:date="2025-04-16T10:42:00Z"/>
              </w:rPr>
            </w:pPr>
            <w:del w:id="5493" w:author="AbbVie19" w:date="2025-04-16T10:42:00Z">
              <w:r w:rsidRPr="00BC0E7E">
                <w:delText>RA Study I</w:delText>
              </w:r>
              <w:r w:rsidRPr="00BC0E7E">
                <w:rPr>
                  <w:vertAlign w:val="superscript"/>
                </w:rPr>
                <w:delText>a</w:delText>
              </w:r>
              <w:r w:rsidRPr="00BC0E7E">
                <w:delText>**</w:delText>
              </w:r>
            </w:del>
          </w:p>
        </w:tc>
        <w:tc>
          <w:tcPr>
            <w:tcW w:w="2561" w:type="dxa"/>
            <w:gridSpan w:val="2"/>
            <w:tcBorders>
              <w:top w:val="single" w:sz="6" w:space="0" w:color="auto"/>
              <w:left w:val="single" w:sz="6" w:space="0" w:color="auto"/>
              <w:bottom w:val="single" w:sz="6" w:space="0" w:color="auto"/>
              <w:right w:val="single" w:sz="6" w:space="0" w:color="auto"/>
            </w:tcBorders>
          </w:tcPr>
          <w:p w14:paraId="765BE0C2" w14:textId="77777777" w:rsidR="00BC0E7E" w:rsidRPr="00BC0E7E" w:rsidRDefault="00944B8F" w:rsidP="00762FA7">
            <w:pPr>
              <w:keepNext/>
              <w:tabs>
                <w:tab w:val="clear" w:pos="562"/>
              </w:tabs>
              <w:overflowPunct w:val="0"/>
              <w:autoSpaceDE w:val="0"/>
              <w:autoSpaceDN w:val="0"/>
              <w:adjustRightInd w:val="0"/>
              <w:jc w:val="center"/>
              <w:textAlignment w:val="baseline"/>
              <w:rPr>
                <w:del w:id="5494" w:author="AbbVie19" w:date="2025-04-16T10:42:00Z"/>
              </w:rPr>
            </w:pPr>
            <w:del w:id="5495" w:author="AbbVie19" w:date="2025-04-16T10:42:00Z">
              <w:r w:rsidRPr="00BC0E7E">
                <w:delText>RA Study II</w:delText>
              </w:r>
              <w:r w:rsidRPr="00BC0E7E">
                <w:rPr>
                  <w:vertAlign w:val="superscript"/>
                </w:rPr>
                <w:delText>a</w:delText>
              </w:r>
              <w:r w:rsidRPr="00BC0E7E">
                <w:delText>**</w:delText>
              </w:r>
            </w:del>
          </w:p>
        </w:tc>
        <w:tc>
          <w:tcPr>
            <w:tcW w:w="2693" w:type="dxa"/>
            <w:gridSpan w:val="2"/>
            <w:tcBorders>
              <w:top w:val="single" w:sz="6" w:space="0" w:color="auto"/>
              <w:left w:val="single" w:sz="6" w:space="0" w:color="auto"/>
              <w:bottom w:val="single" w:sz="6" w:space="0" w:color="auto"/>
            </w:tcBorders>
          </w:tcPr>
          <w:p w14:paraId="3DCA76CD" w14:textId="77777777" w:rsidR="00BC0E7E" w:rsidRPr="00BC0E7E" w:rsidRDefault="00944B8F" w:rsidP="00762FA7">
            <w:pPr>
              <w:keepNext/>
              <w:tabs>
                <w:tab w:val="clear" w:pos="562"/>
              </w:tabs>
              <w:overflowPunct w:val="0"/>
              <w:autoSpaceDE w:val="0"/>
              <w:autoSpaceDN w:val="0"/>
              <w:adjustRightInd w:val="0"/>
              <w:jc w:val="center"/>
              <w:textAlignment w:val="baseline"/>
              <w:rPr>
                <w:del w:id="5496" w:author="AbbVie19" w:date="2025-04-16T10:42:00Z"/>
              </w:rPr>
            </w:pPr>
            <w:del w:id="5497" w:author="AbbVie19" w:date="2025-04-16T10:42:00Z">
              <w:r w:rsidRPr="00BC0E7E">
                <w:delText>RA Study III</w:delText>
              </w:r>
              <w:r w:rsidRPr="00BC0E7E">
                <w:rPr>
                  <w:vertAlign w:val="superscript"/>
                </w:rPr>
                <w:delText>a</w:delText>
              </w:r>
              <w:r w:rsidRPr="00BC0E7E">
                <w:delText>**</w:delText>
              </w:r>
            </w:del>
          </w:p>
          <w:p w14:paraId="1B3C67EC" w14:textId="77777777" w:rsidR="00BC0E7E" w:rsidRPr="00BC0E7E" w:rsidRDefault="00BC0E7E" w:rsidP="00762FA7">
            <w:pPr>
              <w:keepNext/>
              <w:tabs>
                <w:tab w:val="clear" w:pos="562"/>
              </w:tabs>
              <w:overflowPunct w:val="0"/>
              <w:autoSpaceDE w:val="0"/>
              <w:autoSpaceDN w:val="0"/>
              <w:adjustRightInd w:val="0"/>
              <w:jc w:val="center"/>
              <w:textAlignment w:val="baseline"/>
              <w:rPr>
                <w:del w:id="5498" w:author="AbbVie19" w:date="2025-04-16T10:42:00Z"/>
              </w:rPr>
            </w:pPr>
          </w:p>
        </w:tc>
      </w:tr>
      <w:tr w:rsidR="00C6578C" w14:paraId="2D0B7B70" w14:textId="77777777" w:rsidTr="00171601">
        <w:trPr>
          <w:cantSplit/>
          <w:del w:id="5499" w:author="AbbVie19" w:date="2025-04-16T10:42:00Z"/>
        </w:trPr>
        <w:tc>
          <w:tcPr>
            <w:tcW w:w="1186" w:type="dxa"/>
            <w:tcBorders>
              <w:bottom w:val="single" w:sz="6" w:space="0" w:color="auto"/>
              <w:right w:val="single" w:sz="6" w:space="0" w:color="auto"/>
            </w:tcBorders>
          </w:tcPr>
          <w:p w14:paraId="741577EE" w14:textId="77777777" w:rsidR="00BC0E7E" w:rsidRPr="00BC0E7E" w:rsidRDefault="00BC0E7E" w:rsidP="00762FA7">
            <w:pPr>
              <w:keepNext/>
              <w:tabs>
                <w:tab w:val="clear" w:pos="562"/>
              </w:tabs>
              <w:overflowPunct w:val="0"/>
              <w:autoSpaceDE w:val="0"/>
              <w:autoSpaceDN w:val="0"/>
              <w:adjustRightInd w:val="0"/>
              <w:textAlignment w:val="baseline"/>
              <w:rPr>
                <w:del w:id="5500" w:author="AbbVie19" w:date="2025-04-16T10:42:00Z"/>
              </w:rPr>
            </w:pPr>
          </w:p>
        </w:tc>
        <w:tc>
          <w:tcPr>
            <w:tcW w:w="1134" w:type="dxa"/>
            <w:tcBorders>
              <w:top w:val="single" w:sz="6" w:space="0" w:color="auto"/>
              <w:left w:val="single" w:sz="6" w:space="0" w:color="auto"/>
              <w:bottom w:val="single" w:sz="6" w:space="0" w:color="auto"/>
            </w:tcBorders>
          </w:tcPr>
          <w:p w14:paraId="76A6D686" w14:textId="77777777" w:rsidR="00BC0E7E" w:rsidRPr="00BC0E7E" w:rsidRDefault="00944B8F" w:rsidP="00762FA7">
            <w:pPr>
              <w:keepNext/>
              <w:tabs>
                <w:tab w:val="clear" w:pos="562"/>
              </w:tabs>
              <w:overflowPunct w:val="0"/>
              <w:autoSpaceDE w:val="0"/>
              <w:autoSpaceDN w:val="0"/>
              <w:adjustRightInd w:val="0"/>
              <w:jc w:val="center"/>
              <w:textAlignment w:val="baseline"/>
              <w:rPr>
                <w:del w:id="5501" w:author="AbbVie19" w:date="2025-04-16T10:42:00Z"/>
              </w:rPr>
            </w:pPr>
            <w:del w:id="5502" w:author="AbbVie19" w:date="2025-04-16T10:42:00Z">
              <w:r w:rsidRPr="00BC0E7E">
                <w:delText>Placebo/ MTX</w:delText>
              </w:r>
              <w:r w:rsidRPr="00BC0E7E">
                <w:rPr>
                  <w:vertAlign w:val="superscript"/>
                </w:rPr>
                <w:delText>c</w:delText>
              </w:r>
            </w:del>
          </w:p>
          <w:p w14:paraId="7980D6A0" w14:textId="77777777" w:rsidR="00BC0E7E" w:rsidRPr="00BC0E7E" w:rsidRDefault="00944B8F" w:rsidP="00762FA7">
            <w:pPr>
              <w:keepNext/>
              <w:tabs>
                <w:tab w:val="clear" w:pos="562"/>
              </w:tabs>
              <w:overflowPunct w:val="0"/>
              <w:autoSpaceDE w:val="0"/>
              <w:autoSpaceDN w:val="0"/>
              <w:adjustRightInd w:val="0"/>
              <w:jc w:val="center"/>
              <w:textAlignment w:val="baseline"/>
              <w:rPr>
                <w:del w:id="5503" w:author="AbbVie19" w:date="2025-04-16T10:42:00Z"/>
              </w:rPr>
            </w:pPr>
            <w:del w:id="5504" w:author="AbbVie19" w:date="2025-04-16T10:42:00Z">
              <w:r w:rsidRPr="00BC0E7E">
                <w:delText>n=60</w:delText>
              </w:r>
            </w:del>
          </w:p>
        </w:tc>
        <w:tc>
          <w:tcPr>
            <w:tcW w:w="1550" w:type="dxa"/>
            <w:tcBorders>
              <w:top w:val="single" w:sz="6" w:space="0" w:color="auto"/>
              <w:bottom w:val="single" w:sz="6" w:space="0" w:color="auto"/>
              <w:right w:val="single" w:sz="6" w:space="0" w:color="auto"/>
            </w:tcBorders>
          </w:tcPr>
          <w:p w14:paraId="5EB6B361" w14:textId="77777777" w:rsidR="00BC0E7E" w:rsidRPr="00BC0E7E" w:rsidRDefault="00944B8F" w:rsidP="00762FA7">
            <w:pPr>
              <w:keepNext/>
              <w:tabs>
                <w:tab w:val="clear" w:pos="562"/>
              </w:tabs>
              <w:overflowPunct w:val="0"/>
              <w:autoSpaceDE w:val="0"/>
              <w:autoSpaceDN w:val="0"/>
              <w:adjustRightInd w:val="0"/>
              <w:jc w:val="center"/>
              <w:textAlignment w:val="baseline"/>
              <w:rPr>
                <w:del w:id="5505" w:author="AbbVie19" w:date="2025-04-16T10:42:00Z"/>
              </w:rPr>
            </w:pPr>
            <w:del w:id="5506" w:author="AbbVie19" w:date="2025-04-16T10:42:00Z">
              <w:r w:rsidRPr="00BC0E7E">
                <w:delText>Humira</w:delText>
              </w:r>
              <w:r w:rsidRPr="00BC0E7E">
                <w:rPr>
                  <w:vertAlign w:val="superscript"/>
                </w:rPr>
                <w:delText>b</w:delText>
              </w:r>
              <w:r w:rsidRPr="00BC0E7E">
                <w:delText>/ MTX</w:delText>
              </w:r>
              <w:r w:rsidRPr="00BC0E7E">
                <w:rPr>
                  <w:vertAlign w:val="superscript"/>
                </w:rPr>
                <w:delText>c</w:delText>
              </w:r>
            </w:del>
          </w:p>
          <w:p w14:paraId="220C88CD" w14:textId="77777777" w:rsidR="00BC0E7E" w:rsidRPr="00762FA7" w:rsidRDefault="00944B8F" w:rsidP="00762FA7">
            <w:pPr>
              <w:keepNext/>
              <w:tabs>
                <w:tab w:val="clear" w:pos="562"/>
              </w:tabs>
              <w:overflowPunct w:val="0"/>
              <w:autoSpaceDE w:val="0"/>
              <w:autoSpaceDN w:val="0"/>
              <w:adjustRightInd w:val="0"/>
              <w:jc w:val="center"/>
              <w:textAlignment w:val="baseline"/>
              <w:rPr>
                <w:del w:id="5507" w:author="AbbVie19" w:date="2025-04-16T10:42:00Z"/>
                <w:lang w:val="fr-FR"/>
              </w:rPr>
            </w:pPr>
            <w:del w:id="5508" w:author="AbbVie19" w:date="2025-04-16T10:42:00Z">
              <w:r w:rsidRPr="00762FA7">
                <w:rPr>
                  <w:lang w:val="fr-FR"/>
                </w:rPr>
                <w:delText>n=63</w:delText>
              </w:r>
            </w:del>
          </w:p>
        </w:tc>
        <w:tc>
          <w:tcPr>
            <w:tcW w:w="1285" w:type="dxa"/>
            <w:tcBorders>
              <w:top w:val="single" w:sz="6" w:space="0" w:color="auto"/>
              <w:left w:val="single" w:sz="6" w:space="0" w:color="auto"/>
              <w:bottom w:val="single" w:sz="6" w:space="0" w:color="auto"/>
            </w:tcBorders>
          </w:tcPr>
          <w:p w14:paraId="55E8DDEA" w14:textId="77777777" w:rsidR="00BC0E7E" w:rsidRPr="00762FA7" w:rsidRDefault="00944B8F" w:rsidP="00762FA7">
            <w:pPr>
              <w:keepNext/>
              <w:tabs>
                <w:tab w:val="clear" w:pos="562"/>
              </w:tabs>
              <w:overflowPunct w:val="0"/>
              <w:autoSpaceDE w:val="0"/>
              <w:autoSpaceDN w:val="0"/>
              <w:adjustRightInd w:val="0"/>
              <w:jc w:val="center"/>
              <w:textAlignment w:val="baseline"/>
              <w:rPr>
                <w:del w:id="5509" w:author="AbbVie19" w:date="2025-04-16T10:42:00Z"/>
                <w:lang w:val="fr-FR"/>
              </w:rPr>
            </w:pPr>
            <w:del w:id="5510" w:author="AbbVie19" w:date="2025-04-16T10:42:00Z">
              <w:r w:rsidRPr="00762FA7">
                <w:rPr>
                  <w:lang w:val="fr-FR"/>
                </w:rPr>
                <w:delText>Placebo</w:delText>
              </w:r>
            </w:del>
          </w:p>
          <w:p w14:paraId="619631BF" w14:textId="77777777" w:rsidR="00BC0E7E" w:rsidRPr="00762FA7" w:rsidRDefault="00944B8F" w:rsidP="00762FA7">
            <w:pPr>
              <w:keepNext/>
              <w:tabs>
                <w:tab w:val="clear" w:pos="562"/>
              </w:tabs>
              <w:overflowPunct w:val="0"/>
              <w:autoSpaceDE w:val="0"/>
              <w:autoSpaceDN w:val="0"/>
              <w:adjustRightInd w:val="0"/>
              <w:jc w:val="center"/>
              <w:textAlignment w:val="baseline"/>
              <w:rPr>
                <w:del w:id="5511" w:author="AbbVie19" w:date="2025-04-16T10:42:00Z"/>
                <w:lang w:val="fr-FR"/>
              </w:rPr>
            </w:pPr>
            <w:del w:id="5512" w:author="AbbVie19" w:date="2025-04-16T10:42:00Z">
              <w:r w:rsidRPr="00762FA7">
                <w:rPr>
                  <w:lang w:val="fr-FR"/>
                </w:rPr>
                <w:delText>n=110</w:delText>
              </w:r>
            </w:del>
          </w:p>
        </w:tc>
        <w:tc>
          <w:tcPr>
            <w:tcW w:w="1276" w:type="dxa"/>
            <w:tcBorders>
              <w:top w:val="single" w:sz="6" w:space="0" w:color="auto"/>
              <w:bottom w:val="single" w:sz="6" w:space="0" w:color="auto"/>
              <w:right w:val="single" w:sz="6" w:space="0" w:color="auto"/>
            </w:tcBorders>
          </w:tcPr>
          <w:p w14:paraId="59FF6120" w14:textId="77777777" w:rsidR="00BC0E7E" w:rsidRPr="00762FA7" w:rsidRDefault="00944B8F" w:rsidP="00762FA7">
            <w:pPr>
              <w:keepNext/>
              <w:tabs>
                <w:tab w:val="clear" w:pos="562"/>
              </w:tabs>
              <w:overflowPunct w:val="0"/>
              <w:autoSpaceDE w:val="0"/>
              <w:autoSpaceDN w:val="0"/>
              <w:adjustRightInd w:val="0"/>
              <w:jc w:val="center"/>
              <w:textAlignment w:val="baseline"/>
              <w:rPr>
                <w:del w:id="5513" w:author="AbbVie19" w:date="2025-04-16T10:42:00Z"/>
                <w:lang w:val="fr-FR"/>
              </w:rPr>
            </w:pPr>
            <w:del w:id="5514" w:author="AbbVie19" w:date="2025-04-16T10:42:00Z">
              <w:r w:rsidRPr="00762FA7">
                <w:rPr>
                  <w:lang w:val="fr-FR"/>
                </w:rPr>
                <w:delText>Humira</w:delText>
              </w:r>
              <w:r w:rsidRPr="00762FA7">
                <w:rPr>
                  <w:vertAlign w:val="superscript"/>
                  <w:lang w:val="fr-FR"/>
                </w:rPr>
                <w:delText>b</w:delText>
              </w:r>
            </w:del>
          </w:p>
          <w:p w14:paraId="353DE251" w14:textId="77777777" w:rsidR="00BC0E7E" w:rsidRPr="00762FA7" w:rsidRDefault="00944B8F" w:rsidP="00762FA7">
            <w:pPr>
              <w:keepNext/>
              <w:tabs>
                <w:tab w:val="clear" w:pos="562"/>
              </w:tabs>
              <w:overflowPunct w:val="0"/>
              <w:autoSpaceDE w:val="0"/>
              <w:autoSpaceDN w:val="0"/>
              <w:adjustRightInd w:val="0"/>
              <w:jc w:val="center"/>
              <w:textAlignment w:val="baseline"/>
              <w:rPr>
                <w:del w:id="5515" w:author="AbbVie19" w:date="2025-04-16T10:42:00Z"/>
                <w:lang w:val="fr-FR"/>
              </w:rPr>
            </w:pPr>
            <w:del w:id="5516" w:author="AbbVie19" w:date="2025-04-16T10:42:00Z">
              <w:r w:rsidRPr="00762FA7">
                <w:rPr>
                  <w:lang w:val="fr-FR"/>
                </w:rPr>
                <w:delText>n=113</w:delText>
              </w:r>
            </w:del>
          </w:p>
        </w:tc>
        <w:tc>
          <w:tcPr>
            <w:tcW w:w="1276" w:type="dxa"/>
            <w:tcBorders>
              <w:top w:val="single" w:sz="6" w:space="0" w:color="auto"/>
              <w:left w:val="single" w:sz="6" w:space="0" w:color="auto"/>
              <w:bottom w:val="single" w:sz="6" w:space="0" w:color="auto"/>
            </w:tcBorders>
          </w:tcPr>
          <w:p w14:paraId="2220012A" w14:textId="77777777" w:rsidR="00BC0E7E" w:rsidRPr="00762FA7" w:rsidRDefault="00944B8F" w:rsidP="00762FA7">
            <w:pPr>
              <w:keepNext/>
              <w:tabs>
                <w:tab w:val="clear" w:pos="562"/>
              </w:tabs>
              <w:overflowPunct w:val="0"/>
              <w:autoSpaceDE w:val="0"/>
              <w:autoSpaceDN w:val="0"/>
              <w:adjustRightInd w:val="0"/>
              <w:jc w:val="center"/>
              <w:textAlignment w:val="baseline"/>
              <w:rPr>
                <w:del w:id="5517" w:author="AbbVie19" w:date="2025-04-16T10:42:00Z"/>
                <w:lang w:val="fr-FR"/>
              </w:rPr>
            </w:pPr>
            <w:del w:id="5518" w:author="AbbVie19" w:date="2025-04-16T10:42:00Z">
              <w:r w:rsidRPr="00762FA7">
                <w:rPr>
                  <w:lang w:val="fr-FR"/>
                </w:rPr>
                <w:delText>Placebo/ MTX</w:delText>
              </w:r>
              <w:r w:rsidRPr="00762FA7">
                <w:rPr>
                  <w:vertAlign w:val="superscript"/>
                  <w:lang w:val="fr-FR"/>
                </w:rPr>
                <w:delText>c</w:delText>
              </w:r>
            </w:del>
          </w:p>
          <w:p w14:paraId="40D96387" w14:textId="77777777" w:rsidR="00BC0E7E" w:rsidRPr="00762FA7" w:rsidRDefault="00944B8F" w:rsidP="00762FA7">
            <w:pPr>
              <w:keepNext/>
              <w:tabs>
                <w:tab w:val="clear" w:pos="562"/>
              </w:tabs>
              <w:overflowPunct w:val="0"/>
              <w:autoSpaceDE w:val="0"/>
              <w:autoSpaceDN w:val="0"/>
              <w:adjustRightInd w:val="0"/>
              <w:jc w:val="center"/>
              <w:textAlignment w:val="baseline"/>
              <w:rPr>
                <w:del w:id="5519" w:author="AbbVie19" w:date="2025-04-16T10:42:00Z"/>
                <w:lang w:val="fr-FR"/>
              </w:rPr>
            </w:pPr>
            <w:del w:id="5520" w:author="AbbVie19" w:date="2025-04-16T10:42:00Z">
              <w:r w:rsidRPr="00762FA7">
                <w:rPr>
                  <w:lang w:val="fr-FR"/>
                </w:rPr>
                <w:delText>n=200</w:delText>
              </w:r>
            </w:del>
          </w:p>
        </w:tc>
        <w:tc>
          <w:tcPr>
            <w:tcW w:w="1417" w:type="dxa"/>
            <w:tcBorders>
              <w:top w:val="single" w:sz="6" w:space="0" w:color="auto"/>
              <w:bottom w:val="single" w:sz="6" w:space="0" w:color="auto"/>
            </w:tcBorders>
          </w:tcPr>
          <w:p w14:paraId="6ECBFF84" w14:textId="77777777" w:rsidR="00BC0E7E" w:rsidRPr="00762FA7" w:rsidRDefault="00944B8F" w:rsidP="00762FA7">
            <w:pPr>
              <w:keepNext/>
              <w:tabs>
                <w:tab w:val="clear" w:pos="562"/>
              </w:tabs>
              <w:overflowPunct w:val="0"/>
              <w:autoSpaceDE w:val="0"/>
              <w:autoSpaceDN w:val="0"/>
              <w:adjustRightInd w:val="0"/>
              <w:jc w:val="center"/>
              <w:textAlignment w:val="baseline"/>
              <w:rPr>
                <w:del w:id="5521" w:author="AbbVie19" w:date="2025-04-16T10:42:00Z"/>
                <w:lang w:val="fr-FR"/>
              </w:rPr>
            </w:pPr>
            <w:del w:id="5522" w:author="AbbVie19" w:date="2025-04-16T10:42:00Z">
              <w:r w:rsidRPr="00762FA7">
                <w:rPr>
                  <w:lang w:val="fr-FR"/>
                </w:rPr>
                <w:delText>Humira</w:delText>
              </w:r>
              <w:r w:rsidRPr="00762FA7">
                <w:rPr>
                  <w:vertAlign w:val="superscript"/>
                  <w:lang w:val="fr-FR"/>
                </w:rPr>
                <w:delText>b</w:delText>
              </w:r>
              <w:r w:rsidRPr="00762FA7">
                <w:rPr>
                  <w:lang w:val="fr-FR"/>
                </w:rPr>
                <w:delText>/ MTX</w:delText>
              </w:r>
              <w:r w:rsidRPr="00762FA7">
                <w:rPr>
                  <w:vertAlign w:val="superscript"/>
                  <w:lang w:val="fr-FR"/>
                </w:rPr>
                <w:delText>c</w:delText>
              </w:r>
            </w:del>
          </w:p>
          <w:p w14:paraId="2316641D" w14:textId="77777777" w:rsidR="00BC0E7E" w:rsidRPr="00BC0E7E" w:rsidRDefault="00944B8F" w:rsidP="00762FA7">
            <w:pPr>
              <w:keepNext/>
              <w:tabs>
                <w:tab w:val="clear" w:pos="562"/>
              </w:tabs>
              <w:overflowPunct w:val="0"/>
              <w:autoSpaceDE w:val="0"/>
              <w:autoSpaceDN w:val="0"/>
              <w:adjustRightInd w:val="0"/>
              <w:jc w:val="center"/>
              <w:textAlignment w:val="baseline"/>
              <w:rPr>
                <w:del w:id="5523" w:author="AbbVie19" w:date="2025-04-16T10:42:00Z"/>
              </w:rPr>
            </w:pPr>
            <w:del w:id="5524" w:author="AbbVie19" w:date="2025-04-16T10:42:00Z">
              <w:r w:rsidRPr="00BC0E7E">
                <w:delText>n=207</w:delText>
              </w:r>
            </w:del>
          </w:p>
        </w:tc>
      </w:tr>
      <w:tr w:rsidR="00C6578C" w14:paraId="7B54C6EC" w14:textId="77777777" w:rsidTr="00171601">
        <w:trPr>
          <w:cantSplit/>
          <w:del w:id="5525" w:author="AbbVie19" w:date="2025-04-16T10:42:00Z"/>
        </w:trPr>
        <w:tc>
          <w:tcPr>
            <w:tcW w:w="1186" w:type="dxa"/>
            <w:tcBorders>
              <w:right w:val="single" w:sz="6" w:space="0" w:color="auto"/>
            </w:tcBorders>
          </w:tcPr>
          <w:p w14:paraId="2C8B356E" w14:textId="77777777" w:rsidR="00BC0E7E" w:rsidRPr="00BC0E7E" w:rsidRDefault="00944B8F" w:rsidP="00762FA7">
            <w:pPr>
              <w:keepNext/>
              <w:tabs>
                <w:tab w:val="clear" w:pos="562"/>
                <w:tab w:val="left" w:pos="144"/>
              </w:tabs>
              <w:overflowPunct w:val="0"/>
              <w:autoSpaceDE w:val="0"/>
              <w:autoSpaceDN w:val="0"/>
              <w:adjustRightInd w:val="0"/>
              <w:textAlignment w:val="baseline"/>
              <w:rPr>
                <w:del w:id="5526" w:author="AbbVie19" w:date="2025-04-16T10:42:00Z"/>
              </w:rPr>
            </w:pPr>
            <w:del w:id="5527" w:author="AbbVie19" w:date="2025-04-16T10:42:00Z">
              <w:r w:rsidRPr="00BC0E7E">
                <w:delText>ACR 20</w:delText>
              </w:r>
            </w:del>
          </w:p>
        </w:tc>
        <w:tc>
          <w:tcPr>
            <w:tcW w:w="1134" w:type="dxa"/>
            <w:tcBorders>
              <w:left w:val="single" w:sz="6" w:space="0" w:color="auto"/>
            </w:tcBorders>
          </w:tcPr>
          <w:p w14:paraId="738D8A36" w14:textId="77777777" w:rsidR="00BC0E7E" w:rsidRPr="00BC0E7E" w:rsidRDefault="00BC0E7E" w:rsidP="00762FA7">
            <w:pPr>
              <w:keepNext/>
              <w:tabs>
                <w:tab w:val="clear" w:pos="562"/>
              </w:tabs>
              <w:overflowPunct w:val="0"/>
              <w:autoSpaceDE w:val="0"/>
              <w:autoSpaceDN w:val="0"/>
              <w:adjustRightInd w:val="0"/>
              <w:textAlignment w:val="baseline"/>
              <w:rPr>
                <w:del w:id="5528" w:author="AbbVie19" w:date="2025-04-16T10:42:00Z"/>
              </w:rPr>
            </w:pPr>
          </w:p>
        </w:tc>
        <w:tc>
          <w:tcPr>
            <w:tcW w:w="1550" w:type="dxa"/>
            <w:tcBorders>
              <w:right w:val="single" w:sz="6" w:space="0" w:color="auto"/>
            </w:tcBorders>
          </w:tcPr>
          <w:p w14:paraId="17FC1DE0" w14:textId="77777777" w:rsidR="00BC0E7E" w:rsidRPr="00BC0E7E" w:rsidRDefault="00BC0E7E" w:rsidP="00762FA7">
            <w:pPr>
              <w:keepNext/>
              <w:tabs>
                <w:tab w:val="clear" w:pos="562"/>
              </w:tabs>
              <w:overflowPunct w:val="0"/>
              <w:autoSpaceDE w:val="0"/>
              <w:autoSpaceDN w:val="0"/>
              <w:adjustRightInd w:val="0"/>
              <w:textAlignment w:val="baseline"/>
              <w:rPr>
                <w:del w:id="5529" w:author="AbbVie19" w:date="2025-04-16T10:42:00Z"/>
              </w:rPr>
            </w:pPr>
          </w:p>
        </w:tc>
        <w:tc>
          <w:tcPr>
            <w:tcW w:w="1285" w:type="dxa"/>
            <w:tcBorders>
              <w:left w:val="single" w:sz="6" w:space="0" w:color="auto"/>
            </w:tcBorders>
          </w:tcPr>
          <w:p w14:paraId="3E12CF5A" w14:textId="77777777" w:rsidR="00BC0E7E" w:rsidRPr="00BC0E7E" w:rsidRDefault="00BC0E7E" w:rsidP="00762FA7">
            <w:pPr>
              <w:keepNext/>
              <w:tabs>
                <w:tab w:val="clear" w:pos="562"/>
              </w:tabs>
              <w:overflowPunct w:val="0"/>
              <w:autoSpaceDE w:val="0"/>
              <w:autoSpaceDN w:val="0"/>
              <w:adjustRightInd w:val="0"/>
              <w:textAlignment w:val="baseline"/>
              <w:rPr>
                <w:del w:id="5530" w:author="AbbVie19" w:date="2025-04-16T10:42:00Z"/>
              </w:rPr>
            </w:pPr>
          </w:p>
        </w:tc>
        <w:tc>
          <w:tcPr>
            <w:tcW w:w="1276" w:type="dxa"/>
            <w:tcBorders>
              <w:right w:val="single" w:sz="6" w:space="0" w:color="auto"/>
            </w:tcBorders>
          </w:tcPr>
          <w:p w14:paraId="72A97347" w14:textId="77777777" w:rsidR="00BC0E7E" w:rsidRPr="00BC0E7E" w:rsidRDefault="00BC0E7E" w:rsidP="00762FA7">
            <w:pPr>
              <w:keepNext/>
              <w:tabs>
                <w:tab w:val="clear" w:pos="562"/>
              </w:tabs>
              <w:overflowPunct w:val="0"/>
              <w:autoSpaceDE w:val="0"/>
              <w:autoSpaceDN w:val="0"/>
              <w:adjustRightInd w:val="0"/>
              <w:textAlignment w:val="baseline"/>
              <w:rPr>
                <w:del w:id="5531" w:author="AbbVie19" w:date="2025-04-16T10:42:00Z"/>
              </w:rPr>
            </w:pPr>
          </w:p>
        </w:tc>
        <w:tc>
          <w:tcPr>
            <w:tcW w:w="1276" w:type="dxa"/>
            <w:tcBorders>
              <w:top w:val="single" w:sz="6" w:space="0" w:color="auto"/>
              <w:left w:val="single" w:sz="6" w:space="0" w:color="auto"/>
            </w:tcBorders>
          </w:tcPr>
          <w:p w14:paraId="69B864D9" w14:textId="77777777" w:rsidR="00BC0E7E" w:rsidRPr="00BC0E7E" w:rsidRDefault="00BC0E7E" w:rsidP="00762FA7">
            <w:pPr>
              <w:keepNext/>
              <w:tabs>
                <w:tab w:val="clear" w:pos="562"/>
              </w:tabs>
              <w:overflowPunct w:val="0"/>
              <w:autoSpaceDE w:val="0"/>
              <w:autoSpaceDN w:val="0"/>
              <w:adjustRightInd w:val="0"/>
              <w:textAlignment w:val="baseline"/>
              <w:rPr>
                <w:del w:id="5532" w:author="AbbVie19" w:date="2025-04-16T10:42:00Z"/>
              </w:rPr>
            </w:pPr>
          </w:p>
        </w:tc>
        <w:tc>
          <w:tcPr>
            <w:tcW w:w="1417" w:type="dxa"/>
            <w:tcBorders>
              <w:top w:val="single" w:sz="6" w:space="0" w:color="auto"/>
            </w:tcBorders>
          </w:tcPr>
          <w:p w14:paraId="6201D4FD" w14:textId="77777777" w:rsidR="00BC0E7E" w:rsidRPr="00BC0E7E" w:rsidRDefault="00BC0E7E" w:rsidP="00762FA7">
            <w:pPr>
              <w:keepNext/>
              <w:tabs>
                <w:tab w:val="clear" w:pos="562"/>
              </w:tabs>
              <w:overflowPunct w:val="0"/>
              <w:autoSpaceDE w:val="0"/>
              <w:autoSpaceDN w:val="0"/>
              <w:adjustRightInd w:val="0"/>
              <w:textAlignment w:val="baseline"/>
              <w:rPr>
                <w:del w:id="5533" w:author="AbbVie19" w:date="2025-04-16T10:42:00Z"/>
              </w:rPr>
            </w:pPr>
          </w:p>
        </w:tc>
      </w:tr>
      <w:tr w:rsidR="00C6578C" w14:paraId="76BC27DD" w14:textId="77777777" w:rsidTr="00171601">
        <w:trPr>
          <w:cantSplit/>
          <w:del w:id="5534" w:author="AbbVie19" w:date="2025-04-16T10:42:00Z"/>
        </w:trPr>
        <w:tc>
          <w:tcPr>
            <w:tcW w:w="1186" w:type="dxa"/>
            <w:tcBorders>
              <w:right w:val="single" w:sz="6" w:space="0" w:color="auto"/>
            </w:tcBorders>
          </w:tcPr>
          <w:p w14:paraId="7E6043D7" w14:textId="77777777" w:rsidR="00BC0E7E" w:rsidRPr="00BC0E7E" w:rsidRDefault="00944B8F" w:rsidP="00762FA7">
            <w:pPr>
              <w:keepNext/>
              <w:tabs>
                <w:tab w:val="clear" w:pos="562"/>
                <w:tab w:val="left" w:pos="144"/>
              </w:tabs>
              <w:overflowPunct w:val="0"/>
              <w:autoSpaceDE w:val="0"/>
              <w:autoSpaceDN w:val="0"/>
              <w:adjustRightInd w:val="0"/>
              <w:textAlignment w:val="baseline"/>
              <w:rPr>
                <w:del w:id="5535" w:author="AbbVie19" w:date="2025-04-16T10:42:00Z"/>
              </w:rPr>
            </w:pPr>
            <w:del w:id="5536" w:author="AbbVie19" w:date="2025-04-16T10:42:00Z">
              <w:r w:rsidRPr="00BC0E7E">
                <w:tab/>
                <w:delText>6</w:delText>
              </w:r>
              <w:r w:rsidRPr="00BC0E7E">
                <w:rPr>
                  <w:rFonts w:ascii="Arial" w:hAnsi="Arial"/>
                  <w:sz w:val="16"/>
                </w:rPr>
                <w:delText> </w:delText>
              </w:r>
              <w:r w:rsidRPr="00BC0E7E">
                <w:delText>months</w:delText>
              </w:r>
            </w:del>
          </w:p>
        </w:tc>
        <w:tc>
          <w:tcPr>
            <w:tcW w:w="1134" w:type="dxa"/>
            <w:tcBorders>
              <w:left w:val="single" w:sz="6" w:space="0" w:color="auto"/>
            </w:tcBorders>
          </w:tcPr>
          <w:p w14:paraId="4E1795E7" w14:textId="77777777" w:rsidR="00BC0E7E" w:rsidRPr="00BC0E7E" w:rsidRDefault="00944B8F" w:rsidP="00762FA7">
            <w:pPr>
              <w:keepNext/>
              <w:tabs>
                <w:tab w:val="clear" w:pos="562"/>
              </w:tabs>
              <w:overflowPunct w:val="0"/>
              <w:autoSpaceDE w:val="0"/>
              <w:autoSpaceDN w:val="0"/>
              <w:adjustRightInd w:val="0"/>
              <w:jc w:val="center"/>
              <w:textAlignment w:val="baseline"/>
              <w:rPr>
                <w:del w:id="5537" w:author="AbbVie19" w:date="2025-04-16T10:42:00Z"/>
              </w:rPr>
            </w:pPr>
            <w:del w:id="5538" w:author="AbbVie19" w:date="2025-04-16T10:42:00Z">
              <w:r w:rsidRPr="00BC0E7E">
                <w:delText>13.3%</w:delText>
              </w:r>
            </w:del>
          </w:p>
        </w:tc>
        <w:tc>
          <w:tcPr>
            <w:tcW w:w="1550" w:type="dxa"/>
            <w:tcBorders>
              <w:right w:val="single" w:sz="6" w:space="0" w:color="auto"/>
            </w:tcBorders>
          </w:tcPr>
          <w:p w14:paraId="79DE9010" w14:textId="77777777" w:rsidR="00BC0E7E" w:rsidRPr="00BC0E7E" w:rsidRDefault="00944B8F" w:rsidP="00762FA7">
            <w:pPr>
              <w:keepNext/>
              <w:tabs>
                <w:tab w:val="clear" w:pos="562"/>
              </w:tabs>
              <w:overflowPunct w:val="0"/>
              <w:autoSpaceDE w:val="0"/>
              <w:autoSpaceDN w:val="0"/>
              <w:adjustRightInd w:val="0"/>
              <w:jc w:val="center"/>
              <w:textAlignment w:val="baseline"/>
              <w:rPr>
                <w:del w:id="5539" w:author="AbbVie19" w:date="2025-04-16T10:42:00Z"/>
              </w:rPr>
            </w:pPr>
            <w:del w:id="5540" w:author="AbbVie19" w:date="2025-04-16T10:42:00Z">
              <w:r w:rsidRPr="00BC0E7E">
                <w:delText>65.1%</w:delText>
              </w:r>
            </w:del>
          </w:p>
        </w:tc>
        <w:tc>
          <w:tcPr>
            <w:tcW w:w="1285" w:type="dxa"/>
            <w:tcBorders>
              <w:left w:val="single" w:sz="6" w:space="0" w:color="auto"/>
            </w:tcBorders>
          </w:tcPr>
          <w:p w14:paraId="6A49AB26" w14:textId="77777777" w:rsidR="00BC0E7E" w:rsidRPr="00BC0E7E" w:rsidRDefault="00944B8F" w:rsidP="00762FA7">
            <w:pPr>
              <w:keepNext/>
              <w:tabs>
                <w:tab w:val="clear" w:pos="562"/>
              </w:tabs>
              <w:overflowPunct w:val="0"/>
              <w:autoSpaceDE w:val="0"/>
              <w:autoSpaceDN w:val="0"/>
              <w:adjustRightInd w:val="0"/>
              <w:jc w:val="center"/>
              <w:textAlignment w:val="baseline"/>
              <w:rPr>
                <w:del w:id="5541" w:author="AbbVie19" w:date="2025-04-16T10:42:00Z"/>
              </w:rPr>
            </w:pPr>
            <w:del w:id="5542" w:author="AbbVie19" w:date="2025-04-16T10:42:00Z">
              <w:r w:rsidRPr="00BC0E7E">
                <w:delText>19.1%</w:delText>
              </w:r>
            </w:del>
          </w:p>
        </w:tc>
        <w:tc>
          <w:tcPr>
            <w:tcW w:w="1276" w:type="dxa"/>
            <w:tcBorders>
              <w:right w:val="single" w:sz="6" w:space="0" w:color="auto"/>
            </w:tcBorders>
          </w:tcPr>
          <w:p w14:paraId="2737BC07" w14:textId="77777777" w:rsidR="00BC0E7E" w:rsidRPr="00BC0E7E" w:rsidRDefault="00944B8F" w:rsidP="00762FA7">
            <w:pPr>
              <w:keepNext/>
              <w:tabs>
                <w:tab w:val="clear" w:pos="562"/>
              </w:tabs>
              <w:overflowPunct w:val="0"/>
              <w:autoSpaceDE w:val="0"/>
              <w:autoSpaceDN w:val="0"/>
              <w:adjustRightInd w:val="0"/>
              <w:jc w:val="center"/>
              <w:textAlignment w:val="baseline"/>
              <w:rPr>
                <w:del w:id="5543" w:author="AbbVie19" w:date="2025-04-16T10:42:00Z"/>
              </w:rPr>
            </w:pPr>
            <w:del w:id="5544" w:author="AbbVie19" w:date="2025-04-16T10:42:00Z">
              <w:r w:rsidRPr="00BC0E7E">
                <w:delText>46.0%</w:delText>
              </w:r>
            </w:del>
          </w:p>
        </w:tc>
        <w:tc>
          <w:tcPr>
            <w:tcW w:w="1276" w:type="dxa"/>
            <w:tcBorders>
              <w:left w:val="single" w:sz="6" w:space="0" w:color="auto"/>
            </w:tcBorders>
          </w:tcPr>
          <w:p w14:paraId="20352F9D" w14:textId="77777777" w:rsidR="00BC0E7E" w:rsidRPr="00BC0E7E" w:rsidRDefault="00944B8F" w:rsidP="00762FA7">
            <w:pPr>
              <w:keepNext/>
              <w:tabs>
                <w:tab w:val="clear" w:pos="562"/>
                <w:tab w:val="decimal" w:pos="567"/>
              </w:tabs>
              <w:overflowPunct w:val="0"/>
              <w:autoSpaceDE w:val="0"/>
              <w:autoSpaceDN w:val="0"/>
              <w:adjustRightInd w:val="0"/>
              <w:textAlignment w:val="baseline"/>
              <w:rPr>
                <w:del w:id="5545" w:author="AbbVie19" w:date="2025-04-16T10:42:00Z"/>
              </w:rPr>
            </w:pPr>
            <w:del w:id="5546" w:author="AbbVie19" w:date="2025-04-16T10:42:00Z">
              <w:r w:rsidRPr="00BC0E7E">
                <w:delText>29.5%</w:delText>
              </w:r>
            </w:del>
          </w:p>
        </w:tc>
        <w:tc>
          <w:tcPr>
            <w:tcW w:w="1417" w:type="dxa"/>
          </w:tcPr>
          <w:p w14:paraId="3370500F" w14:textId="77777777" w:rsidR="00BC0E7E" w:rsidRPr="00BC0E7E" w:rsidRDefault="00944B8F" w:rsidP="00762FA7">
            <w:pPr>
              <w:keepNext/>
              <w:tabs>
                <w:tab w:val="clear" w:pos="562"/>
                <w:tab w:val="decimal" w:pos="662"/>
              </w:tabs>
              <w:overflowPunct w:val="0"/>
              <w:autoSpaceDE w:val="0"/>
              <w:autoSpaceDN w:val="0"/>
              <w:adjustRightInd w:val="0"/>
              <w:textAlignment w:val="baseline"/>
              <w:rPr>
                <w:del w:id="5547" w:author="AbbVie19" w:date="2025-04-16T10:42:00Z"/>
              </w:rPr>
            </w:pPr>
            <w:del w:id="5548" w:author="AbbVie19" w:date="2025-04-16T10:42:00Z">
              <w:r w:rsidRPr="00BC0E7E">
                <w:delText>63.3%</w:delText>
              </w:r>
            </w:del>
          </w:p>
        </w:tc>
      </w:tr>
      <w:tr w:rsidR="00C6578C" w14:paraId="5A23BDE7" w14:textId="77777777" w:rsidTr="00171601">
        <w:trPr>
          <w:cantSplit/>
          <w:del w:id="5549" w:author="AbbVie19" w:date="2025-04-16T10:42:00Z"/>
        </w:trPr>
        <w:tc>
          <w:tcPr>
            <w:tcW w:w="1186" w:type="dxa"/>
            <w:tcBorders>
              <w:right w:val="single" w:sz="6" w:space="0" w:color="auto"/>
            </w:tcBorders>
          </w:tcPr>
          <w:p w14:paraId="2B523003" w14:textId="77777777" w:rsidR="00BC0E7E" w:rsidRPr="00BC0E7E" w:rsidRDefault="00944B8F" w:rsidP="00762FA7">
            <w:pPr>
              <w:keepNext/>
              <w:tabs>
                <w:tab w:val="clear" w:pos="562"/>
                <w:tab w:val="left" w:pos="144"/>
              </w:tabs>
              <w:overflowPunct w:val="0"/>
              <w:autoSpaceDE w:val="0"/>
              <w:autoSpaceDN w:val="0"/>
              <w:adjustRightInd w:val="0"/>
              <w:textAlignment w:val="baseline"/>
              <w:rPr>
                <w:del w:id="5550" w:author="AbbVie19" w:date="2025-04-16T10:42:00Z"/>
              </w:rPr>
            </w:pPr>
            <w:del w:id="5551" w:author="AbbVie19" w:date="2025-04-16T10:42:00Z">
              <w:r w:rsidRPr="00BC0E7E">
                <w:tab/>
                <w:delText>12</w:delText>
              </w:r>
              <w:r w:rsidRPr="00BC0E7E">
                <w:rPr>
                  <w:rFonts w:ascii="Arial" w:hAnsi="Arial"/>
                  <w:sz w:val="16"/>
                </w:rPr>
                <w:delText> </w:delText>
              </w:r>
              <w:r w:rsidRPr="00BC0E7E">
                <w:delText>months</w:delText>
              </w:r>
            </w:del>
          </w:p>
        </w:tc>
        <w:tc>
          <w:tcPr>
            <w:tcW w:w="1134" w:type="dxa"/>
            <w:tcBorders>
              <w:left w:val="single" w:sz="6" w:space="0" w:color="auto"/>
            </w:tcBorders>
          </w:tcPr>
          <w:p w14:paraId="0B08BE22" w14:textId="77777777" w:rsidR="00BC0E7E" w:rsidRPr="00BC0E7E" w:rsidRDefault="00944B8F" w:rsidP="00762FA7">
            <w:pPr>
              <w:keepNext/>
              <w:tabs>
                <w:tab w:val="clear" w:pos="562"/>
              </w:tabs>
              <w:overflowPunct w:val="0"/>
              <w:autoSpaceDE w:val="0"/>
              <w:autoSpaceDN w:val="0"/>
              <w:adjustRightInd w:val="0"/>
              <w:jc w:val="center"/>
              <w:textAlignment w:val="baseline"/>
              <w:rPr>
                <w:del w:id="5552" w:author="AbbVie19" w:date="2025-04-16T10:42:00Z"/>
              </w:rPr>
            </w:pPr>
            <w:del w:id="5553" w:author="AbbVie19" w:date="2025-04-16T10:42:00Z">
              <w:r w:rsidRPr="00BC0E7E">
                <w:delText>NA</w:delText>
              </w:r>
            </w:del>
          </w:p>
        </w:tc>
        <w:tc>
          <w:tcPr>
            <w:tcW w:w="1550" w:type="dxa"/>
            <w:tcBorders>
              <w:right w:val="single" w:sz="6" w:space="0" w:color="auto"/>
            </w:tcBorders>
          </w:tcPr>
          <w:p w14:paraId="6972C610" w14:textId="77777777" w:rsidR="00BC0E7E" w:rsidRPr="00BC0E7E" w:rsidRDefault="00944B8F" w:rsidP="00762FA7">
            <w:pPr>
              <w:keepNext/>
              <w:tabs>
                <w:tab w:val="clear" w:pos="562"/>
              </w:tabs>
              <w:overflowPunct w:val="0"/>
              <w:autoSpaceDE w:val="0"/>
              <w:autoSpaceDN w:val="0"/>
              <w:adjustRightInd w:val="0"/>
              <w:jc w:val="center"/>
              <w:textAlignment w:val="baseline"/>
              <w:rPr>
                <w:del w:id="5554" w:author="AbbVie19" w:date="2025-04-16T10:42:00Z"/>
              </w:rPr>
            </w:pPr>
            <w:del w:id="5555" w:author="AbbVie19" w:date="2025-04-16T10:42:00Z">
              <w:r w:rsidRPr="00BC0E7E">
                <w:delText>NA</w:delText>
              </w:r>
            </w:del>
          </w:p>
        </w:tc>
        <w:tc>
          <w:tcPr>
            <w:tcW w:w="1285" w:type="dxa"/>
            <w:tcBorders>
              <w:left w:val="single" w:sz="6" w:space="0" w:color="auto"/>
            </w:tcBorders>
          </w:tcPr>
          <w:p w14:paraId="732537FD" w14:textId="77777777" w:rsidR="00BC0E7E" w:rsidRPr="00BC0E7E" w:rsidRDefault="00944B8F" w:rsidP="00762FA7">
            <w:pPr>
              <w:keepNext/>
              <w:tabs>
                <w:tab w:val="clear" w:pos="562"/>
                <w:tab w:val="decimal" w:pos="151"/>
              </w:tabs>
              <w:overflowPunct w:val="0"/>
              <w:autoSpaceDE w:val="0"/>
              <w:autoSpaceDN w:val="0"/>
              <w:adjustRightInd w:val="0"/>
              <w:jc w:val="center"/>
              <w:textAlignment w:val="baseline"/>
              <w:rPr>
                <w:del w:id="5556" w:author="AbbVie19" w:date="2025-04-16T10:42:00Z"/>
                <w:lang w:val="it-IT"/>
              </w:rPr>
            </w:pPr>
            <w:del w:id="5557" w:author="AbbVie19" w:date="2025-04-16T10:42:00Z">
              <w:r w:rsidRPr="00BC0E7E">
                <w:rPr>
                  <w:lang w:val="it-IT"/>
                </w:rPr>
                <w:delText>NA</w:delText>
              </w:r>
            </w:del>
          </w:p>
        </w:tc>
        <w:tc>
          <w:tcPr>
            <w:tcW w:w="1276" w:type="dxa"/>
            <w:tcBorders>
              <w:right w:val="single" w:sz="6" w:space="0" w:color="auto"/>
            </w:tcBorders>
          </w:tcPr>
          <w:p w14:paraId="75E1DF7D" w14:textId="77777777" w:rsidR="00BC0E7E" w:rsidRPr="00BC0E7E" w:rsidRDefault="00944B8F" w:rsidP="00762FA7">
            <w:pPr>
              <w:keepNext/>
              <w:tabs>
                <w:tab w:val="clear" w:pos="562"/>
              </w:tabs>
              <w:overflowPunct w:val="0"/>
              <w:autoSpaceDE w:val="0"/>
              <w:autoSpaceDN w:val="0"/>
              <w:adjustRightInd w:val="0"/>
              <w:jc w:val="center"/>
              <w:textAlignment w:val="baseline"/>
              <w:rPr>
                <w:del w:id="5558" w:author="AbbVie19" w:date="2025-04-16T10:42:00Z"/>
                <w:lang w:val="it-IT"/>
              </w:rPr>
            </w:pPr>
            <w:del w:id="5559" w:author="AbbVie19" w:date="2025-04-16T10:42:00Z">
              <w:r w:rsidRPr="00BC0E7E">
                <w:rPr>
                  <w:lang w:val="it-IT"/>
                </w:rPr>
                <w:delText>NA</w:delText>
              </w:r>
            </w:del>
          </w:p>
        </w:tc>
        <w:tc>
          <w:tcPr>
            <w:tcW w:w="1276" w:type="dxa"/>
            <w:tcBorders>
              <w:left w:val="single" w:sz="6" w:space="0" w:color="auto"/>
            </w:tcBorders>
          </w:tcPr>
          <w:p w14:paraId="7547C4E7" w14:textId="77777777" w:rsidR="00BC0E7E" w:rsidRPr="00BC0E7E" w:rsidRDefault="00944B8F" w:rsidP="00762FA7">
            <w:pPr>
              <w:keepNext/>
              <w:tabs>
                <w:tab w:val="clear" w:pos="562"/>
                <w:tab w:val="decimal" w:pos="567"/>
              </w:tabs>
              <w:overflowPunct w:val="0"/>
              <w:autoSpaceDE w:val="0"/>
              <w:autoSpaceDN w:val="0"/>
              <w:adjustRightInd w:val="0"/>
              <w:textAlignment w:val="baseline"/>
              <w:rPr>
                <w:del w:id="5560" w:author="AbbVie19" w:date="2025-04-16T10:42:00Z"/>
                <w:lang w:val="it-IT"/>
              </w:rPr>
            </w:pPr>
            <w:del w:id="5561" w:author="AbbVie19" w:date="2025-04-16T10:42:00Z">
              <w:r w:rsidRPr="00BC0E7E">
                <w:rPr>
                  <w:lang w:val="it-IT"/>
                </w:rPr>
                <w:delText>24.0%</w:delText>
              </w:r>
            </w:del>
          </w:p>
        </w:tc>
        <w:tc>
          <w:tcPr>
            <w:tcW w:w="1417" w:type="dxa"/>
          </w:tcPr>
          <w:p w14:paraId="5D59D3EB" w14:textId="77777777" w:rsidR="00BC0E7E" w:rsidRPr="00BC0E7E" w:rsidRDefault="00944B8F" w:rsidP="00762FA7">
            <w:pPr>
              <w:keepNext/>
              <w:tabs>
                <w:tab w:val="clear" w:pos="562"/>
                <w:tab w:val="decimal" w:pos="662"/>
              </w:tabs>
              <w:overflowPunct w:val="0"/>
              <w:autoSpaceDE w:val="0"/>
              <w:autoSpaceDN w:val="0"/>
              <w:adjustRightInd w:val="0"/>
              <w:textAlignment w:val="baseline"/>
              <w:rPr>
                <w:del w:id="5562" w:author="AbbVie19" w:date="2025-04-16T10:42:00Z"/>
                <w:lang w:val="it-IT"/>
              </w:rPr>
            </w:pPr>
            <w:del w:id="5563" w:author="AbbVie19" w:date="2025-04-16T10:42:00Z">
              <w:r w:rsidRPr="00BC0E7E">
                <w:rPr>
                  <w:lang w:val="it-IT"/>
                </w:rPr>
                <w:delText>58.9%</w:delText>
              </w:r>
            </w:del>
          </w:p>
        </w:tc>
      </w:tr>
      <w:tr w:rsidR="00C6578C" w14:paraId="124C46E5" w14:textId="77777777" w:rsidTr="00171601">
        <w:trPr>
          <w:cantSplit/>
          <w:del w:id="5564" w:author="AbbVie19" w:date="2025-04-16T10:42:00Z"/>
        </w:trPr>
        <w:tc>
          <w:tcPr>
            <w:tcW w:w="1186" w:type="dxa"/>
            <w:tcBorders>
              <w:right w:val="single" w:sz="6" w:space="0" w:color="auto"/>
            </w:tcBorders>
          </w:tcPr>
          <w:p w14:paraId="28393776" w14:textId="77777777" w:rsidR="00BC0E7E" w:rsidRPr="00BC0E7E" w:rsidRDefault="00944B8F" w:rsidP="00762FA7">
            <w:pPr>
              <w:keepNext/>
              <w:tabs>
                <w:tab w:val="clear" w:pos="562"/>
                <w:tab w:val="left" w:pos="144"/>
              </w:tabs>
              <w:overflowPunct w:val="0"/>
              <w:autoSpaceDE w:val="0"/>
              <w:autoSpaceDN w:val="0"/>
              <w:adjustRightInd w:val="0"/>
              <w:textAlignment w:val="baseline"/>
              <w:rPr>
                <w:del w:id="5565" w:author="AbbVie19" w:date="2025-04-16T10:42:00Z"/>
                <w:lang w:val="it-IT"/>
              </w:rPr>
            </w:pPr>
            <w:del w:id="5566" w:author="AbbVie19" w:date="2025-04-16T10:42:00Z">
              <w:r w:rsidRPr="00BC0E7E">
                <w:rPr>
                  <w:lang w:val="it-IT"/>
                </w:rPr>
                <w:delText>ACR 50</w:delText>
              </w:r>
            </w:del>
          </w:p>
        </w:tc>
        <w:tc>
          <w:tcPr>
            <w:tcW w:w="1134" w:type="dxa"/>
            <w:tcBorders>
              <w:left w:val="single" w:sz="6" w:space="0" w:color="auto"/>
            </w:tcBorders>
          </w:tcPr>
          <w:p w14:paraId="36117CF7" w14:textId="77777777" w:rsidR="00BC0E7E" w:rsidRPr="00BC0E7E" w:rsidRDefault="00BC0E7E" w:rsidP="00762FA7">
            <w:pPr>
              <w:keepNext/>
              <w:tabs>
                <w:tab w:val="clear" w:pos="562"/>
              </w:tabs>
              <w:overflowPunct w:val="0"/>
              <w:autoSpaceDE w:val="0"/>
              <w:autoSpaceDN w:val="0"/>
              <w:adjustRightInd w:val="0"/>
              <w:jc w:val="center"/>
              <w:textAlignment w:val="baseline"/>
              <w:rPr>
                <w:del w:id="5567" w:author="AbbVie19" w:date="2025-04-16T10:42:00Z"/>
                <w:lang w:val="it-IT"/>
              </w:rPr>
            </w:pPr>
          </w:p>
        </w:tc>
        <w:tc>
          <w:tcPr>
            <w:tcW w:w="1550" w:type="dxa"/>
            <w:tcBorders>
              <w:right w:val="single" w:sz="6" w:space="0" w:color="auto"/>
            </w:tcBorders>
          </w:tcPr>
          <w:p w14:paraId="57F3D410" w14:textId="77777777" w:rsidR="00BC0E7E" w:rsidRPr="00BC0E7E" w:rsidRDefault="00BC0E7E" w:rsidP="00762FA7">
            <w:pPr>
              <w:keepNext/>
              <w:tabs>
                <w:tab w:val="clear" w:pos="562"/>
              </w:tabs>
              <w:overflowPunct w:val="0"/>
              <w:autoSpaceDE w:val="0"/>
              <w:autoSpaceDN w:val="0"/>
              <w:adjustRightInd w:val="0"/>
              <w:jc w:val="center"/>
              <w:textAlignment w:val="baseline"/>
              <w:rPr>
                <w:del w:id="5568" w:author="AbbVie19" w:date="2025-04-16T10:42:00Z"/>
                <w:lang w:val="it-IT"/>
              </w:rPr>
            </w:pPr>
          </w:p>
        </w:tc>
        <w:tc>
          <w:tcPr>
            <w:tcW w:w="1285" w:type="dxa"/>
            <w:tcBorders>
              <w:left w:val="single" w:sz="6" w:space="0" w:color="auto"/>
            </w:tcBorders>
          </w:tcPr>
          <w:p w14:paraId="401B5CD4" w14:textId="77777777" w:rsidR="00BC0E7E" w:rsidRPr="00BC0E7E" w:rsidRDefault="00BC0E7E" w:rsidP="00762FA7">
            <w:pPr>
              <w:keepNext/>
              <w:tabs>
                <w:tab w:val="clear" w:pos="562"/>
                <w:tab w:val="decimal" w:pos="151"/>
              </w:tabs>
              <w:overflowPunct w:val="0"/>
              <w:autoSpaceDE w:val="0"/>
              <w:autoSpaceDN w:val="0"/>
              <w:adjustRightInd w:val="0"/>
              <w:jc w:val="center"/>
              <w:textAlignment w:val="baseline"/>
              <w:rPr>
                <w:del w:id="5569" w:author="AbbVie19" w:date="2025-04-16T10:42:00Z"/>
                <w:lang w:val="it-IT"/>
              </w:rPr>
            </w:pPr>
          </w:p>
        </w:tc>
        <w:tc>
          <w:tcPr>
            <w:tcW w:w="1276" w:type="dxa"/>
            <w:tcBorders>
              <w:right w:val="single" w:sz="6" w:space="0" w:color="auto"/>
            </w:tcBorders>
          </w:tcPr>
          <w:p w14:paraId="74C503E2" w14:textId="77777777" w:rsidR="00BC0E7E" w:rsidRPr="00BC0E7E" w:rsidRDefault="00BC0E7E" w:rsidP="00762FA7">
            <w:pPr>
              <w:keepNext/>
              <w:tabs>
                <w:tab w:val="clear" w:pos="562"/>
              </w:tabs>
              <w:overflowPunct w:val="0"/>
              <w:autoSpaceDE w:val="0"/>
              <w:autoSpaceDN w:val="0"/>
              <w:adjustRightInd w:val="0"/>
              <w:jc w:val="center"/>
              <w:textAlignment w:val="baseline"/>
              <w:rPr>
                <w:del w:id="5570" w:author="AbbVie19" w:date="2025-04-16T10:42:00Z"/>
                <w:lang w:val="it-IT"/>
              </w:rPr>
            </w:pPr>
          </w:p>
        </w:tc>
        <w:tc>
          <w:tcPr>
            <w:tcW w:w="1276" w:type="dxa"/>
            <w:tcBorders>
              <w:left w:val="single" w:sz="6" w:space="0" w:color="auto"/>
            </w:tcBorders>
          </w:tcPr>
          <w:p w14:paraId="4532F142" w14:textId="77777777" w:rsidR="00BC0E7E" w:rsidRPr="00BC0E7E" w:rsidRDefault="00BC0E7E" w:rsidP="00762FA7">
            <w:pPr>
              <w:keepNext/>
              <w:tabs>
                <w:tab w:val="clear" w:pos="562"/>
                <w:tab w:val="decimal" w:pos="567"/>
              </w:tabs>
              <w:overflowPunct w:val="0"/>
              <w:autoSpaceDE w:val="0"/>
              <w:autoSpaceDN w:val="0"/>
              <w:adjustRightInd w:val="0"/>
              <w:textAlignment w:val="baseline"/>
              <w:rPr>
                <w:del w:id="5571" w:author="AbbVie19" w:date="2025-04-16T10:42:00Z"/>
                <w:lang w:val="it-IT"/>
              </w:rPr>
            </w:pPr>
          </w:p>
        </w:tc>
        <w:tc>
          <w:tcPr>
            <w:tcW w:w="1417" w:type="dxa"/>
          </w:tcPr>
          <w:p w14:paraId="4E5E4A11" w14:textId="77777777" w:rsidR="00BC0E7E" w:rsidRPr="00BC0E7E" w:rsidRDefault="00BC0E7E" w:rsidP="00762FA7">
            <w:pPr>
              <w:keepNext/>
              <w:tabs>
                <w:tab w:val="clear" w:pos="562"/>
                <w:tab w:val="decimal" w:pos="662"/>
              </w:tabs>
              <w:overflowPunct w:val="0"/>
              <w:autoSpaceDE w:val="0"/>
              <w:autoSpaceDN w:val="0"/>
              <w:adjustRightInd w:val="0"/>
              <w:textAlignment w:val="baseline"/>
              <w:rPr>
                <w:del w:id="5572" w:author="AbbVie19" w:date="2025-04-16T10:42:00Z"/>
                <w:lang w:val="it-IT"/>
              </w:rPr>
            </w:pPr>
          </w:p>
        </w:tc>
      </w:tr>
      <w:tr w:rsidR="00C6578C" w14:paraId="64B9F7F8" w14:textId="77777777" w:rsidTr="00171601">
        <w:trPr>
          <w:cantSplit/>
          <w:del w:id="5573" w:author="AbbVie19" w:date="2025-04-16T10:42:00Z"/>
        </w:trPr>
        <w:tc>
          <w:tcPr>
            <w:tcW w:w="1186" w:type="dxa"/>
            <w:tcBorders>
              <w:right w:val="single" w:sz="6" w:space="0" w:color="auto"/>
            </w:tcBorders>
          </w:tcPr>
          <w:p w14:paraId="13487511" w14:textId="77777777" w:rsidR="00BC0E7E" w:rsidRPr="00BC0E7E" w:rsidRDefault="00944B8F" w:rsidP="00762FA7">
            <w:pPr>
              <w:keepNext/>
              <w:tabs>
                <w:tab w:val="clear" w:pos="562"/>
                <w:tab w:val="left" w:pos="144"/>
              </w:tabs>
              <w:overflowPunct w:val="0"/>
              <w:autoSpaceDE w:val="0"/>
              <w:autoSpaceDN w:val="0"/>
              <w:adjustRightInd w:val="0"/>
              <w:textAlignment w:val="baseline"/>
              <w:rPr>
                <w:del w:id="5574" w:author="AbbVie19" w:date="2025-04-16T10:42:00Z"/>
              </w:rPr>
            </w:pPr>
            <w:del w:id="5575" w:author="AbbVie19" w:date="2025-04-16T10:42:00Z">
              <w:r w:rsidRPr="00BC0E7E">
                <w:rPr>
                  <w:lang w:val="it-IT"/>
                </w:rPr>
                <w:tab/>
              </w:r>
              <w:r w:rsidRPr="00BC0E7E">
                <w:delText>6</w:delText>
              </w:r>
              <w:r w:rsidRPr="00BC0E7E">
                <w:rPr>
                  <w:rFonts w:ascii="Arial" w:hAnsi="Arial"/>
                  <w:sz w:val="16"/>
                </w:rPr>
                <w:delText> </w:delText>
              </w:r>
              <w:r w:rsidRPr="00BC0E7E">
                <w:delText>months</w:delText>
              </w:r>
            </w:del>
          </w:p>
        </w:tc>
        <w:tc>
          <w:tcPr>
            <w:tcW w:w="1134" w:type="dxa"/>
            <w:tcBorders>
              <w:left w:val="single" w:sz="6" w:space="0" w:color="auto"/>
            </w:tcBorders>
          </w:tcPr>
          <w:p w14:paraId="5DBFD7A7" w14:textId="77777777" w:rsidR="00BC0E7E" w:rsidRPr="00BC0E7E" w:rsidRDefault="00944B8F" w:rsidP="00762FA7">
            <w:pPr>
              <w:keepNext/>
              <w:tabs>
                <w:tab w:val="clear" w:pos="562"/>
                <w:tab w:val="decimal" w:pos="117"/>
              </w:tabs>
              <w:overflowPunct w:val="0"/>
              <w:autoSpaceDE w:val="0"/>
              <w:autoSpaceDN w:val="0"/>
              <w:adjustRightInd w:val="0"/>
              <w:jc w:val="center"/>
              <w:textAlignment w:val="baseline"/>
              <w:rPr>
                <w:del w:id="5576" w:author="AbbVie19" w:date="2025-04-16T10:42:00Z"/>
              </w:rPr>
            </w:pPr>
            <w:del w:id="5577" w:author="AbbVie19" w:date="2025-04-16T10:42:00Z">
              <w:r w:rsidRPr="00BC0E7E">
                <w:delText>6.7%</w:delText>
              </w:r>
            </w:del>
          </w:p>
        </w:tc>
        <w:tc>
          <w:tcPr>
            <w:tcW w:w="1550" w:type="dxa"/>
            <w:tcBorders>
              <w:right w:val="single" w:sz="6" w:space="0" w:color="auto"/>
            </w:tcBorders>
          </w:tcPr>
          <w:p w14:paraId="23C110A4" w14:textId="77777777" w:rsidR="00BC0E7E" w:rsidRPr="00BC0E7E" w:rsidRDefault="00944B8F" w:rsidP="00762FA7">
            <w:pPr>
              <w:keepNext/>
              <w:tabs>
                <w:tab w:val="clear" w:pos="562"/>
              </w:tabs>
              <w:overflowPunct w:val="0"/>
              <w:autoSpaceDE w:val="0"/>
              <w:autoSpaceDN w:val="0"/>
              <w:adjustRightInd w:val="0"/>
              <w:jc w:val="center"/>
              <w:textAlignment w:val="baseline"/>
              <w:rPr>
                <w:del w:id="5578" w:author="AbbVie19" w:date="2025-04-16T10:42:00Z"/>
              </w:rPr>
            </w:pPr>
            <w:del w:id="5579" w:author="AbbVie19" w:date="2025-04-16T10:42:00Z">
              <w:r w:rsidRPr="00BC0E7E">
                <w:delText>52.4%</w:delText>
              </w:r>
            </w:del>
          </w:p>
        </w:tc>
        <w:tc>
          <w:tcPr>
            <w:tcW w:w="1285" w:type="dxa"/>
            <w:tcBorders>
              <w:left w:val="single" w:sz="6" w:space="0" w:color="auto"/>
            </w:tcBorders>
          </w:tcPr>
          <w:p w14:paraId="40A8176E" w14:textId="77777777" w:rsidR="00BC0E7E" w:rsidRPr="00BC0E7E" w:rsidRDefault="00944B8F" w:rsidP="00762FA7">
            <w:pPr>
              <w:keepNext/>
              <w:tabs>
                <w:tab w:val="clear" w:pos="562"/>
                <w:tab w:val="decimal" w:pos="151"/>
              </w:tabs>
              <w:overflowPunct w:val="0"/>
              <w:autoSpaceDE w:val="0"/>
              <w:autoSpaceDN w:val="0"/>
              <w:adjustRightInd w:val="0"/>
              <w:jc w:val="center"/>
              <w:textAlignment w:val="baseline"/>
              <w:rPr>
                <w:del w:id="5580" w:author="AbbVie19" w:date="2025-04-16T10:42:00Z"/>
              </w:rPr>
            </w:pPr>
            <w:del w:id="5581" w:author="AbbVie19" w:date="2025-04-16T10:42:00Z">
              <w:r w:rsidRPr="00BC0E7E">
                <w:delText>8.2%</w:delText>
              </w:r>
            </w:del>
          </w:p>
        </w:tc>
        <w:tc>
          <w:tcPr>
            <w:tcW w:w="1276" w:type="dxa"/>
            <w:tcBorders>
              <w:right w:val="single" w:sz="6" w:space="0" w:color="auto"/>
            </w:tcBorders>
          </w:tcPr>
          <w:p w14:paraId="0B97A51D" w14:textId="77777777" w:rsidR="00BC0E7E" w:rsidRPr="00BC0E7E" w:rsidRDefault="00944B8F" w:rsidP="00762FA7">
            <w:pPr>
              <w:keepNext/>
              <w:tabs>
                <w:tab w:val="clear" w:pos="562"/>
              </w:tabs>
              <w:overflowPunct w:val="0"/>
              <w:autoSpaceDE w:val="0"/>
              <w:autoSpaceDN w:val="0"/>
              <w:adjustRightInd w:val="0"/>
              <w:jc w:val="center"/>
              <w:textAlignment w:val="baseline"/>
              <w:rPr>
                <w:del w:id="5582" w:author="AbbVie19" w:date="2025-04-16T10:42:00Z"/>
              </w:rPr>
            </w:pPr>
            <w:del w:id="5583" w:author="AbbVie19" w:date="2025-04-16T10:42:00Z">
              <w:r w:rsidRPr="00BC0E7E">
                <w:delText>22.1%</w:delText>
              </w:r>
            </w:del>
          </w:p>
        </w:tc>
        <w:tc>
          <w:tcPr>
            <w:tcW w:w="1276" w:type="dxa"/>
            <w:tcBorders>
              <w:left w:val="single" w:sz="6" w:space="0" w:color="auto"/>
            </w:tcBorders>
          </w:tcPr>
          <w:p w14:paraId="53A60E52" w14:textId="77777777" w:rsidR="00BC0E7E" w:rsidRPr="00BC0E7E" w:rsidRDefault="00944B8F" w:rsidP="00762FA7">
            <w:pPr>
              <w:keepNext/>
              <w:tabs>
                <w:tab w:val="clear" w:pos="562"/>
                <w:tab w:val="decimal" w:pos="567"/>
              </w:tabs>
              <w:overflowPunct w:val="0"/>
              <w:autoSpaceDE w:val="0"/>
              <w:autoSpaceDN w:val="0"/>
              <w:adjustRightInd w:val="0"/>
              <w:textAlignment w:val="baseline"/>
              <w:rPr>
                <w:del w:id="5584" w:author="AbbVie19" w:date="2025-04-16T10:42:00Z"/>
              </w:rPr>
            </w:pPr>
            <w:del w:id="5585" w:author="AbbVie19" w:date="2025-04-16T10:42:00Z">
              <w:r w:rsidRPr="00BC0E7E">
                <w:delText>9.5%</w:delText>
              </w:r>
            </w:del>
          </w:p>
        </w:tc>
        <w:tc>
          <w:tcPr>
            <w:tcW w:w="1417" w:type="dxa"/>
          </w:tcPr>
          <w:p w14:paraId="24802FE4" w14:textId="77777777" w:rsidR="00BC0E7E" w:rsidRPr="00BC0E7E" w:rsidRDefault="00944B8F" w:rsidP="00762FA7">
            <w:pPr>
              <w:keepNext/>
              <w:tabs>
                <w:tab w:val="clear" w:pos="562"/>
                <w:tab w:val="decimal" w:pos="662"/>
              </w:tabs>
              <w:overflowPunct w:val="0"/>
              <w:autoSpaceDE w:val="0"/>
              <w:autoSpaceDN w:val="0"/>
              <w:adjustRightInd w:val="0"/>
              <w:textAlignment w:val="baseline"/>
              <w:rPr>
                <w:del w:id="5586" w:author="AbbVie19" w:date="2025-04-16T10:42:00Z"/>
              </w:rPr>
            </w:pPr>
            <w:del w:id="5587" w:author="AbbVie19" w:date="2025-04-16T10:42:00Z">
              <w:r w:rsidRPr="00BC0E7E">
                <w:delText>39.1%</w:delText>
              </w:r>
            </w:del>
          </w:p>
        </w:tc>
      </w:tr>
      <w:tr w:rsidR="00C6578C" w14:paraId="78FF3A7C" w14:textId="77777777" w:rsidTr="00171601">
        <w:trPr>
          <w:cantSplit/>
          <w:del w:id="5588" w:author="AbbVie19" w:date="2025-04-16T10:42:00Z"/>
        </w:trPr>
        <w:tc>
          <w:tcPr>
            <w:tcW w:w="1186" w:type="dxa"/>
            <w:tcBorders>
              <w:right w:val="single" w:sz="6" w:space="0" w:color="auto"/>
            </w:tcBorders>
          </w:tcPr>
          <w:p w14:paraId="4D6AE37F" w14:textId="77777777" w:rsidR="00BC0E7E" w:rsidRPr="00BC0E7E" w:rsidRDefault="00944B8F" w:rsidP="00762FA7">
            <w:pPr>
              <w:keepNext/>
              <w:tabs>
                <w:tab w:val="clear" w:pos="562"/>
                <w:tab w:val="left" w:pos="144"/>
              </w:tabs>
              <w:overflowPunct w:val="0"/>
              <w:autoSpaceDE w:val="0"/>
              <w:autoSpaceDN w:val="0"/>
              <w:adjustRightInd w:val="0"/>
              <w:textAlignment w:val="baseline"/>
              <w:rPr>
                <w:del w:id="5589" w:author="AbbVie19" w:date="2025-04-16T10:42:00Z"/>
              </w:rPr>
            </w:pPr>
            <w:del w:id="5590" w:author="AbbVie19" w:date="2025-04-16T10:42:00Z">
              <w:r w:rsidRPr="00BC0E7E">
                <w:tab/>
                <w:delText>12</w:delText>
              </w:r>
              <w:r w:rsidRPr="00BC0E7E">
                <w:rPr>
                  <w:rFonts w:ascii="Arial" w:hAnsi="Arial"/>
                  <w:sz w:val="16"/>
                </w:rPr>
                <w:delText> </w:delText>
              </w:r>
              <w:r w:rsidRPr="00BC0E7E">
                <w:delText>months</w:delText>
              </w:r>
            </w:del>
          </w:p>
        </w:tc>
        <w:tc>
          <w:tcPr>
            <w:tcW w:w="1134" w:type="dxa"/>
            <w:tcBorders>
              <w:left w:val="single" w:sz="6" w:space="0" w:color="auto"/>
            </w:tcBorders>
          </w:tcPr>
          <w:p w14:paraId="18A66963" w14:textId="77777777" w:rsidR="00BC0E7E" w:rsidRPr="00BC0E7E" w:rsidRDefault="00944B8F" w:rsidP="00762FA7">
            <w:pPr>
              <w:keepNext/>
              <w:tabs>
                <w:tab w:val="clear" w:pos="562"/>
                <w:tab w:val="decimal" w:pos="117"/>
              </w:tabs>
              <w:overflowPunct w:val="0"/>
              <w:autoSpaceDE w:val="0"/>
              <w:autoSpaceDN w:val="0"/>
              <w:adjustRightInd w:val="0"/>
              <w:jc w:val="center"/>
              <w:textAlignment w:val="baseline"/>
              <w:rPr>
                <w:del w:id="5591" w:author="AbbVie19" w:date="2025-04-16T10:42:00Z"/>
              </w:rPr>
            </w:pPr>
            <w:del w:id="5592" w:author="AbbVie19" w:date="2025-04-16T10:42:00Z">
              <w:r w:rsidRPr="00BC0E7E">
                <w:delText>NA</w:delText>
              </w:r>
            </w:del>
          </w:p>
        </w:tc>
        <w:tc>
          <w:tcPr>
            <w:tcW w:w="1550" w:type="dxa"/>
            <w:tcBorders>
              <w:right w:val="single" w:sz="6" w:space="0" w:color="auto"/>
            </w:tcBorders>
          </w:tcPr>
          <w:p w14:paraId="4325C42B" w14:textId="77777777" w:rsidR="00BC0E7E" w:rsidRPr="00BC0E7E" w:rsidRDefault="00944B8F" w:rsidP="00762FA7">
            <w:pPr>
              <w:keepNext/>
              <w:tabs>
                <w:tab w:val="clear" w:pos="562"/>
              </w:tabs>
              <w:overflowPunct w:val="0"/>
              <w:autoSpaceDE w:val="0"/>
              <w:autoSpaceDN w:val="0"/>
              <w:adjustRightInd w:val="0"/>
              <w:jc w:val="center"/>
              <w:textAlignment w:val="baseline"/>
              <w:rPr>
                <w:del w:id="5593" w:author="AbbVie19" w:date="2025-04-16T10:42:00Z"/>
                <w:lang w:val="it-IT"/>
              </w:rPr>
            </w:pPr>
            <w:del w:id="5594" w:author="AbbVie19" w:date="2025-04-16T10:42:00Z">
              <w:r w:rsidRPr="00BC0E7E">
                <w:rPr>
                  <w:lang w:val="it-IT"/>
                </w:rPr>
                <w:delText>NA</w:delText>
              </w:r>
            </w:del>
          </w:p>
        </w:tc>
        <w:tc>
          <w:tcPr>
            <w:tcW w:w="1285" w:type="dxa"/>
            <w:tcBorders>
              <w:left w:val="single" w:sz="6" w:space="0" w:color="auto"/>
            </w:tcBorders>
          </w:tcPr>
          <w:p w14:paraId="1AE39139" w14:textId="77777777" w:rsidR="00BC0E7E" w:rsidRPr="00BC0E7E" w:rsidRDefault="00944B8F" w:rsidP="00762FA7">
            <w:pPr>
              <w:keepNext/>
              <w:tabs>
                <w:tab w:val="clear" w:pos="562"/>
                <w:tab w:val="decimal" w:pos="151"/>
              </w:tabs>
              <w:overflowPunct w:val="0"/>
              <w:autoSpaceDE w:val="0"/>
              <w:autoSpaceDN w:val="0"/>
              <w:adjustRightInd w:val="0"/>
              <w:jc w:val="center"/>
              <w:textAlignment w:val="baseline"/>
              <w:rPr>
                <w:del w:id="5595" w:author="AbbVie19" w:date="2025-04-16T10:42:00Z"/>
                <w:lang w:val="it-IT"/>
              </w:rPr>
            </w:pPr>
            <w:del w:id="5596" w:author="AbbVie19" w:date="2025-04-16T10:42:00Z">
              <w:r w:rsidRPr="00BC0E7E">
                <w:rPr>
                  <w:lang w:val="it-IT"/>
                </w:rPr>
                <w:delText>NA</w:delText>
              </w:r>
            </w:del>
          </w:p>
        </w:tc>
        <w:tc>
          <w:tcPr>
            <w:tcW w:w="1276" w:type="dxa"/>
            <w:tcBorders>
              <w:right w:val="single" w:sz="6" w:space="0" w:color="auto"/>
            </w:tcBorders>
          </w:tcPr>
          <w:p w14:paraId="2746E4E4" w14:textId="77777777" w:rsidR="00BC0E7E" w:rsidRPr="00BC0E7E" w:rsidRDefault="00944B8F" w:rsidP="00762FA7">
            <w:pPr>
              <w:keepNext/>
              <w:tabs>
                <w:tab w:val="clear" w:pos="562"/>
              </w:tabs>
              <w:overflowPunct w:val="0"/>
              <w:autoSpaceDE w:val="0"/>
              <w:autoSpaceDN w:val="0"/>
              <w:adjustRightInd w:val="0"/>
              <w:jc w:val="center"/>
              <w:textAlignment w:val="baseline"/>
              <w:rPr>
                <w:del w:id="5597" w:author="AbbVie19" w:date="2025-04-16T10:42:00Z"/>
                <w:lang w:val="it-IT"/>
              </w:rPr>
            </w:pPr>
            <w:del w:id="5598" w:author="AbbVie19" w:date="2025-04-16T10:42:00Z">
              <w:r w:rsidRPr="00BC0E7E">
                <w:rPr>
                  <w:lang w:val="it-IT"/>
                </w:rPr>
                <w:delText>NA</w:delText>
              </w:r>
            </w:del>
          </w:p>
        </w:tc>
        <w:tc>
          <w:tcPr>
            <w:tcW w:w="1276" w:type="dxa"/>
            <w:tcBorders>
              <w:left w:val="single" w:sz="6" w:space="0" w:color="auto"/>
            </w:tcBorders>
          </w:tcPr>
          <w:p w14:paraId="65C7C69C" w14:textId="77777777" w:rsidR="00BC0E7E" w:rsidRPr="00BC0E7E" w:rsidRDefault="00944B8F" w:rsidP="00762FA7">
            <w:pPr>
              <w:keepNext/>
              <w:tabs>
                <w:tab w:val="clear" w:pos="562"/>
                <w:tab w:val="decimal" w:pos="567"/>
              </w:tabs>
              <w:overflowPunct w:val="0"/>
              <w:autoSpaceDE w:val="0"/>
              <w:autoSpaceDN w:val="0"/>
              <w:adjustRightInd w:val="0"/>
              <w:textAlignment w:val="baseline"/>
              <w:rPr>
                <w:del w:id="5599" w:author="AbbVie19" w:date="2025-04-16T10:42:00Z"/>
              </w:rPr>
            </w:pPr>
            <w:del w:id="5600" w:author="AbbVie19" w:date="2025-04-16T10:42:00Z">
              <w:r w:rsidRPr="00BC0E7E">
                <w:delText>9.5%</w:delText>
              </w:r>
            </w:del>
          </w:p>
        </w:tc>
        <w:tc>
          <w:tcPr>
            <w:tcW w:w="1417" w:type="dxa"/>
          </w:tcPr>
          <w:p w14:paraId="3C1B28F6" w14:textId="77777777" w:rsidR="00BC0E7E" w:rsidRPr="00BC0E7E" w:rsidRDefault="00944B8F" w:rsidP="00762FA7">
            <w:pPr>
              <w:keepNext/>
              <w:tabs>
                <w:tab w:val="clear" w:pos="562"/>
                <w:tab w:val="decimal" w:pos="662"/>
              </w:tabs>
              <w:overflowPunct w:val="0"/>
              <w:autoSpaceDE w:val="0"/>
              <w:autoSpaceDN w:val="0"/>
              <w:adjustRightInd w:val="0"/>
              <w:textAlignment w:val="baseline"/>
              <w:rPr>
                <w:del w:id="5601" w:author="AbbVie19" w:date="2025-04-16T10:42:00Z"/>
              </w:rPr>
            </w:pPr>
            <w:del w:id="5602" w:author="AbbVie19" w:date="2025-04-16T10:42:00Z">
              <w:r w:rsidRPr="00BC0E7E">
                <w:delText>41.5%</w:delText>
              </w:r>
            </w:del>
          </w:p>
        </w:tc>
      </w:tr>
      <w:tr w:rsidR="00C6578C" w14:paraId="0CF1B28F" w14:textId="77777777" w:rsidTr="00171601">
        <w:trPr>
          <w:cantSplit/>
          <w:del w:id="5603" w:author="AbbVie19" w:date="2025-04-16T10:42:00Z"/>
        </w:trPr>
        <w:tc>
          <w:tcPr>
            <w:tcW w:w="1186" w:type="dxa"/>
            <w:tcBorders>
              <w:right w:val="single" w:sz="6" w:space="0" w:color="auto"/>
            </w:tcBorders>
          </w:tcPr>
          <w:p w14:paraId="72738E12" w14:textId="77777777" w:rsidR="00BC0E7E" w:rsidRPr="00BC0E7E" w:rsidRDefault="00944B8F" w:rsidP="00762FA7">
            <w:pPr>
              <w:keepNext/>
              <w:tabs>
                <w:tab w:val="clear" w:pos="562"/>
                <w:tab w:val="left" w:pos="144"/>
              </w:tabs>
              <w:overflowPunct w:val="0"/>
              <w:autoSpaceDE w:val="0"/>
              <w:autoSpaceDN w:val="0"/>
              <w:adjustRightInd w:val="0"/>
              <w:textAlignment w:val="baseline"/>
              <w:rPr>
                <w:del w:id="5604" w:author="AbbVie19" w:date="2025-04-16T10:42:00Z"/>
              </w:rPr>
            </w:pPr>
            <w:del w:id="5605" w:author="AbbVie19" w:date="2025-04-16T10:42:00Z">
              <w:r>
                <w:rPr>
                  <w:rFonts w:ascii="Arial" w:hAnsi="Arial"/>
                  <w:noProof/>
                  <w:sz w:val="16"/>
                  <w:lang w:val="en-US"/>
                </w:rPr>
                <mc:AlternateContent>
                  <mc:Choice Requires="wps">
                    <w:drawing>
                      <wp:anchor distT="0" distB="0" distL="114300" distR="114300" simplePos="0" relativeHeight="251658241" behindDoc="0" locked="0" layoutInCell="0" allowOverlap="1" wp14:anchorId="7A833C70" wp14:editId="17B289F4">
                        <wp:simplePos x="0" y="0"/>
                        <wp:positionH relativeFrom="column">
                          <wp:posOffset>-4972050</wp:posOffset>
                        </wp:positionH>
                        <wp:positionV relativeFrom="paragraph">
                          <wp:posOffset>38735</wp:posOffset>
                        </wp:positionV>
                        <wp:extent cx="3543300" cy="342900"/>
                        <wp:effectExtent l="0" t="0" r="4445" b="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8688A9" w14:textId="77777777" w:rsidR="00693052" w:rsidRDefault="00693052" w:rsidP="00BC0E7E">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A833C70" id="Text Box 187" o:spid="_x0000_s1029" type="#_x0000_t202" style="position:absolute;margin-left:-391.5pt;margin-top:3.05pt;width:279pt;height: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" o:allowincell="f" stroked="f">
                        <v:textbox>
                          <w:txbxContent>
                            <w:p w14:paraId="698688A9" w14:textId="77777777" w:rsidR="00693052" w:rsidRDefault="00693052" w:rsidP="00BC0E7E">
                              <w:pPr>
                                <w:rPr>
                                  <w:sz w:val="20"/>
                                </w:rPr>
                              </w:pPr>
                            </w:p>
                          </w:txbxContent>
                        </v:textbox>
                      </v:shape>
                    </w:pict>
                  </mc:Fallback>
                </mc:AlternateContent>
              </w:r>
              <w:r w:rsidRPr="00BC0E7E">
                <w:delText>ACR 70</w:delText>
              </w:r>
            </w:del>
          </w:p>
        </w:tc>
        <w:tc>
          <w:tcPr>
            <w:tcW w:w="1134" w:type="dxa"/>
            <w:tcBorders>
              <w:left w:val="single" w:sz="6" w:space="0" w:color="auto"/>
            </w:tcBorders>
          </w:tcPr>
          <w:p w14:paraId="561E3F73" w14:textId="77777777" w:rsidR="00BC0E7E" w:rsidRPr="00BC0E7E" w:rsidRDefault="00BC0E7E" w:rsidP="00762FA7">
            <w:pPr>
              <w:keepNext/>
              <w:tabs>
                <w:tab w:val="clear" w:pos="562"/>
                <w:tab w:val="decimal" w:pos="117"/>
              </w:tabs>
              <w:overflowPunct w:val="0"/>
              <w:autoSpaceDE w:val="0"/>
              <w:autoSpaceDN w:val="0"/>
              <w:adjustRightInd w:val="0"/>
              <w:jc w:val="center"/>
              <w:textAlignment w:val="baseline"/>
              <w:rPr>
                <w:del w:id="5606" w:author="AbbVie19" w:date="2025-04-16T10:42:00Z"/>
              </w:rPr>
            </w:pPr>
          </w:p>
        </w:tc>
        <w:tc>
          <w:tcPr>
            <w:tcW w:w="1550" w:type="dxa"/>
            <w:tcBorders>
              <w:right w:val="single" w:sz="6" w:space="0" w:color="auto"/>
            </w:tcBorders>
          </w:tcPr>
          <w:p w14:paraId="617502CE" w14:textId="77777777" w:rsidR="00BC0E7E" w:rsidRPr="00BC0E7E" w:rsidRDefault="00BC0E7E" w:rsidP="00762FA7">
            <w:pPr>
              <w:keepNext/>
              <w:tabs>
                <w:tab w:val="clear" w:pos="562"/>
              </w:tabs>
              <w:overflowPunct w:val="0"/>
              <w:autoSpaceDE w:val="0"/>
              <w:autoSpaceDN w:val="0"/>
              <w:adjustRightInd w:val="0"/>
              <w:jc w:val="center"/>
              <w:textAlignment w:val="baseline"/>
              <w:rPr>
                <w:del w:id="5607" w:author="AbbVie19" w:date="2025-04-16T10:42:00Z"/>
              </w:rPr>
            </w:pPr>
          </w:p>
        </w:tc>
        <w:tc>
          <w:tcPr>
            <w:tcW w:w="1285" w:type="dxa"/>
            <w:tcBorders>
              <w:left w:val="single" w:sz="6" w:space="0" w:color="auto"/>
            </w:tcBorders>
          </w:tcPr>
          <w:p w14:paraId="60F9857B" w14:textId="77777777" w:rsidR="00BC0E7E" w:rsidRPr="00BC0E7E" w:rsidRDefault="00BC0E7E" w:rsidP="00762FA7">
            <w:pPr>
              <w:keepNext/>
              <w:tabs>
                <w:tab w:val="clear" w:pos="562"/>
                <w:tab w:val="decimal" w:pos="151"/>
              </w:tabs>
              <w:overflowPunct w:val="0"/>
              <w:autoSpaceDE w:val="0"/>
              <w:autoSpaceDN w:val="0"/>
              <w:adjustRightInd w:val="0"/>
              <w:jc w:val="center"/>
              <w:textAlignment w:val="baseline"/>
              <w:rPr>
                <w:del w:id="5608" w:author="AbbVie19" w:date="2025-04-16T10:42:00Z"/>
              </w:rPr>
            </w:pPr>
          </w:p>
        </w:tc>
        <w:tc>
          <w:tcPr>
            <w:tcW w:w="1276" w:type="dxa"/>
            <w:tcBorders>
              <w:right w:val="single" w:sz="6" w:space="0" w:color="auto"/>
            </w:tcBorders>
          </w:tcPr>
          <w:p w14:paraId="5F82A80F" w14:textId="77777777" w:rsidR="00BC0E7E" w:rsidRPr="00BC0E7E" w:rsidRDefault="00BC0E7E" w:rsidP="00762FA7">
            <w:pPr>
              <w:keepNext/>
              <w:tabs>
                <w:tab w:val="clear" w:pos="562"/>
              </w:tabs>
              <w:overflowPunct w:val="0"/>
              <w:autoSpaceDE w:val="0"/>
              <w:autoSpaceDN w:val="0"/>
              <w:adjustRightInd w:val="0"/>
              <w:jc w:val="center"/>
              <w:textAlignment w:val="baseline"/>
              <w:rPr>
                <w:del w:id="5609" w:author="AbbVie19" w:date="2025-04-16T10:42:00Z"/>
              </w:rPr>
            </w:pPr>
          </w:p>
        </w:tc>
        <w:tc>
          <w:tcPr>
            <w:tcW w:w="1276" w:type="dxa"/>
            <w:tcBorders>
              <w:left w:val="single" w:sz="6" w:space="0" w:color="auto"/>
            </w:tcBorders>
          </w:tcPr>
          <w:p w14:paraId="32762243" w14:textId="77777777" w:rsidR="00BC0E7E" w:rsidRPr="00BC0E7E" w:rsidRDefault="00BC0E7E" w:rsidP="00762FA7">
            <w:pPr>
              <w:keepNext/>
              <w:tabs>
                <w:tab w:val="clear" w:pos="562"/>
                <w:tab w:val="decimal" w:pos="567"/>
              </w:tabs>
              <w:overflowPunct w:val="0"/>
              <w:autoSpaceDE w:val="0"/>
              <w:autoSpaceDN w:val="0"/>
              <w:adjustRightInd w:val="0"/>
              <w:textAlignment w:val="baseline"/>
              <w:rPr>
                <w:del w:id="5610" w:author="AbbVie19" w:date="2025-04-16T10:42:00Z"/>
              </w:rPr>
            </w:pPr>
          </w:p>
        </w:tc>
        <w:tc>
          <w:tcPr>
            <w:tcW w:w="1417" w:type="dxa"/>
          </w:tcPr>
          <w:p w14:paraId="790D43DF" w14:textId="77777777" w:rsidR="00BC0E7E" w:rsidRPr="00BC0E7E" w:rsidRDefault="00BC0E7E" w:rsidP="00762FA7">
            <w:pPr>
              <w:keepNext/>
              <w:tabs>
                <w:tab w:val="clear" w:pos="562"/>
                <w:tab w:val="decimal" w:pos="662"/>
              </w:tabs>
              <w:overflowPunct w:val="0"/>
              <w:autoSpaceDE w:val="0"/>
              <w:autoSpaceDN w:val="0"/>
              <w:adjustRightInd w:val="0"/>
              <w:textAlignment w:val="baseline"/>
              <w:rPr>
                <w:del w:id="5611" w:author="AbbVie19" w:date="2025-04-16T10:42:00Z"/>
              </w:rPr>
            </w:pPr>
          </w:p>
        </w:tc>
      </w:tr>
      <w:tr w:rsidR="00C6578C" w14:paraId="74FBE67B" w14:textId="77777777" w:rsidTr="00171601">
        <w:trPr>
          <w:cantSplit/>
          <w:del w:id="5612" w:author="AbbVie19" w:date="2025-04-16T10:42:00Z"/>
        </w:trPr>
        <w:tc>
          <w:tcPr>
            <w:tcW w:w="1186" w:type="dxa"/>
            <w:tcBorders>
              <w:right w:val="single" w:sz="6" w:space="0" w:color="auto"/>
            </w:tcBorders>
          </w:tcPr>
          <w:p w14:paraId="2F5BC4D5" w14:textId="77777777" w:rsidR="00BC0E7E" w:rsidRPr="00BC0E7E" w:rsidRDefault="00944B8F" w:rsidP="00762FA7">
            <w:pPr>
              <w:keepNext/>
              <w:tabs>
                <w:tab w:val="clear" w:pos="562"/>
                <w:tab w:val="left" w:pos="144"/>
              </w:tabs>
              <w:overflowPunct w:val="0"/>
              <w:autoSpaceDE w:val="0"/>
              <w:autoSpaceDN w:val="0"/>
              <w:adjustRightInd w:val="0"/>
              <w:textAlignment w:val="baseline"/>
              <w:rPr>
                <w:del w:id="5613" w:author="AbbVie19" w:date="2025-04-16T10:42:00Z"/>
              </w:rPr>
            </w:pPr>
            <w:del w:id="5614" w:author="AbbVie19" w:date="2025-04-16T10:42:00Z">
              <w:r w:rsidRPr="00BC0E7E">
                <w:tab/>
                <w:delText>6</w:delText>
              </w:r>
              <w:r w:rsidRPr="00BC0E7E">
                <w:rPr>
                  <w:rFonts w:ascii="Arial" w:hAnsi="Arial"/>
                  <w:sz w:val="16"/>
                </w:rPr>
                <w:delText> </w:delText>
              </w:r>
              <w:r w:rsidRPr="00BC0E7E">
                <w:delText>months</w:delText>
              </w:r>
            </w:del>
          </w:p>
        </w:tc>
        <w:tc>
          <w:tcPr>
            <w:tcW w:w="1134" w:type="dxa"/>
            <w:tcBorders>
              <w:left w:val="single" w:sz="6" w:space="0" w:color="auto"/>
            </w:tcBorders>
          </w:tcPr>
          <w:p w14:paraId="6E9AF1A6" w14:textId="77777777" w:rsidR="00BC0E7E" w:rsidRPr="00BC0E7E" w:rsidRDefault="00944B8F" w:rsidP="00762FA7">
            <w:pPr>
              <w:keepNext/>
              <w:tabs>
                <w:tab w:val="clear" w:pos="562"/>
                <w:tab w:val="decimal" w:pos="117"/>
              </w:tabs>
              <w:overflowPunct w:val="0"/>
              <w:autoSpaceDE w:val="0"/>
              <w:autoSpaceDN w:val="0"/>
              <w:adjustRightInd w:val="0"/>
              <w:jc w:val="center"/>
              <w:textAlignment w:val="baseline"/>
              <w:rPr>
                <w:del w:id="5615" w:author="AbbVie19" w:date="2025-04-16T10:42:00Z"/>
              </w:rPr>
            </w:pPr>
            <w:del w:id="5616" w:author="AbbVie19" w:date="2025-04-16T10:42:00Z">
              <w:r w:rsidRPr="00BC0E7E">
                <w:delText>3.3%</w:delText>
              </w:r>
            </w:del>
          </w:p>
        </w:tc>
        <w:tc>
          <w:tcPr>
            <w:tcW w:w="1550" w:type="dxa"/>
            <w:tcBorders>
              <w:right w:val="single" w:sz="6" w:space="0" w:color="auto"/>
            </w:tcBorders>
          </w:tcPr>
          <w:p w14:paraId="49355814" w14:textId="77777777" w:rsidR="00BC0E7E" w:rsidRPr="00BC0E7E" w:rsidRDefault="00944B8F" w:rsidP="00762FA7">
            <w:pPr>
              <w:keepNext/>
              <w:tabs>
                <w:tab w:val="clear" w:pos="562"/>
              </w:tabs>
              <w:overflowPunct w:val="0"/>
              <w:autoSpaceDE w:val="0"/>
              <w:autoSpaceDN w:val="0"/>
              <w:adjustRightInd w:val="0"/>
              <w:jc w:val="center"/>
              <w:textAlignment w:val="baseline"/>
              <w:rPr>
                <w:del w:id="5617" w:author="AbbVie19" w:date="2025-04-16T10:42:00Z"/>
              </w:rPr>
            </w:pPr>
            <w:del w:id="5618" w:author="AbbVie19" w:date="2025-04-16T10:42:00Z">
              <w:r w:rsidRPr="00BC0E7E">
                <w:delText>23.8%</w:delText>
              </w:r>
            </w:del>
          </w:p>
        </w:tc>
        <w:tc>
          <w:tcPr>
            <w:tcW w:w="1285" w:type="dxa"/>
            <w:tcBorders>
              <w:left w:val="single" w:sz="6" w:space="0" w:color="auto"/>
            </w:tcBorders>
          </w:tcPr>
          <w:p w14:paraId="1E80CAF7" w14:textId="77777777" w:rsidR="00BC0E7E" w:rsidRPr="00BC0E7E" w:rsidRDefault="00944B8F" w:rsidP="00762FA7">
            <w:pPr>
              <w:keepNext/>
              <w:tabs>
                <w:tab w:val="clear" w:pos="562"/>
                <w:tab w:val="decimal" w:pos="151"/>
              </w:tabs>
              <w:overflowPunct w:val="0"/>
              <w:autoSpaceDE w:val="0"/>
              <w:autoSpaceDN w:val="0"/>
              <w:adjustRightInd w:val="0"/>
              <w:jc w:val="center"/>
              <w:textAlignment w:val="baseline"/>
              <w:rPr>
                <w:del w:id="5619" w:author="AbbVie19" w:date="2025-04-16T10:42:00Z"/>
              </w:rPr>
            </w:pPr>
            <w:del w:id="5620" w:author="AbbVie19" w:date="2025-04-16T10:42:00Z">
              <w:r w:rsidRPr="00BC0E7E">
                <w:delText>1.8%</w:delText>
              </w:r>
            </w:del>
          </w:p>
        </w:tc>
        <w:tc>
          <w:tcPr>
            <w:tcW w:w="1276" w:type="dxa"/>
            <w:tcBorders>
              <w:right w:val="single" w:sz="6" w:space="0" w:color="auto"/>
            </w:tcBorders>
          </w:tcPr>
          <w:p w14:paraId="4DF71516" w14:textId="77777777" w:rsidR="00BC0E7E" w:rsidRPr="00BC0E7E" w:rsidRDefault="00944B8F" w:rsidP="00762FA7">
            <w:pPr>
              <w:keepNext/>
              <w:tabs>
                <w:tab w:val="clear" w:pos="562"/>
              </w:tabs>
              <w:overflowPunct w:val="0"/>
              <w:autoSpaceDE w:val="0"/>
              <w:autoSpaceDN w:val="0"/>
              <w:adjustRightInd w:val="0"/>
              <w:jc w:val="center"/>
              <w:textAlignment w:val="baseline"/>
              <w:rPr>
                <w:del w:id="5621" w:author="AbbVie19" w:date="2025-04-16T10:42:00Z"/>
              </w:rPr>
            </w:pPr>
            <w:del w:id="5622" w:author="AbbVie19" w:date="2025-04-16T10:42:00Z">
              <w:r w:rsidRPr="00BC0E7E">
                <w:delText>12.4%</w:delText>
              </w:r>
            </w:del>
          </w:p>
        </w:tc>
        <w:tc>
          <w:tcPr>
            <w:tcW w:w="1276" w:type="dxa"/>
            <w:tcBorders>
              <w:left w:val="single" w:sz="6" w:space="0" w:color="auto"/>
            </w:tcBorders>
          </w:tcPr>
          <w:p w14:paraId="1AF0BF0B" w14:textId="77777777" w:rsidR="00BC0E7E" w:rsidRPr="00BC0E7E" w:rsidRDefault="00944B8F" w:rsidP="00762FA7">
            <w:pPr>
              <w:keepNext/>
              <w:tabs>
                <w:tab w:val="clear" w:pos="562"/>
                <w:tab w:val="decimal" w:pos="567"/>
              </w:tabs>
              <w:overflowPunct w:val="0"/>
              <w:autoSpaceDE w:val="0"/>
              <w:autoSpaceDN w:val="0"/>
              <w:adjustRightInd w:val="0"/>
              <w:textAlignment w:val="baseline"/>
              <w:rPr>
                <w:del w:id="5623" w:author="AbbVie19" w:date="2025-04-16T10:42:00Z"/>
              </w:rPr>
            </w:pPr>
            <w:del w:id="5624" w:author="AbbVie19" w:date="2025-04-16T10:42:00Z">
              <w:r w:rsidRPr="00BC0E7E">
                <w:delText>2.5%</w:delText>
              </w:r>
            </w:del>
          </w:p>
        </w:tc>
        <w:tc>
          <w:tcPr>
            <w:tcW w:w="1417" w:type="dxa"/>
          </w:tcPr>
          <w:p w14:paraId="20DDB881" w14:textId="77777777" w:rsidR="00BC0E7E" w:rsidRPr="00BC0E7E" w:rsidRDefault="00944B8F" w:rsidP="00762FA7">
            <w:pPr>
              <w:keepNext/>
              <w:tabs>
                <w:tab w:val="clear" w:pos="562"/>
                <w:tab w:val="decimal" w:pos="662"/>
              </w:tabs>
              <w:overflowPunct w:val="0"/>
              <w:autoSpaceDE w:val="0"/>
              <w:autoSpaceDN w:val="0"/>
              <w:adjustRightInd w:val="0"/>
              <w:textAlignment w:val="baseline"/>
              <w:rPr>
                <w:del w:id="5625" w:author="AbbVie19" w:date="2025-04-16T10:42:00Z"/>
              </w:rPr>
            </w:pPr>
            <w:del w:id="5626" w:author="AbbVie19" w:date="2025-04-16T10:42:00Z">
              <w:r w:rsidRPr="00BC0E7E">
                <w:delText>20.8%</w:delText>
              </w:r>
            </w:del>
          </w:p>
        </w:tc>
      </w:tr>
      <w:tr w:rsidR="00C6578C" w14:paraId="18022BC4" w14:textId="77777777" w:rsidTr="00171601">
        <w:trPr>
          <w:cantSplit/>
          <w:del w:id="5627" w:author="AbbVie19" w:date="2025-04-16T10:42:00Z"/>
        </w:trPr>
        <w:tc>
          <w:tcPr>
            <w:tcW w:w="1186" w:type="dxa"/>
            <w:tcBorders>
              <w:bottom w:val="single" w:sz="6" w:space="0" w:color="auto"/>
              <w:right w:val="single" w:sz="6" w:space="0" w:color="auto"/>
            </w:tcBorders>
          </w:tcPr>
          <w:p w14:paraId="7EC5F0AB" w14:textId="77777777" w:rsidR="00BC0E7E" w:rsidRPr="00BC0E7E" w:rsidRDefault="00944B8F" w:rsidP="00762FA7">
            <w:pPr>
              <w:keepNext/>
              <w:tabs>
                <w:tab w:val="clear" w:pos="562"/>
                <w:tab w:val="left" w:pos="144"/>
              </w:tabs>
              <w:overflowPunct w:val="0"/>
              <w:autoSpaceDE w:val="0"/>
              <w:autoSpaceDN w:val="0"/>
              <w:adjustRightInd w:val="0"/>
              <w:textAlignment w:val="baseline"/>
              <w:rPr>
                <w:del w:id="5628" w:author="AbbVie19" w:date="2025-04-16T10:42:00Z"/>
              </w:rPr>
            </w:pPr>
            <w:del w:id="5629" w:author="AbbVie19" w:date="2025-04-16T10:42:00Z">
              <w:r w:rsidRPr="00BC0E7E">
                <w:tab/>
                <w:delText>12</w:delText>
              </w:r>
              <w:r w:rsidRPr="00BC0E7E">
                <w:rPr>
                  <w:rFonts w:ascii="Arial" w:hAnsi="Arial"/>
                  <w:sz w:val="16"/>
                </w:rPr>
                <w:delText> </w:delText>
              </w:r>
              <w:r w:rsidRPr="00BC0E7E">
                <w:delText>months</w:delText>
              </w:r>
            </w:del>
          </w:p>
        </w:tc>
        <w:tc>
          <w:tcPr>
            <w:tcW w:w="1134" w:type="dxa"/>
            <w:tcBorders>
              <w:left w:val="single" w:sz="6" w:space="0" w:color="auto"/>
              <w:bottom w:val="single" w:sz="6" w:space="0" w:color="auto"/>
            </w:tcBorders>
          </w:tcPr>
          <w:p w14:paraId="0AAED738" w14:textId="77777777" w:rsidR="00BC0E7E" w:rsidRPr="00BC0E7E" w:rsidRDefault="00944B8F" w:rsidP="00762FA7">
            <w:pPr>
              <w:keepNext/>
              <w:tabs>
                <w:tab w:val="clear" w:pos="562"/>
              </w:tabs>
              <w:overflowPunct w:val="0"/>
              <w:autoSpaceDE w:val="0"/>
              <w:autoSpaceDN w:val="0"/>
              <w:adjustRightInd w:val="0"/>
              <w:jc w:val="center"/>
              <w:textAlignment w:val="baseline"/>
              <w:rPr>
                <w:del w:id="5630" w:author="AbbVie19" w:date="2025-04-16T10:42:00Z"/>
                <w:lang w:val="it-IT"/>
              </w:rPr>
            </w:pPr>
            <w:del w:id="5631" w:author="AbbVie19" w:date="2025-04-16T10:42:00Z">
              <w:r w:rsidRPr="00BC0E7E">
                <w:rPr>
                  <w:lang w:val="it-IT"/>
                </w:rPr>
                <w:delText>NA</w:delText>
              </w:r>
            </w:del>
          </w:p>
        </w:tc>
        <w:tc>
          <w:tcPr>
            <w:tcW w:w="1550" w:type="dxa"/>
            <w:tcBorders>
              <w:bottom w:val="single" w:sz="6" w:space="0" w:color="auto"/>
              <w:right w:val="single" w:sz="6" w:space="0" w:color="auto"/>
            </w:tcBorders>
          </w:tcPr>
          <w:p w14:paraId="70834600" w14:textId="77777777" w:rsidR="00BC0E7E" w:rsidRPr="00BC0E7E" w:rsidRDefault="00944B8F" w:rsidP="00762FA7">
            <w:pPr>
              <w:keepNext/>
              <w:tabs>
                <w:tab w:val="clear" w:pos="562"/>
              </w:tabs>
              <w:overflowPunct w:val="0"/>
              <w:autoSpaceDE w:val="0"/>
              <w:autoSpaceDN w:val="0"/>
              <w:adjustRightInd w:val="0"/>
              <w:jc w:val="center"/>
              <w:textAlignment w:val="baseline"/>
              <w:rPr>
                <w:del w:id="5632" w:author="AbbVie19" w:date="2025-04-16T10:42:00Z"/>
                <w:lang w:val="it-IT"/>
              </w:rPr>
            </w:pPr>
            <w:del w:id="5633" w:author="AbbVie19" w:date="2025-04-16T10:42:00Z">
              <w:r w:rsidRPr="00BC0E7E">
                <w:rPr>
                  <w:lang w:val="it-IT"/>
                </w:rPr>
                <w:delText>NA</w:delText>
              </w:r>
            </w:del>
          </w:p>
        </w:tc>
        <w:tc>
          <w:tcPr>
            <w:tcW w:w="1285" w:type="dxa"/>
            <w:tcBorders>
              <w:left w:val="single" w:sz="6" w:space="0" w:color="auto"/>
              <w:bottom w:val="single" w:sz="6" w:space="0" w:color="auto"/>
            </w:tcBorders>
          </w:tcPr>
          <w:p w14:paraId="772152DA" w14:textId="77777777" w:rsidR="00BC0E7E" w:rsidRPr="00BC0E7E" w:rsidRDefault="00944B8F" w:rsidP="00762FA7">
            <w:pPr>
              <w:keepNext/>
              <w:tabs>
                <w:tab w:val="clear" w:pos="562"/>
              </w:tabs>
              <w:overflowPunct w:val="0"/>
              <w:autoSpaceDE w:val="0"/>
              <w:autoSpaceDN w:val="0"/>
              <w:adjustRightInd w:val="0"/>
              <w:jc w:val="center"/>
              <w:textAlignment w:val="baseline"/>
              <w:rPr>
                <w:del w:id="5634" w:author="AbbVie19" w:date="2025-04-16T10:42:00Z"/>
                <w:lang w:val="it-IT"/>
              </w:rPr>
            </w:pPr>
            <w:del w:id="5635" w:author="AbbVie19" w:date="2025-04-16T10:42:00Z">
              <w:r w:rsidRPr="00BC0E7E">
                <w:rPr>
                  <w:lang w:val="it-IT"/>
                </w:rPr>
                <w:delText>NA</w:delText>
              </w:r>
            </w:del>
          </w:p>
        </w:tc>
        <w:tc>
          <w:tcPr>
            <w:tcW w:w="1276" w:type="dxa"/>
            <w:tcBorders>
              <w:bottom w:val="single" w:sz="6" w:space="0" w:color="auto"/>
              <w:right w:val="single" w:sz="6" w:space="0" w:color="auto"/>
            </w:tcBorders>
          </w:tcPr>
          <w:p w14:paraId="547461EA" w14:textId="77777777" w:rsidR="00BC0E7E" w:rsidRPr="00BC0E7E" w:rsidRDefault="00944B8F" w:rsidP="00762FA7">
            <w:pPr>
              <w:keepNext/>
              <w:tabs>
                <w:tab w:val="clear" w:pos="562"/>
              </w:tabs>
              <w:overflowPunct w:val="0"/>
              <w:autoSpaceDE w:val="0"/>
              <w:autoSpaceDN w:val="0"/>
              <w:adjustRightInd w:val="0"/>
              <w:jc w:val="center"/>
              <w:textAlignment w:val="baseline"/>
              <w:rPr>
                <w:del w:id="5636" w:author="AbbVie19" w:date="2025-04-16T10:42:00Z"/>
              </w:rPr>
            </w:pPr>
            <w:del w:id="5637" w:author="AbbVie19" w:date="2025-04-16T10:42:00Z">
              <w:r w:rsidRPr="00BC0E7E">
                <w:delText>NA</w:delText>
              </w:r>
            </w:del>
          </w:p>
        </w:tc>
        <w:tc>
          <w:tcPr>
            <w:tcW w:w="1276" w:type="dxa"/>
            <w:tcBorders>
              <w:left w:val="single" w:sz="6" w:space="0" w:color="auto"/>
              <w:bottom w:val="single" w:sz="6" w:space="0" w:color="auto"/>
            </w:tcBorders>
          </w:tcPr>
          <w:p w14:paraId="0FDD3D6E" w14:textId="77777777" w:rsidR="00BC0E7E" w:rsidRPr="00BC0E7E" w:rsidRDefault="00944B8F" w:rsidP="00762FA7">
            <w:pPr>
              <w:keepNext/>
              <w:tabs>
                <w:tab w:val="clear" w:pos="562"/>
                <w:tab w:val="decimal" w:pos="567"/>
              </w:tabs>
              <w:overflowPunct w:val="0"/>
              <w:autoSpaceDE w:val="0"/>
              <w:autoSpaceDN w:val="0"/>
              <w:adjustRightInd w:val="0"/>
              <w:textAlignment w:val="baseline"/>
              <w:rPr>
                <w:del w:id="5638" w:author="AbbVie19" w:date="2025-04-16T10:42:00Z"/>
              </w:rPr>
            </w:pPr>
            <w:del w:id="5639" w:author="AbbVie19" w:date="2025-04-16T10:42:00Z">
              <w:r w:rsidRPr="00BC0E7E">
                <w:delText>4.5%</w:delText>
              </w:r>
            </w:del>
          </w:p>
        </w:tc>
        <w:tc>
          <w:tcPr>
            <w:tcW w:w="1417" w:type="dxa"/>
            <w:tcBorders>
              <w:bottom w:val="single" w:sz="6" w:space="0" w:color="auto"/>
            </w:tcBorders>
          </w:tcPr>
          <w:p w14:paraId="358A5C42" w14:textId="77777777" w:rsidR="00BC0E7E" w:rsidRPr="00BC0E7E" w:rsidRDefault="00944B8F" w:rsidP="00762FA7">
            <w:pPr>
              <w:keepNext/>
              <w:tabs>
                <w:tab w:val="clear" w:pos="562"/>
                <w:tab w:val="decimal" w:pos="662"/>
              </w:tabs>
              <w:overflowPunct w:val="0"/>
              <w:autoSpaceDE w:val="0"/>
              <w:autoSpaceDN w:val="0"/>
              <w:adjustRightInd w:val="0"/>
              <w:textAlignment w:val="baseline"/>
              <w:rPr>
                <w:del w:id="5640" w:author="AbbVie19" w:date="2025-04-16T10:42:00Z"/>
              </w:rPr>
            </w:pPr>
            <w:del w:id="5641" w:author="AbbVie19" w:date="2025-04-16T10:42:00Z">
              <w:r w:rsidRPr="00BC0E7E">
                <w:delText>23.2%</w:delText>
              </w:r>
            </w:del>
          </w:p>
        </w:tc>
      </w:tr>
      <w:tr w:rsidR="00C6578C" w14:paraId="0582F310" w14:textId="77777777" w:rsidTr="00171601">
        <w:trPr>
          <w:cantSplit/>
          <w:del w:id="5642" w:author="AbbVie19" w:date="2025-04-16T10:42:00Z"/>
        </w:trPr>
        <w:tc>
          <w:tcPr>
            <w:tcW w:w="9124" w:type="dxa"/>
            <w:gridSpan w:val="7"/>
          </w:tcPr>
          <w:p w14:paraId="2655C53D" w14:textId="77777777" w:rsidR="00BC0E7E" w:rsidRPr="00BC0E7E" w:rsidRDefault="00944B8F" w:rsidP="00762FA7">
            <w:pPr>
              <w:keepNext/>
              <w:tabs>
                <w:tab w:val="clear" w:pos="562"/>
                <w:tab w:val="left" w:pos="142"/>
              </w:tabs>
              <w:overflowPunct w:val="0"/>
              <w:autoSpaceDE w:val="0"/>
              <w:autoSpaceDN w:val="0"/>
              <w:adjustRightInd w:val="0"/>
              <w:ind w:left="144" w:hanging="144"/>
              <w:textAlignment w:val="baseline"/>
              <w:rPr>
                <w:del w:id="5643" w:author="AbbVie19" w:date="2025-04-16T10:42:00Z"/>
              </w:rPr>
            </w:pPr>
            <w:del w:id="5644" w:author="AbbVie19" w:date="2025-04-16T10:42:00Z">
              <w:r w:rsidRPr="00BC0E7E">
                <w:rPr>
                  <w:vertAlign w:val="superscript"/>
                </w:rPr>
                <w:delText>a</w:delText>
              </w:r>
              <w:r w:rsidRPr="00BC0E7E">
                <w:tab/>
                <w:delText>RA study I at 24</w:delText>
              </w:r>
              <w:r w:rsidRPr="00BC0E7E">
                <w:rPr>
                  <w:rFonts w:ascii="Arial" w:hAnsi="Arial"/>
                  <w:sz w:val="16"/>
                </w:rPr>
                <w:delText> </w:delText>
              </w:r>
              <w:r w:rsidRPr="00BC0E7E">
                <w:delText>weeks, RA study II at 26</w:delText>
              </w:r>
              <w:r w:rsidRPr="00BC0E7E">
                <w:rPr>
                  <w:rFonts w:ascii="Arial" w:hAnsi="Arial"/>
                  <w:sz w:val="16"/>
                </w:rPr>
                <w:delText> </w:delText>
              </w:r>
              <w:r w:rsidRPr="00BC0E7E">
                <w:delText>weeks , and RA study III at 24 and 52</w:delText>
              </w:r>
              <w:r w:rsidRPr="00BC0E7E">
                <w:rPr>
                  <w:rFonts w:ascii="Arial" w:hAnsi="Arial"/>
                  <w:sz w:val="16"/>
                </w:rPr>
                <w:delText> </w:delText>
              </w:r>
              <w:r w:rsidRPr="00BC0E7E">
                <w:delText>weeks</w:delText>
              </w:r>
            </w:del>
          </w:p>
          <w:p w14:paraId="437C7021" w14:textId="77777777" w:rsidR="00BC0E7E" w:rsidRPr="00BC0E7E" w:rsidRDefault="00944B8F" w:rsidP="00762FA7">
            <w:pPr>
              <w:keepNext/>
              <w:tabs>
                <w:tab w:val="clear" w:pos="562"/>
                <w:tab w:val="left" w:pos="142"/>
              </w:tabs>
              <w:overflowPunct w:val="0"/>
              <w:autoSpaceDE w:val="0"/>
              <w:autoSpaceDN w:val="0"/>
              <w:adjustRightInd w:val="0"/>
              <w:ind w:left="144" w:hanging="144"/>
              <w:textAlignment w:val="baseline"/>
              <w:rPr>
                <w:del w:id="5645" w:author="AbbVie19" w:date="2025-04-16T10:42:00Z"/>
              </w:rPr>
            </w:pPr>
            <w:del w:id="5646" w:author="AbbVie19" w:date="2025-04-16T10:42:00Z">
              <w:r w:rsidRPr="00BC0E7E">
                <w:rPr>
                  <w:vertAlign w:val="superscript"/>
                </w:rPr>
                <w:delText>b</w:delText>
              </w:r>
              <w:r w:rsidRPr="00BC0E7E">
                <w:tab/>
                <w:delText>40 mg Humira administered every other week</w:delText>
              </w:r>
            </w:del>
          </w:p>
          <w:p w14:paraId="17E679F5" w14:textId="77777777" w:rsidR="00BC0E7E" w:rsidRPr="00762FA7" w:rsidRDefault="00944B8F" w:rsidP="00762FA7">
            <w:pPr>
              <w:keepNext/>
              <w:tabs>
                <w:tab w:val="clear" w:pos="562"/>
                <w:tab w:val="left" w:pos="142"/>
              </w:tabs>
              <w:overflowPunct w:val="0"/>
              <w:autoSpaceDE w:val="0"/>
              <w:autoSpaceDN w:val="0"/>
              <w:adjustRightInd w:val="0"/>
              <w:ind w:left="144" w:hanging="144"/>
              <w:textAlignment w:val="baseline"/>
              <w:rPr>
                <w:del w:id="5647" w:author="AbbVie19" w:date="2025-04-16T10:42:00Z"/>
                <w:lang w:val="fr-FR"/>
              </w:rPr>
            </w:pPr>
            <w:del w:id="5648" w:author="AbbVie19" w:date="2025-04-16T10:42:00Z">
              <w:r w:rsidRPr="00762FA7">
                <w:rPr>
                  <w:vertAlign w:val="superscript"/>
                  <w:lang w:val="fr-FR"/>
                </w:rPr>
                <w:delText>c</w:delText>
              </w:r>
              <w:r w:rsidRPr="00762FA7">
                <w:rPr>
                  <w:lang w:val="fr-FR"/>
                </w:rPr>
                <w:delText xml:space="preserve"> MTX = methotrexate</w:delText>
              </w:r>
            </w:del>
          </w:p>
          <w:p w14:paraId="7FE168EB" w14:textId="77777777" w:rsidR="00BC0E7E" w:rsidRPr="00762FA7" w:rsidRDefault="00944B8F" w:rsidP="00762FA7">
            <w:pPr>
              <w:keepNext/>
              <w:tabs>
                <w:tab w:val="clear" w:pos="562"/>
                <w:tab w:val="left" w:pos="142"/>
              </w:tabs>
              <w:overflowPunct w:val="0"/>
              <w:autoSpaceDE w:val="0"/>
              <w:autoSpaceDN w:val="0"/>
              <w:adjustRightInd w:val="0"/>
              <w:ind w:left="144" w:hanging="144"/>
              <w:textAlignment w:val="baseline"/>
              <w:rPr>
                <w:del w:id="5649" w:author="AbbVie19" w:date="2025-04-16T10:42:00Z"/>
                <w:lang w:val="fr-FR"/>
              </w:rPr>
            </w:pPr>
            <w:del w:id="5650" w:author="AbbVie19" w:date="2025-04-16T10:42:00Z">
              <w:r w:rsidRPr="00762FA7">
                <w:rPr>
                  <w:lang w:val="fr-FR"/>
                </w:rPr>
                <w:delText xml:space="preserve">**p &lt; 0.01, Humira </w:delText>
              </w:r>
              <w:r w:rsidRPr="00762FA7">
                <w:rPr>
                  <w:i/>
                  <w:iCs/>
                  <w:lang w:val="fr-FR"/>
                </w:rPr>
                <w:delText>versus</w:delText>
              </w:r>
              <w:r w:rsidRPr="00762FA7">
                <w:rPr>
                  <w:lang w:val="fr-FR"/>
                </w:rPr>
                <w:delText xml:space="preserve"> placebo</w:delText>
              </w:r>
            </w:del>
          </w:p>
        </w:tc>
      </w:tr>
    </w:tbl>
    <w:p w14:paraId="0BB371AD" w14:textId="77777777" w:rsidR="00BC0E7E" w:rsidRPr="00762FA7" w:rsidRDefault="00BC0E7E" w:rsidP="00762FA7">
      <w:pPr>
        <w:rPr>
          <w:del w:id="5651" w:author="AbbVie19" w:date="2025-04-16T10:42:00Z"/>
          <w:lang w:val="fr-FR"/>
        </w:rPr>
      </w:pPr>
    </w:p>
    <w:p w14:paraId="7E1CAA8C" w14:textId="77777777" w:rsidR="00BC0E7E" w:rsidRPr="00BC0E7E" w:rsidRDefault="00944B8F" w:rsidP="00762FA7">
      <w:pPr>
        <w:rPr>
          <w:del w:id="5652" w:author="AbbVie19" w:date="2025-04-16T10:42:00Z"/>
        </w:rPr>
      </w:pPr>
      <w:del w:id="5653" w:author="AbbVie19" w:date="2025-04-16T10:42:00Z">
        <w:r w:rsidRPr="00BC0E7E">
          <w:delText xml:space="preserve">In RA studies I-IV, all individual components of the ACR response criteria (number of tender and swollen joints, physician and patient assessment of disease activity and pain, disability index (HAQ) scores and CRP (mg/dl) values) improved at 24 or 26 weeks compared to placebo. In RA study III, these improvements were maintained throughout 52 weeks. </w:delText>
        </w:r>
      </w:del>
    </w:p>
    <w:p w14:paraId="2CC7BF9C" w14:textId="77777777" w:rsidR="00BC0E7E" w:rsidRPr="00BC0E7E" w:rsidRDefault="00BC0E7E" w:rsidP="00762FA7">
      <w:pPr>
        <w:rPr>
          <w:del w:id="5654" w:author="AbbVie19" w:date="2025-04-16T10:42:00Z"/>
        </w:rPr>
      </w:pPr>
    </w:p>
    <w:p w14:paraId="060E9C2B" w14:textId="77777777" w:rsidR="00BC0E7E" w:rsidRPr="00BC0E7E" w:rsidRDefault="00944B8F" w:rsidP="00762FA7">
      <w:pPr>
        <w:rPr>
          <w:del w:id="5655" w:author="AbbVie19" w:date="2025-04-16T10:42:00Z"/>
        </w:rPr>
      </w:pPr>
      <w:del w:id="5656" w:author="AbbVie19" w:date="2025-04-16T10:42:00Z">
        <w:r w:rsidRPr="00BC0E7E">
          <w:delText>In the open-label extension for RA study III, most patients who were ACR responders maintained response when followed for up to 10 years. Of 207 patients who were randomised to Humira 40 mg every other week, 114 patients continued on Humira 40 mg every other week for 5 years. Among those, 86 patients (75.4%) had ACR 20 responses; 72 patients (63.2%) had ACR 50 responses; and 41 patients (36%) had ACR 70 responses. Of 207 patients, 81 patients continued on Humira 40 mg every other week for 10 years. Among those, 64 patients (79.0%) had ACR 20 responses; 56 patients (69.1%) had ACR 50 responses; and 43 patients (53.1%) had ACR 70 responses.</w:delText>
        </w:r>
      </w:del>
    </w:p>
    <w:p w14:paraId="7989BE96" w14:textId="77777777" w:rsidR="00BC0E7E" w:rsidRPr="00BC0E7E" w:rsidRDefault="00BC0E7E" w:rsidP="00762FA7">
      <w:pPr>
        <w:rPr>
          <w:del w:id="5657" w:author="AbbVie19" w:date="2025-04-16T10:42:00Z"/>
        </w:rPr>
      </w:pPr>
    </w:p>
    <w:p w14:paraId="34617DB3" w14:textId="77777777" w:rsidR="00BC0E7E" w:rsidRPr="00BC0E7E" w:rsidRDefault="00944B8F" w:rsidP="00762FA7">
      <w:pPr>
        <w:rPr>
          <w:del w:id="5658" w:author="AbbVie19" w:date="2025-04-16T10:42:00Z"/>
        </w:rPr>
      </w:pPr>
      <w:del w:id="5659" w:author="AbbVie19" w:date="2025-04-16T10:42:00Z">
        <w:r w:rsidRPr="00BC0E7E">
          <w:delText xml:space="preserve">In RA study IV, the ACR 20 response of patients treated with Humira plus standard of care was statistically significantly better than patients treated with placebo plus standard of care (p &lt; 0.001).  </w:delText>
        </w:r>
      </w:del>
    </w:p>
    <w:p w14:paraId="1B200396" w14:textId="77777777" w:rsidR="00BC0E7E" w:rsidRPr="00BC0E7E" w:rsidRDefault="00BC0E7E" w:rsidP="00762FA7">
      <w:pPr>
        <w:tabs>
          <w:tab w:val="clear" w:pos="562"/>
        </w:tabs>
        <w:suppressAutoHyphens w:val="0"/>
        <w:overflowPunct w:val="0"/>
        <w:autoSpaceDE w:val="0"/>
        <w:autoSpaceDN w:val="0"/>
        <w:adjustRightInd w:val="0"/>
        <w:textAlignment w:val="baseline"/>
        <w:rPr>
          <w:del w:id="5660" w:author="AbbVie19" w:date="2025-04-16T10:42:00Z"/>
          <w:szCs w:val="20"/>
        </w:rPr>
      </w:pPr>
    </w:p>
    <w:p w14:paraId="363656E0" w14:textId="77777777" w:rsidR="00BC0E7E" w:rsidRPr="00BC0E7E" w:rsidRDefault="00944B8F" w:rsidP="00762FA7">
      <w:pPr>
        <w:rPr>
          <w:del w:id="5661" w:author="AbbVie19" w:date="2025-04-16T10:42:00Z"/>
        </w:rPr>
      </w:pPr>
      <w:del w:id="5662" w:author="AbbVie19" w:date="2025-04-16T10:42:00Z">
        <w:r w:rsidRPr="00BC0E7E">
          <w:delText>In RA studies I-IV, Humira-treated patients achieved statistically significant ACR 20 and 50 responses compared to placebo as early as one to two weeks after initiation of treatment.</w:delText>
        </w:r>
      </w:del>
    </w:p>
    <w:p w14:paraId="5DAFB0DB" w14:textId="77777777" w:rsidR="00BC0E7E" w:rsidRPr="00BC0E7E" w:rsidRDefault="00BC0E7E" w:rsidP="00762FA7">
      <w:pPr>
        <w:rPr>
          <w:del w:id="5663" w:author="AbbVie19" w:date="2025-04-16T10:42:00Z"/>
        </w:rPr>
      </w:pPr>
    </w:p>
    <w:p w14:paraId="3820A776" w14:textId="77777777" w:rsidR="00BC0E7E" w:rsidRPr="00BC0E7E" w:rsidRDefault="00944B8F" w:rsidP="00762FA7">
      <w:pPr>
        <w:rPr>
          <w:del w:id="5664" w:author="AbbVie19" w:date="2025-04-16T10:42:00Z"/>
        </w:rPr>
      </w:pPr>
      <w:del w:id="5665" w:author="AbbVie19" w:date="2025-04-16T10:42:00Z">
        <w:r w:rsidRPr="00BC0E7E">
          <w:delText xml:space="preserve">In RA study V with early rheumatoid arthritis patients who were methotrexate naïve, combination therapy with Humira and methotrexate led to faster and significantly greater ACR responses than methotrexate monotherapy and Humira monotherapy at Week 52 and responses were sustained at Week 104 (see Table </w:delText>
        </w:r>
        <w:r w:rsidR="005F03EC">
          <w:delText>9</w:delText>
        </w:r>
        <w:r w:rsidRPr="00BC0E7E">
          <w:delText>).</w:delText>
        </w:r>
      </w:del>
    </w:p>
    <w:p w14:paraId="57C534E7" w14:textId="77777777" w:rsidR="00BC0E7E" w:rsidRPr="00BC0E7E" w:rsidRDefault="00BC0E7E" w:rsidP="00762FA7">
      <w:pPr>
        <w:rPr>
          <w:del w:id="5666" w:author="AbbVie19" w:date="2025-04-16T10:42:00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
        <w:gridCol w:w="1539"/>
        <w:gridCol w:w="1320"/>
        <w:gridCol w:w="1320"/>
        <w:gridCol w:w="1576"/>
        <w:gridCol w:w="1100"/>
        <w:gridCol w:w="1173"/>
        <w:gridCol w:w="1210"/>
        <w:gridCol w:w="12"/>
      </w:tblGrid>
      <w:tr w:rsidR="00C6578C" w14:paraId="114FEE27" w14:textId="77777777" w:rsidTr="00171601">
        <w:trPr>
          <w:gridBefore w:val="1"/>
          <w:wBefore w:w="9" w:type="dxa"/>
          <w:cantSplit/>
          <w:jc w:val="center"/>
          <w:del w:id="5667" w:author="AbbVie19" w:date="2025-04-16T10:42:00Z"/>
        </w:trPr>
        <w:tc>
          <w:tcPr>
            <w:tcW w:w="9250" w:type="dxa"/>
            <w:gridSpan w:val="8"/>
            <w:tcBorders>
              <w:top w:val="nil"/>
              <w:left w:val="nil"/>
              <w:bottom w:val="nil"/>
              <w:right w:val="nil"/>
            </w:tcBorders>
            <w:vAlign w:val="center"/>
          </w:tcPr>
          <w:p w14:paraId="438B765B" w14:textId="77777777" w:rsidR="00BC0E7E" w:rsidRPr="00BC0E7E" w:rsidRDefault="00944B8F" w:rsidP="00762FA7">
            <w:pPr>
              <w:keepNext/>
              <w:tabs>
                <w:tab w:val="left" w:pos="3600"/>
                <w:tab w:val="center" w:pos="5760"/>
              </w:tabs>
              <w:jc w:val="center"/>
              <w:rPr>
                <w:del w:id="5668" w:author="AbbVie19" w:date="2025-04-16T10:42:00Z"/>
                <w:b/>
                <w:iCs/>
              </w:rPr>
            </w:pPr>
            <w:del w:id="5669" w:author="AbbVie19" w:date="2025-04-16T10:42:00Z">
              <w:r w:rsidRPr="00BC0E7E">
                <w:rPr>
                  <w:b/>
                  <w:iCs/>
                </w:rPr>
                <w:lastRenderedPageBreak/>
                <w:delText xml:space="preserve">Table </w:delText>
              </w:r>
              <w:r w:rsidR="005F03EC">
                <w:rPr>
                  <w:b/>
                  <w:iCs/>
                </w:rPr>
                <w:delText>9</w:delText>
              </w:r>
              <w:r w:rsidRPr="00BC0E7E">
                <w:rPr>
                  <w:b/>
                  <w:iCs/>
                </w:rPr>
                <w:delText xml:space="preserve"> </w:delText>
              </w:r>
            </w:del>
          </w:p>
          <w:p w14:paraId="5848653D" w14:textId="77777777" w:rsidR="00BC0E7E" w:rsidRPr="00BC0E7E" w:rsidRDefault="00944B8F" w:rsidP="00762FA7">
            <w:pPr>
              <w:keepNext/>
              <w:tabs>
                <w:tab w:val="left" w:pos="3600"/>
                <w:tab w:val="center" w:pos="5760"/>
              </w:tabs>
              <w:jc w:val="center"/>
              <w:rPr>
                <w:del w:id="5670" w:author="AbbVie19" w:date="2025-04-16T10:42:00Z"/>
                <w:b/>
                <w:iCs/>
              </w:rPr>
            </w:pPr>
            <w:del w:id="5671" w:author="AbbVie19" w:date="2025-04-16T10:42:00Z">
              <w:r w:rsidRPr="00BC0E7E">
                <w:rPr>
                  <w:b/>
                  <w:iCs/>
                </w:rPr>
                <w:delText>ACR Responses in RA Study V</w:delText>
              </w:r>
            </w:del>
          </w:p>
          <w:p w14:paraId="6C60A961" w14:textId="77777777" w:rsidR="00BC0E7E" w:rsidRPr="00BC0E7E" w:rsidRDefault="00944B8F" w:rsidP="00762FA7">
            <w:pPr>
              <w:keepNext/>
              <w:tabs>
                <w:tab w:val="left" w:pos="3600"/>
                <w:tab w:val="center" w:pos="5760"/>
              </w:tabs>
              <w:jc w:val="center"/>
              <w:rPr>
                <w:del w:id="5672" w:author="AbbVie19" w:date="2025-04-16T10:42:00Z"/>
                <w:b/>
                <w:bCs/>
                <w:caps/>
              </w:rPr>
            </w:pPr>
            <w:del w:id="5673" w:author="AbbVie19" w:date="2025-04-16T10:42:00Z">
              <w:r w:rsidRPr="00BC0E7E">
                <w:rPr>
                  <w:b/>
                  <w:bCs/>
                </w:rPr>
                <w:delText>(percent of patients</w:delText>
              </w:r>
              <w:r w:rsidRPr="00BC0E7E">
                <w:rPr>
                  <w:b/>
                  <w:bCs/>
                  <w:caps/>
                </w:rPr>
                <w:delText>)</w:delText>
              </w:r>
            </w:del>
          </w:p>
          <w:p w14:paraId="534ECE5F" w14:textId="77777777" w:rsidR="00BC0E7E" w:rsidRPr="00BC0E7E" w:rsidRDefault="00BC0E7E" w:rsidP="00762FA7">
            <w:pPr>
              <w:keepNext/>
              <w:tabs>
                <w:tab w:val="left" w:pos="3600"/>
                <w:tab w:val="center" w:pos="5760"/>
              </w:tabs>
              <w:jc w:val="center"/>
              <w:rPr>
                <w:del w:id="5674" w:author="AbbVie19" w:date="2025-04-16T10:42:00Z"/>
                <w:b/>
                <w:bCs/>
              </w:rPr>
            </w:pPr>
          </w:p>
        </w:tc>
      </w:tr>
      <w:tr w:rsidR="00C6578C" w14:paraId="523B6A47" w14:textId="77777777" w:rsidTr="00171601">
        <w:trPr>
          <w:gridAfter w:val="1"/>
          <w:wAfter w:w="12" w:type="dxa"/>
          <w:cantSplit/>
          <w:jc w:val="center"/>
          <w:del w:id="5675" w:author="AbbVie19" w:date="2025-04-16T10:42:00Z"/>
        </w:trPr>
        <w:tc>
          <w:tcPr>
            <w:tcW w:w="1548" w:type="dxa"/>
            <w:gridSpan w:val="2"/>
            <w:vAlign w:val="center"/>
          </w:tcPr>
          <w:p w14:paraId="42700743" w14:textId="77777777" w:rsidR="00BC0E7E" w:rsidRPr="00762FA7" w:rsidRDefault="00944B8F" w:rsidP="00762FA7">
            <w:pPr>
              <w:keepNext/>
              <w:rPr>
                <w:del w:id="5676" w:author="AbbVie19" w:date="2025-04-16T10:42:00Z"/>
                <w:b/>
                <w:bCs/>
                <w:lang w:val="fr-FR"/>
              </w:rPr>
            </w:pPr>
            <w:del w:id="5677" w:author="AbbVie19" w:date="2025-04-16T10:42:00Z">
              <w:r w:rsidRPr="00762FA7">
                <w:rPr>
                  <w:b/>
                  <w:bCs/>
                  <w:lang w:val="fr-FR"/>
                </w:rPr>
                <w:delText>Response</w:delText>
              </w:r>
            </w:del>
          </w:p>
        </w:tc>
        <w:tc>
          <w:tcPr>
            <w:tcW w:w="1320" w:type="dxa"/>
            <w:vAlign w:val="center"/>
          </w:tcPr>
          <w:p w14:paraId="5ED37EEA" w14:textId="77777777" w:rsidR="00BC0E7E" w:rsidRPr="00762FA7" w:rsidRDefault="00944B8F" w:rsidP="00762FA7">
            <w:pPr>
              <w:keepNext/>
              <w:jc w:val="center"/>
              <w:rPr>
                <w:del w:id="5678" w:author="AbbVie19" w:date="2025-04-16T10:42:00Z"/>
                <w:b/>
                <w:bCs/>
                <w:lang w:val="fr-FR"/>
              </w:rPr>
            </w:pPr>
            <w:del w:id="5679" w:author="AbbVie19" w:date="2025-04-16T10:42:00Z">
              <w:r w:rsidRPr="00762FA7">
                <w:rPr>
                  <w:b/>
                  <w:bCs/>
                  <w:lang w:val="fr-FR"/>
                </w:rPr>
                <w:delText>MTX</w:delText>
              </w:r>
            </w:del>
          </w:p>
          <w:p w14:paraId="72B8AE39" w14:textId="77777777" w:rsidR="00BC0E7E" w:rsidRPr="00762FA7" w:rsidRDefault="00944B8F" w:rsidP="00762FA7">
            <w:pPr>
              <w:keepNext/>
              <w:jc w:val="center"/>
              <w:rPr>
                <w:del w:id="5680" w:author="AbbVie19" w:date="2025-04-16T10:42:00Z"/>
                <w:b/>
                <w:bCs/>
                <w:lang w:val="fr-FR"/>
              </w:rPr>
            </w:pPr>
            <w:del w:id="5681" w:author="AbbVie19" w:date="2025-04-16T10:42:00Z">
              <w:r w:rsidRPr="00762FA7">
                <w:rPr>
                  <w:b/>
                  <w:bCs/>
                  <w:lang w:val="fr-FR"/>
                </w:rPr>
                <w:delText>n=257</w:delText>
              </w:r>
            </w:del>
          </w:p>
        </w:tc>
        <w:tc>
          <w:tcPr>
            <w:tcW w:w="1320" w:type="dxa"/>
            <w:vAlign w:val="center"/>
          </w:tcPr>
          <w:p w14:paraId="3200AB08" w14:textId="77777777" w:rsidR="00BC0E7E" w:rsidRPr="00762FA7" w:rsidRDefault="00944B8F" w:rsidP="00762FA7">
            <w:pPr>
              <w:keepNext/>
              <w:jc w:val="center"/>
              <w:rPr>
                <w:del w:id="5682" w:author="AbbVie19" w:date="2025-04-16T10:42:00Z"/>
                <w:b/>
                <w:bCs/>
                <w:lang w:val="fr-FR"/>
              </w:rPr>
            </w:pPr>
            <w:del w:id="5683" w:author="AbbVie19" w:date="2025-04-16T10:42:00Z">
              <w:r w:rsidRPr="00762FA7">
                <w:rPr>
                  <w:b/>
                  <w:bCs/>
                  <w:lang w:val="fr-FR"/>
                </w:rPr>
                <w:delText>Humira</w:delText>
              </w:r>
            </w:del>
          </w:p>
          <w:p w14:paraId="5EAE2227" w14:textId="77777777" w:rsidR="00BC0E7E" w:rsidRPr="00762FA7" w:rsidRDefault="00944B8F" w:rsidP="00762FA7">
            <w:pPr>
              <w:keepNext/>
              <w:jc w:val="center"/>
              <w:rPr>
                <w:del w:id="5684" w:author="AbbVie19" w:date="2025-04-16T10:42:00Z"/>
                <w:b/>
                <w:bCs/>
                <w:lang w:val="fr-FR"/>
              </w:rPr>
            </w:pPr>
            <w:del w:id="5685" w:author="AbbVie19" w:date="2025-04-16T10:42:00Z">
              <w:r w:rsidRPr="00762FA7">
                <w:rPr>
                  <w:b/>
                  <w:bCs/>
                  <w:lang w:val="fr-FR"/>
                </w:rPr>
                <w:delText>n=274</w:delText>
              </w:r>
            </w:del>
          </w:p>
        </w:tc>
        <w:tc>
          <w:tcPr>
            <w:tcW w:w="1576" w:type="dxa"/>
            <w:vAlign w:val="center"/>
          </w:tcPr>
          <w:p w14:paraId="5961209C" w14:textId="77777777" w:rsidR="00BC0E7E" w:rsidRPr="00762FA7" w:rsidRDefault="00944B8F" w:rsidP="00762FA7">
            <w:pPr>
              <w:keepNext/>
              <w:jc w:val="center"/>
              <w:rPr>
                <w:del w:id="5686" w:author="AbbVie19" w:date="2025-04-16T10:42:00Z"/>
                <w:b/>
                <w:bCs/>
                <w:lang w:val="fr-FR"/>
              </w:rPr>
            </w:pPr>
            <w:del w:id="5687" w:author="AbbVie19" w:date="2025-04-16T10:42:00Z">
              <w:r w:rsidRPr="00762FA7">
                <w:rPr>
                  <w:b/>
                  <w:bCs/>
                  <w:lang w:val="fr-FR"/>
                </w:rPr>
                <w:delText>Humira/MTX</w:delText>
              </w:r>
            </w:del>
          </w:p>
          <w:p w14:paraId="7E2CF6D5" w14:textId="77777777" w:rsidR="00BC0E7E" w:rsidRPr="00762FA7" w:rsidRDefault="00944B8F" w:rsidP="00762FA7">
            <w:pPr>
              <w:keepNext/>
              <w:jc w:val="center"/>
              <w:rPr>
                <w:del w:id="5688" w:author="AbbVie19" w:date="2025-04-16T10:42:00Z"/>
                <w:b/>
                <w:bCs/>
                <w:lang w:val="fr-FR"/>
              </w:rPr>
            </w:pPr>
            <w:del w:id="5689" w:author="AbbVie19" w:date="2025-04-16T10:42:00Z">
              <w:r w:rsidRPr="00762FA7">
                <w:rPr>
                  <w:b/>
                  <w:bCs/>
                  <w:lang w:val="fr-FR"/>
                </w:rPr>
                <w:delText>n=268</w:delText>
              </w:r>
            </w:del>
          </w:p>
        </w:tc>
        <w:tc>
          <w:tcPr>
            <w:tcW w:w="1100" w:type="dxa"/>
            <w:vAlign w:val="center"/>
          </w:tcPr>
          <w:p w14:paraId="1E063461" w14:textId="77777777" w:rsidR="00BC0E7E" w:rsidRPr="00762FA7" w:rsidRDefault="00944B8F" w:rsidP="00762FA7">
            <w:pPr>
              <w:keepNext/>
              <w:jc w:val="center"/>
              <w:rPr>
                <w:del w:id="5690" w:author="AbbVie19" w:date="2025-04-16T10:42:00Z"/>
                <w:b/>
                <w:bCs/>
                <w:lang w:val="fr-FR"/>
              </w:rPr>
            </w:pPr>
            <w:del w:id="5691" w:author="AbbVie19" w:date="2025-04-16T10:42:00Z">
              <w:r w:rsidRPr="00762FA7">
                <w:rPr>
                  <w:b/>
                  <w:bCs/>
                  <w:lang w:val="fr-FR"/>
                </w:rPr>
                <w:delText>p-value</w:delText>
              </w:r>
              <w:r w:rsidRPr="00762FA7">
                <w:rPr>
                  <w:b/>
                  <w:bCs/>
                  <w:vertAlign w:val="superscript"/>
                  <w:lang w:val="fr-FR"/>
                </w:rPr>
                <w:delText>a</w:delText>
              </w:r>
            </w:del>
          </w:p>
        </w:tc>
        <w:tc>
          <w:tcPr>
            <w:tcW w:w="1173" w:type="dxa"/>
            <w:vAlign w:val="center"/>
          </w:tcPr>
          <w:p w14:paraId="6F142F66" w14:textId="77777777" w:rsidR="00BC0E7E" w:rsidRPr="00762FA7" w:rsidRDefault="00944B8F" w:rsidP="00762FA7">
            <w:pPr>
              <w:keepNext/>
              <w:jc w:val="center"/>
              <w:rPr>
                <w:del w:id="5692" w:author="AbbVie19" w:date="2025-04-16T10:42:00Z"/>
                <w:b/>
                <w:bCs/>
                <w:lang w:val="fr-FR"/>
              </w:rPr>
            </w:pPr>
            <w:del w:id="5693" w:author="AbbVie19" w:date="2025-04-16T10:42:00Z">
              <w:r w:rsidRPr="00762FA7">
                <w:rPr>
                  <w:b/>
                  <w:bCs/>
                  <w:lang w:val="fr-FR"/>
                </w:rPr>
                <w:delText>p-value</w:delText>
              </w:r>
              <w:r w:rsidRPr="00762FA7">
                <w:rPr>
                  <w:b/>
                  <w:bCs/>
                  <w:vertAlign w:val="superscript"/>
                  <w:lang w:val="fr-FR"/>
                </w:rPr>
                <w:delText>b</w:delText>
              </w:r>
            </w:del>
          </w:p>
        </w:tc>
        <w:tc>
          <w:tcPr>
            <w:tcW w:w="1210" w:type="dxa"/>
            <w:vAlign w:val="center"/>
          </w:tcPr>
          <w:p w14:paraId="746B44CD" w14:textId="77777777" w:rsidR="00BC0E7E" w:rsidRPr="00BC0E7E" w:rsidRDefault="00944B8F" w:rsidP="00762FA7">
            <w:pPr>
              <w:keepNext/>
              <w:jc w:val="center"/>
              <w:rPr>
                <w:del w:id="5694" w:author="AbbVie19" w:date="2025-04-16T10:42:00Z"/>
              </w:rPr>
            </w:pPr>
            <w:del w:id="5695" w:author="AbbVie19" w:date="2025-04-16T10:42:00Z">
              <w:r w:rsidRPr="00BC0E7E">
                <w:rPr>
                  <w:b/>
                  <w:bCs/>
                </w:rPr>
                <w:delText>p-value</w:delText>
              </w:r>
              <w:r w:rsidRPr="00BC0E7E">
                <w:rPr>
                  <w:b/>
                  <w:bCs/>
                  <w:vertAlign w:val="superscript"/>
                </w:rPr>
                <w:delText>c</w:delText>
              </w:r>
            </w:del>
          </w:p>
        </w:tc>
      </w:tr>
      <w:tr w:rsidR="00C6578C" w14:paraId="4A54DFFD" w14:textId="77777777" w:rsidTr="00171601">
        <w:trPr>
          <w:gridAfter w:val="1"/>
          <w:wAfter w:w="12" w:type="dxa"/>
          <w:cantSplit/>
          <w:jc w:val="center"/>
          <w:del w:id="5696" w:author="AbbVie19" w:date="2025-04-16T10:42:00Z"/>
        </w:trPr>
        <w:tc>
          <w:tcPr>
            <w:tcW w:w="1548" w:type="dxa"/>
            <w:gridSpan w:val="2"/>
          </w:tcPr>
          <w:p w14:paraId="4C68FEBB" w14:textId="77777777" w:rsidR="00BC0E7E" w:rsidRPr="00BC0E7E" w:rsidRDefault="00944B8F" w:rsidP="00762FA7">
            <w:pPr>
              <w:keepNext/>
              <w:rPr>
                <w:del w:id="5697" w:author="AbbVie19" w:date="2025-04-16T10:42:00Z"/>
              </w:rPr>
            </w:pPr>
            <w:del w:id="5698" w:author="AbbVie19" w:date="2025-04-16T10:42:00Z">
              <w:r w:rsidRPr="00BC0E7E">
                <w:delText>ACR 20</w:delText>
              </w:r>
            </w:del>
          </w:p>
        </w:tc>
        <w:tc>
          <w:tcPr>
            <w:tcW w:w="1320" w:type="dxa"/>
          </w:tcPr>
          <w:p w14:paraId="73013D13" w14:textId="77777777" w:rsidR="00BC0E7E" w:rsidRPr="00BC0E7E" w:rsidRDefault="00BC0E7E" w:rsidP="00762FA7">
            <w:pPr>
              <w:keepNext/>
              <w:jc w:val="center"/>
              <w:rPr>
                <w:del w:id="5699" w:author="AbbVie19" w:date="2025-04-16T10:42:00Z"/>
              </w:rPr>
            </w:pPr>
          </w:p>
        </w:tc>
        <w:tc>
          <w:tcPr>
            <w:tcW w:w="1320" w:type="dxa"/>
          </w:tcPr>
          <w:p w14:paraId="1190E662" w14:textId="77777777" w:rsidR="00BC0E7E" w:rsidRPr="00BC0E7E" w:rsidRDefault="00BC0E7E" w:rsidP="00762FA7">
            <w:pPr>
              <w:keepNext/>
              <w:jc w:val="center"/>
              <w:rPr>
                <w:del w:id="5700" w:author="AbbVie19" w:date="2025-04-16T10:42:00Z"/>
              </w:rPr>
            </w:pPr>
          </w:p>
        </w:tc>
        <w:tc>
          <w:tcPr>
            <w:tcW w:w="1576" w:type="dxa"/>
          </w:tcPr>
          <w:p w14:paraId="7EE30767" w14:textId="77777777" w:rsidR="00BC0E7E" w:rsidRPr="00BC0E7E" w:rsidRDefault="00BC0E7E" w:rsidP="00762FA7">
            <w:pPr>
              <w:keepNext/>
              <w:jc w:val="center"/>
              <w:rPr>
                <w:del w:id="5701" w:author="AbbVie19" w:date="2025-04-16T10:42:00Z"/>
              </w:rPr>
            </w:pPr>
          </w:p>
        </w:tc>
        <w:tc>
          <w:tcPr>
            <w:tcW w:w="1100" w:type="dxa"/>
          </w:tcPr>
          <w:p w14:paraId="669FF765" w14:textId="77777777" w:rsidR="00BC0E7E" w:rsidRPr="00BC0E7E" w:rsidRDefault="00BC0E7E" w:rsidP="00762FA7">
            <w:pPr>
              <w:keepNext/>
              <w:jc w:val="center"/>
              <w:rPr>
                <w:del w:id="5702" w:author="AbbVie19" w:date="2025-04-16T10:42:00Z"/>
              </w:rPr>
            </w:pPr>
          </w:p>
        </w:tc>
        <w:tc>
          <w:tcPr>
            <w:tcW w:w="1173" w:type="dxa"/>
          </w:tcPr>
          <w:p w14:paraId="21E2DCFF" w14:textId="77777777" w:rsidR="00BC0E7E" w:rsidRPr="00BC0E7E" w:rsidRDefault="00BC0E7E" w:rsidP="00762FA7">
            <w:pPr>
              <w:keepNext/>
              <w:jc w:val="center"/>
              <w:rPr>
                <w:del w:id="5703" w:author="AbbVie19" w:date="2025-04-16T10:42:00Z"/>
              </w:rPr>
            </w:pPr>
          </w:p>
        </w:tc>
        <w:tc>
          <w:tcPr>
            <w:tcW w:w="1210" w:type="dxa"/>
          </w:tcPr>
          <w:p w14:paraId="1744ED6B" w14:textId="77777777" w:rsidR="00BC0E7E" w:rsidRPr="00BC0E7E" w:rsidRDefault="00BC0E7E" w:rsidP="00762FA7">
            <w:pPr>
              <w:keepNext/>
              <w:jc w:val="center"/>
              <w:rPr>
                <w:del w:id="5704" w:author="AbbVie19" w:date="2025-04-16T10:42:00Z"/>
              </w:rPr>
            </w:pPr>
          </w:p>
        </w:tc>
      </w:tr>
      <w:tr w:rsidR="00C6578C" w14:paraId="37E080B0" w14:textId="77777777" w:rsidTr="00171601">
        <w:trPr>
          <w:gridAfter w:val="1"/>
          <w:wAfter w:w="12" w:type="dxa"/>
          <w:cantSplit/>
          <w:jc w:val="center"/>
          <w:del w:id="5705" w:author="AbbVie19" w:date="2025-04-16T10:42:00Z"/>
        </w:trPr>
        <w:tc>
          <w:tcPr>
            <w:tcW w:w="1548" w:type="dxa"/>
            <w:gridSpan w:val="2"/>
          </w:tcPr>
          <w:p w14:paraId="3521B6A4" w14:textId="77777777" w:rsidR="00BC0E7E" w:rsidRPr="00BC0E7E" w:rsidRDefault="00944B8F" w:rsidP="00762FA7">
            <w:pPr>
              <w:keepNext/>
              <w:rPr>
                <w:del w:id="5706" w:author="AbbVie19" w:date="2025-04-16T10:42:00Z"/>
              </w:rPr>
            </w:pPr>
            <w:del w:id="5707" w:author="AbbVie19" w:date="2025-04-16T10:42:00Z">
              <w:r w:rsidRPr="00BC0E7E">
                <w:tab/>
                <w:delText>Week 52</w:delText>
              </w:r>
            </w:del>
          </w:p>
        </w:tc>
        <w:tc>
          <w:tcPr>
            <w:tcW w:w="1320" w:type="dxa"/>
          </w:tcPr>
          <w:p w14:paraId="6968813A" w14:textId="77777777" w:rsidR="00BC0E7E" w:rsidRPr="00BC0E7E" w:rsidRDefault="00944B8F" w:rsidP="00762FA7">
            <w:pPr>
              <w:keepNext/>
              <w:jc w:val="center"/>
              <w:rPr>
                <w:del w:id="5708" w:author="AbbVie19" w:date="2025-04-16T10:42:00Z"/>
              </w:rPr>
            </w:pPr>
            <w:del w:id="5709" w:author="AbbVie19" w:date="2025-04-16T10:42:00Z">
              <w:r w:rsidRPr="00BC0E7E">
                <w:delText>62.6%</w:delText>
              </w:r>
            </w:del>
          </w:p>
        </w:tc>
        <w:tc>
          <w:tcPr>
            <w:tcW w:w="1320" w:type="dxa"/>
          </w:tcPr>
          <w:p w14:paraId="69326B21" w14:textId="77777777" w:rsidR="00BC0E7E" w:rsidRPr="00BC0E7E" w:rsidRDefault="00944B8F" w:rsidP="00762FA7">
            <w:pPr>
              <w:keepNext/>
              <w:jc w:val="center"/>
              <w:rPr>
                <w:del w:id="5710" w:author="AbbVie19" w:date="2025-04-16T10:42:00Z"/>
              </w:rPr>
            </w:pPr>
            <w:del w:id="5711" w:author="AbbVie19" w:date="2025-04-16T10:42:00Z">
              <w:r w:rsidRPr="00BC0E7E">
                <w:delText>54.4%</w:delText>
              </w:r>
            </w:del>
          </w:p>
        </w:tc>
        <w:tc>
          <w:tcPr>
            <w:tcW w:w="1576" w:type="dxa"/>
          </w:tcPr>
          <w:p w14:paraId="4E44C1C1" w14:textId="77777777" w:rsidR="00BC0E7E" w:rsidRPr="00BC0E7E" w:rsidRDefault="00944B8F" w:rsidP="00762FA7">
            <w:pPr>
              <w:keepNext/>
              <w:jc w:val="center"/>
              <w:rPr>
                <w:del w:id="5712" w:author="AbbVie19" w:date="2025-04-16T10:42:00Z"/>
              </w:rPr>
            </w:pPr>
            <w:del w:id="5713" w:author="AbbVie19" w:date="2025-04-16T10:42:00Z">
              <w:r w:rsidRPr="00BC0E7E">
                <w:delText>72.8%</w:delText>
              </w:r>
            </w:del>
          </w:p>
        </w:tc>
        <w:tc>
          <w:tcPr>
            <w:tcW w:w="1100" w:type="dxa"/>
          </w:tcPr>
          <w:p w14:paraId="3EC9F11D" w14:textId="77777777" w:rsidR="00BC0E7E" w:rsidRPr="00BC0E7E" w:rsidRDefault="00944B8F" w:rsidP="00762FA7">
            <w:pPr>
              <w:keepNext/>
              <w:jc w:val="center"/>
              <w:rPr>
                <w:del w:id="5714" w:author="AbbVie19" w:date="2025-04-16T10:42:00Z"/>
              </w:rPr>
            </w:pPr>
            <w:del w:id="5715" w:author="AbbVie19" w:date="2025-04-16T10:42:00Z">
              <w:r w:rsidRPr="00BC0E7E">
                <w:delText>0.013</w:delText>
              </w:r>
            </w:del>
          </w:p>
        </w:tc>
        <w:tc>
          <w:tcPr>
            <w:tcW w:w="1173" w:type="dxa"/>
          </w:tcPr>
          <w:p w14:paraId="6433C3DE" w14:textId="77777777" w:rsidR="00BC0E7E" w:rsidRPr="00BC0E7E" w:rsidRDefault="00944B8F" w:rsidP="00762FA7">
            <w:pPr>
              <w:keepNext/>
              <w:jc w:val="center"/>
              <w:rPr>
                <w:del w:id="5716" w:author="AbbVie19" w:date="2025-04-16T10:42:00Z"/>
              </w:rPr>
            </w:pPr>
            <w:del w:id="5717" w:author="AbbVie19" w:date="2025-04-16T10:42:00Z">
              <w:r w:rsidRPr="00BC0E7E">
                <w:delText>&lt; 0.001</w:delText>
              </w:r>
            </w:del>
          </w:p>
        </w:tc>
        <w:tc>
          <w:tcPr>
            <w:tcW w:w="1210" w:type="dxa"/>
          </w:tcPr>
          <w:p w14:paraId="30EE0FCA" w14:textId="77777777" w:rsidR="00BC0E7E" w:rsidRPr="00BC0E7E" w:rsidRDefault="00944B8F" w:rsidP="00762FA7">
            <w:pPr>
              <w:keepNext/>
              <w:jc w:val="center"/>
              <w:rPr>
                <w:del w:id="5718" w:author="AbbVie19" w:date="2025-04-16T10:42:00Z"/>
              </w:rPr>
            </w:pPr>
            <w:del w:id="5719" w:author="AbbVie19" w:date="2025-04-16T10:42:00Z">
              <w:r w:rsidRPr="00BC0E7E">
                <w:delText>0.043</w:delText>
              </w:r>
            </w:del>
          </w:p>
        </w:tc>
      </w:tr>
      <w:tr w:rsidR="00C6578C" w14:paraId="058DC5BC" w14:textId="77777777" w:rsidTr="00171601">
        <w:trPr>
          <w:gridAfter w:val="1"/>
          <w:wAfter w:w="12" w:type="dxa"/>
          <w:cantSplit/>
          <w:jc w:val="center"/>
          <w:del w:id="5720" w:author="AbbVie19" w:date="2025-04-16T10:42:00Z"/>
        </w:trPr>
        <w:tc>
          <w:tcPr>
            <w:tcW w:w="1548" w:type="dxa"/>
            <w:gridSpan w:val="2"/>
          </w:tcPr>
          <w:p w14:paraId="3AB5C4A4" w14:textId="77777777" w:rsidR="00BC0E7E" w:rsidRPr="00BC0E7E" w:rsidRDefault="00944B8F" w:rsidP="00762FA7">
            <w:pPr>
              <w:keepNext/>
              <w:rPr>
                <w:del w:id="5721" w:author="AbbVie19" w:date="2025-04-16T10:42:00Z"/>
              </w:rPr>
            </w:pPr>
            <w:del w:id="5722" w:author="AbbVie19" w:date="2025-04-16T10:42:00Z">
              <w:r w:rsidRPr="00BC0E7E">
                <w:tab/>
                <w:delText>Week 104</w:delText>
              </w:r>
            </w:del>
          </w:p>
        </w:tc>
        <w:tc>
          <w:tcPr>
            <w:tcW w:w="1320" w:type="dxa"/>
          </w:tcPr>
          <w:p w14:paraId="6A45A636" w14:textId="77777777" w:rsidR="00BC0E7E" w:rsidRPr="00BC0E7E" w:rsidRDefault="00944B8F" w:rsidP="00762FA7">
            <w:pPr>
              <w:keepNext/>
              <w:jc w:val="center"/>
              <w:rPr>
                <w:del w:id="5723" w:author="AbbVie19" w:date="2025-04-16T10:42:00Z"/>
              </w:rPr>
            </w:pPr>
            <w:del w:id="5724" w:author="AbbVie19" w:date="2025-04-16T10:42:00Z">
              <w:r w:rsidRPr="00BC0E7E">
                <w:delText>56.0%</w:delText>
              </w:r>
            </w:del>
          </w:p>
        </w:tc>
        <w:tc>
          <w:tcPr>
            <w:tcW w:w="1320" w:type="dxa"/>
          </w:tcPr>
          <w:p w14:paraId="0D064F45" w14:textId="77777777" w:rsidR="00BC0E7E" w:rsidRPr="00BC0E7E" w:rsidRDefault="00944B8F" w:rsidP="00762FA7">
            <w:pPr>
              <w:keepNext/>
              <w:jc w:val="center"/>
              <w:rPr>
                <w:del w:id="5725" w:author="AbbVie19" w:date="2025-04-16T10:42:00Z"/>
              </w:rPr>
            </w:pPr>
            <w:del w:id="5726" w:author="AbbVie19" w:date="2025-04-16T10:42:00Z">
              <w:r w:rsidRPr="00BC0E7E">
                <w:delText>49.3%</w:delText>
              </w:r>
            </w:del>
          </w:p>
        </w:tc>
        <w:tc>
          <w:tcPr>
            <w:tcW w:w="1576" w:type="dxa"/>
          </w:tcPr>
          <w:p w14:paraId="461BC1E3" w14:textId="77777777" w:rsidR="00BC0E7E" w:rsidRPr="00BC0E7E" w:rsidRDefault="00944B8F" w:rsidP="00762FA7">
            <w:pPr>
              <w:keepNext/>
              <w:jc w:val="center"/>
              <w:rPr>
                <w:del w:id="5727" w:author="AbbVie19" w:date="2025-04-16T10:42:00Z"/>
              </w:rPr>
            </w:pPr>
            <w:del w:id="5728" w:author="AbbVie19" w:date="2025-04-16T10:42:00Z">
              <w:r w:rsidRPr="00BC0E7E">
                <w:delText>69.4%</w:delText>
              </w:r>
            </w:del>
          </w:p>
        </w:tc>
        <w:tc>
          <w:tcPr>
            <w:tcW w:w="1100" w:type="dxa"/>
          </w:tcPr>
          <w:p w14:paraId="31EA07AB" w14:textId="77777777" w:rsidR="00BC0E7E" w:rsidRPr="00BC0E7E" w:rsidRDefault="00944B8F" w:rsidP="00762FA7">
            <w:pPr>
              <w:keepNext/>
              <w:jc w:val="center"/>
              <w:rPr>
                <w:del w:id="5729" w:author="AbbVie19" w:date="2025-04-16T10:42:00Z"/>
              </w:rPr>
            </w:pPr>
            <w:del w:id="5730" w:author="AbbVie19" w:date="2025-04-16T10:42:00Z">
              <w:r w:rsidRPr="00BC0E7E">
                <w:delText>0.002</w:delText>
              </w:r>
            </w:del>
          </w:p>
        </w:tc>
        <w:tc>
          <w:tcPr>
            <w:tcW w:w="1173" w:type="dxa"/>
          </w:tcPr>
          <w:p w14:paraId="7A34FBAA" w14:textId="77777777" w:rsidR="00BC0E7E" w:rsidRPr="00BC0E7E" w:rsidRDefault="00944B8F" w:rsidP="00762FA7">
            <w:pPr>
              <w:keepNext/>
              <w:jc w:val="center"/>
              <w:rPr>
                <w:del w:id="5731" w:author="AbbVie19" w:date="2025-04-16T10:42:00Z"/>
              </w:rPr>
            </w:pPr>
            <w:del w:id="5732" w:author="AbbVie19" w:date="2025-04-16T10:42:00Z">
              <w:r w:rsidRPr="00BC0E7E">
                <w:delText>&lt; 0.001</w:delText>
              </w:r>
            </w:del>
          </w:p>
        </w:tc>
        <w:tc>
          <w:tcPr>
            <w:tcW w:w="1210" w:type="dxa"/>
          </w:tcPr>
          <w:p w14:paraId="5DA7B313" w14:textId="77777777" w:rsidR="00BC0E7E" w:rsidRPr="00BC0E7E" w:rsidRDefault="00944B8F" w:rsidP="00762FA7">
            <w:pPr>
              <w:keepNext/>
              <w:jc w:val="center"/>
              <w:rPr>
                <w:del w:id="5733" w:author="AbbVie19" w:date="2025-04-16T10:42:00Z"/>
              </w:rPr>
            </w:pPr>
            <w:del w:id="5734" w:author="AbbVie19" w:date="2025-04-16T10:42:00Z">
              <w:r w:rsidRPr="00BC0E7E">
                <w:delText>0.140</w:delText>
              </w:r>
            </w:del>
          </w:p>
        </w:tc>
      </w:tr>
      <w:tr w:rsidR="00C6578C" w14:paraId="50028492" w14:textId="77777777" w:rsidTr="00171601">
        <w:trPr>
          <w:gridAfter w:val="1"/>
          <w:wAfter w:w="12" w:type="dxa"/>
          <w:cantSplit/>
          <w:jc w:val="center"/>
          <w:del w:id="5735" w:author="AbbVie19" w:date="2025-04-16T10:42:00Z"/>
        </w:trPr>
        <w:tc>
          <w:tcPr>
            <w:tcW w:w="1548" w:type="dxa"/>
            <w:gridSpan w:val="2"/>
          </w:tcPr>
          <w:p w14:paraId="2AE76B01" w14:textId="77777777" w:rsidR="00BC0E7E" w:rsidRPr="00BC0E7E" w:rsidRDefault="00944B8F" w:rsidP="00762FA7">
            <w:pPr>
              <w:keepNext/>
              <w:rPr>
                <w:del w:id="5736" w:author="AbbVie19" w:date="2025-04-16T10:42:00Z"/>
              </w:rPr>
            </w:pPr>
            <w:del w:id="5737" w:author="AbbVie19" w:date="2025-04-16T10:42:00Z">
              <w:r w:rsidRPr="00BC0E7E">
                <w:delText>ACR 50</w:delText>
              </w:r>
            </w:del>
          </w:p>
        </w:tc>
        <w:tc>
          <w:tcPr>
            <w:tcW w:w="1320" w:type="dxa"/>
          </w:tcPr>
          <w:p w14:paraId="0B00D790" w14:textId="77777777" w:rsidR="00BC0E7E" w:rsidRPr="00BC0E7E" w:rsidRDefault="00BC0E7E" w:rsidP="00762FA7">
            <w:pPr>
              <w:keepNext/>
              <w:jc w:val="center"/>
              <w:rPr>
                <w:del w:id="5738" w:author="AbbVie19" w:date="2025-04-16T10:42:00Z"/>
              </w:rPr>
            </w:pPr>
          </w:p>
        </w:tc>
        <w:tc>
          <w:tcPr>
            <w:tcW w:w="1320" w:type="dxa"/>
          </w:tcPr>
          <w:p w14:paraId="3A5A6CC1" w14:textId="77777777" w:rsidR="00BC0E7E" w:rsidRPr="00BC0E7E" w:rsidRDefault="00BC0E7E" w:rsidP="00762FA7">
            <w:pPr>
              <w:keepNext/>
              <w:jc w:val="center"/>
              <w:rPr>
                <w:del w:id="5739" w:author="AbbVie19" w:date="2025-04-16T10:42:00Z"/>
              </w:rPr>
            </w:pPr>
          </w:p>
        </w:tc>
        <w:tc>
          <w:tcPr>
            <w:tcW w:w="1576" w:type="dxa"/>
          </w:tcPr>
          <w:p w14:paraId="3A0AFFDB" w14:textId="77777777" w:rsidR="00BC0E7E" w:rsidRPr="00BC0E7E" w:rsidRDefault="00BC0E7E" w:rsidP="00762FA7">
            <w:pPr>
              <w:keepNext/>
              <w:jc w:val="center"/>
              <w:rPr>
                <w:del w:id="5740" w:author="AbbVie19" w:date="2025-04-16T10:42:00Z"/>
              </w:rPr>
            </w:pPr>
          </w:p>
        </w:tc>
        <w:tc>
          <w:tcPr>
            <w:tcW w:w="1100" w:type="dxa"/>
          </w:tcPr>
          <w:p w14:paraId="530642EF" w14:textId="77777777" w:rsidR="00BC0E7E" w:rsidRPr="00BC0E7E" w:rsidRDefault="00BC0E7E" w:rsidP="00762FA7">
            <w:pPr>
              <w:keepNext/>
              <w:jc w:val="center"/>
              <w:rPr>
                <w:del w:id="5741" w:author="AbbVie19" w:date="2025-04-16T10:42:00Z"/>
              </w:rPr>
            </w:pPr>
          </w:p>
        </w:tc>
        <w:tc>
          <w:tcPr>
            <w:tcW w:w="1173" w:type="dxa"/>
          </w:tcPr>
          <w:p w14:paraId="3242A484" w14:textId="77777777" w:rsidR="00BC0E7E" w:rsidRPr="00BC0E7E" w:rsidRDefault="00BC0E7E" w:rsidP="00762FA7">
            <w:pPr>
              <w:keepNext/>
              <w:jc w:val="center"/>
              <w:rPr>
                <w:del w:id="5742" w:author="AbbVie19" w:date="2025-04-16T10:42:00Z"/>
              </w:rPr>
            </w:pPr>
          </w:p>
        </w:tc>
        <w:tc>
          <w:tcPr>
            <w:tcW w:w="1210" w:type="dxa"/>
          </w:tcPr>
          <w:p w14:paraId="41AE1FB0" w14:textId="77777777" w:rsidR="00BC0E7E" w:rsidRPr="00BC0E7E" w:rsidRDefault="00BC0E7E" w:rsidP="00762FA7">
            <w:pPr>
              <w:keepNext/>
              <w:jc w:val="center"/>
              <w:rPr>
                <w:del w:id="5743" w:author="AbbVie19" w:date="2025-04-16T10:42:00Z"/>
              </w:rPr>
            </w:pPr>
          </w:p>
        </w:tc>
      </w:tr>
      <w:tr w:rsidR="00C6578C" w14:paraId="38CF978E" w14:textId="77777777" w:rsidTr="00171601">
        <w:trPr>
          <w:gridAfter w:val="1"/>
          <w:wAfter w:w="12" w:type="dxa"/>
          <w:cantSplit/>
          <w:jc w:val="center"/>
          <w:del w:id="5744" w:author="AbbVie19" w:date="2025-04-16T10:42:00Z"/>
        </w:trPr>
        <w:tc>
          <w:tcPr>
            <w:tcW w:w="1548" w:type="dxa"/>
            <w:gridSpan w:val="2"/>
          </w:tcPr>
          <w:p w14:paraId="0BA4A285" w14:textId="77777777" w:rsidR="00BC0E7E" w:rsidRPr="00BC0E7E" w:rsidRDefault="00944B8F" w:rsidP="00762FA7">
            <w:pPr>
              <w:keepNext/>
              <w:rPr>
                <w:del w:id="5745" w:author="AbbVie19" w:date="2025-04-16T10:42:00Z"/>
              </w:rPr>
            </w:pPr>
            <w:del w:id="5746" w:author="AbbVie19" w:date="2025-04-16T10:42:00Z">
              <w:r w:rsidRPr="00BC0E7E">
                <w:tab/>
                <w:delText>Week 52</w:delText>
              </w:r>
            </w:del>
          </w:p>
        </w:tc>
        <w:tc>
          <w:tcPr>
            <w:tcW w:w="1320" w:type="dxa"/>
          </w:tcPr>
          <w:p w14:paraId="45FB74C0" w14:textId="77777777" w:rsidR="00BC0E7E" w:rsidRPr="00BC0E7E" w:rsidRDefault="00944B8F" w:rsidP="00762FA7">
            <w:pPr>
              <w:keepNext/>
              <w:jc w:val="center"/>
              <w:rPr>
                <w:del w:id="5747" w:author="AbbVie19" w:date="2025-04-16T10:42:00Z"/>
              </w:rPr>
            </w:pPr>
            <w:del w:id="5748" w:author="AbbVie19" w:date="2025-04-16T10:42:00Z">
              <w:r w:rsidRPr="00BC0E7E">
                <w:delText>45.9%</w:delText>
              </w:r>
            </w:del>
          </w:p>
        </w:tc>
        <w:tc>
          <w:tcPr>
            <w:tcW w:w="1320" w:type="dxa"/>
          </w:tcPr>
          <w:p w14:paraId="5ABAB893" w14:textId="77777777" w:rsidR="00BC0E7E" w:rsidRPr="00BC0E7E" w:rsidRDefault="00944B8F" w:rsidP="00762FA7">
            <w:pPr>
              <w:keepNext/>
              <w:jc w:val="center"/>
              <w:rPr>
                <w:del w:id="5749" w:author="AbbVie19" w:date="2025-04-16T10:42:00Z"/>
              </w:rPr>
            </w:pPr>
            <w:del w:id="5750" w:author="AbbVie19" w:date="2025-04-16T10:42:00Z">
              <w:r w:rsidRPr="00BC0E7E">
                <w:delText>41.2%</w:delText>
              </w:r>
            </w:del>
          </w:p>
        </w:tc>
        <w:tc>
          <w:tcPr>
            <w:tcW w:w="1576" w:type="dxa"/>
          </w:tcPr>
          <w:p w14:paraId="4847BC8A" w14:textId="77777777" w:rsidR="00BC0E7E" w:rsidRPr="00BC0E7E" w:rsidRDefault="00944B8F" w:rsidP="00762FA7">
            <w:pPr>
              <w:keepNext/>
              <w:jc w:val="center"/>
              <w:rPr>
                <w:del w:id="5751" w:author="AbbVie19" w:date="2025-04-16T10:42:00Z"/>
              </w:rPr>
            </w:pPr>
            <w:del w:id="5752" w:author="AbbVie19" w:date="2025-04-16T10:42:00Z">
              <w:r w:rsidRPr="00BC0E7E">
                <w:delText>61.6%</w:delText>
              </w:r>
            </w:del>
          </w:p>
        </w:tc>
        <w:tc>
          <w:tcPr>
            <w:tcW w:w="1100" w:type="dxa"/>
          </w:tcPr>
          <w:p w14:paraId="0318CB82" w14:textId="77777777" w:rsidR="00BC0E7E" w:rsidRPr="00BC0E7E" w:rsidRDefault="00944B8F" w:rsidP="00762FA7">
            <w:pPr>
              <w:keepNext/>
              <w:jc w:val="center"/>
              <w:rPr>
                <w:del w:id="5753" w:author="AbbVie19" w:date="2025-04-16T10:42:00Z"/>
              </w:rPr>
            </w:pPr>
            <w:del w:id="5754" w:author="AbbVie19" w:date="2025-04-16T10:42:00Z">
              <w:r w:rsidRPr="00BC0E7E">
                <w:delText>&lt; 0.001</w:delText>
              </w:r>
            </w:del>
          </w:p>
        </w:tc>
        <w:tc>
          <w:tcPr>
            <w:tcW w:w="1173" w:type="dxa"/>
          </w:tcPr>
          <w:p w14:paraId="6943F7BE" w14:textId="77777777" w:rsidR="00BC0E7E" w:rsidRPr="00BC0E7E" w:rsidRDefault="00944B8F" w:rsidP="00762FA7">
            <w:pPr>
              <w:keepNext/>
              <w:jc w:val="center"/>
              <w:rPr>
                <w:del w:id="5755" w:author="AbbVie19" w:date="2025-04-16T10:42:00Z"/>
              </w:rPr>
            </w:pPr>
            <w:del w:id="5756" w:author="AbbVie19" w:date="2025-04-16T10:42:00Z">
              <w:r w:rsidRPr="00BC0E7E">
                <w:delText>&lt; 0.001</w:delText>
              </w:r>
            </w:del>
          </w:p>
        </w:tc>
        <w:tc>
          <w:tcPr>
            <w:tcW w:w="1210" w:type="dxa"/>
          </w:tcPr>
          <w:p w14:paraId="6F8412BC" w14:textId="77777777" w:rsidR="00BC0E7E" w:rsidRPr="00BC0E7E" w:rsidRDefault="00944B8F" w:rsidP="00762FA7">
            <w:pPr>
              <w:keepNext/>
              <w:jc w:val="center"/>
              <w:rPr>
                <w:del w:id="5757" w:author="AbbVie19" w:date="2025-04-16T10:42:00Z"/>
              </w:rPr>
            </w:pPr>
            <w:del w:id="5758" w:author="AbbVie19" w:date="2025-04-16T10:42:00Z">
              <w:r w:rsidRPr="00BC0E7E">
                <w:delText>0.317</w:delText>
              </w:r>
            </w:del>
          </w:p>
        </w:tc>
      </w:tr>
      <w:tr w:rsidR="00C6578C" w14:paraId="13AF9429" w14:textId="77777777" w:rsidTr="00171601">
        <w:trPr>
          <w:gridAfter w:val="1"/>
          <w:wAfter w:w="12" w:type="dxa"/>
          <w:cantSplit/>
          <w:jc w:val="center"/>
          <w:del w:id="5759" w:author="AbbVie19" w:date="2025-04-16T10:42:00Z"/>
        </w:trPr>
        <w:tc>
          <w:tcPr>
            <w:tcW w:w="1548" w:type="dxa"/>
            <w:gridSpan w:val="2"/>
          </w:tcPr>
          <w:p w14:paraId="0EF5F3BD" w14:textId="77777777" w:rsidR="00BC0E7E" w:rsidRPr="00BC0E7E" w:rsidRDefault="00944B8F" w:rsidP="00762FA7">
            <w:pPr>
              <w:keepNext/>
              <w:rPr>
                <w:del w:id="5760" w:author="AbbVie19" w:date="2025-04-16T10:42:00Z"/>
              </w:rPr>
            </w:pPr>
            <w:del w:id="5761" w:author="AbbVie19" w:date="2025-04-16T10:42:00Z">
              <w:r w:rsidRPr="00BC0E7E">
                <w:tab/>
                <w:delText>Week 104</w:delText>
              </w:r>
            </w:del>
          </w:p>
        </w:tc>
        <w:tc>
          <w:tcPr>
            <w:tcW w:w="1320" w:type="dxa"/>
          </w:tcPr>
          <w:p w14:paraId="0C944246" w14:textId="77777777" w:rsidR="00BC0E7E" w:rsidRPr="00BC0E7E" w:rsidRDefault="00944B8F" w:rsidP="00762FA7">
            <w:pPr>
              <w:keepNext/>
              <w:jc w:val="center"/>
              <w:rPr>
                <w:del w:id="5762" w:author="AbbVie19" w:date="2025-04-16T10:42:00Z"/>
              </w:rPr>
            </w:pPr>
            <w:del w:id="5763" w:author="AbbVie19" w:date="2025-04-16T10:42:00Z">
              <w:r w:rsidRPr="00BC0E7E">
                <w:delText>42.8%</w:delText>
              </w:r>
            </w:del>
          </w:p>
        </w:tc>
        <w:tc>
          <w:tcPr>
            <w:tcW w:w="1320" w:type="dxa"/>
          </w:tcPr>
          <w:p w14:paraId="2EBF3C24" w14:textId="77777777" w:rsidR="00BC0E7E" w:rsidRPr="00BC0E7E" w:rsidRDefault="00944B8F" w:rsidP="00762FA7">
            <w:pPr>
              <w:keepNext/>
              <w:jc w:val="center"/>
              <w:rPr>
                <w:del w:id="5764" w:author="AbbVie19" w:date="2025-04-16T10:42:00Z"/>
              </w:rPr>
            </w:pPr>
            <w:del w:id="5765" w:author="AbbVie19" w:date="2025-04-16T10:42:00Z">
              <w:r w:rsidRPr="00BC0E7E">
                <w:delText>36.9%</w:delText>
              </w:r>
            </w:del>
          </w:p>
        </w:tc>
        <w:tc>
          <w:tcPr>
            <w:tcW w:w="1576" w:type="dxa"/>
          </w:tcPr>
          <w:p w14:paraId="7972FA34" w14:textId="77777777" w:rsidR="00BC0E7E" w:rsidRPr="00BC0E7E" w:rsidRDefault="00944B8F" w:rsidP="00762FA7">
            <w:pPr>
              <w:keepNext/>
              <w:jc w:val="center"/>
              <w:rPr>
                <w:del w:id="5766" w:author="AbbVie19" w:date="2025-04-16T10:42:00Z"/>
              </w:rPr>
            </w:pPr>
            <w:del w:id="5767" w:author="AbbVie19" w:date="2025-04-16T10:42:00Z">
              <w:r w:rsidRPr="00BC0E7E">
                <w:delText>59.0%</w:delText>
              </w:r>
            </w:del>
          </w:p>
        </w:tc>
        <w:tc>
          <w:tcPr>
            <w:tcW w:w="1100" w:type="dxa"/>
          </w:tcPr>
          <w:p w14:paraId="4AF5A7E2" w14:textId="77777777" w:rsidR="00BC0E7E" w:rsidRPr="00BC0E7E" w:rsidRDefault="00944B8F" w:rsidP="00762FA7">
            <w:pPr>
              <w:keepNext/>
              <w:jc w:val="center"/>
              <w:rPr>
                <w:del w:id="5768" w:author="AbbVie19" w:date="2025-04-16T10:42:00Z"/>
              </w:rPr>
            </w:pPr>
            <w:del w:id="5769" w:author="AbbVie19" w:date="2025-04-16T10:42:00Z">
              <w:r w:rsidRPr="00BC0E7E">
                <w:delText>&lt; 0.001</w:delText>
              </w:r>
            </w:del>
          </w:p>
        </w:tc>
        <w:tc>
          <w:tcPr>
            <w:tcW w:w="1173" w:type="dxa"/>
          </w:tcPr>
          <w:p w14:paraId="4D3660D8" w14:textId="77777777" w:rsidR="00BC0E7E" w:rsidRPr="00BC0E7E" w:rsidRDefault="00944B8F" w:rsidP="00762FA7">
            <w:pPr>
              <w:keepNext/>
              <w:jc w:val="center"/>
              <w:rPr>
                <w:del w:id="5770" w:author="AbbVie19" w:date="2025-04-16T10:42:00Z"/>
              </w:rPr>
            </w:pPr>
            <w:del w:id="5771" w:author="AbbVie19" w:date="2025-04-16T10:42:00Z">
              <w:r w:rsidRPr="00BC0E7E">
                <w:delText>&lt; 0.001</w:delText>
              </w:r>
            </w:del>
          </w:p>
        </w:tc>
        <w:tc>
          <w:tcPr>
            <w:tcW w:w="1210" w:type="dxa"/>
          </w:tcPr>
          <w:p w14:paraId="3A2E0CD8" w14:textId="77777777" w:rsidR="00BC0E7E" w:rsidRPr="00BC0E7E" w:rsidRDefault="00944B8F" w:rsidP="00762FA7">
            <w:pPr>
              <w:keepNext/>
              <w:jc w:val="center"/>
              <w:rPr>
                <w:del w:id="5772" w:author="AbbVie19" w:date="2025-04-16T10:42:00Z"/>
              </w:rPr>
            </w:pPr>
            <w:del w:id="5773" w:author="AbbVie19" w:date="2025-04-16T10:42:00Z">
              <w:r w:rsidRPr="00BC0E7E">
                <w:delText>0.162</w:delText>
              </w:r>
            </w:del>
          </w:p>
        </w:tc>
      </w:tr>
      <w:tr w:rsidR="00C6578C" w14:paraId="6456E683" w14:textId="77777777" w:rsidTr="00171601">
        <w:trPr>
          <w:gridAfter w:val="1"/>
          <w:wAfter w:w="12" w:type="dxa"/>
          <w:cantSplit/>
          <w:jc w:val="center"/>
          <w:del w:id="5774" w:author="AbbVie19" w:date="2025-04-16T10:42:00Z"/>
        </w:trPr>
        <w:tc>
          <w:tcPr>
            <w:tcW w:w="1548" w:type="dxa"/>
            <w:gridSpan w:val="2"/>
          </w:tcPr>
          <w:p w14:paraId="51D3ACA1" w14:textId="77777777" w:rsidR="00BC0E7E" w:rsidRPr="00BC0E7E" w:rsidRDefault="00944B8F" w:rsidP="00762FA7">
            <w:pPr>
              <w:keepNext/>
              <w:rPr>
                <w:del w:id="5775" w:author="AbbVie19" w:date="2025-04-16T10:42:00Z"/>
              </w:rPr>
            </w:pPr>
            <w:del w:id="5776" w:author="AbbVie19" w:date="2025-04-16T10:42:00Z">
              <w:r w:rsidRPr="00BC0E7E">
                <w:delText>ACR 70</w:delText>
              </w:r>
            </w:del>
          </w:p>
        </w:tc>
        <w:tc>
          <w:tcPr>
            <w:tcW w:w="1320" w:type="dxa"/>
          </w:tcPr>
          <w:p w14:paraId="40927E1F" w14:textId="77777777" w:rsidR="00BC0E7E" w:rsidRPr="00BC0E7E" w:rsidRDefault="00BC0E7E" w:rsidP="00762FA7">
            <w:pPr>
              <w:keepNext/>
              <w:jc w:val="center"/>
              <w:rPr>
                <w:del w:id="5777" w:author="AbbVie19" w:date="2025-04-16T10:42:00Z"/>
              </w:rPr>
            </w:pPr>
          </w:p>
        </w:tc>
        <w:tc>
          <w:tcPr>
            <w:tcW w:w="1320" w:type="dxa"/>
          </w:tcPr>
          <w:p w14:paraId="4EFD38BD" w14:textId="77777777" w:rsidR="00BC0E7E" w:rsidRPr="00BC0E7E" w:rsidRDefault="00BC0E7E" w:rsidP="00762FA7">
            <w:pPr>
              <w:keepNext/>
              <w:jc w:val="center"/>
              <w:rPr>
                <w:del w:id="5778" w:author="AbbVie19" w:date="2025-04-16T10:42:00Z"/>
              </w:rPr>
            </w:pPr>
          </w:p>
        </w:tc>
        <w:tc>
          <w:tcPr>
            <w:tcW w:w="1576" w:type="dxa"/>
          </w:tcPr>
          <w:p w14:paraId="63767D74" w14:textId="77777777" w:rsidR="00BC0E7E" w:rsidRPr="00BC0E7E" w:rsidRDefault="00BC0E7E" w:rsidP="00762FA7">
            <w:pPr>
              <w:keepNext/>
              <w:jc w:val="center"/>
              <w:rPr>
                <w:del w:id="5779" w:author="AbbVie19" w:date="2025-04-16T10:42:00Z"/>
              </w:rPr>
            </w:pPr>
          </w:p>
        </w:tc>
        <w:tc>
          <w:tcPr>
            <w:tcW w:w="1100" w:type="dxa"/>
          </w:tcPr>
          <w:p w14:paraId="53B7C054" w14:textId="77777777" w:rsidR="00BC0E7E" w:rsidRPr="00BC0E7E" w:rsidRDefault="00BC0E7E" w:rsidP="00762FA7">
            <w:pPr>
              <w:keepNext/>
              <w:jc w:val="center"/>
              <w:rPr>
                <w:del w:id="5780" w:author="AbbVie19" w:date="2025-04-16T10:42:00Z"/>
              </w:rPr>
            </w:pPr>
          </w:p>
        </w:tc>
        <w:tc>
          <w:tcPr>
            <w:tcW w:w="1173" w:type="dxa"/>
          </w:tcPr>
          <w:p w14:paraId="4B5A33A7" w14:textId="77777777" w:rsidR="00BC0E7E" w:rsidRPr="00BC0E7E" w:rsidRDefault="00BC0E7E" w:rsidP="00762FA7">
            <w:pPr>
              <w:keepNext/>
              <w:jc w:val="center"/>
              <w:rPr>
                <w:del w:id="5781" w:author="AbbVie19" w:date="2025-04-16T10:42:00Z"/>
              </w:rPr>
            </w:pPr>
          </w:p>
        </w:tc>
        <w:tc>
          <w:tcPr>
            <w:tcW w:w="1210" w:type="dxa"/>
          </w:tcPr>
          <w:p w14:paraId="5E7C5F0A" w14:textId="77777777" w:rsidR="00BC0E7E" w:rsidRPr="00BC0E7E" w:rsidRDefault="00BC0E7E" w:rsidP="00762FA7">
            <w:pPr>
              <w:keepNext/>
              <w:jc w:val="center"/>
              <w:rPr>
                <w:del w:id="5782" w:author="AbbVie19" w:date="2025-04-16T10:42:00Z"/>
              </w:rPr>
            </w:pPr>
          </w:p>
        </w:tc>
      </w:tr>
      <w:tr w:rsidR="00C6578C" w14:paraId="28C9106A" w14:textId="77777777" w:rsidTr="00171601">
        <w:trPr>
          <w:gridAfter w:val="1"/>
          <w:wAfter w:w="12" w:type="dxa"/>
          <w:cantSplit/>
          <w:trHeight w:val="70"/>
          <w:jc w:val="center"/>
          <w:del w:id="5783" w:author="AbbVie19" w:date="2025-04-16T10:42:00Z"/>
        </w:trPr>
        <w:tc>
          <w:tcPr>
            <w:tcW w:w="1548" w:type="dxa"/>
            <w:gridSpan w:val="2"/>
          </w:tcPr>
          <w:p w14:paraId="74D60E4C" w14:textId="77777777" w:rsidR="00BC0E7E" w:rsidRPr="00BC0E7E" w:rsidRDefault="00944B8F" w:rsidP="00762FA7">
            <w:pPr>
              <w:keepNext/>
              <w:rPr>
                <w:del w:id="5784" w:author="AbbVie19" w:date="2025-04-16T10:42:00Z"/>
              </w:rPr>
            </w:pPr>
            <w:del w:id="5785" w:author="AbbVie19" w:date="2025-04-16T10:42:00Z">
              <w:r w:rsidRPr="00BC0E7E">
                <w:tab/>
                <w:delText>Week 52</w:delText>
              </w:r>
            </w:del>
          </w:p>
        </w:tc>
        <w:tc>
          <w:tcPr>
            <w:tcW w:w="1320" w:type="dxa"/>
          </w:tcPr>
          <w:p w14:paraId="52EF6A3A" w14:textId="77777777" w:rsidR="00BC0E7E" w:rsidRPr="00BC0E7E" w:rsidRDefault="00944B8F" w:rsidP="00762FA7">
            <w:pPr>
              <w:keepNext/>
              <w:jc w:val="center"/>
              <w:rPr>
                <w:del w:id="5786" w:author="AbbVie19" w:date="2025-04-16T10:42:00Z"/>
              </w:rPr>
            </w:pPr>
            <w:del w:id="5787" w:author="AbbVie19" w:date="2025-04-16T10:42:00Z">
              <w:r w:rsidRPr="00BC0E7E">
                <w:delText>27.2%</w:delText>
              </w:r>
            </w:del>
          </w:p>
        </w:tc>
        <w:tc>
          <w:tcPr>
            <w:tcW w:w="1320" w:type="dxa"/>
          </w:tcPr>
          <w:p w14:paraId="45CB0D36" w14:textId="77777777" w:rsidR="00BC0E7E" w:rsidRPr="00BC0E7E" w:rsidRDefault="00944B8F" w:rsidP="00762FA7">
            <w:pPr>
              <w:keepNext/>
              <w:jc w:val="center"/>
              <w:rPr>
                <w:del w:id="5788" w:author="AbbVie19" w:date="2025-04-16T10:42:00Z"/>
              </w:rPr>
            </w:pPr>
            <w:del w:id="5789" w:author="AbbVie19" w:date="2025-04-16T10:42:00Z">
              <w:r w:rsidRPr="00BC0E7E">
                <w:delText>25.9%</w:delText>
              </w:r>
            </w:del>
          </w:p>
        </w:tc>
        <w:tc>
          <w:tcPr>
            <w:tcW w:w="1576" w:type="dxa"/>
          </w:tcPr>
          <w:p w14:paraId="19C697CD" w14:textId="77777777" w:rsidR="00BC0E7E" w:rsidRPr="00BC0E7E" w:rsidRDefault="00944B8F" w:rsidP="00762FA7">
            <w:pPr>
              <w:keepNext/>
              <w:jc w:val="center"/>
              <w:rPr>
                <w:del w:id="5790" w:author="AbbVie19" w:date="2025-04-16T10:42:00Z"/>
              </w:rPr>
            </w:pPr>
            <w:del w:id="5791" w:author="AbbVie19" w:date="2025-04-16T10:42:00Z">
              <w:r w:rsidRPr="00BC0E7E">
                <w:delText>45.5%</w:delText>
              </w:r>
            </w:del>
          </w:p>
        </w:tc>
        <w:tc>
          <w:tcPr>
            <w:tcW w:w="1100" w:type="dxa"/>
          </w:tcPr>
          <w:p w14:paraId="72BA5C60" w14:textId="77777777" w:rsidR="00BC0E7E" w:rsidRPr="00BC0E7E" w:rsidRDefault="00944B8F" w:rsidP="00762FA7">
            <w:pPr>
              <w:keepNext/>
              <w:jc w:val="center"/>
              <w:rPr>
                <w:del w:id="5792" w:author="AbbVie19" w:date="2025-04-16T10:42:00Z"/>
              </w:rPr>
            </w:pPr>
            <w:del w:id="5793" w:author="AbbVie19" w:date="2025-04-16T10:42:00Z">
              <w:r w:rsidRPr="00BC0E7E">
                <w:delText>&lt; 0.001</w:delText>
              </w:r>
            </w:del>
          </w:p>
        </w:tc>
        <w:tc>
          <w:tcPr>
            <w:tcW w:w="1173" w:type="dxa"/>
          </w:tcPr>
          <w:p w14:paraId="7276C4F6" w14:textId="77777777" w:rsidR="00BC0E7E" w:rsidRPr="00BC0E7E" w:rsidRDefault="00944B8F" w:rsidP="00762FA7">
            <w:pPr>
              <w:keepNext/>
              <w:jc w:val="center"/>
              <w:rPr>
                <w:del w:id="5794" w:author="AbbVie19" w:date="2025-04-16T10:42:00Z"/>
              </w:rPr>
            </w:pPr>
            <w:del w:id="5795" w:author="AbbVie19" w:date="2025-04-16T10:42:00Z">
              <w:r w:rsidRPr="00BC0E7E">
                <w:delText>&lt; 0.001</w:delText>
              </w:r>
            </w:del>
          </w:p>
        </w:tc>
        <w:tc>
          <w:tcPr>
            <w:tcW w:w="1210" w:type="dxa"/>
          </w:tcPr>
          <w:p w14:paraId="516EF565" w14:textId="77777777" w:rsidR="00BC0E7E" w:rsidRPr="00BC0E7E" w:rsidRDefault="00944B8F" w:rsidP="00762FA7">
            <w:pPr>
              <w:keepNext/>
              <w:jc w:val="center"/>
              <w:rPr>
                <w:del w:id="5796" w:author="AbbVie19" w:date="2025-04-16T10:42:00Z"/>
              </w:rPr>
            </w:pPr>
            <w:del w:id="5797" w:author="AbbVie19" w:date="2025-04-16T10:42:00Z">
              <w:r w:rsidRPr="00BC0E7E">
                <w:delText>0.656</w:delText>
              </w:r>
            </w:del>
          </w:p>
        </w:tc>
      </w:tr>
      <w:tr w:rsidR="00C6578C" w14:paraId="42172C02" w14:textId="77777777" w:rsidTr="00171601">
        <w:trPr>
          <w:gridAfter w:val="1"/>
          <w:wAfter w:w="12" w:type="dxa"/>
          <w:cantSplit/>
          <w:jc w:val="center"/>
          <w:del w:id="5798" w:author="AbbVie19" w:date="2025-04-16T10:42:00Z"/>
        </w:trPr>
        <w:tc>
          <w:tcPr>
            <w:tcW w:w="1548" w:type="dxa"/>
            <w:gridSpan w:val="2"/>
          </w:tcPr>
          <w:p w14:paraId="44877B7D" w14:textId="77777777" w:rsidR="00BC0E7E" w:rsidRPr="00BC0E7E" w:rsidRDefault="00944B8F" w:rsidP="00762FA7">
            <w:pPr>
              <w:keepNext/>
              <w:rPr>
                <w:del w:id="5799" w:author="AbbVie19" w:date="2025-04-16T10:42:00Z"/>
              </w:rPr>
            </w:pPr>
            <w:del w:id="5800" w:author="AbbVie19" w:date="2025-04-16T10:42:00Z">
              <w:r w:rsidRPr="00BC0E7E">
                <w:tab/>
                <w:delText>Week 104</w:delText>
              </w:r>
            </w:del>
          </w:p>
        </w:tc>
        <w:tc>
          <w:tcPr>
            <w:tcW w:w="1320" w:type="dxa"/>
          </w:tcPr>
          <w:p w14:paraId="1C99411B" w14:textId="77777777" w:rsidR="00BC0E7E" w:rsidRPr="00BC0E7E" w:rsidRDefault="00944B8F" w:rsidP="00762FA7">
            <w:pPr>
              <w:keepNext/>
              <w:jc w:val="center"/>
              <w:rPr>
                <w:del w:id="5801" w:author="AbbVie19" w:date="2025-04-16T10:42:00Z"/>
              </w:rPr>
            </w:pPr>
            <w:del w:id="5802" w:author="AbbVie19" w:date="2025-04-16T10:42:00Z">
              <w:r w:rsidRPr="00BC0E7E">
                <w:delText>28.4%</w:delText>
              </w:r>
            </w:del>
          </w:p>
        </w:tc>
        <w:tc>
          <w:tcPr>
            <w:tcW w:w="1320" w:type="dxa"/>
          </w:tcPr>
          <w:p w14:paraId="3E63625B" w14:textId="77777777" w:rsidR="00BC0E7E" w:rsidRPr="00BC0E7E" w:rsidRDefault="00944B8F" w:rsidP="00762FA7">
            <w:pPr>
              <w:keepNext/>
              <w:jc w:val="center"/>
              <w:rPr>
                <w:del w:id="5803" w:author="AbbVie19" w:date="2025-04-16T10:42:00Z"/>
              </w:rPr>
            </w:pPr>
            <w:del w:id="5804" w:author="AbbVie19" w:date="2025-04-16T10:42:00Z">
              <w:r w:rsidRPr="00BC0E7E">
                <w:delText>28.1%</w:delText>
              </w:r>
            </w:del>
          </w:p>
        </w:tc>
        <w:tc>
          <w:tcPr>
            <w:tcW w:w="1576" w:type="dxa"/>
          </w:tcPr>
          <w:p w14:paraId="05C103B8" w14:textId="77777777" w:rsidR="00BC0E7E" w:rsidRPr="00BC0E7E" w:rsidRDefault="00944B8F" w:rsidP="00762FA7">
            <w:pPr>
              <w:keepNext/>
              <w:jc w:val="center"/>
              <w:rPr>
                <w:del w:id="5805" w:author="AbbVie19" w:date="2025-04-16T10:42:00Z"/>
              </w:rPr>
            </w:pPr>
            <w:del w:id="5806" w:author="AbbVie19" w:date="2025-04-16T10:42:00Z">
              <w:r w:rsidRPr="00BC0E7E">
                <w:delText>46.6%</w:delText>
              </w:r>
            </w:del>
          </w:p>
        </w:tc>
        <w:tc>
          <w:tcPr>
            <w:tcW w:w="1100" w:type="dxa"/>
          </w:tcPr>
          <w:p w14:paraId="58B86855" w14:textId="77777777" w:rsidR="00BC0E7E" w:rsidRPr="00BC0E7E" w:rsidRDefault="00944B8F" w:rsidP="00762FA7">
            <w:pPr>
              <w:keepNext/>
              <w:jc w:val="center"/>
              <w:rPr>
                <w:del w:id="5807" w:author="AbbVie19" w:date="2025-04-16T10:42:00Z"/>
              </w:rPr>
            </w:pPr>
            <w:del w:id="5808" w:author="AbbVie19" w:date="2025-04-16T10:42:00Z">
              <w:r w:rsidRPr="00BC0E7E">
                <w:delText>&lt; 0.001</w:delText>
              </w:r>
            </w:del>
          </w:p>
        </w:tc>
        <w:tc>
          <w:tcPr>
            <w:tcW w:w="1173" w:type="dxa"/>
          </w:tcPr>
          <w:p w14:paraId="35877173" w14:textId="77777777" w:rsidR="00BC0E7E" w:rsidRPr="00BC0E7E" w:rsidRDefault="00944B8F" w:rsidP="00762FA7">
            <w:pPr>
              <w:keepNext/>
              <w:jc w:val="center"/>
              <w:rPr>
                <w:del w:id="5809" w:author="AbbVie19" w:date="2025-04-16T10:42:00Z"/>
              </w:rPr>
            </w:pPr>
            <w:del w:id="5810" w:author="AbbVie19" w:date="2025-04-16T10:42:00Z">
              <w:r w:rsidRPr="00BC0E7E">
                <w:delText>&lt; 0.001</w:delText>
              </w:r>
            </w:del>
          </w:p>
        </w:tc>
        <w:tc>
          <w:tcPr>
            <w:tcW w:w="1210" w:type="dxa"/>
          </w:tcPr>
          <w:p w14:paraId="28182A30" w14:textId="77777777" w:rsidR="00BC0E7E" w:rsidRPr="00BC0E7E" w:rsidRDefault="00944B8F" w:rsidP="00762FA7">
            <w:pPr>
              <w:keepNext/>
              <w:jc w:val="center"/>
              <w:rPr>
                <w:del w:id="5811" w:author="AbbVie19" w:date="2025-04-16T10:42:00Z"/>
              </w:rPr>
            </w:pPr>
            <w:del w:id="5812" w:author="AbbVie19" w:date="2025-04-16T10:42:00Z">
              <w:r w:rsidRPr="00BC0E7E">
                <w:delText>0.864</w:delText>
              </w:r>
            </w:del>
          </w:p>
        </w:tc>
      </w:tr>
      <w:tr w:rsidR="00C6578C" w14:paraId="6ADC6ED4" w14:textId="77777777" w:rsidTr="00171601">
        <w:trPr>
          <w:gridBefore w:val="1"/>
          <w:wBefore w:w="9" w:type="dxa"/>
          <w:cantSplit/>
          <w:jc w:val="center"/>
          <w:del w:id="5813" w:author="AbbVie19" w:date="2025-04-16T10:42:00Z"/>
        </w:trPr>
        <w:tc>
          <w:tcPr>
            <w:tcW w:w="9250" w:type="dxa"/>
            <w:gridSpan w:val="8"/>
          </w:tcPr>
          <w:p w14:paraId="0E0027E4" w14:textId="77777777" w:rsidR="00BC0E7E" w:rsidRPr="00BC0E7E" w:rsidRDefault="00944B8F" w:rsidP="00762FA7">
            <w:pPr>
              <w:keepNext/>
              <w:tabs>
                <w:tab w:val="clear" w:pos="562"/>
                <w:tab w:val="left" w:pos="330"/>
                <w:tab w:val="left" w:pos="10728"/>
              </w:tabs>
              <w:ind w:left="360" w:hanging="360"/>
              <w:rPr>
                <w:del w:id="5814" w:author="AbbVie19" w:date="2025-04-16T10:42:00Z"/>
              </w:rPr>
            </w:pPr>
            <w:del w:id="5815" w:author="AbbVie19" w:date="2025-04-16T10:42:00Z">
              <w:r w:rsidRPr="00BC0E7E">
                <w:delText>a.</w:delText>
              </w:r>
              <w:r w:rsidRPr="00BC0E7E">
                <w:tab/>
                <w:delText>p-value is from the pairwise comparison of methotrexate monotherapy and Humira/methotrexate combination therapy using the Mann-Whitney U test.</w:delText>
              </w:r>
            </w:del>
          </w:p>
          <w:p w14:paraId="3706FD2B" w14:textId="77777777" w:rsidR="00BC0E7E" w:rsidRPr="00BC0E7E" w:rsidRDefault="00944B8F" w:rsidP="00762FA7">
            <w:pPr>
              <w:keepNext/>
              <w:tabs>
                <w:tab w:val="clear" w:pos="562"/>
              </w:tabs>
              <w:ind w:left="330" w:hanging="330"/>
              <w:rPr>
                <w:del w:id="5816" w:author="AbbVie19" w:date="2025-04-16T10:42:00Z"/>
              </w:rPr>
            </w:pPr>
            <w:del w:id="5817" w:author="AbbVie19" w:date="2025-04-16T10:42:00Z">
              <w:r w:rsidRPr="00BC0E7E">
                <w:delText>b.</w:delText>
              </w:r>
              <w:r w:rsidRPr="00BC0E7E">
                <w:tab/>
                <w:delText>p-value is from the pairwise comparison of Humira monotherapy and Humira/methotrexate combination therapy using the Mann-Whitney U test</w:delText>
              </w:r>
            </w:del>
          </w:p>
          <w:p w14:paraId="222B1BF6" w14:textId="77777777" w:rsidR="00BC0E7E" w:rsidRPr="00BC0E7E" w:rsidRDefault="00944B8F" w:rsidP="00762FA7">
            <w:pPr>
              <w:keepNext/>
              <w:tabs>
                <w:tab w:val="clear" w:pos="562"/>
              </w:tabs>
              <w:ind w:left="330" w:hanging="330"/>
              <w:rPr>
                <w:del w:id="5818" w:author="AbbVie19" w:date="2025-04-16T10:42:00Z"/>
              </w:rPr>
            </w:pPr>
            <w:del w:id="5819" w:author="AbbVie19" w:date="2025-04-16T10:42:00Z">
              <w:r w:rsidRPr="00BC0E7E">
                <w:delText>c.   p-value is from the pairwise comparison of Humira monotherapy and methotrexate monotherapy using the Mann-Whitney U test</w:delText>
              </w:r>
            </w:del>
          </w:p>
        </w:tc>
      </w:tr>
    </w:tbl>
    <w:p w14:paraId="25949947" w14:textId="77777777" w:rsidR="00BC0E7E" w:rsidRPr="00BC0E7E" w:rsidRDefault="00BC0E7E" w:rsidP="00762FA7">
      <w:pPr>
        <w:rPr>
          <w:del w:id="5820" w:author="AbbVie19" w:date="2025-04-16T10:42:00Z"/>
        </w:rPr>
      </w:pPr>
    </w:p>
    <w:p w14:paraId="50C8FFC0" w14:textId="77777777" w:rsidR="00BC0E7E" w:rsidRPr="00BC0E7E" w:rsidRDefault="00944B8F" w:rsidP="00762FA7">
      <w:pPr>
        <w:rPr>
          <w:del w:id="5821" w:author="AbbVie19" w:date="2025-04-16T10:42:00Z"/>
        </w:rPr>
      </w:pPr>
      <w:del w:id="5822" w:author="AbbVie19" w:date="2025-04-16T10:42:00Z">
        <w:r w:rsidRPr="00BC0E7E">
          <w:delText>In the open-label extension for RA study V, ACR response rates were maintained when followed for up to 10 years. Of 542 patients who were randomised to Humira 40 mg every other week, 170 patients continued on Humira 40 mg every other week for 10 years. Among those, 154 patients (90.6%) had ACR 20 responses; 127 patients (74.7%) had ACR 50 responses; and 102 patients (60.0%) had ACR 70 responses.</w:delText>
        </w:r>
      </w:del>
    </w:p>
    <w:p w14:paraId="4A08431D" w14:textId="77777777" w:rsidR="00BC0E7E" w:rsidRPr="00BC0E7E" w:rsidRDefault="00BC0E7E" w:rsidP="00762FA7">
      <w:pPr>
        <w:rPr>
          <w:del w:id="5823" w:author="AbbVie19" w:date="2025-04-16T10:42:00Z"/>
        </w:rPr>
      </w:pPr>
    </w:p>
    <w:p w14:paraId="3A038B9F" w14:textId="77777777" w:rsidR="00BC0E7E" w:rsidRPr="00BC0E7E" w:rsidRDefault="00944B8F" w:rsidP="00762FA7">
      <w:pPr>
        <w:rPr>
          <w:del w:id="5824" w:author="AbbVie19" w:date="2025-04-16T10:42:00Z"/>
        </w:rPr>
      </w:pPr>
      <w:del w:id="5825" w:author="AbbVie19" w:date="2025-04-16T10:42:00Z">
        <w:r w:rsidRPr="00BC0E7E">
          <w:delText>At Week 52, 42.9% of patients who received Humira/methotrexate combination therapy achieved clinical remission (DAS28 (CRP) &lt; 2.6) compared to 20.6% of patients receiving methotrexate monotherapy and 23.4% of patients receiving Humira monotherapy. Humira/methotrexate combination therapy was clinically and statistically superior to methotrexate (p &lt; 0.001) and Humira monotherapy (p &lt; 0.001) in achieving a low disease state in patients with recently diagnosed moderate to severe rheumatoid arthritis. The response for the two monotherapy arms was similar (p = 0.447).  Of 342 subjects originally randomized to Humira monotherapy or Humira/methotrexate combination therapy who entered the open-label extension study, 171 subjects completed 10 years of Humira treatment. Among those, 109 subjects (63.7%) were reported to be in remission at 10 years.</w:delText>
        </w:r>
      </w:del>
    </w:p>
    <w:p w14:paraId="351035AB" w14:textId="77777777" w:rsidR="00BC0E7E" w:rsidRPr="00BC0E7E" w:rsidRDefault="00BC0E7E" w:rsidP="00762FA7">
      <w:pPr>
        <w:rPr>
          <w:del w:id="5826" w:author="AbbVie19" w:date="2025-04-16T10:42:00Z"/>
        </w:rPr>
      </w:pPr>
    </w:p>
    <w:p w14:paraId="49E7B1F8" w14:textId="77777777" w:rsidR="00BC0E7E" w:rsidRPr="00BC0E7E" w:rsidRDefault="00944B8F" w:rsidP="00762FA7">
      <w:pPr>
        <w:keepNext/>
        <w:rPr>
          <w:del w:id="5827" w:author="AbbVie19" w:date="2025-04-16T10:42:00Z"/>
          <w:i/>
          <w:szCs w:val="20"/>
          <w:u w:val="single"/>
        </w:rPr>
      </w:pPr>
      <w:del w:id="5828" w:author="AbbVie19" w:date="2025-04-16T10:42:00Z">
        <w:r w:rsidRPr="00BC0E7E">
          <w:rPr>
            <w:i/>
            <w:szCs w:val="20"/>
            <w:u w:val="single"/>
          </w:rPr>
          <w:delText>Radiographic response</w:delText>
        </w:r>
      </w:del>
    </w:p>
    <w:p w14:paraId="58A3508F" w14:textId="77777777" w:rsidR="00BC0E7E" w:rsidRPr="00BC0E7E" w:rsidRDefault="00BC0E7E" w:rsidP="00762FA7">
      <w:pPr>
        <w:keepNext/>
        <w:rPr>
          <w:del w:id="5829" w:author="AbbVie19" w:date="2025-04-16T10:42:00Z"/>
          <w:szCs w:val="20"/>
        </w:rPr>
      </w:pPr>
    </w:p>
    <w:p w14:paraId="0C565325" w14:textId="77777777" w:rsidR="00BC0E7E" w:rsidRPr="00BC0E7E" w:rsidRDefault="00944B8F" w:rsidP="00762FA7">
      <w:pPr>
        <w:keepNext/>
        <w:rPr>
          <w:del w:id="5830" w:author="AbbVie19" w:date="2025-04-16T10:42:00Z"/>
        </w:rPr>
      </w:pPr>
      <w:del w:id="5831" w:author="AbbVie19" w:date="2025-04-16T10:42:00Z">
        <w:r w:rsidRPr="00BC0E7E">
          <w:delText xml:space="preserve">In RA study III, where Humira treated patients had a mean duration of rheumatoid arthritis of approximately 11 years, structural joint damage was assessed radiographically and expressed as change in modified Total Sharp Score (TSS) and its components, the erosion score and joint space narrowing score.  Humira/methotrexate patients demonstrated significantly less radiographic progression than patients receiving methotrexate alone at 6 and 12 months (see Table </w:delText>
        </w:r>
        <w:r w:rsidR="005F03EC">
          <w:delText>10</w:delText>
        </w:r>
        <w:r w:rsidRPr="00BC0E7E">
          <w:delText xml:space="preserve">).  </w:delText>
        </w:r>
      </w:del>
    </w:p>
    <w:p w14:paraId="66C07A12" w14:textId="77777777" w:rsidR="00BC0E7E" w:rsidRPr="00BC0E7E" w:rsidRDefault="00BC0E7E" w:rsidP="00762FA7">
      <w:pPr>
        <w:rPr>
          <w:del w:id="5832" w:author="AbbVie19" w:date="2025-04-16T10:42:00Z"/>
        </w:rPr>
      </w:pPr>
    </w:p>
    <w:p w14:paraId="0117F742" w14:textId="77777777" w:rsidR="00BC0E7E" w:rsidRPr="00BC0E7E" w:rsidRDefault="00944B8F" w:rsidP="00762FA7">
      <w:pPr>
        <w:rPr>
          <w:del w:id="5833" w:author="AbbVie19" w:date="2025-04-16T10:42:00Z"/>
        </w:rPr>
      </w:pPr>
      <w:del w:id="5834" w:author="AbbVie19" w:date="2025-04-16T10:42:00Z">
        <w:r w:rsidRPr="00BC0E7E">
          <w:lastRenderedPageBreak/>
          <w:delText>In the open-label extension of RA Study III, the reduction in rate of progression of structural damage is maintained for 8 and 10 years in a subset of patients. At 8 years, 81 of 207 patients originally treated with 40 mg Humira every other week were evaluated radiographically. Among those, 48 patients showed no progression of structural damage defined by a change from baseline in the mTSS of 0.5 or less. At 10 years, 79 of 207 patients originally treated with 40 mg Humira every other week were evaluated radiographically. Among those, 40 patients showed no progression of structural damage defined by a change from baseline in the mTSS of 0.5 or less.</w:delText>
        </w:r>
      </w:del>
    </w:p>
    <w:p w14:paraId="0F7555FA" w14:textId="77777777" w:rsidR="00BC0E7E" w:rsidRPr="00BC0E7E" w:rsidRDefault="00BC0E7E" w:rsidP="00762FA7">
      <w:pPr>
        <w:rPr>
          <w:del w:id="5835" w:author="AbbVie19" w:date="2025-04-16T10:42: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430"/>
        <w:gridCol w:w="1790"/>
        <w:gridCol w:w="2000"/>
        <w:gridCol w:w="1548"/>
      </w:tblGrid>
      <w:tr w:rsidR="00C6578C" w14:paraId="328953F6" w14:textId="77777777" w:rsidTr="00171601">
        <w:trPr>
          <w:cantSplit/>
          <w:del w:id="5836" w:author="AbbVie19" w:date="2025-04-16T10:42:00Z"/>
        </w:trPr>
        <w:tc>
          <w:tcPr>
            <w:tcW w:w="8856" w:type="dxa"/>
            <w:gridSpan w:val="5"/>
            <w:tcBorders>
              <w:top w:val="nil"/>
              <w:left w:val="nil"/>
              <w:right w:val="nil"/>
            </w:tcBorders>
          </w:tcPr>
          <w:p w14:paraId="237017BD" w14:textId="77777777" w:rsidR="00BC0E7E" w:rsidRPr="00BC0E7E" w:rsidRDefault="00944B8F" w:rsidP="00762FA7">
            <w:pPr>
              <w:keepNext/>
              <w:jc w:val="center"/>
              <w:rPr>
                <w:del w:id="5837" w:author="AbbVie19" w:date="2025-04-16T10:42:00Z"/>
                <w:b/>
                <w:bCs/>
              </w:rPr>
            </w:pPr>
            <w:del w:id="5838" w:author="AbbVie19" w:date="2025-04-16T10:42:00Z">
              <w:r w:rsidRPr="00BC0E7E">
                <w:rPr>
                  <w:b/>
                  <w:bCs/>
                </w:rPr>
                <w:delText xml:space="preserve">Table </w:delText>
              </w:r>
              <w:r w:rsidR="005F03EC">
                <w:rPr>
                  <w:b/>
                  <w:bCs/>
                </w:rPr>
                <w:delText>10</w:delText>
              </w:r>
            </w:del>
          </w:p>
          <w:p w14:paraId="1E4B6A51" w14:textId="77777777" w:rsidR="00BC0E7E" w:rsidRPr="00BC0E7E" w:rsidRDefault="00944B8F" w:rsidP="00762FA7">
            <w:pPr>
              <w:keepNext/>
              <w:jc w:val="center"/>
              <w:rPr>
                <w:del w:id="5839" w:author="AbbVie19" w:date="2025-04-16T10:42:00Z"/>
                <w:b/>
                <w:bCs/>
              </w:rPr>
            </w:pPr>
            <w:del w:id="5840" w:author="AbbVie19" w:date="2025-04-16T10:42:00Z">
              <w:r w:rsidRPr="00BC0E7E">
                <w:rPr>
                  <w:b/>
                  <w:bCs/>
                </w:rPr>
                <w:delText xml:space="preserve"> Radiographic Mean Changes Over 12</w:delText>
              </w:r>
              <w:r w:rsidRPr="00BC0E7E">
                <w:rPr>
                  <w:rFonts w:ascii="Times New Roman Bold" w:hAnsi="Times New Roman Bold"/>
                  <w:b/>
                  <w:caps/>
                  <w:szCs w:val="20"/>
                </w:rPr>
                <w:delText> </w:delText>
              </w:r>
              <w:r w:rsidRPr="00BC0E7E">
                <w:rPr>
                  <w:b/>
                  <w:bCs/>
                </w:rPr>
                <w:delText>Months in RA Study III</w:delText>
              </w:r>
            </w:del>
          </w:p>
          <w:p w14:paraId="4E3A6D8B" w14:textId="77777777" w:rsidR="00BC0E7E" w:rsidRPr="00BC0E7E" w:rsidRDefault="00BC0E7E" w:rsidP="00762FA7">
            <w:pPr>
              <w:keepNext/>
              <w:jc w:val="center"/>
              <w:rPr>
                <w:del w:id="5841" w:author="AbbVie19" w:date="2025-04-16T10:42:00Z"/>
                <w:b/>
                <w:bCs/>
              </w:rPr>
            </w:pPr>
          </w:p>
        </w:tc>
      </w:tr>
      <w:tr w:rsidR="00C6578C" w14:paraId="65177BDA" w14:textId="77777777" w:rsidTr="00171601">
        <w:trPr>
          <w:del w:id="5842" w:author="AbbVie19" w:date="2025-04-16T10:42:00Z"/>
        </w:trPr>
        <w:tc>
          <w:tcPr>
            <w:tcW w:w="2088" w:type="dxa"/>
          </w:tcPr>
          <w:p w14:paraId="5966DA15" w14:textId="77777777" w:rsidR="00BC0E7E" w:rsidRPr="00BC0E7E" w:rsidRDefault="00BC0E7E" w:rsidP="00762FA7">
            <w:pPr>
              <w:keepNext/>
              <w:jc w:val="center"/>
              <w:rPr>
                <w:del w:id="5843" w:author="AbbVie19" w:date="2025-04-16T10:42:00Z"/>
              </w:rPr>
            </w:pPr>
          </w:p>
        </w:tc>
        <w:tc>
          <w:tcPr>
            <w:tcW w:w="1430" w:type="dxa"/>
          </w:tcPr>
          <w:p w14:paraId="59C9500A" w14:textId="77777777" w:rsidR="00BC0E7E" w:rsidRPr="00BC0E7E" w:rsidRDefault="00944B8F" w:rsidP="00762FA7">
            <w:pPr>
              <w:keepNext/>
              <w:rPr>
                <w:del w:id="5844" w:author="AbbVie19" w:date="2025-04-16T10:42:00Z"/>
              </w:rPr>
            </w:pPr>
            <w:del w:id="5845" w:author="AbbVie19" w:date="2025-04-16T10:42:00Z">
              <w:r w:rsidRPr="00BC0E7E">
                <w:delText>Placebo/</w:delText>
              </w:r>
            </w:del>
          </w:p>
          <w:p w14:paraId="1B106581" w14:textId="77777777" w:rsidR="00BC0E7E" w:rsidRPr="00BC0E7E" w:rsidRDefault="00944B8F" w:rsidP="00762FA7">
            <w:pPr>
              <w:keepNext/>
              <w:rPr>
                <w:del w:id="5846" w:author="AbbVie19" w:date="2025-04-16T10:42:00Z"/>
                <w:vertAlign w:val="superscript"/>
              </w:rPr>
            </w:pPr>
            <w:del w:id="5847" w:author="AbbVie19" w:date="2025-04-16T10:42:00Z">
              <w:r w:rsidRPr="00BC0E7E">
                <w:delText>MTX</w:delText>
              </w:r>
              <w:r w:rsidRPr="00BC0E7E">
                <w:rPr>
                  <w:vertAlign w:val="superscript"/>
                </w:rPr>
                <w:delText>a</w:delText>
              </w:r>
            </w:del>
          </w:p>
        </w:tc>
        <w:tc>
          <w:tcPr>
            <w:tcW w:w="1790" w:type="dxa"/>
          </w:tcPr>
          <w:p w14:paraId="5F12BF7B" w14:textId="77777777" w:rsidR="00BC0E7E" w:rsidRPr="00BC0E7E" w:rsidRDefault="00944B8F" w:rsidP="00762FA7">
            <w:pPr>
              <w:keepNext/>
              <w:jc w:val="center"/>
              <w:rPr>
                <w:del w:id="5848" w:author="AbbVie19" w:date="2025-04-16T10:42:00Z"/>
              </w:rPr>
            </w:pPr>
            <w:del w:id="5849" w:author="AbbVie19" w:date="2025-04-16T10:42:00Z">
              <w:r w:rsidRPr="00BC0E7E">
                <w:delText>Humira/MTX</w:delText>
              </w:r>
            </w:del>
          </w:p>
          <w:p w14:paraId="6D48C5AC" w14:textId="77777777" w:rsidR="00BC0E7E" w:rsidRPr="00BC0E7E" w:rsidRDefault="00944B8F" w:rsidP="00762FA7">
            <w:pPr>
              <w:keepNext/>
              <w:jc w:val="center"/>
              <w:rPr>
                <w:del w:id="5850" w:author="AbbVie19" w:date="2025-04-16T10:42:00Z"/>
              </w:rPr>
            </w:pPr>
            <w:del w:id="5851" w:author="AbbVie19" w:date="2025-04-16T10:42:00Z">
              <w:r w:rsidRPr="00BC0E7E">
                <w:delText>40 mg every other week</w:delText>
              </w:r>
            </w:del>
          </w:p>
        </w:tc>
        <w:tc>
          <w:tcPr>
            <w:tcW w:w="2000" w:type="dxa"/>
          </w:tcPr>
          <w:p w14:paraId="1BD43838" w14:textId="77777777" w:rsidR="00BC0E7E" w:rsidRPr="00BC0E7E" w:rsidRDefault="00944B8F" w:rsidP="00762FA7">
            <w:pPr>
              <w:keepNext/>
              <w:jc w:val="center"/>
              <w:rPr>
                <w:del w:id="5852" w:author="AbbVie19" w:date="2025-04-16T10:42:00Z"/>
              </w:rPr>
            </w:pPr>
            <w:del w:id="5853" w:author="AbbVie19" w:date="2025-04-16T10:42:00Z">
              <w:r w:rsidRPr="00BC0E7E">
                <w:delText>Placebo/MTX-Humira/MTX (95% Confidence Interval</w:delText>
              </w:r>
              <w:r w:rsidRPr="00BC0E7E">
                <w:rPr>
                  <w:vertAlign w:val="superscript"/>
                </w:rPr>
                <w:delText>b</w:delText>
              </w:r>
              <w:r w:rsidRPr="00BC0E7E">
                <w:delText>)</w:delText>
              </w:r>
            </w:del>
          </w:p>
        </w:tc>
        <w:tc>
          <w:tcPr>
            <w:tcW w:w="1548" w:type="dxa"/>
          </w:tcPr>
          <w:p w14:paraId="377D8301" w14:textId="77777777" w:rsidR="00BC0E7E" w:rsidRPr="00BC0E7E" w:rsidRDefault="00944B8F" w:rsidP="00762FA7">
            <w:pPr>
              <w:keepNext/>
              <w:jc w:val="center"/>
              <w:rPr>
                <w:del w:id="5854" w:author="AbbVie19" w:date="2025-04-16T10:42:00Z"/>
              </w:rPr>
            </w:pPr>
            <w:del w:id="5855" w:author="AbbVie19" w:date="2025-04-16T10:42:00Z">
              <w:r w:rsidRPr="00BC0E7E">
                <w:delText>p-value</w:delText>
              </w:r>
            </w:del>
          </w:p>
        </w:tc>
      </w:tr>
      <w:tr w:rsidR="00C6578C" w14:paraId="376913F3" w14:textId="77777777" w:rsidTr="00171601">
        <w:trPr>
          <w:del w:id="5856" w:author="AbbVie19" w:date="2025-04-16T10:42:00Z"/>
        </w:trPr>
        <w:tc>
          <w:tcPr>
            <w:tcW w:w="2088" w:type="dxa"/>
          </w:tcPr>
          <w:p w14:paraId="50F746C4" w14:textId="77777777" w:rsidR="00BC0E7E" w:rsidRPr="00BC0E7E" w:rsidRDefault="00944B8F" w:rsidP="00762FA7">
            <w:pPr>
              <w:keepNext/>
              <w:jc w:val="center"/>
              <w:rPr>
                <w:del w:id="5857" w:author="AbbVie19" w:date="2025-04-16T10:42:00Z"/>
              </w:rPr>
            </w:pPr>
            <w:del w:id="5858" w:author="AbbVie19" w:date="2025-04-16T10:42:00Z">
              <w:r w:rsidRPr="00BC0E7E">
                <w:delText>Total Sharp Score</w:delText>
              </w:r>
            </w:del>
          </w:p>
        </w:tc>
        <w:tc>
          <w:tcPr>
            <w:tcW w:w="1430" w:type="dxa"/>
          </w:tcPr>
          <w:p w14:paraId="3962AE9C" w14:textId="77777777" w:rsidR="00BC0E7E" w:rsidRPr="00BC0E7E" w:rsidRDefault="00944B8F" w:rsidP="00762FA7">
            <w:pPr>
              <w:keepNext/>
              <w:jc w:val="center"/>
              <w:rPr>
                <w:del w:id="5859" w:author="AbbVie19" w:date="2025-04-16T10:42:00Z"/>
                <w:lang w:val="it-IT"/>
              </w:rPr>
            </w:pPr>
            <w:del w:id="5860" w:author="AbbVie19" w:date="2025-04-16T10:42:00Z">
              <w:r w:rsidRPr="00BC0E7E">
                <w:rPr>
                  <w:lang w:val="it-IT"/>
                </w:rPr>
                <w:delText>2.7</w:delText>
              </w:r>
            </w:del>
          </w:p>
        </w:tc>
        <w:tc>
          <w:tcPr>
            <w:tcW w:w="1790" w:type="dxa"/>
          </w:tcPr>
          <w:p w14:paraId="19D1759C" w14:textId="77777777" w:rsidR="00BC0E7E" w:rsidRPr="00BC0E7E" w:rsidRDefault="00944B8F" w:rsidP="00762FA7">
            <w:pPr>
              <w:keepNext/>
              <w:jc w:val="center"/>
              <w:rPr>
                <w:del w:id="5861" w:author="AbbVie19" w:date="2025-04-16T10:42:00Z"/>
                <w:lang w:val="it-IT"/>
              </w:rPr>
            </w:pPr>
            <w:del w:id="5862" w:author="AbbVie19" w:date="2025-04-16T10:42:00Z">
              <w:r w:rsidRPr="00BC0E7E">
                <w:rPr>
                  <w:lang w:val="it-IT"/>
                </w:rPr>
                <w:delText>0.1</w:delText>
              </w:r>
            </w:del>
          </w:p>
        </w:tc>
        <w:tc>
          <w:tcPr>
            <w:tcW w:w="2000" w:type="dxa"/>
          </w:tcPr>
          <w:p w14:paraId="13999A78" w14:textId="77777777" w:rsidR="00BC0E7E" w:rsidRPr="00BC0E7E" w:rsidRDefault="00944B8F" w:rsidP="00762FA7">
            <w:pPr>
              <w:keepNext/>
              <w:jc w:val="center"/>
              <w:rPr>
                <w:del w:id="5863" w:author="AbbVie19" w:date="2025-04-16T10:42:00Z"/>
                <w:lang w:val="it-IT"/>
              </w:rPr>
            </w:pPr>
            <w:del w:id="5864" w:author="AbbVie19" w:date="2025-04-16T10:42:00Z">
              <w:r w:rsidRPr="00BC0E7E">
                <w:rPr>
                  <w:lang w:val="it-IT"/>
                </w:rPr>
                <w:delText xml:space="preserve">2.6 (1.4, 3.8) </w:delText>
              </w:r>
            </w:del>
          </w:p>
        </w:tc>
        <w:tc>
          <w:tcPr>
            <w:tcW w:w="1548" w:type="dxa"/>
          </w:tcPr>
          <w:p w14:paraId="06C7BB4C" w14:textId="77777777" w:rsidR="00BC0E7E" w:rsidRPr="00BC0E7E" w:rsidRDefault="00944B8F" w:rsidP="00762FA7">
            <w:pPr>
              <w:keepNext/>
              <w:jc w:val="center"/>
              <w:rPr>
                <w:del w:id="5865" w:author="AbbVie19" w:date="2025-04-16T10:42:00Z"/>
                <w:vertAlign w:val="superscript"/>
                <w:lang w:val="it-IT"/>
              </w:rPr>
            </w:pPr>
            <w:del w:id="5866" w:author="AbbVie19" w:date="2025-04-16T10:42:00Z">
              <w:r w:rsidRPr="00BC0E7E">
                <w:rPr>
                  <w:lang w:val="it-IT"/>
                </w:rPr>
                <w:delText>&lt; 0.001</w:delText>
              </w:r>
              <w:r w:rsidRPr="00BC0E7E">
                <w:rPr>
                  <w:vertAlign w:val="superscript"/>
                  <w:lang w:val="it-IT"/>
                </w:rPr>
                <w:delText>c</w:delText>
              </w:r>
            </w:del>
          </w:p>
        </w:tc>
      </w:tr>
      <w:tr w:rsidR="00C6578C" w14:paraId="0D735CF9" w14:textId="77777777" w:rsidTr="00171601">
        <w:trPr>
          <w:del w:id="5867" w:author="AbbVie19" w:date="2025-04-16T10:42:00Z"/>
        </w:trPr>
        <w:tc>
          <w:tcPr>
            <w:tcW w:w="2088" w:type="dxa"/>
          </w:tcPr>
          <w:p w14:paraId="552F13BD" w14:textId="77777777" w:rsidR="00BC0E7E" w:rsidRPr="00BC0E7E" w:rsidRDefault="00944B8F" w:rsidP="00762FA7">
            <w:pPr>
              <w:keepNext/>
              <w:jc w:val="center"/>
              <w:rPr>
                <w:del w:id="5868" w:author="AbbVie19" w:date="2025-04-16T10:42:00Z"/>
                <w:lang w:val="it-IT"/>
              </w:rPr>
            </w:pPr>
            <w:del w:id="5869" w:author="AbbVie19" w:date="2025-04-16T10:42:00Z">
              <w:r w:rsidRPr="00BC0E7E">
                <w:rPr>
                  <w:lang w:val="it-IT"/>
                </w:rPr>
                <w:delText>Erosion score</w:delText>
              </w:r>
            </w:del>
          </w:p>
        </w:tc>
        <w:tc>
          <w:tcPr>
            <w:tcW w:w="1430" w:type="dxa"/>
          </w:tcPr>
          <w:p w14:paraId="0A1517EC" w14:textId="77777777" w:rsidR="00BC0E7E" w:rsidRPr="00BC0E7E" w:rsidRDefault="00944B8F" w:rsidP="00762FA7">
            <w:pPr>
              <w:keepNext/>
              <w:jc w:val="center"/>
              <w:rPr>
                <w:del w:id="5870" w:author="AbbVie19" w:date="2025-04-16T10:42:00Z"/>
              </w:rPr>
            </w:pPr>
            <w:del w:id="5871" w:author="AbbVie19" w:date="2025-04-16T10:42:00Z">
              <w:r w:rsidRPr="00BC0E7E">
                <w:delText>1.6</w:delText>
              </w:r>
            </w:del>
          </w:p>
        </w:tc>
        <w:tc>
          <w:tcPr>
            <w:tcW w:w="1790" w:type="dxa"/>
          </w:tcPr>
          <w:p w14:paraId="66437F8A" w14:textId="77777777" w:rsidR="00BC0E7E" w:rsidRPr="00BC0E7E" w:rsidRDefault="00944B8F" w:rsidP="00762FA7">
            <w:pPr>
              <w:keepNext/>
              <w:jc w:val="center"/>
              <w:rPr>
                <w:del w:id="5872" w:author="AbbVie19" w:date="2025-04-16T10:42:00Z"/>
              </w:rPr>
            </w:pPr>
            <w:del w:id="5873" w:author="AbbVie19" w:date="2025-04-16T10:42:00Z">
              <w:r w:rsidRPr="00BC0E7E">
                <w:delText>0.0</w:delText>
              </w:r>
            </w:del>
          </w:p>
        </w:tc>
        <w:tc>
          <w:tcPr>
            <w:tcW w:w="2000" w:type="dxa"/>
          </w:tcPr>
          <w:p w14:paraId="4680C3EC" w14:textId="77777777" w:rsidR="00BC0E7E" w:rsidRPr="00BC0E7E" w:rsidRDefault="00944B8F" w:rsidP="00762FA7">
            <w:pPr>
              <w:keepNext/>
              <w:jc w:val="center"/>
              <w:rPr>
                <w:del w:id="5874" w:author="AbbVie19" w:date="2025-04-16T10:42:00Z"/>
              </w:rPr>
            </w:pPr>
            <w:del w:id="5875" w:author="AbbVie19" w:date="2025-04-16T10:42:00Z">
              <w:r w:rsidRPr="00BC0E7E">
                <w:delText>1.6 (0.9, 2.2)</w:delText>
              </w:r>
            </w:del>
          </w:p>
        </w:tc>
        <w:tc>
          <w:tcPr>
            <w:tcW w:w="1548" w:type="dxa"/>
          </w:tcPr>
          <w:p w14:paraId="54E91910" w14:textId="77777777" w:rsidR="00BC0E7E" w:rsidRPr="00BC0E7E" w:rsidRDefault="00944B8F" w:rsidP="00762FA7">
            <w:pPr>
              <w:keepNext/>
              <w:jc w:val="center"/>
              <w:rPr>
                <w:del w:id="5876" w:author="AbbVie19" w:date="2025-04-16T10:42:00Z"/>
              </w:rPr>
            </w:pPr>
            <w:del w:id="5877" w:author="AbbVie19" w:date="2025-04-16T10:42:00Z">
              <w:r w:rsidRPr="00BC0E7E">
                <w:delText>&lt; 0.001</w:delText>
              </w:r>
            </w:del>
          </w:p>
        </w:tc>
      </w:tr>
      <w:tr w:rsidR="00C6578C" w14:paraId="1DA04DC7" w14:textId="77777777" w:rsidTr="00171601">
        <w:trPr>
          <w:del w:id="5878" w:author="AbbVie19" w:date="2025-04-16T10:42:00Z"/>
        </w:trPr>
        <w:tc>
          <w:tcPr>
            <w:tcW w:w="2088" w:type="dxa"/>
          </w:tcPr>
          <w:p w14:paraId="1DC26DFD" w14:textId="77777777" w:rsidR="00BC0E7E" w:rsidRPr="00BC0E7E" w:rsidRDefault="00944B8F" w:rsidP="00762FA7">
            <w:pPr>
              <w:keepNext/>
              <w:jc w:val="center"/>
              <w:rPr>
                <w:del w:id="5879" w:author="AbbVie19" w:date="2025-04-16T10:42:00Z"/>
              </w:rPr>
            </w:pPr>
            <w:del w:id="5880" w:author="AbbVie19" w:date="2025-04-16T10:42:00Z">
              <w:r w:rsidRPr="00BC0E7E">
                <w:delText>JSN</w:delText>
              </w:r>
              <w:r w:rsidRPr="00BC0E7E">
                <w:rPr>
                  <w:vertAlign w:val="superscript"/>
                </w:rPr>
                <w:delText>d</w:delText>
              </w:r>
              <w:r w:rsidRPr="00BC0E7E">
                <w:delText xml:space="preserve"> score</w:delText>
              </w:r>
            </w:del>
          </w:p>
        </w:tc>
        <w:tc>
          <w:tcPr>
            <w:tcW w:w="1430" w:type="dxa"/>
          </w:tcPr>
          <w:p w14:paraId="470238DC" w14:textId="77777777" w:rsidR="00BC0E7E" w:rsidRPr="00BC0E7E" w:rsidRDefault="00944B8F" w:rsidP="00762FA7">
            <w:pPr>
              <w:keepNext/>
              <w:jc w:val="center"/>
              <w:rPr>
                <w:del w:id="5881" w:author="AbbVie19" w:date="2025-04-16T10:42:00Z"/>
              </w:rPr>
            </w:pPr>
            <w:del w:id="5882" w:author="AbbVie19" w:date="2025-04-16T10:42:00Z">
              <w:r w:rsidRPr="00BC0E7E">
                <w:delText>1.0</w:delText>
              </w:r>
            </w:del>
          </w:p>
        </w:tc>
        <w:tc>
          <w:tcPr>
            <w:tcW w:w="1790" w:type="dxa"/>
          </w:tcPr>
          <w:p w14:paraId="3B4C215F" w14:textId="77777777" w:rsidR="00BC0E7E" w:rsidRPr="00BC0E7E" w:rsidRDefault="00944B8F" w:rsidP="00762FA7">
            <w:pPr>
              <w:keepNext/>
              <w:jc w:val="center"/>
              <w:rPr>
                <w:del w:id="5883" w:author="AbbVie19" w:date="2025-04-16T10:42:00Z"/>
              </w:rPr>
            </w:pPr>
            <w:del w:id="5884" w:author="AbbVie19" w:date="2025-04-16T10:42:00Z">
              <w:r w:rsidRPr="00BC0E7E">
                <w:delText>0.1</w:delText>
              </w:r>
            </w:del>
          </w:p>
        </w:tc>
        <w:tc>
          <w:tcPr>
            <w:tcW w:w="2000" w:type="dxa"/>
          </w:tcPr>
          <w:p w14:paraId="72A8FDFE" w14:textId="77777777" w:rsidR="00BC0E7E" w:rsidRPr="00BC0E7E" w:rsidRDefault="00944B8F" w:rsidP="00762FA7">
            <w:pPr>
              <w:keepNext/>
              <w:jc w:val="center"/>
              <w:rPr>
                <w:del w:id="5885" w:author="AbbVie19" w:date="2025-04-16T10:42:00Z"/>
              </w:rPr>
            </w:pPr>
            <w:del w:id="5886" w:author="AbbVie19" w:date="2025-04-16T10:42:00Z">
              <w:r w:rsidRPr="00BC0E7E">
                <w:delText>0.9 (0.3, 1.4)</w:delText>
              </w:r>
            </w:del>
          </w:p>
        </w:tc>
        <w:tc>
          <w:tcPr>
            <w:tcW w:w="1548" w:type="dxa"/>
          </w:tcPr>
          <w:p w14:paraId="5824FA39" w14:textId="77777777" w:rsidR="00BC0E7E" w:rsidRPr="00BC0E7E" w:rsidRDefault="00944B8F" w:rsidP="00762FA7">
            <w:pPr>
              <w:keepNext/>
              <w:jc w:val="center"/>
              <w:rPr>
                <w:del w:id="5887" w:author="AbbVie19" w:date="2025-04-16T10:42:00Z"/>
              </w:rPr>
            </w:pPr>
            <w:del w:id="5888" w:author="AbbVie19" w:date="2025-04-16T10:42:00Z">
              <w:r w:rsidRPr="00BC0E7E">
                <w:delText xml:space="preserve">  0.002</w:delText>
              </w:r>
            </w:del>
          </w:p>
        </w:tc>
      </w:tr>
    </w:tbl>
    <w:p w14:paraId="29D48271" w14:textId="77777777" w:rsidR="00BC0E7E" w:rsidRPr="00BC0E7E" w:rsidRDefault="00944B8F" w:rsidP="00762FA7">
      <w:pPr>
        <w:rPr>
          <w:del w:id="5889" w:author="AbbVie19" w:date="2025-04-16T10:42:00Z"/>
          <w:szCs w:val="20"/>
        </w:rPr>
      </w:pPr>
      <w:del w:id="5890" w:author="AbbVie19" w:date="2025-04-16T10:42:00Z">
        <w:r w:rsidRPr="00BC0E7E">
          <w:rPr>
            <w:b/>
            <w:bCs/>
            <w:szCs w:val="20"/>
            <w:vertAlign w:val="superscript"/>
          </w:rPr>
          <w:delText>a</w:delText>
        </w:r>
        <w:r w:rsidRPr="00BC0E7E">
          <w:rPr>
            <w:szCs w:val="20"/>
          </w:rPr>
          <w:delText>methotrexate</w:delText>
        </w:r>
      </w:del>
    </w:p>
    <w:p w14:paraId="589CF6E6" w14:textId="77777777" w:rsidR="00BC0E7E" w:rsidRPr="00BC0E7E" w:rsidRDefault="00944B8F" w:rsidP="00762FA7">
      <w:pPr>
        <w:rPr>
          <w:del w:id="5891" w:author="AbbVie19" w:date="2025-04-16T10:42:00Z"/>
          <w:szCs w:val="20"/>
        </w:rPr>
      </w:pPr>
      <w:del w:id="5892" w:author="AbbVie19" w:date="2025-04-16T10:42:00Z">
        <w:r w:rsidRPr="00BC0E7E">
          <w:rPr>
            <w:szCs w:val="20"/>
            <w:vertAlign w:val="superscript"/>
          </w:rPr>
          <w:delText>b</w:delText>
        </w:r>
        <w:r w:rsidRPr="00BC0E7E">
          <w:rPr>
            <w:szCs w:val="20"/>
          </w:rPr>
          <w:delText xml:space="preserve">95% confidence intervals for the differences in change scores between methotrexate and Humira. </w:delText>
        </w:r>
      </w:del>
    </w:p>
    <w:p w14:paraId="18B8CB32" w14:textId="77777777" w:rsidR="00BC0E7E" w:rsidRPr="00BC0E7E" w:rsidRDefault="00944B8F" w:rsidP="00762FA7">
      <w:pPr>
        <w:rPr>
          <w:del w:id="5893" w:author="AbbVie19" w:date="2025-04-16T10:42:00Z"/>
          <w:szCs w:val="20"/>
        </w:rPr>
      </w:pPr>
      <w:del w:id="5894" w:author="AbbVie19" w:date="2025-04-16T10:42:00Z">
        <w:r w:rsidRPr="00BC0E7E">
          <w:rPr>
            <w:szCs w:val="20"/>
            <w:vertAlign w:val="superscript"/>
          </w:rPr>
          <w:delText>c</w:delText>
        </w:r>
        <w:r w:rsidRPr="00BC0E7E">
          <w:rPr>
            <w:szCs w:val="20"/>
          </w:rPr>
          <w:delText xml:space="preserve">Based on rank analysis </w:delText>
        </w:r>
      </w:del>
    </w:p>
    <w:p w14:paraId="0457F763" w14:textId="77777777" w:rsidR="00BC0E7E" w:rsidRPr="00BC0E7E" w:rsidRDefault="00944B8F" w:rsidP="00762FA7">
      <w:pPr>
        <w:rPr>
          <w:del w:id="5895" w:author="AbbVie19" w:date="2025-04-16T10:42:00Z"/>
          <w:szCs w:val="20"/>
        </w:rPr>
      </w:pPr>
      <w:del w:id="5896" w:author="AbbVie19" w:date="2025-04-16T10:42:00Z">
        <w:r w:rsidRPr="00BC0E7E">
          <w:rPr>
            <w:szCs w:val="20"/>
            <w:vertAlign w:val="superscript"/>
          </w:rPr>
          <w:delText>d</w:delText>
        </w:r>
        <w:r w:rsidRPr="00BC0E7E">
          <w:rPr>
            <w:szCs w:val="20"/>
          </w:rPr>
          <w:delText>Joint Space Narrowing</w:delText>
        </w:r>
      </w:del>
    </w:p>
    <w:p w14:paraId="3DBA499C" w14:textId="77777777" w:rsidR="00BC0E7E" w:rsidRPr="00BC0E7E" w:rsidRDefault="00BC0E7E" w:rsidP="00762FA7">
      <w:pPr>
        <w:rPr>
          <w:del w:id="5897" w:author="AbbVie19" w:date="2025-04-16T10:42:00Z"/>
          <w:szCs w:val="20"/>
        </w:rPr>
      </w:pPr>
    </w:p>
    <w:p w14:paraId="2EA6CBCD" w14:textId="77777777" w:rsidR="00BC0E7E" w:rsidRPr="00BC0E7E" w:rsidRDefault="00944B8F" w:rsidP="00762FA7">
      <w:pPr>
        <w:rPr>
          <w:del w:id="5898" w:author="AbbVie19" w:date="2025-04-16T10:42:00Z"/>
        </w:rPr>
      </w:pPr>
      <w:del w:id="5899" w:author="AbbVie19" w:date="2025-04-16T10:42:00Z">
        <w:r w:rsidRPr="00BC0E7E">
          <w:delText xml:space="preserve">In RA study V, structural joint damage was assessed radiographically and expressed as change in modified Total Sharp Score (see Table </w:delText>
        </w:r>
        <w:r w:rsidR="006668FE">
          <w:delText>1</w:delText>
        </w:r>
        <w:r w:rsidR="005F03EC">
          <w:delText>1</w:delText>
        </w:r>
        <w:r w:rsidRPr="00BC0E7E">
          <w:delText>).</w:delText>
        </w:r>
      </w:del>
    </w:p>
    <w:p w14:paraId="4FE5410D" w14:textId="77777777" w:rsidR="00BC0E7E" w:rsidRPr="00BC0E7E" w:rsidRDefault="00BC0E7E" w:rsidP="00762FA7">
      <w:pPr>
        <w:keepNext/>
        <w:rPr>
          <w:del w:id="5900" w:author="AbbVie19" w:date="2025-04-16T10:42:00Z"/>
        </w:rPr>
      </w:pPr>
    </w:p>
    <w:tbl>
      <w:tblPr>
        <w:tblW w:w="8910" w:type="dxa"/>
        <w:tblInd w:w="108" w:type="dxa"/>
        <w:tblLayout w:type="fixed"/>
        <w:tblLook w:val="0000" w:firstRow="0" w:lastRow="0" w:firstColumn="0" w:lastColumn="0" w:noHBand="0" w:noVBand="0"/>
      </w:tblPr>
      <w:tblGrid>
        <w:gridCol w:w="1430"/>
        <w:gridCol w:w="1540"/>
        <w:gridCol w:w="1482"/>
        <w:gridCol w:w="1488"/>
        <w:gridCol w:w="990"/>
        <w:gridCol w:w="990"/>
        <w:gridCol w:w="990"/>
      </w:tblGrid>
      <w:tr w:rsidR="00C6578C" w14:paraId="51EC51F0" w14:textId="77777777" w:rsidTr="00171601">
        <w:trPr>
          <w:cantSplit/>
          <w:del w:id="5901" w:author="AbbVie19" w:date="2025-04-16T10:42:00Z"/>
        </w:trPr>
        <w:tc>
          <w:tcPr>
            <w:tcW w:w="8910" w:type="dxa"/>
            <w:gridSpan w:val="7"/>
            <w:tcBorders>
              <w:bottom w:val="single" w:sz="4" w:space="0" w:color="auto"/>
            </w:tcBorders>
          </w:tcPr>
          <w:p w14:paraId="28FD77CD" w14:textId="77777777" w:rsidR="00BC0E7E" w:rsidRPr="00BC0E7E" w:rsidRDefault="00944B8F" w:rsidP="00762FA7">
            <w:pPr>
              <w:keepNext/>
              <w:jc w:val="center"/>
              <w:outlineLvl w:val="4"/>
              <w:rPr>
                <w:del w:id="5902" w:author="AbbVie19" w:date="2025-04-16T10:42:00Z"/>
                <w:b/>
                <w:bCs/>
                <w:noProof/>
              </w:rPr>
            </w:pPr>
            <w:del w:id="5903" w:author="AbbVie19" w:date="2025-04-16T10:42:00Z">
              <w:r w:rsidRPr="00BC0E7E">
                <w:rPr>
                  <w:b/>
                  <w:bCs/>
                  <w:noProof/>
                </w:rPr>
                <w:delText xml:space="preserve">Table </w:delText>
              </w:r>
              <w:r w:rsidR="006668FE">
                <w:rPr>
                  <w:b/>
                  <w:bCs/>
                  <w:noProof/>
                </w:rPr>
                <w:delText>1</w:delText>
              </w:r>
              <w:r w:rsidR="005F03EC">
                <w:rPr>
                  <w:b/>
                  <w:bCs/>
                  <w:noProof/>
                </w:rPr>
                <w:delText>1</w:delText>
              </w:r>
            </w:del>
          </w:p>
          <w:p w14:paraId="1EE9B26A" w14:textId="77777777" w:rsidR="00BC0E7E" w:rsidRPr="00BC0E7E" w:rsidRDefault="00944B8F" w:rsidP="00762FA7">
            <w:pPr>
              <w:keepNext/>
              <w:jc w:val="center"/>
              <w:outlineLvl w:val="4"/>
              <w:rPr>
                <w:del w:id="5904" w:author="AbbVie19" w:date="2025-04-16T10:42:00Z"/>
                <w:b/>
                <w:bCs/>
                <w:noProof/>
              </w:rPr>
            </w:pPr>
            <w:del w:id="5905" w:author="AbbVie19" w:date="2025-04-16T10:42:00Z">
              <w:r w:rsidRPr="00BC0E7E">
                <w:rPr>
                  <w:b/>
                  <w:bCs/>
                  <w:noProof/>
                </w:rPr>
                <w:delText xml:space="preserve">  Radiographic Mean Changes at Week</w:delText>
              </w:r>
              <w:r w:rsidRPr="00BC0E7E">
                <w:rPr>
                  <w:rFonts w:ascii="Calibri" w:hAnsi="Calibri"/>
                  <w:b/>
                  <w:bCs/>
                  <w:i/>
                  <w:iCs/>
                  <w:sz w:val="26"/>
                  <w:szCs w:val="26"/>
                </w:rPr>
                <w:delText> </w:delText>
              </w:r>
              <w:r w:rsidRPr="00BC0E7E">
                <w:rPr>
                  <w:b/>
                  <w:bCs/>
                  <w:noProof/>
                </w:rPr>
                <w:delText>52 in RA Study V</w:delText>
              </w:r>
            </w:del>
          </w:p>
          <w:p w14:paraId="066E562B" w14:textId="77777777" w:rsidR="00BC0E7E" w:rsidRPr="00BC0E7E" w:rsidRDefault="00BC0E7E" w:rsidP="00762FA7">
            <w:pPr>
              <w:keepNext/>
              <w:rPr>
                <w:del w:id="5906" w:author="AbbVie19" w:date="2025-04-16T10:42:00Z"/>
              </w:rPr>
            </w:pPr>
          </w:p>
        </w:tc>
      </w:tr>
      <w:tr w:rsidR="00C6578C" w14:paraId="6D274266" w14:textId="77777777" w:rsidTr="00171601">
        <w:trPr>
          <w:del w:id="5907" w:author="AbbVie19" w:date="2025-04-16T10:42:00Z"/>
        </w:trPr>
        <w:tc>
          <w:tcPr>
            <w:tcW w:w="1430" w:type="dxa"/>
            <w:tcBorders>
              <w:top w:val="single" w:sz="4" w:space="0" w:color="auto"/>
              <w:left w:val="single" w:sz="4" w:space="0" w:color="auto"/>
              <w:bottom w:val="single" w:sz="4" w:space="0" w:color="auto"/>
              <w:right w:val="single" w:sz="4" w:space="0" w:color="auto"/>
            </w:tcBorders>
            <w:vAlign w:val="center"/>
          </w:tcPr>
          <w:p w14:paraId="7210455E" w14:textId="77777777" w:rsidR="00BC0E7E" w:rsidRPr="00BC0E7E" w:rsidRDefault="00BC0E7E" w:rsidP="00762FA7">
            <w:pPr>
              <w:keepNext/>
              <w:rPr>
                <w:del w:id="5908" w:author="AbbVie19" w:date="2025-04-16T10:42:00Z"/>
              </w:rPr>
            </w:pPr>
          </w:p>
        </w:tc>
        <w:tc>
          <w:tcPr>
            <w:tcW w:w="1540" w:type="dxa"/>
            <w:tcBorders>
              <w:top w:val="single" w:sz="4" w:space="0" w:color="auto"/>
              <w:left w:val="single" w:sz="4" w:space="0" w:color="auto"/>
              <w:bottom w:val="single" w:sz="4" w:space="0" w:color="auto"/>
              <w:right w:val="single" w:sz="4" w:space="0" w:color="auto"/>
            </w:tcBorders>
            <w:vAlign w:val="center"/>
          </w:tcPr>
          <w:p w14:paraId="7542178A" w14:textId="77777777" w:rsidR="00BC0E7E" w:rsidRPr="00BC0E7E" w:rsidRDefault="00944B8F" w:rsidP="00762FA7">
            <w:pPr>
              <w:keepNext/>
              <w:jc w:val="center"/>
              <w:rPr>
                <w:del w:id="5909" w:author="AbbVie19" w:date="2025-04-16T10:42:00Z"/>
              </w:rPr>
            </w:pPr>
            <w:del w:id="5910" w:author="AbbVie19" w:date="2025-04-16T10:42:00Z">
              <w:r w:rsidRPr="00BC0E7E">
                <w:delText>MTX</w:delText>
              </w:r>
            </w:del>
          </w:p>
          <w:p w14:paraId="038DF4A9" w14:textId="77777777" w:rsidR="00BC0E7E" w:rsidRPr="00BC0E7E" w:rsidRDefault="00944B8F" w:rsidP="00762FA7">
            <w:pPr>
              <w:keepNext/>
              <w:jc w:val="center"/>
              <w:rPr>
                <w:del w:id="5911" w:author="AbbVie19" w:date="2025-04-16T10:42:00Z"/>
              </w:rPr>
            </w:pPr>
            <w:del w:id="5912" w:author="AbbVie19" w:date="2025-04-16T10:42:00Z">
              <w:r w:rsidRPr="00BC0E7E">
                <w:delText>n=257</w:delText>
              </w:r>
            </w:del>
          </w:p>
          <w:p w14:paraId="77EF9DAE" w14:textId="77777777" w:rsidR="00BC0E7E" w:rsidRPr="00BC0E7E" w:rsidRDefault="00944B8F" w:rsidP="00762FA7">
            <w:pPr>
              <w:keepNext/>
              <w:jc w:val="center"/>
              <w:rPr>
                <w:del w:id="5913" w:author="AbbVie19" w:date="2025-04-16T10:42:00Z"/>
              </w:rPr>
            </w:pPr>
            <w:del w:id="5914" w:author="AbbVie19" w:date="2025-04-16T10:42:00Z">
              <w:r w:rsidRPr="00BC0E7E">
                <w:delText>(95% confidence interval)</w:delText>
              </w:r>
            </w:del>
          </w:p>
        </w:tc>
        <w:tc>
          <w:tcPr>
            <w:tcW w:w="1482" w:type="dxa"/>
            <w:tcBorders>
              <w:top w:val="single" w:sz="4" w:space="0" w:color="auto"/>
              <w:left w:val="single" w:sz="4" w:space="0" w:color="auto"/>
              <w:bottom w:val="single" w:sz="4" w:space="0" w:color="auto"/>
              <w:right w:val="single" w:sz="4" w:space="0" w:color="auto"/>
            </w:tcBorders>
            <w:vAlign w:val="center"/>
          </w:tcPr>
          <w:p w14:paraId="3E811572" w14:textId="77777777" w:rsidR="00BC0E7E" w:rsidRPr="00BC0E7E" w:rsidRDefault="00944B8F" w:rsidP="00762FA7">
            <w:pPr>
              <w:keepNext/>
              <w:jc w:val="center"/>
              <w:rPr>
                <w:del w:id="5915" w:author="AbbVie19" w:date="2025-04-16T10:42:00Z"/>
              </w:rPr>
            </w:pPr>
            <w:del w:id="5916" w:author="AbbVie19" w:date="2025-04-16T10:42:00Z">
              <w:r w:rsidRPr="00BC0E7E">
                <w:delText>Humira</w:delText>
              </w:r>
            </w:del>
          </w:p>
          <w:p w14:paraId="79208C5B" w14:textId="77777777" w:rsidR="00BC0E7E" w:rsidRPr="00BC0E7E" w:rsidRDefault="00944B8F" w:rsidP="00762FA7">
            <w:pPr>
              <w:keepNext/>
              <w:jc w:val="center"/>
              <w:rPr>
                <w:del w:id="5917" w:author="AbbVie19" w:date="2025-04-16T10:42:00Z"/>
                <w:szCs w:val="20"/>
              </w:rPr>
            </w:pPr>
            <w:del w:id="5918" w:author="AbbVie19" w:date="2025-04-16T10:42:00Z">
              <w:r w:rsidRPr="00BC0E7E">
                <w:rPr>
                  <w:szCs w:val="20"/>
                </w:rPr>
                <w:delText>n=274</w:delText>
              </w:r>
            </w:del>
          </w:p>
          <w:p w14:paraId="70B56602" w14:textId="77777777" w:rsidR="00BC0E7E" w:rsidRPr="00BC0E7E" w:rsidRDefault="00944B8F" w:rsidP="00762FA7">
            <w:pPr>
              <w:keepNext/>
              <w:jc w:val="center"/>
              <w:rPr>
                <w:del w:id="5919" w:author="AbbVie19" w:date="2025-04-16T10:42:00Z"/>
              </w:rPr>
            </w:pPr>
            <w:del w:id="5920" w:author="AbbVie19" w:date="2025-04-16T10:42:00Z">
              <w:r w:rsidRPr="00BC0E7E">
                <w:delText>(95% confidence interval)</w:delText>
              </w:r>
            </w:del>
          </w:p>
        </w:tc>
        <w:tc>
          <w:tcPr>
            <w:tcW w:w="1488" w:type="dxa"/>
            <w:tcBorders>
              <w:top w:val="single" w:sz="4" w:space="0" w:color="auto"/>
              <w:left w:val="single" w:sz="4" w:space="0" w:color="auto"/>
              <w:bottom w:val="single" w:sz="4" w:space="0" w:color="auto"/>
              <w:right w:val="single" w:sz="4" w:space="0" w:color="auto"/>
            </w:tcBorders>
            <w:vAlign w:val="center"/>
          </w:tcPr>
          <w:p w14:paraId="7A174ABE" w14:textId="77777777" w:rsidR="00BC0E7E" w:rsidRPr="00BC0E7E" w:rsidRDefault="00944B8F" w:rsidP="00762FA7">
            <w:pPr>
              <w:keepNext/>
              <w:jc w:val="center"/>
              <w:rPr>
                <w:del w:id="5921" w:author="AbbVie19" w:date="2025-04-16T10:42:00Z"/>
              </w:rPr>
            </w:pPr>
            <w:del w:id="5922" w:author="AbbVie19" w:date="2025-04-16T10:42:00Z">
              <w:r w:rsidRPr="00BC0E7E">
                <w:delText>Humira/MTX</w:delText>
              </w:r>
            </w:del>
          </w:p>
          <w:p w14:paraId="6A9B4A24" w14:textId="77777777" w:rsidR="00BC0E7E" w:rsidRPr="00BC0E7E" w:rsidRDefault="00944B8F" w:rsidP="00762FA7">
            <w:pPr>
              <w:keepNext/>
              <w:jc w:val="center"/>
              <w:rPr>
                <w:del w:id="5923" w:author="AbbVie19" w:date="2025-04-16T10:42:00Z"/>
                <w:szCs w:val="20"/>
              </w:rPr>
            </w:pPr>
            <w:del w:id="5924" w:author="AbbVie19" w:date="2025-04-16T10:42:00Z">
              <w:r w:rsidRPr="00BC0E7E">
                <w:rPr>
                  <w:szCs w:val="20"/>
                </w:rPr>
                <w:delText>n=268</w:delText>
              </w:r>
            </w:del>
          </w:p>
          <w:p w14:paraId="62782F4D" w14:textId="77777777" w:rsidR="00BC0E7E" w:rsidRPr="00BC0E7E" w:rsidRDefault="00944B8F" w:rsidP="00762FA7">
            <w:pPr>
              <w:keepNext/>
              <w:jc w:val="center"/>
              <w:rPr>
                <w:del w:id="5925" w:author="AbbVie19" w:date="2025-04-16T10:42:00Z"/>
                <w:szCs w:val="20"/>
              </w:rPr>
            </w:pPr>
            <w:del w:id="5926" w:author="AbbVie19" w:date="2025-04-16T10:42:00Z">
              <w:r w:rsidRPr="00BC0E7E">
                <w:rPr>
                  <w:szCs w:val="20"/>
                </w:rPr>
                <w:delText>(95% confidence interval)</w:delText>
              </w:r>
            </w:del>
          </w:p>
        </w:tc>
        <w:tc>
          <w:tcPr>
            <w:tcW w:w="990" w:type="dxa"/>
            <w:tcBorders>
              <w:top w:val="single" w:sz="4" w:space="0" w:color="auto"/>
              <w:left w:val="single" w:sz="4" w:space="0" w:color="auto"/>
              <w:bottom w:val="single" w:sz="4" w:space="0" w:color="auto"/>
              <w:right w:val="single" w:sz="4" w:space="0" w:color="auto"/>
            </w:tcBorders>
            <w:vAlign w:val="center"/>
          </w:tcPr>
          <w:p w14:paraId="37BB9037" w14:textId="77777777" w:rsidR="00BC0E7E" w:rsidRPr="00BC0E7E" w:rsidRDefault="00944B8F" w:rsidP="00762FA7">
            <w:pPr>
              <w:keepNext/>
              <w:jc w:val="center"/>
              <w:rPr>
                <w:del w:id="5927" w:author="AbbVie19" w:date="2025-04-16T10:42:00Z"/>
                <w:szCs w:val="20"/>
              </w:rPr>
            </w:pPr>
            <w:del w:id="5928" w:author="AbbVie19" w:date="2025-04-16T10:42:00Z">
              <w:r w:rsidRPr="00BC0E7E">
                <w:rPr>
                  <w:szCs w:val="20"/>
                </w:rPr>
                <w:delText>p-value</w:delText>
              </w:r>
              <w:r w:rsidRPr="00BC0E7E">
                <w:rPr>
                  <w:szCs w:val="20"/>
                  <w:vertAlign w:val="superscript"/>
                </w:rPr>
                <w:delText>a</w:delText>
              </w:r>
            </w:del>
          </w:p>
        </w:tc>
        <w:tc>
          <w:tcPr>
            <w:tcW w:w="990" w:type="dxa"/>
            <w:tcBorders>
              <w:top w:val="single" w:sz="4" w:space="0" w:color="auto"/>
              <w:left w:val="single" w:sz="4" w:space="0" w:color="auto"/>
              <w:bottom w:val="single" w:sz="4" w:space="0" w:color="auto"/>
              <w:right w:val="single" w:sz="4" w:space="0" w:color="auto"/>
            </w:tcBorders>
            <w:vAlign w:val="center"/>
          </w:tcPr>
          <w:p w14:paraId="31984F65" w14:textId="77777777" w:rsidR="00BC0E7E" w:rsidRPr="00BC0E7E" w:rsidRDefault="00944B8F" w:rsidP="00762FA7">
            <w:pPr>
              <w:keepNext/>
              <w:jc w:val="center"/>
              <w:rPr>
                <w:del w:id="5929" w:author="AbbVie19" w:date="2025-04-16T10:42:00Z"/>
              </w:rPr>
            </w:pPr>
            <w:del w:id="5930" w:author="AbbVie19" w:date="2025-04-16T10:42:00Z">
              <w:r w:rsidRPr="00BC0E7E">
                <w:delText>p-value</w:delText>
              </w:r>
              <w:r w:rsidRPr="00BC0E7E">
                <w:rPr>
                  <w:vertAlign w:val="superscript"/>
                </w:rPr>
                <w:delText>b</w:delText>
              </w:r>
            </w:del>
          </w:p>
        </w:tc>
        <w:tc>
          <w:tcPr>
            <w:tcW w:w="990" w:type="dxa"/>
            <w:tcBorders>
              <w:top w:val="single" w:sz="4" w:space="0" w:color="auto"/>
              <w:left w:val="single" w:sz="4" w:space="0" w:color="auto"/>
              <w:bottom w:val="single" w:sz="4" w:space="0" w:color="auto"/>
              <w:right w:val="single" w:sz="4" w:space="0" w:color="auto"/>
            </w:tcBorders>
            <w:vAlign w:val="center"/>
          </w:tcPr>
          <w:p w14:paraId="3B2A9F1F" w14:textId="77777777" w:rsidR="00BC0E7E" w:rsidRPr="00BC0E7E" w:rsidRDefault="00944B8F" w:rsidP="00762FA7">
            <w:pPr>
              <w:keepNext/>
              <w:jc w:val="center"/>
              <w:rPr>
                <w:del w:id="5931" w:author="AbbVie19" w:date="2025-04-16T10:42:00Z"/>
              </w:rPr>
            </w:pPr>
            <w:del w:id="5932" w:author="AbbVie19" w:date="2025-04-16T10:42:00Z">
              <w:r w:rsidRPr="00BC0E7E">
                <w:delText>p-value</w:delText>
              </w:r>
              <w:r w:rsidRPr="00BC0E7E">
                <w:rPr>
                  <w:vertAlign w:val="superscript"/>
                </w:rPr>
                <w:delText>c</w:delText>
              </w:r>
            </w:del>
          </w:p>
        </w:tc>
      </w:tr>
      <w:tr w:rsidR="00C6578C" w14:paraId="2C2B3E26" w14:textId="77777777" w:rsidTr="00171601">
        <w:trPr>
          <w:del w:id="5933" w:author="AbbVie19" w:date="2025-04-16T10:42:00Z"/>
        </w:trPr>
        <w:tc>
          <w:tcPr>
            <w:tcW w:w="1430" w:type="dxa"/>
            <w:tcBorders>
              <w:top w:val="single" w:sz="4" w:space="0" w:color="auto"/>
              <w:left w:val="single" w:sz="4" w:space="0" w:color="auto"/>
              <w:bottom w:val="single" w:sz="4" w:space="0" w:color="auto"/>
              <w:right w:val="single" w:sz="4" w:space="0" w:color="auto"/>
            </w:tcBorders>
          </w:tcPr>
          <w:p w14:paraId="162B309A" w14:textId="77777777" w:rsidR="00BC0E7E" w:rsidRPr="00BC0E7E" w:rsidRDefault="00944B8F" w:rsidP="00762FA7">
            <w:pPr>
              <w:keepNext/>
              <w:jc w:val="center"/>
              <w:rPr>
                <w:del w:id="5934" w:author="AbbVie19" w:date="2025-04-16T10:42:00Z"/>
              </w:rPr>
            </w:pPr>
            <w:del w:id="5935" w:author="AbbVie19" w:date="2025-04-16T10:42:00Z">
              <w:r w:rsidRPr="00BC0E7E">
                <w:delText>Total Sharp Score</w:delText>
              </w:r>
            </w:del>
          </w:p>
        </w:tc>
        <w:tc>
          <w:tcPr>
            <w:tcW w:w="1540" w:type="dxa"/>
            <w:tcBorders>
              <w:top w:val="single" w:sz="4" w:space="0" w:color="auto"/>
              <w:left w:val="single" w:sz="4" w:space="0" w:color="auto"/>
              <w:bottom w:val="single" w:sz="4" w:space="0" w:color="auto"/>
              <w:right w:val="single" w:sz="4" w:space="0" w:color="auto"/>
            </w:tcBorders>
          </w:tcPr>
          <w:p w14:paraId="11F44D01" w14:textId="77777777" w:rsidR="00BC0E7E" w:rsidRPr="00BC0E7E" w:rsidRDefault="00944B8F" w:rsidP="00762FA7">
            <w:pPr>
              <w:keepNext/>
              <w:jc w:val="center"/>
              <w:rPr>
                <w:del w:id="5936" w:author="AbbVie19" w:date="2025-04-16T10:42:00Z"/>
                <w:lang w:val="it-IT"/>
              </w:rPr>
            </w:pPr>
            <w:del w:id="5937" w:author="AbbVie19" w:date="2025-04-16T10:42:00Z">
              <w:r w:rsidRPr="00BC0E7E">
                <w:rPr>
                  <w:lang w:val="it-IT"/>
                </w:rPr>
                <w:delText>5.7 (4.2-7.3)</w:delText>
              </w:r>
            </w:del>
          </w:p>
        </w:tc>
        <w:tc>
          <w:tcPr>
            <w:tcW w:w="1482" w:type="dxa"/>
            <w:tcBorders>
              <w:top w:val="single" w:sz="4" w:space="0" w:color="auto"/>
              <w:left w:val="single" w:sz="4" w:space="0" w:color="auto"/>
              <w:bottom w:val="single" w:sz="4" w:space="0" w:color="auto"/>
              <w:right w:val="single" w:sz="4" w:space="0" w:color="auto"/>
            </w:tcBorders>
          </w:tcPr>
          <w:p w14:paraId="643AD6A9" w14:textId="77777777" w:rsidR="00BC0E7E" w:rsidRPr="00BC0E7E" w:rsidRDefault="00944B8F" w:rsidP="00762FA7">
            <w:pPr>
              <w:keepNext/>
              <w:jc w:val="center"/>
              <w:rPr>
                <w:del w:id="5938" w:author="AbbVie19" w:date="2025-04-16T10:42:00Z"/>
                <w:lang w:val="it-IT"/>
              </w:rPr>
            </w:pPr>
            <w:del w:id="5939" w:author="AbbVie19" w:date="2025-04-16T10:42:00Z">
              <w:r w:rsidRPr="00BC0E7E">
                <w:rPr>
                  <w:lang w:val="it-IT"/>
                </w:rPr>
                <w:delText>3.0 (1.7-4.3)</w:delText>
              </w:r>
            </w:del>
          </w:p>
        </w:tc>
        <w:tc>
          <w:tcPr>
            <w:tcW w:w="1488" w:type="dxa"/>
            <w:tcBorders>
              <w:top w:val="single" w:sz="4" w:space="0" w:color="auto"/>
              <w:left w:val="single" w:sz="4" w:space="0" w:color="auto"/>
              <w:bottom w:val="single" w:sz="4" w:space="0" w:color="auto"/>
              <w:right w:val="single" w:sz="4" w:space="0" w:color="auto"/>
            </w:tcBorders>
          </w:tcPr>
          <w:p w14:paraId="4049ED2F" w14:textId="77777777" w:rsidR="00BC0E7E" w:rsidRPr="00BC0E7E" w:rsidRDefault="00944B8F" w:rsidP="00762FA7">
            <w:pPr>
              <w:keepNext/>
              <w:jc w:val="center"/>
              <w:rPr>
                <w:del w:id="5940" w:author="AbbVie19" w:date="2025-04-16T10:42:00Z"/>
                <w:lang w:val="it-IT"/>
              </w:rPr>
            </w:pPr>
            <w:del w:id="5941" w:author="AbbVie19" w:date="2025-04-16T10:42:00Z">
              <w:r w:rsidRPr="00BC0E7E">
                <w:rPr>
                  <w:lang w:val="it-IT"/>
                </w:rPr>
                <w:delText>1.3 (0.5-2.1)</w:delText>
              </w:r>
            </w:del>
          </w:p>
        </w:tc>
        <w:tc>
          <w:tcPr>
            <w:tcW w:w="990" w:type="dxa"/>
            <w:tcBorders>
              <w:top w:val="single" w:sz="4" w:space="0" w:color="auto"/>
              <w:left w:val="single" w:sz="4" w:space="0" w:color="auto"/>
              <w:bottom w:val="single" w:sz="4" w:space="0" w:color="auto"/>
              <w:right w:val="single" w:sz="4" w:space="0" w:color="auto"/>
            </w:tcBorders>
          </w:tcPr>
          <w:p w14:paraId="6F1CEB1B" w14:textId="77777777" w:rsidR="00BC0E7E" w:rsidRPr="00BC0E7E" w:rsidRDefault="00944B8F" w:rsidP="00762FA7">
            <w:pPr>
              <w:keepNext/>
              <w:jc w:val="center"/>
              <w:rPr>
                <w:del w:id="5942" w:author="AbbVie19" w:date="2025-04-16T10:42:00Z"/>
                <w:lang w:val="it-IT"/>
              </w:rPr>
            </w:pPr>
            <w:del w:id="5943" w:author="AbbVie19" w:date="2025-04-16T10:42:00Z">
              <w:r w:rsidRPr="00BC0E7E">
                <w:rPr>
                  <w:lang w:val="it-IT"/>
                </w:rPr>
                <w:delText>&lt; 0.001</w:delText>
              </w:r>
            </w:del>
          </w:p>
        </w:tc>
        <w:tc>
          <w:tcPr>
            <w:tcW w:w="990" w:type="dxa"/>
            <w:tcBorders>
              <w:top w:val="single" w:sz="4" w:space="0" w:color="auto"/>
              <w:left w:val="single" w:sz="4" w:space="0" w:color="auto"/>
              <w:bottom w:val="single" w:sz="4" w:space="0" w:color="auto"/>
              <w:right w:val="single" w:sz="4" w:space="0" w:color="auto"/>
            </w:tcBorders>
          </w:tcPr>
          <w:p w14:paraId="43744C24" w14:textId="77777777" w:rsidR="00BC0E7E" w:rsidRPr="00BC0E7E" w:rsidRDefault="00944B8F" w:rsidP="00762FA7">
            <w:pPr>
              <w:keepNext/>
              <w:jc w:val="center"/>
              <w:rPr>
                <w:del w:id="5944" w:author="AbbVie19" w:date="2025-04-16T10:42:00Z"/>
                <w:lang w:val="it-IT"/>
              </w:rPr>
            </w:pPr>
            <w:del w:id="5945" w:author="AbbVie19" w:date="2025-04-16T10:42:00Z">
              <w:r w:rsidRPr="00BC0E7E">
                <w:rPr>
                  <w:lang w:val="it-IT"/>
                </w:rPr>
                <w:delText>0.0020</w:delText>
              </w:r>
            </w:del>
          </w:p>
        </w:tc>
        <w:tc>
          <w:tcPr>
            <w:tcW w:w="990" w:type="dxa"/>
            <w:tcBorders>
              <w:top w:val="single" w:sz="4" w:space="0" w:color="auto"/>
              <w:left w:val="single" w:sz="4" w:space="0" w:color="auto"/>
              <w:bottom w:val="single" w:sz="4" w:space="0" w:color="auto"/>
              <w:right w:val="single" w:sz="4" w:space="0" w:color="auto"/>
            </w:tcBorders>
          </w:tcPr>
          <w:p w14:paraId="5F99D91E" w14:textId="77777777" w:rsidR="00BC0E7E" w:rsidRPr="00BC0E7E" w:rsidRDefault="00944B8F" w:rsidP="00762FA7">
            <w:pPr>
              <w:keepNext/>
              <w:jc w:val="center"/>
              <w:rPr>
                <w:del w:id="5946" w:author="AbbVie19" w:date="2025-04-16T10:42:00Z"/>
                <w:lang w:val="it-IT"/>
              </w:rPr>
            </w:pPr>
            <w:del w:id="5947" w:author="AbbVie19" w:date="2025-04-16T10:42:00Z">
              <w:r w:rsidRPr="00BC0E7E">
                <w:rPr>
                  <w:lang w:val="it-IT"/>
                </w:rPr>
                <w:delText>&lt; 0.001</w:delText>
              </w:r>
            </w:del>
          </w:p>
        </w:tc>
      </w:tr>
      <w:tr w:rsidR="00C6578C" w14:paraId="44F79603" w14:textId="77777777" w:rsidTr="00171601">
        <w:trPr>
          <w:del w:id="5948" w:author="AbbVie19" w:date="2025-04-16T10:42:00Z"/>
        </w:trPr>
        <w:tc>
          <w:tcPr>
            <w:tcW w:w="1430" w:type="dxa"/>
            <w:tcBorders>
              <w:top w:val="single" w:sz="4" w:space="0" w:color="auto"/>
              <w:left w:val="single" w:sz="4" w:space="0" w:color="auto"/>
              <w:bottom w:val="single" w:sz="4" w:space="0" w:color="auto"/>
              <w:right w:val="single" w:sz="4" w:space="0" w:color="auto"/>
            </w:tcBorders>
          </w:tcPr>
          <w:p w14:paraId="11FC0103" w14:textId="77777777" w:rsidR="00BC0E7E" w:rsidRPr="00BC0E7E" w:rsidRDefault="00944B8F" w:rsidP="00762FA7">
            <w:pPr>
              <w:keepNext/>
              <w:jc w:val="center"/>
              <w:rPr>
                <w:del w:id="5949" w:author="AbbVie19" w:date="2025-04-16T10:42:00Z"/>
                <w:lang w:val="it-IT"/>
              </w:rPr>
            </w:pPr>
            <w:del w:id="5950" w:author="AbbVie19" w:date="2025-04-16T10:42:00Z">
              <w:r w:rsidRPr="00BC0E7E">
                <w:rPr>
                  <w:lang w:val="it-IT"/>
                </w:rPr>
                <w:delText>Erosion score</w:delText>
              </w:r>
            </w:del>
          </w:p>
        </w:tc>
        <w:tc>
          <w:tcPr>
            <w:tcW w:w="1540" w:type="dxa"/>
            <w:tcBorders>
              <w:top w:val="single" w:sz="4" w:space="0" w:color="auto"/>
              <w:left w:val="single" w:sz="4" w:space="0" w:color="auto"/>
              <w:bottom w:val="single" w:sz="4" w:space="0" w:color="auto"/>
              <w:right w:val="single" w:sz="4" w:space="0" w:color="auto"/>
            </w:tcBorders>
          </w:tcPr>
          <w:p w14:paraId="0BBF9554" w14:textId="77777777" w:rsidR="00BC0E7E" w:rsidRPr="00BC0E7E" w:rsidRDefault="00944B8F" w:rsidP="00762FA7">
            <w:pPr>
              <w:keepNext/>
              <w:jc w:val="center"/>
              <w:rPr>
                <w:del w:id="5951" w:author="AbbVie19" w:date="2025-04-16T10:42:00Z"/>
                <w:lang w:val="it-IT"/>
              </w:rPr>
            </w:pPr>
            <w:del w:id="5952" w:author="AbbVie19" w:date="2025-04-16T10:42:00Z">
              <w:r w:rsidRPr="00BC0E7E">
                <w:rPr>
                  <w:lang w:val="it-IT"/>
                </w:rPr>
                <w:delText>3.7 (2.7-4.7)</w:delText>
              </w:r>
            </w:del>
          </w:p>
        </w:tc>
        <w:tc>
          <w:tcPr>
            <w:tcW w:w="1482" w:type="dxa"/>
            <w:tcBorders>
              <w:top w:val="single" w:sz="4" w:space="0" w:color="auto"/>
              <w:left w:val="single" w:sz="4" w:space="0" w:color="auto"/>
              <w:bottom w:val="single" w:sz="4" w:space="0" w:color="auto"/>
              <w:right w:val="single" w:sz="4" w:space="0" w:color="auto"/>
            </w:tcBorders>
          </w:tcPr>
          <w:p w14:paraId="4FD064B2" w14:textId="77777777" w:rsidR="00BC0E7E" w:rsidRPr="00BC0E7E" w:rsidRDefault="00944B8F" w:rsidP="00762FA7">
            <w:pPr>
              <w:keepNext/>
              <w:jc w:val="center"/>
              <w:rPr>
                <w:del w:id="5953" w:author="AbbVie19" w:date="2025-04-16T10:42:00Z"/>
                <w:lang w:val="it-IT"/>
              </w:rPr>
            </w:pPr>
            <w:del w:id="5954" w:author="AbbVie19" w:date="2025-04-16T10:42:00Z">
              <w:r w:rsidRPr="00BC0E7E">
                <w:rPr>
                  <w:lang w:val="it-IT"/>
                </w:rPr>
                <w:delText>1.7 (1.0-2.4)</w:delText>
              </w:r>
            </w:del>
          </w:p>
        </w:tc>
        <w:tc>
          <w:tcPr>
            <w:tcW w:w="1488" w:type="dxa"/>
            <w:tcBorders>
              <w:top w:val="single" w:sz="4" w:space="0" w:color="auto"/>
              <w:left w:val="single" w:sz="4" w:space="0" w:color="auto"/>
              <w:bottom w:val="single" w:sz="4" w:space="0" w:color="auto"/>
              <w:right w:val="single" w:sz="4" w:space="0" w:color="auto"/>
            </w:tcBorders>
          </w:tcPr>
          <w:p w14:paraId="08B3EED0" w14:textId="77777777" w:rsidR="00BC0E7E" w:rsidRPr="00BC0E7E" w:rsidRDefault="00944B8F" w:rsidP="00762FA7">
            <w:pPr>
              <w:keepNext/>
              <w:jc w:val="center"/>
              <w:rPr>
                <w:del w:id="5955" w:author="AbbVie19" w:date="2025-04-16T10:42:00Z"/>
                <w:lang w:val="it-IT"/>
              </w:rPr>
            </w:pPr>
            <w:del w:id="5956" w:author="AbbVie19" w:date="2025-04-16T10:42:00Z">
              <w:r w:rsidRPr="00BC0E7E">
                <w:rPr>
                  <w:lang w:val="it-IT"/>
                </w:rPr>
                <w:delText>0.8 (0.4-1.2)</w:delText>
              </w:r>
            </w:del>
          </w:p>
        </w:tc>
        <w:tc>
          <w:tcPr>
            <w:tcW w:w="990" w:type="dxa"/>
            <w:tcBorders>
              <w:top w:val="single" w:sz="4" w:space="0" w:color="auto"/>
              <w:left w:val="single" w:sz="4" w:space="0" w:color="auto"/>
              <w:bottom w:val="single" w:sz="4" w:space="0" w:color="auto"/>
              <w:right w:val="single" w:sz="4" w:space="0" w:color="auto"/>
            </w:tcBorders>
          </w:tcPr>
          <w:p w14:paraId="79DD557C" w14:textId="77777777" w:rsidR="00BC0E7E" w:rsidRPr="00BC0E7E" w:rsidRDefault="00944B8F" w:rsidP="00762FA7">
            <w:pPr>
              <w:keepNext/>
              <w:jc w:val="center"/>
              <w:rPr>
                <w:del w:id="5957" w:author="AbbVie19" w:date="2025-04-16T10:42:00Z"/>
                <w:lang w:val="it-IT"/>
              </w:rPr>
            </w:pPr>
            <w:del w:id="5958" w:author="AbbVie19" w:date="2025-04-16T10:42:00Z">
              <w:r w:rsidRPr="00BC0E7E">
                <w:rPr>
                  <w:lang w:val="it-IT"/>
                </w:rPr>
                <w:delText>&lt; 0.001</w:delText>
              </w:r>
            </w:del>
          </w:p>
        </w:tc>
        <w:tc>
          <w:tcPr>
            <w:tcW w:w="990" w:type="dxa"/>
            <w:tcBorders>
              <w:top w:val="single" w:sz="4" w:space="0" w:color="auto"/>
              <w:left w:val="single" w:sz="4" w:space="0" w:color="auto"/>
              <w:bottom w:val="single" w:sz="4" w:space="0" w:color="auto"/>
              <w:right w:val="single" w:sz="4" w:space="0" w:color="auto"/>
            </w:tcBorders>
          </w:tcPr>
          <w:p w14:paraId="3B257188" w14:textId="77777777" w:rsidR="00BC0E7E" w:rsidRPr="00BC0E7E" w:rsidRDefault="00944B8F" w:rsidP="00762FA7">
            <w:pPr>
              <w:keepNext/>
              <w:jc w:val="center"/>
              <w:rPr>
                <w:del w:id="5959" w:author="AbbVie19" w:date="2025-04-16T10:42:00Z"/>
                <w:lang w:val="it-IT"/>
              </w:rPr>
            </w:pPr>
            <w:del w:id="5960" w:author="AbbVie19" w:date="2025-04-16T10:42:00Z">
              <w:r w:rsidRPr="00BC0E7E">
                <w:rPr>
                  <w:lang w:val="it-IT"/>
                </w:rPr>
                <w:delText>0.0082</w:delText>
              </w:r>
            </w:del>
          </w:p>
        </w:tc>
        <w:tc>
          <w:tcPr>
            <w:tcW w:w="990" w:type="dxa"/>
            <w:tcBorders>
              <w:top w:val="single" w:sz="4" w:space="0" w:color="auto"/>
              <w:left w:val="single" w:sz="4" w:space="0" w:color="auto"/>
              <w:bottom w:val="single" w:sz="4" w:space="0" w:color="auto"/>
              <w:right w:val="single" w:sz="4" w:space="0" w:color="auto"/>
            </w:tcBorders>
          </w:tcPr>
          <w:p w14:paraId="26812F12" w14:textId="77777777" w:rsidR="00BC0E7E" w:rsidRPr="00BC0E7E" w:rsidRDefault="00944B8F" w:rsidP="00762FA7">
            <w:pPr>
              <w:keepNext/>
              <w:jc w:val="center"/>
              <w:rPr>
                <w:del w:id="5961" w:author="AbbVie19" w:date="2025-04-16T10:42:00Z"/>
                <w:lang w:val="it-IT"/>
              </w:rPr>
            </w:pPr>
            <w:del w:id="5962" w:author="AbbVie19" w:date="2025-04-16T10:42:00Z">
              <w:r w:rsidRPr="00BC0E7E">
                <w:rPr>
                  <w:lang w:val="it-IT"/>
                </w:rPr>
                <w:delText>&lt; 0.001</w:delText>
              </w:r>
            </w:del>
          </w:p>
        </w:tc>
      </w:tr>
      <w:tr w:rsidR="00C6578C" w14:paraId="0535441C" w14:textId="77777777" w:rsidTr="00171601">
        <w:trPr>
          <w:del w:id="5963" w:author="AbbVie19" w:date="2025-04-16T10:42:00Z"/>
        </w:trPr>
        <w:tc>
          <w:tcPr>
            <w:tcW w:w="1430" w:type="dxa"/>
            <w:tcBorders>
              <w:top w:val="single" w:sz="4" w:space="0" w:color="auto"/>
              <w:left w:val="single" w:sz="4" w:space="0" w:color="auto"/>
              <w:bottom w:val="single" w:sz="4" w:space="0" w:color="auto"/>
              <w:right w:val="single" w:sz="4" w:space="0" w:color="auto"/>
            </w:tcBorders>
          </w:tcPr>
          <w:p w14:paraId="6942CE13" w14:textId="77777777" w:rsidR="00BC0E7E" w:rsidRPr="00BC0E7E" w:rsidRDefault="00944B8F" w:rsidP="00762FA7">
            <w:pPr>
              <w:keepNext/>
              <w:jc w:val="center"/>
              <w:rPr>
                <w:del w:id="5964" w:author="AbbVie19" w:date="2025-04-16T10:42:00Z"/>
                <w:lang w:val="it-IT"/>
              </w:rPr>
            </w:pPr>
            <w:del w:id="5965" w:author="AbbVie19" w:date="2025-04-16T10:42:00Z">
              <w:r w:rsidRPr="00BC0E7E">
                <w:rPr>
                  <w:lang w:val="it-IT"/>
                </w:rPr>
                <w:delText>JSN score</w:delText>
              </w:r>
            </w:del>
          </w:p>
        </w:tc>
        <w:tc>
          <w:tcPr>
            <w:tcW w:w="1540" w:type="dxa"/>
            <w:tcBorders>
              <w:top w:val="single" w:sz="4" w:space="0" w:color="auto"/>
              <w:left w:val="single" w:sz="4" w:space="0" w:color="auto"/>
              <w:bottom w:val="single" w:sz="4" w:space="0" w:color="auto"/>
              <w:right w:val="single" w:sz="4" w:space="0" w:color="auto"/>
            </w:tcBorders>
          </w:tcPr>
          <w:p w14:paraId="42E898B4" w14:textId="77777777" w:rsidR="00BC0E7E" w:rsidRPr="00BC0E7E" w:rsidRDefault="00944B8F" w:rsidP="00762FA7">
            <w:pPr>
              <w:keepNext/>
              <w:jc w:val="center"/>
              <w:rPr>
                <w:del w:id="5966" w:author="AbbVie19" w:date="2025-04-16T10:42:00Z"/>
              </w:rPr>
            </w:pPr>
            <w:del w:id="5967" w:author="AbbVie19" w:date="2025-04-16T10:42:00Z">
              <w:r w:rsidRPr="00BC0E7E">
                <w:delText>2.0 (1.2-2.8)</w:delText>
              </w:r>
            </w:del>
          </w:p>
        </w:tc>
        <w:tc>
          <w:tcPr>
            <w:tcW w:w="1482" w:type="dxa"/>
            <w:tcBorders>
              <w:top w:val="single" w:sz="4" w:space="0" w:color="auto"/>
              <w:left w:val="single" w:sz="4" w:space="0" w:color="auto"/>
              <w:bottom w:val="single" w:sz="4" w:space="0" w:color="auto"/>
              <w:right w:val="single" w:sz="4" w:space="0" w:color="auto"/>
            </w:tcBorders>
          </w:tcPr>
          <w:p w14:paraId="7036F725" w14:textId="77777777" w:rsidR="00BC0E7E" w:rsidRPr="00BC0E7E" w:rsidRDefault="00944B8F" w:rsidP="00762FA7">
            <w:pPr>
              <w:keepNext/>
              <w:jc w:val="center"/>
              <w:rPr>
                <w:del w:id="5968" w:author="AbbVie19" w:date="2025-04-16T10:42:00Z"/>
              </w:rPr>
            </w:pPr>
            <w:del w:id="5969" w:author="AbbVie19" w:date="2025-04-16T10:42:00Z">
              <w:r w:rsidRPr="00BC0E7E">
                <w:delText>1.3 (0.5-2.1)</w:delText>
              </w:r>
            </w:del>
          </w:p>
        </w:tc>
        <w:tc>
          <w:tcPr>
            <w:tcW w:w="1488" w:type="dxa"/>
            <w:tcBorders>
              <w:top w:val="single" w:sz="4" w:space="0" w:color="auto"/>
              <w:left w:val="single" w:sz="4" w:space="0" w:color="auto"/>
              <w:bottom w:val="single" w:sz="4" w:space="0" w:color="auto"/>
              <w:right w:val="single" w:sz="4" w:space="0" w:color="auto"/>
            </w:tcBorders>
          </w:tcPr>
          <w:p w14:paraId="07B44AC5" w14:textId="77777777" w:rsidR="00BC0E7E" w:rsidRPr="00BC0E7E" w:rsidRDefault="00944B8F" w:rsidP="00762FA7">
            <w:pPr>
              <w:keepNext/>
              <w:jc w:val="center"/>
              <w:rPr>
                <w:del w:id="5970" w:author="AbbVie19" w:date="2025-04-16T10:42:00Z"/>
              </w:rPr>
            </w:pPr>
            <w:del w:id="5971" w:author="AbbVie19" w:date="2025-04-16T10:42:00Z">
              <w:r w:rsidRPr="00BC0E7E">
                <w:delText>0.5 (0-1.0)</w:delText>
              </w:r>
            </w:del>
          </w:p>
        </w:tc>
        <w:tc>
          <w:tcPr>
            <w:tcW w:w="990" w:type="dxa"/>
            <w:tcBorders>
              <w:top w:val="single" w:sz="4" w:space="0" w:color="auto"/>
              <w:left w:val="single" w:sz="4" w:space="0" w:color="auto"/>
              <w:bottom w:val="single" w:sz="4" w:space="0" w:color="auto"/>
              <w:right w:val="single" w:sz="4" w:space="0" w:color="auto"/>
            </w:tcBorders>
          </w:tcPr>
          <w:p w14:paraId="2AA512A7" w14:textId="77777777" w:rsidR="00BC0E7E" w:rsidRPr="00BC0E7E" w:rsidRDefault="00944B8F" w:rsidP="00762FA7">
            <w:pPr>
              <w:keepNext/>
              <w:jc w:val="center"/>
              <w:rPr>
                <w:del w:id="5972" w:author="AbbVie19" w:date="2025-04-16T10:42:00Z"/>
              </w:rPr>
            </w:pPr>
            <w:del w:id="5973" w:author="AbbVie19" w:date="2025-04-16T10:42:00Z">
              <w:r w:rsidRPr="00BC0E7E">
                <w:delText>&lt; 0.001</w:delText>
              </w:r>
            </w:del>
          </w:p>
        </w:tc>
        <w:tc>
          <w:tcPr>
            <w:tcW w:w="990" w:type="dxa"/>
            <w:tcBorders>
              <w:top w:val="single" w:sz="4" w:space="0" w:color="auto"/>
              <w:left w:val="single" w:sz="4" w:space="0" w:color="auto"/>
              <w:bottom w:val="single" w:sz="4" w:space="0" w:color="auto"/>
              <w:right w:val="single" w:sz="4" w:space="0" w:color="auto"/>
            </w:tcBorders>
          </w:tcPr>
          <w:p w14:paraId="19C95528" w14:textId="77777777" w:rsidR="00BC0E7E" w:rsidRPr="00BC0E7E" w:rsidRDefault="00944B8F" w:rsidP="00762FA7">
            <w:pPr>
              <w:keepNext/>
              <w:jc w:val="center"/>
              <w:rPr>
                <w:del w:id="5974" w:author="AbbVie19" w:date="2025-04-16T10:42:00Z"/>
              </w:rPr>
            </w:pPr>
            <w:del w:id="5975" w:author="AbbVie19" w:date="2025-04-16T10:42:00Z">
              <w:r w:rsidRPr="00BC0E7E">
                <w:delText>0.0037</w:delText>
              </w:r>
            </w:del>
          </w:p>
        </w:tc>
        <w:tc>
          <w:tcPr>
            <w:tcW w:w="990" w:type="dxa"/>
            <w:tcBorders>
              <w:top w:val="single" w:sz="4" w:space="0" w:color="auto"/>
              <w:left w:val="single" w:sz="4" w:space="0" w:color="auto"/>
              <w:bottom w:val="single" w:sz="4" w:space="0" w:color="auto"/>
              <w:right w:val="single" w:sz="4" w:space="0" w:color="auto"/>
            </w:tcBorders>
          </w:tcPr>
          <w:p w14:paraId="5BD493C1" w14:textId="77777777" w:rsidR="00BC0E7E" w:rsidRPr="00BC0E7E" w:rsidRDefault="00944B8F" w:rsidP="00762FA7">
            <w:pPr>
              <w:keepNext/>
              <w:jc w:val="center"/>
              <w:rPr>
                <w:del w:id="5976" w:author="AbbVie19" w:date="2025-04-16T10:42:00Z"/>
              </w:rPr>
            </w:pPr>
            <w:del w:id="5977" w:author="AbbVie19" w:date="2025-04-16T10:42:00Z">
              <w:r w:rsidRPr="00BC0E7E">
                <w:delText>0.151</w:delText>
              </w:r>
            </w:del>
          </w:p>
        </w:tc>
      </w:tr>
      <w:tr w:rsidR="00C6578C" w14:paraId="3E7822EC" w14:textId="77777777" w:rsidTr="00171601">
        <w:trPr>
          <w:cantSplit/>
          <w:del w:id="5978" w:author="AbbVie19" w:date="2025-04-16T10:42:00Z"/>
        </w:trPr>
        <w:tc>
          <w:tcPr>
            <w:tcW w:w="8910" w:type="dxa"/>
            <w:gridSpan w:val="7"/>
            <w:tcBorders>
              <w:top w:val="single" w:sz="4" w:space="0" w:color="auto"/>
            </w:tcBorders>
          </w:tcPr>
          <w:p w14:paraId="67829659" w14:textId="77777777" w:rsidR="00BC0E7E" w:rsidRPr="00BC0E7E" w:rsidRDefault="00944B8F" w:rsidP="00762FA7">
            <w:pPr>
              <w:keepNext/>
              <w:tabs>
                <w:tab w:val="clear" w:pos="562"/>
                <w:tab w:val="left" w:pos="330"/>
              </w:tabs>
              <w:ind w:left="330" w:hanging="330"/>
              <w:rPr>
                <w:del w:id="5979" w:author="AbbVie19" w:date="2025-04-16T10:42:00Z"/>
                <w:bCs/>
              </w:rPr>
            </w:pPr>
            <w:del w:id="5980" w:author="AbbVie19" w:date="2025-04-16T10:42:00Z">
              <w:r w:rsidRPr="00BC0E7E">
                <w:rPr>
                  <w:bCs/>
                  <w:vertAlign w:val="superscript"/>
                </w:rPr>
                <w:delText xml:space="preserve">a </w:delText>
              </w:r>
              <w:r w:rsidRPr="00BC0E7E">
                <w:rPr>
                  <w:bCs/>
                </w:rPr>
                <w:delText>p-value is from the pairwise comparison of methotrexate monotherapy and Humira/methotrexate combination therapy using the Mann-Whitney U test.</w:delText>
              </w:r>
            </w:del>
          </w:p>
          <w:p w14:paraId="17CECCAB" w14:textId="77777777" w:rsidR="00BC0E7E" w:rsidRPr="00BC0E7E" w:rsidRDefault="00944B8F" w:rsidP="00762FA7">
            <w:pPr>
              <w:keepNext/>
              <w:tabs>
                <w:tab w:val="clear" w:pos="562"/>
                <w:tab w:val="left" w:pos="330"/>
              </w:tabs>
              <w:ind w:left="360" w:hanging="360"/>
              <w:rPr>
                <w:del w:id="5981" w:author="AbbVie19" w:date="2025-04-16T10:42:00Z"/>
                <w:bCs/>
              </w:rPr>
            </w:pPr>
            <w:del w:id="5982" w:author="AbbVie19" w:date="2025-04-16T10:42:00Z">
              <w:r w:rsidRPr="00BC0E7E">
                <w:rPr>
                  <w:bCs/>
                  <w:vertAlign w:val="superscript"/>
                </w:rPr>
                <w:delText>b</w:delText>
              </w:r>
              <w:r w:rsidRPr="00BC0E7E">
                <w:rPr>
                  <w:bCs/>
                </w:rPr>
                <w:delText xml:space="preserve"> p-value is from the pairwise comparison of Humira monotherapy and Humira/methotrexate combination therapy using the Mann-Whitney U test </w:delText>
              </w:r>
            </w:del>
          </w:p>
          <w:p w14:paraId="738E8B05" w14:textId="77777777" w:rsidR="00BC0E7E" w:rsidRPr="00BC0E7E" w:rsidRDefault="00944B8F" w:rsidP="00762FA7">
            <w:pPr>
              <w:keepNext/>
              <w:tabs>
                <w:tab w:val="clear" w:pos="562"/>
                <w:tab w:val="left" w:pos="330"/>
              </w:tabs>
              <w:ind w:left="360" w:hanging="360"/>
              <w:rPr>
                <w:del w:id="5983" w:author="AbbVie19" w:date="2025-04-16T10:42:00Z"/>
                <w:bCs/>
              </w:rPr>
            </w:pPr>
            <w:del w:id="5984" w:author="AbbVie19" w:date="2025-04-16T10:42:00Z">
              <w:r w:rsidRPr="00BC0E7E">
                <w:rPr>
                  <w:bCs/>
                  <w:vertAlign w:val="superscript"/>
                </w:rPr>
                <w:delText>c</w:delText>
              </w:r>
              <w:r w:rsidRPr="00BC0E7E">
                <w:rPr>
                  <w:bCs/>
                </w:rPr>
                <w:delText xml:space="preserve"> p-value is from the pairwise comparison of Humira monotherapy and methotrexate monotherapy using the Mann-Whitney U test</w:delText>
              </w:r>
            </w:del>
          </w:p>
        </w:tc>
      </w:tr>
    </w:tbl>
    <w:p w14:paraId="21E084FD" w14:textId="77777777" w:rsidR="00BC0E7E" w:rsidRPr="00BC0E7E" w:rsidRDefault="00BC0E7E" w:rsidP="00762FA7">
      <w:pPr>
        <w:rPr>
          <w:del w:id="5985" w:author="AbbVie19" w:date="2025-04-16T10:42:00Z"/>
        </w:rPr>
      </w:pPr>
    </w:p>
    <w:p w14:paraId="3D5A9BCD" w14:textId="77777777" w:rsidR="00BC0E7E" w:rsidRPr="00BC0E7E" w:rsidRDefault="00944B8F" w:rsidP="00762FA7">
      <w:pPr>
        <w:rPr>
          <w:del w:id="5986" w:author="AbbVie19" w:date="2025-04-16T10:42:00Z"/>
          <w:szCs w:val="20"/>
        </w:rPr>
      </w:pPr>
      <w:del w:id="5987" w:author="AbbVie19" w:date="2025-04-16T10:42:00Z">
        <w:r w:rsidRPr="00BC0E7E">
          <w:rPr>
            <w:szCs w:val="20"/>
          </w:rPr>
          <w:delText xml:space="preserve">Following 52 weeks and 104 weeks of treatment, the percentage of patients without progression (change from baseline in modified Total Sharp Score </w:delText>
        </w:r>
        <w:r w:rsidRPr="00BC0E7E">
          <w:rPr>
            <w:rFonts w:ascii="Symbol" w:eastAsia="Symbol" w:hAnsi="Symbol" w:cs="Symbol"/>
            <w:szCs w:val="22"/>
          </w:rPr>
          <w:sym w:font="Symbol" w:char="F0A3"/>
        </w:r>
        <w:r w:rsidRPr="00BC0E7E">
          <w:rPr>
            <w:szCs w:val="20"/>
          </w:rPr>
          <w:delText xml:space="preserve"> 0.5) was significantly higher with Humira/methotrexate combination therapy (63.8% and 61.2% respectively) compared to methotrexate monotherapy (37.4% and 33.5% respectively, p &lt; 0.001) and Humira monotherapy (50.7%, p &lt; 0.002 and 44.5%, p &lt; 0.001 respectively). </w:delText>
        </w:r>
      </w:del>
    </w:p>
    <w:p w14:paraId="5817E2A9" w14:textId="77777777" w:rsidR="00284FF0" w:rsidRDefault="00284FF0" w:rsidP="00762FA7">
      <w:pPr>
        <w:rPr>
          <w:del w:id="5988" w:author="AbbVie19" w:date="2025-04-16T10:42:00Z"/>
          <w:szCs w:val="22"/>
        </w:rPr>
      </w:pPr>
    </w:p>
    <w:p w14:paraId="275F4969" w14:textId="77777777" w:rsidR="00BC0E7E" w:rsidRPr="00BC0E7E" w:rsidRDefault="00944B8F" w:rsidP="00762FA7">
      <w:pPr>
        <w:rPr>
          <w:del w:id="5989" w:author="AbbVie19" w:date="2025-04-16T10:42:00Z"/>
          <w:szCs w:val="20"/>
        </w:rPr>
      </w:pPr>
      <w:del w:id="5990" w:author="AbbVie19" w:date="2025-04-16T10:42:00Z">
        <w:r w:rsidRPr="00BC0E7E">
          <w:rPr>
            <w:szCs w:val="22"/>
          </w:rPr>
          <w:lastRenderedPageBreak/>
          <w:delText xml:space="preserve">In the open-label extension of RA study V, the mean change from baseline at Year 10 in the modified Total Sharp Score was 10.8, 9.2 and 3.9 in patients originally randomized to methotrexate monotherapy, Humira monotherapy and Humira/methotrexate combination therapy, respectively. </w:delText>
        </w:r>
        <w:r w:rsidRPr="00BC0E7E">
          <w:rPr>
            <w:szCs w:val="20"/>
          </w:rPr>
          <w:delText>The corresponding proportions of patients with no radiographic progression were 31.3%, 23.7% and 36.7% respectively.</w:delText>
        </w:r>
      </w:del>
    </w:p>
    <w:p w14:paraId="0D8FF6B9" w14:textId="77777777" w:rsidR="00BC0E7E" w:rsidRPr="00BC0E7E" w:rsidRDefault="00BC0E7E" w:rsidP="00762FA7">
      <w:pPr>
        <w:rPr>
          <w:del w:id="5991" w:author="AbbVie19" w:date="2025-04-16T10:42:00Z"/>
          <w:szCs w:val="20"/>
          <w:u w:val="single"/>
        </w:rPr>
      </w:pPr>
    </w:p>
    <w:p w14:paraId="66F8C5CF" w14:textId="77777777" w:rsidR="00BC0E7E" w:rsidRPr="00BC0E7E" w:rsidRDefault="00944B8F" w:rsidP="00762FA7">
      <w:pPr>
        <w:rPr>
          <w:del w:id="5992" w:author="AbbVie19" w:date="2025-04-16T10:42:00Z"/>
          <w:szCs w:val="20"/>
          <w:u w:val="single"/>
        </w:rPr>
      </w:pPr>
      <w:del w:id="5993" w:author="AbbVie19" w:date="2025-04-16T10:42:00Z">
        <w:r w:rsidRPr="00BC0E7E">
          <w:rPr>
            <w:i/>
            <w:szCs w:val="20"/>
            <w:u w:val="single"/>
          </w:rPr>
          <w:delText>Quality of life and physical function</w:delText>
        </w:r>
        <w:r w:rsidRPr="00BC0E7E">
          <w:rPr>
            <w:szCs w:val="20"/>
            <w:u w:val="single"/>
          </w:rPr>
          <w:delText xml:space="preserve"> </w:delText>
        </w:r>
      </w:del>
    </w:p>
    <w:p w14:paraId="70C995A6" w14:textId="77777777" w:rsidR="00BC0E7E" w:rsidRPr="00BC0E7E" w:rsidRDefault="00BC0E7E" w:rsidP="00762FA7">
      <w:pPr>
        <w:rPr>
          <w:del w:id="5994" w:author="AbbVie19" w:date="2025-04-16T10:42:00Z"/>
          <w:szCs w:val="20"/>
        </w:rPr>
      </w:pPr>
    </w:p>
    <w:p w14:paraId="007F0063" w14:textId="77777777" w:rsidR="00BC0E7E" w:rsidRPr="00BC0E7E" w:rsidRDefault="00944B8F" w:rsidP="00762FA7">
      <w:pPr>
        <w:rPr>
          <w:del w:id="5995" w:author="AbbVie19" w:date="2025-04-16T10:42:00Z"/>
        </w:rPr>
      </w:pPr>
      <w:del w:id="5996" w:author="AbbVie19" w:date="2025-04-16T10:42:00Z">
        <w:r w:rsidRPr="00BC0E7E">
          <w:delText>Health-related quality of life and physical function were assessed using the disability index of the Health Assessment Questionnaire (HAQ) in the four original adequate and well-controlled trials, which was a pre-specified primary endpoint at Week 52 in RA study III. All doses/schedules of Humira in all four studies showed statistically significantly greater improvement in the disability index of the HAQ from baseline to Month 6 compared to placebo and in RA study III the same was seen at Week 52. Results from the Short Form Health Survey (SF 36) for all doses/schedules of Humira in all four studies support these findings, with statistically significant physical component summary (PCS) scores, as well as statistically significant pain and vitality domain scores for the 40 mg every other week dose. A statistically significant decrease in fatigue as measured by functional assessment of chronic illness therapy (FACIT) scores was seen in all three studies in which it was assessed (RA studies I, III, IV).</w:delText>
        </w:r>
      </w:del>
    </w:p>
    <w:p w14:paraId="233E8BD7" w14:textId="77777777" w:rsidR="00BC0E7E" w:rsidRPr="00BC0E7E" w:rsidRDefault="00BC0E7E" w:rsidP="00762FA7">
      <w:pPr>
        <w:rPr>
          <w:del w:id="5997" w:author="AbbVie19" w:date="2025-04-16T10:42:00Z"/>
        </w:rPr>
      </w:pPr>
    </w:p>
    <w:p w14:paraId="31878196" w14:textId="77777777" w:rsidR="00BC0E7E" w:rsidRPr="00BC0E7E" w:rsidRDefault="00944B8F" w:rsidP="00762FA7">
      <w:pPr>
        <w:rPr>
          <w:del w:id="5998" w:author="AbbVie19" w:date="2025-04-16T10:42:00Z"/>
        </w:rPr>
      </w:pPr>
      <w:del w:id="5999" w:author="AbbVie19" w:date="2025-04-16T10:42:00Z">
        <w:r w:rsidRPr="00BC0E7E">
          <w:delText>In RA study III, most subjects who achieved improvement in physical function and continued treatment maintained improvement through Week 520 (120 months) of open-label treatment. Improvement in quality of life was measured up to Week 156 (36 months) and improvement was maintained through that time.</w:delText>
        </w:r>
      </w:del>
    </w:p>
    <w:p w14:paraId="36832B9A" w14:textId="77777777" w:rsidR="00BC0E7E" w:rsidRPr="00BC0E7E" w:rsidRDefault="00BC0E7E" w:rsidP="00762FA7">
      <w:pPr>
        <w:rPr>
          <w:del w:id="6000" w:author="AbbVie19" w:date="2025-04-16T10:42:00Z"/>
        </w:rPr>
      </w:pPr>
    </w:p>
    <w:p w14:paraId="612C7571" w14:textId="77777777" w:rsidR="00BC0E7E" w:rsidRPr="00BC0E7E" w:rsidRDefault="00944B8F" w:rsidP="00762FA7">
      <w:pPr>
        <w:rPr>
          <w:del w:id="6001" w:author="AbbVie19" w:date="2025-04-16T10:42:00Z"/>
          <w:szCs w:val="22"/>
        </w:rPr>
      </w:pPr>
      <w:del w:id="6002" w:author="AbbVie19" w:date="2025-04-16T10:42:00Z">
        <w:r w:rsidRPr="00BC0E7E">
          <w:rPr>
            <w:szCs w:val="20"/>
          </w:rPr>
          <w:delText xml:space="preserve">In RA study V, the improvement in the HAQ disability index and the physical component of the SF 36 showed greater improvement (p &lt; 0.001) for Humira/methotrexate combination therapy </w:delText>
        </w:r>
        <w:r w:rsidRPr="00BC0E7E">
          <w:rPr>
            <w:i/>
            <w:iCs/>
            <w:szCs w:val="20"/>
          </w:rPr>
          <w:delText>versus</w:delText>
        </w:r>
        <w:r w:rsidRPr="00BC0E7E">
          <w:rPr>
            <w:szCs w:val="20"/>
          </w:rPr>
          <w:delText xml:space="preserve"> methotrexate monotherapy and Humira monotherapy at Week 52, which was maintained through </w:delText>
        </w:r>
        <w:r w:rsidRPr="00BC0E7E">
          <w:rPr>
            <w:szCs w:val="22"/>
          </w:rPr>
          <w:delText xml:space="preserve">Week 104.  </w:delText>
        </w:r>
        <w:r w:rsidRPr="00BC0E7E">
          <w:rPr>
            <w:szCs w:val="20"/>
          </w:rPr>
          <w:delText>Among the 250 subjects who completed the open-label extension study, improvements in physical function were maintained through 10 years of treatment.</w:delText>
        </w:r>
      </w:del>
    </w:p>
    <w:p w14:paraId="01A264F1" w14:textId="77777777" w:rsidR="00BC0E7E" w:rsidRPr="00BC0E7E" w:rsidRDefault="00BC0E7E" w:rsidP="00762FA7">
      <w:pPr>
        <w:rPr>
          <w:del w:id="6003" w:author="AbbVie19" w:date="2025-04-16T10:42:00Z"/>
          <w:bCs/>
          <w:i/>
          <w:iCs/>
          <w:szCs w:val="22"/>
        </w:rPr>
      </w:pPr>
    </w:p>
    <w:p w14:paraId="4E0732D0" w14:textId="77777777" w:rsidR="00BC0E7E" w:rsidRPr="00BC0E7E" w:rsidRDefault="00944B8F" w:rsidP="00762FA7">
      <w:pPr>
        <w:rPr>
          <w:del w:id="6004" w:author="AbbVie19" w:date="2025-04-16T10:42:00Z"/>
          <w:szCs w:val="20"/>
          <w:u w:val="single"/>
        </w:rPr>
      </w:pPr>
      <w:del w:id="6005" w:author="AbbVie19" w:date="2025-04-16T10:42:00Z">
        <w:r w:rsidRPr="00BC0E7E">
          <w:rPr>
            <w:i/>
            <w:szCs w:val="20"/>
          </w:rPr>
          <w:delText>Axial spondyloarthritis</w:delText>
        </w:r>
        <w:r w:rsidRPr="00BC0E7E">
          <w:rPr>
            <w:szCs w:val="20"/>
            <w:u w:val="single"/>
          </w:rPr>
          <w:delText xml:space="preserve"> </w:delText>
        </w:r>
      </w:del>
    </w:p>
    <w:p w14:paraId="0535376D" w14:textId="77777777" w:rsidR="00BC0E7E" w:rsidRPr="00BC0E7E" w:rsidRDefault="00BC0E7E" w:rsidP="00762FA7">
      <w:pPr>
        <w:rPr>
          <w:del w:id="6006" w:author="AbbVie19" w:date="2025-04-16T10:42:00Z"/>
          <w:szCs w:val="20"/>
        </w:rPr>
      </w:pPr>
    </w:p>
    <w:p w14:paraId="659BF1B7" w14:textId="77777777" w:rsidR="00BC0E7E" w:rsidRPr="00BC0E7E" w:rsidRDefault="00944B8F" w:rsidP="00762FA7">
      <w:pPr>
        <w:rPr>
          <w:del w:id="6007" w:author="AbbVie19" w:date="2025-04-16T10:42:00Z"/>
          <w:i/>
          <w:szCs w:val="20"/>
          <w:u w:val="single"/>
        </w:rPr>
      </w:pPr>
      <w:del w:id="6008" w:author="AbbVie19" w:date="2025-04-16T10:42:00Z">
        <w:r w:rsidRPr="00BC0E7E">
          <w:rPr>
            <w:i/>
            <w:szCs w:val="20"/>
            <w:u w:val="single"/>
          </w:rPr>
          <w:delText>Ankylosing spondylitis (AS)</w:delText>
        </w:r>
      </w:del>
    </w:p>
    <w:p w14:paraId="2A94DE43" w14:textId="77777777" w:rsidR="00BC0E7E" w:rsidRPr="00BC0E7E" w:rsidRDefault="00BC0E7E" w:rsidP="00762FA7">
      <w:pPr>
        <w:rPr>
          <w:del w:id="6009" w:author="AbbVie19" w:date="2025-04-16T10:42:00Z"/>
          <w:szCs w:val="20"/>
        </w:rPr>
      </w:pPr>
    </w:p>
    <w:p w14:paraId="2C1F6F95" w14:textId="77777777" w:rsidR="00BC0E7E" w:rsidRPr="00BC0E7E" w:rsidRDefault="00944B8F" w:rsidP="00762FA7">
      <w:pPr>
        <w:rPr>
          <w:del w:id="6010" w:author="AbbVie19" w:date="2025-04-16T10:42:00Z"/>
          <w:szCs w:val="20"/>
        </w:rPr>
      </w:pPr>
      <w:del w:id="6011" w:author="AbbVie19" w:date="2025-04-16T10:42:00Z">
        <w:r w:rsidRPr="00BC0E7E">
          <w:rPr>
            <w:szCs w:val="20"/>
          </w:rPr>
          <w:delText>Humira 40 mg every other week was assessed in 393 patients in two randomised, 24 week double − blind, placebo − controlled studies in patients with active ankylosing spondylitis (mean baseline score of disease activity [Bath Ankylosing Spondylitis Disease Activity Index (BASDAI)] was 6.3 in all groups) who have had an inadequate response to conventional therapy. Seventy-nine (20.1%) patients were treated concomitantly with disease modifying anti − rheumatic drugs, and 37 (9.4%) patients with glucocorticoids. The blinded period was followed by an open − label period during which patients received Humira 40 mg every other week subcutaneously for up to an additional 28 weeks. Subjects (n=215, 54.7%) who failed to achieve ASAS 20 at Weeks 12, or 16 or 20 received early escape open-label adalimumab 40 mg every other week subcutaneously and were subsequently treated as non-responders in the double-blind statistical analyses.</w:delText>
        </w:r>
      </w:del>
    </w:p>
    <w:p w14:paraId="4D08664B" w14:textId="77777777" w:rsidR="00BC0E7E" w:rsidRPr="00BC0E7E" w:rsidRDefault="00BC0E7E" w:rsidP="00762FA7">
      <w:pPr>
        <w:rPr>
          <w:del w:id="6012" w:author="AbbVie19" w:date="2025-04-16T10:42:00Z"/>
          <w:szCs w:val="20"/>
        </w:rPr>
      </w:pPr>
    </w:p>
    <w:p w14:paraId="564929CE" w14:textId="77777777" w:rsidR="00BC0E7E" w:rsidRPr="00BC0E7E" w:rsidRDefault="00944B8F" w:rsidP="00762FA7">
      <w:pPr>
        <w:rPr>
          <w:del w:id="6013" w:author="AbbVie19" w:date="2025-04-16T10:42:00Z"/>
          <w:szCs w:val="20"/>
        </w:rPr>
      </w:pPr>
      <w:del w:id="6014" w:author="AbbVie19" w:date="2025-04-16T10:42:00Z">
        <w:r w:rsidRPr="00BC0E7E">
          <w:rPr>
            <w:szCs w:val="20"/>
          </w:rPr>
          <w:delText xml:space="preserve">In the larger AS study I with 315 patients, results showed statistically significant improvement of the signs and symptoms of ankylosing spondylitis in patients treated with Humira compared to placebo.  Significant response was first observed at Week 2 and maintained through 24 weeks (Table </w:delText>
        </w:r>
        <w:r w:rsidR="006668FE">
          <w:rPr>
            <w:szCs w:val="20"/>
          </w:rPr>
          <w:delText>1</w:delText>
        </w:r>
        <w:r w:rsidR="005F03EC">
          <w:rPr>
            <w:szCs w:val="20"/>
          </w:rPr>
          <w:delText>2</w:delText>
        </w:r>
        <w:r w:rsidRPr="00BC0E7E">
          <w:rPr>
            <w:szCs w:val="20"/>
          </w:rPr>
          <w:delText xml:space="preserve">). </w:delText>
        </w:r>
      </w:del>
    </w:p>
    <w:p w14:paraId="4FD5A684" w14:textId="77777777" w:rsidR="00BC0E7E" w:rsidRPr="003F7AAE" w:rsidRDefault="00BC0E7E" w:rsidP="00762FA7">
      <w:pPr>
        <w:jc w:val="center"/>
        <w:rPr>
          <w:del w:id="6015" w:author="AbbVie19" w:date="2025-04-16T10:42:00Z"/>
          <w:bCs/>
          <w:szCs w:val="20"/>
        </w:rPr>
      </w:pPr>
    </w:p>
    <w:p w14:paraId="5261F842" w14:textId="77777777" w:rsidR="00BC0E7E" w:rsidRPr="003F7AAE" w:rsidRDefault="00944B8F" w:rsidP="00762FA7">
      <w:pPr>
        <w:keepNext/>
        <w:jc w:val="center"/>
        <w:rPr>
          <w:del w:id="6016" w:author="AbbVie19" w:date="2025-04-16T10:42:00Z"/>
          <w:bCs/>
          <w:szCs w:val="20"/>
        </w:rPr>
      </w:pPr>
      <w:del w:id="6017" w:author="AbbVie19" w:date="2025-04-16T10:42:00Z">
        <w:r w:rsidRPr="00BC0E7E">
          <w:rPr>
            <w:b/>
            <w:bCs/>
            <w:szCs w:val="20"/>
          </w:rPr>
          <w:lastRenderedPageBreak/>
          <w:delText xml:space="preserve">Table </w:delText>
        </w:r>
        <w:r w:rsidR="006668FE">
          <w:rPr>
            <w:b/>
            <w:bCs/>
            <w:szCs w:val="20"/>
          </w:rPr>
          <w:delText>1</w:delText>
        </w:r>
        <w:r w:rsidR="005F03EC">
          <w:rPr>
            <w:b/>
            <w:bCs/>
            <w:szCs w:val="20"/>
          </w:rPr>
          <w:delText>2</w:delText>
        </w:r>
      </w:del>
    </w:p>
    <w:p w14:paraId="137DE1CF" w14:textId="77777777" w:rsidR="00BC0E7E" w:rsidRPr="003F7AAE" w:rsidRDefault="00944B8F" w:rsidP="00762FA7">
      <w:pPr>
        <w:keepNext/>
        <w:jc w:val="center"/>
        <w:rPr>
          <w:del w:id="6018" w:author="AbbVie19" w:date="2025-04-16T10:42:00Z"/>
          <w:bCs/>
          <w:szCs w:val="20"/>
        </w:rPr>
      </w:pPr>
      <w:del w:id="6019" w:author="AbbVie19" w:date="2025-04-16T10:42:00Z">
        <w:r w:rsidRPr="00BC0E7E">
          <w:rPr>
            <w:b/>
            <w:bCs/>
            <w:szCs w:val="20"/>
          </w:rPr>
          <w:delText xml:space="preserve"> Efficacy Responses in Placebo-Controlled AS Study – Study I</w:delText>
        </w:r>
      </w:del>
    </w:p>
    <w:p w14:paraId="5F4C6FE7" w14:textId="77777777" w:rsidR="00BC0E7E" w:rsidRPr="003F7AAE" w:rsidRDefault="00944B8F" w:rsidP="00762FA7">
      <w:pPr>
        <w:keepNext/>
        <w:jc w:val="center"/>
        <w:rPr>
          <w:del w:id="6020" w:author="AbbVie19" w:date="2025-04-16T10:42:00Z"/>
          <w:bCs/>
          <w:szCs w:val="20"/>
        </w:rPr>
      </w:pPr>
      <w:del w:id="6021" w:author="AbbVie19" w:date="2025-04-16T10:42:00Z">
        <w:r w:rsidRPr="00BC0E7E">
          <w:rPr>
            <w:b/>
            <w:bCs/>
            <w:szCs w:val="20"/>
          </w:rPr>
          <w:delText>Reduction of Signs and Symptoms</w:delText>
        </w:r>
      </w:del>
    </w:p>
    <w:p w14:paraId="126DE97B" w14:textId="77777777" w:rsidR="00BC0E7E" w:rsidRPr="00BC0E7E" w:rsidRDefault="00BC0E7E" w:rsidP="00762FA7">
      <w:pPr>
        <w:keepNext/>
        <w:rPr>
          <w:del w:id="6022" w:author="AbbVie19" w:date="2025-04-16T10:42:00Z"/>
          <w:szCs w:val="20"/>
        </w:rPr>
      </w:pPr>
    </w:p>
    <w:tbl>
      <w:tblPr>
        <w:tblW w:w="7150"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50"/>
        <w:gridCol w:w="2090"/>
        <w:gridCol w:w="2310"/>
      </w:tblGrid>
      <w:tr w:rsidR="00C6578C" w14:paraId="3B521464" w14:textId="77777777" w:rsidTr="00171601">
        <w:trPr>
          <w:del w:id="6023" w:author="AbbVie19" w:date="2025-04-16T10:42:00Z"/>
        </w:trPr>
        <w:tc>
          <w:tcPr>
            <w:tcW w:w="2750" w:type="dxa"/>
          </w:tcPr>
          <w:p w14:paraId="1DA2D121" w14:textId="77777777" w:rsidR="00BC0E7E" w:rsidRPr="00762FA7" w:rsidRDefault="00944B8F" w:rsidP="00762FA7">
            <w:pPr>
              <w:keepNext/>
              <w:rPr>
                <w:del w:id="6024" w:author="AbbVie19" w:date="2025-04-16T10:42:00Z"/>
                <w:b/>
                <w:bCs/>
                <w:lang w:val="fr-FR"/>
              </w:rPr>
            </w:pPr>
            <w:del w:id="6025" w:author="AbbVie19" w:date="2025-04-16T10:42:00Z">
              <w:r w:rsidRPr="00762FA7">
                <w:rPr>
                  <w:b/>
                  <w:bCs/>
                  <w:lang w:val="fr-FR"/>
                </w:rPr>
                <w:delText>Response</w:delText>
              </w:r>
            </w:del>
          </w:p>
        </w:tc>
        <w:tc>
          <w:tcPr>
            <w:tcW w:w="2090" w:type="dxa"/>
          </w:tcPr>
          <w:p w14:paraId="0A3D905F" w14:textId="77777777" w:rsidR="00BC0E7E" w:rsidRPr="00762FA7" w:rsidRDefault="00944B8F" w:rsidP="00762FA7">
            <w:pPr>
              <w:keepNext/>
              <w:jc w:val="center"/>
              <w:rPr>
                <w:del w:id="6026" w:author="AbbVie19" w:date="2025-04-16T10:42:00Z"/>
                <w:b/>
                <w:bCs/>
                <w:lang w:val="fr-FR"/>
              </w:rPr>
            </w:pPr>
            <w:del w:id="6027" w:author="AbbVie19" w:date="2025-04-16T10:42:00Z">
              <w:r w:rsidRPr="00762FA7">
                <w:rPr>
                  <w:b/>
                  <w:bCs/>
                  <w:lang w:val="fr-FR"/>
                </w:rPr>
                <w:delText>Placebo</w:delText>
              </w:r>
            </w:del>
          </w:p>
          <w:p w14:paraId="76D83485" w14:textId="77777777" w:rsidR="00BC0E7E" w:rsidRPr="00762FA7" w:rsidRDefault="00944B8F" w:rsidP="00762FA7">
            <w:pPr>
              <w:keepNext/>
              <w:jc w:val="center"/>
              <w:rPr>
                <w:del w:id="6028" w:author="AbbVie19" w:date="2025-04-16T10:42:00Z"/>
                <w:b/>
                <w:bCs/>
                <w:lang w:val="fr-FR"/>
              </w:rPr>
            </w:pPr>
            <w:del w:id="6029" w:author="AbbVie19" w:date="2025-04-16T10:42:00Z">
              <w:r w:rsidRPr="00762FA7">
                <w:rPr>
                  <w:b/>
                  <w:bCs/>
                  <w:lang w:val="fr-FR"/>
                </w:rPr>
                <w:delText>N=107</w:delText>
              </w:r>
            </w:del>
          </w:p>
        </w:tc>
        <w:tc>
          <w:tcPr>
            <w:tcW w:w="2310" w:type="dxa"/>
          </w:tcPr>
          <w:p w14:paraId="5F63D25E" w14:textId="77777777" w:rsidR="00BC0E7E" w:rsidRPr="00762FA7" w:rsidRDefault="00944B8F" w:rsidP="00762FA7">
            <w:pPr>
              <w:keepNext/>
              <w:jc w:val="center"/>
              <w:rPr>
                <w:del w:id="6030" w:author="AbbVie19" w:date="2025-04-16T10:42:00Z"/>
                <w:b/>
                <w:bCs/>
                <w:lang w:val="fr-FR"/>
              </w:rPr>
            </w:pPr>
            <w:del w:id="6031" w:author="AbbVie19" w:date="2025-04-16T10:42:00Z">
              <w:r w:rsidRPr="00762FA7">
                <w:rPr>
                  <w:b/>
                  <w:bCs/>
                  <w:lang w:val="fr-FR"/>
                </w:rPr>
                <w:delText>Humira</w:delText>
              </w:r>
            </w:del>
          </w:p>
          <w:p w14:paraId="138A4A53" w14:textId="77777777" w:rsidR="00BC0E7E" w:rsidRPr="00BC0E7E" w:rsidRDefault="00944B8F" w:rsidP="00762FA7">
            <w:pPr>
              <w:keepNext/>
              <w:jc w:val="center"/>
              <w:rPr>
                <w:del w:id="6032" w:author="AbbVie19" w:date="2025-04-16T10:42:00Z"/>
                <w:b/>
                <w:bCs/>
              </w:rPr>
            </w:pPr>
            <w:del w:id="6033" w:author="AbbVie19" w:date="2025-04-16T10:42:00Z">
              <w:r w:rsidRPr="00BC0E7E">
                <w:rPr>
                  <w:b/>
                  <w:bCs/>
                </w:rPr>
                <w:delText>N=208</w:delText>
              </w:r>
            </w:del>
          </w:p>
        </w:tc>
      </w:tr>
      <w:tr w:rsidR="00C6578C" w14:paraId="44F469D5" w14:textId="77777777" w:rsidTr="00171601">
        <w:trPr>
          <w:del w:id="6034" w:author="AbbVie19" w:date="2025-04-16T10:42:00Z"/>
        </w:trPr>
        <w:tc>
          <w:tcPr>
            <w:tcW w:w="2750" w:type="dxa"/>
          </w:tcPr>
          <w:p w14:paraId="56E509AF" w14:textId="77777777" w:rsidR="00BC0E7E" w:rsidRPr="00BC0E7E" w:rsidRDefault="00944B8F" w:rsidP="00762FA7">
            <w:pPr>
              <w:keepNext/>
              <w:rPr>
                <w:del w:id="6035" w:author="AbbVie19" w:date="2025-04-16T10:42:00Z"/>
              </w:rPr>
            </w:pPr>
            <w:del w:id="6036" w:author="AbbVie19" w:date="2025-04-16T10:42:00Z">
              <w:r w:rsidRPr="00BC0E7E">
                <w:delText>ASAS</w:delText>
              </w:r>
              <w:r w:rsidRPr="00BC0E7E">
                <w:rPr>
                  <w:vertAlign w:val="superscript"/>
                </w:rPr>
                <w:delText>a</w:delText>
              </w:r>
              <w:r w:rsidRPr="00BC0E7E">
                <w:delText xml:space="preserve"> 20</w:delText>
              </w:r>
            </w:del>
          </w:p>
        </w:tc>
        <w:tc>
          <w:tcPr>
            <w:tcW w:w="2090" w:type="dxa"/>
          </w:tcPr>
          <w:p w14:paraId="2BB151BF" w14:textId="77777777" w:rsidR="00BC0E7E" w:rsidRPr="00BC0E7E" w:rsidRDefault="00BC0E7E" w:rsidP="00762FA7">
            <w:pPr>
              <w:keepNext/>
              <w:jc w:val="center"/>
              <w:rPr>
                <w:del w:id="6037" w:author="AbbVie19" w:date="2025-04-16T10:42:00Z"/>
              </w:rPr>
            </w:pPr>
          </w:p>
        </w:tc>
        <w:tc>
          <w:tcPr>
            <w:tcW w:w="2310" w:type="dxa"/>
          </w:tcPr>
          <w:p w14:paraId="4C99D7B0" w14:textId="77777777" w:rsidR="00BC0E7E" w:rsidRPr="00BC0E7E" w:rsidRDefault="00BC0E7E" w:rsidP="00762FA7">
            <w:pPr>
              <w:keepNext/>
              <w:jc w:val="center"/>
              <w:rPr>
                <w:del w:id="6038" w:author="AbbVie19" w:date="2025-04-16T10:42:00Z"/>
              </w:rPr>
            </w:pPr>
          </w:p>
        </w:tc>
      </w:tr>
      <w:tr w:rsidR="00C6578C" w14:paraId="24DBBC98" w14:textId="77777777" w:rsidTr="00171601">
        <w:trPr>
          <w:del w:id="6039" w:author="AbbVie19" w:date="2025-04-16T10:42:00Z"/>
        </w:trPr>
        <w:tc>
          <w:tcPr>
            <w:tcW w:w="2750" w:type="dxa"/>
          </w:tcPr>
          <w:p w14:paraId="6F8CE39F" w14:textId="77777777" w:rsidR="00BC0E7E" w:rsidRPr="00BC0E7E" w:rsidRDefault="00944B8F" w:rsidP="00762FA7">
            <w:pPr>
              <w:keepNext/>
              <w:rPr>
                <w:del w:id="6040" w:author="AbbVie19" w:date="2025-04-16T10:42:00Z"/>
              </w:rPr>
            </w:pPr>
            <w:del w:id="6041" w:author="AbbVie19" w:date="2025-04-16T10:42:00Z">
              <w:r w:rsidRPr="00BC0E7E">
                <w:delText xml:space="preserve">             Week 2</w:delText>
              </w:r>
            </w:del>
          </w:p>
        </w:tc>
        <w:tc>
          <w:tcPr>
            <w:tcW w:w="2090" w:type="dxa"/>
          </w:tcPr>
          <w:p w14:paraId="0B054366" w14:textId="77777777" w:rsidR="00BC0E7E" w:rsidRPr="00BC0E7E" w:rsidRDefault="00944B8F" w:rsidP="00762FA7">
            <w:pPr>
              <w:keepNext/>
              <w:jc w:val="center"/>
              <w:rPr>
                <w:del w:id="6042" w:author="AbbVie19" w:date="2025-04-16T10:42:00Z"/>
              </w:rPr>
            </w:pPr>
            <w:del w:id="6043" w:author="AbbVie19" w:date="2025-04-16T10:42:00Z">
              <w:r w:rsidRPr="00BC0E7E">
                <w:delText>16%</w:delText>
              </w:r>
            </w:del>
          </w:p>
        </w:tc>
        <w:tc>
          <w:tcPr>
            <w:tcW w:w="2310" w:type="dxa"/>
          </w:tcPr>
          <w:p w14:paraId="63F7649D" w14:textId="77777777" w:rsidR="00BC0E7E" w:rsidRPr="00BC0E7E" w:rsidRDefault="00944B8F" w:rsidP="00762FA7">
            <w:pPr>
              <w:keepNext/>
              <w:jc w:val="center"/>
              <w:rPr>
                <w:del w:id="6044" w:author="AbbVie19" w:date="2025-04-16T10:42:00Z"/>
              </w:rPr>
            </w:pPr>
            <w:del w:id="6045" w:author="AbbVie19" w:date="2025-04-16T10:42:00Z">
              <w:r w:rsidRPr="00BC0E7E">
                <w:delText>42%***</w:delText>
              </w:r>
            </w:del>
          </w:p>
        </w:tc>
      </w:tr>
      <w:tr w:rsidR="00C6578C" w14:paraId="542FC094" w14:textId="77777777" w:rsidTr="00171601">
        <w:trPr>
          <w:del w:id="6046" w:author="AbbVie19" w:date="2025-04-16T10:42:00Z"/>
        </w:trPr>
        <w:tc>
          <w:tcPr>
            <w:tcW w:w="2750" w:type="dxa"/>
          </w:tcPr>
          <w:p w14:paraId="1CDED9BB" w14:textId="77777777" w:rsidR="00BC0E7E" w:rsidRPr="00BC0E7E" w:rsidRDefault="00944B8F" w:rsidP="00762FA7">
            <w:pPr>
              <w:keepNext/>
              <w:ind w:left="720"/>
              <w:rPr>
                <w:del w:id="6047" w:author="AbbVie19" w:date="2025-04-16T10:42:00Z"/>
              </w:rPr>
            </w:pPr>
            <w:del w:id="6048" w:author="AbbVie19" w:date="2025-04-16T10:42:00Z">
              <w:r w:rsidRPr="00BC0E7E">
                <w:delText>Week 12</w:delText>
              </w:r>
            </w:del>
          </w:p>
        </w:tc>
        <w:tc>
          <w:tcPr>
            <w:tcW w:w="2090" w:type="dxa"/>
          </w:tcPr>
          <w:p w14:paraId="2C538B7D" w14:textId="77777777" w:rsidR="00BC0E7E" w:rsidRPr="00BC0E7E" w:rsidRDefault="00944B8F" w:rsidP="00762FA7">
            <w:pPr>
              <w:keepNext/>
              <w:jc w:val="center"/>
              <w:rPr>
                <w:del w:id="6049" w:author="AbbVie19" w:date="2025-04-16T10:42:00Z"/>
              </w:rPr>
            </w:pPr>
            <w:del w:id="6050" w:author="AbbVie19" w:date="2025-04-16T10:42:00Z">
              <w:r w:rsidRPr="00BC0E7E">
                <w:delText>21%</w:delText>
              </w:r>
            </w:del>
          </w:p>
        </w:tc>
        <w:tc>
          <w:tcPr>
            <w:tcW w:w="2310" w:type="dxa"/>
          </w:tcPr>
          <w:p w14:paraId="1C1B08DD" w14:textId="77777777" w:rsidR="00BC0E7E" w:rsidRPr="00BC0E7E" w:rsidRDefault="00944B8F" w:rsidP="00762FA7">
            <w:pPr>
              <w:keepNext/>
              <w:jc w:val="center"/>
              <w:rPr>
                <w:del w:id="6051" w:author="AbbVie19" w:date="2025-04-16T10:42:00Z"/>
              </w:rPr>
            </w:pPr>
            <w:del w:id="6052" w:author="AbbVie19" w:date="2025-04-16T10:42:00Z">
              <w:r w:rsidRPr="00BC0E7E">
                <w:delText>58%***</w:delText>
              </w:r>
            </w:del>
          </w:p>
        </w:tc>
      </w:tr>
      <w:tr w:rsidR="00C6578C" w14:paraId="4C14FA7A" w14:textId="77777777" w:rsidTr="00171601">
        <w:trPr>
          <w:del w:id="6053" w:author="AbbVie19" w:date="2025-04-16T10:42:00Z"/>
        </w:trPr>
        <w:tc>
          <w:tcPr>
            <w:tcW w:w="2750" w:type="dxa"/>
          </w:tcPr>
          <w:p w14:paraId="46FBD3BE" w14:textId="77777777" w:rsidR="00BC0E7E" w:rsidRPr="00BC0E7E" w:rsidRDefault="00944B8F" w:rsidP="00762FA7">
            <w:pPr>
              <w:keepNext/>
              <w:ind w:left="720"/>
              <w:rPr>
                <w:del w:id="6054" w:author="AbbVie19" w:date="2025-04-16T10:42:00Z"/>
              </w:rPr>
            </w:pPr>
            <w:del w:id="6055" w:author="AbbVie19" w:date="2025-04-16T10:42:00Z">
              <w:r w:rsidRPr="00BC0E7E">
                <w:delText>Week 24</w:delText>
              </w:r>
            </w:del>
          </w:p>
        </w:tc>
        <w:tc>
          <w:tcPr>
            <w:tcW w:w="2090" w:type="dxa"/>
          </w:tcPr>
          <w:p w14:paraId="45F70208" w14:textId="77777777" w:rsidR="00BC0E7E" w:rsidRPr="00BC0E7E" w:rsidRDefault="00944B8F" w:rsidP="00762FA7">
            <w:pPr>
              <w:keepNext/>
              <w:jc w:val="center"/>
              <w:rPr>
                <w:del w:id="6056" w:author="AbbVie19" w:date="2025-04-16T10:42:00Z"/>
              </w:rPr>
            </w:pPr>
            <w:del w:id="6057" w:author="AbbVie19" w:date="2025-04-16T10:42:00Z">
              <w:r w:rsidRPr="00BC0E7E">
                <w:delText>19%</w:delText>
              </w:r>
            </w:del>
          </w:p>
        </w:tc>
        <w:tc>
          <w:tcPr>
            <w:tcW w:w="2310" w:type="dxa"/>
          </w:tcPr>
          <w:p w14:paraId="3015B6DD" w14:textId="77777777" w:rsidR="00BC0E7E" w:rsidRPr="00BC0E7E" w:rsidRDefault="00944B8F" w:rsidP="00762FA7">
            <w:pPr>
              <w:keepNext/>
              <w:jc w:val="center"/>
              <w:rPr>
                <w:del w:id="6058" w:author="AbbVie19" w:date="2025-04-16T10:42:00Z"/>
              </w:rPr>
            </w:pPr>
            <w:del w:id="6059" w:author="AbbVie19" w:date="2025-04-16T10:42:00Z">
              <w:r w:rsidRPr="00BC0E7E">
                <w:delText>51%***</w:delText>
              </w:r>
            </w:del>
          </w:p>
        </w:tc>
      </w:tr>
      <w:tr w:rsidR="00C6578C" w14:paraId="7F9BCFA9" w14:textId="77777777" w:rsidTr="00171601">
        <w:trPr>
          <w:del w:id="6060" w:author="AbbVie19" w:date="2025-04-16T10:42:00Z"/>
        </w:trPr>
        <w:tc>
          <w:tcPr>
            <w:tcW w:w="2750" w:type="dxa"/>
          </w:tcPr>
          <w:p w14:paraId="5BD9EB04" w14:textId="77777777" w:rsidR="00BC0E7E" w:rsidRPr="00BC0E7E" w:rsidRDefault="00944B8F" w:rsidP="00762FA7">
            <w:pPr>
              <w:keepNext/>
              <w:rPr>
                <w:del w:id="6061" w:author="AbbVie19" w:date="2025-04-16T10:42:00Z"/>
              </w:rPr>
            </w:pPr>
            <w:del w:id="6062" w:author="AbbVie19" w:date="2025-04-16T10:42:00Z">
              <w:r w:rsidRPr="00BC0E7E">
                <w:delText>ASAS 50</w:delText>
              </w:r>
            </w:del>
          </w:p>
        </w:tc>
        <w:tc>
          <w:tcPr>
            <w:tcW w:w="2090" w:type="dxa"/>
          </w:tcPr>
          <w:p w14:paraId="5219EA58" w14:textId="77777777" w:rsidR="00BC0E7E" w:rsidRPr="00BC0E7E" w:rsidRDefault="00BC0E7E" w:rsidP="00762FA7">
            <w:pPr>
              <w:keepNext/>
              <w:jc w:val="center"/>
              <w:rPr>
                <w:del w:id="6063" w:author="AbbVie19" w:date="2025-04-16T10:42:00Z"/>
              </w:rPr>
            </w:pPr>
          </w:p>
        </w:tc>
        <w:tc>
          <w:tcPr>
            <w:tcW w:w="2310" w:type="dxa"/>
          </w:tcPr>
          <w:p w14:paraId="47400F67" w14:textId="77777777" w:rsidR="00BC0E7E" w:rsidRPr="00BC0E7E" w:rsidRDefault="00BC0E7E" w:rsidP="00762FA7">
            <w:pPr>
              <w:keepNext/>
              <w:jc w:val="center"/>
              <w:rPr>
                <w:del w:id="6064" w:author="AbbVie19" w:date="2025-04-16T10:42:00Z"/>
              </w:rPr>
            </w:pPr>
          </w:p>
        </w:tc>
      </w:tr>
      <w:tr w:rsidR="00C6578C" w14:paraId="7377DD0A" w14:textId="77777777" w:rsidTr="00171601">
        <w:trPr>
          <w:del w:id="6065" w:author="AbbVie19" w:date="2025-04-16T10:42:00Z"/>
        </w:trPr>
        <w:tc>
          <w:tcPr>
            <w:tcW w:w="2750" w:type="dxa"/>
          </w:tcPr>
          <w:p w14:paraId="177A8028" w14:textId="77777777" w:rsidR="00BC0E7E" w:rsidRPr="00BC0E7E" w:rsidRDefault="00944B8F" w:rsidP="00762FA7">
            <w:pPr>
              <w:keepNext/>
              <w:rPr>
                <w:del w:id="6066" w:author="AbbVie19" w:date="2025-04-16T10:42:00Z"/>
              </w:rPr>
            </w:pPr>
            <w:del w:id="6067" w:author="AbbVie19" w:date="2025-04-16T10:42:00Z">
              <w:r w:rsidRPr="00BC0E7E">
                <w:delText xml:space="preserve">             Week</w:delText>
              </w:r>
              <w:r w:rsidRPr="00BC0E7E">
                <w:rPr>
                  <w:szCs w:val="20"/>
                </w:rPr>
                <w:delText> </w:delText>
              </w:r>
              <w:r w:rsidRPr="00BC0E7E">
                <w:delText>2</w:delText>
              </w:r>
            </w:del>
          </w:p>
        </w:tc>
        <w:tc>
          <w:tcPr>
            <w:tcW w:w="2090" w:type="dxa"/>
          </w:tcPr>
          <w:p w14:paraId="51933873" w14:textId="77777777" w:rsidR="00BC0E7E" w:rsidRPr="00BC0E7E" w:rsidRDefault="00944B8F" w:rsidP="00762FA7">
            <w:pPr>
              <w:keepNext/>
              <w:jc w:val="center"/>
              <w:rPr>
                <w:del w:id="6068" w:author="AbbVie19" w:date="2025-04-16T10:42:00Z"/>
              </w:rPr>
            </w:pPr>
            <w:del w:id="6069" w:author="AbbVie19" w:date="2025-04-16T10:42:00Z">
              <w:r w:rsidRPr="00BC0E7E">
                <w:delText>3%</w:delText>
              </w:r>
            </w:del>
          </w:p>
        </w:tc>
        <w:tc>
          <w:tcPr>
            <w:tcW w:w="2310" w:type="dxa"/>
          </w:tcPr>
          <w:p w14:paraId="17E97D47" w14:textId="77777777" w:rsidR="00BC0E7E" w:rsidRPr="00BC0E7E" w:rsidRDefault="00944B8F" w:rsidP="00762FA7">
            <w:pPr>
              <w:keepNext/>
              <w:jc w:val="center"/>
              <w:rPr>
                <w:del w:id="6070" w:author="AbbVie19" w:date="2025-04-16T10:42:00Z"/>
              </w:rPr>
            </w:pPr>
            <w:del w:id="6071" w:author="AbbVie19" w:date="2025-04-16T10:42:00Z">
              <w:r w:rsidRPr="00BC0E7E">
                <w:delText>16%***</w:delText>
              </w:r>
            </w:del>
          </w:p>
        </w:tc>
      </w:tr>
      <w:tr w:rsidR="00C6578C" w14:paraId="0463EB82" w14:textId="77777777" w:rsidTr="00171601">
        <w:trPr>
          <w:del w:id="6072" w:author="AbbVie19" w:date="2025-04-16T10:42:00Z"/>
        </w:trPr>
        <w:tc>
          <w:tcPr>
            <w:tcW w:w="2750" w:type="dxa"/>
          </w:tcPr>
          <w:p w14:paraId="5867B713" w14:textId="77777777" w:rsidR="00BC0E7E" w:rsidRPr="00BC0E7E" w:rsidRDefault="00944B8F" w:rsidP="00762FA7">
            <w:pPr>
              <w:keepNext/>
              <w:ind w:left="720"/>
              <w:rPr>
                <w:del w:id="6073" w:author="AbbVie19" w:date="2025-04-16T10:42:00Z"/>
              </w:rPr>
            </w:pPr>
            <w:del w:id="6074" w:author="AbbVie19" w:date="2025-04-16T10:42:00Z">
              <w:r w:rsidRPr="00BC0E7E">
                <w:delText>Week 12</w:delText>
              </w:r>
            </w:del>
          </w:p>
        </w:tc>
        <w:tc>
          <w:tcPr>
            <w:tcW w:w="2090" w:type="dxa"/>
          </w:tcPr>
          <w:p w14:paraId="1DE74A37" w14:textId="77777777" w:rsidR="00BC0E7E" w:rsidRPr="00BC0E7E" w:rsidRDefault="00944B8F" w:rsidP="00762FA7">
            <w:pPr>
              <w:keepNext/>
              <w:jc w:val="center"/>
              <w:rPr>
                <w:del w:id="6075" w:author="AbbVie19" w:date="2025-04-16T10:42:00Z"/>
              </w:rPr>
            </w:pPr>
            <w:del w:id="6076" w:author="AbbVie19" w:date="2025-04-16T10:42:00Z">
              <w:r w:rsidRPr="00BC0E7E">
                <w:delText>10%</w:delText>
              </w:r>
            </w:del>
          </w:p>
        </w:tc>
        <w:tc>
          <w:tcPr>
            <w:tcW w:w="2310" w:type="dxa"/>
          </w:tcPr>
          <w:p w14:paraId="4D16F28D" w14:textId="77777777" w:rsidR="00BC0E7E" w:rsidRPr="00BC0E7E" w:rsidRDefault="00944B8F" w:rsidP="00762FA7">
            <w:pPr>
              <w:keepNext/>
              <w:jc w:val="center"/>
              <w:rPr>
                <w:del w:id="6077" w:author="AbbVie19" w:date="2025-04-16T10:42:00Z"/>
              </w:rPr>
            </w:pPr>
            <w:del w:id="6078" w:author="AbbVie19" w:date="2025-04-16T10:42:00Z">
              <w:r w:rsidRPr="00BC0E7E">
                <w:delText>38%***</w:delText>
              </w:r>
            </w:del>
          </w:p>
        </w:tc>
      </w:tr>
      <w:tr w:rsidR="00C6578C" w14:paraId="4B141A7E" w14:textId="77777777" w:rsidTr="00171601">
        <w:trPr>
          <w:del w:id="6079" w:author="AbbVie19" w:date="2025-04-16T10:42:00Z"/>
        </w:trPr>
        <w:tc>
          <w:tcPr>
            <w:tcW w:w="2750" w:type="dxa"/>
          </w:tcPr>
          <w:p w14:paraId="084E9D5E" w14:textId="77777777" w:rsidR="00BC0E7E" w:rsidRPr="00BC0E7E" w:rsidRDefault="00944B8F" w:rsidP="00762FA7">
            <w:pPr>
              <w:keepNext/>
              <w:ind w:left="720"/>
              <w:rPr>
                <w:del w:id="6080" w:author="AbbVie19" w:date="2025-04-16T10:42:00Z"/>
              </w:rPr>
            </w:pPr>
            <w:del w:id="6081" w:author="AbbVie19" w:date="2025-04-16T10:42:00Z">
              <w:r w:rsidRPr="00BC0E7E">
                <w:delText>Week 24</w:delText>
              </w:r>
            </w:del>
          </w:p>
        </w:tc>
        <w:tc>
          <w:tcPr>
            <w:tcW w:w="2090" w:type="dxa"/>
          </w:tcPr>
          <w:p w14:paraId="4AF7C908" w14:textId="77777777" w:rsidR="00BC0E7E" w:rsidRPr="00BC0E7E" w:rsidRDefault="00944B8F" w:rsidP="00762FA7">
            <w:pPr>
              <w:keepNext/>
              <w:jc w:val="center"/>
              <w:rPr>
                <w:del w:id="6082" w:author="AbbVie19" w:date="2025-04-16T10:42:00Z"/>
              </w:rPr>
            </w:pPr>
            <w:del w:id="6083" w:author="AbbVie19" w:date="2025-04-16T10:42:00Z">
              <w:r w:rsidRPr="00BC0E7E">
                <w:delText>11%</w:delText>
              </w:r>
            </w:del>
          </w:p>
        </w:tc>
        <w:tc>
          <w:tcPr>
            <w:tcW w:w="2310" w:type="dxa"/>
          </w:tcPr>
          <w:p w14:paraId="1EE8265A" w14:textId="77777777" w:rsidR="00BC0E7E" w:rsidRPr="00BC0E7E" w:rsidRDefault="00944B8F" w:rsidP="00762FA7">
            <w:pPr>
              <w:keepNext/>
              <w:jc w:val="center"/>
              <w:rPr>
                <w:del w:id="6084" w:author="AbbVie19" w:date="2025-04-16T10:42:00Z"/>
              </w:rPr>
            </w:pPr>
            <w:del w:id="6085" w:author="AbbVie19" w:date="2025-04-16T10:42:00Z">
              <w:r w:rsidRPr="00BC0E7E">
                <w:delText>35%***</w:delText>
              </w:r>
            </w:del>
          </w:p>
        </w:tc>
      </w:tr>
      <w:tr w:rsidR="00C6578C" w14:paraId="3BE8861A" w14:textId="77777777" w:rsidTr="00171601">
        <w:trPr>
          <w:del w:id="6086" w:author="AbbVie19" w:date="2025-04-16T10:42:00Z"/>
        </w:trPr>
        <w:tc>
          <w:tcPr>
            <w:tcW w:w="2750" w:type="dxa"/>
          </w:tcPr>
          <w:p w14:paraId="5D493EC5" w14:textId="77777777" w:rsidR="00BC0E7E" w:rsidRPr="00BC0E7E" w:rsidRDefault="00944B8F" w:rsidP="00762FA7">
            <w:pPr>
              <w:keepNext/>
              <w:rPr>
                <w:del w:id="6087" w:author="AbbVie19" w:date="2025-04-16T10:42:00Z"/>
              </w:rPr>
            </w:pPr>
            <w:del w:id="6088" w:author="AbbVie19" w:date="2025-04-16T10:42:00Z">
              <w:r w:rsidRPr="00BC0E7E">
                <w:delText>ASAS 70</w:delText>
              </w:r>
            </w:del>
          </w:p>
        </w:tc>
        <w:tc>
          <w:tcPr>
            <w:tcW w:w="2090" w:type="dxa"/>
          </w:tcPr>
          <w:p w14:paraId="5DF9F417" w14:textId="77777777" w:rsidR="00BC0E7E" w:rsidRPr="00BC0E7E" w:rsidRDefault="00BC0E7E" w:rsidP="00762FA7">
            <w:pPr>
              <w:keepNext/>
              <w:jc w:val="center"/>
              <w:rPr>
                <w:del w:id="6089" w:author="AbbVie19" w:date="2025-04-16T10:42:00Z"/>
              </w:rPr>
            </w:pPr>
          </w:p>
        </w:tc>
        <w:tc>
          <w:tcPr>
            <w:tcW w:w="2310" w:type="dxa"/>
          </w:tcPr>
          <w:p w14:paraId="5915FF1B" w14:textId="77777777" w:rsidR="00BC0E7E" w:rsidRPr="00BC0E7E" w:rsidRDefault="00BC0E7E" w:rsidP="00762FA7">
            <w:pPr>
              <w:keepNext/>
              <w:jc w:val="center"/>
              <w:rPr>
                <w:del w:id="6090" w:author="AbbVie19" w:date="2025-04-16T10:42:00Z"/>
              </w:rPr>
            </w:pPr>
          </w:p>
        </w:tc>
      </w:tr>
      <w:tr w:rsidR="00C6578C" w14:paraId="2E8A0DAD" w14:textId="77777777" w:rsidTr="00171601">
        <w:trPr>
          <w:del w:id="6091" w:author="AbbVie19" w:date="2025-04-16T10:42:00Z"/>
        </w:trPr>
        <w:tc>
          <w:tcPr>
            <w:tcW w:w="2750" w:type="dxa"/>
          </w:tcPr>
          <w:p w14:paraId="626D5E5F" w14:textId="77777777" w:rsidR="00BC0E7E" w:rsidRPr="00BC0E7E" w:rsidRDefault="00944B8F" w:rsidP="00762FA7">
            <w:pPr>
              <w:keepNext/>
              <w:rPr>
                <w:del w:id="6092" w:author="AbbVie19" w:date="2025-04-16T10:42:00Z"/>
              </w:rPr>
            </w:pPr>
            <w:del w:id="6093" w:author="AbbVie19" w:date="2025-04-16T10:42:00Z">
              <w:r w:rsidRPr="00BC0E7E">
                <w:delText xml:space="preserve">             Week 2</w:delText>
              </w:r>
            </w:del>
          </w:p>
        </w:tc>
        <w:tc>
          <w:tcPr>
            <w:tcW w:w="2090" w:type="dxa"/>
          </w:tcPr>
          <w:p w14:paraId="18CA54EE" w14:textId="77777777" w:rsidR="00BC0E7E" w:rsidRPr="00BC0E7E" w:rsidRDefault="00944B8F" w:rsidP="00762FA7">
            <w:pPr>
              <w:keepNext/>
              <w:jc w:val="center"/>
              <w:rPr>
                <w:del w:id="6094" w:author="AbbVie19" w:date="2025-04-16T10:42:00Z"/>
              </w:rPr>
            </w:pPr>
            <w:del w:id="6095" w:author="AbbVie19" w:date="2025-04-16T10:42:00Z">
              <w:r w:rsidRPr="00BC0E7E">
                <w:delText>0%</w:delText>
              </w:r>
            </w:del>
          </w:p>
        </w:tc>
        <w:tc>
          <w:tcPr>
            <w:tcW w:w="2310" w:type="dxa"/>
          </w:tcPr>
          <w:p w14:paraId="2528EFF3" w14:textId="77777777" w:rsidR="00BC0E7E" w:rsidRPr="00BC0E7E" w:rsidRDefault="00944B8F" w:rsidP="00762FA7">
            <w:pPr>
              <w:keepNext/>
              <w:jc w:val="center"/>
              <w:rPr>
                <w:del w:id="6096" w:author="AbbVie19" w:date="2025-04-16T10:42:00Z"/>
              </w:rPr>
            </w:pPr>
            <w:del w:id="6097" w:author="AbbVie19" w:date="2025-04-16T10:42:00Z">
              <w:r w:rsidRPr="00BC0E7E">
                <w:delText>7%**</w:delText>
              </w:r>
            </w:del>
          </w:p>
        </w:tc>
      </w:tr>
      <w:tr w:rsidR="00C6578C" w14:paraId="2DF44B29" w14:textId="77777777" w:rsidTr="00171601">
        <w:trPr>
          <w:del w:id="6098" w:author="AbbVie19" w:date="2025-04-16T10:42:00Z"/>
        </w:trPr>
        <w:tc>
          <w:tcPr>
            <w:tcW w:w="2750" w:type="dxa"/>
          </w:tcPr>
          <w:p w14:paraId="013B7BDF" w14:textId="77777777" w:rsidR="00BC0E7E" w:rsidRPr="00BC0E7E" w:rsidRDefault="00944B8F" w:rsidP="00762FA7">
            <w:pPr>
              <w:keepNext/>
              <w:ind w:left="720"/>
              <w:rPr>
                <w:del w:id="6099" w:author="AbbVie19" w:date="2025-04-16T10:42:00Z"/>
              </w:rPr>
            </w:pPr>
            <w:del w:id="6100" w:author="AbbVie19" w:date="2025-04-16T10:42:00Z">
              <w:r w:rsidRPr="00BC0E7E">
                <w:delText>Week 12</w:delText>
              </w:r>
            </w:del>
          </w:p>
        </w:tc>
        <w:tc>
          <w:tcPr>
            <w:tcW w:w="2090" w:type="dxa"/>
          </w:tcPr>
          <w:p w14:paraId="620BBB34" w14:textId="77777777" w:rsidR="00BC0E7E" w:rsidRPr="00BC0E7E" w:rsidRDefault="00944B8F" w:rsidP="00762FA7">
            <w:pPr>
              <w:keepNext/>
              <w:jc w:val="center"/>
              <w:rPr>
                <w:del w:id="6101" w:author="AbbVie19" w:date="2025-04-16T10:42:00Z"/>
              </w:rPr>
            </w:pPr>
            <w:del w:id="6102" w:author="AbbVie19" w:date="2025-04-16T10:42:00Z">
              <w:r w:rsidRPr="00BC0E7E">
                <w:delText>5%</w:delText>
              </w:r>
            </w:del>
          </w:p>
        </w:tc>
        <w:tc>
          <w:tcPr>
            <w:tcW w:w="2310" w:type="dxa"/>
          </w:tcPr>
          <w:p w14:paraId="7719A5A3" w14:textId="77777777" w:rsidR="00BC0E7E" w:rsidRPr="00BC0E7E" w:rsidRDefault="00944B8F" w:rsidP="00762FA7">
            <w:pPr>
              <w:keepNext/>
              <w:jc w:val="center"/>
              <w:rPr>
                <w:del w:id="6103" w:author="AbbVie19" w:date="2025-04-16T10:42:00Z"/>
              </w:rPr>
            </w:pPr>
            <w:del w:id="6104" w:author="AbbVie19" w:date="2025-04-16T10:42:00Z">
              <w:r w:rsidRPr="00BC0E7E">
                <w:delText>23%***</w:delText>
              </w:r>
            </w:del>
          </w:p>
        </w:tc>
      </w:tr>
      <w:tr w:rsidR="00C6578C" w14:paraId="60D2DBA0" w14:textId="77777777" w:rsidTr="00171601">
        <w:trPr>
          <w:del w:id="6105" w:author="AbbVie19" w:date="2025-04-16T10:42:00Z"/>
        </w:trPr>
        <w:tc>
          <w:tcPr>
            <w:tcW w:w="2750" w:type="dxa"/>
          </w:tcPr>
          <w:p w14:paraId="0FF441EF" w14:textId="77777777" w:rsidR="00BC0E7E" w:rsidRPr="00BC0E7E" w:rsidRDefault="00944B8F" w:rsidP="00762FA7">
            <w:pPr>
              <w:keepNext/>
              <w:ind w:left="720"/>
              <w:rPr>
                <w:del w:id="6106" w:author="AbbVie19" w:date="2025-04-16T10:42:00Z"/>
              </w:rPr>
            </w:pPr>
            <w:del w:id="6107" w:author="AbbVie19" w:date="2025-04-16T10:42:00Z">
              <w:r w:rsidRPr="00BC0E7E">
                <w:delText>Week 24</w:delText>
              </w:r>
            </w:del>
          </w:p>
        </w:tc>
        <w:tc>
          <w:tcPr>
            <w:tcW w:w="2090" w:type="dxa"/>
          </w:tcPr>
          <w:p w14:paraId="28921FBA" w14:textId="77777777" w:rsidR="00BC0E7E" w:rsidRPr="00BC0E7E" w:rsidRDefault="00944B8F" w:rsidP="00762FA7">
            <w:pPr>
              <w:keepNext/>
              <w:jc w:val="center"/>
              <w:rPr>
                <w:del w:id="6108" w:author="AbbVie19" w:date="2025-04-16T10:42:00Z"/>
              </w:rPr>
            </w:pPr>
            <w:del w:id="6109" w:author="AbbVie19" w:date="2025-04-16T10:42:00Z">
              <w:r w:rsidRPr="00BC0E7E">
                <w:delText>8%</w:delText>
              </w:r>
            </w:del>
          </w:p>
        </w:tc>
        <w:tc>
          <w:tcPr>
            <w:tcW w:w="2310" w:type="dxa"/>
          </w:tcPr>
          <w:p w14:paraId="08D7FB5D" w14:textId="77777777" w:rsidR="00BC0E7E" w:rsidRPr="00BC0E7E" w:rsidRDefault="00944B8F" w:rsidP="00762FA7">
            <w:pPr>
              <w:keepNext/>
              <w:jc w:val="center"/>
              <w:rPr>
                <w:del w:id="6110" w:author="AbbVie19" w:date="2025-04-16T10:42:00Z"/>
              </w:rPr>
            </w:pPr>
            <w:del w:id="6111" w:author="AbbVie19" w:date="2025-04-16T10:42:00Z">
              <w:r w:rsidRPr="00BC0E7E">
                <w:delText>24%***</w:delText>
              </w:r>
            </w:del>
          </w:p>
        </w:tc>
      </w:tr>
      <w:tr w:rsidR="00C6578C" w14:paraId="6D741585" w14:textId="77777777" w:rsidTr="00171601">
        <w:trPr>
          <w:del w:id="6112" w:author="AbbVie19" w:date="2025-04-16T10:42:00Z"/>
        </w:trPr>
        <w:tc>
          <w:tcPr>
            <w:tcW w:w="2750" w:type="dxa"/>
          </w:tcPr>
          <w:p w14:paraId="144075D9" w14:textId="77777777" w:rsidR="00BC0E7E" w:rsidRPr="00BC0E7E" w:rsidRDefault="00BC0E7E" w:rsidP="00762FA7">
            <w:pPr>
              <w:keepNext/>
              <w:rPr>
                <w:del w:id="6113" w:author="AbbVie19" w:date="2025-04-16T10:42:00Z"/>
              </w:rPr>
            </w:pPr>
          </w:p>
        </w:tc>
        <w:tc>
          <w:tcPr>
            <w:tcW w:w="2090" w:type="dxa"/>
          </w:tcPr>
          <w:p w14:paraId="07F5CED1" w14:textId="77777777" w:rsidR="00BC0E7E" w:rsidRPr="00BC0E7E" w:rsidRDefault="00BC0E7E" w:rsidP="00762FA7">
            <w:pPr>
              <w:keepNext/>
              <w:jc w:val="center"/>
              <w:rPr>
                <w:del w:id="6114" w:author="AbbVie19" w:date="2025-04-16T10:42:00Z"/>
              </w:rPr>
            </w:pPr>
          </w:p>
        </w:tc>
        <w:tc>
          <w:tcPr>
            <w:tcW w:w="2310" w:type="dxa"/>
          </w:tcPr>
          <w:p w14:paraId="7C0BD840" w14:textId="77777777" w:rsidR="00BC0E7E" w:rsidRPr="00BC0E7E" w:rsidRDefault="00BC0E7E" w:rsidP="00762FA7">
            <w:pPr>
              <w:keepNext/>
              <w:jc w:val="center"/>
              <w:rPr>
                <w:del w:id="6115" w:author="AbbVie19" w:date="2025-04-16T10:42:00Z"/>
              </w:rPr>
            </w:pPr>
          </w:p>
        </w:tc>
      </w:tr>
      <w:tr w:rsidR="00C6578C" w14:paraId="3DF7272E" w14:textId="77777777" w:rsidTr="00171601">
        <w:trPr>
          <w:del w:id="6116" w:author="AbbVie19" w:date="2025-04-16T10:42:00Z"/>
        </w:trPr>
        <w:tc>
          <w:tcPr>
            <w:tcW w:w="2750" w:type="dxa"/>
          </w:tcPr>
          <w:p w14:paraId="196A7C57" w14:textId="77777777" w:rsidR="00BC0E7E" w:rsidRPr="00BC0E7E" w:rsidRDefault="00944B8F" w:rsidP="00762FA7">
            <w:pPr>
              <w:keepNext/>
              <w:rPr>
                <w:del w:id="6117" w:author="AbbVie19" w:date="2025-04-16T10:42:00Z"/>
              </w:rPr>
            </w:pPr>
            <w:del w:id="6118" w:author="AbbVie19" w:date="2025-04-16T10:42:00Z">
              <w:r w:rsidRPr="00BC0E7E">
                <w:delText>BASDAI</w:delText>
              </w:r>
              <w:r w:rsidRPr="00BC0E7E">
                <w:rPr>
                  <w:vertAlign w:val="superscript"/>
                </w:rPr>
                <w:delText>b</w:delText>
              </w:r>
              <w:r w:rsidRPr="00BC0E7E">
                <w:delText xml:space="preserve"> 50 </w:delText>
              </w:r>
            </w:del>
          </w:p>
        </w:tc>
        <w:tc>
          <w:tcPr>
            <w:tcW w:w="2090" w:type="dxa"/>
          </w:tcPr>
          <w:p w14:paraId="2530D42C" w14:textId="77777777" w:rsidR="00BC0E7E" w:rsidRPr="00BC0E7E" w:rsidRDefault="00BC0E7E" w:rsidP="00762FA7">
            <w:pPr>
              <w:keepNext/>
              <w:jc w:val="center"/>
              <w:rPr>
                <w:del w:id="6119" w:author="AbbVie19" w:date="2025-04-16T10:42:00Z"/>
              </w:rPr>
            </w:pPr>
          </w:p>
        </w:tc>
        <w:tc>
          <w:tcPr>
            <w:tcW w:w="2310" w:type="dxa"/>
          </w:tcPr>
          <w:p w14:paraId="5D486929" w14:textId="77777777" w:rsidR="00BC0E7E" w:rsidRPr="00BC0E7E" w:rsidRDefault="00BC0E7E" w:rsidP="00762FA7">
            <w:pPr>
              <w:keepNext/>
              <w:jc w:val="center"/>
              <w:rPr>
                <w:del w:id="6120" w:author="AbbVie19" w:date="2025-04-16T10:42:00Z"/>
              </w:rPr>
            </w:pPr>
          </w:p>
        </w:tc>
      </w:tr>
      <w:tr w:rsidR="00C6578C" w14:paraId="4CDFD228" w14:textId="77777777" w:rsidTr="00171601">
        <w:trPr>
          <w:del w:id="6121" w:author="AbbVie19" w:date="2025-04-16T10:42:00Z"/>
        </w:trPr>
        <w:tc>
          <w:tcPr>
            <w:tcW w:w="2750" w:type="dxa"/>
          </w:tcPr>
          <w:p w14:paraId="4DA6EF05" w14:textId="77777777" w:rsidR="00BC0E7E" w:rsidRPr="00BC0E7E" w:rsidRDefault="00944B8F" w:rsidP="00762FA7">
            <w:pPr>
              <w:keepNext/>
              <w:rPr>
                <w:del w:id="6122" w:author="AbbVie19" w:date="2025-04-16T10:42:00Z"/>
              </w:rPr>
            </w:pPr>
            <w:del w:id="6123" w:author="AbbVie19" w:date="2025-04-16T10:42:00Z">
              <w:r w:rsidRPr="00BC0E7E">
                <w:delText xml:space="preserve">             Week 2</w:delText>
              </w:r>
            </w:del>
          </w:p>
        </w:tc>
        <w:tc>
          <w:tcPr>
            <w:tcW w:w="2090" w:type="dxa"/>
          </w:tcPr>
          <w:p w14:paraId="182C6E75" w14:textId="77777777" w:rsidR="00BC0E7E" w:rsidRPr="00BC0E7E" w:rsidRDefault="00944B8F" w:rsidP="00762FA7">
            <w:pPr>
              <w:keepNext/>
              <w:jc w:val="center"/>
              <w:rPr>
                <w:del w:id="6124" w:author="AbbVie19" w:date="2025-04-16T10:42:00Z"/>
              </w:rPr>
            </w:pPr>
            <w:del w:id="6125" w:author="AbbVie19" w:date="2025-04-16T10:42:00Z">
              <w:r w:rsidRPr="00BC0E7E">
                <w:delText>4%</w:delText>
              </w:r>
            </w:del>
          </w:p>
        </w:tc>
        <w:tc>
          <w:tcPr>
            <w:tcW w:w="2310" w:type="dxa"/>
          </w:tcPr>
          <w:p w14:paraId="7B963799" w14:textId="77777777" w:rsidR="00BC0E7E" w:rsidRPr="00BC0E7E" w:rsidRDefault="00944B8F" w:rsidP="00762FA7">
            <w:pPr>
              <w:keepNext/>
              <w:jc w:val="center"/>
              <w:rPr>
                <w:del w:id="6126" w:author="AbbVie19" w:date="2025-04-16T10:42:00Z"/>
              </w:rPr>
            </w:pPr>
            <w:del w:id="6127" w:author="AbbVie19" w:date="2025-04-16T10:42:00Z">
              <w:r w:rsidRPr="00BC0E7E">
                <w:delText>20%***</w:delText>
              </w:r>
            </w:del>
          </w:p>
        </w:tc>
      </w:tr>
      <w:tr w:rsidR="00C6578C" w14:paraId="00F87891" w14:textId="77777777" w:rsidTr="00171601">
        <w:trPr>
          <w:del w:id="6128" w:author="AbbVie19" w:date="2025-04-16T10:42:00Z"/>
        </w:trPr>
        <w:tc>
          <w:tcPr>
            <w:tcW w:w="2750" w:type="dxa"/>
          </w:tcPr>
          <w:p w14:paraId="418E1FD3" w14:textId="77777777" w:rsidR="00BC0E7E" w:rsidRPr="00BC0E7E" w:rsidRDefault="00944B8F" w:rsidP="00762FA7">
            <w:pPr>
              <w:keepNext/>
              <w:ind w:left="720"/>
              <w:rPr>
                <w:del w:id="6129" w:author="AbbVie19" w:date="2025-04-16T10:42:00Z"/>
              </w:rPr>
            </w:pPr>
            <w:del w:id="6130" w:author="AbbVie19" w:date="2025-04-16T10:42:00Z">
              <w:r w:rsidRPr="00BC0E7E">
                <w:delText xml:space="preserve">Week 12 </w:delText>
              </w:r>
            </w:del>
          </w:p>
        </w:tc>
        <w:tc>
          <w:tcPr>
            <w:tcW w:w="2090" w:type="dxa"/>
          </w:tcPr>
          <w:p w14:paraId="0467AC96" w14:textId="77777777" w:rsidR="00BC0E7E" w:rsidRPr="00BC0E7E" w:rsidRDefault="00944B8F" w:rsidP="00762FA7">
            <w:pPr>
              <w:keepNext/>
              <w:jc w:val="center"/>
              <w:rPr>
                <w:del w:id="6131" w:author="AbbVie19" w:date="2025-04-16T10:42:00Z"/>
              </w:rPr>
            </w:pPr>
            <w:del w:id="6132" w:author="AbbVie19" w:date="2025-04-16T10:42:00Z">
              <w:r w:rsidRPr="00BC0E7E">
                <w:delText>16%</w:delText>
              </w:r>
            </w:del>
          </w:p>
        </w:tc>
        <w:tc>
          <w:tcPr>
            <w:tcW w:w="2310" w:type="dxa"/>
          </w:tcPr>
          <w:p w14:paraId="18549C2F" w14:textId="77777777" w:rsidR="00BC0E7E" w:rsidRPr="00BC0E7E" w:rsidRDefault="00944B8F" w:rsidP="00762FA7">
            <w:pPr>
              <w:keepNext/>
              <w:jc w:val="center"/>
              <w:rPr>
                <w:del w:id="6133" w:author="AbbVie19" w:date="2025-04-16T10:42:00Z"/>
              </w:rPr>
            </w:pPr>
            <w:del w:id="6134" w:author="AbbVie19" w:date="2025-04-16T10:42:00Z">
              <w:r w:rsidRPr="00BC0E7E">
                <w:delText>45%***</w:delText>
              </w:r>
            </w:del>
          </w:p>
        </w:tc>
      </w:tr>
      <w:tr w:rsidR="00C6578C" w14:paraId="07572508" w14:textId="77777777" w:rsidTr="00171601">
        <w:trPr>
          <w:del w:id="6135" w:author="AbbVie19" w:date="2025-04-16T10:42:00Z"/>
        </w:trPr>
        <w:tc>
          <w:tcPr>
            <w:tcW w:w="2750" w:type="dxa"/>
          </w:tcPr>
          <w:p w14:paraId="5735FCB6" w14:textId="77777777" w:rsidR="00BC0E7E" w:rsidRPr="00BC0E7E" w:rsidRDefault="00944B8F" w:rsidP="00762FA7">
            <w:pPr>
              <w:keepNext/>
              <w:ind w:left="720"/>
              <w:rPr>
                <w:del w:id="6136" w:author="AbbVie19" w:date="2025-04-16T10:42:00Z"/>
              </w:rPr>
            </w:pPr>
            <w:del w:id="6137" w:author="AbbVie19" w:date="2025-04-16T10:42:00Z">
              <w:r w:rsidRPr="00BC0E7E">
                <w:delText xml:space="preserve">Week 24 </w:delText>
              </w:r>
            </w:del>
          </w:p>
        </w:tc>
        <w:tc>
          <w:tcPr>
            <w:tcW w:w="2090" w:type="dxa"/>
          </w:tcPr>
          <w:p w14:paraId="4D2CA823" w14:textId="77777777" w:rsidR="00BC0E7E" w:rsidRPr="00BC0E7E" w:rsidRDefault="00944B8F" w:rsidP="00762FA7">
            <w:pPr>
              <w:keepNext/>
              <w:jc w:val="center"/>
              <w:rPr>
                <w:del w:id="6138" w:author="AbbVie19" w:date="2025-04-16T10:42:00Z"/>
              </w:rPr>
            </w:pPr>
            <w:del w:id="6139" w:author="AbbVie19" w:date="2025-04-16T10:42:00Z">
              <w:r w:rsidRPr="00BC0E7E">
                <w:delText>15%</w:delText>
              </w:r>
            </w:del>
          </w:p>
        </w:tc>
        <w:tc>
          <w:tcPr>
            <w:tcW w:w="2310" w:type="dxa"/>
          </w:tcPr>
          <w:p w14:paraId="453B19BC" w14:textId="77777777" w:rsidR="00BC0E7E" w:rsidRPr="00BC0E7E" w:rsidRDefault="00944B8F" w:rsidP="00762FA7">
            <w:pPr>
              <w:keepNext/>
              <w:jc w:val="center"/>
              <w:rPr>
                <w:del w:id="6140" w:author="AbbVie19" w:date="2025-04-16T10:42:00Z"/>
              </w:rPr>
            </w:pPr>
            <w:del w:id="6141" w:author="AbbVie19" w:date="2025-04-16T10:42:00Z">
              <w:r w:rsidRPr="00BC0E7E">
                <w:delText>42%***</w:delText>
              </w:r>
            </w:del>
          </w:p>
        </w:tc>
      </w:tr>
    </w:tbl>
    <w:p w14:paraId="35344E51" w14:textId="77777777" w:rsidR="00BC0E7E" w:rsidRPr="00BC0E7E" w:rsidRDefault="00944B8F" w:rsidP="00762FA7">
      <w:pPr>
        <w:keepNext/>
        <w:tabs>
          <w:tab w:val="clear" w:pos="562"/>
        </w:tabs>
        <w:suppressAutoHyphens w:val="0"/>
        <w:overflowPunct w:val="0"/>
        <w:autoSpaceDE w:val="0"/>
        <w:autoSpaceDN w:val="0"/>
        <w:adjustRightInd w:val="0"/>
        <w:ind w:left="990"/>
        <w:textAlignment w:val="baseline"/>
        <w:rPr>
          <w:del w:id="6142" w:author="AbbVie19" w:date="2025-04-16T10:42:00Z"/>
          <w:bCs/>
          <w:iCs/>
          <w:szCs w:val="20"/>
        </w:rPr>
      </w:pPr>
      <w:del w:id="6143" w:author="AbbVie19" w:date="2025-04-16T10:42:00Z">
        <w:r w:rsidRPr="00BC0E7E">
          <w:rPr>
            <w:bCs/>
            <w:iCs/>
            <w:szCs w:val="20"/>
          </w:rPr>
          <w:delText>***,** Statistically significant at p &lt; 0.001, &lt; 0.01 for all comparisons between Humira and placebo at Weeks</w:delText>
        </w:r>
        <w:r w:rsidRPr="00BC0E7E">
          <w:rPr>
            <w:rFonts w:ascii="Arial" w:hAnsi="Arial"/>
            <w:bCs/>
            <w:iCs/>
            <w:szCs w:val="20"/>
          </w:rPr>
          <w:delText> </w:delText>
        </w:r>
        <w:r w:rsidRPr="00BC0E7E">
          <w:rPr>
            <w:bCs/>
            <w:iCs/>
            <w:szCs w:val="20"/>
          </w:rPr>
          <w:delText>2, 12 and  24</w:delText>
        </w:r>
      </w:del>
    </w:p>
    <w:p w14:paraId="32AD4BEC" w14:textId="77777777" w:rsidR="00BC0E7E" w:rsidRPr="00BC0E7E" w:rsidRDefault="00944B8F" w:rsidP="00762FA7">
      <w:pPr>
        <w:keepNext/>
        <w:tabs>
          <w:tab w:val="clear" w:pos="562"/>
        </w:tabs>
        <w:suppressAutoHyphens w:val="0"/>
        <w:autoSpaceDE w:val="0"/>
        <w:autoSpaceDN w:val="0"/>
        <w:adjustRightInd w:val="0"/>
        <w:ind w:left="990"/>
        <w:rPr>
          <w:del w:id="6144" w:author="AbbVie19" w:date="2025-04-16T10:42:00Z"/>
          <w:szCs w:val="20"/>
        </w:rPr>
      </w:pPr>
      <w:del w:id="6145" w:author="AbbVie19" w:date="2025-04-16T10:42:00Z">
        <w:r w:rsidRPr="00BC0E7E">
          <w:rPr>
            <w:vertAlign w:val="superscript"/>
          </w:rPr>
          <w:delText>a</w:delText>
        </w:r>
        <w:r w:rsidRPr="00BC0E7E">
          <w:delText xml:space="preserve"> </w:delText>
        </w:r>
        <w:r w:rsidRPr="00BC0E7E">
          <w:rPr>
            <w:szCs w:val="20"/>
          </w:rPr>
          <w:delText>Assessments in Ankylosing Spondylitis</w:delText>
        </w:r>
      </w:del>
    </w:p>
    <w:p w14:paraId="3D46760D" w14:textId="77777777" w:rsidR="00BC0E7E" w:rsidRPr="00BC0E7E" w:rsidRDefault="00944B8F" w:rsidP="00762FA7">
      <w:pPr>
        <w:keepNext/>
        <w:ind w:left="990"/>
        <w:rPr>
          <w:del w:id="6146" w:author="AbbVie19" w:date="2025-04-16T10:42:00Z"/>
          <w:szCs w:val="20"/>
        </w:rPr>
      </w:pPr>
      <w:del w:id="6147" w:author="AbbVie19" w:date="2025-04-16T10:42:00Z">
        <w:r w:rsidRPr="00BC0E7E">
          <w:rPr>
            <w:szCs w:val="20"/>
            <w:vertAlign w:val="superscript"/>
          </w:rPr>
          <w:delText>b</w:delText>
        </w:r>
        <w:r w:rsidRPr="00BC0E7E">
          <w:rPr>
            <w:szCs w:val="20"/>
          </w:rPr>
          <w:delText xml:space="preserve"> Bath Ankylosing Spondylitis Disease Activity Index</w:delText>
        </w:r>
      </w:del>
    </w:p>
    <w:p w14:paraId="532B97FB" w14:textId="77777777" w:rsidR="00BC0E7E" w:rsidRPr="00BC0E7E" w:rsidRDefault="00BC0E7E" w:rsidP="00762FA7">
      <w:pPr>
        <w:rPr>
          <w:del w:id="6148" w:author="AbbVie19" w:date="2025-04-16T10:42:00Z"/>
          <w:szCs w:val="20"/>
        </w:rPr>
      </w:pPr>
    </w:p>
    <w:p w14:paraId="4A72480F" w14:textId="77777777" w:rsidR="00BC0E7E" w:rsidRPr="00BC0E7E" w:rsidRDefault="00944B8F" w:rsidP="00762FA7">
      <w:pPr>
        <w:rPr>
          <w:del w:id="6149" w:author="AbbVie19" w:date="2025-04-16T10:42:00Z"/>
          <w:szCs w:val="20"/>
        </w:rPr>
      </w:pPr>
      <w:del w:id="6150" w:author="AbbVie19" w:date="2025-04-16T10:42:00Z">
        <w:r w:rsidRPr="00BC0E7E">
          <w:rPr>
            <w:szCs w:val="20"/>
          </w:rPr>
          <w:delText>Humira treated patients had significantly greater improvement at Week 12 which was maintained through Week 24 in both the SF36 and Ankylosing Spondylitis Quality of Life Questionnaire (ASQoL).</w:delText>
        </w:r>
      </w:del>
    </w:p>
    <w:p w14:paraId="1D43330E" w14:textId="77777777" w:rsidR="00BC0E7E" w:rsidRPr="00BC0E7E" w:rsidRDefault="00BC0E7E" w:rsidP="00762FA7">
      <w:pPr>
        <w:rPr>
          <w:del w:id="6151" w:author="AbbVie19" w:date="2025-04-16T10:42:00Z"/>
          <w:szCs w:val="20"/>
        </w:rPr>
      </w:pPr>
    </w:p>
    <w:p w14:paraId="360A5E21" w14:textId="77777777" w:rsidR="00BC0E7E" w:rsidRPr="00BC0E7E" w:rsidRDefault="00944B8F" w:rsidP="00762FA7">
      <w:pPr>
        <w:rPr>
          <w:del w:id="6152" w:author="AbbVie19" w:date="2025-04-16T10:42:00Z"/>
          <w:szCs w:val="20"/>
        </w:rPr>
      </w:pPr>
      <w:del w:id="6153" w:author="AbbVie19" w:date="2025-04-16T10:42:00Z">
        <w:r w:rsidRPr="00BC0E7E">
          <w:rPr>
            <w:szCs w:val="20"/>
          </w:rPr>
          <w:delText>Similar trends (not all statistically significant) were seen in the smaller randomised, double − blind, placebo controlled AS study II of 82 adult patients with active ankylosing spondylitis.</w:delText>
        </w:r>
      </w:del>
    </w:p>
    <w:p w14:paraId="46C9DAC0" w14:textId="77777777" w:rsidR="00BC0E7E" w:rsidRPr="00BC0E7E" w:rsidRDefault="00BC0E7E" w:rsidP="00762FA7">
      <w:pPr>
        <w:rPr>
          <w:del w:id="6154" w:author="AbbVie19" w:date="2025-04-16T10:42:00Z"/>
          <w:szCs w:val="20"/>
        </w:rPr>
      </w:pPr>
    </w:p>
    <w:p w14:paraId="48D9CB85" w14:textId="77777777" w:rsidR="00BC0E7E" w:rsidRPr="00BC0E7E" w:rsidRDefault="00944B8F" w:rsidP="00762FA7">
      <w:pPr>
        <w:rPr>
          <w:del w:id="6155" w:author="AbbVie19" w:date="2025-04-16T10:42:00Z"/>
          <w:szCs w:val="20"/>
          <w:u w:val="single"/>
        </w:rPr>
      </w:pPr>
      <w:del w:id="6156" w:author="AbbVie19" w:date="2025-04-16T10:42:00Z">
        <w:r w:rsidRPr="00BC0E7E">
          <w:rPr>
            <w:i/>
            <w:szCs w:val="20"/>
            <w:u w:val="single"/>
          </w:rPr>
          <w:delText>Axial spondyloarthritis without radiographic evidence of AS</w:delText>
        </w:r>
      </w:del>
    </w:p>
    <w:p w14:paraId="66618A00" w14:textId="77777777" w:rsidR="00BC0E7E" w:rsidRPr="00BC0E7E" w:rsidRDefault="00BC0E7E" w:rsidP="00762FA7">
      <w:pPr>
        <w:rPr>
          <w:del w:id="6157" w:author="AbbVie19" w:date="2025-04-16T10:42:00Z"/>
          <w:szCs w:val="20"/>
          <w:u w:val="single"/>
        </w:rPr>
      </w:pPr>
    </w:p>
    <w:p w14:paraId="46F8164A" w14:textId="77777777" w:rsidR="00B84986" w:rsidRDefault="00944B8F" w:rsidP="00762FA7">
      <w:pPr>
        <w:rPr>
          <w:del w:id="6158" w:author="AbbVie19" w:date="2025-04-16T10:42:00Z"/>
        </w:rPr>
      </w:pPr>
      <w:del w:id="6159" w:author="AbbVie19" w:date="2025-04-16T10:42:00Z">
        <w:r w:rsidRPr="002A3533">
          <w:rPr>
            <w:bCs/>
            <w:iCs/>
            <w:szCs w:val="22"/>
          </w:rPr>
          <w:delText xml:space="preserve">The safety and efficacy of </w:delText>
        </w:r>
        <w:r>
          <w:delText xml:space="preserve">Humira were assessed in two randomized, double-blind placebo-controlled studies in patients with non-radiographic axial spondyloarthritis (nr-axSpA). Study nr-axSpA I evaluated patients with active </w:delText>
        </w:r>
        <w:r w:rsidRPr="00704714">
          <w:delText>nr-axSpA</w:delText>
        </w:r>
        <w:r>
          <w:delText>. Study n</w:delText>
        </w:r>
        <w:r w:rsidR="00FE3BC7">
          <w:delText>r</w:delText>
        </w:r>
        <w:r>
          <w:delText xml:space="preserve">-axSpA II was a treatment withdrawal study in active </w:delText>
        </w:r>
        <w:r w:rsidRPr="00704714">
          <w:delText>nr-</w:delText>
        </w:r>
        <w:r>
          <w:delText>a</w:delText>
        </w:r>
        <w:r w:rsidRPr="00704714">
          <w:delText>xSpA</w:delText>
        </w:r>
        <w:r>
          <w:delText xml:space="preserve"> patients who achieved remission during open-label treatment with Humira.</w:delText>
        </w:r>
      </w:del>
    </w:p>
    <w:p w14:paraId="367BEB20" w14:textId="77777777" w:rsidR="00B84986" w:rsidRDefault="00B84986" w:rsidP="00762FA7">
      <w:pPr>
        <w:rPr>
          <w:del w:id="6160" w:author="AbbVie19" w:date="2025-04-16T10:42:00Z"/>
        </w:rPr>
      </w:pPr>
    </w:p>
    <w:p w14:paraId="4AF80716" w14:textId="77777777" w:rsidR="00B84986" w:rsidRDefault="00944B8F" w:rsidP="00762FA7">
      <w:pPr>
        <w:rPr>
          <w:del w:id="6161" w:author="AbbVie19" w:date="2025-04-16T10:42:00Z"/>
        </w:rPr>
      </w:pPr>
      <w:del w:id="6162" w:author="AbbVie19" w:date="2025-04-16T10:42:00Z">
        <w:r>
          <w:delText>Study nr-axSpA I</w:delText>
        </w:r>
      </w:del>
    </w:p>
    <w:p w14:paraId="2834B661" w14:textId="77777777" w:rsidR="00B84986" w:rsidRPr="00BC0E7E" w:rsidRDefault="00B84986" w:rsidP="00762FA7">
      <w:pPr>
        <w:rPr>
          <w:del w:id="6163" w:author="AbbVie19" w:date="2025-04-16T10:42:00Z"/>
          <w:szCs w:val="20"/>
          <w:u w:val="single"/>
        </w:rPr>
      </w:pPr>
    </w:p>
    <w:p w14:paraId="0945637C" w14:textId="77777777" w:rsidR="00BC0E7E" w:rsidRPr="00BC0E7E" w:rsidRDefault="00944B8F" w:rsidP="00762FA7">
      <w:pPr>
        <w:rPr>
          <w:del w:id="6164" w:author="AbbVie19" w:date="2025-04-16T10:42:00Z"/>
          <w:szCs w:val="20"/>
        </w:rPr>
      </w:pPr>
      <w:del w:id="6165" w:author="AbbVie19" w:date="2025-04-16T10:42:00Z">
        <w:r>
          <w:delText xml:space="preserve">In Study nr-axSpA I, </w:delText>
        </w:r>
        <w:r w:rsidRPr="00BC0E7E">
          <w:rPr>
            <w:szCs w:val="20"/>
          </w:rPr>
          <w:delText xml:space="preserve">Humira 40 mg every other week was assessed in 185 patients in </w:delText>
        </w:r>
        <w:r>
          <w:rPr>
            <w:szCs w:val="20"/>
          </w:rPr>
          <w:delText>a</w:delText>
        </w:r>
        <w:r w:rsidR="00FE3BC7">
          <w:rPr>
            <w:szCs w:val="20"/>
          </w:rPr>
          <w:delText xml:space="preserve"> </w:delText>
        </w:r>
        <w:r w:rsidRPr="00BC0E7E">
          <w:rPr>
            <w:szCs w:val="20"/>
          </w:rPr>
          <w:delText xml:space="preserve">randomised, 12 week double - blind, placebo - controlled study in patients with active </w:delText>
        </w:r>
        <w:r>
          <w:rPr>
            <w:szCs w:val="20"/>
          </w:rPr>
          <w:delText>nr-axSpA</w:delText>
        </w:r>
        <w:r w:rsidRPr="00BC0E7E">
          <w:rPr>
            <w:szCs w:val="20"/>
          </w:rPr>
          <w:delText xml:space="preserve"> (mean baseline score of disease activity [Bath Ankylosing Spondylitis Disease Activity Index (BASDAI)] was 6.4 for patients treated with Humira and 6.5 for those on placebo) who have had an inadequate response to or intolerance to </w:delText>
        </w:r>
        <w:r w:rsidRPr="00BC0E7E">
          <w:rPr>
            <w:rFonts w:ascii="Symbol" w:eastAsia="Symbol" w:hAnsi="Symbol" w:cs="Symbol"/>
            <w:szCs w:val="22"/>
          </w:rPr>
          <w:sym w:font="Symbol" w:char="F0B3"/>
        </w:r>
        <w:r w:rsidRPr="00BC0E7E">
          <w:rPr>
            <w:szCs w:val="20"/>
          </w:rPr>
          <w:delText xml:space="preserve"> 1 NSAIDs, or a contraindication for NSAIDs.</w:delText>
        </w:r>
      </w:del>
    </w:p>
    <w:p w14:paraId="46064105" w14:textId="77777777" w:rsidR="00BC0E7E" w:rsidRPr="00BC0E7E" w:rsidRDefault="00BC0E7E" w:rsidP="00762FA7">
      <w:pPr>
        <w:rPr>
          <w:del w:id="6166" w:author="AbbVie19" w:date="2025-04-16T10:42:00Z"/>
          <w:szCs w:val="20"/>
        </w:rPr>
      </w:pPr>
    </w:p>
    <w:p w14:paraId="78F946C3" w14:textId="77777777" w:rsidR="00BC0E7E" w:rsidRPr="00BC0E7E" w:rsidRDefault="00944B8F" w:rsidP="00762FA7">
      <w:pPr>
        <w:rPr>
          <w:del w:id="6167" w:author="AbbVie19" w:date="2025-04-16T10:42:00Z"/>
          <w:szCs w:val="20"/>
        </w:rPr>
      </w:pPr>
      <w:del w:id="6168" w:author="AbbVie19" w:date="2025-04-16T10:42:00Z">
        <w:r>
          <w:rPr>
            <w:szCs w:val="20"/>
          </w:rPr>
          <w:delText xml:space="preserve">Thirty-three (18%) </w:delText>
        </w:r>
        <w:r w:rsidRPr="00BC0E7E">
          <w:rPr>
            <w:szCs w:val="20"/>
          </w:rPr>
          <w:delText xml:space="preserve">patients were treated concomitantly with disease modifying anti-rheumatic drugs, and 146 (79%) patients with NSAIDs at baseline. The double-blind period was followed by an open-label period during which patients receive Humira 40 mg every other week subcutaneously for up to an </w:delText>
        </w:r>
        <w:r w:rsidRPr="00BC0E7E">
          <w:rPr>
            <w:szCs w:val="20"/>
          </w:rPr>
          <w:lastRenderedPageBreak/>
          <w:delText xml:space="preserve">additional 144 weeks. Week 12 results showed statistically significant improvement of the signs and symptoms of active </w:delText>
        </w:r>
        <w:r w:rsidR="00740A74">
          <w:rPr>
            <w:szCs w:val="20"/>
          </w:rPr>
          <w:delText>nr-axSpA</w:delText>
        </w:r>
        <w:r w:rsidR="00740A74" w:rsidRPr="00740A74">
          <w:rPr>
            <w:szCs w:val="20"/>
          </w:rPr>
          <w:delText xml:space="preserve"> </w:delText>
        </w:r>
        <w:r w:rsidRPr="00BC0E7E">
          <w:rPr>
            <w:szCs w:val="20"/>
          </w:rPr>
          <w:delText xml:space="preserve">in patients treated with Humira compared to placebo (Table </w:delText>
        </w:r>
        <w:r w:rsidR="006668FE">
          <w:rPr>
            <w:szCs w:val="20"/>
          </w:rPr>
          <w:delText>1</w:delText>
        </w:r>
        <w:r w:rsidR="005F03EC">
          <w:rPr>
            <w:szCs w:val="20"/>
          </w:rPr>
          <w:delText>3</w:delText>
        </w:r>
        <w:r w:rsidRPr="00BC0E7E">
          <w:rPr>
            <w:szCs w:val="20"/>
          </w:rPr>
          <w:delText>).</w:delText>
        </w:r>
      </w:del>
    </w:p>
    <w:p w14:paraId="0E1CA0E7" w14:textId="77777777" w:rsidR="00BC0E7E" w:rsidRPr="00BC0E7E" w:rsidRDefault="00BC0E7E" w:rsidP="00762FA7">
      <w:pPr>
        <w:rPr>
          <w:del w:id="6169" w:author="AbbVie19" w:date="2025-04-16T10:42:00Z"/>
          <w:szCs w:val="20"/>
        </w:rPr>
      </w:pPr>
    </w:p>
    <w:p w14:paraId="7B556D58" w14:textId="77777777" w:rsidR="00BC0E7E" w:rsidRPr="003F7AAE" w:rsidRDefault="00944B8F" w:rsidP="00762FA7">
      <w:pPr>
        <w:keepNext/>
        <w:jc w:val="center"/>
        <w:rPr>
          <w:del w:id="6170" w:author="AbbVie19" w:date="2025-04-16T10:42:00Z"/>
          <w:szCs w:val="20"/>
        </w:rPr>
      </w:pPr>
      <w:del w:id="6171" w:author="AbbVie19" w:date="2025-04-16T10:42:00Z">
        <w:r w:rsidRPr="00BC0E7E">
          <w:rPr>
            <w:b/>
            <w:szCs w:val="20"/>
          </w:rPr>
          <w:delText xml:space="preserve">Table </w:delText>
        </w:r>
        <w:r w:rsidR="006668FE">
          <w:rPr>
            <w:b/>
            <w:szCs w:val="20"/>
          </w:rPr>
          <w:delText>1</w:delText>
        </w:r>
        <w:r w:rsidR="005F03EC">
          <w:rPr>
            <w:b/>
            <w:szCs w:val="20"/>
          </w:rPr>
          <w:delText>3</w:delText>
        </w:r>
      </w:del>
    </w:p>
    <w:p w14:paraId="1750C85A" w14:textId="77777777" w:rsidR="00BC0E7E" w:rsidRPr="003F7AAE" w:rsidRDefault="00944B8F" w:rsidP="00762FA7">
      <w:pPr>
        <w:keepNext/>
        <w:jc w:val="center"/>
        <w:rPr>
          <w:del w:id="6172" w:author="AbbVie19" w:date="2025-04-16T10:42:00Z"/>
          <w:szCs w:val="20"/>
        </w:rPr>
      </w:pPr>
      <w:del w:id="6173" w:author="AbbVie19" w:date="2025-04-16T10:42:00Z">
        <w:r w:rsidRPr="00BC0E7E">
          <w:rPr>
            <w:b/>
            <w:szCs w:val="20"/>
          </w:rPr>
          <w:delText xml:space="preserve">Efficacy Response in Placebo-Controlled </w:delText>
        </w:r>
        <w:r w:rsidRPr="00D70418">
          <w:rPr>
            <w:b/>
            <w:szCs w:val="20"/>
          </w:rPr>
          <w:delText>Study</w:delText>
        </w:r>
        <w:r w:rsidR="00C205EF" w:rsidRPr="00D70418">
          <w:rPr>
            <w:b/>
            <w:szCs w:val="20"/>
          </w:rPr>
          <w:delText xml:space="preserve"> </w:delText>
        </w:r>
        <w:r w:rsidR="00740A74" w:rsidRPr="00D70418">
          <w:rPr>
            <w:b/>
            <w:szCs w:val="20"/>
          </w:rPr>
          <w:delText>nr-</w:delText>
        </w:r>
        <w:r w:rsidR="00740A74">
          <w:rPr>
            <w:b/>
            <w:szCs w:val="20"/>
          </w:rPr>
          <w:delText>axSpA I</w:delText>
        </w:r>
      </w:del>
    </w:p>
    <w:p w14:paraId="1122D015" w14:textId="77777777" w:rsidR="00BC0E7E" w:rsidRPr="003F7AAE" w:rsidRDefault="00BC0E7E" w:rsidP="00762FA7">
      <w:pPr>
        <w:keepNext/>
        <w:rPr>
          <w:del w:id="6174" w:author="AbbVie19" w:date="2025-04-16T10:42:00Z"/>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2"/>
        <w:gridCol w:w="1752"/>
        <w:gridCol w:w="1984"/>
      </w:tblGrid>
      <w:tr w:rsidR="00C6578C" w14:paraId="008560B1" w14:textId="77777777" w:rsidTr="00171601">
        <w:trPr>
          <w:jc w:val="center"/>
          <w:del w:id="6175" w:author="AbbVie19" w:date="2025-04-16T10:42:00Z"/>
        </w:trPr>
        <w:tc>
          <w:tcPr>
            <w:tcW w:w="0" w:type="auto"/>
          </w:tcPr>
          <w:p w14:paraId="7F956F9F" w14:textId="77777777" w:rsidR="00BC0E7E" w:rsidRPr="00BC0E7E" w:rsidRDefault="00944B8F" w:rsidP="00762FA7">
            <w:pPr>
              <w:keepNext/>
              <w:rPr>
                <w:del w:id="6176" w:author="AbbVie19" w:date="2025-04-16T10:42:00Z"/>
                <w:b/>
                <w:bCs/>
              </w:rPr>
            </w:pPr>
            <w:del w:id="6177" w:author="AbbVie19" w:date="2025-04-16T10:42:00Z">
              <w:r w:rsidRPr="00BC0E7E">
                <w:rPr>
                  <w:b/>
                  <w:bCs/>
                </w:rPr>
                <w:delText>Double-Blind</w:delText>
              </w:r>
            </w:del>
          </w:p>
          <w:p w14:paraId="22E8173B" w14:textId="77777777" w:rsidR="00BC0E7E" w:rsidRPr="00BC0E7E" w:rsidRDefault="00944B8F" w:rsidP="00762FA7">
            <w:pPr>
              <w:keepNext/>
              <w:rPr>
                <w:del w:id="6178" w:author="AbbVie19" w:date="2025-04-16T10:42:00Z"/>
                <w:b/>
                <w:bCs/>
              </w:rPr>
            </w:pPr>
            <w:del w:id="6179" w:author="AbbVie19" w:date="2025-04-16T10:42:00Z">
              <w:r w:rsidRPr="00BC0E7E">
                <w:rPr>
                  <w:b/>
                  <w:bCs/>
                </w:rPr>
                <w:delText>Response at Week</w:delText>
              </w:r>
              <w:r w:rsidRPr="00BC0E7E">
                <w:delText> </w:delText>
              </w:r>
              <w:r w:rsidRPr="00BC0E7E">
                <w:rPr>
                  <w:b/>
                  <w:bCs/>
                </w:rPr>
                <w:delText>12</w:delText>
              </w:r>
            </w:del>
          </w:p>
        </w:tc>
        <w:tc>
          <w:tcPr>
            <w:tcW w:w="0" w:type="auto"/>
          </w:tcPr>
          <w:p w14:paraId="3CCFFEA3" w14:textId="77777777" w:rsidR="00BC0E7E" w:rsidRPr="00762FA7" w:rsidRDefault="00944B8F" w:rsidP="00762FA7">
            <w:pPr>
              <w:keepNext/>
              <w:jc w:val="center"/>
              <w:rPr>
                <w:del w:id="6180" w:author="AbbVie19" w:date="2025-04-16T10:42:00Z"/>
                <w:b/>
                <w:bCs/>
                <w:sz w:val="20"/>
                <w:szCs w:val="20"/>
                <w:lang w:val="fr-FR"/>
              </w:rPr>
            </w:pPr>
            <w:del w:id="6181" w:author="AbbVie19" w:date="2025-04-16T10:42:00Z">
              <w:r w:rsidRPr="00762FA7">
                <w:rPr>
                  <w:b/>
                  <w:bCs/>
                  <w:sz w:val="20"/>
                  <w:szCs w:val="20"/>
                  <w:lang w:val="fr-FR"/>
                </w:rPr>
                <w:delText>Placebo</w:delText>
              </w:r>
            </w:del>
          </w:p>
          <w:p w14:paraId="126882A4" w14:textId="77777777" w:rsidR="00BC0E7E" w:rsidRPr="00762FA7" w:rsidRDefault="00944B8F" w:rsidP="00762FA7">
            <w:pPr>
              <w:keepNext/>
              <w:jc w:val="center"/>
              <w:rPr>
                <w:del w:id="6182" w:author="AbbVie19" w:date="2025-04-16T10:42:00Z"/>
                <w:b/>
                <w:bCs/>
                <w:sz w:val="20"/>
                <w:szCs w:val="20"/>
                <w:lang w:val="fr-FR"/>
              </w:rPr>
            </w:pPr>
            <w:del w:id="6183" w:author="AbbVie19" w:date="2025-04-16T10:42:00Z">
              <w:r w:rsidRPr="00762FA7">
                <w:rPr>
                  <w:b/>
                  <w:bCs/>
                  <w:sz w:val="20"/>
                  <w:szCs w:val="20"/>
                  <w:lang w:val="fr-FR"/>
                </w:rPr>
                <w:delText>N=94</w:delText>
              </w:r>
            </w:del>
          </w:p>
        </w:tc>
        <w:tc>
          <w:tcPr>
            <w:tcW w:w="0" w:type="auto"/>
          </w:tcPr>
          <w:p w14:paraId="4E6895BC" w14:textId="77777777" w:rsidR="00BC0E7E" w:rsidRPr="00762FA7" w:rsidRDefault="00944B8F" w:rsidP="00762FA7">
            <w:pPr>
              <w:keepNext/>
              <w:jc w:val="center"/>
              <w:rPr>
                <w:del w:id="6184" w:author="AbbVie19" w:date="2025-04-16T10:42:00Z"/>
                <w:b/>
                <w:bCs/>
                <w:sz w:val="20"/>
                <w:szCs w:val="20"/>
                <w:lang w:val="fr-FR"/>
              </w:rPr>
            </w:pPr>
            <w:del w:id="6185" w:author="AbbVie19" w:date="2025-04-16T10:42:00Z">
              <w:r w:rsidRPr="00762FA7">
                <w:rPr>
                  <w:b/>
                  <w:bCs/>
                  <w:sz w:val="20"/>
                  <w:szCs w:val="20"/>
                  <w:lang w:val="fr-FR"/>
                </w:rPr>
                <w:delText>Humira</w:delText>
              </w:r>
            </w:del>
          </w:p>
          <w:p w14:paraId="1D452411" w14:textId="77777777" w:rsidR="00BC0E7E" w:rsidRPr="00762FA7" w:rsidRDefault="00944B8F" w:rsidP="00762FA7">
            <w:pPr>
              <w:keepNext/>
              <w:jc w:val="center"/>
              <w:rPr>
                <w:del w:id="6186" w:author="AbbVie19" w:date="2025-04-16T10:42:00Z"/>
                <w:b/>
                <w:bCs/>
                <w:sz w:val="20"/>
                <w:szCs w:val="20"/>
                <w:lang w:val="fr-FR"/>
              </w:rPr>
            </w:pPr>
            <w:del w:id="6187" w:author="AbbVie19" w:date="2025-04-16T10:42:00Z">
              <w:r w:rsidRPr="00BC0E7E">
                <w:rPr>
                  <w:b/>
                  <w:bCs/>
                  <w:sz w:val="20"/>
                  <w:szCs w:val="20"/>
                </w:rPr>
                <w:delText>N=91</w:delText>
              </w:r>
            </w:del>
          </w:p>
        </w:tc>
      </w:tr>
      <w:tr w:rsidR="00C6578C" w14:paraId="2541695B" w14:textId="77777777" w:rsidTr="00171601">
        <w:trPr>
          <w:jc w:val="center"/>
          <w:del w:id="6188" w:author="AbbVie19" w:date="2025-04-16T10:42:00Z"/>
        </w:trPr>
        <w:tc>
          <w:tcPr>
            <w:tcW w:w="0" w:type="auto"/>
          </w:tcPr>
          <w:p w14:paraId="17DB28D7" w14:textId="77777777" w:rsidR="00BC0E7E" w:rsidRPr="00BC0E7E" w:rsidRDefault="00944B8F" w:rsidP="00762FA7">
            <w:pPr>
              <w:keepNext/>
              <w:rPr>
                <w:del w:id="6189" w:author="AbbVie19" w:date="2025-04-16T10:42:00Z"/>
              </w:rPr>
            </w:pPr>
            <w:del w:id="6190" w:author="AbbVie19" w:date="2025-04-16T10:42:00Z">
              <w:r w:rsidRPr="00BC0E7E">
                <w:delText>ASAS</w:delText>
              </w:r>
              <w:r w:rsidRPr="00BC0E7E">
                <w:rPr>
                  <w:vertAlign w:val="superscript"/>
                </w:rPr>
                <w:delText>a</w:delText>
              </w:r>
              <w:r w:rsidRPr="00BC0E7E">
                <w:delText xml:space="preserve"> 40</w:delText>
              </w:r>
            </w:del>
          </w:p>
        </w:tc>
        <w:tc>
          <w:tcPr>
            <w:tcW w:w="0" w:type="auto"/>
          </w:tcPr>
          <w:p w14:paraId="4DBA7EF9" w14:textId="77777777" w:rsidR="00BC0E7E" w:rsidRPr="00BC0E7E" w:rsidRDefault="00944B8F" w:rsidP="00762FA7">
            <w:pPr>
              <w:keepNext/>
              <w:jc w:val="center"/>
              <w:rPr>
                <w:del w:id="6191" w:author="AbbVie19" w:date="2025-04-16T10:42:00Z"/>
              </w:rPr>
            </w:pPr>
            <w:del w:id="6192" w:author="AbbVie19" w:date="2025-04-16T10:42:00Z">
              <w:r w:rsidRPr="00BC0E7E">
                <w:delText>15%</w:delText>
              </w:r>
            </w:del>
          </w:p>
        </w:tc>
        <w:tc>
          <w:tcPr>
            <w:tcW w:w="0" w:type="auto"/>
          </w:tcPr>
          <w:p w14:paraId="06A5E4A6" w14:textId="77777777" w:rsidR="00BC0E7E" w:rsidRPr="00BC0E7E" w:rsidRDefault="00944B8F" w:rsidP="00762FA7">
            <w:pPr>
              <w:keepNext/>
              <w:jc w:val="center"/>
              <w:rPr>
                <w:del w:id="6193" w:author="AbbVie19" w:date="2025-04-16T10:42:00Z"/>
              </w:rPr>
            </w:pPr>
            <w:del w:id="6194" w:author="AbbVie19" w:date="2025-04-16T10:42:00Z">
              <w:r w:rsidRPr="00BC0E7E">
                <w:delText>36%***</w:delText>
              </w:r>
            </w:del>
          </w:p>
        </w:tc>
      </w:tr>
      <w:tr w:rsidR="00C6578C" w14:paraId="03AD2BBB" w14:textId="77777777" w:rsidTr="00171601">
        <w:trPr>
          <w:jc w:val="center"/>
          <w:del w:id="6195" w:author="AbbVie19" w:date="2025-04-16T10:42:00Z"/>
        </w:trPr>
        <w:tc>
          <w:tcPr>
            <w:tcW w:w="0" w:type="auto"/>
          </w:tcPr>
          <w:p w14:paraId="5973929C" w14:textId="77777777" w:rsidR="00BC0E7E" w:rsidRPr="00BC0E7E" w:rsidRDefault="00944B8F" w:rsidP="00762FA7">
            <w:pPr>
              <w:keepNext/>
              <w:rPr>
                <w:del w:id="6196" w:author="AbbVie19" w:date="2025-04-16T10:42:00Z"/>
              </w:rPr>
            </w:pPr>
            <w:del w:id="6197" w:author="AbbVie19" w:date="2025-04-16T10:42:00Z">
              <w:r w:rsidRPr="00BC0E7E">
                <w:delText>ASAS 20</w:delText>
              </w:r>
            </w:del>
          </w:p>
        </w:tc>
        <w:tc>
          <w:tcPr>
            <w:tcW w:w="0" w:type="auto"/>
          </w:tcPr>
          <w:p w14:paraId="41CC609C" w14:textId="77777777" w:rsidR="00BC0E7E" w:rsidRPr="00BC0E7E" w:rsidRDefault="00944B8F" w:rsidP="00762FA7">
            <w:pPr>
              <w:keepNext/>
              <w:jc w:val="center"/>
              <w:rPr>
                <w:del w:id="6198" w:author="AbbVie19" w:date="2025-04-16T10:42:00Z"/>
              </w:rPr>
            </w:pPr>
            <w:del w:id="6199" w:author="AbbVie19" w:date="2025-04-16T10:42:00Z">
              <w:r w:rsidRPr="00BC0E7E">
                <w:delText>31%</w:delText>
              </w:r>
            </w:del>
          </w:p>
        </w:tc>
        <w:tc>
          <w:tcPr>
            <w:tcW w:w="0" w:type="auto"/>
          </w:tcPr>
          <w:p w14:paraId="58A316C3" w14:textId="77777777" w:rsidR="00BC0E7E" w:rsidRPr="00BC0E7E" w:rsidRDefault="00944B8F" w:rsidP="00762FA7">
            <w:pPr>
              <w:keepNext/>
              <w:jc w:val="center"/>
              <w:rPr>
                <w:del w:id="6200" w:author="AbbVie19" w:date="2025-04-16T10:42:00Z"/>
              </w:rPr>
            </w:pPr>
            <w:del w:id="6201" w:author="AbbVie19" w:date="2025-04-16T10:42:00Z">
              <w:r w:rsidRPr="00BC0E7E">
                <w:delText>52%**</w:delText>
              </w:r>
            </w:del>
          </w:p>
        </w:tc>
      </w:tr>
      <w:tr w:rsidR="00C6578C" w14:paraId="57E4A2F5" w14:textId="77777777" w:rsidTr="00171601">
        <w:trPr>
          <w:jc w:val="center"/>
          <w:del w:id="6202" w:author="AbbVie19" w:date="2025-04-16T10:42:00Z"/>
        </w:trPr>
        <w:tc>
          <w:tcPr>
            <w:tcW w:w="0" w:type="auto"/>
          </w:tcPr>
          <w:p w14:paraId="25736633" w14:textId="77777777" w:rsidR="00BC0E7E" w:rsidRPr="00BC0E7E" w:rsidRDefault="00944B8F" w:rsidP="00762FA7">
            <w:pPr>
              <w:keepNext/>
              <w:rPr>
                <w:del w:id="6203" w:author="AbbVie19" w:date="2025-04-16T10:42:00Z"/>
              </w:rPr>
            </w:pPr>
            <w:del w:id="6204" w:author="AbbVie19" w:date="2025-04-16T10:42:00Z">
              <w:r w:rsidRPr="00BC0E7E">
                <w:delText>ASAS 5/6</w:delText>
              </w:r>
            </w:del>
          </w:p>
        </w:tc>
        <w:tc>
          <w:tcPr>
            <w:tcW w:w="0" w:type="auto"/>
          </w:tcPr>
          <w:p w14:paraId="57246E05" w14:textId="77777777" w:rsidR="00BC0E7E" w:rsidRPr="00BC0E7E" w:rsidRDefault="00944B8F" w:rsidP="00762FA7">
            <w:pPr>
              <w:keepNext/>
              <w:jc w:val="center"/>
              <w:rPr>
                <w:del w:id="6205" w:author="AbbVie19" w:date="2025-04-16T10:42:00Z"/>
              </w:rPr>
            </w:pPr>
            <w:del w:id="6206" w:author="AbbVie19" w:date="2025-04-16T10:42:00Z">
              <w:r w:rsidRPr="00BC0E7E">
                <w:delText>6%</w:delText>
              </w:r>
            </w:del>
          </w:p>
        </w:tc>
        <w:tc>
          <w:tcPr>
            <w:tcW w:w="0" w:type="auto"/>
          </w:tcPr>
          <w:p w14:paraId="2B9D9833" w14:textId="77777777" w:rsidR="00BC0E7E" w:rsidRPr="00BC0E7E" w:rsidRDefault="00944B8F" w:rsidP="00762FA7">
            <w:pPr>
              <w:keepNext/>
              <w:jc w:val="center"/>
              <w:rPr>
                <w:del w:id="6207" w:author="AbbVie19" w:date="2025-04-16T10:42:00Z"/>
              </w:rPr>
            </w:pPr>
            <w:del w:id="6208" w:author="AbbVie19" w:date="2025-04-16T10:42:00Z">
              <w:r w:rsidRPr="00BC0E7E">
                <w:delText>31%***</w:delText>
              </w:r>
            </w:del>
          </w:p>
        </w:tc>
      </w:tr>
      <w:tr w:rsidR="00C6578C" w14:paraId="7D78DE9C" w14:textId="77777777" w:rsidTr="00171601">
        <w:trPr>
          <w:jc w:val="center"/>
          <w:del w:id="6209" w:author="AbbVie19" w:date="2025-04-16T10:42:00Z"/>
        </w:trPr>
        <w:tc>
          <w:tcPr>
            <w:tcW w:w="0" w:type="auto"/>
          </w:tcPr>
          <w:p w14:paraId="794C8750" w14:textId="77777777" w:rsidR="00BC0E7E" w:rsidRPr="00BC0E7E" w:rsidRDefault="00944B8F" w:rsidP="00762FA7">
            <w:pPr>
              <w:keepNext/>
              <w:rPr>
                <w:del w:id="6210" w:author="AbbVie19" w:date="2025-04-16T10:42:00Z"/>
              </w:rPr>
            </w:pPr>
            <w:del w:id="6211" w:author="AbbVie19" w:date="2025-04-16T10:42:00Z">
              <w:r w:rsidRPr="00BC0E7E">
                <w:delText>ASAS Partial Remission</w:delText>
              </w:r>
            </w:del>
          </w:p>
        </w:tc>
        <w:tc>
          <w:tcPr>
            <w:tcW w:w="0" w:type="auto"/>
          </w:tcPr>
          <w:p w14:paraId="07F00100" w14:textId="77777777" w:rsidR="00BC0E7E" w:rsidRPr="00BC0E7E" w:rsidRDefault="00944B8F" w:rsidP="00762FA7">
            <w:pPr>
              <w:keepNext/>
              <w:jc w:val="center"/>
              <w:rPr>
                <w:del w:id="6212" w:author="AbbVie19" w:date="2025-04-16T10:42:00Z"/>
              </w:rPr>
            </w:pPr>
            <w:del w:id="6213" w:author="AbbVie19" w:date="2025-04-16T10:42:00Z">
              <w:r w:rsidRPr="00BC0E7E">
                <w:delText>5%</w:delText>
              </w:r>
            </w:del>
          </w:p>
        </w:tc>
        <w:tc>
          <w:tcPr>
            <w:tcW w:w="0" w:type="auto"/>
          </w:tcPr>
          <w:p w14:paraId="1D631712" w14:textId="77777777" w:rsidR="00BC0E7E" w:rsidRPr="00BC0E7E" w:rsidRDefault="00944B8F" w:rsidP="00762FA7">
            <w:pPr>
              <w:keepNext/>
              <w:jc w:val="center"/>
              <w:rPr>
                <w:del w:id="6214" w:author="AbbVie19" w:date="2025-04-16T10:42:00Z"/>
              </w:rPr>
            </w:pPr>
            <w:del w:id="6215" w:author="AbbVie19" w:date="2025-04-16T10:42:00Z">
              <w:r w:rsidRPr="00BC0E7E">
                <w:delText xml:space="preserve">  16%*</w:delText>
              </w:r>
            </w:del>
          </w:p>
        </w:tc>
      </w:tr>
      <w:tr w:rsidR="00C6578C" w14:paraId="5085379B" w14:textId="77777777" w:rsidTr="00171601">
        <w:trPr>
          <w:jc w:val="center"/>
          <w:del w:id="6216" w:author="AbbVie19" w:date="2025-04-16T10:42:00Z"/>
        </w:trPr>
        <w:tc>
          <w:tcPr>
            <w:tcW w:w="0" w:type="auto"/>
          </w:tcPr>
          <w:p w14:paraId="2100F50B" w14:textId="77777777" w:rsidR="00BC0E7E" w:rsidRPr="00BC0E7E" w:rsidRDefault="00944B8F" w:rsidP="00762FA7">
            <w:pPr>
              <w:keepNext/>
              <w:rPr>
                <w:del w:id="6217" w:author="AbbVie19" w:date="2025-04-16T10:42:00Z"/>
              </w:rPr>
            </w:pPr>
            <w:del w:id="6218" w:author="AbbVie19" w:date="2025-04-16T10:42:00Z">
              <w:r w:rsidRPr="00BC0E7E">
                <w:delText>BASDAI</w:delText>
              </w:r>
              <w:r w:rsidRPr="00BC0E7E">
                <w:rPr>
                  <w:vertAlign w:val="superscript"/>
                </w:rPr>
                <w:delText>b</w:delText>
              </w:r>
              <w:r w:rsidRPr="00BC0E7E">
                <w:delText xml:space="preserve"> 50</w:delText>
              </w:r>
            </w:del>
          </w:p>
        </w:tc>
        <w:tc>
          <w:tcPr>
            <w:tcW w:w="0" w:type="auto"/>
          </w:tcPr>
          <w:p w14:paraId="3CC56FE7" w14:textId="77777777" w:rsidR="00BC0E7E" w:rsidRPr="00BC0E7E" w:rsidRDefault="00944B8F" w:rsidP="00762FA7">
            <w:pPr>
              <w:keepNext/>
              <w:jc w:val="center"/>
              <w:rPr>
                <w:del w:id="6219" w:author="AbbVie19" w:date="2025-04-16T10:42:00Z"/>
              </w:rPr>
            </w:pPr>
            <w:del w:id="6220" w:author="AbbVie19" w:date="2025-04-16T10:42:00Z">
              <w:r w:rsidRPr="00BC0E7E">
                <w:delText>15%</w:delText>
              </w:r>
            </w:del>
          </w:p>
        </w:tc>
        <w:tc>
          <w:tcPr>
            <w:tcW w:w="0" w:type="auto"/>
          </w:tcPr>
          <w:p w14:paraId="7D62C0A3" w14:textId="77777777" w:rsidR="00BC0E7E" w:rsidRPr="00BC0E7E" w:rsidRDefault="00944B8F" w:rsidP="00762FA7">
            <w:pPr>
              <w:keepNext/>
              <w:jc w:val="center"/>
              <w:rPr>
                <w:del w:id="6221" w:author="AbbVie19" w:date="2025-04-16T10:42:00Z"/>
              </w:rPr>
            </w:pPr>
            <w:del w:id="6222" w:author="AbbVie19" w:date="2025-04-16T10:42:00Z">
              <w:r w:rsidRPr="00BC0E7E">
                <w:delText xml:space="preserve">   35%**</w:delText>
              </w:r>
            </w:del>
          </w:p>
        </w:tc>
      </w:tr>
      <w:tr w:rsidR="00C6578C" w14:paraId="65F32A83" w14:textId="77777777" w:rsidTr="00171601">
        <w:trPr>
          <w:jc w:val="center"/>
          <w:del w:id="6223" w:author="AbbVie19" w:date="2025-04-16T10:42:00Z"/>
        </w:trPr>
        <w:tc>
          <w:tcPr>
            <w:tcW w:w="0" w:type="auto"/>
          </w:tcPr>
          <w:p w14:paraId="21B32208" w14:textId="77777777" w:rsidR="00BC0E7E" w:rsidRPr="00BC0E7E" w:rsidRDefault="00944B8F" w:rsidP="00762FA7">
            <w:pPr>
              <w:keepNext/>
              <w:rPr>
                <w:del w:id="6224" w:author="AbbVie19" w:date="2025-04-16T10:42:00Z"/>
                <w:vertAlign w:val="superscript"/>
              </w:rPr>
            </w:pPr>
            <w:del w:id="6225" w:author="AbbVie19" w:date="2025-04-16T10:42:00Z">
              <w:r w:rsidRPr="00BC0E7E">
                <w:delText>ASDAS</w:delText>
              </w:r>
              <w:r w:rsidRPr="00BC0E7E">
                <w:rPr>
                  <w:vertAlign w:val="superscript"/>
                </w:rPr>
                <w:delText>c,d,e</w:delText>
              </w:r>
            </w:del>
          </w:p>
        </w:tc>
        <w:tc>
          <w:tcPr>
            <w:tcW w:w="0" w:type="auto"/>
          </w:tcPr>
          <w:p w14:paraId="702D55E2" w14:textId="77777777" w:rsidR="00BC0E7E" w:rsidRPr="00BC0E7E" w:rsidRDefault="00944B8F" w:rsidP="00762FA7">
            <w:pPr>
              <w:keepNext/>
              <w:jc w:val="center"/>
              <w:rPr>
                <w:del w:id="6226" w:author="AbbVie19" w:date="2025-04-16T10:42:00Z"/>
              </w:rPr>
            </w:pPr>
            <w:del w:id="6227" w:author="AbbVie19" w:date="2025-04-16T10:42:00Z">
              <w:r w:rsidRPr="00BC0E7E">
                <w:delText>-0.3</w:delText>
              </w:r>
            </w:del>
          </w:p>
        </w:tc>
        <w:tc>
          <w:tcPr>
            <w:tcW w:w="0" w:type="auto"/>
          </w:tcPr>
          <w:p w14:paraId="1644BC29" w14:textId="77777777" w:rsidR="00BC0E7E" w:rsidRPr="00BC0E7E" w:rsidRDefault="00944B8F" w:rsidP="00762FA7">
            <w:pPr>
              <w:keepNext/>
              <w:jc w:val="center"/>
              <w:rPr>
                <w:del w:id="6228" w:author="AbbVie19" w:date="2025-04-16T10:42:00Z"/>
              </w:rPr>
            </w:pPr>
            <w:del w:id="6229" w:author="AbbVie19" w:date="2025-04-16T10:42:00Z">
              <w:r w:rsidRPr="00BC0E7E">
                <w:delText>-1.0***</w:delText>
              </w:r>
            </w:del>
          </w:p>
        </w:tc>
      </w:tr>
      <w:tr w:rsidR="00C6578C" w14:paraId="725C3583" w14:textId="77777777" w:rsidTr="00171601">
        <w:trPr>
          <w:jc w:val="center"/>
          <w:del w:id="6230" w:author="AbbVie19" w:date="2025-04-16T10:42:00Z"/>
        </w:trPr>
        <w:tc>
          <w:tcPr>
            <w:tcW w:w="0" w:type="auto"/>
          </w:tcPr>
          <w:p w14:paraId="3CB2D794" w14:textId="77777777" w:rsidR="00BC0E7E" w:rsidRPr="00BC0E7E" w:rsidRDefault="00944B8F" w:rsidP="00762FA7">
            <w:pPr>
              <w:keepNext/>
              <w:rPr>
                <w:del w:id="6231" w:author="AbbVie19" w:date="2025-04-16T10:42:00Z"/>
              </w:rPr>
            </w:pPr>
            <w:del w:id="6232" w:author="AbbVie19" w:date="2025-04-16T10:42:00Z">
              <w:r w:rsidRPr="00BC0E7E">
                <w:delText>ASDAS Inactive Disease</w:delText>
              </w:r>
            </w:del>
          </w:p>
        </w:tc>
        <w:tc>
          <w:tcPr>
            <w:tcW w:w="0" w:type="auto"/>
          </w:tcPr>
          <w:p w14:paraId="34052980" w14:textId="77777777" w:rsidR="00BC0E7E" w:rsidRPr="00BC0E7E" w:rsidRDefault="00944B8F" w:rsidP="00762FA7">
            <w:pPr>
              <w:keepNext/>
              <w:jc w:val="center"/>
              <w:rPr>
                <w:del w:id="6233" w:author="AbbVie19" w:date="2025-04-16T10:42:00Z"/>
              </w:rPr>
            </w:pPr>
            <w:del w:id="6234" w:author="AbbVie19" w:date="2025-04-16T10:42:00Z">
              <w:r w:rsidRPr="00BC0E7E">
                <w:delText>4%</w:delText>
              </w:r>
            </w:del>
          </w:p>
        </w:tc>
        <w:tc>
          <w:tcPr>
            <w:tcW w:w="0" w:type="auto"/>
          </w:tcPr>
          <w:p w14:paraId="4515DA15" w14:textId="77777777" w:rsidR="00BC0E7E" w:rsidRPr="00BC0E7E" w:rsidRDefault="00944B8F" w:rsidP="00762FA7">
            <w:pPr>
              <w:keepNext/>
              <w:jc w:val="center"/>
              <w:rPr>
                <w:del w:id="6235" w:author="AbbVie19" w:date="2025-04-16T10:42:00Z"/>
              </w:rPr>
            </w:pPr>
            <w:del w:id="6236" w:author="AbbVie19" w:date="2025-04-16T10:42:00Z">
              <w:r w:rsidRPr="00BC0E7E">
                <w:delText>24%***</w:delText>
              </w:r>
            </w:del>
          </w:p>
        </w:tc>
      </w:tr>
      <w:tr w:rsidR="00C6578C" w14:paraId="266D6798" w14:textId="77777777" w:rsidTr="00171601">
        <w:trPr>
          <w:jc w:val="center"/>
          <w:del w:id="6237" w:author="AbbVie19" w:date="2025-04-16T10:42:00Z"/>
        </w:trPr>
        <w:tc>
          <w:tcPr>
            <w:tcW w:w="0" w:type="auto"/>
          </w:tcPr>
          <w:p w14:paraId="567DD348" w14:textId="77777777" w:rsidR="00BC0E7E" w:rsidRPr="00BC0E7E" w:rsidRDefault="00944B8F" w:rsidP="00762FA7">
            <w:pPr>
              <w:keepNext/>
              <w:rPr>
                <w:del w:id="6238" w:author="AbbVie19" w:date="2025-04-16T10:42:00Z"/>
                <w:vertAlign w:val="superscript"/>
              </w:rPr>
            </w:pPr>
            <w:del w:id="6239" w:author="AbbVie19" w:date="2025-04-16T10:42:00Z">
              <w:r w:rsidRPr="00BC0E7E">
                <w:delText>hs-CRP</w:delText>
              </w:r>
              <w:r w:rsidRPr="00BC0E7E">
                <w:rPr>
                  <w:vertAlign w:val="superscript"/>
                </w:rPr>
                <w:delText>d,f,g</w:delText>
              </w:r>
            </w:del>
          </w:p>
        </w:tc>
        <w:tc>
          <w:tcPr>
            <w:tcW w:w="0" w:type="auto"/>
          </w:tcPr>
          <w:p w14:paraId="341F5230" w14:textId="77777777" w:rsidR="00BC0E7E" w:rsidRPr="00BC0E7E" w:rsidRDefault="00944B8F" w:rsidP="00762FA7">
            <w:pPr>
              <w:keepNext/>
              <w:jc w:val="center"/>
              <w:rPr>
                <w:del w:id="6240" w:author="AbbVie19" w:date="2025-04-16T10:42:00Z"/>
              </w:rPr>
            </w:pPr>
            <w:del w:id="6241" w:author="AbbVie19" w:date="2025-04-16T10:42:00Z">
              <w:r w:rsidRPr="00BC0E7E">
                <w:delText>-0.3</w:delText>
              </w:r>
            </w:del>
          </w:p>
        </w:tc>
        <w:tc>
          <w:tcPr>
            <w:tcW w:w="0" w:type="auto"/>
          </w:tcPr>
          <w:p w14:paraId="30A0DDE5" w14:textId="77777777" w:rsidR="00BC0E7E" w:rsidRPr="00BC0E7E" w:rsidRDefault="00944B8F" w:rsidP="00762FA7">
            <w:pPr>
              <w:keepNext/>
              <w:jc w:val="center"/>
              <w:rPr>
                <w:del w:id="6242" w:author="AbbVie19" w:date="2025-04-16T10:42:00Z"/>
              </w:rPr>
            </w:pPr>
            <w:del w:id="6243" w:author="AbbVie19" w:date="2025-04-16T10:42:00Z">
              <w:r w:rsidRPr="00BC0E7E">
                <w:delText>-4.7***</w:delText>
              </w:r>
            </w:del>
          </w:p>
        </w:tc>
      </w:tr>
      <w:tr w:rsidR="00C6578C" w14:paraId="021399FB" w14:textId="77777777" w:rsidTr="00171601">
        <w:trPr>
          <w:jc w:val="center"/>
          <w:del w:id="6244" w:author="AbbVie19" w:date="2025-04-16T10:42:00Z"/>
        </w:trPr>
        <w:tc>
          <w:tcPr>
            <w:tcW w:w="0" w:type="auto"/>
          </w:tcPr>
          <w:p w14:paraId="4E2BFE0C" w14:textId="77777777" w:rsidR="00BC0E7E" w:rsidRPr="00BC0E7E" w:rsidRDefault="00944B8F" w:rsidP="00762FA7">
            <w:pPr>
              <w:keepNext/>
              <w:rPr>
                <w:del w:id="6245" w:author="AbbVie19" w:date="2025-04-16T10:42:00Z"/>
                <w:vertAlign w:val="superscript"/>
              </w:rPr>
            </w:pPr>
            <w:del w:id="6246" w:author="AbbVie19" w:date="2025-04-16T10:42:00Z">
              <w:r w:rsidRPr="00BC0E7E">
                <w:delText>SPARCC</w:delText>
              </w:r>
              <w:r w:rsidRPr="00BC0E7E">
                <w:rPr>
                  <w:vertAlign w:val="superscript"/>
                </w:rPr>
                <w:delText>h</w:delText>
              </w:r>
              <w:r w:rsidRPr="00BC0E7E">
                <w:delText xml:space="preserve"> MRI Sacroiliac Joints</w:delText>
              </w:r>
              <w:r w:rsidRPr="00BC0E7E">
                <w:rPr>
                  <w:vertAlign w:val="superscript"/>
                </w:rPr>
                <w:delText>d,i</w:delText>
              </w:r>
            </w:del>
          </w:p>
        </w:tc>
        <w:tc>
          <w:tcPr>
            <w:tcW w:w="0" w:type="auto"/>
          </w:tcPr>
          <w:p w14:paraId="08BDE54F" w14:textId="77777777" w:rsidR="00BC0E7E" w:rsidRPr="00BC0E7E" w:rsidRDefault="00944B8F" w:rsidP="00762FA7">
            <w:pPr>
              <w:keepNext/>
              <w:jc w:val="center"/>
              <w:rPr>
                <w:del w:id="6247" w:author="AbbVie19" w:date="2025-04-16T10:42:00Z"/>
              </w:rPr>
            </w:pPr>
            <w:del w:id="6248" w:author="AbbVie19" w:date="2025-04-16T10:42:00Z">
              <w:r w:rsidRPr="00BC0E7E">
                <w:delText>-0.6</w:delText>
              </w:r>
            </w:del>
          </w:p>
        </w:tc>
        <w:tc>
          <w:tcPr>
            <w:tcW w:w="0" w:type="auto"/>
          </w:tcPr>
          <w:p w14:paraId="7812BE18" w14:textId="77777777" w:rsidR="00BC0E7E" w:rsidRPr="00BC0E7E" w:rsidRDefault="00944B8F" w:rsidP="00762FA7">
            <w:pPr>
              <w:keepNext/>
              <w:jc w:val="center"/>
              <w:rPr>
                <w:del w:id="6249" w:author="AbbVie19" w:date="2025-04-16T10:42:00Z"/>
              </w:rPr>
            </w:pPr>
            <w:del w:id="6250" w:author="AbbVie19" w:date="2025-04-16T10:42:00Z">
              <w:r w:rsidRPr="00BC0E7E">
                <w:delText>-3.2**</w:delText>
              </w:r>
            </w:del>
          </w:p>
        </w:tc>
      </w:tr>
      <w:tr w:rsidR="00C6578C" w14:paraId="7C114383" w14:textId="77777777" w:rsidTr="00171601">
        <w:trPr>
          <w:jc w:val="center"/>
          <w:del w:id="6251" w:author="AbbVie19" w:date="2025-04-16T10:42:00Z"/>
        </w:trPr>
        <w:tc>
          <w:tcPr>
            <w:tcW w:w="0" w:type="auto"/>
          </w:tcPr>
          <w:p w14:paraId="4506DE04" w14:textId="77777777" w:rsidR="00BC0E7E" w:rsidRPr="00BC0E7E" w:rsidRDefault="00944B8F" w:rsidP="00762FA7">
            <w:pPr>
              <w:keepNext/>
              <w:rPr>
                <w:del w:id="6252" w:author="AbbVie19" w:date="2025-04-16T10:42:00Z"/>
                <w:vertAlign w:val="superscript"/>
              </w:rPr>
            </w:pPr>
            <w:del w:id="6253" w:author="AbbVie19" w:date="2025-04-16T10:42:00Z">
              <w:r w:rsidRPr="00BC0E7E">
                <w:delText>SPARCC MRI Spine</w:delText>
              </w:r>
              <w:r w:rsidRPr="00BC0E7E">
                <w:rPr>
                  <w:vertAlign w:val="superscript"/>
                </w:rPr>
                <w:delText>d,j</w:delText>
              </w:r>
            </w:del>
          </w:p>
        </w:tc>
        <w:tc>
          <w:tcPr>
            <w:tcW w:w="0" w:type="auto"/>
          </w:tcPr>
          <w:p w14:paraId="33802343" w14:textId="77777777" w:rsidR="00BC0E7E" w:rsidRPr="00BC0E7E" w:rsidRDefault="00944B8F" w:rsidP="00762FA7">
            <w:pPr>
              <w:keepNext/>
              <w:jc w:val="center"/>
              <w:rPr>
                <w:del w:id="6254" w:author="AbbVie19" w:date="2025-04-16T10:42:00Z"/>
              </w:rPr>
            </w:pPr>
            <w:del w:id="6255" w:author="AbbVie19" w:date="2025-04-16T10:42:00Z">
              <w:r w:rsidRPr="00BC0E7E">
                <w:delText>-0.2</w:delText>
              </w:r>
            </w:del>
          </w:p>
        </w:tc>
        <w:tc>
          <w:tcPr>
            <w:tcW w:w="0" w:type="auto"/>
          </w:tcPr>
          <w:p w14:paraId="55D589B8" w14:textId="77777777" w:rsidR="00BC0E7E" w:rsidRPr="00BC0E7E" w:rsidRDefault="00944B8F" w:rsidP="00762FA7">
            <w:pPr>
              <w:keepNext/>
              <w:jc w:val="center"/>
              <w:rPr>
                <w:del w:id="6256" w:author="AbbVie19" w:date="2025-04-16T10:42:00Z"/>
              </w:rPr>
            </w:pPr>
            <w:del w:id="6257" w:author="AbbVie19" w:date="2025-04-16T10:42:00Z">
              <w:r w:rsidRPr="00BC0E7E">
                <w:delText>-1.8**</w:delText>
              </w:r>
            </w:del>
          </w:p>
        </w:tc>
      </w:tr>
      <w:tr w:rsidR="00C6578C" w14:paraId="19BB7594" w14:textId="77777777" w:rsidTr="00171601">
        <w:trPr>
          <w:jc w:val="center"/>
          <w:del w:id="6258" w:author="AbbVie19" w:date="2025-04-16T10:42:00Z"/>
        </w:trPr>
        <w:tc>
          <w:tcPr>
            <w:tcW w:w="0" w:type="auto"/>
            <w:gridSpan w:val="3"/>
            <w:tcBorders>
              <w:left w:val="nil"/>
              <w:bottom w:val="nil"/>
              <w:right w:val="nil"/>
            </w:tcBorders>
          </w:tcPr>
          <w:p w14:paraId="3D57F978" w14:textId="77777777" w:rsidR="00BC0E7E" w:rsidRPr="00BC0E7E" w:rsidRDefault="00944B8F" w:rsidP="00762FA7">
            <w:pPr>
              <w:keepNext/>
              <w:tabs>
                <w:tab w:val="clear" w:pos="562"/>
              </w:tabs>
              <w:suppressAutoHyphens w:val="0"/>
              <w:autoSpaceDE w:val="0"/>
              <w:autoSpaceDN w:val="0"/>
              <w:adjustRightInd w:val="0"/>
              <w:rPr>
                <w:del w:id="6259" w:author="AbbVie19" w:date="2025-04-16T10:42:00Z"/>
                <w:szCs w:val="20"/>
              </w:rPr>
            </w:pPr>
            <w:del w:id="6260" w:author="AbbVie19" w:date="2025-04-16T10:42:00Z">
              <w:r w:rsidRPr="00BC0E7E">
                <w:rPr>
                  <w:vertAlign w:val="superscript"/>
                </w:rPr>
                <w:delText>a</w:delText>
              </w:r>
              <w:r w:rsidRPr="00BC0E7E">
                <w:delText xml:space="preserve"> </w:delText>
              </w:r>
              <w:r w:rsidR="00FE3BC7">
                <w:rPr>
                  <w:szCs w:val="20"/>
                </w:rPr>
                <w:delText>Assessment of SpondyloArthritis i</w:delText>
              </w:r>
              <w:r w:rsidRPr="00BC0E7E">
                <w:rPr>
                  <w:szCs w:val="20"/>
                </w:rPr>
                <w:delText>nternational Society</w:delText>
              </w:r>
            </w:del>
          </w:p>
          <w:p w14:paraId="730A3440" w14:textId="77777777" w:rsidR="00BC0E7E" w:rsidRPr="00BC0E7E" w:rsidRDefault="00944B8F" w:rsidP="00762FA7">
            <w:pPr>
              <w:keepNext/>
              <w:ind w:left="20"/>
              <w:rPr>
                <w:del w:id="6261" w:author="AbbVie19" w:date="2025-04-16T10:42:00Z"/>
                <w:szCs w:val="20"/>
              </w:rPr>
            </w:pPr>
            <w:del w:id="6262" w:author="AbbVie19" w:date="2025-04-16T10:42:00Z">
              <w:r w:rsidRPr="00BC0E7E">
                <w:rPr>
                  <w:szCs w:val="20"/>
                  <w:vertAlign w:val="superscript"/>
                </w:rPr>
                <w:delText>b</w:delText>
              </w:r>
              <w:r w:rsidRPr="00BC0E7E">
                <w:rPr>
                  <w:szCs w:val="20"/>
                </w:rPr>
                <w:delText xml:space="preserve"> Bath Ankylosing Spondylitis Disease Activity Index</w:delText>
              </w:r>
            </w:del>
          </w:p>
          <w:p w14:paraId="69837C46" w14:textId="77777777" w:rsidR="00BC0E7E" w:rsidRPr="00BC0E7E" w:rsidRDefault="00944B8F" w:rsidP="00762FA7">
            <w:pPr>
              <w:ind w:left="20"/>
              <w:rPr>
                <w:del w:id="6263" w:author="AbbVie19" w:date="2025-04-16T10:42:00Z"/>
                <w:szCs w:val="22"/>
                <w:vertAlign w:val="superscript"/>
              </w:rPr>
            </w:pPr>
            <w:del w:id="6264" w:author="AbbVie19" w:date="2025-04-16T10:42:00Z">
              <w:r w:rsidRPr="00BC0E7E">
                <w:rPr>
                  <w:szCs w:val="22"/>
                  <w:vertAlign w:val="superscript"/>
                </w:rPr>
                <w:delText>c</w:delText>
              </w:r>
              <w:r w:rsidRPr="00BC0E7E">
                <w:rPr>
                  <w:szCs w:val="22"/>
                </w:rPr>
                <w:delText xml:space="preserve"> </w:delText>
              </w:r>
              <w:r w:rsidRPr="00BC0E7E">
                <w:rPr>
                  <w:szCs w:val="20"/>
                </w:rPr>
                <w:delText>Ankylosing Spondylitis Disease Activity Score</w:delText>
              </w:r>
            </w:del>
          </w:p>
          <w:p w14:paraId="74438189" w14:textId="77777777" w:rsidR="00BC0E7E" w:rsidRPr="00BC0E7E" w:rsidRDefault="00944B8F" w:rsidP="00762FA7">
            <w:pPr>
              <w:ind w:left="20"/>
              <w:rPr>
                <w:del w:id="6265" w:author="AbbVie19" w:date="2025-04-16T10:42:00Z"/>
                <w:szCs w:val="22"/>
              </w:rPr>
            </w:pPr>
            <w:del w:id="6266" w:author="AbbVie19" w:date="2025-04-16T10:42:00Z">
              <w:r w:rsidRPr="00BC0E7E">
                <w:rPr>
                  <w:szCs w:val="22"/>
                  <w:vertAlign w:val="superscript"/>
                </w:rPr>
                <w:delText>d</w:delText>
              </w:r>
              <w:r w:rsidRPr="00BC0E7E">
                <w:rPr>
                  <w:szCs w:val="22"/>
                </w:rPr>
                <w:delText xml:space="preserve"> mean change from baseline</w:delText>
              </w:r>
            </w:del>
          </w:p>
          <w:p w14:paraId="5CCD6B7D" w14:textId="77777777" w:rsidR="00BC0E7E" w:rsidRPr="00BC0E7E" w:rsidRDefault="00944B8F" w:rsidP="00762FA7">
            <w:pPr>
              <w:ind w:left="20"/>
              <w:rPr>
                <w:del w:id="6267" w:author="AbbVie19" w:date="2025-04-16T10:42:00Z"/>
                <w:szCs w:val="22"/>
              </w:rPr>
            </w:pPr>
            <w:del w:id="6268" w:author="AbbVie19" w:date="2025-04-16T10:42:00Z">
              <w:r w:rsidRPr="00BC0E7E">
                <w:rPr>
                  <w:szCs w:val="22"/>
                  <w:vertAlign w:val="superscript"/>
                </w:rPr>
                <w:delText>e</w:delText>
              </w:r>
              <w:r w:rsidRPr="00BC0E7E">
                <w:rPr>
                  <w:szCs w:val="22"/>
                </w:rPr>
                <w:delText xml:space="preserve"> n=91 placebo and n=87 Humira</w:delText>
              </w:r>
            </w:del>
          </w:p>
          <w:p w14:paraId="4FA18B07" w14:textId="77777777" w:rsidR="00BC0E7E" w:rsidRPr="00BC0E7E" w:rsidRDefault="00944B8F" w:rsidP="00762FA7">
            <w:pPr>
              <w:ind w:left="20"/>
              <w:rPr>
                <w:del w:id="6269" w:author="AbbVie19" w:date="2025-04-16T10:42:00Z"/>
                <w:szCs w:val="22"/>
              </w:rPr>
            </w:pPr>
            <w:del w:id="6270" w:author="AbbVie19" w:date="2025-04-16T10:42:00Z">
              <w:r w:rsidRPr="00BC0E7E">
                <w:rPr>
                  <w:szCs w:val="22"/>
                  <w:vertAlign w:val="superscript"/>
                </w:rPr>
                <w:delText>f</w:delText>
              </w:r>
              <w:r w:rsidRPr="00BC0E7E">
                <w:rPr>
                  <w:szCs w:val="22"/>
                </w:rPr>
                <w:delText xml:space="preserve"> high sensitivity C-Reactive Protein (mg/L)</w:delText>
              </w:r>
            </w:del>
          </w:p>
          <w:p w14:paraId="035F659C" w14:textId="77777777" w:rsidR="00BC0E7E" w:rsidRPr="00BC0E7E" w:rsidRDefault="00944B8F" w:rsidP="00762FA7">
            <w:pPr>
              <w:ind w:left="20"/>
              <w:rPr>
                <w:del w:id="6271" w:author="AbbVie19" w:date="2025-04-16T10:42:00Z"/>
                <w:szCs w:val="22"/>
              </w:rPr>
            </w:pPr>
            <w:del w:id="6272" w:author="AbbVie19" w:date="2025-04-16T10:42:00Z">
              <w:r w:rsidRPr="00BC0E7E">
                <w:rPr>
                  <w:szCs w:val="22"/>
                  <w:vertAlign w:val="superscript"/>
                </w:rPr>
                <w:delText>g</w:delText>
              </w:r>
              <w:r w:rsidRPr="00BC0E7E">
                <w:rPr>
                  <w:szCs w:val="22"/>
                </w:rPr>
                <w:delText xml:space="preserve"> n=73 placebo and n=70 Humira</w:delText>
              </w:r>
            </w:del>
          </w:p>
          <w:p w14:paraId="7DC9D1E2" w14:textId="77777777" w:rsidR="00BC0E7E" w:rsidRPr="00BC0E7E" w:rsidRDefault="00944B8F" w:rsidP="00762FA7">
            <w:pPr>
              <w:ind w:left="20"/>
              <w:rPr>
                <w:del w:id="6273" w:author="AbbVie19" w:date="2025-04-16T10:42:00Z"/>
                <w:szCs w:val="22"/>
              </w:rPr>
            </w:pPr>
            <w:del w:id="6274" w:author="AbbVie19" w:date="2025-04-16T10:42:00Z">
              <w:r w:rsidRPr="00BC0E7E">
                <w:rPr>
                  <w:szCs w:val="22"/>
                  <w:vertAlign w:val="superscript"/>
                </w:rPr>
                <w:delText>h</w:delText>
              </w:r>
              <w:r w:rsidRPr="00BC0E7E">
                <w:rPr>
                  <w:szCs w:val="22"/>
                </w:rPr>
                <w:delText xml:space="preserve"> Spondyloarthritis Research Consortium of Canada</w:delText>
              </w:r>
            </w:del>
          </w:p>
          <w:p w14:paraId="4285BE7E" w14:textId="77777777" w:rsidR="00BC0E7E" w:rsidRPr="00BC0E7E" w:rsidRDefault="00944B8F" w:rsidP="00762FA7">
            <w:pPr>
              <w:ind w:left="20"/>
              <w:rPr>
                <w:del w:id="6275" w:author="AbbVie19" w:date="2025-04-16T10:42:00Z"/>
                <w:szCs w:val="22"/>
              </w:rPr>
            </w:pPr>
            <w:del w:id="6276" w:author="AbbVie19" w:date="2025-04-16T10:42:00Z">
              <w:r w:rsidRPr="00BC0E7E">
                <w:rPr>
                  <w:szCs w:val="22"/>
                  <w:vertAlign w:val="superscript"/>
                </w:rPr>
                <w:delText>i</w:delText>
              </w:r>
              <w:r w:rsidRPr="00BC0E7E">
                <w:rPr>
                  <w:szCs w:val="22"/>
                </w:rPr>
                <w:delText xml:space="preserve"> n=84 placebo and Humira</w:delText>
              </w:r>
            </w:del>
          </w:p>
          <w:p w14:paraId="1FE9B720" w14:textId="77777777" w:rsidR="00BC0E7E" w:rsidRPr="00BC0E7E" w:rsidRDefault="00944B8F" w:rsidP="00762FA7">
            <w:pPr>
              <w:ind w:left="20"/>
              <w:rPr>
                <w:del w:id="6277" w:author="AbbVie19" w:date="2025-04-16T10:42:00Z"/>
                <w:szCs w:val="20"/>
              </w:rPr>
            </w:pPr>
            <w:del w:id="6278" w:author="AbbVie19" w:date="2025-04-16T10:42:00Z">
              <w:r w:rsidRPr="00BC0E7E">
                <w:rPr>
                  <w:szCs w:val="22"/>
                  <w:vertAlign w:val="superscript"/>
                </w:rPr>
                <w:delText>j</w:delText>
              </w:r>
              <w:r w:rsidRPr="00BC0E7E">
                <w:rPr>
                  <w:szCs w:val="22"/>
                </w:rPr>
                <w:delText xml:space="preserve"> n=82 placebo and n=85 Humira</w:delText>
              </w:r>
            </w:del>
          </w:p>
          <w:p w14:paraId="642307D0" w14:textId="77777777" w:rsidR="00BC0E7E" w:rsidRPr="00FE3BC7" w:rsidRDefault="00944B8F" w:rsidP="00762FA7">
            <w:pPr>
              <w:keepNext/>
              <w:ind w:left="20"/>
              <w:rPr>
                <w:del w:id="6279" w:author="AbbVie19" w:date="2025-04-16T10:42:00Z"/>
                <w:szCs w:val="22"/>
              </w:rPr>
            </w:pPr>
            <w:del w:id="6280" w:author="AbbVie19" w:date="2025-04-16T10:42:00Z">
              <w:r w:rsidRPr="00BC0E7E">
                <w:rPr>
                  <w:szCs w:val="22"/>
                </w:rPr>
                <w:delText>***, **, * Statistically significant at p &lt;</w:delText>
              </w:r>
              <w:r w:rsidRPr="00BC0E7E">
                <w:rPr>
                  <w:szCs w:val="20"/>
                </w:rPr>
                <w:delText> </w:delText>
              </w:r>
              <w:r w:rsidRPr="00BC0E7E">
                <w:rPr>
                  <w:szCs w:val="22"/>
                </w:rPr>
                <w:delText>0.001, &lt;</w:delText>
              </w:r>
              <w:r w:rsidRPr="00BC0E7E">
                <w:rPr>
                  <w:szCs w:val="20"/>
                </w:rPr>
                <w:delText> </w:delText>
              </w:r>
              <w:r w:rsidR="00FE3BC7">
                <w:rPr>
                  <w:szCs w:val="22"/>
                </w:rPr>
                <w:delText>0.01, and</w:delText>
              </w:r>
              <w:r w:rsidRPr="00BC0E7E">
                <w:rPr>
                  <w:szCs w:val="22"/>
                </w:rPr>
                <w:delText xml:space="preserve"> &lt;</w:delText>
              </w:r>
              <w:r w:rsidRPr="00BC0E7E">
                <w:rPr>
                  <w:szCs w:val="20"/>
                </w:rPr>
                <w:delText> </w:delText>
              </w:r>
              <w:r w:rsidRPr="00BC0E7E">
                <w:rPr>
                  <w:szCs w:val="22"/>
                </w:rPr>
                <w:delText>0.05, respectively, for all comparisons between Humira and placebo.</w:delText>
              </w:r>
            </w:del>
          </w:p>
          <w:p w14:paraId="2EEF9174" w14:textId="77777777" w:rsidR="00BC0E7E" w:rsidRPr="00BC0E7E" w:rsidRDefault="00BC0E7E" w:rsidP="00762FA7">
            <w:pPr>
              <w:keepNext/>
              <w:ind w:left="20"/>
              <w:rPr>
                <w:del w:id="6281" w:author="AbbVie19" w:date="2025-04-16T10:42:00Z"/>
              </w:rPr>
            </w:pPr>
          </w:p>
          <w:p w14:paraId="37ABCF48" w14:textId="77777777" w:rsidR="00BC0E7E" w:rsidRPr="00BC0E7E" w:rsidRDefault="00944B8F" w:rsidP="00762FA7">
            <w:pPr>
              <w:autoSpaceDE w:val="0"/>
              <w:autoSpaceDN w:val="0"/>
              <w:rPr>
                <w:del w:id="6282" w:author="AbbVie19" w:date="2025-04-16T10:42:00Z"/>
              </w:rPr>
            </w:pPr>
            <w:del w:id="6283" w:author="AbbVie19" w:date="2025-04-16T10:42:00Z">
              <w:r w:rsidRPr="00BC0E7E">
                <w:delText>In the open-label extension, improvement in the signs and symptoms was maintained with Humira therapy through Week 156.</w:delText>
              </w:r>
            </w:del>
          </w:p>
          <w:p w14:paraId="553BC337" w14:textId="77777777" w:rsidR="00BC0E7E" w:rsidRPr="00BC0E7E" w:rsidRDefault="00BC0E7E" w:rsidP="00762FA7">
            <w:pPr>
              <w:rPr>
                <w:del w:id="6284" w:author="AbbVie19" w:date="2025-04-16T10:42:00Z"/>
                <w:szCs w:val="20"/>
              </w:rPr>
            </w:pPr>
          </w:p>
          <w:p w14:paraId="70BCE873" w14:textId="77777777" w:rsidR="00BC0E7E" w:rsidRPr="00BC0E7E" w:rsidRDefault="00944B8F" w:rsidP="00762FA7">
            <w:pPr>
              <w:rPr>
                <w:del w:id="6285" w:author="AbbVie19" w:date="2025-04-16T10:42:00Z"/>
              </w:rPr>
            </w:pPr>
            <w:del w:id="6286" w:author="AbbVie19" w:date="2025-04-16T10:42:00Z">
              <w:r w:rsidRPr="00BC0E7E">
                <w:delText>Inhibition of inflammation</w:delText>
              </w:r>
            </w:del>
          </w:p>
          <w:p w14:paraId="1A2E6AF5" w14:textId="77777777" w:rsidR="00BC0E7E" w:rsidRPr="00BC0E7E" w:rsidRDefault="00BC0E7E" w:rsidP="00762FA7">
            <w:pPr>
              <w:tabs>
                <w:tab w:val="clear" w:pos="562"/>
                <w:tab w:val="left" w:pos="720"/>
              </w:tabs>
              <w:suppressAutoHyphens w:val="0"/>
              <w:autoSpaceDE w:val="0"/>
              <w:autoSpaceDN w:val="0"/>
              <w:adjustRightInd w:val="0"/>
              <w:rPr>
                <w:del w:id="6287" w:author="AbbVie19" w:date="2025-04-16T10:42:00Z"/>
                <w:rFonts w:ascii="TimesNewRomanPSMT" w:hAnsi="TimesNewRomanPSMT" w:cs="TimesNewRomanPSMT"/>
                <w:color w:val="231F20"/>
                <w:szCs w:val="22"/>
              </w:rPr>
            </w:pPr>
          </w:p>
          <w:p w14:paraId="01C9F121" w14:textId="77777777" w:rsidR="00BC0E7E" w:rsidRPr="00BC0E7E" w:rsidRDefault="00944B8F" w:rsidP="00762FA7">
            <w:pPr>
              <w:tabs>
                <w:tab w:val="clear" w:pos="562"/>
                <w:tab w:val="left" w:pos="720"/>
              </w:tabs>
              <w:suppressAutoHyphens w:val="0"/>
              <w:autoSpaceDE w:val="0"/>
              <w:autoSpaceDN w:val="0"/>
              <w:adjustRightInd w:val="0"/>
              <w:rPr>
                <w:del w:id="6288" w:author="AbbVie19" w:date="2025-04-16T10:42:00Z"/>
              </w:rPr>
            </w:pPr>
            <w:del w:id="6289" w:author="AbbVie19" w:date="2025-04-16T10:42:00Z">
              <w:r w:rsidRPr="00BC0E7E">
                <w:rPr>
                  <w:color w:val="231F20"/>
                  <w:szCs w:val="22"/>
                </w:rPr>
                <w:delText>Significant improvement of signs of inflammation as measured by hs-CRP and MRI of both Sacroiliac Joints and the Spine was maintained in Humira-treated patients through Week</w:delText>
              </w:r>
              <w:r w:rsidRPr="00BC0E7E">
                <w:delText> </w:delText>
              </w:r>
              <w:r w:rsidRPr="00BC0E7E">
                <w:rPr>
                  <w:color w:val="231F20"/>
                  <w:szCs w:val="22"/>
                </w:rPr>
                <w:delText>156 and Week</w:delText>
              </w:r>
              <w:r w:rsidRPr="00BC0E7E">
                <w:delText> </w:delText>
              </w:r>
              <w:r w:rsidRPr="00BC0E7E">
                <w:rPr>
                  <w:color w:val="231F20"/>
                  <w:szCs w:val="22"/>
                </w:rPr>
                <w:delText>104, respectively.</w:delText>
              </w:r>
            </w:del>
          </w:p>
          <w:p w14:paraId="3B343456" w14:textId="77777777" w:rsidR="00BC0E7E" w:rsidRPr="00BC0E7E" w:rsidRDefault="00BC0E7E" w:rsidP="00762FA7">
            <w:pPr>
              <w:rPr>
                <w:del w:id="6290" w:author="AbbVie19" w:date="2025-04-16T10:42:00Z"/>
                <w:szCs w:val="20"/>
              </w:rPr>
            </w:pPr>
          </w:p>
          <w:p w14:paraId="5CC8ADAC" w14:textId="77777777" w:rsidR="00BC0E7E" w:rsidRPr="00BC0E7E" w:rsidRDefault="00944B8F" w:rsidP="00762FA7">
            <w:pPr>
              <w:rPr>
                <w:del w:id="6291" w:author="AbbVie19" w:date="2025-04-16T10:42:00Z"/>
                <w:szCs w:val="20"/>
              </w:rPr>
            </w:pPr>
            <w:del w:id="6292" w:author="AbbVie19" w:date="2025-04-16T10:42:00Z">
              <w:r w:rsidRPr="00BC0E7E">
                <w:rPr>
                  <w:szCs w:val="20"/>
                </w:rPr>
                <w:delText>Quality of life and physical function</w:delText>
              </w:r>
            </w:del>
          </w:p>
        </w:tc>
      </w:tr>
    </w:tbl>
    <w:p w14:paraId="479A7D4A" w14:textId="77777777" w:rsidR="00BC0E7E" w:rsidRPr="00BC0E7E" w:rsidRDefault="00BC0E7E" w:rsidP="00762FA7">
      <w:pPr>
        <w:rPr>
          <w:del w:id="6293" w:author="AbbVie19" w:date="2025-04-16T10:42:00Z"/>
          <w:szCs w:val="20"/>
        </w:rPr>
      </w:pPr>
    </w:p>
    <w:p w14:paraId="0CC56783" w14:textId="77777777" w:rsidR="00BC0E7E" w:rsidRPr="00BC0E7E" w:rsidRDefault="00944B8F" w:rsidP="00762FA7">
      <w:pPr>
        <w:rPr>
          <w:del w:id="6294" w:author="AbbVie19" w:date="2025-04-16T10:42:00Z"/>
          <w:szCs w:val="20"/>
        </w:rPr>
      </w:pPr>
      <w:del w:id="6295" w:author="AbbVie19" w:date="2025-04-16T10:42:00Z">
        <w:r w:rsidRPr="00BC0E7E">
          <w:rPr>
            <w:szCs w:val="20"/>
          </w:rPr>
          <w:delText>Health-related quality of life and physical function were assessed using the HAQ-S and the SF-36 questionnaires. Humira showed statistically significantly greater improvement in the HAQ-S total score and the SF-36 Physical Component Score (PCS) from baseline to Week 12 compared to placebo. Improvement in health-related quality of life and physical function was maintained during the open-label extension through Week 156.</w:delText>
        </w:r>
      </w:del>
    </w:p>
    <w:p w14:paraId="0C20C816" w14:textId="77777777" w:rsidR="00740A74" w:rsidRDefault="00740A74" w:rsidP="00762FA7">
      <w:pPr>
        <w:pStyle w:val="EMEANormal"/>
        <w:rPr>
          <w:del w:id="6296" w:author="AbbVie19" w:date="2025-04-16T10:42:00Z"/>
          <w:szCs w:val="22"/>
        </w:rPr>
      </w:pPr>
    </w:p>
    <w:p w14:paraId="60A8B002" w14:textId="77777777" w:rsidR="00740A74" w:rsidRPr="00F8563F" w:rsidRDefault="00944B8F" w:rsidP="00762FA7">
      <w:pPr>
        <w:pStyle w:val="EMEANormal"/>
        <w:rPr>
          <w:del w:id="6297" w:author="AbbVie19" w:date="2025-04-16T10:42:00Z"/>
          <w:szCs w:val="22"/>
        </w:rPr>
      </w:pPr>
      <w:del w:id="6298" w:author="AbbVie19" w:date="2025-04-16T10:42:00Z">
        <w:r w:rsidRPr="00F8563F">
          <w:rPr>
            <w:szCs w:val="22"/>
          </w:rPr>
          <w:delText>Study nr-axSpA</w:delText>
        </w:r>
        <w:r>
          <w:rPr>
            <w:szCs w:val="22"/>
          </w:rPr>
          <w:delText xml:space="preserve"> </w:delText>
        </w:r>
        <w:r w:rsidRPr="00F8563F">
          <w:rPr>
            <w:szCs w:val="22"/>
          </w:rPr>
          <w:delText>II</w:delText>
        </w:r>
      </w:del>
    </w:p>
    <w:p w14:paraId="42752986" w14:textId="77777777" w:rsidR="00740A74" w:rsidRPr="00F6576C" w:rsidRDefault="00740A74" w:rsidP="00762FA7">
      <w:pPr>
        <w:pStyle w:val="EMEANormal"/>
        <w:rPr>
          <w:del w:id="6299" w:author="AbbVie19" w:date="2025-04-16T10:42:00Z"/>
          <w:szCs w:val="22"/>
        </w:rPr>
      </w:pPr>
    </w:p>
    <w:p w14:paraId="23C6C9A1" w14:textId="77777777" w:rsidR="00740A74" w:rsidRDefault="00944B8F" w:rsidP="00762FA7">
      <w:pPr>
        <w:pStyle w:val="EMEANormal"/>
        <w:rPr>
          <w:del w:id="6300" w:author="AbbVie19" w:date="2025-04-16T10:42:00Z"/>
          <w:szCs w:val="22"/>
        </w:rPr>
      </w:pPr>
      <w:del w:id="6301" w:author="AbbVie19" w:date="2025-04-16T10:42:00Z">
        <w:r w:rsidRPr="00F8563F">
          <w:rPr>
            <w:szCs w:val="22"/>
          </w:rPr>
          <w:delText xml:space="preserve">673 patients with active nr-axSpA (mean baseline disease activity [BASDAI] was 7.0) who had an inadequate response to </w:delText>
        </w:r>
        <w:r w:rsidRPr="00F8563F">
          <w:rPr>
            <w:rFonts w:ascii="Symbol" w:eastAsia="Symbol" w:hAnsi="Symbol" w:cs="Symbol"/>
            <w:szCs w:val="22"/>
          </w:rPr>
          <w:sym w:font="Symbol" w:char="F0B3"/>
        </w:r>
        <w:r>
          <w:rPr>
            <w:szCs w:val="22"/>
          </w:rPr>
          <w:delText> </w:delText>
        </w:r>
        <w:r w:rsidRPr="00F8563F">
          <w:rPr>
            <w:szCs w:val="22"/>
          </w:rPr>
          <w:delText>2 NSAIDs, or an intolerance to or a contraindication for NSAID</w:delText>
        </w:r>
        <w:r>
          <w:rPr>
            <w:szCs w:val="22"/>
          </w:rPr>
          <w:delText>s</w:delText>
        </w:r>
        <w:r w:rsidRPr="00F8563F">
          <w:rPr>
            <w:szCs w:val="22"/>
          </w:rPr>
          <w:delText xml:space="preserve"> enrolled into the open-label period of Study nr-axSpA</w:delText>
        </w:r>
        <w:r>
          <w:rPr>
            <w:szCs w:val="22"/>
          </w:rPr>
          <w:delText xml:space="preserve"> </w:delText>
        </w:r>
        <w:r w:rsidRPr="00F8563F">
          <w:rPr>
            <w:szCs w:val="22"/>
          </w:rPr>
          <w:delText xml:space="preserve">II during which they received </w:delText>
        </w:r>
        <w:r>
          <w:rPr>
            <w:szCs w:val="22"/>
          </w:rPr>
          <w:delText>Humira</w:delText>
        </w:r>
        <w:r w:rsidRPr="00F8563F">
          <w:rPr>
            <w:szCs w:val="22"/>
          </w:rPr>
          <w:delText xml:space="preserve"> 40</w:delText>
        </w:r>
        <w:r>
          <w:rPr>
            <w:szCs w:val="22"/>
          </w:rPr>
          <w:delText> </w:delText>
        </w:r>
        <w:r w:rsidRPr="00F8563F">
          <w:rPr>
            <w:szCs w:val="22"/>
          </w:rPr>
          <w:delText xml:space="preserve">mg eow for 28 weeks. </w:delText>
        </w:r>
        <w:r w:rsidRPr="00F8563F">
          <w:rPr>
            <w:szCs w:val="22"/>
          </w:rPr>
          <w:lastRenderedPageBreak/>
          <w:delText xml:space="preserve">These patients also had objective evidence of inflammation in the sacroiliac joints or spine on MRI or elevated hs-CRP. </w:delText>
        </w:r>
        <w:r>
          <w:rPr>
            <w:szCs w:val="22"/>
          </w:rPr>
          <w:delText>P</w:delText>
        </w:r>
        <w:r w:rsidRPr="00F8563F">
          <w:rPr>
            <w:szCs w:val="22"/>
          </w:rPr>
          <w:delText xml:space="preserve">atients who achieved sustained </w:delText>
        </w:r>
        <w:r w:rsidRPr="007629D2">
          <w:rPr>
            <w:szCs w:val="22"/>
          </w:rPr>
          <w:delText>remission for at least 12 weeks (N</w:delText>
        </w:r>
        <w:r>
          <w:rPr>
            <w:szCs w:val="22"/>
          </w:rPr>
          <w:delText>=305)</w:delText>
        </w:r>
        <w:r w:rsidRPr="00F8563F">
          <w:rPr>
            <w:szCs w:val="22"/>
          </w:rPr>
          <w:delText xml:space="preserve"> (ASDAS &lt;</w:delText>
        </w:r>
        <w:r>
          <w:rPr>
            <w:szCs w:val="22"/>
          </w:rPr>
          <w:delText> </w:delText>
        </w:r>
        <w:r w:rsidRPr="00F8563F">
          <w:rPr>
            <w:szCs w:val="22"/>
          </w:rPr>
          <w:delText>1.3 at Weeks 16, 20, 24, and 28) during the open-label period were then randomized to receive either continued treatment with Humira 40</w:delText>
        </w:r>
        <w:r>
          <w:rPr>
            <w:szCs w:val="22"/>
          </w:rPr>
          <w:delText> </w:delText>
        </w:r>
        <w:r w:rsidRPr="00F8563F">
          <w:rPr>
            <w:szCs w:val="22"/>
          </w:rPr>
          <w:delText>mg eow</w:delText>
        </w:r>
        <w:r>
          <w:rPr>
            <w:szCs w:val="22"/>
          </w:rPr>
          <w:delText xml:space="preserve"> (N=152) </w:delText>
        </w:r>
        <w:r w:rsidRPr="00F8563F">
          <w:rPr>
            <w:szCs w:val="22"/>
          </w:rPr>
          <w:delText xml:space="preserve">or placebo </w:delText>
        </w:r>
        <w:r>
          <w:rPr>
            <w:szCs w:val="22"/>
          </w:rPr>
          <w:delText xml:space="preserve">(N=153) </w:delText>
        </w:r>
        <w:r w:rsidRPr="00F8563F">
          <w:rPr>
            <w:szCs w:val="22"/>
          </w:rPr>
          <w:delText>for an additional 40 weeks in a double-blind, placebo-controlled period (total study duration 68 weeks).</w:delText>
        </w:r>
        <w:r>
          <w:rPr>
            <w:szCs w:val="22"/>
          </w:rPr>
          <w:delText xml:space="preserve"> </w:delText>
        </w:r>
        <w:r w:rsidRPr="00F8563F">
          <w:rPr>
            <w:szCs w:val="22"/>
          </w:rPr>
          <w:delText xml:space="preserve">Subjects who flared during the double-blind period were allowed </w:delText>
        </w:r>
        <w:r>
          <w:rPr>
            <w:szCs w:val="22"/>
          </w:rPr>
          <w:delText xml:space="preserve">Humira 40 mg eow </w:delText>
        </w:r>
        <w:r w:rsidRPr="00F8563F">
          <w:rPr>
            <w:szCs w:val="22"/>
          </w:rPr>
          <w:delText>rescue therapy</w:delText>
        </w:r>
        <w:r>
          <w:rPr>
            <w:szCs w:val="22"/>
          </w:rPr>
          <w:delText xml:space="preserve"> for at least 12 weeks</w:delText>
        </w:r>
        <w:r w:rsidRPr="00F8563F">
          <w:rPr>
            <w:szCs w:val="22"/>
          </w:rPr>
          <w:delText>.</w:delText>
        </w:r>
      </w:del>
    </w:p>
    <w:p w14:paraId="1C31F810" w14:textId="77777777" w:rsidR="00740A74" w:rsidRDefault="00740A74" w:rsidP="00762FA7">
      <w:pPr>
        <w:pStyle w:val="EMEANormal"/>
        <w:rPr>
          <w:del w:id="6302" w:author="AbbVie19" w:date="2025-04-16T10:42:00Z"/>
        </w:rPr>
      </w:pPr>
    </w:p>
    <w:p w14:paraId="440637BB" w14:textId="77777777" w:rsidR="00740A74" w:rsidRPr="00323591" w:rsidRDefault="00944B8F" w:rsidP="00762FA7">
      <w:pPr>
        <w:pStyle w:val="EMEANormal"/>
        <w:rPr>
          <w:del w:id="6303" w:author="AbbVie19" w:date="2025-04-16T10:42:00Z"/>
        </w:rPr>
      </w:pPr>
      <w:del w:id="6304" w:author="AbbVie19" w:date="2025-04-16T10:42:00Z">
        <w:r>
          <w:delText xml:space="preserve">The primary efficacy endpoint was the proportion of patients with no flare by Week 68 </w:delText>
        </w:r>
        <w:r w:rsidRPr="00670913">
          <w:delText>of the</w:delText>
        </w:r>
        <w:r>
          <w:delText xml:space="preserve"> study</w:delText>
        </w:r>
        <w:r w:rsidRPr="00503768">
          <w:delText>.</w:delText>
        </w:r>
        <w:r>
          <w:delText xml:space="preserve"> Flare was defined as ASDAS ≥ 2.1 at two consecutive visits four weeks apart. A greater proportion of patients on Humira had no disease flare during the double-blind period, when compared with those on placebo </w:delText>
        </w:r>
        <w:r w:rsidRPr="003A1A90">
          <w:delText>(</w:delText>
        </w:r>
        <w:r>
          <w:delText>70.4%</w:delText>
        </w:r>
        <w:r w:rsidRPr="003A1A90">
          <w:delText xml:space="preserve"> vs. 47.1%, p&lt;0.001)</w:delText>
        </w:r>
        <w:r>
          <w:delText xml:space="preserve"> (</w:delText>
        </w:r>
        <w:r w:rsidRPr="00F80654">
          <w:delText xml:space="preserve">Figure </w:delText>
        </w:r>
        <w:r w:rsidRPr="004E0013">
          <w:delText>1</w:delText>
        </w:r>
        <w:r w:rsidRPr="00F80654">
          <w:delText xml:space="preserve">). </w:delText>
        </w:r>
      </w:del>
    </w:p>
    <w:p w14:paraId="3D94EA6F" w14:textId="77777777" w:rsidR="00740A74" w:rsidRPr="003F7AAE" w:rsidRDefault="00740A74" w:rsidP="00762FA7">
      <w:pPr>
        <w:pStyle w:val="EMEANormal"/>
        <w:keepNext/>
        <w:jc w:val="center"/>
        <w:rPr>
          <w:del w:id="6305" w:author="AbbVie19" w:date="2025-04-16T10:42:00Z"/>
        </w:rPr>
      </w:pPr>
    </w:p>
    <w:p w14:paraId="14F27493" w14:textId="77777777" w:rsidR="00740A74" w:rsidRPr="003F7AAE" w:rsidRDefault="00944B8F" w:rsidP="00762FA7">
      <w:pPr>
        <w:pStyle w:val="EMEANormal"/>
        <w:keepNext/>
        <w:jc w:val="center"/>
        <w:rPr>
          <w:del w:id="6306" w:author="AbbVie19" w:date="2025-04-16T10:42:00Z"/>
        </w:rPr>
      </w:pPr>
      <w:del w:id="6307" w:author="AbbVie19" w:date="2025-04-16T10:42:00Z">
        <w:r w:rsidRPr="002936DD">
          <w:rPr>
            <w:b/>
          </w:rPr>
          <w:delText xml:space="preserve">Figure </w:delText>
        </w:r>
        <w:r>
          <w:rPr>
            <w:b/>
          </w:rPr>
          <w:delText>1</w:delText>
        </w:r>
        <w:r w:rsidRPr="002936DD">
          <w:rPr>
            <w:b/>
          </w:rPr>
          <w:delText xml:space="preserve">: Kaplan-Meier Curves Summarizing Time to Flare in </w:delText>
        </w:r>
      </w:del>
    </w:p>
    <w:p w14:paraId="346EF37C" w14:textId="77777777" w:rsidR="00740A74" w:rsidRPr="003F7AAE" w:rsidRDefault="00944B8F" w:rsidP="00762FA7">
      <w:pPr>
        <w:pStyle w:val="EMEANormal"/>
        <w:keepNext/>
        <w:jc w:val="center"/>
        <w:rPr>
          <w:del w:id="6308" w:author="AbbVie19" w:date="2025-04-16T10:42:00Z"/>
        </w:rPr>
      </w:pPr>
      <w:del w:id="6309" w:author="AbbVie19" w:date="2025-04-16T10:42:00Z">
        <w:r>
          <w:rPr>
            <w:b/>
          </w:rPr>
          <w:delText xml:space="preserve">Study nr-axSpA </w:delText>
        </w:r>
        <w:r w:rsidRPr="002936DD">
          <w:rPr>
            <w:b/>
          </w:rPr>
          <w:delText>II</w:delText>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8962"/>
      </w:tblGrid>
      <w:tr w:rsidR="00C6578C" w14:paraId="44E485C1" w14:textId="77777777" w:rsidTr="00740A74">
        <w:trPr>
          <w:cantSplit/>
          <w:trHeight w:val="1134"/>
          <w:del w:id="6310" w:author="AbbVie19" w:date="2025-04-16T10:42:00Z"/>
        </w:trPr>
        <w:tc>
          <w:tcPr>
            <w:tcW w:w="930" w:type="dxa"/>
            <w:textDirection w:val="btLr"/>
            <w:vAlign w:val="center"/>
          </w:tcPr>
          <w:p w14:paraId="1F7FABD9" w14:textId="77777777" w:rsidR="00740A74" w:rsidRPr="00972393" w:rsidRDefault="00944B8F" w:rsidP="00762FA7">
            <w:pPr>
              <w:ind w:left="113" w:right="113"/>
              <w:jc w:val="center"/>
              <w:rPr>
                <w:del w:id="6311" w:author="AbbVie19" w:date="2025-04-16T10:42:00Z"/>
                <w:b/>
              </w:rPr>
            </w:pPr>
            <w:del w:id="6312" w:author="AbbVie19" w:date="2025-04-16T10:42:00Z">
              <w:r w:rsidRPr="00972393">
                <w:rPr>
                  <w:b/>
                </w:rPr>
                <w:delText xml:space="preserve">              </w:delText>
              </w:r>
              <w:r>
                <w:rPr>
                  <w:b/>
                </w:rPr>
                <w:delText xml:space="preserve">  </w:delText>
              </w:r>
              <w:r w:rsidRPr="00972393">
                <w:rPr>
                  <w:b/>
                </w:rPr>
                <w:delText xml:space="preserve">   PROBABILITY OF NO FLARE</w:delText>
              </w:r>
            </w:del>
          </w:p>
        </w:tc>
        <w:tc>
          <w:tcPr>
            <w:tcW w:w="8646" w:type="dxa"/>
          </w:tcPr>
          <w:p w14:paraId="7FF06876" w14:textId="77777777" w:rsidR="00740A74" w:rsidRDefault="00944B8F" w:rsidP="00762FA7">
            <w:pPr>
              <w:rPr>
                <w:del w:id="6313" w:author="AbbVie19" w:date="2025-04-16T10:42:00Z"/>
              </w:rPr>
            </w:pPr>
            <w:del w:id="6314" w:author="AbbVie19" w:date="2025-04-16T10:42:00Z">
              <w:r>
                <w:rPr>
                  <w:noProof/>
                  <w:lang w:val="en-US"/>
                </w:rPr>
                <w:drawing>
                  <wp:inline distT="0" distB="0" distL="0" distR="0" wp14:anchorId="37631375" wp14:editId="69E60944">
                    <wp:extent cx="5616000" cy="3006000"/>
                    <wp:effectExtent l="0" t="0" r="381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13375_flare_km_db_f.14.2__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16000" cy="3006000"/>
                            </a:xfrm>
                            <a:prstGeom prst="rect">
                              <a:avLst/>
                            </a:prstGeom>
                          </pic:spPr>
                        </pic:pic>
                      </a:graphicData>
                    </a:graphic>
                  </wp:inline>
                </w:drawing>
              </w:r>
            </w:del>
          </w:p>
        </w:tc>
      </w:tr>
      <w:tr w:rsidR="00C6578C" w14:paraId="1C337096" w14:textId="77777777" w:rsidTr="00740A74">
        <w:trPr>
          <w:del w:id="6315" w:author="AbbVie19" w:date="2025-04-16T10:42:00Z"/>
        </w:trPr>
        <w:tc>
          <w:tcPr>
            <w:tcW w:w="930" w:type="dxa"/>
          </w:tcPr>
          <w:p w14:paraId="0DEC25F1" w14:textId="77777777" w:rsidR="00740A74" w:rsidRDefault="00740A74" w:rsidP="00762FA7">
            <w:pPr>
              <w:rPr>
                <w:del w:id="6316" w:author="AbbVie19" w:date="2025-04-16T10:42:00Z"/>
              </w:rPr>
            </w:pPr>
          </w:p>
        </w:tc>
        <w:tc>
          <w:tcPr>
            <w:tcW w:w="8646" w:type="dxa"/>
            <w:vAlign w:val="center"/>
          </w:tcPr>
          <w:p w14:paraId="37784673" w14:textId="77777777" w:rsidR="00740A74" w:rsidRPr="00972393" w:rsidRDefault="00944B8F" w:rsidP="00762FA7">
            <w:pPr>
              <w:jc w:val="center"/>
              <w:rPr>
                <w:del w:id="6317" w:author="AbbVie19" w:date="2025-04-16T10:42:00Z"/>
                <w:b/>
              </w:rPr>
            </w:pPr>
            <w:del w:id="6318" w:author="AbbVie19" w:date="2025-04-16T10:42:00Z">
              <w:r w:rsidRPr="00972393">
                <w:rPr>
                  <w:b/>
                </w:rPr>
                <w:delText>TIME (WEEKS)</w:delText>
              </w:r>
            </w:del>
          </w:p>
        </w:tc>
      </w:tr>
      <w:tr w:rsidR="00C6578C" w14:paraId="617779B3" w14:textId="77777777" w:rsidTr="00740A74">
        <w:trPr>
          <w:del w:id="6319" w:author="AbbVie19" w:date="2025-04-16T10:42:00Z"/>
        </w:trPr>
        <w:tc>
          <w:tcPr>
            <w:tcW w:w="9576" w:type="dxa"/>
            <w:gridSpan w:val="2"/>
          </w:tcPr>
          <w:p w14:paraId="7C72F6EA" w14:textId="77777777" w:rsidR="00740A74" w:rsidRPr="00972393" w:rsidRDefault="00944B8F" w:rsidP="00762FA7">
            <w:pPr>
              <w:rPr>
                <w:del w:id="6320" w:author="AbbVie19" w:date="2025-04-16T10:42:00Z"/>
              </w:rPr>
            </w:pPr>
            <w:del w:id="6321" w:author="AbbVie19" w:date="2025-04-16T10:42:00Z">
              <w:r>
                <w:delText xml:space="preserve">                                  </w:delText>
              </w:r>
              <w:r w:rsidRPr="00972393">
                <w:delText>Trea</w:delText>
              </w:r>
              <w:r>
                <w:delText xml:space="preserve">tment      </w:delText>
              </w:r>
              <w:r>
                <w:rPr>
                  <w:noProof/>
                </w:rPr>
                <w:delText xml:space="preserve"> </w:delText>
              </w:r>
              <w:r>
                <w:rPr>
                  <w:noProof/>
                  <w:lang w:val="en-US"/>
                </w:rPr>
                <mc:AlternateContent>
                  <mc:Choice Requires="wps">
                    <w:drawing>
                      <wp:inline distT="0" distB="0" distL="0" distR="0" wp14:anchorId="45A8F057" wp14:editId="7D19153D">
                        <wp:extent cx="381000" cy="0"/>
                        <wp:effectExtent l="0" t="19050" r="0" b="19050"/>
                        <wp:docPr id="92" name="Straight Connector 92"/>
                        <wp:cNvGraphicFramePr/>
                        <a:graphic xmlns:a="http://schemas.openxmlformats.org/drawingml/2006/main">
                          <a:graphicData uri="http://schemas.microsoft.com/office/word/2010/wordprocessingShape">
                            <wps:wsp>
                              <wps:cNvCnPr/>
                              <wps:spPr>
                                <a:xfrm>
                                  <a:off x="0" y="0"/>
                                  <a:ext cx="381000" cy="0"/>
                                </a:xfrm>
                                <a:prstGeom prst="line">
                                  <a:avLst/>
                                </a:prstGeom>
                                <a:ln w="28575">
                                  <a:solidFill>
                                    <a:schemeClr val="tx1">
                                      <a:lumMod val="65000"/>
                                      <a:lumOff val="3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arto="http://schemas.microsoft.com/office/word/2006/arto">
                    <w:pict>
                      <v:line id="Straight Connector 92" o:spid="_x0000_i1029" style="mso-left-percent:-10001;mso-position-horizontal-relative:char;mso-position-vertical-relative:line;mso-top-percent:-10001;mso-wrap-style:square;visibility:visible" from="0,0" to="30pt,0" strokecolor="#5a5a5a" strokeweight="2.25pt">
                        <v:stroke dashstyle="1 1"/>
                        <w10:anchorlock/>
                      </v:line>
                    </w:pict>
                  </mc:Fallback>
                </mc:AlternateContent>
              </w:r>
              <w:r>
                <w:rPr>
                  <w:noProof/>
                </w:rPr>
                <w:delText xml:space="preserve"> </w:delText>
              </w:r>
              <w:r>
                <w:delText xml:space="preserve">Placebo     </w:delText>
              </w:r>
              <w:r>
                <w:rPr>
                  <w:noProof/>
                  <w:lang w:val="en-US"/>
                </w:rPr>
                <mc:AlternateContent>
                  <mc:Choice Requires="wps">
                    <w:drawing>
                      <wp:inline distT="0" distB="0" distL="0" distR="0" wp14:anchorId="4650CAFB" wp14:editId="2487E8E9">
                        <wp:extent cx="401320" cy="0"/>
                        <wp:effectExtent l="0" t="0" r="17780" b="19050"/>
                        <wp:docPr id="56" name="Straight Connector 56"/>
                        <wp:cNvGraphicFramePr/>
                        <a:graphic xmlns:a="http://schemas.openxmlformats.org/drawingml/2006/main">
                          <a:graphicData uri="http://schemas.microsoft.com/office/word/2010/wordprocessingShape">
                            <wps:wsp>
                              <wps:cNvCnPr/>
                              <wps:spPr>
                                <a:xfrm>
                                  <a:off x="0" y="0"/>
                                  <a:ext cx="401320" cy="0"/>
                                </a:xfrm>
                                <a:prstGeom prst="line">
                                  <a:avLst/>
                                </a:prstGeom>
                                <a:ln w="19050">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arto="http://schemas.microsoft.com/office/word/2006/arto">
                    <w:pict>
                      <v:line id="Straight Connector 56" o:spid="_x0000_i1030" style="mso-left-percent:-10001;mso-position-horizontal-relative:char;mso-position-vertical-relative:line;mso-top-percent:-10001;mso-wrap-style:square;visibility:visible" from="0,0" to="31.6pt,0" strokecolor="#404040" strokeweight="1.5pt">
                        <w10:anchorlock/>
                      </v:line>
                    </w:pict>
                  </mc:Fallback>
                </mc:AlternateContent>
              </w:r>
              <w:r>
                <w:delText xml:space="preserve"> Humira     ∆ Censored</w:delText>
              </w:r>
            </w:del>
          </w:p>
        </w:tc>
      </w:tr>
    </w:tbl>
    <w:p w14:paraId="3F84AA42" w14:textId="77777777" w:rsidR="00740A74" w:rsidRDefault="00740A74" w:rsidP="00762FA7">
      <w:pPr>
        <w:rPr>
          <w:del w:id="6322" w:author="AbbVie19" w:date="2025-04-16T10:42:00Z"/>
        </w:rPr>
      </w:pPr>
    </w:p>
    <w:p w14:paraId="5F8484D6" w14:textId="77777777" w:rsidR="00740A74" w:rsidRDefault="00944B8F" w:rsidP="00762FA7">
      <w:pPr>
        <w:rPr>
          <w:del w:id="6323" w:author="AbbVie19" w:date="2025-04-16T10:42:00Z"/>
        </w:rPr>
      </w:pPr>
      <w:del w:id="6324" w:author="AbbVie19" w:date="2025-04-16T10:42:00Z">
        <w:r>
          <w:delText>Note: P = Placebo (Number at Risk (flared)); A = HUMIRA (Number at Risk (flared)).</w:delText>
        </w:r>
      </w:del>
    </w:p>
    <w:p w14:paraId="79E8DDEE" w14:textId="77777777" w:rsidR="00740A74" w:rsidRDefault="00740A74" w:rsidP="00762FA7">
      <w:pPr>
        <w:rPr>
          <w:del w:id="6325" w:author="AbbVie19" w:date="2025-04-16T10:42:00Z"/>
        </w:rPr>
      </w:pPr>
    </w:p>
    <w:p w14:paraId="7596EBA5" w14:textId="77777777" w:rsidR="00740A74" w:rsidRPr="00323591" w:rsidRDefault="00944B8F" w:rsidP="00762FA7">
      <w:pPr>
        <w:pStyle w:val="EMEANormal"/>
        <w:rPr>
          <w:del w:id="6326" w:author="AbbVie19" w:date="2025-04-16T10:42:00Z"/>
        </w:rPr>
      </w:pPr>
      <w:del w:id="6327" w:author="AbbVie19" w:date="2025-04-16T10:42:00Z">
        <w:r w:rsidRPr="00F933BB">
          <w:delText>Among the 68 patients who flared in the group allocated to treatment withdrawal, 65 completed 12 weeks of rescue therapy with Humira, out of which 37</w:delText>
        </w:r>
        <w:r>
          <w:delText xml:space="preserve"> </w:delText>
        </w:r>
        <w:r w:rsidRPr="00F933BB">
          <w:delText xml:space="preserve">(56.9%) </w:delText>
        </w:r>
        <w:r>
          <w:delText xml:space="preserve">had </w:delText>
        </w:r>
        <w:r w:rsidRPr="00F933BB">
          <w:delText>regained remission (ASDAS &lt;</w:delText>
        </w:r>
        <w:r>
          <w:delText> </w:delText>
        </w:r>
        <w:r w:rsidRPr="00F933BB">
          <w:delText>1.3) after 12</w:delText>
        </w:r>
        <w:r>
          <w:delText> </w:delText>
        </w:r>
        <w:r w:rsidRPr="00F933BB">
          <w:delText>weeks of restarting the open-label treatment.</w:delText>
        </w:r>
        <w:r>
          <w:delText xml:space="preserve"> </w:delText>
        </w:r>
      </w:del>
    </w:p>
    <w:p w14:paraId="39DB0045" w14:textId="77777777" w:rsidR="00740A74" w:rsidRDefault="00740A74" w:rsidP="00762FA7">
      <w:pPr>
        <w:rPr>
          <w:del w:id="6328" w:author="AbbVie19" w:date="2025-04-16T10:42:00Z"/>
        </w:rPr>
      </w:pPr>
    </w:p>
    <w:p w14:paraId="21A61D20" w14:textId="77777777" w:rsidR="00740A74" w:rsidRDefault="00944B8F" w:rsidP="00762FA7">
      <w:pPr>
        <w:rPr>
          <w:del w:id="6329" w:author="AbbVie19" w:date="2025-04-16T10:42:00Z"/>
        </w:rPr>
      </w:pPr>
      <w:del w:id="6330" w:author="AbbVie19" w:date="2025-04-16T10:42:00Z">
        <w:r>
          <w:delText xml:space="preserve">By </w:delText>
        </w:r>
        <w:r w:rsidRPr="006F6F29">
          <w:delText>Week 68</w:delText>
        </w:r>
        <w:r>
          <w:delText>,</w:delText>
        </w:r>
        <w:r w:rsidRPr="006F6F29">
          <w:delText xml:space="preserve"> </w:delText>
        </w:r>
        <w:r>
          <w:delText xml:space="preserve">patients receiving continuous Humira treatment </w:delText>
        </w:r>
        <w:r w:rsidRPr="006F6F29">
          <w:delText>showed statistically significant</w:delText>
        </w:r>
        <w:r>
          <w:delText xml:space="preserve"> greater</w:delText>
        </w:r>
        <w:r w:rsidRPr="006F6F29">
          <w:delText xml:space="preserve"> improvement of the signs and symptoms of active nr-axSpA</w:delText>
        </w:r>
        <w:r>
          <w:delText xml:space="preserve"> as</w:delText>
        </w:r>
        <w:r w:rsidRPr="006F6F29">
          <w:delText xml:space="preserve"> compared to patients allocated to treatment withdrawal during the double-blind period of the study (Table</w:delText>
        </w:r>
        <w:r>
          <w:delText xml:space="preserve"> 1</w:delText>
        </w:r>
        <w:r w:rsidR="005F03EC">
          <w:delText>4</w:delText>
        </w:r>
        <w:r>
          <w:delText>).</w:delText>
        </w:r>
      </w:del>
    </w:p>
    <w:p w14:paraId="7CB82817" w14:textId="77777777" w:rsidR="00740A74" w:rsidRDefault="00740A74" w:rsidP="00762FA7">
      <w:pPr>
        <w:rPr>
          <w:del w:id="6331" w:author="AbbVie19" w:date="2025-04-16T10:42:00Z"/>
        </w:rPr>
      </w:pPr>
    </w:p>
    <w:p w14:paraId="3FE707E5" w14:textId="77777777" w:rsidR="00740A74" w:rsidRPr="003F7AAE" w:rsidRDefault="00944B8F" w:rsidP="00762FA7">
      <w:pPr>
        <w:pStyle w:val="EMEANormal"/>
        <w:keepNext/>
        <w:ind w:left="720"/>
        <w:jc w:val="center"/>
        <w:rPr>
          <w:del w:id="6332" w:author="AbbVie19" w:date="2025-04-16T10:42:00Z"/>
        </w:rPr>
      </w:pPr>
      <w:del w:id="6333" w:author="AbbVie19" w:date="2025-04-16T10:42:00Z">
        <w:r>
          <w:rPr>
            <w:b/>
          </w:rPr>
          <w:lastRenderedPageBreak/>
          <w:delText>Table 1</w:delText>
        </w:r>
        <w:r w:rsidR="005F03EC">
          <w:rPr>
            <w:b/>
          </w:rPr>
          <w:delText>4</w:delText>
        </w:r>
      </w:del>
    </w:p>
    <w:p w14:paraId="1D26BAAE" w14:textId="77777777" w:rsidR="00740A74" w:rsidRPr="003F7AAE" w:rsidRDefault="00944B8F" w:rsidP="00762FA7">
      <w:pPr>
        <w:pStyle w:val="EMEANormal"/>
        <w:keepNext/>
        <w:ind w:left="720"/>
        <w:rPr>
          <w:del w:id="6334" w:author="AbbVie19" w:date="2025-04-16T10:42:00Z"/>
        </w:rPr>
      </w:pPr>
      <w:del w:id="6335" w:author="AbbVie19" w:date="2025-04-16T10:42:00Z">
        <w:r w:rsidRPr="002A3533">
          <w:rPr>
            <w:b/>
          </w:rPr>
          <w:delText>Efficacy Response in Placebo-Controlled</w:delText>
        </w:r>
        <w:r>
          <w:rPr>
            <w:b/>
          </w:rPr>
          <w:delText xml:space="preserve"> Period for Study nr-axSpA II</w:delText>
        </w:r>
      </w:del>
    </w:p>
    <w:p w14:paraId="71D45A8F" w14:textId="77777777" w:rsidR="00740A74" w:rsidRPr="003F7AAE" w:rsidRDefault="00740A74" w:rsidP="00762FA7">
      <w:pPr>
        <w:pStyle w:val="EMEANormal"/>
        <w:keepNext/>
        <w:ind w:left="720"/>
        <w:rPr>
          <w:del w:id="6336" w:author="AbbVie19" w:date="2025-04-16T10:42:00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71"/>
        <w:gridCol w:w="1746"/>
        <w:gridCol w:w="1891"/>
      </w:tblGrid>
      <w:tr w:rsidR="00C6578C" w14:paraId="6348CF95" w14:textId="77777777" w:rsidTr="00740A74">
        <w:trPr>
          <w:jc w:val="center"/>
          <w:del w:id="6337" w:author="AbbVie19" w:date="2025-04-16T10:42:00Z"/>
        </w:trPr>
        <w:tc>
          <w:tcPr>
            <w:tcW w:w="3067" w:type="pct"/>
          </w:tcPr>
          <w:p w14:paraId="7AA3065F" w14:textId="77777777" w:rsidR="00740A74" w:rsidRPr="002A3533" w:rsidRDefault="00944B8F" w:rsidP="00762FA7">
            <w:pPr>
              <w:keepNext/>
              <w:rPr>
                <w:del w:id="6338" w:author="AbbVie19" w:date="2025-04-16T10:42:00Z"/>
                <w:b/>
                <w:bCs/>
              </w:rPr>
            </w:pPr>
            <w:del w:id="6339" w:author="AbbVie19" w:date="2025-04-16T10:42:00Z">
              <w:r w:rsidRPr="002A3533">
                <w:rPr>
                  <w:b/>
                  <w:bCs/>
                </w:rPr>
                <w:delText>Double-Blind</w:delText>
              </w:r>
            </w:del>
          </w:p>
          <w:p w14:paraId="5B387667" w14:textId="77777777" w:rsidR="00740A74" w:rsidRPr="002A3533" w:rsidRDefault="00944B8F" w:rsidP="00762FA7">
            <w:pPr>
              <w:keepNext/>
              <w:rPr>
                <w:del w:id="6340" w:author="AbbVie19" w:date="2025-04-16T10:42:00Z"/>
                <w:b/>
                <w:bCs/>
              </w:rPr>
            </w:pPr>
            <w:del w:id="6341" w:author="AbbVie19" w:date="2025-04-16T10:42:00Z">
              <w:r w:rsidRPr="002A3533">
                <w:rPr>
                  <w:b/>
                  <w:bCs/>
                </w:rPr>
                <w:delText xml:space="preserve">Response at Week </w:delText>
              </w:r>
              <w:r>
                <w:rPr>
                  <w:b/>
                  <w:bCs/>
                </w:rPr>
                <w:delText>68</w:delText>
              </w:r>
            </w:del>
          </w:p>
        </w:tc>
        <w:tc>
          <w:tcPr>
            <w:tcW w:w="928" w:type="pct"/>
          </w:tcPr>
          <w:p w14:paraId="20232C0E" w14:textId="77777777" w:rsidR="00740A74" w:rsidRPr="00762FA7" w:rsidRDefault="00944B8F" w:rsidP="00762FA7">
            <w:pPr>
              <w:keepNext/>
              <w:jc w:val="center"/>
              <w:rPr>
                <w:del w:id="6342" w:author="AbbVie19" w:date="2025-04-16T10:42:00Z"/>
                <w:b/>
                <w:bCs/>
                <w:sz w:val="20"/>
                <w:szCs w:val="20"/>
                <w:lang w:val="fr-FR"/>
              </w:rPr>
            </w:pPr>
            <w:del w:id="6343" w:author="AbbVie19" w:date="2025-04-16T10:42:00Z">
              <w:r w:rsidRPr="00762FA7">
                <w:rPr>
                  <w:b/>
                  <w:bCs/>
                  <w:sz w:val="20"/>
                  <w:szCs w:val="20"/>
                  <w:lang w:val="fr-FR"/>
                </w:rPr>
                <w:delText>Placebo</w:delText>
              </w:r>
            </w:del>
          </w:p>
          <w:p w14:paraId="005DD860" w14:textId="77777777" w:rsidR="00740A74" w:rsidRPr="00762FA7" w:rsidRDefault="00944B8F" w:rsidP="00762FA7">
            <w:pPr>
              <w:keepNext/>
              <w:jc w:val="center"/>
              <w:rPr>
                <w:del w:id="6344" w:author="AbbVie19" w:date="2025-04-16T10:42:00Z"/>
                <w:b/>
                <w:bCs/>
                <w:sz w:val="20"/>
                <w:szCs w:val="20"/>
                <w:lang w:val="fr-FR"/>
              </w:rPr>
            </w:pPr>
            <w:del w:id="6345" w:author="AbbVie19" w:date="2025-04-16T10:42:00Z">
              <w:r w:rsidRPr="00762FA7">
                <w:rPr>
                  <w:b/>
                  <w:bCs/>
                  <w:sz w:val="20"/>
                  <w:szCs w:val="20"/>
                  <w:lang w:val="fr-FR"/>
                </w:rPr>
                <w:delText>N=153</w:delText>
              </w:r>
            </w:del>
          </w:p>
        </w:tc>
        <w:tc>
          <w:tcPr>
            <w:tcW w:w="1005" w:type="pct"/>
          </w:tcPr>
          <w:p w14:paraId="2B4292B3" w14:textId="77777777" w:rsidR="00740A74" w:rsidRPr="00762FA7" w:rsidRDefault="00944B8F" w:rsidP="00762FA7">
            <w:pPr>
              <w:keepNext/>
              <w:jc w:val="center"/>
              <w:rPr>
                <w:del w:id="6346" w:author="AbbVie19" w:date="2025-04-16T10:42:00Z"/>
                <w:b/>
                <w:bCs/>
                <w:sz w:val="20"/>
                <w:szCs w:val="20"/>
                <w:lang w:val="fr-FR"/>
              </w:rPr>
            </w:pPr>
            <w:del w:id="6347" w:author="AbbVie19" w:date="2025-04-16T10:42:00Z">
              <w:r w:rsidRPr="00762FA7">
                <w:rPr>
                  <w:b/>
                  <w:bCs/>
                  <w:sz w:val="20"/>
                  <w:szCs w:val="20"/>
                  <w:lang w:val="fr-FR"/>
                </w:rPr>
                <w:delText>Humira</w:delText>
              </w:r>
            </w:del>
          </w:p>
          <w:p w14:paraId="34029CDE" w14:textId="77777777" w:rsidR="00740A74" w:rsidRPr="00762FA7" w:rsidRDefault="00944B8F" w:rsidP="00762FA7">
            <w:pPr>
              <w:keepNext/>
              <w:jc w:val="center"/>
              <w:rPr>
                <w:del w:id="6348" w:author="AbbVie19" w:date="2025-04-16T10:42:00Z"/>
                <w:b/>
                <w:bCs/>
                <w:sz w:val="20"/>
                <w:szCs w:val="20"/>
                <w:lang w:val="fr-FR"/>
              </w:rPr>
            </w:pPr>
            <w:del w:id="6349" w:author="AbbVie19" w:date="2025-04-16T10:42:00Z">
              <w:r>
                <w:rPr>
                  <w:b/>
                  <w:bCs/>
                  <w:sz w:val="20"/>
                  <w:szCs w:val="20"/>
                </w:rPr>
                <w:delText>N=152</w:delText>
              </w:r>
            </w:del>
          </w:p>
        </w:tc>
      </w:tr>
      <w:tr w:rsidR="00C6578C" w14:paraId="0115FEB7" w14:textId="77777777" w:rsidTr="00740A74">
        <w:trPr>
          <w:jc w:val="center"/>
          <w:del w:id="6350" w:author="AbbVie19" w:date="2025-04-16T10:42:00Z"/>
        </w:trPr>
        <w:tc>
          <w:tcPr>
            <w:tcW w:w="3067" w:type="pct"/>
          </w:tcPr>
          <w:p w14:paraId="7B506649" w14:textId="77777777" w:rsidR="00740A74" w:rsidRPr="002A3533" w:rsidRDefault="00944B8F" w:rsidP="00762FA7">
            <w:pPr>
              <w:keepNext/>
              <w:rPr>
                <w:del w:id="6351" w:author="AbbVie19" w:date="2025-04-16T10:42:00Z"/>
              </w:rPr>
            </w:pPr>
            <w:del w:id="6352" w:author="AbbVie19" w:date="2025-04-16T10:42:00Z">
              <w:r w:rsidRPr="002A3533">
                <w:delText>ASAS</w:delText>
              </w:r>
              <w:r w:rsidRPr="002A3533">
                <w:rPr>
                  <w:vertAlign w:val="superscript"/>
                </w:rPr>
                <w:delText>a</w:delText>
              </w:r>
              <w:r>
                <w:rPr>
                  <w:vertAlign w:val="superscript"/>
                </w:rPr>
                <w:delText>,b</w:delText>
              </w:r>
              <w:r w:rsidRPr="002A3533">
                <w:delText xml:space="preserve"> 20</w:delText>
              </w:r>
            </w:del>
          </w:p>
        </w:tc>
        <w:tc>
          <w:tcPr>
            <w:tcW w:w="928" w:type="pct"/>
          </w:tcPr>
          <w:p w14:paraId="5670F295" w14:textId="77777777" w:rsidR="00740A74" w:rsidRPr="002A3533" w:rsidRDefault="00944B8F" w:rsidP="00762FA7">
            <w:pPr>
              <w:keepNext/>
              <w:jc w:val="center"/>
              <w:rPr>
                <w:del w:id="6353" w:author="AbbVie19" w:date="2025-04-16T10:42:00Z"/>
              </w:rPr>
            </w:pPr>
            <w:del w:id="6354" w:author="AbbVie19" w:date="2025-04-16T10:42:00Z">
              <w:r>
                <w:delText>47.1%</w:delText>
              </w:r>
            </w:del>
          </w:p>
        </w:tc>
        <w:tc>
          <w:tcPr>
            <w:tcW w:w="1005" w:type="pct"/>
          </w:tcPr>
          <w:p w14:paraId="461725E8" w14:textId="77777777" w:rsidR="00740A74" w:rsidRPr="002A3533" w:rsidRDefault="00944B8F" w:rsidP="00762FA7">
            <w:pPr>
              <w:keepNext/>
              <w:jc w:val="center"/>
              <w:rPr>
                <w:del w:id="6355" w:author="AbbVie19" w:date="2025-04-16T10:42:00Z"/>
              </w:rPr>
            </w:pPr>
            <w:del w:id="6356" w:author="AbbVie19" w:date="2025-04-16T10:42:00Z">
              <w:r>
                <w:delText>70.4%***</w:delText>
              </w:r>
            </w:del>
          </w:p>
        </w:tc>
      </w:tr>
      <w:tr w:rsidR="00C6578C" w14:paraId="14EBAE6A" w14:textId="77777777" w:rsidTr="00740A74">
        <w:trPr>
          <w:jc w:val="center"/>
          <w:del w:id="6357" w:author="AbbVie19" w:date="2025-04-16T10:42:00Z"/>
        </w:trPr>
        <w:tc>
          <w:tcPr>
            <w:tcW w:w="3067" w:type="pct"/>
          </w:tcPr>
          <w:p w14:paraId="43D96642" w14:textId="77777777" w:rsidR="00740A74" w:rsidRPr="002A3533" w:rsidRDefault="00944B8F" w:rsidP="00762FA7">
            <w:pPr>
              <w:keepNext/>
              <w:rPr>
                <w:del w:id="6358" w:author="AbbVie19" w:date="2025-04-16T10:42:00Z"/>
              </w:rPr>
            </w:pPr>
            <w:del w:id="6359" w:author="AbbVie19" w:date="2025-04-16T10:42:00Z">
              <w:r w:rsidRPr="002A3533">
                <w:delText>ASAS</w:delText>
              </w:r>
              <w:r w:rsidRPr="002A3533">
                <w:rPr>
                  <w:vertAlign w:val="superscript"/>
                </w:rPr>
                <w:delText>a</w:delText>
              </w:r>
              <w:r>
                <w:rPr>
                  <w:vertAlign w:val="superscript"/>
                </w:rPr>
                <w:delText>,b</w:delText>
              </w:r>
              <w:r w:rsidRPr="002A3533">
                <w:delText xml:space="preserve"> 40</w:delText>
              </w:r>
            </w:del>
          </w:p>
        </w:tc>
        <w:tc>
          <w:tcPr>
            <w:tcW w:w="928" w:type="pct"/>
          </w:tcPr>
          <w:p w14:paraId="0634B92A" w14:textId="77777777" w:rsidR="00740A74" w:rsidRPr="002A3533" w:rsidRDefault="00944B8F" w:rsidP="00762FA7">
            <w:pPr>
              <w:keepNext/>
              <w:jc w:val="center"/>
              <w:rPr>
                <w:del w:id="6360" w:author="AbbVie19" w:date="2025-04-16T10:42:00Z"/>
              </w:rPr>
            </w:pPr>
            <w:del w:id="6361" w:author="AbbVie19" w:date="2025-04-16T10:42:00Z">
              <w:r>
                <w:delText>45.8%</w:delText>
              </w:r>
            </w:del>
          </w:p>
        </w:tc>
        <w:tc>
          <w:tcPr>
            <w:tcW w:w="1005" w:type="pct"/>
          </w:tcPr>
          <w:p w14:paraId="2FB02E44" w14:textId="77777777" w:rsidR="00740A74" w:rsidRPr="002A3533" w:rsidRDefault="00944B8F" w:rsidP="00762FA7">
            <w:pPr>
              <w:keepNext/>
              <w:jc w:val="center"/>
              <w:rPr>
                <w:del w:id="6362" w:author="AbbVie19" w:date="2025-04-16T10:42:00Z"/>
              </w:rPr>
            </w:pPr>
            <w:del w:id="6363" w:author="AbbVie19" w:date="2025-04-16T10:42:00Z">
              <w:r>
                <w:delText>65.8%***</w:delText>
              </w:r>
            </w:del>
          </w:p>
        </w:tc>
      </w:tr>
      <w:tr w:rsidR="00C6578C" w14:paraId="2A18D608" w14:textId="77777777" w:rsidTr="00740A74">
        <w:trPr>
          <w:jc w:val="center"/>
          <w:del w:id="6364" w:author="AbbVie19" w:date="2025-04-16T10:42:00Z"/>
        </w:trPr>
        <w:tc>
          <w:tcPr>
            <w:tcW w:w="3067" w:type="pct"/>
          </w:tcPr>
          <w:p w14:paraId="308EC577" w14:textId="77777777" w:rsidR="00740A74" w:rsidRPr="002A3533" w:rsidRDefault="00944B8F" w:rsidP="00762FA7">
            <w:pPr>
              <w:keepNext/>
              <w:rPr>
                <w:del w:id="6365" w:author="AbbVie19" w:date="2025-04-16T10:42:00Z"/>
              </w:rPr>
            </w:pPr>
            <w:del w:id="6366" w:author="AbbVie19" w:date="2025-04-16T10:42:00Z">
              <w:r w:rsidRPr="002A3533">
                <w:delText>ASAS</w:delText>
              </w:r>
              <w:r>
                <w:rPr>
                  <w:vertAlign w:val="superscript"/>
                </w:rPr>
                <w:delText>a</w:delText>
              </w:r>
              <w:r w:rsidRPr="002A3533">
                <w:delText xml:space="preserve"> Partial Remission</w:delText>
              </w:r>
            </w:del>
          </w:p>
        </w:tc>
        <w:tc>
          <w:tcPr>
            <w:tcW w:w="928" w:type="pct"/>
          </w:tcPr>
          <w:p w14:paraId="703A3F78" w14:textId="77777777" w:rsidR="00740A74" w:rsidRPr="002A3533" w:rsidRDefault="00944B8F" w:rsidP="00762FA7">
            <w:pPr>
              <w:keepNext/>
              <w:jc w:val="center"/>
              <w:rPr>
                <w:del w:id="6367" w:author="AbbVie19" w:date="2025-04-16T10:42:00Z"/>
              </w:rPr>
            </w:pPr>
            <w:del w:id="6368" w:author="AbbVie19" w:date="2025-04-16T10:42:00Z">
              <w:r>
                <w:delText>26.8%</w:delText>
              </w:r>
            </w:del>
          </w:p>
        </w:tc>
        <w:tc>
          <w:tcPr>
            <w:tcW w:w="1005" w:type="pct"/>
          </w:tcPr>
          <w:p w14:paraId="05A1C540" w14:textId="77777777" w:rsidR="00740A74" w:rsidRPr="002A3533" w:rsidRDefault="00944B8F" w:rsidP="00762FA7">
            <w:pPr>
              <w:keepNext/>
              <w:jc w:val="center"/>
              <w:rPr>
                <w:del w:id="6369" w:author="AbbVie19" w:date="2025-04-16T10:42:00Z"/>
              </w:rPr>
            </w:pPr>
            <w:del w:id="6370" w:author="AbbVie19" w:date="2025-04-16T10:42:00Z">
              <w:r>
                <w:delText>42.1%**</w:delText>
              </w:r>
            </w:del>
          </w:p>
        </w:tc>
      </w:tr>
      <w:tr w:rsidR="00C6578C" w14:paraId="4B879781" w14:textId="77777777" w:rsidTr="00740A74">
        <w:trPr>
          <w:jc w:val="center"/>
          <w:del w:id="6371" w:author="AbbVie19" w:date="2025-04-16T10:42:00Z"/>
        </w:trPr>
        <w:tc>
          <w:tcPr>
            <w:tcW w:w="3067" w:type="pct"/>
          </w:tcPr>
          <w:p w14:paraId="15D7CA13" w14:textId="77777777" w:rsidR="00740A74" w:rsidRPr="002A3533" w:rsidRDefault="00944B8F" w:rsidP="00762FA7">
            <w:pPr>
              <w:keepNext/>
              <w:rPr>
                <w:del w:id="6372" w:author="AbbVie19" w:date="2025-04-16T10:42:00Z"/>
              </w:rPr>
            </w:pPr>
            <w:del w:id="6373" w:author="AbbVie19" w:date="2025-04-16T10:42:00Z">
              <w:r w:rsidRPr="002A3533">
                <w:delText>ASDAS</w:delText>
              </w:r>
              <w:r>
                <w:rPr>
                  <w:vertAlign w:val="superscript"/>
                </w:rPr>
                <w:delText>c</w:delText>
              </w:r>
              <w:r w:rsidRPr="002A3533">
                <w:delText xml:space="preserve"> Inactive Disease</w:delText>
              </w:r>
            </w:del>
          </w:p>
        </w:tc>
        <w:tc>
          <w:tcPr>
            <w:tcW w:w="928" w:type="pct"/>
          </w:tcPr>
          <w:p w14:paraId="126FF43A" w14:textId="77777777" w:rsidR="00740A74" w:rsidRPr="002A3533" w:rsidRDefault="00944B8F" w:rsidP="00762FA7">
            <w:pPr>
              <w:keepNext/>
              <w:jc w:val="center"/>
              <w:rPr>
                <w:del w:id="6374" w:author="AbbVie19" w:date="2025-04-16T10:42:00Z"/>
              </w:rPr>
            </w:pPr>
            <w:del w:id="6375" w:author="AbbVie19" w:date="2025-04-16T10:42:00Z">
              <w:r>
                <w:delText>33.3%</w:delText>
              </w:r>
            </w:del>
          </w:p>
        </w:tc>
        <w:tc>
          <w:tcPr>
            <w:tcW w:w="1005" w:type="pct"/>
          </w:tcPr>
          <w:p w14:paraId="6BF906D2" w14:textId="77777777" w:rsidR="00740A74" w:rsidRPr="002A3533" w:rsidRDefault="00944B8F" w:rsidP="00762FA7">
            <w:pPr>
              <w:keepNext/>
              <w:jc w:val="center"/>
              <w:rPr>
                <w:del w:id="6376" w:author="AbbVie19" w:date="2025-04-16T10:42:00Z"/>
              </w:rPr>
            </w:pPr>
            <w:del w:id="6377" w:author="AbbVie19" w:date="2025-04-16T10:42:00Z">
              <w:r>
                <w:delText>57.2%***</w:delText>
              </w:r>
            </w:del>
          </w:p>
        </w:tc>
      </w:tr>
      <w:tr w:rsidR="00C6578C" w14:paraId="1273FBF9" w14:textId="77777777" w:rsidTr="00740A74">
        <w:trPr>
          <w:jc w:val="center"/>
          <w:del w:id="6378" w:author="AbbVie19" w:date="2025-04-16T10:42:00Z"/>
        </w:trPr>
        <w:tc>
          <w:tcPr>
            <w:tcW w:w="3067" w:type="pct"/>
          </w:tcPr>
          <w:p w14:paraId="2BCC1B63" w14:textId="77777777" w:rsidR="00740A74" w:rsidRPr="00DF5A92" w:rsidRDefault="00944B8F" w:rsidP="00762FA7">
            <w:pPr>
              <w:keepNext/>
              <w:rPr>
                <w:del w:id="6379" w:author="AbbVie19" w:date="2025-04-16T10:42:00Z"/>
              </w:rPr>
            </w:pPr>
            <w:del w:id="6380" w:author="AbbVie19" w:date="2025-04-16T10:42:00Z">
              <w:r w:rsidRPr="00DF5A92">
                <w:delText>Partial Flare</w:delText>
              </w:r>
              <w:r>
                <w:rPr>
                  <w:szCs w:val="22"/>
                  <w:vertAlign w:val="superscript"/>
                </w:rPr>
                <w:delText>d</w:delText>
              </w:r>
            </w:del>
          </w:p>
        </w:tc>
        <w:tc>
          <w:tcPr>
            <w:tcW w:w="928" w:type="pct"/>
          </w:tcPr>
          <w:p w14:paraId="5043718A" w14:textId="77777777" w:rsidR="00740A74" w:rsidRPr="00DF5A92" w:rsidRDefault="00944B8F" w:rsidP="00762FA7">
            <w:pPr>
              <w:keepNext/>
              <w:jc w:val="center"/>
              <w:rPr>
                <w:del w:id="6381" w:author="AbbVie19" w:date="2025-04-16T10:42:00Z"/>
              </w:rPr>
            </w:pPr>
            <w:del w:id="6382" w:author="AbbVie19" w:date="2025-04-16T10:42:00Z">
              <w:r w:rsidRPr="00DF5A92">
                <w:delText>64.1%</w:delText>
              </w:r>
            </w:del>
          </w:p>
        </w:tc>
        <w:tc>
          <w:tcPr>
            <w:tcW w:w="1005" w:type="pct"/>
          </w:tcPr>
          <w:p w14:paraId="4667AD66" w14:textId="77777777" w:rsidR="00740A74" w:rsidRPr="00DF5A92" w:rsidRDefault="00944B8F" w:rsidP="00762FA7">
            <w:pPr>
              <w:keepNext/>
              <w:jc w:val="center"/>
              <w:rPr>
                <w:del w:id="6383" w:author="AbbVie19" w:date="2025-04-16T10:42:00Z"/>
              </w:rPr>
            </w:pPr>
            <w:del w:id="6384" w:author="AbbVie19" w:date="2025-04-16T10:42:00Z">
              <w:r w:rsidRPr="00DF5A92">
                <w:delText>40.8%**</w:delText>
              </w:r>
              <w:r>
                <w:delText>*</w:delText>
              </w:r>
            </w:del>
          </w:p>
        </w:tc>
      </w:tr>
      <w:tr w:rsidR="00C6578C" w14:paraId="0ADE71C4" w14:textId="77777777" w:rsidTr="00740A74">
        <w:trPr>
          <w:jc w:val="center"/>
          <w:del w:id="6385" w:author="AbbVie19" w:date="2025-04-16T10:42:00Z"/>
        </w:trPr>
        <w:tc>
          <w:tcPr>
            <w:tcW w:w="5000" w:type="pct"/>
            <w:gridSpan w:val="3"/>
            <w:tcBorders>
              <w:left w:val="nil"/>
              <w:bottom w:val="nil"/>
              <w:right w:val="nil"/>
            </w:tcBorders>
          </w:tcPr>
          <w:p w14:paraId="069631BD" w14:textId="77777777" w:rsidR="00740A74" w:rsidRPr="00CA1ECC" w:rsidRDefault="00944B8F" w:rsidP="00762FA7">
            <w:pPr>
              <w:keepNext/>
              <w:tabs>
                <w:tab w:val="clear" w:pos="562"/>
              </w:tabs>
              <w:suppressAutoHyphens w:val="0"/>
              <w:autoSpaceDE w:val="0"/>
              <w:autoSpaceDN w:val="0"/>
              <w:adjustRightInd w:val="0"/>
              <w:rPr>
                <w:del w:id="6386" w:author="AbbVie19" w:date="2025-04-16T10:42:00Z"/>
                <w:szCs w:val="22"/>
              </w:rPr>
            </w:pPr>
            <w:del w:id="6387" w:author="AbbVie19" w:date="2025-04-16T10:42:00Z">
              <w:r w:rsidRPr="00CA1ECC">
                <w:rPr>
                  <w:szCs w:val="22"/>
                  <w:vertAlign w:val="superscript"/>
                </w:rPr>
                <w:delText>a</w:delText>
              </w:r>
              <w:r w:rsidRPr="00CA1ECC">
                <w:rPr>
                  <w:szCs w:val="22"/>
                </w:rPr>
                <w:delText xml:space="preserve"> Assessment of SpondyloArthritis international Society</w:delText>
              </w:r>
            </w:del>
          </w:p>
          <w:p w14:paraId="4AFECE91" w14:textId="77777777" w:rsidR="00740A74" w:rsidRDefault="00944B8F" w:rsidP="00762FA7">
            <w:pPr>
              <w:pStyle w:val="EMEANormal"/>
              <w:keepNext/>
              <w:ind w:left="20"/>
              <w:rPr>
                <w:del w:id="6388" w:author="AbbVie19" w:date="2025-04-16T10:42:00Z"/>
                <w:szCs w:val="22"/>
                <w:vertAlign w:val="superscript"/>
              </w:rPr>
            </w:pPr>
            <w:del w:id="6389" w:author="AbbVie19" w:date="2025-04-16T10:42:00Z">
              <w:r>
                <w:rPr>
                  <w:szCs w:val="22"/>
                  <w:vertAlign w:val="superscript"/>
                </w:rPr>
                <w:delText>b</w:delText>
              </w:r>
              <w:r w:rsidRPr="00DF5A92">
                <w:rPr>
                  <w:szCs w:val="22"/>
                </w:rPr>
                <w:delText xml:space="preserve"> Baseline is defined as open label baseline when patients have active disease</w:delText>
              </w:r>
              <w:r>
                <w:rPr>
                  <w:szCs w:val="22"/>
                </w:rPr>
                <w:delText>.</w:delText>
              </w:r>
            </w:del>
          </w:p>
          <w:p w14:paraId="2C475F47" w14:textId="77777777" w:rsidR="00740A74" w:rsidRPr="00DF5A92" w:rsidRDefault="00944B8F" w:rsidP="00762FA7">
            <w:pPr>
              <w:pStyle w:val="EMEANormal"/>
              <w:keepNext/>
              <w:ind w:left="20"/>
              <w:rPr>
                <w:del w:id="6390" w:author="AbbVie19" w:date="2025-04-16T10:42:00Z"/>
                <w:szCs w:val="22"/>
                <w:vertAlign w:val="superscript"/>
              </w:rPr>
            </w:pPr>
            <w:del w:id="6391" w:author="AbbVie19" w:date="2025-04-16T10:42:00Z">
              <w:r>
                <w:rPr>
                  <w:szCs w:val="22"/>
                  <w:vertAlign w:val="superscript"/>
                </w:rPr>
                <w:delText>c</w:delText>
              </w:r>
              <w:r w:rsidRPr="00CA1ECC">
                <w:rPr>
                  <w:szCs w:val="22"/>
                </w:rPr>
                <w:delText xml:space="preserve"> </w:delText>
              </w:r>
              <w:r w:rsidRPr="00DF5A92">
                <w:rPr>
                  <w:szCs w:val="22"/>
                </w:rPr>
                <w:delText>Ankylosing Spondylitis Disease Activity Score</w:delText>
              </w:r>
            </w:del>
          </w:p>
          <w:p w14:paraId="491EEF06" w14:textId="77777777" w:rsidR="00740A74" w:rsidRPr="00CA1ECC" w:rsidRDefault="00944B8F" w:rsidP="00762FA7">
            <w:pPr>
              <w:keepNext/>
              <w:tabs>
                <w:tab w:val="clear" w:pos="562"/>
              </w:tabs>
              <w:suppressAutoHyphens w:val="0"/>
              <w:autoSpaceDE w:val="0"/>
              <w:autoSpaceDN w:val="0"/>
              <w:adjustRightInd w:val="0"/>
              <w:rPr>
                <w:del w:id="6392" w:author="AbbVie19" w:date="2025-04-16T10:42:00Z"/>
                <w:szCs w:val="22"/>
              </w:rPr>
            </w:pPr>
            <w:del w:id="6393" w:author="AbbVie19" w:date="2025-04-16T10:42:00Z">
              <w:r>
                <w:rPr>
                  <w:szCs w:val="22"/>
                  <w:vertAlign w:val="superscript"/>
                </w:rPr>
                <w:delText>d</w:delText>
              </w:r>
              <w:r w:rsidRPr="00DF5A92">
                <w:rPr>
                  <w:szCs w:val="22"/>
                </w:rPr>
                <w:delText xml:space="preserve"> Partial flare is defined as </w:delText>
              </w:r>
              <w:r w:rsidRPr="00DF5A92">
                <w:rPr>
                  <w:rFonts w:eastAsiaTheme="minorHAnsi"/>
                  <w:szCs w:val="22"/>
                </w:rPr>
                <w:delText>ASDAS ≥ 1.3 but &lt; 2.1</w:delText>
              </w:r>
              <w:r>
                <w:rPr>
                  <w:rFonts w:eastAsiaTheme="minorHAnsi"/>
                  <w:szCs w:val="22"/>
                </w:rPr>
                <w:delText xml:space="preserve"> </w:delText>
              </w:r>
              <w:r w:rsidRPr="00DF5A92">
                <w:rPr>
                  <w:rFonts w:eastAsiaTheme="minorHAnsi"/>
                  <w:szCs w:val="22"/>
                </w:rPr>
                <w:delText>at 2 consecutive visits.</w:delText>
              </w:r>
            </w:del>
          </w:p>
          <w:p w14:paraId="42C496EA" w14:textId="77777777" w:rsidR="00740A74" w:rsidRPr="002A3533" w:rsidRDefault="00944B8F" w:rsidP="00762FA7">
            <w:pPr>
              <w:pStyle w:val="EMEANormal"/>
              <w:keepNext/>
              <w:ind w:left="20"/>
              <w:rPr>
                <w:del w:id="6394" w:author="AbbVie19" w:date="2025-04-16T10:42:00Z"/>
              </w:rPr>
            </w:pPr>
            <w:del w:id="6395" w:author="AbbVie19" w:date="2025-04-16T10:42:00Z">
              <w:r w:rsidRPr="00CA1ECC">
                <w:rPr>
                  <w:szCs w:val="22"/>
                </w:rPr>
                <w:delText>**</w:delText>
              </w:r>
              <w:r>
                <w:rPr>
                  <w:szCs w:val="22"/>
                </w:rPr>
                <w:delText>*</w:delText>
              </w:r>
              <w:r w:rsidRPr="00CA1ECC">
                <w:rPr>
                  <w:szCs w:val="22"/>
                </w:rPr>
                <w:delText>, *</w:delText>
              </w:r>
              <w:r>
                <w:rPr>
                  <w:szCs w:val="22"/>
                </w:rPr>
                <w:delText>*</w:delText>
              </w:r>
              <w:r w:rsidRPr="00CA1ECC">
                <w:rPr>
                  <w:szCs w:val="22"/>
                </w:rPr>
                <w:delText xml:space="preserve"> Statistically significant at p &lt; 0.001</w:delText>
              </w:r>
              <w:r>
                <w:rPr>
                  <w:szCs w:val="22"/>
                </w:rPr>
                <w:delText xml:space="preserve"> and</w:delText>
              </w:r>
              <w:r w:rsidRPr="00CA1ECC">
                <w:rPr>
                  <w:szCs w:val="22"/>
                </w:rPr>
                <w:delText xml:space="preserve"> &lt; 0.01, respectively, for all comparisons between Humira and placebo.</w:delText>
              </w:r>
            </w:del>
          </w:p>
        </w:tc>
      </w:tr>
    </w:tbl>
    <w:p w14:paraId="12BF2F1E" w14:textId="77777777" w:rsidR="00BC0E7E" w:rsidRPr="00BC0E7E" w:rsidRDefault="00BC0E7E" w:rsidP="00762FA7">
      <w:pPr>
        <w:rPr>
          <w:del w:id="6396" w:author="AbbVie19" w:date="2025-04-16T10:42:00Z"/>
          <w:szCs w:val="20"/>
        </w:rPr>
      </w:pPr>
    </w:p>
    <w:p w14:paraId="4B7F4D3E" w14:textId="77777777" w:rsidR="00BC0E7E" w:rsidRPr="00BC0E7E" w:rsidRDefault="00944B8F" w:rsidP="00762FA7">
      <w:pPr>
        <w:rPr>
          <w:del w:id="6397" w:author="AbbVie19" w:date="2025-04-16T10:42:00Z"/>
          <w:i/>
          <w:szCs w:val="20"/>
        </w:rPr>
      </w:pPr>
      <w:del w:id="6398" w:author="AbbVie19" w:date="2025-04-16T10:42:00Z">
        <w:r w:rsidRPr="00BC0E7E">
          <w:rPr>
            <w:i/>
            <w:szCs w:val="20"/>
          </w:rPr>
          <w:delText>Psoriatic arthritis</w:delText>
        </w:r>
      </w:del>
    </w:p>
    <w:p w14:paraId="6DC317F7" w14:textId="77777777" w:rsidR="00BC0E7E" w:rsidRPr="00BC0E7E" w:rsidRDefault="00BC0E7E" w:rsidP="00762FA7">
      <w:pPr>
        <w:rPr>
          <w:del w:id="6399" w:author="AbbVie19" w:date="2025-04-16T10:42:00Z"/>
          <w:szCs w:val="20"/>
        </w:rPr>
      </w:pPr>
    </w:p>
    <w:p w14:paraId="707B53C4" w14:textId="77777777" w:rsidR="00BC0E7E" w:rsidRPr="00BC0E7E" w:rsidRDefault="00944B8F" w:rsidP="00762FA7">
      <w:pPr>
        <w:tabs>
          <w:tab w:val="clear" w:pos="562"/>
        </w:tabs>
        <w:rPr>
          <w:del w:id="6400" w:author="AbbVie19" w:date="2025-04-16T10:42:00Z"/>
        </w:rPr>
      </w:pPr>
      <w:del w:id="6401" w:author="AbbVie19" w:date="2025-04-16T10:42:00Z">
        <w:r w:rsidRPr="00BC0E7E">
          <w:delText>Humira, 40 mg every other week, was studied in patients with moderately to severely active psoriatic arthritis in two placebo-controlled studies, PsA studies I and II.  PsA study I with 24 week duration, treated 313 adult patients who had an inadequate response to non-steroidal anti-inflammatory drug therapy and of these, approximately 50% were taking methotrexate. PsA study II with 12</w:delText>
        </w:r>
        <w:r w:rsidRPr="00BC0E7E">
          <w:noBreakHyphen/>
          <w:delText>week duration, treated 100 patients who had an inadequate response to DMARD therapy. Upon completion of both studies, 383 patients enrolled in an open-label extension study, in which 40 mg Humira was administered every other week.</w:delText>
        </w:r>
      </w:del>
    </w:p>
    <w:p w14:paraId="46497BEA" w14:textId="77777777" w:rsidR="00BC0E7E" w:rsidRPr="00BC0E7E" w:rsidRDefault="00BC0E7E" w:rsidP="00762FA7">
      <w:pPr>
        <w:tabs>
          <w:tab w:val="clear" w:pos="562"/>
        </w:tabs>
        <w:rPr>
          <w:del w:id="6402" w:author="AbbVie19" w:date="2025-04-16T10:42:00Z"/>
        </w:rPr>
      </w:pPr>
    </w:p>
    <w:p w14:paraId="0C23A7A3" w14:textId="77777777" w:rsidR="00BC0E7E" w:rsidRPr="00BC0E7E" w:rsidRDefault="00944B8F" w:rsidP="00762FA7">
      <w:pPr>
        <w:tabs>
          <w:tab w:val="clear" w:pos="562"/>
        </w:tabs>
        <w:rPr>
          <w:del w:id="6403" w:author="AbbVie19" w:date="2025-04-16T10:42:00Z"/>
        </w:rPr>
      </w:pPr>
      <w:del w:id="6404" w:author="AbbVie19" w:date="2025-04-16T10:42:00Z">
        <w:r w:rsidRPr="00BC0E7E">
          <w:delText xml:space="preserve">There is insufficient evidence of the efficacy of Humira in patients with ankylosing spondylitis-like psoriatic arthropathy due to the small number of patients studied. </w:delText>
        </w:r>
      </w:del>
    </w:p>
    <w:p w14:paraId="4EE2D3B5" w14:textId="77777777" w:rsidR="00BC0E7E" w:rsidRPr="00BC0E7E" w:rsidRDefault="00BC0E7E" w:rsidP="00762FA7">
      <w:pPr>
        <w:keepNext/>
        <w:tabs>
          <w:tab w:val="clear" w:pos="562"/>
        </w:tabs>
        <w:rPr>
          <w:del w:id="6405" w:author="AbbVie19" w:date="2025-04-16T10:42:00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18"/>
      </w:tblGrid>
      <w:tr w:rsidR="00C6578C" w14:paraId="734AD5AE" w14:textId="77777777" w:rsidTr="00171601">
        <w:trPr>
          <w:jc w:val="center"/>
          <w:del w:id="6406" w:author="AbbVie19" w:date="2025-04-16T10:42:00Z"/>
        </w:trPr>
        <w:tc>
          <w:tcPr>
            <w:tcW w:w="11826" w:type="dxa"/>
            <w:tcBorders>
              <w:top w:val="nil"/>
              <w:left w:val="nil"/>
              <w:bottom w:val="nil"/>
              <w:right w:val="nil"/>
            </w:tcBorders>
            <w:vAlign w:val="center"/>
          </w:tcPr>
          <w:p w14:paraId="6EE0A922" w14:textId="77777777" w:rsidR="00BC0E7E" w:rsidRPr="00BC0E7E" w:rsidRDefault="00944B8F" w:rsidP="00762FA7">
            <w:pPr>
              <w:keepNext/>
              <w:jc w:val="center"/>
              <w:rPr>
                <w:del w:id="6407" w:author="AbbVie19" w:date="2025-04-16T10:42:00Z"/>
                <w:b/>
                <w:bCs/>
                <w:szCs w:val="20"/>
              </w:rPr>
            </w:pPr>
            <w:del w:id="6408" w:author="AbbVie19" w:date="2025-04-16T10:42:00Z">
              <w:r w:rsidRPr="00BC0E7E">
                <w:rPr>
                  <w:b/>
                  <w:bCs/>
                  <w:szCs w:val="20"/>
                </w:rPr>
                <w:delText xml:space="preserve">Table </w:delText>
              </w:r>
              <w:r w:rsidR="006668FE">
                <w:rPr>
                  <w:b/>
                  <w:bCs/>
                  <w:szCs w:val="20"/>
                </w:rPr>
                <w:delText>1</w:delText>
              </w:r>
              <w:r w:rsidR="005F03EC">
                <w:rPr>
                  <w:b/>
                  <w:bCs/>
                  <w:szCs w:val="20"/>
                </w:rPr>
                <w:delText>5</w:delText>
              </w:r>
            </w:del>
          </w:p>
          <w:p w14:paraId="3BC56A26" w14:textId="77777777" w:rsidR="00BC0E7E" w:rsidRPr="00BC0E7E" w:rsidRDefault="00944B8F" w:rsidP="00762FA7">
            <w:pPr>
              <w:keepNext/>
              <w:jc w:val="center"/>
              <w:rPr>
                <w:del w:id="6409" w:author="AbbVie19" w:date="2025-04-16T10:42:00Z"/>
                <w:b/>
                <w:bCs/>
                <w:szCs w:val="20"/>
              </w:rPr>
            </w:pPr>
            <w:del w:id="6410" w:author="AbbVie19" w:date="2025-04-16T10:42:00Z">
              <w:r w:rsidRPr="00BC0E7E">
                <w:rPr>
                  <w:b/>
                  <w:bCs/>
                  <w:szCs w:val="20"/>
                </w:rPr>
                <w:delText>ACR Response in Placebo-Controlled Psoriatic Arthritis Studies</w:delText>
              </w:r>
            </w:del>
          </w:p>
          <w:p w14:paraId="1F8603C1" w14:textId="77777777" w:rsidR="00BC0E7E" w:rsidRPr="00BC0E7E" w:rsidRDefault="00944B8F" w:rsidP="00762FA7">
            <w:pPr>
              <w:keepNext/>
              <w:jc w:val="center"/>
              <w:rPr>
                <w:del w:id="6411" w:author="AbbVie19" w:date="2025-04-16T10:42:00Z"/>
                <w:b/>
                <w:bCs/>
                <w:szCs w:val="20"/>
              </w:rPr>
            </w:pPr>
            <w:del w:id="6412" w:author="AbbVie19" w:date="2025-04-16T10:42:00Z">
              <w:r w:rsidRPr="00BC0E7E">
                <w:rPr>
                  <w:b/>
                  <w:bCs/>
                  <w:szCs w:val="20"/>
                </w:rPr>
                <w:delText>(Percent of Patients)</w:delText>
              </w:r>
            </w:del>
          </w:p>
        </w:tc>
      </w:tr>
    </w:tbl>
    <w:p w14:paraId="18F47ADC" w14:textId="77777777" w:rsidR="00BC0E7E" w:rsidRPr="00BC0E7E" w:rsidRDefault="00BC0E7E" w:rsidP="00762FA7">
      <w:pPr>
        <w:keepNext/>
        <w:rPr>
          <w:del w:id="6413" w:author="AbbVie19" w:date="2025-04-16T10:42:00Z"/>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5"/>
        <w:gridCol w:w="1325"/>
        <w:gridCol w:w="1316"/>
        <w:gridCol w:w="1343"/>
        <w:gridCol w:w="1316"/>
        <w:gridCol w:w="11"/>
      </w:tblGrid>
      <w:tr w:rsidR="00C6578C" w14:paraId="4A52A92C" w14:textId="77777777" w:rsidTr="000244DF">
        <w:trPr>
          <w:gridAfter w:val="1"/>
          <w:wAfter w:w="11" w:type="dxa"/>
          <w:jc w:val="center"/>
          <w:del w:id="6414" w:author="AbbVie19" w:date="2025-04-16T10:42:00Z"/>
        </w:trPr>
        <w:tc>
          <w:tcPr>
            <w:tcW w:w="1775" w:type="dxa"/>
            <w:vAlign w:val="center"/>
          </w:tcPr>
          <w:p w14:paraId="761A0D21" w14:textId="77777777" w:rsidR="00BC0E7E" w:rsidRPr="00BC0E7E" w:rsidRDefault="00BC0E7E" w:rsidP="00762FA7">
            <w:pPr>
              <w:keepNext/>
              <w:rPr>
                <w:del w:id="6415" w:author="AbbVie19" w:date="2025-04-16T10:42:00Z"/>
                <w:szCs w:val="20"/>
              </w:rPr>
            </w:pPr>
          </w:p>
        </w:tc>
        <w:tc>
          <w:tcPr>
            <w:tcW w:w="2641" w:type="dxa"/>
            <w:gridSpan w:val="2"/>
            <w:vAlign w:val="center"/>
          </w:tcPr>
          <w:p w14:paraId="6076A891" w14:textId="77777777" w:rsidR="00BC0E7E" w:rsidRPr="00BC0E7E" w:rsidRDefault="00944B8F" w:rsidP="00762FA7">
            <w:pPr>
              <w:keepNext/>
              <w:jc w:val="center"/>
              <w:rPr>
                <w:del w:id="6416" w:author="AbbVie19" w:date="2025-04-16T10:42:00Z"/>
                <w:szCs w:val="20"/>
              </w:rPr>
            </w:pPr>
            <w:del w:id="6417" w:author="AbbVie19" w:date="2025-04-16T10:42:00Z">
              <w:r w:rsidRPr="00BC0E7E">
                <w:rPr>
                  <w:szCs w:val="20"/>
                </w:rPr>
                <w:delText>PsA Study I</w:delText>
              </w:r>
            </w:del>
          </w:p>
        </w:tc>
        <w:tc>
          <w:tcPr>
            <w:tcW w:w="2659" w:type="dxa"/>
            <w:gridSpan w:val="2"/>
          </w:tcPr>
          <w:p w14:paraId="432DAD00" w14:textId="77777777" w:rsidR="00BC0E7E" w:rsidRPr="00BC0E7E" w:rsidRDefault="00944B8F" w:rsidP="00762FA7">
            <w:pPr>
              <w:keepNext/>
              <w:jc w:val="center"/>
              <w:rPr>
                <w:del w:id="6418" w:author="AbbVie19" w:date="2025-04-16T10:42:00Z"/>
                <w:szCs w:val="20"/>
              </w:rPr>
            </w:pPr>
            <w:del w:id="6419" w:author="AbbVie19" w:date="2025-04-16T10:42:00Z">
              <w:r w:rsidRPr="00BC0E7E">
                <w:rPr>
                  <w:szCs w:val="20"/>
                </w:rPr>
                <w:delText>PsA Study II</w:delText>
              </w:r>
            </w:del>
          </w:p>
        </w:tc>
      </w:tr>
      <w:tr w:rsidR="00C6578C" w14:paraId="781E9FF7" w14:textId="77777777" w:rsidTr="000244DF">
        <w:trPr>
          <w:gridAfter w:val="1"/>
          <w:wAfter w:w="11" w:type="dxa"/>
          <w:jc w:val="center"/>
          <w:del w:id="6420" w:author="AbbVie19" w:date="2025-04-16T10:42:00Z"/>
        </w:trPr>
        <w:tc>
          <w:tcPr>
            <w:tcW w:w="1775" w:type="dxa"/>
            <w:vAlign w:val="center"/>
          </w:tcPr>
          <w:p w14:paraId="6030E475" w14:textId="77777777" w:rsidR="00BC0E7E" w:rsidRPr="00762FA7" w:rsidRDefault="00944B8F" w:rsidP="00762FA7">
            <w:pPr>
              <w:keepNext/>
              <w:rPr>
                <w:del w:id="6421" w:author="AbbVie19" w:date="2025-04-16T10:42:00Z"/>
                <w:szCs w:val="20"/>
                <w:lang w:val="fr-FR"/>
              </w:rPr>
            </w:pPr>
            <w:del w:id="6422" w:author="AbbVie19" w:date="2025-04-16T10:42:00Z">
              <w:r w:rsidRPr="00762FA7">
                <w:rPr>
                  <w:szCs w:val="20"/>
                  <w:lang w:val="fr-FR"/>
                </w:rPr>
                <w:delText>Response</w:delText>
              </w:r>
            </w:del>
          </w:p>
        </w:tc>
        <w:tc>
          <w:tcPr>
            <w:tcW w:w="1325" w:type="dxa"/>
            <w:vAlign w:val="center"/>
          </w:tcPr>
          <w:p w14:paraId="4EB956C9" w14:textId="77777777" w:rsidR="00BC0E7E" w:rsidRPr="00762FA7" w:rsidRDefault="00944B8F" w:rsidP="00762FA7">
            <w:pPr>
              <w:keepNext/>
              <w:jc w:val="center"/>
              <w:rPr>
                <w:del w:id="6423" w:author="AbbVie19" w:date="2025-04-16T10:42:00Z"/>
                <w:szCs w:val="20"/>
                <w:lang w:val="fr-FR"/>
              </w:rPr>
            </w:pPr>
            <w:del w:id="6424" w:author="AbbVie19" w:date="2025-04-16T10:42:00Z">
              <w:r w:rsidRPr="00762FA7">
                <w:rPr>
                  <w:szCs w:val="20"/>
                  <w:lang w:val="fr-FR"/>
                </w:rPr>
                <w:delText>Placebo</w:delText>
              </w:r>
            </w:del>
          </w:p>
          <w:p w14:paraId="374347A5" w14:textId="77777777" w:rsidR="00BC0E7E" w:rsidRPr="00762FA7" w:rsidRDefault="00944B8F" w:rsidP="00762FA7">
            <w:pPr>
              <w:keepNext/>
              <w:jc w:val="center"/>
              <w:rPr>
                <w:del w:id="6425" w:author="AbbVie19" w:date="2025-04-16T10:42:00Z"/>
                <w:szCs w:val="20"/>
                <w:lang w:val="fr-FR"/>
              </w:rPr>
            </w:pPr>
            <w:del w:id="6426" w:author="AbbVie19" w:date="2025-04-16T10:42:00Z">
              <w:r w:rsidRPr="00762FA7">
                <w:rPr>
                  <w:szCs w:val="20"/>
                  <w:lang w:val="fr-FR"/>
                </w:rPr>
                <w:delText>N=162</w:delText>
              </w:r>
            </w:del>
          </w:p>
        </w:tc>
        <w:tc>
          <w:tcPr>
            <w:tcW w:w="1316" w:type="dxa"/>
            <w:tcBorders>
              <w:right w:val="nil"/>
            </w:tcBorders>
            <w:vAlign w:val="center"/>
          </w:tcPr>
          <w:p w14:paraId="2B204AA0" w14:textId="77777777" w:rsidR="00BC0E7E" w:rsidRPr="00762FA7" w:rsidRDefault="00944B8F" w:rsidP="00762FA7">
            <w:pPr>
              <w:keepNext/>
              <w:jc w:val="center"/>
              <w:rPr>
                <w:del w:id="6427" w:author="AbbVie19" w:date="2025-04-16T10:42:00Z"/>
                <w:szCs w:val="20"/>
                <w:lang w:val="fr-FR"/>
              </w:rPr>
            </w:pPr>
            <w:del w:id="6428" w:author="AbbVie19" w:date="2025-04-16T10:42:00Z">
              <w:r w:rsidRPr="00762FA7">
                <w:rPr>
                  <w:szCs w:val="20"/>
                  <w:lang w:val="fr-FR"/>
                </w:rPr>
                <w:delText>Humira</w:delText>
              </w:r>
            </w:del>
          </w:p>
          <w:p w14:paraId="10DBB31F" w14:textId="77777777" w:rsidR="00BC0E7E" w:rsidRPr="00762FA7" w:rsidRDefault="00944B8F" w:rsidP="00762FA7">
            <w:pPr>
              <w:keepNext/>
              <w:jc w:val="center"/>
              <w:rPr>
                <w:del w:id="6429" w:author="AbbVie19" w:date="2025-04-16T10:42:00Z"/>
                <w:szCs w:val="20"/>
                <w:lang w:val="fr-FR"/>
              </w:rPr>
            </w:pPr>
            <w:del w:id="6430" w:author="AbbVie19" w:date="2025-04-16T10:42:00Z">
              <w:r w:rsidRPr="00762FA7">
                <w:rPr>
                  <w:szCs w:val="20"/>
                  <w:lang w:val="fr-FR"/>
                </w:rPr>
                <w:delText>N=151</w:delText>
              </w:r>
            </w:del>
          </w:p>
        </w:tc>
        <w:tc>
          <w:tcPr>
            <w:tcW w:w="1343" w:type="dxa"/>
          </w:tcPr>
          <w:p w14:paraId="57735B51" w14:textId="77777777" w:rsidR="00BC0E7E" w:rsidRPr="00762FA7" w:rsidRDefault="00944B8F" w:rsidP="00762FA7">
            <w:pPr>
              <w:keepNext/>
              <w:jc w:val="center"/>
              <w:rPr>
                <w:del w:id="6431" w:author="AbbVie19" w:date="2025-04-16T10:42:00Z"/>
                <w:szCs w:val="20"/>
                <w:lang w:val="fr-FR"/>
              </w:rPr>
            </w:pPr>
            <w:del w:id="6432" w:author="AbbVie19" w:date="2025-04-16T10:42:00Z">
              <w:r w:rsidRPr="00762FA7">
                <w:rPr>
                  <w:szCs w:val="20"/>
                  <w:lang w:val="fr-FR"/>
                </w:rPr>
                <w:delText xml:space="preserve">Placebo </w:delText>
              </w:r>
            </w:del>
          </w:p>
          <w:p w14:paraId="7F830EF5" w14:textId="77777777" w:rsidR="00BC0E7E" w:rsidRPr="00762FA7" w:rsidRDefault="00944B8F" w:rsidP="00762FA7">
            <w:pPr>
              <w:keepNext/>
              <w:jc w:val="center"/>
              <w:rPr>
                <w:del w:id="6433" w:author="AbbVie19" w:date="2025-04-16T10:42:00Z"/>
                <w:szCs w:val="20"/>
                <w:lang w:val="fr-FR"/>
              </w:rPr>
            </w:pPr>
            <w:del w:id="6434" w:author="AbbVie19" w:date="2025-04-16T10:42:00Z">
              <w:r w:rsidRPr="00762FA7">
                <w:rPr>
                  <w:szCs w:val="20"/>
                  <w:lang w:val="fr-FR"/>
                </w:rPr>
                <w:delText>N=49</w:delText>
              </w:r>
            </w:del>
          </w:p>
        </w:tc>
        <w:tc>
          <w:tcPr>
            <w:tcW w:w="1316" w:type="dxa"/>
          </w:tcPr>
          <w:p w14:paraId="61E1D9B8" w14:textId="77777777" w:rsidR="00BC0E7E" w:rsidRPr="00762FA7" w:rsidRDefault="00944B8F" w:rsidP="00762FA7">
            <w:pPr>
              <w:keepNext/>
              <w:jc w:val="center"/>
              <w:rPr>
                <w:del w:id="6435" w:author="AbbVie19" w:date="2025-04-16T10:42:00Z"/>
                <w:szCs w:val="20"/>
                <w:lang w:val="fr-FR"/>
              </w:rPr>
            </w:pPr>
            <w:del w:id="6436" w:author="AbbVie19" w:date="2025-04-16T10:42:00Z">
              <w:r w:rsidRPr="00762FA7">
                <w:rPr>
                  <w:szCs w:val="20"/>
                  <w:lang w:val="fr-FR"/>
                </w:rPr>
                <w:delText>Humira</w:delText>
              </w:r>
            </w:del>
          </w:p>
          <w:p w14:paraId="306A467B" w14:textId="77777777" w:rsidR="00BC0E7E" w:rsidRPr="00BC0E7E" w:rsidRDefault="00944B8F" w:rsidP="00762FA7">
            <w:pPr>
              <w:keepNext/>
              <w:jc w:val="center"/>
              <w:rPr>
                <w:del w:id="6437" w:author="AbbVie19" w:date="2025-04-16T10:42:00Z"/>
                <w:szCs w:val="20"/>
              </w:rPr>
            </w:pPr>
            <w:del w:id="6438" w:author="AbbVie19" w:date="2025-04-16T10:42:00Z">
              <w:r w:rsidRPr="00BC0E7E">
                <w:rPr>
                  <w:szCs w:val="20"/>
                </w:rPr>
                <w:delText>N=51</w:delText>
              </w:r>
            </w:del>
          </w:p>
        </w:tc>
      </w:tr>
      <w:tr w:rsidR="00C6578C" w14:paraId="45F8A435" w14:textId="77777777" w:rsidTr="000244DF">
        <w:trPr>
          <w:gridAfter w:val="1"/>
          <w:wAfter w:w="11" w:type="dxa"/>
          <w:jc w:val="center"/>
          <w:del w:id="6439" w:author="AbbVie19" w:date="2025-04-16T10:42:00Z"/>
        </w:trPr>
        <w:tc>
          <w:tcPr>
            <w:tcW w:w="1775" w:type="dxa"/>
            <w:tcBorders>
              <w:bottom w:val="nil"/>
            </w:tcBorders>
          </w:tcPr>
          <w:p w14:paraId="49EBCB47" w14:textId="77777777" w:rsidR="00BC0E7E" w:rsidRPr="00BC0E7E" w:rsidRDefault="00944B8F" w:rsidP="00762FA7">
            <w:pPr>
              <w:keepNext/>
              <w:rPr>
                <w:del w:id="6440" w:author="AbbVie19" w:date="2025-04-16T10:42:00Z"/>
                <w:szCs w:val="20"/>
              </w:rPr>
            </w:pPr>
            <w:del w:id="6441" w:author="AbbVie19" w:date="2025-04-16T10:42:00Z">
              <w:r w:rsidRPr="00BC0E7E">
                <w:rPr>
                  <w:szCs w:val="20"/>
                </w:rPr>
                <w:delText xml:space="preserve">ACR 20 </w:delText>
              </w:r>
            </w:del>
          </w:p>
        </w:tc>
        <w:tc>
          <w:tcPr>
            <w:tcW w:w="1325" w:type="dxa"/>
            <w:tcBorders>
              <w:bottom w:val="nil"/>
            </w:tcBorders>
          </w:tcPr>
          <w:p w14:paraId="75E24911" w14:textId="77777777" w:rsidR="00BC0E7E" w:rsidRPr="00BC0E7E" w:rsidRDefault="00BC0E7E" w:rsidP="00762FA7">
            <w:pPr>
              <w:keepNext/>
              <w:jc w:val="center"/>
              <w:rPr>
                <w:del w:id="6442" w:author="AbbVie19" w:date="2025-04-16T10:42:00Z"/>
                <w:szCs w:val="20"/>
              </w:rPr>
            </w:pPr>
          </w:p>
        </w:tc>
        <w:tc>
          <w:tcPr>
            <w:tcW w:w="1316" w:type="dxa"/>
            <w:tcBorders>
              <w:bottom w:val="nil"/>
              <w:right w:val="nil"/>
            </w:tcBorders>
          </w:tcPr>
          <w:p w14:paraId="051A0F0F" w14:textId="77777777" w:rsidR="00BC0E7E" w:rsidRPr="00BC0E7E" w:rsidRDefault="00BC0E7E" w:rsidP="00762FA7">
            <w:pPr>
              <w:keepNext/>
              <w:jc w:val="center"/>
              <w:rPr>
                <w:del w:id="6443" w:author="AbbVie19" w:date="2025-04-16T10:42:00Z"/>
                <w:szCs w:val="20"/>
              </w:rPr>
            </w:pPr>
          </w:p>
        </w:tc>
        <w:tc>
          <w:tcPr>
            <w:tcW w:w="1343" w:type="dxa"/>
            <w:tcBorders>
              <w:bottom w:val="nil"/>
            </w:tcBorders>
          </w:tcPr>
          <w:p w14:paraId="53C06BEB" w14:textId="77777777" w:rsidR="00BC0E7E" w:rsidRPr="00BC0E7E" w:rsidRDefault="00BC0E7E" w:rsidP="00762FA7">
            <w:pPr>
              <w:keepNext/>
              <w:jc w:val="center"/>
              <w:rPr>
                <w:del w:id="6444" w:author="AbbVie19" w:date="2025-04-16T10:42:00Z"/>
                <w:szCs w:val="20"/>
              </w:rPr>
            </w:pPr>
          </w:p>
        </w:tc>
        <w:tc>
          <w:tcPr>
            <w:tcW w:w="1316" w:type="dxa"/>
            <w:tcBorders>
              <w:bottom w:val="nil"/>
            </w:tcBorders>
          </w:tcPr>
          <w:p w14:paraId="17F8FC6D" w14:textId="77777777" w:rsidR="00BC0E7E" w:rsidRPr="00BC0E7E" w:rsidRDefault="00BC0E7E" w:rsidP="00762FA7">
            <w:pPr>
              <w:keepNext/>
              <w:jc w:val="center"/>
              <w:rPr>
                <w:del w:id="6445" w:author="AbbVie19" w:date="2025-04-16T10:42:00Z"/>
                <w:szCs w:val="20"/>
              </w:rPr>
            </w:pPr>
          </w:p>
        </w:tc>
      </w:tr>
      <w:tr w:rsidR="00C6578C" w14:paraId="32C3F695" w14:textId="77777777" w:rsidTr="000244DF">
        <w:trPr>
          <w:gridAfter w:val="1"/>
          <w:wAfter w:w="11" w:type="dxa"/>
          <w:jc w:val="center"/>
          <w:del w:id="6446" w:author="AbbVie19" w:date="2025-04-16T10:42:00Z"/>
        </w:trPr>
        <w:tc>
          <w:tcPr>
            <w:tcW w:w="1775" w:type="dxa"/>
            <w:tcBorders>
              <w:top w:val="nil"/>
              <w:bottom w:val="nil"/>
            </w:tcBorders>
          </w:tcPr>
          <w:p w14:paraId="6EC07173" w14:textId="77777777" w:rsidR="00BC0E7E" w:rsidRPr="00BC0E7E" w:rsidRDefault="00944B8F" w:rsidP="00762FA7">
            <w:pPr>
              <w:keepNext/>
              <w:rPr>
                <w:del w:id="6447" w:author="AbbVie19" w:date="2025-04-16T10:42:00Z"/>
                <w:szCs w:val="20"/>
              </w:rPr>
            </w:pPr>
            <w:del w:id="6448" w:author="AbbVie19" w:date="2025-04-16T10:42:00Z">
              <w:r w:rsidRPr="00BC0E7E">
                <w:rPr>
                  <w:szCs w:val="20"/>
                </w:rPr>
                <w:tab/>
                <w:delText>Week 12</w:delText>
              </w:r>
            </w:del>
          </w:p>
        </w:tc>
        <w:tc>
          <w:tcPr>
            <w:tcW w:w="1325" w:type="dxa"/>
            <w:tcBorders>
              <w:top w:val="nil"/>
              <w:bottom w:val="nil"/>
            </w:tcBorders>
          </w:tcPr>
          <w:p w14:paraId="67CD2DB4" w14:textId="77777777" w:rsidR="00BC0E7E" w:rsidRPr="00BC0E7E" w:rsidRDefault="00944B8F" w:rsidP="00762FA7">
            <w:pPr>
              <w:keepNext/>
              <w:jc w:val="center"/>
              <w:rPr>
                <w:del w:id="6449" w:author="AbbVie19" w:date="2025-04-16T10:42:00Z"/>
                <w:szCs w:val="20"/>
              </w:rPr>
            </w:pPr>
            <w:del w:id="6450" w:author="AbbVie19" w:date="2025-04-16T10:42:00Z">
              <w:r w:rsidRPr="00BC0E7E">
                <w:rPr>
                  <w:szCs w:val="20"/>
                </w:rPr>
                <w:delText>14%</w:delText>
              </w:r>
            </w:del>
          </w:p>
        </w:tc>
        <w:tc>
          <w:tcPr>
            <w:tcW w:w="1316" w:type="dxa"/>
            <w:tcBorders>
              <w:top w:val="nil"/>
              <w:bottom w:val="nil"/>
              <w:right w:val="nil"/>
            </w:tcBorders>
          </w:tcPr>
          <w:p w14:paraId="455F4601" w14:textId="77777777" w:rsidR="00BC0E7E" w:rsidRPr="00BC0E7E" w:rsidRDefault="00944B8F" w:rsidP="00762FA7">
            <w:pPr>
              <w:keepNext/>
              <w:jc w:val="center"/>
              <w:rPr>
                <w:del w:id="6451" w:author="AbbVie19" w:date="2025-04-16T10:42:00Z"/>
                <w:szCs w:val="20"/>
              </w:rPr>
            </w:pPr>
            <w:del w:id="6452" w:author="AbbVie19" w:date="2025-04-16T10:42:00Z">
              <w:r w:rsidRPr="00BC0E7E">
                <w:rPr>
                  <w:szCs w:val="20"/>
                </w:rPr>
                <w:delText>58%</w:delText>
              </w:r>
              <w:r w:rsidRPr="00BC0E7E">
                <w:rPr>
                  <w:szCs w:val="20"/>
                  <w:vertAlign w:val="superscript"/>
                </w:rPr>
                <w:delText>***</w:delText>
              </w:r>
            </w:del>
          </w:p>
        </w:tc>
        <w:tc>
          <w:tcPr>
            <w:tcW w:w="1343" w:type="dxa"/>
            <w:tcBorders>
              <w:top w:val="nil"/>
              <w:bottom w:val="nil"/>
            </w:tcBorders>
          </w:tcPr>
          <w:p w14:paraId="730D789D" w14:textId="77777777" w:rsidR="00BC0E7E" w:rsidRPr="00BC0E7E" w:rsidRDefault="00944B8F" w:rsidP="00762FA7">
            <w:pPr>
              <w:keepNext/>
              <w:jc w:val="center"/>
              <w:rPr>
                <w:del w:id="6453" w:author="AbbVie19" w:date="2025-04-16T10:42:00Z"/>
                <w:szCs w:val="20"/>
              </w:rPr>
            </w:pPr>
            <w:del w:id="6454" w:author="AbbVie19" w:date="2025-04-16T10:42:00Z">
              <w:r w:rsidRPr="00BC0E7E">
                <w:rPr>
                  <w:szCs w:val="20"/>
                </w:rPr>
                <w:delText>16%</w:delText>
              </w:r>
            </w:del>
          </w:p>
        </w:tc>
        <w:tc>
          <w:tcPr>
            <w:tcW w:w="1316" w:type="dxa"/>
            <w:tcBorders>
              <w:top w:val="nil"/>
              <w:bottom w:val="nil"/>
            </w:tcBorders>
          </w:tcPr>
          <w:p w14:paraId="66D92096" w14:textId="77777777" w:rsidR="00BC0E7E" w:rsidRPr="00BC0E7E" w:rsidRDefault="00944B8F" w:rsidP="00762FA7">
            <w:pPr>
              <w:keepNext/>
              <w:jc w:val="center"/>
              <w:rPr>
                <w:del w:id="6455" w:author="AbbVie19" w:date="2025-04-16T10:42:00Z"/>
                <w:szCs w:val="20"/>
              </w:rPr>
            </w:pPr>
            <w:del w:id="6456" w:author="AbbVie19" w:date="2025-04-16T10:42:00Z">
              <w:r w:rsidRPr="00BC0E7E">
                <w:rPr>
                  <w:szCs w:val="20"/>
                </w:rPr>
                <w:delText>39%</w:delText>
              </w:r>
              <w:r w:rsidRPr="00BC0E7E">
                <w:rPr>
                  <w:szCs w:val="20"/>
                  <w:vertAlign w:val="superscript"/>
                </w:rPr>
                <w:delText>*</w:delText>
              </w:r>
            </w:del>
          </w:p>
        </w:tc>
      </w:tr>
      <w:tr w:rsidR="00C6578C" w14:paraId="7012792D" w14:textId="77777777" w:rsidTr="000244DF">
        <w:trPr>
          <w:gridAfter w:val="1"/>
          <w:wAfter w:w="11" w:type="dxa"/>
          <w:jc w:val="center"/>
          <w:del w:id="6457" w:author="AbbVie19" w:date="2025-04-16T10:42:00Z"/>
        </w:trPr>
        <w:tc>
          <w:tcPr>
            <w:tcW w:w="1775" w:type="dxa"/>
            <w:tcBorders>
              <w:top w:val="nil"/>
              <w:bottom w:val="nil"/>
            </w:tcBorders>
          </w:tcPr>
          <w:p w14:paraId="22D76EAC" w14:textId="77777777" w:rsidR="00BC0E7E" w:rsidRPr="00BC0E7E" w:rsidRDefault="00944B8F" w:rsidP="00762FA7">
            <w:pPr>
              <w:keepNext/>
              <w:rPr>
                <w:del w:id="6458" w:author="AbbVie19" w:date="2025-04-16T10:42:00Z"/>
                <w:szCs w:val="20"/>
              </w:rPr>
            </w:pPr>
            <w:del w:id="6459" w:author="AbbVie19" w:date="2025-04-16T10:42:00Z">
              <w:r w:rsidRPr="00BC0E7E">
                <w:rPr>
                  <w:szCs w:val="20"/>
                </w:rPr>
                <w:tab/>
                <w:delText>Week 24</w:delText>
              </w:r>
            </w:del>
          </w:p>
        </w:tc>
        <w:tc>
          <w:tcPr>
            <w:tcW w:w="1325" w:type="dxa"/>
            <w:tcBorders>
              <w:top w:val="nil"/>
              <w:bottom w:val="nil"/>
            </w:tcBorders>
          </w:tcPr>
          <w:p w14:paraId="3DBD8D55" w14:textId="77777777" w:rsidR="00BC0E7E" w:rsidRPr="00BC0E7E" w:rsidRDefault="00944B8F" w:rsidP="00762FA7">
            <w:pPr>
              <w:keepNext/>
              <w:jc w:val="center"/>
              <w:rPr>
                <w:del w:id="6460" w:author="AbbVie19" w:date="2025-04-16T10:42:00Z"/>
                <w:szCs w:val="20"/>
              </w:rPr>
            </w:pPr>
            <w:del w:id="6461" w:author="AbbVie19" w:date="2025-04-16T10:42:00Z">
              <w:r w:rsidRPr="00BC0E7E">
                <w:rPr>
                  <w:szCs w:val="20"/>
                </w:rPr>
                <w:delText>15%</w:delText>
              </w:r>
            </w:del>
          </w:p>
        </w:tc>
        <w:tc>
          <w:tcPr>
            <w:tcW w:w="1316" w:type="dxa"/>
            <w:tcBorders>
              <w:top w:val="nil"/>
              <w:bottom w:val="nil"/>
              <w:right w:val="nil"/>
            </w:tcBorders>
          </w:tcPr>
          <w:p w14:paraId="2BE3CF58" w14:textId="77777777" w:rsidR="00BC0E7E" w:rsidRPr="00BC0E7E" w:rsidRDefault="00944B8F" w:rsidP="00762FA7">
            <w:pPr>
              <w:keepNext/>
              <w:jc w:val="center"/>
              <w:rPr>
                <w:del w:id="6462" w:author="AbbVie19" w:date="2025-04-16T10:42:00Z"/>
                <w:szCs w:val="20"/>
              </w:rPr>
            </w:pPr>
            <w:del w:id="6463" w:author="AbbVie19" w:date="2025-04-16T10:42:00Z">
              <w:r w:rsidRPr="00BC0E7E">
                <w:rPr>
                  <w:szCs w:val="20"/>
                </w:rPr>
                <w:delText>57%</w:delText>
              </w:r>
              <w:r w:rsidRPr="00BC0E7E">
                <w:rPr>
                  <w:szCs w:val="20"/>
                  <w:vertAlign w:val="superscript"/>
                </w:rPr>
                <w:delText>***</w:delText>
              </w:r>
            </w:del>
          </w:p>
        </w:tc>
        <w:tc>
          <w:tcPr>
            <w:tcW w:w="1343" w:type="dxa"/>
            <w:tcBorders>
              <w:top w:val="nil"/>
              <w:bottom w:val="nil"/>
            </w:tcBorders>
          </w:tcPr>
          <w:p w14:paraId="5D963829" w14:textId="77777777" w:rsidR="00BC0E7E" w:rsidRPr="00BC0E7E" w:rsidRDefault="00944B8F" w:rsidP="00762FA7">
            <w:pPr>
              <w:keepNext/>
              <w:jc w:val="center"/>
              <w:rPr>
                <w:del w:id="6464" w:author="AbbVie19" w:date="2025-04-16T10:42:00Z"/>
                <w:szCs w:val="20"/>
              </w:rPr>
            </w:pPr>
            <w:del w:id="6465" w:author="AbbVie19" w:date="2025-04-16T10:42:00Z">
              <w:r w:rsidRPr="00BC0E7E">
                <w:rPr>
                  <w:szCs w:val="20"/>
                </w:rPr>
                <w:delText>N/A</w:delText>
              </w:r>
            </w:del>
          </w:p>
        </w:tc>
        <w:tc>
          <w:tcPr>
            <w:tcW w:w="1316" w:type="dxa"/>
            <w:tcBorders>
              <w:top w:val="nil"/>
              <w:bottom w:val="nil"/>
            </w:tcBorders>
          </w:tcPr>
          <w:p w14:paraId="66F56AE3" w14:textId="77777777" w:rsidR="00BC0E7E" w:rsidRPr="00BC0E7E" w:rsidRDefault="00944B8F" w:rsidP="00762FA7">
            <w:pPr>
              <w:keepNext/>
              <w:jc w:val="center"/>
              <w:rPr>
                <w:del w:id="6466" w:author="AbbVie19" w:date="2025-04-16T10:42:00Z"/>
                <w:szCs w:val="20"/>
              </w:rPr>
            </w:pPr>
            <w:del w:id="6467" w:author="AbbVie19" w:date="2025-04-16T10:42:00Z">
              <w:r w:rsidRPr="00BC0E7E">
                <w:rPr>
                  <w:szCs w:val="20"/>
                </w:rPr>
                <w:delText>N/A</w:delText>
              </w:r>
            </w:del>
          </w:p>
        </w:tc>
      </w:tr>
      <w:tr w:rsidR="00C6578C" w14:paraId="688EB1E1" w14:textId="77777777" w:rsidTr="000244DF">
        <w:trPr>
          <w:gridAfter w:val="1"/>
          <w:wAfter w:w="11" w:type="dxa"/>
          <w:jc w:val="center"/>
          <w:del w:id="6468" w:author="AbbVie19" w:date="2025-04-16T10:42:00Z"/>
        </w:trPr>
        <w:tc>
          <w:tcPr>
            <w:tcW w:w="1775" w:type="dxa"/>
            <w:tcBorders>
              <w:top w:val="nil"/>
              <w:bottom w:val="nil"/>
            </w:tcBorders>
          </w:tcPr>
          <w:p w14:paraId="0FBFB713" w14:textId="77777777" w:rsidR="00BC0E7E" w:rsidRPr="00BC0E7E" w:rsidRDefault="00944B8F" w:rsidP="00762FA7">
            <w:pPr>
              <w:keepNext/>
              <w:rPr>
                <w:del w:id="6469" w:author="AbbVie19" w:date="2025-04-16T10:42:00Z"/>
                <w:szCs w:val="20"/>
              </w:rPr>
            </w:pPr>
            <w:del w:id="6470" w:author="AbbVie19" w:date="2025-04-16T10:42:00Z">
              <w:r w:rsidRPr="00BC0E7E">
                <w:rPr>
                  <w:szCs w:val="20"/>
                </w:rPr>
                <w:delText xml:space="preserve">ACR 50 </w:delText>
              </w:r>
            </w:del>
          </w:p>
        </w:tc>
        <w:tc>
          <w:tcPr>
            <w:tcW w:w="1325" w:type="dxa"/>
            <w:tcBorders>
              <w:top w:val="nil"/>
              <w:bottom w:val="nil"/>
            </w:tcBorders>
          </w:tcPr>
          <w:p w14:paraId="48DF13F7" w14:textId="77777777" w:rsidR="00BC0E7E" w:rsidRPr="00BC0E7E" w:rsidRDefault="00BC0E7E" w:rsidP="00762FA7">
            <w:pPr>
              <w:keepNext/>
              <w:jc w:val="center"/>
              <w:rPr>
                <w:del w:id="6471" w:author="AbbVie19" w:date="2025-04-16T10:42:00Z"/>
                <w:szCs w:val="20"/>
              </w:rPr>
            </w:pPr>
          </w:p>
        </w:tc>
        <w:tc>
          <w:tcPr>
            <w:tcW w:w="1316" w:type="dxa"/>
            <w:tcBorders>
              <w:top w:val="nil"/>
              <w:bottom w:val="nil"/>
              <w:right w:val="nil"/>
            </w:tcBorders>
          </w:tcPr>
          <w:p w14:paraId="310DD02F" w14:textId="77777777" w:rsidR="00BC0E7E" w:rsidRPr="00BC0E7E" w:rsidRDefault="00BC0E7E" w:rsidP="00762FA7">
            <w:pPr>
              <w:keepNext/>
              <w:jc w:val="center"/>
              <w:rPr>
                <w:del w:id="6472" w:author="AbbVie19" w:date="2025-04-16T10:42:00Z"/>
                <w:szCs w:val="20"/>
              </w:rPr>
            </w:pPr>
          </w:p>
        </w:tc>
        <w:tc>
          <w:tcPr>
            <w:tcW w:w="1343" w:type="dxa"/>
            <w:tcBorders>
              <w:top w:val="nil"/>
              <w:bottom w:val="nil"/>
            </w:tcBorders>
          </w:tcPr>
          <w:p w14:paraId="79F872AA" w14:textId="77777777" w:rsidR="00BC0E7E" w:rsidRPr="00BC0E7E" w:rsidRDefault="00BC0E7E" w:rsidP="00762FA7">
            <w:pPr>
              <w:keepNext/>
              <w:jc w:val="center"/>
              <w:rPr>
                <w:del w:id="6473" w:author="AbbVie19" w:date="2025-04-16T10:42:00Z"/>
                <w:szCs w:val="20"/>
              </w:rPr>
            </w:pPr>
          </w:p>
        </w:tc>
        <w:tc>
          <w:tcPr>
            <w:tcW w:w="1316" w:type="dxa"/>
            <w:tcBorders>
              <w:top w:val="nil"/>
              <w:bottom w:val="nil"/>
            </w:tcBorders>
          </w:tcPr>
          <w:p w14:paraId="4B53CA8F" w14:textId="77777777" w:rsidR="00BC0E7E" w:rsidRPr="00BC0E7E" w:rsidRDefault="00BC0E7E" w:rsidP="00762FA7">
            <w:pPr>
              <w:keepNext/>
              <w:jc w:val="center"/>
              <w:rPr>
                <w:del w:id="6474" w:author="AbbVie19" w:date="2025-04-16T10:42:00Z"/>
                <w:szCs w:val="20"/>
              </w:rPr>
            </w:pPr>
          </w:p>
        </w:tc>
      </w:tr>
      <w:tr w:rsidR="00C6578C" w14:paraId="6668CDA7" w14:textId="77777777" w:rsidTr="000244DF">
        <w:trPr>
          <w:gridAfter w:val="1"/>
          <w:wAfter w:w="11" w:type="dxa"/>
          <w:jc w:val="center"/>
          <w:del w:id="6475" w:author="AbbVie19" w:date="2025-04-16T10:42:00Z"/>
        </w:trPr>
        <w:tc>
          <w:tcPr>
            <w:tcW w:w="1775" w:type="dxa"/>
            <w:tcBorders>
              <w:top w:val="nil"/>
              <w:bottom w:val="nil"/>
            </w:tcBorders>
          </w:tcPr>
          <w:p w14:paraId="454AEE16" w14:textId="77777777" w:rsidR="00BC0E7E" w:rsidRPr="00BC0E7E" w:rsidRDefault="00944B8F" w:rsidP="00762FA7">
            <w:pPr>
              <w:keepNext/>
              <w:rPr>
                <w:del w:id="6476" w:author="AbbVie19" w:date="2025-04-16T10:42:00Z"/>
                <w:szCs w:val="20"/>
              </w:rPr>
            </w:pPr>
            <w:del w:id="6477" w:author="AbbVie19" w:date="2025-04-16T10:42:00Z">
              <w:r w:rsidRPr="00BC0E7E">
                <w:rPr>
                  <w:szCs w:val="20"/>
                </w:rPr>
                <w:tab/>
                <w:delText>Week 12</w:delText>
              </w:r>
            </w:del>
          </w:p>
        </w:tc>
        <w:tc>
          <w:tcPr>
            <w:tcW w:w="1325" w:type="dxa"/>
            <w:tcBorders>
              <w:top w:val="nil"/>
              <w:bottom w:val="nil"/>
            </w:tcBorders>
          </w:tcPr>
          <w:p w14:paraId="669CAAAA" w14:textId="77777777" w:rsidR="00BC0E7E" w:rsidRPr="00BC0E7E" w:rsidRDefault="00944B8F" w:rsidP="00762FA7">
            <w:pPr>
              <w:keepNext/>
              <w:jc w:val="center"/>
              <w:rPr>
                <w:del w:id="6478" w:author="AbbVie19" w:date="2025-04-16T10:42:00Z"/>
                <w:szCs w:val="20"/>
              </w:rPr>
            </w:pPr>
            <w:del w:id="6479" w:author="AbbVie19" w:date="2025-04-16T10:42:00Z">
              <w:r w:rsidRPr="00BC0E7E">
                <w:rPr>
                  <w:szCs w:val="20"/>
                </w:rPr>
                <w:delText>4%</w:delText>
              </w:r>
            </w:del>
          </w:p>
        </w:tc>
        <w:tc>
          <w:tcPr>
            <w:tcW w:w="1316" w:type="dxa"/>
            <w:tcBorders>
              <w:top w:val="nil"/>
              <w:bottom w:val="nil"/>
              <w:right w:val="nil"/>
            </w:tcBorders>
          </w:tcPr>
          <w:p w14:paraId="234C3272" w14:textId="77777777" w:rsidR="00BC0E7E" w:rsidRPr="00BC0E7E" w:rsidRDefault="00944B8F" w:rsidP="00762FA7">
            <w:pPr>
              <w:keepNext/>
              <w:jc w:val="center"/>
              <w:rPr>
                <w:del w:id="6480" w:author="AbbVie19" w:date="2025-04-16T10:42:00Z"/>
                <w:szCs w:val="20"/>
              </w:rPr>
            </w:pPr>
            <w:del w:id="6481" w:author="AbbVie19" w:date="2025-04-16T10:42:00Z">
              <w:r w:rsidRPr="00BC0E7E">
                <w:rPr>
                  <w:szCs w:val="20"/>
                </w:rPr>
                <w:delText>36%</w:delText>
              </w:r>
              <w:r w:rsidRPr="00BC0E7E">
                <w:rPr>
                  <w:szCs w:val="20"/>
                  <w:vertAlign w:val="superscript"/>
                </w:rPr>
                <w:delText>***</w:delText>
              </w:r>
            </w:del>
          </w:p>
        </w:tc>
        <w:tc>
          <w:tcPr>
            <w:tcW w:w="1343" w:type="dxa"/>
            <w:tcBorders>
              <w:top w:val="nil"/>
              <w:bottom w:val="nil"/>
            </w:tcBorders>
          </w:tcPr>
          <w:p w14:paraId="3D380E77" w14:textId="77777777" w:rsidR="00BC0E7E" w:rsidRPr="00BC0E7E" w:rsidRDefault="00944B8F" w:rsidP="00762FA7">
            <w:pPr>
              <w:keepNext/>
              <w:jc w:val="center"/>
              <w:rPr>
                <w:del w:id="6482" w:author="AbbVie19" w:date="2025-04-16T10:42:00Z"/>
                <w:szCs w:val="20"/>
              </w:rPr>
            </w:pPr>
            <w:del w:id="6483" w:author="AbbVie19" w:date="2025-04-16T10:42:00Z">
              <w:r w:rsidRPr="00BC0E7E">
                <w:rPr>
                  <w:szCs w:val="20"/>
                </w:rPr>
                <w:delText>2%</w:delText>
              </w:r>
            </w:del>
          </w:p>
        </w:tc>
        <w:tc>
          <w:tcPr>
            <w:tcW w:w="1316" w:type="dxa"/>
            <w:tcBorders>
              <w:top w:val="nil"/>
              <w:bottom w:val="nil"/>
            </w:tcBorders>
          </w:tcPr>
          <w:p w14:paraId="2A8FB6E9" w14:textId="77777777" w:rsidR="00BC0E7E" w:rsidRPr="00BC0E7E" w:rsidRDefault="00944B8F" w:rsidP="00762FA7">
            <w:pPr>
              <w:keepNext/>
              <w:jc w:val="center"/>
              <w:rPr>
                <w:del w:id="6484" w:author="AbbVie19" w:date="2025-04-16T10:42:00Z"/>
                <w:szCs w:val="20"/>
              </w:rPr>
            </w:pPr>
            <w:del w:id="6485" w:author="AbbVie19" w:date="2025-04-16T10:42:00Z">
              <w:r w:rsidRPr="00BC0E7E">
                <w:rPr>
                  <w:szCs w:val="20"/>
                </w:rPr>
                <w:delText>25%</w:delText>
              </w:r>
              <w:r w:rsidRPr="00BC0E7E">
                <w:rPr>
                  <w:szCs w:val="20"/>
                  <w:vertAlign w:val="superscript"/>
                </w:rPr>
                <w:delText>***</w:delText>
              </w:r>
            </w:del>
          </w:p>
        </w:tc>
      </w:tr>
      <w:tr w:rsidR="00C6578C" w14:paraId="35F93B6B" w14:textId="77777777" w:rsidTr="000244DF">
        <w:trPr>
          <w:gridAfter w:val="1"/>
          <w:wAfter w:w="11" w:type="dxa"/>
          <w:jc w:val="center"/>
          <w:del w:id="6486" w:author="AbbVie19" w:date="2025-04-16T10:42:00Z"/>
        </w:trPr>
        <w:tc>
          <w:tcPr>
            <w:tcW w:w="1775" w:type="dxa"/>
            <w:tcBorders>
              <w:top w:val="nil"/>
              <w:bottom w:val="nil"/>
            </w:tcBorders>
          </w:tcPr>
          <w:p w14:paraId="5DA664AB" w14:textId="77777777" w:rsidR="00BC0E7E" w:rsidRPr="00BC0E7E" w:rsidRDefault="00944B8F" w:rsidP="00762FA7">
            <w:pPr>
              <w:keepNext/>
              <w:rPr>
                <w:del w:id="6487" w:author="AbbVie19" w:date="2025-04-16T10:42:00Z"/>
                <w:szCs w:val="20"/>
              </w:rPr>
            </w:pPr>
            <w:del w:id="6488" w:author="AbbVie19" w:date="2025-04-16T10:42:00Z">
              <w:r w:rsidRPr="00BC0E7E">
                <w:rPr>
                  <w:szCs w:val="20"/>
                </w:rPr>
                <w:tab/>
                <w:delText>Week 24</w:delText>
              </w:r>
            </w:del>
          </w:p>
        </w:tc>
        <w:tc>
          <w:tcPr>
            <w:tcW w:w="1325" w:type="dxa"/>
            <w:tcBorders>
              <w:top w:val="nil"/>
              <w:bottom w:val="nil"/>
            </w:tcBorders>
          </w:tcPr>
          <w:p w14:paraId="5370EEA1" w14:textId="77777777" w:rsidR="00BC0E7E" w:rsidRPr="00BC0E7E" w:rsidRDefault="00944B8F" w:rsidP="00762FA7">
            <w:pPr>
              <w:keepNext/>
              <w:jc w:val="center"/>
              <w:rPr>
                <w:del w:id="6489" w:author="AbbVie19" w:date="2025-04-16T10:42:00Z"/>
                <w:szCs w:val="20"/>
              </w:rPr>
            </w:pPr>
            <w:del w:id="6490" w:author="AbbVie19" w:date="2025-04-16T10:42:00Z">
              <w:r w:rsidRPr="00BC0E7E">
                <w:rPr>
                  <w:szCs w:val="20"/>
                </w:rPr>
                <w:delText>6%</w:delText>
              </w:r>
            </w:del>
          </w:p>
        </w:tc>
        <w:tc>
          <w:tcPr>
            <w:tcW w:w="1316" w:type="dxa"/>
            <w:tcBorders>
              <w:top w:val="nil"/>
              <w:bottom w:val="nil"/>
              <w:right w:val="nil"/>
            </w:tcBorders>
          </w:tcPr>
          <w:p w14:paraId="2E7F6FA8" w14:textId="77777777" w:rsidR="00BC0E7E" w:rsidRPr="00BC0E7E" w:rsidRDefault="00944B8F" w:rsidP="00762FA7">
            <w:pPr>
              <w:keepNext/>
              <w:jc w:val="center"/>
              <w:rPr>
                <w:del w:id="6491" w:author="AbbVie19" w:date="2025-04-16T10:42:00Z"/>
                <w:szCs w:val="20"/>
              </w:rPr>
            </w:pPr>
            <w:del w:id="6492" w:author="AbbVie19" w:date="2025-04-16T10:42:00Z">
              <w:r w:rsidRPr="00BC0E7E">
                <w:rPr>
                  <w:szCs w:val="20"/>
                </w:rPr>
                <w:delText>39%</w:delText>
              </w:r>
              <w:r w:rsidRPr="00BC0E7E">
                <w:rPr>
                  <w:szCs w:val="20"/>
                  <w:vertAlign w:val="superscript"/>
                </w:rPr>
                <w:delText>***</w:delText>
              </w:r>
            </w:del>
          </w:p>
        </w:tc>
        <w:tc>
          <w:tcPr>
            <w:tcW w:w="1343" w:type="dxa"/>
            <w:tcBorders>
              <w:top w:val="nil"/>
              <w:bottom w:val="nil"/>
            </w:tcBorders>
          </w:tcPr>
          <w:p w14:paraId="69EB3959" w14:textId="77777777" w:rsidR="00BC0E7E" w:rsidRPr="00BC0E7E" w:rsidRDefault="00944B8F" w:rsidP="00762FA7">
            <w:pPr>
              <w:keepNext/>
              <w:jc w:val="center"/>
              <w:rPr>
                <w:del w:id="6493" w:author="AbbVie19" w:date="2025-04-16T10:42:00Z"/>
                <w:szCs w:val="20"/>
              </w:rPr>
            </w:pPr>
            <w:del w:id="6494" w:author="AbbVie19" w:date="2025-04-16T10:42:00Z">
              <w:r w:rsidRPr="00BC0E7E">
                <w:rPr>
                  <w:szCs w:val="20"/>
                </w:rPr>
                <w:delText>N/A</w:delText>
              </w:r>
            </w:del>
          </w:p>
        </w:tc>
        <w:tc>
          <w:tcPr>
            <w:tcW w:w="1316" w:type="dxa"/>
            <w:tcBorders>
              <w:top w:val="nil"/>
              <w:bottom w:val="nil"/>
            </w:tcBorders>
          </w:tcPr>
          <w:p w14:paraId="000409D1" w14:textId="77777777" w:rsidR="00BC0E7E" w:rsidRPr="00BC0E7E" w:rsidRDefault="00944B8F" w:rsidP="00762FA7">
            <w:pPr>
              <w:keepNext/>
              <w:jc w:val="center"/>
              <w:rPr>
                <w:del w:id="6495" w:author="AbbVie19" w:date="2025-04-16T10:42:00Z"/>
                <w:szCs w:val="20"/>
              </w:rPr>
            </w:pPr>
            <w:del w:id="6496" w:author="AbbVie19" w:date="2025-04-16T10:42:00Z">
              <w:r w:rsidRPr="00BC0E7E">
                <w:rPr>
                  <w:szCs w:val="20"/>
                </w:rPr>
                <w:delText>N/A</w:delText>
              </w:r>
            </w:del>
          </w:p>
        </w:tc>
      </w:tr>
      <w:tr w:rsidR="00C6578C" w14:paraId="5B2780AD" w14:textId="77777777" w:rsidTr="000244DF">
        <w:trPr>
          <w:gridAfter w:val="1"/>
          <w:wAfter w:w="11" w:type="dxa"/>
          <w:jc w:val="center"/>
          <w:del w:id="6497" w:author="AbbVie19" w:date="2025-04-16T10:42:00Z"/>
        </w:trPr>
        <w:tc>
          <w:tcPr>
            <w:tcW w:w="1775" w:type="dxa"/>
            <w:tcBorders>
              <w:top w:val="nil"/>
              <w:bottom w:val="nil"/>
            </w:tcBorders>
          </w:tcPr>
          <w:p w14:paraId="35693CF5" w14:textId="77777777" w:rsidR="00BC0E7E" w:rsidRPr="00BC0E7E" w:rsidRDefault="00944B8F" w:rsidP="00762FA7">
            <w:pPr>
              <w:keepNext/>
              <w:rPr>
                <w:del w:id="6498" w:author="AbbVie19" w:date="2025-04-16T10:42:00Z"/>
                <w:szCs w:val="20"/>
              </w:rPr>
            </w:pPr>
            <w:del w:id="6499" w:author="AbbVie19" w:date="2025-04-16T10:42:00Z">
              <w:r w:rsidRPr="00BC0E7E">
                <w:rPr>
                  <w:szCs w:val="20"/>
                </w:rPr>
                <w:delText xml:space="preserve">ACR 70 </w:delText>
              </w:r>
            </w:del>
          </w:p>
        </w:tc>
        <w:tc>
          <w:tcPr>
            <w:tcW w:w="1325" w:type="dxa"/>
            <w:tcBorders>
              <w:top w:val="nil"/>
              <w:bottom w:val="nil"/>
            </w:tcBorders>
          </w:tcPr>
          <w:p w14:paraId="2154567A" w14:textId="77777777" w:rsidR="00BC0E7E" w:rsidRPr="00BC0E7E" w:rsidRDefault="00BC0E7E" w:rsidP="00762FA7">
            <w:pPr>
              <w:keepNext/>
              <w:jc w:val="center"/>
              <w:rPr>
                <w:del w:id="6500" w:author="AbbVie19" w:date="2025-04-16T10:42:00Z"/>
                <w:szCs w:val="20"/>
              </w:rPr>
            </w:pPr>
          </w:p>
        </w:tc>
        <w:tc>
          <w:tcPr>
            <w:tcW w:w="1316" w:type="dxa"/>
            <w:tcBorders>
              <w:top w:val="nil"/>
              <w:bottom w:val="nil"/>
              <w:right w:val="nil"/>
            </w:tcBorders>
          </w:tcPr>
          <w:p w14:paraId="3B864722" w14:textId="77777777" w:rsidR="00BC0E7E" w:rsidRPr="00BC0E7E" w:rsidRDefault="00BC0E7E" w:rsidP="00762FA7">
            <w:pPr>
              <w:keepNext/>
              <w:jc w:val="center"/>
              <w:rPr>
                <w:del w:id="6501" w:author="AbbVie19" w:date="2025-04-16T10:42:00Z"/>
                <w:szCs w:val="20"/>
              </w:rPr>
            </w:pPr>
          </w:p>
        </w:tc>
        <w:tc>
          <w:tcPr>
            <w:tcW w:w="1343" w:type="dxa"/>
            <w:tcBorders>
              <w:top w:val="nil"/>
              <w:bottom w:val="nil"/>
            </w:tcBorders>
          </w:tcPr>
          <w:p w14:paraId="2963C1C3" w14:textId="77777777" w:rsidR="00BC0E7E" w:rsidRPr="00BC0E7E" w:rsidRDefault="00BC0E7E" w:rsidP="00762FA7">
            <w:pPr>
              <w:keepNext/>
              <w:jc w:val="center"/>
              <w:rPr>
                <w:del w:id="6502" w:author="AbbVie19" w:date="2025-04-16T10:42:00Z"/>
                <w:szCs w:val="20"/>
              </w:rPr>
            </w:pPr>
          </w:p>
        </w:tc>
        <w:tc>
          <w:tcPr>
            <w:tcW w:w="1316" w:type="dxa"/>
            <w:tcBorders>
              <w:top w:val="nil"/>
              <w:bottom w:val="nil"/>
            </w:tcBorders>
          </w:tcPr>
          <w:p w14:paraId="730D2A95" w14:textId="77777777" w:rsidR="00BC0E7E" w:rsidRPr="00BC0E7E" w:rsidRDefault="00BC0E7E" w:rsidP="00762FA7">
            <w:pPr>
              <w:keepNext/>
              <w:jc w:val="center"/>
              <w:rPr>
                <w:del w:id="6503" w:author="AbbVie19" w:date="2025-04-16T10:42:00Z"/>
                <w:szCs w:val="20"/>
              </w:rPr>
            </w:pPr>
          </w:p>
        </w:tc>
      </w:tr>
      <w:tr w:rsidR="00C6578C" w14:paraId="1FA4C99D" w14:textId="77777777" w:rsidTr="000244DF">
        <w:trPr>
          <w:gridAfter w:val="1"/>
          <w:wAfter w:w="11" w:type="dxa"/>
          <w:jc w:val="center"/>
          <w:del w:id="6504" w:author="AbbVie19" w:date="2025-04-16T10:42:00Z"/>
        </w:trPr>
        <w:tc>
          <w:tcPr>
            <w:tcW w:w="1775" w:type="dxa"/>
            <w:tcBorders>
              <w:top w:val="nil"/>
              <w:bottom w:val="nil"/>
            </w:tcBorders>
          </w:tcPr>
          <w:p w14:paraId="15805214" w14:textId="77777777" w:rsidR="00BC0E7E" w:rsidRPr="00BC0E7E" w:rsidRDefault="00944B8F" w:rsidP="00762FA7">
            <w:pPr>
              <w:keepNext/>
              <w:rPr>
                <w:del w:id="6505" w:author="AbbVie19" w:date="2025-04-16T10:42:00Z"/>
                <w:szCs w:val="20"/>
              </w:rPr>
            </w:pPr>
            <w:del w:id="6506" w:author="AbbVie19" w:date="2025-04-16T10:42:00Z">
              <w:r w:rsidRPr="00BC0E7E">
                <w:rPr>
                  <w:szCs w:val="20"/>
                </w:rPr>
                <w:tab/>
                <w:delText>Week 12</w:delText>
              </w:r>
            </w:del>
          </w:p>
        </w:tc>
        <w:tc>
          <w:tcPr>
            <w:tcW w:w="1325" w:type="dxa"/>
            <w:tcBorders>
              <w:top w:val="nil"/>
              <w:bottom w:val="nil"/>
            </w:tcBorders>
          </w:tcPr>
          <w:p w14:paraId="76D98BF3" w14:textId="77777777" w:rsidR="00BC0E7E" w:rsidRPr="00BC0E7E" w:rsidRDefault="00944B8F" w:rsidP="00762FA7">
            <w:pPr>
              <w:keepNext/>
              <w:jc w:val="center"/>
              <w:rPr>
                <w:del w:id="6507" w:author="AbbVie19" w:date="2025-04-16T10:42:00Z"/>
                <w:szCs w:val="20"/>
              </w:rPr>
            </w:pPr>
            <w:del w:id="6508" w:author="AbbVie19" w:date="2025-04-16T10:42:00Z">
              <w:r w:rsidRPr="00BC0E7E">
                <w:rPr>
                  <w:szCs w:val="20"/>
                </w:rPr>
                <w:delText>1%</w:delText>
              </w:r>
            </w:del>
          </w:p>
        </w:tc>
        <w:tc>
          <w:tcPr>
            <w:tcW w:w="1316" w:type="dxa"/>
            <w:tcBorders>
              <w:top w:val="nil"/>
              <w:bottom w:val="nil"/>
              <w:right w:val="nil"/>
            </w:tcBorders>
          </w:tcPr>
          <w:p w14:paraId="12DADC72" w14:textId="77777777" w:rsidR="00BC0E7E" w:rsidRPr="00BC0E7E" w:rsidRDefault="00944B8F" w:rsidP="00762FA7">
            <w:pPr>
              <w:keepNext/>
              <w:jc w:val="center"/>
              <w:rPr>
                <w:del w:id="6509" w:author="AbbVie19" w:date="2025-04-16T10:42:00Z"/>
                <w:szCs w:val="20"/>
              </w:rPr>
            </w:pPr>
            <w:del w:id="6510" w:author="AbbVie19" w:date="2025-04-16T10:42:00Z">
              <w:r w:rsidRPr="00BC0E7E">
                <w:rPr>
                  <w:szCs w:val="20"/>
                </w:rPr>
                <w:delText>20%</w:delText>
              </w:r>
              <w:r w:rsidRPr="00BC0E7E">
                <w:rPr>
                  <w:szCs w:val="20"/>
                  <w:vertAlign w:val="superscript"/>
                </w:rPr>
                <w:delText>***</w:delText>
              </w:r>
            </w:del>
          </w:p>
        </w:tc>
        <w:tc>
          <w:tcPr>
            <w:tcW w:w="1343" w:type="dxa"/>
            <w:tcBorders>
              <w:top w:val="nil"/>
              <w:bottom w:val="nil"/>
            </w:tcBorders>
          </w:tcPr>
          <w:p w14:paraId="7147BBEE" w14:textId="77777777" w:rsidR="00BC0E7E" w:rsidRPr="00BC0E7E" w:rsidRDefault="00944B8F" w:rsidP="00762FA7">
            <w:pPr>
              <w:keepNext/>
              <w:jc w:val="center"/>
              <w:rPr>
                <w:del w:id="6511" w:author="AbbVie19" w:date="2025-04-16T10:42:00Z"/>
                <w:szCs w:val="20"/>
              </w:rPr>
            </w:pPr>
            <w:del w:id="6512" w:author="AbbVie19" w:date="2025-04-16T10:42:00Z">
              <w:r w:rsidRPr="00BC0E7E">
                <w:rPr>
                  <w:szCs w:val="20"/>
                </w:rPr>
                <w:delText>0%</w:delText>
              </w:r>
            </w:del>
          </w:p>
        </w:tc>
        <w:tc>
          <w:tcPr>
            <w:tcW w:w="1316" w:type="dxa"/>
            <w:tcBorders>
              <w:top w:val="nil"/>
              <w:bottom w:val="nil"/>
            </w:tcBorders>
          </w:tcPr>
          <w:p w14:paraId="68019457" w14:textId="77777777" w:rsidR="00BC0E7E" w:rsidRPr="00BC0E7E" w:rsidRDefault="00944B8F" w:rsidP="00762FA7">
            <w:pPr>
              <w:keepNext/>
              <w:jc w:val="center"/>
              <w:rPr>
                <w:del w:id="6513" w:author="AbbVie19" w:date="2025-04-16T10:42:00Z"/>
                <w:szCs w:val="20"/>
              </w:rPr>
            </w:pPr>
            <w:del w:id="6514" w:author="AbbVie19" w:date="2025-04-16T10:42:00Z">
              <w:r w:rsidRPr="00BC0E7E">
                <w:rPr>
                  <w:szCs w:val="20"/>
                </w:rPr>
                <w:delText>14%</w:delText>
              </w:r>
              <w:r w:rsidRPr="00BC0E7E">
                <w:rPr>
                  <w:szCs w:val="20"/>
                  <w:vertAlign w:val="superscript"/>
                </w:rPr>
                <w:delText xml:space="preserve"> *</w:delText>
              </w:r>
            </w:del>
          </w:p>
        </w:tc>
      </w:tr>
      <w:tr w:rsidR="00C6578C" w14:paraId="1E2448D0" w14:textId="77777777" w:rsidTr="000244DF">
        <w:trPr>
          <w:gridAfter w:val="1"/>
          <w:wAfter w:w="11" w:type="dxa"/>
          <w:jc w:val="center"/>
          <w:del w:id="6515" w:author="AbbVie19" w:date="2025-04-16T10:42:00Z"/>
        </w:trPr>
        <w:tc>
          <w:tcPr>
            <w:tcW w:w="1775" w:type="dxa"/>
            <w:tcBorders>
              <w:top w:val="nil"/>
            </w:tcBorders>
          </w:tcPr>
          <w:p w14:paraId="0FD7571E" w14:textId="77777777" w:rsidR="00BC0E7E" w:rsidRPr="00BC0E7E" w:rsidRDefault="00944B8F" w:rsidP="00762FA7">
            <w:pPr>
              <w:keepNext/>
              <w:rPr>
                <w:del w:id="6516" w:author="AbbVie19" w:date="2025-04-16T10:42:00Z"/>
                <w:szCs w:val="20"/>
              </w:rPr>
            </w:pPr>
            <w:del w:id="6517" w:author="AbbVie19" w:date="2025-04-16T10:42:00Z">
              <w:r w:rsidRPr="00BC0E7E">
                <w:rPr>
                  <w:szCs w:val="20"/>
                </w:rPr>
                <w:tab/>
                <w:delText>Week 24</w:delText>
              </w:r>
            </w:del>
          </w:p>
        </w:tc>
        <w:tc>
          <w:tcPr>
            <w:tcW w:w="1325" w:type="dxa"/>
            <w:tcBorders>
              <w:top w:val="nil"/>
            </w:tcBorders>
          </w:tcPr>
          <w:p w14:paraId="5335CD86" w14:textId="77777777" w:rsidR="00BC0E7E" w:rsidRPr="00BC0E7E" w:rsidRDefault="00944B8F" w:rsidP="00762FA7">
            <w:pPr>
              <w:keepNext/>
              <w:jc w:val="center"/>
              <w:rPr>
                <w:del w:id="6518" w:author="AbbVie19" w:date="2025-04-16T10:42:00Z"/>
                <w:szCs w:val="20"/>
              </w:rPr>
            </w:pPr>
            <w:del w:id="6519" w:author="AbbVie19" w:date="2025-04-16T10:42:00Z">
              <w:r w:rsidRPr="00BC0E7E">
                <w:rPr>
                  <w:szCs w:val="20"/>
                </w:rPr>
                <w:delText>1%</w:delText>
              </w:r>
            </w:del>
          </w:p>
        </w:tc>
        <w:tc>
          <w:tcPr>
            <w:tcW w:w="1316" w:type="dxa"/>
            <w:tcBorders>
              <w:top w:val="nil"/>
              <w:right w:val="nil"/>
            </w:tcBorders>
          </w:tcPr>
          <w:p w14:paraId="521A6D4A" w14:textId="77777777" w:rsidR="00BC0E7E" w:rsidRPr="00BC0E7E" w:rsidRDefault="00944B8F" w:rsidP="00762FA7">
            <w:pPr>
              <w:keepNext/>
              <w:jc w:val="center"/>
              <w:rPr>
                <w:del w:id="6520" w:author="AbbVie19" w:date="2025-04-16T10:42:00Z"/>
                <w:szCs w:val="20"/>
              </w:rPr>
            </w:pPr>
            <w:del w:id="6521" w:author="AbbVie19" w:date="2025-04-16T10:42:00Z">
              <w:r w:rsidRPr="00BC0E7E">
                <w:rPr>
                  <w:szCs w:val="20"/>
                </w:rPr>
                <w:delText>23%</w:delText>
              </w:r>
              <w:r w:rsidRPr="00BC0E7E">
                <w:rPr>
                  <w:szCs w:val="20"/>
                  <w:vertAlign w:val="superscript"/>
                </w:rPr>
                <w:delText>***</w:delText>
              </w:r>
            </w:del>
          </w:p>
        </w:tc>
        <w:tc>
          <w:tcPr>
            <w:tcW w:w="1343" w:type="dxa"/>
            <w:tcBorders>
              <w:top w:val="nil"/>
            </w:tcBorders>
          </w:tcPr>
          <w:p w14:paraId="5ADF8107" w14:textId="77777777" w:rsidR="00BC0E7E" w:rsidRPr="00BC0E7E" w:rsidRDefault="00944B8F" w:rsidP="00762FA7">
            <w:pPr>
              <w:keepNext/>
              <w:jc w:val="center"/>
              <w:rPr>
                <w:del w:id="6522" w:author="AbbVie19" w:date="2025-04-16T10:42:00Z"/>
                <w:szCs w:val="20"/>
              </w:rPr>
            </w:pPr>
            <w:del w:id="6523" w:author="AbbVie19" w:date="2025-04-16T10:42:00Z">
              <w:r w:rsidRPr="00BC0E7E">
                <w:rPr>
                  <w:szCs w:val="20"/>
                </w:rPr>
                <w:delText>N/A</w:delText>
              </w:r>
            </w:del>
          </w:p>
        </w:tc>
        <w:tc>
          <w:tcPr>
            <w:tcW w:w="1316" w:type="dxa"/>
            <w:tcBorders>
              <w:top w:val="nil"/>
            </w:tcBorders>
          </w:tcPr>
          <w:p w14:paraId="4B65DEE1" w14:textId="77777777" w:rsidR="00BC0E7E" w:rsidRPr="00BC0E7E" w:rsidRDefault="00944B8F" w:rsidP="00762FA7">
            <w:pPr>
              <w:keepNext/>
              <w:jc w:val="center"/>
              <w:rPr>
                <w:del w:id="6524" w:author="AbbVie19" w:date="2025-04-16T10:42:00Z"/>
                <w:szCs w:val="20"/>
              </w:rPr>
            </w:pPr>
            <w:del w:id="6525" w:author="AbbVie19" w:date="2025-04-16T10:42:00Z">
              <w:r w:rsidRPr="00BC0E7E">
                <w:rPr>
                  <w:szCs w:val="20"/>
                </w:rPr>
                <w:delText>N/A</w:delText>
              </w:r>
            </w:del>
          </w:p>
        </w:tc>
      </w:tr>
      <w:tr w:rsidR="00C6578C" w14:paraId="5F469944" w14:textId="77777777" w:rsidTr="008F4FD5">
        <w:trPr>
          <w:trHeight w:val="60"/>
          <w:jc w:val="center"/>
          <w:del w:id="6526" w:author="AbbVie19" w:date="2025-04-16T10:42:00Z"/>
        </w:trPr>
        <w:tc>
          <w:tcPr>
            <w:tcW w:w="7086" w:type="dxa"/>
            <w:gridSpan w:val="6"/>
            <w:tcBorders>
              <w:top w:val="nil"/>
              <w:left w:val="nil"/>
              <w:bottom w:val="nil"/>
              <w:right w:val="nil"/>
            </w:tcBorders>
          </w:tcPr>
          <w:p w14:paraId="710A1CB1" w14:textId="77777777" w:rsidR="00BC0E7E" w:rsidRPr="00BC0E7E" w:rsidRDefault="00944B8F" w:rsidP="00762FA7">
            <w:pPr>
              <w:rPr>
                <w:del w:id="6527" w:author="AbbVie19" w:date="2025-04-16T10:42:00Z"/>
                <w:szCs w:val="20"/>
              </w:rPr>
            </w:pPr>
            <w:del w:id="6528" w:author="AbbVie19" w:date="2025-04-16T10:42:00Z">
              <w:r w:rsidRPr="00BC0E7E">
                <w:rPr>
                  <w:szCs w:val="20"/>
                </w:rPr>
                <w:delText>***</w:delText>
              </w:r>
              <w:r w:rsidRPr="00BC0E7E">
                <w:rPr>
                  <w:szCs w:val="20"/>
                </w:rPr>
                <w:tab/>
                <w:delText>p &lt; 0.001 for all comparisons between Humira and placebo</w:delText>
              </w:r>
            </w:del>
          </w:p>
          <w:p w14:paraId="2BFB96EE" w14:textId="77777777" w:rsidR="00BC0E7E" w:rsidRPr="00BC0E7E" w:rsidRDefault="00944B8F" w:rsidP="00762FA7">
            <w:pPr>
              <w:rPr>
                <w:del w:id="6529" w:author="AbbVie19" w:date="2025-04-16T10:42:00Z"/>
                <w:szCs w:val="20"/>
              </w:rPr>
            </w:pPr>
            <w:del w:id="6530" w:author="AbbVie19" w:date="2025-04-16T10:42:00Z">
              <w:r w:rsidRPr="00BC0E7E">
                <w:rPr>
                  <w:szCs w:val="20"/>
                </w:rPr>
                <w:delText>*</w:delText>
              </w:r>
              <w:r w:rsidRPr="00BC0E7E">
                <w:rPr>
                  <w:szCs w:val="20"/>
                </w:rPr>
                <w:tab/>
                <w:delText xml:space="preserve">p &lt; 0.05 for all comparisons between Humira and placebo  </w:delText>
              </w:r>
            </w:del>
          </w:p>
          <w:p w14:paraId="6DDA0033" w14:textId="77777777" w:rsidR="00BC0E7E" w:rsidRPr="00BC0E7E" w:rsidRDefault="00944B8F" w:rsidP="00762FA7">
            <w:pPr>
              <w:rPr>
                <w:del w:id="6531" w:author="AbbVie19" w:date="2025-04-16T10:42:00Z"/>
                <w:szCs w:val="20"/>
              </w:rPr>
            </w:pPr>
            <w:del w:id="6532" w:author="AbbVie19" w:date="2025-04-16T10:42:00Z">
              <w:r w:rsidRPr="00BC0E7E">
                <w:rPr>
                  <w:szCs w:val="20"/>
                </w:rPr>
                <w:delText>N/A  not applicable</w:delText>
              </w:r>
            </w:del>
          </w:p>
        </w:tc>
      </w:tr>
    </w:tbl>
    <w:p w14:paraId="32729F8B" w14:textId="77777777" w:rsidR="00BC0E7E" w:rsidRPr="00BC0E7E" w:rsidRDefault="00BC0E7E" w:rsidP="00762FA7">
      <w:pPr>
        <w:rPr>
          <w:del w:id="6533" w:author="AbbVie19" w:date="2025-04-16T10:42:00Z"/>
          <w:szCs w:val="20"/>
        </w:rPr>
      </w:pPr>
    </w:p>
    <w:p w14:paraId="725F692A" w14:textId="77777777" w:rsidR="00BC0E7E" w:rsidRPr="00BC0E7E" w:rsidRDefault="00944B8F" w:rsidP="00762FA7">
      <w:pPr>
        <w:rPr>
          <w:del w:id="6534" w:author="AbbVie19" w:date="2025-04-16T10:42:00Z"/>
          <w:szCs w:val="20"/>
        </w:rPr>
      </w:pPr>
      <w:del w:id="6535" w:author="AbbVie19" w:date="2025-04-16T10:42:00Z">
        <w:r w:rsidRPr="00BC0E7E">
          <w:rPr>
            <w:szCs w:val="20"/>
          </w:rPr>
          <w:delText>ACR responses in PsA study I were similar with and without concomitant methotrexate therapy.</w:delText>
        </w:r>
      </w:del>
    </w:p>
    <w:p w14:paraId="51527003" w14:textId="77777777" w:rsidR="00BC0E7E" w:rsidRPr="00BC0E7E" w:rsidRDefault="00944B8F" w:rsidP="00762FA7">
      <w:pPr>
        <w:rPr>
          <w:del w:id="6536" w:author="AbbVie19" w:date="2025-04-16T10:42:00Z"/>
          <w:szCs w:val="20"/>
        </w:rPr>
      </w:pPr>
      <w:del w:id="6537" w:author="AbbVie19" w:date="2025-04-16T10:42:00Z">
        <w:r w:rsidRPr="00BC0E7E">
          <w:rPr>
            <w:szCs w:val="20"/>
          </w:rPr>
          <w:delText>ACR responses were maintained in the open-label extension study for up to 136 weeks.</w:delText>
        </w:r>
      </w:del>
    </w:p>
    <w:p w14:paraId="629FF163" w14:textId="77777777" w:rsidR="00BC0E7E" w:rsidRPr="00BC0E7E" w:rsidRDefault="00BC0E7E" w:rsidP="00762FA7">
      <w:pPr>
        <w:jc w:val="right"/>
        <w:rPr>
          <w:del w:id="6538" w:author="AbbVie19" w:date="2025-04-16T10:42:00Z"/>
          <w:szCs w:val="20"/>
        </w:rPr>
      </w:pPr>
    </w:p>
    <w:p w14:paraId="2CFC5C0D" w14:textId="77777777" w:rsidR="00BC0E7E" w:rsidRPr="00BC0E7E" w:rsidRDefault="00944B8F" w:rsidP="00762FA7">
      <w:pPr>
        <w:rPr>
          <w:del w:id="6539" w:author="AbbVie19" w:date="2025-04-16T10:42:00Z"/>
          <w:szCs w:val="20"/>
        </w:rPr>
      </w:pPr>
      <w:del w:id="6540" w:author="AbbVie19" w:date="2025-04-16T10:42:00Z">
        <w:r w:rsidRPr="00BC0E7E">
          <w:rPr>
            <w:szCs w:val="20"/>
          </w:rPr>
          <w:lastRenderedPageBreak/>
          <w:delText>Radiographic changes were assessed in the psoriatic arthritis studies. Radiographs of hands, wrists, and feet were obtained at baseline and Week 24 during the double-blind period when patients were on Humira or placebo and at Week 48 when all patients were on open-label Humira. A modified Total Sharp Score (mTSS), which included distal interphalangeal joints (i.e. not identical to the TSS used for rheumatoid arthritis), was used.</w:delText>
        </w:r>
      </w:del>
    </w:p>
    <w:p w14:paraId="68642694" w14:textId="77777777" w:rsidR="00BC0E7E" w:rsidRPr="00BC0E7E" w:rsidRDefault="00BC0E7E" w:rsidP="00762FA7">
      <w:pPr>
        <w:rPr>
          <w:del w:id="6541" w:author="AbbVie19" w:date="2025-04-16T10:42:00Z"/>
          <w:szCs w:val="20"/>
        </w:rPr>
      </w:pPr>
    </w:p>
    <w:p w14:paraId="6528DD05" w14:textId="77777777" w:rsidR="00BC0E7E" w:rsidRPr="00BC0E7E" w:rsidRDefault="00944B8F" w:rsidP="00762FA7">
      <w:pPr>
        <w:rPr>
          <w:del w:id="6542" w:author="AbbVie19" w:date="2025-04-16T10:42:00Z"/>
          <w:szCs w:val="22"/>
        </w:rPr>
      </w:pPr>
      <w:del w:id="6543" w:author="AbbVie19" w:date="2025-04-16T10:42:00Z">
        <w:r w:rsidRPr="00BC0E7E">
          <w:rPr>
            <w:szCs w:val="22"/>
          </w:rPr>
          <w:delText>Humira treatment reduced the rate of progression of peripheral joint damage compared with placebo treatment as measured by change from baseline in mTSS  (mean ± SD) 0.8 ± 2.5 in the placebo group (at Week</w:delText>
        </w:r>
        <w:r w:rsidRPr="00BC0E7E">
          <w:rPr>
            <w:szCs w:val="20"/>
          </w:rPr>
          <w:delText> </w:delText>
        </w:r>
        <w:r w:rsidRPr="00BC0E7E">
          <w:rPr>
            <w:szCs w:val="22"/>
          </w:rPr>
          <w:delText>24) compared with 0.0</w:delText>
        </w:r>
        <w:r w:rsidRPr="00BC0E7E">
          <w:rPr>
            <w:szCs w:val="20"/>
          </w:rPr>
          <w:delText> </w:delText>
        </w:r>
        <w:r w:rsidRPr="00BC0E7E">
          <w:rPr>
            <w:szCs w:val="22"/>
          </w:rPr>
          <w:delText>±</w:delText>
        </w:r>
        <w:r w:rsidRPr="00BC0E7E">
          <w:rPr>
            <w:szCs w:val="20"/>
          </w:rPr>
          <w:delText> </w:delText>
        </w:r>
        <w:r w:rsidRPr="00BC0E7E">
          <w:rPr>
            <w:szCs w:val="22"/>
          </w:rPr>
          <w:delText>1.9; (p&lt;</w:delText>
        </w:r>
        <w:r w:rsidRPr="00BC0E7E">
          <w:rPr>
            <w:szCs w:val="20"/>
          </w:rPr>
          <w:delText> </w:delText>
        </w:r>
        <w:r w:rsidRPr="00BC0E7E">
          <w:rPr>
            <w:szCs w:val="22"/>
          </w:rPr>
          <w:delText>0.001) in the Humira group (at Week</w:delText>
        </w:r>
        <w:r w:rsidRPr="00BC0E7E">
          <w:rPr>
            <w:szCs w:val="20"/>
          </w:rPr>
          <w:delText> </w:delText>
        </w:r>
        <w:r w:rsidRPr="00BC0E7E">
          <w:rPr>
            <w:szCs w:val="22"/>
          </w:rPr>
          <w:delText>48).</w:delText>
        </w:r>
      </w:del>
    </w:p>
    <w:p w14:paraId="6BB4002D" w14:textId="77777777" w:rsidR="00BC0E7E" w:rsidRPr="00BC0E7E" w:rsidRDefault="00BC0E7E" w:rsidP="00762FA7">
      <w:pPr>
        <w:rPr>
          <w:del w:id="6544" w:author="AbbVie19" w:date="2025-04-16T10:42:00Z"/>
          <w:szCs w:val="22"/>
        </w:rPr>
      </w:pPr>
    </w:p>
    <w:p w14:paraId="7377A5BF" w14:textId="77777777" w:rsidR="00BC0E7E" w:rsidRPr="00BC0E7E" w:rsidRDefault="00944B8F" w:rsidP="00762FA7">
      <w:pPr>
        <w:rPr>
          <w:del w:id="6545" w:author="AbbVie19" w:date="2025-04-16T10:42:00Z"/>
          <w:szCs w:val="22"/>
        </w:rPr>
      </w:pPr>
      <w:del w:id="6546" w:author="AbbVie19" w:date="2025-04-16T10:42:00Z">
        <w:r w:rsidRPr="00BC0E7E">
          <w:rPr>
            <w:szCs w:val="20"/>
          </w:rPr>
          <w:delText>In subjects treated with Humira with no radiographic progression from baseline to Week 48 (n=102), 84% continued to show no radiographic progression through 144 weeks of treatment.</w:delText>
        </w:r>
      </w:del>
    </w:p>
    <w:p w14:paraId="501E83B3" w14:textId="77777777" w:rsidR="00BC0E7E" w:rsidRPr="00BC0E7E" w:rsidRDefault="00944B8F" w:rsidP="00762FA7">
      <w:pPr>
        <w:rPr>
          <w:del w:id="6547" w:author="AbbVie19" w:date="2025-04-16T10:42:00Z"/>
          <w:szCs w:val="20"/>
        </w:rPr>
      </w:pPr>
      <w:del w:id="6548" w:author="AbbVie19" w:date="2025-04-16T10:42:00Z">
        <w:r w:rsidRPr="00BC0E7E">
          <w:rPr>
            <w:szCs w:val="22"/>
          </w:rPr>
          <w:delText>Humira treated patients demonstrated statistically significant improvement in physical function as assessed by HAQ and Short Form Health Survey (SF 36) compared to placebo at Week</w:delText>
        </w:r>
        <w:r w:rsidR="006668FE" w:rsidRPr="006668FE">
          <w:rPr>
            <w:szCs w:val="20"/>
          </w:rPr>
          <w:delText xml:space="preserve"> </w:delText>
        </w:r>
        <w:r w:rsidRPr="00BC0E7E">
          <w:rPr>
            <w:szCs w:val="22"/>
          </w:rPr>
          <w:delText>24. Improved</w:delText>
        </w:r>
        <w:r w:rsidRPr="00BC0E7E">
          <w:rPr>
            <w:szCs w:val="20"/>
          </w:rPr>
          <w:delText xml:space="preserve"> physical function continued during the open label extension up to Week</w:delText>
        </w:r>
        <w:r w:rsidR="006668FE" w:rsidRPr="006668FE">
          <w:rPr>
            <w:szCs w:val="20"/>
          </w:rPr>
          <w:delText xml:space="preserve"> </w:delText>
        </w:r>
        <w:r w:rsidRPr="00BC0E7E">
          <w:rPr>
            <w:szCs w:val="20"/>
          </w:rPr>
          <w:delText>136.</w:delText>
        </w:r>
      </w:del>
    </w:p>
    <w:p w14:paraId="3DAF58D9" w14:textId="77777777" w:rsidR="00BC0E7E" w:rsidRPr="00BC0E7E" w:rsidRDefault="00BC0E7E" w:rsidP="00762FA7">
      <w:pPr>
        <w:rPr>
          <w:del w:id="6549" w:author="AbbVie19" w:date="2025-04-16T10:42:00Z"/>
          <w:u w:val="single"/>
        </w:rPr>
      </w:pPr>
    </w:p>
    <w:p w14:paraId="0AF0491D" w14:textId="77777777" w:rsidR="00BC0E7E" w:rsidRPr="00BC0E7E" w:rsidRDefault="00944B8F" w:rsidP="00762FA7">
      <w:pPr>
        <w:rPr>
          <w:del w:id="6550" w:author="AbbVie19" w:date="2025-04-16T10:42:00Z"/>
          <w:u w:val="single"/>
        </w:rPr>
      </w:pPr>
      <w:del w:id="6551" w:author="AbbVie19" w:date="2025-04-16T10:42:00Z">
        <w:r w:rsidRPr="00BC0E7E">
          <w:rPr>
            <w:i/>
          </w:rPr>
          <w:delText>Psoriasis</w:delText>
        </w:r>
        <w:r w:rsidRPr="00BC0E7E">
          <w:rPr>
            <w:u w:val="single"/>
          </w:rPr>
          <w:delText xml:space="preserve"> </w:delText>
        </w:r>
      </w:del>
    </w:p>
    <w:p w14:paraId="3F318D91" w14:textId="77777777" w:rsidR="00BC0E7E" w:rsidRPr="00BC0E7E" w:rsidRDefault="00BC0E7E" w:rsidP="00762FA7">
      <w:pPr>
        <w:rPr>
          <w:del w:id="6552" w:author="AbbVie19" w:date="2025-04-16T10:42:00Z"/>
          <w:u w:val="single"/>
        </w:rPr>
      </w:pPr>
    </w:p>
    <w:p w14:paraId="6B10B7B5" w14:textId="77777777" w:rsidR="00BC0E7E" w:rsidRPr="00BC0E7E" w:rsidRDefault="00944B8F" w:rsidP="00762FA7">
      <w:pPr>
        <w:rPr>
          <w:del w:id="6553" w:author="AbbVie19" w:date="2025-04-16T10:42:00Z"/>
          <w:szCs w:val="22"/>
        </w:rPr>
      </w:pPr>
      <w:del w:id="6554" w:author="AbbVie19" w:date="2025-04-16T10:42:00Z">
        <w:r w:rsidRPr="00BC0E7E">
          <w:delText>The safety and efficacy of Humira were studied in adult patients with chronic plaque psoriasis (</w:delText>
        </w:r>
        <w:r w:rsidRPr="00BC0E7E">
          <w:rPr>
            <w:rFonts w:ascii="Symbol" w:eastAsia="Symbol" w:hAnsi="Symbol" w:cs="Symbol"/>
            <w:szCs w:val="22"/>
          </w:rPr>
          <w:sym w:font="Symbol" w:char="F0B3"/>
        </w:r>
        <w:r w:rsidRPr="00BC0E7E">
          <w:delText xml:space="preserve"> 10% BSA involvement and Psoriasis Area and Severity Index (PASI) </w:delText>
        </w:r>
        <w:r w:rsidRPr="00BC0E7E">
          <w:rPr>
            <w:rFonts w:ascii="Symbol" w:eastAsia="Symbol" w:hAnsi="Symbol" w:cs="Symbol"/>
            <w:szCs w:val="22"/>
          </w:rPr>
          <w:sym w:font="Symbol" w:char="F0B3"/>
        </w:r>
        <w:r w:rsidRPr="00BC0E7E">
          <w:delText> 12 or </w:delText>
        </w:r>
        <w:r w:rsidRPr="00BC0E7E">
          <w:rPr>
            <w:rFonts w:ascii="Symbol" w:eastAsia="Symbol" w:hAnsi="Symbol" w:cs="Symbol"/>
            <w:szCs w:val="22"/>
          </w:rPr>
          <w:sym w:font="Symbol" w:char="F0B3"/>
        </w:r>
        <w:r w:rsidRPr="00BC0E7E">
          <w:delText xml:space="preserve"> 10) who were candidates for systemic therapy or phototherapy in randomised, double-blind studies. 73% of patients enrolled in Psoriasis Studies I and II had received prior systemic therapy or phototherapy. The safety and efficacy of Humira were also studied in adult patients with moderate to severe </w:delText>
        </w:r>
        <w:r w:rsidRPr="00BC0E7E">
          <w:rPr>
            <w:szCs w:val="22"/>
          </w:rPr>
          <w:delText xml:space="preserve">chronic plaque psoriasis with concomitant hand and/or foot psoriasis who were candidates for systemic therapy in a randomised double-blind study (Psoriasis Study III).  </w:delText>
        </w:r>
      </w:del>
    </w:p>
    <w:p w14:paraId="7B649841" w14:textId="77777777" w:rsidR="00BC0E7E" w:rsidRPr="00BC0E7E" w:rsidRDefault="00BC0E7E" w:rsidP="00762FA7">
      <w:pPr>
        <w:rPr>
          <w:del w:id="6555" w:author="AbbVie19" w:date="2025-04-16T10:42:00Z"/>
          <w:sz w:val="20"/>
          <w:szCs w:val="20"/>
        </w:rPr>
      </w:pPr>
    </w:p>
    <w:p w14:paraId="5D31FF68" w14:textId="77777777" w:rsidR="00BC0E7E" w:rsidRPr="00BC0E7E" w:rsidRDefault="00944B8F" w:rsidP="00762FA7">
      <w:pPr>
        <w:rPr>
          <w:del w:id="6556" w:author="AbbVie19" w:date="2025-04-16T10:42:00Z"/>
        </w:rPr>
      </w:pPr>
      <w:del w:id="6557" w:author="AbbVie19" w:date="2025-04-16T10:42:00Z">
        <w:r w:rsidRPr="00BC0E7E">
          <w:delText xml:space="preserve">Psoriasis Study I (REVEAL) evaluated 1,212 patients within three treatment periods. In period A, patients received placebo or Humira at an initial dose of 80 mg followed by 40 mg every other week starting one week after the initial dose. After 16 weeks of therapy, patients who achieved at least a PASI 75 response (PASI score improvement of at least 75% relative to baseline), entered period B and received open-label 40 mg Humira every other week. Patients who maintained </w:delText>
        </w:r>
        <w:r w:rsidRPr="00BC0E7E">
          <w:rPr>
            <w:rFonts w:ascii="Symbol" w:eastAsia="Symbol" w:hAnsi="Symbol" w:cs="Symbol"/>
            <w:szCs w:val="22"/>
          </w:rPr>
          <w:sym w:font="Symbol" w:char="F0B3"/>
        </w:r>
        <w:r w:rsidRPr="00BC0E7E">
          <w:delText>PASI 75 response at Week 33 and were originally randomised to active therapy in Period A, were re-randomised in period C to receive 40 mg Humira every other week or placebo for an additional 19 weeks. Across all treatment groups, the mean baseline PASI score was 18.9 and the baseline Physician’s Global Assessment (PGA) score ranged from “moderate” (53% of subjects included) to “severe” (41%) to “very severe” (6%).</w:delText>
        </w:r>
      </w:del>
    </w:p>
    <w:p w14:paraId="6220141E" w14:textId="77777777" w:rsidR="00BC0E7E" w:rsidRPr="00BC0E7E" w:rsidRDefault="00BC0E7E" w:rsidP="00762FA7">
      <w:pPr>
        <w:rPr>
          <w:del w:id="6558" w:author="AbbVie19" w:date="2025-04-16T10:42:00Z"/>
        </w:rPr>
      </w:pPr>
    </w:p>
    <w:p w14:paraId="03B0ACDA" w14:textId="77777777" w:rsidR="00BC0E7E" w:rsidRPr="00BC0E7E" w:rsidRDefault="00944B8F" w:rsidP="00762FA7">
      <w:pPr>
        <w:autoSpaceDE w:val="0"/>
        <w:autoSpaceDN w:val="0"/>
        <w:adjustRightInd w:val="0"/>
        <w:rPr>
          <w:del w:id="6559" w:author="AbbVie19" w:date="2025-04-16T10:42:00Z"/>
        </w:rPr>
      </w:pPr>
      <w:del w:id="6560" w:author="AbbVie19" w:date="2025-04-16T10:42:00Z">
        <w:r w:rsidRPr="00BC0E7E">
          <w:rPr>
            <w:szCs w:val="22"/>
          </w:rPr>
          <w:delText xml:space="preserve">Psoriasis Study II (CHAMPION) compared the efficacy and safety of Humira </w:delText>
        </w:r>
        <w:r w:rsidRPr="00BC0E7E">
          <w:rPr>
            <w:i/>
            <w:iCs/>
            <w:szCs w:val="22"/>
          </w:rPr>
          <w:delText>versus</w:delText>
        </w:r>
        <w:r w:rsidRPr="00BC0E7E">
          <w:rPr>
            <w:szCs w:val="22"/>
          </w:rPr>
          <w:delText xml:space="preserve"> methotrexate and placebo in 271 patients. </w:delText>
        </w:r>
        <w:r w:rsidRPr="00BC0E7E">
          <w:delText xml:space="preserve">Patients received placebo, an initial dose of MTX 7.5 mg and thereafter dose increases up to Week 12, with a maximum dose of 25 mg or an initial dose of 80 mg Humira followed by 40 mg every other week (starting one week after the initial dose) for 16 weeks. There are no data available comparing Humira and MTX beyond 16 weeks of therapy. Patients receiving MTX who achieved a </w:delText>
        </w:r>
        <w:r w:rsidRPr="00BC0E7E">
          <w:rPr>
            <w:rFonts w:ascii="Symbol" w:eastAsia="Symbol" w:hAnsi="Symbol" w:cs="Symbol"/>
            <w:szCs w:val="22"/>
          </w:rPr>
          <w:sym w:font="Symbol" w:char="F0B3"/>
        </w:r>
        <w:r w:rsidRPr="00BC0E7E">
          <w:delText xml:space="preserve">PASI 50 response at Week 8 and/or 12 did not receive further dose increases. Across all treatment groups, the mean baseline </w:delText>
        </w:r>
        <w:r w:rsidRPr="00BC0E7E">
          <w:rPr>
            <w:caps/>
          </w:rPr>
          <w:delText>Pasi</w:delText>
        </w:r>
        <w:r w:rsidRPr="00BC0E7E">
          <w:delText xml:space="preserve"> score was 19.7 and the baseline PGA score ranged from “mild” (&lt;1%) to “moderate” (48%) to “severe” (46%) to “very severe” (6%).</w:delText>
        </w:r>
      </w:del>
    </w:p>
    <w:p w14:paraId="2BE3D487" w14:textId="77777777" w:rsidR="00BC0E7E" w:rsidRPr="00BC0E7E" w:rsidRDefault="00BC0E7E" w:rsidP="00762FA7">
      <w:pPr>
        <w:autoSpaceDE w:val="0"/>
        <w:autoSpaceDN w:val="0"/>
        <w:adjustRightInd w:val="0"/>
        <w:rPr>
          <w:del w:id="6561" w:author="AbbVie19" w:date="2025-04-16T10:42:00Z"/>
        </w:rPr>
      </w:pPr>
    </w:p>
    <w:p w14:paraId="5E5D14C2" w14:textId="77777777" w:rsidR="00BC0E7E" w:rsidRPr="00BC0E7E" w:rsidRDefault="00944B8F" w:rsidP="00762FA7">
      <w:pPr>
        <w:autoSpaceDE w:val="0"/>
        <w:autoSpaceDN w:val="0"/>
        <w:adjustRightInd w:val="0"/>
        <w:rPr>
          <w:del w:id="6562" w:author="AbbVie19" w:date="2025-04-16T10:42:00Z"/>
        </w:rPr>
      </w:pPr>
      <w:del w:id="6563" w:author="AbbVie19" w:date="2025-04-16T10:42:00Z">
        <w:r w:rsidRPr="00BC0E7E">
          <w:delText>Patients participating in all Phase 2 and Phase 3 psoriasis studies were eligible to enrol into an open-label extension trial, where Humira was given for at least an additional 108 weeks.</w:delText>
        </w:r>
      </w:del>
    </w:p>
    <w:p w14:paraId="33F24EE3" w14:textId="77777777" w:rsidR="00BC0E7E" w:rsidRPr="00BC0E7E" w:rsidRDefault="00BC0E7E" w:rsidP="00762FA7">
      <w:pPr>
        <w:autoSpaceDE w:val="0"/>
        <w:autoSpaceDN w:val="0"/>
        <w:adjustRightInd w:val="0"/>
        <w:rPr>
          <w:del w:id="6564" w:author="AbbVie19" w:date="2025-04-16T10:42:00Z"/>
        </w:rPr>
      </w:pPr>
    </w:p>
    <w:p w14:paraId="71C93054" w14:textId="77777777" w:rsidR="00BC0E7E" w:rsidRPr="00BC0E7E" w:rsidRDefault="00944B8F" w:rsidP="00762FA7">
      <w:pPr>
        <w:autoSpaceDE w:val="0"/>
        <w:autoSpaceDN w:val="0"/>
        <w:adjustRightInd w:val="0"/>
        <w:rPr>
          <w:del w:id="6565" w:author="AbbVie19" w:date="2025-04-16T10:42:00Z"/>
        </w:rPr>
      </w:pPr>
      <w:del w:id="6566" w:author="AbbVie19" w:date="2025-04-16T10:42:00Z">
        <w:r w:rsidRPr="00BC0E7E">
          <w:rPr>
            <w:iCs/>
          </w:rPr>
          <w:delText>In Psoriasis Studies I and II, a primary endpoint was the proportion of patients who achieved a PASI 75 response from baseline at Week</w:delText>
        </w:r>
        <w:r w:rsidRPr="00BC0E7E">
          <w:delText> </w:delText>
        </w:r>
        <w:r w:rsidRPr="00BC0E7E">
          <w:rPr>
            <w:iCs/>
          </w:rPr>
          <w:delText xml:space="preserve">16 </w:delText>
        </w:r>
        <w:r w:rsidRPr="00BC0E7E">
          <w:rPr>
            <w:szCs w:val="22"/>
          </w:rPr>
          <w:delText xml:space="preserve">(see Tables </w:delText>
        </w:r>
        <w:r w:rsidR="006668FE">
          <w:rPr>
            <w:szCs w:val="22"/>
          </w:rPr>
          <w:delText>1</w:delText>
        </w:r>
        <w:r w:rsidR="005F03EC">
          <w:rPr>
            <w:szCs w:val="22"/>
          </w:rPr>
          <w:delText>6</w:delText>
        </w:r>
        <w:r w:rsidRPr="00BC0E7E">
          <w:rPr>
            <w:szCs w:val="22"/>
          </w:rPr>
          <w:delText xml:space="preserve"> and</w:delText>
        </w:r>
        <w:r w:rsidR="002D2337">
          <w:rPr>
            <w:szCs w:val="22"/>
          </w:rPr>
          <w:delText xml:space="preserve"> </w:delText>
        </w:r>
        <w:r w:rsidR="006668FE">
          <w:rPr>
            <w:szCs w:val="22"/>
          </w:rPr>
          <w:delText>1</w:delText>
        </w:r>
        <w:r w:rsidR="005F03EC">
          <w:rPr>
            <w:szCs w:val="22"/>
          </w:rPr>
          <w:delText>7</w:delText>
        </w:r>
        <w:r w:rsidRPr="00BC0E7E">
          <w:rPr>
            <w:szCs w:val="22"/>
          </w:rPr>
          <w:delText>).</w:delText>
        </w:r>
      </w:del>
    </w:p>
    <w:p w14:paraId="4E500CDD" w14:textId="77777777" w:rsidR="00BC0E7E" w:rsidRPr="00BC0E7E" w:rsidRDefault="00BC0E7E" w:rsidP="00762FA7">
      <w:pPr>
        <w:rPr>
          <w:del w:id="6567" w:author="AbbVie19" w:date="2025-04-16T10:42:00Z"/>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C6578C" w14:paraId="095D37B7" w14:textId="77777777" w:rsidTr="00171601">
        <w:trPr>
          <w:cantSplit/>
          <w:jc w:val="center"/>
          <w:del w:id="6568" w:author="AbbVie19" w:date="2025-04-16T10:42:00Z"/>
        </w:trPr>
        <w:tc>
          <w:tcPr>
            <w:tcW w:w="6949" w:type="dxa"/>
            <w:gridSpan w:val="3"/>
            <w:tcBorders>
              <w:top w:val="nil"/>
              <w:left w:val="nil"/>
              <w:right w:val="nil"/>
            </w:tcBorders>
          </w:tcPr>
          <w:p w14:paraId="700A47FC" w14:textId="77777777" w:rsidR="00BC0E7E" w:rsidRPr="003F7AAE" w:rsidRDefault="00944B8F" w:rsidP="00762FA7">
            <w:pPr>
              <w:keepNext/>
              <w:tabs>
                <w:tab w:val="clear" w:pos="562"/>
              </w:tabs>
              <w:suppressAutoHyphens w:val="0"/>
              <w:overflowPunct w:val="0"/>
              <w:autoSpaceDE w:val="0"/>
              <w:autoSpaceDN w:val="0"/>
              <w:adjustRightInd w:val="0"/>
              <w:jc w:val="center"/>
              <w:textAlignment w:val="baseline"/>
              <w:rPr>
                <w:del w:id="6569" w:author="AbbVie19" w:date="2025-04-16T10:42:00Z"/>
                <w:iCs/>
                <w:szCs w:val="20"/>
              </w:rPr>
            </w:pPr>
            <w:del w:id="6570" w:author="AbbVie19" w:date="2025-04-16T10:42:00Z">
              <w:r w:rsidRPr="00BC0E7E">
                <w:rPr>
                  <w:b/>
                  <w:iCs/>
                  <w:szCs w:val="20"/>
                </w:rPr>
                <w:lastRenderedPageBreak/>
                <w:delText xml:space="preserve">Table </w:delText>
              </w:r>
              <w:r w:rsidR="002D2337">
                <w:rPr>
                  <w:b/>
                  <w:iCs/>
                  <w:szCs w:val="20"/>
                </w:rPr>
                <w:delText>1</w:delText>
              </w:r>
              <w:r w:rsidR="005F03EC">
                <w:rPr>
                  <w:b/>
                  <w:iCs/>
                  <w:szCs w:val="20"/>
                </w:rPr>
                <w:delText>6</w:delText>
              </w:r>
            </w:del>
          </w:p>
          <w:p w14:paraId="5578763F"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571" w:author="AbbVie19" w:date="2025-04-16T10:42:00Z"/>
                <w:b/>
                <w:iCs/>
                <w:szCs w:val="20"/>
              </w:rPr>
            </w:pPr>
            <w:del w:id="6572" w:author="AbbVie19" w:date="2025-04-16T10:42:00Z">
              <w:r w:rsidRPr="00BC0E7E">
                <w:rPr>
                  <w:b/>
                  <w:iCs/>
                  <w:szCs w:val="20"/>
                </w:rPr>
                <w:delText>Ps Study I (REVEAL)  - Efficacy Results at 16</w:delText>
              </w:r>
              <w:r w:rsidRPr="00BC0E7E">
                <w:rPr>
                  <w:rFonts w:ascii="Arial" w:hAnsi="Arial"/>
                  <w:bCs/>
                  <w:iCs/>
                  <w:szCs w:val="20"/>
                </w:rPr>
                <w:delText> </w:delText>
              </w:r>
              <w:r w:rsidRPr="00BC0E7E">
                <w:rPr>
                  <w:b/>
                  <w:iCs/>
                  <w:szCs w:val="20"/>
                </w:rPr>
                <w:delText>Weeks</w:delText>
              </w:r>
            </w:del>
          </w:p>
        </w:tc>
      </w:tr>
      <w:tr w:rsidR="00C6578C" w14:paraId="233EB8D7" w14:textId="77777777" w:rsidTr="00171601">
        <w:trPr>
          <w:cantSplit/>
          <w:jc w:val="center"/>
          <w:del w:id="6573" w:author="AbbVie19" w:date="2025-04-16T10:42:00Z"/>
        </w:trPr>
        <w:tc>
          <w:tcPr>
            <w:tcW w:w="2977" w:type="dxa"/>
            <w:vAlign w:val="center"/>
          </w:tcPr>
          <w:p w14:paraId="582F1F60" w14:textId="77777777" w:rsidR="00BC0E7E" w:rsidRPr="00BC0E7E" w:rsidRDefault="00BC0E7E" w:rsidP="00762FA7">
            <w:pPr>
              <w:tabs>
                <w:tab w:val="clear" w:pos="562"/>
              </w:tabs>
              <w:suppressAutoHyphens w:val="0"/>
              <w:overflowPunct w:val="0"/>
              <w:autoSpaceDE w:val="0"/>
              <w:autoSpaceDN w:val="0"/>
              <w:adjustRightInd w:val="0"/>
              <w:textAlignment w:val="baseline"/>
              <w:rPr>
                <w:del w:id="6574" w:author="AbbVie19" w:date="2025-04-16T10:42:00Z"/>
                <w:b/>
                <w:iCs/>
                <w:szCs w:val="20"/>
              </w:rPr>
            </w:pPr>
          </w:p>
        </w:tc>
        <w:tc>
          <w:tcPr>
            <w:tcW w:w="1620" w:type="dxa"/>
            <w:vAlign w:val="center"/>
          </w:tcPr>
          <w:p w14:paraId="22D3930C" w14:textId="77777777" w:rsidR="00BC0E7E" w:rsidRPr="00762FA7" w:rsidRDefault="00944B8F" w:rsidP="00762FA7">
            <w:pPr>
              <w:tabs>
                <w:tab w:val="clear" w:pos="562"/>
              </w:tabs>
              <w:suppressAutoHyphens w:val="0"/>
              <w:overflowPunct w:val="0"/>
              <w:autoSpaceDE w:val="0"/>
              <w:autoSpaceDN w:val="0"/>
              <w:adjustRightInd w:val="0"/>
              <w:jc w:val="center"/>
              <w:textAlignment w:val="baseline"/>
              <w:rPr>
                <w:del w:id="6575" w:author="AbbVie19" w:date="2025-04-16T10:42:00Z"/>
                <w:b/>
                <w:iCs/>
                <w:szCs w:val="20"/>
                <w:lang w:val="fr-FR"/>
              </w:rPr>
            </w:pPr>
            <w:del w:id="6576" w:author="AbbVie19" w:date="2025-04-16T10:42:00Z">
              <w:r w:rsidRPr="00762FA7">
                <w:rPr>
                  <w:b/>
                  <w:iCs/>
                  <w:szCs w:val="20"/>
                  <w:lang w:val="fr-FR"/>
                </w:rPr>
                <w:delText>Placebo</w:delText>
              </w:r>
            </w:del>
          </w:p>
          <w:p w14:paraId="29BCFFCA" w14:textId="77777777" w:rsidR="00BC0E7E" w:rsidRPr="00762FA7" w:rsidRDefault="00944B8F" w:rsidP="00762FA7">
            <w:pPr>
              <w:tabs>
                <w:tab w:val="clear" w:pos="562"/>
              </w:tabs>
              <w:suppressAutoHyphens w:val="0"/>
              <w:overflowPunct w:val="0"/>
              <w:autoSpaceDE w:val="0"/>
              <w:autoSpaceDN w:val="0"/>
              <w:adjustRightInd w:val="0"/>
              <w:jc w:val="center"/>
              <w:textAlignment w:val="baseline"/>
              <w:rPr>
                <w:del w:id="6577" w:author="AbbVie19" w:date="2025-04-16T10:42:00Z"/>
                <w:b/>
                <w:iCs/>
                <w:szCs w:val="20"/>
                <w:lang w:val="fr-FR"/>
              </w:rPr>
            </w:pPr>
            <w:del w:id="6578" w:author="AbbVie19" w:date="2025-04-16T10:42:00Z">
              <w:r w:rsidRPr="00762FA7">
                <w:rPr>
                  <w:b/>
                  <w:iCs/>
                  <w:szCs w:val="20"/>
                  <w:lang w:val="fr-FR"/>
                </w:rPr>
                <w:delText>N=398</w:delText>
              </w:r>
            </w:del>
          </w:p>
          <w:p w14:paraId="52ADA659" w14:textId="77777777" w:rsidR="00BC0E7E" w:rsidRPr="00762FA7" w:rsidRDefault="00944B8F" w:rsidP="00762FA7">
            <w:pPr>
              <w:tabs>
                <w:tab w:val="clear" w:pos="562"/>
              </w:tabs>
              <w:suppressAutoHyphens w:val="0"/>
              <w:overflowPunct w:val="0"/>
              <w:autoSpaceDE w:val="0"/>
              <w:autoSpaceDN w:val="0"/>
              <w:adjustRightInd w:val="0"/>
              <w:jc w:val="center"/>
              <w:textAlignment w:val="baseline"/>
              <w:rPr>
                <w:del w:id="6579" w:author="AbbVie19" w:date="2025-04-16T10:42:00Z"/>
                <w:b/>
                <w:iCs/>
                <w:szCs w:val="20"/>
                <w:lang w:val="fr-FR"/>
              </w:rPr>
            </w:pPr>
            <w:del w:id="6580" w:author="AbbVie19" w:date="2025-04-16T10:42:00Z">
              <w:r w:rsidRPr="00762FA7">
                <w:rPr>
                  <w:b/>
                  <w:iCs/>
                  <w:szCs w:val="20"/>
                  <w:lang w:val="fr-FR"/>
                </w:rPr>
                <w:delText>n (%)</w:delText>
              </w:r>
            </w:del>
          </w:p>
        </w:tc>
        <w:tc>
          <w:tcPr>
            <w:tcW w:w="2352" w:type="dxa"/>
            <w:vAlign w:val="center"/>
          </w:tcPr>
          <w:p w14:paraId="6AD3867C"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581" w:author="AbbVie19" w:date="2025-04-16T10:42:00Z"/>
                <w:b/>
                <w:iCs/>
                <w:szCs w:val="20"/>
                <w:lang w:val="es-ES"/>
              </w:rPr>
            </w:pPr>
            <w:del w:id="6582" w:author="AbbVie19" w:date="2025-04-16T10:42:00Z">
              <w:r w:rsidRPr="00BC0E7E">
                <w:rPr>
                  <w:b/>
                  <w:iCs/>
                  <w:szCs w:val="20"/>
                  <w:lang w:val="es-ES"/>
                </w:rPr>
                <w:delText>Humira 40 mg eow</w:delText>
              </w:r>
            </w:del>
          </w:p>
          <w:p w14:paraId="4FDB414D"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583" w:author="AbbVie19" w:date="2025-04-16T10:42:00Z"/>
                <w:b/>
                <w:iCs/>
                <w:szCs w:val="20"/>
                <w:lang w:val="it-IT"/>
              </w:rPr>
            </w:pPr>
            <w:del w:id="6584" w:author="AbbVie19" w:date="2025-04-16T10:42:00Z">
              <w:r w:rsidRPr="00BC0E7E">
                <w:rPr>
                  <w:b/>
                  <w:iCs/>
                  <w:szCs w:val="20"/>
                  <w:lang w:val="it-IT"/>
                </w:rPr>
                <w:delText>N=814</w:delText>
              </w:r>
            </w:del>
          </w:p>
          <w:p w14:paraId="2965035C"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585" w:author="AbbVie19" w:date="2025-04-16T10:42:00Z"/>
                <w:b/>
                <w:iCs/>
                <w:szCs w:val="20"/>
                <w:lang w:val="it-IT"/>
              </w:rPr>
            </w:pPr>
            <w:del w:id="6586" w:author="AbbVie19" w:date="2025-04-16T10:42:00Z">
              <w:r w:rsidRPr="00BC0E7E">
                <w:rPr>
                  <w:b/>
                  <w:iCs/>
                  <w:szCs w:val="20"/>
                  <w:lang w:val="it-IT"/>
                </w:rPr>
                <w:delText>n (%)</w:delText>
              </w:r>
            </w:del>
          </w:p>
        </w:tc>
      </w:tr>
      <w:tr w:rsidR="00C6578C" w14:paraId="576B5863" w14:textId="77777777" w:rsidTr="00171601">
        <w:trPr>
          <w:cantSplit/>
          <w:jc w:val="center"/>
          <w:del w:id="6587" w:author="AbbVie19" w:date="2025-04-16T10:42:00Z"/>
        </w:trPr>
        <w:tc>
          <w:tcPr>
            <w:tcW w:w="2977" w:type="dxa"/>
          </w:tcPr>
          <w:p w14:paraId="3845D078" w14:textId="77777777" w:rsidR="00BC0E7E" w:rsidRPr="00BC0E7E" w:rsidRDefault="00944B8F" w:rsidP="00762FA7">
            <w:pPr>
              <w:tabs>
                <w:tab w:val="clear" w:pos="562"/>
              </w:tabs>
              <w:suppressAutoHyphens w:val="0"/>
              <w:overflowPunct w:val="0"/>
              <w:autoSpaceDE w:val="0"/>
              <w:autoSpaceDN w:val="0"/>
              <w:adjustRightInd w:val="0"/>
              <w:textAlignment w:val="baseline"/>
              <w:rPr>
                <w:del w:id="6588" w:author="AbbVie19" w:date="2025-04-16T10:42:00Z"/>
                <w:b/>
                <w:iCs/>
                <w:szCs w:val="20"/>
                <w:lang w:val="it-IT"/>
              </w:rPr>
            </w:pPr>
            <w:del w:id="6589" w:author="AbbVie19" w:date="2025-04-16T10:42:00Z">
              <w:r w:rsidRPr="00BC0E7E">
                <w:rPr>
                  <w:b/>
                  <w:iCs/>
                  <w:szCs w:val="20"/>
                  <w:lang w:val="it-IT"/>
                </w:rPr>
                <w:delText xml:space="preserve">    </w:delText>
              </w:r>
              <w:r w:rsidRPr="00BC0E7E">
                <w:rPr>
                  <w:rFonts w:ascii="Symbol" w:eastAsia="Symbol" w:hAnsi="Symbol" w:cs="Symbol"/>
                  <w:b/>
                  <w:szCs w:val="22"/>
                </w:rPr>
                <w:sym w:font="Symbol" w:char="F0B3"/>
              </w:r>
              <w:r w:rsidRPr="00BC0E7E">
                <w:rPr>
                  <w:b/>
                  <w:iCs/>
                  <w:szCs w:val="20"/>
                  <w:lang w:val="it-IT"/>
                </w:rPr>
                <w:delText>PASI 75</w:delText>
              </w:r>
              <w:r w:rsidRPr="00BC0E7E">
                <w:rPr>
                  <w:b/>
                  <w:iCs/>
                  <w:szCs w:val="20"/>
                  <w:vertAlign w:val="superscript"/>
                  <w:lang w:val="it-IT"/>
                </w:rPr>
                <w:delText>a</w:delText>
              </w:r>
            </w:del>
          </w:p>
        </w:tc>
        <w:tc>
          <w:tcPr>
            <w:tcW w:w="1620" w:type="dxa"/>
          </w:tcPr>
          <w:p w14:paraId="695B668E" w14:textId="77777777" w:rsidR="00BC0E7E" w:rsidRPr="00BC0E7E" w:rsidRDefault="00944B8F" w:rsidP="00762FA7">
            <w:pPr>
              <w:tabs>
                <w:tab w:val="clear" w:pos="562"/>
              </w:tabs>
              <w:suppressAutoHyphens w:val="0"/>
              <w:overflowPunct w:val="0"/>
              <w:autoSpaceDE w:val="0"/>
              <w:autoSpaceDN w:val="0"/>
              <w:adjustRightInd w:val="0"/>
              <w:jc w:val="center"/>
              <w:textAlignment w:val="baseline"/>
              <w:rPr>
                <w:del w:id="6590" w:author="AbbVie19" w:date="2025-04-16T10:42:00Z"/>
                <w:bCs/>
                <w:iCs/>
                <w:szCs w:val="20"/>
                <w:lang w:val="it-IT"/>
              </w:rPr>
            </w:pPr>
            <w:del w:id="6591" w:author="AbbVie19" w:date="2025-04-16T10:42:00Z">
              <w:r w:rsidRPr="00BC0E7E">
                <w:rPr>
                  <w:bCs/>
                  <w:iCs/>
                  <w:szCs w:val="20"/>
                  <w:lang w:val="it-IT"/>
                </w:rPr>
                <w:delText>26 (6.5)</w:delText>
              </w:r>
            </w:del>
          </w:p>
        </w:tc>
        <w:tc>
          <w:tcPr>
            <w:tcW w:w="2352" w:type="dxa"/>
          </w:tcPr>
          <w:p w14:paraId="727A430E"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592" w:author="AbbVie19" w:date="2025-04-16T10:42:00Z"/>
                <w:bCs/>
                <w:iCs/>
                <w:szCs w:val="20"/>
                <w:lang w:val="it-IT"/>
              </w:rPr>
            </w:pPr>
            <w:del w:id="6593" w:author="AbbVie19" w:date="2025-04-16T10:42:00Z">
              <w:r w:rsidRPr="00BC0E7E">
                <w:rPr>
                  <w:bCs/>
                  <w:iCs/>
                  <w:szCs w:val="20"/>
                  <w:lang w:val="it-IT"/>
                </w:rPr>
                <w:delText>578 (70.9)</w:delText>
              </w:r>
              <w:r w:rsidRPr="00BC0E7E">
                <w:rPr>
                  <w:bCs/>
                  <w:iCs/>
                  <w:szCs w:val="20"/>
                  <w:vertAlign w:val="superscript"/>
                  <w:lang w:val="it-IT"/>
                </w:rPr>
                <w:delText>b</w:delText>
              </w:r>
            </w:del>
          </w:p>
        </w:tc>
      </w:tr>
      <w:tr w:rsidR="00C6578C" w14:paraId="150C6268" w14:textId="77777777" w:rsidTr="00171601">
        <w:trPr>
          <w:cantSplit/>
          <w:trHeight w:val="70"/>
          <w:jc w:val="center"/>
          <w:del w:id="6594" w:author="AbbVie19" w:date="2025-04-16T10:42:00Z"/>
        </w:trPr>
        <w:tc>
          <w:tcPr>
            <w:tcW w:w="2977" w:type="dxa"/>
          </w:tcPr>
          <w:p w14:paraId="4C2AA1CF" w14:textId="77777777" w:rsidR="00BC0E7E" w:rsidRPr="00BC0E7E" w:rsidRDefault="00944B8F" w:rsidP="00762FA7">
            <w:pPr>
              <w:tabs>
                <w:tab w:val="clear" w:pos="562"/>
              </w:tabs>
              <w:suppressAutoHyphens w:val="0"/>
              <w:overflowPunct w:val="0"/>
              <w:autoSpaceDE w:val="0"/>
              <w:autoSpaceDN w:val="0"/>
              <w:adjustRightInd w:val="0"/>
              <w:textAlignment w:val="baseline"/>
              <w:rPr>
                <w:del w:id="6595" w:author="AbbVie19" w:date="2025-04-16T10:42:00Z"/>
                <w:b/>
                <w:iCs/>
                <w:szCs w:val="20"/>
                <w:lang w:val="it-IT"/>
              </w:rPr>
            </w:pPr>
            <w:del w:id="6596" w:author="AbbVie19" w:date="2025-04-16T10:42:00Z">
              <w:r w:rsidRPr="00BC0E7E">
                <w:rPr>
                  <w:b/>
                  <w:iCs/>
                  <w:szCs w:val="20"/>
                  <w:lang w:val="it-IT"/>
                </w:rPr>
                <w:delText xml:space="preserve">    PASI 100</w:delText>
              </w:r>
            </w:del>
          </w:p>
        </w:tc>
        <w:tc>
          <w:tcPr>
            <w:tcW w:w="1620" w:type="dxa"/>
          </w:tcPr>
          <w:p w14:paraId="1A8E65DB" w14:textId="77777777" w:rsidR="00BC0E7E" w:rsidRPr="00BC0E7E" w:rsidRDefault="00944B8F" w:rsidP="00762FA7">
            <w:pPr>
              <w:tabs>
                <w:tab w:val="clear" w:pos="562"/>
              </w:tabs>
              <w:suppressAutoHyphens w:val="0"/>
              <w:overflowPunct w:val="0"/>
              <w:autoSpaceDE w:val="0"/>
              <w:autoSpaceDN w:val="0"/>
              <w:adjustRightInd w:val="0"/>
              <w:jc w:val="center"/>
              <w:textAlignment w:val="baseline"/>
              <w:rPr>
                <w:del w:id="6597" w:author="AbbVie19" w:date="2025-04-16T10:42:00Z"/>
                <w:bCs/>
                <w:iCs/>
                <w:szCs w:val="20"/>
                <w:lang w:val="it-IT"/>
              </w:rPr>
            </w:pPr>
            <w:del w:id="6598" w:author="AbbVie19" w:date="2025-04-16T10:42:00Z">
              <w:r w:rsidRPr="00BC0E7E">
                <w:rPr>
                  <w:bCs/>
                  <w:iCs/>
                  <w:szCs w:val="20"/>
                  <w:lang w:val="it-IT"/>
                </w:rPr>
                <w:delText>3 (0.8)</w:delText>
              </w:r>
            </w:del>
          </w:p>
        </w:tc>
        <w:tc>
          <w:tcPr>
            <w:tcW w:w="2352" w:type="dxa"/>
          </w:tcPr>
          <w:p w14:paraId="63E64C5C"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599" w:author="AbbVie19" w:date="2025-04-16T10:42:00Z"/>
                <w:bCs/>
                <w:iCs/>
                <w:szCs w:val="20"/>
                <w:lang w:val="it-IT"/>
              </w:rPr>
            </w:pPr>
            <w:del w:id="6600" w:author="AbbVie19" w:date="2025-04-16T10:42:00Z">
              <w:r w:rsidRPr="00BC0E7E">
                <w:rPr>
                  <w:bCs/>
                  <w:iCs/>
                  <w:szCs w:val="20"/>
                  <w:lang w:val="it-IT"/>
                </w:rPr>
                <w:delText>163 (20.0)</w:delText>
              </w:r>
              <w:r w:rsidRPr="00BC0E7E">
                <w:rPr>
                  <w:bCs/>
                  <w:iCs/>
                  <w:szCs w:val="20"/>
                  <w:vertAlign w:val="superscript"/>
                  <w:lang w:val="it-IT"/>
                </w:rPr>
                <w:delText>b</w:delText>
              </w:r>
            </w:del>
          </w:p>
        </w:tc>
      </w:tr>
      <w:tr w:rsidR="00C6578C" w14:paraId="33527988" w14:textId="77777777" w:rsidTr="00171601">
        <w:trPr>
          <w:cantSplit/>
          <w:jc w:val="center"/>
          <w:del w:id="6601" w:author="AbbVie19" w:date="2025-04-16T10:42:00Z"/>
        </w:trPr>
        <w:tc>
          <w:tcPr>
            <w:tcW w:w="2977" w:type="dxa"/>
          </w:tcPr>
          <w:p w14:paraId="1727E25C" w14:textId="77777777" w:rsidR="00BC0E7E" w:rsidRPr="00BC0E7E" w:rsidRDefault="00944B8F" w:rsidP="00762FA7">
            <w:pPr>
              <w:tabs>
                <w:tab w:val="clear" w:pos="562"/>
              </w:tabs>
              <w:suppressAutoHyphens w:val="0"/>
              <w:overflowPunct w:val="0"/>
              <w:autoSpaceDE w:val="0"/>
              <w:autoSpaceDN w:val="0"/>
              <w:adjustRightInd w:val="0"/>
              <w:textAlignment w:val="baseline"/>
              <w:rPr>
                <w:del w:id="6602" w:author="AbbVie19" w:date="2025-04-16T10:42:00Z"/>
                <w:b/>
                <w:iCs/>
                <w:szCs w:val="20"/>
              </w:rPr>
            </w:pPr>
            <w:del w:id="6603" w:author="AbbVie19" w:date="2025-04-16T10:42:00Z">
              <w:r w:rsidRPr="00BC0E7E">
                <w:rPr>
                  <w:b/>
                  <w:iCs/>
                  <w:szCs w:val="20"/>
                  <w:lang w:val="it-IT"/>
                </w:rPr>
                <w:delText xml:space="preserve">    </w:delText>
              </w:r>
              <w:r w:rsidRPr="00BC0E7E">
                <w:rPr>
                  <w:b/>
                  <w:iCs/>
                  <w:szCs w:val="20"/>
                </w:rPr>
                <w:delText>PGA: Clear/minimal</w:delText>
              </w:r>
            </w:del>
          </w:p>
        </w:tc>
        <w:tc>
          <w:tcPr>
            <w:tcW w:w="1620" w:type="dxa"/>
          </w:tcPr>
          <w:p w14:paraId="7023AE33" w14:textId="77777777" w:rsidR="00BC0E7E" w:rsidRPr="00BC0E7E" w:rsidRDefault="00944B8F" w:rsidP="00762FA7">
            <w:pPr>
              <w:tabs>
                <w:tab w:val="clear" w:pos="562"/>
              </w:tabs>
              <w:suppressAutoHyphens w:val="0"/>
              <w:overflowPunct w:val="0"/>
              <w:autoSpaceDE w:val="0"/>
              <w:autoSpaceDN w:val="0"/>
              <w:adjustRightInd w:val="0"/>
              <w:jc w:val="center"/>
              <w:textAlignment w:val="baseline"/>
              <w:rPr>
                <w:del w:id="6604" w:author="AbbVie19" w:date="2025-04-16T10:42:00Z"/>
                <w:bCs/>
                <w:iCs/>
                <w:szCs w:val="20"/>
              </w:rPr>
            </w:pPr>
            <w:del w:id="6605" w:author="AbbVie19" w:date="2025-04-16T10:42:00Z">
              <w:r w:rsidRPr="00BC0E7E">
                <w:rPr>
                  <w:bCs/>
                  <w:iCs/>
                  <w:szCs w:val="20"/>
                </w:rPr>
                <w:delText>17 (4.3)</w:delText>
              </w:r>
            </w:del>
          </w:p>
        </w:tc>
        <w:tc>
          <w:tcPr>
            <w:tcW w:w="2352" w:type="dxa"/>
          </w:tcPr>
          <w:p w14:paraId="23DEBF02"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606" w:author="AbbVie19" w:date="2025-04-16T10:42:00Z"/>
                <w:bCs/>
                <w:iCs/>
                <w:szCs w:val="20"/>
              </w:rPr>
            </w:pPr>
            <w:del w:id="6607" w:author="AbbVie19" w:date="2025-04-16T10:42:00Z">
              <w:r w:rsidRPr="00BC0E7E">
                <w:rPr>
                  <w:bCs/>
                  <w:iCs/>
                  <w:szCs w:val="20"/>
                </w:rPr>
                <w:delText>506 (62.2)</w:delText>
              </w:r>
              <w:r w:rsidRPr="00BC0E7E">
                <w:rPr>
                  <w:bCs/>
                  <w:iCs/>
                  <w:szCs w:val="20"/>
                  <w:vertAlign w:val="superscript"/>
                </w:rPr>
                <w:delText>b</w:delText>
              </w:r>
            </w:del>
          </w:p>
        </w:tc>
      </w:tr>
      <w:tr w:rsidR="00C6578C" w14:paraId="3EFB281E" w14:textId="77777777" w:rsidTr="00171601">
        <w:trPr>
          <w:cantSplit/>
          <w:jc w:val="center"/>
          <w:del w:id="6608" w:author="AbbVie19" w:date="2025-04-16T10:42:00Z"/>
        </w:trPr>
        <w:tc>
          <w:tcPr>
            <w:tcW w:w="6949" w:type="dxa"/>
            <w:gridSpan w:val="3"/>
          </w:tcPr>
          <w:p w14:paraId="7E0D2D05" w14:textId="77777777" w:rsidR="00BC0E7E" w:rsidRPr="00BC0E7E" w:rsidRDefault="00944B8F" w:rsidP="00762FA7">
            <w:pPr>
              <w:keepNext/>
              <w:tabs>
                <w:tab w:val="clear" w:pos="562"/>
              </w:tabs>
              <w:suppressAutoHyphens w:val="0"/>
              <w:overflowPunct w:val="0"/>
              <w:autoSpaceDE w:val="0"/>
              <w:autoSpaceDN w:val="0"/>
              <w:adjustRightInd w:val="0"/>
              <w:textAlignment w:val="baseline"/>
              <w:rPr>
                <w:del w:id="6609" w:author="AbbVie19" w:date="2025-04-16T10:42:00Z"/>
                <w:bCs/>
                <w:iCs/>
                <w:szCs w:val="20"/>
              </w:rPr>
            </w:pPr>
            <w:del w:id="6610" w:author="AbbVie19" w:date="2025-04-16T10:42:00Z">
              <w:r w:rsidRPr="00BC0E7E">
                <w:rPr>
                  <w:bCs/>
                  <w:iCs/>
                  <w:szCs w:val="20"/>
                  <w:vertAlign w:val="superscript"/>
                </w:rPr>
                <w:delText>a</w:delText>
              </w:r>
              <w:r w:rsidRPr="00BC0E7E">
                <w:rPr>
                  <w:bCs/>
                  <w:iCs/>
                  <w:szCs w:val="20"/>
                </w:rPr>
                <w:delText xml:space="preserve"> Percent of patients achieving PASI75 response was calculated as centre-adjusted rate</w:delText>
              </w:r>
            </w:del>
          </w:p>
          <w:p w14:paraId="5A85181E" w14:textId="77777777" w:rsidR="00BC0E7E" w:rsidRPr="00762FA7" w:rsidRDefault="00944B8F" w:rsidP="00762FA7">
            <w:pPr>
              <w:keepNext/>
              <w:tabs>
                <w:tab w:val="clear" w:pos="562"/>
              </w:tabs>
              <w:suppressAutoHyphens w:val="0"/>
              <w:overflowPunct w:val="0"/>
              <w:autoSpaceDE w:val="0"/>
              <w:autoSpaceDN w:val="0"/>
              <w:adjustRightInd w:val="0"/>
              <w:textAlignment w:val="baseline"/>
              <w:rPr>
                <w:del w:id="6611" w:author="AbbVie19" w:date="2025-04-16T10:42:00Z"/>
                <w:bCs/>
                <w:iCs/>
                <w:szCs w:val="20"/>
                <w:lang w:val="fr-FR"/>
              </w:rPr>
            </w:pPr>
            <w:del w:id="6612" w:author="AbbVie19" w:date="2025-04-16T10:42:00Z">
              <w:r w:rsidRPr="00762FA7">
                <w:rPr>
                  <w:bCs/>
                  <w:iCs/>
                  <w:szCs w:val="20"/>
                  <w:vertAlign w:val="superscript"/>
                  <w:lang w:val="fr-FR"/>
                </w:rPr>
                <w:delText>b</w:delText>
              </w:r>
              <w:r w:rsidRPr="00762FA7">
                <w:rPr>
                  <w:bCs/>
                  <w:iCs/>
                  <w:szCs w:val="20"/>
                  <w:lang w:val="fr-FR"/>
                </w:rPr>
                <w:delText xml:space="preserve"> p&lt;0.001, Humira vs. </w:delText>
              </w:r>
              <w:r w:rsidR="005F03EC" w:rsidRPr="00762FA7">
                <w:rPr>
                  <w:bCs/>
                  <w:iCs/>
                  <w:szCs w:val="20"/>
                  <w:lang w:val="fr-FR"/>
                </w:rPr>
                <w:delText>P</w:delText>
              </w:r>
              <w:r w:rsidRPr="00762FA7">
                <w:rPr>
                  <w:bCs/>
                  <w:iCs/>
                  <w:szCs w:val="20"/>
                  <w:lang w:val="fr-FR"/>
                </w:rPr>
                <w:delText>lacebo</w:delText>
              </w:r>
            </w:del>
          </w:p>
        </w:tc>
      </w:tr>
    </w:tbl>
    <w:p w14:paraId="443ECBFB" w14:textId="77777777" w:rsidR="00BC0E7E" w:rsidRPr="00762FA7" w:rsidRDefault="00BC0E7E" w:rsidP="00762FA7">
      <w:pPr>
        <w:jc w:val="both"/>
        <w:rPr>
          <w:del w:id="6613" w:author="AbbVie19" w:date="2025-04-16T10:42:00Z"/>
          <w:sz w:val="16"/>
          <w:szCs w:val="16"/>
          <w:lang w:val="fr-FR"/>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9"/>
        <w:gridCol w:w="1668"/>
        <w:gridCol w:w="1347"/>
        <w:gridCol w:w="2392"/>
      </w:tblGrid>
      <w:tr w:rsidR="00C6578C" w14:paraId="262CCACA" w14:textId="77777777" w:rsidTr="00171601">
        <w:trPr>
          <w:cantSplit/>
          <w:jc w:val="center"/>
          <w:del w:id="6614" w:author="AbbVie19" w:date="2025-04-16T10:42:00Z"/>
        </w:trPr>
        <w:tc>
          <w:tcPr>
            <w:tcW w:w="7046" w:type="dxa"/>
            <w:gridSpan w:val="4"/>
            <w:tcBorders>
              <w:top w:val="nil"/>
              <w:left w:val="nil"/>
              <w:right w:val="nil"/>
            </w:tcBorders>
          </w:tcPr>
          <w:p w14:paraId="38244828" w14:textId="77777777" w:rsidR="00BC0E7E" w:rsidRPr="003F7AAE" w:rsidRDefault="00944B8F" w:rsidP="00762FA7">
            <w:pPr>
              <w:keepNext/>
              <w:tabs>
                <w:tab w:val="clear" w:pos="562"/>
              </w:tabs>
              <w:suppressAutoHyphens w:val="0"/>
              <w:overflowPunct w:val="0"/>
              <w:autoSpaceDE w:val="0"/>
              <w:autoSpaceDN w:val="0"/>
              <w:adjustRightInd w:val="0"/>
              <w:jc w:val="center"/>
              <w:textAlignment w:val="baseline"/>
              <w:rPr>
                <w:del w:id="6615" w:author="AbbVie19" w:date="2025-04-16T10:42:00Z"/>
                <w:iCs/>
                <w:szCs w:val="20"/>
              </w:rPr>
            </w:pPr>
            <w:del w:id="6616" w:author="AbbVie19" w:date="2025-04-16T10:42:00Z">
              <w:r w:rsidRPr="00BC0E7E">
                <w:rPr>
                  <w:b/>
                  <w:iCs/>
                  <w:szCs w:val="20"/>
                </w:rPr>
                <w:delText xml:space="preserve">Table </w:delText>
              </w:r>
              <w:r w:rsidR="002D2337">
                <w:rPr>
                  <w:b/>
                  <w:iCs/>
                  <w:szCs w:val="20"/>
                </w:rPr>
                <w:delText>1</w:delText>
              </w:r>
              <w:r w:rsidR="005F03EC">
                <w:rPr>
                  <w:b/>
                  <w:iCs/>
                  <w:szCs w:val="20"/>
                </w:rPr>
                <w:delText>7</w:delText>
              </w:r>
            </w:del>
          </w:p>
          <w:p w14:paraId="62F0F68E" w14:textId="77777777" w:rsidR="00BC0E7E" w:rsidRPr="003F7AAE" w:rsidRDefault="00944B8F" w:rsidP="00762FA7">
            <w:pPr>
              <w:keepNext/>
              <w:tabs>
                <w:tab w:val="clear" w:pos="562"/>
              </w:tabs>
              <w:suppressAutoHyphens w:val="0"/>
              <w:overflowPunct w:val="0"/>
              <w:autoSpaceDE w:val="0"/>
              <w:autoSpaceDN w:val="0"/>
              <w:adjustRightInd w:val="0"/>
              <w:jc w:val="center"/>
              <w:textAlignment w:val="baseline"/>
              <w:rPr>
                <w:del w:id="6617" w:author="AbbVie19" w:date="2025-04-16T10:42:00Z"/>
                <w:iCs/>
                <w:szCs w:val="20"/>
              </w:rPr>
            </w:pPr>
            <w:del w:id="6618" w:author="AbbVie19" w:date="2025-04-16T10:42:00Z">
              <w:r w:rsidRPr="00BC0E7E">
                <w:rPr>
                  <w:b/>
                  <w:iCs/>
                  <w:szCs w:val="20"/>
                </w:rPr>
                <w:delText xml:space="preserve"> Ps Study II (CHAMPION) Efficacy Results at 16</w:delText>
              </w:r>
              <w:r w:rsidRPr="00BC0E7E">
                <w:rPr>
                  <w:rFonts w:ascii="Arial" w:hAnsi="Arial"/>
                  <w:bCs/>
                  <w:iCs/>
                  <w:szCs w:val="20"/>
                </w:rPr>
                <w:delText> </w:delText>
              </w:r>
              <w:r w:rsidRPr="00BC0E7E">
                <w:rPr>
                  <w:b/>
                  <w:iCs/>
                  <w:szCs w:val="20"/>
                </w:rPr>
                <w:delText>Weeks</w:delText>
              </w:r>
            </w:del>
          </w:p>
          <w:p w14:paraId="512F7F20" w14:textId="77777777" w:rsidR="00BC0E7E" w:rsidRPr="00BC0E7E" w:rsidRDefault="00BC0E7E" w:rsidP="00762FA7">
            <w:pPr>
              <w:keepNext/>
              <w:tabs>
                <w:tab w:val="clear" w:pos="562"/>
              </w:tabs>
              <w:suppressAutoHyphens w:val="0"/>
              <w:overflowPunct w:val="0"/>
              <w:autoSpaceDE w:val="0"/>
              <w:autoSpaceDN w:val="0"/>
              <w:adjustRightInd w:val="0"/>
              <w:jc w:val="center"/>
              <w:textAlignment w:val="baseline"/>
              <w:rPr>
                <w:del w:id="6619" w:author="AbbVie19" w:date="2025-04-16T10:42:00Z"/>
                <w:bCs/>
                <w:iCs/>
                <w:szCs w:val="20"/>
              </w:rPr>
            </w:pPr>
          </w:p>
        </w:tc>
      </w:tr>
      <w:tr w:rsidR="00C6578C" w14:paraId="15DFCA63" w14:textId="77777777" w:rsidTr="00171601">
        <w:trPr>
          <w:cantSplit/>
          <w:jc w:val="center"/>
          <w:del w:id="6620" w:author="AbbVie19" w:date="2025-04-16T10:42:00Z"/>
        </w:trPr>
        <w:tc>
          <w:tcPr>
            <w:tcW w:w="1639" w:type="dxa"/>
          </w:tcPr>
          <w:p w14:paraId="1F6C6AE5" w14:textId="77777777" w:rsidR="00BC0E7E" w:rsidRPr="00BC0E7E" w:rsidRDefault="00BC0E7E" w:rsidP="00762FA7">
            <w:pPr>
              <w:keepNext/>
              <w:tabs>
                <w:tab w:val="clear" w:pos="562"/>
              </w:tabs>
              <w:suppressAutoHyphens w:val="0"/>
              <w:overflowPunct w:val="0"/>
              <w:autoSpaceDE w:val="0"/>
              <w:autoSpaceDN w:val="0"/>
              <w:adjustRightInd w:val="0"/>
              <w:jc w:val="center"/>
              <w:textAlignment w:val="baseline"/>
              <w:rPr>
                <w:del w:id="6621" w:author="AbbVie19" w:date="2025-04-16T10:42:00Z"/>
                <w:b/>
                <w:iCs/>
                <w:szCs w:val="20"/>
              </w:rPr>
            </w:pPr>
          </w:p>
        </w:tc>
        <w:tc>
          <w:tcPr>
            <w:tcW w:w="1668" w:type="dxa"/>
            <w:vAlign w:val="center"/>
          </w:tcPr>
          <w:p w14:paraId="1D4D9FEC"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622" w:author="AbbVie19" w:date="2025-04-16T10:42:00Z"/>
                <w:b/>
                <w:iCs/>
                <w:szCs w:val="20"/>
              </w:rPr>
            </w:pPr>
            <w:del w:id="6623" w:author="AbbVie19" w:date="2025-04-16T10:42:00Z">
              <w:r w:rsidRPr="00BC0E7E">
                <w:rPr>
                  <w:b/>
                  <w:iCs/>
                  <w:szCs w:val="20"/>
                </w:rPr>
                <w:delText>Placebo</w:delText>
              </w:r>
            </w:del>
          </w:p>
          <w:p w14:paraId="45FCD436"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624" w:author="AbbVie19" w:date="2025-04-16T10:42:00Z"/>
                <w:b/>
                <w:iCs/>
                <w:szCs w:val="20"/>
              </w:rPr>
            </w:pPr>
            <w:del w:id="6625" w:author="AbbVie19" w:date="2025-04-16T10:42:00Z">
              <w:r w:rsidRPr="00BC0E7E">
                <w:rPr>
                  <w:b/>
                  <w:iCs/>
                  <w:szCs w:val="20"/>
                </w:rPr>
                <w:delText>N=53</w:delText>
              </w:r>
            </w:del>
          </w:p>
          <w:p w14:paraId="0F65ED4B"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626" w:author="AbbVie19" w:date="2025-04-16T10:42:00Z"/>
                <w:b/>
                <w:iCs/>
                <w:szCs w:val="20"/>
              </w:rPr>
            </w:pPr>
            <w:del w:id="6627" w:author="AbbVie19" w:date="2025-04-16T10:42:00Z">
              <w:r w:rsidRPr="00BC0E7E">
                <w:rPr>
                  <w:b/>
                  <w:iCs/>
                  <w:szCs w:val="20"/>
                </w:rPr>
                <w:delText>n (%)</w:delText>
              </w:r>
            </w:del>
          </w:p>
        </w:tc>
        <w:tc>
          <w:tcPr>
            <w:tcW w:w="1347" w:type="dxa"/>
            <w:vAlign w:val="center"/>
          </w:tcPr>
          <w:p w14:paraId="544D0945"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628" w:author="AbbVie19" w:date="2025-04-16T10:42:00Z"/>
                <w:b/>
                <w:iCs/>
                <w:szCs w:val="20"/>
              </w:rPr>
            </w:pPr>
            <w:del w:id="6629" w:author="AbbVie19" w:date="2025-04-16T10:42:00Z">
              <w:r w:rsidRPr="00BC0E7E">
                <w:rPr>
                  <w:b/>
                  <w:iCs/>
                  <w:szCs w:val="20"/>
                </w:rPr>
                <w:delText>MTX</w:delText>
              </w:r>
            </w:del>
          </w:p>
          <w:p w14:paraId="2A6990A8"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630" w:author="AbbVie19" w:date="2025-04-16T10:42:00Z"/>
                <w:b/>
                <w:iCs/>
                <w:szCs w:val="20"/>
              </w:rPr>
            </w:pPr>
            <w:del w:id="6631" w:author="AbbVie19" w:date="2025-04-16T10:42:00Z">
              <w:r w:rsidRPr="00BC0E7E">
                <w:rPr>
                  <w:b/>
                  <w:iCs/>
                  <w:szCs w:val="20"/>
                </w:rPr>
                <w:delText>N=110</w:delText>
              </w:r>
            </w:del>
          </w:p>
          <w:p w14:paraId="2EDF48C9"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632" w:author="AbbVie19" w:date="2025-04-16T10:42:00Z"/>
                <w:b/>
                <w:iCs/>
                <w:szCs w:val="20"/>
              </w:rPr>
            </w:pPr>
            <w:del w:id="6633" w:author="AbbVie19" w:date="2025-04-16T10:42:00Z">
              <w:r w:rsidRPr="00BC0E7E">
                <w:rPr>
                  <w:b/>
                  <w:iCs/>
                  <w:szCs w:val="20"/>
                </w:rPr>
                <w:delText>n (%)</w:delText>
              </w:r>
            </w:del>
          </w:p>
        </w:tc>
        <w:tc>
          <w:tcPr>
            <w:tcW w:w="2392" w:type="dxa"/>
            <w:vAlign w:val="center"/>
          </w:tcPr>
          <w:p w14:paraId="46F812FF"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634" w:author="AbbVie19" w:date="2025-04-16T10:42:00Z"/>
                <w:b/>
                <w:iCs/>
                <w:szCs w:val="20"/>
                <w:lang w:val="it-IT"/>
              </w:rPr>
            </w:pPr>
            <w:del w:id="6635" w:author="AbbVie19" w:date="2025-04-16T10:42:00Z">
              <w:r w:rsidRPr="00BC0E7E">
                <w:rPr>
                  <w:b/>
                  <w:iCs/>
                  <w:szCs w:val="20"/>
                  <w:lang w:val="it-IT"/>
                </w:rPr>
                <w:delText>Humira 40 mg eow</w:delText>
              </w:r>
            </w:del>
          </w:p>
          <w:p w14:paraId="35FDA185"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636" w:author="AbbVie19" w:date="2025-04-16T10:42:00Z"/>
                <w:b/>
                <w:iCs/>
                <w:szCs w:val="20"/>
                <w:lang w:val="it-IT"/>
              </w:rPr>
            </w:pPr>
            <w:del w:id="6637" w:author="AbbVie19" w:date="2025-04-16T10:42:00Z">
              <w:r w:rsidRPr="00BC0E7E">
                <w:rPr>
                  <w:b/>
                  <w:iCs/>
                  <w:szCs w:val="20"/>
                  <w:lang w:val="it-IT"/>
                </w:rPr>
                <w:delText>N=108</w:delText>
              </w:r>
            </w:del>
          </w:p>
          <w:p w14:paraId="5E2A3FD6"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638" w:author="AbbVie19" w:date="2025-04-16T10:42:00Z"/>
                <w:b/>
                <w:iCs/>
                <w:szCs w:val="20"/>
                <w:lang w:val="it-IT"/>
              </w:rPr>
            </w:pPr>
            <w:del w:id="6639" w:author="AbbVie19" w:date="2025-04-16T10:42:00Z">
              <w:r w:rsidRPr="00BC0E7E">
                <w:rPr>
                  <w:b/>
                  <w:iCs/>
                  <w:szCs w:val="20"/>
                  <w:lang w:val="it-IT"/>
                </w:rPr>
                <w:delText>n (%)</w:delText>
              </w:r>
            </w:del>
          </w:p>
        </w:tc>
      </w:tr>
      <w:tr w:rsidR="00C6578C" w14:paraId="612AFE2F" w14:textId="77777777" w:rsidTr="00171601">
        <w:trPr>
          <w:cantSplit/>
          <w:jc w:val="center"/>
          <w:del w:id="6640" w:author="AbbVie19" w:date="2025-04-16T10:42:00Z"/>
        </w:trPr>
        <w:tc>
          <w:tcPr>
            <w:tcW w:w="1639" w:type="dxa"/>
          </w:tcPr>
          <w:p w14:paraId="4564030B" w14:textId="77777777" w:rsidR="00BC0E7E" w:rsidRPr="00BC0E7E" w:rsidRDefault="00944B8F" w:rsidP="00762FA7">
            <w:pPr>
              <w:keepNext/>
              <w:tabs>
                <w:tab w:val="clear" w:pos="562"/>
              </w:tabs>
              <w:suppressAutoHyphens w:val="0"/>
              <w:overflowPunct w:val="0"/>
              <w:autoSpaceDE w:val="0"/>
              <w:autoSpaceDN w:val="0"/>
              <w:adjustRightInd w:val="0"/>
              <w:textAlignment w:val="baseline"/>
              <w:rPr>
                <w:del w:id="6641" w:author="AbbVie19" w:date="2025-04-16T10:42:00Z"/>
                <w:b/>
                <w:iCs/>
                <w:szCs w:val="20"/>
                <w:lang w:val="it-IT"/>
              </w:rPr>
            </w:pPr>
            <w:del w:id="6642" w:author="AbbVie19" w:date="2025-04-16T10:42:00Z">
              <w:r w:rsidRPr="00BC0E7E">
                <w:rPr>
                  <w:b/>
                  <w:iCs/>
                  <w:szCs w:val="20"/>
                  <w:lang w:val="it-IT"/>
                </w:rPr>
                <w:delText xml:space="preserve">    </w:delText>
              </w:r>
              <w:r w:rsidRPr="00BC0E7E">
                <w:rPr>
                  <w:rFonts w:ascii="Symbol" w:eastAsia="Symbol" w:hAnsi="Symbol" w:cs="Symbol"/>
                  <w:b/>
                  <w:szCs w:val="22"/>
                </w:rPr>
                <w:sym w:font="Symbol" w:char="F0B3"/>
              </w:r>
              <w:r w:rsidRPr="00BC0E7E">
                <w:rPr>
                  <w:b/>
                  <w:iCs/>
                  <w:szCs w:val="20"/>
                  <w:lang w:val="it-IT"/>
                </w:rPr>
                <w:delText>PASI 75</w:delText>
              </w:r>
            </w:del>
          </w:p>
        </w:tc>
        <w:tc>
          <w:tcPr>
            <w:tcW w:w="1668" w:type="dxa"/>
          </w:tcPr>
          <w:p w14:paraId="28D596FD"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643" w:author="AbbVie19" w:date="2025-04-16T10:42:00Z"/>
                <w:bCs/>
                <w:iCs/>
                <w:szCs w:val="20"/>
                <w:lang w:val="it-IT"/>
              </w:rPr>
            </w:pPr>
            <w:del w:id="6644" w:author="AbbVie19" w:date="2025-04-16T10:42:00Z">
              <w:r w:rsidRPr="00BC0E7E">
                <w:rPr>
                  <w:bCs/>
                  <w:iCs/>
                  <w:szCs w:val="20"/>
                  <w:lang w:val="it-IT"/>
                </w:rPr>
                <w:delText>10 (18.9)</w:delText>
              </w:r>
            </w:del>
          </w:p>
        </w:tc>
        <w:tc>
          <w:tcPr>
            <w:tcW w:w="1347" w:type="dxa"/>
          </w:tcPr>
          <w:p w14:paraId="250E2128"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645" w:author="AbbVie19" w:date="2025-04-16T10:42:00Z"/>
                <w:bCs/>
                <w:iCs/>
                <w:szCs w:val="20"/>
                <w:lang w:val="it-IT"/>
              </w:rPr>
            </w:pPr>
            <w:del w:id="6646" w:author="AbbVie19" w:date="2025-04-16T10:42:00Z">
              <w:r w:rsidRPr="00BC0E7E">
                <w:rPr>
                  <w:bCs/>
                  <w:iCs/>
                  <w:szCs w:val="20"/>
                  <w:lang w:val="it-IT"/>
                </w:rPr>
                <w:delText>39 (35.5)</w:delText>
              </w:r>
            </w:del>
          </w:p>
        </w:tc>
        <w:tc>
          <w:tcPr>
            <w:tcW w:w="2392" w:type="dxa"/>
          </w:tcPr>
          <w:p w14:paraId="2A1ACCAE"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647" w:author="AbbVie19" w:date="2025-04-16T10:42:00Z"/>
                <w:bCs/>
                <w:iCs/>
                <w:szCs w:val="20"/>
                <w:lang w:val="it-IT"/>
              </w:rPr>
            </w:pPr>
            <w:del w:id="6648" w:author="AbbVie19" w:date="2025-04-16T10:42:00Z">
              <w:r w:rsidRPr="00BC0E7E">
                <w:rPr>
                  <w:bCs/>
                  <w:iCs/>
                  <w:szCs w:val="20"/>
                  <w:lang w:val="it-IT"/>
                </w:rPr>
                <w:delText>86 (79.6)</w:delText>
              </w:r>
              <w:r w:rsidRPr="00BC0E7E">
                <w:rPr>
                  <w:bCs/>
                  <w:iCs/>
                  <w:szCs w:val="20"/>
                  <w:vertAlign w:val="superscript"/>
                  <w:lang w:val="it-IT"/>
                </w:rPr>
                <w:delText xml:space="preserve"> a, b</w:delText>
              </w:r>
            </w:del>
          </w:p>
        </w:tc>
      </w:tr>
      <w:tr w:rsidR="00C6578C" w14:paraId="5EC5DC7A" w14:textId="77777777" w:rsidTr="00171601">
        <w:trPr>
          <w:cantSplit/>
          <w:jc w:val="center"/>
          <w:del w:id="6649" w:author="AbbVie19" w:date="2025-04-16T10:42:00Z"/>
        </w:trPr>
        <w:tc>
          <w:tcPr>
            <w:tcW w:w="1639" w:type="dxa"/>
          </w:tcPr>
          <w:p w14:paraId="49663C26" w14:textId="77777777" w:rsidR="00BC0E7E" w:rsidRPr="00BC0E7E" w:rsidRDefault="00944B8F" w:rsidP="00762FA7">
            <w:pPr>
              <w:keepNext/>
              <w:tabs>
                <w:tab w:val="clear" w:pos="562"/>
              </w:tabs>
              <w:suppressAutoHyphens w:val="0"/>
              <w:overflowPunct w:val="0"/>
              <w:autoSpaceDE w:val="0"/>
              <w:autoSpaceDN w:val="0"/>
              <w:adjustRightInd w:val="0"/>
              <w:textAlignment w:val="baseline"/>
              <w:rPr>
                <w:del w:id="6650" w:author="AbbVie19" w:date="2025-04-16T10:42:00Z"/>
                <w:b/>
                <w:iCs/>
                <w:szCs w:val="20"/>
                <w:lang w:val="it-IT"/>
              </w:rPr>
            </w:pPr>
            <w:del w:id="6651" w:author="AbbVie19" w:date="2025-04-16T10:42:00Z">
              <w:r w:rsidRPr="00BC0E7E">
                <w:rPr>
                  <w:b/>
                  <w:iCs/>
                  <w:szCs w:val="20"/>
                  <w:lang w:val="it-IT"/>
                </w:rPr>
                <w:delText xml:space="preserve">    PASI 100</w:delText>
              </w:r>
            </w:del>
          </w:p>
        </w:tc>
        <w:tc>
          <w:tcPr>
            <w:tcW w:w="1668" w:type="dxa"/>
          </w:tcPr>
          <w:p w14:paraId="721E46EF"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652" w:author="AbbVie19" w:date="2025-04-16T10:42:00Z"/>
                <w:bCs/>
                <w:iCs/>
                <w:szCs w:val="20"/>
              </w:rPr>
            </w:pPr>
            <w:del w:id="6653" w:author="AbbVie19" w:date="2025-04-16T10:42:00Z">
              <w:r w:rsidRPr="00BC0E7E">
                <w:rPr>
                  <w:bCs/>
                  <w:iCs/>
                  <w:szCs w:val="20"/>
                </w:rPr>
                <w:delText>1 (1.9)</w:delText>
              </w:r>
            </w:del>
          </w:p>
        </w:tc>
        <w:tc>
          <w:tcPr>
            <w:tcW w:w="1347" w:type="dxa"/>
          </w:tcPr>
          <w:p w14:paraId="0E942375"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654" w:author="AbbVie19" w:date="2025-04-16T10:42:00Z"/>
                <w:bCs/>
                <w:iCs/>
                <w:szCs w:val="20"/>
              </w:rPr>
            </w:pPr>
            <w:del w:id="6655" w:author="AbbVie19" w:date="2025-04-16T10:42:00Z">
              <w:r w:rsidRPr="00BC0E7E">
                <w:rPr>
                  <w:bCs/>
                  <w:iCs/>
                  <w:szCs w:val="20"/>
                </w:rPr>
                <w:delText>8 (7.3)</w:delText>
              </w:r>
            </w:del>
          </w:p>
        </w:tc>
        <w:tc>
          <w:tcPr>
            <w:tcW w:w="2392" w:type="dxa"/>
          </w:tcPr>
          <w:p w14:paraId="6420F0E1"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656" w:author="AbbVie19" w:date="2025-04-16T10:42:00Z"/>
                <w:bCs/>
                <w:iCs/>
                <w:szCs w:val="20"/>
              </w:rPr>
            </w:pPr>
            <w:del w:id="6657" w:author="AbbVie19" w:date="2025-04-16T10:42:00Z">
              <w:r w:rsidRPr="00BC0E7E">
                <w:rPr>
                  <w:bCs/>
                  <w:iCs/>
                  <w:szCs w:val="20"/>
                </w:rPr>
                <w:delText>18 (16.7)</w:delText>
              </w:r>
              <w:r w:rsidRPr="00BC0E7E">
                <w:rPr>
                  <w:bCs/>
                  <w:iCs/>
                  <w:szCs w:val="20"/>
                  <w:vertAlign w:val="superscript"/>
                </w:rPr>
                <w:delText xml:space="preserve"> c, d</w:delText>
              </w:r>
            </w:del>
          </w:p>
        </w:tc>
      </w:tr>
      <w:tr w:rsidR="00C6578C" w14:paraId="0298AE70" w14:textId="77777777" w:rsidTr="00171601">
        <w:trPr>
          <w:cantSplit/>
          <w:jc w:val="center"/>
          <w:del w:id="6658" w:author="AbbVie19" w:date="2025-04-16T10:42:00Z"/>
        </w:trPr>
        <w:tc>
          <w:tcPr>
            <w:tcW w:w="1639" w:type="dxa"/>
          </w:tcPr>
          <w:p w14:paraId="67A80E02" w14:textId="77777777" w:rsidR="00BC0E7E" w:rsidRPr="00BC0E7E" w:rsidRDefault="00944B8F" w:rsidP="00762FA7">
            <w:pPr>
              <w:keepNext/>
              <w:tabs>
                <w:tab w:val="clear" w:pos="562"/>
              </w:tabs>
              <w:suppressAutoHyphens w:val="0"/>
              <w:overflowPunct w:val="0"/>
              <w:autoSpaceDE w:val="0"/>
              <w:autoSpaceDN w:val="0"/>
              <w:adjustRightInd w:val="0"/>
              <w:textAlignment w:val="baseline"/>
              <w:rPr>
                <w:del w:id="6659" w:author="AbbVie19" w:date="2025-04-16T10:42:00Z"/>
                <w:b/>
                <w:iCs/>
                <w:szCs w:val="20"/>
              </w:rPr>
            </w:pPr>
            <w:del w:id="6660" w:author="AbbVie19" w:date="2025-04-16T10:42:00Z">
              <w:r w:rsidRPr="00BC0E7E">
                <w:rPr>
                  <w:b/>
                  <w:iCs/>
                  <w:szCs w:val="20"/>
                </w:rPr>
                <w:delText xml:space="preserve">    PGA: Clear/minimal</w:delText>
              </w:r>
            </w:del>
          </w:p>
        </w:tc>
        <w:tc>
          <w:tcPr>
            <w:tcW w:w="1668" w:type="dxa"/>
          </w:tcPr>
          <w:p w14:paraId="352E4CD3"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661" w:author="AbbVie19" w:date="2025-04-16T10:42:00Z"/>
                <w:bCs/>
                <w:iCs/>
                <w:szCs w:val="20"/>
              </w:rPr>
            </w:pPr>
            <w:del w:id="6662" w:author="AbbVie19" w:date="2025-04-16T10:42:00Z">
              <w:r w:rsidRPr="00BC0E7E">
                <w:rPr>
                  <w:bCs/>
                  <w:iCs/>
                  <w:szCs w:val="20"/>
                </w:rPr>
                <w:delText>6 (11.3)</w:delText>
              </w:r>
            </w:del>
          </w:p>
        </w:tc>
        <w:tc>
          <w:tcPr>
            <w:tcW w:w="1347" w:type="dxa"/>
          </w:tcPr>
          <w:p w14:paraId="4C461C49"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663" w:author="AbbVie19" w:date="2025-04-16T10:42:00Z"/>
                <w:bCs/>
                <w:iCs/>
                <w:szCs w:val="20"/>
              </w:rPr>
            </w:pPr>
            <w:del w:id="6664" w:author="AbbVie19" w:date="2025-04-16T10:42:00Z">
              <w:r w:rsidRPr="00BC0E7E">
                <w:rPr>
                  <w:bCs/>
                  <w:iCs/>
                  <w:szCs w:val="20"/>
                </w:rPr>
                <w:delText>33 (30.0)</w:delText>
              </w:r>
            </w:del>
          </w:p>
        </w:tc>
        <w:tc>
          <w:tcPr>
            <w:tcW w:w="2392" w:type="dxa"/>
          </w:tcPr>
          <w:p w14:paraId="38B7E9FF" w14:textId="77777777" w:rsidR="00BC0E7E" w:rsidRPr="00BC0E7E" w:rsidRDefault="00944B8F" w:rsidP="00762FA7">
            <w:pPr>
              <w:keepNext/>
              <w:tabs>
                <w:tab w:val="clear" w:pos="562"/>
              </w:tabs>
              <w:suppressAutoHyphens w:val="0"/>
              <w:overflowPunct w:val="0"/>
              <w:autoSpaceDE w:val="0"/>
              <w:autoSpaceDN w:val="0"/>
              <w:adjustRightInd w:val="0"/>
              <w:jc w:val="center"/>
              <w:textAlignment w:val="baseline"/>
              <w:rPr>
                <w:del w:id="6665" w:author="AbbVie19" w:date="2025-04-16T10:42:00Z"/>
                <w:bCs/>
                <w:iCs/>
                <w:szCs w:val="20"/>
              </w:rPr>
            </w:pPr>
            <w:del w:id="6666" w:author="AbbVie19" w:date="2025-04-16T10:42:00Z">
              <w:r w:rsidRPr="00BC0E7E">
                <w:rPr>
                  <w:bCs/>
                  <w:iCs/>
                  <w:szCs w:val="20"/>
                </w:rPr>
                <w:delText>79 (73.1)</w:delText>
              </w:r>
              <w:r w:rsidRPr="00BC0E7E">
                <w:rPr>
                  <w:bCs/>
                  <w:iCs/>
                  <w:szCs w:val="20"/>
                  <w:vertAlign w:val="superscript"/>
                </w:rPr>
                <w:delText xml:space="preserve"> a, b</w:delText>
              </w:r>
            </w:del>
          </w:p>
        </w:tc>
      </w:tr>
      <w:tr w:rsidR="00C6578C" w14:paraId="65D1FA2D" w14:textId="77777777" w:rsidTr="00171601">
        <w:trPr>
          <w:cantSplit/>
          <w:jc w:val="center"/>
          <w:del w:id="6667" w:author="AbbVie19" w:date="2025-04-16T10:42:00Z"/>
        </w:trPr>
        <w:tc>
          <w:tcPr>
            <w:tcW w:w="7046" w:type="dxa"/>
            <w:gridSpan w:val="4"/>
          </w:tcPr>
          <w:p w14:paraId="3668A726" w14:textId="77777777" w:rsidR="00BC0E7E" w:rsidRPr="0083028C" w:rsidRDefault="00944B8F" w:rsidP="00762FA7">
            <w:pPr>
              <w:keepNext/>
              <w:tabs>
                <w:tab w:val="clear" w:pos="562"/>
              </w:tabs>
              <w:suppressAutoHyphens w:val="0"/>
              <w:overflowPunct w:val="0"/>
              <w:autoSpaceDE w:val="0"/>
              <w:autoSpaceDN w:val="0"/>
              <w:adjustRightInd w:val="0"/>
              <w:textAlignment w:val="baseline"/>
              <w:rPr>
                <w:del w:id="6668" w:author="AbbVie19" w:date="2025-04-16T10:42:00Z"/>
                <w:bCs/>
                <w:iCs/>
                <w:szCs w:val="20"/>
              </w:rPr>
            </w:pPr>
            <w:del w:id="6669" w:author="AbbVie19" w:date="2025-04-16T10:42:00Z">
              <w:r w:rsidRPr="0083028C">
                <w:rPr>
                  <w:bCs/>
                  <w:iCs/>
                  <w:szCs w:val="20"/>
                  <w:vertAlign w:val="superscript"/>
                </w:rPr>
                <w:delText>a</w:delText>
              </w:r>
              <w:r w:rsidRPr="0083028C">
                <w:rPr>
                  <w:bCs/>
                  <w:iCs/>
                  <w:szCs w:val="20"/>
                </w:rPr>
                <w:delText xml:space="preserve"> p&lt;0.001 Humira vs. placebo</w:delText>
              </w:r>
            </w:del>
          </w:p>
          <w:p w14:paraId="67E139F1" w14:textId="77777777" w:rsidR="00BC0E7E" w:rsidRPr="0083028C" w:rsidRDefault="00944B8F" w:rsidP="00762FA7">
            <w:pPr>
              <w:keepNext/>
              <w:tabs>
                <w:tab w:val="clear" w:pos="562"/>
              </w:tabs>
              <w:suppressAutoHyphens w:val="0"/>
              <w:overflowPunct w:val="0"/>
              <w:autoSpaceDE w:val="0"/>
              <w:autoSpaceDN w:val="0"/>
              <w:adjustRightInd w:val="0"/>
              <w:textAlignment w:val="baseline"/>
              <w:rPr>
                <w:del w:id="6670" w:author="AbbVie19" w:date="2025-04-16T10:42:00Z"/>
                <w:bCs/>
                <w:iCs/>
                <w:szCs w:val="20"/>
              </w:rPr>
            </w:pPr>
            <w:del w:id="6671" w:author="AbbVie19" w:date="2025-04-16T10:42:00Z">
              <w:r w:rsidRPr="0083028C">
                <w:rPr>
                  <w:bCs/>
                  <w:iCs/>
                  <w:szCs w:val="20"/>
                  <w:vertAlign w:val="superscript"/>
                </w:rPr>
                <w:delText>b</w:delText>
              </w:r>
              <w:r w:rsidRPr="0083028C">
                <w:rPr>
                  <w:bCs/>
                  <w:iCs/>
                  <w:szCs w:val="20"/>
                </w:rPr>
                <w:delText xml:space="preserve"> p&lt;0.001 Humira vs. methotrexate</w:delText>
              </w:r>
            </w:del>
          </w:p>
          <w:p w14:paraId="4678BAED" w14:textId="77777777" w:rsidR="00BC0E7E" w:rsidRPr="0083028C" w:rsidRDefault="00944B8F" w:rsidP="00762FA7">
            <w:pPr>
              <w:keepNext/>
              <w:tabs>
                <w:tab w:val="clear" w:pos="562"/>
              </w:tabs>
              <w:suppressAutoHyphens w:val="0"/>
              <w:overflowPunct w:val="0"/>
              <w:autoSpaceDE w:val="0"/>
              <w:autoSpaceDN w:val="0"/>
              <w:adjustRightInd w:val="0"/>
              <w:textAlignment w:val="baseline"/>
              <w:rPr>
                <w:del w:id="6672" w:author="AbbVie19" w:date="2025-04-16T10:42:00Z"/>
                <w:bCs/>
                <w:iCs/>
                <w:szCs w:val="20"/>
              </w:rPr>
            </w:pPr>
            <w:del w:id="6673" w:author="AbbVie19" w:date="2025-04-16T10:42:00Z">
              <w:r w:rsidRPr="0083028C">
                <w:rPr>
                  <w:bCs/>
                  <w:iCs/>
                  <w:szCs w:val="20"/>
                  <w:vertAlign w:val="superscript"/>
                </w:rPr>
                <w:delText>c</w:delText>
              </w:r>
              <w:r w:rsidRPr="0083028C">
                <w:rPr>
                  <w:bCs/>
                  <w:iCs/>
                  <w:szCs w:val="20"/>
                </w:rPr>
                <w:delText xml:space="preserve"> p&lt;0.01 Humira vs. placebo</w:delText>
              </w:r>
            </w:del>
          </w:p>
          <w:p w14:paraId="20A7F0EA" w14:textId="77777777" w:rsidR="00BC0E7E" w:rsidRPr="00762FA7" w:rsidRDefault="00944B8F" w:rsidP="00762FA7">
            <w:pPr>
              <w:keepNext/>
              <w:tabs>
                <w:tab w:val="clear" w:pos="562"/>
              </w:tabs>
              <w:suppressAutoHyphens w:val="0"/>
              <w:overflowPunct w:val="0"/>
              <w:autoSpaceDE w:val="0"/>
              <w:autoSpaceDN w:val="0"/>
              <w:adjustRightInd w:val="0"/>
              <w:textAlignment w:val="baseline"/>
              <w:rPr>
                <w:del w:id="6674" w:author="AbbVie19" w:date="2025-04-16T10:42:00Z"/>
                <w:bCs/>
                <w:iCs/>
                <w:szCs w:val="20"/>
                <w:lang w:val="fr-FR"/>
              </w:rPr>
            </w:pPr>
            <w:del w:id="6675" w:author="AbbVie19" w:date="2025-04-16T10:42:00Z">
              <w:r w:rsidRPr="00762FA7">
                <w:rPr>
                  <w:bCs/>
                  <w:iCs/>
                  <w:szCs w:val="20"/>
                  <w:vertAlign w:val="superscript"/>
                  <w:lang w:val="fr-FR"/>
                </w:rPr>
                <w:delText>d</w:delText>
              </w:r>
              <w:r w:rsidRPr="00762FA7">
                <w:rPr>
                  <w:bCs/>
                  <w:iCs/>
                  <w:szCs w:val="20"/>
                  <w:lang w:val="fr-FR"/>
                </w:rPr>
                <w:delText xml:space="preserve"> p&lt;0.05 Humira vs. methotrexate</w:delText>
              </w:r>
            </w:del>
          </w:p>
        </w:tc>
      </w:tr>
    </w:tbl>
    <w:p w14:paraId="437780E4" w14:textId="77777777" w:rsidR="00BC0E7E" w:rsidRPr="00762FA7" w:rsidRDefault="00BC0E7E" w:rsidP="00762FA7">
      <w:pPr>
        <w:rPr>
          <w:del w:id="6676" w:author="AbbVie19" w:date="2025-04-16T10:42:00Z"/>
          <w:bCs/>
          <w:szCs w:val="22"/>
          <w:lang w:val="fr-FR"/>
        </w:rPr>
      </w:pPr>
    </w:p>
    <w:p w14:paraId="5A987DEC" w14:textId="77777777" w:rsidR="00BC0E7E" w:rsidRPr="00BC0E7E" w:rsidRDefault="00944B8F" w:rsidP="00762FA7">
      <w:pPr>
        <w:rPr>
          <w:del w:id="6677" w:author="AbbVie19" w:date="2025-04-16T10:42:00Z"/>
          <w:szCs w:val="22"/>
        </w:rPr>
      </w:pPr>
      <w:del w:id="6678" w:author="AbbVie19" w:date="2025-04-16T10:42:00Z">
        <w:r w:rsidRPr="00BC0E7E">
          <w:rPr>
            <w:szCs w:val="22"/>
          </w:rPr>
          <w:delText xml:space="preserve">In </w:delText>
        </w:r>
        <w:r w:rsidRPr="00BC0E7E">
          <w:rPr>
            <w:iCs/>
          </w:rPr>
          <w:delText xml:space="preserve">Psoriasis </w:delText>
        </w:r>
        <w:r w:rsidRPr="00BC0E7E">
          <w:rPr>
            <w:szCs w:val="22"/>
          </w:rPr>
          <w:delText>Study I, 28% of patients who were PASI 75 responders and were re-randomised to placebo at Week</w:delText>
        </w:r>
        <w:r w:rsidRPr="00BC0E7E">
          <w:delText> </w:delText>
        </w:r>
        <w:r w:rsidRPr="00BC0E7E">
          <w:rPr>
            <w:szCs w:val="22"/>
          </w:rPr>
          <w:delText>33 compared to 5% continuing on Humira, p&lt;0.001, experienced “loss of adequate response”</w:delText>
        </w:r>
        <w:r w:rsidRPr="00BC0E7E">
          <w:rPr>
            <w:iCs/>
          </w:rPr>
          <w:delText xml:space="preserve"> (PASI score after Week</w:delText>
        </w:r>
        <w:r w:rsidRPr="00BC0E7E">
          <w:delText> </w:delText>
        </w:r>
        <w:r w:rsidRPr="00BC0E7E">
          <w:rPr>
            <w:iCs/>
          </w:rPr>
          <w:delText>33 and on or before Week</w:delText>
        </w:r>
        <w:r w:rsidRPr="00BC0E7E">
          <w:delText> </w:delText>
        </w:r>
        <w:r w:rsidRPr="00BC0E7E">
          <w:rPr>
            <w:iCs/>
          </w:rPr>
          <w:delText>52 that resulted in a &lt;PASI 50 response relative to baseline with a minimum of a 6-point increase in PASI score relative to Week</w:delText>
        </w:r>
        <w:r w:rsidRPr="00BC0E7E">
          <w:delText> </w:delText>
        </w:r>
        <w:r w:rsidRPr="00BC0E7E">
          <w:rPr>
            <w:iCs/>
          </w:rPr>
          <w:delText>33)</w:delText>
        </w:r>
        <w:r w:rsidRPr="00BC0E7E">
          <w:rPr>
            <w:szCs w:val="22"/>
          </w:rPr>
          <w:delText>. Of the patients who lost adequate response after re-randomisation to placebo who then enrolled into the open-label extension trial, 38% (25/66) and 55% (36/66) regained PASI 75 response after 12 and 24</w:delText>
        </w:r>
        <w:r w:rsidRPr="00BC0E7E">
          <w:delText> </w:delText>
        </w:r>
        <w:r w:rsidRPr="00BC0E7E">
          <w:rPr>
            <w:szCs w:val="22"/>
          </w:rPr>
          <w:delText>weeks of re-treatment, respectively.</w:delText>
        </w:r>
      </w:del>
    </w:p>
    <w:p w14:paraId="2723B16F" w14:textId="77777777" w:rsidR="00BC0E7E" w:rsidRPr="00BC0E7E" w:rsidRDefault="00BC0E7E" w:rsidP="00762FA7">
      <w:pPr>
        <w:rPr>
          <w:del w:id="6679" w:author="AbbVie19" w:date="2025-04-16T10:42:00Z"/>
          <w:szCs w:val="22"/>
        </w:rPr>
      </w:pPr>
    </w:p>
    <w:p w14:paraId="1F5ABBFA" w14:textId="77777777" w:rsidR="00BC0E7E" w:rsidRPr="00BC0E7E" w:rsidRDefault="00944B8F" w:rsidP="00762FA7">
      <w:pPr>
        <w:rPr>
          <w:del w:id="6680" w:author="AbbVie19" w:date="2025-04-16T10:42:00Z"/>
          <w:szCs w:val="22"/>
        </w:rPr>
      </w:pPr>
      <w:del w:id="6681" w:author="AbbVie19" w:date="2025-04-16T10:42:00Z">
        <w:r w:rsidRPr="00BC0E7E">
          <w:rPr>
            <w:szCs w:val="22"/>
          </w:rPr>
          <w:delText>A total of 233 PASI 75 responders at Week</w:delText>
        </w:r>
        <w:r w:rsidRPr="00BC0E7E">
          <w:delText> </w:delText>
        </w:r>
        <w:r w:rsidRPr="00BC0E7E">
          <w:rPr>
            <w:szCs w:val="22"/>
          </w:rPr>
          <w:delText>16 and Week</w:delText>
        </w:r>
        <w:r w:rsidRPr="00BC0E7E">
          <w:delText> </w:delText>
        </w:r>
        <w:r w:rsidRPr="00BC0E7E">
          <w:rPr>
            <w:szCs w:val="22"/>
          </w:rPr>
          <w:delText>33 received continuous Humira therapy for 52</w:delText>
        </w:r>
        <w:r w:rsidRPr="00BC0E7E">
          <w:delText> </w:delText>
        </w:r>
        <w:r w:rsidRPr="00BC0E7E">
          <w:rPr>
            <w:szCs w:val="22"/>
          </w:rPr>
          <w:delText>weeks in Psoriasis Study I, and continued Humira in the open-label extension trial.  PASI 75 and PGA of clear or minimal response rates in these patients were 74.7% and 59.0%, respectively, after an additional 108</w:delText>
        </w:r>
        <w:r w:rsidRPr="00BC0E7E">
          <w:delText> </w:delText>
        </w:r>
        <w:r w:rsidRPr="00BC0E7E">
          <w:rPr>
            <w:szCs w:val="22"/>
          </w:rPr>
          <w:delText>weeks of open-label therapy (total of 160</w:delText>
        </w:r>
        <w:r w:rsidRPr="00BC0E7E">
          <w:delText> </w:delText>
        </w:r>
        <w:r w:rsidRPr="00BC0E7E">
          <w:rPr>
            <w:szCs w:val="22"/>
          </w:rPr>
          <w:delText>weeks). In an analysis in which all patients who dropped out of the study for adverse events or lack of efficacy, or who dose-escalated, were considered non-responders, PASI 75 and PGA of clear or minimal response rates in these patients were 69.6% and 55.7%, respectively, after an additional 108</w:delText>
        </w:r>
        <w:r w:rsidRPr="00BC0E7E">
          <w:delText> </w:delText>
        </w:r>
        <w:r w:rsidRPr="00BC0E7E">
          <w:rPr>
            <w:szCs w:val="22"/>
          </w:rPr>
          <w:delText>weeks of open-label therapy (total of 160</w:delText>
        </w:r>
        <w:r w:rsidRPr="00BC0E7E">
          <w:delText> </w:delText>
        </w:r>
        <w:r w:rsidRPr="00BC0E7E">
          <w:rPr>
            <w:szCs w:val="22"/>
          </w:rPr>
          <w:delText>weeks).</w:delText>
        </w:r>
      </w:del>
    </w:p>
    <w:p w14:paraId="76EA38B0" w14:textId="77777777" w:rsidR="00BC0E7E" w:rsidRPr="00BC0E7E" w:rsidRDefault="00BC0E7E" w:rsidP="00762FA7">
      <w:pPr>
        <w:rPr>
          <w:del w:id="6682" w:author="AbbVie19" w:date="2025-04-16T10:42:00Z"/>
          <w:szCs w:val="22"/>
        </w:rPr>
      </w:pPr>
    </w:p>
    <w:p w14:paraId="128DB419" w14:textId="77777777" w:rsidR="00BC0E7E" w:rsidRPr="00BC0E7E" w:rsidRDefault="00944B8F" w:rsidP="00762FA7">
      <w:pPr>
        <w:rPr>
          <w:del w:id="6683" w:author="AbbVie19" w:date="2025-04-16T10:42:00Z"/>
          <w:szCs w:val="22"/>
        </w:rPr>
      </w:pPr>
      <w:del w:id="6684" w:author="AbbVie19" w:date="2025-04-16T10:42:00Z">
        <w:r w:rsidRPr="00BC0E7E">
          <w:rPr>
            <w:szCs w:val="22"/>
          </w:rPr>
          <w:delText>A total of 347 stable responders participated in a withdrawal and retreatment evaluation in an open-label extension study. During the withdrawal period, symptoms of psoriasis returned over time with a median time to relapse (decline to PGA “moderate” or worse) of approximately 5</w:delText>
        </w:r>
        <w:r w:rsidRPr="00BC0E7E">
          <w:delText> </w:delText>
        </w:r>
        <w:r w:rsidRPr="00BC0E7E">
          <w:rPr>
            <w:szCs w:val="22"/>
          </w:rPr>
          <w:delText>months. None of these patients experienced rebound during the withdrawal period. A total of 76.5% (218/285) of patients who entered the retreatment period had a response of PGA “clear” or “minimal” after 16</w:delText>
        </w:r>
        <w:r w:rsidRPr="00BC0E7E">
          <w:delText> </w:delText>
        </w:r>
        <w:r w:rsidRPr="00BC0E7E">
          <w:rPr>
            <w:szCs w:val="22"/>
          </w:rPr>
          <w:delText>weeks of retreatment, irrespective of whether they relapsed during withdrawal (69.1%[123/178] and 88.8% [95/107] for patients who relapsed and who did not relapse during the withdrawal period, respectively).  A similar safety profile was observed during retreatment as before withdrawal.</w:delText>
        </w:r>
      </w:del>
    </w:p>
    <w:p w14:paraId="6142D5CF" w14:textId="77777777" w:rsidR="00BC0E7E" w:rsidRPr="00BC0E7E" w:rsidRDefault="00BC0E7E" w:rsidP="00762FA7">
      <w:pPr>
        <w:autoSpaceDE w:val="0"/>
        <w:autoSpaceDN w:val="0"/>
        <w:adjustRightInd w:val="0"/>
        <w:rPr>
          <w:del w:id="6685" w:author="AbbVie19" w:date="2025-04-16T10:42:00Z"/>
        </w:rPr>
      </w:pPr>
    </w:p>
    <w:p w14:paraId="5C113EEA" w14:textId="77777777" w:rsidR="00BC0E7E" w:rsidRPr="00BC0E7E" w:rsidRDefault="00944B8F" w:rsidP="00762FA7">
      <w:pPr>
        <w:rPr>
          <w:del w:id="6686" w:author="AbbVie19" w:date="2025-04-16T10:42:00Z"/>
          <w:szCs w:val="20"/>
        </w:rPr>
      </w:pPr>
      <w:del w:id="6687" w:author="AbbVie19" w:date="2025-04-16T10:42:00Z">
        <w:r w:rsidRPr="00BC0E7E">
          <w:rPr>
            <w:szCs w:val="20"/>
          </w:rPr>
          <w:lastRenderedPageBreak/>
          <w:delText>Significant improvements at Week</w:delText>
        </w:r>
        <w:r w:rsidRPr="00BC0E7E">
          <w:delText> </w:delText>
        </w:r>
        <w:r w:rsidRPr="00BC0E7E">
          <w:rPr>
            <w:szCs w:val="20"/>
          </w:rPr>
          <w:delText>16 from baseline compared to placebo (Studies I and II) and MTX (Study II) were demonstrated in the DLQI (Dermatology Life Quality Index). In Study I, improvements in the physical and mental component summary scores of the SF-36 were also significant compared to placebo.</w:delText>
        </w:r>
      </w:del>
    </w:p>
    <w:p w14:paraId="1CA7733F" w14:textId="77777777" w:rsidR="00BC0E7E" w:rsidRPr="00BC0E7E" w:rsidRDefault="00BC0E7E" w:rsidP="00762FA7">
      <w:pPr>
        <w:rPr>
          <w:del w:id="6688" w:author="AbbVie19" w:date="2025-04-16T10:42:00Z"/>
          <w:szCs w:val="20"/>
        </w:rPr>
      </w:pPr>
    </w:p>
    <w:p w14:paraId="5EFD025D" w14:textId="77777777" w:rsidR="00BC0E7E" w:rsidRPr="00BC0E7E" w:rsidRDefault="00944B8F" w:rsidP="00762FA7">
      <w:pPr>
        <w:rPr>
          <w:del w:id="6689" w:author="AbbVie19" w:date="2025-04-16T10:42:00Z"/>
          <w:szCs w:val="20"/>
        </w:rPr>
      </w:pPr>
      <w:del w:id="6690" w:author="AbbVie19" w:date="2025-04-16T10:42:00Z">
        <w:r w:rsidRPr="00BC0E7E">
          <w:rPr>
            <w:szCs w:val="20"/>
          </w:rPr>
          <w:delText>In an open-label extension study, for patients who dose escalated from 40</w:delText>
        </w:r>
        <w:r w:rsidRPr="00BC0E7E">
          <w:rPr>
            <w:szCs w:val="20"/>
            <w:u w:val="single"/>
          </w:rPr>
          <w:delText> </w:delText>
        </w:r>
        <w:r w:rsidRPr="00BC0E7E">
          <w:rPr>
            <w:szCs w:val="20"/>
          </w:rPr>
          <w:delText>mg every other week to 40</w:delText>
        </w:r>
        <w:r w:rsidRPr="00BC0E7E">
          <w:rPr>
            <w:szCs w:val="20"/>
            <w:u w:val="single"/>
          </w:rPr>
          <w:delText> </w:delText>
        </w:r>
        <w:r w:rsidRPr="00BC0E7E">
          <w:rPr>
            <w:szCs w:val="20"/>
          </w:rPr>
          <w:delText>mg weekly due to a PASI response below 50%, 26.4% (92/349) and 37.8% (132/349) of patients achieved PASI 75 response at Week</w:delText>
        </w:r>
        <w:r w:rsidRPr="00BC0E7E">
          <w:rPr>
            <w:szCs w:val="20"/>
            <w:u w:val="single"/>
          </w:rPr>
          <w:delText> </w:delText>
        </w:r>
        <w:r w:rsidRPr="00BC0E7E">
          <w:rPr>
            <w:szCs w:val="20"/>
          </w:rPr>
          <w:delText>12 and 24, respectively.</w:delText>
        </w:r>
      </w:del>
    </w:p>
    <w:p w14:paraId="2B5098C1" w14:textId="77777777" w:rsidR="00BC0E7E" w:rsidRPr="00BC0E7E" w:rsidRDefault="00BC0E7E" w:rsidP="00762FA7">
      <w:pPr>
        <w:rPr>
          <w:del w:id="6691" w:author="AbbVie19" w:date="2025-04-16T10:42:00Z"/>
          <w:szCs w:val="20"/>
        </w:rPr>
      </w:pPr>
    </w:p>
    <w:p w14:paraId="4E00FE54" w14:textId="77777777" w:rsidR="00BC0E7E" w:rsidRPr="00BC0E7E" w:rsidRDefault="00944B8F" w:rsidP="00762FA7">
      <w:pPr>
        <w:rPr>
          <w:del w:id="6692" w:author="AbbVie19" w:date="2025-04-16T10:42:00Z"/>
          <w:szCs w:val="20"/>
        </w:rPr>
      </w:pPr>
      <w:del w:id="6693" w:author="AbbVie19" w:date="2025-04-16T10:42:00Z">
        <w:r w:rsidRPr="00BC0E7E">
          <w:rPr>
            <w:szCs w:val="20"/>
          </w:rPr>
          <w:delText>Psoriasis Study III (REACH)</w:delText>
        </w:r>
        <w:r w:rsidRPr="00BC0E7E">
          <w:rPr>
            <w:szCs w:val="22"/>
          </w:rPr>
          <w:delText xml:space="preserve"> compared the efficacy and safety of Humira </w:delText>
        </w:r>
        <w:r w:rsidRPr="00BC0E7E">
          <w:rPr>
            <w:i/>
            <w:iCs/>
            <w:szCs w:val="22"/>
          </w:rPr>
          <w:delText>versus</w:delText>
        </w:r>
        <w:r w:rsidRPr="00BC0E7E">
          <w:rPr>
            <w:szCs w:val="22"/>
          </w:rPr>
          <w:delText xml:space="preserve"> placebo in 72 patients with moderate to severe chronic plaque psoriasis and hand and/or foot psoriasis. Patients received an initial </w:delText>
        </w:r>
        <w:r w:rsidRPr="00BC0E7E">
          <w:rPr>
            <w:szCs w:val="20"/>
          </w:rPr>
          <w:delText>dose of 80 mg Humira followed by 40 mg every other week (starting one week after the initial dose) or placebo for 16 weeks. At Week 16, a statistically significantly greater proportion of patients who received Humira achieved PGA of 'clear' or 'almost clear' for the hands and/or feet compared to patients who received placebo (30.6% versus 4.3%, respectively [P = 0.014]).</w:delText>
        </w:r>
      </w:del>
    </w:p>
    <w:p w14:paraId="1729AAAB" w14:textId="77777777" w:rsidR="00BC0E7E" w:rsidRPr="00BC0E7E" w:rsidRDefault="00BC0E7E" w:rsidP="00762FA7">
      <w:pPr>
        <w:rPr>
          <w:del w:id="6694" w:author="AbbVie19" w:date="2025-04-16T10:42:00Z"/>
          <w:szCs w:val="20"/>
        </w:rPr>
      </w:pPr>
    </w:p>
    <w:p w14:paraId="348526E8" w14:textId="77777777" w:rsidR="00BC0E7E" w:rsidRPr="00BC0E7E" w:rsidRDefault="00944B8F" w:rsidP="00762FA7">
      <w:pPr>
        <w:tabs>
          <w:tab w:val="clear" w:pos="562"/>
        </w:tabs>
        <w:suppressAutoHyphens w:val="0"/>
        <w:rPr>
          <w:del w:id="6695" w:author="AbbVie19" w:date="2025-04-16T10:42:00Z"/>
          <w:szCs w:val="22"/>
        </w:rPr>
      </w:pPr>
      <w:del w:id="6696" w:author="AbbVie19" w:date="2025-04-16T10:42:00Z">
        <w:r w:rsidRPr="00BC0E7E">
          <w:rPr>
            <w:szCs w:val="22"/>
          </w:rPr>
          <w:delText xml:space="preserve">Psoriasis Study IV compared efficacy and safety of Humira versus placebo in 217 adult patients with moderate to severe nail psoriasis. Patients received an initial dose of 80 mg Humira followed by 40 mg every other week (starting one week after the initial dose) or placebo for 26 weeks followed by open-label Humira treatment for an additional 26 weeks. Nail psoriasis assessments included the Modified Nail Psoriasis Severity Index (mNAPSI), the Physician’s Global Assessment of Fingernail Psoriasis (PGA-F) and the Nail Psoriasis Severity Index (NAPSI) (see Table </w:delText>
        </w:r>
        <w:r w:rsidR="002D2337">
          <w:rPr>
            <w:szCs w:val="22"/>
          </w:rPr>
          <w:delText>1</w:delText>
        </w:r>
        <w:r w:rsidR="001C259B">
          <w:rPr>
            <w:szCs w:val="22"/>
          </w:rPr>
          <w:delText>8</w:delText>
        </w:r>
        <w:r w:rsidRPr="00BC0E7E">
          <w:rPr>
            <w:szCs w:val="22"/>
          </w:rPr>
          <w:delText xml:space="preserve">). Humira demonstrated a treatment benefit in nail psoriasis patients with different extents of skin involvement (BSA≥10% (60% of patients) and BSA&lt;10% and ≥5% (40% of patients)).    </w:delText>
        </w:r>
      </w:del>
    </w:p>
    <w:p w14:paraId="73326260" w14:textId="77777777" w:rsidR="00BC0E7E" w:rsidRPr="00BC0E7E" w:rsidRDefault="00BC0E7E" w:rsidP="00762FA7">
      <w:pPr>
        <w:tabs>
          <w:tab w:val="clear" w:pos="562"/>
        </w:tabs>
        <w:suppressAutoHyphens w:val="0"/>
        <w:rPr>
          <w:del w:id="6697" w:author="AbbVie19" w:date="2025-04-16T10:42:00Z"/>
          <w:szCs w:val="22"/>
        </w:rPr>
      </w:pPr>
    </w:p>
    <w:p w14:paraId="6EF503BE" w14:textId="77777777" w:rsidR="00BC0E7E" w:rsidRPr="003F7AAE" w:rsidRDefault="00944B8F" w:rsidP="00762FA7">
      <w:pPr>
        <w:keepNext/>
        <w:tabs>
          <w:tab w:val="clear" w:pos="562"/>
        </w:tabs>
        <w:suppressAutoHyphens w:val="0"/>
        <w:jc w:val="center"/>
        <w:rPr>
          <w:del w:id="6698" w:author="AbbVie19" w:date="2025-04-16T10:42:00Z"/>
          <w:szCs w:val="22"/>
        </w:rPr>
      </w:pPr>
      <w:del w:id="6699" w:author="AbbVie19" w:date="2025-04-16T10:42:00Z">
        <w:r w:rsidRPr="00BC0E7E">
          <w:rPr>
            <w:b/>
            <w:szCs w:val="22"/>
          </w:rPr>
          <w:delText xml:space="preserve">Table </w:delText>
        </w:r>
        <w:r w:rsidR="002D2337">
          <w:rPr>
            <w:b/>
            <w:szCs w:val="22"/>
          </w:rPr>
          <w:delText>1</w:delText>
        </w:r>
        <w:r w:rsidR="005F03EC">
          <w:rPr>
            <w:b/>
            <w:szCs w:val="22"/>
          </w:rPr>
          <w:delText>8</w:delText>
        </w:r>
      </w:del>
    </w:p>
    <w:p w14:paraId="489D8E6D" w14:textId="77777777" w:rsidR="00BC0E7E" w:rsidRPr="003F7AAE" w:rsidRDefault="00944B8F" w:rsidP="00762FA7">
      <w:pPr>
        <w:keepNext/>
        <w:tabs>
          <w:tab w:val="clear" w:pos="562"/>
        </w:tabs>
        <w:suppressAutoHyphens w:val="0"/>
        <w:jc w:val="center"/>
        <w:rPr>
          <w:del w:id="6700" w:author="AbbVie19" w:date="2025-04-16T10:42:00Z"/>
          <w:bCs/>
          <w:szCs w:val="22"/>
        </w:rPr>
      </w:pPr>
      <w:del w:id="6701" w:author="AbbVie19" w:date="2025-04-16T10:42:00Z">
        <w:r w:rsidRPr="00BC0E7E">
          <w:rPr>
            <w:b/>
            <w:szCs w:val="22"/>
          </w:rPr>
          <w:delText>Ps Study IV Efficacy Results at 16, 26 and 52 Weeks</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268"/>
      </w:tblGrid>
      <w:tr w:rsidR="00C6578C" w14:paraId="37578AAD" w14:textId="77777777" w:rsidTr="00171601">
        <w:trPr>
          <w:del w:id="6702" w:author="AbbVie19" w:date="2025-04-16T10:42:00Z"/>
        </w:trPr>
        <w:tc>
          <w:tcPr>
            <w:tcW w:w="2718" w:type="dxa"/>
            <w:vMerge w:val="restart"/>
          </w:tcPr>
          <w:p w14:paraId="5F6DD5EB" w14:textId="77777777" w:rsidR="00BC0E7E" w:rsidRPr="00BC0E7E" w:rsidRDefault="00944B8F" w:rsidP="00762FA7">
            <w:pPr>
              <w:keepNext/>
              <w:tabs>
                <w:tab w:val="clear" w:pos="562"/>
              </w:tabs>
              <w:suppressAutoHyphens w:val="0"/>
              <w:rPr>
                <w:del w:id="6703" w:author="AbbVie19" w:date="2025-04-16T10:42:00Z"/>
                <w:szCs w:val="22"/>
              </w:rPr>
            </w:pPr>
            <w:del w:id="6704" w:author="AbbVie19" w:date="2025-04-16T10:42:00Z">
              <w:r w:rsidRPr="00BC0E7E">
                <w:rPr>
                  <w:szCs w:val="22"/>
                </w:rPr>
                <w:delText>Endpoint</w:delText>
              </w:r>
            </w:del>
          </w:p>
        </w:tc>
        <w:tc>
          <w:tcPr>
            <w:tcW w:w="2340" w:type="dxa"/>
            <w:gridSpan w:val="2"/>
          </w:tcPr>
          <w:p w14:paraId="13B48EE9" w14:textId="77777777" w:rsidR="00BC0E7E" w:rsidRPr="00BC0E7E" w:rsidRDefault="00944B8F" w:rsidP="00762FA7">
            <w:pPr>
              <w:keepNext/>
              <w:tabs>
                <w:tab w:val="clear" w:pos="562"/>
              </w:tabs>
              <w:suppressAutoHyphens w:val="0"/>
              <w:jc w:val="center"/>
              <w:rPr>
                <w:del w:id="6705" w:author="AbbVie19" w:date="2025-04-16T10:42:00Z"/>
                <w:szCs w:val="22"/>
              </w:rPr>
            </w:pPr>
            <w:del w:id="6706" w:author="AbbVie19" w:date="2025-04-16T10:42:00Z">
              <w:r w:rsidRPr="00BC0E7E">
                <w:rPr>
                  <w:szCs w:val="22"/>
                </w:rPr>
                <w:delText>Week 16</w:delText>
              </w:r>
            </w:del>
          </w:p>
          <w:p w14:paraId="10DB41C3" w14:textId="77777777" w:rsidR="00BC0E7E" w:rsidRPr="00BC0E7E" w:rsidRDefault="00944B8F" w:rsidP="00762FA7">
            <w:pPr>
              <w:keepNext/>
              <w:tabs>
                <w:tab w:val="clear" w:pos="562"/>
              </w:tabs>
              <w:suppressAutoHyphens w:val="0"/>
              <w:jc w:val="center"/>
              <w:rPr>
                <w:del w:id="6707" w:author="AbbVie19" w:date="2025-04-16T10:42:00Z"/>
                <w:szCs w:val="22"/>
              </w:rPr>
            </w:pPr>
            <w:del w:id="6708" w:author="AbbVie19" w:date="2025-04-16T10:42:00Z">
              <w:r w:rsidRPr="00BC0E7E">
                <w:rPr>
                  <w:szCs w:val="22"/>
                </w:rPr>
                <w:delText>Placebo-Controlled</w:delText>
              </w:r>
            </w:del>
          </w:p>
        </w:tc>
        <w:tc>
          <w:tcPr>
            <w:tcW w:w="2250" w:type="dxa"/>
            <w:gridSpan w:val="2"/>
          </w:tcPr>
          <w:p w14:paraId="46768365" w14:textId="77777777" w:rsidR="00BC0E7E" w:rsidRPr="00BC0E7E" w:rsidRDefault="00944B8F" w:rsidP="00762FA7">
            <w:pPr>
              <w:keepNext/>
              <w:tabs>
                <w:tab w:val="clear" w:pos="562"/>
              </w:tabs>
              <w:suppressAutoHyphens w:val="0"/>
              <w:jc w:val="center"/>
              <w:rPr>
                <w:del w:id="6709" w:author="AbbVie19" w:date="2025-04-16T10:42:00Z"/>
                <w:szCs w:val="22"/>
              </w:rPr>
            </w:pPr>
            <w:del w:id="6710" w:author="AbbVie19" w:date="2025-04-16T10:42:00Z">
              <w:r w:rsidRPr="00BC0E7E">
                <w:rPr>
                  <w:szCs w:val="22"/>
                </w:rPr>
                <w:delText>Week 26</w:delText>
              </w:r>
            </w:del>
          </w:p>
          <w:p w14:paraId="4B9BA450" w14:textId="77777777" w:rsidR="00BC0E7E" w:rsidRPr="00BC0E7E" w:rsidRDefault="00944B8F" w:rsidP="00762FA7">
            <w:pPr>
              <w:keepNext/>
              <w:tabs>
                <w:tab w:val="clear" w:pos="562"/>
              </w:tabs>
              <w:suppressAutoHyphens w:val="0"/>
              <w:jc w:val="center"/>
              <w:rPr>
                <w:del w:id="6711" w:author="AbbVie19" w:date="2025-04-16T10:42:00Z"/>
                <w:szCs w:val="22"/>
              </w:rPr>
            </w:pPr>
            <w:del w:id="6712" w:author="AbbVie19" w:date="2025-04-16T10:42:00Z">
              <w:r w:rsidRPr="00BC0E7E">
                <w:rPr>
                  <w:szCs w:val="22"/>
                </w:rPr>
                <w:delText>Placebo-Controlled</w:delText>
              </w:r>
            </w:del>
          </w:p>
        </w:tc>
        <w:tc>
          <w:tcPr>
            <w:tcW w:w="2268" w:type="dxa"/>
          </w:tcPr>
          <w:p w14:paraId="2CFB7D1C" w14:textId="77777777" w:rsidR="00BC0E7E" w:rsidRPr="00BC0E7E" w:rsidRDefault="00944B8F" w:rsidP="00762FA7">
            <w:pPr>
              <w:keepNext/>
              <w:tabs>
                <w:tab w:val="clear" w:pos="562"/>
              </w:tabs>
              <w:suppressAutoHyphens w:val="0"/>
              <w:jc w:val="center"/>
              <w:rPr>
                <w:del w:id="6713" w:author="AbbVie19" w:date="2025-04-16T10:42:00Z"/>
                <w:szCs w:val="22"/>
              </w:rPr>
            </w:pPr>
            <w:del w:id="6714" w:author="AbbVie19" w:date="2025-04-16T10:42:00Z">
              <w:r w:rsidRPr="00BC0E7E">
                <w:rPr>
                  <w:szCs w:val="22"/>
                </w:rPr>
                <w:delText>Week 52</w:delText>
              </w:r>
            </w:del>
          </w:p>
          <w:p w14:paraId="46FB722A" w14:textId="77777777" w:rsidR="00BC0E7E" w:rsidRPr="00BC0E7E" w:rsidRDefault="00944B8F" w:rsidP="00762FA7">
            <w:pPr>
              <w:keepNext/>
              <w:tabs>
                <w:tab w:val="clear" w:pos="562"/>
              </w:tabs>
              <w:suppressAutoHyphens w:val="0"/>
              <w:jc w:val="center"/>
              <w:rPr>
                <w:del w:id="6715" w:author="AbbVie19" w:date="2025-04-16T10:42:00Z"/>
                <w:szCs w:val="22"/>
              </w:rPr>
            </w:pPr>
            <w:del w:id="6716" w:author="AbbVie19" w:date="2025-04-16T10:42:00Z">
              <w:r w:rsidRPr="00BC0E7E">
                <w:rPr>
                  <w:szCs w:val="22"/>
                </w:rPr>
                <w:delText>Open-label</w:delText>
              </w:r>
            </w:del>
          </w:p>
        </w:tc>
      </w:tr>
      <w:tr w:rsidR="00C6578C" w14:paraId="796433BA" w14:textId="77777777" w:rsidTr="00171601">
        <w:trPr>
          <w:del w:id="6717" w:author="AbbVie19" w:date="2025-04-16T10:42:00Z"/>
        </w:trPr>
        <w:tc>
          <w:tcPr>
            <w:tcW w:w="2718" w:type="dxa"/>
            <w:vMerge/>
          </w:tcPr>
          <w:p w14:paraId="346FEB63" w14:textId="77777777" w:rsidR="00BC0E7E" w:rsidRPr="00BC0E7E" w:rsidRDefault="00BC0E7E" w:rsidP="00762FA7">
            <w:pPr>
              <w:keepNext/>
              <w:tabs>
                <w:tab w:val="clear" w:pos="562"/>
              </w:tabs>
              <w:suppressAutoHyphens w:val="0"/>
              <w:rPr>
                <w:del w:id="6718" w:author="AbbVie19" w:date="2025-04-16T10:42:00Z"/>
                <w:szCs w:val="22"/>
              </w:rPr>
            </w:pPr>
          </w:p>
        </w:tc>
        <w:tc>
          <w:tcPr>
            <w:tcW w:w="1080" w:type="dxa"/>
          </w:tcPr>
          <w:p w14:paraId="44A5F4F4" w14:textId="77777777" w:rsidR="00BC0E7E" w:rsidRPr="00BC0E7E" w:rsidRDefault="00944B8F" w:rsidP="00762FA7">
            <w:pPr>
              <w:keepNext/>
              <w:tabs>
                <w:tab w:val="clear" w:pos="562"/>
              </w:tabs>
              <w:suppressAutoHyphens w:val="0"/>
              <w:jc w:val="center"/>
              <w:rPr>
                <w:del w:id="6719" w:author="AbbVie19" w:date="2025-04-16T10:42:00Z"/>
                <w:szCs w:val="22"/>
              </w:rPr>
            </w:pPr>
            <w:del w:id="6720" w:author="AbbVie19" w:date="2025-04-16T10:42:00Z">
              <w:r w:rsidRPr="00BC0E7E">
                <w:rPr>
                  <w:szCs w:val="2"/>
                </w:rPr>
                <w:delText>Placebo</w:delText>
              </w:r>
              <w:r w:rsidRPr="00BC0E7E">
                <w:rPr>
                  <w:szCs w:val="2"/>
                </w:rPr>
                <w:br/>
                <w:delText>N=108</w:delText>
              </w:r>
            </w:del>
          </w:p>
        </w:tc>
        <w:tc>
          <w:tcPr>
            <w:tcW w:w="1260" w:type="dxa"/>
          </w:tcPr>
          <w:p w14:paraId="2DB31320" w14:textId="77777777" w:rsidR="00BC0E7E" w:rsidRPr="00BC0E7E" w:rsidRDefault="00944B8F" w:rsidP="00762FA7">
            <w:pPr>
              <w:keepNext/>
              <w:tabs>
                <w:tab w:val="clear" w:pos="562"/>
              </w:tabs>
              <w:overflowPunct w:val="0"/>
              <w:autoSpaceDE w:val="0"/>
              <w:autoSpaceDN w:val="0"/>
              <w:adjustRightInd w:val="0"/>
              <w:jc w:val="center"/>
              <w:textAlignment w:val="baseline"/>
              <w:rPr>
                <w:del w:id="6721" w:author="AbbVie19" w:date="2025-04-16T10:42:00Z"/>
              </w:rPr>
            </w:pPr>
            <w:del w:id="6722" w:author="AbbVie19" w:date="2025-04-16T10:42:00Z">
              <w:r w:rsidRPr="00BC0E7E">
                <w:delText>Humira</w:delText>
              </w:r>
            </w:del>
          </w:p>
          <w:p w14:paraId="49F18E56" w14:textId="77777777" w:rsidR="00BC0E7E" w:rsidRPr="00BC0E7E" w:rsidRDefault="00944B8F" w:rsidP="00762FA7">
            <w:pPr>
              <w:keepNext/>
              <w:tabs>
                <w:tab w:val="clear" w:pos="562"/>
              </w:tabs>
              <w:suppressAutoHyphens w:val="0"/>
              <w:jc w:val="center"/>
              <w:rPr>
                <w:del w:id="6723" w:author="AbbVie19" w:date="2025-04-16T10:42:00Z"/>
                <w:szCs w:val="22"/>
              </w:rPr>
            </w:pPr>
            <w:del w:id="6724" w:author="AbbVie19" w:date="2025-04-16T10:42:00Z">
              <w:r w:rsidRPr="00BC0E7E">
                <w:rPr>
                  <w:szCs w:val="2"/>
                </w:rPr>
                <w:delText xml:space="preserve">40 mg eow </w:delText>
              </w:r>
              <w:r w:rsidRPr="00BC0E7E">
                <w:rPr>
                  <w:szCs w:val="2"/>
                </w:rPr>
                <w:br/>
                <w:delText>N=109</w:delText>
              </w:r>
            </w:del>
          </w:p>
        </w:tc>
        <w:tc>
          <w:tcPr>
            <w:tcW w:w="990" w:type="dxa"/>
          </w:tcPr>
          <w:p w14:paraId="52EE5FAB" w14:textId="77777777" w:rsidR="00BC0E7E" w:rsidRPr="00BC0E7E" w:rsidRDefault="00944B8F" w:rsidP="00762FA7">
            <w:pPr>
              <w:keepNext/>
              <w:tabs>
                <w:tab w:val="clear" w:pos="562"/>
              </w:tabs>
              <w:suppressAutoHyphens w:val="0"/>
              <w:jc w:val="center"/>
              <w:rPr>
                <w:del w:id="6725" w:author="AbbVie19" w:date="2025-04-16T10:42:00Z"/>
                <w:szCs w:val="22"/>
              </w:rPr>
            </w:pPr>
            <w:del w:id="6726" w:author="AbbVie19" w:date="2025-04-16T10:42:00Z">
              <w:r w:rsidRPr="00BC0E7E">
                <w:rPr>
                  <w:szCs w:val="2"/>
                </w:rPr>
                <w:delText>Placebo</w:delText>
              </w:r>
              <w:r w:rsidRPr="00BC0E7E">
                <w:rPr>
                  <w:szCs w:val="2"/>
                </w:rPr>
                <w:br/>
                <w:delText>N=108</w:delText>
              </w:r>
            </w:del>
          </w:p>
        </w:tc>
        <w:tc>
          <w:tcPr>
            <w:tcW w:w="1260" w:type="dxa"/>
          </w:tcPr>
          <w:p w14:paraId="1DD90894" w14:textId="77777777" w:rsidR="00BC0E7E" w:rsidRPr="00BC0E7E" w:rsidRDefault="00944B8F" w:rsidP="00762FA7">
            <w:pPr>
              <w:keepNext/>
              <w:tabs>
                <w:tab w:val="clear" w:pos="562"/>
              </w:tabs>
              <w:overflowPunct w:val="0"/>
              <w:autoSpaceDE w:val="0"/>
              <w:autoSpaceDN w:val="0"/>
              <w:adjustRightInd w:val="0"/>
              <w:jc w:val="center"/>
              <w:textAlignment w:val="baseline"/>
              <w:rPr>
                <w:del w:id="6727" w:author="AbbVie19" w:date="2025-04-16T10:42:00Z"/>
              </w:rPr>
            </w:pPr>
            <w:del w:id="6728" w:author="AbbVie19" w:date="2025-04-16T10:42:00Z">
              <w:r w:rsidRPr="00BC0E7E">
                <w:delText>Humira</w:delText>
              </w:r>
            </w:del>
          </w:p>
          <w:p w14:paraId="2A2AC6FF" w14:textId="77777777" w:rsidR="00BC0E7E" w:rsidRPr="00BC0E7E" w:rsidRDefault="00944B8F" w:rsidP="00762FA7">
            <w:pPr>
              <w:keepNext/>
              <w:tabs>
                <w:tab w:val="clear" w:pos="562"/>
              </w:tabs>
              <w:suppressAutoHyphens w:val="0"/>
              <w:jc w:val="center"/>
              <w:rPr>
                <w:del w:id="6729" w:author="AbbVie19" w:date="2025-04-16T10:42:00Z"/>
                <w:szCs w:val="22"/>
              </w:rPr>
            </w:pPr>
            <w:del w:id="6730" w:author="AbbVie19" w:date="2025-04-16T10:42:00Z">
              <w:r w:rsidRPr="00BC0E7E">
                <w:rPr>
                  <w:szCs w:val="2"/>
                </w:rPr>
                <w:delText xml:space="preserve">40 mg eow </w:delText>
              </w:r>
              <w:r w:rsidRPr="00BC0E7E">
                <w:rPr>
                  <w:szCs w:val="2"/>
                </w:rPr>
                <w:br/>
                <w:delText>N=109</w:delText>
              </w:r>
            </w:del>
          </w:p>
        </w:tc>
        <w:tc>
          <w:tcPr>
            <w:tcW w:w="2268" w:type="dxa"/>
          </w:tcPr>
          <w:p w14:paraId="4620E513" w14:textId="77777777" w:rsidR="00BC0E7E" w:rsidRPr="00BC0E7E" w:rsidRDefault="00944B8F" w:rsidP="00762FA7">
            <w:pPr>
              <w:keepNext/>
              <w:tabs>
                <w:tab w:val="clear" w:pos="562"/>
              </w:tabs>
              <w:overflowPunct w:val="0"/>
              <w:autoSpaceDE w:val="0"/>
              <w:autoSpaceDN w:val="0"/>
              <w:adjustRightInd w:val="0"/>
              <w:jc w:val="center"/>
              <w:textAlignment w:val="baseline"/>
              <w:rPr>
                <w:del w:id="6731" w:author="AbbVie19" w:date="2025-04-16T10:42:00Z"/>
              </w:rPr>
            </w:pPr>
            <w:del w:id="6732" w:author="AbbVie19" w:date="2025-04-16T10:42:00Z">
              <w:r w:rsidRPr="00BC0E7E">
                <w:delText>Humira</w:delText>
              </w:r>
            </w:del>
          </w:p>
          <w:p w14:paraId="7700EBD5" w14:textId="77777777" w:rsidR="00BC0E7E" w:rsidRPr="00BC0E7E" w:rsidRDefault="00944B8F" w:rsidP="00762FA7">
            <w:pPr>
              <w:keepNext/>
              <w:tabs>
                <w:tab w:val="clear" w:pos="562"/>
              </w:tabs>
              <w:suppressAutoHyphens w:val="0"/>
              <w:jc w:val="center"/>
              <w:rPr>
                <w:del w:id="6733" w:author="AbbVie19" w:date="2025-04-16T10:42:00Z"/>
                <w:szCs w:val="22"/>
              </w:rPr>
            </w:pPr>
            <w:del w:id="6734" w:author="AbbVie19" w:date="2025-04-16T10:42:00Z">
              <w:r w:rsidRPr="00BC0E7E">
                <w:rPr>
                  <w:szCs w:val="2"/>
                </w:rPr>
                <w:delText xml:space="preserve">40 mg eow </w:delText>
              </w:r>
              <w:r w:rsidRPr="00BC0E7E">
                <w:rPr>
                  <w:szCs w:val="2"/>
                </w:rPr>
                <w:br/>
                <w:delText>N=80</w:delText>
              </w:r>
            </w:del>
          </w:p>
        </w:tc>
      </w:tr>
      <w:tr w:rsidR="00C6578C" w14:paraId="28D76E31" w14:textId="77777777" w:rsidTr="00171601">
        <w:trPr>
          <w:del w:id="6735" w:author="AbbVie19" w:date="2025-04-16T10:42:00Z"/>
        </w:trPr>
        <w:tc>
          <w:tcPr>
            <w:tcW w:w="2718" w:type="dxa"/>
          </w:tcPr>
          <w:p w14:paraId="14214F66" w14:textId="77777777" w:rsidR="00BC0E7E" w:rsidRPr="00BC0E7E" w:rsidRDefault="00944B8F" w:rsidP="00762FA7">
            <w:pPr>
              <w:keepNext/>
              <w:tabs>
                <w:tab w:val="clear" w:pos="562"/>
              </w:tabs>
              <w:suppressAutoHyphens w:val="0"/>
              <w:rPr>
                <w:del w:id="6736" w:author="AbbVie19" w:date="2025-04-16T10:42:00Z"/>
                <w:szCs w:val="22"/>
              </w:rPr>
            </w:pPr>
            <w:del w:id="6737" w:author="AbbVie19" w:date="2025-04-16T10:42:00Z">
              <w:r w:rsidRPr="00BC0E7E">
                <w:rPr>
                  <w:szCs w:val="2"/>
                </w:rPr>
                <w:delText>≥ mNAPSI 75 (%)</w:delText>
              </w:r>
            </w:del>
          </w:p>
        </w:tc>
        <w:tc>
          <w:tcPr>
            <w:tcW w:w="1080" w:type="dxa"/>
          </w:tcPr>
          <w:p w14:paraId="5CEFB406" w14:textId="77777777" w:rsidR="00BC0E7E" w:rsidRPr="00BC0E7E" w:rsidRDefault="00944B8F" w:rsidP="00762FA7">
            <w:pPr>
              <w:keepNext/>
              <w:tabs>
                <w:tab w:val="clear" w:pos="562"/>
              </w:tabs>
              <w:suppressAutoHyphens w:val="0"/>
              <w:jc w:val="center"/>
              <w:rPr>
                <w:del w:id="6738" w:author="AbbVie19" w:date="2025-04-16T10:42:00Z"/>
                <w:szCs w:val="22"/>
              </w:rPr>
            </w:pPr>
            <w:del w:id="6739" w:author="AbbVie19" w:date="2025-04-16T10:42:00Z">
              <w:r w:rsidRPr="00BC0E7E">
                <w:rPr>
                  <w:szCs w:val="22"/>
                </w:rPr>
                <w:delText>2.9</w:delText>
              </w:r>
            </w:del>
          </w:p>
        </w:tc>
        <w:tc>
          <w:tcPr>
            <w:tcW w:w="1260" w:type="dxa"/>
          </w:tcPr>
          <w:p w14:paraId="72DA3E51" w14:textId="77777777" w:rsidR="00BC0E7E" w:rsidRPr="00BC0E7E" w:rsidRDefault="00944B8F" w:rsidP="00762FA7">
            <w:pPr>
              <w:keepNext/>
              <w:tabs>
                <w:tab w:val="clear" w:pos="562"/>
              </w:tabs>
              <w:suppressAutoHyphens w:val="0"/>
              <w:jc w:val="center"/>
              <w:rPr>
                <w:del w:id="6740" w:author="AbbVie19" w:date="2025-04-16T10:42:00Z"/>
                <w:szCs w:val="22"/>
              </w:rPr>
            </w:pPr>
            <w:del w:id="6741" w:author="AbbVie19" w:date="2025-04-16T10:42:00Z">
              <w:r w:rsidRPr="00BC0E7E">
                <w:rPr>
                  <w:szCs w:val="22"/>
                </w:rPr>
                <w:delText>26.0</w:delText>
              </w:r>
              <w:r w:rsidRPr="00BC0E7E">
                <w:rPr>
                  <w:szCs w:val="22"/>
                  <w:vertAlign w:val="superscript"/>
                </w:rPr>
                <w:delText>a</w:delText>
              </w:r>
            </w:del>
          </w:p>
        </w:tc>
        <w:tc>
          <w:tcPr>
            <w:tcW w:w="990" w:type="dxa"/>
          </w:tcPr>
          <w:p w14:paraId="39959818" w14:textId="77777777" w:rsidR="00BC0E7E" w:rsidRPr="00BC0E7E" w:rsidRDefault="00944B8F" w:rsidP="00762FA7">
            <w:pPr>
              <w:keepNext/>
              <w:jc w:val="center"/>
              <w:rPr>
                <w:del w:id="6742" w:author="AbbVie19" w:date="2025-04-16T10:42:00Z"/>
                <w:szCs w:val="22"/>
              </w:rPr>
            </w:pPr>
            <w:del w:id="6743" w:author="AbbVie19" w:date="2025-04-16T10:42:00Z">
              <w:r w:rsidRPr="00BC0E7E">
                <w:rPr>
                  <w:szCs w:val="22"/>
                </w:rPr>
                <w:delText>3.4</w:delText>
              </w:r>
            </w:del>
          </w:p>
        </w:tc>
        <w:tc>
          <w:tcPr>
            <w:tcW w:w="1260" w:type="dxa"/>
          </w:tcPr>
          <w:p w14:paraId="3AF8B57F" w14:textId="77777777" w:rsidR="00BC0E7E" w:rsidRPr="00BC0E7E" w:rsidRDefault="00944B8F" w:rsidP="00762FA7">
            <w:pPr>
              <w:keepNext/>
              <w:jc w:val="center"/>
              <w:rPr>
                <w:del w:id="6744" w:author="AbbVie19" w:date="2025-04-16T10:42:00Z"/>
                <w:szCs w:val="22"/>
              </w:rPr>
            </w:pPr>
            <w:del w:id="6745" w:author="AbbVie19" w:date="2025-04-16T10:42:00Z">
              <w:r w:rsidRPr="00BC0E7E">
                <w:rPr>
                  <w:szCs w:val="22"/>
                </w:rPr>
                <w:delText>46.6</w:delText>
              </w:r>
              <w:r w:rsidRPr="00BC0E7E">
                <w:rPr>
                  <w:szCs w:val="22"/>
                  <w:vertAlign w:val="superscript"/>
                </w:rPr>
                <w:delText>a</w:delText>
              </w:r>
            </w:del>
          </w:p>
        </w:tc>
        <w:tc>
          <w:tcPr>
            <w:tcW w:w="2268" w:type="dxa"/>
          </w:tcPr>
          <w:p w14:paraId="7257AEBD" w14:textId="77777777" w:rsidR="00BC0E7E" w:rsidRPr="00BC0E7E" w:rsidRDefault="00944B8F" w:rsidP="00762FA7">
            <w:pPr>
              <w:keepNext/>
              <w:tabs>
                <w:tab w:val="clear" w:pos="562"/>
              </w:tabs>
              <w:suppressAutoHyphens w:val="0"/>
              <w:jc w:val="center"/>
              <w:rPr>
                <w:del w:id="6746" w:author="AbbVie19" w:date="2025-04-16T10:42:00Z"/>
                <w:szCs w:val="22"/>
              </w:rPr>
            </w:pPr>
            <w:del w:id="6747" w:author="AbbVie19" w:date="2025-04-16T10:42:00Z">
              <w:r w:rsidRPr="00BC0E7E">
                <w:rPr>
                  <w:szCs w:val="22"/>
                </w:rPr>
                <w:delText>65.0</w:delText>
              </w:r>
            </w:del>
          </w:p>
        </w:tc>
      </w:tr>
      <w:tr w:rsidR="00C6578C" w14:paraId="30E490CE" w14:textId="77777777" w:rsidTr="00171601">
        <w:trPr>
          <w:del w:id="6748" w:author="AbbVie19" w:date="2025-04-16T10:42:00Z"/>
        </w:trPr>
        <w:tc>
          <w:tcPr>
            <w:tcW w:w="2718" w:type="dxa"/>
          </w:tcPr>
          <w:p w14:paraId="6BAB0612" w14:textId="77777777" w:rsidR="00BC0E7E" w:rsidRPr="00BC0E7E" w:rsidRDefault="00944B8F" w:rsidP="00762FA7">
            <w:pPr>
              <w:keepNext/>
              <w:tabs>
                <w:tab w:val="clear" w:pos="562"/>
              </w:tabs>
              <w:suppressAutoHyphens w:val="0"/>
              <w:rPr>
                <w:del w:id="6749" w:author="AbbVie19" w:date="2025-04-16T10:42:00Z"/>
                <w:szCs w:val="22"/>
              </w:rPr>
            </w:pPr>
            <w:del w:id="6750" w:author="AbbVie19" w:date="2025-04-16T10:42:00Z">
              <w:r w:rsidRPr="00BC0E7E">
                <w:rPr>
                  <w:szCs w:val="22"/>
                </w:rPr>
                <w:delText>PGA-F clear/minimal and ≥2-grade improvement (%)</w:delText>
              </w:r>
            </w:del>
          </w:p>
        </w:tc>
        <w:tc>
          <w:tcPr>
            <w:tcW w:w="1080" w:type="dxa"/>
          </w:tcPr>
          <w:p w14:paraId="1B14CA31" w14:textId="77777777" w:rsidR="00BC0E7E" w:rsidRPr="00BC0E7E" w:rsidRDefault="00944B8F" w:rsidP="00762FA7">
            <w:pPr>
              <w:keepNext/>
              <w:tabs>
                <w:tab w:val="clear" w:pos="562"/>
              </w:tabs>
              <w:suppressAutoHyphens w:val="0"/>
              <w:jc w:val="center"/>
              <w:rPr>
                <w:del w:id="6751" w:author="AbbVie19" w:date="2025-04-16T10:42:00Z"/>
                <w:szCs w:val="22"/>
              </w:rPr>
            </w:pPr>
            <w:del w:id="6752" w:author="AbbVie19" w:date="2025-04-16T10:42:00Z">
              <w:r w:rsidRPr="00BC0E7E">
                <w:rPr>
                  <w:szCs w:val="22"/>
                </w:rPr>
                <w:delText>2.9</w:delText>
              </w:r>
            </w:del>
          </w:p>
        </w:tc>
        <w:tc>
          <w:tcPr>
            <w:tcW w:w="1260" w:type="dxa"/>
          </w:tcPr>
          <w:p w14:paraId="079D71C7" w14:textId="77777777" w:rsidR="00BC0E7E" w:rsidRPr="00BC0E7E" w:rsidRDefault="00944B8F" w:rsidP="00762FA7">
            <w:pPr>
              <w:keepNext/>
              <w:tabs>
                <w:tab w:val="clear" w:pos="562"/>
              </w:tabs>
              <w:suppressAutoHyphens w:val="0"/>
              <w:jc w:val="center"/>
              <w:rPr>
                <w:del w:id="6753" w:author="AbbVie19" w:date="2025-04-16T10:42:00Z"/>
                <w:szCs w:val="22"/>
              </w:rPr>
            </w:pPr>
            <w:del w:id="6754" w:author="AbbVie19" w:date="2025-04-16T10:42:00Z">
              <w:r w:rsidRPr="00BC0E7E">
                <w:rPr>
                  <w:szCs w:val="22"/>
                </w:rPr>
                <w:delText>29.7</w:delText>
              </w:r>
              <w:r w:rsidRPr="00BC0E7E">
                <w:rPr>
                  <w:szCs w:val="22"/>
                  <w:vertAlign w:val="superscript"/>
                </w:rPr>
                <w:delText>a</w:delText>
              </w:r>
            </w:del>
          </w:p>
        </w:tc>
        <w:tc>
          <w:tcPr>
            <w:tcW w:w="990" w:type="dxa"/>
          </w:tcPr>
          <w:p w14:paraId="3E2286B5" w14:textId="77777777" w:rsidR="00BC0E7E" w:rsidRPr="00BC0E7E" w:rsidRDefault="00944B8F" w:rsidP="00762FA7">
            <w:pPr>
              <w:keepNext/>
              <w:jc w:val="center"/>
              <w:rPr>
                <w:del w:id="6755" w:author="AbbVie19" w:date="2025-04-16T10:42:00Z"/>
                <w:szCs w:val="22"/>
              </w:rPr>
            </w:pPr>
            <w:del w:id="6756" w:author="AbbVie19" w:date="2025-04-16T10:42:00Z">
              <w:r w:rsidRPr="00BC0E7E">
                <w:rPr>
                  <w:szCs w:val="22"/>
                </w:rPr>
                <w:delText>6.9</w:delText>
              </w:r>
            </w:del>
          </w:p>
        </w:tc>
        <w:tc>
          <w:tcPr>
            <w:tcW w:w="1260" w:type="dxa"/>
          </w:tcPr>
          <w:p w14:paraId="4D96960F" w14:textId="77777777" w:rsidR="00BC0E7E" w:rsidRPr="00BC0E7E" w:rsidRDefault="00944B8F" w:rsidP="00762FA7">
            <w:pPr>
              <w:keepNext/>
              <w:jc w:val="center"/>
              <w:rPr>
                <w:del w:id="6757" w:author="AbbVie19" w:date="2025-04-16T10:42:00Z"/>
                <w:szCs w:val="22"/>
              </w:rPr>
            </w:pPr>
            <w:del w:id="6758" w:author="AbbVie19" w:date="2025-04-16T10:42:00Z">
              <w:r w:rsidRPr="00BC0E7E">
                <w:rPr>
                  <w:szCs w:val="22"/>
                </w:rPr>
                <w:delText>48.9</w:delText>
              </w:r>
              <w:r w:rsidRPr="00BC0E7E">
                <w:rPr>
                  <w:szCs w:val="22"/>
                  <w:vertAlign w:val="superscript"/>
                </w:rPr>
                <w:delText>a</w:delText>
              </w:r>
            </w:del>
          </w:p>
        </w:tc>
        <w:tc>
          <w:tcPr>
            <w:tcW w:w="2268" w:type="dxa"/>
          </w:tcPr>
          <w:p w14:paraId="2507A228" w14:textId="77777777" w:rsidR="00BC0E7E" w:rsidRPr="00BC0E7E" w:rsidRDefault="00944B8F" w:rsidP="00762FA7">
            <w:pPr>
              <w:keepNext/>
              <w:tabs>
                <w:tab w:val="clear" w:pos="562"/>
              </w:tabs>
              <w:suppressAutoHyphens w:val="0"/>
              <w:jc w:val="center"/>
              <w:rPr>
                <w:del w:id="6759" w:author="AbbVie19" w:date="2025-04-16T10:42:00Z"/>
                <w:szCs w:val="22"/>
              </w:rPr>
            </w:pPr>
            <w:del w:id="6760" w:author="AbbVie19" w:date="2025-04-16T10:42:00Z">
              <w:r w:rsidRPr="00BC0E7E">
                <w:rPr>
                  <w:szCs w:val="22"/>
                </w:rPr>
                <w:delText>61.3</w:delText>
              </w:r>
            </w:del>
          </w:p>
        </w:tc>
      </w:tr>
      <w:tr w:rsidR="00C6578C" w14:paraId="7ACF82A5" w14:textId="77777777" w:rsidTr="00171601">
        <w:trPr>
          <w:del w:id="6761" w:author="AbbVie19" w:date="2025-04-16T10:42:00Z"/>
        </w:trPr>
        <w:tc>
          <w:tcPr>
            <w:tcW w:w="2718" w:type="dxa"/>
          </w:tcPr>
          <w:p w14:paraId="4B93F21F" w14:textId="77777777" w:rsidR="00BC0E7E" w:rsidRPr="00BC0E7E" w:rsidRDefault="00944B8F" w:rsidP="00762FA7">
            <w:pPr>
              <w:keepNext/>
              <w:tabs>
                <w:tab w:val="clear" w:pos="562"/>
              </w:tabs>
              <w:suppressAutoHyphens w:val="0"/>
              <w:rPr>
                <w:del w:id="6762" w:author="AbbVie19" w:date="2025-04-16T10:42:00Z"/>
                <w:szCs w:val="22"/>
              </w:rPr>
            </w:pPr>
            <w:del w:id="6763" w:author="AbbVie19" w:date="2025-04-16T10:42:00Z">
              <w:r w:rsidRPr="00BC0E7E">
                <w:rPr>
                  <w:szCs w:val="22"/>
                </w:rPr>
                <w:delText>Percent Change in Total Fingernail NAPSI (%)</w:delText>
              </w:r>
            </w:del>
          </w:p>
        </w:tc>
        <w:tc>
          <w:tcPr>
            <w:tcW w:w="1080" w:type="dxa"/>
          </w:tcPr>
          <w:p w14:paraId="05BC6D73" w14:textId="77777777" w:rsidR="00BC0E7E" w:rsidRPr="00BC0E7E" w:rsidRDefault="00944B8F" w:rsidP="00762FA7">
            <w:pPr>
              <w:keepNext/>
              <w:tabs>
                <w:tab w:val="clear" w:pos="562"/>
              </w:tabs>
              <w:suppressAutoHyphens w:val="0"/>
              <w:jc w:val="center"/>
              <w:rPr>
                <w:del w:id="6764" w:author="AbbVie19" w:date="2025-04-16T10:42:00Z"/>
                <w:szCs w:val="22"/>
              </w:rPr>
            </w:pPr>
            <w:del w:id="6765" w:author="AbbVie19" w:date="2025-04-16T10:42:00Z">
              <w:r w:rsidRPr="00BC0E7E">
                <w:rPr>
                  <w:szCs w:val="22"/>
                </w:rPr>
                <w:delText>-7.8</w:delText>
              </w:r>
            </w:del>
          </w:p>
        </w:tc>
        <w:tc>
          <w:tcPr>
            <w:tcW w:w="1260" w:type="dxa"/>
          </w:tcPr>
          <w:p w14:paraId="28BF949E" w14:textId="77777777" w:rsidR="00BC0E7E" w:rsidRPr="00BC0E7E" w:rsidRDefault="00944B8F" w:rsidP="00762FA7">
            <w:pPr>
              <w:keepNext/>
              <w:tabs>
                <w:tab w:val="clear" w:pos="562"/>
              </w:tabs>
              <w:suppressAutoHyphens w:val="0"/>
              <w:jc w:val="center"/>
              <w:rPr>
                <w:del w:id="6766" w:author="AbbVie19" w:date="2025-04-16T10:42:00Z"/>
                <w:szCs w:val="22"/>
              </w:rPr>
            </w:pPr>
            <w:del w:id="6767" w:author="AbbVie19" w:date="2025-04-16T10:42:00Z">
              <w:r w:rsidRPr="00BC0E7E">
                <w:rPr>
                  <w:szCs w:val="22"/>
                </w:rPr>
                <w:delText>-44.2</w:delText>
              </w:r>
              <w:r w:rsidRPr="00BC0E7E">
                <w:rPr>
                  <w:szCs w:val="22"/>
                  <w:vertAlign w:val="superscript"/>
                </w:rPr>
                <w:delText xml:space="preserve"> a</w:delText>
              </w:r>
            </w:del>
          </w:p>
        </w:tc>
        <w:tc>
          <w:tcPr>
            <w:tcW w:w="990" w:type="dxa"/>
          </w:tcPr>
          <w:p w14:paraId="58B541F2" w14:textId="77777777" w:rsidR="00BC0E7E" w:rsidRPr="00BC0E7E" w:rsidRDefault="00944B8F" w:rsidP="00762FA7">
            <w:pPr>
              <w:keepNext/>
              <w:jc w:val="center"/>
              <w:rPr>
                <w:del w:id="6768" w:author="AbbVie19" w:date="2025-04-16T10:42:00Z"/>
                <w:szCs w:val="22"/>
              </w:rPr>
            </w:pPr>
            <w:del w:id="6769" w:author="AbbVie19" w:date="2025-04-16T10:42:00Z">
              <w:r w:rsidRPr="00BC0E7E">
                <w:rPr>
                  <w:szCs w:val="22"/>
                </w:rPr>
                <w:delText>-11.5</w:delText>
              </w:r>
            </w:del>
          </w:p>
        </w:tc>
        <w:tc>
          <w:tcPr>
            <w:tcW w:w="1260" w:type="dxa"/>
          </w:tcPr>
          <w:p w14:paraId="3CAFC4DE" w14:textId="77777777" w:rsidR="00BC0E7E" w:rsidRPr="00BC0E7E" w:rsidRDefault="00944B8F" w:rsidP="00762FA7">
            <w:pPr>
              <w:keepNext/>
              <w:jc w:val="center"/>
              <w:rPr>
                <w:del w:id="6770" w:author="AbbVie19" w:date="2025-04-16T10:42:00Z"/>
                <w:szCs w:val="22"/>
              </w:rPr>
            </w:pPr>
            <w:del w:id="6771" w:author="AbbVie19" w:date="2025-04-16T10:42:00Z">
              <w:r w:rsidRPr="00BC0E7E">
                <w:rPr>
                  <w:szCs w:val="22"/>
                </w:rPr>
                <w:delText>-56.2</w:delText>
              </w:r>
              <w:r w:rsidRPr="00BC0E7E">
                <w:rPr>
                  <w:szCs w:val="22"/>
                  <w:vertAlign w:val="superscript"/>
                </w:rPr>
                <w:delText>a</w:delText>
              </w:r>
            </w:del>
          </w:p>
        </w:tc>
        <w:tc>
          <w:tcPr>
            <w:tcW w:w="2268" w:type="dxa"/>
          </w:tcPr>
          <w:p w14:paraId="3E205E54" w14:textId="77777777" w:rsidR="00BC0E7E" w:rsidRPr="00BC0E7E" w:rsidRDefault="00944B8F" w:rsidP="00762FA7">
            <w:pPr>
              <w:keepNext/>
              <w:tabs>
                <w:tab w:val="clear" w:pos="562"/>
              </w:tabs>
              <w:suppressAutoHyphens w:val="0"/>
              <w:jc w:val="center"/>
              <w:rPr>
                <w:del w:id="6772" w:author="AbbVie19" w:date="2025-04-16T10:42:00Z"/>
                <w:szCs w:val="22"/>
              </w:rPr>
            </w:pPr>
            <w:del w:id="6773" w:author="AbbVie19" w:date="2025-04-16T10:42:00Z">
              <w:r w:rsidRPr="00BC0E7E">
                <w:rPr>
                  <w:szCs w:val="22"/>
                </w:rPr>
                <w:delText>-72.2</w:delText>
              </w:r>
            </w:del>
          </w:p>
        </w:tc>
      </w:tr>
      <w:tr w:rsidR="00C6578C" w14:paraId="2F610028" w14:textId="77777777" w:rsidTr="00171601">
        <w:trPr>
          <w:del w:id="6774" w:author="AbbVie19" w:date="2025-04-16T10:42:00Z"/>
        </w:trPr>
        <w:tc>
          <w:tcPr>
            <w:tcW w:w="9576" w:type="dxa"/>
            <w:gridSpan w:val="6"/>
          </w:tcPr>
          <w:p w14:paraId="05D3F4BF" w14:textId="77777777" w:rsidR="00BC0E7E" w:rsidRPr="00BC0E7E" w:rsidRDefault="00944B8F" w:rsidP="00762FA7">
            <w:pPr>
              <w:keepNext/>
              <w:tabs>
                <w:tab w:val="clear" w:pos="562"/>
              </w:tabs>
              <w:suppressAutoHyphens w:val="0"/>
              <w:rPr>
                <w:del w:id="6775" w:author="AbbVie19" w:date="2025-04-16T10:42:00Z"/>
                <w:szCs w:val="22"/>
              </w:rPr>
            </w:pPr>
            <w:del w:id="6776" w:author="AbbVie19" w:date="2025-04-16T10:42:00Z">
              <w:r w:rsidRPr="00BC0E7E">
                <w:rPr>
                  <w:szCs w:val="22"/>
                  <w:vertAlign w:val="superscript"/>
                </w:rPr>
                <w:delText>a</w:delText>
              </w:r>
              <w:r w:rsidRPr="00BC0E7E">
                <w:rPr>
                  <w:szCs w:val="22"/>
                </w:rPr>
                <w:delText xml:space="preserve"> p&lt;0.001, Humira </w:delText>
              </w:r>
              <w:r w:rsidRPr="00BC0E7E">
                <w:rPr>
                  <w:i/>
                  <w:szCs w:val="22"/>
                </w:rPr>
                <w:delText>vs.</w:delText>
              </w:r>
              <w:r w:rsidRPr="00BC0E7E">
                <w:rPr>
                  <w:szCs w:val="22"/>
                </w:rPr>
                <w:delText xml:space="preserve"> placebo </w:delText>
              </w:r>
            </w:del>
          </w:p>
        </w:tc>
      </w:tr>
    </w:tbl>
    <w:p w14:paraId="374FBDEC" w14:textId="77777777" w:rsidR="00BC0E7E" w:rsidRPr="00BC0E7E" w:rsidRDefault="00BC0E7E" w:rsidP="00762FA7">
      <w:pPr>
        <w:tabs>
          <w:tab w:val="clear" w:pos="562"/>
        </w:tabs>
        <w:suppressAutoHyphens w:val="0"/>
        <w:rPr>
          <w:del w:id="6777" w:author="AbbVie19" w:date="2025-04-16T10:42:00Z"/>
          <w:szCs w:val="22"/>
        </w:rPr>
      </w:pPr>
    </w:p>
    <w:p w14:paraId="0935D3D7" w14:textId="77777777" w:rsidR="00BC0E7E" w:rsidRPr="00BC0E7E" w:rsidRDefault="00944B8F" w:rsidP="00762FA7">
      <w:pPr>
        <w:rPr>
          <w:del w:id="6778" w:author="AbbVie19" w:date="2025-04-16T10:42:00Z"/>
          <w:szCs w:val="22"/>
        </w:rPr>
      </w:pPr>
      <w:del w:id="6779" w:author="AbbVie19" w:date="2025-04-16T10:42:00Z">
        <w:r w:rsidRPr="00BC0E7E">
          <w:rPr>
            <w:szCs w:val="22"/>
          </w:rPr>
          <w:delText xml:space="preserve">Humira treated patients showed statistically significant improvements at Week 26 compared with placebo in the DLQI. </w:delText>
        </w:r>
      </w:del>
    </w:p>
    <w:p w14:paraId="710C8F0F" w14:textId="77777777" w:rsidR="00BC0E7E" w:rsidRPr="00BC0E7E" w:rsidRDefault="00BC0E7E" w:rsidP="00762FA7">
      <w:pPr>
        <w:rPr>
          <w:del w:id="6780" w:author="AbbVie19" w:date="2025-04-16T10:42:00Z"/>
          <w:rFonts w:eastAsia="TimesNewRoman"/>
          <w:szCs w:val="22"/>
        </w:rPr>
      </w:pPr>
    </w:p>
    <w:p w14:paraId="09D915E2" w14:textId="77777777" w:rsidR="00BC0E7E" w:rsidRPr="00BC0E7E" w:rsidRDefault="00944B8F" w:rsidP="00762FA7">
      <w:pPr>
        <w:rPr>
          <w:del w:id="6781" w:author="AbbVie19" w:date="2025-04-16T10:42:00Z"/>
          <w:i/>
          <w:szCs w:val="22"/>
        </w:rPr>
      </w:pPr>
      <w:del w:id="6782" w:author="AbbVie19" w:date="2025-04-16T10:42:00Z">
        <w:r w:rsidRPr="00BC0E7E">
          <w:rPr>
            <w:i/>
            <w:szCs w:val="22"/>
          </w:rPr>
          <w:delText>Hidradenitis suppurativa</w:delText>
        </w:r>
      </w:del>
    </w:p>
    <w:p w14:paraId="68293413" w14:textId="77777777" w:rsidR="00BC0E7E" w:rsidRPr="00BC0E7E" w:rsidRDefault="00BC0E7E" w:rsidP="00762FA7">
      <w:pPr>
        <w:rPr>
          <w:del w:id="6783" w:author="AbbVie19" w:date="2025-04-16T10:42:00Z"/>
          <w:szCs w:val="22"/>
          <w:u w:val="single"/>
        </w:rPr>
      </w:pPr>
    </w:p>
    <w:p w14:paraId="0FBFA6DB" w14:textId="77777777" w:rsidR="00BC0E7E" w:rsidRPr="00BC0E7E" w:rsidRDefault="00944B8F" w:rsidP="00762FA7">
      <w:pPr>
        <w:tabs>
          <w:tab w:val="clear" w:pos="562"/>
        </w:tabs>
        <w:suppressAutoHyphens w:val="0"/>
        <w:rPr>
          <w:del w:id="6784" w:author="AbbVie19" w:date="2025-04-16T10:42:00Z"/>
          <w:rFonts w:eastAsia="MS Mincho"/>
          <w:szCs w:val="22"/>
          <w:lang w:eastAsia="ja-JP"/>
        </w:rPr>
      </w:pPr>
      <w:del w:id="6785" w:author="AbbVie19" w:date="2025-04-16T10:42:00Z">
        <w:r w:rsidRPr="00BC0E7E">
          <w:rPr>
            <w:rFonts w:eastAsia="MS Mincho"/>
            <w:szCs w:val="22"/>
            <w:lang w:eastAsia="ja-JP"/>
          </w:rPr>
          <w:delText>The safety and efficacy of Humira were assessed in randomised, double-blind, placebo-controlled studies and an open-label extension study in adult patients with moderate to severe hidradenitis suppurativa (HS) who were intolerant, had a contraindication or an inadequate response to at least a 3</w:delText>
        </w:r>
        <w:r w:rsidRPr="00BC0E7E">
          <w:rPr>
            <w:rFonts w:eastAsia="MS Mincho"/>
            <w:szCs w:val="22"/>
            <w:lang w:eastAsia="ja-JP"/>
          </w:rPr>
          <w:noBreakHyphen/>
          <w:delText>month trial of systemic antibiotic therapy. The patients in HS-I and HS-II had Hurley Stage II or III disease with at least 3 abscesses or inflammatory nodules.</w:delText>
        </w:r>
      </w:del>
    </w:p>
    <w:p w14:paraId="4670CCE4" w14:textId="77777777" w:rsidR="00BC0E7E" w:rsidRPr="00BC0E7E" w:rsidRDefault="00BC0E7E" w:rsidP="00762FA7">
      <w:pPr>
        <w:tabs>
          <w:tab w:val="clear" w:pos="562"/>
        </w:tabs>
        <w:suppressAutoHyphens w:val="0"/>
        <w:rPr>
          <w:del w:id="6786" w:author="AbbVie19" w:date="2025-04-16T10:42:00Z"/>
          <w:rFonts w:eastAsia="MS Mincho"/>
          <w:szCs w:val="22"/>
          <w:lang w:eastAsia="ja-JP"/>
        </w:rPr>
      </w:pPr>
    </w:p>
    <w:p w14:paraId="70711C8B" w14:textId="77777777" w:rsidR="00BC0E7E" w:rsidRPr="00BC0E7E" w:rsidRDefault="00944B8F" w:rsidP="00762FA7">
      <w:pPr>
        <w:tabs>
          <w:tab w:val="clear" w:pos="562"/>
        </w:tabs>
        <w:suppressAutoHyphens w:val="0"/>
        <w:rPr>
          <w:del w:id="6787" w:author="AbbVie19" w:date="2025-04-16T10:42:00Z"/>
          <w:rFonts w:eastAsia="MS Mincho"/>
          <w:szCs w:val="22"/>
          <w:lang w:eastAsia="ja-JP"/>
        </w:rPr>
      </w:pPr>
      <w:del w:id="6788" w:author="AbbVie19" w:date="2025-04-16T10:42:00Z">
        <w:r w:rsidRPr="00BC0E7E">
          <w:rPr>
            <w:rFonts w:eastAsia="MS Mincho"/>
            <w:szCs w:val="22"/>
            <w:lang w:eastAsia="ja-JP"/>
          </w:rPr>
          <w:delText>Study HS-I (PIONEER I) evaluated 307 patients with 2 treatment periods. In Period A, patients received placebo or Humira at an initial dose of 160</w:delText>
        </w:r>
        <w:r w:rsidRPr="00BC0E7E">
          <w:delText> </w:delText>
        </w:r>
        <w:r w:rsidRPr="00BC0E7E">
          <w:rPr>
            <w:rFonts w:eastAsia="MS Mincho"/>
            <w:szCs w:val="22"/>
            <w:lang w:eastAsia="ja-JP"/>
          </w:rPr>
          <w:delText>mg at Week 0, 80</w:delText>
        </w:r>
        <w:r w:rsidRPr="00BC0E7E">
          <w:delText> </w:delText>
        </w:r>
        <w:r w:rsidRPr="00BC0E7E">
          <w:rPr>
            <w:rFonts w:eastAsia="MS Mincho"/>
            <w:szCs w:val="22"/>
            <w:lang w:eastAsia="ja-JP"/>
          </w:rPr>
          <w:delText>mg at Week</w:delText>
        </w:r>
        <w:r w:rsidRPr="00BC0E7E">
          <w:delText> </w:delText>
        </w:r>
        <w:r w:rsidRPr="00BC0E7E">
          <w:rPr>
            <w:rFonts w:eastAsia="MS Mincho"/>
            <w:szCs w:val="22"/>
            <w:lang w:eastAsia="ja-JP"/>
          </w:rPr>
          <w:delText>2, and 40</w:delText>
        </w:r>
        <w:r w:rsidRPr="00BC0E7E">
          <w:delText> </w:delText>
        </w:r>
        <w:r w:rsidRPr="00BC0E7E">
          <w:rPr>
            <w:rFonts w:eastAsia="MS Mincho"/>
            <w:szCs w:val="22"/>
            <w:lang w:eastAsia="ja-JP"/>
          </w:rPr>
          <w:delText>mg every week starting at Week</w:delText>
        </w:r>
        <w:r w:rsidRPr="00BC0E7E">
          <w:delText> </w:delText>
        </w:r>
        <w:r w:rsidRPr="00BC0E7E">
          <w:rPr>
            <w:rFonts w:eastAsia="MS Mincho"/>
            <w:szCs w:val="22"/>
            <w:lang w:eastAsia="ja-JP"/>
          </w:rPr>
          <w:delText>4 to Week</w:delText>
        </w:r>
        <w:r w:rsidRPr="00BC0E7E">
          <w:delText> </w:delText>
        </w:r>
        <w:r w:rsidRPr="00BC0E7E">
          <w:rPr>
            <w:rFonts w:eastAsia="MS Mincho"/>
            <w:szCs w:val="22"/>
            <w:lang w:eastAsia="ja-JP"/>
          </w:rPr>
          <w:delText xml:space="preserve">11. Concomitant antibiotic use was not allowed during the study.  After </w:delText>
        </w:r>
        <w:r w:rsidRPr="00BC0E7E">
          <w:rPr>
            <w:rFonts w:eastAsia="MS Mincho"/>
            <w:szCs w:val="22"/>
            <w:lang w:eastAsia="ja-JP"/>
          </w:rPr>
          <w:lastRenderedPageBreak/>
          <w:delText>12 weeks of therapy, patients who had received Humira in Period A were re</w:delText>
        </w:r>
        <w:r w:rsidRPr="00BC0E7E">
          <w:rPr>
            <w:rFonts w:eastAsia="MS Mincho"/>
            <w:szCs w:val="22"/>
            <w:lang w:eastAsia="ja-JP"/>
          </w:rPr>
          <w:noBreakHyphen/>
          <w:delText>randomised in Period B to 1 of 3 treatment groups (Humira 40</w:delText>
        </w:r>
        <w:r w:rsidRPr="00BC0E7E">
          <w:delText> </w:delText>
        </w:r>
        <w:r w:rsidRPr="00BC0E7E">
          <w:rPr>
            <w:rFonts w:eastAsia="MS Mincho"/>
            <w:szCs w:val="22"/>
            <w:lang w:eastAsia="ja-JP"/>
          </w:rPr>
          <w:delText>mg every week, Humira 40</w:delText>
        </w:r>
        <w:r w:rsidRPr="00BC0E7E">
          <w:delText> </w:delText>
        </w:r>
        <w:r w:rsidRPr="00BC0E7E">
          <w:rPr>
            <w:rFonts w:eastAsia="MS Mincho"/>
            <w:szCs w:val="22"/>
            <w:lang w:eastAsia="ja-JP"/>
          </w:rPr>
          <w:delText>mg every other week, or placebo from Week</w:delText>
        </w:r>
        <w:r w:rsidRPr="00BC0E7E">
          <w:delText> </w:delText>
        </w:r>
        <w:r w:rsidRPr="00BC0E7E">
          <w:rPr>
            <w:rFonts w:eastAsia="MS Mincho"/>
            <w:szCs w:val="22"/>
            <w:lang w:eastAsia="ja-JP"/>
          </w:rPr>
          <w:delText>12 to Week</w:delText>
        </w:r>
        <w:r w:rsidRPr="00BC0E7E">
          <w:delText> </w:delText>
        </w:r>
        <w:r w:rsidRPr="00BC0E7E">
          <w:rPr>
            <w:rFonts w:eastAsia="MS Mincho"/>
            <w:szCs w:val="22"/>
            <w:lang w:eastAsia="ja-JP"/>
          </w:rPr>
          <w:delText>35). Patients who had been randomised to placebo in Period A were assigned to receive Humira 40</w:delText>
        </w:r>
        <w:r w:rsidRPr="00BC0E7E">
          <w:delText> </w:delText>
        </w:r>
        <w:r w:rsidRPr="00BC0E7E">
          <w:rPr>
            <w:rFonts w:eastAsia="MS Mincho"/>
            <w:szCs w:val="22"/>
            <w:lang w:eastAsia="ja-JP"/>
          </w:rPr>
          <w:delText>mg every week in Period B.</w:delText>
        </w:r>
      </w:del>
    </w:p>
    <w:p w14:paraId="3E60F8E8" w14:textId="77777777" w:rsidR="00BC0E7E" w:rsidRPr="00BC0E7E" w:rsidRDefault="00BC0E7E" w:rsidP="00762FA7">
      <w:pPr>
        <w:tabs>
          <w:tab w:val="clear" w:pos="562"/>
        </w:tabs>
        <w:suppressAutoHyphens w:val="0"/>
        <w:rPr>
          <w:del w:id="6789" w:author="AbbVie19" w:date="2025-04-16T10:42:00Z"/>
          <w:rFonts w:eastAsia="MS Mincho"/>
          <w:szCs w:val="22"/>
          <w:lang w:eastAsia="ja-JP"/>
        </w:rPr>
      </w:pPr>
    </w:p>
    <w:p w14:paraId="2939B23A" w14:textId="77777777" w:rsidR="00BC0E7E" w:rsidRPr="00BC0E7E" w:rsidRDefault="00944B8F" w:rsidP="00762FA7">
      <w:pPr>
        <w:tabs>
          <w:tab w:val="clear" w:pos="562"/>
        </w:tabs>
        <w:suppressAutoHyphens w:val="0"/>
        <w:rPr>
          <w:del w:id="6790" w:author="AbbVie19" w:date="2025-04-16T10:42:00Z"/>
          <w:rFonts w:eastAsia="MS Mincho"/>
          <w:szCs w:val="22"/>
          <w:lang w:eastAsia="ja-JP"/>
        </w:rPr>
      </w:pPr>
      <w:del w:id="6791" w:author="AbbVie19" w:date="2025-04-16T10:42:00Z">
        <w:r w:rsidRPr="00BC0E7E">
          <w:rPr>
            <w:rFonts w:eastAsia="MS Mincho"/>
            <w:szCs w:val="22"/>
            <w:lang w:eastAsia="ja-JP"/>
          </w:rPr>
          <w:delText>Study HS-II (PIONEER II) evaluated 326 patients with 2 treatment periods. In Period A, patients received placebo or Humira at an initial dose of 160</w:delText>
        </w:r>
        <w:r w:rsidRPr="00BC0E7E">
          <w:delText> </w:delText>
        </w:r>
        <w:r w:rsidRPr="00BC0E7E">
          <w:rPr>
            <w:rFonts w:eastAsia="MS Mincho"/>
            <w:szCs w:val="22"/>
            <w:lang w:eastAsia="ja-JP"/>
          </w:rPr>
          <w:delText>mg at Week</w:delText>
        </w:r>
        <w:r w:rsidRPr="00BC0E7E">
          <w:delText> </w:delText>
        </w:r>
        <w:r w:rsidRPr="00BC0E7E">
          <w:rPr>
            <w:rFonts w:eastAsia="MS Mincho"/>
            <w:szCs w:val="22"/>
            <w:lang w:eastAsia="ja-JP"/>
          </w:rPr>
          <w:delText>0 and 80</w:delText>
        </w:r>
        <w:r w:rsidRPr="00BC0E7E">
          <w:delText> </w:delText>
        </w:r>
        <w:r w:rsidRPr="00BC0E7E">
          <w:rPr>
            <w:rFonts w:eastAsia="MS Mincho"/>
            <w:szCs w:val="22"/>
            <w:lang w:eastAsia="ja-JP"/>
          </w:rPr>
          <w:delText>mg at Week</w:delText>
        </w:r>
        <w:r w:rsidRPr="00BC0E7E">
          <w:delText> </w:delText>
        </w:r>
        <w:r w:rsidRPr="00BC0E7E">
          <w:rPr>
            <w:rFonts w:eastAsia="MS Mincho"/>
            <w:szCs w:val="22"/>
            <w:lang w:eastAsia="ja-JP"/>
          </w:rPr>
          <w:delText>2 and 40</w:delText>
        </w:r>
        <w:r w:rsidRPr="00BC0E7E">
          <w:delText> </w:delText>
        </w:r>
        <w:r w:rsidRPr="00BC0E7E">
          <w:rPr>
            <w:rFonts w:eastAsia="MS Mincho"/>
            <w:szCs w:val="22"/>
            <w:lang w:eastAsia="ja-JP"/>
          </w:rPr>
          <w:delText>mg every week starting at Week</w:delText>
        </w:r>
        <w:r w:rsidRPr="00BC0E7E">
          <w:delText> </w:delText>
        </w:r>
        <w:r w:rsidRPr="00BC0E7E">
          <w:rPr>
            <w:rFonts w:eastAsia="MS Mincho"/>
            <w:szCs w:val="22"/>
            <w:lang w:eastAsia="ja-JP"/>
          </w:rPr>
          <w:delText>4 to Week</w:delText>
        </w:r>
        <w:r w:rsidRPr="00BC0E7E">
          <w:delText> </w:delText>
        </w:r>
        <w:r w:rsidRPr="00BC0E7E">
          <w:rPr>
            <w:rFonts w:eastAsia="MS Mincho"/>
            <w:szCs w:val="22"/>
            <w:lang w:eastAsia="ja-JP"/>
          </w:rPr>
          <w:delText>11. 19.3% of patients had continued baseline oral antibiotic therapy during the study. After 12 weeks of therapy, patients who had received Humira in Period A were re</w:delText>
        </w:r>
        <w:r w:rsidRPr="00BC0E7E">
          <w:rPr>
            <w:rFonts w:eastAsia="MS Mincho"/>
            <w:szCs w:val="22"/>
            <w:lang w:eastAsia="ja-JP"/>
          </w:rPr>
          <w:noBreakHyphen/>
          <w:delText>randomised in Period B to 1 of 3 treatment groups (Humira 40</w:delText>
        </w:r>
        <w:r w:rsidRPr="00BC0E7E">
          <w:delText> </w:delText>
        </w:r>
        <w:r w:rsidRPr="00BC0E7E">
          <w:rPr>
            <w:rFonts w:eastAsia="MS Mincho"/>
            <w:szCs w:val="22"/>
            <w:lang w:eastAsia="ja-JP"/>
          </w:rPr>
          <w:delText>mg every week, Humira 40</w:delText>
        </w:r>
        <w:r w:rsidRPr="00BC0E7E">
          <w:delText> </w:delText>
        </w:r>
        <w:r w:rsidRPr="00BC0E7E">
          <w:rPr>
            <w:rFonts w:eastAsia="MS Mincho"/>
            <w:szCs w:val="22"/>
            <w:lang w:eastAsia="ja-JP"/>
          </w:rPr>
          <w:delText>mg every other week, or placebo from Week</w:delText>
        </w:r>
        <w:r w:rsidRPr="00BC0E7E">
          <w:delText> </w:delText>
        </w:r>
        <w:r w:rsidRPr="00BC0E7E">
          <w:rPr>
            <w:rFonts w:eastAsia="MS Mincho"/>
            <w:szCs w:val="22"/>
            <w:lang w:eastAsia="ja-JP"/>
          </w:rPr>
          <w:delText>12 to Week</w:delText>
        </w:r>
        <w:r w:rsidRPr="00BC0E7E">
          <w:delText> </w:delText>
        </w:r>
        <w:r w:rsidRPr="00BC0E7E">
          <w:rPr>
            <w:rFonts w:eastAsia="MS Mincho"/>
            <w:szCs w:val="22"/>
            <w:lang w:eastAsia="ja-JP"/>
          </w:rPr>
          <w:delText>35). Patients who had been randomised to placebo in Period A were assigned to receive placebo in Period B.</w:delText>
        </w:r>
      </w:del>
    </w:p>
    <w:p w14:paraId="25771BA9" w14:textId="77777777" w:rsidR="00BC0E7E" w:rsidRPr="00BC0E7E" w:rsidRDefault="00BC0E7E" w:rsidP="00762FA7">
      <w:pPr>
        <w:tabs>
          <w:tab w:val="clear" w:pos="562"/>
        </w:tabs>
        <w:suppressAutoHyphens w:val="0"/>
        <w:rPr>
          <w:del w:id="6792" w:author="AbbVie19" w:date="2025-04-16T10:42:00Z"/>
          <w:rFonts w:eastAsia="MS Mincho"/>
          <w:szCs w:val="22"/>
          <w:lang w:eastAsia="ja-JP"/>
        </w:rPr>
      </w:pPr>
    </w:p>
    <w:p w14:paraId="656CEBE6" w14:textId="77777777" w:rsidR="00BC0E7E" w:rsidRPr="00BC0E7E" w:rsidRDefault="00944B8F" w:rsidP="00762FA7">
      <w:pPr>
        <w:tabs>
          <w:tab w:val="clear" w:pos="562"/>
        </w:tabs>
        <w:suppressAutoHyphens w:val="0"/>
        <w:rPr>
          <w:del w:id="6793" w:author="AbbVie19" w:date="2025-04-16T10:42:00Z"/>
          <w:rFonts w:eastAsia="MS Mincho"/>
          <w:szCs w:val="22"/>
          <w:lang w:eastAsia="ja-JP"/>
        </w:rPr>
      </w:pPr>
      <w:del w:id="6794" w:author="AbbVie19" w:date="2025-04-16T10:42:00Z">
        <w:r w:rsidRPr="00BC0E7E">
          <w:rPr>
            <w:rFonts w:eastAsia="MS Mincho"/>
            <w:szCs w:val="22"/>
            <w:lang w:eastAsia="ja-JP"/>
          </w:rPr>
          <w:delText>Patients participating in Studies HS-I and HS-II were eligible to enrol into an open</w:delText>
        </w:r>
        <w:r w:rsidRPr="00BC0E7E">
          <w:rPr>
            <w:rFonts w:eastAsia="MS Mincho"/>
            <w:szCs w:val="22"/>
            <w:lang w:eastAsia="ja-JP"/>
          </w:rPr>
          <w:noBreakHyphen/>
          <w:delText>label extension study in which Humira 40mg was administered every week.</w:delText>
        </w:r>
        <w:r w:rsidRPr="00BC0E7E">
          <w:rPr>
            <w:lang w:eastAsia="ja-JP"/>
          </w:rPr>
          <w:delText xml:space="preserve"> Mean exposure in all adalimumab population was 762 days.</w:delText>
        </w:r>
        <w:r w:rsidRPr="00BC0E7E">
          <w:rPr>
            <w:rFonts w:eastAsia="MS Mincho"/>
            <w:szCs w:val="22"/>
            <w:lang w:eastAsia="ja-JP"/>
          </w:rPr>
          <w:delText xml:space="preserve"> Throughout all 3 studies patients used topical antiseptic wash daily.</w:delText>
        </w:r>
      </w:del>
    </w:p>
    <w:p w14:paraId="1EA2B7AA" w14:textId="77777777" w:rsidR="00BC0E7E" w:rsidRPr="00BC0E7E" w:rsidRDefault="00BC0E7E" w:rsidP="00762FA7">
      <w:pPr>
        <w:tabs>
          <w:tab w:val="clear" w:pos="562"/>
        </w:tabs>
        <w:suppressAutoHyphens w:val="0"/>
        <w:rPr>
          <w:del w:id="6795" w:author="AbbVie19" w:date="2025-04-16T10:42:00Z"/>
          <w:rFonts w:eastAsia="MS Mincho"/>
          <w:szCs w:val="22"/>
          <w:lang w:eastAsia="ja-JP"/>
        </w:rPr>
      </w:pPr>
    </w:p>
    <w:p w14:paraId="636CB7D1" w14:textId="77777777" w:rsidR="00BC0E7E" w:rsidRPr="00BC0E7E" w:rsidRDefault="00944B8F" w:rsidP="00762FA7">
      <w:pPr>
        <w:keepNext/>
        <w:keepLines/>
        <w:tabs>
          <w:tab w:val="clear" w:pos="562"/>
        </w:tabs>
        <w:suppressAutoHyphens w:val="0"/>
        <w:rPr>
          <w:del w:id="6796" w:author="AbbVie19" w:date="2025-04-16T10:42:00Z"/>
          <w:rFonts w:eastAsia="MS Mincho"/>
          <w:bCs/>
          <w:i/>
          <w:szCs w:val="22"/>
          <w:u w:val="single"/>
          <w:lang w:eastAsia="ja-JP"/>
        </w:rPr>
      </w:pPr>
      <w:del w:id="6797" w:author="AbbVie19" w:date="2025-04-16T10:42:00Z">
        <w:r w:rsidRPr="00BC0E7E">
          <w:rPr>
            <w:rFonts w:eastAsia="MS Mincho"/>
            <w:bCs/>
            <w:i/>
            <w:szCs w:val="22"/>
            <w:u w:val="single"/>
            <w:lang w:eastAsia="ja-JP"/>
          </w:rPr>
          <w:delText>Clinical Response</w:delText>
        </w:r>
      </w:del>
    </w:p>
    <w:p w14:paraId="5CD4BC91" w14:textId="77777777" w:rsidR="00BC0E7E" w:rsidRPr="00BC0E7E" w:rsidRDefault="00BC0E7E" w:rsidP="00762FA7">
      <w:pPr>
        <w:tabs>
          <w:tab w:val="clear" w:pos="562"/>
        </w:tabs>
        <w:suppressAutoHyphens w:val="0"/>
        <w:rPr>
          <w:del w:id="6798" w:author="AbbVie19" w:date="2025-04-16T10:42:00Z"/>
          <w:rFonts w:eastAsia="MS Mincho"/>
          <w:szCs w:val="22"/>
          <w:lang w:eastAsia="ja-JP"/>
        </w:rPr>
      </w:pPr>
    </w:p>
    <w:p w14:paraId="6852F93D" w14:textId="77777777" w:rsidR="00BC0E7E" w:rsidRPr="00BC0E7E" w:rsidRDefault="00944B8F" w:rsidP="00762FA7">
      <w:pPr>
        <w:tabs>
          <w:tab w:val="clear" w:pos="562"/>
        </w:tabs>
        <w:suppressAutoHyphens w:val="0"/>
        <w:rPr>
          <w:del w:id="6799" w:author="AbbVie19" w:date="2025-04-16T10:42:00Z"/>
          <w:rFonts w:eastAsia="MS Mincho"/>
          <w:szCs w:val="22"/>
          <w:lang w:eastAsia="ja-JP"/>
        </w:rPr>
      </w:pPr>
      <w:del w:id="6800" w:author="AbbVie19" w:date="2025-04-16T10:42:00Z">
        <w:r w:rsidRPr="00BC0E7E">
          <w:rPr>
            <w:rFonts w:eastAsia="MS Mincho"/>
            <w:szCs w:val="22"/>
            <w:lang w:eastAsia="ja-JP"/>
          </w:rPr>
          <w:delText xml:space="preserve">Reduction of inflammatory lesions and prevention of worsening of abscesses and draining fistulas was assessed using Hidradenitis Suppurativa Clinical Response (HiSCR; at least a 50% reduction in total abscess and inflammatory nodule count with no increase in abscess count and no increase in draining fistula count relative to Baseline). Reduction in HS-related skin pain was assessed using a Numeric Rating Scale in patients who entered the study with an initial baseline score of 3 or greater on a 11 point scale. </w:delText>
        </w:r>
      </w:del>
    </w:p>
    <w:p w14:paraId="52308EF2" w14:textId="77777777" w:rsidR="00BC0E7E" w:rsidRPr="00BC0E7E" w:rsidRDefault="00BC0E7E" w:rsidP="00762FA7">
      <w:pPr>
        <w:tabs>
          <w:tab w:val="clear" w:pos="562"/>
        </w:tabs>
        <w:suppressAutoHyphens w:val="0"/>
        <w:rPr>
          <w:del w:id="6801" w:author="AbbVie19" w:date="2025-04-16T10:42:00Z"/>
          <w:rFonts w:eastAsia="MS Mincho"/>
          <w:szCs w:val="22"/>
          <w:lang w:eastAsia="ja-JP"/>
        </w:rPr>
      </w:pPr>
    </w:p>
    <w:p w14:paraId="2BE8C86F" w14:textId="77777777" w:rsidR="00BC0E7E" w:rsidRPr="00BC0E7E" w:rsidRDefault="00944B8F" w:rsidP="00762FA7">
      <w:pPr>
        <w:rPr>
          <w:del w:id="6802" w:author="AbbVie19" w:date="2025-04-16T10:42:00Z"/>
          <w:szCs w:val="22"/>
        </w:rPr>
      </w:pPr>
      <w:del w:id="6803" w:author="AbbVie19" w:date="2025-04-16T10:42:00Z">
        <w:r w:rsidRPr="00BC0E7E">
          <w:rPr>
            <w:szCs w:val="22"/>
          </w:rPr>
          <w:delText>At Week</w:delText>
        </w:r>
        <w:r w:rsidRPr="00BC0E7E">
          <w:delText> </w:delText>
        </w:r>
        <w:r w:rsidRPr="00BC0E7E">
          <w:rPr>
            <w:szCs w:val="22"/>
          </w:rPr>
          <w:delText>12, a significantly higher proportion of patients treated with Humira versus placebo achieved HiSCR.   At Week</w:delText>
        </w:r>
        <w:r w:rsidRPr="00BC0E7E">
          <w:delText> </w:delText>
        </w:r>
        <w:r w:rsidRPr="00BC0E7E">
          <w:rPr>
            <w:szCs w:val="22"/>
          </w:rPr>
          <w:delText xml:space="preserve">12, a significantly higher proportion of patients in Study HS-II experienced a clinically relevant decrease in HS-related skin pain (see Table </w:delText>
        </w:r>
        <w:r w:rsidR="005F03EC">
          <w:rPr>
            <w:szCs w:val="22"/>
          </w:rPr>
          <w:delText>19</w:delText>
        </w:r>
        <w:r w:rsidRPr="00BC0E7E">
          <w:rPr>
            <w:szCs w:val="22"/>
          </w:rPr>
          <w:delText>). Patients treated with Humira had significantly reduced risk of disease flare during the initial 12</w:delText>
        </w:r>
        <w:r w:rsidRPr="00BC0E7E">
          <w:delText> </w:delText>
        </w:r>
        <w:r w:rsidRPr="00BC0E7E">
          <w:rPr>
            <w:szCs w:val="22"/>
          </w:rPr>
          <w:delText>weeks of treatment.</w:delText>
        </w:r>
      </w:del>
    </w:p>
    <w:p w14:paraId="1C5E2118" w14:textId="77777777" w:rsidR="00BC0E7E" w:rsidRPr="00BC0E7E" w:rsidRDefault="00BC0E7E" w:rsidP="00762FA7">
      <w:pPr>
        <w:rPr>
          <w:del w:id="6804" w:author="AbbVie19" w:date="2025-04-16T10:42:00Z"/>
          <w:szCs w:val="22"/>
        </w:rPr>
      </w:pPr>
    </w:p>
    <w:p w14:paraId="6228563B" w14:textId="77777777" w:rsidR="00BC0E7E" w:rsidRPr="003F7AAE" w:rsidRDefault="00944B8F" w:rsidP="00762FA7">
      <w:pPr>
        <w:keepNext/>
        <w:keepLines/>
        <w:widowControl w:val="0"/>
        <w:tabs>
          <w:tab w:val="clear" w:pos="562"/>
        </w:tabs>
        <w:suppressAutoHyphens w:val="0"/>
        <w:spacing w:line="320" w:lineRule="exact"/>
        <w:ind w:left="360"/>
        <w:jc w:val="center"/>
        <w:rPr>
          <w:del w:id="6805" w:author="AbbVie19" w:date="2025-04-16T10:42:00Z"/>
          <w:rFonts w:eastAsia="MS Mincho"/>
          <w:szCs w:val="22"/>
          <w:lang w:eastAsia="ja-JP"/>
        </w:rPr>
      </w:pPr>
      <w:del w:id="6806" w:author="AbbVie19" w:date="2025-04-16T10:42:00Z">
        <w:r w:rsidRPr="00BC0E7E">
          <w:rPr>
            <w:rFonts w:eastAsia="MS Mincho"/>
            <w:b/>
            <w:szCs w:val="22"/>
            <w:lang w:eastAsia="ja-JP"/>
          </w:rPr>
          <w:delText xml:space="preserve">Table </w:delText>
        </w:r>
        <w:r w:rsidR="005F03EC">
          <w:rPr>
            <w:rFonts w:eastAsia="MS Mincho"/>
            <w:b/>
            <w:szCs w:val="22"/>
            <w:lang w:eastAsia="ja-JP"/>
          </w:rPr>
          <w:delText>19</w:delText>
        </w:r>
        <w:r w:rsidRPr="00BC0E7E">
          <w:rPr>
            <w:rFonts w:eastAsia="MS Mincho"/>
            <w:b/>
            <w:szCs w:val="22"/>
            <w:lang w:eastAsia="ja-JP"/>
          </w:rPr>
          <w:delText xml:space="preserve">:  </w:delText>
        </w:r>
        <w:r w:rsidRPr="00BC0E7E">
          <w:rPr>
            <w:rFonts w:eastAsia="MS Mincho"/>
            <w:b/>
            <w:bCs/>
            <w:iCs/>
            <w:szCs w:val="22"/>
            <w:lang w:eastAsia="ja-JP"/>
          </w:rPr>
          <w:delText>Efficacy Results at 12</w:delText>
        </w:r>
        <w:r w:rsidRPr="00BC0E7E">
          <w:delText> </w:delText>
        </w:r>
        <w:r w:rsidRPr="00BC0E7E">
          <w:rPr>
            <w:rFonts w:eastAsia="MS Mincho"/>
            <w:b/>
            <w:bCs/>
            <w:iCs/>
            <w:szCs w:val="22"/>
            <w:lang w:eastAsia="ja-JP"/>
          </w:rPr>
          <w:delText>Weeks, HS Studies I and II</w:delText>
        </w:r>
      </w:del>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C6578C" w14:paraId="693D90B9" w14:textId="77777777" w:rsidTr="00171601">
        <w:trPr>
          <w:jc w:val="center"/>
          <w:del w:id="6807" w:author="AbbVie19" w:date="2025-04-16T10:42:00Z"/>
        </w:trPr>
        <w:tc>
          <w:tcPr>
            <w:tcW w:w="2847" w:type="dxa"/>
            <w:vMerge w:val="restart"/>
            <w:tcMar>
              <w:top w:w="0" w:type="dxa"/>
              <w:left w:w="115" w:type="dxa"/>
              <w:bottom w:w="0" w:type="dxa"/>
              <w:right w:w="115" w:type="dxa"/>
            </w:tcMar>
            <w:vAlign w:val="bottom"/>
          </w:tcPr>
          <w:p w14:paraId="4080FE55" w14:textId="77777777" w:rsidR="00BC0E7E" w:rsidRPr="00BC0E7E" w:rsidRDefault="00BC0E7E" w:rsidP="00762FA7">
            <w:pPr>
              <w:widowControl w:val="0"/>
              <w:rPr>
                <w:del w:id="6808" w:author="AbbVie19" w:date="2025-04-16T10:42:00Z"/>
                <w:b/>
              </w:rPr>
            </w:pPr>
          </w:p>
        </w:tc>
        <w:tc>
          <w:tcPr>
            <w:tcW w:w="3186" w:type="dxa"/>
            <w:gridSpan w:val="2"/>
            <w:tcMar>
              <w:top w:w="0" w:type="dxa"/>
              <w:left w:w="115" w:type="dxa"/>
              <w:bottom w:w="0" w:type="dxa"/>
              <w:right w:w="115" w:type="dxa"/>
            </w:tcMar>
            <w:vAlign w:val="bottom"/>
          </w:tcPr>
          <w:p w14:paraId="2FA9E81C" w14:textId="77777777" w:rsidR="00BC0E7E" w:rsidRPr="00BC0E7E" w:rsidRDefault="00944B8F" w:rsidP="00762FA7">
            <w:pPr>
              <w:widowControl w:val="0"/>
              <w:jc w:val="center"/>
              <w:rPr>
                <w:del w:id="6809" w:author="AbbVie19" w:date="2025-04-16T10:42:00Z"/>
                <w:b/>
                <w:bCs/>
              </w:rPr>
            </w:pPr>
            <w:del w:id="6810" w:author="AbbVie19" w:date="2025-04-16T10:42:00Z">
              <w:r w:rsidRPr="00BC0E7E">
                <w:rPr>
                  <w:b/>
                  <w:bCs/>
                </w:rPr>
                <w:delText>HS Study I</w:delText>
              </w:r>
            </w:del>
          </w:p>
        </w:tc>
        <w:tc>
          <w:tcPr>
            <w:tcW w:w="3260" w:type="dxa"/>
            <w:gridSpan w:val="2"/>
            <w:tcMar>
              <w:top w:w="0" w:type="dxa"/>
              <w:left w:w="115" w:type="dxa"/>
              <w:bottom w:w="0" w:type="dxa"/>
              <w:right w:w="115" w:type="dxa"/>
            </w:tcMar>
            <w:vAlign w:val="bottom"/>
          </w:tcPr>
          <w:p w14:paraId="243A3CDC" w14:textId="77777777" w:rsidR="00BC0E7E" w:rsidRPr="00BC0E7E" w:rsidRDefault="00944B8F" w:rsidP="00762FA7">
            <w:pPr>
              <w:widowControl w:val="0"/>
              <w:jc w:val="center"/>
              <w:rPr>
                <w:del w:id="6811" w:author="AbbVie19" w:date="2025-04-16T10:42:00Z"/>
                <w:b/>
                <w:bCs/>
              </w:rPr>
            </w:pPr>
            <w:del w:id="6812" w:author="AbbVie19" w:date="2025-04-16T10:42:00Z">
              <w:r w:rsidRPr="00BC0E7E">
                <w:rPr>
                  <w:b/>
                  <w:bCs/>
                </w:rPr>
                <w:delText>HS Study II</w:delText>
              </w:r>
            </w:del>
          </w:p>
        </w:tc>
      </w:tr>
      <w:tr w:rsidR="00C6578C" w14:paraId="388C555C" w14:textId="77777777" w:rsidTr="00171601">
        <w:trPr>
          <w:jc w:val="center"/>
          <w:del w:id="6813" w:author="AbbVie19" w:date="2025-04-16T10:42:00Z"/>
        </w:trPr>
        <w:tc>
          <w:tcPr>
            <w:tcW w:w="2847" w:type="dxa"/>
            <w:vMerge/>
            <w:tcMar>
              <w:top w:w="0" w:type="dxa"/>
              <w:left w:w="115" w:type="dxa"/>
              <w:bottom w:w="0" w:type="dxa"/>
              <w:right w:w="115" w:type="dxa"/>
            </w:tcMar>
            <w:vAlign w:val="center"/>
            <w:hideMark/>
          </w:tcPr>
          <w:p w14:paraId="79E5EA03" w14:textId="77777777" w:rsidR="00BC0E7E" w:rsidRPr="00BC0E7E" w:rsidRDefault="00BC0E7E" w:rsidP="00762FA7">
            <w:pPr>
              <w:widowControl w:val="0"/>
              <w:rPr>
                <w:del w:id="6814" w:author="AbbVie19" w:date="2025-04-16T10:42:00Z"/>
              </w:rPr>
            </w:pPr>
          </w:p>
        </w:tc>
        <w:tc>
          <w:tcPr>
            <w:tcW w:w="1440" w:type="dxa"/>
            <w:tcMar>
              <w:top w:w="0" w:type="dxa"/>
              <w:left w:w="115" w:type="dxa"/>
              <w:bottom w:w="0" w:type="dxa"/>
              <w:right w:w="115" w:type="dxa"/>
            </w:tcMar>
            <w:vAlign w:val="bottom"/>
            <w:hideMark/>
          </w:tcPr>
          <w:p w14:paraId="044F6902" w14:textId="77777777" w:rsidR="00BC0E7E" w:rsidRPr="00BC0E7E" w:rsidRDefault="00944B8F" w:rsidP="00762FA7">
            <w:pPr>
              <w:widowControl w:val="0"/>
              <w:jc w:val="center"/>
              <w:rPr>
                <w:del w:id="6815" w:author="AbbVie19" w:date="2025-04-16T10:42:00Z"/>
              </w:rPr>
            </w:pPr>
            <w:del w:id="6816" w:author="AbbVie19" w:date="2025-04-16T10:42:00Z">
              <w:r w:rsidRPr="00BC0E7E">
                <w:rPr>
                  <w:b/>
                  <w:bCs/>
                </w:rPr>
                <w:delText>Placebo</w:delText>
              </w:r>
            </w:del>
          </w:p>
        </w:tc>
        <w:tc>
          <w:tcPr>
            <w:tcW w:w="1746" w:type="dxa"/>
            <w:tcMar>
              <w:top w:w="0" w:type="dxa"/>
              <w:left w:w="115" w:type="dxa"/>
              <w:bottom w:w="0" w:type="dxa"/>
              <w:right w:w="115" w:type="dxa"/>
            </w:tcMar>
            <w:vAlign w:val="bottom"/>
            <w:hideMark/>
          </w:tcPr>
          <w:p w14:paraId="757C2533" w14:textId="77777777" w:rsidR="00BC0E7E" w:rsidRPr="00BC0E7E" w:rsidRDefault="00944B8F" w:rsidP="00762FA7">
            <w:pPr>
              <w:widowControl w:val="0"/>
              <w:jc w:val="center"/>
              <w:rPr>
                <w:del w:id="6817" w:author="AbbVie19" w:date="2025-04-16T10:42:00Z"/>
                <w:b/>
                <w:bCs/>
              </w:rPr>
            </w:pPr>
            <w:del w:id="6818" w:author="AbbVie19" w:date="2025-04-16T10:42:00Z">
              <w:r w:rsidRPr="00BC0E7E">
                <w:rPr>
                  <w:b/>
                  <w:bCs/>
                </w:rPr>
                <w:delText>Humira 40 mg Weekly</w:delText>
              </w:r>
            </w:del>
          </w:p>
        </w:tc>
        <w:tc>
          <w:tcPr>
            <w:tcW w:w="1404" w:type="dxa"/>
            <w:tcMar>
              <w:top w:w="0" w:type="dxa"/>
              <w:left w:w="115" w:type="dxa"/>
              <w:bottom w:w="0" w:type="dxa"/>
              <w:right w:w="115" w:type="dxa"/>
            </w:tcMar>
            <w:vAlign w:val="bottom"/>
            <w:hideMark/>
          </w:tcPr>
          <w:p w14:paraId="36AC0D90" w14:textId="77777777" w:rsidR="00BC0E7E" w:rsidRPr="00BC0E7E" w:rsidRDefault="00944B8F" w:rsidP="00762FA7">
            <w:pPr>
              <w:widowControl w:val="0"/>
              <w:jc w:val="center"/>
              <w:rPr>
                <w:del w:id="6819" w:author="AbbVie19" w:date="2025-04-16T10:42:00Z"/>
                <w:b/>
                <w:bCs/>
              </w:rPr>
            </w:pPr>
            <w:del w:id="6820" w:author="AbbVie19" w:date="2025-04-16T10:42:00Z">
              <w:r w:rsidRPr="00BC0E7E">
                <w:rPr>
                  <w:b/>
                  <w:bCs/>
                </w:rPr>
                <w:delText xml:space="preserve">Placebo </w:delText>
              </w:r>
            </w:del>
          </w:p>
        </w:tc>
        <w:tc>
          <w:tcPr>
            <w:tcW w:w="1856" w:type="dxa"/>
            <w:tcMar>
              <w:top w:w="0" w:type="dxa"/>
              <w:left w:w="115" w:type="dxa"/>
              <w:bottom w:w="0" w:type="dxa"/>
              <w:right w:w="115" w:type="dxa"/>
            </w:tcMar>
            <w:vAlign w:val="bottom"/>
            <w:hideMark/>
          </w:tcPr>
          <w:p w14:paraId="019126DB" w14:textId="77777777" w:rsidR="00BC0E7E" w:rsidRPr="00BC0E7E" w:rsidRDefault="00944B8F" w:rsidP="00762FA7">
            <w:pPr>
              <w:widowControl w:val="0"/>
              <w:jc w:val="center"/>
              <w:rPr>
                <w:del w:id="6821" w:author="AbbVie19" w:date="2025-04-16T10:42:00Z"/>
                <w:b/>
                <w:bCs/>
              </w:rPr>
            </w:pPr>
            <w:del w:id="6822" w:author="AbbVie19" w:date="2025-04-16T10:42:00Z">
              <w:r w:rsidRPr="00BC0E7E">
                <w:rPr>
                  <w:b/>
                  <w:bCs/>
                </w:rPr>
                <w:delText>Humira 40 mg Weekly</w:delText>
              </w:r>
            </w:del>
          </w:p>
        </w:tc>
      </w:tr>
      <w:tr w:rsidR="00C6578C" w14:paraId="24241433" w14:textId="77777777" w:rsidTr="00171601">
        <w:trPr>
          <w:trHeight w:val="755"/>
          <w:jc w:val="center"/>
          <w:del w:id="6823" w:author="AbbVie19" w:date="2025-04-16T10:42:00Z"/>
        </w:trPr>
        <w:tc>
          <w:tcPr>
            <w:tcW w:w="2847" w:type="dxa"/>
            <w:tcMar>
              <w:top w:w="0" w:type="dxa"/>
              <w:left w:w="115" w:type="dxa"/>
              <w:bottom w:w="0" w:type="dxa"/>
              <w:right w:w="115" w:type="dxa"/>
            </w:tcMar>
            <w:vAlign w:val="center"/>
            <w:hideMark/>
          </w:tcPr>
          <w:p w14:paraId="7AB36DEE" w14:textId="77777777" w:rsidR="00BC0E7E" w:rsidRPr="00BC0E7E" w:rsidRDefault="00944B8F" w:rsidP="00762FA7">
            <w:pPr>
              <w:widowControl w:val="0"/>
              <w:rPr>
                <w:del w:id="6824" w:author="AbbVie19" w:date="2025-04-16T10:42:00Z"/>
              </w:rPr>
            </w:pPr>
            <w:del w:id="6825" w:author="AbbVie19" w:date="2025-04-16T10:42:00Z">
              <w:r w:rsidRPr="00BC0E7E">
                <w:delText>Hidradenitis Suppurativa Clinical Response (HiSCR)</w:delText>
              </w:r>
              <w:r w:rsidRPr="00BC0E7E">
                <w:rPr>
                  <w:vertAlign w:val="superscript"/>
                </w:rPr>
                <w:delText>a</w:delText>
              </w:r>
              <w:r w:rsidRPr="00BC0E7E">
                <w:delText xml:space="preserve"> </w:delText>
              </w:r>
            </w:del>
          </w:p>
          <w:p w14:paraId="508D4204" w14:textId="77777777" w:rsidR="00BC0E7E" w:rsidRPr="00BC0E7E" w:rsidRDefault="00BC0E7E" w:rsidP="00762FA7">
            <w:pPr>
              <w:widowControl w:val="0"/>
              <w:rPr>
                <w:del w:id="6826" w:author="AbbVie19" w:date="2025-04-16T10:42:00Z"/>
              </w:rPr>
            </w:pPr>
          </w:p>
        </w:tc>
        <w:tc>
          <w:tcPr>
            <w:tcW w:w="1440" w:type="dxa"/>
            <w:tcMar>
              <w:top w:w="0" w:type="dxa"/>
              <w:left w:w="115" w:type="dxa"/>
              <w:bottom w:w="0" w:type="dxa"/>
              <w:right w:w="115" w:type="dxa"/>
            </w:tcMar>
            <w:hideMark/>
          </w:tcPr>
          <w:p w14:paraId="562A6559" w14:textId="77777777" w:rsidR="00BC0E7E" w:rsidRPr="00BC0E7E" w:rsidRDefault="00944B8F" w:rsidP="00762FA7">
            <w:pPr>
              <w:widowControl w:val="0"/>
              <w:jc w:val="center"/>
              <w:rPr>
                <w:del w:id="6827" w:author="AbbVie19" w:date="2025-04-16T10:42:00Z"/>
              </w:rPr>
            </w:pPr>
            <w:del w:id="6828" w:author="AbbVie19" w:date="2025-04-16T10:42:00Z">
              <w:r w:rsidRPr="00BC0E7E">
                <w:delText>N = 154</w:delText>
              </w:r>
              <w:r w:rsidRPr="00BC0E7E">
                <w:br/>
                <w:delText>40 (26.0%)</w:delText>
              </w:r>
            </w:del>
          </w:p>
        </w:tc>
        <w:tc>
          <w:tcPr>
            <w:tcW w:w="1746" w:type="dxa"/>
            <w:tcMar>
              <w:top w:w="0" w:type="dxa"/>
              <w:left w:w="115" w:type="dxa"/>
              <w:bottom w:w="0" w:type="dxa"/>
              <w:right w:w="115" w:type="dxa"/>
            </w:tcMar>
            <w:hideMark/>
          </w:tcPr>
          <w:p w14:paraId="337EF5A1" w14:textId="77777777" w:rsidR="00BC0E7E" w:rsidRPr="00BC0E7E" w:rsidRDefault="00944B8F" w:rsidP="00762FA7">
            <w:pPr>
              <w:widowControl w:val="0"/>
              <w:jc w:val="center"/>
              <w:rPr>
                <w:del w:id="6829" w:author="AbbVie19" w:date="2025-04-16T10:42:00Z"/>
              </w:rPr>
            </w:pPr>
            <w:del w:id="6830" w:author="AbbVie19" w:date="2025-04-16T10:42:00Z">
              <w:r w:rsidRPr="00BC0E7E">
                <w:delText>N = 153</w:delText>
              </w:r>
              <w:r w:rsidRPr="00BC0E7E">
                <w:br/>
                <w:delText xml:space="preserve">64 (41.8%) </w:delText>
              </w:r>
              <w:r w:rsidRPr="00BC0E7E">
                <w:rPr>
                  <w:vertAlign w:val="superscript"/>
                </w:rPr>
                <w:delText>*</w:delText>
              </w:r>
            </w:del>
          </w:p>
        </w:tc>
        <w:tc>
          <w:tcPr>
            <w:tcW w:w="1404" w:type="dxa"/>
            <w:tcMar>
              <w:top w:w="0" w:type="dxa"/>
              <w:left w:w="115" w:type="dxa"/>
              <w:bottom w:w="0" w:type="dxa"/>
              <w:right w:w="115" w:type="dxa"/>
            </w:tcMar>
          </w:tcPr>
          <w:p w14:paraId="28A1E35A" w14:textId="77777777" w:rsidR="00BC0E7E" w:rsidRPr="00BC0E7E" w:rsidRDefault="00944B8F" w:rsidP="00762FA7">
            <w:pPr>
              <w:widowControl w:val="0"/>
              <w:jc w:val="center"/>
              <w:rPr>
                <w:del w:id="6831" w:author="AbbVie19" w:date="2025-04-16T10:42:00Z"/>
              </w:rPr>
            </w:pPr>
            <w:del w:id="6832" w:author="AbbVie19" w:date="2025-04-16T10:42:00Z">
              <w:r w:rsidRPr="00BC0E7E">
                <w:delText>N=163</w:delText>
              </w:r>
            </w:del>
          </w:p>
          <w:p w14:paraId="659BC092" w14:textId="77777777" w:rsidR="00BC0E7E" w:rsidRPr="00BC0E7E" w:rsidRDefault="00944B8F" w:rsidP="00762FA7">
            <w:pPr>
              <w:widowControl w:val="0"/>
              <w:jc w:val="center"/>
              <w:rPr>
                <w:del w:id="6833" w:author="AbbVie19" w:date="2025-04-16T10:42:00Z"/>
              </w:rPr>
            </w:pPr>
            <w:del w:id="6834" w:author="AbbVie19" w:date="2025-04-16T10:42:00Z">
              <w:r w:rsidRPr="00BC0E7E">
                <w:delText>45 (27.6%)</w:delText>
              </w:r>
            </w:del>
          </w:p>
        </w:tc>
        <w:tc>
          <w:tcPr>
            <w:tcW w:w="1856" w:type="dxa"/>
            <w:tcMar>
              <w:top w:w="0" w:type="dxa"/>
              <w:left w:w="115" w:type="dxa"/>
              <w:bottom w:w="0" w:type="dxa"/>
              <w:right w:w="115" w:type="dxa"/>
            </w:tcMar>
          </w:tcPr>
          <w:p w14:paraId="233788D1" w14:textId="77777777" w:rsidR="00BC0E7E" w:rsidRPr="00BC0E7E" w:rsidRDefault="00944B8F" w:rsidP="00762FA7">
            <w:pPr>
              <w:widowControl w:val="0"/>
              <w:jc w:val="center"/>
              <w:rPr>
                <w:del w:id="6835" w:author="AbbVie19" w:date="2025-04-16T10:42:00Z"/>
              </w:rPr>
            </w:pPr>
            <w:del w:id="6836" w:author="AbbVie19" w:date="2025-04-16T10:42:00Z">
              <w:r w:rsidRPr="00BC0E7E">
                <w:delText>N=163</w:delText>
              </w:r>
            </w:del>
          </w:p>
          <w:p w14:paraId="2488835C" w14:textId="77777777" w:rsidR="00BC0E7E" w:rsidRPr="00BC0E7E" w:rsidRDefault="00944B8F" w:rsidP="00762FA7">
            <w:pPr>
              <w:widowControl w:val="0"/>
              <w:jc w:val="center"/>
              <w:rPr>
                <w:del w:id="6837" w:author="AbbVie19" w:date="2025-04-16T10:42:00Z"/>
              </w:rPr>
            </w:pPr>
            <w:del w:id="6838" w:author="AbbVie19" w:date="2025-04-16T10:42:00Z">
              <w:r w:rsidRPr="00BC0E7E">
                <w:delText xml:space="preserve">96 (58.9%) </w:delText>
              </w:r>
              <w:r w:rsidRPr="00BC0E7E">
                <w:rPr>
                  <w:vertAlign w:val="superscript"/>
                </w:rPr>
                <w:delText>***</w:delText>
              </w:r>
            </w:del>
          </w:p>
        </w:tc>
      </w:tr>
      <w:tr w:rsidR="00C6578C" w14:paraId="433B3F78" w14:textId="77777777" w:rsidTr="00171601">
        <w:trPr>
          <w:jc w:val="center"/>
          <w:del w:id="6839" w:author="AbbVie19" w:date="2025-04-16T10:42:00Z"/>
        </w:trPr>
        <w:tc>
          <w:tcPr>
            <w:tcW w:w="2847" w:type="dxa"/>
            <w:tcMar>
              <w:top w:w="0" w:type="dxa"/>
              <w:left w:w="115" w:type="dxa"/>
              <w:bottom w:w="0" w:type="dxa"/>
              <w:right w:w="115" w:type="dxa"/>
            </w:tcMar>
            <w:vAlign w:val="center"/>
            <w:hideMark/>
          </w:tcPr>
          <w:p w14:paraId="1727AFB6" w14:textId="77777777" w:rsidR="00BC0E7E" w:rsidRPr="00BC0E7E" w:rsidRDefault="00944B8F" w:rsidP="00762FA7">
            <w:pPr>
              <w:widowControl w:val="0"/>
              <w:rPr>
                <w:del w:id="6840" w:author="AbbVie19" w:date="2025-04-16T10:42:00Z"/>
              </w:rPr>
            </w:pPr>
            <w:del w:id="6841" w:author="AbbVie19" w:date="2025-04-16T10:42:00Z">
              <w:r w:rsidRPr="00BC0E7E">
                <w:delText>≥30% Reduction in Skin Pain</w:delText>
              </w:r>
              <w:r w:rsidRPr="00BC0E7E">
                <w:rPr>
                  <w:vertAlign w:val="superscript"/>
                </w:rPr>
                <w:delText>b</w:delText>
              </w:r>
            </w:del>
          </w:p>
        </w:tc>
        <w:tc>
          <w:tcPr>
            <w:tcW w:w="1440" w:type="dxa"/>
            <w:tcMar>
              <w:top w:w="0" w:type="dxa"/>
              <w:left w:w="115" w:type="dxa"/>
              <w:bottom w:w="0" w:type="dxa"/>
              <w:right w:w="115" w:type="dxa"/>
            </w:tcMar>
            <w:hideMark/>
          </w:tcPr>
          <w:p w14:paraId="688CA205" w14:textId="77777777" w:rsidR="00BC0E7E" w:rsidRPr="00BC0E7E" w:rsidRDefault="00944B8F" w:rsidP="00762FA7">
            <w:pPr>
              <w:widowControl w:val="0"/>
              <w:jc w:val="center"/>
              <w:rPr>
                <w:del w:id="6842" w:author="AbbVie19" w:date="2025-04-16T10:42:00Z"/>
              </w:rPr>
            </w:pPr>
            <w:del w:id="6843" w:author="AbbVie19" w:date="2025-04-16T10:42:00Z">
              <w:r w:rsidRPr="00BC0E7E">
                <w:delText>N = 109</w:delText>
              </w:r>
              <w:r w:rsidRPr="00BC0E7E">
                <w:br/>
                <w:delText>27 (24.8%)</w:delText>
              </w:r>
            </w:del>
          </w:p>
        </w:tc>
        <w:tc>
          <w:tcPr>
            <w:tcW w:w="1746" w:type="dxa"/>
            <w:tcMar>
              <w:top w:w="0" w:type="dxa"/>
              <w:left w:w="115" w:type="dxa"/>
              <w:bottom w:w="0" w:type="dxa"/>
              <w:right w:w="115" w:type="dxa"/>
            </w:tcMar>
            <w:hideMark/>
          </w:tcPr>
          <w:p w14:paraId="76308FE7" w14:textId="77777777" w:rsidR="00BC0E7E" w:rsidRPr="00BC0E7E" w:rsidRDefault="00944B8F" w:rsidP="00762FA7">
            <w:pPr>
              <w:widowControl w:val="0"/>
              <w:jc w:val="center"/>
              <w:rPr>
                <w:del w:id="6844" w:author="AbbVie19" w:date="2025-04-16T10:42:00Z"/>
              </w:rPr>
            </w:pPr>
            <w:del w:id="6845" w:author="AbbVie19" w:date="2025-04-16T10:42:00Z">
              <w:r w:rsidRPr="00BC0E7E">
                <w:delText>N = 122</w:delText>
              </w:r>
              <w:r w:rsidRPr="00BC0E7E">
                <w:br/>
                <w:delText>34 (27.9%)</w:delText>
              </w:r>
            </w:del>
          </w:p>
        </w:tc>
        <w:tc>
          <w:tcPr>
            <w:tcW w:w="1404" w:type="dxa"/>
            <w:tcMar>
              <w:top w:w="0" w:type="dxa"/>
              <w:left w:w="115" w:type="dxa"/>
              <w:bottom w:w="0" w:type="dxa"/>
              <w:right w:w="115" w:type="dxa"/>
            </w:tcMar>
          </w:tcPr>
          <w:p w14:paraId="400D74F3" w14:textId="77777777" w:rsidR="00BC0E7E" w:rsidRPr="00BC0E7E" w:rsidRDefault="00944B8F" w:rsidP="00762FA7">
            <w:pPr>
              <w:widowControl w:val="0"/>
              <w:jc w:val="center"/>
              <w:rPr>
                <w:del w:id="6846" w:author="AbbVie19" w:date="2025-04-16T10:42:00Z"/>
              </w:rPr>
            </w:pPr>
            <w:del w:id="6847" w:author="AbbVie19" w:date="2025-04-16T10:42:00Z">
              <w:r w:rsidRPr="00BC0E7E">
                <w:delText>N=111</w:delText>
              </w:r>
            </w:del>
          </w:p>
          <w:p w14:paraId="5F4C54A2" w14:textId="77777777" w:rsidR="00BC0E7E" w:rsidRPr="00BC0E7E" w:rsidRDefault="00944B8F" w:rsidP="00762FA7">
            <w:pPr>
              <w:widowControl w:val="0"/>
              <w:jc w:val="center"/>
              <w:rPr>
                <w:del w:id="6848" w:author="AbbVie19" w:date="2025-04-16T10:42:00Z"/>
              </w:rPr>
            </w:pPr>
            <w:del w:id="6849" w:author="AbbVie19" w:date="2025-04-16T10:42:00Z">
              <w:r w:rsidRPr="00BC0E7E">
                <w:delText>23 (20.7%)</w:delText>
              </w:r>
            </w:del>
          </w:p>
        </w:tc>
        <w:tc>
          <w:tcPr>
            <w:tcW w:w="1856" w:type="dxa"/>
            <w:tcMar>
              <w:top w:w="0" w:type="dxa"/>
              <w:left w:w="115" w:type="dxa"/>
              <w:bottom w:w="0" w:type="dxa"/>
              <w:right w:w="115" w:type="dxa"/>
            </w:tcMar>
          </w:tcPr>
          <w:p w14:paraId="0E57BA33" w14:textId="77777777" w:rsidR="00BC0E7E" w:rsidRPr="00BC0E7E" w:rsidRDefault="00944B8F" w:rsidP="00762FA7">
            <w:pPr>
              <w:widowControl w:val="0"/>
              <w:jc w:val="center"/>
              <w:rPr>
                <w:del w:id="6850" w:author="AbbVie19" w:date="2025-04-16T10:42:00Z"/>
              </w:rPr>
            </w:pPr>
            <w:del w:id="6851" w:author="AbbVie19" w:date="2025-04-16T10:42:00Z">
              <w:r w:rsidRPr="00BC0E7E">
                <w:delText>N=105</w:delText>
              </w:r>
            </w:del>
          </w:p>
          <w:p w14:paraId="568EE6DB" w14:textId="77777777" w:rsidR="00BC0E7E" w:rsidRPr="00BC0E7E" w:rsidRDefault="00944B8F" w:rsidP="00762FA7">
            <w:pPr>
              <w:widowControl w:val="0"/>
              <w:jc w:val="center"/>
              <w:rPr>
                <w:del w:id="6852" w:author="AbbVie19" w:date="2025-04-16T10:42:00Z"/>
              </w:rPr>
            </w:pPr>
            <w:del w:id="6853" w:author="AbbVie19" w:date="2025-04-16T10:42:00Z">
              <w:r w:rsidRPr="00BC0E7E">
                <w:delText xml:space="preserve">48 (45.7%) </w:delText>
              </w:r>
              <w:r w:rsidRPr="00BC0E7E">
                <w:rPr>
                  <w:vertAlign w:val="superscript"/>
                </w:rPr>
                <w:delText>***</w:delText>
              </w:r>
            </w:del>
          </w:p>
        </w:tc>
      </w:tr>
      <w:tr w:rsidR="00C6578C" w14:paraId="606A59DC" w14:textId="77777777" w:rsidTr="00171601">
        <w:trPr>
          <w:jc w:val="center"/>
          <w:del w:id="6854" w:author="AbbVie19" w:date="2025-04-16T10:42:00Z"/>
        </w:trPr>
        <w:tc>
          <w:tcPr>
            <w:tcW w:w="9293" w:type="dxa"/>
            <w:gridSpan w:val="5"/>
            <w:tcMar>
              <w:top w:w="0" w:type="dxa"/>
              <w:left w:w="115" w:type="dxa"/>
              <w:bottom w:w="0" w:type="dxa"/>
              <w:right w:w="115" w:type="dxa"/>
            </w:tcMar>
            <w:vAlign w:val="center"/>
          </w:tcPr>
          <w:p w14:paraId="52FEA540" w14:textId="77777777" w:rsidR="00BC0E7E" w:rsidRPr="00BC0E7E" w:rsidRDefault="00944B8F" w:rsidP="00762FA7">
            <w:pPr>
              <w:keepNext/>
              <w:widowControl w:val="0"/>
              <w:ind w:left="360"/>
              <w:rPr>
                <w:del w:id="6855" w:author="AbbVie19" w:date="2025-04-16T10:42:00Z"/>
              </w:rPr>
            </w:pPr>
            <w:del w:id="6856" w:author="AbbVie19" w:date="2025-04-16T10:42:00Z">
              <w:r w:rsidRPr="00BC0E7E">
                <w:delText xml:space="preserve">* </w:delText>
              </w:r>
              <w:r w:rsidRPr="00BC0E7E">
                <w:rPr>
                  <w:i/>
                </w:rPr>
                <w:delText>P</w:delText>
              </w:r>
              <w:r w:rsidRPr="00BC0E7E">
                <w:delText> &lt; 0.05, ***</w:delText>
              </w:r>
              <w:r w:rsidRPr="00BC0E7E">
                <w:rPr>
                  <w:i/>
                </w:rPr>
                <w:delText xml:space="preserve">P </w:delText>
              </w:r>
              <w:r w:rsidRPr="00BC0E7E">
                <w:delText xml:space="preserve">&lt; 0.001, Humira versus placebo </w:delText>
              </w:r>
            </w:del>
          </w:p>
          <w:p w14:paraId="0E166D1B" w14:textId="77777777" w:rsidR="00BC0E7E" w:rsidRPr="00BC0E7E" w:rsidRDefault="00944B8F" w:rsidP="00762FA7">
            <w:pPr>
              <w:keepNext/>
              <w:keepLines/>
              <w:widowControl w:val="0"/>
              <w:numPr>
                <w:ilvl w:val="0"/>
                <w:numId w:val="77"/>
              </w:numPr>
              <w:tabs>
                <w:tab w:val="clear" w:pos="562"/>
              </w:tabs>
              <w:suppressAutoHyphens w:val="0"/>
              <w:spacing w:before="40" w:line="240" w:lineRule="exact"/>
              <w:rPr>
                <w:del w:id="6857" w:author="AbbVie19" w:date="2025-04-16T10:42:00Z"/>
              </w:rPr>
            </w:pPr>
            <w:del w:id="6858" w:author="AbbVie19" w:date="2025-04-16T10:42:00Z">
              <w:r w:rsidRPr="00BC0E7E">
                <w:delText>Among all randomised patients.</w:delText>
              </w:r>
            </w:del>
          </w:p>
          <w:p w14:paraId="0D646B05" w14:textId="77777777" w:rsidR="00BC0E7E" w:rsidRPr="00BC0E7E" w:rsidRDefault="00944B8F" w:rsidP="00762FA7">
            <w:pPr>
              <w:keepNext/>
              <w:keepLines/>
              <w:widowControl w:val="0"/>
              <w:numPr>
                <w:ilvl w:val="0"/>
                <w:numId w:val="77"/>
              </w:numPr>
              <w:tabs>
                <w:tab w:val="clear" w:pos="562"/>
              </w:tabs>
              <w:suppressAutoHyphens w:val="0"/>
              <w:spacing w:before="40" w:line="240" w:lineRule="exact"/>
              <w:rPr>
                <w:del w:id="6859" w:author="AbbVie19" w:date="2025-04-16T10:42:00Z"/>
              </w:rPr>
            </w:pPr>
            <w:del w:id="6860" w:author="AbbVie19" w:date="2025-04-16T10:42:00Z">
              <w:r w:rsidRPr="00BC0E7E">
                <w:delText>Among patients with baseline HS-related skin pain assessment ≥ 3, based on Numeric Rating Scale 0 – 10; 0 = no skin pain, 10 = skin pain as bad as you can imagine.</w:delText>
              </w:r>
            </w:del>
          </w:p>
        </w:tc>
      </w:tr>
    </w:tbl>
    <w:p w14:paraId="6B062BDB" w14:textId="77777777" w:rsidR="00BC0E7E" w:rsidRPr="00BC0E7E" w:rsidRDefault="00BC0E7E" w:rsidP="00762FA7">
      <w:pPr>
        <w:rPr>
          <w:del w:id="6861" w:author="AbbVie19" w:date="2025-04-16T10:42:00Z"/>
          <w:szCs w:val="22"/>
        </w:rPr>
      </w:pPr>
    </w:p>
    <w:p w14:paraId="66CD4FB7" w14:textId="77777777" w:rsidR="00BC0E7E" w:rsidRPr="00BC0E7E" w:rsidRDefault="00944B8F" w:rsidP="00762FA7">
      <w:pPr>
        <w:rPr>
          <w:del w:id="6862" w:author="AbbVie19" w:date="2025-04-16T10:42:00Z"/>
          <w:szCs w:val="22"/>
        </w:rPr>
      </w:pPr>
      <w:del w:id="6863" w:author="AbbVie19" w:date="2025-04-16T10:42:00Z">
        <w:r w:rsidRPr="00BC0E7E">
          <w:rPr>
            <w:szCs w:val="22"/>
          </w:rPr>
          <w:delText>Treatment with Humira 40</w:delText>
        </w:r>
        <w:r w:rsidRPr="00BC0E7E">
          <w:delText> </w:delText>
        </w:r>
        <w:r w:rsidRPr="00BC0E7E">
          <w:rPr>
            <w:szCs w:val="22"/>
          </w:rPr>
          <w:delText>mg every week significantly reduced the risk of worsening of abscesses and draining fistulas. Approximately twice the proportion of patients in the placebo group in the first 12</w:delText>
        </w:r>
        <w:r w:rsidRPr="00BC0E7E">
          <w:delText> </w:delText>
        </w:r>
        <w:r w:rsidRPr="00BC0E7E">
          <w:rPr>
            <w:szCs w:val="22"/>
          </w:rPr>
          <w:delText>weeks of Studies HS-I and HS-II, compared with those in the Humira group experienced worsening of abscesses (23.0% vs 11.4%, respectively) and draining fistulas (30.0% vs 13.9%, respectively).</w:delText>
        </w:r>
      </w:del>
    </w:p>
    <w:p w14:paraId="6D7813B1" w14:textId="77777777" w:rsidR="00BC0E7E" w:rsidRPr="00BC0E7E" w:rsidRDefault="00BC0E7E" w:rsidP="00762FA7">
      <w:pPr>
        <w:tabs>
          <w:tab w:val="clear" w:pos="562"/>
        </w:tabs>
        <w:suppressAutoHyphens w:val="0"/>
        <w:rPr>
          <w:del w:id="6864" w:author="AbbVie19" w:date="2025-04-16T10:42:00Z"/>
          <w:szCs w:val="22"/>
          <w:lang w:eastAsia="ja-JP"/>
        </w:rPr>
      </w:pPr>
    </w:p>
    <w:p w14:paraId="329862F0" w14:textId="77777777" w:rsidR="00BC0E7E" w:rsidRPr="00BC0E7E" w:rsidRDefault="00944B8F" w:rsidP="00762FA7">
      <w:pPr>
        <w:tabs>
          <w:tab w:val="clear" w:pos="562"/>
        </w:tabs>
        <w:suppressAutoHyphens w:val="0"/>
        <w:rPr>
          <w:del w:id="6865" w:author="AbbVie19" w:date="2025-04-16T10:42:00Z"/>
          <w:szCs w:val="22"/>
          <w:lang w:eastAsia="ja-JP"/>
        </w:rPr>
      </w:pPr>
      <w:del w:id="6866" w:author="AbbVie19" w:date="2025-04-16T10:42:00Z">
        <w:r w:rsidRPr="00BC0E7E">
          <w:rPr>
            <w:szCs w:val="22"/>
            <w:lang w:eastAsia="ja-JP"/>
          </w:rPr>
          <w:delText>Greater improvements at Week</w:delText>
        </w:r>
        <w:r w:rsidRPr="00BC0E7E">
          <w:delText> </w:delText>
        </w:r>
        <w:r w:rsidRPr="00BC0E7E">
          <w:rPr>
            <w:szCs w:val="22"/>
            <w:lang w:eastAsia="ja-JP"/>
          </w:rPr>
          <w:delText xml:space="preserve">12 from baseline compared to placebo were demonstrated in skin-specific health-related quality of life, as measured by the Dermatology Life Quality Index (DLQI; Studies HS-I and HS-II), patient global satisfaction with medication treatment as measured by the Treatment </w:delText>
        </w:r>
        <w:r w:rsidRPr="00BC0E7E">
          <w:rPr>
            <w:szCs w:val="22"/>
            <w:lang w:eastAsia="ja-JP"/>
          </w:rPr>
          <w:lastRenderedPageBreak/>
          <w:delText>Satisfaction Questio</w:delText>
        </w:r>
        <w:r w:rsidRPr="00BC0E7E">
          <w:rPr>
            <w:rFonts w:eastAsia="MS Mincho"/>
            <w:szCs w:val="22"/>
            <w:lang w:eastAsia="ja-JP"/>
          </w:rPr>
          <w:delText>nnaire - medication (TSQM; Studies HS-I and</w:delText>
        </w:r>
        <w:r w:rsidRPr="00BC0E7E">
          <w:rPr>
            <w:szCs w:val="22"/>
            <w:lang w:eastAsia="ja-JP"/>
          </w:rPr>
          <w:delText xml:space="preserve"> HS-II), and physical health as measured by the physical compon</w:delText>
        </w:r>
        <w:r w:rsidRPr="00BC0E7E">
          <w:rPr>
            <w:rFonts w:eastAsia="MS Mincho"/>
            <w:szCs w:val="22"/>
            <w:lang w:eastAsia="ja-JP"/>
          </w:rPr>
          <w:delText>ent summary score of the SF-36</w:delText>
        </w:r>
        <w:r w:rsidRPr="00BC0E7E">
          <w:rPr>
            <w:szCs w:val="22"/>
            <w:lang w:eastAsia="ja-JP"/>
          </w:rPr>
          <w:delText xml:space="preserve"> (Study HS-I).</w:delText>
        </w:r>
      </w:del>
    </w:p>
    <w:p w14:paraId="1B1871EC" w14:textId="77777777" w:rsidR="00BC0E7E" w:rsidRPr="00BC0E7E" w:rsidRDefault="00BC0E7E" w:rsidP="00762FA7">
      <w:pPr>
        <w:tabs>
          <w:tab w:val="clear" w:pos="562"/>
        </w:tabs>
        <w:suppressAutoHyphens w:val="0"/>
        <w:rPr>
          <w:del w:id="6867" w:author="AbbVie19" w:date="2025-04-16T10:42:00Z"/>
          <w:szCs w:val="22"/>
          <w:lang w:eastAsia="ja-JP"/>
        </w:rPr>
      </w:pPr>
    </w:p>
    <w:p w14:paraId="13D73152" w14:textId="77777777" w:rsidR="00BC0E7E" w:rsidRPr="00BC0E7E" w:rsidRDefault="00944B8F" w:rsidP="00762FA7">
      <w:pPr>
        <w:tabs>
          <w:tab w:val="clear" w:pos="562"/>
        </w:tabs>
        <w:suppressAutoHyphens w:val="0"/>
        <w:rPr>
          <w:del w:id="6868" w:author="AbbVie19" w:date="2025-04-16T10:42:00Z"/>
          <w:rFonts w:eastAsia="Calibri"/>
          <w:szCs w:val="22"/>
        </w:rPr>
      </w:pPr>
      <w:del w:id="6869" w:author="AbbVie19" w:date="2025-04-16T10:42:00Z">
        <w:r w:rsidRPr="00BC0E7E">
          <w:rPr>
            <w:rFonts w:eastAsia="Calibri"/>
            <w:szCs w:val="22"/>
          </w:rPr>
          <w:delText>In patients with at least a partial response to Humira 40</w:delText>
        </w:r>
        <w:r w:rsidRPr="00BC0E7E">
          <w:delText> </w:delText>
        </w:r>
        <w:r w:rsidRPr="00BC0E7E">
          <w:rPr>
            <w:rFonts w:eastAsia="Calibri"/>
            <w:szCs w:val="22"/>
          </w:rPr>
          <w:delText>mg weekly at Week</w:delText>
        </w:r>
        <w:r w:rsidRPr="00BC0E7E">
          <w:delText> </w:delText>
        </w:r>
        <w:r w:rsidRPr="00BC0E7E">
          <w:rPr>
            <w:rFonts w:eastAsia="Calibri"/>
            <w:szCs w:val="22"/>
          </w:rPr>
          <w:delText>12, the HiSCR rate at Week</w:delText>
        </w:r>
        <w:r w:rsidRPr="00BC0E7E">
          <w:delText> </w:delText>
        </w:r>
        <w:r w:rsidRPr="00BC0E7E">
          <w:rPr>
            <w:rFonts w:eastAsia="Calibri"/>
            <w:szCs w:val="22"/>
          </w:rPr>
          <w:delText xml:space="preserve">36 was higher in patients who continued weekly Humira than in patients in whom dosing frequency was reduced to every other week, or in whom treatment was withdrawn (see Table </w:delText>
        </w:r>
        <w:r w:rsidR="002D2337">
          <w:rPr>
            <w:rFonts w:eastAsia="Calibri"/>
            <w:szCs w:val="22"/>
          </w:rPr>
          <w:delText>2</w:delText>
        </w:r>
        <w:r w:rsidR="005F03EC">
          <w:rPr>
            <w:rFonts w:eastAsia="Calibri"/>
            <w:szCs w:val="22"/>
          </w:rPr>
          <w:delText>0</w:delText>
        </w:r>
        <w:r w:rsidRPr="00BC0E7E">
          <w:rPr>
            <w:rFonts w:eastAsia="Calibri"/>
            <w:szCs w:val="22"/>
          </w:rPr>
          <w:delText xml:space="preserve">).  </w:delText>
        </w:r>
      </w:del>
    </w:p>
    <w:p w14:paraId="418BCE50" w14:textId="77777777" w:rsidR="00BC0E7E" w:rsidRPr="00BC0E7E" w:rsidRDefault="00BC0E7E" w:rsidP="00762FA7">
      <w:pPr>
        <w:rPr>
          <w:del w:id="6870" w:author="AbbVie19" w:date="2025-04-16T10:42:00Z"/>
          <w:szCs w:val="20"/>
        </w:rPr>
      </w:pPr>
    </w:p>
    <w:p w14:paraId="2B769D65" w14:textId="77777777" w:rsidR="00BC0E7E" w:rsidRPr="00BC0E7E" w:rsidRDefault="00944B8F" w:rsidP="00762FA7">
      <w:pPr>
        <w:tabs>
          <w:tab w:val="clear" w:pos="562"/>
        </w:tabs>
        <w:suppressAutoHyphens w:val="0"/>
        <w:jc w:val="center"/>
        <w:rPr>
          <w:del w:id="6871" w:author="AbbVie19" w:date="2025-04-16T10:42:00Z"/>
          <w:rFonts w:eastAsia="MS Mincho"/>
          <w:b/>
          <w:szCs w:val="22"/>
          <w:lang w:eastAsia="ja-JP"/>
        </w:rPr>
      </w:pPr>
      <w:del w:id="6872" w:author="AbbVie19" w:date="2025-04-16T10:42:00Z">
        <w:r w:rsidRPr="00BC0E7E">
          <w:rPr>
            <w:rFonts w:eastAsia="MS Mincho"/>
            <w:b/>
            <w:szCs w:val="22"/>
            <w:lang w:eastAsia="ja-JP"/>
          </w:rPr>
          <w:delText>Table </w:delText>
        </w:r>
        <w:r w:rsidR="002D2337">
          <w:rPr>
            <w:rFonts w:eastAsia="MS Mincho"/>
            <w:b/>
            <w:szCs w:val="22"/>
            <w:lang w:eastAsia="ja-JP"/>
          </w:rPr>
          <w:delText>2</w:delText>
        </w:r>
        <w:r w:rsidR="005F03EC">
          <w:rPr>
            <w:rFonts w:eastAsia="MS Mincho"/>
            <w:b/>
            <w:szCs w:val="22"/>
            <w:lang w:eastAsia="ja-JP"/>
          </w:rPr>
          <w:delText>0</w:delText>
        </w:r>
        <w:r w:rsidRPr="00BC0E7E">
          <w:rPr>
            <w:rFonts w:eastAsia="MS Mincho"/>
            <w:b/>
            <w:szCs w:val="22"/>
            <w:lang w:eastAsia="ja-JP"/>
          </w:rPr>
          <w:delText>:</w:delText>
        </w:r>
        <w:r w:rsidRPr="00BC0E7E">
          <w:rPr>
            <w:rFonts w:eastAsia="MS Mincho"/>
            <w:b/>
            <w:szCs w:val="22"/>
            <w:lang w:eastAsia="ja-JP"/>
          </w:rPr>
          <w:tab/>
          <w:delText xml:space="preserve"> Proportion of Patients</w:delText>
        </w:r>
        <w:r w:rsidRPr="00BC0E7E">
          <w:rPr>
            <w:rFonts w:eastAsia="MS Mincho"/>
            <w:b/>
            <w:szCs w:val="22"/>
            <w:vertAlign w:val="superscript"/>
            <w:lang w:eastAsia="ja-JP"/>
          </w:rPr>
          <w:delText>a</w:delText>
        </w:r>
        <w:r w:rsidRPr="00BC0E7E">
          <w:rPr>
            <w:rFonts w:eastAsia="MS Mincho"/>
            <w:b/>
            <w:szCs w:val="22"/>
            <w:lang w:eastAsia="ja-JP"/>
          </w:rPr>
          <w:delText xml:space="preserve"> Achieving HiSCR</w:delText>
        </w:r>
        <w:r w:rsidRPr="00BC0E7E">
          <w:rPr>
            <w:rFonts w:eastAsia="MS Mincho"/>
            <w:b/>
            <w:szCs w:val="22"/>
            <w:vertAlign w:val="superscript"/>
            <w:lang w:eastAsia="ja-JP"/>
          </w:rPr>
          <w:delText xml:space="preserve">b </w:delText>
        </w:r>
        <w:r w:rsidRPr="00BC0E7E">
          <w:rPr>
            <w:rFonts w:eastAsia="MS Mincho"/>
            <w:b/>
            <w:szCs w:val="22"/>
            <w:lang w:eastAsia="ja-JP"/>
          </w:rPr>
          <w:delText>at Weeks</w:delText>
        </w:r>
        <w:r w:rsidRPr="00BC0E7E">
          <w:rPr>
            <w:rFonts w:eastAsia="MS Mincho"/>
            <w:sz w:val="24"/>
            <w:lang w:eastAsia="ja-JP"/>
          </w:rPr>
          <w:delText> </w:delText>
        </w:r>
        <w:r w:rsidRPr="00BC0E7E">
          <w:rPr>
            <w:rFonts w:eastAsia="MS Mincho"/>
            <w:b/>
            <w:szCs w:val="22"/>
            <w:lang w:eastAsia="ja-JP"/>
          </w:rPr>
          <w:delText xml:space="preserve">24 and 36 After </w:delText>
        </w:r>
      </w:del>
    </w:p>
    <w:p w14:paraId="0080E65D" w14:textId="77777777" w:rsidR="00BC0E7E" w:rsidRPr="00BC0E7E" w:rsidRDefault="00944B8F" w:rsidP="00762FA7">
      <w:pPr>
        <w:tabs>
          <w:tab w:val="clear" w:pos="562"/>
        </w:tabs>
        <w:suppressAutoHyphens w:val="0"/>
        <w:ind w:left="567"/>
        <w:jc w:val="center"/>
        <w:rPr>
          <w:del w:id="6873" w:author="AbbVie19" w:date="2025-04-16T10:42:00Z"/>
          <w:rFonts w:eastAsia="MS Mincho"/>
          <w:b/>
          <w:szCs w:val="22"/>
          <w:lang w:eastAsia="ja-JP"/>
        </w:rPr>
      </w:pPr>
      <w:del w:id="6874" w:author="AbbVie19" w:date="2025-04-16T10:42:00Z">
        <w:r w:rsidRPr="00BC0E7E">
          <w:rPr>
            <w:rFonts w:eastAsia="MS Mincho"/>
            <w:b/>
            <w:szCs w:val="22"/>
            <w:lang w:eastAsia="ja-JP"/>
          </w:rPr>
          <w:delText>Treatment Reassignment from Weekly Humira at Week 12</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C6578C" w14:paraId="7DC357E2" w14:textId="77777777" w:rsidTr="00171601">
        <w:trPr>
          <w:tblHeader/>
          <w:jc w:val="center"/>
          <w:del w:id="6875" w:author="AbbVie19" w:date="2025-04-16T10:42:00Z"/>
        </w:trPr>
        <w:tc>
          <w:tcPr>
            <w:tcW w:w="1437" w:type="dxa"/>
            <w:vAlign w:val="bottom"/>
          </w:tcPr>
          <w:p w14:paraId="6C1239E0" w14:textId="77777777" w:rsidR="00BC0E7E" w:rsidRPr="00BC0E7E" w:rsidRDefault="00BC0E7E" w:rsidP="00762FA7">
            <w:pPr>
              <w:keepNext/>
              <w:tabs>
                <w:tab w:val="clear" w:pos="562"/>
              </w:tabs>
              <w:suppressAutoHyphens w:val="0"/>
              <w:spacing w:before="40" w:after="40" w:line="240" w:lineRule="exact"/>
              <w:rPr>
                <w:del w:id="6876" w:author="AbbVie19" w:date="2025-04-16T10:42:00Z"/>
                <w:rFonts w:eastAsia="Calibri"/>
                <w:b/>
                <w:szCs w:val="22"/>
                <w:lang w:eastAsia="ja-JP"/>
              </w:rPr>
            </w:pPr>
          </w:p>
        </w:tc>
        <w:tc>
          <w:tcPr>
            <w:tcW w:w="1980" w:type="dxa"/>
            <w:vAlign w:val="bottom"/>
          </w:tcPr>
          <w:p w14:paraId="12433A25" w14:textId="77777777" w:rsidR="00BC0E7E" w:rsidRPr="00BC0E7E" w:rsidRDefault="00944B8F" w:rsidP="00762FA7">
            <w:pPr>
              <w:keepNext/>
              <w:tabs>
                <w:tab w:val="clear" w:pos="562"/>
              </w:tabs>
              <w:suppressAutoHyphens w:val="0"/>
              <w:spacing w:before="40" w:after="40" w:line="240" w:lineRule="exact"/>
              <w:jc w:val="center"/>
              <w:rPr>
                <w:del w:id="6877" w:author="AbbVie19" w:date="2025-04-16T10:42:00Z"/>
                <w:rFonts w:eastAsia="Calibri"/>
                <w:b/>
                <w:szCs w:val="22"/>
                <w:lang w:eastAsia="ja-JP"/>
              </w:rPr>
            </w:pPr>
            <w:del w:id="6878" w:author="AbbVie19" w:date="2025-04-16T10:42:00Z">
              <w:r w:rsidRPr="00BC0E7E">
                <w:rPr>
                  <w:rFonts w:eastAsia="Calibri"/>
                  <w:b/>
                  <w:szCs w:val="22"/>
                  <w:lang w:eastAsia="ja-JP"/>
                </w:rPr>
                <w:delText>Placebo</w:delText>
              </w:r>
              <w:r w:rsidRPr="00BC0E7E">
                <w:rPr>
                  <w:rFonts w:eastAsia="Calibri"/>
                  <w:b/>
                  <w:szCs w:val="22"/>
                  <w:lang w:eastAsia="ja-JP"/>
                </w:rPr>
                <w:br/>
                <w:delText>(treatment withdrawal)</w:delText>
              </w:r>
              <w:r w:rsidRPr="00BC0E7E">
                <w:rPr>
                  <w:rFonts w:eastAsia="Calibri"/>
                  <w:b/>
                  <w:szCs w:val="22"/>
                  <w:lang w:eastAsia="ja-JP"/>
                </w:rPr>
                <w:br/>
                <w:delText>N = 73</w:delText>
              </w:r>
            </w:del>
          </w:p>
        </w:tc>
        <w:tc>
          <w:tcPr>
            <w:tcW w:w="1980" w:type="dxa"/>
            <w:vAlign w:val="bottom"/>
          </w:tcPr>
          <w:p w14:paraId="381A4E85" w14:textId="77777777" w:rsidR="00BC0E7E" w:rsidRPr="00BC0E7E" w:rsidRDefault="00944B8F" w:rsidP="00762FA7">
            <w:pPr>
              <w:keepNext/>
              <w:tabs>
                <w:tab w:val="clear" w:pos="562"/>
              </w:tabs>
              <w:suppressAutoHyphens w:val="0"/>
              <w:spacing w:before="40" w:after="40" w:line="240" w:lineRule="exact"/>
              <w:jc w:val="center"/>
              <w:rPr>
                <w:del w:id="6879" w:author="AbbVie19" w:date="2025-04-16T10:42:00Z"/>
                <w:rFonts w:eastAsia="Calibri"/>
                <w:b/>
                <w:szCs w:val="22"/>
                <w:lang w:eastAsia="ja-JP"/>
              </w:rPr>
            </w:pPr>
            <w:del w:id="6880" w:author="AbbVie19" w:date="2025-04-16T10:42:00Z">
              <w:r w:rsidRPr="00BC0E7E">
                <w:rPr>
                  <w:rFonts w:eastAsia="Calibri"/>
                  <w:b/>
                  <w:szCs w:val="22"/>
                  <w:lang w:eastAsia="ja-JP"/>
                </w:rPr>
                <w:delText>Humira 40 mg</w:delText>
              </w:r>
              <w:r w:rsidRPr="00BC0E7E">
                <w:rPr>
                  <w:rFonts w:eastAsia="Calibri"/>
                  <w:b/>
                  <w:szCs w:val="22"/>
                  <w:lang w:eastAsia="ja-JP"/>
                </w:rPr>
                <w:br/>
                <w:delText>every other week</w:delText>
              </w:r>
              <w:r w:rsidRPr="00BC0E7E">
                <w:rPr>
                  <w:rFonts w:eastAsia="Calibri"/>
                  <w:b/>
                  <w:szCs w:val="22"/>
                  <w:lang w:eastAsia="ja-JP"/>
                </w:rPr>
                <w:br/>
                <w:delText>N = 70</w:delText>
              </w:r>
            </w:del>
          </w:p>
        </w:tc>
        <w:tc>
          <w:tcPr>
            <w:tcW w:w="1855" w:type="dxa"/>
            <w:vAlign w:val="bottom"/>
          </w:tcPr>
          <w:p w14:paraId="64431D2E" w14:textId="77777777" w:rsidR="00BC0E7E" w:rsidRPr="00BC0E7E" w:rsidRDefault="00944B8F" w:rsidP="00762FA7">
            <w:pPr>
              <w:keepNext/>
              <w:tabs>
                <w:tab w:val="clear" w:pos="562"/>
              </w:tabs>
              <w:suppressAutoHyphens w:val="0"/>
              <w:spacing w:before="40" w:after="40" w:line="240" w:lineRule="exact"/>
              <w:jc w:val="center"/>
              <w:rPr>
                <w:del w:id="6881" w:author="AbbVie19" w:date="2025-04-16T10:42:00Z"/>
                <w:rFonts w:eastAsia="Calibri"/>
                <w:b/>
                <w:szCs w:val="22"/>
                <w:lang w:eastAsia="ja-JP"/>
              </w:rPr>
            </w:pPr>
            <w:del w:id="6882" w:author="AbbVie19" w:date="2025-04-16T10:42:00Z">
              <w:r w:rsidRPr="00BC0E7E">
                <w:rPr>
                  <w:rFonts w:eastAsia="Calibri"/>
                  <w:b/>
                  <w:szCs w:val="22"/>
                  <w:lang w:eastAsia="ja-JP"/>
                </w:rPr>
                <w:delText>Humira 40 mg</w:delText>
              </w:r>
              <w:r w:rsidRPr="00BC0E7E">
                <w:rPr>
                  <w:rFonts w:eastAsia="Calibri"/>
                  <w:b/>
                  <w:szCs w:val="22"/>
                  <w:lang w:eastAsia="ja-JP"/>
                </w:rPr>
                <w:br/>
                <w:delText>weekly</w:delText>
              </w:r>
              <w:r w:rsidRPr="00BC0E7E">
                <w:rPr>
                  <w:rFonts w:eastAsia="Calibri"/>
                  <w:b/>
                  <w:szCs w:val="22"/>
                  <w:lang w:eastAsia="ja-JP"/>
                </w:rPr>
                <w:br/>
                <w:delText>N = 70</w:delText>
              </w:r>
            </w:del>
          </w:p>
        </w:tc>
      </w:tr>
      <w:tr w:rsidR="00C6578C" w14:paraId="499BB825" w14:textId="77777777" w:rsidTr="00171601">
        <w:trPr>
          <w:jc w:val="center"/>
          <w:del w:id="6883" w:author="AbbVie19" w:date="2025-04-16T10:42:00Z"/>
        </w:trPr>
        <w:tc>
          <w:tcPr>
            <w:tcW w:w="1437" w:type="dxa"/>
          </w:tcPr>
          <w:p w14:paraId="4A0F61B3" w14:textId="77777777" w:rsidR="00BC0E7E" w:rsidRPr="00BC0E7E" w:rsidRDefault="00944B8F" w:rsidP="00762FA7">
            <w:pPr>
              <w:keepNext/>
              <w:tabs>
                <w:tab w:val="clear" w:pos="562"/>
              </w:tabs>
              <w:suppressAutoHyphens w:val="0"/>
              <w:spacing w:before="40" w:after="40" w:line="240" w:lineRule="exact"/>
              <w:rPr>
                <w:del w:id="6884" w:author="AbbVie19" w:date="2025-04-16T10:42:00Z"/>
                <w:rFonts w:eastAsia="Calibri"/>
                <w:szCs w:val="22"/>
                <w:lang w:eastAsia="ja-JP"/>
              </w:rPr>
            </w:pPr>
            <w:del w:id="6885" w:author="AbbVie19" w:date="2025-04-16T10:42:00Z">
              <w:r w:rsidRPr="00BC0E7E">
                <w:rPr>
                  <w:rFonts w:eastAsia="Calibri"/>
                  <w:szCs w:val="22"/>
                  <w:lang w:eastAsia="ja-JP"/>
                </w:rPr>
                <w:delText>Week</w:delText>
              </w:r>
              <w:r w:rsidRPr="00BC0E7E">
                <w:rPr>
                  <w:rFonts w:eastAsia="Calibri"/>
                  <w:sz w:val="20"/>
                  <w:szCs w:val="20"/>
                  <w:lang w:eastAsia="ja-JP"/>
                </w:rPr>
                <w:delText> </w:delText>
              </w:r>
              <w:r w:rsidRPr="00BC0E7E">
                <w:rPr>
                  <w:rFonts w:eastAsia="Calibri"/>
                  <w:szCs w:val="22"/>
                  <w:lang w:eastAsia="ja-JP"/>
                </w:rPr>
                <w:delText>24</w:delText>
              </w:r>
            </w:del>
          </w:p>
        </w:tc>
        <w:tc>
          <w:tcPr>
            <w:tcW w:w="1980" w:type="dxa"/>
          </w:tcPr>
          <w:p w14:paraId="4B23FFBF" w14:textId="77777777" w:rsidR="00BC0E7E" w:rsidRPr="00BC0E7E" w:rsidRDefault="00944B8F" w:rsidP="00762FA7">
            <w:pPr>
              <w:keepNext/>
              <w:tabs>
                <w:tab w:val="clear" w:pos="562"/>
              </w:tabs>
              <w:suppressAutoHyphens w:val="0"/>
              <w:spacing w:before="40" w:after="40" w:line="240" w:lineRule="exact"/>
              <w:jc w:val="center"/>
              <w:rPr>
                <w:del w:id="6886" w:author="AbbVie19" w:date="2025-04-16T10:42:00Z"/>
                <w:rFonts w:eastAsia="Calibri"/>
                <w:szCs w:val="22"/>
                <w:lang w:eastAsia="ja-JP"/>
              </w:rPr>
            </w:pPr>
            <w:del w:id="6887" w:author="AbbVie19" w:date="2025-04-16T10:42:00Z">
              <w:r w:rsidRPr="00BC0E7E">
                <w:rPr>
                  <w:rFonts w:eastAsia="Calibri"/>
                  <w:szCs w:val="22"/>
                  <w:lang w:eastAsia="ja-JP"/>
                </w:rPr>
                <w:delText>24 (32.9%)</w:delText>
              </w:r>
            </w:del>
          </w:p>
        </w:tc>
        <w:tc>
          <w:tcPr>
            <w:tcW w:w="1980" w:type="dxa"/>
          </w:tcPr>
          <w:p w14:paraId="3F17158F" w14:textId="77777777" w:rsidR="00BC0E7E" w:rsidRPr="00BC0E7E" w:rsidRDefault="00944B8F" w:rsidP="00762FA7">
            <w:pPr>
              <w:keepNext/>
              <w:tabs>
                <w:tab w:val="clear" w:pos="562"/>
              </w:tabs>
              <w:suppressAutoHyphens w:val="0"/>
              <w:spacing w:before="40" w:after="40" w:line="240" w:lineRule="exact"/>
              <w:jc w:val="center"/>
              <w:rPr>
                <w:del w:id="6888" w:author="AbbVie19" w:date="2025-04-16T10:42:00Z"/>
                <w:rFonts w:eastAsia="Calibri"/>
                <w:szCs w:val="22"/>
                <w:lang w:eastAsia="ja-JP"/>
              </w:rPr>
            </w:pPr>
            <w:del w:id="6889" w:author="AbbVie19" w:date="2025-04-16T10:42:00Z">
              <w:r w:rsidRPr="00BC0E7E">
                <w:rPr>
                  <w:rFonts w:eastAsia="Calibri"/>
                  <w:szCs w:val="22"/>
                  <w:lang w:eastAsia="ja-JP"/>
                </w:rPr>
                <w:delText>36 (51.4%)</w:delText>
              </w:r>
            </w:del>
          </w:p>
        </w:tc>
        <w:tc>
          <w:tcPr>
            <w:tcW w:w="1855" w:type="dxa"/>
          </w:tcPr>
          <w:p w14:paraId="73A2DA40" w14:textId="77777777" w:rsidR="00BC0E7E" w:rsidRPr="00BC0E7E" w:rsidRDefault="00944B8F" w:rsidP="00762FA7">
            <w:pPr>
              <w:keepNext/>
              <w:tabs>
                <w:tab w:val="clear" w:pos="562"/>
              </w:tabs>
              <w:suppressAutoHyphens w:val="0"/>
              <w:spacing w:before="40" w:after="40" w:line="240" w:lineRule="exact"/>
              <w:jc w:val="center"/>
              <w:rPr>
                <w:del w:id="6890" w:author="AbbVie19" w:date="2025-04-16T10:42:00Z"/>
                <w:rFonts w:eastAsia="Calibri"/>
                <w:szCs w:val="22"/>
                <w:lang w:eastAsia="ja-JP"/>
              </w:rPr>
            </w:pPr>
            <w:del w:id="6891" w:author="AbbVie19" w:date="2025-04-16T10:42:00Z">
              <w:r w:rsidRPr="00BC0E7E">
                <w:rPr>
                  <w:rFonts w:eastAsia="Calibri"/>
                  <w:szCs w:val="22"/>
                  <w:lang w:eastAsia="ja-JP"/>
                </w:rPr>
                <w:delText>40 (57.1%)</w:delText>
              </w:r>
            </w:del>
          </w:p>
        </w:tc>
      </w:tr>
      <w:tr w:rsidR="00C6578C" w14:paraId="53A519F0" w14:textId="77777777" w:rsidTr="00171601">
        <w:trPr>
          <w:jc w:val="center"/>
          <w:del w:id="6892" w:author="AbbVie19" w:date="2025-04-16T10:42:00Z"/>
        </w:trPr>
        <w:tc>
          <w:tcPr>
            <w:tcW w:w="1437" w:type="dxa"/>
          </w:tcPr>
          <w:p w14:paraId="75F436AF" w14:textId="77777777" w:rsidR="00BC0E7E" w:rsidRPr="00BC0E7E" w:rsidRDefault="00944B8F" w:rsidP="00762FA7">
            <w:pPr>
              <w:keepNext/>
              <w:tabs>
                <w:tab w:val="clear" w:pos="562"/>
              </w:tabs>
              <w:suppressAutoHyphens w:val="0"/>
              <w:spacing w:before="40" w:after="40" w:line="240" w:lineRule="exact"/>
              <w:rPr>
                <w:del w:id="6893" w:author="AbbVie19" w:date="2025-04-16T10:42:00Z"/>
                <w:rFonts w:eastAsia="Calibri"/>
                <w:szCs w:val="22"/>
                <w:lang w:eastAsia="ja-JP"/>
              </w:rPr>
            </w:pPr>
            <w:del w:id="6894" w:author="AbbVie19" w:date="2025-04-16T10:42:00Z">
              <w:r w:rsidRPr="00BC0E7E">
                <w:rPr>
                  <w:rFonts w:eastAsia="Calibri"/>
                  <w:szCs w:val="22"/>
                  <w:lang w:eastAsia="ja-JP"/>
                </w:rPr>
                <w:delText>Week</w:delText>
              </w:r>
              <w:r w:rsidRPr="00BC0E7E">
                <w:rPr>
                  <w:rFonts w:eastAsia="Calibri"/>
                  <w:sz w:val="20"/>
                  <w:szCs w:val="20"/>
                  <w:lang w:eastAsia="ja-JP"/>
                </w:rPr>
                <w:delText> </w:delText>
              </w:r>
              <w:r w:rsidRPr="00BC0E7E">
                <w:rPr>
                  <w:rFonts w:eastAsia="Calibri"/>
                  <w:szCs w:val="22"/>
                  <w:lang w:eastAsia="ja-JP"/>
                </w:rPr>
                <w:delText>36</w:delText>
              </w:r>
            </w:del>
          </w:p>
        </w:tc>
        <w:tc>
          <w:tcPr>
            <w:tcW w:w="1980" w:type="dxa"/>
          </w:tcPr>
          <w:p w14:paraId="34E2D036" w14:textId="77777777" w:rsidR="00BC0E7E" w:rsidRPr="00BC0E7E" w:rsidRDefault="00944B8F" w:rsidP="00762FA7">
            <w:pPr>
              <w:keepNext/>
              <w:tabs>
                <w:tab w:val="clear" w:pos="562"/>
              </w:tabs>
              <w:suppressAutoHyphens w:val="0"/>
              <w:spacing w:before="40" w:after="40" w:line="240" w:lineRule="exact"/>
              <w:jc w:val="center"/>
              <w:rPr>
                <w:del w:id="6895" w:author="AbbVie19" w:date="2025-04-16T10:42:00Z"/>
                <w:rFonts w:eastAsia="Calibri"/>
                <w:szCs w:val="22"/>
                <w:lang w:eastAsia="ja-JP"/>
              </w:rPr>
            </w:pPr>
            <w:del w:id="6896" w:author="AbbVie19" w:date="2025-04-16T10:42:00Z">
              <w:r w:rsidRPr="00BC0E7E">
                <w:rPr>
                  <w:rFonts w:eastAsia="Calibri"/>
                  <w:szCs w:val="22"/>
                  <w:lang w:eastAsia="ja-JP"/>
                </w:rPr>
                <w:delText>22 (30.1%)</w:delText>
              </w:r>
            </w:del>
          </w:p>
        </w:tc>
        <w:tc>
          <w:tcPr>
            <w:tcW w:w="1980" w:type="dxa"/>
          </w:tcPr>
          <w:p w14:paraId="7C5A6C2C" w14:textId="77777777" w:rsidR="00BC0E7E" w:rsidRPr="00BC0E7E" w:rsidRDefault="00944B8F" w:rsidP="00762FA7">
            <w:pPr>
              <w:keepNext/>
              <w:tabs>
                <w:tab w:val="clear" w:pos="562"/>
              </w:tabs>
              <w:suppressAutoHyphens w:val="0"/>
              <w:spacing w:before="40" w:after="40" w:line="240" w:lineRule="exact"/>
              <w:jc w:val="center"/>
              <w:rPr>
                <w:del w:id="6897" w:author="AbbVie19" w:date="2025-04-16T10:42:00Z"/>
                <w:rFonts w:eastAsia="Calibri"/>
                <w:szCs w:val="22"/>
                <w:lang w:eastAsia="ja-JP"/>
              </w:rPr>
            </w:pPr>
            <w:del w:id="6898" w:author="AbbVie19" w:date="2025-04-16T10:42:00Z">
              <w:r w:rsidRPr="00BC0E7E">
                <w:rPr>
                  <w:rFonts w:eastAsia="Calibri"/>
                  <w:szCs w:val="22"/>
                  <w:lang w:eastAsia="ja-JP"/>
                </w:rPr>
                <w:delText>28 (40.0%)</w:delText>
              </w:r>
            </w:del>
          </w:p>
        </w:tc>
        <w:tc>
          <w:tcPr>
            <w:tcW w:w="1855" w:type="dxa"/>
          </w:tcPr>
          <w:p w14:paraId="33F4DBE8" w14:textId="77777777" w:rsidR="00BC0E7E" w:rsidRPr="00BC0E7E" w:rsidRDefault="00944B8F" w:rsidP="00762FA7">
            <w:pPr>
              <w:keepNext/>
              <w:tabs>
                <w:tab w:val="clear" w:pos="562"/>
              </w:tabs>
              <w:suppressAutoHyphens w:val="0"/>
              <w:spacing w:before="40" w:after="40" w:line="240" w:lineRule="exact"/>
              <w:jc w:val="center"/>
              <w:rPr>
                <w:del w:id="6899" w:author="AbbVie19" w:date="2025-04-16T10:42:00Z"/>
                <w:rFonts w:eastAsia="Calibri"/>
                <w:szCs w:val="22"/>
                <w:lang w:eastAsia="ja-JP"/>
              </w:rPr>
            </w:pPr>
            <w:del w:id="6900" w:author="AbbVie19" w:date="2025-04-16T10:42:00Z">
              <w:r w:rsidRPr="00BC0E7E">
                <w:rPr>
                  <w:rFonts w:eastAsia="Calibri"/>
                  <w:szCs w:val="22"/>
                  <w:lang w:eastAsia="ja-JP"/>
                </w:rPr>
                <w:delText>39 (55.7%)</w:delText>
              </w:r>
            </w:del>
          </w:p>
        </w:tc>
      </w:tr>
      <w:tr w:rsidR="00C6578C" w14:paraId="5BE4215F" w14:textId="77777777" w:rsidTr="00171601">
        <w:trPr>
          <w:jc w:val="center"/>
          <w:del w:id="6901" w:author="AbbVie19" w:date="2025-04-16T10:42:00Z"/>
        </w:trPr>
        <w:tc>
          <w:tcPr>
            <w:tcW w:w="7252" w:type="dxa"/>
            <w:gridSpan w:val="4"/>
          </w:tcPr>
          <w:p w14:paraId="7FE0F10A" w14:textId="77777777" w:rsidR="00BC0E7E" w:rsidRPr="00BC0E7E" w:rsidRDefault="00944B8F" w:rsidP="00762FA7">
            <w:pPr>
              <w:keepLines/>
              <w:numPr>
                <w:ilvl w:val="0"/>
                <w:numId w:val="78"/>
              </w:numPr>
              <w:tabs>
                <w:tab w:val="clear" w:pos="562"/>
              </w:tabs>
              <w:suppressAutoHyphens w:val="0"/>
              <w:spacing w:before="40" w:line="240" w:lineRule="exact"/>
              <w:ind w:left="249" w:hanging="249"/>
              <w:rPr>
                <w:del w:id="6902" w:author="AbbVie19" w:date="2025-04-16T10:42:00Z"/>
                <w:rFonts w:eastAsia="MS Mincho"/>
                <w:szCs w:val="22"/>
                <w:lang w:eastAsia="ja-JP"/>
              </w:rPr>
            </w:pPr>
            <w:del w:id="6903" w:author="AbbVie19" w:date="2025-04-16T10:42:00Z">
              <w:r w:rsidRPr="00BC0E7E">
                <w:rPr>
                  <w:rFonts w:eastAsia="MS Mincho"/>
                  <w:szCs w:val="22"/>
                  <w:lang w:eastAsia="ja-JP"/>
                </w:rPr>
                <w:delText>Patients with at least a partial response to Humira 40</w:delText>
              </w:r>
              <w:r w:rsidRPr="00BC0E7E">
                <w:rPr>
                  <w:rFonts w:ascii="Verdana" w:eastAsia="MS Mincho" w:hAnsi="Verdana"/>
                  <w:sz w:val="16"/>
                  <w:szCs w:val="18"/>
                  <w:lang w:eastAsia="ja-JP"/>
                </w:rPr>
                <w:delText> </w:delText>
              </w:r>
              <w:r w:rsidRPr="00BC0E7E">
                <w:rPr>
                  <w:rFonts w:eastAsia="MS Mincho"/>
                  <w:szCs w:val="22"/>
                  <w:lang w:eastAsia="ja-JP"/>
                </w:rPr>
                <w:delText>mg weekly after 12</w:delText>
              </w:r>
              <w:r w:rsidRPr="00BC0E7E">
                <w:rPr>
                  <w:rFonts w:ascii="Verdana" w:eastAsia="MS Mincho" w:hAnsi="Verdana"/>
                  <w:sz w:val="16"/>
                  <w:szCs w:val="18"/>
                  <w:lang w:eastAsia="ja-JP"/>
                </w:rPr>
                <w:delText> </w:delText>
              </w:r>
              <w:r w:rsidRPr="00BC0E7E">
                <w:rPr>
                  <w:rFonts w:eastAsia="MS Mincho"/>
                  <w:szCs w:val="22"/>
                  <w:lang w:eastAsia="ja-JP"/>
                </w:rPr>
                <w:delText>weeks of treatment.</w:delText>
              </w:r>
            </w:del>
          </w:p>
          <w:p w14:paraId="738BF933" w14:textId="77777777" w:rsidR="00BC0E7E" w:rsidRPr="00BC0E7E" w:rsidRDefault="00944B8F" w:rsidP="00762FA7">
            <w:pPr>
              <w:keepLines/>
              <w:numPr>
                <w:ilvl w:val="0"/>
                <w:numId w:val="78"/>
              </w:numPr>
              <w:tabs>
                <w:tab w:val="clear" w:pos="562"/>
              </w:tabs>
              <w:suppressAutoHyphens w:val="0"/>
              <w:spacing w:before="40" w:line="240" w:lineRule="exact"/>
              <w:ind w:left="270" w:hanging="270"/>
              <w:rPr>
                <w:del w:id="6904" w:author="AbbVie19" w:date="2025-04-16T10:42:00Z"/>
                <w:rFonts w:eastAsia="MS Mincho"/>
                <w:szCs w:val="22"/>
                <w:lang w:eastAsia="ja-JP"/>
              </w:rPr>
            </w:pPr>
            <w:del w:id="6905" w:author="AbbVie19" w:date="2025-04-16T10:42:00Z">
              <w:r w:rsidRPr="00BC0E7E">
                <w:rPr>
                  <w:rFonts w:eastAsia="MS Mincho"/>
                  <w:szCs w:val="22"/>
                  <w:lang w:eastAsia="ja-JP"/>
                </w:rPr>
                <w:delText>Patients meeting protocol-specified criteria for loss of response or no improvement were required to discontinue from the studies and were counted as nonresponders.</w:delText>
              </w:r>
            </w:del>
          </w:p>
        </w:tc>
      </w:tr>
    </w:tbl>
    <w:p w14:paraId="59E11F7D" w14:textId="77777777" w:rsidR="00BC0E7E" w:rsidRPr="00BC0E7E" w:rsidRDefault="00944B8F" w:rsidP="00762FA7">
      <w:pPr>
        <w:keepLines/>
        <w:tabs>
          <w:tab w:val="clear" w:pos="562"/>
          <w:tab w:val="num" w:pos="720"/>
        </w:tabs>
        <w:suppressAutoHyphens w:val="0"/>
        <w:spacing w:line="240" w:lineRule="exact"/>
        <w:ind w:left="567" w:hanging="360"/>
        <w:rPr>
          <w:del w:id="6906" w:author="AbbVie19" w:date="2025-04-16T10:42:00Z"/>
          <w:rFonts w:eastAsia="MS Mincho"/>
          <w:szCs w:val="22"/>
          <w:lang w:eastAsia="ja-JP"/>
        </w:rPr>
      </w:pPr>
      <w:del w:id="6907" w:author="AbbVie19" w:date="2025-04-16T10:42:00Z">
        <w:r w:rsidRPr="00BC0E7E">
          <w:rPr>
            <w:rFonts w:eastAsia="MS Mincho"/>
            <w:szCs w:val="22"/>
            <w:lang w:eastAsia="ja-JP"/>
          </w:rPr>
          <w:tab/>
        </w:r>
        <w:r w:rsidRPr="00BC0E7E">
          <w:rPr>
            <w:rFonts w:eastAsia="MS Mincho"/>
            <w:szCs w:val="22"/>
            <w:lang w:eastAsia="ja-JP"/>
          </w:rPr>
          <w:tab/>
        </w:r>
      </w:del>
    </w:p>
    <w:p w14:paraId="2C81E06B" w14:textId="77777777" w:rsidR="00BC0E7E" w:rsidRPr="00BC0E7E" w:rsidRDefault="00944B8F" w:rsidP="00762FA7">
      <w:pPr>
        <w:rPr>
          <w:del w:id="6908" w:author="AbbVie19" w:date="2025-04-16T10:42:00Z"/>
          <w:szCs w:val="22"/>
        </w:rPr>
      </w:pPr>
      <w:del w:id="6909" w:author="AbbVie19" w:date="2025-04-16T10:42:00Z">
        <w:r w:rsidRPr="00BC0E7E">
          <w:rPr>
            <w:szCs w:val="22"/>
          </w:rPr>
          <w:delText>Among patients who were at least partial responders at Week</w:delText>
        </w:r>
        <w:r w:rsidRPr="00BC0E7E">
          <w:delText> </w:delText>
        </w:r>
        <w:r w:rsidRPr="00BC0E7E">
          <w:rPr>
            <w:szCs w:val="22"/>
          </w:rPr>
          <w:delText>12, and who received continuous weekly Humira therapy, the HiSCR rate at Week</w:delText>
        </w:r>
        <w:r w:rsidRPr="00BC0E7E">
          <w:delText> </w:delText>
        </w:r>
        <w:r w:rsidRPr="00BC0E7E">
          <w:rPr>
            <w:szCs w:val="22"/>
          </w:rPr>
          <w:delText>48 was 68.3% and at Week 96 was 65.1%. Longer term treatment with Humira 40 mg weekly for 96 weeks identified no new safety findings.</w:delText>
        </w:r>
      </w:del>
    </w:p>
    <w:p w14:paraId="0D8B32D4" w14:textId="77777777" w:rsidR="00BC0E7E" w:rsidRPr="00BC0E7E" w:rsidRDefault="00BC0E7E" w:rsidP="00762FA7">
      <w:pPr>
        <w:rPr>
          <w:del w:id="6910" w:author="AbbVie19" w:date="2025-04-16T10:42:00Z"/>
          <w:szCs w:val="22"/>
        </w:rPr>
      </w:pPr>
    </w:p>
    <w:p w14:paraId="3029AD35" w14:textId="77777777" w:rsidR="00BC0E7E" w:rsidRPr="00BC0E7E" w:rsidRDefault="00944B8F" w:rsidP="00762FA7">
      <w:pPr>
        <w:rPr>
          <w:del w:id="6911" w:author="AbbVie19" w:date="2025-04-16T10:42:00Z"/>
          <w:szCs w:val="22"/>
        </w:rPr>
      </w:pPr>
      <w:del w:id="6912" w:author="AbbVie19" w:date="2025-04-16T10:42:00Z">
        <w:r w:rsidRPr="00BC0E7E">
          <w:rPr>
            <w:szCs w:val="22"/>
          </w:rPr>
          <w:delText>Among patients whose Humira treatment was withdrawn at Week</w:delText>
        </w:r>
        <w:r w:rsidRPr="00BC0E7E">
          <w:delText> </w:delText>
        </w:r>
        <w:r w:rsidRPr="00BC0E7E">
          <w:rPr>
            <w:szCs w:val="22"/>
          </w:rPr>
          <w:delText>12 in Studies HS-I and HS-II, the HiSCR rate 12</w:delText>
        </w:r>
        <w:r w:rsidRPr="00BC0E7E">
          <w:delText> </w:delText>
        </w:r>
        <w:r w:rsidRPr="00BC0E7E">
          <w:rPr>
            <w:szCs w:val="22"/>
          </w:rPr>
          <w:delText>weeks after re-introduction of Humira 40</w:delText>
        </w:r>
        <w:r w:rsidRPr="00BC0E7E">
          <w:delText> </w:delText>
        </w:r>
        <w:r w:rsidRPr="00BC0E7E">
          <w:rPr>
            <w:szCs w:val="22"/>
          </w:rPr>
          <w:delText>mg weekly returned to levels similar to that observed before withdrawal (56.0 %).</w:delText>
        </w:r>
      </w:del>
    </w:p>
    <w:p w14:paraId="49E69AF4" w14:textId="77777777" w:rsidR="00BC0E7E" w:rsidRPr="00BC0E7E" w:rsidRDefault="00BC0E7E" w:rsidP="00762FA7">
      <w:pPr>
        <w:rPr>
          <w:del w:id="6913" w:author="AbbVie19" w:date="2025-04-16T10:42:00Z"/>
          <w:szCs w:val="20"/>
          <w:u w:val="single"/>
        </w:rPr>
      </w:pPr>
    </w:p>
    <w:p w14:paraId="2ED34E2B" w14:textId="77777777" w:rsidR="00BC0E7E" w:rsidRPr="00BC0E7E" w:rsidRDefault="00944B8F" w:rsidP="00762FA7">
      <w:pPr>
        <w:rPr>
          <w:del w:id="6914" w:author="AbbVie19" w:date="2025-04-16T10:42:00Z"/>
          <w:i/>
          <w:szCs w:val="20"/>
        </w:rPr>
      </w:pPr>
      <w:del w:id="6915" w:author="AbbVie19" w:date="2025-04-16T10:42:00Z">
        <w:r w:rsidRPr="00BC0E7E">
          <w:rPr>
            <w:i/>
            <w:szCs w:val="20"/>
          </w:rPr>
          <w:delText>Crohn’s disease</w:delText>
        </w:r>
      </w:del>
    </w:p>
    <w:p w14:paraId="7B6AA50E" w14:textId="77777777" w:rsidR="00BC0E7E" w:rsidRPr="00BC0E7E" w:rsidRDefault="00BC0E7E" w:rsidP="00762FA7">
      <w:pPr>
        <w:rPr>
          <w:del w:id="6916" w:author="AbbVie19" w:date="2025-04-16T10:42:00Z"/>
          <w:szCs w:val="20"/>
        </w:rPr>
      </w:pPr>
    </w:p>
    <w:p w14:paraId="454AF755" w14:textId="77777777" w:rsidR="00BC0E7E" w:rsidRPr="00BC0E7E" w:rsidRDefault="00944B8F" w:rsidP="00762FA7">
      <w:pPr>
        <w:rPr>
          <w:del w:id="6917" w:author="AbbVie19" w:date="2025-04-16T10:42:00Z"/>
          <w:szCs w:val="20"/>
        </w:rPr>
      </w:pPr>
      <w:del w:id="6918" w:author="AbbVie19" w:date="2025-04-16T10:42:00Z">
        <w:r w:rsidRPr="00BC0E7E">
          <w:rPr>
            <w:szCs w:val="20"/>
          </w:rPr>
          <w:delText xml:space="preserve">The safety and efficacy of Humira were assessed in over 1500 patients with moderately to severely active Crohn’s disease (Crohn’s Disease Activity Index (CDAI) </w:delText>
        </w:r>
        <w:r w:rsidRPr="00BC0E7E">
          <w:rPr>
            <w:rFonts w:ascii="Symbol" w:eastAsia="Symbol" w:hAnsi="Symbol" w:cs="Symbol"/>
            <w:szCs w:val="22"/>
          </w:rPr>
          <w:sym w:font="Symbol" w:char="F0B3"/>
        </w:r>
        <w:r w:rsidRPr="00BC0E7E">
          <w:rPr>
            <w:szCs w:val="20"/>
          </w:rPr>
          <w:delText xml:space="preserve"> 220 and </w:delText>
        </w:r>
        <w:r w:rsidRPr="00BC0E7E">
          <w:rPr>
            <w:rFonts w:ascii="Symbol" w:eastAsia="Symbol" w:hAnsi="Symbol" w:cs="Symbol"/>
            <w:szCs w:val="22"/>
          </w:rPr>
          <w:sym w:font="Symbol" w:char="F0A3"/>
        </w:r>
        <w:r w:rsidRPr="00BC0E7E">
          <w:rPr>
            <w:szCs w:val="20"/>
          </w:rPr>
          <w:delText xml:space="preserve"> 450) in randomised, double-blind, placebo-controlled studies. Concomitant stable doses of aminosalicylates, corticosteroids, and/or immunomodulatory agents were permitted and 80% of patients continued to receive at least one of these medications. </w:delText>
        </w:r>
      </w:del>
    </w:p>
    <w:p w14:paraId="67FF4B6C" w14:textId="77777777" w:rsidR="00BC0E7E" w:rsidRPr="00BC0E7E" w:rsidRDefault="00BC0E7E" w:rsidP="00762FA7">
      <w:pPr>
        <w:rPr>
          <w:del w:id="6919" w:author="AbbVie19" w:date="2025-04-16T10:42:00Z"/>
          <w:szCs w:val="20"/>
        </w:rPr>
      </w:pPr>
    </w:p>
    <w:p w14:paraId="47FD5C61" w14:textId="77777777" w:rsidR="00BC0E7E" w:rsidRPr="00BC0E7E" w:rsidRDefault="00944B8F" w:rsidP="00762FA7">
      <w:pPr>
        <w:rPr>
          <w:del w:id="6920" w:author="AbbVie19" w:date="2025-04-16T10:42:00Z"/>
          <w:szCs w:val="20"/>
        </w:rPr>
      </w:pPr>
      <w:del w:id="6921" w:author="AbbVie19" w:date="2025-04-16T10:42:00Z">
        <w:r w:rsidRPr="00BC0E7E">
          <w:rPr>
            <w:szCs w:val="20"/>
          </w:rPr>
          <w:delText>Induction of clinical remission (defined as CDAI &lt; 150) was evaluated in two studies, CD Study I (CLASSIC I) and CD Study II (GAIN). In CD Study I, 299 TNF-antagonist naive patients were randomised to one of four treatment groups; placebo at Weeks 0 and 2, 160 mg Humira at Week 0 and 80 mg at Week 2, 80 mg at Week 0 and 40 mg at Week 2, and 40 mg at Week 0 and 20 mg at Week 2. In CD Study II, 325 patients who had lost response or were intolerant to infliximab were randomised to receive either 160 mg Humira at Week 0 and 80 mg at Week 2 or placebo at Weeks 0 and 2. The primary non-responders were excluded from the studies and therefore these patients were not further evaluated.</w:delText>
        </w:r>
      </w:del>
    </w:p>
    <w:p w14:paraId="5DCDCF86" w14:textId="77777777" w:rsidR="00BC0E7E" w:rsidRPr="00BC0E7E" w:rsidRDefault="00BC0E7E" w:rsidP="00762FA7">
      <w:pPr>
        <w:rPr>
          <w:del w:id="6922" w:author="AbbVie19" w:date="2025-04-16T10:42:00Z"/>
          <w:szCs w:val="20"/>
        </w:rPr>
      </w:pPr>
    </w:p>
    <w:p w14:paraId="3B9F4329" w14:textId="77777777" w:rsidR="00BC0E7E" w:rsidRPr="00BC0E7E" w:rsidRDefault="00944B8F" w:rsidP="00762FA7">
      <w:pPr>
        <w:rPr>
          <w:del w:id="6923" w:author="AbbVie19" w:date="2025-04-16T10:42:00Z"/>
          <w:szCs w:val="20"/>
        </w:rPr>
      </w:pPr>
      <w:del w:id="6924" w:author="AbbVie19" w:date="2025-04-16T10:42:00Z">
        <w:r w:rsidRPr="00BC0E7E">
          <w:rPr>
            <w:szCs w:val="20"/>
          </w:rPr>
          <w:delText xml:space="preserve">Maintenance of clinical remission was evaluated in CD study III (CHARM).  In CD Study III, 854 patients received open-label 80 mg at Week 0 and 40 mg at Week 2. At Week 4 patients were randomised to 40 mg every other week, 40 mg every week, or placebo with a total study duration of 56 weeks. Patients in clinical response (decrease in CDAI ≥ 70) at Week 4 were stratified and analysed separately from those not in clinical response at Week 4. Corticosteroid taper was permitted after Week 8. </w:delText>
        </w:r>
      </w:del>
    </w:p>
    <w:p w14:paraId="67E062EB" w14:textId="77777777" w:rsidR="00BC0E7E" w:rsidRPr="00BC0E7E" w:rsidRDefault="00BC0E7E" w:rsidP="00762FA7">
      <w:pPr>
        <w:rPr>
          <w:del w:id="6925" w:author="AbbVie19" w:date="2025-04-16T10:42:00Z"/>
          <w:szCs w:val="20"/>
        </w:rPr>
      </w:pPr>
    </w:p>
    <w:p w14:paraId="263FC836" w14:textId="77777777" w:rsidR="00BC0E7E" w:rsidRPr="00BC0E7E" w:rsidRDefault="00944B8F" w:rsidP="00762FA7">
      <w:pPr>
        <w:rPr>
          <w:del w:id="6926" w:author="AbbVie19" w:date="2025-04-16T10:42:00Z"/>
          <w:szCs w:val="20"/>
        </w:rPr>
      </w:pPr>
      <w:del w:id="6927" w:author="AbbVie19" w:date="2025-04-16T10:42:00Z">
        <w:r w:rsidRPr="00BC0E7E">
          <w:rPr>
            <w:szCs w:val="20"/>
          </w:rPr>
          <w:delText xml:space="preserve">CD study I and CD study II induction of remission and response rates are presented in Table </w:delText>
        </w:r>
        <w:r w:rsidR="002D2337">
          <w:rPr>
            <w:szCs w:val="20"/>
          </w:rPr>
          <w:delText>2</w:delText>
        </w:r>
        <w:r w:rsidR="005F03EC">
          <w:rPr>
            <w:szCs w:val="20"/>
          </w:rPr>
          <w:delText>1</w:delText>
        </w:r>
        <w:r w:rsidRPr="00BC0E7E">
          <w:rPr>
            <w:szCs w:val="20"/>
          </w:rPr>
          <w:delText>.</w:delText>
        </w:r>
      </w:del>
    </w:p>
    <w:p w14:paraId="77F0763D" w14:textId="77777777" w:rsidR="00BC0E7E" w:rsidRPr="00BC0E7E" w:rsidRDefault="00BC0E7E" w:rsidP="00762FA7">
      <w:pPr>
        <w:keepNext/>
        <w:rPr>
          <w:del w:id="6928" w:author="AbbVie19" w:date="2025-04-16T10:42:00Z"/>
          <w:szCs w:val="20"/>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1"/>
        <w:gridCol w:w="1192"/>
        <w:gridCol w:w="1249"/>
        <w:gridCol w:w="1176"/>
        <w:gridCol w:w="1494"/>
        <w:gridCol w:w="1816"/>
      </w:tblGrid>
      <w:tr w:rsidR="00C6578C" w14:paraId="0F5442F1" w14:textId="77777777" w:rsidTr="00171601">
        <w:trPr>
          <w:cantSplit/>
          <w:del w:id="6929" w:author="AbbVie19" w:date="2025-04-16T10:42:00Z"/>
        </w:trPr>
        <w:tc>
          <w:tcPr>
            <w:tcW w:w="9238" w:type="dxa"/>
            <w:gridSpan w:val="6"/>
            <w:tcBorders>
              <w:top w:val="nil"/>
              <w:left w:val="nil"/>
              <w:right w:val="nil"/>
            </w:tcBorders>
          </w:tcPr>
          <w:p w14:paraId="5EF4EBF5" w14:textId="77777777" w:rsidR="00BC0E7E" w:rsidRPr="00BC0E7E" w:rsidRDefault="00944B8F" w:rsidP="00762FA7">
            <w:pPr>
              <w:keepNext/>
              <w:keepLines/>
              <w:tabs>
                <w:tab w:val="clear" w:pos="562"/>
                <w:tab w:val="left" w:pos="360"/>
              </w:tabs>
              <w:spacing w:before="40" w:after="40" w:line="240" w:lineRule="exact"/>
              <w:jc w:val="center"/>
              <w:rPr>
                <w:del w:id="6930" w:author="AbbVie19" w:date="2025-04-16T10:42:00Z"/>
                <w:b/>
                <w:bCs/>
                <w:szCs w:val="20"/>
              </w:rPr>
            </w:pPr>
            <w:del w:id="6931" w:author="AbbVie19" w:date="2025-04-16T10:42:00Z">
              <w:r w:rsidRPr="00BC0E7E">
                <w:rPr>
                  <w:b/>
                  <w:bCs/>
                  <w:szCs w:val="20"/>
                </w:rPr>
                <w:delText xml:space="preserve">Table </w:delText>
              </w:r>
              <w:r w:rsidR="002D2337">
                <w:rPr>
                  <w:b/>
                  <w:bCs/>
                  <w:szCs w:val="20"/>
                </w:rPr>
                <w:delText>2</w:delText>
              </w:r>
              <w:r w:rsidR="005F03EC">
                <w:rPr>
                  <w:b/>
                  <w:bCs/>
                  <w:szCs w:val="20"/>
                </w:rPr>
                <w:delText>1</w:delText>
              </w:r>
            </w:del>
          </w:p>
          <w:p w14:paraId="750D021F" w14:textId="77777777" w:rsidR="00BC0E7E" w:rsidRPr="00BC0E7E" w:rsidRDefault="00944B8F" w:rsidP="00762FA7">
            <w:pPr>
              <w:keepNext/>
              <w:keepLines/>
              <w:tabs>
                <w:tab w:val="clear" w:pos="562"/>
                <w:tab w:val="left" w:pos="360"/>
              </w:tabs>
              <w:spacing w:before="40" w:after="40" w:line="240" w:lineRule="exact"/>
              <w:jc w:val="center"/>
              <w:rPr>
                <w:del w:id="6932" w:author="AbbVie19" w:date="2025-04-16T10:42:00Z"/>
                <w:b/>
                <w:bCs/>
                <w:szCs w:val="20"/>
              </w:rPr>
            </w:pPr>
            <w:del w:id="6933" w:author="AbbVie19" w:date="2025-04-16T10:42:00Z">
              <w:r w:rsidRPr="00BC0E7E">
                <w:rPr>
                  <w:b/>
                  <w:bCs/>
                  <w:szCs w:val="20"/>
                </w:rPr>
                <w:delText>Induction of Clinical Remission and Response</w:delText>
              </w:r>
            </w:del>
          </w:p>
          <w:p w14:paraId="0F176397" w14:textId="77777777" w:rsidR="00BC0E7E" w:rsidRPr="00BC0E7E" w:rsidRDefault="00944B8F" w:rsidP="00762FA7">
            <w:pPr>
              <w:keepNext/>
              <w:keepLines/>
              <w:tabs>
                <w:tab w:val="clear" w:pos="562"/>
                <w:tab w:val="left" w:pos="360"/>
              </w:tabs>
              <w:spacing w:before="40" w:after="40" w:line="240" w:lineRule="exact"/>
              <w:jc w:val="center"/>
              <w:rPr>
                <w:del w:id="6934" w:author="AbbVie19" w:date="2025-04-16T10:42:00Z"/>
                <w:b/>
                <w:bCs/>
                <w:szCs w:val="20"/>
              </w:rPr>
            </w:pPr>
            <w:del w:id="6935" w:author="AbbVie19" w:date="2025-04-16T10:42:00Z">
              <w:r w:rsidRPr="00BC0E7E">
                <w:rPr>
                  <w:b/>
                  <w:bCs/>
                  <w:szCs w:val="20"/>
                </w:rPr>
                <w:delText>(Percent of Patients)</w:delText>
              </w:r>
            </w:del>
          </w:p>
        </w:tc>
      </w:tr>
      <w:tr w:rsidR="00C6578C" w14:paraId="3536C8C4" w14:textId="77777777" w:rsidTr="00171601">
        <w:trPr>
          <w:cantSplit/>
          <w:del w:id="6936" w:author="AbbVie19" w:date="2025-04-16T10:42:00Z"/>
        </w:trPr>
        <w:tc>
          <w:tcPr>
            <w:tcW w:w="2416" w:type="dxa"/>
          </w:tcPr>
          <w:p w14:paraId="2E98DC09" w14:textId="77777777" w:rsidR="00BC0E7E" w:rsidRPr="00BC0E7E" w:rsidRDefault="00BC0E7E" w:rsidP="00762FA7">
            <w:pPr>
              <w:keepNext/>
              <w:keepLines/>
              <w:tabs>
                <w:tab w:val="clear" w:pos="562"/>
                <w:tab w:val="left" w:pos="360"/>
              </w:tabs>
              <w:spacing w:before="40" w:after="40" w:line="240" w:lineRule="exact"/>
              <w:rPr>
                <w:del w:id="6937" w:author="AbbVie19" w:date="2025-04-16T10:42:00Z"/>
                <w:b/>
                <w:bCs/>
                <w:szCs w:val="20"/>
              </w:rPr>
            </w:pPr>
          </w:p>
        </w:tc>
        <w:tc>
          <w:tcPr>
            <w:tcW w:w="3412" w:type="dxa"/>
            <w:gridSpan w:val="3"/>
          </w:tcPr>
          <w:p w14:paraId="393E1FDC" w14:textId="77777777" w:rsidR="00BC0E7E" w:rsidRPr="00BC0E7E" w:rsidRDefault="00944B8F" w:rsidP="00762FA7">
            <w:pPr>
              <w:keepNext/>
              <w:keepLines/>
              <w:tabs>
                <w:tab w:val="clear" w:pos="562"/>
                <w:tab w:val="left" w:pos="360"/>
              </w:tabs>
              <w:spacing w:before="40" w:after="40" w:line="240" w:lineRule="exact"/>
              <w:rPr>
                <w:del w:id="6938" w:author="AbbVie19" w:date="2025-04-16T10:42:00Z"/>
                <w:b/>
                <w:bCs/>
                <w:szCs w:val="20"/>
              </w:rPr>
            </w:pPr>
            <w:del w:id="6939" w:author="AbbVie19" w:date="2025-04-16T10:42:00Z">
              <w:r w:rsidRPr="00BC0E7E">
                <w:rPr>
                  <w:b/>
                  <w:bCs/>
                  <w:szCs w:val="20"/>
                </w:rPr>
                <w:delText>CD Study I: Infliximab Naive Patients</w:delText>
              </w:r>
            </w:del>
          </w:p>
        </w:tc>
        <w:tc>
          <w:tcPr>
            <w:tcW w:w="3410" w:type="dxa"/>
            <w:gridSpan w:val="2"/>
          </w:tcPr>
          <w:p w14:paraId="1F59058E" w14:textId="77777777" w:rsidR="00BC0E7E" w:rsidRPr="00BC0E7E" w:rsidRDefault="00944B8F" w:rsidP="00762FA7">
            <w:pPr>
              <w:keepNext/>
              <w:keepLines/>
              <w:tabs>
                <w:tab w:val="clear" w:pos="562"/>
                <w:tab w:val="left" w:pos="360"/>
              </w:tabs>
              <w:spacing w:before="40" w:after="40" w:line="240" w:lineRule="exact"/>
              <w:rPr>
                <w:del w:id="6940" w:author="AbbVie19" w:date="2025-04-16T10:42:00Z"/>
                <w:b/>
                <w:bCs/>
                <w:szCs w:val="20"/>
              </w:rPr>
            </w:pPr>
            <w:del w:id="6941" w:author="AbbVie19" w:date="2025-04-16T10:42:00Z">
              <w:r w:rsidRPr="00BC0E7E">
                <w:rPr>
                  <w:b/>
                  <w:bCs/>
                  <w:szCs w:val="20"/>
                </w:rPr>
                <w:delText>CD Study II: Infliximab Experienced Patients</w:delText>
              </w:r>
            </w:del>
          </w:p>
        </w:tc>
      </w:tr>
      <w:tr w:rsidR="00C6578C" w14:paraId="1C9FD163" w14:textId="77777777" w:rsidTr="00171601">
        <w:trPr>
          <w:cantSplit/>
          <w:del w:id="6942" w:author="AbbVie19" w:date="2025-04-16T10:42:00Z"/>
        </w:trPr>
        <w:tc>
          <w:tcPr>
            <w:tcW w:w="2416" w:type="dxa"/>
          </w:tcPr>
          <w:p w14:paraId="11C0D92E" w14:textId="77777777" w:rsidR="00BC0E7E" w:rsidRPr="00BC0E7E" w:rsidRDefault="00BC0E7E" w:rsidP="00762FA7">
            <w:pPr>
              <w:keepNext/>
              <w:keepLines/>
              <w:tabs>
                <w:tab w:val="clear" w:pos="562"/>
                <w:tab w:val="left" w:pos="360"/>
              </w:tabs>
              <w:spacing w:before="40" w:after="40" w:line="240" w:lineRule="exact"/>
              <w:jc w:val="center"/>
              <w:rPr>
                <w:del w:id="6943" w:author="AbbVie19" w:date="2025-04-16T10:42:00Z"/>
                <w:b/>
                <w:bCs/>
                <w:szCs w:val="20"/>
              </w:rPr>
            </w:pPr>
          </w:p>
        </w:tc>
        <w:tc>
          <w:tcPr>
            <w:tcW w:w="1212" w:type="dxa"/>
          </w:tcPr>
          <w:p w14:paraId="2E586240" w14:textId="77777777" w:rsidR="00BC0E7E" w:rsidRPr="00762FA7" w:rsidRDefault="00944B8F" w:rsidP="00762FA7">
            <w:pPr>
              <w:keepNext/>
              <w:keepLines/>
              <w:tabs>
                <w:tab w:val="clear" w:pos="562"/>
                <w:tab w:val="left" w:pos="360"/>
              </w:tabs>
              <w:spacing w:before="40" w:after="40" w:line="240" w:lineRule="exact"/>
              <w:jc w:val="center"/>
              <w:rPr>
                <w:del w:id="6944" w:author="AbbVie19" w:date="2025-04-16T10:42:00Z"/>
                <w:b/>
                <w:bCs/>
                <w:szCs w:val="20"/>
                <w:lang w:val="fr-FR"/>
              </w:rPr>
            </w:pPr>
            <w:del w:id="6945" w:author="AbbVie19" w:date="2025-04-16T10:42:00Z">
              <w:r w:rsidRPr="00762FA7">
                <w:rPr>
                  <w:b/>
                  <w:bCs/>
                  <w:szCs w:val="20"/>
                  <w:lang w:val="fr-FR"/>
                </w:rPr>
                <w:delText>Placebo</w:delText>
              </w:r>
            </w:del>
          </w:p>
          <w:p w14:paraId="0FBDEEFF" w14:textId="77777777" w:rsidR="00BC0E7E" w:rsidRPr="00762FA7" w:rsidRDefault="00944B8F" w:rsidP="00762FA7">
            <w:pPr>
              <w:keepNext/>
              <w:keepLines/>
              <w:tabs>
                <w:tab w:val="clear" w:pos="562"/>
                <w:tab w:val="left" w:pos="360"/>
              </w:tabs>
              <w:spacing w:before="40" w:after="40" w:line="240" w:lineRule="exact"/>
              <w:jc w:val="center"/>
              <w:rPr>
                <w:del w:id="6946" w:author="AbbVie19" w:date="2025-04-16T10:42:00Z"/>
                <w:b/>
                <w:bCs/>
                <w:szCs w:val="20"/>
                <w:lang w:val="fr-FR"/>
              </w:rPr>
            </w:pPr>
            <w:del w:id="6947" w:author="AbbVie19" w:date="2025-04-16T10:42:00Z">
              <w:r w:rsidRPr="00762FA7">
                <w:rPr>
                  <w:b/>
                  <w:bCs/>
                  <w:szCs w:val="20"/>
                  <w:lang w:val="fr-FR"/>
                </w:rPr>
                <w:delText>N=74</w:delText>
              </w:r>
            </w:del>
          </w:p>
        </w:tc>
        <w:tc>
          <w:tcPr>
            <w:tcW w:w="1264" w:type="dxa"/>
          </w:tcPr>
          <w:p w14:paraId="04865387" w14:textId="77777777" w:rsidR="00BC0E7E" w:rsidRPr="00762FA7" w:rsidRDefault="00944B8F" w:rsidP="00762FA7">
            <w:pPr>
              <w:keepNext/>
              <w:keepLines/>
              <w:tabs>
                <w:tab w:val="clear" w:pos="562"/>
                <w:tab w:val="left" w:pos="360"/>
              </w:tabs>
              <w:spacing w:before="40" w:after="40" w:line="240" w:lineRule="exact"/>
              <w:jc w:val="center"/>
              <w:rPr>
                <w:del w:id="6948" w:author="AbbVie19" w:date="2025-04-16T10:42:00Z"/>
                <w:b/>
                <w:bCs/>
                <w:szCs w:val="20"/>
                <w:lang w:val="fr-FR"/>
              </w:rPr>
            </w:pPr>
            <w:del w:id="6949" w:author="AbbVie19" w:date="2025-04-16T10:42:00Z">
              <w:r w:rsidRPr="00762FA7">
                <w:rPr>
                  <w:b/>
                  <w:bCs/>
                  <w:szCs w:val="20"/>
                  <w:lang w:val="fr-FR"/>
                </w:rPr>
                <w:delText>Humira</w:delText>
              </w:r>
            </w:del>
          </w:p>
          <w:p w14:paraId="303F1FEF" w14:textId="77777777" w:rsidR="00BC0E7E" w:rsidRPr="00762FA7" w:rsidRDefault="00944B8F" w:rsidP="00762FA7">
            <w:pPr>
              <w:keepNext/>
              <w:keepLines/>
              <w:tabs>
                <w:tab w:val="clear" w:pos="562"/>
                <w:tab w:val="left" w:pos="360"/>
              </w:tabs>
              <w:spacing w:before="40" w:after="40" w:line="240" w:lineRule="exact"/>
              <w:jc w:val="center"/>
              <w:rPr>
                <w:del w:id="6950" w:author="AbbVie19" w:date="2025-04-16T10:42:00Z"/>
                <w:b/>
                <w:bCs/>
                <w:szCs w:val="20"/>
                <w:lang w:val="fr-FR"/>
              </w:rPr>
            </w:pPr>
            <w:del w:id="6951" w:author="AbbVie19" w:date="2025-04-16T10:42:00Z">
              <w:r w:rsidRPr="00762FA7">
                <w:rPr>
                  <w:b/>
                  <w:bCs/>
                  <w:szCs w:val="20"/>
                  <w:lang w:val="fr-FR"/>
                </w:rPr>
                <w:delText>80/40 mg</w:delText>
              </w:r>
            </w:del>
          </w:p>
          <w:p w14:paraId="00B8EF04" w14:textId="77777777" w:rsidR="00BC0E7E" w:rsidRPr="00762FA7" w:rsidRDefault="00944B8F" w:rsidP="00762FA7">
            <w:pPr>
              <w:keepNext/>
              <w:keepLines/>
              <w:tabs>
                <w:tab w:val="clear" w:pos="562"/>
                <w:tab w:val="left" w:pos="360"/>
              </w:tabs>
              <w:spacing w:before="40" w:after="40" w:line="240" w:lineRule="exact"/>
              <w:jc w:val="center"/>
              <w:rPr>
                <w:del w:id="6952" w:author="AbbVie19" w:date="2025-04-16T10:42:00Z"/>
                <w:b/>
                <w:bCs/>
                <w:szCs w:val="20"/>
                <w:lang w:val="fr-FR"/>
              </w:rPr>
            </w:pPr>
            <w:del w:id="6953" w:author="AbbVie19" w:date="2025-04-16T10:42:00Z">
              <w:r w:rsidRPr="00762FA7">
                <w:rPr>
                  <w:b/>
                  <w:bCs/>
                  <w:szCs w:val="20"/>
                  <w:lang w:val="fr-FR"/>
                </w:rPr>
                <w:delText>N = 75</w:delText>
              </w:r>
            </w:del>
          </w:p>
        </w:tc>
        <w:tc>
          <w:tcPr>
            <w:tcW w:w="936" w:type="dxa"/>
          </w:tcPr>
          <w:p w14:paraId="51B6221A" w14:textId="77777777" w:rsidR="00BC0E7E" w:rsidRPr="00762FA7" w:rsidRDefault="00944B8F" w:rsidP="00762FA7">
            <w:pPr>
              <w:keepNext/>
              <w:keepLines/>
              <w:tabs>
                <w:tab w:val="clear" w:pos="562"/>
                <w:tab w:val="left" w:pos="360"/>
              </w:tabs>
              <w:spacing w:before="40" w:after="40" w:line="240" w:lineRule="exact"/>
              <w:jc w:val="center"/>
              <w:rPr>
                <w:del w:id="6954" w:author="AbbVie19" w:date="2025-04-16T10:42:00Z"/>
                <w:b/>
                <w:bCs/>
                <w:szCs w:val="20"/>
                <w:lang w:val="fr-FR"/>
              </w:rPr>
            </w:pPr>
            <w:del w:id="6955" w:author="AbbVie19" w:date="2025-04-16T10:42:00Z">
              <w:r w:rsidRPr="00762FA7">
                <w:rPr>
                  <w:b/>
                  <w:bCs/>
                  <w:szCs w:val="20"/>
                  <w:lang w:val="fr-FR"/>
                </w:rPr>
                <w:delText xml:space="preserve">Humira </w:delText>
              </w:r>
            </w:del>
          </w:p>
          <w:p w14:paraId="53471B62" w14:textId="77777777" w:rsidR="00BC0E7E" w:rsidRPr="00762FA7" w:rsidRDefault="00944B8F" w:rsidP="00762FA7">
            <w:pPr>
              <w:keepNext/>
              <w:keepLines/>
              <w:tabs>
                <w:tab w:val="clear" w:pos="562"/>
                <w:tab w:val="left" w:pos="360"/>
              </w:tabs>
              <w:spacing w:before="40" w:after="40" w:line="240" w:lineRule="exact"/>
              <w:jc w:val="center"/>
              <w:rPr>
                <w:del w:id="6956" w:author="AbbVie19" w:date="2025-04-16T10:42:00Z"/>
                <w:b/>
                <w:bCs/>
                <w:szCs w:val="20"/>
                <w:lang w:val="fr-FR"/>
              </w:rPr>
            </w:pPr>
            <w:del w:id="6957" w:author="AbbVie19" w:date="2025-04-16T10:42:00Z">
              <w:r w:rsidRPr="00762FA7">
                <w:rPr>
                  <w:b/>
                  <w:bCs/>
                  <w:szCs w:val="20"/>
                  <w:lang w:val="fr-FR"/>
                </w:rPr>
                <w:delText>160/80 mg N=76</w:delText>
              </w:r>
            </w:del>
          </w:p>
        </w:tc>
        <w:tc>
          <w:tcPr>
            <w:tcW w:w="1540" w:type="dxa"/>
          </w:tcPr>
          <w:p w14:paraId="69F25F08" w14:textId="77777777" w:rsidR="00BC0E7E" w:rsidRPr="00762FA7" w:rsidRDefault="00944B8F" w:rsidP="00762FA7">
            <w:pPr>
              <w:keepNext/>
              <w:keepLines/>
              <w:tabs>
                <w:tab w:val="clear" w:pos="562"/>
                <w:tab w:val="left" w:pos="360"/>
              </w:tabs>
              <w:spacing w:before="40" w:after="40" w:line="240" w:lineRule="exact"/>
              <w:jc w:val="center"/>
              <w:rPr>
                <w:del w:id="6958" w:author="AbbVie19" w:date="2025-04-16T10:42:00Z"/>
                <w:b/>
                <w:bCs/>
                <w:szCs w:val="20"/>
                <w:lang w:val="fr-FR"/>
              </w:rPr>
            </w:pPr>
            <w:del w:id="6959" w:author="AbbVie19" w:date="2025-04-16T10:42:00Z">
              <w:r w:rsidRPr="00762FA7">
                <w:rPr>
                  <w:b/>
                  <w:bCs/>
                  <w:szCs w:val="20"/>
                  <w:lang w:val="fr-FR"/>
                </w:rPr>
                <w:delText>Placebo</w:delText>
              </w:r>
            </w:del>
          </w:p>
          <w:p w14:paraId="1234AD58" w14:textId="77777777" w:rsidR="00BC0E7E" w:rsidRPr="00762FA7" w:rsidRDefault="00944B8F" w:rsidP="00762FA7">
            <w:pPr>
              <w:keepNext/>
              <w:keepLines/>
              <w:tabs>
                <w:tab w:val="clear" w:pos="562"/>
                <w:tab w:val="left" w:pos="360"/>
              </w:tabs>
              <w:spacing w:before="40" w:after="40" w:line="240" w:lineRule="exact"/>
              <w:jc w:val="center"/>
              <w:rPr>
                <w:del w:id="6960" w:author="AbbVie19" w:date="2025-04-16T10:42:00Z"/>
                <w:b/>
                <w:bCs/>
                <w:szCs w:val="20"/>
                <w:lang w:val="fr-FR"/>
              </w:rPr>
            </w:pPr>
            <w:del w:id="6961" w:author="AbbVie19" w:date="2025-04-16T10:42:00Z">
              <w:r w:rsidRPr="00762FA7">
                <w:rPr>
                  <w:b/>
                  <w:bCs/>
                  <w:szCs w:val="20"/>
                  <w:lang w:val="fr-FR"/>
                </w:rPr>
                <w:delText>N=166</w:delText>
              </w:r>
            </w:del>
          </w:p>
        </w:tc>
        <w:tc>
          <w:tcPr>
            <w:tcW w:w="1870" w:type="dxa"/>
          </w:tcPr>
          <w:p w14:paraId="09EAD0FA" w14:textId="77777777" w:rsidR="00BC0E7E" w:rsidRPr="00762FA7" w:rsidRDefault="00944B8F" w:rsidP="00762FA7">
            <w:pPr>
              <w:keepNext/>
              <w:keepLines/>
              <w:tabs>
                <w:tab w:val="clear" w:pos="562"/>
                <w:tab w:val="left" w:pos="360"/>
              </w:tabs>
              <w:spacing w:before="40" w:after="40" w:line="240" w:lineRule="exact"/>
              <w:jc w:val="center"/>
              <w:rPr>
                <w:del w:id="6962" w:author="AbbVie19" w:date="2025-04-16T10:42:00Z"/>
                <w:b/>
                <w:bCs/>
                <w:szCs w:val="20"/>
                <w:lang w:val="fr-FR"/>
              </w:rPr>
            </w:pPr>
            <w:del w:id="6963" w:author="AbbVie19" w:date="2025-04-16T10:42:00Z">
              <w:r w:rsidRPr="00762FA7">
                <w:rPr>
                  <w:b/>
                  <w:bCs/>
                  <w:szCs w:val="20"/>
                  <w:lang w:val="fr-FR"/>
                </w:rPr>
                <w:delText xml:space="preserve">Humira </w:delText>
              </w:r>
            </w:del>
          </w:p>
          <w:p w14:paraId="105FCFA7" w14:textId="77777777" w:rsidR="00BC0E7E" w:rsidRPr="00762FA7" w:rsidRDefault="00944B8F" w:rsidP="00762FA7">
            <w:pPr>
              <w:keepNext/>
              <w:keepLines/>
              <w:tabs>
                <w:tab w:val="clear" w:pos="562"/>
                <w:tab w:val="left" w:pos="360"/>
              </w:tabs>
              <w:spacing w:before="40" w:after="40" w:line="240" w:lineRule="exact"/>
              <w:jc w:val="center"/>
              <w:rPr>
                <w:del w:id="6964" w:author="AbbVie19" w:date="2025-04-16T10:42:00Z"/>
                <w:b/>
                <w:bCs/>
                <w:szCs w:val="20"/>
                <w:lang w:val="fr-FR"/>
              </w:rPr>
            </w:pPr>
            <w:del w:id="6965" w:author="AbbVie19" w:date="2025-04-16T10:42:00Z">
              <w:r w:rsidRPr="00762FA7">
                <w:rPr>
                  <w:b/>
                  <w:bCs/>
                  <w:szCs w:val="20"/>
                  <w:lang w:val="fr-FR"/>
                </w:rPr>
                <w:delText>160/80 mg</w:delText>
              </w:r>
            </w:del>
          </w:p>
          <w:p w14:paraId="46AE026C" w14:textId="77777777" w:rsidR="00BC0E7E" w:rsidRPr="00BC0E7E" w:rsidRDefault="00944B8F" w:rsidP="00762FA7">
            <w:pPr>
              <w:keepNext/>
              <w:keepLines/>
              <w:tabs>
                <w:tab w:val="clear" w:pos="562"/>
                <w:tab w:val="left" w:pos="360"/>
              </w:tabs>
              <w:spacing w:before="40" w:after="40" w:line="240" w:lineRule="exact"/>
              <w:jc w:val="center"/>
              <w:rPr>
                <w:del w:id="6966" w:author="AbbVie19" w:date="2025-04-16T10:42:00Z"/>
                <w:b/>
                <w:bCs/>
                <w:szCs w:val="20"/>
              </w:rPr>
            </w:pPr>
            <w:del w:id="6967" w:author="AbbVie19" w:date="2025-04-16T10:42:00Z">
              <w:r w:rsidRPr="00BC0E7E">
                <w:rPr>
                  <w:b/>
                  <w:bCs/>
                  <w:szCs w:val="20"/>
                </w:rPr>
                <w:delText>N=159</w:delText>
              </w:r>
            </w:del>
          </w:p>
        </w:tc>
      </w:tr>
      <w:tr w:rsidR="00C6578C" w14:paraId="18C21F39" w14:textId="77777777" w:rsidTr="00171601">
        <w:trPr>
          <w:cantSplit/>
          <w:del w:id="6968" w:author="AbbVie19" w:date="2025-04-16T10:42:00Z"/>
        </w:trPr>
        <w:tc>
          <w:tcPr>
            <w:tcW w:w="2416" w:type="dxa"/>
            <w:vAlign w:val="bottom"/>
          </w:tcPr>
          <w:p w14:paraId="3A3088E0" w14:textId="77777777" w:rsidR="00BC0E7E" w:rsidRPr="00BC0E7E" w:rsidRDefault="00944B8F" w:rsidP="00762FA7">
            <w:pPr>
              <w:keepNext/>
              <w:keepLines/>
              <w:tabs>
                <w:tab w:val="clear" w:pos="562"/>
                <w:tab w:val="left" w:pos="360"/>
              </w:tabs>
              <w:spacing w:before="40" w:after="40" w:line="240" w:lineRule="exact"/>
              <w:rPr>
                <w:del w:id="6969" w:author="AbbVie19" w:date="2025-04-16T10:42:00Z"/>
                <w:szCs w:val="20"/>
              </w:rPr>
            </w:pPr>
            <w:del w:id="6970" w:author="AbbVie19" w:date="2025-04-16T10:42:00Z">
              <w:r w:rsidRPr="00BC0E7E">
                <w:rPr>
                  <w:szCs w:val="20"/>
                </w:rPr>
                <w:delText>Week</w:delText>
              </w:r>
              <w:r w:rsidRPr="00BC0E7E">
                <w:rPr>
                  <w:sz w:val="20"/>
                  <w:szCs w:val="20"/>
                </w:rPr>
                <w:delText> </w:delText>
              </w:r>
              <w:r w:rsidRPr="00BC0E7E">
                <w:rPr>
                  <w:szCs w:val="20"/>
                </w:rPr>
                <w:delText>4</w:delText>
              </w:r>
            </w:del>
          </w:p>
        </w:tc>
        <w:tc>
          <w:tcPr>
            <w:tcW w:w="1212" w:type="dxa"/>
            <w:vAlign w:val="bottom"/>
          </w:tcPr>
          <w:p w14:paraId="72FFBEE8" w14:textId="77777777" w:rsidR="00BC0E7E" w:rsidRPr="00BC0E7E" w:rsidRDefault="00BC0E7E" w:rsidP="00762FA7">
            <w:pPr>
              <w:keepNext/>
              <w:keepLines/>
              <w:tabs>
                <w:tab w:val="clear" w:pos="562"/>
                <w:tab w:val="left" w:pos="360"/>
              </w:tabs>
              <w:spacing w:before="40" w:after="40" w:line="240" w:lineRule="exact"/>
              <w:rPr>
                <w:del w:id="6971" w:author="AbbVie19" w:date="2025-04-16T10:42:00Z"/>
                <w:szCs w:val="20"/>
              </w:rPr>
            </w:pPr>
          </w:p>
        </w:tc>
        <w:tc>
          <w:tcPr>
            <w:tcW w:w="1264" w:type="dxa"/>
            <w:vAlign w:val="bottom"/>
          </w:tcPr>
          <w:p w14:paraId="584BB9B3" w14:textId="77777777" w:rsidR="00BC0E7E" w:rsidRPr="00BC0E7E" w:rsidRDefault="00BC0E7E" w:rsidP="00762FA7">
            <w:pPr>
              <w:keepNext/>
              <w:keepLines/>
              <w:tabs>
                <w:tab w:val="clear" w:pos="562"/>
                <w:tab w:val="left" w:pos="360"/>
              </w:tabs>
              <w:spacing w:before="40" w:after="40" w:line="240" w:lineRule="exact"/>
              <w:rPr>
                <w:del w:id="6972" w:author="AbbVie19" w:date="2025-04-16T10:42:00Z"/>
                <w:szCs w:val="20"/>
              </w:rPr>
            </w:pPr>
          </w:p>
        </w:tc>
        <w:tc>
          <w:tcPr>
            <w:tcW w:w="936" w:type="dxa"/>
            <w:vAlign w:val="bottom"/>
          </w:tcPr>
          <w:p w14:paraId="6C1FE5C3" w14:textId="77777777" w:rsidR="00BC0E7E" w:rsidRPr="00BC0E7E" w:rsidRDefault="00BC0E7E" w:rsidP="00762FA7">
            <w:pPr>
              <w:keepNext/>
              <w:keepLines/>
              <w:tabs>
                <w:tab w:val="clear" w:pos="562"/>
                <w:tab w:val="left" w:pos="360"/>
              </w:tabs>
              <w:spacing w:before="40" w:after="40" w:line="240" w:lineRule="exact"/>
              <w:rPr>
                <w:del w:id="6973" w:author="AbbVie19" w:date="2025-04-16T10:42:00Z"/>
                <w:szCs w:val="20"/>
              </w:rPr>
            </w:pPr>
          </w:p>
        </w:tc>
        <w:tc>
          <w:tcPr>
            <w:tcW w:w="1540" w:type="dxa"/>
            <w:vAlign w:val="bottom"/>
          </w:tcPr>
          <w:p w14:paraId="1EBE4C99" w14:textId="77777777" w:rsidR="00BC0E7E" w:rsidRPr="00BC0E7E" w:rsidRDefault="00BC0E7E" w:rsidP="00762FA7">
            <w:pPr>
              <w:keepNext/>
              <w:keepLines/>
              <w:tabs>
                <w:tab w:val="clear" w:pos="562"/>
                <w:tab w:val="left" w:pos="360"/>
              </w:tabs>
              <w:spacing w:before="40" w:after="40" w:line="240" w:lineRule="exact"/>
              <w:rPr>
                <w:del w:id="6974" w:author="AbbVie19" w:date="2025-04-16T10:42:00Z"/>
                <w:szCs w:val="20"/>
              </w:rPr>
            </w:pPr>
          </w:p>
        </w:tc>
        <w:tc>
          <w:tcPr>
            <w:tcW w:w="1870" w:type="dxa"/>
            <w:vAlign w:val="bottom"/>
          </w:tcPr>
          <w:p w14:paraId="058D4CA6" w14:textId="77777777" w:rsidR="00BC0E7E" w:rsidRPr="00BC0E7E" w:rsidRDefault="00BC0E7E" w:rsidP="00762FA7">
            <w:pPr>
              <w:keepNext/>
              <w:keepLines/>
              <w:tabs>
                <w:tab w:val="clear" w:pos="562"/>
                <w:tab w:val="left" w:pos="360"/>
              </w:tabs>
              <w:spacing w:before="40" w:after="40" w:line="240" w:lineRule="exact"/>
              <w:rPr>
                <w:del w:id="6975" w:author="AbbVie19" w:date="2025-04-16T10:42:00Z"/>
                <w:szCs w:val="20"/>
              </w:rPr>
            </w:pPr>
          </w:p>
        </w:tc>
      </w:tr>
      <w:tr w:rsidR="00C6578C" w14:paraId="5FA742E6" w14:textId="77777777" w:rsidTr="00171601">
        <w:trPr>
          <w:cantSplit/>
          <w:del w:id="6976" w:author="AbbVie19" w:date="2025-04-16T10:42:00Z"/>
        </w:trPr>
        <w:tc>
          <w:tcPr>
            <w:tcW w:w="2416" w:type="dxa"/>
            <w:vAlign w:val="bottom"/>
          </w:tcPr>
          <w:p w14:paraId="6A3499E8" w14:textId="77777777" w:rsidR="00BC0E7E" w:rsidRPr="00BC0E7E" w:rsidRDefault="00944B8F" w:rsidP="00762FA7">
            <w:pPr>
              <w:keepLines/>
              <w:tabs>
                <w:tab w:val="clear" w:pos="562"/>
                <w:tab w:val="left" w:pos="360"/>
              </w:tabs>
              <w:spacing w:before="40" w:after="40" w:line="240" w:lineRule="exact"/>
              <w:rPr>
                <w:del w:id="6977" w:author="AbbVie19" w:date="2025-04-16T10:42:00Z"/>
                <w:szCs w:val="20"/>
              </w:rPr>
            </w:pPr>
            <w:del w:id="6978" w:author="AbbVie19" w:date="2025-04-16T10:42:00Z">
              <w:r w:rsidRPr="00BC0E7E">
                <w:rPr>
                  <w:szCs w:val="20"/>
                </w:rPr>
                <w:delText>Clinical remission</w:delText>
              </w:r>
            </w:del>
          </w:p>
        </w:tc>
        <w:tc>
          <w:tcPr>
            <w:tcW w:w="1212" w:type="dxa"/>
            <w:vAlign w:val="bottom"/>
          </w:tcPr>
          <w:p w14:paraId="7F014F11" w14:textId="77777777" w:rsidR="00BC0E7E" w:rsidRPr="00BC0E7E" w:rsidRDefault="00944B8F" w:rsidP="00762FA7">
            <w:pPr>
              <w:keepNext/>
              <w:keepLines/>
              <w:tabs>
                <w:tab w:val="clear" w:pos="562"/>
                <w:tab w:val="left" w:pos="360"/>
              </w:tabs>
              <w:spacing w:before="40" w:after="40" w:line="240" w:lineRule="exact"/>
              <w:jc w:val="center"/>
              <w:rPr>
                <w:del w:id="6979" w:author="AbbVie19" w:date="2025-04-16T10:42:00Z"/>
                <w:szCs w:val="20"/>
              </w:rPr>
            </w:pPr>
            <w:del w:id="6980" w:author="AbbVie19" w:date="2025-04-16T10:42:00Z">
              <w:r w:rsidRPr="00BC0E7E">
                <w:rPr>
                  <w:szCs w:val="20"/>
                </w:rPr>
                <w:delText>12%</w:delText>
              </w:r>
            </w:del>
          </w:p>
        </w:tc>
        <w:tc>
          <w:tcPr>
            <w:tcW w:w="1264" w:type="dxa"/>
            <w:vAlign w:val="bottom"/>
          </w:tcPr>
          <w:p w14:paraId="70432DB1" w14:textId="77777777" w:rsidR="00BC0E7E" w:rsidRPr="00BC0E7E" w:rsidRDefault="00944B8F" w:rsidP="00762FA7">
            <w:pPr>
              <w:keepNext/>
              <w:keepLines/>
              <w:tabs>
                <w:tab w:val="clear" w:pos="562"/>
                <w:tab w:val="left" w:pos="360"/>
              </w:tabs>
              <w:spacing w:before="40" w:after="40" w:line="240" w:lineRule="exact"/>
              <w:jc w:val="center"/>
              <w:rPr>
                <w:del w:id="6981" w:author="AbbVie19" w:date="2025-04-16T10:42:00Z"/>
                <w:bCs/>
                <w:iCs/>
                <w:szCs w:val="20"/>
              </w:rPr>
            </w:pPr>
            <w:del w:id="6982" w:author="AbbVie19" w:date="2025-04-16T10:42:00Z">
              <w:r w:rsidRPr="00BC0E7E">
                <w:rPr>
                  <w:bCs/>
                  <w:iCs/>
                  <w:szCs w:val="20"/>
                </w:rPr>
                <w:delText>24%</w:delText>
              </w:r>
            </w:del>
          </w:p>
        </w:tc>
        <w:tc>
          <w:tcPr>
            <w:tcW w:w="936" w:type="dxa"/>
            <w:vAlign w:val="bottom"/>
          </w:tcPr>
          <w:p w14:paraId="5C3CDC81" w14:textId="77777777" w:rsidR="00BC0E7E" w:rsidRPr="00BC0E7E" w:rsidRDefault="00944B8F" w:rsidP="00762FA7">
            <w:pPr>
              <w:keepNext/>
              <w:keepLines/>
              <w:tabs>
                <w:tab w:val="clear" w:pos="562"/>
                <w:tab w:val="left" w:pos="360"/>
              </w:tabs>
              <w:spacing w:before="40" w:after="40" w:line="240" w:lineRule="exact"/>
              <w:jc w:val="center"/>
              <w:rPr>
                <w:del w:id="6983" w:author="AbbVie19" w:date="2025-04-16T10:42:00Z"/>
                <w:bCs/>
                <w:iCs/>
                <w:szCs w:val="20"/>
              </w:rPr>
            </w:pPr>
            <w:del w:id="6984" w:author="AbbVie19" w:date="2025-04-16T10:42:00Z">
              <w:r w:rsidRPr="00BC0E7E">
                <w:rPr>
                  <w:szCs w:val="20"/>
                </w:rPr>
                <w:delText>36%</w:delText>
              </w:r>
              <w:r w:rsidRPr="00BC0E7E">
                <w:rPr>
                  <w:szCs w:val="20"/>
                  <w:vertAlign w:val="superscript"/>
                </w:rPr>
                <w:delText>*</w:delText>
              </w:r>
            </w:del>
          </w:p>
        </w:tc>
        <w:tc>
          <w:tcPr>
            <w:tcW w:w="1540" w:type="dxa"/>
            <w:vAlign w:val="bottom"/>
          </w:tcPr>
          <w:p w14:paraId="25E42EC9" w14:textId="77777777" w:rsidR="00BC0E7E" w:rsidRPr="00BC0E7E" w:rsidRDefault="00944B8F" w:rsidP="00762FA7">
            <w:pPr>
              <w:keepNext/>
              <w:keepLines/>
              <w:tabs>
                <w:tab w:val="clear" w:pos="562"/>
                <w:tab w:val="left" w:pos="360"/>
              </w:tabs>
              <w:spacing w:before="40" w:after="40" w:line="240" w:lineRule="exact"/>
              <w:jc w:val="center"/>
              <w:rPr>
                <w:del w:id="6985" w:author="AbbVie19" w:date="2025-04-16T10:42:00Z"/>
                <w:szCs w:val="20"/>
              </w:rPr>
            </w:pPr>
            <w:del w:id="6986" w:author="AbbVie19" w:date="2025-04-16T10:42:00Z">
              <w:r w:rsidRPr="00BC0E7E">
                <w:rPr>
                  <w:szCs w:val="20"/>
                </w:rPr>
                <w:delText>7%</w:delText>
              </w:r>
            </w:del>
          </w:p>
        </w:tc>
        <w:tc>
          <w:tcPr>
            <w:tcW w:w="1870" w:type="dxa"/>
            <w:vAlign w:val="bottom"/>
          </w:tcPr>
          <w:p w14:paraId="3DE39A67" w14:textId="77777777" w:rsidR="00BC0E7E" w:rsidRPr="00BC0E7E" w:rsidRDefault="00944B8F" w:rsidP="00762FA7">
            <w:pPr>
              <w:keepNext/>
              <w:keepLines/>
              <w:tabs>
                <w:tab w:val="clear" w:pos="562"/>
                <w:tab w:val="left" w:pos="360"/>
              </w:tabs>
              <w:spacing w:before="40" w:after="40" w:line="240" w:lineRule="exact"/>
              <w:jc w:val="center"/>
              <w:rPr>
                <w:del w:id="6987" w:author="AbbVie19" w:date="2025-04-16T10:42:00Z"/>
                <w:szCs w:val="20"/>
              </w:rPr>
            </w:pPr>
            <w:del w:id="6988" w:author="AbbVie19" w:date="2025-04-16T10:42:00Z">
              <w:r w:rsidRPr="00BC0E7E">
                <w:rPr>
                  <w:szCs w:val="20"/>
                </w:rPr>
                <w:delText>21%</w:delText>
              </w:r>
              <w:r w:rsidRPr="00BC0E7E">
                <w:rPr>
                  <w:szCs w:val="20"/>
                  <w:vertAlign w:val="superscript"/>
                </w:rPr>
                <w:delText>*</w:delText>
              </w:r>
            </w:del>
          </w:p>
        </w:tc>
      </w:tr>
      <w:tr w:rsidR="00C6578C" w14:paraId="69304DF9" w14:textId="77777777" w:rsidTr="00171601">
        <w:trPr>
          <w:cantSplit/>
          <w:del w:id="6989" w:author="AbbVie19" w:date="2025-04-16T10:42:00Z"/>
        </w:trPr>
        <w:tc>
          <w:tcPr>
            <w:tcW w:w="2416" w:type="dxa"/>
          </w:tcPr>
          <w:p w14:paraId="2EBE5775" w14:textId="77777777" w:rsidR="00BC0E7E" w:rsidRPr="00BC0E7E" w:rsidRDefault="00944B8F" w:rsidP="00762FA7">
            <w:pPr>
              <w:keepLines/>
              <w:tabs>
                <w:tab w:val="clear" w:pos="562"/>
                <w:tab w:val="left" w:pos="360"/>
              </w:tabs>
              <w:spacing w:before="40" w:after="40" w:line="240" w:lineRule="exact"/>
              <w:rPr>
                <w:del w:id="6990" w:author="AbbVie19" w:date="2025-04-16T10:42:00Z"/>
                <w:szCs w:val="20"/>
              </w:rPr>
            </w:pPr>
            <w:del w:id="6991" w:author="AbbVie19" w:date="2025-04-16T10:42:00Z">
              <w:r w:rsidRPr="00BC0E7E">
                <w:rPr>
                  <w:szCs w:val="20"/>
                </w:rPr>
                <w:delText>Clinical response (CR-100)</w:delText>
              </w:r>
            </w:del>
          </w:p>
        </w:tc>
        <w:tc>
          <w:tcPr>
            <w:tcW w:w="1212" w:type="dxa"/>
          </w:tcPr>
          <w:p w14:paraId="572DFE8A" w14:textId="77777777" w:rsidR="00BC0E7E" w:rsidRPr="00BC0E7E" w:rsidRDefault="00944B8F" w:rsidP="00762FA7">
            <w:pPr>
              <w:keepNext/>
              <w:keepLines/>
              <w:tabs>
                <w:tab w:val="clear" w:pos="562"/>
                <w:tab w:val="left" w:pos="360"/>
              </w:tabs>
              <w:spacing w:before="40" w:after="40" w:line="240" w:lineRule="exact"/>
              <w:jc w:val="center"/>
              <w:rPr>
                <w:del w:id="6992" w:author="AbbVie19" w:date="2025-04-16T10:42:00Z"/>
                <w:szCs w:val="20"/>
              </w:rPr>
            </w:pPr>
            <w:del w:id="6993" w:author="AbbVie19" w:date="2025-04-16T10:42:00Z">
              <w:r w:rsidRPr="00BC0E7E">
                <w:rPr>
                  <w:szCs w:val="20"/>
                </w:rPr>
                <w:delText>24%</w:delText>
              </w:r>
            </w:del>
          </w:p>
        </w:tc>
        <w:tc>
          <w:tcPr>
            <w:tcW w:w="1264" w:type="dxa"/>
          </w:tcPr>
          <w:p w14:paraId="1A8AE893" w14:textId="77777777" w:rsidR="00BC0E7E" w:rsidRPr="00BC0E7E" w:rsidRDefault="00944B8F" w:rsidP="00762FA7">
            <w:pPr>
              <w:keepNext/>
              <w:keepLines/>
              <w:tabs>
                <w:tab w:val="clear" w:pos="562"/>
                <w:tab w:val="left" w:pos="360"/>
              </w:tabs>
              <w:spacing w:before="40" w:after="40" w:line="240" w:lineRule="exact"/>
              <w:jc w:val="center"/>
              <w:rPr>
                <w:del w:id="6994" w:author="AbbVie19" w:date="2025-04-16T10:42:00Z"/>
                <w:szCs w:val="20"/>
              </w:rPr>
            </w:pPr>
            <w:del w:id="6995" w:author="AbbVie19" w:date="2025-04-16T10:42:00Z">
              <w:r w:rsidRPr="00BC0E7E">
                <w:rPr>
                  <w:szCs w:val="20"/>
                </w:rPr>
                <w:delText>37%</w:delText>
              </w:r>
            </w:del>
          </w:p>
        </w:tc>
        <w:tc>
          <w:tcPr>
            <w:tcW w:w="936" w:type="dxa"/>
          </w:tcPr>
          <w:p w14:paraId="5E090D37" w14:textId="77777777" w:rsidR="00BC0E7E" w:rsidRPr="00BC0E7E" w:rsidRDefault="00944B8F" w:rsidP="00762FA7">
            <w:pPr>
              <w:keepNext/>
              <w:keepLines/>
              <w:tabs>
                <w:tab w:val="clear" w:pos="562"/>
                <w:tab w:val="left" w:pos="360"/>
              </w:tabs>
              <w:spacing w:before="40" w:after="40" w:line="240" w:lineRule="exact"/>
              <w:jc w:val="center"/>
              <w:rPr>
                <w:del w:id="6996" w:author="AbbVie19" w:date="2025-04-16T10:42:00Z"/>
                <w:szCs w:val="20"/>
              </w:rPr>
            </w:pPr>
            <w:del w:id="6997" w:author="AbbVie19" w:date="2025-04-16T10:42:00Z">
              <w:r w:rsidRPr="00BC0E7E">
                <w:rPr>
                  <w:szCs w:val="20"/>
                </w:rPr>
                <w:delText>49%</w:delText>
              </w:r>
              <w:r w:rsidRPr="00BC0E7E">
                <w:rPr>
                  <w:szCs w:val="20"/>
                  <w:vertAlign w:val="superscript"/>
                </w:rPr>
                <w:delText>**</w:delText>
              </w:r>
            </w:del>
          </w:p>
        </w:tc>
        <w:tc>
          <w:tcPr>
            <w:tcW w:w="1540" w:type="dxa"/>
          </w:tcPr>
          <w:p w14:paraId="1C4CF191" w14:textId="77777777" w:rsidR="00BC0E7E" w:rsidRPr="00BC0E7E" w:rsidRDefault="00944B8F" w:rsidP="00762FA7">
            <w:pPr>
              <w:keepNext/>
              <w:keepLines/>
              <w:tabs>
                <w:tab w:val="clear" w:pos="562"/>
                <w:tab w:val="left" w:pos="360"/>
              </w:tabs>
              <w:spacing w:before="40" w:after="40" w:line="240" w:lineRule="exact"/>
              <w:jc w:val="center"/>
              <w:rPr>
                <w:del w:id="6998" w:author="AbbVie19" w:date="2025-04-16T10:42:00Z"/>
                <w:szCs w:val="20"/>
              </w:rPr>
            </w:pPr>
            <w:del w:id="6999" w:author="AbbVie19" w:date="2025-04-16T10:42:00Z">
              <w:r w:rsidRPr="00BC0E7E">
                <w:rPr>
                  <w:szCs w:val="20"/>
                </w:rPr>
                <w:delText>25%</w:delText>
              </w:r>
            </w:del>
          </w:p>
        </w:tc>
        <w:tc>
          <w:tcPr>
            <w:tcW w:w="1870" w:type="dxa"/>
          </w:tcPr>
          <w:p w14:paraId="4EDC0172" w14:textId="77777777" w:rsidR="00BC0E7E" w:rsidRPr="00BC0E7E" w:rsidRDefault="00944B8F" w:rsidP="00762FA7">
            <w:pPr>
              <w:keepNext/>
              <w:keepLines/>
              <w:tabs>
                <w:tab w:val="clear" w:pos="562"/>
                <w:tab w:val="left" w:pos="360"/>
              </w:tabs>
              <w:spacing w:before="40" w:after="40" w:line="240" w:lineRule="exact"/>
              <w:jc w:val="center"/>
              <w:rPr>
                <w:del w:id="7000" w:author="AbbVie19" w:date="2025-04-16T10:42:00Z"/>
                <w:szCs w:val="20"/>
              </w:rPr>
            </w:pPr>
            <w:del w:id="7001" w:author="AbbVie19" w:date="2025-04-16T10:42:00Z">
              <w:r w:rsidRPr="00BC0E7E">
                <w:rPr>
                  <w:szCs w:val="20"/>
                </w:rPr>
                <w:delText>38%</w:delText>
              </w:r>
              <w:r w:rsidRPr="00BC0E7E">
                <w:rPr>
                  <w:szCs w:val="20"/>
                  <w:vertAlign w:val="superscript"/>
                </w:rPr>
                <w:delText>**</w:delText>
              </w:r>
            </w:del>
          </w:p>
        </w:tc>
      </w:tr>
      <w:tr w:rsidR="00C6578C" w14:paraId="48841040" w14:textId="77777777" w:rsidTr="00171601">
        <w:trPr>
          <w:cantSplit/>
          <w:del w:id="7002" w:author="AbbVie19" w:date="2025-04-16T10:42:00Z"/>
        </w:trPr>
        <w:tc>
          <w:tcPr>
            <w:tcW w:w="9238" w:type="dxa"/>
            <w:gridSpan w:val="6"/>
            <w:tcBorders>
              <w:left w:val="nil"/>
              <w:bottom w:val="nil"/>
              <w:right w:val="nil"/>
            </w:tcBorders>
          </w:tcPr>
          <w:p w14:paraId="7D2C484F" w14:textId="77777777" w:rsidR="00BC0E7E" w:rsidRPr="00BC0E7E" w:rsidRDefault="00944B8F" w:rsidP="00762FA7">
            <w:pPr>
              <w:keepNext/>
              <w:keepLines/>
              <w:tabs>
                <w:tab w:val="clear" w:pos="562"/>
                <w:tab w:val="left" w:pos="360"/>
              </w:tabs>
              <w:spacing w:before="40" w:after="40" w:line="240" w:lineRule="exact"/>
              <w:rPr>
                <w:del w:id="7003" w:author="AbbVie19" w:date="2025-04-16T10:42:00Z"/>
                <w:szCs w:val="20"/>
              </w:rPr>
            </w:pPr>
            <w:del w:id="7004" w:author="AbbVie19" w:date="2025-04-16T10:42:00Z">
              <w:r w:rsidRPr="00BC0E7E">
                <w:rPr>
                  <w:szCs w:val="20"/>
                </w:rPr>
                <w:delText xml:space="preserve">All p-values are pairwise comparisons of proportions for Humira </w:delText>
              </w:r>
              <w:r w:rsidRPr="00BC0E7E">
                <w:rPr>
                  <w:i/>
                  <w:iCs/>
                  <w:szCs w:val="20"/>
                </w:rPr>
                <w:delText>versus</w:delText>
              </w:r>
              <w:r w:rsidRPr="00BC0E7E">
                <w:rPr>
                  <w:szCs w:val="20"/>
                </w:rPr>
                <w:delText xml:space="preserve"> placebo</w:delText>
              </w:r>
            </w:del>
          </w:p>
          <w:p w14:paraId="26DEEC65" w14:textId="77777777" w:rsidR="00BC0E7E" w:rsidRPr="00BC0E7E" w:rsidRDefault="00944B8F" w:rsidP="00762FA7">
            <w:pPr>
              <w:keepNext/>
              <w:keepLines/>
              <w:tabs>
                <w:tab w:val="clear" w:pos="562"/>
                <w:tab w:val="left" w:pos="360"/>
              </w:tabs>
              <w:spacing w:before="40" w:after="40" w:line="240" w:lineRule="exact"/>
              <w:rPr>
                <w:del w:id="7005" w:author="AbbVie19" w:date="2025-04-16T10:42:00Z"/>
                <w:szCs w:val="20"/>
              </w:rPr>
            </w:pPr>
            <w:del w:id="7006" w:author="AbbVie19" w:date="2025-04-16T10:42:00Z">
              <w:r w:rsidRPr="00BC0E7E">
                <w:rPr>
                  <w:szCs w:val="20"/>
                  <w:vertAlign w:val="superscript"/>
                </w:rPr>
                <w:delText>*</w:delText>
              </w:r>
              <w:r w:rsidRPr="00BC0E7E">
                <w:rPr>
                  <w:szCs w:val="20"/>
                </w:rPr>
                <w:tab/>
                <w:delText>p &lt; 0.001</w:delText>
              </w:r>
            </w:del>
          </w:p>
          <w:p w14:paraId="511FB588" w14:textId="77777777" w:rsidR="00BC0E7E" w:rsidRPr="00BC0E7E" w:rsidRDefault="00944B8F" w:rsidP="00762FA7">
            <w:pPr>
              <w:keepNext/>
              <w:keepLines/>
              <w:tabs>
                <w:tab w:val="clear" w:pos="562"/>
                <w:tab w:val="left" w:pos="360"/>
              </w:tabs>
              <w:spacing w:before="40" w:after="40" w:line="240" w:lineRule="exact"/>
              <w:rPr>
                <w:del w:id="7007" w:author="AbbVie19" w:date="2025-04-16T10:42:00Z"/>
                <w:szCs w:val="20"/>
              </w:rPr>
            </w:pPr>
            <w:del w:id="7008" w:author="AbbVie19" w:date="2025-04-16T10:42:00Z">
              <w:r w:rsidRPr="00BC0E7E">
                <w:rPr>
                  <w:szCs w:val="20"/>
                  <w:vertAlign w:val="superscript"/>
                </w:rPr>
                <w:delText>**</w:delText>
              </w:r>
              <w:r w:rsidRPr="00BC0E7E">
                <w:rPr>
                  <w:szCs w:val="20"/>
                </w:rPr>
                <w:tab/>
                <w:delText>p &lt; 0.01</w:delText>
              </w:r>
            </w:del>
          </w:p>
        </w:tc>
      </w:tr>
    </w:tbl>
    <w:p w14:paraId="0D704C08" w14:textId="77777777" w:rsidR="00BC0E7E" w:rsidRPr="00BC0E7E" w:rsidRDefault="00BC0E7E" w:rsidP="00762FA7">
      <w:pPr>
        <w:rPr>
          <w:del w:id="7009" w:author="AbbVie19" w:date="2025-04-16T10:42:00Z"/>
          <w:szCs w:val="20"/>
        </w:rPr>
      </w:pPr>
    </w:p>
    <w:p w14:paraId="28218E26" w14:textId="77777777" w:rsidR="00BC0E7E" w:rsidRPr="00BC0E7E" w:rsidRDefault="00944B8F" w:rsidP="00762FA7">
      <w:pPr>
        <w:rPr>
          <w:del w:id="7010" w:author="AbbVie19" w:date="2025-04-16T10:42:00Z"/>
          <w:szCs w:val="20"/>
        </w:rPr>
      </w:pPr>
      <w:del w:id="7011" w:author="AbbVie19" w:date="2025-04-16T10:42:00Z">
        <w:r w:rsidRPr="00BC0E7E">
          <w:rPr>
            <w:szCs w:val="20"/>
          </w:rPr>
          <w:delText>Similar remission rates were observed for the 160/80 mg and 80/40 mg induction regimens by Week 8 and adverse events were more frequently noted in the 160/80 mg group.</w:delText>
        </w:r>
      </w:del>
    </w:p>
    <w:p w14:paraId="2A5706F9" w14:textId="77777777" w:rsidR="00BC0E7E" w:rsidRPr="00BC0E7E" w:rsidRDefault="00BC0E7E" w:rsidP="00762FA7">
      <w:pPr>
        <w:rPr>
          <w:del w:id="7012" w:author="AbbVie19" w:date="2025-04-16T10:42:00Z"/>
          <w:szCs w:val="20"/>
        </w:rPr>
      </w:pPr>
    </w:p>
    <w:p w14:paraId="67B336A7" w14:textId="77777777" w:rsidR="00BC0E7E" w:rsidRPr="00BC0E7E" w:rsidRDefault="00944B8F" w:rsidP="00762FA7">
      <w:pPr>
        <w:rPr>
          <w:del w:id="7013" w:author="AbbVie19" w:date="2025-04-16T10:42:00Z"/>
          <w:bCs/>
          <w:szCs w:val="20"/>
        </w:rPr>
      </w:pPr>
      <w:del w:id="7014" w:author="AbbVie19" w:date="2025-04-16T10:42:00Z">
        <w:r w:rsidRPr="00BC0E7E">
          <w:rPr>
            <w:szCs w:val="20"/>
          </w:rPr>
          <w:delText xml:space="preserve">In CD Study III, at Week 4, 58% (499/854) of patients were in clinical response and were assessed in the primary analysis. Of those in clinical response at Week 4, 48% had been previously exposed to other TNF-antagonists. Maintenance of remission and response rates are presented in Table </w:delText>
        </w:r>
        <w:r w:rsidR="002D2337">
          <w:rPr>
            <w:szCs w:val="20"/>
          </w:rPr>
          <w:delText>2</w:delText>
        </w:r>
        <w:r w:rsidR="005F03EC">
          <w:rPr>
            <w:szCs w:val="20"/>
          </w:rPr>
          <w:delText>2</w:delText>
        </w:r>
        <w:r w:rsidRPr="00BC0E7E">
          <w:rPr>
            <w:szCs w:val="20"/>
          </w:rPr>
          <w:delText xml:space="preserve">.  </w:delText>
        </w:r>
        <w:r w:rsidRPr="00BC0E7E">
          <w:rPr>
            <w:bCs/>
            <w:szCs w:val="20"/>
          </w:rPr>
          <w:delText>Clinical remission results remained relatively constant irrespective of previous TNF-antagonist exposure.</w:delText>
        </w:r>
      </w:del>
    </w:p>
    <w:p w14:paraId="61448759" w14:textId="77777777" w:rsidR="00BC0E7E" w:rsidRPr="00BC0E7E" w:rsidRDefault="00BC0E7E" w:rsidP="00762FA7">
      <w:pPr>
        <w:rPr>
          <w:del w:id="7015" w:author="AbbVie19" w:date="2025-04-16T10:42:00Z"/>
          <w:bCs/>
          <w:szCs w:val="20"/>
        </w:rPr>
      </w:pPr>
    </w:p>
    <w:p w14:paraId="1D0943A4" w14:textId="77777777" w:rsidR="00BC0E7E" w:rsidRPr="00BC0E7E" w:rsidRDefault="00944B8F" w:rsidP="00762FA7">
      <w:pPr>
        <w:rPr>
          <w:del w:id="7016" w:author="AbbVie19" w:date="2025-04-16T10:42:00Z"/>
          <w:bCs/>
          <w:szCs w:val="20"/>
        </w:rPr>
      </w:pPr>
      <w:del w:id="7017" w:author="AbbVie19" w:date="2025-04-16T10:42:00Z">
        <w:r w:rsidRPr="00BC0E7E">
          <w:rPr>
            <w:bCs/>
            <w:szCs w:val="20"/>
          </w:rPr>
          <w:delText>Disease-related hospitalisations and surgeries were statistically significantly reduced with adalimumab compared with placebo at Week</w:delText>
        </w:r>
        <w:r w:rsidRPr="00BC0E7E">
          <w:rPr>
            <w:szCs w:val="20"/>
          </w:rPr>
          <w:delText> </w:delText>
        </w:r>
        <w:r w:rsidRPr="00BC0E7E">
          <w:rPr>
            <w:bCs/>
            <w:szCs w:val="20"/>
          </w:rPr>
          <w:delText>56.</w:delText>
        </w:r>
      </w:del>
    </w:p>
    <w:p w14:paraId="0774AA0C" w14:textId="77777777" w:rsidR="00BC0E7E" w:rsidRPr="00BC0E7E" w:rsidRDefault="00BC0E7E" w:rsidP="00762FA7">
      <w:pPr>
        <w:rPr>
          <w:del w:id="7018" w:author="AbbVie19" w:date="2025-04-16T10:42:00Z"/>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1"/>
        <w:gridCol w:w="1751"/>
        <w:gridCol w:w="1928"/>
        <w:gridCol w:w="1700"/>
      </w:tblGrid>
      <w:tr w:rsidR="00C6578C" w14:paraId="5F67952A" w14:textId="77777777" w:rsidTr="00171601">
        <w:trPr>
          <w:cantSplit/>
          <w:del w:id="7019" w:author="AbbVie19" w:date="2025-04-16T10:42:00Z"/>
        </w:trPr>
        <w:tc>
          <w:tcPr>
            <w:tcW w:w="9020" w:type="dxa"/>
            <w:gridSpan w:val="4"/>
            <w:tcBorders>
              <w:top w:val="nil"/>
              <w:left w:val="nil"/>
              <w:bottom w:val="single" w:sz="4" w:space="0" w:color="auto"/>
              <w:right w:val="nil"/>
            </w:tcBorders>
          </w:tcPr>
          <w:p w14:paraId="21AC3C11" w14:textId="77777777" w:rsidR="00BC0E7E" w:rsidRPr="003F7AAE" w:rsidRDefault="00944B8F" w:rsidP="00762FA7">
            <w:pPr>
              <w:keepNext/>
              <w:keepLines/>
              <w:tabs>
                <w:tab w:val="clear" w:pos="562"/>
                <w:tab w:val="left" w:pos="360"/>
              </w:tabs>
              <w:spacing w:before="40" w:after="40" w:line="240" w:lineRule="exact"/>
              <w:jc w:val="center"/>
              <w:rPr>
                <w:del w:id="7020" w:author="AbbVie19" w:date="2025-04-16T10:42:00Z"/>
                <w:bCs/>
                <w:szCs w:val="20"/>
              </w:rPr>
            </w:pPr>
            <w:del w:id="7021" w:author="AbbVie19" w:date="2025-04-16T10:42:00Z">
              <w:r w:rsidRPr="00BC0E7E">
                <w:rPr>
                  <w:b/>
                  <w:bCs/>
                  <w:szCs w:val="20"/>
                </w:rPr>
                <w:delText xml:space="preserve">Table </w:delText>
              </w:r>
              <w:r w:rsidR="002D2337">
                <w:rPr>
                  <w:b/>
                  <w:bCs/>
                  <w:szCs w:val="20"/>
                </w:rPr>
                <w:delText>2</w:delText>
              </w:r>
              <w:r w:rsidR="005F03EC">
                <w:rPr>
                  <w:b/>
                  <w:bCs/>
                  <w:szCs w:val="20"/>
                </w:rPr>
                <w:delText>2</w:delText>
              </w:r>
            </w:del>
          </w:p>
          <w:p w14:paraId="67892A5F" w14:textId="77777777" w:rsidR="00BC0E7E" w:rsidRPr="003F7AAE" w:rsidRDefault="00944B8F" w:rsidP="00762FA7">
            <w:pPr>
              <w:keepNext/>
              <w:keepLines/>
              <w:tabs>
                <w:tab w:val="clear" w:pos="562"/>
                <w:tab w:val="left" w:pos="360"/>
              </w:tabs>
              <w:spacing w:before="40" w:after="40" w:line="240" w:lineRule="exact"/>
              <w:jc w:val="center"/>
              <w:rPr>
                <w:del w:id="7022" w:author="AbbVie19" w:date="2025-04-16T10:42:00Z"/>
                <w:bCs/>
                <w:szCs w:val="20"/>
              </w:rPr>
            </w:pPr>
            <w:del w:id="7023" w:author="AbbVie19" w:date="2025-04-16T10:42:00Z">
              <w:r w:rsidRPr="00BC0E7E">
                <w:rPr>
                  <w:b/>
                  <w:bCs/>
                  <w:szCs w:val="20"/>
                </w:rPr>
                <w:delText>Maintenance of Clinical Remission and Response</w:delText>
              </w:r>
            </w:del>
          </w:p>
          <w:p w14:paraId="142B6252" w14:textId="77777777" w:rsidR="00BC0E7E" w:rsidRPr="00BC0E7E" w:rsidRDefault="00944B8F" w:rsidP="00762FA7">
            <w:pPr>
              <w:keepNext/>
              <w:keepLines/>
              <w:tabs>
                <w:tab w:val="clear" w:pos="562"/>
                <w:tab w:val="left" w:pos="360"/>
              </w:tabs>
              <w:spacing w:before="40" w:after="40" w:line="240" w:lineRule="exact"/>
              <w:jc w:val="center"/>
              <w:rPr>
                <w:del w:id="7024" w:author="AbbVie19" w:date="2025-04-16T10:42:00Z"/>
                <w:b/>
                <w:bCs/>
                <w:szCs w:val="20"/>
              </w:rPr>
            </w:pPr>
            <w:del w:id="7025" w:author="AbbVie19" w:date="2025-04-16T10:42:00Z">
              <w:r w:rsidRPr="00BC0E7E">
                <w:rPr>
                  <w:b/>
                  <w:bCs/>
                  <w:szCs w:val="20"/>
                </w:rPr>
                <w:delText>(Percent of Patients)</w:delText>
              </w:r>
            </w:del>
          </w:p>
        </w:tc>
      </w:tr>
      <w:tr w:rsidR="00C6578C" w14:paraId="6C619D93" w14:textId="77777777" w:rsidTr="00171601">
        <w:trPr>
          <w:del w:id="7026" w:author="AbbVie19" w:date="2025-04-16T10:42:00Z"/>
        </w:trPr>
        <w:tc>
          <w:tcPr>
            <w:tcW w:w="3641" w:type="dxa"/>
          </w:tcPr>
          <w:p w14:paraId="23D26100" w14:textId="77777777" w:rsidR="00BC0E7E" w:rsidRPr="00BC0E7E" w:rsidRDefault="00BC0E7E" w:rsidP="00762FA7">
            <w:pPr>
              <w:keepNext/>
              <w:keepLines/>
              <w:tabs>
                <w:tab w:val="clear" w:pos="562"/>
                <w:tab w:val="left" w:pos="360"/>
              </w:tabs>
              <w:spacing w:before="40" w:after="40" w:line="240" w:lineRule="exact"/>
              <w:rPr>
                <w:del w:id="7027" w:author="AbbVie19" w:date="2025-04-16T10:42:00Z"/>
                <w:b/>
                <w:bCs/>
                <w:szCs w:val="20"/>
              </w:rPr>
            </w:pPr>
          </w:p>
        </w:tc>
        <w:tc>
          <w:tcPr>
            <w:tcW w:w="1751" w:type="dxa"/>
          </w:tcPr>
          <w:p w14:paraId="58DFF053" w14:textId="77777777" w:rsidR="00BC0E7E" w:rsidRPr="00BC0E7E" w:rsidRDefault="00944B8F" w:rsidP="00762FA7">
            <w:pPr>
              <w:keepNext/>
              <w:keepLines/>
              <w:tabs>
                <w:tab w:val="clear" w:pos="562"/>
                <w:tab w:val="left" w:pos="360"/>
              </w:tabs>
              <w:spacing w:before="40" w:after="40" w:line="240" w:lineRule="exact"/>
              <w:jc w:val="center"/>
              <w:rPr>
                <w:del w:id="7028" w:author="AbbVie19" w:date="2025-04-16T10:42:00Z"/>
                <w:b/>
                <w:bCs/>
                <w:szCs w:val="20"/>
              </w:rPr>
            </w:pPr>
            <w:del w:id="7029" w:author="AbbVie19" w:date="2025-04-16T10:42:00Z">
              <w:r w:rsidRPr="00BC0E7E">
                <w:rPr>
                  <w:b/>
                  <w:bCs/>
                  <w:szCs w:val="20"/>
                </w:rPr>
                <w:delText>Placebo</w:delText>
              </w:r>
            </w:del>
          </w:p>
        </w:tc>
        <w:tc>
          <w:tcPr>
            <w:tcW w:w="1928" w:type="dxa"/>
          </w:tcPr>
          <w:p w14:paraId="22138A41" w14:textId="77777777" w:rsidR="00BC0E7E" w:rsidRPr="00BC0E7E" w:rsidRDefault="00944B8F" w:rsidP="00762FA7">
            <w:pPr>
              <w:keepNext/>
              <w:keepLines/>
              <w:tabs>
                <w:tab w:val="clear" w:pos="562"/>
                <w:tab w:val="left" w:pos="360"/>
              </w:tabs>
              <w:spacing w:before="40" w:after="40" w:line="240" w:lineRule="exact"/>
              <w:jc w:val="center"/>
              <w:rPr>
                <w:del w:id="7030" w:author="AbbVie19" w:date="2025-04-16T10:42:00Z"/>
                <w:b/>
                <w:bCs/>
                <w:szCs w:val="20"/>
              </w:rPr>
            </w:pPr>
            <w:del w:id="7031" w:author="AbbVie19" w:date="2025-04-16T10:42:00Z">
              <w:r w:rsidRPr="00BC0E7E">
                <w:rPr>
                  <w:b/>
                  <w:bCs/>
                  <w:szCs w:val="20"/>
                </w:rPr>
                <w:delText>40 mg Humira</w:delText>
              </w:r>
              <w:r w:rsidRPr="00BC0E7E">
                <w:rPr>
                  <w:b/>
                  <w:bCs/>
                  <w:szCs w:val="20"/>
                </w:rPr>
                <w:br/>
                <w:delText>every other week</w:delText>
              </w:r>
            </w:del>
          </w:p>
        </w:tc>
        <w:tc>
          <w:tcPr>
            <w:tcW w:w="1700" w:type="dxa"/>
          </w:tcPr>
          <w:p w14:paraId="62AB9AE1" w14:textId="77777777" w:rsidR="00BC0E7E" w:rsidRPr="00BC0E7E" w:rsidRDefault="00944B8F" w:rsidP="00762FA7">
            <w:pPr>
              <w:keepNext/>
              <w:keepLines/>
              <w:tabs>
                <w:tab w:val="clear" w:pos="562"/>
                <w:tab w:val="left" w:pos="360"/>
              </w:tabs>
              <w:spacing w:before="40" w:after="40" w:line="240" w:lineRule="exact"/>
              <w:jc w:val="center"/>
              <w:rPr>
                <w:del w:id="7032" w:author="AbbVie19" w:date="2025-04-16T10:42:00Z"/>
                <w:b/>
                <w:bCs/>
                <w:szCs w:val="20"/>
              </w:rPr>
            </w:pPr>
            <w:del w:id="7033" w:author="AbbVie19" w:date="2025-04-16T10:42:00Z">
              <w:r w:rsidRPr="00BC0E7E">
                <w:rPr>
                  <w:b/>
                  <w:bCs/>
                  <w:szCs w:val="20"/>
                </w:rPr>
                <w:delText>40 mg Humira</w:delText>
              </w:r>
              <w:r w:rsidRPr="00BC0E7E">
                <w:rPr>
                  <w:b/>
                  <w:bCs/>
                  <w:szCs w:val="20"/>
                </w:rPr>
                <w:br/>
                <w:delText>every week</w:delText>
              </w:r>
            </w:del>
          </w:p>
        </w:tc>
      </w:tr>
      <w:tr w:rsidR="00C6578C" w14:paraId="670DBF98" w14:textId="77777777" w:rsidTr="00171601">
        <w:trPr>
          <w:del w:id="7034" w:author="AbbVie19" w:date="2025-04-16T10:42:00Z"/>
        </w:trPr>
        <w:tc>
          <w:tcPr>
            <w:tcW w:w="3641" w:type="dxa"/>
          </w:tcPr>
          <w:p w14:paraId="77E7098F" w14:textId="77777777" w:rsidR="00BC0E7E" w:rsidRPr="00BC0E7E" w:rsidRDefault="00944B8F" w:rsidP="00762FA7">
            <w:pPr>
              <w:keepNext/>
              <w:keepLines/>
              <w:tabs>
                <w:tab w:val="clear" w:pos="562"/>
                <w:tab w:val="left" w:pos="360"/>
              </w:tabs>
              <w:spacing w:before="40" w:after="40" w:line="240" w:lineRule="exact"/>
              <w:rPr>
                <w:del w:id="7035" w:author="AbbVie19" w:date="2025-04-16T10:42:00Z"/>
                <w:b/>
                <w:bCs/>
                <w:szCs w:val="20"/>
              </w:rPr>
            </w:pPr>
            <w:del w:id="7036" w:author="AbbVie19" w:date="2025-04-16T10:42:00Z">
              <w:r w:rsidRPr="00BC0E7E">
                <w:rPr>
                  <w:b/>
                  <w:bCs/>
                  <w:szCs w:val="20"/>
                </w:rPr>
                <w:delText>Week</w:delText>
              </w:r>
              <w:r w:rsidRPr="00BC0E7E">
                <w:rPr>
                  <w:sz w:val="20"/>
                  <w:szCs w:val="20"/>
                </w:rPr>
                <w:delText> </w:delText>
              </w:r>
              <w:r w:rsidRPr="00BC0E7E">
                <w:rPr>
                  <w:b/>
                  <w:bCs/>
                  <w:szCs w:val="20"/>
                </w:rPr>
                <w:delText>26</w:delText>
              </w:r>
            </w:del>
          </w:p>
        </w:tc>
        <w:tc>
          <w:tcPr>
            <w:tcW w:w="1751" w:type="dxa"/>
          </w:tcPr>
          <w:p w14:paraId="7566A836" w14:textId="77777777" w:rsidR="00BC0E7E" w:rsidRPr="00BC0E7E" w:rsidRDefault="00944B8F" w:rsidP="00762FA7">
            <w:pPr>
              <w:keepNext/>
              <w:keepLines/>
              <w:tabs>
                <w:tab w:val="clear" w:pos="562"/>
                <w:tab w:val="left" w:pos="360"/>
              </w:tabs>
              <w:spacing w:before="40" w:after="40" w:line="240" w:lineRule="exact"/>
              <w:jc w:val="center"/>
              <w:rPr>
                <w:del w:id="7037" w:author="AbbVie19" w:date="2025-04-16T10:42:00Z"/>
                <w:b/>
                <w:bCs/>
                <w:szCs w:val="20"/>
              </w:rPr>
            </w:pPr>
            <w:del w:id="7038" w:author="AbbVie19" w:date="2025-04-16T10:42:00Z">
              <w:r w:rsidRPr="00BC0E7E">
                <w:rPr>
                  <w:b/>
                  <w:bCs/>
                  <w:szCs w:val="20"/>
                </w:rPr>
                <w:delText>N=170</w:delText>
              </w:r>
            </w:del>
          </w:p>
        </w:tc>
        <w:tc>
          <w:tcPr>
            <w:tcW w:w="1928" w:type="dxa"/>
          </w:tcPr>
          <w:p w14:paraId="7E5003CB" w14:textId="77777777" w:rsidR="00BC0E7E" w:rsidRPr="00BC0E7E" w:rsidRDefault="00944B8F" w:rsidP="00762FA7">
            <w:pPr>
              <w:keepNext/>
              <w:keepLines/>
              <w:tabs>
                <w:tab w:val="clear" w:pos="562"/>
                <w:tab w:val="left" w:pos="360"/>
              </w:tabs>
              <w:spacing w:before="40" w:after="40" w:line="240" w:lineRule="exact"/>
              <w:jc w:val="center"/>
              <w:rPr>
                <w:del w:id="7039" w:author="AbbVie19" w:date="2025-04-16T10:42:00Z"/>
                <w:b/>
                <w:bCs/>
                <w:szCs w:val="20"/>
              </w:rPr>
            </w:pPr>
            <w:del w:id="7040" w:author="AbbVie19" w:date="2025-04-16T10:42:00Z">
              <w:r w:rsidRPr="00BC0E7E">
                <w:rPr>
                  <w:b/>
                  <w:bCs/>
                  <w:szCs w:val="20"/>
                </w:rPr>
                <w:delText>N=172</w:delText>
              </w:r>
            </w:del>
          </w:p>
        </w:tc>
        <w:tc>
          <w:tcPr>
            <w:tcW w:w="1700" w:type="dxa"/>
          </w:tcPr>
          <w:p w14:paraId="5EAE7D67" w14:textId="77777777" w:rsidR="00BC0E7E" w:rsidRPr="00BC0E7E" w:rsidRDefault="00944B8F" w:rsidP="00762FA7">
            <w:pPr>
              <w:keepNext/>
              <w:keepLines/>
              <w:tabs>
                <w:tab w:val="clear" w:pos="562"/>
                <w:tab w:val="left" w:pos="360"/>
              </w:tabs>
              <w:spacing w:before="40" w:after="40" w:line="240" w:lineRule="exact"/>
              <w:jc w:val="center"/>
              <w:rPr>
                <w:del w:id="7041" w:author="AbbVie19" w:date="2025-04-16T10:42:00Z"/>
                <w:b/>
                <w:bCs/>
                <w:szCs w:val="20"/>
              </w:rPr>
            </w:pPr>
            <w:del w:id="7042" w:author="AbbVie19" w:date="2025-04-16T10:42:00Z">
              <w:r w:rsidRPr="00BC0E7E">
                <w:rPr>
                  <w:b/>
                  <w:bCs/>
                  <w:szCs w:val="20"/>
                </w:rPr>
                <w:delText>N=157</w:delText>
              </w:r>
            </w:del>
          </w:p>
        </w:tc>
      </w:tr>
      <w:tr w:rsidR="00C6578C" w14:paraId="15E8F975" w14:textId="77777777" w:rsidTr="00171601">
        <w:trPr>
          <w:del w:id="7043" w:author="AbbVie19" w:date="2025-04-16T10:42:00Z"/>
        </w:trPr>
        <w:tc>
          <w:tcPr>
            <w:tcW w:w="3641" w:type="dxa"/>
          </w:tcPr>
          <w:p w14:paraId="157C08A2" w14:textId="77777777" w:rsidR="00BC0E7E" w:rsidRPr="00BC0E7E" w:rsidRDefault="00944B8F" w:rsidP="00762FA7">
            <w:pPr>
              <w:keepNext/>
              <w:keepLines/>
              <w:tabs>
                <w:tab w:val="clear" w:pos="562"/>
                <w:tab w:val="left" w:pos="360"/>
              </w:tabs>
              <w:spacing w:before="40" w:after="40" w:line="240" w:lineRule="exact"/>
              <w:rPr>
                <w:del w:id="7044" w:author="AbbVie19" w:date="2025-04-16T10:42:00Z"/>
                <w:szCs w:val="20"/>
              </w:rPr>
            </w:pPr>
            <w:del w:id="7045" w:author="AbbVie19" w:date="2025-04-16T10:42:00Z">
              <w:r w:rsidRPr="00BC0E7E">
                <w:rPr>
                  <w:szCs w:val="20"/>
                </w:rPr>
                <w:delText>Clinical remission</w:delText>
              </w:r>
            </w:del>
          </w:p>
        </w:tc>
        <w:tc>
          <w:tcPr>
            <w:tcW w:w="1751" w:type="dxa"/>
          </w:tcPr>
          <w:p w14:paraId="5263DD3B" w14:textId="77777777" w:rsidR="00BC0E7E" w:rsidRPr="00BC0E7E" w:rsidRDefault="00944B8F" w:rsidP="00762FA7">
            <w:pPr>
              <w:keepNext/>
              <w:keepLines/>
              <w:tabs>
                <w:tab w:val="clear" w:pos="562"/>
                <w:tab w:val="left" w:pos="360"/>
              </w:tabs>
              <w:spacing w:before="40" w:after="40" w:line="240" w:lineRule="exact"/>
              <w:jc w:val="center"/>
              <w:rPr>
                <w:del w:id="7046" w:author="AbbVie19" w:date="2025-04-16T10:42:00Z"/>
                <w:szCs w:val="20"/>
              </w:rPr>
            </w:pPr>
            <w:del w:id="7047" w:author="AbbVie19" w:date="2025-04-16T10:42:00Z">
              <w:r w:rsidRPr="00BC0E7E">
                <w:rPr>
                  <w:szCs w:val="20"/>
                </w:rPr>
                <w:delText>17%</w:delText>
              </w:r>
            </w:del>
          </w:p>
        </w:tc>
        <w:tc>
          <w:tcPr>
            <w:tcW w:w="1928" w:type="dxa"/>
          </w:tcPr>
          <w:p w14:paraId="5C2B0AFB" w14:textId="77777777" w:rsidR="00BC0E7E" w:rsidRPr="00BC0E7E" w:rsidRDefault="00944B8F" w:rsidP="00762FA7">
            <w:pPr>
              <w:keepNext/>
              <w:keepLines/>
              <w:tabs>
                <w:tab w:val="clear" w:pos="562"/>
                <w:tab w:val="left" w:pos="360"/>
              </w:tabs>
              <w:spacing w:before="40" w:after="40" w:line="240" w:lineRule="exact"/>
              <w:jc w:val="center"/>
              <w:rPr>
                <w:del w:id="7048" w:author="AbbVie19" w:date="2025-04-16T10:42:00Z"/>
                <w:szCs w:val="20"/>
              </w:rPr>
            </w:pPr>
            <w:del w:id="7049" w:author="AbbVie19" w:date="2025-04-16T10:42:00Z">
              <w:r w:rsidRPr="00BC0E7E">
                <w:rPr>
                  <w:szCs w:val="20"/>
                </w:rPr>
                <w:delText>40%*</w:delText>
              </w:r>
            </w:del>
          </w:p>
        </w:tc>
        <w:tc>
          <w:tcPr>
            <w:tcW w:w="1700" w:type="dxa"/>
          </w:tcPr>
          <w:p w14:paraId="7A512442" w14:textId="77777777" w:rsidR="00BC0E7E" w:rsidRPr="00BC0E7E" w:rsidRDefault="00944B8F" w:rsidP="00762FA7">
            <w:pPr>
              <w:keepNext/>
              <w:keepLines/>
              <w:tabs>
                <w:tab w:val="clear" w:pos="562"/>
                <w:tab w:val="left" w:pos="360"/>
              </w:tabs>
              <w:spacing w:before="40" w:after="40" w:line="240" w:lineRule="exact"/>
              <w:jc w:val="center"/>
              <w:rPr>
                <w:del w:id="7050" w:author="AbbVie19" w:date="2025-04-16T10:42:00Z"/>
                <w:szCs w:val="20"/>
              </w:rPr>
            </w:pPr>
            <w:del w:id="7051" w:author="AbbVie19" w:date="2025-04-16T10:42:00Z">
              <w:r w:rsidRPr="00BC0E7E">
                <w:rPr>
                  <w:szCs w:val="20"/>
                </w:rPr>
                <w:delText>47%*</w:delText>
              </w:r>
            </w:del>
          </w:p>
        </w:tc>
      </w:tr>
      <w:tr w:rsidR="00C6578C" w14:paraId="685CD0DE" w14:textId="77777777" w:rsidTr="00171601">
        <w:trPr>
          <w:del w:id="7052" w:author="AbbVie19" w:date="2025-04-16T10:42:00Z"/>
        </w:trPr>
        <w:tc>
          <w:tcPr>
            <w:tcW w:w="3641" w:type="dxa"/>
          </w:tcPr>
          <w:p w14:paraId="25B6AC30" w14:textId="77777777" w:rsidR="00BC0E7E" w:rsidRPr="00BC0E7E" w:rsidRDefault="00944B8F" w:rsidP="00762FA7">
            <w:pPr>
              <w:keepNext/>
              <w:keepLines/>
              <w:tabs>
                <w:tab w:val="clear" w:pos="562"/>
                <w:tab w:val="left" w:pos="360"/>
              </w:tabs>
              <w:spacing w:before="40" w:after="40" w:line="240" w:lineRule="exact"/>
              <w:rPr>
                <w:del w:id="7053" w:author="AbbVie19" w:date="2025-04-16T10:42:00Z"/>
                <w:szCs w:val="20"/>
              </w:rPr>
            </w:pPr>
            <w:del w:id="7054" w:author="AbbVie19" w:date="2025-04-16T10:42:00Z">
              <w:r w:rsidRPr="00BC0E7E">
                <w:rPr>
                  <w:szCs w:val="20"/>
                </w:rPr>
                <w:delText>Clinical response (CR-100)</w:delText>
              </w:r>
            </w:del>
          </w:p>
        </w:tc>
        <w:tc>
          <w:tcPr>
            <w:tcW w:w="1751" w:type="dxa"/>
          </w:tcPr>
          <w:p w14:paraId="6BF86721" w14:textId="77777777" w:rsidR="00BC0E7E" w:rsidRPr="00BC0E7E" w:rsidRDefault="00944B8F" w:rsidP="00762FA7">
            <w:pPr>
              <w:keepNext/>
              <w:keepLines/>
              <w:tabs>
                <w:tab w:val="clear" w:pos="562"/>
                <w:tab w:val="left" w:pos="360"/>
              </w:tabs>
              <w:spacing w:before="40" w:after="40" w:line="240" w:lineRule="exact"/>
              <w:jc w:val="center"/>
              <w:rPr>
                <w:del w:id="7055" w:author="AbbVie19" w:date="2025-04-16T10:42:00Z"/>
                <w:szCs w:val="20"/>
              </w:rPr>
            </w:pPr>
            <w:del w:id="7056" w:author="AbbVie19" w:date="2025-04-16T10:42:00Z">
              <w:r w:rsidRPr="00BC0E7E">
                <w:rPr>
                  <w:szCs w:val="20"/>
                </w:rPr>
                <w:delText>27%</w:delText>
              </w:r>
            </w:del>
          </w:p>
        </w:tc>
        <w:tc>
          <w:tcPr>
            <w:tcW w:w="1928" w:type="dxa"/>
          </w:tcPr>
          <w:p w14:paraId="339957F2" w14:textId="77777777" w:rsidR="00BC0E7E" w:rsidRPr="00BC0E7E" w:rsidRDefault="00944B8F" w:rsidP="00762FA7">
            <w:pPr>
              <w:keepNext/>
              <w:keepLines/>
              <w:tabs>
                <w:tab w:val="clear" w:pos="562"/>
                <w:tab w:val="left" w:pos="360"/>
              </w:tabs>
              <w:spacing w:before="40" w:after="40" w:line="240" w:lineRule="exact"/>
              <w:jc w:val="center"/>
              <w:rPr>
                <w:del w:id="7057" w:author="AbbVie19" w:date="2025-04-16T10:42:00Z"/>
                <w:szCs w:val="20"/>
              </w:rPr>
            </w:pPr>
            <w:del w:id="7058" w:author="AbbVie19" w:date="2025-04-16T10:42:00Z">
              <w:r w:rsidRPr="00BC0E7E">
                <w:rPr>
                  <w:szCs w:val="20"/>
                </w:rPr>
                <w:delText>52%*</w:delText>
              </w:r>
            </w:del>
          </w:p>
        </w:tc>
        <w:tc>
          <w:tcPr>
            <w:tcW w:w="1700" w:type="dxa"/>
          </w:tcPr>
          <w:p w14:paraId="1CCFBB9A" w14:textId="77777777" w:rsidR="00BC0E7E" w:rsidRPr="00BC0E7E" w:rsidRDefault="00944B8F" w:rsidP="00762FA7">
            <w:pPr>
              <w:keepNext/>
              <w:keepLines/>
              <w:tabs>
                <w:tab w:val="clear" w:pos="562"/>
                <w:tab w:val="left" w:pos="360"/>
              </w:tabs>
              <w:spacing w:before="40" w:after="40" w:line="240" w:lineRule="exact"/>
              <w:jc w:val="center"/>
              <w:rPr>
                <w:del w:id="7059" w:author="AbbVie19" w:date="2025-04-16T10:42:00Z"/>
                <w:szCs w:val="20"/>
              </w:rPr>
            </w:pPr>
            <w:del w:id="7060" w:author="AbbVie19" w:date="2025-04-16T10:42:00Z">
              <w:r w:rsidRPr="00BC0E7E">
                <w:rPr>
                  <w:szCs w:val="20"/>
                </w:rPr>
                <w:delText>52%*</w:delText>
              </w:r>
            </w:del>
          </w:p>
        </w:tc>
      </w:tr>
      <w:tr w:rsidR="00C6578C" w14:paraId="4F9548D5" w14:textId="77777777" w:rsidTr="00171601">
        <w:trPr>
          <w:del w:id="7061" w:author="AbbVie19" w:date="2025-04-16T10:42:00Z"/>
        </w:trPr>
        <w:tc>
          <w:tcPr>
            <w:tcW w:w="3641" w:type="dxa"/>
          </w:tcPr>
          <w:p w14:paraId="4BC5D141" w14:textId="77777777" w:rsidR="00BC0E7E" w:rsidRPr="00BC0E7E" w:rsidRDefault="00944B8F" w:rsidP="00762FA7">
            <w:pPr>
              <w:keepNext/>
              <w:keepLines/>
              <w:tabs>
                <w:tab w:val="clear" w:pos="562"/>
                <w:tab w:val="left" w:pos="360"/>
              </w:tabs>
              <w:spacing w:before="40" w:after="40" w:line="240" w:lineRule="exact"/>
              <w:ind w:left="360"/>
              <w:rPr>
                <w:del w:id="7062" w:author="AbbVie19" w:date="2025-04-16T10:42:00Z"/>
                <w:szCs w:val="20"/>
              </w:rPr>
            </w:pPr>
            <w:del w:id="7063" w:author="AbbVie19" w:date="2025-04-16T10:42:00Z">
              <w:r w:rsidRPr="00BC0E7E">
                <w:rPr>
                  <w:szCs w:val="20"/>
                </w:rPr>
                <w:delText xml:space="preserve">Patients in steroid-free remission </w:delText>
              </w:r>
              <w:r w:rsidRPr="00BC0E7E">
                <w:rPr>
                  <w:szCs w:val="20"/>
                </w:rPr>
                <w:br/>
                <w:delText>for &gt;=90</w:delText>
              </w:r>
              <w:r w:rsidRPr="00BC0E7E">
                <w:rPr>
                  <w:sz w:val="20"/>
                  <w:szCs w:val="20"/>
                </w:rPr>
                <w:delText> </w:delText>
              </w:r>
              <w:r w:rsidRPr="00BC0E7E">
                <w:rPr>
                  <w:szCs w:val="20"/>
                </w:rPr>
                <w:delText>days</w:delText>
              </w:r>
              <w:r w:rsidRPr="00BC0E7E">
                <w:rPr>
                  <w:szCs w:val="20"/>
                  <w:vertAlign w:val="superscript"/>
                </w:rPr>
                <w:delText>a</w:delText>
              </w:r>
            </w:del>
          </w:p>
        </w:tc>
        <w:tc>
          <w:tcPr>
            <w:tcW w:w="1751" w:type="dxa"/>
          </w:tcPr>
          <w:p w14:paraId="7EF98712" w14:textId="77777777" w:rsidR="00BC0E7E" w:rsidRPr="00BC0E7E" w:rsidRDefault="00944B8F" w:rsidP="00762FA7">
            <w:pPr>
              <w:keepNext/>
              <w:keepLines/>
              <w:tabs>
                <w:tab w:val="clear" w:pos="562"/>
                <w:tab w:val="left" w:pos="360"/>
              </w:tabs>
              <w:spacing w:before="40" w:after="40" w:line="240" w:lineRule="exact"/>
              <w:jc w:val="center"/>
              <w:rPr>
                <w:del w:id="7064" w:author="AbbVie19" w:date="2025-04-16T10:42:00Z"/>
                <w:szCs w:val="20"/>
              </w:rPr>
            </w:pPr>
            <w:del w:id="7065" w:author="AbbVie19" w:date="2025-04-16T10:42:00Z">
              <w:r w:rsidRPr="00BC0E7E">
                <w:rPr>
                  <w:szCs w:val="20"/>
                </w:rPr>
                <w:delText>3% (2/66)</w:delText>
              </w:r>
            </w:del>
          </w:p>
        </w:tc>
        <w:tc>
          <w:tcPr>
            <w:tcW w:w="1928" w:type="dxa"/>
          </w:tcPr>
          <w:p w14:paraId="45BFC349" w14:textId="77777777" w:rsidR="00BC0E7E" w:rsidRPr="00BC0E7E" w:rsidRDefault="00944B8F" w:rsidP="00762FA7">
            <w:pPr>
              <w:keepNext/>
              <w:keepLines/>
              <w:tabs>
                <w:tab w:val="clear" w:pos="562"/>
                <w:tab w:val="left" w:pos="360"/>
              </w:tabs>
              <w:spacing w:before="40" w:after="40" w:line="240" w:lineRule="exact"/>
              <w:jc w:val="center"/>
              <w:rPr>
                <w:del w:id="7066" w:author="AbbVie19" w:date="2025-04-16T10:42:00Z"/>
                <w:szCs w:val="20"/>
              </w:rPr>
            </w:pPr>
            <w:del w:id="7067" w:author="AbbVie19" w:date="2025-04-16T10:42:00Z">
              <w:r w:rsidRPr="00BC0E7E">
                <w:rPr>
                  <w:szCs w:val="20"/>
                </w:rPr>
                <w:delText>19% (11/58)**</w:delText>
              </w:r>
            </w:del>
          </w:p>
        </w:tc>
        <w:tc>
          <w:tcPr>
            <w:tcW w:w="1700" w:type="dxa"/>
          </w:tcPr>
          <w:p w14:paraId="68B3AA33" w14:textId="77777777" w:rsidR="00BC0E7E" w:rsidRPr="00BC0E7E" w:rsidRDefault="00944B8F" w:rsidP="00762FA7">
            <w:pPr>
              <w:keepNext/>
              <w:keepLines/>
              <w:tabs>
                <w:tab w:val="clear" w:pos="562"/>
                <w:tab w:val="left" w:pos="360"/>
              </w:tabs>
              <w:spacing w:before="40" w:after="40" w:line="240" w:lineRule="exact"/>
              <w:jc w:val="center"/>
              <w:rPr>
                <w:del w:id="7068" w:author="AbbVie19" w:date="2025-04-16T10:42:00Z"/>
                <w:szCs w:val="20"/>
              </w:rPr>
            </w:pPr>
            <w:del w:id="7069" w:author="AbbVie19" w:date="2025-04-16T10:42:00Z">
              <w:r w:rsidRPr="00BC0E7E">
                <w:rPr>
                  <w:szCs w:val="20"/>
                </w:rPr>
                <w:delText>15% (11/74)**</w:delText>
              </w:r>
            </w:del>
          </w:p>
        </w:tc>
      </w:tr>
      <w:tr w:rsidR="00C6578C" w14:paraId="38D51C75" w14:textId="77777777" w:rsidTr="00171601">
        <w:trPr>
          <w:del w:id="7070" w:author="AbbVie19" w:date="2025-04-16T10:42:00Z"/>
        </w:trPr>
        <w:tc>
          <w:tcPr>
            <w:tcW w:w="3641" w:type="dxa"/>
          </w:tcPr>
          <w:p w14:paraId="2D17F935" w14:textId="77777777" w:rsidR="00BC0E7E" w:rsidRPr="00BC0E7E" w:rsidRDefault="00944B8F" w:rsidP="00762FA7">
            <w:pPr>
              <w:keepNext/>
              <w:keepLines/>
              <w:tabs>
                <w:tab w:val="clear" w:pos="562"/>
                <w:tab w:val="left" w:pos="360"/>
              </w:tabs>
              <w:spacing w:before="40" w:after="40" w:line="240" w:lineRule="exact"/>
              <w:rPr>
                <w:del w:id="7071" w:author="AbbVie19" w:date="2025-04-16T10:42:00Z"/>
                <w:b/>
                <w:bCs/>
                <w:szCs w:val="20"/>
              </w:rPr>
            </w:pPr>
            <w:del w:id="7072" w:author="AbbVie19" w:date="2025-04-16T10:42:00Z">
              <w:r w:rsidRPr="00BC0E7E">
                <w:rPr>
                  <w:b/>
                  <w:bCs/>
                  <w:szCs w:val="20"/>
                </w:rPr>
                <w:delText>Week 56</w:delText>
              </w:r>
            </w:del>
          </w:p>
        </w:tc>
        <w:tc>
          <w:tcPr>
            <w:tcW w:w="1751" w:type="dxa"/>
          </w:tcPr>
          <w:p w14:paraId="0BC03A54" w14:textId="77777777" w:rsidR="00BC0E7E" w:rsidRPr="00BC0E7E" w:rsidRDefault="00944B8F" w:rsidP="00762FA7">
            <w:pPr>
              <w:keepNext/>
              <w:keepLines/>
              <w:tabs>
                <w:tab w:val="clear" w:pos="562"/>
                <w:tab w:val="left" w:pos="360"/>
              </w:tabs>
              <w:spacing w:before="40" w:after="40" w:line="240" w:lineRule="exact"/>
              <w:jc w:val="center"/>
              <w:rPr>
                <w:del w:id="7073" w:author="AbbVie19" w:date="2025-04-16T10:42:00Z"/>
                <w:b/>
                <w:bCs/>
                <w:szCs w:val="20"/>
              </w:rPr>
            </w:pPr>
            <w:del w:id="7074" w:author="AbbVie19" w:date="2025-04-16T10:42:00Z">
              <w:r w:rsidRPr="00BC0E7E">
                <w:rPr>
                  <w:b/>
                  <w:bCs/>
                  <w:szCs w:val="20"/>
                </w:rPr>
                <w:delText>N=170</w:delText>
              </w:r>
            </w:del>
          </w:p>
        </w:tc>
        <w:tc>
          <w:tcPr>
            <w:tcW w:w="1928" w:type="dxa"/>
          </w:tcPr>
          <w:p w14:paraId="688A5459" w14:textId="77777777" w:rsidR="00BC0E7E" w:rsidRPr="00BC0E7E" w:rsidRDefault="00944B8F" w:rsidP="00762FA7">
            <w:pPr>
              <w:keepNext/>
              <w:keepLines/>
              <w:tabs>
                <w:tab w:val="clear" w:pos="562"/>
                <w:tab w:val="left" w:pos="360"/>
              </w:tabs>
              <w:spacing w:before="40" w:after="40" w:line="240" w:lineRule="exact"/>
              <w:jc w:val="center"/>
              <w:rPr>
                <w:del w:id="7075" w:author="AbbVie19" w:date="2025-04-16T10:42:00Z"/>
                <w:b/>
                <w:bCs/>
                <w:szCs w:val="20"/>
              </w:rPr>
            </w:pPr>
            <w:del w:id="7076" w:author="AbbVie19" w:date="2025-04-16T10:42:00Z">
              <w:r w:rsidRPr="00BC0E7E">
                <w:rPr>
                  <w:b/>
                  <w:bCs/>
                  <w:szCs w:val="20"/>
                </w:rPr>
                <w:delText>N=172</w:delText>
              </w:r>
            </w:del>
          </w:p>
        </w:tc>
        <w:tc>
          <w:tcPr>
            <w:tcW w:w="1700" w:type="dxa"/>
          </w:tcPr>
          <w:p w14:paraId="1DD2BE24" w14:textId="77777777" w:rsidR="00BC0E7E" w:rsidRPr="00BC0E7E" w:rsidRDefault="00944B8F" w:rsidP="00762FA7">
            <w:pPr>
              <w:keepNext/>
              <w:keepLines/>
              <w:tabs>
                <w:tab w:val="clear" w:pos="562"/>
                <w:tab w:val="left" w:pos="360"/>
              </w:tabs>
              <w:spacing w:before="40" w:after="40" w:line="240" w:lineRule="exact"/>
              <w:jc w:val="center"/>
              <w:rPr>
                <w:del w:id="7077" w:author="AbbVie19" w:date="2025-04-16T10:42:00Z"/>
                <w:b/>
                <w:bCs/>
                <w:szCs w:val="20"/>
              </w:rPr>
            </w:pPr>
            <w:del w:id="7078" w:author="AbbVie19" w:date="2025-04-16T10:42:00Z">
              <w:r w:rsidRPr="00BC0E7E">
                <w:rPr>
                  <w:b/>
                  <w:bCs/>
                  <w:szCs w:val="20"/>
                </w:rPr>
                <w:delText>N=157</w:delText>
              </w:r>
            </w:del>
          </w:p>
        </w:tc>
      </w:tr>
      <w:tr w:rsidR="00C6578C" w14:paraId="646E3529" w14:textId="77777777" w:rsidTr="00171601">
        <w:trPr>
          <w:del w:id="7079" w:author="AbbVie19" w:date="2025-04-16T10:42:00Z"/>
        </w:trPr>
        <w:tc>
          <w:tcPr>
            <w:tcW w:w="3641" w:type="dxa"/>
          </w:tcPr>
          <w:p w14:paraId="62B182E1" w14:textId="77777777" w:rsidR="00BC0E7E" w:rsidRPr="00BC0E7E" w:rsidRDefault="00944B8F" w:rsidP="00762FA7">
            <w:pPr>
              <w:keepNext/>
              <w:keepLines/>
              <w:tabs>
                <w:tab w:val="clear" w:pos="562"/>
                <w:tab w:val="left" w:pos="360"/>
              </w:tabs>
              <w:spacing w:before="40" w:after="40" w:line="240" w:lineRule="exact"/>
              <w:rPr>
                <w:del w:id="7080" w:author="AbbVie19" w:date="2025-04-16T10:42:00Z"/>
                <w:szCs w:val="20"/>
              </w:rPr>
            </w:pPr>
            <w:del w:id="7081" w:author="AbbVie19" w:date="2025-04-16T10:42:00Z">
              <w:r w:rsidRPr="00BC0E7E">
                <w:rPr>
                  <w:szCs w:val="20"/>
                </w:rPr>
                <w:delText>Clinical remission</w:delText>
              </w:r>
            </w:del>
          </w:p>
        </w:tc>
        <w:tc>
          <w:tcPr>
            <w:tcW w:w="1751" w:type="dxa"/>
          </w:tcPr>
          <w:p w14:paraId="4EF6CB6D" w14:textId="77777777" w:rsidR="00BC0E7E" w:rsidRPr="00BC0E7E" w:rsidRDefault="00944B8F" w:rsidP="00762FA7">
            <w:pPr>
              <w:keepNext/>
              <w:keepLines/>
              <w:tabs>
                <w:tab w:val="clear" w:pos="562"/>
                <w:tab w:val="left" w:pos="360"/>
              </w:tabs>
              <w:spacing w:before="40" w:after="40" w:line="240" w:lineRule="exact"/>
              <w:jc w:val="center"/>
              <w:rPr>
                <w:del w:id="7082" w:author="AbbVie19" w:date="2025-04-16T10:42:00Z"/>
                <w:szCs w:val="20"/>
              </w:rPr>
            </w:pPr>
            <w:del w:id="7083" w:author="AbbVie19" w:date="2025-04-16T10:42:00Z">
              <w:r w:rsidRPr="00BC0E7E">
                <w:rPr>
                  <w:szCs w:val="20"/>
                </w:rPr>
                <w:delText>12%</w:delText>
              </w:r>
            </w:del>
          </w:p>
        </w:tc>
        <w:tc>
          <w:tcPr>
            <w:tcW w:w="1928" w:type="dxa"/>
          </w:tcPr>
          <w:p w14:paraId="6CE6FEB2" w14:textId="77777777" w:rsidR="00BC0E7E" w:rsidRPr="00BC0E7E" w:rsidRDefault="00944B8F" w:rsidP="00762FA7">
            <w:pPr>
              <w:keepNext/>
              <w:keepLines/>
              <w:tabs>
                <w:tab w:val="clear" w:pos="562"/>
                <w:tab w:val="left" w:pos="360"/>
              </w:tabs>
              <w:spacing w:before="40" w:after="40" w:line="240" w:lineRule="exact"/>
              <w:jc w:val="center"/>
              <w:rPr>
                <w:del w:id="7084" w:author="AbbVie19" w:date="2025-04-16T10:42:00Z"/>
                <w:szCs w:val="20"/>
              </w:rPr>
            </w:pPr>
            <w:del w:id="7085" w:author="AbbVie19" w:date="2025-04-16T10:42:00Z">
              <w:r w:rsidRPr="00BC0E7E">
                <w:rPr>
                  <w:szCs w:val="20"/>
                </w:rPr>
                <w:delText>36%*</w:delText>
              </w:r>
            </w:del>
          </w:p>
        </w:tc>
        <w:tc>
          <w:tcPr>
            <w:tcW w:w="1700" w:type="dxa"/>
          </w:tcPr>
          <w:p w14:paraId="74C5D44B" w14:textId="77777777" w:rsidR="00BC0E7E" w:rsidRPr="00BC0E7E" w:rsidRDefault="00944B8F" w:rsidP="00762FA7">
            <w:pPr>
              <w:keepNext/>
              <w:keepLines/>
              <w:tabs>
                <w:tab w:val="clear" w:pos="562"/>
                <w:tab w:val="left" w:pos="360"/>
              </w:tabs>
              <w:spacing w:before="40" w:after="40" w:line="240" w:lineRule="exact"/>
              <w:jc w:val="center"/>
              <w:rPr>
                <w:del w:id="7086" w:author="AbbVie19" w:date="2025-04-16T10:42:00Z"/>
                <w:szCs w:val="20"/>
              </w:rPr>
            </w:pPr>
            <w:del w:id="7087" w:author="AbbVie19" w:date="2025-04-16T10:42:00Z">
              <w:r w:rsidRPr="00BC0E7E">
                <w:rPr>
                  <w:szCs w:val="20"/>
                </w:rPr>
                <w:delText>41%*</w:delText>
              </w:r>
            </w:del>
          </w:p>
        </w:tc>
      </w:tr>
      <w:tr w:rsidR="00C6578C" w14:paraId="0053CEF8" w14:textId="77777777" w:rsidTr="00171601">
        <w:trPr>
          <w:del w:id="7088" w:author="AbbVie19" w:date="2025-04-16T10:42:00Z"/>
        </w:trPr>
        <w:tc>
          <w:tcPr>
            <w:tcW w:w="3641" w:type="dxa"/>
          </w:tcPr>
          <w:p w14:paraId="72FA3FBB" w14:textId="77777777" w:rsidR="00BC0E7E" w:rsidRPr="00BC0E7E" w:rsidRDefault="00944B8F" w:rsidP="00762FA7">
            <w:pPr>
              <w:keepNext/>
              <w:keepLines/>
              <w:tabs>
                <w:tab w:val="clear" w:pos="562"/>
                <w:tab w:val="left" w:pos="360"/>
              </w:tabs>
              <w:spacing w:before="40" w:after="40" w:line="240" w:lineRule="exact"/>
              <w:rPr>
                <w:del w:id="7089" w:author="AbbVie19" w:date="2025-04-16T10:42:00Z"/>
                <w:szCs w:val="20"/>
              </w:rPr>
            </w:pPr>
            <w:del w:id="7090" w:author="AbbVie19" w:date="2025-04-16T10:42:00Z">
              <w:r w:rsidRPr="00BC0E7E">
                <w:rPr>
                  <w:szCs w:val="20"/>
                </w:rPr>
                <w:delText>Clinical response (CR-100)</w:delText>
              </w:r>
            </w:del>
          </w:p>
        </w:tc>
        <w:tc>
          <w:tcPr>
            <w:tcW w:w="1751" w:type="dxa"/>
          </w:tcPr>
          <w:p w14:paraId="056BE0F9" w14:textId="77777777" w:rsidR="00BC0E7E" w:rsidRPr="00BC0E7E" w:rsidRDefault="00944B8F" w:rsidP="00762FA7">
            <w:pPr>
              <w:keepNext/>
              <w:keepLines/>
              <w:tabs>
                <w:tab w:val="clear" w:pos="562"/>
                <w:tab w:val="left" w:pos="360"/>
              </w:tabs>
              <w:spacing w:before="40" w:after="40" w:line="240" w:lineRule="exact"/>
              <w:jc w:val="center"/>
              <w:rPr>
                <w:del w:id="7091" w:author="AbbVie19" w:date="2025-04-16T10:42:00Z"/>
                <w:szCs w:val="20"/>
              </w:rPr>
            </w:pPr>
            <w:del w:id="7092" w:author="AbbVie19" w:date="2025-04-16T10:42:00Z">
              <w:r w:rsidRPr="00BC0E7E">
                <w:rPr>
                  <w:szCs w:val="20"/>
                </w:rPr>
                <w:delText>17%</w:delText>
              </w:r>
            </w:del>
          </w:p>
        </w:tc>
        <w:tc>
          <w:tcPr>
            <w:tcW w:w="1928" w:type="dxa"/>
          </w:tcPr>
          <w:p w14:paraId="16A263A3" w14:textId="77777777" w:rsidR="00BC0E7E" w:rsidRPr="00BC0E7E" w:rsidRDefault="00944B8F" w:rsidP="00762FA7">
            <w:pPr>
              <w:keepNext/>
              <w:keepLines/>
              <w:tabs>
                <w:tab w:val="clear" w:pos="562"/>
                <w:tab w:val="left" w:pos="360"/>
              </w:tabs>
              <w:spacing w:before="40" w:after="40" w:line="240" w:lineRule="exact"/>
              <w:jc w:val="center"/>
              <w:rPr>
                <w:del w:id="7093" w:author="AbbVie19" w:date="2025-04-16T10:42:00Z"/>
                <w:szCs w:val="20"/>
              </w:rPr>
            </w:pPr>
            <w:del w:id="7094" w:author="AbbVie19" w:date="2025-04-16T10:42:00Z">
              <w:r w:rsidRPr="00BC0E7E">
                <w:rPr>
                  <w:szCs w:val="20"/>
                </w:rPr>
                <w:delText>41%*</w:delText>
              </w:r>
            </w:del>
          </w:p>
        </w:tc>
        <w:tc>
          <w:tcPr>
            <w:tcW w:w="1700" w:type="dxa"/>
          </w:tcPr>
          <w:p w14:paraId="6ED51A03" w14:textId="77777777" w:rsidR="00BC0E7E" w:rsidRPr="00BC0E7E" w:rsidRDefault="00944B8F" w:rsidP="00762FA7">
            <w:pPr>
              <w:keepNext/>
              <w:keepLines/>
              <w:tabs>
                <w:tab w:val="clear" w:pos="562"/>
                <w:tab w:val="left" w:pos="360"/>
              </w:tabs>
              <w:spacing w:before="40" w:after="40" w:line="240" w:lineRule="exact"/>
              <w:jc w:val="center"/>
              <w:rPr>
                <w:del w:id="7095" w:author="AbbVie19" w:date="2025-04-16T10:42:00Z"/>
                <w:szCs w:val="20"/>
              </w:rPr>
            </w:pPr>
            <w:del w:id="7096" w:author="AbbVie19" w:date="2025-04-16T10:42:00Z">
              <w:r w:rsidRPr="00BC0E7E">
                <w:rPr>
                  <w:szCs w:val="20"/>
                </w:rPr>
                <w:delText>48%*</w:delText>
              </w:r>
            </w:del>
          </w:p>
        </w:tc>
      </w:tr>
      <w:tr w:rsidR="00C6578C" w14:paraId="1FCAAFD9" w14:textId="77777777" w:rsidTr="00171601">
        <w:trPr>
          <w:del w:id="7097" w:author="AbbVie19" w:date="2025-04-16T10:42:00Z"/>
        </w:trPr>
        <w:tc>
          <w:tcPr>
            <w:tcW w:w="3641" w:type="dxa"/>
            <w:tcBorders>
              <w:bottom w:val="single" w:sz="4" w:space="0" w:color="auto"/>
            </w:tcBorders>
          </w:tcPr>
          <w:p w14:paraId="2A37A689" w14:textId="77777777" w:rsidR="00BC0E7E" w:rsidRPr="00BC0E7E" w:rsidRDefault="00944B8F" w:rsidP="00762FA7">
            <w:pPr>
              <w:keepNext/>
              <w:keepLines/>
              <w:tabs>
                <w:tab w:val="clear" w:pos="562"/>
                <w:tab w:val="left" w:pos="360"/>
              </w:tabs>
              <w:spacing w:before="40" w:after="40" w:line="240" w:lineRule="exact"/>
              <w:ind w:left="360"/>
              <w:rPr>
                <w:del w:id="7098" w:author="AbbVie19" w:date="2025-04-16T10:42:00Z"/>
                <w:szCs w:val="20"/>
              </w:rPr>
            </w:pPr>
            <w:del w:id="7099" w:author="AbbVie19" w:date="2025-04-16T10:42:00Z">
              <w:r w:rsidRPr="00BC0E7E">
                <w:rPr>
                  <w:szCs w:val="20"/>
                </w:rPr>
                <w:delText xml:space="preserve">Patients in steroid-free remission </w:delText>
              </w:r>
              <w:r w:rsidRPr="00BC0E7E">
                <w:rPr>
                  <w:szCs w:val="20"/>
                </w:rPr>
                <w:br/>
                <w:delText>for &gt;=90</w:delText>
              </w:r>
              <w:r w:rsidRPr="00BC0E7E">
                <w:rPr>
                  <w:sz w:val="20"/>
                  <w:szCs w:val="20"/>
                </w:rPr>
                <w:delText> </w:delText>
              </w:r>
              <w:r w:rsidRPr="00BC0E7E">
                <w:rPr>
                  <w:szCs w:val="20"/>
                </w:rPr>
                <w:delText>days</w:delText>
              </w:r>
              <w:r w:rsidRPr="00BC0E7E">
                <w:rPr>
                  <w:szCs w:val="20"/>
                  <w:vertAlign w:val="superscript"/>
                </w:rPr>
                <w:delText>a</w:delText>
              </w:r>
            </w:del>
          </w:p>
        </w:tc>
        <w:tc>
          <w:tcPr>
            <w:tcW w:w="1751" w:type="dxa"/>
            <w:tcBorders>
              <w:bottom w:val="single" w:sz="4" w:space="0" w:color="auto"/>
            </w:tcBorders>
          </w:tcPr>
          <w:p w14:paraId="33FC9037" w14:textId="77777777" w:rsidR="00BC0E7E" w:rsidRPr="00BC0E7E" w:rsidRDefault="00944B8F" w:rsidP="00762FA7">
            <w:pPr>
              <w:keepNext/>
              <w:keepLines/>
              <w:tabs>
                <w:tab w:val="clear" w:pos="562"/>
                <w:tab w:val="left" w:pos="360"/>
              </w:tabs>
              <w:spacing w:before="40" w:after="40" w:line="240" w:lineRule="exact"/>
              <w:jc w:val="center"/>
              <w:rPr>
                <w:del w:id="7100" w:author="AbbVie19" w:date="2025-04-16T10:42:00Z"/>
                <w:szCs w:val="20"/>
              </w:rPr>
            </w:pPr>
            <w:del w:id="7101" w:author="AbbVie19" w:date="2025-04-16T10:42:00Z">
              <w:r w:rsidRPr="00BC0E7E">
                <w:rPr>
                  <w:szCs w:val="20"/>
                </w:rPr>
                <w:delText>5% (3/66)</w:delText>
              </w:r>
            </w:del>
          </w:p>
        </w:tc>
        <w:tc>
          <w:tcPr>
            <w:tcW w:w="1928" w:type="dxa"/>
            <w:tcBorders>
              <w:bottom w:val="single" w:sz="4" w:space="0" w:color="auto"/>
            </w:tcBorders>
          </w:tcPr>
          <w:p w14:paraId="7B3569EA" w14:textId="77777777" w:rsidR="00BC0E7E" w:rsidRPr="00BC0E7E" w:rsidRDefault="00944B8F" w:rsidP="00762FA7">
            <w:pPr>
              <w:keepNext/>
              <w:keepLines/>
              <w:tabs>
                <w:tab w:val="clear" w:pos="562"/>
                <w:tab w:val="left" w:pos="360"/>
              </w:tabs>
              <w:spacing w:before="40" w:after="40" w:line="240" w:lineRule="exact"/>
              <w:jc w:val="center"/>
              <w:rPr>
                <w:del w:id="7102" w:author="AbbVie19" w:date="2025-04-16T10:42:00Z"/>
                <w:szCs w:val="20"/>
              </w:rPr>
            </w:pPr>
            <w:del w:id="7103" w:author="AbbVie19" w:date="2025-04-16T10:42:00Z">
              <w:r w:rsidRPr="00BC0E7E">
                <w:rPr>
                  <w:szCs w:val="20"/>
                </w:rPr>
                <w:delText>29% (17/58)*</w:delText>
              </w:r>
            </w:del>
          </w:p>
        </w:tc>
        <w:tc>
          <w:tcPr>
            <w:tcW w:w="1700" w:type="dxa"/>
            <w:tcBorders>
              <w:bottom w:val="single" w:sz="4" w:space="0" w:color="auto"/>
            </w:tcBorders>
          </w:tcPr>
          <w:p w14:paraId="4B2D3157" w14:textId="77777777" w:rsidR="00BC0E7E" w:rsidRPr="00BC0E7E" w:rsidRDefault="00944B8F" w:rsidP="00762FA7">
            <w:pPr>
              <w:keepNext/>
              <w:keepLines/>
              <w:tabs>
                <w:tab w:val="clear" w:pos="562"/>
                <w:tab w:val="left" w:pos="360"/>
              </w:tabs>
              <w:spacing w:before="40" w:after="40" w:line="240" w:lineRule="exact"/>
              <w:jc w:val="center"/>
              <w:rPr>
                <w:del w:id="7104" w:author="AbbVie19" w:date="2025-04-16T10:42:00Z"/>
                <w:szCs w:val="20"/>
              </w:rPr>
            </w:pPr>
            <w:del w:id="7105" w:author="AbbVie19" w:date="2025-04-16T10:42:00Z">
              <w:r w:rsidRPr="00BC0E7E">
                <w:rPr>
                  <w:szCs w:val="20"/>
                </w:rPr>
                <w:delText>20% (15/74)**</w:delText>
              </w:r>
            </w:del>
          </w:p>
        </w:tc>
      </w:tr>
      <w:tr w:rsidR="00C6578C" w14:paraId="64057ED0" w14:textId="77777777" w:rsidTr="00171601">
        <w:trPr>
          <w:cantSplit/>
          <w:del w:id="7106" w:author="AbbVie19" w:date="2025-04-16T10:42:00Z"/>
        </w:trPr>
        <w:tc>
          <w:tcPr>
            <w:tcW w:w="9020" w:type="dxa"/>
            <w:gridSpan w:val="4"/>
            <w:tcBorders>
              <w:top w:val="single" w:sz="4" w:space="0" w:color="auto"/>
              <w:left w:val="nil"/>
              <w:bottom w:val="nil"/>
              <w:right w:val="nil"/>
            </w:tcBorders>
          </w:tcPr>
          <w:p w14:paraId="3DC8D81F" w14:textId="77777777" w:rsidR="00BC0E7E" w:rsidRPr="00BC0E7E" w:rsidRDefault="00944B8F" w:rsidP="00762FA7">
            <w:pPr>
              <w:keepNext/>
              <w:keepLines/>
              <w:tabs>
                <w:tab w:val="clear" w:pos="562"/>
                <w:tab w:val="left" w:pos="360"/>
              </w:tabs>
              <w:spacing w:before="40" w:after="40" w:line="240" w:lineRule="exact"/>
              <w:rPr>
                <w:del w:id="7107" w:author="AbbVie19" w:date="2025-04-16T10:42:00Z"/>
                <w:szCs w:val="20"/>
              </w:rPr>
            </w:pPr>
            <w:del w:id="7108" w:author="AbbVie19" w:date="2025-04-16T10:42:00Z">
              <w:r w:rsidRPr="00BC0E7E">
                <w:rPr>
                  <w:szCs w:val="20"/>
                </w:rPr>
                <w:delText>*</w:delText>
              </w:r>
              <w:r w:rsidRPr="00BC0E7E">
                <w:rPr>
                  <w:szCs w:val="20"/>
                </w:rPr>
                <w:tab/>
                <w:delText xml:space="preserve">p &lt; 0.001 for Humira </w:delText>
              </w:r>
              <w:r w:rsidRPr="00BC0E7E">
                <w:rPr>
                  <w:i/>
                  <w:iCs/>
                  <w:szCs w:val="20"/>
                </w:rPr>
                <w:delText>versus</w:delText>
              </w:r>
              <w:r w:rsidRPr="00BC0E7E">
                <w:rPr>
                  <w:szCs w:val="20"/>
                </w:rPr>
                <w:delText xml:space="preserve"> placebo pairwise comparisons   of proportions</w:delText>
              </w:r>
            </w:del>
          </w:p>
          <w:p w14:paraId="5D17F141" w14:textId="77777777" w:rsidR="00BC0E7E" w:rsidRPr="00BC0E7E" w:rsidRDefault="00944B8F" w:rsidP="00762FA7">
            <w:pPr>
              <w:keepNext/>
              <w:keepLines/>
              <w:tabs>
                <w:tab w:val="clear" w:pos="562"/>
                <w:tab w:val="left" w:pos="360"/>
              </w:tabs>
              <w:spacing w:before="40" w:after="40" w:line="240" w:lineRule="exact"/>
              <w:rPr>
                <w:del w:id="7109" w:author="AbbVie19" w:date="2025-04-16T10:42:00Z"/>
                <w:szCs w:val="20"/>
              </w:rPr>
            </w:pPr>
            <w:del w:id="7110" w:author="AbbVie19" w:date="2025-04-16T10:42:00Z">
              <w:r w:rsidRPr="00BC0E7E">
                <w:rPr>
                  <w:szCs w:val="20"/>
                </w:rPr>
                <w:delText>**</w:delText>
              </w:r>
              <w:r w:rsidRPr="00BC0E7E">
                <w:rPr>
                  <w:szCs w:val="20"/>
                </w:rPr>
                <w:tab/>
                <w:delText xml:space="preserve">p &lt; 0.02 for Humira </w:delText>
              </w:r>
              <w:r w:rsidRPr="00BC0E7E">
                <w:rPr>
                  <w:i/>
                  <w:iCs/>
                  <w:szCs w:val="20"/>
                </w:rPr>
                <w:delText>versus</w:delText>
              </w:r>
              <w:r w:rsidRPr="00BC0E7E">
                <w:rPr>
                  <w:szCs w:val="20"/>
                </w:rPr>
                <w:delText xml:space="preserve"> placebo pairwise comparisons of proportions</w:delText>
              </w:r>
            </w:del>
          </w:p>
          <w:p w14:paraId="7A8F3C34" w14:textId="77777777" w:rsidR="00BC0E7E" w:rsidRPr="00BC0E7E" w:rsidRDefault="00944B8F" w:rsidP="00762FA7">
            <w:pPr>
              <w:keepNext/>
              <w:keepLines/>
              <w:tabs>
                <w:tab w:val="clear" w:pos="562"/>
                <w:tab w:val="left" w:pos="360"/>
              </w:tabs>
              <w:spacing w:before="40" w:after="40" w:line="240" w:lineRule="exact"/>
              <w:rPr>
                <w:del w:id="7111" w:author="AbbVie19" w:date="2025-04-16T10:42:00Z"/>
                <w:szCs w:val="20"/>
              </w:rPr>
            </w:pPr>
            <w:del w:id="7112" w:author="AbbVie19" w:date="2025-04-16T10:42:00Z">
              <w:r w:rsidRPr="00BC0E7E">
                <w:rPr>
                  <w:szCs w:val="20"/>
                  <w:vertAlign w:val="superscript"/>
                </w:rPr>
                <w:delText>a</w:delText>
              </w:r>
              <w:r w:rsidRPr="00BC0E7E">
                <w:rPr>
                  <w:szCs w:val="20"/>
                  <w:vertAlign w:val="superscript"/>
                </w:rPr>
                <w:tab/>
              </w:r>
              <w:r w:rsidRPr="00BC0E7E">
                <w:rPr>
                  <w:szCs w:val="20"/>
                </w:rPr>
                <w:delText>Of those receiving corticosteroids at baseline</w:delText>
              </w:r>
            </w:del>
          </w:p>
        </w:tc>
      </w:tr>
    </w:tbl>
    <w:p w14:paraId="41DEEF5E" w14:textId="77777777" w:rsidR="00BC0E7E" w:rsidRPr="00BC0E7E" w:rsidRDefault="00BC0E7E" w:rsidP="00762FA7">
      <w:pPr>
        <w:rPr>
          <w:del w:id="7113" w:author="AbbVie19" w:date="2025-04-16T10:42:00Z"/>
          <w:szCs w:val="20"/>
        </w:rPr>
      </w:pPr>
    </w:p>
    <w:p w14:paraId="2091C204" w14:textId="77777777" w:rsidR="00BC0E7E" w:rsidRPr="00BC0E7E" w:rsidRDefault="00944B8F" w:rsidP="00762FA7">
      <w:pPr>
        <w:rPr>
          <w:del w:id="7114" w:author="AbbVie19" w:date="2025-04-16T10:42:00Z"/>
          <w:bCs/>
        </w:rPr>
      </w:pPr>
      <w:del w:id="7115" w:author="AbbVie19" w:date="2025-04-16T10:42:00Z">
        <w:r w:rsidRPr="00BC0E7E">
          <w:rPr>
            <w:bCs/>
          </w:rPr>
          <w:lastRenderedPageBreak/>
          <w:delText>Among patients who were not in response at Week</w:delText>
        </w:r>
        <w:r w:rsidRPr="00BC0E7E">
          <w:delText> </w:delText>
        </w:r>
        <w:r w:rsidRPr="00BC0E7E">
          <w:rPr>
            <w:bCs/>
          </w:rPr>
          <w:delText>4, 43% of Humira maintenance patients responded by Week</w:delText>
        </w:r>
        <w:r w:rsidRPr="00BC0E7E">
          <w:delText> </w:delText>
        </w:r>
        <w:r w:rsidRPr="00BC0E7E">
          <w:rPr>
            <w:bCs/>
          </w:rPr>
          <w:delText>12 compared to 30% of placebo maintenance patients. These results suggest that some patients who have not responded by Week</w:delText>
        </w:r>
        <w:r w:rsidRPr="00BC0E7E">
          <w:delText> </w:delText>
        </w:r>
        <w:r w:rsidRPr="00BC0E7E">
          <w:rPr>
            <w:bCs/>
          </w:rPr>
          <w:delText>4 benefit from continued maintenance therapy through Week</w:delText>
        </w:r>
        <w:r w:rsidRPr="00BC0E7E">
          <w:delText> </w:delText>
        </w:r>
        <w:r w:rsidRPr="00BC0E7E">
          <w:rPr>
            <w:bCs/>
          </w:rPr>
          <w:delText>12. Therapy continued beyond 12</w:delText>
        </w:r>
        <w:r w:rsidRPr="00BC0E7E">
          <w:delText> </w:delText>
        </w:r>
        <w:r w:rsidRPr="00BC0E7E">
          <w:rPr>
            <w:bCs/>
          </w:rPr>
          <w:delText xml:space="preserve">weeks did not result in significantly more responses </w:delText>
        </w:r>
        <w:r w:rsidRPr="00BC0E7E">
          <w:delText>(see section 4.2).</w:delText>
        </w:r>
        <w:r w:rsidRPr="00BC0E7E">
          <w:rPr>
            <w:bCs/>
          </w:rPr>
          <w:delText xml:space="preserve">  </w:delText>
        </w:r>
      </w:del>
    </w:p>
    <w:p w14:paraId="12CCD744" w14:textId="77777777" w:rsidR="00BC0E7E" w:rsidRPr="00BC0E7E" w:rsidRDefault="00BC0E7E" w:rsidP="00762FA7">
      <w:pPr>
        <w:rPr>
          <w:del w:id="7116" w:author="AbbVie19" w:date="2025-04-16T10:42:00Z"/>
          <w:bCs/>
        </w:rPr>
      </w:pPr>
    </w:p>
    <w:p w14:paraId="576B0DF0" w14:textId="77777777" w:rsidR="00BC0E7E" w:rsidRPr="00BC0E7E" w:rsidRDefault="00944B8F" w:rsidP="00762FA7">
      <w:pPr>
        <w:rPr>
          <w:del w:id="7117" w:author="AbbVie19" w:date="2025-04-16T10:42:00Z"/>
          <w:bCs/>
        </w:rPr>
      </w:pPr>
      <w:del w:id="7118" w:author="AbbVie19" w:date="2025-04-16T10:42:00Z">
        <w:r w:rsidRPr="00BC0E7E">
          <w:rPr>
            <w:bCs/>
          </w:rPr>
          <w:delText>117/276 patients from CD study I and 272/777 patients from CD studies II and III were followed through at least 3 years of open-label adalimumab therapy. 88 and 189 patients, respectively, continued to be in clinical remission. Clinical response (CR-100) was maintained in 102 and 233 patients, respectively.</w:delText>
        </w:r>
      </w:del>
    </w:p>
    <w:p w14:paraId="41029FE8" w14:textId="77777777" w:rsidR="00BC0E7E" w:rsidRPr="00BC0E7E" w:rsidRDefault="00BC0E7E" w:rsidP="00762FA7">
      <w:pPr>
        <w:rPr>
          <w:del w:id="7119" w:author="AbbVie19" w:date="2025-04-16T10:42:00Z"/>
          <w:bCs/>
        </w:rPr>
      </w:pPr>
    </w:p>
    <w:p w14:paraId="1CBD5A74" w14:textId="77777777" w:rsidR="00BC0E7E" w:rsidRPr="00BC0E7E" w:rsidRDefault="00944B8F" w:rsidP="00762FA7">
      <w:pPr>
        <w:rPr>
          <w:del w:id="7120" w:author="AbbVie19" w:date="2025-04-16T10:42:00Z"/>
          <w:i/>
          <w:szCs w:val="20"/>
          <w:u w:val="single"/>
        </w:rPr>
      </w:pPr>
      <w:del w:id="7121" w:author="AbbVie19" w:date="2025-04-16T10:42:00Z">
        <w:r w:rsidRPr="00BC0E7E">
          <w:rPr>
            <w:i/>
            <w:szCs w:val="20"/>
            <w:u w:val="single"/>
          </w:rPr>
          <w:delText>Quality of life</w:delText>
        </w:r>
      </w:del>
    </w:p>
    <w:p w14:paraId="2743DF72" w14:textId="77777777" w:rsidR="00BC0E7E" w:rsidRPr="00BC0E7E" w:rsidRDefault="00BC0E7E" w:rsidP="00762FA7">
      <w:pPr>
        <w:rPr>
          <w:del w:id="7122" w:author="AbbVie19" w:date="2025-04-16T10:42:00Z"/>
          <w:szCs w:val="20"/>
        </w:rPr>
      </w:pPr>
    </w:p>
    <w:p w14:paraId="71DFE0F1" w14:textId="77777777" w:rsidR="00BC0E7E" w:rsidRPr="00BC0E7E" w:rsidRDefault="00944B8F" w:rsidP="00762FA7">
      <w:pPr>
        <w:rPr>
          <w:del w:id="7123" w:author="AbbVie19" w:date="2025-04-16T10:42:00Z"/>
          <w:bCs/>
          <w:szCs w:val="20"/>
        </w:rPr>
      </w:pPr>
      <w:del w:id="7124" w:author="AbbVie19" w:date="2025-04-16T10:42:00Z">
        <w:r w:rsidRPr="00BC0E7E">
          <w:rPr>
            <w:bCs/>
            <w:szCs w:val="20"/>
          </w:rPr>
          <w:delText>In CD Study I and CD Study II, statistically significant improvement in the disease-specific inflammatory bowel disease questionnaire (IBDQ) total score was achieved at Week</w:delText>
        </w:r>
        <w:r w:rsidRPr="00BC0E7E">
          <w:rPr>
            <w:szCs w:val="20"/>
          </w:rPr>
          <w:delText> </w:delText>
        </w:r>
        <w:r w:rsidRPr="00BC0E7E">
          <w:rPr>
            <w:bCs/>
            <w:szCs w:val="20"/>
          </w:rPr>
          <w:delText>4 in patients randomised to Humira 80/40 mg and 160/80 mg compared to placebo and was seen at Weeks</w:delText>
        </w:r>
        <w:r w:rsidRPr="00BC0E7E">
          <w:rPr>
            <w:szCs w:val="20"/>
          </w:rPr>
          <w:delText> </w:delText>
        </w:r>
        <w:r w:rsidRPr="00BC0E7E">
          <w:rPr>
            <w:bCs/>
            <w:szCs w:val="20"/>
          </w:rPr>
          <w:delText>26 and 56 in CD Study III as well among the adalimumab treatment groups compared to the placebo group.</w:delText>
        </w:r>
      </w:del>
    </w:p>
    <w:p w14:paraId="34C57729" w14:textId="77777777" w:rsidR="00BC0E7E" w:rsidRPr="00BC0E7E" w:rsidRDefault="00BC0E7E" w:rsidP="00762FA7">
      <w:pPr>
        <w:rPr>
          <w:del w:id="7125" w:author="AbbVie19" w:date="2025-04-16T10:42:00Z"/>
          <w:bCs/>
          <w:szCs w:val="20"/>
        </w:rPr>
      </w:pPr>
    </w:p>
    <w:p w14:paraId="1679323E" w14:textId="77777777" w:rsidR="00BC0E7E" w:rsidRPr="00BC0E7E" w:rsidRDefault="00944B8F" w:rsidP="00762FA7">
      <w:pPr>
        <w:keepNext/>
        <w:rPr>
          <w:del w:id="7126" w:author="AbbVie19" w:date="2025-04-16T10:42:00Z"/>
          <w:bCs/>
          <w:i/>
          <w:szCs w:val="20"/>
        </w:rPr>
      </w:pPr>
      <w:del w:id="7127" w:author="AbbVie19" w:date="2025-04-16T10:42:00Z">
        <w:r w:rsidRPr="00BC0E7E">
          <w:rPr>
            <w:bCs/>
            <w:i/>
            <w:szCs w:val="20"/>
          </w:rPr>
          <w:delText>Ulcerative colitis</w:delText>
        </w:r>
      </w:del>
    </w:p>
    <w:p w14:paraId="42893FE7" w14:textId="77777777" w:rsidR="00BC0E7E" w:rsidRPr="00BC0E7E" w:rsidRDefault="00BC0E7E" w:rsidP="00762FA7">
      <w:pPr>
        <w:keepNext/>
        <w:rPr>
          <w:del w:id="7128" w:author="AbbVie19" w:date="2025-04-16T10:42:00Z"/>
          <w:bCs/>
          <w:i/>
          <w:szCs w:val="20"/>
        </w:rPr>
      </w:pPr>
    </w:p>
    <w:p w14:paraId="2665506B" w14:textId="77777777" w:rsidR="00BC0E7E" w:rsidRPr="00BC0E7E" w:rsidRDefault="00944B8F" w:rsidP="00762FA7">
      <w:pPr>
        <w:rPr>
          <w:del w:id="7129" w:author="AbbVie19" w:date="2025-04-16T10:42:00Z"/>
          <w:szCs w:val="22"/>
        </w:rPr>
      </w:pPr>
      <w:del w:id="7130" w:author="AbbVie19" w:date="2025-04-16T10:42:00Z">
        <w:r w:rsidRPr="00BC0E7E">
          <w:rPr>
            <w:szCs w:val="22"/>
          </w:rPr>
          <w:delText xml:space="preserve">The safety and efficacy of multiple doses of Humira were assessed in adult patients with moderately to severely active ulcerative colitis (Mayo score 6 to 12 with endoscopy subscore of 2 to 3) in randomised, double-blind, placebo-controlled studies. </w:delText>
        </w:r>
      </w:del>
    </w:p>
    <w:p w14:paraId="17CAE800" w14:textId="77777777" w:rsidR="00BC0E7E" w:rsidRPr="00BC0E7E" w:rsidRDefault="00BC0E7E" w:rsidP="00762FA7">
      <w:pPr>
        <w:rPr>
          <w:del w:id="7131" w:author="AbbVie19" w:date="2025-04-16T10:42:00Z"/>
          <w:szCs w:val="22"/>
        </w:rPr>
      </w:pPr>
    </w:p>
    <w:p w14:paraId="5E32F448" w14:textId="77777777" w:rsidR="00BC0E7E" w:rsidRPr="00BC0E7E" w:rsidRDefault="00944B8F" w:rsidP="00762FA7">
      <w:pPr>
        <w:rPr>
          <w:del w:id="7132" w:author="AbbVie19" w:date="2025-04-16T10:42:00Z"/>
          <w:szCs w:val="22"/>
        </w:rPr>
      </w:pPr>
      <w:del w:id="7133" w:author="AbbVie19" w:date="2025-04-16T10:42:00Z">
        <w:r w:rsidRPr="00BC0E7E">
          <w:rPr>
            <w:szCs w:val="22"/>
          </w:rPr>
          <w:delText>In study UC-I, 390 TNF-antagonist naïve patients were randomised to receive either placebo at Weeks</w:delText>
        </w:r>
        <w:r w:rsidRPr="00BC0E7E">
          <w:rPr>
            <w:szCs w:val="20"/>
          </w:rPr>
          <w:delText> </w:delText>
        </w:r>
        <w:r w:rsidRPr="00BC0E7E">
          <w:rPr>
            <w:szCs w:val="22"/>
          </w:rPr>
          <w:delText>0 and 2, 160</w:delText>
        </w:r>
        <w:r w:rsidRPr="00BC0E7E">
          <w:rPr>
            <w:szCs w:val="20"/>
          </w:rPr>
          <w:delText> </w:delText>
        </w:r>
        <w:r w:rsidRPr="00BC0E7E">
          <w:rPr>
            <w:szCs w:val="22"/>
          </w:rPr>
          <w:delText>mg Humira at Week</w:delText>
        </w:r>
        <w:r w:rsidRPr="00BC0E7E">
          <w:rPr>
            <w:szCs w:val="20"/>
          </w:rPr>
          <w:delText> </w:delText>
        </w:r>
        <w:r w:rsidRPr="00BC0E7E">
          <w:rPr>
            <w:szCs w:val="22"/>
          </w:rPr>
          <w:delText>0  followed by 80</w:delText>
        </w:r>
        <w:r w:rsidRPr="00BC0E7E">
          <w:rPr>
            <w:szCs w:val="20"/>
          </w:rPr>
          <w:delText> </w:delText>
        </w:r>
        <w:r w:rsidRPr="00BC0E7E">
          <w:rPr>
            <w:szCs w:val="22"/>
          </w:rPr>
          <w:delText>mg at Week</w:delText>
        </w:r>
        <w:r w:rsidRPr="00BC0E7E">
          <w:rPr>
            <w:szCs w:val="20"/>
          </w:rPr>
          <w:delText> </w:delText>
        </w:r>
        <w:r w:rsidRPr="00BC0E7E">
          <w:rPr>
            <w:szCs w:val="22"/>
          </w:rPr>
          <w:delText>2,  or 80</w:delText>
        </w:r>
        <w:r w:rsidRPr="00BC0E7E">
          <w:rPr>
            <w:szCs w:val="20"/>
          </w:rPr>
          <w:delText> </w:delText>
        </w:r>
        <w:r w:rsidRPr="00BC0E7E">
          <w:rPr>
            <w:szCs w:val="22"/>
          </w:rPr>
          <w:delText>mg Humira at Week</w:delText>
        </w:r>
        <w:r w:rsidRPr="00BC0E7E">
          <w:rPr>
            <w:szCs w:val="20"/>
          </w:rPr>
          <w:delText> </w:delText>
        </w:r>
        <w:r w:rsidRPr="00BC0E7E">
          <w:rPr>
            <w:szCs w:val="22"/>
          </w:rPr>
          <w:delText>0  followed by 40</w:delText>
        </w:r>
        <w:r w:rsidRPr="00BC0E7E">
          <w:rPr>
            <w:szCs w:val="20"/>
          </w:rPr>
          <w:delText> </w:delText>
        </w:r>
        <w:r w:rsidRPr="00BC0E7E">
          <w:rPr>
            <w:szCs w:val="22"/>
          </w:rPr>
          <w:delText>mg at Week</w:delText>
        </w:r>
        <w:r w:rsidRPr="00BC0E7E">
          <w:rPr>
            <w:szCs w:val="20"/>
          </w:rPr>
          <w:delText> </w:delText>
        </w:r>
        <w:r w:rsidRPr="00BC0E7E">
          <w:rPr>
            <w:szCs w:val="22"/>
          </w:rPr>
          <w:delText>2. After Week</w:delText>
        </w:r>
        <w:r w:rsidRPr="00BC0E7E">
          <w:rPr>
            <w:szCs w:val="20"/>
          </w:rPr>
          <w:delText> </w:delText>
        </w:r>
        <w:r w:rsidRPr="00BC0E7E">
          <w:rPr>
            <w:szCs w:val="22"/>
          </w:rPr>
          <w:delText>2, patients in both adalimumab arms received 40</w:delText>
        </w:r>
        <w:r w:rsidRPr="00BC0E7E">
          <w:rPr>
            <w:szCs w:val="20"/>
          </w:rPr>
          <w:delText> </w:delText>
        </w:r>
        <w:r w:rsidRPr="00BC0E7E">
          <w:rPr>
            <w:szCs w:val="22"/>
          </w:rPr>
          <w:delText>mg</w:delText>
        </w:r>
        <w:r w:rsidRPr="00BC0E7E">
          <w:rPr>
            <w:szCs w:val="20"/>
          </w:rPr>
          <w:delText> </w:delText>
        </w:r>
        <w:r w:rsidRPr="00BC0E7E">
          <w:rPr>
            <w:szCs w:val="22"/>
          </w:rPr>
          <w:delText xml:space="preserve">eow. Clinical remission (defined as Mayo score </w:delText>
        </w:r>
        <w:r w:rsidRPr="00BC0E7E">
          <w:rPr>
            <w:rFonts w:eastAsia="Arial Unicode MS"/>
            <w:szCs w:val="22"/>
          </w:rPr>
          <w:delText>≤</w:delText>
        </w:r>
        <w:r w:rsidRPr="00BC0E7E">
          <w:rPr>
            <w:szCs w:val="20"/>
          </w:rPr>
          <w:delText> </w:delText>
        </w:r>
        <w:r w:rsidRPr="00BC0E7E">
          <w:rPr>
            <w:rFonts w:eastAsia="Arial Unicode MS"/>
            <w:szCs w:val="22"/>
          </w:rPr>
          <w:delText>2 with no subscore &gt; 1)</w:delText>
        </w:r>
        <w:r w:rsidRPr="00BC0E7E">
          <w:rPr>
            <w:szCs w:val="22"/>
          </w:rPr>
          <w:delText xml:space="preserve"> was assessed at Week</w:delText>
        </w:r>
        <w:r w:rsidRPr="00BC0E7E">
          <w:rPr>
            <w:szCs w:val="20"/>
          </w:rPr>
          <w:delText> </w:delText>
        </w:r>
        <w:r w:rsidRPr="00BC0E7E">
          <w:rPr>
            <w:szCs w:val="22"/>
          </w:rPr>
          <w:delText xml:space="preserve">8. </w:delText>
        </w:r>
      </w:del>
    </w:p>
    <w:p w14:paraId="63D25568" w14:textId="77777777" w:rsidR="00BC0E7E" w:rsidRPr="00BC0E7E" w:rsidRDefault="00BC0E7E" w:rsidP="00762FA7">
      <w:pPr>
        <w:rPr>
          <w:del w:id="7134" w:author="AbbVie19" w:date="2025-04-16T10:42:00Z"/>
          <w:szCs w:val="20"/>
        </w:rPr>
      </w:pPr>
    </w:p>
    <w:p w14:paraId="17235C29" w14:textId="77777777" w:rsidR="00BC0E7E" w:rsidRPr="00BC0E7E" w:rsidRDefault="00944B8F" w:rsidP="00762FA7">
      <w:pPr>
        <w:rPr>
          <w:del w:id="7135" w:author="AbbVie19" w:date="2025-04-16T10:42:00Z"/>
          <w:szCs w:val="20"/>
        </w:rPr>
      </w:pPr>
      <w:del w:id="7136" w:author="AbbVie19" w:date="2025-04-16T10:42:00Z">
        <w:r w:rsidRPr="00BC0E7E">
          <w:rPr>
            <w:szCs w:val="20"/>
          </w:rPr>
          <w:delText xml:space="preserve">In study UC-II, 248 patients received 160 mg of Humira at Week 0, 80 mg at Week 2 and 40 mg eow thereafter, and 246 patients received placebo. Clinical results were assessed for induction of remission at Week 8 and for maintenance of remission at Week 52. </w:delText>
        </w:r>
      </w:del>
    </w:p>
    <w:p w14:paraId="42936184" w14:textId="77777777" w:rsidR="00BC0E7E" w:rsidRPr="00BC0E7E" w:rsidRDefault="00BC0E7E" w:rsidP="00762FA7">
      <w:pPr>
        <w:rPr>
          <w:del w:id="7137" w:author="AbbVie19" w:date="2025-04-16T10:42:00Z"/>
          <w:szCs w:val="20"/>
        </w:rPr>
      </w:pPr>
    </w:p>
    <w:p w14:paraId="2B10EFE1" w14:textId="77777777" w:rsidR="00BC0E7E" w:rsidRPr="00BC0E7E" w:rsidRDefault="00944B8F" w:rsidP="00762FA7">
      <w:pPr>
        <w:rPr>
          <w:del w:id="7138" w:author="AbbVie19" w:date="2025-04-16T10:42:00Z"/>
          <w:szCs w:val="20"/>
        </w:rPr>
      </w:pPr>
      <w:del w:id="7139" w:author="AbbVie19" w:date="2025-04-16T10:42:00Z">
        <w:r w:rsidRPr="00BC0E7E">
          <w:rPr>
            <w:rFonts w:eastAsia="Arial Unicode MS"/>
            <w:szCs w:val="20"/>
          </w:rPr>
          <w:delText>Patients induced with 160/80</w:delText>
        </w:r>
        <w:r w:rsidRPr="00BC0E7E">
          <w:rPr>
            <w:szCs w:val="20"/>
          </w:rPr>
          <w:delText> </w:delText>
        </w:r>
        <w:r w:rsidRPr="00BC0E7E">
          <w:rPr>
            <w:rFonts w:eastAsia="Arial Unicode MS"/>
            <w:szCs w:val="20"/>
          </w:rPr>
          <w:delText>mg Humira achieved clinical remission versus placebo at Week</w:delText>
        </w:r>
        <w:r w:rsidRPr="00BC0E7E">
          <w:rPr>
            <w:szCs w:val="20"/>
          </w:rPr>
          <w:delText> </w:delText>
        </w:r>
        <w:r w:rsidRPr="00BC0E7E">
          <w:rPr>
            <w:rFonts w:eastAsia="Arial Unicode MS"/>
            <w:szCs w:val="20"/>
          </w:rPr>
          <w:delText xml:space="preserve">8 in statistically significantly greater percentages in study UC-I (18% vs. 9% respectively, p=0.031) and study UC-II (17% vs. 9% respectively, p=0.019). </w:delText>
        </w:r>
        <w:r w:rsidRPr="00BC0E7E">
          <w:rPr>
            <w:szCs w:val="20"/>
          </w:rPr>
          <w:delText>In study UC-II, among those treated with Humira who were in remission at Week 8, 21/41 (51%) were in remission at Week 52.</w:delText>
        </w:r>
      </w:del>
    </w:p>
    <w:p w14:paraId="43CF45EF" w14:textId="77777777" w:rsidR="00BC0E7E" w:rsidRPr="00BC0E7E" w:rsidRDefault="00BC0E7E" w:rsidP="00762FA7">
      <w:pPr>
        <w:rPr>
          <w:del w:id="7140" w:author="AbbVie19" w:date="2025-04-16T10:42:00Z"/>
          <w:rFonts w:eastAsia="Arial Unicode MS"/>
          <w:szCs w:val="20"/>
        </w:rPr>
      </w:pPr>
    </w:p>
    <w:p w14:paraId="01BAA856" w14:textId="77777777" w:rsidR="00BC0E7E" w:rsidRPr="00BC0E7E" w:rsidRDefault="00944B8F" w:rsidP="00762FA7">
      <w:pPr>
        <w:rPr>
          <w:del w:id="7141" w:author="AbbVie19" w:date="2025-04-16T10:42:00Z"/>
          <w:szCs w:val="20"/>
        </w:rPr>
      </w:pPr>
      <w:del w:id="7142" w:author="AbbVie19" w:date="2025-04-16T10:42:00Z">
        <w:r w:rsidRPr="00BC0E7E">
          <w:rPr>
            <w:szCs w:val="20"/>
          </w:rPr>
          <w:delText xml:space="preserve">Results from the overall UC-II study population are shown in Table </w:delText>
        </w:r>
        <w:r w:rsidR="002D2337">
          <w:rPr>
            <w:szCs w:val="20"/>
          </w:rPr>
          <w:delText>2</w:delText>
        </w:r>
        <w:r w:rsidR="005F03EC">
          <w:rPr>
            <w:szCs w:val="20"/>
          </w:rPr>
          <w:delText>3</w:delText>
        </w:r>
        <w:r w:rsidRPr="00BC0E7E">
          <w:rPr>
            <w:szCs w:val="20"/>
          </w:rPr>
          <w:delText>.</w:delText>
        </w:r>
      </w:del>
    </w:p>
    <w:p w14:paraId="70D89BCB" w14:textId="77777777" w:rsidR="00BC0E7E" w:rsidRPr="003F7AAE" w:rsidRDefault="00BC0E7E" w:rsidP="00762FA7">
      <w:pPr>
        <w:keepNext/>
        <w:rPr>
          <w:del w:id="7143" w:author="AbbVie19" w:date="2025-04-16T10:42:00Z"/>
          <w:szCs w:val="22"/>
        </w:rPr>
      </w:pPr>
    </w:p>
    <w:p w14:paraId="40DDAF90" w14:textId="77777777" w:rsidR="00BC0E7E" w:rsidRPr="00BC0E7E" w:rsidRDefault="00944B8F" w:rsidP="00762FA7">
      <w:pPr>
        <w:keepNext/>
        <w:spacing w:before="144"/>
        <w:jc w:val="center"/>
        <w:rPr>
          <w:del w:id="7144" w:author="AbbVie19" w:date="2025-04-16T10:42:00Z"/>
          <w:rFonts w:eastAsia="Arial Unicode MS"/>
          <w:b/>
          <w:bCs/>
          <w:szCs w:val="22"/>
        </w:rPr>
      </w:pPr>
      <w:del w:id="7145" w:author="AbbVie19" w:date="2025-04-16T10:42:00Z">
        <w:r w:rsidRPr="00BC0E7E">
          <w:rPr>
            <w:rFonts w:eastAsia="Arial Unicode MS"/>
            <w:b/>
            <w:bCs/>
            <w:szCs w:val="22"/>
          </w:rPr>
          <w:delText xml:space="preserve">Table </w:delText>
        </w:r>
        <w:r w:rsidR="002D2337">
          <w:rPr>
            <w:rFonts w:eastAsia="Arial Unicode MS"/>
            <w:b/>
            <w:bCs/>
            <w:szCs w:val="22"/>
          </w:rPr>
          <w:delText>2</w:delText>
        </w:r>
        <w:r w:rsidR="005F03EC">
          <w:rPr>
            <w:rFonts w:eastAsia="Arial Unicode MS"/>
            <w:b/>
            <w:bCs/>
            <w:szCs w:val="22"/>
          </w:rPr>
          <w:delText>3</w:delText>
        </w:r>
      </w:del>
    </w:p>
    <w:p w14:paraId="13A4F89D" w14:textId="77777777" w:rsidR="00BC0E7E" w:rsidRPr="00BC0E7E" w:rsidRDefault="00944B8F" w:rsidP="00762FA7">
      <w:pPr>
        <w:keepNext/>
        <w:spacing w:before="144"/>
        <w:jc w:val="center"/>
        <w:rPr>
          <w:del w:id="7146" w:author="AbbVie19" w:date="2025-04-16T10:42:00Z"/>
          <w:rFonts w:eastAsia="Arial Unicode MS"/>
          <w:b/>
          <w:bCs/>
          <w:szCs w:val="22"/>
        </w:rPr>
      </w:pPr>
      <w:del w:id="7147" w:author="AbbVie19" w:date="2025-04-16T10:42:00Z">
        <w:r w:rsidRPr="00BC0E7E">
          <w:rPr>
            <w:rFonts w:eastAsia="Arial Unicode MS"/>
            <w:b/>
            <w:bCs/>
            <w:szCs w:val="22"/>
          </w:rPr>
          <w:delText>Response, Remission and Mucosal Healing in Study UC-II</w:delText>
        </w:r>
      </w:del>
    </w:p>
    <w:p w14:paraId="3AE25595" w14:textId="77777777" w:rsidR="00BC0E7E" w:rsidRPr="00BC0E7E" w:rsidRDefault="00944B8F" w:rsidP="00762FA7">
      <w:pPr>
        <w:keepNext/>
        <w:spacing w:before="144"/>
        <w:jc w:val="center"/>
        <w:rPr>
          <w:del w:id="7148" w:author="AbbVie19" w:date="2025-04-16T10:42:00Z"/>
          <w:rFonts w:eastAsia="Arial Unicode MS"/>
          <w:b/>
          <w:bCs/>
          <w:szCs w:val="22"/>
        </w:rPr>
      </w:pPr>
      <w:del w:id="7149" w:author="AbbVie19" w:date="2025-04-16T10:42:00Z">
        <w:r w:rsidRPr="00BC0E7E">
          <w:rPr>
            <w:rFonts w:eastAsia="Arial Unicode MS"/>
            <w:b/>
            <w:bCs/>
            <w:szCs w:val="22"/>
          </w:rPr>
          <w:delText>(Percent of Patients)</w:delText>
        </w:r>
      </w:del>
    </w:p>
    <w:tbl>
      <w:tblPr>
        <w:tblW w:w="4309" w:type="pct"/>
        <w:tblInd w:w="15" w:type="dxa"/>
        <w:tblCellMar>
          <w:top w:w="15" w:type="dxa"/>
          <w:left w:w="15" w:type="dxa"/>
          <w:bottom w:w="15" w:type="dxa"/>
          <w:right w:w="15" w:type="dxa"/>
        </w:tblCellMar>
        <w:tblLook w:val="0000" w:firstRow="0" w:lastRow="0" w:firstColumn="0" w:lastColumn="0" w:noHBand="0" w:noVBand="0"/>
      </w:tblPr>
      <w:tblGrid>
        <w:gridCol w:w="4781"/>
        <w:gridCol w:w="1045"/>
        <w:gridCol w:w="2290"/>
      </w:tblGrid>
      <w:tr w:rsidR="00C6578C" w14:paraId="05E82365" w14:textId="77777777" w:rsidTr="00171601">
        <w:trPr>
          <w:del w:id="7150" w:author="AbbVie19" w:date="2025-04-16T10:42:00Z"/>
        </w:trPr>
        <w:tc>
          <w:tcPr>
            <w:tcW w:w="2945" w:type="pct"/>
            <w:tcBorders>
              <w:top w:val="single" w:sz="6" w:space="0" w:color="000000"/>
              <w:left w:val="nil"/>
              <w:bottom w:val="single" w:sz="6" w:space="0" w:color="000000"/>
              <w:right w:val="nil"/>
            </w:tcBorders>
          </w:tcPr>
          <w:p w14:paraId="17FA17F6" w14:textId="77777777" w:rsidR="00BC0E7E" w:rsidRPr="00BC0E7E" w:rsidRDefault="00BC0E7E" w:rsidP="00762FA7">
            <w:pPr>
              <w:keepNext/>
              <w:jc w:val="center"/>
              <w:rPr>
                <w:del w:id="7151" w:author="AbbVie19" w:date="2025-04-16T10:42:00Z"/>
                <w:rFonts w:eastAsia="Arial Unicode MS"/>
              </w:rPr>
            </w:pPr>
          </w:p>
        </w:tc>
        <w:tc>
          <w:tcPr>
            <w:tcW w:w="644" w:type="pct"/>
            <w:tcBorders>
              <w:top w:val="single" w:sz="6" w:space="0" w:color="000000"/>
              <w:left w:val="nil"/>
              <w:bottom w:val="single" w:sz="6" w:space="0" w:color="000000"/>
              <w:right w:val="nil"/>
            </w:tcBorders>
          </w:tcPr>
          <w:p w14:paraId="7076023E" w14:textId="77777777" w:rsidR="00BC0E7E" w:rsidRPr="00BC0E7E" w:rsidRDefault="00944B8F" w:rsidP="00762FA7">
            <w:pPr>
              <w:keepNext/>
              <w:jc w:val="center"/>
              <w:rPr>
                <w:del w:id="7152" w:author="AbbVie19" w:date="2025-04-16T10:42:00Z"/>
                <w:rFonts w:eastAsia="Arial Unicode MS"/>
              </w:rPr>
            </w:pPr>
            <w:del w:id="7153" w:author="AbbVie19" w:date="2025-04-16T10:42:00Z">
              <w:r w:rsidRPr="00BC0E7E">
                <w:rPr>
                  <w:rFonts w:eastAsia="Arial Unicode MS"/>
                  <w:b/>
                  <w:bCs/>
                </w:rPr>
                <w:delText>Placebo</w:delText>
              </w:r>
              <w:r w:rsidRPr="00BC0E7E">
                <w:rPr>
                  <w:rFonts w:eastAsia="Arial Unicode MS"/>
                </w:rPr>
                <w:br/>
              </w:r>
            </w:del>
          </w:p>
        </w:tc>
        <w:tc>
          <w:tcPr>
            <w:tcW w:w="1411" w:type="pct"/>
            <w:tcBorders>
              <w:top w:val="single" w:sz="6" w:space="0" w:color="000000"/>
              <w:left w:val="nil"/>
              <w:bottom w:val="single" w:sz="6" w:space="0" w:color="000000"/>
              <w:right w:val="nil"/>
            </w:tcBorders>
          </w:tcPr>
          <w:p w14:paraId="7A410878" w14:textId="77777777" w:rsidR="00BC0E7E" w:rsidRPr="00BC0E7E" w:rsidRDefault="00944B8F" w:rsidP="00762FA7">
            <w:pPr>
              <w:keepNext/>
              <w:jc w:val="center"/>
              <w:rPr>
                <w:del w:id="7154" w:author="AbbVie19" w:date="2025-04-16T10:42:00Z"/>
                <w:rFonts w:eastAsia="Arial Unicode MS"/>
                <w:b/>
                <w:bCs/>
              </w:rPr>
            </w:pPr>
            <w:del w:id="7155" w:author="AbbVie19" w:date="2025-04-16T10:42:00Z">
              <w:r w:rsidRPr="00BC0E7E">
                <w:rPr>
                  <w:rFonts w:eastAsia="Arial Unicode MS"/>
                  <w:b/>
                  <w:bCs/>
                </w:rPr>
                <w:delText>Humira 40</w:delText>
              </w:r>
              <w:r w:rsidRPr="00BC0E7E">
                <w:delText> </w:delText>
              </w:r>
              <w:r w:rsidRPr="00BC0E7E">
                <w:rPr>
                  <w:rFonts w:eastAsia="Arial Unicode MS"/>
                  <w:b/>
                  <w:bCs/>
                </w:rPr>
                <w:delText>mg</w:delText>
              </w:r>
              <w:r w:rsidRPr="00BC0E7E">
                <w:delText> </w:delText>
              </w:r>
            </w:del>
          </w:p>
          <w:p w14:paraId="2BEEDEDA" w14:textId="77777777" w:rsidR="00BC0E7E" w:rsidRPr="00BC0E7E" w:rsidRDefault="00944B8F" w:rsidP="00762FA7">
            <w:pPr>
              <w:keepNext/>
              <w:jc w:val="center"/>
              <w:rPr>
                <w:del w:id="7156" w:author="AbbVie19" w:date="2025-04-16T10:42:00Z"/>
                <w:rFonts w:eastAsia="Arial Unicode MS"/>
              </w:rPr>
            </w:pPr>
            <w:del w:id="7157" w:author="AbbVie19" w:date="2025-04-16T10:42:00Z">
              <w:r w:rsidRPr="00BC0E7E">
                <w:rPr>
                  <w:rFonts w:eastAsia="Arial Unicode MS"/>
                  <w:b/>
                  <w:bCs/>
                </w:rPr>
                <w:delText>eow</w:delText>
              </w:r>
              <w:r w:rsidRPr="00BC0E7E">
                <w:rPr>
                  <w:rFonts w:eastAsia="Arial Unicode MS"/>
                </w:rPr>
                <w:br/>
              </w:r>
            </w:del>
          </w:p>
        </w:tc>
      </w:tr>
      <w:tr w:rsidR="00C6578C" w14:paraId="75BA4068" w14:textId="77777777" w:rsidTr="00171601">
        <w:trPr>
          <w:del w:id="7158" w:author="AbbVie19" w:date="2025-04-16T10:42:00Z"/>
        </w:trPr>
        <w:tc>
          <w:tcPr>
            <w:tcW w:w="2945" w:type="pct"/>
            <w:tcBorders>
              <w:top w:val="single" w:sz="6" w:space="0" w:color="000000"/>
              <w:left w:val="nil"/>
              <w:bottom w:val="single" w:sz="6" w:space="0" w:color="000000"/>
              <w:right w:val="nil"/>
            </w:tcBorders>
          </w:tcPr>
          <w:p w14:paraId="35A29722" w14:textId="77777777" w:rsidR="00BC0E7E" w:rsidRPr="00BC0E7E" w:rsidRDefault="00944B8F" w:rsidP="00762FA7">
            <w:pPr>
              <w:keepNext/>
              <w:rPr>
                <w:del w:id="7159" w:author="AbbVie19" w:date="2025-04-16T10:42:00Z"/>
                <w:rFonts w:eastAsia="Arial Unicode MS"/>
              </w:rPr>
            </w:pPr>
            <w:del w:id="7160" w:author="AbbVie19" w:date="2025-04-16T10:42:00Z">
              <w:r w:rsidRPr="00BC0E7E">
                <w:rPr>
                  <w:rFonts w:eastAsia="Arial Unicode MS"/>
                </w:rPr>
                <w:delText>Week</w:delText>
              </w:r>
              <w:r w:rsidRPr="00BC0E7E">
                <w:delText> </w:delText>
              </w:r>
              <w:r w:rsidRPr="00BC0E7E">
                <w:rPr>
                  <w:rFonts w:eastAsia="Arial Unicode MS"/>
                </w:rPr>
                <w:delText>52</w:delText>
              </w:r>
            </w:del>
          </w:p>
        </w:tc>
        <w:tc>
          <w:tcPr>
            <w:tcW w:w="644" w:type="pct"/>
            <w:tcBorders>
              <w:top w:val="single" w:sz="6" w:space="0" w:color="000000"/>
              <w:left w:val="nil"/>
              <w:bottom w:val="single" w:sz="6" w:space="0" w:color="000000"/>
              <w:right w:val="nil"/>
            </w:tcBorders>
          </w:tcPr>
          <w:p w14:paraId="398CCB18" w14:textId="77777777" w:rsidR="00BC0E7E" w:rsidRPr="00BC0E7E" w:rsidRDefault="00944B8F" w:rsidP="00762FA7">
            <w:pPr>
              <w:keepNext/>
              <w:jc w:val="center"/>
              <w:rPr>
                <w:del w:id="7161" w:author="AbbVie19" w:date="2025-04-16T10:42:00Z"/>
                <w:rFonts w:eastAsia="Arial Unicode MS"/>
                <w:b/>
                <w:bCs/>
              </w:rPr>
            </w:pPr>
            <w:del w:id="7162" w:author="AbbVie19" w:date="2025-04-16T10:42:00Z">
              <w:r w:rsidRPr="00BC0E7E">
                <w:rPr>
                  <w:rFonts w:eastAsia="Arial Unicode MS"/>
                  <w:b/>
                  <w:bCs/>
                </w:rPr>
                <w:delText>N=246</w:delText>
              </w:r>
            </w:del>
          </w:p>
        </w:tc>
        <w:tc>
          <w:tcPr>
            <w:tcW w:w="1411" w:type="pct"/>
            <w:tcBorders>
              <w:top w:val="single" w:sz="6" w:space="0" w:color="000000"/>
              <w:left w:val="nil"/>
              <w:bottom w:val="single" w:sz="6" w:space="0" w:color="000000"/>
              <w:right w:val="nil"/>
            </w:tcBorders>
          </w:tcPr>
          <w:p w14:paraId="69582617" w14:textId="77777777" w:rsidR="00BC0E7E" w:rsidRPr="00BC0E7E" w:rsidRDefault="00944B8F" w:rsidP="00762FA7">
            <w:pPr>
              <w:keepNext/>
              <w:jc w:val="center"/>
              <w:rPr>
                <w:del w:id="7163" w:author="AbbVie19" w:date="2025-04-16T10:42:00Z"/>
                <w:rFonts w:eastAsia="Arial Unicode MS"/>
                <w:b/>
                <w:bCs/>
              </w:rPr>
            </w:pPr>
            <w:del w:id="7164" w:author="AbbVie19" w:date="2025-04-16T10:42:00Z">
              <w:r w:rsidRPr="00BC0E7E">
                <w:rPr>
                  <w:rFonts w:eastAsia="Arial Unicode MS"/>
                  <w:b/>
                  <w:bCs/>
                </w:rPr>
                <w:delText>N=248</w:delText>
              </w:r>
            </w:del>
          </w:p>
        </w:tc>
      </w:tr>
      <w:tr w:rsidR="00C6578C" w14:paraId="617ADDB4" w14:textId="77777777" w:rsidTr="00171601">
        <w:trPr>
          <w:del w:id="7165" w:author="AbbVie19" w:date="2025-04-16T10:42:00Z"/>
        </w:trPr>
        <w:tc>
          <w:tcPr>
            <w:tcW w:w="2945" w:type="pct"/>
            <w:tcBorders>
              <w:top w:val="nil"/>
              <w:left w:val="nil"/>
              <w:right w:val="nil"/>
            </w:tcBorders>
          </w:tcPr>
          <w:p w14:paraId="0545BFE2" w14:textId="77777777" w:rsidR="00BC0E7E" w:rsidRPr="00BC0E7E" w:rsidRDefault="00944B8F" w:rsidP="00762FA7">
            <w:pPr>
              <w:keepNext/>
              <w:rPr>
                <w:del w:id="7166" w:author="AbbVie19" w:date="2025-04-16T10:42:00Z"/>
                <w:rFonts w:eastAsia="Arial Unicode MS"/>
              </w:rPr>
            </w:pPr>
            <w:del w:id="7167" w:author="AbbVie19" w:date="2025-04-16T10:42:00Z">
              <w:r w:rsidRPr="00BC0E7E">
                <w:rPr>
                  <w:rFonts w:eastAsia="Arial Unicode MS"/>
                </w:rPr>
                <w:delText xml:space="preserve">  Clinical Response </w:delText>
              </w:r>
            </w:del>
          </w:p>
        </w:tc>
        <w:tc>
          <w:tcPr>
            <w:tcW w:w="644" w:type="pct"/>
            <w:tcBorders>
              <w:top w:val="nil"/>
              <w:left w:val="nil"/>
              <w:right w:val="nil"/>
            </w:tcBorders>
          </w:tcPr>
          <w:p w14:paraId="5FDEFC5E" w14:textId="77777777" w:rsidR="00BC0E7E" w:rsidRPr="00BC0E7E" w:rsidRDefault="00944B8F" w:rsidP="00762FA7">
            <w:pPr>
              <w:keepNext/>
              <w:jc w:val="center"/>
              <w:rPr>
                <w:del w:id="7168" w:author="AbbVie19" w:date="2025-04-16T10:42:00Z"/>
                <w:rFonts w:eastAsia="Arial Unicode MS"/>
              </w:rPr>
            </w:pPr>
            <w:del w:id="7169" w:author="AbbVie19" w:date="2025-04-16T10:42:00Z">
              <w:r w:rsidRPr="00BC0E7E">
                <w:rPr>
                  <w:rFonts w:eastAsia="Arial Unicode MS"/>
                </w:rPr>
                <w:delText xml:space="preserve">18% </w:delText>
              </w:r>
            </w:del>
          </w:p>
        </w:tc>
        <w:tc>
          <w:tcPr>
            <w:tcW w:w="1411" w:type="pct"/>
            <w:tcBorders>
              <w:top w:val="nil"/>
              <w:left w:val="nil"/>
              <w:right w:val="nil"/>
            </w:tcBorders>
          </w:tcPr>
          <w:p w14:paraId="088495FE" w14:textId="77777777" w:rsidR="00BC0E7E" w:rsidRPr="00BC0E7E" w:rsidRDefault="00944B8F" w:rsidP="00762FA7">
            <w:pPr>
              <w:keepNext/>
              <w:jc w:val="center"/>
              <w:rPr>
                <w:del w:id="7170" w:author="AbbVie19" w:date="2025-04-16T10:42:00Z"/>
                <w:rFonts w:eastAsia="Arial Unicode MS"/>
                <w:sz w:val="20"/>
                <w:szCs w:val="20"/>
              </w:rPr>
            </w:pPr>
            <w:del w:id="7171" w:author="AbbVie19" w:date="2025-04-16T10:42:00Z">
              <w:r w:rsidRPr="00BC0E7E">
                <w:rPr>
                  <w:rFonts w:eastAsia="Arial Unicode MS"/>
                </w:rPr>
                <w:delText xml:space="preserve">   30%</w:delText>
              </w:r>
              <w:r w:rsidRPr="00BC0E7E">
                <w:rPr>
                  <w:rFonts w:eastAsia="Arial Unicode MS"/>
                  <w:sz w:val="20"/>
                  <w:szCs w:val="20"/>
                </w:rPr>
                <w:delText>*</w:delText>
              </w:r>
            </w:del>
          </w:p>
        </w:tc>
      </w:tr>
      <w:tr w:rsidR="00C6578C" w14:paraId="30A33AC3" w14:textId="77777777" w:rsidTr="00171601">
        <w:trPr>
          <w:del w:id="7172" w:author="AbbVie19" w:date="2025-04-16T10:42:00Z"/>
        </w:trPr>
        <w:tc>
          <w:tcPr>
            <w:tcW w:w="2945" w:type="pct"/>
            <w:tcBorders>
              <w:top w:val="nil"/>
              <w:left w:val="nil"/>
              <w:right w:val="nil"/>
            </w:tcBorders>
          </w:tcPr>
          <w:p w14:paraId="41983794" w14:textId="77777777" w:rsidR="00BC0E7E" w:rsidRPr="00BC0E7E" w:rsidRDefault="00944B8F" w:rsidP="00762FA7">
            <w:pPr>
              <w:keepNext/>
              <w:rPr>
                <w:del w:id="7173" w:author="AbbVie19" w:date="2025-04-16T10:42:00Z"/>
                <w:rFonts w:eastAsia="Arial Unicode MS"/>
              </w:rPr>
            </w:pPr>
            <w:del w:id="7174" w:author="AbbVie19" w:date="2025-04-16T10:42:00Z">
              <w:r w:rsidRPr="00BC0E7E">
                <w:rPr>
                  <w:rFonts w:eastAsia="Arial Unicode MS"/>
                </w:rPr>
                <w:delText xml:space="preserve">  Clinical Remission</w:delText>
              </w:r>
            </w:del>
          </w:p>
        </w:tc>
        <w:tc>
          <w:tcPr>
            <w:tcW w:w="644" w:type="pct"/>
            <w:tcBorders>
              <w:top w:val="nil"/>
              <w:left w:val="nil"/>
              <w:right w:val="nil"/>
            </w:tcBorders>
          </w:tcPr>
          <w:p w14:paraId="079905E8" w14:textId="77777777" w:rsidR="00BC0E7E" w:rsidRPr="00BC0E7E" w:rsidRDefault="00944B8F" w:rsidP="00762FA7">
            <w:pPr>
              <w:keepNext/>
              <w:jc w:val="center"/>
              <w:rPr>
                <w:del w:id="7175" w:author="AbbVie19" w:date="2025-04-16T10:42:00Z"/>
                <w:rFonts w:eastAsia="Arial Unicode MS"/>
              </w:rPr>
            </w:pPr>
            <w:del w:id="7176" w:author="AbbVie19" w:date="2025-04-16T10:42:00Z">
              <w:r w:rsidRPr="00BC0E7E">
                <w:rPr>
                  <w:rFonts w:eastAsia="Arial Unicode MS"/>
                </w:rPr>
                <w:delText>9%</w:delText>
              </w:r>
            </w:del>
          </w:p>
        </w:tc>
        <w:tc>
          <w:tcPr>
            <w:tcW w:w="1411" w:type="pct"/>
            <w:tcBorders>
              <w:top w:val="nil"/>
              <w:left w:val="nil"/>
              <w:right w:val="nil"/>
            </w:tcBorders>
          </w:tcPr>
          <w:p w14:paraId="1484404B" w14:textId="77777777" w:rsidR="00BC0E7E" w:rsidRPr="00BC0E7E" w:rsidRDefault="00944B8F" w:rsidP="00762FA7">
            <w:pPr>
              <w:keepNext/>
              <w:jc w:val="center"/>
              <w:rPr>
                <w:del w:id="7177" w:author="AbbVie19" w:date="2025-04-16T10:42:00Z"/>
                <w:rFonts w:eastAsia="Arial Unicode MS"/>
              </w:rPr>
            </w:pPr>
            <w:del w:id="7178" w:author="AbbVie19" w:date="2025-04-16T10:42:00Z">
              <w:r w:rsidRPr="00BC0E7E">
                <w:rPr>
                  <w:rFonts w:eastAsia="Arial Unicode MS"/>
                </w:rPr>
                <w:delText xml:space="preserve">   17%*</w:delText>
              </w:r>
            </w:del>
          </w:p>
        </w:tc>
      </w:tr>
      <w:tr w:rsidR="00C6578C" w14:paraId="41FA4BAE" w14:textId="77777777" w:rsidTr="00171601">
        <w:trPr>
          <w:del w:id="7179" w:author="AbbVie19" w:date="2025-04-16T10:42:00Z"/>
        </w:trPr>
        <w:tc>
          <w:tcPr>
            <w:tcW w:w="2945" w:type="pct"/>
            <w:tcBorders>
              <w:top w:val="nil"/>
              <w:left w:val="nil"/>
              <w:right w:val="nil"/>
            </w:tcBorders>
          </w:tcPr>
          <w:p w14:paraId="0112298E" w14:textId="77777777" w:rsidR="00BC0E7E" w:rsidRPr="00BC0E7E" w:rsidRDefault="00944B8F" w:rsidP="00762FA7">
            <w:pPr>
              <w:keepNext/>
              <w:rPr>
                <w:del w:id="7180" w:author="AbbVie19" w:date="2025-04-16T10:42:00Z"/>
                <w:rFonts w:eastAsia="Arial Unicode MS"/>
              </w:rPr>
            </w:pPr>
            <w:del w:id="7181" w:author="AbbVie19" w:date="2025-04-16T10:42:00Z">
              <w:r w:rsidRPr="00BC0E7E">
                <w:rPr>
                  <w:rFonts w:eastAsia="Arial Unicode MS"/>
                </w:rPr>
                <w:delText xml:space="preserve">  Mucosal Healing </w:delText>
              </w:r>
            </w:del>
          </w:p>
        </w:tc>
        <w:tc>
          <w:tcPr>
            <w:tcW w:w="644" w:type="pct"/>
            <w:tcBorders>
              <w:top w:val="nil"/>
              <w:left w:val="nil"/>
              <w:right w:val="nil"/>
            </w:tcBorders>
          </w:tcPr>
          <w:p w14:paraId="30D0D07A" w14:textId="77777777" w:rsidR="00BC0E7E" w:rsidRPr="00BC0E7E" w:rsidRDefault="00944B8F" w:rsidP="00762FA7">
            <w:pPr>
              <w:keepNext/>
              <w:jc w:val="center"/>
              <w:rPr>
                <w:del w:id="7182" w:author="AbbVie19" w:date="2025-04-16T10:42:00Z"/>
                <w:rFonts w:eastAsia="Arial Unicode MS"/>
              </w:rPr>
            </w:pPr>
            <w:del w:id="7183" w:author="AbbVie19" w:date="2025-04-16T10:42:00Z">
              <w:r w:rsidRPr="00BC0E7E">
                <w:rPr>
                  <w:rFonts w:eastAsia="Arial Unicode MS"/>
                </w:rPr>
                <w:delText>15%</w:delText>
              </w:r>
            </w:del>
          </w:p>
        </w:tc>
        <w:tc>
          <w:tcPr>
            <w:tcW w:w="1411" w:type="pct"/>
            <w:tcBorders>
              <w:top w:val="nil"/>
              <w:left w:val="nil"/>
              <w:right w:val="nil"/>
            </w:tcBorders>
          </w:tcPr>
          <w:p w14:paraId="55DAB262" w14:textId="77777777" w:rsidR="00BC0E7E" w:rsidRPr="00BC0E7E" w:rsidRDefault="00944B8F" w:rsidP="00762FA7">
            <w:pPr>
              <w:keepNext/>
              <w:jc w:val="center"/>
              <w:rPr>
                <w:del w:id="7184" w:author="AbbVie19" w:date="2025-04-16T10:42:00Z"/>
                <w:rFonts w:eastAsia="Arial Unicode MS"/>
              </w:rPr>
            </w:pPr>
            <w:del w:id="7185" w:author="AbbVie19" w:date="2025-04-16T10:42:00Z">
              <w:r w:rsidRPr="00BC0E7E">
                <w:rPr>
                  <w:rFonts w:eastAsia="Arial Unicode MS"/>
                </w:rPr>
                <w:delText xml:space="preserve">   25%*</w:delText>
              </w:r>
            </w:del>
          </w:p>
        </w:tc>
      </w:tr>
      <w:tr w:rsidR="00C6578C" w14:paraId="10F61345" w14:textId="77777777" w:rsidTr="00171601">
        <w:trPr>
          <w:del w:id="7186" w:author="AbbVie19" w:date="2025-04-16T10:42:00Z"/>
        </w:trPr>
        <w:tc>
          <w:tcPr>
            <w:tcW w:w="2945" w:type="pct"/>
            <w:tcBorders>
              <w:top w:val="nil"/>
              <w:left w:val="nil"/>
              <w:right w:val="nil"/>
            </w:tcBorders>
          </w:tcPr>
          <w:p w14:paraId="3A362DED" w14:textId="77777777" w:rsidR="00BC0E7E" w:rsidRPr="00BC0E7E" w:rsidRDefault="00944B8F" w:rsidP="00762FA7">
            <w:pPr>
              <w:keepNext/>
              <w:rPr>
                <w:del w:id="7187" w:author="AbbVie19" w:date="2025-04-16T10:42:00Z"/>
                <w:rFonts w:eastAsia="Arial Unicode MS"/>
              </w:rPr>
            </w:pPr>
            <w:del w:id="7188" w:author="AbbVie19" w:date="2025-04-16T10:42:00Z">
              <w:r w:rsidRPr="00BC0E7E">
                <w:rPr>
                  <w:rFonts w:eastAsia="Arial Unicode MS"/>
                </w:rPr>
                <w:delText xml:space="preserve">  Steroid-free remission for ≥ 90 days</w:delText>
              </w:r>
              <w:r w:rsidRPr="00BC0E7E">
                <w:rPr>
                  <w:vertAlign w:val="superscript"/>
                </w:rPr>
                <w:delText xml:space="preserve"> a</w:delText>
              </w:r>
              <w:r w:rsidRPr="00BC0E7E">
                <w:rPr>
                  <w:rFonts w:eastAsia="Arial Unicode MS"/>
                </w:rPr>
                <w:delText xml:space="preserve"> </w:delText>
              </w:r>
            </w:del>
          </w:p>
        </w:tc>
        <w:tc>
          <w:tcPr>
            <w:tcW w:w="644" w:type="pct"/>
            <w:tcBorders>
              <w:top w:val="nil"/>
              <w:left w:val="nil"/>
              <w:right w:val="nil"/>
            </w:tcBorders>
          </w:tcPr>
          <w:p w14:paraId="4B8C9D29" w14:textId="77777777" w:rsidR="00BC0E7E" w:rsidRPr="00BC0E7E" w:rsidRDefault="00944B8F" w:rsidP="00762FA7">
            <w:pPr>
              <w:keepNext/>
              <w:jc w:val="center"/>
              <w:rPr>
                <w:del w:id="7189" w:author="AbbVie19" w:date="2025-04-16T10:42:00Z"/>
                <w:rFonts w:eastAsia="Arial Unicode MS"/>
              </w:rPr>
            </w:pPr>
            <w:del w:id="7190" w:author="AbbVie19" w:date="2025-04-16T10:42:00Z">
              <w:r w:rsidRPr="00BC0E7E">
                <w:rPr>
                  <w:rFonts w:eastAsia="Arial Unicode MS"/>
                </w:rPr>
                <w:delText xml:space="preserve">6% </w:delText>
              </w:r>
            </w:del>
          </w:p>
          <w:p w14:paraId="6C761358" w14:textId="77777777" w:rsidR="00BC0E7E" w:rsidRPr="00BC0E7E" w:rsidRDefault="00944B8F" w:rsidP="00762FA7">
            <w:pPr>
              <w:keepNext/>
              <w:jc w:val="center"/>
              <w:rPr>
                <w:del w:id="7191" w:author="AbbVie19" w:date="2025-04-16T10:42:00Z"/>
                <w:rFonts w:eastAsia="Arial Unicode MS"/>
              </w:rPr>
            </w:pPr>
            <w:del w:id="7192" w:author="AbbVie19" w:date="2025-04-16T10:42:00Z">
              <w:r w:rsidRPr="00BC0E7E">
                <w:rPr>
                  <w:rFonts w:eastAsia="Arial Unicode MS"/>
                </w:rPr>
                <w:delText>(N=140)</w:delText>
              </w:r>
            </w:del>
          </w:p>
        </w:tc>
        <w:tc>
          <w:tcPr>
            <w:tcW w:w="1411" w:type="pct"/>
            <w:tcBorders>
              <w:top w:val="nil"/>
              <w:left w:val="nil"/>
              <w:right w:val="nil"/>
            </w:tcBorders>
          </w:tcPr>
          <w:p w14:paraId="08D114ED" w14:textId="77777777" w:rsidR="00BC0E7E" w:rsidRPr="00BC0E7E" w:rsidRDefault="00944B8F" w:rsidP="00762FA7">
            <w:pPr>
              <w:keepNext/>
              <w:jc w:val="center"/>
              <w:rPr>
                <w:del w:id="7193" w:author="AbbVie19" w:date="2025-04-16T10:42:00Z"/>
                <w:rFonts w:eastAsia="Arial Unicode MS"/>
              </w:rPr>
            </w:pPr>
            <w:del w:id="7194" w:author="AbbVie19" w:date="2025-04-16T10:42:00Z">
              <w:r w:rsidRPr="00BC0E7E">
                <w:rPr>
                  <w:rFonts w:eastAsia="Arial Unicode MS"/>
                </w:rPr>
                <w:delText xml:space="preserve">     13% *</w:delText>
              </w:r>
            </w:del>
          </w:p>
          <w:p w14:paraId="581C889C" w14:textId="77777777" w:rsidR="00BC0E7E" w:rsidRPr="00BC0E7E" w:rsidRDefault="00944B8F" w:rsidP="00762FA7">
            <w:pPr>
              <w:keepNext/>
              <w:jc w:val="center"/>
              <w:rPr>
                <w:del w:id="7195" w:author="AbbVie19" w:date="2025-04-16T10:42:00Z"/>
                <w:rFonts w:eastAsia="Arial Unicode MS"/>
              </w:rPr>
            </w:pPr>
            <w:del w:id="7196" w:author="AbbVie19" w:date="2025-04-16T10:42:00Z">
              <w:r w:rsidRPr="00BC0E7E">
                <w:rPr>
                  <w:rFonts w:eastAsia="Arial Unicode MS"/>
                </w:rPr>
                <w:delText>(N=150)</w:delText>
              </w:r>
            </w:del>
          </w:p>
          <w:p w14:paraId="59B1B192" w14:textId="77777777" w:rsidR="00BC0E7E" w:rsidRPr="00BC0E7E" w:rsidRDefault="00BC0E7E" w:rsidP="00762FA7">
            <w:pPr>
              <w:keepNext/>
              <w:rPr>
                <w:del w:id="7197" w:author="AbbVie19" w:date="2025-04-16T10:42:00Z"/>
                <w:rFonts w:eastAsia="Arial Unicode MS"/>
              </w:rPr>
            </w:pPr>
          </w:p>
        </w:tc>
      </w:tr>
      <w:tr w:rsidR="00C6578C" w14:paraId="6A7C2479" w14:textId="77777777" w:rsidTr="00171601">
        <w:trPr>
          <w:del w:id="7198" w:author="AbbVie19" w:date="2025-04-16T10:42:00Z"/>
        </w:trPr>
        <w:tc>
          <w:tcPr>
            <w:tcW w:w="2945" w:type="pct"/>
            <w:tcBorders>
              <w:top w:val="nil"/>
              <w:left w:val="nil"/>
              <w:right w:val="nil"/>
            </w:tcBorders>
          </w:tcPr>
          <w:p w14:paraId="4B4E00C1" w14:textId="77777777" w:rsidR="00BC0E7E" w:rsidRPr="00BC0E7E" w:rsidRDefault="00944B8F" w:rsidP="00762FA7">
            <w:pPr>
              <w:keepNext/>
              <w:rPr>
                <w:del w:id="7199" w:author="AbbVie19" w:date="2025-04-16T10:42:00Z"/>
                <w:rFonts w:eastAsia="Arial Unicode MS"/>
              </w:rPr>
            </w:pPr>
            <w:del w:id="7200" w:author="AbbVie19" w:date="2025-04-16T10:42:00Z">
              <w:r w:rsidRPr="00BC0E7E">
                <w:rPr>
                  <w:rFonts w:eastAsia="Arial Unicode MS"/>
                </w:rPr>
                <w:delText>Week</w:delText>
              </w:r>
              <w:r w:rsidRPr="00BC0E7E">
                <w:delText> </w:delText>
              </w:r>
              <w:r w:rsidRPr="00BC0E7E">
                <w:rPr>
                  <w:rFonts w:eastAsia="Arial Unicode MS"/>
                </w:rPr>
                <w:delText>8 and 52</w:delText>
              </w:r>
            </w:del>
          </w:p>
        </w:tc>
        <w:tc>
          <w:tcPr>
            <w:tcW w:w="644" w:type="pct"/>
            <w:tcBorders>
              <w:top w:val="nil"/>
              <w:left w:val="nil"/>
              <w:right w:val="nil"/>
            </w:tcBorders>
          </w:tcPr>
          <w:p w14:paraId="0A7FB8EB" w14:textId="77777777" w:rsidR="00BC0E7E" w:rsidRPr="00BC0E7E" w:rsidRDefault="00BC0E7E" w:rsidP="00762FA7">
            <w:pPr>
              <w:keepNext/>
              <w:jc w:val="center"/>
              <w:rPr>
                <w:del w:id="7201" w:author="AbbVie19" w:date="2025-04-16T10:42:00Z"/>
                <w:rFonts w:eastAsia="Arial Unicode MS"/>
              </w:rPr>
            </w:pPr>
          </w:p>
        </w:tc>
        <w:tc>
          <w:tcPr>
            <w:tcW w:w="1411" w:type="pct"/>
            <w:tcBorders>
              <w:top w:val="nil"/>
              <w:left w:val="nil"/>
              <w:right w:val="nil"/>
            </w:tcBorders>
          </w:tcPr>
          <w:p w14:paraId="60E5C9D0" w14:textId="77777777" w:rsidR="00BC0E7E" w:rsidRPr="00BC0E7E" w:rsidRDefault="00BC0E7E" w:rsidP="00762FA7">
            <w:pPr>
              <w:keepNext/>
              <w:jc w:val="center"/>
              <w:rPr>
                <w:del w:id="7202" w:author="AbbVie19" w:date="2025-04-16T10:42:00Z"/>
                <w:rFonts w:eastAsia="Arial Unicode MS"/>
              </w:rPr>
            </w:pPr>
          </w:p>
        </w:tc>
      </w:tr>
      <w:tr w:rsidR="00C6578C" w14:paraId="22CD0233" w14:textId="77777777" w:rsidTr="00171601">
        <w:trPr>
          <w:del w:id="7203" w:author="AbbVie19" w:date="2025-04-16T10:42:00Z"/>
        </w:trPr>
        <w:tc>
          <w:tcPr>
            <w:tcW w:w="2945" w:type="pct"/>
            <w:tcBorders>
              <w:top w:val="nil"/>
              <w:left w:val="nil"/>
              <w:right w:val="nil"/>
            </w:tcBorders>
          </w:tcPr>
          <w:p w14:paraId="37903616" w14:textId="77777777" w:rsidR="00BC0E7E" w:rsidRPr="00BC0E7E" w:rsidRDefault="00944B8F" w:rsidP="00762FA7">
            <w:pPr>
              <w:keepNext/>
              <w:rPr>
                <w:del w:id="7204" w:author="AbbVie19" w:date="2025-04-16T10:42:00Z"/>
                <w:rFonts w:eastAsia="Arial Unicode MS"/>
              </w:rPr>
            </w:pPr>
            <w:del w:id="7205" w:author="AbbVie19" w:date="2025-04-16T10:42:00Z">
              <w:r w:rsidRPr="00BC0E7E">
                <w:rPr>
                  <w:rFonts w:eastAsia="Arial Unicode MS"/>
                </w:rPr>
                <w:delText xml:space="preserve">  Sustained Response </w:delText>
              </w:r>
            </w:del>
          </w:p>
        </w:tc>
        <w:tc>
          <w:tcPr>
            <w:tcW w:w="644" w:type="pct"/>
            <w:tcBorders>
              <w:top w:val="nil"/>
              <w:left w:val="nil"/>
              <w:right w:val="nil"/>
            </w:tcBorders>
          </w:tcPr>
          <w:p w14:paraId="3277B4B2" w14:textId="77777777" w:rsidR="00BC0E7E" w:rsidRPr="00BC0E7E" w:rsidRDefault="00944B8F" w:rsidP="00762FA7">
            <w:pPr>
              <w:keepNext/>
              <w:jc w:val="center"/>
              <w:rPr>
                <w:del w:id="7206" w:author="AbbVie19" w:date="2025-04-16T10:42:00Z"/>
                <w:rFonts w:eastAsia="Arial Unicode MS"/>
              </w:rPr>
            </w:pPr>
            <w:del w:id="7207" w:author="AbbVie19" w:date="2025-04-16T10:42:00Z">
              <w:r w:rsidRPr="00BC0E7E">
                <w:rPr>
                  <w:rFonts w:eastAsia="Arial Unicode MS"/>
                </w:rPr>
                <w:delText>12%</w:delText>
              </w:r>
            </w:del>
          </w:p>
        </w:tc>
        <w:tc>
          <w:tcPr>
            <w:tcW w:w="1411" w:type="pct"/>
            <w:tcBorders>
              <w:top w:val="nil"/>
              <w:left w:val="nil"/>
              <w:right w:val="nil"/>
            </w:tcBorders>
          </w:tcPr>
          <w:p w14:paraId="355BEE2D" w14:textId="77777777" w:rsidR="00BC0E7E" w:rsidRPr="00BC0E7E" w:rsidRDefault="00944B8F" w:rsidP="00762FA7">
            <w:pPr>
              <w:keepNext/>
              <w:jc w:val="center"/>
              <w:rPr>
                <w:del w:id="7208" w:author="AbbVie19" w:date="2025-04-16T10:42:00Z"/>
                <w:rFonts w:eastAsia="Arial Unicode MS"/>
              </w:rPr>
            </w:pPr>
            <w:del w:id="7209" w:author="AbbVie19" w:date="2025-04-16T10:42:00Z">
              <w:r w:rsidRPr="00BC0E7E">
                <w:rPr>
                  <w:rFonts w:eastAsia="Arial Unicode MS"/>
                </w:rPr>
                <w:delText xml:space="preserve">   24%**</w:delText>
              </w:r>
            </w:del>
          </w:p>
        </w:tc>
      </w:tr>
      <w:tr w:rsidR="00C6578C" w14:paraId="43EB98D9" w14:textId="77777777" w:rsidTr="00171601">
        <w:trPr>
          <w:del w:id="7210" w:author="AbbVie19" w:date="2025-04-16T10:42:00Z"/>
        </w:trPr>
        <w:tc>
          <w:tcPr>
            <w:tcW w:w="2945" w:type="pct"/>
            <w:tcBorders>
              <w:top w:val="nil"/>
              <w:left w:val="nil"/>
              <w:right w:val="nil"/>
            </w:tcBorders>
          </w:tcPr>
          <w:p w14:paraId="2DDA2DCE" w14:textId="77777777" w:rsidR="00BC0E7E" w:rsidRPr="00BC0E7E" w:rsidRDefault="00944B8F" w:rsidP="00762FA7">
            <w:pPr>
              <w:keepNext/>
              <w:rPr>
                <w:del w:id="7211" w:author="AbbVie19" w:date="2025-04-16T10:42:00Z"/>
                <w:rFonts w:eastAsia="Arial Unicode MS"/>
              </w:rPr>
            </w:pPr>
            <w:del w:id="7212" w:author="AbbVie19" w:date="2025-04-16T10:42:00Z">
              <w:r w:rsidRPr="00BC0E7E">
                <w:rPr>
                  <w:rFonts w:eastAsia="Arial Unicode MS"/>
                </w:rPr>
                <w:delText xml:space="preserve">  Sustained Remission </w:delText>
              </w:r>
            </w:del>
          </w:p>
        </w:tc>
        <w:tc>
          <w:tcPr>
            <w:tcW w:w="644" w:type="pct"/>
            <w:tcBorders>
              <w:top w:val="nil"/>
              <w:left w:val="nil"/>
              <w:right w:val="nil"/>
            </w:tcBorders>
          </w:tcPr>
          <w:p w14:paraId="261BF20F" w14:textId="77777777" w:rsidR="00BC0E7E" w:rsidRPr="00BC0E7E" w:rsidRDefault="00944B8F" w:rsidP="00762FA7">
            <w:pPr>
              <w:keepNext/>
              <w:jc w:val="center"/>
              <w:rPr>
                <w:del w:id="7213" w:author="AbbVie19" w:date="2025-04-16T10:42:00Z"/>
                <w:rFonts w:eastAsia="Arial Unicode MS"/>
              </w:rPr>
            </w:pPr>
            <w:del w:id="7214" w:author="AbbVie19" w:date="2025-04-16T10:42:00Z">
              <w:r w:rsidRPr="00BC0E7E">
                <w:rPr>
                  <w:rFonts w:eastAsia="Arial Unicode MS"/>
                </w:rPr>
                <w:delText>4%</w:delText>
              </w:r>
            </w:del>
          </w:p>
        </w:tc>
        <w:tc>
          <w:tcPr>
            <w:tcW w:w="1411" w:type="pct"/>
            <w:tcBorders>
              <w:top w:val="nil"/>
              <w:left w:val="nil"/>
              <w:right w:val="nil"/>
            </w:tcBorders>
          </w:tcPr>
          <w:p w14:paraId="1921E219" w14:textId="77777777" w:rsidR="00BC0E7E" w:rsidRPr="00BC0E7E" w:rsidRDefault="00944B8F" w:rsidP="00762FA7">
            <w:pPr>
              <w:keepNext/>
              <w:jc w:val="center"/>
              <w:rPr>
                <w:del w:id="7215" w:author="AbbVie19" w:date="2025-04-16T10:42:00Z"/>
                <w:rFonts w:eastAsia="Arial Unicode MS"/>
              </w:rPr>
            </w:pPr>
            <w:del w:id="7216" w:author="AbbVie19" w:date="2025-04-16T10:42:00Z">
              <w:r w:rsidRPr="00BC0E7E">
                <w:rPr>
                  <w:rFonts w:eastAsia="Arial Unicode MS"/>
                </w:rPr>
                <w:delText xml:space="preserve">   8%*</w:delText>
              </w:r>
            </w:del>
          </w:p>
        </w:tc>
      </w:tr>
      <w:tr w:rsidR="00C6578C" w14:paraId="599990F5" w14:textId="77777777" w:rsidTr="00171601">
        <w:trPr>
          <w:del w:id="7217" w:author="AbbVie19" w:date="2025-04-16T10:42:00Z"/>
        </w:trPr>
        <w:tc>
          <w:tcPr>
            <w:tcW w:w="2945" w:type="pct"/>
            <w:tcBorders>
              <w:top w:val="nil"/>
              <w:left w:val="nil"/>
              <w:bottom w:val="single" w:sz="6" w:space="0" w:color="000000"/>
              <w:right w:val="nil"/>
            </w:tcBorders>
          </w:tcPr>
          <w:p w14:paraId="40538669" w14:textId="77777777" w:rsidR="00BC0E7E" w:rsidRPr="00BC0E7E" w:rsidRDefault="00944B8F" w:rsidP="00762FA7">
            <w:pPr>
              <w:keepNext/>
              <w:rPr>
                <w:del w:id="7218" w:author="AbbVie19" w:date="2025-04-16T10:42:00Z"/>
                <w:rFonts w:eastAsia="Arial Unicode MS"/>
              </w:rPr>
            </w:pPr>
            <w:del w:id="7219" w:author="AbbVie19" w:date="2025-04-16T10:42:00Z">
              <w:r w:rsidRPr="00BC0E7E">
                <w:rPr>
                  <w:rFonts w:eastAsia="Arial Unicode MS"/>
                </w:rPr>
                <w:delText xml:space="preserve">  Sustained Mucosal Healing </w:delText>
              </w:r>
            </w:del>
          </w:p>
        </w:tc>
        <w:tc>
          <w:tcPr>
            <w:tcW w:w="644" w:type="pct"/>
            <w:tcBorders>
              <w:top w:val="nil"/>
              <w:left w:val="nil"/>
              <w:bottom w:val="single" w:sz="6" w:space="0" w:color="000000"/>
              <w:right w:val="nil"/>
            </w:tcBorders>
          </w:tcPr>
          <w:p w14:paraId="5F585238" w14:textId="77777777" w:rsidR="00BC0E7E" w:rsidRPr="00BC0E7E" w:rsidRDefault="00944B8F" w:rsidP="00762FA7">
            <w:pPr>
              <w:keepNext/>
              <w:jc w:val="center"/>
              <w:rPr>
                <w:del w:id="7220" w:author="AbbVie19" w:date="2025-04-16T10:42:00Z"/>
                <w:rFonts w:eastAsia="Arial Unicode MS"/>
              </w:rPr>
            </w:pPr>
            <w:del w:id="7221" w:author="AbbVie19" w:date="2025-04-16T10:42:00Z">
              <w:r w:rsidRPr="00BC0E7E">
                <w:rPr>
                  <w:rFonts w:eastAsia="Arial Unicode MS"/>
                </w:rPr>
                <w:delText>11%</w:delText>
              </w:r>
            </w:del>
          </w:p>
        </w:tc>
        <w:tc>
          <w:tcPr>
            <w:tcW w:w="1411" w:type="pct"/>
            <w:tcBorders>
              <w:top w:val="nil"/>
              <w:left w:val="nil"/>
              <w:bottom w:val="single" w:sz="6" w:space="0" w:color="000000"/>
              <w:right w:val="nil"/>
            </w:tcBorders>
          </w:tcPr>
          <w:p w14:paraId="5A5713A5" w14:textId="77777777" w:rsidR="00BC0E7E" w:rsidRPr="00BC0E7E" w:rsidRDefault="00944B8F" w:rsidP="00762FA7">
            <w:pPr>
              <w:keepNext/>
              <w:jc w:val="center"/>
              <w:rPr>
                <w:del w:id="7222" w:author="AbbVie19" w:date="2025-04-16T10:42:00Z"/>
                <w:rFonts w:eastAsia="Arial Unicode MS"/>
              </w:rPr>
            </w:pPr>
            <w:del w:id="7223" w:author="AbbVie19" w:date="2025-04-16T10:42:00Z">
              <w:r w:rsidRPr="00BC0E7E">
                <w:rPr>
                  <w:rFonts w:eastAsia="Arial Unicode MS"/>
                </w:rPr>
                <w:delText xml:space="preserve">  19%*</w:delText>
              </w:r>
            </w:del>
          </w:p>
        </w:tc>
      </w:tr>
      <w:tr w:rsidR="00C6578C" w14:paraId="1CC503B4" w14:textId="77777777" w:rsidTr="00171601">
        <w:trPr>
          <w:del w:id="7224" w:author="AbbVie19" w:date="2025-04-16T10:42:00Z"/>
        </w:trPr>
        <w:tc>
          <w:tcPr>
            <w:tcW w:w="5000" w:type="pct"/>
            <w:gridSpan w:val="3"/>
            <w:tcBorders>
              <w:top w:val="nil"/>
              <w:left w:val="nil"/>
              <w:bottom w:val="nil"/>
              <w:right w:val="nil"/>
            </w:tcBorders>
          </w:tcPr>
          <w:p w14:paraId="735AF60B" w14:textId="77777777" w:rsidR="00BC0E7E" w:rsidRPr="00BC0E7E" w:rsidRDefault="00944B8F" w:rsidP="00762FA7">
            <w:pPr>
              <w:keepNext/>
              <w:spacing w:line="264" w:lineRule="atLeast"/>
              <w:rPr>
                <w:del w:id="7225" w:author="AbbVie19" w:date="2025-04-16T10:42:00Z"/>
                <w:rFonts w:eastAsia="Arial Unicode MS"/>
              </w:rPr>
            </w:pPr>
            <w:del w:id="7226" w:author="AbbVie19" w:date="2025-04-16T10:42:00Z">
              <w:r w:rsidRPr="00BC0E7E">
                <w:rPr>
                  <w:rFonts w:eastAsia="Arial Unicode MS"/>
                </w:rPr>
                <w:delText>Clinical remission is Mayo score ≤</w:delText>
              </w:r>
              <w:r w:rsidRPr="00BC0E7E">
                <w:delText> </w:delText>
              </w:r>
              <w:r w:rsidRPr="00BC0E7E">
                <w:rPr>
                  <w:rFonts w:eastAsia="Arial Unicode MS"/>
                </w:rPr>
                <w:delText>2 with no subscore &gt;</w:delText>
              </w:r>
              <w:r w:rsidRPr="00BC0E7E">
                <w:delText> </w:delText>
              </w:r>
              <w:r w:rsidRPr="00BC0E7E">
                <w:rPr>
                  <w:rFonts w:eastAsia="Arial Unicode MS"/>
                </w:rPr>
                <w:delText>1;</w:delText>
              </w:r>
            </w:del>
          </w:p>
          <w:p w14:paraId="039E0B8C" w14:textId="77777777" w:rsidR="00BC0E7E" w:rsidRPr="00BC0E7E" w:rsidRDefault="00944B8F" w:rsidP="00762FA7">
            <w:pPr>
              <w:keepNext/>
              <w:spacing w:line="264" w:lineRule="atLeast"/>
              <w:rPr>
                <w:del w:id="7227" w:author="AbbVie19" w:date="2025-04-16T10:42:00Z"/>
                <w:rFonts w:eastAsia="Arial Unicode MS"/>
              </w:rPr>
            </w:pPr>
            <w:del w:id="7228" w:author="AbbVie19" w:date="2025-04-16T10:42:00Z">
              <w:r w:rsidRPr="00BC0E7E">
                <w:rPr>
                  <w:rFonts w:eastAsia="Arial Unicode MS"/>
                </w:rPr>
                <w:delText>Clinical response is decrease from baseline in Mayo score ≥3 points and ≥30% plus a decrease in the rectal bleeding subscore [RBS] ≥1 or an absolute RBS of 0 or 1;</w:delText>
              </w:r>
            </w:del>
          </w:p>
          <w:p w14:paraId="612D9D99" w14:textId="77777777" w:rsidR="00BC0E7E" w:rsidRPr="00BC0E7E" w:rsidRDefault="00944B8F" w:rsidP="00762FA7">
            <w:pPr>
              <w:keepNext/>
              <w:spacing w:line="264" w:lineRule="atLeast"/>
              <w:rPr>
                <w:del w:id="7229" w:author="AbbVie19" w:date="2025-04-16T10:42:00Z"/>
                <w:rFonts w:eastAsia="Arial Unicode MS"/>
              </w:rPr>
            </w:pPr>
            <w:del w:id="7230" w:author="AbbVie19" w:date="2025-04-16T10:42:00Z">
              <w:r w:rsidRPr="00BC0E7E">
                <w:rPr>
                  <w:rFonts w:eastAsia="Arial Unicode MS"/>
                  <w:sz w:val="24"/>
                  <w:szCs w:val="19"/>
                  <w:vertAlign w:val="superscript"/>
                </w:rPr>
                <w:delText>*</w:delText>
              </w:r>
              <w:r w:rsidRPr="00BC0E7E">
                <w:rPr>
                  <w:rFonts w:eastAsia="Arial Unicode MS"/>
                </w:rPr>
                <w:delText xml:space="preserve">p&lt;0.05 for Humira </w:delText>
              </w:r>
              <w:r w:rsidRPr="00BC0E7E">
                <w:rPr>
                  <w:rFonts w:eastAsia="Arial Unicode MS"/>
                  <w:i/>
                  <w:iCs/>
                </w:rPr>
                <w:delText>vs.</w:delText>
              </w:r>
              <w:r w:rsidRPr="00BC0E7E">
                <w:rPr>
                  <w:rFonts w:eastAsia="Arial Unicode MS"/>
                </w:rPr>
                <w:delText xml:space="preserve"> placebo pairwise comparison of proportions </w:delText>
              </w:r>
            </w:del>
          </w:p>
          <w:p w14:paraId="2E03E913" w14:textId="77777777" w:rsidR="00BC0E7E" w:rsidRPr="00BC0E7E" w:rsidRDefault="00944B8F" w:rsidP="00762FA7">
            <w:pPr>
              <w:keepNext/>
              <w:spacing w:line="264" w:lineRule="atLeast"/>
              <w:rPr>
                <w:del w:id="7231" w:author="AbbVie19" w:date="2025-04-16T10:42:00Z"/>
                <w:rFonts w:eastAsia="Arial Unicode MS"/>
              </w:rPr>
            </w:pPr>
            <w:del w:id="7232" w:author="AbbVie19" w:date="2025-04-16T10:42:00Z">
              <w:r w:rsidRPr="00BC0E7E">
                <w:rPr>
                  <w:rFonts w:eastAsia="Arial Unicode MS"/>
                  <w:sz w:val="20"/>
                  <w:szCs w:val="20"/>
                </w:rPr>
                <w:delText>**</w:delText>
              </w:r>
              <w:r w:rsidRPr="00BC0E7E">
                <w:rPr>
                  <w:rFonts w:eastAsia="Arial Unicode MS"/>
                </w:rPr>
                <w:delText xml:space="preserve">p&lt;0.001 for Humira </w:delText>
              </w:r>
              <w:r w:rsidRPr="00BC0E7E">
                <w:rPr>
                  <w:rFonts w:eastAsia="Arial Unicode MS"/>
                  <w:i/>
                </w:rPr>
                <w:delText>vs.</w:delText>
              </w:r>
              <w:r w:rsidRPr="00BC0E7E">
                <w:rPr>
                  <w:rFonts w:eastAsia="Arial Unicode MS"/>
                </w:rPr>
                <w:delText xml:space="preserve"> placebo pairwise comparison of proportions</w:delText>
              </w:r>
            </w:del>
          </w:p>
          <w:p w14:paraId="6711465B" w14:textId="77777777" w:rsidR="00BC0E7E" w:rsidRPr="00BC0E7E" w:rsidRDefault="00944B8F" w:rsidP="00762FA7">
            <w:pPr>
              <w:keepNext/>
              <w:spacing w:line="264" w:lineRule="atLeast"/>
              <w:rPr>
                <w:del w:id="7233" w:author="AbbVie19" w:date="2025-04-16T10:42:00Z"/>
                <w:rFonts w:eastAsia="Arial Unicode MS"/>
                <w:b/>
              </w:rPr>
            </w:pPr>
            <w:del w:id="7234" w:author="AbbVie19" w:date="2025-04-16T10:42:00Z">
              <w:r w:rsidRPr="00BC0E7E">
                <w:rPr>
                  <w:vertAlign w:val="superscript"/>
                </w:rPr>
                <w:delText xml:space="preserve">a </w:delText>
              </w:r>
              <w:r w:rsidRPr="00BC0E7E">
                <w:delText xml:space="preserve">  Of those receiving corticosteroids at baseline</w:delText>
              </w:r>
            </w:del>
          </w:p>
        </w:tc>
      </w:tr>
    </w:tbl>
    <w:p w14:paraId="4D2BC06B" w14:textId="77777777" w:rsidR="00BC0E7E" w:rsidRPr="00BC0E7E" w:rsidRDefault="00BC0E7E" w:rsidP="00762FA7">
      <w:pPr>
        <w:rPr>
          <w:del w:id="7235" w:author="AbbVie19" w:date="2025-04-16T10:42:00Z"/>
          <w:iCs/>
          <w:szCs w:val="22"/>
        </w:rPr>
      </w:pPr>
    </w:p>
    <w:p w14:paraId="2281B345" w14:textId="77777777" w:rsidR="00BC0E7E" w:rsidRPr="00BC0E7E" w:rsidRDefault="00944B8F" w:rsidP="00762FA7">
      <w:pPr>
        <w:tabs>
          <w:tab w:val="clear" w:pos="562"/>
        </w:tabs>
        <w:suppressAutoHyphens w:val="0"/>
        <w:autoSpaceDE w:val="0"/>
        <w:autoSpaceDN w:val="0"/>
        <w:adjustRightInd w:val="0"/>
        <w:rPr>
          <w:del w:id="7236" w:author="AbbVie19" w:date="2025-04-16T10:42:00Z"/>
          <w:iCs/>
          <w:szCs w:val="22"/>
        </w:rPr>
      </w:pPr>
      <w:del w:id="7237" w:author="AbbVie19" w:date="2025-04-16T10:42:00Z">
        <w:r w:rsidRPr="00BC0E7E">
          <w:rPr>
            <w:iCs/>
            <w:szCs w:val="22"/>
          </w:rPr>
          <w:delText>Of those patients who had a response at Week</w:delText>
        </w:r>
        <w:r w:rsidRPr="00BC0E7E">
          <w:delText> </w:delText>
        </w:r>
        <w:r w:rsidRPr="00BC0E7E">
          <w:rPr>
            <w:iCs/>
            <w:szCs w:val="22"/>
          </w:rPr>
          <w:delText>8, 47% were in response, 29% were in remission, 41% had mucosal healing, and 20% were in steroid-free remission for ≥</w:delText>
        </w:r>
        <w:r w:rsidRPr="00BC0E7E">
          <w:delText> </w:delText>
        </w:r>
        <w:r w:rsidRPr="00BC0E7E">
          <w:rPr>
            <w:iCs/>
            <w:szCs w:val="22"/>
          </w:rPr>
          <w:delText>90 days at Week</w:delText>
        </w:r>
        <w:r w:rsidRPr="00BC0E7E">
          <w:delText> </w:delText>
        </w:r>
        <w:r w:rsidRPr="00BC0E7E">
          <w:rPr>
            <w:iCs/>
            <w:szCs w:val="22"/>
          </w:rPr>
          <w:delText>52.</w:delText>
        </w:r>
      </w:del>
    </w:p>
    <w:p w14:paraId="64C73535" w14:textId="77777777" w:rsidR="00BC0E7E" w:rsidRPr="00BC0E7E" w:rsidRDefault="00BC0E7E" w:rsidP="00762FA7">
      <w:pPr>
        <w:tabs>
          <w:tab w:val="clear" w:pos="562"/>
        </w:tabs>
        <w:suppressAutoHyphens w:val="0"/>
        <w:autoSpaceDE w:val="0"/>
        <w:autoSpaceDN w:val="0"/>
        <w:adjustRightInd w:val="0"/>
        <w:rPr>
          <w:del w:id="7238" w:author="AbbVie19" w:date="2025-04-16T10:42:00Z"/>
          <w:iCs/>
          <w:szCs w:val="22"/>
        </w:rPr>
      </w:pPr>
    </w:p>
    <w:p w14:paraId="4951159C" w14:textId="77777777" w:rsidR="00BC0E7E" w:rsidRPr="00BC0E7E" w:rsidRDefault="00944B8F" w:rsidP="00762FA7">
      <w:pPr>
        <w:tabs>
          <w:tab w:val="clear" w:pos="562"/>
        </w:tabs>
        <w:suppressAutoHyphens w:val="0"/>
        <w:autoSpaceDE w:val="0"/>
        <w:autoSpaceDN w:val="0"/>
        <w:adjustRightInd w:val="0"/>
        <w:rPr>
          <w:del w:id="7239" w:author="AbbVie19" w:date="2025-04-16T10:42:00Z"/>
          <w:iCs/>
          <w:szCs w:val="22"/>
        </w:rPr>
      </w:pPr>
      <w:del w:id="7240" w:author="AbbVie19" w:date="2025-04-16T10:42:00Z">
        <w:r w:rsidRPr="00BC0E7E">
          <w:rPr>
            <w:iCs/>
            <w:szCs w:val="22"/>
          </w:rPr>
          <w:delText>Approximately 40% of patients in study UC-II had failed prior anti-TNF treatment with infliximab. The efficacy of adalimumab in those patients was reduced compared to that in anti-TNF naïve patients.  Among patients who had failed prior anti-TNF treatment, Week</w:delText>
        </w:r>
        <w:r w:rsidRPr="00BC0E7E">
          <w:delText> </w:delText>
        </w:r>
        <w:r w:rsidRPr="00BC0E7E">
          <w:rPr>
            <w:iCs/>
            <w:szCs w:val="22"/>
          </w:rPr>
          <w:delText>52 remission was achieved by 3% on placebo and 10% on adalimumab.</w:delText>
        </w:r>
      </w:del>
    </w:p>
    <w:p w14:paraId="46B6D5F7" w14:textId="77777777" w:rsidR="00BC0E7E" w:rsidRPr="00BC0E7E" w:rsidRDefault="00BC0E7E" w:rsidP="00762FA7">
      <w:pPr>
        <w:tabs>
          <w:tab w:val="clear" w:pos="562"/>
        </w:tabs>
        <w:suppressAutoHyphens w:val="0"/>
        <w:autoSpaceDE w:val="0"/>
        <w:autoSpaceDN w:val="0"/>
        <w:adjustRightInd w:val="0"/>
        <w:rPr>
          <w:del w:id="7241" w:author="AbbVie19" w:date="2025-04-16T10:42:00Z"/>
          <w:szCs w:val="22"/>
        </w:rPr>
      </w:pPr>
    </w:p>
    <w:p w14:paraId="6F3B4BD4" w14:textId="77777777" w:rsidR="00BC0E7E" w:rsidRPr="00BC0E7E" w:rsidRDefault="00944B8F" w:rsidP="00762FA7">
      <w:pPr>
        <w:rPr>
          <w:del w:id="7242" w:author="AbbVie19" w:date="2025-04-16T10:42:00Z"/>
          <w:szCs w:val="22"/>
        </w:rPr>
      </w:pPr>
      <w:del w:id="7243" w:author="AbbVie19" w:date="2025-04-16T10:42:00Z">
        <w:r w:rsidRPr="00BC0E7E">
          <w:rPr>
            <w:szCs w:val="22"/>
          </w:rPr>
          <w:delText>Patients from studies UC-I and UC-II had the option to roll over into an open-label long-term extension study (UC III). Following 3</w:delText>
        </w:r>
        <w:r w:rsidRPr="00BC0E7E">
          <w:rPr>
            <w:szCs w:val="20"/>
          </w:rPr>
          <w:delText> </w:delText>
        </w:r>
        <w:r w:rsidRPr="00BC0E7E">
          <w:rPr>
            <w:szCs w:val="22"/>
          </w:rPr>
          <w:delText xml:space="preserve">years of adalimumab therapy, 75% (301/402) continued to be in clinical remission per partial Mayo score. </w:delText>
        </w:r>
      </w:del>
    </w:p>
    <w:p w14:paraId="50D901D2" w14:textId="77777777" w:rsidR="00BC0E7E" w:rsidRPr="00BC0E7E" w:rsidRDefault="00BC0E7E" w:rsidP="00762FA7">
      <w:pPr>
        <w:rPr>
          <w:del w:id="7244" w:author="AbbVie19" w:date="2025-04-16T10:42:00Z"/>
          <w:szCs w:val="22"/>
        </w:rPr>
      </w:pPr>
    </w:p>
    <w:p w14:paraId="3027AE3B" w14:textId="77777777" w:rsidR="00BC0E7E" w:rsidRPr="00BC0E7E" w:rsidRDefault="00944B8F" w:rsidP="00762FA7">
      <w:pPr>
        <w:keepNext/>
        <w:rPr>
          <w:del w:id="7245" w:author="AbbVie19" w:date="2025-04-16T10:42:00Z"/>
          <w:bCs/>
          <w:i/>
          <w:szCs w:val="22"/>
          <w:u w:val="single"/>
        </w:rPr>
      </w:pPr>
      <w:del w:id="7246" w:author="AbbVie19" w:date="2025-04-16T10:42:00Z">
        <w:r w:rsidRPr="00BC0E7E">
          <w:rPr>
            <w:bCs/>
            <w:i/>
            <w:szCs w:val="22"/>
            <w:u w:val="single"/>
          </w:rPr>
          <w:delText>Hospitalisation rates</w:delText>
        </w:r>
      </w:del>
    </w:p>
    <w:p w14:paraId="7D53D835" w14:textId="77777777" w:rsidR="00BC0E7E" w:rsidRPr="00BC0E7E" w:rsidRDefault="00BC0E7E" w:rsidP="00762FA7">
      <w:pPr>
        <w:keepNext/>
        <w:rPr>
          <w:del w:id="7247" w:author="AbbVie19" w:date="2025-04-16T10:42:00Z"/>
          <w:szCs w:val="22"/>
        </w:rPr>
      </w:pPr>
    </w:p>
    <w:p w14:paraId="149A7419" w14:textId="77777777" w:rsidR="00BC0E7E" w:rsidRPr="00BC0E7E" w:rsidRDefault="00944B8F" w:rsidP="00762FA7">
      <w:pPr>
        <w:keepNext/>
        <w:rPr>
          <w:del w:id="7248" w:author="AbbVie19" w:date="2025-04-16T10:42:00Z"/>
          <w:szCs w:val="22"/>
        </w:rPr>
      </w:pPr>
      <w:del w:id="7249" w:author="AbbVie19" w:date="2025-04-16T10:42:00Z">
        <w:r w:rsidRPr="00BC0E7E">
          <w:rPr>
            <w:szCs w:val="22"/>
          </w:rPr>
          <w:delText>During 52</w:delText>
        </w:r>
        <w:r w:rsidRPr="00BC0E7E">
          <w:rPr>
            <w:szCs w:val="20"/>
          </w:rPr>
          <w:delText> </w:delText>
        </w:r>
        <w:r w:rsidRPr="00BC0E7E">
          <w:rPr>
            <w:szCs w:val="22"/>
          </w:rPr>
          <w:delText xml:space="preserve">weeks of studies UC-I and UC-II, lower rates of all-cause hospitalisations and UC-related hospitalisations were observed for the adalimumab-treated arm compared to the placebo arm. </w:delText>
        </w:r>
        <w:r w:rsidRPr="00BC0E7E">
          <w:rPr>
            <w:iCs/>
            <w:szCs w:val="20"/>
            <w:lang w:eastAsia="sv-SE"/>
          </w:rPr>
          <w:delText xml:space="preserve">The number of all cause hospitalisations in the adalimumab treatment group was 0.18 per patient year </w:delText>
        </w:r>
        <w:r w:rsidRPr="00BC0E7E">
          <w:rPr>
            <w:i/>
            <w:iCs/>
            <w:szCs w:val="20"/>
            <w:lang w:eastAsia="sv-SE"/>
          </w:rPr>
          <w:delText>vs</w:delText>
        </w:r>
        <w:r w:rsidRPr="00BC0E7E">
          <w:rPr>
            <w:iCs/>
            <w:szCs w:val="20"/>
            <w:lang w:eastAsia="sv-SE"/>
          </w:rPr>
          <w:delText xml:space="preserve">. 0.26 per patient year in the placebo group and the corresponding figures for UC-related hospitalisations were 0.12 per patient year </w:delText>
        </w:r>
        <w:r w:rsidRPr="00BC0E7E">
          <w:rPr>
            <w:i/>
            <w:iCs/>
            <w:szCs w:val="20"/>
            <w:lang w:eastAsia="sv-SE"/>
          </w:rPr>
          <w:delText>vs.</w:delText>
        </w:r>
        <w:r w:rsidRPr="00BC0E7E">
          <w:rPr>
            <w:iCs/>
            <w:szCs w:val="20"/>
            <w:lang w:eastAsia="sv-SE"/>
          </w:rPr>
          <w:delText xml:space="preserve"> 0.22 per patient year.</w:delText>
        </w:r>
      </w:del>
    </w:p>
    <w:p w14:paraId="0464ACE4" w14:textId="77777777" w:rsidR="00BC0E7E" w:rsidRPr="00BC0E7E" w:rsidRDefault="00BC0E7E" w:rsidP="00762FA7">
      <w:pPr>
        <w:rPr>
          <w:del w:id="7250" w:author="AbbVie19" w:date="2025-04-16T10:42:00Z"/>
          <w:szCs w:val="22"/>
        </w:rPr>
      </w:pPr>
    </w:p>
    <w:p w14:paraId="25495715" w14:textId="77777777" w:rsidR="00BC0E7E" w:rsidRPr="00BC0E7E" w:rsidRDefault="00944B8F" w:rsidP="00762FA7">
      <w:pPr>
        <w:rPr>
          <w:del w:id="7251" w:author="AbbVie19" w:date="2025-04-16T10:42:00Z"/>
          <w:bCs/>
          <w:i/>
          <w:szCs w:val="22"/>
          <w:u w:val="single"/>
        </w:rPr>
      </w:pPr>
      <w:del w:id="7252" w:author="AbbVie19" w:date="2025-04-16T10:42:00Z">
        <w:r w:rsidRPr="00BC0E7E">
          <w:rPr>
            <w:bCs/>
            <w:i/>
            <w:szCs w:val="22"/>
            <w:u w:val="single"/>
          </w:rPr>
          <w:delText>Quality of life</w:delText>
        </w:r>
      </w:del>
    </w:p>
    <w:p w14:paraId="099E9993" w14:textId="77777777" w:rsidR="00BC0E7E" w:rsidRPr="00BC0E7E" w:rsidRDefault="00BC0E7E" w:rsidP="00762FA7">
      <w:pPr>
        <w:rPr>
          <w:del w:id="7253" w:author="AbbVie19" w:date="2025-04-16T10:42:00Z"/>
          <w:szCs w:val="22"/>
        </w:rPr>
      </w:pPr>
    </w:p>
    <w:p w14:paraId="247640D2" w14:textId="77777777" w:rsidR="00BC0E7E" w:rsidRPr="00BC0E7E" w:rsidRDefault="00944B8F" w:rsidP="00762FA7">
      <w:pPr>
        <w:rPr>
          <w:del w:id="7254" w:author="AbbVie19" w:date="2025-04-16T10:42:00Z"/>
          <w:szCs w:val="22"/>
        </w:rPr>
      </w:pPr>
      <w:del w:id="7255" w:author="AbbVie19" w:date="2025-04-16T10:42:00Z">
        <w:r w:rsidRPr="00BC0E7E">
          <w:rPr>
            <w:szCs w:val="22"/>
          </w:rPr>
          <w:delText xml:space="preserve">In study UC-II, treatment with adalimumab resulted in improvements in the Inflammatory Bowel Disease Questionnaire (IBDQ) score.   </w:delText>
        </w:r>
      </w:del>
    </w:p>
    <w:p w14:paraId="67A17667" w14:textId="77777777" w:rsidR="00BC0E7E" w:rsidRPr="00BC0E7E" w:rsidRDefault="00BC0E7E" w:rsidP="00762FA7">
      <w:pPr>
        <w:keepNext/>
        <w:rPr>
          <w:del w:id="7256" w:author="AbbVie19" w:date="2025-04-16T10:42:00Z"/>
          <w:bCs/>
          <w:i/>
          <w:szCs w:val="22"/>
        </w:rPr>
      </w:pPr>
    </w:p>
    <w:p w14:paraId="38483D83" w14:textId="77777777" w:rsidR="00BC0E7E" w:rsidRPr="00BC0E7E" w:rsidRDefault="00944B8F" w:rsidP="00762FA7">
      <w:pPr>
        <w:keepNext/>
        <w:rPr>
          <w:del w:id="7257" w:author="AbbVie19" w:date="2025-04-16T10:42:00Z"/>
          <w:bCs/>
          <w:i/>
          <w:szCs w:val="22"/>
        </w:rPr>
      </w:pPr>
      <w:del w:id="7258" w:author="AbbVie19" w:date="2025-04-16T10:42:00Z">
        <w:r w:rsidRPr="00BC0E7E">
          <w:rPr>
            <w:bCs/>
            <w:i/>
            <w:szCs w:val="22"/>
          </w:rPr>
          <w:delText>Uveitis</w:delText>
        </w:r>
      </w:del>
    </w:p>
    <w:p w14:paraId="466C9A3D" w14:textId="77777777" w:rsidR="00BC0E7E" w:rsidRPr="00BC0E7E" w:rsidRDefault="00BC0E7E" w:rsidP="00762FA7">
      <w:pPr>
        <w:keepNext/>
        <w:rPr>
          <w:del w:id="7259" w:author="AbbVie19" w:date="2025-04-16T10:42:00Z"/>
          <w:bCs/>
          <w:szCs w:val="22"/>
        </w:rPr>
      </w:pPr>
    </w:p>
    <w:p w14:paraId="4F65F338" w14:textId="77777777" w:rsidR="00BC0E7E" w:rsidRPr="00BC0E7E" w:rsidRDefault="00944B8F" w:rsidP="00762FA7">
      <w:pPr>
        <w:rPr>
          <w:del w:id="7260" w:author="AbbVie19" w:date="2025-04-16T10:42:00Z"/>
          <w:szCs w:val="22"/>
        </w:rPr>
      </w:pPr>
      <w:del w:id="7261" w:author="AbbVie19" w:date="2025-04-16T10:42:00Z">
        <w:r w:rsidRPr="00BC0E7E">
          <w:rPr>
            <w:szCs w:val="22"/>
          </w:rPr>
          <w:delText>The safety and efficacy of Humira were assessed in adult patients with non-infectious intermediate, posterior, and panuveitis, excluding patients with isolated anterior uveitis, in two randomised, double-masked, placebo-controlled studies (UV I and II). Patients received placebo or Humira at an initial dose of 80 mg followed by 40 mg every other week starting one week after the initial dose. Concomitant stable doses of one</w:delText>
        </w:r>
        <w:r w:rsidRPr="00BC0E7E">
          <w:rPr>
            <w:b/>
            <w:i/>
            <w:szCs w:val="22"/>
          </w:rPr>
          <w:delText xml:space="preserve"> </w:delText>
        </w:r>
        <w:r w:rsidRPr="00BC0E7E">
          <w:rPr>
            <w:szCs w:val="22"/>
          </w:rPr>
          <w:delText xml:space="preserve">non-biologic immunosuppressant were permitted. </w:delText>
        </w:r>
      </w:del>
    </w:p>
    <w:p w14:paraId="15309C1D" w14:textId="77777777" w:rsidR="00BC0E7E" w:rsidRPr="00BC0E7E" w:rsidRDefault="00BC0E7E" w:rsidP="00762FA7">
      <w:pPr>
        <w:rPr>
          <w:del w:id="7262" w:author="AbbVie19" w:date="2025-04-16T10:42:00Z"/>
          <w:szCs w:val="22"/>
        </w:rPr>
      </w:pPr>
    </w:p>
    <w:p w14:paraId="04E1C62D" w14:textId="77777777" w:rsidR="00BC0E7E" w:rsidRPr="00BC0E7E" w:rsidRDefault="00944B8F" w:rsidP="00762FA7">
      <w:pPr>
        <w:rPr>
          <w:del w:id="7263" w:author="AbbVie19" w:date="2025-04-16T10:42:00Z"/>
          <w:szCs w:val="22"/>
        </w:rPr>
      </w:pPr>
      <w:del w:id="7264" w:author="AbbVie19" w:date="2025-04-16T10:42:00Z">
        <w:r w:rsidRPr="00BC0E7E">
          <w:rPr>
            <w:szCs w:val="22"/>
          </w:rPr>
          <w:delText>Study UV I evaluated 217 patients with active uveitis despite treatment with corticosteroids (oral prednisone at a dose of 10 to 60 mg/day). All patients received a 2-week</w:delText>
        </w:r>
        <w:r w:rsidRPr="00BC0E7E">
          <w:rPr>
            <w:b/>
            <w:i/>
            <w:szCs w:val="22"/>
          </w:rPr>
          <w:delText xml:space="preserve"> </w:delText>
        </w:r>
        <w:r w:rsidRPr="00BC0E7E">
          <w:rPr>
            <w:szCs w:val="22"/>
          </w:rPr>
          <w:delText xml:space="preserve">standardised dose of prednisone 60 mg/day at study entry followed by a mandatory taper schedule, with complete corticosteroid discontinuation by Week 15. </w:delText>
        </w:r>
      </w:del>
    </w:p>
    <w:p w14:paraId="647C6451" w14:textId="77777777" w:rsidR="00BC0E7E" w:rsidRPr="00BC0E7E" w:rsidRDefault="00BC0E7E" w:rsidP="00762FA7">
      <w:pPr>
        <w:rPr>
          <w:del w:id="7265" w:author="AbbVie19" w:date="2025-04-16T10:42:00Z"/>
          <w:szCs w:val="22"/>
        </w:rPr>
      </w:pPr>
    </w:p>
    <w:p w14:paraId="13216B91" w14:textId="77777777" w:rsidR="00BC0E7E" w:rsidRPr="00BC0E7E" w:rsidRDefault="00944B8F" w:rsidP="00762FA7">
      <w:pPr>
        <w:rPr>
          <w:del w:id="7266" w:author="AbbVie19" w:date="2025-04-16T10:42:00Z"/>
          <w:szCs w:val="22"/>
        </w:rPr>
      </w:pPr>
      <w:del w:id="7267" w:author="AbbVie19" w:date="2025-04-16T10:42:00Z">
        <w:r w:rsidRPr="00BC0E7E">
          <w:rPr>
            <w:szCs w:val="22"/>
          </w:rPr>
          <w:delText xml:space="preserve">Study UV II evaluated 226 patients with inactive uveitis requiring chronic corticosteroid treatment (oral prednisone 10 to 35 mg/day) at baseline to control their disease. Patients subsequently underwent a mandatory taper schedule, with complete corticosteroid discontinuation by Week 19. </w:delText>
        </w:r>
      </w:del>
    </w:p>
    <w:p w14:paraId="042861FC" w14:textId="77777777" w:rsidR="00BC0E7E" w:rsidRPr="00BC0E7E" w:rsidRDefault="00BC0E7E" w:rsidP="00762FA7">
      <w:pPr>
        <w:rPr>
          <w:del w:id="7268" w:author="AbbVie19" w:date="2025-04-16T10:42:00Z"/>
          <w:szCs w:val="22"/>
        </w:rPr>
      </w:pPr>
    </w:p>
    <w:p w14:paraId="1C43BEE4" w14:textId="77777777" w:rsidR="00BC0E7E" w:rsidRPr="00BC0E7E" w:rsidRDefault="00944B8F" w:rsidP="00762FA7">
      <w:pPr>
        <w:rPr>
          <w:del w:id="7269" w:author="AbbVie19" w:date="2025-04-16T10:42:00Z"/>
          <w:szCs w:val="22"/>
        </w:rPr>
      </w:pPr>
      <w:del w:id="7270" w:author="AbbVie19" w:date="2025-04-16T10:42:00Z">
        <w:r w:rsidRPr="00BC0E7E">
          <w:rPr>
            <w:szCs w:val="22"/>
          </w:rPr>
          <w:delText xml:space="preserve">The primary efficacy endpoint in both studies was ´time to treatment failure´. Treatment failure was defined by a multi-component outcome based on inflammatory chorioretinal and/or inflammatory retinal vascular lesions, anterior chamber (AC) cell grade, vitreous haze (VH) grade and best corrected visual acuity (BCVA). </w:delText>
        </w:r>
      </w:del>
    </w:p>
    <w:p w14:paraId="6DFEE919" w14:textId="77777777" w:rsidR="00BC0E7E" w:rsidRDefault="00BC0E7E" w:rsidP="00762FA7">
      <w:pPr>
        <w:rPr>
          <w:del w:id="7271" w:author="AbbVie19" w:date="2025-04-16T10:42:00Z"/>
          <w:szCs w:val="22"/>
        </w:rPr>
      </w:pPr>
    </w:p>
    <w:p w14:paraId="67414DBB" w14:textId="77777777" w:rsidR="00433FAD" w:rsidRDefault="00944B8F" w:rsidP="00762FA7">
      <w:pPr>
        <w:pStyle w:val="EMEANormal"/>
        <w:rPr>
          <w:del w:id="7272" w:author="AbbVie19" w:date="2025-04-16T10:42:00Z"/>
          <w:szCs w:val="22"/>
        </w:rPr>
      </w:pPr>
      <w:del w:id="7273" w:author="AbbVie19" w:date="2025-04-16T10:42:00Z">
        <w:r>
          <w:rPr>
            <w:szCs w:val="22"/>
          </w:rPr>
          <w:delText xml:space="preserve">Patients </w:delText>
        </w:r>
        <w:r w:rsidR="00FD6AD8">
          <w:rPr>
            <w:szCs w:val="22"/>
          </w:rPr>
          <w:delText>who completed Studies</w:delText>
        </w:r>
        <w:r>
          <w:rPr>
            <w:szCs w:val="22"/>
          </w:rPr>
          <w:delText xml:space="preserve"> UV</w:delText>
        </w:r>
        <w:r w:rsidR="00FD6AD8">
          <w:rPr>
            <w:szCs w:val="22"/>
          </w:rPr>
          <w:delText xml:space="preserve"> </w:delText>
        </w:r>
        <w:r>
          <w:rPr>
            <w:szCs w:val="22"/>
          </w:rPr>
          <w:delText>I and UV</w:delText>
        </w:r>
        <w:r w:rsidR="00FD6AD8">
          <w:rPr>
            <w:szCs w:val="22"/>
          </w:rPr>
          <w:delText xml:space="preserve"> </w:delText>
        </w:r>
        <w:r>
          <w:rPr>
            <w:szCs w:val="22"/>
          </w:rPr>
          <w:delText>II were eligible to enroll in</w:delText>
        </w:r>
        <w:r w:rsidR="00FD6AD8">
          <w:rPr>
            <w:szCs w:val="22"/>
          </w:rPr>
          <w:delText xml:space="preserve"> an uncontrolled long-term</w:delText>
        </w:r>
        <w:r>
          <w:rPr>
            <w:szCs w:val="22"/>
          </w:rPr>
          <w:delText xml:space="preserve"> extension study with an originally planned duration of 78 weeks. Patients were allowed to continue on study medication beyond Week 78 until they had access to Humira.</w:delText>
        </w:r>
      </w:del>
    </w:p>
    <w:p w14:paraId="4F4FDD45" w14:textId="77777777" w:rsidR="00433FAD" w:rsidRPr="00BC0E7E" w:rsidRDefault="00433FAD" w:rsidP="00762FA7">
      <w:pPr>
        <w:rPr>
          <w:del w:id="7274" w:author="AbbVie19" w:date="2025-04-16T10:42:00Z"/>
          <w:szCs w:val="22"/>
        </w:rPr>
      </w:pPr>
    </w:p>
    <w:p w14:paraId="45E86DD8" w14:textId="77777777" w:rsidR="00BC0E7E" w:rsidRPr="00BC0E7E" w:rsidRDefault="00944B8F" w:rsidP="00762FA7">
      <w:pPr>
        <w:rPr>
          <w:del w:id="7275" w:author="AbbVie19" w:date="2025-04-16T10:42:00Z"/>
          <w:i/>
          <w:szCs w:val="22"/>
          <w:u w:val="single"/>
        </w:rPr>
      </w:pPr>
      <w:del w:id="7276" w:author="AbbVie19" w:date="2025-04-16T10:42:00Z">
        <w:r w:rsidRPr="00BC0E7E">
          <w:rPr>
            <w:i/>
            <w:szCs w:val="22"/>
            <w:u w:val="single"/>
          </w:rPr>
          <w:delText>Clinical Response</w:delText>
        </w:r>
      </w:del>
    </w:p>
    <w:p w14:paraId="00CABFC7" w14:textId="77777777" w:rsidR="00BC0E7E" w:rsidRPr="00F619C1" w:rsidRDefault="00BC0E7E" w:rsidP="00762FA7">
      <w:pPr>
        <w:rPr>
          <w:del w:id="7277" w:author="AbbVie19" w:date="2025-04-16T10:42:00Z"/>
          <w:szCs w:val="22"/>
          <w:u w:val="single"/>
        </w:rPr>
      </w:pPr>
    </w:p>
    <w:p w14:paraId="7D2BF3A1" w14:textId="77777777" w:rsidR="00BC0E7E" w:rsidRPr="00BC0E7E" w:rsidRDefault="00944B8F" w:rsidP="00762FA7">
      <w:pPr>
        <w:rPr>
          <w:del w:id="7278" w:author="AbbVie19" w:date="2025-04-16T10:42:00Z"/>
          <w:szCs w:val="22"/>
        </w:rPr>
      </w:pPr>
      <w:del w:id="7279" w:author="AbbVie19" w:date="2025-04-16T10:42:00Z">
        <w:r w:rsidRPr="00BC0E7E">
          <w:rPr>
            <w:szCs w:val="22"/>
          </w:rPr>
          <w:delText xml:space="preserve">Results from both studies demonstrated statistically significant reduction of the risk of treatment failure in patients treated with Humira versus patients receiving placebo (See Table </w:delText>
        </w:r>
        <w:r w:rsidR="004F68D4">
          <w:rPr>
            <w:szCs w:val="22"/>
          </w:rPr>
          <w:delText>2</w:delText>
        </w:r>
        <w:r w:rsidR="005F03EC">
          <w:rPr>
            <w:szCs w:val="22"/>
          </w:rPr>
          <w:delText>4</w:delText>
        </w:r>
        <w:r w:rsidRPr="00BC0E7E">
          <w:rPr>
            <w:szCs w:val="22"/>
          </w:rPr>
          <w:delText xml:space="preserve">). Both studies demonstrated an early and sustained effect of Humira on the treatment failure rate versus placebo (see Figure </w:delText>
        </w:r>
        <w:r w:rsidR="00740A74">
          <w:rPr>
            <w:szCs w:val="22"/>
          </w:rPr>
          <w:delText>2</w:delText>
        </w:r>
        <w:r w:rsidRPr="00BC0E7E">
          <w:rPr>
            <w:szCs w:val="22"/>
          </w:rPr>
          <w:delText xml:space="preserve">). </w:delText>
        </w:r>
      </w:del>
    </w:p>
    <w:p w14:paraId="1A2E6C7D" w14:textId="77777777" w:rsidR="00BC0E7E" w:rsidRPr="003F7AAE" w:rsidRDefault="00BC0E7E" w:rsidP="00762FA7">
      <w:pPr>
        <w:rPr>
          <w:del w:id="7280" w:author="AbbVie19" w:date="2025-04-16T10:42:00Z"/>
          <w:szCs w:val="22"/>
        </w:rPr>
      </w:pPr>
    </w:p>
    <w:p w14:paraId="0204C650" w14:textId="77777777" w:rsidR="00BC0E7E" w:rsidRPr="003F7AAE" w:rsidRDefault="00944B8F" w:rsidP="00762FA7">
      <w:pPr>
        <w:keepNext/>
        <w:jc w:val="center"/>
        <w:rPr>
          <w:del w:id="7281" w:author="AbbVie19" w:date="2025-04-16T10:42:00Z"/>
          <w:szCs w:val="22"/>
        </w:rPr>
      </w:pPr>
      <w:del w:id="7282" w:author="AbbVie19" w:date="2025-04-16T10:42:00Z">
        <w:r w:rsidRPr="00BC0E7E">
          <w:rPr>
            <w:b/>
            <w:szCs w:val="22"/>
          </w:rPr>
          <w:delText xml:space="preserve">Table </w:delText>
        </w:r>
        <w:r w:rsidR="004F68D4">
          <w:rPr>
            <w:b/>
            <w:szCs w:val="22"/>
          </w:rPr>
          <w:delText>2</w:delText>
        </w:r>
        <w:r w:rsidR="005F03EC">
          <w:rPr>
            <w:b/>
            <w:szCs w:val="22"/>
          </w:rPr>
          <w:delText>4</w:delText>
        </w:r>
      </w:del>
    </w:p>
    <w:p w14:paraId="0C38A8CF" w14:textId="77777777" w:rsidR="00BC0E7E" w:rsidRPr="003F7AAE" w:rsidRDefault="00944B8F" w:rsidP="00762FA7">
      <w:pPr>
        <w:keepNext/>
        <w:jc w:val="center"/>
        <w:rPr>
          <w:del w:id="7283" w:author="AbbVie19" w:date="2025-04-16T10:42:00Z"/>
          <w:szCs w:val="22"/>
        </w:rPr>
      </w:pPr>
      <w:del w:id="7284" w:author="AbbVie19" w:date="2025-04-16T10:42:00Z">
        <w:r w:rsidRPr="00BC0E7E">
          <w:rPr>
            <w:b/>
            <w:szCs w:val="22"/>
          </w:rPr>
          <w:delText>Time to Treatment Failure in Studies UV I and UV II</w:delText>
        </w:r>
      </w:del>
    </w:p>
    <w:p w14:paraId="74B0B416" w14:textId="77777777" w:rsidR="00BC0E7E" w:rsidRPr="003F7AAE" w:rsidRDefault="00BC0E7E" w:rsidP="00762FA7">
      <w:pPr>
        <w:keepNext/>
        <w:jc w:val="center"/>
        <w:rPr>
          <w:del w:id="7285" w:author="AbbVie19" w:date="2025-04-16T10:42:00Z"/>
          <w:szCs w:val="22"/>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C6578C" w14:paraId="5409B490" w14:textId="77777777" w:rsidTr="00171601">
        <w:trPr>
          <w:del w:id="7286" w:author="AbbVie19" w:date="2025-04-16T10:42:00Z"/>
        </w:trPr>
        <w:tc>
          <w:tcPr>
            <w:tcW w:w="2268" w:type="dxa"/>
            <w:tcBorders>
              <w:top w:val="single" w:sz="4" w:space="0" w:color="auto"/>
              <w:bottom w:val="single" w:sz="4" w:space="0" w:color="auto"/>
            </w:tcBorders>
          </w:tcPr>
          <w:p w14:paraId="39F9AB3E" w14:textId="77777777" w:rsidR="00BC0E7E" w:rsidRPr="00BC0E7E" w:rsidRDefault="00944B8F" w:rsidP="00762FA7">
            <w:pPr>
              <w:keepNext/>
              <w:rPr>
                <w:del w:id="7287" w:author="AbbVie19" w:date="2025-04-16T10:42:00Z"/>
                <w:b/>
                <w:szCs w:val="22"/>
              </w:rPr>
            </w:pPr>
            <w:del w:id="7288" w:author="AbbVie19" w:date="2025-04-16T10:42:00Z">
              <w:r w:rsidRPr="00BC0E7E">
                <w:rPr>
                  <w:b/>
                  <w:szCs w:val="22"/>
                </w:rPr>
                <w:delText>Analysis</w:delText>
              </w:r>
            </w:del>
          </w:p>
          <w:p w14:paraId="3A2B2C6F" w14:textId="77777777" w:rsidR="00BC0E7E" w:rsidRPr="00BC0E7E" w:rsidRDefault="00944B8F" w:rsidP="00762FA7">
            <w:pPr>
              <w:keepNext/>
              <w:rPr>
                <w:del w:id="7289" w:author="AbbVie19" w:date="2025-04-16T10:42:00Z"/>
                <w:b/>
                <w:szCs w:val="22"/>
              </w:rPr>
            </w:pPr>
            <w:del w:id="7290" w:author="AbbVie19" w:date="2025-04-16T10:42:00Z">
              <w:r w:rsidRPr="00BC0E7E">
                <w:rPr>
                  <w:b/>
                  <w:szCs w:val="22"/>
                </w:rPr>
                <w:tab/>
                <w:delText>Treatment</w:delText>
              </w:r>
            </w:del>
          </w:p>
        </w:tc>
        <w:tc>
          <w:tcPr>
            <w:tcW w:w="720" w:type="dxa"/>
            <w:tcBorders>
              <w:top w:val="single" w:sz="4" w:space="0" w:color="auto"/>
              <w:bottom w:val="single" w:sz="4" w:space="0" w:color="auto"/>
            </w:tcBorders>
          </w:tcPr>
          <w:p w14:paraId="25548008" w14:textId="77777777" w:rsidR="00BC0E7E" w:rsidRPr="00BC0E7E" w:rsidRDefault="00944B8F" w:rsidP="00762FA7">
            <w:pPr>
              <w:keepNext/>
              <w:rPr>
                <w:del w:id="7291" w:author="AbbVie19" w:date="2025-04-16T10:42:00Z"/>
                <w:b/>
                <w:szCs w:val="22"/>
              </w:rPr>
            </w:pPr>
            <w:del w:id="7292" w:author="AbbVie19" w:date="2025-04-16T10:42:00Z">
              <w:r w:rsidRPr="00BC0E7E">
                <w:rPr>
                  <w:b/>
                  <w:szCs w:val="22"/>
                </w:rPr>
                <w:delText>N</w:delText>
              </w:r>
            </w:del>
          </w:p>
        </w:tc>
        <w:tc>
          <w:tcPr>
            <w:tcW w:w="1170" w:type="dxa"/>
            <w:tcBorders>
              <w:top w:val="single" w:sz="4" w:space="0" w:color="auto"/>
              <w:bottom w:val="single" w:sz="4" w:space="0" w:color="auto"/>
            </w:tcBorders>
          </w:tcPr>
          <w:p w14:paraId="35C0875A" w14:textId="77777777" w:rsidR="00BC0E7E" w:rsidRPr="00BC0E7E" w:rsidRDefault="00944B8F" w:rsidP="00762FA7">
            <w:pPr>
              <w:keepNext/>
              <w:rPr>
                <w:del w:id="7293" w:author="AbbVie19" w:date="2025-04-16T10:42:00Z"/>
                <w:b/>
                <w:szCs w:val="22"/>
              </w:rPr>
            </w:pPr>
            <w:del w:id="7294" w:author="AbbVie19" w:date="2025-04-16T10:42:00Z">
              <w:r w:rsidRPr="00BC0E7E">
                <w:rPr>
                  <w:b/>
                  <w:szCs w:val="22"/>
                </w:rPr>
                <w:delText>Failure</w:delText>
              </w:r>
              <w:r w:rsidRPr="00BC0E7E">
                <w:rPr>
                  <w:b/>
                  <w:szCs w:val="22"/>
                </w:rPr>
                <w:br/>
                <w:delText>N (%)</w:delText>
              </w:r>
            </w:del>
          </w:p>
        </w:tc>
        <w:tc>
          <w:tcPr>
            <w:tcW w:w="1890" w:type="dxa"/>
            <w:tcBorders>
              <w:top w:val="single" w:sz="4" w:space="0" w:color="auto"/>
              <w:bottom w:val="single" w:sz="4" w:space="0" w:color="auto"/>
            </w:tcBorders>
          </w:tcPr>
          <w:p w14:paraId="3615565F" w14:textId="77777777" w:rsidR="00BC0E7E" w:rsidRPr="00BC0E7E" w:rsidRDefault="00944B8F" w:rsidP="00762FA7">
            <w:pPr>
              <w:keepNext/>
              <w:rPr>
                <w:del w:id="7295" w:author="AbbVie19" w:date="2025-04-16T10:42:00Z"/>
                <w:b/>
                <w:szCs w:val="22"/>
              </w:rPr>
            </w:pPr>
            <w:del w:id="7296" w:author="AbbVie19" w:date="2025-04-16T10:42:00Z">
              <w:r w:rsidRPr="00BC0E7E">
                <w:rPr>
                  <w:b/>
                  <w:szCs w:val="22"/>
                </w:rPr>
                <w:delText>Median Time to Failure (months)</w:delText>
              </w:r>
            </w:del>
          </w:p>
        </w:tc>
        <w:tc>
          <w:tcPr>
            <w:tcW w:w="720" w:type="dxa"/>
            <w:tcBorders>
              <w:top w:val="single" w:sz="4" w:space="0" w:color="auto"/>
              <w:bottom w:val="single" w:sz="4" w:space="0" w:color="auto"/>
            </w:tcBorders>
          </w:tcPr>
          <w:p w14:paraId="6B9F49B5" w14:textId="77777777" w:rsidR="00BC0E7E" w:rsidRPr="00BC0E7E" w:rsidRDefault="00944B8F" w:rsidP="00762FA7">
            <w:pPr>
              <w:keepNext/>
              <w:rPr>
                <w:del w:id="7297" w:author="AbbVie19" w:date="2025-04-16T10:42:00Z"/>
                <w:b/>
                <w:szCs w:val="22"/>
              </w:rPr>
            </w:pPr>
            <w:del w:id="7298" w:author="AbbVie19" w:date="2025-04-16T10:42:00Z">
              <w:r w:rsidRPr="00BC0E7E">
                <w:rPr>
                  <w:b/>
                  <w:szCs w:val="22"/>
                </w:rPr>
                <w:delText>HR</w:delText>
              </w:r>
              <w:r w:rsidRPr="00BC0E7E">
                <w:rPr>
                  <w:b/>
                  <w:szCs w:val="22"/>
                  <w:vertAlign w:val="superscript"/>
                </w:rPr>
                <w:delText>a</w:delText>
              </w:r>
            </w:del>
          </w:p>
        </w:tc>
        <w:tc>
          <w:tcPr>
            <w:tcW w:w="1170" w:type="dxa"/>
            <w:tcBorders>
              <w:top w:val="single" w:sz="4" w:space="0" w:color="auto"/>
              <w:bottom w:val="single" w:sz="4" w:space="0" w:color="auto"/>
            </w:tcBorders>
          </w:tcPr>
          <w:p w14:paraId="58DBA4BB" w14:textId="77777777" w:rsidR="00BC0E7E" w:rsidRPr="00BC0E7E" w:rsidRDefault="00944B8F" w:rsidP="00762FA7">
            <w:pPr>
              <w:keepNext/>
              <w:rPr>
                <w:del w:id="7299" w:author="AbbVie19" w:date="2025-04-16T10:42:00Z"/>
                <w:b/>
                <w:szCs w:val="22"/>
              </w:rPr>
            </w:pPr>
            <w:del w:id="7300" w:author="AbbVie19" w:date="2025-04-16T10:42:00Z">
              <w:r w:rsidRPr="00BC0E7E">
                <w:rPr>
                  <w:b/>
                  <w:szCs w:val="22"/>
                </w:rPr>
                <w:delText>CI 95% for HR</w:delText>
              </w:r>
              <w:r w:rsidRPr="00BC0E7E">
                <w:rPr>
                  <w:b/>
                  <w:szCs w:val="22"/>
                  <w:vertAlign w:val="superscript"/>
                </w:rPr>
                <w:delText>a</w:delText>
              </w:r>
            </w:del>
          </w:p>
        </w:tc>
        <w:tc>
          <w:tcPr>
            <w:tcW w:w="1080" w:type="dxa"/>
            <w:tcBorders>
              <w:top w:val="single" w:sz="4" w:space="0" w:color="auto"/>
              <w:bottom w:val="single" w:sz="4" w:space="0" w:color="auto"/>
            </w:tcBorders>
          </w:tcPr>
          <w:p w14:paraId="7D4B7D0F" w14:textId="77777777" w:rsidR="00BC0E7E" w:rsidRPr="00BC0E7E" w:rsidRDefault="00944B8F" w:rsidP="00762FA7">
            <w:pPr>
              <w:keepNext/>
              <w:rPr>
                <w:del w:id="7301" w:author="AbbVie19" w:date="2025-04-16T10:42:00Z"/>
                <w:b/>
                <w:szCs w:val="22"/>
              </w:rPr>
            </w:pPr>
            <w:del w:id="7302" w:author="AbbVie19" w:date="2025-04-16T10:42:00Z">
              <w:r w:rsidRPr="00BC0E7E">
                <w:rPr>
                  <w:b/>
                  <w:i/>
                  <w:szCs w:val="22"/>
                </w:rPr>
                <w:delText>P</w:delText>
              </w:r>
              <w:r w:rsidRPr="00BC0E7E">
                <w:rPr>
                  <w:b/>
                  <w:szCs w:val="22"/>
                </w:rPr>
                <w:delText xml:space="preserve"> Value</w:delText>
              </w:r>
              <w:r w:rsidRPr="00BC0E7E">
                <w:rPr>
                  <w:szCs w:val="22"/>
                  <w:vertAlign w:val="superscript"/>
                </w:rPr>
                <w:delText xml:space="preserve"> b</w:delText>
              </w:r>
            </w:del>
          </w:p>
        </w:tc>
      </w:tr>
      <w:tr w:rsidR="00C6578C" w14:paraId="0847C75B" w14:textId="77777777" w:rsidTr="00171601">
        <w:trPr>
          <w:del w:id="7303" w:author="AbbVie19" w:date="2025-04-16T10:42:00Z"/>
        </w:trPr>
        <w:tc>
          <w:tcPr>
            <w:tcW w:w="9018" w:type="dxa"/>
            <w:gridSpan w:val="7"/>
            <w:tcBorders>
              <w:top w:val="single" w:sz="4" w:space="0" w:color="auto"/>
              <w:bottom w:val="nil"/>
            </w:tcBorders>
          </w:tcPr>
          <w:p w14:paraId="1360EBEE" w14:textId="77777777" w:rsidR="00BC0E7E" w:rsidRPr="00BC0E7E" w:rsidRDefault="00944B8F" w:rsidP="00762FA7">
            <w:pPr>
              <w:keepNext/>
              <w:rPr>
                <w:del w:id="7304" w:author="AbbVie19" w:date="2025-04-16T10:42:00Z"/>
                <w:b/>
                <w:szCs w:val="22"/>
              </w:rPr>
            </w:pPr>
            <w:del w:id="7305" w:author="AbbVie19" w:date="2025-04-16T10:42:00Z">
              <w:r w:rsidRPr="00BC0E7E">
                <w:rPr>
                  <w:b/>
                  <w:szCs w:val="22"/>
                </w:rPr>
                <w:delText xml:space="preserve">Time to Treatment Failure At or After Week 6 in Study UV I  </w:delText>
              </w:r>
            </w:del>
          </w:p>
        </w:tc>
      </w:tr>
      <w:tr w:rsidR="00C6578C" w14:paraId="54A68146" w14:textId="77777777" w:rsidTr="00171601">
        <w:trPr>
          <w:del w:id="7306" w:author="AbbVie19" w:date="2025-04-16T10:42:00Z"/>
        </w:trPr>
        <w:tc>
          <w:tcPr>
            <w:tcW w:w="2988" w:type="dxa"/>
            <w:gridSpan w:val="2"/>
            <w:tcBorders>
              <w:top w:val="nil"/>
              <w:bottom w:val="nil"/>
            </w:tcBorders>
          </w:tcPr>
          <w:p w14:paraId="44B7A2E2" w14:textId="77777777" w:rsidR="00BC0E7E" w:rsidRPr="00BC0E7E" w:rsidRDefault="00944B8F" w:rsidP="00762FA7">
            <w:pPr>
              <w:keepNext/>
              <w:rPr>
                <w:del w:id="7307" w:author="AbbVie19" w:date="2025-04-16T10:42:00Z"/>
                <w:szCs w:val="22"/>
              </w:rPr>
            </w:pPr>
            <w:del w:id="7308" w:author="AbbVie19" w:date="2025-04-16T10:42:00Z">
              <w:r w:rsidRPr="00BC0E7E">
                <w:rPr>
                  <w:szCs w:val="22"/>
                </w:rPr>
                <w:delText>Primary analysis (ITT)</w:delText>
              </w:r>
            </w:del>
          </w:p>
        </w:tc>
        <w:tc>
          <w:tcPr>
            <w:tcW w:w="1170" w:type="dxa"/>
            <w:tcBorders>
              <w:top w:val="nil"/>
              <w:bottom w:val="nil"/>
            </w:tcBorders>
          </w:tcPr>
          <w:p w14:paraId="53F0941D" w14:textId="77777777" w:rsidR="00BC0E7E" w:rsidRPr="00BC0E7E" w:rsidRDefault="00BC0E7E" w:rsidP="00762FA7">
            <w:pPr>
              <w:keepNext/>
              <w:rPr>
                <w:del w:id="7309" w:author="AbbVie19" w:date="2025-04-16T10:42:00Z"/>
                <w:szCs w:val="22"/>
              </w:rPr>
            </w:pPr>
          </w:p>
        </w:tc>
        <w:tc>
          <w:tcPr>
            <w:tcW w:w="1890" w:type="dxa"/>
            <w:tcBorders>
              <w:top w:val="nil"/>
              <w:bottom w:val="nil"/>
            </w:tcBorders>
          </w:tcPr>
          <w:p w14:paraId="4F6EF879" w14:textId="77777777" w:rsidR="00BC0E7E" w:rsidRPr="00BC0E7E" w:rsidRDefault="00BC0E7E" w:rsidP="00762FA7">
            <w:pPr>
              <w:keepNext/>
              <w:rPr>
                <w:del w:id="7310" w:author="AbbVie19" w:date="2025-04-16T10:42:00Z"/>
                <w:szCs w:val="22"/>
              </w:rPr>
            </w:pPr>
          </w:p>
        </w:tc>
        <w:tc>
          <w:tcPr>
            <w:tcW w:w="720" w:type="dxa"/>
            <w:tcBorders>
              <w:top w:val="nil"/>
              <w:bottom w:val="nil"/>
            </w:tcBorders>
          </w:tcPr>
          <w:p w14:paraId="6F3F0EEC" w14:textId="77777777" w:rsidR="00BC0E7E" w:rsidRPr="00BC0E7E" w:rsidRDefault="00BC0E7E" w:rsidP="00762FA7">
            <w:pPr>
              <w:keepNext/>
              <w:rPr>
                <w:del w:id="7311" w:author="AbbVie19" w:date="2025-04-16T10:42:00Z"/>
                <w:szCs w:val="22"/>
              </w:rPr>
            </w:pPr>
          </w:p>
        </w:tc>
        <w:tc>
          <w:tcPr>
            <w:tcW w:w="1170" w:type="dxa"/>
            <w:tcBorders>
              <w:top w:val="nil"/>
              <w:bottom w:val="nil"/>
            </w:tcBorders>
          </w:tcPr>
          <w:p w14:paraId="612C7330" w14:textId="77777777" w:rsidR="00BC0E7E" w:rsidRPr="00BC0E7E" w:rsidRDefault="00BC0E7E" w:rsidP="00762FA7">
            <w:pPr>
              <w:keepNext/>
              <w:rPr>
                <w:del w:id="7312" w:author="AbbVie19" w:date="2025-04-16T10:42:00Z"/>
                <w:szCs w:val="22"/>
              </w:rPr>
            </w:pPr>
          </w:p>
        </w:tc>
        <w:tc>
          <w:tcPr>
            <w:tcW w:w="1080" w:type="dxa"/>
            <w:tcBorders>
              <w:top w:val="nil"/>
              <w:bottom w:val="nil"/>
            </w:tcBorders>
          </w:tcPr>
          <w:p w14:paraId="014BD13B" w14:textId="77777777" w:rsidR="00BC0E7E" w:rsidRPr="00BC0E7E" w:rsidRDefault="00BC0E7E" w:rsidP="00762FA7">
            <w:pPr>
              <w:keepNext/>
              <w:rPr>
                <w:del w:id="7313" w:author="AbbVie19" w:date="2025-04-16T10:42:00Z"/>
                <w:szCs w:val="22"/>
              </w:rPr>
            </w:pPr>
          </w:p>
        </w:tc>
      </w:tr>
      <w:tr w:rsidR="00C6578C" w14:paraId="7BAFB230" w14:textId="77777777" w:rsidTr="00171601">
        <w:trPr>
          <w:del w:id="7314" w:author="AbbVie19" w:date="2025-04-16T10:42:00Z"/>
        </w:trPr>
        <w:tc>
          <w:tcPr>
            <w:tcW w:w="2268" w:type="dxa"/>
            <w:tcBorders>
              <w:top w:val="nil"/>
              <w:bottom w:val="nil"/>
            </w:tcBorders>
          </w:tcPr>
          <w:p w14:paraId="12BA4728" w14:textId="77777777" w:rsidR="00BC0E7E" w:rsidRPr="00BC0E7E" w:rsidRDefault="00944B8F" w:rsidP="00762FA7">
            <w:pPr>
              <w:keepNext/>
              <w:rPr>
                <w:del w:id="7315" w:author="AbbVie19" w:date="2025-04-16T10:42:00Z"/>
                <w:szCs w:val="22"/>
              </w:rPr>
            </w:pPr>
            <w:del w:id="7316" w:author="AbbVie19" w:date="2025-04-16T10:42:00Z">
              <w:r w:rsidRPr="00BC0E7E">
                <w:rPr>
                  <w:szCs w:val="22"/>
                </w:rPr>
                <w:tab/>
                <w:delText>Placebo</w:delText>
              </w:r>
            </w:del>
          </w:p>
        </w:tc>
        <w:tc>
          <w:tcPr>
            <w:tcW w:w="720" w:type="dxa"/>
            <w:tcBorders>
              <w:top w:val="nil"/>
              <w:bottom w:val="nil"/>
            </w:tcBorders>
          </w:tcPr>
          <w:p w14:paraId="0F48779E" w14:textId="77777777" w:rsidR="00BC0E7E" w:rsidRPr="00BC0E7E" w:rsidRDefault="00944B8F" w:rsidP="00762FA7">
            <w:pPr>
              <w:keepNext/>
              <w:rPr>
                <w:del w:id="7317" w:author="AbbVie19" w:date="2025-04-16T10:42:00Z"/>
                <w:szCs w:val="22"/>
              </w:rPr>
            </w:pPr>
            <w:del w:id="7318" w:author="AbbVie19" w:date="2025-04-16T10:42:00Z">
              <w:r w:rsidRPr="00BC0E7E">
                <w:rPr>
                  <w:szCs w:val="22"/>
                </w:rPr>
                <w:delText>107</w:delText>
              </w:r>
            </w:del>
          </w:p>
        </w:tc>
        <w:tc>
          <w:tcPr>
            <w:tcW w:w="1170" w:type="dxa"/>
            <w:tcBorders>
              <w:top w:val="nil"/>
              <w:bottom w:val="nil"/>
            </w:tcBorders>
          </w:tcPr>
          <w:p w14:paraId="6A2190B5" w14:textId="77777777" w:rsidR="00BC0E7E" w:rsidRPr="00BC0E7E" w:rsidRDefault="00944B8F" w:rsidP="00762FA7">
            <w:pPr>
              <w:keepNext/>
              <w:rPr>
                <w:del w:id="7319" w:author="AbbVie19" w:date="2025-04-16T10:42:00Z"/>
                <w:szCs w:val="22"/>
              </w:rPr>
            </w:pPr>
            <w:del w:id="7320" w:author="AbbVie19" w:date="2025-04-16T10:42:00Z">
              <w:r w:rsidRPr="00BC0E7E">
                <w:rPr>
                  <w:szCs w:val="22"/>
                </w:rPr>
                <w:delText>84 (78.5)</w:delText>
              </w:r>
            </w:del>
          </w:p>
        </w:tc>
        <w:tc>
          <w:tcPr>
            <w:tcW w:w="1890" w:type="dxa"/>
            <w:tcBorders>
              <w:top w:val="nil"/>
              <w:bottom w:val="nil"/>
            </w:tcBorders>
          </w:tcPr>
          <w:p w14:paraId="24B96552" w14:textId="77777777" w:rsidR="00BC0E7E" w:rsidRPr="00BC0E7E" w:rsidRDefault="00944B8F" w:rsidP="00762FA7">
            <w:pPr>
              <w:keepNext/>
              <w:rPr>
                <w:del w:id="7321" w:author="AbbVie19" w:date="2025-04-16T10:42:00Z"/>
                <w:szCs w:val="22"/>
              </w:rPr>
            </w:pPr>
            <w:del w:id="7322" w:author="AbbVie19" w:date="2025-04-16T10:42:00Z">
              <w:r w:rsidRPr="00BC0E7E">
                <w:rPr>
                  <w:szCs w:val="22"/>
                </w:rPr>
                <w:delText>3.0</w:delText>
              </w:r>
            </w:del>
          </w:p>
        </w:tc>
        <w:tc>
          <w:tcPr>
            <w:tcW w:w="720" w:type="dxa"/>
            <w:tcBorders>
              <w:top w:val="nil"/>
              <w:bottom w:val="nil"/>
            </w:tcBorders>
          </w:tcPr>
          <w:p w14:paraId="7770AE09" w14:textId="77777777" w:rsidR="00BC0E7E" w:rsidRPr="00BC0E7E" w:rsidRDefault="00944B8F" w:rsidP="00762FA7">
            <w:pPr>
              <w:keepNext/>
              <w:rPr>
                <w:del w:id="7323" w:author="AbbVie19" w:date="2025-04-16T10:42:00Z"/>
                <w:szCs w:val="22"/>
              </w:rPr>
            </w:pPr>
            <w:del w:id="7324" w:author="AbbVie19" w:date="2025-04-16T10:42:00Z">
              <w:r w:rsidRPr="00BC0E7E">
                <w:rPr>
                  <w:szCs w:val="22"/>
                </w:rPr>
                <w:delText>--</w:delText>
              </w:r>
            </w:del>
          </w:p>
        </w:tc>
        <w:tc>
          <w:tcPr>
            <w:tcW w:w="1170" w:type="dxa"/>
            <w:tcBorders>
              <w:top w:val="nil"/>
              <w:bottom w:val="nil"/>
            </w:tcBorders>
          </w:tcPr>
          <w:p w14:paraId="38D198C4" w14:textId="77777777" w:rsidR="00BC0E7E" w:rsidRPr="00BC0E7E" w:rsidRDefault="00944B8F" w:rsidP="00762FA7">
            <w:pPr>
              <w:keepNext/>
              <w:rPr>
                <w:del w:id="7325" w:author="AbbVie19" w:date="2025-04-16T10:42:00Z"/>
                <w:szCs w:val="22"/>
              </w:rPr>
            </w:pPr>
            <w:del w:id="7326" w:author="AbbVie19" w:date="2025-04-16T10:42:00Z">
              <w:r w:rsidRPr="00BC0E7E">
                <w:rPr>
                  <w:szCs w:val="22"/>
                </w:rPr>
                <w:delText>--</w:delText>
              </w:r>
            </w:del>
          </w:p>
        </w:tc>
        <w:tc>
          <w:tcPr>
            <w:tcW w:w="1080" w:type="dxa"/>
            <w:tcBorders>
              <w:top w:val="nil"/>
              <w:bottom w:val="nil"/>
            </w:tcBorders>
          </w:tcPr>
          <w:p w14:paraId="5BDE56AB" w14:textId="77777777" w:rsidR="00BC0E7E" w:rsidRPr="00BC0E7E" w:rsidRDefault="00944B8F" w:rsidP="00762FA7">
            <w:pPr>
              <w:keepNext/>
              <w:rPr>
                <w:del w:id="7327" w:author="AbbVie19" w:date="2025-04-16T10:42:00Z"/>
                <w:szCs w:val="22"/>
              </w:rPr>
            </w:pPr>
            <w:del w:id="7328" w:author="AbbVie19" w:date="2025-04-16T10:42:00Z">
              <w:r w:rsidRPr="00BC0E7E">
                <w:rPr>
                  <w:szCs w:val="22"/>
                </w:rPr>
                <w:delText>--</w:delText>
              </w:r>
            </w:del>
          </w:p>
        </w:tc>
      </w:tr>
      <w:tr w:rsidR="00C6578C" w14:paraId="606EA7DB" w14:textId="77777777" w:rsidTr="00171601">
        <w:trPr>
          <w:del w:id="7329" w:author="AbbVie19" w:date="2025-04-16T10:42:00Z"/>
        </w:trPr>
        <w:tc>
          <w:tcPr>
            <w:tcW w:w="2268" w:type="dxa"/>
            <w:tcBorders>
              <w:top w:val="nil"/>
              <w:bottom w:val="single" w:sz="4" w:space="0" w:color="auto"/>
            </w:tcBorders>
          </w:tcPr>
          <w:p w14:paraId="1E53D400" w14:textId="77777777" w:rsidR="00BC0E7E" w:rsidRPr="00BC0E7E" w:rsidRDefault="00944B8F" w:rsidP="00762FA7">
            <w:pPr>
              <w:keepNext/>
              <w:rPr>
                <w:del w:id="7330" w:author="AbbVie19" w:date="2025-04-16T10:42:00Z"/>
                <w:szCs w:val="22"/>
              </w:rPr>
            </w:pPr>
            <w:del w:id="7331" w:author="AbbVie19" w:date="2025-04-16T10:42:00Z">
              <w:r w:rsidRPr="00BC0E7E">
                <w:rPr>
                  <w:szCs w:val="22"/>
                </w:rPr>
                <w:tab/>
                <w:delText>Adalimumab</w:delText>
              </w:r>
            </w:del>
          </w:p>
        </w:tc>
        <w:tc>
          <w:tcPr>
            <w:tcW w:w="720" w:type="dxa"/>
            <w:tcBorders>
              <w:top w:val="nil"/>
              <w:bottom w:val="single" w:sz="4" w:space="0" w:color="auto"/>
            </w:tcBorders>
          </w:tcPr>
          <w:p w14:paraId="10F8C185" w14:textId="77777777" w:rsidR="00BC0E7E" w:rsidRPr="00BC0E7E" w:rsidRDefault="00944B8F" w:rsidP="00762FA7">
            <w:pPr>
              <w:keepNext/>
              <w:rPr>
                <w:del w:id="7332" w:author="AbbVie19" w:date="2025-04-16T10:42:00Z"/>
                <w:szCs w:val="22"/>
              </w:rPr>
            </w:pPr>
            <w:del w:id="7333" w:author="AbbVie19" w:date="2025-04-16T10:42:00Z">
              <w:r w:rsidRPr="00BC0E7E">
                <w:rPr>
                  <w:szCs w:val="22"/>
                </w:rPr>
                <w:delText>110</w:delText>
              </w:r>
            </w:del>
          </w:p>
        </w:tc>
        <w:tc>
          <w:tcPr>
            <w:tcW w:w="1170" w:type="dxa"/>
            <w:tcBorders>
              <w:top w:val="nil"/>
              <w:bottom w:val="single" w:sz="4" w:space="0" w:color="auto"/>
            </w:tcBorders>
          </w:tcPr>
          <w:p w14:paraId="3224C3AA" w14:textId="77777777" w:rsidR="00BC0E7E" w:rsidRPr="00BC0E7E" w:rsidRDefault="00944B8F" w:rsidP="00762FA7">
            <w:pPr>
              <w:keepNext/>
              <w:rPr>
                <w:del w:id="7334" w:author="AbbVie19" w:date="2025-04-16T10:42:00Z"/>
                <w:szCs w:val="22"/>
              </w:rPr>
            </w:pPr>
            <w:del w:id="7335" w:author="AbbVie19" w:date="2025-04-16T10:42:00Z">
              <w:r w:rsidRPr="00BC0E7E">
                <w:rPr>
                  <w:szCs w:val="22"/>
                </w:rPr>
                <w:delText>60 (54.5)</w:delText>
              </w:r>
            </w:del>
          </w:p>
        </w:tc>
        <w:tc>
          <w:tcPr>
            <w:tcW w:w="1890" w:type="dxa"/>
            <w:tcBorders>
              <w:top w:val="nil"/>
              <w:bottom w:val="single" w:sz="4" w:space="0" w:color="auto"/>
            </w:tcBorders>
          </w:tcPr>
          <w:p w14:paraId="47731B03" w14:textId="77777777" w:rsidR="00BC0E7E" w:rsidRPr="00BC0E7E" w:rsidRDefault="00944B8F" w:rsidP="00762FA7">
            <w:pPr>
              <w:keepNext/>
              <w:rPr>
                <w:del w:id="7336" w:author="AbbVie19" w:date="2025-04-16T10:42:00Z"/>
                <w:szCs w:val="22"/>
              </w:rPr>
            </w:pPr>
            <w:del w:id="7337" w:author="AbbVie19" w:date="2025-04-16T10:42:00Z">
              <w:r w:rsidRPr="00BC0E7E">
                <w:rPr>
                  <w:szCs w:val="22"/>
                </w:rPr>
                <w:delText>5.6</w:delText>
              </w:r>
            </w:del>
          </w:p>
        </w:tc>
        <w:tc>
          <w:tcPr>
            <w:tcW w:w="720" w:type="dxa"/>
            <w:tcBorders>
              <w:top w:val="nil"/>
              <w:bottom w:val="single" w:sz="4" w:space="0" w:color="auto"/>
            </w:tcBorders>
          </w:tcPr>
          <w:p w14:paraId="25E01C28" w14:textId="77777777" w:rsidR="00BC0E7E" w:rsidRPr="00BC0E7E" w:rsidRDefault="00944B8F" w:rsidP="00762FA7">
            <w:pPr>
              <w:keepNext/>
              <w:rPr>
                <w:del w:id="7338" w:author="AbbVie19" w:date="2025-04-16T10:42:00Z"/>
                <w:szCs w:val="22"/>
              </w:rPr>
            </w:pPr>
            <w:del w:id="7339" w:author="AbbVie19" w:date="2025-04-16T10:42:00Z">
              <w:r w:rsidRPr="00BC0E7E">
                <w:rPr>
                  <w:szCs w:val="22"/>
                </w:rPr>
                <w:delText>0.50</w:delText>
              </w:r>
            </w:del>
          </w:p>
        </w:tc>
        <w:tc>
          <w:tcPr>
            <w:tcW w:w="1170" w:type="dxa"/>
            <w:tcBorders>
              <w:top w:val="nil"/>
              <w:bottom w:val="single" w:sz="4" w:space="0" w:color="auto"/>
            </w:tcBorders>
          </w:tcPr>
          <w:p w14:paraId="21A4EABF" w14:textId="77777777" w:rsidR="00BC0E7E" w:rsidRPr="00BC0E7E" w:rsidRDefault="00944B8F" w:rsidP="00762FA7">
            <w:pPr>
              <w:keepNext/>
              <w:rPr>
                <w:del w:id="7340" w:author="AbbVie19" w:date="2025-04-16T10:42:00Z"/>
                <w:szCs w:val="22"/>
              </w:rPr>
            </w:pPr>
            <w:del w:id="7341" w:author="AbbVie19" w:date="2025-04-16T10:42:00Z">
              <w:r w:rsidRPr="00BC0E7E">
                <w:rPr>
                  <w:szCs w:val="22"/>
                </w:rPr>
                <w:delText>0.36, 0.70</w:delText>
              </w:r>
              <w:r w:rsidRPr="00BC0E7E">
                <w:rPr>
                  <w:szCs w:val="22"/>
                  <w:vertAlign w:val="superscript"/>
                </w:rPr>
                <w:delText xml:space="preserve"> </w:delText>
              </w:r>
            </w:del>
          </w:p>
        </w:tc>
        <w:tc>
          <w:tcPr>
            <w:tcW w:w="1080" w:type="dxa"/>
            <w:tcBorders>
              <w:top w:val="nil"/>
              <w:bottom w:val="single" w:sz="4" w:space="0" w:color="auto"/>
            </w:tcBorders>
          </w:tcPr>
          <w:p w14:paraId="4ECE6E6A" w14:textId="77777777" w:rsidR="00BC0E7E" w:rsidRPr="00BC0E7E" w:rsidRDefault="00944B8F" w:rsidP="00762FA7">
            <w:pPr>
              <w:keepNext/>
              <w:rPr>
                <w:del w:id="7342" w:author="AbbVie19" w:date="2025-04-16T10:42:00Z"/>
                <w:szCs w:val="22"/>
              </w:rPr>
            </w:pPr>
            <w:del w:id="7343" w:author="AbbVie19" w:date="2025-04-16T10:42:00Z">
              <w:r w:rsidRPr="00BC0E7E">
                <w:rPr>
                  <w:szCs w:val="22"/>
                </w:rPr>
                <w:delText>&lt; 0.001</w:delText>
              </w:r>
            </w:del>
          </w:p>
        </w:tc>
      </w:tr>
      <w:tr w:rsidR="00C6578C" w14:paraId="454F610F" w14:textId="77777777" w:rsidTr="00171601">
        <w:tblPrEx>
          <w:tblBorders>
            <w:left w:val="single" w:sz="4" w:space="0" w:color="auto"/>
            <w:right w:val="single" w:sz="4" w:space="0" w:color="auto"/>
            <w:insideH w:val="single" w:sz="4" w:space="0" w:color="auto"/>
            <w:insideV w:val="single" w:sz="4" w:space="0" w:color="auto"/>
          </w:tblBorders>
        </w:tblPrEx>
        <w:trPr>
          <w:del w:id="7344" w:author="AbbVie19" w:date="2025-04-16T10:42:00Z"/>
        </w:trPr>
        <w:tc>
          <w:tcPr>
            <w:tcW w:w="9018" w:type="dxa"/>
            <w:gridSpan w:val="7"/>
            <w:tcBorders>
              <w:left w:val="nil"/>
              <w:bottom w:val="nil"/>
              <w:right w:val="nil"/>
            </w:tcBorders>
          </w:tcPr>
          <w:p w14:paraId="102A641D" w14:textId="77777777" w:rsidR="00BC0E7E" w:rsidRPr="00BC0E7E" w:rsidRDefault="00944B8F" w:rsidP="00762FA7">
            <w:pPr>
              <w:keepNext/>
              <w:rPr>
                <w:del w:id="7345" w:author="AbbVie19" w:date="2025-04-16T10:42:00Z"/>
                <w:b/>
                <w:szCs w:val="22"/>
              </w:rPr>
            </w:pPr>
            <w:del w:id="7346" w:author="AbbVie19" w:date="2025-04-16T10:42:00Z">
              <w:r w:rsidRPr="00BC0E7E">
                <w:rPr>
                  <w:b/>
                  <w:szCs w:val="22"/>
                </w:rPr>
                <w:delText>Time to Treatment Failure At or After Week 2 in Study UV II</w:delText>
              </w:r>
            </w:del>
          </w:p>
        </w:tc>
      </w:tr>
      <w:tr w:rsidR="00C6578C" w14:paraId="1F6F6F94" w14:textId="77777777" w:rsidTr="00171601">
        <w:tblPrEx>
          <w:tblBorders>
            <w:left w:val="single" w:sz="4" w:space="0" w:color="auto"/>
            <w:right w:val="single" w:sz="4" w:space="0" w:color="auto"/>
            <w:insideH w:val="single" w:sz="4" w:space="0" w:color="auto"/>
            <w:insideV w:val="single" w:sz="4" w:space="0" w:color="auto"/>
          </w:tblBorders>
        </w:tblPrEx>
        <w:trPr>
          <w:del w:id="7347" w:author="AbbVie19" w:date="2025-04-16T10:42:00Z"/>
        </w:trPr>
        <w:tc>
          <w:tcPr>
            <w:tcW w:w="2988" w:type="dxa"/>
            <w:gridSpan w:val="2"/>
            <w:tcBorders>
              <w:top w:val="nil"/>
              <w:left w:val="nil"/>
              <w:bottom w:val="nil"/>
              <w:right w:val="nil"/>
            </w:tcBorders>
          </w:tcPr>
          <w:p w14:paraId="114B62F4" w14:textId="77777777" w:rsidR="00BC0E7E" w:rsidRPr="00BC0E7E" w:rsidRDefault="00944B8F" w:rsidP="00762FA7">
            <w:pPr>
              <w:keepNext/>
              <w:rPr>
                <w:del w:id="7348" w:author="AbbVie19" w:date="2025-04-16T10:42:00Z"/>
                <w:szCs w:val="22"/>
              </w:rPr>
            </w:pPr>
            <w:del w:id="7349" w:author="AbbVie19" w:date="2025-04-16T10:42:00Z">
              <w:r w:rsidRPr="00BC0E7E">
                <w:rPr>
                  <w:szCs w:val="22"/>
                </w:rPr>
                <w:delText>Primary analysis (ITT)</w:delText>
              </w:r>
            </w:del>
          </w:p>
        </w:tc>
        <w:tc>
          <w:tcPr>
            <w:tcW w:w="1170" w:type="dxa"/>
            <w:tcBorders>
              <w:top w:val="nil"/>
              <w:left w:val="nil"/>
              <w:bottom w:val="nil"/>
              <w:right w:val="nil"/>
            </w:tcBorders>
          </w:tcPr>
          <w:p w14:paraId="141FF0B4" w14:textId="77777777" w:rsidR="00BC0E7E" w:rsidRPr="00BC0E7E" w:rsidRDefault="00BC0E7E" w:rsidP="00762FA7">
            <w:pPr>
              <w:keepNext/>
              <w:rPr>
                <w:del w:id="7350" w:author="AbbVie19" w:date="2025-04-16T10:42:00Z"/>
                <w:szCs w:val="22"/>
              </w:rPr>
            </w:pPr>
          </w:p>
        </w:tc>
        <w:tc>
          <w:tcPr>
            <w:tcW w:w="1890" w:type="dxa"/>
            <w:tcBorders>
              <w:top w:val="nil"/>
              <w:left w:val="nil"/>
              <w:bottom w:val="nil"/>
              <w:right w:val="nil"/>
            </w:tcBorders>
          </w:tcPr>
          <w:p w14:paraId="2861D680" w14:textId="77777777" w:rsidR="00BC0E7E" w:rsidRPr="00BC0E7E" w:rsidRDefault="00BC0E7E" w:rsidP="00762FA7">
            <w:pPr>
              <w:keepNext/>
              <w:rPr>
                <w:del w:id="7351" w:author="AbbVie19" w:date="2025-04-16T10:42:00Z"/>
                <w:szCs w:val="22"/>
              </w:rPr>
            </w:pPr>
          </w:p>
        </w:tc>
        <w:tc>
          <w:tcPr>
            <w:tcW w:w="720" w:type="dxa"/>
            <w:tcBorders>
              <w:top w:val="nil"/>
              <w:left w:val="nil"/>
              <w:bottom w:val="nil"/>
              <w:right w:val="nil"/>
            </w:tcBorders>
          </w:tcPr>
          <w:p w14:paraId="4C6EAD50" w14:textId="77777777" w:rsidR="00BC0E7E" w:rsidRPr="00BC0E7E" w:rsidRDefault="00BC0E7E" w:rsidP="00762FA7">
            <w:pPr>
              <w:keepNext/>
              <w:rPr>
                <w:del w:id="7352" w:author="AbbVie19" w:date="2025-04-16T10:42:00Z"/>
                <w:szCs w:val="22"/>
              </w:rPr>
            </w:pPr>
          </w:p>
        </w:tc>
        <w:tc>
          <w:tcPr>
            <w:tcW w:w="1170" w:type="dxa"/>
            <w:tcBorders>
              <w:top w:val="nil"/>
              <w:left w:val="nil"/>
              <w:bottom w:val="nil"/>
              <w:right w:val="nil"/>
            </w:tcBorders>
          </w:tcPr>
          <w:p w14:paraId="4CFBB479" w14:textId="77777777" w:rsidR="00BC0E7E" w:rsidRPr="00BC0E7E" w:rsidRDefault="00BC0E7E" w:rsidP="00762FA7">
            <w:pPr>
              <w:keepNext/>
              <w:rPr>
                <w:del w:id="7353" w:author="AbbVie19" w:date="2025-04-16T10:42:00Z"/>
                <w:szCs w:val="22"/>
              </w:rPr>
            </w:pPr>
          </w:p>
        </w:tc>
        <w:tc>
          <w:tcPr>
            <w:tcW w:w="1080" w:type="dxa"/>
            <w:tcBorders>
              <w:top w:val="nil"/>
              <w:left w:val="nil"/>
              <w:bottom w:val="nil"/>
              <w:right w:val="nil"/>
            </w:tcBorders>
          </w:tcPr>
          <w:p w14:paraId="6F475AB3" w14:textId="77777777" w:rsidR="00BC0E7E" w:rsidRPr="00BC0E7E" w:rsidRDefault="00BC0E7E" w:rsidP="00762FA7">
            <w:pPr>
              <w:keepNext/>
              <w:rPr>
                <w:del w:id="7354" w:author="AbbVie19" w:date="2025-04-16T10:42:00Z"/>
                <w:szCs w:val="22"/>
              </w:rPr>
            </w:pPr>
          </w:p>
        </w:tc>
      </w:tr>
      <w:tr w:rsidR="00C6578C" w14:paraId="59121104" w14:textId="77777777" w:rsidTr="00171601">
        <w:tblPrEx>
          <w:tblBorders>
            <w:left w:val="single" w:sz="4" w:space="0" w:color="auto"/>
            <w:right w:val="single" w:sz="4" w:space="0" w:color="auto"/>
            <w:insideH w:val="single" w:sz="4" w:space="0" w:color="auto"/>
            <w:insideV w:val="single" w:sz="4" w:space="0" w:color="auto"/>
          </w:tblBorders>
        </w:tblPrEx>
        <w:trPr>
          <w:del w:id="7355" w:author="AbbVie19" w:date="2025-04-16T10:42:00Z"/>
        </w:trPr>
        <w:tc>
          <w:tcPr>
            <w:tcW w:w="2268" w:type="dxa"/>
            <w:tcBorders>
              <w:top w:val="nil"/>
              <w:left w:val="nil"/>
              <w:bottom w:val="nil"/>
              <w:right w:val="nil"/>
            </w:tcBorders>
          </w:tcPr>
          <w:p w14:paraId="11183FA2" w14:textId="77777777" w:rsidR="00BC0E7E" w:rsidRPr="00BC0E7E" w:rsidRDefault="00944B8F" w:rsidP="00762FA7">
            <w:pPr>
              <w:keepNext/>
              <w:rPr>
                <w:del w:id="7356" w:author="AbbVie19" w:date="2025-04-16T10:42:00Z"/>
                <w:szCs w:val="22"/>
              </w:rPr>
            </w:pPr>
            <w:del w:id="7357" w:author="AbbVie19" w:date="2025-04-16T10:42:00Z">
              <w:r w:rsidRPr="00BC0E7E">
                <w:rPr>
                  <w:szCs w:val="22"/>
                </w:rPr>
                <w:tab/>
                <w:delText>Placebo</w:delText>
              </w:r>
            </w:del>
          </w:p>
        </w:tc>
        <w:tc>
          <w:tcPr>
            <w:tcW w:w="720" w:type="dxa"/>
            <w:tcBorders>
              <w:top w:val="nil"/>
              <w:left w:val="nil"/>
              <w:bottom w:val="nil"/>
              <w:right w:val="nil"/>
            </w:tcBorders>
          </w:tcPr>
          <w:p w14:paraId="6A4DEC89" w14:textId="77777777" w:rsidR="00BC0E7E" w:rsidRPr="00BC0E7E" w:rsidRDefault="00944B8F" w:rsidP="00762FA7">
            <w:pPr>
              <w:keepNext/>
              <w:rPr>
                <w:del w:id="7358" w:author="AbbVie19" w:date="2025-04-16T10:42:00Z"/>
                <w:szCs w:val="22"/>
              </w:rPr>
            </w:pPr>
            <w:del w:id="7359" w:author="AbbVie19" w:date="2025-04-16T10:42:00Z">
              <w:r w:rsidRPr="00BC0E7E">
                <w:rPr>
                  <w:szCs w:val="22"/>
                </w:rPr>
                <w:delText>111</w:delText>
              </w:r>
            </w:del>
          </w:p>
        </w:tc>
        <w:tc>
          <w:tcPr>
            <w:tcW w:w="1170" w:type="dxa"/>
            <w:tcBorders>
              <w:top w:val="nil"/>
              <w:left w:val="nil"/>
              <w:bottom w:val="nil"/>
              <w:right w:val="nil"/>
            </w:tcBorders>
          </w:tcPr>
          <w:p w14:paraId="4A7836EF" w14:textId="77777777" w:rsidR="00BC0E7E" w:rsidRPr="00BC0E7E" w:rsidRDefault="00944B8F" w:rsidP="00762FA7">
            <w:pPr>
              <w:keepNext/>
              <w:rPr>
                <w:del w:id="7360" w:author="AbbVie19" w:date="2025-04-16T10:42:00Z"/>
                <w:szCs w:val="22"/>
              </w:rPr>
            </w:pPr>
            <w:del w:id="7361" w:author="AbbVie19" w:date="2025-04-16T10:42:00Z">
              <w:r w:rsidRPr="00BC0E7E">
                <w:rPr>
                  <w:szCs w:val="22"/>
                </w:rPr>
                <w:delText>61 (55.0)</w:delText>
              </w:r>
            </w:del>
          </w:p>
        </w:tc>
        <w:tc>
          <w:tcPr>
            <w:tcW w:w="1890" w:type="dxa"/>
            <w:tcBorders>
              <w:top w:val="nil"/>
              <w:left w:val="nil"/>
              <w:bottom w:val="nil"/>
              <w:right w:val="nil"/>
            </w:tcBorders>
          </w:tcPr>
          <w:p w14:paraId="00E04FA3" w14:textId="77777777" w:rsidR="00BC0E7E" w:rsidRPr="00BC0E7E" w:rsidRDefault="00944B8F" w:rsidP="00762FA7">
            <w:pPr>
              <w:keepNext/>
              <w:rPr>
                <w:del w:id="7362" w:author="AbbVie19" w:date="2025-04-16T10:42:00Z"/>
                <w:szCs w:val="22"/>
              </w:rPr>
            </w:pPr>
            <w:del w:id="7363" w:author="AbbVie19" w:date="2025-04-16T10:42:00Z">
              <w:r w:rsidRPr="00BC0E7E">
                <w:rPr>
                  <w:szCs w:val="22"/>
                </w:rPr>
                <w:delText>8.3</w:delText>
              </w:r>
            </w:del>
          </w:p>
        </w:tc>
        <w:tc>
          <w:tcPr>
            <w:tcW w:w="720" w:type="dxa"/>
            <w:tcBorders>
              <w:top w:val="nil"/>
              <w:left w:val="nil"/>
              <w:bottom w:val="nil"/>
              <w:right w:val="nil"/>
            </w:tcBorders>
          </w:tcPr>
          <w:p w14:paraId="385BC767" w14:textId="77777777" w:rsidR="00BC0E7E" w:rsidRPr="00BC0E7E" w:rsidRDefault="00944B8F" w:rsidP="00762FA7">
            <w:pPr>
              <w:keepNext/>
              <w:rPr>
                <w:del w:id="7364" w:author="AbbVie19" w:date="2025-04-16T10:42:00Z"/>
                <w:szCs w:val="22"/>
              </w:rPr>
            </w:pPr>
            <w:del w:id="7365" w:author="AbbVie19" w:date="2025-04-16T10:42:00Z">
              <w:r w:rsidRPr="00BC0E7E">
                <w:rPr>
                  <w:szCs w:val="22"/>
                </w:rPr>
                <w:delText>--</w:delText>
              </w:r>
            </w:del>
          </w:p>
        </w:tc>
        <w:tc>
          <w:tcPr>
            <w:tcW w:w="1170" w:type="dxa"/>
            <w:tcBorders>
              <w:top w:val="nil"/>
              <w:left w:val="nil"/>
              <w:bottom w:val="nil"/>
              <w:right w:val="nil"/>
            </w:tcBorders>
          </w:tcPr>
          <w:p w14:paraId="33FD942F" w14:textId="77777777" w:rsidR="00BC0E7E" w:rsidRPr="00BC0E7E" w:rsidRDefault="00944B8F" w:rsidP="00762FA7">
            <w:pPr>
              <w:keepNext/>
              <w:rPr>
                <w:del w:id="7366" w:author="AbbVie19" w:date="2025-04-16T10:42:00Z"/>
                <w:szCs w:val="22"/>
              </w:rPr>
            </w:pPr>
            <w:del w:id="7367" w:author="AbbVie19" w:date="2025-04-16T10:42:00Z">
              <w:r w:rsidRPr="00BC0E7E">
                <w:rPr>
                  <w:szCs w:val="22"/>
                </w:rPr>
                <w:delText>--</w:delText>
              </w:r>
            </w:del>
          </w:p>
        </w:tc>
        <w:tc>
          <w:tcPr>
            <w:tcW w:w="1080" w:type="dxa"/>
            <w:tcBorders>
              <w:top w:val="nil"/>
              <w:left w:val="nil"/>
              <w:bottom w:val="nil"/>
              <w:right w:val="nil"/>
            </w:tcBorders>
          </w:tcPr>
          <w:p w14:paraId="222AA53E" w14:textId="77777777" w:rsidR="00BC0E7E" w:rsidRPr="00BC0E7E" w:rsidRDefault="00944B8F" w:rsidP="00762FA7">
            <w:pPr>
              <w:keepNext/>
              <w:rPr>
                <w:del w:id="7368" w:author="AbbVie19" w:date="2025-04-16T10:42:00Z"/>
                <w:szCs w:val="22"/>
              </w:rPr>
            </w:pPr>
            <w:del w:id="7369" w:author="AbbVie19" w:date="2025-04-16T10:42:00Z">
              <w:r w:rsidRPr="00BC0E7E">
                <w:rPr>
                  <w:szCs w:val="22"/>
                </w:rPr>
                <w:delText>--</w:delText>
              </w:r>
            </w:del>
          </w:p>
        </w:tc>
      </w:tr>
      <w:tr w:rsidR="00C6578C" w14:paraId="6305EBD7" w14:textId="77777777" w:rsidTr="00171601">
        <w:tblPrEx>
          <w:tblBorders>
            <w:left w:val="single" w:sz="4" w:space="0" w:color="auto"/>
            <w:right w:val="single" w:sz="4" w:space="0" w:color="auto"/>
            <w:insideH w:val="single" w:sz="4" w:space="0" w:color="auto"/>
            <w:insideV w:val="single" w:sz="4" w:space="0" w:color="auto"/>
          </w:tblBorders>
        </w:tblPrEx>
        <w:trPr>
          <w:del w:id="7370" w:author="AbbVie19" w:date="2025-04-16T10:42:00Z"/>
        </w:trPr>
        <w:tc>
          <w:tcPr>
            <w:tcW w:w="2268" w:type="dxa"/>
            <w:tcBorders>
              <w:top w:val="nil"/>
              <w:left w:val="nil"/>
              <w:bottom w:val="single" w:sz="4" w:space="0" w:color="auto"/>
              <w:right w:val="nil"/>
            </w:tcBorders>
          </w:tcPr>
          <w:p w14:paraId="2523A9F6" w14:textId="77777777" w:rsidR="00BC0E7E" w:rsidRPr="00BC0E7E" w:rsidRDefault="00944B8F" w:rsidP="00762FA7">
            <w:pPr>
              <w:keepNext/>
              <w:rPr>
                <w:del w:id="7371" w:author="AbbVie19" w:date="2025-04-16T10:42:00Z"/>
                <w:szCs w:val="22"/>
              </w:rPr>
            </w:pPr>
            <w:del w:id="7372" w:author="AbbVie19" w:date="2025-04-16T10:42:00Z">
              <w:r w:rsidRPr="00BC0E7E">
                <w:rPr>
                  <w:szCs w:val="22"/>
                </w:rPr>
                <w:tab/>
                <w:delText>Adalimumab</w:delText>
              </w:r>
            </w:del>
          </w:p>
        </w:tc>
        <w:tc>
          <w:tcPr>
            <w:tcW w:w="720" w:type="dxa"/>
            <w:tcBorders>
              <w:top w:val="nil"/>
              <w:left w:val="nil"/>
              <w:bottom w:val="single" w:sz="4" w:space="0" w:color="auto"/>
              <w:right w:val="nil"/>
            </w:tcBorders>
          </w:tcPr>
          <w:p w14:paraId="643BFE3C" w14:textId="77777777" w:rsidR="00BC0E7E" w:rsidRPr="00BC0E7E" w:rsidRDefault="00944B8F" w:rsidP="00762FA7">
            <w:pPr>
              <w:keepNext/>
              <w:rPr>
                <w:del w:id="7373" w:author="AbbVie19" w:date="2025-04-16T10:42:00Z"/>
                <w:szCs w:val="22"/>
              </w:rPr>
            </w:pPr>
            <w:del w:id="7374" w:author="AbbVie19" w:date="2025-04-16T10:42:00Z">
              <w:r w:rsidRPr="00BC0E7E">
                <w:rPr>
                  <w:szCs w:val="22"/>
                </w:rPr>
                <w:delText>115</w:delText>
              </w:r>
            </w:del>
          </w:p>
        </w:tc>
        <w:tc>
          <w:tcPr>
            <w:tcW w:w="1170" w:type="dxa"/>
            <w:tcBorders>
              <w:top w:val="nil"/>
              <w:left w:val="nil"/>
              <w:bottom w:val="single" w:sz="4" w:space="0" w:color="auto"/>
              <w:right w:val="nil"/>
            </w:tcBorders>
          </w:tcPr>
          <w:p w14:paraId="6C9522A7" w14:textId="77777777" w:rsidR="00BC0E7E" w:rsidRPr="00BC0E7E" w:rsidRDefault="00944B8F" w:rsidP="00762FA7">
            <w:pPr>
              <w:keepNext/>
              <w:rPr>
                <w:del w:id="7375" w:author="AbbVie19" w:date="2025-04-16T10:42:00Z"/>
                <w:szCs w:val="22"/>
              </w:rPr>
            </w:pPr>
            <w:del w:id="7376" w:author="AbbVie19" w:date="2025-04-16T10:42:00Z">
              <w:r w:rsidRPr="00BC0E7E">
                <w:rPr>
                  <w:szCs w:val="22"/>
                </w:rPr>
                <w:delText>45 (39.1)</w:delText>
              </w:r>
            </w:del>
          </w:p>
        </w:tc>
        <w:tc>
          <w:tcPr>
            <w:tcW w:w="1890" w:type="dxa"/>
            <w:tcBorders>
              <w:top w:val="nil"/>
              <w:left w:val="nil"/>
              <w:bottom w:val="single" w:sz="4" w:space="0" w:color="auto"/>
              <w:right w:val="nil"/>
            </w:tcBorders>
          </w:tcPr>
          <w:p w14:paraId="305F5F39" w14:textId="77777777" w:rsidR="00BC0E7E" w:rsidRPr="00BC0E7E" w:rsidRDefault="00944B8F" w:rsidP="00762FA7">
            <w:pPr>
              <w:keepNext/>
              <w:rPr>
                <w:del w:id="7377" w:author="AbbVie19" w:date="2025-04-16T10:42:00Z"/>
                <w:szCs w:val="22"/>
              </w:rPr>
            </w:pPr>
            <w:del w:id="7378" w:author="AbbVie19" w:date="2025-04-16T10:42:00Z">
              <w:r w:rsidRPr="00BC0E7E">
                <w:rPr>
                  <w:szCs w:val="22"/>
                </w:rPr>
                <w:delText>NE</w:delText>
              </w:r>
              <w:r w:rsidRPr="00BC0E7E">
                <w:rPr>
                  <w:szCs w:val="22"/>
                  <w:vertAlign w:val="superscript"/>
                </w:rPr>
                <w:delText>c</w:delText>
              </w:r>
            </w:del>
          </w:p>
        </w:tc>
        <w:tc>
          <w:tcPr>
            <w:tcW w:w="720" w:type="dxa"/>
            <w:tcBorders>
              <w:top w:val="nil"/>
              <w:left w:val="nil"/>
              <w:bottom w:val="single" w:sz="4" w:space="0" w:color="auto"/>
              <w:right w:val="nil"/>
            </w:tcBorders>
          </w:tcPr>
          <w:p w14:paraId="55D4DF9A" w14:textId="77777777" w:rsidR="00BC0E7E" w:rsidRPr="00BC0E7E" w:rsidRDefault="00944B8F" w:rsidP="00762FA7">
            <w:pPr>
              <w:keepNext/>
              <w:rPr>
                <w:del w:id="7379" w:author="AbbVie19" w:date="2025-04-16T10:42:00Z"/>
                <w:szCs w:val="22"/>
              </w:rPr>
            </w:pPr>
            <w:del w:id="7380" w:author="AbbVie19" w:date="2025-04-16T10:42:00Z">
              <w:r w:rsidRPr="00BC0E7E">
                <w:rPr>
                  <w:szCs w:val="22"/>
                </w:rPr>
                <w:delText>0.57</w:delText>
              </w:r>
            </w:del>
          </w:p>
        </w:tc>
        <w:tc>
          <w:tcPr>
            <w:tcW w:w="1170" w:type="dxa"/>
            <w:tcBorders>
              <w:top w:val="nil"/>
              <w:left w:val="nil"/>
              <w:bottom w:val="single" w:sz="4" w:space="0" w:color="auto"/>
              <w:right w:val="nil"/>
            </w:tcBorders>
          </w:tcPr>
          <w:p w14:paraId="6293053D" w14:textId="77777777" w:rsidR="00BC0E7E" w:rsidRPr="00BC0E7E" w:rsidRDefault="00944B8F" w:rsidP="00762FA7">
            <w:pPr>
              <w:keepNext/>
              <w:rPr>
                <w:del w:id="7381" w:author="AbbVie19" w:date="2025-04-16T10:42:00Z"/>
                <w:szCs w:val="22"/>
              </w:rPr>
            </w:pPr>
            <w:del w:id="7382" w:author="AbbVie19" w:date="2025-04-16T10:42:00Z">
              <w:r w:rsidRPr="00BC0E7E">
                <w:rPr>
                  <w:szCs w:val="22"/>
                </w:rPr>
                <w:delText>0.39, 0.84</w:delText>
              </w:r>
            </w:del>
          </w:p>
        </w:tc>
        <w:tc>
          <w:tcPr>
            <w:tcW w:w="1080" w:type="dxa"/>
            <w:tcBorders>
              <w:top w:val="nil"/>
              <w:left w:val="nil"/>
              <w:bottom w:val="single" w:sz="4" w:space="0" w:color="auto"/>
              <w:right w:val="nil"/>
            </w:tcBorders>
          </w:tcPr>
          <w:p w14:paraId="3D3CDD63" w14:textId="77777777" w:rsidR="00BC0E7E" w:rsidRPr="00BC0E7E" w:rsidRDefault="00944B8F" w:rsidP="00762FA7">
            <w:pPr>
              <w:keepNext/>
              <w:rPr>
                <w:del w:id="7383" w:author="AbbVie19" w:date="2025-04-16T10:42:00Z"/>
                <w:szCs w:val="22"/>
              </w:rPr>
            </w:pPr>
            <w:del w:id="7384" w:author="AbbVie19" w:date="2025-04-16T10:42:00Z">
              <w:r w:rsidRPr="00BC0E7E">
                <w:rPr>
                  <w:szCs w:val="22"/>
                </w:rPr>
                <w:delText>0.004</w:delText>
              </w:r>
            </w:del>
          </w:p>
        </w:tc>
      </w:tr>
    </w:tbl>
    <w:p w14:paraId="75357EE1" w14:textId="77777777" w:rsidR="00BC0E7E" w:rsidRPr="00BC0E7E" w:rsidRDefault="00944B8F" w:rsidP="00762FA7">
      <w:pPr>
        <w:keepNext/>
        <w:rPr>
          <w:del w:id="7385" w:author="AbbVie19" w:date="2025-04-16T10:42:00Z"/>
          <w:szCs w:val="22"/>
        </w:rPr>
      </w:pPr>
      <w:del w:id="7386" w:author="AbbVie19" w:date="2025-04-16T10:42:00Z">
        <w:r w:rsidRPr="00BC0E7E">
          <w:rPr>
            <w:szCs w:val="22"/>
          </w:rPr>
          <w:delText>Note:  Treatment failure at or after Week 6 (Study UV I), or at or after Week 2 (Study UV II), was counted as event. Drop outs due to reasons other than treatment failure were censored at the time of dropping out.</w:delText>
        </w:r>
      </w:del>
    </w:p>
    <w:p w14:paraId="20516D89" w14:textId="77777777" w:rsidR="00BC0E7E" w:rsidRPr="00BC0E7E" w:rsidRDefault="00944B8F" w:rsidP="00762FA7">
      <w:pPr>
        <w:keepNext/>
        <w:numPr>
          <w:ilvl w:val="0"/>
          <w:numId w:val="86"/>
        </w:numPr>
        <w:rPr>
          <w:del w:id="7387" w:author="AbbVie19" w:date="2025-04-16T10:42:00Z"/>
          <w:szCs w:val="22"/>
        </w:rPr>
      </w:pPr>
      <w:del w:id="7388" w:author="AbbVie19" w:date="2025-04-16T10:42:00Z">
        <w:r w:rsidRPr="00BC0E7E">
          <w:rPr>
            <w:szCs w:val="22"/>
          </w:rPr>
          <w:delText>HR of adalimumab vs placebo from proportional hazards regression with treatment as factor.</w:delText>
        </w:r>
      </w:del>
    </w:p>
    <w:p w14:paraId="6EE3D48B" w14:textId="77777777" w:rsidR="00BC0E7E" w:rsidRPr="00BC0E7E" w:rsidRDefault="00944B8F" w:rsidP="00762FA7">
      <w:pPr>
        <w:keepNext/>
        <w:numPr>
          <w:ilvl w:val="0"/>
          <w:numId w:val="86"/>
        </w:numPr>
        <w:rPr>
          <w:del w:id="7389" w:author="AbbVie19" w:date="2025-04-16T10:42:00Z"/>
          <w:szCs w:val="22"/>
        </w:rPr>
      </w:pPr>
      <w:del w:id="7390" w:author="AbbVie19" w:date="2025-04-16T10:42:00Z">
        <w:r w:rsidRPr="00BC0E7E">
          <w:rPr>
            <w:szCs w:val="22"/>
          </w:rPr>
          <w:delText xml:space="preserve">2-sided </w:delText>
        </w:r>
        <w:r w:rsidRPr="00BC0E7E">
          <w:rPr>
            <w:i/>
            <w:szCs w:val="22"/>
          </w:rPr>
          <w:delText>P</w:delText>
        </w:r>
        <w:r w:rsidRPr="00BC0E7E">
          <w:rPr>
            <w:szCs w:val="22"/>
          </w:rPr>
          <w:delText xml:space="preserve"> value from log rank test.</w:delText>
        </w:r>
      </w:del>
    </w:p>
    <w:p w14:paraId="355DC60B" w14:textId="77777777" w:rsidR="00BC0E7E" w:rsidRPr="00BC0E7E" w:rsidRDefault="00944B8F" w:rsidP="00762FA7">
      <w:pPr>
        <w:keepNext/>
        <w:numPr>
          <w:ilvl w:val="0"/>
          <w:numId w:val="86"/>
        </w:numPr>
        <w:rPr>
          <w:del w:id="7391" w:author="AbbVie19" w:date="2025-04-16T10:42:00Z"/>
          <w:szCs w:val="22"/>
        </w:rPr>
      </w:pPr>
      <w:del w:id="7392" w:author="AbbVie19" w:date="2025-04-16T10:42:00Z">
        <w:r w:rsidRPr="00BC0E7E">
          <w:rPr>
            <w:szCs w:val="22"/>
          </w:rPr>
          <w:delText xml:space="preserve">NE = not estimable. Fewer than half of at-risk subjects had an event. </w:delText>
        </w:r>
      </w:del>
    </w:p>
    <w:p w14:paraId="69835D0D" w14:textId="77777777" w:rsidR="00BC0E7E" w:rsidRPr="00BC0E7E" w:rsidRDefault="00BC0E7E" w:rsidP="00762FA7">
      <w:pPr>
        <w:rPr>
          <w:del w:id="7393" w:author="AbbVie19" w:date="2025-04-16T10:42:00Z"/>
          <w:szCs w:val="22"/>
        </w:rPr>
      </w:pPr>
    </w:p>
    <w:p w14:paraId="6F959961" w14:textId="77777777" w:rsidR="00BC0E7E" w:rsidRPr="003F7AAE" w:rsidRDefault="00944B8F" w:rsidP="00762FA7">
      <w:pPr>
        <w:keepNext/>
        <w:jc w:val="center"/>
        <w:rPr>
          <w:del w:id="7394" w:author="AbbVie19" w:date="2025-04-16T10:42:00Z"/>
          <w:szCs w:val="22"/>
        </w:rPr>
      </w:pPr>
      <w:del w:id="7395" w:author="AbbVie19" w:date="2025-04-16T10:42:00Z">
        <w:r w:rsidRPr="00BC0E7E">
          <w:rPr>
            <w:b/>
            <w:szCs w:val="22"/>
          </w:rPr>
          <w:lastRenderedPageBreak/>
          <w:delText xml:space="preserve">Figure </w:delText>
        </w:r>
        <w:r w:rsidR="00740A74">
          <w:rPr>
            <w:b/>
            <w:szCs w:val="22"/>
          </w:rPr>
          <w:delText>2</w:delText>
        </w:r>
        <w:r w:rsidRPr="00BC0E7E">
          <w:rPr>
            <w:b/>
            <w:szCs w:val="22"/>
          </w:rPr>
          <w:delText>: Kaplan-Meier Curves Summarizing Time to Treatment Failure on or after Week 6 (Stud</w:delText>
        </w:r>
        <w:r w:rsidR="003F7AAE">
          <w:rPr>
            <w:b/>
            <w:szCs w:val="22"/>
          </w:rPr>
          <w:delText>y UV I) or Week 2 (Study UV II)</w:delText>
        </w:r>
      </w:del>
    </w:p>
    <w:p w14:paraId="592A2063" w14:textId="77777777" w:rsidR="00BC0E7E" w:rsidRPr="003F7AAE" w:rsidRDefault="00BC0E7E" w:rsidP="00762FA7">
      <w:pPr>
        <w:keepNext/>
        <w:jc w:val="center"/>
        <w:rPr>
          <w:del w:id="7396" w:author="AbbVie19" w:date="2025-04-16T10:42:00Z"/>
          <w:szCs w:val="22"/>
        </w:rPr>
      </w:pPr>
    </w:p>
    <w:tbl>
      <w:tblPr>
        <w:tblW w:w="9288" w:type="dxa"/>
        <w:tblLayout w:type="fixed"/>
        <w:tblLook w:val="04A0" w:firstRow="1" w:lastRow="0" w:firstColumn="1" w:lastColumn="0" w:noHBand="0" w:noVBand="1"/>
      </w:tblPr>
      <w:tblGrid>
        <w:gridCol w:w="482"/>
        <w:gridCol w:w="3496"/>
        <w:gridCol w:w="1170"/>
        <w:gridCol w:w="1350"/>
        <w:gridCol w:w="900"/>
        <w:gridCol w:w="1890"/>
      </w:tblGrid>
      <w:tr w:rsidR="00C6578C" w14:paraId="22F1AAF9" w14:textId="77777777" w:rsidTr="00171601">
        <w:trPr>
          <w:cantSplit/>
          <w:trHeight w:val="3806"/>
          <w:del w:id="7397" w:author="AbbVie19" w:date="2025-04-16T10:42:00Z"/>
        </w:trPr>
        <w:tc>
          <w:tcPr>
            <w:tcW w:w="482" w:type="dxa"/>
            <w:textDirection w:val="btLr"/>
            <w:vAlign w:val="bottom"/>
          </w:tcPr>
          <w:p w14:paraId="4029636F" w14:textId="77777777" w:rsidR="00BC0E7E" w:rsidRPr="00BC0E7E" w:rsidRDefault="00944B8F" w:rsidP="00762FA7">
            <w:pPr>
              <w:keepNext/>
              <w:ind w:left="113" w:right="113"/>
              <w:jc w:val="center"/>
              <w:rPr>
                <w:del w:id="7398" w:author="AbbVie19" w:date="2025-04-16T10:42:00Z"/>
                <w:b/>
                <w:szCs w:val="22"/>
              </w:rPr>
            </w:pPr>
            <w:del w:id="7399" w:author="AbbVie19" w:date="2025-04-16T10:42:00Z">
              <w:r w:rsidRPr="00BC0E7E">
                <w:rPr>
                  <w:b/>
                  <w:szCs w:val="22"/>
                </w:rPr>
                <w:delText>TREATMENT FAILURE RATE (%)</w:delText>
              </w:r>
            </w:del>
          </w:p>
        </w:tc>
        <w:tc>
          <w:tcPr>
            <w:tcW w:w="8806" w:type="dxa"/>
            <w:gridSpan w:val="5"/>
            <w:vAlign w:val="bottom"/>
          </w:tcPr>
          <w:p w14:paraId="0ED881A1" w14:textId="77777777" w:rsidR="00BC0E7E" w:rsidRPr="00BC0E7E" w:rsidRDefault="00944B8F" w:rsidP="00762FA7">
            <w:pPr>
              <w:keepNext/>
              <w:rPr>
                <w:del w:id="7400" w:author="AbbVie19" w:date="2025-04-16T10:42:00Z"/>
                <w:szCs w:val="22"/>
              </w:rPr>
            </w:pPr>
            <w:del w:id="7401" w:author="AbbVie19" w:date="2025-04-16T10:42:00Z">
              <w:r>
                <w:rPr>
                  <w:noProof/>
                  <w:szCs w:val="22"/>
                  <w:lang w:val="en-US"/>
                </w:rPr>
                <w:drawing>
                  <wp:inline distT="0" distB="0" distL="0" distR="0" wp14:anchorId="0CFEF170" wp14:editId="2B811168">
                    <wp:extent cx="5486400" cy="2210435"/>
                    <wp:effectExtent l="0" t="0" r="0" b="0"/>
                    <wp:docPr id="176" name="Picture 176"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6" descr="Humira Uveitis Figure 5_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86400" cy="2210435"/>
                            </a:xfrm>
                            <a:prstGeom prst="rect">
                              <a:avLst/>
                            </a:prstGeom>
                            <a:noFill/>
                            <a:ln>
                              <a:noFill/>
                            </a:ln>
                          </pic:spPr>
                        </pic:pic>
                      </a:graphicData>
                    </a:graphic>
                  </wp:inline>
                </w:drawing>
              </w:r>
            </w:del>
          </w:p>
        </w:tc>
      </w:tr>
      <w:tr w:rsidR="00C6578C" w14:paraId="3EE29834" w14:textId="77777777" w:rsidTr="00171601">
        <w:trPr>
          <w:del w:id="7402" w:author="AbbVie19" w:date="2025-04-16T10:42:00Z"/>
        </w:trPr>
        <w:tc>
          <w:tcPr>
            <w:tcW w:w="482" w:type="dxa"/>
          </w:tcPr>
          <w:p w14:paraId="2C38CFC0" w14:textId="77777777" w:rsidR="00BC0E7E" w:rsidRPr="00BC0E7E" w:rsidRDefault="00BC0E7E" w:rsidP="00762FA7">
            <w:pPr>
              <w:rPr>
                <w:del w:id="7403" w:author="AbbVie19" w:date="2025-04-16T10:42:00Z"/>
                <w:szCs w:val="22"/>
              </w:rPr>
            </w:pPr>
          </w:p>
        </w:tc>
        <w:tc>
          <w:tcPr>
            <w:tcW w:w="8806" w:type="dxa"/>
            <w:gridSpan w:val="5"/>
          </w:tcPr>
          <w:p w14:paraId="1A86C28F" w14:textId="77777777" w:rsidR="00BC0E7E" w:rsidRPr="00BC0E7E" w:rsidRDefault="00944B8F" w:rsidP="00762FA7">
            <w:pPr>
              <w:jc w:val="center"/>
              <w:rPr>
                <w:del w:id="7404" w:author="AbbVie19" w:date="2025-04-16T10:42:00Z"/>
                <w:b/>
                <w:szCs w:val="22"/>
              </w:rPr>
            </w:pPr>
            <w:del w:id="7405" w:author="AbbVie19" w:date="2025-04-16T10:42:00Z">
              <w:r w:rsidRPr="00BC0E7E">
                <w:rPr>
                  <w:b/>
                  <w:szCs w:val="22"/>
                </w:rPr>
                <w:delText>TIME (MONTHS)</w:delText>
              </w:r>
            </w:del>
          </w:p>
        </w:tc>
      </w:tr>
      <w:tr w:rsidR="00C6578C" w14:paraId="005B84A8" w14:textId="77777777" w:rsidTr="00171601">
        <w:trPr>
          <w:del w:id="7406" w:author="AbbVie19" w:date="2025-04-16T10:42:00Z"/>
        </w:trPr>
        <w:tc>
          <w:tcPr>
            <w:tcW w:w="482" w:type="dxa"/>
          </w:tcPr>
          <w:p w14:paraId="15F5DBD5" w14:textId="77777777" w:rsidR="00BC0E7E" w:rsidRPr="00BC0E7E" w:rsidRDefault="00BC0E7E" w:rsidP="00762FA7">
            <w:pPr>
              <w:rPr>
                <w:del w:id="7407" w:author="AbbVie19" w:date="2025-04-16T10:42:00Z"/>
                <w:szCs w:val="22"/>
              </w:rPr>
            </w:pPr>
          </w:p>
        </w:tc>
        <w:tc>
          <w:tcPr>
            <w:tcW w:w="3496" w:type="dxa"/>
          </w:tcPr>
          <w:p w14:paraId="13FF4529" w14:textId="77777777" w:rsidR="00BC0E7E" w:rsidRPr="00BC0E7E" w:rsidRDefault="00944B8F" w:rsidP="00762FA7">
            <w:pPr>
              <w:rPr>
                <w:del w:id="7408" w:author="AbbVie19" w:date="2025-04-16T10:42:00Z"/>
                <w:szCs w:val="22"/>
              </w:rPr>
            </w:pPr>
            <w:del w:id="7409" w:author="AbbVie19" w:date="2025-04-16T10:42:00Z">
              <w:r w:rsidRPr="00BC0E7E">
                <w:rPr>
                  <w:szCs w:val="22"/>
                </w:rPr>
                <w:delText>Study UV I                        Treatment</w:delText>
              </w:r>
            </w:del>
          </w:p>
        </w:tc>
        <w:tc>
          <w:tcPr>
            <w:tcW w:w="1170" w:type="dxa"/>
          </w:tcPr>
          <w:p w14:paraId="430CF403" w14:textId="77777777" w:rsidR="00BC0E7E" w:rsidRPr="00BC0E7E" w:rsidRDefault="00944B8F" w:rsidP="00762FA7">
            <w:pPr>
              <w:jc w:val="right"/>
              <w:rPr>
                <w:del w:id="7410" w:author="AbbVie19" w:date="2025-04-16T10:42:00Z"/>
                <w:szCs w:val="22"/>
              </w:rPr>
            </w:pPr>
            <w:del w:id="7411" w:author="AbbVie19" w:date="2025-04-16T10:42:00Z">
              <w:r>
                <w:rPr>
                  <w:noProof/>
                  <w:szCs w:val="22"/>
                  <w:lang w:val="en-US"/>
                </w:rPr>
                <w:drawing>
                  <wp:inline distT="0" distB="0" distL="0" distR="0" wp14:anchorId="118593B5" wp14:editId="4C8040D3">
                    <wp:extent cx="397510" cy="182880"/>
                    <wp:effectExtent l="0" t="0" r="2540" b="7620"/>
                    <wp:docPr id="175" name="Picture 17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 descr="Humira Uveitis Figure 5_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97510" cy="182880"/>
                            </a:xfrm>
                            <a:prstGeom prst="rect">
                              <a:avLst/>
                            </a:prstGeom>
                            <a:noFill/>
                            <a:ln>
                              <a:noFill/>
                            </a:ln>
                          </pic:spPr>
                        </pic:pic>
                      </a:graphicData>
                    </a:graphic>
                  </wp:inline>
                </w:drawing>
              </w:r>
            </w:del>
          </w:p>
        </w:tc>
        <w:tc>
          <w:tcPr>
            <w:tcW w:w="1350" w:type="dxa"/>
          </w:tcPr>
          <w:p w14:paraId="62F9E0D1" w14:textId="77777777" w:rsidR="00BC0E7E" w:rsidRPr="00BC0E7E" w:rsidRDefault="00944B8F" w:rsidP="00762FA7">
            <w:pPr>
              <w:rPr>
                <w:del w:id="7412" w:author="AbbVie19" w:date="2025-04-16T10:42:00Z"/>
                <w:szCs w:val="22"/>
              </w:rPr>
            </w:pPr>
            <w:del w:id="7413" w:author="AbbVie19" w:date="2025-04-16T10:42:00Z">
              <w:r w:rsidRPr="00BC0E7E">
                <w:rPr>
                  <w:szCs w:val="22"/>
                </w:rPr>
                <w:delText>Placebo</w:delText>
              </w:r>
            </w:del>
          </w:p>
        </w:tc>
        <w:tc>
          <w:tcPr>
            <w:tcW w:w="900" w:type="dxa"/>
          </w:tcPr>
          <w:p w14:paraId="2732A7F1" w14:textId="77777777" w:rsidR="00BC0E7E" w:rsidRPr="00BC0E7E" w:rsidRDefault="00944B8F" w:rsidP="00762FA7">
            <w:pPr>
              <w:jc w:val="right"/>
              <w:rPr>
                <w:del w:id="7414" w:author="AbbVie19" w:date="2025-04-16T10:42:00Z"/>
                <w:szCs w:val="22"/>
              </w:rPr>
            </w:pPr>
            <w:del w:id="7415" w:author="AbbVie19" w:date="2025-04-16T10:42:00Z">
              <w:r>
                <w:rPr>
                  <w:noProof/>
                  <w:szCs w:val="22"/>
                  <w:lang w:val="en-US"/>
                </w:rPr>
                <w:drawing>
                  <wp:inline distT="0" distB="0" distL="0" distR="0" wp14:anchorId="6F43AFB9" wp14:editId="12B93A94">
                    <wp:extent cx="556895" cy="182880"/>
                    <wp:effectExtent l="0" t="0" r="0" b="7620"/>
                    <wp:docPr id="174" name="Picture 17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8" descr="Humira Uveitis Figure 5_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56895" cy="182880"/>
                            </a:xfrm>
                            <a:prstGeom prst="rect">
                              <a:avLst/>
                            </a:prstGeom>
                            <a:noFill/>
                            <a:ln>
                              <a:noFill/>
                            </a:ln>
                          </pic:spPr>
                        </pic:pic>
                      </a:graphicData>
                    </a:graphic>
                  </wp:inline>
                </w:drawing>
              </w:r>
            </w:del>
          </w:p>
        </w:tc>
        <w:tc>
          <w:tcPr>
            <w:tcW w:w="1890" w:type="dxa"/>
          </w:tcPr>
          <w:p w14:paraId="5D617F3F" w14:textId="77777777" w:rsidR="00BC0E7E" w:rsidRPr="00BC0E7E" w:rsidRDefault="00944B8F" w:rsidP="00762FA7">
            <w:pPr>
              <w:rPr>
                <w:del w:id="7416" w:author="AbbVie19" w:date="2025-04-16T10:42:00Z"/>
                <w:szCs w:val="22"/>
              </w:rPr>
            </w:pPr>
            <w:del w:id="7417" w:author="AbbVie19" w:date="2025-04-16T10:42:00Z">
              <w:r w:rsidRPr="00BC0E7E">
                <w:rPr>
                  <w:szCs w:val="22"/>
                </w:rPr>
                <w:delText>Adalimumab</w:delText>
              </w:r>
            </w:del>
          </w:p>
        </w:tc>
      </w:tr>
      <w:tr w:rsidR="00C6578C" w14:paraId="5F359CAA" w14:textId="77777777" w:rsidTr="00171601">
        <w:trPr>
          <w:trHeight w:val="3869"/>
          <w:del w:id="7418" w:author="AbbVie19" w:date="2025-04-16T10:42:00Z"/>
        </w:trPr>
        <w:tc>
          <w:tcPr>
            <w:tcW w:w="482" w:type="dxa"/>
            <w:textDirection w:val="btLr"/>
            <w:vAlign w:val="bottom"/>
          </w:tcPr>
          <w:p w14:paraId="51FCE2AB" w14:textId="77777777" w:rsidR="00BC0E7E" w:rsidRPr="00BC0E7E" w:rsidRDefault="00944B8F" w:rsidP="00762FA7">
            <w:pPr>
              <w:jc w:val="center"/>
              <w:rPr>
                <w:del w:id="7419" w:author="AbbVie19" w:date="2025-04-16T10:42:00Z"/>
                <w:szCs w:val="22"/>
              </w:rPr>
            </w:pPr>
            <w:del w:id="7420" w:author="AbbVie19" w:date="2025-04-16T10:42:00Z">
              <w:r w:rsidRPr="00BC0E7E">
                <w:rPr>
                  <w:b/>
                  <w:szCs w:val="22"/>
                </w:rPr>
                <w:delText>TREATMENT FAILURE RATE (%)</w:delText>
              </w:r>
            </w:del>
          </w:p>
        </w:tc>
        <w:tc>
          <w:tcPr>
            <w:tcW w:w="8806" w:type="dxa"/>
            <w:gridSpan w:val="5"/>
            <w:vAlign w:val="bottom"/>
          </w:tcPr>
          <w:p w14:paraId="6D909874" w14:textId="77777777" w:rsidR="00BC0E7E" w:rsidRPr="00BC0E7E" w:rsidRDefault="00944B8F" w:rsidP="00762FA7">
            <w:pPr>
              <w:rPr>
                <w:del w:id="7421" w:author="AbbVie19" w:date="2025-04-16T10:42:00Z"/>
                <w:szCs w:val="22"/>
              </w:rPr>
            </w:pPr>
            <w:del w:id="7422" w:author="AbbVie19" w:date="2025-04-16T10:42:00Z">
              <w:r>
                <w:rPr>
                  <w:noProof/>
                  <w:szCs w:val="22"/>
                  <w:lang w:val="en-US"/>
                </w:rPr>
                <w:drawing>
                  <wp:inline distT="0" distB="0" distL="0" distR="0" wp14:anchorId="670908AB" wp14:editId="609E7E35">
                    <wp:extent cx="5486400" cy="2178685"/>
                    <wp:effectExtent l="0" t="0" r="0" b="0"/>
                    <wp:docPr id="173" name="Picture 173"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9" descr="Humira Uveitis Figure 5_7"/>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486400" cy="2178685"/>
                            </a:xfrm>
                            <a:prstGeom prst="rect">
                              <a:avLst/>
                            </a:prstGeom>
                            <a:noFill/>
                            <a:ln>
                              <a:noFill/>
                            </a:ln>
                          </pic:spPr>
                        </pic:pic>
                      </a:graphicData>
                    </a:graphic>
                  </wp:inline>
                </w:drawing>
              </w:r>
            </w:del>
          </w:p>
        </w:tc>
      </w:tr>
      <w:tr w:rsidR="00C6578C" w14:paraId="2C208963" w14:textId="77777777" w:rsidTr="00171601">
        <w:trPr>
          <w:del w:id="7423" w:author="AbbVie19" w:date="2025-04-16T10:42:00Z"/>
        </w:trPr>
        <w:tc>
          <w:tcPr>
            <w:tcW w:w="482" w:type="dxa"/>
          </w:tcPr>
          <w:p w14:paraId="26C80FC9" w14:textId="77777777" w:rsidR="00BC0E7E" w:rsidRPr="00BC0E7E" w:rsidRDefault="00BC0E7E" w:rsidP="00762FA7">
            <w:pPr>
              <w:rPr>
                <w:del w:id="7424" w:author="AbbVie19" w:date="2025-04-16T10:42:00Z"/>
                <w:szCs w:val="22"/>
              </w:rPr>
            </w:pPr>
          </w:p>
        </w:tc>
        <w:tc>
          <w:tcPr>
            <w:tcW w:w="8806" w:type="dxa"/>
            <w:gridSpan w:val="5"/>
          </w:tcPr>
          <w:p w14:paraId="64124651" w14:textId="77777777" w:rsidR="00BC0E7E" w:rsidRPr="00BC0E7E" w:rsidRDefault="00944B8F" w:rsidP="00762FA7">
            <w:pPr>
              <w:jc w:val="center"/>
              <w:rPr>
                <w:del w:id="7425" w:author="AbbVie19" w:date="2025-04-16T10:42:00Z"/>
                <w:b/>
                <w:szCs w:val="22"/>
              </w:rPr>
            </w:pPr>
            <w:del w:id="7426" w:author="AbbVie19" w:date="2025-04-16T10:42:00Z">
              <w:r w:rsidRPr="00BC0E7E">
                <w:rPr>
                  <w:b/>
                  <w:szCs w:val="22"/>
                </w:rPr>
                <w:delText>TIME (MONTHS)</w:delText>
              </w:r>
            </w:del>
          </w:p>
        </w:tc>
      </w:tr>
      <w:tr w:rsidR="00C6578C" w14:paraId="683DA8A4" w14:textId="77777777" w:rsidTr="00171601">
        <w:trPr>
          <w:trHeight w:val="369"/>
          <w:del w:id="7427" w:author="AbbVie19" w:date="2025-04-16T10:42:00Z"/>
        </w:trPr>
        <w:tc>
          <w:tcPr>
            <w:tcW w:w="482" w:type="dxa"/>
          </w:tcPr>
          <w:p w14:paraId="77436D62" w14:textId="77777777" w:rsidR="00BC0E7E" w:rsidRPr="00BC0E7E" w:rsidRDefault="00BC0E7E" w:rsidP="00762FA7">
            <w:pPr>
              <w:rPr>
                <w:del w:id="7428" w:author="AbbVie19" w:date="2025-04-16T10:42:00Z"/>
                <w:szCs w:val="22"/>
              </w:rPr>
            </w:pPr>
          </w:p>
        </w:tc>
        <w:tc>
          <w:tcPr>
            <w:tcW w:w="3496" w:type="dxa"/>
          </w:tcPr>
          <w:p w14:paraId="70C8414F" w14:textId="77777777" w:rsidR="00BC0E7E" w:rsidRPr="00BC0E7E" w:rsidRDefault="00944B8F" w:rsidP="00762FA7">
            <w:pPr>
              <w:rPr>
                <w:del w:id="7429" w:author="AbbVie19" w:date="2025-04-16T10:42:00Z"/>
                <w:szCs w:val="22"/>
              </w:rPr>
            </w:pPr>
            <w:del w:id="7430" w:author="AbbVie19" w:date="2025-04-16T10:42:00Z">
              <w:r w:rsidRPr="00BC0E7E">
                <w:rPr>
                  <w:szCs w:val="22"/>
                </w:rPr>
                <w:delText>Study UV II                       Treatment</w:delText>
              </w:r>
            </w:del>
          </w:p>
        </w:tc>
        <w:tc>
          <w:tcPr>
            <w:tcW w:w="1170" w:type="dxa"/>
          </w:tcPr>
          <w:p w14:paraId="4D7E6584" w14:textId="77777777" w:rsidR="00BC0E7E" w:rsidRPr="00BC0E7E" w:rsidRDefault="00944B8F" w:rsidP="00762FA7">
            <w:pPr>
              <w:jc w:val="right"/>
              <w:rPr>
                <w:del w:id="7431" w:author="AbbVie19" w:date="2025-04-16T10:42:00Z"/>
                <w:szCs w:val="22"/>
              </w:rPr>
            </w:pPr>
            <w:del w:id="7432" w:author="AbbVie19" w:date="2025-04-16T10:42:00Z">
              <w:r>
                <w:rPr>
                  <w:noProof/>
                  <w:szCs w:val="22"/>
                  <w:lang w:val="en-US"/>
                </w:rPr>
                <w:drawing>
                  <wp:inline distT="0" distB="0" distL="0" distR="0" wp14:anchorId="3B5C9B49" wp14:editId="6ABE05CD">
                    <wp:extent cx="397510" cy="182880"/>
                    <wp:effectExtent l="0" t="0" r="2540" b="7620"/>
                    <wp:docPr id="172" name="Picture 17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20" descr="Humira Uveitis Figure 5_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97510" cy="182880"/>
                            </a:xfrm>
                            <a:prstGeom prst="rect">
                              <a:avLst/>
                            </a:prstGeom>
                            <a:noFill/>
                            <a:ln>
                              <a:noFill/>
                            </a:ln>
                          </pic:spPr>
                        </pic:pic>
                      </a:graphicData>
                    </a:graphic>
                  </wp:inline>
                </w:drawing>
              </w:r>
            </w:del>
          </w:p>
        </w:tc>
        <w:tc>
          <w:tcPr>
            <w:tcW w:w="1350" w:type="dxa"/>
          </w:tcPr>
          <w:p w14:paraId="05094F80" w14:textId="77777777" w:rsidR="00BC0E7E" w:rsidRPr="00BC0E7E" w:rsidRDefault="00944B8F" w:rsidP="00762FA7">
            <w:pPr>
              <w:rPr>
                <w:del w:id="7433" w:author="AbbVie19" w:date="2025-04-16T10:42:00Z"/>
                <w:szCs w:val="22"/>
              </w:rPr>
            </w:pPr>
            <w:del w:id="7434" w:author="AbbVie19" w:date="2025-04-16T10:42:00Z">
              <w:r w:rsidRPr="00BC0E7E">
                <w:rPr>
                  <w:szCs w:val="22"/>
                </w:rPr>
                <w:delText>Placebo</w:delText>
              </w:r>
            </w:del>
          </w:p>
        </w:tc>
        <w:tc>
          <w:tcPr>
            <w:tcW w:w="900" w:type="dxa"/>
          </w:tcPr>
          <w:p w14:paraId="513B8D1C" w14:textId="77777777" w:rsidR="00BC0E7E" w:rsidRPr="00BC0E7E" w:rsidRDefault="00944B8F" w:rsidP="00762FA7">
            <w:pPr>
              <w:jc w:val="right"/>
              <w:rPr>
                <w:del w:id="7435" w:author="AbbVie19" w:date="2025-04-16T10:42:00Z"/>
                <w:szCs w:val="22"/>
              </w:rPr>
            </w:pPr>
            <w:del w:id="7436" w:author="AbbVie19" w:date="2025-04-16T10:42:00Z">
              <w:r>
                <w:rPr>
                  <w:noProof/>
                  <w:szCs w:val="22"/>
                  <w:lang w:val="en-US"/>
                </w:rPr>
                <w:drawing>
                  <wp:inline distT="0" distB="0" distL="0" distR="0" wp14:anchorId="16F171DA" wp14:editId="47A96CA5">
                    <wp:extent cx="556895" cy="182880"/>
                    <wp:effectExtent l="0" t="0" r="0" b="7620"/>
                    <wp:docPr id="171" name="Picture 171"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21" descr="Humira Uveitis Figure 5_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56895" cy="182880"/>
                            </a:xfrm>
                            <a:prstGeom prst="rect">
                              <a:avLst/>
                            </a:prstGeom>
                            <a:noFill/>
                            <a:ln>
                              <a:noFill/>
                            </a:ln>
                          </pic:spPr>
                        </pic:pic>
                      </a:graphicData>
                    </a:graphic>
                  </wp:inline>
                </w:drawing>
              </w:r>
            </w:del>
          </w:p>
        </w:tc>
        <w:tc>
          <w:tcPr>
            <w:tcW w:w="1890" w:type="dxa"/>
          </w:tcPr>
          <w:p w14:paraId="74A13A12" w14:textId="77777777" w:rsidR="00BC0E7E" w:rsidRPr="00BC0E7E" w:rsidRDefault="00944B8F" w:rsidP="00762FA7">
            <w:pPr>
              <w:rPr>
                <w:del w:id="7437" w:author="AbbVie19" w:date="2025-04-16T10:42:00Z"/>
                <w:szCs w:val="22"/>
              </w:rPr>
            </w:pPr>
            <w:del w:id="7438" w:author="AbbVie19" w:date="2025-04-16T10:42:00Z">
              <w:r w:rsidRPr="00BC0E7E">
                <w:rPr>
                  <w:szCs w:val="22"/>
                </w:rPr>
                <w:delText>Adalimumab</w:delText>
              </w:r>
            </w:del>
          </w:p>
        </w:tc>
      </w:tr>
      <w:tr w:rsidR="00C6578C" w14:paraId="5CE70746" w14:textId="77777777" w:rsidTr="00171601">
        <w:trPr>
          <w:trHeight w:val="629"/>
          <w:del w:id="7439" w:author="AbbVie19" w:date="2025-04-16T10:42:00Z"/>
        </w:trPr>
        <w:tc>
          <w:tcPr>
            <w:tcW w:w="9288" w:type="dxa"/>
            <w:gridSpan w:val="6"/>
            <w:vAlign w:val="center"/>
          </w:tcPr>
          <w:p w14:paraId="207B8F32" w14:textId="77777777" w:rsidR="00BC0E7E" w:rsidRPr="00BC0E7E" w:rsidRDefault="00944B8F" w:rsidP="00762FA7">
            <w:pPr>
              <w:rPr>
                <w:del w:id="7440" w:author="AbbVie19" w:date="2025-04-16T10:42:00Z"/>
                <w:szCs w:val="22"/>
              </w:rPr>
            </w:pPr>
            <w:del w:id="7441" w:author="AbbVie19" w:date="2025-04-16T10:42:00Z">
              <w:r w:rsidRPr="00BC0E7E">
                <w:rPr>
                  <w:szCs w:val="22"/>
                </w:rPr>
                <w:delText>Note: P# = Placebo (Number of Events/Number at Risk); A# = HUMIRA (Number of</w:delText>
              </w:r>
            </w:del>
          </w:p>
          <w:p w14:paraId="3F312F0E" w14:textId="77777777" w:rsidR="00BC0E7E" w:rsidRPr="00BC0E7E" w:rsidRDefault="00944B8F" w:rsidP="00762FA7">
            <w:pPr>
              <w:rPr>
                <w:del w:id="7442" w:author="AbbVie19" w:date="2025-04-16T10:42:00Z"/>
                <w:szCs w:val="22"/>
              </w:rPr>
            </w:pPr>
            <w:del w:id="7443" w:author="AbbVie19" w:date="2025-04-16T10:42:00Z">
              <w:r w:rsidRPr="00BC0E7E">
                <w:rPr>
                  <w:szCs w:val="22"/>
                </w:rPr>
                <w:delText>Events/Number at Risk).</w:delText>
              </w:r>
            </w:del>
          </w:p>
        </w:tc>
      </w:tr>
    </w:tbl>
    <w:p w14:paraId="260EE472" w14:textId="77777777" w:rsidR="00BC0E7E" w:rsidRPr="00BC0E7E" w:rsidRDefault="00BC0E7E" w:rsidP="00762FA7">
      <w:pPr>
        <w:rPr>
          <w:del w:id="7444" w:author="AbbVie19" w:date="2025-04-16T10:42:00Z"/>
          <w:szCs w:val="20"/>
        </w:rPr>
      </w:pPr>
    </w:p>
    <w:p w14:paraId="245E9EFD" w14:textId="77777777" w:rsidR="00BC0E7E" w:rsidRPr="00BC0E7E" w:rsidRDefault="00944B8F" w:rsidP="00762FA7">
      <w:pPr>
        <w:rPr>
          <w:del w:id="7445" w:author="AbbVie19" w:date="2025-04-16T10:42:00Z"/>
          <w:szCs w:val="20"/>
        </w:rPr>
      </w:pPr>
      <w:del w:id="7446" w:author="AbbVie19" w:date="2025-04-16T10:42:00Z">
        <w:r w:rsidRPr="00BC0E7E">
          <w:rPr>
            <w:szCs w:val="20"/>
          </w:rPr>
          <w:delText>In Study UV I statistically significant differences in favour of adalimumab versus placebo were observed for each component of treatment failure.  In Study UV II, statistically significant differences were observed for visual acuity only, but the other components were numerically in favour of adalimumab.</w:delText>
        </w:r>
      </w:del>
    </w:p>
    <w:p w14:paraId="5D0624E1" w14:textId="77777777" w:rsidR="0053724F" w:rsidRDefault="0053724F" w:rsidP="00762FA7">
      <w:pPr>
        <w:pStyle w:val="EMEANormal"/>
        <w:rPr>
          <w:del w:id="7447" w:author="AbbVie19" w:date="2025-04-16T10:42:00Z"/>
        </w:rPr>
      </w:pPr>
    </w:p>
    <w:p w14:paraId="4FC1A4D4" w14:textId="77777777" w:rsidR="0053724F" w:rsidRDefault="00944B8F" w:rsidP="00762FA7">
      <w:pPr>
        <w:pStyle w:val="EMEANormal"/>
        <w:rPr>
          <w:del w:id="7448" w:author="AbbVie19" w:date="2025-04-16T10:42:00Z"/>
        </w:rPr>
      </w:pPr>
      <w:del w:id="7449" w:author="AbbVie19" w:date="2025-04-16T10:42:00Z">
        <w:r w:rsidRPr="00FC76E7">
          <w:delText xml:space="preserve">Of the </w:delText>
        </w:r>
        <w:r w:rsidR="00433FAD">
          <w:delText>424</w:delText>
        </w:r>
        <w:r w:rsidRPr="00FC76E7">
          <w:delText xml:space="preserve"> subjects included</w:delText>
        </w:r>
        <w:r>
          <w:delText xml:space="preserve"> in</w:delText>
        </w:r>
        <w:r w:rsidRPr="00FC76E7">
          <w:delText xml:space="preserve"> the uncontrolled long-term extension of Studies UV I and UV II, </w:delText>
        </w:r>
        <w:r w:rsidR="00433FAD">
          <w:delText>60</w:delText>
        </w:r>
        <w:r w:rsidRPr="00FC76E7">
          <w:delText xml:space="preserve"> subjects were regarded ineligible (e.g. </w:delText>
        </w:r>
        <w:r w:rsidR="00433FAD">
          <w:delText xml:space="preserve">due to deviations or due to </w:delText>
        </w:r>
        <w:r w:rsidRPr="00FC76E7">
          <w:delText>complications secondary to diabetic retinopathy, due to cataract surgery or vitrectomy) and were excluded from the primary analys</w:delText>
        </w:r>
        <w:r>
          <w:delText>is</w:delText>
        </w:r>
        <w:r w:rsidRPr="00FC76E7">
          <w:delText xml:space="preserve"> of efficacy. Of the </w:delText>
        </w:r>
        <w:r w:rsidR="00433FAD">
          <w:delText>364</w:delText>
        </w:r>
        <w:r w:rsidRPr="00FC76E7">
          <w:delText xml:space="preserve"> remaining patients, </w:delText>
        </w:r>
        <w:r w:rsidR="00433FAD">
          <w:delText>269</w:delText>
        </w:r>
        <w:r>
          <w:delText xml:space="preserve"> evaluable patients</w:delText>
        </w:r>
        <w:r w:rsidR="00433FAD">
          <w:delText xml:space="preserve"> (74%)</w:delText>
        </w:r>
        <w:r w:rsidRPr="00FC76E7">
          <w:delText xml:space="preserve"> reached 78 weeks of open-label adalimumab treatment. Based on the observed data approach, </w:delText>
        </w:r>
        <w:r w:rsidR="00433FAD">
          <w:delText>216</w:delText>
        </w:r>
        <w:r w:rsidRPr="00FC76E7">
          <w:delText xml:space="preserve"> (</w:delText>
        </w:r>
        <w:r w:rsidR="00433FAD">
          <w:delText>80.3%</w:delText>
        </w:r>
        <w:r w:rsidRPr="00FC76E7">
          <w:delText>) were in quiescence (no active infla</w:delText>
        </w:r>
        <w:r w:rsidR="00842398">
          <w:delText xml:space="preserve">mmatory lesions, AC cell grade </w:delText>
        </w:r>
        <w:r w:rsidRPr="00FC76E7">
          <w:delText xml:space="preserve">≤ 0.5+, VH grade ≤ 0.5+) with a concomitant steroid dose ≤ 7.5 mg per day, and </w:delText>
        </w:r>
        <w:r w:rsidR="00433FAD">
          <w:delText>178</w:delText>
        </w:r>
        <w:r w:rsidRPr="00FC76E7">
          <w:delText xml:space="preserve"> (</w:delText>
        </w:r>
        <w:r w:rsidR="00433FAD">
          <w:delText>66.2%</w:delText>
        </w:r>
        <w:r w:rsidRPr="00FC76E7">
          <w:delText>) were in steroid-free quiescence. BCVA was either improved or maintained (&lt; 5 letters deterioration) in 88.</w:delText>
        </w:r>
        <w:r w:rsidR="00433FAD">
          <w:delText>6</w:delText>
        </w:r>
        <w:r w:rsidRPr="00FC76E7">
          <w:delText xml:space="preserve">% of the eyes at week 78. </w:delText>
        </w:r>
        <w:r w:rsidR="00433FAD">
          <w:delText xml:space="preserve">Data beyond Week 78 were generally consistent </w:delText>
        </w:r>
        <w:r w:rsidR="00433FAD">
          <w:lastRenderedPageBreak/>
          <w:delText>with these results but the number of enrolled subjects declined after this time. Overall, a</w:delText>
        </w:r>
        <w:r w:rsidRPr="00FC76E7">
          <w:delText xml:space="preserve">mong the patients who discontinued the study, </w:delText>
        </w:r>
        <w:r w:rsidR="00433FAD">
          <w:delText>18</w:delText>
        </w:r>
        <w:r w:rsidRPr="00FC76E7">
          <w:delText xml:space="preserve">% discontinued due to adverse events, and </w:delText>
        </w:r>
        <w:r w:rsidR="00433FAD">
          <w:delText>8</w:delText>
        </w:r>
        <w:r w:rsidRPr="00FC76E7">
          <w:delText>% due to insufficient re</w:delText>
        </w:r>
        <w:r>
          <w:delText>sponse to adalimumab treatment.</w:delText>
        </w:r>
      </w:del>
    </w:p>
    <w:p w14:paraId="52DD31BB" w14:textId="77777777" w:rsidR="00BC0E7E" w:rsidRPr="00BC0E7E" w:rsidRDefault="00BC0E7E" w:rsidP="00762FA7">
      <w:pPr>
        <w:rPr>
          <w:del w:id="7450" w:author="AbbVie19" w:date="2025-04-16T10:42:00Z"/>
          <w:szCs w:val="20"/>
        </w:rPr>
      </w:pPr>
    </w:p>
    <w:p w14:paraId="0AC9AF2D" w14:textId="77777777" w:rsidR="00BC0E7E" w:rsidRPr="00BC0E7E" w:rsidRDefault="00944B8F" w:rsidP="00762FA7">
      <w:pPr>
        <w:keepNext/>
        <w:rPr>
          <w:del w:id="7451" w:author="AbbVie19" w:date="2025-04-16T10:42:00Z"/>
          <w:i/>
          <w:szCs w:val="22"/>
          <w:u w:val="single"/>
        </w:rPr>
      </w:pPr>
      <w:del w:id="7452" w:author="AbbVie19" w:date="2025-04-16T10:42:00Z">
        <w:r w:rsidRPr="00BC0E7E">
          <w:rPr>
            <w:i/>
            <w:szCs w:val="22"/>
            <w:u w:val="single"/>
          </w:rPr>
          <w:delText>Quality of Life</w:delText>
        </w:r>
      </w:del>
    </w:p>
    <w:p w14:paraId="7651F576" w14:textId="77777777" w:rsidR="00BC0E7E" w:rsidRPr="00F619C1" w:rsidRDefault="00BC0E7E" w:rsidP="00762FA7">
      <w:pPr>
        <w:keepNext/>
        <w:rPr>
          <w:del w:id="7453" w:author="AbbVie19" w:date="2025-04-16T10:42:00Z"/>
          <w:szCs w:val="22"/>
          <w:u w:val="single"/>
        </w:rPr>
      </w:pPr>
    </w:p>
    <w:p w14:paraId="41429ED6" w14:textId="77777777" w:rsidR="00BC0E7E" w:rsidRPr="00BC0E7E" w:rsidRDefault="00944B8F" w:rsidP="00762FA7">
      <w:pPr>
        <w:keepNext/>
        <w:rPr>
          <w:del w:id="7454" w:author="AbbVie19" w:date="2025-04-16T10:42:00Z"/>
          <w:szCs w:val="20"/>
        </w:rPr>
      </w:pPr>
      <w:del w:id="7455" w:author="AbbVie19" w:date="2025-04-16T10:42:00Z">
        <w:r w:rsidRPr="00BC0E7E">
          <w:rPr>
            <w:szCs w:val="20"/>
          </w:rPr>
          <w:delText>Patient reported outcomes regarding vision-related functioning were measured in both clinical studies, using the NEI VFQ-25. Humira was numerically favoured for the majority of subscores with statistically significant mean differences for general vision, ocular pain, near vision, mental health, and total score in Study UV I, and for general vision and mental health in Study UV II. Vision related effects were not numerically in favour of Humira for colour vision in Study UVI and for colour vision, peripheral vision and near vision in Study UV II.</w:delText>
        </w:r>
      </w:del>
    </w:p>
    <w:p w14:paraId="33D45208" w14:textId="77777777" w:rsidR="00BC0E7E" w:rsidRPr="00BC0E7E" w:rsidRDefault="00BC0E7E" w:rsidP="00762FA7">
      <w:pPr>
        <w:rPr>
          <w:del w:id="7456" w:author="AbbVie19" w:date="2025-04-16T10:42:00Z"/>
          <w:szCs w:val="20"/>
        </w:rPr>
      </w:pPr>
    </w:p>
    <w:p w14:paraId="735BD206" w14:textId="77777777" w:rsidR="00BC0E7E" w:rsidRPr="00BC0E7E" w:rsidRDefault="00944B8F" w:rsidP="00762FA7">
      <w:pPr>
        <w:keepNext/>
        <w:rPr>
          <w:del w:id="7457" w:author="AbbVie19" w:date="2025-04-16T10:42:00Z"/>
          <w:szCs w:val="20"/>
          <w:u w:val="single"/>
        </w:rPr>
      </w:pPr>
      <w:del w:id="7458" w:author="AbbVie19" w:date="2025-04-16T10:42:00Z">
        <w:r w:rsidRPr="00BC0E7E">
          <w:rPr>
            <w:szCs w:val="20"/>
            <w:u w:val="single"/>
          </w:rPr>
          <w:delText xml:space="preserve">Immunogenicity  </w:delText>
        </w:r>
      </w:del>
    </w:p>
    <w:p w14:paraId="24951735" w14:textId="77777777" w:rsidR="00BC0E7E" w:rsidRPr="00BC0E7E" w:rsidRDefault="00BC0E7E" w:rsidP="00762FA7">
      <w:pPr>
        <w:keepNext/>
        <w:rPr>
          <w:del w:id="7459" w:author="AbbVie19" w:date="2025-04-16T10:42:00Z"/>
          <w:szCs w:val="20"/>
        </w:rPr>
      </w:pPr>
    </w:p>
    <w:p w14:paraId="06A81CCE" w14:textId="77777777" w:rsidR="00BC0E7E" w:rsidRPr="00BC0E7E" w:rsidRDefault="00944B8F" w:rsidP="00762FA7">
      <w:pPr>
        <w:keepNext/>
        <w:tabs>
          <w:tab w:val="left" w:pos="1294"/>
        </w:tabs>
        <w:autoSpaceDE w:val="0"/>
        <w:autoSpaceDN w:val="0"/>
        <w:adjustRightInd w:val="0"/>
        <w:rPr>
          <w:del w:id="7460" w:author="AbbVie19" w:date="2025-04-16T10:42:00Z"/>
        </w:rPr>
      </w:pPr>
      <w:del w:id="7461" w:author="AbbVie19" w:date="2025-04-16T10:42:00Z">
        <w:r w:rsidRPr="00BC0E7E">
          <w:delText>Formation of anti-adalimumab antibodies is associated with increased clearance and reduced efficacy of adalimumab. There is no apparent correlation between the presence of anti-adalimumab antibodies and the occurrence of adverse events.</w:delText>
        </w:r>
      </w:del>
    </w:p>
    <w:p w14:paraId="7A65C86C" w14:textId="77777777" w:rsidR="00BC0E7E" w:rsidRPr="00BC0E7E" w:rsidRDefault="00BC0E7E" w:rsidP="00762FA7">
      <w:pPr>
        <w:tabs>
          <w:tab w:val="left" w:pos="1294"/>
        </w:tabs>
        <w:autoSpaceDE w:val="0"/>
        <w:autoSpaceDN w:val="0"/>
        <w:adjustRightInd w:val="0"/>
        <w:rPr>
          <w:del w:id="7462" w:author="AbbVie19" w:date="2025-04-16T10:42:00Z"/>
        </w:rPr>
      </w:pPr>
    </w:p>
    <w:p w14:paraId="2DC6E347" w14:textId="77777777" w:rsidR="00BC0E7E" w:rsidRPr="00BC0E7E" w:rsidRDefault="00944B8F" w:rsidP="00762FA7">
      <w:pPr>
        <w:tabs>
          <w:tab w:val="left" w:pos="1294"/>
        </w:tabs>
        <w:autoSpaceDE w:val="0"/>
        <w:autoSpaceDN w:val="0"/>
        <w:adjustRightInd w:val="0"/>
        <w:rPr>
          <w:del w:id="7463" w:author="AbbVie19" w:date="2025-04-16T10:42:00Z"/>
        </w:rPr>
      </w:pPr>
      <w:del w:id="7464" w:author="AbbVie19" w:date="2025-04-16T10:42:00Z">
        <w:r w:rsidRPr="00BC0E7E">
          <w:delText xml:space="preserve">Patients in rheumatoid arthritis studies I, II and III were tested at multiple time points for anti-adalimumab antibodies during the 6 to 12 month period. In the pivotal trials, anti-adalimumab antibodies were identified in 5.5% (58/1053) of patients treated with adalimumab, compared to 0.5% (2/370) on placebo.  In patients not given concomitant methotrexate, the incidence was 12.4%, compared to 0.6% when adalimumab was used as add-on to methotrexate.  </w:delText>
        </w:r>
      </w:del>
    </w:p>
    <w:p w14:paraId="4209E100" w14:textId="77777777" w:rsidR="00BC0E7E" w:rsidRPr="00BC0E7E" w:rsidRDefault="00BC0E7E" w:rsidP="00762FA7">
      <w:pPr>
        <w:tabs>
          <w:tab w:val="left" w:pos="1294"/>
        </w:tabs>
        <w:autoSpaceDE w:val="0"/>
        <w:autoSpaceDN w:val="0"/>
        <w:adjustRightInd w:val="0"/>
        <w:rPr>
          <w:del w:id="7465" w:author="AbbVie19" w:date="2025-04-16T10:42:00Z"/>
        </w:rPr>
      </w:pPr>
    </w:p>
    <w:p w14:paraId="10099E69" w14:textId="77777777" w:rsidR="00BC0E7E" w:rsidRPr="00BC0E7E" w:rsidRDefault="00944B8F" w:rsidP="00762FA7">
      <w:pPr>
        <w:tabs>
          <w:tab w:val="left" w:pos="1294"/>
        </w:tabs>
        <w:autoSpaceDE w:val="0"/>
        <w:autoSpaceDN w:val="0"/>
        <w:adjustRightInd w:val="0"/>
        <w:rPr>
          <w:del w:id="7466" w:author="AbbVie19" w:date="2025-04-16T10:42:00Z"/>
        </w:rPr>
      </w:pPr>
      <w:del w:id="7467" w:author="AbbVie19" w:date="2025-04-16T10:42:00Z">
        <w:r w:rsidRPr="00BC0E7E">
          <w:delText>In patients with polyarticular juvenile idiopathic arthritis who were 4 to 17 years, anti-adalimumab antibodies were identified in 15.8% (27/171) of patients treated with adalimumab. In patients not given concomitant methotrexate, the incidence was 25.6% (22/86) compared to 5.9% (5/85) when adalimumab was used as add-on to methotrexate.</w:delText>
        </w:r>
        <w:r w:rsidR="004F68D4">
          <w:delText xml:space="preserve"> </w:delText>
        </w:r>
        <w:r w:rsidR="004F68D4" w:rsidRPr="001C1643">
          <w:rPr>
            <w:szCs w:val="22"/>
          </w:rPr>
          <w:delText>In patients with polyarticular juvenile idiopathic arthritis who were 2</w:delText>
        </w:r>
        <w:r w:rsidR="004F68D4">
          <w:rPr>
            <w:szCs w:val="22"/>
          </w:rPr>
          <w:delText> </w:delText>
        </w:r>
        <w:r w:rsidR="004F68D4" w:rsidRPr="001C1643">
          <w:rPr>
            <w:szCs w:val="22"/>
          </w:rPr>
          <w:delText>to</w:delText>
        </w:r>
        <w:r w:rsidR="004F68D4">
          <w:rPr>
            <w:szCs w:val="22"/>
          </w:rPr>
          <w:delText> </w:delText>
        </w:r>
        <w:r w:rsidR="004F68D4" w:rsidRPr="001C1643">
          <w:rPr>
            <w:szCs w:val="22"/>
          </w:rPr>
          <w:delText>&lt;4</w:delText>
        </w:r>
        <w:r w:rsidR="004F68D4">
          <w:rPr>
            <w:szCs w:val="22"/>
          </w:rPr>
          <w:delText> </w:delText>
        </w:r>
        <w:r w:rsidR="004F68D4" w:rsidRPr="001C1643">
          <w:rPr>
            <w:szCs w:val="22"/>
          </w:rPr>
          <w:delText>years old or aged 4 and above weighing &lt;15</w:delText>
        </w:r>
        <w:r w:rsidR="004F68D4">
          <w:rPr>
            <w:szCs w:val="22"/>
          </w:rPr>
          <w:delText> </w:delText>
        </w:r>
        <w:r w:rsidR="004F68D4" w:rsidRPr="001C1643">
          <w:rPr>
            <w:szCs w:val="22"/>
          </w:rPr>
          <w:delText>kg, anti-adalimumab antibodies were identified in 7% (1/15) of patients, and the one patient was receiving concomitant methotrexate.</w:delText>
        </w:r>
      </w:del>
    </w:p>
    <w:p w14:paraId="5C0EDAB7" w14:textId="77777777" w:rsidR="00BC0E7E" w:rsidRPr="00BC0E7E" w:rsidRDefault="00BC0E7E" w:rsidP="00762FA7">
      <w:pPr>
        <w:tabs>
          <w:tab w:val="left" w:pos="1294"/>
        </w:tabs>
        <w:autoSpaceDE w:val="0"/>
        <w:autoSpaceDN w:val="0"/>
        <w:adjustRightInd w:val="0"/>
        <w:rPr>
          <w:del w:id="7468" w:author="AbbVie19" w:date="2025-04-16T10:42:00Z"/>
        </w:rPr>
      </w:pPr>
    </w:p>
    <w:p w14:paraId="40E97DA4" w14:textId="77777777" w:rsidR="00BC0E7E" w:rsidRPr="00BC0E7E" w:rsidRDefault="00944B8F" w:rsidP="00762FA7">
      <w:pPr>
        <w:tabs>
          <w:tab w:val="clear" w:pos="562"/>
        </w:tabs>
        <w:suppressAutoHyphens w:val="0"/>
        <w:rPr>
          <w:del w:id="7469" w:author="AbbVie19" w:date="2025-04-16T10:42:00Z"/>
          <w:szCs w:val="22"/>
        </w:rPr>
      </w:pPr>
      <w:del w:id="7470" w:author="AbbVie19" w:date="2025-04-16T10:42:00Z">
        <w:r w:rsidRPr="00BC0E7E">
          <w:rPr>
            <w:szCs w:val="22"/>
          </w:rPr>
          <w:delText>In patients with enthesitis-related arthritis, anti-adalimumab antibodies were identified in 10.9% (5/46) of patients treated with adalimumab. In patients not given concomitant methotrexate, the incidence was 13.6% (3/22), compared to 8.3% (2/24) when adalimumab was used as add-on to methotrexate.</w:delText>
        </w:r>
      </w:del>
    </w:p>
    <w:p w14:paraId="5885CA47" w14:textId="77777777" w:rsidR="00BC0E7E" w:rsidRPr="00BC0E7E" w:rsidRDefault="00BC0E7E" w:rsidP="00762FA7">
      <w:pPr>
        <w:tabs>
          <w:tab w:val="left" w:pos="1294"/>
        </w:tabs>
        <w:autoSpaceDE w:val="0"/>
        <w:autoSpaceDN w:val="0"/>
        <w:adjustRightInd w:val="0"/>
        <w:rPr>
          <w:del w:id="7471" w:author="AbbVie19" w:date="2025-04-16T10:42:00Z"/>
        </w:rPr>
      </w:pPr>
    </w:p>
    <w:p w14:paraId="1FADED7F" w14:textId="77777777" w:rsidR="00BC0E7E" w:rsidRPr="00BC0E7E" w:rsidRDefault="00944B8F" w:rsidP="00762FA7">
      <w:pPr>
        <w:tabs>
          <w:tab w:val="left" w:pos="1294"/>
        </w:tabs>
        <w:autoSpaceDE w:val="0"/>
        <w:autoSpaceDN w:val="0"/>
        <w:adjustRightInd w:val="0"/>
        <w:rPr>
          <w:del w:id="7472" w:author="AbbVie19" w:date="2025-04-16T10:42:00Z"/>
        </w:rPr>
      </w:pPr>
      <w:del w:id="7473" w:author="AbbVie19" w:date="2025-04-16T10:42:00Z">
        <w:r w:rsidRPr="00BC0E7E">
          <w:delText>In patients with psoriatic arthritis, anti-adalimumab antibodies were identified in 38/376 subjects (10%) treated with adalimumab. In patients not given concomitant methotrexate, the incidence was 13.5% (24/178 subjects), compared to 7% (14 of 198 subjects) when adalimumab was used as add-on to methotrexate.</w:delText>
        </w:r>
      </w:del>
    </w:p>
    <w:p w14:paraId="6E7CE398" w14:textId="77777777" w:rsidR="00BC0E7E" w:rsidRPr="00BC0E7E" w:rsidRDefault="00BC0E7E" w:rsidP="00762FA7">
      <w:pPr>
        <w:tabs>
          <w:tab w:val="left" w:pos="1294"/>
        </w:tabs>
        <w:autoSpaceDE w:val="0"/>
        <w:autoSpaceDN w:val="0"/>
        <w:adjustRightInd w:val="0"/>
        <w:rPr>
          <w:del w:id="7474" w:author="AbbVie19" w:date="2025-04-16T10:42:00Z"/>
        </w:rPr>
      </w:pPr>
    </w:p>
    <w:p w14:paraId="483442D7" w14:textId="77777777" w:rsidR="00BC0E7E" w:rsidRPr="00BC0E7E" w:rsidRDefault="00944B8F" w:rsidP="00762FA7">
      <w:pPr>
        <w:tabs>
          <w:tab w:val="left" w:pos="1294"/>
        </w:tabs>
        <w:autoSpaceDE w:val="0"/>
        <w:autoSpaceDN w:val="0"/>
        <w:adjustRightInd w:val="0"/>
        <w:rPr>
          <w:del w:id="7475" w:author="AbbVie19" w:date="2025-04-16T10:42:00Z"/>
        </w:rPr>
      </w:pPr>
      <w:del w:id="7476" w:author="AbbVie19" w:date="2025-04-16T10:42:00Z">
        <w:r w:rsidRPr="00BC0E7E">
          <w:delText>In patients with ankylosing spondylitis anti-adalimumab antibodies were identified in 17/204 subjects (8.3%) treated with adalimumab. In patients not given concomitant methotrexate, the incidence was 16/185 (8.6%), compared to 1/19 (5.3%) when adalimumab was used as add-on to methotrexate.</w:delText>
        </w:r>
      </w:del>
    </w:p>
    <w:p w14:paraId="17F51F6E" w14:textId="77777777" w:rsidR="00CB7ABA" w:rsidRDefault="00CB7ABA" w:rsidP="00762FA7">
      <w:pPr>
        <w:tabs>
          <w:tab w:val="left" w:pos="1294"/>
        </w:tabs>
        <w:autoSpaceDE w:val="0"/>
        <w:autoSpaceDN w:val="0"/>
        <w:adjustRightInd w:val="0"/>
        <w:rPr>
          <w:del w:id="7477" w:author="AbbVie19" w:date="2025-04-16T10:42:00Z"/>
        </w:rPr>
      </w:pPr>
    </w:p>
    <w:p w14:paraId="31C372F6" w14:textId="77777777" w:rsidR="00CB7ABA" w:rsidRDefault="00944B8F" w:rsidP="00762FA7">
      <w:pPr>
        <w:tabs>
          <w:tab w:val="left" w:pos="1294"/>
        </w:tabs>
        <w:autoSpaceDE w:val="0"/>
        <w:autoSpaceDN w:val="0"/>
        <w:adjustRightInd w:val="0"/>
        <w:rPr>
          <w:del w:id="7478" w:author="AbbVie19" w:date="2025-04-16T10:42:00Z"/>
        </w:rPr>
      </w:pPr>
      <w:del w:id="7479" w:author="AbbVie19" w:date="2025-04-16T10:42:00Z">
        <w:r>
          <w:delText>In patients with non-radiographic axial spondyloarthritis, anti-adalimumab antibodies were identified in 8/152 subjects (5.3%) who were treated continuously with adalimumab.</w:delText>
        </w:r>
      </w:del>
    </w:p>
    <w:p w14:paraId="321E2375" w14:textId="77777777" w:rsidR="00CB7ABA" w:rsidRPr="00BC0E7E" w:rsidRDefault="00CB7ABA" w:rsidP="00762FA7">
      <w:pPr>
        <w:tabs>
          <w:tab w:val="left" w:pos="1294"/>
        </w:tabs>
        <w:autoSpaceDE w:val="0"/>
        <w:autoSpaceDN w:val="0"/>
        <w:adjustRightInd w:val="0"/>
        <w:rPr>
          <w:del w:id="7480" w:author="AbbVie19" w:date="2025-04-16T10:42:00Z"/>
        </w:rPr>
      </w:pPr>
    </w:p>
    <w:p w14:paraId="4942FC0C" w14:textId="77777777" w:rsidR="00BC0E7E" w:rsidRPr="00BC0E7E" w:rsidRDefault="00944B8F" w:rsidP="00762FA7">
      <w:pPr>
        <w:tabs>
          <w:tab w:val="left" w:pos="1294"/>
        </w:tabs>
        <w:autoSpaceDE w:val="0"/>
        <w:autoSpaceDN w:val="0"/>
        <w:adjustRightInd w:val="0"/>
        <w:rPr>
          <w:del w:id="7481" w:author="AbbVie19" w:date="2025-04-16T10:42:00Z"/>
        </w:rPr>
      </w:pPr>
      <w:del w:id="7482" w:author="AbbVie19" w:date="2025-04-16T10:42:00Z">
        <w:r w:rsidRPr="00BC0E7E">
          <w:delText>In patients with Crohn’s disease, anti-adalimumab antibodies were identified in 7/269 subjects (2.6%) and in 19/487 subjects (3.9%) with ulcerative colitis.</w:delText>
        </w:r>
      </w:del>
    </w:p>
    <w:p w14:paraId="29CC2935" w14:textId="77777777" w:rsidR="00BC0E7E" w:rsidRPr="00BC0E7E" w:rsidRDefault="00BC0E7E" w:rsidP="00762FA7">
      <w:pPr>
        <w:tabs>
          <w:tab w:val="left" w:pos="1294"/>
        </w:tabs>
        <w:autoSpaceDE w:val="0"/>
        <w:autoSpaceDN w:val="0"/>
        <w:adjustRightInd w:val="0"/>
        <w:rPr>
          <w:del w:id="7483" w:author="AbbVie19" w:date="2025-04-16T10:42:00Z"/>
        </w:rPr>
      </w:pPr>
    </w:p>
    <w:p w14:paraId="1855AFB9" w14:textId="77777777" w:rsidR="00BC0E7E" w:rsidRPr="00BC0E7E" w:rsidRDefault="00944B8F" w:rsidP="00762FA7">
      <w:pPr>
        <w:tabs>
          <w:tab w:val="left" w:pos="1294"/>
        </w:tabs>
        <w:autoSpaceDE w:val="0"/>
        <w:autoSpaceDN w:val="0"/>
        <w:adjustRightInd w:val="0"/>
        <w:rPr>
          <w:del w:id="7484" w:author="AbbVie19" w:date="2025-04-16T10:42:00Z"/>
          <w:bCs/>
          <w:iCs/>
          <w:szCs w:val="20"/>
        </w:rPr>
      </w:pPr>
      <w:del w:id="7485" w:author="AbbVie19" w:date="2025-04-16T10:42:00Z">
        <w:r w:rsidRPr="00BC0E7E">
          <w:rPr>
            <w:bCs/>
            <w:iCs/>
            <w:szCs w:val="20"/>
          </w:rPr>
          <w:delText>In adult patients with psoriasis, anti-adalimumab antibodies were identified in 77/920 subjects (8.4%) treated with adalimumab monotherapy.</w:delText>
        </w:r>
      </w:del>
    </w:p>
    <w:p w14:paraId="2A42FB0A" w14:textId="77777777" w:rsidR="00BC0E7E" w:rsidRPr="00BC0E7E" w:rsidRDefault="00BC0E7E" w:rsidP="00762FA7">
      <w:pPr>
        <w:tabs>
          <w:tab w:val="left" w:pos="1294"/>
        </w:tabs>
        <w:autoSpaceDE w:val="0"/>
        <w:autoSpaceDN w:val="0"/>
        <w:adjustRightInd w:val="0"/>
        <w:rPr>
          <w:del w:id="7486" w:author="AbbVie19" w:date="2025-04-16T10:42:00Z"/>
          <w:bCs/>
          <w:iCs/>
          <w:szCs w:val="20"/>
        </w:rPr>
      </w:pPr>
    </w:p>
    <w:p w14:paraId="66A57643" w14:textId="77777777" w:rsidR="00BC0E7E" w:rsidRPr="00BC0E7E" w:rsidRDefault="00944B8F" w:rsidP="00762FA7">
      <w:pPr>
        <w:tabs>
          <w:tab w:val="left" w:pos="1294"/>
        </w:tabs>
        <w:autoSpaceDE w:val="0"/>
        <w:autoSpaceDN w:val="0"/>
        <w:adjustRightInd w:val="0"/>
        <w:rPr>
          <w:del w:id="7487" w:author="AbbVie19" w:date="2025-04-16T10:42:00Z"/>
        </w:rPr>
      </w:pPr>
      <w:del w:id="7488" w:author="AbbVie19" w:date="2025-04-16T10:42:00Z">
        <w:r w:rsidRPr="00BC0E7E">
          <w:delText>In adult plaque psoriasis patients on long term adalimumab monotherapy who participated in a withdrawal and retreatment study, the rate of antibodies to adalimumab after retreatment (11 of 482 subjects, 2.3%) was similar to the rate observed prior to withdrawal (11 of 590 subjects, 1.9%).</w:delText>
        </w:r>
      </w:del>
    </w:p>
    <w:p w14:paraId="74B6DB0D" w14:textId="77777777" w:rsidR="00BC0E7E" w:rsidRPr="00BC0E7E" w:rsidRDefault="00BC0E7E" w:rsidP="00762FA7">
      <w:pPr>
        <w:tabs>
          <w:tab w:val="left" w:pos="1294"/>
        </w:tabs>
        <w:autoSpaceDE w:val="0"/>
        <w:autoSpaceDN w:val="0"/>
        <w:adjustRightInd w:val="0"/>
        <w:rPr>
          <w:del w:id="7489" w:author="AbbVie19" w:date="2025-04-16T10:42:00Z"/>
        </w:rPr>
      </w:pPr>
    </w:p>
    <w:p w14:paraId="25FE8573" w14:textId="77777777" w:rsidR="00BC0E7E" w:rsidRPr="00BC0E7E" w:rsidRDefault="00944B8F" w:rsidP="00762FA7">
      <w:pPr>
        <w:tabs>
          <w:tab w:val="left" w:pos="1294"/>
        </w:tabs>
        <w:autoSpaceDE w:val="0"/>
        <w:autoSpaceDN w:val="0"/>
        <w:adjustRightInd w:val="0"/>
        <w:rPr>
          <w:del w:id="7490" w:author="AbbVie19" w:date="2025-04-16T10:42:00Z"/>
          <w:bCs/>
          <w:iCs/>
          <w:szCs w:val="20"/>
        </w:rPr>
      </w:pPr>
      <w:del w:id="7491" w:author="AbbVie19" w:date="2025-04-16T10:42:00Z">
        <w:r w:rsidRPr="00BC0E7E">
          <w:rPr>
            <w:bCs/>
            <w:iCs/>
            <w:szCs w:val="20"/>
          </w:rPr>
          <w:delText>In patients with paediatric psoriasis, anti-adalimumab antibodies were identified in 5/38 subjects (13%) treated with 0.8 mg/kg adalimumab monotherapy.</w:delText>
        </w:r>
      </w:del>
    </w:p>
    <w:p w14:paraId="30524CD8" w14:textId="77777777" w:rsidR="00BC0E7E" w:rsidRPr="00BC0E7E" w:rsidRDefault="00BC0E7E" w:rsidP="00762FA7">
      <w:pPr>
        <w:tabs>
          <w:tab w:val="left" w:pos="1294"/>
        </w:tabs>
        <w:autoSpaceDE w:val="0"/>
        <w:autoSpaceDN w:val="0"/>
        <w:adjustRightInd w:val="0"/>
        <w:rPr>
          <w:del w:id="7492" w:author="AbbVie19" w:date="2025-04-16T10:42:00Z"/>
          <w:bCs/>
          <w:iCs/>
          <w:szCs w:val="20"/>
        </w:rPr>
      </w:pPr>
    </w:p>
    <w:p w14:paraId="605AB98F" w14:textId="77777777" w:rsidR="00BC0E7E" w:rsidRPr="00BC0E7E" w:rsidRDefault="00944B8F" w:rsidP="00762FA7">
      <w:pPr>
        <w:tabs>
          <w:tab w:val="left" w:pos="1294"/>
        </w:tabs>
        <w:autoSpaceDE w:val="0"/>
        <w:autoSpaceDN w:val="0"/>
        <w:adjustRightInd w:val="0"/>
        <w:rPr>
          <w:del w:id="7493" w:author="AbbVie19" w:date="2025-04-16T10:42:00Z"/>
        </w:rPr>
      </w:pPr>
      <w:del w:id="7494" w:author="AbbVie19" w:date="2025-04-16T10:42:00Z">
        <w:r w:rsidRPr="00BC0E7E">
          <w:delText>In patients with moderate to severe hidradenitis suppurativa, anti-adalimumab antibodies were identified in 10/99 subjects (10.1%) treated with adalimumab.</w:delText>
        </w:r>
      </w:del>
    </w:p>
    <w:p w14:paraId="138D7A8B" w14:textId="77777777" w:rsidR="00BC0E7E" w:rsidRPr="00BC0E7E" w:rsidRDefault="00BC0E7E" w:rsidP="00762FA7">
      <w:pPr>
        <w:tabs>
          <w:tab w:val="left" w:pos="1294"/>
        </w:tabs>
        <w:autoSpaceDE w:val="0"/>
        <w:autoSpaceDN w:val="0"/>
        <w:adjustRightInd w:val="0"/>
        <w:rPr>
          <w:del w:id="7495" w:author="AbbVie19" w:date="2025-04-16T10:42:00Z"/>
        </w:rPr>
      </w:pPr>
    </w:p>
    <w:p w14:paraId="35A2E6EF" w14:textId="77777777" w:rsidR="00BC0E7E" w:rsidRPr="00BC0E7E" w:rsidRDefault="00944B8F" w:rsidP="00762FA7">
      <w:pPr>
        <w:tabs>
          <w:tab w:val="left" w:pos="1294"/>
        </w:tabs>
        <w:autoSpaceDE w:val="0"/>
        <w:autoSpaceDN w:val="0"/>
        <w:adjustRightInd w:val="0"/>
        <w:rPr>
          <w:del w:id="7496" w:author="AbbVie19" w:date="2025-04-16T10:42:00Z"/>
          <w:bCs/>
          <w:iCs/>
          <w:szCs w:val="20"/>
        </w:rPr>
      </w:pPr>
      <w:del w:id="7497" w:author="AbbVie19" w:date="2025-04-16T10:42:00Z">
        <w:r w:rsidRPr="00BC0E7E">
          <w:rPr>
            <w:bCs/>
            <w:iCs/>
            <w:szCs w:val="20"/>
          </w:rPr>
          <w:delText xml:space="preserve">In patients with moderately to severely active paediatric Crohn’s disease, the rate of anti-adalimumab antibody development in patients receiving adalimumab was 3.3%. </w:delText>
        </w:r>
      </w:del>
    </w:p>
    <w:p w14:paraId="458240C1" w14:textId="77777777" w:rsidR="00BC0E7E" w:rsidRPr="00BC0E7E" w:rsidRDefault="00BC0E7E" w:rsidP="00762FA7">
      <w:pPr>
        <w:tabs>
          <w:tab w:val="left" w:pos="1294"/>
        </w:tabs>
        <w:autoSpaceDE w:val="0"/>
        <w:autoSpaceDN w:val="0"/>
        <w:adjustRightInd w:val="0"/>
        <w:rPr>
          <w:del w:id="7498" w:author="AbbVie19" w:date="2025-04-16T10:42:00Z"/>
        </w:rPr>
      </w:pPr>
    </w:p>
    <w:p w14:paraId="30FB1577" w14:textId="77777777" w:rsidR="00BC0E7E" w:rsidRPr="00BC0E7E" w:rsidRDefault="00944B8F" w:rsidP="00762FA7">
      <w:pPr>
        <w:tabs>
          <w:tab w:val="left" w:pos="1294"/>
        </w:tabs>
        <w:autoSpaceDE w:val="0"/>
        <w:autoSpaceDN w:val="0"/>
        <w:adjustRightInd w:val="0"/>
        <w:rPr>
          <w:del w:id="7499" w:author="AbbVie19" w:date="2025-04-16T10:42:00Z"/>
          <w:bCs/>
          <w:iCs/>
          <w:szCs w:val="20"/>
        </w:rPr>
      </w:pPr>
      <w:del w:id="7500" w:author="AbbVie19" w:date="2025-04-16T10:42:00Z">
        <w:r w:rsidRPr="00BC0E7E">
          <w:rPr>
            <w:bCs/>
            <w:iCs/>
            <w:szCs w:val="20"/>
          </w:rPr>
          <w:delText xml:space="preserve">In </w:delText>
        </w:r>
        <w:r w:rsidR="004F68D4">
          <w:rPr>
            <w:bCs/>
            <w:iCs/>
            <w:szCs w:val="20"/>
          </w:rPr>
          <w:delText xml:space="preserve">adult </w:delText>
        </w:r>
        <w:r w:rsidRPr="00BC0E7E">
          <w:rPr>
            <w:bCs/>
            <w:iCs/>
            <w:szCs w:val="20"/>
          </w:rPr>
          <w:delText>patients with non-infectious uveitis, anti-adalimumab antibodies were identified in 4.8% (12/249) of patients treated with adalimumab.</w:delText>
        </w:r>
      </w:del>
    </w:p>
    <w:p w14:paraId="2B73388B" w14:textId="77777777" w:rsidR="00BC0E7E" w:rsidRPr="00BC0E7E" w:rsidRDefault="00BC0E7E" w:rsidP="00762FA7">
      <w:pPr>
        <w:rPr>
          <w:del w:id="7501" w:author="AbbVie19" w:date="2025-04-16T10:42:00Z"/>
          <w:szCs w:val="20"/>
        </w:rPr>
      </w:pPr>
    </w:p>
    <w:p w14:paraId="7E4CFCD1" w14:textId="77777777" w:rsidR="005622E9" w:rsidRDefault="00944B8F" w:rsidP="00762FA7">
      <w:pPr>
        <w:rPr>
          <w:del w:id="7502" w:author="AbbVie19" w:date="2025-04-16T10:42:00Z"/>
        </w:rPr>
      </w:pPr>
      <w:del w:id="7503" w:author="AbbVie19" w:date="2025-04-16T10:42:00Z">
        <w:r>
          <w:delText xml:space="preserve">In patients with moderately to severely active paediatric ulcerative colitis, the rate of anti-adalimumab antibody development in patients receiving adalimumab was </w:delText>
        </w:r>
        <w:r w:rsidR="002E5A81">
          <w:delText>3</w:delText>
        </w:r>
        <w:r>
          <w:delText>%.</w:delText>
        </w:r>
      </w:del>
    </w:p>
    <w:p w14:paraId="6A8BD356" w14:textId="77777777" w:rsidR="005622E9" w:rsidRDefault="005622E9" w:rsidP="00762FA7">
      <w:pPr>
        <w:rPr>
          <w:del w:id="7504" w:author="AbbVie19" w:date="2025-04-16T10:42:00Z"/>
          <w:szCs w:val="20"/>
        </w:rPr>
      </w:pPr>
    </w:p>
    <w:p w14:paraId="11377C5C" w14:textId="77777777" w:rsidR="00BC0E7E" w:rsidRPr="00BC0E7E" w:rsidRDefault="00944B8F" w:rsidP="00762FA7">
      <w:pPr>
        <w:rPr>
          <w:del w:id="7505" w:author="AbbVie19" w:date="2025-04-16T10:42:00Z"/>
          <w:szCs w:val="20"/>
        </w:rPr>
      </w:pPr>
      <w:del w:id="7506" w:author="AbbVie19" w:date="2025-04-16T10:42:00Z">
        <w:r w:rsidRPr="00BC0E7E">
          <w:rPr>
            <w:szCs w:val="20"/>
          </w:rPr>
          <w:delText>Because immunogenicity analyses are product-specific, comparison of antibody rates with those from other products is not appropriate.</w:delText>
        </w:r>
      </w:del>
    </w:p>
    <w:p w14:paraId="18AAA167" w14:textId="77777777" w:rsidR="00BC0E7E" w:rsidRPr="00BC0E7E" w:rsidRDefault="00944B8F" w:rsidP="00762FA7">
      <w:pPr>
        <w:keepNext/>
        <w:rPr>
          <w:del w:id="7507" w:author="AbbVie19" w:date="2025-04-16T10:42:00Z"/>
          <w:szCs w:val="20"/>
          <w:u w:val="single"/>
        </w:rPr>
      </w:pPr>
      <w:del w:id="7508" w:author="AbbVie19" w:date="2025-04-16T10:42:00Z">
        <w:r w:rsidRPr="00BC0E7E">
          <w:rPr>
            <w:szCs w:val="22"/>
            <w:lang w:eastAsia="en-GB"/>
          </w:rPr>
          <w:br/>
        </w:r>
        <w:r w:rsidRPr="00BC0E7E">
          <w:rPr>
            <w:szCs w:val="20"/>
            <w:u w:val="single"/>
          </w:rPr>
          <w:delText>Paediatric population</w:delText>
        </w:r>
      </w:del>
    </w:p>
    <w:p w14:paraId="64FEA6EF" w14:textId="77777777" w:rsidR="00BC0E7E" w:rsidRPr="00BC0E7E" w:rsidRDefault="00BC0E7E" w:rsidP="00762FA7">
      <w:pPr>
        <w:keepNext/>
        <w:rPr>
          <w:del w:id="7509" w:author="AbbVie19" w:date="2025-04-16T10:42:00Z"/>
          <w:szCs w:val="22"/>
          <w:lang w:eastAsia="en-GB"/>
        </w:rPr>
      </w:pPr>
    </w:p>
    <w:p w14:paraId="185719B6" w14:textId="77777777" w:rsidR="002E5A81" w:rsidRPr="00BC0E7E" w:rsidRDefault="00944B8F" w:rsidP="00762FA7">
      <w:pPr>
        <w:rPr>
          <w:del w:id="7510" w:author="AbbVie19" w:date="2025-04-16T10:42:00Z"/>
          <w:bCs/>
          <w:iCs/>
          <w:szCs w:val="22"/>
          <w:u w:val="single"/>
        </w:rPr>
      </w:pPr>
      <w:del w:id="7511" w:author="AbbVie19" w:date="2025-04-16T10:42:00Z">
        <w:r w:rsidRPr="00BC0E7E">
          <w:rPr>
            <w:bCs/>
            <w:i/>
            <w:iCs/>
            <w:szCs w:val="22"/>
          </w:rPr>
          <w:delText>Juvenile idiopathic arthritis (JIA)</w:delText>
        </w:r>
      </w:del>
    </w:p>
    <w:p w14:paraId="60820A65" w14:textId="77777777" w:rsidR="002E5A81" w:rsidRPr="00BC0E7E" w:rsidRDefault="002E5A81" w:rsidP="00762FA7">
      <w:pPr>
        <w:rPr>
          <w:del w:id="7512" w:author="AbbVie19" w:date="2025-04-16T10:42:00Z"/>
          <w:szCs w:val="22"/>
        </w:rPr>
      </w:pPr>
    </w:p>
    <w:p w14:paraId="77D5B621" w14:textId="77777777" w:rsidR="002E5A81" w:rsidRPr="00BC0E7E" w:rsidRDefault="00944B8F" w:rsidP="00762FA7">
      <w:pPr>
        <w:keepNext/>
        <w:rPr>
          <w:del w:id="7513" w:author="AbbVie19" w:date="2025-04-16T10:42:00Z"/>
          <w:bCs/>
          <w:iCs/>
          <w:szCs w:val="22"/>
          <w:u w:val="single"/>
        </w:rPr>
      </w:pPr>
      <w:del w:id="7514" w:author="AbbVie19" w:date="2025-04-16T10:42:00Z">
        <w:r w:rsidRPr="00BC0E7E">
          <w:rPr>
            <w:bCs/>
            <w:i/>
            <w:iCs/>
            <w:szCs w:val="22"/>
            <w:u w:val="single"/>
          </w:rPr>
          <w:delText>Polyarticular juvenile</w:delText>
        </w:r>
        <w:r w:rsidRPr="00BC0E7E">
          <w:rPr>
            <w:i/>
            <w:iCs/>
            <w:szCs w:val="22"/>
            <w:u w:val="single"/>
          </w:rPr>
          <w:delText xml:space="preserve"> </w:delText>
        </w:r>
        <w:r w:rsidRPr="00BC0E7E">
          <w:rPr>
            <w:bCs/>
            <w:i/>
            <w:iCs/>
            <w:szCs w:val="22"/>
            <w:u w:val="single"/>
          </w:rPr>
          <w:delText>idiopathic</w:delText>
        </w:r>
        <w:r w:rsidRPr="00BC0E7E">
          <w:rPr>
            <w:i/>
            <w:iCs/>
            <w:szCs w:val="22"/>
            <w:u w:val="single"/>
          </w:rPr>
          <w:delText xml:space="preserve"> </w:delText>
        </w:r>
        <w:r w:rsidRPr="00BC0E7E">
          <w:rPr>
            <w:bCs/>
            <w:i/>
            <w:iCs/>
            <w:szCs w:val="22"/>
            <w:u w:val="single"/>
          </w:rPr>
          <w:delText>arthritis (pJIA)</w:delText>
        </w:r>
      </w:del>
    </w:p>
    <w:p w14:paraId="5CB91057" w14:textId="77777777" w:rsidR="002E5A81" w:rsidRPr="00BC0E7E" w:rsidRDefault="002E5A81" w:rsidP="00762FA7">
      <w:pPr>
        <w:keepNext/>
        <w:tabs>
          <w:tab w:val="clear" w:pos="562"/>
          <w:tab w:val="left" w:pos="2340"/>
        </w:tabs>
        <w:rPr>
          <w:del w:id="7515" w:author="AbbVie19" w:date="2025-04-16T10:42:00Z"/>
          <w:bCs/>
          <w:iCs/>
          <w:szCs w:val="22"/>
        </w:rPr>
      </w:pPr>
    </w:p>
    <w:p w14:paraId="42B4B94A" w14:textId="77777777" w:rsidR="002E5A81" w:rsidRPr="00BC0E7E" w:rsidRDefault="00944B8F" w:rsidP="00762FA7">
      <w:pPr>
        <w:keepNext/>
        <w:rPr>
          <w:del w:id="7516" w:author="AbbVie19" w:date="2025-04-16T10:42:00Z"/>
          <w:bCs/>
          <w:iCs/>
          <w:szCs w:val="22"/>
        </w:rPr>
      </w:pPr>
      <w:del w:id="7517" w:author="AbbVie19" w:date="2025-04-16T10:42:00Z">
        <w:r w:rsidRPr="00BC0E7E">
          <w:rPr>
            <w:bCs/>
            <w:iCs/>
            <w:szCs w:val="22"/>
          </w:rPr>
          <w:delText>The safety and efficacy of Humira was assessed in two studies (pJIA I and II) in children with active polyarticular or polyarticular course juvenile idiopathic arthritis, who had a variety of JIA onset types (most frequently rheumatoid-factor negative or positive polyarthritis and extended oligoarthritis).</w:delText>
        </w:r>
      </w:del>
    </w:p>
    <w:p w14:paraId="2A352400" w14:textId="77777777" w:rsidR="002E5A81" w:rsidRPr="00BC0E7E" w:rsidRDefault="002E5A81" w:rsidP="00762FA7">
      <w:pPr>
        <w:tabs>
          <w:tab w:val="left" w:pos="6840"/>
        </w:tabs>
        <w:autoSpaceDE w:val="0"/>
        <w:autoSpaceDN w:val="0"/>
        <w:adjustRightInd w:val="0"/>
        <w:ind w:right="53"/>
        <w:rPr>
          <w:del w:id="7518" w:author="AbbVie19" w:date="2025-04-16T10:42:00Z"/>
          <w:szCs w:val="22"/>
        </w:rPr>
      </w:pPr>
    </w:p>
    <w:p w14:paraId="53B2DEDA" w14:textId="77777777" w:rsidR="002E5A81" w:rsidRPr="00BC0E7E" w:rsidRDefault="00944B8F" w:rsidP="00762FA7">
      <w:pPr>
        <w:tabs>
          <w:tab w:val="left" w:pos="6840"/>
        </w:tabs>
        <w:autoSpaceDE w:val="0"/>
        <w:autoSpaceDN w:val="0"/>
        <w:adjustRightInd w:val="0"/>
        <w:ind w:right="53"/>
        <w:rPr>
          <w:del w:id="7519" w:author="AbbVie19" w:date="2025-04-16T10:42:00Z"/>
          <w:szCs w:val="22"/>
        </w:rPr>
      </w:pPr>
      <w:del w:id="7520" w:author="AbbVie19" w:date="2025-04-16T10:42:00Z">
        <w:r w:rsidRPr="00BC0E7E">
          <w:rPr>
            <w:szCs w:val="22"/>
          </w:rPr>
          <w:delText>pJIA I</w:delText>
        </w:r>
      </w:del>
    </w:p>
    <w:p w14:paraId="101C3CA5" w14:textId="77777777" w:rsidR="002E5A81" w:rsidRPr="00BC0E7E" w:rsidRDefault="002E5A81" w:rsidP="00762FA7">
      <w:pPr>
        <w:jc w:val="both"/>
        <w:rPr>
          <w:del w:id="7521" w:author="AbbVie19" w:date="2025-04-16T10:42:00Z"/>
          <w:sz w:val="16"/>
          <w:szCs w:val="16"/>
        </w:rPr>
      </w:pPr>
    </w:p>
    <w:p w14:paraId="264F4B8D" w14:textId="77777777" w:rsidR="002E5A81" w:rsidRPr="00BC0E7E" w:rsidRDefault="00944B8F" w:rsidP="00762FA7">
      <w:pPr>
        <w:tabs>
          <w:tab w:val="left" w:pos="6840"/>
        </w:tabs>
        <w:autoSpaceDE w:val="0"/>
        <w:autoSpaceDN w:val="0"/>
        <w:adjustRightInd w:val="0"/>
        <w:ind w:right="53"/>
        <w:rPr>
          <w:del w:id="7522" w:author="AbbVie19" w:date="2025-04-16T10:42:00Z"/>
        </w:rPr>
      </w:pPr>
      <w:del w:id="7523" w:author="AbbVie19" w:date="2025-04-16T10:42:00Z">
        <w:r w:rsidRPr="00BC0E7E">
          <w:delText>The safety and efficacy of Humira were assessed in a multicentre, randomised, double-blind, parallel − group study in 171 children (4-17 years old) with polyarticular JIA. In the open-label lead in phase (OL LI) patients were stratified into two groups, MTX (methotrexate)-treated or non-MTX-treated. Patients who were in the non-MTX stratum were either naïve to or had been withdrawn from MTX at least two weeks prior to study drug administration. Patients remained on stable doses of NSAIDs and or prednisone (</w:delText>
        </w:r>
        <w:r w:rsidRPr="00BC0E7E">
          <w:rPr>
            <w:rFonts w:ascii="Symbol" w:eastAsia="Symbol" w:hAnsi="Symbol" w:cs="Symbol"/>
            <w:szCs w:val="22"/>
          </w:rPr>
          <w:sym w:font="Symbol" w:char="F0A3"/>
        </w:r>
        <w:r w:rsidRPr="00BC0E7E">
          <w:delText xml:space="preserve"> 0.2 mg /kg/day or 10 mg/day maximum). In the OL LI phase all patients received 24 mg/m</w:delText>
        </w:r>
        <w:r w:rsidRPr="00BC0E7E">
          <w:rPr>
            <w:vertAlign w:val="superscript"/>
          </w:rPr>
          <w:delText xml:space="preserve">2 </w:delText>
        </w:r>
        <w:r w:rsidRPr="00BC0E7E">
          <w:delText xml:space="preserve">up to a maximum of 40 mg Humira every other week for 16 weeks.  The distribution of patients by age and minimum, median and maximum dose received during the OL LI phase is presented in Table </w:delText>
        </w:r>
        <w:r w:rsidR="005F03EC">
          <w:delText>25</w:delText>
        </w:r>
        <w:r w:rsidRPr="00BC0E7E">
          <w:delText>.</w:delText>
        </w:r>
      </w:del>
    </w:p>
    <w:p w14:paraId="4B12303F" w14:textId="77777777" w:rsidR="002E5A81" w:rsidRPr="00BC0E7E" w:rsidRDefault="002E5A81" w:rsidP="00762FA7">
      <w:pPr>
        <w:keepNext/>
        <w:tabs>
          <w:tab w:val="left" w:pos="6840"/>
        </w:tabs>
        <w:autoSpaceDE w:val="0"/>
        <w:autoSpaceDN w:val="0"/>
        <w:adjustRightInd w:val="0"/>
        <w:ind w:right="51"/>
        <w:rPr>
          <w:del w:id="7524" w:author="AbbVie19" w:date="2025-04-16T10:42:00Z"/>
        </w:rPr>
      </w:pPr>
    </w:p>
    <w:p w14:paraId="13D1BA6E" w14:textId="77777777" w:rsidR="002E5A81" w:rsidRPr="003F7AAE" w:rsidRDefault="00944B8F" w:rsidP="00762FA7">
      <w:pPr>
        <w:keepNext/>
        <w:tabs>
          <w:tab w:val="clear" w:pos="562"/>
        </w:tabs>
        <w:ind w:left="110" w:right="51"/>
        <w:jc w:val="center"/>
        <w:rPr>
          <w:del w:id="7525" w:author="AbbVie19" w:date="2025-04-16T10:42:00Z"/>
          <w:szCs w:val="22"/>
        </w:rPr>
      </w:pPr>
      <w:del w:id="7526" w:author="AbbVie19" w:date="2025-04-16T10:42:00Z">
        <w:r w:rsidRPr="00BC0E7E">
          <w:rPr>
            <w:b/>
            <w:szCs w:val="22"/>
          </w:rPr>
          <w:delText xml:space="preserve">Table </w:delText>
        </w:r>
        <w:r w:rsidR="005F03EC">
          <w:rPr>
            <w:b/>
            <w:szCs w:val="22"/>
          </w:rPr>
          <w:delText>25</w:delText>
        </w:r>
      </w:del>
    </w:p>
    <w:p w14:paraId="6FE9C3C2" w14:textId="77777777" w:rsidR="002E5A81" w:rsidRPr="003F7AAE" w:rsidRDefault="00944B8F" w:rsidP="00762FA7">
      <w:pPr>
        <w:keepNext/>
        <w:tabs>
          <w:tab w:val="clear" w:pos="562"/>
        </w:tabs>
        <w:ind w:left="110" w:right="51"/>
        <w:jc w:val="center"/>
        <w:rPr>
          <w:del w:id="7527" w:author="AbbVie19" w:date="2025-04-16T10:42:00Z"/>
          <w:szCs w:val="22"/>
        </w:rPr>
      </w:pPr>
      <w:del w:id="7528" w:author="AbbVie19" w:date="2025-04-16T10:42:00Z">
        <w:r w:rsidRPr="00BC0E7E">
          <w:rPr>
            <w:b/>
            <w:szCs w:val="22"/>
          </w:rPr>
          <w:delText>Distribution of patients by age and adalimumab dose received during the OL LI phase</w:delText>
        </w:r>
      </w:del>
    </w:p>
    <w:p w14:paraId="7607D359" w14:textId="77777777" w:rsidR="002E5A81" w:rsidRPr="003F7AAE" w:rsidRDefault="002E5A81" w:rsidP="00762FA7">
      <w:pPr>
        <w:keepNext/>
        <w:tabs>
          <w:tab w:val="clear" w:pos="562"/>
        </w:tabs>
        <w:ind w:left="110" w:right="51"/>
        <w:jc w:val="center"/>
        <w:rPr>
          <w:del w:id="7529" w:author="AbbVie19" w:date="2025-04-16T10:42:00Z"/>
          <w:bCs/>
          <w:szCs w:val="22"/>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8"/>
        <w:gridCol w:w="3520"/>
        <w:gridCol w:w="3239"/>
      </w:tblGrid>
      <w:tr w:rsidR="00C6578C" w14:paraId="42E71DE3" w14:textId="77777777" w:rsidTr="00271199">
        <w:trPr>
          <w:cantSplit/>
          <w:del w:id="7530" w:author="AbbVie19" w:date="2025-04-16T10:42:00Z"/>
        </w:trPr>
        <w:tc>
          <w:tcPr>
            <w:tcW w:w="2418" w:type="dxa"/>
          </w:tcPr>
          <w:p w14:paraId="2543F080" w14:textId="77777777" w:rsidR="002E5A81" w:rsidRPr="00BC0E7E" w:rsidRDefault="00944B8F" w:rsidP="00762FA7">
            <w:pPr>
              <w:keepNext/>
              <w:tabs>
                <w:tab w:val="clear" w:pos="562"/>
              </w:tabs>
              <w:ind w:right="51"/>
              <w:rPr>
                <w:del w:id="7531" w:author="AbbVie19" w:date="2025-04-16T10:42:00Z"/>
                <w:bCs/>
              </w:rPr>
            </w:pPr>
            <w:del w:id="7532" w:author="AbbVie19" w:date="2025-04-16T10:42:00Z">
              <w:r w:rsidRPr="00BC0E7E">
                <w:rPr>
                  <w:bCs/>
                </w:rPr>
                <w:delText>Age Group</w:delText>
              </w:r>
            </w:del>
          </w:p>
        </w:tc>
        <w:tc>
          <w:tcPr>
            <w:tcW w:w="3520" w:type="dxa"/>
          </w:tcPr>
          <w:p w14:paraId="3A6E1905" w14:textId="77777777" w:rsidR="002E5A81" w:rsidRPr="00BC0E7E" w:rsidRDefault="00944B8F" w:rsidP="00762FA7">
            <w:pPr>
              <w:keepNext/>
              <w:tabs>
                <w:tab w:val="clear" w:pos="562"/>
              </w:tabs>
              <w:ind w:right="51"/>
              <w:rPr>
                <w:del w:id="7533" w:author="AbbVie19" w:date="2025-04-16T10:42:00Z"/>
                <w:bCs/>
              </w:rPr>
            </w:pPr>
            <w:del w:id="7534" w:author="AbbVie19" w:date="2025-04-16T10:42:00Z">
              <w:r w:rsidRPr="00BC0E7E">
                <w:rPr>
                  <w:bCs/>
                </w:rPr>
                <w:delText>Number of patients at Baseline n (%)</w:delText>
              </w:r>
            </w:del>
          </w:p>
        </w:tc>
        <w:tc>
          <w:tcPr>
            <w:tcW w:w="3239" w:type="dxa"/>
          </w:tcPr>
          <w:p w14:paraId="2CC2A956" w14:textId="77777777" w:rsidR="002E5A81" w:rsidRPr="00BC0E7E" w:rsidRDefault="00944B8F" w:rsidP="00762FA7">
            <w:pPr>
              <w:keepNext/>
              <w:tabs>
                <w:tab w:val="clear" w:pos="562"/>
              </w:tabs>
              <w:ind w:right="51"/>
              <w:rPr>
                <w:del w:id="7535" w:author="AbbVie19" w:date="2025-04-16T10:42:00Z"/>
                <w:bCs/>
              </w:rPr>
            </w:pPr>
            <w:del w:id="7536" w:author="AbbVie19" w:date="2025-04-16T10:42:00Z">
              <w:r w:rsidRPr="00BC0E7E">
                <w:rPr>
                  <w:bCs/>
                </w:rPr>
                <w:delText>Minimum, median and maximum dose</w:delText>
              </w:r>
            </w:del>
          </w:p>
        </w:tc>
      </w:tr>
      <w:tr w:rsidR="00C6578C" w14:paraId="0FAE782F" w14:textId="77777777" w:rsidTr="00271199">
        <w:trPr>
          <w:cantSplit/>
          <w:del w:id="7537" w:author="AbbVie19" w:date="2025-04-16T10:42:00Z"/>
        </w:trPr>
        <w:tc>
          <w:tcPr>
            <w:tcW w:w="2418" w:type="dxa"/>
          </w:tcPr>
          <w:p w14:paraId="3772588B" w14:textId="77777777" w:rsidR="002E5A81" w:rsidRPr="00BC0E7E" w:rsidRDefault="00944B8F" w:rsidP="00762FA7">
            <w:pPr>
              <w:keepNext/>
              <w:tabs>
                <w:tab w:val="clear" w:pos="562"/>
              </w:tabs>
              <w:ind w:right="51"/>
              <w:rPr>
                <w:del w:id="7538" w:author="AbbVie19" w:date="2025-04-16T10:42:00Z"/>
                <w:bCs/>
              </w:rPr>
            </w:pPr>
            <w:del w:id="7539" w:author="AbbVie19" w:date="2025-04-16T10:42:00Z">
              <w:r w:rsidRPr="00BC0E7E">
                <w:rPr>
                  <w:bCs/>
                </w:rPr>
                <w:delText>4 to 7</w:delText>
              </w:r>
              <w:r w:rsidRPr="00BC0E7E">
                <w:rPr>
                  <w:sz w:val="24"/>
                </w:rPr>
                <w:delText> </w:delText>
              </w:r>
              <w:r w:rsidRPr="00BC0E7E">
                <w:rPr>
                  <w:bCs/>
                </w:rPr>
                <w:delText>years</w:delText>
              </w:r>
            </w:del>
          </w:p>
        </w:tc>
        <w:tc>
          <w:tcPr>
            <w:tcW w:w="3520" w:type="dxa"/>
          </w:tcPr>
          <w:p w14:paraId="38BBA67C" w14:textId="77777777" w:rsidR="002E5A81" w:rsidRPr="00BC0E7E" w:rsidRDefault="00944B8F" w:rsidP="00762FA7">
            <w:pPr>
              <w:keepNext/>
              <w:tabs>
                <w:tab w:val="clear" w:pos="562"/>
              </w:tabs>
              <w:ind w:right="51"/>
              <w:rPr>
                <w:del w:id="7540" w:author="AbbVie19" w:date="2025-04-16T10:42:00Z"/>
                <w:bCs/>
              </w:rPr>
            </w:pPr>
            <w:del w:id="7541" w:author="AbbVie19" w:date="2025-04-16T10:42:00Z">
              <w:r w:rsidRPr="00BC0E7E">
                <w:rPr>
                  <w:bCs/>
                </w:rPr>
                <w:delText>31 (18.1)</w:delText>
              </w:r>
            </w:del>
          </w:p>
        </w:tc>
        <w:tc>
          <w:tcPr>
            <w:tcW w:w="3239" w:type="dxa"/>
          </w:tcPr>
          <w:p w14:paraId="11EEC2A9" w14:textId="77777777" w:rsidR="002E5A81" w:rsidRPr="00BC0E7E" w:rsidRDefault="00944B8F" w:rsidP="00762FA7">
            <w:pPr>
              <w:keepNext/>
              <w:tabs>
                <w:tab w:val="clear" w:pos="562"/>
              </w:tabs>
              <w:ind w:right="51"/>
              <w:rPr>
                <w:del w:id="7542" w:author="AbbVie19" w:date="2025-04-16T10:42:00Z"/>
                <w:bCs/>
              </w:rPr>
            </w:pPr>
            <w:del w:id="7543" w:author="AbbVie19" w:date="2025-04-16T10:42:00Z">
              <w:r w:rsidRPr="00BC0E7E">
                <w:rPr>
                  <w:bCs/>
                </w:rPr>
                <w:delText>10, 20 and 25</w:delText>
              </w:r>
              <w:r w:rsidRPr="00BC0E7E">
                <w:rPr>
                  <w:sz w:val="24"/>
                </w:rPr>
                <w:delText> </w:delText>
              </w:r>
              <w:r w:rsidRPr="00BC0E7E">
                <w:rPr>
                  <w:bCs/>
                </w:rPr>
                <w:delText>mg</w:delText>
              </w:r>
            </w:del>
          </w:p>
        </w:tc>
      </w:tr>
      <w:tr w:rsidR="00C6578C" w14:paraId="1623A6F5" w14:textId="77777777" w:rsidTr="00271199">
        <w:trPr>
          <w:cantSplit/>
          <w:del w:id="7544" w:author="AbbVie19" w:date="2025-04-16T10:42:00Z"/>
        </w:trPr>
        <w:tc>
          <w:tcPr>
            <w:tcW w:w="2418" w:type="dxa"/>
          </w:tcPr>
          <w:p w14:paraId="33454BB0" w14:textId="77777777" w:rsidR="002E5A81" w:rsidRPr="00BC0E7E" w:rsidRDefault="00944B8F" w:rsidP="00762FA7">
            <w:pPr>
              <w:tabs>
                <w:tab w:val="clear" w:pos="562"/>
              </w:tabs>
              <w:ind w:right="51"/>
              <w:rPr>
                <w:del w:id="7545" w:author="AbbVie19" w:date="2025-04-16T10:42:00Z"/>
                <w:bCs/>
              </w:rPr>
            </w:pPr>
            <w:del w:id="7546" w:author="AbbVie19" w:date="2025-04-16T10:42:00Z">
              <w:r w:rsidRPr="00BC0E7E">
                <w:rPr>
                  <w:bCs/>
                </w:rPr>
                <w:delText>8 to 12</w:delText>
              </w:r>
              <w:r w:rsidRPr="00BC0E7E">
                <w:rPr>
                  <w:sz w:val="24"/>
                </w:rPr>
                <w:delText> </w:delText>
              </w:r>
              <w:r w:rsidRPr="00BC0E7E">
                <w:rPr>
                  <w:bCs/>
                </w:rPr>
                <w:delText>years</w:delText>
              </w:r>
            </w:del>
          </w:p>
        </w:tc>
        <w:tc>
          <w:tcPr>
            <w:tcW w:w="3520" w:type="dxa"/>
          </w:tcPr>
          <w:p w14:paraId="047563A7" w14:textId="77777777" w:rsidR="002E5A81" w:rsidRPr="00BC0E7E" w:rsidRDefault="00944B8F" w:rsidP="00762FA7">
            <w:pPr>
              <w:tabs>
                <w:tab w:val="clear" w:pos="562"/>
              </w:tabs>
              <w:ind w:right="51"/>
              <w:rPr>
                <w:del w:id="7547" w:author="AbbVie19" w:date="2025-04-16T10:42:00Z"/>
                <w:bCs/>
              </w:rPr>
            </w:pPr>
            <w:del w:id="7548" w:author="AbbVie19" w:date="2025-04-16T10:42:00Z">
              <w:r w:rsidRPr="00BC0E7E">
                <w:rPr>
                  <w:bCs/>
                </w:rPr>
                <w:delText>71 (41.5)</w:delText>
              </w:r>
            </w:del>
          </w:p>
        </w:tc>
        <w:tc>
          <w:tcPr>
            <w:tcW w:w="3239" w:type="dxa"/>
          </w:tcPr>
          <w:p w14:paraId="267CA070" w14:textId="77777777" w:rsidR="002E5A81" w:rsidRPr="00BC0E7E" w:rsidRDefault="00944B8F" w:rsidP="00762FA7">
            <w:pPr>
              <w:tabs>
                <w:tab w:val="clear" w:pos="562"/>
              </w:tabs>
              <w:ind w:right="51"/>
              <w:rPr>
                <w:del w:id="7549" w:author="AbbVie19" w:date="2025-04-16T10:42:00Z"/>
                <w:bCs/>
              </w:rPr>
            </w:pPr>
            <w:del w:id="7550" w:author="AbbVie19" w:date="2025-04-16T10:42:00Z">
              <w:r w:rsidRPr="00BC0E7E">
                <w:rPr>
                  <w:bCs/>
                </w:rPr>
                <w:delText>20, 25 and 40</w:delText>
              </w:r>
              <w:r w:rsidRPr="00BC0E7E">
                <w:rPr>
                  <w:sz w:val="24"/>
                </w:rPr>
                <w:delText> </w:delText>
              </w:r>
              <w:r w:rsidRPr="00BC0E7E">
                <w:rPr>
                  <w:bCs/>
                </w:rPr>
                <w:delText>mg</w:delText>
              </w:r>
            </w:del>
          </w:p>
        </w:tc>
      </w:tr>
      <w:tr w:rsidR="00C6578C" w14:paraId="4BF7B7FE" w14:textId="77777777" w:rsidTr="00271199">
        <w:trPr>
          <w:cantSplit/>
          <w:del w:id="7551" w:author="AbbVie19" w:date="2025-04-16T10:42:00Z"/>
        </w:trPr>
        <w:tc>
          <w:tcPr>
            <w:tcW w:w="2418" w:type="dxa"/>
          </w:tcPr>
          <w:p w14:paraId="70C8B64E" w14:textId="77777777" w:rsidR="002E5A81" w:rsidRPr="00BC0E7E" w:rsidRDefault="00944B8F" w:rsidP="00762FA7">
            <w:pPr>
              <w:tabs>
                <w:tab w:val="clear" w:pos="562"/>
              </w:tabs>
              <w:ind w:right="51"/>
              <w:rPr>
                <w:del w:id="7552" w:author="AbbVie19" w:date="2025-04-16T10:42:00Z"/>
                <w:bCs/>
              </w:rPr>
            </w:pPr>
            <w:del w:id="7553" w:author="AbbVie19" w:date="2025-04-16T10:42:00Z">
              <w:r w:rsidRPr="00BC0E7E">
                <w:rPr>
                  <w:bCs/>
                </w:rPr>
                <w:delText>13 to 17</w:delText>
              </w:r>
              <w:r w:rsidRPr="00BC0E7E">
                <w:rPr>
                  <w:sz w:val="24"/>
                </w:rPr>
                <w:delText> </w:delText>
              </w:r>
              <w:r w:rsidRPr="00BC0E7E">
                <w:rPr>
                  <w:bCs/>
                </w:rPr>
                <w:delText>years</w:delText>
              </w:r>
            </w:del>
          </w:p>
        </w:tc>
        <w:tc>
          <w:tcPr>
            <w:tcW w:w="3520" w:type="dxa"/>
          </w:tcPr>
          <w:p w14:paraId="5F06BC1B" w14:textId="77777777" w:rsidR="002E5A81" w:rsidRPr="00BC0E7E" w:rsidRDefault="00944B8F" w:rsidP="00762FA7">
            <w:pPr>
              <w:tabs>
                <w:tab w:val="clear" w:pos="562"/>
              </w:tabs>
              <w:ind w:right="51"/>
              <w:rPr>
                <w:del w:id="7554" w:author="AbbVie19" w:date="2025-04-16T10:42:00Z"/>
                <w:bCs/>
              </w:rPr>
            </w:pPr>
            <w:del w:id="7555" w:author="AbbVie19" w:date="2025-04-16T10:42:00Z">
              <w:r w:rsidRPr="00BC0E7E">
                <w:rPr>
                  <w:bCs/>
                </w:rPr>
                <w:delText>69 (40.4)</w:delText>
              </w:r>
            </w:del>
          </w:p>
        </w:tc>
        <w:tc>
          <w:tcPr>
            <w:tcW w:w="3239" w:type="dxa"/>
          </w:tcPr>
          <w:p w14:paraId="206B35B2" w14:textId="77777777" w:rsidR="002E5A81" w:rsidRPr="00BC0E7E" w:rsidRDefault="00944B8F" w:rsidP="00762FA7">
            <w:pPr>
              <w:tabs>
                <w:tab w:val="clear" w:pos="562"/>
              </w:tabs>
              <w:ind w:right="51"/>
              <w:rPr>
                <w:del w:id="7556" w:author="AbbVie19" w:date="2025-04-16T10:42:00Z"/>
                <w:bCs/>
              </w:rPr>
            </w:pPr>
            <w:del w:id="7557" w:author="AbbVie19" w:date="2025-04-16T10:42:00Z">
              <w:r w:rsidRPr="00BC0E7E">
                <w:rPr>
                  <w:bCs/>
                </w:rPr>
                <w:delText>25, 40 and 40</w:delText>
              </w:r>
              <w:r w:rsidRPr="00BC0E7E">
                <w:rPr>
                  <w:sz w:val="24"/>
                </w:rPr>
                <w:delText> </w:delText>
              </w:r>
              <w:r w:rsidRPr="00BC0E7E">
                <w:rPr>
                  <w:bCs/>
                </w:rPr>
                <w:delText>mg</w:delText>
              </w:r>
            </w:del>
          </w:p>
        </w:tc>
      </w:tr>
    </w:tbl>
    <w:p w14:paraId="795A6C4D" w14:textId="77777777" w:rsidR="002E5A81" w:rsidRPr="00BC0E7E" w:rsidRDefault="002E5A81" w:rsidP="00762FA7">
      <w:pPr>
        <w:tabs>
          <w:tab w:val="left" w:pos="6840"/>
        </w:tabs>
        <w:autoSpaceDE w:val="0"/>
        <w:autoSpaceDN w:val="0"/>
        <w:adjustRightInd w:val="0"/>
        <w:ind w:right="51"/>
        <w:rPr>
          <w:del w:id="7558" w:author="AbbVie19" w:date="2025-04-16T10:42:00Z"/>
        </w:rPr>
      </w:pPr>
    </w:p>
    <w:p w14:paraId="1CF9CECB" w14:textId="77777777" w:rsidR="002E5A81" w:rsidRPr="00BC0E7E" w:rsidRDefault="00944B8F" w:rsidP="00762FA7">
      <w:pPr>
        <w:tabs>
          <w:tab w:val="left" w:pos="6840"/>
        </w:tabs>
        <w:autoSpaceDE w:val="0"/>
        <w:autoSpaceDN w:val="0"/>
        <w:adjustRightInd w:val="0"/>
        <w:ind w:right="51"/>
        <w:rPr>
          <w:del w:id="7559" w:author="AbbVie19" w:date="2025-04-16T10:42:00Z"/>
        </w:rPr>
      </w:pPr>
      <w:del w:id="7560" w:author="AbbVie19" w:date="2025-04-16T10:42:00Z">
        <w:r w:rsidRPr="00BC0E7E">
          <w:lastRenderedPageBreak/>
          <w:delText>Patients demonstrating a P</w:delText>
        </w:r>
        <w:r w:rsidR="00043E67">
          <w:delText>a</w:delText>
        </w:r>
        <w:r w:rsidRPr="00BC0E7E">
          <w:delText>ediatric ACR 30 response at Week 16 were eligible to be randomised into the double blind (DB) phase and received either Humira 24 mg/m</w:delText>
        </w:r>
        <w:r w:rsidRPr="00BC0E7E">
          <w:rPr>
            <w:vertAlign w:val="superscript"/>
          </w:rPr>
          <w:delText xml:space="preserve">2 </w:delText>
        </w:r>
        <w:r w:rsidRPr="00BC0E7E">
          <w:delText xml:space="preserve">up to a maximum of 40 mg, or placebo every other week for an additional 32 weeks or until disease flare. Disease flare criteria were defined as a worsening of </w:delText>
        </w:r>
        <w:r w:rsidRPr="00BC0E7E">
          <w:rPr>
            <w:rFonts w:ascii="Symbol" w:eastAsia="Symbol" w:hAnsi="Symbol" w:cs="Symbol"/>
            <w:szCs w:val="22"/>
          </w:rPr>
          <w:sym w:font="Symbol" w:char="F0B3"/>
        </w:r>
        <w:r w:rsidRPr="00BC0E7E">
          <w:delText xml:space="preserve"> 30% from baseline in </w:delText>
        </w:r>
        <w:r w:rsidRPr="00BC0E7E">
          <w:rPr>
            <w:rFonts w:ascii="Symbol" w:eastAsia="Symbol" w:hAnsi="Symbol" w:cs="Symbol"/>
            <w:szCs w:val="22"/>
          </w:rPr>
          <w:sym w:font="Symbol" w:char="F0B3"/>
        </w:r>
        <w:r w:rsidRPr="00BC0E7E">
          <w:delText> 3 of 6 P</w:delText>
        </w:r>
        <w:r w:rsidR="00043E67">
          <w:delText>a</w:delText>
        </w:r>
        <w:r w:rsidRPr="00BC0E7E">
          <w:delText xml:space="preserve">ediatric ACR core criteria, </w:delText>
        </w:r>
        <w:r w:rsidRPr="00BC0E7E">
          <w:rPr>
            <w:rFonts w:ascii="Symbol" w:eastAsia="Symbol" w:hAnsi="Symbol" w:cs="Symbol"/>
            <w:szCs w:val="22"/>
          </w:rPr>
          <w:sym w:font="Symbol" w:char="F0B3"/>
        </w:r>
        <w:r w:rsidRPr="00BC0E7E">
          <w:delText xml:space="preserve"> 2 active joints, and improvement of </w:delText>
        </w:r>
        <w:r w:rsidRPr="00BC0E7E">
          <w:rPr>
            <w:rFonts w:ascii="Symbol" w:eastAsia="Symbol" w:hAnsi="Symbol" w:cs="Symbol"/>
            <w:szCs w:val="22"/>
          </w:rPr>
          <w:sym w:font="Symbol" w:char="F03E"/>
        </w:r>
        <w:r w:rsidRPr="00BC0E7E">
          <w:delText xml:space="preserve"> 30% in no more than 1 of the 6 criteria.  After 32 weeks or at disease flare, patients were eligible to enrol into </w:delText>
        </w:r>
        <w:r>
          <w:delText>the open label extension phase.</w:delText>
        </w:r>
      </w:del>
    </w:p>
    <w:p w14:paraId="367F0F4C" w14:textId="77777777" w:rsidR="002E5A81" w:rsidRPr="003F7AAE" w:rsidRDefault="002E5A81" w:rsidP="00762FA7">
      <w:pPr>
        <w:tabs>
          <w:tab w:val="left" w:pos="6840"/>
        </w:tabs>
        <w:autoSpaceDE w:val="0"/>
        <w:autoSpaceDN w:val="0"/>
        <w:adjustRightInd w:val="0"/>
        <w:ind w:right="53"/>
        <w:rPr>
          <w:del w:id="7561" w:author="AbbVie19" w:date="2025-04-16T10:42:00Z"/>
          <w:szCs w:val="22"/>
        </w:rPr>
      </w:pPr>
    </w:p>
    <w:p w14:paraId="437AB060" w14:textId="77777777" w:rsidR="002E5A81" w:rsidRPr="003F7AAE" w:rsidRDefault="00944B8F" w:rsidP="00762FA7">
      <w:pPr>
        <w:keepNext/>
        <w:tabs>
          <w:tab w:val="clear" w:pos="562"/>
        </w:tabs>
        <w:ind w:left="110" w:right="51"/>
        <w:jc w:val="center"/>
        <w:rPr>
          <w:del w:id="7562" w:author="AbbVie19" w:date="2025-04-16T10:42:00Z"/>
          <w:szCs w:val="22"/>
        </w:rPr>
      </w:pPr>
      <w:del w:id="7563" w:author="AbbVie19" w:date="2025-04-16T10:42:00Z">
        <w:r w:rsidRPr="00BC0E7E">
          <w:rPr>
            <w:b/>
            <w:szCs w:val="22"/>
          </w:rPr>
          <w:delText xml:space="preserve">Table </w:delText>
        </w:r>
        <w:r w:rsidR="005F03EC">
          <w:rPr>
            <w:b/>
            <w:szCs w:val="22"/>
          </w:rPr>
          <w:delText>26</w:delText>
        </w:r>
      </w:del>
    </w:p>
    <w:p w14:paraId="54CD1D94" w14:textId="77777777" w:rsidR="002E5A81" w:rsidRPr="003F7AAE" w:rsidRDefault="00944B8F" w:rsidP="00762FA7">
      <w:pPr>
        <w:keepNext/>
        <w:tabs>
          <w:tab w:val="clear" w:pos="562"/>
        </w:tabs>
        <w:ind w:left="110" w:right="51"/>
        <w:jc w:val="center"/>
        <w:rPr>
          <w:del w:id="7564" w:author="AbbVie19" w:date="2025-04-16T10:42:00Z"/>
          <w:szCs w:val="22"/>
        </w:rPr>
      </w:pPr>
      <w:del w:id="7565" w:author="AbbVie19" w:date="2025-04-16T10:42:00Z">
        <w:r w:rsidRPr="00BC0E7E">
          <w:rPr>
            <w:b/>
            <w:szCs w:val="22"/>
          </w:rPr>
          <w:delText>Ped ACR 30 Responses in the JIA study</w:delText>
        </w:r>
      </w:del>
    </w:p>
    <w:p w14:paraId="5BF49446" w14:textId="77777777" w:rsidR="002E5A81" w:rsidRPr="00BC0E7E" w:rsidRDefault="002E5A81" w:rsidP="00762FA7">
      <w:pPr>
        <w:keepNext/>
        <w:tabs>
          <w:tab w:val="clear" w:pos="562"/>
        </w:tabs>
        <w:ind w:left="110" w:right="51"/>
        <w:jc w:val="center"/>
        <w:rPr>
          <w:del w:id="7566" w:author="AbbVie19" w:date="2025-04-16T10:42:00Z"/>
          <w:bCs/>
          <w:sz w:val="24"/>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8"/>
        <w:gridCol w:w="1760"/>
        <w:gridCol w:w="1760"/>
        <w:gridCol w:w="1650"/>
        <w:gridCol w:w="1589"/>
      </w:tblGrid>
      <w:tr w:rsidR="00C6578C" w14:paraId="46D5F352" w14:textId="77777777" w:rsidTr="00271199">
        <w:trPr>
          <w:cantSplit/>
          <w:del w:id="7567" w:author="AbbVie19" w:date="2025-04-16T10:42:00Z"/>
        </w:trPr>
        <w:tc>
          <w:tcPr>
            <w:tcW w:w="2418" w:type="dxa"/>
          </w:tcPr>
          <w:p w14:paraId="50E935A5" w14:textId="77777777" w:rsidR="002E5A81" w:rsidRPr="002F270B" w:rsidRDefault="00944B8F" w:rsidP="00762FA7">
            <w:pPr>
              <w:keepNext/>
              <w:tabs>
                <w:tab w:val="clear" w:pos="562"/>
              </w:tabs>
              <w:ind w:right="51"/>
              <w:rPr>
                <w:del w:id="7568" w:author="AbbVie19" w:date="2025-04-16T10:42:00Z"/>
                <w:b/>
              </w:rPr>
            </w:pPr>
            <w:del w:id="7569" w:author="AbbVie19" w:date="2025-04-16T10:42:00Z">
              <w:r w:rsidRPr="002F270B">
                <w:rPr>
                  <w:b/>
                </w:rPr>
                <w:delText>Stratum</w:delText>
              </w:r>
            </w:del>
          </w:p>
        </w:tc>
        <w:tc>
          <w:tcPr>
            <w:tcW w:w="3520" w:type="dxa"/>
            <w:gridSpan w:val="2"/>
          </w:tcPr>
          <w:p w14:paraId="1DBBCA38" w14:textId="77777777" w:rsidR="002E5A81" w:rsidRPr="002F270B" w:rsidRDefault="00944B8F" w:rsidP="00762FA7">
            <w:pPr>
              <w:keepNext/>
              <w:tabs>
                <w:tab w:val="clear" w:pos="562"/>
              </w:tabs>
              <w:ind w:right="51"/>
              <w:jc w:val="center"/>
              <w:rPr>
                <w:del w:id="7570" w:author="AbbVie19" w:date="2025-04-16T10:42:00Z"/>
                <w:b/>
              </w:rPr>
            </w:pPr>
            <w:del w:id="7571" w:author="AbbVie19" w:date="2025-04-16T10:42:00Z">
              <w:r w:rsidRPr="002F270B">
                <w:rPr>
                  <w:b/>
                </w:rPr>
                <w:delText>MTX</w:delText>
              </w:r>
            </w:del>
          </w:p>
        </w:tc>
        <w:tc>
          <w:tcPr>
            <w:tcW w:w="3239" w:type="dxa"/>
            <w:gridSpan w:val="2"/>
          </w:tcPr>
          <w:p w14:paraId="48498090" w14:textId="77777777" w:rsidR="002E5A81" w:rsidRPr="002F270B" w:rsidRDefault="00944B8F" w:rsidP="00762FA7">
            <w:pPr>
              <w:keepNext/>
              <w:tabs>
                <w:tab w:val="clear" w:pos="562"/>
              </w:tabs>
              <w:ind w:right="51"/>
              <w:jc w:val="center"/>
              <w:rPr>
                <w:del w:id="7572" w:author="AbbVie19" w:date="2025-04-16T10:42:00Z"/>
                <w:b/>
              </w:rPr>
            </w:pPr>
            <w:del w:id="7573" w:author="AbbVie19" w:date="2025-04-16T10:42:00Z">
              <w:r w:rsidRPr="002F270B">
                <w:rPr>
                  <w:b/>
                </w:rPr>
                <w:delText>Without MTX</w:delText>
              </w:r>
            </w:del>
          </w:p>
        </w:tc>
      </w:tr>
      <w:tr w:rsidR="00C6578C" w14:paraId="518779FF" w14:textId="77777777" w:rsidTr="00271199">
        <w:trPr>
          <w:cantSplit/>
          <w:del w:id="7574" w:author="AbbVie19" w:date="2025-04-16T10:42:00Z"/>
        </w:trPr>
        <w:tc>
          <w:tcPr>
            <w:tcW w:w="2418" w:type="dxa"/>
          </w:tcPr>
          <w:p w14:paraId="18E476EB" w14:textId="77777777" w:rsidR="002E5A81" w:rsidRPr="002F270B" w:rsidRDefault="00944B8F" w:rsidP="00762FA7">
            <w:pPr>
              <w:keepNext/>
              <w:tabs>
                <w:tab w:val="clear" w:pos="562"/>
              </w:tabs>
              <w:ind w:right="51"/>
              <w:rPr>
                <w:del w:id="7575" w:author="AbbVie19" w:date="2025-04-16T10:42:00Z"/>
                <w:b/>
              </w:rPr>
            </w:pPr>
            <w:del w:id="7576" w:author="AbbVie19" w:date="2025-04-16T10:42:00Z">
              <w:r w:rsidRPr="002F270B">
                <w:rPr>
                  <w:b/>
                </w:rPr>
                <w:delText>Phase</w:delText>
              </w:r>
            </w:del>
          </w:p>
        </w:tc>
        <w:tc>
          <w:tcPr>
            <w:tcW w:w="3520" w:type="dxa"/>
            <w:gridSpan w:val="2"/>
          </w:tcPr>
          <w:p w14:paraId="0FB2DEF4" w14:textId="77777777" w:rsidR="002E5A81" w:rsidRPr="00BC0E7E" w:rsidRDefault="002E5A81" w:rsidP="00762FA7">
            <w:pPr>
              <w:keepNext/>
              <w:tabs>
                <w:tab w:val="clear" w:pos="562"/>
              </w:tabs>
              <w:ind w:right="51"/>
              <w:jc w:val="center"/>
              <w:rPr>
                <w:del w:id="7577" w:author="AbbVie19" w:date="2025-04-16T10:42:00Z"/>
                <w:bCs/>
              </w:rPr>
            </w:pPr>
          </w:p>
        </w:tc>
        <w:tc>
          <w:tcPr>
            <w:tcW w:w="3239" w:type="dxa"/>
            <w:gridSpan w:val="2"/>
          </w:tcPr>
          <w:p w14:paraId="5C1FF85A" w14:textId="77777777" w:rsidR="002E5A81" w:rsidRPr="00BC0E7E" w:rsidRDefault="002E5A81" w:rsidP="00762FA7">
            <w:pPr>
              <w:keepNext/>
              <w:tabs>
                <w:tab w:val="clear" w:pos="562"/>
              </w:tabs>
              <w:ind w:right="51"/>
              <w:jc w:val="center"/>
              <w:rPr>
                <w:del w:id="7578" w:author="AbbVie19" w:date="2025-04-16T10:42:00Z"/>
                <w:bCs/>
              </w:rPr>
            </w:pPr>
          </w:p>
        </w:tc>
      </w:tr>
      <w:tr w:rsidR="00C6578C" w14:paraId="111F6301" w14:textId="77777777" w:rsidTr="00271199">
        <w:trPr>
          <w:cantSplit/>
          <w:del w:id="7579" w:author="AbbVie19" w:date="2025-04-16T10:42:00Z"/>
        </w:trPr>
        <w:tc>
          <w:tcPr>
            <w:tcW w:w="2418" w:type="dxa"/>
          </w:tcPr>
          <w:p w14:paraId="55601BA7" w14:textId="77777777" w:rsidR="002E5A81" w:rsidRPr="00BC0E7E" w:rsidRDefault="00944B8F" w:rsidP="00762FA7">
            <w:pPr>
              <w:keepNext/>
              <w:tabs>
                <w:tab w:val="clear" w:pos="562"/>
              </w:tabs>
              <w:ind w:right="51"/>
              <w:rPr>
                <w:del w:id="7580" w:author="AbbVie19" w:date="2025-04-16T10:42:00Z"/>
                <w:bCs/>
              </w:rPr>
            </w:pPr>
            <w:del w:id="7581" w:author="AbbVie19" w:date="2025-04-16T10:42:00Z">
              <w:r w:rsidRPr="00BC0E7E">
                <w:rPr>
                  <w:bCs/>
                </w:rPr>
                <w:delText>OL-LI 16 weeks</w:delText>
              </w:r>
            </w:del>
          </w:p>
        </w:tc>
        <w:tc>
          <w:tcPr>
            <w:tcW w:w="3520" w:type="dxa"/>
            <w:gridSpan w:val="2"/>
          </w:tcPr>
          <w:p w14:paraId="6311C4B6" w14:textId="77777777" w:rsidR="002E5A81" w:rsidRPr="00BC0E7E" w:rsidRDefault="002E5A81" w:rsidP="00762FA7">
            <w:pPr>
              <w:keepNext/>
              <w:tabs>
                <w:tab w:val="clear" w:pos="562"/>
              </w:tabs>
              <w:ind w:right="51"/>
              <w:jc w:val="center"/>
              <w:rPr>
                <w:del w:id="7582" w:author="AbbVie19" w:date="2025-04-16T10:42:00Z"/>
                <w:bCs/>
              </w:rPr>
            </w:pPr>
          </w:p>
        </w:tc>
        <w:tc>
          <w:tcPr>
            <w:tcW w:w="3239" w:type="dxa"/>
            <w:gridSpan w:val="2"/>
          </w:tcPr>
          <w:p w14:paraId="3BB45B4D" w14:textId="77777777" w:rsidR="002E5A81" w:rsidRPr="00BC0E7E" w:rsidRDefault="002E5A81" w:rsidP="00762FA7">
            <w:pPr>
              <w:keepNext/>
              <w:tabs>
                <w:tab w:val="clear" w:pos="562"/>
              </w:tabs>
              <w:ind w:right="51"/>
              <w:jc w:val="center"/>
              <w:rPr>
                <w:del w:id="7583" w:author="AbbVie19" w:date="2025-04-16T10:42:00Z"/>
                <w:bCs/>
              </w:rPr>
            </w:pPr>
          </w:p>
        </w:tc>
      </w:tr>
      <w:tr w:rsidR="00C6578C" w14:paraId="0DA6F766" w14:textId="77777777" w:rsidTr="00271199">
        <w:trPr>
          <w:cantSplit/>
          <w:del w:id="7584" w:author="AbbVie19" w:date="2025-04-16T10:42:00Z"/>
        </w:trPr>
        <w:tc>
          <w:tcPr>
            <w:tcW w:w="2418" w:type="dxa"/>
          </w:tcPr>
          <w:p w14:paraId="7C25E285" w14:textId="77777777" w:rsidR="002E5A81" w:rsidRPr="00BC0E7E" w:rsidRDefault="00944B8F" w:rsidP="00762FA7">
            <w:pPr>
              <w:keepNext/>
              <w:tabs>
                <w:tab w:val="clear" w:pos="562"/>
              </w:tabs>
              <w:ind w:left="567" w:right="51"/>
              <w:rPr>
                <w:del w:id="7585" w:author="AbbVie19" w:date="2025-04-16T10:42:00Z"/>
                <w:bCs/>
              </w:rPr>
            </w:pPr>
            <w:del w:id="7586" w:author="AbbVie19" w:date="2025-04-16T10:42:00Z">
              <w:r w:rsidRPr="00BC0E7E">
                <w:rPr>
                  <w:bCs/>
                </w:rPr>
                <w:delText>Ped ACR 30 response (n/N)</w:delText>
              </w:r>
            </w:del>
          </w:p>
        </w:tc>
        <w:tc>
          <w:tcPr>
            <w:tcW w:w="3520" w:type="dxa"/>
            <w:gridSpan w:val="2"/>
          </w:tcPr>
          <w:p w14:paraId="546FFB41" w14:textId="77777777" w:rsidR="002E5A81" w:rsidRPr="00BC0E7E" w:rsidRDefault="00944B8F" w:rsidP="00762FA7">
            <w:pPr>
              <w:keepNext/>
              <w:tabs>
                <w:tab w:val="clear" w:pos="562"/>
              </w:tabs>
              <w:ind w:right="51"/>
              <w:jc w:val="center"/>
              <w:rPr>
                <w:del w:id="7587" w:author="AbbVie19" w:date="2025-04-16T10:42:00Z"/>
                <w:bCs/>
              </w:rPr>
            </w:pPr>
            <w:del w:id="7588" w:author="AbbVie19" w:date="2025-04-16T10:42:00Z">
              <w:r w:rsidRPr="00BC0E7E">
                <w:rPr>
                  <w:bCs/>
                </w:rPr>
                <w:delText>94.1% (80/85)</w:delText>
              </w:r>
            </w:del>
          </w:p>
        </w:tc>
        <w:tc>
          <w:tcPr>
            <w:tcW w:w="3239" w:type="dxa"/>
            <w:gridSpan w:val="2"/>
          </w:tcPr>
          <w:p w14:paraId="6706DF07" w14:textId="77777777" w:rsidR="002E5A81" w:rsidRPr="00BC0E7E" w:rsidRDefault="00944B8F" w:rsidP="00762FA7">
            <w:pPr>
              <w:keepNext/>
              <w:tabs>
                <w:tab w:val="clear" w:pos="562"/>
              </w:tabs>
              <w:ind w:right="51"/>
              <w:jc w:val="center"/>
              <w:rPr>
                <w:del w:id="7589" w:author="AbbVie19" w:date="2025-04-16T10:42:00Z"/>
                <w:bCs/>
              </w:rPr>
            </w:pPr>
            <w:del w:id="7590" w:author="AbbVie19" w:date="2025-04-16T10:42:00Z">
              <w:r w:rsidRPr="00BC0E7E">
                <w:rPr>
                  <w:bCs/>
                </w:rPr>
                <w:delText>74.4% (64/86)</w:delText>
              </w:r>
            </w:del>
          </w:p>
        </w:tc>
      </w:tr>
      <w:tr w:rsidR="00C6578C" w14:paraId="5FBC7E5F" w14:textId="77777777" w:rsidTr="00271199">
        <w:trPr>
          <w:cantSplit/>
          <w:del w:id="7591" w:author="AbbVie19" w:date="2025-04-16T10:42:00Z"/>
        </w:trPr>
        <w:tc>
          <w:tcPr>
            <w:tcW w:w="9177" w:type="dxa"/>
            <w:gridSpan w:val="5"/>
          </w:tcPr>
          <w:p w14:paraId="596DAE17" w14:textId="77777777" w:rsidR="002E5A81" w:rsidRPr="00BC0E7E" w:rsidRDefault="00944B8F" w:rsidP="00762FA7">
            <w:pPr>
              <w:keepNext/>
              <w:tabs>
                <w:tab w:val="clear" w:pos="562"/>
              </w:tabs>
              <w:ind w:right="51"/>
              <w:rPr>
                <w:del w:id="7592" w:author="AbbVie19" w:date="2025-04-16T10:42:00Z"/>
                <w:bCs/>
              </w:rPr>
            </w:pPr>
            <w:del w:id="7593" w:author="AbbVie19" w:date="2025-04-16T10:42:00Z">
              <w:r w:rsidRPr="00BC0E7E">
                <w:rPr>
                  <w:bCs/>
                </w:rPr>
                <w:delText xml:space="preserve">                                                           Efficacy Outcomes</w:delText>
              </w:r>
            </w:del>
          </w:p>
        </w:tc>
      </w:tr>
      <w:tr w:rsidR="00C6578C" w14:paraId="7DE04765" w14:textId="77777777" w:rsidTr="00271199">
        <w:trPr>
          <w:del w:id="7594" w:author="AbbVie19" w:date="2025-04-16T10:42:00Z"/>
        </w:trPr>
        <w:tc>
          <w:tcPr>
            <w:tcW w:w="2418" w:type="dxa"/>
          </w:tcPr>
          <w:p w14:paraId="5D48F06E" w14:textId="77777777" w:rsidR="002E5A81" w:rsidRPr="00BC0E7E" w:rsidRDefault="00944B8F" w:rsidP="00762FA7">
            <w:pPr>
              <w:keepNext/>
              <w:tabs>
                <w:tab w:val="clear" w:pos="562"/>
              </w:tabs>
              <w:ind w:right="51"/>
              <w:rPr>
                <w:del w:id="7595" w:author="AbbVie19" w:date="2025-04-16T10:42:00Z"/>
                <w:bCs/>
              </w:rPr>
            </w:pPr>
            <w:del w:id="7596" w:author="AbbVie19" w:date="2025-04-16T10:42:00Z">
              <w:r w:rsidRPr="00BC0E7E">
                <w:rPr>
                  <w:bCs/>
                </w:rPr>
                <w:delText>Double Blind 32</w:delText>
              </w:r>
              <w:r w:rsidRPr="00BC0E7E">
                <w:rPr>
                  <w:sz w:val="24"/>
                </w:rPr>
                <w:delText> </w:delText>
              </w:r>
              <w:r w:rsidRPr="00BC0E7E">
                <w:rPr>
                  <w:bCs/>
                </w:rPr>
                <w:delText>weeks</w:delText>
              </w:r>
            </w:del>
          </w:p>
        </w:tc>
        <w:tc>
          <w:tcPr>
            <w:tcW w:w="1760" w:type="dxa"/>
          </w:tcPr>
          <w:p w14:paraId="523C97B5" w14:textId="77777777" w:rsidR="002E5A81" w:rsidRPr="00BC0E7E" w:rsidRDefault="00944B8F" w:rsidP="00762FA7">
            <w:pPr>
              <w:keepNext/>
              <w:tabs>
                <w:tab w:val="clear" w:pos="562"/>
              </w:tabs>
              <w:ind w:right="51"/>
              <w:rPr>
                <w:del w:id="7597" w:author="AbbVie19" w:date="2025-04-16T10:42:00Z"/>
                <w:bCs/>
              </w:rPr>
            </w:pPr>
            <w:del w:id="7598" w:author="AbbVie19" w:date="2025-04-16T10:42:00Z">
              <w:r w:rsidRPr="00BC0E7E">
                <w:rPr>
                  <w:bCs/>
                </w:rPr>
                <w:delText>Humira /MTX</w:delText>
              </w:r>
            </w:del>
          </w:p>
          <w:p w14:paraId="7994DC3C" w14:textId="77777777" w:rsidR="002E5A81" w:rsidRPr="00BC0E7E" w:rsidRDefault="00944B8F" w:rsidP="00762FA7">
            <w:pPr>
              <w:keepNext/>
              <w:tabs>
                <w:tab w:val="clear" w:pos="562"/>
              </w:tabs>
              <w:ind w:right="51"/>
              <w:rPr>
                <w:del w:id="7599" w:author="AbbVie19" w:date="2025-04-16T10:42:00Z"/>
                <w:bCs/>
              </w:rPr>
            </w:pPr>
            <w:del w:id="7600" w:author="AbbVie19" w:date="2025-04-16T10:42:00Z">
              <w:r w:rsidRPr="00BC0E7E">
                <w:rPr>
                  <w:bCs/>
                </w:rPr>
                <w:delText>(N = 38)</w:delText>
              </w:r>
            </w:del>
          </w:p>
          <w:p w14:paraId="5ED1CFB3" w14:textId="77777777" w:rsidR="002E5A81" w:rsidRPr="00BC0E7E" w:rsidRDefault="002E5A81" w:rsidP="00762FA7">
            <w:pPr>
              <w:keepNext/>
              <w:tabs>
                <w:tab w:val="clear" w:pos="562"/>
              </w:tabs>
              <w:ind w:right="51"/>
              <w:rPr>
                <w:del w:id="7601" w:author="AbbVie19" w:date="2025-04-16T10:42:00Z"/>
                <w:bCs/>
              </w:rPr>
            </w:pPr>
          </w:p>
        </w:tc>
        <w:tc>
          <w:tcPr>
            <w:tcW w:w="1760" w:type="dxa"/>
          </w:tcPr>
          <w:p w14:paraId="3219E111" w14:textId="77777777" w:rsidR="002E5A81" w:rsidRPr="00BC0E7E" w:rsidRDefault="00944B8F" w:rsidP="00762FA7">
            <w:pPr>
              <w:keepNext/>
              <w:tabs>
                <w:tab w:val="clear" w:pos="562"/>
              </w:tabs>
              <w:ind w:right="51"/>
              <w:rPr>
                <w:del w:id="7602" w:author="AbbVie19" w:date="2025-04-16T10:42:00Z"/>
                <w:bCs/>
              </w:rPr>
            </w:pPr>
            <w:del w:id="7603" w:author="AbbVie19" w:date="2025-04-16T10:42:00Z">
              <w:r w:rsidRPr="00BC0E7E">
                <w:rPr>
                  <w:bCs/>
                </w:rPr>
                <w:delText>Placebo / MTX</w:delText>
              </w:r>
            </w:del>
          </w:p>
          <w:p w14:paraId="25DC1741" w14:textId="77777777" w:rsidR="002E5A81" w:rsidRPr="00BC0E7E" w:rsidRDefault="00944B8F" w:rsidP="00762FA7">
            <w:pPr>
              <w:keepNext/>
              <w:tabs>
                <w:tab w:val="clear" w:pos="562"/>
              </w:tabs>
              <w:ind w:right="51"/>
              <w:rPr>
                <w:del w:id="7604" w:author="AbbVie19" w:date="2025-04-16T10:42:00Z"/>
                <w:bCs/>
              </w:rPr>
            </w:pPr>
            <w:del w:id="7605" w:author="AbbVie19" w:date="2025-04-16T10:42:00Z">
              <w:r w:rsidRPr="00BC0E7E">
                <w:rPr>
                  <w:bCs/>
                </w:rPr>
                <w:delText>(N = 37)</w:delText>
              </w:r>
            </w:del>
          </w:p>
        </w:tc>
        <w:tc>
          <w:tcPr>
            <w:tcW w:w="1650" w:type="dxa"/>
          </w:tcPr>
          <w:p w14:paraId="0774D66F" w14:textId="77777777" w:rsidR="002E5A81" w:rsidRPr="00BC0E7E" w:rsidRDefault="00944B8F" w:rsidP="00762FA7">
            <w:pPr>
              <w:keepNext/>
              <w:tabs>
                <w:tab w:val="clear" w:pos="562"/>
              </w:tabs>
              <w:ind w:right="51"/>
              <w:rPr>
                <w:del w:id="7606" w:author="AbbVie19" w:date="2025-04-16T10:42:00Z"/>
                <w:bCs/>
              </w:rPr>
            </w:pPr>
            <w:del w:id="7607" w:author="AbbVie19" w:date="2025-04-16T10:42:00Z">
              <w:r w:rsidRPr="00BC0E7E">
                <w:rPr>
                  <w:bCs/>
                </w:rPr>
                <w:delText xml:space="preserve">Humira </w:delText>
              </w:r>
            </w:del>
          </w:p>
          <w:p w14:paraId="28530E2F" w14:textId="77777777" w:rsidR="002E5A81" w:rsidRPr="00BC0E7E" w:rsidRDefault="00944B8F" w:rsidP="00762FA7">
            <w:pPr>
              <w:keepNext/>
              <w:tabs>
                <w:tab w:val="clear" w:pos="562"/>
              </w:tabs>
              <w:ind w:right="51"/>
              <w:rPr>
                <w:del w:id="7608" w:author="AbbVie19" w:date="2025-04-16T10:42:00Z"/>
                <w:bCs/>
              </w:rPr>
            </w:pPr>
            <w:del w:id="7609" w:author="AbbVie19" w:date="2025-04-16T10:42:00Z">
              <w:r w:rsidRPr="00BC0E7E">
                <w:rPr>
                  <w:bCs/>
                </w:rPr>
                <w:delText>(N = 30)</w:delText>
              </w:r>
            </w:del>
          </w:p>
        </w:tc>
        <w:tc>
          <w:tcPr>
            <w:tcW w:w="1589" w:type="dxa"/>
          </w:tcPr>
          <w:p w14:paraId="1553DAD9" w14:textId="77777777" w:rsidR="002E5A81" w:rsidRPr="00BC0E7E" w:rsidRDefault="00944B8F" w:rsidP="00762FA7">
            <w:pPr>
              <w:keepNext/>
              <w:tabs>
                <w:tab w:val="clear" w:pos="562"/>
              </w:tabs>
              <w:ind w:right="51"/>
              <w:rPr>
                <w:del w:id="7610" w:author="AbbVie19" w:date="2025-04-16T10:42:00Z"/>
                <w:bCs/>
              </w:rPr>
            </w:pPr>
            <w:del w:id="7611" w:author="AbbVie19" w:date="2025-04-16T10:42:00Z">
              <w:r w:rsidRPr="00BC0E7E">
                <w:rPr>
                  <w:bCs/>
                </w:rPr>
                <w:delText>Placebo</w:delText>
              </w:r>
            </w:del>
          </w:p>
          <w:p w14:paraId="4CFF6C08" w14:textId="77777777" w:rsidR="002E5A81" w:rsidRPr="00BC0E7E" w:rsidRDefault="00944B8F" w:rsidP="00762FA7">
            <w:pPr>
              <w:keepNext/>
              <w:tabs>
                <w:tab w:val="clear" w:pos="562"/>
              </w:tabs>
              <w:ind w:right="51"/>
              <w:rPr>
                <w:del w:id="7612" w:author="AbbVie19" w:date="2025-04-16T10:42:00Z"/>
                <w:bCs/>
              </w:rPr>
            </w:pPr>
            <w:del w:id="7613" w:author="AbbVie19" w:date="2025-04-16T10:42:00Z">
              <w:r w:rsidRPr="00BC0E7E">
                <w:rPr>
                  <w:bCs/>
                </w:rPr>
                <w:delText>(N = 28)</w:delText>
              </w:r>
            </w:del>
          </w:p>
        </w:tc>
      </w:tr>
      <w:tr w:rsidR="00C6578C" w14:paraId="0B540C45" w14:textId="77777777" w:rsidTr="00271199">
        <w:trPr>
          <w:del w:id="7614" w:author="AbbVie19" w:date="2025-04-16T10:42:00Z"/>
        </w:trPr>
        <w:tc>
          <w:tcPr>
            <w:tcW w:w="2418" w:type="dxa"/>
          </w:tcPr>
          <w:p w14:paraId="201FDB64" w14:textId="77777777" w:rsidR="002E5A81" w:rsidRPr="00BC0E7E" w:rsidRDefault="00944B8F" w:rsidP="00762FA7">
            <w:pPr>
              <w:keepNext/>
              <w:tabs>
                <w:tab w:val="clear" w:pos="562"/>
              </w:tabs>
              <w:ind w:left="567" w:right="51"/>
              <w:rPr>
                <w:del w:id="7615" w:author="AbbVie19" w:date="2025-04-16T10:42:00Z"/>
                <w:bCs/>
              </w:rPr>
            </w:pPr>
            <w:del w:id="7616" w:author="AbbVie19" w:date="2025-04-16T10:42:00Z">
              <w:r w:rsidRPr="00BC0E7E">
                <w:rPr>
                  <w:bCs/>
                </w:rPr>
                <w:delText>Disease flares at the end of 32</w:delText>
              </w:r>
              <w:r w:rsidRPr="00BC0E7E">
                <w:rPr>
                  <w:sz w:val="24"/>
                </w:rPr>
                <w:delText> </w:delText>
              </w:r>
              <w:r w:rsidRPr="00BC0E7E">
                <w:rPr>
                  <w:bCs/>
                </w:rPr>
                <w:delText>weeks</w:delText>
              </w:r>
              <w:r w:rsidRPr="00BC0E7E">
                <w:rPr>
                  <w:bCs/>
                  <w:vertAlign w:val="superscript"/>
                </w:rPr>
                <w:delText>a</w:delText>
              </w:r>
              <w:r w:rsidRPr="00BC0E7E">
                <w:rPr>
                  <w:bCs/>
                </w:rPr>
                <w:delText xml:space="preserve"> (n/N)</w:delText>
              </w:r>
            </w:del>
          </w:p>
        </w:tc>
        <w:tc>
          <w:tcPr>
            <w:tcW w:w="1760" w:type="dxa"/>
          </w:tcPr>
          <w:p w14:paraId="01303BD0" w14:textId="77777777" w:rsidR="002E5A81" w:rsidRPr="00BC0E7E" w:rsidRDefault="00944B8F" w:rsidP="00762FA7">
            <w:pPr>
              <w:keepNext/>
              <w:tabs>
                <w:tab w:val="clear" w:pos="562"/>
              </w:tabs>
              <w:ind w:right="51"/>
              <w:rPr>
                <w:del w:id="7617" w:author="AbbVie19" w:date="2025-04-16T10:42:00Z"/>
                <w:bCs/>
              </w:rPr>
            </w:pPr>
            <w:del w:id="7618" w:author="AbbVie19" w:date="2025-04-16T10:42:00Z">
              <w:r w:rsidRPr="00BC0E7E">
                <w:rPr>
                  <w:bCs/>
                </w:rPr>
                <w:delText>36.8% (14/38)</w:delText>
              </w:r>
            </w:del>
          </w:p>
        </w:tc>
        <w:tc>
          <w:tcPr>
            <w:tcW w:w="1760" w:type="dxa"/>
          </w:tcPr>
          <w:p w14:paraId="32733BAF" w14:textId="77777777" w:rsidR="002E5A81" w:rsidRPr="00BC0E7E" w:rsidRDefault="00944B8F" w:rsidP="00762FA7">
            <w:pPr>
              <w:keepNext/>
              <w:tabs>
                <w:tab w:val="clear" w:pos="562"/>
              </w:tabs>
              <w:ind w:right="51"/>
              <w:rPr>
                <w:del w:id="7619" w:author="AbbVie19" w:date="2025-04-16T10:42:00Z"/>
                <w:bCs/>
              </w:rPr>
            </w:pPr>
            <w:del w:id="7620" w:author="AbbVie19" w:date="2025-04-16T10:42:00Z">
              <w:r w:rsidRPr="00BC0E7E">
                <w:rPr>
                  <w:bCs/>
                </w:rPr>
                <w:delText>64.9% (24/37)</w:delText>
              </w:r>
              <w:r w:rsidRPr="00BC0E7E">
                <w:rPr>
                  <w:bCs/>
                  <w:vertAlign w:val="superscript"/>
                </w:rPr>
                <w:delText>b</w:delText>
              </w:r>
            </w:del>
          </w:p>
        </w:tc>
        <w:tc>
          <w:tcPr>
            <w:tcW w:w="1650" w:type="dxa"/>
          </w:tcPr>
          <w:p w14:paraId="09C566FF" w14:textId="77777777" w:rsidR="002E5A81" w:rsidRPr="00BC0E7E" w:rsidRDefault="00944B8F" w:rsidP="00762FA7">
            <w:pPr>
              <w:keepNext/>
              <w:tabs>
                <w:tab w:val="clear" w:pos="562"/>
              </w:tabs>
              <w:ind w:right="51"/>
              <w:rPr>
                <w:del w:id="7621" w:author="AbbVie19" w:date="2025-04-16T10:42:00Z"/>
                <w:bCs/>
              </w:rPr>
            </w:pPr>
            <w:del w:id="7622" w:author="AbbVie19" w:date="2025-04-16T10:42:00Z">
              <w:r w:rsidRPr="00BC0E7E">
                <w:rPr>
                  <w:bCs/>
                </w:rPr>
                <w:delText>43.3% (13/30)</w:delText>
              </w:r>
            </w:del>
          </w:p>
        </w:tc>
        <w:tc>
          <w:tcPr>
            <w:tcW w:w="1589" w:type="dxa"/>
          </w:tcPr>
          <w:p w14:paraId="750CE903" w14:textId="77777777" w:rsidR="002E5A81" w:rsidRPr="00BC0E7E" w:rsidRDefault="00944B8F" w:rsidP="00762FA7">
            <w:pPr>
              <w:keepNext/>
              <w:tabs>
                <w:tab w:val="clear" w:pos="562"/>
              </w:tabs>
              <w:ind w:right="51"/>
              <w:rPr>
                <w:del w:id="7623" w:author="AbbVie19" w:date="2025-04-16T10:42:00Z"/>
                <w:bCs/>
              </w:rPr>
            </w:pPr>
            <w:del w:id="7624" w:author="AbbVie19" w:date="2025-04-16T10:42:00Z">
              <w:r w:rsidRPr="00BC0E7E">
                <w:rPr>
                  <w:bCs/>
                </w:rPr>
                <w:delText>71.4% (20/28)</w:delText>
              </w:r>
              <w:r w:rsidRPr="00BC0E7E">
                <w:rPr>
                  <w:bCs/>
                  <w:vertAlign w:val="superscript"/>
                </w:rPr>
                <w:delText>c</w:delText>
              </w:r>
            </w:del>
          </w:p>
        </w:tc>
      </w:tr>
      <w:tr w:rsidR="00C6578C" w14:paraId="3FD44324" w14:textId="77777777" w:rsidTr="00271199">
        <w:trPr>
          <w:del w:id="7625" w:author="AbbVie19" w:date="2025-04-16T10:42:00Z"/>
        </w:trPr>
        <w:tc>
          <w:tcPr>
            <w:tcW w:w="2418" w:type="dxa"/>
          </w:tcPr>
          <w:p w14:paraId="32676BCA" w14:textId="77777777" w:rsidR="002E5A81" w:rsidRPr="00BC0E7E" w:rsidRDefault="00944B8F" w:rsidP="00762FA7">
            <w:pPr>
              <w:keepNext/>
              <w:tabs>
                <w:tab w:val="clear" w:pos="562"/>
              </w:tabs>
              <w:ind w:left="567" w:right="51"/>
              <w:rPr>
                <w:del w:id="7626" w:author="AbbVie19" w:date="2025-04-16T10:42:00Z"/>
                <w:bCs/>
              </w:rPr>
            </w:pPr>
            <w:del w:id="7627" w:author="AbbVie19" w:date="2025-04-16T10:42:00Z">
              <w:r w:rsidRPr="00BC0E7E">
                <w:rPr>
                  <w:bCs/>
                </w:rPr>
                <w:delText>Median time to disease flare</w:delText>
              </w:r>
            </w:del>
          </w:p>
        </w:tc>
        <w:tc>
          <w:tcPr>
            <w:tcW w:w="1760" w:type="dxa"/>
          </w:tcPr>
          <w:p w14:paraId="449EEB1D" w14:textId="77777777" w:rsidR="002E5A81" w:rsidRPr="00BC0E7E" w:rsidRDefault="00944B8F" w:rsidP="00762FA7">
            <w:pPr>
              <w:keepNext/>
              <w:tabs>
                <w:tab w:val="clear" w:pos="562"/>
              </w:tabs>
              <w:ind w:right="51"/>
              <w:rPr>
                <w:del w:id="7628" w:author="AbbVie19" w:date="2025-04-16T10:42:00Z"/>
                <w:bCs/>
              </w:rPr>
            </w:pPr>
            <w:del w:id="7629" w:author="AbbVie19" w:date="2025-04-16T10:42:00Z">
              <w:r w:rsidRPr="00BC0E7E">
                <w:rPr>
                  <w:bCs/>
                </w:rPr>
                <w:delText>&gt;32</w:delText>
              </w:r>
              <w:r w:rsidRPr="00BC0E7E">
                <w:rPr>
                  <w:sz w:val="24"/>
                </w:rPr>
                <w:delText> </w:delText>
              </w:r>
              <w:r w:rsidRPr="00BC0E7E">
                <w:rPr>
                  <w:bCs/>
                </w:rPr>
                <w:delText>weeks</w:delText>
              </w:r>
            </w:del>
          </w:p>
        </w:tc>
        <w:tc>
          <w:tcPr>
            <w:tcW w:w="1760" w:type="dxa"/>
          </w:tcPr>
          <w:p w14:paraId="1FAEA35C" w14:textId="77777777" w:rsidR="002E5A81" w:rsidRPr="00BC0E7E" w:rsidRDefault="00944B8F" w:rsidP="00762FA7">
            <w:pPr>
              <w:keepNext/>
              <w:tabs>
                <w:tab w:val="clear" w:pos="562"/>
              </w:tabs>
              <w:ind w:right="51"/>
              <w:rPr>
                <w:del w:id="7630" w:author="AbbVie19" w:date="2025-04-16T10:42:00Z"/>
                <w:bCs/>
              </w:rPr>
            </w:pPr>
            <w:del w:id="7631" w:author="AbbVie19" w:date="2025-04-16T10:42:00Z">
              <w:r w:rsidRPr="00BC0E7E">
                <w:rPr>
                  <w:bCs/>
                </w:rPr>
                <w:delText>20</w:delText>
              </w:r>
              <w:r w:rsidRPr="00BC0E7E">
                <w:rPr>
                  <w:sz w:val="24"/>
                </w:rPr>
                <w:delText> </w:delText>
              </w:r>
              <w:r w:rsidRPr="00BC0E7E">
                <w:rPr>
                  <w:bCs/>
                </w:rPr>
                <w:delText>weeks</w:delText>
              </w:r>
            </w:del>
          </w:p>
        </w:tc>
        <w:tc>
          <w:tcPr>
            <w:tcW w:w="1650" w:type="dxa"/>
          </w:tcPr>
          <w:p w14:paraId="09BDC283" w14:textId="77777777" w:rsidR="002E5A81" w:rsidRPr="00BC0E7E" w:rsidRDefault="00944B8F" w:rsidP="00762FA7">
            <w:pPr>
              <w:keepNext/>
              <w:tabs>
                <w:tab w:val="clear" w:pos="562"/>
              </w:tabs>
              <w:ind w:right="51"/>
              <w:rPr>
                <w:del w:id="7632" w:author="AbbVie19" w:date="2025-04-16T10:42:00Z"/>
                <w:bCs/>
              </w:rPr>
            </w:pPr>
            <w:del w:id="7633" w:author="AbbVie19" w:date="2025-04-16T10:42:00Z">
              <w:r w:rsidRPr="00BC0E7E">
                <w:rPr>
                  <w:bCs/>
                </w:rPr>
                <w:delText>&gt;32</w:delText>
              </w:r>
              <w:r w:rsidRPr="00BC0E7E">
                <w:rPr>
                  <w:sz w:val="24"/>
                </w:rPr>
                <w:delText> </w:delText>
              </w:r>
              <w:r w:rsidRPr="00BC0E7E">
                <w:rPr>
                  <w:bCs/>
                </w:rPr>
                <w:delText>weeks</w:delText>
              </w:r>
            </w:del>
          </w:p>
        </w:tc>
        <w:tc>
          <w:tcPr>
            <w:tcW w:w="1589" w:type="dxa"/>
          </w:tcPr>
          <w:p w14:paraId="4FDBD702" w14:textId="77777777" w:rsidR="002E5A81" w:rsidRPr="00BC0E7E" w:rsidRDefault="00944B8F" w:rsidP="00762FA7">
            <w:pPr>
              <w:keepNext/>
              <w:tabs>
                <w:tab w:val="clear" w:pos="562"/>
              </w:tabs>
              <w:ind w:right="51"/>
              <w:rPr>
                <w:del w:id="7634" w:author="AbbVie19" w:date="2025-04-16T10:42:00Z"/>
                <w:bCs/>
              </w:rPr>
            </w:pPr>
            <w:del w:id="7635" w:author="AbbVie19" w:date="2025-04-16T10:42:00Z">
              <w:r w:rsidRPr="00BC0E7E">
                <w:rPr>
                  <w:bCs/>
                </w:rPr>
                <w:delText>14</w:delText>
              </w:r>
              <w:r w:rsidRPr="00BC0E7E">
                <w:rPr>
                  <w:sz w:val="24"/>
                </w:rPr>
                <w:delText> </w:delText>
              </w:r>
              <w:r w:rsidRPr="00BC0E7E">
                <w:rPr>
                  <w:bCs/>
                </w:rPr>
                <w:delText>weeks</w:delText>
              </w:r>
            </w:del>
          </w:p>
        </w:tc>
      </w:tr>
    </w:tbl>
    <w:p w14:paraId="4D2086A2" w14:textId="77777777" w:rsidR="002E5A81" w:rsidRPr="00BC0E7E" w:rsidRDefault="002E5A81" w:rsidP="00762FA7">
      <w:pPr>
        <w:keepNext/>
        <w:tabs>
          <w:tab w:val="clear" w:pos="562"/>
        </w:tabs>
        <w:ind w:left="110" w:right="51"/>
        <w:rPr>
          <w:del w:id="7636" w:author="AbbVie19" w:date="2025-04-16T10:42:00Z"/>
          <w:b/>
          <w:bCs/>
          <w:sz w:val="24"/>
          <w:vertAlign w:val="superscript"/>
        </w:rPr>
      </w:pPr>
    </w:p>
    <w:p w14:paraId="73D9C46C" w14:textId="77777777" w:rsidR="002E5A81" w:rsidRPr="00BC0E7E" w:rsidRDefault="00944B8F" w:rsidP="00762FA7">
      <w:pPr>
        <w:keepNext/>
        <w:tabs>
          <w:tab w:val="clear" w:pos="562"/>
        </w:tabs>
        <w:ind w:left="110" w:right="51"/>
        <w:rPr>
          <w:del w:id="7637" w:author="AbbVie19" w:date="2025-04-16T10:42:00Z"/>
          <w:bCs/>
          <w:i/>
          <w:iCs/>
          <w:szCs w:val="22"/>
        </w:rPr>
      </w:pPr>
      <w:del w:id="7638" w:author="AbbVie19" w:date="2025-04-16T10:42:00Z">
        <w:r w:rsidRPr="00BC0E7E">
          <w:rPr>
            <w:bCs/>
            <w:szCs w:val="22"/>
            <w:vertAlign w:val="superscript"/>
          </w:rPr>
          <w:delText xml:space="preserve">a </w:delText>
        </w:r>
        <w:r w:rsidRPr="00BC0E7E">
          <w:rPr>
            <w:bCs/>
            <w:szCs w:val="22"/>
          </w:rPr>
          <w:delText xml:space="preserve">Ped ACR 30/50/70 responses Week 48 significantly greater than those of placebo treated patients </w:delText>
        </w:r>
      </w:del>
    </w:p>
    <w:p w14:paraId="04515FB2" w14:textId="77777777" w:rsidR="002E5A81" w:rsidRPr="00BC0E7E" w:rsidRDefault="00944B8F" w:rsidP="00762FA7">
      <w:pPr>
        <w:keepNext/>
        <w:tabs>
          <w:tab w:val="clear" w:pos="562"/>
        </w:tabs>
        <w:ind w:left="110" w:right="51"/>
        <w:rPr>
          <w:del w:id="7639" w:author="AbbVie19" w:date="2025-04-16T10:42:00Z"/>
          <w:bCs/>
          <w:szCs w:val="22"/>
        </w:rPr>
      </w:pPr>
      <w:del w:id="7640" w:author="AbbVie19" w:date="2025-04-16T10:42:00Z">
        <w:r w:rsidRPr="00BC0E7E">
          <w:rPr>
            <w:bCs/>
            <w:szCs w:val="22"/>
            <w:vertAlign w:val="superscript"/>
          </w:rPr>
          <w:delText>b</w:delText>
        </w:r>
        <w:r w:rsidRPr="00BC0E7E">
          <w:rPr>
            <w:bCs/>
            <w:szCs w:val="22"/>
          </w:rPr>
          <w:delText xml:space="preserve"> p =</w:delText>
        </w:r>
        <w:r w:rsidRPr="00BC0E7E">
          <w:rPr>
            <w:sz w:val="24"/>
          </w:rPr>
          <w:delText> </w:delText>
        </w:r>
        <w:r w:rsidRPr="00BC0E7E">
          <w:rPr>
            <w:bCs/>
            <w:szCs w:val="22"/>
          </w:rPr>
          <w:delText>0.015</w:delText>
        </w:r>
      </w:del>
    </w:p>
    <w:p w14:paraId="40D0D7E7" w14:textId="77777777" w:rsidR="002E5A81" w:rsidRPr="00BC0E7E" w:rsidRDefault="00944B8F" w:rsidP="00762FA7">
      <w:pPr>
        <w:keepNext/>
        <w:tabs>
          <w:tab w:val="clear" w:pos="562"/>
        </w:tabs>
        <w:ind w:left="110" w:right="51"/>
        <w:rPr>
          <w:del w:id="7641" w:author="AbbVie19" w:date="2025-04-16T10:42:00Z"/>
          <w:bCs/>
          <w:szCs w:val="22"/>
        </w:rPr>
      </w:pPr>
      <w:del w:id="7642" w:author="AbbVie19" w:date="2025-04-16T10:42:00Z">
        <w:r w:rsidRPr="00BC0E7E">
          <w:rPr>
            <w:bCs/>
            <w:szCs w:val="22"/>
            <w:vertAlign w:val="superscript"/>
          </w:rPr>
          <w:delText>c</w:delText>
        </w:r>
        <w:r w:rsidRPr="00BC0E7E">
          <w:rPr>
            <w:bCs/>
            <w:szCs w:val="22"/>
          </w:rPr>
          <w:delText xml:space="preserve"> p =</w:delText>
        </w:r>
        <w:r w:rsidRPr="00BC0E7E">
          <w:rPr>
            <w:sz w:val="24"/>
          </w:rPr>
          <w:delText> </w:delText>
        </w:r>
        <w:r w:rsidRPr="00BC0E7E">
          <w:rPr>
            <w:bCs/>
            <w:szCs w:val="22"/>
          </w:rPr>
          <w:delText>0.031</w:delText>
        </w:r>
      </w:del>
    </w:p>
    <w:p w14:paraId="26F78127" w14:textId="77777777" w:rsidR="002E5A81" w:rsidRPr="003F7AAE" w:rsidRDefault="002E5A81" w:rsidP="00762FA7">
      <w:pPr>
        <w:tabs>
          <w:tab w:val="clear" w:pos="562"/>
        </w:tabs>
        <w:ind w:left="110" w:right="53"/>
        <w:rPr>
          <w:del w:id="7643" w:author="AbbVie19" w:date="2025-04-16T10:42:00Z"/>
          <w:bCs/>
          <w:szCs w:val="22"/>
        </w:rPr>
      </w:pPr>
    </w:p>
    <w:p w14:paraId="00226C8B" w14:textId="77777777" w:rsidR="002E5A81" w:rsidRPr="00BC0E7E" w:rsidRDefault="00944B8F" w:rsidP="00762FA7">
      <w:pPr>
        <w:rPr>
          <w:del w:id="7644" w:author="AbbVie19" w:date="2025-04-16T10:42:00Z"/>
          <w:szCs w:val="20"/>
        </w:rPr>
      </w:pPr>
      <w:del w:id="7645" w:author="AbbVie19" w:date="2025-04-16T10:42:00Z">
        <w:r w:rsidRPr="00BC0E7E">
          <w:rPr>
            <w:szCs w:val="20"/>
          </w:rPr>
          <w:delText>Amongst those who responded at Week 16 (n=144), the P</w:delText>
        </w:r>
        <w:r w:rsidR="00043E67">
          <w:rPr>
            <w:szCs w:val="20"/>
          </w:rPr>
          <w:delText>a</w:delText>
        </w:r>
        <w:r w:rsidRPr="00BC0E7E">
          <w:rPr>
            <w:szCs w:val="20"/>
          </w:rPr>
          <w:delText>ediatric ACR 30/50/70/90 responses were maintained for up to six years in the OLE phase in patients who received Humira throughout the study.</w:delText>
        </w:r>
        <w:r w:rsidRPr="00BC0E7E">
          <w:rPr>
            <w:szCs w:val="22"/>
          </w:rPr>
          <w:delText xml:space="preserve"> Over all 19 subjects, of which 11 of the baseline age group 4 to 12 and 8 of the baseline age group 13 to 17</w:delText>
        </w:r>
        <w:r w:rsidRPr="00BC0E7E">
          <w:rPr>
            <w:szCs w:val="20"/>
          </w:rPr>
          <w:delText> </w:delText>
        </w:r>
        <w:r w:rsidRPr="00BC0E7E">
          <w:rPr>
            <w:szCs w:val="22"/>
          </w:rPr>
          <w:delText>years were treated 6</w:delText>
        </w:r>
        <w:r w:rsidRPr="00BC0E7E">
          <w:rPr>
            <w:szCs w:val="20"/>
          </w:rPr>
          <w:delText> </w:delText>
        </w:r>
        <w:r w:rsidRPr="00BC0E7E">
          <w:rPr>
            <w:szCs w:val="22"/>
          </w:rPr>
          <w:delText>years or longer.</w:delText>
        </w:r>
      </w:del>
    </w:p>
    <w:p w14:paraId="43AACCE3" w14:textId="77777777" w:rsidR="002E5A81" w:rsidRPr="00BC0E7E" w:rsidRDefault="002E5A81" w:rsidP="00762FA7">
      <w:pPr>
        <w:rPr>
          <w:del w:id="7646" w:author="AbbVie19" w:date="2025-04-16T10:42:00Z"/>
          <w:szCs w:val="20"/>
        </w:rPr>
      </w:pPr>
    </w:p>
    <w:p w14:paraId="0A8309BF" w14:textId="77777777" w:rsidR="002E5A81" w:rsidRPr="00BC0E7E" w:rsidRDefault="00944B8F" w:rsidP="00762FA7">
      <w:pPr>
        <w:rPr>
          <w:del w:id="7647" w:author="AbbVie19" w:date="2025-04-16T10:42:00Z"/>
          <w:szCs w:val="20"/>
        </w:rPr>
      </w:pPr>
      <w:del w:id="7648" w:author="AbbVie19" w:date="2025-04-16T10:42:00Z">
        <w:r w:rsidRPr="00BC0E7E">
          <w:rPr>
            <w:szCs w:val="20"/>
          </w:rPr>
          <w:delText>Overall responses were generally better and, fewer patients developed antibodies when treated with the combination of Humira and MTX compared to Humira alone. Taking these results into consideration, Humira is recommended for use in combination with MTX and for use as monotherapy in patients for whom MTX use is not appropriate (see section 4.2).</w:delText>
        </w:r>
      </w:del>
    </w:p>
    <w:p w14:paraId="601987C0" w14:textId="77777777" w:rsidR="002E5A81" w:rsidRPr="00BC0E7E" w:rsidRDefault="002E5A81" w:rsidP="00762FA7">
      <w:pPr>
        <w:rPr>
          <w:del w:id="7649" w:author="AbbVie19" w:date="2025-04-16T10:42:00Z"/>
          <w:szCs w:val="20"/>
        </w:rPr>
      </w:pPr>
    </w:p>
    <w:p w14:paraId="4E79C6C3" w14:textId="77777777" w:rsidR="002E5A81" w:rsidRPr="00BC0E7E" w:rsidRDefault="00944B8F" w:rsidP="00762FA7">
      <w:pPr>
        <w:keepNext/>
        <w:rPr>
          <w:del w:id="7650" w:author="AbbVie19" w:date="2025-04-16T10:42:00Z"/>
          <w:szCs w:val="20"/>
        </w:rPr>
      </w:pPr>
      <w:del w:id="7651" w:author="AbbVie19" w:date="2025-04-16T10:42:00Z">
        <w:r w:rsidRPr="00BC0E7E">
          <w:rPr>
            <w:szCs w:val="20"/>
          </w:rPr>
          <w:delText>pJIA II</w:delText>
        </w:r>
      </w:del>
    </w:p>
    <w:p w14:paraId="30CB03E7" w14:textId="77777777" w:rsidR="002E5A81" w:rsidRPr="00BC0E7E" w:rsidRDefault="002E5A81" w:rsidP="00762FA7">
      <w:pPr>
        <w:keepNext/>
        <w:rPr>
          <w:del w:id="7652" w:author="AbbVie19" w:date="2025-04-16T10:42:00Z"/>
          <w:szCs w:val="20"/>
        </w:rPr>
      </w:pPr>
    </w:p>
    <w:p w14:paraId="77617F52" w14:textId="77777777" w:rsidR="002E5A81" w:rsidRPr="00BC0E7E" w:rsidRDefault="00944B8F" w:rsidP="00762FA7">
      <w:pPr>
        <w:keepNext/>
        <w:tabs>
          <w:tab w:val="left" w:pos="6840"/>
        </w:tabs>
        <w:autoSpaceDE w:val="0"/>
        <w:autoSpaceDN w:val="0"/>
        <w:adjustRightInd w:val="0"/>
        <w:ind w:right="53"/>
        <w:rPr>
          <w:del w:id="7653" w:author="AbbVie19" w:date="2025-04-16T10:42:00Z"/>
        </w:rPr>
      </w:pPr>
      <w:del w:id="7654" w:author="AbbVie19" w:date="2025-04-16T10:42:00Z">
        <w:r w:rsidRPr="00BC0E7E">
          <w:delText xml:space="preserve">The safety and efficacy of Humira was assessed in an open-label, </w:delText>
        </w:r>
        <w:r w:rsidRPr="00BC0E7E">
          <w:rPr>
            <w:szCs w:val="22"/>
          </w:rPr>
          <w:delText>multicentre</w:delText>
        </w:r>
        <w:r w:rsidRPr="00BC0E7E">
          <w:delText xml:space="preserve"> study in 32 children (2 - &lt;4 years old or</w:delText>
        </w:r>
        <w:r w:rsidRPr="00BC0E7E">
          <w:rPr>
            <w:szCs w:val="22"/>
          </w:rPr>
          <w:delText xml:space="preserve"> aged 4 and above weighing &lt;</w:delText>
        </w:r>
        <w:r w:rsidRPr="00BC0E7E">
          <w:delText> </w:delText>
        </w:r>
        <w:r w:rsidRPr="00BC0E7E">
          <w:rPr>
            <w:szCs w:val="22"/>
          </w:rPr>
          <w:delText>15</w:delText>
        </w:r>
        <w:r w:rsidRPr="00BC0E7E">
          <w:delText> </w:delText>
        </w:r>
        <w:r w:rsidRPr="00BC0E7E">
          <w:rPr>
            <w:szCs w:val="22"/>
          </w:rPr>
          <w:delText>kg</w:delText>
        </w:r>
        <w:r w:rsidRPr="00BC0E7E">
          <w:delText xml:space="preserve">) with moderately to severely active polyarticular JIA. The patients </w:delText>
        </w:r>
        <w:r w:rsidRPr="00BC0E7E">
          <w:rPr>
            <w:szCs w:val="22"/>
          </w:rPr>
          <w:delText>received 24</w:delText>
        </w:r>
        <w:r w:rsidRPr="00BC0E7E">
          <w:delText> </w:delText>
        </w:r>
        <w:r w:rsidRPr="00BC0E7E">
          <w:rPr>
            <w:szCs w:val="22"/>
          </w:rPr>
          <w:delText>mg/m</w:delText>
        </w:r>
        <w:r w:rsidRPr="00BC0E7E">
          <w:rPr>
            <w:szCs w:val="22"/>
            <w:vertAlign w:val="superscript"/>
          </w:rPr>
          <w:delText>2</w:delText>
        </w:r>
        <w:r w:rsidRPr="00BC0E7E">
          <w:rPr>
            <w:szCs w:val="22"/>
          </w:rPr>
          <w:delText xml:space="preserve"> body surface area (BSA) of Humira up to a maximum of 20</w:delText>
        </w:r>
        <w:r w:rsidRPr="00BC0E7E">
          <w:delText> </w:delText>
        </w:r>
        <w:r w:rsidRPr="00BC0E7E">
          <w:rPr>
            <w:szCs w:val="22"/>
          </w:rPr>
          <w:delText>mg every other week as a single dose via SC injection for at least 24</w:delText>
        </w:r>
        <w:r w:rsidRPr="00BC0E7E">
          <w:delText> </w:delText>
        </w:r>
        <w:r w:rsidRPr="00BC0E7E">
          <w:rPr>
            <w:szCs w:val="22"/>
          </w:rPr>
          <w:delText>weeks. During the study, most subjects used concomitant MTX, with fewer reporting use of corticosteroids or NSAIDs.</w:delText>
        </w:r>
      </w:del>
    </w:p>
    <w:p w14:paraId="725E54C9" w14:textId="77777777" w:rsidR="002E5A81" w:rsidRPr="00BC0E7E" w:rsidRDefault="002E5A81" w:rsidP="00762FA7">
      <w:pPr>
        <w:rPr>
          <w:del w:id="7655" w:author="AbbVie19" w:date="2025-04-16T10:42:00Z"/>
          <w:szCs w:val="20"/>
        </w:rPr>
      </w:pPr>
    </w:p>
    <w:p w14:paraId="27E7A7B8" w14:textId="77777777" w:rsidR="002E5A81" w:rsidRPr="00BC0E7E" w:rsidRDefault="00944B8F" w:rsidP="00762FA7">
      <w:pPr>
        <w:rPr>
          <w:del w:id="7656" w:author="AbbVie19" w:date="2025-04-16T10:42:00Z"/>
          <w:szCs w:val="22"/>
        </w:rPr>
      </w:pPr>
      <w:del w:id="7657" w:author="AbbVie19" w:date="2025-04-16T10:42:00Z">
        <w:r w:rsidRPr="00BC0E7E">
          <w:rPr>
            <w:szCs w:val="22"/>
          </w:rPr>
          <w:delText>At Week</w:delText>
        </w:r>
        <w:r w:rsidRPr="00BC0E7E">
          <w:rPr>
            <w:szCs w:val="20"/>
          </w:rPr>
          <w:delText> </w:delText>
        </w:r>
        <w:r w:rsidRPr="00BC0E7E">
          <w:rPr>
            <w:szCs w:val="22"/>
          </w:rPr>
          <w:delText>12 and Week</w:delText>
        </w:r>
        <w:r w:rsidRPr="00BC0E7E">
          <w:rPr>
            <w:szCs w:val="20"/>
          </w:rPr>
          <w:delText> </w:delText>
        </w:r>
        <w:r w:rsidRPr="00BC0E7E">
          <w:rPr>
            <w:szCs w:val="22"/>
          </w:rPr>
          <w:delText>24, PedACR30 response was 93.5% and 90.0%, respectively, using the observed data approach. The proportions of subjects with PedACR50/70/90 at Week</w:delText>
        </w:r>
        <w:r w:rsidRPr="00BC0E7E">
          <w:rPr>
            <w:szCs w:val="20"/>
          </w:rPr>
          <w:delText> </w:delText>
        </w:r>
        <w:r w:rsidRPr="00BC0E7E">
          <w:rPr>
            <w:szCs w:val="22"/>
          </w:rPr>
          <w:delText>12 and Week</w:delText>
        </w:r>
        <w:r w:rsidRPr="00BC0E7E">
          <w:rPr>
            <w:szCs w:val="20"/>
          </w:rPr>
          <w:delText> </w:delText>
        </w:r>
        <w:r w:rsidRPr="00BC0E7E">
          <w:rPr>
            <w:szCs w:val="22"/>
          </w:rPr>
          <w:delText>24 were 90.3%/61.3%/38.7% and 83.3%/73.3%/36.7%, respectively. Amongst those who responded (P</w:delText>
        </w:r>
        <w:r w:rsidR="00043E67">
          <w:rPr>
            <w:szCs w:val="22"/>
          </w:rPr>
          <w:delText>a</w:delText>
        </w:r>
        <w:r w:rsidRPr="00BC0E7E">
          <w:rPr>
            <w:szCs w:val="22"/>
          </w:rPr>
          <w:delText>ediatric ACR 30) at Week</w:delText>
        </w:r>
        <w:r w:rsidRPr="00BC0E7E">
          <w:rPr>
            <w:szCs w:val="20"/>
          </w:rPr>
          <w:delText> </w:delText>
        </w:r>
        <w:r w:rsidRPr="00BC0E7E">
          <w:rPr>
            <w:szCs w:val="22"/>
          </w:rPr>
          <w:delText>24 (n=27 out of 30 patients), the P</w:delText>
        </w:r>
        <w:r w:rsidR="00043E67">
          <w:rPr>
            <w:szCs w:val="22"/>
          </w:rPr>
          <w:delText>a</w:delText>
        </w:r>
        <w:r w:rsidRPr="00BC0E7E">
          <w:rPr>
            <w:szCs w:val="22"/>
          </w:rPr>
          <w:delText xml:space="preserve">ediatric ACR 30 responses were maintained for up </w:delText>
        </w:r>
        <w:r w:rsidRPr="00BC0E7E">
          <w:rPr>
            <w:szCs w:val="22"/>
          </w:rPr>
          <w:lastRenderedPageBreak/>
          <w:delText>to 60</w:delText>
        </w:r>
        <w:r w:rsidRPr="00BC0E7E">
          <w:rPr>
            <w:szCs w:val="20"/>
          </w:rPr>
          <w:delText> </w:delText>
        </w:r>
        <w:r w:rsidRPr="00BC0E7E">
          <w:rPr>
            <w:szCs w:val="22"/>
          </w:rPr>
          <w:delText>weeks in the OLE phase in patients who received Humira throughout this time period. Overall, 20 subjects were treated for 60</w:delText>
        </w:r>
        <w:r w:rsidRPr="00BC0E7E">
          <w:rPr>
            <w:szCs w:val="20"/>
          </w:rPr>
          <w:delText> </w:delText>
        </w:r>
        <w:r w:rsidRPr="00BC0E7E">
          <w:rPr>
            <w:szCs w:val="22"/>
          </w:rPr>
          <w:delText>weeks or longer.</w:delText>
        </w:r>
      </w:del>
    </w:p>
    <w:p w14:paraId="7D1A0BB1" w14:textId="77777777" w:rsidR="002E5A81" w:rsidRPr="00BC0E7E" w:rsidRDefault="002E5A81" w:rsidP="00762FA7">
      <w:pPr>
        <w:rPr>
          <w:del w:id="7658" w:author="AbbVie19" w:date="2025-04-16T10:42:00Z"/>
          <w:szCs w:val="22"/>
        </w:rPr>
      </w:pPr>
    </w:p>
    <w:p w14:paraId="6B3F7AF0" w14:textId="77777777" w:rsidR="002E5A81" w:rsidRPr="00BC0E7E" w:rsidRDefault="00944B8F" w:rsidP="00762FA7">
      <w:pPr>
        <w:tabs>
          <w:tab w:val="clear" w:pos="562"/>
        </w:tabs>
        <w:suppressAutoHyphens w:val="0"/>
        <w:rPr>
          <w:del w:id="7659" w:author="AbbVie19" w:date="2025-04-16T10:42:00Z"/>
          <w:bCs/>
          <w:szCs w:val="22"/>
          <w:u w:val="single"/>
        </w:rPr>
      </w:pPr>
      <w:del w:id="7660" w:author="AbbVie19" w:date="2025-04-16T10:42:00Z">
        <w:r w:rsidRPr="00BC0E7E">
          <w:rPr>
            <w:bCs/>
            <w:i/>
            <w:szCs w:val="22"/>
            <w:u w:val="single"/>
          </w:rPr>
          <w:delText>Enthesitis-related arthritis</w:delText>
        </w:r>
      </w:del>
    </w:p>
    <w:p w14:paraId="7D5C29EB" w14:textId="77777777" w:rsidR="002E5A81" w:rsidRPr="00BC0E7E" w:rsidRDefault="002E5A81" w:rsidP="00762FA7">
      <w:pPr>
        <w:tabs>
          <w:tab w:val="clear" w:pos="562"/>
        </w:tabs>
        <w:suppressAutoHyphens w:val="0"/>
        <w:rPr>
          <w:del w:id="7661" w:author="AbbVie19" w:date="2025-04-16T10:42:00Z"/>
          <w:bCs/>
          <w:szCs w:val="22"/>
          <w:u w:val="single"/>
        </w:rPr>
      </w:pPr>
    </w:p>
    <w:p w14:paraId="53C10964" w14:textId="77777777" w:rsidR="002E5A81" w:rsidRPr="00BC0E7E" w:rsidRDefault="00944B8F" w:rsidP="00762FA7">
      <w:pPr>
        <w:rPr>
          <w:del w:id="7662" w:author="AbbVie19" w:date="2025-04-16T10:42:00Z"/>
          <w:szCs w:val="20"/>
        </w:rPr>
      </w:pPr>
      <w:del w:id="7663" w:author="AbbVie19" w:date="2025-04-16T10:42:00Z">
        <w:r w:rsidRPr="00BC0E7E">
          <w:rPr>
            <w:szCs w:val="22"/>
          </w:rPr>
          <w:delText>The safety and efficacy of Humira were assessed in a multicentre, randomised, double-blind study in 46 paediatric patients (6 to 17</w:delText>
        </w:r>
        <w:r w:rsidRPr="00BC0E7E">
          <w:rPr>
            <w:szCs w:val="20"/>
          </w:rPr>
          <w:delText> </w:delText>
        </w:r>
        <w:r w:rsidRPr="00BC0E7E">
          <w:rPr>
            <w:szCs w:val="22"/>
          </w:rPr>
          <w:delText>years old) with moderate enthesitis-related arthritis. Patients were randomised to receive either 24</w:delText>
        </w:r>
        <w:r w:rsidRPr="00BC0E7E">
          <w:rPr>
            <w:szCs w:val="20"/>
          </w:rPr>
          <w:delText> </w:delText>
        </w:r>
        <w:r w:rsidRPr="00BC0E7E">
          <w:rPr>
            <w:szCs w:val="22"/>
          </w:rPr>
          <w:delText>mg/m</w:delText>
        </w:r>
        <w:r w:rsidRPr="00BC0E7E">
          <w:rPr>
            <w:szCs w:val="22"/>
            <w:vertAlign w:val="superscript"/>
          </w:rPr>
          <w:delText>2</w:delText>
        </w:r>
        <w:r w:rsidRPr="00BC0E7E">
          <w:rPr>
            <w:szCs w:val="22"/>
          </w:rPr>
          <w:delText xml:space="preserve"> body surface area (BSA) of Humira up to a maximum of 40</w:delText>
        </w:r>
        <w:r w:rsidRPr="00BC0E7E">
          <w:rPr>
            <w:szCs w:val="20"/>
          </w:rPr>
          <w:delText> </w:delText>
        </w:r>
        <w:r w:rsidRPr="00BC0E7E">
          <w:rPr>
            <w:szCs w:val="22"/>
          </w:rPr>
          <w:delText>mg, or placebo every other week for 12</w:delText>
        </w:r>
        <w:r w:rsidRPr="00BC0E7E">
          <w:rPr>
            <w:szCs w:val="20"/>
          </w:rPr>
          <w:delText> </w:delText>
        </w:r>
        <w:r w:rsidRPr="00BC0E7E">
          <w:rPr>
            <w:szCs w:val="22"/>
          </w:rPr>
          <w:delText xml:space="preserve">weeks. The double-blind period is followed by an open-label (OL) period during which patients received </w:delText>
        </w:r>
        <w:r w:rsidRPr="00BC0E7E">
          <w:rPr>
            <w:szCs w:val="20"/>
          </w:rPr>
          <w:delText>24 mg/m</w:delText>
        </w:r>
        <w:r w:rsidRPr="00BC0E7E">
          <w:rPr>
            <w:szCs w:val="20"/>
            <w:vertAlign w:val="superscript"/>
          </w:rPr>
          <w:delText>2</w:delText>
        </w:r>
        <w:r w:rsidRPr="00BC0E7E">
          <w:rPr>
            <w:szCs w:val="20"/>
          </w:rPr>
          <w:delText xml:space="preserve"> BSA of Humira up to a maximum of 40 mg every other week </w:delText>
        </w:r>
        <w:r w:rsidRPr="00BC0E7E">
          <w:rPr>
            <w:szCs w:val="22"/>
          </w:rPr>
          <w:delText>subcutaneously for up to an additional 192</w:delText>
        </w:r>
        <w:r w:rsidRPr="00BC0E7E">
          <w:rPr>
            <w:szCs w:val="20"/>
          </w:rPr>
          <w:delText> </w:delText>
        </w:r>
        <w:r w:rsidRPr="00BC0E7E">
          <w:rPr>
            <w:szCs w:val="22"/>
          </w:rPr>
          <w:delText>weeks. The primary endpoint was the percent change from Baseline to Week</w:delText>
        </w:r>
        <w:r w:rsidRPr="00BC0E7E">
          <w:rPr>
            <w:szCs w:val="20"/>
          </w:rPr>
          <w:delText> </w:delText>
        </w:r>
        <w:r w:rsidRPr="00BC0E7E">
          <w:rPr>
            <w:szCs w:val="22"/>
          </w:rPr>
          <w:delText>12 in the number of active joints with arthritis (swelling not due to deformity or joints with loss of motion plus pain and/or tenderness), which was achieved with mean percent decrease of -62.6% (median percent change -88.9%) in patients in the Humira group compared to -11.6% (median percent change -50.0%) in patients in the placebo group. Improvement in number of active joints with arthritis was maintained during the OL period through Week</w:delText>
        </w:r>
        <w:r w:rsidRPr="00BC0E7E">
          <w:rPr>
            <w:szCs w:val="20"/>
          </w:rPr>
          <w:delText> 1</w:delText>
        </w:r>
        <w:r w:rsidRPr="00BC0E7E">
          <w:rPr>
            <w:szCs w:val="22"/>
          </w:rPr>
          <w:delText>56 for the 26 of 31 (84%) patients in the Humira group who remained in the study. Although not statistically significant, the majority of patients demonstrated clinical improvement in secondary endpoints such as number of sites of enthesitis, tender joint count (TJC), swollen joint count (SJC), P</w:delText>
        </w:r>
        <w:r w:rsidR="00043E67">
          <w:rPr>
            <w:szCs w:val="22"/>
          </w:rPr>
          <w:delText>a</w:delText>
        </w:r>
        <w:r w:rsidRPr="00BC0E7E">
          <w:rPr>
            <w:szCs w:val="22"/>
          </w:rPr>
          <w:delText>ediatric ACR 50 response, and P</w:delText>
        </w:r>
        <w:r w:rsidR="00043E67">
          <w:rPr>
            <w:szCs w:val="22"/>
          </w:rPr>
          <w:delText>a</w:delText>
        </w:r>
        <w:r w:rsidRPr="00BC0E7E">
          <w:rPr>
            <w:szCs w:val="22"/>
          </w:rPr>
          <w:delText>ediatric ACR 70 response.</w:delText>
        </w:r>
      </w:del>
    </w:p>
    <w:p w14:paraId="2F922642" w14:textId="77777777" w:rsidR="002E5A81" w:rsidRPr="00BC0E7E" w:rsidRDefault="002E5A81" w:rsidP="00762FA7">
      <w:pPr>
        <w:rPr>
          <w:del w:id="7664" w:author="AbbVie19" w:date="2025-04-16T10:42:00Z"/>
          <w:szCs w:val="20"/>
        </w:rPr>
      </w:pPr>
    </w:p>
    <w:p w14:paraId="14D27F28" w14:textId="77777777" w:rsidR="002E5A81" w:rsidRPr="00BC0E7E" w:rsidRDefault="00944B8F" w:rsidP="00762FA7">
      <w:pPr>
        <w:tabs>
          <w:tab w:val="clear" w:pos="562"/>
        </w:tabs>
        <w:suppressAutoHyphens w:val="0"/>
        <w:spacing w:line="300" w:lineRule="auto"/>
        <w:rPr>
          <w:del w:id="7665" w:author="AbbVie19" w:date="2025-04-16T10:42:00Z"/>
          <w:bCs/>
          <w:szCs w:val="22"/>
          <w:u w:val="single"/>
        </w:rPr>
      </w:pPr>
      <w:del w:id="7666" w:author="AbbVie19" w:date="2025-04-16T10:42:00Z">
        <w:r w:rsidRPr="00BC0E7E">
          <w:rPr>
            <w:bCs/>
            <w:i/>
            <w:szCs w:val="22"/>
          </w:rPr>
          <w:delText>Paediatric plaque psoriasis</w:delText>
        </w:r>
        <w:r w:rsidRPr="00BC0E7E">
          <w:rPr>
            <w:bCs/>
            <w:szCs w:val="22"/>
            <w:u w:val="single"/>
          </w:rPr>
          <w:delText xml:space="preserve"> </w:delText>
        </w:r>
      </w:del>
    </w:p>
    <w:p w14:paraId="6A64D874" w14:textId="77777777" w:rsidR="002E5A81" w:rsidRPr="00BC0E7E" w:rsidRDefault="002E5A81" w:rsidP="00762FA7">
      <w:pPr>
        <w:autoSpaceDE w:val="0"/>
        <w:autoSpaceDN w:val="0"/>
        <w:adjustRightInd w:val="0"/>
        <w:rPr>
          <w:del w:id="7667" w:author="AbbVie19" w:date="2025-04-16T10:42:00Z"/>
          <w:szCs w:val="22"/>
        </w:rPr>
      </w:pPr>
    </w:p>
    <w:p w14:paraId="39D0B973" w14:textId="77777777" w:rsidR="002E5A81" w:rsidRPr="00BC0E7E" w:rsidRDefault="00944B8F" w:rsidP="00762FA7">
      <w:pPr>
        <w:autoSpaceDE w:val="0"/>
        <w:autoSpaceDN w:val="0"/>
        <w:adjustRightInd w:val="0"/>
        <w:rPr>
          <w:del w:id="7668" w:author="AbbVie19" w:date="2025-04-16T10:42:00Z"/>
          <w:szCs w:val="22"/>
        </w:rPr>
      </w:pPr>
      <w:del w:id="7669" w:author="AbbVie19" w:date="2025-04-16T10:42:00Z">
        <w:r w:rsidRPr="00BC0E7E">
          <w:rPr>
            <w:szCs w:val="22"/>
          </w:rPr>
          <w:delText>The efficacy of Humira was assessed in a randomised, double-blind, controlled study of 114 paediatric patients from 4</w:delText>
        </w:r>
        <w:r w:rsidRPr="00BC0E7E">
          <w:delText> </w:delText>
        </w:r>
        <w:r w:rsidRPr="00BC0E7E">
          <w:rPr>
            <w:szCs w:val="22"/>
          </w:rPr>
          <w:delText>years of age with severe chronic plaque psoriasis (as defined by a PGA ≥</w:delText>
        </w:r>
        <w:r w:rsidRPr="00BC0E7E">
          <w:delText> </w:delText>
        </w:r>
        <w:r w:rsidRPr="00BC0E7E">
          <w:rPr>
            <w:szCs w:val="22"/>
          </w:rPr>
          <w:delText>4 or</w:delText>
        </w:r>
        <w:r w:rsidRPr="00BC0E7E">
          <w:delText> </w:delText>
        </w:r>
        <w:r w:rsidRPr="00BC0E7E">
          <w:rPr>
            <w:szCs w:val="22"/>
          </w:rPr>
          <w:delText>&gt;</w:delText>
        </w:r>
        <w:r w:rsidRPr="00BC0E7E">
          <w:delText> </w:delText>
        </w:r>
        <w:r w:rsidRPr="00BC0E7E">
          <w:rPr>
            <w:szCs w:val="22"/>
          </w:rPr>
          <w:delText>20% BSA involvement or &gt;</w:delText>
        </w:r>
        <w:r w:rsidRPr="00BC0E7E">
          <w:delText> </w:delText>
        </w:r>
        <w:r w:rsidRPr="00BC0E7E">
          <w:rPr>
            <w:szCs w:val="22"/>
          </w:rPr>
          <w:delText>10% BSA involvement with very thick lesions or PASI ≥</w:delText>
        </w:r>
        <w:r w:rsidRPr="00BC0E7E">
          <w:delText> </w:delText>
        </w:r>
        <w:r w:rsidRPr="00BC0E7E">
          <w:rPr>
            <w:szCs w:val="22"/>
          </w:rPr>
          <w:delText>20</w:delText>
        </w:r>
        <w:r w:rsidRPr="00BC0E7E">
          <w:delText> </w:delText>
        </w:r>
        <w:r w:rsidRPr="00BC0E7E">
          <w:rPr>
            <w:szCs w:val="22"/>
          </w:rPr>
          <w:delText>or</w:delText>
        </w:r>
        <w:r w:rsidRPr="00BC0E7E">
          <w:delText> </w:delText>
        </w:r>
        <w:r w:rsidRPr="00BC0E7E">
          <w:rPr>
            <w:szCs w:val="22"/>
          </w:rPr>
          <w:delText>≥</w:delText>
        </w:r>
        <w:r w:rsidRPr="00BC0E7E">
          <w:delText> </w:delText>
        </w:r>
        <w:r w:rsidRPr="00BC0E7E">
          <w:rPr>
            <w:szCs w:val="22"/>
          </w:rPr>
          <w:delText xml:space="preserve">10 with clinically relevant facial, genital, or hand/ foot involvement) who were inadequately controlled with topical therapy and heliotherapy or phototherapy. </w:delText>
        </w:r>
      </w:del>
    </w:p>
    <w:p w14:paraId="17674C6B" w14:textId="77777777" w:rsidR="002E5A81" w:rsidRPr="00BC0E7E" w:rsidRDefault="002E5A81" w:rsidP="00762FA7">
      <w:pPr>
        <w:autoSpaceDE w:val="0"/>
        <w:autoSpaceDN w:val="0"/>
        <w:adjustRightInd w:val="0"/>
        <w:rPr>
          <w:del w:id="7670" w:author="AbbVie19" w:date="2025-04-16T10:42:00Z"/>
          <w:szCs w:val="22"/>
        </w:rPr>
      </w:pPr>
    </w:p>
    <w:p w14:paraId="70EB5DF7" w14:textId="77777777" w:rsidR="002E5A81" w:rsidRPr="00BC0E7E" w:rsidRDefault="00944B8F" w:rsidP="00762FA7">
      <w:pPr>
        <w:autoSpaceDE w:val="0"/>
        <w:autoSpaceDN w:val="0"/>
        <w:adjustRightInd w:val="0"/>
        <w:rPr>
          <w:del w:id="7671" w:author="AbbVie19" w:date="2025-04-16T10:42:00Z"/>
          <w:szCs w:val="22"/>
        </w:rPr>
      </w:pPr>
      <w:del w:id="7672" w:author="AbbVie19" w:date="2025-04-16T10:42:00Z">
        <w:r w:rsidRPr="00BC0E7E">
          <w:rPr>
            <w:szCs w:val="22"/>
          </w:rPr>
          <w:delText>Patients received Humira 0.8 mg/kg eow (up to 40</w:delText>
        </w:r>
        <w:r w:rsidRPr="00BC0E7E">
          <w:delText> </w:delText>
        </w:r>
        <w:r w:rsidRPr="00BC0E7E">
          <w:rPr>
            <w:szCs w:val="22"/>
          </w:rPr>
          <w:delText>mg), 0.4</w:delText>
        </w:r>
        <w:r w:rsidRPr="00BC0E7E">
          <w:delText> </w:delText>
        </w:r>
        <w:r w:rsidRPr="00BC0E7E">
          <w:rPr>
            <w:szCs w:val="22"/>
          </w:rPr>
          <w:delText>mg/kg</w:delText>
        </w:r>
        <w:r w:rsidRPr="00BC0E7E">
          <w:delText> </w:delText>
        </w:r>
        <w:r w:rsidRPr="00BC0E7E">
          <w:rPr>
            <w:szCs w:val="22"/>
          </w:rPr>
          <w:delText>eow (up to 20</w:delText>
        </w:r>
        <w:r w:rsidRPr="00BC0E7E">
          <w:delText> </w:delText>
        </w:r>
        <w:r w:rsidRPr="00BC0E7E">
          <w:rPr>
            <w:szCs w:val="22"/>
          </w:rPr>
          <w:delText>mg), or methotrexate 0.1 – 0.4</w:delText>
        </w:r>
        <w:r w:rsidRPr="00BC0E7E">
          <w:delText> </w:delText>
        </w:r>
        <w:r w:rsidRPr="00BC0E7E">
          <w:rPr>
            <w:szCs w:val="22"/>
          </w:rPr>
          <w:delText>mg/kg</w:delText>
        </w:r>
        <w:r w:rsidRPr="00BC0E7E">
          <w:delText> </w:delText>
        </w:r>
        <w:r w:rsidRPr="00BC0E7E">
          <w:rPr>
            <w:szCs w:val="22"/>
          </w:rPr>
          <w:delText>weekly (up to 25</w:delText>
        </w:r>
        <w:r w:rsidRPr="00BC0E7E">
          <w:delText> </w:delText>
        </w:r>
        <w:r w:rsidRPr="00BC0E7E">
          <w:rPr>
            <w:szCs w:val="22"/>
          </w:rPr>
          <w:delText>mg).   At Week</w:delText>
        </w:r>
        <w:r w:rsidRPr="00BC0E7E">
          <w:delText> </w:delText>
        </w:r>
        <w:r w:rsidRPr="00BC0E7E">
          <w:rPr>
            <w:szCs w:val="22"/>
          </w:rPr>
          <w:delText>16, more patients randomised to Humira 0.8</w:delText>
        </w:r>
        <w:r w:rsidRPr="00BC0E7E">
          <w:delText> </w:delText>
        </w:r>
        <w:r w:rsidRPr="00BC0E7E">
          <w:rPr>
            <w:szCs w:val="22"/>
          </w:rPr>
          <w:delText>mg/kg had positive efficacy responses (e.g., PASI 75) than those randomised to 0.4 mg/kg</w:delText>
        </w:r>
        <w:r w:rsidRPr="00BC0E7E">
          <w:delText> </w:delText>
        </w:r>
        <w:r w:rsidRPr="00BC0E7E">
          <w:rPr>
            <w:szCs w:val="22"/>
          </w:rPr>
          <w:delText xml:space="preserve">eow or MTX.  </w:delText>
        </w:r>
      </w:del>
    </w:p>
    <w:p w14:paraId="1080B64F" w14:textId="77777777" w:rsidR="002E5A81" w:rsidRPr="00BC0E7E" w:rsidRDefault="002E5A81" w:rsidP="00762FA7">
      <w:pPr>
        <w:keepNext/>
        <w:autoSpaceDE w:val="0"/>
        <w:autoSpaceDN w:val="0"/>
        <w:adjustRightInd w:val="0"/>
        <w:rPr>
          <w:del w:id="7673" w:author="AbbVie19" w:date="2025-04-16T10:42:00Z"/>
          <w:bCs/>
          <w:szCs w:val="22"/>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528"/>
        <w:gridCol w:w="1681"/>
        <w:gridCol w:w="3188"/>
      </w:tblGrid>
      <w:tr w:rsidR="00C6578C" w14:paraId="7008C0EC" w14:textId="77777777" w:rsidTr="00271199">
        <w:trPr>
          <w:jc w:val="center"/>
          <w:del w:id="7674" w:author="AbbVie19" w:date="2025-04-16T10:42:00Z"/>
        </w:trPr>
        <w:tc>
          <w:tcPr>
            <w:tcW w:w="5000" w:type="pct"/>
            <w:gridSpan w:val="3"/>
            <w:tcBorders>
              <w:top w:val="nil"/>
              <w:left w:val="nil"/>
              <w:bottom w:val="nil"/>
              <w:right w:val="nil"/>
            </w:tcBorders>
            <w:vAlign w:val="center"/>
          </w:tcPr>
          <w:p w14:paraId="34DEA5A1" w14:textId="77777777" w:rsidR="002E5A81" w:rsidRPr="003F7AAE" w:rsidRDefault="00944B8F" w:rsidP="00762FA7">
            <w:pPr>
              <w:keepNext/>
              <w:autoSpaceDE w:val="0"/>
              <w:autoSpaceDN w:val="0"/>
              <w:adjustRightInd w:val="0"/>
              <w:jc w:val="center"/>
              <w:rPr>
                <w:del w:id="7675" w:author="AbbVie19" w:date="2025-04-16T10:42:00Z"/>
                <w:bCs/>
                <w:szCs w:val="22"/>
              </w:rPr>
            </w:pPr>
            <w:del w:id="7676" w:author="AbbVie19" w:date="2025-04-16T10:42:00Z">
              <w:r w:rsidRPr="00BC0E7E">
                <w:rPr>
                  <w:b/>
                  <w:szCs w:val="22"/>
                </w:rPr>
                <w:delText xml:space="preserve">Table </w:delText>
              </w:r>
              <w:r>
                <w:rPr>
                  <w:b/>
                  <w:szCs w:val="22"/>
                </w:rPr>
                <w:delText>2</w:delText>
              </w:r>
              <w:r w:rsidR="005F03EC">
                <w:rPr>
                  <w:b/>
                  <w:szCs w:val="22"/>
                </w:rPr>
                <w:delText>7</w:delText>
              </w:r>
              <w:r w:rsidRPr="00BC0E7E">
                <w:rPr>
                  <w:b/>
                  <w:szCs w:val="22"/>
                </w:rPr>
                <w:delText xml:space="preserve">: </w:delText>
              </w:r>
              <w:r w:rsidRPr="00BC0E7E">
                <w:rPr>
                  <w:b/>
                  <w:bCs/>
                  <w:szCs w:val="22"/>
                </w:rPr>
                <w:delText>Paediatric Plaque Psoriasis Efficacy Results at 16</w:delText>
              </w:r>
              <w:r w:rsidRPr="00BC0E7E">
                <w:delText> </w:delText>
              </w:r>
              <w:r w:rsidRPr="00BC0E7E">
                <w:rPr>
                  <w:b/>
                  <w:bCs/>
                  <w:szCs w:val="22"/>
                </w:rPr>
                <w:delText>Weeks</w:delText>
              </w:r>
            </w:del>
          </w:p>
          <w:p w14:paraId="5C84DC6A" w14:textId="77777777" w:rsidR="002E5A81" w:rsidRPr="00BC0E7E" w:rsidRDefault="002E5A81" w:rsidP="00762FA7">
            <w:pPr>
              <w:keepNext/>
              <w:jc w:val="center"/>
              <w:rPr>
                <w:del w:id="7677" w:author="AbbVie19" w:date="2025-04-16T10:42:00Z"/>
                <w:b/>
                <w:szCs w:val="22"/>
              </w:rPr>
            </w:pPr>
          </w:p>
        </w:tc>
      </w:tr>
      <w:tr w:rsidR="00C6578C" w14:paraId="7D62532B" w14:textId="77777777" w:rsidTr="00271199">
        <w:trPr>
          <w:jc w:val="center"/>
          <w:del w:id="7678" w:author="AbbVie19" w:date="2025-04-16T10:42:00Z"/>
        </w:trPr>
        <w:tc>
          <w:tcPr>
            <w:tcW w:w="0" w:type="auto"/>
            <w:tcBorders>
              <w:top w:val="single" w:sz="6" w:space="0" w:color="000000"/>
              <w:left w:val="single" w:sz="6" w:space="0" w:color="000000"/>
              <w:bottom w:val="outset" w:sz="6" w:space="0" w:color="auto"/>
              <w:right w:val="outset" w:sz="6" w:space="0" w:color="auto"/>
            </w:tcBorders>
            <w:vAlign w:val="center"/>
          </w:tcPr>
          <w:p w14:paraId="1ADE0596" w14:textId="77777777" w:rsidR="002E5A81" w:rsidRPr="00BC0E7E" w:rsidRDefault="002E5A81" w:rsidP="00762FA7">
            <w:pPr>
              <w:keepNext/>
              <w:rPr>
                <w:del w:id="7679" w:author="AbbVie19" w:date="2025-04-16T10:42:00Z"/>
                <w:szCs w:val="22"/>
              </w:rPr>
            </w:pPr>
          </w:p>
        </w:tc>
        <w:tc>
          <w:tcPr>
            <w:tcW w:w="0" w:type="auto"/>
            <w:tcBorders>
              <w:top w:val="single" w:sz="6" w:space="0" w:color="000000"/>
              <w:left w:val="single" w:sz="6" w:space="0" w:color="000000"/>
              <w:bottom w:val="outset" w:sz="6" w:space="0" w:color="auto"/>
              <w:right w:val="outset" w:sz="6" w:space="0" w:color="auto"/>
            </w:tcBorders>
            <w:vAlign w:val="center"/>
          </w:tcPr>
          <w:p w14:paraId="52891C0A" w14:textId="77777777" w:rsidR="002E5A81" w:rsidRPr="00BC0E7E" w:rsidRDefault="00944B8F" w:rsidP="00762FA7">
            <w:pPr>
              <w:keepNext/>
              <w:jc w:val="center"/>
              <w:rPr>
                <w:del w:id="7680" w:author="AbbVie19" w:date="2025-04-16T10:42:00Z"/>
                <w:szCs w:val="22"/>
              </w:rPr>
            </w:pPr>
            <w:del w:id="7681" w:author="AbbVie19" w:date="2025-04-16T10:42:00Z">
              <w:r w:rsidRPr="00BC0E7E">
                <w:rPr>
                  <w:szCs w:val="22"/>
                </w:rPr>
                <w:delText>MTX</w:delText>
              </w:r>
              <w:r w:rsidRPr="00BC0E7E">
                <w:rPr>
                  <w:szCs w:val="22"/>
                  <w:vertAlign w:val="superscript"/>
                </w:rPr>
                <w:delText>a</w:delText>
              </w:r>
              <w:r w:rsidRPr="00BC0E7E">
                <w:rPr>
                  <w:szCs w:val="22"/>
                </w:rPr>
                <w:br/>
                <w:delText xml:space="preserve">N=37 </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71058F96" w14:textId="77777777" w:rsidR="002E5A81" w:rsidRPr="00BC0E7E" w:rsidRDefault="00944B8F" w:rsidP="00762FA7">
            <w:pPr>
              <w:keepNext/>
              <w:jc w:val="center"/>
              <w:rPr>
                <w:del w:id="7682" w:author="AbbVie19" w:date="2025-04-16T10:42:00Z"/>
                <w:szCs w:val="22"/>
                <w:lang w:val="pt-BR"/>
              </w:rPr>
            </w:pPr>
            <w:del w:id="7683" w:author="AbbVie19" w:date="2025-04-16T10:42:00Z">
              <w:r w:rsidRPr="00BC0E7E">
                <w:rPr>
                  <w:szCs w:val="22"/>
                  <w:lang w:val="pt-BR"/>
                </w:rPr>
                <w:delText>Humira 0.8 mg/kg</w:delText>
              </w:r>
              <w:r w:rsidRPr="00BC0E7E">
                <w:rPr>
                  <w:lang w:val="sv-SE"/>
                </w:rPr>
                <w:delText> </w:delText>
              </w:r>
              <w:r w:rsidRPr="00BC0E7E">
                <w:rPr>
                  <w:szCs w:val="22"/>
                  <w:lang w:val="pt-BR"/>
                </w:rPr>
                <w:delText>eow</w:delText>
              </w:r>
              <w:r w:rsidRPr="00BC0E7E">
                <w:rPr>
                  <w:szCs w:val="22"/>
                  <w:lang w:val="pt-BR"/>
                </w:rPr>
                <w:br/>
                <w:delText xml:space="preserve">N=38 </w:delText>
              </w:r>
            </w:del>
          </w:p>
        </w:tc>
      </w:tr>
      <w:tr w:rsidR="00C6578C" w14:paraId="1E3B647D" w14:textId="77777777" w:rsidTr="00271199">
        <w:trPr>
          <w:jc w:val="center"/>
          <w:del w:id="7684" w:author="AbbVie19" w:date="2025-04-16T10:42:00Z"/>
        </w:trPr>
        <w:tc>
          <w:tcPr>
            <w:tcW w:w="0" w:type="auto"/>
            <w:tcBorders>
              <w:top w:val="single" w:sz="6" w:space="0" w:color="000000"/>
              <w:left w:val="single" w:sz="6" w:space="0" w:color="000000"/>
              <w:bottom w:val="outset" w:sz="6" w:space="0" w:color="auto"/>
              <w:right w:val="outset" w:sz="6" w:space="0" w:color="auto"/>
            </w:tcBorders>
            <w:vAlign w:val="center"/>
          </w:tcPr>
          <w:p w14:paraId="401D8531" w14:textId="77777777" w:rsidR="002E5A81" w:rsidRPr="00BC0E7E" w:rsidRDefault="00944B8F" w:rsidP="00762FA7">
            <w:pPr>
              <w:keepNext/>
              <w:rPr>
                <w:del w:id="7685" w:author="AbbVie19" w:date="2025-04-16T10:42:00Z"/>
                <w:szCs w:val="22"/>
              </w:rPr>
            </w:pPr>
            <w:del w:id="7686" w:author="AbbVie19" w:date="2025-04-16T10:42:00Z">
              <w:r w:rsidRPr="00BC0E7E">
                <w:rPr>
                  <w:szCs w:val="22"/>
                </w:rPr>
                <w:delText> </w:delText>
              </w:r>
              <w:r w:rsidRPr="00BC0E7E">
                <w:rPr>
                  <w:szCs w:val="22"/>
                </w:rPr>
                <w:delText>PASI 75</w:delText>
              </w:r>
              <w:r w:rsidRPr="00BC0E7E">
                <w:rPr>
                  <w:szCs w:val="22"/>
                  <w:vertAlign w:val="superscript"/>
                </w:rPr>
                <w:delText>b</w:delText>
              </w:r>
            </w:del>
          </w:p>
        </w:tc>
        <w:tc>
          <w:tcPr>
            <w:tcW w:w="0" w:type="auto"/>
            <w:tcBorders>
              <w:top w:val="single" w:sz="6" w:space="0" w:color="000000"/>
              <w:left w:val="single" w:sz="6" w:space="0" w:color="000000"/>
              <w:bottom w:val="outset" w:sz="6" w:space="0" w:color="auto"/>
              <w:right w:val="outset" w:sz="6" w:space="0" w:color="auto"/>
            </w:tcBorders>
            <w:vAlign w:val="center"/>
          </w:tcPr>
          <w:p w14:paraId="478B8A48" w14:textId="77777777" w:rsidR="002E5A81" w:rsidRPr="00BC0E7E" w:rsidRDefault="00944B8F" w:rsidP="00762FA7">
            <w:pPr>
              <w:keepNext/>
              <w:jc w:val="center"/>
              <w:rPr>
                <w:del w:id="7687" w:author="AbbVie19" w:date="2025-04-16T10:42:00Z"/>
                <w:szCs w:val="22"/>
              </w:rPr>
            </w:pPr>
            <w:del w:id="7688" w:author="AbbVie19" w:date="2025-04-16T10:42:00Z">
              <w:r w:rsidRPr="00BC0E7E">
                <w:rPr>
                  <w:szCs w:val="22"/>
                </w:rPr>
                <w:delText>12 (32.4%)</w:delText>
              </w:r>
            </w:del>
          </w:p>
        </w:tc>
        <w:tc>
          <w:tcPr>
            <w:tcW w:w="1898" w:type="pct"/>
            <w:tcBorders>
              <w:top w:val="single" w:sz="6" w:space="0" w:color="000000"/>
              <w:left w:val="single" w:sz="6" w:space="0" w:color="000000"/>
              <w:bottom w:val="outset" w:sz="6" w:space="0" w:color="auto"/>
              <w:right w:val="single" w:sz="6" w:space="0" w:color="000000"/>
            </w:tcBorders>
            <w:vAlign w:val="center"/>
          </w:tcPr>
          <w:p w14:paraId="4F44D20F" w14:textId="77777777" w:rsidR="002E5A81" w:rsidRPr="00BC0E7E" w:rsidRDefault="00944B8F" w:rsidP="00762FA7">
            <w:pPr>
              <w:keepNext/>
              <w:jc w:val="center"/>
              <w:rPr>
                <w:del w:id="7689" w:author="AbbVie19" w:date="2025-04-16T10:42:00Z"/>
                <w:szCs w:val="22"/>
              </w:rPr>
            </w:pPr>
            <w:del w:id="7690" w:author="AbbVie19" w:date="2025-04-16T10:42:00Z">
              <w:r w:rsidRPr="00BC0E7E">
                <w:rPr>
                  <w:szCs w:val="22"/>
                </w:rPr>
                <w:delText>22 (57.9%)</w:delText>
              </w:r>
            </w:del>
          </w:p>
        </w:tc>
      </w:tr>
      <w:tr w:rsidR="00C6578C" w14:paraId="1C109A05" w14:textId="77777777" w:rsidTr="00271199">
        <w:trPr>
          <w:jc w:val="center"/>
          <w:del w:id="7691" w:author="AbbVie19" w:date="2025-04-16T10:42:00Z"/>
        </w:trPr>
        <w:tc>
          <w:tcPr>
            <w:tcW w:w="0" w:type="auto"/>
            <w:tcBorders>
              <w:top w:val="single" w:sz="6" w:space="0" w:color="000000"/>
              <w:left w:val="single" w:sz="6" w:space="0" w:color="000000"/>
              <w:bottom w:val="single" w:sz="6" w:space="0" w:color="000000"/>
              <w:right w:val="outset" w:sz="6" w:space="0" w:color="auto"/>
            </w:tcBorders>
            <w:vAlign w:val="center"/>
          </w:tcPr>
          <w:p w14:paraId="678ADD7C" w14:textId="77777777" w:rsidR="002E5A81" w:rsidRPr="00BC0E7E" w:rsidRDefault="00944B8F" w:rsidP="00762FA7">
            <w:pPr>
              <w:keepNext/>
              <w:rPr>
                <w:del w:id="7692" w:author="AbbVie19" w:date="2025-04-16T10:42:00Z"/>
                <w:szCs w:val="22"/>
              </w:rPr>
            </w:pPr>
            <w:del w:id="7693" w:author="AbbVie19" w:date="2025-04-16T10:42:00Z">
              <w:r w:rsidRPr="00BC0E7E">
                <w:rPr>
                  <w:szCs w:val="22"/>
                </w:rPr>
                <w:delText> </w:delText>
              </w:r>
              <w:r w:rsidRPr="00BC0E7E">
                <w:rPr>
                  <w:szCs w:val="22"/>
                </w:rPr>
                <w:delText>PGA: Clear/minimal</w:delText>
              </w:r>
              <w:r w:rsidRPr="00BC0E7E">
                <w:rPr>
                  <w:szCs w:val="22"/>
                  <w:vertAlign w:val="superscript"/>
                </w:rPr>
                <w:delText>c</w:delText>
              </w:r>
            </w:del>
          </w:p>
        </w:tc>
        <w:tc>
          <w:tcPr>
            <w:tcW w:w="0" w:type="auto"/>
            <w:tcBorders>
              <w:top w:val="single" w:sz="6" w:space="0" w:color="000000"/>
              <w:left w:val="single" w:sz="6" w:space="0" w:color="000000"/>
              <w:bottom w:val="single" w:sz="6" w:space="0" w:color="000000"/>
              <w:right w:val="outset" w:sz="6" w:space="0" w:color="auto"/>
            </w:tcBorders>
            <w:vAlign w:val="center"/>
          </w:tcPr>
          <w:p w14:paraId="555FC23A" w14:textId="77777777" w:rsidR="002E5A81" w:rsidRPr="00BC0E7E" w:rsidRDefault="00944B8F" w:rsidP="00762FA7">
            <w:pPr>
              <w:keepNext/>
              <w:jc w:val="center"/>
              <w:rPr>
                <w:del w:id="7694" w:author="AbbVie19" w:date="2025-04-16T10:42:00Z"/>
                <w:szCs w:val="22"/>
              </w:rPr>
            </w:pPr>
            <w:del w:id="7695" w:author="AbbVie19" w:date="2025-04-16T10:42:00Z">
              <w:r w:rsidRPr="00BC0E7E">
                <w:rPr>
                  <w:szCs w:val="22"/>
                </w:rPr>
                <w:delText>15 (40.5%)</w:delText>
              </w:r>
            </w:del>
          </w:p>
        </w:tc>
        <w:tc>
          <w:tcPr>
            <w:tcW w:w="1898" w:type="pct"/>
            <w:tcBorders>
              <w:top w:val="single" w:sz="6" w:space="0" w:color="000000"/>
              <w:left w:val="single" w:sz="6" w:space="0" w:color="000000"/>
              <w:bottom w:val="single" w:sz="6" w:space="0" w:color="000000"/>
              <w:right w:val="single" w:sz="6" w:space="0" w:color="000000"/>
            </w:tcBorders>
            <w:vAlign w:val="center"/>
          </w:tcPr>
          <w:p w14:paraId="55AAFF4A" w14:textId="77777777" w:rsidR="002E5A81" w:rsidRPr="00BC0E7E" w:rsidRDefault="00944B8F" w:rsidP="00762FA7">
            <w:pPr>
              <w:keepNext/>
              <w:jc w:val="center"/>
              <w:rPr>
                <w:del w:id="7696" w:author="AbbVie19" w:date="2025-04-16T10:42:00Z"/>
                <w:szCs w:val="22"/>
              </w:rPr>
            </w:pPr>
            <w:del w:id="7697" w:author="AbbVie19" w:date="2025-04-16T10:42:00Z">
              <w:r w:rsidRPr="00BC0E7E">
                <w:rPr>
                  <w:szCs w:val="22"/>
                </w:rPr>
                <w:delText>23 (60.5%)</w:delText>
              </w:r>
            </w:del>
          </w:p>
        </w:tc>
      </w:tr>
      <w:tr w:rsidR="00C6578C" w14:paraId="0DB302BB" w14:textId="77777777" w:rsidTr="00271199">
        <w:trPr>
          <w:jc w:val="center"/>
          <w:del w:id="7698" w:author="AbbVie19" w:date="2025-04-16T10:42:00Z"/>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43F16704" w14:textId="77777777" w:rsidR="002E5A81" w:rsidRPr="00BC0E7E" w:rsidRDefault="00944B8F" w:rsidP="00762FA7">
            <w:pPr>
              <w:keepNext/>
              <w:rPr>
                <w:del w:id="7699" w:author="AbbVie19" w:date="2025-04-16T10:42:00Z"/>
                <w:szCs w:val="22"/>
                <w:lang w:val="pt-BR"/>
              </w:rPr>
            </w:pPr>
            <w:del w:id="7700" w:author="AbbVie19" w:date="2025-04-16T10:42:00Z">
              <w:r w:rsidRPr="00BC0E7E">
                <w:rPr>
                  <w:szCs w:val="22"/>
                  <w:vertAlign w:val="superscript"/>
                  <w:lang w:val="pt-BR"/>
                </w:rPr>
                <w:delText xml:space="preserve">a </w:delText>
              </w:r>
              <w:r w:rsidRPr="00BC0E7E">
                <w:rPr>
                  <w:szCs w:val="22"/>
                  <w:lang w:val="pt-BR"/>
                </w:rPr>
                <w:delText>MTX = methotrexate</w:delText>
              </w:r>
            </w:del>
          </w:p>
          <w:p w14:paraId="1F09DCF2" w14:textId="77777777" w:rsidR="002E5A81" w:rsidRPr="00BC0E7E" w:rsidRDefault="00944B8F" w:rsidP="00762FA7">
            <w:pPr>
              <w:keepNext/>
              <w:rPr>
                <w:del w:id="7701" w:author="AbbVie19" w:date="2025-04-16T10:42:00Z"/>
                <w:szCs w:val="22"/>
                <w:lang w:val="pt-BR"/>
              </w:rPr>
            </w:pPr>
            <w:del w:id="7702" w:author="AbbVie19" w:date="2025-04-16T10:42:00Z">
              <w:r w:rsidRPr="00BC0E7E">
                <w:rPr>
                  <w:szCs w:val="22"/>
                  <w:vertAlign w:val="superscript"/>
                  <w:lang w:val="pt-BR"/>
                </w:rPr>
                <w:delText>b</w:delText>
              </w:r>
              <w:r w:rsidRPr="00BC0E7E">
                <w:rPr>
                  <w:szCs w:val="22"/>
                  <w:lang w:val="pt-BR"/>
                </w:rPr>
                <w:delText xml:space="preserve"> P=0.027, Humira 0.8</w:delText>
              </w:r>
              <w:r w:rsidRPr="00BC0E7E">
                <w:delText> </w:delText>
              </w:r>
              <w:r w:rsidRPr="00BC0E7E">
                <w:rPr>
                  <w:szCs w:val="22"/>
                  <w:lang w:val="pt-BR"/>
                </w:rPr>
                <w:delText>mg/kg versus MTX</w:delText>
              </w:r>
            </w:del>
          </w:p>
          <w:p w14:paraId="586DF73F" w14:textId="77777777" w:rsidR="002E5A81" w:rsidRPr="00BC0E7E" w:rsidRDefault="00944B8F" w:rsidP="00762FA7">
            <w:pPr>
              <w:keepNext/>
              <w:rPr>
                <w:del w:id="7703" w:author="AbbVie19" w:date="2025-04-16T10:42:00Z"/>
                <w:szCs w:val="22"/>
                <w:lang w:val="pt-BR"/>
              </w:rPr>
            </w:pPr>
            <w:del w:id="7704" w:author="AbbVie19" w:date="2025-04-16T10:42:00Z">
              <w:r w:rsidRPr="00BC0E7E">
                <w:rPr>
                  <w:szCs w:val="22"/>
                  <w:vertAlign w:val="superscript"/>
                  <w:lang w:val="pt-BR"/>
                </w:rPr>
                <w:delText>c</w:delText>
              </w:r>
              <w:r w:rsidRPr="00BC0E7E">
                <w:rPr>
                  <w:szCs w:val="22"/>
                  <w:lang w:val="pt-BR"/>
                </w:rPr>
                <w:delText xml:space="preserve"> P=0.083, Humira 0.8</w:delText>
              </w:r>
              <w:r w:rsidRPr="00173B45">
                <w:rPr>
                  <w:lang w:val="en-US"/>
                  <w:rPrChange w:id="7705" w:author="AbbVie19" w:date="2025-09-08T11:30:00Z" w16du:dateUtc="2025-09-08T08:30:00Z">
                    <w:rPr>
                      <w:lang w:val="nb-NO"/>
                    </w:rPr>
                  </w:rPrChange>
                </w:rPr>
                <w:delText> </w:delText>
              </w:r>
              <w:r w:rsidRPr="00BC0E7E">
                <w:rPr>
                  <w:szCs w:val="22"/>
                  <w:lang w:val="pt-BR"/>
                </w:rPr>
                <w:delText>mg/kg versus MTX</w:delText>
              </w:r>
            </w:del>
          </w:p>
        </w:tc>
      </w:tr>
    </w:tbl>
    <w:p w14:paraId="277C876B" w14:textId="77777777" w:rsidR="002E5A81" w:rsidRPr="00BC0E7E" w:rsidRDefault="002E5A81" w:rsidP="00762FA7">
      <w:pPr>
        <w:rPr>
          <w:del w:id="7706" w:author="AbbVie19" w:date="2025-04-16T10:42:00Z"/>
          <w:szCs w:val="22"/>
          <w:lang w:val="de-DE"/>
        </w:rPr>
      </w:pPr>
    </w:p>
    <w:p w14:paraId="6F63D249" w14:textId="77777777" w:rsidR="002E5A81" w:rsidRPr="00BC0E7E" w:rsidRDefault="00944B8F" w:rsidP="00762FA7">
      <w:pPr>
        <w:rPr>
          <w:del w:id="7707" w:author="AbbVie19" w:date="2025-04-16T10:42:00Z"/>
          <w:szCs w:val="22"/>
        </w:rPr>
      </w:pPr>
      <w:del w:id="7708" w:author="AbbVie19" w:date="2025-04-16T10:42:00Z">
        <w:r w:rsidRPr="00BC0E7E">
          <w:rPr>
            <w:szCs w:val="22"/>
          </w:rPr>
          <w:delText>Patients who achieved PASI 75 and PGA clear or minimal were withdrawn from treatment for up to 36</w:delText>
        </w:r>
        <w:r w:rsidRPr="00BC0E7E">
          <w:delText> </w:delText>
        </w:r>
        <w:r w:rsidRPr="00BC0E7E">
          <w:rPr>
            <w:szCs w:val="22"/>
          </w:rPr>
          <w:delText>weeks and monitored for loss of disease control (</w:delText>
        </w:r>
        <w:r w:rsidRPr="00BC0E7E">
          <w:delText>i.e. a worsening of PGA by at least 2 grades</w:delText>
        </w:r>
        <w:r w:rsidRPr="00BC0E7E">
          <w:rPr>
            <w:szCs w:val="22"/>
          </w:rPr>
          <w:delText>).  Patients were then re-treated with adalimumab 0.8</w:delText>
        </w:r>
        <w:r w:rsidRPr="00BC0E7E">
          <w:delText> </w:delText>
        </w:r>
        <w:r w:rsidRPr="00BC0E7E">
          <w:rPr>
            <w:szCs w:val="22"/>
          </w:rPr>
          <w:delText>mg/kg eow for an additional 16</w:delText>
        </w:r>
        <w:r w:rsidRPr="00BC0E7E">
          <w:delText> </w:delText>
        </w:r>
        <w:r w:rsidRPr="00BC0E7E">
          <w:rPr>
            <w:szCs w:val="22"/>
          </w:rPr>
          <w:delText>weeks and response rates observed during retreatment were similar to the previous double-blind period:  PASI 75 response of 78.9% (15 of 19 subjects) and PGA clear or minimal of 52.6% (10 of 19 subjects).</w:delText>
        </w:r>
      </w:del>
    </w:p>
    <w:p w14:paraId="6387201F" w14:textId="77777777" w:rsidR="002E5A81" w:rsidRPr="00BC0E7E" w:rsidRDefault="002E5A81" w:rsidP="00762FA7">
      <w:pPr>
        <w:rPr>
          <w:del w:id="7709" w:author="AbbVie19" w:date="2025-04-16T10:42:00Z"/>
          <w:szCs w:val="22"/>
        </w:rPr>
      </w:pPr>
    </w:p>
    <w:p w14:paraId="51E82ACA" w14:textId="77777777" w:rsidR="002E5A81" w:rsidRPr="00BC0E7E" w:rsidRDefault="00944B8F" w:rsidP="00762FA7">
      <w:pPr>
        <w:rPr>
          <w:del w:id="7710" w:author="AbbVie19" w:date="2025-04-16T10:42:00Z"/>
          <w:rFonts w:eastAsia="TimesNewRoman"/>
          <w:szCs w:val="22"/>
        </w:rPr>
      </w:pPr>
      <w:del w:id="7711" w:author="AbbVie19" w:date="2025-04-16T10:42:00Z">
        <w:r w:rsidRPr="00BC0E7E">
          <w:rPr>
            <w:szCs w:val="22"/>
          </w:rPr>
          <w:delText>In the open label period of the study, PASI 75 and PGA clear or minimal responses were maintained for up to an additional 52</w:delText>
        </w:r>
        <w:r w:rsidRPr="00BC0E7E">
          <w:rPr>
            <w:szCs w:val="20"/>
          </w:rPr>
          <w:delText> </w:delText>
        </w:r>
        <w:r w:rsidRPr="00BC0E7E">
          <w:rPr>
            <w:szCs w:val="22"/>
          </w:rPr>
          <w:delText>weeks with no</w:delText>
        </w:r>
        <w:r w:rsidRPr="00BC0E7E">
          <w:rPr>
            <w:rFonts w:eastAsia="TimesNewRoman"/>
            <w:szCs w:val="22"/>
          </w:rPr>
          <w:delText xml:space="preserve"> new safety findings.</w:delText>
        </w:r>
      </w:del>
    </w:p>
    <w:p w14:paraId="52BE65F1" w14:textId="77777777" w:rsidR="002E5A81" w:rsidRDefault="002E5A81" w:rsidP="00762FA7">
      <w:pPr>
        <w:keepNext/>
        <w:rPr>
          <w:del w:id="7712" w:author="AbbVie19" w:date="2025-04-16T10:42:00Z"/>
          <w:szCs w:val="22"/>
          <w:lang w:eastAsia="en-GB"/>
        </w:rPr>
      </w:pPr>
    </w:p>
    <w:p w14:paraId="6D59B13B" w14:textId="77777777" w:rsidR="00C71FBE" w:rsidRPr="00BC0E7E" w:rsidRDefault="00944B8F" w:rsidP="00762FA7">
      <w:pPr>
        <w:rPr>
          <w:del w:id="7713" w:author="AbbVie19" w:date="2025-04-16T10:42:00Z"/>
          <w:i/>
          <w:szCs w:val="20"/>
        </w:rPr>
      </w:pPr>
      <w:del w:id="7714" w:author="AbbVie19" w:date="2025-04-16T10:42:00Z">
        <w:r w:rsidRPr="00BC0E7E">
          <w:rPr>
            <w:i/>
            <w:szCs w:val="20"/>
          </w:rPr>
          <w:delText>Adolescent hidradenitis suppurativa</w:delText>
        </w:r>
      </w:del>
    </w:p>
    <w:p w14:paraId="24F106BE" w14:textId="77777777" w:rsidR="00C71FBE" w:rsidRPr="00BC0E7E" w:rsidRDefault="00C71FBE" w:rsidP="00762FA7">
      <w:pPr>
        <w:rPr>
          <w:del w:id="7715" w:author="AbbVie19" w:date="2025-04-16T10:42:00Z"/>
          <w:i/>
          <w:szCs w:val="20"/>
        </w:rPr>
      </w:pPr>
    </w:p>
    <w:p w14:paraId="4D9C667D" w14:textId="77777777" w:rsidR="00C71FBE" w:rsidRPr="00BC0E7E" w:rsidRDefault="00944B8F" w:rsidP="00762FA7">
      <w:pPr>
        <w:rPr>
          <w:del w:id="7716" w:author="AbbVie19" w:date="2025-04-16T10:42:00Z"/>
          <w:rFonts w:cs="Calibri"/>
          <w:szCs w:val="20"/>
        </w:rPr>
      </w:pPr>
      <w:del w:id="7717" w:author="AbbVie19" w:date="2025-04-16T10:42:00Z">
        <w:r w:rsidRPr="00BC0E7E">
          <w:rPr>
            <w:rFonts w:cs="Calibri"/>
            <w:szCs w:val="20"/>
          </w:rPr>
          <w:delText>There are no clinical trials with Humira in adolescent patients with HS. E</w:delText>
        </w:r>
        <w:r w:rsidRPr="00BC0E7E">
          <w:rPr>
            <w:rFonts w:cs="Calibri"/>
            <w:iCs/>
            <w:szCs w:val="20"/>
          </w:rPr>
          <w:delText xml:space="preserve">fficacy of adalimumab for the treatment of adolescent patients with HS is predicted based on the demonstrated efficacy and exposure-response relationship in adult HS patients and the likelihood that the disease course, pathophysiology, and drug effects are substantially similar to that of adults at the same exposure levels. Safety of the recommended adalimumab dose in the adolescent HS population is based on cross-indication safety profile of adalimumab in both adults and paediatric patients at similar or more frequent doses </w:delText>
        </w:r>
        <w:r w:rsidRPr="00BC0E7E">
          <w:rPr>
            <w:rFonts w:cs="Calibri"/>
            <w:szCs w:val="20"/>
          </w:rPr>
          <w:delText>(see section 5.2).</w:delText>
        </w:r>
      </w:del>
    </w:p>
    <w:p w14:paraId="04149D7C" w14:textId="77777777" w:rsidR="00C71FBE" w:rsidRPr="00BC0E7E" w:rsidRDefault="00C71FBE" w:rsidP="00762FA7">
      <w:pPr>
        <w:rPr>
          <w:del w:id="7718" w:author="AbbVie19" w:date="2025-04-16T10:42:00Z"/>
          <w:szCs w:val="20"/>
        </w:rPr>
      </w:pPr>
    </w:p>
    <w:p w14:paraId="25EA49E2" w14:textId="77777777" w:rsidR="002E5A81" w:rsidRPr="00BC0E7E" w:rsidRDefault="00944B8F" w:rsidP="00762FA7">
      <w:pPr>
        <w:keepNext/>
        <w:rPr>
          <w:del w:id="7719" w:author="AbbVie19" w:date="2025-04-16T10:42:00Z"/>
          <w:szCs w:val="20"/>
          <w:u w:val="single"/>
        </w:rPr>
      </w:pPr>
      <w:del w:id="7720" w:author="AbbVie19" w:date="2025-04-16T10:42:00Z">
        <w:r w:rsidRPr="00BC0E7E">
          <w:rPr>
            <w:i/>
            <w:szCs w:val="20"/>
          </w:rPr>
          <w:delText>Paediatric Crohn’s disease</w:delText>
        </w:r>
        <w:r w:rsidRPr="00BC0E7E">
          <w:rPr>
            <w:szCs w:val="20"/>
            <w:u w:val="single"/>
          </w:rPr>
          <w:delText xml:space="preserve"> </w:delText>
        </w:r>
      </w:del>
    </w:p>
    <w:p w14:paraId="2821208B" w14:textId="77777777" w:rsidR="002E5A81" w:rsidRPr="00BC0E7E" w:rsidRDefault="002E5A81" w:rsidP="00762FA7">
      <w:pPr>
        <w:keepNext/>
        <w:jc w:val="both"/>
        <w:rPr>
          <w:del w:id="7721" w:author="AbbVie19" w:date="2025-04-16T10:42:00Z"/>
          <w:sz w:val="16"/>
          <w:szCs w:val="16"/>
        </w:rPr>
      </w:pPr>
    </w:p>
    <w:p w14:paraId="19EA4C3D" w14:textId="77777777" w:rsidR="002E5A81" w:rsidRPr="00BC0E7E" w:rsidRDefault="00944B8F" w:rsidP="00762FA7">
      <w:pPr>
        <w:keepNext/>
        <w:keepLines/>
        <w:rPr>
          <w:del w:id="7722" w:author="AbbVie19" w:date="2025-04-16T10:42:00Z"/>
          <w:szCs w:val="22"/>
        </w:rPr>
      </w:pPr>
      <w:del w:id="7723" w:author="AbbVie19" w:date="2025-04-16T10:42:00Z">
        <w:r w:rsidRPr="00BC0E7E">
          <w:rPr>
            <w:szCs w:val="22"/>
          </w:rPr>
          <w:delText>Humira was assessed in a multicentre, randomised, double-blind clinical trial designed to evaluate the efficacy and safety of induction and maintenance treatment with doses dependent on body weight (&lt;</w:delText>
        </w:r>
        <w:r w:rsidRPr="00BC0E7E">
          <w:delText> </w:delText>
        </w:r>
        <w:r w:rsidRPr="00BC0E7E">
          <w:rPr>
            <w:szCs w:val="22"/>
          </w:rPr>
          <w:delText>40</w:delText>
        </w:r>
        <w:r w:rsidRPr="00BC0E7E">
          <w:delText> </w:delText>
        </w:r>
        <w:r w:rsidRPr="00BC0E7E">
          <w:rPr>
            <w:szCs w:val="22"/>
          </w:rPr>
          <w:delText>kg</w:delText>
        </w:r>
        <w:r w:rsidRPr="00BC0E7E">
          <w:delText> </w:delText>
        </w:r>
        <w:r w:rsidRPr="00BC0E7E">
          <w:rPr>
            <w:szCs w:val="22"/>
          </w:rPr>
          <w:delText>or</w:delText>
        </w:r>
        <w:r w:rsidRPr="00BC0E7E">
          <w:delText> </w:delText>
        </w:r>
        <w:r w:rsidRPr="00BC0E7E">
          <w:rPr>
            <w:szCs w:val="22"/>
          </w:rPr>
          <w:delText>≥</w:delText>
        </w:r>
        <w:r w:rsidRPr="00BC0E7E">
          <w:delText> </w:delText>
        </w:r>
        <w:r w:rsidRPr="00BC0E7E">
          <w:rPr>
            <w:szCs w:val="22"/>
          </w:rPr>
          <w:delText>40 kg) in 192 paediatric subjects between the ages of 6 and 17 (inclusive) years, with moderate to severe Crohn´s disease (CD) defined as Paediatric Crohn's Disease Activity Index (PCDAI) score &gt;</w:delText>
        </w:r>
        <w:r w:rsidRPr="00BC0E7E">
          <w:delText> </w:delText>
        </w:r>
        <w:r w:rsidRPr="00BC0E7E">
          <w:rPr>
            <w:szCs w:val="22"/>
          </w:rPr>
          <w:delText xml:space="preserve">30. Subjects had to have failed conventional therapy (including a corticosteroid and/or an immunomodulator) for CD. Subjects may also have previously lost response or been intolerant to infliximab. </w:delText>
        </w:r>
      </w:del>
    </w:p>
    <w:p w14:paraId="4C7B8E89" w14:textId="77777777" w:rsidR="002E5A81" w:rsidRPr="00BC0E7E" w:rsidRDefault="002E5A81" w:rsidP="00762FA7">
      <w:pPr>
        <w:keepLines/>
        <w:rPr>
          <w:del w:id="7724" w:author="AbbVie19" w:date="2025-04-16T10:42:00Z"/>
        </w:rPr>
      </w:pPr>
    </w:p>
    <w:p w14:paraId="3B17F776" w14:textId="77777777" w:rsidR="002E5A81" w:rsidRPr="00BC0E7E" w:rsidRDefault="00944B8F" w:rsidP="00762FA7">
      <w:pPr>
        <w:tabs>
          <w:tab w:val="left" w:pos="1294"/>
        </w:tabs>
        <w:autoSpaceDE w:val="0"/>
        <w:autoSpaceDN w:val="0"/>
        <w:adjustRightInd w:val="0"/>
        <w:rPr>
          <w:del w:id="7725" w:author="AbbVie19" w:date="2025-04-16T10:42:00Z"/>
        </w:rPr>
      </w:pPr>
      <w:del w:id="7726" w:author="AbbVie19" w:date="2025-04-16T10:42:00Z">
        <w:r w:rsidRPr="00BC0E7E">
          <w:delText>All subjects received open-label induction therapy at a dose based on their Baseline body weight: 160 mg at Week 0 and 80 mg at Week 2 for subjects ≥ 40 kg, and 80 mg and 40 mg, respectively, for subjects &lt; 40 kg.</w:delText>
        </w:r>
      </w:del>
    </w:p>
    <w:p w14:paraId="217D2D9B" w14:textId="77777777" w:rsidR="002E5A81" w:rsidRPr="00BC0E7E" w:rsidRDefault="002E5A81" w:rsidP="00762FA7">
      <w:pPr>
        <w:tabs>
          <w:tab w:val="left" w:pos="1294"/>
        </w:tabs>
        <w:autoSpaceDE w:val="0"/>
        <w:autoSpaceDN w:val="0"/>
        <w:adjustRightInd w:val="0"/>
        <w:rPr>
          <w:del w:id="7727" w:author="AbbVie19" w:date="2025-04-16T10:42:00Z"/>
        </w:rPr>
      </w:pPr>
    </w:p>
    <w:p w14:paraId="5A4B4E93" w14:textId="77777777" w:rsidR="002E5A81" w:rsidRPr="00BC0E7E" w:rsidRDefault="00944B8F" w:rsidP="00762FA7">
      <w:pPr>
        <w:rPr>
          <w:del w:id="7728" w:author="AbbVie19" w:date="2025-04-16T10:42:00Z"/>
          <w:szCs w:val="20"/>
        </w:rPr>
      </w:pPr>
      <w:del w:id="7729" w:author="AbbVie19" w:date="2025-04-16T10:42:00Z">
        <w:r w:rsidRPr="00BC0E7E">
          <w:rPr>
            <w:szCs w:val="20"/>
          </w:rPr>
          <w:delText xml:space="preserve">At Week 4, subjects were randomised 1:1 based on their body weight at the time to either the Low Dose or Standard Dose maintenance regimens as shown in Table </w:delText>
        </w:r>
        <w:r>
          <w:rPr>
            <w:szCs w:val="20"/>
          </w:rPr>
          <w:delText>2</w:delText>
        </w:r>
        <w:r w:rsidR="005F03EC">
          <w:rPr>
            <w:szCs w:val="20"/>
          </w:rPr>
          <w:delText>8</w:delText>
        </w:r>
        <w:r w:rsidRPr="00BC0E7E">
          <w:rPr>
            <w:szCs w:val="20"/>
          </w:rPr>
          <w:delText>.</w:delText>
        </w:r>
      </w:del>
    </w:p>
    <w:p w14:paraId="1612513F" w14:textId="77777777" w:rsidR="002E5A81" w:rsidRPr="00BC0E7E" w:rsidRDefault="002E5A81" w:rsidP="00762FA7">
      <w:pPr>
        <w:rPr>
          <w:del w:id="7730" w:author="AbbVie19" w:date="2025-04-16T10:42:00Z"/>
          <w:szCs w:val="20"/>
        </w:rPr>
      </w:pPr>
    </w:p>
    <w:tbl>
      <w:tblPr>
        <w:tblW w:w="0" w:type="auto"/>
        <w:jc w:val="center"/>
        <w:tblLook w:val="01E0" w:firstRow="1" w:lastRow="1" w:firstColumn="1" w:lastColumn="1" w:noHBand="0" w:noVBand="0"/>
      </w:tblPr>
      <w:tblGrid>
        <w:gridCol w:w="988"/>
        <w:gridCol w:w="1210"/>
        <w:gridCol w:w="1210"/>
      </w:tblGrid>
      <w:tr w:rsidR="00C6578C" w14:paraId="683B762B" w14:textId="77777777" w:rsidTr="00271199">
        <w:trPr>
          <w:trHeight w:val="263"/>
          <w:jc w:val="center"/>
          <w:del w:id="7731" w:author="AbbVie19" w:date="2025-04-16T10:42:00Z"/>
        </w:trPr>
        <w:tc>
          <w:tcPr>
            <w:tcW w:w="3408" w:type="dxa"/>
            <w:gridSpan w:val="3"/>
          </w:tcPr>
          <w:p w14:paraId="57C38A51" w14:textId="77777777" w:rsidR="002E5A81" w:rsidRPr="00BC0E7E" w:rsidRDefault="00944B8F" w:rsidP="00762FA7">
            <w:pPr>
              <w:jc w:val="center"/>
              <w:rPr>
                <w:del w:id="7732" w:author="AbbVie19" w:date="2025-04-16T10:42:00Z"/>
                <w:b/>
              </w:rPr>
            </w:pPr>
            <w:del w:id="7733" w:author="AbbVie19" w:date="2025-04-16T10:42:00Z">
              <w:r w:rsidRPr="00BC0E7E">
                <w:rPr>
                  <w:b/>
                </w:rPr>
                <w:delText xml:space="preserve">Table </w:delText>
              </w:r>
              <w:r>
                <w:rPr>
                  <w:b/>
                </w:rPr>
                <w:delText>2</w:delText>
              </w:r>
              <w:r w:rsidR="005F03EC">
                <w:rPr>
                  <w:b/>
                </w:rPr>
                <w:delText>8</w:delText>
              </w:r>
            </w:del>
          </w:p>
          <w:p w14:paraId="039E3A9E" w14:textId="77777777" w:rsidR="002E5A81" w:rsidRPr="00BC0E7E" w:rsidRDefault="00944B8F" w:rsidP="00762FA7">
            <w:pPr>
              <w:jc w:val="center"/>
              <w:rPr>
                <w:del w:id="7734" w:author="AbbVie19" w:date="2025-04-16T10:42:00Z"/>
              </w:rPr>
            </w:pPr>
            <w:del w:id="7735" w:author="AbbVie19" w:date="2025-04-16T10:42:00Z">
              <w:r w:rsidRPr="00BC0E7E">
                <w:rPr>
                  <w:b/>
                </w:rPr>
                <w:delText>Maintenance regimen</w:delText>
              </w:r>
            </w:del>
          </w:p>
        </w:tc>
      </w:tr>
      <w:tr w:rsidR="00C6578C" w14:paraId="13BA3BD0" w14:textId="77777777" w:rsidTr="00271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del w:id="7736" w:author="AbbVie19" w:date="2025-04-16T10:42:00Z"/>
        </w:trPr>
        <w:tc>
          <w:tcPr>
            <w:tcW w:w="988" w:type="dxa"/>
          </w:tcPr>
          <w:p w14:paraId="4C31475B" w14:textId="77777777" w:rsidR="002E5A81" w:rsidRPr="00BC0E7E" w:rsidRDefault="00944B8F" w:rsidP="00762FA7">
            <w:pPr>
              <w:rPr>
                <w:del w:id="7737" w:author="AbbVie19" w:date="2025-04-16T10:42:00Z"/>
                <w:b/>
              </w:rPr>
            </w:pPr>
            <w:del w:id="7738" w:author="AbbVie19" w:date="2025-04-16T10:42:00Z">
              <w:r w:rsidRPr="00BC0E7E">
                <w:rPr>
                  <w:b/>
                </w:rPr>
                <w:delText>Patient Weight</w:delText>
              </w:r>
            </w:del>
          </w:p>
        </w:tc>
        <w:tc>
          <w:tcPr>
            <w:tcW w:w="1210" w:type="dxa"/>
          </w:tcPr>
          <w:p w14:paraId="198B51F1" w14:textId="77777777" w:rsidR="002E5A81" w:rsidRPr="00BC0E7E" w:rsidRDefault="00944B8F" w:rsidP="00762FA7">
            <w:pPr>
              <w:rPr>
                <w:del w:id="7739" w:author="AbbVie19" w:date="2025-04-16T10:42:00Z"/>
                <w:b/>
              </w:rPr>
            </w:pPr>
            <w:del w:id="7740" w:author="AbbVie19" w:date="2025-04-16T10:42:00Z">
              <w:r w:rsidRPr="00BC0E7E">
                <w:rPr>
                  <w:b/>
                </w:rPr>
                <w:delText>Low dose</w:delText>
              </w:r>
            </w:del>
          </w:p>
        </w:tc>
        <w:tc>
          <w:tcPr>
            <w:tcW w:w="1210" w:type="dxa"/>
          </w:tcPr>
          <w:p w14:paraId="10D342E6" w14:textId="77777777" w:rsidR="002E5A81" w:rsidRPr="00BC0E7E" w:rsidRDefault="00944B8F" w:rsidP="00762FA7">
            <w:pPr>
              <w:rPr>
                <w:del w:id="7741" w:author="AbbVie19" w:date="2025-04-16T10:42:00Z"/>
                <w:b/>
              </w:rPr>
            </w:pPr>
            <w:del w:id="7742" w:author="AbbVie19" w:date="2025-04-16T10:42:00Z">
              <w:r w:rsidRPr="00BC0E7E">
                <w:rPr>
                  <w:b/>
                </w:rPr>
                <w:delText>Standard dose</w:delText>
              </w:r>
            </w:del>
          </w:p>
        </w:tc>
      </w:tr>
      <w:tr w:rsidR="00C6578C" w14:paraId="64328267" w14:textId="77777777" w:rsidTr="00271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del w:id="7743" w:author="AbbVie19" w:date="2025-04-16T10:42:00Z"/>
        </w:trPr>
        <w:tc>
          <w:tcPr>
            <w:tcW w:w="988" w:type="dxa"/>
          </w:tcPr>
          <w:p w14:paraId="6A954E43" w14:textId="77777777" w:rsidR="002E5A81" w:rsidRPr="00BC0E7E" w:rsidRDefault="00944B8F" w:rsidP="00762FA7">
            <w:pPr>
              <w:rPr>
                <w:del w:id="7744" w:author="AbbVie19" w:date="2025-04-16T10:42:00Z"/>
              </w:rPr>
            </w:pPr>
            <w:del w:id="7745" w:author="AbbVie19" w:date="2025-04-16T10:42:00Z">
              <w:r w:rsidRPr="00BC0E7E">
                <w:delText>&lt; 40</w:delText>
              </w:r>
              <w:r w:rsidRPr="00BC0E7E">
                <w:rPr>
                  <w:szCs w:val="20"/>
                </w:rPr>
                <w:delText> </w:delText>
              </w:r>
              <w:r w:rsidRPr="00BC0E7E">
                <w:delText>kg</w:delText>
              </w:r>
            </w:del>
          </w:p>
        </w:tc>
        <w:tc>
          <w:tcPr>
            <w:tcW w:w="1210" w:type="dxa"/>
          </w:tcPr>
          <w:p w14:paraId="7CE846EA" w14:textId="77777777" w:rsidR="002E5A81" w:rsidRPr="00BC0E7E" w:rsidRDefault="00944B8F" w:rsidP="00762FA7">
            <w:pPr>
              <w:rPr>
                <w:del w:id="7746" w:author="AbbVie19" w:date="2025-04-16T10:42:00Z"/>
              </w:rPr>
            </w:pPr>
            <w:del w:id="7747" w:author="AbbVie19" w:date="2025-04-16T10:42:00Z">
              <w:r w:rsidRPr="00BC0E7E">
                <w:delText>10</w:delText>
              </w:r>
              <w:r w:rsidRPr="00BC0E7E">
                <w:rPr>
                  <w:szCs w:val="20"/>
                </w:rPr>
                <w:delText> </w:delText>
              </w:r>
              <w:r w:rsidRPr="00BC0E7E">
                <w:delText>mg eow</w:delText>
              </w:r>
            </w:del>
          </w:p>
        </w:tc>
        <w:tc>
          <w:tcPr>
            <w:tcW w:w="1210" w:type="dxa"/>
          </w:tcPr>
          <w:p w14:paraId="75F57265" w14:textId="77777777" w:rsidR="002E5A81" w:rsidRPr="00BC0E7E" w:rsidRDefault="00944B8F" w:rsidP="00762FA7">
            <w:pPr>
              <w:rPr>
                <w:del w:id="7748" w:author="AbbVie19" w:date="2025-04-16T10:42:00Z"/>
              </w:rPr>
            </w:pPr>
            <w:del w:id="7749" w:author="AbbVie19" w:date="2025-04-16T10:42:00Z">
              <w:r w:rsidRPr="00BC0E7E">
                <w:delText>20</w:delText>
              </w:r>
              <w:r w:rsidRPr="00BC0E7E">
                <w:rPr>
                  <w:szCs w:val="20"/>
                </w:rPr>
                <w:delText> </w:delText>
              </w:r>
              <w:r w:rsidRPr="00BC0E7E">
                <w:delText>mg eow</w:delText>
              </w:r>
            </w:del>
          </w:p>
        </w:tc>
      </w:tr>
      <w:tr w:rsidR="00C6578C" w14:paraId="2EC00CB3" w14:textId="77777777" w:rsidTr="00271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del w:id="7750" w:author="AbbVie19" w:date="2025-04-16T10:42:00Z"/>
        </w:trPr>
        <w:tc>
          <w:tcPr>
            <w:tcW w:w="988" w:type="dxa"/>
          </w:tcPr>
          <w:p w14:paraId="00C1910C" w14:textId="77777777" w:rsidR="002E5A81" w:rsidRPr="00BC0E7E" w:rsidRDefault="00944B8F" w:rsidP="00762FA7">
            <w:pPr>
              <w:rPr>
                <w:del w:id="7751" w:author="AbbVie19" w:date="2025-04-16T10:42:00Z"/>
              </w:rPr>
            </w:pPr>
            <w:del w:id="7752" w:author="AbbVie19" w:date="2025-04-16T10:42:00Z">
              <w:r w:rsidRPr="00BC0E7E">
                <w:delText>≥ 40</w:delText>
              </w:r>
              <w:r w:rsidRPr="00BC0E7E">
                <w:rPr>
                  <w:szCs w:val="20"/>
                </w:rPr>
                <w:delText> </w:delText>
              </w:r>
              <w:r w:rsidRPr="00BC0E7E">
                <w:delText>kg</w:delText>
              </w:r>
            </w:del>
          </w:p>
        </w:tc>
        <w:tc>
          <w:tcPr>
            <w:tcW w:w="1210" w:type="dxa"/>
          </w:tcPr>
          <w:p w14:paraId="1CE634DB" w14:textId="77777777" w:rsidR="002E5A81" w:rsidRPr="00BC0E7E" w:rsidRDefault="00944B8F" w:rsidP="00762FA7">
            <w:pPr>
              <w:rPr>
                <w:del w:id="7753" w:author="AbbVie19" w:date="2025-04-16T10:42:00Z"/>
              </w:rPr>
            </w:pPr>
            <w:del w:id="7754" w:author="AbbVie19" w:date="2025-04-16T10:42:00Z">
              <w:r w:rsidRPr="00BC0E7E">
                <w:delText>20</w:delText>
              </w:r>
              <w:r w:rsidRPr="00BC0E7E">
                <w:rPr>
                  <w:szCs w:val="20"/>
                </w:rPr>
                <w:delText> </w:delText>
              </w:r>
              <w:r w:rsidRPr="00BC0E7E">
                <w:delText>mg eow</w:delText>
              </w:r>
            </w:del>
          </w:p>
        </w:tc>
        <w:tc>
          <w:tcPr>
            <w:tcW w:w="1210" w:type="dxa"/>
          </w:tcPr>
          <w:p w14:paraId="46867194" w14:textId="77777777" w:rsidR="002E5A81" w:rsidRPr="00BC0E7E" w:rsidRDefault="00944B8F" w:rsidP="00762FA7">
            <w:pPr>
              <w:rPr>
                <w:del w:id="7755" w:author="AbbVie19" w:date="2025-04-16T10:42:00Z"/>
              </w:rPr>
            </w:pPr>
            <w:del w:id="7756" w:author="AbbVie19" w:date="2025-04-16T10:42:00Z">
              <w:r w:rsidRPr="00BC0E7E">
                <w:delText>40</w:delText>
              </w:r>
              <w:r w:rsidRPr="00BC0E7E">
                <w:rPr>
                  <w:szCs w:val="20"/>
                </w:rPr>
                <w:delText> </w:delText>
              </w:r>
              <w:r w:rsidRPr="00BC0E7E">
                <w:delText>mg eow</w:delText>
              </w:r>
            </w:del>
          </w:p>
        </w:tc>
      </w:tr>
    </w:tbl>
    <w:p w14:paraId="18B40D97" w14:textId="77777777" w:rsidR="002E5A81" w:rsidRPr="00BC0E7E" w:rsidRDefault="002E5A81" w:rsidP="00762FA7">
      <w:pPr>
        <w:rPr>
          <w:del w:id="7757" w:author="AbbVie19" w:date="2025-04-16T10:42:00Z"/>
        </w:rPr>
      </w:pPr>
    </w:p>
    <w:p w14:paraId="4E7A162C" w14:textId="77777777" w:rsidR="002E5A81" w:rsidRPr="00BC0E7E" w:rsidRDefault="00944B8F" w:rsidP="00762FA7">
      <w:pPr>
        <w:rPr>
          <w:del w:id="7758" w:author="AbbVie19" w:date="2025-04-16T10:42:00Z"/>
          <w:i/>
          <w:u w:val="single"/>
        </w:rPr>
      </w:pPr>
      <w:del w:id="7759" w:author="AbbVie19" w:date="2025-04-16T10:42:00Z">
        <w:r w:rsidRPr="00BC0E7E">
          <w:rPr>
            <w:i/>
            <w:u w:val="single"/>
          </w:rPr>
          <w:delText>Efficacy results</w:delText>
        </w:r>
      </w:del>
    </w:p>
    <w:p w14:paraId="3CB1784A" w14:textId="77777777" w:rsidR="002E5A81" w:rsidRPr="00BC0E7E" w:rsidRDefault="002E5A81" w:rsidP="00762FA7">
      <w:pPr>
        <w:rPr>
          <w:del w:id="7760" w:author="AbbVie19" w:date="2025-04-16T10:42:00Z"/>
        </w:rPr>
      </w:pPr>
    </w:p>
    <w:p w14:paraId="7F6094B5" w14:textId="77777777" w:rsidR="002E5A81" w:rsidRPr="00BC0E7E" w:rsidRDefault="00944B8F" w:rsidP="00762FA7">
      <w:pPr>
        <w:tabs>
          <w:tab w:val="clear" w:pos="562"/>
        </w:tabs>
        <w:suppressAutoHyphens w:val="0"/>
        <w:autoSpaceDE w:val="0"/>
        <w:autoSpaceDN w:val="0"/>
        <w:adjustRightInd w:val="0"/>
        <w:rPr>
          <w:del w:id="7761" w:author="AbbVie19" w:date="2025-04-16T10:42:00Z"/>
        </w:rPr>
      </w:pPr>
      <w:del w:id="7762" w:author="AbbVie19" w:date="2025-04-16T10:42:00Z">
        <w:r w:rsidRPr="00BC0E7E">
          <w:delText xml:space="preserve">The primary endpoint of the study was clinical remission at Week 26, defined as PCDAI score </w:delText>
        </w:r>
        <w:r w:rsidRPr="00BC0E7E">
          <w:rPr>
            <w:rFonts w:ascii="Symbol" w:eastAsia="Symbol" w:hAnsi="Symbol" w:cs="Symbol"/>
          </w:rPr>
          <w:sym w:font="Symbol" w:char="F0A3"/>
        </w:r>
        <w:r w:rsidRPr="00BC0E7E">
          <w:delText> 10.</w:delText>
        </w:r>
      </w:del>
    </w:p>
    <w:p w14:paraId="3735DE30" w14:textId="77777777" w:rsidR="002E5A81" w:rsidRPr="00BC0E7E" w:rsidRDefault="002E5A81" w:rsidP="00762FA7">
      <w:pPr>
        <w:rPr>
          <w:del w:id="7763" w:author="AbbVie19" w:date="2025-04-16T10:42:00Z"/>
        </w:rPr>
      </w:pPr>
    </w:p>
    <w:p w14:paraId="2899A9C9" w14:textId="77777777" w:rsidR="002E5A81" w:rsidRPr="00BC0E7E" w:rsidRDefault="00944B8F" w:rsidP="00762FA7">
      <w:pPr>
        <w:tabs>
          <w:tab w:val="clear" w:pos="562"/>
        </w:tabs>
        <w:suppressAutoHyphens w:val="0"/>
        <w:autoSpaceDE w:val="0"/>
        <w:autoSpaceDN w:val="0"/>
        <w:adjustRightInd w:val="0"/>
        <w:rPr>
          <w:del w:id="7764" w:author="AbbVie19" w:date="2025-04-16T10:42:00Z"/>
        </w:rPr>
      </w:pPr>
      <w:del w:id="7765" w:author="AbbVie19" w:date="2025-04-16T10:42:00Z">
        <w:r w:rsidRPr="00BC0E7E">
          <w:delText xml:space="preserve">Clinical remission and clinical response (defined as reduction in PCDAI score of at least 15 points from Baseline) rates are presented in Table </w:delText>
        </w:r>
        <w:r>
          <w:delText>2</w:delText>
        </w:r>
        <w:r w:rsidR="005F03EC">
          <w:delText>9</w:delText>
        </w:r>
        <w:r w:rsidRPr="00BC0E7E">
          <w:delText xml:space="preserve">. Rates of discontinuation of corticosteroids or immunomodulators are presented in Table </w:delText>
        </w:r>
        <w:r w:rsidR="005F03EC">
          <w:delText>30</w:delText>
        </w:r>
        <w:r w:rsidRPr="00BC0E7E">
          <w:delText>.</w:delText>
        </w:r>
      </w:del>
    </w:p>
    <w:p w14:paraId="2A134F66" w14:textId="77777777" w:rsidR="002E5A81" w:rsidRPr="00BC0E7E" w:rsidRDefault="002E5A81" w:rsidP="00762FA7">
      <w:pPr>
        <w:tabs>
          <w:tab w:val="clear" w:pos="562"/>
        </w:tabs>
        <w:suppressAutoHyphens w:val="0"/>
        <w:autoSpaceDE w:val="0"/>
        <w:autoSpaceDN w:val="0"/>
        <w:adjustRightInd w:val="0"/>
        <w:rPr>
          <w:del w:id="7766" w:author="AbbVie19" w:date="2025-04-16T10:42:00Z"/>
          <w:rFonts w:ascii="Tms Rmn" w:hAnsi="Tms Rmn"/>
          <w:sz w:val="24"/>
        </w:rPr>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C6578C" w14:paraId="0F251518" w14:textId="77777777" w:rsidTr="00271199">
        <w:trPr>
          <w:jc w:val="center"/>
          <w:del w:id="7767" w:author="AbbVie19" w:date="2025-04-16T10:42:00Z"/>
        </w:trPr>
        <w:tc>
          <w:tcPr>
            <w:tcW w:w="6673" w:type="dxa"/>
            <w:gridSpan w:val="4"/>
            <w:tcBorders>
              <w:top w:val="single" w:sz="6" w:space="0" w:color="000000"/>
              <w:left w:val="single" w:sz="6" w:space="0" w:color="000000"/>
              <w:bottom w:val="single" w:sz="6" w:space="0" w:color="000000"/>
              <w:right w:val="single" w:sz="6" w:space="0" w:color="000000"/>
            </w:tcBorders>
          </w:tcPr>
          <w:p w14:paraId="41D9CB8E" w14:textId="77777777" w:rsidR="002E5A81" w:rsidRPr="00BC0E7E" w:rsidRDefault="00944B8F" w:rsidP="00762FA7">
            <w:pPr>
              <w:keepNext/>
              <w:tabs>
                <w:tab w:val="clear" w:pos="562"/>
                <w:tab w:val="left" w:pos="-878"/>
              </w:tabs>
              <w:suppressAutoHyphens w:val="0"/>
              <w:autoSpaceDE w:val="0"/>
              <w:autoSpaceDN w:val="0"/>
              <w:adjustRightInd w:val="0"/>
              <w:ind w:left="15"/>
              <w:jc w:val="center"/>
              <w:rPr>
                <w:del w:id="7768" w:author="AbbVie19" w:date="2025-04-16T10:42:00Z"/>
                <w:b/>
                <w:bCs/>
              </w:rPr>
            </w:pPr>
            <w:del w:id="7769" w:author="AbbVie19" w:date="2025-04-16T10:42:00Z">
              <w:r w:rsidRPr="00BC0E7E">
                <w:rPr>
                  <w:b/>
                  <w:bCs/>
                  <w:szCs w:val="22"/>
                </w:rPr>
                <w:lastRenderedPageBreak/>
                <w:delText xml:space="preserve">Table </w:delText>
              </w:r>
              <w:r>
                <w:rPr>
                  <w:b/>
                  <w:bCs/>
                  <w:szCs w:val="22"/>
                </w:rPr>
                <w:delText>2</w:delText>
              </w:r>
              <w:r w:rsidR="005F03EC">
                <w:rPr>
                  <w:b/>
                  <w:bCs/>
                  <w:szCs w:val="22"/>
                </w:rPr>
                <w:delText>9</w:delText>
              </w:r>
            </w:del>
          </w:p>
          <w:p w14:paraId="5B62D5B5" w14:textId="77777777" w:rsidR="002E5A81" w:rsidRPr="00BC0E7E" w:rsidRDefault="00944B8F" w:rsidP="00762FA7">
            <w:pPr>
              <w:keepNext/>
              <w:tabs>
                <w:tab w:val="clear" w:pos="562"/>
                <w:tab w:val="left" w:pos="-878"/>
              </w:tabs>
              <w:suppressAutoHyphens w:val="0"/>
              <w:autoSpaceDE w:val="0"/>
              <w:autoSpaceDN w:val="0"/>
              <w:adjustRightInd w:val="0"/>
              <w:ind w:left="15"/>
              <w:jc w:val="center"/>
              <w:rPr>
                <w:del w:id="7770" w:author="AbbVie19" w:date="2025-04-16T10:42:00Z"/>
                <w:b/>
                <w:bCs/>
              </w:rPr>
            </w:pPr>
            <w:del w:id="7771" w:author="AbbVie19" w:date="2025-04-16T10:42:00Z">
              <w:r w:rsidRPr="00BC0E7E">
                <w:rPr>
                  <w:b/>
                  <w:bCs/>
                  <w:szCs w:val="22"/>
                </w:rPr>
                <w:delText>Paediatric CD Study</w:delText>
              </w:r>
            </w:del>
          </w:p>
          <w:p w14:paraId="79AD79C3" w14:textId="77777777" w:rsidR="002E5A81" w:rsidRPr="00BC0E7E" w:rsidRDefault="00944B8F" w:rsidP="00762FA7">
            <w:pPr>
              <w:keepNext/>
              <w:tabs>
                <w:tab w:val="clear" w:pos="562"/>
                <w:tab w:val="left" w:pos="-878"/>
              </w:tabs>
              <w:suppressAutoHyphens w:val="0"/>
              <w:autoSpaceDE w:val="0"/>
              <w:autoSpaceDN w:val="0"/>
              <w:adjustRightInd w:val="0"/>
              <w:ind w:left="15"/>
              <w:jc w:val="center"/>
              <w:rPr>
                <w:del w:id="7772" w:author="AbbVie19" w:date="2025-04-16T10:42:00Z"/>
                <w:b/>
                <w:bCs/>
              </w:rPr>
            </w:pPr>
            <w:del w:id="7773" w:author="AbbVie19" w:date="2025-04-16T10:42:00Z">
              <w:r w:rsidRPr="00BC0E7E">
                <w:rPr>
                  <w:b/>
                  <w:bCs/>
                  <w:szCs w:val="22"/>
                </w:rPr>
                <w:delText>PCDAI Clinical Remission and Response</w:delText>
              </w:r>
            </w:del>
          </w:p>
        </w:tc>
      </w:tr>
      <w:tr w:rsidR="00C6578C" w14:paraId="28264056" w14:textId="77777777" w:rsidTr="00271199">
        <w:trPr>
          <w:jc w:val="center"/>
          <w:del w:id="7774" w:author="AbbVie19" w:date="2025-04-16T10:42:00Z"/>
        </w:trPr>
        <w:tc>
          <w:tcPr>
            <w:tcW w:w="2321" w:type="dxa"/>
            <w:tcBorders>
              <w:top w:val="single" w:sz="6" w:space="0" w:color="000000"/>
              <w:left w:val="single" w:sz="6" w:space="0" w:color="000000"/>
              <w:bottom w:val="single" w:sz="6" w:space="0" w:color="000000"/>
              <w:right w:val="single" w:sz="6" w:space="0" w:color="000000"/>
            </w:tcBorders>
          </w:tcPr>
          <w:p w14:paraId="1CA6F8E3" w14:textId="77777777" w:rsidR="002E5A81" w:rsidRPr="00BC0E7E" w:rsidRDefault="002E5A81" w:rsidP="00762FA7">
            <w:pPr>
              <w:keepNext/>
              <w:keepLines/>
              <w:tabs>
                <w:tab w:val="clear" w:pos="562"/>
                <w:tab w:val="left" w:pos="-1080"/>
              </w:tabs>
              <w:suppressAutoHyphens w:val="0"/>
              <w:autoSpaceDE w:val="0"/>
              <w:autoSpaceDN w:val="0"/>
              <w:adjustRightInd w:val="0"/>
              <w:ind w:left="15"/>
              <w:jc w:val="center"/>
              <w:rPr>
                <w:del w:id="7775" w:author="AbbVie19" w:date="2025-04-16T10:42:00Z"/>
                <w:b/>
                <w:bCs/>
              </w:rPr>
            </w:pPr>
          </w:p>
        </w:tc>
        <w:tc>
          <w:tcPr>
            <w:tcW w:w="1614" w:type="dxa"/>
            <w:tcBorders>
              <w:top w:val="single" w:sz="6" w:space="0" w:color="000000"/>
              <w:left w:val="single" w:sz="6" w:space="0" w:color="000000"/>
              <w:bottom w:val="single" w:sz="6" w:space="0" w:color="000000"/>
              <w:right w:val="single" w:sz="6" w:space="0" w:color="000000"/>
            </w:tcBorders>
          </w:tcPr>
          <w:p w14:paraId="4CA6D4A9"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776" w:author="AbbVie19" w:date="2025-04-16T10:42:00Z"/>
                <w:b/>
                <w:bCs/>
                <w:lang w:val="de-DE"/>
              </w:rPr>
            </w:pPr>
            <w:del w:id="7777" w:author="AbbVie19" w:date="2025-04-16T10:42:00Z">
              <w:r w:rsidRPr="00BC0E7E">
                <w:rPr>
                  <w:b/>
                  <w:bCs/>
                  <w:szCs w:val="22"/>
                  <w:lang w:val="de-DE"/>
                </w:rPr>
                <w:delText>Standard Dose</w:delText>
              </w:r>
            </w:del>
          </w:p>
          <w:p w14:paraId="37393A13"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778" w:author="AbbVie19" w:date="2025-04-16T10:42:00Z"/>
                <w:b/>
                <w:bCs/>
                <w:lang w:val="de-DE"/>
              </w:rPr>
            </w:pPr>
            <w:del w:id="7779" w:author="AbbVie19" w:date="2025-04-16T10:42:00Z">
              <w:r w:rsidRPr="00BC0E7E">
                <w:rPr>
                  <w:b/>
                  <w:bCs/>
                  <w:szCs w:val="22"/>
                  <w:lang w:val="de-DE"/>
                </w:rPr>
                <w:delText>40/20</w:delText>
              </w:r>
              <w:r w:rsidRPr="003B65EC">
                <w:delText> </w:delText>
              </w:r>
              <w:r w:rsidRPr="00BC0E7E">
                <w:rPr>
                  <w:b/>
                  <w:bCs/>
                  <w:szCs w:val="22"/>
                  <w:lang w:val="de-DE"/>
                </w:rPr>
                <w:delText>mg</w:delText>
              </w:r>
              <w:r w:rsidRPr="003B65EC">
                <w:delText> </w:delText>
              </w:r>
              <w:r w:rsidRPr="00BC0E7E">
                <w:rPr>
                  <w:b/>
                  <w:bCs/>
                  <w:szCs w:val="22"/>
                  <w:lang w:val="de-DE"/>
                </w:rPr>
                <w:delText xml:space="preserve">eow </w:delText>
              </w:r>
            </w:del>
          </w:p>
          <w:p w14:paraId="2975CD36"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780" w:author="AbbVie19" w:date="2025-04-16T10:42:00Z"/>
                <w:b/>
                <w:bCs/>
                <w:lang w:val="de-DE"/>
              </w:rPr>
            </w:pPr>
            <w:del w:id="7781" w:author="AbbVie19" w:date="2025-04-16T10:42:00Z">
              <w:r w:rsidRPr="00BC0E7E">
                <w:rPr>
                  <w:b/>
                  <w:bCs/>
                  <w:szCs w:val="22"/>
                  <w:lang w:val="de-DE"/>
                </w:rPr>
                <w:delText>N = 93</w:delText>
              </w:r>
            </w:del>
          </w:p>
        </w:tc>
        <w:tc>
          <w:tcPr>
            <w:tcW w:w="1591" w:type="dxa"/>
            <w:tcBorders>
              <w:top w:val="single" w:sz="6" w:space="0" w:color="000000"/>
              <w:left w:val="single" w:sz="6" w:space="0" w:color="000000"/>
              <w:bottom w:val="single" w:sz="6" w:space="0" w:color="000000"/>
              <w:right w:val="single" w:sz="6" w:space="0" w:color="000000"/>
            </w:tcBorders>
          </w:tcPr>
          <w:p w14:paraId="274E5015"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782" w:author="AbbVie19" w:date="2025-04-16T10:42:00Z"/>
                <w:b/>
                <w:bCs/>
              </w:rPr>
            </w:pPr>
            <w:del w:id="7783" w:author="AbbVie19" w:date="2025-04-16T10:42:00Z">
              <w:r w:rsidRPr="00BC0E7E">
                <w:rPr>
                  <w:b/>
                  <w:bCs/>
                  <w:szCs w:val="22"/>
                </w:rPr>
                <w:delText>Low Dose</w:delText>
              </w:r>
            </w:del>
          </w:p>
          <w:p w14:paraId="026309B4"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784" w:author="AbbVie19" w:date="2025-04-16T10:42:00Z"/>
                <w:b/>
                <w:bCs/>
              </w:rPr>
            </w:pPr>
            <w:del w:id="7785" w:author="AbbVie19" w:date="2025-04-16T10:42:00Z">
              <w:r w:rsidRPr="00BC0E7E">
                <w:rPr>
                  <w:b/>
                  <w:bCs/>
                  <w:szCs w:val="22"/>
                </w:rPr>
                <w:delText>20/10</w:delText>
              </w:r>
              <w:r w:rsidRPr="00BC0E7E">
                <w:delText> </w:delText>
              </w:r>
              <w:r w:rsidRPr="00BC0E7E">
                <w:rPr>
                  <w:b/>
                  <w:bCs/>
                  <w:szCs w:val="22"/>
                </w:rPr>
                <w:delText>mg</w:delText>
              </w:r>
              <w:r w:rsidRPr="00BC0E7E">
                <w:delText> </w:delText>
              </w:r>
              <w:r w:rsidRPr="00BC0E7E">
                <w:rPr>
                  <w:b/>
                  <w:bCs/>
                  <w:szCs w:val="22"/>
                </w:rPr>
                <w:delText xml:space="preserve">eow </w:delText>
              </w:r>
            </w:del>
          </w:p>
          <w:p w14:paraId="2C77EA3A"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786" w:author="AbbVie19" w:date="2025-04-16T10:42:00Z"/>
                <w:b/>
                <w:bCs/>
              </w:rPr>
            </w:pPr>
            <w:del w:id="7787" w:author="AbbVie19" w:date="2025-04-16T10:42:00Z">
              <w:r w:rsidRPr="00BC0E7E">
                <w:rPr>
                  <w:b/>
                  <w:bCs/>
                  <w:szCs w:val="22"/>
                </w:rPr>
                <w:delText>N = 95</w:delText>
              </w:r>
            </w:del>
          </w:p>
        </w:tc>
        <w:tc>
          <w:tcPr>
            <w:tcW w:w="1147" w:type="dxa"/>
            <w:tcBorders>
              <w:top w:val="single" w:sz="6" w:space="0" w:color="000000"/>
              <w:left w:val="single" w:sz="6" w:space="0" w:color="000000"/>
              <w:bottom w:val="single" w:sz="6" w:space="0" w:color="000000"/>
              <w:right w:val="single" w:sz="6" w:space="0" w:color="000000"/>
            </w:tcBorders>
          </w:tcPr>
          <w:p w14:paraId="0F617084"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788" w:author="AbbVie19" w:date="2025-04-16T10:42:00Z"/>
              </w:rPr>
            </w:pPr>
            <w:del w:id="7789" w:author="AbbVie19" w:date="2025-04-16T10:42:00Z">
              <w:r w:rsidRPr="00BC0E7E">
                <w:rPr>
                  <w:b/>
                  <w:bCs/>
                  <w:szCs w:val="22"/>
                </w:rPr>
                <w:delText>P value</w:delText>
              </w:r>
              <w:r w:rsidRPr="00BC0E7E">
                <w:rPr>
                  <w:szCs w:val="22"/>
                </w:rPr>
                <w:delText>*</w:delText>
              </w:r>
            </w:del>
          </w:p>
        </w:tc>
      </w:tr>
      <w:tr w:rsidR="00C6578C" w14:paraId="6ACDDCE3" w14:textId="77777777" w:rsidTr="00271199">
        <w:trPr>
          <w:jc w:val="center"/>
          <w:del w:id="7790" w:author="AbbVie19" w:date="2025-04-16T10:42:00Z"/>
        </w:trPr>
        <w:tc>
          <w:tcPr>
            <w:tcW w:w="2321" w:type="dxa"/>
            <w:tcBorders>
              <w:top w:val="single" w:sz="6" w:space="0" w:color="000000"/>
              <w:left w:val="single" w:sz="6" w:space="0" w:color="000000"/>
              <w:bottom w:val="single" w:sz="6" w:space="0" w:color="000000"/>
              <w:right w:val="single" w:sz="6" w:space="0" w:color="000000"/>
            </w:tcBorders>
            <w:vAlign w:val="bottom"/>
          </w:tcPr>
          <w:p w14:paraId="5E7EE88D" w14:textId="77777777" w:rsidR="002E5A81" w:rsidRPr="00BC0E7E" w:rsidRDefault="00944B8F" w:rsidP="00762FA7">
            <w:pPr>
              <w:keepNext/>
              <w:keepLines/>
              <w:tabs>
                <w:tab w:val="clear" w:pos="562"/>
                <w:tab w:val="left" w:pos="-1080"/>
              </w:tabs>
              <w:suppressAutoHyphens w:val="0"/>
              <w:autoSpaceDE w:val="0"/>
              <w:autoSpaceDN w:val="0"/>
              <w:adjustRightInd w:val="0"/>
              <w:ind w:left="15"/>
              <w:rPr>
                <w:del w:id="7791" w:author="AbbVie19" w:date="2025-04-16T10:42:00Z"/>
                <w:b/>
                <w:bCs/>
              </w:rPr>
            </w:pPr>
            <w:del w:id="7792" w:author="AbbVie19" w:date="2025-04-16T10:42:00Z">
              <w:r w:rsidRPr="00BC0E7E">
                <w:rPr>
                  <w:b/>
                  <w:bCs/>
                  <w:szCs w:val="22"/>
                </w:rPr>
                <w:delText>Week</w:delText>
              </w:r>
              <w:r w:rsidRPr="00BC0E7E">
                <w:delText> </w:delText>
              </w:r>
              <w:r w:rsidRPr="00BC0E7E">
                <w:rPr>
                  <w:b/>
                  <w:bCs/>
                  <w:szCs w:val="22"/>
                </w:rPr>
                <w:delText>26</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45AC43BC" w14:textId="77777777" w:rsidR="002E5A81" w:rsidRPr="00BC0E7E" w:rsidRDefault="002E5A81" w:rsidP="00762FA7">
            <w:pPr>
              <w:keepNext/>
              <w:keepLines/>
              <w:tabs>
                <w:tab w:val="clear" w:pos="562"/>
                <w:tab w:val="left" w:pos="-1080"/>
              </w:tabs>
              <w:suppressAutoHyphens w:val="0"/>
              <w:autoSpaceDE w:val="0"/>
              <w:autoSpaceDN w:val="0"/>
              <w:adjustRightInd w:val="0"/>
              <w:ind w:left="15"/>
              <w:jc w:val="center"/>
              <w:rPr>
                <w:del w:id="7793" w:author="AbbVie19" w:date="2025-04-16T10:42:00Z"/>
                <w:b/>
                <w:bCs/>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7CAF6D51" w14:textId="77777777" w:rsidR="002E5A81" w:rsidRPr="00BC0E7E" w:rsidRDefault="002E5A81" w:rsidP="00762FA7">
            <w:pPr>
              <w:keepNext/>
              <w:keepLines/>
              <w:tabs>
                <w:tab w:val="clear" w:pos="562"/>
                <w:tab w:val="left" w:pos="-1080"/>
              </w:tabs>
              <w:suppressAutoHyphens w:val="0"/>
              <w:autoSpaceDE w:val="0"/>
              <w:autoSpaceDN w:val="0"/>
              <w:adjustRightInd w:val="0"/>
              <w:ind w:left="15"/>
              <w:jc w:val="center"/>
              <w:rPr>
                <w:del w:id="7794" w:author="AbbVie19" w:date="2025-04-16T10:42:00Z"/>
                <w:b/>
                <w:bCs/>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7101BD73" w14:textId="77777777" w:rsidR="002E5A81" w:rsidRPr="00BC0E7E" w:rsidRDefault="002E5A81" w:rsidP="00762FA7">
            <w:pPr>
              <w:keepNext/>
              <w:tabs>
                <w:tab w:val="clear" w:pos="562"/>
              </w:tabs>
              <w:suppressAutoHyphens w:val="0"/>
              <w:autoSpaceDE w:val="0"/>
              <w:autoSpaceDN w:val="0"/>
              <w:adjustRightInd w:val="0"/>
              <w:ind w:left="15"/>
              <w:rPr>
                <w:del w:id="7795" w:author="AbbVie19" w:date="2025-04-16T10:42:00Z"/>
                <w:b/>
                <w:bCs/>
              </w:rPr>
            </w:pPr>
          </w:p>
        </w:tc>
      </w:tr>
      <w:tr w:rsidR="00C6578C" w14:paraId="3CCD7CD0" w14:textId="77777777" w:rsidTr="00271199">
        <w:trPr>
          <w:jc w:val="center"/>
          <w:del w:id="7796" w:author="AbbVie19" w:date="2025-04-16T10:42:00Z"/>
        </w:trPr>
        <w:tc>
          <w:tcPr>
            <w:tcW w:w="2321" w:type="dxa"/>
            <w:tcBorders>
              <w:top w:val="single" w:sz="6" w:space="0" w:color="000000"/>
              <w:left w:val="single" w:sz="6" w:space="0" w:color="000000"/>
              <w:bottom w:val="single" w:sz="6" w:space="0" w:color="000000"/>
              <w:right w:val="single" w:sz="6" w:space="0" w:color="000000"/>
            </w:tcBorders>
            <w:vAlign w:val="bottom"/>
          </w:tcPr>
          <w:p w14:paraId="769FD0E5" w14:textId="77777777" w:rsidR="002E5A81" w:rsidRPr="00BC0E7E" w:rsidRDefault="00944B8F" w:rsidP="00762FA7">
            <w:pPr>
              <w:keepNext/>
              <w:keepLines/>
              <w:tabs>
                <w:tab w:val="clear" w:pos="562"/>
                <w:tab w:val="left" w:pos="-1080"/>
              </w:tabs>
              <w:suppressAutoHyphens w:val="0"/>
              <w:autoSpaceDE w:val="0"/>
              <w:autoSpaceDN w:val="0"/>
              <w:adjustRightInd w:val="0"/>
              <w:ind w:left="15"/>
              <w:rPr>
                <w:del w:id="7797" w:author="AbbVie19" w:date="2025-04-16T10:42:00Z"/>
              </w:rPr>
            </w:pPr>
            <w:del w:id="7798" w:author="AbbVie19" w:date="2025-04-16T10:42:00Z">
              <w:r w:rsidRPr="00BC0E7E">
                <w:rPr>
                  <w:szCs w:val="22"/>
                </w:rPr>
                <w:delText xml:space="preserve">   Clinical remission</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6C1DD8B3"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799" w:author="AbbVie19" w:date="2025-04-16T10:42:00Z"/>
              </w:rPr>
            </w:pPr>
            <w:del w:id="7800" w:author="AbbVie19" w:date="2025-04-16T10:42:00Z">
              <w:r w:rsidRPr="00BC0E7E">
                <w:rPr>
                  <w:szCs w:val="22"/>
                </w:rPr>
                <w:delText>38.7%</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14:paraId="500F4070"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01" w:author="AbbVie19" w:date="2025-04-16T10:42:00Z"/>
              </w:rPr>
            </w:pPr>
            <w:del w:id="7802" w:author="AbbVie19" w:date="2025-04-16T10:42:00Z">
              <w:r w:rsidRPr="00BC0E7E">
                <w:rPr>
                  <w:szCs w:val="22"/>
                </w:rPr>
                <w:delText>28.4%</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14:paraId="7427FACD"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03" w:author="AbbVie19" w:date="2025-04-16T10:42:00Z"/>
              </w:rPr>
            </w:pPr>
            <w:del w:id="7804" w:author="AbbVie19" w:date="2025-04-16T10:42:00Z">
              <w:r w:rsidRPr="00BC0E7E">
                <w:rPr>
                  <w:szCs w:val="22"/>
                </w:rPr>
                <w:delText>0.075</w:delText>
              </w:r>
            </w:del>
          </w:p>
        </w:tc>
      </w:tr>
      <w:tr w:rsidR="00C6578C" w14:paraId="03709829" w14:textId="77777777" w:rsidTr="00271199">
        <w:trPr>
          <w:jc w:val="center"/>
          <w:del w:id="7805" w:author="AbbVie19" w:date="2025-04-16T10:42:00Z"/>
        </w:trPr>
        <w:tc>
          <w:tcPr>
            <w:tcW w:w="2321" w:type="dxa"/>
            <w:tcBorders>
              <w:top w:val="single" w:sz="6" w:space="0" w:color="000000"/>
              <w:left w:val="single" w:sz="6" w:space="0" w:color="000000"/>
              <w:bottom w:val="single" w:sz="6" w:space="0" w:color="000000"/>
              <w:right w:val="single" w:sz="6" w:space="0" w:color="000000"/>
            </w:tcBorders>
          </w:tcPr>
          <w:p w14:paraId="323A1899" w14:textId="77777777" w:rsidR="002E5A81" w:rsidRPr="00BC0E7E" w:rsidRDefault="00944B8F" w:rsidP="00762FA7">
            <w:pPr>
              <w:keepNext/>
              <w:keepLines/>
              <w:tabs>
                <w:tab w:val="clear" w:pos="562"/>
                <w:tab w:val="left" w:pos="-1080"/>
              </w:tabs>
              <w:suppressAutoHyphens w:val="0"/>
              <w:autoSpaceDE w:val="0"/>
              <w:autoSpaceDN w:val="0"/>
              <w:adjustRightInd w:val="0"/>
              <w:ind w:left="15"/>
              <w:rPr>
                <w:del w:id="7806" w:author="AbbVie19" w:date="2025-04-16T10:42:00Z"/>
              </w:rPr>
            </w:pPr>
            <w:del w:id="7807" w:author="AbbVie19" w:date="2025-04-16T10:42:00Z">
              <w:r w:rsidRPr="00BC0E7E">
                <w:rPr>
                  <w:szCs w:val="22"/>
                </w:rPr>
                <w:delText xml:space="preserve">   Clinical response </w:delText>
              </w:r>
            </w:del>
          </w:p>
        </w:tc>
        <w:tc>
          <w:tcPr>
            <w:tcW w:w="1614" w:type="dxa"/>
            <w:tcBorders>
              <w:top w:val="single" w:sz="6" w:space="0" w:color="000000"/>
              <w:left w:val="single" w:sz="6" w:space="0" w:color="000000"/>
              <w:bottom w:val="single" w:sz="6" w:space="0" w:color="000000"/>
              <w:right w:val="single" w:sz="6" w:space="0" w:color="000000"/>
            </w:tcBorders>
          </w:tcPr>
          <w:p w14:paraId="79CE61AC"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08" w:author="AbbVie19" w:date="2025-04-16T10:42:00Z"/>
              </w:rPr>
            </w:pPr>
            <w:del w:id="7809" w:author="AbbVie19" w:date="2025-04-16T10:42:00Z">
              <w:r w:rsidRPr="00BC0E7E">
                <w:rPr>
                  <w:szCs w:val="22"/>
                </w:rPr>
                <w:delText>59.1%</w:delText>
              </w:r>
            </w:del>
          </w:p>
        </w:tc>
        <w:tc>
          <w:tcPr>
            <w:tcW w:w="1591" w:type="dxa"/>
            <w:tcBorders>
              <w:top w:val="single" w:sz="6" w:space="0" w:color="000000"/>
              <w:left w:val="single" w:sz="6" w:space="0" w:color="000000"/>
              <w:bottom w:val="single" w:sz="6" w:space="0" w:color="000000"/>
              <w:right w:val="single" w:sz="6" w:space="0" w:color="000000"/>
            </w:tcBorders>
          </w:tcPr>
          <w:p w14:paraId="7D85F73F"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10" w:author="AbbVie19" w:date="2025-04-16T10:42:00Z"/>
              </w:rPr>
            </w:pPr>
            <w:del w:id="7811" w:author="AbbVie19" w:date="2025-04-16T10:42:00Z">
              <w:r w:rsidRPr="00BC0E7E">
                <w:rPr>
                  <w:szCs w:val="22"/>
                </w:rPr>
                <w:delText>48.4%</w:delText>
              </w:r>
            </w:del>
          </w:p>
        </w:tc>
        <w:tc>
          <w:tcPr>
            <w:tcW w:w="1147" w:type="dxa"/>
            <w:tcBorders>
              <w:top w:val="single" w:sz="6" w:space="0" w:color="000000"/>
              <w:left w:val="single" w:sz="6" w:space="0" w:color="000000"/>
              <w:bottom w:val="single" w:sz="6" w:space="0" w:color="000000"/>
              <w:right w:val="single" w:sz="6" w:space="0" w:color="000000"/>
            </w:tcBorders>
          </w:tcPr>
          <w:p w14:paraId="176B1E28"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12" w:author="AbbVie19" w:date="2025-04-16T10:42:00Z"/>
              </w:rPr>
            </w:pPr>
            <w:del w:id="7813" w:author="AbbVie19" w:date="2025-04-16T10:42:00Z">
              <w:r w:rsidRPr="00BC0E7E">
                <w:rPr>
                  <w:szCs w:val="22"/>
                </w:rPr>
                <w:delText>0.073</w:delText>
              </w:r>
            </w:del>
          </w:p>
        </w:tc>
      </w:tr>
      <w:tr w:rsidR="00C6578C" w14:paraId="20686C6A" w14:textId="77777777" w:rsidTr="00271199">
        <w:trPr>
          <w:jc w:val="center"/>
          <w:del w:id="7814" w:author="AbbVie19" w:date="2025-04-16T10:42:00Z"/>
        </w:trPr>
        <w:tc>
          <w:tcPr>
            <w:tcW w:w="2321" w:type="dxa"/>
            <w:tcBorders>
              <w:top w:val="single" w:sz="6" w:space="0" w:color="000000"/>
              <w:left w:val="single" w:sz="6" w:space="0" w:color="000000"/>
              <w:bottom w:val="single" w:sz="6" w:space="0" w:color="000000"/>
              <w:right w:val="single" w:sz="6" w:space="0" w:color="000000"/>
            </w:tcBorders>
            <w:vAlign w:val="bottom"/>
          </w:tcPr>
          <w:p w14:paraId="118A1625" w14:textId="77777777" w:rsidR="002E5A81" w:rsidRPr="00BC0E7E" w:rsidRDefault="00944B8F" w:rsidP="00762FA7">
            <w:pPr>
              <w:keepNext/>
              <w:keepLines/>
              <w:tabs>
                <w:tab w:val="clear" w:pos="562"/>
                <w:tab w:val="left" w:pos="-1080"/>
              </w:tabs>
              <w:suppressAutoHyphens w:val="0"/>
              <w:autoSpaceDE w:val="0"/>
              <w:autoSpaceDN w:val="0"/>
              <w:adjustRightInd w:val="0"/>
              <w:ind w:left="15"/>
              <w:rPr>
                <w:del w:id="7815" w:author="AbbVie19" w:date="2025-04-16T10:42:00Z"/>
                <w:b/>
                <w:bCs/>
              </w:rPr>
            </w:pPr>
            <w:del w:id="7816" w:author="AbbVie19" w:date="2025-04-16T10:42:00Z">
              <w:r w:rsidRPr="00BC0E7E">
                <w:rPr>
                  <w:b/>
                  <w:bCs/>
                  <w:szCs w:val="22"/>
                </w:rPr>
                <w:delText>Week</w:delText>
              </w:r>
              <w:r w:rsidRPr="00BC0E7E">
                <w:delText> </w:delText>
              </w:r>
              <w:r w:rsidRPr="00BC0E7E">
                <w:rPr>
                  <w:b/>
                  <w:bCs/>
                  <w:szCs w:val="22"/>
                </w:rPr>
                <w:delText>52</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79803439" w14:textId="77777777" w:rsidR="002E5A81" w:rsidRPr="00BC0E7E" w:rsidRDefault="002E5A81" w:rsidP="00762FA7">
            <w:pPr>
              <w:keepNext/>
              <w:keepLines/>
              <w:tabs>
                <w:tab w:val="clear" w:pos="562"/>
                <w:tab w:val="left" w:pos="-1080"/>
              </w:tabs>
              <w:suppressAutoHyphens w:val="0"/>
              <w:autoSpaceDE w:val="0"/>
              <w:autoSpaceDN w:val="0"/>
              <w:adjustRightInd w:val="0"/>
              <w:ind w:left="15"/>
              <w:jc w:val="center"/>
              <w:rPr>
                <w:del w:id="7817" w:author="AbbVie19" w:date="2025-04-16T10:42:00Z"/>
                <w:b/>
                <w:bCs/>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4660640B" w14:textId="77777777" w:rsidR="002E5A81" w:rsidRPr="00BC0E7E" w:rsidRDefault="002E5A81" w:rsidP="00762FA7">
            <w:pPr>
              <w:keepNext/>
              <w:keepLines/>
              <w:tabs>
                <w:tab w:val="clear" w:pos="562"/>
                <w:tab w:val="left" w:pos="-1080"/>
              </w:tabs>
              <w:suppressAutoHyphens w:val="0"/>
              <w:autoSpaceDE w:val="0"/>
              <w:autoSpaceDN w:val="0"/>
              <w:adjustRightInd w:val="0"/>
              <w:ind w:left="15"/>
              <w:jc w:val="center"/>
              <w:rPr>
                <w:del w:id="7818" w:author="AbbVie19" w:date="2025-04-16T10:42:00Z"/>
                <w:b/>
                <w:bCs/>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7AEAE537" w14:textId="77777777" w:rsidR="002E5A81" w:rsidRPr="00BC0E7E" w:rsidRDefault="002E5A81" w:rsidP="00762FA7">
            <w:pPr>
              <w:keepNext/>
              <w:tabs>
                <w:tab w:val="clear" w:pos="562"/>
              </w:tabs>
              <w:suppressAutoHyphens w:val="0"/>
              <w:autoSpaceDE w:val="0"/>
              <w:autoSpaceDN w:val="0"/>
              <w:adjustRightInd w:val="0"/>
              <w:ind w:left="15"/>
              <w:rPr>
                <w:del w:id="7819" w:author="AbbVie19" w:date="2025-04-16T10:42:00Z"/>
                <w:b/>
                <w:bCs/>
              </w:rPr>
            </w:pPr>
          </w:p>
        </w:tc>
      </w:tr>
      <w:tr w:rsidR="00C6578C" w14:paraId="271D6AB8" w14:textId="77777777" w:rsidTr="00271199">
        <w:trPr>
          <w:jc w:val="center"/>
          <w:del w:id="7820" w:author="AbbVie19" w:date="2025-04-16T10:42:00Z"/>
        </w:trPr>
        <w:tc>
          <w:tcPr>
            <w:tcW w:w="2321" w:type="dxa"/>
            <w:tcBorders>
              <w:top w:val="single" w:sz="6" w:space="0" w:color="000000"/>
              <w:left w:val="single" w:sz="6" w:space="0" w:color="000000"/>
              <w:bottom w:val="single" w:sz="6" w:space="0" w:color="000000"/>
              <w:right w:val="single" w:sz="6" w:space="0" w:color="000000"/>
            </w:tcBorders>
            <w:vAlign w:val="bottom"/>
          </w:tcPr>
          <w:p w14:paraId="6113D4AE" w14:textId="77777777" w:rsidR="002E5A81" w:rsidRPr="00BC0E7E" w:rsidRDefault="00944B8F" w:rsidP="00762FA7">
            <w:pPr>
              <w:keepNext/>
              <w:keepLines/>
              <w:tabs>
                <w:tab w:val="clear" w:pos="562"/>
                <w:tab w:val="left" w:pos="-1080"/>
              </w:tabs>
              <w:suppressAutoHyphens w:val="0"/>
              <w:autoSpaceDE w:val="0"/>
              <w:autoSpaceDN w:val="0"/>
              <w:adjustRightInd w:val="0"/>
              <w:ind w:left="15"/>
              <w:rPr>
                <w:del w:id="7821" w:author="AbbVie19" w:date="2025-04-16T10:42:00Z"/>
              </w:rPr>
            </w:pPr>
            <w:del w:id="7822" w:author="AbbVie19" w:date="2025-04-16T10:42:00Z">
              <w:r w:rsidRPr="00BC0E7E">
                <w:rPr>
                  <w:szCs w:val="22"/>
                </w:rPr>
                <w:delText xml:space="preserve">   Clinical remission</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14:paraId="50D2FD90"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23" w:author="AbbVie19" w:date="2025-04-16T10:42:00Z"/>
              </w:rPr>
            </w:pPr>
            <w:del w:id="7824" w:author="AbbVie19" w:date="2025-04-16T10:42:00Z">
              <w:r w:rsidRPr="00BC0E7E">
                <w:rPr>
                  <w:szCs w:val="22"/>
                </w:rPr>
                <w:delText>33.3%</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14:paraId="49565BCC"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25" w:author="AbbVie19" w:date="2025-04-16T10:42:00Z"/>
              </w:rPr>
            </w:pPr>
            <w:del w:id="7826" w:author="AbbVie19" w:date="2025-04-16T10:42:00Z">
              <w:r w:rsidRPr="00BC0E7E">
                <w:rPr>
                  <w:szCs w:val="22"/>
                </w:rPr>
                <w:delText>23.2%</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14:paraId="110C7CD3"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27" w:author="AbbVie19" w:date="2025-04-16T10:42:00Z"/>
              </w:rPr>
            </w:pPr>
            <w:del w:id="7828" w:author="AbbVie19" w:date="2025-04-16T10:42:00Z">
              <w:r w:rsidRPr="00BC0E7E">
                <w:rPr>
                  <w:szCs w:val="22"/>
                </w:rPr>
                <w:delText>0.100</w:delText>
              </w:r>
            </w:del>
          </w:p>
        </w:tc>
      </w:tr>
      <w:tr w:rsidR="00C6578C" w14:paraId="03363DD7" w14:textId="77777777" w:rsidTr="00271199">
        <w:trPr>
          <w:jc w:val="center"/>
          <w:del w:id="7829" w:author="AbbVie19" w:date="2025-04-16T10:42:00Z"/>
        </w:trPr>
        <w:tc>
          <w:tcPr>
            <w:tcW w:w="2321" w:type="dxa"/>
            <w:tcBorders>
              <w:top w:val="single" w:sz="6" w:space="0" w:color="000000"/>
              <w:left w:val="single" w:sz="6" w:space="0" w:color="000000"/>
              <w:bottom w:val="single" w:sz="6" w:space="0" w:color="000000"/>
              <w:right w:val="single" w:sz="6" w:space="0" w:color="000000"/>
            </w:tcBorders>
          </w:tcPr>
          <w:p w14:paraId="2E93D3EF" w14:textId="77777777" w:rsidR="002E5A81" w:rsidRPr="00BC0E7E" w:rsidRDefault="00944B8F" w:rsidP="00762FA7">
            <w:pPr>
              <w:keepNext/>
              <w:keepLines/>
              <w:tabs>
                <w:tab w:val="clear" w:pos="562"/>
                <w:tab w:val="left" w:pos="-1080"/>
              </w:tabs>
              <w:suppressAutoHyphens w:val="0"/>
              <w:autoSpaceDE w:val="0"/>
              <w:autoSpaceDN w:val="0"/>
              <w:adjustRightInd w:val="0"/>
              <w:ind w:left="15"/>
              <w:rPr>
                <w:del w:id="7830" w:author="AbbVie19" w:date="2025-04-16T10:42:00Z"/>
              </w:rPr>
            </w:pPr>
            <w:del w:id="7831" w:author="AbbVie19" w:date="2025-04-16T10:42:00Z">
              <w:r w:rsidRPr="00BC0E7E">
                <w:rPr>
                  <w:szCs w:val="22"/>
                </w:rPr>
                <w:delText xml:space="preserve">   Clinical response</w:delText>
              </w:r>
            </w:del>
          </w:p>
        </w:tc>
        <w:tc>
          <w:tcPr>
            <w:tcW w:w="1614" w:type="dxa"/>
            <w:tcBorders>
              <w:top w:val="single" w:sz="6" w:space="0" w:color="000000"/>
              <w:left w:val="single" w:sz="6" w:space="0" w:color="000000"/>
              <w:bottom w:val="single" w:sz="6" w:space="0" w:color="000000"/>
              <w:right w:val="single" w:sz="6" w:space="0" w:color="000000"/>
            </w:tcBorders>
          </w:tcPr>
          <w:p w14:paraId="78364F6A"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32" w:author="AbbVie19" w:date="2025-04-16T10:42:00Z"/>
              </w:rPr>
            </w:pPr>
            <w:del w:id="7833" w:author="AbbVie19" w:date="2025-04-16T10:42:00Z">
              <w:r w:rsidRPr="00BC0E7E">
                <w:rPr>
                  <w:szCs w:val="22"/>
                </w:rPr>
                <w:delText>41.9%</w:delText>
              </w:r>
            </w:del>
          </w:p>
        </w:tc>
        <w:tc>
          <w:tcPr>
            <w:tcW w:w="1591" w:type="dxa"/>
            <w:tcBorders>
              <w:top w:val="single" w:sz="6" w:space="0" w:color="000000"/>
              <w:left w:val="single" w:sz="6" w:space="0" w:color="000000"/>
              <w:bottom w:val="single" w:sz="6" w:space="0" w:color="000000"/>
              <w:right w:val="single" w:sz="6" w:space="0" w:color="000000"/>
            </w:tcBorders>
          </w:tcPr>
          <w:p w14:paraId="56917C4F"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34" w:author="AbbVie19" w:date="2025-04-16T10:42:00Z"/>
              </w:rPr>
            </w:pPr>
            <w:del w:id="7835" w:author="AbbVie19" w:date="2025-04-16T10:42:00Z">
              <w:r w:rsidRPr="00BC0E7E">
                <w:rPr>
                  <w:szCs w:val="22"/>
                </w:rPr>
                <w:delText>28.4%</w:delText>
              </w:r>
            </w:del>
          </w:p>
        </w:tc>
        <w:tc>
          <w:tcPr>
            <w:tcW w:w="1147" w:type="dxa"/>
            <w:tcBorders>
              <w:top w:val="single" w:sz="6" w:space="0" w:color="000000"/>
              <w:left w:val="single" w:sz="6" w:space="0" w:color="000000"/>
              <w:bottom w:val="single" w:sz="6" w:space="0" w:color="000000"/>
              <w:right w:val="single" w:sz="6" w:space="0" w:color="000000"/>
            </w:tcBorders>
          </w:tcPr>
          <w:p w14:paraId="265AC4A2"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36" w:author="AbbVie19" w:date="2025-04-16T10:42:00Z"/>
              </w:rPr>
            </w:pPr>
            <w:del w:id="7837" w:author="AbbVie19" w:date="2025-04-16T10:42:00Z">
              <w:r w:rsidRPr="00BC0E7E">
                <w:rPr>
                  <w:szCs w:val="22"/>
                </w:rPr>
                <w:delText>0.038</w:delText>
              </w:r>
            </w:del>
          </w:p>
        </w:tc>
      </w:tr>
      <w:tr w:rsidR="00C6578C" w14:paraId="3B2E9032" w14:textId="77777777" w:rsidTr="00271199">
        <w:trPr>
          <w:jc w:val="center"/>
          <w:del w:id="7838" w:author="AbbVie19" w:date="2025-04-16T10:42:00Z"/>
        </w:trPr>
        <w:tc>
          <w:tcPr>
            <w:tcW w:w="6673" w:type="dxa"/>
            <w:gridSpan w:val="4"/>
            <w:tcBorders>
              <w:top w:val="single" w:sz="6" w:space="0" w:color="000000"/>
              <w:left w:val="single" w:sz="6" w:space="0" w:color="000000"/>
              <w:bottom w:val="single" w:sz="6" w:space="0" w:color="000000"/>
              <w:right w:val="single" w:sz="6" w:space="0" w:color="000000"/>
            </w:tcBorders>
          </w:tcPr>
          <w:p w14:paraId="52EF236B" w14:textId="77777777" w:rsidR="002E5A81" w:rsidRPr="00BC0E7E" w:rsidRDefault="00944B8F" w:rsidP="00762FA7">
            <w:pPr>
              <w:keepNext/>
              <w:keepLines/>
              <w:tabs>
                <w:tab w:val="clear" w:pos="562"/>
                <w:tab w:val="left" w:pos="-1080"/>
              </w:tabs>
              <w:suppressAutoHyphens w:val="0"/>
              <w:autoSpaceDE w:val="0"/>
              <w:autoSpaceDN w:val="0"/>
              <w:adjustRightInd w:val="0"/>
              <w:ind w:left="15"/>
              <w:rPr>
                <w:del w:id="7839" w:author="AbbVie19" w:date="2025-04-16T10:42:00Z"/>
              </w:rPr>
            </w:pPr>
            <w:del w:id="7840" w:author="AbbVie19" w:date="2025-04-16T10:42:00Z">
              <w:r w:rsidRPr="00BC0E7E">
                <w:rPr>
                  <w:szCs w:val="22"/>
                </w:rPr>
                <w:delText xml:space="preserve">* p value for Standard Dose </w:delText>
              </w:r>
              <w:r w:rsidRPr="00BC0E7E">
                <w:rPr>
                  <w:i/>
                  <w:iCs/>
                  <w:szCs w:val="22"/>
                </w:rPr>
                <w:delText>versus</w:delText>
              </w:r>
              <w:r w:rsidRPr="00BC0E7E">
                <w:rPr>
                  <w:szCs w:val="22"/>
                </w:rPr>
                <w:delText xml:space="preserve"> Low Dose comparison.</w:delText>
              </w:r>
            </w:del>
          </w:p>
        </w:tc>
      </w:tr>
    </w:tbl>
    <w:p w14:paraId="045EB438" w14:textId="77777777" w:rsidR="002E5A81" w:rsidRPr="00BC0E7E" w:rsidRDefault="002E5A81" w:rsidP="00762FA7">
      <w:pPr>
        <w:keepNext/>
        <w:rPr>
          <w:del w:id="7841" w:author="AbbVie19" w:date="2025-04-16T10:42:00Z"/>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C6578C" w14:paraId="183CFFAA" w14:textId="77777777" w:rsidTr="00271199">
        <w:trPr>
          <w:jc w:val="center"/>
          <w:del w:id="7842" w:author="AbbVie19" w:date="2025-04-16T10:42:00Z"/>
        </w:trPr>
        <w:tc>
          <w:tcPr>
            <w:tcW w:w="8440" w:type="dxa"/>
            <w:gridSpan w:val="4"/>
            <w:tcBorders>
              <w:top w:val="single" w:sz="6" w:space="0" w:color="000000"/>
              <w:left w:val="single" w:sz="6" w:space="0" w:color="000000"/>
              <w:bottom w:val="single" w:sz="6" w:space="0" w:color="000000"/>
              <w:right w:val="single" w:sz="6" w:space="0" w:color="000000"/>
            </w:tcBorders>
          </w:tcPr>
          <w:p w14:paraId="40348AF5" w14:textId="77777777" w:rsidR="002E5A81" w:rsidRPr="00BC0E7E" w:rsidRDefault="00944B8F" w:rsidP="00762FA7">
            <w:pPr>
              <w:keepNext/>
              <w:tabs>
                <w:tab w:val="clear" w:pos="562"/>
                <w:tab w:val="left" w:pos="-878"/>
              </w:tabs>
              <w:suppressAutoHyphens w:val="0"/>
              <w:autoSpaceDE w:val="0"/>
              <w:autoSpaceDN w:val="0"/>
              <w:adjustRightInd w:val="0"/>
              <w:jc w:val="center"/>
              <w:rPr>
                <w:del w:id="7843" w:author="AbbVie19" w:date="2025-04-16T10:42:00Z"/>
                <w:b/>
                <w:bCs/>
              </w:rPr>
            </w:pPr>
            <w:del w:id="7844" w:author="AbbVie19" w:date="2025-04-16T10:42:00Z">
              <w:r w:rsidRPr="00BC0E7E">
                <w:rPr>
                  <w:b/>
                  <w:bCs/>
                  <w:szCs w:val="22"/>
                </w:rPr>
                <w:delText xml:space="preserve">Table </w:delText>
              </w:r>
              <w:r w:rsidR="005F03EC">
                <w:rPr>
                  <w:b/>
                  <w:bCs/>
                  <w:szCs w:val="22"/>
                </w:rPr>
                <w:delText>30</w:delText>
              </w:r>
            </w:del>
          </w:p>
          <w:p w14:paraId="3AC39ED6" w14:textId="77777777" w:rsidR="002E5A81" w:rsidRPr="00BC0E7E" w:rsidRDefault="00944B8F" w:rsidP="00762FA7">
            <w:pPr>
              <w:keepNext/>
              <w:tabs>
                <w:tab w:val="clear" w:pos="562"/>
                <w:tab w:val="left" w:pos="-878"/>
              </w:tabs>
              <w:suppressAutoHyphens w:val="0"/>
              <w:autoSpaceDE w:val="0"/>
              <w:autoSpaceDN w:val="0"/>
              <w:adjustRightInd w:val="0"/>
              <w:jc w:val="center"/>
              <w:rPr>
                <w:del w:id="7845" w:author="AbbVie19" w:date="2025-04-16T10:42:00Z"/>
                <w:b/>
                <w:bCs/>
              </w:rPr>
            </w:pPr>
            <w:del w:id="7846" w:author="AbbVie19" w:date="2025-04-16T10:42:00Z">
              <w:r w:rsidRPr="00BC0E7E">
                <w:rPr>
                  <w:b/>
                  <w:bCs/>
                  <w:szCs w:val="22"/>
                </w:rPr>
                <w:delText>Paediatric CD Study</w:delText>
              </w:r>
            </w:del>
          </w:p>
          <w:p w14:paraId="7DB15CAB" w14:textId="77777777" w:rsidR="002E5A81" w:rsidRPr="00BC0E7E" w:rsidRDefault="00944B8F" w:rsidP="00762FA7">
            <w:pPr>
              <w:keepNext/>
              <w:tabs>
                <w:tab w:val="clear" w:pos="562"/>
                <w:tab w:val="left" w:pos="-878"/>
              </w:tabs>
              <w:suppressAutoHyphens w:val="0"/>
              <w:autoSpaceDE w:val="0"/>
              <w:autoSpaceDN w:val="0"/>
              <w:adjustRightInd w:val="0"/>
              <w:jc w:val="center"/>
              <w:rPr>
                <w:del w:id="7847" w:author="AbbVie19" w:date="2025-04-16T10:42:00Z"/>
                <w:b/>
                <w:bCs/>
              </w:rPr>
            </w:pPr>
            <w:del w:id="7848" w:author="AbbVie19" w:date="2025-04-16T10:42:00Z">
              <w:r w:rsidRPr="00BC0E7E">
                <w:rPr>
                  <w:b/>
                  <w:bCs/>
                  <w:szCs w:val="22"/>
                </w:rPr>
                <w:delText>Discontinuation of Corticosteroids or Immunomodulators and Fistula Remission</w:delText>
              </w:r>
            </w:del>
          </w:p>
        </w:tc>
      </w:tr>
      <w:tr w:rsidR="00C6578C" w14:paraId="1B9E2476" w14:textId="77777777" w:rsidTr="00271199">
        <w:trPr>
          <w:jc w:val="center"/>
          <w:del w:id="7849" w:author="AbbVie19" w:date="2025-04-16T10:42:00Z"/>
        </w:trPr>
        <w:tc>
          <w:tcPr>
            <w:tcW w:w="4025" w:type="dxa"/>
            <w:tcBorders>
              <w:top w:val="single" w:sz="6" w:space="0" w:color="000000"/>
              <w:left w:val="single" w:sz="6" w:space="0" w:color="000000"/>
              <w:bottom w:val="single" w:sz="6" w:space="0" w:color="000000"/>
              <w:right w:val="single" w:sz="6" w:space="0" w:color="000000"/>
            </w:tcBorders>
          </w:tcPr>
          <w:p w14:paraId="7728D3D4" w14:textId="77777777" w:rsidR="002E5A81" w:rsidRPr="00BC0E7E" w:rsidRDefault="002E5A81" w:rsidP="00762FA7">
            <w:pPr>
              <w:keepNext/>
              <w:keepLines/>
              <w:tabs>
                <w:tab w:val="clear" w:pos="562"/>
                <w:tab w:val="left" w:pos="-1080"/>
              </w:tabs>
              <w:suppressAutoHyphens w:val="0"/>
              <w:autoSpaceDE w:val="0"/>
              <w:autoSpaceDN w:val="0"/>
              <w:adjustRightInd w:val="0"/>
              <w:jc w:val="center"/>
              <w:rPr>
                <w:del w:id="7850" w:author="AbbVie19" w:date="2025-04-16T10:42:00Z"/>
                <w:b/>
                <w:bCs/>
              </w:rPr>
            </w:pPr>
          </w:p>
        </w:tc>
        <w:tc>
          <w:tcPr>
            <w:tcW w:w="1656" w:type="dxa"/>
            <w:tcBorders>
              <w:top w:val="single" w:sz="6" w:space="0" w:color="000000"/>
              <w:left w:val="single" w:sz="6" w:space="0" w:color="000000"/>
              <w:bottom w:val="single" w:sz="6" w:space="0" w:color="000000"/>
              <w:right w:val="single" w:sz="6" w:space="0" w:color="000000"/>
            </w:tcBorders>
          </w:tcPr>
          <w:p w14:paraId="74535942"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51" w:author="AbbVie19" w:date="2025-04-16T10:42:00Z"/>
                <w:b/>
                <w:bCs/>
              </w:rPr>
            </w:pPr>
            <w:del w:id="7852" w:author="AbbVie19" w:date="2025-04-16T10:42:00Z">
              <w:r w:rsidRPr="00BC0E7E">
                <w:rPr>
                  <w:b/>
                  <w:bCs/>
                  <w:szCs w:val="22"/>
                </w:rPr>
                <w:delText>Standard Dose</w:delText>
              </w:r>
            </w:del>
          </w:p>
          <w:p w14:paraId="3C9432E3"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53" w:author="AbbVie19" w:date="2025-04-16T10:42:00Z"/>
                <w:b/>
                <w:bCs/>
              </w:rPr>
            </w:pPr>
            <w:del w:id="7854" w:author="AbbVie19" w:date="2025-04-16T10:42:00Z">
              <w:r w:rsidRPr="00BC0E7E">
                <w:rPr>
                  <w:b/>
                  <w:bCs/>
                  <w:szCs w:val="22"/>
                </w:rPr>
                <w:delText>40/20</w:delText>
              </w:r>
              <w:r w:rsidRPr="00BC0E7E">
                <w:delText> </w:delText>
              </w:r>
              <w:r w:rsidRPr="00BC0E7E">
                <w:rPr>
                  <w:b/>
                  <w:bCs/>
                  <w:szCs w:val="22"/>
                </w:rPr>
                <w:delText>mg</w:delText>
              </w:r>
              <w:r w:rsidRPr="00BC0E7E">
                <w:delText> </w:delText>
              </w:r>
              <w:r w:rsidRPr="00BC0E7E">
                <w:rPr>
                  <w:b/>
                  <w:bCs/>
                  <w:szCs w:val="22"/>
                </w:rPr>
                <w:delText xml:space="preserve">eow </w:delText>
              </w:r>
            </w:del>
          </w:p>
        </w:tc>
        <w:tc>
          <w:tcPr>
            <w:tcW w:w="1619" w:type="dxa"/>
            <w:tcBorders>
              <w:top w:val="single" w:sz="6" w:space="0" w:color="000000"/>
              <w:left w:val="single" w:sz="6" w:space="0" w:color="000000"/>
              <w:bottom w:val="single" w:sz="6" w:space="0" w:color="000000"/>
              <w:right w:val="single" w:sz="6" w:space="0" w:color="000000"/>
            </w:tcBorders>
          </w:tcPr>
          <w:p w14:paraId="1C70F653"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55" w:author="AbbVie19" w:date="2025-04-16T10:42:00Z"/>
                <w:b/>
                <w:bCs/>
              </w:rPr>
            </w:pPr>
            <w:del w:id="7856" w:author="AbbVie19" w:date="2025-04-16T10:42:00Z">
              <w:r w:rsidRPr="00BC0E7E">
                <w:rPr>
                  <w:b/>
                  <w:bCs/>
                  <w:szCs w:val="22"/>
                </w:rPr>
                <w:delText>Low Dose</w:delText>
              </w:r>
            </w:del>
          </w:p>
          <w:p w14:paraId="34A6890C"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57" w:author="AbbVie19" w:date="2025-04-16T10:42:00Z"/>
                <w:b/>
                <w:bCs/>
              </w:rPr>
            </w:pPr>
            <w:del w:id="7858" w:author="AbbVie19" w:date="2025-04-16T10:42:00Z">
              <w:r w:rsidRPr="00BC0E7E">
                <w:rPr>
                  <w:b/>
                  <w:bCs/>
                  <w:szCs w:val="22"/>
                </w:rPr>
                <w:delText>20/10</w:delText>
              </w:r>
              <w:r w:rsidRPr="00BC0E7E">
                <w:delText> </w:delText>
              </w:r>
              <w:r w:rsidRPr="00BC0E7E">
                <w:rPr>
                  <w:b/>
                  <w:bCs/>
                  <w:szCs w:val="22"/>
                </w:rPr>
                <w:delText>mg</w:delText>
              </w:r>
              <w:r w:rsidRPr="00BC0E7E">
                <w:delText> </w:delText>
              </w:r>
              <w:r w:rsidRPr="00BC0E7E">
                <w:rPr>
                  <w:b/>
                  <w:bCs/>
                  <w:szCs w:val="22"/>
                </w:rPr>
                <w:delText xml:space="preserve">eow </w:delText>
              </w:r>
            </w:del>
          </w:p>
        </w:tc>
        <w:tc>
          <w:tcPr>
            <w:tcW w:w="1140" w:type="dxa"/>
            <w:tcBorders>
              <w:top w:val="single" w:sz="6" w:space="0" w:color="000000"/>
              <w:left w:val="single" w:sz="6" w:space="0" w:color="000000"/>
              <w:bottom w:val="single" w:sz="6" w:space="0" w:color="000000"/>
              <w:right w:val="single" w:sz="6" w:space="0" w:color="000000"/>
            </w:tcBorders>
          </w:tcPr>
          <w:p w14:paraId="73E4625B"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59" w:author="AbbVie19" w:date="2025-04-16T10:42:00Z"/>
                <w:b/>
                <w:bCs/>
              </w:rPr>
            </w:pPr>
            <w:del w:id="7860" w:author="AbbVie19" w:date="2025-04-16T10:42:00Z">
              <w:r w:rsidRPr="00BC0E7E">
                <w:rPr>
                  <w:b/>
                  <w:bCs/>
                  <w:szCs w:val="22"/>
                </w:rPr>
                <w:delText>P value</w:delText>
              </w:r>
              <w:r w:rsidRPr="00BC0E7E">
                <w:rPr>
                  <w:b/>
                  <w:bCs/>
                  <w:szCs w:val="22"/>
                  <w:vertAlign w:val="superscript"/>
                </w:rPr>
                <w:delText>1</w:delText>
              </w:r>
            </w:del>
          </w:p>
        </w:tc>
      </w:tr>
      <w:tr w:rsidR="00C6578C" w14:paraId="2E295E00" w14:textId="77777777" w:rsidTr="00271199">
        <w:trPr>
          <w:jc w:val="center"/>
          <w:del w:id="7861" w:author="AbbVie19" w:date="2025-04-16T10:42:00Z"/>
        </w:trPr>
        <w:tc>
          <w:tcPr>
            <w:tcW w:w="4025" w:type="dxa"/>
            <w:tcBorders>
              <w:top w:val="single" w:sz="6" w:space="0" w:color="000000"/>
              <w:left w:val="single" w:sz="6" w:space="0" w:color="000000"/>
              <w:bottom w:val="single" w:sz="6" w:space="0" w:color="000000"/>
              <w:right w:val="single" w:sz="6" w:space="0" w:color="000000"/>
            </w:tcBorders>
            <w:vAlign w:val="bottom"/>
          </w:tcPr>
          <w:p w14:paraId="1CE98FD2" w14:textId="77777777" w:rsidR="002E5A81" w:rsidRPr="00BC0E7E" w:rsidRDefault="00944B8F" w:rsidP="00762FA7">
            <w:pPr>
              <w:keepNext/>
              <w:keepLines/>
              <w:tabs>
                <w:tab w:val="clear" w:pos="562"/>
                <w:tab w:val="left" w:pos="-1080"/>
              </w:tabs>
              <w:suppressAutoHyphens w:val="0"/>
              <w:autoSpaceDE w:val="0"/>
              <w:autoSpaceDN w:val="0"/>
              <w:adjustRightInd w:val="0"/>
              <w:rPr>
                <w:del w:id="7862" w:author="AbbVie19" w:date="2025-04-16T10:42:00Z"/>
                <w:b/>
              </w:rPr>
            </w:pPr>
            <w:del w:id="7863" w:author="AbbVie19" w:date="2025-04-16T10:42:00Z">
              <w:r w:rsidRPr="00BC0E7E">
                <w:rPr>
                  <w:b/>
                  <w:szCs w:val="22"/>
                </w:rPr>
                <w:delText>Discontinued corticosteroids</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473F33AB"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64" w:author="AbbVie19" w:date="2025-04-16T10:42:00Z"/>
                <w:b/>
              </w:rPr>
            </w:pPr>
            <w:del w:id="7865" w:author="AbbVie19" w:date="2025-04-16T10:42:00Z">
              <w:r w:rsidRPr="00BC0E7E">
                <w:rPr>
                  <w:b/>
                  <w:szCs w:val="22"/>
                </w:rPr>
                <w:delText>N= 33</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5EAE12CB"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66" w:author="AbbVie19" w:date="2025-04-16T10:42:00Z"/>
                <w:b/>
              </w:rPr>
            </w:pPr>
            <w:del w:id="7867" w:author="AbbVie19" w:date="2025-04-16T10:42:00Z">
              <w:r w:rsidRPr="00BC0E7E">
                <w:rPr>
                  <w:b/>
                  <w:szCs w:val="22"/>
                </w:rPr>
                <w:delText>N=38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5713D042" w14:textId="77777777" w:rsidR="002E5A81" w:rsidRPr="00BC0E7E" w:rsidRDefault="002E5A81" w:rsidP="00762FA7">
            <w:pPr>
              <w:keepNext/>
              <w:tabs>
                <w:tab w:val="clear" w:pos="562"/>
              </w:tabs>
              <w:suppressAutoHyphens w:val="0"/>
              <w:autoSpaceDE w:val="0"/>
              <w:autoSpaceDN w:val="0"/>
              <w:adjustRightInd w:val="0"/>
              <w:ind w:left="15"/>
              <w:rPr>
                <w:del w:id="7868" w:author="AbbVie19" w:date="2025-04-16T10:42:00Z"/>
                <w:b/>
              </w:rPr>
            </w:pPr>
          </w:p>
        </w:tc>
      </w:tr>
      <w:tr w:rsidR="00C6578C" w14:paraId="7A14EF48" w14:textId="77777777" w:rsidTr="00271199">
        <w:trPr>
          <w:jc w:val="center"/>
          <w:del w:id="7869" w:author="AbbVie19" w:date="2025-04-16T10:42:00Z"/>
        </w:trPr>
        <w:tc>
          <w:tcPr>
            <w:tcW w:w="4025" w:type="dxa"/>
            <w:tcBorders>
              <w:top w:val="single" w:sz="6" w:space="0" w:color="000000"/>
              <w:left w:val="single" w:sz="6" w:space="0" w:color="000000"/>
              <w:bottom w:val="single" w:sz="6" w:space="0" w:color="000000"/>
              <w:right w:val="single" w:sz="6" w:space="0" w:color="000000"/>
            </w:tcBorders>
            <w:vAlign w:val="bottom"/>
          </w:tcPr>
          <w:p w14:paraId="040800AB" w14:textId="77777777" w:rsidR="002E5A81" w:rsidRPr="00BC0E7E" w:rsidRDefault="00944B8F" w:rsidP="00762FA7">
            <w:pPr>
              <w:keepNext/>
              <w:keepLines/>
              <w:tabs>
                <w:tab w:val="clear" w:pos="562"/>
                <w:tab w:val="left" w:pos="-1080"/>
              </w:tabs>
              <w:suppressAutoHyphens w:val="0"/>
              <w:autoSpaceDE w:val="0"/>
              <w:autoSpaceDN w:val="0"/>
              <w:adjustRightInd w:val="0"/>
              <w:rPr>
                <w:del w:id="7870" w:author="AbbVie19" w:date="2025-04-16T10:42:00Z"/>
                <w:bCs/>
              </w:rPr>
            </w:pPr>
            <w:del w:id="7871" w:author="AbbVie19" w:date="2025-04-16T10:42:00Z">
              <w:r w:rsidRPr="00BC0E7E">
                <w:rPr>
                  <w:bCs/>
                  <w:szCs w:val="22"/>
                </w:rPr>
                <w:delText>Week</w:delText>
              </w:r>
              <w:r w:rsidRPr="00BC0E7E">
                <w:delText> </w:delText>
              </w:r>
              <w:r w:rsidRPr="00BC0E7E">
                <w:rPr>
                  <w:bCs/>
                  <w:szCs w:val="22"/>
                </w:rPr>
                <w:delText>26</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420E4B5B"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72" w:author="AbbVie19" w:date="2025-04-16T10:42:00Z"/>
              </w:rPr>
            </w:pPr>
            <w:del w:id="7873" w:author="AbbVie19" w:date="2025-04-16T10:42:00Z">
              <w:r w:rsidRPr="00BC0E7E">
                <w:rPr>
                  <w:szCs w:val="22"/>
                </w:rPr>
                <w:delText>84.8%</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396DB47B"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74" w:author="AbbVie19" w:date="2025-04-16T10:42:00Z"/>
              </w:rPr>
            </w:pPr>
            <w:del w:id="7875" w:author="AbbVie19" w:date="2025-04-16T10:42:00Z">
              <w:r w:rsidRPr="00BC0E7E">
                <w:rPr>
                  <w:szCs w:val="22"/>
                </w:rPr>
                <w:delText>65.8%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40B1A508"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76" w:author="AbbVie19" w:date="2025-04-16T10:42:00Z"/>
              </w:rPr>
            </w:pPr>
            <w:del w:id="7877" w:author="AbbVie19" w:date="2025-04-16T10:42:00Z">
              <w:r w:rsidRPr="00BC0E7E">
                <w:rPr>
                  <w:szCs w:val="22"/>
                </w:rPr>
                <w:delText>0.066</w:delText>
              </w:r>
            </w:del>
          </w:p>
        </w:tc>
      </w:tr>
      <w:tr w:rsidR="00C6578C" w14:paraId="32290217" w14:textId="77777777" w:rsidTr="00271199">
        <w:trPr>
          <w:jc w:val="center"/>
          <w:del w:id="7878" w:author="AbbVie19" w:date="2025-04-16T10:42:00Z"/>
        </w:trPr>
        <w:tc>
          <w:tcPr>
            <w:tcW w:w="4025" w:type="dxa"/>
            <w:tcBorders>
              <w:top w:val="single" w:sz="6" w:space="0" w:color="000000"/>
              <w:left w:val="single" w:sz="6" w:space="0" w:color="000000"/>
              <w:bottom w:val="single" w:sz="6" w:space="0" w:color="000000"/>
              <w:right w:val="single" w:sz="6" w:space="0" w:color="000000"/>
            </w:tcBorders>
            <w:vAlign w:val="bottom"/>
          </w:tcPr>
          <w:p w14:paraId="102C9306" w14:textId="77777777" w:rsidR="002E5A81" w:rsidRPr="00BC0E7E" w:rsidRDefault="00944B8F" w:rsidP="00762FA7">
            <w:pPr>
              <w:keepNext/>
              <w:keepLines/>
              <w:tabs>
                <w:tab w:val="clear" w:pos="562"/>
                <w:tab w:val="left" w:pos="-1080"/>
              </w:tabs>
              <w:suppressAutoHyphens w:val="0"/>
              <w:autoSpaceDE w:val="0"/>
              <w:autoSpaceDN w:val="0"/>
              <w:adjustRightInd w:val="0"/>
              <w:rPr>
                <w:del w:id="7879" w:author="AbbVie19" w:date="2025-04-16T10:42:00Z"/>
                <w:bCs/>
              </w:rPr>
            </w:pPr>
            <w:del w:id="7880" w:author="AbbVie19" w:date="2025-04-16T10:42:00Z">
              <w:r w:rsidRPr="00BC0E7E">
                <w:rPr>
                  <w:bCs/>
                  <w:szCs w:val="22"/>
                </w:rPr>
                <w:delText>Week</w:delText>
              </w:r>
              <w:r w:rsidRPr="00BC0E7E">
                <w:delText> </w:delText>
              </w:r>
              <w:r w:rsidRPr="00BC0E7E">
                <w:rPr>
                  <w:bCs/>
                  <w:szCs w:val="22"/>
                </w:rPr>
                <w:delText>52</w:delText>
              </w:r>
            </w:del>
          </w:p>
        </w:tc>
        <w:tc>
          <w:tcPr>
            <w:tcW w:w="1656" w:type="dxa"/>
            <w:tcBorders>
              <w:top w:val="single" w:sz="6" w:space="0" w:color="000000"/>
              <w:left w:val="single" w:sz="6" w:space="0" w:color="000000"/>
              <w:bottom w:val="single" w:sz="6" w:space="0" w:color="000000"/>
              <w:right w:val="single" w:sz="6" w:space="0" w:color="000000"/>
            </w:tcBorders>
          </w:tcPr>
          <w:p w14:paraId="1910F605"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81" w:author="AbbVie19" w:date="2025-04-16T10:42:00Z"/>
              </w:rPr>
            </w:pPr>
            <w:del w:id="7882" w:author="AbbVie19" w:date="2025-04-16T10:42:00Z">
              <w:r w:rsidRPr="00BC0E7E">
                <w:rPr>
                  <w:szCs w:val="22"/>
                </w:rPr>
                <w:delText>69.7%</w:delText>
              </w:r>
            </w:del>
          </w:p>
        </w:tc>
        <w:tc>
          <w:tcPr>
            <w:tcW w:w="1619" w:type="dxa"/>
            <w:tcBorders>
              <w:top w:val="single" w:sz="6" w:space="0" w:color="000000"/>
              <w:left w:val="single" w:sz="6" w:space="0" w:color="000000"/>
              <w:bottom w:val="single" w:sz="6" w:space="0" w:color="000000"/>
              <w:right w:val="single" w:sz="6" w:space="0" w:color="000000"/>
            </w:tcBorders>
          </w:tcPr>
          <w:p w14:paraId="3ABAD111"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83" w:author="AbbVie19" w:date="2025-04-16T10:42:00Z"/>
              </w:rPr>
            </w:pPr>
            <w:del w:id="7884" w:author="AbbVie19" w:date="2025-04-16T10:42:00Z">
              <w:r w:rsidRPr="00BC0E7E">
                <w:rPr>
                  <w:szCs w:val="22"/>
                </w:rPr>
                <w:delText>60.5%</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2BF35C4F"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85" w:author="AbbVie19" w:date="2025-04-16T10:42:00Z"/>
              </w:rPr>
            </w:pPr>
            <w:del w:id="7886" w:author="AbbVie19" w:date="2025-04-16T10:42:00Z">
              <w:r w:rsidRPr="00BC0E7E">
                <w:rPr>
                  <w:szCs w:val="22"/>
                </w:rPr>
                <w:delText>0.420</w:delText>
              </w:r>
            </w:del>
          </w:p>
        </w:tc>
      </w:tr>
      <w:tr w:rsidR="00C6578C" w14:paraId="192A846E" w14:textId="77777777" w:rsidTr="00271199">
        <w:trPr>
          <w:jc w:val="center"/>
          <w:del w:id="7887" w:author="AbbVie19" w:date="2025-04-16T10:42:00Z"/>
        </w:trPr>
        <w:tc>
          <w:tcPr>
            <w:tcW w:w="4025" w:type="dxa"/>
            <w:tcBorders>
              <w:top w:val="single" w:sz="6" w:space="0" w:color="000000"/>
              <w:left w:val="single" w:sz="6" w:space="0" w:color="000000"/>
              <w:bottom w:val="single" w:sz="6" w:space="0" w:color="000000"/>
              <w:right w:val="single" w:sz="6" w:space="0" w:color="000000"/>
            </w:tcBorders>
            <w:vAlign w:val="bottom"/>
          </w:tcPr>
          <w:p w14:paraId="6A41F974" w14:textId="77777777" w:rsidR="002E5A81" w:rsidRPr="00BC0E7E" w:rsidRDefault="00944B8F" w:rsidP="00762FA7">
            <w:pPr>
              <w:keepNext/>
              <w:keepLines/>
              <w:tabs>
                <w:tab w:val="clear" w:pos="562"/>
                <w:tab w:val="left" w:pos="-1080"/>
              </w:tabs>
              <w:suppressAutoHyphens w:val="0"/>
              <w:autoSpaceDE w:val="0"/>
              <w:autoSpaceDN w:val="0"/>
              <w:adjustRightInd w:val="0"/>
              <w:rPr>
                <w:del w:id="7888" w:author="AbbVie19" w:date="2025-04-16T10:42:00Z"/>
                <w:b/>
              </w:rPr>
            </w:pPr>
            <w:del w:id="7889" w:author="AbbVie19" w:date="2025-04-16T10:42:00Z">
              <w:r w:rsidRPr="00BC0E7E">
                <w:rPr>
                  <w:b/>
                  <w:szCs w:val="22"/>
                </w:rPr>
                <w:delText>Discontinuation of Immunomodulators</w:delText>
              </w:r>
              <w:r w:rsidRPr="00BC0E7E">
                <w:rPr>
                  <w:b/>
                  <w:szCs w:val="22"/>
                  <w:vertAlign w:val="superscript"/>
                </w:rPr>
                <w:delText>2</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14:paraId="000BD3D3"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90" w:author="AbbVie19" w:date="2025-04-16T10:42:00Z"/>
                <w:b/>
              </w:rPr>
            </w:pPr>
            <w:del w:id="7891" w:author="AbbVie19" w:date="2025-04-16T10:42:00Z">
              <w:r w:rsidRPr="00BC0E7E">
                <w:rPr>
                  <w:b/>
                  <w:szCs w:val="22"/>
                </w:rPr>
                <w:delText>N=60</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14:paraId="60CA02B8"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92" w:author="AbbVie19" w:date="2025-04-16T10:42:00Z"/>
                <w:b/>
              </w:rPr>
            </w:pPr>
            <w:del w:id="7893" w:author="AbbVie19" w:date="2025-04-16T10:42:00Z">
              <w:r w:rsidRPr="00BC0E7E">
                <w:rPr>
                  <w:b/>
                  <w:szCs w:val="22"/>
                </w:rPr>
                <w:delText>N=57</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14:paraId="40D7281C" w14:textId="77777777" w:rsidR="002E5A81" w:rsidRPr="00BC0E7E" w:rsidRDefault="002E5A81" w:rsidP="00762FA7">
            <w:pPr>
              <w:keepNext/>
              <w:tabs>
                <w:tab w:val="clear" w:pos="562"/>
              </w:tabs>
              <w:suppressAutoHyphens w:val="0"/>
              <w:autoSpaceDE w:val="0"/>
              <w:autoSpaceDN w:val="0"/>
              <w:adjustRightInd w:val="0"/>
              <w:ind w:left="15"/>
              <w:rPr>
                <w:del w:id="7894" w:author="AbbVie19" w:date="2025-04-16T10:42:00Z"/>
                <w:b/>
              </w:rPr>
            </w:pPr>
          </w:p>
        </w:tc>
      </w:tr>
      <w:tr w:rsidR="00C6578C" w14:paraId="786CD33D" w14:textId="77777777" w:rsidTr="00271199">
        <w:trPr>
          <w:jc w:val="center"/>
          <w:del w:id="7895" w:author="AbbVie19" w:date="2025-04-16T10:42:00Z"/>
        </w:trPr>
        <w:tc>
          <w:tcPr>
            <w:tcW w:w="4025" w:type="dxa"/>
            <w:tcBorders>
              <w:top w:val="single" w:sz="6" w:space="0" w:color="000000"/>
              <w:left w:val="single" w:sz="6" w:space="0" w:color="000000"/>
              <w:bottom w:val="single" w:sz="6" w:space="0" w:color="000000"/>
              <w:right w:val="single" w:sz="6" w:space="0" w:color="000000"/>
            </w:tcBorders>
          </w:tcPr>
          <w:p w14:paraId="0F2723AA" w14:textId="77777777" w:rsidR="002E5A81" w:rsidRPr="00BC0E7E" w:rsidRDefault="00944B8F" w:rsidP="00762FA7">
            <w:pPr>
              <w:keepNext/>
              <w:keepLines/>
              <w:tabs>
                <w:tab w:val="clear" w:pos="562"/>
                <w:tab w:val="left" w:pos="-1080"/>
              </w:tabs>
              <w:suppressAutoHyphens w:val="0"/>
              <w:autoSpaceDE w:val="0"/>
              <w:autoSpaceDN w:val="0"/>
              <w:adjustRightInd w:val="0"/>
              <w:rPr>
                <w:del w:id="7896" w:author="AbbVie19" w:date="2025-04-16T10:42:00Z"/>
                <w:bCs/>
              </w:rPr>
            </w:pPr>
            <w:del w:id="7897" w:author="AbbVie19" w:date="2025-04-16T10:42:00Z">
              <w:r w:rsidRPr="00BC0E7E">
                <w:rPr>
                  <w:bCs/>
                  <w:szCs w:val="22"/>
                </w:rPr>
                <w:delText>Week</w:delText>
              </w:r>
              <w:r w:rsidRPr="00BC0E7E">
                <w:delText> </w:delText>
              </w:r>
              <w:r w:rsidRPr="00BC0E7E">
                <w:rPr>
                  <w:bCs/>
                  <w:szCs w:val="22"/>
                </w:rPr>
                <w:delText>52</w:delText>
              </w:r>
            </w:del>
          </w:p>
        </w:tc>
        <w:tc>
          <w:tcPr>
            <w:tcW w:w="1656" w:type="dxa"/>
            <w:tcBorders>
              <w:top w:val="single" w:sz="6" w:space="0" w:color="000000"/>
              <w:left w:val="single" w:sz="6" w:space="0" w:color="000000"/>
              <w:bottom w:val="single" w:sz="6" w:space="0" w:color="000000"/>
              <w:right w:val="single" w:sz="6" w:space="0" w:color="000000"/>
            </w:tcBorders>
          </w:tcPr>
          <w:p w14:paraId="6B8FF0F8"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898" w:author="AbbVie19" w:date="2025-04-16T10:42:00Z"/>
              </w:rPr>
            </w:pPr>
            <w:del w:id="7899" w:author="AbbVie19" w:date="2025-04-16T10:42:00Z">
              <w:r w:rsidRPr="00BC0E7E">
                <w:rPr>
                  <w:szCs w:val="22"/>
                </w:rPr>
                <w:delText>30.0%</w:delText>
              </w:r>
            </w:del>
          </w:p>
        </w:tc>
        <w:tc>
          <w:tcPr>
            <w:tcW w:w="1619" w:type="dxa"/>
            <w:tcBorders>
              <w:top w:val="single" w:sz="6" w:space="0" w:color="000000"/>
              <w:left w:val="single" w:sz="6" w:space="0" w:color="000000"/>
              <w:bottom w:val="single" w:sz="6" w:space="0" w:color="000000"/>
              <w:right w:val="single" w:sz="6" w:space="0" w:color="000000"/>
            </w:tcBorders>
          </w:tcPr>
          <w:p w14:paraId="0C1C4D7D"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900" w:author="AbbVie19" w:date="2025-04-16T10:42:00Z"/>
              </w:rPr>
            </w:pPr>
            <w:del w:id="7901" w:author="AbbVie19" w:date="2025-04-16T10:42:00Z">
              <w:r w:rsidRPr="00BC0E7E">
                <w:rPr>
                  <w:szCs w:val="22"/>
                </w:rPr>
                <w:delText>29.8%</w:delText>
              </w:r>
            </w:del>
          </w:p>
        </w:tc>
        <w:tc>
          <w:tcPr>
            <w:tcW w:w="1140" w:type="dxa"/>
            <w:tcBorders>
              <w:top w:val="single" w:sz="6" w:space="0" w:color="000000"/>
              <w:left w:val="single" w:sz="6" w:space="0" w:color="000000"/>
              <w:bottom w:val="single" w:sz="6" w:space="0" w:color="000000"/>
              <w:right w:val="single" w:sz="6" w:space="0" w:color="000000"/>
            </w:tcBorders>
          </w:tcPr>
          <w:p w14:paraId="34D55D66"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902" w:author="AbbVie19" w:date="2025-04-16T10:42:00Z"/>
              </w:rPr>
            </w:pPr>
            <w:del w:id="7903" w:author="AbbVie19" w:date="2025-04-16T10:42:00Z">
              <w:r w:rsidRPr="00BC0E7E">
                <w:rPr>
                  <w:szCs w:val="22"/>
                </w:rPr>
                <w:delText>0.983</w:delText>
              </w:r>
            </w:del>
          </w:p>
        </w:tc>
      </w:tr>
      <w:tr w:rsidR="00C6578C" w14:paraId="4D67504A" w14:textId="77777777" w:rsidTr="00271199">
        <w:trPr>
          <w:jc w:val="center"/>
          <w:del w:id="7904" w:author="AbbVie19" w:date="2025-04-16T10:42:00Z"/>
        </w:trPr>
        <w:tc>
          <w:tcPr>
            <w:tcW w:w="4025" w:type="dxa"/>
            <w:tcBorders>
              <w:top w:val="single" w:sz="6" w:space="0" w:color="000000"/>
              <w:left w:val="single" w:sz="6" w:space="0" w:color="000000"/>
              <w:bottom w:val="single" w:sz="6" w:space="0" w:color="000000"/>
              <w:right w:val="single" w:sz="6" w:space="0" w:color="000000"/>
            </w:tcBorders>
          </w:tcPr>
          <w:p w14:paraId="01F0CC6A" w14:textId="77777777" w:rsidR="002E5A81" w:rsidRPr="00BC0E7E" w:rsidRDefault="00944B8F" w:rsidP="00762FA7">
            <w:pPr>
              <w:keepNext/>
              <w:keepLines/>
              <w:tabs>
                <w:tab w:val="clear" w:pos="562"/>
                <w:tab w:val="left" w:pos="-1080"/>
              </w:tabs>
              <w:suppressAutoHyphens w:val="0"/>
              <w:autoSpaceDE w:val="0"/>
              <w:autoSpaceDN w:val="0"/>
              <w:adjustRightInd w:val="0"/>
              <w:rPr>
                <w:del w:id="7905" w:author="AbbVie19" w:date="2025-04-16T10:42:00Z"/>
                <w:b/>
                <w:bCs/>
              </w:rPr>
            </w:pPr>
            <w:del w:id="7906" w:author="AbbVie19" w:date="2025-04-16T10:42:00Z">
              <w:r w:rsidRPr="00BC0E7E">
                <w:rPr>
                  <w:b/>
                </w:rPr>
                <w:delText>Fistula remission</w:delText>
              </w:r>
              <w:r w:rsidRPr="00BC0E7E">
                <w:rPr>
                  <w:b/>
                  <w:vertAlign w:val="superscript"/>
                </w:rPr>
                <w:delText>3</w:delText>
              </w:r>
            </w:del>
          </w:p>
        </w:tc>
        <w:tc>
          <w:tcPr>
            <w:tcW w:w="1656" w:type="dxa"/>
            <w:tcBorders>
              <w:top w:val="single" w:sz="6" w:space="0" w:color="000000"/>
              <w:left w:val="single" w:sz="6" w:space="0" w:color="000000"/>
              <w:bottom w:val="single" w:sz="6" w:space="0" w:color="000000"/>
              <w:right w:val="single" w:sz="6" w:space="0" w:color="000000"/>
            </w:tcBorders>
          </w:tcPr>
          <w:p w14:paraId="0DDEBEBA"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907" w:author="AbbVie19" w:date="2025-04-16T10:42:00Z"/>
              </w:rPr>
            </w:pPr>
            <w:del w:id="7908" w:author="AbbVie19" w:date="2025-04-16T10:42:00Z">
              <w:r w:rsidRPr="00BC0E7E">
                <w:rPr>
                  <w:b/>
                  <w:szCs w:val="22"/>
                </w:rPr>
                <w:delText>N=15</w:delText>
              </w:r>
            </w:del>
          </w:p>
        </w:tc>
        <w:tc>
          <w:tcPr>
            <w:tcW w:w="1619" w:type="dxa"/>
            <w:tcBorders>
              <w:top w:val="single" w:sz="6" w:space="0" w:color="000000"/>
              <w:left w:val="single" w:sz="6" w:space="0" w:color="000000"/>
              <w:bottom w:val="single" w:sz="6" w:space="0" w:color="000000"/>
              <w:right w:val="single" w:sz="6" w:space="0" w:color="000000"/>
            </w:tcBorders>
          </w:tcPr>
          <w:p w14:paraId="35478C3D"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909" w:author="AbbVie19" w:date="2025-04-16T10:42:00Z"/>
              </w:rPr>
            </w:pPr>
            <w:del w:id="7910" w:author="AbbVie19" w:date="2025-04-16T10:42:00Z">
              <w:r w:rsidRPr="00BC0E7E">
                <w:rPr>
                  <w:b/>
                  <w:szCs w:val="22"/>
                </w:rPr>
                <w:delText>N=21</w:delText>
              </w:r>
            </w:del>
          </w:p>
        </w:tc>
        <w:tc>
          <w:tcPr>
            <w:tcW w:w="1140" w:type="dxa"/>
            <w:tcBorders>
              <w:top w:val="single" w:sz="6" w:space="0" w:color="000000"/>
              <w:left w:val="single" w:sz="6" w:space="0" w:color="000000"/>
              <w:bottom w:val="single" w:sz="6" w:space="0" w:color="000000"/>
              <w:right w:val="single" w:sz="6" w:space="0" w:color="000000"/>
            </w:tcBorders>
          </w:tcPr>
          <w:p w14:paraId="14DBC027" w14:textId="77777777" w:rsidR="002E5A81" w:rsidRPr="00BC0E7E" w:rsidRDefault="002E5A81" w:rsidP="00762FA7">
            <w:pPr>
              <w:keepNext/>
              <w:keepLines/>
              <w:tabs>
                <w:tab w:val="clear" w:pos="562"/>
                <w:tab w:val="left" w:pos="-1080"/>
              </w:tabs>
              <w:suppressAutoHyphens w:val="0"/>
              <w:autoSpaceDE w:val="0"/>
              <w:autoSpaceDN w:val="0"/>
              <w:adjustRightInd w:val="0"/>
              <w:ind w:left="15"/>
              <w:jc w:val="center"/>
              <w:rPr>
                <w:del w:id="7911" w:author="AbbVie19" w:date="2025-04-16T10:42:00Z"/>
              </w:rPr>
            </w:pPr>
          </w:p>
        </w:tc>
      </w:tr>
      <w:tr w:rsidR="00C6578C" w14:paraId="39745D09" w14:textId="77777777" w:rsidTr="00271199">
        <w:trPr>
          <w:jc w:val="center"/>
          <w:del w:id="7912" w:author="AbbVie19" w:date="2025-04-16T10:42:00Z"/>
        </w:trPr>
        <w:tc>
          <w:tcPr>
            <w:tcW w:w="4025" w:type="dxa"/>
            <w:tcBorders>
              <w:top w:val="single" w:sz="6" w:space="0" w:color="000000"/>
              <w:left w:val="single" w:sz="6" w:space="0" w:color="000000"/>
              <w:bottom w:val="single" w:sz="6" w:space="0" w:color="000000"/>
              <w:right w:val="single" w:sz="6" w:space="0" w:color="000000"/>
            </w:tcBorders>
          </w:tcPr>
          <w:p w14:paraId="0F800299" w14:textId="77777777" w:rsidR="002E5A81" w:rsidRPr="00BC0E7E" w:rsidRDefault="00944B8F" w:rsidP="00762FA7">
            <w:pPr>
              <w:keepNext/>
              <w:keepLines/>
              <w:tabs>
                <w:tab w:val="clear" w:pos="562"/>
                <w:tab w:val="left" w:pos="-1080"/>
              </w:tabs>
              <w:suppressAutoHyphens w:val="0"/>
              <w:autoSpaceDE w:val="0"/>
              <w:autoSpaceDN w:val="0"/>
              <w:adjustRightInd w:val="0"/>
              <w:rPr>
                <w:del w:id="7913" w:author="AbbVie19" w:date="2025-04-16T10:42:00Z"/>
                <w:bCs/>
              </w:rPr>
            </w:pPr>
            <w:del w:id="7914" w:author="AbbVie19" w:date="2025-04-16T10:42:00Z">
              <w:r w:rsidRPr="00BC0E7E">
                <w:rPr>
                  <w:bCs/>
                  <w:szCs w:val="22"/>
                </w:rPr>
                <w:delText>Week</w:delText>
              </w:r>
              <w:r w:rsidRPr="00BC0E7E">
                <w:delText> </w:delText>
              </w:r>
              <w:r w:rsidRPr="00BC0E7E">
                <w:rPr>
                  <w:bCs/>
                  <w:szCs w:val="22"/>
                </w:rPr>
                <w:delText>26</w:delText>
              </w:r>
            </w:del>
          </w:p>
        </w:tc>
        <w:tc>
          <w:tcPr>
            <w:tcW w:w="1656" w:type="dxa"/>
            <w:tcBorders>
              <w:top w:val="single" w:sz="6" w:space="0" w:color="000000"/>
              <w:left w:val="single" w:sz="6" w:space="0" w:color="000000"/>
              <w:bottom w:val="single" w:sz="6" w:space="0" w:color="000000"/>
              <w:right w:val="single" w:sz="6" w:space="0" w:color="000000"/>
            </w:tcBorders>
          </w:tcPr>
          <w:p w14:paraId="3CF067A5"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915" w:author="AbbVie19" w:date="2025-04-16T10:42:00Z"/>
              </w:rPr>
            </w:pPr>
            <w:del w:id="7916" w:author="AbbVie19" w:date="2025-04-16T10:42:00Z">
              <w:r w:rsidRPr="00BC0E7E">
                <w:delText>46.7%</w:delText>
              </w:r>
            </w:del>
          </w:p>
        </w:tc>
        <w:tc>
          <w:tcPr>
            <w:tcW w:w="1619" w:type="dxa"/>
            <w:tcBorders>
              <w:top w:val="single" w:sz="6" w:space="0" w:color="000000"/>
              <w:left w:val="single" w:sz="6" w:space="0" w:color="000000"/>
              <w:bottom w:val="single" w:sz="6" w:space="0" w:color="000000"/>
              <w:right w:val="single" w:sz="6" w:space="0" w:color="000000"/>
            </w:tcBorders>
          </w:tcPr>
          <w:p w14:paraId="6DC50A64"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917" w:author="AbbVie19" w:date="2025-04-16T10:42:00Z"/>
              </w:rPr>
            </w:pPr>
            <w:del w:id="7918" w:author="AbbVie19" w:date="2025-04-16T10:42:00Z">
              <w:r w:rsidRPr="00BC0E7E">
                <w:delText>38.1%</w:delText>
              </w:r>
            </w:del>
          </w:p>
        </w:tc>
        <w:tc>
          <w:tcPr>
            <w:tcW w:w="1140" w:type="dxa"/>
            <w:tcBorders>
              <w:top w:val="single" w:sz="6" w:space="0" w:color="000000"/>
              <w:left w:val="single" w:sz="6" w:space="0" w:color="000000"/>
              <w:bottom w:val="single" w:sz="6" w:space="0" w:color="000000"/>
              <w:right w:val="single" w:sz="6" w:space="0" w:color="000000"/>
            </w:tcBorders>
          </w:tcPr>
          <w:p w14:paraId="3B2C9C49"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919" w:author="AbbVie19" w:date="2025-04-16T10:42:00Z"/>
              </w:rPr>
            </w:pPr>
            <w:del w:id="7920" w:author="AbbVie19" w:date="2025-04-16T10:42:00Z">
              <w:r w:rsidRPr="00BC0E7E">
                <w:delText>0.608</w:delText>
              </w:r>
            </w:del>
          </w:p>
        </w:tc>
      </w:tr>
      <w:tr w:rsidR="00C6578C" w14:paraId="4CA2819E" w14:textId="77777777" w:rsidTr="00271199">
        <w:trPr>
          <w:jc w:val="center"/>
          <w:del w:id="7921" w:author="AbbVie19" w:date="2025-04-16T10:42:00Z"/>
        </w:trPr>
        <w:tc>
          <w:tcPr>
            <w:tcW w:w="4025" w:type="dxa"/>
            <w:tcBorders>
              <w:top w:val="single" w:sz="6" w:space="0" w:color="000000"/>
              <w:left w:val="single" w:sz="6" w:space="0" w:color="000000"/>
              <w:bottom w:val="single" w:sz="4" w:space="0" w:color="auto"/>
              <w:right w:val="single" w:sz="6" w:space="0" w:color="000000"/>
            </w:tcBorders>
          </w:tcPr>
          <w:p w14:paraId="4021E4CE" w14:textId="77777777" w:rsidR="002E5A81" w:rsidRPr="00BC0E7E" w:rsidRDefault="00944B8F" w:rsidP="00762FA7">
            <w:pPr>
              <w:keepNext/>
              <w:keepLines/>
              <w:tabs>
                <w:tab w:val="clear" w:pos="562"/>
                <w:tab w:val="left" w:pos="-1080"/>
              </w:tabs>
              <w:suppressAutoHyphens w:val="0"/>
              <w:autoSpaceDE w:val="0"/>
              <w:autoSpaceDN w:val="0"/>
              <w:adjustRightInd w:val="0"/>
              <w:rPr>
                <w:del w:id="7922" w:author="AbbVie19" w:date="2025-04-16T10:42:00Z"/>
                <w:bCs/>
              </w:rPr>
            </w:pPr>
            <w:del w:id="7923" w:author="AbbVie19" w:date="2025-04-16T10:42:00Z">
              <w:r w:rsidRPr="00BC0E7E">
                <w:delText>Week 52</w:delText>
              </w:r>
            </w:del>
          </w:p>
        </w:tc>
        <w:tc>
          <w:tcPr>
            <w:tcW w:w="1656" w:type="dxa"/>
            <w:tcBorders>
              <w:top w:val="single" w:sz="6" w:space="0" w:color="000000"/>
              <w:left w:val="single" w:sz="6" w:space="0" w:color="000000"/>
              <w:bottom w:val="single" w:sz="4" w:space="0" w:color="auto"/>
              <w:right w:val="single" w:sz="6" w:space="0" w:color="000000"/>
            </w:tcBorders>
          </w:tcPr>
          <w:p w14:paraId="6F539810"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924" w:author="AbbVie19" w:date="2025-04-16T10:42:00Z"/>
              </w:rPr>
            </w:pPr>
            <w:del w:id="7925" w:author="AbbVie19" w:date="2025-04-16T10:42:00Z">
              <w:r w:rsidRPr="00BC0E7E">
                <w:delText>40.0%</w:delText>
              </w:r>
            </w:del>
          </w:p>
        </w:tc>
        <w:tc>
          <w:tcPr>
            <w:tcW w:w="1619" w:type="dxa"/>
            <w:tcBorders>
              <w:top w:val="single" w:sz="6" w:space="0" w:color="000000"/>
              <w:left w:val="single" w:sz="6" w:space="0" w:color="000000"/>
              <w:bottom w:val="single" w:sz="4" w:space="0" w:color="auto"/>
              <w:right w:val="single" w:sz="6" w:space="0" w:color="000000"/>
            </w:tcBorders>
          </w:tcPr>
          <w:p w14:paraId="74FD86DC"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926" w:author="AbbVie19" w:date="2025-04-16T10:42:00Z"/>
              </w:rPr>
            </w:pPr>
            <w:del w:id="7927" w:author="AbbVie19" w:date="2025-04-16T10:42:00Z">
              <w:r w:rsidRPr="00BC0E7E">
                <w:delText>23.8%</w:delText>
              </w:r>
            </w:del>
          </w:p>
        </w:tc>
        <w:tc>
          <w:tcPr>
            <w:tcW w:w="1140" w:type="dxa"/>
            <w:tcBorders>
              <w:top w:val="single" w:sz="6" w:space="0" w:color="000000"/>
              <w:left w:val="single" w:sz="6" w:space="0" w:color="000000"/>
              <w:bottom w:val="single" w:sz="4" w:space="0" w:color="auto"/>
              <w:right w:val="single" w:sz="6" w:space="0" w:color="000000"/>
            </w:tcBorders>
          </w:tcPr>
          <w:p w14:paraId="3D2B993D" w14:textId="77777777" w:rsidR="002E5A81" w:rsidRPr="00BC0E7E" w:rsidRDefault="00944B8F" w:rsidP="00762FA7">
            <w:pPr>
              <w:keepNext/>
              <w:keepLines/>
              <w:tabs>
                <w:tab w:val="clear" w:pos="562"/>
                <w:tab w:val="left" w:pos="-1080"/>
              </w:tabs>
              <w:suppressAutoHyphens w:val="0"/>
              <w:autoSpaceDE w:val="0"/>
              <w:autoSpaceDN w:val="0"/>
              <w:adjustRightInd w:val="0"/>
              <w:ind w:left="15"/>
              <w:jc w:val="center"/>
              <w:rPr>
                <w:del w:id="7928" w:author="AbbVie19" w:date="2025-04-16T10:42:00Z"/>
              </w:rPr>
            </w:pPr>
            <w:del w:id="7929" w:author="AbbVie19" w:date="2025-04-16T10:42:00Z">
              <w:r w:rsidRPr="00BC0E7E">
                <w:delText>0.303</w:delText>
              </w:r>
            </w:del>
          </w:p>
        </w:tc>
      </w:tr>
      <w:tr w:rsidR="00C6578C" w14:paraId="78702416" w14:textId="77777777" w:rsidTr="00271199">
        <w:trPr>
          <w:trHeight w:val="177"/>
          <w:jc w:val="center"/>
          <w:del w:id="7930" w:author="AbbVie19" w:date="2025-04-16T10:42:00Z"/>
        </w:trPr>
        <w:tc>
          <w:tcPr>
            <w:tcW w:w="8440" w:type="dxa"/>
            <w:gridSpan w:val="4"/>
            <w:tcBorders>
              <w:top w:val="single" w:sz="4" w:space="0" w:color="auto"/>
            </w:tcBorders>
          </w:tcPr>
          <w:p w14:paraId="115356AE" w14:textId="77777777" w:rsidR="002E5A81" w:rsidRPr="00BC0E7E" w:rsidRDefault="00944B8F" w:rsidP="00762FA7">
            <w:pPr>
              <w:keepNext/>
              <w:keepLines/>
              <w:tabs>
                <w:tab w:val="clear" w:pos="562"/>
                <w:tab w:val="left" w:pos="-1080"/>
              </w:tabs>
              <w:suppressAutoHyphens w:val="0"/>
              <w:autoSpaceDE w:val="0"/>
              <w:autoSpaceDN w:val="0"/>
              <w:adjustRightInd w:val="0"/>
              <w:rPr>
                <w:del w:id="7931" w:author="AbbVie19" w:date="2025-04-16T10:42:00Z"/>
              </w:rPr>
            </w:pPr>
            <w:del w:id="7932" w:author="AbbVie19" w:date="2025-04-16T10:42:00Z">
              <w:r w:rsidRPr="00BC0E7E">
                <w:rPr>
                  <w:szCs w:val="22"/>
                  <w:vertAlign w:val="superscript"/>
                </w:rPr>
                <w:delText>1</w:delText>
              </w:r>
              <w:r w:rsidRPr="00BC0E7E">
                <w:rPr>
                  <w:szCs w:val="22"/>
                </w:rPr>
                <w:delText xml:space="preserve">  p value for Standard Dose </w:delText>
              </w:r>
              <w:r w:rsidRPr="00BC0E7E">
                <w:rPr>
                  <w:i/>
                  <w:iCs/>
                  <w:szCs w:val="22"/>
                </w:rPr>
                <w:delText>versus</w:delText>
              </w:r>
              <w:r w:rsidRPr="00BC0E7E">
                <w:rPr>
                  <w:szCs w:val="22"/>
                </w:rPr>
                <w:delText xml:space="preserve"> Low Dose comparison.</w:delText>
              </w:r>
            </w:del>
          </w:p>
          <w:p w14:paraId="4531013D" w14:textId="77777777" w:rsidR="002E5A81" w:rsidRPr="00BC0E7E" w:rsidRDefault="00944B8F" w:rsidP="00762FA7">
            <w:pPr>
              <w:keepNext/>
              <w:keepLines/>
              <w:tabs>
                <w:tab w:val="clear" w:pos="562"/>
                <w:tab w:val="left" w:pos="-1080"/>
              </w:tabs>
              <w:suppressAutoHyphens w:val="0"/>
              <w:autoSpaceDE w:val="0"/>
              <w:autoSpaceDN w:val="0"/>
              <w:adjustRightInd w:val="0"/>
              <w:rPr>
                <w:del w:id="7933" w:author="AbbVie19" w:date="2025-04-16T10:42:00Z"/>
              </w:rPr>
            </w:pPr>
            <w:del w:id="7934" w:author="AbbVie19" w:date="2025-04-16T10:42:00Z">
              <w:r w:rsidRPr="00BC0E7E">
                <w:rPr>
                  <w:szCs w:val="22"/>
                  <w:vertAlign w:val="superscript"/>
                </w:rPr>
                <w:delText>2</w:delText>
              </w:r>
              <w:r w:rsidRPr="00BC0E7E">
                <w:rPr>
                  <w:szCs w:val="22"/>
                </w:rPr>
                <w:delText xml:space="preserve">  Immunosuppressant therapy could only be discontinued at or after Week</w:delText>
              </w:r>
              <w:r w:rsidRPr="00BC0E7E">
                <w:delText> </w:delText>
              </w:r>
              <w:r w:rsidRPr="00BC0E7E">
                <w:rPr>
                  <w:szCs w:val="22"/>
                </w:rPr>
                <w:delText xml:space="preserve">26 at the investigator's discretion if the subject met the clinical response criterion </w:delText>
              </w:r>
            </w:del>
          </w:p>
          <w:p w14:paraId="04096B90" w14:textId="77777777" w:rsidR="002E5A81" w:rsidRPr="00BC0E7E" w:rsidRDefault="00944B8F" w:rsidP="00762FA7">
            <w:pPr>
              <w:keepNext/>
              <w:keepLines/>
              <w:tabs>
                <w:tab w:val="clear" w:pos="562"/>
                <w:tab w:val="left" w:pos="-1080"/>
              </w:tabs>
              <w:suppressAutoHyphens w:val="0"/>
              <w:autoSpaceDE w:val="0"/>
              <w:autoSpaceDN w:val="0"/>
              <w:adjustRightInd w:val="0"/>
              <w:rPr>
                <w:del w:id="7935" w:author="AbbVie19" w:date="2025-04-16T10:42:00Z"/>
              </w:rPr>
            </w:pPr>
            <w:del w:id="7936" w:author="AbbVie19" w:date="2025-04-16T10:42:00Z">
              <w:r w:rsidRPr="00BC0E7E">
                <w:rPr>
                  <w:szCs w:val="22"/>
                  <w:vertAlign w:val="superscript"/>
                </w:rPr>
                <w:delText>3</w:delText>
              </w:r>
              <w:r w:rsidRPr="00BC0E7E">
                <w:rPr>
                  <w:szCs w:val="22"/>
                </w:rPr>
                <w:delText xml:space="preserve"> defined as a closure of all fistulas that were draining at Baseline for at least 2 consecutive post-Baseline visits</w:delText>
              </w:r>
            </w:del>
          </w:p>
        </w:tc>
      </w:tr>
    </w:tbl>
    <w:p w14:paraId="012569B7" w14:textId="77777777" w:rsidR="002E5A81" w:rsidRPr="00BC0E7E" w:rsidRDefault="002E5A81" w:rsidP="00762FA7">
      <w:pPr>
        <w:tabs>
          <w:tab w:val="left" w:pos="1294"/>
        </w:tabs>
        <w:autoSpaceDE w:val="0"/>
        <w:autoSpaceDN w:val="0"/>
        <w:adjustRightInd w:val="0"/>
        <w:rPr>
          <w:del w:id="7937" w:author="AbbVie19" w:date="2025-04-16T10:42:00Z"/>
          <w:szCs w:val="22"/>
        </w:rPr>
      </w:pPr>
    </w:p>
    <w:p w14:paraId="13553F90" w14:textId="77777777" w:rsidR="002E5A81" w:rsidRPr="00BC0E7E" w:rsidRDefault="00944B8F" w:rsidP="00762FA7">
      <w:pPr>
        <w:rPr>
          <w:del w:id="7938" w:author="AbbVie19" w:date="2025-04-16T10:42:00Z"/>
          <w:szCs w:val="22"/>
        </w:rPr>
      </w:pPr>
      <w:del w:id="7939" w:author="AbbVie19" w:date="2025-04-16T10:42:00Z">
        <w:r w:rsidRPr="00BC0E7E">
          <w:rPr>
            <w:szCs w:val="20"/>
          </w:rPr>
          <w:delText>Statistically significant</w:delText>
        </w:r>
        <w:r w:rsidRPr="00BC0E7E">
          <w:rPr>
            <w:szCs w:val="22"/>
          </w:rPr>
          <w:delText xml:space="preserve"> increases (improvement) from Baseline to Week</w:delText>
        </w:r>
        <w:r w:rsidRPr="00BC0E7E">
          <w:rPr>
            <w:szCs w:val="20"/>
          </w:rPr>
          <w:delText> </w:delText>
        </w:r>
        <w:r w:rsidRPr="00BC0E7E">
          <w:rPr>
            <w:szCs w:val="22"/>
          </w:rPr>
          <w:delText>26 and 52 in Body Mass Index and height velocity were observed for both treatment groups.</w:delText>
        </w:r>
      </w:del>
    </w:p>
    <w:p w14:paraId="487445FD" w14:textId="77777777" w:rsidR="002E5A81" w:rsidRPr="00BC0E7E" w:rsidRDefault="002E5A81" w:rsidP="00762FA7">
      <w:pPr>
        <w:rPr>
          <w:del w:id="7940" w:author="AbbVie19" w:date="2025-04-16T10:42:00Z"/>
          <w:szCs w:val="20"/>
        </w:rPr>
      </w:pPr>
    </w:p>
    <w:p w14:paraId="2FADD59D" w14:textId="77777777" w:rsidR="002E5A81" w:rsidRPr="00BC0E7E" w:rsidRDefault="00944B8F" w:rsidP="00762FA7">
      <w:pPr>
        <w:rPr>
          <w:del w:id="7941" w:author="AbbVie19" w:date="2025-04-16T10:42:00Z"/>
          <w:szCs w:val="20"/>
        </w:rPr>
      </w:pPr>
      <w:del w:id="7942" w:author="AbbVie19" w:date="2025-04-16T10:42:00Z">
        <w:r w:rsidRPr="00BC0E7E">
          <w:rPr>
            <w:bCs/>
            <w:szCs w:val="22"/>
          </w:rPr>
          <w:delText>Statistically and clinically significant improvements from Baseline were also observed in both treatment groups for quality of life parameters (including IMPACT III)</w:delText>
        </w:r>
        <w:r w:rsidRPr="00BC0E7E">
          <w:rPr>
            <w:szCs w:val="20"/>
          </w:rPr>
          <w:delText>.</w:delText>
        </w:r>
      </w:del>
    </w:p>
    <w:p w14:paraId="3AE8A9F9" w14:textId="77777777" w:rsidR="002E5A81" w:rsidRPr="00BC0E7E" w:rsidRDefault="002E5A81" w:rsidP="00762FA7">
      <w:pPr>
        <w:rPr>
          <w:del w:id="7943" w:author="AbbVie19" w:date="2025-04-16T10:42:00Z"/>
          <w:szCs w:val="20"/>
        </w:rPr>
      </w:pPr>
    </w:p>
    <w:p w14:paraId="0ACD894E" w14:textId="77777777" w:rsidR="002E5A81" w:rsidRPr="00BC0E7E" w:rsidRDefault="00944B8F" w:rsidP="00762FA7">
      <w:pPr>
        <w:rPr>
          <w:del w:id="7944" w:author="AbbVie19" w:date="2025-04-16T10:42:00Z"/>
          <w:szCs w:val="20"/>
        </w:rPr>
      </w:pPr>
      <w:del w:id="7945" w:author="AbbVie19" w:date="2025-04-16T10:42:00Z">
        <w:r w:rsidRPr="00BC0E7E">
          <w:rPr>
            <w:szCs w:val="20"/>
          </w:rPr>
          <w:delText>One hundred patients (n=100) from the Paediatric CD Study continued in an open-label long-term extension study.  After 5 years of adalimumab therapy, 74.0% (37/50) of the 50 patients remaining in the study continued to be in clinical remission, and 92.0% (46/50) of patients continued to be in clinical response per PCDAI.</w:delText>
        </w:r>
      </w:del>
    </w:p>
    <w:p w14:paraId="0A1932A2" w14:textId="77777777" w:rsidR="002E5A81" w:rsidRDefault="002E5A81" w:rsidP="00762FA7">
      <w:pPr>
        <w:keepNext/>
        <w:rPr>
          <w:del w:id="7946" w:author="AbbVie19" w:date="2025-04-16T10:42:00Z"/>
          <w:szCs w:val="22"/>
          <w:lang w:eastAsia="en-GB"/>
        </w:rPr>
      </w:pPr>
    </w:p>
    <w:p w14:paraId="03B8144C" w14:textId="77777777" w:rsidR="000D5A5A" w:rsidRPr="000D5A5A" w:rsidRDefault="00944B8F" w:rsidP="00762FA7">
      <w:pPr>
        <w:keepNext/>
        <w:rPr>
          <w:del w:id="7947" w:author="AbbVie19" w:date="2025-04-16T10:42:00Z"/>
          <w:bCs/>
          <w:i/>
          <w:szCs w:val="22"/>
        </w:rPr>
      </w:pPr>
      <w:del w:id="7948" w:author="AbbVie19" w:date="2025-04-16T10:42:00Z">
        <w:r w:rsidRPr="000D5A5A">
          <w:rPr>
            <w:bCs/>
            <w:i/>
            <w:szCs w:val="22"/>
          </w:rPr>
          <w:delText>Paediatric ulcerative colitis</w:delText>
        </w:r>
      </w:del>
    </w:p>
    <w:p w14:paraId="47EF57DD" w14:textId="77777777" w:rsidR="000D5A5A" w:rsidRPr="000D5A5A" w:rsidRDefault="000D5A5A" w:rsidP="00762FA7">
      <w:pPr>
        <w:keepNext/>
        <w:rPr>
          <w:del w:id="7949" w:author="AbbVie19" w:date="2025-04-16T10:42:00Z"/>
          <w:bCs/>
          <w:i/>
          <w:szCs w:val="22"/>
        </w:rPr>
      </w:pPr>
    </w:p>
    <w:p w14:paraId="440A923A" w14:textId="77777777" w:rsidR="000D5A5A" w:rsidRPr="000D5A5A" w:rsidRDefault="00944B8F" w:rsidP="00762FA7">
      <w:pPr>
        <w:rPr>
          <w:del w:id="7950" w:author="AbbVie19" w:date="2025-04-16T10:42:00Z"/>
          <w:lang w:val="en-US"/>
        </w:rPr>
      </w:pPr>
      <w:del w:id="7951" w:author="AbbVie19" w:date="2025-04-16T10:42:00Z">
        <w:r w:rsidRPr="000D5A5A">
          <w:rPr>
            <w:lang w:val="en-US"/>
          </w:rPr>
          <w:delText>The safety and efficacy of Humira was assessed in a multicenter, randomized, double-blind, trial in 93 paediatric patients from 5 to 17 years of age with moderate to severe ulcerative colitis (Mayo score 6 to 12 with endoscopy subscore of 2 to 3 points, confirmed by centrally read endoscopy) who had an inadequate response or intolerance to conventional therapy. Approximately 16% of patients in the study had failed prior anti-TNF treatment. Patients who received corticosteroids at enrollment were allowed to taper their corticosteroid therapy after Week 4.</w:delText>
        </w:r>
      </w:del>
    </w:p>
    <w:p w14:paraId="649885D9" w14:textId="77777777" w:rsidR="000D5A5A" w:rsidRPr="000D5A5A" w:rsidRDefault="000D5A5A" w:rsidP="00762FA7">
      <w:pPr>
        <w:rPr>
          <w:del w:id="7952" w:author="AbbVie19" w:date="2025-04-16T10:42:00Z"/>
          <w:lang w:val="en-US"/>
        </w:rPr>
      </w:pPr>
    </w:p>
    <w:p w14:paraId="4A53BA50" w14:textId="77777777" w:rsidR="000D5A5A" w:rsidRPr="000D5A5A" w:rsidRDefault="00944B8F" w:rsidP="00762FA7">
      <w:pPr>
        <w:rPr>
          <w:del w:id="7953" w:author="AbbVie19" w:date="2025-04-16T10:42:00Z"/>
          <w:lang w:val="en-US"/>
        </w:rPr>
      </w:pPr>
      <w:del w:id="7954" w:author="AbbVie19" w:date="2025-04-16T10:42:00Z">
        <w:r w:rsidRPr="000D5A5A">
          <w:rPr>
            <w:rStyle w:val="normaltextrun"/>
            <w:shd w:val="clear" w:color="auto" w:fill="FFFFFF"/>
            <w:lang w:val="en-US"/>
          </w:rPr>
          <w:delText>In the induction period of the study, 77 patients were randomized 3:2 to receive double-blind treatment with Humira at an induction dose of 2.4 mg/kg (maximum of 160 mg) at Week 0 and Week 1, and 1.2 mg/kg (maximum of 80 mg) at Week 2; or an induction dose of 2.4 mg/kg (maximum of 160 mg) at Week 0, placebo at Week 1, and 1.2 mg/kg (maximum of 80 mg) at Week 2. Both groups received 0.6 mg/kg (maximum of 40 mg) at Week 4 and Week 6. Following an amendment to the study design, the remaining 16 patients who enrolled in the induction period received open-label treatment with Humira at the induction dose of 2.4 mg/kg (maximum of 160 mg) at Week 0 and Week 1, and 1.2 mg/kg (maximum of 80 mg) at Week 2.</w:delText>
        </w:r>
        <w:r w:rsidRPr="000D5A5A">
          <w:rPr>
            <w:rStyle w:val="eop"/>
            <w:shd w:val="clear" w:color="auto" w:fill="FFFFFF"/>
          </w:rPr>
          <w:delText> </w:delText>
        </w:r>
      </w:del>
    </w:p>
    <w:p w14:paraId="091F58CC" w14:textId="77777777" w:rsidR="000D5A5A" w:rsidRPr="000D5A5A" w:rsidRDefault="000D5A5A" w:rsidP="00762FA7">
      <w:pPr>
        <w:rPr>
          <w:del w:id="7955" w:author="AbbVie19" w:date="2025-04-16T10:42:00Z"/>
          <w:lang w:val="en-US"/>
        </w:rPr>
      </w:pPr>
    </w:p>
    <w:p w14:paraId="129E3366" w14:textId="77777777" w:rsidR="000D5A5A" w:rsidRPr="000D5A5A" w:rsidRDefault="00944B8F" w:rsidP="00762FA7">
      <w:pPr>
        <w:rPr>
          <w:del w:id="7956" w:author="AbbVie19" w:date="2025-04-16T10:42:00Z"/>
          <w:rStyle w:val="eop"/>
          <w:shd w:val="clear" w:color="auto" w:fill="FFFFFF"/>
        </w:rPr>
      </w:pPr>
      <w:del w:id="7957" w:author="AbbVie19" w:date="2025-04-16T10:42:00Z">
        <w:r w:rsidRPr="000D5A5A">
          <w:rPr>
            <w:rStyle w:val="normaltextrun"/>
            <w:shd w:val="clear" w:color="auto" w:fill="FFFFFF"/>
            <w:lang w:val="en-US"/>
          </w:rPr>
          <w:delText>At Week 8, 62 patients who demonstrated clinical response per Partial Mayo Score (PMS; defined as a decrease in PMS ≥ 2 points and ≥ 30% from Baseline) were randomized equally to receive double-blind maintenance treatment with Humira at a dose of 0.6 mg/kg (maximum of 40 mg) every week (</w:delText>
        </w:r>
        <w:r w:rsidRPr="000D5A5A">
          <w:rPr>
            <w:rStyle w:val="spellingerror"/>
            <w:shd w:val="clear" w:color="auto" w:fill="FFFFFF"/>
            <w:lang w:val="en-US"/>
          </w:rPr>
          <w:delText>ew</w:delText>
        </w:r>
        <w:r w:rsidRPr="000D5A5A">
          <w:rPr>
            <w:rStyle w:val="normaltextrun"/>
            <w:shd w:val="clear" w:color="auto" w:fill="FFFFFF"/>
            <w:lang w:val="en-US"/>
          </w:rPr>
          <w:delText>), or a maintenance dose of 0.6 mg/kg (maximum of 40 mg) every other week (</w:delText>
        </w:r>
        <w:r w:rsidRPr="000D5A5A">
          <w:rPr>
            <w:rStyle w:val="spellingerror"/>
            <w:shd w:val="clear" w:color="auto" w:fill="FFFFFF"/>
            <w:lang w:val="en-US"/>
          </w:rPr>
          <w:delText>eow</w:delText>
        </w:r>
        <w:r w:rsidRPr="000D5A5A">
          <w:rPr>
            <w:rStyle w:val="normaltextrun"/>
            <w:shd w:val="clear" w:color="auto" w:fill="FFFFFF"/>
            <w:lang w:val="en-US"/>
          </w:rPr>
          <w:delText>). Prior to an amendment to the study design, 12 additional patients who demonstrated clinical response per PMS were randomized to receive placebo but were not included in the confirmatory analysis of efficacy.</w:delText>
        </w:r>
      </w:del>
    </w:p>
    <w:p w14:paraId="5A2686C0" w14:textId="77777777" w:rsidR="000D5A5A" w:rsidRPr="000D5A5A" w:rsidRDefault="000D5A5A" w:rsidP="00762FA7">
      <w:pPr>
        <w:rPr>
          <w:del w:id="7958" w:author="AbbVie19" w:date="2025-04-16T10:42:00Z"/>
          <w:lang w:val="en-US"/>
        </w:rPr>
      </w:pPr>
    </w:p>
    <w:p w14:paraId="130C6485" w14:textId="77777777" w:rsidR="000D5A5A" w:rsidRPr="000D5A5A" w:rsidRDefault="00944B8F" w:rsidP="00762FA7">
      <w:pPr>
        <w:rPr>
          <w:del w:id="7959" w:author="AbbVie19" w:date="2025-04-16T10:42:00Z"/>
          <w:lang w:val="en-US"/>
        </w:rPr>
      </w:pPr>
      <w:del w:id="7960" w:author="AbbVie19" w:date="2025-04-16T10:42:00Z">
        <w:r w:rsidRPr="000D5A5A">
          <w:rPr>
            <w:lang w:val="en-US"/>
          </w:rPr>
          <w:delText>Disease flare was defined as an increase in PMS of at least 3 points (for patients with PMS of 0 to 2 at Week 8), at least 2 points (for patients with PMS of 3 to 4 at Week 8), or at least 1 point (for patients with PMS of 5 to 6 at Week 8). </w:delText>
        </w:r>
      </w:del>
    </w:p>
    <w:p w14:paraId="5D7903F4" w14:textId="77777777" w:rsidR="000D5A5A" w:rsidRPr="000D5A5A" w:rsidRDefault="000D5A5A" w:rsidP="00762FA7">
      <w:pPr>
        <w:rPr>
          <w:del w:id="7961" w:author="AbbVie19" w:date="2025-04-16T10:42:00Z"/>
          <w:lang w:val="en-US"/>
        </w:rPr>
      </w:pPr>
    </w:p>
    <w:p w14:paraId="069985FB" w14:textId="77777777" w:rsidR="000D5A5A" w:rsidRPr="000D5A5A" w:rsidRDefault="00944B8F" w:rsidP="00762FA7">
      <w:pPr>
        <w:rPr>
          <w:del w:id="7962" w:author="AbbVie19" w:date="2025-04-16T10:42:00Z"/>
          <w:lang w:val="en-US"/>
        </w:rPr>
      </w:pPr>
      <w:del w:id="7963" w:author="AbbVie19" w:date="2025-04-16T10:42:00Z">
        <w:r w:rsidRPr="000D5A5A">
          <w:rPr>
            <w:lang w:val="en-US"/>
          </w:rPr>
          <w:delText>Patients who met criteria for disease flare at or after Week 12 were randomized to receive a re-induction dose of 2.4 mg/kg (maximum of 160 mg) or a dose of 0.6 mg/kg (maximum of 40 mg) and continued to receive their respective maintenance dose regimen afterwards. </w:delText>
        </w:r>
      </w:del>
    </w:p>
    <w:p w14:paraId="4AB59598" w14:textId="77777777" w:rsidR="00AB3AFC" w:rsidRPr="002A70BB" w:rsidRDefault="00AB3AFC" w:rsidP="00762FA7">
      <w:pPr>
        <w:pStyle w:val="gtcbodytext"/>
        <w:spacing w:before="0" w:after="0" w:line="240" w:lineRule="auto"/>
        <w:rPr>
          <w:del w:id="7964" w:author="AbbVie19" w:date="2025-04-16T10:42:00Z"/>
          <w:szCs w:val="22"/>
        </w:rPr>
      </w:pPr>
    </w:p>
    <w:p w14:paraId="3338D6E4" w14:textId="77777777" w:rsidR="000D5A5A" w:rsidRDefault="00944B8F" w:rsidP="00762FA7">
      <w:pPr>
        <w:pStyle w:val="gtcbodytext"/>
        <w:spacing w:before="0" w:after="0" w:line="240" w:lineRule="auto"/>
        <w:rPr>
          <w:del w:id="7965" w:author="AbbVie19" w:date="2025-04-16T10:42:00Z"/>
          <w:i/>
          <w:iCs/>
          <w:szCs w:val="22"/>
        </w:rPr>
      </w:pPr>
      <w:del w:id="7966" w:author="AbbVie19" w:date="2025-04-16T10:42:00Z">
        <w:r w:rsidRPr="000149FD">
          <w:rPr>
            <w:i/>
            <w:iCs/>
            <w:szCs w:val="22"/>
          </w:rPr>
          <w:delText>Efficacy Results</w:delText>
        </w:r>
      </w:del>
    </w:p>
    <w:p w14:paraId="2698A72C" w14:textId="77777777" w:rsidR="00AB3AFC" w:rsidRPr="002A70BB" w:rsidRDefault="00AB3AFC" w:rsidP="00762FA7">
      <w:pPr>
        <w:pStyle w:val="gtcbodytext"/>
        <w:spacing w:before="0" w:after="0" w:line="240" w:lineRule="auto"/>
        <w:rPr>
          <w:del w:id="7967" w:author="AbbVie19" w:date="2025-04-16T10:42:00Z"/>
          <w:szCs w:val="22"/>
        </w:rPr>
      </w:pPr>
    </w:p>
    <w:p w14:paraId="4951FB41" w14:textId="77777777" w:rsidR="000D5A5A" w:rsidRDefault="00944B8F" w:rsidP="00762FA7">
      <w:pPr>
        <w:rPr>
          <w:del w:id="7968" w:author="AbbVie19" w:date="2025-04-16T10:42:00Z"/>
          <w:lang w:val="en-US"/>
        </w:rPr>
      </w:pPr>
      <w:del w:id="7969" w:author="AbbVie19" w:date="2025-04-16T10:42:00Z">
        <w:r w:rsidRPr="000D5A5A">
          <w:rPr>
            <w:lang w:val="en-US"/>
          </w:rPr>
          <w:delText>The co-primary endpoints of the study were clinical remission per PMS (defined as PMS ≤ 2 and no individual subscore &gt; 1) at Week 8, and clinical remission per FMS (Full Mayo Score) (defined as a Mayo Score ≤ 2 and no individual subscore &gt; 1) at Week 52 in patients who achieved clinical response per PMS at Week 8.</w:delText>
        </w:r>
      </w:del>
    </w:p>
    <w:p w14:paraId="6920D643" w14:textId="77777777" w:rsidR="002A70BB" w:rsidRDefault="002A70BB" w:rsidP="00762FA7">
      <w:pPr>
        <w:rPr>
          <w:del w:id="7970" w:author="AbbVie19" w:date="2025-04-16T10:42:00Z"/>
          <w:lang w:val="en-US"/>
        </w:rPr>
      </w:pPr>
    </w:p>
    <w:p w14:paraId="2BC8A687" w14:textId="77777777" w:rsidR="000D5A5A" w:rsidRPr="000D5A5A" w:rsidRDefault="00944B8F" w:rsidP="00762FA7">
      <w:pPr>
        <w:tabs>
          <w:tab w:val="clear" w:pos="562"/>
        </w:tabs>
        <w:suppressAutoHyphens w:val="0"/>
        <w:textAlignment w:val="baseline"/>
        <w:rPr>
          <w:del w:id="7971" w:author="AbbVie19" w:date="2025-04-16T10:42:00Z"/>
          <w:lang w:val="en-US"/>
        </w:rPr>
      </w:pPr>
      <w:del w:id="7972" w:author="AbbVie19" w:date="2025-04-16T10:42:00Z">
        <w:r w:rsidRPr="000D5A5A">
          <w:rPr>
            <w:lang w:val="en-US"/>
          </w:rPr>
          <w:delText>Clinical remission rates per PMS at Week 8 for patients in each of the Humira double-blind induction groups</w:delText>
        </w:r>
        <w:r>
          <w:rPr>
            <w:lang w:val="en-US"/>
          </w:rPr>
          <w:delText xml:space="preserve"> are presented in</w:delText>
        </w:r>
        <w:r w:rsidRPr="000D5A5A">
          <w:rPr>
            <w:lang w:val="en-US"/>
          </w:rPr>
          <w:delText> Table 31. </w:delText>
        </w:r>
      </w:del>
    </w:p>
    <w:p w14:paraId="4BA948E2" w14:textId="77777777" w:rsidR="007E00E1" w:rsidRDefault="00944B8F" w:rsidP="00762FA7">
      <w:pPr>
        <w:pStyle w:val="gtcbodytext"/>
        <w:jc w:val="center"/>
        <w:rPr>
          <w:del w:id="7973" w:author="AbbVie19" w:date="2025-04-16T10:42:00Z"/>
          <w:b/>
          <w:szCs w:val="22"/>
        </w:rPr>
      </w:pPr>
      <w:del w:id="7974" w:author="AbbVie19" w:date="2025-04-16T10:42:00Z">
        <w:r w:rsidRPr="000D5A5A">
          <w:rPr>
            <w:b/>
            <w:szCs w:val="22"/>
          </w:rPr>
          <w:delText>Table 31: Clinical Remission per PMS at 8 Weeks</w:delText>
        </w:r>
        <w:r w:rsidR="00630394" w:rsidRPr="000D5A5A">
          <w:rPr>
            <w:b/>
            <w:szCs w:val="22"/>
          </w:rPr>
          <w:delText xml:space="preserve"> </w:delText>
        </w:r>
      </w:del>
    </w:p>
    <w:tbl>
      <w:tblPr>
        <w:tblW w:w="4246" w:type="pct"/>
        <w:tblInd w:w="936" w:type="dxa"/>
        <w:tblLook w:val="04A0" w:firstRow="1" w:lastRow="0" w:firstColumn="1" w:lastColumn="0" w:noHBand="0" w:noVBand="1"/>
      </w:tblPr>
      <w:tblGrid>
        <w:gridCol w:w="1977"/>
        <w:gridCol w:w="2976"/>
        <w:gridCol w:w="3031"/>
      </w:tblGrid>
      <w:tr w:rsidR="00C6578C" w14:paraId="1C2B56F6" w14:textId="77777777" w:rsidTr="0065221F">
        <w:trPr>
          <w:del w:id="7975" w:author="AbbVie19" w:date="2025-04-16T10:42: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85DD6A6" w14:textId="77777777" w:rsidR="00B179FC" w:rsidRPr="00C006EF" w:rsidRDefault="00B179FC" w:rsidP="00762FA7">
            <w:pPr>
              <w:rPr>
                <w:del w:id="7976" w:author="AbbVie19" w:date="2025-04-16T10:42:00Z"/>
                <w:szCs w:val="22"/>
              </w:rPr>
            </w:pPr>
            <w:bookmarkStart w:id="7977" w:name="_Hlk51699630"/>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3008243" w14:textId="77777777" w:rsidR="006F1E28" w:rsidRPr="006F1E28" w:rsidRDefault="00944B8F" w:rsidP="00762FA7">
            <w:pPr>
              <w:pStyle w:val="paragraph0"/>
              <w:spacing w:before="0" w:beforeAutospacing="0" w:after="0" w:afterAutospacing="0"/>
              <w:jc w:val="center"/>
              <w:textAlignment w:val="baseline"/>
              <w:rPr>
                <w:del w:id="7978" w:author="AbbVie19" w:date="2025-04-16T10:42:00Z"/>
                <w:rFonts w:ascii="Segoe UI" w:hAnsi="Segoe UI" w:cs="Segoe UI"/>
                <w:b/>
                <w:bCs/>
                <w:szCs w:val="22"/>
              </w:rPr>
            </w:pPr>
            <w:del w:id="7979" w:author="AbbVie19" w:date="2025-04-16T10:42:00Z">
              <w:r w:rsidRPr="006F1E28">
                <w:rPr>
                  <w:rStyle w:val="spellingerror"/>
                  <w:rFonts w:cs="Calibri"/>
                  <w:b/>
                  <w:bCs/>
                  <w:szCs w:val="22"/>
                </w:rPr>
                <w:delText>Humira</w:delText>
              </w:r>
              <w:r w:rsidRPr="006F1E28">
                <w:rPr>
                  <w:rStyle w:val="spellingerror"/>
                  <w:rFonts w:cs="Calibri"/>
                  <w:b/>
                  <w:bCs/>
                  <w:szCs w:val="22"/>
                  <w:vertAlign w:val="superscript"/>
                </w:rPr>
                <w:delText>a</w:delText>
              </w:r>
              <w:r w:rsidRPr="006F1E28">
                <w:rPr>
                  <w:rStyle w:val="eop"/>
                  <w:rFonts w:cs="Calibri"/>
                  <w:b/>
                  <w:bCs/>
                  <w:szCs w:val="22"/>
                </w:rPr>
                <w:delText> </w:delText>
              </w:r>
            </w:del>
          </w:p>
          <w:p w14:paraId="459203A7" w14:textId="77777777" w:rsidR="006F1E28" w:rsidRPr="006F1E28" w:rsidRDefault="00944B8F" w:rsidP="00762FA7">
            <w:pPr>
              <w:spacing w:line="276" w:lineRule="auto"/>
              <w:jc w:val="center"/>
              <w:rPr>
                <w:del w:id="7980" w:author="AbbVie19" w:date="2025-04-16T10:42:00Z"/>
                <w:rStyle w:val="eop"/>
                <w:rFonts w:cs="Calibri"/>
                <w:b/>
                <w:bCs/>
                <w:szCs w:val="22"/>
              </w:rPr>
            </w:pPr>
            <w:del w:id="7981" w:author="AbbVie19" w:date="2025-04-16T10:42:00Z">
              <w:r w:rsidRPr="006F1E28">
                <w:rPr>
                  <w:rStyle w:val="normaltextrun"/>
                  <w:rFonts w:cs="Calibri"/>
                  <w:b/>
                  <w:bCs/>
                  <w:szCs w:val="22"/>
                </w:rPr>
                <w:delText>Maximum of 160 mg at Week 0 / Placebo at Week 1</w:delText>
              </w:r>
              <w:r w:rsidRPr="006F1E28">
                <w:rPr>
                  <w:rStyle w:val="eop"/>
                  <w:rFonts w:cs="Calibri"/>
                  <w:b/>
                  <w:bCs/>
                  <w:szCs w:val="22"/>
                </w:rPr>
                <w:delText> </w:delText>
              </w:r>
            </w:del>
          </w:p>
          <w:p w14:paraId="0DA30A2B" w14:textId="77777777" w:rsidR="00B179FC" w:rsidRPr="004A7E7E" w:rsidRDefault="00944B8F" w:rsidP="00762FA7">
            <w:pPr>
              <w:spacing w:line="276" w:lineRule="auto"/>
              <w:jc w:val="center"/>
              <w:rPr>
                <w:del w:id="7982" w:author="AbbVie19" w:date="2025-04-16T10:42:00Z"/>
                <w:szCs w:val="22"/>
                <w:lang w:val="en-US"/>
              </w:rPr>
            </w:pPr>
            <w:del w:id="7983" w:author="AbbVie19" w:date="2025-04-16T10:42:00Z">
              <w:r w:rsidRPr="004A7E7E">
                <w:rPr>
                  <w:rStyle w:val="eop"/>
                  <w:rFonts w:cs="Calibri"/>
                </w:rPr>
                <w:delText>N=30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2C9DEB3" w14:textId="77777777" w:rsidR="00A31992" w:rsidRPr="006F1E28" w:rsidRDefault="00944B8F" w:rsidP="00762FA7">
            <w:pPr>
              <w:pStyle w:val="paragraph0"/>
              <w:spacing w:before="0" w:beforeAutospacing="0" w:after="0" w:afterAutospacing="0"/>
              <w:jc w:val="center"/>
              <w:textAlignment w:val="baseline"/>
              <w:rPr>
                <w:del w:id="7984" w:author="AbbVie19" w:date="2025-04-16T10:42:00Z"/>
                <w:rFonts w:ascii="Segoe UI" w:hAnsi="Segoe UI" w:cs="Segoe UI"/>
                <w:b/>
                <w:bCs/>
                <w:szCs w:val="22"/>
              </w:rPr>
            </w:pPr>
            <w:del w:id="7985" w:author="AbbVie19" w:date="2025-04-16T10:42:00Z">
              <w:r w:rsidRPr="006F1E28">
                <w:rPr>
                  <w:rStyle w:val="spellingerror"/>
                  <w:rFonts w:cs="Calibri"/>
                  <w:b/>
                  <w:bCs/>
                  <w:szCs w:val="22"/>
                </w:rPr>
                <w:delText>Humira</w:delText>
              </w:r>
              <w:r w:rsidRPr="006F1E28">
                <w:rPr>
                  <w:rStyle w:val="spellingerror"/>
                  <w:rFonts w:cs="Calibri"/>
                  <w:b/>
                  <w:bCs/>
                  <w:szCs w:val="22"/>
                  <w:vertAlign w:val="superscript"/>
                </w:rPr>
                <w:delText>b</w:delText>
              </w:r>
              <w:r w:rsidRPr="006F1E28">
                <w:rPr>
                  <w:rStyle w:val="normaltextrun"/>
                  <w:rFonts w:cs="Calibri"/>
                  <w:b/>
                  <w:bCs/>
                  <w:szCs w:val="22"/>
                  <w:vertAlign w:val="superscript"/>
                </w:rPr>
                <w:delText>, c</w:delText>
              </w:r>
              <w:r w:rsidRPr="006F1E28">
                <w:rPr>
                  <w:rStyle w:val="eop"/>
                  <w:rFonts w:cs="Calibri"/>
                  <w:b/>
                  <w:bCs/>
                  <w:szCs w:val="22"/>
                </w:rPr>
                <w:delText> </w:delText>
              </w:r>
            </w:del>
          </w:p>
          <w:p w14:paraId="55715304" w14:textId="77777777" w:rsidR="00A31992" w:rsidRPr="006F1E28" w:rsidRDefault="00944B8F" w:rsidP="00762FA7">
            <w:pPr>
              <w:spacing w:line="276" w:lineRule="auto"/>
              <w:jc w:val="center"/>
              <w:rPr>
                <w:del w:id="7986" w:author="AbbVie19" w:date="2025-04-16T10:42:00Z"/>
                <w:rStyle w:val="eop"/>
                <w:rFonts w:cs="Calibri"/>
                <w:b/>
                <w:bCs/>
                <w:szCs w:val="22"/>
              </w:rPr>
            </w:pPr>
            <w:del w:id="7987" w:author="AbbVie19" w:date="2025-04-16T10:42:00Z">
              <w:r w:rsidRPr="006F1E28">
                <w:rPr>
                  <w:rStyle w:val="normaltextrun"/>
                  <w:rFonts w:cs="Calibri"/>
                  <w:b/>
                  <w:bCs/>
                  <w:szCs w:val="22"/>
                </w:rPr>
                <w:delText>Maximum of 160 mg at Week 0 and Week 1</w:delText>
              </w:r>
              <w:r w:rsidRPr="006F1E28">
                <w:rPr>
                  <w:rStyle w:val="eop"/>
                  <w:rFonts w:cs="Calibri"/>
                  <w:b/>
                  <w:bCs/>
                  <w:szCs w:val="22"/>
                </w:rPr>
                <w:delText> </w:delText>
              </w:r>
            </w:del>
          </w:p>
          <w:p w14:paraId="778AA00F" w14:textId="77777777" w:rsidR="00B179FC" w:rsidRPr="004A7E7E" w:rsidRDefault="00944B8F" w:rsidP="00762FA7">
            <w:pPr>
              <w:spacing w:line="276" w:lineRule="auto"/>
              <w:jc w:val="center"/>
              <w:rPr>
                <w:del w:id="7988" w:author="AbbVie19" w:date="2025-04-16T10:42:00Z"/>
                <w:szCs w:val="22"/>
                <w:lang w:val="en-US"/>
              </w:rPr>
            </w:pPr>
            <w:del w:id="7989" w:author="AbbVie19" w:date="2025-04-16T10:42:00Z">
              <w:r w:rsidRPr="004A7E7E">
                <w:rPr>
                  <w:rStyle w:val="eop"/>
                  <w:rFonts w:cs="Calibri"/>
                </w:rPr>
                <w:delText>N=47</w:delText>
              </w:r>
            </w:del>
          </w:p>
        </w:tc>
      </w:tr>
      <w:tr w:rsidR="00C6578C" w14:paraId="06045071" w14:textId="77777777" w:rsidTr="0065221F">
        <w:trPr>
          <w:del w:id="7990" w:author="AbbVie19" w:date="2025-04-16T10:42: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5B3EA6B" w14:textId="77777777" w:rsidR="00B179FC" w:rsidRPr="00986E88" w:rsidRDefault="00944B8F" w:rsidP="00762FA7">
            <w:pPr>
              <w:spacing w:line="276" w:lineRule="auto"/>
              <w:rPr>
                <w:del w:id="7991" w:author="AbbVie19" w:date="2025-04-16T10:42:00Z"/>
                <w:szCs w:val="22"/>
                <w:lang w:val="en-US"/>
              </w:rPr>
            </w:pPr>
            <w:del w:id="7992" w:author="AbbVie19" w:date="2025-04-16T10:42:00Z">
              <w:r w:rsidRPr="00986E88">
                <w:rPr>
                  <w:szCs w:val="22"/>
                  <w:lang w:val="en-US"/>
                </w:rPr>
                <w:delText>Clinical remission</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234D68D" w14:textId="77777777" w:rsidR="00B179FC" w:rsidRPr="00986E88" w:rsidRDefault="00944B8F" w:rsidP="00762FA7">
            <w:pPr>
              <w:spacing w:line="276" w:lineRule="auto"/>
              <w:jc w:val="center"/>
              <w:rPr>
                <w:del w:id="7993" w:author="AbbVie19" w:date="2025-04-16T10:42:00Z"/>
                <w:szCs w:val="22"/>
                <w:lang w:val="en-US"/>
              </w:rPr>
            </w:pPr>
            <w:del w:id="7994" w:author="AbbVie19" w:date="2025-04-16T10:42:00Z">
              <w:r w:rsidRPr="00986E88">
                <w:rPr>
                  <w:szCs w:val="22"/>
                  <w:lang w:val="en-US"/>
                </w:rPr>
                <w:delText>13/30 (43.3%)</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017A43B" w14:textId="77777777" w:rsidR="00B179FC" w:rsidRPr="00986E88" w:rsidRDefault="00944B8F" w:rsidP="00762FA7">
            <w:pPr>
              <w:spacing w:line="276" w:lineRule="auto"/>
              <w:jc w:val="center"/>
              <w:rPr>
                <w:del w:id="7995" w:author="AbbVie19" w:date="2025-04-16T10:42:00Z"/>
                <w:szCs w:val="22"/>
                <w:vertAlign w:val="superscript"/>
                <w:lang w:val="en-US"/>
              </w:rPr>
            </w:pPr>
            <w:del w:id="7996" w:author="AbbVie19" w:date="2025-04-16T10:42:00Z">
              <w:r w:rsidRPr="00986E88">
                <w:rPr>
                  <w:szCs w:val="22"/>
                  <w:lang w:val="en-US"/>
                </w:rPr>
                <w:delText>28/47 (59.6%)</w:delText>
              </w:r>
            </w:del>
          </w:p>
        </w:tc>
      </w:tr>
      <w:tr w:rsidR="00C6578C" w14:paraId="17D78D8B" w14:textId="77777777" w:rsidTr="0065221F">
        <w:trPr>
          <w:trHeight w:val="2517"/>
          <w:del w:id="7997" w:author="AbbVie19" w:date="2025-04-16T10:42: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E8EACD4" w14:textId="77777777" w:rsidR="00B179FC" w:rsidRPr="004A7E7E" w:rsidRDefault="00944B8F" w:rsidP="00762FA7">
            <w:pPr>
              <w:pStyle w:val="paragraph0"/>
              <w:spacing w:before="0" w:beforeAutospacing="0" w:after="0" w:afterAutospacing="0"/>
              <w:textAlignment w:val="baseline"/>
              <w:rPr>
                <w:del w:id="7998" w:author="AbbVie19" w:date="2025-04-16T10:42:00Z"/>
                <w:rFonts w:ascii="Segoe UI" w:hAnsi="Segoe UI" w:cs="Segoe UI"/>
                <w:szCs w:val="22"/>
              </w:rPr>
            </w:pPr>
            <w:del w:id="7999" w:author="AbbVie19" w:date="2025-04-16T10:42:00Z">
              <w:r w:rsidRPr="004A7E7E">
                <w:rPr>
                  <w:rStyle w:val="normaltextrun"/>
                  <w:szCs w:val="22"/>
                  <w:vertAlign w:val="superscript"/>
                </w:rPr>
                <w:lastRenderedPageBreak/>
                <w:delText>a </w:delText>
              </w:r>
              <w:r w:rsidRPr="004A7E7E">
                <w:rPr>
                  <w:rStyle w:val="normaltextrun"/>
                  <w:szCs w:val="22"/>
                </w:rPr>
                <w:delText>Humira 2.4 mg/kg (maximum of 160 mg) at Week 0, placebo at Week 1, and 1.2 mg/kg (maximum of 80 mg) at Week 2</w:delText>
              </w:r>
              <w:r w:rsidRPr="004A7E7E">
                <w:rPr>
                  <w:rStyle w:val="eop"/>
                  <w:szCs w:val="22"/>
                </w:rPr>
                <w:delText> </w:delText>
              </w:r>
            </w:del>
          </w:p>
          <w:p w14:paraId="7289408A" w14:textId="77777777" w:rsidR="00B179FC" w:rsidRPr="004A7E7E" w:rsidRDefault="00944B8F" w:rsidP="00762FA7">
            <w:pPr>
              <w:pStyle w:val="paragraph0"/>
              <w:spacing w:before="0" w:beforeAutospacing="0" w:after="0" w:afterAutospacing="0"/>
              <w:textAlignment w:val="baseline"/>
              <w:rPr>
                <w:del w:id="8000" w:author="AbbVie19" w:date="2025-04-16T10:42:00Z"/>
                <w:rFonts w:ascii="Segoe UI" w:hAnsi="Segoe UI" w:cs="Segoe UI"/>
                <w:szCs w:val="22"/>
              </w:rPr>
            </w:pPr>
            <w:del w:id="8001" w:author="AbbVie19" w:date="2025-04-16T10:42:00Z">
              <w:r w:rsidRPr="004A7E7E">
                <w:rPr>
                  <w:rStyle w:val="normaltextrun"/>
                  <w:szCs w:val="22"/>
                  <w:vertAlign w:val="superscript"/>
                </w:rPr>
                <w:delText>b </w:delText>
              </w:r>
              <w:r w:rsidRPr="004A7E7E">
                <w:rPr>
                  <w:rStyle w:val="normaltextrun"/>
                  <w:szCs w:val="22"/>
                </w:rPr>
                <w:delText>Humira 2.4 mg/kg (maximum of 160 mg) at Week 0 and Week 1, and 1.2 mg/kg (maximum of 80 mg) at Week 2</w:delText>
              </w:r>
              <w:r w:rsidRPr="004A7E7E">
                <w:rPr>
                  <w:rStyle w:val="eop"/>
                  <w:szCs w:val="22"/>
                </w:rPr>
                <w:delText> </w:delText>
              </w:r>
            </w:del>
          </w:p>
          <w:p w14:paraId="167DF455" w14:textId="77777777" w:rsidR="00B179FC" w:rsidRPr="004A7E7E" w:rsidRDefault="00944B8F" w:rsidP="00762FA7">
            <w:pPr>
              <w:pStyle w:val="paragraph0"/>
              <w:spacing w:before="0" w:beforeAutospacing="0" w:after="0" w:afterAutospacing="0"/>
              <w:textAlignment w:val="baseline"/>
              <w:rPr>
                <w:del w:id="8002" w:author="AbbVie19" w:date="2025-04-16T10:42:00Z"/>
                <w:rFonts w:ascii="Segoe UI" w:hAnsi="Segoe UI" w:cs="Segoe UI"/>
                <w:szCs w:val="22"/>
              </w:rPr>
            </w:pPr>
            <w:del w:id="8003" w:author="AbbVie19" w:date="2025-04-16T10:42:00Z">
              <w:r w:rsidRPr="004A7E7E">
                <w:rPr>
                  <w:rStyle w:val="normaltextrun"/>
                  <w:rFonts w:cs="Calibri"/>
                  <w:szCs w:val="22"/>
                  <w:vertAlign w:val="superscript"/>
                </w:rPr>
                <w:delText>c</w:delText>
              </w:r>
              <w:r w:rsidRPr="004A7E7E">
                <w:rPr>
                  <w:rStyle w:val="normaltextrun"/>
                  <w:rFonts w:cs="Calibri"/>
                  <w:szCs w:val="22"/>
                </w:rPr>
                <w:delText> Not including open-label Induction dose of </w:delText>
              </w:r>
              <w:r w:rsidRPr="004A7E7E">
                <w:rPr>
                  <w:rStyle w:val="normaltextrun"/>
                  <w:szCs w:val="22"/>
                </w:rPr>
                <w:delText>Humira 2.4 mg/kg (maximum of 160 mg) at Week 0 and Week 1, and 1.2 mg/kg (maximum of 80 mg) at Week 2</w:delText>
              </w:r>
            </w:del>
          </w:p>
          <w:p w14:paraId="791320A4" w14:textId="77777777" w:rsidR="00B179FC" w:rsidRPr="004A7E7E" w:rsidRDefault="00944B8F" w:rsidP="00762FA7">
            <w:pPr>
              <w:pStyle w:val="paragraph0"/>
              <w:spacing w:before="0" w:beforeAutospacing="0" w:after="0" w:afterAutospacing="0"/>
              <w:textAlignment w:val="baseline"/>
              <w:rPr>
                <w:del w:id="8004" w:author="AbbVie19" w:date="2025-04-16T10:42:00Z"/>
                <w:rFonts w:ascii="Segoe UI" w:hAnsi="Segoe UI" w:cs="Segoe UI"/>
                <w:szCs w:val="22"/>
              </w:rPr>
            </w:pPr>
            <w:del w:id="8005" w:author="AbbVie19" w:date="2025-04-16T10:42:00Z">
              <w:r w:rsidRPr="004A7E7E">
                <w:rPr>
                  <w:rStyle w:val="normaltextrun"/>
                  <w:rFonts w:cs="Calibri"/>
                  <w:szCs w:val="22"/>
                </w:rPr>
                <w:delText>Note 1: Both induction groups received 0.6 mg/kg (maximum of 40 mg) at Week 4 and Week 6</w:delText>
              </w:r>
              <w:r w:rsidRPr="004A7E7E">
                <w:rPr>
                  <w:rStyle w:val="eop"/>
                  <w:rFonts w:cs="Calibri"/>
                  <w:szCs w:val="22"/>
                </w:rPr>
                <w:delText> </w:delText>
              </w:r>
            </w:del>
          </w:p>
          <w:p w14:paraId="6DD82385" w14:textId="77777777" w:rsidR="00B179FC" w:rsidRPr="002D6C33" w:rsidRDefault="00944B8F" w:rsidP="00762FA7">
            <w:pPr>
              <w:pStyle w:val="paragraph0"/>
              <w:spacing w:before="0" w:beforeAutospacing="0" w:after="0" w:afterAutospacing="0"/>
              <w:textAlignment w:val="baseline"/>
              <w:rPr>
                <w:del w:id="8006" w:author="AbbVie19" w:date="2025-04-16T10:42:00Z"/>
                <w:szCs w:val="22"/>
              </w:rPr>
            </w:pPr>
            <w:del w:id="8007" w:author="AbbVie19" w:date="2025-04-16T10:42:00Z">
              <w:r w:rsidRPr="004A7E7E">
                <w:rPr>
                  <w:rStyle w:val="normaltextrun"/>
                  <w:rFonts w:cs="Calibri"/>
                  <w:szCs w:val="22"/>
                </w:rPr>
                <w:delText>Note 2: Patients with missing values at Week 8 were considered as not having met the en</w:delText>
              </w:r>
              <w:r>
                <w:rPr>
                  <w:rStyle w:val="normaltextrun"/>
                  <w:rFonts w:cs="Calibri"/>
                  <w:szCs w:val="22"/>
                </w:rPr>
                <w:delText>d</w:delText>
              </w:r>
              <w:r w:rsidRPr="004A7E7E">
                <w:rPr>
                  <w:rStyle w:val="normaltextrun"/>
                  <w:rFonts w:cs="Calibri"/>
                  <w:szCs w:val="22"/>
                </w:rPr>
                <w:delText>point</w:delText>
              </w:r>
              <w:r w:rsidRPr="004A7E7E">
                <w:rPr>
                  <w:rStyle w:val="eop"/>
                  <w:rFonts w:cs="Calibri"/>
                  <w:szCs w:val="22"/>
                </w:rPr>
                <w:delText> </w:delText>
              </w:r>
            </w:del>
          </w:p>
        </w:tc>
      </w:tr>
      <w:bookmarkEnd w:id="7977"/>
    </w:tbl>
    <w:p w14:paraId="435DDA73" w14:textId="77777777" w:rsidR="005C3004" w:rsidRDefault="005C3004" w:rsidP="00762FA7">
      <w:pPr>
        <w:rPr>
          <w:del w:id="8008" w:author="AbbVie19" w:date="2025-04-16T10:42:00Z"/>
          <w:rStyle w:val="normaltextrun"/>
          <w:shd w:val="clear" w:color="auto" w:fill="FFFFFF"/>
          <w:lang w:val="en-US"/>
        </w:rPr>
      </w:pPr>
    </w:p>
    <w:p w14:paraId="0292362A" w14:textId="77777777" w:rsidR="00724309" w:rsidRPr="00B179FC" w:rsidRDefault="00944B8F" w:rsidP="00762FA7">
      <w:pPr>
        <w:rPr>
          <w:del w:id="8009" w:author="AbbVie19" w:date="2025-04-16T10:42:00Z"/>
        </w:rPr>
      </w:pPr>
      <w:del w:id="8010" w:author="AbbVie19" w:date="2025-04-16T10:42:00Z">
        <w:r w:rsidRPr="00B179FC">
          <w:rPr>
            <w:rStyle w:val="normaltextrun"/>
            <w:shd w:val="clear" w:color="auto" w:fill="FFFFFF"/>
            <w:lang w:val="en-US"/>
          </w:rPr>
          <w:delText xml:space="preserve">At Week 52, clinical remission per FMS in Week 8 responders, clinical response per FMS (defined as a decrease in Mayo Score ≥ 3 points and ≥ 30% from Baseline) in Week 8 responders, mucosal healing (defined as Mayo endoscopy </w:delText>
        </w:r>
        <w:r w:rsidR="00032598">
          <w:rPr>
            <w:rStyle w:val="normaltextrun"/>
            <w:shd w:val="clear" w:color="auto" w:fill="FFFFFF"/>
            <w:lang w:val="en-US"/>
          </w:rPr>
          <w:delText>sub</w:delText>
        </w:r>
        <w:r w:rsidRPr="00B179FC">
          <w:rPr>
            <w:rStyle w:val="normaltextrun"/>
            <w:shd w:val="clear" w:color="auto" w:fill="FFFFFF"/>
            <w:lang w:val="en-US"/>
          </w:rPr>
          <w:delText>score ≤ 1) in Week 8 responders, clinical remission per FMS in Week 8 remitters, and the proportion of subjects in corticosteroid-free remission per FMS in Week 8 responders were assessed in patients who received Humira at the double-blind maximum 40 mg </w:delText>
        </w:r>
        <w:r w:rsidRPr="00B179FC">
          <w:rPr>
            <w:rStyle w:val="spellingerror"/>
            <w:shd w:val="clear" w:color="auto" w:fill="FFFFFF"/>
            <w:lang w:val="en-US"/>
          </w:rPr>
          <w:delText>eow</w:delText>
        </w:r>
        <w:r w:rsidRPr="00B179FC">
          <w:rPr>
            <w:rStyle w:val="normaltextrun"/>
            <w:shd w:val="clear" w:color="auto" w:fill="FFFFFF"/>
            <w:lang w:val="en-US"/>
          </w:rPr>
          <w:delText> (0.6 mg/kg) and maximum 40 mg </w:delText>
        </w:r>
        <w:r w:rsidRPr="00B179FC">
          <w:rPr>
            <w:rStyle w:val="spellingerror"/>
            <w:shd w:val="clear" w:color="auto" w:fill="FFFFFF"/>
            <w:lang w:val="en-US"/>
          </w:rPr>
          <w:delText>ew</w:delText>
        </w:r>
        <w:r w:rsidRPr="00B179FC">
          <w:rPr>
            <w:rStyle w:val="normaltextrun"/>
            <w:shd w:val="clear" w:color="auto" w:fill="FFFFFF"/>
            <w:lang w:val="en-US"/>
          </w:rPr>
          <w:delText> (0.6 mg/kg) maintenance doses (Table 32).</w:delText>
        </w:r>
        <w:r w:rsidRPr="00B179FC">
          <w:rPr>
            <w:rStyle w:val="eop"/>
            <w:shd w:val="clear" w:color="auto" w:fill="FFFFFF"/>
          </w:rPr>
          <w:delText> </w:delText>
        </w:r>
      </w:del>
    </w:p>
    <w:p w14:paraId="3E348834" w14:textId="77777777" w:rsidR="00630394" w:rsidRDefault="00630394" w:rsidP="00762FA7">
      <w:pPr>
        <w:rPr>
          <w:del w:id="8011" w:author="AbbVie19" w:date="2025-04-16T10:42:00Z"/>
        </w:rPr>
      </w:pPr>
    </w:p>
    <w:p w14:paraId="005A0D69" w14:textId="77777777" w:rsidR="00630394" w:rsidRPr="00420A96" w:rsidRDefault="00944B8F" w:rsidP="00762FA7">
      <w:pPr>
        <w:tabs>
          <w:tab w:val="clear" w:pos="562"/>
        </w:tabs>
        <w:suppressAutoHyphens w:val="0"/>
        <w:jc w:val="center"/>
        <w:textAlignment w:val="baseline"/>
        <w:rPr>
          <w:del w:id="8012" w:author="AbbVie19" w:date="2025-04-16T10:42:00Z"/>
          <w:b/>
          <w:szCs w:val="22"/>
          <w:lang w:eastAsia="en-GB"/>
        </w:rPr>
      </w:pPr>
      <w:del w:id="8013" w:author="AbbVie19" w:date="2025-04-16T10:42:00Z">
        <w:r w:rsidRPr="00420A96">
          <w:rPr>
            <w:b/>
            <w:szCs w:val="22"/>
            <w:lang w:val="en-US" w:eastAsia="en-GB"/>
          </w:rPr>
          <w:delText>Table 32: Efficacy Results at 52 Weeks</w:delText>
        </w:r>
        <w:r w:rsidRPr="00420A96">
          <w:rPr>
            <w:b/>
            <w:szCs w:val="22"/>
            <w:lang w:eastAsia="en-GB"/>
          </w:rPr>
          <w:delText> </w:delText>
        </w:r>
      </w:del>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6"/>
        <w:gridCol w:w="2409"/>
        <w:gridCol w:w="2633"/>
      </w:tblGrid>
      <w:tr w:rsidR="00C6578C" w14:paraId="4EBED4C1" w14:textId="77777777" w:rsidTr="00420A96">
        <w:trPr>
          <w:trHeight w:val="912"/>
          <w:jc w:val="center"/>
          <w:del w:id="8014" w:author="AbbVie19" w:date="2025-04-16T10:42:00Z"/>
        </w:trPr>
        <w:tc>
          <w:tcPr>
            <w:tcW w:w="2526" w:type="dxa"/>
            <w:tcBorders>
              <w:top w:val="single" w:sz="6" w:space="0" w:color="auto"/>
              <w:left w:val="single" w:sz="6" w:space="0" w:color="auto"/>
              <w:bottom w:val="single" w:sz="6" w:space="0" w:color="auto"/>
              <w:right w:val="single" w:sz="6" w:space="0" w:color="auto"/>
            </w:tcBorders>
            <w:hideMark/>
          </w:tcPr>
          <w:p w14:paraId="19C12972" w14:textId="77777777" w:rsidR="003D5A91" w:rsidRPr="004A7E7E" w:rsidRDefault="003D5A91" w:rsidP="00762FA7">
            <w:pPr>
              <w:tabs>
                <w:tab w:val="clear" w:pos="562"/>
              </w:tabs>
              <w:suppressAutoHyphens w:val="0"/>
              <w:textAlignment w:val="baseline"/>
              <w:rPr>
                <w:del w:id="8015" w:author="AbbVie19" w:date="2025-04-16T10:42:00Z"/>
                <w:szCs w:val="22"/>
                <w:lang w:eastAsia="en-GB"/>
              </w:rPr>
            </w:pPr>
            <w:bookmarkStart w:id="8016" w:name="_Hlk51693203"/>
          </w:p>
        </w:tc>
        <w:tc>
          <w:tcPr>
            <w:tcW w:w="2409" w:type="dxa"/>
            <w:tcBorders>
              <w:top w:val="single" w:sz="6" w:space="0" w:color="auto"/>
              <w:left w:val="nil"/>
              <w:bottom w:val="single" w:sz="6" w:space="0" w:color="auto"/>
              <w:right w:val="single" w:sz="6" w:space="0" w:color="auto"/>
            </w:tcBorders>
            <w:vAlign w:val="center"/>
            <w:hideMark/>
          </w:tcPr>
          <w:p w14:paraId="225FCC04" w14:textId="77777777" w:rsidR="003D5A91" w:rsidRPr="004C1E5C" w:rsidRDefault="00944B8F" w:rsidP="00762FA7">
            <w:pPr>
              <w:tabs>
                <w:tab w:val="clear" w:pos="562"/>
              </w:tabs>
              <w:suppressAutoHyphens w:val="0"/>
              <w:jc w:val="center"/>
              <w:textAlignment w:val="baseline"/>
              <w:rPr>
                <w:del w:id="8017" w:author="AbbVie19" w:date="2025-04-16T10:42:00Z"/>
                <w:szCs w:val="22"/>
                <w:lang w:eastAsia="en-GB"/>
              </w:rPr>
            </w:pPr>
            <w:del w:id="8018" w:author="AbbVie19" w:date="2025-04-16T10:42:00Z">
              <w:r w:rsidRPr="004C1E5C">
                <w:rPr>
                  <w:b/>
                  <w:bCs/>
                  <w:szCs w:val="22"/>
                  <w:lang w:val="en-US" w:eastAsia="en-GB"/>
                </w:rPr>
                <w:delText>Humira</w:delText>
              </w:r>
              <w:r w:rsidRPr="004C1E5C">
                <w:rPr>
                  <w:b/>
                  <w:szCs w:val="22"/>
                  <w:vertAlign w:val="superscript"/>
                  <w:lang w:val="en-US" w:eastAsia="en-GB"/>
                </w:rPr>
                <w:delText>a</w:delText>
              </w:r>
              <w:r w:rsidRPr="004C1E5C">
                <w:rPr>
                  <w:b/>
                  <w:bCs/>
                  <w:szCs w:val="22"/>
                  <w:lang w:val="en-US" w:eastAsia="en-GB"/>
                </w:rPr>
                <w:delText> </w:delText>
              </w:r>
              <w:r w:rsidRPr="004C1E5C">
                <w:rPr>
                  <w:szCs w:val="22"/>
                  <w:lang w:eastAsia="en-GB"/>
                </w:rPr>
                <w:delText> </w:delText>
              </w:r>
            </w:del>
          </w:p>
          <w:p w14:paraId="50226FE1" w14:textId="77777777" w:rsidR="003D5A91" w:rsidRPr="004C1E5C" w:rsidRDefault="00944B8F" w:rsidP="00762FA7">
            <w:pPr>
              <w:tabs>
                <w:tab w:val="clear" w:pos="562"/>
              </w:tabs>
              <w:suppressAutoHyphens w:val="0"/>
              <w:jc w:val="center"/>
              <w:textAlignment w:val="baseline"/>
              <w:rPr>
                <w:del w:id="8019" w:author="AbbVie19" w:date="2025-04-16T10:42:00Z"/>
                <w:szCs w:val="22"/>
                <w:lang w:eastAsia="en-GB"/>
              </w:rPr>
            </w:pPr>
            <w:del w:id="8020" w:author="AbbVie19" w:date="2025-04-16T10:42:00Z">
              <w:r w:rsidRPr="004C1E5C">
                <w:rPr>
                  <w:b/>
                  <w:bCs/>
                  <w:szCs w:val="22"/>
                  <w:lang w:val="en-US" w:eastAsia="en-GB"/>
                </w:rPr>
                <w:delText>Maximum of 40 mg eow</w:delText>
              </w:r>
              <w:r w:rsidRPr="004C1E5C">
                <w:rPr>
                  <w:szCs w:val="22"/>
                  <w:lang w:eastAsia="en-GB"/>
                </w:rPr>
                <w:delText> </w:delText>
              </w:r>
            </w:del>
          </w:p>
          <w:p w14:paraId="542AE028" w14:textId="77777777" w:rsidR="003D5A91" w:rsidRPr="00245558" w:rsidRDefault="00944B8F" w:rsidP="00762FA7">
            <w:pPr>
              <w:tabs>
                <w:tab w:val="clear" w:pos="562"/>
              </w:tabs>
              <w:suppressAutoHyphens w:val="0"/>
              <w:jc w:val="center"/>
              <w:textAlignment w:val="baseline"/>
              <w:rPr>
                <w:del w:id="8021" w:author="AbbVie19" w:date="2025-04-16T10:42:00Z"/>
                <w:szCs w:val="22"/>
                <w:lang w:eastAsia="en-GB"/>
              </w:rPr>
            </w:pPr>
            <w:del w:id="8022" w:author="AbbVie19" w:date="2025-04-16T10:42:00Z">
              <w:r w:rsidRPr="00245558">
                <w:rPr>
                  <w:szCs w:val="22"/>
                  <w:lang w:eastAsia="en-GB"/>
                </w:rPr>
                <w:delText>N=31</w:delText>
              </w:r>
            </w:del>
          </w:p>
        </w:tc>
        <w:tc>
          <w:tcPr>
            <w:tcW w:w="2633" w:type="dxa"/>
            <w:tcBorders>
              <w:top w:val="single" w:sz="6" w:space="0" w:color="auto"/>
              <w:left w:val="nil"/>
              <w:bottom w:val="single" w:sz="6" w:space="0" w:color="auto"/>
              <w:right w:val="single" w:sz="6" w:space="0" w:color="auto"/>
            </w:tcBorders>
            <w:vAlign w:val="center"/>
            <w:hideMark/>
          </w:tcPr>
          <w:p w14:paraId="0BE63B12" w14:textId="77777777" w:rsidR="003D5A91" w:rsidRPr="004C1E5C" w:rsidRDefault="00944B8F" w:rsidP="00762FA7">
            <w:pPr>
              <w:tabs>
                <w:tab w:val="clear" w:pos="562"/>
              </w:tabs>
              <w:suppressAutoHyphens w:val="0"/>
              <w:jc w:val="center"/>
              <w:textAlignment w:val="baseline"/>
              <w:rPr>
                <w:del w:id="8023" w:author="AbbVie19" w:date="2025-04-16T10:42:00Z"/>
                <w:szCs w:val="22"/>
                <w:lang w:eastAsia="en-GB"/>
              </w:rPr>
            </w:pPr>
            <w:del w:id="8024" w:author="AbbVie19" w:date="2025-04-16T10:42:00Z">
              <w:r w:rsidRPr="004C1E5C">
                <w:rPr>
                  <w:b/>
                  <w:bCs/>
                  <w:szCs w:val="22"/>
                  <w:lang w:val="en-US" w:eastAsia="en-GB"/>
                </w:rPr>
                <w:delText>Humira</w:delText>
              </w:r>
              <w:r w:rsidRPr="004C1E5C">
                <w:rPr>
                  <w:b/>
                  <w:szCs w:val="22"/>
                  <w:vertAlign w:val="superscript"/>
                  <w:lang w:val="en-US" w:eastAsia="en-GB"/>
                </w:rPr>
                <w:delText>b</w:delText>
              </w:r>
              <w:r w:rsidRPr="004C1E5C">
                <w:rPr>
                  <w:b/>
                  <w:bCs/>
                  <w:szCs w:val="22"/>
                  <w:lang w:val="en-US" w:eastAsia="en-GB"/>
                </w:rPr>
                <w:delText> </w:delText>
              </w:r>
              <w:r w:rsidRPr="004C1E5C">
                <w:rPr>
                  <w:szCs w:val="22"/>
                  <w:lang w:eastAsia="en-GB"/>
                </w:rPr>
                <w:delText> </w:delText>
              </w:r>
            </w:del>
          </w:p>
          <w:p w14:paraId="1A74E188" w14:textId="77777777" w:rsidR="003D5A91" w:rsidRPr="004C1E5C" w:rsidRDefault="00944B8F" w:rsidP="00762FA7">
            <w:pPr>
              <w:tabs>
                <w:tab w:val="clear" w:pos="562"/>
              </w:tabs>
              <w:suppressAutoHyphens w:val="0"/>
              <w:jc w:val="center"/>
              <w:textAlignment w:val="baseline"/>
              <w:rPr>
                <w:del w:id="8025" w:author="AbbVie19" w:date="2025-04-16T10:42:00Z"/>
                <w:szCs w:val="22"/>
                <w:lang w:eastAsia="en-GB"/>
              </w:rPr>
            </w:pPr>
            <w:del w:id="8026" w:author="AbbVie19" w:date="2025-04-16T10:42:00Z">
              <w:r w:rsidRPr="004C1E5C">
                <w:rPr>
                  <w:b/>
                  <w:bCs/>
                  <w:szCs w:val="22"/>
                  <w:lang w:val="en-US" w:eastAsia="en-GB"/>
                </w:rPr>
                <w:delText>Maximum of 40 mg ew</w:delText>
              </w:r>
              <w:r w:rsidRPr="004C1E5C">
                <w:rPr>
                  <w:szCs w:val="22"/>
                  <w:lang w:eastAsia="en-GB"/>
                </w:rPr>
                <w:delText> </w:delText>
              </w:r>
            </w:del>
          </w:p>
          <w:p w14:paraId="10FCD688" w14:textId="77777777" w:rsidR="003D5A91" w:rsidRPr="00245558" w:rsidRDefault="00944B8F" w:rsidP="00762FA7">
            <w:pPr>
              <w:tabs>
                <w:tab w:val="clear" w:pos="562"/>
              </w:tabs>
              <w:suppressAutoHyphens w:val="0"/>
              <w:jc w:val="center"/>
              <w:textAlignment w:val="baseline"/>
              <w:rPr>
                <w:del w:id="8027" w:author="AbbVie19" w:date="2025-04-16T10:42:00Z"/>
                <w:szCs w:val="22"/>
                <w:lang w:eastAsia="en-GB"/>
              </w:rPr>
            </w:pPr>
            <w:del w:id="8028" w:author="AbbVie19" w:date="2025-04-16T10:42:00Z">
              <w:r w:rsidRPr="00245558">
                <w:rPr>
                  <w:szCs w:val="22"/>
                  <w:lang w:eastAsia="en-GB"/>
                </w:rPr>
                <w:delText>N=31</w:delText>
              </w:r>
            </w:del>
          </w:p>
        </w:tc>
      </w:tr>
      <w:tr w:rsidR="00C6578C" w14:paraId="53EC6F6E" w14:textId="77777777" w:rsidTr="00420A96">
        <w:trPr>
          <w:trHeight w:val="570"/>
          <w:jc w:val="center"/>
          <w:del w:id="8029" w:author="AbbVie19" w:date="2025-04-16T10:42:00Z"/>
        </w:trPr>
        <w:tc>
          <w:tcPr>
            <w:tcW w:w="2526" w:type="dxa"/>
            <w:tcBorders>
              <w:top w:val="nil"/>
              <w:left w:val="single" w:sz="6" w:space="0" w:color="auto"/>
              <w:bottom w:val="single" w:sz="6" w:space="0" w:color="auto"/>
              <w:right w:val="single" w:sz="6" w:space="0" w:color="auto"/>
            </w:tcBorders>
            <w:vAlign w:val="center"/>
            <w:hideMark/>
          </w:tcPr>
          <w:p w14:paraId="09F4D68B" w14:textId="77777777" w:rsidR="003D5A91" w:rsidRPr="004A7E7E" w:rsidRDefault="00944B8F" w:rsidP="00762FA7">
            <w:pPr>
              <w:tabs>
                <w:tab w:val="clear" w:pos="562"/>
              </w:tabs>
              <w:suppressAutoHyphens w:val="0"/>
              <w:textAlignment w:val="baseline"/>
              <w:rPr>
                <w:del w:id="8030" w:author="AbbVie19" w:date="2025-04-16T10:42:00Z"/>
                <w:szCs w:val="22"/>
                <w:lang w:eastAsia="en-GB"/>
              </w:rPr>
            </w:pPr>
            <w:del w:id="8031" w:author="AbbVie19" w:date="2025-04-16T10:42:00Z">
              <w:r w:rsidRPr="004A7E7E">
                <w:rPr>
                  <w:szCs w:val="22"/>
                  <w:lang w:val="en-US" w:eastAsia="en-GB"/>
                </w:rPr>
                <w:delText>Clinical remission in Week 8 PMS responders</w:delText>
              </w:r>
              <w:r w:rsidRPr="004A7E7E">
                <w:rPr>
                  <w:szCs w:val="22"/>
                  <w:lang w:eastAsia="en-GB"/>
                </w:rPr>
                <w:delText> </w:delText>
              </w:r>
            </w:del>
          </w:p>
        </w:tc>
        <w:tc>
          <w:tcPr>
            <w:tcW w:w="2409" w:type="dxa"/>
            <w:tcBorders>
              <w:top w:val="nil"/>
              <w:left w:val="nil"/>
              <w:bottom w:val="single" w:sz="6" w:space="0" w:color="auto"/>
              <w:right w:val="single" w:sz="6" w:space="0" w:color="auto"/>
            </w:tcBorders>
            <w:vAlign w:val="center"/>
            <w:hideMark/>
          </w:tcPr>
          <w:p w14:paraId="10D75197" w14:textId="77777777" w:rsidR="003D5A91" w:rsidRPr="004A7E7E" w:rsidRDefault="00944B8F" w:rsidP="00762FA7">
            <w:pPr>
              <w:tabs>
                <w:tab w:val="clear" w:pos="562"/>
              </w:tabs>
              <w:suppressAutoHyphens w:val="0"/>
              <w:jc w:val="center"/>
              <w:textAlignment w:val="baseline"/>
              <w:rPr>
                <w:del w:id="8032" w:author="AbbVie19" w:date="2025-04-16T10:42:00Z"/>
                <w:szCs w:val="22"/>
                <w:lang w:eastAsia="en-GB"/>
              </w:rPr>
            </w:pPr>
            <w:del w:id="8033" w:author="AbbVie19" w:date="2025-04-16T10:42:00Z">
              <w:r w:rsidRPr="004A7E7E">
                <w:rPr>
                  <w:szCs w:val="22"/>
                  <w:lang w:val="en-US" w:eastAsia="en-GB"/>
                </w:rPr>
                <w:delText>9/31 (29.0%)</w:delText>
              </w:r>
              <w:r w:rsidRPr="004A7E7E">
                <w:rPr>
                  <w:szCs w:val="22"/>
                  <w:lang w:eastAsia="en-GB"/>
                </w:rPr>
                <w:delText> </w:delText>
              </w:r>
            </w:del>
          </w:p>
        </w:tc>
        <w:tc>
          <w:tcPr>
            <w:tcW w:w="2633" w:type="dxa"/>
            <w:tcBorders>
              <w:top w:val="nil"/>
              <w:left w:val="nil"/>
              <w:bottom w:val="single" w:sz="6" w:space="0" w:color="auto"/>
              <w:right w:val="single" w:sz="6" w:space="0" w:color="auto"/>
            </w:tcBorders>
            <w:vAlign w:val="center"/>
            <w:hideMark/>
          </w:tcPr>
          <w:p w14:paraId="2F61BF16" w14:textId="77777777" w:rsidR="003D5A91" w:rsidRPr="004A7E7E" w:rsidRDefault="00944B8F" w:rsidP="00762FA7">
            <w:pPr>
              <w:tabs>
                <w:tab w:val="clear" w:pos="562"/>
              </w:tabs>
              <w:suppressAutoHyphens w:val="0"/>
              <w:jc w:val="center"/>
              <w:textAlignment w:val="baseline"/>
              <w:rPr>
                <w:del w:id="8034" w:author="AbbVie19" w:date="2025-04-16T10:42:00Z"/>
                <w:szCs w:val="22"/>
                <w:lang w:eastAsia="en-GB"/>
              </w:rPr>
            </w:pPr>
            <w:del w:id="8035" w:author="AbbVie19" w:date="2025-04-16T10:42:00Z">
              <w:r w:rsidRPr="004A7E7E">
                <w:rPr>
                  <w:szCs w:val="22"/>
                  <w:lang w:val="en-US" w:eastAsia="en-GB"/>
                </w:rPr>
                <w:delText>14/31 (45.2%)</w:delText>
              </w:r>
            </w:del>
          </w:p>
        </w:tc>
      </w:tr>
      <w:tr w:rsidR="00C6578C" w14:paraId="05A08582" w14:textId="77777777" w:rsidTr="00420A96">
        <w:trPr>
          <w:trHeight w:val="555"/>
          <w:jc w:val="center"/>
          <w:del w:id="8036" w:author="AbbVie19" w:date="2025-04-16T10:42:00Z"/>
        </w:trPr>
        <w:tc>
          <w:tcPr>
            <w:tcW w:w="2526" w:type="dxa"/>
            <w:tcBorders>
              <w:top w:val="nil"/>
              <w:left w:val="single" w:sz="6" w:space="0" w:color="auto"/>
              <w:bottom w:val="single" w:sz="6" w:space="0" w:color="auto"/>
              <w:right w:val="single" w:sz="6" w:space="0" w:color="auto"/>
            </w:tcBorders>
            <w:vAlign w:val="center"/>
            <w:hideMark/>
          </w:tcPr>
          <w:p w14:paraId="307BB0E5" w14:textId="77777777" w:rsidR="003D5A91" w:rsidRPr="004A7E7E" w:rsidRDefault="00944B8F" w:rsidP="00762FA7">
            <w:pPr>
              <w:tabs>
                <w:tab w:val="clear" w:pos="562"/>
              </w:tabs>
              <w:suppressAutoHyphens w:val="0"/>
              <w:textAlignment w:val="baseline"/>
              <w:rPr>
                <w:del w:id="8037" w:author="AbbVie19" w:date="2025-04-16T10:42:00Z"/>
                <w:szCs w:val="22"/>
                <w:lang w:eastAsia="en-GB"/>
              </w:rPr>
            </w:pPr>
            <w:del w:id="8038" w:author="AbbVie19" w:date="2025-04-16T10:42:00Z">
              <w:r w:rsidRPr="004A7E7E">
                <w:rPr>
                  <w:szCs w:val="22"/>
                  <w:lang w:val="en-US" w:eastAsia="en-GB"/>
                </w:rPr>
                <w:delText>Clinical response in Week 8 PMS responders</w:delText>
              </w:r>
              <w:r w:rsidRPr="004A7E7E">
                <w:rPr>
                  <w:szCs w:val="22"/>
                  <w:lang w:eastAsia="en-GB"/>
                </w:rPr>
                <w:delText> </w:delText>
              </w:r>
            </w:del>
          </w:p>
        </w:tc>
        <w:tc>
          <w:tcPr>
            <w:tcW w:w="2409" w:type="dxa"/>
            <w:tcBorders>
              <w:top w:val="nil"/>
              <w:left w:val="nil"/>
              <w:bottom w:val="single" w:sz="6" w:space="0" w:color="auto"/>
              <w:right w:val="single" w:sz="6" w:space="0" w:color="auto"/>
            </w:tcBorders>
            <w:vAlign w:val="center"/>
            <w:hideMark/>
          </w:tcPr>
          <w:p w14:paraId="143E042E" w14:textId="77777777" w:rsidR="003D5A91" w:rsidRPr="004A7E7E" w:rsidRDefault="00944B8F" w:rsidP="00762FA7">
            <w:pPr>
              <w:tabs>
                <w:tab w:val="clear" w:pos="562"/>
              </w:tabs>
              <w:suppressAutoHyphens w:val="0"/>
              <w:jc w:val="center"/>
              <w:textAlignment w:val="baseline"/>
              <w:rPr>
                <w:del w:id="8039" w:author="AbbVie19" w:date="2025-04-16T10:42:00Z"/>
                <w:szCs w:val="22"/>
                <w:lang w:eastAsia="en-GB"/>
              </w:rPr>
            </w:pPr>
            <w:del w:id="8040" w:author="AbbVie19" w:date="2025-04-16T10:42:00Z">
              <w:r w:rsidRPr="004A7E7E">
                <w:rPr>
                  <w:szCs w:val="22"/>
                  <w:lang w:val="en-US" w:eastAsia="en-GB"/>
                </w:rPr>
                <w:delText>19/31 (61.3%)</w:delText>
              </w:r>
              <w:r w:rsidRPr="004A7E7E">
                <w:rPr>
                  <w:szCs w:val="22"/>
                  <w:lang w:eastAsia="en-GB"/>
                </w:rPr>
                <w:delText> </w:delText>
              </w:r>
            </w:del>
          </w:p>
        </w:tc>
        <w:tc>
          <w:tcPr>
            <w:tcW w:w="2633" w:type="dxa"/>
            <w:tcBorders>
              <w:top w:val="nil"/>
              <w:left w:val="nil"/>
              <w:bottom w:val="single" w:sz="6" w:space="0" w:color="auto"/>
              <w:right w:val="single" w:sz="6" w:space="0" w:color="auto"/>
            </w:tcBorders>
            <w:vAlign w:val="center"/>
            <w:hideMark/>
          </w:tcPr>
          <w:p w14:paraId="2A331B06" w14:textId="77777777" w:rsidR="003D5A91" w:rsidRPr="004A7E7E" w:rsidRDefault="00944B8F" w:rsidP="00762FA7">
            <w:pPr>
              <w:tabs>
                <w:tab w:val="clear" w:pos="562"/>
              </w:tabs>
              <w:suppressAutoHyphens w:val="0"/>
              <w:jc w:val="center"/>
              <w:textAlignment w:val="baseline"/>
              <w:rPr>
                <w:del w:id="8041" w:author="AbbVie19" w:date="2025-04-16T10:42:00Z"/>
                <w:szCs w:val="22"/>
                <w:lang w:eastAsia="en-GB"/>
              </w:rPr>
            </w:pPr>
            <w:del w:id="8042" w:author="AbbVie19" w:date="2025-04-16T10:42:00Z">
              <w:r w:rsidRPr="004A7E7E">
                <w:rPr>
                  <w:szCs w:val="22"/>
                  <w:lang w:val="en-US" w:eastAsia="en-GB"/>
                </w:rPr>
                <w:delText>21/31 (67.7%)</w:delText>
              </w:r>
              <w:r w:rsidRPr="004A7E7E">
                <w:rPr>
                  <w:szCs w:val="22"/>
                  <w:lang w:eastAsia="en-GB"/>
                </w:rPr>
                <w:delText> </w:delText>
              </w:r>
            </w:del>
          </w:p>
        </w:tc>
      </w:tr>
      <w:tr w:rsidR="00C6578C" w14:paraId="634EFCA8" w14:textId="77777777" w:rsidTr="00420A96">
        <w:trPr>
          <w:jc w:val="center"/>
          <w:del w:id="8043" w:author="AbbVie19" w:date="2025-04-16T10:42:00Z"/>
        </w:trPr>
        <w:tc>
          <w:tcPr>
            <w:tcW w:w="2526" w:type="dxa"/>
            <w:tcBorders>
              <w:top w:val="nil"/>
              <w:left w:val="single" w:sz="6" w:space="0" w:color="auto"/>
              <w:bottom w:val="single" w:sz="6" w:space="0" w:color="auto"/>
              <w:right w:val="single" w:sz="6" w:space="0" w:color="auto"/>
            </w:tcBorders>
            <w:vAlign w:val="center"/>
            <w:hideMark/>
          </w:tcPr>
          <w:p w14:paraId="7A2E74E9" w14:textId="77777777" w:rsidR="003D5A91" w:rsidRPr="004A7E7E" w:rsidRDefault="00944B8F" w:rsidP="00762FA7">
            <w:pPr>
              <w:tabs>
                <w:tab w:val="clear" w:pos="562"/>
              </w:tabs>
              <w:suppressAutoHyphens w:val="0"/>
              <w:textAlignment w:val="baseline"/>
              <w:rPr>
                <w:del w:id="8044" w:author="AbbVie19" w:date="2025-04-16T10:42:00Z"/>
                <w:szCs w:val="22"/>
                <w:lang w:eastAsia="en-GB"/>
              </w:rPr>
            </w:pPr>
            <w:del w:id="8045" w:author="AbbVie19" w:date="2025-04-16T10:42:00Z">
              <w:r w:rsidRPr="004A7E7E">
                <w:rPr>
                  <w:szCs w:val="22"/>
                  <w:lang w:val="en-US" w:eastAsia="en-GB"/>
                </w:rPr>
                <w:delText>Mucosal healing in Week 8 PMS responders</w:delText>
              </w:r>
              <w:r w:rsidRPr="004A7E7E">
                <w:rPr>
                  <w:szCs w:val="22"/>
                  <w:lang w:eastAsia="en-GB"/>
                </w:rPr>
                <w:delText> </w:delText>
              </w:r>
            </w:del>
          </w:p>
        </w:tc>
        <w:tc>
          <w:tcPr>
            <w:tcW w:w="2409" w:type="dxa"/>
            <w:tcBorders>
              <w:top w:val="nil"/>
              <w:left w:val="nil"/>
              <w:bottom w:val="single" w:sz="6" w:space="0" w:color="auto"/>
              <w:right w:val="single" w:sz="6" w:space="0" w:color="auto"/>
            </w:tcBorders>
            <w:vAlign w:val="center"/>
            <w:hideMark/>
          </w:tcPr>
          <w:p w14:paraId="634800AF" w14:textId="77777777" w:rsidR="003D5A91" w:rsidRPr="004A7E7E" w:rsidRDefault="00944B8F" w:rsidP="00762FA7">
            <w:pPr>
              <w:tabs>
                <w:tab w:val="clear" w:pos="562"/>
              </w:tabs>
              <w:suppressAutoHyphens w:val="0"/>
              <w:jc w:val="center"/>
              <w:textAlignment w:val="baseline"/>
              <w:rPr>
                <w:del w:id="8046" w:author="AbbVie19" w:date="2025-04-16T10:42:00Z"/>
                <w:szCs w:val="22"/>
                <w:lang w:eastAsia="en-GB"/>
              </w:rPr>
            </w:pPr>
            <w:del w:id="8047" w:author="AbbVie19" w:date="2025-04-16T10:42:00Z">
              <w:r w:rsidRPr="004A7E7E">
                <w:rPr>
                  <w:szCs w:val="22"/>
                  <w:lang w:val="en-US" w:eastAsia="en-GB"/>
                </w:rPr>
                <w:delText>12/31 (38.7%)</w:delText>
              </w:r>
              <w:r w:rsidRPr="004A7E7E">
                <w:rPr>
                  <w:szCs w:val="22"/>
                  <w:lang w:eastAsia="en-GB"/>
                </w:rPr>
                <w:delText> </w:delText>
              </w:r>
            </w:del>
          </w:p>
        </w:tc>
        <w:tc>
          <w:tcPr>
            <w:tcW w:w="2633" w:type="dxa"/>
            <w:tcBorders>
              <w:top w:val="nil"/>
              <w:left w:val="nil"/>
              <w:bottom w:val="single" w:sz="6" w:space="0" w:color="auto"/>
              <w:right w:val="single" w:sz="6" w:space="0" w:color="auto"/>
            </w:tcBorders>
            <w:vAlign w:val="center"/>
            <w:hideMark/>
          </w:tcPr>
          <w:p w14:paraId="5C4F2518" w14:textId="77777777" w:rsidR="003D5A91" w:rsidRPr="004A7E7E" w:rsidRDefault="00944B8F" w:rsidP="00762FA7">
            <w:pPr>
              <w:tabs>
                <w:tab w:val="clear" w:pos="562"/>
              </w:tabs>
              <w:suppressAutoHyphens w:val="0"/>
              <w:jc w:val="center"/>
              <w:textAlignment w:val="baseline"/>
              <w:rPr>
                <w:del w:id="8048" w:author="AbbVie19" w:date="2025-04-16T10:42:00Z"/>
                <w:szCs w:val="22"/>
                <w:lang w:eastAsia="en-GB"/>
              </w:rPr>
            </w:pPr>
            <w:del w:id="8049" w:author="AbbVie19" w:date="2025-04-16T10:42:00Z">
              <w:r w:rsidRPr="004A7E7E">
                <w:rPr>
                  <w:szCs w:val="22"/>
                  <w:lang w:val="en-US" w:eastAsia="en-GB"/>
                </w:rPr>
                <w:delText>16/31 (51.6%)</w:delText>
              </w:r>
              <w:r w:rsidRPr="004A7E7E">
                <w:rPr>
                  <w:szCs w:val="22"/>
                  <w:lang w:eastAsia="en-GB"/>
                </w:rPr>
                <w:delText> </w:delText>
              </w:r>
            </w:del>
          </w:p>
        </w:tc>
      </w:tr>
      <w:tr w:rsidR="00C6578C" w14:paraId="3F247422" w14:textId="77777777" w:rsidTr="00420A96">
        <w:trPr>
          <w:jc w:val="center"/>
          <w:del w:id="8050" w:author="AbbVie19" w:date="2025-04-16T10:42:00Z"/>
        </w:trPr>
        <w:tc>
          <w:tcPr>
            <w:tcW w:w="2526" w:type="dxa"/>
            <w:tcBorders>
              <w:top w:val="nil"/>
              <w:left w:val="single" w:sz="6" w:space="0" w:color="auto"/>
              <w:bottom w:val="single" w:sz="6" w:space="0" w:color="auto"/>
              <w:right w:val="single" w:sz="6" w:space="0" w:color="auto"/>
            </w:tcBorders>
            <w:vAlign w:val="center"/>
            <w:hideMark/>
          </w:tcPr>
          <w:p w14:paraId="683FAB4B" w14:textId="77777777" w:rsidR="003D5A91" w:rsidRPr="004A7E7E" w:rsidRDefault="00944B8F" w:rsidP="00762FA7">
            <w:pPr>
              <w:tabs>
                <w:tab w:val="clear" w:pos="562"/>
              </w:tabs>
              <w:suppressAutoHyphens w:val="0"/>
              <w:textAlignment w:val="baseline"/>
              <w:rPr>
                <w:del w:id="8051" w:author="AbbVie19" w:date="2025-04-16T10:42:00Z"/>
                <w:szCs w:val="22"/>
                <w:lang w:eastAsia="en-GB"/>
              </w:rPr>
            </w:pPr>
            <w:del w:id="8052" w:author="AbbVie19" w:date="2025-04-16T10:42:00Z">
              <w:r w:rsidRPr="004A7E7E">
                <w:rPr>
                  <w:szCs w:val="22"/>
                  <w:lang w:val="en-US" w:eastAsia="en-GB"/>
                </w:rPr>
                <w:delText>Clinical remission in Week 8 PMS remitters</w:delText>
              </w:r>
              <w:r w:rsidRPr="004A7E7E">
                <w:rPr>
                  <w:szCs w:val="22"/>
                  <w:lang w:eastAsia="en-GB"/>
                </w:rPr>
                <w:delText> </w:delText>
              </w:r>
            </w:del>
          </w:p>
        </w:tc>
        <w:tc>
          <w:tcPr>
            <w:tcW w:w="2409" w:type="dxa"/>
            <w:tcBorders>
              <w:top w:val="nil"/>
              <w:left w:val="nil"/>
              <w:bottom w:val="single" w:sz="6" w:space="0" w:color="auto"/>
              <w:right w:val="single" w:sz="6" w:space="0" w:color="auto"/>
            </w:tcBorders>
            <w:vAlign w:val="center"/>
            <w:hideMark/>
          </w:tcPr>
          <w:p w14:paraId="6D9B5C85" w14:textId="77777777" w:rsidR="003D5A91" w:rsidRPr="004A7E7E" w:rsidRDefault="00944B8F" w:rsidP="00762FA7">
            <w:pPr>
              <w:tabs>
                <w:tab w:val="clear" w:pos="562"/>
              </w:tabs>
              <w:suppressAutoHyphens w:val="0"/>
              <w:jc w:val="center"/>
              <w:textAlignment w:val="baseline"/>
              <w:rPr>
                <w:del w:id="8053" w:author="AbbVie19" w:date="2025-04-16T10:42:00Z"/>
                <w:szCs w:val="22"/>
                <w:lang w:eastAsia="en-GB"/>
              </w:rPr>
            </w:pPr>
            <w:del w:id="8054" w:author="AbbVie19" w:date="2025-04-16T10:42:00Z">
              <w:r w:rsidRPr="004A7E7E">
                <w:rPr>
                  <w:szCs w:val="22"/>
                  <w:lang w:val="en-US" w:eastAsia="en-GB"/>
                </w:rPr>
                <w:delText>9/21 (42.9%)</w:delText>
              </w:r>
              <w:r w:rsidRPr="004A7E7E">
                <w:rPr>
                  <w:szCs w:val="22"/>
                  <w:lang w:eastAsia="en-GB"/>
                </w:rPr>
                <w:delText> </w:delText>
              </w:r>
            </w:del>
          </w:p>
        </w:tc>
        <w:tc>
          <w:tcPr>
            <w:tcW w:w="2633" w:type="dxa"/>
            <w:tcBorders>
              <w:top w:val="nil"/>
              <w:left w:val="nil"/>
              <w:bottom w:val="single" w:sz="6" w:space="0" w:color="auto"/>
              <w:right w:val="single" w:sz="6" w:space="0" w:color="auto"/>
            </w:tcBorders>
            <w:vAlign w:val="center"/>
            <w:hideMark/>
          </w:tcPr>
          <w:p w14:paraId="7C395951" w14:textId="77777777" w:rsidR="003D5A91" w:rsidRPr="004A7E7E" w:rsidRDefault="00944B8F" w:rsidP="00762FA7">
            <w:pPr>
              <w:tabs>
                <w:tab w:val="clear" w:pos="562"/>
              </w:tabs>
              <w:suppressAutoHyphens w:val="0"/>
              <w:jc w:val="center"/>
              <w:textAlignment w:val="baseline"/>
              <w:rPr>
                <w:del w:id="8055" w:author="AbbVie19" w:date="2025-04-16T10:42:00Z"/>
                <w:szCs w:val="22"/>
                <w:lang w:eastAsia="en-GB"/>
              </w:rPr>
            </w:pPr>
            <w:del w:id="8056" w:author="AbbVie19" w:date="2025-04-16T10:42:00Z">
              <w:r w:rsidRPr="004A7E7E">
                <w:rPr>
                  <w:szCs w:val="22"/>
                  <w:lang w:val="en-US" w:eastAsia="en-GB"/>
                </w:rPr>
                <w:delText>10/22 (45.5%)</w:delText>
              </w:r>
              <w:r w:rsidRPr="004A7E7E">
                <w:rPr>
                  <w:szCs w:val="22"/>
                  <w:lang w:eastAsia="en-GB"/>
                </w:rPr>
                <w:delText> </w:delText>
              </w:r>
            </w:del>
          </w:p>
        </w:tc>
      </w:tr>
      <w:tr w:rsidR="00C6578C" w14:paraId="4BE326F1" w14:textId="77777777" w:rsidTr="00420A96">
        <w:trPr>
          <w:jc w:val="center"/>
          <w:del w:id="8057" w:author="AbbVie19" w:date="2025-04-16T10:42:00Z"/>
        </w:trPr>
        <w:tc>
          <w:tcPr>
            <w:tcW w:w="2526" w:type="dxa"/>
            <w:tcBorders>
              <w:top w:val="nil"/>
              <w:left w:val="single" w:sz="6" w:space="0" w:color="auto"/>
              <w:bottom w:val="single" w:sz="6" w:space="0" w:color="auto"/>
              <w:right w:val="single" w:sz="6" w:space="0" w:color="auto"/>
            </w:tcBorders>
            <w:vAlign w:val="center"/>
            <w:hideMark/>
          </w:tcPr>
          <w:p w14:paraId="748811FE" w14:textId="77777777" w:rsidR="003D5A91" w:rsidRPr="004A7E7E" w:rsidRDefault="00944B8F" w:rsidP="00762FA7">
            <w:pPr>
              <w:tabs>
                <w:tab w:val="clear" w:pos="562"/>
              </w:tabs>
              <w:suppressAutoHyphens w:val="0"/>
              <w:textAlignment w:val="baseline"/>
              <w:rPr>
                <w:del w:id="8058" w:author="AbbVie19" w:date="2025-04-16T10:42:00Z"/>
                <w:szCs w:val="22"/>
                <w:lang w:eastAsia="en-GB"/>
              </w:rPr>
            </w:pPr>
            <w:del w:id="8059" w:author="AbbVie19" w:date="2025-04-16T10:42:00Z">
              <w:r w:rsidRPr="004A7E7E">
                <w:rPr>
                  <w:szCs w:val="22"/>
                  <w:lang w:val="en-US" w:eastAsia="en-GB"/>
                </w:rPr>
                <w:delText>Corticosteroid-free remission in Week 8 PMS responders</w:delText>
              </w:r>
              <w:r>
                <w:rPr>
                  <w:szCs w:val="22"/>
                  <w:vertAlign w:val="superscript"/>
                  <w:lang w:val="en-US" w:eastAsia="en-GB"/>
                </w:rPr>
                <w:delText>c</w:delText>
              </w:r>
              <w:r w:rsidRPr="004A7E7E">
                <w:rPr>
                  <w:szCs w:val="22"/>
                  <w:lang w:eastAsia="en-GB"/>
                </w:rPr>
                <w:delText> </w:delText>
              </w:r>
            </w:del>
          </w:p>
        </w:tc>
        <w:tc>
          <w:tcPr>
            <w:tcW w:w="2409" w:type="dxa"/>
            <w:tcBorders>
              <w:top w:val="nil"/>
              <w:left w:val="nil"/>
              <w:bottom w:val="single" w:sz="6" w:space="0" w:color="auto"/>
              <w:right w:val="single" w:sz="6" w:space="0" w:color="auto"/>
            </w:tcBorders>
            <w:vAlign w:val="center"/>
            <w:hideMark/>
          </w:tcPr>
          <w:p w14:paraId="23272EB8" w14:textId="77777777" w:rsidR="003D5A91" w:rsidRPr="004A7E7E" w:rsidRDefault="00944B8F" w:rsidP="00762FA7">
            <w:pPr>
              <w:tabs>
                <w:tab w:val="clear" w:pos="562"/>
              </w:tabs>
              <w:suppressAutoHyphens w:val="0"/>
              <w:jc w:val="center"/>
              <w:textAlignment w:val="baseline"/>
              <w:rPr>
                <w:del w:id="8060" w:author="AbbVie19" w:date="2025-04-16T10:42:00Z"/>
                <w:szCs w:val="22"/>
                <w:lang w:eastAsia="en-GB"/>
              </w:rPr>
            </w:pPr>
            <w:del w:id="8061" w:author="AbbVie19" w:date="2025-04-16T10:42:00Z">
              <w:r w:rsidRPr="004A7E7E">
                <w:rPr>
                  <w:szCs w:val="22"/>
                  <w:lang w:val="en-US" w:eastAsia="en-GB"/>
                </w:rPr>
                <w:delText>4/13 (30.8%)</w:delText>
              </w:r>
              <w:r w:rsidRPr="004A7E7E">
                <w:rPr>
                  <w:szCs w:val="22"/>
                  <w:lang w:eastAsia="en-GB"/>
                </w:rPr>
                <w:delText> </w:delText>
              </w:r>
            </w:del>
          </w:p>
        </w:tc>
        <w:tc>
          <w:tcPr>
            <w:tcW w:w="2633" w:type="dxa"/>
            <w:tcBorders>
              <w:top w:val="nil"/>
              <w:left w:val="nil"/>
              <w:bottom w:val="single" w:sz="6" w:space="0" w:color="auto"/>
              <w:right w:val="single" w:sz="6" w:space="0" w:color="auto"/>
            </w:tcBorders>
            <w:vAlign w:val="center"/>
            <w:hideMark/>
          </w:tcPr>
          <w:p w14:paraId="3137FC9F" w14:textId="77777777" w:rsidR="003D5A91" w:rsidRPr="004A7E7E" w:rsidRDefault="00944B8F" w:rsidP="00762FA7">
            <w:pPr>
              <w:tabs>
                <w:tab w:val="clear" w:pos="562"/>
              </w:tabs>
              <w:suppressAutoHyphens w:val="0"/>
              <w:jc w:val="center"/>
              <w:textAlignment w:val="baseline"/>
              <w:rPr>
                <w:del w:id="8062" w:author="AbbVie19" w:date="2025-04-16T10:42:00Z"/>
                <w:szCs w:val="22"/>
                <w:lang w:eastAsia="en-GB"/>
              </w:rPr>
            </w:pPr>
            <w:del w:id="8063" w:author="AbbVie19" w:date="2025-04-16T10:42:00Z">
              <w:r w:rsidRPr="004A7E7E">
                <w:rPr>
                  <w:szCs w:val="22"/>
                  <w:lang w:val="en-US" w:eastAsia="en-GB"/>
                </w:rPr>
                <w:delText>5/16 (31.3%)</w:delText>
              </w:r>
              <w:r w:rsidRPr="004A7E7E">
                <w:rPr>
                  <w:szCs w:val="22"/>
                  <w:lang w:eastAsia="en-GB"/>
                </w:rPr>
                <w:delText> </w:delText>
              </w:r>
            </w:del>
          </w:p>
        </w:tc>
      </w:tr>
      <w:tr w:rsidR="00C6578C" w14:paraId="523A4CDF" w14:textId="77777777" w:rsidTr="00420A96">
        <w:trPr>
          <w:jc w:val="center"/>
          <w:del w:id="8064" w:author="AbbVie19" w:date="2025-04-16T10:42:00Z"/>
        </w:trPr>
        <w:tc>
          <w:tcPr>
            <w:tcW w:w="7568" w:type="dxa"/>
            <w:gridSpan w:val="3"/>
            <w:tcBorders>
              <w:top w:val="nil"/>
              <w:left w:val="single" w:sz="6" w:space="0" w:color="auto"/>
              <w:bottom w:val="single" w:sz="6" w:space="0" w:color="auto"/>
              <w:right w:val="single" w:sz="6" w:space="0" w:color="auto"/>
            </w:tcBorders>
            <w:hideMark/>
          </w:tcPr>
          <w:p w14:paraId="6459DAD1" w14:textId="77777777" w:rsidR="003D5A91" w:rsidRPr="004A7E7E" w:rsidRDefault="00944B8F" w:rsidP="00762FA7">
            <w:pPr>
              <w:tabs>
                <w:tab w:val="clear" w:pos="562"/>
              </w:tabs>
              <w:suppressAutoHyphens w:val="0"/>
              <w:textAlignment w:val="baseline"/>
              <w:rPr>
                <w:del w:id="8065" w:author="AbbVie19" w:date="2025-04-16T10:42:00Z"/>
                <w:szCs w:val="22"/>
                <w:lang w:eastAsia="en-GB"/>
              </w:rPr>
            </w:pPr>
            <w:del w:id="8066" w:author="AbbVie19" w:date="2025-04-16T10:42:00Z">
              <w:r w:rsidRPr="004A7E7E">
                <w:rPr>
                  <w:szCs w:val="22"/>
                  <w:vertAlign w:val="superscript"/>
                  <w:lang w:val="en-US" w:eastAsia="en-GB"/>
                </w:rPr>
                <w:delText>a </w:delText>
              </w:r>
              <w:r w:rsidRPr="004A7E7E">
                <w:rPr>
                  <w:szCs w:val="22"/>
                  <w:lang w:val="en-US" w:eastAsia="en-GB"/>
                </w:rPr>
                <w:delText>Humira 0.6 mg/kg (maximum of 40 mg) every other week</w:delText>
              </w:r>
              <w:r w:rsidRPr="004A7E7E">
                <w:rPr>
                  <w:szCs w:val="22"/>
                  <w:lang w:eastAsia="en-GB"/>
                </w:rPr>
                <w:delText> </w:delText>
              </w:r>
            </w:del>
          </w:p>
          <w:p w14:paraId="662C7A03" w14:textId="77777777" w:rsidR="003D5A91" w:rsidRPr="004A7E7E" w:rsidRDefault="00944B8F" w:rsidP="00762FA7">
            <w:pPr>
              <w:tabs>
                <w:tab w:val="clear" w:pos="562"/>
              </w:tabs>
              <w:suppressAutoHyphens w:val="0"/>
              <w:textAlignment w:val="baseline"/>
              <w:rPr>
                <w:del w:id="8067" w:author="AbbVie19" w:date="2025-04-16T10:42:00Z"/>
                <w:szCs w:val="22"/>
                <w:lang w:eastAsia="en-GB"/>
              </w:rPr>
            </w:pPr>
            <w:del w:id="8068" w:author="AbbVie19" w:date="2025-04-16T10:42:00Z">
              <w:r w:rsidRPr="004A7E7E">
                <w:rPr>
                  <w:szCs w:val="22"/>
                  <w:vertAlign w:val="superscript"/>
                  <w:lang w:val="en-US" w:eastAsia="en-GB"/>
                </w:rPr>
                <w:delText>b </w:delText>
              </w:r>
              <w:r w:rsidRPr="004A7E7E">
                <w:rPr>
                  <w:szCs w:val="22"/>
                  <w:lang w:val="en-US" w:eastAsia="en-GB"/>
                </w:rPr>
                <w:delText>Humira 0.6 mg/kg (maximum of 40 mg) every week</w:delText>
              </w:r>
              <w:r w:rsidRPr="004A7E7E">
                <w:rPr>
                  <w:szCs w:val="22"/>
                  <w:lang w:eastAsia="en-GB"/>
                </w:rPr>
                <w:delText> </w:delText>
              </w:r>
            </w:del>
          </w:p>
          <w:p w14:paraId="5351A91E" w14:textId="77777777" w:rsidR="003D5A91" w:rsidRPr="004A7E7E" w:rsidRDefault="00944B8F" w:rsidP="00762FA7">
            <w:pPr>
              <w:tabs>
                <w:tab w:val="clear" w:pos="562"/>
              </w:tabs>
              <w:suppressAutoHyphens w:val="0"/>
              <w:textAlignment w:val="baseline"/>
              <w:rPr>
                <w:del w:id="8069" w:author="AbbVie19" w:date="2025-04-16T10:42:00Z"/>
                <w:szCs w:val="22"/>
                <w:lang w:eastAsia="en-GB"/>
              </w:rPr>
            </w:pPr>
            <w:del w:id="8070" w:author="AbbVie19" w:date="2025-04-16T10:42:00Z">
              <w:r>
                <w:rPr>
                  <w:szCs w:val="22"/>
                  <w:vertAlign w:val="superscript"/>
                  <w:lang w:val="en-US" w:eastAsia="en-GB"/>
                </w:rPr>
                <w:delText>c</w:delText>
              </w:r>
              <w:r w:rsidRPr="004A7E7E">
                <w:rPr>
                  <w:szCs w:val="22"/>
                  <w:lang w:val="en-US" w:eastAsia="en-GB"/>
                </w:rPr>
                <w:delText> In patients receiving concomitant corticosteroids at baseline</w:delText>
              </w:r>
              <w:r w:rsidRPr="004A7E7E">
                <w:rPr>
                  <w:szCs w:val="22"/>
                  <w:lang w:eastAsia="en-GB"/>
                </w:rPr>
                <w:delText> </w:delText>
              </w:r>
            </w:del>
          </w:p>
          <w:p w14:paraId="7ED1D08A" w14:textId="77777777" w:rsidR="003D5A91" w:rsidRPr="004A7E7E" w:rsidRDefault="00944B8F" w:rsidP="00762FA7">
            <w:pPr>
              <w:tabs>
                <w:tab w:val="clear" w:pos="562"/>
              </w:tabs>
              <w:suppressAutoHyphens w:val="0"/>
              <w:textAlignment w:val="baseline"/>
              <w:rPr>
                <w:del w:id="8071" w:author="AbbVie19" w:date="2025-04-16T10:42:00Z"/>
                <w:szCs w:val="22"/>
                <w:lang w:eastAsia="en-GB"/>
              </w:rPr>
            </w:pPr>
            <w:del w:id="8072" w:author="AbbVie19" w:date="2025-04-16T10:42:00Z">
              <w:r w:rsidRPr="004A7E7E">
                <w:rPr>
                  <w:szCs w:val="22"/>
                  <w:lang w:val="en-US" w:eastAsia="en-GB"/>
                </w:rPr>
                <w:delText>Note: Patients with missing values at Week 52 or who were randomized to receive re-induction or maintenance treatment were considered non-responders for Week 52 endpoints</w:delText>
              </w:r>
              <w:r w:rsidRPr="004A7E7E">
                <w:rPr>
                  <w:szCs w:val="22"/>
                  <w:lang w:eastAsia="en-GB"/>
                </w:rPr>
                <w:delText> </w:delText>
              </w:r>
            </w:del>
          </w:p>
        </w:tc>
      </w:tr>
      <w:bookmarkEnd w:id="8016"/>
    </w:tbl>
    <w:p w14:paraId="21A3E1E7" w14:textId="77777777" w:rsidR="00630394" w:rsidRDefault="00630394" w:rsidP="00762FA7">
      <w:pPr>
        <w:rPr>
          <w:del w:id="8073" w:author="AbbVie19" w:date="2025-04-16T10:42:00Z"/>
        </w:rPr>
      </w:pPr>
    </w:p>
    <w:p w14:paraId="271E1B0F" w14:textId="77777777" w:rsidR="005201C2" w:rsidRDefault="00944B8F" w:rsidP="00762FA7">
      <w:pPr>
        <w:rPr>
          <w:del w:id="8074" w:author="AbbVie19" w:date="2025-04-16T10:42:00Z"/>
        </w:rPr>
      </w:pPr>
      <w:del w:id="8075" w:author="AbbVie19" w:date="2025-04-16T10:42:00Z">
        <w:r>
          <w:delText xml:space="preserve">Additional exploratory efficacy endpoints included clinical response per the Paediatric Ulcerative Colitis Activity Index (PUCAI) (defined as a decrease in PUCAI ≥ 20 points from Baseline) and clinical remission per PUCAI (defined as PUCAI &lt; 10) at Week 8 and Week 52 (Table 33). </w:delText>
        </w:r>
      </w:del>
    </w:p>
    <w:p w14:paraId="4900D482" w14:textId="77777777" w:rsidR="00301F8D" w:rsidRDefault="00301F8D" w:rsidP="00762FA7">
      <w:pPr>
        <w:rPr>
          <w:del w:id="8076" w:author="AbbVie19" w:date="2025-04-16T10:42:00Z"/>
        </w:rPr>
      </w:pPr>
    </w:p>
    <w:tbl>
      <w:tblPr>
        <w:tblW w:w="8262" w:type="dxa"/>
        <w:tblCellMar>
          <w:left w:w="0" w:type="dxa"/>
          <w:right w:w="0" w:type="dxa"/>
        </w:tblCellMar>
        <w:tblLook w:val="04A0" w:firstRow="1" w:lastRow="0" w:firstColumn="1" w:lastColumn="0" w:noHBand="0" w:noVBand="1"/>
      </w:tblPr>
      <w:tblGrid>
        <w:gridCol w:w="2934"/>
        <w:gridCol w:w="2898"/>
        <w:gridCol w:w="2430"/>
      </w:tblGrid>
      <w:tr w:rsidR="00C6578C" w14:paraId="5BA25DD7" w14:textId="77777777" w:rsidTr="0065221F">
        <w:trPr>
          <w:trHeight w:val="60"/>
          <w:del w:id="8077" w:author="AbbVie19" w:date="2025-04-16T10:42:00Z"/>
        </w:trPr>
        <w:tc>
          <w:tcPr>
            <w:tcW w:w="8262" w:type="dxa"/>
            <w:gridSpan w:val="3"/>
            <w:tcMar>
              <w:top w:w="0" w:type="dxa"/>
              <w:left w:w="108" w:type="dxa"/>
              <w:bottom w:w="0" w:type="dxa"/>
              <w:right w:w="108" w:type="dxa"/>
            </w:tcMar>
          </w:tcPr>
          <w:p w14:paraId="3FE552B2" w14:textId="77777777" w:rsidR="005874C5" w:rsidRPr="00AA54F8" w:rsidRDefault="00944B8F" w:rsidP="00762FA7">
            <w:pPr>
              <w:keepNext/>
              <w:jc w:val="center"/>
              <w:rPr>
                <w:del w:id="8078" w:author="AbbVie19" w:date="2025-04-16T10:42:00Z"/>
                <w:b/>
                <w:bCs/>
              </w:rPr>
            </w:pPr>
            <w:del w:id="8079" w:author="AbbVie19" w:date="2025-04-16T10:42:00Z">
              <w:r w:rsidRPr="00AA54F8">
                <w:rPr>
                  <w:b/>
                  <w:bCs/>
                </w:rPr>
                <w:lastRenderedPageBreak/>
                <w:delText xml:space="preserve">Table </w:delText>
              </w:r>
              <w:r>
                <w:rPr>
                  <w:b/>
                  <w:bCs/>
                </w:rPr>
                <w:delText>33</w:delText>
              </w:r>
              <w:r w:rsidRPr="00AA54F8">
                <w:rPr>
                  <w:b/>
                  <w:bCs/>
                </w:rPr>
                <w:delText xml:space="preserve">: </w:delText>
              </w:r>
              <w:r>
                <w:rPr>
                  <w:b/>
                  <w:bCs/>
                </w:rPr>
                <w:delText>Exploratory Endpoints Results per PUCAI</w:delText>
              </w:r>
            </w:del>
          </w:p>
        </w:tc>
      </w:tr>
      <w:tr w:rsidR="00C6578C" w14:paraId="20A05A4A" w14:textId="77777777" w:rsidTr="0065221F">
        <w:trPr>
          <w:trHeight w:val="265"/>
          <w:del w:id="8080" w:author="AbbVie19" w:date="2025-04-16T10:42:00Z"/>
        </w:trPr>
        <w:tc>
          <w:tcPr>
            <w:tcW w:w="2934" w:type="dxa"/>
            <w:vMerge w:val="restart"/>
            <w:tcBorders>
              <w:top w:val="single" w:sz="4" w:space="0" w:color="auto"/>
              <w:left w:val="single" w:sz="8" w:space="0" w:color="auto"/>
              <w:right w:val="single" w:sz="4" w:space="0" w:color="auto"/>
            </w:tcBorders>
            <w:tcMar>
              <w:top w:w="0" w:type="dxa"/>
              <w:left w:w="108" w:type="dxa"/>
              <w:bottom w:w="0" w:type="dxa"/>
              <w:right w:w="108" w:type="dxa"/>
            </w:tcMar>
          </w:tcPr>
          <w:p w14:paraId="7EF6DF83" w14:textId="77777777" w:rsidR="005874C5" w:rsidRPr="00490445" w:rsidRDefault="005874C5" w:rsidP="00762FA7">
            <w:pPr>
              <w:keepNext/>
              <w:rPr>
                <w:del w:id="8081" w:author="AbbVie19" w:date="2025-04-16T10:42:00Z"/>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E99FB2" w14:textId="77777777" w:rsidR="005874C5" w:rsidRPr="00490445" w:rsidRDefault="00944B8F" w:rsidP="00762FA7">
            <w:pPr>
              <w:keepNext/>
              <w:jc w:val="center"/>
              <w:rPr>
                <w:del w:id="8082" w:author="AbbVie19" w:date="2025-04-16T10:42:00Z"/>
                <w:b/>
                <w:bCs/>
              </w:rPr>
            </w:pPr>
            <w:del w:id="8083" w:author="AbbVie19" w:date="2025-04-16T10:42:00Z">
              <w:r>
                <w:rPr>
                  <w:b/>
                  <w:bCs/>
                </w:rPr>
                <w:delText>Week 8</w:delText>
              </w:r>
            </w:del>
          </w:p>
        </w:tc>
      </w:tr>
      <w:tr w:rsidR="00C6578C" w14:paraId="2EFFE945" w14:textId="77777777" w:rsidTr="0065221F">
        <w:trPr>
          <w:trHeight w:val="1042"/>
          <w:del w:id="8084" w:author="AbbVie19" w:date="2025-04-16T10:42:00Z"/>
        </w:trPr>
        <w:tc>
          <w:tcPr>
            <w:tcW w:w="293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42B48E91" w14:textId="77777777" w:rsidR="005874C5" w:rsidRPr="00490445" w:rsidRDefault="005874C5" w:rsidP="00762FA7">
            <w:pPr>
              <w:keepNext/>
              <w:rPr>
                <w:del w:id="8085" w:author="AbbVie19" w:date="2025-04-16T10:42:00Z"/>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CE27AB" w14:textId="77777777" w:rsidR="005874C5" w:rsidRPr="00490445" w:rsidRDefault="00944B8F" w:rsidP="00762FA7">
            <w:pPr>
              <w:keepNext/>
              <w:jc w:val="center"/>
              <w:rPr>
                <w:del w:id="8086" w:author="AbbVie19" w:date="2025-04-16T10:42:00Z"/>
                <w:b/>
                <w:bCs/>
                <w:vertAlign w:val="superscript"/>
              </w:rPr>
            </w:pPr>
            <w:del w:id="8087" w:author="AbbVie19" w:date="2025-04-16T10:42:00Z">
              <w:r w:rsidRPr="00490445">
                <w:rPr>
                  <w:b/>
                  <w:bCs/>
                </w:rPr>
                <w:delText>Humira</w:delText>
              </w:r>
              <w:r w:rsidRPr="00490445">
                <w:rPr>
                  <w:b/>
                  <w:bCs/>
                  <w:vertAlign w:val="superscript"/>
                </w:rPr>
                <w:delText>a</w:delText>
              </w:r>
            </w:del>
          </w:p>
          <w:p w14:paraId="36D4A08A" w14:textId="77777777" w:rsidR="005874C5" w:rsidRDefault="00944B8F" w:rsidP="00762FA7">
            <w:pPr>
              <w:keepNext/>
              <w:jc w:val="center"/>
              <w:rPr>
                <w:del w:id="8088" w:author="AbbVie19" w:date="2025-04-16T10:42:00Z"/>
                <w:b/>
                <w:bCs/>
              </w:rPr>
            </w:pPr>
            <w:del w:id="8089" w:author="AbbVie19" w:date="2025-04-16T10:42:00Z">
              <w:r w:rsidRPr="00490445">
                <w:rPr>
                  <w:b/>
                  <w:bCs/>
                </w:rPr>
                <w:delText>Maximum of 160 mg at Week 0 / Placebo at Week 1</w:delText>
              </w:r>
            </w:del>
          </w:p>
          <w:p w14:paraId="161FAAAC" w14:textId="77777777" w:rsidR="005874C5" w:rsidRPr="00262C88" w:rsidRDefault="00944B8F" w:rsidP="00762FA7">
            <w:pPr>
              <w:keepNext/>
              <w:jc w:val="center"/>
              <w:rPr>
                <w:del w:id="8090" w:author="AbbVie19" w:date="2025-04-16T10:42:00Z"/>
              </w:rPr>
            </w:pPr>
            <w:del w:id="8091" w:author="AbbVie19" w:date="2025-04-16T10:42:00Z">
              <w:r w:rsidRPr="00262C88">
                <w:delText>N=30</w:delText>
              </w:r>
            </w:del>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E34879" w14:textId="77777777" w:rsidR="005874C5" w:rsidRPr="00490445" w:rsidRDefault="00944B8F" w:rsidP="00762FA7">
            <w:pPr>
              <w:keepNext/>
              <w:jc w:val="center"/>
              <w:rPr>
                <w:del w:id="8092" w:author="AbbVie19" w:date="2025-04-16T10:42:00Z"/>
                <w:b/>
                <w:bCs/>
                <w:vertAlign w:val="superscript"/>
              </w:rPr>
            </w:pPr>
            <w:del w:id="8093" w:author="AbbVie19" w:date="2025-04-16T10:42:00Z">
              <w:r w:rsidRPr="00490445">
                <w:rPr>
                  <w:b/>
                  <w:bCs/>
                </w:rPr>
                <w:delText>Humira</w:delText>
              </w:r>
              <w:r w:rsidRPr="00490445">
                <w:rPr>
                  <w:b/>
                  <w:bCs/>
                  <w:vertAlign w:val="superscript"/>
                </w:rPr>
                <w:delText>b</w:delText>
              </w:r>
              <w:r>
                <w:rPr>
                  <w:b/>
                  <w:bCs/>
                  <w:vertAlign w:val="superscript"/>
                </w:rPr>
                <w:delText>,c</w:delText>
              </w:r>
            </w:del>
          </w:p>
          <w:p w14:paraId="45602871" w14:textId="77777777" w:rsidR="005874C5" w:rsidRDefault="00944B8F" w:rsidP="00762FA7">
            <w:pPr>
              <w:keepNext/>
              <w:jc w:val="center"/>
              <w:rPr>
                <w:del w:id="8094" w:author="AbbVie19" w:date="2025-04-16T10:42:00Z"/>
                <w:b/>
                <w:bCs/>
              </w:rPr>
            </w:pPr>
            <w:del w:id="8095" w:author="AbbVie19" w:date="2025-04-16T10:42:00Z">
              <w:r w:rsidRPr="00490445">
                <w:rPr>
                  <w:b/>
                  <w:bCs/>
                </w:rPr>
                <w:delText>Maximum of 160 mg at Week 0 and Week 1</w:delText>
              </w:r>
            </w:del>
          </w:p>
          <w:p w14:paraId="14FC52C4" w14:textId="77777777" w:rsidR="005874C5" w:rsidRPr="00262C88" w:rsidRDefault="00944B8F" w:rsidP="00762FA7">
            <w:pPr>
              <w:keepNext/>
              <w:jc w:val="center"/>
              <w:rPr>
                <w:del w:id="8096" w:author="AbbVie19" w:date="2025-04-16T10:42:00Z"/>
              </w:rPr>
            </w:pPr>
            <w:del w:id="8097" w:author="AbbVie19" w:date="2025-04-16T10:42:00Z">
              <w:r w:rsidRPr="00262C88">
                <w:delText>N=47</w:delText>
              </w:r>
            </w:del>
          </w:p>
        </w:tc>
      </w:tr>
      <w:tr w:rsidR="00C6578C" w14:paraId="074ED0BF" w14:textId="77777777" w:rsidTr="0065221F">
        <w:trPr>
          <w:trHeight w:val="202"/>
          <w:del w:id="8098" w:author="AbbVie19" w:date="2025-04-16T10:42:00Z"/>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A4BB28" w14:textId="77777777" w:rsidR="005874C5" w:rsidRPr="00490445" w:rsidRDefault="00944B8F" w:rsidP="00762FA7">
            <w:pPr>
              <w:keepNext/>
              <w:rPr>
                <w:del w:id="8099" w:author="AbbVie19" w:date="2025-04-16T10:42:00Z"/>
              </w:rPr>
            </w:pPr>
            <w:del w:id="8100" w:author="AbbVie19" w:date="2025-04-16T10:42:00Z">
              <w:r w:rsidRPr="00490445">
                <w:delText>Clinical remission per PUCAI</w:delText>
              </w:r>
            </w:del>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0CACC520" w14:textId="77777777" w:rsidR="005874C5" w:rsidRPr="00490445" w:rsidRDefault="00944B8F" w:rsidP="00762FA7">
            <w:pPr>
              <w:keepNext/>
              <w:jc w:val="center"/>
              <w:rPr>
                <w:del w:id="8101" w:author="AbbVie19" w:date="2025-04-16T10:42:00Z"/>
              </w:rPr>
            </w:pPr>
            <w:del w:id="8102" w:author="AbbVie19" w:date="2025-04-16T10:42:00Z">
              <w:r w:rsidRPr="00490445">
                <w:delText>10/30 (33.3%)</w:delText>
              </w:r>
            </w:del>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5B131D10" w14:textId="77777777" w:rsidR="005874C5" w:rsidRPr="00490445" w:rsidRDefault="00944B8F" w:rsidP="00762FA7">
            <w:pPr>
              <w:keepNext/>
              <w:jc w:val="center"/>
              <w:rPr>
                <w:del w:id="8103" w:author="AbbVie19" w:date="2025-04-16T10:42:00Z"/>
              </w:rPr>
            </w:pPr>
            <w:del w:id="8104" w:author="AbbVie19" w:date="2025-04-16T10:42:00Z">
              <w:r w:rsidRPr="00490445">
                <w:delText>22/47 (46.8%)</w:delText>
              </w:r>
            </w:del>
          </w:p>
        </w:tc>
      </w:tr>
      <w:tr w:rsidR="00C6578C" w14:paraId="269F0BC3" w14:textId="77777777" w:rsidTr="0065221F">
        <w:trPr>
          <w:trHeight w:val="238"/>
          <w:del w:id="8105" w:author="AbbVie19" w:date="2025-04-16T10:42: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5AAF25F" w14:textId="77777777" w:rsidR="005874C5" w:rsidRPr="00490445" w:rsidRDefault="00944B8F" w:rsidP="00762FA7">
            <w:pPr>
              <w:keepNext/>
              <w:rPr>
                <w:del w:id="8106" w:author="AbbVie19" w:date="2025-04-16T10:42:00Z"/>
              </w:rPr>
            </w:pPr>
            <w:del w:id="8107" w:author="AbbVie19" w:date="2025-04-16T10:42:00Z">
              <w:r w:rsidRPr="00490445">
                <w:delText>Clinical response per PUCAI</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3A210F30" w14:textId="77777777" w:rsidR="005874C5" w:rsidRPr="00490445" w:rsidRDefault="00944B8F" w:rsidP="00762FA7">
            <w:pPr>
              <w:keepNext/>
              <w:jc w:val="center"/>
              <w:rPr>
                <w:del w:id="8108" w:author="AbbVie19" w:date="2025-04-16T10:42:00Z"/>
              </w:rPr>
            </w:pPr>
            <w:del w:id="8109" w:author="AbbVie19" w:date="2025-04-16T10:42:00Z">
              <w:r w:rsidRPr="00490445">
                <w:delText>15/30 (50.0%)</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215074D6" w14:textId="77777777" w:rsidR="005874C5" w:rsidRPr="00490445" w:rsidRDefault="00944B8F" w:rsidP="00762FA7">
            <w:pPr>
              <w:keepNext/>
              <w:jc w:val="center"/>
              <w:rPr>
                <w:del w:id="8110" w:author="AbbVie19" w:date="2025-04-16T10:42:00Z"/>
              </w:rPr>
            </w:pPr>
            <w:del w:id="8111" w:author="AbbVie19" w:date="2025-04-16T10:42:00Z">
              <w:r w:rsidRPr="00490445">
                <w:delText>32/47 (68.1%)</w:delText>
              </w:r>
            </w:del>
          </w:p>
        </w:tc>
      </w:tr>
      <w:tr w:rsidR="00C6578C" w14:paraId="070FF72C" w14:textId="77777777" w:rsidTr="0065221F">
        <w:trPr>
          <w:trHeight w:val="238"/>
          <w:del w:id="8112" w:author="AbbVie19" w:date="2025-04-16T10:42:00Z"/>
        </w:trPr>
        <w:tc>
          <w:tcPr>
            <w:tcW w:w="2934" w:type="dxa"/>
            <w:vMerge w:val="restart"/>
            <w:tcBorders>
              <w:top w:val="nil"/>
              <w:left w:val="single" w:sz="8" w:space="0" w:color="auto"/>
              <w:right w:val="single" w:sz="8" w:space="0" w:color="auto"/>
            </w:tcBorders>
            <w:tcMar>
              <w:top w:w="0" w:type="dxa"/>
              <w:left w:w="108" w:type="dxa"/>
              <w:bottom w:w="0" w:type="dxa"/>
              <w:right w:w="108" w:type="dxa"/>
            </w:tcMar>
          </w:tcPr>
          <w:p w14:paraId="3E92FF66" w14:textId="77777777" w:rsidR="005874C5" w:rsidRPr="00490445" w:rsidRDefault="005874C5" w:rsidP="00762FA7">
            <w:pPr>
              <w:keepNext/>
              <w:rPr>
                <w:del w:id="8113" w:author="AbbVie19" w:date="2025-04-16T10:42:00Z"/>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tcPr>
          <w:p w14:paraId="285CB171" w14:textId="77777777" w:rsidR="005874C5" w:rsidRPr="00FD6CBD" w:rsidRDefault="00944B8F" w:rsidP="00762FA7">
            <w:pPr>
              <w:keepNext/>
              <w:jc w:val="center"/>
              <w:rPr>
                <w:del w:id="8114" w:author="AbbVie19" w:date="2025-04-16T10:42:00Z"/>
                <w:b/>
                <w:bCs/>
              </w:rPr>
            </w:pPr>
            <w:del w:id="8115" w:author="AbbVie19" w:date="2025-04-16T10:42:00Z">
              <w:r>
                <w:rPr>
                  <w:b/>
                  <w:bCs/>
                </w:rPr>
                <w:delText>Week 52</w:delText>
              </w:r>
            </w:del>
          </w:p>
        </w:tc>
      </w:tr>
      <w:tr w:rsidR="00C6578C" w14:paraId="35AADEA6" w14:textId="77777777" w:rsidTr="0065221F">
        <w:trPr>
          <w:trHeight w:val="238"/>
          <w:del w:id="8116" w:author="AbbVie19" w:date="2025-04-16T10:42:00Z"/>
        </w:trPr>
        <w:tc>
          <w:tcPr>
            <w:tcW w:w="2934" w:type="dxa"/>
            <w:vMerge/>
            <w:tcBorders>
              <w:left w:val="single" w:sz="8" w:space="0" w:color="auto"/>
              <w:bottom w:val="single" w:sz="4" w:space="0" w:color="auto"/>
              <w:right w:val="single" w:sz="8" w:space="0" w:color="auto"/>
            </w:tcBorders>
            <w:tcMar>
              <w:top w:w="0" w:type="dxa"/>
              <w:left w:w="108" w:type="dxa"/>
              <w:bottom w:w="0" w:type="dxa"/>
              <w:right w:w="108" w:type="dxa"/>
            </w:tcMar>
          </w:tcPr>
          <w:p w14:paraId="0A8A1287" w14:textId="77777777" w:rsidR="005874C5" w:rsidRPr="00490445" w:rsidRDefault="005874C5" w:rsidP="00762FA7">
            <w:pPr>
              <w:keepNext/>
              <w:rPr>
                <w:del w:id="8117" w:author="AbbVie19" w:date="2025-04-16T10:42:00Z"/>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6DF579B7" w14:textId="77777777" w:rsidR="005874C5" w:rsidRPr="004C3BBE" w:rsidRDefault="00944B8F" w:rsidP="00762FA7">
            <w:pPr>
              <w:keepNext/>
              <w:jc w:val="center"/>
              <w:rPr>
                <w:del w:id="8118" w:author="AbbVie19" w:date="2025-04-16T10:42:00Z"/>
                <w:b/>
                <w:bCs/>
                <w:vertAlign w:val="superscript"/>
              </w:rPr>
            </w:pPr>
            <w:del w:id="8119" w:author="AbbVie19" w:date="2025-04-16T10:42:00Z">
              <w:r w:rsidRPr="00FD6CBD">
                <w:rPr>
                  <w:b/>
                  <w:bCs/>
                </w:rPr>
                <w:delText>Humira</w:delText>
              </w:r>
              <w:r>
                <w:rPr>
                  <w:b/>
                  <w:bCs/>
                  <w:vertAlign w:val="superscript"/>
                </w:rPr>
                <w:delText>d</w:delText>
              </w:r>
            </w:del>
          </w:p>
          <w:p w14:paraId="7D4B55EA" w14:textId="77777777" w:rsidR="005874C5" w:rsidRPr="00FD6CBD" w:rsidRDefault="00944B8F" w:rsidP="00762FA7">
            <w:pPr>
              <w:keepNext/>
              <w:jc w:val="center"/>
              <w:rPr>
                <w:del w:id="8120" w:author="AbbVie19" w:date="2025-04-16T10:42:00Z"/>
                <w:b/>
                <w:bCs/>
              </w:rPr>
            </w:pPr>
            <w:del w:id="8121" w:author="AbbVie19" w:date="2025-04-16T10:42:00Z">
              <w:r w:rsidRPr="00FD6CBD">
                <w:rPr>
                  <w:b/>
                  <w:bCs/>
                </w:rPr>
                <w:delText>Maximum of 40 mg eow</w:delText>
              </w:r>
            </w:del>
          </w:p>
          <w:p w14:paraId="4E2BFCB3" w14:textId="77777777" w:rsidR="005874C5" w:rsidRPr="00490445" w:rsidRDefault="00944B8F" w:rsidP="00762FA7">
            <w:pPr>
              <w:keepNext/>
              <w:jc w:val="center"/>
              <w:rPr>
                <w:del w:id="8122" w:author="AbbVie19" w:date="2025-04-16T10:42:00Z"/>
              </w:rPr>
            </w:pPr>
            <w:del w:id="8123" w:author="AbbVie19" w:date="2025-04-16T10:42:00Z">
              <w:r>
                <w:delText>N=31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088A4143" w14:textId="77777777" w:rsidR="005874C5" w:rsidRPr="004C3BBE" w:rsidRDefault="00944B8F" w:rsidP="00762FA7">
            <w:pPr>
              <w:keepNext/>
              <w:jc w:val="center"/>
              <w:rPr>
                <w:del w:id="8124" w:author="AbbVie19" w:date="2025-04-16T10:42:00Z"/>
                <w:b/>
                <w:bCs/>
                <w:vertAlign w:val="superscript"/>
              </w:rPr>
            </w:pPr>
            <w:del w:id="8125" w:author="AbbVie19" w:date="2025-04-16T10:42:00Z">
              <w:r w:rsidRPr="00FD6CBD">
                <w:rPr>
                  <w:b/>
                  <w:bCs/>
                </w:rPr>
                <w:delText>Humira</w:delText>
              </w:r>
              <w:r>
                <w:rPr>
                  <w:b/>
                  <w:bCs/>
                  <w:vertAlign w:val="superscript"/>
                </w:rPr>
                <w:delText>e</w:delText>
              </w:r>
            </w:del>
          </w:p>
          <w:p w14:paraId="3AF65FD6" w14:textId="77777777" w:rsidR="005874C5" w:rsidRPr="00FD6CBD" w:rsidRDefault="00944B8F" w:rsidP="00762FA7">
            <w:pPr>
              <w:keepNext/>
              <w:jc w:val="center"/>
              <w:rPr>
                <w:del w:id="8126" w:author="AbbVie19" w:date="2025-04-16T10:42:00Z"/>
                <w:b/>
                <w:bCs/>
              </w:rPr>
            </w:pPr>
            <w:del w:id="8127" w:author="AbbVie19" w:date="2025-04-16T10:42:00Z">
              <w:r w:rsidRPr="00FD6CBD">
                <w:rPr>
                  <w:b/>
                  <w:bCs/>
                </w:rPr>
                <w:delText>Maximum of 40 mg ew</w:delText>
              </w:r>
            </w:del>
          </w:p>
          <w:p w14:paraId="18C76CEF" w14:textId="77777777" w:rsidR="005874C5" w:rsidRPr="00490445" w:rsidRDefault="00944B8F" w:rsidP="00762FA7">
            <w:pPr>
              <w:keepNext/>
              <w:jc w:val="center"/>
              <w:rPr>
                <w:del w:id="8128" w:author="AbbVie19" w:date="2025-04-16T10:42:00Z"/>
              </w:rPr>
            </w:pPr>
            <w:del w:id="8129" w:author="AbbVie19" w:date="2025-04-16T10:42:00Z">
              <w:r>
                <w:delText>N=31</w:delText>
              </w:r>
            </w:del>
          </w:p>
        </w:tc>
      </w:tr>
      <w:tr w:rsidR="00C6578C" w14:paraId="08B4C0D3" w14:textId="77777777" w:rsidTr="0065221F">
        <w:trPr>
          <w:trHeight w:val="238"/>
          <w:del w:id="8130" w:author="AbbVie19" w:date="2025-04-16T10:42: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772C4744" w14:textId="77777777" w:rsidR="005874C5" w:rsidRPr="00490445" w:rsidRDefault="00944B8F" w:rsidP="00762FA7">
            <w:pPr>
              <w:keepNext/>
              <w:rPr>
                <w:del w:id="8131" w:author="AbbVie19" w:date="2025-04-16T10:42:00Z"/>
              </w:rPr>
            </w:pPr>
            <w:del w:id="8132" w:author="AbbVie19" w:date="2025-04-16T10:42:00Z">
              <w:r>
                <w:delText>Clinical remission per PUCAI in Week 8 PMS responders</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78B6E80C" w14:textId="77777777" w:rsidR="005874C5" w:rsidRPr="00490445" w:rsidRDefault="00944B8F" w:rsidP="00762FA7">
            <w:pPr>
              <w:keepNext/>
              <w:jc w:val="center"/>
              <w:rPr>
                <w:del w:id="8133" w:author="AbbVie19" w:date="2025-04-16T10:42:00Z"/>
              </w:rPr>
            </w:pPr>
            <w:del w:id="8134" w:author="AbbVie19" w:date="2025-04-16T10:42:00Z">
              <w:r>
                <w:delText>14/31 (45.2%)</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1BF10760" w14:textId="77777777" w:rsidR="005874C5" w:rsidRPr="00490445" w:rsidRDefault="00944B8F" w:rsidP="00762FA7">
            <w:pPr>
              <w:keepNext/>
              <w:jc w:val="center"/>
              <w:rPr>
                <w:del w:id="8135" w:author="AbbVie19" w:date="2025-04-16T10:42:00Z"/>
              </w:rPr>
            </w:pPr>
            <w:del w:id="8136" w:author="AbbVie19" w:date="2025-04-16T10:42:00Z">
              <w:r>
                <w:delText>18/31 (58.1%)</w:delText>
              </w:r>
            </w:del>
          </w:p>
        </w:tc>
      </w:tr>
      <w:tr w:rsidR="00C6578C" w14:paraId="10D89628" w14:textId="77777777" w:rsidTr="0065221F">
        <w:trPr>
          <w:trHeight w:val="238"/>
          <w:del w:id="8137" w:author="AbbVie19" w:date="2025-04-16T10:42: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1956150E" w14:textId="77777777" w:rsidR="005874C5" w:rsidRDefault="00944B8F" w:rsidP="00762FA7">
            <w:pPr>
              <w:keepNext/>
              <w:rPr>
                <w:del w:id="8138" w:author="AbbVie19" w:date="2025-04-16T10:42:00Z"/>
              </w:rPr>
            </w:pPr>
            <w:del w:id="8139" w:author="AbbVie19" w:date="2025-04-16T10:42:00Z">
              <w:r>
                <w:delText>Clinical response per PUCAI in Week 8 PMS responders</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1672689F" w14:textId="77777777" w:rsidR="005874C5" w:rsidRPr="00490445" w:rsidRDefault="00944B8F" w:rsidP="00762FA7">
            <w:pPr>
              <w:keepNext/>
              <w:jc w:val="center"/>
              <w:rPr>
                <w:del w:id="8140" w:author="AbbVie19" w:date="2025-04-16T10:42:00Z"/>
              </w:rPr>
            </w:pPr>
            <w:del w:id="8141" w:author="AbbVie19" w:date="2025-04-16T10:42:00Z">
              <w:r>
                <w:delText>18/31 (58.1%)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3E244785" w14:textId="77777777" w:rsidR="005874C5" w:rsidRPr="00490445" w:rsidRDefault="00944B8F" w:rsidP="00762FA7">
            <w:pPr>
              <w:keepNext/>
              <w:jc w:val="center"/>
              <w:rPr>
                <w:del w:id="8142" w:author="AbbVie19" w:date="2025-04-16T10:42:00Z"/>
              </w:rPr>
            </w:pPr>
            <w:del w:id="8143" w:author="AbbVie19" w:date="2025-04-16T10:42:00Z">
              <w:r>
                <w:delText>16/31 (51.6%)</w:delText>
              </w:r>
            </w:del>
          </w:p>
        </w:tc>
      </w:tr>
      <w:tr w:rsidR="00C6578C" w14:paraId="20944C1E" w14:textId="77777777" w:rsidTr="0065221F">
        <w:trPr>
          <w:trHeight w:val="533"/>
          <w:del w:id="8144" w:author="AbbVie19" w:date="2025-04-16T10:42:00Z"/>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tcPr>
          <w:p w14:paraId="60053207" w14:textId="77777777" w:rsidR="005874C5" w:rsidRPr="00AA54F8" w:rsidRDefault="00944B8F" w:rsidP="00762FA7">
            <w:pPr>
              <w:keepNext/>
              <w:rPr>
                <w:del w:id="8145" w:author="AbbVie19" w:date="2025-04-16T10:42:00Z"/>
                <w:rStyle w:val="eop"/>
              </w:rPr>
            </w:pPr>
            <w:del w:id="8146" w:author="AbbVie19" w:date="2025-04-16T10:42:00Z">
              <w:r w:rsidRPr="00AA54F8">
                <w:rPr>
                  <w:vertAlign w:val="superscript"/>
                </w:rPr>
                <w:delText>a</w:delText>
              </w:r>
              <w:r w:rsidRPr="00AA54F8">
                <w:delText xml:space="preserve"> </w:delText>
              </w:r>
              <w:r w:rsidRPr="00AA54F8">
                <w:rPr>
                  <w:rStyle w:val="normaltextrun"/>
                </w:rPr>
                <w:delText>Humira 2.4 mg/kg (maximum of 160 mg) at Week 0, placebo at Week 1, and 1.2 mg/kg (maximum of 80 mg) at Week 2</w:delText>
              </w:r>
              <w:r w:rsidRPr="00AA54F8">
                <w:rPr>
                  <w:rStyle w:val="eop"/>
                </w:rPr>
                <w:delText> </w:delText>
              </w:r>
            </w:del>
          </w:p>
          <w:p w14:paraId="425D2AE8" w14:textId="77777777" w:rsidR="005874C5" w:rsidRPr="00262C88" w:rsidRDefault="00944B8F" w:rsidP="00762FA7">
            <w:pPr>
              <w:pStyle w:val="paragraph0"/>
              <w:keepNext/>
              <w:spacing w:before="0" w:beforeAutospacing="0" w:after="0" w:afterAutospacing="0"/>
              <w:textAlignment w:val="baseline"/>
              <w:rPr>
                <w:del w:id="8147" w:author="AbbVie19" w:date="2025-04-16T10:42:00Z"/>
                <w:rStyle w:val="eop"/>
                <w:sz w:val="22"/>
                <w:szCs w:val="22"/>
                <w:lang w:val="en-GB"/>
              </w:rPr>
            </w:pPr>
            <w:del w:id="8148" w:author="AbbVie19" w:date="2025-04-16T10:42:00Z">
              <w:r w:rsidRPr="00AA54F8">
                <w:rPr>
                  <w:szCs w:val="22"/>
                  <w:vertAlign w:val="superscript"/>
                </w:rPr>
                <w:delText xml:space="preserve">b </w:delText>
              </w:r>
              <w:r w:rsidRPr="00AA54F8">
                <w:rPr>
                  <w:rStyle w:val="normaltextrun"/>
                  <w:szCs w:val="22"/>
                  <w:vertAlign w:val="superscript"/>
                </w:rPr>
                <w:delText> </w:delText>
              </w:r>
              <w:r w:rsidRPr="00AA54F8">
                <w:rPr>
                  <w:rStyle w:val="normaltextrun"/>
                  <w:szCs w:val="22"/>
                </w:rPr>
                <w:delText xml:space="preserve">Humira 2.4 mg/kg (maximum of 160 mg) at Week 0 and Week 1, and 1.2 </w:delText>
              </w:r>
              <w:r w:rsidRPr="00262C88">
                <w:rPr>
                  <w:rStyle w:val="normaltextrun"/>
                  <w:szCs w:val="22"/>
                </w:rPr>
                <w:delText>mg/kg (maximum of 80 mg) at Week 2</w:delText>
              </w:r>
              <w:r w:rsidRPr="00262C88">
                <w:rPr>
                  <w:rStyle w:val="eop"/>
                  <w:szCs w:val="22"/>
                </w:rPr>
                <w:delText> </w:delText>
              </w:r>
            </w:del>
          </w:p>
          <w:p w14:paraId="0B43E37F" w14:textId="77777777" w:rsidR="005874C5" w:rsidRDefault="00944B8F" w:rsidP="00762FA7">
            <w:pPr>
              <w:pStyle w:val="paragraph0"/>
              <w:keepNext/>
              <w:spacing w:before="0" w:beforeAutospacing="0" w:after="0" w:afterAutospacing="0"/>
              <w:textAlignment w:val="baseline"/>
              <w:rPr>
                <w:del w:id="8149" w:author="AbbVie19" w:date="2025-04-16T10:42:00Z"/>
                <w:rStyle w:val="normaltextrun"/>
                <w:sz w:val="22"/>
                <w:szCs w:val="22"/>
                <w:lang w:val="en-GB"/>
              </w:rPr>
            </w:pPr>
            <w:del w:id="8150" w:author="AbbVie19" w:date="2025-04-16T10:42:00Z">
              <w:r w:rsidRPr="00262C88">
                <w:rPr>
                  <w:rStyle w:val="normaltextrun"/>
                  <w:rFonts w:cs="Calibri"/>
                  <w:szCs w:val="22"/>
                  <w:vertAlign w:val="superscript"/>
                </w:rPr>
                <w:delText>c</w:delText>
              </w:r>
              <w:r w:rsidRPr="00262C88">
                <w:rPr>
                  <w:rStyle w:val="normaltextrun"/>
                  <w:rFonts w:cs="Calibri"/>
                  <w:szCs w:val="22"/>
                </w:rPr>
                <w:delText> Not including open-label Induction dose of </w:delText>
              </w:r>
              <w:r w:rsidRPr="00262C88">
                <w:rPr>
                  <w:rStyle w:val="normaltextrun"/>
                  <w:szCs w:val="22"/>
                </w:rPr>
                <w:delText>Humira 2.4 mg/kg (maximum of 160 mg) at Week 0 and Week 1, and 1.2 mg/kg (maximum of 80 mg) at Week 2</w:delText>
              </w:r>
            </w:del>
          </w:p>
          <w:p w14:paraId="467B311D" w14:textId="77777777" w:rsidR="005874C5" w:rsidRDefault="00944B8F" w:rsidP="00762FA7">
            <w:pPr>
              <w:pStyle w:val="paragraph0"/>
              <w:keepNext/>
              <w:spacing w:before="0" w:beforeAutospacing="0" w:after="0" w:afterAutospacing="0"/>
              <w:textAlignment w:val="baseline"/>
              <w:rPr>
                <w:del w:id="8151" w:author="AbbVie19" w:date="2025-04-16T10:42:00Z"/>
                <w:lang w:eastAsia="en-GB"/>
              </w:rPr>
            </w:pPr>
            <w:del w:id="8152" w:author="AbbVie19" w:date="2025-04-16T10:42:00Z">
              <w:r>
                <w:rPr>
                  <w:rStyle w:val="normaltextrun"/>
                  <w:szCs w:val="22"/>
                  <w:vertAlign w:val="superscript"/>
                </w:rPr>
                <w:delText>d</w:delText>
              </w:r>
              <w:r w:rsidRPr="00703E9C">
                <w:rPr>
                  <w:szCs w:val="22"/>
                  <w:lang w:eastAsia="en-GB"/>
                </w:rPr>
                <w:delText xml:space="preserve"> Humira 0.6 mg/kg (maximum of 40 mg) every other week</w:delText>
              </w:r>
            </w:del>
          </w:p>
          <w:p w14:paraId="7F18054A" w14:textId="77777777" w:rsidR="005874C5" w:rsidRDefault="00944B8F" w:rsidP="00762FA7">
            <w:pPr>
              <w:keepNext/>
              <w:rPr>
                <w:del w:id="8153" w:author="AbbVie19" w:date="2025-04-16T10:42:00Z"/>
                <w:lang w:eastAsia="en-GB"/>
              </w:rPr>
            </w:pPr>
            <w:del w:id="8154" w:author="AbbVie19" w:date="2025-04-16T10:42:00Z">
              <w:r>
                <w:rPr>
                  <w:vertAlign w:val="superscript"/>
                  <w:lang w:eastAsia="en-GB"/>
                </w:rPr>
                <w:delText>e</w:delText>
              </w:r>
              <w:r w:rsidRPr="00EA7EBF">
                <w:rPr>
                  <w:lang w:eastAsia="en-GB"/>
                </w:rPr>
                <w:delText xml:space="preserve"> Humira 0.6 mg/kg (maximum of 40 mg) every week</w:delText>
              </w:r>
            </w:del>
          </w:p>
          <w:p w14:paraId="578FED54" w14:textId="77777777" w:rsidR="005874C5" w:rsidRPr="00262C88" w:rsidRDefault="00944B8F" w:rsidP="00762FA7">
            <w:pPr>
              <w:pStyle w:val="paragraph0"/>
              <w:keepNext/>
              <w:spacing w:before="0" w:beforeAutospacing="0" w:after="0" w:afterAutospacing="0"/>
              <w:textAlignment w:val="baseline"/>
              <w:rPr>
                <w:del w:id="8155" w:author="AbbVie19" w:date="2025-04-16T10:42:00Z"/>
                <w:rFonts w:ascii="Segoe UI" w:hAnsi="Segoe UI" w:cs="Segoe UI"/>
                <w:szCs w:val="22"/>
              </w:rPr>
            </w:pPr>
            <w:del w:id="8156" w:author="AbbVie19" w:date="2025-04-16T10:42:00Z">
              <w:r w:rsidRPr="00262C88">
                <w:rPr>
                  <w:rStyle w:val="normaltextrun"/>
                  <w:rFonts w:cs="Calibri"/>
                  <w:szCs w:val="22"/>
                </w:rPr>
                <w:delText>Note 1: Both induction groups received 0.6 mg/kg (maximum of 40 mg) at Week 4 and Week 6</w:delText>
              </w:r>
              <w:r w:rsidRPr="00262C88">
                <w:rPr>
                  <w:rStyle w:val="eop"/>
                  <w:rFonts w:cs="Calibri"/>
                  <w:szCs w:val="22"/>
                </w:rPr>
                <w:delText> </w:delText>
              </w:r>
            </w:del>
          </w:p>
          <w:p w14:paraId="47909CB0" w14:textId="77777777" w:rsidR="005874C5" w:rsidRDefault="00944B8F" w:rsidP="00762FA7">
            <w:pPr>
              <w:pStyle w:val="paragraph0"/>
              <w:keepNext/>
              <w:spacing w:before="0" w:beforeAutospacing="0" w:after="0" w:afterAutospacing="0"/>
              <w:textAlignment w:val="baseline"/>
              <w:rPr>
                <w:del w:id="8157" w:author="AbbVie19" w:date="2025-04-16T10:42:00Z"/>
                <w:rStyle w:val="eop"/>
                <w:rFonts w:cs="Calibri"/>
                <w:sz w:val="22"/>
                <w:szCs w:val="22"/>
                <w:lang w:val="en-GB"/>
              </w:rPr>
            </w:pPr>
            <w:del w:id="8158" w:author="AbbVie19" w:date="2025-04-16T10:42:00Z">
              <w:r w:rsidRPr="00262C88">
                <w:rPr>
                  <w:rStyle w:val="normaltextrun"/>
                  <w:rFonts w:cs="Calibri"/>
                  <w:szCs w:val="22"/>
                </w:rPr>
                <w:delText>Note 2: Patients with missing values at Week 8 were considered as not having met the endpoints</w:delText>
              </w:r>
              <w:r w:rsidRPr="00262C88">
                <w:rPr>
                  <w:rStyle w:val="eop"/>
                  <w:rFonts w:cs="Calibri"/>
                  <w:szCs w:val="22"/>
                </w:rPr>
                <w:delText> </w:delText>
              </w:r>
            </w:del>
          </w:p>
          <w:p w14:paraId="11D7D85E" w14:textId="77777777" w:rsidR="005874C5" w:rsidRPr="004C3BBE" w:rsidRDefault="00944B8F" w:rsidP="00762FA7">
            <w:pPr>
              <w:pStyle w:val="paragraph0"/>
              <w:keepNext/>
              <w:spacing w:before="0" w:beforeAutospacing="0" w:after="0" w:afterAutospacing="0"/>
              <w:textAlignment w:val="baseline"/>
              <w:rPr>
                <w:del w:id="8159" w:author="AbbVie19" w:date="2025-04-16T10:42:00Z"/>
                <w:szCs w:val="22"/>
              </w:rPr>
            </w:pPr>
            <w:del w:id="8160" w:author="AbbVie19" w:date="2025-04-16T10:42:00Z">
              <w:r w:rsidRPr="004C3BBE">
                <w:rPr>
                  <w:rStyle w:val="eop"/>
                  <w:rFonts w:cs="Calibri"/>
                  <w:szCs w:val="22"/>
                </w:rPr>
                <w:delText xml:space="preserve">Note 3: </w:delText>
              </w:r>
              <w:r w:rsidRPr="004C3BBE">
                <w:rPr>
                  <w:szCs w:val="22"/>
                  <w:lang w:eastAsia="en-GB"/>
                </w:rPr>
                <w:delText>Patients with missing values at Week 52 or who were randomized to receive re-induction or maintenance treatment were considered non-responders for Week 52 endpoints</w:delText>
              </w:r>
            </w:del>
          </w:p>
        </w:tc>
      </w:tr>
    </w:tbl>
    <w:p w14:paraId="7438D6B0" w14:textId="77777777" w:rsidR="005874C5" w:rsidRDefault="005874C5" w:rsidP="00762FA7">
      <w:pPr>
        <w:rPr>
          <w:del w:id="8161" w:author="AbbVie19" w:date="2025-04-16T10:42:00Z"/>
        </w:rPr>
      </w:pPr>
    </w:p>
    <w:p w14:paraId="43911C31" w14:textId="77777777" w:rsidR="005201C2" w:rsidRDefault="00944B8F" w:rsidP="00762FA7">
      <w:pPr>
        <w:rPr>
          <w:del w:id="8162" w:author="AbbVie19" w:date="2025-04-16T10:42:00Z"/>
        </w:rPr>
      </w:pPr>
      <w:del w:id="8163" w:author="AbbVie19" w:date="2025-04-16T10:42:00Z">
        <w:r>
          <w:delText>Of the Humira-treated patients who received re-induction treatment during the maintenance period, 2/6 (33%) achieved clinical response per FMS at Week 52.</w:delText>
        </w:r>
      </w:del>
    </w:p>
    <w:p w14:paraId="30F36030" w14:textId="77777777" w:rsidR="005201C2" w:rsidRDefault="005201C2" w:rsidP="00762FA7">
      <w:pPr>
        <w:keepNext/>
        <w:rPr>
          <w:del w:id="8164" w:author="AbbVie19" w:date="2025-04-16T10:42:00Z"/>
          <w:bCs/>
          <w:i/>
          <w:szCs w:val="22"/>
          <w:u w:val="single"/>
        </w:rPr>
      </w:pPr>
    </w:p>
    <w:p w14:paraId="03BDE9DB" w14:textId="77777777" w:rsidR="00630394" w:rsidRDefault="00944B8F" w:rsidP="00762FA7">
      <w:pPr>
        <w:keepNext/>
        <w:rPr>
          <w:del w:id="8165" w:author="AbbVie19" w:date="2025-04-16T10:42:00Z"/>
          <w:bCs/>
          <w:i/>
          <w:szCs w:val="22"/>
          <w:u w:val="single"/>
        </w:rPr>
      </w:pPr>
      <w:del w:id="8166" w:author="AbbVie19" w:date="2025-04-16T10:42:00Z">
        <w:r>
          <w:rPr>
            <w:bCs/>
            <w:i/>
            <w:szCs w:val="22"/>
            <w:u w:val="single"/>
          </w:rPr>
          <w:delText>Quality of life</w:delText>
        </w:r>
      </w:del>
    </w:p>
    <w:p w14:paraId="27C136EC" w14:textId="77777777" w:rsidR="00630394" w:rsidRDefault="00630394" w:rsidP="00762FA7">
      <w:pPr>
        <w:keepNext/>
        <w:rPr>
          <w:del w:id="8167" w:author="AbbVie19" w:date="2025-04-16T10:42:00Z"/>
          <w:bCs/>
          <w:i/>
          <w:szCs w:val="22"/>
          <w:u w:val="single"/>
        </w:rPr>
      </w:pPr>
    </w:p>
    <w:p w14:paraId="3A64D6B3" w14:textId="77777777" w:rsidR="00630394" w:rsidRDefault="00944B8F" w:rsidP="00762FA7">
      <w:pPr>
        <w:keepNext/>
        <w:rPr>
          <w:del w:id="8168" w:author="AbbVie19" w:date="2025-04-16T10:42:00Z"/>
        </w:rPr>
      </w:pPr>
      <w:del w:id="8169" w:author="AbbVie19" w:date="2025-04-16T10:42:00Z">
        <w:r>
          <w:delText>Clinically meaningful improvements from Baseline were observed in IMPACT III and the caregiver Work Productivity and Activity Impairment (WPAI) scores for the groups treated with</w:delText>
        </w:r>
        <w:r w:rsidR="00FE5DB8">
          <w:delText xml:space="preserve"> Humira</w:delText>
        </w:r>
        <w:r>
          <w:delText xml:space="preserve">. </w:delText>
        </w:r>
      </w:del>
    </w:p>
    <w:p w14:paraId="498D5822" w14:textId="77777777" w:rsidR="00630394" w:rsidRDefault="00630394" w:rsidP="00762FA7">
      <w:pPr>
        <w:keepNext/>
        <w:rPr>
          <w:del w:id="8170" w:author="AbbVie19" w:date="2025-04-16T10:42:00Z"/>
        </w:rPr>
      </w:pPr>
    </w:p>
    <w:p w14:paraId="4E7AF8A7" w14:textId="77777777" w:rsidR="00630394" w:rsidRDefault="00944B8F" w:rsidP="00762FA7">
      <w:pPr>
        <w:tabs>
          <w:tab w:val="clear" w:pos="562"/>
        </w:tabs>
        <w:suppressAutoHyphens w:val="0"/>
        <w:rPr>
          <w:del w:id="8171" w:author="AbbVie19" w:date="2025-04-16T10:42:00Z"/>
          <w:rFonts w:eastAsiaTheme="minorHAnsi"/>
          <w:sz w:val="24"/>
          <w:lang w:eastAsia="en-GB"/>
        </w:rPr>
      </w:pPr>
      <w:del w:id="8172" w:author="AbbVie19" w:date="2025-04-16T10:42:00Z">
        <w:r>
          <w:delText>Clinically meaningful increases (improvement) from Baseline in h</w:delText>
        </w:r>
        <w:r w:rsidR="00301F8D">
          <w:delText>eight</w:delText>
        </w:r>
        <w:r>
          <w:delText xml:space="preserve"> velocity were observed for the groups treated with adalimumab, and clinically meaningful increases (improvement) from Baseline in Body Mass Index were observed for subjects on the high maintenance dose of max</w:delText>
        </w:r>
        <w:r w:rsidR="00D4346A">
          <w:delText>imum</w:delText>
        </w:r>
        <w:r>
          <w:delText xml:space="preserve"> 40 mg (0.6 mg/kg) ew. </w:delText>
        </w:r>
      </w:del>
    </w:p>
    <w:p w14:paraId="5EA1F283" w14:textId="77777777" w:rsidR="00A733E3" w:rsidRDefault="00A733E3" w:rsidP="00762FA7">
      <w:pPr>
        <w:keepNext/>
        <w:rPr>
          <w:del w:id="8173" w:author="AbbVie19" w:date="2025-04-16T10:42:00Z"/>
          <w:bCs/>
          <w:i/>
          <w:szCs w:val="22"/>
        </w:rPr>
      </w:pPr>
    </w:p>
    <w:p w14:paraId="05E16F40" w14:textId="77777777" w:rsidR="00E83962" w:rsidRPr="00BC0E7E" w:rsidRDefault="00944B8F" w:rsidP="00762FA7">
      <w:pPr>
        <w:keepNext/>
        <w:rPr>
          <w:del w:id="8174" w:author="AbbVie19" w:date="2025-04-16T10:42:00Z"/>
          <w:b/>
          <w:bCs/>
          <w:i/>
          <w:szCs w:val="20"/>
        </w:rPr>
      </w:pPr>
      <w:del w:id="8175" w:author="AbbVie19" w:date="2025-04-16T10:42:00Z">
        <w:r w:rsidRPr="00BC0E7E">
          <w:rPr>
            <w:bCs/>
            <w:i/>
            <w:szCs w:val="22"/>
          </w:rPr>
          <w:delText>Paediatric Uveitis</w:delText>
        </w:r>
        <w:r w:rsidRPr="00BC0E7E">
          <w:rPr>
            <w:b/>
            <w:bCs/>
            <w:i/>
            <w:szCs w:val="20"/>
          </w:rPr>
          <w:delText xml:space="preserve"> </w:delText>
        </w:r>
      </w:del>
    </w:p>
    <w:p w14:paraId="34758DB1" w14:textId="77777777" w:rsidR="00E83962" w:rsidRPr="00BC0E7E" w:rsidRDefault="00E83962" w:rsidP="00762FA7">
      <w:pPr>
        <w:tabs>
          <w:tab w:val="clear" w:pos="562"/>
        </w:tabs>
        <w:suppressAutoHyphens w:val="0"/>
        <w:rPr>
          <w:del w:id="8176" w:author="AbbVie19" w:date="2025-04-16T10:42:00Z"/>
          <w:bCs/>
          <w:szCs w:val="20"/>
        </w:rPr>
      </w:pPr>
    </w:p>
    <w:p w14:paraId="1CC995EC" w14:textId="77777777" w:rsidR="00E83962" w:rsidRPr="00BC0E7E" w:rsidRDefault="00944B8F" w:rsidP="00762FA7">
      <w:pPr>
        <w:tabs>
          <w:tab w:val="clear" w:pos="562"/>
        </w:tabs>
        <w:suppressAutoHyphens w:val="0"/>
        <w:rPr>
          <w:del w:id="8177" w:author="AbbVie19" w:date="2025-04-16T10:42:00Z"/>
          <w:bCs/>
          <w:szCs w:val="20"/>
        </w:rPr>
      </w:pPr>
      <w:del w:id="8178" w:author="AbbVie19" w:date="2025-04-16T10:42:00Z">
        <w:r w:rsidRPr="00BC0E7E">
          <w:rPr>
            <w:bCs/>
            <w:szCs w:val="20"/>
          </w:rPr>
          <w:delText>The safety and efficacy of Humira was assessed in a randomized, double</w:delText>
        </w:r>
        <w:r w:rsidRPr="00BC0E7E">
          <w:rPr>
            <w:bCs/>
            <w:szCs w:val="20"/>
          </w:rPr>
          <w:noBreakHyphen/>
          <w:delText xml:space="preserve">masked, controlled study of 90 paediatric patients from 2 to &lt; 18 years of age with active JIA-associated noninfectious anterior uveitis who were refractory to at least 12 weeks of methotrexate treatment.  Patients received either placebo or </w:delText>
        </w:r>
        <w:r w:rsidRPr="00BC0E7E">
          <w:rPr>
            <w:bCs/>
            <w:szCs w:val="20"/>
          </w:rPr>
          <w:lastRenderedPageBreak/>
          <w:delText xml:space="preserve">20 mg adalimumab (if &lt; 30 kg) or 40 mg adalimumab (if ≥ 30 kg) every other week in combination with their baseline dose of methotrexate. </w:delText>
        </w:r>
      </w:del>
    </w:p>
    <w:p w14:paraId="7C89314F" w14:textId="77777777" w:rsidR="00E83962" w:rsidRPr="00BC0E7E" w:rsidRDefault="00E83962" w:rsidP="00762FA7">
      <w:pPr>
        <w:tabs>
          <w:tab w:val="clear" w:pos="562"/>
        </w:tabs>
        <w:suppressAutoHyphens w:val="0"/>
        <w:rPr>
          <w:del w:id="8179" w:author="AbbVie19" w:date="2025-04-16T10:42:00Z"/>
          <w:bCs/>
          <w:szCs w:val="20"/>
        </w:rPr>
      </w:pPr>
    </w:p>
    <w:p w14:paraId="363594D8" w14:textId="77777777" w:rsidR="00E83962" w:rsidRPr="00BC0E7E" w:rsidRDefault="00944B8F" w:rsidP="00762FA7">
      <w:pPr>
        <w:tabs>
          <w:tab w:val="clear" w:pos="562"/>
        </w:tabs>
        <w:suppressAutoHyphens w:val="0"/>
        <w:rPr>
          <w:del w:id="8180" w:author="AbbVie19" w:date="2025-04-16T10:42:00Z"/>
          <w:bCs/>
          <w:szCs w:val="20"/>
        </w:rPr>
      </w:pPr>
      <w:del w:id="8181" w:author="AbbVie19" w:date="2025-04-16T10:42:00Z">
        <w:r w:rsidRPr="00BC0E7E">
          <w:rPr>
            <w:bCs/>
            <w:szCs w:val="20"/>
          </w:rPr>
          <w:delText>The primary endpoint was ‘time to treatment failure’. The criteria determining treatment failure were worsening or sustained non-improvement in ocular inflammation, partial improvement with development of sustained ocular co-morbidities or worsening of ocular co-morbidities, non-permitted use of concomitant medications, and suspension of treatment for an extended period of time.</w:delText>
        </w:r>
      </w:del>
    </w:p>
    <w:p w14:paraId="409BE0BC" w14:textId="77777777" w:rsidR="00E83962" w:rsidRPr="00BC0E7E" w:rsidRDefault="00E83962" w:rsidP="00762FA7">
      <w:pPr>
        <w:tabs>
          <w:tab w:val="clear" w:pos="562"/>
        </w:tabs>
        <w:suppressAutoHyphens w:val="0"/>
        <w:rPr>
          <w:del w:id="8182" w:author="AbbVie19" w:date="2025-04-16T10:42:00Z"/>
          <w:bCs/>
          <w:szCs w:val="20"/>
        </w:rPr>
      </w:pPr>
    </w:p>
    <w:p w14:paraId="370963F7" w14:textId="77777777" w:rsidR="00E83962" w:rsidRPr="00BC0E7E" w:rsidRDefault="00944B8F" w:rsidP="00762FA7">
      <w:pPr>
        <w:rPr>
          <w:del w:id="8183" w:author="AbbVie19" w:date="2025-04-16T10:42:00Z"/>
          <w:i/>
          <w:szCs w:val="20"/>
          <w:u w:val="single"/>
        </w:rPr>
      </w:pPr>
      <w:del w:id="8184" w:author="AbbVie19" w:date="2025-04-16T10:42:00Z">
        <w:r w:rsidRPr="00BC0E7E">
          <w:rPr>
            <w:i/>
            <w:szCs w:val="20"/>
            <w:u w:val="single"/>
          </w:rPr>
          <w:delText>Clinical Response</w:delText>
        </w:r>
      </w:del>
    </w:p>
    <w:p w14:paraId="7E4CC222" w14:textId="77777777" w:rsidR="00E83962" w:rsidRPr="00BC0E7E" w:rsidRDefault="00E83962" w:rsidP="00762FA7">
      <w:pPr>
        <w:tabs>
          <w:tab w:val="clear" w:pos="562"/>
        </w:tabs>
        <w:suppressAutoHyphens w:val="0"/>
        <w:rPr>
          <w:del w:id="8185" w:author="AbbVie19" w:date="2025-04-16T10:42:00Z"/>
          <w:i/>
          <w:sz w:val="24"/>
          <w:u w:val="single"/>
        </w:rPr>
      </w:pPr>
    </w:p>
    <w:p w14:paraId="61C09686" w14:textId="77777777" w:rsidR="00E83962" w:rsidRDefault="00944B8F" w:rsidP="00762FA7">
      <w:pPr>
        <w:tabs>
          <w:tab w:val="clear" w:pos="562"/>
        </w:tabs>
        <w:suppressAutoHyphens w:val="0"/>
        <w:rPr>
          <w:del w:id="8186" w:author="AbbVie19" w:date="2025-04-16T10:42:00Z"/>
          <w:bCs/>
          <w:szCs w:val="20"/>
        </w:rPr>
      </w:pPr>
      <w:del w:id="8187" w:author="AbbVie19" w:date="2025-04-16T10:42:00Z">
        <w:r w:rsidRPr="00BC0E7E">
          <w:rPr>
            <w:bCs/>
            <w:szCs w:val="20"/>
          </w:rPr>
          <w:delText xml:space="preserve">Adalimumab significantly delayed the time to treatment failure, as compared to placebo (See Figure </w:delText>
        </w:r>
        <w:r>
          <w:rPr>
            <w:bCs/>
            <w:szCs w:val="20"/>
          </w:rPr>
          <w:delText>3</w:delText>
        </w:r>
        <w:r w:rsidRPr="00BC0E7E">
          <w:rPr>
            <w:bCs/>
            <w:szCs w:val="20"/>
          </w:rPr>
          <w:delText>, P &lt; 0.0001 from log rank test).The median time to treatment failure was 24.1 weeks for subjects treated with placebo, whereas the median time to treatment failure was not estimable for subjects treated with adalimumab because less than one-half of these subjects experienced treatment failure.  Adalimumab significantly decreased the risk of treatment failure by 75% relative to placebo, as shown by the hazard ratio (HR = 0.25 [95% CI:  0.12, 0.49]).</w:delText>
        </w:r>
      </w:del>
    </w:p>
    <w:p w14:paraId="345B7C68" w14:textId="77777777" w:rsidR="00E83962" w:rsidRPr="00BC0E7E" w:rsidRDefault="00E83962" w:rsidP="00762FA7">
      <w:pPr>
        <w:tabs>
          <w:tab w:val="clear" w:pos="562"/>
        </w:tabs>
        <w:suppressAutoHyphens w:val="0"/>
        <w:rPr>
          <w:del w:id="8188" w:author="AbbVie19" w:date="2025-04-16T10:42:00Z"/>
          <w:bCs/>
          <w:szCs w:val="20"/>
        </w:rPr>
      </w:pPr>
    </w:p>
    <w:p w14:paraId="34C06092" w14:textId="77777777" w:rsidR="00E83962" w:rsidRPr="003F7AAE" w:rsidRDefault="00944B8F" w:rsidP="00762FA7">
      <w:pPr>
        <w:keepNext/>
        <w:tabs>
          <w:tab w:val="clear" w:pos="562"/>
        </w:tabs>
        <w:suppressAutoHyphens w:val="0"/>
        <w:spacing w:line="300" w:lineRule="auto"/>
        <w:jc w:val="center"/>
        <w:rPr>
          <w:del w:id="8189" w:author="AbbVie19" w:date="2025-04-16T10:42:00Z"/>
          <w:szCs w:val="22"/>
        </w:rPr>
      </w:pPr>
      <w:del w:id="8190" w:author="AbbVie19" w:date="2025-04-16T10:42:00Z">
        <w:r w:rsidRPr="00BC0E7E">
          <w:rPr>
            <w:b/>
            <w:szCs w:val="22"/>
          </w:rPr>
          <w:delText xml:space="preserve">Figure </w:delText>
        </w:r>
        <w:r>
          <w:rPr>
            <w:b/>
            <w:szCs w:val="22"/>
          </w:rPr>
          <w:delText>3</w:delText>
        </w:r>
        <w:r w:rsidRPr="00BC0E7E">
          <w:rPr>
            <w:b/>
            <w:szCs w:val="22"/>
          </w:rPr>
          <w:delText>: Kaplan-Meier Curves Summarizing Time to Treatment Failure in the Paediatric Uveitis Study</w:delText>
        </w:r>
      </w:del>
    </w:p>
    <w:p w14:paraId="5345A31F" w14:textId="77777777" w:rsidR="00E83962" w:rsidRPr="003F7AAE" w:rsidRDefault="00E83962" w:rsidP="00762FA7">
      <w:pPr>
        <w:keepNext/>
        <w:tabs>
          <w:tab w:val="clear" w:pos="562"/>
        </w:tabs>
        <w:suppressAutoHyphens w:val="0"/>
        <w:spacing w:line="300" w:lineRule="auto"/>
        <w:jc w:val="center"/>
        <w:rPr>
          <w:del w:id="8191" w:author="AbbVie19" w:date="2025-04-16T10:42:00Z"/>
          <w:szCs w:val="22"/>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C6578C" w14:paraId="75C6804C" w14:textId="77777777" w:rsidTr="00E83962">
        <w:trPr>
          <w:cantSplit/>
          <w:trHeight w:val="3806"/>
          <w:del w:id="8192" w:author="AbbVie19" w:date="2025-04-16T10:42:00Z"/>
        </w:trPr>
        <w:tc>
          <w:tcPr>
            <w:tcW w:w="468" w:type="dxa"/>
            <w:textDirection w:val="btLr"/>
            <w:vAlign w:val="bottom"/>
          </w:tcPr>
          <w:p w14:paraId="318FAD2F" w14:textId="77777777" w:rsidR="00E83962" w:rsidRPr="00BC0E7E" w:rsidRDefault="00944B8F" w:rsidP="00762FA7">
            <w:pPr>
              <w:keepNext/>
              <w:ind w:left="113" w:right="113"/>
              <w:jc w:val="center"/>
              <w:rPr>
                <w:del w:id="8193" w:author="AbbVie19" w:date="2025-04-16T10:42:00Z"/>
                <w:b/>
                <w:szCs w:val="22"/>
              </w:rPr>
            </w:pPr>
            <w:del w:id="8194" w:author="AbbVie19" w:date="2025-04-16T10:42:00Z">
              <w:r w:rsidRPr="00BC0E7E">
                <w:rPr>
                  <w:b/>
                  <w:szCs w:val="22"/>
                </w:rPr>
                <w:delText>PROBABILITY OF FAILING TREATMENT</w:delText>
              </w:r>
            </w:del>
          </w:p>
        </w:tc>
        <w:tc>
          <w:tcPr>
            <w:tcW w:w="8820" w:type="dxa"/>
            <w:gridSpan w:val="5"/>
            <w:vAlign w:val="bottom"/>
          </w:tcPr>
          <w:p w14:paraId="6FF3C481" w14:textId="77777777" w:rsidR="00E83962" w:rsidRPr="00BC0E7E" w:rsidRDefault="00944B8F" w:rsidP="00762FA7">
            <w:pPr>
              <w:keepNext/>
              <w:rPr>
                <w:del w:id="8195" w:author="AbbVie19" w:date="2025-04-16T10:42:00Z"/>
                <w:szCs w:val="22"/>
              </w:rPr>
            </w:pPr>
            <w:del w:id="8196" w:author="AbbVie19" w:date="2025-04-16T10:42:00Z">
              <w:r>
                <w:rPr>
                  <w:noProof/>
                  <w:szCs w:val="22"/>
                  <w:lang w:val="en-US"/>
                </w:rPr>
                <w:drawing>
                  <wp:inline distT="0" distB="0" distL="0" distR="0" wp14:anchorId="49B9D57A" wp14:editId="793F737F">
                    <wp:extent cx="5486400" cy="4556125"/>
                    <wp:effectExtent l="0" t="0" r="0" b="0"/>
                    <wp:docPr id="53" name="Picture 53"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22" descr="Humira PED UV KM Curve REVISED 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486400" cy="4556125"/>
                            </a:xfrm>
                            <a:prstGeom prst="rect">
                              <a:avLst/>
                            </a:prstGeom>
                            <a:noFill/>
                            <a:ln>
                              <a:noFill/>
                            </a:ln>
                          </pic:spPr>
                        </pic:pic>
                      </a:graphicData>
                    </a:graphic>
                  </wp:inline>
                </w:drawing>
              </w:r>
            </w:del>
          </w:p>
        </w:tc>
      </w:tr>
      <w:tr w:rsidR="00C6578C" w14:paraId="5DD53CDC" w14:textId="77777777" w:rsidTr="00E83962">
        <w:trPr>
          <w:del w:id="8197" w:author="AbbVie19" w:date="2025-04-16T10:42:00Z"/>
        </w:trPr>
        <w:tc>
          <w:tcPr>
            <w:tcW w:w="468" w:type="dxa"/>
          </w:tcPr>
          <w:p w14:paraId="5B34D221" w14:textId="77777777" w:rsidR="00E83962" w:rsidRPr="00BC0E7E" w:rsidRDefault="00E83962" w:rsidP="00762FA7">
            <w:pPr>
              <w:keepNext/>
              <w:rPr>
                <w:del w:id="8198" w:author="AbbVie19" w:date="2025-04-16T10:42:00Z"/>
                <w:szCs w:val="22"/>
              </w:rPr>
            </w:pPr>
          </w:p>
        </w:tc>
        <w:tc>
          <w:tcPr>
            <w:tcW w:w="8820" w:type="dxa"/>
            <w:gridSpan w:val="5"/>
          </w:tcPr>
          <w:p w14:paraId="146E12D5" w14:textId="77777777" w:rsidR="00E83962" w:rsidRPr="00BC0E7E" w:rsidRDefault="00944B8F" w:rsidP="00762FA7">
            <w:pPr>
              <w:keepNext/>
              <w:jc w:val="center"/>
              <w:rPr>
                <w:del w:id="8199" w:author="AbbVie19" w:date="2025-04-16T10:42:00Z"/>
                <w:b/>
                <w:szCs w:val="22"/>
              </w:rPr>
            </w:pPr>
            <w:del w:id="8200" w:author="AbbVie19" w:date="2025-04-16T10:42:00Z">
              <w:r w:rsidRPr="00BC0E7E">
                <w:rPr>
                  <w:b/>
                  <w:szCs w:val="22"/>
                </w:rPr>
                <w:delText>TIME (WEEKS)</w:delText>
              </w:r>
            </w:del>
          </w:p>
        </w:tc>
      </w:tr>
      <w:tr w:rsidR="00C6578C" w14:paraId="1DE456B6" w14:textId="77777777" w:rsidTr="00E83962">
        <w:trPr>
          <w:del w:id="8201" w:author="AbbVie19" w:date="2025-04-16T10:42:00Z"/>
        </w:trPr>
        <w:tc>
          <w:tcPr>
            <w:tcW w:w="468" w:type="dxa"/>
          </w:tcPr>
          <w:p w14:paraId="588CA8B3" w14:textId="77777777" w:rsidR="00E83962" w:rsidRPr="00BC0E7E" w:rsidRDefault="00E83962" w:rsidP="00762FA7">
            <w:pPr>
              <w:keepNext/>
              <w:rPr>
                <w:del w:id="8202" w:author="AbbVie19" w:date="2025-04-16T10:42:00Z"/>
                <w:szCs w:val="22"/>
              </w:rPr>
            </w:pPr>
          </w:p>
        </w:tc>
        <w:tc>
          <w:tcPr>
            <w:tcW w:w="3510" w:type="dxa"/>
          </w:tcPr>
          <w:p w14:paraId="2730C0A2" w14:textId="77777777" w:rsidR="00E83962" w:rsidRPr="00BC0E7E" w:rsidRDefault="00944B8F" w:rsidP="00762FA7">
            <w:pPr>
              <w:keepNext/>
              <w:rPr>
                <w:del w:id="8203" w:author="AbbVie19" w:date="2025-04-16T10:42:00Z"/>
                <w:szCs w:val="22"/>
              </w:rPr>
            </w:pPr>
            <w:del w:id="8204" w:author="AbbVie19" w:date="2025-04-16T10:42:00Z">
              <w:r w:rsidRPr="00BC0E7E">
                <w:rPr>
                  <w:szCs w:val="22"/>
                </w:rPr>
                <w:delText>Treatment</w:delText>
              </w:r>
            </w:del>
          </w:p>
        </w:tc>
        <w:tc>
          <w:tcPr>
            <w:tcW w:w="1170" w:type="dxa"/>
            <w:vAlign w:val="bottom"/>
          </w:tcPr>
          <w:p w14:paraId="145AC605" w14:textId="77777777" w:rsidR="00E83962" w:rsidRPr="00BC0E7E" w:rsidRDefault="00944B8F" w:rsidP="00762FA7">
            <w:pPr>
              <w:keepNext/>
              <w:jc w:val="center"/>
              <w:rPr>
                <w:del w:id="8205" w:author="AbbVie19" w:date="2025-04-16T10:42:00Z"/>
                <w:szCs w:val="22"/>
              </w:rPr>
            </w:pPr>
            <w:del w:id="8206" w:author="AbbVie19" w:date="2025-04-16T10:42:00Z">
              <w:r>
                <w:rPr>
                  <w:noProof/>
                  <w:szCs w:val="22"/>
                  <w:lang w:val="en-US"/>
                </w:rPr>
                <w:drawing>
                  <wp:inline distT="0" distB="0" distL="0" distR="0" wp14:anchorId="123EC899" wp14:editId="0DA259FF">
                    <wp:extent cx="461010" cy="119380"/>
                    <wp:effectExtent l="0" t="0" r="0" b="0"/>
                    <wp:docPr id="54" name="Picture 54"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23" descr="Humira PED UV KM Curve 1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61010" cy="119380"/>
                            </a:xfrm>
                            <a:prstGeom prst="rect">
                              <a:avLst/>
                            </a:prstGeom>
                            <a:noFill/>
                            <a:ln>
                              <a:noFill/>
                            </a:ln>
                          </pic:spPr>
                        </pic:pic>
                      </a:graphicData>
                    </a:graphic>
                  </wp:inline>
                </w:drawing>
              </w:r>
            </w:del>
          </w:p>
        </w:tc>
        <w:tc>
          <w:tcPr>
            <w:tcW w:w="1350" w:type="dxa"/>
          </w:tcPr>
          <w:p w14:paraId="796B6602" w14:textId="77777777" w:rsidR="00E83962" w:rsidRPr="00BC0E7E" w:rsidRDefault="00944B8F" w:rsidP="00762FA7">
            <w:pPr>
              <w:keepNext/>
              <w:rPr>
                <w:del w:id="8207" w:author="AbbVie19" w:date="2025-04-16T10:42:00Z"/>
                <w:szCs w:val="22"/>
              </w:rPr>
            </w:pPr>
            <w:del w:id="8208" w:author="AbbVie19" w:date="2025-04-16T10:42:00Z">
              <w:r w:rsidRPr="00BC0E7E">
                <w:rPr>
                  <w:szCs w:val="22"/>
                </w:rPr>
                <w:delText>Placebo</w:delText>
              </w:r>
            </w:del>
          </w:p>
        </w:tc>
        <w:tc>
          <w:tcPr>
            <w:tcW w:w="900" w:type="dxa"/>
            <w:vAlign w:val="center"/>
          </w:tcPr>
          <w:p w14:paraId="283563C6" w14:textId="77777777" w:rsidR="00E83962" w:rsidRPr="00BC0E7E" w:rsidRDefault="00944B8F" w:rsidP="00762FA7">
            <w:pPr>
              <w:keepNext/>
              <w:rPr>
                <w:del w:id="8209" w:author="AbbVie19" w:date="2025-04-16T10:42:00Z"/>
                <w:szCs w:val="22"/>
              </w:rPr>
            </w:pPr>
            <w:del w:id="8210" w:author="AbbVie19" w:date="2025-04-16T10:42:00Z">
              <w:r>
                <w:rPr>
                  <w:noProof/>
                  <w:szCs w:val="22"/>
                  <w:lang w:val="en-US"/>
                </w:rPr>
                <w:drawing>
                  <wp:inline distT="0" distB="0" distL="0" distR="0" wp14:anchorId="286338E5" wp14:editId="018A77F2">
                    <wp:extent cx="453390" cy="87630"/>
                    <wp:effectExtent l="0" t="0" r="3810" b="7620"/>
                    <wp:docPr id="55" name="Picture 55"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24" descr="Humira PED UV KM Curve 1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53390" cy="87630"/>
                            </a:xfrm>
                            <a:prstGeom prst="rect">
                              <a:avLst/>
                            </a:prstGeom>
                            <a:noFill/>
                            <a:ln>
                              <a:noFill/>
                            </a:ln>
                          </pic:spPr>
                        </pic:pic>
                      </a:graphicData>
                    </a:graphic>
                  </wp:inline>
                </w:drawing>
              </w:r>
            </w:del>
          </w:p>
        </w:tc>
        <w:tc>
          <w:tcPr>
            <w:tcW w:w="1890" w:type="dxa"/>
          </w:tcPr>
          <w:p w14:paraId="23415EF3" w14:textId="77777777" w:rsidR="00E83962" w:rsidRPr="00BC0E7E" w:rsidRDefault="00944B8F" w:rsidP="00762FA7">
            <w:pPr>
              <w:keepNext/>
              <w:rPr>
                <w:del w:id="8211" w:author="AbbVie19" w:date="2025-04-16T10:42:00Z"/>
                <w:szCs w:val="22"/>
              </w:rPr>
            </w:pPr>
            <w:del w:id="8212" w:author="AbbVie19" w:date="2025-04-16T10:42:00Z">
              <w:r w:rsidRPr="00BC0E7E">
                <w:rPr>
                  <w:szCs w:val="22"/>
                </w:rPr>
                <w:delText>Adalimumab</w:delText>
              </w:r>
            </w:del>
          </w:p>
        </w:tc>
      </w:tr>
      <w:tr w:rsidR="00C6578C" w14:paraId="670F99AB" w14:textId="77777777" w:rsidTr="00E83962">
        <w:trPr>
          <w:del w:id="8213" w:author="AbbVie19" w:date="2025-04-16T10:42:00Z"/>
        </w:trPr>
        <w:tc>
          <w:tcPr>
            <w:tcW w:w="468" w:type="dxa"/>
          </w:tcPr>
          <w:p w14:paraId="5BDF5410" w14:textId="77777777" w:rsidR="00E83962" w:rsidRPr="00BC0E7E" w:rsidRDefault="00E83962" w:rsidP="00762FA7">
            <w:pPr>
              <w:rPr>
                <w:del w:id="8214" w:author="AbbVie19" w:date="2025-04-16T10:42:00Z"/>
                <w:szCs w:val="22"/>
              </w:rPr>
            </w:pPr>
          </w:p>
        </w:tc>
        <w:tc>
          <w:tcPr>
            <w:tcW w:w="8820" w:type="dxa"/>
            <w:gridSpan w:val="5"/>
          </w:tcPr>
          <w:p w14:paraId="21A8E2C0" w14:textId="77777777" w:rsidR="00E83962" w:rsidRPr="00BC0E7E" w:rsidRDefault="00944B8F" w:rsidP="00762FA7">
            <w:pPr>
              <w:rPr>
                <w:del w:id="8215" w:author="AbbVie19" w:date="2025-04-16T10:42:00Z"/>
                <w:szCs w:val="22"/>
              </w:rPr>
            </w:pPr>
            <w:del w:id="8216" w:author="AbbVie19" w:date="2025-04-16T10:42:00Z">
              <w:r w:rsidRPr="00BC0E7E">
                <w:rPr>
                  <w:szCs w:val="22"/>
                </w:rPr>
                <w:delText>Note: P = Placebo (Number at Risk); H = HUMIRA (Number at Risk).</w:delText>
              </w:r>
            </w:del>
          </w:p>
        </w:tc>
      </w:tr>
    </w:tbl>
    <w:p w14:paraId="5C871E9E" w14:textId="77777777" w:rsidR="00E83962" w:rsidRPr="00BC0E7E" w:rsidRDefault="00E83962" w:rsidP="00762FA7">
      <w:pPr>
        <w:rPr>
          <w:del w:id="8217" w:author="AbbVie19" w:date="2025-04-16T10:42:00Z"/>
          <w:szCs w:val="20"/>
        </w:rPr>
      </w:pPr>
    </w:p>
    <w:p w14:paraId="46AE8A03" w14:textId="77777777" w:rsidR="00BC0E7E" w:rsidRPr="00BC0E7E" w:rsidRDefault="00944B8F" w:rsidP="00762FA7">
      <w:pPr>
        <w:keepNext/>
        <w:suppressAutoHyphens w:val="0"/>
        <w:outlineLvl w:val="1"/>
        <w:rPr>
          <w:del w:id="8218" w:author="AbbVie19" w:date="2025-04-16T10:42:00Z"/>
          <w:b/>
          <w:szCs w:val="20"/>
        </w:rPr>
      </w:pPr>
      <w:del w:id="8219" w:author="AbbVie19" w:date="2025-04-16T10:42:00Z">
        <w:r w:rsidRPr="00BC0E7E">
          <w:rPr>
            <w:b/>
            <w:szCs w:val="20"/>
          </w:rPr>
          <w:lastRenderedPageBreak/>
          <w:delText>5.2</w:delText>
        </w:r>
        <w:r w:rsidRPr="00BC0E7E">
          <w:rPr>
            <w:b/>
            <w:szCs w:val="20"/>
          </w:rPr>
          <w:tab/>
          <w:delText>Pharmacokinetic properties</w:delText>
        </w:r>
      </w:del>
    </w:p>
    <w:p w14:paraId="30F15D2C" w14:textId="77777777" w:rsidR="00BC0E7E" w:rsidRPr="00BC0E7E" w:rsidRDefault="00BC0E7E" w:rsidP="00762FA7">
      <w:pPr>
        <w:keepNext/>
        <w:rPr>
          <w:del w:id="8220" w:author="AbbVie19" w:date="2025-04-16T10:42:00Z"/>
          <w:szCs w:val="20"/>
        </w:rPr>
      </w:pPr>
    </w:p>
    <w:p w14:paraId="369030C9" w14:textId="77777777" w:rsidR="00BC0E7E" w:rsidRPr="00BC0E7E" w:rsidRDefault="00944B8F" w:rsidP="00762FA7">
      <w:pPr>
        <w:keepNext/>
        <w:autoSpaceDE w:val="0"/>
        <w:autoSpaceDN w:val="0"/>
        <w:adjustRightInd w:val="0"/>
        <w:rPr>
          <w:del w:id="8221" w:author="AbbVie19" w:date="2025-04-16T10:42:00Z"/>
          <w:u w:val="single"/>
        </w:rPr>
      </w:pPr>
      <w:del w:id="8222" w:author="AbbVie19" w:date="2025-04-16T10:42:00Z">
        <w:r w:rsidRPr="00BC0E7E">
          <w:rPr>
            <w:u w:val="single"/>
          </w:rPr>
          <w:delText>Absorption and distribution</w:delText>
        </w:r>
      </w:del>
    </w:p>
    <w:p w14:paraId="54AC53A7" w14:textId="77777777" w:rsidR="00BC0E7E" w:rsidRPr="00BC0E7E" w:rsidRDefault="00BC0E7E" w:rsidP="00762FA7">
      <w:pPr>
        <w:keepNext/>
        <w:autoSpaceDE w:val="0"/>
        <w:autoSpaceDN w:val="0"/>
        <w:adjustRightInd w:val="0"/>
        <w:rPr>
          <w:del w:id="8223" w:author="AbbVie19" w:date="2025-04-16T10:42:00Z"/>
        </w:rPr>
      </w:pPr>
    </w:p>
    <w:p w14:paraId="72121631" w14:textId="77777777" w:rsidR="00BC0E7E" w:rsidRPr="00BC0E7E" w:rsidRDefault="00944B8F" w:rsidP="00762FA7">
      <w:pPr>
        <w:keepNext/>
        <w:autoSpaceDE w:val="0"/>
        <w:autoSpaceDN w:val="0"/>
        <w:adjustRightInd w:val="0"/>
        <w:rPr>
          <w:del w:id="8224" w:author="AbbVie19" w:date="2025-04-16T10:42:00Z"/>
        </w:rPr>
      </w:pPr>
      <w:del w:id="8225" w:author="AbbVie19" w:date="2025-04-16T10:42:00Z">
        <w:r w:rsidRPr="00BC0E7E">
          <w:delText>After subcutaneous administration of a single 40 mg dose, absorption and distribution of adalimumab was slow, with peak serum concentrations being reached about 5 days after administration. The average absolute bioavailability of adalimumab estimated from three studies following a single 40 mg subcutaneous dose was 64%. After single intravenous doses ranging from 0.25 to 10 mg/kg, concentrations were dose proportional. After doses of 0.5 mg/kg (~40 mg), clearances ranged from 11 to 15 ml/hour, the distribution volume (V</w:delText>
        </w:r>
        <w:r w:rsidRPr="00BC0E7E">
          <w:rPr>
            <w:vertAlign w:val="subscript"/>
          </w:rPr>
          <w:delText>ss</w:delText>
        </w:r>
        <w:r w:rsidRPr="00BC0E7E">
          <w:delText>) ranged from 5 to 6 litres and the mean terminal phase half-life was approximately two weeks. Adalimumab concentrations in the synovial fluid from several rheumatoid arthritis patients ranged from 31-96% of those in serum.</w:delText>
        </w:r>
      </w:del>
    </w:p>
    <w:p w14:paraId="3AEA3E8D" w14:textId="77777777" w:rsidR="00BC0E7E" w:rsidRPr="00BC0E7E" w:rsidRDefault="00BC0E7E" w:rsidP="00762FA7">
      <w:pPr>
        <w:autoSpaceDE w:val="0"/>
        <w:autoSpaceDN w:val="0"/>
        <w:adjustRightInd w:val="0"/>
        <w:rPr>
          <w:del w:id="8226" w:author="AbbVie19" w:date="2025-04-16T10:42:00Z"/>
        </w:rPr>
      </w:pPr>
    </w:p>
    <w:p w14:paraId="476E7EAA" w14:textId="77777777" w:rsidR="00BC0E7E" w:rsidRPr="00BC0E7E" w:rsidRDefault="00944B8F" w:rsidP="00762FA7">
      <w:pPr>
        <w:autoSpaceDE w:val="0"/>
        <w:autoSpaceDN w:val="0"/>
        <w:adjustRightInd w:val="0"/>
        <w:rPr>
          <w:del w:id="8227" w:author="AbbVie19" w:date="2025-04-16T10:42:00Z"/>
        </w:rPr>
      </w:pPr>
      <w:del w:id="8228" w:author="AbbVie19" w:date="2025-04-16T10:42:00Z">
        <w:r w:rsidRPr="00BC0E7E">
          <w:delText>Following subcutaneous administration of 40 mg of adalimumab every other week in adult rheumatoid arthritis (RA) patients the mean steady-state trough concentrations were approximately 5 </w:delText>
        </w:r>
        <w:r w:rsidRPr="00BC0E7E">
          <w:rPr>
            <w:rFonts w:ascii="Symbol" w:eastAsia="Symbol" w:hAnsi="Symbol" w:cs="Symbol"/>
            <w:szCs w:val="22"/>
          </w:rPr>
          <w:sym w:font="Symbol" w:char="F06D"/>
        </w:r>
        <w:r w:rsidRPr="00BC0E7E">
          <w:delText>g/ml (without concomitant methotrexate) and 8 to 9 </w:delText>
        </w:r>
        <w:r w:rsidRPr="00BC0E7E">
          <w:rPr>
            <w:rFonts w:ascii="Symbol" w:eastAsia="Symbol" w:hAnsi="Symbol" w:cs="Symbol"/>
            <w:szCs w:val="22"/>
          </w:rPr>
          <w:sym w:font="Symbol" w:char="F06D"/>
        </w:r>
        <w:r w:rsidRPr="00BC0E7E">
          <w:delText>g/ml (with concomitant methotrexate), respectively.  The serum adalimumab trough levels at steady-state increased roughly proportionally with dose following 20, 40 and 80 mg subcutaneous dosing every other week and every week.</w:delText>
        </w:r>
      </w:del>
    </w:p>
    <w:p w14:paraId="74FE189F" w14:textId="77777777" w:rsidR="00BC0E7E" w:rsidRPr="00BC0E7E" w:rsidRDefault="00BC0E7E" w:rsidP="00762FA7">
      <w:pPr>
        <w:autoSpaceDE w:val="0"/>
        <w:autoSpaceDN w:val="0"/>
        <w:adjustRightInd w:val="0"/>
        <w:rPr>
          <w:del w:id="8229" w:author="AbbVie19" w:date="2025-04-16T10:42:00Z"/>
        </w:rPr>
      </w:pPr>
    </w:p>
    <w:p w14:paraId="530375EF" w14:textId="77777777" w:rsidR="00BC0E7E" w:rsidRPr="00BC0E7E" w:rsidRDefault="00944B8F" w:rsidP="00762FA7">
      <w:pPr>
        <w:autoSpaceDE w:val="0"/>
        <w:autoSpaceDN w:val="0"/>
        <w:adjustRightInd w:val="0"/>
        <w:rPr>
          <w:del w:id="8230" w:author="AbbVie19" w:date="2025-04-16T10:42:00Z"/>
        </w:rPr>
      </w:pPr>
      <w:del w:id="8231" w:author="AbbVie19" w:date="2025-04-16T10:42:00Z">
        <w:r w:rsidRPr="00BC0E7E">
          <w:delText>Following the administration of 24 mg/m</w:delText>
        </w:r>
        <w:r w:rsidRPr="00BC0E7E">
          <w:rPr>
            <w:vertAlign w:val="superscript"/>
          </w:rPr>
          <w:delText>2</w:delText>
        </w:r>
        <w:r w:rsidRPr="00BC0E7E">
          <w:delText xml:space="preserve"> (maximum of 40 mg) subcutaneously every other week to patients with polyarticular juvenile idiopathic arthritis (JIA) who were 4 to 17 years the mean trough steady-state (values measured from Week 20 to 48) serum adalimumab concentration was 5.6 ± 5.6 µg/ml (102% CV) for adalimumab without concomitant methotrexate and 10.9 ± 5.2 µg/ml (47.7% CV) with concomitant methotrexate.</w:delText>
        </w:r>
      </w:del>
    </w:p>
    <w:p w14:paraId="46D03A80" w14:textId="77777777" w:rsidR="00BC0E7E" w:rsidRPr="00BC0E7E" w:rsidRDefault="00BC0E7E" w:rsidP="00762FA7">
      <w:pPr>
        <w:autoSpaceDE w:val="0"/>
        <w:autoSpaceDN w:val="0"/>
        <w:adjustRightInd w:val="0"/>
        <w:rPr>
          <w:del w:id="8232" w:author="AbbVie19" w:date="2025-04-16T10:42:00Z"/>
        </w:rPr>
      </w:pPr>
    </w:p>
    <w:p w14:paraId="3D6110D3" w14:textId="77777777" w:rsidR="00BC0E7E" w:rsidRPr="00BC0E7E" w:rsidRDefault="00944B8F" w:rsidP="00762FA7">
      <w:pPr>
        <w:autoSpaceDE w:val="0"/>
        <w:autoSpaceDN w:val="0"/>
        <w:adjustRightInd w:val="0"/>
        <w:rPr>
          <w:del w:id="8233" w:author="AbbVie19" w:date="2025-04-16T10:42:00Z"/>
          <w:szCs w:val="22"/>
        </w:rPr>
      </w:pPr>
      <w:del w:id="8234" w:author="AbbVie19" w:date="2025-04-16T10:42:00Z">
        <w:r w:rsidRPr="00BC0E7E">
          <w:rPr>
            <w:szCs w:val="22"/>
          </w:rPr>
          <w:delText xml:space="preserve">In patients with </w:delText>
        </w:r>
        <w:r w:rsidRPr="00BC0E7E">
          <w:delText>polyarticular</w:delText>
        </w:r>
        <w:r w:rsidRPr="00BC0E7E">
          <w:rPr>
            <w:szCs w:val="22"/>
          </w:rPr>
          <w:delText xml:space="preserve"> JIA who were 2</w:delText>
        </w:r>
        <w:r w:rsidRPr="00BC0E7E">
          <w:delText> </w:delText>
        </w:r>
        <w:r w:rsidRPr="00BC0E7E">
          <w:rPr>
            <w:szCs w:val="22"/>
          </w:rPr>
          <w:delText>to</w:delText>
        </w:r>
        <w:r w:rsidRPr="00BC0E7E">
          <w:delText> </w:delText>
        </w:r>
        <w:r w:rsidRPr="00BC0E7E">
          <w:rPr>
            <w:szCs w:val="22"/>
          </w:rPr>
          <w:delText>&lt;4</w:delText>
        </w:r>
        <w:r w:rsidRPr="00BC0E7E">
          <w:delText> </w:delText>
        </w:r>
        <w:r w:rsidRPr="00BC0E7E">
          <w:rPr>
            <w:szCs w:val="22"/>
          </w:rPr>
          <w:delText>years old or aged 4 and above weighing &lt;15</w:delText>
        </w:r>
        <w:r w:rsidRPr="00BC0E7E">
          <w:delText> </w:delText>
        </w:r>
        <w:r w:rsidRPr="00BC0E7E">
          <w:rPr>
            <w:szCs w:val="22"/>
          </w:rPr>
          <w:delText>kg dosed with adalimumab 24</w:delText>
        </w:r>
        <w:r w:rsidRPr="00BC0E7E">
          <w:delText> </w:delText>
        </w:r>
        <w:r w:rsidRPr="00BC0E7E">
          <w:rPr>
            <w:szCs w:val="22"/>
          </w:rPr>
          <w:delText>mg/m</w:delText>
        </w:r>
        <w:r w:rsidRPr="00BC0E7E">
          <w:rPr>
            <w:szCs w:val="22"/>
            <w:vertAlign w:val="superscript"/>
          </w:rPr>
          <w:delText>2</w:delText>
        </w:r>
        <w:r w:rsidRPr="00BC0E7E">
          <w:rPr>
            <w:szCs w:val="22"/>
          </w:rPr>
          <w:delText xml:space="preserve"> , the mean trough steady-state serum adalimumab concentrations was 6.0</w:delText>
        </w:r>
        <w:r w:rsidRPr="00BC0E7E">
          <w:delText> </w:delText>
        </w:r>
        <w:r w:rsidRPr="00BC0E7E">
          <w:rPr>
            <w:szCs w:val="22"/>
          </w:rPr>
          <w:delText>±</w:delText>
        </w:r>
        <w:r w:rsidRPr="00BC0E7E">
          <w:delText> </w:delText>
        </w:r>
        <w:r w:rsidRPr="00BC0E7E">
          <w:rPr>
            <w:szCs w:val="22"/>
          </w:rPr>
          <w:delText>6.1</w:delText>
        </w:r>
        <w:r w:rsidRPr="00BC0E7E">
          <w:delText> </w:delText>
        </w:r>
        <w:r w:rsidRPr="00BC0E7E">
          <w:rPr>
            <w:szCs w:val="22"/>
          </w:rPr>
          <w:delText>µg/ml</w:delText>
        </w:r>
        <w:r w:rsidRPr="00BC0E7E">
          <w:delText> </w:delText>
        </w:r>
        <w:r w:rsidRPr="00BC0E7E">
          <w:rPr>
            <w:szCs w:val="22"/>
          </w:rPr>
          <w:delText>(101% CV) for adalimumab without concomitant methotrexate and 7.9</w:delText>
        </w:r>
        <w:r w:rsidRPr="00BC0E7E">
          <w:delText> </w:delText>
        </w:r>
        <w:r w:rsidRPr="00BC0E7E">
          <w:rPr>
            <w:szCs w:val="22"/>
          </w:rPr>
          <w:delText>±</w:delText>
        </w:r>
        <w:r w:rsidRPr="00BC0E7E">
          <w:delText> </w:delText>
        </w:r>
        <w:r w:rsidRPr="00BC0E7E">
          <w:rPr>
            <w:szCs w:val="22"/>
          </w:rPr>
          <w:delText>5.6</w:delText>
        </w:r>
        <w:r w:rsidRPr="00BC0E7E">
          <w:delText> </w:delText>
        </w:r>
        <w:r w:rsidRPr="00BC0E7E">
          <w:rPr>
            <w:szCs w:val="22"/>
          </w:rPr>
          <w:delText>µg/ml (71.2% CV) with concomitant methotrexate.</w:delText>
        </w:r>
      </w:del>
    </w:p>
    <w:p w14:paraId="4FCF3DB3" w14:textId="77777777" w:rsidR="00BC0E7E" w:rsidRPr="00BC0E7E" w:rsidRDefault="00BC0E7E" w:rsidP="00762FA7">
      <w:pPr>
        <w:tabs>
          <w:tab w:val="clear" w:pos="562"/>
        </w:tabs>
        <w:suppressAutoHyphens w:val="0"/>
        <w:rPr>
          <w:del w:id="8235" w:author="AbbVie19" w:date="2025-04-16T10:42:00Z"/>
          <w:szCs w:val="22"/>
        </w:rPr>
      </w:pPr>
    </w:p>
    <w:p w14:paraId="5C7EEE11" w14:textId="77777777" w:rsidR="00BC0E7E" w:rsidRPr="00BC0E7E" w:rsidRDefault="00944B8F" w:rsidP="00762FA7">
      <w:pPr>
        <w:tabs>
          <w:tab w:val="clear" w:pos="562"/>
        </w:tabs>
        <w:suppressAutoHyphens w:val="0"/>
        <w:rPr>
          <w:del w:id="8236" w:author="AbbVie19" w:date="2025-04-16T10:42:00Z"/>
          <w:sz w:val="24"/>
        </w:rPr>
      </w:pPr>
      <w:del w:id="8237" w:author="AbbVie19" w:date="2025-04-16T10:42:00Z">
        <w:r w:rsidRPr="00BC0E7E">
          <w:rPr>
            <w:szCs w:val="22"/>
          </w:rPr>
          <w:delText>Following the administration of 24</w:delText>
        </w:r>
        <w:r w:rsidRPr="00BC0E7E">
          <w:rPr>
            <w:sz w:val="24"/>
          </w:rPr>
          <w:delText> </w:delText>
        </w:r>
        <w:r w:rsidRPr="00BC0E7E">
          <w:rPr>
            <w:szCs w:val="22"/>
          </w:rPr>
          <w:delText>mg/m</w:delText>
        </w:r>
        <w:r w:rsidRPr="00BC0E7E">
          <w:rPr>
            <w:szCs w:val="22"/>
            <w:vertAlign w:val="superscript"/>
          </w:rPr>
          <w:delText>2</w:delText>
        </w:r>
        <w:r w:rsidRPr="00BC0E7E">
          <w:rPr>
            <w:szCs w:val="22"/>
          </w:rPr>
          <w:delText xml:space="preserve"> (maximum of 40</w:delText>
        </w:r>
        <w:r w:rsidRPr="00BC0E7E">
          <w:rPr>
            <w:sz w:val="24"/>
          </w:rPr>
          <w:delText> </w:delText>
        </w:r>
        <w:r w:rsidRPr="00BC0E7E">
          <w:rPr>
            <w:szCs w:val="22"/>
          </w:rPr>
          <w:delText>mg) subcutaneously every other week to patients with enthesitis-related arthritis who were 6 to 17</w:delText>
        </w:r>
        <w:r w:rsidRPr="00BC0E7E">
          <w:rPr>
            <w:sz w:val="24"/>
          </w:rPr>
          <w:delText> </w:delText>
        </w:r>
        <w:r w:rsidRPr="00BC0E7E">
          <w:rPr>
            <w:szCs w:val="22"/>
          </w:rPr>
          <w:delText>years, the mean trough steady-state (values measured at Week</w:delText>
        </w:r>
        <w:r w:rsidRPr="00BC0E7E">
          <w:rPr>
            <w:sz w:val="24"/>
          </w:rPr>
          <w:delText> </w:delText>
        </w:r>
        <w:r w:rsidRPr="00BC0E7E">
          <w:rPr>
            <w:szCs w:val="22"/>
          </w:rPr>
          <w:delText>24) serum adalimumab concentrations were 8.8</w:delText>
        </w:r>
        <w:r w:rsidRPr="00BC0E7E">
          <w:rPr>
            <w:sz w:val="24"/>
          </w:rPr>
          <w:delText> </w:delText>
        </w:r>
        <w:r w:rsidRPr="00BC0E7E">
          <w:rPr>
            <w:szCs w:val="22"/>
          </w:rPr>
          <w:delText>±</w:delText>
        </w:r>
        <w:r w:rsidRPr="00BC0E7E">
          <w:rPr>
            <w:sz w:val="24"/>
          </w:rPr>
          <w:delText> </w:delText>
        </w:r>
        <w:r w:rsidRPr="00BC0E7E">
          <w:rPr>
            <w:szCs w:val="22"/>
          </w:rPr>
          <w:delText>6.6</w:delText>
        </w:r>
        <w:r w:rsidRPr="00BC0E7E">
          <w:rPr>
            <w:sz w:val="24"/>
          </w:rPr>
          <w:delText> </w:delText>
        </w:r>
        <w:r w:rsidRPr="00BC0E7E">
          <w:rPr>
            <w:szCs w:val="22"/>
          </w:rPr>
          <w:delText>μg/ml for adalimumab without concomitant methotrexate and 11.8</w:delText>
        </w:r>
        <w:r w:rsidRPr="00BC0E7E">
          <w:rPr>
            <w:sz w:val="24"/>
          </w:rPr>
          <w:delText> </w:delText>
        </w:r>
        <w:r w:rsidRPr="00BC0E7E">
          <w:rPr>
            <w:szCs w:val="22"/>
          </w:rPr>
          <w:delText>±</w:delText>
        </w:r>
        <w:r w:rsidRPr="00BC0E7E">
          <w:rPr>
            <w:sz w:val="24"/>
          </w:rPr>
          <w:delText> </w:delText>
        </w:r>
        <w:r w:rsidRPr="00BC0E7E">
          <w:rPr>
            <w:szCs w:val="22"/>
          </w:rPr>
          <w:delText>4.3</w:delText>
        </w:r>
        <w:r w:rsidRPr="00BC0E7E">
          <w:rPr>
            <w:sz w:val="24"/>
          </w:rPr>
          <w:delText> </w:delText>
        </w:r>
        <w:r w:rsidRPr="00BC0E7E">
          <w:rPr>
            <w:szCs w:val="22"/>
          </w:rPr>
          <w:delText>μg/ml with concomitant methotrexate.</w:delText>
        </w:r>
      </w:del>
    </w:p>
    <w:p w14:paraId="0C7FED8D" w14:textId="77777777" w:rsidR="00BC0E7E" w:rsidRDefault="00BC0E7E" w:rsidP="00762FA7">
      <w:pPr>
        <w:autoSpaceDE w:val="0"/>
        <w:autoSpaceDN w:val="0"/>
        <w:adjustRightInd w:val="0"/>
        <w:rPr>
          <w:del w:id="8238" w:author="AbbVie19" w:date="2025-04-16T10:42:00Z"/>
        </w:rPr>
      </w:pPr>
    </w:p>
    <w:p w14:paraId="22C8F8DD" w14:textId="77777777" w:rsidR="00F676CB" w:rsidRDefault="00944B8F" w:rsidP="00762FA7">
      <w:pPr>
        <w:autoSpaceDE w:val="0"/>
        <w:autoSpaceDN w:val="0"/>
        <w:adjustRightInd w:val="0"/>
        <w:rPr>
          <w:del w:id="8239" w:author="AbbVie19" w:date="2025-04-16T10:42:00Z"/>
        </w:rPr>
      </w:pPr>
      <w:del w:id="8240" w:author="AbbVie19" w:date="2025-04-16T10:42:00Z">
        <w:r>
          <w:delText>Following subcutaneous administration of 40 mg of adalimumab every other week in adult non-radiographic axial spondyloarthritis patients, the mean (±SD) trough steady-state concentration at Week 68 was 8.0 ± 4.6 </w:delText>
        </w:r>
        <w:r>
          <w:rPr>
            <w:rFonts w:ascii="Symbol" w:eastAsia="Symbol" w:hAnsi="Symbol" w:cs="Symbol"/>
          </w:rPr>
          <w:sym w:font="Symbol" w:char="F06D"/>
        </w:r>
        <w:r>
          <w:delText>g/ml.</w:delText>
        </w:r>
      </w:del>
    </w:p>
    <w:p w14:paraId="13000A6F" w14:textId="77777777" w:rsidR="00F676CB" w:rsidRPr="00BC0E7E" w:rsidRDefault="00F676CB" w:rsidP="00762FA7">
      <w:pPr>
        <w:autoSpaceDE w:val="0"/>
        <w:autoSpaceDN w:val="0"/>
        <w:adjustRightInd w:val="0"/>
        <w:rPr>
          <w:del w:id="8241" w:author="AbbVie19" w:date="2025-04-16T10:42:00Z"/>
        </w:rPr>
      </w:pPr>
    </w:p>
    <w:p w14:paraId="039CF721" w14:textId="77777777" w:rsidR="00BC0E7E" w:rsidRPr="00BC0E7E" w:rsidRDefault="00944B8F" w:rsidP="00762FA7">
      <w:pPr>
        <w:autoSpaceDE w:val="0"/>
        <w:autoSpaceDN w:val="0"/>
        <w:adjustRightInd w:val="0"/>
        <w:rPr>
          <w:del w:id="8242" w:author="AbbVie19" w:date="2025-04-16T10:42:00Z"/>
        </w:rPr>
      </w:pPr>
      <w:del w:id="8243" w:author="AbbVie19" w:date="2025-04-16T10:42:00Z">
        <w:r w:rsidRPr="00BC0E7E">
          <w:delText>In adult patients with psoriasis, the mean steady-state trough concentration was 5 </w:delText>
        </w:r>
        <w:r w:rsidRPr="00BC0E7E">
          <w:rPr>
            <w:rFonts w:ascii="Symbol" w:eastAsia="Symbol" w:hAnsi="Symbol" w:cs="Symbol"/>
            <w:szCs w:val="22"/>
          </w:rPr>
          <w:sym w:font="Symbol" w:char="F06D"/>
        </w:r>
        <w:r w:rsidRPr="00BC0E7E">
          <w:delText xml:space="preserve">g/ml during adalimumab 40 mg </w:delText>
        </w:r>
        <w:r w:rsidRPr="00BC0E7E">
          <w:rPr>
            <w:bCs/>
          </w:rPr>
          <w:delText xml:space="preserve">every other week </w:delText>
        </w:r>
        <w:r w:rsidRPr="00BC0E7E">
          <w:delText>monotherapy treatment.</w:delText>
        </w:r>
      </w:del>
    </w:p>
    <w:p w14:paraId="37C1664F" w14:textId="77777777" w:rsidR="00BC0E7E" w:rsidRPr="00BC0E7E" w:rsidRDefault="00BC0E7E" w:rsidP="00762FA7">
      <w:pPr>
        <w:autoSpaceDE w:val="0"/>
        <w:autoSpaceDN w:val="0"/>
        <w:adjustRightInd w:val="0"/>
        <w:rPr>
          <w:del w:id="8244" w:author="AbbVie19" w:date="2025-04-16T10:42:00Z"/>
        </w:rPr>
      </w:pPr>
    </w:p>
    <w:p w14:paraId="117EBCD1" w14:textId="77777777" w:rsidR="00BC0E7E" w:rsidRPr="00BC0E7E" w:rsidRDefault="00944B8F" w:rsidP="00762FA7">
      <w:pPr>
        <w:rPr>
          <w:del w:id="8245" w:author="AbbVie19" w:date="2025-04-16T10:42:00Z"/>
          <w:szCs w:val="20"/>
        </w:rPr>
      </w:pPr>
      <w:del w:id="8246" w:author="AbbVie19" w:date="2025-04-16T10:42:00Z">
        <w:r w:rsidRPr="00BC0E7E">
          <w:rPr>
            <w:szCs w:val="20"/>
          </w:rPr>
          <w:delText>Following the administration of 0.8 mg/kg (maximum of 40 mg) subcutaneously every other week to paediatric patients with chronic plaque psoriasis, the mean ± SD steady-state adalimumab trough concentration was approximately 7.4 ± 5.8 µg/ml (79% CV).</w:delText>
        </w:r>
      </w:del>
    </w:p>
    <w:p w14:paraId="461E68C7" w14:textId="77777777" w:rsidR="00BC0E7E" w:rsidRPr="00BC0E7E" w:rsidRDefault="00BC0E7E" w:rsidP="00762FA7">
      <w:pPr>
        <w:rPr>
          <w:del w:id="8247" w:author="AbbVie19" w:date="2025-04-16T10:42:00Z"/>
          <w:szCs w:val="20"/>
        </w:rPr>
      </w:pPr>
    </w:p>
    <w:p w14:paraId="17A685BE" w14:textId="77777777" w:rsidR="00BC0E7E" w:rsidRPr="00BC0E7E" w:rsidRDefault="00944B8F" w:rsidP="00762FA7">
      <w:pPr>
        <w:autoSpaceDE w:val="0"/>
        <w:autoSpaceDN w:val="0"/>
        <w:adjustRightInd w:val="0"/>
        <w:rPr>
          <w:del w:id="8248" w:author="AbbVie19" w:date="2025-04-16T10:42:00Z"/>
        </w:rPr>
      </w:pPr>
      <w:del w:id="8249" w:author="AbbVie19" w:date="2025-04-16T10:42:00Z">
        <w:r w:rsidRPr="00BC0E7E">
          <w:delText xml:space="preserve">In adult patients with hidradenitis suppurativa, a dose of 160 mg Humira on Week 0 followed by 80 mg on Week 2 achieved serum adalimumab trough concentrations of approximately 7 to 8 μg/ml at Week 2 and Week 4.  The mean steady-state trough concentration at Week 12 through Week 36 were approximately 8 to 10 μg/ml during adalimumab 40 mg every week treatment.  </w:delText>
        </w:r>
      </w:del>
    </w:p>
    <w:p w14:paraId="6A658FA1" w14:textId="77777777" w:rsidR="00BC0E7E" w:rsidRPr="00BC0E7E" w:rsidRDefault="00BC0E7E" w:rsidP="00762FA7">
      <w:pPr>
        <w:autoSpaceDE w:val="0"/>
        <w:autoSpaceDN w:val="0"/>
        <w:adjustRightInd w:val="0"/>
        <w:rPr>
          <w:del w:id="8250" w:author="AbbVie19" w:date="2025-04-16T10:42:00Z"/>
        </w:rPr>
      </w:pPr>
    </w:p>
    <w:p w14:paraId="554409E0" w14:textId="77777777" w:rsidR="00BC0E7E" w:rsidRPr="00BC0E7E" w:rsidRDefault="00944B8F" w:rsidP="00762FA7">
      <w:pPr>
        <w:rPr>
          <w:del w:id="8251" w:author="AbbVie19" w:date="2025-04-16T10:42:00Z"/>
          <w:iCs/>
          <w:szCs w:val="20"/>
        </w:rPr>
      </w:pPr>
      <w:del w:id="8252" w:author="AbbVie19" w:date="2025-04-16T10:42:00Z">
        <w:r w:rsidRPr="00BC0E7E">
          <w:rPr>
            <w:iCs/>
            <w:szCs w:val="20"/>
          </w:rPr>
          <w:lastRenderedPageBreak/>
          <w:delText>Adalimumab exposure in adolescent HS patients was predicted using population pharmacokinetic modelling and simulation based on cross-indication pharmacokinetics in other paediatric patients (paediatric psoriasis, juvenile idiopathic arthritis, paediatric Crohn’s disease, and enthesitis-related arthritis). The recommended adolescent HS dosing schedule is 40 mg every other week. Since exposure to adalimumab can be affected by body size, adolescents with higher body weight and inadequate response may benefit from receiving the recommended adult dose of 40 mg every week.</w:delText>
        </w:r>
      </w:del>
    </w:p>
    <w:p w14:paraId="2E3BAFEA" w14:textId="77777777" w:rsidR="00BC0E7E" w:rsidRPr="00BC0E7E" w:rsidRDefault="00BC0E7E" w:rsidP="00762FA7">
      <w:pPr>
        <w:rPr>
          <w:del w:id="8253" w:author="AbbVie19" w:date="2025-04-16T10:42:00Z"/>
          <w:iCs/>
          <w:szCs w:val="20"/>
        </w:rPr>
      </w:pPr>
    </w:p>
    <w:p w14:paraId="42D8802B" w14:textId="77777777" w:rsidR="00BC0E7E" w:rsidRPr="00BC0E7E" w:rsidRDefault="00944B8F" w:rsidP="00762FA7">
      <w:pPr>
        <w:rPr>
          <w:del w:id="8254" w:author="AbbVie19" w:date="2025-04-16T10:42:00Z"/>
          <w:szCs w:val="20"/>
          <w:lang w:eastAsia="en-GB"/>
        </w:rPr>
      </w:pPr>
      <w:del w:id="8255" w:author="AbbVie19" w:date="2025-04-16T10:42:00Z">
        <w:r w:rsidRPr="00BC0E7E">
          <w:rPr>
            <w:szCs w:val="20"/>
          </w:rPr>
          <w:delText>In patients with Crohn’s disease, the loading dose of 80 mg Humira on Week 0 followed by 40 mg Humira on Week 2 achieves serum adalimumab trough concentrations of approximately 5.5 </w:delText>
        </w:r>
        <w:r w:rsidRPr="00BC0E7E">
          <w:rPr>
            <w:rFonts w:ascii="Symbol" w:eastAsia="Symbol" w:hAnsi="Symbol" w:cs="Symbol"/>
            <w:szCs w:val="22"/>
          </w:rPr>
          <w:sym w:font="Symbol" w:char="F06D"/>
        </w:r>
        <w:r w:rsidRPr="00BC0E7E">
          <w:rPr>
            <w:szCs w:val="20"/>
          </w:rPr>
          <w:delText>g/ml during the induction period. A loading dose of 160 mg Humira on Week 0 followed by 80 mg Humira on Week 2 achieves serum adalimumab trough concentrations of approximately 12 </w:delText>
        </w:r>
        <w:r w:rsidRPr="00BC0E7E">
          <w:rPr>
            <w:rFonts w:ascii="Symbol" w:eastAsia="Symbol" w:hAnsi="Symbol" w:cs="Symbol"/>
            <w:szCs w:val="22"/>
          </w:rPr>
          <w:sym w:font="Symbol" w:char="F06D"/>
        </w:r>
        <w:r w:rsidRPr="00BC0E7E">
          <w:rPr>
            <w:szCs w:val="20"/>
          </w:rPr>
          <w:delText>g/ml during the induction period. Mean steady-state trough levels of approximately 7 </w:delText>
        </w:r>
        <w:r w:rsidRPr="00BC0E7E">
          <w:rPr>
            <w:rFonts w:ascii="Symbol" w:eastAsia="Symbol" w:hAnsi="Symbol" w:cs="Symbol"/>
            <w:szCs w:val="22"/>
          </w:rPr>
          <w:sym w:font="Symbol" w:char="F06D"/>
        </w:r>
        <w:r w:rsidRPr="00BC0E7E">
          <w:rPr>
            <w:szCs w:val="20"/>
          </w:rPr>
          <w:delText>g/ml were observed in Crohn’s disease patients who received a maintenance dose of 40 mg Humira every other week.</w:delText>
        </w:r>
      </w:del>
    </w:p>
    <w:p w14:paraId="06B9DB80" w14:textId="77777777" w:rsidR="00BC0E7E" w:rsidRPr="00BC0E7E" w:rsidRDefault="00BC0E7E" w:rsidP="00762FA7">
      <w:pPr>
        <w:rPr>
          <w:del w:id="8256" w:author="AbbVie19" w:date="2025-04-16T10:42:00Z"/>
          <w:szCs w:val="20"/>
          <w:lang w:eastAsia="en-GB"/>
        </w:rPr>
      </w:pPr>
    </w:p>
    <w:p w14:paraId="232663DE" w14:textId="77777777" w:rsidR="00BC0E7E" w:rsidRPr="00BC0E7E" w:rsidRDefault="00944B8F" w:rsidP="00762FA7">
      <w:pPr>
        <w:rPr>
          <w:del w:id="8257" w:author="AbbVie19" w:date="2025-04-16T10:42:00Z"/>
          <w:szCs w:val="20"/>
        </w:rPr>
      </w:pPr>
      <w:del w:id="8258" w:author="AbbVie19" w:date="2025-04-16T10:42:00Z">
        <w:r w:rsidRPr="00BC0E7E">
          <w:rPr>
            <w:szCs w:val="20"/>
            <w:lang w:eastAsia="en-GB"/>
          </w:rPr>
          <w:delText>In paediatric patients with moderate to severe CD, the open-label adalimumab induction dose was 160/80</w:delText>
        </w:r>
        <w:r w:rsidRPr="00BC0E7E">
          <w:rPr>
            <w:szCs w:val="20"/>
          </w:rPr>
          <w:delText> </w:delText>
        </w:r>
        <w:r w:rsidRPr="00BC0E7E">
          <w:rPr>
            <w:szCs w:val="20"/>
            <w:lang w:eastAsia="en-GB"/>
          </w:rPr>
          <w:delText>mg or 80/40</w:delText>
        </w:r>
        <w:r w:rsidRPr="00BC0E7E">
          <w:rPr>
            <w:szCs w:val="20"/>
          </w:rPr>
          <w:delText> </w:delText>
        </w:r>
        <w:r w:rsidRPr="00BC0E7E">
          <w:rPr>
            <w:szCs w:val="20"/>
            <w:lang w:eastAsia="en-GB"/>
          </w:rPr>
          <w:delText>mg at Weeks</w:delText>
        </w:r>
        <w:r w:rsidRPr="00BC0E7E">
          <w:rPr>
            <w:szCs w:val="20"/>
          </w:rPr>
          <w:delText> </w:delText>
        </w:r>
        <w:r w:rsidRPr="00BC0E7E">
          <w:rPr>
            <w:szCs w:val="20"/>
            <w:lang w:eastAsia="en-GB"/>
          </w:rPr>
          <w:delText>0 and 2, respectively, dependent on a body weight cut-off of 40</w:delText>
        </w:r>
        <w:r w:rsidRPr="00BC0E7E">
          <w:rPr>
            <w:szCs w:val="20"/>
          </w:rPr>
          <w:delText> </w:delText>
        </w:r>
        <w:r w:rsidRPr="00BC0E7E">
          <w:rPr>
            <w:szCs w:val="20"/>
            <w:lang w:eastAsia="en-GB"/>
          </w:rPr>
          <w:delText>kg.  At Week</w:delText>
        </w:r>
        <w:r w:rsidRPr="00BC0E7E">
          <w:rPr>
            <w:szCs w:val="20"/>
          </w:rPr>
          <w:delText> </w:delText>
        </w:r>
        <w:r w:rsidRPr="00BC0E7E">
          <w:rPr>
            <w:szCs w:val="20"/>
            <w:lang w:eastAsia="en-GB"/>
          </w:rPr>
          <w:delText xml:space="preserve">4, patients were </w:delText>
        </w:r>
        <w:r w:rsidRPr="00BC0E7E">
          <w:rPr>
            <w:szCs w:val="20"/>
          </w:rPr>
          <w:delText>randomised 1:1 to either the Standard Dose (</w:delText>
        </w:r>
        <w:r w:rsidRPr="00BC0E7E">
          <w:rPr>
            <w:szCs w:val="20"/>
            <w:lang w:eastAsia="en-GB"/>
          </w:rPr>
          <w:delText>40/20</w:delText>
        </w:r>
        <w:r w:rsidRPr="00BC0E7E">
          <w:rPr>
            <w:szCs w:val="20"/>
          </w:rPr>
          <w:delText> </w:delText>
        </w:r>
        <w:r w:rsidRPr="00BC0E7E">
          <w:rPr>
            <w:szCs w:val="20"/>
            <w:lang w:eastAsia="en-GB"/>
          </w:rPr>
          <w:delText xml:space="preserve">mg eow) </w:delText>
        </w:r>
        <w:r w:rsidRPr="00BC0E7E">
          <w:rPr>
            <w:szCs w:val="20"/>
          </w:rPr>
          <w:delText>or Low Dose (</w:delText>
        </w:r>
        <w:r w:rsidRPr="00BC0E7E">
          <w:rPr>
            <w:szCs w:val="20"/>
            <w:lang w:eastAsia="en-GB"/>
          </w:rPr>
          <w:delText>20/10</w:delText>
        </w:r>
        <w:r w:rsidRPr="00BC0E7E">
          <w:rPr>
            <w:szCs w:val="20"/>
          </w:rPr>
          <w:delText> </w:delText>
        </w:r>
        <w:r w:rsidRPr="00BC0E7E">
          <w:rPr>
            <w:szCs w:val="20"/>
            <w:lang w:eastAsia="en-GB"/>
          </w:rPr>
          <w:delText xml:space="preserve">mg eow) </w:delText>
        </w:r>
        <w:r w:rsidRPr="00BC0E7E">
          <w:rPr>
            <w:szCs w:val="20"/>
          </w:rPr>
          <w:delText>maintenance treatment groups based on their body weight</w:delText>
        </w:r>
        <w:r w:rsidRPr="00BC0E7E">
          <w:rPr>
            <w:szCs w:val="20"/>
            <w:lang w:eastAsia="en-GB"/>
          </w:rPr>
          <w:delText xml:space="preserve">. </w:delText>
        </w:r>
        <w:r w:rsidRPr="00BC0E7E">
          <w:rPr>
            <w:szCs w:val="22"/>
            <w:lang w:eastAsia="en-GB"/>
          </w:rPr>
          <w:delText>The mean (</w:delText>
        </w:r>
        <w:r w:rsidRPr="00BC0E7E">
          <w:rPr>
            <w:rFonts w:eastAsia="Arial Unicode MS"/>
            <w:szCs w:val="20"/>
          </w:rPr>
          <w:delText xml:space="preserve">±SD) </w:delText>
        </w:r>
        <w:r w:rsidRPr="00BC0E7E">
          <w:rPr>
            <w:szCs w:val="22"/>
            <w:lang w:eastAsia="en-GB"/>
          </w:rPr>
          <w:delText>serum adalimumab trough concentrations achieved at Week</w:delText>
        </w:r>
        <w:r w:rsidRPr="00BC0E7E">
          <w:rPr>
            <w:szCs w:val="20"/>
          </w:rPr>
          <w:delText> </w:delText>
        </w:r>
        <w:r w:rsidRPr="00BC0E7E">
          <w:rPr>
            <w:szCs w:val="22"/>
            <w:lang w:eastAsia="en-GB"/>
          </w:rPr>
          <w:delText>4 were 15.7</w:delText>
        </w:r>
        <w:r w:rsidRPr="00BC0E7E">
          <w:rPr>
            <w:rFonts w:eastAsia="Arial Unicode MS"/>
            <w:szCs w:val="20"/>
          </w:rPr>
          <w:delText>±6.6</w:delText>
        </w:r>
        <w:r w:rsidRPr="00BC0E7E">
          <w:rPr>
            <w:szCs w:val="20"/>
          </w:rPr>
          <w:delText> </w:delText>
        </w:r>
        <w:r w:rsidRPr="00BC0E7E">
          <w:rPr>
            <w:rFonts w:ascii="Symbol" w:eastAsia="Symbol" w:hAnsi="Symbol" w:cs="Symbol"/>
            <w:szCs w:val="22"/>
          </w:rPr>
          <w:sym w:font="Symbol" w:char="F06D"/>
        </w:r>
        <w:r w:rsidRPr="00BC0E7E">
          <w:rPr>
            <w:szCs w:val="20"/>
          </w:rPr>
          <w:delText xml:space="preserve">g/ml for patients ≥ 40 kg (160/80 mg) and </w:delText>
        </w:r>
        <w:r w:rsidRPr="00BC0E7E">
          <w:rPr>
            <w:szCs w:val="22"/>
            <w:lang w:eastAsia="en-GB"/>
          </w:rPr>
          <w:delText>10.6</w:delText>
        </w:r>
        <w:r w:rsidRPr="00BC0E7E">
          <w:rPr>
            <w:rFonts w:eastAsia="Arial Unicode MS"/>
            <w:szCs w:val="20"/>
          </w:rPr>
          <w:delText>±6.1</w:delText>
        </w:r>
        <w:r w:rsidRPr="00BC0E7E">
          <w:rPr>
            <w:szCs w:val="20"/>
          </w:rPr>
          <w:delText> </w:delText>
        </w:r>
        <w:r w:rsidRPr="00BC0E7E">
          <w:rPr>
            <w:rFonts w:ascii="Symbol" w:eastAsia="Symbol" w:hAnsi="Symbol" w:cs="Symbol"/>
            <w:szCs w:val="22"/>
          </w:rPr>
          <w:sym w:font="Symbol" w:char="F06D"/>
        </w:r>
        <w:r w:rsidRPr="00BC0E7E">
          <w:rPr>
            <w:szCs w:val="20"/>
          </w:rPr>
          <w:delText xml:space="preserve">g/ml for patients &lt; 40 kg (80/40 mg). </w:delText>
        </w:r>
      </w:del>
    </w:p>
    <w:p w14:paraId="12D1EF21" w14:textId="77777777" w:rsidR="00BC0E7E" w:rsidRPr="00BC0E7E" w:rsidRDefault="00BC0E7E" w:rsidP="00762FA7">
      <w:pPr>
        <w:rPr>
          <w:del w:id="8259" w:author="AbbVie19" w:date="2025-04-16T10:42:00Z"/>
          <w:szCs w:val="20"/>
          <w:lang w:eastAsia="en-GB"/>
        </w:rPr>
      </w:pPr>
    </w:p>
    <w:p w14:paraId="1ACF704D" w14:textId="77777777" w:rsidR="00BC0E7E" w:rsidRPr="00BC0E7E" w:rsidRDefault="00944B8F" w:rsidP="00762FA7">
      <w:pPr>
        <w:autoSpaceDE w:val="0"/>
        <w:autoSpaceDN w:val="0"/>
        <w:adjustRightInd w:val="0"/>
        <w:rPr>
          <w:del w:id="8260" w:author="AbbVie19" w:date="2025-04-16T10:42:00Z"/>
        </w:rPr>
      </w:pPr>
      <w:del w:id="8261" w:author="AbbVie19" w:date="2025-04-16T10:42:00Z">
        <w:r w:rsidRPr="00BC0E7E">
          <w:rPr>
            <w:rFonts w:eastAsia="Arial Unicode MS"/>
          </w:rPr>
          <w:delText>F</w:delText>
        </w:r>
        <w:r w:rsidRPr="00BC0E7E">
          <w:delText xml:space="preserve">or patients who stayed on their randomised therapy, the mean </w:delText>
        </w:r>
        <w:r w:rsidRPr="00BC0E7E">
          <w:rPr>
            <w:szCs w:val="22"/>
            <w:lang w:eastAsia="en-GB"/>
          </w:rPr>
          <w:delText>(</w:delText>
        </w:r>
        <w:r w:rsidRPr="00BC0E7E">
          <w:rPr>
            <w:rFonts w:eastAsia="Arial Unicode MS"/>
          </w:rPr>
          <w:delText xml:space="preserve">±SD) </w:delText>
        </w:r>
        <w:r w:rsidRPr="00BC0E7E">
          <w:delText xml:space="preserve">adalimumab trough concentrations at Week 52 were </w:delText>
        </w:r>
        <w:r w:rsidRPr="00BC0E7E">
          <w:rPr>
            <w:rFonts w:eastAsia="Arial Unicode MS"/>
          </w:rPr>
          <w:delText>9.5±5.6</w:delText>
        </w:r>
        <w:r w:rsidRPr="00BC0E7E">
          <w:rPr>
            <w:rFonts w:ascii="Symbol" w:eastAsia="Symbol" w:hAnsi="Symbol" w:cs="Symbol"/>
            <w:szCs w:val="22"/>
          </w:rPr>
          <w:sym w:font="Symbol" w:char="F06D"/>
        </w:r>
        <w:r w:rsidRPr="00BC0E7E">
          <w:delText xml:space="preserve">g/ml for the Standard Dose group and </w:delText>
        </w:r>
        <w:r w:rsidRPr="00BC0E7E">
          <w:rPr>
            <w:rFonts w:eastAsia="Arial Unicode MS"/>
          </w:rPr>
          <w:delText>3.5±2.2</w:delText>
        </w:r>
        <w:r w:rsidRPr="00BC0E7E">
          <w:delText> </w:delText>
        </w:r>
        <w:r w:rsidRPr="00BC0E7E">
          <w:rPr>
            <w:rFonts w:ascii="Symbol" w:eastAsia="Symbol" w:hAnsi="Symbol" w:cs="Symbol"/>
            <w:szCs w:val="22"/>
          </w:rPr>
          <w:sym w:font="Symbol" w:char="F06D"/>
        </w:r>
        <w:r w:rsidRPr="00BC0E7E">
          <w:delText xml:space="preserve">g/ml for the Low Dose group.  </w:delText>
        </w:r>
        <w:r w:rsidRPr="00BC0E7E">
          <w:rPr>
            <w:szCs w:val="22"/>
            <w:lang w:eastAsia="en-GB"/>
          </w:rPr>
          <w:delText>The mean trough concentrations were maintained in patients who continued to receive adalimumab treatment eow for 52</w:delText>
        </w:r>
        <w:r w:rsidRPr="00BC0E7E">
          <w:delText> </w:delText>
        </w:r>
        <w:r w:rsidRPr="00BC0E7E">
          <w:rPr>
            <w:szCs w:val="22"/>
            <w:lang w:eastAsia="en-GB"/>
          </w:rPr>
          <w:delText xml:space="preserve">weeks. </w:delText>
        </w:r>
        <w:r w:rsidRPr="00BC0E7E">
          <w:delText xml:space="preserve">For patients who dose escalated from eow to weekly regimen, the mean </w:delText>
        </w:r>
        <w:r w:rsidRPr="00BC0E7E">
          <w:rPr>
            <w:szCs w:val="22"/>
            <w:lang w:eastAsia="en-GB"/>
          </w:rPr>
          <w:delText>(</w:delText>
        </w:r>
        <w:r w:rsidRPr="00BC0E7E">
          <w:rPr>
            <w:rFonts w:eastAsia="Arial Unicode MS"/>
          </w:rPr>
          <w:delText xml:space="preserve">±SD) </w:delText>
        </w:r>
        <w:r w:rsidRPr="00BC0E7E">
          <w:delText>serum concentrations of adalimumab at Week 52 were 15.3</w:delText>
        </w:r>
        <w:r w:rsidRPr="00BC0E7E">
          <w:rPr>
            <w:rFonts w:eastAsia="Arial Unicode MS"/>
          </w:rPr>
          <w:delText>±11.4</w:delText>
        </w:r>
        <w:r w:rsidRPr="00BC0E7E">
          <w:delText xml:space="preserve"> μg/ml (40/20 mg, weekly) and 6.7</w:delText>
        </w:r>
        <w:r w:rsidRPr="00BC0E7E">
          <w:rPr>
            <w:rFonts w:eastAsia="Arial Unicode MS"/>
          </w:rPr>
          <w:delText>±3.5</w:delText>
        </w:r>
        <w:r w:rsidRPr="00BC0E7E">
          <w:delText> μg/ml (20/10 mg, weekly).</w:delText>
        </w:r>
      </w:del>
    </w:p>
    <w:p w14:paraId="2313ED00" w14:textId="77777777" w:rsidR="00BC0E7E" w:rsidRPr="00BC0E7E" w:rsidRDefault="00BC0E7E" w:rsidP="00762FA7">
      <w:pPr>
        <w:tabs>
          <w:tab w:val="clear" w:pos="562"/>
          <w:tab w:val="left" w:pos="638"/>
        </w:tabs>
        <w:autoSpaceDE w:val="0"/>
        <w:autoSpaceDN w:val="0"/>
        <w:adjustRightInd w:val="0"/>
        <w:rPr>
          <w:del w:id="8262" w:author="AbbVie19" w:date="2025-04-16T10:42:00Z"/>
        </w:rPr>
      </w:pPr>
    </w:p>
    <w:p w14:paraId="4E77E739" w14:textId="77777777" w:rsidR="00BC0E7E" w:rsidRPr="00BC0E7E" w:rsidRDefault="00944B8F" w:rsidP="00762FA7">
      <w:pPr>
        <w:tabs>
          <w:tab w:val="clear" w:pos="562"/>
          <w:tab w:val="left" w:pos="638"/>
        </w:tabs>
        <w:autoSpaceDE w:val="0"/>
        <w:autoSpaceDN w:val="0"/>
        <w:adjustRightInd w:val="0"/>
        <w:rPr>
          <w:del w:id="8263" w:author="AbbVie19" w:date="2025-04-16T10:42:00Z"/>
        </w:rPr>
      </w:pPr>
      <w:del w:id="8264" w:author="AbbVie19" w:date="2025-04-16T10:42:00Z">
        <w:r w:rsidRPr="00BC0E7E">
          <w:delText>In patients with ulcerative colitis, a loading dose of 160 mg Humira on Week 0 followed by 80 mg Humira on Week 2 achieves serum adalimumab trough concentrations of approximately 12 </w:delText>
        </w:r>
        <w:r w:rsidRPr="00BC0E7E">
          <w:rPr>
            <w:rFonts w:ascii="Symbol" w:eastAsia="Symbol" w:hAnsi="Symbol" w:cs="Symbol"/>
            <w:szCs w:val="22"/>
          </w:rPr>
          <w:sym w:font="Symbol" w:char="F06D"/>
        </w:r>
        <w:r w:rsidRPr="00BC0E7E">
          <w:delText>g/ml during the induction period.  Mean steady-state trough levels of approximately 8 </w:delText>
        </w:r>
        <w:r w:rsidRPr="00BC0E7E">
          <w:rPr>
            <w:rFonts w:ascii="Symbol" w:eastAsia="Symbol" w:hAnsi="Symbol" w:cs="Symbol"/>
            <w:szCs w:val="22"/>
          </w:rPr>
          <w:sym w:font="Symbol" w:char="F06D"/>
        </w:r>
        <w:r w:rsidRPr="00BC0E7E">
          <w:delText xml:space="preserve">g/ml were observed in ulcerative colitis patients who received a maintenance dose of 40 mg Humira every other week. </w:delText>
        </w:r>
      </w:del>
    </w:p>
    <w:p w14:paraId="68EE67D2" w14:textId="77777777" w:rsidR="00BC0E7E" w:rsidRPr="00BC0E7E" w:rsidRDefault="00BC0E7E" w:rsidP="00762FA7">
      <w:pPr>
        <w:tabs>
          <w:tab w:val="clear" w:pos="562"/>
          <w:tab w:val="left" w:pos="638"/>
        </w:tabs>
        <w:autoSpaceDE w:val="0"/>
        <w:autoSpaceDN w:val="0"/>
        <w:adjustRightInd w:val="0"/>
        <w:rPr>
          <w:del w:id="8265" w:author="AbbVie19" w:date="2025-04-16T10:42:00Z"/>
          <w:szCs w:val="22"/>
        </w:rPr>
      </w:pPr>
    </w:p>
    <w:p w14:paraId="1D11D5A2" w14:textId="77777777" w:rsidR="006A72F4" w:rsidRPr="00EA5EEF" w:rsidRDefault="00944B8F" w:rsidP="00762FA7">
      <w:pPr>
        <w:tabs>
          <w:tab w:val="clear" w:pos="562"/>
          <w:tab w:val="left" w:pos="638"/>
        </w:tabs>
        <w:autoSpaceDE w:val="0"/>
        <w:autoSpaceDN w:val="0"/>
        <w:adjustRightInd w:val="0"/>
        <w:rPr>
          <w:del w:id="8266" w:author="AbbVie19" w:date="2025-04-16T10:42:00Z"/>
          <w:rStyle w:val="eop"/>
          <w:shd w:val="clear" w:color="auto" w:fill="FFFFFF"/>
        </w:rPr>
      </w:pPr>
      <w:del w:id="8267" w:author="AbbVie19" w:date="2025-04-16T10:42:00Z">
        <w:r w:rsidRPr="00EA5EEF">
          <w:rPr>
            <w:rStyle w:val="normaltextrun"/>
            <w:shd w:val="clear" w:color="auto" w:fill="FFFFFF"/>
            <w:lang w:val="en-US"/>
          </w:rPr>
          <w:delText>Following the subcutaneous administration of body weight-based dosing of 0.6 mg/kg (maximum of 40 mg) every other week to paediatric patients with ulcerative colitis, the mean trough steady-state serum adalimumab concentration was 5.01±3.28 µg/ml at Week 52. For patients who received 0.6 mg/kg (maximum of 40 mg) every week, the mean (±SD) trough steady-state serum adalimumab concentration was 15.7±5.60 </w:delText>
        </w:r>
        <w:r w:rsidRPr="00EA5EEF">
          <w:rPr>
            <w:rStyle w:val="spellingerror"/>
            <w:shd w:val="clear" w:color="auto" w:fill="FFFFFF"/>
            <w:lang w:val="en-US"/>
          </w:rPr>
          <w:delText>μg</w:delText>
        </w:r>
        <w:r w:rsidRPr="00EA5EEF">
          <w:rPr>
            <w:rStyle w:val="normaltextrun"/>
            <w:shd w:val="clear" w:color="auto" w:fill="FFFFFF"/>
            <w:lang w:val="en-US"/>
          </w:rPr>
          <w:delText>/ml at Week 52.</w:delText>
        </w:r>
      </w:del>
    </w:p>
    <w:p w14:paraId="503D625F" w14:textId="77777777" w:rsidR="005F03EC" w:rsidRDefault="005F03EC" w:rsidP="00762FA7">
      <w:pPr>
        <w:tabs>
          <w:tab w:val="clear" w:pos="562"/>
          <w:tab w:val="left" w:pos="638"/>
        </w:tabs>
        <w:autoSpaceDE w:val="0"/>
        <w:autoSpaceDN w:val="0"/>
        <w:adjustRightInd w:val="0"/>
        <w:rPr>
          <w:del w:id="8268" w:author="AbbVie19" w:date="2025-04-16T10:42:00Z"/>
          <w:szCs w:val="22"/>
        </w:rPr>
      </w:pPr>
    </w:p>
    <w:p w14:paraId="5DF3AB08" w14:textId="77777777" w:rsidR="00BC0E7E" w:rsidRPr="00BC0E7E" w:rsidRDefault="00944B8F" w:rsidP="00762FA7">
      <w:pPr>
        <w:tabs>
          <w:tab w:val="clear" w:pos="562"/>
          <w:tab w:val="left" w:pos="638"/>
        </w:tabs>
        <w:autoSpaceDE w:val="0"/>
        <w:autoSpaceDN w:val="0"/>
        <w:adjustRightInd w:val="0"/>
        <w:rPr>
          <w:del w:id="8269" w:author="AbbVie19" w:date="2025-04-16T10:42:00Z"/>
          <w:szCs w:val="22"/>
        </w:rPr>
      </w:pPr>
      <w:del w:id="8270" w:author="AbbVie19" w:date="2025-04-16T10:42:00Z">
        <w:r w:rsidRPr="00BC0E7E">
          <w:rPr>
            <w:szCs w:val="22"/>
          </w:rPr>
          <w:delText xml:space="preserve">In </w:delText>
        </w:r>
        <w:r w:rsidR="004F68D4">
          <w:rPr>
            <w:szCs w:val="22"/>
          </w:rPr>
          <w:delText xml:space="preserve">adult </w:delText>
        </w:r>
        <w:r w:rsidRPr="00BC0E7E">
          <w:rPr>
            <w:szCs w:val="22"/>
          </w:rPr>
          <w:delText>patients with uveitis, a loading dose of 80 mg adalimumab on Week 0 followed by 40 mg adalimumab every other week starting at Week 1, resulted in mean steady-state concentrations of approximately 8 to 10 </w:delText>
        </w:r>
        <w:r w:rsidRPr="00BC0E7E">
          <w:rPr>
            <w:rFonts w:ascii="Symbol" w:eastAsia="Symbol" w:hAnsi="Symbol" w:cs="Symbol"/>
            <w:szCs w:val="22"/>
          </w:rPr>
          <w:sym w:font="Symbol" w:char="F06D"/>
        </w:r>
        <w:r w:rsidRPr="00BC0E7E">
          <w:rPr>
            <w:szCs w:val="22"/>
          </w:rPr>
          <w:delText>g/m</w:delText>
        </w:r>
        <w:r w:rsidR="00E83962">
          <w:rPr>
            <w:szCs w:val="22"/>
          </w:rPr>
          <w:delText>l</w:delText>
        </w:r>
        <w:r w:rsidRPr="00BC0E7E">
          <w:rPr>
            <w:szCs w:val="22"/>
          </w:rPr>
          <w:delText>.</w:delText>
        </w:r>
      </w:del>
    </w:p>
    <w:p w14:paraId="67F5278C" w14:textId="77777777" w:rsidR="00BC0E7E" w:rsidRPr="00BC0E7E" w:rsidRDefault="00BC0E7E" w:rsidP="00762FA7">
      <w:pPr>
        <w:tabs>
          <w:tab w:val="clear" w:pos="562"/>
          <w:tab w:val="left" w:pos="638"/>
        </w:tabs>
        <w:autoSpaceDE w:val="0"/>
        <w:autoSpaceDN w:val="0"/>
        <w:adjustRightInd w:val="0"/>
        <w:rPr>
          <w:del w:id="8271" w:author="AbbVie19" w:date="2025-04-16T10:42:00Z"/>
          <w:szCs w:val="22"/>
        </w:rPr>
      </w:pPr>
    </w:p>
    <w:p w14:paraId="42FB174D" w14:textId="77777777" w:rsidR="00BC0E7E" w:rsidRPr="00BC0E7E" w:rsidRDefault="00944B8F" w:rsidP="00762FA7">
      <w:pPr>
        <w:rPr>
          <w:del w:id="8272" w:author="AbbVie19" w:date="2025-04-16T10:42:00Z"/>
          <w:iCs/>
          <w:szCs w:val="20"/>
        </w:rPr>
      </w:pPr>
      <w:del w:id="8273" w:author="AbbVie19" w:date="2025-04-16T10:42:00Z">
        <w:r w:rsidRPr="00BC0E7E">
          <w:rPr>
            <w:iCs/>
            <w:szCs w:val="20"/>
          </w:rPr>
          <w:delText>Adalimumab exposure in paediatric uveitis patients was predicted using population pharmacokinetic modelling and simulation based on cross-indication pharmacokinetics in other paediatric patients (paediatric psoriasis, juvenile idiopathic arthritis, paediatric Crohn’s disease, and enthesitis-related arthritis). No clinical exposure data are available on the use of a loading dose in children &lt; 6 years. The predicted exposures indicate that in the absence of methotrexate, a loading dose may lead to an initial increase in systemic exposure.</w:delText>
        </w:r>
      </w:del>
    </w:p>
    <w:p w14:paraId="35B9BEF6" w14:textId="77777777" w:rsidR="00C83887" w:rsidRDefault="00C83887" w:rsidP="00762FA7">
      <w:pPr>
        <w:autoSpaceDE w:val="0"/>
        <w:autoSpaceDN w:val="0"/>
        <w:adjustRightInd w:val="0"/>
        <w:rPr>
          <w:del w:id="8274" w:author="AbbVie19" w:date="2025-04-16T10:42:00Z"/>
        </w:rPr>
      </w:pPr>
    </w:p>
    <w:p w14:paraId="31DFC2FA" w14:textId="77777777" w:rsidR="00944931" w:rsidRDefault="00944B8F" w:rsidP="00762FA7">
      <w:pPr>
        <w:autoSpaceDE w:val="0"/>
        <w:autoSpaceDN w:val="0"/>
        <w:adjustRightInd w:val="0"/>
        <w:rPr>
          <w:del w:id="8275" w:author="AbbVie19" w:date="2025-04-16T10:42:00Z"/>
          <w:iCs/>
          <w:szCs w:val="20"/>
        </w:rPr>
      </w:pPr>
      <w:del w:id="8276" w:author="AbbVie19" w:date="2025-04-16T10:42:00Z">
        <w:r w:rsidRPr="00EA1503">
          <w:rPr>
            <w:iCs/>
            <w:szCs w:val="20"/>
          </w:rPr>
          <w:delText>Population pharmacokinetic and pharmacokinetic/pharmacodynamic modelling and simulation predicted comparable adalimumab exposure and efficacy in patients treated with 80</w:delText>
        </w:r>
        <w:r w:rsidR="00E6118C">
          <w:rPr>
            <w:iCs/>
            <w:szCs w:val="20"/>
          </w:rPr>
          <w:delText> </w:delText>
        </w:r>
        <w:r w:rsidRPr="00EA1503">
          <w:rPr>
            <w:iCs/>
            <w:szCs w:val="20"/>
          </w:rPr>
          <w:delText xml:space="preserve">mg every other week when </w:delText>
        </w:r>
        <w:r w:rsidRPr="00EA1503">
          <w:rPr>
            <w:iCs/>
            <w:szCs w:val="20"/>
          </w:rPr>
          <w:lastRenderedPageBreak/>
          <w:delText>compared with 40</w:delText>
        </w:r>
        <w:r w:rsidR="00E6118C">
          <w:rPr>
            <w:iCs/>
            <w:szCs w:val="20"/>
          </w:rPr>
          <w:delText> </w:delText>
        </w:r>
        <w:r w:rsidRPr="00EA1503">
          <w:rPr>
            <w:iCs/>
            <w:szCs w:val="20"/>
          </w:rPr>
          <w:delText>mg every week (including adult patients with RA, HS,</w:delText>
        </w:r>
        <w:r w:rsidR="001E485F">
          <w:rPr>
            <w:iCs/>
            <w:szCs w:val="20"/>
          </w:rPr>
          <w:delText xml:space="preserve"> UC, CD or</w:delText>
        </w:r>
        <w:r w:rsidRPr="00EA1503">
          <w:rPr>
            <w:iCs/>
            <w:szCs w:val="20"/>
          </w:rPr>
          <w:delText xml:space="preserve"> Ps, patients with adolescent HS, and paediatric patients ≥</w:delText>
        </w:r>
        <w:r w:rsidR="00E6118C">
          <w:rPr>
            <w:iCs/>
            <w:szCs w:val="20"/>
          </w:rPr>
          <w:delText> </w:delText>
        </w:r>
        <w:r w:rsidRPr="00EA1503">
          <w:rPr>
            <w:iCs/>
            <w:szCs w:val="20"/>
          </w:rPr>
          <w:delText>40</w:delText>
        </w:r>
        <w:r w:rsidR="00E6118C">
          <w:rPr>
            <w:iCs/>
            <w:szCs w:val="20"/>
          </w:rPr>
          <w:delText> </w:delText>
        </w:r>
        <w:r w:rsidRPr="00EA1503">
          <w:rPr>
            <w:iCs/>
            <w:szCs w:val="20"/>
          </w:rPr>
          <w:delText>kg with CD</w:delText>
        </w:r>
        <w:r w:rsidR="005622E9">
          <w:rPr>
            <w:iCs/>
            <w:szCs w:val="20"/>
          </w:rPr>
          <w:delText xml:space="preserve"> and UC</w:delText>
        </w:r>
        <w:r w:rsidRPr="00EA1503">
          <w:rPr>
            <w:iCs/>
            <w:szCs w:val="20"/>
          </w:rPr>
          <w:delText>).</w:delText>
        </w:r>
      </w:del>
    </w:p>
    <w:p w14:paraId="7047C1F7" w14:textId="77777777" w:rsidR="00944931" w:rsidRDefault="00944931" w:rsidP="00762FA7">
      <w:pPr>
        <w:autoSpaceDE w:val="0"/>
        <w:autoSpaceDN w:val="0"/>
        <w:adjustRightInd w:val="0"/>
        <w:rPr>
          <w:del w:id="8277" w:author="AbbVie19" w:date="2025-04-16T10:42:00Z"/>
        </w:rPr>
      </w:pPr>
    </w:p>
    <w:p w14:paraId="0BE91612" w14:textId="77777777" w:rsidR="00C72AB1" w:rsidRPr="00C72AB1" w:rsidRDefault="00944B8F" w:rsidP="00762FA7">
      <w:pPr>
        <w:autoSpaceDE w:val="0"/>
        <w:autoSpaceDN w:val="0"/>
        <w:adjustRightInd w:val="0"/>
        <w:rPr>
          <w:del w:id="8278" w:author="AbbVie19" w:date="2025-04-16T10:42:00Z"/>
        </w:rPr>
      </w:pPr>
      <w:del w:id="8279" w:author="AbbVie19" w:date="2025-04-16T10:42:00Z">
        <w:r w:rsidRPr="00063901">
          <w:rPr>
            <w:u w:val="single"/>
          </w:rPr>
          <w:delText>Exposure-response relationship in paediatric population</w:delText>
        </w:r>
      </w:del>
    </w:p>
    <w:p w14:paraId="08007567" w14:textId="77777777" w:rsidR="004F68D4" w:rsidRPr="006C4805" w:rsidRDefault="004F68D4" w:rsidP="00762FA7">
      <w:pPr>
        <w:autoSpaceDE w:val="0"/>
        <w:autoSpaceDN w:val="0"/>
        <w:adjustRightInd w:val="0"/>
        <w:rPr>
          <w:del w:id="8280" w:author="AbbVie19" w:date="2025-04-16T10:42:00Z"/>
        </w:rPr>
      </w:pPr>
    </w:p>
    <w:p w14:paraId="14A4A120" w14:textId="77777777" w:rsidR="004F68D4" w:rsidRPr="006C4805" w:rsidRDefault="00944B8F" w:rsidP="00762FA7">
      <w:pPr>
        <w:autoSpaceDE w:val="0"/>
        <w:autoSpaceDN w:val="0"/>
        <w:adjustRightInd w:val="0"/>
        <w:rPr>
          <w:del w:id="8281" w:author="AbbVie19" w:date="2025-04-16T10:42:00Z"/>
        </w:rPr>
      </w:pPr>
      <w:del w:id="8282" w:author="AbbVie19" w:date="2025-04-16T10:42:00Z">
        <w:r w:rsidRPr="006C4805">
          <w:delText>On the basis of clinical trial data in patients with JIA (pJIA and ERA), an exposure-response relationship was established between plasma concentrations and PedACR 50 response. The apparent adalimumab plasma concentration that produces half the maximum probability of PedACR 50 response (EC50) was 3</w:delText>
        </w:r>
        <w:r w:rsidR="00FB0DF7">
          <w:delText> </w:delText>
        </w:r>
        <w:r w:rsidRPr="006C4805">
          <w:delText>μg/ml (95% CI: 1</w:delText>
        </w:r>
        <w:r w:rsidR="00FB0DF7">
          <w:noBreakHyphen/>
        </w:r>
        <w:r w:rsidRPr="006C4805">
          <w:delText>6</w:delText>
        </w:r>
        <w:r w:rsidR="00FB0DF7">
          <w:delText> </w:delText>
        </w:r>
        <w:r w:rsidRPr="006C4805">
          <w:delText xml:space="preserve">μg/ml). </w:delText>
        </w:r>
      </w:del>
    </w:p>
    <w:p w14:paraId="0AC5FEA7" w14:textId="77777777" w:rsidR="004F68D4" w:rsidRPr="006C4805" w:rsidRDefault="004F68D4" w:rsidP="00762FA7">
      <w:pPr>
        <w:autoSpaceDE w:val="0"/>
        <w:autoSpaceDN w:val="0"/>
        <w:adjustRightInd w:val="0"/>
        <w:rPr>
          <w:del w:id="8283" w:author="AbbVie19" w:date="2025-04-16T10:42:00Z"/>
        </w:rPr>
      </w:pPr>
    </w:p>
    <w:p w14:paraId="68C6FEB8" w14:textId="77777777" w:rsidR="004F68D4" w:rsidRDefault="00944B8F" w:rsidP="00762FA7">
      <w:pPr>
        <w:autoSpaceDE w:val="0"/>
        <w:autoSpaceDN w:val="0"/>
        <w:adjustRightInd w:val="0"/>
        <w:rPr>
          <w:del w:id="8284" w:author="AbbVie19" w:date="2025-04-16T10:42:00Z"/>
        </w:rPr>
      </w:pPr>
      <w:del w:id="8285" w:author="AbbVie19" w:date="2025-04-16T10:42:00Z">
        <w:r w:rsidRPr="006C4805">
          <w:delText>Exposure-response relationships between adalimumab concentration and efficacy in paediatric patients with severe chronic plaque psoriasis were established for PASI 75 and PGA clear or minimal, respectively. PASI 75 and PGA clear or minimal increased with increasing adalimumab concentrations, both with a similar apparent EC50 of approximately 4.5</w:delText>
        </w:r>
        <w:r w:rsidR="00FB0DF7">
          <w:delText> </w:delText>
        </w:r>
        <w:r w:rsidRPr="006C4805">
          <w:delText>μg/m</w:delText>
        </w:r>
        <w:r w:rsidR="00E83962">
          <w:delText>l</w:delText>
        </w:r>
        <w:r w:rsidRPr="006C4805">
          <w:delText xml:space="preserve"> (95% CI 0.4-47.6 and 1.9-10.5, respectively).  </w:delText>
        </w:r>
      </w:del>
    </w:p>
    <w:p w14:paraId="3526BF92" w14:textId="77777777" w:rsidR="00BC0E7E" w:rsidRPr="00BC0E7E" w:rsidRDefault="00BC0E7E" w:rsidP="00762FA7">
      <w:pPr>
        <w:tabs>
          <w:tab w:val="clear" w:pos="562"/>
          <w:tab w:val="left" w:pos="638"/>
        </w:tabs>
        <w:autoSpaceDE w:val="0"/>
        <w:autoSpaceDN w:val="0"/>
        <w:adjustRightInd w:val="0"/>
        <w:rPr>
          <w:del w:id="8286" w:author="AbbVie19" w:date="2025-04-16T10:42:00Z"/>
        </w:rPr>
      </w:pPr>
    </w:p>
    <w:p w14:paraId="2A901F01" w14:textId="77777777" w:rsidR="00BC0E7E" w:rsidRPr="00BC0E7E" w:rsidRDefault="00944B8F" w:rsidP="00762FA7">
      <w:pPr>
        <w:keepNext/>
        <w:tabs>
          <w:tab w:val="clear" w:pos="562"/>
          <w:tab w:val="left" w:pos="638"/>
        </w:tabs>
        <w:autoSpaceDE w:val="0"/>
        <w:autoSpaceDN w:val="0"/>
        <w:adjustRightInd w:val="0"/>
        <w:rPr>
          <w:del w:id="8287" w:author="AbbVie19" w:date="2025-04-16T10:42:00Z"/>
          <w:u w:val="single"/>
        </w:rPr>
      </w:pPr>
      <w:del w:id="8288" w:author="AbbVie19" w:date="2025-04-16T10:42:00Z">
        <w:r w:rsidRPr="00BC0E7E">
          <w:rPr>
            <w:u w:val="single"/>
          </w:rPr>
          <w:delText>Elimination</w:delText>
        </w:r>
      </w:del>
    </w:p>
    <w:p w14:paraId="76023078" w14:textId="77777777" w:rsidR="00BC0E7E" w:rsidRPr="00BC0E7E" w:rsidRDefault="00BC0E7E" w:rsidP="00762FA7">
      <w:pPr>
        <w:keepNext/>
        <w:tabs>
          <w:tab w:val="clear" w:pos="562"/>
          <w:tab w:val="left" w:pos="638"/>
        </w:tabs>
        <w:autoSpaceDE w:val="0"/>
        <w:autoSpaceDN w:val="0"/>
        <w:adjustRightInd w:val="0"/>
        <w:rPr>
          <w:del w:id="8289" w:author="AbbVie19" w:date="2025-04-16T10:42:00Z"/>
        </w:rPr>
      </w:pPr>
    </w:p>
    <w:p w14:paraId="4D0A53E5" w14:textId="77777777" w:rsidR="00BC0E7E" w:rsidRPr="00BC0E7E" w:rsidRDefault="00944B8F" w:rsidP="00762FA7">
      <w:pPr>
        <w:keepNext/>
        <w:autoSpaceDE w:val="0"/>
        <w:autoSpaceDN w:val="0"/>
        <w:adjustRightInd w:val="0"/>
        <w:rPr>
          <w:del w:id="8290" w:author="AbbVie19" w:date="2025-04-16T10:42:00Z"/>
        </w:rPr>
      </w:pPr>
      <w:del w:id="8291" w:author="AbbVie19" w:date="2025-04-16T10:42:00Z">
        <w:r w:rsidRPr="00BC0E7E">
          <w:delText xml:space="preserve">Population pharmacokinetic analyses with data from over 1,300 RA patients revealed a trend toward higher apparent clearance of adalimumab with increasing body weight. After adjustment for weight differences, gender and age appeared to have a minimal effect on adalimumab clearance.  The serum levels of free adalimumab (not bound to anti-adalimumab antibodies, AAA) were observed to be lower in patients with measurable AAA.  </w:delText>
        </w:r>
      </w:del>
    </w:p>
    <w:p w14:paraId="20414C0A" w14:textId="77777777" w:rsidR="00BC0E7E" w:rsidRPr="00BC0E7E" w:rsidRDefault="00BC0E7E" w:rsidP="00762FA7">
      <w:pPr>
        <w:autoSpaceDE w:val="0"/>
        <w:autoSpaceDN w:val="0"/>
        <w:adjustRightInd w:val="0"/>
        <w:rPr>
          <w:del w:id="8292" w:author="AbbVie19" w:date="2025-04-16T10:42:00Z"/>
        </w:rPr>
      </w:pPr>
    </w:p>
    <w:p w14:paraId="040ED8EE" w14:textId="77777777" w:rsidR="00BC0E7E" w:rsidRPr="00BC0E7E" w:rsidRDefault="00944B8F" w:rsidP="00762FA7">
      <w:pPr>
        <w:keepNext/>
        <w:autoSpaceDE w:val="0"/>
        <w:autoSpaceDN w:val="0"/>
        <w:adjustRightInd w:val="0"/>
        <w:rPr>
          <w:del w:id="8293" w:author="AbbVie19" w:date="2025-04-16T10:42:00Z"/>
          <w:u w:val="single"/>
        </w:rPr>
      </w:pPr>
      <w:del w:id="8294" w:author="AbbVie19" w:date="2025-04-16T10:42:00Z">
        <w:r w:rsidRPr="00BC0E7E">
          <w:rPr>
            <w:u w:val="single"/>
          </w:rPr>
          <w:delText>Hepatic or renal impairment</w:delText>
        </w:r>
      </w:del>
    </w:p>
    <w:p w14:paraId="48A4C5E7" w14:textId="77777777" w:rsidR="00BC0E7E" w:rsidRPr="00BC0E7E" w:rsidRDefault="00BC0E7E" w:rsidP="00762FA7">
      <w:pPr>
        <w:keepNext/>
        <w:autoSpaceDE w:val="0"/>
        <w:autoSpaceDN w:val="0"/>
        <w:adjustRightInd w:val="0"/>
        <w:rPr>
          <w:del w:id="8295" w:author="AbbVie19" w:date="2025-04-16T10:42:00Z"/>
          <w:u w:val="single"/>
        </w:rPr>
      </w:pPr>
    </w:p>
    <w:p w14:paraId="74490588" w14:textId="77777777" w:rsidR="00BC0E7E" w:rsidRPr="00BC0E7E" w:rsidRDefault="00944B8F" w:rsidP="00762FA7">
      <w:pPr>
        <w:rPr>
          <w:del w:id="8296" w:author="AbbVie19" w:date="2025-04-16T10:42:00Z"/>
          <w:szCs w:val="20"/>
        </w:rPr>
      </w:pPr>
      <w:del w:id="8297" w:author="AbbVie19" w:date="2025-04-16T10:42:00Z">
        <w:r w:rsidRPr="00BC0E7E">
          <w:rPr>
            <w:szCs w:val="20"/>
          </w:rPr>
          <w:delText>Humira has not been studied in patients with hepatic or renal impairment.</w:delText>
        </w:r>
      </w:del>
    </w:p>
    <w:p w14:paraId="306631B6" w14:textId="77777777" w:rsidR="00BC0E7E" w:rsidRPr="00BC0E7E" w:rsidRDefault="00BC0E7E" w:rsidP="00762FA7">
      <w:pPr>
        <w:rPr>
          <w:del w:id="8298" w:author="AbbVie19" w:date="2025-04-16T10:42:00Z"/>
          <w:szCs w:val="20"/>
        </w:rPr>
      </w:pPr>
    </w:p>
    <w:p w14:paraId="5B8DDDF8" w14:textId="77777777" w:rsidR="00BC0E7E" w:rsidRPr="00BC0E7E" w:rsidRDefault="00944B8F" w:rsidP="00762FA7">
      <w:pPr>
        <w:keepNext/>
        <w:suppressAutoHyphens w:val="0"/>
        <w:outlineLvl w:val="1"/>
        <w:rPr>
          <w:del w:id="8299" w:author="AbbVie19" w:date="2025-04-16T10:42:00Z"/>
          <w:b/>
          <w:szCs w:val="20"/>
        </w:rPr>
      </w:pPr>
      <w:del w:id="8300" w:author="AbbVie19" w:date="2025-04-16T10:42:00Z">
        <w:r w:rsidRPr="00BC0E7E">
          <w:rPr>
            <w:b/>
            <w:szCs w:val="20"/>
          </w:rPr>
          <w:delText>5.3</w:delText>
        </w:r>
        <w:r w:rsidRPr="00BC0E7E">
          <w:rPr>
            <w:b/>
            <w:szCs w:val="20"/>
          </w:rPr>
          <w:tab/>
          <w:delText xml:space="preserve">Preclinical safety data </w:delText>
        </w:r>
      </w:del>
    </w:p>
    <w:p w14:paraId="6C895E8A" w14:textId="77777777" w:rsidR="00BC0E7E" w:rsidRPr="00BC0E7E" w:rsidRDefault="00BC0E7E" w:rsidP="00762FA7">
      <w:pPr>
        <w:keepNext/>
        <w:rPr>
          <w:del w:id="8301" w:author="AbbVie19" w:date="2025-04-16T10:42:00Z"/>
          <w:szCs w:val="20"/>
        </w:rPr>
      </w:pPr>
    </w:p>
    <w:p w14:paraId="6CFCC01A" w14:textId="77777777" w:rsidR="00BC0E7E" w:rsidRPr="00BC0E7E" w:rsidRDefault="00944B8F" w:rsidP="00762FA7">
      <w:pPr>
        <w:keepNext/>
        <w:autoSpaceDE w:val="0"/>
        <w:autoSpaceDN w:val="0"/>
        <w:adjustRightInd w:val="0"/>
        <w:rPr>
          <w:del w:id="8302" w:author="AbbVie19" w:date="2025-04-16T10:42:00Z"/>
        </w:rPr>
      </w:pPr>
      <w:del w:id="8303" w:author="AbbVie19" w:date="2025-04-16T10:42:00Z">
        <w:r w:rsidRPr="00BC0E7E">
          <w:delText xml:space="preserve">Non-clinical data reveal no special hazard for humans based on studies of single dose toxicity, repeated dose toxicity, and genotoxicity.  </w:delText>
        </w:r>
      </w:del>
    </w:p>
    <w:p w14:paraId="37629BE8" w14:textId="77777777" w:rsidR="00BC0E7E" w:rsidRPr="00BC0E7E" w:rsidRDefault="00BC0E7E" w:rsidP="00762FA7">
      <w:pPr>
        <w:autoSpaceDE w:val="0"/>
        <w:autoSpaceDN w:val="0"/>
        <w:adjustRightInd w:val="0"/>
        <w:rPr>
          <w:del w:id="8304" w:author="AbbVie19" w:date="2025-04-16T10:42:00Z"/>
        </w:rPr>
      </w:pPr>
    </w:p>
    <w:p w14:paraId="5D03F3DD" w14:textId="77777777" w:rsidR="00BC0E7E" w:rsidRPr="00BC0E7E" w:rsidRDefault="00944B8F" w:rsidP="00762FA7">
      <w:pPr>
        <w:rPr>
          <w:del w:id="8305" w:author="AbbVie19" w:date="2025-04-16T10:42:00Z"/>
          <w:szCs w:val="20"/>
        </w:rPr>
      </w:pPr>
      <w:del w:id="8306" w:author="AbbVie19" w:date="2025-04-16T10:42:00Z">
        <w:r w:rsidRPr="00BC0E7E">
          <w:rPr>
            <w:szCs w:val="20"/>
          </w:rPr>
          <w:delText xml:space="preserve">An embryo-foetal developmental toxicity/perinatal developmental study has been performed in cynomolgus monkeys at 0, 30 and 100 mg/kg (9-17 monkeys/group) and has revealed no evidence of harm to the foetuses due to adalimumab. Neither carcinogenicity studies, nor a standard assessment of fertility and postnatal toxicity, were performed with adalimumab due to the lack of appropriate models for an antibody with limited cross-reactivity to rodent TNF and to the development of neutralising antibodies in rodents. </w:delText>
        </w:r>
      </w:del>
    </w:p>
    <w:p w14:paraId="7BAF444A" w14:textId="77777777" w:rsidR="00BC0E7E" w:rsidRPr="00BC0E7E" w:rsidRDefault="00BC0E7E" w:rsidP="00762FA7">
      <w:pPr>
        <w:rPr>
          <w:del w:id="8307" w:author="AbbVie19" w:date="2025-04-16T10:42:00Z"/>
          <w:szCs w:val="20"/>
        </w:rPr>
      </w:pPr>
    </w:p>
    <w:p w14:paraId="0DDBD760" w14:textId="77777777" w:rsidR="00BC0E7E" w:rsidRPr="00BC0E7E" w:rsidRDefault="00BC0E7E" w:rsidP="00762FA7">
      <w:pPr>
        <w:rPr>
          <w:del w:id="8308" w:author="AbbVie19" w:date="2025-04-16T10:42:00Z"/>
          <w:szCs w:val="20"/>
        </w:rPr>
      </w:pPr>
    </w:p>
    <w:p w14:paraId="45E24788" w14:textId="77777777" w:rsidR="00BC0E7E" w:rsidRPr="00BC0E7E" w:rsidRDefault="00944B8F" w:rsidP="00762FA7">
      <w:pPr>
        <w:keepNext/>
        <w:outlineLvl w:val="0"/>
        <w:rPr>
          <w:del w:id="8309" w:author="AbbVie19" w:date="2025-04-16T10:42:00Z"/>
          <w:b/>
          <w:caps/>
          <w:szCs w:val="20"/>
        </w:rPr>
      </w:pPr>
      <w:del w:id="8310" w:author="AbbVie19" w:date="2025-04-16T10:42:00Z">
        <w:r w:rsidRPr="00BC0E7E">
          <w:rPr>
            <w:b/>
            <w:caps/>
            <w:szCs w:val="20"/>
          </w:rPr>
          <w:delText>6.</w:delText>
        </w:r>
        <w:r w:rsidRPr="00BC0E7E">
          <w:rPr>
            <w:b/>
            <w:caps/>
            <w:szCs w:val="20"/>
          </w:rPr>
          <w:tab/>
          <w:delText>PHARMACEUTICAL PARTICULARS</w:delText>
        </w:r>
      </w:del>
    </w:p>
    <w:p w14:paraId="14DEF517" w14:textId="77777777" w:rsidR="00BC0E7E" w:rsidRPr="00BC0E7E" w:rsidRDefault="00BC0E7E" w:rsidP="00762FA7">
      <w:pPr>
        <w:keepNext/>
        <w:rPr>
          <w:del w:id="8311" w:author="AbbVie19" w:date="2025-04-16T10:42:00Z"/>
          <w:szCs w:val="20"/>
        </w:rPr>
      </w:pPr>
    </w:p>
    <w:p w14:paraId="486D2E2D" w14:textId="77777777" w:rsidR="00BC0E7E" w:rsidRPr="00BC0E7E" w:rsidRDefault="00944B8F" w:rsidP="00762FA7">
      <w:pPr>
        <w:keepNext/>
        <w:suppressAutoHyphens w:val="0"/>
        <w:outlineLvl w:val="1"/>
        <w:rPr>
          <w:del w:id="8312" w:author="AbbVie19" w:date="2025-04-16T10:42:00Z"/>
          <w:b/>
          <w:szCs w:val="20"/>
        </w:rPr>
      </w:pPr>
      <w:del w:id="8313" w:author="AbbVie19" w:date="2025-04-16T10:42:00Z">
        <w:r w:rsidRPr="00BC0E7E">
          <w:rPr>
            <w:b/>
            <w:szCs w:val="20"/>
          </w:rPr>
          <w:delText>6.1</w:delText>
        </w:r>
        <w:r w:rsidRPr="00BC0E7E">
          <w:rPr>
            <w:b/>
            <w:szCs w:val="20"/>
          </w:rPr>
          <w:tab/>
          <w:delText xml:space="preserve">List of excipients </w:delText>
        </w:r>
      </w:del>
    </w:p>
    <w:p w14:paraId="1F913E61" w14:textId="77777777" w:rsidR="00BC0E7E" w:rsidRPr="00BC0E7E" w:rsidRDefault="00BC0E7E" w:rsidP="00762FA7">
      <w:pPr>
        <w:keepNext/>
        <w:rPr>
          <w:del w:id="8314" w:author="AbbVie19" w:date="2025-04-16T10:42:00Z"/>
          <w:szCs w:val="20"/>
        </w:rPr>
      </w:pPr>
    </w:p>
    <w:p w14:paraId="2212D466" w14:textId="77777777" w:rsidR="00BC0E7E" w:rsidRPr="00BC0E7E" w:rsidRDefault="00944B8F" w:rsidP="00762FA7">
      <w:pPr>
        <w:keepNext/>
        <w:autoSpaceDE w:val="0"/>
        <w:autoSpaceDN w:val="0"/>
        <w:adjustRightInd w:val="0"/>
        <w:rPr>
          <w:del w:id="8315" w:author="AbbVie19" w:date="2025-04-16T10:42:00Z"/>
          <w:bCs/>
        </w:rPr>
      </w:pPr>
      <w:del w:id="8316" w:author="AbbVie19" w:date="2025-04-16T10:42:00Z">
        <w:r w:rsidRPr="00BC0E7E">
          <w:rPr>
            <w:bCs/>
          </w:rPr>
          <w:delText>Mannitol</w:delText>
        </w:r>
      </w:del>
    </w:p>
    <w:p w14:paraId="476B19A2" w14:textId="77777777" w:rsidR="00BC0E7E" w:rsidRPr="00BC0E7E" w:rsidRDefault="00944B8F" w:rsidP="00762FA7">
      <w:pPr>
        <w:autoSpaceDE w:val="0"/>
        <w:autoSpaceDN w:val="0"/>
        <w:adjustRightInd w:val="0"/>
        <w:rPr>
          <w:del w:id="8317" w:author="AbbVie19" w:date="2025-04-16T10:42:00Z"/>
          <w:bCs/>
        </w:rPr>
      </w:pPr>
      <w:del w:id="8318" w:author="AbbVie19" w:date="2025-04-16T10:42:00Z">
        <w:r w:rsidRPr="00BC0E7E">
          <w:rPr>
            <w:bCs/>
          </w:rPr>
          <w:delText>Citric acid monohydrate</w:delText>
        </w:r>
      </w:del>
    </w:p>
    <w:p w14:paraId="72C327C0" w14:textId="77777777" w:rsidR="00BC0E7E" w:rsidRPr="00BC0E7E" w:rsidRDefault="00944B8F" w:rsidP="00762FA7">
      <w:pPr>
        <w:autoSpaceDE w:val="0"/>
        <w:autoSpaceDN w:val="0"/>
        <w:adjustRightInd w:val="0"/>
        <w:rPr>
          <w:del w:id="8319" w:author="AbbVie19" w:date="2025-04-16T10:42:00Z"/>
          <w:bCs/>
        </w:rPr>
      </w:pPr>
      <w:del w:id="8320" w:author="AbbVie19" w:date="2025-04-16T10:42:00Z">
        <w:r w:rsidRPr="00BC0E7E">
          <w:rPr>
            <w:bCs/>
          </w:rPr>
          <w:delText>Sodium citrate</w:delText>
        </w:r>
      </w:del>
    </w:p>
    <w:p w14:paraId="43D8F107" w14:textId="77777777" w:rsidR="00BC0E7E" w:rsidRPr="00BC0E7E" w:rsidRDefault="00944B8F" w:rsidP="00762FA7">
      <w:pPr>
        <w:autoSpaceDE w:val="0"/>
        <w:autoSpaceDN w:val="0"/>
        <w:adjustRightInd w:val="0"/>
        <w:rPr>
          <w:del w:id="8321" w:author="AbbVie19" w:date="2025-04-16T10:42:00Z"/>
          <w:bCs/>
        </w:rPr>
      </w:pPr>
      <w:del w:id="8322" w:author="AbbVie19" w:date="2025-04-16T10:42:00Z">
        <w:r w:rsidRPr="00BC0E7E">
          <w:rPr>
            <w:bCs/>
          </w:rPr>
          <w:delText>Sodium dihydrogen phosphate dihydrate</w:delText>
        </w:r>
      </w:del>
    </w:p>
    <w:p w14:paraId="74A3722E" w14:textId="77777777" w:rsidR="00BC0E7E" w:rsidRPr="00BC0E7E" w:rsidRDefault="00944B8F" w:rsidP="00762FA7">
      <w:pPr>
        <w:autoSpaceDE w:val="0"/>
        <w:autoSpaceDN w:val="0"/>
        <w:adjustRightInd w:val="0"/>
        <w:rPr>
          <w:del w:id="8323" w:author="AbbVie19" w:date="2025-04-16T10:42:00Z"/>
          <w:bCs/>
        </w:rPr>
      </w:pPr>
      <w:del w:id="8324" w:author="AbbVie19" w:date="2025-04-16T10:42:00Z">
        <w:r w:rsidRPr="00BC0E7E">
          <w:rPr>
            <w:bCs/>
          </w:rPr>
          <w:delText>Disodium phosphate dihydrate</w:delText>
        </w:r>
      </w:del>
    </w:p>
    <w:p w14:paraId="3D604A58" w14:textId="77777777" w:rsidR="00BC0E7E" w:rsidRPr="00BC0E7E" w:rsidRDefault="00944B8F" w:rsidP="00762FA7">
      <w:pPr>
        <w:autoSpaceDE w:val="0"/>
        <w:autoSpaceDN w:val="0"/>
        <w:adjustRightInd w:val="0"/>
        <w:rPr>
          <w:del w:id="8325" w:author="AbbVie19" w:date="2025-04-16T10:42:00Z"/>
          <w:bCs/>
        </w:rPr>
      </w:pPr>
      <w:del w:id="8326" w:author="AbbVie19" w:date="2025-04-16T10:42:00Z">
        <w:r w:rsidRPr="00BC0E7E">
          <w:rPr>
            <w:bCs/>
          </w:rPr>
          <w:delText>Sodium chloride</w:delText>
        </w:r>
      </w:del>
    </w:p>
    <w:p w14:paraId="3210E0B8" w14:textId="77777777" w:rsidR="00BC0E7E" w:rsidRPr="00BC0E7E" w:rsidRDefault="00944B8F" w:rsidP="00762FA7">
      <w:pPr>
        <w:autoSpaceDE w:val="0"/>
        <w:autoSpaceDN w:val="0"/>
        <w:adjustRightInd w:val="0"/>
        <w:rPr>
          <w:del w:id="8327" w:author="AbbVie19" w:date="2025-04-16T10:42:00Z"/>
          <w:bCs/>
        </w:rPr>
      </w:pPr>
      <w:del w:id="8328" w:author="AbbVie19" w:date="2025-04-16T10:42:00Z">
        <w:r w:rsidRPr="00BC0E7E">
          <w:rPr>
            <w:bCs/>
          </w:rPr>
          <w:delText>Polysorbate 80</w:delText>
        </w:r>
      </w:del>
    </w:p>
    <w:p w14:paraId="4C89C903" w14:textId="77777777" w:rsidR="00BC0E7E" w:rsidRPr="00BC0E7E" w:rsidRDefault="00944B8F" w:rsidP="00762FA7">
      <w:pPr>
        <w:autoSpaceDE w:val="0"/>
        <w:autoSpaceDN w:val="0"/>
        <w:adjustRightInd w:val="0"/>
        <w:rPr>
          <w:del w:id="8329" w:author="AbbVie19" w:date="2025-04-16T10:42:00Z"/>
          <w:bCs/>
        </w:rPr>
      </w:pPr>
      <w:del w:id="8330" w:author="AbbVie19" w:date="2025-04-16T10:42:00Z">
        <w:r w:rsidRPr="00BC0E7E">
          <w:rPr>
            <w:bCs/>
          </w:rPr>
          <w:delText>Sodium hydroxide</w:delText>
        </w:r>
      </w:del>
    </w:p>
    <w:p w14:paraId="5CF14D95" w14:textId="77777777" w:rsidR="00BC0E7E" w:rsidRPr="00BC0E7E" w:rsidRDefault="00944B8F" w:rsidP="00762FA7">
      <w:pPr>
        <w:autoSpaceDE w:val="0"/>
        <w:autoSpaceDN w:val="0"/>
        <w:adjustRightInd w:val="0"/>
        <w:rPr>
          <w:del w:id="8331" w:author="AbbVie19" w:date="2025-04-16T10:42:00Z"/>
          <w:bCs/>
        </w:rPr>
      </w:pPr>
      <w:del w:id="8332" w:author="AbbVie19" w:date="2025-04-16T10:42:00Z">
        <w:r w:rsidRPr="00BC0E7E">
          <w:rPr>
            <w:bCs/>
          </w:rPr>
          <w:lastRenderedPageBreak/>
          <w:delText>Water for injections</w:delText>
        </w:r>
      </w:del>
    </w:p>
    <w:p w14:paraId="303A30A3" w14:textId="77777777" w:rsidR="00BC0E7E" w:rsidRPr="00BC0E7E" w:rsidRDefault="00BC0E7E" w:rsidP="00762FA7">
      <w:pPr>
        <w:autoSpaceDE w:val="0"/>
        <w:autoSpaceDN w:val="0"/>
        <w:adjustRightInd w:val="0"/>
        <w:rPr>
          <w:del w:id="8333" w:author="AbbVie19" w:date="2025-04-16T10:42:00Z"/>
          <w:bCs/>
        </w:rPr>
      </w:pPr>
    </w:p>
    <w:p w14:paraId="43689915" w14:textId="77777777" w:rsidR="00BC0E7E" w:rsidRPr="00BC0E7E" w:rsidRDefault="00944B8F" w:rsidP="00762FA7">
      <w:pPr>
        <w:suppressAutoHyphens w:val="0"/>
        <w:outlineLvl w:val="1"/>
        <w:rPr>
          <w:del w:id="8334" w:author="AbbVie19" w:date="2025-04-16T10:42:00Z"/>
          <w:b/>
          <w:szCs w:val="20"/>
        </w:rPr>
      </w:pPr>
      <w:del w:id="8335" w:author="AbbVie19" w:date="2025-04-16T10:42:00Z">
        <w:r w:rsidRPr="00BC0E7E">
          <w:rPr>
            <w:b/>
            <w:szCs w:val="20"/>
          </w:rPr>
          <w:delText>6.2</w:delText>
        </w:r>
        <w:r w:rsidRPr="00BC0E7E">
          <w:rPr>
            <w:b/>
            <w:szCs w:val="20"/>
          </w:rPr>
          <w:tab/>
          <w:delText xml:space="preserve">Incompatibilities </w:delText>
        </w:r>
      </w:del>
    </w:p>
    <w:p w14:paraId="1EC5997E" w14:textId="77777777" w:rsidR="00BC0E7E" w:rsidRPr="00BC0E7E" w:rsidRDefault="00BC0E7E" w:rsidP="00762FA7">
      <w:pPr>
        <w:rPr>
          <w:del w:id="8336" w:author="AbbVie19" w:date="2025-04-16T10:42:00Z"/>
          <w:szCs w:val="20"/>
        </w:rPr>
      </w:pPr>
    </w:p>
    <w:p w14:paraId="1D9E289A" w14:textId="77777777" w:rsidR="00BC0E7E" w:rsidRPr="00BC0E7E" w:rsidRDefault="00944B8F" w:rsidP="00762FA7">
      <w:pPr>
        <w:tabs>
          <w:tab w:val="clear" w:pos="562"/>
        </w:tabs>
        <w:rPr>
          <w:del w:id="8337" w:author="AbbVie19" w:date="2025-04-16T10:42:00Z"/>
        </w:rPr>
      </w:pPr>
      <w:del w:id="8338" w:author="AbbVie19" w:date="2025-04-16T10:42:00Z">
        <w:r w:rsidRPr="00BC0E7E">
          <w:delText>In the absence of compatibility studies, this medicinal product must not be mixed with other medicinal products.</w:delText>
        </w:r>
      </w:del>
    </w:p>
    <w:p w14:paraId="57886DC4" w14:textId="77777777" w:rsidR="00BC0E7E" w:rsidRPr="00BC0E7E" w:rsidRDefault="00BC0E7E" w:rsidP="00762FA7">
      <w:pPr>
        <w:tabs>
          <w:tab w:val="clear" w:pos="562"/>
        </w:tabs>
        <w:rPr>
          <w:del w:id="8339" w:author="AbbVie19" w:date="2025-04-16T10:42:00Z"/>
        </w:rPr>
      </w:pPr>
    </w:p>
    <w:p w14:paraId="27E7DF88" w14:textId="77777777" w:rsidR="00BC0E7E" w:rsidRPr="00BC0E7E" w:rsidRDefault="00944B8F" w:rsidP="00762FA7">
      <w:pPr>
        <w:suppressAutoHyphens w:val="0"/>
        <w:outlineLvl w:val="1"/>
        <w:rPr>
          <w:del w:id="8340" w:author="AbbVie19" w:date="2025-04-16T10:42:00Z"/>
          <w:b/>
          <w:szCs w:val="20"/>
        </w:rPr>
      </w:pPr>
      <w:del w:id="8341" w:author="AbbVie19" w:date="2025-04-16T10:42:00Z">
        <w:r w:rsidRPr="00BC0E7E">
          <w:rPr>
            <w:b/>
            <w:szCs w:val="20"/>
          </w:rPr>
          <w:delText>6.3</w:delText>
        </w:r>
        <w:r w:rsidRPr="00BC0E7E">
          <w:rPr>
            <w:b/>
            <w:szCs w:val="20"/>
          </w:rPr>
          <w:tab/>
          <w:delText xml:space="preserve">Shelf life </w:delText>
        </w:r>
      </w:del>
    </w:p>
    <w:p w14:paraId="05772A65" w14:textId="77777777" w:rsidR="00BC0E7E" w:rsidRPr="00BC0E7E" w:rsidRDefault="00BC0E7E" w:rsidP="00762FA7">
      <w:pPr>
        <w:rPr>
          <w:del w:id="8342" w:author="AbbVie19" w:date="2025-04-16T10:42:00Z"/>
          <w:szCs w:val="20"/>
        </w:rPr>
      </w:pPr>
    </w:p>
    <w:p w14:paraId="47A20AD4" w14:textId="77777777" w:rsidR="00BC0E7E" w:rsidRPr="00BC0E7E" w:rsidRDefault="00944B8F" w:rsidP="00762FA7">
      <w:pPr>
        <w:tabs>
          <w:tab w:val="clear" w:pos="562"/>
        </w:tabs>
        <w:rPr>
          <w:del w:id="8343" w:author="AbbVie19" w:date="2025-04-16T10:42:00Z"/>
        </w:rPr>
      </w:pPr>
      <w:del w:id="8344" w:author="AbbVie19" w:date="2025-04-16T10:42:00Z">
        <w:r w:rsidRPr="00BC0E7E">
          <w:delText>2 years</w:delText>
        </w:r>
      </w:del>
    </w:p>
    <w:p w14:paraId="2E865250" w14:textId="77777777" w:rsidR="00BC0E7E" w:rsidRPr="00BC0E7E" w:rsidRDefault="00BC0E7E" w:rsidP="00762FA7">
      <w:pPr>
        <w:tabs>
          <w:tab w:val="clear" w:pos="562"/>
        </w:tabs>
        <w:rPr>
          <w:del w:id="8345" w:author="AbbVie19" w:date="2025-04-16T10:42:00Z"/>
        </w:rPr>
      </w:pPr>
    </w:p>
    <w:p w14:paraId="7210A518" w14:textId="77777777" w:rsidR="00BC0E7E" w:rsidRPr="00BC0E7E" w:rsidRDefault="00944B8F" w:rsidP="00762FA7">
      <w:pPr>
        <w:suppressAutoHyphens w:val="0"/>
        <w:outlineLvl w:val="1"/>
        <w:rPr>
          <w:del w:id="8346" w:author="AbbVie19" w:date="2025-04-16T10:42:00Z"/>
          <w:b/>
          <w:szCs w:val="20"/>
        </w:rPr>
      </w:pPr>
      <w:del w:id="8347" w:author="AbbVie19" w:date="2025-04-16T10:42:00Z">
        <w:r w:rsidRPr="00BC0E7E">
          <w:rPr>
            <w:b/>
            <w:szCs w:val="20"/>
          </w:rPr>
          <w:delText>6.4</w:delText>
        </w:r>
        <w:r w:rsidRPr="00BC0E7E">
          <w:rPr>
            <w:b/>
            <w:szCs w:val="20"/>
          </w:rPr>
          <w:tab/>
          <w:delText xml:space="preserve">Special precautions for storage </w:delText>
        </w:r>
      </w:del>
    </w:p>
    <w:p w14:paraId="039A885A" w14:textId="77777777" w:rsidR="00BC0E7E" w:rsidRPr="00BC0E7E" w:rsidRDefault="00BC0E7E" w:rsidP="00762FA7">
      <w:pPr>
        <w:rPr>
          <w:del w:id="8348" w:author="AbbVie19" w:date="2025-04-16T10:42:00Z"/>
          <w:szCs w:val="20"/>
        </w:rPr>
      </w:pPr>
    </w:p>
    <w:p w14:paraId="5A6D9745" w14:textId="77777777" w:rsidR="00BC0E7E" w:rsidRPr="00BC0E7E" w:rsidRDefault="00944B8F" w:rsidP="00762FA7">
      <w:pPr>
        <w:tabs>
          <w:tab w:val="clear" w:pos="562"/>
        </w:tabs>
        <w:rPr>
          <w:del w:id="8349" w:author="AbbVie19" w:date="2025-04-16T10:42:00Z"/>
        </w:rPr>
      </w:pPr>
      <w:del w:id="8350" w:author="AbbVie19" w:date="2025-04-16T10:42:00Z">
        <w:r w:rsidRPr="00BC0E7E">
          <w:delText>Store in a refrigerator (2</w:delText>
        </w:r>
        <w:r w:rsidRPr="00BC0E7E">
          <w:rPr>
            <w:rFonts w:ascii="Symbol" w:eastAsia="Symbol" w:hAnsi="Symbol" w:cs="Symbol"/>
            <w:szCs w:val="22"/>
          </w:rPr>
          <w:sym w:font="Symbol" w:char="F0B0"/>
        </w:r>
        <w:r w:rsidRPr="00BC0E7E">
          <w:delText>C – 8</w:delText>
        </w:r>
        <w:r w:rsidRPr="00BC0E7E">
          <w:rPr>
            <w:rFonts w:ascii="Symbol" w:eastAsia="Symbol" w:hAnsi="Symbol" w:cs="Symbol"/>
            <w:szCs w:val="22"/>
          </w:rPr>
          <w:sym w:font="Symbol" w:char="F0B0"/>
        </w:r>
        <w:r w:rsidRPr="00BC0E7E">
          <w:delText xml:space="preserve">C). Do not freeze. Keep the pre-filled syringe or pre-filled pen in its outer carton in order to protect from light.  </w:delText>
        </w:r>
      </w:del>
    </w:p>
    <w:p w14:paraId="39512335" w14:textId="77777777" w:rsidR="00BC0E7E" w:rsidRPr="00BC0E7E" w:rsidRDefault="00BC0E7E" w:rsidP="00762FA7">
      <w:pPr>
        <w:tabs>
          <w:tab w:val="clear" w:pos="562"/>
        </w:tabs>
        <w:rPr>
          <w:del w:id="8351" w:author="AbbVie19" w:date="2025-04-16T10:42:00Z"/>
        </w:rPr>
      </w:pPr>
    </w:p>
    <w:p w14:paraId="78C08CBB" w14:textId="77777777" w:rsidR="00BC0E7E" w:rsidRPr="00BC0E7E" w:rsidRDefault="00944B8F" w:rsidP="00762FA7">
      <w:pPr>
        <w:tabs>
          <w:tab w:val="clear" w:pos="562"/>
        </w:tabs>
        <w:rPr>
          <w:del w:id="8352" w:author="AbbVie19" w:date="2025-04-16T10:42:00Z"/>
        </w:rPr>
      </w:pPr>
      <w:del w:id="8353" w:author="AbbVie19" w:date="2025-04-16T10:42:00Z">
        <w:r w:rsidRPr="00BC0E7E">
          <w:delText>A single Humira pre-filled syringe or pre-filled pen may be stored at temperatures up to a maximum of 25°C for a period of up to 14 days. The syringe or pen must be protected from light, and discarded if not used within the 14-day period.</w:delText>
        </w:r>
      </w:del>
    </w:p>
    <w:p w14:paraId="0DE3D208" w14:textId="77777777" w:rsidR="00BC0E7E" w:rsidRPr="00BC0E7E" w:rsidRDefault="00BC0E7E" w:rsidP="00762FA7">
      <w:pPr>
        <w:tabs>
          <w:tab w:val="clear" w:pos="562"/>
        </w:tabs>
        <w:rPr>
          <w:del w:id="8354" w:author="AbbVie19" w:date="2025-04-16T10:42:00Z"/>
        </w:rPr>
      </w:pPr>
    </w:p>
    <w:p w14:paraId="77FD2630" w14:textId="77777777" w:rsidR="00BC0E7E" w:rsidRPr="00BC0E7E" w:rsidRDefault="00944B8F" w:rsidP="00762FA7">
      <w:pPr>
        <w:keepNext/>
        <w:suppressAutoHyphens w:val="0"/>
        <w:outlineLvl w:val="1"/>
        <w:rPr>
          <w:del w:id="8355" w:author="AbbVie19" w:date="2025-04-16T10:42:00Z"/>
          <w:b/>
          <w:szCs w:val="20"/>
        </w:rPr>
      </w:pPr>
      <w:del w:id="8356" w:author="AbbVie19" w:date="2025-04-16T10:42:00Z">
        <w:r w:rsidRPr="00BC0E7E">
          <w:rPr>
            <w:b/>
            <w:szCs w:val="20"/>
          </w:rPr>
          <w:delText>6.5</w:delText>
        </w:r>
        <w:r w:rsidRPr="00BC0E7E">
          <w:rPr>
            <w:b/>
            <w:szCs w:val="20"/>
          </w:rPr>
          <w:tab/>
          <w:delText xml:space="preserve">Nature and contents of container  </w:delText>
        </w:r>
      </w:del>
    </w:p>
    <w:p w14:paraId="45AF02DD" w14:textId="77777777" w:rsidR="00BC0E7E" w:rsidRPr="00BC0E7E" w:rsidRDefault="00BC0E7E" w:rsidP="00762FA7">
      <w:pPr>
        <w:keepNext/>
        <w:rPr>
          <w:del w:id="8357" w:author="AbbVie19" w:date="2025-04-16T10:42:00Z"/>
          <w:szCs w:val="20"/>
        </w:rPr>
      </w:pPr>
    </w:p>
    <w:p w14:paraId="660DA2D6" w14:textId="77777777" w:rsidR="00BC0E7E" w:rsidRPr="00BC0E7E" w:rsidRDefault="00944B8F" w:rsidP="00762FA7">
      <w:pPr>
        <w:keepNext/>
        <w:tabs>
          <w:tab w:val="clear" w:pos="562"/>
        </w:tabs>
        <w:rPr>
          <w:del w:id="8358" w:author="AbbVie19" w:date="2025-04-16T10:42:00Z"/>
          <w:u w:val="single"/>
        </w:rPr>
      </w:pPr>
      <w:del w:id="8359" w:author="AbbVie19" w:date="2025-04-16T10:42:00Z">
        <w:r w:rsidRPr="00BC0E7E">
          <w:rPr>
            <w:u w:val="single"/>
          </w:rPr>
          <w:delText xml:space="preserve">Humira 40 mg solution for injection in pre-filled syringe </w:delText>
        </w:r>
      </w:del>
    </w:p>
    <w:p w14:paraId="342CE1AE" w14:textId="77777777" w:rsidR="00BC0E7E" w:rsidRPr="00BC0E7E" w:rsidRDefault="00944B8F" w:rsidP="00762FA7">
      <w:pPr>
        <w:keepNext/>
        <w:tabs>
          <w:tab w:val="clear" w:pos="562"/>
        </w:tabs>
        <w:rPr>
          <w:del w:id="8360" w:author="AbbVie19" w:date="2025-04-16T10:42:00Z"/>
        </w:rPr>
      </w:pPr>
      <w:del w:id="8361" w:author="AbbVie19" w:date="2025-04-16T10:42:00Z">
        <w:r w:rsidRPr="00BC0E7E">
          <w:delText>Humira 40 mg solution for injection in single-use pre-filled syringe (type I glass) with a plunger stopper (bromobutyl rubber) and a needle with a needle shield (thermoplastic elastomer).</w:delText>
        </w:r>
        <w:r w:rsidRPr="00BC0E7E">
          <w:br/>
        </w:r>
      </w:del>
    </w:p>
    <w:p w14:paraId="38DAA64E" w14:textId="77777777" w:rsidR="00BC0E7E" w:rsidRPr="00BC0E7E" w:rsidRDefault="00944B8F" w:rsidP="00762FA7">
      <w:pPr>
        <w:keepNext/>
        <w:tabs>
          <w:tab w:val="clear" w:pos="562"/>
        </w:tabs>
        <w:rPr>
          <w:del w:id="8362" w:author="AbbVie19" w:date="2025-04-16T10:42:00Z"/>
        </w:rPr>
      </w:pPr>
      <w:del w:id="8363" w:author="AbbVie19" w:date="2025-04-16T10:42:00Z">
        <w:r w:rsidRPr="00BC0E7E">
          <w:delText>Packs of:</w:delText>
        </w:r>
      </w:del>
    </w:p>
    <w:p w14:paraId="372ACCDD" w14:textId="77777777" w:rsidR="00BC0E7E" w:rsidRPr="00BC0E7E" w:rsidRDefault="00944B8F" w:rsidP="00762FA7">
      <w:pPr>
        <w:keepNext/>
        <w:numPr>
          <w:ilvl w:val="0"/>
          <w:numId w:val="11"/>
        </w:numPr>
        <w:tabs>
          <w:tab w:val="clear" w:pos="562"/>
        </w:tabs>
        <w:ind w:left="567" w:hanging="567"/>
        <w:rPr>
          <w:del w:id="8364" w:author="AbbVie19" w:date="2025-04-16T10:42:00Z"/>
        </w:rPr>
      </w:pPr>
      <w:del w:id="8365" w:author="AbbVie19" w:date="2025-04-16T10:42:00Z">
        <w:r w:rsidRPr="00BC0E7E">
          <w:delText xml:space="preserve">1 pre-filled syringe (0.8 ml sterile solution) with 1 alcohol pad in a blister. </w:delText>
        </w:r>
      </w:del>
    </w:p>
    <w:p w14:paraId="0001FB8D" w14:textId="77777777" w:rsidR="00BC0E7E" w:rsidRPr="00BC0E7E" w:rsidRDefault="00944B8F" w:rsidP="00762FA7">
      <w:pPr>
        <w:keepNext/>
        <w:numPr>
          <w:ilvl w:val="0"/>
          <w:numId w:val="11"/>
        </w:numPr>
        <w:tabs>
          <w:tab w:val="clear" w:pos="562"/>
        </w:tabs>
        <w:ind w:left="567" w:hanging="567"/>
        <w:rPr>
          <w:del w:id="8366" w:author="AbbVie19" w:date="2025-04-16T10:42:00Z"/>
        </w:rPr>
      </w:pPr>
      <w:del w:id="8367" w:author="AbbVie19" w:date="2025-04-16T10:42:00Z">
        <w:r w:rsidRPr="00BC0E7E">
          <w:delText xml:space="preserve">2 pre-filled syringes (0.8 ml sterile solution), each with 1 alcohol pad, in a blister. </w:delText>
        </w:r>
      </w:del>
    </w:p>
    <w:p w14:paraId="671C0BB7" w14:textId="77777777" w:rsidR="00BC0E7E" w:rsidRPr="00BC0E7E" w:rsidRDefault="00944B8F" w:rsidP="00762FA7">
      <w:pPr>
        <w:keepNext/>
        <w:numPr>
          <w:ilvl w:val="0"/>
          <w:numId w:val="11"/>
        </w:numPr>
        <w:tabs>
          <w:tab w:val="clear" w:pos="562"/>
        </w:tabs>
        <w:ind w:left="567" w:hanging="567"/>
        <w:rPr>
          <w:del w:id="8368" w:author="AbbVie19" w:date="2025-04-16T10:42:00Z"/>
        </w:rPr>
      </w:pPr>
      <w:del w:id="8369" w:author="AbbVie19" w:date="2025-04-16T10:42:00Z">
        <w:r w:rsidRPr="00BC0E7E">
          <w:delText xml:space="preserve">4 pre-filled syringes (0.8 ml sterile solution), each with 1 alcohol pad, in a blister. </w:delText>
        </w:r>
      </w:del>
    </w:p>
    <w:p w14:paraId="39FA4DDD" w14:textId="77777777" w:rsidR="00BC0E7E" w:rsidRPr="00BC0E7E" w:rsidRDefault="00944B8F" w:rsidP="00762FA7">
      <w:pPr>
        <w:keepNext/>
        <w:numPr>
          <w:ilvl w:val="0"/>
          <w:numId w:val="11"/>
        </w:numPr>
        <w:tabs>
          <w:tab w:val="clear" w:pos="562"/>
        </w:tabs>
        <w:ind w:left="567" w:hanging="567"/>
        <w:rPr>
          <w:del w:id="8370" w:author="AbbVie19" w:date="2025-04-16T10:42:00Z"/>
          <w:b/>
          <w:bCs/>
          <w:i/>
          <w:iCs/>
        </w:rPr>
      </w:pPr>
      <w:del w:id="8371" w:author="AbbVie19" w:date="2025-04-16T10:42:00Z">
        <w:r w:rsidRPr="00BC0E7E">
          <w:delText>6 pre-filled syringes (0.8 ml sterile solution), each with 1 alcohol pad, in a blister.</w:delText>
        </w:r>
      </w:del>
    </w:p>
    <w:p w14:paraId="5289EB94" w14:textId="77777777" w:rsidR="00BC0E7E" w:rsidRPr="00BC0E7E" w:rsidRDefault="00BC0E7E" w:rsidP="00762FA7">
      <w:pPr>
        <w:tabs>
          <w:tab w:val="clear" w:pos="562"/>
        </w:tabs>
        <w:rPr>
          <w:del w:id="8372" w:author="AbbVie19" w:date="2025-04-16T10:42:00Z"/>
          <w:sz w:val="20"/>
          <w:szCs w:val="20"/>
        </w:rPr>
      </w:pPr>
    </w:p>
    <w:p w14:paraId="101F73DF" w14:textId="77777777" w:rsidR="00BC0E7E" w:rsidRPr="00BC0E7E" w:rsidRDefault="00944B8F" w:rsidP="00762FA7">
      <w:pPr>
        <w:tabs>
          <w:tab w:val="clear" w:pos="562"/>
        </w:tabs>
        <w:rPr>
          <w:del w:id="8373" w:author="AbbVie19" w:date="2025-04-16T10:42:00Z"/>
          <w:u w:val="single"/>
        </w:rPr>
      </w:pPr>
      <w:del w:id="8374" w:author="AbbVie19" w:date="2025-04-16T10:42:00Z">
        <w:r w:rsidRPr="00BC0E7E">
          <w:rPr>
            <w:u w:val="single"/>
          </w:rPr>
          <w:delText>Humira 40 mg solution for injection in pre-filled syringe with needle</w:delText>
        </w:r>
        <w:r w:rsidR="006B3EA7">
          <w:rPr>
            <w:u w:val="single"/>
          </w:rPr>
          <w:delText xml:space="preserve"> </w:delText>
        </w:r>
        <w:r w:rsidRPr="00BC0E7E">
          <w:rPr>
            <w:u w:val="single"/>
          </w:rPr>
          <w:delText xml:space="preserve">guard </w:delText>
        </w:r>
      </w:del>
    </w:p>
    <w:p w14:paraId="21ACE318" w14:textId="77777777" w:rsidR="00BC0E7E" w:rsidRPr="00BC0E7E" w:rsidRDefault="00944B8F" w:rsidP="00762FA7">
      <w:pPr>
        <w:tabs>
          <w:tab w:val="clear" w:pos="562"/>
        </w:tabs>
        <w:rPr>
          <w:del w:id="8375" w:author="AbbVie19" w:date="2025-04-16T10:42:00Z"/>
        </w:rPr>
      </w:pPr>
      <w:del w:id="8376" w:author="AbbVie19" w:date="2025-04-16T10:42:00Z">
        <w:r w:rsidRPr="00BC0E7E">
          <w:delText>Humira 40 mg solution for injection in single-use pre-filled syringe (type I glass) with needle</w:delText>
        </w:r>
        <w:r w:rsidR="006B3EA7">
          <w:delText xml:space="preserve"> </w:delText>
        </w:r>
        <w:r w:rsidRPr="00BC0E7E">
          <w:delText>guard for hospital and caregiver use. The syringe is made from type 1 glass with a plunger stopper (bromobutyl rubber) and a needle with a needle shield (thermoplastic elastomer).</w:delText>
        </w:r>
      </w:del>
    </w:p>
    <w:p w14:paraId="0090C23A" w14:textId="77777777" w:rsidR="00BC0E7E" w:rsidRPr="00BC0E7E" w:rsidRDefault="00BC0E7E" w:rsidP="00762FA7">
      <w:pPr>
        <w:tabs>
          <w:tab w:val="clear" w:pos="562"/>
        </w:tabs>
        <w:rPr>
          <w:del w:id="8377" w:author="AbbVie19" w:date="2025-04-16T10:42:00Z"/>
        </w:rPr>
      </w:pPr>
    </w:p>
    <w:p w14:paraId="4C77C884" w14:textId="77777777" w:rsidR="00BC0E7E" w:rsidRPr="00BC0E7E" w:rsidRDefault="00944B8F" w:rsidP="00762FA7">
      <w:pPr>
        <w:tabs>
          <w:tab w:val="clear" w:pos="562"/>
        </w:tabs>
        <w:rPr>
          <w:del w:id="8378" w:author="AbbVie19" w:date="2025-04-16T10:42:00Z"/>
        </w:rPr>
      </w:pPr>
      <w:del w:id="8379" w:author="AbbVie19" w:date="2025-04-16T10:42:00Z">
        <w:r w:rsidRPr="00BC0E7E">
          <w:delText>Packs of:</w:delText>
        </w:r>
      </w:del>
    </w:p>
    <w:p w14:paraId="2A54588E" w14:textId="77777777" w:rsidR="00BC0E7E" w:rsidRPr="00BC0E7E" w:rsidRDefault="00944B8F" w:rsidP="00762FA7">
      <w:pPr>
        <w:tabs>
          <w:tab w:val="clear" w:pos="562"/>
        </w:tabs>
        <w:rPr>
          <w:del w:id="8380" w:author="AbbVie19" w:date="2025-04-16T10:42:00Z"/>
        </w:rPr>
      </w:pPr>
      <w:del w:id="8381" w:author="AbbVie19" w:date="2025-04-16T10:42:00Z">
        <w:r w:rsidRPr="00BC0E7E">
          <w:delText>1 pre-filled syringe with needle</w:delText>
        </w:r>
        <w:r w:rsidR="006B3EA7">
          <w:delText xml:space="preserve"> </w:delText>
        </w:r>
        <w:r w:rsidRPr="00BC0E7E">
          <w:delText>guard (0.8 ml sterile solution) in a blister, and 1 alcohol pad.</w:delText>
        </w:r>
      </w:del>
    </w:p>
    <w:p w14:paraId="00D61469" w14:textId="77777777" w:rsidR="00BC0E7E" w:rsidRPr="00BC0E7E" w:rsidRDefault="00BC0E7E" w:rsidP="00762FA7">
      <w:pPr>
        <w:tabs>
          <w:tab w:val="clear" w:pos="562"/>
        </w:tabs>
        <w:rPr>
          <w:del w:id="8382" w:author="AbbVie19" w:date="2025-04-16T10:42:00Z"/>
          <w:u w:val="single"/>
        </w:rPr>
      </w:pPr>
    </w:p>
    <w:p w14:paraId="2FD9A4F0" w14:textId="77777777" w:rsidR="00BC0E7E" w:rsidRPr="00BC0E7E" w:rsidRDefault="00944B8F" w:rsidP="00762FA7">
      <w:pPr>
        <w:tabs>
          <w:tab w:val="clear" w:pos="562"/>
        </w:tabs>
        <w:rPr>
          <w:del w:id="8383" w:author="AbbVie19" w:date="2025-04-16T10:42:00Z"/>
          <w:u w:val="single"/>
        </w:rPr>
      </w:pPr>
      <w:del w:id="8384" w:author="AbbVie19" w:date="2025-04-16T10:42:00Z">
        <w:r w:rsidRPr="00BC0E7E">
          <w:rPr>
            <w:u w:val="single"/>
          </w:rPr>
          <w:delText>Humira 40 mg solution for injection in pre-filled pen</w:delText>
        </w:r>
      </w:del>
    </w:p>
    <w:p w14:paraId="4B9945C8" w14:textId="77777777" w:rsidR="00BC0E7E" w:rsidRPr="00BC0E7E" w:rsidRDefault="00944B8F" w:rsidP="00762FA7">
      <w:pPr>
        <w:tabs>
          <w:tab w:val="clear" w:pos="562"/>
        </w:tabs>
        <w:rPr>
          <w:del w:id="8385" w:author="AbbVie19" w:date="2025-04-16T10:42:00Z"/>
        </w:rPr>
      </w:pPr>
      <w:del w:id="8386" w:author="AbbVie19" w:date="2025-04-16T10:42:00Z">
        <w:r w:rsidRPr="00BC0E7E">
          <w:delText>Humira 40 mg solution for injection in single-use pre-filled pen for patient use containing a pre-filled syringe. The syringe inside the pen is made from type 1 glass with a plunger stopper (bromobutyl rubber) and a needle with a needle shield (thermoplastic elastomer).</w:delText>
        </w:r>
      </w:del>
    </w:p>
    <w:p w14:paraId="5216F0A5" w14:textId="77777777" w:rsidR="00BC0E7E" w:rsidRPr="00BC0E7E" w:rsidRDefault="00BC0E7E" w:rsidP="00762FA7">
      <w:pPr>
        <w:tabs>
          <w:tab w:val="clear" w:pos="562"/>
        </w:tabs>
        <w:rPr>
          <w:del w:id="8387" w:author="AbbVie19" w:date="2025-04-16T10:42:00Z"/>
        </w:rPr>
      </w:pPr>
    </w:p>
    <w:p w14:paraId="551ACA26" w14:textId="77777777" w:rsidR="00BC0E7E" w:rsidRPr="00BC0E7E" w:rsidRDefault="00944B8F" w:rsidP="00762FA7">
      <w:pPr>
        <w:tabs>
          <w:tab w:val="clear" w:pos="562"/>
        </w:tabs>
        <w:rPr>
          <w:del w:id="8388" w:author="AbbVie19" w:date="2025-04-16T10:42:00Z"/>
        </w:rPr>
      </w:pPr>
      <w:del w:id="8389" w:author="AbbVie19" w:date="2025-04-16T10:42:00Z">
        <w:r w:rsidRPr="00BC0E7E">
          <w:delText>Packs of:</w:delText>
        </w:r>
      </w:del>
    </w:p>
    <w:p w14:paraId="7FC9F655" w14:textId="77777777" w:rsidR="00BC0E7E" w:rsidRPr="00BC0E7E" w:rsidRDefault="00944B8F" w:rsidP="00762FA7">
      <w:pPr>
        <w:numPr>
          <w:ilvl w:val="0"/>
          <w:numId w:val="11"/>
        </w:numPr>
        <w:tabs>
          <w:tab w:val="clear" w:pos="562"/>
        </w:tabs>
        <w:rPr>
          <w:del w:id="8390" w:author="AbbVie19" w:date="2025-04-16T10:42:00Z"/>
        </w:rPr>
      </w:pPr>
      <w:del w:id="8391" w:author="AbbVie19" w:date="2025-04-16T10:42:00Z">
        <w:r w:rsidRPr="00BC0E7E">
          <w:delText xml:space="preserve">1 pre-filled pen (0.8 ml sterile solution), with 2 alcohol pads in a blister. </w:delText>
        </w:r>
      </w:del>
    </w:p>
    <w:p w14:paraId="01FC159E" w14:textId="77777777" w:rsidR="00BC0E7E" w:rsidRPr="00BC0E7E" w:rsidRDefault="00944B8F" w:rsidP="00762FA7">
      <w:pPr>
        <w:numPr>
          <w:ilvl w:val="0"/>
          <w:numId w:val="11"/>
        </w:numPr>
        <w:tabs>
          <w:tab w:val="clear" w:pos="562"/>
        </w:tabs>
        <w:rPr>
          <w:del w:id="8392" w:author="AbbVie19" w:date="2025-04-16T10:42:00Z"/>
        </w:rPr>
      </w:pPr>
      <w:del w:id="8393" w:author="AbbVie19" w:date="2025-04-16T10:42:00Z">
        <w:r w:rsidRPr="00BC0E7E">
          <w:delText xml:space="preserve">2 pre-filled pens (0.8 ml sterile solution), each with 1 alcohol pad, in a blister. </w:delText>
        </w:r>
      </w:del>
    </w:p>
    <w:p w14:paraId="3ED5EFE4" w14:textId="77777777" w:rsidR="00BC0E7E" w:rsidRPr="00BC0E7E" w:rsidRDefault="00944B8F" w:rsidP="00762FA7">
      <w:pPr>
        <w:numPr>
          <w:ilvl w:val="0"/>
          <w:numId w:val="11"/>
        </w:numPr>
        <w:tabs>
          <w:tab w:val="clear" w:pos="562"/>
        </w:tabs>
        <w:rPr>
          <w:del w:id="8394" w:author="AbbVie19" w:date="2025-04-16T10:42:00Z"/>
        </w:rPr>
      </w:pPr>
      <w:del w:id="8395" w:author="AbbVie19" w:date="2025-04-16T10:42:00Z">
        <w:r w:rsidRPr="00BC0E7E">
          <w:delText xml:space="preserve">4 pre-filled pens (0.8 ml sterile solution), each with 1 alcohol pad, in a blister. </w:delText>
        </w:r>
      </w:del>
    </w:p>
    <w:p w14:paraId="3060DF17" w14:textId="77777777" w:rsidR="00BC0E7E" w:rsidRPr="00BC0E7E" w:rsidRDefault="00944B8F" w:rsidP="00762FA7">
      <w:pPr>
        <w:numPr>
          <w:ilvl w:val="0"/>
          <w:numId w:val="11"/>
        </w:numPr>
        <w:tabs>
          <w:tab w:val="clear" w:pos="562"/>
        </w:tabs>
        <w:rPr>
          <w:del w:id="8396" w:author="AbbVie19" w:date="2025-04-16T10:42:00Z"/>
          <w:b/>
          <w:bCs/>
          <w:i/>
          <w:iCs/>
        </w:rPr>
      </w:pPr>
      <w:del w:id="8397" w:author="AbbVie19" w:date="2025-04-16T10:42:00Z">
        <w:r w:rsidRPr="00BC0E7E">
          <w:delText>6 pre-filled pens (0.8 ml sterile solution), each with 1 alcohol pad, in a blister.</w:delText>
        </w:r>
      </w:del>
    </w:p>
    <w:p w14:paraId="0F5B36FF" w14:textId="77777777" w:rsidR="00BC0E7E" w:rsidRPr="00BC0E7E" w:rsidRDefault="00BC0E7E" w:rsidP="00762FA7">
      <w:pPr>
        <w:tabs>
          <w:tab w:val="clear" w:pos="562"/>
        </w:tabs>
        <w:rPr>
          <w:del w:id="8398" w:author="AbbVie19" w:date="2025-04-16T10:42:00Z"/>
        </w:rPr>
      </w:pPr>
    </w:p>
    <w:p w14:paraId="39598C9C" w14:textId="77777777" w:rsidR="00BC0E7E" w:rsidRPr="00BC0E7E" w:rsidRDefault="00944B8F" w:rsidP="00762FA7">
      <w:pPr>
        <w:tabs>
          <w:tab w:val="clear" w:pos="562"/>
        </w:tabs>
        <w:rPr>
          <w:del w:id="8399" w:author="AbbVie19" w:date="2025-04-16T10:42:00Z"/>
        </w:rPr>
      </w:pPr>
      <w:del w:id="8400" w:author="AbbVie19" w:date="2025-04-16T10:42:00Z">
        <w:r w:rsidRPr="00BC0E7E">
          <w:delText>Not all presentations or pack sizes may be marketed.</w:delText>
        </w:r>
      </w:del>
    </w:p>
    <w:p w14:paraId="3B740A73" w14:textId="77777777" w:rsidR="00BC0E7E" w:rsidRPr="00BC0E7E" w:rsidRDefault="00BC0E7E" w:rsidP="00762FA7">
      <w:pPr>
        <w:rPr>
          <w:del w:id="8401" w:author="AbbVie19" w:date="2025-04-16T10:42:00Z"/>
          <w:szCs w:val="20"/>
        </w:rPr>
      </w:pPr>
    </w:p>
    <w:p w14:paraId="6DC1A615" w14:textId="77777777" w:rsidR="00BC0E7E" w:rsidRPr="00BC0E7E" w:rsidRDefault="00944B8F" w:rsidP="00762FA7">
      <w:pPr>
        <w:suppressAutoHyphens w:val="0"/>
        <w:outlineLvl w:val="1"/>
        <w:rPr>
          <w:del w:id="8402" w:author="AbbVie19" w:date="2025-04-16T10:42:00Z"/>
          <w:b/>
          <w:szCs w:val="20"/>
        </w:rPr>
      </w:pPr>
      <w:del w:id="8403" w:author="AbbVie19" w:date="2025-04-16T10:42:00Z">
        <w:r w:rsidRPr="00BC0E7E">
          <w:rPr>
            <w:b/>
            <w:szCs w:val="20"/>
          </w:rPr>
          <w:lastRenderedPageBreak/>
          <w:delText>6.6</w:delText>
        </w:r>
        <w:r w:rsidRPr="00BC0E7E">
          <w:rPr>
            <w:b/>
            <w:szCs w:val="20"/>
          </w:rPr>
          <w:tab/>
          <w:delText>Special precautions for disposal</w:delText>
        </w:r>
      </w:del>
    </w:p>
    <w:p w14:paraId="390D5855" w14:textId="77777777" w:rsidR="00BC0E7E" w:rsidRPr="00BC0E7E" w:rsidRDefault="00BC0E7E" w:rsidP="00762FA7">
      <w:pPr>
        <w:rPr>
          <w:del w:id="8404" w:author="AbbVie19" w:date="2025-04-16T10:42:00Z"/>
          <w:szCs w:val="20"/>
        </w:rPr>
      </w:pPr>
    </w:p>
    <w:p w14:paraId="50029383" w14:textId="77777777" w:rsidR="00BC0E7E" w:rsidRPr="00BC0E7E" w:rsidRDefault="00944B8F" w:rsidP="00762FA7">
      <w:pPr>
        <w:tabs>
          <w:tab w:val="clear" w:pos="562"/>
        </w:tabs>
        <w:rPr>
          <w:del w:id="8405" w:author="AbbVie19" w:date="2025-04-16T10:42:00Z"/>
        </w:rPr>
      </w:pPr>
      <w:del w:id="8406" w:author="AbbVie19" w:date="2025-04-16T10:42:00Z">
        <w:r w:rsidRPr="00BC0E7E">
          <w:delText>Any unused medicinal product or waste material should be disposed of in accordance with local requirements.</w:delText>
        </w:r>
      </w:del>
    </w:p>
    <w:p w14:paraId="0DE1F23E" w14:textId="77777777" w:rsidR="00BC0E7E" w:rsidRPr="00BC0E7E" w:rsidRDefault="00BC0E7E" w:rsidP="00762FA7">
      <w:pPr>
        <w:tabs>
          <w:tab w:val="clear" w:pos="562"/>
        </w:tabs>
        <w:rPr>
          <w:del w:id="8407" w:author="AbbVie19" w:date="2025-04-16T10:42:00Z"/>
        </w:rPr>
      </w:pPr>
    </w:p>
    <w:p w14:paraId="3016EC59" w14:textId="77777777" w:rsidR="00BC0E7E" w:rsidRPr="00BC0E7E" w:rsidRDefault="00BC0E7E" w:rsidP="00762FA7">
      <w:pPr>
        <w:tabs>
          <w:tab w:val="clear" w:pos="562"/>
        </w:tabs>
        <w:rPr>
          <w:del w:id="8408" w:author="AbbVie19" w:date="2025-04-16T10:42:00Z"/>
        </w:rPr>
      </w:pPr>
    </w:p>
    <w:p w14:paraId="7A75D22B" w14:textId="77777777" w:rsidR="00BC0E7E" w:rsidRPr="003B65EC" w:rsidRDefault="00944B8F" w:rsidP="00762FA7">
      <w:pPr>
        <w:keepNext/>
        <w:outlineLvl w:val="0"/>
        <w:rPr>
          <w:del w:id="8409" w:author="AbbVie19" w:date="2025-04-16T10:42:00Z"/>
          <w:b/>
          <w:caps/>
          <w:szCs w:val="20"/>
        </w:rPr>
      </w:pPr>
      <w:del w:id="8410" w:author="AbbVie19" w:date="2025-04-16T10:42:00Z">
        <w:r w:rsidRPr="003B65EC">
          <w:rPr>
            <w:b/>
            <w:caps/>
            <w:szCs w:val="20"/>
          </w:rPr>
          <w:delText>7.</w:delText>
        </w:r>
        <w:r w:rsidRPr="003B65EC">
          <w:rPr>
            <w:b/>
            <w:caps/>
            <w:szCs w:val="20"/>
          </w:rPr>
          <w:tab/>
          <w:delText xml:space="preserve">MARKETING AUTHORISATION HOLDER </w:delText>
        </w:r>
      </w:del>
    </w:p>
    <w:p w14:paraId="150CB289" w14:textId="77777777" w:rsidR="00BC0E7E" w:rsidRPr="003B65EC" w:rsidRDefault="00BC0E7E" w:rsidP="00762FA7">
      <w:pPr>
        <w:keepNext/>
        <w:rPr>
          <w:del w:id="8411" w:author="AbbVie19" w:date="2025-04-16T10:42:00Z"/>
          <w:szCs w:val="20"/>
        </w:rPr>
      </w:pPr>
    </w:p>
    <w:p w14:paraId="2329EF70" w14:textId="77777777" w:rsidR="006A01D2" w:rsidRPr="003B65EC" w:rsidRDefault="00944B8F" w:rsidP="00762FA7">
      <w:pPr>
        <w:keepNext/>
        <w:tabs>
          <w:tab w:val="clear" w:pos="562"/>
        </w:tabs>
        <w:suppressAutoHyphens w:val="0"/>
        <w:autoSpaceDE w:val="0"/>
        <w:autoSpaceDN w:val="0"/>
        <w:adjustRightInd w:val="0"/>
        <w:spacing w:line="240" w:lineRule="atLeast"/>
        <w:rPr>
          <w:del w:id="8412" w:author="AbbVie19" w:date="2025-04-16T10:42:00Z"/>
          <w:szCs w:val="22"/>
          <w:lang w:eastAsia="en-GB"/>
        </w:rPr>
      </w:pPr>
      <w:del w:id="8413" w:author="AbbVie19" w:date="2025-04-16T10:42:00Z">
        <w:r w:rsidRPr="003B65EC">
          <w:rPr>
            <w:szCs w:val="22"/>
            <w:lang w:eastAsia="en-GB"/>
          </w:rPr>
          <w:delText>AbbVie Deutschland GmbH &amp; Co. KG</w:delText>
        </w:r>
      </w:del>
    </w:p>
    <w:p w14:paraId="1AD361F9" w14:textId="77777777" w:rsidR="006A01D2" w:rsidRPr="003B65EC" w:rsidRDefault="00944B8F" w:rsidP="00762FA7">
      <w:pPr>
        <w:keepNext/>
        <w:tabs>
          <w:tab w:val="clear" w:pos="562"/>
        </w:tabs>
        <w:suppressAutoHyphens w:val="0"/>
        <w:autoSpaceDE w:val="0"/>
        <w:autoSpaceDN w:val="0"/>
        <w:adjustRightInd w:val="0"/>
        <w:spacing w:line="240" w:lineRule="atLeast"/>
        <w:rPr>
          <w:del w:id="8414" w:author="AbbVie19" w:date="2025-04-16T10:42:00Z"/>
          <w:szCs w:val="22"/>
          <w:lang w:eastAsia="en-GB"/>
        </w:rPr>
      </w:pPr>
      <w:del w:id="8415" w:author="AbbVie19" w:date="2025-04-16T10:42:00Z">
        <w:r w:rsidRPr="003B65EC">
          <w:rPr>
            <w:szCs w:val="22"/>
            <w:lang w:eastAsia="en-GB"/>
          </w:rPr>
          <w:delText>Knollstrasse</w:delText>
        </w:r>
      </w:del>
    </w:p>
    <w:p w14:paraId="3A624F78" w14:textId="77777777" w:rsidR="006A01D2" w:rsidRPr="003B65EC" w:rsidRDefault="00944B8F" w:rsidP="00762FA7">
      <w:pPr>
        <w:keepNext/>
        <w:tabs>
          <w:tab w:val="clear" w:pos="562"/>
        </w:tabs>
        <w:suppressAutoHyphens w:val="0"/>
        <w:autoSpaceDE w:val="0"/>
        <w:autoSpaceDN w:val="0"/>
        <w:adjustRightInd w:val="0"/>
        <w:spacing w:line="240" w:lineRule="atLeast"/>
        <w:rPr>
          <w:del w:id="8416" w:author="AbbVie19" w:date="2025-04-16T10:42:00Z"/>
          <w:szCs w:val="22"/>
          <w:lang w:eastAsia="en-GB"/>
        </w:rPr>
      </w:pPr>
      <w:del w:id="8417" w:author="AbbVie19" w:date="2025-04-16T10:42:00Z">
        <w:r w:rsidRPr="003B65EC">
          <w:rPr>
            <w:szCs w:val="22"/>
            <w:lang w:eastAsia="en-GB"/>
          </w:rPr>
          <w:delText>67061 Ludwigshafen</w:delText>
        </w:r>
      </w:del>
    </w:p>
    <w:p w14:paraId="688F8968" w14:textId="77777777" w:rsidR="006A01D2" w:rsidRDefault="00944B8F" w:rsidP="00762FA7">
      <w:pPr>
        <w:keepNext/>
        <w:tabs>
          <w:tab w:val="clear" w:pos="562"/>
        </w:tabs>
        <w:suppressAutoHyphens w:val="0"/>
        <w:autoSpaceDE w:val="0"/>
        <w:autoSpaceDN w:val="0"/>
        <w:adjustRightInd w:val="0"/>
        <w:spacing w:line="240" w:lineRule="atLeast"/>
        <w:rPr>
          <w:del w:id="8418" w:author="AbbVie19" w:date="2025-04-16T10:42:00Z"/>
          <w:szCs w:val="22"/>
          <w:lang w:eastAsia="en-GB"/>
        </w:rPr>
      </w:pPr>
      <w:del w:id="8419" w:author="AbbVie19" w:date="2025-04-16T10:42:00Z">
        <w:r w:rsidRPr="00EB4204">
          <w:rPr>
            <w:szCs w:val="22"/>
            <w:lang w:eastAsia="en-GB"/>
          </w:rPr>
          <w:delText>Germany</w:delText>
        </w:r>
        <w:r w:rsidRPr="002A3533">
          <w:rPr>
            <w:szCs w:val="22"/>
            <w:lang w:eastAsia="en-GB"/>
          </w:rPr>
          <w:delText xml:space="preserve"> </w:delText>
        </w:r>
      </w:del>
    </w:p>
    <w:p w14:paraId="65973A50" w14:textId="77777777" w:rsidR="00BC0E7E" w:rsidRPr="00BC0E7E" w:rsidRDefault="00BC0E7E" w:rsidP="00762FA7">
      <w:pPr>
        <w:keepNext/>
        <w:tabs>
          <w:tab w:val="clear" w:pos="562"/>
        </w:tabs>
        <w:suppressAutoHyphens w:val="0"/>
        <w:autoSpaceDE w:val="0"/>
        <w:autoSpaceDN w:val="0"/>
        <w:adjustRightInd w:val="0"/>
        <w:spacing w:line="240" w:lineRule="atLeast"/>
        <w:rPr>
          <w:del w:id="8420" w:author="AbbVie19" w:date="2025-04-16T10:42:00Z"/>
          <w:szCs w:val="22"/>
          <w:lang w:eastAsia="en-GB"/>
        </w:rPr>
      </w:pPr>
    </w:p>
    <w:p w14:paraId="75A4FF9A" w14:textId="77777777" w:rsidR="00BC0E7E" w:rsidRPr="00BC0E7E" w:rsidRDefault="00BC0E7E" w:rsidP="00762FA7">
      <w:pPr>
        <w:keepNext/>
        <w:tabs>
          <w:tab w:val="clear" w:pos="562"/>
        </w:tabs>
        <w:suppressAutoHyphens w:val="0"/>
        <w:autoSpaceDE w:val="0"/>
        <w:autoSpaceDN w:val="0"/>
        <w:adjustRightInd w:val="0"/>
        <w:spacing w:line="240" w:lineRule="atLeast"/>
        <w:rPr>
          <w:del w:id="8421" w:author="AbbVie19" w:date="2025-04-16T10:42:00Z"/>
          <w:szCs w:val="22"/>
          <w:lang w:eastAsia="en-GB"/>
        </w:rPr>
      </w:pPr>
    </w:p>
    <w:p w14:paraId="55EEB067" w14:textId="77777777" w:rsidR="00BC0E7E" w:rsidRPr="00BC0E7E" w:rsidRDefault="00944B8F" w:rsidP="00AA4A2A">
      <w:pPr>
        <w:outlineLvl w:val="0"/>
        <w:rPr>
          <w:del w:id="8422" w:author="AbbVie19" w:date="2025-04-16T10:42:00Z"/>
          <w:b/>
          <w:caps/>
          <w:szCs w:val="20"/>
        </w:rPr>
      </w:pPr>
      <w:del w:id="8423" w:author="AbbVie19" w:date="2025-04-16T10:42:00Z">
        <w:r w:rsidRPr="00BC0E7E">
          <w:rPr>
            <w:b/>
            <w:caps/>
            <w:szCs w:val="20"/>
          </w:rPr>
          <w:delText>8.</w:delText>
        </w:r>
        <w:r w:rsidRPr="00BC0E7E">
          <w:rPr>
            <w:b/>
            <w:caps/>
            <w:szCs w:val="20"/>
          </w:rPr>
          <w:tab/>
          <w:delText xml:space="preserve">MARKETING AUTHORISATION NUMBERS </w:delText>
        </w:r>
      </w:del>
    </w:p>
    <w:p w14:paraId="40F24A31" w14:textId="77777777" w:rsidR="00BC0E7E" w:rsidRPr="00BC0E7E" w:rsidRDefault="00BC0E7E" w:rsidP="00762FA7">
      <w:pPr>
        <w:tabs>
          <w:tab w:val="clear" w:pos="562"/>
        </w:tabs>
        <w:rPr>
          <w:del w:id="8424" w:author="AbbVie19" w:date="2025-04-16T10:42:00Z"/>
          <w:u w:val="single"/>
        </w:rPr>
      </w:pPr>
    </w:p>
    <w:p w14:paraId="2A150D6C" w14:textId="77777777" w:rsidR="00BC0E7E" w:rsidRPr="00BC0E7E" w:rsidRDefault="00944B8F" w:rsidP="00762FA7">
      <w:pPr>
        <w:rPr>
          <w:del w:id="8425" w:author="AbbVie19" w:date="2025-04-16T10:42:00Z"/>
        </w:rPr>
      </w:pPr>
      <w:del w:id="8426" w:author="AbbVie19" w:date="2025-04-16T10:42:00Z">
        <w:r w:rsidRPr="00BC0E7E">
          <w:rPr>
            <w:u w:val="single"/>
          </w:rPr>
          <w:delText xml:space="preserve">Humira 40 mg solution for injection in pre-filled syringe </w:delText>
        </w:r>
      </w:del>
    </w:p>
    <w:p w14:paraId="04B0B6FD" w14:textId="77777777" w:rsidR="00BC0E7E" w:rsidRPr="00BC0E7E" w:rsidRDefault="00944B8F" w:rsidP="00762FA7">
      <w:pPr>
        <w:rPr>
          <w:del w:id="8427" w:author="AbbVie19" w:date="2025-04-16T10:42:00Z"/>
        </w:rPr>
      </w:pPr>
      <w:del w:id="8428" w:author="AbbVie19" w:date="2025-04-16T10:42:00Z">
        <w:r w:rsidRPr="00BC0E7E">
          <w:delText>EU/1/03/256/002</w:delText>
        </w:r>
      </w:del>
    </w:p>
    <w:p w14:paraId="0A68B7B8" w14:textId="77777777" w:rsidR="00BC0E7E" w:rsidRPr="00BC0E7E" w:rsidRDefault="00944B8F" w:rsidP="00762FA7">
      <w:pPr>
        <w:rPr>
          <w:del w:id="8429" w:author="AbbVie19" w:date="2025-04-16T10:42:00Z"/>
        </w:rPr>
      </w:pPr>
      <w:del w:id="8430" w:author="AbbVie19" w:date="2025-04-16T10:42:00Z">
        <w:r w:rsidRPr="00BC0E7E">
          <w:delText>EU/1/03/256/003</w:delText>
        </w:r>
      </w:del>
    </w:p>
    <w:p w14:paraId="6E5CBCF9" w14:textId="77777777" w:rsidR="00BC0E7E" w:rsidRPr="00BC0E7E" w:rsidRDefault="00944B8F" w:rsidP="00762FA7">
      <w:pPr>
        <w:rPr>
          <w:del w:id="8431" w:author="AbbVie19" w:date="2025-04-16T10:42:00Z"/>
          <w:szCs w:val="20"/>
        </w:rPr>
      </w:pPr>
      <w:del w:id="8432" w:author="AbbVie19" w:date="2025-04-16T10:42:00Z">
        <w:r w:rsidRPr="00BC0E7E">
          <w:rPr>
            <w:szCs w:val="20"/>
          </w:rPr>
          <w:delText>EU/1/03/256/004</w:delText>
        </w:r>
      </w:del>
    </w:p>
    <w:p w14:paraId="76CA7FF5" w14:textId="77777777" w:rsidR="00BC0E7E" w:rsidRPr="00BC0E7E" w:rsidRDefault="00944B8F" w:rsidP="00762FA7">
      <w:pPr>
        <w:rPr>
          <w:del w:id="8433" w:author="AbbVie19" w:date="2025-04-16T10:42:00Z"/>
          <w:szCs w:val="20"/>
        </w:rPr>
      </w:pPr>
      <w:del w:id="8434" w:author="AbbVie19" w:date="2025-04-16T10:42:00Z">
        <w:r w:rsidRPr="00BC0E7E">
          <w:rPr>
            <w:szCs w:val="20"/>
          </w:rPr>
          <w:delText>EU/1/03/256/005</w:delText>
        </w:r>
      </w:del>
    </w:p>
    <w:p w14:paraId="519BE299" w14:textId="77777777" w:rsidR="00BC0E7E" w:rsidRPr="00BC0E7E" w:rsidRDefault="00BC0E7E" w:rsidP="00762FA7">
      <w:pPr>
        <w:rPr>
          <w:del w:id="8435" w:author="AbbVie19" w:date="2025-04-16T10:42:00Z"/>
          <w:szCs w:val="20"/>
        </w:rPr>
      </w:pPr>
    </w:p>
    <w:p w14:paraId="6450E684" w14:textId="77777777" w:rsidR="00BC0E7E" w:rsidRPr="00BC0E7E" w:rsidRDefault="00944B8F" w:rsidP="00762FA7">
      <w:pPr>
        <w:tabs>
          <w:tab w:val="clear" w:pos="562"/>
        </w:tabs>
        <w:rPr>
          <w:del w:id="8436" w:author="AbbVie19" w:date="2025-04-16T10:42:00Z"/>
          <w:u w:val="single"/>
        </w:rPr>
      </w:pPr>
      <w:del w:id="8437" w:author="AbbVie19" w:date="2025-04-16T10:42:00Z">
        <w:r w:rsidRPr="00BC0E7E">
          <w:rPr>
            <w:u w:val="single"/>
          </w:rPr>
          <w:delText>Humira 40 mg solution for injection in pre-filled syringe with needle</w:delText>
        </w:r>
        <w:r w:rsidR="006B3EA7">
          <w:rPr>
            <w:u w:val="single"/>
          </w:rPr>
          <w:delText xml:space="preserve"> </w:delText>
        </w:r>
        <w:r w:rsidRPr="00BC0E7E">
          <w:rPr>
            <w:u w:val="single"/>
          </w:rPr>
          <w:delText xml:space="preserve">guard </w:delText>
        </w:r>
      </w:del>
    </w:p>
    <w:p w14:paraId="0EA8351E" w14:textId="77777777" w:rsidR="00BC0E7E" w:rsidRPr="00BC0E7E" w:rsidRDefault="00944B8F" w:rsidP="00762FA7">
      <w:pPr>
        <w:keepNext/>
        <w:tabs>
          <w:tab w:val="clear" w:pos="562"/>
        </w:tabs>
        <w:rPr>
          <w:del w:id="8438" w:author="AbbVie19" w:date="2025-04-16T10:42:00Z"/>
        </w:rPr>
      </w:pPr>
      <w:del w:id="8439" w:author="AbbVie19" w:date="2025-04-16T10:42:00Z">
        <w:r w:rsidRPr="00BC0E7E">
          <w:delText>EU/1/03/256/006</w:delText>
        </w:r>
      </w:del>
    </w:p>
    <w:p w14:paraId="660A673C" w14:textId="77777777" w:rsidR="00BC0E7E" w:rsidRPr="00BC0E7E" w:rsidRDefault="00BC0E7E" w:rsidP="00762FA7">
      <w:pPr>
        <w:rPr>
          <w:del w:id="8440" w:author="AbbVie19" w:date="2025-04-16T10:42:00Z"/>
          <w:szCs w:val="20"/>
        </w:rPr>
      </w:pPr>
    </w:p>
    <w:p w14:paraId="38275080" w14:textId="77777777" w:rsidR="00BC0E7E" w:rsidRPr="00BC0E7E" w:rsidRDefault="00944B8F" w:rsidP="00762FA7">
      <w:pPr>
        <w:rPr>
          <w:del w:id="8441" w:author="AbbVie19" w:date="2025-04-16T10:42:00Z"/>
          <w:szCs w:val="20"/>
          <w:u w:val="single"/>
        </w:rPr>
      </w:pPr>
      <w:del w:id="8442" w:author="AbbVie19" w:date="2025-04-16T10:42:00Z">
        <w:r w:rsidRPr="00BC0E7E">
          <w:rPr>
            <w:szCs w:val="20"/>
            <w:u w:val="single"/>
          </w:rPr>
          <w:delText>Humira 40 mg solution for injection in pre-filled pen</w:delText>
        </w:r>
      </w:del>
    </w:p>
    <w:p w14:paraId="574800F6" w14:textId="77777777" w:rsidR="00BC0E7E" w:rsidRPr="00BC0E7E" w:rsidRDefault="00944B8F" w:rsidP="00762FA7">
      <w:pPr>
        <w:rPr>
          <w:del w:id="8443" w:author="AbbVie19" w:date="2025-04-16T10:42:00Z"/>
          <w:szCs w:val="20"/>
        </w:rPr>
      </w:pPr>
      <w:del w:id="8444" w:author="AbbVie19" w:date="2025-04-16T10:42:00Z">
        <w:r w:rsidRPr="00BC0E7E">
          <w:rPr>
            <w:szCs w:val="20"/>
          </w:rPr>
          <w:delText>EU/1/03/256/007</w:delText>
        </w:r>
      </w:del>
    </w:p>
    <w:p w14:paraId="0059BBA2" w14:textId="77777777" w:rsidR="00BC0E7E" w:rsidRPr="00BC0E7E" w:rsidRDefault="00944B8F" w:rsidP="00762FA7">
      <w:pPr>
        <w:rPr>
          <w:del w:id="8445" w:author="AbbVie19" w:date="2025-04-16T10:42:00Z"/>
          <w:szCs w:val="20"/>
        </w:rPr>
      </w:pPr>
      <w:del w:id="8446" w:author="AbbVie19" w:date="2025-04-16T10:42:00Z">
        <w:r w:rsidRPr="00BC0E7E">
          <w:rPr>
            <w:szCs w:val="20"/>
          </w:rPr>
          <w:delText>EU/1/03/256/008</w:delText>
        </w:r>
      </w:del>
    </w:p>
    <w:p w14:paraId="0D7FD64D" w14:textId="77777777" w:rsidR="00BC0E7E" w:rsidRPr="00BC0E7E" w:rsidRDefault="00944B8F" w:rsidP="00762FA7">
      <w:pPr>
        <w:rPr>
          <w:del w:id="8447" w:author="AbbVie19" w:date="2025-04-16T10:42:00Z"/>
          <w:szCs w:val="20"/>
        </w:rPr>
      </w:pPr>
      <w:del w:id="8448" w:author="AbbVie19" w:date="2025-04-16T10:42:00Z">
        <w:r w:rsidRPr="00BC0E7E">
          <w:rPr>
            <w:szCs w:val="20"/>
          </w:rPr>
          <w:delText>EU/1/03/256/009</w:delText>
        </w:r>
      </w:del>
    </w:p>
    <w:p w14:paraId="7C4CEE09" w14:textId="77777777" w:rsidR="00BC0E7E" w:rsidRPr="00BC0E7E" w:rsidRDefault="00944B8F" w:rsidP="00762FA7">
      <w:pPr>
        <w:rPr>
          <w:del w:id="8449" w:author="AbbVie19" w:date="2025-04-16T10:42:00Z"/>
          <w:szCs w:val="20"/>
        </w:rPr>
      </w:pPr>
      <w:del w:id="8450" w:author="AbbVie19" w:date="2025-04-16T10:42:00Z">
        <w:r w:rsidRPr="00BC0E7E">
          <w:rPr>
            <w:szCs w:val="20"/>
          </w:rPr>
          <w:delText>EU/1/03/256/010</w:delText>
        </w:r>
      </w:del>
    </w:p>
    <w:p w14:paraId="2E54C1F8" w14:textId="77777777" w:rsidR="00BC0E7E" w:rsidRPr="00BC0E7E" w:rsidRDefault="00BC0E7E" w:rsidP="00762FA7">
      <w:pPr>
        <w:rPr>
          <w:del w:id="8451" w:author="AbbVie19" w:date="2025-04-16T10:42:00Z"/>
          <w:szCs w:val="20"/>
        </w:rPr>
      </w:pPr>
    </w:p>
    <w:p w14:paraId="04A205F6" w14:textId="77777777" w:rsidR="00BC0E7E" w:rsidRPr="00BC0E7E" w:rsidRDefault="00BC0E7E" w:rsidP="00762FA7">
      <w:pPr>
        <w:rPr>
          <w:del w:id="8452" w:author="AbbVie19" w:date="2025-04-16T10:42:00Z"/>
          <w:szCs w:val="20"/>
        </w:rPr>
      </w:pPr>
    </w:p>
    <w:p w14:paraId="56CB710D" w14:textId="77777777" w:rsidR="00BC0E7E" w:rsidRPr="00BC0E7E" w:rsidRDefault="00944B8F" w:rsidP="00AA4A2A">
      <w:pPr>
        <w:outlineLvl w:val="0"/>
        <w:rPr>
          <w:del w:id="8453" w:author="AbbVie19" w:date="2025-04-16T10:42:00Z"/>
          <w:b/>
          <w:caps/>
          <w:szCs w:val="20"/>
        </w:rPr>
      </w:pPr>
      <w:del w:id="8454" w:author="AbbVie19" w:date="2025-04-16T10:42:00Z">
        <w:r w:rsidRPr="00BC0E7E">
          <w:rPr>
            <w:b/>
            <w:caps/>
            <w:szCs w:val="20"/>
          </w:rPr>
          <w:delText>9.</w:delText>
        </w:r>
        <w:r w:rsidRPr="00BC0E7E">
          <w:rPr>
            <w:b/>
            <w:caps/>
            <w:szCs w:val="20"/>
          </w:rPr>
          <w:tab/>
          <w:delText>DATE OF FIRST AUTHORISATION/RENEWAL OF THE AUTHORISATION</w:delText>
        </w:r>
      </w:del>
    </w:p>
    <w:p w14:paraId="55BCF2E3" w14:textId="77777777" w:rsidR="00BC0E7E" w:rsidRPr="00BC0E7E" w:rsidRDefault="00BC0E7E" w:rsidP="00762FA7">
      <w:pPr>
        <w:autoSpaceDE w:val="0"/>
        <w:autoSpaceDN w:val="0"/>
        <w:adjustRightInd w:val="0"/>
        <w:rPr>
          <w:del w:id="8455" w:author="AbbVie19" w:date="2025-04-16T10:42:00Z"/>
        </w:rPr>
      </w:pPr>
    </w:p>
    <w:p w14:paraId="4CBECF46" w14:textId="77777777" w:rsidR="00BC0E7E" w:rsidRPr="00BC0E7E" w:rsidRDefault="00944B8F" w:rsidP="00762FA7">
      <w:pPr>
        <w:autoSpaceDE w:val="0"/>
        <w:autoSpaceDN w:val="0"/>
        <w:adjustRightInd w:val="0"/>
        <w:rPr>
          <w:del w:id="8456" w:author="AbbVie19" w:date="2025-04-16T10:42:00Z"/>
          <w:szCs w:val="22"/>
          <w:lang w:eastAsia="en-GB"/>
        </w:rPr>
      </w:pPr>
      <w:del w:id="8457" w:author="AbbVie19" w:date="2025-04-16T10:42:00Z">
        <w:r w:rsidRPr="00BC0E7E">
          <w:rPr>
            <w:szCs w:val="22"/>
          </w:rPr>
          <w:delText>Date of first authorisation:  0</w:delText>
        </w:r>
        <w:r w:rsidRPr="00BC0E7E">
          <w:rPr>
            <w:szCs w:val="22"/>
            <w:lang w:eastAsia="en-GB"/>
          </w:rPr>
          <w:delText>8 September 2003</w:delText>
        </w:r>
      </w:del>
    </w:p>
    <w:p w14:paraId="4F227DFB" w14:textId="77777777" w:rsidR="00BC0E7E" w:rsidRPr="00BC0E7E" w:rsidRDefault="00944B8F" w:rsidP="00762FA7">
      <w:pPr>
        <w:rPr>
          <w:del w:id="8458" w:author="AbbVie19" w:date="2025-04-16T10:42:00Z"/>
          <w:szCs w:val="22"/>
          <w:lang w:eastAsia="en-GB"/>
        </w:rPr>
      </w:pPr>
      <w:del w:id="8459" w:author="AbbVie19" w:date="2025-04-16T10:42:00Z">
        <w:r w:rsidRPr="00BC0E7E">
          <w:rPr>
            <w:szCs w:val="22"/>
            <w:lang w:eastAsia="en-GB"/>
          </w:rPr>
          <w:delText xml:space="preserve">Date of latest renewal: 08 September 2008 </w:delText>
        </w:r>
      </w:del>
    </w:p>
    <w:p w14:paraId="7947DFF2" w14:textId="77777777" w:rsidR="00BC0E7E" w:rsidRPr="00BC0E7E" w:rsidRDefault="00BC0E7E" w:rsidP="00762FA7">
      <w:pPr>
        <w:rPr>
          <w:del w:id="8460" w:author="AbbVie19" w:date="2025-04-16T10:42:00Z"/>
          <w:szCs w:val="22"/>
          <w:lang w:eastAsia="en-GB"/>
        </w:rPr>
      </w:pPr>
    </w:p>
    <w:p w14:paraId="556737FB" w14:textId="77777777" w:rsidR="00BC0E7E" w:rsidRPr="00BC0E7E" w:rsidRDefault="00BC0E7E" w:rsidP="00762FA7">
      <w:pPr>
        <w:rPr>
          <w:del w:id="8461" w:author="AbbVie19" w:date="2025-04-16T10:42:00Z"/>
          <w:szCs w:val="22"/>
        </w:rPr>
      </w:pPr>
    </w:p>
    <w:p w14:paraId="73DB75C4" w14:textId="77777777" w:rsidR="00BC0E7E" w:rsidRPr="00BC0E7E" w:rsidRDefault="00944B8F" w:rsidP="00762FA7">
      <w:pPr>
        <w:keepNext/>
        <w:outlineLvl w:val="0"/>
        <w:rPr>
          <w:del w:id="8462" w:author="AbbVie19" w:date="2025-04-16T10:42:00Z"/>
          <w:b/>
          <w:caps/>
          <w:szCs w:val="20"/>
        </w:rPr>
      </w:pPr>
      <w:del w:id="8463" w:author="AbbVie19" w:date="2025-04-16T10:42:00Z">
        <w:r w:rsidRPr="00BC0E7E">
          <w:rPr>
            <w:b/>
            <w:caps/>
            <w:szCs w:val="20"/>
          </w:rPr>
          <w:delText>10.</w:delText>
        </w:r>
        <w:r w:rsidRPr="00BC0E7E">
          <w:rPr>
            <w:b/>
            <w:caps/>
            <w:szCs w:val="20"/>
          </w:rPr>
          <w:tab/>
          <w:delText>DATE OF REVISION OF THE TEXT</w:delText>
        </w:r>
      </w:del>
    </w:p>
    <w:p w14:paraId="4541DB63" w14:textId="77777777" w:rsidR="00BC0E7E" w:rsidRPr="00BC0E7E" w:rsidRDefault="00BC0E7E" w:rsidP="00762FA7">
      <w:pPr>
        <w:keepNext/>
        <w:rPr>
          <w:del w:id="8464" w:author="AbbVie19" w:date="2025-04-16T10:42:00Z"/>
          <w:szCs w:val="20"/>
        </w:rPr>
      </w:pPr>
    </w:p>
    <w:p w14:paraId="0A8A301F" w14:textId="77777777" w:rsidR="00BC0E7E" w:rsidRPr="00BC0E7E" w:rsidRDefault="00944B8F" w:rsidP="00762FA7">
      <w:pPr>
        <w:keepNext/>
        <w:rPr>
          <w:del w:id="8465" w:author="AbbVie19" w:date="2025-04-16T10:42:00Z"/>
          <w:szCs w:val="20"/>
        </w:rPr>
      </w:pPr>
      <w:del w:id="8466" w:author="AbbVie19" w:date="2025-04-16T10:42:00Z">
        <w:r w:rsidRPr="00BC0E7E">
          <w:rPr>
            <w:bCs/>
            <w:szCs w:val="20"/>
          </w:rPr>
          <w:delText xml:space="preserve">Detailed information on this medicinal product is available on the website of the European Medicines Agency </w:delText>
        </w:r>
        <w:r>
          <w:fldChar w:fldCharType="begin"/>
        </w:r>
        <w:r>
          <w:delInstrText>HYPERLINK "http://www.ema.europa.eu"</w:delInstrText>
        </w:r>
        <w:r>
          <w:fldChar w:fldCharType="separate"/>
        </w:r>
        <w:r w:rsidRPr="004F68D4">
          <w:rPr>
            <w:rStyle w:val="Hyperlink"/>
            <w:bCs/>
            <w:szCs w:val="20"/>
          </w:rPr>
          <w:delText>http://www.ema.europa.eu</w:delText>
        </w:r>
        <w:r>
          <w:fldChar w:fldCharType="end"/>
        </w:r>
      </w:del>
    </w:p>
    <w:p w14:paraId="7264CFDA" w14:textId="77777777" w:rsidR="00BC0E7E" w:rsidRPr="00BC0E7E" w:rsidRDefault="00944B8F" w:rsidP="00AA4A2A">
      <w:pPr>
        <w:outlineLvl w:val="0"/>
        <w:rPr>
          <w:rFonts w:ascii="Times New Roman Bold" w:hAnsi="Times New Roman Bold"/>
          <w:b/>
          <w:caps/>
          <w:szCs w:val="20"/>
        </w:rPr>
      </w:pPr>
      <w:del w:id="8467" w:author="AbbVie19" w:date="2025-04-16T10:42:00Z">
        <w:r w:rsidRPr="00BC0E7E">
          <w:rPr>
            <w:bCs/>
            <w:caps/>
            <w:szCs w:val="20"/>
          </w:rPr>
          <w:br w:type="page"/>
        </w:r>
      </w:del>
    </w:p>
    <w:p w14:paraId="2086E00C" w14:textId="77777777" w:rsidR="00BC0E7E" w:rsidRPr="00BC0E7E" w:rsidRDefault="00944B8F" w:rsidP="00BC0E7E">
      <w:pPr>
        <w:outlineLvl w:val="0"/>
        <w:rPr>
          <w:b/>
          <w:caps/>
          <w:szCs w:val="20"/>
        </w:rPr>
      </w:pPr>
      <w:r w:rsidRPr="00BC0E7E">
        <w:rPr>
          <w:b/>
          <w:caps/>
          <w:szCs w:val="20"/>
        </w:rPr>
        <w:lastRenderedPageBreak/>
        <w:t>1</w:t>
      </w:r>
      <w:r w:rsidR="00F337C0">
        <w:rPr>
          <w:b/>
          <w:caps/>
          <w:szCs w:val="20"/>
        </w:rPr>
        <w:t>.</w:t>
      </w:r>
      <w:r w:rsidR="00F337C0">
        <w:rPr>
          <w:b/>
          <w:caps/>
          <w:szCs w:val="20"/>
        </w:rPr>
        <w:tab/>
        <w:t>NAME OF THE MEDICINAL PRODUCT</w:t>
      </w:r>
    </w:p>
    <w:p w14:paraId="714DFDF4" w14:textId="77777777" w:rsidR="00BC0E7E" w:rsidRPr="00BC0E7E" w:rsidRDefault="00BC0E7E" w:rsidP="00BC0E7E">
      <w:pPr>
        <w:rPr>
          <w:szCs w:val="20"/>
        </w:rPr>
      </w:pPr>
    </w:p>
    <w:p w14:paraId="5814726D" w14:textId="77777777" w:rsidR="00BC0E7E" w:rsidRPr="00BC0E7E" w:rsidRDefault="00944B8F" w:rsidP="00BC0E7E">
      <w:pPr>
        <w:tabs>
          <w:tab w:val="clear" w:pos="562"/>
        </w:tabs>
      </w:pPr>
      <w:r w:rsidRPr="00BC0E7E">
        <w:t>Humira 40 mg solution for injection in pre-filled syringe</w:t>
      </w:r>
    </w:p>
    <w:p w14:paraId="237691F2" w14:textId="77777777" w:rsidR="00BC0E7E" w:rsidRPr="00BC0E7E" w:rsidRDefault="00944B8F" w:rsidP="00BC0E7E">
      <w:pPr>
        <w:tabs>
          <w:tab w:val="clear" w:pos="562"/>
        </w:tabs>
      </w:pPr>
      <w:r w:rsidRPr="00BC0E7E">
        <w:t>Humira 40 mg solution for injection in pre-filled pen</w:t>
      </w:r>
    </w:p>
    <w:p w14:paraId="16C9BC4B" w14:textId="77777777" w:rsidR="00BC0E7E" w:rsidRPr="00BC0E7E" w:rsidRDefault="00BC0E7E" w:rsidP="00BC0E7E">
      <w:pPr>
        <w:tabs>
          <w:tab w:val="clear" w:pos="562"/>
        </w:tabs>
      </w:pPr>
    </w:p>
    <w:p w14:paraId="544958BE" w14:textId="77777777" w:rsidR="00BC0E7E" w:rsidRPr="00BC0E7E" w:rsidRDefault="00BC0E7E" w:rsidP="00BC0E7E">
      <w:pPr>
        <w:tabs>
          <w:tab w:val="clear" w:pos="562"/>
        </w:tabs>
      </w:pPr>
    </w:p>
    <w:p w14:paraId="1CDE6683" w14:textId="77777777" w:rsidR="00BC0E7E" w:rsidRPr="00BC0E7E" w:rsidRDefault="00944B8F" w:rsidP="00BC0E7E">
      <w:pPr>
        <w:outlineLvl w:val="0"/>
        <w:rPr>
          <w:b/>
          <w:caps/>
          <w:szCs w:val="20"/>
        </w:rPr>
      </w:pPr>
      <w:r w:rsidRPr="00BC0E7E">
        <w:rPr>
          <w:b/>
          <w:caps/>
          <w:szCs w:val="20"/>
        </w:rPr>
        <w:t>2.</w:t>
      </w:r>
      <w:r w:rsidRPr="00BC0E7E">
        <w:rPr>
          <w:b/>
          <w:caps/>
          <w:szCs w:val="20"/>
        </w:rPr>
        <w:tab/>
        <w:t>QUALITATI</w:t>
      </w:r>
      <w:r w:rsidR="00F337C0">
        <w:rPr>
          <w:b/>
          <w:caps/>
          <w:szCs w:val="20"/>
        </w:rPr>
        <w:t>VE AND QUANTITATIVE COMPOSITION</w:t>
      </w:r>
    </w:p>
    <w:p w14:paraId="1B0F823D" w14:textId="77777777" w:rsidR="00BC0E7E" w:rsidRPr="00BC0E7E" w:rsidRDefault="00BC0E7E" w:rsidP="00BC0E7E">
      <w:pPr>
        <w:tabs>
          <w:tab w:val="clear" w:pos="562"/>
        </w:tabs>
        <w:rPr>
          <w:u w:val="single"/>
        </w:rPr>
      </w:pPr>
    </w:p>
    <w:p w14:paraId="3D041F0C" w14:textId="77777777" w:rsidR="00BC0E7E" w:rsidRPr="00BC0E7E" w:rsidRDefault="00944B8F" w:rsidP="00BC0E7E">
      <w:pPr>
        <w:autoSpaceDE w:val="0"/>
        <w:autoSpaceDN w:val="0"/>
        <w:adjustRightInd w:val="0"/>
        <w:rPr>
          <w:u w:val="single"/>
        </w:rPr>
      </w:pPr>
      <w:r w:rsidRPr="00BC0E7E">
        <w:rPr>
          <w:u w:val="single"/>
        </w:rPr>
        <w:t xml:space="preserve">Humira 40 mg solution for injection in pre-filled syringe </w:t>
      </w:r>
    </w:p>
    <w:p w14:paraId="6227F4BC" w14:textId="77777777" w:rsidR="00BC0E7E" w:rsidRPr="00BC0E7E" w:rsidRDefault="00944B8F" w:rsidP="00BC0E7E">
      <w:pPr>
        <w:autoSpaceDE w:val="0"/>
        <w:autoSpaceDN w:val="0"/>
        <w:adjustRightInd w:val="0"/>
      </w:pPr>
      <w:r w:rsidRPr="00BC0E7E">
        <w:t>Each 0.4 ml single dose pre-filled syring</w:t>
      </w:r>
      <w:r w:rsidR="00F337C0">
        <w:t>e contains 40 mg of adalimumab.</w:t>
      </w:r>
    </w:p>
    <w:p w14:paraId="31E4C749" w14:textId="77777777" w:rsidR="00BC0E7E" w:rsidRPr="00BC0E7E" w:rsidRDefault="00BC0E7E" w:rsidP="00BC0E7E">
      <w:pPr>
        <w:autoSpaceDE w:val="0"/>
        <w:autoSpaceDN w:val="0"/>
        <w:adjustRightInd w:val="0"/>
      </w:pPr>
    </w:p>
    <w:p w14:paraId="30BE0015" w14:textId="77777777" w:rsidR="00BC0E7E" w:rsidRPr="00BC0E7E" w:rsidRDefault="00944B8F" w:rsidP="00BC0E7E">
      <w:pPr>
        <w:tabs>
          <w:tab w:val="clear" w:pos="562"/>
        </w:tabs>
        <w:rPr>
          <w:u w:val="single"/>
        </w:rPr>
      </w:pPr>
      <w:r w:rsidRPr="00BC0E7E">
        <w:rPr>
          <w:u w:val="single"/>
        </w:rPr>
        <w:t>Humira 40 mg solution for injection in pre-filled pen</w:t>
      </w:r>
    </w:p>
    <w:p w14:paraId="0415E0D4" w14:textId="77777777" w:rsidR="00BC0E7E" w:rsidRPr="00BC0E7E" w:rsidRDefault="00944B8F" w:rsidP="00BC0E7E">
      <w:pPr>
        <w:autoSpaceDE w:val="0"/>
        <w:autoSpaceDN w:val="0"/>
        <w:adjustRightInd w:val="0"/>
      </w:pPr>
      <w:r w:rsidRPr="00BC0E7E">
        <w:t>Each 0.4 ml single dose pre-filled pe</w:t>
      </w:r>
      <w:r w:rsidR="00F337C0">
        <w:t>n contains 40 mg of adalimumab.</w:t>
      </w:r>
    </w:p>
    <w:p w14:paraId="565EC529" w14:textId="77777777" w:rsidR="00BC0E7E" w:rsidRPr="00BC0E7E" w:rsidRDefault="00BC0E7E" w:rsidP="00BC0E7E">
      <w:pPr>
        <w:autoSpaceDE w:val="0"/>
        <w:autoSpaceDN w:val="0"/>
        <w:adjustRightInd w:val="0"/>
      </w:pPr>
    </w:p>
    <w:p w14:paraId="0CBE8CD1" w14:textId="77777777" w:rsidR="00BC0E7E" w:rsidRPr="00BC0E7E" w:rsidRDefault="00944B8F" w:rsidP="00BC0E7E">
      <w:pPr>
        <w:autoSpaceDE w:val="0"/>
        <w:autoSpaceDN w:val="0"/>
        <w:adjustRightInd w:val="0"/>
      </w:pPr>
      <w:r w:rsidRPr="00BC0E7E">
        <w:t xml:space="preserve">Adalimumab is a recombinant human monoclonal antibody </w:t>
      </w:r>
      <w:r w:rsidR="004F68D4">
        <w:t>produced</w:t>
      </w:r>
      <w:r w:rsidRPr="00BC0E7E">
        <w:t xml:space="preserve"> in Chinese Hamster Ovary cells.</w:t>
      </w:r>
    </w:p>
    <w:p w14:paraId="052CD604" w14:textId="77777777" w:rsidR="00BC0E7E" w:rsidRPr="00BC0E7E" w:rsidRDefault="00BC0E7E" w:rsidP="00BC0E7E">
      <w:pPr>
        <w:autoSpaceDE w:val="0"/>
        <w:autoSpaceDN w:val="0"/>
        <w:adjustRightInd w:val="0"/>
      </w:pPr>
    </w:p>
    <w:p w14:paraId="241B11C0" w14:textId="77777777" w:rsidR="00AA4A2A" w:rsidRPr="00B364D7" w:rsidRDefault="00944B8F" w:rsidP="00AA4A2A">
      <w:pPr>
        <w:rPr>
          <w:ins w:id="8468" w:author="AbbVie19" w:date="2025-04-16T10:44:00Z"/>
          <w:szCs w:val="22"/>
          <w:u w:val="single"/>
        </w:rPr>
      </w:pPr>
      <w:ins w:id="8469" w:author="AbbVie19" w:date="2025-04-16T10:44:00Z">
        <w:r w:rsidRPr="00B364D7">
          <w:rPr>
            <w:szCs w:val="22"/>
            <w:u w:val="single"/>
          </w:rPr>
          <w:t>Excipients with known effect</w:t>
        </w:r>
      </w:ins>
    </w:p>
    <w:p w14:paraId="3D84B25D" w14:textId="77777777" w:rsidR="00AA4A2A" w:rsidRPr="00B364D7" w:rsidRDefault="00AA4A2A" w:rsidP="00AA4A2A">
      <w:pPr>
        <w:rPr>
          <w:ins w:id="8470" w:author="AbbVie19" w:date="2025-04-16T10:44:00Z"/>
          <w:szCs w:val="22"/>
          <w:u w:val="single"/>
        </w:rPr>
      </w:pPr>
    </w:p>
    <w:p w14:paraId="26BB7BCB" w14:textId="71AF7809" w:rsidR="00347351" w:rsidRPr="00AA4A2A" w:rsidRDefault="00944B8F" w:rsidP="00347351">
      <w:pPr>
        <w:numPr>
          <w:ilvl w:val="12"/>
          <w:numId w:val="0"/>
        </w:numPr>
        <w:tabs>
          <w:tab w:val="clear" w:pos="562"/>
        </w:tabs>
        <w:ind w:right="-2"/>
        <w:rPr>
          <w:ins w:id="8471" w:author="AbbVie19" w:date="2025-04-17T10:56:00Z"/>
          <w:szCs w:val="22"/>
        </w:rPr>
      </w:pPr>
      <w:ins w:id="8472" w:author="AbbVie19" w:date="2025-04-17T10:56:00Z">
        <w:r w:rsidRPr="00B364D7">
          <w:rPr>
            <w:szCs w:val="22"/>
          </w:rPr>
          <w:t>This medicinal product contains</w:t>
        </w:r>
      </w:ins>
      <w:ins w:id="8473" w:author="AbbVie19" w:date="2025-05-06T09:07:00Z">
        <w:r w:rsidR="00365815">
          <w:rPr>
            <w:szCs w:val="22"/>
          </w:rPr>
          <w:t xml:space="preserve"> 0.4</w:t>
        </w:r>
      </w:ins>
      <w:ins w:id="8474" w:author="AbbVie15" w:date="2025-08-27T10:21:00Z">
        <w:r w:rsidR="00762FA7">
          <w:rPr>
            <w:szCs w:val="22"/>
          </w:rPr>
          <w:t> </w:t>
        </w:r>
      </w:ins>
      <w:ins w:id="8475" w:author="AbbVie19" w:date="2025-04-17T10:56:00Z">
        <w:r w:rsidRPr="00B364D7">
          <w:rPr>
            <w:szCs w:val="22"/>
          </w:rPr>
          <w:t>mg of polysorbate </w:t>
        </w:r>
        <w:r>
          <w:rPr>
            <w:szCs w:val="22"/>
          </w:rPr>
          <w:t>8</w:t>
        </w:r>
        <w:r w:rsidRPr="00B364D7">
          <w:rPr>
            <w:szCs w:val="22"/>
          </w:rPr>
          <w:t xml:space="preserve">0 in each </w:t>
        </w:r>
        <w:r w:rsidR="008040FD">
          <w:rPr>
            <w:szCs w:val="22"/>
          </w:rPr>
          <w:t>40</w:t>
        </w:r>
      </w:ins>
      <w:ins w:id="8476" w:author="AbbVie15" w:date="2025-08-27T10:21:00Z">
        <w:r w:rsidR="00762FA7">
          <w:rPr>
            <w:szCs w:val="22"/>
          </w:rPr>
          <w:t> </w:t>
        </w:r>
      </w:ins>
      <w:ins w:id="8477" w:author="AbbVie19" w:date="2025-04-17T10:56:00Z">
        <w:r w:rsidR="008040FD">
          <w:rPr>
            <w:szCs w:val="22"/>
          </w:rPr>
          <w:t xml:space="preserve">mg </w:t>
        </w:r>
        <w:r>
          <w:rPr>
            <w:szCs w:val="22"/>
          </w:rPr>
          <w:t>dose.</w:t>
        </w:r>
      </w:ins>
    </w:p>
    <w:p w14:paraId="0188E4B4" w14:textId="77777777" w:rsidR="00AA4A2A" w:rsidRDefault="00AA4A2A" w:rsidP="00BC0E7E">
      <w:pPr>
        <w:tabs>
          <w:tab w:val="clear" w:pos="562"/>
        </w:tabs>
        <w:rPr>
          <w:ins w:id="8478" w:author="AbbVie19" w:date="2025-04-16T10:44:00Z"/>
        </w:rPr>
      </w:pPr>
    </w:p>
    <w:p w14:paraId="7BBA8B94" w14:textId="77777777" w:rsidR="00BC0E7E" w:rsidRPr="00BC0E7E" w:rsidRDefault="00944B8F" w:rsidP="00BC0E7E">
      <w:pPr>
        <w:tabs>
          <w:tab w:val="clear" w:pos="562"/>
        </w:tabs>
      </w:pPr>
      <w:r w:rsidRPr="00BC0E7E">
        <w:t xml:space="preserve">For the full list </w:t>
      </w:r>
      <w:r w:rsidR="00F337C0">
        <w:t>of excipients, see section 6.1.</w:t>
      </w:r>
    </w:p>
    <w:p w14:paraId="3E89A3D4" w14:textId="77777777" w:rsidR="00BC0E7E" w:rsidRPr="00BC0E7E" w:rsidRDefault="00BC0E7E" w:rsidP="00BC0E7E">
      <w:pPr>
        <w:tabs>
          <w:tab w:val="clear" w:pos="562"/>
        </w:tabs>
      </w:pPr>
    </w:p>
    <w:p w14:paraId="415ED328" w14:textId="77777777" w:rsidR="00BC0E7E" w:rsidRPr="00BC0E7E" w:rsidRDefault="00BC0E7E" w:rsidP="00BC0E7E">
      <w:pPr>
        <w:tabs>
          <w:tab w:val="clear" w:pos="562"/>
        </w:tabs>
      </w:pPr>
    </w:p>
    <w:p w14:paraId="6DD788E2" w14:textId="77777777" w:rsidR="00BC0E7E" w:rsidRPr="00BC0E7E" w:rsidRDefault="00944B8F" w:rsidP="00BC0E7E">
      <w:pPr>
        <w:outlineLvl w:val="0"/>
        <w:rPr>
          <w:b/>
          <w:szCs w:val="20"/>
        </w:rPr>
      </w:pPr>
      <w:r w:rsidRPr="00BC0E7E">
        <w:rPr>
          <w:b/>
          <w:caps/>
          <w:szCs w:val="20"/>
        </w:rPr>
        <w:t>3.</w:t>
      </w:r>
      <w:r w:rsidRPr="00BC0E7E">
        <w:rPr>
          <w:b/>
          <w:caps/>
          <w:szCs w:val="20"/>
        </w:rPr>
        <w:tab/>
        <w:t xml:space="preserve">PHARMACEUTICAL </w:t>
      </w:r>
      <w:r w:rsidRPr="00BC0E7E">
        <w:rPr>
          <w:b/>
          <w:szCs w:val="20"/>
        </w:rPr>
        <w:t xml:space="preserve">FORM </w:t>
      </w:r>
    </w:p>
    <w:p w14:paraId="00AB40C3" w14:textId="77777777" w:rsidR="00BC0E7E" w:rsidRPr="00BC0E7E" w:rsidRDefault="00BC0E7E" w:rsidP="00BC0E7E">
      <w:pPr>
        <w:rPr>
          <w:szCs w:val="20"/>
        </w:rPr>
      </w:pPr>
    </w:p>
    <w:p w14:paraId="44E039A7" w14:textId="77777777" w:rsidR="00BC0E7E" w:rsidRPr="00BC0E7E" w:rsidRDefault="00944B8F" w:rsidP="00BC0E7E">
      <w:pPr>
        <w:tabs>
          <w:tab w:val="clear" w:pos="562"/>
        </w:tabs>
      </w:pPr>
      <w:r w:rsidRPr="00BC0E7E">
        <w:t>Solution for injection.</w:t>
      </w:r>
      <w:r w:rsidR="004F68D4">
        <w:t xml:space="preserve"> (injection)</w:t>
      </w:r>
    </w:p>
    <w:p w14:paraId="69109A14" w14:textId="77777777" w:rsidR="00BC0E7E" w:rsidRPr="00BC0E7E" w:rsidRDefault="00BC0E7E" w:rsidP="00BC0E7E">
      <w:pPr>
        <w:tabs>
          <w:tab w:val="clear" w:pos="562"/>
        </w:tabs>
      </w:pPr>
    </w:p>
    <w:p w14:paraId="3CF3D179" w14:textId="77777777" w:rsidR="00BC0E7E" w:rsidRPr="00BC0E7E" w:rsidRDefault="00944B8F" w:rsidP="00BC0E7E">
      <w:pPr>
        <w:tabs>
          <w:tab w:val="clear" w:pos="562"/>
        </w:tabs>
      </w:pPr>
      <w:r w:rsidRPr="00BC0E7E">
        <w:t xml:space="preserve">Clear, colourless solution. </w:t>
      </w:r>
    </w:p>
    <w:p w14:paraId="70B7F17C" w14:textId="77777777" w:rsidR="00BC0E7E" w:rsidRPr="00BC0E7E" w:rsidRDefault="00BC0E7E" w:rsidP="00BC0E7E">
      <w:pPr>
        <w:tabs>
          <w:tab w:val="clear" w:pos="562"/>
        </w:tabs>
      </w:pPr>
    </w:p>
    <w:p w14:paraId="5BB81CC7" w14:textId="77777777" w:rsidR="00BC0E7E" w:rsidRPr="00BC0E7E" w:rsidRDefault="00BC0E7E" w:rsidP="00BC0E7E">
      <w:pPr>
        <w:tabs>
          <w:tab w:val="clear" w:pos="562"/>
        </w:tabs>
      </w:pPr>
    </w:p>
    <w:p w14:paraId="4134EC83" w14:textId="77777777" w:rsidR="00BC0E7E" w:rsidRPr="00BC0E7E" w:rsidRDefault="00944B8F" w:rsidP="00BC0E7E">
      <w:pPr>
        <w:outlineLvl w:val="0"/>
        <w:rPr>
          <w:b/>
          <w:caps/>
          <w:szCs w:val="20"/>
        </w:rPr>
      </w:pPr>
      <w:r w:rsidRPr="00BC0E7E">
        <w:rPr>
          <w:b/>
          <w:caps/>
          <w:szCs w:val="20"/>
        </w:rPr>
        <w:t>4.</w:t>
      </w:r>
      <w:r w:rsidRPr="00BC0E7E">
        <w:rPr>
          <w:b/>
          <w:caps/>
          <w:szCs w:val="20"/>
        </w:rPr>
        <w:tab/>
      </w:r>
      <w:r w:rsidRPr="00BC0E7E">
        <w:rPr>
          <w:b/>
          <w:szCs w:val="20"/>
        </w:rPr>
        <w:t>CLINICAL PARTICULARS</w:t>
      </w:r>
    </w:p>
    <w:p w14:paraId="26623ED9" w14:textId="77777777" w:rsidR="00BC0E7E" w:rsidRPr="00BC0E7E" w:rsidRDefault="00BC0E7E" w:rsidP="00BC0E7E">
      <w:pPr>
        <w:rPr>
          <w:szCs w:val="20"/>
        </w:rPr>
      </w:pPr>
    </w:p>
    <w:p w14:paraId="2211DBD5" w14:textId="77777777" w:rsidR="00BC0E7E" w:rsidRPr="00BC0E7E" w:rsidRDefault="00944B8F" w:rsidP="00BC0E7E">
      <w:pPr>
        <w:suppressAutoHyphens w:val="0"/>
        <w:outlineLvl w:val="1"/>
        <w:rPr>
          <w:b/>
          <w:szCs w:val="20"/>
        </w:rPr>
      </w:pPr>
      <w:r w:rsidRPr="00BC0E7E">
        <w:rPr>
          <w:b/>
          <w:szCs w:val="20"/>
        </w:rPr>
        <w:t>4.1</w:t>
      </w:r>
      <w:r w:rsidRPr="00BC0E7E">
        <w:rPr>
          <w:b/>
          <w:szCs w:val="20"/>
        </w:rPr>
        <w:tab/>
        <w:t xml:space="preserve">Therapeutic indications </w:t>
      </w:r>
    </w:p>
    <w:p w14:paraId="222B3B6B" w14:textId="77777777" w:rsidR="00BC0E7E" w:rsidRPr="00BC0E7E" w:rsidRDefault="00BC0E7E" w:rsidP="00BC0E7E">
      <w:pPr>
        <w:rPr>
          <w:szCs w:val="20"/>
        </w:rPr>
      </w:pPr>
    </w:p>
    <w:p w14:paraId="6F9344D2" w14:textId="77777777" w:rsidR="00BC0E7E" w:rsidRPr="00BC0E7E" w:rsidRDefault="00944B8F" w:rsidP="00BC0E7E">
      <w:pPr>
        <w:rPr>
          <w:szCs w:val="20"/>
          <w:u w:val="single"/>
        </w:rPr>
      </w:pPr>
      <w:r w:rsidRPr="00BC0E7E">
        <w:rPr>
          <w:szCs w:val="20"/>
          <w:u w:val="single"/>
        </w:rPr>
        <w:t>Rheumatoid arthritis</w:t>
      </w:r>
    </w:p>
    <w:p w14:paraId="7FC41B08" w14:textId="77777777" w:rsidR="00BC0E7E" w:rsidRPr="00BC0E7E" w:rsidRDefault="00BC0E7E" w:rsidP="00BC0E7E">
      <w:pPr>
        <w:rPr>
          <w:szCs w:val="20"/>
        </w:rPr>
      </w:pPr>
    </w:p>
    <w:p w14:paraId="214DEDBB" w14:textId="77777777" w:rsidR="00BC0E7E" w:rsidRPr="00BC0E7E" w:rsidRDefault="00944B8F" w:rsidP="00BC0E7E">
      <w:pPr>
        <w:tabs>
          <w:tab w:val="clear" w:pos="562"/>
        </w:tabs>
      </w:pPr>
      <w:r w:rsidRPr="00BC0E7E">
        <w:t>Humira in combination with methotrexate, is indicated for:</w:t>
      </w:r>
    </w:p>
    <w:p w14:paraId="45A5E118" w14:textId="77777777" w:rsidR="00BC0E7E" w:rsidRPr="00BC0E7E" w:rsidRDefault="00BC0E7E" w:rsidP="00BC0E7E">
      <w:pPr>
        <w:tabs>
          <w:tab w:val="clear" w:pos="562"/>
        </w:tabs>
      </w:pPr>
    </w:p>
    <w:p w14:paraId="07B93E79" w14:textId="77777777" w:rsidR="00BC0E7E" w:rsidRPr="00BC0E7E" w:rsidRDefault="00944B8F" w:rsidP="00BC0E7E">
      <w:pPr>
        <w:numPr>
          <w:ilvl w:val="0"/>
          <w:numId w:val="16"/>
        </w:numPr>
        <w:tabs>
          <w:tab w:val="clear" w:pos="562"/>
          <w:tab w:val="clear" w:pos="720"/>
          <w:tab w:val="num" w:pos="550"/>
        </w:tabs>
        <w:ind w:left="550" w:hanging="550"/>
      </w:pPr>
      <w:r w:rsidRPr="00BC0E7E">
        <w:t>the treatment of moderate to severe, active rheumatoid arthritis in adult patients when the response to disease-modifying anti-rheumatic drugs including methotrexate has been inadequate.</w:t>
      </w:r>
    </w:p>
    <w:p w14:paraId="689E58E2" w14:textId="77777777" w:rsidR="00BC0E7E" w:rsidRPr="00BC0E7E" w:rsidRDefault="00944B8F" w:rsidP="00BC0E7E">
      <w:pPr>
        <w:numPr>
          <w:ilvl w:val="0"/>
          <w:numId w:val="16"/>
        </w:numPr>
        <w:tabs>
          <w:tab w:val="clear" w:pos="562"/>
          <w:tab w:val="clear" w:pos="720"/>
          <w:tab w:val="num" w:pos="550"/>
        </w:tabs>
        <w:ind w:left="550" w:hanging="550"/>
      </w:pPr>
      <w:r w:rsidRPr="00BC0E7E">
        <w:t>the treatment of severe, active and progressive rheumatoid arthritis in adults not previously treated with methotrexate.</w:t>
      </w:r>
    </w:p>
    <w:p w14:paraId="1DC4C765" w14:textId="77777777" w:rsidR="00BC0E7E" w:rsidRPr="00BC0E7E" w:rsidRDefault="00BC0E7E" w:rsidP="00BC0E7E">
      <w:pPr>
        <w:tabs>
          <w:tab w:val="clear" w:pos="562"/>
        </w:tabs>
      </w:pPr>
    </w:p>
    <w:p w14:paraId="212239BF" w14:textId="77777777" w:rsidR="00BC0E7E" w:rsidRPr="00BC0E7E" w:rsidRDefault="00944B8F" w:rsidP="00BC0E7E">
      <w:pPr>
        <w:tabs>
          <w:tab w:val="clear" w:pos="562"/>
        </w:tabs>
      </w:pPr>
      <w:r w:rsidRPr="00BC0E7E">
        <w:t>Humira can be given as monotherapy in case of intolerance to methotrexate or when continued treatment with methotrexate is inappropriate.</w:t>
      </w:r>
    </w:p>
    <w:p w14:paraId="390E15E0" w14:textId="77777777" w:rsidR="00BC0E7E" w:rsidRPr="00BC0E7E" w:rsidRDefault="00BC0E7E" w:rsidP="00BC0E7E">
      <w:pPr>
        <w:tabs>
          <w:tab w:val="clear" w:pos="562"/>
        </w:tabs>
      </w:pPr>
    </w:p>
    <w:p w14:paraId="6C6A02C5" w14:textId="77777777" w:rsidR="00BC0E7E" w:rsidRPr="00BC0E7E" w:rsidRDefault="00944B8F" w:rsidP="00BC0E7E">
      <w:pPr>
        <w:tabs>
          <w:tab w:val="clear" w:pos="562"/>
        </w:tabs>
      </w:pPr>
      <w:r w:rsidRPr="00BC0E7E">
        <w:t>Humira has been shown to reduce the rate of progression of joint damage as measured by X-ray and to improve physical function, when given in combination with methotrexate.</w:t>
      </w:r>
    </w:p>
    <w:p w14:paraId="39F93BF3" w14:textId="77777777" w:rsidR="00BC0E7E" w:rsidRPr="00BC0E7E" w:rsidRDefault="00BC0E7E" w:rsidP="00BC0E7E">
      <w:pPr>
        <w:tabs>
          <w:tab w:val="clear" w:pos="562"/>
        </w:tabs>
      </w:pPr>
    </w:p>
    <w:p w14:paraId="297DA0D6" w14:textId="77777777" w:rsidR="00BC0E7E" w:rsidRPr="00BC0E7E" w:rsidRDefault="00944B8F" w:rsidP="007D7686">
      <w:pPr>
        <w:keepNext/>
        <w:rPr>
          <w:szCs w:val="20"/>
          <w:u w:val="single"/>
        </w:rPr>
      </w:pPr>
      <w:bookmarkStart w:id="8479" w:name="_Hlk35867693"/>
      <w:r w:rsidRPr="00BC0E7E">
        <w:rPr>
          <w:szCs w:val="20"/>
          <w:u w:val="single"/>
        </w:rPr>
        <w:lastRenderedPageBreak/>
        <w:t>Juvenile idiopathic arthritis</w:t>
      </w:r>
    </w:p>
    <w:p w14:paraId="538FF720" w14:textId="77777777" w:rsidR="00BC0E7E" w:rsidRPr="00BC0E7E" w:rsidRDefault="00BC0E7E" w:rsidP="007D7686">
      <w:pPr>
        <w:keepNext/>
        <w:rPr>
          <w:szCs w:val="20"/>
          <w:u w:val="single"/>
        </w:rPr>
      </w:pPr>
    </w:p>
    <w:p w14:paraId="5508681B" w14:textId="77777777" w:rsidR="00BC0E7E" w:rsidRPr="00BC0E7E" w:rsidRDefault="00944B8F" w:rsidP="007D7686">
      <w:pPr>
        <w:keepNext/>
        <w:rPr>
          <w:i/>
          <w:szCs w:val="20"/>
        </w:rPr>
      </w:pPr>
      <w:r w:rsidRPr="00BC0E7E">
        <w:rPr>
          <w:i/>
          <w:szCs w:val="20"/>
        </w:rPr>
        <w:t>Polyarticular juvenile idiopathic arthritis</w:t>
      </w:r>
    </w:p>
    <w:bookmarkEnd w:id="8479"/>
    <w:p w14:paraId="3E8EB9B6" w14:textId="77777777" w:rsidR="00BC0E7E" w:rsidRPr="00BC0E7E" w:rsidRDefault="00BC0E7E" w:rsidP="007D7686">
      <w:pPr>
        <w:keepNext/>
      </w:pPr>
    </w:p>
    <w:p w14:paraId="04775629" w14:textId="77777777" w:rsidR="00BC0E7E" w:rsidRPr="00BC0E7E" w:rsidRDefault="00944B8F" w:rsidP="007D7686">
      <w:pPr>
        <w:keepNext/>
        <w:tabs>
          <w:tab w:val="clear" w:pos="562"/>
        </w:tabs>
      </w:pPr>
      <w:r w:rsidRPr="00BC0E7E">
        <w:t>Humira in combination with methotrexate is indicated for the treatment of active polyarticular juvenile idiopathic arthritis, in patients from the age of 2 years who have had an inadequate response to one or more disease-modifying anti-rheumatic drugs (DMARDs). Humira can be given as monotherapy in case of intolerance to methotrexate or when continued treatment with methotrexate is inappropriate (for the efficacy in monotherapy see section 5.1). Humira has not been studied in patients aged less than 2 years.</w:t>
      </w:r>
    </w:p>
    <w:p w14:paraId="71310A9B" w14:textId="77777777" w:rsidR="00BC0E7E" w:rsidRPr="00BC0E7E" w:rsidRDefault="00BC0E7E" w:rsidP="00BC0E7E">
      <w:pPr>
        <w:tabs>
          <w:tab w:val="clear" w:pos="562"/>
        </w:tabs>
      </w:pPr>
    </w:p>
    <w:p w14:paraId="0170C07E" w14:textId="77777777" w:rsidR="00BC0E7E" w:rsidRPr="00BC0E7E" w:rsidRDefault="00944B8F" w:rsidP="00BC0E7E">
      <w:pPr>
        <w:keepNext/>
        <w:tabs>
          <w:tab w:val="clear" w:pos="562"/>
        </w:tabs>
        <w:rPr>
          <w:i/>
        </w:rPr>
      </w:pPr>
      <w:r w:rsidRPr="00BC0E7E">
        <w:rPr>
          <w:i/>
        </w:rPr>
        <w:t>Enthesitis-related arthritis</w:t>
      </w:r>
    </w:p>
    <w:p w14:paraId="5D954FB4" w14:textId="77777777" w:rsidR="00BC0E7E" w:rsidRPr="00BC0E7E" w:rsidRDefault="00BC0E7E" w:rsidP="00BC0E7E">
      <w:pPr>
        <w:keepNext/>
        <w:tabs>
          <w:tab w:val="clear" w:pos="562"/>
        </w:tabs>
        <w:rPr>
          <w:i/>
        </w:rPr>
      </w:pPr>
    </w:p>
    <w:p w14:paraId="441F937E" w14:textId="77777777" w:rsidR="00BC0E7E" w:rsidRPr="00BC0E7E" w:rsidRDefault="00944B8F" w:rsidP="00BC0E7E">
      <w:pPr>
        <w:keepNext/>
        <w:tabs>
          <w:tab w:val="clear" w:pos="562"/>
        </w:tabs>
      </w:pPr>
      <w:r w:rsidRPr="00BC0E7E">
        <w:rPr>
          <w:bCs/>
          <w:iCs/>
        </w:rPr>
        <w:t xml:space="preserve">Humira is indicated for the treatment of active enthesitis-related arthritis in patients, 6 years of age and older, who have </w:t>
      </w:r>
      <w:r w:rsidRPr="00BC0E7E">
        <w:t>had an inadequate response to, or who are intolerant of, conventional therapy (see section 5.1).</w:t>
      </w:r>
    </w:p>
    <w:p w14:paraId="0A6A2BAF" w14:textId="77777777" w:rsidR="00BC0E7E" w:rsidRPr="00BC0E7E" w:rsidRDefault="00BC0E7E" w:rsidP="00BC0E7E">
      <w:pPr>
        <w:rPr>
          <w:szCs w:val="20"/>
          <w:u w:val="single"/>
        </w:rPr>
      </w:pPr>
    </w:p>
    <w:p w14:paraId="261A830F" w14:textId="77777777" w:rsidR="00BC0E7E" w:rsidRPr="00BC0E7E" w:rsidRDefault="00944B8F" w:rsidP="00BC0E7E">
      <w:pPr>
        <w:tabs>
          <w:tab w:val="clear" w:pos="562"/>
        </w:tabs>
        <w:rPr>
          <w:u w:val="single"/>
        </w:rPr>
      </w:pPr>
      <w:r w:rsidRPr="00BC0E7E">
        <w:rPr>
          <w:u w:val="single"/>
        </w:rPr>
        <w:t xml:space="preserve">Axial spondyloarthritis </w:t>
      </w:r>
    </w:p>
    <w:p w14:paraId="6222AFE9" w14:textId="77777777" w:rsidR="00BC0E7E" w:rsidRPr="00BC0E7E" w:rsidRDefault="00BC0E7E" w:rsidP="00BC0E7E">
      <w:pPr>
        <w:rPr>
          <w:szCs w:val="20"/>
          <w:u w:val="single"/>
        </w:rPr>
      </w:pPr>
    </w:p>
    <w:p w14:paraId="67C37933" w14:textId="77777777" w:rsidR="00BC0E7E" w:rsidRPr="00BC0E7E" w:rsidRDefault="00944B8F" w:rsidP="00BC0E7E">
      <w:pPr>
        <w:rPr>
          <w:i/>
          <w:szCs w:val="20"/>
        </w:rPr>
      </w:pPr>
      <w:r w:rsidRPr="00BC0E7E">
        <w:rPr>
          <w:i/>
          <w:szCs w:val="20"/>
        </w:rPr>
        <w:t>Ankylosing spondylitis (AS)</w:t>
      </w:r>
    </w:p>
    <w:p w14:paraId="510D8785" w14:textId="77777777" w:rsidR="00BC0E7E" w:rsidRPr="00BC0E7E" w:rsidRDefault="00BC0E7E" w:rsidP="00BC0E7E">
      <w:pPr>
        <w:rPr>
          <w:szCs w:val="20"/>
        </w:rPr>
      </w:pPr>
    </w:p>
    <w:p w14:paraId="0F14EC09" w14:textId="77777777" w:rsidR="00BC0E7E" w:rsidRPr="00BC0E7E" w:rsidRDefault="00944B8F" w:rsidP="00BC0E7E">
      <w:pPr>
        <w:rPr>
          <w:szCs w:val="20"/>
        </w:rPr>
      </w:pPr>
      <w:r w:rsidRPr="00BC0E7E">
        <w:rPr>
          <w:szCs w:val="20"/>
        </w:rPr>
        <w:t>Humira is indicated for the treatment of adults with severe active ankylosing spondylitis who have had an inadequate response to conventional therapy.</w:t>
      </w:r>
    </w:p>
    <w:p w14:paraId="30AFCC45" w14:textId="77777777" w:rsidR="00BC0E7E" w:rsidRPr="00BC0E7E" w:rsidRDefault="00BC0E7E" w:rsidP="00BC0E7E">
      <w:pPr>
        <w:rPr>
          <w:szCs w:val="20"/>
        </w:rPr>
      </w:pPr>
    </w:p>
    <w:p w14:paraId="633C32FA" w14:textId="77777777" w:rsidR="00BC0E7E" w:rsidRPr="00BC0E7E" w:rsidRDefault="00944B8F" w:rsidP="00BC0E7E">
      <w:pPr>
        <w:rPr>
          <w:i/>
          <w:szCs w:val="20"/>
        </w:rPr>
      </w:pPr>
      <w:r w:rsidRPr="00BC0E7E">
        <w:rPr>
          <w:i/>
          <w:szCs w:val="20"/>
        </w:rPr>
        <w:t>Axial spondyloarthritis without radiographic evidence of AS</w:t>
      </w:r>
    </w:p>
    <w:p w14:paraId="177C9EB4" w14:textId="77777777" w:rsidR="00BC0E7E" w:rsidRPr="00BC0E7E" w:rsidRDefault="00BC0E7E" w:rsidP="00BC0E7E">
      <w:pPr>
        <w:rPr>
          <w:szCs w:val="20"/>
        </w:rPr>
      </w:pPr>
    </w:p>
    <w:p w14:paraId="22E118DD" w14:textId="77777777" w:rsidR="00BC0E7E" w:rsidRPr="00BC0E7E" w:rsidRDefault="00944B8F" w:rsidP="00BC0E7E">
      <w:pPr>
        <w:rPr>
          <w:szCs w:val="20"/>
        </w:rPr>
      </w:pPr>
      <w:r w:rsidRPr="00BC0E7E">
        <w:rPr>
          <w:szCs w:val="20"/>
        </w:rPr>
        <w:t>Humira is indicated for the treatment of adults with severe axial spondyloarthritis without radiographic evidence of AS but with objective signs of inflammation by elevated CRP and / or MRI, who have had an inadequate response to, or are intolerant to non</w:t>
      </w:r>
      <w:r w:rsidR="00E85DFE">
        <w:rPr>
          <w:szCs w:val="20"/>
        </w:rPr>
        <w:t>-</w:t>
      </w:r>
      <w:r w:rsidRPr="00BC0E7E">
        <w:rPr>
          <w:szCs w:val="20"/>
        </w:rPr>
        <w:t>steroidal anti-inflammatory drugs</w:t>
      </w:r>
      <w:r w:rsidR="004B6F4F">
        <w:rPr>
          <w:szCs w:val="20"/>
        </w:rPr>
        <w:t xml:space="preserve"> (NSAIDs)</w:t>
      </w:r>
      <w:r w:rsidRPr="00BC0E7E">
        <w:rPr>
          <w:szCs w:val="20"/>
        </w:rPr>
        <w:t>.</w:t>
      </w:r>
    </w:p>
    <w:p w14:paraId="308395FA" w14:textId="77777777" w:rsidR="00BC0E7E" w:rsidRPr="00BC0E7E" w:rsidRDefault="00BC0E7E" w:rsidP="00BC0E7E">
      <w:pPr>
        <w:rPr>
          <w:szCs w:val="20"/>
        </w:rPr>
      </w:pPr>
    </w:p>
    <w:p w14:paraId="431D5A6F" w14:textId="77777777" w:rsidR="00BC0E7E" w:rsidRPr="00BC0E7E" w:rsidRDefault="00944B8F" w:rsidP="00BC0E7E">
      <w:pPr>
        <w:rPr>
          <w:szCs w:val="20"/>
          <w:u w:val="single"/>
        </w:rPr>
      </w:pPr>
      <w:r w:rsidRPr="00BC0E7E">
        <w:rPr>
          <w:szCs w:val="20"/>
          <w:u w:val="single"/>
        </w:rPr>
        <w:t>Psoriatic arthritis</w:t>
      </w:r>
    </w:p>
    <w:p w14:paraId="58231A28" w14:textId="77777777" w:rsidR="00BC0E7E" w:rsidRPr="00BC0E7E" w:rsidRDefault="00BC0E7E" w:rsidP="00BC0E7E">
      <w:pPr>
        <w:rPr>
          <w:szCs w:val="20"/>
        </w:rPr>
      </w:pPr>
    </w:p>
    <w:p w14:paraId="55AF5575" w14:textId="77777777" w:rsidR="00BC0E7E" w:rsidRPr="00BC0E7E" w:rsidRDefault="00944B8F" w:rsidP="00BC0E7E">
      <w:pPr>
        <w:rPr>
          <w:szCs w:val="20"/>
        </w:rPr>
      </w:pPr>
      <w:r w:rsidRPr="00BC0E7E">
        <w:rPr>
          <w:szCs w:val="20"/>
        </w:rPr>
        <w:t>Humira is indicated for the treatment of active and progressive psoriatic arthritis in adults when the response to previous disease-modifying anti</w:t>
      </w:r>
      <w:r w:rsidRPr="00BC0E7E">
        <w:rPr>
          <w:szCs w:val="20"/>
        </w:rPr>
        <w:noBreakHyphen/>
        <w:t xml:space="preserve">rheumatic drug therapy has been inadequate. Humira has been shown to reduce the rate of progression of </w:t>
      </w:r>
      <w:r w:rsidRPr="00BC0E7E">
        <w:rPr>
          <w:szCs w:val="22"/>
        </w:rPr>
        <w:t>peripheral</w:t>
      </w:r>
      <w:r w:rsidRPr="00BC0E7E">
        <w:rPr>
          <w:szCs w:val="20"/>
        </w:rPr>
        <w:t xml:space="preserve"> joint damage as measured by X-ray </w:t>
      </w:r>
      <w:r w:rsidRPr="00BC0E7E">
        <w:rPr>
          <w:szCs w:val="22"/>
        </w:rPr>
        <w:t>in patients with polyarticular symmetrical subtypes of the disease (see Section 5.1)</w:t>
      </w:r>
      <w:r w:rsidRPr="00BC0E7E">
        <w:rPr>
          <w:szCs w:val="20"/>
        </w:rPr>
        <w:t xml:space="preserve"> and to improve physical function.</w:t>
      </w:r>
    </w:p>
    <w:p w14:paraId="426E5D0B" w14:textId="77777777" w:rsidR="00BC0E7E" w:rsidRPr="00BC0E7E" w:rsidRDefault="00BC0E7E" w:rsidP="00BC0E7E">
      <w:pPr>
        <w:rPr>
          <w:szCs w:val="20"/>
        </w:rPr>
      </w:pPr>
    </w:p>
    <w:p w14:paraId="1EF44C49" w14:textId="77777777" w:rsidR="00BC0E7E" w:rsidRPr="00BC0E7E" w:rsidRDefault="00944B8F" w:rsidP="00BC0E7E">
      <w:pPr>
        <w:tabs>
          <w:tab w:val="clear" w:pos="562"/>
        </w:tabs>
        <w:suppressAutoHyphens w:val="0"/>
        <w:overflowPunct w:val="0"/>
        <w:autoSpaceDE w:val="0"/>
        <w:autoSpaceDN w:val="0"/>
        <w:adjustRightInd w:val="0"/>
        <w:textAlignment w:val="baseline"/>
        <w:rPr>
          <w:bCs/>
          <w:iCs/>
          <w:szCs w:val="20"/>
          <w:u w:val="single"/>
        </w:rPr>
      </w:pPr>
      <w:r w:rsidRPr="00BC0E7E">
        <w:rPr>
          <w:bCs/>
          <w:iCs/>
          <w:szCs w:val="20"/>
          <w:u w:val="single"/>
        </w:rPr>
        <w:t>Psoriasis</w:t>
      </w:r>
    </w:p>
    <w:p w14:paraId="1D1F4578" w14:textId="77777777" w:rsidR="00BC0E7E" w:rsidRPr="00BC0E7E" w:rsidRDefault="00BC0E7E" w:rsidP="00BC0E7E">
      <w:pPr>
        <w:tabs>
          <w:tab w:val="clear" w:pos="562"/>
        </w:tabs>
        <w:suppressAutoHyphens w:val="0"/>
        <w:overflowPunct w:val="0"/>
        <w:autoSpaceDE w:val="0"/>
        <w:autoSpaceDN w:val="0"/>
        <w:adjustRightInd w:val="0"/>
        <w:textAlignment w:val="baseline"/>
        <w:rPr>
          <w:b/>
          <w:iCs/>
          <w:szCs w:val="20"/>
        </w:rPr>
      </w:pPr>
    </w:p>
    <w:p w14:paraId="53B8C1DE" w14:textId="77777777" w:rsidR="00BC0E7E" w:rsidRPr="00BC0E7E" w:rsidRDefault="00944B8F" w:rsidP="00BC0E7E">
      <w:pPr>
        <w:rPr>
          <w:szCs w:val="20"/>
        </w:rPr>
      </w:pPr>
      <w:r w:rsidRPr="00BC0E7E">
        <w:rPr>
          <w:szCs w:val="20"/>
        </w:rPr>
        <w:t>Humira is indicated for the treatment of moderate to severe chronic plaque psoriasis in adult patients who are candidates for systemic therapy.</w:t>
      </w:r>
    </w:p>
    <w:p w14:paraId="71F2411B" w14:textId="77777777" w:rsidR="00BC0E7E" w:rsidRPr="00BC0E7E" w:rsidRDefault="00BC0E7E" w:rsidP="00BC0E7E">
      <w:pPr>
        <w:rPr>
          <w:szCs w:val="20"/>
          <w:u w:val="single"/>
        </w:rPr>
      </w:pPr>
    </w:p>
    <w:p w14:paraId="75B89261" w14:textId="77777777" w:rsidR="00BC0E7E" w:rsidRPr="00BC0E7E" w:rsidRDefault="00944B8F" w:rsidP="00BC0E7E">
      <w:pPr>
        <w:rPr>
          <w:szCs w:val="20"/>
          <w:u w:val="single"/>
        </w:rPr>
      </w:pPr>
      <w:bookmarkStart w:id="8480" w:name="_Hlk35867709"/>
      <w:r w:rsidRPr="00BC0E7E">
        <w:rPr>
          <w:szCs w:val="20"/>
          <w:u w:val="single"/>
        </w:rPr>
        <w:t>Paediatric plaque psoriasis</w:t>
      </w:r>
    </w:p>
    <w:bookmarkEnd w:id="8480"/>
    <w:p w14:paraId="44D490E5" w14:textId="77777777" w:rsidR="00BC0E7E" w:rsidRPr="00BC0E7E" w:rsidRDefault="00BC0E7E" w:rsidP="00BC0E7E">
      <w:pPr>
        <w:rPr>
          <w:szCs w:val="20"/>
        </w:rPr>
      </w:pPr>
    </w:p>
    <w:p w14:paraId="29C76C32" w14:textId="77777777" w:rsidR="00BC0E7E" w:rsidRPr="00BC0E7E" w:rsidRDefault="00944B8F" w:rsidP="00BC0E7E">
      <w:pPr>
        <w:rPr>
          <w:iCs/>
        </w:rPr>
      </w:pPr>
      <w:r w:rsidRPr="00BC0E7E">
        <w:rPr>
          <w:iCs/>
        </w:rPr>
        <w:t>Humira is indicated for the treatment of severe chronic plaque psoriasis in children and adolescents from 4 years of age who have had an inadequate response to or are inappropriate candidates for topical therapy and phototherapies.</w:t>
      </w:r>
    </w:p>
    <w:p w14:paraId="628E8D2F" w14:textId="77777777" w:rsidR="00BC0E7E" w:rsidRPr="00BC0E7E" w:rsidRDefault="00BC0E7E" w:rsidP="00BC0E7E">
      <w:pPr>
        <w:rPr>
          <w:szCs w:val="20"/>
          <w:u w:val="single"/>
        </w:rPr>
      </w:pPr>
    </w:p>
    <w:p w14:paraId="11CB27CF" w14:textId="77777777" w:rsidR="00BC0E7E" w:rsidRPr="00BC0E7E" w:rsidRDefault="00944B8F" w:rsidP="00BC0E7E">
      <w:pPr>
        <w:rPr>
          <w:szCs w:val="20"/>
          <w:u w:val="single"/>
        </w:rPr>
      </w:pPr>
      <w:r w:rsidRPr="00BC0E7E">
        <w:rPr>
          <w:szCs w:val="20"/>
          <w:u w:val="single"/>
        </w:rPr>
        <w:t>Hidradenitis suppurativa (HS)</w:t>
      </w:r>
    </w:p>
    <w:p w14:paraId="39C2DA9C" w14:textId="77777777" w:rsidR="00BC0E7E" w:rsidRPr="00BC0E7E" w:rsidRDefault="00BC0E7E" w:rsidP="00BC0E7E">
      <w:pPr>
        <w:rPr>
          <w:szCs w:val="20"/>
          <w:u w:val="single"/>
        </w:rPr>
      </w:pPr>
    </w:p>
    <w:p w14:paraId="0349652C" w14:textId="77777777" w:rsidR="00BC0E7E" w:rsidRPr="00BC0E7E" w:rsidRDefault="00944B8F" w:rsidP="00BC0E7E">
      <w:pPr>
        <w:rPr>
          <w:szCs w:val="20"/>
        </w:rPr>
      </w:pPr>
      <w:r w:rsidRPr="00BC0E7E">
        <w:rPr>
          <w:szCs w:val="20"/>
        </w:rPr>
        <w:t>Humira is indicated for the treatment of active moderate to severe hidradenitis suppurativa (acne inversa) in adults and adolescents from 12 years of age with an inadequate response to conventional systemic HS therapy (see sections 5.1 and 5.2).</w:t>
      </w:r>
    </w:p>
    <w:p w14:paraId="31BAFBF0" w14:textId="77777777" w:rsidR="00BC0E7E" w:rsidRPr="00BC0E7E" w:rsidRDefault="00BC0E7E" w:rsidP="00BC0E7E">
      <w:pPr>
        <w:rPr>
          <w:szCs w:val="20"/>
          <w:u w:val="single"/>
        </w:rPr>
      </w:pPr>
    </w:p>
    <w:p w14:paraId="6D5FED72" w14:textId="77777777" w:rsidR="00BC0E7E" w:rsidRPr="00BC0E7E" w:rsidRDefault="00944B8F" w:rsidP="00BC0E7E">
      <w:pPr>
        <w:rPr>
          <w:szCs w:val="20"/>
          <w:u w:val="single"/>
        </w:rPr>
      </w:pPr>
      <w:r w:rsidRPr="00BC0E7E">
        <w:rPr>
          <w:szCs w:val="20"/>
          <w:u w:val="single"/>
        </w:rPr>
        <w:lastRenderedPageBreak/>
        <w:t>Crohn’s disease</w:t>
      </w:r>
    </w:p>
    <w:p w14:paraId="1425154B" w14:textId="77777777" w:rsidR="00BC0E7E" w:rsidRPr="00BC0E7E" w:rsidRDefault="00BC0E7E" w:rsidP="00BC0E7E">
      <w:pPr>
        <w:rPr>
          <w:szCs w:val="20"/>
        </w:rPr>
      </w:pPr>
    </w:p>
    <w:p w14:paraId="6DAEA0DB" w14:textId="77777777" w:rsidR="00BC0E7E" w:rsidRPr="00BC0E7E" w:rsidRDefault="00944B8F" w:rsidP="00BC0E7E">
      <w:pPr>
        <w:rPr>
          <w:szCs w:val="20"/>
        </w:rPr>
      </w:pPr>
      <w:r w:rsidRPr="00BC0E7E">
        <w:rPr>
          <w:szCs w:val="20"/>
        </w:rPr>
        <w:t xml:space="preserve">Humira is indicated for treatment of moderately to severely active Crohn’s disease, in adult patients who have not responded despite a full and adequate course of therapy with a corticosteroid and/or an immunosuppressant; or who are intolerant to or have medical contraindications for such therapies. </w:t>
      </w:r>
    </w:p>
    <w:p w14:paraId="5F5DDDC1" w14:textId="77777777" w:rsidR="00BC0E7E" w:rsidRPr="00BC0E7E" w:rsidRDefault="00BC0E7E" w:rsidP="00BC0E7E">
      <w:pPr>
        <w:keepNext/>
        <w:rPr>
          <w:i/>
          <w:szCs w:val="22"/>
          <w:u w:val="single"/>
        </w:rPr>
      </w:pPr>
    </w:p>
    <w:p w14:paraId="2F111A0B" w14:textId="77777777" w:rsidR="00BC0E7E" w:rsidRPr="00BC0E7E" w:rsidRDefault="00944B8F" w:rsidP="00BC0E7E">
      <w:pPr>
        <w:keepNext/>
        <w:rPr>
          <w:szCs w:val="22"/>
          <w:u w:val="single"/>
        </w:rPr>
      </w:pPr>
      <w:bookmarkStart w:id="8481" w:name="_Hlk35867727"/>
      <w:r w:rsidRPr="00BC0E7E">
        <w:rPr>
          <w:szCs w:val="22"/>
          <w:u w:val="single"/>
        </w:rPr>
        <w:t xml:space="preserve">Paediatric Crohn's disease </w:t>
      </w:r>
    </w:p>
    <w:bookmarkEnd w:id="8481"/>
    <w:p w14:paraId="3E20E52C" w14:textId="77777777" w:rsidR="00BC0E7E" w:rsidRPr="00BC0E7E" w:rsidRDefault="00BC0E7E" w:rsidP="00BC0E7E">
      <w:pPr>
        <w:keepNext/>
        <w:rPr>
          <w:i/>
          <w:szCs w:val="22"/>
        </w:rPr>
      </w:pPr>
    </w:p>
    <w:p w14:paraId="0F04A646" w14:textId="77777777" w:rsidR="00BC0E7E" w:rsidRPr="00BC0E7E" w:rsidRDefault="00944B8F" w:rsidP="00BC0E7E">
      <w:pPr>
        <w:keepNext/>
        <w:tabs>
          <w:tab w:val="clear" w:pos="562"/>
        </w:tabs>
      </w:pPr>
      <w:r w:rsidRPr="00BC0E7E">
        <w:t>Humira is indicated for the treatment of moderately to severely active Crohn's disease in paediatric patients (from 6 years of age) who have had an inadequate response to conventional therapy including primary nutrition therapy and a corticosteroid and/or an immunomodulator, or who are intolerant to or have contraindications for such therapies.</w:t>
      </w:r>
    </w:p>
    <w:p w14:paraId="406B8460" w14:textId="77777777" w:rsidR="00BC0E7E" w:rsidRPr="00BC0E7E" w:rsidRDefault="00BC0E7E" w:rsidP="00BC0E7E">
      <w:pPr>
        <w:rPr>
          <w:szCs w:val="20"/>
        </w:rPr>
      </w:pPr>
    </w:p>
    <w:p w14:paraId="77C23282" w14:textId="77777777" w:rsidR="00BC0E7E" w:rsidRPr="00BC0E7E" w:rsidRDefault="00944B8F" w:rsidP="00BC0E7E">
      <w:pPr>
        <w:keepNext/>
        <w:tabs>
          <w:tab w:val="clear" w:pos="562"/>
        </w:tabs>
        <w:rPr>
          <w:u w:val="single"/>
        </w:rPr>
      </w:pPr>
      <w:r w:rsidRPr="00BC0E7E">
        <w:rPr>
          <w:u w:val="single"/>
        </w:rPr>
        <w:t>Ulcerative colitis</w:t>
      </w:r>
    </w:p>
    <w:p w14:paraId="7018AB0C" w14:textId="77777777" w:rsidR="00BC0E7E" w:rsidRPr="00BC0E7E" w:rsidRDefault="00BC0E7E" w:rsidP="00BC0E7E">
      <w:pPr>
        <w:keepNext/>
        <w:tabs>
          <w:tab w:val="clear" w:pos="562"/>
        </w:tabs>
        <w:rPr>
          <w:u w:val="single"/>
        </w:rPr>
      </w:pPr>
    </w:p>
    <w:p w14:paraId="7D66D514" w14:textId="77777777" w:rsidR="00BC0E7E" w:rsidRPr="00BC0E7E" w:rsidRDefault="00944B8F" w:rsidP="00BC0E7E">
      <w:pPr>
        <w:rPr>
          <w:szCs w:val="20"/>
        </w:rPr>
      </w:pPr>
      <w:r w:rsidRPr="00BC0E7E">
        <w:rPr>
          <w:szCs w:val="20"/>
        </w:rPr>
        <w:t>Humira is indicated for treatment of moderately to severely active ulcerative colitis in adult patients who have had an inadequate response to conventional therapy including corticosteroids and 6</w:t>
      </w:r>
      <w:r w:rsidRPr="00BC0E7E">
        <w:rPr>
          <w:szCs w:val="20"/>
        </w:rPr>
        <w:noBreakHyphen/>
        <w:t xml:space="preserve">mercaptopurine (6-MP) or azathioprine (AZA), or who are intolerant to or have medical contraindications for such therapies. </w:t>
      </w:r>
    </w:p>
    <w:p w14:paraId="6D096BDB" w14:textId="77777777" w:rsidR="00BC0E7E" w:rsidRPr="00BC0E7E" w:rsidRDefault="00BC0E7E" w:rsidP="00BC0E7E">
      <w:pPr>
        <w:rPr>
          <w:szCs w:val="20"/>
        </w:rPr>
      </w:pPr>
    </w:p>
    <w:p w14:paraId="1D7B99AF" w14:textId="77777777" w:rsidR="00D5423B" w:rsidRPr="005037B5" w:rsidRDefault="00944B8F" w:rsidP="00D5423B">
      <w:pPr>
        <w:rPr>
          <w:szCs w:val="20"/>
          <w:u w:val="single"/>
        </w:rPr>
      </w:pPr>
      <w:bookmarkStart w:id="8482" w:name="_Hlk35867745"/>
      <w:r w:rsidRPr="00DA728B">
        <w:rPr>
          <w:szCs w:val="20"/>
          <w:u w:val="single"/>
        </w:rPr>
        <w:t>Paediatric ulcerative colitis</w:t>
      </w:r>
    </w:p>
    <w:bookmarkEnd w:id="8482"/>
    <w:p w14:paraId="29C3A26C" w14:textId="77777777" w:rsidR="00D5423B" w:rsidRPr="005037B5" w:rsidRDefault="00D5423B" w:rsidP="00D5423B">
      <w:pPr>
        <w:rPr>
          <w:szCs w:val="20"/>
        </w:rPr>
      </w:pPr>
    </w:p>
    <w:p w14:paraId="513AC686" w14:textId="77777777" w:rsidR="00B81F14" w:rsidRPr="006527B0" w:rsidRDefault="00944B8F" w:rsidP="00B81F14">
      <w:pPr>
        <w:rPr>
          <w:szCs w:val="20"/>
        </w:rPr>
      </w:pPr>
      <w:r w:rsidRPr="005037B5">
        <w:rPr>
          <w:szCs w:val="20"/>
        </w:rPr>
        <w:t>Humira is indicated for the treatment of moderately to severely active ulcerative colitis in paediatric patients (</w:t>
      </w:r>
      <w:r>
        <w:rPr>
          <w:szCs w:val="20"/>
        </w:rPr>
        <w:t>from 6</w:t>
      </w:r>
      <w:r w:rsidRPr="005037B5">
        <w:rPr>
          <w:szCs w:val="20"/>
        </w:rPr>
        <w:t xml:space="preserve"> years of age) who have had an inadequate response to conventional therapy including corticosteroids and/or 6-mercaptopurine (6-MP) or azathioprine (AZA), or who are intolerant </w:t>
      </w:r>
      <w:r w:rsidRPr="006527B0">
        <w:rPr>
          <w:szCs w:val="20"/>
        </w:rPr>
        <w:t>to or have medical contraindications for such therapies</w:t>
      </w:r>
      <w:r w:rsidRPr="005037B5">
        <w:rPr>
          <w:szCs w:val="20"/>
        </w:rPr>
        <w:t>.</w:t>
      </w:r>
    </w:p>
    <w:p w14:paraId="56DEF2D9" w14:textId="77777777" w:rsidR="00D5423B" w:rsidRDefault="00D5423B" w:rsidP="00BC0E7E">
      <w:pPr>
        <w:keepNext/>
        <w:tabs>
          <w:tab w:val="clear" w:pos="562"/>
        </w:tabs>
        <w:rPr>
          <w:u w:val="single"/>
        </w:rPr>
      </w:pPr>
    </w:p>
    <w:p w14:paraId="42174573" w14:textId="77777777" w:rsidR="00BC0E7E" w:rsidRPr="00BC0E7E" w:rsidRDefault="00944B8F" w:rsidP="00BC0E7E">
      <w:pPr>
        <w:keepNext/>
        <w:tabs>
          <w:tab w:val="clear" w:pos="562"/>
        </w:tabs>
        <w:rPr>
          <w:u w:val="single"/>
        </w:rPr>
      </w:pPr>
      <w:r w:rsidRPr="00BC0E7E">
        <w:rPr>
          <w:u w:val="single"/>
        </w:rPr>
        <w:t>Uveitis</w:t>
      </w:r>
    </w:p>
    <w:p w14:paraId="11D025B8" w14:textId="77777777" w:rsidR="00BC0E7E" w:rsidRPr="00BC0E7E" w:rsidRDefault="00BC0E7E" w:rsidP="00BC0E7E">
      <w:pPr>
        <w:keepNext/>
        <w:tabs>
          <w:tab w:val="clear" w:pos="562"/>
        </w:tabs>
        <w:rPr>
          <w:u w:val="single"/>
        </w:rPr>
      </w:pPr>
    </w:p>
    <w:p w14:paraId="7943CE9E" w14:textId="77777777" w:rsidR="00BC0E7E" w:rsidRPr="00BC0E7E" w:rsidRDefault="00944B8F" w:rsidP="00BC0E7E">
      <w:pPr>
        <w:rPr>
          <w:szCs w:val="20"/>
        </w:rPr>
      </w:pPr>
      <w:r w:rsidRPr="00BC0E7E">
        <w:rPr>
          <w:szCs w:val="20"/>
        </w:rPr>
        <w:t>Humira is indicated for the treatment of non-infectious intermediate, posterior and panuveitis in adult patients who have had an inadequate response to corticosteroids, in patients in need of corticosteroid-sparing, or in whom corticosteroid treatment is inappropriate.</w:t>
      </w:r>
    </w:p>
    <w:p w14:paraId="395A8E3E" w14:textId="77777777" w:rsidR="00BC0E7E" w:rsidRPr="00BC0E7E" w:rsidRDefault="00BC0E7E" w:rsidP="00BC0E7E">
      <w:pPr>
        <w:rPr>
          <w:szCs w:val="20"/>
        </w:rPr>
      </w:pPr>
    </w:p>
    <w:p w14:paraId="620FAA53" w14:textId="77777777" w:rsidR="00BC0E7E" w:rsidRPr="00BC0E7E" w:rsidRDefault="00944B8F" w:rsidP="00BC0E7E">
      <w:pPr>
        <w:rPr>
          <w:szCs w:val="22"/>
          <w:u w:val="single"/>
        </w:rPr>
      </w:pPr>
      <w:bookmarkStart w:id="8483" w:name="_Hlk35867737"/>
      <w:r w:rsidRPr="00BC0E7E">
        <w:rPr>
          <w:szCs w:val="22"/>
          <w:u w:val="single"/>
        </w:rPr>
        <w:t>Paediatric Uveitis</w:t>
      </w:r>
    </w:p>
    <w:bookmarkEnd w:id="8483"/>
    <w:p w14:paraId="0E062F23" w14:textId="77777777" w:rsidR="00BC0E7E" w:rsidRPr="00BC0E7E" w:rsidRDefault="00BC0E7E" w:rsidP="00BC0E7E">
      <w:pPr>
        <w:tabs>
          <w:tab w:val="clear" w:pos="562"/>
        </w:tabs>
      </w:pPr>
    </w:p>
    <w:p w14:paraId="1E4B044B" w14:textId="77777777" w:rsidR="00D67BDC" w:rsidRPr="00BC0E7E" w:rsidRDefault="00944B8F" w:rsidP="00BC0E7E">
      <w:pPr>
        <w:rPr>
          <w:szCs w:val="20"/>
        </w:rPr>
      </w:pPr>
      <w:r w:rsidRPr="00BC0E7E">
        <w:rPr>
          <w:szCs w:val="20"/>
        </w:rPr>
        <w:t>Humira is indicated for the treatment of paediatric chronic non-infectious anterior uveitis in patients from 2 years of age who have had an inadequate response to or are intolerant to conventional therapy, or in whom conventional therapy is inappropriate.</w:t>
      </w:r>
    </w:p>
    <w:p w14:paraId="3EF07C06" w14:textId="77777777" w:rsidR="00BC0E7E" w:rsidRPr="00BC0E7E" w:rsidRDefault="00BC0E7E" w:rsidP="00BC0E7E">
      <w:pPr>
        <w:rPr>
          <w:szCs w:val="20"/>
        </w:rPr>
      </w:pPr>
    </w:p>
    <w:p w14:paraId="2AD2D6A9" w14:textId="77777777" w:rsidR="00BC0E7E" w:rsidRPr="00BC0E7E" w:rsidRDefault="00944B8F" w:rsidP="00BC0E7E">
      <w:pPr>
        <w:tabs>
          <w:tab w:val="left" w:pos="1134"/>
          <w:tab w:val="left" w:pos="1701"/>
          <w:tab w:val="left" w:pos="2268"/>
          <w:tab w:val="left" w:pos="2835"/>
          <w:tab w:val="left" w:pos="3402"/>
          <w:tab w:val="left" w:pos="3969"/>
          <w:tab w:val="left" w:pos="6285"/>
        </w:tabs>
        <w:suppressAutoHyphens w:val="0"/>
        <w:outlineLvl w:val="1"/>
        <w:rPr>
          <w:b/>
          <w:szCs w:val="20"/>
        </w:rPr>
      </w:pPr>
      <w:r w:rsidRPr="00BC0E7E">
        <w:rPr>
          <w:b/>
          <w:szCs w:val="20"/>
        </w:rPr>
        <w:t>4.2</w:t>
      </w:r>
      <w:r w:rsidRPr="00BC0E7E">
        <w:rPr>
          <w:b/>
          <w:szCs w:val="20"/>
        </w:rPr>
        <w:tab/>
        <w:t xml:space="preserve">Posology and method of administration  </w:t>
      </w:r>
    </w:p>
    <w:p w14:paraId="7581DB1F" w14:textId="77777777" w:rsidR="00BC0E7E" w:rsidRPr="00BC0E7E" w:rsidRDefault="00BC0E7E" w:rsidP="00BC0E7E">
      <w:pPr>
        <w:rPr>
          <w:szCs w:val="20"/>
        </w:rPr>
      </w:pPr>
    </w:p>
    <w:p w14:paraId="11C02A47" w14:textId="77777777" w:rsidR="00BC0E7E" w:rsidRPr="00BC0E7E" w:rsidRDefault="00944B8F" w:rsidP="00BC0E7E">
      <w:pPr>
        <w:tabs>
          <w:tab w:val="clear" w:pos="562"/>
        </w:tabs>
        <w:rPr>
          <w:szCs w:val="22"/>
        </w:rPr>
      </w:pPr>
      <w:r w:rsidRPr="00BC0E7E">
        <w:rPr>
          <w:szCs w:val="22"/>
        </w:rPr>
        <w:t xml:space="preserve">Humira treatment should be initiated and supervised by specialist physicians experienced in the diagnosis and treatment of conditions for which Humira is indicated. Ophthalmologists are advised to consult with an appropriate specialist before initiation of treatment with Humira (see section 4.4). Patients treated with Humira should be given the </w:t>
      </w:r>
      <w:r w:rsidR="002179FE">
        <w:t>Patient Reminder Card</w:t>
      </w:r>
      <w:r w:rsidRPr="00BC0E7E">
        <w:rPr>
          <w:szCs w:val="22"/>
        </w:rPr>
        <w:t>.</w:t>
      </w:r>
    </w:p>
    <w:p w14:paraId="14229C92" w14:textId="77777777" w:rsidR="00BC0E7E" w:rsidRPr="00BC0E7E" w:rsidRDefault="00BC0E7E" w:rsidP="00BC0E7E">
      <w:pPr>
        <w:tabs>
          <w:tab w:val="clear" w:pos="562"/>
        </w:tabs>
        <w:rPr>
          <w:szCs w:val="22"/>
        </w:rPr>
      </w:pPr>
    </w:p>
    <w:p w14:paraId="0EDD380D" w14:textId="77777777" w:rsidR="00BC0E7E" w:rsidRPr="00BC0E7E" w:rsidRDefault="00944B8F" w:rsidP="00BC0E7E">
      <w:pPr>
        <w:tabs>
          <w:tab w:val="clear" w:pos="562"/>
        </w:tabs>
        <w:rPr>
          <w:szCs w:val="22"/>
        </w:rPr>
      </w:pPr>
      <w:r w:rsidRPr="00BC0E7E">
        <w:rPr>
          <w:szCs w:val="22"/>
        </w:rPr>
        <w:t xml:space="preserve">After proper training in injection technique, patients may self-inject with Humira if their physician determines that it is appropriate and with medical follow-up as necessary. </w:t>
      </w:r>
    </w:p>
    <w:p w14:paraId="57BC083D" w14:textId="77777777" w:rsidR="00BC0E7E" w:rsidRPr="00BC0E7E" w:rsidRDefault="00BC0E7E" w:rsidP="00BC0E7E"/>
    <w:p w14:paraId="6394EADE" w14:textId="77777777" w:rsidR="00BC0E7E" w:rsidRPr="00BC0E7E" w:rsidRDefault="00944B8F" w:rsidP="00BC0E7E">
      <w:r w:rsidRPr="00BC0E7E">
        <w:t>During treatment with Humira, other concomitant therapies (e.g., corticosteroids and/or immunomodulatory agents) should be optimised.</w:t>
      </w:r>
    </w:p>
    <w:p w14:paraId="63033744" w14:textId="77777777" w:rsidR="00BC0E7E" w:rsidRPr="00BC0E7E" w:rsidRDefault="00BC0E7E" w:rsidP="00BC0E7E">
      <w:pPr>
        <w:rPr>
          <w:szCs w:val="20"/>
          <w:u w:val="single"/>
        </w:rPr>
      </w:pPr>
    </w:p>
    <w:p w14:paraId="0D6C05C5" w14:textId="77777777" w:rsidR="00BC0E7E" w:rsidRPr="00BC0E7E" w:rsidRDefault="00944B8F" w:rsidP="006001FF">
      <w:pPr>
        <w:keepNext/>
        <w:rPr>
          <w:szCs w:val="22"/>
          <w:u w:val="single"/>
        </w:rPr>
      </w:pPr>
      <w:r w:rsidRPr="00BC0E7E">
        <w:rPr>
          <w:szCs w:val="22"/>
          <w:u w:val="single"/>
        </w:rPr>
        <w:lastRenderedPageBreak/>
        <w:t>Posology</w:t>
      </w:r>
    </w:p>
    <w:p w14:paraId="042616C9" w14:textId="77777777" w:rsidR="00BC0E7E" w:rsidRPr="00BC0E7E" w:rsidRDefault="00BC0E7E" w:rsidP="006001FF">
      <w:pPr>
        <w:keepNext/>
        <w:rPr>
          <w:szCs w:val="20"/>
          <w:u w:val="single"/>
        </w:rPr>
      </w:pPr>
    </w:p>
    <w:p w14:paraId="4444C3AF" w14:textId="77777777" w:rsidR="00BC0E7E" w:rsidRPr="00BC0E7E" w:rsidRDefault="00944B8F" w:rsidP="006001FF">
      <w:pPr>
        <w:keepNext/>
        <w:rPr>
          <w:i/>
          <w:szCs w:val="20"/>
        </w:rPr>
      </w:pPr>
      <w:r w:rsidRPr="00BC0E7E">
        <w:rPr>
          <w:i/>
          <w:szCs w:val="20"/>
        </w:rPr>
        <w:t>Rheumatoid arthritis</w:t>
      </w:r>
    </w:p>
    <w:p w14:paraId="1D13DFED" w14:textId="77777777" w:rsidR="00BC0E7E" w:rsidRPr="00BC0E7E" w:rsidRDefault="00BC0E7E" w:rsidP="006001FF">
      <w:pPr>
        <w:keepNext/>
        <w:rPr>
          <w:szCs w:val="20"/>
        </w:rPr>
      </w:pPr>
    </w:p>
    <w:p w14:paraId="1E82484A" w14:textId="77777777" w:rsidR="00BC0E7E" w:rsidRPr="00BC0E7E" w:rsidRDefault="00944B8F" w:rsidP="006001FF">
      <w:pPr>
        <w:keepNext/>
        <w:tabs>
          <w:tab w:val="clear" w:pos="562"/>
        </w:tabs>
      </w:pPr>
      <w:r w:rsidRPr="00BC0E7E">
        <w:t>The recommended dose of Humira for adult patients with rheumatoid arthritis is 40 mg adalimumab administered every other week as a single dose via subcutaneous injection. Methotrexate should be continued during treatment with Humira.</w:t>
      </w:r>
    </w:p>
    <w:p w14:paraId="071BF369" w14:textId="77777777" w:rsidR="00BC0E7E" w:rsidRPr="00BC0E7E" w:rsidRDefault="00BC0E7E" w:rsidP="00BC0E7E">
      <w:pPr>
        <w:tabs>
          <w:tab w:val="clear" w:pos="562"/>
        </w:tabs>
      </w:pPr>
    </w:p>
    <w:p w14:paraId="5655C348" w14:textId="77777777" w:rsidR="00BC0E7E" w:rsidRPr="00BC0E7E" w:rsidRDefault="00944B8F" w:rsidP="00BC0E7E">
      <w:pPr>
        <w:tabs>
          <w:tab w:val="clear" w:pos="562"/>
        </w:tabs>
      </w:pPr>
      <w:r w:rsidRPr="00BC0E7E">
        <w:t>Glucocorticoids, salicylates, non</w:t>
      </w:r>
      <w:r w:rsidR="00E14247">
        <w:t>-</w:t>
      </w:r>
      <w:r w:rsidRPr="00BC0E7E">
        <w:t>steroidal anti-inflammatory drugs, or analgesics can be continued during treatment with Humira.  Regarding combination with disease modifying anti-rheumatic drugs other than methotrexate see sections 4.4 and 5.1.</w:t>
      </w:r>
    </w:p>
    <w:p w14:paraId="33318D94" w14:textId="77777777" w:rsidR="00BC0E7E" w:rsidRPr="00BC0E7E" w:rsidRDefault="00BC0E7E" w:rsidP="00BC0E7E"/>
    <w:p w14:paraId="0F113A3D" w14:textId="77777777" w:rsidR="00BC0E7E" w:rsidRPr="00BC0E7E" w:rsidRDefault="00944B8F" w:rsidP="00BC0E7E">
      <w:r w:rsidRPr="00BC0E7E">
        <w:t>In monotherapy, some patients who experience a decrease in their response</w:t>
      </w:r>
      <w:r w:rsidR="000C2195">
        <w:t xml:space="preserve"> to Humira 40</w:t>
      </w:r>
      <w:r w:rsidR="0046545C">
        <w:t> </w:t>
      </w:r>
      <w:r w:rsidR="000C2195">
        <w:t>mg every other week</w:t>
      </w:r>
      <w:r w:rsidRPr="00BC0E7E">
        <w:t xml:space="preserve"> may benefit from an increase in dos</w:t>
      </w:r>
      <w:r w:rsidR="000C2195">
        <w:t>ag</w:t>
      </w:r>
      <w:r w:rsidRPr="00BC0E7E">
        <w:t>e to 40 mg adalimumab every week</w:t>
      </w:r>
      <w:r w:rsidR="000C2195">
        <w:t xml:space="preserve"> or 80</w:t>
      </w:r>
      <w:r w:rsidR="0046545C">
        <w:t> </w:t>
      </w:r>
      <w:r w:rsidR="000C2195">
        <w:t>mg every other week</w:t>
      </w:r>
      <w:r w:rsidRPr="00BC0E7E">
        <w:t xml:space="preserve">. </w:t>
      </w:r>
    </w:p>
    <w:p w14:paraId="22F3F6FA" w14:textId="77777777" w:rsidR="00BC0E7E" w:rsidRPr="00BC0E7E" w:rsidRDefault="00BC0E7E" w:rsidP="00BC0E7E"/>
    <w:p w14:paraId="04568CDF" w14:textId="77777777" w:rsidR="00BC0E7E" w:rsidRPr="00BC0E7E" w:rsidRDefault="00944B8F" w:rsidP="00BC0E7E">
      <w:r w:rsidRPr="00BC0E7E">
        <w:t>Available data suggest that the clinical response is usually achieved within 12 weeks of treatment.  Continued therapy should be reconsidered in a patient not responding within this time period.</w:t>
      </w:r>
    </w:p>
    <w:p w14:paraId="0766F565" w14:textId="77777777" w:rsidR="00BC0E7E" w:rsidRDefault="00BC0E7E" w:rsidP="00BC0E7E">
      <w:pPr>
        <w:rPr>
          <w:i/>
          <w:u w:val="single"/>
        </w:rPr>
      </w:pPr>
    </w:p>
    <w:p w14:paraId="13E0E7E1" w14:textId="77777777" w:rsidR="000C2195" w:rsidRDefault="00944B8F" w:rsidP="00BC0E7E">
      <w:r w:rsidRPr="004B1BA6">
        <w:t>Humira may be available in other strengths and/or presentations depending on the individual treatment needs.</w:t>
      </w:r>
    </w:p>
    <w:p w14:paraId="362C6174" w14:textId="77777777" w:rsidR="000C2195" w:rsidRPr="00BC0E7E" w:rsidRDefault="000C2195" w:rsidP="00BC0E7E">
      <w:pPr>
        <w:rPr>
          <w:i/>
          <w:u w:val="single"/>
        </w:rPr>
      </w:pPr>
    </w:p>
    <w:p w14:paraId="5FA37A40" w14:textId="77777777" w:rsidR="00BC0E7E" w:rsidRPr="00BC0E7E" w:rsidRDefault="00944B8F" w:rsidP="00BC0E7E">
      <w:pPr>
        <w:rPr>
          <w:i/>
          <w:u w:val="single"/>
        </w:rPr>
      </w:pPr>
      <w:r w:rsidRPr="00BC0E7E">
        <w:rPr>
          <w:i/>
          <w:u w:val="single"/>
        </w:rPr>
        <w:t>Dose interruption</w:t>
      </w:r>
    </w:p>
    <w:p w14:paraId="1D95E4A9" w14:textId="77777777" w:rsidR="00BC0E7E" w:rsidRPr="00BC0E7E" w:rsidRDefault="00BC0E7E" w:rsidP="00BC0E7E">
      <w:pPr>
        <w:rPr>
          <w:szCs w:val="20"/>
        </w:rPr>
      </w:pPr>
    </w:p>
    <w:p w14:paraId="1A71E118" w14:textId="77777777" w:rsidR="00BC0E7E" w:rsidRPr="00BC0E7E" w:rsidRDefault="00944B8F" w:rsidP="00BC0E7E">
      <w:pPr>
        <w:rPr>
          <w:szCs w:val="20"/>
        </w:rPr>
      </w:pPr>
      <w:r w:rsidRPr="00BC0E7E">
        <w:rPr>
          <w:bCs/>
          <w:iCs/>
          <w:szCs w:val="22"/>
        </w:rPr>
        <w:t>There may be a need for dose interruption, for instance before surgery or if a serious infection occurs.</w:t>
      </w:r>
    </w:p>
    <w:p w14:paraId="1DD503F4" w14:textId="77777777" w:rsidR="00BC0E7E" w:rsidRPr="00BC0E7E" w:rsidRDefault="00BC0E7E" w:rsidP="00BC0E7E"/>
    <w:p w14:paraId="10055DE4" w14:textId="77777777" w:rsidR="00BC0E7E" w:rsidRPr="00BC0E7E" w:rsidRDefault="00944B8F" w:rsidP="00BC0E7E">
      <w:r w:rsidRPr="00BC0E7E">
        <w:t>Available data suggest that re-introduction of Humira after discontinuation for 70 days or longer resulted in the same magnitudes of clinical response and similar safety profile as before dose interruption.</w:t>
      </w:r>
    </w:p>
    <w:p w14:paraId="38EFBAC9" w14:textId="77777777" w:rsidR="00BC0E7E" w:rsidRPr="00BC0E7E" w:rsidRDefault="00BC0E7E" w:rsidP="00BC0E7E"/>
    <w:p w14:paraId="5FDD8B62" w14:textId="77777777" w:rsidR="00BC0E7E" w:rsidRPr="00BC0E7E" w:rsidRDefault="00944B8F" w:rsidP="00BC0E7E">
      <w:pPr>
        <w:rPr>
          <w:i/>
          <w:szCs w:val="20"/>
        </w:rPr>
      </w:pPr>
      <w:r w:rsidRPr="00BC0E7E">
        <w:rPr>
          <w:i/>
          <w:szCs w:val="20"/>
        </w:rPr>
        <w:t>Ankylosing spondylitis, axial spondyloarthritis without radiographic evidence of AS and psoriatic arthritis</w:t>
      </w:r>
    </w:p>
    <w:p w14:paraId="51390AB0" w14:textId="77777777" w:rsidR="00BC0E7E" w:rsidRPr="00BC0E7E" w:rsidRDefault="00BC0E7E" w:rsidP="00BC0E7E">
      <w:pPr>
        <w:rPr>
          <w:szCs w:val="20"/>
        </w:rPr>
      </w:pPr>
    </w:p>
    <w:p w14:paraId="145BE4D9" w14:textId="77777777" w:rsidR="00BC0E7E" w:rsidRPr="00BC0E7E" w:rsidRDefault="00944B8F" w:rsidP="00BC0E7E">
      <w:pPr>
        <w:rPr>
          <w:szCs w:val="20"/>
        </w:rPr>
      </w:pPr>
      <w:r w:rsidRPr="00BC0E7E">
        <w:rPr>
          <w:szCs w:val="20"/>
        </w:rPr>
        <w:t>The recommended dose of Humira for patients with ankylosing spondylitis, axial spondyloarthritis without radiographic evidence of AS and for patients with psoriatic arthritis is 40 mg adalimumab administered every other week as a single dose via subcutaneous injection.</w:t>
      </w:r>
    </w:p>
    <w:p w14:paraId="24670352" w14:textId="77777777" w:rsidR="00BC0E7E" w:rsidRPr="00BC0E7E" w:rsidRDefault="00BC0E7E" w:rsidP="00BC0E7E">
      <w:pPr>
        <w:rPr>
          <w:szCs w:val="20"/>
        </w:rPr>
      </w:pPr>
    </w:p>
    <w:p w14:paraId="1EF713E4" w14:textId="77777777" w:rsidR="00BC0E7E" w:rsidRPr="00BC0E7E" w:rsidRDefault="00944B8F" w:rsidP="00BC0E7E">
      <w:pPr>
        <w:rPr>
          <w:szCs w:val="20"/>
        </w:rPr>
      </w:pPr>
      <w:r w:rsidRPr="00BC0E7E">
        <w:rPr>
          <w:szCs w:val="20"/>
        </w:rPr>
        <w:t>Available data suggest that the clinical response is usually achieved within 12 weeks of treatment.  Continued therapy should be reconsidered in a patient not responding within this time period.</w:t>
      </w:r>
    </w:p>
    <w:p w14:paraId="07C2E706" w14:textId="77777777" w:rsidR="00BC0E7E" w:rsidRPr="00BC0E7E" w:rsidRDefault="00BC0E7E" w:rsidP="00BC0E7E">
      <w:pPr>
        <w:rPr>
          <w:szCs w:val="20"/>
        </w:rPr>
      </w:pPr>
    </w:p>
    <w:p w14:paraId="5B2598CF" w14:textId="77777777" w:rsidR="00BC0E7E" w:rsidRPr="00BC0E7E" w:rsidRDefault="00944B8F" w:rsidP="00BC0E7E">
      <w:pPr>
        <w:keepNext/>
        <w:tabs>
          <w:tab w:val="clear" w:pos="562"/>
        </w:tabs>
        <w:suppressAutoHyphens w:val="0"/>
        <w:overflowPunct w:val="0"/>
        <w:autoSpaceDE w:val="0"/>
        <w:autoSpaceDN w:val="0"/>
        <w:adjustRightInd w:val="0"/>
        <w:textAlignment w:val="baseline"/>
        <w:rPr>
          <w:bCs/>
          <w:i/>
          <w:iCs/>
          <w:szCs w:val="20"/>
        </w:rPr>
      </w:pPr>
      <w:r w:rsidRPr="00BC0E7E">
        <w:rPr>
          <w:bCs/>
          <w:i/>
          <w:iCs/>
          <w:szCs w:val="20"/>
        </w:rPr>
        <w:t>Psoriasis</w:t>
      </w:r>
    </w:p>
    <w:p w14:paraId="4C642FEA" w14:textId="77777777" w:rsidR="00BC0E7E" w:rsidRPr="00BC0E7E" w:rsidRDefault="00BC0E7E" w:rsidP="00BC0E7E">
      <w:pPr>
        <w:keepNext/>
        <w:tabs>
          <w:tab w:val="clear" w:pos="562"/>
        </w:tabs>
        <w:suppressAutoHyphens w:val="0"/>
        <w:overflowPunct w:val="0"/>
        <w:autoSpaceDE w:val="0"/>
        <w:autoSpaceDN w:val="0"/>
        <w:adjustRightInd w:val="0"/>
        <w:textAlignment w:val="baseline"/>
        <w:rPr>
          <w:bCs/>
          <w:iCs/>
          <w:szCs w:val="20"/>
        </w:rPr>
      </w:pPr>
    </w:p>
    <w:p w14:paraId="3A8F015E" w14:textId="77777777" w:rsidR="00BC0E7E" w:rsidRPr="00BC0E7E" w:rsidRDefault="00944B8F" w:rsidP="00BC0E7E">
      <w:pPr>
        <w:keepNext/>
      </w:pPr>
      <w:r w:rsidRPr="00BC0E7E">
        <w:t>The recommended dose of Humira for adult patients is an initial dose of 80 mg administered subcutaneously, followed by 40 mg subcutaneously given every other week starting one week after the initial dose.</w:t>
      </w:r>
    </w:p>
    <w:p w14:paraId="1B34596E" w14:textId="77777777" w:rsidR="00BC0E7E" w:rsidRPr="00BC0E7E" w:rsidRDefault="00BC0E7E" w:rsidP="00BC0E7E">
      <w:pPr>
        <w:rPr>
          <w:szCs w:val="20"/>
        </w:rPr>
      </w:pPr>
    </w:p>
    <w:p w14:paraId="4257821D" w14:textId="77777777" w:rsidR="00BC0E7E" w:rsidRPr="00BC0E7E" w:rsidRDefault="00944B8F" w:rsidP="00BC0E7E">
      <w:pPr>
        <w:rPr>
          <w:szCs w:val="20"/>
        </w:rPr>
      </w:pPr>
      <w:r w:rsidRPr="00BC0E7E">
        <w:rPr>
          <w:szCs w:val="20"/>
        </w:rPr>
        <w:t>Continued therapy beyond 16 weeks should be carefully reconsidered in a patient not responding within this time period.</w:t>
      </w:r>
    </w:p>
    <w:p w14:paraId="3227725F" w14:textId="77777777" w:rsidR="00BC0E7E" w:rsidRPr="00BC0E7E" w:rsidRDefault="00BC0E7E" w:rsidP="00BC0E7E">
      <w:pPr>
        <w:rPr>
          <w:szCs w:val="20"/>
          <w:u w:val="single"/>
        </w:rPr>
      </w:pPr>
    </w:p>
    <w:p w14:paraId="2E5B6634" w14:textId="77777777" w:rsidR="00BC0E7E" w:rsidRPr="00BC0E7E" w:rsidRDefault="00944B8F" w:rsidP="00BC0E7E">
      <w:pPr>
        <w:rPr>
          <w:szCs w:val="22"/>
        </w:rPr>
      </w:pPr>
      <w:r w:rsidRPr="00BC0E7E">
        <w:rPr>
          <w:rFonts w:cs="Calibri"/>
          <w:szCs w:val="22"/>
        </w:rPr>
        <w:t xml:space="preserve">Beyond 16 weeks, patients with inadequate response </w:t>
      </w:r>
      <w:r w:rsidR="00562739">
        <w:rPr>
          <w:rFonts w:cs="Calibri"/>
          <w:szCs w:val="22"/>
        </w:rPr>
        <w:t>to Humira 40</w:t>
      </w:r>
      <w:r w:rsidR="0046545C">
        <w:rPr>
          <w:rFonts w:cs="Calibri"/>
          <w:szCs w:val="22"/>
        </w:rPr>
        <w:t> </w:t>
      </w:r>
      <w:r w:rsidR="00562739">
        <w:rPr>
          <w:rFonts w:cs="Calibri"/>
          <w:szCs w:val="22"/>
        </w:rPr>
        <w:t xml:space="preserve">mg every other week </w:t>
      </w:r>
      <w:r w:rsidRPr="00BC0E7E">
        <w:rPr>
          <w:rFonts w:cs="Calibri"/>
          <w:szCs w:val="22"/>
        </w:rPr>
        <w:t>may benefit from an increase in dos</w:t>
      </w:r>
      <w:r w:rsidR="00562739">
        <w:rPr>
          <w:rFonts w:cs="Calibri"/>
          <w:szCs w:val="22"/>
        </w:rPr>
        <w:t>age</w:t>
      </w:r>
      <w:r w:rsidR="00E6118C">
        <w:rPr>
          <w:rFonts w:cs="Calibri"/>
          <w:szCs w:val="22"/>
        </w:rPr>
        <w:t xml:space="preserve"> to 40 </w:t>
      </w:r>
      <w:r w:rsidRPr="00BC0E7E">
        <w:rPr>
          <w:rFonts w:cs="Calibri"/>
          <w:szCs w:val="22"/>
        </w:rPr>
        <w:t>mg every week</w:t>
      </w:r>
      <w:r w:rsidR="00562739">
        <w:rPr>
          <w:rFonts w:cs="Calibri"/>
          <w:szCs w:val="22"/>
        </w:rPr>
        <w:t xml:space="preserve"> or 80</w:t>
      </w:r>
      <w:r w:rsidR="0046545C">
        <w:rPr>
          <w:rFonts w:cs="Calibri"/>
          <w:szCs w:val="22"/>
        </w:rPr>
        <w:t> </w:t>
      </w:r>
      <w:r w:rsidR="00562739">
        <w:rPr>
          <w:rFonts w:cs="Calibri"/>
          <w:szCs w:val="22"/>
        </w:rPr>
        <w:t>mg every other week</w:t>
      </w:r>
      <w:r w:rsidRPr="00BC0E7E">
        <w:rPr>
          <w:rFonts w:cs="Calibri"/>
          <w:szCs w:val="22"/>
        </w:rPr>
        <w:t xml:space="preserve">. The benefits and risks of continued </w:t>
      </w:r>
      <w:r w:rsidR="00D65DE3">
        <w:rPr>
          <w:rFonts w:cs="Calibri"/>
          <w:szCs w:val="22"/>
        </w:rPr>
        <w:t>40</w:t>
      </w:r>
      <w:r w:rsidR="0046545C">
        <w:rPr>
          <w:rFonts w:cs="Calibri"/>
          <w:szCs w:val="22"/>
        </w:rPr>
        <w:t> </w:t>
      </w:r>
      <w:r w:rsidR="00D65DE3">
        <w:rPr>
          <w:rFonts w:cs="Calibri"/>
          <w:szCs w:val="22"/>
        </w:rPr>
        <w:t xml:space="preserve">mg </w:t>
      </w:r>
      <w:r w:rsidRPr="00BC0E7E">
        <w:rPr>
          <w:rFonts w:cs="Calibri"/>
          <w:szCs w:val="22"/>
        </w:rPr>
        <w:t xml:space="preserve">weekly </w:t>
      </w:r>
      <w:r w:rsidR="00D65DE3">
        <w:rPr>
          <w:rFonts w:cs="Calibri"/>
          <w:szCs w:val="22"/>
        </w:rPr>
        <w:t>or 80</w:t>
      </w:r>
      <w:r w:rsidR="0046545C">
        <w:rPr>
          <w:rFonts w:cs="Calibri"/>
          <w:szCs w:val="22"/>
        </w:rPr>
        <w:t> </w:t>
      </w:r>
      <w:r w:rsidR="009478FF">
        <w:rPr>
          <w:rFonts w:cs="Calibri"/>
          <w:szCs w:val="22"/>
        </w:rPr>
        <w:t>mg every other week</w:t>
      </w:r>
      <w:r w:rsidRPr="00BC0E7E">
        <w:rPr>
          <w:rFonts w:cs="Calibri"/>
          <w:szCs w:val="22"/>
        </w:rPr>
        <w:t xml:space="preserve"> therapy should be carefully reconsidered in a patient with an inadequate response after the increase in dos</w:t>
      </w:r>
      <w:r w:rsidR="00D65DE3">
        <w:rPr>
          <w:rFonts w:cs="Calibri"/>
          <w:szCs w:val="22"/>
        </w:rPr>
        <w:t>age</w:t>
      </w:r>
      <w:r w:rsidRPr="00BC0E7E">
        <w:rPr>
          <w:rFonts w:cs="Calibri"/>
          <w:szCs w:val="22"/>
        </w:rPr>
        <w:t xml:space="preserve"> (see section 5.1).</w:t>
      </w:r>
      <w:r w:rsidRPr="00BC0E7E">
        <w:rPr>
          <w:szCs w:val="22"/>
        </w:rPr>
        <w:t xml:space="preserve">  If adequate response is achieved with </w:t>
      </w:r>
      <w:r w:rsidR="00D65DE3">
        <w:rPr>
          <w:szCs w:val="22"/>
        </w:rPr>
        <w:t>40</w:t>
      </w:r>
      <w:r w:rsidR="0046545C">
        <w:rPr>
          <w:szCs w:val="22"/>
        </w:rPr>
        <w:t> </w:t>
      </w:r>
      <w:r w:rsidR="00D65DE3">
        <w:rPr>
          <w:szCs w:val="22"/>
        </w:rPr>
        <w:t>mg every week or 80</w:t>
      </w:r>
      <w:r w:rsidR="0046545C">
        <w:rPr>
          <w:szCs w:val="22"/>
        </w:rPr>
        <w:t> </w:t>
      </w:r>
      <w:r w:rsidR="00D65DE3">
        <w:rPr>
          <w:szCs w:val="22"/>
        </w:rPr>
        <w:t xml:space="preserve">mg every other week, </w:t>
      </w:r>
      <w:r w:rsidRPr="00BC0E7E">
        <w:rPr>
          <w:szCs w:val="22"/>
        </w:rPr>
        <w:t>the dos</w:t>
      </w:r>
      <w:r w:rsidR="00D65DE3">
        <w:rPr>
          <w:szCs w:val="22"/>
        </w:rPr>
        <w:t>ag</w:t>
      </w:r>
      <w:r w:rsidRPr="00BC0E7E">
        <w:rPr>
          <w:szCs w:val="22"/>
        </w:rPr>
        <w:t>e ma</w:t>
      </w:r>
      <w:r w:rsidR="00E6118C">
        <w:rPr>
          <w:szCs w:val="22"/>
        </w:rPr>
        <w:t>y subsequently be reduced to 40 </w:t>
      </w:r>
      <w:r w:rsidRPr="00BC0E7E">
        <w:rPr>
          <w:szCs w:val="22"/>
        </w:rPr>
        <w:t>mg every other week.</w:t>
      </w:r>
    </w:p>
    <w:p w14:paraId="036C9B82" w14:textId="77777777" w:rsidR="00BC0E7E" w:rsidRDefault="00BC0E7E" w:rsidP="00BC0E7E">
      <w:pPr>
        <w:rPr>
          <w:szCs w:val="20"/>
          <w:u w:val="single"/>
        </w:rPr>
      </w:pPr>
    </w:p>
    <w:p w14:paraId="789669B1" w14:textId="77777777" w:rsidR="00D65DE3" w:rsidRDefault="00944B8F" w:rsidP="00BC0E7E">
      <w:pPr>
        <w:rPr>
          <w:szCs w:val="20"/>
          <w:u w:val="single"/>
        </w:rPr>
      </w:pPr>
      <w:r w:rsidRPr="00D21ABE">
        <w:t>Humira may be available in other strengths and/or presentations depending on the individual treatment needs.</w:t>
      </w:r>
    </w:p>
    <w:p w14:paraId="3D61B698" w14:textId="77777777" w:rsidR="00D65DE3" w:rsidRPr="00BC0E7E" w:rsidRDefault="00D65DE3" w:rsidP="00BC0E7E">
      <w:pPr>
        <w:rPr>
          <w:szCs w:val="20"/>
          <w:u w:val="single"/>
        </w:rPr>
      </w:pPr>
    </w:p>
    <w:p w14:paraId="68A6B278" w14:textId="77777777" w:rsidR="00BC0E7E" w:rsidRPr="00BC0E7E" w:rsidRDefault="00944B8F" w:rsidP="00BC0E7E">
      <w:pPr>
        <w:rPr>
          <w:i/>
          <w:szCs w:val="20"/>
        </w:rPr>
      </w:pPr>
      <w:r w:rsidRPr="00BC0E7E">
        <w:rPr>
          <w:i/>
          <w:szCs w:val="20"/>
        </w:rPr>
        <w:t>Hidradenitis suppurativa</w:t>
      </w:r>
    </w:p>
    <w:p w14:paraId="5E1989D9" w14:textId="77777777" w:rsidR="00BC0E7E" w:rsidRPr="00BC0E7E" w:rsidRDefault="00BC0E7E" w:rsidP="00BC0E7E">
      <w:pPr>
        <w:rPr>
          <w:szCs w:val="20"/>
          <w:u w:val="single"/>
        </w:rPr>
      </w:pPr>
    </w:p>
    <w:p w14:paraId="14CA2506" w14:textId="77777777" w:rsidR="00BC0E7E" w:rsidRPr="00BC0E7E" w:rsidRDefault="00944B8F" w:rsidP="00BC0E7E">
      <w:pPr>
        <w:rPr>
          <w:szCs w:val="20"/>
        </w:rPr>
      </w:pPr>
      <w:r w:rsidRPr="00BC0E7E">
        <w:rPr>
          <w:szCs w:val="20"/>
        </w:rPr>
        <w:t>The recommended Humira dose regimen for adult patients with hidra</w:t>
      </w:r>
      <w:r w:rsidR="00E6118C">
        <w:rPr>
          <w:szCs w:val="20"/>
        </w:rPr>
        <w:t>denitis suppurativa (HS) is 160 </w:t>
      </w:r>
      <w:r w:rsidRPr="00BC0E7E">
        <w:rPr>
          <w:szCs w:val="20"/>
        </w:rPr>
        <w:t>mg initi</w:t>
      </w:r>
      <w:r w:rsidR="00E6118C">
        <w:rPr>
          <w:szCs w:val="20"/>
        </w:rPr>
        <w:t>ally at Day 1 (given as four 40 </w:t>
      </w:r>
      <w:r w:rsidRPr="00BC0E7E">
        <w:rPr>
          <w:szCs w:val="20"/>
        </w:rPr>
        <w:t>mg inj</w:t>
      </w:r>
      <w:r w:rsidR="00E6118C">
        <w:rPr>
          <w:szCs w:val="20"/>
        </w:rPr>
        <w:t>ections in one day or as two 40 </w:t>
      </w:r>
      <w:r w:rsidRPr="00BC0E7E">
        <w:rPr>
          <w:szCs w:val="20"/>
        </w:rPr>
        <w:t xml:space="preserve">mg injections per day for two consecutive days), </w:t>
      </w:r>
      <w:r w:rsidR="00E6118C">
        <w:rPr>
          <w:szCs w:val="20"/>
        </w:rPr>
        <w:t>followed by 80 </w:t>
      </w:r>
      <w:r w:rsidRPr="00BC0E7E">
        <w:rPr>
          <w:szCs w:val="20"/>
        </w:rPr>
        <w:t>mg two weeks l</w:t>
      </w:r>
      <w:r w:rsidR="00E6118C">
        <w:rPr>
          <w:szCs w:val="20"/>
        </w:rPr>
        <w:t>ater at Day 15 (given as two 40 </w:t>
      </w:r>
      <w:r w:rsidRPr="00BC0E7E">
        <w:rPr>
          <w:szCs w:val="20"/>
        </w:rPr>
        <w:t>mg injections in one day). Two weeks later (Day</w:t>
      </w:r>
      <w:r w:rsidR="00E6118C">
        <w:rPr>
          <w:szCs w:val="20"/>
        </w:rPr>
        <w:t xml:space="preserve"> 29) continue with a dose of 40 </w:t>
      </w:r>
      <w:r w:rsidRPr="00BC0E7E">
        <w:rPr>
          <w:szCs w:val="20"/>
        </w:rPr>
        <w:t>mg every week</w:t>
      </w:r>
      <w:r w:rsidR="009B4B69">
        <w:rPr>
          <w:szCs w:val="20"/>
        </w:rPr>
        <w:t xml:space="preserve"> or 80</w:t>
      </w:r>
      <w:r w:rsidR="0046545C">
        <w:rPr>
          <w:szCs w:val="20"/>
        </w:rPr>
        <w:t> </w:t>
      </w:r>
      <w:r w:rsidR="009B4B69">
        <w:rPr>
          <w:szCs w:val="20"/>
        </w:rPr>
        <w:t>mg every other week (given as two 40</w:t>
      </w:r>
      <w:r w:rsidR="00D55B23">
        <w:rPr>
          <w:szCs w:val="20"/>
        </w:rPr>
        <w:t> </w:t>
      </w:r>
      <w:r w:rsidR="009B4B69">
        <w:rPr>
          <w:szCs w:val="20"/>
        </w:rPr>
        <w:t>mg injections in one day)</w:t>
      </w:r>
      <w:r w:rsidRPr="00BC0E7E">
        <w:rPr>
          <w:szCs w:val="20"/>
        </w:rPr>
        <w:t>. Antibiotics may be continued during treatment with Humira if necessary. It is recommended that the patient should use a topical antiseptic wash on their HS lesions on a daily basis during treatment with Humira.</w:t>
      </w:r>
    </w:p>
    <w:p w14:paraId="29FB0CD4" w14:textId="77777777" w:rsidR="00BC0E7E" w:rsidRPr="00BC0E7E" w:rsidRDefault="00BC0E7E" w:rsidP="00BC0E7E">
      <w:pPr>
        <w:rPr>
          <w:szCs w:val="20"/>
        </w:rPr>
      </w:pPr>
    </w:p>
    <w:p w14:paraId="1F27FCF4" w14:textId="77777777" w:rsidR="00BC0E7E" w:rsidRPr="00BC0E7E" w:rsidRDefault="00944B8F" w:rsidP="00BC0E7E">
      <w:pPr>
        <w:rPr>
          <w:szCs w:val="20"/>
        </w:rPr>
      </w:pPr>
      <w:r w:rsidRPr="00BC0E7E">
        <w:rPr>
          <w:szCs w:val="20"/>
        </w:rPr>
        <w:t xml:space="preserve">Continued therapy beyond 12 weeks should be carefully reconsidered in a patient with no improvement within this time period.  </w:t>
      </w:r>
    </w:p>
    <w:p w14:paraId="5C1FF19C" w14:textId="77777777" w:rsidR="00BC0E7E" w:rsidRPr="00BC0E7E" w:rsidRDefault="00BC0E7E" w:rsidP="00BC0E7E">
      <w:pPr>
        <w:rPr>
          <w:szCs w:val="20"/>
        </w:rPr>
      </w:pPr>
    </w:p>
    <w:p w14:paraId="5084C6C3" w14:textId="77777777" w:rsidR="00BC0E7E" w:rsidRPr="00BC0E7E" w:rsidRDefault="00944B8F" w:rsidP="00BC0E7E">
      <w:pPr>
        <w:rPr>
          <w:szCs w:val="20"/>
        </w:rPr>
      </w:pPr>
      <w:r w:rsidRPr="00BC0E7E">
        <w:rPr>
          <w:szCs w:val="20"/>
        </w:rPr>
        <w:t>Should trea</w:t>
      </w:r>
      <w:r w:rsidR="0046545C">
        <w:rPr>
          <w:szCs w:val="20"/>
        </w:rPr>
        <w:t>tment be interrupted, Humira 40 </w:t>
      </w:r>
      <w:r w:rsidRPr="00BC0E7E">
        <w:rPr>
          <w:szCs w:val="20"/>
        </w:rPr>
        <w:t xml:space="preserve">mg every week </w:t>
      </w:r>
      <w:r w:rsidR="009B4B69">
        <w:rPr>
          <w:szCs w:val="20"/>
        </w:rPr>
        <w:t>or 80</w:t>
      </w:r>
      <w:r w:rsidR="0046545C">
        <w:rPr>
          <w:szCs w:val="20"/>
        </w:rPr>
        <w:t> </w:t>
      </w:r>
      <w:r w:rsidR="009B4B69">
        <w:rPr>
          <w:szCs w:val="20"/>
        </w:rPr>
        <w:t xml:space="preserve">mg every other week </w:t>
      </w:r>
      <w:r w:rsidRPr="00BC0E7E">
        <w:rPr>
          <w:szCs w:val="20"/>
        </w:rPr>
        <w:t xml:space="preserve">may be re-introduced (see section 5.1). </w:t>
      </w:r>
    </w:p>
    <w:p w14:paraId="10C9FF8F" w14:textId="77777777" w:rsidR="00BC0E7E" w:rsidRPr="00BC0E7E" w:rsidRDefault="00BC0E7E" w:rsidP="00BC0E7E">
      <w:pPr>
        <w:rPr>
          <w:szCs w:val="20"/>
        </w:rPr>
      </w:pPr>
    </w:p>
    <w:p w14:paraId="305DC6D3" w14:textId="77777777" w:rsidR="00BC0E7E" w:rsidRPr="00BC0E7E" w:rsidRDefault="00944B8F" w:rsidP="00BC0E7E">
      <w:pPr>
        <w:rPr>
          <w:szCs w:val="20"/>
        </w:rPr>
      </w:pPr>
      <w:r w:rsidRPr="00BC0E7E">
        <w:rPr>
          <w:szCs w:val="20"/>
        </w:rPr>
        <w:t>The benefit and risk of continued long-term treatment should be periodically evaluated (see section 5.1).</w:t>
      </w:r>
    </w:p>
    <w:p w14:paraId="18A15722" w14:textId="77777777" w:rsidR="00BC0E7E" w:rsidRDefault="00BC0E7E" w:rsidP="00BC0E7E">
      <w:pPr>
        <w:rPr>
          <w:szCs w:val="20"/>
          <w:u w:val="single"/>
        </w:rPr>
      </w:pPr>
    </w:p>
    <w:p w14:paraId="00987BF6" w14:textId="77777777" w:rsidR="009B4B69" w:rsidRDefault="00944B8F" w:rsidP="009B4B69">
      <w:pPr>
        <w:rPr>
          <w:szCs w:val="20"/>
          <w:u w:val="single"/>
        </w:rPr>
      </w:pPr>
      <w:r w:rsidRPr="00D21ABE">
        <w:t>Humira may be available in other strengths and/or presentations depending on the individual treatment needs.</w:t>
      </w:r>
    </w:p>
    <w:p w14:paraId="74D84037" w14:textId="77777777" w:rsidR="009B4B69" w:rsidRPr="00BC0E7E" w:rsidRDefault="009B4B69" w:rsidP="00BC0E7E">
      <w:pPr>
        <w:rPr>
          <w:szCs w:val="20"/>
          <w:u w:val="single"/>
        </w:rPr>
      </w:pPr>
    </w:p>
    <w:p w14:paraId="2724727F" w14:textId="77777777" w:rsidR="00BC0E7E" w:rsidRPr="00BC0E7E" w:rsidRDefault="00944B8F" w:rsidP="00BC0E7E">
      <w:pPr>
        <w:keepNext/>
        <w:rPr>
          <w:i/>
          <w:szCs w:val="20"/>
        </w:rPr>
      </w:pPr>
      <w:r w:rsidRPr="00BC0E7E">
        <w:rPr>
          <w:i/>
          <w:szCs w:val="20"/>
        </w:rPr>
        <w:t>Crohn’s disease</w:t>
      </w:r>
    </w:p>
    <w:p w14:paraId="3C494289" w14:textId="77777777" w:rsidR="00BC0E7E" w:rsidRPr="00BC0E7E" w:rsidRDefault="00BC0E7E" w:rsidP="00BC0E7E">
      <w:pPr>
        <w:keepNext/>
        <w:rPr>
          <w:szCs w:val="20"/>
        </w:rPr>
      </w:pPr>
    </w:p>
    <w:p w14:paraId="618A57C9" w14:textId="77777777" w:rsidR="00BC0E7E" w:rsidRPr="00BC0E7E" w:rsidRDefault="00944B8F" w:rsidP="00BC0E7E">
      <w:pPr>
        <w:keepNext/>
        <w:rPr>
          <w:szCs w:val="20"/>
        </w:rPr>
      </w:pPr>
      <w:r w:rsidRPr="00BC0E7E">
        <w:rPr>
          <w:szCs w:val="20"/>
        </w:rPr>
        <w:t>The recommended Humira induction dose regimen for adult patients with moderately to severely active Crohn’s disease is 80 mg at Week 0 followed by 40 mg at Week 2. In case there is a need for a more rapid response to therapy, the regimen 160 mg at Week 0 (</w:t>
      </w:r>
      <w:r w:rsidR="00123270">
        <w:rPr>
          <w:szCs w:val="20"/>
        </w:rPr>
        <w:t xml:space="preserve">given </w:t>
      </w:r>
      <w:r w:rsidRPr="00BC0E7E">
        <w:rPr>
          <w:szCs w:val="20"/>
        </w:rPr>
        <w:t>as four</w:t>
      </w:r>
      <w:r w:rsidR="00123270">
        <w:rPr>
          <w:szCs w:val="20"/>
        </w:rPr>
        <w:t xml:space="preserve"> 40</w:t>
      </w:r>
      <w:r w:rsidR="0046545C">
        <w:rPr>
          <w:szCs w:val="20"/>
        </w:rPr>
        <w:t> </w:t>
      </w:r>
      <w:r w:rsidR="00123270">
        <w:rPr>
          <w:szCs w:val="20"/>
        </w:rPr>
        <w:t>mg</w:t>
      </w:r>
      <w:r w:rsidRPr="00BC0E7E">
        <w:rPr>
          <w:szCs w:val="20"/>
        </w:rPr>
        <w:t xml:space="preserve"> injections in one day or as two </w:t>
      </w:r>
      <w:r w:rsidR="00123270">
        <w:rPr>
          <w:szCs w:val="20"/>
        </w:rPr>
        <w:t>40</w:t>
      </w:r>
      <w:r w:rsidR="0046545C">
        <w:rPr>
          <w:szCs w:val="20"/>
        </w:rPr>
        <w:t> </w:t>
      </w:r>
      <w:r w:rsidR="00123270">
        <w:rPr>
          <w:szCs w:val="20"/>
        </w:rPr>
        <w:t xml:space="preserve">mg </w:t>
      </w:r>
      <w:r w:rsidRPr="00BC0E7E">
        <w:rPr>
          <w:szCs w:val="20"/>
        </w:rPr>
        <w:t>injections per day for two consecutive days),</w:t>
      </w:r>
      <w:r w:rsidR="003E4C7E">
        <w:rPr>
          <w:szCs w:val="20"/>
        </w:rPr>
        <w:t xml:space="preserve"> followed by</w:t>
      </w:r>
      <w:r w:rsidRPr="00BC0E7E">
        <w:rPr>
          <w:szCs w:val="20"/>
        </w:rPr>
        <w:t xml:space="preserve"> 80 mg at Week 2</w:t>
      </w:r>
      <w:r w:rsidR="00123270">
        <w:rPr>
          <w:szCs w:val="20"/>
        </w:rPr>
        <w:t xml:space="preserve"> (given as two 40</w:t>
      </w:r>
      <w:r w:rsidR="0046545C">
        <w:rPr>
          <w:szCs w:val="20"/>
        </w:rPr>
        <w:t> </w:t>
      </w:r>
      <w:r w:rsidR="00123270">
        <w:rPr>
          <w:szCs w:val="20"/>
        </w:rPr>
        <w:t>mg injections in one day)</w:t>
      </w:r>
      <w:r w:rsidRPr="00BC0E7E">
        <w:rPr>
          <w:szCs w:val="20"/>
        </w:rPr>
        <w:t>, can be used with the awareness that the risk for adverse events is higher during induction.</w:t>
      </w:r>
    </w:p>
    <w:p w14:paraId="1356A7F1" w14:textId="77777777" w:rsidR="00BC0E7E" w:rsidRPr="00BC0E7E" w:rsidRDefault="00BC0E7E" w:rsidP="00BC0E7E">
      <w:pPr>
        <w:rPr>
          <w:szCs w:val="20"/>
        </w:rPr>
      </w:pPr>
    </w:p>
    <w:p w14:paraId="7E758DEE" w14:textId="77777777" w:rsidR="00BC0E7E" w:rsidRPr="00BC0E7E" w:rsidRDefault="00944B8F" w:rsidP="00BC0E7E">
      <w:pPr>
        <w:rPr>
          <w:szCs w:val="20"/>
        </w:rPr>
      </w:pPr>
      <w:r w:rsidRPr="00BC0E7E">
        <w:rPr>
          <w:szCs w:val="20"/>
        </w:rPr>
        <w:t>After induction treatment, the recommended dose is 40 mg every other week via subcutaneous injection. Alternatively, if a patient has stopped Humira and signs and symptoms of disease recur, Humira may be re</w:t>
      </w:r>
      <w:r w:rsidRPr="00BC0E7E">
        <w:rPr>
          <w:szCs w:val="20"/>
        </w:rPr>
        <w:noBreakHyphen/>
        <w:t>administered. There is little experience from re</w:t>
      </w:r>
      <w:r w:rsidRPr="00BC0E7E">
        <w:rPr>
          <w:szCs w:val="20"/>
        </w:rPr>
        <w:noBreakHyphen/>
        <w:t>administration after more than 8 weeks since the previous dose.</w:t>
      </w:r>
    </w:p>
    <w:p w14:paraId="7ED2EB4D" w14:textId="77777777" w:rsidR="00BC0E7E" w:rsidRPr="00BC0E7E" w:rsidRDefault="00BC0E7E" w:rsidP="00BC0E7E">
      <w:pPr>
        <w:rPr>
          <w:szCs w:val="20"/>
        </w:rPr>
      </w:pPr>
    </w:p>
    <w:p w14:paraId="7C99F54F" w14:textId="77777777" w:rsidR="00BC0E7E" w:rsidRPr="00BC0E7E" w:rsidRDefault="00944B8F" w:rsidP="00BC0E7E">
      <w:pPr>
        <w:rPr>
          <w:szCs w:val="20"/>
        </w:rPr>
      </w:pPr>
      <w:r w:rsidRPr="00BC0E7E">
        <w:rPr>
          <w:szCs w:val="20"/>
        </w:rPr>
        <w:t>During maintenance treatment, corticosteroids may be tapered in accordance with clinical practice guidelines.</w:t>
      </w:r>
    </w:p>
    <w:p w14:paraId="3964E025" w14:textId="77777777" w:rsidR="00BC0E7E" w:rsidRPr="00BC0E7E" w:rsidRDefault="00BC0E7E" w:rsidP="00BC0E7E">
      <w:pPr>
        <w:rPr>
          <w:szCs w:val="20"/>
        </w:rPr>
      </w:pPr>
    </w:p>
    <w:p w14:paraId="6DF7BC70" w14:textId="77777777" w:rsidR="00BC0E7E" w:rsidRPr="00BC0E7E" w:rsidRDefault="00944B8F" w:rsidP="00BC0E7E">
      <w:pPr>
        <w:rPr>
          <w:szCs w:val="20"/>
        </w:rPr>
      </w:pPr>
      <w:r w:rsidRPr="00BC0E7E">
        <w:rPr>
          <w:szCs w:val="20"/>
        </w:rPr>
        <w:t xml:space="preserve">Some patients who experience decrease in their response </w:t>
      </w:r>
      <w:r w:rsidR="00B57878">
        <w:rPr>
          <w:szCs w:val="20"/>
        </w:rPr>
        <w:t>to Humira 40</w:t>
      </w:r>
      <w:r w:rsidR="0046545C">
        <w:rPr>
          <w:szCs w:val="20"/>
        </w:rPr>
        <w:t> </w:t>
      </w:r>
      <w:r w:rsidR="00B57878">
        <w:rPr>
          <w:szCs w:val="20"/>
        </w:rPr>
        <w:t xml:space="preserve">mg every other week </w:t>
      </w:r>
      <w:r w:rsidRPr="00BC0E7E">
        <w:rPr>
          <w:szCs w:val="20"/>
        </w:rPr>
        <w:t>may benefit from an increase in dos</w:t>
      </w:r>
      <w:r w:rsidR="00B57878">
        <w:rPr>
          <w:szCs w:val="20"/>
        </w:rPr>
        <w:t>age</w:t>
      </w:r>
      <w:r w:rsidRPr="00BC0E7E">
        <w:rPr>
          <w:szCs w:val="20"/>
        </w:rPr>
        <w:t xml:space="preserve"> to 40 mg Humira every week</w:t>
      </w:r>
      <w:r w:rsidR="00B57878">
        <w:rPr>
          <w:szCs w:val="20"/>
        </w:rPr>
        <w:t xml:space="preserve"> or 80</w:t>
      </w:r>
      <w:r w:rsidR="0046545C">
        <w:rPr>
          <w:szCs w:val="20"/>
        </w:rPr>
        <w:t> </w:t>
      </w:r>
      <w:r w:rsidR="00B57878">
        <w:rPr>
          <w:szCs w:val="20"/>
        </w:rPr>
        <w:t>mg every other week</w:t>
      </w:r>
      <w:r w:rsidRPr="00BC0E7E">
        <w:rPr>
          <w:szCs w:val="20"/>
        </w:rPr>
        <w:t>.</w:t>
      </w:r>
    </w:p>
    <w:p w14:paraId="5404FC16" w14:textId="77777777" w:rsidR="00BC0E7E" w:rsidRPr="00BC0E7E" w:rsidRDefault="00BC0E7E" w:rsidP="00BC0E7E">
      <w:pPr>
        <w:rPr>
          <w:szCs w:val="20"/>
        </w:rPr>
      </w:pPr>
    </w:p>
    <w:p w14:paraId="5E47CB4E" w14:textId="77777777" w:rsidR="00BC0E7E" w:rsidRPr="00BC0E7E" w:rsidRDefault="00944B8F" w:rsidP="00BC0E7E">
      <w:pPr>
        <w:rPr>
          <w:bCs/>
          <w:szCs w:val="20"/>
        </w:rPr>
      </w:pPr>
      <w:r w:rsidRPr="00BC0E7E">
        <w:rPr>
          <w:bCs/>
          <w:szCs w:val="20"/>
        </w:rPr>
        <w:t>Some patients who have not responded by Week 4 may benefit from continued maintenance therapy through Week 12. Continued therapy should be carefully reconsidered in a patient not responding within this time period.</w:t>
      </w:r>
    </w:p>
    <w:p w14:paraId="034F5E15" w14:textId="77777777" w:rsidR="00BC0E7E" w:rsidRDefault="00BC0E7E" w:rsidP="00BC0E7E">
      <w:pPr>
        <w:rPr>
          <w:bCs/>
          <w:szCs w:val="20"/>
        </w:rPr>
      </w:pPr>
    </w:p>
    <w:p w14:paraId="16D910F1" w14:textId="77777777" w:rsidR="00B57878" w:rsidRDefault="00944B8F" w:rsidP="00B57878">
      <w:pPr>
        <w:rPr>
          <w:szCs w:val="20"/>
          <w:u w:val="single"/>
        </w:rPr>
      </w:pPr>
      <w:r w:rsidRPr="00D21ABE">
        <w:t>Humira may be available in other strengths and/or presentations depending on the individual treatment needs.</w:t>
      </w:r>
    </w:p>
    <w:p w14:paraId="206BA1B5" w14:textId="77777777" w:rsidR="00B57878" w:rsidRPr="00BC0E7E" w:rsidRDefault="00B57878" w:rsidP="00BC0E7E">
      <w:pPr>
        <w:rPr>
          <w:bCs/>
          <w:szCs w:val="20"/>
        </w:rPr>
      </w:pPr>
    </w:p>
    <w:p w14:paraId="5C27510D" w14:textId="77777777" w:rsidR="00BC0E7E" w:rsidRPr="00BC0E7E" w:rsidRDefault="00944B8F" w:rsidP="006001FF">
      <w:pPr>
        <w:keepNext/>
        <w:rPr>
          <w:i/>
          <w:szCs w:val="20"/>
        </w:rPr>
      </w:pPr>
      <w:r w:rsidRPr="00BC0E7E">
        <w:rPr>
          <w:i/>
          <w:szCs w:val="20"/>
        </w:rPr>
        <w:lastRenderedPageBreak/>
        <w:t>Ulcerative colitis</w:t>
      </w:r>
    </w:p>
    <w:p w14:paraId="6B5D57AE" w14:textId="77777777" w:rsidR="00BC0E7E" w:rsidRPr="00BC0E7E" w:rsidRDefault="00BC0E7E" w:rsidP="006001FF">
      <w:pPr>
        <w:keepNext/>
        <w:rPr>
          <w:szCs w:val="20"/>
        </w:rPr>
      </w:pPr>
    </w:p>
    <w:p w14:paraId="76F9A6FE" w14:textId="77777777" w:rsidR="00BC0E7E" w:rsidRPr="00BC0E7E" w:rsidRDefault="00944B8F" w:rsidP="006001FF">
      <w:pPr>
        <w:keepNext/>
        <w:rPr>
          <w:szCs w:val="20"/>
        </w:rPr>
      </w:pPr>
      <w:r w:rsidRPr="00BC0E7E">
        <w:rPr>
          <w:szCs w:val="20"/>
        </w:rPr>
        <w:t>The recommended Humira induction dose regimen for adult patients with moderate to severe ulcerative colitis is 160 mg at Week 0 (</w:t>
      </w:r>
      <w:r w:rsidR="00B62260">
        <w:rPr>
          <w:szCs w:val="20"/>
        </w:rPr>
        <w:t>given</w:t>
      </w:r>
      <w:r w:rsidRPr="00BC0E7E">
        <w:rPr>
          <w:szCs w:val="20"/>
        </w:rPr>
        <w:t xml:space="preserve"> as four</w:t>
      </w:r>
      <w:r w:rsidR="00B62260">
        <w:rPr>
          <w:szCs w:val="20"/>
        </w:rPr>
        <w:t xml:space="preserve"> 40</w:t>
      </w:r>
      <w:r w:rsidR="0046545C">
        <w:rPr>
          <w:szCs w:val="20"/>
        </w:rPr>
        <w:t> </w:t>
      </w:r>
      <w:r w:rsidR="00B62260">
        <w:rPr>
          <w:szCs w:val="20"/>
        </w:rPr>
        <w:t>mg</w:t>
      </w:r>
      <w:r w:rsidRPr="00BC0E7E">
        <w:rPr>
          <w:szCs w:val="20"/>
        </w:rPr>
        <w:t xml:space="preserve"> injections in one day or as two</w:t>
      </w:r>
      <w:r w:rsidR="00B62260">
        <w:rPr>
          <w:szCs w:val="20"/>
        </w:rPr>
        <w:t xml:space="preserve"> 40</w:t>
      </w:r>
      <w:r w:rsidR="0046545C">
        <w:rPr>
          <w:szCs w:val="20"/>
        </w:rPr>
        <w:t> </w:t>
      </w:r>
      <w:r w:rsidR="00B62260">
        <w:rPr>
          <w:szCs w:val="20"/>
        </w:rPr>
        <w:t>mg</w:t>
      </w:r>
      <w:r w:rsidRPr="00BC0E7E">
        <w:rPr>
          <w:szCs w:val="20"/>
        </w:rPr>
        <w:t xml:space="preserve"> injections per day for two consecutive days) and 80 mg at Week 2</w:t>
      </w:r>
      <w:r w:rsidR="00B62260">
        <w:rPr>
          <w:szCs w:val="20"/>
        </w:rPr>
        <w:t xml:space="preserve"> (given as two 40</w:t>
      </w:r>
      <w:r w:rsidR="0046545C">
        <w:rPr>
          <w:szCs w:val="20"/>
        </w:rPr>
        <w:t> </w:t>
      </w:r>
      <w:r w:rsidR="00B62260">
        <w:rPr>
          <w:szCs w:val="20"/>
        </w:rPr>
        <w:t>mg injections in one day)</w:t>
      </w:r>
      <w:r w:rsidRPr="00BC0E7E">
        <w:rPr>
          <w:szCs w:val="20"/>
        </w:rPr>
        <w:t xml:space="preserve">. After induction treatment, the recommended dose is 40 mg every other week via subcutaneous injection. </w:t>
      </w:r>
    </w:p>
    <w:p w14:paraId="628856FB" w14:textId="77777777" w:rsidR="00BC0E7E" w:rsidRPr="00BC0E7E" w:rsidRDefault="00BC0E7E" w:rsidP="00BC0E7E">
      <w:pPr>
        <w:rPr>
          <w:szCs w:val="20"/>
        </w:rPr>
      </w:pPr>
    </w:p>
    <w:p w14:paraId="237DCD00" w14:textId="77777777" w:rsidR="00BC0E7E" w:rsidRPr="00BC0E7E" w:rsidRDefault="00944B8F" w:rsidP="00BC0E7E">
      <w:pPr>
        <w:rPr>
          <w:szCs w:val="20"/>
        </w:rPr>
      </w:pPr>
      <w:r w:rsidRPr="00BC0E7E">
        <w:rPr>
          <w:szCs w:val="20"/>
        </w:rPr>
        <w:t xml:space="preserve">During maintenance treatment, corticosteroids may be tapered in accordance with clinical practice guidelines. </w:t>
      </w:r>
    </w:p>
    <w:p w14:paraId="2C2E4F78" w14:textId="77777777" w:rsidR="00BC0E7E" w:rsidRPr="00BC0E7E" w:rsidRDefault="00BC0E7E" w:rsidP="00BC0E7E">
      <w:pPr>
        <w:rPr>
          <w:szCs w:val="20"/>
        </w:rPr>
      </w:pPr>
    </w:p>
    <w:p w14:paraId="07AB799A" w14:textId="77777777" w:rsidR="00BC0E7E" w:rsidRPr="00BC0E7E" w:rsidRDefault="00944B8F" w:rsidP="00BC0E7E">
      <w:pPr>
        <w:rPr>
          <w:szCs w:val="20"/>
        </w:rPr>
      </w:pPr>
      <w:r w:rsidRPr="00BC0E7E">
        <w:rPr>
          <w:szCs w:val="20"/>
        </w:rPr>
        <w:t xml:space="preserve">Some patients who experience decrease in their response </w:t>
      </w:r>
      <w:r w:rsidR="00B62260">
        <w:rPr>
          <w:szCs w:val="20"/>
        </w:rPr>
        <w:t>to 40</w:t>
      </w:r>
      <w:r w:rsidR="0046545C">
        <w:rPr>
          <w:szCs w:val="20"/>
        </w:rPr>
        <w:t> </w:t>
      </w:r>
      <w:r w:rsidR="00B62260">
        <w:rPr>
          <w:szCs w:val="20"/>
        </w:rPr>
        <w:t xml:space="preserve">mg every other week </w:t>
      </w:r>
      <w:r w:rsidRPr="00BC0E7E">
        <w:rPr>
          <w:szCs w:val="20"/>
        </w:rPr>
        <w:t>may benefit from an increase in dos</w:t>
      </w:r>
      <w:r w:rsidR="00B62260">
        <w:rPr>
          <w:szCs w:val="20"/>
        </w:rPr>
        <w:t>age</w:t>
      </w:r>
      <w:r w:rsidRPr="00BC0E7E">
        <w:rPr>
          <w:szCs w:val="20"/>
        </w:rPr>
        <w:t xml:space="preserve"> to 40 mg Humira every week</w:t>
      </w:r>
      <w:r w:rsidR="00B62260">
        <w:rPr>
          <w:szCs w:val="20"/>
        </w:rPr>
        <w:t xml:space="preserve"> or 80</w:t>
      </w:r>
      <w:r w:rsidR="0046545C">
        <w:rPr>
          <w:szCs w:val="20"/>
        </w:rPr>
        <w:t> </w:t>
      </w:r>
      <w:r w:rsidR="00B62260">
        <w:rPr>
          <w:szCs w:val="20"/>
        </w:rPr>
        <w:t>mg every other week</w:t>
      </w:r>
      <w:r w:rsidRPr="00BC0E7E">
        <w:rPr>
          <w:szCs w:val="20"/>
        </w:rPr>
        <w:t>.</w:t>
      </w:r>
    </w:p>
    <w:p w14:paraId="5864B59A" w14:textId="77777777" w:rsidR="00BC0E7E" w:rsidRPr="00BC0E7E" w:rsidRDefault="00BC0E7E" w:rsidP="00BC0E7E">
      <w:pPr>
        <w:rPr>
          <w:szCs w:val="20"/>
        </w:rPr>
      </w:pPr>
    </w:p>
    <w:p w14:paraId="2A97B8AD" w14:textId="77777777" w:rsidR="00BC0E7E" w:rsidRPr="00BC0E7E" w:rsidRDefault="00944B8F" w:rsidP="00BC0E7E">
      <w:pPr>
        <w:rPr>
          <w:szCs w:val="22"/>
        </w:rPr>
      </w:pPr>
      <w:r w:rsidRPr="00BC0E7E">
        <w:rPr>
          <w:szCs w:val="22"/>
        </w:rPr>
        <w:t>Available data suggest that clinical response is usually achieved within 2</w:t>
      </w:r>
      <w:r w:rsidRPr="00BC0E7E">
        <w:rPr>
          <w:szCs w:val="22"/>
        </w:rPr>
        <w:noBreakHyphen/>
        <w:t>8 weeks of treatment.  Humira therapy should not be continued in patients failing to respond within this time period.</w:t>
      </w:r>
    </w:p>
    <w:p w14:paraId="1994959F" w14:textId="77777777" w:rsidR="00BC0E7E" w:rsidRDefault="00BC0E7E" w:rsidP="00BC0E7E">
      <w:pPr>
        <w:rPr>
          <w:szCs w:val="22"/>
        </w:rPr>
      </w:pPr>
    </w:p>
    <w:p w14:paraId="743CC741" w14:textId="77777777" w:rsidR="00B62260" w:rsidRDefault="00944B8F" w:rsidP="00B62260">
      <w:pPr>
        <w:rPr>
          <w:szCs w:val="20"/>
          <w:u w:val="single"/>
        </w:rPr>
      </w:pPr>
      <w:r w:rsidRPr="00D21ABE">
        <w:t>Humira may be available in other strengths and/or presentations depending on the individual treatment needs.</w:t>
      </w:r>
    </w:p>
    <w:p w14:paraId="5AB5084A" w14:textId="77777777" w:rsidR="00B62260" w:rsidRPr="00BC0E7E" w:rsidRDefault="00B62260" w:rsidP="00BC0E7E">
      <w:pPr>
        <w:rPr>
          <w:szCs w:val="22"/>
        </w:rPr>
      </w:pPr>
    </w:p>
    <w:p w14:paraId="6E0BEC80" w14:textId="77777777" w:rsidR="00BC0E7E" w:rsidRPr="00BC0E7E" w:rsidRDefault="00944B8F" w:rsidP="00BC0E7E">
      <w:pPr>
        <w:tabs>
          <w:tab w:val="clear" w:pos="562"/>
        </w:tabs>
        <w:suppressAutoHyphens w:val="0"/>
        <w:overflowPunct w:val="0"/>
        <w:autoSpaceDE w:val="0"/>
        <w:autoSpaceDN w:val="0"/>
        <w:adjustRightInd w:val="0"/>
        <w:textAlignment w:val="baseline"/>
        <w:rPr>
          <w:bCs/>
          <w:i/>
          <w:iCs/>
          <w:szCs w:val="20"/>
        </w:rPr>
      </w:pPr>
      <w:r w:rsidRPr="00BC0E7E">
        <w:rPr>
          <w:bCs/>
          <w:i/>
          <w:iCs/>
          <w:szCs w:val="20"/>
        </w:rPr>
        <w:t>Uveitis</w:t>
      </w:r>
    </w:p>
    <w:p w14:paraId="5A7CE0BC" w14:textId="77777777" w:rsidR="00BC0E7E" w:rsidRPr="00BC0E7E" w:rsidRDefault="00BC0E7E" w:rsidP="00BC0E7E">
      <w:pPr>
        <w:tabs>
          <w:tab w:val="clear" w:pos="562"/>
        </w:tabs>
        <w:suppressAutoHyphens w:val="0"/>
        <w:overflowPunct w:val="0"/>
        <w:autoSpaceDE w:val="0"/>
        <w:autoSpaceDN w:val="0"/>
        <w:adjustRightInd w:val="0"/>
        <w:textAlignment w:val="baseline"/>
        <w:rPr>
          <w:bCs/>
          <w:iCs/>
          <w:szCs w:val="20"/>
        </w:rPr>
      </w:pPr>
    </w:p>
    <w:p w14:paraId="03C67E6B" w14:textId="77777777" w:rsidR="00BC0E7E" w:rsidRPr="00BC0E7E" w:rsidRDefault="00944B8F" w:rsidP="00BC0E7E">
      <w:pPr>
        <w:rPr>
          <w:szCs w:val="22"/>
        </w:rPr>
      </w:pPr>
      <w:r w:rsidRPr="00BC0E7E">
        <w:rPr>
          <w:szCs w:val="22"/>
        </w:rPr>
        <w:t xml:space="preserve">The recommended dose of Humira for adult patients with uveitis is an initial dose of 80 mg, followed by 40 mg given every other week starting one week after the initial dose. There is limited experience in the initiation of treatment with Humira alone. Treatment with Humira can be initiated in combination with corticosteroids and/or with other non-biologic immunomodulatory agents. Concomitant corticosteroids may be tapered in accordance with clinical practice starting two weeks after initiating treatment with Humira.   </w:t>
      </w:r>
    </w:p>
    <w:p w14:paraId="70EC747C" w14:textId="77777777" w:rsidR="00BC0E7E" w:rsidRPr="00BC0E7E" w:rsidRDefault="00BC0E7E" w:rsidP="00BC0E7E">
      <w:pPr>
        <w:rPr>
          <w:szCs w:val="22"/>
        </w:rPr>
      </w:pPr>
    </w:p>
    <w:p w14:paraId="3A3D99EE" w14:textId="77777777" w:rsidR="00BC0E7E" w:rsidRPr="00BC0E7E" w:rsidRDefault="00944B8F" w:rsidP="00BC0E7E">
      <w:pPr>
        <w:rPr>
          <w:szCs w:val="22"/>
        </w:rPr>
      </w:pPr>
      <w:r w:rsidRPr="00BC0E7E">
        <w:rPr>
          <w:szCs w:val="22"/>
        </w:rPr>
        <w:t xml:space="preserve">It is recommended that the benefit and risk of continued long-term treatment should be evaluated on a yearly basis (see section 5.1).  </w:t>
      </w:r>
    </w:p>
    <w:p w14:paraId="6847140E" w14:textId="77777777" w:rsidR="006B49F3" w:rsidRDefault="006B49F3" w:rsidP="006B49F3">
      <w:pPr>
        <w:keepNext/>
        <w:rPr>
          <w:szCs w:val="22"/>
        </w:rPr>
      </w:pPr>
    </w:p>
    <w:p w14:paraId="09D939B3" w14:textId="77777777" w:rsidR="006B49F3" w:rsidRPr="002A3533" w:rsidRDefault="00944B8F" w:rsidP="006B49F3">
      <w:pPr>
        <w:keepNext/>
      </w:pPr>
      <w:r w:rsidRPr="00154096">
        <w:rPr>
          <w:szCs w:val="22"/>
        </w:rPr>
        <w:t>Humira may be available in other strengths and/or presentations depending on the individual treatment needs</w:t>
      </w:r>
      <w:r>
        <w:rPr>
          <w:szCs w:val="22"/>
        </w:rPr>
        <w:t>.</w:t>
      </w:r>
    </w:p>
    <w:p w14:paraId="6D874EFB" w14:textId="77777777" w:rsidR="00BC0E7E" w:rsidRPr="00BC0E7E" w:rsidRDefault="00BC0E7E" w:rsidP="00BC0E7E">
      <w:pPr>
        <w:rPr>
          <w:szCs w:val="22"/>
        </w:rPr>
      </w:pPr>
    </w:p>
    <w:p w14:paraId="7AEDF3E8" w14:textId="77777777" w:rsidR="009043B2" w:rsidRDefault="00944B8F" w:rsidP="00DA2334">
      <w:pPr>
        <w:keepNext/>
        <w:rPr>
          <w:u w:val="single"/>
        </w:rPr>
      </w:pPr>
      <w:r>
        <w:rPr>
          <w:u w:val="single"/>
        </w:rPr>
        <w:t>Special populations</w:t>
      </w:r>
      <w:r w:rsidRPr="00BC0E7E">
        <w:rPr>
          <w:u w:val="single"/>
        </w:rPr>
        <w:t xml:space="preserve"> </w:t>
      </w:r>
    </w:p>
    <w:p w14:paraId="15B30DE2" w14:textId="77777777" w:rsidR="009043B2" w:rsidRDefault="009043B2" w:rsidP="00DA2334">
      <w:pPr>
        <w:keepNext/>
        <w:rPr>
          <w:u w:val="single"/>
        </w:rPr>
      </w:pPr>
    </w:p>
    <w:p w14:paraId="112861A9" w14:textId="77777777" w:rsidR="00BC0E7E" w:rsidRPr="000244DF" w:rsidRDefault="00944B8F" w:rsidP="00DA2334">
      <w:pPr>
        <w:keepNext/>
      </w:pPr>
      <w:r w:rsidRPr="000244DF">
        <w:t>Elderly</w:t>
      </w:r>
    </w:p>
    <w:p w14:paraId="5537399B" w14:textId="77777777" w:rsidR="00BC0E7E" w:rsidRPr="00BC0E7E" w:rsidRDefault="00BC0E7E" w:rsidP="00DA2334">
      <w:pPr>
        <w:keepNext/>
        <w:rPr>
          <w:u w:val="single"/>
        </w:rPr>
      </w:pPr>
    </w:p>
    <w:p w14:paraId="42A9C567" w14:textId="77777777" w:rsidR="00BC0E7E" w:rsidRPr="00BC0E7E" w:rsidRDefault="00944B8F" w:rsidP="00DA2334">
      <w:pPr>
        <w:keepNext/>
      </w:pPr>
      <w:r w:rsidRPr="00BC0E7E">
        <w:t>No dose adjustment is required.</w:t>
      </w:r>
    </w:p>
    <w:p w14:paraId="0606CEF2" w14:textId="77777777" w:rsidR="00BC0E7E" w:rsidRPr="00BC0E7E" w:rsidRDefault="00BC0E7E" w:rsidP="00BC0E7E"/>
    <w:p w14:paraId="4E3DDB2D" w14:textId="77777777" w:rsidR="00BC0E7E" w:rsidRPr="000244DF" w:rsidRDefault="00944B8F" w:rsidP="00BC0E7E">
      <w:pPr>
        <w:keepNext/>
      </w:pPr>
      <w:r w:rsidRPr="000244DF">
        <w:t>Renal and/or hepatic impairment</w:t>
      </w:r>
    </w:p>
    <w:p w14:paraId="360E2F34" w14:textId="77777777" w:rsidR="00BC0E7E" w:rsidRPr="00BC0E7E" w:rsidRDefault="00BC0E7E" w:rsidP="00BC0E7E">
      <w:pPr>
        <w:keepNext/>
      </w:pPr>
    </w:p>
    <w:p w14:paraId="5935C045" w14:textId="77777777" w:rsidR="00BC0E7E" w:rsidRPr="00BC0E7E" w:rsidRDefault="00944B8F" w:rsidP="00BC0E7E">
      <w:pPr>
        <w:keepNext/>
      </w:pPr>
      <w:r w:rsidRPr="00BC0E7E">
        <w:t>Humira has not been studied in these patient populations. No dose recommendations can be made.</w:t>
      </w:r>
    </w:p>
    <w:p w14:paraId="7E1E03DC" w14:textId="77777777" w:rsidR="00BC0E7E" w:rsidRPr="00BC0E7E" w:rsidRDefault="00BC0E7E" w:rsidP="00BC0E7E"/>
    <w:p w14:paraId="6087053B" w14:textId="77777777" w:rsidR="00BC0E7E" w:rsidRPr="00EA5EEF" w:rsidRDefault="00944B8F" w:rsidP="00DD5F32">
      <w:pPr>
        <w:keepNext/>
        <w:rPr>
          <w:szCs w:val="20"/>
          <w:u w:val="single"/>
        </w:rPr>
      </w:pPr>
      <w:r w:rsidRPr="00EA5EEF">
        <w:rPr>
          <w:szCs w:val="20"/>
          <w:u w:val="single"/>
        </w:rPr>
        <w:lastRenderedPageBreak/>
        <w:t>Paediatric population</w:t>
      </w:r>
    </w:p>
    <w:p w14:paraId="36E0A172" w14:textId="77777777" w:rsidR="00BC0E7E" w:rsidRPr="00BC0E7E" w:rsidRDefault="00BC0E7E" w:rsidP="00DD5F32">
      <w:pPr>
        <w:keepNext/>
        <w:rPr>
          <w:szCs w:val="20"/>
          <w:u w:val="single"/>
        </w:rPr>
      </w:pPr>
    </w:p>
    <w:p w14:paraId="629E534D" w14:textId="77777777" w:rsidR="00BC0E7E" w:rsidRPr="00BC0E7E" w:rsidRDefault="00944B8F" w:rsidP="00DD5F32">
      <w:pPr>
        <w:keepNext/>
        <w:rPr>
          <w:i/>
          <w:szCs w:val="20"/>
        </w:rPr>
      </w:pPr>
      <w:r w:rsidRPr="00BC0E7E">
        <w:rPr>
          <w:i/>
          <w:szCs w:val="20"/>
        </w:rPr>
        <w:t>Juvenile idiopathic arthritis</w:t>
      </w:r>
    </w:p>
    <w:p w14:paraId="6EEE9659" w14:textId="77777777" w:rsidR="00BC0E7E" w:rsidRPr="00BC0E7E" w:rsidRDefault="00BC0E7E" w:rsidP="00DD5F32">
      <w:pPr>
        <w:keepNext/>
        <w:rPr>
          <w:szCs w:val="20"/>
          <w:u w:val="single"/>
        </w:rPr>
      </w:pPr>
    </w:p>
    <w:p w14:paraId="520ACB51" w14:textId="77777777" w:rsidR="00BC0E7E" w:rsidRPr="00BC0E7E" w:rsidRDefault="00944B8F" w:rsidP="00DD5F32">
      <w:pPr>
        <w:keepNext/>
        <w:rPr>
          <w:i/>
          <w:u w:val="single"/>
        </w:rPr>
      </w:pPr>
      <w:r w:rsidRPr="00BC0E7E">
        <w:rPr>
          <w:i/>
          <w:u w:val="single"/>
        </w:rPr>
        <w:t>Polyarticular juvenile idiopathic arthritis from 2 years of age</w:t>
      </w:r>
    </w:p>
    <w:p w14:paraId="0326CD5A" w14:textId="77777777" w:rsidR="00BC0E7E" w:rsidRPr="00BC0E7E" w:rsidRDefault="00BC0E7E" w:rsidP="00DD5F32">
      <w:pPr>
        <w:keepNext/>
        <w:tabs>
          <w:tab w:val="clear" w:pos="562"/>
        </w:tabs>
        <w:suppressAutoHyphens w:val="0"/>
        <w:overflowPunct w:val="0"/>
        <w:autoSpaceDE w:val="0"/>
        <w:autoSpaceDN w:val="0"/>
        <w:adjustRightInd w:val="0"/>
        <w:textAlignment w:val="baseline"/>
        <w:rPr>
          <w:bCs/>
          <w:iCs/>
          <w:szCs w:val="20"/>
          <w:u w:val="single"/>
        </w:rPr>
      </w:pPr>
    </w:p>
    <w:p w14:paraId="02A0B0E5" w14:textId="77777777" w:rsidR="00BC0E7E" w:rsidRDefault="00944B8F" w:rsidP="00DD5F32">
      <w:pPr>
        <w:keepNext/>
      </w:pPr>
      <w:r w:rsidRPr="00BC0E7E">
        <w:t>The recommended dose of Humira for patients with polyarticular juvenile idiopathic arthritis</w:t>
      </w:r>
      <w:r w:rsidR="004F68D4" w:rsidRPr="00D74BF6">
        <w:t xml:space="preserve"> </w:t>
      </w:r>
      <w:r w:rsidR="004F68D4">
        <w:t>from 2 years of age is based on body weight (Table 1).</w:t>
      </w:r>
      <w:r w:rsidR="00D67BDC">
        <w:t xml:space="preserve"> </w:t>
      </w:r>
      <w:r w:rsidR="004F68D4">
        <w:t xml:space="preserve">Humira is </w:t>
      </w:r>
      <w:r w:rsidRPr="00BC0E7E">
        <w:t>administered every other week via subcutaneous injection.</w:t>
      </w:r>
    </w:p>
    <w:p w14:paraId="69AEE156" w14:textId="77777777" w:rsidR="008F79CE" w:rsidRPr="00BC0E7E" w:rsidRDefault="008F79CE" w:rsidP="00BC0E7E">
      <w:pPr>
        <w:keepNext/>
      </w:pPr>
    </w:p>
    <w:p w14:paraId="75078E28" w14:textId="77777777" w:rsidR="008F79CE" w:rsidRPr="00900223" w:rsidRDefault="00944B8F" w:rsidP="008F79CE">
      <w:pPr>
        <w:jc w:val="center"/>
        <w:rPr>
          <w:b/>
          <w:szCs w:val="22"/>
        </w:rPr>
      </w:pPr>
      <w:r w:rsidRPr="00F8398A">
        <w:rPr>
          <w:b/>
          <w:szCs w:val="22"/>
        </w:rPr>
        <w:t xml:space="preserve">Table 1. Humira </w:t>
      </w:r>
      <w:r w:rsidRPr="00900223">
        <w:rPr>
          <w:b/>
          <w:szCs w:val="22"/>
        </w:rPr>
        <w:t>Dose for Patients with Polyarticular Juvenile Idiopathic Arthr</w:t>
      </w:r>
      <w:r w:rsidR="00237F82">
        <w:rPr>
          <w:b/>
          <w:szCs w:val="22"/>
        </w:rPr>
        <w:t>i</w:t>
      </w:r>
      <w:r w:rsidRPr="00900223">
        <w:rPr>
          <w:b/>
          <w:szCs w:val="22"/>
        </w:rPr>
        <w:t xml:space="preserve">tis </w:t>
      </w:r>
    </w:p>
    <w:p w14:paraId="3DE578A3" w14:textId="77777777" w:rsidR="008F79CE" w:rsidRPr="00900223" w:rsidRDefault="008F79CE" w:rsidP="008F79CE">
      <w:pPr>
        <w:rPr>
          <w:szCs w:val="22"/>
        </w:rPr>
      </w:pPr>
    </w:p>
    <w:tbl>
      <w:tblPr>
        <w:tblW w:w="6795" w:type="dxa"/>
        <w:jc w:val="center"/>
        <w:tblLayout w:type="fixed"/>
        <w:tblLook w:val="0000" w:firstRow="0" w:lastRow="0" w:firstColumn="0" w:lastColumn="0" w:noHBand="0" w:noVBand="0"/>
      </w:tblPr>
      <w:tblGrid>
        <w:gridCol w:w="3401"/>
        <w:gridCol w:w="3394"/>
      </w:tblGrid>
      <w:tr w:rsidR="00C6578C" w14:paraId="7A06873B" w14:textId="77777777" w:rsidTr="00930CBB">
        <w:trPr>
          <w:tblHeader/>
          <w:jc w:val="center"/>
        </w:trPr>
        <w:tc>
          <w:tcPr>
            <w:tcW w:w="3401" w:type="dxa"/>
            <w:tcBorders>
              <w:top w:val="single" w:sz="4" w:space="0" w:color="auto"/>
              <w:bottom w:val="single" w:sz="4" w:space="0" w:color="auto"/>
            </w:tcBorders>
          </w:tcPr>
          <w:p w14:paraId="2751D278" w14:textId="77777777" w:rsidR="008F79CE" w:rsidRPr="00900223" w:rsidRDefault="00944B8F" w:rsidP="00930CBB">
            <w:pPr>
              <w:pStyle w:val="TableLeft"/>
              <w:jc w:val="center"/>
              <w:rPr>
                <w:b/>
                <w:sz w:val="22"/>
                <w:szCs w:val="22"/>
              </w:rPr>
            </w:pPr>
            <w:r w:rsidRPr="00900223">
              <w:rPr>
                <w:b/>
                <w:sz w:val="22"/>
                <w:szCs w:val="22"/>
              </w:rPr>
              <w:t>Patient Weight</w:t>
            </w:r>
          </w:p>
        </w:tc>
        <w:tc>
          <w:tcPr>
            <w:tcW w:w="3394" w:type="dxa"/>
            <w:tcBorders>
              <w:top w:val="single" w:sz="4" w:space="0" w:color="auto"/>
              <w:bottom w:val="single" w:sz="4" w:space="0" w:color="auto"/>
            </w:tcBorders>
          </w:tcPr>
          <w:p w14:paraId="0904037D" w14:textId="77777777" w:rsidR="008F79CE" w:rsidRPr="00900223" w:rsidRDefault="00944B8F" w:rsidP="00930CBB">
            <w:pPr>
              <w:pStyle w:val="TableLeft"/>
              <w:jc w:val="center"/>
              <w:rPr>
                <w:b/>
                <w:sz w:val="22"/>
                <w:szCs w:val="22"/>
              </w:rPr>
            </w:pPr>
            <w:r w:rsidRPr="00900223">
              <w:rPr>
                <w:b/>
                <w:sz w:val="22"/>
                <w:szCs w:val="22"/>
              </w:rPr>
              <w:t>Dosing Regimen</w:t>
            </w:r>
          </w:p>
        </w:tc>
      </w:tr>
      <w:tr w:rsidR="00C6578C" w14:paraId="0A5DD4B0" w14:textId="77777777" w:rsidTr="00930CBB">
        <w:trPr>
          <w:tblHeader/>
          <w:jc w:val="center"/>
        </w:trPr>
        <w:tc>
          <w:tcPr>
            <w:tcW w:w="3401" w:type="dxa"/>
            <w:tcBorders>
              <w:top w:val="single" w:sz="4" w:space="0" w:color="auto"/>
              <w:bottom w:val="single" w:sz="4" w:space="0" w:color="auto"/>
            </w:tcBorders>
          </w:tcPr>
          <w:p w14:paraId="677EE4CF" w14:textId="77777777" w:rsidR="008F79CE" w:rsidRPr="00900223" w:rsidRDefault="00944B8F" w:rsidP="00930CBB">
            <w:pPr>
              <w:pStyle w:val="TableLeft"/>
              <w:jc w:val="center"/>
              <w:rPr>
                <w:b/>
                <w:sz w:val="22"/>
                <w:szCs w:val="22"/>
              </w:rPr>
            </w:pPr>
            <w:r w:rsidRPr="00900223">
              <w:rPr>
                <w:sz w:val="22"/>
                <w:szCs w:val="22"/>
              </w:rPr>
              <w:t>10 kg to &lt; 30 kg</w:t>
            </w:r>
          </w:p>
        </w:tc>
        <w:tc>
          <w:tcPr>
            <w:tcW w:w="3394" w:type="dxa"/>
            <w:tcBorders>
              <w:top w:val="single" w:sz="4" w:space="0" w:color="auto"/>
              <w:bottom w:val="single" w:sz="4" w:space="0" w:color="auto"/>
            </w:tcBorders>
          </w:tcPr>
          <w:p w14:paraId="0A1CB524" w14:textId="77777777" w:rsidR="008F79CE" w:rsidRPr="00900223" w:rsidRDefault="00944B8F" w:rsidP="00930CBB">
            <w:pPr>
              <w:pStyle w:val="TableLeft"/>
              <w:jc w:val="center"/>
              <w:rPr>
                <w:b/>
                <w:sz w:val="22"/>
                <w:szCs w:val="22"/>
              </w:rPr>
            </w:pPr>
            <w:r w:rsidRPr="00900223">
              <w:rPr>
                <w:sz w:val="22"/>
                <w:szCs w:val="22"/>
              </w:rPr>
              <w:t>20 mg every other week</w:t>
            </w:r>
          </w:p>
        </w:tc>
      </w:tr>
      <w:tr w:rsidR="00C6578C" w14:paraId="7DA30E31" w14:textId="77777777" w:rsidTr="00930CBB">
        <w:trPr>
          <w:tblHeader/>
          <w:jc w:val="center"/>
        </w:trPr>
        <w:tc>
          <w:tcPr>
            <w:tcW w:w="3401" w:type="dxa"/>
            <w:tcBorders>
              <w:top w:val="single" w:sz="4" w:space="0" w:color="auto"/>
              <w:bottom w:val="single" w:sz="4" w:space="0" w:color="auto"/>
            </w:tcBorders>
          </w:tcPr>
          <w:p w14:paraId="4CB516AA" w14:textId="77777777" w:rsidR="008F79CE" w:rsidRPr="00900223" w:rsidRDefault="00944B8F" w:rsidP="00930CBB">
            <w:pPr>
              <w:pStyle w:val="TableLeft"/>
              <w:jc w:val="center"/>
              <w:rPr>
                <w:b/>
                <w:sz w:val="22"/>
                <w:szCs w:val="22"/>
              </w:rPr>
            </w:pPr>
            <w:r w:rsidRPr="00900223">
              <w:rPr>
                <w:sz w:val="22"/>
                <w:szCs w:val="22"/>
              </w:rPr>
              <w:t>≥ 30 kg</w:t>
            </w:r>
          </w:p>
        </w:tc>
        <w:tc>
          <w:tcPr>
            <w:tcW w:w="3394" w:type="dxa"/>
            <w:tcBorders>
              <w:top w:val="single" w:sz="4" w:space="0" w:color="auto"/>
              <w:bottom w:val="single" w:sz="4" w:space="0" w:color="auto"/>
            </w:tcBorders>
          </w:tcPr>
          <w:p w14:paraId="5A335079" w14:textId="77777777" w:rsidR="008F79CE" w:rsidRPr="00900223" w:rsidRDefault="00944B8F" w:rsidP="00930CBB">
            <w:pPr>
              <w:pStyle w:val="TableLeft"/>
              <w:jc w:val="center"/>
              <w:rPr>
                <w:b/>
                <w:sz w:val="22"/>
                <w:szCs w:val="22"/>
              </w:rPr>
            </w:pPr>
            <w:r w:rsidRPr="00900223">
              <w:rPr>
                <w:sz w:val="22"/>
                <w:szCs w:val="22"/>
              </w:rPr>
              <w:t>40 mg every other week</w:t>
            </w:r>
          </w:p>
        </w:tc>
      </w:tr>
    </w:tbl>
    <w:p w14:paraId="73645EA4" w14:textId="77777777" w:rsidR="00BC0E7E" w:rsidRPr="00BC0E7E" w:rsidRDefault="00BC0E7E" w:rsidP="00BC0E7E"/>
    <w:p w14:paraId="6C8FA8B2" w14:textId="77777777" w:rsidR="00BC0E7E" w:rsidRPr="00BC0E7E" w:rsidRDefault="00944B8F" w:rsidP="00BC0E7E">
      <w:r w:rsidRPr="00BC0E7E">
        <w:t>Available data suggest that clinical response is usually achieved within 12 weeks of treatment. Continued therapy should be carefully reconsidered in a patient not responding within this time period.</w:t>
      </w:r>
    </w:p>
    <w:p w14:paraId="5E479CE3" w14:textId="77777777" w:rsidR="00BC0E7E" w:rsidRPr="00BC0E7E" w:rsidRDefault="00BC0E7E" w:rsidP="00BC0E7E"/>
    <w:p w14:paraId="7C5AA3C7" w14:textId="77777777" w:rsidR="00BC0E7E" w:rsidRPr="00BC0E7E" w:rsidRDefault="00944B8F" w:rsidP="00BC0E7E">
      <w:r w:rsidRPr="00BC0E7E">
        <w:t>There is no relevant use of Humira in patients aged </w:t>
      </w:r>
      <w:r w:rsidR="008F79CE">
        <w:t>less than</w:t>
      </w:r>
      <w:r w:rsidRPr="00BC0E7E">
        <w:t> 2 years for this indication.</w:t>
      </w:r>
    </w:p>
    <w:p w14:paraId="3C49F80A" w14:textId="77777777" w:rsidR="00AA751B" w:rsidRDefault="00AA751B" w:rsidP="00AA751B">
      <w:pPr>
        <w:keepNext/>
        <w:rPr>
          <w:szCs w:val="22"/>
        </w:rPr>
      </w:pPr>
    </w:p>
    <w:p w14:paraId="7CBD5D17" w14:textId="77777777" w:rsidR="00AA751B" w:rsidRPr="002A3533" w:rsidRDefault="00944B8F" w:rsidP="00AA751B">
      <w:pPr>
        <w:keepNext/>
      </w:pPr>
      <w:r w:rsidRPr="00154096">
        <w:rPr>
          <w:szCs w:val="22"/>
        </w:rPr>
        <w:t>Humira may be available in other strengths and/or presentations depending on the individual treatment needs</w:t>
      </w:r>
      <w:r>
        <w:rPr>
          <w:szCs w:val="22"/>
        </w:rPr>
        <w:t>.</w:t>
      </w:r>
    </w:p>
    <w:p w14:paraId="07A923CF" w14:textId="77777777" w:rsidR="00BC0E7E" w:rsidRPr="00BC0E7E" w:rsidRDefault="00BC0E7E" w:rsidP="00BC0E7E"/>
    <w:p w14:paraId="7ECF77C4" w14:textId="77777777" w:rsidR="00BC0E7E" w:rsidRPr="00BC0E7E" w:rsidRDefault="00944B8F" w:rsidP="00BC0E7E">
      <w:pPr>
        <w:tabs>
          <w:tab w:val="clear" w:pos="562"/>
        </w:tabs>
        <w:suppressAutoHyphens w:val="0"/>
        <w:rPr>
          <w:i/>
          <w:szCs w:val="22"/>
          <w:u w:val="single"/>
        </w:rPr>
      </w:pPr>
      <w:bookmarkStart w:id="8484" w:name="_Hlk35868261"/>
      <w:r w:rsidRPr="00BC0E7E">
        <w:rPr>
          <w:i/>
          <w:szCs w:val="22"/>
          <w:u w:val="single"/>
        </w:rPr>
        <w:t>Enthesitis-related arthritis</w:t>
      </w:r>
    </w:p>
    <w:bookmarkEnd w:id="8484"/>
    <w:p w14:paraId="7832838D" w14:textId="77777777" w:rsidR="00BC0E7E" w:rsidRPr="00BC0E7E" w:rsidRDefault="00BC0E7E" w:rsidP="00BC0E7E">
      <w:pPr>
        <w:tabs>
          <w:tab w:val="clear" w:pos="562"/>
        </w:tabs>
        <w:suppressAutoHyphens w:val="0"/>
        <w:rPr>
          <w:b/>
          <w:i/>
          <w:szCs w:val="22"/>
        </w:rPr>
      </w:pPr>
    </w:p>
    <w:p w14:paraId="44EDA10C" w14:textId="77777777" w:rsidR="008F79CE" w:rsidRPr="002A3533" w:rsidRDefault="00944B8F" w:rsidP="008F79CE">
      <w:r w:rsidRPr="00BC0E7E">
        <w:rPr>
          <w:szCs w:val="22"/>
        </w:rPr>
        <w:t xml:space="preserve">The recommended dose of Humira for patients with enthesitis-related arthritis </w:t>
      </w:r>
      <w:r>
        <w:rPr>
          <w:szCs w:val="22"/>
        </w:rPr>
        <w:t xml:space="preserve">from </w:t>
      </w:r>
      <w:r w:rsidRPr="00BC0E7E">
        <w:rPr>
          <w:bCs/>
          <w:iCs/>
          <w:szCs w:val="22"/>
        </w:rPr>
        <w:t>6 years of age</w:t>
      </w:r>
      <w:r w:rsidRPr="008F79CE">
        <w:rPr>
          <w:bCs/>
          <w:iCs/>
          <w:szCs w:val="22"/>
        </w:rPr>
        <w:t xml:space="preserve"> </w:t>
      </w:r>
      <w:r>
        <w:rPr>
          <w:bCs/>
          <w:iCs/>
          <w:szCs w:val="22"/>
        </w:rPr>
        <w:t>is based on body weight (Table 2).</w:t>
      </w:r>
      <w:r w:rsidRPr="002A3533">
        <w:rPr>
          <w:bCs/>
          <w:iCs/>
          <w:szCs w:val="22"/>
        </w:rPr>
        <w:t xml:space="preserve"> </w:t>
      </w:r>
      <w:r w:rsidRPr="00BC0E7E">
        <w:rPr>
          <w:szCs w:val="22"/>
        </w:rPr>
        <w:t xml:space="preserve"> </w:t>
      </w:r>
      <w:r>
        <w:rPr>
          <w:szCs w:val="22"/>
        </w:rPr>
        <w:t xml:space="preserve">Humira is </w:t>
      </w:r>
      <w:r w:rsidRPr="00BC0E7E">
        <w:rPr>
          <w:szCs w:val="22"/>
        </w:rPr>
        <w:t>administered every other week via subcutaneous injection.</w:t>
      </w:r>
    </w:p>
    <w:p w14:paraId="6B4827B1" w14:textId="77777777" w:rsidR="008F79CE" w:rsidRDefault="008F79CE" w:rsidP="008F79CE">
      <w:pPr>
        <w:pStyle w:val="gtcbodytext"/>
        <w:spacing w:before="0" w:after="0" w:line="240" w:lineRule="auto"/>
        <w:rPr>
          <w:sz w:val="22"/>
          <w:szCs w:val="22"/>
        </w:rPr>
      </w:pPr>
    </w:p>
    <w:p w14:paraId="4A27A570" w14:textId="77777777" w:rsidR="008F79CE" w:rsidRPr="00BF005B" w:rsidRDefault="00944B8F" w:rsidP="008F79CE">
      <w:pPr>
        <w:jc w:val="center"/>
        <w:rPr>
          <w:b/>
          <w:szCs w:val="22"/>
        </w:rPr>
      </w:pPr>
      <w:r w:rsidRPr="00987440">
        <w:rPr>
          <w:b/>
          <w:szCs w:val="22"/>
        </w:rPr>
        <w:t>Table</w:t>
      </w:r>
      <w:r w:rsidRPr="00BF005B">
        <w:rPr>
          <w:b/>
          <w:szCs w:val="22"/>
        </w:rPr>
        <w:t xml:space="preserve"> 2. Humira Dose for Patients with Enthesitis-Related Arthr</w:t>
      </w:r>
      <w:r>
        <w:rPr>
          <w:b/>
          <w:szCs w:val="22"/>
        </w:rPr>
        <w:t>i</w:t>
      </w:r>
      <w:r w:rsidRPr="00BF005B">
        <w:rPr>
          <w:b/>
          <w:szCs w:val="22"/>
        </w:rPr>
        <w:t xml:space="preserve">tis </w:t>
      </w:r>
    </w:p>
    <w:p w14:paraId="6E02A881" w14:textId="77777777" w:rsidR="008F79CE" w:rsidRPr="00BF005B" w:rsidRDefault="008F79CE" w:rsidP="008F79CE">
      <w:pPr>
        <w:rPr>
          <w:szCs w:val="22"/>
        </w:rPr>
      </w:pPr>
    </w:p>
    <w:tbl>
      <w:tblPr>
        <w:tblW w:w="6795" w:type="dxa"/>
        <w:jc w:val="center"/>
        <w:tblLayout w:type="fixed"/>
        <w:tblLook w:val="0000" w:firstRow="0" w:lastRow="0" w:firstColumn="0" w:lastColumn="0" w:noHBand="0" w:noVBand="0"/>
      </w:tblPr>
      <w:tblGrid>
        <w:gridCol w:w="3401"/>
        <w:gridCol w:w="3394"/>
      </w:tblGrid>
      <w:tr w:rsidR="00C6578C" w14:paraId="073E0DD5" w14:textId="77777777" w:rsidTr="00930CBB">
        <w:trPr>
          <w:tblHeader/>
          <w:jc w:val="center"/>
        </w:trPr>
        <w:tc>
          <w:tcPr>
            <w:tcW w:w="3401" w:type="dxa"/>
            <w:tcBorders>
              <w:top w:val="single" w:sz="4" w:space="0" w:color="auto"/>
              <w:bottom w:val="single" w:sz="4" w:space="0" w:color="auto"/>
            </w:tcBorders>
          </w:tcPr>
          <w:p w14:paraId="77074F80" w14:textId="77777777" w:rsidR="008F79CE" w:rsidRPr="00BF005B" w:rsidRDefault="00944B8F" w:rsidP="00930CBB">
            <w:pPr>
              <w:pStyle w:val="TableLeft"/>
              <w:jc w:val="center"/>
              <w:rPr>
                <w:b/>
                <w:sz w:val="22"/>
                <w:szCs w:val="22"/>
              </w:rPr>
            </w:pPr>
            <w:r w:rsidRPr="00BF005B">
              <w:rPr>
                <w:b/>
                <w:sz w:val="22"/>
                <w:szCs w:val="22"/>
              </w:rPr>
              <w:t>Patient Weight</w:t>
            </w:r>
          </w:p>
        </w:tc>
        <w:tc>
          <w:tcPr>
            <w:tcW w:w="3394" w:type="dxa"/>
            <w:tcBorders>
              <w:top w:val="single" w:sz="4" w:space="0" w:color="auto"/>
              <w:bottom w:val="single" w:sz="4" w:space="0" w:color="auto"/>
            </w:tcBorders>
          </w:tcPr>
          <w:p w14:paraId="6E81DE67" w14:textId="77777777" w:rsidR="008F79CE" w:rsidRPr="00BF005B" w:rsidRDefault="00944B8F" w:rsidP="00930CBB">
            <w:pPr>
              <w:pStyle w:val="TableLeft"/>
              <w:jc w:val="center"/>
              <w:rPr>
                <w:b/>
                <w:sz w:val="22"/>
                <w:szCs w:val="22"/>
              </w:rPr>
            </w:pPr>
            <w:r w:rsidRPr="00BF005B">
              <w:rPr>
                <w:b/>
                <w:sz w:val="22"/>
                <w:szCs w:val="22"/>
              </w:rPr>
              <w:t>Dosing Regimen</w:t>
            </w:r>
          </w:p>
        </w:tc>
      </w:tr>
      <w:tr w:rsidR="00C6578C" w14:paraId="589AB4A8" w14:textId="77777777" w:rsidTr="00930CBB">
        <w:trPr>
          <w:tblHeader/>
          <w:jc w:val="center"/>
        </w:trPr>
        <w:tc>
          <w:tcPr>
            <w:tcW w:w="3401" w:type="dxa"/>
            <w:tcBorders>
              <w:top w:val="single" w:sz="4" w:space="0" w:color="auto"/>
              <w:bottom w:val="single" w:sz="4" w:space="0" w:color="auto"/>
            </w:tcBorders>
          </w:tcPr>
          <w:p w14:paraId="72A553F5" w14:textId="77777777" w:rsidR="008F79CE" w:rsidRPr="00BF005B" w:rsidRDefault="00944B8F" w:rsidP="00930CBB">
            <w:pPr>
              <w:pStyle w:val="TableLeft"/>
              <w:jc w:val="center"/>
              <w:rPr>
                <w:b/>
                <w:sz w:val="22"/>
                <w:szCs w:val="22"/>
              </w:rPr>
            </w:pPr>
            <w:r w:rsidRPr="00BF005B">
              <w:rPr>
                <w:sz w:val="22"/>
                <w:szCs w:val="22"/>
              </w:rPr>
              <w:t>1</w:t>
            </w:r>
            <w:r>
              <w:rPr>
                <w:sz w:val="22"/>
                <w:szCs w:val="22"/>
              </w:rPr>
              <w:t>5</w:t>
            </w:r>
            <w:r w:rsidRPr="00BF005B">
              <w:rPr>
                <w:sz w:val="22"/>
                <w:szCs w:val="22"/>
              </w:rPr>
              <w:t xml:space="preserve"> kg to &lt; 30 kg</w:t>
            </w:r>
          </w:p>
        </w:tc>
        <w:tc>
          <w:tcPr>
            <w:tcW w:w="3394" w:type="dxa"/>
            <w:tcBorders>
              <w:top w:val="single" w:sz="4" w:space="0" w:color="auto"/>
              <w:bottom w:val="single" w:sz="4" w:space="0" w:color="auto"/>
            </w:tcBorders>
          </w:tcPr>
          <w:p w14:paraId="4B92C4F4" w14:textId="77777777" w:rsidR="008F79CE" w:rsidRPr="00BF005B" w:rsidRDefault="00944B8F" w:rsidP="00930CBB">
            <w:pPr>
              <w:pStyle w:val="TableLeft"/>
              <w:jc w:val="center"/>
              <w:rPr>
                <w:b/>
                <w:sz w:val="22"/>
                <w:szCs w:val="22"/>
              </w:rPr>
            </w:pPr>
            <w:r w:rsidRPr="00BF005B">
              <w:rPr>
                <w:sz w:val="22"/>
                <w:szCs w:val="22"/>
              </w:rPr>
              <w:t>20 mg every other week</w:t>
            </w:r>
          </w:p>
        </w:tc>
      </w:tr>
      <w:tr w:rsidR="00C6578C" w14:paraId="10A02806" w14:textId="77777777" w:rsidTr="00930CBB">
        <w:trPr>
          <w:tblHeader/>
          <w:jc w:val="center"/>
        </w:trPr>
        <w:tc>
          <w:tcPr>
            <w:tcW w:w="3401" w:type="dxa"/>
            <w:tcBorders>
              <w:top w:val="single" w:sz="4" w:space="0" w:color="auto"/>
              <w:bottom w:val="single" w:sz="4" w:space="0" w:color="auto"/>
            </w:tcBorders>
          </w:tcPr>
          <w:p w14:paraId="42118013" w14:textId="77777777" w:rsidR="008F79CE" w:rsidRPr="00BF005B" w:rsidRDefault="00944B8F" w:rsidP="00930CBB">
            <w:pPr>
              <w:pStyle w:val="TableLeft"/>
              <w:jc w:val="center"/>
              <w:rPr>
                <w:b/>
                <w:sz w:val="22"/>
                <w:szCs w:val="22"/>
              </w:rPr>
            </w:pPr>
            <w:r w:rsidRPr="00BF005B">
              <w:rPr>
                <w:sz w:val="22"/>
                <w:szCs w:val="22"/>
              </w:rPr>
              <w:t>≥ 30 kg</w:t>
            </w:r>
          </w:p>
        </w:tc>
        <w:tc>
          <w:tcPr>
            <w:tcW w:w="3394" w:type="dxa"/>
            <w:tcBorders>
              <w:top w:val="single" w:sz="4" w:space="0" w:color="auto"/>
              <w:bottom w:val="single" w:sz="4" w:space="0" w:color="auto"/>
            </w:tcBorders>
          </w:tcPr>
          <w:p w14:paraId="346B3A16" w14:textId="77777777" w:rsidR="008F79CE" w:rsidRPr="00BF005B" w:rsidRDefault="00944B8F" w:rsidP="00930CBB">
            <w:pPr>
              <w:pStyle w:val="TableLeft"/>
              <w:jc w:val="center"/>
              <w:rPr>
                <w:b/>
                <w:sz w:val="22"/>
                <w:szCs w:val="22"/>
              </w:rPr>
            </w:pPr>
            <w:r w:rsidRPr="00BF005B">
              <w:rPr>
                <w:sz w:val="22"/>
                <w:szCs w:val="22"/>
              </w:rPr>
              <w:t>40 mg every other week</w:t>
            </w:r>
          </w:p>
        </w:tc>
      </w:tr>
    </w:tbl>
    <w:p w14:paraId="6B2C3356" w14:textId="77777777" w:rsidR="00BC0E7E" w:rsidRPr="00BC0E7E" w:rsidRDefault="00BC0E7E" w:rsidP="00BC0E7E">
      <w:pPr>
        <w:tabs>
          <w:tab w:val="clear" w:pos="562"/>
        </w:tabs>
        <w:suppressAutoHyphens w:val="0"/>
        <w:rPr>
          <w:szCs w:val="22"/>
        </w:rPr>
      </w:pPr>
    </w:p>
    <w:p w14:paraId="19BA5D2F" w14:textId="77777777" w:rsidR="00BC0E7E" w:rsidRPr="00BC0E7E" w:rsidRDefault="00944B8F" w:rsidP="00BC0E7E">
      <w:pPr>
        <w:tabs>
          <w:tab w:val="clear" w:pos="562"/>
        </w:tabs>
        <w:suppressAutoHyphens w:val="0"/>
        <w:rPr>
          <w:szCs w:val="22"/>
        </w:rPr>
      </w:pPr>
      <w:r w:rsidRPr="00BC0E7E">
        <w:rPr>
          <w:szCs w:val="22"/>
        </w:rPr>
        <w:t>Humira has not been studied in patients with enthesitis-related arthritis aged less than 6 years.</w:t>
      </w:r>
    </w:p>
    <w:p w14:paraId="1D95A021" w14:textId="77777777" w:rsidR="00AA751B" w:rsidRDefault="00AA751B" w:rsidP="00AA751B">
      <w:pPr>
        <w:keepNext/>
        <w:rPr>
          <w:szCs w:val="22"/>
        </w:rPr>
      </w:pPr>
    </w:p>
    <w:p w14:paraId="102CD37B" w14:textId="77777777" w:rsidR="00AA751B" w:rsidRPr="002A3533" w:rsidRDefault="00944B8F" w:rsidP="00AA751B">
      <w:pPr>
        <w:keepNext/>
      </w:pPr>
      <w:r w:rsidRPr="00154096">
        <w:rPr>
          <w:szCs w:val="22"/>
        </w:rPr>
        <w:t>Humira may be available in other strengths and/or presentations depending on the individual treatment needs</w:t>
      </w:r>
      <w:r>
        <w:rPr>
          <w:szCs w:val="22"/>
        </w:rPr>
        <w:t>.</w:t>
      </w:r>
    </w:p>
    <w:p w14:paraId="22B9BFB8" w14:textId="77777777" w:rsidR="00BC0E7E" w:rsidRPr="00BC0E7E" w:rsidRDefault="00BC0E7E" w:rsidP="00BC0E7E"/>
    <w:p w14:paraId="4AFCCBDC" w14:textId="77777777" w:rsidR="00793324" w:rsidRPr="00BC0E7E" w:rsidRDefault="00944B8F" w:rsidP="00793324">
      <w:pPr>
        <w:rPr>
          <w:szCs w:val="20"/>
          <w:u w:val="single"/>
        </w:rPr>
      </w:pPr>
      <w:r w:rsidRPr="00BC0E7E">
        <w:rPr>
          <w:i/>
          <w:szCs w:val="20"/>
        </w:rPr>
        <w:t>Psoriatic arthritis and axial spondyloarthritis including ankylosing spondyliti</w:t>
      </w:r>
      <w:r w:rsidRPr="00BC0E7E">
        <w:rPr>
          <w:szCs w:val="20"/>
          <w:u w:val="single"/>
        </w:rPr>
        <w:t>s</w:t>
      </w:r>
    </w:p>
    <w:p w14:paraId="5F25A4D7" w14:textId="77777777" w:rsidR="00793324" w:rsidRPr="00BC0E7E" w:rsidRDefault="00793324" w:rsidP="00793324">
      <w:pPr>
        <w:rPr>
          <w:szCs w:val="20"/>
          <w:u w:val="single"/>
        </w:rPr>
      </w:pPr>
    </w:p>
    <w:p w14:paraId="4231B7DA" w14:textId="77777777" w:rsidR="00793324" w:rsidRPr="00BC0E7E" w:rsidRDefault="00944B8F" w:rsidP="00793324">
      <w:pPr>
        <w:rPr>
          <w:szCs w:val="20"/>
        </w:rPr>
      </w:pPr>
      <w:r w:rsidRPr="00BC0E7E">
        <w:rPr>
          <w:szCs w:val="20"/>
        </w:rPr>
        <w:t>There is no relevant use of Humira in the paediatric population for the indications of ankylosing spondylitis and psoriatic arthritis.</w:t>
      </w:r>
    </w:p>
    <w:p w14:paraId="086707AE" w14:textId="77777777" w:rsidR="00793324" w:rsidRPr="00BC0E7E" w:rsidRDefault="00793324" w:rsidP="00793324">
      <w:pPr>
        <w:rPr>
          <w:szCs w:val="20"/>
        </w:rPr>
      </w:pPr>
    </w:p>
    <w:p w14:paraId="739E5DBF" w14:textId="77777777" w:rsidR="00BC0E7E" w:rsidRPr="00BC0E7E" w:rsidRDefault="00944B8F" w:rsidP="00BC0E7E">
      <w:pPr>
        <w:keepNext/>
      </w:pPr>
      <w:r w:rsidRPr="00BC0E7E">
        <w:rPr>
          <w:i/>
        </w:rPr>
        <w:t>Paediatric plaque psoriasis</w:t>
      </w:r>
    </w:p>
    <w:p w14:paraId="1D7F69CA" w14:textId="77777777" w:rsidR="00BC0E7E" w:rsidRPr="00BC0E7E" w:rsidRDefault="00BC0E7E" w:rsidP="00BC0E7E">
      <w:pPr>
        <w:keepNext/>
        <w:rPr>
          <w:szCs w:val="20"/>
        </w:rPr>
      </w:pPr>
    </w:p>
    <w:p w14:paraId="3C0A3889" w14:textId="77777777" w:rsidR="008F79CE" w:rsidRDefault="00944B8F" w:rsidP="008F79CE">
      <w:pPr>
        <w:pStyle w:val="EMEAHeadingUnderline"/>
        <w:keepNext/>
        <w:spacing w:beforeLines="0" w:afterLines="0"/>
        <w:rPr>
          <w:u w:val="none"/>
        </w:rPr>
      </w:pPr>
      <w:r w:rsidRPr="0046545C">
        <w:rPr>
          <w:u w:val="none"/>
        </w:rPr>
        <w:t xml:space="preserve">The recommended Humira dose </w:t>
      </w:r>
      <w:r>
        <w:rPr>
          <w:u w:val="none"/>
        </w:rPr>
        <w:t xml:space="preserve">for patients with plaque psoriasis from 4 to 17 years of age is based on body weight (Table 3). </w:t>
      </w:r>
      <w:r w:rsidRPr="00A06B15">
        <w:rPr>
          <w:u w:val="none"/>
        </w:rPr>
        <w:t>Humira is administered via subcutaneous injection.</w:t>
      </w:r>
      <w:r w:rsidRPr="002A3533">
        <w:rPr>
          <w:u w:val="none"/>
        </w:rPr>
        <w:t xml:space="preserve"> </w:t>
      </w:r>
    </w:p>
    <w:p w14:paraId="6F27A48D" w14:textId="77777777" w:rsidR="008F79CE" w:rsidRDefault="008F79CE" w:rsidP="008F79CE">
      <w:pPr>
        <w:pStyle w:val="EMEAHeadingUnderline"/>
        <w:spacing w:beforeLines="0" w:afterLines="0"/>
        <w:rPr>
          <w:u w:val="none"/>
        </w:rPr>
      </w:pPr>
    </w:p>
    <w:p w14:paraId="5EE0ABAF" w14:textId="77777777" w:rsidR="008F79CE" w:rsidRPr="00840AC3" w:rsidRDefault="00944B8F" w:rsidP="008F79CE">
      <w:pPr>
        <w:keepNext/>
        <w:jc w:val="center"/>
        <w:rPr>
          <w:b/>
          <w:szCs w:val="22"/>
        </w:rPr>
      </w:pPr>
      <w:r w:rsidRPr="00754D21">
        <w:rPr>
          <w:b/>
          <w:szCs w:val="22"/>
        </w:rPr>
        <w:lastRenderedPageBreak/>
        <w:t xml:space="preserve">Table 3. Humira Dose </w:t>
      </w:r>
      <w:r w:rsidRPr="008E3986">
        <w:rPr>
          <w:b/>
          <w:szCs w:val="22"/>
        </w:rPr>
        <w:t>for Paediat</w:t>
      </w:r>
      <w:r>
        <w:rPr>
          <w:b/>
          <w:szCs w:val="22"/>
        </w:rPr>
        <w:t xml:space="preserve">ric Patients with Plaque Psoriasis </w:t>
      </w:r>
    </w:p>
    <w:p w14:paraId="6C273928" w14:textId="77777777" w:rsidR="008F79CE" w:rsidRPr="00BF005B" w:rsidRDefault="008F79CE" w:rsidP="008F79CE">
      <w:pPr>
        <w:keepNext/>
        <w:rPr>
          <w:szCs w:val="22"/>
        </w:rPr>
      </w:pPr>
    </w:p>
    <w:tbl>
      <w:tblPr>
        <w:tblW w:w="6795" w:type="dxa"/>
        <w:jc w:val="center"/>
        <w:tblLayout w:type="fixed"/>
        <w:tblLook w:val="0000" w:firstRow="0" w:lastRow="0" w:firstColumn="0" w:lastColumn="0" w:noHBand="0" w:noVBand="0"/>
      </w:tblPr>
      <w:tblGrid>
        <w:gridCol w:w="3401"/>
        <w:gridCol w:w="3394"/>
      </w:tblGrid>
      <w:tr w:rsidR="00C6578C" w14:paraId="408639EB" w14:textId="77777777" w:rsidTr="00930CBB">
        <w:trPr>
          <w:tblHeader/>
          <w:jc w:val="center"/>
        </w:trPr>
        <w:tc>
          <w:tcPr>
            <w:tcW w:w="3401" w:type="dxa"/>
            <w:tcBorders>
              <w:top w:val="single" w:sz="4" w:space="0" w:color="auto"/>
              <w:bottom w:val="single" w:sz="4" w:space="0" w:color="auto"/>
            </w:tcBorders>
          </w:tcPr>
          <w:p w14:paraId="37C8928B" w14:textId="77777777" w:rsidR="008F79CE" w:rsidRPr="00BF005B" w:rsidRDefault="00944B8F" w:rsidP="00930CBB">
            <w:pPr>
              <w:pStyle w:val="TableLeft"/>
              <w:jc w:val="center"/>
              <w:rPr>
                <w:b/>
                <w:sz w:val="22"/>
                <w:szCs w:val="22"/>
              </w:rPr>
            </w:pPr>
            <w:r w:rsidRPr="00BF005B">
              <w:rPr>
                <w:b/>
                <w:sz w:val="22"/>
                <w:szCs w:val="22"/>
              </w:rPr>
              <w:t>Patient Weight</w:t>
            </w:r>
          </w:p>
        </w:tc>
        <w:tc>
          <w:tcPr>
            <w:tcW w:w="3394" w:type="dxa"/>
            <w:tcBorders>
              <w:top w:val="single" w:sz="4" w:space="0" w:color="auto"/>
              <w:bottom w:val="single" w:sz="4" w:space="0" w:color="auto"/>
            </w:tcBorders>
          </w:tcPr>
          <w:p w14:paraId="24AA9E43" w14:textId="77777777" w:rsidR="008F79CE" w:rsidRPr="00E1540C" w:rsidRDefault="00944B8F" w:rsidP="00930CBB">
            <w:pPr>
              <w:pStyle w:val="TableLeft"/>
              <w:jc w:val="center"/>
              <w:rPr>
                <w:b/>
                <w:sz w:val="22"/>
                <w:szCs w:val="22"/>
              </w:rPr>
            </w:pPr>
            <w:r w:rsidRPr="00E1540C">
              <w:rPr>
                <w:b/>
                <w:sz w:val="22"/>
                <w:szCs w:val="22"/>
              </w:rPr>
              <w:t>Dosing Regimen</w:t>
            </w:r>
          </w:p>
        </w:tc>
      </w:tr>
      <w:tr w:rsidR="00C6578C" w14:paraId="02FAA281" w14:textId="77777777" w:rsidTr="00930CBB">
        <w:trPr>
          <w:tblHeader/>
          <w:jc w:val="center"/>
        </w:trPr>
        <w:tc>
          <w:tcPr>
            <w:tcW w:w="3401" w:type="dxa"/>
            <w:tcBorders>
              <w:top w:val="single" w:sz="4" w:space="0" w:color="auto"/>
              <w:bottom w:val="single" w:sz="4" w:space="0" w:color="auto"/>
            </w:tcBorders>
          </w:tcPr>
          <w:p w14:paraId="7868D472" w14:textId="77777777" w:rsidR="008F79CE" w:rsidRPr="00BF005B" w:rsidRDefault="00944B8F" w:rsidP="00930CBB">
            <w:pPr>
              <w:pStyle w:val="TableLeft"/>
              <w:jc w:val="center"/>
              <w:rPr>
                <w:b/>
                <w:sz w:val="22"/>
                <w:szCs w:val="22"/>
              </w:rPr>
            </w:pPr>
            <w:r w:rsidRPr="00BF005B">
              <w:rPr>
                <w:sz w:val="22"/>
                <w:szCs w:val="22"/>
              </w:rPr>
              <w:t>1</w:t>
            </w:r>
            <w:r>
              <w:rPr>
                <w:sz w:val="22"/>
                <w:szCs w:val="22"/>
              </w:rPr>
              <w:t>5</w:t>
            </w:r>
            <w:r w:rsidRPr="00BF005B">
              <w:rPr>
                <w:sz w:val="22"/>
                <w:szCs w:val="22"/>
              </w:rPr>
              <w:t xml:space="preserve"> kg to &lt; 30 kg</w:t>
            </w:r>
          </w:p>
        </w:tc>
        <w:tc>
          <w:tcPr>
            <w:tcW w:w="3394" w:type="dxa"/>
            <w:tcBorders>
              <w:top w:val="single" w:sz="4" w:space="0" w:color="auto"/>
              <w:bottom w:val="single" w:sz="4" w:space="0" w:color="auto"/>
            </w:tcBorders>
          </w:tcPr>
          <w:p w14:paraId="68AAFEB7" w14:textId="77777777" w:rsidR="008F79CE" w:rsidRPr="00E1540C" w:rsidRDefault="00944B8F" w:rsidP="00930CBB">
            <w:pPr>
              <w:pStyle w:val="TableLeft"/>
              <w:jc w:val="center"/>
              <w:rPr>
                <w:b/>
                <w:sz w:val="22"/>
                <w:szCs w:val="22"/>
              </w:rPr>
            </w:pPr>
            <w:r w:rsidRPr="00E1540C">
              <w:rPr>
                <w:sz w:val="22"/>
                <w:szCs w:val="22"/>
              </w:rPr>
              <w:t xml:space="preserve">Initial dose of 20 mg, followed by 20 mg given every other week starting one week after the initial dose </w:t>
            </w:r>
          </w:p>
        </w:tc>
      </w:tr>
      <w:tr w:rsidR="00C6578C" w14:paraId="7284DC39" w14:textId="77777777" w:rsidTr="00930CBB">
        <w:trPr>
          <w:tblHeader/>
          <w:jc w:val="center"/>
        </w:trPr>
        <w:tc>
          <w:tcPr>
            <w:tcW w:w="3401" w:type="dxa"/>
            <w:tcBorders>
              <w:top w:val="single" w:sz="4" w:space="0" w:color="auto"/>
              <w:bottom w:val="single" w:sz="4" w:space="0" w:color="auto"/>
            </w:tcBorders>
          </w:tcPr>
          <w:p w14:paraId="6438D12E" w14:textId="77777777" w:rsidR="008F79CE" w:rsidRPr="00BF005B" w:rsidRDefault="00944B8F" w:rsidP="00930CBB">
            <w:pPr>
              <w:pStyle w:val="TableLeft"/>
              <w:jc w:val="center"/>
              <w:rPr>
                <w:b/>
                <w:sz w:val="22"/>
                <w:szCs w:val="22"/>
              </w:rPr>
            </w:pPr>
            <w:r w:rsidRPr="00BF005B">
              <w:rPr>
                <w:sz w:val="22"/>
                <w:szCs w:val="22"/>
              </w:rPr>
              <w:t>≥ 30 kg</w:t>
            </w:r>
          </w:p>
        </w:tc>
        <w:tc>
          <w:tcPr>
            <w:tcW w:w="3394" w:type="dxa"/>
            <w:tcBorders>
              <w:top w:val="single" w:sz="4" w:space="0" w:color="auto"/>
              <w:bottom w:val="single" w:sz="4" w:space="0" w:color="auto"/>
            </w:tcBorders>
          </w:tcPr>
          <w:p w14:paraId="72BDB2E4" w14:textId="77777777" w:rsidR="008F79CE" w:rsidRPr="00E1540C" w:rsidRDefault="00944B8F" w:rsidP="00930CBB">
            <w:pPr>
              <w:pStyle w:val="TableLeft"/>
              <w:jc w:val="center"/>
              <w:rPr>
                <w:b/>
                <w:sz w:val="22"/>
                <w:szCs w:val="22"/>
              </w:rPr>
            </w:pPr>
            <w:r w:rsidRPr="00E1540C">
              <w:rPr>
                <w:sz w:val="22"/>
                <w:szCs w:val="22"/>
              </w:rPr>
              <w:t>Initial dose of 40 mg, followed by 40 mg given every other week starting one week after the initial dose</w:t>
            </w:r>
          </w:p>
        </w:tc>
      </w:tr>
    </w:tbl>
    <w:p w14:paraId="6E01593C" w14:textId="77777777" w:rsidR="008F79CE" w:rsidRDefault="008F79CE" w:rsidP="008F79CE">
      <w:pPr>
        <w:pStyle w:val="EMEAHeadingUnderline"/>
        <w:keepNext/>
        <w:spacing w:beforeLines="0" w:afterLines="0"/>
        <w:rPr>
          <w:u w:val="none"/>
        </w:rPr>
      </w:pPr>
    </w:p>
    <w:p w14:paraId="44C94D9B" w14:textId="77777777" w:rsidR="00BC0E7E" w:rsidRPr="00BC0E7E" w:rsidRDefault="00944B8F" w:rsidP="00BC0E7E">
      <w:pPr>
        <w:keepNext/>
        <w:rPr>
          <w:szCs w:val="20"/>
        </w:rPr>
      </w:pPr>
      <w:r w:rsidRPr="00BC0E7E">
        <w:rPr>
          <w:szCs w:val="20"/>
        </w:rPr>
        <w:t>Continued therapy beyond 16 weeks should be carefully considered in a patient not responding within this time period.</w:t>
      </w:r>
    </w:p>
    <w:p w14:paraId="79B3020E" w14:textId="77777777" w:rsidR="00BC0E7E" w:rsidRPr="00BC0E7E" w:rsidRDefault="00BC0E7E" w:rsidP="00BC0E7E">
      <w:pPr>
        <w:rPr>
          <w:szCs w:val="20"/>
        </w:rPr>
      </w:pPr>
    </w:p>
    <w:p w14:paraId="6362CF9D" w14:textId="77777777" w:rsidR="00BC0E7E" w:rsidRPr="00BC0E7E" w:rsidRDefault="00944B8F" w:rsidP="00BC0E7E">
      <w:pPr>
        <w:rPr>
          <w:szCs w:val="20"/>
        </w:rPr>
      </w:pPr>
      <w:r w:rsidRPr="00BC0E7E">
        <w:rPr>
          <w:szCs w:val="20"/>
        </w:rPr>
        <w:t>If retreatment with Humira is indicated, the above guidance on dose and treatment duration should be followed.</w:t>
      </w:r>
    </w:p>
    <w:p w14:paraId="60C3B60A" w14:textId="77777777" w:rsidR="00BC0E7E" w:rsidRPr="00BC0E7E" w:rsidRDefault="00BC0E7E" w:rsidP="00BC0E7E">
      <w:pPr>
        <w:rPr>
          <w:szCs w:val="20"/>
        </w:rPr>
      </w:pPr>
    </w:p>
    <w:p w14:paraId="4F2B8F13" w14:textId="77777777" w:rsidR="003D6101" w:rsidRPr="00BC0E7E" w:rsidRDefault="00944B8F" w:rsidP="00BC0E7E">
      <w:pPr>
        <w:rPr>
          <w:szCs w:val="20"/>
        </w:rPr>
      </w:pPr>
      <w:r w:rsidRPr="00BC0E7E">
        <w:rPr>
          <w:szCs w:val="20"/>
        </w:rPr>
        <w:t>The safety of Humira in paediatric patients with plaque psoriasis has been assessed for a mean of 13 months.</w:t>
      </w:r>
    </w:p>
    <w:p w14:paraId="551CA5E4" w14:textId="77777777" w:rsidR="00BC0E7E" w:rsidRPr="00BC0E7E" w:rsidRDefault="00BC0E7E" w:rsidP="00BC0E7E">
      <w:pPr>
        <w:rPr>
          <w:szCs w:val="20"/>
        </w:rPr>
      </w:pPr>
    </w:p>
    <w:p w14:paraId="4714FB70" w14:textId="77777777" w:rsidR="00BC0E7E" w:rsidRPr="00BC0E7E" w:rsidRDefault="00944B8F" w:rsidP="00BC0E7E">
      <w:pPr>
        <w:rPr>
          <w:szCs w:val="20"/>
        </w:rPr>
      </w:pPr>
      <w:r w:rsidRPr="00BC0E7E">
        <w:rPr>
          <w:szCs w:val="20"/>
        </w:rPr>
        <w:t>There is no relevant use of Humira in children aged less than 4 years for this indication.</w:t>
      </w:r>
    </w:p>
    <w:p w14:paraId="0AFEC8D7" w14:textId="77777777" w:rsidR="00AA751B" w:rsidRDefault="00AA751B" w:rsidP="00AA751B">
      <w:pPr>
        <w:keepNext/>
        <w:rPr>
          <w:szCs w:val="22"/>
        </w:rPr>
      </w:pPr>
    </w:p>
    <w:p w14:paraId="6B6B88B7" w14:textId="77777777" w:rsidR="00AA751B" w:rsidRPr="002A3533" w:rsidRDefault="00944B8F" w:rsidP="00AA751B">
      <w:pPr>
        <w:keepNext/>
      </w:pPr>
      <w:r w:rsidRPr="00154096">
        <w:rPr>
          <w:szCs w:val="22"/>
        </w:rPr>
        <w:t>Humira may be available in other strengths and/or presentations depending on the individual treatment needs</w:t>
      </w:r>
      <w:r>
        <w:rPr>
          <w:szCs w:val="22"/>
        </w:rPr>
        <w:t>.</w:t>
      </w:r>
    </w:p>
    <w:p w14:paraId="1768BF8E" w14:textId="77777777" w:rsidR="00BC0E7E" w:rsidRPr="00BC0E7E" w:rsidRDefault="00BC0E7E" w:rsidP="00BC0E7E"/>
    <w:p w14:paraId="288973CB" w14:textId="77777777" w:rsidR="00BC0E7E" w:rsidRPr="00BC0E7E" w:rsidRDefault="00944B8F" w:rsidP="00BC0E7E">
      <w:pPr>
        <w:keepNext/>
        <w:rPr>
          <w:i/>
        </w:rPr>
      </w:pPr>
      <w:r w:rsidRPr="00BC0E7E">
        <w:rPr>
          <w:i/>
        </w:rPr>
        <w:t>Adolescent hidradenitis suppurativa (from 12 years of age, weighing at least 30 kg)</w:t>
      </w:r>
    </w:p>
    <w:p w14:paraId="3C2BF7FB" w14:textId="77777777" w:rsidR="00BC0E7E" w:rsidRPr="00BC0E7E" w:rsidRDefault="00BC0E7E" w:rsidP="00BC0E7E">
      <w:pPr>
        <w:keepNext/>
        <w:rPr>
          <w:i/>
        </w:rPr>
      </w:pPr>
    </w:p>
    <w:p w14:paraId="7DD52BBA" w14:textId="77777777" w:rsidR="00BC0E7E" w:rsidRPr="00BC0E7E" w:rsidRDefault="00944B8F" w:rsidP="00BC0E7E">
      <w:pPr>
        <w:rPr>
          <w:shd w:val="clear" w:color="auto" w:fill="FFFFFF"/>
        </w:rPr>
      </w:pPr>
      <w:r w:rsidRPr="00BC0E7E">
        <w:t>There are no clinical trials with Humira in adolescent patients with HS.  The posology of Humira in these patients has been determined from pharmacokinetic modelling and simulation (see section 5.2).</w:t>
      </w:r>
    </w:p>
    <w:p w14:paraId="75FB6CB6" w14:textId="77777777" w:rsidR="00BC0E7E" w:rsidRPr="00BC0E7E" w:rsidRDefault="00BC0E7E" w:rsidP="00BC0E7E">
      <w:pPr>
        <w:rPr>
          <w:szCs w:val="20"/>
        </w:rPr>
      </w:pPr>
    </w:p>
    <w:p w14:paraId="498682EB" w14:textId="77777777" w:rsidR="00BC0E7E" w:rsidRPr="00BC0E7E" w:rsidRDefault="00944B8F" w:rsidP="00BC0E7E">
      <w:pPr>
        <w:rPr>
          <w:szCs w:val="20"/>
        </w:rPr>
      </w:pPr>
      <w:r w:rsidRPr="00BC0E7E">
        <w:rPr>
          <w:szCs w:val="20"/>
        </w:rPr>
        <w:t>Th</w:t>
      </w:r>
      <w:r w:rsidR="0046545C">
        <w:rPr>
          <w:szCs w:val="20"/>
        </w:rPr>
        <w:t>e recommended Humira dose is 80 mg at Week 0 followed by 40 </w:t>
      </w:r>
      <w:r w:rsidRPr="00BC0E7E">
        <w:rPr>
          <w:szCs w:val="20"/>
        </w:rPr>
        <w:t xml:space="preserve">mg every other week starting at Week 1 via subcutaneous injection. </w:t>
      </w:r>
    </w:p>
    <w:p w14:paraId="48595480" w14:textId="77777777" w:rsidR="00BC0E7E" w:rsidRPr="00BC0E7E" w:rsidRDefault="00BC0E7E" w:rsidP="00BC0E7E">
      <w:pPr>
        <w:rPr>
          <w:szCs w:val="20"/>
        </w:rPr>
      </w:pPr>
    </w:p>
    <w:p w14:paraId="260B9841" w14:textId="77777777" w:rsidR="00BC0E7E" w:rsidRPr="00BC0E7E" w:rsidRDefault="00944B8F" w:rsidP="00BC0E7E">
      <w:r w:rsidRPr="00BC0E7E">
        <w:t>In adolescent patients with i</w:t>
      </w:r>
      <w:r w:rsidR="0046545C">
        <w:t>nadequate response to Humira 40 </w:t>
      </w:r>
      <w:r w:rsidRPr="00BC0E7E">
        <w:t>mg every other week, an inc</w:t>
      </w:r>
      <w:r w:rsidR="0046545C">
        <w:t xml:space="preserve">rease in </w:t>
      </w:r>
      <w:r w:rsidR="001F67CD">
        <w:t>dosage</w:t>
      </w:r>
      <w:r w:rsidR="0046545C">
        <w:t xml:space="preserve"> to 40 </w:t>
      </w:r>
      <w:r w:rsidRPr="00BC0E7E">
        <w:t>mg every week</w:t>
      </w:r>
      <w:r w:rsidR="007B560E">
        <w:t xml:space="preserve"> or 80 mg every other week</w:t>
      </w:r>
      <w:r w:rsidRPr="00BC0E7E">
        <w:t xml:space="preserve"> may be considered.</w:t>
      </w:r>
    </w:p>
    <w:p w14:paraId="25DCC2B7" w14:textId="77777777" w:rsidR="00BC0E7E" w:rsidRPr="00BC0E7E" w:rsidRDefault="00BC0E7E" w:rsidP="00BC0E7E">
      <w:pPr>
        <w:rPr>
          <w:szCs w:val="20"/>
        </w:rPr>
      </w:pPr>
    </w:p>
    <w:p w14:paraId="2126BCCD" w14:textId="77777777" w:rsidR="00BC0E7E" w:rsidRPr="00BC0E7E" w:rsidRDefault="00944B8F" w:rsidP="00BC0E7E">
      <w:pPr>
        <w:rPr>
          <w:szCs w:val="20"/>
        </w:rPr>
      </w:pPr>
      <w:r w:rsidRPr="00BC0E7E">
        <w:rPr>
          <w:szCs w:val="20"/>
        </w:rPr>
        <w:t xml:space="preserve">Antibiotics may be continued during treatment with Humira if necessary.  It is recommended that the patient should use a topical antiseptic wash on their HS lesions on a daily basis during treatment with Humira. </w:t>
      </w:r>
    </w:p>
    <w:p w14:paraId="6625C18A" w14:textId="77777777" w:rsidR="00BC0E7E" w:rsidRPr="00BC0E7E" w:rsidRDefault="00BC0E7E" w:rsidP="00BC0E7E">
      <w:pPr>
        <w:rPr>
          <w:szCs w:val="20"/>
        </w:rPr>
      </w:pPr>
    </w:p>
    <w:p w14:paraId="517EA665" w14:textId="77777777" w:rsidR="00BC0E7E" w:rsidRPr="00BC0E7E" w:rsidRDefault="00944B8F" w:rsidP="00BC0E7E">
      <w:pPr>
        <w:rPr>
          <w:szCs w:val="20"/>
        </w:rPr>
      </w:pPr>
      <w:r w:rsidRPr="00BC0E7E">
        <w:rPr>
          <w:szCs w:val="20"/>
        </w:rPr>
        <w:t xml:space="preserve">Continued therapy beyond 12 weeks should be carefully reconsidered in a patient with no improvement within this time period.  </w:t>
      </w:r>
    </w:p>
    <w:p w14:paraId="02C253AD" w14:textId="77777777" w:rsidR="00BC0E7E" w:rsidRPr="00BC0E7E" w:rsidRDefault="00BC0E7E" w:rsidP="00BC0E7E">
      <w:pPr>
        <w:rPr>
          <w:i/>
        </w:rPr>
      </w:pPr>
    </w:p>
    <w:p w14:paraId="7410C54C" w14:textId="77777777" w:rsidR="00BC0E7E" w:rsidRPr="00BC0E7E" w:rsidRDefault="00944B8F" w:rsidP="00BC0E7E">
      <w:pPr>
        <w:rPr>
          <w:szCs w:val="20"/>
        </w:rPr>
      </w:pPr>
      <w:r w:rsidRPr="00BC0E7E">
        <w:rPr>
          <w:szCs w:val="20"/>
        </w:rPr>
        <w:t>Should treatment be interrupted, Humira may be re-introduced as appropriate.</w:t>
      </w:r>
    </w:p>
    <w:p w14:paraId="426DF052" w14:textId="77777777" w:rsidR="00BC0E7E" w:rsidRPr="00BC0E7E" w:rsidRDefault="00BC0E7E" w:rsidP="00BC0E7E">
      <w:pPr>
        <w:rPr>
          <w:szCs w:val="20"/>
        </w:rPr>
      </w:pPr>
    </w:p>
    <w:p w14:paraId="0EA94000" w14:textId="77777777" w:rsidR="00BC0E7E" w:rsidRPr="00BC0E7E" w:rsidRDefault="00944B8F" w:rsidP="00BC0E7E">
      <w:pPr>
        <w:rPr>
          <w:szCs w:val="20"/>
        </w:rPr>
      </w:pPr>
      <w:r w:rsidRPr="00BC0E7E">
        <w:rPr>
          <w:szCs w:val="20"/>
        </w:rPr>
        <w:t>The benefit and risk of continued long-term treatment should be periodically evaluated (see adult data in section 5.1)</w:t>
      </w:r>
    </w:p>
    <w:p w14:paraId="0E08FB0C" w14:textId="77777777" w:rsidR="00487394" w:rsidRPr="00BC0E7E" w:rsidRDefault="00487394" w:rsidP="00BC0E7E">
      <w:pPr>
        <w:rPr>
          <w:szCs w:val="20"/>
        </w:rPr>
      </w:pPr>
    </w:p>
    <w:p w14:paraId="0993B3EF" w14:textId="77777777" w:rsidR="00BC0E7E" w:rsidRPr="00BC0E7E" w:rsidRDefault="00944B8F" w:rsidP="00BC0E7E">
      <w:r w:rsidRPr="00BC0E7E">
        <w:t>There is no relevant use of Humira in children aged less than 12 years in this indication.</w:t>
      </w:r>
    </w:p>
    <w:p w14:paraId="026A90A0" w14:textId="77777777" w:rsidR="00AA751B" w:rsidRDefault="00AA751B" w:rsidP="00AA751B">
      <w:pPr>
        <w:keepNext/>
        <w:rPr>
          <w:szCs w:val="22"/>
        </w:rPr>
      </w:pPr>
    </w:p>
    <w:p w14:paraId="4D3AF176" w14:textId="77777777" w:rsidR="00AA751B" w:rsidRPr="002A3533" w:rsidRDefault="00944B8F" w:rsidP="00AA751B">
      <w:pPr>
        <w:keepNext/>
      </w:pPr>
      <w:r w:rsidRPr="00154096">
        <w:rPr>
          <w:szCs w:val="22"/>
        </w:rPr>
        <w:t>Humira may be available in other strengths and/or presentations depending on the individual treatment needs</w:t>
      </w:r>
      <w:r>
        <w:rPr>
          <w:szCs w:val="22"/>
        </w:rPr>
        <w:t>.</w:t>
      </w:r>
    </w:p>
    <w:p w14:paraId="694E2391" w14:textId="77777777" w:rsidR="00BC0E7E" w:rsidRPr="00BC0E7E" w:rsidRDefault="00BC0E7E" w:rsidP="00BC0E7E"/>
    <w:p w14:paraId="75B77180" w14:textId="77777777" w:rsidR="00BC0E7E" w:rsidRPr="00BC0E7E" w:rsidRDefault="00944B8F" w:rsidP="00BC0E7E">
      <w:pPr>
        <w:keepNext/>
        <w:rPr>
          <w:i/>
        </w:rPr>
      </w:pPr>
      <w:r w:rsidRPr="00BC0E7E">
        <w:rPr>
          <w:i/>
        </w:rPr>
        <w:t>Paediatric Crohn's disease</w:t>
      </w:r>
    </w:p>
    <w:p w14:paraId="198A370F" w14:textId="77777777" w:rsidR="00BC0E7E" w:rsidRPr="00BC0E7E" w:rsidRDefault="00BC0E7E" w:rsidP="00BC0E7E">
      <w:pPr>
        <w:keepNext/>
        <w:rPr>
          <w:u w:val="single"/>
        </w:rPr>
      </w:pPr>
    </w:p>
    <w:p w14:paraId="666F0227" w14:textId="77777777" w:rsidR="008F79CE" w:rsidRDefault="00944B8F" w:rsidP="008F79CE">
      <w:pPr>
        <w:rPr>
          <w:szCs w:val="22"/>
        </w:rPr>
      </w:pPr>
      <w:r w:rsidRPr="00E20D59">
        <w:rPr>
          <w:szCs w:val="22"/>
        </w:rPr>
        <w:t xml:space="preserve">The recommended dose of Humira for patients with </w:t>
      </w:r>
      <w:r>
        <w:rPr>
          <w:szCs w:val="22"/>
        </w:rPr>
        <w:t>Crohn’s disease from 6</w:t>
      </w:r>
      <w:r w:rsidRPr="00E20D59">
        <w:rPr>
          <w:szCs w:val="22"/>
        </w:rPr>
        <w:t xml:space="preserve"> </w:t>
      </w:r>
      <w:r>
        <w:rPr>
          <w:szCs w:val="22"/>
        </w:rPr>
        <w:t>to 17 </w:t>
      </w:r>
      <w:r w:rsidRPr="00E20D59">
        <w:rPr>
          <w:szCs w:val="22"/>
        </w:rPr>
        <w:t>years</w:t>
      </w:r>
      <w:r>
        <w:rPr>
          <w:szCs w:val="22"/>
        </w:rPr>
        <w:t xml:space="preserve"> of age is</w:t>
      </w:r>
      <w:r w:rsidRPr="00E20D59">
        <w:rPr>
          <w:szCs w:val="22"/>
        </w:rPr>
        <w:t xml:space="preserve"> based on </w:t>
      </w:r>
      <w:r>
        <w:rPr>
          <w:szCs w:val="22"/>
        </w:rPr>
        <w:t xml:space="preserve">body </w:t>
      </w:r>
      <w:r w:rsidRPr="00E20D59">
        <w:rPr>
          <w:szCs w:val="22"/>
        </w:rPr>
        <w:t>weight</w:t>
      </w:r>
      <w:r>
        <w:rPr>
          <w:szCs w:val="22"/>
        </w:rPr>
        <w:t xml:space="preserve"> (Table 4).</w:t>
      </w:r>
      <w:r w:rsidRPr="00E20D59">
        <w:rPr>
          <w:szCs w:val="22"/>
        </w:rPr>
        <w:t xml:space="preserve"> </w:t>
      </w:r>
      <w:r>
        <w:rPr>
          <w:szCs w:val="22"/>
        </w:rPr>
        <w:t xml:space="preserve">Humira is </w:t>
      </w:r>
      <w:r w:rsidRPr="00E20D59">
        <w:rPr>
          <w:szCs w:val="22"/>
        </w:rPr>
        <w:t>administered via subcutaneous injection.</w:t>
      </w:r>
    </w:p>
    <w:p w14:paraId="4BB28BDA" w14:textId="77777777" w:rsidR="008F79CE" w:rsidRDefault="008F79CE" w:rsidP="008F79CE">
      <w:pPr>
        <w:rPr>
          <w:szCs w:val="22"/>
        </w:rPr>
      </w:pPr>
    </w:p>
    <w:p w14:paraId="1BAC0370" w14:textId="77777777" w:rsidR="008F79CE" w:rsidRDefault="00944B8F" w:rsidP="008F79CE">
      <w:pPr>
        <w:jc w:val="center"/>
        <w:rPr>
          <w:b/>
          <w:szCs w:val="22"/>
        </w:rPr>
      </w:pPr>
      <w:r w:rsidRPr="00840AC3">
        <w:rPr>
          <w:b/>
          <w:szCs w:val="22"/>
        </w:rPr>
        <w:t xml:space="preserve">Table </w:t>
      </w:r>
      <w:r>
        <w:rPr>
          <w:b/>
          <w:szCs w:val="22"/>
        </w:rPr>
        <w:t>4</w:t>
      </w:r>
      <w:r w:rsidRPr="00840AC3">
        <w:rPr>
          <w:b/>
          <w:szCs w:val="22"/>
        </w:rPr>
        <w:t>. Humira Do</w:t>
      </w:r>
      <w:r w:rsidRPr="00A41D77">
        <w:rPr>
          <w:b/>
          <w:szCs w:val="22"/>
        </w:rPr>
        <w:t xml:space="preserve">se </w:t>
      </w:r>
      <w:r>
        <w:rPr>
          <w:b/>
          <w:szCs w:val="22"/>
        </w:rPr>
        <w:t>for Paediatric Patients with Crohn’s disease</w:t>
      </w:r>
    </w:p>
    <w:p w14:paraId="310C9FFA" w14:textId="77777777" w:rsidR="008F79CE" w:rsidRDefault="008F79CE" w:rsidP="008F79CE"/>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72"/>
        <w:gridCol w:w="6853"/>
        <w:gridCol w:w="1577"/>
      </w:tblGrid>
      <w:tr w:rsidR="00C6578C" w14:paraId="127E3617" w14:textId="77777777" w:rsidTr="00930CBB">
        <w:trPr>
          <w:tblHeader/>
        </w:trPr>
        <w:tc>
          <w:tcPr>
            <w:tcW w:w="0" w:type="auto"/>
            <w:tcBorders>
              <w:top w:val="single" w:sz="6" w:space="0" w:color="000000"/>
              <w:left w:val="single" w:sz="6" w:space="0" w:color="000000"/>
              <w:bottom w:val="single" w:sz="6" w:space="0" w:color="000000"/>
              <w:right w:val="single" w:sz="6" w:space="0" w:color="000000"/>
            </w:tcBorders>
            <w:hideMark/>
          </w:tcPr>
          <w:p w14:paraId="4C620DD1" w14:textId="77777777" w:rsidR="008F79CE" w:rsidRDefault="00944B8F" w:rsidP="00930CBB">
            <w:pPr>
              <w:jc w:val="center"/>
            </w:pPr>
            <w:r>
              <w:rPr>
                <w:b/>
              </w:rPr>
              <w:t>Patient Weight</w:t>
            </w:r>
          </w:p>
        </w:tc>
        <w:tc>
          <w:tcPr>
            <w:tcW w:w="0" w:type="auto"/>
            <w:tcBorders>
              <w:top w:val="single" w:sz="6" w:space="0" w:color="000000"/>
              <w:left w:val="single" w:sz="6" w:space="0" w:color="000000"/>
              <w:bottom w:val="single" w:sz="6" w:space="0" w:color="000000"/>
              <w:right w:val="single" w:sz="6" w:space="0" w:color="000000"/>
            </w:tcBorders>
            <w:hideMark/>
          </w:tcPr>
          <w:p w14:paraId="68B8D627" w14:textId="77777777" w:rsidR="008F79CE" w:rsidRDefault="00944B8F" w:rsidP="00930CBB">
            <w:pPr>
              <w:jc w:val="center"/>
            </w:pPr>
            <w:r>
              <w:rPr>
                <w:b/>
              </w:rPr>
              <w:t>Induction Dose</w:t>
            </w:r>
          </w:p>
        </w:tc>
        <w:tc>
          <w:tcPr>
            <w:tcW w:w="0" w:type="auto"/>
            <w:tcBorders>
              <w:top w:val="single" w:sz="6" w:space="0" w:color="000000"/>
              <w:left w:val="single" w:sz="6" w:space="0" w:color="000000"/>
              <w:bottom w:val="single" w:sz="6" w:space="0" w:color="000000"/>
              <w:right w:val="single" w:sz="6" w:space="0" w:color="000000"/>
            </w:tcBorders>
            <w:hideMark/>
          </w:tcPr>
          <w:p w14:paraId="15FC7E19" w14:textId="77777777" w:rsidR="008F79CE" w:rsidRDefault="00944B8F" w:rsidP="00930CBB">
            <w:pPr>
              <w:jc w:val="center"/>
            </w:pPr>
            <w:r>
              <w:rPr>
                <w:b/>
              </w:rPr>
              <w:t>Maintenance Dose</w:t>
            </w:r>
            <w:r>
              <w:rPr>
                <w:b/>
              </w:rPr>
              <w:br/>
              <w:t>Starting at Week 4</w:t>
            </w:r>
          </w:p>
        </w:tc>
      </w:tr>
      <w:tr w:rsidR="00C6578C" w14:paraId="5339A7AC" w14:textId="77777777" w:rsidTr="00930CBB">
        <w:tc>
          <w:tcPr>
            <w:tcW w:w="0" w:type="auto"/>
            <w:tcBorders>
              <w:top w:val="single" w:sz="6" w:space="0" w:color="000000"/>
              <w:left w:val="single" w:sz="6" w:space="0" w:color="000000"/>
              <w:bottom w:val="single" w:sz="6" w:space="0" w:color="000000"/>
              <w:right w:val="single" w:sz="6" w:space="0" w:color="000000"/>
            </w:tcBorders>
            <w:hideMark/>
          </w:tcPr>
          <w:p w14:paraId="0EEDBBE4" w14:textId="77777777" w:rsidR="008F79CE" w:rsidRDefault="00944B8F" w:rsidP="00930CBB">
            <w:pPr>
              <w:jc w:val="center"/>
            </w:pPr>
            <w:r>
              <w:t>&lt; 40 kg</w:t>
            </w:r>
          </w:p>
        </w:tc>
        <w:tc>
          <w:tcPr>
            <w:tcW w:w="0" w:type="auto"/>
            <w:tcBorders>
              <w:top w:val="single" w:sz="6" w:space="0" w:color="000000"/>
              <w:left w:val="single" w:sz="6" w:space="0" w:color="000000"/>
              <w:bottom w:val="single" w:sz="6" w:space="0" w:color="000000"/>
              <w:right w:val="single" w:sz="6" w:space="0" w:color="000000"/>
            </w:tcBorders>
            <w:hideMark/>
          </w:tcPr>
          <w:p w14:paraId="514DE1C2" w14:textId="77777777" w:rsidR="008F79CE" w:rsidRPr="00F8398A" w:rsidRDefault="00944B8F" w:rsidP="003B17FF">
            <w:pPr>
              <w:numPr>
                <w:ilvl w:val="0"/>
                <w:numId w:val="88"/>
              </w:numPr>
              <w:tabs>
                <w:tab w:val="clear" w:pos="562"/>
              </w:tabs>
              <w:suppressAutoHyphens w:val="0"/>
              <w:ind w:left="307" w:hanging="180"/>
              <w:rPr>
                <w:szCs w:val="22"/>
              </w:rPr>
            </w:pPr>
            <w:r w:rsidRPr="00F8398A">
              <w:rPr>
                <w:szCs w:val="22"/>
              </w:rPr>
              <w:t xml:space="preserve">40 mg at </w:t>
            </w:r>
            <w:r w:rsidR="004776BD">
              <w:rPr>
                <w:szCs w:val="22"/>
              </w:rPr>
              <w:t>w</w:t>
            </w:r>
            <w:r w:rsidRPr="00F8398A">
              <w:rPr>
                <w:szCs w:val="22"/>
              </w:rPr>
              <w:t xml:space="preserve">eek 0 and 20 mg at </w:t>
            </w:r>
            <w:r w:rsidR="004776BD">
              <w:rPr>
                <w:szCs w:val="22"/>
              </w:rPr>
              <w:t>w</w:t>
            </w:r>
            <w:r w:rsidRPr="00F8398A">
              <w:rPr>
                <w:szCs w:val="22"/>
              </w:rPr>
              <w:t>eek 2</w:t>
            </w:r>
          </w:p>
          <w:p w14:paraId="33DAB7B4" w14:textId="77777777" w:rsidR="008F79CE" w:rsidRPr="00F8398A" w:rsidRDefault="008F79CE" w:rsidP="00930CBB">
            <w:pPr>
              <w:tabs>
                <w:tab w:val="clear" w:pos="562"/>
              </w:tabs>
              <w:suppressAutoHyphens w:val="0"/>
              <w:ind w:left="337"/>
              <w:rPr>
                <w:szCs w:val="22"/>
              </w:rPr>
            </w:pPr>
          </w:p>
          <w:p w14:paraId="68C64144" w14:textId="77777777" w:rsidR="008F79CE" w:rsidRPr="00F8398A" w:rsidRDefault="00944B8F" w:rsidP="00930CBB">
            <w:pPr>
              <w:tabs>
                <w:tab w:val="clear" w:pos="562"/>
              </w:tabs>
              <w:suppressAutoHyphens w:val="0"/>
              <w:ind w:left="150"/>
              <w:rPr>
                <w:szCs w:val="22"/>
              </w:rPr>
            </w:pPr>
            <w:r w:rsidRPr="00F8398A">
              <w:rPr>
                <w:szCs w:val="22"/>
              </w:rPr>
              <w:t xml:space="preserve">In case there is a need for a more rapid response to therapy </w:t>
            </w:r>
            <w:r w:rsidRPr="00F8398A">
              <w:rPr>
                <w:iCs/>
                <w:szCs w:val="22"/>
              </w:rPr>
              <w:t>with the awareness that the risk for adverse events may be higher with use of the higher induction dose, the following dose may be used:</w:t>
            </w:r>
          </w:p>
          <w:p w14:paraId="18C2B57B" w14:textId="77777777" w:rsidR="008F79CE" w:rsidRPr="00F8398A" w:rsidRDefault="00944B8F" w:rsidP="003B17FF">
            <w:pPr>
              <w:numPr>
                <w:ilvl w:val="0"/>
                <w:numId w:val="90"/>
              </w:numPr>
              <w:tabs>
                <w:tab w:val="clear" w:pos="562"/>
              </w:tabs>
              <w:suppressAutoHyphens w:val="0"/>
              <w:ind w:left="307" w:hanging="180"/>
              <w:rPr>
                <w:iCs/>
                <w:szCs w:val="22"/>
              </w:rPr>
            </w:pPr>
            <w:r>
              <w:rPr>
                <w:szCs w:val="22"/>
              </w:rPr>
              <w:t>80 mg at w</w:t>
            </w:r>
            <w:r w:rsidRPr="00F8398A">
              <w:rPr>
                <w:szCs w:val="22"/>
              </w:rPr>
              <w:t xml:space="preserve">eek 0 and 40 mg at </w:t>
            </w:r>
            <w:r>
              <w:rPr>
                <w:szCs w:val="22"/>
              </w:rPr>
              <w:t>w</w:t>
            </w:r>
            <w:r w:rsidRPr="00F8398A">
              <w:rPr>
                <w:szCs w:val="22"/>
              </w:rPr>
              <w:t>eek 2</w:t>
            </w:r>
          </w:p>
        </w:tc>
        <w:tc>
          <w:tcPr>
            <w:tcW w:w="0" w:type="auto"/>
            <w:tcBorders>
              <w:top w:val="single" w:sz="6" w:space="0" w:color="000000"/>
              <w:left w:val="single" w:sz="6" w:space="0" w:color="000000"/>
              <w:bottom w:val="single" w:sz="6" w:space="0" w:color="000000"/>
              <w:right w:val="single" w:sz="6" w:space="0" w:color="000000"/>
            </w:tcBorders>
            <w:hideMark/>
          </w:tcPr>
          <w:p w14:paraId="00B8F91E" w14:textId="77777777" w:rsidR="008F79CE" w:rsidRDefault="00944B8F" w:rsidP="00930CBB">
            <w:pPr>
              <w:tabs>
                <w:tab w:val="clear" w:pos="562"/>
              </w:tabs>
              <w:suppressAutoHyphens w:val="0"/>
              <w:ind w:left="16"/>
              <w:jc w:val="center"/>
            </w:pPr>
            <w:r>
              <w:t>20 mg every other week</w:t>
            </w:r>
          </w:p>
        </w:tc>
      </w:tr>
      <w:tr w:rsidR="00C6578C" w14:paraId="79AE38CE" w14:textId="77777777" w:rsidTr="00930CBB">
        <w:tc>
          <w:tcPr>
            <w:tcW w:w="0" w:type="auto"/>
            <w:tcBorders>
              <w:top w:val="single" w:sz="6" w:space="0" w:color="000000"/>
              <w:left w:val="single" w:sz="6" w:space="0" w:color="000000"/>
              <w:bottom w:val="single" w:sz="6" w:space="0" w:color="000000"/>
              <w:right w:val="single" w:sz="6" w:space="0" w:color="000000"/>
            </w:tcBorders>
            <w:hideMark/>
          </w:tcPr>
          <w:p w14:paraId="65E25F07" w14:textId="77777777" w:rsidR="008F79CE" w:rsidRDefault="00944B8F" w:rsidP="00930CBB">
            <w:pPr>
              <w:jc w:val="center"/>
            </w:pPr>
            <w:r>
              <w:t>≥ 40 kg</w:t>
            </w:r>
          </w:p>
        </w:tc>
        <w:tc>
          <w:tcPr>
            <w:tcW w:w="0" w:type="auto"/>
            <w:tcBorders>
              <w:top w:val="single" w:sz="6" w:space="0" w:color="000000"/>
              <w:left w:val="single" w:sz="6" w:space="0" w:color="000000"/>
              <w:bottom w:val="single" w:sz="6" w:space="0" w:color="000000"/>
              <w:right w:val="single" w:sz="6" w:space="0" w:color="000000"/>
            </w:tcBorders>
            <w:hideMark/>
          </w:tcPr>
          <w:p w14:paraId="38648A47" w14:textId="77777777" w:rsidR="008F79CE" w:rsidRPr="00F8398A" w:rsidRDefault="00944B8F" w:rsidP="003B17FF">
            <w:pPr>
              <w:numPr>
                <w:ilvl w:val="0"/>
                <w:numId w:val="91"/>
              </w:numPr>
              <w:tabs>
                <w:tab w:val="clear" w:pos="562"/>
              </w:tabs>
              <w:suppressAutoHyphens w:val="0"/>
              <w:ind w:left="307" w:hanging="175"/>
              <w:rPr>
                <w:szCs w:val="22"/>
              </w:rPr>
            </w:pPr>
            <w:r>
              <w:rPr>
                <w:szCs w:val="22"/>
              </w:rPr>
              <w:t>80 mg at week 0 and 40 mg at w</w:t>
            </w:r>
            <w:r w:rsidRPr="00F8398A">
              <w:rPr>
                <w:szCs w:val="22"/>
              </w:rPr>
              <w:t>eek 2</w:t>
            </w:r>
          </w:p>
          <w:p w14:paraId="04198D81" w14:textId="77777777" w:rsidR="008F79CE" w:rsidRPr="00F8398A" w:rsidRDefault="008F79CE" w:rsidP="00930CBB">
            <w:pPr>
              <w:tabs>
                <w:tab w:val="clear" w:pos="562"/>
              </w:tabs>
              <w:suppressAutoHyphens w:val="0"/>
              <w:rPr>
                <w:szCs w:val="22"/>
              </w:rPr>
            </w:pPr>
          </w:p>
          <w:p w14:paraId="63563AD2" w14:textId="77777777" w:rsidR="008F79CE" w:rsidRPr="00F8398A" w:rsidRDefault="00944B8F" w:rsidP="00930CBB">
            <w:pPr>
              <w:tabs>
                <w:tab w:val="clear" w:pos="562"/>
              </w:tabs>
              <w:suppressAutoHyphens w:val="0"/>
              <w:ind w:left="150"/>
              <w:rPr>
                <w:iCs/>
                <w:szCs w:val="22"/>
              </w:rPr>
            </w:pPr>
            <w:r w:rsidRPr="00F8398A">
              <w:rPr>
                <w:szCs w:val="22"/>
              </w:rPr>
              <w:t xml:space="preserve">In case there is a need for a more rapid response to therapy </w:t>
            </w:r>
            <w:r w:rsidRPr="00F8398A">
              <w:rPr>
                <w:iCs/>
                <w:szCs w:val="22"/>
              </w:rPr>
              <w:t>with the awareness that the risk for adverse events may be higher with use of the higher induction dose, the following dose may be used:</w:t>
            </w:r>
          </w:p>
          <w:p w14:paraId="7E1B6386" w14:textId="77777777" w:rsidR="008F79CE" w:rsidRPr="00F8398A" w:rsidRDefault="00944B8F" w:rsidP="003B17FF">
            <w:pPr>
              <w:numPr>
                <w:ilvl w:val="0"/>
                <w:numId w:val="89"/>
              </w:numPr>
              <w:tabs>
                <w:tab w:val="clear" w:pos="562"/>
              </w:tabs>
              <w:suppressAutoHyphens w:val="0"/>
              <w:ind w:left="314" w:hanging="187"/>
              <w:rPr>
                <w:szCs w:val="22"/>
              </w:rPr>
            </w:pPr>
            <w:r>
              <w:rPr>
                <w:szCs w:val="22"/>
              </w:rPr>
              <w:t>160 mg at w</w:t>
            </w:r>
            <w:r w:rsidRPr="00F8398A">
              <w:rPr>
                <w:szCs w:val="22"/>
              </w:rPr>
              <w:t>ee</w:t>
            </w:r>
            <w:r>
              <w:rPr>
                <w:szCs w:val="22"/>
              </w:rPr>
              <w:t>k 0 and 80 mg at w</w:t>
            </w:r>
            <w:r w:rsidRPr="00F8398A">
              <w:rPr>
                <w:szCs w:val="22"/>
              </w:rPr>
              <w:t>eek 2</w:t>
            </w:r>
          </w:p>
        </w:tc>
        <w:tc>
          <w:tcPr>
            <w:tcW w:w="0" w:type="auto"/>
            <w:tcBorders>
              <w:top w:val="single" w:sz="6" w:space="0" w:color="000000"/>
              <w:left w:val="single" w:sz="6" w:space="0" w:color="000000"/>
              <w:bottom w:val="single" w:sz="6" w:space="0" w:color="000000"/>
              <w:right w:val="single" w:sz="6" w:space="0" w:color="000000"/>
            </w:tcBorders>
            <w:hideMark/>
          </w:tcPr>
          <w:p w14:paraId="7BC618B1" w14:textId="77777777" w:rsidR="008F79CE" w:rsidRDefault="00944B8F" w:rsidP="00930CBB">
            <w:pPr>
              <w:tabs>
                <w:tab w:val="clear" w:pos="562"/>
              </w:tabs>
              <w:suppressAutoHyphens w:val="0"/>
              <w:ind w:left="16"/>
              <w:jc w:val="center"/>
            </w:pPr>
            <w:r>
              <w:t>40 mg every other week</w:t>
            </w:r>
          </w:p>
        </w:tc>
      </w:tr>
    </w:tbl>
    <w:p w14:paraId="2BC63671" w14:textId="77777777" w:rsidR="008F79CE" w:rsidRDefault="008F79CE" w:rsidP="008F79CE">
      <w:pPr>
        <w:keepNext/>
      </w:pPr>
    </w:p>
    <w:p w14:paraId="6E234D69" w14:textId="77777777" w:rsidR="008F79CE" w:rsidRDefault="00944B8F" w:rsidP="008F79CE">
      <w:pPr>
        <w:keepNext/>
      </w:pPr>
      <w:r>
        <w:t xml:space="preserve">Patients </w:t>
      </w:r>
      <w:r w:rsidRPr="002A3533">
        <w:t xml:space="preserve">who experience insufficient response may benefit from </w:t>
      </w:r>
      <w:r>
        <w:t xml:space="preserve">an increase in </w:t>
      </w:r>
      <w:r w:rsidR="001F67CD">
        <w:t>dosage</w:t>
      </w:r>
      <w:r>
        <w:t>:</w:t>
      </w:r>
    </w:p>
    <w:p w14:paraId="5B5DB678" w14:textId="77777777" w:rsidR="008F79CE" w:rsidRDefault="00944B8F" w:rsidP="003B17FF">
      <w:pPr>
        <w:keepNext/>
        <w:numPr>
          <w:ilvl w:val="0"/>
          <w:numId w:val="89"/>
        </w:numPr>
        <w:tabs>
          <w:tab w:val="clear" w:pos="562"/>
          <w:tab w:val="left" w:pos="540"/>
        </w:tabs>
        <w:ind w:left="540" w:hanging="540"/>
      </w:pPr>
      <w:r>
        <w:t>&lt; 40 kg: 20 mg every week</w:t>
      </w:r>
    </w:p>
    <w:p w14:paraId="352E0737" w14:textId="77777777" w:rsidR="008F79CE" w:rsidRDefault="00944B8F" w:rsidP="003B17FF">
      <w:pPr>
        <w:keepNext/>
        <w:numPr>
          <w:ilvl w:val="0"/>
          <w:numId w:val="89"/>
        </w:numPr>
        <w:tabs>
          <w:tab w:val="clear" w:pos="562"/>
          <w:tab w:val="left" w:pos="540"/>
        </w:tabs>
        <w:ind w:left="540" w:hanging="540"/>
      </w:pPr>
      <w:r>
        <w:t>≥ 40 kg: 40 mg every week</w:t>
      </w:r>
      <w:r w:rsidR="00E00DEC">
        <w:t xml:space="preserve"> or 80</w:t>
      </w:r>
      <w:r w:rsidR="0046545C">
        <w:t> </w:t>
      </w:r>
      <w:r w:rsidR="00E00DEC">
        <w:t>mg every other week</w:t>
      </w:r>
    </w:p>
    <w:p w14:paraId="41D798DB" w14:textId="77777777" w:rsidR="002B4773" w:rsidRPr="002A3533" w:rsidRDefault="002B4773" w:rsidP="00A70985">
      <w:pPr>
        <w:keepNext/>
        <w:tabs>
          <w:tab w:val="clear" w:pos="562"/>
          <w:tab w:val="left" w:pos="540"/>
        </w:tabs>
        <w:ind w:left="540"/>
      </w:pPr>
    </w:p>
    <w:p w14:paraId="070FD52A" w14:textId="77777777" w:rsidR="00BC0E7E" w:rsidRPr="00BC0E7E" w:rsidRDefault="00944B8F" w:rsidP="00BC0E7E">
      <w:r w:rsidRPr="00BC0E7E">
        <w:t xml:space="preserve">Continued therapy should be carefully considered in a subject not responding by </w:t>
      </w:r>
      <w:r w:rsidR="004776BD">
        <w:t>w</w:t>
      </w:r>
      <w:r w:rsidRPr="00BC0E7E">
        <w:t>eek 12.</w:t>
      </w:r>
    </w:p>
    <w:p w14:paraId="05716A4D" w14:textId="77777777" w:rsidR="00BC0E7E" w:rsidRPr="00BC0E7E" w:rsidRDefault="00BC0E7E" w:rsidP="00BC0E7E"/>
    <w:p w14:paraId="6B07CEBB" w14:textId="77777777" w:rsidR="00BC0E7E" w:rsidRDefault="00944B8F" w:rsidP="00BC0E7E">
      <w:r w:rsidRPr="00BC0E7E">
        <w:t xml:space="preserve">There is no relevant use of Humira in children aged </w:t>
      </w:r>
      <w:r w:rsidR="008F79CE">
        <w:t>less than</w:t>
      </w:r>
      <w:r w:rsidR="008F79CE" w:rsidRPr="00BC0E7E">
        <w:t xml:space="preserve"> </w:t>
      </w:r>
      <w:r w:rsidRPr="00BC0E7E">
        <w:t>6 years for this indication.</w:t>
      </w:r>
    </w:p>
    <w:p w14:paraId="2592D612" w14:textId="77777777" w:rsidR="003D6101" w:rsidRPr="00BC0E7E" w:rsidRDefault="003D6101" w:rsidP="00BC0E7E"/>
    <w:p w14:paraId="0D2B2704" w14:textId="77777777" w:rsidR="003D6101" w:rsidRPr="00BC0E7E" w:rsidRDefault="00944B8F" w:rsidP="003D6101">
      <w:r w:rsidRPr="00154096">
        <w:rPr>
          <w:szCs w:val="22"/>
        </w:rPr>
        <w:t>Humira may be available in other strengths and/or presentations depending on the individual treatment needs</w:t>
      </w:r>
      <w:r>
        <w:rPr>
          <w:szCs w:val="22"/>
        </w:rPr>
        <w:t>.</w:t>
      </w:r>
    </w:p>
    <w:p w14:paraId="4B8479F4" w14:textId="77777777" w:rsidR="00BC0E7E" w:rsidRPr="008F4FD5" w:rsidRDefault="00BC0E7E" w:rsidP="00BC0E7E">
      <w:pPr>
        <w:rPr>
          <w:bCs/>
          <w:iCs/>
        </w:rPr>
      </w:pPr>
    </w:p>
    <w:p w14:paraId="344753A4" w14:textId="77777777" w:rsidR="005F03EC" w:rsidRPr="003A75F8" w:rsidRDefault="00944B8F" w:rsidP="005F03EC">
      <w:pPr>
        <w:rPr>
          <w:b/>
          <w:bCs/>
          <w:iCs/>
        </w:rPr>
      </w:pPr>
      <w:r w:rsidRPr="003A75F8">
        <w:rPr>
          <w:i/>
          <w:szCs w:val="20"/>
        </w:rPr>
        <w:t>Paediatric ulcerative colitis</w:t>
      </w:r>
      <w:r w:rsidRPr="003A75F8">
        <w:rPr>
          <w:b/>
          <w:bCs/>
          <w:iCs/>
        </w:rPr>
        <w:t xml:space="preserve"> </w:t>
      </w:r>
    </w:p>
    <w:p w14:paraId="2F6097CA" w14:textId="77777777" w:rsidR="005F03EC" w:rsidRPr="005037B5" w:rsidRDefault="005F03EC" w:rsidP="005F03EC">
      <w:pPr>
        <w:rPr>
          <w:szCs w:val="20"/>
        </w:rPr>
      </w:pPr>
    </w:p>
    <w:p w14:paraId="27ABF8BA" w14:textId="77777777" w:rsidR="00505D2E" w:rsidRPr="005037B5" w:rsidRDefault="00944B8F" w:rsidP="00505D2E">
      <w:r w:rsidRPr="005037B5">
        <w:t xml:space="preserve">The recommended dose of Humira for patients from </w:t>
      </w:r>
      <w:r>
        <w:t>6</w:t>
      </w:r>
      <w:r w:rsidRPr="005037B5">
        <w:t xml:space="preserve"> to 17 years of age with ulcerative colitis is based on body weight (Table </w:t>
      </w:r>
      <w:r w:rsidRPr="005F03EC">
        <w:t>5).</w:t>
      </w:r>
      <w:r w:rsidRPr="005037B5">
        <w:t xml:space="preserve"> Humira is administered via subcutaneous injection. </w:t>
      </w:r>
    </w:p>
    <w:p w14:paraId="0B71B0F8" w14:textId="77777777" w:rsidR="005F03EC" w:rsidRPr="005037B5" w:rsidRDefault="005F03EC" w:rsidP="005F03EC"/>
    <w:p w14:paraId="239ED2D1" w14:textId="77777777" w:rsidR="005F03EC" w:rsidRPr="005037B5" w:rsidRDefault="00944B8F" w:rsidP="005F03EC">
      <w:pPr>
        <w:keepNext/>
        <w:jc w:val="center"/>
        <w:rPr>
          <w:szCs w:val="22"/>
        </w:rPr>
      </w:pPr>
      <w:r w:rsidRPr="003B65EC">
        <w:rPr>
          <w:b/>
          <w:szCs w:val="22"/>
        </w:rPr>
        <w:t xml:space="preserve">Table 5. Humira Dose for Paediatric Patients with Ulcerative Colitis </w:t>
      </w: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73"/>
        <w:gridCol w:w="3449"/>
        <w:gridCol w:w="3279"/>
      </w:tblGrid>
      <w:tr w:rsidR="00C6578C" w14:paraId="14EAC4E0" w14:textId="77777777" w:rsidTr="0065221F">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F0A62A9" w14:textId="77777777" w:rsidR="00DB649E" w:rsidRPr="004C57C8" w:rsidRDefault="00944B8F" w:rsidP="0065221F">
            <w:pPr>
              <w:jc w:val="center"/>
              <w:rPr>
                <w:b/>
                <w:szCs w:val="22"/>
              </w:rPr>
            </w:pPr>
            <w:r w:rsidRPr="004C57C8">
              <w:rPr>
                <w:b/>
                <w:szCs w:val="22"/>
              </w:rPr>
              <w:t>Patient Weight</w:t>
            </w:r>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6C77B2DA" w14:textId="77777777" w:rsidR="00DB649E" w:rsidRPr="004C57C8" w:rsidRDefault="00944B8F" w:rsidP="0065221F">
            <w:pPr>
              <w:jc w:val="center"/>
              <w:rPr>
                <w:b/>
                <w:szCs w:val="22"/>
              </w:rPr>
            </w:pPr>
            <w:r w:rsidRPr="004C57C8">
              <w:rPr>
                <w:b/>
                <w:szCs w:val="22"/>
              </w:rPr>
              <w:t>Induction Dose</w:t>
            </w:r>
          </w:p>
        </w:tc>
        <w:tc>
          <w:tcPr>
            <w:tcW w:w="1906" w:type="pct"/>
            <w:tcBorders>
              <w:top w:val="single" w:sz="6" w:space="0" w:color="000000"/>
              <w:left w:val="single" w:sz="6" w:space="0" w:color="000000"/>
              <w:bottom w:val="single" w:sz="6" w:space="0" w:color="000000"/>
              <w:right w:val="single" w:sz="6" w:space="0" w:color="000000"/>
            </w:tcBorders>
            <w:hideMark/>
          </w:tcPr>
          <w:p w14:paraId="47153DA5" w14:textId="77777777" w:rsidR="00DB649E" w:rsidRPr="004C57C8" w:rsidRDefault="00944B8F" w:rsidP="0065221F">
            <w:pPr>
              <w:jc w:val="center"/>
              <w:rPr>
                <w:b/>
                <w:szCs w:val="22"/>
              </w:rPr>
            </w:pPr>
            <w:r w:rsidRPr="004C57C8">
              <w:rPr>
                <w:b/>
                <w:szCs w:val="22"/>
              </w:rPr>
              <w:t>Maintenance Dose</w:t>
            </w:r>
            <w:r w:rsidRPr="004C57C8">
              <w:rPr>
                <w:b/>
                <w:szCs w:val="22"/>
              </w:rPr>
              <w:br/>
              <w:t>Starting at Week 4*</w:t>
            </w:r>
          </w:p>
        </w:tc>
      </w:tr>
      <w:tr w:rsidR="00C6578C" w14:paraId="4063D422" w14:textId="77777777" w:rsidTr="0065221F">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0D8F885D" w14:textId="77777777" w:rsidR="00DB649E" w:rsidRPr="004C57C8" w:rsidRDefault="00944B8F" w:rsidP="0065221F">
            <w:pPr>
              <w:jc w:val="center"/>
              <w:rPr>
                <w:szCs w:val="22"/>
              </w:rPr>
            </w:pPr>
            <w:r w:rsidRPr="004C57C8">
              <w:rPr>
                <w:szCs w:val="22"/>
              </w:rPr>
              <w:t>&lt; 40 kg</w:t>
            </w:r>
          </w:p>
        </w:tc>
        <w:tc>
          <w:tcPr>
            <w:tcW w:w="2005" w:type="pct"/>
            <w:tcBorders>
              <w:top w:val="single" w:sz="6" w:space="0" w:color="000000"/>
              <w:left w:val="single" w:sz="6" w:space="0" w:color="000000"/>
              <w:bottom w:val="single" w:sz="6" w:space="0" w:color="000000"/>
              <w:right w:val="single" w:sz="6" w:space="0" w:color="000000"/>
            </w:tcBorders>
            <w:hideMark/>
          </w:tcPr>
          <w:p w14:paraId="566F1A18" w14:textId="77777777" w:rsidR="00DB649E" w:rsidRPr="004C57C8" w:rsidRDefault="00944B8F" w:rsidP="0065221F">
            <w:pPr>
              <w:numPr>
                <w:ilvl w:val="0"/>
                <w:numId w:val="154"/>
              </w:numPr>
              <w:tabs>
                <w:tab w:val="clear" w:pos="562"/>
              </w:tabs>
              <w:suppressAutoHyphens w:val="0"/>
              <w:ind w:left="360" w:hanging="210"/>
              <w:rPr>
                <w:szCs w:val="22"/>
              </w:rPr>
            </w:pPr>
            <w:r w:rsidRPr="004C57C8">
              <w:rPr>
                <w:szCs w:val="22"/>
              </w:rPr>
              <w:t>80 mg at Week 0</w:t>
            </w:r>
            <w:r>
              <w:rPr>
                <w:szCs w:val="22"/>
              </w:rPr>
              <w:t xml:space="preserve"> (given as two 40 mg injections in one day)</w:t>
            </w:r>
            <w:r w:rsidRPr="004C57C8">
              <w:rPr>
                <w:szCs w:val="22"/>
              </w:rPr>
              <w:t xml:space="preserve"> and</w:t>
            </w:r>
          </w:p>
          <w:p w14:paraId="7F490167" w14:textId="77777777" w:rsidR="00DB649E" w:rsidRPr="004C57C8" w:rsidRDefault="00944B8F" w:rsidP="0065221F">
            <w:pPr>
              <w:numPr>
                <w:ilvl w:val="0"/>
                <w:numId w:val="154"/>
              </w:numPr>
              <w:tabs>
                <w:tab w:val="clear" w:pos="562"/>
              </w:tabs>
              <w:suppressAutoHyphens w:val="0"/>
              <w:ind w:left="360" w:hanging="210"/>
              <w:rPr>
                <w:szCs w:val="22"/>
              </w:rPr>
            </w:pPr>
            <w:r w:rsidRPr="004C57C8">
              <w:rPr>
                <w:szCs w:val="22"/>
              </w:rPr>
              <w:t>40 mg at Week 2</w:t>
            </w:r>
            <w:r>
              <w:rPr>
                <w:szCs w:val="22"/>
              </w:rPr>
              <w:t xml:space="preserve"> (given as one 40 mg injection)</w:t>
            </w:r>
          </w:p>
        </w:tc>
        <w:tc>
          <w:tcPr>
            <w:tcW w:w="1906" w:type="pct"/>
            <w:tcBorders>
              <w:top w:val="single" w:sz="6" w:space="0" w:color="000000"/>
              <w:left w:val="single" w:sz="6" w:space="0" w:color="000000"/>
              <w:bottom w:val="single" w:sz="6" w:space="0" w:color="000000"/>
              <w:right w:val="single" w:sz="6" w:space="0" w:color="000000"/>
            </w:tcBorders>
            <w:hideMark/>
          </w:tcPr>
          <w:p w14:paraId="2EC7C1D5" w14:textId="77777777" w:rsidR="00DB649E" w:rsidRPr="004C57C8" w:rsidRDefault="00944B8F" w:rsidP="0065221F">
            <w:pPr>
              <w:numPr>
                <w:ilvl w:val="0"/>
                <w:numId w:val="154"/>
              </w:numPr>
              <w:tabs>
                <w:tab w:val="clear" w:pos="562"/>
              </w:tabs>
              <w:suppressAutoHyphens w:val="0"/>
              <w:ind w:left="360" w:hanging="210"/>
              <w:rPr>
                <w:szCs w:val="22"/>
              </w:rPr>
            </w:pPr>
            <w:r w:rsidRPr="004C57C8">
              <w:rPr>
                <w:szCs w:val="22"/>
              </w:rPr>
              <w:t>40 mg every other week</w:t>
            </w:r>
          </w:p>
        </w:tc>
      </w:tr>
      <w:tr w:rsidR="00C6578C" w14:paraId="22EC6071" w14:textId="77777777" w:rsidTr="0065221F">
        <w:trPr>
          <w:jc w:val="center"/>
        </w:trPr>
        <w:tc>
          <w:tcPr>
            <w:tcW w:w="0" w:type="auto"/>
            <w:tcBorders>
              <w:top w:val="single" w:sz="6" w:space="0" w:color="000000"/>
              <w:left w:val="single" w:sz="6" w:space="0" w:color="000000"/>
              <w:bottom w:val="single" w:sz="4" w:space="0" w:color="auto"/>
              <w:right w:val="single" w:sz="6" w:space="0" w:color="000000"/>
            </w:tcBorders>
            <w:hideMark/>
          </w:tcPr>
          <w:p w14:paraId="50CDE854" w14:textId="77777777" w:rsidR="00DB649E" w:rsidRPr="004C57C8" w:rsidRDefault="00944B8F" w:rsidP="0065221F">
            <w:pPr>
              <w:jc w:val="center"/>
              <w:rPr>
                <w:szCs w:val="22"/>
              </w:rPr>
            </w:pPr>
            <w:r w:rsidRPr="004C57C8">
              <w:rPr>
                <w:szCs w:val="22"/>
              </w:rPr>
              <w:lastRenderedPageBreak/>
              <w:t>≥ 40 kg</w:t>
            </w:r>
          </w:p>
        </w:tc>
        <w:tc>
          <w:tcPr>
            <w:tcW w:w="2005" w:type="pct"/>
            <w:tcBorders>
              <w:top w:val="single" w:sz="6" w:space="0" w:color="000000"/>
              <w:left w:val="single" w:sz="6" w:space="0" w:color="000000"/>
              <w:bottom w:val="single" w:sz="4" w:space="0" w:color="auto"/>
              <w:right w:val="single" w:sz="6" w:space="0" w:color="000000"/>
            </w:tcBorders>
            <w:hideMark/>
          </w:tcPr>
          <w:p w14:paraId="0656BF67" w14:textId="77777777" w:rsidR="00DB649E" w:rsidRPr="004C57C8" w:rsidRDefault="00944B8F" w:rsidP="0065221F">
            <w:pPr>
              <w:numPr>
                <w:ilvl w:val="0"/>
                <w:numId w:val="155"/>
              </w:numPr>
              <w:tabs>
                <w:tab w:val="clear" w:pos="562"/>
              </w:tabs>
              <w:suppressAutoHyphens w:val="0"/>
              <w:ind w:left="360" w:hanging="210"/>
              <w:rPr>
                <w:szCs w:val="22"/>
              </w:rPr>
            </w:pPr>
            <w:r w:rsidRPr="004C57C8">
              <w:rPr>
                <w:szCs w:val="22"/>
              </w:rPr>
              <w:t>160 mg at Week 0</w:t>
            </w:r>
            <w:r>
              <w:rPr>
                <w:szCs w:val="22"/>
              </w:rPr>
              <w:t xml:space="preserve"> (given as four 40 mg injections in one day or two 40 mg injections per day for two consecutive days)</w:t>
            </w:r>
            <w:r w:rsidRPr="004C57C8">
              <w:rPr>
                <w:szCs w:val="22"/>
              </w:rPr>
              <w:t xml:space="preserve"> and</w:t>
            </w:r>
          </w:p>
          <w:p w14:paraId="48F98093" w14:textId="77777777" w:rsidR="00DB649E" w:rsidRPr="004C57C8" w:rsidRDefault="00944B8F" w:rsidP="0065221F">
            <w:pPr>
              <w:numPr>
                <w:ilvl w:val="0"/>
                <w:numId w:val="155"/>
              </w:numPr>
              <w:tabs>
                <w:tab w:val="clear" w:pos="562"/>
              </w:tabs>
              <w:suppressAutoHyphens w:val="0"/>
              <w:ind w:left="360" w:hanging="210"/>
              <w:rPr>
                <w:szCs w:val="22"/>
              </w:rPr>
            </w:pPr>
            <w:r w:rsidRPr="004C57C8">
              <w:rPr>
                <w:szCs w:val="22"/>
              </w:rPr>
              <w:t>80 mg at Week 2</w:t>
            </w:r>
            <w:r>
              <w:rPr>
                <w:szCs w:val="22"/>
              </w:rPr>
              <w:t xml:space="preserve"> (given as two 40 mg injections in one day)</w:t>
            </w:r>
          </w:p>
        </w:tc>
        <w:tc>
          <w:tcPr>
            <w:tcW w:w="1906" w:type="pct"/>
            <w:tcBorders>
              <w:top w:val="single" w:sz="6" w:space="0" w:color="000000"/>
              <w:left w:val="single" w:sz="6" w:space="0" w:color="000000"/>
              <w:bottom w:val="single" w:sz="4" w:space="0" w:color="auto"/>
              <w:right w:val="single" w:sz="6" w:space="0" w:color="000000"/>
            </w:tcBorders>
            <w:hideMark/>
          </w:tcPr>
          <w:p w14:paraId="26C65D0C" w14:textId="77777777" w:rsidR="00DB649E" w:rsidRPr="004C57C8" w:rsidRDefault="00944B8F" w:rsidP="0065221F">
            <w:pPr>
              <w:numPr>
                <w:ilvl w:val="0"/>
                <w:numId w:val="154"/>
              </w:numPr>
              <w:tabs>
                <w:tab w:val="clear" w:pos="562"/>
              </w:tabs>
              <w:suppressAutoHyphens w:val="0"/>
              <w:ind w:left="360" w:hanging="210"/>
              <w:rPr>
                <w:szCs w:val="22"/>
              </w:rPr>
            </w:pPr>
            <w:r w:rsidRPr="004C57C8">
              <w:rPr>
                <w:szCs w:val="22"/>
              </w:rPr>
              <w:t>80 mg every other week</w:t>
            </w:r>
          </w:p>
        </w:tc>
      </w:tr>
      <w:tr w:rsidR="00C6578C" w14:paraId="696E0674" w14:textId="77777777" w:rsidTr="0065221F">
        <w:trPr>
          <w:jc w:val="center"/>
        </w:trPr>
        <w:tc>
          <w:tcPr>
            <w:tcW w:w="5000" w:type="pct"/>
            <w:gridSpan w:val="3"/>
            <w:tcBorders>
              <w:top w:val="single" w:sz="4" w:space="0" w:color="auto"/>
              <w:left w:val="nil"/>
              <w:bottom w:val="nil"/>
              <w:right w:val="nil"/>
            </w:tcBorders>
          </w:tcPr>
          <w:p w14:paraId="613C82AD" w14:textId="77777777" w:rsidR="00DB649E" w:rsidRPr="004C57C8" w:rsidRDefault="00944B8F" w:rsidP="0065221F">
            <w:pPr>
              <w:rPr>
                <w:szCs w:val="22"/>
              </w:rPr>
            </w:pPr>
            <w:r w:rsidRPr="004C57C8">
              <w:rPr>
                <w:szCs w:val="22"/>
                <w:vertAlign w:val="superscript"/>
              </w:rPr>
              <w:t xml:space="preserve">* </w:t>
            </w:r>
            <w:r w:rsidRPr="004C57C8">
              <w:rPr>
                <w:szCs w:val="22"/>
              </w:rPr>
              <w:t>Paediatric patients who turn 18 years of age while on Humira should continue their prescribed maintenance dose.</w:t>
            </w:r>
          </w:p>
        </w:tc>
      </w:tr>
    </w:tbl>
    <w:p w14:paraId="3CFA87A7" w14:textId="77777777" w:rsidR="005F03EC" w:rsidRPr="005037B5" w:rsidRDefault="005F03EC" w:rsidP="005F03EC">
      <w:pPr>
        <w:pStyle w:val="gtctablespaceafter"/>
        <w:numPr>
          <w:ilvl w:val="0"/>
          <w:numId w:val="153"/>
        </w:numPr>
      </w:pPr>
    </w:p>
    <w:p w14:paraId="7232E0A4" w14:textId="77777777" w:rsidR="005F03EC" w:rsidRPr="005037B5" w:rsidRDefault="00944B8F" w:rsidP="005F03EC">
      <w:r w:rsidRPr="005037B5">
        <w:t xml:space="preserve">Continued therapy beyond 8 weeks should be carefully considered in </w:t>
      </w:r>
      <w:r w:rsidRPr="00B15DF4">
        <w:t>patients not showing signs of response</w:t>
      </w:r>
      <w:r w:rsidRPr="005037B5">
        <w:t xml:space="preserve"> within this time period.</w:t>
      </w:r>
    </w:p>
    <w:p w14:paraId="24E0DEA7" w14:textId="77777777" w:rsidR="005F03EC" w:rsidRPr="005037B5" w:rsidRDefault="005F03EC" w:rsidP="005F03EC"/>
    <w:p w14:paraId="61CA75DF" w14:textId="77777777" w:rsidR="00DB649E" w:rsidRDefault="00944B8F" w:rsidP="00DB649E">
      <w:r w:rsidRPr="005037B5">
        <w:t xml:space="preserve">There is no relevant use of Humira in children aged less than </w:t>
      </w:r>
      <w:r>
        <w:t>6</w:t>
      </w:r>
      <w:r w:rsidRPr="005037B5">
        <w:t xml:space="preserve"> years in this indication.</w:t>
      </w:r>
    </w:p>
    <w:p w14:paraId="2F18D79C" w14:textId="77777777" w:rsidR="003A75F8" w:rsidRDefault="003A75F8" w:rsidP="005F03EC"/>
    <w:p w14:paraId="67144F37" w14:textId="77777777" w:rsidR="003A75F8" w:rsidRDefault="00944B8F" w:rsidP="005F03EC">
      <w:r w:rsidRPr="005037B5">
        <w:t>Humira may be available in different strengths and/or presentations</w:t>
      </w:r>
      <w:r>
        <w:t xml:space="preserve"> depending on the individual treatment needs</w:t>
      </w:r>
      <w:r w:rsidRPr="005037B5">
        <w:t>.</w:t>
      </w:r>
    </w:p>
    <w:p w14:paraId="112FDF21" w14:textId="77777777" w:rsidR="005F03EC" w:rsidRDefault="005F03EC" w:rsidP="00BC0E7E">
      <w:pPr>
        <w:rPr>
          <w:i/>
          <w:szCs w:val="20"/>
          <w:u w:val="single"/>
        </w:rPr>
      </w:pPr>
    </w:p>
    <w:p w14:paraId="748FA8E9" w14:textId="77777777" w:rsidR="00BC0E7E" w:rsidRPr="00BC0E7E" w:rsidRDefault="00944B8F" w:rsidP="00BC0E7E">
      <w:pPr>
        <w:rPr>
          <w:b/>
          <w:bCs/>
          <w:iCs/>
          <w:u w:val="single"/>
        </w:rPr>
      </w:pPr>
      <w:r w:rsidRPr="00BC0E7E">
        <w:rPr>
          <w:i/>
          <w:szCs w:val="20"/>
          <w:u w:val="single"/>
        </w:rPr>
        <w:t>Paediatric Uveitis</w:t>
      </w:r>
      <w:r w:rsidRPr="00BC0E7E">
        <w:rPr>
          <w:b/>
          <w:bCs/>
          <w:iCs/>
          <w:u w:val="single"/>
        </w:rPr>
        <w:t xml:space="preserve"> </w:t>
      </w:r>
    </w:p>
    <w:p w14:paraId="464FEE20" w14:textId="77777777" w:rsidR="00BC0E7E" w:rsidRPr="00BC0E7E" w:rsidRDefault="00BC0E7E" w:rsidP="00BC0E7E"/>
    <w:p w14:paraId="036F28A8" w14:textId="77777777" w:rsidR="004F5CD5" w:rsidRDefault="00944B8F" w:rsidP="004F5CD5">
      <w:pPr>
        <w:rPr>
          <w:szCs w:val="22"/>
        </w:rPr>
      </w:pPr>
      <w:r>
        <w:rPr>
          <w:szCs w:val="22"/>
        </w:rPr>
        <w:t>The recommended dose of Humira for paediatric patients with uveitis from 2</w:t>
      </w:r>
      <w:r w:rsidR="00B349EF">
        <w:rPr>
          <w:szCs w:val="22"/>
        </w:rPr>
        <w:t> </w:t>
      </w:r>
      <w:r>
        <w:rPr>
          <w:szCs w:val="22"/>
        </w:rPr>
        <w:t xml:space="preserve">years of age is based on body weight (Table </w:t>
      </w:r>
      <w:r w:rsidR="005F03EC" w:rsidRPr="005F03EC">
        <w:rPr>
          <w:szCs w:val="22"/>
        </w:rPr>
        <w:t>6</w:t>
      </w:r>
      <w:r>
        <w:rPr>
          <w:szCs w:val="22"/>
        </w:rPr>
        <w:t>). Humira is administered via subcutaneous injection.</w:t>
      </w:r>
    </w:p>
    <w:p w14:paraId="5A775F24" w14:textId="77777777" w:rsidR="004F5CD5" w:rsidRDefault="004F5CD5" w:rsidP="004F5CD5">
      <w:pPr>
        <w:rPr>
          <w:szCs w:val="22"/>
        </w:rPr>
      </w:pPr>
    </w:p>
    <w:p w14:paraId="3089C511" w14:textId="77777777" w:rsidR="00BC0E7E" w:rsidRDefault="00944B8F" w:rsidP="00BC0E7E">
      <w:r w:rsidRPr="00BC0E7E">
        <w:t>In paediatric uveitis, there is no experience in the treatment with Humira without concomitant treatment with methotrexate.</w:t>
      </w:r>
    </w:p>
    <w:p w14:paraId="3059E09D" w14:textId="77777777" w:rsidR="004F5CD5" w:rsidRPr="00BC0E7E" w:rsidRDefault="004F5CD5" w:rsidP="00BC0E7E"/>
    <w:p w14:paraId="030AACCC" w14:textId="77777777" w:rsidR="004F5CD5" w:rsidRDefault="00944B8F" w:rsidP="007A4250">
      <w:pPr>
        <w:keepNext/>
        <w:jc w:val="center"/>
        <w:rPr>
          <w:b/>
          <w:szCs w:val="22"/>
        </w:rPr>
      </w:pPr>
      <w:r>
        <w:rPr>
          <w:b/>
          <w:szCs w:val="22"/>
        </w:rPr>
        <w:t xml:space="preserve">Table </w:t>
      </w:r>
      <w:r w:rsidR="005F03EC" w:rsidRPr="005F03EC">
        <w:rPr>
          <w:b/>
          <w:szCs w:val="22"/>
        </w:rPr>
        <w:t>6</w:t>
      </w:r>
      <w:r w:rsidRPr="005F03EC">
        <w:rPr>
          <w:b/>
          <w:szCs w:val="22"/>
        </w:rPr>
        <w:t>.</w:t>
      </w:r>
      <w:r>
        <w:rPr>
          <w:b/>
          <w:szCs w:val="22"/>
        </w:rPr>
        <w:t xml:space="preserve"> Humira Dose for Paediatric Patients with Uveitis</w:t>
      </w:r>
    </w:p>
    <w:p w14:paraId="4B93C5B5" w14:textId="77777777" w:rsidR="004F5CD5" w:rsidRDefault="004F5CD5" w:rsidP="007A4250">
      <w:pPr>
        <w:keepNext/>
        <w:jc w:val="center"/>
      </w:pPr>
    </w:p>
    <w:tbl>
      <w:tblPr>
        <w:tblW w:w="6795" w:type="dxa"/>
        <w:jc w:val="center"/>
        <w:tblLayout w:type="fixed"/>
        <w:tblLook w:val="04A0" w:firstRow="1" w:lastRow="0" w:firstColumn="1" w:lastColumn="0" w:noHBand="0" w:noVBand="1"/>
      </w:tblPr>
      <w:tblGrid>
        <w:gridCol w:w="3401"/>
        <w:gridCol w:w="3394"/>
      </w:tblGrid>
      <w:tr w:rsidR="00C6578C" w14:paraId="0EC6E70F" w14:textId="77777777" w:rsidTr="00930CBB">
        <w:trPr>
          <w:tblHeader/>
          <w:jc w:val="center"/>
        </w:trPr>
        <w:tc>
          <w:tcPr>
            <w:tcW w:w="3401" w:type="dxa"/>
            <w:tcBorders>
              <w:top w:val="single" w:sz="4" w:space="0" w:color="auto"/>
              <w:left w:val="nil"/>
              <w:bottom w:val="single" w:sz="4" w:space="0" w:color="auto"/>
              <w:right w:val="nil"/>
            </w:tcBorders>
            <w:hideMark/>
          </w:tcPr>
          <w:p w14:paraId="7F14820D" w14:textId="77777777" w:rsidR="004F5CD5" w:rsidRDefault="00944B8F" w:rsidP="007A4250">
            <w:pPr>
              <w:pStyle w:val="TableLeft"/>
              <w:jc w:val="center"/>
              <w:rPr>
                <w:b/>
                <w:sz w:val="22"/>
                <w:szCs w:val="22"/>
              </w:rPr>
            </w:pPr>
            <w:r>
              <w:rPr>
                <w:b/>
                <w:sz w:val="22"/>
                <w:szCs w:val="22"/>
              </w:rPr>
              <w:t>Patient Weight</w:t>
            </w:r>
          </w:p>
        </w:tc>
        <w:tc>
          <w:tcPr>
            <w:tcW w:w="3394" w:type="dxa"/>
            <w:tcBorders>
              <w:top w:val="single" w:sz="4" w:space="0" w:color="auto"/>
              <w:left w:val="nil"/>
              <w:bottom w:val="single" w:sz="4" w:space="0" w:color="auto"/>
              <w:right w:val="nil"/>
            </w:tcBorders>
            <w:hideMark/>
          </w:tcPr>
          <w:p w14:paraId="50CE20A3" w14:textId="77777777" w:rsidR="004F5CD5" w:rsidRDefault="00944B8F" w:rsidP="007A4250">
            <w:pPr>
              <w:pStyle w:val="TableLeft"/>
              <w:jc w:val="center"/>
              <w:rPr>
                <w:b/>
                <w:sz w:val="22"/>
                <w:szCs w:val="22"/>
              </w:rPr>
            </w:pPr>
            <w:r>
              <w:rPr>
                <w:b/>
                <w:sz w:val="22"/>
                <w:szCs w:val="22"/>
              </w:rPr>
              <w:t>Dosing Regimen</w:t>
            </w:r>
          </w:p>
        </w:tc>
      </w:tr>
      <w:tr w:rsidR="00C6578C" w14:paraId="1D1CAEF3" w14:textId="77777777" w:rsidTr="00930CBB">
        <w:trPr>
          <w:tblHeader/>
          <w:jc w:val="center"/>
        </w:trPr>
        <w:tc>
          <w:tcPr>
            <w:tcW w:w="3401" w:type="dxa"/>
            <w:tcBorders>
              <w:top w:val="single" w:sz="4" w:space="0" w:color="auto"/>
              <w:left w:val="nil"/>
              <w:bottom w:val="single" w:sz="4" w:space="0" w:color="auto"/>
              <w:right w:val="nil"/>
            </w:tcBorders>
            <w:hideMark/>
          </w:tcPr>
          <w:p w14:paraId="7F9AD5C1" w14:textId="77777777" w:rsidR="004F5CD5" w:rsidRDefault="00944B8F" w:rsidP="007A4250">
            <w:pPr>
              <w:pStyle w:val="TableLeft"/>
              <w:jc w:val="center"/>
              <w:rPr>
                <w:b/>
                <w:sz w:val="22"/>
                <w:szCs w:val="22"/>
              </w:rPr>
            </w:pPr>
            <w:r>
              <w:rPr>
                <w:sz w:val="22"/>
                <w:szCs w:val="22"/>
              </w:rPr>
              <w:t>&lt; 30 kg</w:t>
            </w:r>
          </w:p>
        </w:tc>
        <w:tc>
          <w:tcPr>
            <w:tcW w:w="3394" w:type="dxa"/>
            <w:tcBorders>
              <w:top w:val="single" w:sz="4" w:space="0" w:color="auto"/>
              <w:left w:val="nil"/>
              <w:bottom w:val="single" w:sz="4" w:space="0" w:color="auto"/>
              <w:right w:val="nil"/>
            </w:tcBorders>
            <w:hideMark/>
          </w:tcPr>
          <w:p w14:paraId="72074CDD" w14:textId="77777777" w:rsidR="004F5CD5" w:rsidRDefault="00944B8F" w:rsidP="007A4250">
            <w:pPr>
              <w:pStyle w:val="TableLeft"/>
              <w:jc w:val="center"/>
              <w:rPr>
                <w:b/>
                <w:sz w:val="22"/>
                <w:szCs w:val="22"/>
              </w:rPr>
            </w:pPr>
            <w:r>
              <w:rPr>
                <w:sz w:val="22"/>
                <w:szCs w:val="22"/>
              </w:rPr>
              <w:t>20 mg every other week in combination with methotrexate</w:t>
            </w:r>
          </w:p>
        </w:tc>
      </w:tr>
      <w:tr w:rsidR="00C6578C" w14:paraId="5CD3B2B4" w14:textId="77777777" w:rsidTr="00930CBB">
        <w:trPr>
          <w:tblHeader/>
          <w:jc w:val="center"/>
        </w:trPr>
        <w:tc>
          <w:tcPr>
            <w:tcW w:w="3401" w:type="dxa"/>
            <w:tcBorders>
              <w:top w:val="single" w:sz="4" w:space="0" w:color="auto"/>
              <w:left w:val="nil"/>
              <w:bottom w:val="single" w:sz="4" w:space="0" w:color="auto"/>
              <w:right w:val="nil"/>
            </w:tcBorders>
            <w:hideMark/>
          </w:tcPr>
          <w:p w14:paraId="70707312" w14:textId="77777777" w:rsidR="004F5CD5" w:rsidRDefault="00944B8F" w:rsidP="007A4250">
            <w:pPr>
              <w:pStyle w:val="TableLeft"/>
              <w:jc w:val="center"/>
              <w:rPr>
                <w:b/>
                <w:sz w:val="22"/>
                <w:szCs w:val="22"/>
              </w:rPr>
            </w:pPr>
            <w:r>
              <w:rPr>
                <w:sz w:val="22"/>
                <w:szCs w:val="22"/>
              </w:rPr>
              <w:t>≥ 30 kg</w:t>
            </w:r>
          </w:p>
        </w:tc>
        <w:tc>
          <w:tcPr>
            <w:tcW w:w="3394" w:type="dxa"/>
            <w:tcBorders>
              <w:top w:val="single" w:sz="4" w:space="0" w:color="auto"/>
              <w:left w:val="nil"/>
              <w:bottom w:val="single" w:sz="4" w:space="0" w:color="auto"/>
              <w:right w:val="nil"/>
            </w:tcBorders>
            <w:hideMark/>
          </w:tcPr>
          <w:p w14:paraId="24FB6EBB" w14:textId="77777777" w:rsidR="004F5CD5" w:rsidRDefault="00944B8F" w:rsidP="007A4250">
            <w:pPr>
              <w:pStyle w:val="TableLeft"/>
              <w:jc w:val="center"/>
              <w:rPr>
                <w:b/>
                <w:sz w:val="22"/>
                <w:szCs w:val="22"/>
              </w:rPr>
            </w:pPr>
            <w:r>
              <w:rPr>
                <w:sz w:val="22"/>
                <w:szCs w:val="22"/>
              </w:rPr>
              <w:t>40 mg every other week in combination with methotrexate</w:t>
            </w:r>
          </w:p>
        </w:tc>
      </w:tr>
    </w:tbl>
    <w:p w14:paraId="407B9B20" w14:textId="77777777" w:rsidR="00BC0E7E" w:rsidRPr="00BC0E7E" w:rsidRDefault="00BC0E7E" w:rsidP="00BC0E7E">
      <w:pPr>
        <w:rPr>
          <w:szCs w:val="20"/>
        </w:rPr>
      </w:pPr>
    </w:p>
    <w:p w14:paraId="60FAFE81" w14:textId="77777777" w:rsidR="00BC0E7E" w:rsidRPr="00BC0E7E" w:rsidRDefault="00944B8F" w:rsidP="00BC0E7E">
      <w:r w:rsidRPr="00BC0E7E">
        <w:t xml:space="preserve">When Humira therapy is initiated, a loading dose of 40 mg </w:t>
      </w:r>
      <w:r w:rsidR="004F5CD5">
        <w:t>for patients &lt;</w:t>
      </w:r>
      <w:r w:rsidR="00B349EF">
        <w:t> </w:t>
      </w:r>
      <w:r w:rsidR="004F5CD5">
        <w:t>30</w:t>
      </w:r>
      <w:r w:rsidR="00B349EF">
        <w:t> </w:t>
      </w:r>
      <w:r w:rsidR="004F5CD5">
        <w:t>kg or 80</w:t>
      </w:r>
      <w:r w:rsidR="00B349EF">
        <w:t> </w:t>
      </w:r>
      <w:r w:rsidR="004F5CD5">
        <w:t>mg for patients ≥</w:t>
      </w:r>
      <w:r w:rsidR="00B349EF">
        <w:t> </w:t>
      </w:r>
      <w:r w:rsidR="004F5CD5">
        <w:t>30</w:t>
      </w:r>
      <w:r w:rsidR="00B349EF">
        <w:t> </w:t>
      </w:r>
      <w:r w:rsidR="004F5CD5">
        <w:t xml:space="preserve">kg </w:t>
      </w:r>
      <w:r w:rsidRPr="00BC0E7E">
        <w:t>may be administered one week prior to the start of maintenance therapy. No clinical data are available on the use of a Humira loading dose in children &lt; 6 years of age (see section 5.2).</w:t>
      </w:r>
    </w:p>
    <w:p w14:paraId="18027993" w14:textId="77777777" w:rsidR="00BC0E7E" w:rsidRPr="00BC0E7E" w:rsidRDefault="00BC0E7E" w:rsidP="00BC0E7E"/>
    <w:p w14:paraId="31FEC6A8" w14:textId="77777777" w:rsidR="00BC0E7E" w:rsidRPr="00BC0E7E" w:rsidRDefault="00944B8F" w:rsidP="00BC0E7E">
      <w:pPr>
        <w:rPr>
          <w:szCs w:val="20"/>
        </w:rPr>
      </w:pPr>
      <w:r w:rsidRPr="00BC0E7E">
        <w:rPr>
          <w:szCs w:val="20"/>
        </w:rPr>
        <w:t>There is no relevant use of Humira in children aged less than 2 years in this indication.</w:t>
      </w:r>
    </w:p>
    <w:p w14:paraId="1617F519" w14:textId="77777777" w:rsidR="00BC0E7E" w:rsidRPr="00BC0E7E" w:rsidRDefault="00BC0E7E" w:rsidP="00BC0E7E">
      <w:pPr>
        <w:rPr>
          <w:szCs w:val="20"/>
        </w:rPr>
      </w:pPr>
    </w:p>
    <w:p w14:paraId="3022804C" w14:textId="77777777" w:rsidR="003D6101" w:rsidRPr="00BC0E7E" w:rsidRDefault="00944B8F" w:rsidP="00BC0E7E">
      <w:pPr>
        <w:rPr>
          <w:szCs w:val="20"/>
        </w:rPr>
      </w:pPr>
      <w:r w:rsidRPr="00BC0E7E">
        <w:rPr>
          <w:szCs w:val="22"/>
        </w:rPr>
        <w:t>It is recommended that the benefit and risk of continued long-term treatment should be evaluated on a yearly basis (see section 5.1).</w:t>
      </w:r>
    </w:p>
    <w:p w14:paraId="36A0B0A3" w14:textId="77777777" w:rsidR="00AA751B" w:rsidRDefault="00AA751B" w:rsidP="00AA751B">
      <w:pPr>
        <w:keepNext/>
        <w:rPr>
          <w:szCs w:val="22"/>
        </w:rPr>
      </w:pPr>
    </w:p>
    <w:p w14:paraId="4DA52C90" w14:textId="77777777" w:rsidR="00AA751B" w:rsidRPr="002A3533" w:rsidRDefault="00944B8F" w:rsidP="00AA751B">
      <w:pPr>
        <w:keepNext/>
      </w:pPr>
      <w:r w:rsidRPr="00154096">
        <w:rPr>
          <w:szCs w:val="22"/>
        </w:rPr>
        <w:t>Humira may be available in other strengths and/or presentations depending on the individual treatment needs</w:t>
      </w:r>
      <w:r>
        <w:rPr>
          <w:szCs w:val="22"/>
        </w:rPr>
        <w:t>.</w:t>
      </w:r>
    </w:p>
    <w:p w14:paraId="54AB77DD" w14:textId="77777777" w:rsidR="00BC0E7E" w:rsidRPr="00BC0E7E" w:rsidRDefault="00BC0E7E" w:rsidP="00BC0E7E">
      <w:pPr>
        <w:rPr>
          <w:i/>
          <w:szCs w:val="20"/>
        </w:rPr>
      </w:pPr>
    </w:p>
    <w:p w14:paraId="5122342C" w14:textId="77777777" w:rsidR="00BC0E7E" w:rsidRPr="00BC0E7E" w:rsidRDefault="00944B8F" w:rsidP="008F4FD5">
      <w:pPr>
        <w:keepNext/>
        <w:rPr>
          <w:szCs w:val="20"/>
          <w:u w:val="single"/>
        </w:rPr>
      </w:pPr>
      <w:r w:rsidRPr="00BC0E7E">
        <w:rPr>
          <w:szCs w:val="20"/>
          <w:u w:val="single"/>
        </w:rPr>
        <w:t>Method of administration</w:t>
      </w:r>
    </w:p>
    <w:p w14:paraId="2838627D" w14:textId="77777777" w:rsidR="00BC0E7E" w:rsidRPr="00BC0E7E" w:rsidRDefault="00BC0E7E" w:rsidP="008F4FD5">
      <w:pPr>
        <w:keepNext/>
        <w:rPr>
          <w:szCs w:val="20"/>
          <w:u w:val="single"/>
        </w:rPr>
      </w:pPr>
    </w:p>
    <w:p w14:paraId="16271B79" w14:textId="77777777" w:rsidR="00BC0E7E" w:rsidRPr="00BC0E7E" w:rsidRDefault="00944B8F" w:rsidP="008F4FD5">
      <w:pPr>
        <w:keepNext/>
        <w:rPr>
          <w:szCs w:val="20"/>
        </w:rPr>
      </w:pPr>
      <w:r w:rsidRPr="00BC0E7E">
        <w:rPr>
          <w:szCs w:val="20"/>
        </w:rPr>
        <w:t>Humira is administered by subcutaneous injection. Full instructions for use are provided in the package leaflet.</w:t>
      </w:r>
    </w:p>
    <w:p w14:paraId="75559E10" w14:textId="77777777" w:rsidR="00BC0E7E" w:rsidRPr="00BC0E7E" w:rsidRDefault="00BC0E7E" w:rsidP="008F4FD5">
      <w:pPr>
        <w:keepNext/>
        <w:rPr>
          <w:szCs w:val="20"/>
        </w:rPr>
      </w:pPr>
    </w:p>
    <w:p w14:paraId="709DB2FC" w14:textId="77777777" w:rsidR="00BC0E7E" w:rsidRDefault="00944B8F" w:rsidP="00BC0E7E">
      <w:r>
        <w:t>Humira is available in other strengths and presentations.</w:t>
      </w:r>
    </w:p>
    <w:p w14:paraId="6CE87264" w14:textId="77777777" w:rsidR="004F5CD5" w:rsidRPr="00BC0E7E" w:rsidRDefault="004F5CD5" w:rsidP="00BC0E7E"/>
    <w:p w14:paraId="2C79687B" w14:textId="77777777" w:rsidR="00BC0E7E" w:rsidRPr="00BC0E7E" w:rsidRDefault="00944B8F" w:rsidP="00BC0E7E">
      <w:pPr>
        <w:suppressAutoHyphens w:val="0"/>
        <w:outlineLvl w:val="1"/>
        <w:rPr>
          <w:b/>
          <w:szCs w:val="20"/>
        </w:rPr>
      </w:pPr>
      <w:r w:rsidRPr="00BC0E7E">
        <w:rPr>
          <w:b/>
          <w:szCs w:val="20"/>
        </w:rPr>
        <w:lastRenderedPageBreak/>
        <w:t>4.3</w:t>
      </w:r>
      <w:r w:rsidRPr="00BC0E7E">
        <w:rPr>
          <w:b/>
          <w:szCs w:val="20"/>
        </w:rPr>
        <w:tab/>
        <w:t xml:space="preserve">Contraindications </w:t>
      </w:r>
    </w:p>
    <w:p w14:paraId="48A9FDCA" w14:textId="77777777" w:rsidR="00BC0E7E" w:rsidRPr="00BC0E7E" w:rsidRDefault="00BC0E7E" w:rsidP="00BC0E7E">
      <w:pPr>
        <w:rPr>
          <w:szCs w:val="20"/>
        </w:rPr>
      </w:pPr>
    </w:p>
    <w:p w14:paraId="3C7A16AF" w14:textId="77777777" w:rsidR="00BC0E7E" w:rsidRPr="00BC0E7E" w:rsidRDefault="00944B8F" w:rsidP="00BC0E7E">
      <w:pPr>
        <w:tabs>
          <w:tab w:val="clear" w:pos="562"/>
        </w:tabs>
      </w:pPr>
      <w:r w:rsidRPr="00BC0E7E">
        <w:t xml:space="preserve">Hypersensitivity to the active substance or to any of the excipients listed in section 6.1. </w:t>
      </w:r>
    </w:p>
    <w:p w14:paraId="32C50B6C" w14:textId="77777777" w:rsidR="00BC0E7E" w:rsidRPr="00BC0E7E" w:rsidRDefault="00BC0E7E" w:rsidP="00BC0E7E">
      <w:pPr>
        <w:tabs>
          <w:tab w:val="clear" w:pos="562"/>
        </w:tabs>
      </w:pPr>
    </w:p>
    <w:p w14:paraId="4C53EB86" w14:textId="77777777" w:rsidR="00BC0E7E" w:rsidRPr="00BC0E7E" w:rsidRDefault="00944B8F" w:rsidP="00BC0E7E">
      <w:pPr>
        <w:tabs>
          <w:tab w:val="clear" w:pos="562"/>
        </w:tabs>
      </w:pPr>
      <w:r w:rsidRPr="00BC0E7E">
        <w:t>Active tuberculosis or other severe infections such as sepsis, and opportunistic infections (see section 4.4).</w:t>
      </w:r>
    </w:p>
    <w:p w14:paraId="4A7F63D9" w14:textId="77777777" w:rsidR="00BC0E7E" w:rsidRPr="00BC0E7E" w:rsidRDefault="00BC0E7E" w:rsidP="00BC0E7E">
      <w:pPr>
        <w:tabs>
          <w:tab w:val="clear" w:pos="562"/>
        </w:tabs>
        <w:rPr>
          <w:sz w:val="20"/>
          <w:szCs w:val="20"/>
        </w:rPr>
      </w:pPr>
    </w:p>
    <w:p w14:paraId="14265274" w14:textId="77777777" w:rsidR="00BC0E7E" w:rsidRPr="00BC0E7E" w:rsidRDefault="00944B8F" w:rsidP="00BC0E7E">
      <w:r w:rsidRPr="00BC0E7E">
        <w:t>Moderate to severe heart failure (NYHA class III/IV) (see section 4.4).</w:t>
      </w:r>
    </w:p>
    <w:p w14:paraId="1D35DEB8" w14:textId="77777777" w:rsidR="00BC0E7E" w:rsidRPr="00BC0E7E" w:rsidRDefault="00BC0E7E" w:rsidP="00BC0E7E"/>
    <w:p w14:paraId="36AE03A0" w14:textId="77777777" w:rsidR="00BC0E7E" w:rsidRPr="00BC0E7E" w:rsidRDefault="00944B8F" w:rsidP="00BC0E7E">
      <w:pPr>
        <w:suppressAutoHyphens w:val="0"/>
        <w:outlineLvl w:val="1"/>
        <w:rPr>
          <w:b/>
          <w:szCs w:val="20"/>
        </w:rPr>
      </w:pPr>
      <w:r w:rsidRPr="00BC0E7E">
        <w:rPr>
          <w:b/>
          <w:szCs w:val="20"/>
        </w:rPr>
        <w:t>4.4</w:t>
      </w:r>
      <w:r w:rsidRPr="00BC0E7E">
        <w:rPr>
          <w:b/>
          <w:szCs w:val="20"/>
        </w:rPr>
        <w:tab/>
        <w:t>Special warnings and precautions for use</w:t>
      </w:r>
    </w:p>
    <w:p w14:paraId="4CCDCF3D" w14:textId="77777777" w:rsidR="00BC0E7E" w:rsidRPr="00BC0E7E" w:rsidRDefault="00BC0E7E" w:rsidP="00BC0E7E">
      <w:pPr>
        <w:rPr>
          <w:szCs w:val="20"/>
        </w:rPr>
      </w:pPr>
    </w:p>
    <w:p w14:paraId="0E944742" w14:textId="77777777" w:rsidR="004F5CD5" w:rsidRPr="000244DF" w:rsidRDefault="00944B8F" w:rsidP="004F5CD5">
      <w:pPr>
        <w:pStyle w:val="Heading4"/>
        <w:autoSpaceDE w:val="0"/>
        <w:autoSpaceDN w:val="0"/>
        <w:adjustRightInd w:val="0"/>
        <w:rPr>
          <w:rFonts w:ascii="Times New Roman" w:hAnsi="Times New Roman"/>
          <w:b w:val="0"/>
          <w:sz w:val="22"/>
          <w:szCs w:val="22"/>
          <w:u w:val="single"/>
        </w:rPr>
      </w:pPr>
      <w:r w:rsidRPr="000244DF">
        <w:rPr>
          <w:rFonts w:ascii="Times New Roman" w:hAnsi="Times New Roman"/>
          <w:b w:val="0"/>
          <w:sz w:val="22"/>
          <w:szCs w:val="22"/>
          <w:u w:val="single"/>
        </w:rPr>
        <w:t xml:space="preserve">Traceability </w:t>
      </w:r>
    </w:p>
    <w:p w14:paraId="697E5843" w14:textId="77777777" w:rsidR="004F5CD5" w:rsidRPr="00473C7B" w:rsidRDefault="004F5CD5" w:rsidP="004F5CD5"/>
    <w:p w14:paraId="2F0CDF67" w14:textId="77777777" w:rsidR="00BC0E7E" w:rsidRPr="00BC0E7E" w:rsidRDefault="00944B8F" w:rsidP="00BC0E7E">
      <w:pPr>
        <w:tabs>
          <w:tab w:val="clear" w:pos="562"/>
        </w:tabs>
        <w:rPr>
          <w:b/>
          <w:szCs w:val="22"/>
        </w:rPr>
      </w:pPr>
      <w:r w:rsidRPr="00BC0E7E">
        <w:t xml:space="preserve">In order to improve traceability of biological medicinal products, the </w:t>
      </w:r>
      <w:r w:rsidR="004F5CD5" w:rsidRPr="004F5CD5">
        <w:rPr>
          <w:szCs w:val="22"/>
        </w:rPr>
        <w:t>name</w:t>
      </w:r>
      <w:r w:rsidR="00B21C8B">
        <w:rPr>
          <w:szCs w:val="22"/>
        </w:rPr>
        <w:t xml:space="preserve"> </w:t>
      </w:r>
      <w:r w:rsidRPr="00BC0E7E">
        <w:t>and the batch number of the administered product should be clearly recorded.</w:t>
      </w:r>
    </w:p>
    <w:p w14:paraId="1BE33CD3" w14:textId="77777777" w:rsidR="00BC0E7E" w:rsidRPr="008F4FD5" w:rsidRDefault="00BC0E7E" w:rsidP="00BC0E7E">
      <w:pPr>
        <w:tabs>
          <w:tab w:val="clear" w:pos="562"/>
        </w:tabs>
        <w:rPr>
          <w:szCs w:val="22"/>
        </w:rPr>
      </w:pPr>
    </w:p>
    <w:p w14:paraId="77A12C49" w14:textId="77777777" w:rsidR="00BC0E7E" w:rsidRPr="00BC0E7E" w:rsidRDefault="00944B8F" w:rsidP="007A4250">
      <w:pPr>
        <w:keepNext/>
        <w:rPr>
          <w:b/>
          <w:szCs w:val="22"/>
          <w:u w:val="single"/>
        </w:rPr>
      </w:pPr>
      <w:r w:rsidRPr="00BC0E7E">
        <w:rPr>
          <w:szCs w:val="20"/>
          <w:u w:val="single"/>
        </w:rPr>
        <w:t>Infections</w:t>
      </w:r>
    </w:p>
    <w:p w14:paraId="7D2CF137" w14:textId="77777777" w:rsidR="00BC0E7E" w:rsidRPr="00BC0E7E" w:rsidRDefault="00BC0E7E" w:rsidP="007A4250">
      <w:pPr>
        <w:keepNext/>
        <w:tabs>
          <w:tab w:val="clear" w:pos="562"/>
        </w:tabs>
      </w:pPr>
    </w:p>
    <w:p w14:paraId="402EBF32" w14:textId="77777777" w:rsidR="00BC0E7E" w:rsidRPr="00BC0E7E" w:rsidRDefault="00944B8F" w:rsidP="007A4250">
      <w:pPr>
        <w:keepNext/>
        <w:tabs>
          <w:tab w:val="clear" w:pos="562"/>
        </w:tabs>
      </w:pPr>
      <w:r w:rsidRPr="00BC0E7E">
        <w:t>Patients taking TNF-antagonists are more susceptible to serious infections. Impaired lung function may increase the risk for developing infections. Patients must therefore be monitored closely for infections, including tuberculosis, before, during and after treatment with Humira.  Because the elimination of adalimumab may take up to four months, monitoring should be continued throughout this period.</w:t>
      </w:r>
    </w:p>
    <w:p w14:paraId="5C69B083" w14:textId="77777777" w:rsidR="00BC0E7E" w:rsidRPr="00BC0E7E" w:rsidRDefault="00BC0E7E" w:rsidP="00BC0E7E">
      <w:pPr>
        <w:autoSpaceDE w:val="0"/>
        <w:autoSpaceDN w:val="0"/>
        <w:adjustRightInd w:val="0"/>
      </w:pPr>
    </w:p>
    <w:p w14:paraId="5DA57924" w14:textId="77777777" w:rsidR="00BC0E7E" w:rsidRPr="00BC0E7E" w:rsidRDefault="00944B8F" w:rsidP="00BC0E7E">
      <w:pPr>
        <w:autoSpaceDE w:val="0"/>
        <w:autoSpaceDN w:val="0"/>
        <w:adjustRightInd w:val="0"/>
      </w:pPr>
      <w:r w:rsidRPr="00BC0E7E">
        <w:t xml:space="preserve">Treatment with Humira should not be initiated in patients with active infections including chronic or localised infections until infections are controlled. In patients who have been exposed to tuberculosis and patients who have travelled in areas of high risk of tuberculosis or endemic mycoses, such as histoplasmosis, coccidioidomycosis, or blastomycosis, the risk and benefits of treatment with Humira should be considered prior to initiating therapy (see </w:t>
      </w:r>
      <w:r w:rsidRPr="00BC0E7E">
        <w:rPr>
          <w:i/>
          <w:iCs/>
        </w:rPr>
        <w:t>Other opportunistic infections</w:t>
      </w:r>
      <w:r w:rsidRPr="00BC0E7E">
        <w:t>).</w:t>
      </w:r>
    </w:p>
    <w:p w14:paraId="302534F8" w14:textId="77777777" w:rsidR="00BC0E7E" w:rsidRPr="00BC0E7E" w:rsidRDefault="00BC0E7E" w:rsidP="00BC0E7E">
      <w:pPr>
        <w:autoSpaceDE w:val="0"/>
        <w:autoSpaceDN w:val="0"/>
        <w:adjustRightInd w:val="0"/>
      </w:pPr>
    </w:p>
    <w:p w14:paraId="1E6DCE3C" w14:textId="77777777" w:rsidR="00BC0E7E" w:rsidRPr="00BC0E7E" w:rsidRDefault="00944B8F" w:rsidP="00BC0E7E">
      <w:pPr>
        <w:autoSpaceDE w:val="0"/>
        <w:autoSpaceDN w:val="0"/>
        <w:adjustRightInd w:val="0"/>
      </w:pPr>
      <w:r w:rsidRPr="00BC0E7E">
        <w:t>Patients who develop a new infection while undergoing treatment with Humira should be monitored closely and undergo a complete diagnostic evaluation. Administration of Humira should be discontinued if a patient develops a new serious infection or sepsis, and appropriate antimicrobial or antifungal therapy should be initiated until the infection is controlled.  Physicians should exercise caution when considering the use of Humira in patients with a history of recurring infection or with underlying conditions which may predispose patients to infections, including the use of concomitant immunosuppressive medications.</w:t>
      </w:r>
    </w:p>
    <w:p w14:paraId="758D99DA" w14:textId="77777777" w:rsidR="00BC0E7E" w:rsidRPr="00BC0E7E" w:rsidRDefault="00BC0E7E" w:rsidP="00BC0E7E">
      <w:pPr>
        <w:autoSpaceDE w:val="0"/>
        <w:autoSpaceDN w:val="0"/>
        <w:adjustRightInd w:val="0"/>
      </w:pPr>
    </w:p>
    <w:p w14:paraId="54543A07" w14:textId="77777777" w:rsidR="00BC0E7E" w:rsidRPr="00BC0E7E" w:rsidRDefault="00944B8F" w:rsidP="00BC0E7E">
      <w:pPr>
        <w:keepNext/>
        <w:autoSpaceDE w:val="0"/>
        <w:autoSpaceDN w:val="0"/>
        <w:adjustRightInd w:val="0"/>
        <w:rPr>
          <w:i/>
          <w:iCs/>
        </w:rPr>
      </w:pPr>
      <w:r w:rsidRPr="00BC0E7E">
        <w:rPr>
          <w:i/>
          <w:iCs/>
        </w:rPr>
        <w:t>Serious infections</w:t>
      </w:r>
    </w:p>
    <w:p w14:paraId="3E4305DF" w14:textId="77777777" w:rsidR="00BC0E7E" w:rsidRPr="00BC0E7E" w:rsidRDefault="00BC0E7E" w:rsidP="00BC0E7E">
      <w:pPr>
        <w:keepNext/>
        <w:autoSpaceDE w:val="0"/>
        <w:autoSpaceDN w:val="0"/>
        <w:adjustRightInd w:val="0"/>
      </w:pPr>
    </w:p>
    <w:p w14:paraId="2C4501FF" w14:textId="77777777" w:rsidR="00BC0E7E" w:rsidRPr="00BC0E7E" w:rsidRDefault="00944B8F" w:rsidP="00BC0E7E">
      <w:pPr>
        <w:keepNext/>
        <w:autoSpaceDE w:val="0"/>
        <w:autoSpaceDN w:val="0"/>
        <w:adjustRightInd w:val="0"/>
      </w:pPr>
      <w:r w:rsidRPr="00BC0E7E">
        <w:t xml:space="preserve">Serious infections, </w:t>
      </w:r>
      <w:r w:rsidRPr="00BC0E7E">
        <w:rPr>
          <w:u w:color="0000FF"/>
        </w:rPr>
        <w:t>including sepsis,</w:t>
      </w:r>
      <w:r w:rsidRPr="00BC0E7E">
        <w:t xml:space="preserve"> due to bacterial, mycobacterial, invasive fungal, parasitic, viral, or other opportunistic infections</w:t>
      </w:r>
      <w:r w:rsidRPr="00BC0E7E">
        <w:rPr>
          <w:u w:color="0000FF"/>
        </w:rPr>
        <w:t xml:space="preserve"> such as listeriosis, legionellosis and pneumocystis</w:t>
      </w:r>
      <w:r w:rsidRPr="00BC0E7E">
        <w:t xml:space="preserve"> have been reported in patients receiving Humira.  </w:t>
      </w:r>
    </w:p>
    <w:p w14:paraId="6E6A6023" w14:textId="77777777" w:rsidR="00BC0E7E" w:rsidRPr="00BC0E7E" w:rsidRDefault="00BC0E7E" w:rsidP="00BC0E7E">
      <w:pPr>
        <w:autoSpaceDE w:val="0"/>
        <w:autoSpaceDN w:val="0"/>
        <w:adjustRightInd w:val="0"/>
      </w:pPr>
    </w:p>
    <w:p w14:paraId="01F70A04" w14:textId="77777777" w:rsidR="00BC0E7E" w:rsidRPr="00BC0E7E" w:rsidRDefault="00944B8F" w:rsidP="00BC0E7E">
      <w:pPr>
        <w:autoSpaceDE w:val="0"/>
        <w:autoSpaceDN w:val="0"/>
        <w:adjustRightInd w:val="0"/>
      </w:pPr>
      <w:r w:rsidRPr="00BC0E7E">
        <w:t xml:space="preserve">Other serious infections seen in clinical trials include pneumonia, pyelonephritis, septic arthritis and septicaemia. Hospitalisation or fatal outcomes associated with infections have been reported. </w:t>
      </w:r>
    </w:p>
    <w:p w14:paraId="7D47F31F" w14:textId="77777777" w:rsidR="00BC0E7E" w:rsidRPr="00BC0E7E" w:rsidRDefault="00BC0E7E" w:rsidP="00BC0E7E">
      <w:pPr>
        <w:autoSpaceDE w:val="0"/>
        <w:autoSpaceDN w:val="0"/>
        <w:adjustRightInd w:val="0"/>
      </w:pPr>
    </w:p>
    <w:p w14:paraId="4C46EAE4" w14:textId="77777777" w:rsidR="00BC0E7E" w:rsidRPr="00BC0E7E" w:rsidRDefault="00944B8F" w:rsidP="008F4FD5">
      <w:pPr>
        <w:keepNext/>
        <w:autoSpaceDE w:val="0"/>
        <w:autoSpaceDN w:val="0"/>
        <w:adjustRightInd w:val="0"/>
        <w:rPr>
          <w:i/>
          <w:iCs/>
        </w:rPr>
      </w:pPr>
      <w:r w:rsidRPr="00BC0E7E">
        <w:rPr>
          <w:i/>
          <w:iCs/>
        </w:rPr>
        <w:t>Tuberculosis</w:t>
      </w:r>
    </w:p>
    <w:p w14:paraId="57AE1CB2" w14:textId="77777777" w:rsidR="00BC0E7E" w:rsidRPr="00BC0E7E" w:rsidRDefault="00BC0E7E" w:rsidP="008F4FD5">
      <w:pPr>
        <w:keepNext/>
        <w:autoSpaceDE w:val="0"/>
        <w:autoSpaceDN w:val="0"/>
        <w:adjustRightInd w:val="0"/>
      </w:pPr>
    </w:p>
    <w:p w14:paraId="4D8FB9C5" w14:textId="77777777" w:rsidR="00BC0E7E" w:rsidRPr="00BC0E7E" w:rsidRDefault="00944B8F" w:rsidP="008F4FD5">
      <w:pPr>
        <w:keepNext/>
        <w:autoSpaceDE w:val="0"/>
        <w:autoSpaceDN w:val="0"/>
        <w:adjustRightInd w:val="0"/>
      </w:pPr>
      <w:r w:rsidRPr="00BC0E7E">
        <w:t xml:space="preserve">Tuberculosis, including reactivation and new onset of tuberculosis, has been reported in patients receiving Humira.  Reports included cases of pulmonary and extra-pulmonary (i.e. disseminated) tuberculosis. </w:t>
      </w:r>
    </w:p>
    <w:p w14:paraId="1DD6A3FE" w14:textId="77777777" w:rsidR="00BC0E7E" w:rsidRPr="00BC0E7E" w:rsidRDefault="00BC0E7E" w:rsidP="00BC0E7E">
      <w:pPr>
        <w:autoSpaceDE w:val="0"/>
        <w:autoSpaceDN w:val="0"/>
        <w:adjustRightInd w:val="0"/>
      </w:pPr>
    </w:p>
    <w:p w14:paraId="4E5E108E" w14:textId="77777777" w:rsidR="00BC0E7E" w:rsidRPr="00BC0E7E" w:rsidRDefault="00944B8F" w:rsidP="00BC0E7E">
      <w:r w:rsidRPr="00BC0E7E">
        <w:t xml:space="preserve">Before initiation of therapy with Humira, all patients must be evaluated for both active or inactive (“latent”) tuberculosis infection.  This evaluation should include a detailed medical assessment of patient history of tuberculosis or possible previous exposure to people with active tuberculosis and previous and/or current immunosuppressive therapy.  Appropriate screening tests (i.e. tuberculin skin test and chest </w:t>
      </w:r>
      <w:r w:rsidRPr="00BC0E7E">
        <w:lastRenderedPageBreak/>
        <w:t>X</w:t>
      </w:r>
      <w:r w:rsidRPr="00BC0E7E">
        <w:noBreakHyphen/>
        <w:t xml:space="preserve">ray) should be performed in all patients (local recommendations may apply).  It is recommended that the conduct and results of these tests are recorded in the </w:t>
      </w:r>
      <w:r w:rsidR="002179FE">
        <w:t>Patient Reminder Card</w:t>
      </w:r>
      <w:r w:rsidRPr="00BC0E7E">
        <w:t xml:space="preserve">.  Prescribers are reminded of the risk of false negative tuberculin skin test results, especially in patients who are severely ill or immunocompromised. </w:t>
      </w:r>
    </w:p>
    <w:p w14:paraId="09ADE3CB" w14:textId="77777777" w:rsidR="00BC0E7E" w:rsidRPr="00BC0E7E" w:rsidRDefault="00BC0E7E" w:rsidP="00BC0E7E"/>
    <w:p w14:paraId="6F088BCE" w14:textId="77777777" w:rsidR="00BC0E7E" w:rsidRPr="00BC0E7E" w:rsidRDefault="00944B8F" w:rsidP="00BC0E7E">
      <w:r w:rsidRPr="00BC0E7E">
        <w:t xml:space="preserve">If active tuberculosis is diagnosed, Humira therapy must not be initiated (see section 4.3). </w:t>
      </w:r>
    </w:p>
    <w:p w14:paraId="35E84C5B" w14:textId="77777777" w:rsidR="00BC0E7E" w:rsidRPr="00BC0E7E" w:rsidRDefault="00BC0E7E" w:rsidP="00BC0E7E"/>
    <w:p w14:paraId="2BC615E7" w14:textId="77777777" w:rsidR="00BC0E7E" w:rsidRPr="00BC0E7E" w:rsidRDefault="00944B8F" w:rsidP="00BC0E7E">
      <w:r w:rsidRPr="00BC0E7E">
        <w:t>In all situations described below, the benefit/risk balance of therapy should be very carefully considered.</w:t>
      </w:r>
    </w:p>
    <w:p w14:paraId="69430666" w14:textId="77777777" w:rsidR="00BC0E7E" w:rsidRPr="00BC0E7E" w:rsidRDefault="00BC0E7E" w:rsidP="00BC0E7E"/>
    <w:p w14:paraId="4B595BD5" w14:textId="77777777" w:rsidR="00BC0E7E" w:rsidRPr="00BC0E7E" w:rsidRDefault="00944B8F" w:rsidP="00BC0E7E">
      <w:r w:rsidRPr="00BC0E7E">
        <w:t xml:space="preserve">If latent tuberculosis is suspected, </w:t>
      </w:r>
      <w:r w:rsidRPr="00BC0E7E">
        <w:rPr>
          <w:szCs w:val="22"/>
        </w:rPr>
        <w:t>a physician with expertise in the treatment of tuberculosis should be consulted.</w:t>
      </w:r>
      <w:r w:rsidRPr="00BC0E7E">
        <w:t xml:space="preserve">  </w:t>
      </w:r>
    </w:p>
    <w:p w14:paraId="3E24DFFB" w14:textId="77777777" w:rsidR="00BC0E7E" w:rsidRPr="00BC0E7E" w:rsidRDefault="00BC0E7E" w:rsidP="00BC0E7E"/>
    <w:p w14:paraId="27B185B7" w14:textId="77777777" w:rsidR="00BC0E7E" w:rsidRPr="00BC0E7E" w:rsidRDefault="00944B8F" w:rsidP="00BC0E7E">
      <w:pPr>
        <w:rPr>
          <w:bCs/>
          <w:snapToGrid w:val="0"/>
          <w:szCs w:val="22"/>
        </w:rPr>
      </w:pPr>
      <w:r w:rsidRPr="00BC0E7E">
        <w:rPr>
          <w:szCs w:val="22"/>
        </w:rPr>
        <w:t xml:space="preserve">If latent tuberculosis is diagnosed, appropriate treatment must be started with anti-tuberculosis prophylaxis treatment before the initiation of Humira, and in accordance with local recommendations. </w:t>
      </w:r>
    </w:p>
    <w:p w14:paraId="606375AD" w14:textId="77777777" w:rsidR="00BC0E7E" w:rsidRPr="008F4FD5" w:rsidRDefault="00BC0E7E" w:rsidP="00BC0E7E">
      <w:pPr>
        <w:rPr>
          <w:bCs/>
          <w:iCs/>
        </w:rPr>
      </w:pPr>
    </w:p>
    <w:p w14:paraId="62A65087" w14:textId="77777777" w:rsidR="00BC0E7E" w:rsidRPr="00BC0E7E" w:rsidRDefault="00944B8F" w:rsidP="00BC0E7E">
      <w:r w:rsidRPr="00BC0E7E">
        <w:t xml:space="preserve">Use of anti-tuberculosis prophylaxis treatment should also be considered before the initiation of Humira in patients with several or significant risk factors for tuberculosis despite a negative test for tuberculosis and in patients with a past history of latent or active tuberculosis in whom an adequate course of treatment cannot be confirmed.  </w:t>
      </w:r>
    </w:p>
    <w:p w14:paraId="216C2D5A" w14:textId="77777777" w:rsidR="00BC0E7E" w:rsidRPr="00BC0E7E" w:rsidRDefault="00BC0E7E" w:rsidP="00BC0E7E"/>
    <w:p w14:paraId="4E149529" w14:textId="77777777" w:rsidR="00BC0E7E" w:rsidRPr="00BC0E7E" w:rsidRDefault="00944B8F" w:rsidP="00BC0E7E">
      <w:r w:rsidRPr="00BC0E7E">
        <w:t>Despite prophylactic treatment for tuberculosis, cases of reactivated tuberculosis have occurred in patients treated with Humira. Some patients who have been successfully treated for active tuberculosis have redeveloped tuberculosis while being treated with Humira.</w:t>
      </w:r>
    </w:p>
    <w:p w14:paraId="06AB19F8" w14:textId="77777777" w:rsidR="00BC0E7E" w:rsidRPr="00BC0E7E" w:rsidRDefault="00BC0E7E" w:rsidP="00BC0E7E"/>
    <w:p w14:paraId="6D0FEAED" w14:textId="77777777" w:rsidR="00BC0E7E" w:rsidRPr="00BC0E7E" w:rsidRDefault="00944B8F" w:rsidP="00BC0E7E">
      <w:pPr>
        <w:autoSpaceDE w:val="0"/>
        <w:autoSpaceDN w:val="0"/>
        <w:adjustRightInd w:val="0"/>
      </w:pPr>
      <w:r w:rsidRPr="00BC0E7E">
        <w:t xml:space="preserve">Patients should be instructed to seek medical advice if signs/symptoms suggestive of a tuberculosis infection (e.g., persistent cough, wasting/weight loss, low grade fever, listlessness) occur during or after therapy with Humira. </w:t>
      </w:r>
    </w:p>
    <w:p w14:paraId="16B469E8" w14:textId="77777777" w:rsidR="00BC0E7E" w:rsidRPr="00BC0E7E" w:rsidRDefault="00BC0E7E" w:rsidP="00BC0E7E">
      <w:pPr>
        <w:autoSpaceDE w:val="0"/>
        <w:autoSpaceDN w:val="0"/>
        <w:adjustRightInd w:val="0"/>
      </w:pPr>
    </w:p>
    <w:p w14:paraId="224F9AA9" w14:textId="77777777" w:rsidR="00BC0E7E" w:rsidRPr="00BC0E7E" w:rsidRDefault="00944B8F" w:rsidP="00BC0E7E">
      <w:pPr>
        <w:keepNext/>
        <w:autoSpaceDE w:val="0"/>
        <w:autoSpaceDN w:val="0"/>
        <w:adjustRightInd w:val="0"/>
        <w:rPr>
          <w:i/>
          <w:iCs/>
        </w:rPr>
      </w:pPr>
      <w:r w:rsidRPr="00BC0E7E">
        <w:rPr>
          <w:i/>
          <w:iCs/>
        </w:rPr>
        <w:t>Other opportunistic infections</w:t>
      </w:r>
    </w:p>
    <w:p w14:paraId="62ED13C5" w14:textId="77777777" w:rsidR="00BC0E7E" w:rsidRPr="00BC0E7E" w:rsidRDefault="00BC0E7E" w:rsidP="00BC0E7E">
      <w:pPr>
        <w:keepNext/>
        <w:autoSpaceDE w:val="0"/>
        <w:autoSpaceDN w:val="0"/>
        <w:adjustRightInd w:val="0"/>
      </w:pPr>
    </w:p>
    <w:p w14:paraId="3C1C4642" w14:textId="77777777" w:rsidR="00BC0E7E" w:rsidRPr="00BC0E7E" w:rsidRDefault="00944B8F" w:rsidP="00BC0E7E">
      <w:pPr>
        <w:keepNext/>
        <w:autoSpaceDE w:val="0"/>
        <w:autoSpaceDN w:val="0"/>
        <w:adjustRightInd w:val="0"/>
      </w:pPr>
      <w:r w:rsidRPr="00BC0E7E">
        <w:t xml:space="preserve">Opportunistic infections, including invasive fungal infections have been observed in patients receiving Humira. These infections have not consistently been recognised in patients taking TNF-antagonists and this has resulted in delays in appropriate treatment, sometimes resulting in fatal outcomes. </w:t>
      </w:r>
    </w:p>
    <w:p w14:paraId="23C015B7" w14:textId="77777777" w:rsidR="00BC0E7E" w:rsidRPr="00BC0E7E" w:rsidRDefault="00BC0E7E" w:rsidP="00BC0E7E">
      <w:pPr>
        <w:autoSpaceDE w:val="0"/>
        <w:autoSpaceDN w:val="0"/>
        <w:adjustRightInd w:val="0"/>
      </w:pPr>
    </w:p>
    <w:p w14:paraId="1B0DC8C0" w14:textId="77777777" w:rsidR="00BC0E7E" w:rsidRPr="00BC0E7E" w:rsidRDefault="00944B8F" w:rsidP="00BC0E7E">
      <w:pPr>
        <w:autoSpaceDE w:val="0"/>
        <w:autoSpaceDN w:val="0"/>
        <w:adjustRightInd w:val="0"/>
        <w:spacing w:line="240" w:lineRule="atLeast"/>
        <w:rPr>
          <w:szCs w:val="20"/>
        </w:rPr>
      </w:pPr>
      <w:r w:rsidRPr="00BC0E7E">
        <w:rPr>
          <w:szCs w:val="20"/>
        </w:rPr>
        <w:t xml:space="preserve">For patients who develop the signs and symptoms such as fever, malaise, weight loss, sweats, cough, dyspnoea, and/or pulmonary infiltrates or other serious systemic illness with or without concomitant shock an invasive fungal infection should be suspected and administration of Humira should be promptly discontinued.  Diagnosis and administration of empiric antifungal therapy in these patients should be made in consultation with a physician with expertise in the care of patients with invasive fungal infections. </w:t>
      </w:r>
    </w:p>
    <w:p w14:paraId="7ADB3B39" w14:textId="77777777" w:rsidR="00BC0E7E" w:rsidRPr="00BC0E7E" w:rsidRDefault="00BC0E7E" w:rsidP="00BC0E7E">
      <w:pPr>
        <w:autoSpaceDE w:val="0"/>
        <w:autoSpaceDN w:val="0"/>
        <w:adjustRightInd w:val="0"/>
        <w:spacing w:line="240" w:lineRule="atLeast"/>
        <w:rPr>
          <w:szCs w:val="20"/>
        </w:rPr>
      </w:pPr>
    </w:p>
    <w:p w14:paraId="477BF2DE" w14:textId="77777777" w:rsidR="00BC0E7E" w:rsidRPr="00BC0E7E" w:rsidRDefault="00944B8F" w:rsidP="00BC0E7E">
      <w:pPr>
        <w:autoSpaceDE w:val="0"/>
        <w:autoSpaceDN w:val="0"/>
        <w:adjustRightInd w:val="0"/>
        <w:spacing w:line="240" w:lineRule="atLeast"/>
        <w:rPr>
          <w:szCs w:val="22"/>
          <w:u w:val="single"/>
        </w:rPr>
      </w:pPr>
      <w:r w:rsidRPr="00BC0E7E">
        <w:rPr>
          <w:szCs w:val="22"/>
          <w:u w:val="single"/>
        </w:rPr>
        <w:t>Hepatitis B reactivation</w:t>
      </w:r>
    </w:p>
    <w:p w14:paraId="7920FD8B" w14:textId="77777777" w:rsidR="00BC0E7E" w:rsidRPr="00BC0E7E" w:rsidRDefault="00BC0E7E" w:rsidP="00BC0E7E">
      <w:pPr>
        <w:autoSpaceDE w:val="0"/>
        <w:autoSpaceDN w:val="0"/>
        <w:adjustRightInd w:val="0"/>
        <w:spacing w:line="240" w:lineRule="atLeast"/>
        <w:rPr>
          <w:bCs/>
          <w:i/>
          <w:iCs/>
          <w:szCs w:val="22"/>
        </w:rPr>
      </w:pPr>
    </w:p>
    <w:p w14:paraId="01ABC7F8" w14:textId="77777777" w:rsidR="00BC0E7E" w:rsidRPr="00BC0E7E" w:rsidRDefault="00944B8F" w:rsidP="00BC0E7E">
      <w:pPr>
        <w:tabs>
          <w:tab w:val="clear" w:pos="562"/>
        </w:tabs>
        <w:suppressAutoHyphens w:val="0"/>
        <w:autoSpaceDE w:val="0"/>
        <w:autoSpaceDN w:val="0"/>
        <w:adjustRightInd w:val="0"/>
        <w:spacing w:line="240" w:lineRule="atLeast"/>
        <w:rPr>
          <w:szCs w:val="22"/>
        </w:rPr>
      </w:pPr>
      <w:r w:rsidRPr="00BC0E7E">
        <w:rPr>
          <w:szCs w:val="22"/>
        </w:rPr>
        <w:t>Reactivation of hepatitis B has occurred in patients receiving a TNF-antagonist including Humira, who are chronic carriers of this virus (i.e. surface antigen positive).  Some cases have had a fatal outcome. Patients should be tested for HBV infection before initiating treatment with Humira. For patients who test positive for hepatitis B infection, consultation with a physician with expertise in the treatment of hepatitis B is recommended.</w:t>
      </w:r>
    </w:p>
    <w:p w14:paraId="36231BFC" w14:textId="77777777" w:rsidR="00BC0E7E" w:rsidRPr="00BC0E7E" w:rsidRDefault="00BC0E7E" w:rsidP="00BC0E7E">
      <w:pPr>
        <w:tabs>
          <w:tab w:val="clear" w:pos="562"/>
        </w:tabs>
        <w:suppressAutoHyphens w:val="0"/>
        <w:autoSpaceDE w:val="0"/>
        <w:autoSpaceDN w:val="0"/>
        <w:adjustRightInd w:val="0"/>
        <w:spacing w:line="240" w:lineRule="atLeast"/>
        <w:rPr>
          <w:szCs w:val="22"/>
        </w:rPr>
      </w:pPr>
    </w:p>
    <w:p w14:paraId="7BF55070" w14:textId="77777777" w:rsidR="00BC0E7E" w:rsidRPr="00BC0E7E" w:rsidRDefault="00944B8F" w:rsidP="00BC0E7E">
      <w:pPr>
        <w:tabs>
          <w:tab w:val="clear" w:pos="562"/>
        </w:tabs>
        <w:suppressAutoHyphens w:val="0"/>
        <w:autoSpaceDE w:val="0"/>
        <w:autoSpaceDN w:val="0"/>
        <w:adjustRightInd w:val="0"/>
        <w:spacing w:line="240" w:lineRule="atLeast"/>
        <w:rPr>
          <w:szCs w:val="22"/>
        </w:rPr>
      </w:pPr>
      <w:r w:rsidRPr="00BC0E7E">
        <w:rPr>
          <w:szCs w:val="22"/>
        </w:rPr>
        <w:t xml:space="preserve">Carriers of HBV who require treatment with Humira should be closely monitored for signs and symptoms of active HBV infection throughout therapy and for several months following termination of therapy. Adequate data from treating patients who are carriers of HBV with anti-viral therapy in conjunction with TNF-antagonist therapy to prevent HBV reactivation are not available. In patients who develop HBV </w:t>
      </w:r>
      <w:r w:rsidRPr="00BC0E7E">
        <w:rPr>
          <w:szCs w:val="22"/>
        </w:rPr>
        <w:lastRenderedPageBreak/>
        <w:t xml:space="preserve">reactivation, Humira should be stopped and effective anti-viral therapy with appropriate supportive treatment should be initiated. </w:t>
      </w:r>
    </w:p>
    <w:p w14:paraId="0D1BCAE2" w14:textId="77777777" w:rsidR="00BC0E7E" w:rsidRPr="00BC0E7E" w:rsidRDefault="00BC0E7E" w:rsidP="00BC0E7E">
      <w:pPr>
        <w:tabs>
          <w:tab w:val="clear" w:pos="562"/>
        </w:tabs>
        <w:suppressAutoHyphens w:val="0"/>
        <w:autoSpaceDE w:val="0"/>
        <w:autoSpaceDN w:val="0"/>
        <w:adjustRightInd w:val="0"/>
        <w:spacing w:line="240" w:lineRule="atLeast"/>
        <w:rPr>
          <w:szCs w:val="22"/>
        </w:rPr>
      </w:pPr>
    </w:p>
    <w:p w14:paraId="7E42ECAE" w14:textId="77777777" w:rsidR="00BC0E7E" w:rsidRPr="00BC0E7E" w:rsidRDefault="00944B8F" w:rsidP="00BC0E7E">
      <w:pPr>
        <w:rPr>
          <w:szCs w:val="20"/>
          <w:u w:val="single"/>
        </w:rPr>
      </w:pPr>
      <w:r w:rsidRPr="00BC0E7E">
        <w:rPr>
          <w:szCs w:val="20"/>
          <w:u w:val="single"/>
        </w:rPr>
        <w:t xml:space="preserve">Neurological events </w:t>
      </w:r>
    </w:p>
    <w:p w14:paraId="687ED255" w14:textId="77777777" w:rsidR="00BC0E7E" w:rsidRPr="00BC0E7E" w:rsidRDefault="00BC0E7E" w:rsidP="00BC0E7E">
      <w:pPr>
        <w:rPr>
          <w:szCs w:val="20"/>
        </w:rPr>
      </w:pPr>
    </w:p>
    <w:p w14:paraId="64580249" w14:textId="77777777" w:rsidR="00BC0E7E" w:rsidRPr="00BC0E7E" w:rsidRDefault="00944B8F" w:rsidP="00BC0E7E">
      <w:pPr>
        <w:autoSpaceDE w:val="0"/>
        <w:autoSpaceDN w:val="0"/>
        <w:adjustRightInd w:val="0"/>
      </w:pPr>
      <w:r w:rsidRPr="00BC0E7E">
        <w:t>TNF-antagonists including Humira have been associated in rare instances with new onset or exacerbation of clinical symptoms and/or radiographic evidence of central nervous system demyelinating disease including multiple sclerosis and optic neuritis, and peripheral demyelinating disease, including Guillain-Barré syndrome. Prescribers should exercise caution in considering the use of Humira in patients with pre-existing or recent-onset central or peripheral nervous system demyelinating disorders</w:t>
      </w:r>
      <w:r w:rsidRPr="00BC0E7E">
        <w:rPr>
          <w:bCs/>
        </w:rPr>
        <w:t>; discontinuation of Humira should be considered if any of these disorders develop. There is a known association between intermediate uveitis and central demyelinating disorders. Neurologic evaluation should be performed in patients with non-infectious intermediate uveitis prior to the initiation of Humira therapy and regularly during treatment to assess for pre-existing or developing central demyelinating disorders</w:t>
      </w:r>
      <w:r w:rsidRPr="00BC0E7E">
        <w:t xml:space="preserve">. </w:t>
      </w:r>
    </w:p>
    <w:p w14:paraId="1F5C8A94" w14:textId="77777777" w:rsidR="00BC0E7E" w:rsidRPr="00BC0E7E" w:rsidRDefault="00BC0E7E" w:rsidP="00BC0E7E">
      <w:pPr>
        <w:autoSpaceDE w:val="0"/>
        <w:autoSpaceDN w:val="0"/>
        <w:adjustRightInd w:val="0"/>
      </w:pPr>
    </w:p>
    <w:p w14:paraId="3C3D245C" w14:textId="77777777" w:rsidR="00BC0E7E" w:rsidRPr="00BC0E7E" w:rsidRDefault="00944B8F" w:rsidP="00BC0E7E">
      <w:pPr>
        <w:rPr>
          <w:szCs w:val="20"/>
          <w:u w:val="single"/>
        </w:rPr>
      </w:pPr>
      <w:r w:rsidRPr="00BC0E7E">
        <w:rPr>
          <w:szCs w:val="20"/>
          <w:u w:val="single"/>
        </w:rPr>
        <w:t>Allergic reactions</w:t>
      </w:r>
    </w:p>
    <w:p w14:paraId="10A8BA09" w14:textId="77777777" w:rsidR="00BC0E7E" w:rsidRPr="00BC0E7E" w:rsidRDefault="00BC0E7E" w:rsidP="00BC0E7E">
      <w:pPr>
        <w:rPr>
          <w:szCs w:val="20"/>
        </w:rPr>
      </w:pPr>
    </w:p>
    <w:p w14:paraId="33F5B23A" w14:textId="77777777" w:rsidR="00BC0E7E" w:rsidRPr="00BC0E7E" w:rsidRDefault="00944B8F" w:rsidP="00BC0E7E">
      <w:pPr>
        <w:autoSpaceDE w:val="0"/>
        <w:autoSpaceDN w:val="0"/>
        <w:adjustRightInd w:val="0"/>
      </w:pPr>
      <w:r w:rsidRPr="00BC0E7E">
        <w:t xml:space="preserve">Serious allergic reactions associated with Humira were rare during clinical trials. Non-serious allergic reactions associated with Humira were uncommon during clinical trials. Reports of serious allergic reactions including anaphylaxis have been received following Humira administration. If an anaphylactic reaction or other serious allergic reaction occurs, administration of Humira should be discontinued immediately and appropriate therapy initiated. </w:t>
      </w:r>
    </w:p>
    <w:p w14:paraId="73C3356E" w14:textId="77777777" w:rsidR="00BC0E7E" w:rsidRPr="00BC0E7E" w:rsidRDefault="00BC0E7E" w:rsidP="00BC0E7E">
      <w:pPr>
        <w:autoSpaceDE w:val="0"/>
        <w:autoSpaceDN w:val="0"/>
        <w:adjustRightInd w:val="0"/>
      </w:pPr>
    </w:p>
    <w:p w14:paraId="22E5BF6A" w14:textId="77777777" w:rsidR="00BC0E7E" w:rsidRPr="00BC0E7E" w:rsidRDefault="00944B8F" w:rsidP="00BC0E7E">
      <w:pPr>
        <w:rPr>
          <w:szCs w:val="20"/>
          <w:u w:val="single"/>
        </w:rPr>
      </w:pPr>
      <w:r w:rsidRPr="00BC0E7E">
        <w:rPr>
          <w:szCs w:val="20"/>
          <w:u w:val="single"/>
        </w:rPr>
        <w:t>Immunosuppression</w:t>
      </w:r>
    </w:p>
    <w:p w14:paraId="62ED021F" w14:textId="77777777" w:rsidR="00BC0E7E" w:rsidRPr="00BC0E7E" w:rsidRDefault="00BC0E7E" w:rsidP="00BC0E7E">
      <w:pPr>
        <w:rPr>
          <w:szCs w:val="20"/>
        </w:rPr>
      </w:pPr>
    </w:p>
    <w:p w14:paraId="39775D71" w14:textId="77777777" w:rsidR="00BC0E7E" w:rsidRPr="00BC0E7E" w:rsidRDefault="00944B8F" w:rsidP="00BC0E7E">
      <w:pPr>
        <w:rPr>
          <w:szCs w:val="20"/>
        </w:rPr>
      </w:pPr>
      <w:r w:rsidRPr="00BC0E7E">
        <w:rPr>
          <w:szCs w:val="20"/>
        </w:rPr>
        <w:t>In a study of 64 patients with rheumatoid arthritis that were treated with Humira, there was no evidence of depression of delayed-type hypersensitivity, depression of immunoglobulin levels, or change in enumeration of effector T-, B</w:t>
      </w:r>
      <w:r w:rsidR="00E77479">
        <w:rPr>
          <w:szCs w:val="20"/>
        </w:rPr>
        <w:t>-</w:t>
      </w:r>
      <w:r w:rsidRPr="00BC0E7E">
        <w:rPr>
          <w:szCs w:val="20"/>
        </w:rPr>
        <w:t>, NK-cells, monocyte/macrophages, and neutrophils.</w:t>
      </w:r>
    </w:p>
    <w:p w14:paraId="33488D65" w14:textId="77777777" w:rsidR="00BC0E7E" w:rsidRPr="00BC0E7E" w:rsidRDefault="00BC0E7E" w:rsidP="00BC0E7E">
      <w:pPr>
        <w:rPr>
          <w:szCs w:val="20"/>
        </w:rPr>
      </w:pPr>
    </w:p>
    <w:p w14:paraId="01653143" w14:textId="77777777" w:rsidR="00BC0E7E" w:rsidRPr="00BC0E7E" w:rsidRDefault="00944B8F" w:rsidP="00BC0E7E">
      <w:pPr>
        <w:rPr>
          <w:szCs w:val="20"/>
          <w:u w:val="single"/>
        </w:rPr>
      </w:pPr>
      <w:r w:rsidRPr="00BC0E7E">
        <w:rPr>
          <w:szCs w:val="20"/>
          <w:u w:val="single"/>
        </w:rPr>
        <w:t>Malignancies and lymphoproliferative disorders</w:t>
      </w:r>
    </w:p>
    <w:p w14:paraId="221F9B74" w14:textId="77777777" w:rsidR="00BC0E7E" w:rsidRPr="00BC0E7E" w:rsidRDefault="00BC0E7E" w:rsidP="00BC0E7E">
      <w:pPr>
        <w:rPr>
          <w:szCs w:val="20"/>
        </w:rPr>
      </w:pPr>
    </w:p>
    <w:p w14:paraId="319B68E4" w14:textId="77777777" w:rsidR="00BC0E7E" w:rsidRPr="00BC0E7E" w:rsidRDefault="00944B8F" w:rsidP="00BC0E7E">
      <w:pPr>
        <w:rPr>
          <w:szCs w:val="20"/>
        </w:rPr>
      </w:pPr>
      <w:r w:rsidRPr="00BC0E7E">
        <w:rPr>
          <w:szCs w:val="20"/>
        </w:rPr>
        <w:t>In the controlled portions of clinical trials of TNF-antagonists, more cases of malignancies including lymphoma have been observed among patients receiving a TNF-antagonist compared with control patients. However, the occurrence was rare. In the post marketing setting, cases of leukaemia have been reported in patients treated with a TNF-antagonist. There is an increased background risk for lymphoma and leukaemia in rheumatoid arthritis patients with long-standing, highly active, inflammatory disease, which complicates the risk estimation. With the current knowledge, a possible risk for the development of lymphomas, leukaemia, and other malignancies in patients treated with a TNF-antagonist cannot be excluded.</w:t>
      </w:r>
    </w:p>
    <w:p w14:paraId="3213B734" w14:textId="77777777" w:rsidR="00BC0E7E" w:rsidRPr="00BC0E7E" w:rsidRDefault="00BC0E7E" w:rsidP="00BC0E7E">
      <w:pPr>
        <w:rPr>
          <w:szCs w:val="20"/>
        </w:rPr>
      </w:pPr>
    </w:p>
    <w:p w14:paraId="396802D8" w14:textId="77777777" w:rsidR="00BC0E7E" w:rsidRPr="00BC0E7E" w:rsidRDefault="00944B8F" w:rsidP="00BC0E7E">
      <w:pPr>
        <w:rPr>
          <w:szCs w:val="20"/>
        </w:rPr>
      </w:pPr>
      <w:r w:rsidRPr="00BC0E7E">
        <w:rPr>
          <w:szCs w:val="20"/>
        </w:rPr>
        <w:t xml:space="preserve">Malignancies, some fatal, have been reported among children, adolescents and young adults (up to 22 years of age) treated with TNF-antagonists (initiation of therapy ≤ 18 years of age), including adalimumab in the post marketing setting. Approximately half the cases were lymphomas. The other cases represented a variety of different malignancies and included rare malignancies usually associated with immunosuppression. A risk for the development of malignancies in children and adolescents treated with TNF-antagonists cannot be excluded. </w:t>
      </w:r>
    </w:p>
    <w:p w14:paraId="6641FC75" w14:textId="77777777" w:rsidR="00BC0E7E" w:rsidRPr="00BC0E7E" w:rsidRDefault="00BC0E7E" w:rsidP="00BC0E7E">
      <w:pPr>
        <w:rPr>
          <w:szCs w:val="20"/>
        </w:rPr>
      </w:pPr>
    </w:p>
    <w:p w14:paraId="0C7F10E3" w14:textId="77777777" w:rsidR="00BC0E7E" w:rsidRPr="00BC0E7E" w:rsidRDefault="00944B8F" w:rsidP="00BC0E7E">
      <w:pPr>
        <w:rPr>
          <w:szCs w:val="20"/>
        </w:rPr>
      </w:pPr>
      <w:r w:rsidRPr="00BC0E7E">
        <w:rPr>
          <w:szCs w:val="20"/>
        </w:rPr>
        <w:t xml:space="preserve">Rare postmarketing cases of hepatosplenic T-cell lymphoma have been identified in patients treated with adalimumab. This rare type of T-cell lymphoma has a very aggressive disease course and is usually fatal. Some of these hepatosplenic T-cell lymphomas with Humira have occurred in young adult patients on concomitant treatment with azathioprine or 6-mercaptopurine used for inflammatory bowel disease. The potential risk with the combination of azathioprine or 6-mercaptopurine and Humira should be carefully </w:t>
      </w:r>
      <w:r w:rsidRPr="00BC0E7E">
        <w:rPr>
          <w:szCs w:val="20"/>
        </w:rPr>
        <w:lastRenderedPageBreak/>
        <w:t>considered. A risk for the development of hepatosplenic T-cell lymphoma in patients treated with Humira cannot be excluded (see section 4.8).</w:t>
      </w:r>
    </w:p>
    <w:p w14:paraId="01B79C07" w14:textId="77777777" w:rsidR="00BC0E7E" w:rsidRPr="00BC0E7E" w:rsidRDefault="00BC0E7E" w:rsidP="00BC0E7E">
      <w:pPr>
        <w:rPr>
          <w:szCs w:val="20"/>
        </w:rPr>
      </w:pPr>
    </w:p>
    <w:p w14:paraId="7BE9578F" w14:textId="77777777" w:rsidR="00BC0E7E" w:rsidRPr="00BC0E7E" w:rsidRDefault="00944B8F" w:rsidP="00BC0E7E">
      <w:r w:rsidRPr="00BC0E7E">
        <w:t>No studies have been conducted that include patients with a history of malignancy or in whom treatment with Humira is continued following development of malignancy.  Thus</w:t>
      </w:r>
      <w:r w:rsidR="00C22BBE">
        <w:t>,</w:t>
      </w:r>
      <w:r w:rsidRPr="00BC0E7E">
        <w:t xml:space="preserve"> additional caution should be exercised in considering Humira treatment of these patients (see section 4.8).</w:t>
      </w:r>
    </w:p>
    <w:p w14:paraId="41D110CC" w14:textId="77777777" w:rsidR="00BC0E7E" w:rsidRPr="00BC0E7E" w:rsidRDefault="00BC0E7E" w:rsidP="00BC0E7E"/>
    <w:p w14:paraId="0C7E38A8" w14:textId="77777777" w:rsidR="00BC0E7E" w:rsidRPr="00BC0E7E" w:rsidRDefault="00944B8F" w:rsidP="00BC0E7E">
      <w:pPr>
        <w:rPr>
          <w:i/>
          <w:u w:val="single"/>
        </w:rPr>
      </w:pPr>
      <w:r w:rsidRPr="00BC0E7E">
        <w:t>All patients, and in particular patients with a medical history of extensive immunosuppressant therapy or psoriasis patients with a history of PUVA treatment should be examined for the presence of non-melanoma skin cancer prior to and during treatment with Humira.  Melanoma and Merkel cell carcinoma have also been reported in patients treated with TNF-antagonists including adalimumab (see section 4.8).</w:t>
      </w:r>
    </w:p>
    <w:p w14:paraId="615030A3" w14:textId="77777777" w:rsidR="00BC0E7E" w:rsidRPr="00BC0E7E" w:rsidRDefault="00BC0E7E" w:rsidP="00BC0E7E">
      <w:pPr>
        <w:rPr>
          <w:i/>
          <w:u w:val="single"/>
        </w:rPr>
      </w:pPr>
    </w:p>
    <w:p w14:paraId="5C66D27A" w14:textId="77777777" w:rsidR="00BC0E7E" w:rsidRPr="00BC0E7E" w:rsidRDefault="00944B8F" w:rsidP="00BC0E7E">
      <w:r w:rsidRPr="00BC0E7E">
        <w:t>In an exploratory clinical trial evaluating the use of another TNF-antagonist, infliximab, in patients with moderate to severe chronic obstructive pulmonary disease (COPD), more malignancies, mostly in the lung or head and neck, were reported in infliximab-treated patients compared with control patients. All patients had a history of heavy smoking. Therefore, caution should be exercised when using any TNF-antagonist in COPD patients, as well as in patients with increased risk for malignancy due to heavy smoking.</w:t>
      </w:r>
    </w:p>
    <w:p w14:paraId="6FA5766C" w14:textId="77777777" w:rsidR="00BC0E7E" w:rsidRPr="00BC0E7E" w:rsidRDefault="00BC0E7E" w:rsidP="00BC0E7E">
      <w:pPr>
        <w:rPr>
          <w:iCs/>
          <w:szCs w:val="22"/>
        </w:rPr>
      </w:pPr>
    </w:p>
    <w:p w14:paraId="39BD00D9" w14:textId="77777777" w:rsidR="00BC0E7E" w:rsidRPr="00BC0E7E" w:rsidRDefault="00944B8F" w:rsidP="00BC0E7E">
      <w:r w:rsidRPr="00BC0E7E">
        <w:rPr>
          <w:iCs/>
          <w:szCs w:val="22"/>
        </w:rPr>
        <w:t>With current data it is not known if adalimumab treatment influences the risk for developing dysplasia or colon cancer.  All patients with ulcerative colitis who are at increased risk for dysplasia or colon carcinoma (for example, patients with long-standing ulcerative colitis or primary sclerosing cholangitis), or who had a prior history of dysplasia or colon carcinoma should be screened for dysplasia at regular intervals before therapy and throughout their disease course. This evaluation should include colonoscopy and biopsies per local recommendations.</w:t>
      </w:r>
    </w:p>
    <w:p w14:paraId="22D6692A" w14:textId="77777777" w:rsidR="00BC0E7E" w:rsidRPr="00BC0E7E" w:rsidRDefault="00BC0E7E" w:rsidP="00BC0E7E"/>
    <w:p w14:paraId="168D2C0E" w14:textId="77777777" w:rsidR="00BC0E7E" w:rsidRPr="00BC0E7E" w:rsidRDefault="00944B8F" w:rsidP="00BC0E7E">
      <w:pPr>
        <w:rPr>
          <w:u w:val="single"/>
        </w:rPr>
      </w:pPr>
      <w:r w:rsidRPr="00BC0E7E">
        <w:rPr>
          <w:u w:val="single"/>
        </w:rPr>
        <w:t>Haematologic reactions</w:t>
      </w:r>
    </w:p>
    <w:p w14:paraId="40DFC69D" w14:textId="77777777" w:rsidR="00BC0E7E" w:rsidRPr="00BC0E7E" w:rsidRDefault="00BC0E7E" w:rsidP="00BC0E7E"/>
    <w:p w14:paraId="63D35158" w14:textId="77777777" w:rsidR="00BC0E7E" w:rsidRPr="00BC0E7E" w:rsidRDefault="00944B8F" w:rsidP="00BC0E7E">
      <w:r w:rsidRPr="00BC0E7E">
        <w:t>Rare reports of pancytopenia including aplastic anaemia have been reported with TNF-antagonists.  Adverse events of the haematologic system, including medically significant cytopenia (e.g. thrombocytopenia, leukopenia) have been reported with Humira. All patients should be advised to seek immediate medical attention if they develop signs and symptoms suggestive of blood dyscrasias (e.g. persistent fever, bruising, bleeding, pallor) while on Humira. Discontinuation of Humira therapy should be considered in patients with confirmed significant haematologic abnormalities.</w:t>
      </w:r>
    </w:p>
    <w:p w14:paraId="3CE494C8" w14:textId="77777777" w:rsidR="00BC0E7E" w:rsidRPr="00BC0E7E" w:rsidRDefault="00BC0E7E" w:rsidP="00BC0E7E"/>
    <w:p w14:paraId="282C8124" w14:textId="77777777" w:rsidR="00BC0E7E" w:rsidRPr="00BC0E7E" w:rsidRDefault="00944B8F" w:rsidP="007D7686">
      <w:pPr>
        <w:keepNext/>
        <w:rPr>
          <w:u w:val="single"/>
        </w:rPr>
      </w:pPr>
      <w:r w:rsidRPr="00BC0E7E">
        <w:rPr>
          <w:u w:val="single"/>
        </w:rPr>
        <w:t xml:space="preserve">Vaccinations </w:t>
      </w:r>
    </w:p>
    <w:p w14:paraId="4E631CAA" w14:textId="77777777" w:rsidR="00BC0E7E" w:rsidRPr="00BC0E7E" w:rsidRDefault="00BC0E7E" w:rsidP="007D7686">
      <w:pPr>
        <w:keepNext/>
        <w:rPr>
          <w:szCs w:val="20"/>
        </w:rPr>
      </w:pPr>
    </w:p>
    <w:p w14:paraId="4B4F96C0" w14:textId="77777777" w:rsidR="00BC0E7E" w:rsidRPr="00BC0E7E" w:rsidRDefault="00944B8F" w:rsidP="007D7686">
      <w:pPr>
        <w:keepNext/>
        <w:autoSpaceDE w:val="0"/>
        <w:autoSpaceDN w:val="0"/>
        <w:adjustRightInd w:val="0"/>
      </w:pPr>
      <w:r w:rsidRPr="00BC0E7E">
        <w:t xml:space="preserve">Similar antibody responses to the standard 23-valent pneumococcal vaccine and the influenza trivalent virus vaccination were observed in a study in 226 adult subjects with rheumatoid arthritis who were treated with adalimumab or placebo. No data are available on the secondary transmission of infection by live vaccines in patients receiving Humira.  </w:t>
      </w:r>
    </w:p>
    <w:p w14:paraId="47571A4B" w14:textId="77777777" w:rsidR="00BC0E7E" w:rsidRPr="00BC0E7E" w:rsidRDefault="00BC0E7E" w:rsidP="00BC0E7E">
      <w:pPr>
        <w:autoSpaceDE w:val="0"/>
        <w:autoSpaceDN w:val="0"/>
        <w:adjustRightInd w:val="0"/>
      </w:pPr>
    </w:p>
    <w:p w14:paraId="73988137" w14:textId="77777777" w:rsidR="00BC0E7E" w:rsidRPr="00BC0E7E" w:rsidRDefault="00944B8F" w:rsidP="00BC0E7E">
      <w:pPr>
        <w:autoSpaceDE w:val="0"/>
        <w:autoSpaceDN w:val="0"/>
        <w:adjustRightInd w:val="0"/>
      </w:pPr>
      <w:r w:rsidRPr="00BC0E7E">
        <w:t>It is recommended that paediatric patients, if possible, be brought up to date with all immunisations in agreement with current immunisation guidelines prior to initiating Humira therapy.</w:t>
      </w:r>
    </w:p>
    <w:p w14:paraId="3CA2103E" w14:textId="77777777" w:rsidR="00BC0E7E" w:rsidRPr="00BC0E7E" w:rsidRDefault="00BC0E7E" w:rsidP="00BC0E7E">
      <w:pPr>
        <w:autoSpaceDE w:val="0"/>
        <w:autoSpaceDN w:val="0"/>
        <w:adjustRightInd w:val="0"/>
      </w:pPr>
    </w:p>
    <w:p w14:paraId="3055FEB4" w14:textId="77777777" w:rsidR="00BC0E7E" w:rsidRPr="00BC0E7E" w:rsidRDefault="00944B8F" w:rsidP="00BC0E7E">
      <w:pPr>
        <w:autoSpaceDE w:val="0"/>
        <w:autoSpaceDN w:val="0"/>
        <w:adjustRightInd w:val="0"/>
      </w:pPr>
      <w:r w:rsidRPr="00BC0E7E">
        <w:t xml:space="preserve">Patients on Humira may receive concurrent vaccinations, except for live vaccines. Administration of live vaccines </w:t>
      </w:r>
      <w:r w:rsidR="00E9300D" w:rsidRPr="00B2265A">
        <w:rPr>
          <w:szCs w:val="22"/>
        </w:rPr>
        <w:t>(e.g., BCG vaccine)</w:t>
      </w:r>
      <w:r w:rsidR="00E9300D">
        <w:rPr>
          <w:szCs w:val="22"/>
        </w:rPr>
        <w:t xml:space="preserve"> </w:t>
      </w:r>
      <w:r w:rsidRPr="00BC0E7E">
        <w:t>to infants exposed to adalimumab in utero is not recommended for 5 months following the mother’s last adalimumab injection during pregnancy.</w:t>
      </w:r>
    </w:p>
    <w:p w14:paraId="6E19139C" w14:textId="77777777" w:rsidR="00BC0E7E" w:rsidRPr="00BC0E7E" w:rsidRDefault="00BC0E7E" w:rsidP="00BC0E7E">
      <w:pPr>
        <w:autoSpaceDE w:val="0"/>
        <w:autoSpaceDN w:val="0"/>
        <w:adjustRightInd w:val="0"/>
      </w:pPr>
    </w:p>
    <w:p w14:paraId="531227CE" w14:textId="77777777" w:rsidR="00BC0E7E" w:rsidRPr="00BC0E7E" w:rsidRDefault="00944B8F" w:rsidP="00BC0E7E">
      <w:pPr>
        <w:rPr>
          <w:szCs w:val="20"/>
          <w:u w:val="single"/>
        </w:rPr>
      </w:pPr>
      <w:r w:rsidRPr="00BC0E7E">
        <w:rPr>
          <w:szCs w:val="20"/>
          <w:u w:val="single"/>
        </w:rPr>
        <w:t>Congestive heart failure</w:t>
      </w:r>
    </w:p>
    <w:p w14:paraId="7A8DE578" w14:textId="77777777" w:rsidR="00BC0E7E" w:rsidRPr="00BC0E7E" w:rsidRDefault="00BC0E7E" w:rsidP="00BC0E7E">
      <w:pPr>
        <w:rPr>
          <w:szCs w:val="20"/>
        </w:rPr>
      </w:pPr>
    </w:p>
    <w:p w14:paraId="30A9326B" w14:textId="77777777" w:rsidR="00BC0E7E" w:rsidRPr="00BC0E7E" w:rsidRDefault="00944B8F" w:rsidP="00BC0E7E">
      <w:pPr>
        <w:rPr>
          <w:szCs w:val="20"/>
        </w:rPr>
      </w:pPr>
      <w:r w:rsidRPr="00BC0E7E">
        <w:rPr>
          <w:szCs w:val="20"/>
        </w:rPr>
        <w:t xml:space="preserve">In a clinical trial with another TNF-antagonist worsening congestive heart failure and increased mortality due to congestive heart failure have been observed. Cases of worsening congestive heart failure have also been reported in patients receiving Humira. Humira should be used with caution in patients with mild </w:t>
      </w:r>
      <w:r w:rsidRPr="00BC0E7E">
        <w:rPr>
          <w:szCs w:val="20"/>
        </w:rPr>
        <w:lastRenderedPageBreak/>
        <w:t>heart failure (NYHA class I/II). Humira is contraindicated in moderate to severe heart failure (see section 4.3). Treatment with Humira must be discontinued in patients who develop new or worsening symptoms of congestive heart failure.</w:t>
      </w:r>
    </w:p>
    <w:p w14:paraId="65FFF63B" w14:textId="77777777" w:rsidR="00BC0E7E" w:rsidRPr="00BC0E7E" w:rsidRDefault="00BC0E7E" w:rsidP="00BC0E7E">
      <w:pPr>
        <w:rPr>
          <w:i/>
          <w:iCs/>
          <w:szCs w:val="20"/>
        </w:rPr>
      </w:pPr>
    </w:p>
    <w:p w14:paraId="27961A97" w14:textId="77777777" w:rsidR="00BC0E7E" w:rsidRPr="00BC0E7E" w:rsidRDefault="00944B8F" w:rsidP="00BC0E7E">
      <w:pPr>
        <w:rPr>
          <w:szCs w:val="20"/>
          <w:u w:val="single"/>
        </w:rPr>
      </w:pPr>
      <w:r w:rsidRPr="00BC0E7E">
        <w:rPr>
          <w:szCs w:val="20"/>
          <w:u w:val="single"/>
        </w:rPr>
        <w:t>Autoimmune processes</w:t>
      </w:r>
    </w:p>
    <w:p w14:paraId="4486CE93" w14:textId="77777777" w:rsidR="00BC0E7E" w:rsidRPr="00BC0E7E" w:rsidRDefault="00BC0E7E" w:rsidP="00BC0E7E">
      <w:pPr>
        <w:rPr>
          <w:szCs w:val="20"/>
        </w:rPr>
      </w:pPr>
    </w:p>
    <w:p w14:paraId="02AFAE54" w14:textId="77777777" w:rsidR="00BC0E7E" w:rsidRPr="00BC0E7E" w:rsidRDefault="00944B8F" w:rsidP="00BC0E7E">
      <w:pPr>
        <w:rPr>
          <w:szCs w:val="22"/>
        </w:rPr>
      </w:pPr>
      <w:r w:rsidRPr="00BC0E7E">
        <w:t>Treatment with Humira may result in the formation of autoimmune antibodies.</w:t>
      </w:r>
      <w:r w:rsidRPr="00BC0E7E">
        <w:rPr>
          <w:i/>
          <w:iCs/>
        </w:rPr>
        <w:t xml:space="preserve"> </w:t>
      </w:r>
      <w:r w:rsidRPr="00BC0E7E">
        <w:t xml:space="preserve">The impact of long-term treatment with Humira on the development of autoimmune diseases is unknown. </w:t>
      </w:r>
      <w:r w:rsidRPr="00BC0E7E">
        <w:rPr>
          <w:szCs w:val="22"/>
        </w:rPr>
        <w:t>If a patient develops symptoms suggestive of a lupus-like syndrome following treatment with Humira and is positive for antibodies against double-stranded DNA, further treatment with Humira should not be given (see section 4.8).</w:t>
      </w:r>
    </w:p>
    <w:p w14:paraId="28BF8696" w14:textId="77777777" w:rsidR="00BC0E7E" w:rsidRPr="00BC0E7E" w:rsidRDefault="00BC0E7E" w:rsidP="00BC0E7E"/>
    <w:p w14:paraId="569AF991" w14:textId="77777777" w:rsidR="00BC0E7E" w:rsidRPr="00BC0E7E" w:rsidRDefault="00944B8F" w:rsidP="00BC0E7E">
      <w:pPr>
        <w:keepNext/>
        <w:rPr>
          <w:szCs w:val="20"/>
          <w:u w:val="single"/>
        </w:rPr>
      </w:pPr>
      <w:r w:rsidRPr="00BC0E7E">
        <w:rPr>
          <w:szCs w:val="20"/>
          <w:u w:val="single"/>
        </w:rPr>
        <w:t>Concurrent administration of biologic DMARDS or TNF-antagonists</w:t>
      </w:r>
    </w:p>
    <w:p w14:paraId="12650EB0" w14:textId="77777777" w:rsidR="00BC0E7E" w:rsidRPr="00BC0E7E" w:rsidRDefault="00BC0E7E" w:rsidP="00BC0E7E">
      <w:pPr>
        <w:keepNext/>
        <w:rPr>
          <w:szCs w:val="20"/>
        </w:rPr>
      </w:pPr>
    </w:p>
    <w:p w14:paraId="49F135B4" w14:textId="77777777" w:rsidR="00BC0E7E" w:rsidRPr="00BC0E7E" w:rsidRDefault="00944B8F" w:rsidP="00BC0E7E">
      <w:pPr>
        <w:keepNext/>
        <w:rPr>
          <w:szCs w:val="20"/>
        </w:rPr>
      </w:pPr>
      <w:r w:rsidRPr="00BC0E7E">
        <w:rPr>
          <w:szCs w:val="20"/>
        </w:rPr>
        <w:t>Serious infections were seen in clinical studies with concurrent use of anakinra and another TNF</w:t>
      </w:r>
      <w:r w:rsidRPr="00BC0E7E">
        <w:rPr>
          <w:szCs w:val="20"/>
        </w:rPr>
        <w:noBreakHyphen/>
        <w:t>antagonist, etanercept, with no added clinical benefit compared to etanercept alone. Because of the nature of the adverse events seen with the combination of etanercept and anakinra therapy, similar toxicities may also result from the combination of anakinra and other TNF-antagonists. Therefore, the combination of adalimumab and anakinra is not recommended. (See section 4.5).</w:t>
      </w:r>
    </w:p>
    <w:p w14:paraId="45A603F8" w14:textId="77777777" w:rsidR="00BC0E7E" w:rsidRPr="00BC0E7E" w:rsidRDefault="00BC0E7E" w:rsidP="00BC0E7E">
      <w:pPr>
        <w:rPr>
          <w:szCs w:val="20"/>
        </w:rPr>
      </w:pPr>
    </w:p>
    <w:p w14:paraId="0CF3292C" w14:textId="77777777" w:rsidR="00BC0E7E" w:rsidRPr="00BC0E7E" w:rsidRDefault="00944B8F" w:rsidP="00BC0E7E">
      <w:pPr>
        <w:rPr>
          <w:szCs w:val="20"/>
        </w:rPr>
      </w:pPr>
      <w:r w:rsidRPr="00BC0E7E">
        <w:rPr>
          <w:szCs w:val="20"/>
        </w:rPr>
        <w:t>Concomitant administration of adalimumab with other biologic DMARDS (e.g, anakinra and abatacept) or other TNF-antagonists is not recommended based upon the possible increased risk for infections, including serious infections and other potential pharmacological interactions. (See section 4.5).</w:t>
      </w:r>
    </w:p>
    <w:p w14:paraId="677F3BEC" w14:textId="77777777" w:rsidR="00BC0E7E" w:rsidRPr="00BC0E7E" w:rsidRDefault="00BC0E7E" w:rsidP="00BC0E7E">
      <w:pPr>
        <w:rPr>
          <w:szCs w:val="20"/>
        </w:rPr>
      </w:pPr>
    </w:p>
    <w:p w14:paraId="172ABCC1" w14:textId="77777777" w:rsidR="00BC0E7E" w:rsidRPr="00BC0E7E" w:rsidRDefault="00944B8F" w:rsidP="00BC0E7E">
      <w:pPr>
        <w:rPr>
          <w:szCs w:val="20"/>
          <w:u w:val="single"/>
        </w:rPr>
      </w:pPr>
      <w:r w:rsidRPr="00BC0E7E">
        <w:rPr>
          <w:szCs w:val="20"/>
          <w:u w:val="single"/>
        </w:rPr>
        <w:t>Surgery</w:t>
      </w:r>
    </w:p>
    <w:p w14:paraId="5D9800CB" w14:textId="77777777" w:rsidR="00BC0E7E" w:rsidRPr="00BC0E7E" w:rsidRDefault="00BC0E7E" w:rsidP="00BC0E7E">
      <w:pPr>
        <w:rPr>
          <w:szCs w:val="20"/>
        </w:rPr>
      </w:pPr>
    </w:p>
    <w:p w14:paraId="2B634CEE" w14:textId="77777777" w:rsidR="00BC0E7E" w:rsidRPr="00BC0E7E" w:rsidRDefault="00944B8F" w:rsidP="00BC0E7E">
      <w:pPr>
        <w:tabs>
          <w:tab w:val="clear" w:pos="562"/>
        </w:tabs>
      </w:pPr>
      <w:r w:rsidRPr="00BC0E7E">
        <w:t xml:space="preserve">There is limited safety experience of surgical procedures in patients treated with Humira. The long half-life of adalimumab should be taken into consideration if a surgical procedure is planned.  A patient who requires surgery while on Humira should be closely monitored for infections, and appropriate actions should be taken. There is limited safety experience in patients undergoing arthroplasty while receiving Humira. </w:t>
      </w:r>
    </w:p>
    <w:p w14:paraId="1B8B107E" w14:textId="77777777" w:rsidR="00BC0E7E" w:rsidRPr="00BC0E7E" w:rsidRDefault="00BC0E7E" w:rsidP="00BC0E7E">
      <w:pPr>
        <w:tabs>
          <w:tab w:val="clear" w:pos="562"/>
        </w:tabs>
      </w:pPr>
    </w:p>
    <w:p w14:paraId="410476EF" w14:textId="77777777" w:rsidR="00BC0E7E" w:rsidRPr="00BC0E7E" w:rsidRDefault="00944B8F" w:rsidP="00BC0E7E">
      <w:pPr>
        <w:keepNext/>
        <w:tabs>
          <w:tab w:val="clear" w:pos="562"/>
        </w:tabs>
        <w:rPr>
          <w:u w:val="single"/>
        </w:rPr>
      </w:pPr>
      <w:r w:rsidRPr="00BC0E7E">
        <w:rPr>
          <w:u w:val="single"/>
        </w:rPr>
        <w:t>Small bowel obstruction</w:t>
      </w:r>
    </w:p>
    <w:p w14:paraId="63537B66" w14:textId="77777777" w:rsidR="00BC0E7E" w:rsidRPr="00BC0E7E" w:rsidRDefault="00BC0E7E" w:rsidP="00BC0E7E">
      <w:pPr>
        <w:keepNext/>
        <w:tabs>
          <w:tab w:val="clear" w:pos="562"/>
        </w:tabs>
      </w:pPr>
    </w:p>
    <w:p w14:paraId="14B1EA53" w14:textId="77777777" w:rsidR="00BC0E7E" w:rsidRPr="00BC0E7E" w:rsidRDefault="00944B8F" w:rsidP="00BC0E7E">
      <w:pPr>
        <w:keepNext/>
        <w:tabs>
          <w:tab w:val="clear" w:pos="562"/>
        </w:tabs>
      </w:pPr>
      <w:r w:rsidRPr="00BC0E7E">
        <w:t>Failure to respond to treatment for Crohn’s disease may indicate the presence of fixed fibrotic stricture that may require surgical treatment. Available data suggest that Humira does not worsen or cause strictures.</w:t>
      </w:r>
    </w:p>
    <w:p w14:paraId="087725B5" w14:textId="77777777" w:rsidR="00BC0E7E" w:rsidRPr="00BC0E7E" w:rsidRDefault="00BC0E7E" w:rsidP="00BC0E7E">
      <w:pPr>
        <w:tabs>
          <w:tab w:val="clear" w:pos="562"/>
        </w:tabs>
      </w:pPr>
    </w:p>
    <w:p w14:paraId="5DEE4307" w14:textId="77777777" w:rsidR="00BC0E7E" w:rsidRPr="00BC0E7E" w:rsidRDefault="00944B8F" w:rsidP="00BC0E7E">
      <w:pPr>
        <w:keepNext/>
        <w:tabs>
          <w:tab w:val="clear" w:pos="562"/>
        </w:tabs>
        <w:rPr>
          <w:u w:val="single"/>
        </w:rPr>
      </w:pPr>
      <w:r w:rsidRPr="00BC0E7E">
        <w:rPr>
          <w:u w:val="single"/>
        </w:rPr>
        <w:t>Elderly</w:t>
      </w:r>
    </w:p>
    <w:p w14:paraId="188E5F2D" w14:textId="77777777" w:rsidR="00BC0E7E" w:rsidRPr="00BC0E7E" w:rsidRDefault="00BC0E7E" w:rsidP="00BC0E7E">
      <w:pPr>
        <w:keepNext/>
        <w:tabs>
          <w:tab w:val="clear" w:pos="562"/>
        </w:tabs>
      </w:pPr>
    </w:p>
    <w:p w14:paraId="28E60FF3" w14:textId="77777777" w:rsidR="00BC0E7E" w:rsidRPr="00BC0E7E" w:rsidRDefault="00944B8F" w:rsidP="00BC0E7E">
      <w:pPr>
        <w:tabs>
          <w:tab w:val="clear" w:pos="562"/>
        </w:tabs>
      </w:pPr>
      <w:r w:rsidRPr="00BC0E7E">
        <w:t>The frequency of serious infections among Humira treated subjects over 65 years of age (3.7%) was higher than for those under 65 years of age (1.5%). Some of those had a fatal outcome. Particular attention regarding the risk for infection should be paid when treating the elderly.</w:t>
      </w:r>
    </w:p>
    <w:p w14:paraId="1CFEA583" w14:textId="77777777" w:rsidR="00BC0E7E" w:rsidRPr="00BC0E7E" w:rsidRDefault="00BC0E7E" w:rsidP="00BC0E7E">
      <w:pPr>
        <w:tabs>
          <w:tab w:val="clear" w:pos="562"/>
        </w:tabs>
      </w:pPr>
    </w:p>
    <w:p w14:paraId="702049F6" w14:textId="77777777" w:rsidR="00BC0E7E" w:rsidRPr="00BC0E7E" w:rsidRDefault="00944B8F" w:rsidP="00BC0E7E">
      <w:pPr>
        <w:keepNext/>
        <w:tabs>
          <w:tab w:val="clear" w:pos="562"/>
        </w:tabs>
        <w:rPr>
          <w:u w:val="single"/>
        </w:rPr>
      </w:pPr>
      <w:r w:rsidRPr="00BC0E7E">
        <w:rPr>
          <w:u w:val="single"/>
        </w:rPr>
        <w:t>Paediatric population</w:t>
      </w:r>
    </w:p>
    <w:p w14:paraId="21C24520" w14:textId="77777777" w:rsidR="00BC0E7E" w:rsidRPr="00BC0E7E" w:rsidRDefault="00BC0E7E" w:rsidP="00BC0E7E">
      <w:pPr>
        <w:keepNext/>
        <w:tabs>
          <w:tab w:val="clear" w:pos="562"/>
        </w:tabs>
      </w:pPr>
    </w:p>
    <w:p w14:paraId="34E29FB0" w14:textId="77777777" w:rsidR="00BC0E7E" w:rsidRDefault="00944B8F" w:rsidP="00BC0E7E">
      <w:pPr>
        <w:keepNext/>
        <w:tabs>
          <w:tab w:val="clear" w:pos="562"/>
        </w:tabs>
        <w:rPr>
          <w:ins w:id="8485" w:author="AbbVie19" w:date="2025-04-17T10:57:00Z"/>
        </w:rPr>
      </w:pPr>
      <w:r w:rsidRPr="00BC0E7E">
        <w:t>See Vaccinations above.</w:t>
      </w:r>
    </w:p>
    <w:p w14:paraId="7514EC37" w14:textId="77777777" w:rsidR="005658A0" w:rsidRDefault="005658A0" w:rsidP="00BC0E7E">
      <w:pPr>
        <w:keepNext/>
        <w:tabs>
          <w:tab w:val="clear" w:pos="562"/>
        </w:tabs>
        <w:rPr>
          <w:ins w:id="8486" w:author="AbbVie19" w:date="2025-04-17T10:57:00Z"/>
        </w:rPr>
      </w:pPr>
    </w:p>
    <w:p w14:paraId="3EB6EC8C" w14:textId="4085587B" w:rsidR="005658A0" w:rsidRDefault="00944B8F" w:rsidP="005658A0">
      <w:pPr>
        <w:keepNext/>
        <w:rPr>
          <w:ins w:id="8487" w:author="AbbVie19" w:date="2025-04-17T10:59:00Z"/>
          <w:szCs w:val="22"/>
          <w:u w:val="single"/>
        </w:rPr>
      </w:pPr>
      <w:ins w:id="8488" w:author="AbbVie19" w:date="2025-04-17T10:57:00Z">
        <w:r w:rsidRPr="00B364D7">
          <w:rPr>
            <w:szCs w:val="22"/>
            <w:u w:val="single"/>
          </w:rPr>
          <w:t>Excipients with known effect</w:t>
        </w:r>
      </w:ins>
    </w:p>
    <w:p w14:paraId="0A9D865D" w14:textId="77777777" w:rsidR="00EA0FB2" w:rsidRDefault="00EA0FB2" w:rsidP="005658A0">
      <w:pPr>
        <w:keepNext/>
        <w:rPr>
          <w:ins w:id="8489" w:author="AbbVie19" w:date="2025-04-17T10:59:00Z"/>
          <w:szCs w:val="22"/>
          <w:u w:val="single"/>
        </w:rPr>
      </w:pPr>
    </w:p>
    <w:p w14:paraId="04B2AB1E" w14:textId="7CDC40D0" w:rsidR="005658A0" w:rsidRPr="00BC0E7E" w:rsidRDefault="00944B8F" w:rsidP="00BC0E7E">
      <w:pPr>
        <w:keepNext/>
        <w:tabs>
          <w:tab w:val="clear" w:pos="562"/>
        </w:tabs>
      </w:pPr>
      <w:ins w:id="8490" w:author="AbbVie19" w:date="2025-04-17T10:59:00Z">
        <w:r w:rsidRPr="00B364D7">
          <w:rPr>
            <w:szCs w:val="22"/>
          </w:rPr>
          <w:t>This medicinal product contains</w:t>
        </w:r>
      </w:ins>
      <w:ins w:id="8491" w:author="AbbVie19" w:date="2025-05-06T09:08:00Z">
        <w:r w:rsidR="00671233">
          <w:rPr>
            <w:szCs w:val="22"/>
          </w:rPr>
          <w:t xml:space="preserve"> 0.4</w:t>
        </w:r>
      </w:ins>
      <w:ins w:id="8492" w:author="AbbVie15" w:date="2025-08-27T10:21:00Z">
        <w:r w:rsidR="00762FA7">
          <w:rPr>
            <w:szCs w:val="22"/>
          </w:rPr>
          <w:t> </w:t>
        </w:r>
      </w:ins>
      <w:ins w:id="8493" w:author="AbbVie19" w:date="2025-04-17T10:59:00Z">
        <w:r w:rsidRPr="00B364D7">
          <w:rPr>
            <w:szCs w:val="22"/>
          </w:rPr>
          <w:t>mg of polysorbate </w:t>
        </w:r>
        <w:r>
          <w:rPr>
            <w:szCs w:val="22"/>
          </w:rPr>
          <w:t>8</w:t>
        </w:r>
        <w:r w:rsidRPr="00B364D7">
          <w:rPr>
            <w:szCs w:val="22"/>
          </w:rPr>
          <w:t xml:space="preserve">0 in each </w:t>
        </w:r>
        <w:r>
          <w:rPr>
            <w:szCs w:val="22"/>
          </w:rPr>
          <w:t>40</w:t>
        </w:r>
      </w:ins>
      <w:ins w:id="8494" w:author="AbbVie15" w:date="2025-08-27T10:21:00Z">
        <w:r w:rsidR="00762FA7">
          <w:rPr>
            <w:szCs w:val="22"/>
          </w:rPr>
          <w:t> </w:t>
        </w:r>
      </w:ins>
      <w:ins w:id="8495" w:author="AbbVie19" w:date="2025-04-17T10:59:00Z">
        <w:r>
          <w:rPr>
            <w:szCs w:val="22"/>
          </w:rPr>
          <w:t>mg dose.</w:t>
        </w:r>
      </w:ins>
      <w:ins w:id="8496" w:author="AbbVie15" w:date="2025-08-27T10:21:00Z">
        <w:r w:rsidR="00762FA7">
          <w:rPr>
            <w:szCs w:val="22"/>
          </w:rPr>
          <w:t xml:space="preserve"> </w:t>
        </w:r>
        <w:r w:rsidR="00762FA7" w:rsidRPr="00762FA7">
          <w:rPr>
            <w:szCs w:val="22"/>
          </w:rPr>
          <w:t>Polysorbates may cause allergic reactions</w:t>
        </w:r>
        <w:r w:rsidR="00762FA7">
          <w:rPr>
            <w:szCs w:val="22"/>
          </w:rPr>
          <w:t>.</w:t>
        </w:r>
      </w:ins>
    </w:p>
    <w:p w14:paraId="555B5CEA" w14:textId="77777777" w:rsidR="00BC0E7E" w:rsidRPr="00BC0E7E" w:rsidRDefault="00BC0E7E" w:rsidP="00BC0E7E">
      <w:pPr>
        <w:tabs>
          <w:tab w:val="clear" w:pos="562"/>
        </w:tabs>
      </w:pPr>
    </w:p>
    <w:p w14:paraId="2D0864A0" w14:textId="77777777" w:rsidR="00BC0E7E" w:rsidRPr="00BC0E7E" w:rsidRDefault="00944B8F" w:rsidP="00BC0E7E">
      <w:pPr>
        <w:suppressAutoHyphens w:val="0"/>
        <w:outlineLvl w:val="1"/>
        <w:rPr>
          <w:b/>
          <w:szCs w:val="20"/>
        </w:rPr>
      </w:pPr>
      <w:r w:rsidRPr="00BC0E7E">
        <w:rPr>
          <w:b/>
          <w:szCs w:val="20"/>
        </w:rPr>
        <w:lastRenderedPageBreak/>
        <w:t>4.5</w:t>
      </w:r>
      <w:r w:rsidRPr="00BC0E7E">
        <w:rPr>
          <w:b/>
          <w:szCs w:val="20"/>
        </w:rPr>
        <w:tab/>
        <w:t xml:space="preserve">Interaction with other medicinal products and other forms of interaction </w:t>
      </w:r>
    </w:p>
    <w:p w14:paraId="360920B2" w14:textId="77777777" w:rsidR="00BC0E7E" w:rsidRPr="00BC0E7E" w:rsidRDefault="00BC0E7E" w:rsidP="00BC0E7E">
      <w:pPr>
        <w:rPr>
          <w:szCs w:val="20"/>
        </w:rPr>
      </w:pPr>
    </w:p>
    <w:p w14:paraId="17382CF3" w14:textId="77777777" w:rsidR="00BC0E7E" w:rsidRPr="00BC0E7E" w:rsidRDefault="00944B8F" w:rsidP="00BC0E7E">
      <w:pPr>
        <w:autoSpaceDE w:val="0"/>
        <w:autoSpaceDN w:val="0"/>
        <w:adjustRightInd w:val="0"/>
      </w:pPr>
      <w:r w:rsidRPr="00BC0E7E">
        <w:t xml:space="preserve">Humira has been studied in rheumatoid arthritis, polyarticular juvenile idiopathic arthritis and psoriatic arthritis patients taking Humira as monotherapy and those taking concomitant methotrexate.  Antibody formation was lower when Humira was given together with methotrexate in comparison with use as monotherapy. Administration of Humira without methotrexate resulted in increased formation of antibodies, increased clearance and reduced efficacy of adalimumab (see section 5.1). </w:t>
      </w:r>
    </w:p>
    <w:p w14:paraId="61212969" w14:textId="77777777" w:rsidR="00BC0E7E" w:rsidRPr="00BC0E7E" w:rsidRDefault="00BC0E7E" w:rsidP="00BC0E7E">
      <w:pPr>
        <w:autoSpaceDE w:val="0"/>
        <w:autoSpaceDN w:val="0"/>
        <w:adjustRightInd w:val="0"/>
      </w:pPr>
    </w:p>
    <w:p w14:paraId="503E97C1" w14:textId="77777777" w:rsidR="00BC0E7E" w:rsidRPr="00BC0E7E" w:rsidRDefault="00944B8F" w:rsidP="00BC0E7E">
      <w:pPr>
        <w:autoSpaceDE w:val="0"/>
        <w:autoSpaceDN w:val="0"/>
        <w:adjustRightInd w:val="0"/>
      </w:pPr>
      <w:r w:rsidRPr="00BC0E7E">
        <w:t xml:space="preserve">The combination of Humira and anakinra is not recommended (see section 4.4 “Concurrent administration of biologic DMARDS or TNF-antagonists”). </w:t>
      </w:r>
    </w:p>
    <w:p w14:paraId="0C50B590" w14:textId="77777777" w:rsidR="00BC0E7E" w:rsidRPr="00BC0E7E" w:rsidRDefault="00BC0E7E" w:rsidP="00BC0E7E">
      <w:pPr>
        <w:autoSpaceDE w:val="0"/>
        <w:autoSpaceDN w:val="0"/>
        <w:adjustRightInd w:val="0"/>
      </w:pPr>
    </w:p>
    <w:p w14:paraId="0F51FEC0" w14:textId="77777777" w:rsidR="00BC0E7E" w:rsidRPr="00BC0E7E" w:rsidRDefault="00944B8F" w:rsidP="00BC0E7E">
      <w:pPr>
        <w:autoSpaceDE w:val="0"/>
        <w:autoSpaceDN w:val="0"/>
        <w:adjustRightInd w:val="0"/>
      </w:pPr>
      <w:r w:rsidRPr="00BC0E7E">
        <w:t>The combination of Humira and abatacept is not recommended (see section 4.4 “Concurrent administration of biologic DMARDS or TNF-antagonists”).</w:t>
      </w:r>
    </w:p>
    <w:p w14:paraId="57A6D062" w14:textId="77777777" w:rsidR="00BC0E7E" w:rsidRPr="00BC0E7E" w:rsidRDefault="00BC0E7E" w:rsidP="00BC0E7E">
      <w:pPr>
        <w:autoSpaceDE w:val="0"/>
        <w:autoSpaceDN w:val="0"/>
        <w:adjustRightInd w:val="0"/>
      </w:pPr>
    </w:p>
    <w:p w14:paraId="35952821" w14:textId="77777777" w:rsidR="00BC0E7E" w:rsidRPr="00816607" w:rsidRDefault="00944B8F" w:rsidP="00BC0E7E">
      <w:pPr>
        <w:keepNext/>
        <w:autoSpaceDE w:val="0"/>
        <w:autoSpaceDN w:val="0"/>
        <w:adjustRightInd w:val="0"/>
        <w:rPr>
          <w:bCs/>
        </w:rPr>
      </w:pPr>
      <w:r w:rsidRPr="00BC0E7E">
        <w:rPr>
          <w:b/>
          <w:bCs/>
        </w:rPr>
        <w:t>4.6</w:t>
      </w:r>
      <w:r w:rsidRPr="00BC0E7E">
        <w:rPr>
          <w:b/>
          <w:bCs/>
        </w:rPr>
        <w:tab/>
        <w:t>Fer</w:t>
      </w:r>
      <w:r w:rsidR="00816607">
        <w:rPr>
          <w:b/>
          <w:bCs/>
        </w:rPr>
        <w:t>tility, pregnancy and lactation</w:t>
      </w:r>
    </w:p>
    <w:p w14:paraId="36313C60" w14:textId="77777777" w:rsidR="00BC0E7E" w:rsidRPr="00BC0E7E" w:rsidRDefault="00BC0E7E" w:rsidP="00BC0E7E">
      <w:pPr>
        <w:keepNext/>
        <w:autoSpaceDE w:val="0"/>
        <w:autoSpaceDN w:val="0"/>
        <w:adjustRightInd w:val="0"/>
      </w:pPr>
    </w:p>
    <w:p w14:paraId="19E6062B" w14:textId="77777777" w:rsidR="00BC0E7E" w:rsidRPr="00BC0E7E" w:rsidRDefault="00944B8F" w:rsidP="00BC0E7E">
      <w:pPr>
        <w:keepNext/>
        <w:autoSpaceDE w:val="0"/>
        <w:autoSpaceDN w:val="0"/>
        <w:adjustRightInd w:val="0"/>
        <w:rPr>
          <w:u w:val="single"/>
        </w:rPr>
      </w:pPr>
      <w:r w:rsidRPr="00BC0E7E">
        <w:rPr>
          <w:u w:val="single"/>
        </w:rPr>
        <w:t>Women of childbearing potential</w:t>
      </w:r>
    </w:p>
    <w:p w14:paraId="28876A8D" w14:textId="77777777" w:rsidR="00BC0E7E" w:rsidRPr="00BC0E7E" w:rsidRDefault="00BC0E7E" w:rsidP="00BC0E7E">
      <w:pPr>
        <w:keepNext/>
      </w:pPr>
    </w:p>
    <w:p w14:paraId="6E0F6F46" w14:textId="77777777" w:rsidR="00BC0E7E" w:rsidRPr="00BC0E7E" w:rsidRDefault="00944B8F" w:rsidP="00BC0E7E">
      <w:pPr>
        <w:keepNext/>
      </w:pPr>
      <w:r w:rsidRPr="00BC0E7E">
        <w:t xml:space="preserve">Women of childbearing potential </w:t>
      </w:r>
      <w:r w:rsidR="00E9300D">
        <w:t>should consider the</w:t>
      </w:r>
      <w:r w:rsidRPr="00BC0E7E">
        <w:t xml:space="preserve"> use </w:t>
      </w:r>
      <w:r w:rsidR="00E9300D">
        <w:t xml:space="preserve">of </w:t>
      </w:r>
      <w:r w:rsidRPr="00BC0E7E">
        <w:t>adequate contraception to prevent pregnancy and continue its use for at least five months after the last Humira treatment.</w:t>
      </w:r>
    </w:p>
    <w:p w14:paraId="612CB847" w14:textId="77777777" w:rsidR="00BC0E7E" w:rsidRPr="00BC0E7E" w:rsidRDefault="00BC0E7E" w:rsidP="00BC0E7E">
      <w:pPr>
        <w:autoSpaceDE w:val="0"/>
        <w:autoSpaceDN w:val="0"/>
        <w:adjustRightInd w:val="0"/>
        <w:rPr>
          <w:bCs/>
          <w:u w:val="single"/>
        </w:rPr>
      </w:pPr>
    </w:p>
    <w:p w14:paraId="0BA672B5" w14:textId="77777777" w:rsidR="00BC0E7E" w:rsidRPr="00BC0E7E" w:rsidRDefault="00944B8F" w:rsidP="00BC0E7E">
      <w:pPr>
        <w:autoSpaceDE w:val="0"/>
        <w:autoSpaceDN w:val="0"/>
        <w:adjustRightInd w:val="0"/>
        <w:rPr>
          <w:bCs/>
          <w:u w:val="single"/>
        </w:rPr>
      </w:pPr>
      <w:r w:rsidRPr="00BC0E7E">
        <w:rPr>
          <w:bCs/>
          <w:u w:val="single"/>
        </w:rPr>
        <w:t>Pregnancy</w:t>
      </w:r>
    </w:p>
    <w:p w14:paraId="0B8B4759" w14:textId="77777777" w:rsidR="00BC0E7E" w:rsidRPr="00BC0E7E" w:rsidRDefault="00BC0E7E" w:rsidP="00BC0E7E">
      <w:pPr>
        <w:autoSpaceDE w:val="0"/>
        <w:autoSpaceDN w:val="0"/>
        <w:adjustRightInd w:val="0"/>
        <w:rPr>
          <w:bCs/>
        </w:rPr>
      </w:pPr>
    </w:p>
    <w:p w14:paraId="793CE0A5" w14:textId="77777777" w:rsidR="00BC0E7E" w:rsidRDefault="00944B8F" w:rsidP="00BC0E7E">
      <w:pPr>
        <w:autoSpaceDE w:val="0"/>
        <w:autoSpaceDN w:val="0"/>
        <w:adjustRightInd w:val="0"/>
        <w:rPr>
          <w:bCs/>
        </w:rPr>
      </w:pPr>
      <w:r w:rsidRPr="00946ECA">
        <w:rPr>
          <w:bCs/>
        </w:rPr>
        <w:t>A large number (approximately 2100) of prospectively collected pregnancies exposed to adalimumab resulting in live birth with known outcomes, including more than 1500 exposed during the first trimester, does not indicate an increase in the rate of malformation in the newborn.</w:t>
      </w:r>
    </w:p>
    <w:p w14:paraId="2F830670" w14:textId="77777777" w:rsidR="00E9300D" w:rsidRDefault="00E9300D" w:rsidP="00BC0E7E">
      <w:pPr>
        <w:autoSpaceDE w:val="0"/>
        <w:autoSpaceDN w:val="0"/>
        <w:adjustRightInd w:val="0"/>
        <w:rPr>
          <w:bCs/>
        </w:rPr>
      </w:pPr>
    </w:p>
    <w:p w14:paraId="509AD120" w14:textId="77777777" w:rsidR="00E9300D" w:rsidRPr="00BC0E7E" w:rsidRDefault="00944B8F" w:rsidP="00BC0E7E">
      <w:pPr>
        <w:autoSpaceDE w:val="0"/>
        <w:autoSpaceDN w:val="0"/>
        <w:adjustRightInd w:val="0"/>
      </w:pPr>
      <w:r w:rsidRPr="00946ECA">
        <w:rPr>
          <w:rFonts w:eastAsia="TimesNewRoman"/>
          <w:color w:val="000000"/>
          <w:szCs w:val="22"/>
        </w:rPr>
        <w:t xml:space="preserve">In a prospective cohort registry, 257 women with rheumatoid arthritis (RA) or Crohn’s disease (CD) treated with adalimumab at least during the first trimester and 120 women with RA or CD not treated with adalimumab were enrolled.  The primary endpoint was the birth prevalence of major birth defects. The rate of </w:t>
      </w:r>
      <w:r w:rsidRPr="00946ECA">
        <w:rPr>
          <w:rFonts w:eastAsia="TimesNewRoman"/>
          <w:szCs w:val="22"/>
        </w:rPr>
        <w:t xml:space="preserve">pregnancies ending with at least one live born infant with a major birth defect was 6/69 (8.7%) </w:t>
      </w:r>
      <w:r w:rsidRPr="00946ECA">
        <w:rPr>
          <w:szCs w:val="22"/>
        </w:rPr>
        <w:t>in the adalimumab-treated women with RA and 5/74 (6.8%) in the untreated women with RA (unadjusted OR 1.31, 95% CI 0.38-4.52) and 16/152 (10.5%) in the adalimumab-treated women with CD and 3/32 (9.4%) in the untreated women with CD (unadjusted OR 1.14, 95% CI 0.31-4.16). The adjusted OR (accounting for baseline differences) was 1.10 (95% CI 0.45-2.73) with RA and CD combined</w:t>
      </w:r>
      <w:r w:rsidRPr="00946ECA">
        <w:rPr>
          <w:rFonts w:eastAsia="TimesNewRoman"/>
          <w:szCs w:val="22"/>
        </w:rPr>
        <w:t xml:space="preserve">. There were no distinct differences between </w:t>
      </w:r>
      <w:r w:rsidRPr="00946ECA">
        <w:rPr>
          <w:szCs w:val="22"/>
        </w:rPr>
        <w:t xml:space="preserve">adalimumab-treated and untreated women </w:t>
      </w:r>
      <w:r w:rsidRPr="00946ECA">
        <w:rPr>
          <w:rFonts w:eastAsia="TimesNewRoman"/>
          <w:szCs w:val="22"/>
        </w:rPr>
        <w:t xml:space="preserve">for the secondary </w:t>
      </w:r>
      <w:r w:rsidRPr="00946ECA">
        <w:rPr>
          <w:rFonts w:eastAsia="TimesNewRoman"/>
          <w:color w:val="000000"/>
          <w:szCs w:val="22"/>
        </w:rPr>
        <w:t xml:space="preserve">endpoints spontaneous abortions, minor birth defects, preterm </w:t>
      </w:r>
      <w:r w:rsidRPr="00946ECA">
        <w:rPr>
          <w:rFonts w:eastAsia="TimesNewRoman"/>
          <w:szCs w:val="22"/>
        </w:rPr>
        <w:t xml:space="preserve">delivery, birth size and serious or opportunistic infections </w:t>
      </w:r>
      <w:r w:rsidRPr="00946ECA">
        <w:rPr>
          <w:szCs w:val="22"/>
        </w:rPr>
        <w:t xml:space="preserve">and no stillbirths or malignancies were reported. </w:t>
      </w:r>
      <w:r w:rsidRPr="00946ECA">
        <w:rPr>
          <w:rFonts w:eastAsia="TimesNewRoman"/>
          <w:szCs w:val="22"/>
        </w:rPr>
        <w:t xml:space="preserve">The interpretation of data </w:t>
      </w:r>
      <w:r w:rsidRPr="00946ECA">
        <w:rPr>
          <w:szCs w:val="22"/>
        </w:rPr>
        <w:t>may be impacted due to methodological limitations of the study, including small sample size and non-randomized design.</w:t>
      </w:r>
    </w:p>
    <w:p w14:paraId="5E559BAE" w14:textId="77777777" w:rsidR="00BC0E7E" w:rsidRPr="00BC0E7E" w:rsidRDefault="00BC0E7E" w:rsidP="00BC0E7E">
      <w:pPr>
        <w:autoSpaceDE w:val="0"/>
        <w:autoSpaceDN w:val="0"/>
        <w:adjustRightInd w:val="0"/>
      </w:pPr>
    </w:p>
    <w:p w14:paraId="15424100" w14:textId="77777777" w:rsidR="00BC0E7E" w:rsidRPr="00BC0E7E" w:rsidRDefault="00944B8F" w:rsidP="00BC0E7E">
      <w:pPr>
        <w:autoSpaceDE w:val="0"/>
        <w:autoSpaceDN w:val="0"/>
        <w:adjustRightInd w:val="0"/>
      </w:pPr>
      <w:r w:rsidRPr="00BC0E7E">
        <w:t>In a developmental toxicity study conducted in monkeys, there was no indication of maternal toxicity, embryotoxicity or teratogenicity. Preclinical data on postnatal toxicity of adalimumab are not available (see section 5.3).</w:t>
      </w:r>
    </w:p>
    <w:p w14:paraId="29C447DC" w14:textId="77777777" w:rsidR="00BC0E7E" w:rsidRPr="00BC0E7E" w:rsidRDefault="00BC0E7E" w:rsidP="00BC0E7E">
      <w:pPr>
        <w:autoSpaceDE w:val="0"/>
        <w:autoSpaceDN w:val="0"/>
        <w:adjustRightInd w:val="0"/>
      </w:pPr>
    </w:p>
    <w:p w14:paraId="6A0598DD" w14:textId="77777777" w:rsidR="00BC0E7E" w:rsidRPr="00BC0E7E" w:rsidRDefault="00944B8F" w:rsidP="00BC0E7E">
      <w:pPr>
        <w:autoSpaceDE w:val="0"/>
        <w:autoSpaceDN w:val="0"/>
        <w:adjustRightInd w:val="0"/>
      </w:pPr>
      <w:r w:rsidRPr="00BC0E7E">
        <w:t>Due to its inhibition of TNF</w:t>
      </w:r>
      <w:r w:rsidRPr="00BC0E7E">
        <w:rPr>
          <w:rFonts w:ascii="Symbol" w:eastAsia="Symbol" w:hAnsi="Symbol" w:cs="Symbol"/>
          <w:szCs w:val="22"/>
        </w:rPr>
        <w:sym w:font="Symbol" w:char="F061"/>
      </w:r>
      <w:r w:rsidRPr="00BC0E7E">
        <w:t>, adalimumab administered during pregnancy could affect normal immune responses in the newborn.</w:t>
      </w:r>
      <w:r w:rsidR="00E9300D" w:rsidRPr="00E9300D">
        <w:rPr>
          <w:bCs/>
          <w:iCs/>
          <w:szCs w:val="22"/>
        </w:rPr>
        <w:t xml:space="preserve"> </w:t>
      </w:r>
      <w:r w:rsidR="00E9300D" w:rsidRPr="00B2265A">
        <w:rPr>
          <w:bCs/>
          <w:iCs/>
          <w:szCs w:val="22"/>
        </w:rPr>
        <w:t>Adalimumab should only be used during pregnancy if clearly needed.</w:t>
      </w:r>
      <w:r w:rsidRPr="00BC0E7E">
        <w:t xml:space="preserve">  </w:t>
      </w:r>
    </w:p>
    <w:p w14:paraId="73C63D3C" w14:textId="77777777" w:rsidR="00BC0E7E" w:rsidRPr="00BC0E7E" w:rsidRDefault="00BC0E7E" w:rsidP="00BC0E7E"/>
    <w:p w14:paraId="172816AB" w14:textId="77777777" w:rsidR="00BC0E7E" w:rsidRPr="00BC0E7E" w:rsidRDefault="00944B8F" w:rsidP="00BC0E7E">
      <w:pPr>
        <w:autoSpaceDE w:val="0"/>
        <w:autoSpaceDN w:val="0"/>
        <w:adjustRightInd w:val="0"/>
      </w:pPr>
      <w:r w:rsidRPr="00BC0E7E">
        <w:rPr>
          <w:bCs/>
        </w:rPr>
        <w:t>A</w:t>
      </w:r>
      <w:r w:rsidRPr="00BC0E7E">
        <w:rPr>
          <w:szCs w:val="22"/>
          <w:lang w:eastAsia="en-GB"/>
        </w:rPr>
        <w:t xml:space="preserve">dalimumab may cross the placenta into the serum of infants born to women treated with adalimumab during pregnancy. Consequently, these infants may be at increased risk for infection. Administration of live vaccines </w:t>
      </w:r>
      <w:r w:rsidR="00E9300D" w:rsidRPr="00B2265A">
        <w:rPr>
          <w:szCs w:val="22"/>
        </w:rPr>
        <w:t>(e.g., BCG vaccine)</w:t>
      </w:r>
      <w:r w:rsidR="00E9300D">
        <w:rPr>
          <w:szCs w:val="22"/>
        </w:rPr>
        <w:t xml:space="preserve"> </w:t>
      </w:r>
      <w:r w:rsidRPr="00BC0E7E">
        <w:rPr>
          <w:szCs w:val="22"/>
          <w:lang w:eastAsia="en-GB"/>
        </w:rPr>
        <w:t>to infants exposed to adalimumab in utero is not recommended for 5 months following the mother’s last adalimumab injection during pregnancy.</w:t>
      </w:r>
    </w:p>
    <w:p w14:paraId="77FA58F0" w14:textId="77777777" w:rsidR="00BC0E7E" w:rsidRPr="00BC0E7E" w:rsidRDefault="00BC0E7E" w:rsidP="00BC0E7E">
      <w:pPr>
        <w:autoSpaceDE w:val="0"/>
        <w:autoSpaceDN w:val="0"/>
        <w:adjustRightInd w:val="0"/>
      </w:pPr>
    </w:p>
    <w:p w14:paraId="5A32DF94" w14:textId="77777777" w:rsidR="00BC0E7E" w:rsidRPr="00BC0E7E" w:rsidRDefault="00944B8F" w:rsidP="00BC0E7E">
      <w:pPr>
        <w:keepNext/>
        <w:rPr>
          <w:u w:val="single"/>
        </w:rPr>
      </w:pPr>
      <w:r w:rsidRPr="00BC0E7E">
        <w:rPr>
          <w:u w:val="single"/>
        </w:rPr>
        <w:lastRenderedPageBreak/>
        <w:t>Breast</w:t>
      </w:r>
      <w:r w:rsidR="00367800">
        <w:rPr>
          <w:u w:val="single"/>
        </w:rPr>
        <w:t>-</w:t>
      </w:r>
      <w:r w:rsidRPr="00BC0E7E">
        <w:rPr>
          <w:u w:val="single"/>
        </w:rPr>
        <w:t>feeding</w:t>
      </w:r>
    </w:p>
    <w:p w14:paraId="6CB81C49" w14:textId="77777777" w:rsidR="00BC0E7E" w:rsidRPr="00BC0E7E" w:rsidRDefault="00BC0E7E" w:rsidP="00BC0E7E">
      <w:pPr>
        <w:keepNext/>
      </w:pPr>
    </w:p>
    <w:p w14:paraId="6E220F75" w14:textId="77777777" w:rsidR="00BC0E7E" w:rsidRPr="00BC0E7E" w:rsidRDefault="00944B8F" w:rsidP="00BC0E7E">
      <w:r w:rsidRPr="00946ECA">
        <w:rPr>
          <w:szCs w:val="22"/>
        </w:rPr>
        <w:t>Limited information from the published literature indicates that adalimumab is excreted in breast milk at very low concentrations with the presence of adalimumab in human milk at concentrations of 0.1% to 1% of the maternal serum level. Given orally, immunoglobulin G proteins undergo intestinal proteolysis and have poor bioavailability. No effects on the breastfed newborns/infants are anticipated. Consequently, Humira can be used during breastfeeding.</w:t>
      </w:r>
    </w:p>
    <w:p w14:paraId="2BB7EDEC" w14:textId="77777777" w:rsidR="00661877" w:rsidRDefault="00661877" w:rsidP="00BC0E7E">
      <w:pPr>
        <w:rPr>
          <w:u w:val="single"/>
        </w:rPr>
      </w:pPr>
    </w:p>
    <w:p w14:paraId="4A2F384C" w14:textId="77777777" w:rsidR="00BC0E7E" w:rsidRPr="00BC0E7E" w:rsidRDefault="00944B8F" w:rsidP="00BC0E7E">
      <w:pPr>
        <w:rPr>
          <w:u w:val="single"/>
        </w:rPr>
      </w:pPr>
      <w:r w:rsidRPr="00BC0E7E">
        <w:rPr>
          <w:u w:val="single"/>
        </w:rPr>
        <w:t>Fertility</w:t>
      </w:r>
    </w:p>
    <w:p w14:paraId="108F92FB" w14:textId="77777777" w:rsidR="00BC0E7E" w:rsidRPr="00BC0E7E" w:rsidRDefault="00BC0E7E" w:rsidP="00BC0E7E">
      <w:pPr>
        <w:rPr>
          <w:u w:val="single"/>
        </w:rPr>
      </w:pPr>
    </w:p>
    <w:p w14:paraId="6F0652B7" w14:textId="77777777" w:rsidR="00BC0E7E" w:rsidRPr="00BC0E7E" w:rsidRDefault="00944B8F" w:rsidP="00BC0E7E">
      <w:r w:rsidRPr="00BC0E7E">
        <w:t>Preclinical data on fertility effects of adalimumab are not available.</w:t>
      </w:r>
    </w:p>
    <w:p w14:paraId="60A024C6" w14:textId="77777777" w:rsidR="00BC0E7E" w:rsidRPr="00BC0E7E" w:rsidRDefault="00BC0E7E" w:rsidP="00BC0E7E"/>
    <w:p w14:paraId="7AAFA827" w14:textId="77777777" w:rsidR="00BC0E7E" w:rsidRPr="00BC0E7E" w:rsidRDefault="00944B8F" w:rsidP="00BC0E7E">
      <w:pPr>
        <w:keepNext/>
        <w:suppressAutoHyphens w:val="0"/>
        <w:outlineLvl w:val="1"/>
        <w:rPr>
          <w:b/>
          <w:szCs w:val="20"/>
        </w:rPr>
      </w:pPr>
      <w:r w:rsidRPr="00BC0E7E">
        <w:rPr>
          <w:b/>
          <w:szCs w:val="20"/>
        </w:rPr>
        <w:t>4.7</w:t>
      </w:r>
      <w:r w:rsidRPr="00BC0E7E">
        <w:rPr>
          <w:b/>
          <w:szCs w:val="20"/>
        </w:rPr>
        <w:tab/>
        <w:t xml:space="preserve">Effects on ability to drive and use machines </w:t>
      </w:r>
    </w:p>
    <w:p w14:paraId="3FD2D368" w14:textId="77777777" w:rsidR="00BC0E7E" w:rsidRPr="00BC0E7E" w:rsidRDefault="00BC0E7E" w:rsidP="00BC0E7E">
      <w:pPr>
        <w:keepNext/>
        <w:rPr>
          <w:szCs w:val="20"/>
        </w:rPr>
      </w:pPr>
    </w:p>
    <w:p w14:paraId="160524B6" w14:textId="77777777" w:rsidR="00BC0E7E" w:rsidRPr="00BC0E7E" w:rsidRDefault="00944B8F" w:rsidP="00BC0E7E">
      <w:pPr>
        <w:keepNext/>
        <w:tabs>
          <w:tab w:val="clear" w:pos="562"/>
        </w:tabs>
      </w:pPr>
      <w:r w:rsidRPr="00BC0E7E">
        <w:t>Humira may have a minor influence on the ability to drive and use machines. Vertigo and visual impairment may occur following administration of Humira (see section 4.8).</w:t>
      </w:r>
    </w:p>
    <w:p w14:paraId="5E5E0B1E" w14:textId="77777777" w:rsidR="00BC0E7E" w:rsidRPr="00BC0E7E" w:rsidRDefault="00BC0E7E" w:rsidP="00BC0E7E">
      <w:pPr>
        <w:keepNext/>
        <w:tabs>
          <w:tab w:val="clear" w:pos="562"/>
        </w:tabs>
      </w:pPr>
    </w:p>
    <w:p w14:paraId="58DD7628" w14:textId="77777777" w:rsidR="00BC0E7E" w:rsidRPr="00BC0E7E" w:rsidRDefault="00944B8F" w:rsidP="00BC0E7E">
      <w:pPr>
        <w:suppressAutoHyphens w:val="0"/>
        <w:outlineLvl w:val="1"/>
        <w:rPr>
          <w:b/>
          <w:szCs w:val="20"/>
        </w:rPr>
      </w:pPr>
      <w:r w:rsidRPr="00BC0E7E">
        <w:rPr>
          <w:b/>
          <w:szCs w:val="20"/>
        </w:rPr>
        <w:t>4.8</w:t>
      </w:r>
      <w:r w:rsidRPr="00BC0E7E">
        <w:rPr>
          <w:b/>
          <w:szCs w:val="20"/>
        </w:rPr>
        <w:tab/>
        <w:t>Undesirable effects</w:t>
      </w:r>
    </w:p>
    <w:p w14:paraId="430ACAD3" w14:textId="77777777" w:rsidR="00BC0E7E" w:rsidRPr="00BC0E7E" w:rsidRDefault="00BC0E7E" w:rsidP="00BC0E7E">
      <w:pPr>
        <w:rPr>
          <w:szCs w:val="20"/>
        </w:rPr>
      </w:pPr>
    </w:p>
    <w:p w14:paraId="1013E8E1" w14:textId="77777777" w:rsidR="00BC0E7E" w:rsidRPr="00BC0E7E" w:rsidRDefault="00944B8F" w:rsidP="00BC0E7E">
      <w:pPr>
        <w:autoSpaceDE w:val="0"/>
        <w:autoSpaceDN w:val="0"/>
        <w:adjustRightInd w:val="0"/>
        <w:rPr>
          <w:u w:val="single"/>
        </w:rPr>
      </w:pPr>
      <w:r w:rsidRPr="00BC0E7E">
        <w:rPr>
          <w:u w:val="single"/>
        </w:rPr>
        <w:t>Summary of the safety profile</w:t>
      </w:r>
    </w:p>
    <w:p w14:paraId="66D9CC9D" w14:textId="77777777" w:rsidR="00BC0E7E" w:rsidRPr="00BC0E7E" w:rsidRDefault="00BC0E7E" w:rsidP="00BC0E7E">
      <w:pPr>
        <w:autoSpaceDE w:val="0"/>
        <w:autoSpaceDN w:val="0"/>
        <w:adjustRightInd w:val="0"/>
        <w:rPr>
          <w:u w:val="single"/>
        </w:rPr>
      </w:pPr>
    </w:p>
    <w:p w14:paraId="4C8B8ACF" w14:textId="77777777" w:rsidR="00BC0E7E" w:rsidRPr="00BC0E7E" w:rsidRDefault="00944B8F" w:rsidP="00BC0E7E">
      <w:pPr>
        <w:autoSpaceDE w:val="0"/>
        <w:autoSpaceDN w:val="0"/>
        <w:adjustRightInd w:val="0"/>
      </w:pPr>
      <w:r w:rsidRPr="00BC0E7E">
        <w:t>Humira was studied in 9,506 patients in pivotal controlled and open label trials for up to 60 months or more.  These trials included rheumatoid arthritis patients with short term and long standing disease, juvenile idiopathic arthritis (polyarticular juvenile idiopathic arthritis and enthesitis-related arthritis) as well as axial spondyloarthritis (ankylosing spondylitis and axial spondyloarthritis without radiographic evidence of AS), psoriatic arthritis, Crohn’s disease, ulcerative colitis, psoriasis, hidradenitis suppurativa and uveitis patients. The pivotal controlled studies involved 6,089 patients receiving Humira and 3,801 patients receiving placebo or active comparator during the controlled period.</w:t>
      </w:r>
    </w:p>
    <w:p w14:paraId="205916FF" w14:textId="77777777" w:rsidR="00BC0E7E" w:rsidRPr="00BC0E7E" w:rsidRDefault="00BC0E7E" w:rsidP="00BC0E7E">
      <w:pPr>
        <w:autoSpaceDE w:val="0"/>
        <w:autoSpaceDN w:val="0"/>
        <w:adjustRightInd w:val="0"/>
      </w:pPr>
    </w:p>
    <w:p w14:paraId="14D3E86A" w14:textId="77777777" w:rsidR="00BC0E7E" w:rsidRPr="00BC0E7E" w:rsidRDefault="00944B8F" w:rsidP="00BC0E7E">
      <w:pPr>
        <w:autoSpaceDE w:val="0"/>
        <w:autoSpaceDN w:val="0"/>
        <w:adjustRightInd w:val="0"/>
      </w:pPr>
      <w:r w:rsidRPr="00BC0E7E">
        <w:t>The proportion of patients who discontinued treatment due to adverse events during the double-blind, controlled portion of pivotal studies was 5.9% for patients taking Humira and 5.4% for control treated patients.</w:t>
      </w:r>
    </w:p>
    <w:p w14:paraId="2087F1B1" w14:textId="77777777" w:rsidR="00BC0E7E" w:rsidRPr="00BC0E7E" w:rsidRDefault="00BC0E7E" w:rsidP="00BC0E7E">
      <w:pPr>
        <w:autoSpaceDE w:val="0"/>
        <w:autoSpaceDN w:val="0"/>
        <w:adjustRightInd w:val="0"/>
      </w:pPr>
    </w:p>
    <w:p w14:paraId="1A4FDC35" w14:textId="77777777" w:rsidR="00BC0E7E" w:rsidRPr="00BC0E7E" w:rsidRDefault="00944B8F" w:rsidP="00BC0E7E">
      <w:pPr>
        <w:autoSpaceDE w:val="0"/>
        <w:autoSpaceDN w:val="0"/>
        <w:adjustRightInd w:val="0"/>
      </w:pPr>
      <w:r w:rsidRPr="00BC0E7E">
        <w:t>The most commonly reported adverse reactions are infections (such as nasopharyngitis, upper respiratory tract infection and sinusitis), injection site reactions (erythema, itching, haemorrhage, pain or swelling), headache and musculoskeletal pain.</w:t>
      </w:r>
    </w:p>
    <w:p w14:paraId="04BFACFB" w14:textId="77777777" w:rsidR="00BC0E7E" w:rsidRPr="00BC0E7E" w:rsidRDefault="00BC0E7E" w:rsidP="00BC0E7E">
      <w:pPr>
        <w:autoSpaceDE w:val="0"/>
        <w:autoSpaceDN w:val="0"/>
        <w:adjustRightInd w:val="0"/>
      </w:pPr>
    </w:p>
    <w:p w14:paraId="485BD6D9" w14:textId="77777777" w:rsidR="00BC0E7E" w:rsidRPr="00BC0E7E" w:rsidRDefault="00944B8F" w:rsidP="00BC0E7E">
      <w:pPr>
        <w:autoSpaceDE w:val="0"/>
        <w:autoSpaceDN w:val="0"/>
        <w:adjustRightInd w:val="0"/>
      </w:pPr>
      <w:r w:rsidRPr="00BC0E7E">
        <w:t>Serious adverse reactions have been reported for Humira. TNF-antagonists, such as Humira affect the immune system and their use may affect the body’s defence against infection and cancer.</w:t>
      </w:r>
    </w:p>
    <w:p w14:paraId="064E2F7B" w14:textId="77777777" w:rsidR="00BC0E7E" w:rsidRPr="00BC0E7E" w:rsidRDefault="00944B8F" w:rsidP="00BC0E7E">
      <w:pPr>
        <w:autoSpaceDE w:val="0"/>
        <w:autoSpaceDN w:val="0"/>
        <w:adjustRightInd w:val="0"/>
      </w:pPr>
      <w:r w:rsidRPr="00BC0E7E">
        <w:t>Fatal and life-threatening infections (including sepsis, opportunistic infections and TB), HBV reactivation and various malignancies (including leukaemia, lymphoma and HSTCL) have also been reported with use of Humira.</w:t>
      </w:r>
    </w:p>
    <w:p w14:paraId="008043B3" w14:textId="77777777" w:rsidR="00BC0E7E" w:rsidRPr="00BC0E7E" w:rsidRDefault="00BC0E7E" w:rsidP="00BC0E7E">
      <w:pPr>
        <w:autoSpaceDE w:val="0"/>
        <w:autoSpaceDN w:val="0"/>
        <w:adjustRightInd w:val="0"/>
      </w:pPr>
    </w:p>
    <w:p w14:paraId="53B1DE7A" w14:textId="77777777" w:rsidR="00BC0E7E" w:rsidRPr="00BC0E7E" w:rsidRDefault="00944B8F" w:rsidP="00BC0E7E">
      <w:pPr>
        <w:autoSpaceDE w:val="0"/>
        <w:autoSpaceDN w:val="0"/>
        <w:adjustRightInd w:val="0"/>
      </w:pPr>
      <w:r w:rsidRPr="00BC0E7E">
        <w:t>Serious haematological, neurological and autoimmune reactions have also been reported. These include rare reports of pancytopenia, aplastic anaemia, central and peripheral demyelinating events and reports of lupus, lupus-related conditions and Stevens-Johnson syndrome.</w:t>
      </w:r>
    </w:p>
    <w:p w14:paraId="69B0CDDA" w14:textId="77777777" w:rsidR="00BC0E7E" w:rsidRPr="00BC0E7E" w:rsidRDefault="00BC0E7E" w:rsidP="00BC0E7E">
      <w:pPr>
        <w:autoSpaceDE w:val="0"/>
        <w:autoSpaceDN w:val="0"/>
        <w:adjustRightInd w:val="0"/>
      </w:pPr>
    </w:p>
    <w:p w14:paraId="3ED62034" w14:textId="77777777" w:rsidR="00BC0E7E" w:rsidRPr="00BC0E7E" w:rsidRDefault="00944B8F" w:rsidP="00BC0E7E">
      <w:pPr>
        <w:autoSpaceDE w:val="0"/>
        <w:autoSpaceDN w:val="0"/>
        <w:adjustRightInd w:val="0"/>
        <w:rPr>
          <w:b/>
          <w:u w:val="single"/>
        </w:rPr>
      </w:pPr>
      <w:r w:rsidRPr="00BC0E7E">
        <w:rPr>
          <w:u w:val="single"/>
        </w:rPr>
        <w:t>Paediatric population</w:t>
      </w:r>
    </w:p>
    <w:p w14:paraId="379E35F8" w14:textId="77777777" w:rsidR="00BC0E7E" w:rsidRPr="00BC0E7E" w:rsidRDefault="00BC0E7E" w:rsidP="00BC0E7E">
      <w:pPr>
        <w:tabs>
          <w:tab w:val="clear" w:pos="562"/>
        </w:tabs>
      </w:pPr>
    </w:p>
    <w:p w14:paraId="4B894515" w14:textId="77777777" w:rsidR="00BC0E7E" w:rsidRPr="00BC0E7E" w:rsidRDefault="00944B8F" w:rsidP="00BC0E7E">
      <w:pPr>
        <w:autoSpaceDE w:val="0"/>
        <w:autoSpaceDN w:val="0"/>
        <w:adjustRightInd w:val="0"/>
      </w:pPr>
      <w:r w:rsidRPr="00BC0E7E">
        <w:t>In general, the adverse events in paediatric patients were similar in frequency and type to those seen in adult patients.</w:t>
      </w:r>
    </w:p>
    <w:p w14:paraId="6C2C163C" w14:textId="77777777" w:rsidR="00BC0E7E" w:rsidRPr="00BC0E7E" w:rsidRDefault="00BC0E7E" w:rsidP="00BC0E7E">
      <w:pPr>
        <w:autoSpaceDE w:val="0"/>
        <w:autoSpaceDN w:val="0"/>
        <w:adjustRightInd w:val="0"/>
      </w:pPr>
    </w:p>
    <w:p w14:paraId="725DF34E" w14:textId="77777777" w:rsidR="00BC0E7E" w:rsidRPr="00BC0E7E" w:rsidRDefault="00944B8F" w:rsidP="00BC0E7E">
      <w:pPr>
        <w:keepNext/>
        <w:tabs>
          <w:tab w:val="clear" w:pos="562"/>
        </w:tabs>
        <w:rPr>
          <w:u w:val="single"/>
        </w:rPr>
      </w:pPr>
      <w:r w:rsidRPr="00BC0E7E">
        <w:rPr>
          <w:u w:val="single"/>
        </w:rPr>
        <w:lastRenderedPageBreak/>
        <w:t>Tabulated list of adverse reactions</w:t>
      </w:r>
    </w:p>
    <w:p w14:paraId="194BECC0" w14:textId="77777777" w:rsidR="00BC0E7E" w:rsidRPr="00BC0E7E" w:rsidRDefault="00BC0E7E" w:rsidP="00BC0E7E">
      <w:pPr>
        <w:keepNext/>
        <w:tabs>
          <w:tab w:val="clear" w:pos="562"/>
        </w:tabs>
      </w:pPr>
    </w:p>
    <w:p w14:paraId="10C64D81" w14:textId="77777777" w:rsidR="00BC0E7E" w:rsidRPr="00BC0E7E" w:rsidRDefault="00944B8F" w:rsidP="00BC0E7E">
      <w:pPr>
        <w:keepNext/>
        <w:tabs>
          <w:tab w:val="clear" w:pos="562"/>
        </w:tabs>
        <w:suppressAutoHyphens w:val="0"/>
        <w:autoSpaceDE w:val="0"/>
        <w:autoSpaceDN w:val="0"/>
        <w:adjustRightInd w:val="0"/>
      </w:pPr>
      <w:r w:rsidRPr="00BC0E7E">
        <w:t xml:space="preserve">The following list of adverse reactions is based on experience from clinical trials and on postmarketing experience and are displayed by system organ class and frequency in Table </w:t>
      </w:r>
      <w:r w:rsidR="005F03EC">
        <w:t>7</w:t>
      </w:r>
      <w:r w:rsidRPr="00BC0E7E">
        <w:t xml:space="preserve"> below: very common (</w:t>
      </w:r>
      <w:r w:rsidRPr="00BC0E7E">
        <w:rPr>
          <w:rFonts w:ascii="Symbol" w:eastAsia="Symbol" w:hAnsi="Symbol" w:cs="Symbol"/>
          <w:szCs w:val="22"/>
        </w:rPr>
        <w:sym w:font="Symbol" w:char="F0B3"/>
      </w:r>
      <w:r w:rsidRPr="00BC0E7E">
        <w:t> 1/10); common (</w:t>
      </w:r>
      <w:r w:rsidRPr="00BC0E7E">
        <w:rPr>
          <w:rFonts w:ascii="Symbol" w:eastAsia="Symbol" w:hAnsi="Symbol" w:cs="Symbol"/>
          <w:szCs w:val="22"/>
        </w:rPr>
        <w:sym w:font="Symbol" w:char="F0B3"/>
      </w:r>
      <w:r w:rsidRPr="00BC0E7E">
        <w:t> 1/100 to &lt; 1/10); uncommon (</w:t>
      </w:r>
      <w:r w:rsidRPr="00BC0E7E">
        <w:rPr>
          <w:rFonts w:ascii="Symbol" w:eastAsia="Symbol" w:hAnsi="Symbol" w:cs="Symbol"/>
          <w:szCs w:val="22"/>
        </w:rPr>
        <w:sym w:font="Symbol" w:char="F0B3"/>
      </w:r>
      <w:r w:rsidRPr="00BC0E7E">
        <w:t> 1/1,000 to &lt; 1/100); rare (</w:t>
      </w:r>
      <w:r w:rsidRPr="00BC0E7E">
        <w:rPr>
          <w:rFonts w:ascii="Symbol" w:eastAsia="Symbol" w:hAnsi="Symbol" w:cs="Symbol"/>
          <w:szCs w:val="22"/>
        </w:rPr>
        <w:sym w:font="Symbol" w:char="F0B3"/>
      </w:r>
      <w:r w:rsidRPr="00BC0E7E">
        <w:t xml:space="preserve"> 1/10,000 to &lt; 1/1,000); </w:t>
      </w:r>
      <w:r w:rsidRPr="00BC0E7E">
        <w:rPr>
          <w:iCs/>
          <w:szCs w:val="22"/>
        </w:rPr>
        <w:t>and not known (cannot be estimated from the available data)</w:t>
      </w:r>
      <w:r w:rsidRPr="00BC0E7E">
        <w:t>. Within each frequency grouping, undesirable effects are presented in order of decreasing seriousness. The highest frequency seen among the various indications has been included. An asterisk (*) appears in the SOC column if further information is found elsewhere in sections 4.3, 4.4 and 4.8.</w:t>
      </w:r>
    </w:p>
    <w:p w14:paraId="229819D8" w14:textId="77777777" w:rsidR="00BC0E7E" w:rsidRPr="00BC0E7E" w:rsidRDefault="00BC0E7E" w:rsidP="00BC0E7E">
      <w:pPr>
        <w:tabs>
          <w:tab w:val="clear" w:pos="562"/>
        </w:tabs>
      </w:pPr>
    </w:p>
    <w:p w14:paraId="40242DFD" w14:textId="77777777" w:rsidR="00BC0E7E" w:rsidRPr="008F4FD5" w:rsidRDefault="00944B8F" w:rsidP="00BC0E7E">
      <w:pPr>
        <w:keepNext/>
        <w:jc w:val="center"/>
      </w:pPr>
      <w:r w:rsidRPr="00BC0E7E">
        <w:rPr>
          <w:b/>
        </w:rPr>
        <w:t xml:space="preserve">Table </w:t>
      </w:r>
      <w:r w:rsidR="00614ABC">
        <w:rPr>
          <w:b/>
        </w:rPr>
        <w:t>7</w:t>
      </w:r>
    </w:p>
    <w:p w14:paraId="4705176E" w14:textId="77777777" w:rsidR="00BC0E7E" w:rsidRPr="008F4FD5" w:rsidRDefault="00944B8F" w:rsidP="00BC0E7E">
      <w:pPr>
        <w:keepNext/>
        <w:jc w:val="center"/>
      </w:pPr>
      <w:r w:rsidRPr="00BC0E7E">
        <w:rPr>
          <w:b/>
        </w:rPr>
        <w:t>Undesirable Effects</w:t>
      </w:r>
    </w:p>
    <w:p w14:paraId="2960AC9B" w14:textId="77777777" w:rsidR="00BC0E7E" w:rsidRPr="008F4FD5" w:rsidRDefault="00BC0E7E" w:rsidP="00BC0E7E">
      <w:pPr>
        <w:keepNex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2074"/>
        <w:gridCol w:w="4575"/>
      </w:tblGrid>
      <w:tr w:rsidR="00C6578C" w14:paraId="145AE459" w14:textId="77777777" w:rsidTr="00171601">
        <w:trPr>
          <w:tblHeader/>
        </w:trPr>
        <w:tc>
          <w:tcPr>
            <w:tcW w:w="2600" w:type="dxa"/>
          </w:tcPr>
          <w:p w14:paraId="7CCA8162" w14:textId="77777777" w:rsidR="00BC0E7E" w:rsidRPr="00BC0E7E" w:rsidRDefault="00944B8F" w:rsidP="00BC0E7E">
            <w:pPr>
              <w:keepNext/>
              <w:widowControl w:val="0"/>
              <w:spacing w:before="120" w:after="120"/>
              <w:jc w:val="center"/>
              <w:rPr>
                <w:b/>
              </w:rPr>
            </w:pPr>
            <w:r w:rsidRPr="00BC0E7E">
              <w:rPr>
                <w:b/>
                <w:bCs/>
              </w:rPr>
              <w:t>System Organ Class</w:t>
            </w:r>
          </w:p>
        </w:tc>
        <w:tc>
          <w:tcPr>
            <w:tcW w:w="2074" w:type="dxa"/>
          </w:tcPr>
          <w:p w14:paraId="7FD28CF3" w14:textId="77777777" w:rsidR="00BC0E7E" w:rsidRPr="00BC0E7E" w:rsidRDefault="00944B8F" w:rsidP="00BC0E7E">
            <w:pPr>
              <w:keepNext/>
              <w:widowControl w:val="0"/>
              <w:spacing w:before="120" w:after="120"/>
              <w:jc w:val="center"/>
              <w:rPr>
                <w:b/>
              </w:rPr>
            </w:pPr>
            <w:r w:rsidRPr="00BC0E7E">
              <w:rPr>
                <w:b/>
                <w:bCs/>
              </w:rPr>
              <w:t>Frequency</w:t>
            </w:r>
          </w:p>
        </w:tc>
        <w:tc>
          <w:tcPr>
            <w:tcW w:w="4575" w:type="dxa"/>
          </w:tcPr>
          <w:p w14:paraId="4B764C53" w14:textId="77777777" w:rsidR="00BC0E7E" w:rsidRPr="00BC0E7E" w:rsidRDefault="00944B8F" w:rsidP="00BC0E7E">
            <w:pPr>
              <w:keepNext/>
              <w:widowControl w:val="0"/>
              <w:spacing w:before="120" w:after="120"/>
              <w:jc w:val="center"/>
              <w:rPr>
                <w:b/>
              </w:rPr>
            </w:pPr>
            <w:r w:rsidRPr="00BC0E7E">
              <w:rPr>
                <w:b/>
                <w:bCs/>
              </w:rPr>
              <w:t>Adverse Reaction</w:t>
            </w:r>
          </w:p>
        </w:tc>
      </w:tr>
      <w:tr w:rsidR="00C6578C" w14:paraId="59C656F0" w14:textId="77777777" w:rsidTr="000244DF">
        <w:tc>
          <w:tcPr>
            <w:tcW w:w="2600" w:type="dxa"/>
            <w:vMerge w:val="restart"/>
          </w:tcPr>
          <w:p w14:paraId="7DF6D5C9" w14:textId="77777777" w:rsidR="00BC0E7E" w:rsidRPr="00BC0E7E" w:rsidRDefault="00944B8F" w:rsidP="00BC0E7E">
            <w:pPr>
              <w:widowControl w:val="0"/>
              <w:spacing w:before="60"/>
              <w:rPr>
                <w:szCs w:val="20"/>
              </w:rPr>
            </w:pPr>
            <w:r w:rsidRPr="00BC0E7E">
              <w:rPr>
                <w:szCs w:val="20"/>
              </w:rPr>
              <w:t>Infections and infestations*</w:t>
            </w:r>
          </w:p>
          <w:p w14:paraId="01748DB7" w14:textId="77777777" w:rsidR="00BC0E7E" w:rsidRPr="00BC0E7E" w:rsidRDefault="00BC0E7E" w:rsidP="00BC0E7E">
            <w:pPr>
              <w:widowControl w:val="0"/>
              <w:spacing w:before="60"/>
              <w:jc w:val="center"/>
            </w:pPr>
          </w:p>
        </w:tc>
        <w:tc>
          <w:tcPr>
            <w:tcW w:w="2074" w:type="dxa"/>
          </w:tcPr>
          <w:p w14:paraId="6F6D452C" w14:textId="77777777" w:rsidR="00BC0E7E" w:rsidRPr="00BC0E7E" w:rsidRDefault="00944B8F" w:rsidP="00BC0E7E">
            <w:pPr>
              <w:widowControl w:val="0"/>
              <w:spacing w:before="60"/>
              <w:rPr>
                <w:szCs w:val="20"/>
              </w:rPr>
            </w:pPr>
            <w:r w:rsidRPr="00BC0E7E">
              <w:rPr>
                <w:szCs w:val="20"/>
              </w:rPr>
              <w:t>Very common</w:t>
            </w:r>
          </w:p>
        </w:tc>
        <w:tc>
          <w:tcPr>
            <w:tcW w:w="4575" w:type="dxa"/>
          </w:tcPr>
          <w:p w14:paraId="4E03A2D2" w14:textId="77777777" w:rsidR="00BC0E7E" w:rsidRPr="00BC0E7E" w:rsidRDefault="00944B8F" w:rsidP="00BC0E7E">
            <w:pPr>
              <w:widowControl w:val="0"/>
              <w:spacing w:before="60"/>
              <w:rPr>
                <w:szCs w:val="20"/>
              </w:rPr>
            </w:pPr>
            <w:r>
              <w:rPr>
                <w:szCs w:val="20"/>
              </w:rPr>
              <w:t>R</w:t>
            </w:r>
            <w:r w:rsidRPr="00BC0E7E">
              <w:rPr>
                <w:szCs w:val="20"/>
              </w:rPr>
              <w:t>espiratory tract infections (including lower and upper respiratory tract infection, pneumonia, sinusitis, pharyngitis, nasopharyngitis and pneumonia herpes viral)</w:t>
            </w:r>
          </w:p>
          <w:p w14:paraId="7C8A1EA3" w14:textId="77777777" w:rsidR="00BC0E7E" w:rsidRPr="00BC0E7E" w:rsidRDefault="00BC0E7E" w:rsidP="00BC0E7E">
            <w:pPr>
              <w:widowControl w:val="0"/>
              <w:spacing w:before="60"/>
              <w:rPr>
                <w:szCs w:val="20"/>
              </w:rPr>
            </w:pPr>
          </w:p>
        </w:tc>
      </w:tr>
      <w:tr w:rsidR="00C6578C" w14:paraId="47BBB452" w14:textId="77777777" w:rsidTr="000244DF">
        <w:tc>
          <w:tcPr>
            <w:tcW w:w="2600" w:type="dxa"/>
            <w:vMerge/>
          </w:tcPr>
          <w:p w14:paraId="29021B9E" w14:textId="77777777" w:rsidR="00BC0E7E" w:rsidRPr="00BC0E7E" w:rsidRDefault="00BC0E7E" w:rsidP="00BC0E7E">
            <w:pPr>
              <w:widowControl w:val="0"/>
              <w:spacing w:before="60"/>
              <w:jc w:val="center"/>
              <w:rPr>
                <w:b/>
              </w:rPr>
            </w:pPr>
          </w:p>
        </w:tc>
        <w:tc>
          <w:tcPr>
            <w:tcW w:w="2074" w:type="dxa"/>
          </w:tcPr>
          <w:p w14:paraId="50EA3B7D" w14:textId="77777777" w:rsidR="00BC0E7E" w:rsidRPr="00BC0E7E" w:rsidRDefault="00944B8F" w:rsidP="00BC0E7E">
            <w:pPr>
              <w:widowControl w:val="0"/>
              <w:spacing w:before="60"/>
              <w:rPr>
                <w:szCs w:val="20"/>
              </w:rPr>
            </w:pPr>
            <w:r w:rsidRPr="00BC0E7E">
              <w:rPr>
                <w:szCs w:val="20"/>
              </w:rPr>
              <w:t>Common</w:t>
            </w:r>
          </w:p>
          <w:p w14:paraId="44F90200" w14:textId="77777777" w:rsidR="00BC0E7E" w:rsidRPr="00BC0E7E" w:rsidRDefault="00BC0E7E" w:rsidP="00BC0E7E">
            <w:pPr>
              <w:widowControl w:val="0"/>
              <w:spacing w:before="60"/>
              <w:rPr>
                <w:szCs w:val="20"/>
              </w:rPr>
            </w:pPr>
          </w:p>
        </w:tc>
        <w:tc>
          <w:tcPr>
            <w:tcW w:w="4575" w:type="dxa"/>
          </w:tcPr>
          <w:p w14:paraId="1FCEA0CE" w14:textId="77777777" w:rsidR="00BC0E7E" w:rsidRPr="00BC0E7E" w:rsidRDefault="00944B8F" w:rsidP="00BC0E7E">
            <w:pPr>
              <w:widowControl w:val="0"/>
              <w:tabs>
                <w:tab w:val="clear" w:pos="562"/>
              </w:tabs>
              <w:rPr>
                <w:sz w:val="24"/>
                <w:szCs w:val="20"/>
              </w:rPr>
            </w:pPr>
            <w:r>
              <w:rPr>
                <w:szCs w:val="22"/>
              </w:rPr>
              <w:t>S</w:t>
            </w:r>
            <w:r w:rsidRPr="00BC0E7E">
              <w:rPr>
                <w:szCs w:val="22"/>
              </w:rPr>
              <w:t xml:space="preserve">ystemic infections </w:t>
            </w:r>
            <w:r w:rsidRPr="00BC0E7E">
              <w:t>(including sepsis, candidiasis and influenza)</w:t>
            </w:r>
            <w:r w:rsidRPr="00BC0E7E">
              <w:rPr>
                <w:szCs w:val="22"/>
              </w:rPr>
              <w:t>,</w:t>
            </w:r>
          </w:p>
          <w:p w14:paraId="54FBBA67" w14:textId="77777777" w:rsidR="00BC0E7E" w:rsidRPr="00BC0E7E" w:rsidRDefault="00944B8F" w:rsidP="00BC0E7E">
            <w:pPr>
              <w:widowControl w:val="0"/>
              <w:tabs>
                <w:tab w:val="clear" w:pos="562"/>
              </w:tabs>
            </w:pPr>
            <w:r w:rsidRPr="00BC0E7E">
              <w:rPr>
                <w:szCs w:val="22"/>
              </w:rPr>
              <w:t xml:space="preserve">intestinal infections </w:t>
            </w:r>
            <w:r w:rsidRPr="00BC0E7E">
              <w:t>(including gastroenteritis viral)</w:t>
            </w:r>
            <w:r w:rsidRPr="00BC0E7E">
              <w:rPr>
                <w:szCs w:val="22"/>
              </w:rPr>
              <w:t>,</w:t>
            </w:r>
          </w:p>
          <w:p w14:paraId="582AEAC4" w14:textId="77777777" w:rsidR="00BC0E7E" w:rsidRPr="00BC0E7E" w:rsidRDefault="00944B8F" w:rsidP="00BC0E7E">
            <w:pPr>
              <w:widowControl w:val="0"/>
              <w:tabs>
                <w:tab w:val="clear" w:pos="562"/>
              </w:tabs>
            </w:pPr>
            <w:r w:rsidRPr="00BC0E7E">
              <w:t>skin and soft tissue infections (including paronychia, cellulitis, impetigo, necrotising fasciitis and herpes zoster),</w:t>
            </w:r>
          </w:p>
          <w:p w14:paraId="017D49E2" w14:textId="77777777" w:rsidR="00BC0E7E" w:rsidRPr="00BC0E7E" w:rsidRDefault="00944B8F" w:rsidP="00BC0E7E">
            <w:pPr>
              <w:widowControl w:val="0"/>
              <w:tabs>
                <w:tab w:val="clear" w:pos="562"/>
              </w:tabs>
            </w:pPr>
            <w:r w:rsidRPr="00BC0E7E">
              <w:rPr>
                <w:szCs w:val="22"/>
              </w:rPr>
              <w:t>ear infections,</w:t>
            </w:r>
          </w:p>
          <w:p w14:paraId="3E880D10" w14:textId="77777777" w:rsidR="00BC0E7E" w:rsidRPr="00BC0E7E" w:rsidRDefault="00944B8F" w:rsidP="00BC0E7E">
            <w:pPr>
              <w:widowControl w:val="0"/>
              <w:tabs>
                <w:tab w:val="clear" w:pos="562"/>
              </w:tabs>
            </w:pPr>
            <w:r w:rsidRPr="00BC0E7E">
              <w:rPr>
                <w:szCs w:val="22"/>
              </w:rPr>
              <w:t xml:space="preserve">oral infections </w:t>
            </w:r>
            <w:r w:rsidRPr="00BC0E7E">
              <w:t>(including herpes simplex, oral herpes and tooth infections)</w:t>
            </w:r>
            <w:r w:rsidRPr="00BC0E7E">
              <w:rPr>
                <w:szCs w:val="22"/>
              </w:rPr>
              <w:t xml:space="preserve">, </w:t>
            </w:r>
          </w:p>
          <w:p w14:paraId="0469EDDE" w14:textId="77777777" w:rsidR="00BC0E7E" w:rsidRPr="00BC0E7E" w:rsidRDefault="00944B8F" w:rsidP="00BC0E7E">
            <w:pPr>
              <w:widowControl w:val="0"/>
              <w:tabs>
                <w:tab w:val="clear" w:pos="562"/>
              </w:tabs>
            </w:pPr>
            <w:r w:rsidRPr="00BC0E7E">
              <w:rPr>
                <w:szCs w:val="22"/>
              </w:rPr>
              <w:t xml:space="preserve">reproductive tract infections </w:t>
            </w:r>
            <w:r w:rsidRPr="00BC0E7E">
              <w:t>(including vulvovaginal mycotic infection)</w:t>
            </w:r>
            <w:r w:rsidRPr="00BC0E7E">
              <w:rPr>
                <w:szCs w:val="22"/>
              </w:rPr>
              <w:t xml:space="preserve">, </w:t>
            </w:r>
          </w:p>
          <w:p w14:paraId="6ED70E6D" w14:textId="77777777" w:rsidR="00BC0E7E" w:rsidRPr="00BC0E7E" w:rsidRDefault="00944B8F" w:rsidP="00BC0E7E">
            <w:pPr>
              <w:widowControl w:val="0"/>
              <w:spacing w:before="60"/>
              <w:rPr>
                <w:szCs w:val="20"/>
              </w:rPr>
            </w:pPr>
            <w:r w:rsidRPr="00BC0E7E">
              <w:rPr>
                <w:szCs w:val="20"/>
              </w:rPr>
              <w:t>urinary tract infections (including pyelonephritis),</w:t>
            </w:r>
          </w:p>
          <w:p w14:paraId="4B514EF4" w14:textId="77777777" w:rsidR="00BC0E7E" w:rsidRPr="00BC0E7E" w:rsidRDefault="00944B8F" w:rsidP="00BC0E7E">
            <w:pPr>
              <w:widowControl w:val="0"/>
              <w:spacing w:before="60"/>
              <w:rPr>
                <w:szCs w:val="20"/>
              </w:rPr>
            </w:pPr>
            <w:r w:rsidRPr="00BC0E7E">
              <w:rPr>
                <w:szCs w:val="20"/>
              </w:rPr>
              <w:t>fungal infections,</w:t>
            </w:r>
          </w:p>
          <w:p w14:paraId="094EBB17" w14:textId="77777777" w:rsidR="00BC0E7E" w:rsidRPr="00BC0E7E" w:rsidRDefault="00944B8F" w:rsidP="00BC0E7E">
            <w:pPr>
              <w:widowControl w:val="0"/>
              <w:spacing w:before="60"/>
              <w:rPr>
                <w:szCs w:val="20"/>
              </w:rPr>
            </w:pPr>
            <w:r w:rsidRPr="00BC0E7E">
              <w:rPr>
                <w:szCs w:val="20"/>
              </w:rPr>
              <w:t>joint infections</w:t>
            </w:r>
          </w:p>
          <w:p w14:paraId="2C6C09AB" w14:textId="77777777" w:rsidR="00BC0E7E" w:rsidRPr="00BC0E7E" w:rsidRDefault="00BC0E7E" w:rsidP="00BC0E7E">
            <w:pPr>
              <w:widowControl w:val="0"/>
              <w:spacing w:before="60"/>
              <w:rPr>
                <w:szCs w:val="20"/>
              </w:rPr>
            </w:pPr>
          </w:p>
        </w:tc>
      </w:tr>
      <w:tr w:rsidR="00C6578C" w14:paraId="7602BE62" w14:textId="77777777" w:rsidTr="000244DF">
        <w:tc>
          <w:tcPr>
            <w:tcW w:w="2600" w:type="dxa"/>
            <w:vMerge/>
          </w:tcPr>
          <w:p w14:paraId="07018768" w14:textId="77777777" w:rsidR="00BC0E7E" w:rsidRPr="00BC0E7E" w:rsidRDefault="00BC0E7E" w:rsidP="00BC0E7E">
            <w:pPr>
              <w:widowControl w:val="0"/>
              <w:spacing w:before="60"/>
              <w:jc w:val="center"/>
              <w:rPr>
                <w:b/>
              </w:rPr>
            </w:pPr>
          </w:p>
        </w:tc>
        <w:tc>
          <w:tcPr>
            <w:tcW w:w="2074" w:type="dxa"/>
          </w:tcPr>
          <w:p w14:paraId="60B45D8C" w14:textId="77777777" w:rsidR="00BC0E7E" w:rsidRPr="00BC0E7E" w:rsidRDefault="00944B8F" w:rsidP="00BC0E7E">
            <w:pPr>
              <w:widowControl w:val="0"/>
              <w:rPr>
                <w:szCs w:val="20"/>
              </w:rPr>
            </w:pPr>
            <w:r w:rsidRPr="00BC0E7E">
              <w:rPr>
                <w:szCs w:val="20"/>
              </w:rPr>
              <w:t>Uncommon</w:t>
            </w:r>
          </w:p>
          <w:p w14:paraId="0275A99E" w14:textId="77777777" w:rsidR="00BC0E7E" w:rsidRPr="00BC0E7E" w:rsidRDefault="00BC0E7E" w:rsidP="00BC0E7E">
            <w:pPr>
              <w:widowControl w:val="0"/>
              <w:rPr>
                <w:szCs w:val="20"/>
              </w:rPr>
            </w:pPr>
          </w:p>
        </w:tc>
        <w:tc>
          <w:tcPr>
            <w:tcW w:w="4575" w:type="dxa"/>
          </w:tcPr>
          <w:p w14:paraId="76F8B922" w14:textId="77777777" w:rsidR="00BC0E7E" w:rsidRPr="00BC0E7E" w:rsidRDefault="00944B8F" w:rsidP="00BC0E7E">
            <w:pPr>
              <w:widowControl w:val="0"/>
              <w:rPr>
                <w:szCs w:val="20"/>
              </w:rPr>
            </w:pPr>
            <w:r>
              <w:rPr>
                <w:szCs w:val="20"/>
              </w:rPr>
              <w:t>N</w:t>
            </w:r>
            <w:r w:rsidRPr="00BC0E7E">
              <w:rPr>
                <w:szCs w:val="20"/>
              </w:rPr>
              <w:t>eurological infections (including viral meningitis),</w:t>
            </w:r>
          </w:p>
          <w:p w14:paraId="3EE34A09" w14:textId="77777777" w:rsidR="00BC0E7E" w:rsidRPr="00BC0E7E" w:rsidRDefault="00944B8F" w:rsidP="00BC0E7E">
            <w:pPr>
              <w:widowControl w:val="0"/>
              <w:rPr>
                <w:szCs w:val="20"/>
              </w:rPr>
            </w:pPr>
            <w:r w:rsidRPr="00BC0E7E">
              <w:rPr>
                <w:szCs w:val="20"/>
              </w:rPr>
              <w:t xml:space="preserve">opportunistic infections and tuberculosis (including coccidioidomycosis, histoplasmosis and mycobacterium avium complex infection), </w:t>
            </w:r>
          </w:p>
          <w:p w14:paraId="309C0F6A" w14:textId="77777777" w:rsidR="00BC0E7E" w:rsidRPr="00BC0E7E" w:rsidRDefault="00944B8F" w:rsidP="00BC0E7E">
            <w:pPr>
              <w:widowControl w:val="0"/>
              <w:rPr>
                <w:szCs w:val="20"/>
              </w:rPr>
            </w:pPr>
            <w:r w:rsidRPr="00BC0E7E">
              <w:rPr>
                <w:szCs w:val="20"/>
              </w:rPr>
              <w:t>bacterial infections,</w:t>
            </w:r>
          </w:p>
          <w:p w14:paraId="6E082EAC" w14:textId="77777777" w:rsidR="00BC0E7E" w:rsidRPr="00BC0E7E" w:rsidRDefault="00944B8F" w:rsidP="00BC0E7E">
            <w:pPr>
              <w:widowControl w:val="0"/>
              <w:rPr>
                <w:b/>
                <w:i/>
                <w:szCs w:val="20"/>
              </w:rPr>
            </w:pPr>
            <w:r w:rsidRPr="00BC0E7E">
              <w:rPr>
                <w:szCs w:val="20"/>
              </w:rPr>
              <w:t>eye infections,</w:t>
            </w:r>
          </w:p>
          <w:p w14:paraId="4AF35C2B" w14:textId="77777777" w:rsidR="00BC0E7E" w:rsidRPr="00BC0E7E" w:rsidRDefault="00944B8F" w:rsidP="00BC0E7E">
            <w:pPr>
              <w:widowControl w:val="0"/>
              <w:rPr>
                <w:szCs w:val="20"/>
              </w:rPr>
            </w:pPr>
            <w:r w:rsidRPr="00BC0E7E">
              <w:rPr>
                <w:szCs w:val="20"/>
              </w:rPr>
              <w:t>diverticulitis</w:t>
            </w:r>
            <w:r w:rsidRPr="00BC0E7E">
              <w:rPr>
                <w:szCs w:val="20"/>
                <w:vertAlign w:val="superscript"/>
              </w:rPr>
              <w:t>1)</w:t>
            </w:r>
            <w:r w:rsidRPr="00BC0E7E">
              <w:rPr>
                <w:szCs w:val="20"/>
              </w:rPr>
              <w:t xml:space="preserve"> </w:t>
            </w:r>
          </w:p>
          <w:p w14:paraId="7523B5CF" w14:textId="77777777" w:rsidR="00BC0E7E" w:rsidRPr="00BC0E7E" w:rsidRDefault="00BC0E7E" w:rsidP="00BC0E7E">
            <w:pPr>
              <w:widowControl w:val="0"/>
              <w:rPr>
                <w:szCs w:val="20"/>
              </w:rPr>
            </w:pPr>
          </w:p>
        </w:tc>
      </w:tr>
      <w:tr w:rsidR="00C6578C" w14:paraId="0555D966" w14:textId="77777777" w:rsidTr="000244DF">
        <w:tc>
          <w:tcPr>
            <w:tcW w:w="2600" w:type="dxa"/>
            <w:vMerge w:val="restart"/>
          </w:tcPr>
          <w:p w14:paraId="624E9CED" w14:textId="77777777" w:rsidR="00BC0E7E" w:rsidRPr="00BC0E7E" w:rsidRDefault="00944B8F" w:rsidP="00BC0E7E">
            <w:pPr>
              <w:widowControl w:val="0"/>
              <w:spacing w:before="60"/>
              <w:rPr>
                <w:b/>
              </w:rPr>
            </w:pPr>
            <w:r w:rsidRPr="00BC0E7E">
              <w:t>Neoplasms benign, malignant and unspecified (including cysts and polyps)*</w:t>
            </w:r>
          </w:p>
        </w:tc>
        <w:tc>
          <w:tcPr>
            <w:tcW w:w="2074" w:type="dxa"/>
          </w:tcPr>
          <w:p w14:paraId="7CE71C84" w14:textId="77777777" w:rsidR="00BC0E7E" w:rsidRPr="00BC0E7E" w:rsidRDefault="00944B8F" w:rsidP="00BC0E7E">
            <w:pPr>
              <w:widowControl w:val="0"/>
              <w:spacing w:before="60"/>
              <w:rPr>
                <w:szCs w:val="20"/>
              </w:rPr>
            </w:pPr>
            <w:r w:rsidRPr="00BC0E7E">
              <w:rPr>
                <w:szCs w:val="20"/>
              </w:rPr>
              <w:t>Common</w:t>
            </w:r>
          </w:p>
          <w:p w14:paraId="493DEDC9" w14:textId="77777777" w:rsidR="00BC0E7E" w:rsidRPr="00BC0E7E" w:rsidRDefault="00BC0E7E" w:rsidP="00BC0E7E">
            <w:pPr>
              <w:widowControl w:val="0"/>
              <w:spacing w:before="60"/>
              <w:rPr>
                <w:szCs w:val="20"/>
              </w:rPr>
            </w:pPr>
          </w:p>
        </w:tc>
        <w:tc>
          <w:tcPr>
            <w:tcW w:w="4575" w:type="dxa"/>
          </w:tcPr>
          <w:p w14:paraId="67D81F58" w14:textId="77777777" w:rsidR="00BC0E7E" w:rsidRPr="00BC0E7E" w:rsidRDefault="00944B8F" w:rsidP="00BC0E7E">
            <w:pPr>
              <w:widowControl w:val="0"/>
              <w:spacing w:before="60"/>
              <w:rPr>
                <w:szCs w:val="20"/>
              </w:rPr>
            </w:pPr>
            <w:r>
              <w:rPr>
                <w:szCs w:val="20"/>
              </w:rPr>
              <w:t>S</w:t>
            </w:r>
            <w:r w:rsidRPr="00BC0E7E">
              <w:rPr>
                <w:szCs w:val="20"/>
              </w:rPr>
              <w:t>kin cancer excluding melanoma (including basal cell carcinoma and squamous cell carcinoma),</w:t>
            </w:r>
          </w:p>
          <w:p w14:paraId="69375F50" w14:textId="77777777" w:rsidR="00BC0E7E" w:rsidRPr="00BC0E7E" w:rsidRDefault="00944B8F" w:rsidP="00BC0E7E">
            <w:pPr>
              <w:widowControl w:val="0"/>
              <w:spacing w:before="60"/>
              <w:rPr>
                <w:szCs w:val="20"/>
              </w:rPr>
            </w:pPr>
            <w:r w:rsidRPr="00BC0E7E">
              <w:rPr>
                <w:szCs w:val="20"/>
              </w:rPr>
              <w:t>benign neoplasm</w:t>
            </w:r>
          </w:p>
          <w:p w14:paraId="0C5072EE" w14:textId="77777777" w:rsidR="00BC0E7E" w:rsidRPr="00BC0E7E" w:rsidRDefault="00BC0E7E" w:rsidP="00BC0E7E">
            <w:pPr>
              <w:widowControl w:val="0"/>
              <w:spacing w:before="60"/>
              <w:rPr>
                <w:szCs w:val="20"/>
              </w:rPr>
            </w:pPr>
          </w:p>
        </w:tc>
      </w:tr>
      <w:tr w:rsidR="00C6578C" w14:paraId="0BC2FE28" w14:textId="77777777" w:rsidTr="000244DF">
        <w:tc>
          <w:tcPr>
            <w:tcW w:w="2600" w:type="dxa"/>
            <w:vMerge/>
          </w:tcPr>
          <w:p w14:paraId="4981D5BA" w14:textId="77777777" w:rsidR="00BC0E7E" w:rsidRPr="00BC0E7E" w:rsidRDefault="00BC0E7E" w:rsidP="00BC0E7E">
            <w:pPr>
              <w:widowControl w:val="0"/>
              <w:spacing w:before="60"/>
              <w:jc w:val="center"/>
              <w:rPr>
                <w:b/>
              </w:rPr>
            </w:pPr>
          </w:p>
        </w:tc>
        <w:tc>
          <w:tcPr>
            <w:tcW w:w="2074" w:type="dxa"/>
          </w:tcPr>
          <w:p w14:paraId="14F118D7" w14:textId="77777777" w:rsidR="00BC0E7E" w:rsidRPr="00BC0E7E" w:rsidRDefault="00944B8F" w:rsidP="00BC0E7E">
            <w:pPr>
              <w:widowControl w:val="0"/>
              <w:rPr>
                <w:szCs w:val="20"/>
              </w:rPr>
            </w:pPr>
            <w:r w:rsidRPr="00BC0E7E">
              <w:rPr>
                <w:szCs w:val="20"/>
              </w:rPr>
              <w:t>Uncommon</w:t>
            </w:r>
          </w:p>
          <w:p w14:paraId="0052A289" w14:textId="77777777" w:rsidR="00BC0E7E" w:rsidRPr="00BC0E7E" w:rsidRDefault="00BC0E7E" w:rsidP="00BC0E7E">
            <w:pPr>
              <w:widowControl w:val="0"/>
              <w:rPr>
                <w:szCs w:val="20"/>
              </w:rPr>
            </w:pPr>
          </w:p>
        </w:tc>
        <w:tc>
          <w:tcPr>
            <w:tcW w:w="4575" w:type="dxa"/>
          </w:tcPr>
          <w:p w14:paraId="7D321E9C" w14:textId="77777777" w:rsidR="00BC0E7E" w:rsidRPr="00BC0E7E" w:rsidRDefault="00944B8F" w:rsidP="00BC0E7E">
            <w:pPr>
              <w:widowControl w:val="0"/>
              <w:rPr>
                <w:szCs w:val="20"/>
              </w:rPr>
            </w:pPr>
            <w:r>
              <w:rPr>
                <w:szCs w:val="20"/>
              </w:rPr>
              <w:t>L</w:t>
            </w:r>
            <w:r w:rsidRPr="00BC0E7E">
              <w:rPr>
                <w:szCs w:val="20"/>
              </w:rPr>
              <w:t xml:space="preserve">ymphoma**, </w:t>
            </w:r>
          </w:p>
          <w:p w14:paraId="06CD3366" w14:textId="77777777" w:rsidR="00BC0E7E" w:rsidRPr="00BC0E7E" w:rsidRDefault="00944B8F" w:rsidP="00BC0E7E">
            <w:pPr>
              <w:widowControl w:val="0"/>
              <w:rPr>
                <w:szCs w:val="20"/>
              </w:rPr>
            </w:pPr>
            <w:r w:rsidRPr="00BC0E7E">
              <w:rPr>
                <w:szCs w:val="20"/>
              </w:rPr>
              <w:t xml:space="preserve">solid organ neoplasm (including breast cancer, lung neoplasm and thyroid neoplasm), </w:t>
            </w:r>
          </w:p>
          <w:p w14:paraId="09398123" w14:textId="77777777" w:rsidR="00BC0E7E" w:rsidRPr="00BC0E7E" w:rsidRDefault="00944B8F" w:rsidP="00BC0E7E">
            <w:pPr>
              <w:widowControl w:val="0"/>
              <w:rPr>
                <w:szCs w:val="20"/>
              </w:rPr>
            </w:pPr>
            <w:r w:rsidRPr="00BC0E7E">
              <w:rPr>
                <w:szCs w:val="20"/>
              </w:rPr>
              <w:t>melanoma**</w:t>
            </w:r>
          </w:p>
          <w:p w14:paraId="7E1BCE37" w14:textId="77777777" w:rsidR="00BC0E7E" w:rsidRPr="00BC0E7E" w:rsidRDefault="00BC0E7E" w:rsidP="00BC0E7E">
            <w:pPr>
              <w:widowControl w:val="0"/>
              <w:rPr>
                <w:szCs w:val="20"/>
              </w:rPr>
            </w:pPr>
          </w:p>
        </w:tc>
      </w:tr>
      <w:tr w:rsidR="00C6578C" w14:paraId="0BED0957" w14:textId="77777777" w:rsidTr="000244DF">
        <w:trPr>
          <w:trHeight w:val="323"/>
        </w:trPr>
        <w:tc>
          <w:tcPr>
            <w:tcW w:w="2600" w:type="dxa"/>
            <w:vMerge w:val="restart"/>
          </w:tcPr>
          <w:p w14:paraId="529D06D8" w14:textId="77777777" w:rsidR="00BC0E7E" w:rsidRPr="00BC0E7E" w:rsidRDefault="00BC0E7E" w:rsidP="00BC0E7E">
            <w:pPr>
              <w:widowControl w:val="0"/>
              <w:spacing w:before="60"/>
            </w:pPr>
          </w:p>
        </w:tc>
        <w:tc>
          <w:tcPr>
            <w:tcW w:w="2074" w:type="dxa"/>
          </w:tcPr>
          <w:p w14:paraId="6D1C5CCA" w14:textId="77777777" w:rsidR="00BC0E7E" w:rsidRPr="00BC0E7E" w:rsidRDefault="00944B8F" w:rsidP="00BC0E7E">
            <w:pPr>
              <w:widowControl w:val="0"/>
              <w:spacing w:before="60"/>
              <w:jc w:val="both"/>
              <w:rPr>
                <w:szCs w:val="20"/>
              </w:rPr>
            </w:pPr>
            <w:r w:rsidRPr="00BC0E7E">
              <w:rPr>
                <w:szCs w:val="20"/>
              </w:rPr>
              <w:t>Rare</w:t>
            </w:r>
          </w:p>
        </w:tc>
        <w:tc>
          <w:tcPr>
            <w:tcW w:w="4575" w:type="dxa"/>
          </w:tcPr>
          <w:p w14:paraId="7420A6CB" w14:textId="77777777" w:rsidR="00BC0E7E" w:rsidRPr="00BC0E7E" w:rsidRDefault="00944B8F" w:rsidP="00BC0E7E">
            <w:pPr>
              <w:widowControl w:val="0"/>
              <w:spacing w:before="60"/>
            </w:pPr>
            <w:r>
              <w:t>L</w:t>
            </w:r>
            <w:r w:rsidRPr="00BC0E7E">
              <w:t>eukaemia</w:t>
            </w:r>
            <w:r w:rsidRPr="00BC0E7E">
              <w:rPr>
                <w:vertAlign w:val="superscript"/>
              </w:rPr>
              <w:t>1)</w:t>
            </w:r>
          </w:p>
          <w:p w14:paraId="23ABABDD" w14:textId="77777777" w:rsidR="00BC0E7E" w:rsidRPr="00BC0E7E" w:rsidRDefault="00BC0E7E" w:rsidP="00BC0E7E">
            <w:pPr>
              <w:widowControl w:val="0"/>
              <w:spacing w:before="60"/>
            </w:pPr>
          </w:p>
        </w:tc>
      </w:tr>
      <w:tr w:rsidR="00C6578C" w14:paraId="298AF2F1" w14:textId="77777777" w:rsidTr="000244DF">
        <w:trPr>
          <w:trHeight w:val="322"/>
        </w:trPr>
        <w:tc>
          <w:tcPr>
            <w:tcW w:w="2600" w:type="dxa"/>
            <w:vMerge/>
          </w:tcPr>
          <w:p w14:paraId="1F8C1018" w14:textId="77777777" w:rsidR="00BC0E7E" w:rsidRPr="00BC0E7E" w:rsidRDefault="00BC0E7E" w:rsidP="00BC0E7E">
            <w:pPr>
              <w:widowControl w:val="0"/>
              <w:spacing w:before="60"/>
            </w:pPr>
          </w:p>
        </w:tc>
        <w:tc>
          <w:tcPr>
            <w:tcW w:w="2074" w:type="dxa"/>
          </w:tcPr>
          <w:p w14:paraId="5B52391E" w14:textId="77777777" w:rsidR="00BC0E7E" w:rsidRPr="00BC0E7E" w:rsidRDefault="00944B8F" w:rsidP="00BC0E7E">
            <w:pPr>
              <w:widowControl w:val="0"/>
              <w:spacing w:before="60"/>
              <w:jc w:val="both"/>
              <w:rPr>
                <w:szCs w:val="20"/>
              </w:rPr>
            </w:pPr>
            <w:r w:rsidRPr="00BC0E7E">
              <w:rPr>
                <w:szCs w:val="20"/>
              </w:rPr>
              <w:t>Not known</w:t>
            </w:r>
          </w:p>
        </w:tc>
        <w:tc>
          <w:tcPr>
            <w:tcW w:w="4575" w:type="dxa"/>
          </w:tcPr>
          <w:p w14:paraId="7C6609EA" w14:textId="77777777" w:rsidR="00BC0E7E" w:rsidRPr="00BC0E7E" w:rsidRDefault="00944B8F" w:rsidP="00BC0E7E">
            <w:pPr>
              <w:widowControl w:val="0"/>
              <w:spacing w:before="60"/>
            </w:pPr>
            <w:r>
              <w:t>H</w:t>
            </w:r>
            <w:r w:rsidRPr="00BC0E7E">
              <w:t>epatosplenic T-cell lymphoma</w:t>
            </w:r>
            <w:r w:rsidRPr="00BC0E7E">
              <w:rPr>
                <w:vertAlign w:val="superscript"/>
              </w:rPr>
              <w:t>1)</w:t>
            </w:r>
          </w:p>
          <w:p w14:paraId="719743ED" w14:textId="77777777" w:rsidR="00BC0E7E" w:rsidRDefault="00944B8F" w:rsidP="00BC0E7E">
            <w:pPr>
              <w:widowControl w:val="0"/>
              <w:spacing w:before="60"/>
            </w:pPr>
            <w:r w:rsidRPr="00BC0E7E">
              <w:t>Merkel cell carcinoma (neuroendocrine carcinoma of the skin)</w:t>
            </w:r>
            <w:r w:rsidRPr="00BC0E7E">
              <w:rPr>
                <w:vertAlign w:val="superscript"/>
              </w:rPr>
              <w:t>1)</w:t>
            </w:r>
            <w:r w:rsidR="000A4E90">
              <w:t>,</w:t>
            </w:r>
          </w:p>
          <w:p w14:paraId="5315C6EB" w14:textId="77777777" w:rsidR="000A4E90" w:rsidRPr="000A4E90" w:rsidRDefault="00944B8F" w:rsidP="00BC0E7E">
            <w:pPr>
              <w:widowControl w:val="0"/>
              <w:spacing w:before="60"/>
            </w:pPr>
            <w:r>
              <w:t>Kaposi’s sarcoma</w:t>
            </w:r>
          </w:p>
          <w:p w14:paraId="057D0DE6" w14:textId="77777777" w:rsidR="00BC0E7E" w:rsidRPr="00BC0E7E" w:rsidRDefault="00BC0E7E" w:rsidP="00BC0E7E">
            <w:pPr>
              <w:widowControl w:val="0"/>
              <w:spacing w:before="60"/>
            </w:pPr>
          </w:p>
        </w:tc>
      </w:tr>
      <w:tr w:rsidR="00C6578C" w14:paraId="631CB3E9" w14:textId="77777777" w:rsidTr="000244DF">
        <w:tc>
          <w:tcPr>
            <w:tcW w:w="2600" w:type="dxa"/>
            <w:vMerge w:val="restart"/>
          </w:tcPr>
          <w:p w14:paraId="5296DED7" w14:textId="77777777" w:rsidR="00BC0E7E" w:rsidRPr="00BC0E7E" w:rsidRDefault="00944B8F" w:rsidP="00BC0E7E">
            <w:pPr>
              <w:widowControl w:val="0"/>
              <w:spacing w:before="60"/>
              <w:rPr>
                <w:b/>
              </w:rPr>
            </w:pPr>
            <w:r w:rsidRPr="00BC0E7E">
              <w:t>Blood and the lymphatic system disorders*</w:t>
            </w:r>
          </w:p>
        </w:tc>
        <w:tc>
          <w:tcPr>
            <w:tcW w:w="2074" w:type="dxa"/>
          </w:tcPr>
          <w:p w14:paraId="00EFCF67" w14:textId="77777777" w:rsidR="00BC0E7E" w:rsidRPr="00BC0E7E" w:rsidRDefault="00944B8F" w:rsidP="00BC0E7E">
            <w:pPr>
              <w:widowControl w:val="0"/>
              <w:spacing w:before="60"/>
              <w:jc w:val="both"/>
              <w:rPr>
                <w:szCs w:val="20"/>
              </w:rPr>
            </w:pPr>
            <w:r w:rsidRPr="00BC0E7E">
              <w:rPr>
                <w:szCs w:val="20"/>
              </w:rPr>
              <w:t>Very common</w:t>
            </w:r>
          </w:p>
          <w:p w14:paraId="0AF4481C" w14:textId="77777777" w:rsidR="00BC0E7E" w:rsidRPr="00BC0E7E" w:rsidRDefault="00BC0E7E" w:rsidP="00BC0E7E">
            <w:pPr>
              <w:widowControl w:val="0"/>
              <w:spacing w:before="60"/>
              <w:jc w:val="both"/>
              <w:rPr>
                <w:szCs w:val="20"/>
              </w:rPr>
            </w:pPr>
          </w:p>
        </w:tc>
        <w:tc>
          <w:tcPr>
            <w:tcW w:w="4575" w:type="dxa"/>
          </w:tcPr>
          <w:p w14:paraId="587F1BA9" w14:textId="77777777" w:rsidR="00BC0E7E" w:rsidRPr="00BC0E7E" w:rsidRDefault="00944B8F" w:rsidP="00BC0E7E">
            <w:pPr>
              <w:widowControl w:val="0"/>
              <w:spacing w:before="60"/>
            </w:pPr>
            <w:r>
              <w:t>L</w:t>
            </w:r>
            <w:r w:rsidRPr="00BC0E7E">
              <w:t xml:space="preserve">eukopenia (including neutropenia and agranulocytosis), </w:t>
            </w:r>
          </w:p>
          <w:p w14:paraId="1F54FE4C" w14:textId="77777777" w:rsidR="00BC0E7E" w:rsidRPr="00BC0E7E" w:rsidRDefault="00944B8F" w:rsidP="00BC0E7E">
            <w:pPr>
              <w:widowControl w:val="0"/>
              <w:spacing w:before="60"/>
            </w:pPr>
            <w:r w:rsidRPr="00BC0E7E">
              <w:t>anaemia</w:t>
            </w:r>
          </w:p>
          <w:p w14:paraId="1AAC67F4" w14:textId="77777777" w:rsidR="00BC0E7E" w:rsidRPr="00BC0E7E" w:rsidRDefault="00BC0E7E" w:rsidP="00BC0E7E">
            <w:pPr>
              <w:widowControl w:val="0"/>
              <w:spacing w:before="60"/>
              <w:rPr>
                <w:b/>
              </w:rPr>
            </w:pPr>
          </w:p>
        </w:tc>
      </w:tr>
      <w:tr w:rsidR="00C6578C" w14:paraId="4FAE8C10" w14:textId="77777777" w:rsidTr="000244DF">
        <w:tc>
          <w:tcPr>
            <w:tcW w:w="2600" w:type="dxa"/>
            <w:vMerge/>
          </w:tcPr>
          <w:p w14:paraId="5F2EDB4B" w14:textId="77777777" w:rsidR="00BC0E7E" w:rsidRPr="00BC0E7E" w:rsidRDefault="00BC0E7E" w:rsidP="00BC0E7E">
            <w:pPr>
              <w:widowControl w:val="0"/>
              <w:spacing w:beforeLines="60" w:before="144"/>
              <w:jc w:val="center"/>
              <w:rPr>
                <w:b/>
              </w:rPr>
            </w:pPr>
          </w:p>
        </w:tc>
        <w:tc>
          <w:tcPr>
            <w:tcW w:w="2074" w:type="dxa"/>
          </w:tcPr>
          <w:p w14:paraId="239FAA6F" w14:textId="77777777" w:rsidR="00BC0E7E" w:rsidRPr="00BC0E7E" w:rsidRDefault="00944B8F" w:rsidP="00BC0E7E">
            <w:pPr>
              <w:widowControl w:val="0"/>
              <w:jc w:val="both"/>
              <w:rPr>
                <w:szCs w:val="20"/>
              </w:rPr>
            </w:pPr>
            <w:r w:rsidRPr="00BC0E7E">
              <w:rPr>
                <w:szCs w:val="20"/>
              </w:rPr>
              <w:t>Common</w:t>
            </w:r>
          </w:p>
        </w:tc>
        <w:tc>
          <w:tcPr>
            <w:tcW w:w="4575" w:type="dxa"/>
          </w:tcPr>
          <w:p w14:paraId="3F5A242A" w14:textId="77777777" w:rsidR="00BC0E7E" w:rsidRPr="00BC0E7E" w:rsidRDefault="00944B8F" w:rsidP="00BC0E7E">
            <w:pPr>
              <w:widowControl w:val="0"/>
            </w:pPr>
            <w:r>
              <w:t>L</w:t>
            </w:r>
            <w:r w:rsidRPr="00BC0E7E">
              <w:t>eucocytosis,</w:t>
            </w:r>
          </w:p>
          <w:p w14:paraId="002A2FCF" w14:textId="77777777" w:rsidR="00BC0E7E" w:rsidRPr="00BC0E7E" w:rsidRDefault="00944B8F" w:rsidP="00BC0E7E">
            <w:pPr>
              <w:widowControl w:val="0"/>
            </w:pPr>
            <w:r w:rsidRPr="00BC0E7E">
              <w:t>thrombocytopenia</w:t>
            </w:r>
          </w:p>
          <w:p w14:paraId="6D78D5CA" w14:textId="77777777" w:rsidR="00BC0E7E" w:rsidRPr="00BC0E7E" w:rsidRDefault="00BC0E7E" w:rsidP="00BC0E7E">
            <w:pPr>
              <w:widowControl w:val="0"/>
            </w:pPr>
          </w:p>
        </w:tc>
      </w:tr>
      <w:tr w:rsidR="00C6578C" w14:paraId="16302F36" w14:textId="77777777" w:rsidTr="000244DF">
        <w:tc>
          <w:tcPr>
            <w:tcW w:w="2600" w:type="dxa"/>
            <w:vMerge/>
          </w:tcPr>
          <w:p w14:paraId="76401667" w14:textId="77777777" w:rsidR="00BC0E7E" w:rsidRPr="00BC0E7E" w:rsidRDefault="00BC0E7E" w:rsidP="00BC0E7E">
            <w:pPr>
              <w:widowControl w:val="0"/>
              <w:spacing w:beforeLines="60" w:before="144"/>
              <w:jc w:val="center"/>
              <w:rPr>
                <w:b/>
              </w:rPr>
            </w:pPr>
          </w:p>
        </w:tc>
        <w:tc>
          <w:tcPr>
            <w:tcW w:w="2074" w:type="dxa"/>
          </w:tcPr>
          <w:p w14:paraId="13A87065" w14:textId="77777777" w:rsidR="00BC0E7E" w:rsidRPr="00BC0E7E" w:rsidRDefault="00944B8F" w:rsidP="00BC0E7E">
            <w:pPr>
              <w:widowControl w:val="0"/>
              <w:jc w:val="both"/>
              <w:rPr>
                <w:szCs w:val="20"/>
              </w:rPr>
            </w:pPr>
            <w:r w:rsidRPr="00BC0E7E">
              <w:rPr>
                <w:szCs w:val="20"/>
              </w:rPr>
              <w:t>Uncommon</w:t>
            </w:r>
          </w:p>
        </w:tc>
        <w:tc>
          <w:tcPr>
            <w:tcW w:w="4575" w:type="dxa"/>
          </w:tcPr>
          <w:p w14:paraId="3FEC99A6" w14:textId="77777777" w:rsidR="00BC0E7E" w:rsidRPr="00BC0E7E" w:rsidRDefault="00944B8F" w:rsidP="00BC0E7E">
            <w:pPr>
              <w:widowControl w:val="0"/>
            </w:pPr>
            <w:r>
              <w:t>I</w:t>
            </w:r>
            <w:r w:rsidRPr="00BC0E7E">
              <w:t>diopathic thrombocytopenic purpura</w:t>
            </w:r>
          </w:p>
          <w:p w14:paraId="72CF4FAA" w14:textId="77777777" w:rsidR="00BC0E7E" w:rsidRPr="00BC0E7E" w:rsidRDefault="00BC0E7E" w:rsidP="00BC0E7E">
            <w:pPr>
              <w:widowControl w:val="0"/>
            </w:pPr>
          </w:p>
        </w:tc>
      </w:tr>
      <w:tr w:rsidR="00C6578C" w14:paraId="50CAEB4F" w14:textId="77777777" w:rsidTr="000244DF">
        <w:tc>
          <w:tcPr>
            <w:tcW w:w="2600" w:type="dxa"/>
            <w:vMerge/>
          </w:tcPr>
          <w:p w14:paraId="518FE73C" w14:textId="77777777" w:rsidR="00BC0E7E" w:rsidRPr="00BC0E7E" w:rsidRDefault="00BC0E7E" w:rsidP="00BC0E7E">
            <w:pPr>
              <w:widowControl w:val="0"/>
              <w:spacing w:beforeLines="60" w:before="144"/>
              <w:jc w:val="center"/>
              <w:rPr>
                <w:b/>
              </w:rPr>
            </w:pPr>
          </w:p>
        </w:tc>
        <w:tc>
          <w:tcPr>
            <w:tcW w:w="2074" w:type="dxa"/>
          </w:tcPr>
          <w:p w14:paraId="18A6C09E" w14:textId="77777777" w:rsidR="00BC0E7E" w:rsidRPr="00BC0E7E" w:rsidRDefault="00944B8F" w:rsidP="00BC0E7E">
            <w:pPr>
              <w:widowControl w:val="0"/>
              <w:jc w:val="both"/>
              <w:rPr>
                <w:szCs w:val="20"/>
              </w:rPr>
            </w:pPr>
            <w:r w:rsidRPr="00BC0E7E">
              <w:rPr>
                <w:szCs w:val="20"/>
              </w:rPr>
              <w:t>Rare</w:t>
            </w:r>
          </w:p>
          <w:p w14:paraId="50381C61" w14:textId="77777777" w:rsidR="00BC0E7E" w:rsidRPr="00BC0E7E" w:rsidRDefault="00BC0E7E" w:rsidP="00BC0E7E">
            <w:pPr>
              <w:widowControl w:val="0"/>
              <w:jc w:val="both"/>
              <w:rPr>
                <w:szCs w:val="20"/>
              </w:rPr>
            </w:pPr>
          </w:p>
        </w:tc>
        <w:tc>
          <w:tcPr>
            <w:tcW w:w="4575" w:type="dxa"/>
          </w:tcPr>
          <w:p w14:paraId="13A58ACF" w14:textId="77777777" w:rsidR="00BC0E7E" w:rsidRPr="00BC0E7E" w:rsidRDefault="00944B8F" w:rsidP="00BC0E7E">
            <w:pPr>
              <w:widowControl w:val="0"/>
              <w:rPr>
                <w:b/>
              </w:rPr>
            </w:pPr>
            <w:r>
              <w:t>P</w:t>
            </w:r>
            <w:r w:rsidRPr="00BC0E7E">
              <w:t>ancytopenia</w:t>
            </w:r>
          </w:p>
        </w:tc>
      </w:tr>
      <w:tr w:rsidR="00C6578C" w14:paraId="3727759A" w14:textId="77777777" w:rsidTr="000244DF">
        <w:tc>
          <w:tcPr>
            <w:tcW w:w="2600" w:type="dxa"/>
            <w:vMerge w:val="restart"/>
          </w:tcPr>
          <w:p w14:paraId="13B213D0" w14:textId="77777777" w:rsidR="00BC0E7E" w:rsidRPr="00BC0E7E" w:rsidRDefault="00944B8F" w:rsidP="00BC0E7E">
            <w:pPr>
              <w:widowControl w:val="0"/>
              <w:spacing w:before="60"/>
              <w:rPr>
                <w:szCs w:val="20"/>
                <w:lang w:val="de-DE"/>
              </w:rPr>
            </w:pPr>
            <w:r w:rsidRPr="00BC0E7E">
              <w:rPr>
                <w:szCs w:val="20"/>
                <w:lang w:val="de-DE"/>
              </w:rPr>
              <w:t>Immune system disorders*</w:t>
            </w:r>
          </w:p>
        </w:tc>
        <w:tc>
          <w:tcPr>
            <w:tcW w:w="2074" w:type="dxa"/>
          </w:tcPr>
          <w:p w14:paraId="31AECB6F" w14:textId="77777777" w:rsidR="00BC0E7E" w:rsidRPr="00BC0E7E" w:rsidRDefault="00944B8F" w:rsidP="00BC0E7E">
            <w:pPr>
              <w:widowControl w:val="0"/>
              <w:spacing w:before="60"/>
              <w:rPr>
                <w:szCs w:val="20"/>
              </w:rPr>
            </w:pPr>
            <w:r w:rsidRPr="00BC0E7E">
              <w:rPr>
                <w:szCs w:val="20"/>
              </w:rPr>
              <w:t>Common</w:t>
            </w:r>
          </w:p>
          <w:p w14:paraId="19BF35FF" w14:textId="77777777" w:rsidR="00BC0E7E" w:rsidRPr="00BC0E7E" w:rsidRDefault="00BC0E7E" w:rsidP="00BC0E7E">
            <w:pPr>
              <w:widowControl w:val="0"/>
              <w:spacing w:before="60"/>
              <w:rPr>
                <w:szCs w:val="20"/>
              </w:rPr>
            </w:pPr>
          </w:p>
        </w:tc>
        <w:tc>
          <w:tcPr>
            <w:tcW w:w="4575" w:type="dxa"/>
          </w:tcPr>
          <w:p w14:paraId="578734DA" w14:textId="77777777" w:rsidR="00BC0E7E" w:rsidRPr="00BC0E7E" w:rsidRDefault="00944B8F" w:rsidP="00BC0E7E">
            <w:pPr>
              <w:widowControl w:val="0"/>
              <w:spacing w:before="60"/>
              <w:rPr>
                <w:szCs w:val="20"/>
              </w:rPr>
            </w:pPr>
            <w:r>
              <w:rPr>
                <w:szCs w:val="20"/>
              </w:rPr>
              <w:t>H</w:t>
            </w:r>
            <w:r w:rsidRPr="00BC0E7E">
              <w:rPr>
                <w:szCs w:val="20"/>
              </w:rPr>
              <w:t>ypersensitivity,</w:t>
            </w:r>
          </w:p>
          <w:p w14:paraId="79037864" w14:textId="77777777" w:rsidR="00BC0E7E" w:rsidRPr="00BC0E7E" w:rsidRDefault="00944B8F" w:rsidP="00BC0E7E">
            <w:pPr>
              <w:widowControl w:val="0"/>
              <w:spacing w:before="60"/>
              <w:rPr>
                <w:szCs w:val="20"/>
              </w:rPr>
            </w:pPr>
            <w:r w:rsidRPr="00BC0E7E">
              <w:rPr>
                <w:szCs w:val="20"/>
              </w:rPr>
              <w:t>allergies (including seasonal allergy)</w:t>
            </w:r>
          </w:p>
          <w:p w14:paraId="152E956F" w14:textId="77777777" w:rsidR="00BC0E7E" w:rsidRPr="00BC0E7E" w:rsidRDefault="00BC0E7E" w:rsidP="00BC0E7E">
            <w:pPr>
              <w:widowControl w:val="0"/>
              <w:spacing w:before="60"/>
              <w:rPr>
                <w:szCs w:val="20"/>
              </w:rPr>
            </w:pPr>
          </w:p>
        </w:tc>
      </w:tr>
      <w:tr w:rsidR="00C6578C" w14:paraId="05B58000" w14:textId="77777777" w:rsidTr="000244DF">
        <w:tc>
          <w:tcPr>
            <w:tcW w:w="2600" w:type="dxa"/>
            <w:vMerge/>
          </w:tcPr>
          <w:p w14:paraId="7FD76A36" w14:textId="77777777" w:rsidR="00BC0E7E" w:rsidRPr="00BC0E7E" w:rsidRDefault="00BC0E7E" w:rsidP="00BC0E7E">
            <w:pPr>
              <w:widowControl w:val="0"/>
              <w:spacing w:before="60"/>
              <w:rPr>
                <w:szCs w:val="20"/>
              </w:rPr>
            </w:pPr>
          </w:p>
        </w:tc>
        <w:tc>
          <w:tcPr>
            <w:tcW w:w="2074" w:type="dxa"/>
          </w:tcPr>
          <w:p w14:paraId="06128E96" w14:textId="77777777" w:rsidR="00BC0E7E" w:rsidRPr="00BC0E7E" w:rsidRDefault="00944B8F" w:rsidP="00BC0E7E">
            <w:pPr>
              <w:widowControl w:val="0"/>
              <w:spacing w:before="60"/>
              <w:rPr>
                <w:szCs w:val="20"/>
              </w:rPr>
            </w:pPr>
            <w:r w:rsidRPr="00BC0E7E">
              <w:rPr>
                <w:szCs w:val="20"/>
              </w:rPr>
              <w:t>Uncommon</w:t>
            </w:r>
          </w:p>
        </w:tc>
        <w:tc>
          <w:tcPr>
            <w:tcW w:w="4575" w:type="dxa"/>
          </w:tcPr>
          <w:p w14:paraId="10F4B270" w14:textId="77777777" w:rsidR="00BC0E7E" w:rsidRPr="00BC0E7E" w:rsidRDefault="00944B8F" w:rsidP="00BC0E7E">
            <w:pPr>
              <w:widowControl w:val="0"/>
              <w:spacing w:before="60"/>
              <w:rPr>
                <w:szCs w:val="20"/>
                <w:vertAlign w:val="superscript"/>
              </w:rPr>
            </w:pPr>
            <w:r>
              <w:rPr>
                <w:szCs w:val="20"/>
              </w:rPr>
              <w:t>S</w:t>
            </w:r>
            <w:r w:rsidRPr="00BC0E7E">
              <w:rPr>
                <w:szCs w:val="20"/>
              </w:rPr>
              <w:t>arcoidosis</w:t>
            </w:r>
            <w:r w:rsidRPr="00BC0E7E">
              <w:rPr>
                <w:szCs w:val="20"/>
                <w:vertAlign w:val="superscript"/>
              </w:rPr>
              <w:t>1)</w:t>
            </w:r>
            <w:r w:rsidRPr="00BC0E7E">
              <w:rPr>
                <w:szCs w:val="20"/>
              </w:rPr>
              <w:t>,</w:t>
            </w:r>
          </w:p>
          <w:p w14:paraId="166E3108" w14:textId="77777777" w:rsidR="00BC0E7E" w:rsidRPr="00BC0E7E" w:rsidRDefault="00944B8F" w:rsidP="00BC0E7E">
            <w:pPr>
              <w:widowControl w:val="0"/>
              <w:spacing w:before="60"/>
              <w:rPr>
                <w:szCs w:val="20"/>
                <w:vertAlign w:val="superscript"/>
              </w:rPr>
            </w:pPr>
            <w:r w:rsidRPr="00BC0E7E">
              <w:rPr>
                <w:szCs w:val="20"/>
              </w:rPr>
              <w:t>vasculitis</w:t>
            </w:r>
          </w:p>
          <w:p w14:paraId="1C5BB82E" w14:textId="77777777" w:rsidR="00BC0E7E" w:rsidRPr="00BC0E7E" w:rsidRDefault="00BC0E7E" w:rsidP="00BC0E7E">
            <w:pPr>
              <w:widowControl w:val="0"/>
              <w:spacing w:before="60"/>
              <w:rPr>
                <w:szCs w:val="20"/>
              </w:rPr>
            </w:pPr>
          </w:p>
        </w:tc>
      </w:tr>
      <w:tr w:rsidR="00C6578C" w14:paraId="01A136B5" w14:textId="77777777" w:rsidTr="000244DF">
        <w:tc>
          <w:tcPr>
            <w:tcW w:w="2600" w:type="dxa"/>
            <w:vMerge/>
          </w:tcPr>
          <w:p w14:paraId="1EFC37D3" w14:textId="77777777" w:rsidR="00BC0E7E" w:rsidRPr="00BC0E7E" w:rsidRDefault="00BC0E7E" w:rsidP="00BC0E7E">
            <w:pPr>
              <w:widowControl w:val="0"/>
              <w:spacing w:before="60"/>
              <w:rPr>
                <w:szCs w:val="20"/>
              </w:rPr>
            </w:pPr>
          </w:p>
        </w:tc>
        <w:tc>
          <w:tcPr>
            <w:tcW w:w="2074" w:type="dxa"/>
          </w:tcPr>
          <w:p w14:paraId="4CF6597E" w14:textId="77777777" w:rsidR="00BC0E7E" w:rsidRPr="00BC0E7E" w:rsidRDefault="00944B8F" w:rsidP="00BC0E7E">
            <w:pPr>
              <w:widowControl w:val="0"/>
              <w:spacing w:before="60"/>
              <w:rPr>
                <w:szCs w:val="20"/>
              </w:rPr>
            </w:pPr>
            <w:r w:rsidRPr="00BC0E7E">
              <w:rPr>
                <w:szCs w:val="20"/>
              </w:rPr>
              <w:t>Rare</w:t>
            </w:r>
          </w:p>
        </w:tc>
        <w:tc>
          <w:tcPr>
            <w:tcW w:w="4575" w:type="dxa"/>
          </w:tcPr>
          <w:p w14:paraId="21D40753" w14:textId="77777777" w:rsidR="00BC0E7E" w:rsidRPr="00BC0E7E" w:rsidRDefault="00944B8F" w:rsidP="00BC0E7E">
            <w:pPr>
              <w:widowControl w:val="0"/>
              <w:spacing w:before="60"/>
              <w:rPr>
                <w:szCs w:val="20"/>
                <w:vertAlign w:val="superscript"/>
              </w:rPr>
            </w:pPr>
            <w:r>
              <w:rPr>
                <w:szCs w:val="20"/>
              </w:rPr>
              <w:t>A</w:t>
            </w:r>
            <w:r w:rsidRPr="00BC0E7E">
              <w:rPr>
                <w:szCs w:val="20"/>
              </w:rPr>
              <w:t>naphylaxis</w:t>
            </w:r>
            <w:r w:rsidRPr="00BC0E7E">
              <w:rPr>
                <w:szCs w:val="20"/>
                <w:vertAlign w:val="superscript"/>
              </w:rPr>
              <w:t>1)</w:t>
            </w:r>
          </w:p>
          <w:p w14:paraId="5E29B8BE" w14:textId="77777777" w:rsidR="00BC0E7E" w:rsidRPr="00BC0E7E" w:rsidRDefault="00BC0E7E" w:rsidP="00BC0E7E">
            <w:pPr>
              <w:widowControl w:val="0"/>
              <w:spacing w:before="60"/>
              <w:rPr>
                <w:szCs w:val="20"/>
              </w:rPr>
            </w:pPr>
          </w:p>
        </w:tc>
      </w:tr>
      <w:tr w:rsidR="00C6578C" w14:paraId="489828F9" w14:textId="77777777" w:rsidTr="000244DF">
        <w:tc>
          <w:tcPr>
            <w:tcW w:w="2600" w:type="dxa"/>
            <w:vMerge w:val="restart"/>
          </w:tcPr>
          <w:p w14:paraId="20BC5D87" w14:textId="77777777" w:rsidR="00BC0E7E" w:rsidRPr="00BC0E7E" w:rsidRDefault="00944B8F" w:rsidP="00BC0E7E">
            <w:pPr>
              <w:widowControl w:val="0"/>
              <w:spacing w:before="60"/>
              <w:rPr>
                <w:szCs w:val="20"/>
              </w:rPr>
            </w:pPr>
            <w:r w:rsidRPr="00BC0E7E">
              <w:rPr>
                <w:szCs w:val="20"/>
              </w:rPr>
              <w:t>Metabolism and nutrition disorders</w:t>
            </w:r>
          </w:p>
        </w:tc>
        <w:tc>
          <w:tcPr>
            <w:tcW w:w="2074" w:type="dxa"/>
          </w:tcPr>
          <w:p w14:paraId="755CB81E" w14:textId="77777777" w:rsidR="00BC0E7E" w:rsidRPr="00BC0E7E" w:rsidRDefault="00944B8F" w:rsidP="00BC0E7E">
            <w:pPr>
              <w:widowControl w:val="0"/>
              <w:spacing w:before="60"/>
              <w:rPr>
                <w:szCs w:val="20"/>
              </w:rPr>
            </w:pPr>
            <w:r w:rsidRPr="00BC0E7E">
              <w:rPr>
                <w:szCs w:val="20"/>
              </w:rPr>
              <w:t>Very common</w:t>
            </w:r>
          </w:p>
          <w:p w14:paraId="01104576" w14:textId="77777777" w:rsidR="00BC0E7E" w:rsidRPr="00BC0E7E" w:rsidRDefault="00BC0E7E" w:rsidP="00BC0E7E">
            <w:pPr>
              <w:widowControl w:val="0"/>
              <w:spacing w:before="60"/>
              <w:rPr>
                <w:szCs w:val="20"/>
              </w:rPr>
            </w:pPr>
          </w:p>
        </w:tc>
        <w:tc>
          <w:tcPr>
            <w:tcW w:w="4575" w:type="dxa"/>
          </w:tcPr>
          <w:p w14:paraId="6845609C" w14:textId="77777777" w:rsidR="00BC0E7E" w:rsidRPr="00BC0E7E" w:rsidRDefault="00944B8F" w:rsidP="00BC0E7E">
            <w:pPr>
              <w:widowControl w:val="0"/>
              <w:spacing w:before="60"/>
              <w:rPr>
                <w:szCs w:val="20"/>
              </w:rPr>
            </w:pPr>
            <w:r>
              <w:rPr>
                <w:szCs w:val="20"/>
              </w:rPr>
              <w:t>L</w:t>
            </w:r>
            <w:r w:rsidRPr="00BC0E7E">
              <w:rPr>
                <w:szCs w:val="20"/>
              </w:rPr>
              <w:t>ipids increased</w:t>
            </w:r>
          </w:p>
        </w:tc>
      </w:tr>
      <w:tr w:rsidR="00C6578C" w14:paraId="2B721566" w14:textId="77777777" w:rsidTr="000244DF">
        <w:trPr>
          <w:trHeight w:val="2687"/>
        </w:trPr>
        <w:tc>
          <w:tcPr>
            <w:tcW w:w="2600" w:type="dxa"/>
            <w:vMerge/>
          </w:tcPr>
          <w:p w14:paraId="1068B7C5" w14:textId="77777777" w:rsidR="00BC0E7E" w:rsidRPr="00BC0E7E" w:rsidRDefault="00BC0E7E" w:rsidP="00BC0E7E">
            <w:pPr>
              <w:widowControl w:val="0"/>
              <w:spacing w:before="60"/>
              <w:rPr>
                <w:szCs w:val="20"/>
              </w:rPr>
            </w:pPr>
          </w:p>
        </w:tc>
        <w:tc>
          <w:tcPr>
            <w:tcW w:w="2074" w:type="dxa"/>
          </w:tcPr>
          <w:p w14:paraId="1C5EB5D8" w14:textId="77777777" w:rsidR="00BC0E7E" w:rsidRPr="00BC0E7E" w:rsidRDefault="00944B8F" w:rsidP="00BC0E7E">
            <w:pPr>
              <w:widowControl w:val="0"/>
              <w:spacing w:before="60"/>
              <w:rPr>
                <w:szCs w:val="20"/>
              </w:rPr>
            </w:pPr>
            <w:r w:rsidRPr="00BC0E7E">
              <w:rPr>
                <w:szCs w:val="20"/>
              </w:rPr>
              <w:t>Common</w:t>
            </w:r>
          </w:p>
        </w:tc>
        <w:tc>
          <w:tcPr>
            <w:tcW w:w="4575" w:type="dxa"/>
          </w:tcPr>
          <w:p w14:paraId="7872D890" w14:textId="77777777" w:rsidR="00BC0E7E" w:rsidRPr="00BC0E7E" w:rsidRDefault="00944B8F" w:rsidP="00BC0E7E">
            <w:pPr>
              <w:widowControl w:val="0"/>
              <w:spacing w:before="60"/>
              <w:rPr>
                <w:szCs w:val="20"/>
              </w:rPr>
            </w:pPr>
            <w:r>
              <w:rPr>
                <w:szCs w:val="20"/>
              </w:rPr>
              <w:t>H</w:t>
            </w:r>
            <w:r w:rsidRPr="00BC0E7E">
              <w:rPr>
                <w:szCs w:val="20"/>
              </w:rPr>
              <w:t xml:space="preserve">ypokalaemia, </w:t>
            </w:r>
          </w:p>
          <w:p w14:paraId="68EAF5E2" w14:textId="77777777" w:rsidR="00BC0E7E" w:rsidRPr="00BC0E7E" w:rsidRDefault="00944B8F" w:rsidP="00BC0E7E">
            <w:pPr>
              <w:widowControl w:val="0"/>
              <w:spacing w:before="60"/>
              <w:rPr>
                <w:szCs w:val="20"/>
              </w:rPr>
            </w:pPr>
            <w:r w:rsidRPr="00BC0E7E">
              <w:rPr>
                <w:szCs w:val="20"/>
              </w:rPr>
              <w:t xml:space="preserve">uric acid increased, </w:t>
            </w:r>
          </w:p>
          <w:p w14:paraId="18E7DCC2" w14:textId="77777777" w:rsidR="00BC0E7E" w:rsidRPr="00BC0E7E" w:rsidRDefault="00944B8F" w:rsidP="00BC0E7E">
            <w:pPr>
              <w:widowControl w:val="0"/>
              <w:spacing w:before="60"/>
              <w:rPr>
                <w:szCs w:val="20"/>
              </w:rPr>
            </w:pPr>
            <w:r w:rsidRPr="00BC0E7E">
              <w:rPr>
                <w:szCs w:val="20"/>
              </w:rPr>
              <w:t>blood sodium abnormal,</w:t>
            </w:r>
          </w:p>
          <w:p w14:paraId="120CC968" w14:textId="77777777" w:rsidR="00BC0E7E" w:rsidRPr="00BC0E7E" w:rsidRDefault="00944B8F" w:rsidP="00BC0E7E">
            <w:pPr>
              <w:widowControl w:val="0"/>
              <w:spacing w:before="60"/>
              <w:rPr>
                <w:szCs w:val="20"/>
              </w:rPr>
            </w:pPr>
            <w:r w:rsidRPr="00BC0E7E">
              <w:rPr>
                <w:szCs w:val="20"/>
              </w:rPr>
              <w:t>hypocalcaemia,</w:t>
            </w:r>
          </w:p>
          <w:p w14:paraId="0F9766D6" w14:textId="77777777" w:rsidR="00BC0E7E" w:rsidRPr="00BC0E7E" w:rsidRDefault="00944B8F" w:rsidP="00BC0E7E">
            <w:pPr>
              <w:widowControl w:val="0"/>
              <w:spacing w:before="60"/>
              <w:rPr>
                <w:szCs w:val="20"/>
              </w:rPr>
            </w:pPr>
            <w:r w:rsidRPr="00BC0E7E">
              <w:rPr>
                <w:szCs w:val="20"/>
              </w:rPr>
              <w:t>hyperglycaemia,</w:t>
            </w:r>
          </w:p>
          <w:p w14:paraId="3E50E13B" w14:textId="77777777" w:rsidR="00BC0E7E" w:rsidRPr="00BC0E7E" w:rsidRDefault="00944B8F" w:rsidP="00BC0E7E">
            <w:pPr>
              <w:widowControl w:val="0"/>
              <w:spacing w:before="60"/>
              <w:rPr>
                <w:szCs w:val="20"/>
              </w:rPr>
            </w:pPr>
            <w:r w:rsidRPr="00BC0E7E">
              <w:rPr>
                <w:szCs w:val="20"/>
              </w:rPr>
              <w:t>hypophosphatemia,</w:t>
            </w:r>
          </w:p>
          <w:p w14:paraId="3FDD64D5" w14:textId="77777777" w:rsidR="00BC0E7E" w:rsidRPr="00BC0E7E" w:rsidRDefault="00944B8F" w:rsidP="00BC0E7E">
            <w:pPr>
              <w:widowControl w:val="0"/>
              <w:spacing w:before="60"/>
              <w:rPr>
                <w:szCs w:val="20"/>
              </w:rPr>
            </w:pPr>
            <w:r w:rsidRPr="00BC0E7E">
              <w:rPr>
                <w:szCs w:val="20"/>
              </w:rPr>
              <w:t>dehydration</w:t>
            </w:r>
          </w:p>
        </w:tc>
      </w:tr>
      <w:tr w:rsidR="00C6578C" w14:paraId="380A18F4" w14:textId="77777777" w:rsidTr="00171601">
        <w:tc>
          <w:tcPr>
            <w:tcW w:w="2600" w:type="dxa"/>
          </w:tcPr>
          <w:p w14:paraId="52ABB19C" w14:textId="77777777" w:rsidR="00BC0E7E" w:rsidRPr="00BC0E7E" w:rsidRDefault="00944B8F" w:rsidP="00BC0E7E">
            <w:pPr>
              <w:widowControl w:val="0"/>
              <w:spacing w:before="60"/>
              <w:rPr>
                <w:szCs w:val="20"/>
              </w:rPr>
            </w:pPr>
            <w:r w:rsidRPr="00BC0E7E">
              <w:rPr>
                <w:szCs w:val="20"/>
              </w:rPr>
              <w:t>Psychiatric disorders</w:t>
            </w:r>
          </w:p>
        </w:tc>
        <w:tc>
          <w:tcPr>
            <w:tcW w:w="2074" w:type="dxa"/>
          </w:tcPr>
          <w:p w14:paraId="1FC9996C" w14:textId="77777777" w:rsidR="00BC0E7E" w:rsidRPr="00BC0E7E" w:rsidRDefault="00944B8F" w:rsidP="00BC0E7E">
            <w:pPr>
              <w:widowControl w:val="0"/>
              <w:spacing w:before="60"/>
              <w:rPr>
                <w:szCs w:val="20"/>
              </w:rPr>
            </w:pPr>
            <w:r w:rsidRPr="00BC0E7E">
              <w:rPr>
                <w:szCs w:val="20"/>
              </w:rPr>
              <w:t>Common</w:t>
            </w:r>
          </w:p>
          <w:p w14:paraId="140F7F5B" w14:textId="77777777" w:rsidR="00BC0E7E" w:rsidRPr="00BC0E7E" w:rsidRDefault="00BC0E7E" w:rsidP="00BC0E7E">
            <w:pPr>
              <w:widowControl w:val="0"/>
              <w:spacing w:before="60"/>
              <w:rPr>
                <w:szCs w:val="20"/>
              </w:rPr>
            </w:pPr>
          </w:p>
        </w:tc>
        <w:tc>
          <w:tcPr>
            <w:tcW w:w="4575" w:type="dxa"/>
          </w:tcPr>
          <w:p w14:paraId="31958599" w14:textId="77777777" w:rsidR="00BC0E7E" w:rsidRPr="00BC0E7E" w:rsidRDefault="00944B8F" w:rsidP="00BC0E7E">
            <w:pPr>
              <w:widowControl w:val="0"/>
              <w:spacing w:before="60"/>
              <w:rPr>
                <w:szCs w:val="20"/>
              </w:rPr>
            </w:pPr>
            <w:r>
              <w:rPr>
                <w:szCs w:val="20"/>
              </w:rPr>
              <w:t>M</w:t>
            </w:r>
            <w:r w:rsidRPr="00BC0E7E">
              <w:rPr>
                <w:szCs w:val="20"/>
              </w:rPr>
              <w:t xml:space="preserve">ood alterations (including depression), </w:t>
            </w:r>
          </w:p>
          <w:p w14:paraId="5033199F" w14:textId="77777777" w:rsidR="00BC0E7E" w:rsidRPr="00BC0E7E" w:rsidRDefault="00944B8F" w:rsidP="00BC0E7E">
            <w:pPr>
              <w:widowControl w:val="0"/>
              <w:spacing w:before="60"/>
              <w:rPr>
                <w:szCs w:val="20"/>
              </w:rPr>
            </w:pPr>
            <w:r w:rsidRPr="00BC0E7E">
              <w:rPr>
                <w:szCs w:val="20"/>
              </w:rPr>
              <w:t>anxiety,</w:t>
            </w:r>
          </w:p>
          <w:p w14:paraId="536AB6D6" w14:textId="77777777" w:rsidR="00BC0E7E" w:rsidRPr="00BC0E7E" w:rsidRDefault="00944B8F" w:rsidP="00BC0E7E">
            <w:pPr>
              <w:widowControl w:val="0"/>
              <w:spacing w:before="60"/>
              <w:rPr>
                <w:szCs w:val="20"/>
              </w:rPr>
            </w:pPr>
            <w:r w:rsidRPr="00BC0E7E">
              <w:rPr>
                <w:szCs w:val="20"/>
              </w:rPr>
              <w:lastRenderedPageBreak/>
              <w:t>insomnia</w:t>
            </w:r>
          </w:p>
          <w:p w14:paraId="3FF513EC" w14:textId="77777777" w:rsidR="00BC0E7E" w:rsidRPr="00BC0E7E" w:rsidRDefault="00BC0E7E" w:rsidP="00BC0E7E">
            <w:pPr>
              <w:widowControl w:val="0"/>
              <w:spacing w:before="60"/>
              <w:rPr>
                <w:szCs w:val="20"/>
              </w:rPr>
            </w:pPr>
          </w:p>
        </w:tc>
      </w:tr>
      <w:tr w:rsidR="00C6578C" w14:paraId="6EAF710A" w14:textId="77777777" w:rsidTr="000244DF">
        <w:tc>
          <w:tcPr>
            <w:tcW w:w="2600" w:type="dxa"/>
            <w:vMerge w:val="restart"/>
          </w:tcPr>
          <w:p w14:paraId="766C28C5" w14:textId="77777777" w:rsidR="00BC0E7E" w:rsidRPr="00BC0E7E" w:rsidRDefault="00944B8F" w:rsidP="00BC0E7E">
            <w:pPr>
              <w:widowControl w:val="0"/>
              <w:spacing w:before="60"/>
              <w:rPr>
                <w:szCs w:val="20"/>
                <w:lang w:val="de-DE"/>
              </w:rPr>
            </w:pPr>
            <w:r w:rsidRPr="00BC0E7E">
              <w:rPr>
                <w:szCs w:val="20"/>
                <w:lang w:val="de-DE"/>
              </w:rPr>
              <w:lastRenderedPageBreak/>
              <w:t>Nervous system disorders*</w:t>
            </w:r>
          </w:p>
        </w:tc>
        <w:tc>
          <w:tcPr>
            <w:tcW w:w="2074" w:type="dxa"/>
          </w:tcPr>
          <w:p w14:paraId="2E650F7E" w14:textId="77777777" w:rsidR="00BC0E7E" w:rsidRPr="00BC0E7E" w:rsidRDefault="00944B8F" w:rsidP="00BC0E7E">
            <w:pPr>
              <w:widowControl w:val="0"/>
              <w:spacing w:before="60"/>
              <w:rPr>
                <w:szCs w:val="20"/>
              </w:rPr>
            </w:pPr>
            <w:r w:rsidRPr="00BC0E7E">
              <w:rPr>
                <w:szCs w:val="20"/>
              </w:rPr>
              <w:t>Very common</w:t>
            </w:r>
          </w:p>
          <w:p w14:paraId="76102D69" w14:textId="77777777" w:rsidR="00BC0E7E" w:rsidRPr="00BC0E7E" w:rsidRDefault="00BC0E7E" w:rsidP="00BC0E7E">
            <w:pPr>
              <w:widowControl w:val="0"/>
              <w:spacing w:before="60"/>
              <w:rPr>
                <w:szCs w:val="20"/>
              </w:rPr>
            </w:pPr>
          </w:p>
        </w:tc>
        <w:tc>
          <w:tcPr>
            <w:tcW w:w="4575" w:type="dxa"/>
          </w:tcPr>
          <w:p w14:paraId="65AB10C6" w14:textId="77777777" w:rsidR="00BC0E7E" w:rsidRPr="00BC0E7E" w:rsidRDefault="00944B8F" w:rsidP="00BC0E7E">
            <w:pPr>
              <w:widowControl w:val="0"/>
              <w:spacing w:before="60"/>
              <w:rPr>
                <w:szCs w:val="20"/>
              </w:rPr>
            </w:pPr>
            <w:r>
              <w:rPr>
                <w:szCs w:val="20"/>
              </w:rPr>
              <w:t>H</w:t>
            </w:r>
            <w:r w:rsidRPr="00BC0E7E">
              <w:rPr>
                <w:szCs w:val="20"/>
              </w:rPr>
              <w:t>eadache</w:t>
            </w:r>
          </w:p>
        </w:tc>
      </w:tr>
      <w:tr w:rsidR="00C6578C" w14:paraId="416B2C0A" w14:textId="77777777" w:rsidTr="000244DF">
        <w:tc>
          <w:tcPr>
            <w:tcW w:w="2600" w:type="dxa"/>
            <w:vMerge/>
          </w:tcPr>
          <w:p w14:paraId="5B90892A" w14:textId="77777777" w:rsidR="00BC0E7E" w:rsidRPr="00BC0E7E" w:rsidRDefault="00BC0E7E" w:rsidP="00BC0E7E">
            <w:pPr>
              <w:widowControl w:val="0"/>
              <w:spacing w:before="60"/>
              <w:rPr>
                <w:szCs w:val="20"/>
                <w:lang w:val="de-DE"/>
              </w:rPr>
            </w:pPr>
          </w:p>
        </w:tc>
        <w:tc>
          <w:tcPr>
            <w:tcW w:w="2074" w:type="dxa"/>
          </w:tcPr>
          <w:p w14:paraId="52EAE5E6" w14:textId="77777777" w:rsidR="00BC0E7E" w:rsidRPr="00BC0E7E" w:rsidRDefault="00944B8F" w:rsidP="00BC0E7E">
            <w:pPr>
              <w:widowControl w:val="0"/>
              <w:spacing w:before="60"/>
              <w:rPr>
                <w:szCs w:val="20"/>
              </w:rPr>
            </w:pPr>
            <w:r w:rsidRPr="00BC0E7E">
              <w:rPr>
                <w:szCs w:val="20"/>
              </w:rPr>
              <w:t>Common</w:t>
            </w:r>
          </w:p>
          <w:p w14:paraId="18829A00" w14:textId="77777777" w:rsidR="00BC0E7E" w:rsidRPr="00BC0E7E" w:rsidRDefault="00BC0E7E" w:rsidP="00BC0E7E">
            <w:pPr>
              <w:widowControl w:val="0"/>
              <w:spacing w:before="60"/>
              <w:rPr>
                <w:szCs w:val="20"/>
              </w:rPr>
            </w:pPr>
          </w:p>
        </w:tc>
        <w:tc>
          <w:tcPr>
            <w:tcW w:w="4575" w:type="dxa"/>
          </w:tcPr>
          <w:p w14:paraId="655AA5A0" w14:textId="77777777" w:rsidR="00BC0E7E" w:rsidRPr="00BC0E7E" w:rsidRDefault="00944B8F" w:rsidP="00BC0E7E">
            <w:pPr>
              <w:widowControl w:val="0"/>
              <w:spacing w:before="60"/>
              <w:rPr>
                <w:szCs w:val="20"/>
              </w:rPr>
            </w:pPr>
            <w:r>
              <w:rPr>
                <w:szCs w:val="20"/>
              </w:rPr>
              <w:t>P</w:t>
            </w:r>
            <w:r w:rsidRPr="00BC0E7E">
              <w:rPr>
                <w:szCs w:val="20"/>
              </w:rPr>
              <w:t>araesthesias (including hypoesthesia),</w:t>
            </w:r>
          </w:p>
          <w:p w14:paraId="6190CABB" w14:textId="77777777" w:rsidR="00BC0E7E" w:rsidRPr="00BC0E7E" w:rsidRDefault="00944B8F" w:rsidP="00BC0E7E">
            <w:pPr>
              <w:widowControl w:val="0"/>
              <w:spacing w:before="60"/>
              <w:rPr>
                <w:szCs w:val="20"/>
              </w:rPr>
            </w:pPr>
            <w:r w:rsidRPr="00BC0E7E">
              <w:rPr>
                <w:szCs w:val="20"/>
              </w:rPr>
              <w:t>migraine,</w:t>
            </w:r>
          </w:p>
          <w:p w14:paraId="0ABE5F73" w14:textId="77777777" w:rsidR="00BC0E7E" w:rsidRPr="00BC0E7E" w:rsidRDefault="00944B8F" w:rsidP="00BC0E7E">
            <w:pPr>
              <w:widowControl w:val="0"/>
              <w:spacing w:before="60"/>
              <w:rPr>
                <w:szCs w:val="20"/>
              </w:rPr>
            </w:pPr>
            <w:r w:rsidRPr="00BC0E7E">
              <w:rPr>
                <w:szCs w:val="20"/>
              </w:rPr>
              <w:t>nerve root compression</w:t>
            </w:r>
          </w:p>
          <w:p w14:paraId="44606763" w14:textId="77777777" w:rsidR="00BC0E7E" w:rsidRPr="00BC0E7E" w:rsidRDefault="00BC0E7E" w:rsidP="00BC0E7E">
            <w:pPr>
              <w:widowControl w:val="0"/>
              <w:spacing w:before="60"/>
              <w:rPr>
                <w:szCs w:val="20"/>
              </w:rPr>
            </w:pPr>
          </w:p>
        </w:tc>
      </w:tr>
      <w:tr w:rsidR="00C6578C" w14:paraId="375163A9" w14:textId="77777777" w:rsidTr="000244DF">
        <w:tc>
          <w:tcPr>
            <w:tcW w:w="2600" w:type="dxa"/>
            <w:vMerge/>
          </w:tcPr>
          <w:p w14:paraId="478544C3" w14:textId="77777777" w:rsidR="00BC0E7E" w:rsidRPr="00BC0E7E" w:rsidRDefault="00BC0E7E" w:rsidP="00BC0E7E">
            <w:pPr>
              <w:widowControl w:val="0"/>
              <w:spacing w:before="60"/>
              <w:jc w:val="center"/>
              <w:rPr>
                <w:b/>
              </w:rPr>
            </w:pPr>
          </w:p>
        </w:tc>
        <w:tc>
          <w:tcPr>
            <w:tcW w:w="2074" w:type="dxa"/>
          </w:tcPr>
          <w:p w14:paraId="5EABD178" w14:textId="77777777" w:rsidR="00BC0E7E" w:rsidRPr="00BC0E7E" w:rsidRDefault="00944B8F" w:rsidP="00BC0E7E">
            <w:pPr>
              <w:widowControl w:val="0"/>
              <w:rPr>
                <w:szCs w:val="20"/>
              </w:rPr>
            </w:pPr>
            <w:r w:rsidRPr="00BC0E7E">
              <w:rPr>
                <w:szCs w:val="20"/>
              </w:rPr>
              <w:t>Uncommon</w:t>
            </w:r>
          </w:p>
          <w:p w14:paraId="008FC044" w14:textId="77777777" w:rsidR="00BC0E7E" w:rsidRPr="00BC0E7E" w:rsidRDefault="00BC0E7E" w:rsidP="00BC0E7E">
            <w:pPr>
              <w:widowControl w:val="0"/>
              <w:rPr>
                <w:szCs w:val="20"/>
              </w:rPr>
            </w:pPr>
          </w:p>
        </w:tc>
        <w:tc>
          <w:tcPr>
            <w:tcW w:w="4575" w:type="dxa"/>
          </w:tcPr>
          <w:p w14:paraId="25CF91C0" w14:textId="77777777" w:rsidR="00BC0E7E" w:rsidRPr="00BC0E7E" w:rsidRDefault="00944B8F" w:rsidP="00BC0E7E">
            <w:pPr>
              <w:widowControl w:val="0"/>
              <w:rPr>
                <w:szCs w:val="20"/>
              </w:rPr>
            </w:pPr>
            <w:r>
              <w:rPr>
                <w:szCs w:val="20"/>
              </w:rPr>
              <w:t>C</w:t>
            </w:r>
            <w:r w:rsidRPr="00BC0E7E">
              <w:rPr>
                <w:szCs w:val="20"/>
              </w:rPr>
              <w:t>erebrovascular accident</w:t>
            </w:r>
            <w:r w:rsidRPr="00BC0E7E">
              <w:rPr>
                <w:szCs w:val="20"/>
                <w:vertAlign w:val="superscript"/>
              </w:rPr>
              <w:t>1)</w:t>
            </w:r>
            <w:r w:rsidRPr="00BC0E7E">
              <w:rPr>
                <w:szCs w:val="20"/>
              </w:rPr>
              <w:t>,</w:t>
            </w:r>
          </w:p>
          <w:p w14:paraId="27172A33" w14:textId="77777777" w:rsidR="00BC0E7E" w:rsidRPr="00BC0E7E" w:rsidRDefault="00944B8F" w:rsidP="00BC0E7E">
            <w:pPr>
              <w:widowControl w:val="0"/>
              <w:rPr>
                <w:szCs w:val="20"/>
              </w:rPr>
            </w:pPr>
            <w:r w:rsidRPr="00BC0E7E">
              <w:rPr>
                <w:szCs w:val="20"/>
              </w:rPr>
              <w:t>tremor,</w:t>
            </w:r>
          </w:p>
          <w:p w14:paraId="3EBAB564" w14:textId="77777777" w:rsidR="00BC0E7E" w:rsidRPr="00BC0E7E" w:rsidRDefault="00944B8F" w:rsidP="00BC0E7E">
            <w:pPr>
              <w:widowControl w:val="0"/>
              <w:rPr>
                <w:szCs w:val="20"/>
              </w:rPr>
            </w:pPr>
            <w:r w:rsidRPr="00BC0E7E">
              <w:rPr>
                <w:szCs w:val="20"/>
              </w:rPr>
              <w:t xml:space="preserve">neuropathy  </w:t>
            </w:r>
          </w:p>
          <w:p w14:paraId="1BCD8AC5" w14:textId="77777777" w:rsidR="00BC0E7E" w:rsidRPr="00BC0E7E" w:rsidRDefault="00BC0E7E" w:rsidP="00BC0E7E">
            <w:pPr>
              <w:widowControl w:val="0"/>
              <w:rPr>
                <w:szCs w:val="20"/>
              </w:rPr>
            </w:pPr>
          </w:p>
        </w:tc>
      </w:tr>
      <w:tr w:rsidR="00C6578C" w14:paraId="36D1840C" w14:textId="77777777" w:rsidTr="000244DF">
        <w:trPr>
          <w:trHeight w:val="881"/>
        </w:trPr>
        <w:tc>
          <w:tcPr>
            <w:tcW w:w="2600" w:type="dxa"/>
            <w:vMerge/>
          </w:tcPr>
          <w:p w14:paraId="486917CC" w14:textId="77777777" w:rsidR="00BC0E7E" w:rsidRPr="00BC0E7E" w:rsidRDefault="00BC0E7E" w:rsidP="00BC0E7E">
            <w:pPr>
              <w:widowControl w:val="0"/>
              <w:spacing w:before="60"/>
              <w:jc w:val="center"/>
              <w:rPr>
                <w:b/>
              </w:rPr>
            </w:pPr>
          </w:p>
        </w:tc>
        <w:tc>
          <w:tcPr>
            <w:tcW w:w="2074" w:type="dxa"/>
          </w:tcPr>
          <w:p w14:paraId="02C2B8F1" w14:textId="77777777" w:rsidR="00BC0E7E" w:rsidRPr="00BC0E7E" w:rsidRDefault="00944B8F" w:rsidP="00BC0E7E">
            <w:pPr>
              <w:widowControl w:val="0"/>
              <w:rPr>
                <w:szCs w:val="20"/>
              </w:rPr>
            </w:pPr>
            <w:r w:rsidRPr="00BC0E7E">
              <w:rPr>
                <w:szCs w:val="20"/>
              </w:rPr>
              <w:t>Rare</w:t>
            </w:r>
          </w:p>
          <w:p w14:paraId="033DA223" w14:textId="77777777" w:rsidR="00BC0E7E" w:rsidRPr="00BC0E7E" w:rsidRDefault="00BC0E7E" w:rsidP="00BC0E7E">
            <w:pPr>
              <w:widowControl w:val="0"/>
              <w:rPr>
                <w:szCs w:val="20"/>
              </w:rPr>
            </w:pPr>
          </w:p>
        </w:tc>
        <w:tc>
          <w:tcPr>
            <w:tcW w:w="4575" w:type="dxa"/>
          </w:tcPr>
          <w:p w14:paraId="6E81CF1D" w14:textId="77777777" w:rsidR="00BC0E7E" w:rsidRPr="00BC0E7E" w:rsidRDefault="00944B8F" w:rsidP="00BC0E7E">
            <w:pPr>
              <w:widowControl w:val="0"/>
              <w:rPr>
                <w:szCs w:val="20"/>
                <w:lang w:val="fr-FR"/>
              </w:rPr>
            </w:pPr>
            <w:r>
              <w:rPr>
                <w:szCs w:val="20"/>
                <w:lang w:val="fr-FR"/>
              </w:rPr>
              <w:t>M</w:t>
            </w:r>
            <w:r w:rsidRPr="00BC0E7E">
              <w:rPr>
                <w:szCs w:val="20"/>
                <w:lang w:val="fr-FR"/>
              </w:rPr>
              <w:t>ultiple sclerosis,</w:t>
            </w:r>
          </w:p>
          <w:p w14:paraId="04F3776E" w14:textId="77777777" w:rsidR="00BC0E7E" w:rsidRPr="00BC0E7E" w:rsidRDefault="00944B8F" w:rsidP="00BC0E7E">
            <w:pPr>
              <w:widowControl w:val="0"/>
              <w:spacing w:before="60"/>
              <w:rPr>
                <w:szCs w:val="20"/>
                <w:vertAlign w:val="superscript"/>
                <w:lang w:val="fr-FR"/>
              </w:rPr>
            </w:pPr>
            <w:r w:rsidRPr="00BC0E7E">
              <w:rPr>
                <w:szCs w:val="20"/>
                <w:lang w:val="fr-FR"/>
              </w:rPr>
              <w:t>demyelinating disorders (e.g. optic neuritis, Guillain-Barré syndrome)</w:t>
            </w:r>
            <w:r w:rsidRPr="00BC0E7E">
              <w:rPr>
                <w:szCs w:val="20"/>
                <w:vertAlign w:val="superscript"/>
                <w:lang w:val="fr-FR"/>
              </w:rPr>
              <w:t xml:space="preserve"> 1)</w:t>
            </w:r>
          </w:p>
          <w:p w14:paraId="0B397887" w14:textId="77777777" w:rsidR="00BC0E7E" w:rsidRPr="00BC0E7E" w:rsidRDefault="00BC0E7E" w:rsidP="00BC0E7E">
            <w:pPr>
              <w:widowControl w:val="0"/>
              <w:spacing w:before="60"/>
              <w:rPr>
                <w:szCs w:val="20"/>
                <w:lang w:val="fr-FR"/>
              </w:rPr>
            </w:pPr>
          </w:p>
        </w:tc>
      </w:tr>
      <w:tr w:rsidR="00C6578C" w14:paraId="036D9FEF" w14:textId="77777777" w:rsidTr="000244DF">
        <w:tc>
          <w:tcPr>
            <w:tcW w:w="2600" w:type="dxa"/>
            <w:vMerge w:val="restart"/>
          </w:tcPr>
          <w:p w14:paraId="1EC39242" w14:textId="77777777" w:rsidR="00BC0E7E" w:rsidRPr="00BC0E7E" w:rsidRDefault="00944B8F" w:rsidP="00BC0E7E">
            <w:pPr>
              <w:widowControl w:val="0"/>
              <w:spacing w:before="60"/>
              <w:rPr>
                <w:szCs w:val="20"/>
              </w:rPr>
            </w:pPr>
            <w:r w:rsidRPr="00BC0E7E">
              <w:rPr>
                <w:szCs w:val="20"/>
              </w:rPr>
              <w:t>Eye disorders</w:t>
            </w:r>
          </w:p>
        </w:tc>
        <w:tc>
          <w:tcPr>
            <w:tcW w:w="2074" w:type="dxa"/>
          </w:tcPr>
          <w:p w14:paraId="4FCEB5E8" w14:textId="77777777" w:rsidR="00BC0E7E" w:rsidRPr="00BC0E7E" w:rsidRDefault="00944B8F" w:rsidP="00BC0E7E">
            <w:pPr>
              <w:widowControl w:val="0"/>
              <w:spacing w:before="60"/>
              <w:rPr>
                <w:szCs w:val="20"/>
              </w:rPr>
            </w:pPr>
            <w:r w:rsidRPr="00BC0E7E">
              <w:rPr>
                <w:szCs w:val="20"/>
              </w:rPr>
              <w:t>Common</w:t>
            </w:r>
          </w:p>
          <w:p w14:paraId="48256D82" w14:textId="77777777" w:rsidR="00BC0E7E" w:rsidRPr="00BC0E7E" w:rsidRDefault="00BC0E7E" w:rsidP="00BC0E7E">
            <w:pPr>
              <w:widowControl w:val="0"/>
              <w:spacing w:before="60"/>
              <w:rPr>
                <w:szCs w:val="20"/>
              </w:rPr>
            </w:pPr>
          </w:p>
        </w:tc>
        <w:tc>
          <w:tcPr>
            <w:tcW w:w="4575" w:type="dxa"/>
          </w:tcPr>
          <w:p w14:paraId="5EE6E11A" w14:textId="77777777" w:rsidR="00BC0E7E" w:rsidRPr="00BC0E7E" w:rsidRDefault="00944B8F" w:rsidP="00BC0E7E">
            <w:pPr>
              <w:widowControl w:val="0"/>
              <w:spacing w:before="60"/>
              <w:rPr>
                <w:szCs w:val="20"/>
              </w:rPr>
            </w:pPr>
            <w:r>
              <w:rPr>
                <w:szCs w:val="20"/>
              </w:rPr>
              <w:t>V</w:t>
            </w:r>
            <w:r w:rsidRPr="00BC0E7E">
              <w:rPr>
                <w:szCs w:val="20"/>
              </w:rPr>
              <w:t>isual impairment,</w:t>
            </w:r>
          </w:p>
          <w:p w14:paraId="5A568A38" w14:textId="77777777" w:rsidR="00BC0E7E" w:rsidRPr="00BC0E7E" w:rsidRDefault="00944B8F" w:rsidP="00BC0E7E">
            <w:pPr>
              <w:widowControl w:val="0"/>
              <w:spacing w:before="60"/>
              <w:rPr>
                <w:szCs w:val="20"/>
              </w:rPr>
            </w:pPr>
            <w:r w:rsidRPr="00BC0E7E">
              <w:rPr>
                <w:szCs w:val="20"/>
              </w:rPr>
              <w:t>conjunctivitis,</w:t>
            </w:r>
          </w:p>
          <w:p w14:paraId="45017623" w14:textId="77777777" w:rsidR="00BC0E7E" w:rsidRPr="00BC0E7E" w:rsidRDefault="00944B8F" w:rsidP="00BC0E7E">
            <w:pPr>
              <w:widowControl w:val="0"/>
              <w:spacing w:before="60"/>
              <w:rPr>
                <w:szCs w:val="20"/>
              </w:rPr>
            </w:pPr>
            <w:r w:rsidRPr="00BC0E7E">
              <w:rPr>
                <w:szCs w:val="20"/>
              </w:rPr>
              <w:t>blepharitis,</w:t>
            </w:r>
          </w:p>
          <w:p w14:paraId="641DF6DA" w14:textId="77777777" w:rsidR="00BC0E7E" w:rsidRPr="00BC0E7E" w:rsidRDefault="00944B8F" w:rsidP="00BC0E7E">
            <w:pPr>
              <w:widowControl w:val="0"/>
              <w:spacing w:before="60"/>
              <w:rPr>
                <w:szCs w:val="20"/>
              </w:rPr>
            </w:pPr>
            <w:r w:rsidRPr="00BC0E7E">
              <w:rPr>
                <w:szCs w:val="20"/>
              </w:rPr>
              <w:t>eye swelling</w:t>
            </w:r>
          </w:p>
          <w:p w14:paraId="6C93F6BD" w14:textId="77777777" w:rsidR="00BC0E7E" w:rsidRPr="00BC0E7E" w:rsidRDefault="00BC0E7E" w:rsidP="00BC0E7E">
            <w:pPr>
              <w:widowControl w:val="0"/>
              <w:spacing w:before="60"/>
              <w:rPr>
                <w:szCs w:val="20"/>
              </w:rPr>
            </w:pPr>
          </w:p>
        </w:tc>
      </w:tr>
      <w:tr w:rsidR="00C6578C" w14:paraId="075DA3FD" w14:textId="77777777" w:rsidTr="000244DF">
        <w:tc>
          <w:tcPr>
            <w:tcW w:w="2600" w:type="dxa"/>
            <w:vMerge/>
          </w:tcPr>
          <w:p w14:paraId="1F9D3D43" w14:textId="77777777" w:rsidR="00BC0E7E" w:rsidRPr="00BC0E7E" w:rsidRDefault="00BC0E7E" w:rsidP="00BC0E7E">
            <w:pPr>
              <w:widowControl w:val="0"/>
              <w:spacing w:before="60"/>
              <w:jc w:val="center"/>
              <w:rPr>
                <w:b/>
              </w:rPr>
            </w:pPr>
          </w:p>
        </w:tc>
        <w:tc>
          <w:tcPr>
            <w:tcW w:w="2074" w:type="dxa"/>
          </w:tcPr>
          <w:p w14:paraId="6E43F7F9" w14:textId="77777777" w:rsidR="00BC0E7E" w:rsidRPr="00BC0E7E" w:rsidRDefault="00944B8F" w:rsidP="00BC0E7E">
            <w:pPr>
              <w:widowControl w:val="0"/>
              <w:rPr>
                <w:szCs w:val="20"/>
                <w:lang w:val="fr-FR"/>
              </w:rPr>
            </w:pPr>
            <w:r w:rsidRPr="00BC0E7E">
              <w:rPr>
                <w:szCs w:val="20"/>
                <w:lang w:val="fr-FR"/>
              </w:rPr>
              <w:t>Uncommon</w:t>
            </w:r>
          </w:p>
        </w:tc>
        <w:tc>
          <w:tcPr>
            <w:tcW w:w="4575" w:type="dxa"/>
          </w:tcPr>
          <w:p w14:paraId="408CF3FB" w14:textId="77777777" w:rsidR="00BC0E7E" w:rsidRPr="00BC0E7E" w:rsidRDefault="00944B8F" w:rsidP="00BC0E7E">
            <w:pPr>
              <w:widowControl w:val="0"/>
              <w:rPr>
                <w:szCs w:val="20"/>
              </w:rPr>
            </w:pPr>
            <w:r>
              <w:rPr>
                <w:szCs w:val="20"/>
              </w:rPr>
              <w:t>D</w:t>
            </w:r>
            <w:r w:rsidRPr="00BC0E7E">
              <w:rPr>
                <w:szCs w:val="20"/>
              </w:rPr>
              <w:t>iplopia</w:t>
            </w:r>
          </w:p>
          <w:p w14:paraId="7A78CD01" w14:textId="77777777" w:rsidR="00BC0E7E" w:rsidRPr="00BC0E7E" w:rsidRDefault="00BC0E7E" w:rsidP="00BC0E7E">
            <w:pPr>
              <w:widowControl w:val="0"/>
              <w:rPr>
                <w:szCs w:val="20"/>
              </w:rPr>
            </w:pPr>
          </w:p>
        </w:tc>
      </w:tr>
      <w:tr w:rsidR="00C6578C" w14:paraId="1D225E3A" w14:textId="77777777" w:rsidTr="000244DF">
        <w:tc>
          <w:tcPr>
            <w:tcW w:w="2600" w:type="dxa"/>
            <w:vMerge w:val="restart"/>
          </w:tcPr>
          <w:p w14:paraId="2E68E7DE" w14:textId="77777777" w:rsidR="00BC0E7E" w:rsidRPr="00BC0E7E" w:rsidRDefault="00944B8F" w:rsidP="00BC0E7E">
            <w:pPr>
              <w:widowControl w:val="0"/>
              <w:spacing w:before="60"/>
              <w:rPr>
                <w:szCs w:val="20"/>
              </w:rPr>
            </w:pPr>
            <w:r w:rsidRPr="00BC0E7E">
              <w:rPr>
                <w:szCs w:val="20"/>
              </w:rPr>
              <w:t xml:space="preserve">Ear and labyrinth disorders </w:t>
            </w:r>
          </w:p>
          <w:p w14:paraId="09940A04" w14:textId="77777777" w:rsidR="00BC0E7E" w:rsidRPr="00BC0E7E" w:rsidRDefault="00BC0E7E" w:rsidP="00BC0E7E">
            <w:pPr>
              <w:widowControl w:val="0"/>
              <w:spacing w:before="60"/>
              <w:rPr>
                <w:szCs w:val="20"/>
              </w:rPr>
            </w:pPr>
          </w:p>
        </w:tc>
        <w:tc>
          <w:tcPr>
            <w:tcW w:w="2074" w:type="dxa"/>
          </w:tcPr>
          <w:p w14:paraId="0F50F12E" w14:textId="77777777" w:rsidR="00BC0E7E" w:rsidRPr="00BC0E7E" w:rsidRDefault="00944B8F" w:rsidP="00BC0E7E">
            <w:pPr>
              <w:widowControl w:val="0"/>
              <w:spacing w:before="60"/>
              <w:rPr>
                <w:szCs w:val="20"/>
              </w:rPr>
            </w:pPr>
            <w:r w:rsidRPr="00BC0E7E">
              <w:rPr>
                <w:szCs w:val="20"/>
              </w:rPr>
              <w:t>Common</w:t>
            </w:r>
          </w:p>
          <w:p w14:paraId="2F412E41" w14:textId="77777777" w:rsidR="00BC0E7E" w:rsidRPr="00BC0E7E" w:rsidRDefault="00BC0E7E" w:rsidP="00BC0E7E">
            <w:pPr>
              <w:widowControl w:val="0"/>
              <w:spacing w:before="60"/>
              <w:rPr>
                <w:szCs w:val="20"/>
              </w:rPr>
            </w:pPr>
          </w:p>
        </w:tc>
        <w:tc>
          <w:tcPr>
            <w:tcW w:w="4575" w:type="dxa"/>
          </w:tcPr>
          <w:p w14:paraId="72984475" w14:textId="77777777" w:rsidR="00BC0E7E" w:rsidRPr="00BC0E7E" w:rsidRDefault="00944B8F" w:rsidP="00BC0E7E">
            <w:pPr>
              <w:widowControl w:val="0"/>
              <w:spacing w:before="60"/>
              <w:rPr>
                <w:szCs w:val="20"/>
              </w:rPr>
            </w:pPr>
            <w:r>
              <w:rPr>
                <w:szCs w:val="20"/>
              </w:rPr>
              <w:t>V</w:t>
            </w:r>
            <w:r w:rsidRPr="00BC0E7E">
              <w:rPr>
                <w:szCs w:val="20"/>
              </w:rPr>
              <w:t>ertigo</w:t>
            </w:r>
          </w:p>
          <w:p w14:paraId="56873C55" w14:textId="77777777" w:rsidR="00BC0E7E" w:rsidRPr="00BC0E7E" w:rsidRDefault="00BC0E7E" w:rsidP="00BC0E7E">
            <w:pPr>
              <w:widowControl w:val="0"/>
              <w:spacing w:before="60"/>
              <w:rPr>
                <w:szCs w:val="20"/>
              </w:rPr>
            </w:pPr>
          </w:p>
        </w:tc>
      </w:tr>
      <w:tr w:rsidR="00C6578C" w14:paraId="04D2F128" w14:textId="77777777" w:rsidTr="000244DF">
        <w:tc>
          <w:tcPr>
            <w:tcW w:w="2600" w:type="dxa"/>
            <w:vMerge/>
          </w:tcPr>
          <w:p w14:paraId="4A858646" w14:textId="77777777" w:rsidR="00BC0E7E" w:rsidRPr="00BC0E7E" w:rsidRDefault="00BC0E7E" w:rsidP="00BC0E7E">
            <w:pPr>
              <w:widowControl w:val="0"/>
              <w:spacing w:before="60"/>
              <w:jc w:val="center"/>
              <w:rPr>
                <w:b/>
              </w:rPr>
            </w:pPr>
          </w:p>
        </w:tc>
        <w:tc>
          <w:tcPr>
            <w:tcW w:w="2074" w:type="dxa"/>
          </w:tcPr>
          <w:p w14:paraId="7F7D15E6" w14:textId="77777777" w:rsidR="00BC0E7E" w:rsidRPr="00BC0E7E" w:rsidRDefault="00944B8F" w:rsidP="00BC0E7E">
            <w:pPr>
              <w:widowControl w:val="0"/>
              <w:rPr>
                <w:szCs w:val="20"/>
              </w:rPr>
            </w:pPr>
            <w:r w:rsidRPr="00BC0E7E">
              <w:rPr>
                <w:szCs w:val="20"/>
              </w:rPr>
              <w:t>Uncommon</w:t>
            </w:r>
          </w:p>
          <w:p w14:paraId="7CBE1D06" w14:textId="77777777" w:rsidR="00BC0E7E" w:rsidRPr="00BC0E7E" w:rsidRDefault="00BC0E7E" w:rsidP="00BC0E7E">
            <w:pPr>
              <w:widowControl w:val="0"/>
              <w:rPr>
                <w:szCs w:val="20"/>
              </w:rPr>
            </w:pPr>
          </w:p>
        </w:tc>
        <w:tc>
          <w:tcPr>
            <w:tcW w:w="4575" w:type="dxa"/>
          </w:tcPr>
          <w:p w14:paraId="246C74C7" w14:textId="77777777" w:rsidR="00BC0E7E" w:rsidRPr="00BC0E7E" w:rsidRDefault="00944B8F" w:rsidP="00BC0E7E">
            <w:pPr>
              <w:widowControl w:val="0"/>
              <w:rPr>
                <w:szCs w:val="20"/>
              </w:rPr>
            </w:pPr>
            <w:r>
              <w:rPr>
                <w:szCs w:val="20"/>
              </w:rPr>
              <w:t>D</w:t>
            </w:r>
            <w:r w:rsidRPr="00BC0E7E">
              <w:rPr>
                <w:szCs w:val="20"/>
              </w:rPr>
              <w:t xml:space="preserve">eafness, </w:t>
            </w:r>
          </w:p>
          <w:p w14:paraId="6FC8CB09" w14:textId="77777777" w:rsidR="00BC0E7E" w:rsidRPr="00BC0E7E" w:rsidRDefault="00944B8F" w:rsidP="00BC0E7E">
            <w:pPr>
              <w:widowControl w:val="0"/>
              <w:rPr>
                <w:szCs w:val="20"/>
              </w:rPr>
            </w:pPr>
            <w:r w:rsidRPr="00BC0E7E">
              <w:rPr>
                <w:szCs w:val="20"/>
              </w:rPr>
              <w:t>tinnitus</w:t>
            </w:r>
          </w:p>
          <w:p w14:paraId="052202D2" w14:textId="77777777" w:rsidR="00BC0E7E" w:rsidRPr="00BC0E7E" w:rsidRDefault="00BC0E7E" w:rsidP="00BC0E7E">
            <w:pPr>
              <w:widowControl w:val="0"/>
              <w:rPr>
                <w:szCs w:val="20"/>
              </w:rPr>
            </w:pPr>
          </w:p>
        </w:tc>
      </w:tr>
      <w:tr w:rsidR="00C6578C" w14:paraId="2146553D" w14:textId="77777777" w:rsidTr="000244DF">
        <w:tc>
          <w:tcPr>
            <w:tcW w:w="2600" w:type="dxa"/>
            <w:vMerge w:val="restart"/>
          </w:tcPr>
          <w:p w14:paraId="2B7A4E38" w14:textId="77777777" w:rsidR="00BC0E7E" w:rsidRPr="00BC0E7E" w:rsidRDefault="00944B8F" w:rsidP="00BC0E7E">
            <w:pPr>
              <w:widowControl w:val="0"/>
              <w:spacing w:before="60"/>
              <w:rPr>
                <w:szCs w:val="20"/>
              </w:rPr>
            </w:pPr>
            <w:r w:rsidRPr="00BC0E7E">
              <w:rPr>
                <w:szCs w:val="20"/>
              </w:rPr>
              <w:t xml:space="preserve">Cardiac disorders* </w:t>
            </w:r>
          </w:p>
        </w:tc>
        <w:tc>
          <w:tcPr>
            <w:tcW w:w="2074" w:type="dxa"/>
          </w:tcPr>
          <w:p w14:paraId="0E178726" w14:textId="77777777" w:rsidR="00BC0E7E" w:rsidRPr="00BC0E7E" w:rsidRDefault="00944B8F" w:rsidP="00BC0E7E">
            <w:pPr>
              <w:widowControl w:val="0"/>
              <w:spacing w:before="60"/>
              <w:rPr>
                <w:szCs w:val="20"/>
              </w:rPr>
            </w:pPr>
            <w:r w:rsidRPr="00BC0E7E">
              <w:rPr>
                <w:szCs w:val="20"/>
              </w:rPr>
              <w:t>Common</w:t>
            </w:r>
          </w:p>
        </w:tc>
        <w:tc>
          <w:tcPr>
            <w:tcW w:w="4575" w:type="dxa"/>
          </w:tcPr>
          <w:p w14:paraId="37A87740" w14:textId="77777777" w:rsidR="00BC0E7E" w:rsidRPr="00BC0E7E" w:rsidRDefault="00944B8F" w:rsidP="00BC0E7E">
            <w:pPr>
              <w:widowControl w:val="0"/>
              <w:spacing w:before="60"/>
              <w:rPr>
                <w:szCs w:val="20"/>
              </w:rPr>
            </w:pPr>
            <w:r>
              <w:rPr>
                <w:szCs w:val="20"/>
              </w:rPr>
              <w:t>T</w:t>
            </w:r>
            <w:r w:rsidRPr="00BC0E7E">
              <w:rPr>
                <w:szCs w:val="20"/>
              </w:rPr>
              <w:t>achycardia</w:t>
            </w:r>
          </w:p>
          <w:p w14:paraId="54F39FCD" w14:textId="77777777" w:rsidR="00BC0E7E" w:rsidRPr="00BC0E7E" w:rsidRDefault="00BC0E7E" w:rsidP="00BC0E7E">
            <w:pPr>
              <w:widowControl w:val="0"/>
              <w:spacing w:before="60"/>
              <w:rPr>
                <w:szCs w:val="20"/>
              </w:rPr>
            </w:pPr>
          </w:p>
        </w:tc>
      </w:tr>
      <w:tr w:rsidR="00C6578C" w14:paraId="7A4DA657" w14:textId="77777777" w:rsidTr="000244DF">
        <w:tc>
          <w:tcPr>
            <w:tcW w:w="2600" w:type="dxa"/>
            <w:vMerge/>
          </w:tcPr>
          <w:p w14:paraId="2240CFDE" w14:textId="77777777" w:rsidR="00BC0E7E" w:rsidRPr="00BC0E7E" w:rsidRDefault="00BC0E7E" w:rsidP="00BC0E7E">
            <w:pPr>
              <w:widowControl w:val="0"/>
              <w:spacing w:before="60"/>
              <w:rPr>
                <w:szCs w:val="20"/>
              </w:rPr>
            </w:pPr>
          </w:p>
        </w:tc>
        <w:tc>
          <w:tcPr>
            <w:tcW w:w="2074" w:type="dxa"/>
          </w:tcPr>
          <w:p w14:paraId="2B732ECC" w14:textId="77777777" w:rsidR="00BC0E7E" w:rsidRPr="00BC0E7E" w:rsidRDefault="00944B8F" w:rsidP="00BC0E7E">
            <w:pPr>
              <w:widowControl w:val="0"/>
              <w:spacing w:before="60"/>
              <w:rPr>
                <w:szCs w:val="20"/>
              </w:rPr>
            </w:pPr>
            <w:r w:rsidRPr="00BC0E7E">
              <w:rPr>
                <w:szCs w:val="20"/>
              </w:rPr>
              <w:t>Uncommon</w:t>
            </w:r>
          </w:p>
          <w:p w14:paraId="7CD715F5" w14:textId="77777777" w:rsidR="00BC0E7E" w:rsidRPr="00BC0E7E" w:rsidRDefault="00BC0E7E" w:rsidP="00BC0E7E">
            <w:pPr>
              <w:widowControl w:val="0"/>
              <w:spacing w:before="60"/>
              <w:rPr>
                <w:szCs w:val="20"/>
              </w:rPr>
            </w:pPr>
          </w:p>
        </w:tc>
        <w:tc>
          <w:tcPr>
            <w:tcW w:w="4575" w:type="dxa"/>
          </w:tcPr>
          <w:p w14:paraId="62724DA4" w14:textId="77777777" w:rsidR="00BC0E7E" w:rsidRPr="00BC0E7E" w:rsidRDefault="00944B8F" w:rsidP="00BC0E7E">
            <w:pPr>
              <w:widowControl w:val="0"/>
              <w:spacing w:before="60"/>
              <w:rPr>
                <w:szCs w:val="20"/>
              </w:rPr>
            </w:pPr>
            <w:r>
              <w:rPr>
                <w:szCs w:val="20"/>
              </w:rPr>
              <w:t>M</w:t>
            </w:r>
            <w:r w:rsidRPr="00BC0E7E">
              <w:rPr>
                <w:szCs w:val="20"/>
              </w:rPr>
              <w:t>yocardial infarction</w:t>
            </w:r>
            <w:r w:rsidRPr="00BC0E7E">
              <w:rPr>
                <w:szCs w:val="20"/>
                <w:vertAlign w:val="superscript"/>
              </w:rPr>
              <w:t>1)</w:t>
            </w:r>
            <w:r w:rsidRPr="00BC0E7E">
              <w:rPr>
                <w:szCs w:val="20"/>
              </w:rPr>
              <w:t>,</w:t>
            </w:r>
          </w:p>
          <w:p w14:paraId="56196D4F" w14:textId="77777777" w:rsidR="00BC0E7E" w:rsidRPr="00BC0E7E" w:rsidRDefault="00944B8F" w:rsidP="00BC0E7E">
            <w:pPr>
              <w:widowControl w:val="0"/>
              <w:spacing w:before="60"/>
              <w:rPr>
                <w:szCs w:val="20"/>
              </w:rPr>
            </w:pPr>
            <w:r w:rsidRPr="00BC0E7E">
              <w:rPr>
                <w:szCs w:val="20"/>
              </w:rPr>
              <w:t>arrhythmia,</w:t>
            </w:r>
          </w:p>
          <w:p w14:paraId="28835CA6" w14:textId="77777777" w:rsidR="00BC0E7E" w:rsidRPr="00BC0E7E" w:rsidRDefault="00944B8F" w:rsidP="00BC0E7E">
            <w:pPr>
              <w:widowControl w:val="0"/>
              <w:spacing w:before="60"/>
              <w:rPr>
                <w:szCs w:val="20"/>
              </w:rPr>
            </w:pPr>
            <w:r w:rsidRPr="00BC0E7E">
              <w:rPr>
                <w:szCs w:val="20"/>
              </w:rPr>
              <w:t>congestive heart failure</w:t>
            </w:r>
          </w:p>
          <w:p w14:paraId="528603D3" w14:textId="77777777" w:rsidR="00BC0E7E" w:rsidRPr="00BC0E7E" w:rsidRDefault="00BC0E7E" w:rsidP="00BC0E7E">
            <w:pPr>
              <w:widowControl w:val="0"/>
              <w:spacing w:before="60"/>
              <w:rPr>
                <w:szCs w:val="20"/>
              </w:rPr>
            </w:pPr>
          </w:p>
        </w:tc>
      </w:tr>
      <w:tr w:rsidR="00C6578C" w14:paraId="40CF11E7" w14:textId="77777777" w:rsidTr="000244DF">
        <w:tc>
          <w:tcPr>
            <w:tcW w:w="2600" w:type="dxa"/>
            <w:vMerge/>
          </w:tcPr>
          <w:p w14:paraId="0FF35F01" w14:textId="77777777" w:rsidR="00BC0E7E" w:rsidRPr="00BC0E7E" w:rsidRDefault="00BC0E7E" w:rsidP="00BC0E7E">
            <w:pPr>
              <w:widowControl w:val="0"/>
              <w:spacing w:before="60"/>
              <w:jc w:val="center"/>
              <w:rPr>
                <w:b/>
              </w:rPr>
            </w:pPr>
          </w:p>
        </w:tc>
        <w:tc>
          <w:tcPr>
            <w:tcW w:w="2074" w:type="dxa"/>
          </w:tcPr>
          <w:p w14:paraId="06906589" w14:textId="77777777" w:rsidR="00BC0E7E" w:rsidRPr="00BC0E7E" w:rsidRDefault="00944B8F" w:rsidP="00BC0E7E">
            <w:pPr>
              <w:widowControl w:val="0"/>
              <w:rPr>
                <w:szCs w:val="20"/>
              </w:rPr>
            </w:pPr>
            <w:r w:rsidRPr="00BC0E7E">
              <w:rPr>
                <w:szCs w:val="20"/>
              </w:rPr>
              <w:t>Rare</w:t>
            </w:r>
          </w:p>
          <w:p w14:paraId="6C93E6C6" w14:textId="77777777" w:rsidR="00BC0E7E" w:rsidRPr="00BC0E7E" w:rsidRDefault="00BC0E7E" w:rsidP="00BC0E7E">
            <w:pPr>
              <w:widowControl w:val="0"/>
              <w:rPr>
                <w:szCs w:val="20"/>
              </w:rPr>
            </w:pPr>
          </w:p>
        </w:tc>
        <w:tc>
          <w:tcPr>
            <w:tcW w:w="4575" w:type="dxa"/>
          </w:tcPr>
          <w:p w14:paraId="01092801" w14:textId="77777777" w:rsidR="00BC0E7E" w:rsidRPr="00BC0E7E" w:rsidRDefault="00944B8F" w:rsidP="00BC0E7E">
            <w:pPr>
              <w:widowControl w:val="0"/>
              <w:rPr>
                <w:szCs w:val="20"/>
              </w:rPr>
            </w:pPr>
            <w:r>
              <w:rPr>
                <w:szCs w:val="20"/>
              </w:rPr>
              <w:t>C</w:t>
            </w:r>
            <w:r w:rsidRPr="00BC0E7E">
              <w:rPr>
                <w:szCs w:val="20"/>
              </w:rPr>
              <w:t>ardiac arrest</w:t>
            </w:r>
          </w:p>
          <w:p w14:paraId="57505B65" w14:textId="77777777" w:rsidR="00BC0E7E" w:rsidRPr="00BC0E7E" w:rsidRDefault="00BC0E7E" w:rsidP="00BC0E7E">
            <w:pPr>
              <w:widowControl w:val="0"/>
              <w:rPr>
                <w:szCs w:val="20"/>
              </w:rPr>
            </w:pPr>
          </w:p>
        </w:tc>
      </w:tr>
      <w:tr w:rsidR="00C6578C" w14:paraId="3948ED87" w14:textId="77777777" w:rsidTr="000244DF">
        <w:tc>
          <w:tcPr>
            <w:tcW w:w="2600" w:type="dxa"/>
            <w:vMerge w:val="restart"/>
          </w:tcPr>
          <w:p w14:paraId="62EE928C" w14:textId="77777777" w:rsidR="00BC0E7E" w:rsidRPr="00BC0E7E" w:rsidRDefault="00944B8F" w:rsidP="00BC0E7E">
            <w:pPr>
              <w:widowControl w:val="0"/>
              <w:spacing w:before="60"/>
              <w:rPr>
                <w:szCs w:val="20"/>
              </w:rPr>
            </w:pPr>
            <w:r w:rsidRPr="00BC0E7E">
              <w:rPr>
                <w:szCs w:val="20"/>
              </w:rPr>
              <w:t>Vascular disorders</w:t>
            </w:r>
          </w:p>
        </w:tc>
        <w:tc>
          <w:tcPr>
            <w:tcW w:w="2074" w:type="dxa"/>
          </w:tcPr>
          <w:p w14:paraId="7578F792" w14:textId="77777777" w:rsidR="00BC0E7E" w:rsidRPr="00BC0E7E" w:rsidRDefault="00944B8F" w:rsidP="00BC0E7E">
            <w:pPr>
              <w:widowControl w:val="0"/>
              <w:spacing w:before="60"/>
              <w:rPr>
                <w:szCs w:val="20"/>
              </w:rPr>
            </w:pPr>
            <w:r w:rsidRPr="00BC0E7E">
              <w:rPr>
                <w:szCs w:val="20"/>
              </w:rPr>
              <w:t>Common</w:t>
            </w:r>
          </w:p>
          <w:p w14:paraId="3CBE9FC3" w14:textId="77777777" w:rsidR="00BC0E7E" w:rsidRPr="00BC0E7E" w:rsidRDefault="00BC0E7E" w:rsidP="00BC0E7E">
            <w:pPr>
              <w:widowControl w:val="0"/>
              <w:spacing w:before="60"/>
              <w:rPr>
                <w:szCs w:val="20"/>
              </w:rPr>
            </w:pPr>
          </w:p>
        </w:tc>
        <w:tc>
          <w:tcPr>
            <w:tcW w:w="4575" w:type="dxa"/>
          </w:tcPr>
          <w:p w14:paraId="7803E244" w14:textId="77777777" w:rsidR="00BC0E7E" w:rsidRPr="00BC0E7E" w:rsidRDefault="00944B8F" w:rsidP="00BC0E7E">
            <w:pPr>
              <w:widowControl w:val="0"/>
              <w:spacing w:before="60"/>
              <w:rPr>
                <w:szCs w:val="20"/>
              </w:rPr>
            </w:pPr>
            <w:r>
              <w:rPr>
                <w:szCs w:val="20"/>
              </w:rPr>
              <w:t>H</w:t>
            </w:r>
            <w:r w:rsidRPr="00BC0E7E">
              <w:rPr>
                <w:szCs w:val="20"/>
              </w:rPr>
              <w:t xml:space="preserve">ypertension, </w:t>
            </w:r>
          </w:p>
          <w:p w14:paraId="480C3028" w14:textId="77777777" w:rsidR="00BC0E7E" w:rsidRPr="00BC0E7E" w:rsidRDefault="00944B8F" w:rsidP="00BC0E7E">
            <w:pPr>
              <w:widowControl w:val="0"/>
              <w:spacing w:before="60"/>
              <w:rPr>
                <w:szCs w:val="20"/>
              </w:rPr>
            </w:pPr>
            <w:r w:rsidRPr="00BC0E7E">
              <w:rPr>
                <w:szCs w:val="20"/>
              </w:rPr>
              <w:t xml:space="preserve">flushing, </w:t>
            </w:r>
          </w:p>
          <w:p w14:paraId="16A04646" w14:textId="77777777" w:rsidR="00BC0E7E" w:rsidRPr="00BC0E7E" w:rsidRDefault="00944B8F" w:rsidP="00BC0E7E">
            <w:pPr>
              <w:widowControl w:val="0"/>
              <w:spacing w:before="60"/>
              <w:rPr>
                <w:szCs w:val="20"/>
              </w:rPr>
            </w:pPr>
            <w:r w:rsidRPr="00BC0E7E">
              <w:rPr>
                <w:szCs w:val="20"/>
              </w:rPr>
              <w:t>haematoma</w:t>
            </w:r>
          </w:p>
          <w:p w14:paraId="1DB4B9CF" w14:textId="77777777" w:rsidR="00BC0E7E" w:rsidRPr="00BC0E7E" w:rsidRDefault="00BC0E7E" w:rsidP="00BC0E7E">
            <w:pPr>
              <w:widowControl w:val="0"/>
              <w:spacing w:before="60"/>
              <w:rPr>
                <w:szCs w:val="20"/>
              </w:rPr>
            </w:pPr>
          </w:p>
        </w:tc>
      </w:tr>
      <w:tr w:rsidR="00C6578C" w14:paraId="69B9BD97" w14:textId="77777777" w:rsidTr="000244DF">
        <w:tc>
          <w:tcPr>
            <w:tcW w:w="2600" w:type="dxa"/>
            <w:vMerge/>
          </w:tcPr>
          <w:p w14:paraId="3DCD17C7" w14:textId="77777777" w:rsidR="00BC0E7E" w:rsidRPr="00BC0E7E" w:rsidRDefault="00BC0E7E" w:rsidP="00BC0E7E">
            <w:pPr>
              <w:widowControl w:val="0"/>
              <w:spacing w:before="60"/>
              <w:rPr>
                <w:szCs w:val="20"/>
              </w:rPr>
            </w:pPr>
          </w:p>
        </w:tc>
        <w:tc>
          <w:tcPr>
            <w:tcW w:w="2074" w:type="dxa"/>
          </w:tcPr>
          <w:p w14:paraId="00160EEE" w14:textId="77777777" w:rsidR="00BC0E7E" w:rsidRPr="00BC0E7E" w:rsidRDefault="00944B8F" w:rsidP="00BC0E7E">
            <w:pPr>
              <w:widowControl w:val="0"/>
              <w:rPr>
                <w:szCs w:val="20"/>
              </w:rPr>
            </w:pPr>
            <w:r w:rsidRPr="00BC0E7E">
              <w:rPr>
                <w:szCs w:val="20"/>
              </w:rPr>
              <w:t>Uncommon</w:t>
            </w:r>
          </w:p>
        </w:tc>
        <w:tc>
          <w:tcPr>
            <w:tcW w:w="4575" w:type="dxa"/>
          </w:tcPr>
          <w:p w14:paraId="69476792" w14:textId="77777777" w:rsidR="00BC0E7E" w:rsidRPr="00BC0E7E" w:rsidRDefault="00944B8F" w:rsidP="00BC0E7E">
            <w:pPr>
              <w:widowControl w:val="0"/>
              <w:rPr>
                <w:szCs w:val="20"/>
              </w:rPr>
            </w:pPr>
            <w:r>
              <w:rPr>
                <w:szCs w:val="20"/>
              </w:rPr>
              <w:t>A</w:t>
            </w:r>
            <w:r w:rsidRPr="00BC0E7E">
              <w:rPr>
                <w:szCs w:val="20"/>
              </w:rPr>
              <w:t>ortic aneurysm,</w:t>
            </w:r>
          </w:p>
          <w:p w14:paraId="735D4532" w14:textId="77777777" w:rsidR="00BC0E7E" w:rsidRPr="00BC0E7E" w:rsidRDefault="00944B8F" w:rsidP="00BC0E7E">
            <w:pPr>
              <w:widowControl w:val="0"/>
              <w:rPr>
                <w:szCs w:val="20"/>
              </w:rPr>
            </w:pPr>
            <w:r w:rsidRPr="00BC0E7E">
              <w:rPr>
                <w:szCs w:val="20"/>
              </w:rPr>
              <w:t>vascular arterial occlusion,</w:t>
            </w:r>
          </w:p>
          <w:p w14:paraId="5C3491FD" w14:textId="77777777" w:rsidR="00BC0E7E" w:rsidRPr="00BC0E7E" w:rsidRDefault="00944B8F" w:rsidP="00BC0E7E">
            <w:pPr>
              <w:widowControl w:val="0"/>
              <w:rPr>
                <w:szCs w:val="20"/>
              </w:rPr>
            </w:pPr>
            <w:r w:rsidRPr="00BC0E7E">
              <w:rPr>
                <w:szCs w:val="20"/>
              </w:rPr>
              <w:t xml:space="preserve">thrombophlebitis   </w:t>
            </w:r>
          </w:p>
          <w:p w14:paraId="67D17671" w14:textId="77777777" w:rsidR="00BC0E7E" w:rsidRPr="00BC0E7E" w:rsidRDefault="00BC0E7E" w:rsidP="00BC0E7E">
            <w:pPr>
              <w:widowControl w:val="0"/>
              <w:rPr>
                <w:szCs w:val="20"/>
              </w:rPr>
            </w:pPr>
          </w:p>
        </w:tc>
      </w:tr>
      <w:tr w:rsidR="00C6578C" w14:paraId="07D51690" w14:textId="77777777" w:rsidTr="000244DF">
        <w:tc>
          <w:tcPr>
            <w:tcW w:w="2600" w:type="dxa"/>
            <w:vMerge w:val="restart"/>
          </w:tcPr>
          <w:p w14:paraId="15AB4351" w14:textId="77777777" w:rsidR="00BC0E7E" w:rsidRPr="00BC0E7E" w:rsidRDefault="00944B8F" w:rsidP="00BC0E7E">
            <w:pPr>
              <w:widowControl w:val="0"/>
              <w:spacing w:before="60"/>
              <w:rPr>
                <w:szCs w:val="20"/>
              </w:rPr>
            </w:pPr>
            <w:r w:rsidRPr="00BC0E7E">
              <w:rPr>
                <w:szCs w:val="20"/>
              </w:rPr>
              <w:lastRenderedPageBreak/>
              <w:t>Respiratory, thoracic and mediastinal disorders*</w:t>
            </w:r>
          </w:p>
        </w:tc>
        <w:tc>
          <w:tcPr>
            <w:tcW w:w="2074" w:type="dxa"/>
          </w:tcPr>
          <w:p w14:paraId="66423EC2" w14:textId="77777777" w:rsidR="00BC0E7E" w:rsidRPr="00BC0E7E" w:rsidRDefault="00944B8F" w:rsidP="00BC0E7E">
            <w:pPr>
              <w:widowControl w:val="0"/>
              <w:spacing w:before="60"/>
              <w:rPr>
                <w:szCs w:val="20"/>
              </w:rPr>
            </w:pPr>
            <w:r w:rsidRPr="00BC0E7E">
              <w:rPr>
                <w:szCs w:val="20"/>
              </w:rPr>
              <w:t>Common</w:t>
            </w:r>
          </w:p>
          <w:p w14:paraId="166E8B7F" w14:textId="77777777" w:rsidR="00BC0E7E" w:rsidRPr="00BC0E7E" w:rsidRDefault="00BC0E7E" w:rsidP="00BC0E7E">
            <w:pPr>
              <w:widowControl w:val="0"/>
              <w:spacing w:before="60"/>
              <w:rPr>
                <w:szCs w:val="20"/>
              </w:rPr>
            </w:pPr>
          </w:p>
        </w:tc>
        <w:tc>
          <w:tcPr>
            <w:tcW w:w="4575" w:type="dxa"/>
          </w:tcPr>
          <w:p w14:paraId="29EA33A5" w14:textId="77777777" w:rsidR="00BC0E7E" w:rsidRPr="00BC0E7E" w:rsidRDefault="00944B8F" w:rsidP="00BC0E7E">
            <w:pPr>
              <w:widowControl w:val="0"/>
              <w:spacing w:before="60"/>
              <w:rPr>
                <w:szCs w:val="20"/>
              </w:rPr>
            </w:pPr>
            <w:r>
              <w:rPr>
                <w:szCs w:val="20"/>
              </w:rPr>
              <w:t>A</w:t>
            </w:r>
            <w:r w:rsidRPr="00BC0E7E">
              <w:rPr>
                <w:szCs w:val="20"/>
              </w:rPr>
              <w:t>sthma,</w:t>
            </w:r>
          </w:p>
          <w:p w14:paraId="18CC16BD" w14:textId="77777777" w:rsidR="00BC0E7E" w:rsidRPr="00BC0E7E" w:rsidRDefault="00944B8F" w:rsidP="00BC0E7E">
            <w:pPr>
              <w:widowControl w:val="0"/>
              <w:spacing w:before="60"/>
              <w:rPr>
                <w:szCs w:val="20"/>
              </w:rPr>
            </w:pPr>
            <w:r w:rsidRPr="00BC0E7E">
              <w:rPr>
                <w:szCs w:val="20"/>
              </w:rPr>
              <w:t>dyspnoea,</w:t>
            </w:r>
          </w:p>
          <w:p w14:paraId="6891034F" w14:textId="77777777" w:rsidR="00BC0E7E" w:rsidRPr="00BC0E7E" w:rsidRDefault="00944B8F" w:rsidP="00BC0E7E">
            <w:pPr>
              <w:widowControl w:val="0"/>
              <w:spacing w:before="60"/>
              <w:rPr>
                <w:szCs w:val="20"/>
              </w:rPr>
            </w:pPr>
            <w:r w:rsidRPr="00BC0E7E">
              <w:rPr>
                <w:szCs w:val="20"/>
              </w:rPr>
              <w:t>cough</w:t>
            </w:r>
          </w:p>
          <w:p w14:paraId="1E38E5D0" w14:textId="77777777" w:rsidR="00BC0E7E" w:rsidRPr="00BC0E7E" w:rsidRDefault="00BC0E7E" w:rsidP="00BC0E7E">
            <w:pPr>
              <w:widowControl w:val="0"/>
              <w:spacing w:before="60"/>
              <w:rPr>
                <w:szCs w:val="20"/>
              </w:rPr>
            </w:pPr>
          </w:p>
        </w:tc>
      </w:tr>
      <w:tr w:rsidR="00C6578C" w14:paraId="57FA0B5D" w14:textId="77777777" w:rsidTr="000244DF">
        <w:tc>
          <w:tcPr>
            <w:tcW w:w="2600" w:type="dxa"/>
            <w:vMerge/>
          </w:tcPr>
          <w:p w14:paraId="14CF360E" w14:textId="77777777" w:rsidR="00BC0E7E" w:rsidRPr="00BC0E7E" w:rsidRDefault="00BC0E7E" w:rsidP="00BC0E7E">
            <w:pPr>
              <w:widowControl w:val="0"/>
              <w:spacing w:before="60"/>
              <w:jc w:val="center"/>
              <w:rPr>
                <w:b/>
              </w:rPr>
            </w:pPr>
          </w:p>
        </w:tc>
        <w:tc>
          <w:tcPr>
            <w:tcW w:w="2074" w:type="dxa"/>
          </w:tcPr>
          <w:p w14:paraId="6C598336" w14:textId="77777777" w:rsidR="00BC0E7E" w:rsidRPr="00BC0E7E" w:rsidRDefault="00944B8F" w:rsidP="00BC0E7E">
            <w:pPr>
              <w:widowControl w:val="0"/>
              <w:rPr>
                <w:szCs w:val="20"/>
              </w:rPr>
            </w:pPr>
            <w:r w:rsidRPr="00BC0E7E">
              <w:rPr>
                <w:szCs w:val="20"/>
              </w:rPr>
              <w:t>Uncommon</w:t>
            </w:r>
          </w:p>
          <w:p w14:paraId="410B9D70" w14:textId="77777777" w:rsidR="00BC0E7E" w:rsidRPr="00BC0E7E" w:rsidRDefault="00BC0E7E" w:rsidP="00BC0E7E">
            <w:pPr>
              <w:widowControl w:val="0"/>
              <w:rPr>
                <w:szCs w:val="20"/>
              </w:rPr>
            </w:pPr>
          </w:p>
        </w:tc>
        <w:tc>
          <w:tcPr>
            <w:tcW w:w="4575" w:type="dxa"/>
          </w:tcPr>
          <w:p w14:paraId="75A39E09" w14:textId="77777777" w:rsidR="00BC0E7E" w:rsidRPr="00BC0E7E" w:rsidRDefault="00944B8F" w:rsidP="00BC0E7E">
            <w:pPr>
              <w:widowControl w:val="0"/>
              <w:rPr>
                <w:szCs w:val="20"/>
              </w:rPr>
            </w:pPr>
            <w:r>
              <w:rPr>
                <w:szCs w:val="20"/>
              </w:rPr>
              <w:t>P</w:t>
            </w:r>
            <w:r w:rsidRPr="00BC0E7E">
              <w:rPr>
                <w:szCs w:val="20"/>
              </w:rPr>
              <w:t>ulmonary embolism</w:t>
            </w:r>
            <w:r w:rsidRPr="00BC0E7E">
              <w:rPr>
                <w:szCs w:val="20"/>
                <w:vertAlign w:val="superscript"/>
              </w:rPr>
              <w:t>1)</w:t>
            </w:r>
            <w:r w:rsidRPr="00BC0E7E">
              <w:rPr>
                <w:szCs w:val="20"/>
              </w:rPr>
              <w:t>,</w:t>
            </w:r>
          </w:p>
          <w:p w14:paraId="20F2C2FF" w14:textId="77777777" w:rsidR="00BC0E7E" w:rsidRPr="00BC0E7E" w:rsidRDefault="00944B8F" w:rsidP="00BC0E7E">
            <w:pPr>
              <w:widowControl w:val="0"/>
              <w:rPr>
                <w:szCs w:val="20"/>
              </w:rPr>
            </w:pPr>
            <w:r w:rsidRPr="00BC0E7E">
              <w:rPr>
                <w:szCs w:val="20"/>
              </w:rPr>
              <w:t xml:space="preserve">interstitial lung disease, </w:t>
            </w:r>
          </w:p>
          <w:p w14:paraId="1C2F70B4" w14:textId="77777777" w:rsidR="00BC0E7E" w:rsidRPr="00BC0E7E" w:rsidRDefault="00944B8F" w:rsidP="00BC0E7E">
            <w:pPr>
              <w:widowControl w:val="0"/>
              <w:rPr>
                <w:szCs w:val="20"/>
              </w:rPr>
            </w:pPr>
            <w:r w:rsidRPr="00BC0E7E">
              <w:rPr>
                <w:szCs w:val="20"/>
              </w:rPr>
              <w:t>chronic obstructive pulmonary disease,</w:t>
            </w:r>
          </w:p>
          <w:p w14:paraId="6303687A" w14:textId="77777777" w:rsidR="00BC0E7E" w:rsidRPr="00BC0E7E" w:rsidRDefault="00944B8F" w:rsidP="00BC0E7E">
            <w:pPr>
              <w:widowControl w:val="0"/>
              <w:rPr>
                <w:szCs w:val="20"/>
              </w:rPr>
            </w:pPr>
            <w:r w:rsidRPr="00BC0E7E">
              <w:rPr>
                <w:szCs w:val="20"/>
              </w:rPr>
              <w:t>pneumonitis,</w:t>
            </w:r>
          </w:p>
          <w:p w14:paraId="14CC0E47" w14:textId="77777777" w:rsidR="00BC0E7E" w:rsidRPr="00BC0E7E" w:rsidRDefault="00944B8F" w:rsidP="00BC0E7E">
            <w:pPr>
              <w:widowControl w:val="0"/>
              <w:rPr>
                <w:szCs w:val="20"/>
              </w:rPr>
            </w:pPr>
            <w:r w:rsidRPr="00BC0E7E">
              <w:rPr>
                <w:szCs w:val="20"/>
              </w:rPr>
              <w:t>pleural effusion</w:t>
            </w:r>
            <w:r w:rsidRPr="00BC0E7E">
              <w:rPr>
                <w:szCs w:val="20"/>
                <w:vertAlign w:val="superscript"/>
              </w:rPr>
              <w:t>1)</w:t>
            </w:r>
          </w:p>
          <w:p w14:paraId="734C7A3A" w14:textId="77777777" w:rsidR="00BC0E7E" w:rsidRPr="00BC0E7E" w:rsidRDefault="00BC0E7E" w:rsidP="00BC0E7E">
            <w:pPr>
              <w:widowControl w:val="0"/>
              <w:rPr>
                <w:szCs w:val="20"/>
              </w:rPr>
            </w:pPr>
          </w:p>
        </w:tc>
      </w:tr>
      <w:tr w:rsidR="00C6578C" w14:paraId="7B917612" w14:textId="77777777" w:rsidTr="000244DF">
        <w:tc>
          <w:tcPr>
            <w:tcW w:w="2600" w:type="dxa"/>
            <w:vMerge/>
          </w:tcPr>
          <w:p w14:paraId="2E92D836" w14:textId="77777777" w:rsidR="00BC0E7E" w:rsidRPr="00BC0E7E" w:rsidRDefault="00BC0E7E" w:rsidP="00BC0E7E">
            <w:pPr>
              <w:widowControl w:val="0"/>
              <w:spacing w:before="60"/>
              <w:rPr>
                <w:szCs w:val="20"/>
              </w:rPr>
            </w:pPr>
          </w:p>
        </w:tc>
        <w:tc>
          <w:tcPr>
            <w:tcW w:w="2074" w:type="dxa"/>
          </w:tcPr>
          <w:p w14:paraId="527D58E5" w14:textId="77777777" w:rsidR="00BC0E7E" w:rsidRPr="00BC0E7E" w:rsidRDefault="00944B8F" w:rsidP="00BC0E7E">
            <w:pPr>
              <w:widowControl w:val="0"/>
              <w:spacing w:before="60"/>
              <w:rPr>
                <w:szCs w:val="20"/>
              </w:rPr>
            </w:pPr>
            <w:r w:rsidRPr="00BC0E7E">
              <w:rPr>
                <w:szCs w:val="20"/>
              </w:rPr>
              <w:t>Rare</w:t>
            </w:r>
          </w:p>
        </w:tc>
        <w:tc>
          <w:tcPr>
            <w:tcW w:w="4575" w:type="dxa"/>
          </w:tcPr>
          <w:p w14:paraId="2DC83BC2" w14:textId="77777777" w:rsidR="00BC0E7E" w:rsidRPr="00BC0E7E" w:rsidRDefault="00944B8F" w:rsidP="00BC0E7E">
            <w:pPr>
              <w:widowControl w:val="0"/>
              <w:rPr>
                <w:szCs w:val="20"/>
                <w:vertAlign w:val="superscript"/>
              </w:rPr>
            </w:pPr>
            <w:r>
              <w:rPr>
                <w:szCs w:val="20"/>
              </w:rPr>
              <w:t>P</w:t>
            </w:r>
            <w:r w:rsidRPr="00BC0E7E">
              <w:rPr>
                <w:szCs w:val="20"/>
              </w:rPr>
              <w:t>ulmonary fibrosis</w:t>
            </w:r>
            <w:r w:rsidRPr="00BC0E7E">
              <w:rPr>
                <w:szCs w:val="20"/>
                <w:vertAlign w:val="superscript"/>
              </w:rPr>
              <w:t>1)</w:t>
            </w:r>
          </w:p>
          <w:p w14:paraId="75A950E6" w14:textId="77777777" w:rsidR="00BC0E7E" w:rsidRPr="00BC0E7E" w:rsidRDefault="00BC0E7E" w:rsidP="00BC0E7E">
            <w:pPr>
              <w:widowControl w:val="0"/>
              <w:rPr>
                <w:szCs w:val="20"/>
              </w:rPr>
            </w:pPr>
          </w:p>
        </w:tc>
      </w:tr>
      <w:tr w:rsidR="00C6578C" w14:paraId="69CCC79A" w14:textId="77777777" w:rsidTr="000244DF">
        <w:tc>
          <w:tcPr>
            <w:tcW w:w="2600" w:type="dxa"/>
            <w:vMerge w:val="restart"/>
          </w:tcPr>
          <w:p w14:paraId="166B8DBF" w14:textId="77777777" w:rsidR="00BC0E7E" w:rsidRPr="00BC0E7E" w:rsidRDefault="00944B8F" w:rsidP="00BC0E7E">
            <w:pPr>
              <w:widowControl w:val="0"/>
              <w:spacing w:before="60"/>
              <w:rPr>
                <w:szCs w:val="20"/>
              </w:rPr>
            </w:pPr>
            <w:r w:rsidRPr="00BC0E7E">
              <w:rPr>
                <w:szCs w:val="20"/>
              </w:rPr>
              <w:t>Gastrointestinal disorders</w:t>
            </w:r>
          </w:p>
        </w:tc>
        <w:tc>
          <w:tcPr>
            <w:tcW w:w="2074" w:type="dxa"/>
          </w:tcPr>
          <w:p w14:paraId="37299FF2" w14:textId="77777777" w:rsidR="00BC0E7E" w:rsidRPr="00BC0E7E" w:rsidRDefault="00944B8F" w:rsidP="00BC0E7E">
            <w:pPr>
              <w:widowControl w:val="0"/>
              <w:spacing w:before="60"/>
              <w:rPr>
                <w:szCs w:val="20"/>
              </w:rPr>
            </w:pPr>
            <w:r w:rsidRPr="00BC0E7E">
              <w:rPr>
                <w:szCs w:val="20"/>
              </w:rPr>
              <w:t>Very common</w:t>
            </w:r>
          </w:p>
          <w:p w14:paraId="52E9CC4C" w14:textId="77777777" w:rsidR="00BC0E7E" w:rsidRPr="00BC0E7E" w:rsidRDefault="00BC0E7E" w:rsidP="00BC0E7E">
            <w:pPr>
              <w:widowControl w:val="0"/>
              <w:spacing w:before="60"/>
              <w:rPr>
                <w:szCs w:val="20"/>
              </w:rPr>
            </w:pPr>
          </w:p>
        </w:tc>
        <w:tc>
          <w:tcPr>
            <w:tcW w:w="4575" w:type="dxa"/>
          </w:tcPr>
          <w:p w14:paraId="6E4F6117" w14:textId="77777777" w:rsidR="00BC0E7E" w:rsidRPr="00BC0E7E" w:rsidRDefault="00944B8F" w:rsidP="00BC0E7E">
            <w:pPr>
              <w:widowControl w:val="0"/>
              <w:spacing w:before="60"/>
              <w:rPr>
                <w:szCs w:val="20"/>
              </w:rPr>
            </w:pPr>
            <w:r>
              <w:rPr>
                <w:szCs w:val="20"/>
              </w:rPr>
              <w:t>A</w:t>
            </w:r>
            <w:r w:rsidRPr="00BC0E7E">
              <w:rPr>
                <w:szCs w:val="20"/>
              </w:rPr>
              <w:t xml:space="preserve">bdominal pain, </w:t>
            </w:r>
          </w:p>
          <w:p w14:paraId="764C9541" w14:textId="77777777" w:rsidR="00BC0E7E" w:rsidRPr="00BC0E7E" w:rsidRDefault="00944B8F" w:rsidP="00BC0E7E">
            <w:pPr>
              <w:widowControl w:val="0"/>
              <w:spacing w:before="60"/>
              <w:rPr>
                <w:szCs w:val="20"/>
              </w:rPr>
            </w:pPr>
            <w:r w:rsidRPr="00BC0E7E">
              <w:rPr>
                <w:szCs w:val="20"/>
              </w:rPr>
              <w:t>nausea and vomiting</w:t>
            </w:r>
          </w:p>
          <w:p w14:paraId="7306E003" w14:textId="77777777" w:rsidR="00BC0E7E" w:rsidRPr="00BC0E7E" w:rsidRDefault="00BC0E7E" w:rsidP="00BC0E7E">
            <w:pPr>
              <w:widowControl w:val="0"/>
              <w:spacing w:before="60"/>
              <w:rPr>
                <w:szCs w:val="20"/>
              </w:rPr>
            </w:pPr>
          </w:p>
        </w:tc>
      </w:tr>
      <w:tr w:rsidR="00C6578C" w14:paraId="5D29027D" w14:textId="77777777" w:rsidTr="000244DF">
        <w:tc>
          <w:tcPr>
            <w:tcW w:w="2600" w:type="dxa"/>
            <w:vMerge/>
          </w:tcPr>
          <w:p w14:paraId="70124A2A" w14:textId="77777777" w:rsidR="00BC0E7E" w:rsidRPr="00BC0E7E" w:rsidRDefault="00BC0E7E" w:rsidP="00BC0E7E">
            <w:pPr>
              <w:widowControl w:val="0"/>
              <w:spacing w:before="60"/>
              <w:jc w:val="center"/>
              <w:rPr>
                <w:b/>
              </w:rPr>
            </w:pPr>
          </w:p>
        </w:tc>
        <w:tc>
          <w:tcPr>
            <w:tcW w:w="2074" w:type="dxa"/>
          </w:tcPr>
          <w:p w14:paraId="08B42AB1" w14:textId="77777777" w:rsidR="00BC0E7E" w:rsidRPr="00BC0E7E" w:rsidRDefault="00944B8F" w:rsidP="00BC0E7E">
            <w:pPr>
              <w:widowControl w:val="0"/>
              <w:rPr>
                <w:szCs w:val="20"/>
              </w:rPr>
            </w:pPr>
            <w:r w:rsidRPr="00BC0E7E">
              <w:rPr>
                <w:szCs w:val="20"/>
              </w:rPr>
              <w:t>Common</w:t>
            </w:r>
          </w:p>
          <w:p w14:paraId="02D67E7A" w14:textId="77777777" w:rsidR="00BC0E7E" w:rsidRPr="00BC0E7E" w:rsidRDefault="00BC0E7E" w:rsidP="00BC0E7E">
            <w:pPr>
              <w:widowControl w:val="0"/>
              <w:rPr>
                <w:szCs w:val="20"/>
              </w:rPr>
            </w:pPr>
          </w:p>
        </w:tc>
        <w:tc>
          <w:tcPr>
            <w:tcW w:w="4575" w:type="dxa"/>
          </w:tcPr>
          <w:p w14:paraId="79BECE4E" w14:textId="77777777" w:rsidR="00BC0E7E" w:rsidRPr="00BC0E7E" w:rsidRDefault="00944B8F" w:rsidP="00BC0E7E">
            <w:pPr>
              <w:widowControl w:val="0"/>
              <w:rPr>
                <w:szCs w:val="20"/>
              </w:rPr>
            </w:pPr>
            <w:r w:rsidRPr="00BC0E7E">
              <w:rPr>
                <w:szCs w:val="20"/>
              </w:rPr>
              <w:t xml:space="preserve">GI haemorrhage, </w:t>
            </w:r>
          </w:p>
          <w:p w14:paraId="27FD8B30" w14:textId="77777777" w:rsidR="00BC0E7E" w:rsidRPr="00BC0E7E" w:rsidRDefault="00944B8F" w:rsidP="00BC0E7E">
            <w:pPr>
              <w:widowControl w:val="0"/>
              <w:rPr>
                <w:szCs w:val="15"/>
              </w:rPr>
            </w:pPr>
            <w:r w:rsidRPr="00BC0E7E">
              <w:rPr>
                <w:szCs w:val="20"/>
              </w:rPr>
              <w:t>dyspepsia,</w:t>
            </w:r>
            <w:r w:rsidRPr="00BC0E7E">
              <w:rPr>
                <w:szCs w:val="15"/>
              </w:rPr>
              <w:t xml:space="preserve"> </w:t>
            </w:r>
          </w:p>
          <w:p w14:paraId="44D17CCA" w14:textId="77777777" w:rsidR="00BC0E7E" w:rsidRPr="00BC0E7E" w:rsidRDefault="00944B8F" w:rsidP="00BC0E7E">
            <w:pPr>
              <w:widowControl w:val="0"/>
              <w:rPr>
                <w:szCs w:val="20"/>
              </w:rPr>
            </w:pPr>
            <w:r w:rsidRPr="00BC0E7E">
              <w:rPr>
                <w:szCs w:val="20"/>
              </w:rPr>
              <w:t>gastroesophageal reflux disease,</w:t>
            </w:r>
          </w:p>
          <w:p w14:paraId="33AD2EBF" w14:textId="77777777" w:rsidR="00BC0E7E" w:rsidRPr="00BC0E7E" w:rsidRDefault="00944B8F" w:rsidP="00BC0E7E">
            <w:pPr>
              <w:widowControl w:val="0"/>
              <w:rPr>
                <w:szCs w:val="20"/>
              </w:rPr>
            </w:pPr>
            <w:r w:rsidRPr="00BC0E7E">
              <w:rPr>
                <w:szCs w:val="20"/>
              </w:rPr>
              <w:t>sicca syndrome</w:t>
            </w:r>
          </w:p>
          <w:p w14:paraId="15E7154E" w14:textId="77777777" w:rsidR="00BC0E7E" w:rsidRPr="00BC0E7E" w:rsidRDefault="00BC0E7E" w:rsidP="00BC0E7E">
            <w:pPr>
              <w:widowControl w:val="0"/>
              <w:rPr>
                <w:szCs w:val="20"/>
              </w:rPr>
            </w:pPr>
          </w:p>
        </w:tc>
      </w:tr>
      <w:tr w:rsidR="00C6578C" w14:paraId="09F67795" w14:textId="77777777" w:rsidTr="000244DF">
        <w:tc>
          <w:tcPr>
            <w:tcW w:w="2600" w:type="dxa"/>
            <w:vMerge/>
          </w:tcPr>
          <w:p w14:paraId="0951553F" w14:textId="77777777" w:rsidR="00BC0E7E" w:rsidRPr="00BC0E7E" w:rsidRDefault="00BC0E7E" w:rsidP="00BC0E7E">
            <w:pPr>
              <w:widowControl w:val="0"/>
              <w:spacing w:before="60"/>
              <w:jc w:val="center"/>
              <w:rPr>
                <w:b/>
              </w:rPr>
            </w:pPr>
          </w:p>
        </w:tc>
        <w:tc>
          <w:tcPr>
            <w:tcW w:w="2074" w:type="dxa"/>
          </w:tcPr>
          <w:p w14:paraId="10401194" w14:textId="77777777" w:rsidR="00BC0E7E" w:rsidRPr="00BC0E7E" w:rsidRDefault="00944B8F" w:rsidP="00BC0E7E">
            <w:pPr>
              <w:widowControl w:val="0"/>
              <w:rPr>
                <w:szCs w:val="20"/>
              </w:rPr>
            </w:pPr>
            <w:r w:rsidRPr="00BC0E7E">
              <w:rPr>
                <w:szCs w:val="20"/>
              </w:rPr>
              <w:t>Uncommon</w:t>
            </w:r>
          </w:p>
          <w:p w14:paraId="04EF1D61" w14:textId="77777777" w:rsidR="00BC0E7E" w:rsidRPr="00BC0E7E" w:rsidRDefault="00BC0E7E" w:rsidP="00BC0E7E">
            <w:pPr>
              <w:widowControl w:val="0"/>
              <w:rPr>
                <w:szCs w:val="20"/>
              </w:rPr>
            </w:pPr>
          </w:p>
        </w:tc>
        <w:tc>
          <w:tcPr>
            <w:tcW w:w="4575" w:type="dxa"/>
          </w:tcPr>
          <w:p w14:paraId="6446D812" w14:textId="77777777" w:rsidR="00BC0E7E" w:rsidRPr="00BC0E7E" w:rsidRDefault="00944B8F" w:rsidP="00BC0E7E">
            <w:pPr>
              <w:widowControl w:val="0"/>
              <w:rPr>
                <w:szCs w:val="20"/>
              </w:rPr>
            </w:pPr>
            <w:r>
              <w:rPr>
                <w:szCs w:val="20"/>
              </w:rPr>
              <w:t>P</w:t>
            </w:r>
            <w:r w:rsidRPr="00BC0E7E">
              <w:rPr>
                <w:szCs w:val="20"/>
              </w:rPr>
              <w:t xml:space="preserve">ancreatitis, </w:t>
            </w:r>
          </w:p>
          <w:p w14:paraId="0CDC0F79" w14:textId="77777777" w:rsidR="00BC0E7E" w:rsidRPr="00BC0E7E" w:rsidRDefault="00944B8F" w:rsidP="00BC0E7E">
            <w:pPr>
              <w:widowControl w:val="0"/>
              <w:rPr>
                <w:szCs w:val="20"/>
              </w:rPr>
            </w:pPr>
            <w:r w:rsidRPr="00BC0E7E">
              <w:rPr>
                <w:szCs w:val="20"/>
              </w:rPr>
              <w:t>dysphagia,</w:t>
            </w:r>
          </w:p>
          <w:p w14:paraId="714A3BC4" w14:textId="77777777" w:rsidR="00BC0E7E" w:rsidRPr="00BC0E7E" w:rsidRDefault="00944B8F" w:rsidP="00BC0E7E">
            <w:pPr>
              <w:widowControl w:val="0"/>
              <w:rPr>
                <w:szCs w:val="20"/>
              </w:rPr>
            </w:pPr>
            <w:r w:rsidRPr="00BC0E7E">
              <w:rPr>
                <w:szCs w:val="20"/>
              </w:rPr>
              <w:t>face oedema</w:t>
            </w:r>
          </w:p>
          <w:p w14:paraId="47E3D1DA" w14:textId="77777777" w:rsidR="00BC0E7E" w:rsidRPr="00BC0E7E" w:rsidRDefault="00BC0E7E" w:rsidP="00BC0E7E">
            <w:pPr>
              <w:widowControl w:val="0"/>
              <w:rPr>
                <w:szCs w:val="20"/>
              </w:rPr>
            </w:pPr>
          </w:p>
        </w:tc>
      </w:tr>
      <w:tr w:rsidR="00C6578C" w14:paraId="4AEF7A7D" w14:textId="77777777" w:rsidTr="000244DF">
        <w:tc>
          <w:tcPr>
            <w:tcW w:w="2600" w:type="dxa"/>
            <w:vMerge/>
          </w:tcPr>
          <w:p w14:paraId="4F564B5F" w14:textId="77777777" w:rsidR="00BC0E7E" w:rsidRPr="00BC0E7E" w:rsidRDefault="00BC0E7E" w:rsidP="00BC0E7E">
            <w:pPr>
              <w:widowControl w:val="0"/>
              <w:spacing w:before="60"/>
              <w:rPr>
                <w:szCs w:val="20"/>
              </w:rPr>
            </w:pPr>
          </w:p>
        </w:tc>
        <w:tc>
          <w:tcPr>
            <w:tcW w:w="2074" w:type="dxa"/>
          </w:tcPr>
          <w:p w14:paraId="3C9656DA" w14:textId="77777777" w:rsidR="00BC0E7E" w:rsidRPr="00BC0E7E" w:rsidRDefault="00944B8F" w:rsidP="00BC0E7E">
            <w:pPr>
              <w:widowControl w:val="0"/>
              <w:spacing w:before="60"/>
              <w:rPr>
                <w:szCs w:val="20"/>
              </w:rPr>
            </w:pPr>
            <w:r w:rsidRPr="00BC0E7E">
              <w:rPr>
                <w:szCs w:val="20"/>
              </w:rPr>
              <w:t>Rare</w:t>
            </w:r>
          </w:p>
        </w:tc>
        <w:tc>
          <w:tcPr>
            <w:tcW w:w="4575" w:type="dxa"/>
          </w:tcPr>
          <w:p w14:paraId="6E8EACC7" w14:textId="77777777" w:rsidR="00BC0E7E" w:rsidRPr="00BC0E7E" w:rsidRDefault="00944B8F" w:rsidP="00BC0E7E">
            <w:pPr>
              <w:widowControl w:val="0"/>
              <w:spacing w:before="60"/>
              <w:rPr>
                <w:szCs w:val="20"/>
                <w:vertAlign w:val="superscript"/>
              </w:rPr>
            </w:pPr>
            <w:r>
              <w:rPr>
                <w:szCs w:val="20"/>
              </w:rPr>
              <w:t>I</w:t>
            </w:r>
            <w:r w:rsidRPr="00BC0E7E">
              <w:rPr>
                <w:szCs w:val="20"/>
              </w:rPr>
              <w:t>ntestinal perforation</w:t>
            </w:r>
            <w:r w:rsidRPr="00BC0E7E">
              <w:rPr>
                <w:szCs w:val="20"/>
                <w:vertAlign w:val="superscript"/>
              </w:rPr>
              <w:t>1)</w:t>
            </w:r>
          </w:p>
          <w:p w14:paraId="72874859" w14:textId="77777777" w:rsidR="00BC0E7E" w:rsidRPr="00BC0E7E" w:rsidRDefault="00BC0E7E" w:rsidP="00BC0E7E">
            <w:pPr>
              <w:widowControl w:val="0"/>
              <w:spacing w:before="60"/>
              <w:rPr>
                <w:szCs w:val="20"/>
              </w:rPr>
            </w:pPr>
          </w:p>
        </w:tc>
      </w:tr>
      <w:tr w:rsidR="00C6578C" w14:paraId="4F386E31" w14:textId="77777777" w:rsidTr="000244DF">
        <w:tc>
          <w:tcPr>
            <w:tcW w:w="2600" w:type="dxa"/>
            <w:vMerge w:val="restart"/>
          </w:tcPr>
          <w:p w14:paraId="603AE680" w14:textId="77777777" w:rsidR="00BC0E7E" w:rsidRPr="00BC0E7E" w:rsidRDefault="00944B8F" w:rsidP="00BC0E7E">
            <w:pPr>
              <w:widowControl w:val="0"/>
              <w:spacing w:before="60"/>
              <w:rPr>
                <w:szCs w:val="20"/>
              </w:rPr>
            </w:pPr>
            <w:r w:rsidRPr="00BC0E7E">
              <w:rPr>
                <w:szCs w:val="20"/>
              </w:rPr>
              <w:t>Hepato-biliary disorders*</w:t>
            </w:r>
          </w:p>
        </w:tc>
        <w:tc>
          <w:tcPr>
            <w:tcW w:w="2074" w:type="dxa"/>
          </w:tcPr>
          <w:p w14:paraId="4EA99537" w14:textId="77777777" w:rsidR="00BC0E7E" w:rsidRPr="00BC0E7E" w:rsidRDefault="00944B8F" w:rsidP="00BC0E7E">
            <w:pPr>
              <w:widowControl w:val="0"/>
              <w:spacing w:before="60"/>
              <w:rPr>
                <w:szCs w:val="20"/>
              </w:rPr>
            </w:pPr>
            <w:r w:rsidRPr="00BC0E7E">
              <w:rPr>
                <w:szCs w:val="20"/>
              </w:rPr>
              <w:t>Very Common</w:t>
            </w:r>
          </w:p>
          <w:p w14:paraId="5ACE3B37" w14:textId="77777777" w:rsidR="00BC0E7E" w:rsidRPr="00BC0E7E" w:rsidRDefault="00BC0E7E" w:rsidP="00BC0E7E">
            <w:pPr>
              <w:widowControl w:val="0"/>
              <w:spacing w:before="60"/>
              <w:rPr>
                <w:szCs w:val="20"/>
              </w:rPr>
            </w:pPr>
          </w:p>
        </w:tc>
        <w:tc>
          <w:tcPr>
            <w:tcW w:w="4575" w:type="dxa"/>
          </w:tcPr>
          <w:p w14:paraId="34C29DD3" w14:textId="77777777" w:rsidR="00BC0E7E" w:rsidRPr="00BC0E7E" w:rsidRDefault="00944B8F" w:rsidP="00BC0E7E">
            <w:pPr>
              <w:widowControl w:val="0"/>
              <w:spacing w:before="60"/>
              <w:rPr>
                <w:szCs w:val="20"/>
              </w:rPr>
            </w:pPr>
            <w:r>
              <w:rPr>
                <w:szCs w:val="20"/>
              </w:rPr>
              <w:t>E</w:t>
            </w:r>
            <w:r w:rsidRPr="00BC0E7E">
              <w:rPr>
                <w:szCs w:val="20"/>
              </w:rPr>
              <w:t>levated liver enzymes</w:t>
            </w:r>
          </w:p>
          <w:p w14:paraId="292D7042" w14:textId="77777777" w:rsidR="00BC0E7E" w:rsidRPr="00BC0E7E" w:rsidRDefault="00BC0E7E" w:rsidP="00BC0E7E">
            <w:pPr>
              <w:widowControl w:val="0"/>
              <w:spacing w:before="60"/>
              <w:rPr>
                <w:szCs w:val="20"/>
              </w:rPr>
            </w:pPr>
          </w:p>
        </w:tc>
      </w:tr>
      <w:tr w:rsidR="00C6578C" w14:paraId="53A9A9DB" w14:textId="77777777" w:rsidTr="000244DF">
        <w:tc>
          <w:tcPr>
            <w:tcW w:w="2600" w:type="dxa"/>
            <w:vMerge/>
          </w:tcPr>
          <w:p w14:paraId="42E81BF3" w14:textId="77777777" w:rsidR="00BC0E7E" w:rsidRPr="00BC0E7E" w:rsidRDefault="00BC0E7E" w:rsidP="00BC0E7E">
            <w:pPr>
              <w:widowControl w:val="0"/>
              <w:spacing w:before="60"/>
              <w:rPr>
                <w:szCs w:val="20"/>
              </w:rPr>
            </w:pPr>
          </w:p>
        </w:tc>
        <w:tc>
          <w:tcPr>
            <w:tcW w:w="2074" w:type="dxa"/>
          </w:tcPr>
          <w:p w14:paraId="5D85246C" w14:textId="77777777" w:rsidR="00BC0E7E" w:rsidRPr="00BC0E7E" w:rsidRDefault="00944B8F" w:rsidP="00BC0E7E">
            <w:pPr>
              <w:widowControl w:val="0"/>
              <w:rPr>
                <w:szCs w:val="20"/>
              </w:rPr>
            </w:pPr>
            <w:r w:rsidRPr="00BC0E7E">
              <w:rPr>
                <w:szCs w:val="20"/>
              </w:rPr>
              <w:t>Uncommon</w:t>
            </w:r>
          </w:p>
          <w:p w14:paraId="57D339B2" w14:textId="77777777" w:rsidR="00BC0E7E" w:rsidRPr="00BC0E7E" w:rsidRDefault="00BC0E7E" w:rsidP="00BC0E7E">
            <w:pPr>
              <w:widowControl w:val="0"/>
              <w:rPr>
                <w:szCs w:val="20"/>
              </w:rPr>
            </w:pPr>
          </w:p>
        </w:tc>
        <w:tc>
          <w:tcPr>
            <w:tcW w:w="4575" w:type="dxa"/>
          </w:tcPr>
          <w:p w14:paraId="5D59422C" w14:textId="77777777" w:rsidR="00BC0E7E" w:rsidRPr="00BC0E7E" w:rsidRDefault="00944B8F" w:rsidP="00BC0E7E">
            <w:pPr>
              <w:widowControl w:val="0"/>
              <w:rPr>
                <w:szCs w:val="20"/>
              </w:rPr>
            </w:pPr>
            <w:r>
              <w:rPr>
                <w:szCs w:val="20"/>
              </w:rPr>
              <w:t>C</w:t>
            </w:r>
            <w:r w:rsidRPr="00BC0E7E">
              <w:rPr>
                <w:szCs w:val="20"/>
              </w:rPr>
              <w:t>holecystitis and cholelithiasis,</w:t>
            </w:r>
          </w:p>
          <w:p w14:paraId="444C6A06" w14:textId="77777777" w:rsidR="00BC0E7E" w:rsidRPr="00BC0E7E" w:rsidRDefault="00944B8F" w:rsidP="00BC0E7E">
            <w:pPr>
              <w:widowControl w:val="0"/>
              <w:rPr>
                <w:szCs w:val="20"/>
              </w:rPr>
            </w:pPr>
            <w:r w:rsidRPr="00BC0E7E">
              <w:rPr>
                <w:szCs w:val="20"/>
              </w:rPr>
              <w:t>hepatic steatosis,</w:t>
            </w:r>
          </w:p>
          <w:p w14:paraId="428C526E" w14:textId="77777777" w:rsidR="00BC0E7E" w:rsidRPr="00BC0E7E" w:rsidRDefault="00944B8F" w:rsidP="00BC0E7E">
            <w:pPr>
              <w:widowControl w:val="0"/>
              <w:rPr>
                <w:szCs w:val="20"/>
              </w:rPr>
            </w:pPr>
            <w:r w:rsidRPr="00BC0E7E">
              <w:rPr>
                <w:szCs w:val="20"/>
              </w:rPr>
              <w:t>bilirubin increased</w:t>
            </w:r>
          </w:p>
          <w:p w14:paraId="1C430F2B" w14:textId="77777777" w:rsidR="00BC0E7E" w:rsidRPr="00BC0E7E" w:rsidRDefault="00BC0E7E" w:rsidP="00BC0E7E">
            <w:pPr>
              <w:widowControl w:val="0"/>
              <w:rPr>
                <w:szCs w:val="20"/>
              </w:rPr>
            </w:pPr>
          </w:p>
        </w:tc>
      </w:tr>
      <w:tr w:rsidR="00C6578C" w14:paraId="19BA423C" w14:textId="77777777" w:rsidTr="000244DF">
        <w:tc>
          <w:tcPr>
            <w:tcW w:w="2600" w:type="dxa"/>
            <w:vMerge/>
          </w:tcPr>
          <w:p w14:paraId="2EE60A1B" w14:textId="77777777" w:rsidR="00BC0E7E" w:rsidRPr="00BC0E7E" w:rsidRDefault="00BC0E7E" w:rsidP="00BC0E7E">
            <w:pPr>
              <w:widowControl w:val="0"/>
              <w:spacing w:before="60"/>
              <w:rPr>
                <w:szCs w:val="20"/>
              </w:rPr>
            </w:pPr>
          </w:p>
        </w:tc>
        <w:tc>
          <w:tcPr>
            <w:tcW w:w="2074" w:type="dxa"/>
          </w:tcPr>
          <w:p w14:paraId="4A1E7597" w14:textId="77777777" w:rsidR="00BC0E7E" w:rsidRPr="00BC0E7E" w:rsidRDefault="00944B8F" w:rsidP="00BC0E7E">
            <w:pPr>
              <w:widowControl w:val="0"/>
              <w:spacing w:before="60"/>
              <w:rPr>
                <w:szCs w:val="20"/>
              </w:rPr>
            </w:pPr>
            <w:r w:rsidRPr="00BC0E7E">
              <w:rPr>
                <w:szCs w:val="20"/>
              </w:rPr>
              <w:t>Rare</w:t>
            </w:r>
          </w:p>
          <w:p w14:paraId="0D91FC26" w14:textId="77777777" w:rsidR="00BC0E7E" w:rsidRPr="00BC0E7E" w:rsidRDefault="00BC0E7E" w:rsidP="00BC0E7E">
            <w:pPr>
              <w:widowControl w:val="0"/>
              <w:rPr>
                <w:szCs w:val="20"/>
              </w:rPr>
            </w:pPr>
          </w:p>
        </w:tc>
        <w:tc>
          <w:tcPr>
            <w:tcW w:w="4575" w:type="dxa"/>
          </w:tcPr>
          <w:p w14:paraId="3482EC90" w14:textId="77777777" w:rsidR="00BC0E7E" w:rsidRPr="00BC0E7E" w:rsidRDefault="00944B8F" w:rsidP="00BC0E7E">
            <w:pPr>
              <w:widowControl w:val="0"/>
              <w:spacing w:before="60"/>
              <w:rPr>
                <w:szCs w:val="20"/>
              </w:rPr>
            </w:pPr>
            <w:r>
              <w:rPr>
                <w:szCs w:val="20"/>
              </w:rPr>
              <w:t>H</w:t>
            </w:r>
            <w:r w:rsidRPr="00BC0E7E">
              <w:rPr>
                <w:szCs w:val="20"/>
              </w:rPr>
              <w:t>epatitis</w:t>
            </w:r>
          </w:p>
          <w:p w14:paraId="1DBA10FA" w14:textId="77777777" w:rsidR="00BC0E7E" w:rsidRPr="00BC0E7E" w:rsidRDefault="00944B8F" w:rsidP="00BC0E7E">
            <w:pPr>
              <w:widowControl w:val="0"/>
              <w:spacing w:before="60"/>
              <w:rPr>
                <w:szCs w:val="20"/>
                <w:vertAlign w:val="superscript"/>
              </w:rPr>
            </w:pPr>
            <w:r w:rsidRPr="00BC0E7E">
              <w:rPr>
                <w:szCs w:val="20"/>
              </w:rPr>
              <w:t>reactivation of hepatitis B</w:t>
            </w:r>
            <w:r w:rsidRPr="00BC0E7E">
              <w:rPr>
                <w:szCs w:val="20"/>
                <w:vertAlign w:val="superscript"/>
              </w:rPr>
              <w:t xml:space="preserve">1) </w:t>
            </w:r>
          </w:p>
          <w:p w14:paraId="062A174C" w14:textId="77777777" w:rsidR="00BC0E7E" w:rsidRPr="00BC0E7E" w:rsidRDefault="00944B8F" w:rsidP="00BC0E7E">
            <w:pPr>
              <w:widowControl w:val="0"/>
              <w:spacing w:before="60"/>
              <w:rPr>
                <w:szCs w:val="20"/>
                <w:vertAlign w:val="superscript"/>
              </w:rPr>
            </w:pPr>
            <w:r w:rsidRPr="00BC0E7E">
              <w:rPr>
                <w:szCs w:val="20"/>
              </w:rPr>
              <w:t>autoimmune hepatitis</w:t>
            </w:r>
            <w:r w:rsidRPr="00BC0E7E">
              <w:rPr>
                <w:szCs w:val="20"/>
                <w:vertAlign w:val="superscript"/>
              </w:rPr>
              <w:t>1)</w:t>
            </w:r>
          </w:p>
          <w:p w14:paraId="17CC753C" w14:textId="77777777" w:rsidR="00BC0E7E" w:rsidRPr="00BC0E7E" w:rsidRDefault="00BC0E7E" w:rsidP="00BC0E7E">
            <w:pPr>
              <w:widowControl w:val="0"/>
              <w:rPr>
                <w:szCs w:val="20"/>
              </w:rPr>
            </w:pPr>
          </w:p>
        </w:tc>
      </w:tr>
      <w:tr w:rsidR="00C6578C" w14:paraId="1A5192E2" w14:textId="77777777" w:rsidTr="000244DF">
        <w:tc>
          <w:tcPr>
            <w:tcW w:w="2600" w:type="dxa"/>
            <w:vMerge/>
          </w:tcPr>
          <w:p w14:paraId="198BBD8F" w14:textId="77777777" w:rsidR="00BC0E7E" w:rsidRPr="00BC0E7E" w:rsidRDefault="00BC0E7E" w:rsidP="00BC0E7E">
            <w:pPr>
              <w:widowControl w:val="0"/>
              <w:spacing w:before="60"/>
              <w:rPr>
                <w:szCs w:val="20"/>
              </w:rPr>
            </w:pPr>
          </w:p>
        </w:tc>
        <w:tc>
          <w:tcPr>
            <w:tcW w:w="2074" w:type="dxa"/>
          </w:tcPr>
          <w:p w14:paraId="20F3CE8C" w14:textId="77777777" w:rsidR="00BC0E7E" w:rsidRPr="00BC0E7E" w:rsidRDefault="00944B8F" w:rsidP="00BC0E7E">
            <w:pPr>
              <w:widowControl w:val="0"/>
              <w:spacing w:before="60"/>
              <w:rPr>
                <w:szCs w:val="20"/>
              </w:rPr>
            </w:pPr>
            <w:r w:rsidRPr="00BC0E7E">
              <w:rPr>
                <w:szCs w:val="20"/>
              </w:rPr>
              <w:t>Not known</w:t>
            </w:r>
          </w:p>
          <w:p w14:paraId="4447A228" w14:textId="77777777" w:rsidR="00BC0E7E" w:rsidRPr="00BC0E7E" w:rsidRDefault="00BC0E7E" w:rsidP="00BC0E7E">
            <w:pPr>
              <w:widowControl w:val="0"/>
              <w:spacing w:before="60"/>
              <w:rPr>
                <w:szCs w:val="20"/>
              </w:rPr>
            </w:pPr>
          </w:p>
        </w:tc>
        <w:tc>
          <w:tcPr>
            <w:tcW w:w="4575" w:type="dxa"/>
          </w:tcPr>
          <w:p w14:paraId="0B24B572" w14:textId="77777777" w:rsidR="00BC0E7E" w:rsidRPr="00BC0E7E" w:rsidRDefault="00944B8F" w:rsidP="00BC0E7E">
            <w:pPr>
              <w:widowControl w:val="0"/>
              <w:spacing w:before="60"/>
              <w:rPr>
                <w:szCs w:val="20"/>
              </w:rPr>
            </w:pPr>
            <w:r>
              <w:rPr>
                <w:szCs w:val="20"/>
              </w:rPr>
              <w:t>L</w:t>
            </w:r>
            <w:r w:rsidRPr="00BC0E7E">
              <w:rPr>
                <w:szCs w:val="20"/>
              </w:rPr>
              <w:t>iver failure</w:t>
            </w:r>
            <w:r w:rsidRPr="00BC0E7E">
              <w:rPr>
                <w:szCs w:val="20"/>
                <w:vertAlign w:val="superscript"/>
              </w:rPr>
              <w:t>1)</w:t>
            </w:r>
          </w:p>
        </w:tc>
      </w:tr>
      <w:tr w:rsidR="00C6578C" w14:paraId="0303B1EC" w14:textId="77777777" w:rsidTr="000244DF">
        <w:tc>
          <w:tcPr>
            <w:tcW w:w="2600" w:type="dxa"/>
            <w:vMerge w:val="restart"/>
          </w:tcPr>
          <w:p w14:paraId="467CB1FB" w14:textId="77777777" w:rsidR="00BC0E7E" w:rsidRPr="00BC0E7E" w:rsidRDefault="00944B8F" w:rsidP="00BC0E7E">
            <w:pPr>
              <w:widowControl w:val="0"/>
              <w:spacing w:before="60"/>
              <w:rPr>
                <w:szCs w:val="20"/>
              </w:rPr>
            </w:pPr>
            <w:r w:rsidRPr="00BC0E7E">
              <w:rPr>
                <w:szCs w:val="20"/>
              </w:rPr>
              <w:t>Skin and subcutaneous tissue disorders</w:t>
            </w:r>
          </w:p>
        </w:tc>
        <w:tc>
          <w:tcPr>
            <w:tcW w:w="2074" w:type="dxa"/>
          </w:tcPr>
          <w:p w14:paraId="38C4C7C5" w14:textId="77777777" w:rsidR="00BC0E7E" w:rsidRPr="00BC0E7E" w:rsidRDefault="00944B8F" w:rsidP="00BC0E7E">
            <w:pPr>
              <w:widowControl w:val="0"/>
              <w:spacing w:before="60"/>
              <w:rPr>
                <w:szCs w:val="20"/>
              </w:rPr>
            </w:pPr>
            <w:r w:rsidRPr="00BC0E7E">
              <w:rPr>
                <w:szCs w:val="20"/>
              </w:rPr>
              <w:t>Very Common</w:t>
            </w:r>
          </w:p>
          <w:p w14:paraId="7030A562" w14:textId="77777777" w:rsidR="00BC0E7E" w:rsidRPr="00BC0E7E" w:rsidRDefault="00BC0E7E" w:rsidP="00BC0E7E">
            <w:pPr>
              <w:widowControl w:val="0"/>
              <w:spacing w:before="60"/>
              <w:rPr>
                <w:szCs w:val="20"/>
              </w:rPr>
            </w:pPr>
          </w:p>
        </w:tc>
        <w:tc>
          <w:tcPr>
            <w:tcW w:w="4575" w:type="dxa"/>
          </w:tcPr>
          <w:p w14:paraId="1545921F" w14:textId="77777777" w:rsidR="00BC0E7E" w:rsidRPr="00BC0E7E" w:rsidRDefault="00944B8F" w:rsidP="00BC0E7E">
            <w:pPr>
              <w:widowControl w:val="0"/>
              <w:spacing w:before="60"/>
              <w:rPr>
                <w:szCs w:val="20"/>
              </w:rPr>
            </w:pPr>
            <w:r>
              <w:rPr>
                <w:szCs w:val="20"/>
              </w:rPr>
              <w:t>R</w:t>
            </w:r>
            <w:r w:rsidRPr="00BC0E7E">
              <w:rPr>
                <w:szCs w:val="20"/>
              </w:rPr>
              <w:t>ash (including exfoliative rash)</w:t>
            </w:r>
          </w:p>
          <w:p w14:paraId="290369EF" w14:textId="77777777" w:rsidR="00BC0E7E" w:rsidRPr="00BC0E7E" w:rsidRDefault="00BC0E7E" w:rsidP="00BC0E7E">
            <w:pPr>
              <w:widowControl w:val="0"/>
              <w:spacing w:before="60"/>
              <w:rPr>
                <w:szCs w:val="20"/>
              </w:rPr>
            </w:pPr>
          </w:p>
        </w:tc>
      </w:tr>
      <w:tr w:rsidR="00C6578C" w14:paraId="68E986D5" w14:textId="77777777" w:rsidTr="000244DF">
        <w:tc>
          <w:tcPr>
            <w:tcW w:w="2600" w:type="dxa"/>
            <w:vMerge/>
          </w:tcPr>
          <w:p w14:paraId="3FCD51C6" w14:textId="77777777" w:rsidR="00BC0E7E" w:rsidRPr="00BC0E7E" w:rsidRDefault="00BC0E7E" w:rsidP="00BC0E7E">
            <w:pPr>
              <w:widowControl w:val="0"/>
              <w:spacing w:before="60"/>
              <w:jc w:val="center"/>
              <w:rPr>
                <w:b/>
              </w:rPr>
            </w:pPr>
          </w:p>
        </w:tc>
        <w:tc>
          <w:tcPr>
            <w:tcW w:w="2074" w:type="dxa"/>
          </w:tcPr>
          <w:p w14:paraId="42C6E4C2" w14:textId="77777777" w:rsidR="00BC0E7E" w:rsidRPr="00BC0E7E" w:rsidRDefault="00944B8F" w:rsidP="00BC0E7E">
            <w:pPr>
              <w:widowControl w:val="0"/>
              <w:rPr>
                <w:szCs w:val="20"/>
              </w:rPr>
            </w:pPr>
            <w:r w:rsidRPr="00BC0E7E">
              <w:rPr>
                <w:szCs w:val="20"/>
              </w:rPr>
              <w:t>Common</w:t>
            </w:r>
          </w:p>
          <w:p w14:paraId="6342D06C" w14:textId="77777777" w:rsidR="00BC0E7E" w:rsidRPr="00BC0E7E" w:rsidRDefault="00BC0E7E" w:rsidP="00BC0E7E">
            <w:pPr>
              <w:widowControl w:val="0"/>
              <w:rPr>
                <w:szCs w:val="20"/>
              </w:rPr>
            </w:pPr>
          </w:p>
        </w:tc>
        <w:tc>
          <w:tcPr>
            <w:tcW w:w="4575" w:type="dxa"/>
          </w:tcPr>
          <w:p w14:paraId="1542B94C" w14:textId="77777777" w:rsidR="00BC0E7E" w:rsidRPr="00BC0E7E" w:rsidRDefault="00944B8F" w:rsidP="00BC0E7E">
            <w:pPr>
              <w:widowControl w:val="0"/>
              <w:rPr>
                <w:szCs w:val="20"/>
              </w:rPr>
            </w:pPr>
            <w:r>
              <w:rPr>
                <w:szCs w:val="20"/>
              </w:rPr>
              <w:t>W</w:t>
            </w:r>
            <w:r w:rsidRPr="00BC0E7E">
              <w:rPr>
                <w:szCs w:val="20"/>
              </w:rPr>
              <w:t>orsening or new onset of psoriasis(including palmoplantar pustular psoriasis)</w:t>
            </w:r>
            <w:r w:rsidRPr="00BC0E7E">
              <w:rPr>
                <w:szCs w:val="20"/>
                <w:vertAlign w:val="superscript"/>
              </w:rPr>
              <w:t>1)</w:t>
            </w:r>
            <w:r w:rsidRPr="00BC0E7E">
              <w:rPr>
                <w:szCs w:val="20"/>
              </w:rPr>
              <w:t>,</w:t>
            </w:r>
          </w:p>
          <w:p w14:paraId="3BCB47F7" w14:textId="77777777" w:rsidR="00BC0E7E" w:rsidRPr="00BC0E7E" w:rsidRDefault="00944B8F" w:rsidP="00BC0E7E">
            <w:pPr>
              <w:widowControl w:val="0"/>
              <w:rPr>
                <w:szCs w:val="20"/>
              </w:rPr>
            </w:pPr>
            <w:r w:rsidRPr="00BC0E7E">
              <w:rPr>
                <w:szCs w:val="20"/>
              </w:rPr>
              <w:t>urticaria,</w:t>
            </w:r>
          </w:p>
          <w:p w14:paraId="0094A0C8" w14:textId="77777777" w:rsidR="00BC0E7E" w:rsidRPr="00BC0E7E" w:rsidRDefault="00944B8F" w:rsidP="00BC0E7E">
            <w:pPr>
              <w:widowControl w:val="0"/>
              <w:rPr>
                <w:szCs w:val="20"/>
              </w:rPr>
            </w:pPr>
            <w:r w:rsidRPr="00BC0E7E">
              <w:rPr>
                <w:szCs w:val="20"/>
              </w:rPr>
              <w:t xml:space="preserve">bruising (including purpura), </w:t>
            </w:r>
          </w:p>
          <w:p w14:paraId="60E8C829" w14:textId="77777777" w:rsidR="00BC0E7E" w:rsidRPr="00BC0E7E" w:rsidRDefault="00944B8F" w:rsidP="00BC0E7E">
            <w:pPr>
              <w:widowControl w:val="0"/>
              <w:rPr>
                <w:szCs w:val="20"/>
              </w:rPr>
            </w:pPr>
            <w:r w:rsidRPr="00BC0E7E">
              <w:rPr>
                <w:szCs w:val="20"/>
              </w:rPr>
              <w:t>dermatitis (including eczema),</w:t>
            </w:r>
          </w:p>
          <w:p w14:paraId="5D53ACE1" w14:textId="77777777" w:rsidR="00BC0E7E" w:rsidRPr="00BC0E7E" w:rsidRDefault="00944B8F" w:rsidP="00BC0E7E">
            <w:pPr>
              <w:widowControl w:val="0"/>
              <w:rPr>
                <w:szCs w:val="20"/>
                <w:lang w:val="it-IT"/>
              </w:rPr>
            </w:pPr>
            <w:r w:rsidRPr="00BC0E7E">
              <w:rPr>
                <w:szCs w:val="20"/>
                <w:lang w:val="it-IT"/>
              </w:rPr>
              <w:t xml:space="preserve">onychoclasis, </w:t>
            </w:r>
          </w:p>
          <w:p w14:paraId="6E1C0CD3" w14:textId="77777777" w:rsidR="00BC0E7E" w:rsidRPr="00BC0E7E" w:rsidRDefault="00944B8F" w:rsidP="00BC0E7E">
            <w:pPr>
              <w:widowControl w:val="0"/>
              <w:rPr>
                <w:szCs w:val="20"/>
                <w:lang w:val="it-IT"/>
              </w:rPr>
            </w:pPr>
            <w:r w:rsidRPr="00BC0E7E">
              <w:rPr>
                <w:szCs w:val="20"/>
              </w:rPr>
              <w:lastRenderedPageBreak/>
              <w:t>hyperhidrosis</w:t>
            </w:r>
            <w:r w:rsidRPr="00BC0E7E">
              <w:rPr>
                <w:szCs w:val="20"/>
                <w:lang w:val="it-IT"/>
              </w:rPr>
              <w:t>,</w:t>
            </w:r>
          </w:p>
          <w:p w14:paraId="4524F9BB" w14:textId="77777777" w:rsidR="00BC0E7E" w:rsidRPr="00BC0E7E" w:rsidRDefault="00944B8F" w:rsidP="00BC0E7E">
            <w:pPr>
              <w:widowControl w:val="0"/>
              <w:rPr>
                <w:szCs w:val="20"/>
              </w:rPr>
            </w:pPr>
            <w:r w:rsidRPr="00BC0E7E">
              <w:rPr>
                <w:szCs w:val="20"/>
                <w:lang w:val="it-IT"/>
              </w:rPr>
              <w:t>alopecia</w:t>
            </w:r>
            <w:r w:rsidRPr="00BC0E7E">
              <w:rPr>
                <w:szCs w:val="20"/>
                <w:vertAlign w:val="superscript"/>
                <w:lang w:val="it-IT"/>
              </w:rPr>
              <w:t>1)</w:t>
            </w:r>
            <w:r w:rsidRPr="00BC0E7E">
              <w:rPr>
                <w:szCs w:val="20"/>
                <w:lang w:val="it-IT"/>
              </w:rPr>
              <w:t>,</w:t>
            </w:r>
          </w:p>
          <w:p w14:paraId="368D572C" w14:textId="77777777" w:rsidR="00BC0E7E" w:rsidRPr="00BC0E7E" w:rsidRDefault="00944B8F" w:rsidP="00BC0E7E">
            <w:pPr>
              <w:widowControl w:val="0"/>
              <w:rPr>
                <w:szCs w:val="20"/>
              </w:rPr>
            </w:pPr>
            <w:r w:rsidRPr="00BC0E7E">
              <w:rPr>
                <w:szCs w:val="20"/>
              </w:rPr>
              <w:t xml:space="preserve">pruritus </w:t>
            </w:r>
          </w:p>
          <w:p w14:paraId="6755FD76" w14:textId="77777777" w:rsidR="00BC0E7E" w:rsidRPr="00BC0E7E" w:rsidRDefault="00BC0E7E" w:rsidP="00BC0E7E">
            <w:pPr>
              <w:widowControl w:val="0"/>
              <w:rPr>
                <w:szCs w:val="20"/>
              </w:rPr>
            </w:pPr>
          </w:p>
        </w:tc>
      </w:tr>
      <w:tr w:rsidR="00C6578C" w14:paraId="05F1D8A6" w14:textId="77777777" w:rsidTr="000244DF">
        <w:tc>
          <w:tcPr>
            <w:tcW w:w="2600" w:type="dxa"/>
            <w:vMerge/>
          </w:tcPr>
          <w:p w14:paraId="61E699F4" w14:textId="77777777" w:rsidR="00BC0E7E" w:rsidRPr="00BC0E7E" w:rsidRDefault="00BC0E7E" w:rsidP="00BC0E7E">
            <w:pPr>
              <w:widowControl w:val="0"/>
              <w:spacing w:before="60"/>
              <w:jc w:val="center"/>
              <w:rPr>
                <w:b/>
              </w:rPr>
            </w:pPr>
          </w:p>
        </w:tc>
        <w:tc>
          <w:tcPr>
            <w:tcW w:w="2074" w:type="dxa"/>
          </w:tcPr>
          <w:p w14:paraId="66AD1A27" w14:textId="77777777" w:rsidR="00BC0E7E" w:rsidRPr="00BC0E7E" w:rsidRDefault="00944B8F" w:rsidP="00BC0E7E">
            <w:pPr>
              <w:widowControl w:val="0"/>
              <w:rPr>
                <w:szCs w:val="20"/>
                <w:lang w:val="it-IT"/>
              </w:rPr>
            </w:pPr>
            <w:r w:rsidRPr="00BC0E7E">
              <w:rPr>
                <w:szCs w:val="20"/>
                <w:lang w:val="it-IT"/>
              </w:rPr>
              <w:t>Uncommon</w:t>
            </w:r>
          </w:p>
          <w:p w14:paraId="19D13551" w14:textId="77777777" w:rsidR="00BC0E7E" w:rsidRPr="00BC0E7E" w:rsidRDefault="00BC0E7E" w:rsidP="00BC0E7E">
            <w:pPr>
              <w:widowControl w:val="0"/>
              <w:rPr>
                <w:szCs w:val="20"/>
                <w:lang w:val="it-IT"/>
              </w:rPr>
            </w:pPr>
          </w:p>
        </w:tc>
        <w:tc>
          <w:tcPr>
            <w:tcW w:w="4575" w:type="dxa"/>
          </w:tcPr>
          <w:p w14:paraId="09F73487" w14:textId="77777777" w:rsidR="00BC0E7E" w:rsidRPr="00BC0E7E" w:rsidRDefault="00944B8F" w:rsidP="00BC0E7E">
            <w:pPr>
              <w:widowControl w:val="0"/>
              <w:rPr>
                <w:szCs w:val="20"/>
                <w:lang w:val="it-IT"/>
              </w:rPr>
            </w:pPr>
            <w:r>
              <w:rPr>
                <w:szCs w:val="20"/>
                <w:lang w:val="it-IT"/>
              </w:rPr>
              <w:t>N</w:t>
            </w:r>
            <w:r w:rsidRPr="00BC0E7E">
              <w:rPr>
                <w:szCs w:val="20"/>
                <w:lang w:val="it-IT"/>
              </w:rPr>
              <w:t>ight sweats,</w:t>
            </w:r>
          </w:p>
          <w:p w14:paraId="6BA6D92F" w14:textId="77777777" w:rsidR="00BC0E7E" w:rsidRPr="00BC0E7E" w:rsidRDefault="00944B8F" w:rsidP="00BC0E7E">
            <w:pPr>
              <w:widowControl w:val="0"/>
              <w:rPr>
                <w:szCs w:val="20"/>
                <w:lang w:val="it-IT"/>
              </w:rPr>
            </w:pPr>
            <w:r w:rsidRPr="00BC0E7E">
              <w:rPr>
                <w:szCs w:val="20"/>
                <w:lang w:val="it-IT"/>
              </w:rPr>
              <w:t>scar</w:t>
            </w:r>
          </w:p>
          <w:p w14:paraId="7AE6DE7A" w14:textId="77777777" w:rsidR="00BC0E7E" w:rsidRPr="00BC0E7E" w:rsidRDefault="00BC0E7E" w:rsidP="00BC0E7E">
            <w:pPr>
              <w:widowControl w:val="0"/>
              <w:rPr>
                <w:szCs w:val="20"/>
                <w:lang w:val="it-IT"/>
              </w:rPr>
            </w:pPr>
          </w:p>
        </w:tc>
      </w:tr>
      <w:tr w:rsidR="00C6578C" w14:paraId="5B4D3555" w14:textId="77777777" w:rsidTr="000244DF">
        <w:trPr>
          <w:trHeight w:val="1333"/>
        </w:trPr>
        <w:tc>
          <w:tcPr>
            <w:tcW w:w="2600" w:type="dxa"/>
            <w:vMerge/>
          </w:tcPr>
          <w:p w14:paraId="2A110231" w14:textId="77777777" w:rsidR="00BC0E7E" w:rsidRPr="00BC0E7E" w:rsidRDefault="00BC0E7E" w:rsidP="00BC0E7E">
            <w:pPr>
              <w:widowControl w:val="0"/>
              <w:spacing w:before="60"/>
              <w:rPr>
                <w:szCs w:val="20"/>
              </w:rPr>
            </w:pPr>
          </w:p>
        </w:tc>
        <w:tc>
          <w:tcPr>
            <w:tcW w:w="2074" w:type="dxa"/>
          </w:tcPr>
          <w:p w14:paraId="698DD9E1" w14:textId="77777777" w:rsidR="00BC0E7E" w:rsidRPr="00BC0E7E" w:rsidRDefault="00944B8F" w:rsidP="00BC0E7E">
            <w:pPr>
              <w:widowControl w:val="0"/>
              <w:spacing w:before="60"/>
              <w:rPr>
                <w:szCs w:val="20"/>
              </w:rPr>
            </w:pPr>
            <w:r w:rsidRPr="00BC0E7E">
              <w:rPr>
                <w:szCs w:val="20"/>
              </w:rPr>
              <w:t>Rare</w:t>
            </w:r>
          </w:p>
        </w:tc>
        <w:tc>
          <w:tcPr>
            <w:tcW w:w="4575" w:type="dxa"/>
          </w:tcPr>
          <w:p w14:paraId="01EC82E8" w14:textId="77777777" w:rsidR="00BC0E7E" w:rsidRPr="00BC0E7E" w:rsidRDefault="00944B8F" w:rsidP="00BC0E7E">
            <w:pPr>
              <w:widowControl w:val="0"/>
              <w:spacing w:before="60"/>
              <w:rPr>
                <w:szCs w:val="20"/>
                <w:lang w:val="fr-FR"/>
              </w:rPr>
            </w:pPr>
            <w:r>
              <w:rPr>
                <w:szCs w:val="20"/>
                <w:lang w:val="fr-FR"/>
              </w:rPr>
              <w:t>E</w:t>
            </w:r>
            <w:r w:rsidRPr="00BC0E7E">
              <w:rPr>
                <w:szCs w:val="20"/>
                <w:lang w:val="fr-FR"/>
              </w:rPr>
              <w:t>rythema multiforme</w:t>
            </w:r>
            <w:r w:rsidRPr="00BC0E7E">
              <w:rPr>
                <w:szCs w:val="20"/>
                <w:vertAlign w:val="superscript"/>
                <w:lang w:val="fr-FR"/>
              </w:rPr>
              <w:t>1)</w:t>
            </w:r>
            <w:r w:rsidRPr="00BC0E7E">
              <w:rPr>
                <w:szCs w:val="20"/>
                <w:lang w:val="fr-FR"/>
              </w:rPr>
              <w:t>,</w:t>
            </w:r>
          </w:p>
          <w:p w14:paraId="69669C8D" w14:textId="77777777" w:rsidR="00BC0E7E" w:rsidRPr="00FB06D0" w:rsidRDefault="00944B8F" w:rsidP="00BC0E7E">
            <w:pPr>
              <w:widowControl w:val="0"/>
              <w:spacing w:before="60"/>
              <w:rPr>
                <w:szCs w:val="20"/>
                <w:lang w:val="nb-NO"/>
              </w:rPr>
            </w:pPr>
            <w:r w:rsidRPr="00FB06D0">
              <w:rPr>
                <w:szCs w:val="20"/>
                <w:lang w:val="nb-NO"/>
              </w:rPr>
              <w:t>Stevens-Johnson syndrome</w:t>
            </w:r>
            <w:r w:rsidRPr="00FB06D0">
              <w:rPr>
                <w:szCs w:val="20"/>
                <w:vertAlign w:val="superscript"/>
                <w:lang w:val="nb-NO"/>
              </w:rPr>
              <w:t>1)</w:t>
            </w:r>
            <w:r w:rsidRPr="00FB06D0">
              <w:rPr>
                <w:szCs w:val="20"/>
                <w:lang w:val="nb-NO"/>
              </w:rPr>
              <w:t>,</w:t>
            </w:r>
          </w:p>
          <w:p w14:paraId="2090B5C1" w14:textId="77777777" w:rsidR="00BC0E7E" w:rsidRPr="007224CE" w:rsidRDefault="00944B8F" w:rsidP="00BC0E7E">
            <w:pPr>
              <w:widowControl w:val="0"/>
              <w:spacing w:before="60"/>
              <w:rPr>
                <w:szCs w:val="20"/>
              </w:rPr>
            </w:pPr>
            <w:r w:rsidRPr="007224CE">
              <w:rPr>
                <w:szCs w:val="20"/>
              </w:rPr>
              <w:t>angioedema</w:t>
            </w:r>
            <w:r w:rsidRPr="007224CE">
              <w:rPr>
                <w:szCs w:val="20"/>
                <w:vertAlign w:val="superscript"/>
              </w:rPr>
              <w:t>1)</w:t>
            </w:r>
            <w:r w:rsidRPr="007224CE">
              <w:rPr>
                <w:szCs w:val="20"/>
              </w:rPr>
              <w:t>,</w:t>
            </w:r>
          </w:p>
          <w:p w14:paraId="6A996023" w14:textId="77777777" w:rsidR="00BC0E7E" w:rsidRPr="00BC0E7E" w:rsidRDefault="00944B8F" w:rsidP="00BC0E7E">
            <w:pPr>
              <w:widowControl w:val="0"/>
              <w:spacing w:before="60"/>
              <w:rPr>
                <w:szCs w:val="20"/>
                <w:vertAlign w:val="superscript"/>
                <w:lang w:val="fr-FR"/>
              </w:rPr>
            </w:pPr>
            <w:r w:rsidRPr="00BC0E7E">
              <w:rPr>
                <w:szCs w:val="20"/>
                <w:lang w:val="fr-FR"/>
              </w:rPr>
              <w:t>cutaneous vasculitis</w:t>
            </w:r>
            <w:r w:rsidRPr="00BC0E7E">
              <w:rPr>
                <w:szCs w:val="20"/>
                <w:vertAlign w:val="superscript"/>
                <w:lang w:val="fr-FR"/>
              </w:rPr>
              <w:t>1)</w:t>
            </w:r>
          </w:p>
          <w:p w14:paraId="190A134E" w14:textId="77777777" w:rsidR="00A81D15" w:rsidRDefault="00944B8F" w:rsidP="00BC0E7E">
            <w:pPr>
              <w:widowControl w:val="0"/>
              <w:spacing w:before="60"/>
              <w:rPr>
                <w:szCs w:val="22"/>
                <w:vertAlign w:val="superscript"/>
              </w:rPr>
            </w:pPr>
            <w:r>
              <w:t>lichenoid skin reaction</w:t>
            </w:r>
            <w:r>
              <w:rPr>
                <w:szCs w:val="22"/>
                <w:vertAlign w:val="superscript"/>
              </w:rPr>
              <w:t>1)</w:t>
            </w:r>
          </w:p>
          <w:p w14:paraId="32936317" w14:textId="77777777" w:rsidR="00BC0E7E" w:rsidRPr="00BC0E7E" w:rsidRDefault="00BC0E7E" w:rsidP="00BC0E7E">
            <w:pPr>
              <w:widowControl w:val="0"/>
              <w:spacing w:before="60"/>
              <w:rPr>
                <w:szCs w:val="20"/>
              </w:rPr>
            </w:pPr>
          </w:p>
        </w:tc>
      </w:tr>
      <w:tr w:rsidR="00C6578C" w14:paraId="2D546879" w14:textId="77777777" w:rsidTr="000244DF">
        <w:tc>
          <w:tcPr>
            <w:tcW w:w="2600" w:type="dxa"/>
            <w:vMerge/>
          </w:tcPr>
          <w:p w14:paraId="3C03DEC3" w14:textId="77777777" w:rsidR="00BC0E7E" w:rsidRPr="00BC0E7E" w:rsidRDefault="00BC0E7E" w:rsidP="00BC0E7E">
            <w:pPr>
              <w:widowControl w:val="0"/>
              <w:spacing w:before="60"/>
              <w:rPr>
                <w:szCs w:val="20"/>
              </w:rPr>
            </w:pPr>
          </w:p>
        </w:tc>
        <w:tc>
          <w:tcPr>
            <w:tcW w:w="2074" w:type="dxa"/>
          </w:tcPr>
          <w:p w14:paraId="7B85B35B" w14:textId="77777777" w:rsidR="00BC0E7E" w:rsidRPr="00BC0E7E" w:rsidRDefault="00944B8F" w:rsidP="00BC0E7E">
            <w:pPr>
              <w:widowControl w:val="0"/>
              <w:spacing w:before="60"/>
              <w:rPr>
                <w:szCs w:val="20"/>
              </w:rPr>
            </w:pPr>
            <w:r w:rsidRPr="00BC0E7E">
              <w:rPr>
                <w:szCs w:val="20"/>
              </w:rPr>
              <w:t>Not known</w:t>
            </w:r>
          </w:p>
        </w:tc>
        <w:tc>
          <w:tcPr>
            <w:tcW w:w="4575" w:type="dxa"/>
          </w:tcPr>
          <w:p w14:paraId="533EA610" w14:textId="77777777" w:rsidR="00BC0E7E" w:rsidRPr="00BC0E7E" w:rsidRDefault="00944B8F" w:rsidP="00BC0E7E">
            <w:pPr>
              <w:widowControl w:val="0"/>
              <w:spacing w:before="60"/>
              <w:rPr>
                <w:szCs w:val="20"/>
                <w:vertAlign w:val="superscript"/>
              </w:rPr>
            </w:pPr>
            <w:r>
              <w:rPr>
                <w:szCs w:val="20"/>
              </w:rPr>
              <w:t>W</w:t>
            </w:r>
            <w:r w:rsidRPr="00BC0E7E">
              <w:rPr>
                <w:szCs w:val="20"/>
              </w:rPr>
              <w:t>orsening of symptoms of dermatomyositis</w:t>
            </w:r>
            <w:r w:rsidRPr="00BC0E7E">
              <w:rPr>
                <w:szCs w:val="20"/>
                <w:vertAlign w:val="superscript"/>
              </w:rPr>
              <w:t>1)</w:t>
            </w:r>
          </w:p>
          <w:p w14:paraId="2575A555" w14:textId="77777777" w:rsidR="00BC0E7E" w:rsidRPr="00BC0E7E" w:rsidRDefault="00BC0E7E" w:rsidP="00BC0E7E">
            <w:pPr>
              <w:widowControl w:val="0"/>
              <w:spacing w:before="60"/>
              <w:rPr>
                <w:szCs w:val="20"/>
              </w:rPr>
            </w:pPr>
          </w:p>
        </w:tc>
      </w:tr>
      <w:tr w:rsidR="00C6578C" w14:paraId="6D24C8E1" w14:textId="77777777" w:rsidTr="000244DF">
        <w:tc>
          <w:tcPr>
            <w:tcW w:w="2600" w:type="dxa"/>
            <w:vMerge w:val="restart"/>
          </w:tcPr>
          <w:p w14:paraId="1A38C572" w14:textId="77777777" w:rsidR="00BC0E7E" w:rsidRPr="00BC0E7E" w:rsidRDefault="00944B8F" w:rsidP="00BC0E7E">
            <w:pPr>
              <w:widowControl w:val="0"/>
              <w:spacing w:before="60"/>
              <w:rPr>
                <w:szCs w:val="20"/>
              </w:rPr>
            </w:pPr>
            <w:r w:rsidRPr="00BC0E7E">
              <w:rPr>
                <w:szCs w:val="20"/>
              </w:rPr>
              <w:t>Musculoskeletal and connective tissue disorders</w:t>
            </w:r>
          </w:p>
        </w:tc>
        <w:tc>
          <w:tcPr>
            <w:tcW w:w="2074" w:type="dxa"/>
          </w:tcPr>
          <w:p w14:paraId="0EFB77F0" w14:textId="77777777" w:rsidR="00BC0E7E" w:rsidRPr="00BC0E7E" w:rsidRDefault="00944B8F" w:rsidP="00BC0E7E">
            <w:pPr>
              <w:widowControl w:val="0"/>
              <w:spacing w:before="60"/>
              <w:rPr>
                <w:szCs w:val="20"/>
              </w:rPr>
            </w:pPr>
            <w:r w:rsidRPr="00BC0E7E">
              <w:rPr>
                <w:szCs w:val="20"/>
              </w:rPr>
              <w:t>Very common</w:t>
            </w:r>
          </w:p>
          <w:p w14:paraId="6034FDA3" w14:textId="77777777" w:rsidR="00BC0E7E" w:rsidRPr="00BC0E7E" w:rsidRDefault="00BC0E7E" w:rsidP="00BC0E7E">
            <w:pPr>
              <w:widowControl w:val="0"/>
              <w:spacing w:before="60"/>
              <w:rPr>
                <w:szCs w:val="20"/>
              </w:rPr>
            </w:pPr>
          </w:p>
        </w:tc>
        <w:tc>
          <w:tcPr>
            <w:tcW w:w="4575" w:type="dxa"/>
          </w:tcPr>
          <w:p w14:paraId="6BF3530B" w14:textId="77777777" w:rsidR="00BC0E7E" w:rsidRPr="00BC0E7E" w:rsidRDefault="00944B8F" w:rsidP="00BC0E7E">
            <w:pPr>
              <w:widowControl w:val="0"/>
              <w:spacing w:before="60"/>
              <w:rPr>
                <w:szCs w:val="20"/>
              </w:rPr>
            </w:pPr>
            <w:r>
              <w:rPr>
                <w:szCs w:val="20"/>
              </w:rPr>
              <w:t>M</w:t>
            </w:r>
            <w:r w:rsidRPr="00BC0E7E">
              <w:rPr>
                <w:szCs w:val="20"/>
              </w:rPr>
              <w:t>usculoskeletal pain</w:t>
            </w:r>
          </w:p>
          <w:p w14:paraId="70C5BE5C" w14:textId="77777777" w:rsidR="00BC0E7E" w:rsidRPr="00BC0E7E" w:rsidRDefault="00BC0E7E" w:rsidP="00BC0E7E">
            <w:pPr>
              <w:widowControl w:val="0"/>
              <w:spacing w:before="60"/>
              <w:rPr>
                <w:szCs w:val="20"/>
              </w:rPr>
            </w:pPr>
          </w:p>
        </w:tc>
      </w:tr>
      <w:tr w:rsidR="00C6578C" w14:paraId="45A34E1F" w14:textId="77777777" w:rsidTr="000244DF">
        <w:tc>
          <w:tcPr>
            <w:tcW w:w="2600" w:type="dxa"/>
            <w:vMerge/>
          </w:tcPr>
          <w:p w14:paraId="373B4A83" w14:textId="77777777" w:rsidR="00BC0E7E" w:rsidRPr="00BC0E7E" w:rsidRDefault="00BC0E7E" w:rsidP="00BC0E7E">
            <w:pPr>
              <w:widowControl w:val="0"/>
              <w:spacing w:before="60"/>
              <w:rPr>
                <w:szCs w:val="20"/>
              </w:rPr>
            </w:pPr>
          </w:p>
        </w:tc>
        <w:tc>
          <w:tcPr>
            <w:tcW w:w="2074" w:type="dxa"/>
          </w:tcPr>
          <w:p w14:paraId="78A65748" w14:textId="77777777" w:rsidR="00BC0E7E" w:rsidRPr="00BC0E7E" w:rsidRDefault="00944B8F" w:rsidP="00BC0E7E">
            <w:pPr>
              <w:widowControl w:val="0"/>
              <w:spacing w:before="60"/>
              <w:rPr>
                <w:szCs w:val="20"/>
              </w:rPr>
            </w:pPr>
            <w:r w:rsidRPr="00BC0E7E">
              <w:rPr>
                <w:szCs w:val="20"/>
              </w:rPr>
              <w:t>Common</w:t>
            </w:r>
          </w:p>
        </w:tc>
        <w:tc>
          <w:tcPr>
            <w:tcW w:w="4575" w:type="dxa"/>
          </w:tcPr>
          <w:p w14:paraId="206F613D" w14:textId="77777777" w:rsidR="00BC0E7E" w:rsidRPr="00BC0E7E" w:rsidRDefault="00944B8F" w:rsidP="00BC0E7E">
            <w:pPr>
              <w:widowControl w:val="0"/>
              <w:spacing w:before="60"/>
              <w:rPr>
                <w:szCs w:val="20"/>
              </w:rPr>
            </w:pPr>
            <w:r>
              <w:rPr>
                <w:szCs w:val="20"/>
              </w:rPr>
              <w:t>M</w:t>
            </w:r>
            <w:r w:rsidRPr="00BC0E7E">
              <w:rPr>
                <w:szCs w:val="20"/>
              </w:rPr>
              <w:t>uscle spasms (including blood creatine phosphokinase increased)</w:t>
            </w:r>
          </w:p>
          <w:p w14:paraId="6BF23334" w14:textId="77777777" w:rsidR="00BC0E7E" w:rsidRPr="00BC0E7E" w:rsidRDefault="00BC0E7E" w:rsidP="00BC0E7E">
            <w:pPr>
              <w:widowControl w:val="0"/>
              <w:spacing w:before="60"/>
              <w:rPr>
                <w:szCs w:val="20"/>
              </w:rPr>
            </w:pPr>
          </w:p>
        </w:tc>
      </w:tr>
      <w:tr w:rsidR="00C6578C" w14:paraId="75B8B41B" w14:textId="77777777" w:rsidTr="000244DF">
        <w:tc>
          <w:tcPr>
            <w:tcW w:w="2600" w:type="dxa"/>
            <w:vMerge/>
          </w:tcPr>
          <w:p w14:paraId="24F8DB66" w14:textId="77777777" w:rsidR="00BC0E7E" w:rsidRPr="00BC0E7E" w:rsidRDefault="00BC0E7E" w:rsidP="00BC0E7E">
            <w:pPr>
              <w:widowControl w:val="0"/>
              <w:spacing w:before="60"/>
              <w:jc w:val="center"/>
              <w:rPr>
                <w:b/>
              </w:rPr>
            </w:pPr>
          </w:p>
        </w:tc>
        <w:tc>
          <w:tcPr>
            <w:tcW w:w="2074" w:type="dxa"/>
          </w:tcPr>
          <w:p w14:paraId="7A058D40" w14:textId="77777777" w:rsidR="00BC0E7E" w:rsidRPr="00BC0E7E" w:rsidRDefault="00944B8F" w:rsidP="00BC0E7E">
            <w:pPr>
              <w:widowControl w:val="0"/>
              <w:rPr>
                <w:szCs w:val="20"/>
              </w:rPr>
            </w:pPr>
            <w:r w:rsidRPr="00BC0E7E">
              <w:rPr>
                <w:szCs w:val="20"/>
              </w:rPr>
              <w:t>Uncommon</w:t>
            </w:r>
          </w:p>
        </w:tc>
        <w:tc>
          <w:tcPr>
            <w:tcW w:w="4575" w:type="dxa"/>
          </w:tcPr>
          <w:p w14:paraId="4208CF1B" w14:textId="77777777" w:rsidR="00BC0E7E" w:rsidRPr="00BC0E7E" w:rsidRDefault="00944B8F" w:rsidP="00BC0E7E">
            <w:pPr>
              <w:widowControl w:val="0"/>
              <w:rPr>
                <w:szCs w:val="20"/>
              </w:rPr>
            </w:pPr>
            <w:r>
              <w:rPr>
                <w:szCs w:val="20"/>
              </w:rPr>
              <w:t>R</w:t>
            </w:r>
            <w:r w:rsidRPr="00BC0E7E">
              <w:rPr>
                <w:szCs w:val="20"/>
              </w:rPr>
              <w:t>habdomyolysis,</w:t>
            </w:r>
          </w:p>
          <w:p w14:paraId="66FE0637" w14:textId="77777777" w:rsidR="00BC0E7E" w:rsidRPr="00BC0E7E" w:rsidRDefault="00944B8F" w:rsidP="00BC0E7E">
            <w:pPr>
              <w:widowControl w:val="0"/>
              <w:rPr>
                <w:szCs w:val="20"/>
              </w:rPr>
            </w:pPr>
            <w:r w:rsidRPr="00BC0E7E">
              <w:rPr>
                <w:szCs w:val="20"/>
              </w:rPr>
              <w:t>systemic lupus erythematosus</w:t>
            </w:r>
          </w:p>
          <w:p w14:paraId="3A4149CB" w14:textId="77777777" w:rsidR="00BC0E7E" w:rsidRPr="00BC0E7E" w:rsidRDefault="00BC0E7E" w:rsidP="00BC0E7E">
            <w:pPr>
              <w:widowControl w:val="0"/>
              <w:rPr>
                <w:szCs w:val="20"/>
              </w:rPr>
            </w:pPr>
          </w:p>
        </w:tc>
      </w:tr>
      <w:tr w:rsidR="00C6578C" w14:paraId="6857314B" w14:textId="77777777" w:rsidTr="000244DF">
        <w:tc>
          <w:tcPr>
            <w:tcW w:w="2600" w:type="dxa"/>
            <w:vMerge/>
          </w:tcPr>
          <w:p w14:paraId="49E254F6" w14:textId="77777777" w:rsidR="00BC0E7E" w:rsidRPr="00BC0E7E" w:rsidRDefault="00BC0E7E" w:rsidP="00BC0E7E">
            <w:pPr>
              <w:widowControl w:val="0"/>
              <w:spacing w:before="60"/>
              <w:jc w:val="center"/>
              <w:rPr>
                <w:b/>
              </w:rPr>
            </w:pPr>
          </w:p>
        </w:tc>
        <w:tc>
          <w:tcPr>
            <w:tcW w:w="2074" w:type="dxa"/>
          </w:tcPr>
          <w:p w14:paraId="0AE2439A" w14:textId="77777777" w:rsidR="00BC0E7E" w:rsidRPr="00BC0E7E" w:rsidRDefault="00944B8F" w:rsidP="00BC0E7E">
            <w:pPr>
              <w:widowControl w:val="0"/>
              <w:rPr>
                <w:szCs w:val="20"/>
              </w:rPr>
            </w:pPr>
            <w:r w:rsidRPr="00BC0E7E">
              <w:rPr>
                <w:szCs w:val="20"/>
              </w:rPr>
              <w:t>Rare</w:t>
            </w:r>
          </w:p>
          <w:p w14:paraId="25482371" w14:textId="77777777" w:rsidR="00BC0E7E" w:rsidRPr="00BC0E7E" w:rsidRDefault="00BC0E7E" w:rsidP="00BC0E7E">
            <w:pPr>
              <w:widowControl w:val="0"/>
              <w:rPr>
                <w:szCs w:val="20"/>
              </w:rPr>
            </w:pPr>
          </w:p>
        </w:tc>
        <w:tc>
          <w:tcPr>
            <w:tcW w:w="4575" w:type="dxa"/>
          </w:tcPr>
          <w:p w14:paraId="5B847E3D" w14:textId="77777777" w:rsidR="00BC0E7E" w:rsidRPr="00BC0E7E" w:rsidRDefault="00944B8F" w:rsidP="00BC0E7E">
            <w:pPr>
              <w:widowControl w:val="0"/>
              <w:rPr>
                <w:szCs w:val="20"/>
                <w:vertAlign w:val="superscript"/>
              </w:rPr>
            </w:pPr>
            <w:r>
              <w:rPr>
                <w:szCs w:val="20"/>
              </w:rPr>
              <w:t>L</w:t>
            </w:r>
            <w:r w:rsidRPr="00BC0E7E">
              <w:rPr>
                <w:szCs w:val="20"/>
              </w:rPr>
              <w:t>upus-like syndrome</w:t>
            </w:r>
            <w:r w:rsidRPr="00BC0E7E">
              <w:rPr>
                <w:szCs w:val="20"/>
                <w:vertAlign w:val="superscript"/>
              </w:rPr>
              <w:t>1)</w:t>
            </w:r>
          </w:p>
          <w:p w14:paraId="04EBE259" w14:textId="77777777" w:rsidR="00BC0E7E" w:rsidRPr="00BC0E7E" w:rsidRDefault="00BC0E7E" w:rsidP="00BC0E7E">
            <w:pPr>
              <w:widowControl w:val="0"/>
              <w:rPr>
                <w:szCs w:val="20"/>
              </w:rPr>
            </w:pPr>
          </w:p>
        </w:tc>
      </w:tr>
      <w:tr w:rsidR="00C6578C" w14:paraId="29496BEA" w14:textId="77777777" w:rsidTr="000244DF">
        <w:tc>
          <w:tcPr>
            <w:tcW w:w="2600" w:type="dxa"/>
            <w:vMerge w:val="restart"/>
          </w:tcPr>
          <w:p w14:paraId="740AF697" w14:textId="77777777" w:rsidR="00BC0E7E" w:rsidRPr="00BC0E7E" w:rsidRDefault="00944B8F" w:rsidP="00BC0E7E">
            <w:pPr>
              <w:widowControl w:val="0"/>
              <w:spacing w:before="60"/>
              <w:rPr>
                <w:szCs w:val="20"/>
              </w:rPr>
            </w:pPr>
            <w:r w:rsidRPr="00BC0E7E">
              <w:rPr>
                <w:szCs w:val="20"/>
              </w:rPr>
              <w:t xml:space="preserve">Renal and urinary disorders </w:t>
            </w:r>
          </w:p>
        </w:tc>
        <w:tc>
          <w:tcPr>
            <w:tcW w:w="2074" w:type="dxa"/>
          </w:tcPr>
          <w:p w14:paraId="63A2F1B8" w14:textId="77777777" w:rsidR="00BC0E7E" w:rsidRPr="00BC0E7E" w:rsidRDefault="00944B8F" w:rsidP="00BC0E7E">
            <w:pPr>
              <w:widowControl w:val="0"/>
              <w:spacing w:before="60"/>
              <w:rPr>
                <w:szCs w:val="20"/>
              </w:rPr>
            </w:pPr>
            <w:r w:rsidRPr="00BC0E7E">
              <w:rPr>
                <w:szCs w:val="20"/>
              </w:rPr>
              <w:t>Common</w:t>
            </w:r>
          </w:p>
          <w:p w14:paraId="7D200B36" w14:textId="77777777" w:rsidR="00BC0E7E" w:rsidRPr="00BC0E7E" w:rsidRDefault="00BC0E7E" w:rsidP="00BC0E7E">
            <w:pPr>
              <w:widowControl w:val="0"/>
              <w:spacing w:before="60"/>
              <w:rPr>
                <w:szCs w:val="20"/>
              </w:rPr>
            </w:pPr>
          </w:p>
        </w:tc>
        <w:tc>
          <w:tcPr>
            <w:tcW w:w="4575" w:type="dxa"/>
          </w:tcPr>
          <w:p w14:paraId="515B21FC" w14:textId="77777777" w:rsidR="00BC0E7E" w:rsidRPr="00BC0E7E" w:rsidRDefault="00944B8F" w:rsidP="00BC0E7E">
            <w:pPr>
              <w:widowControl w:val="0"/>
              <w:spacing w:before="60"/>
              <w:rPr>
                <w:szCs w:val="20"/>
              </w:rPr>
            </w:pPr>
            <w:r>
              <w:rPr>
                <w:szCs w:val="20"/>
              </w:rPr>
              <w:t>R</w:t>
            </w:r>
            <w:r w:rsidRPr="00BC0E7E">
              <w:rPr>
                <w:szCs w:val="20"/>
              </w:rPr>
              <w:t>enal impairment,</w:t>
            </w:r>
          </w:p>
          <w:p w14:paraId="303394B1" w14:textId="77777777" w:rsidR="00BC0E7E" w:rsidRPr="00BC0E7E" w:rsidRDefault="00944B8F" w:rsidP="00BC0E7E">
            <w:pPr>
              <w:widowControl w:val="0"/>
              <w:spacing w:before="60"/>
              <w:rPr>
                <w:szCs w:val="20"/>
              </w:rPr>
            </w:pPr>
            <w:r w:rsidRPr="00BC0E7E">
              <w:rPr>
                <w:szCs w:val="20"/>
              </w:rPr>
              <w:t>haematuria</w:t>
            </w:r>
          </w:p>
          <w:p w14:paraId="45DC2377" w14:textId="77777777" w:rsidR="00BC0E7E" w:rsidRPr="00BC0E7E" w:rsidRDefault="00BC0E7E" w:rsidP="00BC0E7E">
            <w:pPr>
              <w:widowControl w:val="0"/>
              <w:spacing w:before="60"/>
              <w:rPr>
                <w:szCs w:val="20"/>
              </w:rPr>
            </w:pPr>
          </w:p>
        </w:tc>
      </w:tr>
      <w:tr w:rsidR="00C6578C" w14:paraId="55D5FA13" w14:textId="77777777" w:rsidTr="000244DF">
        <w:tc>
          <w:tcPr>
            <w:tcW w:w="2600" w:type="dxa"/>
            <w:vMerge/>
          </w:tcPr>
          <w:p w14:paraId="00BDC821" w14:textId="77777777" w:rsidR="00BC0E7E" w:rsidRPr="00BC0E7E" w:rsidRDefault="00BC0E7E" w:rsidP="00BC0E7E">
            <w:pPr>
              <w:widowControl w:val="0"/>
              <w:spacing w:before="60"/>
              <w:jc w:val="center"/>
              <w:rPr>
                <w:b/>
              </w:rPr>
            </w:pPr>
          </w:p>
        </w:tc>
        <w:tc>
          <w:tcPr>
            <w:tcW w:w="2074" w:type="dxa"/>
          </w:tcPr>
          <w:p w14:paraId="0BB33E7B" w14:textId="77777777" w:rsidR="00BC0E7E" w:rsidRPr="00BC0E7E" w:rsidRDefault="00944B8F" w:rsidP="00BC0E7E">
            <w:pPr>
              <w:widowControl w:val="0"/>
              <w:rPr>
                <w:szCs w:val="20"/>
              </w:rPr>
            </w:pPr>
            <w:r w:rsidRPr="00BC0E7E">
              <w:rPr>
                <w:szCs w:val="20"/>
              </w:rPr>
              <w:t>Uncommon</w:t>
            </w:r>
          </w:p>
          <w:p w14:paraId="7670B9C4" w14:textId="77777777" w:rsidR="00BC0E7E" w:rsidRPr="00BC0E7E" w:rsidRDefault="00BC0E7E" w:rsidP="00BC0E7E">
            <w:pPr>
              <w:widowControl w:val="0"/>
              <w:rPr>
                <w:szCs w:val="20"/>
              </w:rPr>
            </w:pPr>
          </w:p>
        </w:tc>
        <w:tc>
          <w:tcPr>
            <w:tcW w:w="4575" w:type="dxa"/>
          </w:tcPr>
          <w:p w14:paraId="5D938BAD" w14:textId="77777777" w:rsidR="00BC0E7E" w:rsidRPr="00BC0E7E" w:rsidRDefault="00944B8F" w:rsidP="00BC0E7E">
            <w:pPr>
              <w:widowControl w:val="0"/>
              <w:rPr>
                <w:szCs w:val="20"/>
              </w:rPr>
            </w:pPr>
            <w:r>
              <w:rPr>
                <w:szCs w:val="20"/>
              </w:rPr>
              <w:t>N</w:t>
            </w:r>
            <w:r w:rsidRPr="00BC0E7E">
              <w:rPr>
                <w:szCs w:val="20"/>
              </w:rPr>
              <w:t>octuria</w:t>
            </w:r>
          </w:p>
          <w:p w14:paraId="00624AA3" w14:textId="77777777" w:rsidR="00BC0E7E" w:rsidRPr="00BC0E7E" w:rsidRDefault="00BC0E7E" w:rsidP="00BC0E7E">
            <w:pPr>
              <w:widowControl w:val="0"/>
              <w:rPr>
                <w:szCs w:val="20"/>
              </w:rPr>
            </w:pPr>
          </w:p>
        </w:tc>
      </w:tr>
      <w:tr w:rsidR="00C6578C" w14:paraId="3710878F" w14:textId="77777777" w:rsidTr="00171601">
        <w:tc>
          <w:tcPr>
            <w:tcW w:w="2600" w:type="dxa"/>
          </w:tcPr>
          <w:p w14:paraId="0CE780DA" w14:textId="77777777" w:rsidR="00BC0E7E" w:rsidRPr="00BC0E7E" w:rsidRDefault="00944B8F" w:rsidP="00BC0E7E">
            <w:pPr>
              <w:widowControl w:val="0"/>
              <w:spacing w:before="60"/>
              <w:rPr>
                <w:szCs w:val="20"/>
              </w:rPr>
            </w:pPr>
            <w:r w:rsidRPr="00BC0E7E">
              <w:rPr>
                <w:szCs w:val="20"/>
              </w:rPr>
              <w:t>Reproductive system and breast disorders</w:t>
            </w:r>
          </w:p>
        </w:tc>
        <w:tc>
          <w:tcPr>
            <w:tcW w:w="2074" w:type="dxa"/>
          </w:tcPr>
          <w:p w14:paraId="2846D3CF" w14:textId="77777777" w:rsidR="00BC0E7E" w:rsidRPr="00BC0E7E" w:rsidRDefault="00944B8F" w:rsidP="00BC0E7E">
            <w:pPr>
              <w:widowControl w:val="0"/>
              <w:spacing w:before="60"/>
              <w:rPr>
                <w:szCs w:val="20"/>
              </w:rPr>
            </w:pPr>
            <w:r w:rsidRPr="00BC0E7E">
              <w:rPr>
                <w:szCs w:val="20"/>
              </w:rPr>
              <w:t>Uncommon</w:t>
            </w:r>
          </w:p>
        </w:tc>
        <w:tc>
          <w:tcPr>
            <w:tcW w:w="4575" w:type="dxa"/>
          </w:tcPr>
          <w:p w14:paraId="403870E9" w14:textId="77777777" w:rsidR="00BC0E7E" w:rsidRPr="00BC0E7E" w:rsidRDefault="00944B8F" w:rsidP="00BC0E7E">
            <w:pPr>
              <w:widowControl w:val="0"/>
              <w:spacing w:before="60"/>
              <w:rPr>
                <w:szCs w:val="20"/>
              </w:rPr>
            </w:pPr>
            <w:r>
              <w:rPr>
                <w:szCs w:val="20"/>
              </w:rPr>
              <w:t>E</w:t>
            </w:r>
            <w:r w:rsidRPr="00BC0E7E">
              <w:rPr>
                <w:szCs w:val="20"/>
              </w:rPr>
              <w:t>rectile dysfunction</w:t>
            </w:r>
          </w:p>
          <w:p w14:paraId="505063C6" w14:textId="77777777" w:rsidR="00BC0E7E" w:rsidRPr="00BC0E7E" w:rsidRDefault="00BC0E7E" w:rsidP="00BC0E7E">
            <w:pPr>
              <w:widowControl w:val="0"/>
              <w:spacing w:before="60"/>
              <w:rPr>
                <w:szCs w:val="20"/>
              </w:rPr>
            </w:pPr>
          </w:p>
        </w:tc>
      </w:tr>
      <w:tr w:rsidR="00C6578C" w14:paraId="7BD45DB9" w14:textId="77777777" w:rsidTr="000244DF">
        <w:tc>
          <w:tcPr>
            <w:tcW w:w="2600" w:type="dxa"/>
            <w:vMerge w:val="restart"/>
          </w:tcPr>
          <w:p w14:paraId="102D509E" w14:textId="77777777" w:rsidR="00BC0E7E" w:rsidRPr="00BC0E7E" w:rsidRDefault="00944B8F" w:rsidP="00BC0E7E">
            <w:pPr>
              <w:widowControl w:val="0"/>
              <w:spacing w:before="60"/>
              <w:rPr>
                <w:szCs w:val="20"/>
              </w:rPr>
            </w:pPr>
            <w:r w:rsidRPr="00BC0E7E">
              <w:rPr>
                <w:szCs w:val="20"/>
              </w:rPr>
              <w:t>General disorders and administration site conditions*</w:t>
            </w:r>
          </w:p>
        </w:tc>
        <w:tc>
          <w:tcPr>
            <w:tcW w:w="2074" w:type="dxa"/>
          </w:tcPr>
          <w:p w14:paraId="357A84CE" w14:textId="77777777" w:rsidR="00BC0E7E" w:rsidRPr="00BC0E7E" w:rsidRDefault="00944B8F" w:rsidP="00BC0E7E">
            <w:pPr>
              <w:widowControl w:val="0"/>
              <w:spacing w:before="60"/>
              <w:rPr>
                <w:szCs w:val="20"/>
              </w:rPr>
            </w:pPr>
            <w:r w:rsidRPr="00BC0E7E">
              <w:rPr>
                <w:szCs w:val="20"/>
              </w:rPr>
              <w:t>Very Common</w:t>
            </w:r>
          </w:p>
          <w:p w14:paraId="3845B0A6" w14:textId="77777777" w:rsidR="00BC0E7E" w:rsidRPr="00BC0E7E" w:rsidRDefault="00BC0E7E" w:rsidP="00BC0E7E">
            <w:pPr>
              <w:widowControl w:val="0"/>
              <w:spacing w:before="60"/>
              <w:rPr>
                <w:szCs w:val="20"/>
              </w:rPr>
            </w:pPr>
          </w:p>
        </w:tc>
        <w:tc>
          <w:tcPr>
            <w:tcW w:w="4575" w:type="dxa"/>
          </w:tcPr>
          <w:p w14:paraId="649693AA" w14:textId="77777777" w:rsidR="00BC0E7E" w:rsidRPr="00BC0E7E" w:rsidRDefault="00944B8F" w:rsidP="00BC0E7E">
            <w:pPr>
              <w:widowControl w:val="0"/>
              <w:spacing w:before="60"/>
              <w:rPr>
                <w:szCs w:val="20"/>
              </w:rPr>
            </w:pPr>
            <w:r>
              <w:rPr>
                <w:szCs w:val="20"/>
              </w:rPr>
              <w:t>I</w:t>
            </w:r>
            <w:r w:rsidRPr="00BC0E7E">
              <w:rPr>
                <w:szCs w:val="20"/>
              </w:rPr>
              <w:t>njection site reaction (including injection site erythema)</w:t>
            </w:r>
          </w:p>
          <w:p w14:paraId="7FABC5E8" w14:textId="77777777" w:rsidR="00BC0E7E" w:rsidRPr="00BC0E7E" w:rsidRDefault="00BC0E7E" w:rsidP="00BC0E7E">
            <w:pPr>
              <w:widowControl w:val="0"/>
              <w:spacing w:before="60"/>
              <w:rPr>
                <w:szCs w:val="20"/>
              </w:rPr>
            </w:pPr>
          </w:p>
        </w:tc>
      </w:tr>
      <w:tr w:rsidR="00C6578C" w14:paraId="4D6D2607" w14:textId="77777777" w:rsidTr="000244DF">
        <w:tc>
          <w:tcPr>
            <w:tcW w:w="2600" w:type="dxa"/>
            <w:vMerge/>
          </w:tcPr>
          <w:p w14:paraId="1D1C7992" w14:textId="77777777" w:rsidR="00BC0E7E" w:rsidRPr="00BC0E7E" w:rsidRDefault="00BC0E7E" w:rsidP="00BC0E7E">
            <w:pPr>
              <w:widowControl w:val="0"/>
              <w:spacing w:before="60"/>
              <w:jc w:val="center"/>
              <w:rPr>
                <w:b/>
              </w:rPr>
            </w:pPr>
          </w:p>
        </w:tc>
        <w:tc>
          <w:tcPr>
            <w:tcW w:w="2074" w:type="dxa"/>
          </w:tcPr>
          <w:p w14:paraId="68709726" w14:textId="77777777" w:rsidR="00BC0E7E" w:rsidRPr="00BC0E7E" w:rsidRDefault="00944B8F" w:rsidP="00BC0E7E">
            <w:pPr>
              <w:widowControl w:val="0"/>
              <w:rPr>
                <w:szCs w:val="20"/>
              </w:rPr>
            </w:pPr>
            <w:r w:rsidRPr="00BC0E7E">
              <w:rPr>
                <w:szCs w:val="20"/>
              </w:rPr>
              <w:t>Common</w:t>
            </w:r>
          </w:p>
          <w:p w14:paraId="42638716" w14:textId="77777777" w:rsidR="00BC0E7E" w:rsidRPr="00BC0E7E" w:rsidRDefault="00BC0E7E" w:rsidP="00BC0E7E">
            <w:pPr>
              <w:widowControl w:val="0"/>
              <w:rPr>
                <w:szCs w:val="20"/>
              </w:rPr>
            </w:pPr>
          </w:p>
        </w:tc>
        <w:tc>
          <w:tcPr>
            <w:tcW w:w="4575" w:type="dxa"/>
          </w:tcPr>
          <w:p w14:paraId="7F42419D" w14:textId="77777777" w:rsidR="00BC0E7E" w:rsidRPr="00BC0E7E" w:rsidRDefault="00944B8F" w:rsidP="00BC0E7E">
            <w:pPr>
              <w:widowControl w:val="0"/>
              <w:rPr>
                <w:szCs w:val="20"/>
              </w:rPr>
            </w:pPr>
            <w:r>
              <w:rPr>
                <w:szCs w:val="20"/>
              </w:rPr>
              <w:t>C</w:t>
            </w:r>
            <w:r w:rsidRPr="00BC0E7E">
              <w:rPr>
                <w:szCs w:val="20"/>
              </w:rPr>
              <w:t xml:space="preserve">hest pain, </w:t>
            </w:r>
          </w:p>
          <w:p w14:paraId="2BDC1015" w14:textId="77777777" w:rsidR="00BC0E7E" w:rsidRPr="00BC0E7E" w:rsidRDefault="00944B8F" w:rsidP="00BC0E7E">
            <w:pPr>
              <w:widowControl w:val="0"/>
              <w:rPr>
                <w:szCs w:val="20"/>
              </w:rPr>
            </w:pPr>
            <w:r w:rsidRPr="00BC0E7E">
              <w:rPr>
                <w:szCs w:val="20"/>
              </w:rPr>
              <w:t>oedema,</w:t>
            </w:r>
          </w:p>
          <w:p w14:paraId="3461CCC6" w14:textId="77777777" w:rsidR="00BC0E7E" w:rsidRPr="00BC0E7E" w:rsidRDefault="00944B8F" w:rsidP="00BC0E7E">
            <w:pPr>
              <w:widowControl w:val="0"/>
              <w:rPr>
                <w:szCs w:val="20"/>
              </w:rPr>
            </w:pPr>
            <w:r w:rsidRPr="00BC0E7E">
              <w:rPr>
                <w:szCs w:val="20"/>
              </w:rPr>
              <w:t>pyrexia</w:t>
            </w:r>
            <w:r w:rsidRPr="00BC0E7E">
              <w:rPr>
                <w:szCs w:val="20"/>
                <w:vertAlign w:val="superscript"/>
              </w:rPr>
              <w:t>1)</w:t>
            </w:r>
          </w:p>
          <w:p w14:paraId="26F984EC" w14:textId="77777777" w:rsidR="00BC0E7E" w:rsidRPr="00BC0E7E" w:rsidRDefault="00BC0E7E" w:rsidP="00BC0E7E">
            <w:pPr>
              <w:widowControl w:val="0"/>
              <w:rPr>
                <w:szCs w:val="20"/>
              </w:rPr>
            </w:pPr>
          </w:p>
        </w:tc>
      </w:tr>
      <w:tr w:rsidR="00C6578C" w14:paraId="290E530F" w14:textId="77777777" w:rsidTr="000244DF">
        <w:tc>
          <w:tcPr>
            <w:tcW w:w="2600" w:type="dxa"/>
            <w:vMerge/>
          </w:tcPr>
          <w:p w14:paraId="6F58C1A4" w14:textId="77777777" w:rsidR="00BC0E7E" w:rsidRPr="00BC0E7E" w:rsidRDefault="00BC0E7E" w:rsidP="00BC0E7E">
            <w:pPr>
              <w:widowControl w:val="0"/>
              <w:spacing w:before="60"/>
              <w:jc w:val="center"/>
              <w:rPr>
                <w:b/>
              </w:rPr>
            </w:pPr>
          </w:p>
        </w:tc>
        <w:tc>
          <w:tcPr>
            <w:tcW w:w="2074" w:type="dxa"/>
          </w:tcPr>
          <w:p w14:paraId="3B09AE62" w14:textId="77777777" w:rsidR="00BC0E7E" w:rsidRPr="00BC0E7E" w:rsidRDefault="00944B8F" w:rsidP="00BC0E7E">
            <w:pPr>
              <w:widowControl w:val="0"/>
              <w:rPr>
                <w:szCs w:val="20"/>
              </w:rPr>
            </w:pPr>
            <w:r w:rsidRPr="00BC0E7E">
              <w:rPr>
                <w:szCs w:val="20"/>
              </w:rPr>
              <w:t>Uncommon</w:t>
            </w:r>
          </w:p>
          <w:p w14:paraId="7D73BE8A" w14:textId="77777777" w:rsidR="00BC0E7E" w:rsidRPr="00BC0E7E" w:rsidRDefault="00BC0E7E" w:rsidP="00BC0E7E">
            <w:pPr>
              <w:widowControl w:val="0"/>
              <w:rPr>
                <w:szCs w:val="20"/>
              </w:rPr>
            </w:pPr>
          </w:p>
        </w:tc>
        <w:tc>
          <w:tcPr>
            <w:tcW w:w="4575" w:type="dxa"/>
          </w:tcPr>
          <w:p w14:paraId="5C61A546" w14:textId="77777777" w:rsidR="00BC0E7E" w:rsidRPr="00BC0E7E" w:rsidRDefault="00944B8F" w:rsidP="00BC0E7E">
            <w:pPr>
              <w:widowControl w:val="0"/>
              <w:rPr>
                <w:szCs w:val="20"/>
              </w:rPr>
            </w:pPr>
            <w:r>
              <w:rPr>
                <w:szCs w:val="20"/>
              </w:rPr>
              <w:t>I</w:t>
            </w:r>
            <w:r w:rsidRPr="00BC0E7E">
              <w:rPr>
                <w:szCs w:val="20"/>
              </w:rPr>
              <w:t>nflammation</w:t>
            </w:r>
          </w:p>
        </w:tc>
      </w:tr>
      <w:tr w:rsidR="00C6578C" w14:paraId="770114E1" w14:textId="77777777" w:rsidTr="00171601">
        <w:tc>
          <w:tcPr>
            <w:tcW w:w="2600" w:type="dxa"/>
            <w:vMerge w:val="restart"/>
          </w:tcPr>
          <w:p w14:paraId="25953E1E" w14:textId="77777777" w:rsidR="00693052" w:rsidRPr="00BC0E7E" w:rsidRDefault="00944B8F" w:rsidP="00BC0E7E">
            <w:pPr>
              <w:widowControl w:val="0"/>
              <w:spacing w:before="60"/>
              <w:rPr>
                <w:szCs w:val="20"/>
              </w:rPr>
            </w:pPr>
            <w:r w:rsidRPr="00BC0E7E">
              <w:rPr>
                <w:szCs w:val="20"/>
              </w:rPr>
              <w:t>Investigations*</w:t>
            </w:r>
          </w:p>
        </w:tc>
        <w:tc>
          <w:tcPr>
            <w:tcW w:w="2074" w:type="dxa"/>
          </w:tcPr>
          <w:p w14:paraId="697CCC4E" w14:textId="77777777" w:rsidR="00693052" w:rsidRPr="00BC0E7E" w:rsidRDefault="00944B8F" w:rsidP="00BC0E7E">
            <w:pPr>
              <w:widowControl w:val="0"/>
              <w:spacing w:before="60"/>
              <w:rPr>
                <w:szCs w:val="20"/>
              </w:rPr>
            </w:pPr>
            <w:r w:rsidRPr="00BC0E7E">
              <w:rPr>
                <w:szCs w:val="20"/>
              </w:rPr>
              <w:t>Common</w:t>
            </w:r>
          </w:p>
        </w:tc>
        <w:tc>
          <w:tcPr>
            <w:tcW w:w="4575" w:type="dxa"/>
          </w:tcPr>
          <w:p w14:paraId="73B6AA25" w14:textId="77777777" w:rsidR="00693052" w:rsidRPr="00BC0E7E" w:rsidRDefault="00944B8F" w:rsidP="00BC0E7E">
            <w:pPr>
              <w:widowControl w:val="0"/>
              <w:spacing w:before="60"/>
              <w:rPr>
                <w:szCs w:val="20"/>
              </w:rPr>
            </w:pPr>
            <w:r>
              <w:rPr>
                <w:szCs w:val="20"/>
              </w:rPr>
              <w:t>C</w:t>
            </w:r>
            <w:r w:rsidRPr="00BC0E7E">
              <w:rPr>
                <w:szCs w:val="20"/>
              </w:rPr>
              <w:t xml:space="preserve">oagulation and bleeding disorders (including activated partial thromboplastin time prolonged), </w:t>
            </w:r>
          </w:p>
          <w:p w14:paraId="41AA372A" w14:textId="77777777" w:rsidR="00693052" w:rsidRPr="00BC0E7E" w:rsidRDefault="00944B8F" w:rsidP="00BC0E7E">
            <w:pPr>
              <w:widowControl w:val="0"/>
              <w:spacing w:before="60"/>
              <w:rPr>
                <w:szCs w:val="20"/>
              </w:rPr>
            </w:pPr>
            <w:r w:rsidRPr="00BC0E7E">
              <w:rPr>
                <w:szCs w:val="20"/>
              </w:rPr>
              <w:t xml:space="preserve">autoantibody test positive (including double stranded DNA antibody), </w:t>
            </w:r>
          </w:p>
          <w:p w14:paraId="3A132B7D" w14:textId="77777777" w:rsidR="00693052" w:rsidRPr="00BC0E7E" w:rsidRDefault="00944B8F" w:rsidP="00BC0E7E">
            <w:pPr>
              <w:widowControl w:val="0"/>
              <w:spacing w:before="60"/>
              <w:rPr>
                <w:szCs w:val="20"/>
              </w:rPr>
            </w:pPr>
            <w:r w:rsidRPr="00BC0E7E">
              <w:rPr>
                <w:szCs w:val="20"/>
              </w:rPr>
              <w:lastRenderedPageBreak/>
              <w:t>blood lactate dehydrogenase increased</w:t>
            </w:r>
          </w:p>
          <w:p w14:paraId="0C781D1A" w14:textId="77777777" w:rsidR="00693052" w:rsidRPr="00BC0E7E" w:rsidRDefault="00693052" w:rsidP="00BC0E7E">
            <w:pPr>
              <w:widowControl w:val="0"/>
              <w:spacing w:before="60"/>
              <w:rPr>
                <w:szCs w:val="20"/>
              </w:rPr>
            </w:pPr>
          </w:p>
        </w:tc>
      </w:tr>
      <w:tr w:rsidR="00C6578C" w14:paraId="0F17720A" w14:textId="77777777" w:rsidTr="00171601">
        <w:tc>
          <w:tcPr>
            <w:tcW w:w="2600" w:type="dxa"/>
            <w:vMerge/>
          </w:tcPr>
          <w:p w14:paraId="7F8B02E8" w14:textId="77777777" w:rsidR="00693052" w:rsidRPr="00BC0E7E" w:rsidRDefault="00693052" w:rsidP="00693052">
            <w:pPr>
              <w:widowControl w:val="0"/>
              <w:spacing w:before="60"/>
              <w:rPr>
                <w:szCs w:val="20"/>
              </w:rPr>
            </w:pPr>
          </w:p>
        </w:tc>
        <w:tc>
          <w:tcPr>
            <w:tcW w:w="2074" w:type="dxa"/>
          </w:tcPr>
          <w:p w14:paraId="12FB7233" w14:textId="77777777" w:rsidR="00693052" w:rsidRPr="00BC0E7E" w:rsidRDefault="00944B8F" w:rsidP="00693052">
            <w:pPr>
              <w:widowControl w:val="0"/>
              <w:spacing w:before="60"/>
              <w:rPr>
                <w:szCs w:val="20"/>
              </w:rPr>
            </w:pPr>
            <w:r>
              <w:rPr>
                <w:szCs w:val="20"/>
              </w:rPr>
              <w:t>Not known</w:t>
            </w:r>
          </w:p>
        </w:tc>
        <w:tc>
          <w:tcPr>
            <w:tcW w:w="4575" w:type="dxa"/>
          </w:tcPr>
          <w:p w14:paraId="5358C201" w14:textId="77777777" w:rsidR="00693052" w:rsidRDefault="00944B8F" w:rsidP="00693052">
            <w:pPr>
              <w:widowControl w:val="0"/>
              <w:spacing w:before="60"/>
              <w:rPr>
                <w:szCs w:val="20"/>
              </w:rPr>
            </w:pPr>
            <w:r>
              <w:rPr>
                <w:szCs w:val="20"/>
              </w:rPr>
              <w:t>Weight increased</w:t>
            </w:r>
            <w:r w:rsidRPr="00D70FFA">
              <w:rPr>
                <w:vertAlign w:val="superscript"/>
              </w:rPr>
              <w:t>2)</w:t>
            </w:r>
          </w:p>
        </w:tc>
      </w:tr>
      <w:tr w:rsidR="00C6578C" w14:paraId="52AE4BEE" w14:textId="77777777" w:rsidTr="00171601">
        <w:tc>
          <w:tcPr>
            <w:tcW w:w="2600" w:type="dxa"/>
          </w:tcPr>
          <w:p w14:paraId="117E9CAA" w14:textId="77777777" w:rsidR="00693052" w:rsidRPr="00BC0E7E" w:rsidRDefault="00944B8F" w:rsidP="00693052">
            <w:pPr>
              <w:widowControl w:val="0"/>
              <w:spacing w:before="60"/>
              <w:rPr>
                <w:szCs w:val="20"/>
              </w:rPr>
            </w:pPr>
            <w:r w:rsidRPr="00BC0E7E">
              <w:rPr>
                <w:szCs w:val="20"/>
              </w:rPr>
              <w:t>Injury, poisoning and procedural complications</w:t>
            </w:r>
          </w:p>
        </w:tc>
        <w:tc>
          <w:tcPr>
            <w:tcW w:w="2074" w:type="dxa"/>
          </w:tcPr>
          <w:p w14:paraId="414CCD9F" w14:textId="77777777" w:rsidR="00693052" w:rsidRPr="00BC0E7E" w:rsidRDefault="00944B8F" w:rsidP="00693052">
            <w:pPr>
              <w:widowControl w:val="0"/>
              <w:spacing w:before="60"/>
              <w:rPr>
                <w:szCs w:val="20"/>
              </w:rPr>
            </w:pPr>
            <w:r w:rsidRPr="00BC0E7E">
              <w:rPr>
                <w:szCs w:val="20"/>
              </w:rPr>
              <w:t>Common</w:t>
            </w:r>
          </w:p>
        </w:tc>
        <w:tc>
          <w:tcPr>
            <w:tcW w:w="4575" w:type="dxa"/>
          </w:tcPr>
          <w:p w14:paraId="3A791884" w14:textId="77777777" w:rsidR="00693052" w:rsidRPr="00BC0E7E" w:rsidRDefault="00944B8F" w:rsidP="00693052">
            <w:pPr>
              <w:widowControl w:val="0"/>
              <w:spacing w:before="60"/>
              <w:rPr>
                <w:szCs w:val="20"/>
              </w:rPr>
            </w:pPr>
            <w:r>
              <w:rPr>
                <w:szCs w:val="20"/>
              </w:rPr>
              <w:t>I</w:t>
            </w:r>
            <w:r w:rsidRPr="00BC0E7E">
              <w:rPr>
                <w:szCs w:val="20"/>
              </w:rPr>
              <w:t>mpaired healing</w:t>
            </w:r>
          </w:p>
        </w:tc>
      </w:tr>
    </w:tbl>
    <w:p w14:paraId="03A3CA59" w14:textId="77777777" w:rsidR="00BC0E7E" w:rsidRPr="00BC0E7E" w:rsidRDefault="00BC0E7E" w:rsidP="00BC0E7E">
      <w:pPr>
        <w:rPr>
          <w:sz w:val="20"/>
        </w:rPr>
      </w:pPr>
    </w:p>
    <w:p w14:paraId="3D96667D" w14:textId="77777777" w:rsidR="00BC0E7E" w:rsidRPr="00BC0E7E" w:rsidRDefault="00944B8F" w:rsidP="00BC0E7E">
      <w:r w:rsidRPr="00BC0E7E">
        <w:t>* further information is found elsewhere in sections 4.3, 4.4 and 4.8</w:t>
      </w:r>
    </w:p>
    <w:p w14:paraId="4DE69F0D" w14:textId="77777777" w:rsidR="00BC0E7E" w:rsidRPr="00BC0E7E" w:rsidRDefault="00944B8F" w:rsidP="00BC0E7E">
      <w:pPr>
        <w:rPr>
          <w:szCs w:val="22"/>
        </w:rPr>
      </w:pPr>
      <w:r w:rsidRPr="00BC0E7E">
        <w:rPr>
          <w:szCs w:val="20"/>
        </w:rPr>
        <w:t>** including open label extension stu</w:t>
      </w:r>
      <w:r w:rsidRPr="00BC0E7E">
        <w:rPr>
          <w:szCs w:val="22"/>
        </w:rPr>
        <w:t>dies</w:t>
      </w:r>
    </w:p>
    <w:p w14:paraId="2370A72B" w14:textId="77777777" w:rsidR="00BC0E7E" w:rsidRPr="00BC0E7E" w:rsidRDefault="00944B8F" w:rsidP="00BC0E7E">
      <w:pPr>
        <w:rPr>
          <w:szCs w:val="22"/>
        </w:rPr>
      </w:pPr>
      <w:r w:rsidRPr="00BC0E7E">
        <w:rPr>
          <w:szCs w:val="22"/>
          <w:vertAlign w:val="superscript"/>
        </w:rPr>
        <w:t>1)</w:t>
      </w:r>
      <w:r w:rsidRPr="00BC0E7E">
        <w:rPr>
          <w:szCs w:val="22"/>
        </w:rPr>
        <w:t xml:space="preserve"> including spontaneous reporting data</w:t>
      </w:r>
    </w:p>
    <w:p w14:paraId="33C9D03F" w14:textId="77777777" w:rsidR="00693052" w:rsidRPr="009F76D2" w:rsidRDefault="00944B8F" w:rsidP="00693052">
      <w:pPr>
        <w:rPr>
          <w:szCs w:val="22"/>
        </w:rPr>
      </w:pPr>
      <w:r w:rsidRPr="00D70FFA">
        <w:rPr>
          <w:vertAlign w:val="superscript"/>
        </w:rPr>
        <w:t>2) </w:t>
      </w:r>
      <w:r w:rsidR="00E05C80" w:rsidRPr="00693052">
        <w:t>The mean weight change from baseline for adalimumab ranged from 0.3</w:t>
      </w:r>
      <w:r w:rsidR="00E05C80">
        <w:t> </w:t>
      </w:r>
      <w:r w:rsidR="00E05C80" w:rsidRPr="00693052">
        <w:t>kg to 1.0</w:t>
      </w:r>
      <w:r w:rsidR="00E05C80">
        <w:t> </w:t>
      </w:r>
      <w:r w:rsidR="00E05C80" w:rsidRPr="00693052">
        <w:t>kg across adult indications compared to (minus) -0.4</w:t>
      </w:r>
      <w:r w:rsidR="00E05C80">
        <w:t> </w:t>
      </w:r>
      <w:r w:rsidR="00E05C80" w:rsidRPr="00693052">
        <w:t>kg to 0.4</w:t>
      </w:r>
      <w:r w:rsidR="00E05C80">
        <w:t> </w:t>
      </w:r>
      <w:r w:rsidR="00E05C80" w:rsidRPr="00693052">
        <w:t>kg for placebo over a treatment period of 4-6 months. Weight increase of 5-6</w:t>
      </w:r>
      <w:r w:rsidR="00E05C80">
        <w:t> </w:t>
      </w:r>
      <w:r w:rsidR="00E05C80" w:rsidRPr="00693052">
        <w:t>kg has also been observed</w:t>
      </w:r>
      <w:r w:rsidR="00E05C80">
        <w:t xml:space="preserve"> in long-term extension studies with mean exposures of approximately 1-2 years without control group,</w:t>
      </w:r>
      <w:r w:rsidR="00E05C80" w:rsidRPr="00693052">
        <w:t xml:space="preserve"> particularly in patients with Crohn’s disease and U</w:t>
      </w:r>
      <w:r w:rsidR="00E05C80" w:rsidRPr="00530CA3">
        <w:t>l</w:t>
      </w:r>
      <w:r w:rsidR="00E05C80" w:rsidRPr="00693052">
        <w:t>cerative colitis. The mechanism behind this effect is unclear but could be associated with the anti</w:t>
      </w:r>
      <w:r w:rsidR="00E05C80">
        <w:noBreakHyphen/>
      </w:r>
      <w:r w:rsidR="00E05C80" w:rsidRPr="00693052">
        <w:t>inflammatory effect of adalimumab.</w:t>
      </w:r>
    </w:p>
    <w:p w14:paraId="6046E07E" w14:textId="77777777" w:rsidR="00BC0E7E" w:rsidRPr="00BC0E7E" w:rsidRDefault="00BC0E7E" w:rsidP="00BC0E7E">
      <w:pPr>
        <w:rPr>
          <w:szCs w:val="22"/>
        </w:rPr>
      </w:pPr>
    </w:p>
    <w:p w14:paraId="1A1F3949" w14:textId="77777777" w:rsidR="00BC0E7E" w:rsidRPr="00BC0E7E" w:rsidRDefault="00944B8F" w:rsidP="00BC0E7E">
      <w:pPr>
        <w:rPr>
          <w:szCs w:val="22"/>
          <w:u w:val="single"/>
        </w:rPr>
      </w:pPr>
      <w:r w:rsidRPr="00BC0E7E">
        <w:rPr>
          <w:szCs w:val="22"/>
          <w:u w:val="single"/>
        </w:rPr>
        <w:t>Hidradenitis suppurativa</w:t>
      </w:r>
    </w:p>
    <w:p w14:paraId="3AE5747F" w14:textId="77777777" w:rsidR="00BC0E7E" w:rsidRPr="00BC0E7E" w:rsidRDefault="00BC0E7E" w:rsidP="00BC0E7E">
      <w:pPr>
        <w:rPr>
          <w:szCs w:val="22"/>
        </w:rPr>
      </w:pPr>
    </w:p>
    <w:p w14:paraId="0FB2F0D9" w14:textId="77777777" w:rsidR="00BC0E7E" w:rsidRPr="00BC0E7E" w:rsidRDefault="00944B8F" w:rsidP="00BC0E7E">
      <w:pPr>
        <w:rPr>
          <w:szCs w:val="22"/>
        </w:rPr>
      </w:pPr>
      <w:r w:rsidRPr="00BC0E7E">
        <w:rPr>
          <w:szCs w:val="22"/>
        </w:rPr>
        <w:t>The safety profile for patients with HS treated with Humira weekly was consistent with the known safety profile of Humira.</w:t>
      </w:r>
    </w:p>
    <w:p w14:paraId="5ECE7DF6" w14:textId="77777777" w:rsidR="00BC0E7E" w:rsidRPr="00BC0E7E" w:rsidRDefault="00BC0E7E" w:rsidP="00BC0E7E">
      <w:pPr>
        <w:rPr>
          <w:szCs w:val="22"/>
          <w:u w:val="single"/>
        </w:rPr>
      </w:pPr>
    </w:p>
    <w:p w14:paraId="32C32AFF" w14:textId="77777777" w:rsidR="00BC0E7E" w:rsidRPr="00BC0E7E" w:rsidRDefault="00944B8F" w:rsidP="00BC0E7E">
      <w:pPr>
        <w:rPr>
          <w:szCs w:val="22"/>
          <w:u w:val="single"/>
        </w:rPr>
      </w:pPr>
      <w:r w:rsidRPr="00BC0E7E">
        <w:rPr>
          <w:szCs w:val="22"/>
          <w:u w:val="single"/>
        </w:rPr>
        <w:t>Uveitis</w:t>
      </w:r>
    </w:p>
    <w:p w14:paraId="0455504F" w14:textId="77777777" w:rsidR="00BC0E7E" w:rsidRPr="00BC0E7E" w:rsidRDefault="00BC0E7E" w:rsidP="00BC0E7E">
      <w:pPr>
        <w:rPr>
          <w:szCs w:val="22"/>
          <w:u w:val="single"/>
        </w:rPr>
      </w:pPr>
    </w:p>
    <w:p w14:paraId="57F687BE" w14:textId="77777777" w:rsidR="00BC0E7E" w:rsidRPr="00BC0E7E" w:rsidRDefault="00944B8F" w:rsidP="00BC0E7E">
      <w:pPr>
        <w:rPr>
          <w:szCs w:val="22"/>
        </w:rPr>
      </w:pPr>
      <w:r w:rsidRPr="00BC0E7E">
        <w:rPr>
          <w:szCs w:val="22"/>
        </w:rPr>
        <w:t>The safety profile for patients with uveitis treated with Humira every other week was consistent with the known safety profile of Humira.</w:t>
      </w:r>
    </w:p>
    <w:p w14:paraId="27C261D6" w14:textId="77777777" w:rsidR="00BC0E7E" w:rsidRPr="00BC0E7E" w:rsidRDefault="00BC0E7E" w:rsidP="00BC0E7E">
      <w:pPr>
        <w:rPr>
          <w:szCs w:val="22"/>
        </w:rPr>
      </w:pPr>
    </w:p>
    <w:p w14:paraId="6730121A" w14:textId="77777777" w:rsidR="00BC0E7E" w:rsidRPr="00BC0E7E" w:rsidRDefault="00944B8F" w:rsidP="00BC0E7E">
      <w:pPr>
        <w:rPr>
          <w:szCs w:val="20"/>
          <w:u w:val="single"/>
        </w:rPr>
      </w:pPr>
      <w:r w:rsidRPr="00BC0E7E">
        <w:rPr>
          <w:szCs w:val="20"/>
          <w:u w:val="single"/>
        </w:rPr>
        <w:t>Description of selected adverse reactions</w:t>
      </w:r>
    </w:p>
    <w:p w14:paraId="3A335499" w14:textId="77777777" w:rsidR="00BC0E7E" w:rsidRPr="00BC0E7E" w:rsidRDefault="00BC0E7E" w:rsidP="00BC0E7E">
      <w:pPr>
        <w:rPr>
          <w:szCs w:val="20"/>
        </w:rPr>
      </w:pPr>
    </w:p>
    <w:p w14:paraId="5E4153A9" w14:textId="77777777" w:rsidR="00BC0E7E" w:rsidRPr="00BC0E7E" w:rsidRDefault="00944B8F" w:rsidP="00BC0E7E">
      <w:pPr>
        <w:rPr>
          <w:i/>
          <w:szCs w:val="20"/>
        </w:rPr>
      </w:pPr>
      <w:r w:rsidRPr="00BC0E7E">
        <w:rPr>
          <w:i/>
          <w:szCs w:val="20"/>
        </w:rPr>
        <w:t>Injection site reactions</w:t>
      </w:r>
    </w:p>
    <w:p w14:paraId="0B3371AF" w14:textId="77777777" w:rsidR="00BC0E7E" w:rsidRPr="00BC0E7E" w:rsidRDefault="00BC0E7E" w:rsidP="00BC0E7E">
      <w:pPr>
        <w:rPr>
          <w:szCs w:val="20"/>
        </w:rPr>
      </w:pPr>
    </w:p>
    <w:p w14:paraId="4F9D00A5" w14:textId="77777777" w:rsidR="00BC0E7E" w:rsidRPr="00BC0E7E" w:rsidRDefault="00944B8F" w:rsidP="00BC0E7E">
      <w:pPr>
        <w:tabs>
          <w:tab w:val="clear" w:pos="562"/>
        </w:tabs>
      </w:pPr>
      <w:r w:rsidRPr="00BC0E7E">
        <w:t>In the pivotal controlled trials in adults and children, 12.9% of patients treated with Humira developed injection site reactions (erythema and/or itching, haemorrhage, pain or swelling), compared to 7.2% of patients receiving placebo or active control. Injection site reactions generally did not necessitate discontinuation of the medicinal product.</w:t>
      </w:r>
    </w:p>
    <w:p w14:paraId="552E8B03" w14:textId="77777777" w:rsidR="00BC0E7E" w:rsidRPr="00BC0E7E" w:rsidRDefault="00BC0E7E" w:rsidP="00BC0E7E">
      <w:pPr>
        <w:tabs>
          <w:tab w:val="clear" w:pos="562"/>
        </w:tabs>
      </w:pPr>
    </w:p>
    <w:p w14:paraId="7597E075" w14:textId="77777777" w:rsidR="00BC0E7E" w:rsidRPr="00BC0E7E" w:rsidRDefault="00944B8F" w:rsidP="00BC0E7E">
      <w:pPr>
        <w:rPr>
          <w:i/>
          <w:szCs w:val="20"/>
        </w:rPr>
      </w:pPr>
      <w:r w:rsidRPr="00BC0E7E">
        <w:rPr>
          <w:i/>
          <w:szCs w:val="20"/>
        </w:rPr>
        <w:t xml:space="preserve">Infections </w:t>
      </w:r>
    </w:p>
    <w:p w14:paraId="5E8AD7B2" w14:textId="77777777" w:rsidR="00BC0E7E" w:rsidRPr="00BC0E7E" w:rsidRDefault="00BC0E7E" w:rsidP="00BC0E7E">
      <w:pPr>
        <w:rPr>
          <w:szCs w:val="20"/>
        </w:rPr>
      </w:pPr>
    </w:p>
    <w:p w14:paraId="0F81B6C9" w14:textId="77777777" w:rsidR="00BC0E7E" w:rsidRPr="00BC0E7E" w:rsidRDefault="00944B8F" w:rsidP="00BC0E7E">
      <w:r w:rsidRPr="00BC0E7E">
        <w:t>In the pivotal controlled trials in adults and children, the rate of infection was 1.51 per patient year in the Humira treated patients and 1.46 per patient year in the placebo and active control</w:t>
      </w:r>
      <w:r w:rsidRPr="00BC0E7E">
        <w:noBreakHyphen/>
        <w:t xml:space="preserve">treated patients. The infections consisted primarily of </w:t>
      </w:r>
      <w:r w:rsidRPr="00BC0E7E">
        <w:rPr>
          <w:szCs w:val="20"/>
        </w:rPr>
        <w:t>nasopharyngitis, upper respiratory tract infection, and sinusitis.</w:t>
      </w:r>
      <w:r w:rsidRPr="00BC0E7E">
        <w:t xml:space="preserve"> Most patients continued on Humira after the infection resolved.  </w:t>
      </w:r>
    </w:p>
    <w:p w14:paraId="7E4DFECE" w14:textId="77777777" w:rsidR="00BC0E7E" w:rsidRPr="00BC0E7E" w:rsidRDefault="00BC0E7E" w:rsidP="00BC0E7E"/>
    <w:p w14:paraId="1135111C" w14:textId="77777777" w:rsidR="00BC0E7E" w:rsidRPr="00BC0E7E" w:rsidRDefault="00944B8F" w:rsidP="00BC0E7E">
      <w:r w:rsidRPr="00BC0E7E">
        <w:t xml:space="preserve">The incidence of serious infections was 0.04 per patient year in Humira treated patients and 0.03 per patient year in placebo and active control − treated patients.  </w:t>
      </w:r>
    </w:p>
    <w:p w14:paraId="3BDE24C8" w14:textId="77777777" w:rsidR="00BC0E7E" w:rsidRPr="00BC0E7E" w:rsidRDefault="00BC0E7E" w:rsidP="00BC0E7E"/>
    <w:p w14:paraId="5435DCAE" w14:textId="77777777" w:rsidR="00BC0E7E" w:rsidRPr="00BC0E7E" w:rsidRDefault="00944B8F" w:rsidP="00BC0E7E">
      <w:r w:rsidRPr="00BC0E7E">
        <w:t xml:space="preserve">In controlled and open label adult and paediatric studies with Humira, serious infections (including fatal infections, which occurred rarely) have been reported, which include reports of tuberculosis (including miliary and extra-pulmonary locations) and invasive opportunistic infections (e.g. disseminated </w:t>
      </w:r>
      <w:r w:rsidRPr="00BC0E7E">
        <w:rPr>
          <w:u w:color="0000FF"/>
        </w:rPr>
        <w:t>or extrapulmonary</w:t>
      </w:r>
      <w:r w:rsidRPr="00BC0E7E">
        <w:t xml:space="preserve"> histoplasmosis, </w:t>
      </w:r>
      <w:r w:rsidRPr="00BC0E7E">
        <w:rPr>
          <w:u w:color="0000FF"/>
        </w:rPr>
        <w:t>blastomycosis, coccidioidomycosis, pneumocystis,</w:t>
      </w:r>
      <w:r w:rsidRPr="00BC0E7E">
        <w:t xml:space="preserve"> </w:t>
      </w:r>
      <w:r w:rsidRPr="00BC0E7E">
        <w:rPr>
          <w:u w:color="0000FF"/>
        </w:rPr>
        <w:t>candidiasis</w:t>
      </w:r>
      <w:r w:rsidRPr="00BC0E7E">
        <w:t xml:space="preserve">, </w:t>
      </w:r>
      <w:r w:rsidRPr="00BC0E7E">
        <w:lastRenderedPageBreak/>
        <w:t>aspergillosis and listeriosis). Most of the cases of tuberculosis occurred within the first eight months after initiation of therapy and may reflect recrudescence of latent disease.</w:t>
      </w:r>
    </w:p>
    <w:p w14:paraId="315FD8C0" w14:textId="77777777" w:rsidR="00BC0E7E" w:rsidRPr="00BC0E7E" w:rsidRDefault="00BC0E7E" w:rsidP="00BC0E7E"/>
    <w:p w14:paraId="450B19E9" w14:textId="77777777" w:rsidR="00BC0E7E" w:rsidRPr="00BC0E7E" w:rsidRDefault="00944B8F" w:rsidP="00BC0E7E">
      <w:pPr>
        <w:rPr>
          <w:i/>
          <w:szCs w:val="20"/>
        </w:rPr>
      </w:pPr>
      <w:r w:rsidRPr="00BC0E7E">
        <w:rPr>
          <w:i/>
          <w:szCs w:val="20"/>
        </w:rPr>
        <w:t>Malignancies and lymphoproliferative disorders</w:t>
      </w:r>
    </w:p>
    <w:p w14:paraId="55EDE984" w14:textId="77777777" w:rsidR="00BC0E7E" w:rsidRPr="00BC0E7E" w:rsidRDefault="00BC0E7E" w:rsidP="00BC0E7E">
      <w:pPr>
        <w:rPr>
          <w:szCs w:val="20"/>
        </w:rPr>
      </w:pPr>
    </w:p>
    <w:p w14:paraId="2324600C" w14:textId="77777777" w:rsidR="00BC0E7E" w:rsidRPr="00BC0E7E" w:rsidRDefault="00944B8F" w:rsidP="00BC0E7E">
      <w:r w:rsidRPr="00BC0E7E">
        <w:t xml:space="preserve">No malignancies were observed in 249 paediatric patients with an exposure of 655.6 patient years during Humira trials in patients with juvenile idiopathic arthritis (polyarticular juvenile idiopathic arthritis and enthesitis-related arthritis). </w:t>
      </w:r>
      <w:r w:rsidRPr="00BC0E7E">
        <w:rPr>
          <w:szCs w:val="22"/>
        </w:rPr>
        <w:t xml:space="preserve">In addition, no malignancies were observed in 192 paediatric patients with an exposure of 498.1 patient years during Humira trials in paediatric patients with Crohn’s disease. No malignancies were observed in 77 paediatric patients with an exposure of 80.0 patient years during a Humira trial in paediatric patients with chronic plaque psoriasis. </w:t>
      </w:r>
      <w:r w:rsidR="00CF1BF8" w:rsidRPr="00CF1BF8">
        <w:rPr>
          <w:rStyle w:val="normaltextrun"/>
          <w:shd w:val="clear" w:color="auto" w:fill="FFFFFF"/>
          <w:lang w:val="en-US"/>
        </w:rPr>
        <w:t>No malignancies were observed in 93 paediatric patients with an exposure of 65.3 patient years during a Humira trial in paediatric patients with ulcerative colitis.</w:t>
      </w:r>
      <w:r w:rsidR="00CF1BF8" w:rsidRPr="00CF1BF8">
        <w:rPr>
          <w:rStyle w:val="eop"/>
          <w:shd w:val="clear" w:color="auto" w:fill="FFFFFF"/>
        </w:rPr>
        <w:t> </w:t>
      </w:r>
      <w:r w:rsidRPr="00BC0E7E">
        <w:rPr>
          <w:szCs w:val="22"/>
        </w:rPr>
        <w:t>No malignancies were observed in 60 paediatric patients with an exposure of 58.4 patient years during a Humira trial in paediatric patients with uveitis.</w:t>
      </w:r>
    </w:p>
    <w:p w14:paraId="45855FD6" w14:textId="77777777" w:rsidR="00BC0E7E" w:rsidRPr="00BC0E7E" w:rsidRDefault="00BC0E7E" w:rsidP="00BC0E7E"/>
    <w:p w14:paraId="28BA666A" w14:textId="77777777" w:rsidR="00BC0E7E" w:rsidRPr="00BC0E7E" w:rsidRDefault="00944B8F" w:rsidP="00BC0E7E">
      <w:r w:rsidRPr="00BC0E7E">
        <w:t xml:space="preserve">During the controlled portions of pivotal Humira trials in adults of at least 12 weeks in duration in patients with moderately to severely active rheumatoid arthritis, ankylosing spondylitis, axial spondyloarthritis without radiographic evidence of AS,  psoriatic arthritis, psoriasis, hidradenitis suppurativa, Crohn’s disease, ulcerative colitis and uveitis, malignancies, other than lymphoma and non-melanoma skin cancer, were observed at a rate (95% confidence interval) of 6.8 (4.4, 10.5)  per 1,000 patient-years among 5,291 Humira treated patients </w:t>
      </w:r>
      <w:r w:rsidRPr="00BC0E7E">
        <w:rPr>
          <w:i/>
          <w:iCs/>
        </w:rPr>
        <w:t xml:space="preserve">versus </w:t>
      </w:r>
      <w:r w:rsidRPr="00BC0E7E">
        <w:t>a rate of 6.3 (3.4, 11.8) per 1,000 patient-years among 3,444 control patients (median duration of treatment was 4.0 months for Humira and 3.8 months for control-treated patients). The rate (95% confidence interval) of non-melanoma skin cancers was 8.8 (6.0, 13.0) per 1,000 patient-years among Humira-treated patients and 3.2 (1.3, 7.6) per 1,000 patient-years among control patients. Of these skin cancers, squamous cell carcinomas occurred at rates (95% confidence interval) of 2.7 (1.4, 5.4) per 1,000 patient-years among Humira-treated patients and 0.6 (0.1, 4.5) per 1,000 patient-years among control patients. The rate (95% confidence interval) of lymphomas was 0.7 (0.2, 2.7) per 1,000 patient-years among Humira-treated patients and 0.6 (0.1, 4.5) per 1,000 patient-years among control patients.</w:t>
      </w:r>
    </w:p>
    <w:p w14:paraId="11F7C9E7" w14:textId="77777777" w:rsidR="00BC0E7E" w:rsidRPr="00BC0E7E" w:rsidRDefault="00BC0E7E" w:rsidP="00BC0E7E"/>
    <w:p w14:paraId="6A094AC7" w14:textId="77777777" w:rsidR="00BC0E7E" w:rsidRPr="00BC0E7E" w:rsidRDefault="00944B8F" w:rsidP="00BC0E7E">
      <w:r w:rsidRPr="00BC0E7E">
        <w:t>When combining controlled portions of these trials and ongoing and completed open label extension studies with a median duration of approximately 3.3 years including 6,427 patients and over 26,439 patient-years of therapy, the observed rate of malignancies, other than lymphoma and non-melanoma skin cancers is approximately 8.5 per 1,000 patient years. The observed rate of non-melanoma skin cancers is approximately 9.6 per 1,000 patient years, and the observed rate of lymphomas is approximately 1.3 per 1,000 patient years.</w:t>
      </w:r>
    </w:p>
    <w:p w14:paraId="0186A66A" w14:textId="77777777" w:rsidR="00BC0E7E" w:rsidRPr="00BC0E7E" w:rsidRDefault="00BC0E7E" w:rsidP="00BC0E7E"/>
    <w:p w14:paraId="25AAD620" w14:textId="77777777" w:rsidR="00BC0E7E" w:rsidRPr="00BC0E7E" w:rsidRDefault="00944B8F" w:rsidP="00BC0E7E">
      <w:r w:rsidRPr="00BC0E7E">
        <w:t xml:space="preserve">In post-marketing experience from January 2003 to December 2010, predominantly in patients with rheumatoid arthritis, the </w:t>
      </w:r>
      <w:r w:rsidR="00D67DA1" w:rsidRPr="00D67DA1">
        <w:t>spontaneously</w:t>
      </w:r>
      <w:r w:rsidR="00D67DA1">
        <w:t xml:space="preserve"> </w:t>
      </w:r>
      <w:r w:rsidRPr="00BC0E7E">
        <w:t xml:space="preserve">reported rate of malignancies is approximately 2.7 per 1,000 patient treatment years. The </w:t>
      </w:r>
      <w:r w:rsidR="00D67DA1" w:rsidRPr="00D67DA1">
        <w:t>spontaneously</w:t>
      </w:r>
      <w:r w:rsidR="00D67DA1" w:rsidRPr="00BC0E7E">
        <w:t xml:space="preserve"> </w:t>
      </w:r>
      <w:r w:rsidRPr="00BC0E7E">
        <w:t>reported rates for non-melanoma skin cancers and lymphomas are approximately 0.2 and 0.3 per 1,000 patient treatment years, respectively (see section 4.4).</w:t>
      </w:r>
    </w:p>
    <w:p w14:paraId="25E54426" w14:textId="77777777" w:rsidR="00BC0E7E" w:rsidRPr="00BC0E7E" w:rsidRDefault="00BC0E7E" w:rsidP="00BC0E7E">
      <w:pPr>
        <w:rPr>
          <w:szCs w:val="22"/>
        </w:rPr>
      </w:pPr>
    </w:p>
    <w:p w14:paraId="67741F76" w14:textId="77777777" w:rsidR="00BC0E7E" w:rsidRPr="00BC0E7E" w:rsidRDefault="00944B8F" w:rsidP="00BC0E7E">
      <w:pPr>
        <w:rPr>
          <w:szCs w:val="22"/>
        </w:rPr>
      </w:pPr>
      <w:r w:rsidRPr="00BC0E7E">
        <w:rPr>
          <w:szCs w:val="22"/>
        </w:rPr>
        <w:t>Rare post-marketing cases of hepatosplenic T-cell lymphoma have been reported in patients treated with adalimumab (see section 4.4).</w:t>
      </w:r>
    </w:p>
    <w:p w14:paraId="6CE7D628" w14:textId="77777777" w:rsidR="00BC0E7E" w:rsidRPr="00BC0E7E" w:rsidRDefault="00BC0E7E" w:rsidP="00BC0E7E"/>
    <w:p w14:paraId="150FAE6D" w14:textId="77777777" w:rsidR="00BC0E7E" w:rsidRPr="00BC0E7E" w:rsidRDefault="00944B8F" w:rsidP="00BC0E7E">
      <w:pPr>
        <w:rPr>
          <w:i/>
          <w:szCs w:val="20"/>
        </w:rPr>
      </w:pPr>
      <w:r w:rsidRPr="00BC0E7E">
        <w:rPr>
          <w:i/>
          <w:szCs w:val="20"/>
        </w:rPr>
        <w:t xml:space="preserve">Autoantibodies </w:t>
      </w:r>
    </w:p>
    <w:p w14:paraId="15A342AC" w14:textId="77777777" w:rsidR="00BC0E7E" w:rsidRPr="00BC0E7E" w:rsidRDefault="00BC0E7E" w:rsidP="00BC0E7E">
      <w:pPr>
        <w:rPr>
          <w:szCs w:val="20"/>
        </w:rPr>
      </w:pPr>
    </w:p>
    <w:p w14:paraId="3341875E" w14:textId="77777777" w:rsidR="00BC0E7E" w:rsidRPr="00BC0E7E" w:rsidRDefault="00944B8F" w:rsidP="00BC0E7E">
      <w:pPr>
        <w:rPr>
          <w:szCs w:val="20"/>
        </w:rPr>
      </w:pPr>
      <w:r w:rsidRPr="00BC0E7E">
        <w:rPr>
          <w:szCs w:val="20"/>
        </w:rPr>
        <w:t xml:space="preserve">Patients had serum samples tested for autoantibodies at multiple time points in rheumatoid arthritis studies I − V. In these trials, 11.9% of patients treated with Humira and 8.1% of placebo and active control − treated patients that had negative baseline anti-nuclear antibody titres reported positive titres at Week 24. Two patients out of 3,441 treated with Humira in all rheumatoid arthritis and psoriatic arthritis studies developed clinical signs suggestive of new-onset lupus-like syndrome. The patients improved </w:t>
      </w:r>
      <w:r w:rsidRPr="00BC0E7E">
        <w:rPr>
          <w:szCs w:val="20"/>
        </w:rPr>
        <w:lastRenderedPageBreak/>
        <w:t>following discontinuation of therapy. No patients developed lupus nephritis or central nervous system symptoms.</w:t>
      </w:r>
    </w:p>
    <w:p w14:paraId="73F2F48A" w14:textId="77777777" w:rsidR="00BC0E7E" w:rsidRPr="00BC0E7E" w:rsidRDefault="00BC0E7E" w:rsidP="00BC0E7E">
      <w:pPr>
        <w:rPr>
          <w:szCs w:val="20"/>
        </w:rPr>
      </w:pPr>
    </w:p>
    <w:p w14:paraId="4A9C58B4" w14:textId="77777777" w:rsidR="00BC0E7E" w:rsidRPr="00BC0E7E" w:rsidRDefault="00944B8F" w:rsidP="00BC0E7E">
      <w:pPr>
        <w:keepNext/>
        <w:rPr>
          <w:i/>
          <w:szCs w:val="20"/>
        </w:rPr>
      </w:pPr>
      <w:r w:rsidRPr="00BC0E7E">
        <w:rPr>
          <w:i/>
          <w:szCs w:val="20"/>
        </w:rPr>
        <w:t>Hepato-biliary events</w:t>
      </w:r>
    </w:p>
    <w:p w14:paraId="6B03D3EB" w14:textId="77777777" w:rsidR="00BC0E7E" w:rsidRPr="00BC0E7E" w:rsidRDefault="00BC0E7E" w:rsidP="00BC0E7E">
      <w:pPr>
        <w:keepNext/>
        <w:rPr>
          <w:szCs w:val="20"/>
        </w:rPr>
      </w:pPr>
    </w:p>
    <w:p w14:paraId="0CE5D91B" w14:textId="77777777" w:rsidR="00BC0E7E" w:rsidRPr="00BC0E7E" w:rsidRDefault="00944B8F" w:rsidP="00BC0E7E">
      <w:pPr>
        <w:keepNext/>
        <w:rPr>
          <w:szCs w:val="20"/>
        </w:rPr>
      </w:pPr>
      <w:r w:rsidRPr="00BC0E7E">
        <w:rPr>
          <w:szCs w:val="20"/>
        </w:rPr>
        <w:t xml:space="preserve">In controlled Phase 3 trials of Humira in patients with rheumatoid arthritis and psoriatic arthritis with a control period duration ranging from 4 to 104 weeks, ALT elevations ≥ 3 x ULN occurred in 3.7% of Humira-treated patients and 1.6% of control-treated patients. </w:t>
      </w:r>
    </w:p>
    <w:p w14:paraId="68C6A8AA" w14:textId="77777777" w:rsidR="00BC0E7E" w:rsidRPr="00BC0E7E" w:rsidRDefault="00BC0E7E" w:rsidP="00BC0E7E">
      <w:pPr>
        <w:keepNext/>
        <w:rPr>
          <w:szCs w:val="20"/>
        </w:rPr>
      </w:pPr>
    </w:p>
    <w:p w14:paraId="28416304" w14:textId="77777777" w:rsidR="00BC0E7E" w:rsidRPr="00BC0E7E" w:rsidRDefault="00944B8F" w:rsidP="00BC0E7E">
      <w:pPr>
        <w:rPr>
          <w:szCs w:val="22"/>
        </w:rPr>
      </w:pPr>
      <w:r w:rsidRPr="00BC0E7E">
        <w:rPr>
          <w:szCs w:val="22"/>
        </w:rPr>
        <w:t>In controlled Phase 3 trials of Humira in patients with polyarticular juvenile idiopathic arthritis who were 4 to 17 years and enthesitis-related arthritis who were 6 to 17 years, ALT elevations ≥ 3 x ULN occurred in 6.1% of Humira-treated patients and 1.3% of control-treated patients. Most ALT elevations occurred with concomitant methotrexate use. No ALT elevations ≥ 3 x ULN occurred in the Phase 3 trial of Humira in patients with polyarticular juvenile idiopathic arthritis who were 2 to &lt; 4 years.</w:t>
      </w:r>
    </w:p>
    <w:p w14:paraId="6F806173" w14:textId="77777777" w:rsidR="00BC0E7E" w:rsidRPr="00BC0E7E" w:rsidRDefault="00BC0E7E" w:rsidP="00BC0E7E">
      <w:pPr>
        <w:rPr>
          <w:szCs w:val="20"/>
        </w:rPr>
      </w:pPr>
    </w:p>
    <w:p w14:paraId="2B27602E" w14:textId="77777777" w:rsidR="00BC0E7E" w:rsidRPr="00BC0E7E" w:rsidRDefault="00944B8F" w:rsidP="00BC0E7E">
      <w:pPr>
        <w:rPr>
          <w:i/>
          <w:iCs/>
          <w:szCs w:val="20"/>
        </w:rPr>
      </w:pPr>
      <w:r w:rsidRPr="00BC0E7E">
        <w:rPr>
          <w:iCs/>
          <w:szCs w:val="20"/>
        </w:rPr>
        <w:t>In controlled Phase 3 trials of Humira in patients with</w:t>
      </w:r>
      <w:r w:rsidRPr="00BC0E7E">
        <w:rPr>
          <w:i/>
          <w:iCs/>
          <w:szCs w:val="20"/>
        </w:rPr>
        <w:t xml:space="preserve"> </w:t>
      </w:r>
      <w:r w:rsidRPr="00BC0E7E">
        <w:rPr>
          <w:iCs/>
          <w:szCs w:val="20"/>
        </w:rPr>
        <w:t>Crohn’s disease and ulcerative colitis with a control period ranging from 4 to 52 weeks. ALT elevations ≥ 3 x ULN occurred in 0.9% of Humira-treated patients and 0.9% of controlled-treated patients.</w:t>
      </w:r>
      <w:r w:rsidRPr="00BC0E7E">
        <w:rPr>
          <w:i/>
          <w:iCs/>
          <w:szCs w:val="20"/>
        </w:rPr>
        <w:t xml:space="preserve"> </w:t>
      </w:r>
    </w:p>
    <w:p w14:paraId="20A191AA" w14:textId="77777777" w:rsidR="00BC0E7E" w:rsidRPr="00BC0E7E" w:rsidRDefault="00BC0E7E" w:rsidP="00BC0E7E">
      <w:pPr>
        <w:rPr>
          <w:i/>
          <w:iCs/>
          <w:szCs w:val="20"/>
        </w:rPr>
      </w:pPr>
    </w:p>
    <w:p w14:paraId="715DEF23" w14:textId="77777777" w:rsidR="00BC0E7E" w:rsidRPr="00BC0E7E" w:rsidRDefault="00944B8F" w:rsidP="00BC0E7E">
      <w:pPr>
        <w:rPr>
          <w:iCs/>
          <w:szCs w:val="20"/>
        </w:rPr>
      </w:pPr>
      <w:r w:rsidRPr="00BC0E7E">
        <w:rPr>
          <w:szCs w:val="20"/>
        </w:rPr>
        <w:t xml:space="preserve">In the Phase 3 trial of Humira in patients with paediatric Crohn’s disease which evaluated efficacy and safety of two body weight adjusted maintenance dose regimens following body weight adjusted induction therapy up to 52 weeks of treatment, ALT elevations </w:t>
      </w:r>
      <w:r w:rsidRPr="00BC0E7E">
        <w:rPr>
          <w:iCs/>
          <w:szCs w:val="20"/>
        </w:rPr>
        <w:t xml:space="preserve">≥ 3 x ULN occurred in 2.6% </w:t>
      </w:r>
      <w:r w:rsidRPr="00BC0E7E">
        <w:rPr>
          <w:szCs w:val="20"/>
        </w:rPr>
        <w:t xml:space="preserve"> (5/192) </w:t>
      </w:r>
      <w:r w:rsidRPr="00BC0E7E">
        <w:rPr>
          <w:iCs/>
          <w:szCs w:val="20"/>
        </w:rPr>
        <w:t>of patients of whom 4 were receiving concomitant immunosuppressants at baseline.</w:t>
      </w:r>
    </w:p>
    <w:p w14:paraId="3BABFD63" w14:textId="77777777" w:rsidR="00BC0E7E" w:rsidRPr="00BC0E7E" w:rsidRDefault="00BC0E7E" w:rsidP="00BC0E7E">
      <w:pPr>
        <w:rPr>
          <w:szCs w:val="20"/>
        </w:rPr>
      </w:pPr>
    </w:p>
    <w:p w14:paraId="5024998D" w14:textId="77777777" w:rsidR="00BC0E7E" w:rsidRPr="00BC0E7E" w:rsidRDefault="00944B8F" w:rsidP="00BC0E7E">
      <w:pPr>
        <w:rPr>
          <w:iCs/>
          <w:szCs w:val="20"/>
        </w:rPr>
      </w:pPr>
      <w:r w:rsidRPr="00BC0E7E">
        <w:rPr>
          <w:iCs/>
          <w:szCs w:val="20"/>
        </w:rPr>
        <w:t xml:space="preserve">In controlled Phase 3 trials of Humira in patients with plaque </w:t>
      </w:r>
      <w:r w:rsidR="004F5CD5">
        <w:rPr>
          <w:iCs/>
          <w:szCs w:val="20"/>
        </w:rPr>
        <w:t>p</w:t>
      </w:r>
      <w:r w:rsidRPr="00BC0E7E">
        <w:rPr>
          <w:iCs/>
          <w:szCs w:val="20"/>
        </w:rPr>
        <w:t>soriasis</w:t>
      </w:r>
      <w:r w:rsidRPr="00BC0E7E">
        <w:rPr>
          <w:i/>
          <w:iCs/>
          <w:szCs w:val="20"/>
        </w:rPr>
        <w:t xml:space="preserve"> </w:t>
      </w:r>
      <w:r w:rsidRPr="00BC0E7E">
        <w:rPr>
          <w:iCs/>
          <w:szCs w:val="20"/>
        </w:rPr>
        <w:t xml:space="preserve">with a control period duration ranging from 12 to 24 weeks, ALT elevations ≥ 3 x ULN occurred in 1.8% of Humira-treated patients and 1.8% of control-treated patients. </w:t>
      </w:r>
    </w:p>
    <w:p w14:paraId="2723A737" w14:textId="77777777" w:rsidR="00BC0E7E" w:rsidRPr="00BC0E7E" w:rsidRDefault="00BC0E7E" w:rsidP="00BC0E7E">
      <w:pPr>
        <w:rPr>
          <w:iCs/>
          <w:szCs w:val="20"/>
        </w:rPr>
      </w:pPr>
    </w:p>
    <w:p w14:paraId="1DD2BF86" w14:textId="77777777" w:rsidR="00BC0E7E" w:rsidRPr="00BC0E7E" w:rsidRDefault="00944B8F" w:rsidP="00BC0E7E">
      <w:pPr>
        <w:autoSpaceDE w:val="0"/>
        <w:autoSpaceDN w:val="0"/>
        <w:adjustRightInd w:val="0"/>
        <w:rPr>
          <w:iCs/>
        </w:rPr>
      </w:pPr>
      <w:r w:rsidRPr="00BC0E7E">
        <w:rPr>
          <w:iCs/>
        </w:rPr>
        <w:t>No ALT elevations ≥ 3 X ULN occurred in the Phase 3 trial of Humira in paediatric patients with plaque psoriasis.</w:t>
      </w:r>
    </w:p>
    <w:p w14:paraId="390A49A7" w14:textId="77777777" w:rsidR="00BC0E7E" w:rsidRPr="00BC0E7E" w:rsidRDefault="00BC0E7E" w:rsidP="00BC0E7E">
      <w:pPr>
        <w:autoSpaceDE w:val="0"/>
        <w:autoSpaceDN w:val="0"/>
        <w:adjustRightInd w:val="0"/>
        <w:rPr>
          <w:iCs/>
        </w:rPr>
      </w:pPr>
    </w:p>
    <w:p w14:paraId="5AB85A91" w14:textId="77777777" w:rsidR="00BC0E7E" w:rsidRPr="00BC0E7E" w:rsidRDefault="00944B8F" w:rsidP="00BC0E7E">
      <w:pPr>
        <w:autoSpaceDE w:val="0"/>
        <w:autoSpaceDN w:val="0"/>
        <w:adjustRightInd w:val="0"/>
        <w:rPr>
          <w:iCs/>
        </w:rPr>
      </w:pPr>
      <w:r w:rsidRPr="00BC0E7E">
        <w:rPr>
          <w:iCs/>
        </w:rPr>
        <w:t>In controlled trials of Humira (initial doses of 160 mg at Week 0 and 80 mg at Week 2, followed by 40 mg every week starting at Week 4), in patients with hidradenitis suppurativa with a control period duration ranging from 12 to 16 weeks, ALT elevations ≥ 3 x ULN occurred in 0.3% of Humira-treated patients and 0.6% of control-treated patients.</w:t>
      </w:r>
    </w:p>
    <w:p w14:paraId="6D7750C7" w14:textId="77777777" w:rsidR="00BC0E7E" w:rsidRPr="00BC0E7E" w:rsidRDefault="00BC0E7E" w:rsidP="00BC0E7E">
      <w:pPr>
        <w:autoSpaceDE w:val="0"/>
        <w:autoSpaceDN w:val="0"/>
        <w:adjustRightInd w:val="0"/>
      </w:pPr>
    </w:p>
    <w:p w14:paraId="1562D5E9" w14:textId="77777777" w:rsidR="00BC0E7E" w:rsidRPr="00BC0E7E" w:rsidRDefault="00944B8F" w:rsidP="00BC0E7E">
      <w:pPr>
        <w:autoSpaceDE w:val="0"/>
        <w:autoSpaceDN w:val="0"/>
        <w:adjustRightInd w:val="0"/>
        <w:rPr>
          <w:iCs/>
          <w:szCs w:val="20"/>
        </w:rPr>
      </w:pPr>
      <w:r w:rsidRPr="00BC0E7E">
        <w:rPr>
          <w:iCs/>
          <w:szCs w:val="20"/>
        </w:rPr>
        <w:t xml:space="preserve">In controlled trials of Humira (initial doses of 80 mg at Week 0 followed by 40 mg every other week starting at Week 1) in </w:t>
      </w:r>
      <w:r w:rsidR="004F5CD5">
        <w:rPr>
          <w:iCs/>
          <w:szCs w:val="20"/>
        </w:rPr>
        <w:t xml:space="preserve">adult </w:t>
      </w:r>
      <w:r w:rsidRPr="00BC0E7E">
        <w:rPr>
          <w:iCs/>
          <w:szCs w:val="20"/>
        </w:rPr>
        <w:t xml:space="preserve">patients with uveitis up to 80 weeks with a median exposure of 166.5 days and 105.0 days in Humira-treated and control-treated patients, respectively, ALT elevations ≥ 3 x ULN occurred in 2.4% of Humira-treated patients and 2.4% of control-treated patients. </w:t>
      </w:r>
    </w:p>
    <w:p w14:paraId="0BB5099D" w14:textId="77777777" w:rsidR="00BC0E7E" w:rsidRPr="00BC0E7E" w:rsidRDefault="00BC0E7E" w:rsidP="00BC0E7E">
      <w:pPr>
        <w:autoSpaceDE w:val="0"/>
        <w:autoSpaceDN w:val="0"/>
        <w:adjustRightInd w:val="0"/>
      </w:pPr>
    </w:p>
    <w:p w14:paraId="3B3E87D4" w14:textId="77777777" w:rsidR="00CF1BF8" w:rsidRPr="00CF1BF8" w:rsidRDefault="00944B8F" w:rsidP="00CF1BF8">
      <w:pPr>
        <w:autoSpaceDE w:val="0"/>
        <w:autoSpaceDN w:val="0"/>
        <w:adjustRightInd w:val="0"/>
        <w:rPr>
          <w:rStyle w:val="normaltextrun"/>
          <w:shd w:val="clear" w:color="auto" w:fill="FFFFFF"/>
        </w:rPr>
      </w:pPr>
      <w:r w:rsidRPr="00CF1BF8">
        <w:rPr>
          <w:rStyle w:val="normaltextrun"/>
          <w:shd w:val="clear" w:color="auto" w:fill="FFFFFF"/>
        </w:rPr>
        <w:t>In the controlled Phase 3 trial of Humira in patients with paediatric ulcerative colitis (N=93) which evaluated efficacy and safety of a maintenance dose of 0.6 mg/kg (maximum of 40 mg) every other week (N=31) and a maintenance dose of 0.6 mg/kg (maximum of 40 mg) every Week (N=32), following body weight adjusted induction dosing of 2.4 mg/kg (maximum of 160 mg) at Week 0 and Week 1, and 1.2 mg/kg (maximum of 80 mg) at Week 2 (N=63), or an induction dose of 2.4 mg/kg (maximum of 160 mg) at Week 0, placebo at Week 1, and 1.2 mg/kg (maximum of 80 mg) at Week 2 (N=30), ALT elevations ≥ 3 X ULN occurred in 1.1% (1/93) of patients.</w:t>
      </w:r>
    </w:p>
    <w:p w14:paraId="68EDA7E8" w14:textId="77777777" w:rsidR="00CF63AF" w:rsidRDefault="00CF63AF" w:rsidP="00BC0E7E">
      <w:pPr>
        <w:autoSpaceDE w:val="0"/>
        <w:autoSpaceDN w:val="0"/>
        <w:adjustRightInd w:val="0"/>
      </w:pPr>
    </w:p>
    <w:p w14:paraId="004F4B99" w14:textId="77777777" w:rsidR="00BC0E7E" w:rsidRPr="00BC0E7E" w:rsidRDefault="00944B8F" w:rsidP="00BC0E7E">
      <w:pPr>
        <w:autoSpaceDE w:val="0"/>
        <w:autoSpaceDN w:val="0"/>
        <w:adjustRightInd w:val="0"/>
      </w:pPr>
      <w:r w:rsidRPr="00BC0E7E">
        <w:t>Across all indications in clinical trials patients with raised ALT were asymptomatic and in most cases elevations were transient and resolved on continued treatment.  However, there have also been post-marketing reports of liver failure as well as less severe liver disorders that may precede liver failure, such as hepatitis including autoimmune hepatitis in patients receiving adalimumab.</w:t>
      </w:r>
    </w:p>
    <w:p w14:paraId="7D13D7AA" w14:textId="77777777" w:rsidR="00BC0E7E" w:rsidRPr="00BC0E7E" w:rsidRDefault="00BC0E7E" w:rsidP="00BC0E7E">
      <w:pPr>
        <w:autoSpaceDE w:val="0"/>
        <w:autoSpaceDN w:val="0"/>
        <w:adjustRightInd w:val="0"/>
      </w:pPr>
    </w:p>
    <w:p w14:paraId="7D457F9B" w14:textId="77777777" w:rsidR="00BC0E7E" w:rsidRPr="00BC0E7E" w:rsidRDefault="00944B8F" w:rsidP="007D7686">
      <w:pPr>
        <w:keepNext/>
        <w:autoSpaceDE w:val="0"/>
        <w:autoSpaceDN w:val="0"/>
        <w:adjustRightInd w:val="0"/>
        <w:rPr>
          <w:u w:val="single"/>
        </w:rPr>
      </w:pPr>
      <w:r w:rsidRPr="00BC0E7E">
        <w:rPr>
          <w:u w:val="single"/>
        </w:rPr>
        <w:t>Concurrent treatment with azathioprine/6-mercaptopurine</w:t>
      </w:r>
    </w:p>
    <w:p w14:paraId="6E3D4648" w14:textId="77777777" w:rsidR="00BC0E7E" w:rsidRPr="00BC0E7E" w:rsidRDefault="00BC0E7E" w:rsidP="007D7686">
      <w:pPr>
        <w:keepNext/>
        <w:rPr>
          <w:szCs w:val="20"/>
        </w:rPr>
      </w:pPr>
    </w:p>
    <w:p w14:paraId="3FBE246E" w14:textId="77777777" w:rsidR="00BC0E7E" w:rsidRPr="00BC0E7E" w:rsidRDefault="00944B8F" w:rsidP="007D7686">
      <w:pPr>
        <w:keepNext/>
        <w:rPr>
          <w:szCs w:val="20"/>
        </w:rPr>
      </w:pPr>
      <w:r w:rsidRPr="00BC0E7E">
        <w:rPr>
          <w:szCs w:val="20"/>
        </w:rPr>
        <w:t>In adult Crohn’s disease studies, higher incidences of malignant and serious infection-related adverse events were seen with the combination of Humira and azathioprine/6-mercaptopurine compared with Humira alone.</w:t>
      </w:r>
    </w:p>
    <w:p w14:paraId="7C885591" w14:textId="77777777" w:rsidR="00BC0E7E" w:rsidRPr="00BC0E7E" w:rsidRDefault="00BC0E7E" w:rsidP="00BC0E7E">
      <w:pPr>
        <w:rPr>
          <w:szCs w:val="20"/>
        </w:rPr>
      </w:pPr>
    </w:p>
    <w:p w14:paraId="15479211" w14:textId="77777777" w:rsidR="00BC0E7E" w:rsidRPr="00BC0E7E" w:rsidRDefault="00944B8F" w:rsidP="00BC0E7E">
      <w:pPr>
        <w:keepNext/>
        <w:rPr>
          <w:u w:val="single"/>
        </w:rPr>
      </w:pPr>
      <w:r w:rsidRPr="00BC0E7E">
        <w:rPr>
          <w:u w:val="single"/>
        </w:rPr>
        <w:t>Reporting of suspected adverse reactions</w:t>
      </w:r>
    </w:p>
    <w:p w14:paraId="75BB4959" w14:textId="77777777" w:rsidR="00BC0E7E" w:rsidRPr="00BC0E7E" w:rsidRDefault="00BC0E7E" w:rsidP="00BC0E7E">
      <w:pPr>
        <w:keepNext/>
      </w:pPr>
    </w:p>
    <w:p w14:paraId="2CF9DDDC" w14:textId="77777777" w:rsidR="00BC0E7E" w:rsidRPr="00BC0E7E" w:rsidRDefault="00944B8F" w:rsidP="00BC0E7E">
      <w:pPr>
        <w:keepNext/>
      </w:pPr>
      <w:r w:rsidRPr="00BC0E7E">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BC0E7E">
        <w:rPr>
          <w:highlight w:val="lightGray"/>
        </w:rPr>
        <w:t xml:space="preserve">the national reporting system listed in </w:t>
      </w:r>
      <w:hyperlink r:id="rId22" w:history="1">
        <w:r w:rsidR="00BC0E7E" w:rsidRPr="00BC0E7E">
          <w:rPr>
            <w:color w:val="0000FF"/>
            <w:szCs w:val="22"/>
            <w:highlight w:val="lightGray"/>
            <w:u w:val="single"/>
          </w:rPr>
          <w:t>Appendix V</w:t>
        </w:r>
      </w:hyperlink>
      <w:r w:rsidRPr="00BC0E7E">
        <w:rPr>
          <w:highlight w:val="lightGray"/>
        </w:rPr>
        <w:t>.</w:t>
      </w:r>
      <w:r w:rsidRPr="00BC0E7E">
        <w:t xml:space="preserve"> </w:t>
      </w:r>
    </w:p>
    <w:p w14:paraId="08C10496" w14:textId="77777777" w:rsidR="00BC0E7E" w:rsidRPr="00BC0E7E" w:rsidRDefault="00BC0E7E" w:rsidP="00BC0E7E"/>
    <w:p w14:paraId="6FD9A2CA" w14:textId="77777777" w:rsidR="00BC0E7E" w:rsidRPr="00BC0E7E" w:rsidRDefault="00944B8F" w:rsidP="00BC0E7E">
      <w:pPr>
        <w:tabs>
          <w:tab w:val="clear" w:pos="562"/>
        </w:tabs>
        <w:rPr>
          <w:b/>
          <w:szCs w:val="22"/>
        </w:rPr>
      </w:pPr>
      <w:r w:rsidRPr="00BC0E7E">
        <w:rPr>
          <w:b/>
          <w:szCs w:val="22"/>
        </w:rPr>
        <w:t>4.9</w:t>
      </w:r>
      <w:r w:rsidRPr="00BC0E7E">
        <w:rPr>
          <w:b/>
          <w:szCs w:val="22"/>
        </w:rPr>
        <w:tab/>
        <w:t>Overdose</w:t>
      </w:r>
    </w:p>
    <w:p w14:paraId="0B471759" w14:textId="77777777" w:rsidR="00BC0E7E" w:rsidRPr="008F4FD5" w:rsidRDefault="00BC0E7E" w:rsidP="00BC0E7E">
      <w:pPr>
        <w:tabs>
          <w:tab w:val="clear" w:pos="562"/>
        </w:tabs>
        <w:rPr>
          <w:szCs w:val="22"/>
        </w:rPr>
      </w:pPr>
    </w:p>
    <w:p w14:paraId="41575D77" w14:textId="77777777" w:rsidR="00BC0E7E" w:rsidRPr="00BC0E7E" w:rsidRDefault="00944B8F" w:rsidP="00BC0E7E">
      <w:pPr>
        <w:tabs>
          <w:tab w:val="clear" w:pos="562"/>
        </w:tabs>
      </w:pPr>
      <w:r w:rsidRPr="00BC0E7E">
        <w:t xml:space="preserve">No dose-limiting toxicity was observed during clinical trials. The highest dose level evaluated has been multiple intravenous doses of 10 mg/kg, which is approximately 15 times the recommended dose. </w:t>
      </w:r>
    </w:p>
    <w:p w14:paraId="4FA9778B" w14:textId="77777777" w:rsidR="00BC0E7E" w:rsidRPr="00BC0E7E" w:rsidRDefault="00BC0E7E" w:rsidP="00BC0E7E">
      <w:pPr>
        <w:tabs>
          <w:tab w:val="clear" w:pos="562"/>
        </w:tabs>
      </w:pPr>
    </w:p>
    <w:p w14:paraId="335BFD1E" w14:textId="77777777" w:rsidR="00BC0E7E" w:rsidRPr="00BC0E7E" w:rsidRDefault="00BC0E7E" w:rsidP="00BC0E7E">
      <w:pPr>
        <w:tabs>
          <w:tab w:val="clear" w:pos="562"/>
        </w:tabs>
      </w:pPr>
    </w:p>
    <w:p w14:paraId="6B0A37C5" w14:textId="77777777" w:rsidR="00BC0E7E" w:rsidRPr="00BC0E7E" w:rsidRDefault="00944B8F" w:rsidP="00BC0E7E">
      <w:pPr>
        <w:outlineLvl w:val="0"/>
        <w:rPr>
          <w:b/>
          <w:caps/>
          <w:szCs w:val="20"/>
        </w:rPr>
      </w:pPr>
      <w:r w:rsidRPr="00BC0E7E">
        <w:rPr>
          <w:b/>
          <w:caps/>
          <w:szCs w:val="20"/>
        </w:rPr>
        <w:t>5.</w:t>
      </w:r>
      <w:r w:rsidRPr="00BC0E7E">
        <w:rPr>
          <w:b/>
          <w:caps/>
          <w:szCs w:val="20"/>
        </w:rPr>
        <w:tab/>
        <w:t>PHARMACOLOGICAL PROPERTIES</w:t>
      </w:r>
    </w:p>
    <w:p w14:paraId="020A7289" w14:textId="77777777" w:rsidR="00BC0E7E" w:rsidRPr="00BC0E7E" w:rsidRDefault="00BC0E7E" w:rsidP="00BC0E7E">
      <w:pPr>
        <w:rPr>
          <w:szCs w:val="20"/>
        </w:rPr>
      </w:pPr>
    </w:p>
    <w:p w14:paraId="65D8AFE2" w14:textId="77777777" w:rsidR="00BC0E7E" w:rsidRPr="00BC0E7E" w:rsidRDefault="00944B8F" w:rsidP="00BC0E7E">
      <w:pPr>
        <w:suppressAutoHyphens w:val="0"/>
        <w:outlineLvl w:val="1"/>
        <w:rPr>
          <w:b/>
          <w:szCs w:val="20"/>
        </w:rPr>
      </w:pPr>
      <w:r w:rsidRPr="00BC0E7E">
        <w:rPr>
          <w:b/>
          <w:szCs w:val="20"/>
        </w:rPr>
        <w:t>5.1</w:t>
      </w:r>
      <w:r w:rsidRPr="00BC0E7E">
        <w:rPr>
          <w:b/>
          <w:szCs w:val="20"/>
        </w:rPr>
        <w:tab/>
        <w:t>Pharmacodynamic properties</w:t>
      </w:r>
    </w:p>
    <w:p w14:paraId="44E06132" w14:textId="77777777" w:rsidR="00BC0E7E" w:rsidRPr="00BC0E7E" w:rsidRDefault="00BC0E7E" w:rsidP="00BC0E7E">
      <w:pPr>
        <w:rPr>
          <w:szCs w:val="20"/>
        </w:rPr>
      </w:pPr>
    </w:p>
    <w:p w14:paraId="6EFDA1D0" w14:textId="77777777" w:rsidR="00BC0E7E" w:rsidRPr="00BC0E7E" w:rsidRDefault="00944B8F" w:rsidP="00BC0E7E">
      <w:pPr>
        <w:tabs>
          <w:tab w:val="clear" w:pos="562"/>
        </w:tabs>
      </w:pPr>
      <w:r w:rsidRPr="00BC0E7E">
        <w:t>Pharmacotherapeutic group: Immunosuppressants, Tumour Necrosis Factor alpha (TNF-α) inhibitors. ATC code: L04AB04</w:t>
      </w:r>
    </w:p>
    <w:p w14:paraId="1335A2EC" w14:textId="77777777" w:rsidR="00BC0E7E" w:rsidRPr="00BC0E7E" w:rsidRDefault="00BC0E7E" w:rsidP="00BC0E7E">
      <w:pPr>
        <w:tabs>
          <w:tab w:val="clear" w:pos="562"/>
        </w:tabs>
      </w:pPr>
    </w:p>
    <w:p w14:paraId="0BB8030A" w14:textId="77777777" w:rsidR="00BC0E7E" w:rsidRPr="00BC0E7E" w:rsidRDefault="00944B8F" w:rsidP="008F4FD5">
      <w:pPr>
        <w:keepNext/>
        <w:rPr>
          <w:szCs w:val="20"/>
          <w:u w:val="single"/>
        </w:rPr>
      </w:pPr>
      <w:r w:rsidRPr="00BC0E7E">
        <w:rPr>
          <w:szCs w:val="20"/>
          <w:u w:val="single"/>
        </w:rPr>
        <w:t>Mechanism of action</w:t>
      </w:r>
    </w:p>
    <w:p w14:paraId="2D595F2A" w14:textId="77777777" w:rsidR="00BC0E7E" w:rsidRPr="00BC0E7E" w:rsidRDefault="00BC0E7E" w:rsidP="008F4FD5">
      <w:pPr>
        <w:keepNext/>
        <w:rPr>
          <w:szCs w:val="20"/>
        </w:rPr>
      </w:pPr>
    </w:p>
    <w:p w14:paraId="58A4A181" w14:textId="77777777" w:rsidR="00BC0E7E" w:rsidRPr="00BC0E7E" w:rsidRDefault="00944B8F" w:rsidP="008F4FD5">
      <w:pPr>
        <w:keepNext/>
      </w:pPr>
      <w:r w:rsidRPr="00BC0E7E">
        <w:t xml:space="preserve">Adalimumab binds specifically to TNF and neutralises the biological function of TNF by blocking its interaction with the p55 and p75 cell surface TNF receptors.  </w:t>
      </w:r>
    </w:p>
    <w:p w14:paraId="3ED4A423" w14:textId="77777777" w:rsidR="00BC0E7E" w:rsidRPr="00BC0E7E" w:rsidRDefault="00BC0E7E" w:rsidP="00BC0E7E"/>
    <w:p w14:paraId="7EA9971F" w14:textId="77777777" w:rsidR="00BC0E7E" w:rsidRPr="00BC0E7E" w:rsidRDefault="00944B8F" w:rsidP="00BC0E7E">
      <w:r w:rsidRPr="00BC0E7E">
        <w:t>Adalimumab also modulates biological responses that are induced or regulated by TNF, including changes in the levels of adhesion molecules responsible for leukocyte migration (ELAM-1, VCAM-1, and ICAM-1 with an IC</w:t>
      </w:r>
      <w:r w:rsidRPr="00BC0E7E">
        <w:rPr>
          <w:vertAlign w:val="subscript"/>
        </w:rPr>
        <w:t>50</w:t>
      </w:r>
      <w:r w:rsidRPr="00BC0E7E">
        <w:t xml:space="preserve"> of</w:t>
      </w:r>
      <w:r w:rsidR="00954842">
        <w:t xml:space="preserve"> </w:t>
      </w:r>
      <w:r w:rsidRPr="00BC0E7E">
        <w:t xml:space="preserve">0.1-0.2 nM). </w:t>
      </w:r>
    </w:p>
    <w:p w14:paraId="4B177A3F" w14:textId="77777777" w:rsidR="00BC0E7E" w:rsidRPr="00BC0E7E" w:rsidRDefault="00BC0E7E" w:rsidP="00BC0E7E"/>
    <w:p w14:paraId="5EB991A3" w14:textId="77777777" w:rsidR="00BC0E7E" w:rsidRPr="00BC0E7E" w:rsidRDefault="00944B8F" w:rsidP="00BC0E7E">
      <w:pPr>
        <w:rPr>
          <w:szCs w:val="20"/>
          <w:u w:val="single"/>
        </w:rPr>
      </w:pPr>
      <w:r w:rsidRPr="00BC0E7E">
        <w:rPr>
          <w:szCs w:val="20"/>
          <w:u w:val="single"/>
        </w:rPr>
        <w:t xml:space="preserve">Pharmacodynamic effects </w:t>
      </w:r>
    </w:p>
    <w:p w14:paraId="1014F063" w14:textId="77777777" w:rsidR="00BC0E7E" w:rsidRPr="00BC0E7E" w:rsidRDefault="00BC0E7E" w:rsidP="00BC0E7E">
      <w:pPr>
        <w:rPr>
          <w:szCs w:val="20"/>
        </w:rPr>
      </w:pPr>
    </w:p>
    <w:p w14:paraId="0E56B519" w14:textId="77777777" w:rsidR="00BC0E7E" w:rsidRPr="00BC0E7E" w:rsidRDefault="00944B8F" w:rsidP="00BC0E7E">
      <w:pPr>
        <w:tabs>
          <w:tab w:val="clear" w:pos="562"/>
        </w:tabs>
      </w:pPr>
      <w:r w:rsidRPr="00BC0E7E">
        <w:t>After treatment with Humira, a rapid decrease in levels of acute phase reactants of inflammation (C</w:t>
      </w:r>
      <w:r w:rsidRPr="00BC0E7E">
        <w:noBreakHyphen/>
        <w:t>reactive protein (CRP) and erythrocyte sedimentation rate (ESR)) and serum cytokines (IL-6) was observed, compared to baseline in patients with rheumatoid arthritis. Serum levels of matrix metalloproteinases (MMP-1 and MMP-3) that produce tissue remodelling responsible for cartilage destruction were also decreased after Humira administration. Patients treated with Humira usually experienced improvement in haematological signs of chronic inflammation.</w:t>
      </w:r>
    </w:p>
    <w:p w14:paraId="2F6E3D3A" w14:textId="77777777" w:rsidR="00BC0E7E" w:rsidRPr="00BC0E7E" w:rsidRDefault="00BC0E7E" w:rsidP="00BC0E7E">
      <w:pPr>
        <w:tabs>
          <w:tab w:val="clear" w:pos="562"/>
        </w:tabs>
      </w:pPr>
    </w:p>
    <w:p w14:paraId="332F95F0" w14:textId="77777777" w:rsidR="00BC0E7E" w:rsidRPr="00BC0E7E" w:rsidRDefault="00944B8F" w:rsidP="00BC0E7E">
      <w:pPr>
        <w:tabs>
          <w:tab w:val="clear" w:pos="562"/>
        </w:tabs>
      </w:pPr>
      <w:r w:rsidRPr="00BC0E7E">
        <w:t>A rapid decrease in CRP levels was also observed in patients with polyarticular juvenile idiopathic arthritis, Crohn’s disease, ulcerative colitis and hidradenitis suppurativa after treatment with Humira. In patients with Crohn’s disease, a reduction of the number of cells expressing inflammatory markers in the colon including a significant reduction of expression of TNFα was seen. Endoscopic studies in intestinal mucosa have shown evidence of mucosal healing in adalimumab treated patients.</w:t>
      </w:r>
    </w:p>
    <w:p w14:paraId="4397F70C" w14:textId="77777777" w:rsidR="00BC0E7E" w:rsidRPr="00BC0E7E" w:rsidRDefault="00BC0E7E" w:rsidP="00BC0E7E">
      <w:pPr>
        <w:rPr>
          <w:szCs w:val="20"/>
          <w:u w:val="single"/>
        </w:rPr>
      </w:pPr>
    </w:p>
    <w:p w14:paraId="37ED5F8D" w14:textId="77777777" w:rsidR="00BC0E7E" w:rsidRPr="00BC0E7E" w:rsidRDefault="00944B8F" w:rsidP="007D7686">
      <w:pPr>
        <w:keepNext/>
        <w:rPr>
          <w:szCs w:val="20"/>
          <w:u w:val="single"/>
        </w:rPr>
      </w:pPr>
      <w:r w:rsidRPr="00BC0E7E">
        <w:rPr>
          <w:szCs w:val="20"/>
          <w:u w:val="single"/>
        </w:rPr>
        <w:lastRenderedPageBreak/>
        <w:t>Clinical efficacy and safety</w:t>
      </w:r>
    </w:p>
    <w:p w14:paraId="2877760C" w14:textId="77777777" w:rsidR="00BC0E7E" w:rsidRPr="00BC0E7E" w:rsidRDefault="00BC0E7E" w:rsidP="007D7686">
      <w:pPr>
        <w:keepNext/>
        <w:rPr>
          <w:szCs w:val="20"/>
        </w:rPr>
      </w:pPr>
    </w:p>
    <w:p w14:paraId="09F86B53" w14:textId="77777777" w:rsidR="00BC0E7E" w:rsidRPr="00BC0E7E" w:rsidRDefault="00944B8F" w:rsidP="007D7686">
      <w:pPr>
        <w:keepNext/>
        <w:rPr>
          <w:i/>
          <w:szCs w:val="20"/>
        </w:rPr>
      </w:pPr>
      <w:r w:rsidRPr="00BC0E7E">
        <w:rPr>
          <w:i/>
          <w:szCs w:val="20"/>
        </w:rPr>
        <w:t>Rheumatoid arthritis</w:t>
      </w:r>
    </w:p>
    <w:p w14:paraId="1A3A1523" w14:textId="77777777" w:rsidR="00BC0E7E" w:rsidRPr="00BC0E7E" w:rsidRDefault="00BC0E7E" w:rsidP="007D7686">
      <w:pPr>
        <w:keepNext/>
        <w:rPr>
          <w:szCs w:val="20"/>
        </w:rPr>
      </w:pPr>
    </w:p>
    <w:p w14:paraId="4149AC38" w14:textId="77777777" w:rsidR="00BC0E7E" w:rsidRPr="00BC0E7E" w:rsidRDefault="00944B8F" w:rsidP="007D7686">
      <w:pPr>
        <w:keepNext/>
      </w:pPr>
      <w:r w:rsidRPr="00BC0E7E">
        <w:t>Humira was evaluated in over 3</w:t>
      </w:r>
      <w:r w:rsidR="00020E29">
        <w:t>,</w:t>
      </w:r>
      <w:r w:rsidRPr="00BC0E7E">
        <w:t xml:space="preserve">000 patients in all rheumatoid arthritis clinical trials. The efficacy and safety of Humira were assessed in five randomised, double-blind and well-controlled studies. Some patients were treated for up to 120 months duration. Injection site pain of Humira 40 mg/0.4 ml was assessed in two randomised, active control, single-blind, two-period crossover studies. </w:t>
      </w:r>
    </w:p>
    <w:p w14:paraId="4260A547" w14:textId="77777777" w:rsidR="00BC0E7E" w:rsidRPr="00BC0E7E" w:rsidRDefault="00BC0E7E" w:rsidP="00BC0E7E"/>
    <w:p w14:paraId="10B172D5" w14:textId="77777777" w:rsidR="00BC0E7E" w:rsidRPr="00BC0E7E" w:rsidRDefault="00944B8F" w:rsidP="00BC0E7E">
      <w:r w:rsidRPr="00BC0E7E">
        <w:t xml:space="preserve">RA study I evaluated 271 patients with moderately to severely active rheumatoid arthritis who were </w:t>
      </w:r>
      <w:r w:rsidRPr="00BC0E7E">
        <w:rPr>
          <w:rFonts w:ascii="Symbol" w:eastAsia="Symbol" w:hAnsi="Symbol" w:cs="Symbol"/>
          <w:szCs w:val="22"/>
        </w:rPr>
        <w:sym w:font="Symbol" w:char="F0B3"/>
      </w:r>
      <w:r w:rsidRPr="00BC0E7E">
        <w:t xml:space="preserve"> 18 years old, had failed therapy with at least one disease-modifying, anti rheumatic drug and had insufficient efficacy with methotrexate at doses of 12.5 to 25 mg (10 mg if methotrexate-intolerant) every week and whose methotrexate dose remained constant at 10 to 25 mg every week. Doses of 20, 40 or 80 mg of Humira or placebo were given every other week for 24 weeks. </w:t>
      </w:r>
    </w:p>
    <w:p w14:paraId="028F0749" w14:textId="77777777" w:rsidR="00BC0E7E" w:rsidRPr="00BC0E7E" w:rsidRDefault="00BC0E7E" w:rsidP="00BC0E7E"/>
    <w:p w14:paraId="44172DF2" w14:textId="77777777" w:rsidR="00BC0E7E" w:rsidRPr="00BC0E7E" w:rsidRDefault="00944B8F" w:rsidP="00BC0E7E">
      <w:r w:rsidRPr="00BC0E7E">
        <w:t xml:space="preserve">RA study II evaluated 544 patients with moderately to severely active rheumatoid arthritis who were </w:t>
      </w:r>
      <w:r w:rsidRPr="00BC0E7E">
        <w:rPr>
          <w:rFonts w:ascii="Symbol" w:eastAsia="Symbol" w:hAnsi="Symbol" w:cs="Symbol"/>
          <w:szCs w:val="22"/>
        </w:rPr>
        <w:sym w:font="Symbol" w:char="F0B3"/>
      </w:r>
      <w:r w:rsidRPr="00BC0E7E">
        <w:t> 18 years old and had failed therapy with at least one disease-modifying, anti-rheumatic drugs.  Doses of 20 or 40 mg of Humira were given by subcutaneous injection every other week with placebo on alternative weeks or every week for 26 weeks; placebo was given every week for the same duration.  No other disease-modifying anti-rheumatic drugs were allowed.</w:t>
      </w:r>
    </w:p>
    <w:p w14:paraId="484A801F" w14:textId="77777777" w:rsidR="00BC0E7E" w:rsidRPr="00BC0E7E" w:rsidRDefault="00BC0E7E" w:rsidP="00BC0E7E"/>
    <w:p w14:paraId="6D22029F" w14:textId="77777777" w:rsidR="00BC0E7E" w:rsidRPr="00BC0E7E" w:rsidRDefault="00944B8F" w:rsidP="00BC0E7E">
      <w:r w:rsidRPr="00BC0E7E">
        <w:t xml:space="preserve">RA study III evaluated 619 patients with moderately to severely active rheumatoid arthritis who were </w:t>
      </w:r>
      <w:r w:rsidRPr="00BC0E7E">
        <w:rPr>
          <w:rFonts w:ascii="Symbol" w:eastAsia="Symbol" w:hAnsi="Symbol" w:cs="Symbol"/>
          <w:szCs w:val="22"/>
        </w:rPr>
        <w:sym w:font="Symbol" w:char="F0B3"/>
      </w:r>
      <w:r w:rsidRPr="00BC0E7E">
        <w:t> 18 years old, and who had an ineffective response to methotrexate at doses of 12.5 to 25 mg or have been intolerant to 10 mg of methotrexate every week. There were three groups in this study.  The first received placebo injections every week for 52 weeks. The second received 20 mg of Humira every week for 52 weeks. The third group received 40 mg of Humira every other week with placebo injections on alternate weeks. Upon completion of the first 52 weeks, 457 patients enrolled in an open-label extension phase in which 40 mg of Humira/MTX was administered every other week up to 10 years.</w:t>
      </w:r>
    </w:p>
    <w:p w14:paraId="4CCB740A" w14:textId="77777777" w:rsidR="00BC0E7E" w:rsidRPr="00BC0E7E" w:rsidRDefault="00BC0E7E" w:rsidP="00BC0E7E"/>
    <w:p w14:paraId="342F7B3A" w14:textId="77777777" w:rsidR="00BC0E7E" w:rsidRPr="00BC0E7E" w:rsidRDefault="00944B8F" w:rsidP="00BC0E7E">
      <w:r w:rsidRPr="00BC0E7E">
        <w:t xml:space="preserve">RA study IV primarily assessed safety in 636 patients with moderately to severely active rheumatoid arthritis who were </w:t>
      </w:r>
      <w:r w:rsidRPr="00BC0E7E">
        <w:rPr>
          <w:rFonts w:ascii="Symbol" w:eastAsia="Symbol" w:hAnsi="Symbol" w:cs="Symbol"/>
          <w:szCs w:val="22"/>
        </w:rPr>
        <w:sym w:font="Symbol" w:char="F0B3"/>
      </w:r>
      <w:r w:rsidRPr="00BC0E7E">
        <w:t> 18 years old. Patients were permitted to be either disease-modifying, anti</w:t>
      </w:r>
      <w:r w:rsidRPr="00BC0E7E">
        <w:noBreakHyphen/>
        <w:t xml:space="preserve">rheumatic drug-naïve or to remain on their pre-existing rheumatologic therapy provided that therapy was stable for a minimum of 28 days. These therapies include methotrexate, leflunomide, hydroxychloroquine, sulfasalazine and/or gold salts. Patients were randomised to 40 mg of Humira or placebo every other week for 24 weeks.  </w:t>
      </w:r>
    </w:p>
    <w:p w14:paraId="1C972083" w14:textId="77777777" w:rsidR="00BC0E7E" w:rsidRPr="00BC0E7E" w:rsidRDefault="00BC0E7E" w:rsidP="00BC0E7E"/>
    <w:p w14:paraId="6CC6FD28" w14:textId="77777777" w:rsidR="00BC0E7E" w:rsidRPr="00BC0E7E" w:rsidRDefault="00944B8F" w:rsidP="00BC0E7E">
      <w:r w:rsidRPr="00BC0E7E">
        <w:t>RA study V evaluated 799 methotrexate-naïve, adult patients with moderate to severely active early rheumatoid arthritis (mean disease duration less than 9 months). This study evaluated the efficacy of Humira 40 mg every other week/methotrexate combination therapy, Humira 40 mg every other week monotherapy and methotrexate monotherapy in reducing the signs and symptoms and rate of progression of joint damage in rheumatoid arthritis for 104 weeks. Upon completion of the first 104 weeks, 497 patients enrolled in an open-label extension phase in which 40 mg of Humira was administered every other week up to 10 years.</w:t>
      </w:r>
    </w:p>
    <w:p w14:paraId="28EAD0E2" w14:textId="77777777" w:rsidR="00BC0E7E" w:rsidRPr="00BC0E7E" w:rsidRDefault="00BC0E7E" w:rsidP="00BC0E7E"/>
    <w:p w14:paraId="535C3090" w14:textId="77777777" w:rsidR="00BC0E7E" w:rsidRPr="00BC0E7E" w:rsidRDefault="00944B8F" w:rsidP="00BC0E7E">
      <w:pPr>
        <w:rPr>
          <w:szCs w:val="22"/>
        </w:rPr>
      </w:pPr>
      <w:r w:rsidRPr="00BC0E7E">
        <w:rPr>
          <w:szCs w:val="22"/>
        </w:rPr>
        <w:t xml:space="preserve">RA studies VI and VII each evaluated 60 patients with moderately to severely active rheumatoid arthritis who were ≥ 18 years old. Enrolled patients were </w:t>
      </w:r>
      <w:r w:rsidRPr="00BC0E7E">
        <w:rPr>
          <w:rFonts w:eastAsia="MS Mincho"/>
          <w:szCs w:val="22"/>
          <w:lang w:eastAsia="ja-JP"/>
        </w:rPr>
        <w:t>either current users of Humira 40 mg/0.8 ml and rated their average injection site pain as at least 3 cm (on a 0-10 cm VAS) or were biologic-naïve subjects who were starting Humira 40 mg/0.8 ml</w:t>
      </w:r>
      <w:r w:rsidRPr="00BC0E7E">
        <w:rPr>
          <w:szCs w:val="22"/>
        </w:rPr>
        <w:t xml:space="preserve">. Patients were randomised to receive a single dose of Humira 40 mg/0.8 ml or Humira 40 mg/0.4 ml, followed by a single injection of the opposite treatment at their next dose. </w:t>
      </w:r>
    </w:p>
    <w:p w14:paraId="12BFE293" w14:textId="77777777" w:rsidR="00BC0E7E" w:rsidRPr="00BC0E7E" w:rsidRDefault="00BC0E7E" w:rsidP="00BC0E7E"/>
    <w:p w14:paraId="6663E835" w14:textId="77777777" w:rsidR="00BC0E7E" w:rsidRPr="00BC0E7E" w:rsidRDefault="00944B8F" w:rsidP="00BC0E7E">
      <w:r w:rsidRPr="00BC0E7E">
        <w:t xml:space="preserve">The primary end point in RA studies I, II and III and the secondary endpoint in RA study IV was the percent of patients who achieved an ACR 20 response at Week 24 or 26. The primary endpoint in RA </w:t>
      </w:r>
      <w:r w:rsidRPr="00BC0E7E">
        <w:lastRenderedPageBreak/>
        <w:t>study V was the percent of patients who achieved an ACR 50 response at Week 52. RA studies III and V had an additional primary endpoint at 52 weeks of retardation of disease progression (as detected by X-ray results). RA study III also had a primary endpoint of changes in quality of life. The primary endpoint in RA studies VI and VII was injection site pain immediately after injection as measured by a 0-10 cm VAS.</w:t>
      </w:r>
    </w:p>
    <w:p w14:paraId="21D02C0C" w14:textId="77777777" w:rsidR="00BC0E7E" w:rsidRPr="00BC0E7E" w:rsidRDefault="00BC0E7E" w:rsidP="00BC0E7E"/>
    <w:p w14:paraId="4A368653" w14:textId="77777777" w:rsidR="00BC0E7E" w:rsidRPr="00BC0E7E" w:rsidRDefault="00944B8F" w:rsidP="00BC0E7E">
      <w:pPr>
        <w:rPr>
          <w:i/>
          <w:szCs w:val="20"/>
          <w:u w:val="single"/>
        </w:rPr>
      </w:pPr>
      <w:r w:rsidRPr="00BC0E7E">
        <w:rPr>
          <w:i/>
          <w:szCs w:val="20"/>
          <w:u w:val="single"/>
        </w:rPr>
        <w:t>ACR response</w:t>
      </w:r>
    </w:p>
    <w:p w14:paraId="28CC004F" w14:textId="77777777" w:rsidR="00BC0E7E" w:rsidRPr="00BC0E7E" w:rsidRDefault="00BC0E7E" w:rsidP="00BC0E7E">
      <w:pPr>
        <w:rPr>
          <w:szCs w:val="20"/>
        </w:rPr>
      </w:pPr>
    </w:p>
    <w:p w14:paraId="3534AE97" w14:textId="77777777" w:rsidR="00BC0E7E" w:rsidRPr="00BC0E7E" w:rsidRDefault="00944B8F" w:rsidP="00BC0E7E">
      <w:r w:rsidRPr="00BC0E7E">
        <w:t xml:space="preserve">The percent of Humira-treated patients achieving ACR 20, 50 and 70 responses was consistent across RA studies I, II and III. The results for the 40 mg every other week dose are summarised in Table </w:t>
      </w:r>
      <w:r w:rsidR="00D0578C">
        <w:t>8</w:t>
      </w:r>
      <w:r w:rsidRPr="00BC0E7E">
        <w:t xml:space="preserve">. </w:t>
      </w:r>
    </w:p>
    <w:p w14:paraId="411AB32B" w14:textId="77777777" w:rsidR="00BC0E7E" w:rsidRPr="00BC0E7E" w:rsidRDefault="00BC0E7E" w:rsidP="00BC0E7E">
      <w:pPr>
        <w:keepNext/>
      </w:pPr>
    </w:p>
    <w:tbl>
      <w:tblPr>
        <w:tblW w:w="9124" w:type="dxa"/>
        <w:tblInd w:w="98" w:type="dxa"/>
        <w:tblLayout w:type="fixed"/>
        <w:tblCellMar>
          <w:left w:w="0" w:type="dxa"/>
          <w:right w:w="0" w:type="dxa"/>
        </w:tblCellMar>
        <w:tblLook w:val="0000" w:firstRow="0" w:lastRow="0" w:firstColumn="0" w:lastColumn="0" w:noHBand="0" w:noVBand="0"/>
      </w:tblPr>
      <w:tblGrid>
        <w:gridCol w:w="1186"/>
        <w:gridCol w:w="1134"/>
        <w:gridCol w:w="1550"/>
        <w:gridCol w:w="1285"/>
        <w:gridCol w:w="1276"/>
        <w:gridCol w:w="1276"/>
        <w:gridCol w:w="1417"/>
      </w:tblGrid>
      <w:tr w:rsidR="00C6578C" w14:paraId="5CFEE1B4" w14:textId="77777777" w:rsidTr="00171601">
        <w:tc>
          <w:tcPr>
            <w:tcW w:w="9124" w:type="dxa"/>
            <w:gridSpan w:val="7"/>
          </w:tcPr>
          <w:p w14:paraId="38584A12"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
                <w:szCs w:val="20"/>
              </w:rPr>
            </w:pPr>
            <w:r w:rsidRPr="00BC0E7E">
              <w:rPr>
                <w:b/>
                <w:szCs w:val="20"/>
              </w:rPr>
              <w:t xml:space="preserve">Table </w:t>
            </w:r>
            <w:r w:rsidR="00D0578C">
              <w:rPr>
                <w:b/>
                <w:szCs w:val="20"/>
              </w:rPr>
              <w:t>8</w:t>
            </w:r>
            <w:r w:rsidRPr="00BC0E7E">
              <w:rPr>
                <w:b/>
                <w:szCs w:val="20"/>
              </w:rPr>
              <w:t xml:space="preserve"> </w:t>
            </w:r>
          </w:p>
          <w:p w14:paraId="2E1E5906"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
                <w:szCs w:val="20"/>
              </w:rPr>
            </w:pPr>
            <w:r w:rsidRPr="00BC0E7E">
              <w:rPr>
                <w:b/>
                <w:szCs w:val="20"/>
              </w:rPr>
              <w:t>ACR Responses in Placebo-Controlled Trials</w:t>
            </w:r>
          </w:p>
          <w:p w14:paraId="5D4A15C4"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
                <w:szCs w:val="20"/>
              </w:rPr>
            </w:pPr>
            <w:r w:rsidRPr="00BC0E7E">
              <w:rPr>
                <w:b/>
                <w:szCs w:val="20"/>
              </w:rPr>
              <w:t>(Percent of Patients)</w:t>
            </w:r>
          </w:p>
          <w:p w14:paraId="7E31F131" w14:textId="77777777" w:rsidR="00BC0E7E" w:rsidRPr="00BC0E7E" w:rsidRDefault="00BC0E7E" w:rsidP="00BC0E7E">
            <w:pPr>
              <w:keepNext/>
              <w:tabs>
                <w:tab w:val="clear" w:pos="562"/>
              </w:tabs>
              <w:suppressAutoHyphens w:val="0"/>
              <w:overflowPunct w:val="0"/>
              <w:autoSpaceDE w:val="0"/>
              <w:autoSpaceDN w:val="0"/>
              <w:adjustRightInd w:val="0"/>
              <w:jc w:val="center"/>
              <w:textAlignment w:val="baseline"/>
              <w:rPr>
                <w:b/>
                <w:szCs w:val="20"/>
              </w:rPr>
            </w:pPr>
          </w:p>
        </w:tc>
      </w:tr>
      <w:tr w:rsidR="00C6578C" w14:paraId="2F6BBB37" w14:textId="77777777" w:rsidTr="00171601">
        <w:trPr>
          <w:cantSplit/>
        </w:trPr>
        <w:tc>
          <w:tcPr>
            <w:tcW w:w="1186" w:type="dxa"/>
            <w:tcBorders>
              <w:top w:val="single" w:sz="6" w:space="0" w:color="auto"/>
              <w:right w:val="single" w:sz="6" w:space="0" w:color="auto"/>
            </w:tcBorders>
          </w:tcPr>
          <w:p w14:paraId="3925AECD" w14:textId="77777777" w:rsidR="00BC0E7E" w:rsidRPr="00BC0E7E" w:rsidRDefault="00944B8F" w:rsidP="00BC0E7E">
            <w:pPr>
              <w:keepNext/>
              <w:tabs>
                <w:tab w:val="clear" w:pos="562"/>
              </w:tabs>
              <w:overflowPunct w:val="0"/>
              <w:autoSpaceDE w:val="0"/>
              <w:autoSpaceDN w:val="0"/>
              <w:adjustRightInd w:val="0"/>
              <w:textAlignment w:val="baseline"/>
            </w:pPr>
            <w:r w:rsidRPr="00BC0E7E">
              <w:t>Response</w:t>
            </w:r>
          </w:p>
        </w:tc>
        <w:tc>
          <w:tcPr>
            <w:tcW w:w="2684" w:type="dxa"/>
            <w:gridSpan w:val="2"/>
            <w:tcBorders>
              <w:top w:val="single" w:sz="6" w:space="0" w:color="auto"/>
              <w:left w:val="single" w:sz="6" w:space="0" w:color="auto"/>
              <w:bottom w:val="single" w:sz="6" w:space="0" w:color="auto"/>
              <w:right w:val="single" w:sz="6" w:space="0" w:color="auto"/>
            </w:tcBorders>
          </w:tcPr>
          <w:p w14:paraId="75AFC456" w14:textId="77777777" w:rsidR="00BC0E7E" w:rsidRPr="00BC0E7E" w:rsidRDefault="00944B8F" w:rsidP="00BC0E7E">
            <w:pPr>
              <w:keepNext/>
              <w:tabs>
                <w:tab w:val="clear" w:pos="562"/>
              </w:tabs>
              <w:overflowPunct w:val="0"/>
              <w:autoSpaceDE w:val="0"/>
              <w:autoSpaceDN w:val="0"/>
              <w:adjustRightInd w:val="0"/>
              <w:jc w:val="center"/>
              <w:textAlignment w:val="baseline"/>
            </w:pPr>
            <w:r w:rsidRPr="00BC0E7E">
              <w:t>RA Study I</w:t>
            </w:r>
            <w:r w:rsidRPr="00BC0E7E">
              <w:rPr>
                <w:vertAlign w:val="superscript"/>
              </w:rPr>
              <w:t>a</w:t>
            </w:r>
            <w:r w:rsidRPr="00BC0E7E">
              <w:t>**</w:t>
            </w:r>
          </w:p>
        </w:tc>
        <w:tc>
          <w:tcPr>
            <w:tcW w:w="2561" w:type="dxa"/>
            <w:gridSpan w:val="2"/>
            <w:tcBorders>
              <w:top w:val="single" w:sz="6" w:space="0" w:color="auto"/>
              <w:left w:val="single" w:sz="6" w:space="0" w:color="auto"/>
              <w:bottom w:val="single" w:sz="6" w:space="0" w:color="auto"/>
              <w:right w:val="single" w:sz="6" w:space="0" w:color="auto"/>
            </w:tcBorders>
          </w:tcPr>
          <w:p w14:paraId="730C1D96" w14:textId="77777777" w:rsidR="00BC0E7E" w:rsidRPr="00BC0E7E" w:rsidRDefault="00944B8F" w:rsidP="00BC0E7E">
            <w:pPr>
              <w:keepNext/>
              <w:tabs>
                <w:tab w:val="clear" w:pos="562"/>
              </w:tabs>
              <w:overflowPunct w:val="0"/>
              <w:autoSpaceDE w:val="0"/>
              <w:autoSpaceDN w:val="0"/>
              <w:adjustRightInd w:val="0"/>
              <w:jc w:val="center"/>
              <w:textAlignment w:val="baseline"/>
            </w:pPr>
            <w:r w:rsidRPr="00BC0E7E">
              <w:t>RA Study II</w:t>
            </w:r>
            <w:r w:rsidRPr="00BC0E7E">
              <w:rPr>
                <w:vertAlign w:val="superscript"/>
              </w:rPr>
              <w:t>a</w:t>
            </w:r>
            <w:r w:rsidRPr="00BC0E7E">
              <w:t>**</w:t>
            </w:r>
          </w:p>
        </w:tc>
        <w:tc>
          <w:tcPr>
            <w:tcW w:w="2693" w:type="dxa"/>
            <w:gridSpan w:val="2"/>
            <w:tcBorders>
              <w:top w:val="single" w:sz="6" w:space="0" w:color="auto"/>
              <w:left w:val="single" w:sz="6" w:space="0" w:color="auto"/>
              <w:bottom w:val="single" w:sz="6" w:space="0" w:color="auto"/>
            </w:tcBorders>
          </w:tcPr>
          <w:p w14:paraId="32D7F78F" w14:textId="77777777" w:rsidR="00BC0E7E" w:rsidRPr="00BC0E7E" w:rsidRDefault="00944B8F" w:rsidP="00BC0E7E">
            <w:pPr>
              <w:keepNext/>
              <w:tabs>
                <w:tab w:val="clear" w:pos="562"/>
              </w:tabs>
              <w:overflowPunct w:val="0"/>
              <w:autoSpaceDE w:val="0"/>
              <w:autoSpaceDN w:val="0"/>
              <w:adjustRightInd w:val="0"/>
              <w:jc w:val="center"/>
              <w:textAlignment w:val="baseline"/>
            </w:pPr>
            <w:r w:rsidRPr="00BC0E7E">
              <w:t>RA Study III</w:t>
            </w:r>
            <w:r w:rsidRPr="00BC0E7E">
              <w:rPr>
                <w:vertAlign w:val="superscript"/>
              </w:rPr>
              <w:t>a</w:t>
            </w:r>
            <w:r w:rsidRPr="00BC0E7E">
              <w:t>**</w:t>
            </w:r>
          </w:p>
          <w:p w14:paraId="2240EA5D" w14:textId="77777777" w:rsidR="00BC0E7E" w:rsidRPr="00BC0E7E" w:rsidRDefault="00BC0E7E" w:rsidP="00BC0E7E">
            <w:pPr>
              <w:keepNext/>
              <w:tabs>
                <w:tab w:val="clear" w:pos="562"/>
              </w:tabs>
              <w:overflowPunct w:val="0"/>
              <w:autoSpaceDE w:val="0"/>
              <w:autoSpaceDN w:val="0"/>
              <w:adjustRightInd w:val="0"/>
              <w:jc w:val="center"/>
              <w:textAlignment w:val="baseline"/>
            </w:pPr>
          </w:p>
        </w:tc>
      </w:tr>
      <w:tr w:rsidR="00C6578C" w14:paraId="386DF382" w14:textId="77777777" w:rsidTr="00171601">
        <w:trPr>
          <w:cantSplit/>
        </w:trPr>
        <w:tc>
          <w:tcPr>
            <w:tcW w:w="1186" w:type="dxa"/>
            <w:tcBorders>
              <w:bottom w:val="single" w:sz="6" w:space="0" w:color="auto"/>
              <w:right w:val="single" w:sz="6" w:space="0" w:color="auto"/>
            </w:tcBorders>
          </w:tcPr>
          <w:p w14:paraId="52FA071E" w14:textId="77777777" w:rsidR="00BC0E7E" w:rsidRPr="00BC0E7E" w:rsidRDefault="00BC0E7E" w:rsidP="00BC0E7E">
            <w:pPr>
              <w:keepNext/>
              <w:tabs>
                <w:tab w:val="clear" w:pos="562"/>
              </w:tabs>
              <w:overflowPunct w:val="0"/>
              <w:autoSpaceDE w:val="0"/>
              <w:autoSpaceDN w:val="0"/>
              <w:adjustRightInd w:val="0"/>
              <w:textAlignment w:val="baseline"/>
            </w:pPr>
          </w:p>
        </w:tc>
        <w:tc>
          <w:tcPr>
            <w:tcW w:w="1134" w:type="dxa"/>
            <w:tcBorders>
              <w:top w:val="single" w:sz="6" w:space="0" w:color="auto"/>
              <w:left w:val="single" w:sz="6" w:space="0" w:color="auto"/>
              <w:bottom w:val="single" w:sz="6" w:space="0" w:color="auto"/>
            </w:tcBorders>
          </w:tcPr>
          <w:p w14:paraId="5CEFF771" w14:textId="77777777" w:rsidR="00BC0E7E" w:rsidRPr="00BC0E7E" w:rsidRDefault="00944B8F" w:rsidP="00BC0E7E">
            <w:pPr>
              <w:keepNext/>
              <w:tabs>
                <w:tab w:val="clear" w:pos="562"/>
              </w:tabs>
              <w:overflowPunct w:val="0"/>
              <w:autoSpaceDE w:val="0"/>
              <w:autoSpaceDN w:val="0"/>
              <w:adjustRightInd w:val="0"/>
              <w:jc w:val="center"/>
              <w:textAlignment w:val="baseline"/>
            </w:pPr>
            <w:r w:rsidRPr="00BC0E7E">
              <w:t>Placebo/ MTX</w:t>
            </w:r>
            <w:r w:rsidRPr="00BC0E7E">
              <w:rPr>
                <w:vertAlign w:val="superscript"/>
              </w:rPr>
              <w:t>c</w:t>
            </w:r>
          </w:p>
          <w:p w14:paraId="7CF49951" w14:textId="77777777" w:rsidR="00BC0E7E" w:rsidRPr="00BC0E7E" w:rsidRDefault="00944B8F" w:rsidP="00BC0E7E">
            <w:pPr>
              <w:keepNext/>
              <w:tabs>
                <w:tab w:val="clear" w:pos="562"/>
              </w:tabs>
              <w:overflowPunct w:val="0"/>
              <w:autoSpaceDE w:val="0"/>
              <w:autoSpaceDN w:val="0"/>
              <w:adjustRightInd w:val="0"/>
              <w:jc w:val="center"/>
              <w:textAlignment w:val="baseline"/>
            </w:pPr>
            <w:r w:rsidRPr="00BC0E7E">
              <w:t>n=60</w:t>
            </w:r>
          </w:p>
        </w:tc>
        <w:tc>
          <w:tcPr>
            <w:tcW w:w="1550" w:type="dxa"/>
            <w:tcBorders>
              <w:top w:val="single" w:sz="6" w:space="0" w:color="auto"/>
              <w:bottom w:val="single" w:sz="6" w:space="0" w:color="auto"/>
              <w:right w:val="single" w:sz="6" w:space="0" w:color="auto"/>
            </w:tcBorders>
          </w:tcPr>
          <w:p w14:paraId="4EAAAE83" w14:textId="77777777" w:rsidR="00BC0E7E" w:rsidRPr="00BC0E7E" w:rsidRDefault="00944B8F" w:rsidP="00BC0E7E">
            <w:pPr>
              <w:keepNext/>
              <w:tabs>
                <w:tab w:val="clear" w:pos="562"/>
              </w:tabs>
              <w:overflowPunct w:val="0"/>
              <w:autoSpaceDE w:val="0"/>
              <w:autoSpaceDN w:val="0"/>
              <w:adjustRightInd w:val="0"/>
              <w:jc w:val="center"/>
              <w:textAlignment w:val="baseline"/>
            </w:pPr>
            <w:r w:rsidRPr="00BC0E7E">
              <w:t>Humira</w:t>
            </w:r>
            <w:r w:rsidRPr="00BC0E7E">
              <w:rPr>
                <w:vertAlign w:val="superscript"/>
              </w:rPr>
              <w:t>b</w:t>
            </w:r>
            <w:r w:rsidRPr="00BC0E7E">
              <w:t>/ MTX</w:t>
            </w:r>
            <w:r w:rsidRPr="00BC0E7E">
              <w:rPr>
                <w:vertAlign w:val="superscript"/>
              </w:rPr>
              <w:t>c</w:t>
            </w:r>
          </w:p>
          <w:p w14:paraId="04F5BB9F" w14:textId="77777777" w:rsidR="00BC0E7E" w:rsidRPr="00BC0E7E" w:rsidRDefault="00944B8F" w:rsidP="00BC0E7E">
            <w:pPr>
              <w:keepNext/>
              <w:tabs>
                <w:tab w:val="clear" w:pos="562"/>
              </w:tabs>
              <w:overflowPunct w:val="0"/>
              <w:autoSpaceDE w:val="0"/>
              <w:autoSpaceDN w:val="0"/>
              <w:adjustRightInd w:val="0"/>
              <w:jc w:val="center"/>
              <w:textAlignment w:val="baseline"/>
              <w:rPr>
                <w:lang w:val="fr-FR"/>
              </w:rPr>
            </w:pPr>
            <w:r w:rsidRPr="00BC0E7E">
              <w:rPr>
                <w:lang w:val="fr-FR"/>
              </w:rPr>
              <w:t>n=63</w:t>
            </w:r>
          </w:p>
        </w:tc>
        <w:tc>
          <w:tcPr>
            <w:tcW w:w="1285" w:type="dxa"/>
            <w:tcBorders>
              <w:top w:val="single" w:sz="6" w:space="0" w:color="auto"/>
              <w:left w:val="single" w:sz="6" w:space="0" w:color="auto"/>
              <w:bottom w:val="single" w:sz="6" w:space="0" w:color="auto"/>
            </w:tcBorders>
          </w:tcPr>
          <w:p w14:paraId="622B890B" w14:textId="77777777" w:rsidR="00BC0E7E" w:rsidRPr="00BC0E7E" w:rsidRDefault="00944B8F" w:rsidP="00BC0E7E">
            <w:pPr>
              <w:keepNext/>
              <w:tabs>
                <w:tab w:val="clear" w:pos="562"/>
              </w:tabs>
              <w:overflowPunct w:val="0"/>
              <w:autoSpaceDE w:val="0"/>
              <w:autoSpaceDN w:val="0"/>
              <w:adjustRightInd w:val="0"/>
              <w:jc w:val="center"/>
              <w:textAlignment w:val="baseline"/>
              <w:rPr>
                <w:lang w:val="fr-FR"/>
              </w:rPr>
            </w:pPr>
            <w:r w:rsidRPr="00BC0E7E">
              <w:rPr>
                <w:lang w:val="fr-FR"/>
              </w:rPr>
              <w:t>Placebo</w:t>
            </w:r>
          </w:p>
          <w:p w14:paraId="3B35535F" w14:textId="77777777" w:rsidR="00BC0E7E" w:rsidRPr="00BC0E7E" w:rsidRDefault="00944B8F" w:rsidP="00BC0E7E">
            <w:pPr>
              <w:keepNext/>
              <w:tabs>
                <w:tab w:val="clear" w:pos="562"/>
              </w:tabs>
              <w:overflowPunct w:val="0"/>
              <w:autoSpaceDE w:val="0"/>
              <w:autoSpaceDN w:val="0"/>
              <w:adjustRightInd w:val="0"/>
              <w:jc w:val="center"/>
              <w:textAlignment w:val="baseline"/>
              <w:rPr>
                <w:lang w:val="fr-FR"/>
              </w:rPr>
            </w:pPr>
            <w:r w:rsidRPr="00BC0E7E">
              <w:rPr>
                <w:lang w:val="fr-FR"/>
              </w:rPr>
              <w:t>n=110</w:t>
            </w:r>
          </w:p>
        </w:tc>
        <w:tc>
          <w:tcPr>
            <w:tcW w:w="1276" w:type="dxa"/>
            <w:tcBorders>
              <w:top w:val="single" w:sz="6" w:space="0" w:color="auto"/>
              <w:bottom w:val="single" w:sz="6" w:space="0" w:color="auto"/>
              <w:right w:val="single" w:sz="6" w:space="0" w:color="auto"/>
            </w:tcBorders>
          </w:tcPr>
          <w:p w14:paraId="07CC3E54" w14:textId="77777777" w:rsidR="00BC0E7E" w:rsidRPr="00BC0E7E" w:rsidRDefault="00944B8F" w:rsidP="00BC0E7E">
            <w:pPr>
              <w:keepNext/>
              <w:tabs>
                <w:tab w:val="clear" w:pos="562"/>
              </w:tabs>
              <w:overflowPunct w:val="0"/>
              <w:autoSpaceDE w:val="0"/>
              <w:autoSpaceDN w:val="0"/>
              <w:adjustRightInd w:val="0"/>
              <w:jc w:val="center"/>
              <w:textAlignment w:val="baseline"/>
              <w:rPr>
                <w:lang w:val="fr-FR"/>
              </w:rPr>
            </w:pPr>
            <w:r w:rsidRPr="00BC0E7E">
              <w:rPr>
                <w:lang w:val="fr-FR"/>
              </w:rPr>
              <w:t>Humira</w:t>
            </w:r>
            <w:r w:rsidRPr="00BC0E7E">
              <w:rPr>
                <w:vertAlign w:val="superscript"/>
                <w:lang w:val="fr-FR"/>
              </w:rPr>
              <w:t>b</w:t>
            </w:r>
          </w:p>
          <w:p w14:paraId="417FD5B0" w14:textId="77777777" w:rsidR="00BC0E7E" w:rsidRPr="00BC0E7E" w:rsidRDefault="00944B8F" w:rsidP="00BC0E7E">
            <w:pPr>
              <w:keepNext/>
              <w:tabs>
                <w:tab w:val="clear" w:pos="562"/>
              </w:tabs>
              <w:overflowPunct w:val="0"/>
              <w:autoSpaceDE w:val="0"/>
              <w:autoSpaceDN w:val="0"/>
              <w:adjustRightInd w:val="0"/>
              <w:jc w:val="center"/>
              <w:textAlignment w:val="baseline"/>
              <w:rPr>
                <w:lang w:val="fr-FR"/>
              </w:rPr>
            </w:pPr>
            <w:r w:rsidRPr="00BC0E7E">
              <w:rPr>
                <w:lang w:val="fr-FR"/>
              </w:rPr>
              <w:t>n=113</w:t>
            </w:r>
          </w:p>
        </w:tc>
        <w:tc>
          <w:tcPr>
            <w:tcW w:w="1276" w:type="dxa"/>
            <w:tcBorders>
              <w:top w:val="single" w:sz="6" w:space="0" w:color="auto"/>
              <w:left w:val="single" w:sz="6" w:space="0" w:color="auto"/>
              <w:bottom w:val="single" w:sz="6" w:space="0" w:color="auto"/>
            </w:tcBorders>
          </w:tcPr>
          <w:p w14:paraId="60358B1D" w14:textId="77777777" w:rsidR="00BC0E7E" w:rsidRPr="00BC0E7E" w:rsidRDefault="00944B8F" w:rsidP="00BC0E7E">
            <w:pPr>
              <w:keepNext/>
              <w:tabs>
                <w:tab w:val="clear" w:pos="562"/>
              </w:tabs>
              <w:overflowPunct w:val="0"/>
              <w:autoSpaceDE w:val="0"/>
              <w:autoSpaceDN w:val="0"/>
              <w:adjustRightInd w:val="0"/>
              <w:jc w:val="center"/>
              <w:textAlignment w:val="baseline"/>
              <w:rPr>
                <w:lang w:val="fr-FR"/>
              </w:rPr>
            </w:pPr>
            <w:r w:rsidRPr="00BC0E7E">
              <w:rPr>
                <w:lang w:val="fr-FR"/>
              </w:rPr>
              <w:t>Placebo/ MTX</w:t>
            </w:r>
            <w:r w:rsidRPr="00BC0E7E">
              <w:rPr>
                <w:vertAlign w:val="superscript"/>
                <w:lang w:val="fr-FR"/>
              </w:rPr>
              <w:t>c</w:t>
            </w:r>
          </w:p>
          <w:p w14:paraId="0126D100" w14:textId="77777777" w:rsidR="00BC0E7E" w:rsidRPr="00BC0E7E" w:rsidRDefault="00944B8F" w:rsidP="00BC0E7E">
            <w:pPr>
              <w:keepNext/>
              <w:tabs>
                <w:tab w:val="clear" w:pos="562"/>
              </w:tabs>
              <w:overflowPunct w:val="0"/>
              <w:autoSpaceDE w:val="0"/>
              <w:autoSpaceDN w:val="0"/>
              <w:adjustRightInd w:val="0"/>
              <w:jc w:val="center"/>
              <w:textAlignment w:val="baseline"/>
              <w:rPr>
                <w:lang w:val="fr-FR"/>
              </w:rPr>
            </w:pPr>
            <w:r w:rsidRPr="00BC0E7E">
              <w:rPr>
                <w:lang w:val="fr-FR"/>
              </w:rPr>
              <w:t>n=200</w:t>
            </w:r>
          </w:p>
        </w:tc>
        <w:tc>
          <w:tcPr>
            <w:tcW w:w="1417" w:type="dxa"/>
            <w:tcBorders>
              <w:top w:val="single" w:sz="6" w:space="0" w:color="auto"/>
              <w:bottom w:val="single" w:sz="6" w:space="0" w:color="auto"/>
            </w:tcBorders>
          </w:tcPr>
          <w:p w14:paraId="492C8AF9" w14:textId="77777777" w:rsidR="00BC0E7E" w:rsidRPr="00BC0E7E" w:rsidRDefault="00944B8F" w:rsidP="00BC0E7E">
            <w:pPr>
              <w:keepNext/>
              <w:tabs>
                <w:tab w:val="clear" w:pos="562"/>
              </w:tabs>
              <w:overflowPunct w:val="0"/>
              <w:autoSpaceDE w:val="0"/>
              <w:autoSpaceDN w:val="0"/>
              <w:adjustRightInd w:val="0"/>
              <w:jc w:val="center"/>
              <w:textAlignment w:val="baseline"/>
              <w:rPr>
                <w:lang w:val="fr-FR"/>
              </w:rPr>
            </w:pPr>
            <w:r w:rsidRPr="00BC0E7E">
              <w:rPr>
                <w:lang w:val="fr-FR"/>
              </w:rPr>
              <w:t>Humira</w:t>
            </w:r>
            <w:r w:rsidRPr="00BC0E7E">
              <w:rPr>
                <w:vertAlign w:val="superscript"/>
                <w:lang w:val="fr-FR"/>
              </w:rPr>
              <w:t>b</w:t>
            </w:r>
            <w:r w:rsidRPr="00BC0E7E">
              <w:rPr>
                <w:lang w:val="fr-FR"/>
              </w:rPr>
              <w:t>/ MTX</w:t>
            </w:r>
            <w:r w:rsidRPr="00BC0E7E">
              <w:rPr>
                <w:vertAlign w:val="superscript"/>
                <w:lang w:val="fr-FR"/>
              </w:rPr>
              <w:t>c</w:t>
            </w:r>
          </w:p>
          <w:p w14:paraId="4CDC3F1C" w14:textId="77777777" w:rsidR="00BC0E7E" w:rsidRPr="00BC0E7E" w:rsidRDefault="00944B8F" w:rsidP="00BC0E7E">
            <w:pPr>
              <w:keepNext/>
              <w:tabs>
                <w:tab w:val="clear" w:pos="562"/>
              </w:tabs>
              <w:overflowPunct w:val="0"/>
              <w:autoSpaceDE w:val="0"/>
              <w:autoSpaceDN w:val="0"/>
              <w:adjustRightInd w:val="0"/>
              <w:jc w:val="center"/>
              <w:textAlignment w:val="baseline"/>
            </w:pPr>
            <w:r w:rsidRPr="00BC0E7E">
              <w:t>n=207</w:t>
            </w:r>
          </w:p>
        </w:tc>
      </w:tr>
      <w:tr w:rsidR="00C6578C" w14:paraId="20157BE8" w14:textId="77777777" w:rsidTr="00171601">
        <w:trPr>
          <w:cantSplit/>
        </w:trPr>
        <w:tc>
          <w:tcPr>
            <w:tcW w:w="1186" w:type="dxa"/>
            <w:tcBorders>
              <w:right w:val="single" w:sz="6" w:space="0" w:color="auto"/>
            </w:tcBorders>
          </w:tcPr>
          <w:p w14:paraId="6D239000" w14:textId="77777777" w:rsidR="00BC0E7E" w:rsidRPr="00BC0E7E" w:rsidRDefault="00944B8F" w:rsidP="00BC0E7E">
            <w:pPr>
              <w:keepNext/>
              <w:tabs>
                <w:tab w:val="clear" w:pos="562"/>
                <w:tab w:val="left" w:pos="144"/>
              </w:tabs>
              <w:overflowPunct w:val="0"/>
              <w:autoSpaceDE w:val="0"/>
              <w:autoSpaceDN w:val="0"/>
              <w:adjustRightInd w:val="0"/>
              <w:textAlignment w:val="baseline"/>
            </w:pPr>
            <w:r w:rsidRPr="00BC0E7E">
              <w:t>ACR 20</w:t>
            </w:r>
          </w:p>
        </w:tc>
        <w:tc>
          <w:tcPr>
            <w:tcW w:w="1134" w:type="dxa"/>
            <w:tcBorders>
              <w:left w:val="single" w:sz="6" w:space="0" w:color="auto"/>
            </w:tcBorders>
          </w:tcPr>
          <w:p w14:paraId="08583EAC" w14:textId="77777777" w:rsidR="00BC0E7E" w:rsidRPr="00BC0E7E" w:rsidRDefault="00BC0E7E" w:rsidP="00BC0E7E">
            <w:pPr>
              <w:keepNext/>
              <w:tabs>
                <w:tab w:val="clear" w:pos="562"/>
              </w:tabs>
              <w:overflowPunct w:val="0"/>
              <w:autoSpaceDE w:val="0"/>
              <w:autoSpaceDN w:val="0"/>
              <w:adjustRightInd w:val="0"/>
              <w:textAlignment w:val="baseline"/>
            </w:pPr>
          </w:p>
        </w:tc>
        <w:tc>
          <w:tcPr>
            <w:tcW w:w="1550" w:type="dxa"/>
            <w:tcBorders>
              <w:right w:val="single" w:sz="6" w:space="0" w:color="auto"/>
            </w:tcBorders>
          </w:tcPr>
          <w:p w14:paraId="3C690AE6" w14:textId="77777777" w:rsidR="00BC0E7E" w:rsidRPr="00BC0E7E" w:rsidRDefault="00BC0E7E" w:rsidP="00BC0E7E">
            <w:pPr>
              <w:keepNext/>
              <w:tabs>
                <w:tab w:val="clear" w:pos="562"/>
              </w:tabs>
              <w:overflowPunct w:val="0"/>
              <w:autoSpaceDE w:val="0"/>
              <w:autoSpaceDN w:val="0"/>
              <w:adjustRightInd w:val="0"/>
              <w:textAlignment w:val="baseline"/>
            </w:pPr>
          </w:p>
        </w:tc>
        <w:tc>
          <w:tcPr>
            <w:tcW w:w="1285" w:type="dxa"/>
            <w:tcBorders>
              <w:left w:val="single" w:sz="6" w:space="0" w:color="auto"/>
            </w:tcBorders>
          </w:tcPr>
          <w:p w14:paraId="24D3FF29" w14:textId="77777777" w:rsidR="00BC0E7E" w:rsidRPr="00BC0E7E" w:rsidRDefault="00BC0E7E" w:rsidP="00BC0E7E">
            <w:pPr>
              <w:keepNext/>
              <w:tabs>
                <w:tab w:val="clear" w:pos="562"/>
              </w:tabs>
              <w:overflowPunct w:val="0"/>
              <w:autoSpaceDE w:val="0"/>
              <w:autoSpaceDN w:val="0"/>
              <w:adjustRightInd w:val="0"/>
              <w:textAlignment w:val="baseline"/>
            </w:pPr>
          </w:p>
        </w:tc>
        <w:tc>
          <w:tcPr>
            <w:tcW w:w="1276" w:type="dxa"/>
            <w:tcBorders>
              <w:right w:val="single" w:sz="6" w:space="0" w:color="auto"/>
            </w:tcBorders>
          </w:tcPr>
          <w:p w14:paraId="73F0870E" w14:textId="77777777" w:rsidR="00BC0E7E" w:rsidRPr="00BC0E7E" w:rsidRDefault="00BC0E7E" w:rsidP="00BC0E7E">
            <w:pPr>
              <w:keepNext/>
              <w:tabs>
                <w:tab w:val="clear" w:pos="562"/>
              </w:tabs>
              <w:overflowPunct w:val="0"/>
              <w:autoSpaceDE w:val="0"/>
              <w:autoSpaceDN w:val="0"/>
              <w:adjustRightInd w:val="0"/>
              <w:textAlignment w:val="baseline"/>
            </w:pPr>
          </w:p>
        </w:tc>
        <w:tc>
          <w:tcPr>
            <w:tcW w:w="1276" w:type="dxa"/>
            <w:tcBorders>
              <w:top w:val="single" w:sz="6" w:space="0" w:color="auto"/>
              <w:left w:val="single" w:sz="6" w:space="0" w:color="auto"/>
            </w:tcBorders>
          </w:tcPr>
          <w:p w14:paraId="6D7A2902" w14:textId="77777777" w:rsidR="00BC0E7E" w:rsidRPr="00BC0E7E" w:rsidRDefault="00BC0E7E" w:rsidP="00BC0E7E">
            <w:pPr>
              <w:keepNext/>
              <w:tabs>
                <w:tab w:val="clear" w:pos="562"/>
              </w:tabs>
              <w:overflowPunct w:val="0"/>
              <w:autoSpaceDE w:val="0"/>
              <w:autoSpaceDN w:val="0"/>
              <w:adjustRightInd w:val="0"/>
              <w:textAlignment w:val="baseline"/>
            </w:pPr>
          </w:p>
        </w:tc>
        <w:tc>
          <w:tcPr>
            <w:tcW w:w="1417" w:type="dxa"/>
            <w:tcBorders>
              <w:top w:val="single" w:sz="6" w:space="0" w:color="auto"/>
            </w:tcBorders>
          </w:tcPr>
          <w:p w14:paraId="02841490" w14:textId="77777777" w:rsidR="00BC0E7E" w:rsidRPr="00BC0E7E" w:rsidRDefault="00BC0E7E" w:rsidP="00BC0E7E">
            <w:pPr>
              <w:keepNext/>
              <w:tabs>
                <w:tab w:val="clear" w:pos="562"/>
              </w:tabs>
              <w:overflowPunct w:val="0"/>
              <w:autoSpaceDE w:val="0"/>
              <w:autoSpaceDN w:val="0"/>
              <w:adjustRightInd w:val="0"/>
              <w:textAlignment w:val="baseline"/>
            </w:pPr>
          </w:p>
        </w:tc>
      </w:tr>
      <w:tr w:rsidR="00C6578C" w14:paraId="45B840D1" w14:textId="77777777" w:rsidTr="00171601">
        <w:trPr>
          <w:cantSplit/>
        </w:trPr>
        <w:tc>
          <w:tcPr>
            <w:tcW w:w="1186" w:type="dxa"/>
            <w:tcBorders>
              <w:right w:val="single" w:sz="6" w:space="0" w:color="auto"/>
            </w:tcBorders>
          </w:tcPr>
          <w:p w14:paraId="733F3179" w14:textId="77777777" w:rsidR="00BC0E7E" w:rsidRPr="00BC0E7E" w:rsidRDefault="00944B8F" w:rsidP="00BC0E7E">
            <w:pPr>
              <w:keepNext/>
              <w:tabs>
                <w:tab w:val="clear" w:pos="562"/>
                <w:tab w:val="left" w:pos="144"/>
              </w:tabs>
              <w:overflowPunct w:val="0"/>
              <w:autoSpaceDE w:val="0"/>
              <w:autoSpaceDN w:val="0"/>
              <w:adjustRightInd w:val="0"/>
              <w:textAlignment w:val="baseline"/>
            </w:pPr>
            <w:r w:rsidRPr="00BC0E7E">
              <w:tab/>
              <w:t>6 months</w:t>
            </w:r>
          </w:p>
        </w:tc>
        <w:tc>
          <w:tcPr>
            <w:tcW w:w="1134" w:type="dxa"/>
            <w:tcBorders>
              <w:left w:val="single" w:sz="6" w:space="0" w:color="auto"/>
            </w:tcBorders>
          </w:tcPr>
          <w:p w14:paraId="5A59D6A8" w14:textId="77777777" w:rsidR="00BC0E7E" w:rsidRPr="00BC0E7E" w:rsidRDefault="00944B8F" w:rsidP="00BC0E7E">
            <w:pPr>
              <w:keepNext/>
              <w:tabs>
                <w:tab w:val="clear" w:pos="562"/>
              </w:tabs>
              <w:overflowPunct w:val="0"/>
              <w:autoSpaceDE w:val="0"/>
              <w:autoSpaceDN w:val="0"/>
              <w:adjustRightInd w:val="0"/>
              <w:jc w:val="center"/>
              <w:textAlignment w:val="baseline"/>
            </w:pPr>
            <w:r w:rsidRPr="00BC0E7E">
              <w:t>13.3%</w:t>
            </w:r>
          </w:p>
        </w:tc>
        <w:tc>
          <w:tcPr>
            <w:tcW w:w="1550" w:type="dxa"/>
            <w:tcBorders>
              <w:right w:val="single" w:sz="6" w:space="0" w:color="auto"/>
            </w:tcBorders>
          </w:tcPr>
          <w:p w14:paraId="438CD3DB" w14:textId="77777777" w:rsidR="00BC0E7E" w:rsidRPr="00BC0E7E" w:rsidRDefault="00944B8F" w:rsidP="00BC0E7E">
            <w:pPr>
              <w:keepNext/>
              <w:tabs>
                <w:tab w:val="clear" w:pos="562"/>
              </w:tabs>
              <w:overflowPunct w:val="0"/>
              <w:autoSpaceDE w:val="0"/>
              <w:autoSpaceDN w:val="0"/>
              <w:adjustRightInd w:val="0"/>
              <w:jc w:val="center"/>
              <w:textAlignment w:val="baseline"/>
            </w:pPr>
            <w:r w:rsidRPr="00BC0E7E">
              <w:t>65.1%</w:t>
            </w:r>
          </w:p>
        </w:tc>
        <w:tc>
          <w:tcPr>
            <w:tcW w:w="1285" w:type="dxa"/>
            <w:tcBorders>
              <w:left w:val="single" w:sz="6" w:space="0" w:color="auto"/>
            </w:tcBorders>
          </w:tcPr>
          <w:p w14:paraId="0CA856D2" w14:textId="77777777" w:rsidR="00BC0E7E" w:rsidRPr="00BC0E7E" w:rsidRDefault="00944B8F" w:rsidP="00BC0E7E">
            <w:pPr>
              <w:keepNext/>
              <w:tabs>
                <w:tab w:val="clear" w:pos="562"/>
              </w:tabs>
              <w:overflowPunct w:val="0"/>
              <w:autoSpaceDE w:val="0"/>
              <w:autoSpaceDN w:val="0"/>
              <w:adjustRightInd w:val="0"/>
              <w:jc w:val="center"/>
              <w:textAlignment w:val="baseline"/>
            </w:pPr>
            <w:r w:rsidRPr="00BC0E7E">
              <w:t>19.1%</w:t>
            </w:r>
          </w:p>
        </w:tc>
        <w:tc>
          <w:tcPr>
            <w:tcW w:w="1276" w:type="dxa"/>
            <w:tcBorders>
              <w:right w:val="single" w:sz="6" w:space="0" w:color="auto"/>
            </w:tcBorders>
          </w:tcPr>
          <w:p w14:paraId="31177D19" w14:textId="77777777" w:rsidR="00BC0E7E" w:rsidRPr="00BC0E7E" w:rsidRDefault="00944B8F" w:rsidP="00BC0E7E">
            <w:pPr>
              <w:keepNext/>
              <w:tabs>
                <w:tab w:val="clear" w:pos="562"/>
              </w:tabs>
              <w:overflowPunct w:val="0"/>
              <w:autoSpaceDE w:val="0"/>
              <w:autoSpaceDN w:val="0"/>
              <w:adjustRightInd w:val="0"/>
              <w:jc w:val="center"/>
              <w:textAlignment w:val="baseline"/>
            </w:pPr>
            <w:r w:rsidRPr="00BC0E7E">
              <w:t>46.0%</w:t>
            </w:r>
          </w:p>
        </w:tc>
        <w:tc>
          <w:tcPr>
            <w:tcW w:w="1276" w:type="dxa"/>
            <w:tcBorders>
              <w:left w:val="single" w:sz="6" w:space="0" w:color="auto"/>
            </w:tcBorders>
          </w:tcPr>
          <w:p w14:paraId="6D26F482" w14:textId="77777777" w:rsidR="00BC0E7E" w:rsidRPr="00BC0E7E" w:rsidRDefault="00944B8F" w:rsidP="00BC0E7E">
            <w:pPr>
              <w:keepNext/>
              <w:tabs>
                <w:tab w:val="clear" w:pos="562"/>
                <w:tab w:val="decimal" w:pos="567"/>
              </w:tabs>
              <w:overflowPunct w:val="0"/>
              <w:autoSpaceDE w:val="0"/>
              <w:autoSpaceDN w:val="0"/>
              <w:adjustRightInd w:val="0"/>
              <w:textAlignment w:val="baseline"/>
            </w:pPr>
            <w:r w:rsidRPr="00BC0E7E">
              <w:t>29.5%</w:t>
            </w:r>
          </w:p>
        </w:tc>
        <w:tc>
          <w:tcPr>
            <w:tcW w:w="1417" w:type="dxa"/>
          </w:tcPr>
          <w:p w14:paraId="0A7F038F" w14:textId="77777777" w:rsidR="00BC0E7E" w:rsidRPr="00BC0E7E" w:rsidRDefault="00944B8F" w:rsidP="00BC0E7E">
            <w:pPr>
              <w:keepNext/>
              <w:tabs>
                <w:tab w:val="clear" w:pos="562"/>
                <w:tab w:val="decimal" w:pos="662"/>
              </w:tabs>
              <w:overflowPunct w:val="0"/>
              <w:autoSpaceDE w:val="0"/>
              <w:autoSpaceDN w:val="0"/>
              <w:adjustRightInd w:val="0"/>
              <w:textAlignment w:val="baseline"/>
            </w:pPr>
            <w:r w:rsidRPr="00BC0E7E">
              <w:t>63.3%</w:t>
            </w:r>
          </w:p>
        </w:tc>
      </w:tr>
      <w:tr w:rsidR="00C6578C" w14:paraId="300BC255" w14:textId="77777777" w:rsidTr="00171601">
        <w:trPr>
          <w:cantSplit/>
        </w:trPr>
        <w:tc>
          <w:tcPr>
            <w:tcW w:w="1186" w:type="dxa"/>
            <w:tcBorders>
              <w:right w:val="single" w:sz="6" w:space="0" w:color="auto"/>
            </w:tcBorders>
          </w:tcPr>
          <w:p w14:paraId="489B70C9" w14:textId="77777777" w:rsidR="00BC0E7E" w:rsidRPr="00BC0E7E" w:rsidRDefault="00944B8F" w:rsidP="00BC0E7E">
            <w:pPr>
              <w:keepNext/>
              <w:tabs>
                <w:tab w:val="clear" w:pos="562"/>
                <w:tab w:val="left" w:pos="144"/>
              </w:tabs>
              <w:overflowPunct w:val="0"/>
              <w:autoSpaceDE w:val="0"/>
              <w:autoSpaceDN w:val="0"/>
              <w:adjustRightInd w:val="0"/>
              <w:textAlignment w:val="baseline"/>
            </w:pPr>
            <w:r w:rsidRPr="00BC0E7E">
              <w:tab/>
              <w:t>12 months</w:t>
            </w:r>
          </w:p>
        </w:tc>
        <w:tc>
          <w:tcPr>
            <w:tcW w:w="1134" w:type="dxa"/>
            <w:tcBorders>
              <w:left w:val="single" w:sz="6" w:space="0" w:color="auto"/>
            </w:tcBorders>
          </w:tcPr>
          <w:p w14:paraId="0E42A737" w14:textId="77777777" w:rsidR="00BC0E7E" w:rsidRPr="00BC0E7E" w:rsidRDefault="00944B8F" w:rsidP="00BC0E7E">
            <w:pPr>
              <w:keepNext/>
              <w:tabs>
                <w:tab w:val="clear" w:pos="562"/>
              </w:tabs>
              <w:overflowPunct w:val="0"/>
              <w:autoSpaceDE w:val="0"/>
              <w:autoSpaceDN w:val="0"/>
              <w:adjustRightInd w:val="0"/>
              <w:jc w:val="center"/>
              <w:textAlignment w:val="baseline"/>
            </w:pPr>
            <w:r w:rsidRPr="00BC0E7E">
              <w:t>NA</w:t>
            </w:r>
          </w:p>
        </w:tc>
        <w:tc>
          <w:tcPr>
            <w:tcW w:w="1550" w:type="dxa"/>
            <w:tcBorders>
              <w:right w:val="single" w:sz="6" w:space="0" w:color="auto"/>
            </w:tcBorders>
          </w:tcPr>
          <w:p w14:paraId="2E159471" w14:textId="77777777" w:rsidR="00BC0E7E" w:rsidRPr="00BC0E7E" w:rsidRDefault="00944B8F" w:rsidP="00BC0E7E">
            <w:pPr>
              <w:keepNext/>
              <w:tabs>
                <w:tab w:val="clear" w:pos="562"/>
              </w:tabs>
              <w:overflowPunct w:val="0"/>
              <w:autoSpaceDE w:val="0"/>
              <w:autoSpaceDN w:val="0"/>
              <w:adjustRightInd w:val="0"/>
              <w:jc w:val="center"/>
              <w:textAlignment w:val="baseline"/>
            </w:pPr>
            <w:r w:rsidRPr="00BC0E7E">
              <w:t>NA</w:t>
            </w:r>
          </w:p>
        </w:tc>
        <w:tc>
          <w:tcPr>
            <w:tcW w:w="1285" w:type="dxa"/>
            <w:tcBorders>
              <w:left w:val="single" w:sz="6" w:space="0" w:color="auto"/>
            </w:tcBorders>
          </w:tcPr>
          <w:p w14:paraId="0CEC7404" w14:textId="77777777" w:rsidR="00BC0E7E" w:rsidRPr="00BC0E7E" w:rsidRDefault="00944B8F" w:rsidP="00BC0E7E">
            <w:pPr>
              <w:keepNext/>
              <w:tabs>
                <w:tab w:val="clear" w:pos="562"/>
                <w:tab w:val="decimal" w:pos="151"/>
              </w:tabs>
              <w:overflowPunct w:val="0"/>
              <w:autoSpaceDE w:val="0"/>
              <w:autoSpaceDN w:val="0"/>
              <w:adjustRightInd w:val="0"/>
              <w:jc w:val="center"/>
              <w:textAlignment w:val="baseline"/>
              <w:rPr>
                <w:lang w:val="it-IT"/>
              </w:rPr>
            </w:pPr>
            <w:r w:rsidRPr="00BC0E7E">
              <w:rPr>
                <w:lang w:val="it-IT"/>
              </w:rPr>
              <w:t>NA</w:t>
            </w:r>
          </w:p>
        </w:tc>
        <w:tc>
          <w:tcPr>
            <w:tcW w:w="1276" w:type="dxa"/>
            <w:tcBorders>
              <w:right w:val="single" w:sz="6" w:space="0" w:color="auto"/>
            </w:tcBorders>
          </w:tcPr>
          <w:p w14:paraId="662B836F" w14:textId="77777777" w:rsidR="00BC0E7E" w:rsidRPr="00BC0E7E" w:rsidRDefault="00944B8F" w:rsidP="00BC0E7E">
            <w:pPr>
              <w:keepNext/>
              <w:tabs>
                <w:tab w:val="clear" w:pos="562"/>
              </w:tabs>
              <w:overflowPunct w:val="0"/>
              <w:autoSpaceDE w:val="0"/>
              <w:autoSpaceDN w:val="0"/>
              <w:adjustRightInd w:val="0"/>
              <w:jc w:val="center"/>
              <w:textAlignment w:val="baseline"/>
              <w:rPr>
                <w:lang w:val="it-IT"/>
              </w:rPr>
            </w:pPr>
            <w:r w:rsidRPr="00BC0E7E">
              <w:rPr>
                <w:lang w:val="it-IT"/>
              </w:rPr>
              <w:t>NA</w:t>
            </w:r>
          </w:p>
        </w:tc>
        <w:tc>
          <w:tcPr>
            <w:tcW w:w="1276" w:type="dxa"/>
            <w:tcBorders>
              <w:left w:val="single" w:sz="6" w:space="0" w:color="auto"/>
            </w:tcBorders>
          </w:tcPr>
          <w:p w14:paraId="2E5E2C31" w14:textId="77777777" w:rsidR="00BC0E7E" w:rsidRPr="00BC0E7E" w:rsidRDefault="00944B8F" w:rsidP="00BC0E7E">
            <w:pPr>
              <w:keepNext/>
              <w:tabs>
                <w:tab w:val="clear" w:pos="562"/>
                <w:tab w:val="decimal" w:pos="567"/>
              </w:tabs>
              <w:overflowPunct w:val="0"/>
              <w:autoSpaceDE w:val="0"/>
              <w:autoSpaceDN w:val="0"/>
              <w:adjustRightInd w:val="0"/>
              <w:textAlignment w:val="baseline"/>
              <w:rPr>
                <w:lang w:val="it-IT"/>
              </w:rPr>
            </w:pPr>
            <w:r w:rsidRPr="00BC0E7E">
              <w:rPr>
                <w:lang w:val="it-IT"/>
              </w:rPr>
              <w:t>24.0%</w:t>
            </w:r>
          </w:p>
        </w:tc>
        <w:tc>
          <w:tcPr>
            <w:tcW w:w="1417" w:type="dxa"/>
          </w:tcPr>
          <w:p w14:paraId="6DD218BB" w14:textId="77777777" w:rsidR="00BC0E7E" w:rsidRPr="00BC0E7E" w:rsidRDefault="00944B8F" w:rsidP="00BC0E7E">
            <w:pPr>
              <w:keepNext/>
              <w:tabs>
                <w:tab w:val="clear" w:pos="562"/>
                <w:tab w:val="decimal" w:pos="662"/>
              </w:tabs>
              <w:overflowPunct w:val="0"/>
              <w:autoSpaceDE w:val="0"/>
              <w:autoSpaceDN w:val="0"/>
              <w:adjustRightInd w:val="0"/>
              <w:textAlignment w:val="baseline"/>
              <w:rPr>
                <w:lang w:val="it-IT"/>
              </w:rPr>
            </w:pPr>
            <w:r w:rsidRPr="00BC0E7E">
              <w:rPr>
                <w:lang w:val="it-IT"/>
              </w:rPr>
              <w:t>58.9%</w:t>
            </w:r>
          </w:p>
        </w:tc>
      </w:tr>
      <w:tr w:rsidR="00C6578C" w14:paraId="046D91C8" w14:textId="77777777" w:rsidTr="00171601">
        <w:trPr>
          <w:cantSplit/>
        </w:trPr>
        <w:tc>
          <w:tcPr>
            <w:tcW w:w="1186" w:type="dxa"/>
            <w:tcBorders>
              <w:right w:val="single" w:sz="6" w:space="0" w:color="auto"/>
            </w:tcBorders>
          </w:tcPr>
          <w:p w14:paraId="4E2B0F38" w14:textId="77777777" w:rsidR="00BC0E7E" w:rsidRPr="00BC0E7E" w:rsidRDefault="00944B8F" w:rsidP="00BC0E7E">
            <w:pPr>
              <w:keepNext/>
              <w:tabs>
                <w:tab w:val="clear" w:pos="562"/>
                <w:tab w:val="left" w:pos="144"/>
              </w:tabs>
              <w:overflowPunct w:val="0"/>
              <w:autoSpaceDE w:val="0"/>
              <w:autoSpaceDN w:val="0"/>
              <w:adjustRightInd w:val="0"/>
              <w:textAlignment w:val="baseline"/>
              <w:rPr>
                <w:lang w:val="it-IT"/>
              </w:rPr>
            </w:pPr>
            <w:r w:rsidRPr="00BC0E7E">
              <w:rPr>
                <w:lang w:val="it-IT"/>
              </w:rPr>
              <w:t>ACR 50</w:t>
            </w:r>
          </w:p>
        </w:tc>
        <w:tc>
          <w:tcPr>
            <w:tcW w:w="1134" w:type="dxa"/>
            <w:tcBorders>
              <w:left w:val="single" w:sz="6" w:space="0" w:color="auto"/>
            </w:tcBorders>
          </w:tcPr>
          <w:p w14:paraId="64F3B71A" w14:textId="77777777" w:rsidR="00BC0E7E" w:rsidRPr="00BC0E7E" w:rsidRDefault="00BC0E7E" w:rsidP="00BC0E7E">
            <w:pPr>
              <w:keepNext/>
              <w:tabs>
                <w:tab w:val="clear" w:pos="562"/>
              </w:tabs>
              <w:overflowPunct w:val="0"/>
              <w:autoSpaceDE w:val="0"/>
              <w:autoSpaceDN w:val="0"/>
              <w:adjustRightInd w:val="0"/>
              <w:jc w:val="center"/>
              <w:textAlignment w:val="baseline"/>
              <w:rPr>
                <w:lang w:val="it-IT"/>
              </w:rPr>
            </w:pPr>
          </w:p>
        </w:tc>
        <w:tc>
          <w:tcPr>
            <w:tcW w:w="1550" w:type="dxa"/>
            <w:tcBorders>
              <w:right w:val="single" w:sz="6" w:space="0" w:color="auto"/>
            </w:tcBorders>
          </w:tcPr>
          <w:p w14:paraId="74C43F87" w14:textId="77777777" w:rsidR="00BC0E7E" w:rsidRPr="00BC0E7E" w:rsidRDefault="00BC0E7E" w:rsidP="00BC0E7E">
            <w:pPr>
              <w:keepNext/>
              <w:tabs>
                <w:tab w:val="clear" w:pos="562"/>
              </w:tabs>
              <w:overflowPunct w:val="0"/>
              <w:autoSpaceDE w:val="0"/>
              <w:autoSpaceDN w:val="0"/>
              <w:adjustRightInd w:val="0"/>
              <w:jc w:val="center"/>
              <w:textAlignment w:val="baseline"/>
              <w:rPr>
                <w:lang w:val="it-IT"/>
              </w:rPr>
            </w:pPr>
          </w:p>
        </w:tc>
        <w:tc>
          <w:tcPr>
            <w:tcW w:w="1285" w:type="dxa"/>
            <w:tcBorders>
              <w:left w:val="single" w:sz="6" w:space="0" w:color="auto"/>
            </w:tcBorders>
          </w:tcPr>
          <w:p w14:paraId="27C60B24" w14:textId="77777777" w:rsidR="00BC0E7E" w:rsidRPr="00BC0E7E" w:rsidRDefault="00BC0E7E" w:rsidP="00BC0E7E">
            <w:pPr>
              <w:keepNext/>
              <w:tabs>
                <w:tab w:val="clear" w:pos="562"/>
                <w:tab w:val="decimal" w:pos="151"/>
              </w:tabs>
              <w:overflowPunct w:val="0"/>
              <w:autoSpaceDE w:val="0"/>
              <w:autoSpaceDN w:val="0"/>
              <w:adjustRightInd w:val="0"/>
              <w:jc w:val="center"/>
              <w:textAlignment w:val="baseline"/>
              <w:rPr>
                <w:lang w:val="it-IT"/>
              </w:rPr>
            </w:pPr>
          </w:p>
        </w:tc>
        <w:tc>
          <w:tcPr>
            <w:tcW w:w="1276" w:type="dxa"/>
            <w:tcBorders>
              <w:right w:val="single" w:sz="6" w:space="0" w:color="auto"/>
            </w:tcBorders>
          </w:tcPr>
          <w:p w14:paraId="73A62989" w14:textId="77777777" w:rsidR="00BC0E7E" w:rsidRPr="00BC0E7E" w:rsidRDefault="00BC0E7E" w:rsidP="00BC0E7E">
            <w:pPr>
              <w:keepNext/>
              <w:tabs>
                <w:tab w:val="clear" w:pos="562"/>
              </w:tabs>
              <w:overflowPunct w:val="0"/>
              <w:autoSpaceDE w:val="0"/>
              <w:autoSpaceDN w:val="0"/>
              <w:adjustRightInd w:val="0"/>
              <w:jc w:val="center"/>
              <w:textAlignment w:val="baseline"/>
              <w:rPr>
                <w:lang w:val="it-IT"/>
              </w:rPr>
            </w:pPr>
          </w:p>
        </w:tc>
        <w:tc>
          <w:tcPr>
            <w:tcW w:w="1276" w:type="dxa"/>
            <w:tcBorders>
              <w:left w:val="single" w:sz="6" w:space="0" w:color="auto"/>
            </w:tcBorders>
          </w:tcPr>
          <w:p w14:paraId="48945538" w14:textId="77777777" w:rsidR="00BC0E7E" w:rsidRPr="00BC0E7E" w:rsidRDefault="00BC0E7E" w:rsidP="00BC0E7E">
            <w:pPr>
              <w:keepNext/>
              <w:tabs>
                <w:tab w:val="clear" w:pos="562"/>
                <w:tab w:val="decimal" w:pos="567"/>
              </w:tabs>
              <w:overflowPunct w:val="0"/>
              <w:autoSpaceDE w:val="0"/>
              <w:autoSpaceDN w:val="0"/>
              <w:adjustRightInd w:val="0"/>
              <w:textAlignment w:val="baseline"/>
              <w:rPr>
                <w:lang w:val="it-IT"/>
              </w:rPr>
            </w:pPr>
          </w:p>
        </w:tc>
        <w:tc>
          <w:tcPr>
            <w:tcW w:w="1417" w:type="dxa"/>
          </w:tcPr>
          <w:p w14:paraId="7D962746" w14:textId="77777777" w:rsidR="00BC0E7E" w:rsidRPr="00BC0E7E" w:rsidRDefault="00BC0E7E" w:rsidP="00BC0E7E">
            <w:pPr>
              <w:keepNext/>
              <w:tabs>
                <w:tab w:val="clear" w:pos="562"/>
                <w:tab w:val="decimal" w:pos="662"/>
              </w:tabs>
              <w:overflowPunct w:val="0"/>
              <w:autoSpaceDE w:val="0"/>
              <w:autoSpaceDN w:val="0"/>
              <w:adjustRightInd w:val="0"/>
              <w:textAlignment w:val="baseline"/>
              <w:rPr>
                <w:lang w:val="it-IT"/>
              </w:rPr>
            </w:pPr>
          </w:p>
        </w:tc>
      </w:tr>
      <w:tr w:rsidR="00C6578C" w14:paraId="1BDA99A2" w14:textId="77777777" w:rsidTr="00171601">
        <w:trPr>
          <w:cantSplit/>
        </w:trPr>
        <w:tc>
          <w:tcPr>
            <w:tcW w:w="1186" w:type="dxa"/>
            <w:tcBorders>
              <w:right w:val="single" w:sz="6" w:space="0" w:color="auto"/>
            </w:tcBorders>
          </w:tcPr>
          <w:p w14:paraId="7A7E681D" w14:textId="77777777" w:rsidR="00BC0E7E" w:rsidRPr="00BC0E7E" w:rsidRDefault="00944B8F" w:rsidP="00BC0E7E">
            <w:pPr>
              <w:keepNext/>
              <w:tabs>
                <w:tab w:val="clear" w:pos="562"/>
                <w:tab w:val="left" w:pos="144"/>
              </w:tabs>
              <w:overflowPunct w:val="0"/>
              <w:autoSpaceDE w:val="0"/>
              <w:autoSpaceDN w:val="0"/>
              <w:adjustRightInd w:val="0"/>
              <w:textAlignment w:val="baseline"/>
            </w:pPr>
            <w:r w:rsidRPr="00BC0E7E">
              <w:rPr>
                <w:lang w:val="it-IT"/>
              </w:rPr>
              <w:tab/>
            </w:r>
            <w:r w:rsidRPr="00BC0E7E">
              <w:t>6 months</w:t>
            </w:r>
          </w:p>
        </w:tc>
        <w:tc>
          <w:tcPr>
            <w:tcW w:w="1134" w:type="dxa"/>
            <w:tcBorders>
              <w:left w:val="single" w:sz="6" w:space="0" w:color="auto"/>
            </w:tcBorders>
          </w:tcPr>
          <w:p w14:paraId="5E6D2528" w14:textId="77777777" w:rsidR="00BC0E7E" w:rsidRPr="00BC0E7E" w:rsidRDefault="00944B8F" w:rsidP="00BC0E7E">
            <w:pPr>
              <w:keepNext/>
              <w:tabs>
                <w:tab w:val="clear" w:pos="562"/>
                <w:tab w:val="decimal" w:pos="117"/>
              </w:tabs>
              <w:overflowPunct w:val="0"/>
              <w:autoSpaceDE w:val="0"/>
              <w:autoSpaceDN w:val="0"/>
              <w:adjustRightInd w:val="0"/>
              <w:jc w:val="center"/>
              <w:textAlignment w:val="baseline"/>
            </w:pPr>
            <w:r w:rsidRPr="00BC0E7E">
              <w:t>6.7%</w:t>
            </w:r>
          </w:p>
        </w:tc>
        <w:tc>
          <w:tcPr>
            <w:tcW w:w="1550" w:type="dxa"/>
            <w:tcBorders>
              <w:right w:val="single" w:sz="6" w:space="0" w:color="auto"/>
            </w:tcBorders>
          </w:tcPr>
          <w:p w14:paraId="1C375CDB" w14:textId="77777777" w:rsidR="00BC0E7E" w:rsidRPr="00BC0E7E" w:rsidRDefault="00944B8F" w:rsidP="00BC0E7E">
            <w:pPr>
              <w:keepNext/>
              <w:tabs>
                <w:tab w:val="clear" w:pos="562"/>
              </w:tabs>
              <w:overflowPunct w:val="0"/>
              <w:autoSpaceDE w:val="0"/>
              <w:autoSpaceDN w:val="0"/>
              <w:adjustRightInd w:val="0"/>
              <w:jc w:val="center"/>
              <w:textAlignment w:val="baseline"/>
            </w:pPr>
            <w:r w:rsidRPr="00BC0E7E">
              <w:t>52.4%</w:t>
            </w:r>
          </w:p>
        </w:tc>
        <w:tc>
          <w:tcPr>
            <w:tcW w:w="1285" w:type="dxa"/>
            <w:tcBorders>
              <w:left w:val="single" w:sz="6" w:space="0" w:color="auto"/>
            </w:tcBorders>
          </w:tcPr>
          <w:p w14:paraId="12F1F190" w14:textId="77777777" w:rsidR="00BC0E7E" w:rsidRPr="00BC0E7E" w:rsidRDefault="00944B8F" w:rsidP="00BC0E7E">
            <w:pPr>
              <w:keepNext/>
              <w:tabs>
                <w:tab w:val="clear" w:pos="562"/>
                <w:tab w:val="decimal" w:pos="151"/>
              </w:tabs>
              <w:overflowPunct w:val="0"/>
              <w:autoSpaceDE w:val="0"/>
              <w:autoSpaceDN w:val="0"/>
              <w:adjustRightInd w:val="0"/>
              <w:jc w:val="center"/>
              <w:textAlignment w:val="baseline"/>
            </w:pPr>
            <w:r w:rsidRPr="00BC0E7E">
              <w:t>8.2%</w:t>
            </w:r>
          </w:p>
        </w:tc>
        <w:tc>
          <w:tcPr>
            <w:tcW w:w="1276" w:type="dxa"/>
            <w:tcBorders>
              <w:right w:val="single" w:sz="6" w:space="0" w:color="auto"/>
            </w:tcBorders>
          </w:tcPr>
          <w:p w14:paraId="66CCD709" w14:textId="77777777" w:rsidR="00BC0E7E" w:rsidRPr="00BC0E7E" w:rsidRDefault="00944B8F" w:rsidP="00BC0E7E">
            <w:pPr>
              <w:keepNext/>
              <w:tabs>
                <w:tab w:val="clear" w:pos="562"/>
              </w:tabs>
              <w:overflowPunct w:val="0"/>
              <w:autoSpaceDE w:val="0"/>
              <w:autoSpaceDN w:val="0"/>
              <w:adjustRightInd w:val="0"/>
              <w:jc w:val="center"/>
              <w:textAlignment w:val="baseline"/>
            </w:pPr>
            <w:r w:rsidRPr="00BC0E7E">
              <w:t>22.1%</w:t>
            </w:r>
          </w:p>
        </w:tc>
        <w:tc>
          <w:tcPr>
            <w:tcW w:w="1276" w:type="dxa"/>
            <w:tcBorders>
              <w:left w:val="single" w:sz="6" w:space="0" w:color="auto"/>
            </w:tcBorders>
          </w:tcPr>
          <w:p w14:paraId="5B62572C" w14:textId="77777777" w:rsidR="00BC0E7E" w:rsidRPr="00BC0E7E" w:rsidRDefault="00944B8F" w:rsidP="00BC0E7E">
            <w:pPr>
              <w:keepNext/>
              <w:tabs>
                <w:tab w:val="clear" w:pos="562"/>
                <w:tab w:val="decimal" w:pos="567"/>
              </w:tabs>
              <w:overflowPunct w:val="0"/>
              <w:autoSpaceDE w:val="0"/>
              <w:autoSpaceDN w:val="0"/>
              <w:adjustRightInd w:val="0"/>
              <w:textAlignment w:val="baseline"/>
            </w:pPr>
            <w:r w:rsidRPr="00BC0E7E">
              <w:t>9.5%</w:t>
            </w:r>
          </w:p>
        </w:tc>
        <w:tc>
          <w:tcPr>
            <w:tcW w:w="1417" w:type="dxa"/>
          </w:tcPr>
          <w:p w14:paraId="66B72A31" w14:textId="77777777" w:rsidR="00BC0E7E" w:rsidRPr="00BC0E7E" w:rsidRDefault="00944B8F" w:rsidP="00BC0E7E">
            <w:pPr>
              <w:keepNext/>
              <w:tabs>
                <w:tab w:val="clear" w:pos="562"/>
                <w:tab w:val="decimal" w:pos="662"/>
              </w:tabs>
              <w:overflowPunct w:val="0"/>
              <w:autoSpaceDE w:val="0"/>
              <w:autoSpaceDN w:val="0"/>
              <w:adjustRightInd w:val="0"/>
              <w:textAlignment w:val="baseline"/>
            </w:pPr>
            <w:r w:rsidRPr="00BC0E7E">
              <w:t>39.1%</w:t>
            </w:r>
          </w:p>
        </w:tc>
      </w:tr>
      <w:tr w:rsidR="00C6578C" w14:paraId="13FEFA11" w14:textId="77777777" w:rsidTr="00171601">
        <w:trPr>
          <w:cantSplit/>
        </w:trPr>
        <w:tc>
          <w:tcPr>
            <w:tcW w:w="1186" w:type="dxa"/>
            <w:tcBorders>
              <w:right w:val="single" w:sz="6" w:space="0" w:color="auto"/>
            </w:tcBorders>
          </w:tcPr>
          <w:p w14:paraId="2C448AAF" w14:textId="77777777" w:rsidR="00BC0E7E" w:rsidRPr="00BC0E7E" w:rsidRDefault="00944B8F" w:rsidP="00BC0E7E">
            <w:pPr>
              <w:keepNext/>
              <w:tabs>
                <w:tab w:val="clear" w:pos="562"/>
                <w:tab w:val="left" w:pos="144"/>
              </w:tabs>
              <w:overflowPunct w:val="0"/>
              <w:autoSpaceDE w:val="0"/>
              <w:autoSpaceDN w:val="0"/>
              <w:adjustRightInd w:val="0"/>
              <w:textAlignment w:val="baseline"/>
            </w:pPr>
            <w:r w:rsidRPr="00BC0E7E">
              <w:tab/>
              <w:t>12 months</w:t>
            </w:r>
          </w:p>
        </w:tc>
        <w:tc>
          <w:tcPr>
            <w:tcW w:w="1134" w:type="dxa"/>
            <w:tcBorders>
              <w:left w:val="single" w:sz="6" w:space="0" w:color="auto"/>
            </w:tcBorders>
          </w:tcPr>
          <w:p w14:paraId="5C892334" w14:textId="77777777" w:rsidR="00BC0E7E" w:rsidRPr="00BC0E7E" w:rsidRDefault="00944B8F" w:rsidP="00BC0E7E">
            <w:pPr>
              <w:keepNext/>
              <w:tabs>
                <w:tab w:val="clear" w:pos="562"/>
                <w:tab w:val="decimal" w:pos="117"/>
              </w:tabs>
              <w:overflowPunct w:val="0"/>
              <w:autoSpaceDE w:val="0"/>
              <w:autoSpaceDN w:val="0"/>
              <w:adjustRightInd w:val="0"/>
              <w:jc w:val="center"/>
              <w:textAlignment w:val="baseline"/>
            </w:pPr>
            <w:r w:rsidRPr="00BC0E7E">
              <w:t>NA</w:t>
            </w:r>
          </w:p>
        </w:tc>
        <w:tc>
          <w:tcPr>
            <w:tcW w:w="1550" w:type="dxa"/>
            <w:tcBorders>
              <w:right w:val="single" w:sz="6" w:space="0" w:color="auto"/>
            </w:tcBorders>
          </w:tcPr>
          <w:p w14:paraId="1418749C" w14:textId="77777777" w:rsidR="00BC0E7E" w:rsidRPr="00BC0E7E" w:rsidRDefault="00944B8F" w:rsidP="00BC0E7E">
            <w:pPr>
              <w:keepNext/>
              <w:tabs>
                <w:tab w:val="clear" w:pos="562"/>
              </w:tabs>
              <w:overflowPunct w:val="0"/>
              <w:autoSpaceDE w:val="0"/>
              <w:autoSpaceDN w:val="0"/>
              <w:adjustRightInd w:val="0"/>
              <w:jc w:val="center"/>
              <w:textAlignment w:val="baseline"/>
              <w:rPr>
                <w:lang w:val="it-IT"/>
              </w:rPr>
            </w:pPr>
            <w:r w:rsidRPr="00BC0E7E">
              <w:rPr>
                <w:lang w:val="it-IT"/>
              </w:rPr>
              <w:t>NA</w:t>
            </w:r>
          </w:p>
        </w:tc>
        <w:tc>
          <w:tcPr>
            <w:tcW w:w="1285" w:type="dxa"/>
            <w:tcBorders>
              <w:left w:val="single" w:sz="6" w:space="0" w:color="auto"/>
            </w:tcBorders>
          </w:tcPr>
          <w:p w14:paraId="093E3BAC" w14:textId="77777777" w:rsidR="00BC0E7E" w:rsidRPr="00BC0E7E" w:rsidRDefault="00944B8F" w:rsidP="00BC0E7E">
            <w:pPr>
              <w:keepNext/>
              <w:tabs>
                <w:tab w:val="clear" w:pos="562"/>
                <w:tab w:val="decimal" w:pos="151"/>
              </w:tabs>
              <w:overflowPunct w:val="0"/>
              <w:autoSpaceDE w:val="0"/>
              <w:autoSpaceDN w:val="0"/>
              <w:adjustRightInd w:val="0"/>
              <w:jc w:val="center"/>
              <w:textAlignment w:val="baseline"/>
              <w:rPr>
                <w:lang w:val="it-IT"/>
              </w:rPr>
            </w:pPr>
            <w:r w:rsidRPr="00BC0E7E">
              <w:rPr>
                <w:lang w:val="it-IT"/>
              </w:rPr>
              <w:t>NA</w:t>
            </w:r>
          </w:p>
        </w:tc>
        <w:tc>
          <w:tcPr>
            <w:tcW w:w="1276" w:type="dxa"/>
            <w:tcBorders>
              <w:right w:val="single" w:sz="6" w:space="0" w:color="auto"/>
            </w:tcBorders>
          </w:tcPr>
          <w:p w14:paraId="3383F566" w14:textId="77777777" w:rsidR="00BC0E7E" w:rsidRPr="00BC0E7E" w:rsidRDefault="00944B8F" w:rsidP="00BC0E7E">
            <w:pPr>
              <w:keepNext/>
              <w:tabs>
                <w:tab w:val="clear" w:pos="562"/>
              </w:tabs>
              <w:overflowPunct w:val="0"/>
              <w:autoSpaceDE w:val="0"/>
              <w:autoSpaceDN w:val="0"/>
              <w:adjustRightInd w:val="0"/>
              <w:jc w:val="center"/>
              <w:textAlignment w:val="baseline"/>
              <w:rPr>
                <w:lang w:val="it-IT"/>
              </w:rPr>
            </w:pPr>
            <w:r w:rsidRPr="00BC0E7E">
              <w:rPr>
                <w:lang w:val="it-IT"/>
              </w:rPr>
              <w:t>NA</w:t>
            </w:r>
          </w:p>
        </w:tc>
        <w:tc>
          <w:tcPr>
            <w:tcW w:w="1276" w:type="dxa"/>
            <w:tcBorders>
              <w:left w:val="single" w:sz="6" w:space="0" w:color="auto"/>
            </w:tcBorders>
          </w:tcPr>
          <w:p w14:paraId="686A2192" w14:textId="77777777" w:rsidR="00BC0E7E" w:rsidRPr="00BC0E7E" w:rsidRDefault="00944B8F" w:rsidP="00BC0E7E">
            <w:pPr>
              <w:keepNext/>
              <w:tabs>
                <w:tab w:val="clear" w:pos="562"/>
                <w:tab w:val="decimal" w:pos="567"/>
              </w:tabs>
              <w:overflowPunct w:val="0"/>
              <w:autoSpaceDE w:val="0"/>
              <w:autoSpaceDN w:val="0"/>
              <w:adjustRightInd w:val="0"/>
              <w:textAlignment w:val="baseline"/>
            </w:pPr>
            <w:r w:rsidRPr="00BC0E7E">
              <w:t>9.5%</w:t>
            </w:r>
          </w:p>
        </w:tc>
        <w:tc>
          <w:tcPr>
            <w:tcW w:w="1417" w:type="dxa"/>
          </w:tcPr>
          <w:p w14:paraId="4A96BDDF" w14:textId="77777777" w:rsidR="00BC0E7E" w:rsidRPr="00BC0E7E" w:rsidRDefault="00944B8F" w:rsidP="00BC0E7E">
            <w:pPr>
              <w:keepNext/>
              <w:tabs>
                <w:tab w:val="clear" w:pos="562"/>
                <w:tab w:val="decimal" w:pos="662"/>
              </w:tabs>
              <w:overflowPunct w:val="0"/>
              <w:autoSpaceDE w:val="0"/>
              <w:autoSpaceDN w:val="0"/>
              <w:adjustRightInd w:val="0"/>
              <w:textAlignment w:val="baseline"/>
            </w:pPr>
            <w:r w:rsidRPr="00BC0E7E">
              <w:t>41.5%</w:t>
            </w:r>
          </w:p>
        </w:tc>
      </w:tr>
      <w:tr w:rsidR="00C6578C" w14:paraId="33FE9B93" w14:textId="77777777" w:rsidTr="00171601">
        <w:trPr>
          <w:cantSplit/>
        </w:trPr>
        <w:tc>
          <w:tcPr>
            <w:tcW w:w="1186" w:type="dxa"/>
            <w:tcBorders>
              <w:right w:val="single" w:sz="6" w:space="0" w:color="auto"/>
            </w:tcBorders>
          </w:tcPr>
          <w:p w14:paraId="37CC20CA" w14:textId="77777777" w:rsidR="00BC0E7E" w:rsidRPr="00BC0E7E" w:rsidRDefault="00944B8F" w:rsidP="00BC0E7E">
            <w:pPr>
              <w:keepNext/>
              <w:tabs>
                <w:tab w:val="clear" w:pos="562"/>
                <w:tab w:val="left" w:pos="144"/>
              </w:tabs>
              <w:overflowPunct w:val="0"/>
              <w:autoSpaceDE w:val="0"/>
              <w:autoSpaceDN w:val="0"/>
              <w:adjustRightInd w:val="0"/>
              <w:textAlignment w:val="baseline"/>
            </w:pPr>
            <w:r>
              <w:rPr>
                <w:rFonts w:ascii="Arial" w:hAnsi="Arial"/>
                <w:noProof/>
                <w:sz w:val="16"/>
                <w:lang w:val="en-US"/>
              </w:rPr>
              <mc:AlternateContent>
                <mc:Choice Requires="wps">
                  <w:drawing>
                    <wp:anchor distT="0" distB="0" distL="114300" distR="114300" simplePos="0" relativeHeight="251658242" behindDoc="0" locked="0" layoutInCell="0" allowOverlap="1" wp14:anchorId="38282EB8" wp14:editId="78951E56">
                      <wp:simplePos x="0" y="0"/>
                      <wp:positionH relativeFrom="column">
                        <wp:posOffset>-4972050</wp:posOffset>
                      </wp:positionH>
                      <wp:positionV relativeFrom="paragraph">
                        <wp:posOffset>38735</wp:posOffset>
                      </wp:positionV>
                      <wp:extent cx="3543300" cy="342900"/>
                      <wp:effectExtent l="0" t="1270" r="4445" b="0"/>
                      <wp:wrapNone/>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5FDCD0" w14:textId="77777777" w:rsidR="00693052" w:rsidRDefault="00693052" w:rsidP="00BC0E7E">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8282EB8" id="Text Box 186" o:spid="_x0000_s1030" type="#_x0000_t202" style="position:absolute;margin-left:-391.5pt;margin-top:3.05pt;width:279pt;height:2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" o:allowincell="f" stroked="f">
                      <v:textbox>
                        <w:txbxContent>
                          <w:p w14:paraId="495FDCD0" w14:textId="77777777" w:rsidR="00693052" w:rsidRDefault="00693052" w:rsidP="00BC0E7E">
                            <w:pPr>
                              <w:rPr>
                                <w:sz w:val="20"/>
                              </w:rPr>
                            </w:pPr>
                          </w:p>
                        </w:txbxContent>
                      </v:textbox>
                    </v:shape>
                  </w:pict>
                </mc:Fallback>
              </mc:AlternateContent>
            </w:r>
            <w:r w:rsidRPr="00BC0E7E">
              <w:t>ACR 70</w:t>
            </w:r>
          </w:p>
        </w:tc>
        <w:tc>
          <w:tcPr>
            <w:tcW w:w="1134" w:type="dxa"/>
            <w:tcBorders>
              <w:left w:val="single" w:sz="6" w:space="0" w:color="auto"/>
            </w:tcBorders>
          </w:tcPr>
          <w:p w14:paraId="2D12AB38" w14:textId="77777777" w:rsidR="00BC0E7E" w:rsidRPr="00BC0E7E" w:rsidRDefault="00BC0E7E" w:rsidP="00BC0E7E">
            <w:pPr>
              <w:keepNext/>
              <w:tabs>
                <w:tab w:val="clear" w:pos="562"/>
                <w:tab w:val="decimal" w:pos="117"/>
              </w:tabs>
              <w:overflowPunct w:val="0"/>
              <w:autoSpaceDE w:val="0"/>
              <w:autoSpaceDN w:val="0"/>
              <w:adjustRightInd w:val="0"/>
              <w:jc w:val="center"/>
              <w:textAlignment w:val="baseline"/>
            </w:pPr>
          </w:p>
        </w:tc>
        <w:tc>
          <w:tcPr>
            <w:tcW w:w="1550" w:type="dxa"/>
            <w:tcBorders>
              <w:right w:val="single" w:sz="6" w:space="0" w:color="auto"/>
            </w:tcBorders>
          </w:tcPr>
          <w:p w14:paraId="403F41E9" w14:textId="77777777" w:rsidR="00BC0E7E" w:rsidRPr="00BC0E7E" w:rsidRDefault="00BC0E7E" w:rsidP="00BC0E7E">
            <w:pPr>
              <w:keepNext/>
              <w:tabs>
                <w:tab w:val="clear" w:pos="562"/>
              </w:tabs>
              <w:overflowPunct w:val="0"/>
              <w:autoSpaceDE w:val="0"/>
              <w:autoSpaceDN w:val="0"/>
              <w:adjustRightInd w:val="0"/>
              <w:jc w:val="center"/>
              <w:textAlignment w:val="baseline"/>
            </w:pPr>
          </w:p>
        </w:tc>
        <w:tc>
          <w:tcPr>
            <w:tcW w:w="1285" w:type="dxa"/>
            <w:tcBorders>
              <w:left w:val="single" w:sz="6" w:space="0" w:color="auto"/>
            </w:tcBorders>
          </w:tcPr>
          <w:p w14:paraId="55D054D2" w14:textId="77777777" w:rsidR="00BC0E7E" w:rsidRPr="00BC0E7E" w:rsidRDefault="00BC0E7E" w:rsidP="00BC0E7E">
            <w:pPr>
              <w:keepNext/>
              <w:tabs>
                <w:tab w:val="clear" w:pos="562"/>
                <w:tab w:val="decimal" w:pos="151"/>
              </w:tabs>
              <w:overflowPunct w:val="0"/>
              <w:autoSpaceDE w:val="0"/>
              <w:autoSpaceDN w:val="0"/>
              <w:adjustRightInd w:val="0"/>
              <w:jc w:val="center"/>
              <w:textAlignment w:val="baseline"/>
            </w:pPr>
          </w:p>
        </w:tc>
        <w:tc>
          <w:tcPr>
            <w:tcW w:w="1276" w:type="dxa"/>
            <w:tcBorders>
              <w:right w:val="single" w:sz="6" w:space="0" w:color="auto"/>
            </w:tcBorders>
          </w:tcPr>
          <w:p w14:paraId="3452D993" w14:textId="77777777" w:rsidR="00BC0E7E" w:rsidRPr="00BC0E7E" w:rsidRDefault="00BC0E7E" w:rsidP="00BC0E7E">
            <w:pPr>
              <w:keepNext/>
              <w:tabs>
                <w:tab w:val="clear" w:pos="562"/>
              </w:tabs>
              <w:overflowPunct w:val="0"/>
              <w:autoSpaceDE w:val="0"/>
              <w:autoSpaceDN w:val="0"/>
              <w:adjustRightInd w:val="0"/>
              <w:jc w:val="center"/>
              <w:textAlignment w:val="baseline"/>
            </w:pPr>
          </w:p>
        </w:tc>
        <w:tc>
          <w:tcPr>
            <w:tcW w:w="1276" w:type="dxa"/>
            <w:tcBorders>
              <w:left w:val="single" w:sz="6" w:space="0" w:color="auto"/>
            </w:tcBorders>
          </w:tcPr>
          <w:p w14:paraId="6971BBB5" w14:textId="77777777" w:rsidR="00BC0E7E" w:rsidRPr="00BC0E7E" w:rsidRDefault="00BC0E7E" w:rsidP="00BC0E7E">
            <w:pPr>
              <w:keepNext/>
              <w:tabs>
                <w:tab w:val="clear" w:pos="562"/>
                <w:tab w:val="decimal" w:pos="567"/>
              </w:tabs>
              <w:overflowPunct w:val="0"/>
              <w:autoSpaceDE w:val="0"/>
              <w:autoSpaceDN w:val="0"/>
              <w:adjustRightInd w:val="0"/>
              <w:textAlignment w:val="baseline"/>
            </w:pPr>
          </w:p>
        </w:tc>
        <w:tc>
          <w:tcPr>
            <w:tcW w:w="1417" w:type="dxa"/>
          </w:tcPr>
          <w:p w14:paraId="4B3B10C1" w14:textId="77777777" w:rsidR="00BC0E7E" w:rsidRPr="00BC0E7E" w:rsidRDefault="00BC0E7E" w:rsidP="00BC0E7E">
            <w:pPr>
              <w:keepNext/>
              <w:tabs>
                <w:tab w:val="clear" w:pos="562"/>
                <w:tab w:val="decimal" w:pos="662"/>
              </w:tabs>
              <w:overflowPunct w:val="0"/>
              <w:autoSpaceDE w:val="0"/>
              <w:autoSpaceDN w:val="0"/>
              <w:adjustRightInd w:val="0"/>
              <w:textAlignment w:val="baseline"/>
            </w:pPr>
          </w:p>
        </w:tc>
      </w:tr>
      <w:tr w:rsidR="00C6578C" w14:paraId="40B845B7" w14:textId="77777777" w:rsidTr="00171601">
        <w:trPr>
          <w:cantSplit/>
        </w:trPr>
        <w:tc>
          <w:tcPr>
            <w:tcW w:w="1186" w:type="dxa"/>
            <w:tcBorders>
              <w:right w:val="single" w:sz="6" w:space="0" w:color="auto"/>
            </w:tcBorders>
          </w:tcPr>
          <w:p w14:paraId="49A3199D" w14:textId="77777777" w:rsidR="00BC0E7E" w:rsidRPr="00BC0E7E" w:rsidRDefault="00944B8F" w:rsidP="00BC0E7E">
            <w:pPr>
              <w:keepNext/>
              <w:tabs>
                <w:tab w:val="clear" w:pos="562"/>
                <w:tab w:val="left" w:pos="144"/>
              </w:tabs>
              <w:overflowPunct w:val="0"/>
              <w:autoSpaceDE w:val="0"/>
              <w:autoSpaceDN w:val="0"/>
              <w:adjustRightInd w:val="0"/>
              <w:textAlignment w:val="baseline"/>
            </w:pPr>
            <w:r w:rsidRPr="00BC0E7E">
              <w:tab/>
              <w:t>6 months</w:t>
            </w:r>
          </w:p>
        </w:tc>
        <w:tc>
          <w:tcPr>
            <w:tcW w:w="1134" w:type="dxa"/>
            <w:tcBorders>
              <w:left w:val="single" w:sz="6" w:space="0" w:color="auto"/>
            </w:tcBorders>
          </w:tcPr>
          <w:p w14:paraId="111A7341" w14:textId="77777777" w:rsidR="00BC0E7E" w:rsidRPr="00BC0E7E" w:rsidRDefault="00944B8F" w:rsidP="00BC0E7E">
            <w:pPr>
              <w:keepNext/>
              <w:tabs>
                <w:tab w:val="clear" w:pos="562"/>
                <w:tab w:val="decimal" w:pos="117"/>
              </w:tabs>
              <w:overflowPunct w:val="0"/>
              <w:autoSpaceDE w:val="0"/>
              <w:autoSpaceDN w:val="0"/>
              <w:adjustRightInd w:val="0"/>
              <w:jc w:val="center"/>
              <w:textAlignment w:val="baseline"/>
            </w:pPr>
            <w:r w:rsidRPr="00BC0E7E">
              <w:t>3.3%</w:t>
            </w:r>
          </w:p>
        </w:tc>
        <w:tc>
          <w:tcPr>
            <w:tcW w:w="1550" w:type="dxa"/>
            <w:tcBorders>
              <w:right w:val="single" w:sz="6" w:space="0" w:color="auto"/>
            </w:tcBorders>
          </w:tcPr>
          <w:p w14:paraId="3EC44893" w14:textId="77777777" w:rsidR="00BC0E7E" w:rsidRPr="00BC0E7E" w:rsidRDefault="00944B8F" w:rsidP="00BC0E7E">
            <w:pPr>
              <w:keepNext/>
              <w:tabs>
                <w:tab w:val="clear" w:pos="562"/>
              </w:tabs>
              <w:overflowPunct w:val="0"/>
              <w:autoSpaceDE w:val="0"/>
              <w:autoSpaceDN w:val="0"/>
              <w:adjustRightInd w:val="0"/>
              <w:jc w:val="center"/>
              <w:textAlignment w:val="baseline"/>
            </w:pPr>
            <w:r w:rsidRPr="00BC0E7E">
              <w:t>23.8%</w:t>
            </w:r>
          </w:p>
        </w:tc>
        <w:tc>
          <w:tcPr>
            <w:tcW w:w="1285" w:type="dxa"/>
            <w:tcBorders>
              <w:left w:val="single" w:sz="6" w:space="0" w:color="auto"/>
            </w:tcBorders>
          </w:tcPr>
          <w:p w14:paraId="0B20FF94" w14:textId="77777777" w:rsidR="00BC0E7E" w:rsidRPr="00BC0E7E" w:rsidRDefault="00944B8F" w:rsidP="00BC0E7E">
            <w:pPr>
              <w:keepNext/>
              <w:tabs>
                <w:tab w:val="clear" w:pos="562"/>
                <w:tab w:val="decimal" w:pos="151"/>
              </w:tabs>
              <w:overflowPunct w:val="0"/>
              <w:autoSpaceDE w:val="0"/>
              <w:autoSpaceDN w:val="0"/>
              <w:adjustRightInd w:val="0"/>
              <w:jc w:val="center"/>
              <w:textAlignment w:val="baseline"/>
            </w:pPr>
            <w:r w:rsidRPr="00BC0E7E">
              <w:t>1.8%</w:t>
            </w:r>
          </w:p>
        </w:tc>
        <w:tc>
          <w:tcPr>
            <w:tcW w:w="1276" w:type="dxa"/>
            <w:tcBorders>
              <w:right w:val="single" w:sz="6" w:space="0" w:color="auto"/>
            </w:tcBorders>
          </w:tcPr>
          <w:p w14:paraId="0BF991E2" w14:textId="77777777" w:rsidR="00BC0E7E" w:rsidRPr="00BC0E7E" w:rsidRDefault="00944B8F" w:rsidP="00BC0E7E">
            <w:pPr>
              <w:keepNext/>
              <w:tabs>
                <w:tab w:val="clear" w:pos="562"/>
              </w:tabs>
              <w:overflowPunct w:val="0"/>
              <w:autoSpaceDE w:val="0"/>
              <w:autoSpaceDN w:val="0"/>
              <w:adjustRightInd w:val="0"/>
              <w:jc w:val="center"/>
              <w:textAlignment w:val="baseline"/>
            </w:pPr>
            <w:r w:rsidRPr="00BC0E7E">
              <w:t>12.4%</w:t>
            </w:r>
          </w:p>
        </w:tc>
        <w:tc>
          <w:tcPr>
            <w:tcW w:w="1276" w:type="dxa"/>
            <w:tcBorders>
              <w:left w:val="single" w:sz="6" w:space="0" w:color="auto"/>
            </w:tcBorders>
          </w:tcPr>
          <w:p w14:paraId="005E38AA" w14:textId="77777777" w:rsidR="00BC0E7E" w:rsidRPr="00BC0E7E" w:rsidRDefault="00944B8F" w:rsidP="00BC0E7E">
            <w:pPr>
              <w:keepNext/>
              <w:tabs>
                <w:tab w:val="clear" w:pos="562"/>
                <w:tab w:val="decimal" w:pos="567"/>
              </w:tabs>
              <w:overflowPunct w:val="0"/>
              <w:autoSpaceDE w:val="0"/>
              <w:autoSpaceDN w:val="0"/>
              <w:adjustRightInd w:val="0"/>
              <w:textAlignment w:val="baseline"/>
            </w:pPr>
            <w:r w:rsidRPr="00BC0E7E">
              <w:t>2.5%</w:t>
            </w:r>
          </w:p>
        </w:tc>
        <w:tc>
          <w:tcPr>
            <w:tcW w:w="1417" w:type="dxa"/>
          </w:tcPr>
          <w:p w14:paraId="39B06FA8" w14:textId="77777777" w:rsidR="00BC0E7E" w:rsidRPr="00BC0E7E" w:rsidRDefault="00944B8F" w:rsidP="00BC0E7E">
            <w:pPr>
              <w:keepNext/>
              <w:tabs>
                <w:tab w:val="clear" w:pos="562"/>
                <w:tab w:val="decimal" w:pos="662"/>
              </w:tabs>
              <w:overflowPunct w:val="0"/>
              <w:autoSpaceDE w:val="0"/>
              <w:autoSpaceDN w:val="0"/>
              <w:adjustRightInd w:val="0"/>
              <w:textAlignment w:val="baseline"/>
            </w:pPr>
            <w:r w:rsidRPr="00BC0E7E">
              <w:t>20.8%</w:t>
            </w:r>
          </w:p>
        </w:tc>
      </w:tr>
      <w:tr w:rsidR="00C6578C" w14:paraId="1F7AAB4B" w14:textId="77777777" w:rsidTr="00171601">
        <w:trPr>
          <w:cantSplit/>
        </w:trPr>
        <w:tc>
          <w:tcPr>
            <w:tcW w:w="1186" w:type="dxa"/>
            <w:tcBorders>
              <w:bottom w:val="single" w:sz="6" w:space="0" w:color="auto"/>
              <w:right w:val="single" w:sz="6" w:space="0" w:color="auto"/>
            </w:tcBorders>
          </w:tcPr>
          <w:p w14:paraId="785762DB" w14:textId="77777777" w:rsidR="00BC0E7E" w:rsidRPr="00BC0E7E" w:rsidRDefault="00944B8F" w:rsidP="00BC0E7E">
            <w:pPr>
              <w:keepNext/>
              <w:tabs>
                <w:tab w:val="clear" w:pos="562"/>
                <w:tab w:val="left" w:pos="144"/>
              </w:tabs>
              <w:overflowPunct w:val="0"/>
              <w:autoSpaceDE w:val="0"/>
              <w:autoSpaceDN w:val="0"/>
              <w:adjustRightInd w:val="0"/>
              <w:textAlignment w:val="baseline"/>
            </w:pPr>
            <w:r w:rsidRPr="00BC0E7E">
              <w:tab/>
              <w:t>12 months</w:t>
            </w:r>
          </w:p>
        </w:tc>
        <w:tc>
          <w:tcPr>
            <w:tcW w:w="1134" w:type="dxa"/>
            <w:tcBorders>
              <w:left w:val="single" w:sz="6" w:space="0" w:color="auto"/>
              <w:bottom w:val="single" w:sz="6" w:space="0" w:color="auto"/>
            </w:tcBorders>
          </w:tcPr>
          <w:p w14:paraId="4B78628B" w14:textId="77777777" w:rsidR="00BC0E7E" w:rsidRPr="00BC0E7E" w:rsidRDefault="00944B8F" w:rsidP="00BC0E7E">
            <w:pPr>
              <w:keepNext/>
              <w:tabs>
                <w:tab w:val="clear" w:pos="562"/>
              </w:tabs>
              <w:overflowPunct w:val="0"/>
              <w:autoSpaceDE w:val="0"/>
              <w:autoSpaceDN w:val="0"/>
              <w:adjustRightInd w:val="0"/>
              <w:jc w:val="center"/>
              <w:textAlignment w:val="baseline"/>
              <w:rPr>
                <w:lang w:val="it-IT"/>
              </w:rPr>
            </w:pPr>
            <w:r w:rsidRPr="00BC0E7E">
              <w:rPr>
                <w:lang w:val="it-IT"/>
              </w:rPr>
              <w:t>NA</w:t>
            </w:r>
          </w:p>
        </w:tc>
        <w:tc>
          <w:tcPr>
            <w:tcW w:w="1550" w:type="dxa"/>
            <w:tcBorders>
              <w:bottom w:val="single" w:sz="6" w:space="0" w:color="auto"/>
              <w:right w:val="single" w:sz="6" w:space="0" w:color="auto"/>
            </w:tcBorders>
          </w:tcPr>
          <w:p w14:paraId="6469596B" w14:textId="77777777" w:rsidR="00BC0E7E" w:rsidRPr="00BC0E7E" w:rsidRDefault="00944B8F" w:rsidP="00BC0E7E">
            <w:pPr>
              <w:keepNext/>
              <w:tabs>
                <w:tab w:val="clear" w:pos="562"/>
              </w:tabs>
              <w:overflowPunct w:val="0"/>
              <w:autoSpaceDE w:val="0"/>
              <w:autoSpaceDN w:val="0"/>
              <w:adjustRightInd w:val="0"/>
              <w:jc w:val="center"/>
              <w:textAlignment w:val="baseline"/>
              <w:rPr>
                <w:lang w:val="it-IT"/>
              </w:rPr>
            </w:pPr>
            <w:r w:rsidRPr="00BC0E7E">
              <w:rPr>
                <w:lang w:val="it-IT"/>
              </w:rPr>
              <w:t>NA</w:t>
            </w:r>
          </w:p>
        </w:tc>
        <w:tc>
          <w:tcPr>
            <w:tcW w:w="1285" w:type="dxa"/>
            <w:tcBorders>
              <w:left w:val="single" w:sz="6" w:space="0" w:color="auto"/>
              <w:bottom w:val="single" w:sz="6" w:space="0" w:color="auto"/>
            </w:tcBorders>
          </w:tcPr>
          <w:p w14:paraId="38983F6E" w14:textId="77777777" w:rsidR="00BC0E7E" w:rsidRPr="00BC0E7E" w:rsidRDefault="00944B8F" w:rsidP="00BC0E7E">
            <w:pPr>
              <w:keepNext/>
              <w:tabs>
                <w:tab w:val="clear" w:pos="562"/>
              </w:tabs>
              <w:overflowPunct w:val="0"/>
              <w:autoSpaceDE w:val="0"/>
              <w:autoSpaceDN w:val="0"/>
              <w:adjustRightInd w:val="0"/>
              <w:jc w:val="center"/>
              <w:textAlignment w:val="baseline"/>
              <w:rPr>
                <w:lang w:val="it-IT"/>
              </w:rPr>
            </w:pPr>
            <w:r w:rsidRPr="00BC0E7E">
              <w:rPr>
                <w:lang w:val="it-IT"/>
              </w:rPr>
              <w:t>NA</w:t>
            </w:r>
          </w:p>
        </w:tc>
        <w:tc>
          <w:tcPr>
            <w:tcW w:w="1276" w:type="dxa"/>
            <w:tcBorders>
              <w:bottom w:val="single" w:sz="6" w:space="0" w:color="auto"/>
              <w:right w:val="single" w:sz="6" w:space="0" w:color="auto"/>
            </w:tcBorders>
          </w:tcPr>
          <w:p w14:paraId="43C62578" w14:textId="77777777" w:rsidR="00BC0E7E" w:rsidRPr="00BC0E7E" w:rsidRDefault="00944B8F" w:rsidP="00BC0E7E">
            <w:pPr>
              <w:keepNext/>
              <w:tabs>
                <w:tab w:val="clear" w:pos="562"/>
              </w:tabs>
              <w:overflowPunct w:val="0"/>
              <w:autoSpaceDE w:val="0"/>
              <w:autoSpaceDN w:val="0"/>
              <w:adjustRightInd w:val="0"/>
              <w:jc w:val="center"/>
              <w:textAlignment w:val="baseline"/>
            </w:pPr>
            <w:r w:rsidRPr="00BC0E7E">
              <w:t>NA</w:t>
            </w:r>
          </w:p>
        </w:tc>
        <w:tc>
          <w:tcPr>
            <w:tcW w:w="1276" w:type="dxa"/>
            <w:tcBorders>
              <w:left w:val="single" w:sz="6" w:space="0" w:color="auto"/>
              <w:bottom w:val="single" w:sz="6" w:space="0" w:color="auto"/>
            </w:tcBorders>
          </w:tcPr>
          <w:p w14:paraId="23984383" w14:textId="77777777" w:rsidR="00BC0E7E" w:rsidRPr="00BC0E7E" w:rsidRDefault="00944B8F" w:rsidP="00BC0E7E">
            <w:pPr>
              <w:keepNext/>
              <w:tabs>
                <w:tab w:val="clear" w:pos="562"/>
                <w:tab w:val="decimal" w:pos="567"/>
              </w:tabs>
              <w:overflowPunct w:val="0"/>
              <w:autoSpaceDE w:val="0"/>
              <w:autoSpaceDN w:val="0"/>
              <w:adjustRightInd w:val="0"/>
              <w:textAlignment w:val="baseline"/>
            </w:pPr>
            <w:r w:rsidRPr="00BC0E7E">
              <w:t>4.5%</w:t>
            </w:r>
          </w:p>
        </w:tc>
        <w:tc>
          <w:tcPr>
            <w:tcW w:w="1417" w:type="dxa"/>
            <w:tcBorders>
              <w:bottom w:val="single" w:sz="6" w:space="0" w:color="auto"/>
            </w:tcBorders>
          </w:tcPr>
          <w:p w14:paraId="2362C70B" w14:textId="77777777" w:rsidR="00BC0E7E" w:rsidRPr="00BC0E7E" w:rsidRDefault="00944B8F" w:rsidP="00BC0E7E">
            <w:pPr>
              <w:keepNext/>
              <w:tabs>
                <w:tab w:val="clear" w:pos="562"/>
                <w:tab w:val="decimal" w:pos="662"/>
              </w:tabs>
              <w:overflowPunct w:val="0"/>
              <w:autoSpaceDE w:val="0"/>
              <w:autoSpaceDN w:val="0"/>
              <w:adjustRightInd w:val="0"/>
              <w:textAlignment w:val="baseline"/>
            </w:pPr>
            <w:r w:rsidRPr="00BC0E7E">
              <w:t>23.2%</w:t>
            </w:r>
          </w:p>
        </w:tc>
      </w:tr>
      <w:tr w:rsidR="00C6578C" w14:paraId="5246DD82" w14:textId="77777777" w:rsidTr="00171601">
        <w:trPr>
          <w:cantSplit/>
        </w:trPr>
        <w:tc>
          <w:tcPr>
            <w:tcW w:w="9124" w:type="dxa"/>
            <w:gridSpan w:val="7"/>
          </w:tcPr>
          <w:p w14:paraId="400A1BDC" w14:textId="77777777" w:rsidR="00BC0E7E" w:rsidRPr="00BC0E7E" w:rsidRDefault="00944B8F" w:rsidP="00BC0E7E">
            <w:pPr>
              <w:keepNext/>
              <w:tabs>
                <w:tab w:val="clear" w:pos="562"/>
                <w:tab w:val="left" w:pos="142"/>
              </w:tabs>
              <w:overflowPunct w:val="0"/>
              <w:autoSpaceDE w:val="0"/>
              <w:autoSpaceDN w:val="0"/>
              <w:adjustRightInd w:val="0"/>
              <w:ind w:left="144" w:hanging="144"/>
              <w:textAlignment w:val="baseline"/>
            </w:pPr>
            <w:r w:rsidRPr="00BC0E7E">
              <w:rPr>
                <w:vertAlign w:val="superscript"/>
              </w:rPr>
              <w:t>a</w:t>
            </w:r>
            <w:r w:rsidRPr="00BC0E7E">
              <w:tab/>
              <w:t>RA study I at 24 weeks, RA study II at 26 weeks, and RA study III at 24 and 52 weeks</w:t>
            </w:r>
          </w:p>
          <w:p w14:paraId="5EDBA8ED" w14:textId="77777777" w:rsidR="00BC0E7E" w:rsidRPr="00BC0E7E" w:rsidRDefault="00944B8F" w:rsidP="00BC0E7E">
            <w:pPr>
              <w:keepNext/>
              <w:tabs>
                <w:tab w:val="clear" w:pos="562"/>
                <w:tab w:val="left" w:pos="142"/>
              </w:tabs>
              <w:overflowPunct w:val="0"/>
              <w:autoSpaceDE w:val="0"/>
              <w:autoSpaceDN w:val="0"/>
              <w:adjustRightInd w:val="0"/>
              <w:ind w:left="144" w:hanging="144"/>
              <w:textAlignment w:val="baseline"/>
            </w:pPr>
            <w:r w:rsidRPr="00BC0E7E">
              <w:rPr>
                <w:vertAlign w:val="superscript"/>
              </w:rPr>
              <w:t>b</w:t>
            </w:r>
            <w:r w:rsidRPr="00BC0E7E">
              <w:tab/>
              <w:t>40 mg Humira administered every other week</w:t>
            </w:r>
          </w:p>
          <w:p w14:paraId="2BEC7C6B" w14:textId="77777777" w:rsidR="00BC0E7E" w:rsidRPr="00BC0E7E" w:rsidRDefault="00944B8F" w:rsidP="00BC0E7E">
            <w:pPr>
              <w:keepNext/>
              <w:tabs>
                <w:tab w:val="clear" w:pos="562"/>
                <w:tab w:val="left" w:pos="142"/>
              </w:tabs>
              <w:overflowPunct w:val="0"/>
              <w:autoSpaceDE w:val="0"/>
              <w:autoSpaceDN w:val="0"/>
              <w:adjustRightInd w:val="0"/>
              <w:ind w:left="144" w:hanging="144"/>
              <w:textAlignment w:val="baseline"/>
              <w:rPr>
                <w:lang w:val="fr-FR"/>
              </w:rPr>
            </w:pPr>
            <w:r w:rsidRPr="00BC0E7E">
              <w:rPr>
                <w:vertAlign w:val="superscript"/>
                <w:lang w:val="fr-FR"/>
              </w:rPr>
              <w:t>c</w:t>
            </w:r>
            <w:r w:rsidRPr="00BC0E7E">
              <w:rPr>
                <w:lang w:val="fr-FR"/>
              </w:rPr>
              <w:t xml:space="preserve"> MTX = methotrexate</w:t>
            </w:r>
          </w:p>
          <w:p w14:paraId="2A6DD310" w14:textId="77777777" w:rsidR="00BC0E7E" w:rsidRPr="00BC0E7E" w:rsidRDefault="00944B8F" w:rsidP="00BC0E7E">
            <w:pPr>
              <w:keepNext/>
              <w:tabs>
                <w:tab w:val="clear" w:pos="562"/>
                <w:tab w:val="left" w:pos="142"/>
              </w:tabs>
              <w:overflowPunct w:val="0"/>
              <w:autoSpaceDE w:val="0"/>
              <w:autoSpaceDN w:val="0"/>
              <w:adjustRightInd w:val="0"/>
              <w:ind w:left="144" w:hanging="144"/>
              <w:textAlignment w:val="baseline"/>
              <w:rPr>
                <w:lang w:val="fr-FR"/>
              </w:rPr>
            </w:pPr>
            <w:r w:rsidRPr="00BC0E7E">
              <w:rPr>
                <w:lang w:val="fr-FR"/>
              </w:rPr>
              <w:t xml:space="preserve">**p &lt; 0.01, Humira </w:t>
            </w:r>
            <w:r w:rsidRPr="00BC0E7E">
              <w:rPr>
                <w:i/>
                <w:iCs/>
                <w:lang w:val="fr-FR"/>
              </w:rPr>
              <w:t>versus</w:t>
            </w:r>
            <w:r w:rsidRPr="00BC0E7E">
              <w:rPr>
                <w:lang w:val="fr-FR"/>
              </w:rPr>
              <w:t xml:space="preserve"> placebo</w:t>
            </w:r>
          </w:p>
        </w:tc>
      </w:tr>
    </w:tbl>
    <w:p w14:paraId="03ACB61F" w14:textId="77777777" w:rsidR="00BC0E7E" w:rsidRPr="00BC0E7E" w:rsidRDefault="00BC0E7E" w:rsidP="00BC0E7E">
      <w:pPr>
        <w:rPr>
          <w:lang w:val="fr-FR"/>
        </w:rPr>
      </w:pPr>
    </w:p>
    <w:p w14:paraId="13D37A56" w14:textId="77777777" w:rsidR="00BC0E7E" w:rsidRPr="00BC0E7E" w:rsidRDefault="00944B8F" w:rsidP="00BC0E7E">
      <w:r w:rsidRPr="00BC0E7E">
        <w:t xml:space="preserve">In RA studies I-IV, all individual components of the ACR response criteria (number of tender and swollen joints, physician and patient assessment of disease activity and pain, disability index (HAQ) scores and CRP (mg/dl) values) improved at 24 or 26 weeks compared to placebo. In RA study III, these improvements were maintained throughout 52 weeks. </w:t>
      </w:r>
    </w:p>
    <w:p w14:paraId="3308FC20" w14:textId="77777777" w:rsidR="00BC0E7E" w:rsidRPr="00BC0E7E" w:rsidRDefault="00BC0E7E" w:rsidP="00BC0E7E"/>
    <w:p w14:paraId="7ABD2B04" w14:textId="77777777" w:rsidR="00BC0E7E" w:rsidRPr="00BC0E7E" w:rsidRDefault="00944B8F" w:rsidP="00BC0E7E">
      <w:r w:rsidRPr="00BC0E7E">
        <w:t>In the open-label extension for RA study III, most patients who were ACR responders maintained response when followed for up to 10 years. Of 207 patients who were randomised to Humira 40 mg every other week, 114 patients continued on Humira 40 mg every other week for 5 years. Among those, 86 patients (75.4%) had ACR 20 responses; 72 patients (63.2%) had ACR 50 responses; and 41 patients (36%) had ACR 70 responses. Of 207 patients, 81 patients continued on Humira 40 mg every other week for 10 years. Among those, 64 patients (79.0%) had ACR 20 responses; 56 patients (69.1%) had ACR 50 responses; and 43 patients (53.1%) had ACR 70 responses.</w:t>
      </w:r>
    </w:p>
    <w:p w14:paraId="46283F06" w14:textId="77777777" w:rsidR="00BC0E7E" w:rsidRPr="00BC0E7E" w:rsidRDefault="00BC0E7E" w:rsidP="00BC0E7E"/>
    <w:p w14:paraId="1106ABB7" w14:textId="77777777" w:rsidR="00BC0E7E" w:rsidRPr="00BC0E7E" w:rsidRDefault="00944B8F" w:rsidP="00BC0E7E">
      <w:r w:rsidRPr="00BC0E7E">
        <w:t xml:space="preserve">In RA study IV, the ACR 20 response of patients treated with Humira plus standard of care was statistically significantly better than patients treated with placebo plus standard of care (p &lt; 0.001).  </w:t>
      </w:r>
    </w:p>
    <w:p w14:paraId="47F6397C" w14:textId="77777777" w:rsidR="00BC0E7E" w:rsidRPr="00BC0E7E" w:rsidRDefault="00BC0E7E" w:rsidP="00BC0E7E">
      <w:pPr>
        <w:tabs>
          <w:tab w:val="clear" w:pos="562"/>
        </w:tabs>
        <w:suppressAutoHyphens w:val="0"/>
        <w:overflowPunct w:val="0"/>
        <w:autoSpaceDE w:val="0"/>
        <w:autoSpaceDN w:val="0"/>
        <w:adjustRightInd w:val="0"/>
        <w:textAlignment w:val="baseline"/>
        <w:rPr>
          <w:szCs w:val="20"/>
        </w:rPr>
      </w:pPr>
    </w:p>
    <w:p w14:paraId="4C08381E" w14:textId="77777777" w:rsidR="00BC0E7E" w:rsidRPr="00BC0E7E" w:rsidRDefault="00944B8F" w:rsidP="00BC0E7E">
      <w:r w:rsidRPr="00BC0E7E">
        <w:t>In RA studies I-IV, Humira-treated patients achieved statistically significant ACR 20 and 50 responses compared to placebo as early as one to two weeks after initiation of treatment.</w:t>
      </w:r>
    </w:p>
    <w:p w14:paraId="725DAA37" w14:textId="77777777" w:rsidR="00BC0E7E" w:rsidRPr="00BC0E7E" w:rsidRDefault="00BC0E7E" w:rsidP="00BC0E7E"/>
    <w:p w14:paraId="0E57FF96" w14:textId="77777777" w:rsidR="00BC0E7E" w:rsidRPr="00BC0E7E" w:rsidRDefault="00944B8F" w:rsidP="00BC0E7E">
      <w:r w:rsidRPr="00BC0E7E">
        <w:lastRenderedPageBreak/>
        <w:t xml:space="preserve">In RA study V with early rheumatoid arthritis patients who were methotrexate naïve, combination therapy with Humira and methotrexate led to faster and significantly greater ACR responses than methotrexate monotherapy and Humira monotherapy at Week 52 and responses were sustained at Week 104 (see Table </w:t>
      </w:r>
      <w:r w:rsidR="00D0578C">
        <w:t>9</w:t>
      </w:r>
      <w:r w:rsidRPr="00BC0E7E">
        <w:t>).</w:t>
      </w:r>
    </w:p>
    <w:p w14:paraId="60F4DDDB" w14:textId="77777777" w:rsidR="00BC0E7E" w:rsidRPr="00BC0E7E" w:rsidRDefault="00BC0E7E" w:rsidP="00BC0E7E">
      <w:pPr>
        <w:keepN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
        <w:gridCol w:w="1539"/>
        <w:gridCol w:w="1320"/>
        <w:gridCol w:w="1320"/>
        <w:gridCol w:w="1576"/>
        <w:gridCol w:w="1100"/>
        <w:gridCol w:w="1173"/>
        <w:gridCol w:w="1210"/>
        <w:gridCol w:w="12"/>
      </w:tblGrid>
      <w:tr w:rsidR="00C6578C" w14:paraId="0EBC7E82" w14:textId="77777777" w:rsidTr="00171601">
        <w:trPr>
          <w:gridBefore w:val="1"/>
          <w:wBefore w:w="9" w:type="dxa"/>
          <w:cantSplit/>
          <w:jc w:val="center"/>
        </w:trPr>
        <w:tc>
          <w:tcPr>
            <w:tcW w:w="9250" w:type="dxa"/>
            <w:gridSpan w:val="8"/>
            <w:tcBorders>
              <w:top w:val="nil"/>
              <w:left w:val="nil"/>
              <w:bottom w:val="nil"/>
              <w:right w:val="nil"/>
            </w:tcBorders>
            <w:vAlign w:val="center"/>
          </w:tcPr>
          <w:p w14:paraId="2CEFF586" w14:textId="77777777" w:rsidR="00BC0E7E" w:rsidRPr="00BC0E7E" w:rsidRDefault="00944B8F" w:rsidP="00BC0E7E">
            <w:pPr>
              <w:keepNext/>
              <w:tabs>
                <w:tab w:val="left" w:pos="3600"/>
                <w:tab w:val="center" w:pos="5760"/>
              </w:tabs>
              <w:jc w:val="center"/>
              <w:rPr>
                <w:b/>
                <w:iCs/>
              </w:rPr>
            </w:pPr>
            <w:r w:rsidRPr="00BC0E7E">
              <w:rPr>
                <w:b/>
                <w:iCs/>
              </w:rPr>
              <w:t xml:space="preserve">Table </w:t>
            </w:r>
            <w:r w:rsidR="00D0578C">
              <w:rPr>
                <w:b/>
                <w:iCs/>
              </w:rPr>
              <w:t>9</w:t>
            </w:r>
            <w:r w:rsidRPr="00BC0E7E">
              <w:rPr>
                <w:b/>
                <w:iCs/>
              </w:rPr>
              <w:t xml:space="preserve"> </w:t>
            </w:r>
          </w:p>
          <w:p w14:paraId="0CAADCCA" w14:textId="77777777" w:rsidR="00BC0E7E" w:rsidRPr="00BC0E7E" w:rsidRDefault="00944B8F" w:rsidP="00BC0E7E">
            <w:pPr>
              <w:keepNext/>
              <w:tabs>
                <w:tab w:val="left" w:pos="3600"/>
                <w:tab w:val="center" w:pos="5760"/>
              </w:tabs>
              <w:jc w:val="center"/>
              <w:rPr>
                <w:b/>
                <w:iCs/>
              </w:rPr>
            </w:pPr>
            <w:r w:rsidRPr="00BC0E7E">
              <w:rPr>
                <w:b/>
                <w:iCs/>
              </w:rPr>
              <w:t>ACR Responses in RA Study V</w:t>
            </w:r>
          </w:p>
          <w:p w14:paraId="11E4F353" w14:textId="77777777" w:rsidR="00BC0E7E" w:rsidRPr="00BC0E7E" w:rsidRDefault="00944B8F" w:rsidP="00BC0E7E">
            <w:pPr>
              <w:keepNext/>
              <w:tabs>
                <w:tab w:val="left" w:pos="3600"/>
                <w:tab w:val="center" w:pos="5760"/>
              </w:tabs>
              <w:jc w:val="center"/>
              <w:rPr>
                <w:b/>
                <w:bCs/>
                <w:caps/>
              </w:rPr>
            </w:pPr>
            <w:r w:rsidRPr="00BC0E7E">
              <w:rPr>
                <w:b/>
                <w:bCs/>
              </w:rPr>
              <w:t>(percent of patients</w:t>
            </w:r>
            <w:r w:rsidRPr="00BC0E7E">
              <w:rPr>
                <w:b/>
                <w:bCs/>
                <w:caps/>
              </w:rPr>
              <w:t>)</w:t>
            </w:r>
          </w:p>
          <w:p w14:paraId="175764A3" w14:textId="77777777" w:rsidR="00BC0E7E" w:rsidRPr="00BC0E7E" w:rsidRDefault="00BC0E7E" w:rsidP="00BC0E7E">
            <w:pPr>
              <w:keepNext/>
              <w:tabs>
                <w:tab w:val="left" w:pos="3600"/>
                <w:tab w:val="center" w:pos="5760"/>
              </w:tabs>
              <w:jc w:val="center"/>
              <w:rPr>
                <w:b/>
                <w:bCs/>
              </w:rPr>
            </w:pPr>
          </w:p>
        </w:tc>
      </w:tr>
      <w:tr w:rsidR="00C6578C" w14:paraId="4F98CD6B" w14:textId="77777777" w:rsidTr="00171601">
        <w:trPr>
          <w:gridAfter w:val="1"/>
          <w:wAfter w:w="12" w:type="dxa"/>
          <w:cantSplit/>
          <w:jc w:val="center"/>
        </w:trPr>
        <w:tc>
          <w:tcPr>
            <w:tcW w:w="1548" w:type="dxa"/>
            <w:gridSpan w:val="2"/>
            <w:vAlign w:val="center"/>
          </w:tcPr>
          <w:p w14:paraId="704E0B07" w14:textId="77777777" w:rsidR="00BC0E7E" w:rsidRPr="00BC0E7E" w:rsidRDefault="00944B8F" w:rsidP="00BC0E7E">
            <w:pPr>
              <w:keepNext/>
              <w:rPr>
                <w:b/>
                <w:bCs/>
                <w:lang w:val="fr-FR"/>
              </w:rPr>
            </w:pPr>
            <w:r w:rsidRPr="00BC0E7E">
              <w:rPr>
                <w:b/>
                <w:bCs/>
                <w:lang w:val="fr-FR"/>
              </w:rPr>
              <w:t>Response</w:t>
            </w:r>
          </w:p>
        </w:tc>
        <w:tc>
          <w:tcPr>
            <w:tcW w:w="1320" w:type="dxa"/>
            <w:vAlign w:val="center"/>
          </w:tcPr>
          <w:p w14:paraId="7D0A0885" w14:textId="77777777" w:rsidR="00BC0E7E" w:rsidRPr="00BC0E7E" w:rsidRDefault="00944B8F" w:rsidP="00BC0E7E">
            <w:pPr>
              <w:keepNext/>
              <w:jc w:val="center"/>
              <w:rPr>
                <w:b/>
                <w:bCs/>
                <w:lang w:val="fr-FR"/>
              </w:rPr>
            </w:pPr>
            <w:r w:rsidRPr="00BC0E7E">
              <w:rPr>
                <w:b/>
                <w:bCs/>
                <w:lang w:val="fr-FR"/>
              </w:rPr>
              <w:t>MTX</w:t>
            </w:r>
          </w:p>
          <w:p w14:paraId="04F5D5A0" w14:textId="77777777" w:rsidR="00BC0E7E" w:rsidRPr="00BC0E7E" w:rsidRDefault="00944B8F" w:rsidP="00BC0E7E">
            <w:pPr>
              <w:keepNext/>
              <w:jc w:val="center"/>
              <w:rPr>
                <w:b/>
                <w:bCs/>
                <w:lang w:val="fr-FR"/>
              </w:rPr>
            </w:pPr>
            <w:r w:rsidRPr="00BC0E7E">
              <w:rPr>
                <w:b/>
                <w:bCs/>
                <w:lang w:val="fr-FR"/>
              </w:rPr>
              <w:t>n=257</w:t>
            </w:r>
          </w:p>
        </w:tc>
        <w:tc>
          <w:tcPr>
            <w:tcW w:w="1320" w:type="dxa"/>
            <w:vAlign w:val="center"/>
          </w:tcPr>
          <w:p w14:paraId="6610FF9D" w14:textId="77777777" w:rsidR="00BC0E7E" w:rsidRPr="00BC0E7E" w:rsidRDefault="00944B8F" w:rsidP="00BC0E7E">
            <w:pPr>
              <w:keepNext/>
              <w:jc w:val="center"/>
              <w:rPr>
                <w:b/>
                <w:bCs/>
                <w:lang w:val="fr-FR"/>
              </w:rPr>
            </w:pPr>
            <w:r w:rsidRPr="00BC0E7E">
              <w:rPr>
                <w:b/>
                <w:bCs/>
                <w:lang w:val="fr-FR"/>
              </w:rPr>
              <w:t>Humira</w:t>
            </w:r>
          </w:p>
          <w:p w14:paraId="352B157C" w14:textId="77777777" w:rsidR="00BC0E7E" w:rsidRPr="00BC0E7E" w:rsidRDefault="00944B8F" w:rsidP="00BC0E7E">
            <w:pPr>
              <w:keepNext/>
              <w:jc w:val="center"/>
              <w:rPr>
                <w:b/>
                <w:bCs/>
                <w:lang w:val="fr-FR"/>
              </w:rPr>
            </w:pPr>
            <w:r w:rsidRPr="00BC0E7E">
              <w:rPr>
                <w:b/>
                <w:bCs/>
                <w:lang w:val="fr-FR"/>
              </w:rPr>
              <w:t>n=274</w:t>
            </w:r>
          </w:p>
        </w:tc>
        <w:tc>
          <w:tcPr>
            <w:tcW w:w="1576" w:type="dxa"/>
            <w:vAlign w:val="center"/>
          </w:tcPr>
          <w:p w14:paraId="50E3FBA8" w14:textId="77777777" w:rsidR="00BC0E7E" w:rsidRPr="00BC0E7E" w:rsidRDefault="00944B8F" w:rsidP="00BC0E7E">
            <w:pPr>
              <w:keepNext/>
              <w:jc w:val="center"/>
              <w:rPr>
                <w:b/>
                <w:bCs/>
                <w:lang w:val="fr-FR"/>
              </w:rPr>
            </w:pPr>
            <w:r w:rsidRPr="00BC0E7E">
              <w:rPr>
                <w:b/>
                <w:bCs/>
                <w:lang w:val="fr-FR"/>
              </w:rPr>
              <w:t>Humira/MTX</w:t>
            </w:r>
          </w:p>
          <w:p w14:paraId="553A2C0E" w14:textId="77777777" w:rsidR="00BC0E7E" w:rsidRPr="00BC0E7E" w:rsidRDefault="00944B8F" w:rsidP="00BC0E7E">
            <w:pPr>
              <w:keepNext/>
              <w:jc w:val="center"/>
              <w:rPr>
                <w:b/>
                <w:bCs/>
                <w:lang w:val="fr-FR"/>
              </w:rPr>
            </w:pPr>
            <w:r w:rsidRPr="00BC0E7E">
              <w:rPr>
                <w:b/>
                <w:bCs/>
                <w:lang w:val="fr-FR"/>
              </w:rPr>
              <w:t>n=268</w:t>
            </w:r>
          </w:p>
        </w:tc>
        <w:tc>
          <w:tcPr>
            <w:tcW w:w="1100" w:type="dxa"/>
            <w:vAlign w:val="center"/>
          </w:tcPr>
          <w:p w14:paraId="33B8EEA0" w14:textId="77777777" w:rsidR="00BC0E7E" w:rsidRPr="00BC0E7E" w:rsidRDefault="00944B8F" w:rsidP="00BC0E7E">
            <w:pPr>
              <w:keepNext/>
              <w:jc w:val="center"/>
              <w:rPr>
                <w:b/>
                <w:bCs/>
                <w:lang w:val="fr-FR"/>
              </w:rPr>
            </w:pPr>
            <w:r w:rsidRPr="00BC0E7E">
              <w:rPr>
                <w:b/>
                <w:bCs/>
                <w:lang w:val="fr-FR"/>
              </w:rPr>
              <w:t>p-value</w:t>
            </w:r>
            <w:r w:rsidRPr="00BC0E7E">
              <w:rPr>
                <w:b/>
                <w:bCs/>
                <w:vertAlign w:val="superscript"/>
                <w:lang w:val="fr-FR"/>
              </w:rPr>
              <w:t>a</w:t>
            </w:r>
          </w:p>
        </w:tc>
        <w:tc>
          <w:tcPr>
            <w:tcW w:w="1173" w:type="dxa"/>
            <w:vAlign w:val="center"/>
          </w:tcPr>
          <w:p w14:paraId="58A74C49" w14:textId="77777777" w:rsidR="00BC0E7E" w:rsidRPr="00BC0E7E" w:rsidRDefault="00944B8F" w:rsidP="00BC0E7E">
            <w:pPr>
              <w:keepNext/>
              <w:jc w:val="center"/>
              <w:rPr>
                <w:b/>
                <w:bCs/>
                <w:lang w:val="fr-FR"/>
              </w:rPr>
            </w:pPr>
            <w:r w:rsidRPr="00BC0E7E">
              <w:rPr>
                <w:b/>
                <w:bCs/>
                <w:lang w:val="fr-FR"/>
              </w:rPr>
              <w:t>p-value</w:t>
            </w:r>
            <w:r w:rsidRPr="00BC0E7E">
              <w:rPr>
                <w:b/>
                <w:bCs/>
                <w:vertAlign w:val="superscript"/>
                <w:lang w:val="fr-FR"/>
              </w:rPr>
              <w:t>b</w:t>
            </w:r>
          </w:p>
        </w:tc>
        <w:tc>
          <w:tcPr>
            <w:tcW w:w="1210" w:type="dxa"/>
            <w:vAlign w:val="center"/>
          </w:tcPr>
          <w:p w14:paraId="25267665" w14:textId="77777777" w:rsidR="00BC0E7E" w:rsidRPr="00BC0E7E" w:rsidRDefault="00944B8F" w:rsidP="00BC0E7E">
            <w:pPr>
              <w:keepNext/>
              <w:jc w:val="center"/>
            </w:pPr>
            <w:r w:rsidRPr="00BC0E7E">
              <w:rPr>
                <w:b/>
                <w:bCs/>
              </w:rPr>
              <w:t>p-value</w:t>
            </w:r>
            <w:r w:rsidRPr="00BC0E7E">
              <w:rPr>
                <w:b/>
                <w:bCs/>
                <w:vertAlign w:val="superscript"/>
              </w:rPr>
              <w:t>c</w:t>
            </w:r>
          </w:p>
        </w:tc>
      </w:tr>
      <w:tr w:rsidR="00C6578C" w14:paraId="45F6B4B4" w14:textId="77777777" w:rsidTr="00171601">
        <w:trPr>
          <w:gridAfter w:val="1"/>
          <w:wAfter w:w="12" w:type="dxa"/>
          <w:cantSplit/>
          <w:jc w:val="center"/>
        </w:trPr>
        <w:tc>
          <w:tcPr>
            <w:tcW w:w="1548" w:type="dxa"/>
            <w:gridSpan w:val="2"/>
          </w:tcPr>
          <w:p w14:paraId="340D5BB6" w14:textId="77777777" w:rsidR="00BC0E7E" w:rsidRPr="00BC0E7E" w:rsidRDefault="00944B8F" w:rsidP="00BC0E7E">
            <w:pPr>
              <w:keepNext/>
            </w:pPr>
            <w:r w:rsidRPr="00BC0E7E">
              <w:t>ACR 20</w:t>
            </w:r>
          </w:p>
        </w:tc>
        <w:tc>
          <w:tcPr>
            <w:tcW w:w="1320" w:type="dxa"/>
          </w:tcPr>
          <w:p w14:paraId="7F8426C9" w14:textId="77777777" w:rsidR="00BC0E7E" w:rsidRPr="00BC0E7E" w:rsidRDefault="00BC0E7E" w:rsidP="00BC0E7E">
            <w:pPr>
              <w:keepNext/>
              <w:jc w:val="center"/>
            </w:pPr>
          </w:p>
        </w:tc>
        <w:tc>
          <w:tcPr>
            <w:tcW w:w="1320" w:type="dxa"/>
          </w:tcPr>
          <w:p w14:paraId="0BD0ECC7" w14:textId="77777777" w:rsidR="00BC0E7E" w:rsidRPr="00BC0E7E" w:rsidRDefault="00BC0E7E" w:rsidP="00BC0E7E">
            <w:pPr>
              <w:keepNext/>
              <w:jc w:val="center"/>
            </w:pPr>
          </w:p>
        </w:tc>
        <w:tc>
          <w:tcPr>
            <w:tcW w:w="1576" w:type="dxa"/>
          </w:tcPr>
          <w:p w14:paraId="6918363A" w14:textId="77777777" w:rsidR="00BC0E7E" w:rsidRPr="00BC0E7E" w:rsidRDefault="00BC0E7E" w:rsidP="00BC0E7E">
            <w:pPr>
              <w:keepNext/>
              <w:jc w:val="center"/>
            </w:pPr>
          </w:p>
        </w:tc>
        <w:tc>
          <w:tcPr>
            <w:tcW w:w="1100" w:type="dxa"/>
          </w:tcPr>
          <w:p w14:paraId="60E54827" w14:textId="77777777" w:rsidR="00BC0E7E" w:rsidRPr="00BC0E7E" w:rsidRDefault="00BC0E7E" w:rsidP="00BC0E7E">
            <w:pPr>
              <w:keepNext/>
              <w:jc w:val="center"/>
            </w:pPr>
          </w:p>
        </w:tc>
        <w:tc>
          <w:tcPr>
            <w:tcW w:w="1173" w:type="dxa"/>
          </w:tcPr>
          <w:p w14:paraId="570DEE63" w14:textId="77777777" w:rsidR="00BC0E7E" w:rsidRPr="00BC0E7E" w:rsidRDefault="00BC0E7E" w:rsidP="00BC0E7E">
            <w:pPr>
              <w:keepNext/>
              <w:jc w:val="center"/>
            </w:pPr>
          </w:p>
        </w:tc>
        <w:tc>
          <w:tcPr>
            <w:tcW w:w="1210" w:type="dxa"/>
          </w:tcPr>
          <w:p w14:paraId="4C7F2D39" w14:textId="77777777" w:rsidR="00BC0E7E" w:rsidRPr="00BC0E7E" w:rsidRDefault="00BC0E7E" w:rsidP="00BC0E7E">
            <w:pPr>
              <w:keepNext/>
              <w:jc w:val="center"/>
            </w:pPr>
          </w:p>
        </w:tc>
      </w:tr>
      <w:tr w:rsidR="00C6578C" w14:paraId="3D002D54" w14:textId="77777777" w:rsidTr="00171601">
        <w:trPr>
          <w:gridAfter w:val="1"/>
          <w:wAfter w:w="12" w:type="dxa"/>
          <w:cantSplit/>
          <w:jc w:val="center"/>
        </w:trPr>
        <w:tc>
          <w:tcPr>
            <w:tcW w:w="1548" w:type="dxa"/>
            <w:gridSpan w:val="2"/>
          </w:tcPr>
          <w:p w14:paraId="247F44CB" w14:textId="77777777" w:rsidR="00BC0E7E" w:rsidRPr="00BC0E7E" w:rsidRDefault="00944B8F" w:rsidP="00BC0E7E">
            <w:pPr>
              <w:keepNext/>
            </w:pPr>
            <w:r w:rsidRPr="00BC0E7E">
              <w:tab/>
              <w:t>Week 52</w:t>
            </w:r>
          </w:p>
        </w:tc>
        <w:tc>
          <w:tcPr>
            <w:tcW w:w="1320" w:type="dxa"/>
          </w:tcPr>
          <w:p w14:paraId="417EECB3" w14:textId="77777777" w:rsidR="00BC0E7E" w:rsidRPr="00BC0E7E" w:rsidRDefault="00944B8F" w:rsidP="00BC0E7E">
            <w:pPr>
              <w:keepNext/>
              <w:jc w:val="center"/>
            </w:pPr>
            <w:r w:rsidRPr="00BC0E7E">
              <w:t>62.6%</w:t>
            </w:r>
          </w:p>
        </w:tc>
        <w:tc>
          <w:tcPr>
            <w:tcW w:w="1320" w:type="dxa"/>
          </w:tcPr>
          <w:p w14:paraId="3D4B5769" w14:textId="77777777" w:rsidR="00BC0E7E" w:rsidRPr="00BC0E7E" w:rsidRDefault="00944B8F" w:rsidP="00BC0E7E">
            <w:pPr>
              <w:keepNext/>
              <w:jc w:val="center"/>
            </w:pPr>
            <w:r w:rsidRPr="00BC0E7E">
              <w:t>54.4%</w:t>
            </w:r>
          </w:p>
        </w:tc>
        <w:tc>
          <w:tcPr>
            <w:tcW w:w="1576" w:type="dxa"/>
          </w:tcPr>
          <w:p w14:paraId="0E651C75" w14:textId="77777777" w:rsidR="00BC0E7E" w:rsidRPr="00BC0E7E" w:rsidRDefault="00944B8F" w:rsidP="00BC0E7E">
            <w:pPr>
              <w:keepNext/>
              <w:jc w:val="center"/>
            </w:pPr>
            <w:r w:rsidRPr="00BC0E7E">
              <w:t>72.8%</w:t>
            </w:r>
          </w:p>
        </w:tc>
        <w:tc>
          <w:tcPr>
            <w:tcW w:w="1100" w:type="dxa"/>
          </w:tcPr>
          <w:p w14:paraId="580168A7" w14:textId="77777777" w:rsidR="00BC0E7E" w:rsidRPr="00BC0E7E" w:rsidRDefault="00944B8F" w:rsidP="00BC0E7E">
            <w:pPr>
              <w:keepNext/>
              <w:jc w:val="center"/>
            </w:pPr>
            <w:r w:rsidRPr="00BC0E7E">
              <w:t>0.013</w:t>
            </w:r>
          </w:p>
        </w:tc>
        <w:tc>
          <w:tcPr>
            <w:tcW w:w="1173" w:type="dxa"/>
          </w:tcPr>
          <w:p w14:paraId="4918B8B1" w14:textId="77777777" w:rsidR="00BC0E7E" w:rsidRPr="00BC0E7E" w:rsidRDefault="00944B8F" w:rsidP="00BC0E7E">
            <w:pPr>
              <w:keepNext/>
              <w:jc w:val="center"/>
            </w:pPr>
            <w:r w:rsidRPr="00BC0E7E">
              <w:t>&lt; 0.001</w:t>
            </w:r>
          </w:p>
        </w:tc>
        <w:tc>
          <w:tcPr>
            <w:tcW w:w="1210" w:type="dxa"/>
          </w:tcPr>
          <w:p w14:paraId="547238F7" w14:textId="77777777" w:rsidR="00BC0E7E" w:rsidRPr="00BC0E7E" w:rsidRDefault="00944B8F" w:rsidP="00BC0E7E">
            <w:pPr>
              <w:keepNext/>
              <w:jc w:val="center"/>
            </w:pPr>
            <w:r w:rsidRPr="00BC0E7E">
              <w:t>0.043</w:t>
            </w:r>
          </w:p>
        </w:tc>
      </w:tr>
      <w:tr w:rsidR="00C6578C" w14:paraId="4E36E77C" w14:textId="77777777" w:rsidTr="00171601">
        <w:trPr>
          <w:gridAfter w:val="1"/>
          <w:wAfter w:w="12" w:type="dxa"/>
          <w:cantSplit/>
          <w:jc w:val="center"/>
        </w:trPr>
        <w:tc>
          <w:tcPr>
            <w:tcW w:w="1548" w:type="dxa"/>
            <w:gridSpan w:val="2"/>
          </w:tcPr>
          <w:p w14:paraId="4AD7C1F0" w14:textId="77777777" w:rsidR="00BC0E7E" w:rsidRPr="00BC0E7E" w:rsidRDefault="00944B8F" w:rsidP="00BC0E7E">
            <w:pPr>
              <w:keepNext/>
            </w:pPr>
            <w:r w:rsidRPr="00BC0E7E">
              <w:tab/>
              <w:t>Week 104</w:t>
            </w:r>
          </w:p>
        </w:tc>
        <w:tc>
          <w:tcPr>
            <w:tcW w:w="1320" w:type="dxa"/>
          </w:tcPr>
          <w:p w14:paraId="5237E688" w14:textId="77777777" w:rsidR="00BC0E7E" w:rsidRPr="00BC0E7E" w:rsidRDefault="00944B8F" w:rsidP="00BC0E7E">
            <w:pPr>
              <w:keepNext/>
              <w:jc w:val="center"/>
            </w:pPr>
            <w:r w:rsidRPr="00BC0E7E">
              <w:t>56.0%</w:t>
            </w:r>
          </w:p>
        </w:tc>
        <w:tc>
          <w:tcPr>
            <w:tcW w:w="1320" w:type="dxa"/>
          </w:tcPr>
          <w:p w14:paraId="4593E126" w14:textId="77777777" w:rsidR="00BC0E7E" w:rsidRPr="00BC0E7E" w:rsidRDefault="00944B8F" w:rsidP="00BC0E7E">
            <w:pPr>
              <w:keepNext/>
              <w:jc w:val="center"/>
            </w:pPr>
            <w:r w:rsidRPr="00BC0E7E">
              <w:t>49.3%</w:t>
            </w:r>
          </w:p>
        </w:tc>
        <w:tc>
          <w:tcPr>
            <w:tcW w:w="1576" w:type="dxa"/>
          </w:tcPr>
          <w:p w14:paraId="55313E4D" w14:textId="77777777" w:rsidR="00BC0E7E" w:rsidRPr="00BC0E7E" w:rsidRDefault="00944B8F" w:rsidP="00BC0E7E">
            <w:pPr>
              <w:keepNext/>
              <w:jc w:val="center"/>
            </w:pPr>
            <w:r w:rsidRPr="00BC0E7E">
              <w:t>69.4%</w:t>
            </w:r>
          </w:p>
        </w:tc>
        <w:tc>
          <w:tcPr>
            <w:tcW w:w="1100" w:type="dxa"/>
          </w:tcPr>
          <w:p w14:paraId="5D300575" w14:textId="77777777" w:rsidR="00BC0E7E" w:rsidRPr="00BC0E7E" w:rsidRDefault="00944B8F" w:rsidP="00BC0E7E">
            <w:pPr>
              <w:keepNext/>
              <w:jc w:val="center"/>
            </w:pPr>
            <w:r w:rsidRPr="00BC0E7E">
              <w:t>0.002</w:t>
            </w:r>
          </w:p>
        </w:tc>
        <w:tc>
          <w:tcPr>
            <w:tcW w:w="1173" w:type="dxa"/>
          </w:tcPr>
          <w:p w14:paraId="164E5284" w14:textId="77777777" w:rsidR="00BC0E7E" w:rsidRPr="00BC0E7E" w:rsidRDefault="00944B8F" w:rsidP="00BC0E7E">
            <w:pPr>
              <w:keepNext/>
              <w:jc w:val="center"/>
            </w:pPr>
            <w:r w:rsidRPr="00BC0E7E">
              <w:t>&lt; 0.001</w:t>
            </w:r>
          </w:p>
        </w:tc>
        <w:tc>
          <w:tcPr>
            <w:tcW w:w="1210" w:type="dxa"/>
          </w:tcPr>
          <w:p w14:paraId="55C052D7" w14:textId="77777777" w:rsidR="00BC0E7E" w:rsidRPr="00BC0E7E" w:rsidRDefault="00944B8F" w:rsidP="00BC0E7E">
            <w:pPr>
              <w:keepNext/>
              <w:jc w:val="center"/>
            </w:pPr>
            <w:r w:rsidRPr="00BC0E7E">
              <w:t>0.140</w:t>
            </w:r>
          </w:p>
        </w:tc>
      </w:tr>
      <w:tr w:rsidR="00C6578C" w14:paraId="5523847C" w14:textId="77777777" w:rsidTr="00171601">
        <w:trPr>
          <w:gridAfter w:val="1"/>
          <w:wAfter w:w="12" w:type="dxa"/>
          <w:cantSplit/>
          <w:jc w:val="center"/>
        </w:trPr>
        <w:tc>
          <w:tcPr>
            <w:tcW w:w="1548" w:type="dxa"/>
            <w:gridSpan w:val="2"/>
          </w:tcPr>
          <w:p w14:paraId="2B5B50AC" w14:textId="77777777" w:rsidR="00BC0E7E" w:rsidRPr="00BC0E7E" w:rsidRDefault="00944B8F" w:rsidP="00BC0E7E">
            <w:pPr>
              <w:keepNext/>
            </w:pPr>
            <w:r w:rsidRPr="00BC0E7E">
              <w:t>ACR 50</w:t>
            </w:r>
          </w:p>
        </w:tc>
        <w:tc>
          <w:tcPr>
            <w:tcW w:w="1320" w:type="dxa"/>
          </w:tcPr>
          <w:p w14:paraId="69329B0B" w14:textId="77777777" w:rsidR="00BC0E7E" w:rsidRPr="00BC0E7E" w:rsidRDefault="00BC0E7E" w:rsidP="00BC0E7E">
            <w:pPr>
              <w:keepNext/>
              <w:jc w:val="center"/>
            </w:pPr>
          </w:p>
        </w:tc>
        <w:tc>
          <w:tcPr>
            <w:tcW w:w="1320" w:type="dxa"/>
          </w:tcPr>
          <w:p w14:paraId="5572D68D" w14:textId="77777777" w:rsidR="00BC0E7E" w:rsidRPr="00BC0E7E" w:rsidRDefault="00BC0E7E" w:rsidP="00BC0E7E">
            <w:pPr>
              <w:keepNext/>
              <w:jc w:val="center"/>
            </w:pPr>
          </w:p>
        </w:tc>
        <w:tc>
          <w:tcPr>
            <w:tcW w:w="1576" w:type="dxa"/>
          </w:tcPr>
          <w:p w14:paraId="319DCC18" w14:textId="77777777" w:rsidR="00BC0E7E" w:rsidRPr="00BC0E7E" w:rsidRDefault="00BC0E7E" w:rsidP="00BC0E7E">
            <w:pPr>
              <w:keepNext/>
              <w:jc w:val="center"/>
            </w:pPr>
          </w:p>
        </w:tc>
        <w:tc>
          <w:tcPr>
            <w:tcW w:w="1100" w:type="dxa"/>
          </w:tcPr>
          <w:p w14:paraId="0DAB8BA4" w14:textId="77777777" w:rsidR="00BC0E7E" w:rsidRPr="00BC0E7E" w:rsidRDefault="00BC0E7E" w:rsidP="00BC0E7E">
            <w:pPr>
              <w:keepNext/>
              <w:jc w:val="center"/>
            </w:pPr>
          </w:p>
        </w:tc>
        <w:tc>
          <w:tcPr>
            <w:tcW w:w="1173" w:type="dxa"/>
          </w:tcPr>
          <w:p w14:paraId="0918BAAB" w14:textId="77777777" w:rsidR="00BC0E7E" w:rsidRPr="00BC0E7E" w:rsidRDefault="00BC0E7E" w:rsidP="00BC0E7E">
            <w:pPr>
              <w:keepNext/>
              <w:jc w:val="center"/>
            </w:pPr>
          </w:p>
        </w:tc>
        <w:tc>
          <w:tcPr>
            <w:tcW w:w="1210" w:type="dxa"/>
          </w:tcPr>
          <w:p w14:paraId="14BDEC6B" w14:textId="77777777" w:rsidR="00BC0E7E" w:rsidRPr="00BC0E7E" w:rsidRDefault="00BC0E7E" w:rsidP="00BC0E7E">
            <w:pPr>
              <w:keepNext/>
              <w:jc w:val="center"/>
            </w:pPr>
          </w:p>
        </w:tc>
      </w:tr>
      <w:tr w:rsidR="00C6578C" w14:paraId="6FA1D783" w14:textId="77777777" w:rsidTr="00171601">
        <w:trPr>
          <w:gridAfter w:val="1"/>
          <w:wAfter w:w="12" w:type="dxa"/>
          <w:cantSplit/>
          <w:jc w:val="center"/>
        </w:trPr>
        <w:tc>
          <w:tcPr>
            <w:tcW w:w="1548" w:type="dxa"/>
            <w:gridSpan w:val="2"/>
          </w:tcPr>
          <w:p w14:paraId="4E9E6B0D" w14:textId="77777777" w:rsidR="00BC0E7E" w:rsidRPr="00BC0E7E" w:rsidRDefault="00944B8F" w:rsidP="00BC0E7E">
            <w:pPr>
              <w:keepNext/>
            </w:pPr>
            <w:r w:rsidRPr="00BC0E7E">
              <w:tab/>
              <w:t>Week 52</w:t>
            </w:r>
          </w:p>
        </w:tc>
        <w:tc>
          <w:tcPr>
            <w:tcW w:w="1320" w:type="dxa"/>
          </w:tcPr>
          <w:p w14:paraId="2E7DC20B" w14:textId="77777777" w:rsidR="00BC0E7E" w:rsidRPr="00BC0E7E" w:rsidRDefault="00944B8F" w:rsidP="00BC0E7E">
            <w:pPr>
              <w:keepNext/>
              <w:jc w:val="center"/>
            </w:pPr>
            <w:r w:rsidRPr="00BC0E7E">
              <w:t>45.9%</w:t>
            </w:r>
          </w:p>
        </w:tc>
        <w:tc>
          <w:tcPr>
            <w:tcW w:w="1320" w:type="dxa"/>
          </w:tcPr>
          <w:p w14:paraId="2989DE30" w14:textId="77777777" w:rsidR="00BC0E7E" w:rsidRPr="00BC0E7E" w:rsidRDefault="00944B8F" w:rsidP="00BC0E7E">
            <w:pPr>
              <w:keepNext/>
              <w:jc w:val="center"/>
            </w:pPr>
            <w:r w:rsidRPr="00BC0E7E">
              <w:t>41.2%</w:t>
            </w:r>
          </w:p>
        </w:tc>
        <w:tc>
          <w:tcPr>
            <w:tcW w:w="1576" w:type="dxa"/>
          </w:tcPr>
          <w:p w14:paraId="291DA823" w14:textId="77777777" w:rsidR="00BC0E7E" w:rsidRPr="00BC0E7E" w:rsidRDefault="00944B8F" w:rsidP="00BC0E7E">
            <w:pPr>
              <w:keepNext/>
              <w:jc w:val="center"/>
            </w:pPr>
            <w:r w:rsidRPr="00BC0E7E">
              <w:t>61.6%</w:t>
            </w:r>
          </w:p>
        </w:tc>
        <w:tc>
          <w:tcPr>
            <w:tcW w:w="1100" w:type="dxa"/>
          </w:tcPr>
          <w:p w14:paraId="71C8123D" w14:textId="77777777" w:rsidR="00BC0E7E" w:rsidRPr="00BC0E7E" w:rsidRDefault="00944B8F" w:rsidP="00BC0E7E">
            <w:pPr>
              <w:keepNext/>
              <w:jc w:val="center"/>
            </w:pPr>
            <w:r w:rsidRPr="00BC0E7E">
              <w:t>&lt; 0.001</w:t>
            </w:r>
          </w:p>
        </w:tc>
        <w:tc>
          <w:tcPr>
            <w:tcW w:w="1173" w:type="dxa"/>
          </w:tcPr>
          <w:p w14:paraId="2370B1F6" w14:textId="77777777" w:rsidR="00BC0E7E" w:rsidRPr="00BC0E7E" w:rsidRDefault="00944B8F" w:rsidP="00BC0E7E">
            <w:pPr>
              <w:keepNext/>
              <w:jc w:val="center"/>
            </w:pPr>
            <w:r w:rsidRPr="00BC0E7E">
              <w:t>&lt; 0.001</w:t>
            </w:r>
          </w:p>
        </w:tc>
        <w:tc>
          <w:tcPr>
            <w:tcW w:w="1210" w:type="dxa"/>
          </w:tcPr>
          <w:p w14:paraId="3567F153" w14:textId="77777777" w:rsidR="00BC0E7E" w:rsidRPr="00BC0E7E" w:rsidRDefault="00944B8F" w:rsidP="00BC0E7E">
            <w:pPr>
              <w:keepNext/>
              <w:jc w:val="center"/>
            </w:pPr>
            <w:r w:rsidRPr="00BC0E7E">
              <w:t>0.317</w:t>
            </w:r>
          </w:p>
        </w:tc>
      </w:tr>
      <w:tr w:rsidR="00C6578C" w14:paraId="562652E8" w14:textId="77777777" w:rsidTr="00171601">
        <w:trPr>
          <w:gridAfter w:val="1"/>
          <w:wAfter w:w="12" w:type="dxa"/>
          <w:cantSplit/>
          <w:jc w:val="center"/>
        </w:trPr>
        <w:tc>
          <w:tcPr>
            <w:tcW w:w="1548" w:type="dxa"/>
            <w:gridSpan w:val="2"/>
          </w:tcPr>
          <w:p w14:paraId="2ED5BF0B" w14:textId="77777777" w:rsidR="00BC0E7E" w:rsidRPr="00BC0E7E" w:rsidRDefault="00944B8F" w:rsidP="00BC0E7E">
            <w:pPr>
              <w:keepNext/>
            </w:pPr>
            <w:r w:rsidRPr="00BC0E7E">
              <w:tab/>
              <w:t>Week 104</w:t>
            </w:r>
          </w:p>
        </w:tc>
        <w:tc>
          <w:tcPr>
            <w:tcW w:w="1320" w:type="dxa"/>
          </w:tcPr>
          <w:p w14:paraId="590EC59D" w14:textId="77777777" w:rsidR="00BC0E7E" w:rsidRPr="00BC0E7E" w:rsidRDefault="00944B8F" w:rsidP="00BC0E7E">
            <w:pPr>
              <w:keepNext/>
              <w:jc w:val="center"/>
            </w:pPr>
            <w:r w:rsidRPr="00BC0E7E">
              <w:t>42.8%</w:t>
            </w:r>
          </w:p>
        </w:tc>
        <w:tc>
          <w:tcPr>
            <w:tcW w:w="1320" w:type="dxa"/>
          </w:tcPr>
          <w:p w14:paraId="26BFEFDA" w14:textId="77777777" w:rsidR="00BC0E7E" w:rsidRPr="00BC0E7E" w:rsidRDefault="00944B8F" w:rsidP="00BC0E7E">
            <w:pPr>
              <w:keepNext/>
              <w:jc w:val="center"/>
            </w:pPr>
            <w:r w:rsidRPr="00BC0E7E">
              <w:t>36.9%</w:t>
            </w:r>
          </w:p>
        </w:tc>
        <w:tc>
          <w:tcPr>
            <w:tcW w:w="1576" w:type="dxa"/>
          </w:tcPr>
          <w:p w14:paraId="2C61538A" w14:textId="77777777" w:rsidR="00BC0E7E" w:rsidRPr="00BC0E7E" w:rsidRDefault="00944B8F" w:rsidP="00BC0E7E">
            <w:pPr>
              <w:keepNext/>
              <w:jc w:val="center"/>
            </w:pPr>
            <w:r w:rsidRPr="00BC0E7E">
              <w:t>59.0%</w:t>
            </w:r>
          </w:p>
        </w:tc>
        <w:tc>
          <w:tcPr>
            <w:tcW w:w="1100" w:type="dxa"/>
          </w:tcPr>
          <w:p w14:paraId="2CCEAAB4" w14:textId="77777777" w:rsidR="00BC0E7E" w:rsidRPr="00BC0E7E" w:rsidRDefault="00944B8F" w:rsidP="00BC0E7E">
            <w:pPr>
              <w:keepNext/>
              <w:jc w:val="center"/>
            </w:pPr>
            <w:r w:rsidRPr="00BC0E7E">
              <w:t>&lt; 0.001</w:t>
            </w:r>
          </w:p>
        </w:tc>
        <w:tc>
          <w:tcPr>
            <w:tcW w:w="1173" w:type="dxa"/>
          </w:tcPr>
          <w:p w14:paraId="0F777F81" w14:textId="77777777" w:rsidR="00BC0E7E" w:rsidRPr="00BC0E7E" w:rsidRDefault="00944B8F" w:rsidP="00BC0E7E">
            <w:pPr>
              <w:keepNext/>
              <w:jc w:val="center"/>
            </w:pPr>
            <w:r w:rsidRPr="00BC0E7E">
              <w:t>&lt; 0.001</w:t>
            </w:r>
          </w:p>
        </w:tc>
        <w:tc>
          <w:tcPr>
            <w:tcW w:w="1210" w:type="dxa"/>
          </w:tcPr>
          <w:p w14:paraId="76632F9B" w14:textId="77777777" w:rsidR="00BC0E7E" w:rsidRPr="00BC0E7E" w:rsidRDefault="00944B8F" w:rsidP="00BC0E7E">
            <w:pPr>
              <w:keepNext/>
              <w:jc w:val="center"/>
            </w:pPr>
            <w:r w:rsidRPr="00BC0E7E">
              <w:t>0.162</w:t>
            </w:r>
          </w:p>
        </w:tc>
      </w:tr>
      <w:tr w:rsidR="00C6578C" w14:paraId="5089C411" w14:textId="77777777" w:rsidTr="00171601">
        <w:trPr>
          <w:gridAfter w:val="1"/>
          <w:wAfter w:w="12" w:type="dxa"/>
          <w:cantSplit/>
          <w:jc w:val="center"/>
        </w:trPr>
        <w:tc>
          <w:tcPr>
            <w:tcW w:w="1548" w:type="dxa"/>
            <w:gridSpan w:val="2"/>
          </w:tcPr>
          <w:p w14:paraId="17476307" w14:textId="77777777" w:rsidR="00BC0E7E" w:rsidRPr="00BC0E7E" w:rsidRDefault="00944B8F" w:rsidP="00BC0E7E">
            <w:pPr>
              <w:keepNext/>
            </w:pPr>
            <w:r w:rsidRPr="00BC0E7E">
              <w:t>ACR 70</w:t>
            </w:r>
          </w:p>
        </w:tc>
        <w:tc>
          <w:tcPr>
            <w:tcW w:w="1320" w:type="dxa"/>
          </w:tcPr>
          <w:p w14:paraId="28AEC7BB" w14:textId="77777777" w:rsidR="00BC0E7E" w:rsidRPr="00BC0E7E" w:rsidRDefault="00BC0E7E" w:rsidP="00BC0E7E">
            <w:pPr>
              <w:keepNext/>
              <w:jc w:val="center"/>
            </w:pPr>
          </w:p>
        </w:tc>
        <w:tc>
          <w:tcPr>
            <w:tcW w:w="1320" w:type="dxa"/>
          </w:tcPr>
          <w:p w14:paraId="54310FA6" w14:textId="77777777" w:rsidR="00BC0E7E" w:rsidRPr="00BC0E7E" w:rsidRDefault="00BC0E7E" w:rsidP="00BC0E7E">
            <w:pPr>
              <w:keepNext/>
              <w:jc w:val="center"/>
            </w:pPr>
          </w:p>
        </w:tc>
        <w:tc>
          <w:tcPr>
            <w:tcW w:w="1576" w:type="dxa"/>
          </w:tcPr>
          <w:p w14:paraId="79322E6A" w14:textId="77777777" w:rsidR="00BC0E7E" w:rsidRPr="00BC0E7E" w:rsidRDefault="00BC0E7E" w:rsidP="00BC0E7E">
            <w:pPr>
              <w:keepNext/>
              <w:jc w:val="center"/>
            </w:pPr>
          </w:p>
        </w:tc>
        <w:tc>
          <w:tcPr>
            <w:tcW w:w="1100" w:type="dxa"/>
          </w:tcPr>
          <w:p w14:paraId="152B93EB" w14:textId="77777777" w:rsidR="00BC0E7E" w:rsidRPr="00BC0E7E" w:rsidRDefault="00BC0E7E" w:rsidP="00BC0E7E">
            <w:pPr>
              <w:keepNext/>
              <w:jc w:val="center"/>
            </w:pPr>
          </w:p>
        </w:tc>
        <w:tc>
          <w:tcPr>
            <w:tcW w:w="1173" w:type="dxa"/>
          </w:tcPr>
          <w:p w14:paraId="43D65824" w14:textId="77777777" w:rsidR="00BC0E7E" w:rsidRPr="00BC0E7E" w:rsidRDefault="00BC0E7E" w:rsidP="00BC0E7E">
            <w:pPr>
              <w:keepNext/>
              <w:jc w:val="center"/>
            </w:pPr>
          </w:p>
        </w:tc>
        <w:tc>
          <w:tcPr>
            <w:tcW w:w="1210" w:type="dxa"/>
          </w:tcPr>
          <w:p w14:paraId="110038A5" w14:textId="77777777" w:rsidR="00BC0E7E" w:rsidRPr="00BC0E7E" w:rsidRDefault="00BC0E7E" w:rsidP="00BC0E7E">
            <w:pPr>
              <w:keepNext/>
              <w:jc w:val="center"/>
            </w:pPr>
          </w:p>
        </w:tc>
      </w:tr>
      <w:tr w:rsidR="00C6578C" w14:paraId="33ED0C5B" w14:textId="77777777" w:rsidTr="00171601">
        <w:trPr>
          <w:gridAfter w:val="1"/>
          <w:wAfter w:w="12" w:type="dxa"/>
          <w:cantSplit/>
          <w:trHeight w:val="70"/>
          <w:jc w:val="center"/>
        </w:trPr>
        <w:tc>
          <w:tcPr>
            <w:tcW w:w="1548" w:type="dxa"/>
            <w:gridSpan w:val="2"/>
          </w:tcPr>
          <w:p w14:paraId="5033ADDF" w14:textId="77777777" w:rsidR="00BC0E7E" w:rsidRPr="00BC0E7E" w:rsidRDefault="00944B8F" w:rsidP="00BC0E7E">
            <w:pPr>
              <w:keepNext/>
            </w:pPr>
            <w:r w:rsidRPr="00BC0E7E">
              <w:tab/>
              <w:t>Week 52</w:t>
            </w:r>
          </w:p>
        </w:tc>
        <w:tc>
          <w:tcPr>
            <w:tcW w:w="1320" w:type="dxa"/>
          </w:tcPr>
          <w:p w14:paraId="69A21ADA" w14:textId="77777777" w:rsidR="00BC0E7E" w:rsidRPr="00BC0E7E" w:rsidRDefault="00944B8F" w:rsidP="00BC0E7E">
            <w:pPr>
              <w:keepNext/>
              <w:jc w:val="center"/>
            </w:pPr>
            <w:r w:rsidRPr="00BC0E7E">
              <w:t>27.2%</w:t>
            </w:r>
          </w:p>
        </w:tc>
        <w:tc>
          <w:tcPr>
            <w:tcW w:w="1320" w:type="dxa"/>
          </w:tcPr>
          <w:p w14:paraId="0AED0B0B" w14:textId="77777777" w:rsidR="00BC0E7E" w:rsidRPr="00BC0E7E" w:rsidRDefault="00944B8F" w:rsidP="00BC0E7E">
            <w:pPr>
              <w:keepNext/>
              <w:jc w:val="center"/>
            </w:pPr>
            <w:r w:rsidRPr="00BC0E7E">
              <w:t>25.9%</w:t>
            </w:r>
          </w:p>
        </w:tc>
        <w:tc>
          <w:tcPr>
            <w:tcW w:w="1576" w:type="dxa"/>
          </w:tcPr>
          <w:p w14:paraId="42CD6369" w14:textId="77777777" w:rsidR="00BC0E7E" w:rsidRPr="00BC0E7E" w:rsidRDefault="00944B8F" w:rsidP="00BC0E7E">
            <w:pPr>
              <w:keepNext/>
              <w:jc w:val="center"/>
            </w:pPr>
            <w:r w:rsidRPr="00BC0E7E">
              <w:t>45.5%</w:t>
            </w:r>
          </w:p>
        </w:tc>
        <w:tc>
          <w:tcPr>
            <w:tcW w:w="1100" w:type="dxa"/>
          </w:tcPr>
          <w:p w14:paraId="5C6B98BF" w14:textId="77777777" w:rsidR="00BC0E7E" w:rsidRPr="00BC0E7E" w:rsidRDefault="00944B8F" w:rsidP="00BC0E7E">
            <w:pPr>
              <w:keepNext/>
              <w:jc w:val="center"/>
            </w:pPr>
            <w:r w:rsidRPr="00BC0E7E">
              <w:t>&lt; 0.001</w:t>
            </w:r>
          </w:p>
        </w:tc>
        <w:tc>
          <w:tcPr>
            <w:tcW w:w="1173" w:type="dxa"/>
          </w:tcPr>
          <w:p w14:paraId="26CFBCEB" w14:textId="77777777" w:rsidR="00BC0E7E" w:rsidRPr="00BC0E7E" w:rsidRDefault="00944B8F" w:rsidP="00BC0E7E">
            <w:pPr>
              <w:keepNext/>
              <w:jc w:val="center"/>
            </w:pPr>
            <w:r w:rsidRPr="00BC0E7E">
              <w:t>&lt; 0.001</w:t>
            </w:r>
          </w:p>
        </w:tc>
        <w:tc>
          <w:tcPr>
            <w:tcW w:w="1210" w:type="dxa"/>
          </w:tcPr>
          <w:p w14:paraId="0A8F3B92" w14:textId="77777777" w:rsidR="00BC0E7E" w:rsidRPr="00BC0E7E" w:rsidRDefault="00944B8F" w:rsidP="00BC0E7E">
            <w:pPr>
              <w:keepNext/>
              <w:jc w:val="center"/>
            </w:pPr>
            <w:r w:rsidRPr="00BC0E7E">
              <w:t>0.656</w:t>
            </w:r>
          </w:p>
        </w:tc>
      </w:tr>
      <w:tr w:rsidR="00C6578C" w14:paraId="0439BEE2" w14:textId="77777777" w:rsidTr="00171601">
        <w:trPr>
          <w:gridAfter w:val="1"/>
          <w:wAfter w:w="12" w:type="dxa"/>
          <w:cantSplit/>
          <w:jc w:val="center"/>
        </w:trPr>
        <w:tc>
          <w:tcPr>
            <w:tcW w:w="1548" w:type="dxa"/>
            <w:gridSpan w:val="2"/>
          </w:tcPr>
          <w:p w14:paraId="27FFE15E" w14:textId="77777777" w:rsidR="00BC0E7E" w:rsidRPr="00BC0E7E" w:rsidRDefault="00944B8F" w:rsidP="00BC0E7E">
            <w:pPr>
              <w:keepNext/>
            </w:pPr>
            <w:r w:rsidRPr="00BC0E7E">
              <w:tab/>
              <w:t>Week 104</w:t>
            </w:r>
          </w:p>
        </w:tc>
        <w:tc>
          <w:tcPr>
            <w:tcW w:w="1320" w:type="dxa"/>
          </w:tcPr>
          <w:p w14:paraId="1E75929D" w14:textId="77777777" w:rsidR="00BC0E7E" w:rsidRPr="00BC0E7E" w:rsidRDefault="00944B8F" w:rsidP="00BC0E7E">
            <w:pPr>
              <w:keepNext/>
              <w:jc w:val="center"/>
            </w:pPr>
            <w:r w:rsidRPr="00BC0E7E">
              <w:t>28.4%</w:t>
            </w:r>
          </w:p>
        </w:tc>
        <w:tc>
          <w:tcPr>
            <w:tcW w:w="1320" w:type="dxa"/>
          </w:tcPr>
          <w:p w14:paraId="1F86651B" w14:textId="77777777" w:rsidR="00BC0E7E" w:rsidRPr="00BC0E7E" w:rsidRDefault="00944B8F" w:rsidP="00BC0E7E">
            <w:pPr>
              <w:keepNext/>
              <w:jc w:val="center"/>
            </w:pPr>
            <w:r w:rsidRPr="00BC0E7E">
              <w:t>28.1%</w:t>
            </w:r>
          </w:p>
        </w:tc>
        <w:tc>
          <w:tcPr>
            <w:tcW w:w="1576" w:type="dxa"/>
          </w:tcPr>
          <w:p w14:paraId="01E18F02" w14:textId="77777777" w:rsidR="00BC0E7E" w:rsidRPr="00BC0E7E" w:rsidRDefault="00944B8F" w:rsidP="00BC0E7E">
            <w:pPr>
              <w:keepNext/>
              <w:jc w:val="center"/>
            </w:pPr>
            <w:r w:rsidRPr="00BC0E7E">
              <w:t>46.6%</w:t>
            </w:r>
          </w:p>
        </w:tc>
        <w:tc>
          <w:tcPr>
            <w:tcW w:w="1100" w:type="dxa"/>
          </w:tcPr>
          <w:p w14:paraId="4537FD2B" w14:textId="77777777" w:rsidR="00BC0E7E" w:rsidRPr="00BC0E7E" w:rsidRDefault="00944B8F" w:rsidP="00BC0E7E">
            <w:pPr>
              <w:keepNext/>
              <w:jc w:val="center"/>
            </w:pPr>
            <w:r w:rsidRPr="00BC0E7E">
              <w:t>&lt; 0.001</w:t>
            </w:r>
          </w:p>
        </w:tc>
        <w:tc>
          <w:tcPr>
            <w:tcW w:w="1173" w:type="dxa"/>
          </w:tcPr>
          <w:p w14:paraId="0FF8325E" w14:textId="77777777" w:rsidR="00BC0E7E" w:rsidRPr="00BC0E7E" w:rsidRDefault="00944B8F" w:rsidP="00BC0E7E">
            <w:pPr>
              <w:keepNext/>
              <w:jc w:val="center"/>
            </w:pPr>
            <w:r w:rsidRPr="00BC0E7E">
              <w:t>&lt; 0.001</w:t>
            </w:r>
          </w:p>
        </w:tc>
        <w:tc>
          <w:tcPr>
            <w:tcW w:w="1210" w:type="dxa"/>
          </w:tcPr>
          <w:p w14:paraId="3FB0FF2A" w14:textId="77777777" w:rsidR="00BC0E7E" w:rsidRPr="00BC0E7E" w:rsidRDefault="00944B8F" w:rsidP="00BC0E7E">
            <w:pPr>
              <w:keepNext/>
              <w:jc w:val="center"/>
            </w:pPr>
            <w:r w:rsidRPr="00BC0E7E">
              <w:t>0.864</w:t>
            </w:r>
          </w:p>
        </w:tc>
      </w:tr>
      <w:tr w:rsidR="00C6578C" w14:paraId="0B5B3FBA" w14:textId="77777777" w:rsidTr="00171601">
        <w:trPr>
          <w:gridBefore w:val="1"/>
          <w:wBefore w:w="9" w:type="dxa"/>
          <w:cantSplit/>
          <w:jc w:val="center"/>
        </w:trPr>
        <w:tc>
          <w:tcPr>
            <w:tcW w:w="9250" w:type="dxa"/>
            <w:gridSpan w:val="8"/>
          </w:tcPr>
          <w:p w14:paraId="365CA8A9" w14:textId="77777777" w:rsidR="00BC0E7E" w:rsidRPr="00BC0E7E" w:rsidRDefault="00944B8F" w:rsidP="00BC0E7E">
            <w:pPr>
              <w:keepNext/>
              <w:tabs>
                <w:tab w:val="clear" w:pos="562"/>
                <w:tab w:val="left" w:pos="330"/>
                <w:tab w:val="left" w:pos="10728"/>
              </w:tabs>
              <w:ind w:left="360" w:hanging="360"/>
            </w:pPr>
            <w:r w:rsidRPr="00BC0E7E">
              <w:t>a.</w:t>
            </w:r>
            <w:r w:rsidRPr="00BC0E7E">
              <w:tab/>
              <w:t>p-value is from the pairwise comparison of methotrexate monotherapy and Humira/methotrexate combination therapy using the Mann-Whitney U test.</w:t>
            </w:r>
          </w:p>
          <w:p w14:paraId="1BBF3CF4" w14:textId="77777777" w:rsidR="00BC0E7E" w:rsidRPr="00BC0E7E" w:rsidRDefault="00944B8F" w:rsidP="00BC0E7E">
            <w:pPr>
              <w:keepNext/>
              <w:tabs>
                <w:tab w:val="clear" w:pos="562"/>
              </w:tabs>
              <w:ind w:left="330" w:hanging="330"/>
            </w:pPr>
            <w:r w:rsidRPr="00BC0E7E">
              <w:t>b.</w:t>
            </w:r>
            <w:r w:rsidRPr="00BC0E7E">
              <w:tab/>
              <w:t>p-value is from the pairwise comparison of Humira monotherapy and Humira/methotrexate combination therapy using the Mann-Whitney U test</w:t>
            </w:r>
          </w:p>
          <w:p w14:paraId="12922327" w14:textId="77777777" w:rsidR="00BC0E7E" w:rsidRPr="00BC0E7E" w:rsidRDefault="00944B8F" w:rsidP="00BC0E7E">
            <w:pPr>
              <w:keepNext/>
              <w:tabs>
                <w:tab w:val="clear" w:pos="562"/>
              </w:tabs>
              <w:ind w:left="330" w:hanging="330"/>
            </w:pPr>
            <w:r w:rsidRPr="00BC0E7E">
              <w:t>c.   p-value is from the pairwise comparison of Humira monotherapy and methotrexate monotherapy using the Mann-Whitney U test</w:t>
            </w:r>
          </w:p>
        </w:tc>
      </w:tr>
    </w:tbl>
    <w:p w14:paraId="46A86AA8" w14:textId="77777777" w:rsidR="00BC0E7E" w:rsidRPr="00BC0E7E" w:rsidRDefault="00BC0E7E" w:rsidP="00BC0E7E"/>
    <w:p w14:paraId="46108FB0" w14:textId="77777777" w:rsidR="00BC0E7E" w:rsidRPr="00BC0E7E" w:rsidRDefault="00944B8F" w:rsidP="00BC0E7E">
      <w:r w:rsidRPr="00BC0E7E">
        <w:t>In the open-label extension for RA study V, ACR response rates were maintained when followed for up to 10 years. Of 542 patients who were randomised to Humira 40 mg every other week, 170 patients continued on Humira 40 mg every other week for 10 years. Among those, 154 patients (90.6%) had ACR 20 responses; 127 patients (74.7%) had ACR 50 responses; and 102 patients (60.0%) had ACR 70 responses.</w:t>
      </w:r>
    </w:p>
    <w:p w14:paraId="046538EB" w14:textId="77777777" w:rsidR="00BC0E7E" w:rsidRPr="00BC0E7E" w:rsidRDefault="00BC0E7E" w:rsidP="00BC0E7E"/>
    <w:p w14:paraId="3A454B04" w14:textId="77777777" w:rsidR="00BC0E7E" w:rsidRPr="00BC0E7E" w:rsidRDefault="00944B8F" w:rsidP="00BC0E7E">
      <w:r w:rsidRPr="00BC0E7E">
        <w:t>At Week 52, 42.9% of patients who received Humira/methotrexate combination therapy achieved clinical remission (DAS28 (CRP) &lt; 2.6) compared to 20.6% of patients receiving methotrexate monotherapy and 23.4% of patients receiving Humira monotherapy. Humira/methotrexate combination therapy was clinically and statistically superior to methotrexate (p &lt; 0.001) and Humira monotherapy (p &lt; 0.001) in achieving a low disease state in patients with recently diagnosed moderate to severe rheumatoid arthritis. The response for the two monotherapy arms was similar (p = 0.447).  Of 342 subjects originally randomized to Humira monotherapy or Humira/methotrexate combination therapy who entered the open-label extension study, 171 subjects completed 10 years of Humira treatment. Among those, 109 subjects (63.7%) were reported to be in remission at 10 years.</w:t>
      </w:r>
    </w:p>
    <w:p w14:paraId="0F5BA269" w14:textId="77777777" w:rsidR="00BC0E7E" w:rsidRPr="00BC0E7E" w:rsidRDefault="00BC0E7E" w:rsidP="00BC0E7E">
      <w:pPr>
        <w:rPr>
          <w:i/>
          <w:szCs w:val="20"/>
          <w:u w:val="single"/>
        </w:rPr>
      </w:pPr>
    </w:p>
    <w:p w14:paraId="49725456" w14:textId="77777777" w:rsidR="00BC0E7E" w:rsidRPr="00BC0E7E" w:rsidRDefault="00944B8F" w:rsidP="00BC0E7E">
      <w:pPr>
        <w:rPr>
          <w:i/>
          <w:szCs w:val="20"/>
          <w:u w:val="single"/>
        </w:rPr>
      </w:pPr>
      <w:r w:rsidRPr="00BC0E7E">
        <w:rPr>
          <w:i/>
          <w:szCs w:val="20"/>
          <w:u w:val="single"/>
        </w:rPr>
        <w:t>Radiographic response</w:t>
      </w:r>
    </w:p>
    <w:p w14:paraId="421A37F1" w14:textId="77777777" w:rsidR="00BC0E7E" w:rsidRPr="00BC0E7E" w:rsidRDefault="00BC0E7E" w:rsidP="00BC0E7E">
      <w:pPr>
        <w:rPr>
          <w:szCs w:val="20"/>
        </w:rPr>
      </w:pPr>
    </w:p>
    <w:p w14:paraId="02E0E415" w14:textId="77777777" w:rsidR="00BC0E7E" w:rsidRPr="00BC0E7E" w:rsidRDefault="00944B8F" w:rsidP="00BC0E7E">
      <w:r w:rsidRPr="00BC0E7E">
        <w:t xml:space="preserve">In RA study III, where Humira treated patients had a mean duration of rheumatoid arthritis of approximately 11 years, structural joint damage was assessed radiographically and expressed as change in </w:t>
      </w:r>
      <w:r w:rsidRPr="00BC0E7E">
        <w:lastRenderedPageBreak/>
        <w:t xml:space="preserve">modified Total Sharp Score (TSS) and its components, the erosion score and joint space narrowing score.  Humira/methotrexate patients demonstrated significantly less radiographic progression than patients receiving methotrexate alone at 6 and 12 months (see Table </w:t>
      </w:r>
      <w:r w:rsidR="00D0578C">
        <w:t>10</w:t>
      </w:r>
      <w:r w:rsidRPr="00BC0E7E">
        <w:t xml:space="preserve">).  </w:t>
      </w:r>
    </w:p>
    <w:p w14:paraId="089AB0B4" w14:textId="77777777" w:rsidR="00BC0E7E" w:rsidRPr="00BC0E7E" w:rsidRDefault="00BC0E7E" w:rsidP="00BC0E7E"/>
    <w:p w14:paraId="3179B047" w14:textId="77777777" w:rsidR="00BC0E7E" w:rsidRPr="00BC0E7E" w:rsidRDefault="00944B8F" w:rsidP="00BC0E7E">
      <w:r w:rsidRPr="00BC0E7E">
        <w:t>In the open-label extension of RA Study III, the reduction in rate of progression of structural damage is maintained for 8 and 10 years in a subset of patients. At 8 years, 81 of 207 patients originally treated with 40 mg Humira every other week were evaluated radiographically. Among those, 48 patients showed no progression of structural damage defined by a change from baseline in the mTSS of 0.5 or less. At 10 years, 79 of 207 patients originally treated with 40 mg Humira every other week were evaluated radiographically. Among those, 40 patients showed no progression of structural damage defined by a change from baseline in the mTSS of 0.5 or less.</w:t>
      </w:r>
    </w:p>
    <w:p w14:paraId="246C57D2" w14:textId="77777777" w:rsidR="00BC0E7E" w:rsidRPr="00BC0E7E" w:rsidRDefault="00BC0E7E" w:rsidP="00BC0E7E">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430"/>
        <w:gridCol w:w="1790"/>
        <w:gridCol w:w="2000"/>
        <w:gridCol w:w="1548"/>
      </w:tblGrid>
      <w:tr w:rsidR="00C6578C" w14:paraId="18FAEC7E" w14:textId="77777777" w:rsidTr="00171601">
        <w:trPr>
          <w:cantSplit/>
        </w:trPr>
        <w:tc>
          <w:tcPr>
            <w:tcW w:w="8856" w:type="dxa"/>
            <w:gridSpan w:val="5"/>
            <w:tcBorders>
              <w:top w:val="nil"/>
              <w:left w:val="nil"/>
              <w:right w:val="nil"/>
            </w:tcBorders>
          </w:tcPr>
          <w:p w14:paraId="6B71DB2E" w14:textId="77777777" w:rsidR="00BC0E7E" w:rsidRPr="00BC0E7E" w:rsidRDefault="00944B8F" w:rsidP="00BC0E7E">
            <w:pPr>
              <w:keepNext/>
              <w:jc w:val="center"/>
              <w:rPr>
                <w:b/>
                <w:bCs/>
              </w:rPr>
            </w:pPr>
            <w:r w:rsidRPr="00BC0E7E">
              <w:rPr>
                <w:b/>
                <w:bCs/>
              </w:rPr>
              <w:t xml:space="preserve">Table </w:t>
            </w:r>
            <w:r w:rsidR="00D0578C">
              <w:rPr>
                <w:b/>
                <w:bCs/>
              </w:rPr>
              <w:t>10</w:t>
            </w:r>
          </w:p>
          <w:p w14:paraId="09F26BA3" w14:textId="77777777" w:rsidR="00BC0E7E" w:rsidRPr="00BC0E7E" w:rsidRDefault="00944B8F" w:rsidP="00BC0E7E">
            <w:pPr>
              <w:keepNext/>
              <w:jc w:val="center"/>
              <w:rPr>
                <w:b/>
                <w:bCs/>
              </w:rPr>
            </w:pPr>
            <w:r w:rsidRPr="00BC0E7E">
              <w:rPr>
                <w:b/>
                <w:bCs/>
              </w:rPr>
              <w:t xml:space="preserve"> Radiographic Mean Changes Over 12 Months in RA Study III</w:t>
            </w:r>
          </w:p>
          <w:p w14:paraId="34180815" w14:textId="77777777" w:rsidR="00BC0E7E" w:rsidRPr="00BC0E7E" w:rsidRDefault="00BC0E7E" w:rsidP="00BC0E7E">
            <w:pPr>
              <w:keepNext/>
              <w:jc w:val="center"/>
              <w:rPr>
                <w:b/>
                <w:bCs/>
              </w:rPr>
            </w:pPr>
          </w:p>
        </w:tc>
      </w:tr>
      <w:tr w:rsidR="00C6578C" w14:paraId="382BBB59" w14:textId="77777777" w:rsidTr="00171601">
        <w:tc>
          <w:tcPr>
            <w:tcW w:w="2088" w:type="dxa"/>
          </w:tcPr>
          <w:p w14:paraId="6D4F4F99" w14:textId="77777777" w:rsidR="00BC0E7E" w:rsidRPr="00BC0E7E" w:rsidRDefault="00BC0E7E" w:rsidP="00BC0E7E">
            <w:pPr>
              <w:keepNext/>
              <w:jc w:val="center"/>
            </w:pPr>
          </w:p>
        </w:tc>
        <w:tc>
          <w:tcPr>
            <w:tcW w:w="1430" w:type="dxa"/>
          </w:tcPr>
          <w:p w14:paraId="16AD98C5" w14:textId="77777777" w:rsidR="00BC0E7E" w:rsidRPr="00BC0E7E" w:rsidRDefault="00944B8F" w:rsidP="00BC0E7E">
            <w:pPr>
              <w:keepNext/>
            </w:pPr>
            <w:r w:rsidRPr="00BC0E7E">
              <w:t>Placebo/</w:t>
            </w:r>
          </w:p>
          <w:p w14:paraId="1CCA7E88" w14:textId="77777777" w:rsidR="00BC0E7E" w:rsidRPr="00BC0E7E" w:rsidRDefault="00944B8F" w:rsidP="00BC0E7E">
            <w:pPr>
              <w:keepNext/>
              <w:rPr>
                <w:vertAlign w:val="superscript"/>
              </w:rPr>
            </w:pPr>
            <w:r w:rsidRPr="00BC0E7E">
              <w:t>MTX</w:t>
            </w:r>
            <w:r w:rsidRPr="00BC0E7E">
              <w:rPr>
                <w:vertAlign w:val="superscript"/>
              </w:rPr>
              <w:t>a</w:t>
            </w:r>
          </w:p>
        </w:tc>
        <w:tc>
          <w:tcPr>
            <w:tcW w:w="1790" w:type="dxa"/>
          </w:tcPr>
          <w:p w14:paraId="1F64ED64" w14:textId="77777777" w:rsidR="00BC0E7E" w:rsidRPr="00BC0E7E" w:rsidRDefault="00944B8F" w:rsidP="00BC0E7E">
            <w:pPr>
              <w:keepNext/>
              <w:jc w:val="center"/>
            </w:pPr>
            <w:r w:rsidRPr="00BC0E7E">
              <w:t>Humira/MTX</w:t>
            </w:r>
          </w:p>
          <w:p w14:paraId="7DF3E1D4" w14:textId="77777777" w:rsidR="00BC0E7E" w:rsidRPr="00BC0E7E" w:rsidRDefault="00944B8F" w:rsidP="00BC0E7E">
            <w:pPr>
              <w:keepNext/>
              <w:jc w:val="center"/>
            </w:pPr>
            <w:r w:rsidRPr="00BC0E7E">
              <w:t>40 mg every other week</w:t>
            </w:r>
          </w:p>
        </w:tc>
        <w:tc>
          <w:tcPr>
            <w:tcW w:w="2000" w:type="dxa"/>
          </w:tcPr>
          <w:p w14:paraId="102B6D51" w14:textId="77777777" w:rsidR="00BC0E7E" w:rsidRPr="00BC0E7E" w:rsidRDefault="00944B8F" w:rsidP="00BC0E7E">
            <w:pPr>
              <w:keepNext/>
              <w:jc w:val="center"/>
            </w:pPr>
            <w:r w:rsidRPr="00BC0E7E">
              <w:t>Placebo/MTX-Humira/MTX (95% Confidence Interval</w:t>
            </w:r>
            <w:r w:rsidRPr="00BC0E7E">
              <w:rPr>
                <w:vertAlign w:val="superscript"/>
              </w:rPr>
              <w:t>b</w:t>
            </w:r>
            <w:r w:rsidRPr="00BC0E7E">
              <w:t>)</w:t>
            </w:r>
          </w:p>
        </w:tc>
        <w:tc>
          <w:tcPr>
            <w:tcW w:w="1548" w:type="dxa"/>
          </w:tcPr>
          <w:p w14:paraId="6D0D7418" w14:textId="77777777" w:rsidR="00BC0E7E" w:rsidRPr="00BC0E7E" w:rsidRDefault="00944B8F" w:rsidP="00BC0E7E">
            <w:pPr>
              <w:keepNext/>
              <w:jc w:val="center"/>
            </w:pPr>
            <w:r w:rsidRPr="00BC0E7E">
              <w:t>p-value</w:t>
            </w:r>
          </w:p>
        </w:tc>
      </w:tr>
      <w:tr w:rsidR="00C6578C" w14:paraId="48652701" w14:textId="77777777" w:rsidTr="00171601">
        <w:tc>
          <w:tcPr>
            <w:tcW w:w="2088" w:type="dxa"/>
          </w:tcPr>
          <w:p w14:paraId="00BF1E47" w14:textId="77777777" w:rsidR="00BC0E7E" w:rsidRPr="00BC0E7E" w:rsidRDefault="00944B8F" w:rsidP="00BC0E7E">
            <w:pPr>
              <w:keepNext/>
              <w:jc w:val="center"/>
            </w:pPr>
            <w:r w:rsidRPr="00BC0E7E">
              <w:t>Total Sharp Score</w:t>
            </w:r>
          </w:p>
        </w:tc>
        <w:tc>
          <w:tcPr>
            <w:tcW w:w="1430" w:type="dxa"/>
          </w:tcPr>
          <w:p w14:paraId="3EF92E35" w14:textId="77777777" w:rsidR="00BC0E7E" w:rsidRPr="00BC0E7E" w:rsidRDefault="00944B8F" w:rsidP="00BC0E7E">
            <w:pPr>
              <w:keepNext/>
              <w:jc w:val="center"/>
              <w:rPr>
                <w:lang w:val="it-IT"/>
              </w:rPr>
            </w:pPr>
            <w:r w:rsidRPr="00BC0E7E">
              <w:rPr>
                <w:lang w:val="it-IT"/>
              </w:rPr>
              <w:t>2.7</w:t>
            </w:r>
          </w:p>
        </w:tc>
        <w:tc>
          <w:tcPr>
            <w:tcW w:w="1790" w:type="dxa"/>
          </w:tcPr>
          <w:p w14:paraId="786E8BBB" w14:textId="77777777" w:rsidR="00BC0E7E" w:rsidRPr="00BC0E7E" w:rsidRDefault="00944B8F" w:rsidP="00BC0E7E">
            <w:pPr>
              <w:keepNext/>
              <w:jc w:val="center"/>
              <w:rPr>
                <w:lang w:val="it-IT"/>
              </w:rPr>
            </w:pPr>
            <w:r w:rsidRPr="00BC0E7E">
              <w:rPr>
                <w:lang w:val="it-IT"/>
              </w:rPr>
              <w:t>0.1</w:t>
            </w:r>
          </w:p>
        </w:tc>
        <w:tc>
          <w:tcPr>
            <w:tcW w:w="2000" w:type="dxa"/>
          </w:tcPr>
          <w:p w14:paraId="43F3807E" w14:textId="77777777" w:rsidR="00BC0E7E" w:rsidRPr="00BC0E7E" w:rsidRDefault="00944B8F" w:rsidP="00BC0E7E">
            <w:pPr>
              <w:keepNext/>
              <w:jc w:val="center"/>
              <w:rPr>
                <w:lang w:val="it-IT"/>
              </w:rPr>
            </w:pPr>
            <w:r w:rsidRPr="00BC0E7E">
              <w:rPr>
                <w:lang w:val="it-IT"/>
              </w:rPr>
              <w:t xml:space="preserve">2.6 (1.4, 3.8) </w:t>
            </w:r>
          </w:p>
        </w:tc>
        <w:tc>
          <w:tcPr>
            <w:tcW w:w="1548" w:type="dxa"/>
          </w:tcPr>
          <w:p w14:paraId="6F95297A" w14:textId="77777777" w:rsidR="00BC0E7E" w:rsidRPr="00BC0E7E" w:rsidRDefault="00944B8F" w:rsidP="00BC0E7E">
            <w:pPr>
              <w:keepNext/>
              <w:jc w:val="center"/>
              <w:rPr>
                <w:vertAlign w:val="superscript"/>
                <w:lang w:val="it-IT"/>
              </w:rPr>
            </w:pPr>
            <w:r w:rsidRPr="00BC0E7E">
              <w:rPr>
                <w:lang w:val="it-IT"/>
              </w:rPr>
              <w:t>&lt; 0.001</w:t>
            </w:r>
            <w:r w:rsidRPr="00BC0E7E">
              <w:rPr>
                <w:vertAlign w:val="superscript"/>
                <w:lang w:val="it-IT"/>
              </w:rPr>
              <w:t>c</w:t>
            </w:r>
          </w:p>
        </w:tc>
      </w:tr>
      <w:tr w:rsidR="00C6578C" w14:paraId="0223F711" w14:textId="77777777" w:rsidTr="00171601">
        <w:tc>
          <w:tcPr>
            <w:tcW w:w="2088" w:type="dxa"/>
          </w:tcPr>
          <w:p w14:paraId="6B962A9A" w14:textId="77777777" w:rsidR="00BC0E7E" w:rsidRPr="00BC0E7E" w:rsidRDefault="00944B8F" w:rsidP="00BC0E7E">
            <w:pPr>
              <w:keepNext/>
              <w:jc w:val="center"/>
              <w:rPr>
                <w:lang w:val="it-IT"/>
              </w:rPr>
            </w:pPr>
            <w:r w:rsidRPr="00BC0E7E">
              <w:rPr>
                <w:lang w:val="it-IT"/>
              </w:rPr>
              <w:t>Erosion score</w:t>
            </w:r>
          </w:p>
        </w:tc>
        <w:tc>
          <w:tcPr>
            <w:tcW w:w="1430" w:type="dxa"/>
          </w:tcPr>
          <w:p w14:paraId="7AED3C98" w14:textId="77777777" w:rsidR="00BC0E7E" w:rsidRPr="00BC0E7E" w:rsidRDefault="00944B8F" w:rsidP="00BC0E7E">
            <w:pPr>
              <w:keepNext/>
              <w:jc w:val="center"/>
            </w:pPr>
            <w:r w:rsidRPr="00BC0E7E">
              <w:t>1.6</w:t>
            </w:r>
          </w:p>
        </w:tc>
        <w:tc>
          <w:tcPr>
            <w:tcW w:w="1790" w:type="dxa"/>
          </w:tcPr>
          <w:p w14:paraId="7A3A8DB9" w14:textId="77777777" w:rsidR="00BC0E7E" w:rsidRPr="00BC0E7E" w:rsidRDefault="00944B8F" w:rsidP="00BC0E7E">
            <w:pPr>
              <w:keepNext/>
              <w:jc w:val="center"/>
            </w:pPr>
            <w:r w:rsidRPr="00BC0E7E">
              <w:t>0.0</w:t>
            </w:r>
          </w:p>
        </w:tc>
        <w:tc>
          <w:tcPr>
            <w:tcW w:w="2000" w:type="dxa"/>
          </w:tcPr>
          <w:p w14:paraId="335BF1D0" w14:textId="77777777" w:rsidR="00BC0E7E" w:rsidRPr="00BC0E7E" w:rsidRDefault="00944B8F" w:rsidP="00BC0E7E">
            <w:pPr>
              <w:keepNext/>
              <w:jc w:val="center"/>
            </w:pPr>
            <w:r w:rsidRPr="00BC0E7E">
              <w:t>1.6 (0.9, 2.2)</w:t>
            </w:r>
          </w:p>
        </w:tc>
        <w:tc>
          <w:tcPr>
            <w:tcW w:w="1548" w:type="dxa"/>
          </w:tcPr>
          <w:p w14:paraId="695878EC" w14:textId="77777777" w:rsidR="00BC0E7E" w:rsidRPr="00BC0E7E" w:rsidRDefault="00944B8F" w:rsidP="00BC0E7E">
            <w:pPr>
              <w:keepNext/>
              <w:jc w:val="center"/>
            </w:pPr>
            <w:r w:rsidRPr="00BC0E7E">
              <w:t>&lt; 0.001</w:t>
            </w:r>
          </w:p>
        </w:tc>
      </w:tr>
      <w:tr w:rsidR="00C6578C" w14:paraId="49947D40" w14:textId="77777777" w:rsidTr="00171601">
        <w:tc>
          <w:tcPr>
            <w:tcW w:w="2088" w:type="dxa"/>
          </w:tcPr>
          <w:p w14:paraId="38C9E7EC" w14:textId="77777777" w:rsidR="00BC0E7E" w:rsidRPr="00BC0E7E" w:rsidRDefault="00944B8F" w:rsidP="00BC0E7E">
            <w:pPr>
              <w:keepNext/>
              <w:jc w:val="center"/>
            </w:pPr>
            <w:r w:rsidRPr="00BC0E7E">
              <w:t>JSN</w:t>
            </w:r>
            <w:r w:rsidRPr="00BC0E7E">
              <w:rPr>
                <w:vertAlign w:val="superscript"/>
              </w:rPr>
              <w:t>d</w:t>
            </w:r>
            <w:r w:rsidRPr="00BC0E7E">
              <w:t xml:space="preserve"> score</w:t>
            </w:r>
          </w:p>
        </w:tc>
        <w:tc>
          <w:tcPr>
            <w:tcW w:w="1430" w:type="dxa"/>
          </w:tcPr>
          <w:p w14:paraId="34D30AAD" w14:textId="77777777" w:rsidR="00BC0E7E" w:rsidRPr="00BC0E7E" w:rsidRDefault="00944B8F" w:rsidP="00BC0E7E">
            <w:pPr>
              <w:keepNext/>
              <w:jc w:val="center"/>
            </w:pPr>
            <w:r w:rsidRPr="00BC0E7E">
              <w:t>1.0</w:t>
            </w:r>
          </w:p>
        </w:tc>
        <w:tc>
          <w:tcPr>
            <w:tcW w:w="1790" w:type="dxa"/>
          </w:tcPr>
          <w:p w14:paraId="1F4D5356" w14:textId="77777777" w:rsidR="00BC0E7E" w:rsidRPr="00BC0E7E" w:rsidRDefault="00944B8F" w:rsidP="00BC0E7E">
            <w:pPr>
              <w:keepNext/>
              <w:jc w:val="center"/>
            </w:pPr>
            <w:r w:rsidRPr="00BC0E7E">
              <w:t>0.1</w:t>
            </w:r>
          </w:p>
        </w:tc>
        <w:tc>
          <w:tcPr>
            <w:tcW w:w="2000" w:type="dxa"/>
          </w:tcPr>
          <w:p w14:paraId="7482BE77" w14:textId="77777777" w:rsidR="00BC0E7E" w:rsidRPr="00BC0E7E" w:rsidRDefault="00944B8F" w:rsidP="00BC0E7E">
            <w:pPr>
              <w:keepNext/>
              <w:jc w:val="center"/>
            </w:pPr>
            <w:r w:rsidRPr="00BC0E7E">
              <w:t>0.9 (0.3, 1.4)</w:t>
            </w:r>
          </w:p>
        </w:tc>
        <w:tc>
          <w:tcPr>
            <w:tcW w:w="1548" w:type="dxa"/>
          </w:tcPr>
          <w:p w14:paraId="56D1CC39" w14:textId="77777777" w:rsidR="00BC0E7E" w:rsidRPr="00BC0E7E" w:rsidRDefault="00944B8F" w:rsidP="00BC0E7E">
            <w:pPr>
              <w:keepNext/>
              <w:jc w:val="center"/>
            </w:pPr>
            <w:r w:rsidRPr="00BC0E7E">
              <w:t xml:space="preserve">  0.002</w:t>
            </w:r>
          </w:p>
        </w:tc>
      </w:tr>
    </w:tbl>
    <w:p w14:paraId="6095D238" w14:textId="77777777" w:rsidR="00BC0E7E" w:rsidRPr="00BC0E7E" w:rsidRDefault="00944B8F" w:rsidP="00BC0E7E">
      <w:pPr>
        <w:keepNext/>
        <w:rPr>
          <w:szCs w:val="20"/>
        </w:rPr>
      </w:pPr>
      <w:r w:rsidRPr="00BC0E7E">
        <w:rPr>
          <w:b/>
          <w:bCs/>
          <w:szCs w:val="20"/>
          <w:vertAlign w:val="superscript"/>
        </w:rPr>
        <w:t>a</w:t>
      </w:r>
      <w:r w:rsidRPr="00BC0E7E">
        <w:rPr>
          <w:szCs w:val="20"/>
        </w:rPr>
        <w:t>methotrexate</w:t>
      </w:r>
    </w:p>
    <w:p w14:paraId="6EAEA39B" w14:textId="77777777" w:rsidR="00BC0E7E" w:rsidRPr="00BC0E7E" w:rsidRDefault="00944B8F" w:rsidP="00BC0E7E">
      <w:pPr>
        <w:keepNext/>
        <w:rPr>
          <w:szCs w:val="20"/>
        </w:rPr>
      </w:pPr>
      <w:r w:rsidRPr="00BC0E7E">
        <w:rPr>
          <w:szCs w:val="20"/>
          <w:vertAlign w:val="superscript"/>
        </w:rPr>
        <w:t>b</w:t>
      </w:r>
      <w:r w:rsidRPr="00BC0E7E">
        <w:rPr>
          <w:szCs w:val="20"/>
        </w:rPr>
        <w:t xml:space="preserve">95% confidence intervals for the differences in change scores between methotrexate and Humira. </w:t>
      </w:r>
    </w:p>
    <w:p w14:paraId="3CC7556A" w14:textId="77777777" w:rsidR="00BC0E7E" w:rsidRPr="00BC0E7E" w:rsidRDefault="00944B8F" w:rsidP="00BC0E7E">
      <w:pPr>
        <w:keepNext/>
        <w:rPr>
          <w:szCs w:val="20"/>
        </w:rPr>
      </w:pPr>
      <w:r w:rsidRPr="00BC0E7E">
        <w:rPr>
          <w:szCs w:val="20"/>
          <w:vertAlign w:val="superscript"/>
        </w:rPr>
        <w:t>c</w:t>
      </w:r>
      <w:r w:rsidRPr="00BC0E7E">
        <w:rPr>
          <w:szCs w:val="20"/>
        </w:rPr>
        <w:t xml:space="preserve">Based on rank analysis </w:t>
      </w:r>
    </w:p>
    <w:p w14:paraId="462490C2" w14:textId="77777777" w:rsidR="00BC0E7E" w:rsidRPr="00BC0E7E" w:rsidRDefault="00944B8F" w:rsidP="00BC0E7E">
      <w:pPr>
        <w:keepNext/>
        <w:rPr>
          <w:szCs w:val="20"/>
        </w:rPr>
      </w:pPr>
      <w:r w:rsidRPr="00BC0E7E">
        <w:rPr>
          <w:szCs w:val="20"/>
          <w:vertAlign w:val="superscript"/>
        </w:rPr>
        <w:t>d</w:t>
      </w:r>
      <w:r w:rsidRPr="00BC0E7E">
        <w:rPr>
          <w:szCs w:val="20"/>
        </w:rPr>
        <w:t>Joint Space Narrowing</w:t>
      </w:r>
    </w:p>
    <w:p w14:paraId="03D246BC" w14:textId="77777777" w:rsidR="00BC0E7E" w:rsidRPr="00BC0E7E" w:rsidRDefault="00BC0E7E" w:rsidP="00BC0E7E">
      <w:pPr>
        <w:keepNext/>
        <w:rPr>
          <w:szCs w:val="20"/>
        </w:rPr>
      </w:pPr>
    </w:p>
    <w:p w14:paraId="34F04F1F" w14:textId="77777777" w:rsidR="00BC0E7E" w:rsidRPr="00BC0E7E" w:rsidRDefault="00944B8F" w:rsidP="00BC0E7E">
      <w:r w:rsidRPr="00BC0E7E">
        <w:t xml:space="preserve">In RA study V, structural joint damage was assessed radiographically and expressed as change in modified Total Sharp Score (see Table </w:t>
      </w:r>
      <w:r w:rsidR="006876B3">
        <w:t>1</w:t>
      </w:r>
      <w:r w:rsidR="00D0578C">
        <w:t>1</w:t>
      </w:r>
      <w:r w:rsidRPr="00BC0E7E">
        <w:t>).</w:t>
      </w:r>
    </w:p>
    <w:p w14:paraId="02183447" w14:textId="77777777" w:rsidR="00BC0E7E" w:rsidRPr="00BC0E7E" w:rsidRDefault="00BC0E7E" w:rsidP="00BC0E7E"/>
    <w:tbl>
      <w:tblPr>
        <w:tblW w:w="8910" w:type="dxa"/>
        <w:tblInd w:w="108" w:type="dxa"/>
        <w:tblLayout w:type="fixed"/>
        <w:tblLook w:val="0000" w:firstRow="0" w:lastRow="0" w:firstColumn="0" w:lastColumn="0" w:noHBand="0" w:noVBand="0"/>
      </w:tblPr>
      <w:tblGrid>
        <w:gridCol w:w="1430"/>
        <w:gridCol w:w="1540"/>
        <w:gridCol w:w="1482"/>
        <w:gridCol w:w="1488"/>
        <w:gridCol w:w="990"/>
        <w:gridCol w:w="990"/>
        <w:gridCol w:w="990"/>
      </w:tblGrid>
      <w:tr w:rsidR="00C6578C" w14:paraId="162B69CC" w14:textId="77777777" w:rsidTr="00171601">
        <w:trPr>
          <w:cantSplit/>
        </w:trPr>
        <w:tc>
          <w:tcPr>
            <w:tcW w:w="8910" w:type="dxa"/>
            <w:gridSpan w:val="7"/>
            <w:tcBorders>
              <w:bottom w:val="single" w:sz="4" w:space="0" w:color="auto"/>
            </w:tcBorders>
          </w:tcPr>
          <w:p w14:paraId="759A3D5D" w14:textId="77777777" w:rsidR="00BC0E7E" w:rsidRPr="00BC0E7E" w:rsidRDefault="00944B8F" w:rsidP="00BC0E7E">
            <w:pPr>
              <w:jc w:val="center"/>
              <w:outlineLvl w:val="4"/>
              <w:rPr>
                <w:b/>
                <w:bCs/>
                <w:noProof/>
              </w:rPr>
            </w:pPr>
            <w:r w:rsidRPr="00BC0E7E">
              <w:rPr>
                <w:b/>
                <w:bCs/>
                <w:noProof/>
              </w:rPr>
              <w:t xml:space="preserve">Table </w:t>
            </w:r>
            <w:r w:rsidR="006876B3">
              <w:rPr>
                <w:b/>
                <w:bCs/>
                <w:noProof/>
              </w:rPr>
              <w:t>1</w:t>
            </w:r>
            <w:r w:rsidR="00D0578C">
              <w:rPr>
                <w:b/>
                <w:bCs/>
                <w:noProof/>
              </w:rPr>
              <w:t>1</w:t>
            </w:r>
          </w:p>
          <w:p w14:paraId="3931141F" w14:textId="77777777" w:rsidR="00BC0E7E" w:rsidRPr="00BC0E7E" w:rsidRDefault="00944B8F" w:rsidP="00BC0E7E">
            <w:pPr>
              <w:jc w:val="center"/>
              <w:outlineLvl w:val="4"/>
              <w:rPr>
                <w:b/>
                <w:bCs/>
                <w:noProof/>
              </w:rPr>
            </w:pPr>
            <w:r w:rsidRPr="00BC0E7E">
              <w:rPr>
                <w:b/>
                <w:bCs/>
                <w:noProof/>
              </w:rPr>
              <w:t xml:space="preserve">  Radiographic Mean Changes at Week 52 in RA Study V</w:t>
            </w:r>
          </w:p>
          <w:p w14:paraId="2ADDB311" w14:textId="77777777" w:rsidR="00BC0E7E" w:rsidRPr="00BC0E7E" w:rsidRDefault="00BC0E7E" w:rsidP="00BC0E7E"/>
        </w:tc>
      </w:tr>
      <w:tr w:rsidR="00C6578C" w14:paraId="4C2C78DE" w14:textId="77777777" w:rsidTr="00171601">
        <w:tc>
          <w:tcPr>
            <w:tcW w:w="1430" w:type="dxa"/>
            <w:tcBorders>
              <w:top w:val="single" w:sz="4" w:space="0" w:color="auto"/>
              <w:left w:val="single" w:sz="4" w:space="0" w:color="auto"/>
              <w:bottom w:val="single" w:sz="4" w:space="0" w:color="auto"/>
              <w:right w:val="single" w:sz="4" w:space="0" w:color="auto"/>
            </w:tcBorders>
            <w:vAlign w:val="center"/>
          </w:tcPr>
          <w:p w14:paraId="1A8669B0" w14:textId="77777777" w:rsidR="00BC0E7E" w:rsidRPr="00BC0E7E" w:rsidRDefault="00BC0E7E" w:rsidP="00BC0E7E"/>
        </w:tc>
        <w:tc>
          <w:tcPr>
            <w:tcW w:w="1540" w:type="dxa"/>
            <w:tcBorders>
              <w:top w:val="single" w:sz="4" w:space="0" w:color="auto"/>
              <w:left w:val="single" w:sz="4" w:space="0" w:color="auto"/>
              <w:bottom w:val="single" w:sz="4" w:space="0" w:color="auto"/>
              <w:right w:val="single" w:sz="4" w:space="0" w:color="auto"/>
            </w:tcBorders>
            <w:vAlign w:val="center"/>
          </w:tcPr>
          <w:p w14:paraId="31914FB8" w14:textId="77777777" w:rsidR="00BC0E7E" w:rsidRPr="00BC0E7E" w:rsidRDefault="00944B8F" w:rsidP="00BC0E7E">
            <w:pPr>
              <w:jc w:val="center"/>
            </w:pPr>
            <w:r w:rsidRPr="00BC0E7E">
              <w:t>MTX</w:t>
            </w:r>
          </w:p>
          <w:p w14:paraId="2EAC03F6" w14:textId="77777777" w:rsidR="00BC0E7E" w:rsidRPr="00BC0E7E" w:rsidRDefault="00944B8F" w:rsidP="00BC0E7E">
            <w:pPr>
              <w:jc w:val="center"/>
            </w:pPr>
            <w:r w:rsidRPr="00BC0E7E">
              <w:t>n=257</w:t>
            </w:r>
          </w:p>
          <w:p w14:paraId="1820BE19" w14:textId="77777777" w:rsidR="00BC0E7E" w:rsidRPr="00BC0E7E" w:rsidRDefault="00944B8F" w:rsidP="00BC0E7E">
            <w:pPr>
              <w:jc w:val="center"/>
            </w:pPr>
            <w:r w:rsidRPr="00BC0E7E">
              <w:t>(95% confidence interval)</w:t>
            </w:r>
          </w:p>
        </w:tc>
        <w:tc>
          <w:tcPr>
            <w:tcW w:w="1482" w:type="dxa"/>
            <w:tcBorders>
              <w:top w:val="single" w:sz="4" w:space="0" w:color="auto"/>
              <w:left w:val="single" w:sz="4" w:space="0" w:color="auto"/>
              <w:bottom w:val="single" w:sz="4" w:space="0" w:color="auto"/>
              <w:right w:val="single" w:sz="4" w:space="0" w:color="auto"/>
            </w:tcBorders>
            <w:vAlign w:val="center"/>
          </w:tcPr>
          <w:p w14:paraId="3B2994BB" w14:textId="77777777" w:rsidR="00BC0E7E" w:rsidRPr="00BC0E7E" w:rsidRDefault="00944B8F" w:rsidP="00BC0E7E">
            <w:pPr>
              <w:jc w:val="center"/>
            </w:pPr>
            <w:r w:rsidRPr="00BC0E7E">
              <w:t>Humira</w:t>
            </w:r>
          </w:p>
          <w:p w14:paraId="453BA6FF" w14:textId="77777777" w:rsidR="00BC0E7E" w:rsidRPr="00BC0E7E" w:rsidRDefault="00944B8F" w:rsidP="00BC0E7E">
            <w:pPr>
              <w:jc w:val="center"/>
              <w:rPr>
                <w:szCs w:val="20"/>
              </w:rPr>
            </w:pPr>
            <w:r w:rsidRPr="00BC0E7E">
              <w:rPr>
                <w:szCs w:val="20"/>
              </w:rPr>
              <w:t>n=274</w:t>
            </w:r>
          </w:p>
          <w:p w14:paraId="1C824F0B" w14:textId="77777777" w:rsidR="00BC0E7E" w:rsidRPr="00BC0E7E" w:rsidRDefault="00944B8F" w:rsidP="00BC0E7E">
            <w:pPr>
              <w:jc w:val="center"/>
            </w:pPr>
            <w:r w:rsidRPr="00BC0E7E">
              <w:t>(95% confidence interval)</w:t>
            </w:r>
          </w:p>
        </w:tc>
        <w:tc>
          <w:tcPr>
            <w:tcW w:w="1488" w:type="dxa"/>
            <w:tcBorders>
              <w:top w:val="single" w:sz="4" w:space="0" w:color="auto"/>
              <w:left w:val="single" w:sz="4" w:space="0" w:color="auto"/>
              <w:bottom w:val="single" w:sz="4" w:space="0" w:color="auto"/>
              <w:right w:val="single" w:sz="4" w:space="0" w:color="auto"/>
            </w:tcBorders>
            <w:vAlign w:val="center"/>
          </w:tcPr>
          <w:p w14:paraId="4E1F1AA2" w14:textId="77777777" w:rsidR="00BC0E7E" w:rsidRPr="00BC0E7E" w:rsidRDefault="00944B8F" w:rsidP="00BC0E7E">
            <w:pPr>
              <w:jc w:val="center"/>
            </w:pPr>
            <w:r w:rsidRPr="00BC0E7E">
              <w:t>Humira/MTX</w:t>
            </w:r>
          </w:p>
          <w:p w14:paraId="1A4D9730" w14:textId="77777777" w:rsidR="00BC0E7E" w:rsidRPr="00BC0E7E" w:rsidRDefault="00944B8F" w:rsidP="00BC0E7E">
            <w:pPr>
              <w:jc w:val="center"/>
              <w:rPr>
                <w:szCs w:val="20"/>
              </w:rPr>
            </w:pPr>
            <w:r w:rsidRPr="00BC0E7E">
              <w:rPr>
                <w:szCs w:val="20"/>
              </w:rPr>
              <w:t>n=268</w:t>
            </w:r>
          </w:p>
          <w:p w14:paraId="2DADDA37" w14:textId="77777777" w:rsidR="00BC0E7E" w:rsidRPr="00BC0E7E" w:rsidRDefault="00944B8F" w:rsidP="00BC0E7E">
            <w:pPr>
              <w:jc w:val="center"/>
              <w:rPr>
                <w:szCs w:val="20"/>
              </w:rPr>
            </w:pPr>
            <w:r w:rsidRPr="00BC0E7E">
              <w:rPr>
                <w:szCs w:val="20"/>
              </w:rPr>
              <w:t>(95% confidence interval)</w:t>
            </w:r>
          </w:p>
        </w:tc>
        <w:tc>
          <w:tcPr>
            <w:tcW w:w="990" w:type="dxa"/>
            <w:tcBorders>
              <w:top w:val="single" w:sz="4" w:space="0" w:color="auto"/>
              <w:left w:val="single" w:sz="4" w:space="0" w:color="auto"/>
              <w:bottom w:val="single" w:sz="4" w:space="0" w:color="auto"/>
              <w:right w:val="single" w:sz="4" w:space="0" w:color="auto"/>
            </w:tcBorders>
            <w:vAlign w:val="center"/>
          </w:tcPr>
          <w:p w14:paraId="0199384A" w14:textId="77777777" w:rsidR="00BC0E7E" w:rsidRPr="00BC0E7E" w:rsidRDefault="00944B8F" w:rsidP="00BC0E7E">
            <w:pPr>
              <w:jc w:val="center"/>
              <w:rPr>
                <w:szCs w:val="20"/>
              </w:rPr>
            </w:pPr>
            <w:r w:rsidRPr="00BC0E7E">
              <w:rPr>
                <w:szCs w:val="20"/>
              </w:rPr>
              <w:t>p-value</w:t>
            </w:r>
            <w:r w:rsidRPr="00BC0E7E">
              <w:rPr>
                <w:szCs w:val="20"/>
                <w:vertAlign w:val="superscript"/>
              </w:rPr>
              <w:t>a</w:t>
            </w:r>
          </w:p>
        </w:tc>
        <w:tc>
          <w:tcPr>
            <w:tcW w:w="990" w:type="dxa"/>
            <w:tcBorders>
              <w:top w:val="single" w:sz="4" w:space="0" w:color="auto"/>
              <w:left w:val="single" w:sz="4" w:space="0" w:color="auto"/>
              <w:bottom w:val="single" w:sz="4" w:space="0" w:color="auto"/>
              <w:right w:val="single" w:sz="4" w:space="0" w:color="auto"/>
            </w:tcBorders>
            <w:vAlign w:val="center"/>
          </w:tcPr>
          <w:p w14:paraId="6E112D38" w14:textId="77777777" w:rsidR="00BC0E7E" w:rsidRPr="00BC0E7E" w:rsidRDefault="00944B8F" w:rsidP="00BC0E7E">
            <w:pPr>
              <w:jc w:val="center"/>
            </w:pPr>
            <w:r w:rsidRPr="00BC0E7E">
              <w:t>p-value</w:t>
            </w:r>
            <w:r w:rsidRPr="00BC0E7E">
              <w:rPr>
                <w:vertAlign w:val="superscript"/>
              </w:rPr>
              <w:t>b</w:t>
            </w:r>
          </w:p>
        </w:tc>
        <w:tc>
          <w:tcPr>
            <w:tcW w:w="990" w:type="dxa"/>
            <w:tcBorders>
              <w:top w:val="single" w:sz="4" w:space="0" w:color="auto"/>
              <w:left w:val="single" w:sz="4" w:space="0" w:color="auto"/>
              <w:bottom w:val="single" w:sz="4" w:space="0" w:color="auto"/>
              <w:right w:val="single" w:sz="4" w:space="0" w:color="auto"/>
            </w:tcBorders>
            <w:vAlign w:val="center"/>
          </w:tcPr>
          <w:p w14:paraId="2400C258" w14:textId="77777777" w:rsidR="00BC0E7E" w:rsidRPr="00BC0E7E" w:rsidRDefault="00944B8F" w:rsidP="00BC0E7E">
            <w:pPr>
              <w:jc w:val="center"/>
            </w:pPr>
            <w:r w:rsidRPr="00BC0E7E">
              <w:t>p-value</w:t>
            </w:r>
            <w:r w:rsidRPr="00BC0E7E">
              <w:rPr>
                <w:vertAlign w:val="superscript"/>
              </w:rPr>
              <w:t>c</w:t>
            </w:r>
          </w:p>
        </w:tc>
      </w:tr>
      <w:tr w:rsidR="00C6578C" w14:paraId="5836F07A" w14:textId="77777777" w:rsidTr="00171601">
        <w:tc>
          <w:tcPr>
            <w:tcW w:w="1430" w:type="dxa"/>
            <w:tcBorders>
              <w:top w:val="single" w:sz="4" w:space="0" w:color="auto"/>
              <w:left w:val="single" w:sz="4" w:space="0" w:color="auto"/>
              <w:bottom w:val="single" w:sz="4" w:space="0" w:color="auto"/>
              <w:right w:val="single" w:sz="4" w:space="0" w:color="auto"/>
            </w:tcBorders>
          </w:tcPr>
          <w:p w14:paraId="6125C0C0" w14:textId="77777777" w:rsidR="00BC0E7E" w:rsidRPr="00BC0E7E" w:rsidRDefault="00944B8F" w:rsidP="00BC0E7E">
            <w:pPr>
              <w:jc w:val="center"/>
            </w:pPr>
            <w:r w:rsidRPr="00BC0E7E">
              <w:t>Total Sharp Score</w:t>
            </w:r>
          </w:p>
        </w:tc>
        <w:tc>
          <w:tcPr>
            <w:tcW w:w="1540" w:type="dxa"/>
            <w:tcBorders>
              <w:top w:val="single" w:sz="4" w:space="0" w:color="auto"/>
              <w:left w:val="single" w:sz="4" w:space="0" w:color="auto"/>
              <w:bottom w:val="single" w:sz="4" w:space="0" w:color="auto"/>
              <w:right w:val="single" w:sz="4" w:space="0" w:color="auto"/>
            </w:tcBorders>
          </w:tcPr>
          <w:p w14:paraId="0060795E" w14:textId="77777777" w:rsidR="00BC0E7E" w:rsidRPr="00BC0E7E" w:rsidRDefault="00944B8F" w:rsidP="00BC0E7E">
            <w:pPr>
              <w:jc w:val="center"/>
              <w:rPr>
                <w:lang w:val="it-IT"/>
              </w:rPr>
            </w:pPr>
            <w:r w:rsidRPr="00BC0E7E">
              <w:rPr>
                <w:lang w:val="it-IT"/>
              </w:rPr>
              <w:t>5.7 (4.2-7.3)</w:t>
            </w:r>
          </w:p>
        </w:tc>
        <w:tc>
          <w:tcPr>
            <w:tcW w:w="1482" w:type="dxa"/>
            <w:tcBorders>
              <w:top w:val="single" w:sz="4" w:space="0" w:color="auto"/>
              <w:left w:val="single" w:sz="4" w:space="0" w:color="auto"/>
              <w:bottom w:val="single" w:sz="4" w:space="0" w:color="auto"/>
              <w:right w:val="single" w:sz="4" w:space="0" w:color="auto"/>
            </w:tcBorders>
          </w:tcPr>
          <w:p w14:paraId="101CC90B" w14:textId="77777777" w:rsidR="00BC0E7E" w:rsidRPr="00BC0E7E" w:rsidRDefault="00944B8F" w:rsidP="00BC0E7E">
            <w:pPr>
              <w:jc w:val="center"/>
              <w:rPr>
                <w:lang w:val="it-IT"/>
              </w:rPr>
            </w:pPr>
            <w:r w:rsidRPr="00BC0E7E">
              <w:rPr>
                <w:lang w:val="it-IT"/>
              </w:rPr>
              <w:t>3.0 (1.7-4.3)</w:t>
            </w:r>
          </w:p>
        </w:tc>
        <w:tc>
          <w:tcPr>
            <w:tcW w:w="1488" w:type="dxa"/>
            <w:tcBorders>
              <w:top w:val="single" w:sz="4" w:space="0" w:color="auto"/>
              <w:left w:val="single" w:sz="4" w:space="0" w:color="auto"/>
              <w:bottom w:val="single" w:sz="4" w:space="0" w:color="auto"/>
              <w:right w:val="single" w:sz="4" w:space="0" w:color="auto"/>
            </w:tcBorders>
          </w:tcPr>
          <w:p w14:paraId="3B595FD3" w14:textId="77777777" w:rsidR="00BC0E7E" w:rsidRPr="00BC0E7E" w:rsidRDefault="00944B8F" w:rsidP="00BC0E7E">
            <w:pPr>
              <w:jc w:val="center"/>
              <w:rPr>
                <w:lang w:val="it-IT"/>
              </w:rPr>
            </w:pPr>
            <w:r w:rsidRPr="00BC0E7E">
              <w:rPr>
                <w:lang w:val="it-IT"/>
              </w:rPr>
              <w:t>1.3 (0.5-2.1)</w:t>
            </w:r>
          </w:p>
        </w:tc>
        <w:tc>
          <w:tcPr>
            <w:tcW w:w="990" w:type="dxa"/>
            <w:tcBorders>
              <w:top w:val="single" w:sz="4" w:space="0" w:color="auto"/>
              <w:left w:val="single" w:sz="4" w:space="0" w:color="auto"/>
              <w:bottom w:val="single" w:sz="4" w:space="0" w:color="auto"/>
              <w:right w:val="single" w:sz="4" w:space="0" w:color="auto"/>
            </w:tcBorders>
          </w:tcPr>
          <w:p w14:paraId="6EBDE5AA" w14:textId="77777777" w:rsidR="00BC0E7E" w:rsidRPr="00BC0E7E" w:rsidRDefault="00944B8F" w:rsidP="00BC0E7E">
            <w:pPr>
              <w:jc w:val="center"/>
              <w:rPr>
                <w:lang w:val="it-IT"/>
              </w:rPr>
            </w:pPr>
            <w:r w:rsidRPr="00BC0E7E">
              <w:rPr>
                <w:lang w:val="it-IT"/>
              </w:rPr>
              <w:t>&lt; 0.001</w:t>
            </w:r>
          </w:p>
        </w:tc>
        <w:tc>
          <w:tcPr>
            <w:tcW w:w="990" w:type="dxa"/>
            <w:tcBorders>
              <w:top w:val="single" w:sz="4" w:space="0" w:color="auto"/>
              <w:left w:val="single" w:sz="4" w:space="0" w:color="auto"/>
              <w:bottom w:val="single" w:sz="4" w:space="0" w:color="auto"/>
              <w:right w:val="single" w:sz="4" w:space="0" w:color="auto"/>
            </w:tcBorders>
          </w:tcPr>
          <w:p w14:paraId="0620B022" w14:textId="77777777" w:rsidR="00BC0E7E" w:rsidRPr="00BC0E7E" w:rsidRDefault="00944B8F" w:rsidP="00BC0E7E">
            <w:pPr>
              <w:jc w:val="center"/>
              <w:rPr>
                <w:lang w:val="it-IT"/>
              </w:rPr>
            </w:pPr>
            <w:r w:rsidRPr="00BC0E7E">
              <w:rPr>
                <w:lang w:val="it-IT"/>
              </w:rPr>
              <w:t>0.0020</w:t>
            </w:r>
          </w:p>
        </w:tc>
        <w:tc>
          <w:tcPr>
            <w:tcW w:w="990" w:type="dxa"/>
            <w:tcBorders>
              <w:top w:val="single" w:sz="4" w:space="0" w:color="auto"/>
              <w:left w:val="single" w:sz="4" w:space="0" w:color="auto"/>
              <w:bottom w:val="single" w:sz="4" w:space="0" w:color="auto"/>
              <w:right w:val="single" w:sz="4" w:space="0" w:color="auto"/>
            </w:tcBorders>
          </w:tcPr>
          <w:p w14:paraId="2F11C81E" w14:textId="77777777" w:rsidR="00BC0E7E" w:rsidRPr="00BC0E7E" w:rsidRDefault="00944B8F" w:rsidP="00BC0E7E">
            <w:pPr>
              <w:jc w:val="center"/>
              <w:rPr>
                <w:lang w:val="it-IT"/>
              </w:rPr>
            </w:pPr>
            <w:r w:rsidRPr="00BC0E7E">
              <w:rPr>
                <w:lang w:val="it-IT"/>
              </w:rPr>
              <w:t>&lt; 0.001</w:t>
            </w:r>
          </w:p>
        </w:tc>
      </w:tr>
      <w:tr w:rsidR="00C6578C" w14:paraId="55D8C087" w14:textId="77777777" w:rsidTr="00171601">
        <w:tc>
          <w:tcPr>
            <w:tcW w:w="1430" w:type="dxa"/>
            <w:tcBorders>
              <w:top w:val="single" w:sz="4" w:space="0" w:color="auto"/>
              <w:left w:val="single" w:sz="4" w:space="0" w:color="auto"/>
              <w:bottom w:val="single" w:sz="4" w:space="0" w:color="auto"/>
              <w:right w:val="single" w:sz="4" w:space="0" w:color="auto"/>
            </w:tcBorders>
          </w:tcPr>
          <w:p w14:paraId="4EB46065" w14:textId="77777777" w:rsidR="00BC0E7E" w:rsidRPr="00BC0E7E" w:rsidRDefault="00944B8F" w:rsidP="00BC0E7E">
            <w:pPr>
              <w:jc w:val="center"/>
              <w:rPr>
                <w:lang w:val="it-IT"/>
              </w:rPr>
            </w:pPr>
            <w:r w:rsidRPr="00BC0E7E">
              <w:rPr>
                <w:lang w:val="it-IT"/>
              </w:rPr>
              <w:t>Erosion score</w:t>
            </w:r>
          </w:p>
        </w:tc>
        <w:tc>
          <w:tcPr>
            <w:tcW w:w="1540" w:type="dxa"/>
            <w:tcBorders>
              <w:top w:val="single" w:sz="4" w:space="0" w:color="auto"/>
              <w:left w:val="single" w:sz="4" w:space="0" w:color="auto"/>
              <w:bottom w:val="single" w:sz="4" w:space="0" w:color="auto"/>
              <w:right w:val="single" w:sz="4" w:space="0" w:color="auto"/>
            </w:tcBorders>
          </w:tcPr>
          <w:p w14:paraId="78E2E7FE" w14:textId="77777777" w:rsidR="00BC0E7E" w:rsidRPr="00BC0E7E" w:rsidRDefault="00944B8F" w:rsidP="00BC0E7E">
            <w:pPr>
              <w:jc w:val="center"/>
              <w:rPr>
                <w:lang w:val="it-IT"/>
              </w:rPr>
            </w:pPr>
            <w:r w:rsidRPr="00BC0E7E">
              <w:rPr>
                <w:lang w:val="it-IT"/>
              </w:rPr>
              <w:t>3.7 (2.7-4.7)</w:t>
            </w:r>
          </w:p>
        </w:tc>
        <w:tc>
          <w:tcPr>
            <w:tcW w:w="1482" w:type="dxa"/>
            <w:tcBorders>
              <w:top w:val="single" w:sz="4" w:space="0" w:color="auto"/>
              <w:left w:val="single" w:sz="4" w:space="0" w:color="auto"/>
              <w:bottom w:val="single" w:sz="4" w:space="0" w:color="auto"/>
              <w:right w:val="single" w:sz="4" w:space="0" w:color="auto"/>
            </w:tcBorders>
          </w:tcPr>
          <w:p w14:paraId="33EAEB4B" w14:textId="77777777" w:rsidR="00BC0E7E" w:rsidRPr="00BC0E7E" w:rsidRDefault="00944B8F" w:rsidP="00BC0E7E">
            <w:pPr>
              <w:jc w:val="center"/>
              <w:rPr>
                <w:lang w:val="it-IT"/>
              </w:rPr>
            </w:pPr>
            <w:r w:rsidRPr="00BC0E7E">
              <w:rPr>
                <w:lang w:val="it-IT"/>
              </w:rPr>
              <w:t>1.7 (1.0-2.4)</w:t>
            </w:r>
          </w:p>
        </w:tc>
        <w:tc>
          <w:tcPr>
            <w:tcW w:w="1488" w:type="dxa"/>
            <w:tcBorders>
              <w:top w:val="single" w:sz="4" w:space="0" w:color="auto"/>
              <w:left w:val="single" w:sz="4" w:space="0" w:color="auto"/>
              <w:bottom w:val="single" w:sz="4" w:space="0" w:color="auto"/>
              <w:right w:val="single" w:sz="4" w:space="0" w:color="auto"/>
            </w:tcBorders>
          </w:tcPr>
          <w:p w14:paraId="56516500" w14:textId="77777777" w:rsidR="00BC0E7E" w:rsidRPr="00BC0E7E" w:rsidRDefault="00944B8F" w:rsidP="00BC0E7E">
            <w:pPr>
              <w:jc w:val="center"/>
              <w:rPr>
                <w:lang w:val="it-IT"/>
              </w:rPr>
            </w:pPr>
            <w:r w:rsidRPr="00BC0E7E">
              <w:rPr>
                <w:lang w:val="it-IT"/>
              </w:rPr>
              <w:t>0.8 (0.4-1.2)</w:t>
            </w:r>
          </w:p>
        </w:tc>
        <w:tc>
          <w:tcPr>
            <w:tcW w:w="990" w:type="dxa"/>
            <w:tcBorders>
              <w:top w:val="single" w:sz="4" w:space="0" w:color="auto"/>
              <w:left w:val="single" w:sz="4" w:space="0" w:color="auto"/>
              <w:bottom w:val="single" w:sz="4" w:space="0" w:color="auto"/>
              <w:right w:val="single" w:sz="4" w:space="0" w:color="auto"/>
            </w:tcBorders>
          </w:tcPr>
          <w:p w14:paraId="0B9C9927" w14:textId="77777777" w:rsidR="00BC0E7E" w:rsidRPr="00BC0E7E" w:rsidRDefault="00944B8F" w:rsidP="00BC0E7E">
            <w:pPr>
              <w:jc w:val="center"/>
              <w:rPr>
                <w:lang w:val="it-IT"/>
              </w:rPr>
            </w:pPr>
            <w:r w:rsidRPr="00BC0E7E">
              <w:rPr>
                <w:lang w:val="it-IT"/>
              </w:rPr>
              <w:t>&lt; 0.001</w:t>
            </w:r>
          </w:p>
        </w:tc>
        <w:tc>
          <w:tcPr>
            <w:tcW w:w="990" w:type="dxa"/>
            <w:tcBorders>
              <w:top w:val="single" w:sz="4" w:space="0" w:color="auto"/>
              <w:left w:val="single" w:sz="4" w:space="0" w:color="auto"/>
              <w:bottom w:val="single" w:sz="4" w:space="0" w:color="auto"/>
              <w:right w:val="single" w:sz="4" w:space="0" w:color="auto"/>
            </w:tcBorders>
          </w:tcPr>
          <w:p w14:paraId="11AC3314" w14:textId="77777777" w:rsidR="00BC0E7E" w:rsidRPr="00BC0E7E" w:rsidRDefault="00944B8F" w:rsidP="00BC0E7E">
            <w:pPr>
              <w:jc w:val="center"/>
              <w:rPr>
                <w:lang w:val="it-IT"/>
              </w:rPr>
            </w:pPr>
            <w:r w:rsidRPr="00BC0E7E">
              <w:rPr>
                <w:lang w:val="it-IT"/>
              </w:rPr>
              <w:t>0.0082</w:t>
            </w:r>
          </w:p>
        </w:tc>
        <w:tc>
          <w:tcPr>
            <w:tcW w:w="990" w:type="dxa"/>
            <w:tcBorders>
              <w:top w:val="single" w:sz="4" w:space="0" w:color="auto"/>
              <w:left w:val="single" w:sz="4" w:space="0" w:color="auto"/>
              <w:bottom w:val="single" w:sz="4" w:space="0" w:color="auto"/>
              <w:right w:val="single" w:sz="4" w:space="0" w:color="auto"/>
            </w:tcBorders>
          </w:tcPr>
          <w:p w14:paraId="16304BCD" w14:textId="77777777" w:rsidR="00BC0E7E" w:rsidRPr="00BC0E7E" w:rsidRDefault="00944B8F" w:rsidP="00BC0E7E">
            <w:pPr>
              <w:jc w:val="center"/>
              <w:rPr>
                <w:lang w:val="it-IT"/>
              </w:rPr>
            </w:pPr>
            <w:r w:rsidRPr="00BC0E7E">
              <w:rPr>
                <w:lang w:val="it-IT"/>
              </w:rPr>
              <w:t>&lt; 0.001</w:t>
            </w:r>
          </w:p>
        </w:tc>
      </w:tr>
      <w:tr w:rsidR="00C6578C" w14:paraId="363581D2" w14:textId="77777777" w:rsidTr="00171601">
        <w:tc>
          <w:tcPr>
            <w:tcW w:w="1430" w:type="dxa"/>
            <w:tcBorders>
              <w:top w:val="single" w:sz="4" w:space="0" w:color="auto"/>
              <w:left w:val="single" w:sz="4" w:space="0" w:color="auto"/>
              <w:bottom w:val="single" w:sz="4" w:space="0" w:color="auto"/>
              <w:right w:val="single" w:sz="4" w:space="0" w:color="auto"/>
            </w:tcBorders>
          </w:tcPr>
          <w:p w14:paraId="775ED8B3" w14:textId="77777777" w:rsidR="00BC0E7E" w:rsidRPr="00BC0E7E" w:rsidRDefault="00944B8F" w:rsidP="00BC0E7E">
            <w:pPr>
              <w:jc w:val="center"/>
              <w:rPr>
                <w:lang w:val="it-IT"/>
              </w:rPr>
            </w:pPr>
            <w:r w:rsidRPr="00BC0E7E">
              <w:rPr>
                <w:lang w:val="it-IT"/>
              </w:rPr>
              <w:t>JSN score</w:t>
            </w:r>
          </w:p>
        </w:tc>
        <w:tc>
          <w:tcPr>
            <w:tcW w:w="1540" w:type="dxa"/>
            <w:tcBorders>
              <w:top w:val="single" w:sz="4" w:space="0" w:color="auto"/>
              <w:left w:val="single" w:sz="4" w:space="0" w:color="auto"/>
              <w:bottom w:val="single" w:sz="4" w:space="0" w:color="auto"/>
              <w:right w:val="single" w:sz="4" w:space="0" w:color="auto"/>
            </w:tcBorders>
          </w:tcPr>
          <w:p w14:paraId="0CAC4D2E" w14:textId="77777777" w:rsidR="00BC0E7E" w:rsidRPr="00BC0E7E" w:rsidRDefault="00944B8F" w:rsidP="00BC0E7E">
            <w:pPr>
              <w:jc w:val="center"/>
            </w:pPr>
            <w:r w:rsidRPr="00BC0E7E">
              <w:t>2.0 (1.2-2.8)</w:t>
            </w:r>
          </w:p>
        </w:tc>
        <w:tc>
          <w:tcPr>
            <w:tcW w:w="1482" w:type="dxa"/>
            <w:tcBorders>
              <w:top w:val="single" w:sz="4" w:space="0" w:color="auto"/>
              <w:left w:val="single" w:sz="4" w:space="0" w:color="auto"/>
              <w:bottom w:val="single" w:sz="4" w:space="0" w:color="auto"/>
              <w:right w:val="single" w:sz="4" w:space="0" w:color="auto"/>
            </w:tcBorders>
          </w:tcPr>
          <w:p w14:paraId="4919A4D1" w14:textId="77777777" w:rsidR="00BC0E7E" w:rsidRPr="00BC0E7E" w:rsidRDefault="00944B8F" w:rsidP="00BC0E7E">
            <w:pPr>
              <w:jc w:val="center"/>
            </w:pPr>
            <w:r w:rsidRPr="00BC0E7E">
              <w:t>1.3 (0.5-2.1)</w:t>
            </w:r>
          </w:p>
        </w:tc>
        <w:tc>
          <w:tcPr>
            <w:tcW w:w="1488" w:type="dxa"/>
            <w:tcBorders>
              <w:top w:val="single" w:sz="4" w:space="0" w:color="auto"/>
              <w:left w:val="single" w:sz="4" w:space="0" w:color="auto"/>
              <w:bottom w:val="single" w:sz="4" w:space="0" w:color="auto"/>
              <w:right w:val="single" w:sz="4" w:space="0" w:color="auto"/>
            </w:tcBorders>
          </w:tcPr>
          <w:p w14:paraId="77D4CE39" w14:textId="77777777" w:rsidR="00BC0E7E" w:rsidRPr="00BC0E7E" w:rsidRDefault="00944B8F" w:rsidP="00BC0E7E">
            <w:pPr>
              <w:jc w:val="center"/>
            </w:pPr>
            <w:r w:rsidRPr="00BC0E7E">
              <w:t>0.5 (0-1.0)</w:t>
            </w:r>
          </w:p>
        </w:tc>
        <w:tc>
          <w:tcPr>
            <w:tcW w:w="990" w:type="dxa"/>
            <w:tcBorders>
              <w:top w:val="single" w:sz="4" w:space="0" w:color="auto"/>
              <w:left w:val="single" w:sz="4" w:space="0" w:color="auto"/>
              <w:bottom w:val="single" w:sz="4" w:space="0" w:color="auto"/>
              <w:right w:val="single" w:sz="4" w:space="0" w:color="auto"/>
            </w:tcBorders>
          </w:tcPr>
          <w:p w14:paraId="39F85AEA" w14:textId="77777777" w:rsidR="00BC0E7E" w:rsidRPr="00BC0E7E" w:rsidRDefault="00944B8F" w:rsidP="00BC0E7E">
            <w:pPr>
              <w:jc w:val="center"/>
            </w:pPr>
            <w:r w:rsidRPr="00BC0E7E">
              <w:t>&lt; 0.001</w:t>
            </w:r>
          </w:p>
        </w:tc>
        <w:tc>
          <w:tcPr>
            <w:tcW w:w="990" w:type="dxa"/>
            <w:tcBorders>
              <w:top w:val="single" w:sz="4" w:space="0" w:color="auto"/>
              <w:left w:val="single" w:sz="4" w:space="0" w:color="auto"/>
              <w:bottom w:val="single" w:sz="4" w:space="0" w:color="auto"/>
              <w:right w:val="single" w:sz="4" w:space="0" w:color="auto"/>
            </w:tcBorders>
          </w:tcPr>
          <w:p w14:paraId="07C4A6BE" w14:textId="77777777" w:rsidR="00BC0E7E" w:rsidRPr="00BC0E7E" w:rsidRDefault="00944B8F" w:rsidP="00BC0E7E">
            <w:pPr>
              <w:jc w:val="center"/>
            </w:pPr>
            <w:r w:rsidRPr="00BC0E7E">
              <w:t>0.0037</w:t>
            </w:r>
          </w:p>
        </w:tc>
        <w:tc>
          <w:tcPr>
            <w:tcW w:w="990" w:type="dxa"/>
            <w:tcBorders>
              <w:top w:val="single" w:sz="4" w:space="0" w:color="auto"/>
              <w:left w:val="single" w:sz="4" w:space="0" w:color="auto"/>
              <w:bottom w:val="single" w:sz="4" w:space="0" w:color="auto"/>
              <w:right w:val="single" w:sz="4" w:space="0" w:color="auto"/>
            </w:tcBorders>
          </w:tcPr>
          <w:p w14:paraId="1E3D716F" w14:textId="77777777" w:rsidR="00BC0E7E" w:rsidRPr="00BC0E7E" w:rsidRDefault="00944B8F" w:rsidP="00BC0E7E">
            <w:pPr>
              <w:jc w:val="center"/>
            </w:pPr>
            <w:r w:rsidRPr="00BC0E7E">
              <w:t>0.151</w:t>
            </w:r>
          </w:p>
        </w:tc>
      </w:tr>
      <w:tr w:rsidR="00C6578C" w14:paraId="0CE6BDD4" w14:textId="77777777" w:rsidTr="00171601">
        <w:trPr>
          <w:cantSplit/>
        </w:trPr>
        <w:tc>
          <w:tcPr>
            <w:tcW w:w="8910" w:type="dxa"/>
            <w:gridSpan w:val="7"/>
            <w:tcBorders>
              <w:top w:val="single" w:sz="4" w:space="0" w:color="auto"/>
            </w:tcBorders>
          </w:tcPr>
          <w:p w14:paraId="3DC22E9B" w14:textId="77777777" w:rsidR="00BC0E7E" w:rsidRPr="00BC0E7E" w:rsidRDefault="00944B8F" w:rsidP="00BC0E7E">
            <w:pPr>
              <w:tabs>
                <w:tab w:val="clear" w:pos="562"/>
                <w:tab w:val="left" w:pos="330"/>
              </w:tabs>
              <w:ind w:left="330" w:hanging="330"/>
              <w:rPr>
                <w:bCs/>
              </w:rPr>
            </w:pPr>
            <w:r w:rsidRPr="00BC0E7E">
              <w:rPr>
                <w:bCs/>
                <w:vertAlign w:val="superscript"/>
              </w:rPr>
              <w:t xml:space="preserve">a </w:t>
            </w:r>
            <w:r w:rsidRPr="00BC0E7E">
              <w:rPr>
                <w:bCs/>
              </w:rPr>
              <w:t>p-value is from the pairwise comparison of methotrexate monotherapy and Humira/methotrexate combination therapy using the Mann-Whitney U test.</w:t>
            </w:r>
          </w:p>
          <w:p w14:paraId="5D82B790" w14:textId="77777777" w:rsidR="00BC0E7E" w:rsidRPr="00BC0E7E" w:rsidRDefault="00944B8F" w:rsidP="00BC0E7E">
            <w:pPr>
              <w:tabs>
                <w:tab w:val="clear" w:pos="562"/>
                <w:tab w:val="left" w:pos="330"/>
              </w:tabs>
              <w:ind w:left="360" w:hanging="360"/>
              <w:rPr>
                <w:bCs/>
              </w:rPr>
            </w:pPr>
            <w:r w:rsidRPr="00BC0E7E">
              <w:rPr>
                <w:bCs/>
                <w:vertAlign w:val="superscript"/>
              </w:rPr>
              <w:t>b</w:t>
            </w:r>
            <w:r w:rsidRPr="00BC0E7E">
              <w:rPr>
                <w:bCs/>
              </w:rPr>
              <w:t xml:space="preserve"> p-value is from the pairwise comparison of Humira monotherapy and Humira/methotrexate combination therapy using the Mann-Whitney U test </w:t>
            </w:r>
          </w:p>
          <w:p w14:paraId="7AC9058C" w14:textId="77777777" w:rsidR="00BC0E7E" w:rsidRPr="00BC0E7E" w:rsidRDefault="00944B8F" w:rsidP="00BC0E7E">
            <w:pPr>
              <w:tabs>
                <w:tab w:val="clear" w:pos="562"/>
                <w:tab w:val="left" w:pos="330"/>
              </w:tabs>
              <w:ind w:left="360" w:hanging="360"/>
              <w:rPr>
                <w:bCs/>
              </w:rPr>
            </w:pPr>
            <w:r w:rsidRPr="00BC0E7E">
              <w:rPr>
                <w:bCs/>
                <w:vertAlign w:val="superscript"/>
              </w:rPr>
              <w:t>c</w:t>
            </w:r>
            <w:r w:rsidRPr="00BC0E7E">
              <w:rPr>
                <w:bCs/>
              </w:rPr>
              <w:t xml:space="preserve"> p-value is from the pairwise comparison of Humira monotherapy and methotrexate monotherapy using the Mann-Whitney U test</w:t>
            </w:r>
          </w:p>
        </w:tc>
      </w:tr>
    </w:tbl>
    <w:p w14:paraId="0B0D2C22" w14:textId="77777777" w:rsidR="00BC0E7E" w:rsidRPr="00BC0E7E" w:rsidRDefault="00BC0E7E" w:rsidP="00BC0E7E"/>
    <w:p w14:paraId="1362DE16" w14:textId="77777777" w:rsidR="00BC0E7E" w:rsidRPr="00BC0E7E" w:rsidRDefault="00944B8F" w:rsidP="00BC0E7E">
      <w:pPr>
        <w:rPr>
          <w:szCs w:val="20"/>
        </w:rPr>
      </w:pPr>
      <w:r w:rsidRPr="00BC0E7E">
        <w:rPr>
          <w:szCs w:val="20"/>
        </w:rPr>
        <w:t xml:space="preserve">Following 52 weeks and 104 weeks of treatment, the percentage of patients without progression (change from baseline in modified Total Sharp Score </w:t>
      </w:r>
      <w:r w:rsidRPr="00BC0E7E">
        <w:rPr>
          <w:rFonts w:ascii="Symbol" w:eastAsia="Symbol" w:hAnsi="Symbol" w:cs="Symbol"/>
          <w:szCs w:val="22"/>
        </w:rPr>
        <w:sym w:font="Symbol" w:char="F0A3"/>
      </w:r>
      <w:r w:rsidRPr="00BC0E7E">
        <w:rPr>
          <w:szCs w:val="20"/>
        </w:rPr>
        <w:t xml:space="preserve"> 0.5) was significantly higher with Humira/methotrexate combination therapy (63.8% and 61.2% respectively) compared to methotrexate monotherapy (37.4% and </w:t>
      </w:r>
      <w:r w:rsidRPr="00BC0E7E">
        <w:rPr>
          <w:szCs w:val="20"/>
        </w:rPr>
        <w:lastRenderedPageBreak/>
        <w:t>33.5% respectively, p &lt; 0.001) and Humira monotherapy (50.7%, p &lt; 0.002 and 44.5%, p &lt; 0.001 respectively).</w:t>
      </w:r>
    </w:p>
    <w:p w14:paraId="52EE9B47" w14:textId="77777777" w:rsidR="00BC0E7E" w:rsidRPr="00BC0E7E" w:rsidRDefault="00BC0E7E" w:rsidP="00BC0E7E">
      <w:pPr>
        <w:rPr>
          <w:szCs w:val="20"/>
        </w:rPr>
      </w:pPr>
    </w:p>
    <w:p w14:paraId="26C7CFDB" w14:textId="77777777" w:rsidR="00BC0E7E" w:rsidRPr="00BC0E7E" w:rsidRDefault="00944B8F" w:rsidP="00BC0E7E">
      <w:pPr>
        <w:rPr>
          <w:szCs w:val="20"/>
        </w:rPr>
      </w:pPr>
      <w:r w:rsidRPr="00BC0E7E">
        <w:rPr>
          <w:szCs w:val="22"/>
        </w:rPr>
        <w:t xml:space="preserve">In the open-label extension of RA study V, the mean change from baseline at Year 10 in the modified Total Sharp Score was 10.8, 9.2 and 3.9 in patients originally randomized to methotrexate monotherapy, Humira monotherapy and Humira/methotrexate combination therapy, respectively. </w:t>
      </w:r>
      <w:r w:rsidRPr="00BC0E7E">
        <w:rPr>
          <w:szCs w:val="20"/>
        </w:rPr>
        <w:t>The corresponding proportions of patients with no radiographic progression were 31.3%, 23.7% and 36.7% respectively.</w:t>
      </w:r>
    </w:p>
    <w:p w14:paraId="5A7DCEF6" w14:textId="77777777" w:rsidR="00BC0E7E" w:rsidRPr="00BC0E7E" w:rsidRDefault="00BC0E7E" w:rsidP="00BC0E7E">
      <w:pPr>
        <w:rPr>
          <w:szCs w:val="20"/>
        </w:rPr>
      </w:pPr>
    </w:p>
    <w:p w14:paraId="27799B5F" w14:textId="77777777" w:rsidR="00BC0E7E" w:rsidRPr="00BC0E7E" w:rsidRDefault="00944B8F" w:rsidP="00BC0E7E">
      <w:pPr>
        <w:keepNext/>
        <w:rPr>
          <w:i/>
          <w:szCs w:val="20"/>
          <w:u w:val="single"/>
        </w:rPr>
      </w:pPr>
      <w:r w:rsidRPr="00BC0E7E">
        <w:rPr>
          <w:i/>
          <w:szCs w:val="20"/>
          <w:u w:val="single"/>
        </w:rPr>
        <w:t xml:space="preserve">Quality of life and physical function </w:t>
      </w:r>
    </w:p>
    <w:p w14:paraId="7F4A437B" w14:textId="77777777" w:rsidR="00BC0E7E" w:rsidRPr="00BC0E7E" w:rsidRDefault="00BC0E7E" w:rsidP="00BC0E7E">
      <w:pPr>
        <w:keepNext/>
        <w:rPr>
          <w:szCs w:val="20"/>
        </w:rPr>
      </w:pPr>
    </w:p>
    <w:p w14:paraId="5F0BB9D2" w14:textId="77777777" w:rsidR="00BC0E7E" w:rsidRPr="00BC0E7E" w:rsidRDefault="00944B8F" w:rsidP="00BC0E7E">
      <w:pPr>
        <w:keepNext/>
      </w:pPr>
      <w:r w:rsidRPr="00BC0E7E">
        <w:t>Health-related quality of life and physical function were assessed using the disability index of the Health Assessment Questionnaire (HAQ) in the four original adequate and well-controlled trials, which was a pre-specified primary endpoint at Week 52 in RA study III. All doses/schedules of Humira in all four studies showed statistically significantly greater improvement in the disability index of the HAQ from baseline to Month 6 compared to placebo and in RA study III the same was seen at Week 52. Results from the Short Form Health Survey (SF 36) for all doses/schedules of Humira in all four studies support these findings, with statistically significant physical component summary (PCS) scores, as well as statistically significant pain and vitality domain scores for the 40 mg every other week dose. A statistically significant decrease in fatigue as measured by functional assessment of chronic illness therapy (FACIT) scores was seen in all three studies in which it was assessed (RA studies I, III, IV).</w:t>
      </w:r>
    </w:p>
    <w:p w14:paraId="5FE49C1B" w14:textId="77777777" w:rsidR="00BC0E7E" w:rsidRPr="00BC0E7E" w:rsidRDefault="00BC0E7E" w:rsidP="00BC0E7E">
      <w:pPr>
        <w:keepNext/>
        <w:keepLines/>
      </w:pPr>
    </w:p>
    <w:p w14:paraId="6045AA72" w14:textId="77777777" w:rsidR="00BC0E7E" w:rsidRPr="00BC0E7E" w:rsidRDefault="00944B8F" w:rsidP="00BC0E7E">
      <w:pPr>
        <w:keepNext/>
        <w:keepLines/>
      </w:pPr>
      <w:r w:rsidRPr="00BC0E7E">
        <w:t>In RA study III, most subjects who achieved improvement in physical function and continued treatment maintained improvement through Week 520 (120 months) of open-label treatment. Improvement in quality of life was measured up to Week 156 (36 months) and improvement was maintained through that time.</w:t>
      </w:r>
    </w:p>
    <w:p w14:paraId="6BA8D42B" w14:textId="77777777" w:rsidR="00BC0E7E" w:rsidRPr="00BC0E7E" w:rsidRDefault="00BC0E7E" w:rsidP="00BC0E7E">
      <w:pPr>
        <w:keepNext/>
        <w:keepLines/>
      </w:pPr>
    </w:p>
    <w:p w14:paraId="46E06005" w14:textId="77777777" w:rsidR="00BC0E7E" w:rsidRPr="00BC0E7E" w:rsidRDefault="00944B8F" w:rsidP="00BC0E7E">
      <w:pPr>
        <w:keepNext/>
        <w:rPr>
          <w:szCs w:val="22"/>
        </w:rPr>
      </w:pPr>
      <w:r w:rsidRPr="00BC0E7E">
        <w:rPr>
          <w:szCs w:val="20"/>
        </w:rPr>
        <w:t xml:space="preserve">In RA study V, the improvement in the HAQ disability index and the physical component of the SF 36 showed greater improvement (p &lt; 0.001) for Humira/methotrexate combination therapy </w:t>
      </w:r>
      <w:r w:rsidRPr="00BC0E7E">
        <w:rPr>
          <w:i/>
          <w:iCs/>
          <w:szCs w:val="20"/>
        </w:rPr>
        <w:t>versus</w:t>
      </w:r>
      <w:r w:rsidRPr="00BC0E7E">
        <w:rPr>
          <w:szCs w:val="20"/>
        </w:rPr>
        <w:t xml:space="preserve"> methotrexate monotherapy and Humira monotherapy at Week 52, which was maintained through </w:t>
      </w:r>
      <w:r w:rsidRPr="00BC0E7E">
        <w:rPr>
          <w:szCs w:val="22"/>
        </w:rPr>
        <w:t xml:space="preserve">Week 104. </w:t>
      </w:r>
      <w:r w:rsidRPr="00BC0E7E">
        <w:rPr>
          <w:szCs w:val="20"/>
        </w:rPr>
        <w:t>Among the 250 subjects who completed the open-label extension study, improvements in physical function were maintained through 10 years of treatment.</w:t>
      </w:r>
    </w:p>
    <w:p w14:paraId="28D076F6" w14:textId="77777777" w:rsidR="00BC0E7E" w:rsidRPr="00BC0E7E" w:rsidRDefault="00BC0E7E" w:rsidP="00BC0E7E">
      <w:pPr>
        <w:rPr>
          <w:i/>
          <w:szCs w:val="20"/>
          <w:u w:val="single"/>
        </w:rPr>
      </w:pPr>
    </w:p>
    <w:p w14:paraId="6070785B" w14:textId="77777777" w:rsidR="00BC0E7E" w:rsidRPr="00BC0E7E" w:rsidRDefault="00944B8F" w:rsidP="00BC0E7E">
      <w:pPr>
        <w:rPr>
          <w:i/>
          <w:szCs w:val="20"/>
          <w:u w:val="single"/>
        </w:rPr>
      </w:pPr>
      <w:r w:rsidRPr="00BC0E7E">
        <w:rPr>
          <w:i/>
          <w:szCs w:val="20"/>
          <w:u w:val="single"/>
        </w:rPr>
        <w:t>Injection site pain</w:t>
      </w:r>
    </w:p>
    <w:p w14:paraId="55C635B7" w14:textId="77777777" w:rsidR="00BC0E7E" w:rsidRPr="00BC0E7E" w:rsidRDefault="00BC0E7E" w:rsidP="00BC0E7E">
      <w:pPr>
        <w:rPr>
          <w:szCs w:val="20"/>
        </w:rPr>
      </w:pPr>
    </w:p>
    <w:p w14:paraId="30079495" w14:textId="77777777" w:rsidR="00BC0E7E" w:rsidRPr="00BC0E7E" w:rsidRDefault="00944B8F" w:rsidP="00BC0E7E">
      <w:pPr>
        <w:rPr>
          <w:szCs w:val="20"/>
        </w:rPr>
      </w:pPr>
      <w:r w:rsidRPr="00BC0E7E">
        <w:rPr>
          <w:szCs w:val="20"/>
        </w:rPr>
        <w:t>For the pooled crossover RA studies VI and VII, a statistically significant difference for injection site pain immediately after dosing was observed between Humira 40 mg/0.8 ml and Humira 40 mg/0.4 ml (mean VAS of 3.7 cm versus 1.2 cm, scale of 0-10 cm, P &lt; 0.001).  This represented an 84% median reduction in injection site pain.</w:t>
      </w:r>
    </w:p>
    <w:p w14:paraId="2DDBEF92" w14:textId="77777777" w:rsidR="00BC0E7E" w:rsidRPr="00BC0E7E" w:rsidRDefault="00BC0E7E" w:rsidP="00BC0E7E">
      <w:pPr>
        <w:keepNext/>
        <w:rPr>
          <w:szCs w:val="22"/>
        </w:rPr>
      </w:pPr>
    </w:p>
    <w:p w14:paraId="69828CE7" w14:textId="77777777" w:rsidR="00BC0E7E" w:rsidRPr="00BC0E7E" w:rsidRDefault="00944B8F" w:rsidP="00BC0E7E">
      <w:pPr>
        <w:rPr>
          <w:i/>
          <w:szCs w:val="20"/>
        </w:rPr>
      </w:pPr>
      <w:r w:rsidRPr="00BC0E7E">
        <w:rPr>
          <w:i/>
          <w:szCs w:val="20"/>
        </w:rPr>
        <w:t xml:space="preserve">Axial spondyloarthritis </w:t>
      </w:r>
    </w:p>
    <w:p w14:paraId="50646417" w14:textId="77777777" w:rsidR="00BC0E7E" w:rsidRPr="00BC0E7E" w:rsidRDefault="00BC0E7E" w:rsidP="00BC0E7E">
      <w:pPr>
        <w:rPr>
          <w:i/>
          <w:szCs w:val="20"/>
        </w:rPr>
      </w:pPr>
    </w:p>
    <w:p w14:paraId="3660AEF5" w14:textId="77777777" w:rsidR="00BC0E7E" w:rsidRPr="00BC0E7E" w:rsidRDefault="00944B8F" w:rsidP="00BC0E7E">
      <w:pPr>
        <w:rPr>
          <w:i/>
          <w:szCs w:val="20"/>
          <w:u w:val="single"/>
        </w:rPr>
      </w:pPr>
      <w:r w:rsidRPr="00BC0E7E">
        <w:rPr>
          <w:i/>
          <w:szCs w:val="20"/>
          <w:u w:val="single"/>
        </w:rPr>
        <w:t>Ankylosing spondylitis (AS)</w:t>
      </w:r>
    </w:p>
    <w:p w14:paraId="3624B65C" w14:textId="77777777" w:rsidR="00BC0E7E" w:rsidRPr="00BC0E7E" w:rsidRDefault="00BC0E7E" w:rsidP="00BC0E7E">
      <w:pPr>
        <w:rPr>
          <w:szCs w:val="20"/>
        </w:rPr>
      </w:pPr>
    </w:p>
    <w:p w14:paraId="3974BA98" w14:textId="77777777" w:rsidR="00BC0E7E" w:rsidRPr="00BC0E7E" w:rsidRDefault="00944B8F" w:rsidP="00BC0E7E">
      <w:pPr>
        <w:rPr>
          <w:szCs w:val="20"/>
        </w:rPr>
      </w:pPr>
      <w:r w:rsidRPr="00BC0E7E">
        <w:rPr>
          <w:szCs w:val="20"/>
        </w:rPr>
        <w:t>Humira 40 mg every other week was assessed in 393 patients in two randomised, 24 week double − blind, placebo − controlled studies in patients with active ankylosing spondylitis (mean baseline score of disease activity [Bath Ankylosing Spondylitis Disease Activity Index (BASDAI)] was 6.3 in all groups) who have had an inadequate response to conventional therapy. Seventy-nine (20.1%) patients were treated concomitantly with disease modifying anti − rheumatic drugs, and 37 (9.4%) patients with glucocorticoids. The blinded period was followed by an open − label period during which patients received Humira 40 mg every other week subcutaneously for up to an additional 28 weeks. Subjects (n=215, 54.7%) who failed to achieve ASAS 20 at Weeks 12, or 16 or 20 received early escape open-label adalimumab 40 mg every other week subcutaneously and were subsequently treated as non-responders in the double-blind statistical analyses.</w:t>
      </w:r>
    </w:p>
    <w:p w14:paraId="4E272485" w14:textId="77777777" w:rsidR="00BC0E7E" w:rsidRPr="00BC0E7E" w:rsidRDefault="00BC0E7E" w:rsidP="00BC0E7E">
      <w:pPr>
        <w:rPr>
          <w:szCs w:val="20"/>
        </w:rPr>
      </w:pPr>
    </w:p>
    <w:p w14:paraId="4EB0F136" w14:textId="77777777" w:rsidR="00BC0E7E" w:rsidRPr="00BC0E7E" w:rsidRDefault="00944B8F" w:rsidP="00BC0E7E">
      <w:pPr>
        <w:rPr>
          <w:szCs w:val="20"/>
        </w:rPr>
      </w:pPr>
      <w:r w:rsidRPr="00BC0E7E">
        <w:rPr>
          <w:szCs w:val="20"/>
        </w:rPr>
        <w:t xml:space="preserve">In the larger AS study I with 315 patients, results showed statistically significant improvement of the signs and symptoms of ankylosing spondylitis in patients treated with Humira compared to placebo.  Significant response was first observed at Week 2 and maintained through 24 weeks (Table </w:t>
      </w:r>
      <w:r w:rsidR="006876B3">
        <w:rPr>
          <w:szCs w:val="20"/>
        </w:rPr>
        <w:t>1</w:t>
      </w:r>
      <w:r w:rsidR="00614ABC">
        <w:rPr>
          <w:szCs w:val="20"/>
        </w:rPr>
        <w:t>2</w:t>
      </w:r>
      <w:r w:rsidRPr="00BC0E7E">
        <w:rPr>
          <w:szCs w:val="20"/>
        </w:rPr>
        <w:t xml:space="preserve">). </w:t>
      </w:r>
    </w:p>
    <w:p w14:paraId="752277DC" w14:textId="77777777" w:rsidR="00BC0E7E" w:rsidRPr="00BC0E7E" w:rsidRDefault="00BC0E7E" w:rsidP="00BC0E7E">
      <w:pPr>
        <w:rPr>
          <w:szCs w:val="20"/>
        </w:rPr>
      </w:pPr>
    </w:p>
    <w:p w14:paraId="465D2B8E" w14:textId="77777777" w:rsidR="00BC0E7E" w:rsidRPr="008F4FD5" w:rsidRDefault="00944B8F" w:rsidP="00BC0E7E">
      <w:pPr>
        <w:keepNext/>
        <w:jc w:val="center"/>
        <w:rPr>
          <w:bCs/>
          <w:szCs w:val="20"/>
        </w:rPr>
      </w:pPr>
      <w:r w:rsidRPr="00BC0E7E">
        <w:rPr>
          <w:b/>
          <w:bCs/>
          <w:szCs w:val="20"/>
        </w:rPr>
        <w:t xml:space="preserve">Table </w:t>
      </w:r>
      <w:r w:rsidR="006876B3">
        <w:rPr>
          <w:b/>
          <w:bCs/>
          <w:szCs w:val="20"/>
        </w:rPr>
        <w:t>1</w:t>
      </w:r>
      <w:r w:rsidR="00614ABC">
        <w:rPr>
          <w:b/>
          <w:bCs/>
          <w:szCs w:val="20"/>
        </w:rPr>
        <w:t>2</w:t>
      </w:r>
    </w:p>
    <w:p w14:paraId="7F5CD181" w14:textId="77777777" w:rsidR="00BC0E7E" w:rsidRPr="008F4FD5" w:rsidRDefault="00944B8F" w:rsidP="00BC0E7E">
      <w:pPr>
        <w:keepNext/>
        <w:jc w:val="center"/>
        <w:rPr>
          <w:bCs/>
          <w:szCs w:val="20"/>
        </w:rPr>
      </w:pPr>
      <w:r w:rsidRPr="00BC0E7E">
        <w:rPr>
          <w:b/>
          <w:bCs/>
          <w:szCs w:val="20"/>
        </w:rPr>
        <w:t xml:space="preserve"> Efficacy Responses in Placebo-Controlled AS Study – Study I</w:t>
      </w:r>
    </w:p>
    <w:p w14:paraId="26DE49C9" w14:textId="77777777" w:rsidR="00BC0E7E" w:rsidRPr="008F4FD5" w:rsidRDefault="00944B8F" w:rsidP="00BC0E7E">
      <w:pPr>
        <w:keepNext/>
        <w:jc w:val="center"/>
        <w:rPr>
          <w:bCs/>
          <w:szCs w:val="20"/>
        </w:rPr>
      </w:pPr>
      <w:r w:rsidRPr="00BC0E7E">
        <w:rPr>
          <w:b/>
          <w:bCs/>
          <w:szCs w:val="20"/>
        </w:rPr>
        <w:t>Reduction of Signs and Symptoms</w:t>
      </w:r>
    </w:p>
    <w:p w14:paraId="38C16AAD" w14:textId="77777777" w:rsidR="00BC0E7E" w:rsidRPr="00BC0E7E" w:rsidRDefault="00BC0E7E" w:rsidP="00BC0E7E">
      <w:pPr>
        <w:keepNext/>
        <w:rPr>
          <w:szCs w:val="20"/>
        </w:rPr>
      </w:pPr>
    </w:p>
    <w:tbl>
      <w:tblPr>
        <w:tblW w:w="7150"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50"/>
        <w:gridCol w:w="2090"/>
        <w:gridCol w:w="2310"/>
      </w:tblGrid>
      <w:tr w:rsidR="00C6578C" w14:paraId="0ED33B78" w14:textId="77777777" w:rsidTr="00171601">
        <w:tc>
          <w:tcPr>
            <w:tcW w:w="2750" w:type="dxa"/>
          </w:tcPr>
          <w:p w14:paraId="6F2653B3" w14:textId="77777777" w:rsidR="00BC0E7E" w:rsidRPr="00BC0E7E" w:rsidRDefault="00944B8F" w:rsidP="00BC0E7E">
            <w:pPr>
              <w:keepNext/>
              <w:rPr>
                <w:b/>
                <w:bCs/>
                <w:lang w:val="fr-FR"/>
              </w:rPr>
            </w:pPr>
            <w:r w:rsidRPr="00BC0E7E">
              <w:rPr>
                <w:b/>
                <w:bCs/>
                <w:lang w:val="fr-FR"/>
              </w:rPr>
              <w:t>Response</w:t>
            </w:r>
          </w:p>
        </w:tc>
        <w:tc>
          <w:tcPr>
            <w:tcW w:w="2090" w:type="dxa"/>
          </w:tcPr>
          <w:p w14:paraId="2C65E69A" w14:textId="77777777" w:rsidR="00BC0E7E" w:rsidRPr="00BC0E7E" w:rsidRDefault="00944B8F" w:rsidP="00BC0E7E">
            <w:pPr>
              <w:keepNext/>
              <w:jc w:val="center"/>
              <w:rPr>
                <w:b/>
                <w:bCs/>
                <w:lang w:val="fr-FR"/>
              </w:rPr>
            </w:pPr>
            <w:r w:rsidRPr="00BC0E7E">
              <w:rPr>
                <w:b/>
                <w:bCs/>
                <w:lang w:val="fr-FR"/>
              </w:rPr>
              <w:t>Placebo</w:t>
            </w:r>
          </w:p>
          <w:p w14:paraId="5C4C5D10" w14:textId="77777777" w:rsidR="00BC0E7E" w:rsidRPr="00BC0E7E" w:rsidRDefault="00944B8F" w:rsidP="00BC0E7E">
            <w:pPr>
              <w:keepNext/>
              <w:jc w:val="center"/>
              <w:rPr>
                <w:b/>
                <w:bCs/>
                <w:lang w:val="fr-FR"/>
              </w:rPr>
            </w:pPr>
            <w:r w:rsidRPr="00BC0E7E">
              <w:rPr>
                <w:b/>
                <w:bCs/>
                <w:lang w:val="fr-FR"/>
              </w:rPr>
              <w:t>N=107</w:t>
            </w:r>
          </w:p>
        </w:tc>
        <w:tc>
          <w:tcPr>
            <w:tcW w:w="2310" w:type="dxa"/>
          </w:tcPr>
          <w:p w14:paraId="789B14B6" w14:textId="77777777" w:rsidR="00BC0E7E" w:rsidRPr="00BC0E7E" w:rsidRDefault="00944B8F" w:rsidP="00BC0E7E">
            <w:pPr>
              <w:keepNext/>
              <w:jc w:val="center"/>
              <w:rPr>
                <w:b/>
                <w:bCs/>
                <w:lang w:val="fr-FR"/>
              </w:rPr>
            </w:pPr>
            <w:r w:rsidRPr="00BC0E7E">
              <w:rPr>
                <w:b/>
                <w:bCs/>
                <w:lang w:val="fr-FR"/>
              </w:rPr>
              <w:t>Humira</w:t>
            </w:r>
          </w:p>
          <w:p w14:paraId="70768B84" w14:textId="77777777" w:rsidR="00BC0E7E" w:rsidRPr="00BC0E7E" w:rsidRDefault="00944B8F" w:rsidP="00BC0E7E">
            <w:pPr>
              <w:keepNext/>
              <w:jc w:val="center"/>
              <w:rPr>
                <w:b/>
                <w:bCs/>
              </w:rPr>
            </w:pPr>
            <w:r w:rsidRPr="00BC0E7E">
              <w:rPr>
                <w:b/>
                <w:bCs/>
              </w:rPr>
              <w:t>N=208</w:t>
            </w:r>
          </w:p>
        </w:tc>
      </w:tr>
      <w:tr w:rsidR="00C6578C" w14:paraId="6EBB90FE" w14:textId="77777777" w:rsidTr="00171601">
        <w:tc>
          <w:tcPr>
            <w:tcW w:w="2750" w:type="dxa"/>
          </w:tcPr>
          <w:p w14:paraId="589D2F74" w14:textId="77777777" w:rsidR="00BC0E7E" w:rsidRPr="00BC0E7E" w:rsidRDefault="00944B8F" w:rsidP="00BC0E7E">
            <w:pPr>
              <w:keepNext/>
            </w:pPr>
            <w:r w:rsidRPr="00BC0E7E">
              <w:t>ASAS</w:t>
            </w:r>
            <w:r w:rsidRPr="00BC0E7E">
              <w:rPr>
                <w:vertAlign w:val="superscript"/>
              </w:rPr>
              <w:t>a</w:t>
            </w:r>
            <w:r w:rsidRPr="00BC0E7E">
              <w:t xml:space="preserve"> 20</w:t>
            </w:r>
          </w:p>
        </w:tc>
        <w:tc>
          <w:tcPr>
            <w:tcW w:w="2090" w:type="dxa"/>
          </w:tcPr>
          <w:p w14:paraId="21324C36" w14:textId="77777777" w:rsidR="00BC0E7E" w:rsidRPr="00BC0E7E" w:rsidRDefault="00BC0E7E" w:rsidP="00BC0E7E">
            <w:pPr>
              <w:keepNext/>
              <w:jc w:val="center"/>
            </w:pPr>
          </w:p>
        </w:tc>
        <w:tc>
          <w:tcPr>
            <w:tcW w:w="2310" w:type="dxa"/>
          </w:tcPr>
          <w:p w14:paraId="21A269A5" w14:textId="77777777" w:rsidR="00BC0E7E" w:rsidRPr="00BC0E7E" w:rsidRDefault="00BC0E7E" w:rsidP="00BC0E7E">
            <w:pPr>
              <w:keepNext/>
              <w:jc w:val="center"/>
            </w:pPr>
          </w:p>
        </w:tc>
      </w:tr>
      <w:tr w:rsidR="00C6578C" w14:paraId="7A9652EE" w14:textId="77777777" w:rsidTr="00171601">
        <w:tc>
          <w:tcPr>
            <w:tcW w:w="2750" w:type="dxa"/>
          </w:tcPr>
          <w:p w14:paraId="2CB64700" w14:textId="77777777" w:rsidR="00BC0E7E" w:rsidRPr="00BC0E7E" w:rsidRDefault="00944B8F" w:rsidP="00BC0E7E">
            <w:pPr>
              <w:keepNext/>
            </w:pPr>
            <w:r w:rsidRPr="00BC0E7E">
              <w:t xml:space="preserve">             Week 2</w:t>
            </w:r>
          </w:p>
        </w:tc>
        <w:tc>
          <w:tcPr>
            <w:tcW w:w="2090" w:type="dxa"/>
          </w:tcPr>
          <w:p w14:paraId="67CEA609" w14:textId="77777777" w:rsidR="00BC0E7E" w:rsidRPr="00BC0E7E" w:rsidRDefault="00944B8F" w:rsidP="00BC0E7E">
            <w:pPr>
              <w:keepNext/>
              <w:jc w:val="center"/>
            </w:pPr>
            <w:r w:rsidRPr="00BC0E7E">
              <w:t>16%</w:t>
            </w:r>
          </w:p>
        </w:tc>
        <w:tc>
          <w:tcPr>
            <w:tcW w:w="2310" w:type="dxa"/>
          </w:tcPr>
          <w:p w14:paraId="7DC49BB4" w14:textId="77777777" w:rsidR="00BC0E7E" w:rsidRPr="00BC0E7E" w:rsidRDefault="00944B8F" w:rsidP="00BC0E7E">
            <w:pPr>
              <w:keepNext/>
              <w:jc w:val="center"/>
            </w:pPr>
            <w:r w:rsidRPr="00BC0E7E">
              <w:t>42%***</w:t>
            </w:r>
          </w:p>
        </w:tc>
      </w:tr>
      <w:tr w:rsidR="00C6578C" w14:paraId="4F846DAD" w14:textId="77777777" w:rsidTr="00171601">
        <w:tc>
          <w:tcPr>
            <w:tcW w:w="2750" w:type="dxa"/>
          </w:tcPr>
          <w:p w14:paraId="73F86F1E" w14:textId="77777777" w:rsidR="00BC0E7E" w:rsidRPr="00BC0E7E" w:rsidRDefault="00944B8F" w:rsidP="00BC0E7E">
            <w:pPr>
              <w:keepNext/>
              <w:ind w:left="720"/>
            </w:pPr>
            <w:r w:rsidRPr="00BC0E7E">
              <w:t>Week 12</w:t>
            </w:r>
          </w:p>
        </w:tc>
        <w:tc>
          <w:tcPr>
            <w:tcW w:w="2090" w:type="dxa"/>
          </w:tcPr>
          <w:p w14:paraId="1CCBB914" w14:textId="77777777" w:rsidR="00BC0E7E" w:rsidRPr="00BC0E7E" w:rsidRDefault="00944B8F" w:rsidP="00BC0E7E">
            <w:pPr>
              <w:keepNext/>
              <w:jc w:val="center"/>
            </w:pPr>
            <w:r w:rsidRPr="00BC0E7E">
              <w:t>21%</w:t>
            </w:r>
          </w:p>
        </w:tc>
        <w:tc>
          <w:tcPr>
            <w:tcW w:w="2310" w:type="dxa"/>
          </w:tcPr>
          <w:p w14:paraId="4E87EC63" w14:textId="77777777" w:rsidR="00BC0E7E" w:rsidRPr="00BC0E7E" w:rsidRDefault="00944B8F" w:rsidP="00BC0E7E">
            <w:pPr>
              <w:keepNext/>
              <w:jc w:val="center"/>
            </w:pPr>
            <w:r w:rsidRPr="00BC0E7E">
              <w:t>58%***</w:t>
            </w:r>
          </w:p>
        </w:tc>
      </w:tr>
      <w:tr w:rsidR="00C6578C" w14:paraId="29453C1B" w14:textId="77777777" w:rsidTr="00171601">
        <w:tc>
          <w:tcPr>
            <w:tcW w:w="2750" w:type="dxa"/>
          </w:tcPr>
          <w:p w14:paraId="26706C47" w14:textId="77777777" w:rsidR="00BC0E7E" w:rsidRPr="00BC0E7E" w:rsidRDefault="00944B8F" w:rsidP="00BC0E7E">
            <w:pPr>
              <w:keepNext/>
              <w:ind w:left="720"/>
            </w:pPr>
            <w:r w:rsidRPr="00BC0E7E">
              <w:t>Week 24</w:t>
            </w:r>
          </w:p>
        </w:tc>
        <w:tc>
          <w:tcPr>
            <w:tcW w:w="2090" w:type="dxa"/>
          </w:tcPr>
          <w:p w14:paraId="41F69EE2" w14:textId="77777777" w:rsidR="00BC0E7E" w:rsidRPr="00BC0E7E" w:rsidRDefault="00944B8F" w:rsidP="00BC0E7E">
            <w:pPr>
              <w:keepNext/>
              <w:jc w:val="center"/>
            </w:pPr>
            <w:r w:rsidRPr="00BC0E7E">
              <w:t>19%</w:t>
            </w:r>
          </w:p>
        </w:tc>
        <w:tc>
          <w:tcPr>
            <w:tcW w:w="2310" w:type="dxa"/>
          </w:tcPr>
          <w:p w14:paraId="2D3A1BB2" w14:textId="77777777" w:rsidR="00BC0E7E" w:rsidRPr="00BC0E7E" w:rsidRDefault="00944B8F" w:rsidP="00BC0E7E">
            <w:pPr>
              <w:keepNext/>
              <w:jc w:val="center"/>
            </w:pPr>
            <w:r w:rsidRPr="00BC0E7E">
              <w:t>51%***</w:t>
            </w:r>
          </w:p>
        </w:tc>
      </w:tr>
      <w:tr w:rsidR="00C6578C" w14:paraId="78F8D1EC" w14:textId="77777777" w:rsidTr="00171601">
        <w:tc>
          <w:tcPr>
            <w:tcW w:w="2750" w:type="dxa"/>
          </w:tcPr>
          <w:p w14:paraId="601F9360" w14:textId="77777777" w:rsidR="00BC0E7E" w:rsidRPr="00BC0E7E" w:rsidRDefault="00944B8F" w:rsidP="00BC0E7E">
            <w:pPr>
              <w:keepNext/>
            </w:pPr>
            <w:r w:rsidRPr="00BC0E7E">
              <w:t>ASAS 50</w:t>
            </w:r>
          </w:p>
        </w:tc>
        <w:tc>
          <w:tcPr>
            <w:tcW w:w="2090" w:type="dxa"/>
          </w:tcPr>
          <w:p w14:paraId="3665B33A" w14:textId="77777777" w:rsidR="00BC0E7E" w:rsidRPr="00BC0E7E" w:rsidRDefault="00BC0E7E" w:rsidP="00BC0E7E">
            <w:pPr>
              <w:keepNext/>
              <w:jc w:val="center"/>
            </w:pPr>
          </w:p>
        </w:tc>
        <w:tc>
          <w:tcPr>
            <w:tcW w:w="2310" w:type="dxa"/>
          </w:tcPr>
          <w:p w14:paraId="76997A61" w14:textId="77777777" w:rsidR="00BC0E7E" w:rsidRPr="00BC0E7E" w:rsidRDefault="00BC0E7E" w:rsidP="00BC0E7E">
            <w:pPr>
              <w:keepNext/>
              <w:jc w:val="center"/>
            </w:pPr>
          </w:p>
        </w:tc>
      </w:tr>
      <w:tr w:rsidR="00C6578C" w14:paraId="66E85ED9" w14:textId="77777777" w:rsidTr="00171601">
        <w:tc>
          <w:tcPr>
            <w:tcW w:w="2750" w:type="dxa"/>
          </w:tcPr>
          <w:p w14:paraId="7C9A4025" w14:textId="77777777" w:rsidR="00BC0E7E" w:rsidRPr="00BC0E7E" w:rsidRDefault="00944B8F" w:rsidP="00BC0E7E">
            <w:pPr>
              <w:keepNext/>
            </w:pPr>
            <w:r w:rsidRPr="00BC0E7E">
              <w:t xml:space="preserve">             Week 2</w:t>
            </w:r>
          </w:p>
        </w:tc>
        <w:tc>
          <w:tcPr>
            <w:tcW w:w="2090" w:type="dxa"/>
          </w:tcPr>
          <w:p w14:paraId="449BBD8F" w14:textId="77777777" w:rsidR="00BC0E7E" w:rsidRPr="00BC0E7E" w:rsidRDefault="00944B8F" w:rsidP="00BC0E7E">
            <w:pPr>
              <w:keepNext/>
              <w:jc w:val="center"/>
            </w:pPr>
            <w:r w:rsidRPr="00BC0E7E">
              <w:t>3%</w:t>
            </w:r>
          </w:p>
        </w:tc>
        <w:tc>
          <w:tcPr>
            <w:tcW w:w="2310" w:type="dxa"/>
          </w:tcPr>
          <w:p w14:paraId="25C3E301" w14:textId="77777777" w:rsidR="00BC0E7E" w:rsidRPr="00BC0E7E" w:rsidRDefault="00944B8F" w:rsidP="00BC0E7E">
            <w:pPr>
              <w:keepNext/>
              <w:jc w:val="center"/>
            </w:pPr>
            <w:r w:rsidRPr="00BC0E7E">
              <w:t>16%***</w:t>
            </w:r>
          </w:p>
        </w:tc>
      </w:tr>
      <w:tr w:rsidR="00C6578C" w14:paraId="2262213B" w14:textId="77777777" w:rsidTr="00171601">
        <w:tc>
          <w:tcPr>
            <w:tcW w:w="2750" w:type="dxa"/>
          </w:tcPr>
          <w:p w14:paraId="7B8BA197" w14:textId="77777777" w:rsidR="00BC0E7E" w:rsidRPr="00BC0E7E" w:rsidRDefault="00944B8F" w:rsidP="00BC0E7E">
            <w:pPr>
              <w:keepNext/>
              <w:ind w:left="720"/>
            </w:pPr>
            <w:r w:rsidRPr="00BC0E7E">
              <w:t>Week 12</w:t>
            </w:r>
          </w:p>
        </w:tc>
        <w:tc>
          <w:tcPr>
            <w:tcW w:w="2090" w:type="dxa"/>
          </w:tcPr>
          <w:p w14:paraId="36C31A3D" w14:textId="77777777" w:rsidR="00BC0E7E" w:rsidRPr="00BC0E7E" w:rsidRDefault="00944B8F" w:rsidP="00BC0E7E">
            <w:pPr>
              <w:keepNext/>
              <w:jc w:val="center"/>
            </w:pPr>
            <w:r w:rsidRPr="00BC0E7E">
              <w:t>10%</w:t>
            </w:r>
          </w:p>
        </w:tc>
        <w:tc>
          <w:tcPr>
            <w:tcW w:w="2310" w:type="dxa"/>
          </w:tcPr>
          <w:p w14:paraId="75D25DB7" w14:textId="77777777" w:rsidR="00BC0E7E" w:rsidRPr="00BC0E7E" w:rsidRDefault="00944B8F" w:rsidP="00BC0E7E">
            <w:pPr>
              <w:keepNext/>
              <w:jc w:val="center"/>
            </w:pPr>
            <w:r w:rsidRPr="00BC0E7E">
              <w:t>38%***</w:t>
            </w:r>
          </w:p>
        </w:tc>
      </w:tr>
      <w:tr w:rsidR="00C6578C" w14:paraId="208E803E" w14:textId="77777777" w:rsidTr="00171601">
        <w:tc>
          <w:tcPr>
            <w:tcW w:w="2750" w:type="dxa"/>
          </w:tcPr>
          <w:p w14:paraId="29A18FB4" w14:textId="77777777" w:rsidR="00BC0E7E" w:rsidRPr="00BC0E7E" w:rsidRDefault="00944B8F" w:rsidP="00BC0E7E">
            <w:pPr>
              <w:keepNext/>
              <w:ind w:left="720"/>
            </w:pPr>
            <w:r w:rsidRPr="00BC0E7E">
              <w:t>Week 24</w:t>
            </w:r>
          </w:p>
        </w:tc>
        <w:tc>
          <w:tcPr>
            <w:tcW w:w="2090" w:type="dxa"/>
          </w:tcPr>
          <w:p w14:paraId="3612B9DE" w14:textId="77777777" w:rsidR="00BC0E7E" w:rsidRPr="00BC0E7E" w:rsidRDefault="00944B8F" w:rsidP="00BC0E7E">
            <w:pPr>
              <w:keepNext/>
              <w:jc w:val="center"/>
            </w:pPr>
            <w:r w:rsidRPr="00BC0E7E">
              <w:t>11%</w:t>
            </w:r>
          </w:p>
        </w:tc>
        <w:tc>
          <w:tcPr>
            <w:tcW w:w="2310" w:type="dxa"/>
          </w:tcPr>
          <w:p w14:paraId="07714C73" w14:textId="77777777" w:rsidR="00BC0E7E" w:rsidRPr="00BC0E7E" w:rsidRDefault="00944B8F" w:rsidP="00BC0E7E">
            <w:pPr>
              <w:keepNext/>
              <w:jc w:val="center"/>
            </w:pPr>
            <w:r w:rsidRPr="00BC0E7E">
              <w:t>35%***</w:t>
            </w:r>
          </w:p>
        </w:tc>
      </w:tr>
      <w:tr w:rsidR="00C6578C" w14:paraId="60FF7A98" w14:textId="77777777" w:rsidTr="00171601">
        <w:tc>
          <w:tcPr>
            <w:tcW w:w="2750" w:type="dxa"/>
          </w:tcPr>
          <w:p w14:paraId="15DA814D" w14:textId="77777777" w:rsidR="00BC0E7E" w:rsidRPr="00BC0E7E" w:rsidRDefault="00944B8F" w:rsidP="00BC0E7E">
            <w:pPr>
              <w:keepNext/>
            </w:pPr>
            <w:r w:rsidRPr="00BC0E7E">
              <w:t>ASAS 70</w:t>
            </w:r>
          </w:p>
        </w:tc>
        <w:tc>
          <w:tcPr>
            <w:tcW w:w="2090" w:type="dxa"/>
          </w:tcPr>
          <w:p w14:paraId="7A9F11FA" w14:textId="77777777" w:rsidR="00BC0E7E" w:rsidRPr="00BC0E7E" w:rsidRDefault="00BC0E7E" w:rsidP="00BC0E7E">
            <w:pPr>
              <w:keepNext/>
              <w:jc w:val="center"/>
            </w:pPr>
          </w:p>
        </w:tc>
        <w:tc>
          <w:tcPr>
            <w:tcW w:w="2310" w:type="dxa"/>
          </w:tcPr>
          <w:p w14:paraId="4381AE10" w14:textId="77777777" w:rsidR="00BC0E7E" w:rsidRPr="00BC0E7E" w:rsidRDefault="00BC0E7E" w:rsidP="00BC0E7E">
            <w:pPr>
              <w:keepNext/>
              <w:jc w:val="center"/>
            </w:pPr>
          </w:p>
        </w:tc>
      </w:tr>
      <w:tr w:rsidR="00C6578C" w14:paraId="7F111363" w14:textId="77777777" w:rsidTr="00171601">
        <w:tc>
          <w:tcPr>
            <w:tcW w:w="2750" w:type="dxa"/>
          </w:tcPr>
          <w:p w14:paraId="440F10CE" w14:textId="77777777" w:rsidR="00BC0E7E" w:rsidRPr="00BC0E7E" w:rsidRDefault="00944B8F" w:rsidP="00BC0E7E">
            <w:pPr>
              <w:keepNext/>
            </w:pPr>
            <w:r w:rsidRPr="00BC0E7E">
              <w:t xml:space="preserve">             Week 2</w:t>
            </w:r>
          </w:p>
        </w:tc>
        <w:tc>
          <w:tcPr>
            <w:tcW w:w="2090" w:type="dxa"/>
          </w:tcPr>
          <w:p w14:paraId="110484C8" w14:textId="77777777" w:rsidR="00BC0E7E" w:rsidRPr="00BC0E7E" w:rsidRDefault="00944B8F" w:rsidP="00BC0E7E">
            <w:pPr>
              <w:keepNext/>
              <w:jc w:val="center"/>
            </w:pPr>
            <w:r w:rsidRPr="00BC0E7E">
              <w:t>0%</w:t>
            </w:r>
          </w:p>
        </w:tc>
        <w:tc>
          <w:tcPr>
            <w:tcW w:w="2310" w:type="dxa"/>
          </w:tcPr>
          <w:p w14:paraId="7566AD3E" w14:textId="77777777" w:rsidR="00BC0E7E" w:rsidRPr="00BC0E7E" w:rsidRDefault="00944B8F" w:rsidP="00BC0E7E">
            <w:pPr>
              <w:keepNext/>
              <w:jc w:val="center"/>
            </w:pPr>
            <w:r w:rsidRPr="00BC0E7E">
              <w:t>7%**</w:t>
            </w:r>
          </w:p>
        </w:tc>
      </w:tr>
      <w:tr w:rsidR="00C6578C" w14:paraId="538DA333" w14:textId="77777777" w:rsidTr="00171601">
        <w:tc>
          <w:tcPr>
            <w:tcW w:w="2750" w:type="dxa"/>
          </w:tcPr>
          <w:p w14:paraId="4D21C482" w14:textId="77777777" w:rsidR="00BC0E7E" w:rsidRPr="00BC0E7E" w:rsidRDefault="00944B8F" w:rsidP="00BC0E7E">
            <w:pPr>
              <w:keepNext/>
              <w:ind w:left="720"/>
            </w:pPr>
            <w:r w:rsidRPr="00BC0E7E">
              <w:t>Week 12</w:t>
            </w:r>
          </w:p>
        </w:tc>
        <w:tc>
          <w:tcPr>
            <w:tcW w:w="2090" w:type="dxa"/>
          </w:tcPr>
          <w:p w14:paraId="237C9FB2" w14:textId="77777777" w:rsidR="00BC0E7E" w:rsidRPr="00BC0E7E" w:rsidRDefault="00944B8F" w:rsidP="00BC0E7E">
            <w:pPr>
              <w:keepNext/>
              <w:jc w:val="center"/>
            </w:pPr>
            <w:r w:rsidRPr="00BC0E7E">
              <w:t>5%</w:t>
            </w:r>
          </w:p>
        </w:tc>
        <w:tc>
          <w:tcPr>
            <w:tcW w:w="2310" w:type="dxa"/>
          </w:tcPr>
          <w:p w14:paraId="7F073BCA" w14:textId="77777777" w:rsidR="00BC0E7E" w:rsidRPr="00BC0E7E" w:rsidRDefault="00944B8F" w:rsidP="00BC0E7E">
            <w:pPr>
              <w:keepNext/>
              <w:jc w:val="center"/>
            </w:pPr>
            <w:r w:rsidRPr="00BC0E7E">
              <w:t>23%***</w:t>
            </w:r>
          </w:p>
        </w:tc>
      </w:tr>
      <w:tr w:rsidR="00C6578C" w14:paraId="49FBF97F" w14:textId="77777777" w:rsidTr="00171601">
        <w:tc>
          <w:tcPr>
            <w:tcW w:w="2750" w:type="dxa"/>
          </w:tcPr>
          <w:p w14:paraId="7BBACE3D" w14:textId="77777777" w:rsidR="00BC0E7E" w:rsidRPr="00BC0E7E" w:rsidRDefault="00944B8F" w:rsidP="00BC0E7E">
            <w:pPr>
              <w:keepNext/>
              <w:ind w:left="720"/>
            </w:pPr>
            <w:r w:rsidRPr="00BC0E7E">
              <w:t>Week 24</w:t>
            </w:r>
          </w:p>
        </w:tc>
        <w:tc>
          <w:tcPr>
            <w:tcW w:w="2090" w:type="dxa"/>
          </w:tcPr>
          <w:p w14:paraId="4886FDE2" w14:textId="77777777" w:rsidR="00BC0E7E" w:rsidRPr="00BC0E7E" w:rsidRDefault="00944B8F" w:rsidP="00BC0E7E">
            <w:pPr>
              <w:keepNext/>
              <w:jc w:val="center"/>
            </w:pPr>
            <w:r w:rsidRPr="00BC0E7E">
              <w:t>8%</w:t>
            </w:r>
          </w:p>
        </w:tc>
        <w:tc>
          <w:tcPr>
            <w:tcW w:w="2310" w:type="dxa"/>
          </w:tcPr>
          <w:p w14:paraId="7DC6AD86" w14:textId="77777777" w:rsidR="00BC0E7E" w:rsidRPr="00BC0E7E" w:rsidRDefault="00944B8F" w:rsidP="00BC0E7E">
            <w:pPr>
              <w:keepNext/>
              <w:jc w:val="center"/>
            </w:pPr>
            <w:r w:rsidRPr="00BC0E7E">
              <w:t>24%***</w:t>
            </w:r>
          </w:p>
        </w:tc>
      </w:tr>
      <w:tr w:rsidR="00C6578C" w14:paraId="4AF278CE" w14:textId="77777777" w:rsidTr="00171601">
        <w:tc>
          <w:tcPr>
            <w:tcW w:w="2750" w:type="dxa"/>
          </w:tcPr>
          <w:p w14:paraId="629F54E0" w14:textId="77777777" w:rsidR="00BC0E7E" w:rsidRPr="00BC0E7E" w:rsidRDefault="00BC0E7E" w:rsidP="00BC0E7E">
            <w:pPr>
              <w:keepNext/>
            </w:pPr>
          </w:p>
        </w:tc>
        <w:tc>
          <w:tcPr>
            <w:tcW w:w="2090" w:type="dxa"/>
          </w:tcPr>
          <w:p w14:paraId="15880A1E" w14:textId="77777777" w:rsidR="00BC0E7E" w:rsidRPr="00BC0E7E" w:rsidRDefault="00BC0E7E" w:rsidP="00BC0E7E">
            <w:pPr>
              <w:keepNext/>
              <w:jc w:val="center"/>
            </w:pPr>
          </w:p>
        </w:tc>
        <w:tc>
          <w:tcPr>
            <w:tcW w:w="2310" w:type="dxa"/>
          </w:tcPr>
          <w:p w14:paraId="1EF8D43A" w14:textId="77777777" w:rsidR="00BC0E7E" w:rsidRPr="00BC0E7E" w:rsidRDefault="00BC0E7E" w:rsidP="00BC0E7E">
            <w:pPr>
              <w:keepNext/>
              <w:jc w:val="center"/>
            </w:pPr>
          </w:p>
        </w:tc>
      </w:tr>
      <w:tr w:rsidR="00C6578C" w14:paraId="6E228C10" w14:textId="77777777" w:rsidTr="00171601">
        <w:tc>
          <w:tcPr>
            <w:tcW w:w="2750" w:type="dxa"/>
          </w:tcPr>
          <w:p w14:paraId="53115877" w14:textId="77777777" w:rsidR="00BC0E7E" w:rsidRPr="00BC0E7E" w:rsidRDefault="00944B8F" w:rsidP="00BC0E7E">
            <w:pPr>
              <w:keepNext/>
            </w:pPr>
            <w:r w:rsidRPr="00BC0E7E">
              <w:t>BASDAI</w:t>
            </w:r>
            <w:r w:rsidRPr="00BC0E7E">
              <w:rPr>
                <w:vertAlign w:val="superscript"/>
              </w:rPr>
              <w:t>b</w:t>
            </w:r>
            <w:r w:rsidRPr="00BC0E7E">
              <w:t xml:space="preserve"> 50 </w:t>
            </w:r>
          </w:p>
        </w:tc>
        <w:tc>
          <w:tcPr>
            <w:tcW w:w="2090" w:type="dxa"/>
          </w:tcPr>
          <w:p w14:paraId="5B7BC111" w14:textId="77777777" w:rsidR="00BC0E7E" w:rsidRPr="00BC0E7E" w:rsidRDefault="00BC0E7E" w:rsidP="00BC0E7E">
            <w:pPr>
              <w:keepNext/>
              <w:jc w:val="center"/>
            </w:pPr>
          </w:p>
        </w:tc>
        <w:tc>
          <w:tcPr>
            <w:tcW w:w="2310" w:type="dxa"/>
          </w:tcPr>
          <w:p w14:paraId="35AAA256" w14:textId="77777777" w:rsidR="00BC0E7E" w:rsidRPr="00BC0E7E" w:rsidRDefault="00BC0E7E" w:rsidP="00BC0E7E">
            <w:pPr>
              <w:keepNext/>
              <w:jc w:val="center"/>
            </w:pPr>
          </w:p>
        </w:tc>
      </w:tr>
      <w:tr w:rsidR="00C6578C" w14:paraId="7A65D87D" w14:textId="77777777" w:rsidTr="00171601">
        <w:tc>
          <w:tcPr>
            <w:tcW w:w="2750" w:type="dxa"/>
          </w:tcPr>
          <w:p w14:paraId="3E644550" w14:textId="77777777" w:rsidR="00BC0E7E" w:rsidRPr="00BC0E7E" w:rsidRDefault="00944B8F" w:rsidP="00BC0E7E">
            <w:pPr>
              <w:keepNext/>
            </w:pPr>
            <w:r w:rsidRPr="00BC0E7E">
              <w:t xml:space="preserve">             Week 2</w:t>
            </w:r>
          </w:p>
        </w:tc>
        <w:tc>
          <w:tcPr>
            <w:tcW w:w="2090" w:type="dxa"/>
          </w:tcPr>
          <w:p w14:paraId="27C3DF83" w14:textId="77777777" w:rsidR="00BC0E7E" w:rsidRPr="00BC0E7E" w:rsidRDefault="00944B8F" w:rsidP="00BC0E7E">
            <w:pPr>
              <w:keepNext/>
              <w:jc w:val="center"/>
            </w:pPr>
            <w:r w:rsidRPr="00BC0E7E">
              <w:t>4%</w:t>
            </w:r>
          </w:p>
        </w:tc>
        <w:tc>
          <w:tcPr>
            <w:tcW w:w="2310" w:type="dxa"/>
          </w:tcPr>
          <w:p w14:paraId="20626914" w14:textId="77777777" w:rsidR="00BC0E7E" w:rsidRPr="00BC0E7E" w:rsidRDefault="00944B8F" w:rsidP="00BC0E7E">
            <w:pPr>
              <w:keepNext/>
              <w:jc w:val="center"/>
            </w:pPr>
            <w:r w:rsidRPr="00BC0E7E">
              <w:t>20%***</w:t>
            </w:r>
          </w:p>
        </w:tc>
      </w:tr>
      <w:tr w:rsidR="00C6578C" w14:paraId="704F4C81" w14:textId="77777777" w:rsidTr="00171601">
        <w:tc>
          <w:tcPr>
            <w:tcW w:w="2750" w:type="dxa"/>
          </w:tcPr>
          <w:p w14:paraId="302F2467" w14:textId="77777777" w:rsidR="00BC0E7E" w:rsidRPr="00BC0E7E" w:rsidRDefault="00944B8F" w:rsidP="00BC0E7E">
            <w:pPr>
              <w:keepNext/>
              <w:ind w:left="720"/>
            </w:pPr>
            <w:r w:rsidRPr="00BC0E7E">
              <w:t xml:space="preserve">Week 12 </w:t>
            </w:r>
          </w:p>
        </w:tc>
        <w:tc>
          <w:tcPr>
            <w:tcW w:w="2090" w:type="dxa"/>
          </w:tcPr>
          <w:p w14:paraId="1B9459F6" w14:textId="77777777" w:rsidR="00BC0E7E" w:rsidRPr="00BC0E7E" w:rsidRDefault="00944B8F" w:rsidP="00BC0E7E">
            <w:pPr>
              <w:keepNext/>
              <w:jc w:val="center"/>
            </w:pPr>
            <w:r w:rsidRPr="00BC0E7E">
              <w:t>16%</w:t>
            </w:r>
          </w:p>
        </w:tc>
        <w:tc>
          <w:tcPr>
            <w:tcW w:w="2310" w:type="dxa"/>
          </w:tcPr>
          <w:p w14:paraId="254C0457" w14:textId="77777777" w:rsidR="00BC0E7E" w:rsidRPr="00BC0E7E" w:rsidRDefault="00944B8F" w:rsidP="00BC0E7E">
            <w:pPr>
              <w:keepNext/>
              <w:jc w:val="center"/>
            </w:pPr>
            <w:r w:rsidRPr="00BC0E7E">
              <w:t>45%***</w:t>
            </w:r>
          </w:p>
        </w:tc>
      </w:tr>
      <w:tr w:rsidR="00C6578C" w14:paraId="4CCEBCE5" w14:textId="77777777" w:rsidTr="00171601">
        <w:tc>
          <w:tcPr>
            <w:tcW w:w="2750" w:type="dxa"/>
          </w:tcPr>
          <w:p w14:paraId="2D36D4F8" w14:textId="77777777" w:rsidR="00BC0E7E" w:rsidRPr="00BC0E7E" w:rsidRDefault="00944B8F" w:rsidP="00BC0E7E">
            <w:pPr>
              <w:keepNext/>
              <w:ind w:left="720"/>
            </w:pPr>
            <w:r w:rsidRPr="00BC0E7E">
              <w:t xml:space="preserve">Week 24 </w:t>
            </w:r>
          </w:p>
        </w:tc>
        <w:tc>
          <w:tcPr>
            <w:tcW w:w="2090" w:type="dxa"/>
          </w:tcPr>
          <w:p w14:paraId="2B94FB59" w14:textId="77777777" w:rsidR="00BC0E7E" w:rsidRPr="00BC0E7E" w:rsidRDefault="00944B8F" w:rsidP="00BC0E7E">
            <w:pPr>
              <w:keepNext/>
              <w:jc w:val="center"/>
            </w:pPr>
            <w:r w:rsidRPr="00BC0E7E">
              <w:t>15%</w:t>
            </w:r>
          </w:p>
        </w:tc>
        <w:tc>
          <w:tcPr>
            <w:tcW w:w="2310" w:type="dxa"/>
          </w:tcPr>
          <w:p w14:paraId="0D7B433A" w14:textId="77777777" w:rsidR="00BC0E7E" w:rsidRPr="00BC0E7E" w:rsidRDefault="00944B8F" w:rsidP="00BC0E7E">
            <w:pPr>
              <w:keepNext/>
              <w:jc w:val="center"/>
            </w:pPr>
            <w:r w:rsidRPr="00BC0E7E">
              <w:t>42%***</w:t>
            </w:r>
          </w:p>
        </w:tc>
      </w:tr>
    </w:tbl>
    <w:p w14:paraId="32317934" w14:textId="77777777" w:rsidR="00BC0E7E" w:rsidRPr="00BC0E7E" w:rsidRDefault="00944B8F" w:rsidP="00BC0E7E">
      <w:pPr>
        <w:keepNext/>
        <w:tabs>
          <w:tab w:val="clear" w:pos="562"/>
        </w:tabs>
        <w:suppressAutoHyphens w:val="0"/>
        <w:overflowPunct w:val="0"/>
        <w:autoSpaceDE w:val="0"/>
        <w:autoSpaceDN w:val="0"/>
        <w:adjustRightInd w:val="0"/>
        <w:ind w:left="990"/>
        <w:textAlignment w:val="baseline"/>
        <w:rPr>
          <w:bCs/>
          <w:iCs/>
          <w:szCs w:val="20"/>
        </w:rPr>
      </w:pPr>
      <w:r w:rsidRPr="00BC0E7E">
        <w:rPr>
          <w:bCs/>
          <w:iCs/>
          <w:szCs w:val="20"/>
        </w:rPr>
        <w:t>***,** Statistically significant at p &lt; 0.001, &lt; 0.01 for all comparisons between Humira and placebo at Weeks 2, 12 and  24</w:t>
      </w:r>
    </w:p>
    <w:p w14:paraId="2F039BD4" w14:textId="77777777" w:rsidR="00BC0E7E" w:rsidRPr="00BC0E7E" w:rsidRDefault="00944B8F" w:rsidP="00BC0E7E">
      <w:pPr>
        <w:keepNext/>
        <w:tabs>
          <w:tab w:val="clear" w:pos="562"/>
        </w:tabs>
        <w:suppressAutoHyphens w:val="0"/>
        <w:autoSpaceDE w:val="0"/>
        <w:autoSpaceDN w:val="0"/>
        <w:adjustRightInd w:val="0"/>
        <w:ind w:left="990"/>
        <w:rPr>
          <w:szCs w:val="20"/>
        </w:rPr>
      </w:pPr>
      <w:r w:rsidRPr="00BC0E7E">
        <w:rPr>
          <w:vertAlign w:val="superscript"/>
        </w:rPr>
        <w:t>a</w:t>
      </w:r>
      <w:r w:rsidRPr="00BC0E7E">
        <w:t xml:space="preserve"> </w:t>
      </w:r>
      <w:r w:rsidRPr="00BC0E7E">
        <w:rPr>
          <w:szCs w:val="20"/>
        </w:rPr>
        <w:t>Assessments in Ankylosing Spondylitis</w:t>
      </w:r>
    </w:p>
    <w:p w14:paraId="387DE8FC" w14:textId="77777777" w:rsidR="00BC0E7E" w:rsidRPr="00BC0E7E" w:rsidRDefault="00944B8F" w:rsidP="00BC0E7E">
      <w:pPr>
        <w:keepNext/>
        <w:ind w:left="990"/>
        <w:rPr>
          <w:szCs w:val="20"/>
        </w:rPr>
      </w:pPr>
      <w:r w:rsidRPr="00BC0E7E">
        <w:rPr>
          <w:szCs w:val="20"/>
          <w:vertAlign w:val="superscript"/>
        </w:rPr>
        <w:t>b</w:t>
      </w:r>
      <w:r w:rsidRPr="00BC0E7E">
        <w:rPr>
          <w:szCs w:val="20"/>
        </w:rPr>
        <w:t xml:space="preserve"> Bath Ankylosing Spondylitis Disease Activity Index</w:t>
      </w:r>
    </w:p>
    <w:p w14:paraId="515FE4A3" w14:textId="77777777" w:rsidR="00BC0E7E" w:rsidRPr="00BC0E7E" w:rsidRDefault="00BC0E7E" w:rsidP="00BC0E7E">
      <w:pPr>
        <w:rPr>
          <w:szCs w:val="20"/>
        </w:rPr>
      </w:pPr>
    </w:p>
    <w:p w14:paraId="66D319EE" w14:textId="77777777" w:rsidR="00BC0E7E" w:rsidRPr="00BC0E7E" w:rsidRDefault="00944B8F" w:rsidP="00BC0E7E">
      <w:pPr>
        <w:rPr>
          <w:szCs w:val="20"/>
        </w:rPr>
      </w:pPr>
      <w:r w:rsidRPr="00BC0E7E">
        <w:rPr>
          <w:szCs w:val="20"/>
        </w:rPr>
        <w:t>Humira treated patients had significantly greater improvement at Week 12 which was maintained through Week 24 in both the SF36 and Ankylosing Spondylitis Quality of Life Questionnaire (ASQoL).</w:t>
      </w:r>
    </w:p>
    <w:p w14:paraId="4B969BB3" w14:textId="77777777" w:rsidR="00BC0E7E" w:rsidRPr="00BC0E7E" w:rsidRDefault="00BC0E7E" w:rsidP="00BC0E7E">
      <w:pPr>
        <w:rPr>
          <w:szCs w:val="20"/>
        </w:rPr>
      </w:pPr>
    </w:p>
    <w:p w14:paraId="6BDFEC81" w14:textId="77777777" w:rsidR="00BC0E7E" w:rsidRPr="00BC0E7E" w:rsidRDefault="00944B8F" w:rsidP="00BC0E7E">
      <w:pPr>
        <w:rPr>
          <w:szCs w:val="20"/>
        </w:rPr>
      </w:pPr>
      <w:r w:rsidRPr="00BC0E7E">
        <w:rPr>
          <w:szCs w:val="20"/>
        </w:rPr>
        <w:t>Similar trends (not all statistically significant) were seen in the smaller randomised, double − blind, placebo controlled AS study II of 82 adult patients with active ankylosing spondylitis.</w:t>
      </w:r>
    </w:p>
    <w:p w14:paraId="0880FFD6" w14:textId="77777777" w:rsidR="00BC0E7E" w:rsidRPr="00BC0E7E" w:rsidRDefault="00BC0E7E" w:rsidP="00BC0E7E">
      <w:pPr>
        <w:rPr>
          <w:szCs w:val="20"/>
        </w:rPr>
      </w:pPr>
    </w:p>
    <w:p w14:paraId="57E368AB" w14:textId="77777777" w:rsidR="00BC0E7E" w:rsidRPr="00BC0E7E" w:rsidRDefault="00944B8F" w:rsidP="00BC0E7E">
      <w:pPr>
        <w:rPr>
          <w:i/>
          <w:szCs w:val="20"/>
          <w:u w:val="single"/>
        </w:rPr>
      </w:pPr>
      <w:r w:rsidRPr="00BC0E7E">
        <w:rPr>
          <w:i/>
          <w:szCs w:val="20"/>
          <w:u w:val="single"/>
        </w:rPr>
        <w:t>Axial spondyloarthritis without radiographic evidence of AS</w:t>
      </w:r>
    </w:p>
    <w:p w14:paraId="4A333D3D" w14:textId="77777777" w:rsidR="00BC0E7E" w:rsidRPr="00BC0E7E" w:rsidRDefault="00BC0E7E" w:rsidP="00BC0E7E">
      <w:pPr>
        <w:rPr>
          <w:szCs w:val="20"/>
          <w:u w:val="single"/>
        </w:rPr>
      </w:pPr>
    </w:p>
    <w:p w14:paraId="2AC13430" w14:textId="77777777" w:rsidR="00F676CB" w:rsidRDefault="00944B8F" w:rsidP="00F676CB">
      <w:pPr>
        <w:pStyle w:val="EMEANormal"/>
      </w:pPr>
      <w:r w:rsidRPr="70D4D675">
        <w:rPr>
          <w:lang w:val="en-GB"/>
        </w:rPr>
        <w:t xml:space="preserve">The safety and efficacy of Humira were assessed in two randomized, double-blind placebo controlled studies in patients with non-radiographic axial spondyloarthritis (nr-axSpA). Study nr-axSpA I evaluated patients with active nr-axSpA. Study nr-axSpA II was a treatment withdrawal study in </w:t>
      </w:r>
      <w:r w:rsidR="007E4268" w:rsidRPr="70D4D675">
        <w:rPr>
          <w:lang w:val="en-GB"/>
        </w:rPr>
        <w:t xml:space="preserve">active </w:t>
      </w:r>
      <w:r w:rsidRPr="70D4D675">
        <w:rPr>
          <w:lang w:val="en-GB"/>
        </w:rPr>
        <w:t>nr-axSpA patients who achieved remission during open-label treatment with Humira.</w:t>
      </w:r>
    </w:p>
    <w:p w14:paraId="50FBE5E9" w14:textId="77777777" w:rsidR="00F676CB" w:rsidRDefault="00F676CB" w:rsidP="00F676CB">
      <w:pPr>
        <w:pStyle w:val="EMEANormal"/>
      </w:pPr>
    </w:p>
    <w:p w14:paraId="6AAFF8A1" w14:textId="77777777" w:rsidR="00F676CB" w:rsidRDefault="00944B8F" w:rsidP="008851C8">
      <w:pPr>
        <w:keepNext/>
      </w:pPr>
      <w:r>
        <w:t>Study nr-axSpA I</w:t>
      </w:r>
    </w:p>
    <w:p w14:paraId="7BE22249" w14:textId="77777777" w:rsidR="00F676CB" w:rsidRDefault="00F676CB" w:rsidP="008851C8">
      <w:pPr>
        <w:keepNext/>
        <w:rPr>
          <w:szCs w:val="20"/>
        </w:rPr>
      </w:pPr>
    </w:p>
    <w:p w14:paraId="2D4A36A4" w14:textId="77777777" w:rsidR="00BC0E7E" w:rsidRPr="00BC0E7E" w:rsidRDefault="00944B8F" w:rsidP="008851C8">
      <w:pPr>
        <w:keepNext/>
        <w:rPr>
          <w:szCs w:val="20"/>
        </w:rPr>
      </w:pPr>
      <w:r>
        <w:t xml:space="preserve">In Study nr-axSpA I, </w:t>
      </w:r>
      <w:r w:rsidRPr="00BC0E7E">
        <w:rPr>
          <w:szCs w:val="20"/>
        </w:rPr>
        <w:t xml:space="preserve">Humira 40 mg every other week was assessed in 185 patients in </w:t>
      </w:r>
      <w:r>
        <w:rPr>
          <w:szCs w:val="20"/>
        </w:rPr>
        <w:t>a</w:t>
      </w:r>
      <w:r w:rsidRPr="00BC0E7E">
        <w:rPr>
          <w:szCs w:val="20"/>
        </w:rPr>
        <w:t xml:space="preserve"> randomised, 12 week double - blind, placebo - controlled study in patients with active </w:t>
      </w:r>
      <w:r>
        <w:rPr>
          <w:szCs w:val="20"/>
        </w:rPr>
        <w:t>nr-axSpA</w:t>
      </w:r>
      <w:r w:rsidRPr="00BC0E7E">
        <w:rPr>
          <w:szCs w:val="20"/>
        </w:rPr>
        <w:t xml:space="preserve"> (mean baseline score of disease activity [Bath Ankylosing Spondylitis Disease Activity Index (BASDAI)] was 6.4 for patients </w:t>
      </w:r>
      <w:r w:rsidRPr="00BC0E7E">
        <w:rPr>
          <w:szCs w:val="20"/>
        </w:rPr>
        <w:lastRenderedPageBreak/>
        <w:t xml:space="preserve">treated with Humira and 6.5 for those on placebo) who have had an inadequate response to or intolerance to </w:t>
      </w:r>
      <w:r w:rsidRPr="00BC0E7E">
        <w:rPr>
          <w:rFonts w:ascii="Symbol" w:eastAsia="Symbol" w:hAnsi="Symbol" w:cs="Symbol"/>
          <w:szCs w:val="22"/>
        </w:rPr>
        <w:sym w:font="Symbol" w:char="F0B3"/>
      </w:r>
      <w:r w:rsidRPr="00BC0E7E">
        <w:rPr>
          <w:szCs w:val="20"/>
        </w:rPr>
        <w:t xml:space="preserve"> 1 NSAIDs, or a contraindication for NSAIDs.</w:t>
      </w:r>
    </w:p>
    <w:p w14:paraId="131F0F9E" w14:textId="77777777" w:rsidR="00BC0E7E" w:rsidRPr="00BC0E7E" w:rsidRDefault="00BC0E7E" w:rsidP="00BC0E7E">
      <w:pPr>
        <w:rPr>
          <w:szCs w:val="20"/>
        </w:rPr>
      </w:pPr>
    </w:p>
    <w:p w14:paraId="29A6D24D" w14:textId="77777777" w:rsidR="00BC0E7E" w:rsidRPr="00BC0E7E" w:rsidRDefault="00944B8F" w:rsidP="00BC0E7E">
      <w:pPr>
        <w:rPr>
          <w:szCs w:val="20"/>
        </w:rPr>
      </w:pPr>
      <w:r w:rsidRPr="00BC0E7E">
        <w:rPr>
          <w:szCs w:val="20"/>
        </w:rPr>
        <w:t xml:space="preserve">Thirty-three (18%)  patients were treated concomitantly with disease modifying anti-rheumatic drugs, and 146 (79%) patients with NSAIDs at baseline. The double-blind period was followed by an open-label period during which patients receive Humira 40 mg every other week subcutaneously for up to an additional 144 weeks. Week 12 results showed statistically significant improvement of the signs and symptoms of active </w:t>
      </w:r>
      <w:r w:rsidR="00F676CB">
        <w:rPr>
          <w:szCs w:val="20"/>
        </w:rPr>
        <w:t>nr-axSpA</w:t>
      </w:r>
      <w:r w:rsidR="00F676CB" w:rsidRPr="00BC0E7E">
        <w:rPr>
          <w:szCs w:val="20"/>
        </w:rPr>
        <w:t xml:space="preserve"> </w:t>
      </w:r>
      <w:r w:rsidRPr="00BC0E7E">
        <w:rPr>
          <w:szCs w:val="20"/>
        </w:rPr>
        <w:t xml:space="preserve">in patients treated with Humira compared to placebo (Table </w:t>
      </w:r>
      <w:r w:rsidR="006876B3">
        <w:rPr>
          <w:szCs w:val="20"/>
        </w:rPr>
        <w:t>1</w:t>
      </w:r>
      <w:r w:rsidR="00614ABC">
        <w:rPr>
          <w:szCs w:val="20"/>
        </w:rPr>
        <w:t>3</w:t>
      </w:r>
      <w:r w:rsidRPr="00BC0E7E">
        <w:rPr>
          <w:szCs w:val="20"/>
        </w:rPr>
        <w:t>).</w:t>
      </w:r>
    </w:p>
    <w:p w14:paraId="7FDEACC2" w14:textId="77777777" w:rsidR="00BC0E7E" w:rsidRPr="00BC0E7E" w:rsidRDefault="00BC0E7E" w:rsidP="00BC0E7E">
      <w:pPr>
        <w:rPr>
          <w:szCs w:val="20"/>
        </w:rPr>
      </w:pPr>
    </w:p>
    <w:p w14:paraId="1C96980C" w14:textId="77777777" w:rsidR="00BC0E7E" w:rsidRPr="008F4FD5" w:rsidRDefault="00944B8F" w:rsidP="008851C8">
      <w:pPr>
        <w:jc w:val="center"/>
        <w:rPr>
          <w:szCs w:val="20"/>
        </w:rPr>
      </w:pPr>
      <w:r w:rsidRPr="00BC0E7E">
        <w:rPr>
          <w:b/>
          <w:szCs w:val="20"/>
        </w:rPr>
        <w:t xml:space="preserve">Table </w:t>
      </w:r>
      <w:r w:rsidR="006876B3">
        <w:rPr>
          <w:b/>
          <w:szCs w:val="20"/>
        </w:rPr>
        <w:t>1</w:t>
      </w:r>
      <w:r w:rsidR="00614ABC">
        <w:rPr>
          <w:b/>
          <w:szCs w:val="20"/>
        </w:rPr>
        <w:t>3</w:t>
      </w:r>
    </w:p>
    <w:p w14:paraId="5853CAB7" w14:textId="77777777" w:rsidR="00BC0E7E" w:rsidRPr="008F4FD5" w:rsidRDefault="00944B8F" w:rsidP="008851C8">
      <w:pPr>
        <w:jc w:val="center"/>
        <w:rPr>
          <w:szCs w:val="20"/>
        </w:rPr>
      </w:pPr>
      <w:r w:rsidRPr="00BC0E7E">
        <w:rPr>
          <w:b/>
          <w:szCs w:val="20"/>
        </w:rPr>
        <w:t>Efficacy Response in Placebo-Controlled Study</w:t>
      </w:r>
      <w:r w:rsidR="007D702C">
        <w:rPr>
          <w:b/>
          <w:szCs w:val="20"/>
        </w:rPr>
        <w:t xml:space="preserve"> </w:t>
      </w:r>
      <w:r w:rsidR="00F676CB">
        <w:rPr>
          <w:b/>
          <w:szCs w:val="20"/>
        </w:rPr>
        <w:t>nr-axSpA I</w:t>
      </w:r>
    </w:p>
    <w:p w14:paraId="2194BDD3" w14:textId="77777777" w:rsidR="00BC0E7E" w:rsidRPr="008F4FD5" w:rsidRDefault="00BC0E7E" w:rsidP="008851C8">
      <w:pPr>
        <w:rPr>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2"/>
        <w:gridCol w:w="1752"/>
        <w:gridCol w:w="1984"/>
      </w:tblGrid>
      <w:tr w:rsidR="00C6578C" w14:paraId="6CA62710" w14:textId="77777777" w:rsidTr="00171601">
        <w:trPr>
          <w:jc w:val="center"/>
        </w:trPr>
        <w:tc>
          <w:tcPr>
            <w:tcW w:w="0" w:type="auto"/>
          </w:tcPr>
          <w:p w14:paraId="62431E58" w14:textId="77777777" w:rsidR="00BC0E7E" w:rsidRPr="00BC0E7E" w:rsidRDefault="00944B8F" w:rsidP="008851C8">
            <w:pPr>
              <w:rPr>
                <w:b/>
                <w:bCs/>
              </w:rPr>
            </w:pPr>
            <w:r w:rsidRPr="00BC0E7E">
              <w:rPr>
                <w:b/>
                <w:bCs/>
              </w:rPr>
              <w:t>Double-Blind</w:t>
            </w:r>
          </w:p>
          <w:p w14:paraId="43EFF5E1" w14:textId="77777777" w:rsidR="00BC0E7E" w:rsidRPr="00BC0E7E" w:rsidRDefault="00944B8F" w:rsidP="008851C8">
            <w:pPr>
              <w:rPr>
                <w:b/>
                <w:bCs/>
              </w:rPr>
            </w:pPr>
            <w:r w:rsidRPr="00BC0E7E">
              <w:rPr>
                <w:b/>
                <w:bCs/>
              </w:rPr>
              <w:t>Response at Week 12</w:t>
            </w:r>
          </w:p>
        </w:tc>
        <w:tc>
          <w:tcPr>
            <w:tcW w:w="0" w:type="auto"/>
          </w:tcPr>
          <w:p w14:paraId="67B87F65" w14:textId="77777777" w:rsidR="00BC0E7E" w:rsidRPr="00BC0E7E" w:rsidRDefault="00944B8F" w:rsidP="008851C8">
            <w:pPr>
              <w:jc w:val="center"/>
              <w:rPr>
                <w:b/>
                <w:bCs/>
                <w:sz w:val="20"/>
                <w:szCs w:val="20"/>
                <w:lang w:val="fr-FR"/>
              </w:rPr>
            </w:pPr>
            <w:r w:rsidRPr="00BC0E7E">
              <w:rPr>
                <w:b/>
                <w:bCs/>
                <w:sz w:val="20"/>
                <w:szCs w:val="20"/>
                <w:lang w:val="fr-FR"/>
              </w:rPr>
              <w:t>Placebo</w:t>
            </w:r>
          </w:p>
          <w:p w14:paraId="2BFC2A8C" w14:textId="77777777" w:rsidR="00BC0E7E" w:rsidRPr="00BC0E7E" w:rsidRDefault="00944B8F" w:rsidP="008851C8">
            <w:pPr>
              <w:jc w:val="center"/>
              <w:rPr>
                <w:b/>
                <w:bCs/>
                <w:sz w:val="20"/>
                <w:szCs w:val="20"/>
                <w:lang w:val="fr-FR"/>
              </w:rPr>
            </w:pPr>
            <w:r w:rsidRPr="00BC0E7E">
              <w:rPr>
                <w:b/>
                <w:bCs/>
                <w:sz w:val="20"/>
                <w:szCs w:val="20"/>
                <w:lang w:val="fr-FR"/>
              </w:rPr>
              <w:t>N=94</w:t>
            </w:r>
          </w:p>
        </w:tc>
        <w:tc>
          <w:tcPr>
            <w:tcW w:w="0" w:type="auto"/>
          </w:tcPr>
          <w:p w14:paraId="03F90312" w14:textId="77777777" w:rsidR="00BC0E7E" w:rsidRPr="00BC0E7E" w:rsidRDefault="00944B8F" w:rsidP="008851C8">
            <w:pPr>
              <w:jc w:val="center"/>
              <w:rPr>
                <w:b/>
                <w:bCs/>
                <w:sz w:val="20"/>
                <w:szCs w:val="20"/>
                <w:lang w:val="fr-FR"/>
              </w:rPr>
            </w:pPr>
            <w:r w:rsidRPr="00BC0E7E">
              <w:rPr>
                <w:b/>
                <w:bCs/>
                <w:sz w:val="20"/>
                <w:szCs w:val="20"/>
                <w:lang w:val="fr-FR"/>
              </w:rPr>
              <w:t>Humira</w:t>
            </w:r>
          </w:p>
          <w:p w14:paraId="02F78496" w14:textId="77777777" w:rsidR="00BC0E7E" w:rsidRPr="00BC0E7E" w:rsidRDefault="00944B8F" w:rsidP="008851C8">
            <w:pPr>
              <w:jc w:val="center"/>
              <w:rPr>
                <w:b/>
                <w:bCs/>
                <w:sz w:val="20"/>
                <w:szCs w:val="20"/>
                <w:lang w:val="fr-FR"/>
              </w:rPr>
            </w:pPr>
            <w:r w:rsidRPr="00BC0E7E">
              <w:rPr>
                <w:b/>
                <w:bCs/>
                <w:sz w:val="20"/>
                <w:szCs w:val="20"/>
              </w:rPr>
              <w:t>N=91</w:t>
            </w:r>
          </w:p>
        </w:tc>
      </w:tr>
      <w:tr w:rsidR="00C6578C" w14:paraId="16116D96" w14:textId="77777777" w:rsidTr="00171601">
        <w:trPr>
          <w:jc w:val="center"/>
        </w:trPr>
        <w:tc>
          <w:tcPr>
            <w:tcW w:w="0" w:type="auto"/>
          </w:tcPr>
          <w:p w14:paraId="3D356FF9" w14:textId="77777777" w:rsidR="00BC0E7E" w:rsidRPr="00BC0E7E" w:rsidRDefault="00944B8F" w:rsidP="008851C8">
            <w:r w:rsidRPr="00BC0E7E">
              <w:t>ASAS</w:t>
            </w:r>
            <w:r w:rsidRPr="00BC0E7E">
              <w:rPr>
                <w:vertAlign w:val="superscript"/>
              </w:rPr>
              <w:t>a</w:t>
            </w:r>
            <w:r w:rsidRPr="00BC0E7E">
              <w:t xml:space="preserve"> 40</w:t>
            </w:r>
          </w:p>
        </w:tc>
        <w:tc>
          <w:tcPr>
            <w:tcW w:w="0" w:type="auto"/>
          </w:tcPr>
          <w:p w14:paraId="4615883C" w14:textId="77777777" w:rsidR="00BC0E7E" w:rsidRPr="00BC0E7E" w:rsidRDefault="00944B8F" w:rsidP="008851C8">
            <w:pPr>
              <w:jc w:val="center"/>
            </w:pPr>
            <w:r w:rsidRPr="00BC0E7E">
              <w:t>15%</w:t>
            </w:r>
          </w:p>
        </w:tc>
        <w:tc>
          <w:tcPr>
            <w:tcW w:w="0" w:type="auto"/>
          </w:tcPr>
          <w:p w14:paraId="43184B66" w14:textId="77777777" w:rsidR="00BC0E7E" w:rsidRPr="00BC0E7E" w:rsidRDefault="00944B8F" w:rsidP="008851C8">
            <w:pPr>
              <w:jc w:val="center"/>
            </w:pPr>
            <w:r w:rsidRPr="00BC0E7E">
              <w:t>36%***</w:t>
            </w:r>
          </w:p>
        </w:tc>
      </w:tr>
      <w:tr w:rsidR="00C6578C" w14:paraId="540B9B38" w14:textId="77777777" w:rsidTr="00171601">
        <w:trPr>
          <w:jc w:val="center"/>
        </w:trPr>
        <w:tc>
          <w:tcPr>
            <w:tcW w:w="0" w:type="auto"/>
          </w:tcPr>
          <w:p w14:paraId="35A5CBB0" w14:textId="77777777" w:rsidR="00BC0E7E" w:rsidRPr="00BC0E7E" w:rsidRDefault="00944B8F" w:rsidP="008851C8">
            <w:r w:rsidRPr="00BC0E7E">
              <w:t>ASAS 20</w:t>
            </w:r>
          </w:p>
        </w:tc>
        <w:tc>
          <w:tcPr>
            <w:tcW w:w="0" w:type="auto"/>
          </w:tcPr>
          <w:p w14:paraId="3484019E" w14:textId="77777777" w:rsidR="00BC0E7E" w:rsidRPr="00BC0E7E" w:rsidRDefault="00944B8F" w:rsidP="008851C8">
            <w:pPr>
              <w:jc w:val="center"/>
            </w:pPr>
            <w:r w:rsidRPr="00BC0E7E">
              <w:t>31%</w:t>
            </w:r>
          </w:p>
        </w:tc>
        <w:tc>
          <w:tcPr>
            <w:tcW w:w="0" w:type="auto"/>
          </w:tcPr>
          <w:p w14:paraId="473EECB4" w14:textId="77777777" w:rsidR="00BC0E7E" w:rsidRPr="00BC0E7E" w:rsidRDefault="00944B8F" w:rsidP="008851C8">
            <w:pPr>
              <w:jc w:val="center"/>
            </w:pPr>
            <w:r w:rsidRPr="00BC0E7E">
              <w:t>52%**</w:t>
            </w:r>
          </w:p>
        </w:tc>
      </w:tr>
      <w:tr w:rsidR="00C6578C" w14:paraId="15CB95E8" w14:textId="77777777" w:rsidTr="00171601">
        <w:trPr>
          <w:jc w:val="center"/>
        </w:trPr>
        <w:tc>
          <w:tcPr>
            <w:tcW w:w="0" w:type="auto"/>
          </w:tcPr>
          <w:p w14:paraId="5C4E8769" w14:textId="77777777" w:rsidR="00BC0E7E" w:rsidRPr="00BC0E7E" w:rsidRDefault="00944B8F" w:rsidP="008851C8">
            <w:r w:rsidRPr="00BC0E7E">
              <w:t>ASAS 5/6</w:t>
            </w:r>
          </w:p>
        </w:tc>
        <w:tc>
          <w:tcPr>
            <w:tcW w:w="0" w:type="auto"/>
          </w:tcPr>
          <w:p w14:paraId="4BADBFB4" w14:textId="77777777" w:rsidR="00BC0E7E" w:rsidRPr="00BC0E7E" w:rsidRDefault="00944B8F" w:rsidP="008851C8">
            <w:pPr>
              <w:jc w:val="center"/>
            </w:pPr>
            <w:r w:rsidRPr="00BC0E7E">
              <w:t>6%</w:t>
            </w:r>
          </w:p>
        </w:tc>
        <w:tc>
          <w:tcPr>
            <w:tcW w:w="0" w:type="auto"/>
          </w:tcPr>
          <w:p w14:paraId="63A04031" w14:textId="77777777" w:rsidR="00BC0E7E" w:rsidRPr="00BC0E7E" w:rsidRDefault="00944B8F" w:rsidP="008851C8">
            <w:pPr>
              <w:jc w:val="center"/>
            </w:pPr>
            <w:r w:rsidRPr="00BC0E7E">
              <w:t>31%***</w:t>
            </w:r>
          </w:p>
        </w:tc>
      </w:tr>
      <w:tr w:rsidR="00C6578C" w14:paraId="34BC402F" w14:textId="77777777" w:rsidTr="00171601">
        <w:trPr>
          <w:jc w:val="center"/>
        </w:trPr>
        <w:tc>
          <w:tcPr>
            <w:tcW w:w="0" w:type="auto"/>
          </w:tcPr>
          <w:p w14:paraId="3E42B3A8" w14:textId="77777777" w:rsidR="00BC0E7E" w:rsidRPr="00BC0E7E" w:rsidRDefault="00944B8F" w:rsidP="008851C8">
            <w:r w:rsidRPr="00BC0E7E">
              <w:t>ASAS Partial Remission</w:t>
            </w:r>
          </w:p>
        </w:tc>
        <w:tc>
          <w:tcPr>
            <w:tcW w:w="0" w:type="auto"/>
          </w:tcPr>
          <w:p w14:paraId="1FF30DB9" w14:textId="77777777" w:rsidR="00BC0E7E" w:rsidRPr="00BC0E7E" w:rsidRDefault="00944B8F" w:rsidP="008851C8">
            <w:pPr>
              <w:jc w:val="center"/>
            </w:pPr>
            <w:r w:rsidRPr="00BC0E7E">
              <w:t>5%</w:t>
            </w:r>
          </w:p>
        </w:tc>
        <w:tc>
          <w:tcPr>
            <w:tcW w:w="0" w:type="auto"/>
          </w:tcPr>
          <w:p w14:paraId="4A6235F1" w14:textId="77777777" w:rsidR="00BC0E7E" w:rsidRPr="00BC0E7E" w:rsidRDefault="00944B8F" w:rsidP="008851C8">
            <w:pPr>
              <w:jc w:val="center"/>
            </w:pPr>
            <w:r w:rsidRPr="00BC0E7E">
              <w:t xml:space="preserve">  16%*</w:t>
            </w:r>
          </w:p>
        </w:tc>
      </w:tr>
      <w:tr w:rsidR="00C6578C" w14:paraId="388612B7" w14:textId="77777777" w:rsidTr="00171601">
        <w:trPr>
          <w:jc w:val="center"/>
        </w:trPr>
        <w:tc>
          <w:tcPr>
            <w:tcW w:w="0" w:type="auto"/>
          </w:tcPr>
          <w:p w14:paraId="34F7188D" w14:textId="77777777" w:rsidR="00BC0E7E" w:rsidRPr="00BC0E7E" w:rsidRDefault="00944B8F" w:rsidP="008851C8">
            <w:r w:rsidRPr="00BC0E7E">
              <w:t>BASDAI</w:t>
            </w:r>
            <w:r w:rsidRPr="00BC0E7E">
              <w:rPr>
                <w:vertAlign w:val="superscript"/>
              </w:rPr>
              <w:t>b</w:t>
            </w:r>
            <w:r w:rsidRPr="00BC0E7E">
              <w:t xml:space="preserve"> 50</w:t>
            </w:r>
          </w:p>
        </w:tc>
        <w:tc>
          <w:tcPr>
            <w:tcW w:w="0" w:type="auto"/>
          </w:tcPr>
          <w:p w14:paraId="0675AC06" w14:textId="77777777" w:rsidR="00BC0E7E" w:rsidRPr="00BC0E7E" w:rsidRDefault="00944B8F" w:rsidP="008851C8">
            <w:pPr>
              <w:jc w:val="center"/>
            </w:pPr>
            <w:r w:rsidRPr="00BC0E7E">
              <w:t>15%</w:t>
            </w:r>
          </w:p>
        </w:tc>
        <w:tc>
          <w:tcPr>
            <w:tcW w:w="0" w:type="auto"/>
          </w:tcPr>
          <w:p w14:paraId="6B550AA3" w14:textId="77777777" w:rsidR="00BC0E7E" w:rsidRPr="00BC0E7E" w:rsidRDefault="00944B8F" w:rsidP="008851C8">
            <w:pPr>
              <w:jc w:val="center"/>
            </w:pPr>
            <w:r w:rsidRPr="00BC0E7E">
              <w:t xml:space="preserve">   35%**</w:t>
            </w:r>
          </w:p>
        </w:tc>
      </w:tr>
      <w:tr w:rsidR="00C6578C" w14:paraId="07CC467F" w14:textId="77777777" w:rsidTr="00171601">
        <w:trPr>
          <w:jc w:val="center"/>
        </w:trPr>
        <w:tc>
          <w:tcPr>
            <w:tcW w:w="0" w:type="auto"/>
          </w:tcPr>
          <w:p w14:paraId="0A88C7EE" w14:textId="77777777" w:rsidR="00BC0E7E" w:rsidRPr="00BC0E7E" w:rsidRDefault="00944B8F" w:rsidP="008851C8">
            <w:pPr>
              <w:rPr>
                <w:vertAlign w:val="superscript"/>
              </w:rPr>
            </w:pPr>
            <w:r w:rsidRPr="00BC0E7E">
              <w:t>ASDAS</w:t>
            </w:r>
            <w:r w:rsidRPr="00BC0E7E">
              <w:rPr>
                <w:vertAlign w:val="superscript"/>
              </w:rPr>
              <w:t>c,d,e</w:t>
            </w:r>
          </w:p>
        </w:tc>
        <w:tc>
          <w:tcPr>
            <w:tcW w:w="0" w:type="auto"/>
          </w:tcPr>
          <w:p w14:paraId="3C6AB9F2" w14:textId="77777777" w:rsidR="00BC0E7E" w:rsidRPr="00BC0E7E" w:rsidRDefault="00944B8F" w:rsidP="008851C8">
            <w:pPr>
              <w:jc w:val="center"/>
            </w:pPr>
            <w:r w:rsidRPr="00BC0E7E">
              <w:t>-0.3</w:t>
            </w:r>
          </w:p>
        </w:tc>
        <w:tc>
          <w:tcPr>
            <w:tcW w:w="0" w:type="auto"/>
          </w:tcPr>
          <w:p w14:paraId="656C5380" w14:textId="77777777" w:rsidR="00BC0E7E" w:rsidRPr="00BC0E7E" w:rsidRDefault="00944B8F" w:rsidP="008851C8">
            <w:pPr>
              <w:jc w:val="center"/>
            </w:pPr>
            <w:r w:rsidRPr="00BC0E7E">
              <w:t>-1.0***</w:t>
            </w:r>
          </w:p>
        </w:tc>
      </w:tr>
      <w:tr w:rsidR="00C6578C" w14:paraId="6396EABE" w14:textId="77777777" w:rsidTr="00171601">
        <w:trPr>
          <w:jc w:val="center"/>
        </w:trPr>
        <w:tc>
          <w:tcPr>
            <w:tcW w:w="0" w:type="auto"/>
          </w:tcPr>
          <w:p w14:paraId="42B92651" w14:textId="77777777" w:rsidR="00BC0E7E" w:rsidRPr="00BC0E7E" w:rsidRDefault="00944B8F" w:rsidP="008851C8">
            <w:r w:rsidRPr="00BC0E7E">
              <w:t>ASDAS Inactive Disease</w:t>
            </w:r>
          </w:p>
        </w:tc>
        <w:tc>
          <w:tcPr>
            <w:tcW w:w="0" w:type="auto"/>
          </w:tcPr>
          <w:p w14:paraId="53FFC365" w14:textId="77777777" w:rsidR="00BC0E7E" w:rsidRPr="00BC0E7E" w:rsidRDefault="00944B8F" w:rsidP="008851C8">
            <w:pPr>
              <w:jc w:val="center"/>
            </w:pPr>
            <w:r w:rsidRPr="00BC0E7E">
              <w:t>4%</w:t>
            </w:r>
          </w:p>
        </w:tc>
        <w:tc>
          <w:tcPr>
            <w:tcW w:w="0" w:type="auto"/>
          </w:tcPr>
          <w:p w14:paraId="15F7EEF5" w14:textId="77777777" w:rsidR="00BC0E7E" w:rsidRPr="00BC0E7E" w:rsidRDefault="00944B8F" w:rsidP="008851C8">
            <w:pPr>
              <w:jc w:val="center"/>
            </w:pPr>
            <w:r w:rsidRPr="00BC0E7E">
              <w:t>24%***</w:t>
            </w:r>
          </w:p>
        </w:tc>
      </w:tr>
      <w:tr w:rsidR="00C6578C" w14:paraId="03C651AC" w14:textId="77777777" w:rsidTr="00171601">
        <w:trPr>
          <w:jc w:val="center"/>
        </w:trPr>
        <w:tc>
          <w:tcPr>
            <w:tcW w:w="0" w:type="auto"/>
          </w:tcPr>
          <w:p w14:paraId="2FB86EA4" w14:textId="77777777" w:rsidR="00BC0E7E" w:rsidRPr="00BC0E7E" w:rsidRDefault="00944B8F" w:rsidP="008851C8">
            <w:pPr>
              <w:rPr>
                <w:vertAlign w:val="superscript"/>
              </w:rPr>
            </w:pPr>
            <w:r w:rsidRPr="00BC0E7E">
              <w:t>hs-CRP</w:t>
            </w:r>
            <w:r w:rsidRPr="00BC0E7E">
              <w:rPr>
                <w:vertAlign w:val="superscript"/>
              </w:rPr>
              <w:t>d,f,g</w:t>
            </w:r>
          </w:p>
        </w:tc>
        <w:tc>
          <w:tcPr>
            <w:tcW w:w="0" w:type="auto"/>
          </w:tcPr>
          <w:p w14:paraId="51794778" w14:textId="77777777" w:rsidR="00BC0E7E" w:rsidRPr="00BC0E7E" w:rsidRDefault="00944B8F" w:rsidP="008851C8">
            <w:pPr>
              <w:jc w:val="center"/>
            </w:pPr>
            <w:r w:rsidRPr="00BC0E7E">
              <w:t>-0.3</w:t>
            </w:r>
          </w:p>
        </w:tc>
        <w:tc>
          <w:tcPr>
            <w:tcW w:w="0" w:type="auto"/>
          </w:tcPr>
          <w:p w14:paraId="34B7A1C8" w14:textId="77777777" w:rsidR="00BC0E7E" w:rsidRPr="00BC0E7E" w:rsidRDefault="00944B8F" w:rsidP="008851C8">
            <w:pPr>
              <w:jc w:val="center"/>
            </w:pPr>
            <w:r w:rsidRPr="00BC0E7E">
              <w:t>-4.7***</w:t>
            </w:r>
          </w:p>
        </w:tc>
      </w:tr>
      <w:tr w:rsidR="00C6578C" w14:paraId="56CFB428" w14:textId="77777777" w:rsidTr="00171601">
        <w:trPr>
          <w:jc w:val="center"/>
        </w:trPr>
        <w:tc>
          <w:tcPr>
            <w:tcW w:w="0" w:type="auto"/>
          </w:tcPr>
          <w:p w14:paraId="6A37E90E" w14:textId="77777777" w:rsidR="00BC0E7E" w:rsidRPr="00BC0E7E" w:rsidRDefault="00944B8F" w:rsidP="008851C8">
            <w:pPr>
              <w:rPr>
                <w:vertAlign w:val="superscript"/>
              </w:rPr>
            </w:pPr>
            <w:r w:rsidRPr="00BC0E7E">
              <w:t>SPARCC</w:t>
            </w:r>
            <w:r w:rsidRPr="00BC0E7E">
              <w:rPr>
                <w:vertAlign w:val="superscript"/>
              </w:rPr>
              <w:t>h</w:t>
            </w:r>
            <w:r w:rsidRPr="00BC0E7E">
              <w:t xml:space="preserve"> MRI Sacroiliac Joints</w:t>
            </w:r>
            <w:r w:rsidRPr="00BC0E7E">
              <w:rPr>
                <w:vertAlign w:val="superscript"/>
              </w:rPr>
              <w:t>d,i</w:t>
            </w:r>
          </w:p>
        </w:tc>
        <w:tc>
          <w:tcPr>
            <w:tcW w:w="0" w:type="auto"/>
          </w:tcPr>
          <w:p w14:paraId="7DF4B96A" w14:textId="77777777" w:rsidR="00BC0E7E" w:rsidRPr="00BC0E7E" w:rsidRDefault="00944B8F" w:rsidP="008851C8">
            <w:pPr>
              <w:jc w:val="center"/>
            </w:pPr>
            <w:r w:rsidRPr="00BC0E7E">
              <w:t>-0.6</w:t>
            </w:r>
          </w:p>
        </w:tc>
        <w:tc>
          <w:tcPr>
            <w:tcW w:w="0" w:type="auto"/>
          </w:tcPr>
          <w:p w14:paraId="307A16F6" w14:textId="77777777" w:rsidR="00BC0E7E" w:rsidRPr="00BC0E7E" w:rsidRDefault="00944B8F" w:rsidP="008851C8">
            <w:pPr>
              <w:jc w:val="center"/>
            </w:pPr>
            <w:r w:rsidRPr="00BC0E7E">
              <w:t>-3.2**</w:t>
            </w:r>
          </w:p>
        </w:tc>
      </w:tr>
      <w:tr w:rsidR="00C6578C" w14:paraId="6E26AAAB" w14:textId="77777777" w:rsidTr="00171601">
        <w:trPr>
          <w:jc w:val="center"/>
        </w:trPr>
        <w:tc>
          <w:tcPr>
            <w:tcW w:w="0" w:type="auto"/>
          </w:tcPr>
          <w:p w14:paraId="793F45BC" w14:textId="77777777" w:rsidR="00BC0E7E" w:rsidRPr="00BC0E7E" w:rsidRDefault="00944B8F" w:rsidP="008851C8">
            <w:pPr>
              <w:rPr>
                <w:vertAlign w:val="superscript"/>
              </w:rPr>
            </w:pPr>
            <w:r w:rsidRPr="00BC0E7E">
              <w:t>SPARCC MRI Spine</w:t>
            </w:r>
            <w:r w:rsidRPr="00BC0E7E">
              <w:rPr>
                <w:vertAlign w:val="superscript"/>
              </w:rPr>
              <w:t>d,j</w:t>
            </w:r>
          </w:p>
        </w:tc>
        <w:tc>
          <w:tcPr>
            <w:tcW w:w="0" w:type="auto"/>
          </w:tcPr>
          <w:p w14:paraId="0B632A05" w14:textId="77777777" w:rsidR="00BC0E7E" w:rsidRPr="00BC0E7E" w:rsidRDefault="00944B8F" w:rsidP="008851C8">
            <w:pPr>
              <w:jc w:val="center"/>
            </w:pPr>
            <w:r w:rsidRPr="00BC0E7E">
              <w:t>-0.2</w:t>
            </w:r>
          </w:p>
        </w:tc>
        <w:tc>
          <w:tcPr>
            <w:tcW w:w="0" w:type="auto"/>
          </w:tcPr>
          <w:p w14:paraId="764FCADE" w14:textId="77777777" w:rsidR="00BC0E7E" w:rsidRPr="00BC0E7E" w:rsidRDefault="00944B8F" w:rsidP="008851C8">
            <w:pPr>
              <w:jc w:val="center"/>
            </w:pPr>
            <w:r w:rsidRPr="00BC0E7E">
              <w:t>-1.8**</w:t>
            </w:r>
          </w:p>
        </w:tc>
      </w:tr>
      <w:tr w:rsidR="00C6578C" w14:paraId="2AACC023" w14:textId="77777777" w:rsidTr="00171601">
        <w:trPr>
          <w:jc w:val="center"/>
        </w:trPr>
        <w:tc>
          <w:tcPr>
            <w:tcW w:w="0" w:type="auto"/>
            <w:gridSpan w:val="3"/>
            <w:tcBorders>
              <w:left w:val="nil"/>
              <w:bottom w:val="nil"/>
              <w:right w:val="nil"/>
            </w:tcBorders>
          </w:tcPr>
          <w:p w14:paraId="5C6E646C" w14:textId="77777777" w:rsidR="00BC0E7E" w:rsidRPr="00BC0E7E" w:rsidRDefault="00944B8F" w:rsidP="008851C8">
            <w:pPr>
              <w:tabs>
                <w:tab w:val="clear" w:pos="562"/>
              </w:tabs>
              <w:suppressAutoHyphens w:val="0"/>
              <w:autoSpaceDE w:val="0"/>
              <w:autoSpaceDN w:val="0"/>
              <w:adjustRightInd w:val="0"/>
              <w:rPr>
                <w:szCs w:val="20"/>
              </w:rPr>
            </w:pPr>
            <w:r w:rsidRPr="00BC0E7E">
              <w:rPr>
                <w:vertAlign w:val="superscript"/>
              </w:rPr>
              <w:t>a</w:t>
            </w:r>
            <w:r w:rsidRPr="00BC0E7E">
              <w:t xml:space="preserve"> </w:t>
            </w:r>
            <w:r w:rsidRPr="00BC0E7E">
              <w:rPr>
                <w:szCs w:val="20"/>
              </w:rPr>
              <w:t>Assessment of Spondylo</w:t>
            </w:r>
            <w:r w:rsidR="007E4268">
              <w:rPr>
                <w:szCs w:val="20"/>
              </w:rPr>
              <w:t>Arthritis i</w:t>
            </w:r>
            <w:r w:rsidRPr="00BC0E7E">
              <w:rPr>
                <w:szCs w:val="20"/>
              </w:rPr>
              <w:t>nternational Society</w:t>
            </w:r>
          </w:p>
          <w:p w14:paraId="120F5848" w14:textId="77777777" w:rsidR="00BC0E7E" w:rsidRPr="00BC0E7E" w:rsidRDefault="00944B8F" w:rsidP="008851C8">
            <w:pPr>
              <w:ind w:left="20"/>
              <w:rPr>
                <w:szCs w:val="20"/>
              </w:rPr>
            </w:pPr>
            <w:r w:rsidRPr="00BC0E7E">
              <w:rPr>
                <w:szCs w:val="20"/>
                <w:vertAlign w:val="superscript"/>
              </w:rPr>
              <w:t>b</w:t>
            </w:r>
            <w:r w:rsidRPr="00BC0E7E">
              <w:rPr>
                <w:szCs w:val="20"/>
              </w:rPr>
              <w:t xml:space="preserve"> Bath Ankylosing Spondylitis Disease Activity Index</w:t>
            </w:r>
          </w:p>
          <w:p w14:paraId="71BA7BD9" w14:textId="77777777" w:rsidR="00BC0E7E" w:rsidRPr="00BC0E7E" w:rsidRDefault="00944B8F" w:rsidP="008851C8">
            <w:pPr>
              <w:ind w:left="20"/>
              <w:rPr>
                <w:szCs w:val="22"/>
                <w:vertAlign w:val="superscript"/>
              </w:rPr>
            </w:pPr>
            <w:r w:rsidRPr="00BC0E7E">
              <w:rPr>
                <w:szCs w:val="22"/>
                <w:vertAlign w:val="superscript"/>
              </w:rPr>
              <w:t>c</w:t>
            </w:r>
            <w:r w:rsidRPr="00BC0E7E">
              <w:rPr>
                <w:szCs w:val="22"/>
              </w:rPr>
              <w:t xml:space="preserve"> </w:t>
            </w:r>
            <w:r w:rsidRPr="00BC0E7E">
              <w:rPr>
                <w:szCs w:val="20"/>
              </w:rPr>
              <w:t>Ankylosing Spondylitis Disease Activity Score</w:t>
            </w:r>
          </w:p>
          <w:p w14:paraId="1A2E2ECB" w14:textId="77777777" w:rsidR="00BC0E7E" w:rsidRPr="00BC0E7E" w:rsidRDefault="00944B8F" w:rsidP="008851C8">
            <w:pPr>
              <w:ind w:left="20"/>
              <w:rPr>
                <w:szCs w:val="22"/>
              </w:rPr>
            </w:pPr>
            <w:r w:rsidRPr="00BC0E7E">
              <w:rPr>
                <w:szCs w:val="22"/>
                <w:vertAlign w:val="superscript"/>
              </w:rPr>
              <w:t>d</w:t>
            </w:r>
            <w:r w:rsidRPr="00BC0E7E">
              <w:rPr>
                <w:szCs w:val="22"/>
              </w:rPr>
              <w:t xml:space="preserve"> mean change from baseline</w:t>
            </w:r>
          </w:p>
          <w:p w14:paraId="78C5D811" w14:textId="77777777" w:rsidR="00BC0E7E" w:rsidRPr="00BC0E7E" w:rsidRDefault="00944B8F" w:rsidP="008851C8">
            <w:pPr>
              <w:ind w:left="20"/>
              <w:rPr>
                <w:szCs w:val="22"/>
              </w:rPr>
            </w:pPr>
            <w:r w:rsidRPr="00BC0E7E">
              <w:rPr>
                <w:szCs w:val="22"/>
                <w:vertAlign w:val="superscript"/>
              </w:rPr>
              <w:t>e</w:t>
            </w:r>
            <w:r w:rsidRPr="00BC0E7E">
              <w:rPr>
                <w:szCs w:val="22"/>
              </w:rPr>
              <w:t xml:space="preserve"> n=91 placebo and n=87 Humira</w:t>
            </w:r>
          </w:p>
          <w:p w14:paraId="58FEF877" w14:textId="77777777" w:rsidR="00BC0E7E" w:rsidRPr="00BC0E7E" w:rsidRDefault="00944B8F" w:rsidP="008851C8">
            <w:pPr>
              <w:ind w:left="20"/>
              <w:rPr>
                <w:szCs w:val="22"/>
              </w:rPr>
            </w:pPr>
            <w:r w:rsidRPr="00BC0E7E">
              <w:rPr>
                <w:szCs w:val="22"/>
                <w:vertAlign w:val="superscript"/>
              </w:rPr>
              <w:t>f</w:t>
            </w:r>
            <w:r w:rsidRPr="00BC0E7E">
              <w:rPr>
                <w:szCs w:val="22"/>
              </w:rPr>
              <w:t xml:space="preserve"> high sensitivity C-Reactive Protein (mg/L)</w:t>
            </w:r>
          </w:p>
          <w:p w14:paraId="488EC379" w14:textId="77777777" w:rsidR="00BC0E7E" w:rsidRPr="00BC0E7E" w:rsidRDefault="00944B8F" w:rsidP="008851C8">
            <w:pPr>
              <w:ind w:left="20"/>
              <w:rPr>
                <w:szCs w:val="22"/>
              </w:rPr>
            </w:pPr>
            <w:r w:rsidRPr="00BC0E7E">
              <w:rPr>
                <w:szCs w:val="22"/>
                <w:vertAlign w:val="superscript"/>
              </w:rPr>
              <w:t>g</w:t>
            </w:r>
            <w:r w:rsidRPr="00BC0E7E">
              <w:rPr>
                <w:szCs w:val="22"/>
              </w:rPr>
              <w:t xml:space="preserve"> n=73 placebo and n=70 Humira</w:t>
            </w:r>
          </w:p>
          <w:p w14:paraId="27EDD56C" w14:textId="77777777" w:rsidR="00BC0E7E" w:rsidRPr="00BC0E7E" w:rsidRDefault="00944B8F" w:rsidP="008851C8">
            <w:pPr>
              <w:ind w:left="20"/>
              <w:rPr>
                <w:szCs w:val="22"/>
              </w:rPr>
            </w:pPr>
            <w:r w:rsidRPr="00BC0E7E">
              <w:rPr>
                <w:szCs w:val="22"/>
                <w:vertAlign w:val="superscript"/>
              </w:rPr>
              <w:t>h</w:t>
            </w:r>
            <w:r w:rsidRPr="00BC0E7E">
              <w:rPr>
                <w:szCs w:val="22"/>
              </w:rPr>
              <w:t xml:space="preserve"> Spondyloarthritis Research Consortium of Canada</w:t>
            </w:r>
          </w:p>
          <w:p w14:paraId="6A214941" w14:textId="77777777" w:rsidR="00BC0E7E" w:rsidRPr="00BC0E7E" w:rsidRDefault="00944B8F" w:rsidP="008851C8">
            <w:pPr>
              <w:ind w:left="20"/>
              <w:rPr>
                <w:szCs w:val="22"/>
              </w:rPr>
            </w:pPr>
            <w:r w:rsidRPr="00BC0E7E">
              <w:rPr>
                <w:szCs w:val="22"/>
                <w:vertAlign w:val="superscript"/>
              </w:rPr>
              <w:t>i</w:t>
            </w:r>
            <w:r w:rsidRPr="00BC0E7E">
              <w:rPr>
                <w:szCs w:val="22"/>
              </w:rPr>
              <w:t xml:space="preserve"> n=84 placebo and Humira</w:t>
            </w:r>
          </w:p>
          <w:p w14:paraId="1A042539" w14:textId="77777777" w:rsidR="00BC0E7E" w:rsidRPr="00BC0E7E" w:rsidRDefault="00944B8F" w:rsidP="008851C8">
            <w:pPr>
              <w:ind w:left="20"/>
              <w:rPr>
                <w:szCs w:val="20"/>
              </w:rPr>
            </w:pPr>
            <w:r w:rsidRPr="00BC0E7E">
              <w:rPr>
                <w:szCs w:val="22"/>
                <w:vertAlign w:val="superscript"/>
              </w:rPr>
              <w:t>j</w:t>
            </w:r>
            <w:r w:rsidRPr="00BC0E7E">
              <w:rPr>
                <w:szCs w:val="22"/>
              </w:rPr>
              <w:t xml:space="preserve"> n=82 placebo and n=85 Humira</w:t>
            </w:r>
          </w:p>
          <w:p w14:paraId="2C14B0AF" w14:textId="77777777" w:rsidR="00BC0E7E" w:rsidRPr="00C56F03" w:rsidRDefault="00944B8F" w:rsidP="00C56F03">
            <w:pPr>
              <w:ind w:left="20"/>
              <w:rPr>
                <w:szCs w:val="22"/>
              </w:rPr>
            </w:pPr>
            <w:r w:rsidRPr="00BC0E7E">
              <w:rPr>
                <w:szCs w:val="22"/>
              </w:rPr>
              <w:t>***, **, * Statistically significant at p &lt; 0.001, &lt; 0.01, and</w:t>
            </w:r>
            <w:r w:rsidR="00C56F03">
              <w:rPr>
                <w:szCs w:val="22"/>
              </w:rPr>
              <w:t xml:space="preserve"> </w:t>
            </w:r>
            <w:r w:rsidRPr="00BC0E7E">
              <w:rPr>
                <w:szCs w:val="22"/>
              </w:rPr>
              <w:t xml:space="preserve"> &lt; 0.05, respectively, for all comparisons between Humira and placebo.</w:t>
            </w:r>
          </w:p>
          <w:p w14:paraId="30CAED29" w14:textId="77777777" w:rsidR="00BC0E7E" w:rsidRPr="00BC0E7E" w:rsidRDefault="00BC0E7E" w:rsidP="008851C8">
            <w:pPr>
              <w:keepNext/>
              <w:ind w:left="20"/>
            </w:pPr>
          </w:p>
          <w:p w14:paraId="73F91196" w14:textId="77777777" w:rsidR="00BC0E7E" w:rsidRPr="00BC0E7E" w:rsidRDefault="00944B8F" w:rsidP="008851C8">
            <w:pPr>
              <w:keepNext/>
              <w:autoSpaceDE w:val="0"/>
              <w:autoSpaceDN w:val="0"/>
            </w:pPr>
            <w:r w:rsidRPr="00BC0E7E">
              <w:t>In the open-label extension, improvement in the signs and symptoms was maintained with Humira therapy through Week 156.</w:t>
            </w:r>
          </w:p>
          <w:p w14:paraId="3524A393" w14:textId="77777777" w:rsidR="00BC0E7E" w:rsidRPr="00BC0E7E" w:rsidRDefault="00BC0E7E" w:rsidP="008851C8">
            <w:pPr>
              <w:keepNext/>
              <w:rPr>
                <w:szCs w:val="20"/>
              </w:rPr>
            </w:pPr>
          </w:p>
          <w:p w14:paraId="59A41073" w14:textId="77777777" w:rsidR="00BC0E7E" w:rsidRPr="00BC0E7E" w:rsidRDefault="00944B8F" w:rsidP="008851C8">
            <w:pPr>
              <w:keepNext/>
            </w:pPr>
            <w:r w:rsidRPr="00BC0E7E">
              <w:t>Inhibition of inflammation</w:t>
            </w:r>
          </w:p>
          <w:p w14:paraId="0617E1A6" w14:textId="77777777" w:rsidR="00BC0E7E" w:rsidRPr="00BC0E7E" w:rsidRDefault="00BC0E7E" w:rsidP="008851C8">
            <w:pPr>
              <w:keepNext/>
              <w:tabs>
                <w:tab w:val="clear" w:pos="562"/>
                <w:tab w:val="left" w:pos="720"/>
              </w:tabs>
              <w:suppressAutoHyphens w:val="0"/>
              <w:autoSpaceDE w:val="0"/>
              <w:autoSpaceDN w:val="0"/>
              <w:adjustRightInd w:val="0"/>
              <w:rPr>
                <w:rFonts w:ascii="TimesNewRomanPSMT" w:hAnsi="TimesNewRomanPSMT" w:cs="TimesNewRomanPSMT"/>
                <w:color w:val="231F20"/>
                <w:szCs w:val="22"/>
              </w:rPr>
            </w:pPr>
          </w:p>
          <w:p w14:paraId="5D3856EC" w14:textId="77777777" w:rsidR="00BC0E7E" w:rsidRPr="00BC0E7E" w:rsidRDefault="00944B8F" w:rsidP="008851C8">
            <w:pPr>
              <w:keepNext/>
              <w:tabs>
                <w:tab w:val="clear" w:pos="562"/>
                <w:tab w:val="left" w:pos="720"/>
              </w:tabs>
              <w:suppressAutoHyphens w:val="0"/>
              <w:autoSpaceDE w:val="0"/>
              <w:autoSpaceDN w:val="0"/>
              <w:adjustRightInd w:val="0"/>
            </w:pPr>
            <w:r w:rsidRPr="00BC0E7E">
              <w:rPr>
                <w:color w:val="231F20"/>
                <w:szCs w:val="22"/>
              </w:rPr>
              <w:t>Significant improvement of signs of inflammation as measured by hs-CRP and MRI of both Sacroiliac Joints and the Spine was maintained in Humira-treated patients through Week 156 and Week 104, respectively.</w:t>
            </w:r>
          </w:p>
          <w:p w14:paraId="556B8FB9" w14:textId="77777777" w:rsidR="00BC0E7E" w:rsidRPr="00BC0E7E" w:rsidRDefault="00BC0E7E" w:rsidP="008851C8">
            <w:pPr>
              <w:keepNext/>
              <w:rPr>
                <w:szCs w:val="20"/>
              </w:rPr>
            </w:pPr>
          </w:p>
          <w:p w14:paraId="1A758CF1" w14:textId="77777777" w:rsidR="00BC0E7E" w:rsidRPr="00BC0E7E" w:rsidRDefault="00944B8F" w:rsidP="008851C8">
            <w:pPr>
              <w:keepNext/>
              <w:rPr>
                <w:szCs w:val="20"/>
              </w:rPr>
            </w:pPr>
            <w:r w:rsidRPr="00BC0E7E">
              <w:rPr>
                <w:szCs w:val="20"/>
              </w:rPr>
              <w:t>Quality of life and physical function</w:t>
            </w:r>
          </w:p>
        </w:tc>
      </w:tr>
    </w:tbl>
    <w:p w14:paraId="4053B63D" w14:textId="77777777" w:rsidR="00BC0E7E" w:rsidRPr="00BC0E7E" w:rsidRDefault="00BC0E7E" w:rsidP="00BC0E7E">
      <w:pPr>
        <w:rPr>
          <w:szCs w:val="20"/>
        </w:rPr>
      </w:pPr>
    </w:p>
    <w:p w14:paraId="66830C7D" w14:textId="77777777" w:rsidR="00BC0E7E" w:rsidRPr="00BC0E7E" w:rsidRDefault="00944B8F" w:rsidP="00BC0E7E">
      <w:pPr>
        <w:rPr>
          <w:szCs w:val="20"/>
        </w:rPr>
      </w:pPr>
      <w:r w:rsidRPr="00BC0E7E">
        <w:rPr>
          <w:szCs w:val="20"/>
        </w:rPr>
        <w:t>Health-related quality of life and physical function were assessed using the HAQ-S and the SF-36 questionnaires. Humira showed statistically significantly greater improvement in the HAQ-S total score and the SF-36 Physical Component Score (PCS) from baseline to Week 12 compared to placebo. Improvement in health-related quality of life and physical function was maintained during the open-label extension through Week 156.</w:t>
      </w:r>
    </w:p>
    <w:p w14:paraId="4C82F871" w14:textId="77777777" w:rsidR="008844A8" w:rsidRDefault="008844A8" w:rsidP="008844A8">
      <w:pPr>
        <w:pStyle w:val="EMEANormal"/>
        <w:rPr>
          <w:szCs w:val="22"/>
        </w:rPr>
      </w:pPr>
    </w:p>
    <w:p w14:paraId="5781E981" w14:textId="77777777" w:rsidR="008844A8" w:rsidRPr="00F8563F" w:rsidRDefault="00944B8F" w:rsidP="008844A8">
      <w:pPr>
        <w:pStyle w:val="EMEANormal"/>
      </w:pPr>
      <w:r w:rsidRPr="70D4D675">
        <w:rPr>
          <w:lang w:val="en-GB"/>
        </w:rPr>
        <w:t>Study nr-axSpA II</w:t>
      </w:r>
    </w:p>
    <w:p w14:paraId="2DE7EDA1" w14:textId="77777777" w:rsidR="008844A8" w:rsidRPr="00F6576C" w:rsidRDefault="008844A8" w:rsidP="008844A8">
      <w:pPr>
        <w:pStyle w:val="EMEANormal"/>
        <w:rPr>
          <w:szCs w:val="22"/>
        </w:rPr>
      </w:pPr>
    </w:p>
    <w:p w14:paraId="35940551" w14:textId="77777777" w:rsidR="008844A8" w:rsidRDefault="00944B8F" w:rsidP="008844A8">
      <w:pPr>
        <w:pStyle w:val="EMEANormal"/>
      </w:pPr>
      <w:r w:rsidRPr="65FD12C2">
        <w:rPr>
          <w:lang w:val="en-GB"/>
        </w:rPr>
        <w:t xml:space="preserve">673 patients with active nr-axSpA (mean baseline disease activity [BASDAI] was 7.0) who had an inadequate response to </w:t>
      </w:r>
      <w:r w:rsidRPr="65FD12C2">
        <w:rPr>
          <w:rFonts w:ascii="Symbol" w:eastAsia="Symbol" w:hAnsi="Symbol"/>
          <w:lang w:val="en-GB"/>
        </w:rPr>
        <w:t>³</w:t>
      </w:r>
      <w:r w:rsidRPr="65FD12C2">
        <w:rPr>
          <w:lang w:val="en-GB"/>
        </w:rPr>
        <w:t> 2 NSAIDs, or an intolerance to or a contraindication for NSAIDs enrolled into the open-label period of Study nr-axSpA II during which they received Humira 40 mg eow for 28 weeks. These patients also had objective evidence of inflammation in the sacroiliac joints or spine on MRI or elevated hs-CRP. Patients who achieved sustained remission for at least 12 weeks (N=305) (ASDAS &lt; 1.3 at Weeks 16, 20, 24, and 28) during the open-label period were then randomized to receive either continued treatment with Humira 40 mg eow (N=152) or placebo (N=153) for an additional 40 weeks in a double-blind, placebo-controlled period (total study duration 68 weeks). Subjects who flared during the double-blind period were allowed Humira 40 mg eow rescue therapy for at least 12 weeks.</w:t>
      </w:r>
    </w:p>
    <w:p w14:paraId="0A9CC760" w14:textId="77777777" w:rsidR="008844A8" w:rsidRPr="008F4FD5" w:rsidRDefault="008844A8" w:rsidP="008844A8">
      <w:pPr>
        <w:pStyle w:val="EMEANormal"/>
        <w:rPr>
          <w:szCs w:val="22"/>
          <w:lang w:val="en-GB"/>
        </w:rPr>
      </w:pPr>
    </w:p>
    <w:p w14:paraId="3B996446" w14:textId="77777777" w:rsidR="008844A8" w:rsidRPr="00323591" w:rsidRDefault="00944B8F" w:rsidP="008844A8">
      <w:pPr>
        <w:pStyle w:val="EMEANormal"/>
        <w:rPr>
          <w:lang w:val="en-GB"/>
        </w:rPr>
      </w:pPr>
      <w:r>
        <w:t xml:space="preserve">The primary efficacy endpoint was the proportion of patients with no flare by Week 68 </w:t>
      </w:r>
      <w:r w:rsidRPr="00670913">
        <w:t>of the</w:t>
      </w:r>
      <w:r>
        <w:t xml:space="preserve"> study</w:t>
      </w:r>
      <w:r w:rsidRPr="00503768">
        <w:t>.</w:t>
      </w:r>
      <w:r>
        <w:t xml:space="preserve"> Flare was defined as ASDAS ≥ 2.1 at two consecutive visits four weeks apart. A greater proportion of patients on Humira had no disease flare during the double-blind period, when compared with those on placebo </w:t>
      </w:r>
      <w:r w:rsidRPr="003A1A90">
        <w:t>(</w:t>
      </w:r>
      <w:r>
        <w:t>70.4%</w:t>
      </w:r>
      <w:r w:rsidRPr="003A1A90">
        <w:t xml:space="preserve"> vs. 47.1%, p&lt;0.001)</w:t>
      </w:r>
      <w:r>
        <w:t xml:space="preserve"> (</w:t>
      </w:r>
      <w:r w:rsidRPr="00F80654">
        <w:t xml:space="preserve">Figure </w:t>
      </w:r>
      <w:r w:rsidRPr="004E0013">
        <w:t>1</w:t>
      </w:r>
      <w:r w:rsidRPr="00F80654">
        <w:t>).</w:t>
      </w:r>
    </w:p>
    <w:p w14:paraId="06A8A654" w14:textId="77777777" w:rsidR="008844A8" w:rsidRPr="008F4FD5" w:rsidRDefault="008844A8" w:rsidP="008844A8">
      <w:pPr>
        <w:pStyle w:val="EMEANormal"/>
        <w:keepNext/>
        <w:jc w:val="center"/>
      </w:pPr>
    </w:p>
    <w:p w14:paraId="0F019047" w14:textId="77777777" w:rsidR="008844A8" w:rsidRPr="008F4FD5" w:rsidRDefault="00944B8F" w:rsidP="008844A8">
      <w:pPr>
        <w:pStyle w:val="EMEANormal"/>
        <w:keepNext/>
        <w:jc w:val="center"/>
      </w:pPr>
      <w:r w:rsidRPr="002936DD">
        <w:rPr>
          <w:b/>
        </w:rPr>
        <w:t xml:space="preserve">Figure </w:t>
      </w:r>
      <w:r>
        <w:rPr>
          <w:b/>
        </w:rPr>
        <w:t>1</w:t>
      </w:r>
      <w:r w:rsidRPr="002936DD">
        <w:rPr>
          <w:b/>
        </w:rPr>
        <w:t>: Kaplan-Meier Curv</w:t>
      </w:r>
      <w:r w:rsidR="008F4FD5">
        <w:rPr>
          <w:b/>
        </w:rPr>
        <w:t>es Summarizing Time to Flare in</w:t>
      </w:r>
    </w:p>
    <w:p w14:paraId="4A08AA44" w14:textId="77777777" w:rsidR="008844A8" w:rsidRPr="008F4FD5" w:rsidRDefault="00944B8F" w:rsidP="008844A8">
      <w:pPr>
        <w:pStyle w:val="EMEANormal"/>
        <w:keepNext/>
        <w:jc w:val="center"/>
      </w:pPr>
      <w:r w:rsidRPr="65FD12C2">
        <w:rPr>
          <w:b/>
          <w:lang w:val="en-GB"/>
        </w:rPr>
        <w:t>Study nr-axSpA II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8962"/>
      </w:tblGrid>
      <w:tr w:rsidR="00C6578C" w14:paraId="28D1F00F" w14:textId="77777777" w:rsidTr="003F7AAE">
        <w:trPr>
          <w:cantSplit/>
          <w:trHeight w:val="1134"/>
        </w:trPr>
        <w:tc>
          <w:tcPr>
            <w:tcW w:w="930" w:type="dxa"/>
            <w:textDirection w:val="btLr"/>
            <w:vAlign w:val="center"/>
          </w:tcPr>
          <w:p w14:paraId="4978CE91" w14:textId="77777777" w:rsidR="008844A8" w:rsidRPr="00972393" w:rsidRDefault="00944B8F" w:rsidP="003F7AAE">
            <w:pPr>
              <w:ind w:left="113" w:right="113"/>
              <w:jc w:val="center"/>
              <w:rPr>
                <w:b/>
              </w:rPr>
            </w:pPr>
            <w:r w:rsidRPr="00972393">
              <w:rPr>
                <w:b/>
              </w:rPr>
              <w:t xml:space="preserve">              </w:t>
            </w:r>
            <w:r>
              <w:rPr>
                <w:b/>
              </w:rPr>
              <w:t xml:space="preserve">  </w:t>
            </w:r>
            <w:r w:rsidRPr="00972393">
              <w:rPr>
                <w:b/>
              </w:rPr>
              <w:t xml:space="preserve">   PROBABILITY OF NO FLARE</w:t>
            </w:r>
          </w:p>
        </w:tc>
        <w:tc>
          <w:tcPr>
            <w:tcW w:w="8646" w:type="dxa"/>
          </w:tcPr>
          <w:p w14:paraId="3A995EAD" w14:textId="77777777" w:rsidR="008844A8" w:rsidRDefault="00944B8F" w:rsidP="003F7AAE">
            <w:r>
              <w:rPr>
                <w:noProof/>
                <w:lang w:val="en-US"/>
              </w:rPr>
              <w:drawing>
                <wp:inline distT="0" distB="0" distL="0" distR="0" wp14:anchorId="0BB9B837" wp14:editId="69AE970F">
                  <wp:extent cx="5616000" cy="3006000"/>
                  <wp:effectExtent l="0" t="0" r="3810" b="4445"/>
                  <wp:docPr id="2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13375_flare_km_db_f.14.2__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16000" cy="3006000"/>
                          </a:xfrm>
                          <a:prstGeom prst="rect">
                            <a:avLst/>
                          </a:prstGeom>
                        </pic:spPr>
                      </pic:pic>
                    </a:graphicData>
                  </a:graphic>
                </wp:inline>
              </w:drawing>
            </w:r>
          </w:p>
        </w:tc>
      </w:tr>
      <w:tr w:rsidR="00C6578C" w14:paraId="0CAA742A" w14:textId="77777777" w:rsidTr="003F7AAE">
        <w:tc>
          <w:tcPr>
            <w:tcW w:w="930" w:type="dxa"/>
          </w:tcPr>
          <w:p w14:paraId="18F347CB" w14:textId="77777777" w:rsidR="008844A8" w:rsidRDefault="008844A8" w:rsidP="003F7AAE"/>
        </w:tc>
        <w:tc>
          <w:tcPr>
            <w:tcW w:w="8646" w:type="dxa"/>
            <w:vAlign w:val="center"/>
          </w:tcPr>
          <w:p w14:paraId="4815F024" w14:textId="77777777" w:rsidR="008844A8" w:rsidRPr="00972393" w:rsidRDefault="00944B8F" w:rsidP="003F7AAE">
            <w:pPr>
              <w:jc w:val="center"/>
              <w:rPr>
                <w:b/>
              </w:rPr>
            </w:pPr>
            <w:r w:rsidRPr="00972393">
              <w:rPr>
                <w:b/>
              </w:rPr>
              <w:t>TIME (WEEKS)</w:t>
            </w:r>
          </w:p>
        </w:tc>
      </w:tr>
      <w:tr w:rsidR="00C6578C" w14:paraId="1B1F16BC" w14:textId="77777777" w:rsidTr="003F7AAE">
        <w:tc>
          <w:tcPr>
            <w:tcW w:w="9576" w:type="dxa"/>
            <w:gridSpan w:val="2"/>
          </w:tcPr>
          <w:p w14:paraId="023735FF" w14:textId="77777777" w:rsidR="008844A8" w:rsidRPr="00972393" w:rsidRDefault="00944B8F" w:rsidP="003F7AAE">
            <w:r>
              <w:t xml:space="preserve">                                  </w:t>
            </w:r>
            <w:r w:rsidRPr="00972393">
              <w:t>Trea</w:t>
            </w:r>
            <w:r>
              <w:t xml:space="preserve">tment      </w:t>
            </w:r>
            <w:r>
              <w:rPr>
                <w:noProof/>
              </w:rPr>
              <w:t xml:space="preserve"> </w:t>
            </w:r>
            <w:r>
              <w:rPr>
                <w:noProof/>
                <w:lang w:val="en-US"/>
              </w:rPr>
              <mc:AlternateContent>
                <mc:Choice Requires="wps">
                  <w:drawing>
                    <wp:inline distT="0" distB="0" distL="0" distR="0" wp14:anchorId="273A9E67" wp14:editId="0EDB9616">
                      <wp:extent cx="381000" cy="0"/>
                      <wp:effectExtent l="0" t="19050" r="0" b="19050"/>
                      <wp:docPr id="27" name="Straight Connector 92"/>
                      <wp:cNvGraphicFramePr/>
                      <a:graphic xmlns:a="http://schemas.openxmlformats.org/drawingml/2006/main">
                        <a:graphicData uri="http://schemas.microsoft.com/office/word/2010/wordprocessingShape">
                          <wps:wsp>
                            <wps:cNvCnPr/>
                            <wps:spPr>
                              <a:xfrm>
                                <a:off x="0" y="0"/>
                                <a:ext cx="381000" cy="0"/>
                              </a:xfrm>
                              <a:prstGeom prst="line">
                                <a:avLst/>
                              </a:prstGeom>
                              <a:ln w="28575">
                                <a:solidFill>
                                  <a:schemeClr val="tx1">
                                    <a:lumMod val="65000"/>
                                    <a:lumOff val="3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arto="http://schemas.microsoft.com/office/word/2006/arto">
                  <w:pict>
                    <v:line id="Straight Connector 92" o:spid="_x0000_i1032" style="mso-left-percent:-10001;mso-position-horizontal-relative:char;mso-position-vertical-relative:line;mso-top-percent:-10001;mso-wrap-style:square;visibility:visible" from="0,0" to="30pt,0" strokecolor="#5a5a5a" strokeweight="2.25pt">
                      <v:stroke dashstyle="1 1"/>
                      <w10:anchorlock/>
                    </v:line>
                  </w:pict>
                </mc:Fallback>
              </mc:AlternateContent>
            </w:r>
            <w:r>
              <w:rPr>
                <w:noProof/>
              </w:rPr>
              <w:t xml:space="preserve"> </w:t>
            </w:r>
            <w:r>
              <w:t xml:space="preserve">Placebo     </w:t>
            </w:r>
            <w:r>
              <w:rPr>
                <w:noProof/>
                <w:lang w:val="en-US"/>
              </w:rPr>
              <mc:AlternateContent>
                <mc:Choice Requires="wps">
                  <w:drawing>
                    <wp:inline distT="0" distB="0" distL="0" distR="0" wp14:anchorId="1919741B" wp14:editId="0087E66F">
                      <wp:extent cx="401320" cy="0"/>
                      <wp:effectExtent l="0" t="0" r="17780" b="19050"/>
                      <wp:docPr id="28" name="Straight Connector 56"/>
                      <wp:cNvGraphicFramePr/>
                      <a:graphic xmlns:a="http://schemas.openxmlformats.org/drawingml/2006/main">
                        <a:graphicData uri="http://schemas.microsoft.com/office/word/2010/wordprocessingShape">
                          <wps:wsp>
                            <wps:cNvCnPr/>
                            <wps:spPr>
                              <a:xfrm>
                                <a:off x="0" y="0"/>
                                <a:ext cx="401320" cy="0"/>
                              </a:xfrm>
                              <a:prstGeom prst="line">
                                <a:avLst/>
                              </a:prstGeom>
                              <a:ln w="19050">
                                <a:solidFill>
                                  <a:schemeClr val="tx1">
                                    <a:lumMod val="75000"/>
                                    <a:lumOff val="25000"/>
                                  </a:schemeClr>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arto="http://schemas.microsoft.com/office/word/2006/arto">
                  <w:pict>
                    <v:line id="Straight Connector 56" o:spid="_x0000_i1033" style="mso-left-percent:-10001;mso-position-horizontal-relative:char;mso-position-vertical-relative:line;mso-top-percent:-10001;mso-wrap-style:square;visibility:visible" from="0,0" to="31.6pt,0" strokecolor="#404040" strokeweight="1.5pt">
                      <w10:anchorlock/>
                    </v:line>
                  </w:pict>
                </mc:Fallback>
              </mc:AlternateContent>
            </w:r>
            <w:r>
              <w:t xml:space="preserve"> Humira     ∆ Censored</w:t>
            </w:r>
          </w:p>
        </w:tc>
      </w:tr>
    </w:tbl>
    <w:p w14:paraId="12B7EC64" w14:textId="77777777" w:rsidR="008844A8" w:rsidRDefault="008844A8" w:rsidP="008844A8"/>
    <w:p w14:paraId="34F46463" w14:textId="77777777" w:rsidR="008844A8" w:rsidRDefault="00944B8F" w:rsidP="008844A8">
      <w:r>
        <w:t>Note: P = Placebo (Number at Risk (flared)); A = HUMIRA (Number at Risk (flared)).</w:t>
      </w:r>
    </w:p>
    <w:p w14:paraId="1EBBFC50" w14:textId="77777777" w:rsidR="008844A8" w:rsidRDefault="008844A8" w:rsidP="008844A8"/>
    <w:p w14:paraId="2CCB5471" w14:textId="77777777" w:rsidR="008844A8" w:rsidRPr="00323591" w:rsidRDefault="00944B8F" w:rsidP="008844A8">
      <w:pPr>
        <w:pStyle w:val="EMEANormal"/>
        <w:rPr>
          <w:lang w:val="en-GB"/>
        </w:rPr>
      </w:pPr>
      <w:r w:rsidRPr="00F933BB">
        <w:rPr>
          <w:lang w:val="en-GB"/>
        </w:rPr>
        <w:t xml:space="preserve">Among the 68 patients who flared in the group allocated to treatment withdrawal, 65 completed 12 weeks of rescue therapy with Humira, out of which 37 (56.9%) </w:t>
      </w:r>
      <w:r>
        <w:rPr>
          <w:lang w:val="en-GB"/>
        </w:rPr>
        <w:t xml:space="preserve">had </w:t>
      </w:r>
      <w:r w:rsidRPr="00F933BB">
        <w:rPr>
          <w:lang w:val="en-GB"/>
        </w:rPr>
        <w:t>regained remission (ASDAS &lt;</w:t>
      </w:r>
      <w:r>
        <w:rPr>
          <w:lang w:val="en-GB"/>
        </w:rPr>
        <w:t> </w:t>
      </w:r>
      <w:r w:rsidRPr="00F933BB">
        <w:rPr>
          <w:lang w:val="en-GB"/>
        </w:rPr>
        <w:t>1.3) after 12</w:t>
      </w:r>
      <w:r>
        <w:rPr>
          <w:lang w:val="en-GB"/>
        </w:rPr>
        <w:t> </w:t>
      </w:r>
      <w:r w:rsidRPr="00F933BB">
        <w:rPr>
          <w:lang w:val="en-GB"/>
        </w:rPr>
        <w:t>weeks of restarting the open-label treatment.</w:t>
      </w:r>
      <w:r>
        <w:rPr>
          <w:lang w:val="en-GB"/>
        </w:rPr>
        <w:t xml:space="preserve"> </w:t>
      </w:r>
    </w:p>
    <w:p w14:paraId="0F73428E" w14:textId="77777777" w:rsidR="008844A8" w:rsidRDefault="008844A8" w:rsidP="008844A8"/>
    <w:p w14:paraId="53CCEA59" w14:textId="77777777" w:rsidR="008844A8" w:rsidRDefault="00944B8F" w:rsidP="008844A8">
      <w:r>
        <w:t xml:space="preserve">By </w:t>
      </w:r>
      <w:r w:rsidRPr="006F6F29">
        <w:t>Week 68</w:t>
      </w:r>
      <w:r>
        <w:t>,</w:t>
      </w:r>
      <w:r w:rsidRPr="006F6F29">
        <w:t xml:space="preserve"> </w:t>
      </w:r>
      <w:r>
        <w:t xml:space="preserve">patients receiving continuous Humira treatment </w:t>
      </w:r>
      <w:r w:rsidRPr="006F6F29">
        <w:t>showed statistically significant</w:t>
      </w:r>
      <w:r>
        <w:t xml:space="preserve"> greater</w:t>
      </w:r>
      <w:r w:rsidRPr="006F6F29">
        <w:t xml:space="preserve"> improvement of the signs and symptoms of active nr-axSpA</w:t>
      </w:r>
      <w:r>
        <w:t xml:space="preserve"> as</w:t>
      </w:r>
      <w:r w:rsidRPr="006F6F29">
        <w:t xml:space="preserve"> compared to patients allocated to treatment withdrawal during the double-blind period of the study (Table</w:t>
      </w:r>
      <w:r>
        <w:t xml:space="preserve"> 1</w:t>
      </w:r>
      <w:r w:rsidR="00614ABC">
        <w:t>4</w:t>
      </w:r>
      <w:r>
        <w:t>).</w:t>
      </w:r>
    </w:p>
    <w:p w14:paraId="77472AFA" w14:textId="77777777" w:rsidR="008844A8" w:rsidRDefault="008844A8" w:rsidP="008844A8"/>
    <w:p w14:paraId="0048A013" w14:textId="77777777" w:rsidR="008844A8" w:rsidRPr="008F4FD5" w:rsidRDefault="00944B8F" w:rsidP="008F4FD5">
      <w:pPr>
        <w:pStyle w:val="EMEANormal"/>
        <w:keepNext/>
        <w:ind w:left="720"/>
        <w:jc w:val="center"/>
      </w:pPr>
      <w:r>
        <w:rPr>
          <w:b/>
        </w:rPr>
        <w:lastRenderedPageBreak/>
        <w:t>Table 1</w:t>
      </w:r>
      <w:r w:rsidR="00614ABC">
        <w:rPr>
          <w:b/>
        </w:rPr>
        <w:t>4</w:t>
      </w:r>
    </w:p>
    <w:p w14:paraId="7D31B810" w14:textId="77777777" w:rsidR="008844A8" w:rsidRPr="008F4FD5" w:rsidRDefault="00944B8F" w:rsidP="00EA5EEF">
      <w:pPr>
        <w:pStyle w:val="EMEANormal"/>
        <w:keepNext/>
        <w:ind w:left="720"/>
        <w:jc w:val="center"/>
      </w:pPr>
      <w:r w:rsidRPr="70D4D675">
        <w:rPr>
          <w:b/>
          <w:lang w:val="en-GB"/>
        </w:rPr>
        <w:t>Efficacy Response in Placebo-Controlled Period for Study nr-axSpA II</w:t>
      </w:r>
    </w:p>
    <w:p w14:paraId="776F42BC" w14:textId="77777777" w:rsidR="008844A8" w:rsidRPr="008F4FD5" w:rsidRDefault="008844A8" w:rsidP="008F4FD5">
      <w:pPr>
        <w:pStyle w:val="EMEANormal"/>
        <w:keepNext/>
        <w:ind w:left="72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71"/>
        <w:gridCol w:w="1746"/>
        <w:gridCol w:w="1891"/>
      </w:tblGrid>
      <w:tr w:rsidR="00C6578C" w14:paraId="25899CB4" w14:textId="77777777" w:rsidTr="003F7AAE">
        <w:trPr>
          <w:jc w:val="center"/>
        </w:trPr>
        <w:tc>
          <w:tcPr>
            <w:tcW w:w="3067" w:type="pct"/>
          </w:tcPr>
          <w:p w14:paraId="0260175E" w14:textId="77777777" w:rsidR="008844A8" w:rsidRPr="002A3533" w:rsidRDefault="00944B8F" w:rsidP="008F4FD5">
            <w:pPr>
              <w:keepNext/>
              <w:rPr>
                <w:b/>
                <w:bCs/>
              </w:rPr>
            </w:pPr>
            <w:r w:rsidRPr="002A3533">
              <w:rPr>
                <w:b/>
                <w:bCs/>
              </w:rPr>
              <w:t>Double-Blind</w:t>
            </w:r>
          </w:p>
          <w:p w14:paraId="3B6D285F" w14:textId="77777777" w:rsidR="008844A8" w:rsidRPr="002A3533" w:rsidRDefault="00944B8F" w:rsidP="008F4FD5">
            <w:pPr>
              <w:keepNext/>
              <w:rPr>
                <w:b/>
                <w:bCs/>
              </w:rPr>
            </w:pPr>
            <w:r w:rsidRPr="002A3533">
              <w:rPr>
                <w:b/>
                <w:bCs/>
              </w:rPr>
              <w:t xml:space="preserve">Response at Week </w:t>
            </w:r>
            <w:r>
              <w:rPr>
                <w:b/>
                <w:bCs/>
              </w:rPr>
              <w:t>68</w:t>
            </w:r>
          </w:p>
        </w:tc>
        <w:tc>
          <w:tcPr>
            <w:tcW w:w="928" w:type="pct"/>
          </w:tcPr>
          <w:p w14:paraId="65B29955" w14:textId="77777777" w:rsidR="008844A8" w:rsidRPr="002A3533" w:rsidRDefault="00944B8F" w:rsidP="008F4FD5">
            <w:pPr>
              <w:keepNext/>
              <w:jc w:val="center"/>
              <w:rPr>
                <w:b/>
                <w:bCs/>
                <w:sz w:val="20"/>
                <w:szCs w:val="20"/>
                <w:lang w:val="fr-FR"/>
              </w:rPr>
            </w:pPr>
            <w:r w:rsidRPr="002A3533">
              <w:rPr>
                <w:b/>
                <w:bCs/>
                <w:sz w:val="20"/>
                <w:szCs w:val="20"/>
                <w:lang w:val="fr-FR"/>
              </w:rPr>
              <w:t>Placebo</w:t>
            </w:r>
          </w:p>
          <w:p w14:paraId="0FB1340A" w14:textId="77777777" w:rsidR="008844A8" w:rsidRPr="002A3533" w:rsidRDefault="00944B8F" w:rsidP="008F4FD5">
            <w:pPr>
              <w:keepNext/>
              <w:jc w:val="center"/>
              <w:rPr>
                <w:b/>
                <w:bCs/>
                <w:sz w:val="20"/>
                <w:szCs w:val="20"/>
                <w:lang w:val="fr-FR"/>
              </w:rPr>
            </w:pPr>
            <w:r>
              <w:rPr>
                <w:b/>
                <w:bCs/>
                <w:sz w:val="20"/>
                <w:szCs w:val="20"/>
                <w:lang w:val="fr-FR"/>
              </w:rPr>
              <w:t>N=153</w:t>
            </w:r>
          </w:p>
        </w:tc>
        <w:tc>
          <w:tcPr>
            <w:tcW w:w="1005" w:type="pct"/>
          </w:tcPr>
          <w:p w14:paraId="1C26152A" w14:textId="77777777" w:rsidR="008844A8" w:rsidRPr="002A3533" w:rsidRDefault="00944B8F" w:rsidP="008F4FD5">
            <w:pPr>
              <w:keepNext/>
              <w:jc w:val="center"/>
              <w:rPr>
                <w:b/>
                <w:bCs/>
                <w:sz w:val="20"/>
                <w:szCs w:val="20"/>
                <w:lang w:val="fr-FR"/>
              </w:rPr>
            </w:pPr>
            <w:r w:rsidRPr="002A3533">
              <w:rPr>
                <w:b/>
                <w:bCs/>
                <w:sz w:val="20"/>
                <w:szCs w:val="20"/>
                <w:lang w:val="fr-FR"/>
              </w:rPr>
              <w:t>Humira</w:t>
            </w:r>
          </w:p>
          <w:p w14:paraId="7C06A234" w14:textId="77777777" w:rsidR="008844A8" w:rsidRPr="002A3533" w:rsidRDefault="00944B8F" w:rsidP="008F4FD5">
            <w:pPr>
              <w:keepNext/>
              <w:jc w:val="center"/>
              <w:rPr>
                <w:b/>
                <w:bCs/>
                <w:sz w:val="20"/>
                <w:szCs w:val="20"/>
                <w:lang w:val="fr-FR"/>
              </w:rPr>
            </w:pPr>
            <w:r>
              <w:rPr>
                <w:b/>
                <w:bCs/>
                <w:sz w:val="20"/>
                <w:szCs w:val="20"/>
              </w:rPr>
              <w:t>N=152</w:t>
            </w:r>
          </w:p>
        </w:tc>
      </w:tr>
      <w:tr w:rsidR="00C6578C" w14:paraId="330ED62B" w14:textId="77777777" w:rsidTr="003F7AAE">
        <w:trPr>
          <w:jc w:val="center"/>
        </w:trPr>
        <w:tc>
          <w:tcPr>
            <w:tcW w:w="3067" w:type="pct"/>
          </w:tcPr>
          <w:p w14:paraId="2B4D69F4" w14:textId="77777777" w:rsidR="008844A8" w:rsidRPr="002A3533" w:rsidRDefault="00944B8F" w:rsidP="008F4FD5">
            <w:pPr>
              <w:keepNext/>
            </w:pPr>
            <w:r w:rsidRPr="002A3533">
              <w:t>ASAS</w:t>
            </w:r>
            <w:r w:rsidRPr="002A3533">
              <w:rPr>
                <w:vertAlign w:val="superscript"/>
              </w:rPr>
              <w:t>a</w:t>
            </w:r>
            <w:r>
              <w:rPr>
                <w:vertAlign w:val="superscript"/>
              </w:rPr>
              <w:t>,b</w:t>
            </w:r>
            <w:r w:rsidRPr="002A3533">
              <w:t xml:space="preserve"> 20</w:t>
            </w:r>
          </w:p>
        </w:tc>
        <w:tc>
          <w:tcPr>
            <w:tcW w:w="928" w:type="pct"/>
          </w:tcPr>
          <w:p w14:paraId="53E670D5" w14:textId="77777777" w:rsidR="008844A8" w:rsidRPr="002A3533" w:rsidRDefault="00944B8F" w:rsidP="008F4FD5">
            <w:pPr>
              <w:keepNext/>
              <w:jc w:val="center"/>
            </w:pPr>
            <w:r>
              <w:t>47.1%</w:t>
            </w:r>
          </w:p>
        </w:tc>
        <w:tc>
          <w:tcPr>
            <w:tcW w:w="1005" w:type="pct"/>
          </w:tcPr>
          <w:p w14:paraId="4A838840" w14:textId="77777777" w:rsidR="008844A8" w:rsidRPr="002A3533" w:rsidRDefault="00944B8F" w:rsidP="008F4FD5">
            <w:pPr>
              <w:keepNext/>
              <w:jc w:val="center"/>
            </w:pPr>
            <w:r>
              <w:t>70.4%***</w:t>
            </w:r>
          </w:p>
        </w:tc>
      </w:tr>
      <w:tr w:rsidR="00C6578C" w14:paraId="1CAAFC17" w14:textId="77777777" w:rsidTr="003F7AAE">
        <w:trPr>
          <w:jc w:val="center"/>
        </w:trPr>
        <w:tc>
          <w:tcPr>
            <w:tcW w:w="3067" w:type="pct"/>
          </w:tcPr>
          <w:p w14:paraId="5B3AFE12" w14:textId="77777777" w:rsidR="008844A8" w:rsidRPr="002A3533" w:rsidRDefault="00944B8F" w:rsidP="008F4FD5">
            <w:pPr>
              <w:keepNext/>
            </w:pPr>
            <w:r w:rsidRPr="002A3533">
              <w:t>ASAS</w:t>
            </w:r>
            <w:r w:rsidRPr="002A3533">
              <w:rPr>
                <w:vertAlign w:val="superscript"/>
              </w:rPr>
              <w:t>a</w:t>
            </w:r>
            <w:r>
              <w:rPr>
                <w:vertAlign w:val="superscript"/>
              </w:rPr>
              <w:t>,b</w:t>
            </w:r>
            <w:r w:rsidRPr="002A3533">
              <w:t xml:space="preserve"> 40</w:t>
            </w:r>
          </w:p>
        </w:tc>
        <w:tc>
          <w:tcPr>
            <w:tcW w:w="928" w:type="pct"/>
          </w:tcPr>
          <w:p w14:paraId="0131D933" w14:textId="77777777" w:rsidR="008844A8" w:rsidRPr="002A3533" w:rsidRDefault="00944B8F" w:rsidP="008F4FD5">
            <w:pPr>
              <w:keepNext/>
              <w:jc w:val="center"/>
            </w:pPr>
            <w:r>
              <w:t>45.8%</w:t>
            </w:r>
          </w:p>
        </w:tc>
        <w:tc>
          <w:tcPr>
            <w:tcW w:w="1005" w:type="pct"/>
          </w:tcPr>
          <w:p w14:paraId="70663924" w14:textId="77777777" w:rsidR="008844A8" w:rsidRPr="002A3533" w:rsidRDefault="00944B8F" w:rsidP="008F4FD5">
            <w:pPr>
              <w:keepNext/>
              <w:jc w:val="center"/>
            </w:pPr>
            <w:r>
              <w:t>65.8%***</w:t>
            </w:r>
          </w:p>
        </w:tc>
      </w:tr>
      <w:tr w:rsidR="00C6578C" w14:paraId="194CF101" w14:textId="77777777" w:rsidTr="003F7AAE">
        <w:trPr>
          <w:jc w:val="center"/>
        </w:trPr>
        <w:tc>
          <w:tcPr>
            <w:tcW w:w="3067" w:type="pct"/>
          </w:tcPr>
          <w:p w14:paraId="6695AD7C" w14:textId="77777777" w:rsidR="008844A8" w:rsidRPr="002A3533" w:rsidRDefault="00944B8F" w:rsidP="008F4FD5">
            <w:pPr>
              <w:keepNext/>
            </w:pPr>
            <w:r w:rsidRPr="002A3533">
              <w:t>ASAS</w:t>
            </w:r>
            <w:r>
              <w:rPr>
                <w:vertAlign w:val="superscript"/>
              </w:rPr>
              <w:t>a</w:t>
            </w:r>
            <w:r w:rsidRPr="002A3533">
              <w:t xml:space="preserve"> Partial Remission</w:t>
            </w:r>
          </w:p>
        </w:tc>
        <w:tc>
          <w:tcPr>
            <w:tcW w:w="928" w:type="pct"/>
          </w:tcPr>
          <w:p w14:paraId="172D518E" w14:textId="77777777" w:rsidR="008844A8" w:rsidRPr="002A3533" w:rsidRDefault="00944B8F" w:rsidP="008F4FD5">
            <w:pPr>
              <w:keepNext/>
              <w:jc w:val="center"/>
            </w:pPr>
            <w:r>
              <w:t>26.8%</w:t>
            </w:r>
          </w:p>
        </w:tc>
        <w:tc>
          <w:tcPr>
            <w:tcW w:w="1005" w:type="pct"/>
          </w:tcPr>
          <w:p w14:paraId="409E7074" w14:textId="77777777" w:rsidR="008844A8" w:rsidRPr="002A3533" w:rsidRDefault="00944B8F" w:rsidP="008F4FD5">
            <w:pPr>
              <w:keepNext/>
              <w:jc w:val="center"/>
            </w:pPr>
            <w:r>
              <w:t>42.1%**</w:t>
            </w:r>
          </w:p>
        </w:tc>
      </w:tr>
      <w:tr w:rsidR="00C6578C" w14:paraId="7C0B5156" w14:textId="77777777" w:rsidTr="003F7AAE">
        <w:trPr>
          <w:jc w:val="center"/>
        </w:trPr>
        <w:tc>
          <w:tcPr>
            <w:tcW w:w="3067" w:type="pct"/>
          </w:tcPr>
          <w:p w14:paraId="37C66531" w14:textId="77777777" w:rsidR="008844A8" w:rsidRPr="002A3533" w:rsidRDefault="00944B8F" w:rsidP="008F4FD5">
            <w:pPr>
              <w:keepNext/>
            </w:pPr>
            <w:r w:rsidRPr="002A3533">
              <w:t>ASDAS</w:t>
            </w:r>
            <w:r w:rsidRPr="00164328">
              <w:rPr>
                <w:vertAlign w:val="superscript"/>
              </w:rPr>
              <w:t>c</w:t>
            </w:r>
            <w:r w:rsidRPr="002A3533">
              <w:t xml:space="preserve"> Inactive Disease</w:t>
            </w:r>
          </w:p>
        </w:tc>
        <w:tc>
          <w:tcPr>
            <w:tcW w:w="928" w:type="pct"/>
          </w:tcPr>
          <w:p w14:paraId="5124DA9F" w14:textId="77777777" w:rsidR="008844A8" w:rsidRPr="002A3533" w:rsidRDefault="00944B8F" w:rsidP="008F4FD5">
            <w:pPr>
              <w:keepNext/>
              <w:jc w:val="center"/>
            </w:pPr>
            <w:r>
              <w:t>33.3%</w:t>
            </w:r>
          </w:p>
        </w:tc>
        <w:tc>
          <w:tcPr>
            <w:tcW w:w="1005" w:type="pct"/>
          </w:tcPr>
          <w:p w14:paraId="0DE3ED17" w14:textId="77777777" w:rsidR="008844A8" w:rsidRPr="002A3533" w:rsidRDefault="00944B8F" w:rsidP="008F4FD5">
            <w:pPr>
              <w:keepNext/>
              <w:jc w:val="center"/>
            </w:pPr>
            <w:r>
              <w:t>57.2%***</w:t>
            </w:r>
          </w:p>
        </w:tc>
      </w:tr>
      <w:tr w:rsidR="00C6578C" w14:paraId="7C60839F" w14:textId="77777777" w:rsidTr="003F7AAE">
        <w:trPr>
          <w:jc w:val="center"/>
        </w:trPr>
        <w:tc>
          <w:tcPr>
            <w:tcW w:w="3067" w:type="pct"/>
          </w:tcPr>
          <w:p w14:paraId="593C431B" w14:textId="77777777" w:rsidR="008844A8" w:rsidRPr="00323591" w:rsidRDefault="00944B8F" w:rsidP="008F4FD5">
            <w:pPr>
              <w:keepNext/>
              <w:rPr>
                <w:vertAlign w:val="superscript"/>
              </w:rPr>
            </w:pPr>
            <w:r w:rsidRPr="00DF5A92">
              <w:t>Partial Flare</w:t>
            </w:r>
            <w:r w:rsidRPr="00164328">
              <w:rPr>
                <w:vertAlign w:val="superscript"/>
              </w:rPr>
              <w:t>d</w:t>
            </w:r>
          </w:p>
        </w:tc>
        <w:tc>
          <w:tcPr>
            <w:tcW w:w="928" w:type="pct"/>
          </w:tcPr>
          <w:p w14:paraId="77E74E2E" w14:textId="77777777" w:rsidR="008844A8" w:rsidRPr="00323591" w:rsidRDefault="00944B8F" w:rsidP="008F4FD5">
            <w:pPr>
              <w:keepNext/>
              <w:jc w:val="center"/>
            </w:pPr>
            <w:r w:rsidRPr="00DF5A92">
              <w:t>64.1%</w:t>
            </w:r>
          </w:p>
        </w:tc>
        <w:tc>
          <w:tcPr>
            <w:tcW w:w="1005" w:type="pct"/>
          </w:tcPr>
          <w:p w14:paraId="7FAF1FB6" w14:textId="77777777" w:rsidR="008844A8" w:rsidRPr="00323591" w:rsidRDefault="00944B8F" w:rsidP="008F4FD5">
            <w:pPr>
              <w:keepNext/>
              <w:jc w:val="center"/>
            </w:pPr>
            <w:r w:rsidRPr="00DF5A92">
              <w:t>40.8%**</w:t>
            </w:r>
            <w:r>
              <w:t>*</w:t>
            </w:r>
          </w:p>
        </w:tc>
      </w:tr>
      <w:tr w:rsidR="00C6578C" w14:paraId="354B1FCB" w14:textId="77777777" w:rsidTr="003F7AAE">
        <w:trPr>
          <w:jc w:val="center"/>
        </w:trPr>
        <w:tc>
          <w:tcPr>
            <w:tcW w:w="5000" w:type="pct"/>
            <w:gridSpan w:val="3"/>
            <w:tcBorders>
              <w:left w:val="nil"/>
              <w:bottom w:val="nil"/>
              <w:right w:val="nil"/>
            </w:tcBorders>
          </w:tcPr>
          <w:p w14:paraId="1DA66A5E" w14:textId="77777777" w:rsidR="008844A8" w:rsidRPr="002A3533" w:rsidRDefault="00944B8F" w:rsidP="008F4FD5">
            <w:pPr>
              <w:keepNext/>
              <w:tabs>
                <w:tab w:val="clear" w:pos="562"/>
              </w:tabs>
              <w:suppressAutoHyphens w:val="0"/>
              <w:autoSpaceDE w:val="0"/>
              <w:autoSpaceDN w:val="0"/>
              <w:adjustRightInd w:val="0"/>
              <w:rPr>
                <w:szCs w:val="20"/>
              </w:rPr>
            </w:pPr>
            <w:r w:rsidRPr="002A3533">
              <w:rPr>
                <w:vertAlign w:val="superscript"/>
              </w:rPr>
              <w:t>a</w:t>
            </w:r>
            <w:r w:rsidRPr="002A3533">
              <w:t xml:space="preserve"> </w:t>
            </w:r>
            <w:r w:rsidRPr="002A3533">
              <w:rPr>
                <w:szCs w:val="20"/>
              </w:rPr>
              <w:t>Assessment of Spondylo</w:t>
            </w:r>
            <w:r>
              <w:rPr>
                <w:szCs w:val="20"/>
              </w:rPr>
              <w:t>A</w:t>
            </w:r>
            <w:r w:rsidRPr="002A3533">
              <w:rPr>
                <w:szCs w:val="20"/>
              </w:rPr>
              <w:t xml:space="preserve">rthritis </w:t>
            </w:r>
            <w:r>
              <w:rPr>
                <w:szCs w:val="20"/>
              </w:rPr>
              <w:t>i</w:t>
            </w:r>
            <w:r w:rsidRPr="002A3533">
              <w:rPr>
                <w:szCs w:val="20"/>
              </w:rPr>
              <w:t>nternational Society</w:t>
            </w:r>
          </w:p>
          <w:p w14:paraId="144B5884" w14:textId="77777777" w:rsidR="008844A8" w:rsidRPr="00323591" w:rsidRDefault="00944B8F" w:rsidP="008F4FD5">
            <w:pPr>
              <w:pStyle w:val="EMEANormal"/>
              <w:keepNext/>
              <w:ind w:left="20"/>
              <w:rPr>
                <w:szCs w:val="22"/>
                <w:lang w:val="en-GB"/>
              </w:rPr>
            </w:pPr>
            <w:r>
              <w:rPr>
                <w:szCs w:val="22"/>
                <w:vertAlign w:val="superscript"/>
                <w:lang w:val="en-GB"/>
              </w:rPr>
              <w:t>b</w:t>
            </w:r>
            <w:r w:rsidRPr="00323591">
              <w:rPr>
                <w:szCs w:val="22"/>
                <w:lang w:val="en-GB"/>
              </w:rPr>
              <w:t xml:space="preserve"> </w:t>
            </w:r>
            <w:r w:rsidRPr="00DF5A92">
              <w:rPr>
                <w:szCs w:val="22"/>
                <w:lang w:val="en-GB"/>
              </w:rPr>
              <w:t>Baseline is defined as open label baseline when patients have active disease.</w:t>
            </w:r>
          </w:p>
          <w:p w14:paraId="298F748E" w14:textId="77777777" w:rsidR="008844A8" w:rsidRPr="002A3533" w:rsidRDefault="00944B8F" w:rsidP="008F4FD5">
            <w:pPr>
              <w:pStyle w:val="EMEANormal"/>
              <w:keepNext/>
              <w:ind w:left="20"/>
              <w:rPr>
                <w:szCs w:val="22"/>
                <w:vertAlign w:val="superscript"/>
                <w:lang w:val="en-GB"/>
              </w:rPr>
            </w:pPr>
            <w:r>
              <w:rPr>
                <w:szCs w:val="22"/>
                <w:vertAlign w:val="superscript"/>
                <w:lang w:val="en-GB"/>
              </w:rPr>
              <w:t>c</w:t>
            </w:r>
            <w:r w:rsidRPr="002A3533">
              <w:rPr>
                <w:szCs w:val="22"/>
                <w:lang w:val="en-GB"/>
              </w:rPr>
              <w:t xml:space="preserve"> </w:t>
            </w:r>
            <w:r w:rsidRPr="002A3533">
              <w:rPr>
                <w:lang w:val="en-GB"/>
              </w:rPr>
              <w:t>Ankylosing Spondylitis Disease Activity Score</w:t>
            </w:r>
          </w:p>
          <w:p w14:paraId="7F7732B0" w14:textId="77777777" w:rsidR="008844A8" w:rsidRPr="002A3533" w:rsidRDefault="00944B8F" w:rsidP="008F4FD5">
            <w:pPr>
              <w:pStyle w:val="EMEANormal"/>
              <w:keepNext/>
              <w:ind w:left="20"/>
              <w:rPr>
                <w:szCs w:val="22"/>
                <w:lang w:val="en-GB"/>
              </w:rPr>
            </w:pPr>
            <w:r w:rsidRPr="00323591">
              <w:rPr>
                <w:szCs w:val="22"/>
                <w:vertAlign w:val="superscript"/>
                <w:lang w:val="en-GB"/>
              </w:rPr>
              <w:t>d</w:t>
            </w:r>
            <w:r w:rsidRPr="002A3533">
              <w:rPr>
                <w:szCs w:val="22"/>
                <w:lang w:val="en-GB"/>
              </w:rPr>
              <w:t xml:space="preserve"> </w:t>
            </w:r>
            <w:r w:rsidRPr="00DF5A92">
              <w:rPr>
                <w:szCs w:val="22"/>
                <w:lang w:val="en-GB"/>
              </w:rPr>
              <w:t xml:space="preserve">Partial flare is defined as </w:t>
            </w:r>
            <w:r w:rsidRPr="00DF5A92">
              <w:rPr>
                <w:rFonts w:eastAsiaTheme="minorHAnsi"/>
                <w:szCs w:val="22"/>
              </w:rPr>
              <w:t>ASDAS ≥ 1.3 but &lt; 2.1</w:t>
            </w:r>
            <w:r>
              <w:rPr>
                <w:rFonts w:eastAsiaTheme="minorHAnsi"/>
                <w:szCs w:val="22"/>
              </w:rPr>
              <w:t xml:space="preserve"> </w:t>
            </w:r>
            <w:r w:rsidRPr="00DF5A92">
              <w:rPr>
                <w:rFonts w:eastAsiaTheme="minorHAnsi"/>
                <w:szCs w:val="22"/>
              </w:rPr>
              <w:t>at 2 consecutive visits.</w:t>
            </w:r>
          </w:p>
          <w:p w14:paraId="1AE0989B" w14:textId="77777777" w:rsidR="008844A8" w:rsidRPr="002A3533" w:rsidRDefault="00944B8F" w:rsidP="008F4FD5">
            <w:pPr>
              <w:pStyle w:val="EMEANormal"/>
              <w:keepNext/>
              <w:ind w:left="20"/>
              <w:rPr>
                <w:lang w:val="en-GB"/>
              </w:rPr>
            </w:pPr>
            <w:r>
              <w:rPr>
                <w:szCs w:val="22"/>
              </w:rPr>
              <w:t>***, **</w:t>
            </w:r>
            <w:r w:rsidRPr="008A481A">
              <w:rPr>
                <w:szCs w:val="22"/>
              </w:rPr>
              <w:t xml:space="preserve"> Statistically significant at p &lt;</w:t>
            </w:r>
            <w:r w:rsidRPr="008A481A">
              <w:rPr>
                <w:lang w:val="en-GB"/>
              </w:rPr>
              <w:t> </w:t>
            </w:r>
            <w:r w:rsidRPr="008A481A">
              <w:rPr>
                <w:szCs w:val="22"/>
              </w:rPr>
              <w:t>0.</w:t>
            </w:r>
            <w:r>
              <w:rPr>
                <w:szCs w:val="22"/>
              </w:rPr>
              <w:t xml:space="preserve">001 and </w:t>
            </w:r>
            <w:r w:rsidRPr="008A481A">
              <w:rPr>
                <w:szCs w:val="22"/>
              </w:rPr>
              <w:t>&lt;</w:t>
            </w:r>
            <w:r w:rsidRPr="008A481A">
              <w:rPr>
                <w:lang w:val="en-GB"/>
              </w:rPr>
              <w:t> </w:t>
            </w:r>
            <w:r w:rsidRPr="008A481A">
              <w:rPr>
                <w:szCs w:val="22"/>
              </w:rPr>
              <w:t>0.</w:t>
            </w:r>
            <w:r>
              <w:rPr>
                <w:szCs w:val="22"/>
              </w:rPr>
              <w:t>01</w:t>
            </w:r>
            <w:r w:rsidRPr="008A481A">
              <w:rPr>
                <w:szCs w:val="22"/>
              </w:rPr>
              <w:t>, respectively, for all comparisons between Humira and placebo.</w:t>
            </w:r>
          </w:p>
        </w:tc>
      </w:tr>
    </w:tbl>
    <w:p w14:paraId="1E0F6C0A" w14:textId="77777777" w:rsidR="00BC0E7E" w:rsidRPr="00BC0E7E" w:rsidRDefault="00BC0E7E" w:rsidP="00BC0E7E">
      <w:pPr>
        <w:rPr>
          <w:szCs w:val="20"/>
          <w:u w:val="single"/>
        </w:rPr>
      </w:pPr>
    </w:p>
    <w:p w14:paraId="50B08570" w14:textId="77777777" w:rsidR="00BC0E7E" w:rsidRPr="00BC0E7E" w:rsidRDefault="00944B8F" w:rsidP="00BC0E7E">
      <w:pPr>
        <w:rPr>
          <w:i/>
          <w:szCs w:val="20"/>
        </w:rPr>
      </w:pPr>
      <w:r w:rsidRPr="00BC0E7E">
        <w:rPr>
          <w:i/>
          <w:szCs w:val="20"/>
        </w:rPr>
        <w:t>Psoriatic arthritis</w:t>
      </w:r>
    </w:p>
    <w:p w14:paraId="1EFBF04F" w14:textId="77777777" w:rsidR="00BC0E7E" w:rsidRPr="00BC0E7E" w:rsidRDefault="00BC0E7E" w:rsidP="00BC0E7E">
      <w:pPr>
        <w:rPr>
          <w:szCs w:val="20"/>
        </w:rPr>
      </w:pPr>
    </w:p>
    <w:p w14:paraId="423EB947" w14:textId="77777777" w:rsidR="00BC0E7E" w:rsidRPr="00BC0E7E" w:rsidRDefault="00944B8F" w:rsidP="00BC0E7E">
      <w:pPr>
        <w:tabs>
          <w:tab w:val="clear" w:pos="562"/>
        </w:tabs>
      </w:pPr>
      <w:r w:rsidRPr="00BC0E7E">
        <w:t>Humira, 40 mg every other week, was studied in patients with moderately to severely active psoriatic arthritis in two placebo-controlled studies, PsA studies I and II.  PsA study I with 24 week duration, treated 313 adult patients who had an inadequate response to non-steroidal anti-inflammatory drug therapy and of these, approximately 50% were taking methotrexate. PsA study II with 12</w:t>
      </w:r>
      <w:r w:rsidRPr="00BC0E7E">
        <w:noBreakHyphen/>
        <w:t>week duration, treated 100 patients who had an inadequate response to DMARD therapy. Upon completion of both studies, 383 patients enrolled in an open-label extension study, in which 40 mg Humira was administered every other week.</w:t>
      </w:r>
    </w:p>
    <w:p w14:paraId="7B56A391" w14:textId="77777777" w:rsidR="00BC0E7E" w:rsidRPr="00BC0E7E" w:rsidRDefault="00BC0E7E" w:rsidP="00BC0E7E">
      <w:pPr>
        <w:tabs>
          <w:tab w:val="clear" w:pos="562"/>
        </w:tabs>
      </w:pPr>
    </w:p>
    <w:p w14:paraId="45CDFC85" w14:textId="77777777" w:rsidR="00BC0E7E" w:rsidRPr="00BC0E7E" w:rsidRDefault="00944B8F" w:rsidP="00BC0E7E">
      <w:pPr>
        <w:tabs>
          <w:tab w:val="clear" w:pos="562"/>
        </w:tabs>
      </w:pPr>
      <w:r w:rsidRPr="00BC0E7E">
        <w:t xml:space="preserve">There is insufficient evidence of the efficacy of Humira in patients with ankylosing spondylitis-like psoriatic arthropathy due to the small number of patients studied. </w:t>
      </w:r>
    </w:p>
    <w:p w14:paraId="0A5D4420" w14:textId="77777777" w:rsidR="00BC0E7E" w:rsidRPr="00BC0E7E" w:rsidRDefault="00BC0E7E" w:rsidP="00BC0E7E">
      <w:pPr>
        <w:tabs>
          <w:tab w:val="clear" w:pos="562"/>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18"/>
      </w:tblGrid>
      <w:tr w:rsidR="00C6578C" w14:paraId="71EE1263" w14:textId="77777777" w:rsidTr="001F1134">
        <w:trPr>
          <w:jc w:val="center"/>
        </w:trPr>
        <w:tc>
          <w:tcPr>
            <w:tcW w:w="11826" w:type="dxa"/>
            <w:tcBorders>
              <w:top w:val="nil"/>
              <w:left w:val="nil"/>
              <w:bottom w:val="nil"/>
              <w:right w:val="nil"/>
            </w:tcBorders>
            <w:vAlign w:val="center"/>
          </w:tcPr>
          <w:p w14:paraId="370B2FE1" w14:textId="77777777" w:rsidR="008F4FD5" w:rsidRPr="008F4FD5" w:rsidRDefault="00944B8F" w:rsidP="001F1134">
            <w:pPr>
              <w:keepNext/>
              <w:jc w:val="center"/>
              <w:rPr>
                <w:bCs/>
                <w:szCs w:val="20"/>
              </w:rPr>
            </w:pPr>
            <w:r w:rsidRPr="00BC0E7E">
              <w:rPr>
                <w:b/>
                <w:bCs/>
                <w:szCs w:val="20"/>
              </w:rPr>
              <w:t xml:space="preserve">Table </w:t>
            </w:r>
            <w:r>
              <w:rPr>
                <w:b/>
                <w:bCs/>
                <w:szCs w:val="20"/>
              </w:rPr>
              <w:t>1</w:t>
            </w:r>
            <w:r w:rsidR="00614ABC">
              <w:rPr>
                <w:b/>
                <w:bCs/>
                <w:szCs w:val="20"/>
              </w:rPr>
              <w:t>5</w:t>
            </w:r>
          </w:p>
          <w:p w14:paraId="4338A3AE" w14:textId="77777777" w:rsidR="008F4FD5" w:rsidRPr="008F4FD5" w:rsidRDefault="00944B8F" w:rsidP="001F1134">
            <w:pPr>
              <w:keepNext/>
              <w:jc w:val="center"/>
              <w:rPr>
                <w:bCs/>
                <w:szCs w:val="20"/>
              </w:rPr>
            </w:pPr>
            <w:r w:rsidRPr="00BC0E7E">
              <w:rPr>
                <w:b/>
                <w:bCs/>
                <w:szCs w:val="20"/>
              </w:rPr>
              <w:t>ACR Response in Placebo-Controlled Psoriatic Arthritis Studies</w:t>
            </w:r>
          </w:p>
          <w:p w14:paraId="6EEC14FD" w14:textId="77777777" w:rsidR="008F4FD5" w:rsidRPr="00BC0E7E" w:rsidRDefault="00944B8F" w:rsidP="001F1134">
            <w:pPr>
              <w:keepNext/>
              <w:jc w:val="center"/>
              <w:rPr>
                <w:b/>
                <w:bCs/>
                <w:szCs w:val="20"/>
              </w:rPr>
            </w:pPr>
            <w:r w:rsidRPr="00BC0E7E">
              <w:rPr>
                <w:b/>
                <w:bCs/>
                <w:szCs w:val="20"/>
              </w:rPr>
              <w:t>(Percent of Patients)</w:t>
            </w:r>
          </w:p>
        </w:tc>
      </w:tr>
    </w:tbl>
    <w:p w14:paraId="55445022" w14:textId="77777777" w:rsidR="008F4FD5" w:rsidRPr="00BC0E7E" w:rsidRDefault="008F4FD5" w:rsidP="008F4FD5">
      <w:pPr>
        <w:keepNext/>
        <w:rPr>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5"/>
        <w:gridCol w:w="1325"/>
        <w:gridCol w:w="1316"/>
        <w:gridCol w:w="1343"/>
        <w:gridCol w:w="1316"/>
        <w:gridCol w:w="11"/>
      </w:tblGrid>
      <w:tr w:rsidR="00C6578C" w14:paraId="5B90660A" w14:textId="77777777" w:rsidTr="001F1134">
        <w:trPr>
          <w:gridAfter w:val="1"/>
          <w:wAfter w:w="11" w:type="dxa"/>
          <w:jc w:val="center"/>
        </w:trPr>
        <w:tc>
          <w:tcPr>
            <w:tcW w:w="1775" w:type="dxa"/>
            <w:vAlign w:val="center"/>
          </w:tcPr>
          <w:p w14:paraId="38C2FF0B" w14:textId="77777777" w:rsidR="008F4FD5" w:rsidRPr="00BC0E7E" w:rsidRDefault="008F4FD5" w:rsidP="001F1134">
            <w:pPr>
              <w:keepNext/>
              <w:rPr>
                <w:szCs w:val="20"/>
              </w:rPr>
            </w:pPr>
          </w:p>
        </w:tc>
        <w:tc>
          <w:tcPr>
            <w:tcW w:w="2641" w:type="dxa"/>
            <w:gridSpan w:val="2"/>
            <w:vAlign w:val="center"/>
          </w:tcPr>
          <w:p w14:paraId="2BBF28E8" w14:textId="77777777" w:rsidR="008F4FD5" w:rsidRPr="00BC0E7E" w:rsidRDefault="00944B8F" w:rsidP="001F1134">
            <w:pPr>
              <w:keepNext/>
              <w:jc w:val="center"/>
              <w:rPr>
                <w:szCs w:val="20"/>
              </w:rPr>
            </w:pPr>
            <w:r w:rsidRPr="00BC0E7E">
              <w:rPr>
                <w:szCs w:val="20"/>
              </w:rPr>
              <w:t>PsA Study I</w:t>
            </w:r>
          </w:p>
        </w:tc>
        <w:tc>
          <w:tcPr>
            <w:tcW w:w="2659" w:type="dxa"/>
            <w:gridSpan w:val="2"/>
          </w:tcPr>
          <w:p w14:paraId="5F9112F0" w14:textId="77777777" w:rsidR="008F4FD5" w:rsidRPr="00BC0E7E" w:rsidRDefault="00944B8F" w:rsidP="001F1134">
            <w:pPr>
              <w:keepNext/>
              <w:jc w:val="center"/>
              <w:rPr>
                <w:szCs w:val="20"/>
              </w:rPr>
            </w:pPr>
            <w:r w:rsidRPr="00BC0E7E">
              <w:rPr>
                <w:szCs w:val="20"/>
              </w:rPr>
              <w:t>PsA Study II</w:t>
            </w:r>
          </w:p>
        </w:tc>
      </w:tr>
      <w:tr w:rsidR="00C6578C" w14:paraId="6F2ACB80" w14:textId="77777777" w:rsidTr="001F1134">
        <w:trPr>
          <w:gridAfter w:val="1"/>
          <w:wAfter w:w="11" w:type="dxa"/>
          <w:jc w:val="center"/>
        </w:trPr>
        <w:tc>
          <w:tcPr>
            <w:tcW w:w="1775" w:type="dxa"/>
            <w:vAlign w:val="center"/>
          </w:tcPr>
          <w:p w14:paraId="4DA77A34" w14:textId="77777777" w:rsidR="008F4FD5" w:rsidRPr="00BC0E7E" w:rsidRDefault="00944B8F" w:rsidP="001F1134">
            <w:pPr>
              <w:keepNext/>
              <w:rPr>
                <w:szCs w:val="20"/>
                <w:lang w:val="fr-FR"/>
              </w:rPr>
            </w:pPr>
            <w:r w:rsidRPr="00BC0E7E">
              <w:rPr>
                <w:szCs w:val="20"/>
                <w:lang w:val="fr-FR"/>
              </w:rPr>
              <w:t>Response</w:t>
            </w:r>
          </w:p>
        </w:tc>
        <w:tc>
          <w:tcPr>
            <w:tcW w:w="1325" w:type="dxa"/>
            <w:vAlign w:val="center"/>
          </w:tcPr>
          <w:p w14:paraId="2D07FE4D" w14:textId="77777777" w:rsidR="008F4FD5" w:rsidRPr="00BC0E7E" w:rsidRDefault="00944B8F" w:rsidP="001F1134">
            <w:pPr>
              <w:keepNext/>
              <w:jc w:val="center"/>
              <w:rPr>
                <w:szCs w:val="20"/>
                <w:lang w:val="fr-FR"/>
              </w:rPr>
            </w:pPr>
            <w:r w:rsidRPr="00BC0E7E">
              <w:rPr>
                <w:szCs w:val="20"/>
                <w:lang w:val="fr-FR"/>
              </w:rPr>
              <w:t>Placebo</w:t>
            </w:r>
          </w:p>
          <w:p w14:paraId="26B3888C" w14:textId="77777777" w:rsidR="008F4FD5" w:rsidRPr="00BC0E7E" w:rsidRDefault="00944B8F" w:rsidP="001F1134">
            <w:pPr>
              <w:keepNext/>
              <w:jc w:val="center"/>
              <w:rPr>
                <w:szCs w:val="20"/>
                <w:lang w:val="fr-FR"/>
              </w:rPr>
            </w:pPr>
            <w:r w:rsidRPr="00BC0E7E">
              <w:rPr>
                <w:szCs w:val="20"/>
                <w:lang w:val="fr-FR"/>
              </w:rPr>
              <w:t>N=162</w:t>
            </w:r>
          </w:p>
        </w:tc>
        <w:tc>
          <w:tcPr>
            <w:tcW w:w="1316" w:type="dxa"/>
            <w:tcBorders>
              <w:right w:val="nil"/>
            </w:tcBorders>
            <w:vAlign w:val="center"/>
          </w:tcPr>
          <w:p w14:paraId="508A1BA8" w14:textId="77777777" w:rsidR="008F4FD5" w:rsidRPr="00BC0E7E" w:rsidRDefault="00944B8F" w:rsidP="001F1134">
            <w:pPr>
              <w:keepNext/>
              <w:jc w:val="center"/>
              <w:rPr>
                <w:szCs w:val="20"/>
                <w:lang w:val="fr-FR"/>
              </w:rPr>
            </w:pPr>
            <w:r w:rsidRPr="00BC0E7E">
              <w:rPr>
                <w:szCs w:val="20"/>
                <w:lang w:val="fr-FR"/>
              </w:rPr>
              <w:t>Humira</w:t>
            </w:r>
          </w:p>
          <w:p w14:paraId="5D53C9BB" w14:textId="77777777" w:rsidR="008F4FD5" w:rsidRPr="00BC0E7E" w:rsidRDefault="00944B8F" w:rsidP="001F1134">
            <w:pPr>
              <w:keepNext/>
              <w:jc w:val="center"/>
              <w:rPr>
                <w:szCs w:val="20"/>
                <w:lang w:val="fr-FR"/>
              </w:rPr>
            </w:pPr>
            <w:r w:rsidRPr="00BC0E7E">
              <w:rPr>
                <w:szCs w:val="20"/>
                <w:lang w:val="fr-FR"/>
              </w:rPr>
              <w:t>N=151</w:t>
            </w:r>
          </w:p>
        </w:tc>
        <w:tc>
          <w:tcPr>
            <w:tcW w:w="1343" w:type="dxa"/>
          </w:tcPr>
          <w:p w14:paraId="726EF2A2" w14:textId="77777777" w:rsidR="008F4FD5" w:rsidRPr="00BC0E7E" w:rsidRDefault="00944B8F" w:rsidP="001F1134">
            <w:pPr>
              <w:keepNext/>
              <w:jc w:val="center"/>
              <w:rPr>
                <w:szCs w:val="20"/>
                <w:lang w:val="fr-FR"/>
              </w:rPr>
            </w:pPr>
            <w:r w:rsidRPr="00BC0E7E">
              <w:rPr>
                <w:szCs w:val="20"/>
                <w:lang w:val="fr-FR"/>
              </w:rPr>
              <w:t xml:space="preserve">Placebo </w:t>
            </w:r>
          </w:p>
          <w:p w14:paraId="255F19AE" w14:textId="77777777" w:rsidR="008F4FD5" w:rsidRPr="00BC0E7E" w:rsidRDefault="00944B8F" w:rsidP="001F1134">
            <w:pPr>
              <w:keepNext/>
              <w:jc w:val="center"/>
              <w:rPr>
                <w:szCs w:val="20"/>
                <w:lang w:val="fr-FR"/>
              </w:rPr>
            </w:pPr>
            <w:r w:rsidRPr="00BC0E7E">
              <w:rPr>
                <w:szCs w:val="20"/>
                <w:lang w:val="fr-FR"/>
              </w:rPr>
              <w:t>N=49</w:t>
            </w:r>
          </w:p>
        </w:tc>
        <w:tc>
          <w:tcPr>
            <w:tcW w:w="1316" w:type="dxa"/>
          </w:tcPr>
          <w:p w14:paraId="4C68E02F" w14:textId="77777777" w:rsidR="008F4FD5" w:rsidRPr="00BC0E7E" w:rsidRDefault="00944B8F" w:rsidP="001F1134">
            <w:pPr>
              <w:keepNext/>
              <w:jc w:val="center"/>
              <w:rPr>
                <w:szCs w:val="20"/>
                <w:lang w:val="fr-FR"/>
              </w:rPr>
            </w:pPr>
            <w:r w:rsidRPr="00BC0E7E">
              <w:rPr>
                <w:szCs w:val="20"/>
                <w:lang w:val="fr-FR"/>
              </w:rPr>
              <w:t>Humira</w:t>
            </w:r>
          </w:p>
          <w:p w14:paraId="6E6D38D9" w14:textId="77777777" w:rsidR="008F4FD5" w:rsidRPr="00BC0E7E" w:rsidRDefault="00944B8F" w:rsidP="001F1134">
            <w:pPr>
              <w:keepNext/>
              <w:jc w:val="center"/>
              <w:rPr>
                <w:szCs w:val="20"/>
              </w:rPr>
            </w:pPr>
            <w:r w:rsidRPr="00BC0E7E">
              <w:rPr>
                <w:szCs w:val="20"/>
              </w:rPr>
              <w:t>N=51</w:t>
            </w:r>
          </w:p>
        </w:tc>
      </w:tr>
      <w:tr w:rsidR="00C6578C" w14:paraId="2A566442" w14:textId="77777777" w:rsidTr="001F1134">
        <w:trPr>
          <w:gridAfter w:val="1"/>
          <w:wAfter w:w="11" w:type="dxa"/>
          <w:jc w:val="center"/>
        </w:trPr>
        <w:tc>
          <w:tcPr>
            <w:tcW w:w="1775" w:type="dxa"/>
            <w:tcBorders>
              <w:bottom w:val="nil"/>
            </w:tcBorders>
          </w:tcPr>
          <w:p w14:paraId="57CDD247" w14:textId="77777777" w:rsidR="008F4FD5" w:rsidRPr="00BC0E7E" w:rsidRDefault="00944B8F" w:rsidP="001F1134">
            <w:pPr>
              <w:keepNext/>
              <w:rPr>
                <w:szCs w:val="20"/>
              </w:rPr>
            </w:pPr>
            <w:r w:rsidRPr="00BC0E7E">
              <w:rPr>
                <w:szCs w:val="20"/>
              </w:rPr>
              <w:t xml:space="preserve">ACR 20 </w:t>
            </w:r>
          </w:p>
        </w:tc>
        <w:tc>
          <w:tcPr>
            <w:tcW w:w="1325" w:type="dxa"/>
            <w:tcBorders>
              <w:bottom w:val="nil"/>
            </w:tcBorders>
          </w:tcPr>
          <w:p w14:paraId="0E08D379" w14:textId="77777777" w:rsidR="008F4FD5" w:rsidRPr="00BC0E7E" w:rsidRDefault="008F4FD5" w:rsidP="001F1134">
            <w:pPr>
              <w:keepNext/>
              <w:jc w:val="center"/>
              <w:rPr>
                <w:szCs w:val="20"/>
              </w:rPr>
            </w:pPr>
          </w:p>
        </w:tc>
        <w:tc>
          <w:tcPr>
            <w:tcW w:w="1316" w:type="dxa"/>
            <w:tcBorders>
              <w:bottom w:val="nil"/>
              <w:right w:val="nil"/>
            </w:tcBorders>
          </w:tcPr>
          <w:p w14:paraId="03A58F18" w14:textId="77777777" w:rsidR="008F4FD5" w:rsidRPr="00BC0E7E" w:rsidRDefault="008F4FD5" w:rsidP="001F1134">
            <w:pPr>
              <w:keepNext/>
              <w:jc w:val="center"/>
              <w:rPr>
                <w:szCs w:val="20"/>
              </w:rPr>
            </w:pPr>
          </w:p>
        </w:tc>
        <w:tc>
          <w:tcPr>
            <w:tcW w:w="1343" w:type="dxa"/>
            <w:tcBorders>
              <w:bottom w:val="nil"/>
            </w:tcBorders>
          </w:tcPr>
          <w:p w14:paraId="016F3FCC" w14:textId="77777777" w:rsidR="008F4FD5" w:rsidRPr="00BC0E7E" w:rsidRDefault="008F4FD5" w:rsidP="001F1134">
            <w:pPr>
              <w:keepNext/>
              <w:jc w:val="center"/>
              <w:rPr>
                <w:szCs w:val="20"/>
              </w:rPr>
            </w:pPr>
          </w:p>
        </w:tc>
        <w:tc>
          <w:tcPr>
            <w:tcW w:w="1316" w:type="dxa"/>
            <w:tcBorders>
              <w:bottom w:val="nil"/>
            </w:tcBorders>
          </w:tcPr>
          <w:p w14:paraId="23EF31CE" w14:textId="77777777" w:rsidR="008F4FD5" w:rsidRPr="00BC0E7E" w:rsidRDefault="008F4FD5" w:rsidP="001F1134">
            <w:pPr>
              <w:keepNext/>
              <w:jc w:val="center"/>
              <w:rPr>
                <w:szCs w:val="20"/>
              </w:rPr>
            </w:pPr>
          </w:p>
        </w:tc>
      </w:tr>
      <w:tr w:rsidR="00C6578C" w14:paraId="26970771" w14:textId="77777777" w:rsidTr="001F1134">
        <w:trPr>
          <w:gridAfter w:val="1"/>
          <w:wAfter w:w="11" w:type="dxa"/>
          <w:jc w:val="center"/>
        </w:trPr>
        <w:tc>
          <w:tcPr>
            <w:tcW w:w="1775" w:type="dxa"/>
            <w:tcBorders>
              <w:top w:val="nil"/>
              <w:bottom w:val="nil"/>
            </w:tcBorders>
          </w:tcPr>
          <w:p w14:paraId="4F5114B3" w14:textId="77777777" w:rsidR="008F4FD5" w:rsidRPr="00BC0E7E" w:rsidRDefault="00944B8F" w:rsidP="001F1134">
            <w:pPr>
              <w:keepNext/>
              <w:rPr>
                <w:szCs w:val="20"/>
              </w:rPr>
            </w:pPr>
            <w:r w:rsidRPr="00BC0E7E">
              <w:rPr>
                <w:szCs w:val="20"/>
              </w:rPr>
              <w:tab/>
              <w:t>Week 12</w:t>
            </w:r>
          </w:p>
        </w:tc>
        <w:tc>
          <w:tcPr>
            <w:tcW w:w="1325" w:type="dxa"/>
            <w:tcBorders>
              <w:top w:val="nil"/>
              <w:bottom w:val="nil"/>
            </w:tcBorders>
          </w:tcPr>
          <w:p w14:paraId="7493FB9E" w14:textId="77777777" w:rsidR="008F4FD5" w:rsidRPr="00BC0E7E" w:rsidRDefault="00944B8F" w:rsidP="001F1134">
            <w:pPr>
              <w:keepNext/>
              <w:jc w:val="center"/>
              <w:rPr>
                <w:szCs w:val="20"/>
              </w:rPr>
            </w:pPr>
            <w:r w:rsidRPr="00BC0E7E">
              <w:rPr>
                <w:szCs w:val="20"/>
              </w:rPr>
              <w:t>14%</w:t>
            </w:r>
          </w:p>
        </w:tc>
        <w:tc>
          <w:tcPr>
            <w:tcW w:w="1316" w:type="dxa"/>
            <w:tcBorders>
              <w:top w:val="nil"/>
              <w:bottom w:val="nil"/>
              <w:right w:val="nil"/>
            </w:tcBorders>
          </w:tcPr>
          <w:p w14:paraId="6C28C3CC" w14:textId="77777777" w:rsidR="008F4FD5" w:rsidRPr="00BC0E7E" w:rsidRDefault="00944B8F" w:rsidP="001F1134">
            <w:pPr>
              <w:keepNext/>
              <w:jc w:val="center"/>
              <w:rPr>
                <w:szCs w:val="20"/>
              </w:rPr>
            </w:pPr>
            <w:r w:rsidRPr="00BC0E7E">
              <w:rPr>
                <w:szCs w:val="20"/>
              </w:rPr>
              <w:t>58%</w:t>
            </w:r>
            <w:r w:rsidRPr="00BC0E7E">
              <w:rPr>
                <w:szCs w:val="20"/>
                <w:vertAlign w:val="superscript"/>
              </w:rPr>
              <w:t>***</w:t>
            </w:r>
          </w:p>
        </w:tc>
        <w:tc>
          <w:tcPr>
            <w:tcW w:w="1343" w:type="dxa"/>
            <w:tcBorders>
              <w:top w:val="nil"/>
              <w:bottom w:val="nil"/>
            </w:tcBorders>
          </w:tcPr>
          <w:p w14:paraId="72EC5C6C" w14:textId="77777777" w:rsidR="008F4FD5" w:rsidRPr="00BC0E7E" w:rsidRDefault="00944B8F" w:rsidP="001F1134">
            <w:pPr>
              <w:keepNext/>
              <w:jc w:val="center"/>
              <w:rPr>
                <w:szCs w:val="20"/>
              </w:rPr>
            </w:pPr>
            <w:r w:rsidRPr="00BC0E7E">
              <w:rPr>
                <w:szCs w:val="20"/>
              </w:rPr>
              <w:t>16%</w:t>
            </w:r>
          </w:p>
        </w:tc>
        <w:tc>
          <w:tcPr>
            <w:tcW w:w="1316" w:type="dxa"/>
            <w:tcBorders>
              <w:top w:val="nil"/>
              <w:bottom w:val="nil"/>
            </w:tcBorders>
          </w:tcPr>
          <w:p w14:paraId="70A28A0D" w14:textId="77777777" w:rsidR="008F4FD5" w:rsidRPr="00BC0E7E" w:rsidRDefault="00944B8F" w:rsidP="001F1134">
            <w:pPr>
              <w:keepNext/>
              <w:jc w:val="center"/>
              <w:rPr>
                <w:szCs w:val="20"/>
              </w:rPr>
            </w:pPr>
            <w:r w:rsidRPr="00BC0E7E">
              <w:rPr>
                <w:szCs w:val="20"/>
              </w:rPr>
              <w:t>39%</w:t>
            </w:r>
            <w:r w:rsidRPr="00BC0E7E">
              <w:rPr>
                <w:szCs w:val="20"/>
                <w:vertAlign w:val="superscript"/>
              </w:rPr>
              <w:t>*</w:t>
            </w:r>
          </w:p>
        </w:tc>
      </w:tr>
      <w:tr w:rsidR="00C6578C" w14:paraId="2A84CA7F" w14:textId="77777777" w:rsidTr="001F1134">
        <w:trPr>
          <w:gridAfter w:val="1"/>
          <w:wAfter w:w="11" w:type="dxa"/>
          <w:jc w:val="center"/>
        </w:trPr>
        <w:tc>
          <w:tcPr>
            <w:tcW w:w="1775" w:type="dxa"/>
            <w:tcBorders>
              <w:top w:val="nil"/>
              <w:bottom w:val="nil"/>
            </w:tcBorders>
          </w:tcPr>
          <w:p w14:paraId="0B053120" w14:textId="77777777" w:rsidR="008F4FD5" w:rsidRPr="00BC0E7E" w:rsidRDefault="00944B8F" w:rsidP="001F1134">
            <w:pPr>
              <w:keepNext/>
              <w:rPr>
                <w:szCs w:val="20"/>
              </w:rPr>
            </w:pPr>
            <w:r w:rsidRPr="00BC0E7E">
              <w:rPr>
                <w:szCs w:val="20"/>
              </w:rPr>
              <w:tab/>
              <w:t>Week 24</w:t>
            </w:r>
          </w:p>
        </w:tc>
        <w:tc>
          <w:tcPr>
            <w:tcW w:w="1325" w:type="dxa"/>
            <w:tcBorders>
              <w:top w:val="nil"/>
              <w:bottom w:val="nil"/>
            </w:tcBorders>
          </w:tcPr>
          <w:p w14:paraId="613A5F81" w14:textId="77777777" w:rsidR="008F4FD5" w:rsidRPr="00BC0E7E" w:rsidRDefault="00944B8F" w:rsidP="001F1134">
            <w:pPr>
              <w:keepNext/>
              <w:jc w:val="center"/>
              <w:rPr>
                <w:szCs w:val="20"/>
              </w:rPr>
            </w:pPr>
            <w:r w:rsidRPr="00BC0E7E">
              <w:rPr>
                <w:szCs w:val="20"/>
              </w:rPr>
              <w:t>15%</w:t>
            </w:r>
          </w:p>
        </w:tc>
        <w:tc>
          <w:tcPr>
            <w:tcW w:w="1316" w:type="dxa"/>
            <w:tcBorders>
              <w:top w:val="nil"/>
              <w:bottom w:val="nil"/>
              <w:right w:val="nil"/>
            </w:tcBorders>
          </w:tcPr>
          <w:p w14:paraId="176ED1A0" w14:textId="77777777" w:rsidR="008F4FD5" w:rsidRPr="00BC0E7E" w:rsidRDefault="00944B8F" w:rsidP="001F1134">
            <w:pPr>
              <w:keepNext/>
              <w:jc w:val="center"/>
              <w:rPr>
                <w:szCs w:val="20"/>
              </w:rPr>
            </w:pPr>
            <w:r w:rsidRPr="00BC0E7E">
              <w:rPr>
                <w:szCs w:val="20"/>
              </w:rPr>
              <w:t>57%</w:t>
            </w:r>
            <w:r w:rsidRPr="00BC0E7E">
              <w:rPr>
                <w:szCs w:val="20"/>
                <w:vertAlign w:val="superscript"/>
              </w:rPr>
              <w:t>***</w:t>
            </w:r>
          </w:p>
        </w:tc>
        <w:tc>
          <w:tcPr>
            <w:tcW w:w="1343" w:type="dxa"/>
            <w:tcBorders>
              <w:top w:val="nil"/>
              <w:bottom w:val="nil"/>
            </w:tcBorders>
          </w:tcPr>
          <w:p w14:paraId="116CA0F9" w14:textId="77777777" w:rsidR="008F4FD5" w:rsidRPr="00BC0E7E" w:rsidRDefault="00944B8F" w:rsidP="001F1134">
            <w:pPr>
              <w:keepNext/>
              <w:jc w:val="center"/>
              <w:rPr>
                <w:szCs w:val="20"/>
              </w:rPr>
            </w:pPr>
            <w:r w:rsidRPr="00BC0E7E">
              <w:rPr>
                <w:szCs w:val="20"/>
              </w:rPr>
              <w:t>N/A</w:t>
            </w:r>
          </w:p>
        </w:tc>
        <w:tc>
          <w:tcPr>
            <w:tcW w:w="1316" w:type="dxa"/>
            <w:tcBorders>
              <w:top w:val="nil"/>
              <w:bottom w:val="nil"/>
            </w:tcBorders>
          </w:tcPr>
          <w:p w14:paraId="0F682CA1" w14:textId="77777777" w:rsidR="008F4FD5" w:rsidRPr="00BC0E7E" w:rsidRDefault="00944B8F" w:rsidP="001F1134">
            <w:pPr>
              <w:keepNext/>
              <w:jc w:val="center"/>
              <w:rPr>
                <w:szCs w:val="20"/>
              </w:rPr>
            </w:pPr>
            <w:r w:rsidRPr="00BC0E7E">
              <w:rPr>
                <w:szCs w:val="20"/>
              </w:rPr>
              <w:t>N/A</w:t>
            </w:r>
          </w:p>
        </w:tc>
      </w:tr>
      <w:tr w:rsidR="00C6578C" w14:paraId="0231FBD6" w14:textId="77777777" w:rsidTr="001F1134">
        <w:trPr>
          <w:gridAfter w:val="1"/>
          <w:wAfter w:w="11" w:type="dxa"/>
          <w:jc w:val="center"/>
        </w:trPr>
        <w:tc>
          <w:tcPr>
            <w:tcW w:w="1775" w:type="dxa"/>
            <w:tcBorders>
              <w:top w:val="nil"/>
              <w:bottom w:val="nil"/>
            </w:tcBorders>
          </w:tcPr>
          <w:p w14:paraId="435931D8" w14:textId="77777777" w:rsidR="008F4FD5" w:rsidRPr="00BC0E7E" w:rsidRDefault="00944B8F" w:rsidP="001F1134">
            <w:pPr>
              <w:keepNext/>
              <w:rPr>
                <w:szCs w:val="20"/>
              </w:rPr>
            </w:pPr>
            <w:r w:rsidRPr="00BC0E7E">
              <w:rPr>
                <w:szCs w:val="20"/>
              </w:rPr>
              <w:t xml:space="preserve">ACR 50 </w:t>
            </w:r>
          </w:p>
        </w:tc>
        <w:tc>
          <w:tcPr>
            <w:tcW w:w="1325" w:type="dxa"/>
            <w:tcBorders>
              <w:top w:val="nil"/>
              <w:bottom w:val="nil"/>
            </w:tcBorders>
          </w:tcPr>
          <w:p w14:paraId="4FD9FECA" w14:textId="77777777" w:rsidR="008F4FD5" w:rsidRPr="00BC0E7E" w:rsidRDefault="008F4FD5" w:rsidP="001F1134">
            <w:pPr>
              <w:keepNext/>
              <w:jc w:val="center"/>
              <w:rPr>
                <w:szCs w:val="20"/>
              </w:rPr>
            </w:pPr>
          </w:p>
        </w:tc>
        <w:tc>
          <w:tcPr>
            <w:tcW w:w="1316" w:type="dxa"/>
            <w:tcBorders>
              <w:top w:val="nil"/>
              <w:bottom w:val="nil"/>
              <w:right w:val="nil"/>
            </w:tcBorders>
          </w:tcPr>
          <w:p w14:paraId="7910649F" w14:textId="77777777" w:rsidR="008F4FD5" w:rsidRPr="00BC0E7E" w:rsidRDefault="008F4FD5" w:rsidP="001F1134">
            <w:pPr>
              <w:keepNext/>
              <w:jc w:val="center"/>
              <w:rPr>
                <w:szCs w:val="20"/>
              </w:rPr>
            </w:pPr>
          </w:p>
        </w:tc>
        <w:tc>
          <w:tcPr>
            <w:tcW w:w="1343" w:type="dxa"/>
            <w:tcBorders>
              <w:top w:val="nil"/>
              <w:bottom w:val="nil"/>
            </w:tcBorders>
          </w:tcPr>
          <w:p w14:paraId="04F10E6B" w14:textId="77777777" w:rsidR="008F4FD5" w:rsidRPr="00BC0E7E" w:rsidRDefault="008F4FD5" w:rsidP="001F1134">
            <w:pPr>
              <w:keepNext/>
              <w:jc w:val="center"/>
              <w:rPr>
                <w:szCs w:val="20"/>
              </w:rPr>
            </w:pPr>
          </w:p>
        </w:tc>
        <w:tc>
          <w:tcPr>
            <w:tcW w:w="1316" w:type="dxa"/>
            <w:tcBorders>
              <w:top w:val="nil"/>
              <w:bottom w:val="nil"/>
            </w:tcBorders>
          </w:tcPr>
          <w:p w14:paraId="2EC2CCA7" w14:textId="77777777" w:rsidR="008F4FD5" w:rsidRPr="00BC0E7E" w:rsidRDefault="008F4FD5" w:rsidP="001F1134">
            <w:pPr>
              <w:keepNext/>
              <w:jc w:val="center"/>
              <w:rPr>
                <w:szCs w:val="20"/>
              </w:rPr>
            </w:pPr>
          </w:p>
        </w:tc>
      </w:tr>
      <w:tr w:rsidR="00C6578C" w14:paraId="6831BDCC" w14:textId="77777777" w:rsidTr="001F1134">
        <w:trPr>
          <w:gridAfter w:val="1"/>
          <w:wAfter w:w="11" w:type="dxa"/>
          <w:jc w:val="center"/>
        </w:trPr>
        <w:tc>
          <w:tcPr>
            <w:tcW w:w="1775" w:type="dxa"/>
            <w:tcBorders>
              <w:top w:val="nil"/>
              <w:bottom w:val="nil"/>
            </w:tcBorders>
          </w:tcPr>
          <w:p w14:paraId="5296FA10" w14:textId="77777777" w:rsidR="008F4FD5" w:rsidRPr="00BC0E7E" w:rsidRDefault="00944B8F" w:rsidP="001F1134">
            <w:pPr>
              <w:keepNext/>
              <w:rPr>
                <w:szCs w:val="20"/>
              </w:rPr>
            </w:pPr>
            <w:r w:rsidRPr="00BC0E7E">
              <w:rPr>
                <w:szCs w:val="20"/>
              </w:rPr>
              <w:tab/>
              <w:t>Week 12</w:t>
            </w:r>
          </w:p>
        </w:tc>
        <w:tc>
          <w:tcPr>
            <w:tcW w:w="1325" w:type="dxa"/>
            <w:tcBorders>
              <w:top w:val="nil"/>
              <w:bottom w:val="nil"/>
            </w:tcBorders>
          </w:tcPr>
          <w:p w14:paraId="05040FEF" w14:textId="77777777" w:rsidR="008F4FD5" w:rsidRPr="00BC0E7E" w:rsidRDefault="00944B8F" w:rsidP="001F1134">
            <w:pPr>
              <w:keepNext/>
              <w:jc w:val="center"/>
              <w:rPr>
                <w:szCs w:val="20"/>
              </w:rPr>
            </w:pPr>
            <w:r w:rsidRPr="00BC0E7E">
              <w:rPr>
                <w:szCs w:val="20"/>
              </w:rPr>
              <w:t>4%</w:t>
            </w:r>
          </w:p>
        </w:tc>
        <w:tc>
          <w:tcPr>
            <w:tcW w:w="1316" w:type="dxa"/>
            <w:tcBorders>
              <w:top w:val="nil"/>
              <w:bottom w:val="nil"/>
              <w:right w:val="nil"/>
            </w:tcBorders>
          </w:tcPr>
          <w:p w14:paraId="07E3FF52" w14:textId="77777777" w:rsidR="008F4FD5" w:rsidRPr="00BC0E7E" w:rsidRDefault="00944B8F" w:rsidP="001F1134">
            <w:pPr>
              <w:keepNext/>
              <w:jc w:val="center"/>
              <w:rPr>
                <w:szCs w:val="20"/>
              </w:rPr>
            </w:pPr>
            <w:r w:rsidRPr="00BC0E7E">
              <w:rPr>
                <w:szCs w:val="20"/>
              </w:rPr>
              <w:t>36%</w:t>
            </w:r>
            <w:r w:rsidRPr="00BC0E7E">
              <w:rPr>
                <w:szCs w:val="20"/>
                <w:vertAlign w:val="superscript"/>
              </w:rPr>
              <w:t>***</w:t>
            </w:r>
          </w:p>
        </w:tc>
        <w:tc>
          <w:tcPr>
            <w:tcW w:w="1343" w:type="dxa"/>
            <w:tcBorders>
              <w:top w:val="nil"/>
              <w:bottom w:val="nil"/>
            </w:tcBorders>
          </w:tcPr>
          <w:p w14:paraId="50C6A8CE" w14:textId="77777777" w:rsidR="008F4FD5" w:rsidRPr="00BC0E7E" w:rsidRDefault="00944B8F" w:rsidP="001F1134">
            <w:pPr>
              <w:keepNext/>
              <w:jc w:val="center"/>
              <w:rPr>
                <w:szCs w:val="20"/>
              </w:rPr>
            </w:pPr>
            <w:r w:rsidRPr="00BC0E7E">
              <w:rPr>
                <w:szCs w:val="20"/>
              </w:rPr>
              <w:t>2%</w:t>
            </w:r>
          </w:p>
        </w:tc>
        <w:tc>
          <w:tcPr>
            <w:tcW w:w="1316" w:type="dxa"/>
            <w:tcBorders>
              <w:top w:val="nil"/>
              <w:bottom w:val="nil"/>
            </w:tcBorders>
          </w:tcPr>
          <w:p w14:paraId="7046D3A1" w14:textId="77777777" w:rsidR="008F4FD5" w:rsidRPr="00BC0E7E" w:rsidRDefault="00944B8F" w:rsidP="001F1134">
            <w:pPr>
              <w:keepNext/>
              <w:jc w:val="center"/>
              <w:rPr>
                <w:szCs w:val="20"/>
              </w:rPr>
            </w:pPr>
            <w:r w:rsidRPr="00BC0E7E">
              <w:rPr>
                <w:szCs w:val="20"/>
              </w:rPr>
              <w:t>25%</w:t>
            </w:r>
            <w:r w:rsidRPr="00BC0E7E">
              <w:rPr>
                <w:szCs w:val="20"/>
                <w:vertAlign w:val="superscript"/>
              </w:rPr>
              <w:t>***</w:t>
            </w:r>
          </w:p>
        </w:tc>
      </w:tr>
      <w:tr w:rsidR="00C6578C" w14:paraId="55DDF0F0" w14:textId="77777777" w:rsidTr="001F1134">
        <w:trPr>
          <w:gridAfter w:val="1"/>
          <w:wAfter w:w="11" w:type="dxa"/>
          <w:jc w:val="center"/>
        </w:trPr>
        <w:tc>
          <w:tcPr>
            <w:tcW w:w="1775" w:type="dxa"/>
            <w:tcBorders>
              <w:top w:val="nil"/>
              <w:bottom w:val="nil"/>
            </w:tcBorders>
          </w:tcPr>
          <w:p w14:paraId="574B341E" w14:textId="77777777" w:rsidR="008F4FD5" w:rsidRPr="00BC0E7E" w:rsidRDefault="00944B8F" w:rsidP="001F1134">
            <w:pPr>
              <w:keepNext/>
              <w:rPr>
                <w:szCs w:val="20"/>
              </w:rPr>
            </w:pPr>
            <w:r w:rsidRPr="00BC0E7E">
              <w:rPr>
                <w:szCs w:val="20"/>
              </w:rPr>
              <w:tab/>
              <w:t>Week 24</w:t>
            </w:r>
          </w:p>
        </w:tc>
        <w:tc>
          <w:tcPr>
            <w:tcW w:w="1325" w:type="dxa"/>
            <w:tcBorders>
              <w:top w:val="nil"/>
              <w:bottom w:val="nil"/>
            </w:tcBorders>
          </w:tcPr>
          <w:p w14:paraId="7B1B4A25" w14:textId="77777777" w:rsidR="008F4FD5" w:rsidRPr="00BC0E7E" w:rsidRDefault="00944B8F" w:rsidP="001F1134">
            <w:pPr>
              <w:keepNext/>
              <w:jc w:val="center"/>
              <w:rPr>
                <w:szCs w:val="20"/>
              </w:rPr>
            </w:pPr>
            <w:r w:rsidRPr="00BC0E7E">
              <w:rPr>
                <w:szCs w:val="20"/>
              </w:rPr>
              <w:t>6%</w:t>
            </w:r>
          </w:p>
        </w:tc>
        <w:tc>
          <w:tcPr>
            <w:tcW w:w="1316" w:type="dxa"/>
            <w:tcBorders>
              <w:top w:val="nil"/>
              <w:bottom w:val="nil"/>
              <w:right w:val="nil"/>
            </w:tcBorders>
          </w:tcPr>
          <w:p w14:paraId="60F8792E" w14:textId="77777777" w:rsidR="008F4FD5" w:rsidRPr="00BC0E7E" w:rsidRDefault="00944B8F" w:rsidP="001F1134">
            <w:pPr>
              <w:keepNext/>
              <w:jc w:val="center"/>
              <w:rPr>
                <w:szCs w:val="20"/>
              </w:rPr>
            </w:pPr>
            <w:r w:rsidRPr="00BC0E7E">
              <w:rPr>
                <w:szCs w:val="20"/>
              </w:rPr>
              <w:t>39%</w:t>
            </w:r>
            <w:r w:rsidRPr="00BC0E7E">
              <w:rPr>
                <w:szCs w:val="20"/>
                <w:vertAlign w:val="superscript"/>
              </w:rPr>
              <w:t>***</w:t>
            </w:r>
          </w:p>
        </w:tc>
        <w:tc>
          <w:tcPr>
            <w:tcW w:w="1343" w:type="dxa"/>
            <w:tcBorders>
              <w:top w:val="nil"/>
              <w:bottom w:val="nil"/>
            </w:tcBorders>
          </w:tcPr>
          <w:p w14:paraId="374DD0C6" w14:textId="77777777" w:rsidR="008F4FD5" w:rsidRPr="00BC0E7E" w:rsidRDefault="00944B8F" w:rsidP="001F1134">
            <w:pPr>
              <w:keepNext/>
              <w:jc w:val="center"/>
              <w:rPr>
                <w:szCs w:val="20"/>
              </w:rPr>
            </w:pPr>
            <w:r w:rsidRPr="00BC0E7E">
              <w:rPr>
                <w:szCs w:val="20"/>
              </w:rPr>
              <w:t>N/A</w:t>
            </w:r>
          </w:p>
        </w:tc>
        <w:tc>
          <w:tcPr>
            <w:tcW w:w="1316" w:type="dxa"/>
            <w:tcBorders>
              <w:top w:val="nil"/>
              <w:bottom w:val="nil"/>
            </w:tcBorders>
          </w:tcPr>
          <w:p w14:paraId="3F4F0775" w14:textId="77777777" w:rsidR="008F4FD5" w:rsidRPr="00BC0E7E" w:rsidRDefault="00944B8F" w:rsidP="001F1134">
            <w:pPr>
              <w:keepNext/>
              <w:jc w:val="center"/>
              <w:rPr>
                <w:szCs w:val="20"/>
              </w:rPr>
            </w:pPr>
            <w:r w:rsidRPr="00BC0E7E">
              <w:rPr>
                <w:szCs w:val="20"/>
              </w:rPr>
              <w:t>N/A</w:t>
            </w:r>
          </w:p>
        </w:tc>
      </w:tr>
      <w:tr w:rsidR="00C6578C" w14:paraId="61F2BD40" w14:textId="77777777" w:rsidTr="001F1134">
        <w:trPr>
          <w:gridAfter w:val="1"/>
          <w:wAfter w:w="11" w:type="dxa"/>
          <w:jc w:val="center"/>
        </w:trPr>
        <w:tc>
          <w:tcPr>
            <w:tcW w:w="1775" w:type="dxa"/>
            <w:tcBorders>
              <w:top w:val="nil"/>
              <w:bottom w:val="nil"/>
            </w:tcBorders>
          </w:tcPr>
          <w:p w14:paraId="3E71146F" w14:textId="77777777" w:rsidR="008F4FD5" w:rsidRPr="00BC0E7E" w:rsidRDefault="00944B8F" w:rsidP="001F1134">
            <w:pPr>
              <w:keepNext/>
              <w:rPr>
                <w:szCs w:val="20"/>
              </w:rPr>
            </w:pPr>
            <w:r w:rsidRPr="00BC0E7E">
              <w:rPr>
                <w:szCs w:val="20"/>
              </w:rPr>
              <w:t xml:space="preserve">ACR 70 </w:t>
            </w:r>
          </w:p>
        </w:tc>
        <w:tc>
          <w:tcPr>
            <w:tcW w:w="1325" w:type="dxa"/>
            <w:tcBorders>
              <w:top w:val="nil"/>
              <w:bottom w:val="nil"/>
            </w:tcBorders>
          </w:tcPr>
          <w:p w14:paraId="1329B9B9" w14:textId="77777777" w:rsidR="008F4FD5" w:rsidRPr="00BC0E7E" w:rsidRDefault="008F4FD5" w:rsidP="001F1134">
            <w:pPr>
              <w:keepNext/>
              <w:jc w:val="center"/>
              <w:rPr>
                <w:szCs w:val="20"/>
              </w:rPr>
            </w:pPr>
          </w:p>
        </w:tc>
        <w:tc>
          <w:tcPr>
            <w:tcW w:w="1316" w:type="dxa"/>
            <w:tcBorders>
              <w:top w:val="nil"/>
              <w:bottom w:val="nil"/>
              <w:right w:val="nil"/>
            </w:tcBorders>
          </w:tcPr>
          <w:p w14:paraId="42C6A80D" w14:textId="77777777" w:rsidR="008F4FD5" w:rsidRPr="00BC0E7E" w:rsidRDefault="008F4FD5" w:rsidP="001F1134">
            <w:pPr>
              <w:keepNext/>
              <w:jc w:val="center"/>
              <w:rPr>
                <w:szCs w:val="20"/>
              </w:rPr>
            </w:pPr>
          </w:p>
        </w:tc>
        <w:tc>
          <w:tcPr>
            <w:tcW w:w="1343" w:type="dxa"/>
            <w:tcBorders>
              <w:top w:val="nil"/>
              <w:bottom w:val="nil"/>
            </w:tcBorders>
          </w:tcPr>
          <w:p w14:paraId="5A29DD41" w14:textId="77777777" w:rsidR="008F4FD5" w:rsidRPr="00BC0E7E" w:rsidRDefault="008F4FD5" w:rsidP="001F1134">
            <w:pPr>
              <w:keepNext/>
              <w:jc w:val="center"/>
              <w:rPr>
                <w:szCs w:val="20"/>
              </w:rPr>
            </w:pPr>
          </w:p>
        </w:tc>
        <w:tc>
          <w:tcPr>
            <w:tcW w:w="1316" w:type="dxa"/>
            <w:tcBorders>
              <w:top w:val="nil"/>
              <w:bottom w:val="nil"/>
            </w:tcBorders>
          </w:tcPr>
          <w:p w14:paraId="1319DAFC" w14:textId="77777777" w:rsidR="008F4FD5" w:rsidRPr="00BC0E7E" w:rsidRDefault="008F4FD5" w:rsidP="001F1134">
            <w:pPr>
              <w:keepNext/>
              <w:jc w:val="center"/>
              <w:rPr>
                <w:szCs w:val="20"/>
              </w:rPr>
            </w:pPr>
          </w:p>
        </w:tc>
      </w:tr>
      <w:tr w:rsidR="00C6578C" w14:paraId="2A67E778" w14:textId="77777777" w:rsidTr="001F1134">
        <w:trPr>
          <w:gridAfter w:val="1"/>
          <w:wAfter w:w="11" w:type="dxa"/>
          <w:jc w:val="center"/>
        </w:trPr>
        <w:tc>
          <w:tcPr>
            <w:tcW w:w="1775" w:type="dxa"/>
            <w:tcBorders>
              <w:top w:val="nil"/>
              <w:bottom w:val="nil"/>
            </w:tcBorders>
          </w:tcPr>
          <w:p w14:paraId="385339EF" w14:textId="77777777" w:rsidR="008F4FD5" w:rsidRPr="00BC0E7E" w:rsidRDefault="00944B8F" w:rsidP="001F1134">
            <w:pPr>
              <w:keepNext/>
              <w:rPr>
                <w:szCs w:val="20"/>
              </w:rPr>
            </w:pPr>
            <w:r w:rsidRPr="00BC0E7E">
              <w:rPr>
                <w:szCs w:val="20"/>
              </w:rPr>
              <w:tab/>
              <w:t>Week 12</w:t>
            </w:r>
          </w:p>
        </w:tc>
        <w:tc>
          <w:tcPr>
            <w:tcW w:w="1325" w:type="dxa"/>
            <w:tcBorders>
              <w:top w:val="nil"/>
              <w:bottom w:val="nil"/>
            </w:tcBorders>
          </w:tcPr>
          <w:p w14:paraId="6BE25F10" w14:textId="77777777" w:rsidR="008F4FD5" w:rsidRPr="00BC0E7E" w:rsidRDefault="00944B8F" w:rsidP="001F1134">
            <w:pPr>
              <w:keepNext/>
              <w:jc w:val="center"/>
              <w:rPr>
                <w:szCs w:val="20"/>
              </w:rPr>
            </w:pPr>
            <w:r w:rsidRPr="00BC0E7E">
              <w:rPr>
                <w:szCs w:val="20"/>
              </w:rPr>
              <w:t>1%</w:t>
            </w:r>
          </w:p>
        </w:tc>
        <w:tc>
          <w:tcPr>
            <w:tcW w:w="1316" w:type="dxa"/>
            <w:tcBorders>
              <w:top w:val="nil"/>
              <w:bottom w:val="nil"/>
              <w:right w:val="nil"/>
            </w:tcBorders>
          </w:tcPr>
          <w:p w14:paraId="6665CF76" w14:textId="77777777" w:rsidR="008F4FD5" w:rsidRPr="00BC0E7E" w:rsidRDefault="00944B8F" w:rsidP="001F1134">
            <w:pPr>
              <w:keepNext/>
              <w:jc w:val="center"/>
              <w:rPr>
                <w:szCs w:val="20"/>
              </w:rPr>
            </w:pPr>
            <w:r w:rsidRPr="00BC0E7E">
              <w:rPr>
                <w:szCs w:val="20"/>
              </w:rPr>
              <w:t>20%</w:t>
            </w:r>
            <w:r w:rsidRPr="00BC0E7E">
              <w:rPr>
                <w:szCs w:val="20"/>
                <w:vertAlign w:val="superscript"/>
              </w:rPr>
              <w:t>***</w:t>
            </w:r>
          </w:p>
        </w:tc>
        <w:tc>
          <w:tcPr>
            <w:tcW w:w="1343" w:type="dxa"/>
            <w:tcBorders>
              <w:top w:val="nil"/>
              <w:bottom w:val="nil"/>
            </w:tcBorders>
          </w:tcPr>
          <w:p w14:paraId="6AD4DC5F" w14:textId="77777777" w:rsidR="008F4FD5" w:rsidRPr="00BC0E7E" w:rsidRDefault="00944B8F" w:rsidP="001F1134">
            <w:pPr>
              <w:keepNext/>
              <w:jc w:val="center"/>
              <w:rPr>
                <w:szCs w:val="20"/>
              </w:rPr>
            </w:pPr>
            <w:r w:rsidRPr="00BC0E7E">
              <w:rPr>
                <w:szCs w:val="20"/>
              </w:rPr>
              <w:t>0%</w:t>
            </w:r>
          </w:p>
        </w:tc>
        <w:tc>
          <w:tcPr>
            <w:tcW w:w="1316" w:type="dxa"/>
            <w:tcBorders>
              <w:top w:val="nil"/>
              <w:bottom w:val="nil"/>
            </w:tcBorders>
          </w:tcPr>
          <w:p w14:paraId="0317280B" w14:textId="77777777" w:rsidR="008F4FD5" w:rsidRPr="00BC0E7E" w:rsidRDefault="00944B8F" w:rsidP="001F1134">
            <w:pPr>
              <w:keepNext/>
              <w:jc w:val="center"/>
              <w:rPr>
                <w:szCs w:val="20"/>
              </w:rPr>
            </w:pPr>
            <w:r w:rsidRPr="00BC0E7E">
              <w:rPr>
                <w:szCs w:val="20"/>
              </w:rPr>
              <w:t>14%</w:t>
            </w:r>
            <w:r w:rsidRPr="00BC0E7E">
              <w:rPr>
                <w:szCs w:val="20"/>
                <w:vertAlign w:val="superscript"/>
              </w:rPr>
              <w:t xml:space="preserve"> *</w:t>
            </w:r>
          </w:p>
        </w:tc>
      </w:tr>
      <w:tr w:rsidR="00C6578C" w14:paraId="3065AFB4" w14:textId="77777777" w:rsidTr="001F1134">
        <w:trPr>
          <w:gridAfter w:val="1"/>
          <w:wAfter w:w="11" w:type="dxa"/>
          <w:jc w:val="center"/>
        </w:trPr>
        <w:tc>
          <w:tcPr>
            <w:tcW w:w="1775" w:type="dxa"/>
            <w:tcBorders>
              <w:top w:val="nil"/>
            </w:tcBorders>
          </w:tcPr>
          <w:p w14:paraId="6F27A648" w14:textId="77777777" w:rsidR="008F4FD5" w:rsidRPr="00BC0E7E" w:rsidRDefault="00944B8F" w:rsidP="001F1134">
            <w:pPr>
              <w:keepNext/>
              <w:rPr>
                <w:szCs w:val="20"/>
              </w:rPr>
            </w:pPr>
            <w:r w:rsidRPr="00BC0E7E">
              <w:rPr>
                <w:szCs w:val="20"/>
              </w:rPr>
              <w:tab/>
              <w:t>Week 24</w:t>
            </w:r>
          </w:p>
        </w:tc>
        <w:tc>
          <w:tcPr>
            <w:tcW w:w="1325" w:type="dxa"/>
            <w:tcBorders>
              <w:top w:val="nil"/>
            </w:tcBorders>
          </w:tcPr>
          <w:p w14:paraId="5F231822" w14:textId="77777777" w:rsidR="008F4FD5" w:rsidRPr="00BC0E7E" w:rsidRDefault="00944B8F" w:rsidP="001F1134">
            <w:pPr>
              <w:keepNext/>
              <w:jc w:val="center"/>
              <w:rPr>
                <w:szCs w:val="20"/>
              </w:rPr>
            </w:pPr>
            <w:r w:rsidRPr="00BC0E7E">
              <w:rPr>
                <w:szCs w:val="20"/>
              </w:rPr>
              <w:t>1%</w:t>
            </w:r>
          </w:p>
        </w:tc>
        <w:tc>
          <w:tcPr>
            <w:tcW w:w="1316" w:type="dxa"/>
            <w:tcBorders>
              <w:top w:val="nil"/>
              <w:right w:val="nil"/>
            </w:tcBorders>
          </w:tcPr>
          <w:p w14:paraId="6061B37B" w14:textId="77777777" w:rsidR="008F4FD5" w:rsidRPr="00BC0E7E" w:rsidRDefault="00944B8F" w:rsidP="001F1134">
            <w:pPr>
              <w:keepNext/>
              <w:jc w:val="center"/>
              <w:rPr>
                <w:szCs w:val="20"/>
              </w:rPr>
            </w:pPr>
            <w:r w:rsidRPr="00BC0E7E">
              <w:rPr>
                <w:szCs w:val="20"/>
              </w:rPr>
              <w:t>23%</w:t>
            </w:r>
            <w:r w:rsidRPr="00BC0E7E">
              <w:rPr>
                <w:szCs w:val="20"/>
                <w:vertAlign w:val="superscript"/>
              </w:rPr>
              <w:t>***</w:t>
            </w:r>
          </w:p>
        </w:tc>
        <w:tc>
          <w:tcPr>
            <w:tcW w:w="1343" w:type="dxa"/>
            <w:tcBorders>
              <w:top w:val="nil"/>
            </w:tcBorders>
          </w:tcPr>
          <w:p w14:paraId="1F2F5B70" w14:textId="77777777" w:rsidR="008F4FD5" w:rsidRPr="00BC0E7E" w:rsidRDefault="00944B8F" w:rsidP="001F1134">
            <w:pPr>
              <w:keepNext/>
              <w:jc w:val="center"/>
              <w:rPr>
                <w:szCs w:val="20"/>
              </w:rPr>
            </w:pPr>
            <w:r w:rsidRPr="00BC0E7E">
              <w:rPr>
                <w:szCs w:val="20"/>
              </w:rPr>
              <w:t>N/A</w:t>
            </w:r>
          </w:p>
        </w:tc>
        <w:tc>
          <w:tcPr>
            <w:tcW w:w="1316" w:type="dxa"/>
            <w:tcBorders>
              <w:top w:val="nil"/>
            </w:tcBorders>
          </w:tcPr>
          <w:p w14:paraId="76D3A4C9" w14:textId="77777777" w:rsidR="008F4FD5" w:rsidRPr="00BC0E7E" w:rsidRDefault="00944B8F" w:rsidP="001F1134">
            <w:pPr>
              <w:keepNext/>
              <w:jc w:val="center"/>
              <w:rPr>
                <w:szCs w:val="20"/>
              </w:rPr>
            </w:pPr>
            <w:r w:rsidRPr="00BC0E7E">
              <w:rPr>
                <w:szCs w:val="20"/>
              </w:rPr>
              <w:t>N/A</w:t>
            </w:r>
          </w:p>
        </w:tc>
      </w:tr>
      <w:tr w:rsidR="00C6578C" w14:paraId="329004E4" w14:textId="77777777" w:rsidTr="001F1134">
        <w:trPr>
          <w:trHeight w:val="60"/>
          <w:jc w:val="center"/>
        </w:trPr>
        <w:tc>
          <w:tcPr>
            <w:tcW w:w="7086" w:type="dxa"/>
            <w:gridSpan w:val="6"/>
            <w:tcBorders>
              <w:top w:val="nil"/>
              <w:left w:val="nil"/>
              <w:bottom w:val="nil"/>
              <w:right w:val="nil"/>
            </w:tcBorders>
          </w:tcPr>
          <w:p w14:paraId="48124975" w14:textId="77777777" w:rsidR="008F4FD5" w:rsidRPr="00BC0E7E" w:rsidRDefault="00944B8F" w:rsidP="001F1134">
            <w:pPr>
              <w:rPr>
                <w:szCs w:val="20"/>
              </w:rPr>
            </w:pPr>
            <w:r w:rsidRPr="00BC0E7E">
              <w:rPr>
                <w:szCs w:val="20"/>
              </w:rPr>
              <w:t>***</w:t>
            </w:r>
            <w:r w:rsidRPr="00BC0E7E">
              <w:rPr>
                <w:szCs w:val="20"/>
              </w:rPr>
              <w:tab/>
              <w:t>p &lt; 0.001 for all comparisons between Humira and placebo</w:t>
            </w:r>
          </w:p>
          <w:p w14:paraId="0098E8C5" w14:textId="77777777" w:rsidR="008F4FD5" w:rsidRPr="00BC0E7E" w:rsidRDefault="00944B8F" w:rsidP="001F1134">
            <w:pPr>
              <w:rPr>
                <w:szCs w:val="20"/>
              </w:rPr>
            </w:pPr>
            <w:r w:rsidRPr="00BC0E7E">
              <w:rPr>
                <w:szCs w:val="20"/>
              </w:rPr>
              <w:t>*</w:t>
            </w:r>
            <w:r w:rsidRPr="00BC0E7E">
              <w:rPr>
                <w:szCs w:val="20"/>
              </w:rPr>
              <w:tab/>
              <w:t>p &lt; 0.05 for all comparis</w:t>
            </w:r>
            <w:r>
              <w:rPr>
                <w:szCs w:val="20"/>
              </w:rPr>
              <w:t>ons between Humira and placebo</w:t>
            </w:r>
          </w:p>
          <w:p w14:paraId="05268A30" w14:textId="77777777" w:rsidR="008F4FD5" w:rsidRPr="00BC0E7E" w:rsidRDefault="00944B8F" w:rsidP="001F1134">
            <w:pPr>
              <w:rPr>
                <w:szCs w:val="20"/>
              </w:rPr>
            </w:pPr>
            <w:r w:rsidRPr="00BC0E7E">
              <w:rPr>
                <w:szCs w:val="20"/>
              </w:rPr>
              <w:t>N/A  not applicable</w:t>
            </w:r>
          </w:p>
        </w:tc>
      </w:tr>
    </w:tbl>
    <w:p w14:paraId="5A187FAB" w14:textId="77777777" w:rsidR="00BC0E7E" w:rsidRPr="00BC0E7E" w:rsidRDefault="00BC0E7E" w:rsidP="00BC0E7E">
      <w:pPr>
        <w:rPr>
          <w:szCs w:val="20"/>
        </w:rPr>
      </w:pPr>
    </w:p>
    <w:p w14:paraId="78E69FB1" w14:textId="77777777" w:rsidR="00BC0E7E" w:rsidRPr="00BC0E7E" w:rsidRDefault="00944B8F" w:rsidP="00BC0E7E">
      <w:pPr>
        <w:rPr>
          <w:szCs w:val="20"/>
        </w:rPr>
      </w:pPr>
      <w:r w:rsidRPr="00BC0E7E">
        <w:rPr>
          <w:szCs w:val="20"/>
        </w:rPr>
        <w:t>ACR responses in PsA study I were similar with and without concomitant methotrexate therapy.</w:t>
      </w:r>
    </w:p>
    <w:p w14:paraId="42894648" w14:textId="77777777" w:rsidR="00BC0E7E" w:rsidRPr="00BC0E7E" w:rsidRDefault="00944B8F" w:rsidP="00BC0E7E">
      <w:pPr>
        <w:rPr>
          <w:szCs w:val="20"/>
        </w:rPr>
      </w:pPr>
      <w:r w:rsidRPr="00BC0E7E">
        <w:rPr>
          <w:szCs w:val="20"/>
        </w:rPr>
        <w:t>ACR responses were maintained in the open-label extension study for up to 136 weeks.</w:t>
      </w:r>
    </w:p>
    <w:p w14:paraId="275A1119" w14:textId="77777777" w:rsidR="00BC0E7E" w:rsidRPr="00BC0E7E" w:rsidRDefault="00BC0E7E" w:rsidP="00BC0E7E">
      <w:pPr>
        <w:jc w:val="right"/>
        <w:rPr>
          <w:szCs w:val="20"/>
        </w:rPr>
      </w:pPr>
    </w:p>
    <w:p w14:paraId="454EB6DC" w14:textId="77777777" w:rsidR="00BC0E7E" w:rsidRPr="00BC0E7E" w:rsidRDefault="00944B8F" w:rsidP="00BC0E7E">
      <w:pPr>
        <w:rPr>
          <w:szCs w:val="20"/>
        </w:rPr>
      </w:pPr>
      <w:r w:rsidRPr="00BC0E7E">
        <w:rPr>
          <w:szCs w:val="20"/>
        </w:rPr>
        <w:lastRenderedPageBreak/>
        <w:t>Radiographic changes were assessed in the psoriatic arthritis studies. Radiographs of hands, wrists, and feet were obtained at baseline and Week 24 during the double-blind period when patients were on Humira or placebo and at Week 48 when all patients were on open-label Humira. A modified Total Sharp Score (mTSS), which included distal interphalangeal joints (i.e. not identical to the TSS used for rheumatoid arthritis), was used.</w:t>
      </w:r>
    </w:p>
    <w:p w14:paraId="77C9FA66" w14:textId="77777777" w:rsidR="00BC0E7E" w:rsidRPr="00BC0E7E" w:rsidRDefault="00BC0E7E" w:rsidP="00BC0E7E">
      <w:pPr>
        <w:rPr>
          <w:szCs w:val="20"/>
        </w:rPr>
      </w:pPr>
    </w:p>
    <w:p w14:paraId="1A980B26" w14:textId="77777777" w:rsidR="00BC0E7E" w:rsidRPr="00BC0E7E" w:rsidRDefault="00944B8F" w:rsidP="00BC0E7E">
      <w:pPr>
        <w:rPr>
          <w:szCs w:val="22"/>
        </w:rPr>
      </w:pPr>
      <w:r w:rsidRPr="00BC0E7E">
        <w:rPr>
          <w:szCs w:val="22"/>
        </w:rPr>
        <w:t>Humira treatment reduced the rate of progression of peripheral joint damage compared with placebo treatment as measured by change from baseline in mTSS  (mean ± SD) 0.8 ± 2.5 in the placebo group (at Week 24) compared with 0.0 ± 1.9; (p&lt; 0.001) in the Humira group (at Week 48).</w:t>
      </w:r>
    </w:p>
    <w:p w14:paraId="55F08074" w14:textId="77777777" w:rsidR="00BC0E7E" w:rsidRPr="00BC0E7E" w:rsidRDefault="00BC0E7E" w:rsidP="00BC0E7E">
      <w:pPr>
        <w:rPr>
          <w:szCs w:val="22"/>
        </w:rPr>
      </w:pPr>
    </w:p>
    <w:p w14:paraId="067CBF35" w14:textId="77777777" w:rsidR="00BC0E7E" w:rsidRPr="00BC0E7E" w:rsidRDefault="00944B8F" w:rsidP="00BC0E7E">
      <w:pPr>
        <w:rPr>
          <w:szCs w:val="22"/>
        </w:rPr>
      </w:pPr>
      <w:r w:rsidRPr="00BC0E7E">
        <w:rPr>
          <w:szCs w:val="20"/>
        </w:rPr>
        <w:t>In subjects treated with Humira with no radiographic progression from baseline to Week 48 (n=102), 84% continued to show no radiographic progression through 144 weeks of treatment.</w:t>
      </w:r>
    </w:p>
    <w:p w14:paraId="7ABFF84B" w14:textId="77777777" w:rsidR="00BC0E7E" w:rsidRPr="00BC0E7E" w:rsidRDefault="00944B8F" w:rsidP="00BC0E7E">
      <w:pPr>
        <w:rPr>
          <w:szCs w:val="20"/>
        </w:rPr>
      </w:pPr>
      <w:r w:rsidRPr="00BC0E7E">
        <w:rPr>
          <w:szCs w:val="22"/>
        </w:rPr>
        <w:t>Humira treated patients demonstrated statistically significant improvement in physical function as assessed by HAQ and Short Form Health Survey (SF 36) compared to placebo at Week 24. Improved</w:t>
      </w:r>
      <w:r w:rsidRPr="00BC0E7E">
        <w:rPr>
          <w:szCs w:val="20"/>
        </w:rPr>
        <w:t xml:space="preserve"> physical function continued during the open label extension up to Week 136.</w:t>
      </w:r>
    </w:p>
    <w:p w14:paraId="31A53D3F" w14:textId="77777777" w:rsidR="00BC0E7E" w:rsidRPr="00BC0E7E" w:rsidRDefault="00BC0E7E" w:rsidP="00BC0E7E">
      <w:pPr>
        <w:rPr>
          <w:u w:val="single"/>
        </w:rPr>
      </w:pPr>
    </w:p>
    <w:p w14:paraId="2B2B7839" w14:textId="77777777" w:rsidR="00BC0E7E" w:rsidRPr="00BC0E7E" w:rsidRDefault="00944B8F" w:rsidP="00BC0E7E">
      <w:pPr>
        <w:rPr>
          <w:i/>
        </w:rPr>
      </w:pPr>
      <w:r w:rsidRPr="00BC0E7E">
        <w:rPr>
          <w:i/>
        </w:rPr>
        <w:t xml:space="preserve">Psoriasis </w:t>
      </w:r>
    </w:p>
    <w:p w14:paraId="3DAFF07C" w14:textId="77777777" w:rsidR="00BC0E7E" w:rsidRPr="00BC0E7E" w:rsidRDefault="00BC0E7E" w:rsidP="00BC0E7E">
      <w:pPr>
        <w:rPr>
          <w:u w:val="single"/>
        </w:rPr>
      </w:pPr>
    </w:p>
    <w:p w14:paraId="21A98D5B" w14:textId="77777777" w:rsidR="00BC0E7E" w:rsidRPr="00BC0E7E" w:rsidRDefault="00944B8F" w:rsidP="00BC0E7E">
      <w:pPr>
        <w:rPr>
          <w:szCs w:val="22"/>
        </w:rPr>
      </w:pPr>
      <w:r w:rsidRPr="00BC0E7E">
        <w:t>The safety and efficacy of Humira were studied in adult patients with chronic plaque psoriasis (</w:t>
      </w:r>
      <w:r w:rsidRPr="00BC0E7E">
        <w:rPr>
          <w:rFonts w:ascii="Symbol" w:eastAsia="Symbol" w:hAnsi="Symbol" w:cs="Symbol"/>
          <w:szCs w:val="22"/>
        </w:rPr>
        <w:sym w:font="Symbol" w:char="F0B3"/>
      </w:r>
      <w:r w:rsidRPr="00BC0E7E">
        <w:t xml:space="preserve"> 10% BSA involvement and Psoriasis Area and Severity Index (PASI) </w:t>
      </w:r>
      <w:r w:rsidRPr="00BC0E7E">
        <w:rPr>
          <w:rFonts w:ascii="Symbol" w:eastAsia="Symbol" w:hAnsi="Symbol" w:cs="Symbol"/>
          <w:szCs w:val="22"/>
        </w:rPr>
        <w:sym w:font="Symbol" w:char="F0B3"/>
      </w:r>
      <w:r w:rsidRPr="00BC0E7E">
        <w:t xml:space="preserve"> 12 or </w:t>
      </w:r>
      <w:r w:rsidRPr="00BC0E7E">
        <w:rPr>
          <w:rFonts w:ascii="Symbol" w:eastAsia="Symbol" w:hAnsi="Symbol" w:cs="Symbol"/>
          <w:szCs w:val="22"/>
        </w:rPr>
        <w:sym w:font="Symbol" w:char="F0B3"/>
      </w:r>
      <w:r w:rsidRPr="00BC0E7E">
        <w:t xml:space="preserve"> 10) who were candidates for systemic therapy or phototherapy in randomised, double-blind studies. 73% of patients enrolled in Psoriasis Studies I and II had received prior systemic therapy or phototherapy.  The safety and efficacy of Humira were also studied in adult patients with moderate to severe </w:t>
      </w:r>
      <w:r w:rsidRPr="00BC0E7E">
        <w:rPr>
          <w:szCs w:val="22"/>
        </w:rPr>
        <w:t xml:space="preserve">chronic plaque psoriasis with concomitant hand and/or foot psoriasis who were candidates for systemic therapy in a randomised double-blind study (Psoriasis Study III).  </w:t>
      </w:r>
    </w:p>
    <w:p w14:paraId="00A09A67" w14:textId="77777777" w:rsidR="00BC0E7E" w:rsidRPr="00BC0E7E" w:rsidRDefault="00BC0E7E" w:rsidP="00BC0E7E">
      <w:pPr>
        <w:rPr>
          <w:sz w:val="20"/>
          <w:szCs w:val="20"/>
        </w:rPr>
      </w:pPr>
    </w:p>
    <w:p w14:paraId="2C5019B1" w14:textId="77777777" w:rsidR="00BC0E7E" w:rsidRPr="00BC0E7E" w:rsidRDefault="00944B8F" w:rsidP="00BC0E7E">
      <w:r w:rsidRPr="00BC0E7E">
        <w:t xml:space="preserve">Psoriasis Study I (REVEAL) evaluated 1,212 patients within three treatment periods.  In period A, patients received placebo or Humira at an initial dose of 80 mg followed by 40 mg every other week starting one week after the initial dose. After 16 weeks of therapy, patients who achieved at least a PASI 75 response (PASI score improvement of at least 75% relative to baseline), entered period B and received open-label 40 mg Humira every other week. Patients who maintained </w:t>
      </w:r>
      <w:r w:rsidRPr="00BC0E7E">
        <w:rPr>
          <w:rFonts w:ascii="Symbol" w:eastAsia="Symbol" w:hAnsi="Symbol" w:cs="Symbol"/>
          <w:szCs w:val="22"/>
        </w:rPr>
        <w:sym w:font="Symbol" w:char="F0B3"/>
      </w:r>
      <w:r w:rsidRPr="00BC0E7E">
        <w:t>PASI 75 response at Week 33 and were originally randomised to active therapy in Period A, were re-randomised in period C to receive 40 mg Humira every other week or placebo for an additional 19 weeks. Across all treatment groups, the mean baseline PASI score was 18.9 and the baseline Physician’s Global Assessment (PGA) score ranged from “moderate” (53% of subjects included) to “severe” (41%) to “very severe” (6%).</w:t>
      </w:r>
    </w:p>
    <w:p w14:paraId="17F65E97" w14:textId="77777777" w:rsidR="00BC0E7E" w:rsidRPr="00BC0E7E" w:rsidRDefault="00BC0E7E" w:rsidP="00BC0E7E"/>
    <w:p w14:paraId="61978A2D" w14:textId="77777777" w:rsidR="00BC0E7E" w:rsidRPr="00BC0E7E" w:rsidRDefault="00944B8F" w:rsidP="00BC0E7E">
      <w:pPr>
        <w:autoSpaceDE w:val="0"/>
        <w:autoSpaceDN w:val="0"/>
        <w:adjustRightInd w:val="0"/>
      </w:pPr>
      <w:r w:rsidRPr="00BC0E7E">
        <w:rPr>
          <w:szCs w:val="22"/>
        </w:rPr>
        <w:t xml:space="preserve">Psoriasis Study II (CHAMPION) compared the efficacy and safety of Humira </w:t>
      </w:r>
      <w:r w:rsidRPr="00BC0E7E">
        <w:rPr>
          <w:i/>
          <w:iCs/>
          <w:szCs w:val="22"/>
        </w:rPr>
        <w:t>versus</w:t>
      </w:r>
      <w:r w:rsidRPr="00BC0E7E">
        <w:rPr>
          <w:szCs w:val="22"/>
        </w:rPr>
        <w:t xml:space="preserve"> methotrexate and placebo in 271 patients. </w:t>
      </w:r>
      <w:r w:rsidRPr="00BC0E7E">
        <w:t xml:space="preserve">Patients received placebo, an initial dose of MTX 7.5 mg and thereafter dose increases up to Week 12, with a maximum dose of 25 mg or an initial dose of 80 mg Humira followed by 40 mg every other week (starting one week after the initial dose) for 16 weeks. There are no data available comparing Humira and MTX beyond 16 weeks of therapy. Patients receiving MTX who achieved a </w:t>
      </w:r>
      <w:r w:rsidRPr="00BC0E7E">
        <w:rPr>
          <w:rFonts w:ascii="Symbol" w:eastAsia="Symbol" w:hAnsi="Symbol" w:cs="Symbol"/>
          <w:szCs w:val="22"/>
        </w:rPr>
        <w:sym w:font="Symbol" w:char="F0B3"/>
      </w:r>
      <w:r w:rsidRPr="00BC0E7E">
        <w:t xml:space="preserve">PASI 50 response at Week 8 and/or 12 did not receive further dose increases. Across all treatment groups, the mean baseline </w:t>
      </w:r>
      <w:r w:rsidRPr="00BC0E7E">
        <w:rPr>
          <w:caps/>
        </w:rPr>
        <w:t>Pasi</w:t>
      </w:r>
      <w:r w:rsidRPr="00BC0E7E">
        <w:t xml:space="preserve"> score was 19.7 and the baseline PGA score ranged from “mild” (&lt;1%) to “moderate” (48%) to “severe” (46%) to “very severe” (6%).</w:t>
      </w:r>
    </w:p>
    <w:p w14:paraId="0D9CD534" w14:textId="77777777" w:rsidR="00BC0E7E" w:rsidRPr="00BC0E7E" w:rsidRDefault="00BC0E7E" w:rsidP="00BC0E7E">
      <w:pPr>
        <w:autoSpaceDE w:val="0"/>
        <w:autoSpaceDN w:val="0"/>
        <w:adjustRightInd w:val="0"/>
      </w:pPr>
    </w:p>
    <w:p w14:paraId="54ABD673" w14:textId="77777777" w:rsidR="00BC0E7E" w:rsidRPr="00BC0E7E" w:rsidRDefault="00944B8F" w:rsidP="00BC0E7E">
      <w:pPr>
        <w:autoSpaceDE w:val="0"/>
        <w:autoSpaceDN w:val="0"/>
        <w:adjustRightInd w:val="0"/>
      </w:pPr>
      <w:r w:rsidRPr="00BC0E7E">
        <w:t>Patients participating in all Phase 2 and Phase 3 psoriasis studies were eligible to enrol into an open-label extension trial, where Humira was given for at least an additional 108 weeks.</w:t>
      </w:r>
    </w:p>
    <w:p w14:paraId="5F4EDA35" w14:textId="77777777" w:rsidR="00BC0E7E" w:rsidRPr="00BC0E7E" w:rsidRDefault="00BC0E7E" w:rsidP="00BC0E7E">
      <w:pPr>
        <w:autoSpaceDE w:val="0"/>
        <w:autoSpaceDN w:val="0"/>
        <w:adjustRightInd w:val="0"/>
      </w:pPr>
    </w:p>
    <w:p w14:paraId="6F161AB0" w14:textId="77777777" w:rsidR="00BC0E7E" w:rsidRPr="00BC0E7E" w:rsidRDefault="00944B8F" w:rsidP="00BC0E7E">
      <w:pPr>
        <w:autoSpaceDE w:val="0"/>
        <w:autoSpaceDN w:val="0"/>
        <w:adjustRightInd w:val="0"/>
      </w:pPr>
      <w:r w:rsidRPr="00BC0E7E">
        <w:rPr>
          <w:iCs/>
        </w:rPr>
        <w:t xml:space="preserve">In Psoriasis Studies I and II, a primary endpoint was the proportion of patients who achieved a PASI 75 response from baseline at Week 16 </w:t>
      </w:r>
      <w:r w:rsidRPr="00BC0E7E">
        <w:rPr>
          <w:szCs w:val="22"/>
        </w:rPr>
        <w:t xml:space="preserve">(see Tables </w:t>
      </w:r>
      <w:r w:rsidR="006876B3">
        <w:rPr>
          <w:szCs w:val="22"/>
        </w:rPr>
        <w:t>1</w:t>
      </w:r>
      <w:r w:rsidR="00614ABC">
        <w:rPr>
          <w:szCs w:val="22"/>
        </w:rPr>
        <w:t>6</w:t>
      </w:r>
      <w:r w:rsidRPr="00BC0E7E">
        <w:rPr>
          <w:szCs w:val="22"/>
        </w:rPr>
        <w:t xml:space="preserve"> and </w:t>
      </w:r>
      <w:r w:rsidR="006876B3">
        <w:rPr>
          <w:szCs w:val="22"/>
        </w:rPr>
        <w:t>1</w:t>
      </w:r>
      <w:r w:rsidR="00614ABC">
        <w:rPr>
          <w:szCs w:val="22"/>
        </w:rPr>
        <w:t>7</w:t>
      </w:r>
      <w:r w:rsidRPr="00BC0E7E">
        <w:rPr>
          <w:szCs w:val="22"/>
        </w:rPr>
        <w:t>).</w:t>
      </w:r>
    </w:p>
    <w:p w14:paraId="3E0AC04F" w14:textId="77777777" w:rsidR="00BC0E7E" w:rsidRPr="00BC0E7E" w:rsidRDefault="00BC0E7E" w:rsidP="00BC0E7E">
      <w:pPr>
        <w:keepNext/>
        <w:tabs>
          <w:tab w:val="clear" w:pos="562"/>
        </w:tabs>
        <w:suppressAutoHyphens w:val="0"/>
        <w:overflowPunct w:val="0"/>
        <w:autoSpaceDE w:val="0"/>
        <w:autoSpaceDN w:val="0"/>
        <w:adjustRightInd w:val="0"/>
        <w:textAlignment w:val="baseline"/>
        <w:rPr>
          <w:bCs/>
          <w:iCs/>
          <w:szCs w:val="20"/>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C6578C" w14:paraId="418F4FF0" w14:textId="77777777" w:rsidTr="00171601">
        <w:trPr>
          <w:cantSplit/>
          <w:jc w:val="center"/>
        </w:trPr>
        <w:tc>
          <w:tcPr>
            <w:tcW w:w="6949" w:type="dxa"/>
            <w:gridSpan w:val="3"/>
            <w:tcBorders>
              <w:top w:val="nil"/>
              <w:left w:val="nil"/>
              <w:right w:val="nil"/>
            </w:tcBorders>
          </w:tcPr>
          <w:p w14:paraId="3D805F9B" w14:textId="77777777" w:rsidR="00BC0E7E" w:rsidRPr="008F4FD5" w:rsidRDefault="00944B8F" w:rsidP="00BC0E7E">
            <w:pPr>
              <w:keepNext/>
              <w:tabs>
                <w:tab w:val="clear" w:pos="562"/>
              </w:tabs>
              <w:suppressAutoHyphens w:val="0"/>
              <w:overflowPunct w:val="0"/>
              <w:autoSpaceDE w:val="0"/>
              <w:autoSpaceDN w:val="0"/>
              <w:adjustRightInd w:val="0"/>
              <w:jc w:val="center"/>
              <w:textAlignment w:val="baseline"/>
              <w:rPr>
                <w:iCs/>
                <w:szCs w:val="20"/>
              </w:rPr>
            </w:pPr>
            <w:r w:rsidRPr="00BC0E7E">
              <w:rPr>
                <w:b/>
                <w:iCs/>
                <w:szCs w:val="20"/>
              </w:rPr>
              <w:t xml:space="preserve">Table </w:t>
            </w:r>
            <w:r w:rsidR="006876B3">
              <w:rPr>
                <w:b/>
                <w:iCs/>
                <w:szCs w:val="20"/>
              </w:rPr>
              <w:t>1</w:t>
            </w:r>
            <w:r w:rsidR="00614ABC">
              <w:rPr>
                <w:b/>
                <w:iCs/>
                <w:szCs w:val="20"/>
              </w:rPr>
              <w:t>6</w:t>
            </w:r>
          </w:p>
          <w:p w14:paraId="00E08D09"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
                <w:iCs/>
                <w:szCs w:val="20"/>
              </w:rPr>
            </w:pPr>
            <w:r w:rsidRPr="00BC0E7E">
              <w:rPr>
                <w:b/>
                <w:iCs/>
                <w:szCs w:val="20"/>
              </w:rPr>
              <w:t>Ps Study I (REVEAL)  - Efficacy Results at 16 Weeks</w:t>
            </w:r>
          </w:p>
        </w:tc>
      </w:tr>
      <w:tr w:rsidR="00C6578C" w:rsidRPr="00173B45" w14:paraId="73C78D0C" w14:textId="77777777" w:rsidTr="00171601">
        <w:trPr>
          <w:cantSplit/>
          <w:jc w:val="center"/>
        </w:trPr>
        <w:tc>
          <w:tcPr>
            <w:tcW w:w="2977" w:type="dxa"/>
            <w:vAlign w:val="center"/>
          </w:tcPr>
          <w:p w14:paraId="31FA7079" w14:textId="77777777" w:rsidR="00BC0E7E" w:rsidRPr="00BC0E7E" w:rsidRDefault="00BC0E7E" w:rsidP="00BC0E7E">
            <w:pPr>
              <w:keepNext/>
              <w:tabs>
                <w:tab w:val="clear" w:pos="562"/>
              </w:tabs>
              <w:suppressAutoHyphens w:val="0"/>
              <w:overflowPunct w:val="0"/>
              <w:autoSpaceDE w:val="0"/>
              <w:autoSpaceDN w:val="0"/>
              <w:adjustRightInd w:val="0"/>
              <w:textAlignment w:val="baseline"/>
              <w:rPr>
                <w:b/>
                <w:iCs/>
                <w:szCs w:val="20"/>
              </w:rPr>
            </w:pPr>
          </w:p>
        </w:tc>
        <w:tc>
          <w:tcPr>
            <w:tcW w:w="1620" w:type="dxa"/>
            <w:vAlign w:val="center"/>
          </w:tcPr>
          <w:p w14:paraId="6FB99F6E"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
                <w:iCs/>
                <w:szCs w:val="20"/>
                <w:lang w:val="fr-FR"/>
              </w:rPr>
            </w:pPr>
            <w:r w:rsidRPr="00BC0E7E">
              <w:rPr>
                <w:b/>
                <w:iCs/>
                <w:szCs w:val="20"/>
                <w:lang w:val="fr-FR"/>
              </w:rPr>
              <w:t>Placebo</w:t>
            </w:r>
          </w:p>
          <w:p w14:paraId="3F26381F"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
                <w:iCs/>
                <w:szCs w:val="20"/>
                <w:lang w:val="fr-FR"/>
              </w:rPr>
            </w:pPr>
            <w:r w:rsidRPr="00BC0E7E">
              <w:rPr>
                <w:b/>
                <w:iCs/>
                <w:szCs w:val="20"/>
                <w:lang w:val="fr-FR"/>
              </w:rPr>
              <w:t>N=398</w:t>
            </w:r>
          </w:p>
          <w:p w14:paraId="3843CC29"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
                <w:iCs/>
                <w:szCs w:val="20"/>
                <w:lang w:val="fr-FR"/>
              </w:rPr>
            </w:pPr>
            <w:r w:rsidRPr="00BC0E7E">
              <w:rPr>
                <w:b/>
                <w:iCs/>
                <w:szCs w:val="20"/>
                <w:lang w:val="fr-FR"/>
              </w:rPr>
              <w:t>n (%)</w:t>
            </w:r>
          </w:p>
        </w:tc>
        <w:tc>
          <w:tcPr>
            <w:tcW w:w="2352" w:type="dxa"/>
            <w:vAlign w:val="center"/>
          </w:tcPr>
          <w:p w14:paraId="1BFC2500"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
                <w:iCs/>
                <w:szCs w:val="20"/>
                <w:lang w:val="es-ES"/>
              </w:rPr>
            </w:pPr>
            <w:r w:rsidRPr="00BC0E7E">
              <w:rPr>
                <w:b/>
                <w:iCs/>
                <w:szCs w:val="20"/>
                <w:lang w:val="es-ES"/>
              </w:rPr>
              <w:t>Humira 40 mg eow</w:t>
            </w:r>
          </w:p>
          <w:p w14:paraId="33243E41"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
                <w:iCs/>
                <w:szCs w:val="20"/>
                <w:lang w:val="it-IT"/>
              </w:rPr>
            </w:pPr>
            <w:r w:rsidRPr="00BC0E7E">
              <w:rPr>
                <w:b/>
                <w:iCs/>
                <w:szCs w:val="20"/>
                <w:lang w:val="it-IT"/>
              </w:rPr>
              <w:t>N=814</w:t>
            </w:r>
          </w:p>
          <w:p w14:paraId="10750182"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
                <w:iCs/>
                <w:szCs w:val="20"/>
                <w:lang w:val="it-IT"/>
              </w:rPr>
            </w:pPr>
            <w:r w:rsidRPr="00BC0E7E">
              <w:rPr>
                <w:b/>
                <w:iCs/>
                <w:szCs w:val="20"/>
                <w:lang w:val="it-IT"/>
              </w:rPr>
              <w:t>n (%)</w:t>
            </w:r>
          </w:p>
        </w:tc>
      </w:tr>
      <w:tr w:rsidR="00C6578C" w14:paraId="1741ED4C" w14:textId="77777777" w:rsidTr="00171601">
        <w:trPr>
          <w:cantSplit/>
          <w:jc w:val="center"/>
        </w:trPr>
        <w:tc>
          <w:tcPr>
            <w:tcW w:w="2977" w:type="dxa"/>
          </w:tcPr>
          <w:p w14:paraId="497B07BC" w14:textId="77777777" w:rsidR="00BC0E7E" w:rsidRPr="00BC0E7E" w:rsidRDefault="00944B8F" w:rsidP="00BC0E7E">
            <w:pPr>
              <w:keepNext/>
              <w:tabs>
                <w:tab w:val="clear" w:pos="562"/>
              </w:tabs>
              <w:suppressAutoHyphens w:val="0"/>
              <w:overflowPunct w:val="0"/>
              <w:autoSpaceDE w:val="0"/>
              <w:autoSpaceDN w:val="0"/>
              <w:adjustRightInd w:val="0"/>
              <w:textAlignment w:val="baseline"/>
              <w:rPr>
                <w:b/>
                <w:iCs/>
                <w:szCs w:val="20"/>
                <w:lang w:val="it-IT"/>
              </w:rPr>
            </w:pPr>
            <w:r w:rsidRPr="00BC0E7E">
              <w:rPr>
                <w:b/>
                <w:iCs/>
                <w:szCs w:val="20"/>
                <w:lang w:val="it-IT"/>
              </w:rPr>
              <w:t xml:space="preserve">    </w:t>
            </w:r>
            <w:r w:rsidRPr="00BC0E7E">
              <w:rPr>
                <w:rFonts w:ascii="Symbol" w:eastAsia="Symbol" w:hAnsi="Symbol" w:cs="Symbol"/>
                <w:b/>
                <w:szCs w:val="22"/>
              </w:rPr>
              <w:sym w:font="Symbol" w:char="F0B3"/>
            </w:r>
            <w:r w:rsidRPr="00BC0E7E">
              <w:rPr>
                <w:b/>
                <w:iCs/>
                <w:szCs w:val="22"/>
              </w:rPr>
              <w:t> </w:t>
            </w:r>
            <w:r w:rsidRPr="00BC0E7E">
              <w:rPr>
                <w:b/>
                <w:iCs/>
                <w:szCs w:val="20"/>
                <w:lang w:val="it-IT"/>
              </w:rPr>
              <w:t>PASI 75</w:t>
            </w:r>
            <w:r w:rsidRPr="00BC0E7E">
              <w:rPr>
                <w:b/>
                <w:iCs/>
                <w:szCs w:val="20"/>
                <w:vertAlign w:val="superscript"/>
                <w:lang w:val="it-IT"/>
              </w:rPr>
              <w:t>a</w:t>
            </w:r>
          </w:p>
        </w:tc>
        <w:tc>
          <w:tcPr>
            <w:tcW w:w="1620" w:type="dxa"/>
          </w:tcPr>
          <w:p w14:paraId="0FE4933D"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Cs/>
                <w:iCs/>
                <w:szCs w:val="20"/>
                <w:lang w:val="it-IT"/>
              </w:rPr>
            </w:pPr>
            <w:r w:rsidRPr="00BC0E7E">
              <w:rPr>
                <w:bCs/>
                <w:iCs/>
                <w:szCs w:val="20"/>
                <w:lang w:val="it-IT"/>
              </w:rPr>
              <w:t>26 (6.5)</w:t>
            </w:r>
          </w:p>
        </w:tc>
        <w:tc>
          <w:tcPr>
            <w:tcW w:w="2352" w:type="dxa"/>
          </w:tcPr>
          <w:p w14:paraId="4EF139C4"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Cs/>
                <w:iCs/>
                <w:szCs w:val="20"/>
                <w:lang w:val="it-IT"/>
              </w:rPr>
            </w:pPr>
            <w:r w:rsidRPr="00BC0E7E">
              <w:rPr>
                <w:bCs/>
                <w:iCs/>
                <w:szCs w:val="20"/>
                <w:lang w:val="it-IT"/>
              </w:rPr>
              <w:t>578 (70.9)</w:t>
            </w:r>
            <w:r w:rsidRPr="00BC0E7E">
              <w:rPr>
                <w:bCs/>
                <w:iCs/>
                <w:szCs w:val="20"/>
                <w:vertAlign w:val="superscript"/>
                <w:lang w:val="it-IT"/>
              </w:rPr>
              <w:t>b</w:t>
            </w:r>
          </w:p>
        </w:tc>
      </w:tr>
      <w:tr w:rsidR="00C6578C" w14:paraId="3085A8FD" w14:textId="77777777" w:rsidTr="00171601">
        <w:trPr>
          <w:cantSplit/>
          <w:trHeight w:val="70"/>
          <w:jc w:val="center"/>
        </w:trPr>
        <w:tc>
          <w:tcPr>
            <w:tcW w:w="2977" w:type="dxa"/>
          </w:tcPr>
          <w:p w14:paraId="57392EF6" w14:textId="77777777" w:rsidR="00BC0E7E" w:rsidRPr="00BC0E7E" w:rsidRDefault="00944B8F" w:rsidP="00BC0E7E">
            <w:pPr>
              <w:keepNext/>
              <w:tabs>
                <w:tab w:val="clear" w:pos="562"/>
              </w:tabs>
              <w:suppressAutoHyphens w:val="0"/>
              <w:overflowPunct w:val="0"/>
              <w:autoSpaceDE w:val="0"/>
              <w:autoSpaceDN w:val="0"/>
              <w:adjustRightInd w:val="0"/>
              <w:textAlignment w:val="baseline"/>
              <w:rPr>
                <w:b/>
                <w:iCs/>
                <w:szCs w:val="20"/>
                <w:lang w:val="it-IT"/>
              </w:rPr>
            </w:pPr>
            <w:r w:rsidRPr="00BC0E7E">
              <w:rPr>
                <w:b/>
                <w:iCs/>
                <w:szCs w:val="20"/>
                <w:lang w:val="it-IT"/>
              </w:rPr>
              <w:t xml:space="preserve">    PASI 100</w:t>
            </w:r>
          </w:p>
        </w:tc>
        <w:tc>
          <w:tcPr>
            <w:tcW w:w="1620" w:type="dxa"/>
          </w:tcPr>
          <w:p w14:paraId="47CB6F9B"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Cs/>
                <w:iCs/>
                <w:szCs w:val="20"/>
                <w:lang w:val="it-IT"/>
              </w:rPr>
            </w:pPr>
            <w:r w:rsidRPr="00BC0E7E">
              <w:rPr>
                <w:bCs/>
                <w:iCs/>
                <w:szCs w:val="20"/>
                <w:lang w:val="it-IT"/>
              </w:rPr>
              <w:t>3 (0.8)</w:t>
            </w:r>
          </w:p>
        </w:tc>
        <w:tc>
          <w:tcPr>
            <w:tcW w:w="2352" w:type="dxa"/>
          </w:tcPr>
          <w:p w14:paraId="628557C9"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Cs/>
                <w:iCs/>
                <w:szCs w:val="20"/>
                <w:lang w:val="it-IT"/>
              </w:rPr>
            </w:pPr>
            <w:r w:rsidRPr="00BC0E7E">
              <w:rPr>
                <w:bCs/>
                <w:iCs/>
                <w:szCs w:val="20"/>
                <w:lang w:val="it-IT"/>
              </w:rPr>
              <w:t>163 (20.0)</w:t>
            </w:r>
            <w:r w:rsidRPr="00BC0E7E">
              <w:rPr>
                <w:bCs/>
                <w:iCs/>
                <w:szCs w:val="20"/>
                <w:vertAlign w:val="superscript"/>
                <w:lang w:val="it-IT"/>
              </w:rPr>
              <w:t>b</w:t>
            </w:r>
          </w:p>
        </w:tc>
      </w:tr>
      <w:tr w:rsidR="00C6578C" w14:paraId="528CC75D" w14:textId="77777777" w:rsidTr="00171601">
        <w:trPr>
          <w:cantSplit/>
          <w:jc w:val="center"/>
        </w:trPr>
        <w:tc>
          <w:tcPr>
            <w:tcW w:w="2977" w:type="dxa"/>
          </w:tcPr>
          <w:p w14:paraId="12B0CC20" w14:textId="77777777" w:rsidR="00BC0E7E" w:rsidRPr="00BC0E7E" w:rsidRDefault="00944B8F" w:rsidP="00BC0E7E">
            <w:pPr>
              <w:keepNext/>
              <w:tabs>
                <w:tab w:val="clear" w:pos="562"/>
              </w:tabs>
              <w:suppressAutoHyphens w:val="0"/>
              <w:overflowPunct w:val="0"/>
              <w:autoSpaceDE w:val="0"/>
              <w:autoSpaceDN w:val="0"/>
              <w:adjustRightInd w:val="0"/>
              <w:textAlignment w:val="baseline"/>
              <w:rPr>
                <w:b/>
                <w:iCs/>
                <w:szCs w:val="20"/>
              </w:rPr>
            </w:pPr>
            <w:r w:rsidRPr="00BC0E7E">
              <w:rPr>
                <w:b/>
                <w:iCs/>
                <w:szCs w:val="20"/>
                <w:lang w:val="it-IT"/>
              </w:rPr>
              <w:t xml:space="preserve">    </w:t>
            </w:r>
            <w:r w:rsidRPr="00BC0E7E">
              <w:rPr>
                <w:b/>
                <w:iCs/>
                <w:szCs w:val="20"/>
              </w:rPr>
              <w:t>PGA: Clear/minimal</w:t>
            </w:r>
          </w:p>
        </w:tc>
        <w:tc>
          <w:tcPr>
            <w:tcW w:w="1620" w:type="dxa"/>
          </w:tcPr>
          <w:p w14:paraId="2393B5C7"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Cs/>
                <w:iCs/>
                <w:szCs w:val="20"/>
              </w:rPr>
            </w:pPr>
            <w:r w:rsidRPr="00BC0E7E">
              <w:rPr>
                <w:bCs/>
                <w:iCs/>
                <w:szCs w:val="20"/>
              </w:rPr>
              <w:t>17 (4.3)</w:t>
            </w:r>
          </w:p>
        </w:tc>
        <w:tc>
          <w:tcPr>
            <w:tcW w:w="2352" w:type="dxa"/>
          </w:tcPr>
          <w:p w14:paraId="74B15813"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Cs/>
                <w:iCs/>
                <w:szCs w:val="20"/>
              </w:rPr>
            </w:pPr>
            <w:r w:rsidRPr="00BC0E7E">
              <w:rPr>
                <w:bCs/>
                <w:iCs/>
                <w:szCs w:val="20"/>
              </w:rPr>
              <w:t>506 (62.2)</w:t>
            </w:r>
            <w:r w:rsidRPr="00BC0E7E">
              <w:rPr>
                <w:bCs/>
                <w:iCs/>
                <w:szCs w:val="20"/>
                <w:vertAlign w:val="superscript"/>
              </w:rPr>
              <w:t>b</w:t>
            </w:r>
          </w:p>
        </w:tc>
      </w:tr>
      <w:tr w:rsidR="00C6578C" w14:paraId="551118A8" w14:textId="77777777" w:rsidTr="00171601">
        <w:trPr>
          <w:cantSplit/>
          <w:jc w:val="center"/>
        </w:trPr>
        <w:tc>
          <w:tcPr>
            <w:tcW w:w="6949" w:type="dxa"/>
            <w:gridSpan w:val="3"/>
          </w:tcPr>
          <w:p w14:paraId="7DC91B5D" w14:textId="77777777" w:rsidR="00BC0E7E" w:rsidRPr="00BC0E7E" w:rsidRDefault="00944B8F" w:rsidP="00BC0E7E">
            <w:pPr>
              <w:keepNext/>
              <w:tabs>
                <w:tab w:val="clear" w:pos="562"/>
              </w:tabs>
              <w:suppressAutoHyphens w:val="0"/>
              <w:overflowPunct w:val="0"/>
              <w:autoSpaceDE w:val="0"/>
              <w:autoSpaceDN w:val="0"/>
              <w:adjustRightInd w:val="0"/>
              <w:textAlignment w:val="baseline"/>
              <w:rPr>
                <w:bCs/>
                <w:iCs/>
                <w:szCs w:val="20"/>
              </w:rPr>
            </w:pPr>
            <w:r w:rsidRPr="00BC0E7E">
              <w:rPr>
                <w:bCs/>
                <w:iCs/>
                <w:szCs w:val="20"/>
                <w:vertAlign w:val="superscript"/>
              </w:rPr>
              <w:t>a</w:t>
            </w:r>
            <w:r w:rsidRPr="00BC0E7E">
              <w:rPr>
                <w:bCs/>
                <w:iCs/>
                <w:szCs w:val="20"/>
              </w:rPr>
              <w:t xml:space="preserve"> Percent of patients achieving PASI75 response was calculated as centre-adjusted rate</w:t>
            </w:r>
          </w:p>
          <w:p w14:paraId="272BC429" w14:textId="77777777" w:rsidR="00BC0E7E" w:rsidRPr="00BC0E7E" w:rsidRDefault="00944B8F" w:rsidP="00BC0E7E">
            <w:pPr>
              <w:keepNext/>
              <w:tabs>
                <w:tab w:val="clear" w:pos="562"/>
              </w:tabs>
              <w:suppressAutoHyphens w:val="0"/>
              <w:overflowPunct w:val="0"/>
              <w:autoSpaceDE w:val="0"/>
              <w:autoSpaceDN w:val="0"/>
              <w:adjustRightInd w:val="0"/>
              <w:textAlignment w:val="baseline"/>
              <w:rPr>
                <w:bCs/>
                <w:iCs/>
                <w:szCs w:val="20"/>
                <w:lang w:val="fr-FR"/>
              </w:rPr>
            </w:pPr>
            <w:r w:rsidRPr="00BC0E7E">
              <w:rPr>
                <w:bCs/>
                <w:iCs/>
                <w:szCs w:val="20"/>
                <w:vertAlign w:val="superscript"/>
                <w:lang w:val="fr-FR"/>
              </w:rPr>
              <w:t>b</w:t>
            </w:r>
            <w:r w:rsidRPr="00BC0E7E">
              <w:rPr>
                <w:bCs/>
                <w:iCs/>
                <w:szCs w:val="20"/>
                <w:lang w:val="fr-FR"/>
              </w:rPr>
              <w:t xml:space="preserve"> p &lt; 0.001, Humira vs. placebo</w:t>
            </w:r>
          </w:p>
        </w:tc>
      </w:tr>
    </w:tbl>
    <w:p w14:paraId="0BEBD4FA" w14:textId="77777777" w:rsidR="00BC0E7E" w:rsidRPr="00BC0E7E" w:rsidRDefault="00BC0E7E" w:rsidP="00BC0E7E">
      <w:pPr>
        <w:jc w:val="both"/>
        <w:rPr>
          <w:sz w:val="16"/>
          <w:szCs w:val="16"/>
          <w:lang w:val="fr-FR"/>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9"/>
        <w:gridCol w:w="1668"/>
        <w:gridCol w:w="1347"/>
        <w:gridCol w:w="2392"/>
      </w:tblGrid>
      <w:tr w:rsidR="00C6578C" w14:paraId="51A399C5" w14:textId="77777777" w:rsidTr="00171601">
        <w:trPr>
          <w:cantSplit/>
          <w:jc w:val="center"/>
        </w:trPr>
        <w:tc>
          <w:tcPr>
            <w:tcW w:w="7046" w:type="dxa"/>
            <w:gridSpan w:val="4"/>
            <w:tcBorders>
              <w:top w:val="nil"/>
              <w:left w:val="nil"/>
              <w:right w:val="nil"/>
            </w:tcBorders>
          </w:tcPr>
          <w:p w14:paraId="71563C88" w14:textId="77777777" w:rsidR="00BC0E7E" w:rsidRPr="008F4FD5" w:rsidRDefault="00944B8F" w:rsidP="00DA2334">
            <w:pPr>
              <w:keepNext/>
              <w:tabs>
                <w:tab w:val="clear" w:pos="562"/>
              </w:tabs>
              <w:suppressAutoHyphens w:val="0"/>
              <w:overflowPunct w:val="0"/>
              <w:autoSpaceDE w:val="0"/>
              <w:autoSpaceDN w:val="0"/>
              <w:adjustRightInd w:val="0"/>
              <w:jc w:val="center"/>
              <w:textAlignment w:val="baseline"/>
              <w:rPr>
                <w:iCs/>
                <w:szCs w:val="20"/>
              </w:rPr>
            </w:pPr>
            <w:r w:rsidRPr="00BC0E7E">
              <w:rPr>
                <w:b/>
                <w:iCs/>
                <w:szCs w:val="20"/>
              </w:rPr>
              <w:t xml:space="preserve">Table </w:t>
            </w:r>
            <w:r w:rsidR="006876B3">
              <w:rPr>
                <w:b/>
                <w:iCs/>
                <w:szCs w:val="20"/>
              </w:rPr>
              <w:t>1</w:t>
            </w:r>
            <w:r w:rsidR="00614ABC">
              <w:rPr>
                <w:b/>
                <w:iCs/>
                <w:szCs w:val="20"/>
              </w:rPr>
              <w:t>7</w:t>
            </w:r>
          </w:p>
          <w:p w14:paraId="145D12B6" w14:textId="77777777" w:rsidR="00BC0E7E" w:rsidRPr="008F4FD5" w:rsidRDefault="00944B8F" w:rsidP="008F4FD5">
            <w:pPr>
              <w:keepNext/>
              <w:tabs>
                <w:tab w:val="clear" w:pos="562"/>
              </w:tabs>
              <w:suppressAutoHyphens w:val="0"/>
              <w:overflowPunct w:val="0"/>
              <w:autoSpaceDE w:val="0"/>
              <w:autoSpaceDN w:val="0"/>
              <w:adjustRightInd w:val="0"/>
              <w:jc w:val="center"/>
              <w:textAlignment w:val="baseline"/>
              <w:rPr>
                <w:iCs/>
                <w:szCs w:val="20"/>
              </w:rPr>
            </w:pPr>
            <w:r w:rsidRPr="00BC0E7E">
              <w:rPr>
                <w:b/>
                <w:iCs/>
                <w:szCs w:val="20"/>
              </w:rPr>
              <w:t xml:space="preserve"> Ps Study II (CHAMPION) Efficacy Results at 16 Weeks</w:t>
            </w:r>
          </w:p>
        </w:tc>
      </w:tr>
      <w:tr w:rsidR="00C6578C" w:rsidRPr="00173B45" w14:paraId="14CE1020" w14:textId="77777777" w:rsidTr="00171601">
        <w:trPr>
          <w:cantSplit/>
          <w:jc w:val="center"/>
        </w:trPr>
        <w:tc>
          <w:tcPr>
            <w:tcW w:w="1639" w:type="dxa"/>
          </w:tcPr>
          <w:p w14:paraId="0C4F099D" w14:textId="77777777" w:rsidR="00BC0E7E" w:rsidRPr="00BC0E7E" w:rsidRDefault="00BC0E7E" w:rsidP="00DA2334">
            <w:pPr>
              <w:keepNext/>
              <w:tabs>
                <w:tab w:val="clear" w:pos="562"/>
              </w:tabs>
              <w:suppressAutoHyphens w:val="0"/>
              <w:overflowPunct w:val="0"/>
              <w:autoSpaceDE w:val="0"/>
              <w:autoSpaceDN w:val="0"/>
              <w:adjustRightInd w:val="0"/>
              <w:jc w:val="center"/>
              <w:textAlignment w:val="baseline"/>
              <w:rPr>
                <w:b/>
                <w:iCs/>
                <w:szCs w:val="20"/>
              </w:rPr>
            </w:pPr>
          </w:p>
        </w:tc>
        <w:tc>
          <w:tcPr>
            <w:tcW w:w="1668" w:type="dxa"/>
            <w:vAlign w:val="center"/>
          </w:tcPr>
          <w:p w14:paraId="4F3086DA" w14:textId="77777777" w:rsidR="00BC0E7E" w:rsidRPr="00BC0E7E" w:rsidRDefault="00944B8F" w:rsidP="00DA2334">
            <w:pPr>
              <w:keepNext/>
              <w:tabs>
                <w:tab w:val="clear" w:pos="562"/>
              </w:tabs>
              <w:suppressAutoHyphens w:val="0"/>
              <w:overflowPunct w:val="0"/>
              <w:autoSpaceDE w:val="0"/>
              <w:autoSpaceDN w:val="0"/>
              <w:adjustRightInd w:val="0"/>
              <w:jc w:val="center"/>
              <w:textAlignment w:val="baseline"/>
              <w:rPr>
                <w:b/>
                <w:iCs/>
                <w:szCs w:val="20"/>
              </w:rPr>
            </w:pPr>
            <w:r w:rsidRPr="00BC0E7E">
              <w:rPr>
                <w:b/>
                <w:iCs/>
                <w:szCs w:val="20"/>
              </w:rPr>
              <w:t>Placebo</w:t>
            </w:r>
          </w:p>
          <w:p w14:paraId="13B24997" w14:textId="77777777" w:rsidR="00BC0E7E" w:rsidRPr="00BC0E7E" w:rsidRDefault="00944B8F" w:rsidP="00DA2334">
            <w:pPr>
              <w:keepNext/>
              <w:tabs>
                <w:tab w:val="clear" w:pos="562"/>
              </w:tabs>
              <w:suppressAutoHyphens w:val="0"/>
              <w:overflowPunct w:val="0"/>
              <w:autoSpaceDE w:val="0"/>
              <w:autoSpaceDN w:val="0"/>
              <w:adjustRightInd w:val="0"/>
              <w:jc w:val="center"/>
              <w:textAlignment w:val="baseline"/>
              <w:rPr>
                <w:b/>
                <w:iCs/>
                <w:szCs w:val="20"/>
              </w:rPr>
            </w:pPr>
            <w:r w:rsidRPr="00BC0E7E">
              <w:rPr>
                <w:b/>
                <w:iCs/>
                <w:szCs w:val="20"/>
              </w:rPr>
              <w:t>N=53</w:t>
            </w:r>
          </w:p>
          <w:p w14:paraId="39BDEB04" w14:textId="77777777" w:rsidR="00BC0E7E" w:rsidRPr="00BC0E7E" w:rsidRDefault="00944B8F" w:rsidP="00DA2334">
            <w:pPr>
              <w:keepNext/>
              <w:tabs>
                <w:tab w:val="clear" w:pos="562"/>
              </w:tabs>
              <w:suppressAutoHyphens w:val="0"/>
              <w:overflowPunct w:val="0"/>
              <w:autoSpaceDE w:val="0"/>
              <w:autoSpaceDN w:val="0"/>
              <w:adjustRightInd w:val="0"/>
              <w:jc w:val="center"/>
              <w:textAlignment w:val="baseline"/>
              <w:rPr>
                <w:b/>
                <w:iCs/>
                <w:szCs w:val="20"/>
              </w:rPr>
            </w:pPr>
            <w:r w:rsidRPr="00BC0E7E">
              <w:rPr>
                <w:b/>
                <w:iCs/>
                <w:szCs w:val="20"/>
              </w:rPr>
              <w:t>n (%)</w:t>
            </w:r>
          </w:p>
        </w:tc>
        <w:tc>
          <w:tcPr>
            <w:tcW w:w="1347" w:type="dxa"/>
            <w:vAlign w:val="center"/>
          </w:tcPr>
          <w:p w14:paraId="45EDC508" w14:textId="77777777" w:rsidR="00BC0E7E" w:rsidRPr="00BC0E7E" w:rsidRDefault="00944B8F" w:rsidP="00DA2334">
            <w:pPr>
              <w:keepNext/>
              <w:tabs>
                <w:tab w:val="clear" w:pos="562"/>
              </w:tabs>
              <w:suppressAutoHyphens w:val="0"/>
              <w:overflowPunct w:val="0"/>
              <w:autoSpaceDE w:val="0"/>
              <w:autoSpaceDN w:val="0"/>
              <w:adjustRightInd w:val="0"/>
              <w:jc w:val="center"/>
              <w:textAlignment w:val="baseline"/>
              <w:rPr>
                <w:b/>
                <w:iCs/>
                <w:szCs w:val="20"/>
              </w:rPr>
            </w:pPr>
            <w:r w:rsidRPr="00BC0E7E">
              <w:rPr>
                <w:b/>
                <w:iCs/>
                <w:szCs w:val="20"/>
              </w:rPr>
              <w:t>MTX</w:t>
            </w:r>
          </w:p>
          <w:p w14:paraId="4DAC8FCF" w14:textId="77777777" w:rsidR="00BC0E7E" w:rsidRPr="00BC0E7E" w:rsidRDefault="00944B8F" w:rsidP="00DA2334">
            <w:pPr>
              <w:keepNext/>
              <w:tabs>
                <w:tab w:val="clear" w:pos="562"/>
              </w:tabs>
              <w:suppressAutoHyphens w:val="0"/>
              <w:overflowPunct w:val="0"/>
              <w:autoSpaceDE w:val="0"/>
              <w:autoSpaceDN w:val="0"/>
              <w:adjustRightInd w:val="0"/>
              <w:jc w:val="center"/>
              <w:textAlignment w:val="baseline"/>
              <w:rPr>
                <w:b/>
                <w:iCs/>
                <w:szCs w:val="20"/>
              </w:rPr>
            </w:pPr>
            <w:r w:rsidRPr="00BC0E7E">
              <w:rPr>
                <w:b/>
                <w:iCs/>
                <w:szCs w:val="20"/>
              </w:rPr>
              <w:t>N=110</w:t>
            </w:r>
          </w:p>
          <w:p w14:paraId="7015D21C" w14:textId="77777777" w:rsidR="00BC0E7E" w:rsidRPr="00BC0E7E" w:rsidRDefault="00944B8F" w:rsidP="00DA2334">
            <w:pPr>
              <w:keepNext/>
              <w:tabs>
                <w:tab w:val="clear" w:pos="562"/>
              </w:tabs>
              <w:suppressAutoHyphens w:val="0"/>
              <w:overflowPunct w:val="0"/>
              <w:autoSpaceDE w:val="0"/>
              <w:autoSpaceDN w:val="0"/>
              <w:adjustRightInd w:val="0"/>
              <w:jc w:val="center"/>
              <w:textAlignment w:val="baseline"/>
              <w:rPr>
                <w:b/>
                <w:iCs/>
                <w:szCs w:val="20"/>
              </w:rPr>
            </w:pPr>
            <w:r w:rsidRPr="00BC0E7E">
              <w:rPr>
                <w:b/>
                <w:iCs/>
                <w:szCs w:val="20"/>
              </w:rPr>
              <w:t>n (%)</w:t>
            </w:r>
          </w:p>
        </w:tc>
        <w:tc>
          <w:tcPr>
            <w:tcW w:w="2392" w:type="dxa"/>
            <w:vAlign w:val="center"/>
          </w:tcPr>
          <w:p w14:paraId="102A7B2E" w14:textId="77777777" w:rsidR="00BC0E7E" w:rsidRPr="00BC0E7E" w:rsidRDefault="00944B8F" w:rsidP="00DA2334">
            <w:pPr>
              <w:keepNext/>
              <w:tabs>
                <w:tab w:val="clear" w:pos="562"/>
              </w:tabs>
              <w:suppressAutoHyphens w:val="0"/>
              <w:overflowPunct w:val="0"/>
              <w:autoSpaceDE w:val="0"/>
              <w:autoSpaceDN w:val="0"/>
              <w:adjustRightInd w:val="0"/>
              <w:jc w:val="center"/>
              <w:textAlignment w:val="baseline"/>
              <w:rPr>
                <w:b/>
                <w:iCs/>
                <w:szCs w:val="20"/>
                <w:lang w:val="it-IT"/>
              </w:rPr>
            </w:pPr>
            <w:r w:rsidRPr="00BC0E7E">
              <w:rPr>
                <w:b/>
                <w:iCs/>
                <w:szCs w:val="20"/>
                <w:lang w:val="it-IT"/>
              </w:rPr>
              <w:t>Humira 40 mg eow</w:t>
            </w:r>
          </w:p>
          <w:p w14:paraId="48C442B1" w14:textId="77777777" w:rsidR="00BC0E7E" w:rsidRPr="00BC0E7E" w:rsidRDefault="00944B8F" w:rsidP="00DA2334">
            <w:pPr>
              <w:keepNext/>
              <w:tabs>
                <w:tab w:val="clear" w:pos="562"/>
              </w:tabs>
              <w:suppressAutoHyphens w:val="0"/>
              <w:overflowPunct w:val="0"/>
              <w:autoSpaceDE w:val="0"/>
              <w:autoSpaceDN w:val="0"/>
              <w:adjustRightInd w:val="0"/>
              <w:jc w:val="center"/>
              <w:textAlignment w:val="baseline"/>
              <w:rPr>
                <w:b/>
                <w:iCs/>
                <w:szCs w:val="20"/>
                <w:lang w:val="it-IT"/>
              </w:rPr>
            </w:pPr>
            <w:r w:rsidRPr="00BC0E7E">
              <w:rPr>
                <w:b/>
                <w:iCs/>
                <w:szCs w:val="20"/>
                <w:lang w:val="it-IT"/>
              </w:rPr>
              <w:t>N=108</w:t>
            </w:r>
          </w:p>
          <w:p w14:paraId="2C3F55DF" w14:textId="77777777" w:rsidR="00BC0E7E" w:rsidRPr="00BC0E7E" w:rsidRDefault="00944B8F" w:rsidP="00DA2334">
            <w:pPr>
              <w:keepNext/>
              <w:tabs>
                <w:tab w:val="clear" w:pos="562"/>
              </w:tabs>
              <w:suppressAutoHyphens w:val="0"/>
              <w:overflowPunct w:val="0"/>
              <w:autoSpaceDE w:val="0"/>
              <w:autoSpaceDN w:val="0"/>
              <w:adjustRightInd w:val="0"/>
              <w:jc w:val="center"/>
              <w:textAlignment w:val="baseline"/>
              <w:rPr>
                <w:b/>
                <w:iCs/>
                <w:szCs w:val="20"/>
                <w:lang w:val="it-IT"/>
              </w:rPr>
            </w:pPr>
            <w:r w:rsidRPr="00BC0E7E">
              <w:rPr>
                <w:b/>
                <w:iCs/>
                <w:szCs w:val="20"/>
                <w:lang w:val="it-IT"/>
              </w:rPr>
              <w:t>n (%)</w:t>
            </w:r>
          </w:p>
        </w:tc>
      </w:tr>
      <w:tr w:rsidR="00C6578C" w14:paraId="145B0CC7" w14:textId="77777777" w:rsidTr="00171601">
        <w:trPr>
          <w:cantSplit/>
          <w:jc w:val="center"/>
        </w:trPr>
        <w:tc>
          <w:tcPr>
            <w:tcW w:w="1639" w:type="dxa"/>
          </w:tcPr>
          <w:p w14:paraId="404D535F" w14:textId="77777777" w:rsidR="00BC0E7E" w:rsidRPr="00BC0E7E" w:rsidRDefault="00944B8F" w:rsidP="00DA2334">
            <w:pPr>
              <w:keepNext/>
              <w:tabs>
                <w:tab w:val="clear" w:pos="562"/>
              </w:tabs>
              <w:suppressAutoHyphens w:val="0"/>
              <w:overflowPunct w:val="0"/>
              <w:autoSpaceDE w:val="0"/>
              <w:autoSpaceDN w:val="0"/>
              <w:adjustRightInd w:val="0"/>
              <w:textAlignment w:val="baseline"/>
              <w:rPr>
                <w:b/>
                <w:iCs/>
                <w:szCs w:val="20"/>
                <w:lang w:val="it-IT"/>
              </w:rPr>
            </w:pPr>
            <w:r w:rsidRPr="00BC0E7E">
              <w:rPr>
                <w:b/>
                <w:iCs/>
                <w:szCs w:val="20"/>
                <w:lang w:val="it-IT"/>
              </w:rPr>
              <w:t xml:space="preserve">    </w:t>
            </w:r>
            <w:r w:rsidRPr="00BC0E7E">
              <w:rPr>
                <w:rFonts w:ascii="Symbol" w:eastAsia="Symbol" w:hAnsi="Symbol" w:cs="Symbol"/>
                <w:b/>
                <w:szCs w:val="22"/>
              </w:rPr>
              <w:sym w:font="Symbol" w:char="F0B3"/>
            </w:r>
            <w:r w:rsidRPr="00BC0E7E">
              <w:rPr>
                <w:b/>
                <w:iCs/>
                <w:szCs w:val="22"/>
              </w:rPr>
              <w:t> </w:t>
            </w:r>
            <w:r w:rsidRPr="00BC0E7E">
              <w:rPr>
                <w:b/>
                <w:iCs/>
                <w:szCs w:val="20"/>
                <w:lang w:val="it-IT"/>
              </w:rPr>
              <w:t>PASI 75</w:t>
            </w:r>
          </w:p>
        </w:tc>
        <w:tc>
          <w:tcPr>
            <w:tcW w:w="1668" w:type="dxa"/>
          </w:tcPr>
          <w:p w14:paraId="718442BE" w14:textId="77777777" w:rsidR="00BC0E7E" w:rsidRPr="00BC0E7E" w:rsidRDefault="00944B8F" w:rsidP="00DA2334">
            <w:pPr>
              <w:keepNext/>
              <w:tabs>
                <w:tab w:val="clear" w:pos="562"/>
              </w:tabs>
              <w:suppressAutoHyphens w:val="0"/>
              <w:overflowPunct w:val="0"/>
              <w:autoSpaceDE w:val="0"/>
              <w:autoSpaceDN w:val="0"/>
              <w:adjustRightInd w:val="0"/>
              <w:jc w:val="center"/>
              <w:textAlignment w:val="baseline"/>
              <w:rPr>
                <w:bCs/>
                <w:iCs/>
                <w:szCs w:val="20"/>
                <w:lang w:val="it-IT"/>
              </w:rPr>
            </w:pPr>
            <w:r w:rsidRPr="00BC0E7E">
              <w:rPr>
                <w:bCs/>
                <w:iCs/>
                <w:szCs w:val="20"/>
                <w:lang w:val="it-IT"/>
              </w:rPr>
              <w:t>10 (18.9)</w:t>
            </w:r>
          </w:p>
        </w:tc>
        <w:tc>
          <w:tcPr>
            <w:tcW w:w="1347" w:type="dxa"/>
          </w:tcPr>
          <w:p w14:paraId="7A016E0D" w14:textId="77777777" w:rsidR="00BC0E7E" w:rsidRPr="00BC0E7E" w:rsidRDefault="00944B8F" w:rsidP="00DA2334">
            <w:pPr>
              <w:keepNext/>
              <w:tabs>
                <w:tab w:val="clear" w:pos="562"/>
              </w:tabs>
              <w:suppressAutoHyphens w:val="0"/>
              <w:overflowPunct w:val="0"/>
              <w:autoSpaceDE w:val="0"/>
              <w:autoSpaceDN w:val="0"/>
              <w:adjustRightInd w:val="0"/>
              <w:jc w:val="center"/>
              <w:textAlignment w:val="baseline"/>
              <w:rPr>
                <w:bCs/>
                <w:iCs/>
                <w:szCs w:val="20"/>
                <w:lang w:val="it-IT"/>
              </w:rPr>
            </w:pPr>
            <w:r w:rsidRPr="00BC0E7E">
              <w:rPr>
                <w:bCs/>
                <w:iCs/>
                <w:szCs w:val="20"/>
                <w:lang w:val="it-IT"/>
              </w:rPr>
              <w:t>39 (35.5)</w:t>
            </w:r>
          </w:p>
        </w:tc>
        <w:tc>
          <w:tcPr>
            <w:tcW w:w="2392" w:type="dxa"/>
          </w:tcPr>
          <w:p w14:paraId="23E7F2D1" w14:textId="77777777" w:rsidR="00BC0E7E" w:rsidRPr="00BC0E7E" w:rsidRDefault="00944B8F" w:rsidP="00DA2334">
            <w:pPr>
              <w:keepNext/>
              <w:tabs>
                <w:tab w:val="clear" w:pos="562"/>
              </w:tabs>
              <w:suppressAutoHyphens w:val="0"/>
              <w:overflowPunct w:val="0"/>
              <w:autoSpaceDE w:val="0"/>
              <w:autoSpaceDN w:val="0"/>
              <w:adjustRightInd w:val="0"/>
              <w:jc w:val="center"/>
              <w:textAlignment w:val="baseline"/>
              <w:rPr>
                <w:bCs/>
                <w:iCs/>
                <w:szCs w:val="20"/>
                <w:lang w:val="it-IT"/>
              </w:rPr>
            </w:pPr>
            <w:r w:rsidRPr="00BC0E7E">
              <w:rPr>
                <w:bCs/>
                <w:iCs/>
                <w:szCs w:val="20"/>
                <w:lang w:val="it-IT"/>
              </w:rPr>
              <w:t>86 (79.6)</w:t>
            </w:r>
            <w:r w:rsidRPr="00BC0E7E">
              <w:rPr>
                <w:bCs/>
                <w:iCs/>
                <w:szCs w:val="20"/>
                <w:vertAlign w:val="superscript"/>
                <w:lang w:val="it-IT"/>
              </w:rPr>
              <w:t xml:space="preserve"> a, b</w:t>
            </w:r>
          </w:p>
        </w:tc>
      </w:tr>
      <w:tr w:rsidR="00C6578C" w14:paraId="38F3AEC3" w14:textId="77777777" w:rsidTr="00171601">
        <w:trPr>
          <w:cantSplit/>
          <w:jc w:val="center"/>
        </w:trPr>
        <w:tc>
          <w:tcPr>
            <w:tcW w:w="1639" w:type="dxa"/>
          </w:tcPr>
          <w:p w14:paraId="0405E166" w14:textId="77777777" w:rsidR="00BC0E7E" w:rsidRPr="00BC0E7E" w:rsidRDefault="00944B8F" w:rsidP="00DA2334">
            <w:pPr>
              <w:keepNext/>
              <w:tabs>
                <w:tab w:val="clear" w:pos="562"/>
              </w:tabs>
              <w:suppressAutoHyphens w:val="0"/>
              <w:overflowPunct w:val="0"/>
              <w:autoSpaceDE w:val="0"/>
              <w:autoSpaceDN w:val="0"/>
              <w:adjustRightInd w:val="0"/>
              <w:textAlignment w:val="baseline"/>
              <w:rPr>
                <w:b/>
                <w:iCs/>
                <w:szCs w:val="20"/>
                <w:lang w:val="it-IT"/>
              </w:rPr>
            </w:pPr>
            <w:r w:rsidRPr="00BC0E7E">
              <w:rPr>
                <w:b/>
                <w:iCs/>
                <w:szCs w:val="20"/>
                <w:lang w:val="it-IT"/>
              </w:rPr>
              <w:t xml:space="preserve">    PASI 100</w:t>
            </w:r>
          </w:p>
        </w:tc>
        <w:tc>
          <w:tcPr>
            <w:tcW w:w="1668" w:type="dxa"/>
          </w:tcPr>
          <w:p w14:paraId="70A4B4E2" w14:textId="77777777" w:rsidR="00BC0E7E" w:rsidRPr="00BC0E7E" w:rsidRDefault="00944B8F" w:rsidP="00DA2334">
            <w:pPr>
              <w:keepNext/>
              <w:tabs>
                <w:tab w:val="clear" w:pos="562"/>
              </w:tabs>
              <w:suppressAutoHyphens w:val="0"/>
              <w:overflowPunct w:val="0"/>
              <w:autoSpaceDE w:val="0"/>
              <w:autoSpaceDN w:val="0"/>
              <w:adjustRightInd w:val="0"/>
              <w:jc w:val="center"/>
              <w:textAlignment w:val="baseline"/>
              <w:rPr>
                <w:bCs/>
                <w:iCs/>
                <w:szCs w:val="20"/>
              </w:rPr>
            </w:pPr>
            <w:r w:rsidRPr="00BC0E7E">
              <w:rPr>
                <w:bCs/>
                <w:iCs/>
                <w:szCs w:val="20"/>
              </w:rPr>
              <w:t>1 (1.9)</w:t>
            </w:r>
          </w:p>
        </w:tc>
        <w:tc>
          <w:tcPr>
            <w:tcW w:w="1347" w:type="dxa"/>
          </w:tcPr>
          <w:p w14:paraId="79BC3018" w14:textId="77777777" w:rsidR="00BC0E7E" w:rsidRPr="00BC0E7E" w:rsidRDefault="00944B8F" w:rsidP="00DA2334">
            <w:pPr>
              <w:keepNext/>
              <w:tabs>
                <w:tab w:val="clear" w:pos="562"/>
              </w:tabs>
              <w:suppressAutoHyphens w:val="0"/>
              <w:overflowPunct w:val="0"/>
              <w:autoSpaceDE w:val="0"/>
              <w:autoSpaceDN w:val="0"/>
              <w:adjustRightInd w:val="0"/>
              <w:jc w:val="center"/>
              <w:textAlignment w:val="baseline"/>
              <w:rPr>
                <w:bCs/>
                <w:iCs/>
                <w:szCs w:val="20"/>
              </w:rPr>
            </w:pPr>
            <w:r w:rsidRPr="00BC0E7E">
              <w:rPr>
                <w:bCs/>
                <w:iCs/>
                <w:szCs w:val="20"/>
              </w:rPr>
              <w:t>8 (7.3)</w:t>
            </w:r>
          </w:p>
        </w:tc>
        <w:tc>
          <w:tcPr>
            <w:tcW w:w="2392" w:type="dxa"/>
          </w:tcPr>
          <w:p w14:paraId="438DFB6F" w14:textId="77777777" w:rsidR="00BC0E7E" w:rsidRPr="00BC0E7E" w:rsidRDefault="00944B8F" w:rsidP="00DA2334">
            <w:pPr>
              <w:keepNext/>
              <w:tabs>
                <w:tab w:val="clear" w:pos="562"/>
              </w:tabs>
              <w:suppressAutoHyphens w:val="0"/>
              <w:overflowPunct w:val="0"/>
              <w:autoSpaceDE w:val="0"/>
              <w:autoSpaceDN w:val="0"/>
              <w:adjustRightInd w:val="0"/>
              <w:jc w:val="center"/>
              <w:textAlignment w:val="baseline"/>
              <w:rPr>
                <w:bCs/>
                <w:iCs/>
                <w:szCs w:val="20"/>
              </w:rPr>
            </w:pPr>
            <w:r w:rsidRPr="00BC0E7E">
              <w:rPr>
                <w:bCs/>
                <w:iCs/>
                <w:szCs w:val="20"/>
              </w:rPr>
              <w:t>18 (16.7)</w:t>
            </w:r>
            <w:r w:rsidRPr="00BC0E7E">
              <w:rPr>
                <w:bCs/>
                <w:iCs/>
                <w:szCs w:val="20"/>
                <w:vertAlign w:val="superscript"/>
              </w:rPr>
              <w:t xml:space="preserve"> c, d</w:t>
            </w:r>
          </w:p>
        </w:tc>
      </w:tr>
      <w:tr w:rsidR="00C6578C" w14:paraId="0AA3384A" w14:textId="77777777" w:rsidTr="00171601">
        <w:trPr>
          <w:cantSplit/>
          <w:jc w:val="center"/>
        </w:trPr>
        <w:tc>
          <w:tcPr>
            <w:tcW w:w="1639" w:type="dxa"/>
          </w:tcPr>
          <w:p w14:paraId="778435B8" w14:textId="77777777" w:rsidR="00BC0E7E" w:rsidRPr="00BC0E7E" w:rsidRDefault="00944B8F" w:rsidP="00DA2334">
            <w:pPr>
              <w:keepNext/>
              <w:tabs>
                <w:tab w:val="clear" w:pos="562"/>
              </w:tabs>
              <w:suppressAutoHyphens w:val="0"/>
              <w:overflowPunct w:val="0"/>
              <w:autoSpaceDE w:val="0"/>
              <w:autoSpaceDN w:val="0"/>
              <w:adjustRightInd w:val="0"/>
              <w:textAlignment w:val="baseline"/>
              <w:rPr>
                <w:b/>
                <w:iCs/>
                <w:szCs w:val="20"/>
              </w:rPr>
            </w:pPr>
            <w:r w:rsidRPr="00BC0E7E">
              <w:rPr>
                <w:b/>
                <w:iCs/>
                <w:szCs w:val="20"/>
              </w:rPr>
              <w:t xml:space="preserve">    PGA: Clear/minimal</w:t>
            </w:r>
          </w:p>
        </w:tc>
        <w:tc>
          <w:tcPr>
            <w:tcW w:w="1668" w:type="dxa"/>
          </w:tcPr>
          <w:p w14:paraId="260DCD9B" w14:textId="77777777" w:rsidR="00BC0E7E" w:rsidRPr="00BC0E7E" w:rsidRDefault="00944B8F" w:rsidP="00DA2334">
            <w:pPr>
              <w:keepNext/>
              <w:tabs>
                <w:tab w:val="clear" w:pos="562"/>
              </w:tabs>
              <w:suppressAutoHyphens w:val="0"/>
              <w:overflowPunct w:val="0"/>
              <w:autoSpaceDE w:val="0"/>
              <w:autoSpaceDN w:val="0"/>
              <w:adjustRightInd w:val="0"/>
              <w:jc w:val="center"/>
              <w:textAlignment w:val="baseline"/>
              <w:rPr>
                <w:bCs/>
                <w:iCs/>
                <w:szCs w:val="20"/>
              </w:rPr>
            </w:pPr>
            <w:r w:rsidRPr="00BC0E7E">
              <w:rPr>
                <w:bCs/>
                <w:iCs/>
                <w:szCs w:val="20"/>
              </w:rPr>
              <w:t>6 (11.3)</w:t>
            </w:r>
          </w:p>
        </w:tc>
        <w:tc>
          <w:tcPr>
            <w:tcW w:w="1347" w:type="dxa"/>
          </w:tcPr>
          <w:p w14:paraId="7A956D3A" w14:textId="77777777" w:rsidR="00BC0E7E" w:rsidRPr="00BC0E7E" w:rsidRDefault="00944B8F" w:rsidP="00DA2334">
            <w:pPr>
              <w:keepNext/>
              <w:tabs>
                <w:tab w:val="clear" w:pos="562"/>
              </w:tabs>
              <w:suppressAutoHyphens w:val="0"/>
              <w:overflowPunct w:val="0"/>
              <w:autoSpaceDE w:val="0"/>
              <w:autoSpaceDN w:val="0"/>
              <w:adjustRightInd w:val="0"/>
              <w:jc w:val="center"/>
              <w:textAlignment w:val="baseline"/>
              <w:rPr>
                <w:bCs/>
                <w:iCs/>
                <w:szCs w:val="20"/>
              </w:rPr>
            </w:pPr>
            <w:r w:rsidRPr="00BC0E7E">
              <w:rPr>
                <w:bCs/>
                <w:iCs/>
                <w:szCs w:val="20"/>
              </w:rPr>
              <w:t>33 (30.0)</w:t>
            </w:r>
          </w:p>
        </w:tc>
        <w:tc>
          <w:tcPr>
            <w:tcW w:w="2392" w:type="dxa"/>
          </w:tcPr>
          <w:p w14:paraId="518C3392" w14:textId="77777777" w:rsidR="00BC0E7E" w:rsidRPr="00BC0E7E" w:rsidRDefault="00944B8F" w:rsidP="00DA2334">
            <w:pPr>
              <w:keepNext/>
              <w:tabs>
                <w:tab w:val="clear" w:pos="562"/>
              </w:tabs>
              <w:suppressAutoHyphens w:val="0"/>
              <w:overflowPunct w:val="0"/>
              <w:autoSpaceDE w:val="0"/>
              <w:autoSpaceDN w:val="0"/>
              <w:adjustRightInd w:val="0"/>
              <w:jc w:val="center"/>
              <w:textAlignment w:val="baseline"/>
              <w:rPr>
                <w:bCs/>
                <w:iCs/>
                <w:szCs w:val="20"/>
              </w:rPr>
            </w:pPr>
            <w:r w:rsidRPr="00BC0E7E">
              <w:rPr>
                <w:bCs/>
                <w:iCs/>
                <w:szCs w:val="20"/>
              </w:rPr>
              <w:t>79 (73.1)</w:t>
            </w:r>
            <w:r w:rsidRPr="00BC0E7E">
              <w:rPr>
                <w:bCs/>
                <w:iCs/>
                <w:szCs w:val="20"/>
                <w:vertAlign w:val="superscript"/>
              </w:rPr>
              <w:t xml:space="preserve"> a, b</w:t>
            </w:r>
          </w:p>
        </w:tc>
      </w:tr>
      <w:tr w:rsidR="00C6578C" w14:paraId="4FADBA48" w14:textId="77777777" w:rsidTr="00171601">
        <w:trPr>
          <w:cantSplit/>
          <w:jc w:val="center"/>
        </w:trPr>
        <w:tc>
          <w:tcPr>
            <w:tcW w:w="7046" w:type="dxa"/>
            <w:gridSpan w:val="4"/>
          </w:tcPr>
          <w:p w14:paraId="32B336F7" w14:textId="77777777" w:rsidR="00BC0E7E" w:rsidRPr="00671233" w:rsidRDefault="00944B8F" w:rsidP="00DA2334">
            <w:pPr>
              <w:keepNext/>
              <w:tabs>
                <w:tab w:val="clear" w:pos="562"/>
              </w:tabs>
              <w:suppressAutoHyphens w:val="0"/>
              <w:overflowPunct w:val="0"/>
              <w:autoSpaceDE w:val="0"/>
              <w:autoSpaceDN w:val="0"/>
              <w:adjustRightInd w:val="0"/>
              <w:textAlignment w:val="baseline"/>
              <w:rPr>
                <w:bCs/>
                <w:iCs/>
                <w:szCs w:val="20"/>
              </w:rPr>
            </w:pPr>
            <w:r w:rsidRPr="00671233">
              <w:rPr>
                <w:bCs/>
                <w:iCs/>
                <w:szCs w:val="20"/>
                <w:vertAlign w:val="superscript"/>
              </w:rPr>
              <w:t>a</w:t>
            </w:r>
            <w:r w:rsidRPr="00671233">
              <w:rPr>
                <w:bCs/>
                <w:iCs/>
                <w:szCs w:val="20"/>
              </w:rPr>
              <w:t xml:space="preserve"> p &lt; 0.001 Humira vs. placebo</w:t>
            </w:r>
          </w:p>
          <w:p w14:paraId="20507188" w14:textId="77777777" w:rsidR="00BC0E7E" w:rsidRPr="00671233" w:rsidRDefault="00944B8F" w:rsidP="00DA2334">
            <w:pPr>
              <w:keepNext/>
              <w:tabs>
                <w:tab w:val="clear" w:pos="562"/>
              </w:tabs>
              <w:suppressAutoHyphens w:val="0"/>
              <w:overflowPunct w:val="0"/>
              <w:autoSpaceDE w:val="0"/>
              <w:autoSpaceDN w:val="0"/>
              <w:adjustRightInd w:val="0"/>
              <w:textAlignment w:val="baseline"/>
              <w:rPr>
                <w:bCs/>
                <w:iCs/>
                <w:szCs w:val="20"/>
              </w:rPr>
            </w:pPr>
            <w:r w:rsidRPr="00671233">
              <w:rPr>
                <w:bCs/>
                <w:iCs/>
                <w:szCs w:val="20"/>
                <w:vertAlign w:val="superscript"/>
              </w:rPr>
              <w:t>b</w:t>
            </w:r>
            <w:r w:rsidRPr="00671233">
              <w:rPr>
                <w:bCs/>
                <w:iCs/>
                <w:szCs w:val="20"/>
              </w:rPr>
              <w:t xml:space="preserve"> p &lt; 0.001 Humira vs. methotrexate</w:t>
            </w:r>
          </w:p>
          <w:p w14:paraId="4920330A" w14:textId="77777777" w:rsidR="00BC0E7E" w:rsidRPr="00671233" w:rsidRDefault="00944B8F" w:rsidP="00DA2334">
            <w:pPr>
              <w:keepNext/>
              <w:tabs>
                <w:tab w:val="clear" w:pos="562"/>
              </w:tabs>
              <w:suppressAutoHyphens w:val="0"/>
              <w:overflowPunct w:val="0"/>
              <w:autoSpaceDE w:val="0"/>
              <w:autoSpaceDN w:val="0"/>
              <w:adjustRightInd w:val="0"/>
              <w:textAlignment w:val="baseline"/>
              <w:rPr>
                <w:bCs/>
                <w:iCs/>
                <w:szCs w:val="20"/>
              </w:rPr>
            </w:pPr>
            <w:r w:rsidRPr="00671233">
              <w:rPr>
                <w:bCs/>
                <w:iCs/>
                <w:szCs w:val="20"/>
                <w:vertAlign w:val="superscript"/>
              </w:rPr>
              <w:t>c</w:t>
            </w:r>
            <w:r w:rsidRPr="00671233">
              <w:rPr>
                <w:bCs/>
                <w:iCs/>
                <w:szCs w:val="20"/>
              </w:rPr>
              <w:t xml:space="preserve"> p &lt; 0.01 Humira vs. placebo</w:t>
            </w:r>
          </w:p>
          <w:p w14:paraId="7352EF28" w14:textId="77777777" w:rsidR="00BC0E7E" w:rsidRPr="00BC0E7E" w:rsidRDefault="00944B8F" w:rsidP="00DA2334">
            <w:pPr>
              <w:keepNext/>
              <w:tabs>
                <w:tab w:val="clear" w:pos="562"/>
              </w:tabs>
              <w:suppressAutoHyphens w:val="0"/>
              <w:overflowPunct w:val="0"/>
              <w:autoSpaceDE w:val="0"/>
              <w:autoSpaceDN w:val="0"/>
              <w:adjustRightInd w:val="0"/>
              <w:textAlignment w:val="baseline"/>
              <w:rPr>
                <w:bCs/>
                <w:iCs/>
                <w:szCs w:val="20"/>
                <w:lang w:val="fr-FR"/>
              </w:rPr>
            </w:pPr>
            <w:r w:rsidRPr="00BC0E7E">
              <w:rPr>
                <w:bCs/>
                <w:iCs/>
                <w:szCs w:val="20"/>
                <w:vertAlign w:val="superscript"/>
                <w:lang w:val="fr-FR"/>
              </w:rPr>
              <w:t>d</w:t>
            </w:r>
            <w:r w:rsidRPr="00BC0E7E">
              <w:rPr>
                <w:bCs/>
                <w:iCs/>
                <w:szCs w:val="20"/>
                <w:lang w:val="fr-FR"/>
              </w:rPr>
              <w:t xml:space="preserve"> p &lt; 0.05 Humira vs. methotrexate</w:t>
            </w:r>
          </w:p>
        </w:tc>
      </w:tr>
    </w:tbl>
    <w:p w14:paraId="56D03399" w14:textId="77777777" w:rsidR="00BC0E7E" w:rsidRPr="008F4FD5" w:rsidRDefault="00BC0E7E" w:rsidP="00BC0E7E">
      <w:pPr>
        <w:rPr>
          <w:bCs/>
          <w:szCs w:val="22"/>
          <w:lang w:val="fr-FR"/>
        </w:rPr>
      </w:pPr>
    </w:p>
    <w:p w14:paraId="0C584D73" w14:textId="77777777" w:rsidR="00BC0E7E" w:rsidRPr="00BC0E7E" w:rsidRDefault="00944B8F" w:rsidP="00BC0E7E">
      <w:pPr>
        <w:rPr>
          <w:szCs w:val="22"/>
        </w:rPr>
      </w:pPr>
      <w:r w:rsidRPr="00BC0E7E">
        <w:rPr>
          <w:szCs w:val="22"/>
        </w:rPr>
        <w:t xml:space="preserve">In </w:t>
      </w:r>
      <w:r w:rsidRPr="00BC0E7E">
        <w:rPr>
          <w:iCs/>
        </w:rPr>
        <w:t xml:space="preserve">Psoriasis </w:t>
      </w:r>
      <w:r w:rsidRPr="00BC0E7E">
        <w:rPr>
          <w:szCs w:val="22"/>
        </w:rPr>
        <w:t>Study I, 28% of patients who were PASI 75 responders and were re-randomised to placebo at Week 33 compared to 5% continuing on Humira, p &lt; 0.001, experienced “loss of adequate response”</w:t>
      </w:r>
      <w:r w:rsidRPr="00BC0E7E">
        <w:rPr>
          <w:iCs/>
        </w:rPr>
        <w:t xml:space="preserve"> (PASI score after Week 33 and on or before Week 52 that resulted in a &lt;PASI 50 response relative to baseline with a minimum of a 6-point increase in PASI score relative to Week 33)</w:t>
      </w:r>
      <w:r w:rsidRPr="00BC0E7E">
        <w:rPr>
          <w:szCs w:val="22"/>
        </w:rPr>
        <w:t>. Of the patients who lost adequate response after re-randomisation to placebo who then enrolled into the open-label extension trial, 38% (25/66) and 55% (36/66) regained PASI 75 response after 12 and 24 weeks of re-treatment, respectively.</w:t>
      </w:r>
    </w:p>
    <w:p w14:paraId="329FF897" w14:textId="77777777" w:rsidR="00BC0E7E" w:rsidRPr="00BC0E7E" w:rsidRDefault="00BC0E7E" w:rsidP="00BC0E7E">
      <w:pPr>
        <w:rPr>
          <w:szCs w:val="22"/>
        </w:rPr>
      </w:pPr>
    </w:p>
    <w:p w14:paraId="3E107B18" w14:textId="77777777" w:rsidR="00BC0E7E" w:rsidRPr="00BC0E7E" w:rsidRDefault="00944B8F" w:rsidP="00BC0E7E">
      <w:pPr>
        <w:rPr>
          <w:szCs w:val="22"/>
        </w:rPr>
      </w:pPr>
      <w:r w:rsidRPr="00BC0E7E">
        <w:rPr>
          <w:szCs w:val="22"/>
        </w:rPr>
        <w:t>A total of 233 PASI 75 responders at Week 16 and Week 33 received continuous Humira therapy for 52 weeks in Psoriasis Study I, and continued Humira in the open-label extension trial.  PASI 75 and PGA of clear or minimal response rates in these patients were 74.7% and 59.0%, respectively, after an additional 108 weeks of open-label therapy (total of 160 weeks). In an analysis in which all patients who dropped out of the study for adverse events or lack of efficacy, or who dose-escalated, were considered non-responders, PASI 75 and PGA of clear or minimal response rates in these patients were 69.6% and 55.7%, respectively, after an additional 108 weeks of open-label therapy (total of 160 weeks).</w:t>
      </w:r>
    </w:p>
    <w:p w14:paraId="194F1114" w14:textId="77777777" w:rsidR="00BC0E7E" w:rsidRPr="00BC0E7E" w:rsidRDefault="00BC0E7E" w:rsidP="00BC0E7E">
      <w:pPr>
        <w:rPr>
          <w:szCs w:val="22"/>
        </w:rPr>
      </w:pPr>
    </w:p>
    <w:p w14:paraId="094ED914" w14:textId="77777777" w:rsidR="00BC0E7E" w:rsidRPr="00BC0E7E" w:rsidRDefault="00944B8F" w:rsidP="00BC0E7E">
      <w:pPr>
        <w:rPr>
          <w:szCs w:val="22"/>
        </w:rPr>
      </w:pPr>
      <w:r w:rsidRPr="00BC0E7E">
        <w:rPr>
          <w:szCs w:val="22"/>
        </w:rPr>
        <w:t>A total of 347 stable responders participated in a withdrawal and retreatment evaluation in an open-label extension study. During the withdrawal period, symptoms of psoriasis returned over time with a median time to relapse (decline to PGA “moderate” or worse) of approximately 5 months. None of these patients experienced rebound during the withdrawal period. A total of 76.5% (218/285) of patients who entered the retreatment period had a response of PGA “clear” or “minimal” after 16 weeks of retreatment, irrespective of whether they relapsed during withdrawal (69.1%[123/178] and 88.8% [95/107] for patients who relapsed and who did not relapse during the withdrawal period, respectively).  A similar safety profile was observed during retreatment as before withdrawal.</w:t>
      </w:r>
    </w:p>
    <w:p w14:paraId="30EA7935" w14:textId="77777777" w:rsidR="00BC0E7E" w:rsidRPr="00BC0E7E" w:rsidRDefault="00BC0E7E" w:rsidP="00BC0E7E">
      <w:pPr>
        <w:autoSpaceDE w:val="0"/>
        <w:autoSpaceDN w:val="0"/>
        <w:adjustRightInd w:val="0"/>
      </w:pPr>
    </w:p>
    <w:p w14:paraId="2E38AEC9" w14:textId="77777777" w:rsidR="00BC0E7E" w:rsidRPr="00BC0E7E" w:rsidRDefault="00944B8F" w:rsidP="00BC0E7E">
      <w:pPr>
        <w:rPr>
          <w:szCs w:val="20"/>
        </w:rPr>
      </w:pPr>
      <w:r w:rsidRPr="00BC0E7E">
        <w:rPr>
          <w:szCs w:val="20"/>
        </w:rPr>
        <w:lastRenderedPageBreak/>
        <w:t>Significant improvements at Week 16 from baseline compared to placebo (Studies I and II) and MTX (Study II) were demonstrated in the DLQI (Dermatology Life Quality Index). In Study I, improvements in the physical and mental component summary scores of the SF-36 were also significant compared to placebo.</w:t>
      </w:r>
    </w:p>
    <w:p w14:paraId="4F962844" w14:textId="77777777" w:rsidR="00BC0E7E" w:rsidRPr="00BC0E7E" w:rsidRDefault="00BC0E7E" w:rsidP="00BC0E7E">
      <w:pPr>
        <w:rPr>
          <w:szCs w:val="20"/>
        </w:rPr>
      </w:pPr>
    </w:p>
    <w:p w14:paraId="4E938AF9" w14:textId="77777777" w:rsidR="00BC0E7E" w:rsidRPr="00BC0E7E" w:rsidRDefault="00944B8F" w:rsidP="00BC0E7E">
      <w:pPr>
        <w:rPr>
          <w:szCs w:val="20"/>
        </w:rPr>
      </w:pPr>
      <w:r w:rsidRPr="00BC0E7E">
        <w:rPr>
          <w:szCs w:val="20"/>
        </w:rPr>
        <w:t>In an open-label extension study, for patients who dose escalated from 40 mg every other week to 40 mg weekly due to a PASI response below 50%, 26.4% (92/349) and 37.8% (132/349) of patients achieved PASI 75 response at Week 12 and 24, respectively.</w:t>
      </w:r>
    </w:p>
    <w:p w14:paraId="0D475D3C" w14:textId="77777777" w:rsidR="00BC0E7E" w:rsidRPr="00BC0E7E" w:rsidRDefault="00BC0E7E" w:rsidP="00BC0E7E">
      <w:pPr>
        <w:rPr>
          <w:szCs w:val="20"/>
        </w:rPr>
      </w:pPr>
    </w:p>
    <w:p w14:paraId="05D0740F" w14:textId="77777777" w:rsidR="00BC0E7E" w:rsidRPr="00BC0E7E" w:rsidRDefault="00944B8F" w:rsidP="00BC0E7E">
      <w:pPr>
        <w:rPr>
          <w:szCs w:val="20"/>
        </w:rPr>
      </w:pPr>
      <w:r w:rsidRPr="00BC0E7E">
        <w:rPr>
          <w:szCs w:val="20"/>
        </w:rPr>
        <w:t>Psoriasis Study III (REACH)</w:t>
      </w:r>
      <w:r w:rsidRPr="00BC0E7E">
        <w:rPr>
          <w:szCs w:val="22"/>
        </w:rPr>
        <w:t xml:space="preserve"> compared the efficacy and safety of Humira </w:t>
      </w:r>
      <w:r w:rsidRPr="00BC0E7E">
        <w:rPr>
          <w:i/>
          <w:iCs/>
          <w:szCs w:val="22"/>
        </w:rPr>
        <w:t>versus</w:t>
      </w:r>
      <w:r w:rsidRPr="00BC0E7E">
        <w:rPr>
          <w:szCs w:val="22"/>
        </w:rPr>
        <w:t xml:space="preserve"> placebo in 72 patients with moderate to severe chronic plaque psoriasis and hand and/or foot psoriasis. Patients received an initial </w:t>
      </w:r>
      <w:r w:rsidRPr="00BC0E7E">
        <w:rPr>
          <w:szCs w:val="20"/>
        </w:rPr>
        <w:t>dose of 80 mg Humira followed by 40 mg every other week (starting one week after the initial dose) or placebo for 16 weeks. At Week 16, a statistically significantly greater proportion of patients who received Humira achieved PGA of 'clear' or 'almost clear' for the hands and/or feet compared to patients who received placebo (30.6% versus 4.3%, respectively [P = 0.014]).</w:t>
      </w:r>
    </w:p>
    <w:p w14:paraId="29010BD6" w14:textId="77777777" w:rsidR="00BC0E7E" w:rsidRPr="00BC0E7E" w:rsidRDefault="00BC0E7E" w:rsidP="00BC0E7E">
      <w:pPr>
        <w:rPr>
          <w:szCs w:val="20"/>
        </w:rPr>
      </w:pPr>
    </w:p>
    <w:p w14:paraId="282FE6E9" w14:textId="77777777" w:rsidR="00BC0E7E" w:rsidRPr="00BC0E7E" w:rsidRDefault="00944B8F" w:rsidP="00BC0E7E">
      <w:pPr>
        <w:tabs>
          <w:tab w:val="clear" w:pos="562"/>
        </w:tabs>
        <w:suppressAutoHyphens w:val="0"/>
        <w:rPr>
          <w:szCs w:val="22"/>
        </w:rPr>
      </w:pPr>
      <w:r w:rsidRPr="00BC0E7E">
        <w:rPr>
          <w:szCs w:val="22"/>
        </w:rPr>
        <w:t xml:space="preserve">Psoriasis Study IV compared efficacy and safety of Humira versus placebo in 217 adult patients with moderate to severe nail psoriasis. Patients received an initial dose of 80 mg Humira followed by 40 mg every other week (starting one week after the initial dose) or placebo for 26 weeks followed by open-label Humira treatment for an additional 26 weeks. Nail psoriasis assessments included the Modified Nail Psoriasis Severity Index (mNAPSI), the Physician’s Global Assessment of Fingernail Psoriasis (PGA-F) and the Nail Psoriasis Severity Index (NAPSI) (see Table </w:t>
      </w:r>
      <w:r w:rsidR="006876B3">
        <w:rPr>
          <w:szCs w:val="22"/>
        </w:rPr>
        <w:t>1</w:t>
      </w:r>
      <w:r w:rsidR="001C259B">
        <w:rPr>
          <w:szCs w:val="22"/>
        </w:rPr>
        <w:t>8</w:t>
      </w:r>
      <w:r w:rsidRPr="00BC0E7E">
        <w:rPr>
          <w:szCs w:val="22"/>
        </w:rPr>
        <w:t>). Humira demonstrated a treatment benefit in nail psoriasis patients with different extents of skin involvement (BSA≥10% (60% of patients) and BSA&lt;10% and ≥5% (40% of patients)).</w:t>
      </w:r>
    </w:p>
    <w:p w14:paraId="50BA4E23" w14:textId="77777777" w:rsidR="00BC0E7E" w:rsidRPr="00BC0E7E" w:rsidRDefault="00BC0E7E" w:rsidP="00BC0E7E">
      <w:pPr>
        <w:tabs>
          <w:tab w:val="clear" w:pos="562"/>
        </w:tabs>
        <w:suppressAutoHyphens w:val="0"/>
        <w:rPr>
          <w:szCs w:val="22"/>
        </w:rPr>
      </w:pPr>
    </w:p>
    <w:p w14:paraId="16547839" w14:textId="77777777" w:rsidR="00BC0E7E" w:rsidRPr="00BC0E7E" w:rsidRDefault="00944B8F" w:rsidP="00BC0E7E">
      <w:pPr>
        <w:keepNext/>
        <w:tabs>
          <w:tab w:val="clear" w:pos="562"/>
        </w:tabs>
        <w:suppressAutoHyphens w:val="0"/>
        <w:jc w:val="center"/>
        <w:rPr>
          <w:b/>
          <w:bCs/>
          <w:szCs w:val="22"/>
        </w:rPr>
      </w:pPr>
      <w:r w:rsidRPr="00BC0E7E">
        <w:rPr>
          <w:b/>
          <w:szCs w:val="22"/>
        </w:rPr>
        <w:t xml:space="preserve">Table </w:t>
      </w:r>
      <w:r w:rsidR="006876B3">
        <w:rPr>
          <w:b/>
          <w:szCs w:val="22"/>
        </w:rPr>
        <w:t>1</w:t>
      </w:r>
      <w:r w:rsidR="00614ABC">
        <w:rPr>
          <w:b/>
          <w:szCs w:val="22"/>
        </w:rPr>
        <w:t>8</w:t>
      </w:r>
      <w:r w:rsidR="00311C84">
        <w:rPr>
          <w:b/>
          <w:szCs w:val="22"/>
        </w:rPr>
        <w:t xml:space="preserve">: </w:t>
      </w:r>
      <w:r w:rsidRPr="00BC0E7E">
        <w:rPr>
          <w:b/>
          <w:szCs w:val="22"/>
        </w:rPr>
        <w:t>Ps Study IV Efficacy Results at 16, 26 and 52 Weeks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268"/>
      </w:tblGrid>
      <w:tr w:rsidR="00C6578C" w14:paraId="1E99E7A7" w14:textId="77777777" w:rsidTr="00171601">
        <w:tc>
          <w:tcPr>
            <w:tcW w:w="2718" w:type="dxa"/>
            <w:vMerge w:val="restart"/>
          </w:tcPr>
          <w:p w14:paraId="4194DE93" w14:textId="77777777" w:rsidR="00BC0E7E" w:rsidRPr="00BC0E7E" w:rsidRDefault="00944B8F" w:rsidP="00BC0E7E">
            <w:pPr>
              <w:keepNext/>
              <w:tabs>
                <w:tab w:val="clear" w:pos="562"/>
              </w:tabs>
              <w:suppressAutoHyphens w:val="0"/>
              <w:rPr>
                <w:szCs w:val="22"/>
              </w:rPr>
            </w:pPr>
            <w:r w:rsidRPr="00BC0E7E">
              <w:rPr>
                <w:szCs w:val="22"/>
              </w:rPr>
              <w:t>Endpoint</w:t>
            </w:r>
          </w:p>
        </w:tc>
        <w:tc>
          <w:tcPr>
            <w:tcW w:w="2340" w:type="dxa"/>
            <w:gridSpan w:val="2"/>
          </w:tcPr>
          <w:p w14:paraId="072B8C44" w14:textId="77777777" w:rsidR="00BC0E7E" w:rsidRPr="00BC0E7E" w:rsidRDefault="00944B8F" w:rsidP="00BC0E7E">
            <w:pPr>
              <w:keepNext/>
              <w:tabs>
                <w:tab w:val="clear" w:pos="562"/>
              </w:tabs>
              <w:suppressAutoHyphens w:val="0"/>
              <w:jc w:val="center"/>
              <w:rPr>
                <w:szCs w:val="22"/>
              </w:rPr>
            </w:pPr>
            <w:r w:rsidRPr="00BC0E7E">
              <w:rPr>
                <w:szCs w:val="22"/>
              </w:rPr>
              <w:t>Week 16</w:t>
            </w:r>
          </w:p>
          <w:p w14:paraId="2CB0BE88" w14:textId="77777777" w:rsidR="00BC0E7E" w:rsidRPr="00BC0E7E" w:rsidRDefault="00944B8F" w:rsidP="00BC0E7E">
            <w:pPr>
              <w:keepNext/>
              <w:tabs>
                <w:tab w:val="clear" w:pos="562"/>
              </w:tabs>
              <w:suppressAutoHyphens w:val="0"/>
              <w:jc w:val="center"/>
              <w:rPr>
                <w:szCs w:val="22"/>
              </w:rPr>
            </w:pPr>
            <w:r w:rsidRPr="00BC0E7E">
              <w:rPr>
                <w:szCs w:val="22"/>
              </w:rPr>
              <w:t>Placebo-Controlled</w:t>
            </w:r>
          </w:p>
        </w:tc>
        <w:tc>
          <w:tcPr>
            <w:tcW w:w="2250" w:type="dxa"/>
            <w:gridSpan w:val="2"/>
          </w:tcPr>
          <w:p w14:paraId="138A393B" w14:textId="77777777" w:rsidR="00BC0E7E" w:rsidRPr="00BC0E7E" w:rsidRDefault="00944B8F" w:rsidP="00BC0E7E">
            <w:pPr>
              <w:keepNext/>
              <w:tabs>
                <w:tab w:val="clear" w:pos="562"/>
              </w:tabs>
              <w:suppressAutoHyphens w:val="0"/>
              <w:jc w:val="center"/>
              <w:rPr>
                <w:szCs w:val="22"/>
              </w:rPr>
            </w:pPr>
            <w:r w:rsidRPr="00BC0E7E">
              <w:rPr>
                <w:szCs w:val="22"/>
              </w:rPr>
              <w:t>Week 26</w:t>
            </w:r>
          </w:p>
          <w:p w14:paraId="38C24D66" w14:textId="77777777" w:rsidR="00BC0E7E" w:rsidRPr="00BC0E7E" w:rsidRDefault="00944B8F" w:rsidP="00BC0E7E">
            <w:pPr>
              <w:keepNext/>
              <w:tabs>
                <w:tab w:val="clear" w:pos="562"/>
              </w:tabs>
              <w:suppressAutoHyphens w:val="0"/>
              <w:jc w:val="center"/>
              <w:rPr>
                <w:szCs w:val="22"/>
              </w:rPr>
            </w:pPr>
            <w:r w:rsidRPr="00BC0E7E">
              <w:rPr>
                <w:szCs w:val="22"/>
              </w:rPr>
              <w:t>Placebo-Controlled</w:t>
            </w:r>
          </w:p>
        </w:tc>
        <w:tc>
          <w:tcPr>
            <w:tcW w:w="2268" w:type="dxa"/>
          </w:tcPr>
          <w:p w14:paraId="1120080A" w14:textId="77777777" w:rsidR="00BC0E7E" w:rsidRPr="00BC0E7E" w:rsidRDefault="00944B8F" w:rsidP="00BC0E7E">
            <w:pPr>
              <w:keepNext/>
              <w:tabs>
                <w:tab w:val="clear" w:pos="562"/>
              </w:tabs>
              <w:suppressAutoHyphens w:val="0"/>
              <w:jc w:val="center"/>
              <w:rPr>
                <w:szCs w:val="22"/>
              </w:rPr>
            </w:pPr>
            <w:r w:rsidRPr="00BC0E7E">
              <w:rPr>
                <w:szCs w:val="22"/>
              </w:rPr>
              <w:t>Week 52</w:t>
            </w:r>
          </w:p>
          <w:p w14:paraId="14E13423" w14:textId="77777777" w:rsidR="00BC0E7E" w:rsidRPr="00BC0E7E" w:rsidRDefault="00944B8F" w:rsidP="00BC0E7E">
            <w:pPr>
              <w:keepNext/>
              <w:tabs>
                <w:tab w:val="clear" w:pos="562"/>
              </w:tabs>
              <w:suppressAutoHyphens w:val="0"/>
              <w:jc w:val="center"/>
              <w:rPr>
                <w:szCs w:val="22"/>
              </w:rPr>
            </w:pPr>
            <w:r w:rsidRPr="00BC0E7E">
              <w:rPr>
                <w:szCs w:val="22"/>
              </w:rPr>
              <w:t>Open-label</w:t>
            </w:r>
          </w:p>
        </w:tc>
      </w:tr>
      <w:tr w:rsidR="00C6578C" w14:paraId="2C70EC73" w14:textId="77777777" w:rsidTr="00171601">
        <w:tc>
          <w:tcPr>
            <w:tcW w:w="2718" w:type="dxa"/>
            <w:vMerge/>
          </w:tcPr>
          <w:p w14:paraId="1158A958" w14:textId="77777777" w:rsidR="00BC0E7E" w:rsidRPr="00BC0E7E" w:rsidRDefault="00BC0E7E" w:rsidP="00BC0E7E">
            <w:pPr>
              <w:keepNext/>
              <w:tabs>
                <w:tab w:val="clear" w:pos="562"/>
              </w:tabs>
              <w:suppressAutoHyphens w:val="0"/>
              <w:rPr>
                <w:szCs w:val="22"/>
              </w:rPr>
            </w:pPr>
          </w:p>
        </w:tc>
        <w:tc>
          <w:tcPr>
            <w:tcW w:w="1080" w:type="dxa"/>
          </w:tcPr>
          <w:p w14:paraId="116546E0" w14:textId="77777777" w:rsidR="00BC0E7E" w:rsidRPr="00BC0E7E" w:rsidRDefault="00944B8F" w:rsidP="00BC0E7E">
            <w:pPr>
              <w:keepNext/>
              <w:tabs>
                <w:tab w:val="clear" w:pos="562"/>
              </w:tabs>
              <w:suppressAutoHyphens w:val="0"/>
              <w:jc w:val="center"/>
              <w:rPr>
                <w:szCs w:val="22"/>
              </w:rPr>
            </w:pPr>
            <w:r w:rsidRPr="00BC0E7E">
              <w:rPr>
                <w:szCs w:val="2"/>
              </w:rPr>
              <w:t>Placebo</w:t>
            </w:r>
            <w:r w:rsidRPr="00BC0E7E">
              <w:rPr>
                <w:szCs w:val="2"/>
              </w:rPr>
              <w:br/>
              <w:t>N=108</w:t>
            </w:r>
          </w:p>
        </w:tc>
        <w:tc>
          <w:tcPr>
            <w:tcW w:w="1260" w:type="dxa"/>
          </w:tcPr>
          <w:p w14:paraId="755CB1CC" w14:textId="77777777" w:rsidR="00BC0E7E" w:rsidRPr="00BC0E7E" w:rsidRDefault="00944B8F" w:rsidP="00BC0E7E">
            <w:pPr>
              <w:keepNext/>
              <w:tabs>
                <w:tab w:val="clear" w:pos="562"/>
              </w:tabs>
              <w:overflowPunct w:val="0"/>
              <w:autoSpaceDE w:val="0"/>
              <w:autoSpaceDN w:val="0"/>
              <w:adjustRightInd w:val="0"/>
              <w:jc w:val="center"/>
              <w:textAlignment w:val="baseline"/>
            </w:pPr>
            <w:r w:rsidRPr="00BC0E7E">
              <w:t>Humira</w:t>
            </w:r>
          </w:p>
          <w:p w14:paraId="001DE8AF" w14:textId="77777777" w:rsidR="00BC0E7E" w:rsidRPr="00BC0E7E" w:rsidRDefault="00944B8F" w:rsidP="00BC0E7E">
            <w:pPr>
              <w:keepNext/>
              <w:tabs>
                <w:tab w:val="clear" w:pos="562"/>
              </w:tabs>
              <w:suppressAutoHyphens w:val="0"/>
              <w:jc w:val="center"/>
              <w:rPr>
                <w:szCs w:val="22"/>
              </w:rPr>
            </w:pPr>
            <w:r w:rsidRPr="00BC0E7E">
              <w:rPr>
                <w:szCs w:val="2"/>
              </w:rPr>
              <w:t xml:space="preserve">40 mg eow </w:t>
            </w:r>
            <w:r w:rsidRPr="00BC0E7E">
              <w:rPr>
                <w:szCs w:val="2"/>
              </w:rPr>
              <w:br/>
              <w:t>N=109</w:t>
            </w:r>
          </w:p>
        </w:tc>
        <w:tc>
          <w:tcPr>
            <w:tcW w:w="990" w:type="dxa"/>
          </w:tcPr>
          <w:p w14:paraId="16742192" w14:textId="77777777" w:rsidR="00BC0E7E" w:rsidRPr="00BC0E7E" w:rsidRDefault="00944B8F" w:rsidP="00BC0E7E">
            <w:pPr>
              <w:keepNext/>
              <w:tabs>
                <w:tab w:val="clear" w:pos="562"/>
              </w:tabs>
              <w:suppressAutoHyphens w:val="0"/>
              <w:jc w:val="center"/>
              <w:rPr>
                <w:szCs w:val="22"/>
              </w:rPr>
            </w:pPr>
            <w:r w:rsidRPr="00BC0E7E">
              <w:rPr>
                <w:szCs w:val="2"/>
              </w:rPr>
              <w:t>Placebo</w:t>
            </w:r>
            <w:r w:rsidRPr="00BC0E7E">
              <w:rPr>
                <w:szCs w:val="2"/>
              </w:rPr>
              <w:br/>
              <w:t>N=108</w:t>
            </w:r>
          </w:p>
        </w:tc>
        <w:tc>
          <w:tcPr>
            <w:tcW w:w="1260" w:type="dxa"/>
          </w:tcPr>
          <w:p w14:paraId="0038A706" w14:textId="77777777" w:rsidR="00BC0E7E" w:rsidRPr="00BC0E7E" w:rsidRDefault="00944B8F" w:rsidP="00BC0E7E">
            <w:pPr>
              <w:keepNext/>
              <w:tabs>
                <w:tab w:val="clear" w:pos="562"/>
              </w:tabs>
              <w:overflowPunct w:val="0"/>
              <w:autoSpaceDE w:val="0"/>
              <w:autoSpaceDN w:val="0"/>
              <w:adjustRightInd w:val="0"/>
              <w:jc w:val="center"/>
              <w:textAlignment w:val="baseline"/>
            </w:pPr>
            <w:r w:rsidRPr="00BC0E7E">
              <w:t>Humira</w:t>
            </w:r>
          </w:p>
          <w:p w14:paraId="186C4FE1" w14:textId="77777777" w:rsidR="00BC0E7E" w:rsidRPr="00BC0E7E" w:rsidRDefault="00944B8F" w:rsidP="00BC0E7E">
            <w:pPr>
              <w:keepNext/>
              <w:tabs>
                <w:tab w:val="clear" w:pos="562"/>
              </w:tabs>
              <w:suppressAutoHyphens w:val="0"/>
              <w:jc w:val="center"/>
              <w:rPr>
                <w:szCs w:val="22"/>
              </w:rPr>
            </w:pPr>
            <w:r w:rsidRPr="00BC0E7E">
              <w:rPr>
                <w:szCs w:val="2"/>
              </w:rPr>
              <w:t xml:space="preserve">40 mg eow </w:t>
            </w:r>
            <w:r w:rsidRPr="00BC0E7E">
              <w:rPr>
                <w:szCs w:val="2"/>
              </w:rPr>
              <w:br/>
              <w:t>N=109</w:t>
            </w:r>
          </w:p>
        </w:tc>
        <w:tc>
          <w:tcPr>
            <w:tcW w:w="2268" w:type="dxa"/>
          </w:tcPr>
          <w:p w14:paraId="0E412757" w14:textId="77777777" w:rsidR="00BC0E7E" w:rsidRPr="00BC0E7E" w:rsidRDefault="00944B8F" w:rsidP="00BC0E7E">
            <w:pPr>
              <w:keepNext/>
              <w:tabs>
                <w:tab w:val="clear" w:pos="562"/>
              </w:tabs>
              <w:overflowPunct w:val="0"/>
              <w:autoSpaceDE w:val="0"/>
              <w:autoSpaceDN w:val="0"/>
              <w:adjustRightInd w:val="0"/>
              <w:jc w:val="center"/>
              <w:textAlignment w:val="baseline"/>
            </w:pPr>
            <w:r w:rsidRPr="00BC0E7E">
              <w:t>Humira</w:t>
            </w:r>
          </w:p>
          <w:p w14:paraId="748EFC46" w14:textId="77777777" w:rsidR="00BC0E7E" w:rsidRPr="00BC0E7E" w:rsidRDefault="00944B8F" w:rsidP="00BC0E7E">
            <w:pPr>
              <w:keepNext/>
              <w:tabs>
                <w:tab w:val="clear" w:pos="562"/>
              </w:tabs>
              <w:suppressAutoHyphens w:val="0"/>
              <w:jc w:val="center"/>
              <w:rPr>
                <w:szCs w:val="22"/>
              </w:rPr>
            </w:pPr>
            <w:r w:rsidRPr="00BC0E7E">
              <w:rPr>
                <w:szCs w:val="2"/>
              </w:rPr>
              <w:t xml:space="preserve">40 mg eow </w:t>
            </w:r>
            <w:r w:rsidRPr="00BC0E7E">
              <w:rPr>
                <w:szCs w:val="2"/>
              </w:rPr>
              <w:br/>
              <w:t>N=80</w:t>
            </w:r>
          </w:p>
        </w:tc>
      </w:tr>
      <w:tr w:rsidR="00C6578C" w14:paraId="502A545D" w14:textId="77777777" w:rsidTr="00171601">
        <w:tc>
          <w:tcPr>
            <w:tcW w:w="2718" w:type="dxa"/>
          </w:tcPr>
          <w:p w14:paraId="032BBFF0" w14:textId="77777777" w:rsidR="00BC0E7E" w:rsidRPr="00BC0E7E" w:rsidRDefault="00944B8F" w:rsidP="00BC0E7E">
            <w:pPr>
              <w:keepNext/>
              <w:tabs>
                <w:tab w:val="clear" w:pos="562"/>
              </w:tabs>
              <w:suppressAutoHyphens w:val="0"/>
              <w:rPr>
                <w:szCs w:val="22"/>
              </w:rPr>
            </w:pPr>
            <w:r w:rsidRPr="00BC0E7E">
              <w:rPr>
                <w:szCs w:val="2"/>
              </w:rPr>
              <w:t>≥ mNAPSI 75 (%)</w:t>
            </w:r>
          </w:p>
        </w:tc>
        <w:tc>
          <w:tcPr>
            <w:tcW w:w="1080" w:type="dxa"/>
          </w:tcPr>
          <w:p w14:paraId="406F0A97" w14:textId="77777777" w:rsidR="00BC0E7E" w:rsidRPr="00BC0E7E" w:rsidRDefault="00944B8F" w:rsidP="00BC0E7E">
            <w:pPr>
              <w:keepNext/>
              <w:tabs>
                <w:tab w:val="clear" w:pos="562"/>
              </w:tabs>
              <w:suppressAutoHyphens w:val="0"/>
              <w:jc w:val="center"/>
              <w:rPr>
                <w:szCs w:val="22"/>
              </w:rPr>
            </w:pPr>
            <w:r w:rsidRPr="00BC0E7E">
              <w:rPr>
                <w:szCs w:val="22"/>
              </w:rPr>
              <w:t>2.9</w:t>
            </w:r>
          </w:p>
        </w:tc>
        <w:tc>
          <w:tcPr>
            <w:tcW w:w="1260" w:type="dxa"/>
          </w:tcPr>
          <w:p w14:paraId="7EF629BB" w14:textId="77777777" w:rsidR="00BC0E7E" w:rsidRPr="00BC0E7E" w:rsidRDefault="00944B8F" w:rsidP="00BC0E7E">
            <w:pPr>
              <w:keepNext/>
              <w:tabs>
                <w:tab w:val="clear" w:pos="562"/>
              </w:tabs>
              <w:suppressAutoHyphens w:val="0"/>
              <w:jc w:val="center"/>
              <w:rPr>
                <w:szCs w:val="22"/>
              </w:rPr>
            </w:pPr>
            <w:r w:rsidRPr="00BC0E7E">
              <w:rPr>
                <w:szCs w:val="22"/>
              </w:rPr>
              <w:t>26.0</w:t>
            </w:r>
            <w:r w:rsidRPr="00BC0E7E">
              <w:rPr>
                <w:szCs w:val="22"/>
                <w:vertAlign w:val="superscript"/>
              </w:rPr>
              <w:t>a</w:t>
            </w:r>
          </w:p>
        </w:tc>
        <w:tc>
          <w:tcPr>
            <w:tcW w:w="990" w:type="dxa"/>
          </w:tcPr>
          <w:p w14:paraId="44ABEAD6" w14:textId="77777777" w:rsidR="00BC0E7E" w:rsidRPr="00BC0E7E" w:rsidRDefault="00944B8F" w:rsidP="00BC0E7E">
            <w:pPr>
              <w:keepNext/>
              <w:jc w:val="center"/>
              <w:rPr>
                <w:szCs w:val="22"/>
              </w:rPr>
            </w:pPr>
            <w:r w:rsidRPr="00BC0E7E">
              <w:rPr>
                <w:szCs w:val="22"/>
              </w:rPr>
              <w:t>3.4</w:t>
            </w:r>
          </w:p>
        </w:tc>
        <w:tc>
          <w:tcPr>
            <w:tcW w:w="1260" w:type="dxa"/>
          </w:tcPr>
          <w:p w14:paraId="125CEFFB" w14:textId="77777777" w:rsidR="00BC0E7E" w:rsidRPr="00BC0E7E" w:rsidRDefault="00944B8F" w:rsidP="00BC0E7E">
            <w:pPr>
              <w:keepNext/>
              <w:jc w:val="center"/>
              <w:rPr>
                <w:szCs w:val="22"/>
              </w:rPr>
            </w:pPr>
            <w:r w:rsidRPr="00BC0E7E">
              <w:rPr>
                <w:szCs w:val="22"/>
              </w:rPr>
              <w:t>46.6</w:t>
            </w:r>
            <w:r w:rsidRPr="00BC0E7E">
              <w:rPr>
                <w:szCs w:val="22"/>
                <w:vertAlign w:val="superscript"/>
              </w:rPr>
              <w:t>a</w:t>
            </w:r>
          </w:p>
        </w:tc>
        <w:tc>
          <w:tcPr>
            <w:tcW w:w="2268" w:type="dxa"/>
          </w:tcPr>
          <w:p w14:paraId="126F3AAA" w14:textId="77777777" w:rsidR="00BC0E7E" w:rsidRPr="00BC0E7E" w:rsidRDefault="00944B8F" w:rsidP="00BC0E7E">
            <w:pPr>
              <w:keepNext/>
              <w:tabs>
                <w:tab w:val="clear" w:pos="562"/>
              </w:tabs>
              <w:suppressAutoHyphens w:val="0"/>
              <w:jc w:val="center"/>
              <w:rPr>
                <w:szCs w:val="22"/>
              </w:rPr>
            </w:pPr>
            <w:r w:rsidRPr="00BC0E7E">
              <w:rPr>
                <w:szCs w:val="22"/>
              </w:rPr>
              <w:t>65.0</w:t>
            </w:r>
          </w:p>
        </w:tc>
      </w:tr>
      <w:tr w:rsidR="00C6578C" w14:paraId="54B38BE4" w14:textId="77777777" w:rsidTr="00171601">
        <w:tc>
          <w:tcPr>
            <w:tcW w:w="2718" w:type="dxa"/>
          </w:tcPr>
          <w:p w14:paraId="02F34E01" w14:textId="77777777" w:rsidR="00BC0E7E" w:rsidRPr="00BC0E7E" w:rsidRDefault="00944B8F" w:rsidP="00BC0E7E">
            <w:pPr>
              <w:keepNext/>
              <w:tabs>
                <w:tab w:val="clear" w:pos="562"/>
              </w:tabs>
              <w:suppressAutoHyphens w:val="0"/>
              <w:rPr>
                <w:szCs w:val="22"/>
              </w:rPr>
            </w:pPr>
            <w:r w:rsidRPr="00BC0E7E">
              <w:rPr>
                <w:szCs w:val="22"/>
              </w:rPr>
              <w:t>PGA-F clear/minimal and ≥2-grade improvement (%)</w:t>
            </w:r>
          </w:p>
        </w:tc>
        <w:tc>
          <w:tcPr>
            <w:tcW w:w="1080" w:type="dxa"/>
          </w:tcPr>
          <w:p w14:paraId="4B042426" w14:textId="77777777" w:rsidR="00BC0E7E" w:rsidRPr="00BC0E7E" w:rsidRDefault="00944B8F" w:rsidP="00BC0E7E">
            <w:pPr>
              <w:keepNext/>
              <w:tabs>
                <w:tab w:val="clear" w:pos="562"/>
              </w:tabs>
              <w:suppressAutoHyphens w:val="0"/>
              <w:jc w:val="center"/>
              <w:rPr>
                <w:szCs w:val="22"/>
              </w:rPr>
            </w:pPr>
            <w:r w:rsidRPr="00BC0E7E">
              <w:rPr>
                <w:szCs w:val="22"/>
              </w:rPr>
              <w:t>2.9</w:t>
            </w:r>
          </w:p>
        </w:tc>
        <w:tc>
          <w:tcPr>
            <w:tcW w:w="1260" w:type="dxa"/>
          </w:tcPr>
          <w:p w14:paraId="78EBB0F4" w14:textId="77777777" w:rsidR="00BC0E7E" w:rsidRPr="00BC0E7E" w:rsidRDefault="00944B8F" w:rsidP="00BC0E7E">
            <w:pPr>
              <w:keepNext/>
              <w:tabs>
                <w:tab w:val="clear" w:pos="562"/>
              </w:tabs>
              <w:suppressAutoHyphens w:val="0"/>
              <w:jc w:val="center"/>
              <w:rPr>
                <w:szCs w:val="22"/>
              </w:rPr>
            </w:pPr>
            <w:r w:rsidRPr="00BC0E7E">
              <w:rPr>
                <w:szCs w:val="22"/>
              </w:rPr>
              <w:t>29.7</w:t>
            </w:r>
            <w:r w:rsidRPr="00BC0E7E">
              <w:rPr>
                <w:szCs w:val="22"/>
                <w:vertAlign w:val="superscript"/>
              </w:rPr>
              <w:t>a</w:t>
            </w:r>
          </w:p>
        </w:tc>
        <w:tc>
          <w:tcPr>
            <w:tcW w:w="990" w:type="dxa"/>
          </w:tcPr>
          <w:p w14:paraId="04F067BF" w14:textId="77777777" w:rsidR="00BC0E7E" w:rsidRPr="00BC0E7E" w:rsidRDefault="00944B8F" w:rsidP="00BC0E7E">
            <w:pPr>
              <w:keepNext/>
              <w:jc w:val="center"/>
              <w:rPr>
                <w:szCs w:val="22"/>
              </w:rPr>
            </w:pPr>
            <w:r w:rsidRPr="00BC0E7E">
              <w:rPr>
                <w:szCs w:val="22"/>
              </w:rPr>
              <w:t>6.9</w:t>
            </w:r>
          </w:p>
        </w:tc>
        <w:tc>
          <w:tcPr>
            <w:tcW w:w="1260" w:type="dxa"/>
          </w:tcPr>
          <w:p w14:paraId="15C8BB78" w14:textId="77777777" w:rsidR="00BC0E7E" w:rsidRPr="00BC0E7E" w:rsidRDefault="00944B8F" w:rsidP="00BC0E7E">
            <w:pPr>
              <w:keepNext/>
              <w:jc w:val="center"/>
              <w:rPr>
                <w:szCs w:val="22"/>
              </w:rPr>
            </w:pPr>
            <w:r w:rsidRPr="00BC0E7E">
              <w:rPr>
                <w:szCs w:val="22"/>
              </w:rPr>
              <w:t>48.9</w:t>
            </w:r>
            <w:r w:rsidRPr="00BC0E7E">
              <w:rPr>
                <w:szCs w:val="22"/>
                <w:vertAlign w:val="superscript"/>
              </w:rPr>
              <w:t>a</w:t>
            </w:r>
          </w:p>
        </w:tc>
        <w:tc>
          <w:tcPr>
            <w:tcW w:w="2268" w:type="dxa"/>
          </w:tcPr>
          <w:p w14:paraId="50CC9D18" w14:textId="77777777" w:rsidR="00BC0E7E" w:rsidRPr="00BC0E7E" w:rsidRDefault="00944B8F" w:rsidP="00BC0E7E">
            <w:pPr>
              <w:keepNext/>
              <w:tabs>
                <w:tab w:val="clear" w:pos="562"/>
              </w:tabs>
              <w:suppressAutoHyphens w:val="0"/>
              <w:jc w:val="center"/>
              <w:rPr>
                <w:szCs w:val="22"/>
              </w:rPr>
            </w:pPr>
            <w:r w:rsidRPr="00BC0E7E">
              <w:rPr>
                <w:szCs w:val="22"/>
              </w:rPr>
              <w:t>61.3</w:t>
            </w:r>
          </w:p>
        </w:tc>
      </w:tr>
      <w:tr w:rsidR="00C6578C" w14:paraId="49A3B25F" w14:textId="77777777" w:rsidTr="00171601">
        <w:tc>
          <w:tcPr>
            <w:tcW w:w="2718" w:type="dxa"/>
          </w:tcPr>
          <w:p w14:paraId="070A926F" w14:textId="77777777" w:rsidR="00BC0E7E" w:rsidRPr="00BC0E7E" w:rsidRDefault="00944B8F" w:rsidP="00BC0E7E">
            <w:pPr>
              <w:keepNext/>
              <w:tabs>
                <w:tab w:val="clear" w:pos="562"/>
              </w:tabs>
              <w:suppressAutoHyphens w:val="0"/>
              <w:rPr>
                <w:szCs w:val="22"/>
              </w:rPr>
            </w:pPr>
            <w:r w:rsidRPr="00BC0E7E">
              <w:rPr>
                <w:szCs w:val="22"/>
              </w:rPr>
              <w:t>Percent Change in Total Fingernail NAPSI (%)</w:t>
            </w:r>
          </w:p>
        </w:tc>
        <w:tc>
          <w:tcPr>
            <w:tcW w:w="1080" w:type="dxa"/>
          </w:tcPr>
          <w:p w14:paraId="3BA04F51" w14:textId="77777777" w:rsidR="00BC0E7E" w:rsidRPr="00BC0E7E" w:rsidRDefault="00944B8F" w:rsidP="00BC0E7E">
            <w:pPr>
              <w:keepNext/>
              <w:tabs>
                <w:tab w:val="clear" w:pos="562"/>
              </w:tabs>
              <w:suppressAutoHyphens w:val="0"/>
              <w:jc w:val="center"/>
              <w:rPr>
                <w:szCs w:val="22"/>
              </w:rPr>
            </w:pPr>
            <w:r w:rsidRPr="00BC0E7E">
              <w:rPr>
                <w:szCs w:val="22"/>
              </w:rPr>
              <w:t>-7.8</w:t>
            </w:r>
          </w:p>
        </w:tc>
        <w:tc>
          <w:tcPr>
            <w:tcW w:w="1260" w:type="dxa"/>
          </w:tcPr>
          <w:p w14:paraId="100FA999" w14:textId="77777777" w:rsidR="00BC0E7E" w:rsidRPr="00BC0E7E" w:rsidRDefault="00944B8F" w:rsidP="00BC0E7E">
            <w:pPr>
              <w:keepNext/>
              <w:tabs>
                <w:tab w:val="clear" w:pos="562"/>
              </w:tabs>
              <w:suppressAutoHyphens w:val="0"/>
              <w:jc w:val="center"/>
              <w:rPr>
                <w:szCs w:val="22"/>
              </w:rPr>
            </w:pPr>
            <w:r w:rsidRPr="00BC0E7E">
              <w:rPr>
                <w:szCs w:val="22"/>
              </w:rPr>
              <w:t>-44.2</w:t>
            </w:r>
            <w:r w:rsidRPr="00BC0E7E">
              <w:rPr>
                <w:szCs w:val="22"/>
                <w:vertAlign w:val="superscript"/>
              </w:rPr>
              <w:t xml:space="preserve"> a</w:t>
            </w:r>
          </w:p>
        </w:tc>
        <w:tc>
          <w:tcPr>
            <w:tcW w:w="990" w:type="dxa"/>
          </w:tcPr>
          <w:p w14:paraId="43EA1DE3" w14:textId="77777777" w:rsidR="00BC0E7E" w:rsidRPr="00BC0E7E" w:rsidRDefault="00944B8F" w:rsidP="00BC0E7E">
            <w:pPr>
              <w:keepNext/>
              <w:jc w:val="center"/>
              <w:rPr>
                <w:szCs w:val="22"/>
              </w:rPr>
            </w:pPr>
            <w:r w:rsidRPr="00BC0E7E">
              <w:rPr>
                <w:szCs w:val="22"/>
              </w:rPr>
              <w:t>-11.5</w:t>
            </w:r>
          </w:p>
        </w:tc>
        <w:tc>
          <w:tcPr>
            <w:tcW w:w="1260" w:type="dxa"/>
          </w:tcPr>
          <w:p w14:paraId="07895600" w14:textId="77777777" w:rsidR="00BC0E7E" w:rsidRPr="00BC0E7E" w:rsidRDefault="00944B8F" w:rsidP="00BC0E7E">
            <w:pPr>
              <w:keepNext/>
              <w:jc w:val="center"/>
              <w:rPr>
                <w:szCs w:val="22"/>
              </w:rPr>
            </w:pPr>
            <w:r w:rsidRPr="00BC0E7E">
              <w:rPr>
                <w:szCs w:val="22"/>
              </w:rPr>
              <w:t>-56.2</w:t>
            </w:r>
            <w:r w:rsidRPr="00BC0E7E">
              <w:rPr>
                <w:szCs w:val="22"/>
                <w:vertAlign w:val="superscript"/>
              </w:rPr>
              <w:t>a</w:t>
            </w:r>
          </w:p>
        </w:tc>
        <w:tc>
          <w:tcPr>
            <w:tcW w:w="2268" w:type="dxa"/>
          </w:tcPr>
          <w:p w14:paraId="3AB4EAE2" w14:textId="77777777" w:rsidR="00BC0E7E" w:rsidRPr="00BC0E7E" w:rsidRDefault="00944B8F" w:rsidP="00BC0E7E">
            <w:pPr>
              <w:keepNext/>
              <w:tabs>
                <w:tab w:val="clear" w:pos="562"/>
              </w:tabs>
              <w:suppressAutoHyphens w:val="0"/>
              <w:jc w:val="center"/>
              <w:rPr>
                <w:szCs w:val="22"/>
              </w:rPr>
            </w:pPr>
            <w:r w:rsidRPr="00BC0E7E">
              <w:rPr>
                <w:szCs w:val="22"/>
              </w:rPr>
              <w:t>-72.2</w:t>
            </w:r>
          </w:p>
        </w:tc>
      </w:tr>
      <w:tr w:rsidR="00C6578C" w14:paraId="75AFB123" w14:textId="77777777" w:rsidTr="00171601">
        <w:tc>
          <w:tcPr>
            <w:tcW w:w="9576" w:type="dxa"/>
            <w:gridSpan w:val="6"/>
          </w:tcPr>
          <w:p w14:paraId="27FED149" w14:textId="77777777" w:rsidR="00BC0E7E" w:rsidRPr="00BC0E7E" w:rsidRDefault="00944B8F" w:rsidP="00BC0E7E">
            <w:pPr>
              <w:keepNext/>
              <w:tabs>
                <w:tab w:val="clear" w:pos="562"/>
              </w:tabs>
              <w:suppressAutoHyphens w:val="0"/>
              <w:rPr>
                <w:szCs w:val="22"/>
              </w:rPr>
            </w:pPr>
            <w:r w:rsidRPr="00BC0E7E">
              <w:rPr>
                <w:szCs w:val="22"/>
                <w:vertAlign w:val="superscript"/>
              </w:rPr>
              <w:t>a</w:t>
            </w:r>
            <w:r w:rsidRPr="00BC0E7E">
              <w:rPr>
                <w:szCs w:val="22"/>
              </w:rPr>
              <w:t xml:space="preserve"> p&lt;0.001, Humira </w:t>
            </w:r>
            <w:r w:rsidRPr="00BC0E7E">
              <w:rPr>
                <w:i/>
                <w:szCs w:val="22"/>
              </w:rPr>
              <w:t>vs.</w:t>
            </w:r>
            <w:r w:rsidRPr="00BC0E7E">
              <w:rPr>
                <w:szCs w:val="22"/>
              </w:rPr>
              <w:t xml:space="preserve"> placebo </w:t>
            </w:r>
          </w:p>
        </w:tc>
      </w:tr>
    </w:tbl>
    <w:p w14:paraId="702B80D3" w14:textId="77777777" w:rsidR="00BC0E7E" w:rsidRPr="00BC0E7E" w:rsidRDefault="00BC0E7E" w:rsidP="00BC0E7E">
      <w:pPr>
        <w:tabs>
          <w:tab w:val="clear" w:pos="562"/>
        </w:tabs>
        <w:suppressAutoHyphens w:val="0"/>
        <w:rPr>
          <w:szCs w:val="22"/>
        </w:rPr>
      </w:pPr>
    </w:p>
    <w:p w14:paraId="4FFA1B42" w14:textId="77777777" w:rsidR="00BC0E7E" w:rsidRPr="00BC0E7E" w:rsidRDefault="00944B8F" w:rsidP="00BC0E7E">
      <w:pPr>
        <w:rPr>
          <w:szCs w:val="22"/>
        </w:rPr>
      </w:pPr>
      <w:r w:rsidRPr="00BC0E7E">
        <w:rPr>
          <w:szCs w:val="22"/>
        </w:rPr>
        <w:t xml:space="preserve">Humira treated patients showed statistically significant improvements at Week 26 compared with placebo in the DLQI. </w:t>
      </w:r>
    </w:p>
    <w:p w14:paraId="48F48F83" w14:textId="77777777" w:rsidR="00BC0E7E" w:rsidRPr="008F4FD5" w:rsidRDefault="00BC0E7E" w:rsidP="00BC0E7E">
      <w:pPr>
        <w:keepNext/>
        <w:tabs>
          <w:tab w:val="clear" w:pos="562"/>
        </w:tabs>
        <w:suppressAutoHyphens w:val="0"/>
        <w:rPr>
          <w:bCs/>
          <w:szCs w:val="22"/>
        </w:rPr>
      </w:pPr>
    </w:p>
    <w:p w14:paraId="69327AF1" w14:textId="77777777" w:rsidR="00BC0E7E" w:rsidRPr="00BC0E7E" w:rsidRDefault="00BC0E7E" w:rsidP="00BC0E7E">
      <w:pPr>
        <w:rPr>
          <w:rFonts w:eastAsia="TimesNewRoman"/>
          <w:szCs w:val="22"/>
        </w:rPr>
      </w:pPr>
    </w:p>
    <w:p w14:paraId="50A34E09" w14:textId="77777777" w:rsidR="00BC0E7E" w:rsidRPr="00BC0E7E" w:rsidRDefault="00944B8F" w:rsidP="00BC0E7E">
      <w:pPr>
        <w:keepNext/>
        <w:rPr>
          <w:i/>
          <w:szCs w:val="22"/>
        </w:rPr>
      </w:pPr>
      <w:r w:rsidRPr="00BC0E7E">
        <w:rPr>
          <w:i/>
          <w:szCs w:val="22"/>
        </w:rPr>
        <w:t>Hidradenitis suppurativa</w:t>
      </w:r>
    </w:p>
    <w:p w14:paraId="23F58AFC" w14:textId="77777777" w:rsidR="00BC0E7E" w:rsidRPr="00BC0E7E" w:rsidRDefault="00BC0E7E" w:rsidP="00BC0E7E">
      <w:pPr>
        <w:keepNext/>
        <w:rPr>
          <w:szCs w:val="22"/>
          <w:u w:val="single"/>
        </w:rPr>
      </w:pPr>
    </w:p>
    <w:p w14:paraId="1DE1A59D" w14:textId="77777777" w:rsidR="00BC0E7E" w:rsidRPr="00BC0E7E" w:rsidRDefault="00944B8F" w:rsidP="00BC0E7E">
      <w:pPr>
        <w:keepNext/>
        <w:tabs>
          <w:tab w:val="clear" w:pos="562"/>
        </w:tabs>
        <w:suppressAutoHyphens w:val="0"/>
        <w:rPr>
          <w:rFonts w:eastAsia="MS Mincho"/>
          <w:szCs w:val="22"/>
          <w:lang w:eastAsia="ja-JP"/>
        </w:rPr>
      </w:pPr>
      <w:r w:rsidRPr="00BC0E7E">
        <w:rPr>
          <w:rFonts w:eastAsia="MS Mincho"/>
          <w:szCs w:val="22"/>
          <w:lang w:eastAsia="ja-JP"/>
        </w:rPr>
        <w:t>The safety and efficacy of Humira were assessed in randomised, double-blind, placebo-controlled studies and an open-label extension study in adult patients with moderate to severe hidradenitis suppurativa (HS) who were intolerant, had a contraindication or an inadequate response to at least a 3-month trial of systemic antibiotic therapy.  The patients in HS-I and HS-II had Hurley Stage II or III disease with at least 3 abscesses or inflammatory nodules.</w:t>
      </w:r>
    </w:p>
    <w:p w14:paraId="749B371F" w14:textId="77777777" w:rsidR="00BC0E7E" w:rsidRPr="00BC0E7E" w:rsidRDefault="00BC0E7E" w:rsidP="00BC0E7E">
      <w:pPr>
        <w:tabs>
          <w:tab w:val="clear" w:pos="562"/>
        </w:tabs>
        <w:suppressAutoHyphens w:val="0"/>
        <w:rPr>
          <w:rFonts w:eastAsia="MS Mincho"/>
          <w:szCs w:val="22"/>
          <w:lang w:eastAsia="ja-JP"/>
        </w:rPr>
      </w:pPr>
    </w:p>
    <w:p w14:paraId="019E9E38" w14:textId="77777777" w:rsidR="00BC0E7E" w:rsidRPr="00BC0E7E" w:rsidRDefault="00944B8F" w:rsidP="00BC0E7E">
      <w:pPr>
        <w:tabs>
          <w:tab w:val="clear" w:pos="562"/>
        </w:tabs>
        <w:suppressAutoHyphens w:val="0"/>
        <w:rPr>
          <w:rFonts w:eastAsia="MS Mincho"/>
          <w:szCs w:val="22"/>
          <w:lang w:eastAsia="ja-JP"/>
        </w:rPr>
      </w:pPr>
      <w:r w:rsidRPr="00BC0E7E">
        <w:rPr>
          <w:rFonts w:eastAsia="MS Mincho"/>
          <w:szCs w:val="22"/>
          <w:lang w:eastAsia="ja-JP"/>
        </w:rPr>
        <w:t xml:space="preserve">Study HS-I (PIONEER I) evaluated 307 patients with 2 treatment periods.  In Period A, patients received placebo or Humira at an initial dose of 160 mg at Week 0, 80 mg at Week 2, and 40 mg every week starting at Week 4 to Week 11.  Concomitant antibiotic use was not allowed during the study.  After </w:t>
      </w:r>
      <w:r w:rsidRPr="00BC0E7E">
        <w:rPr>
          <w:rFonts w:eastAsia="MS Mincho"/>
          <w:szCs w:val="22"/>
          <w:lang w:eastAsia="ja-JP"/>
        </w:rPr>
        <w:lastRenderedPageBreak/>
        <w:t>12 weeks of therapy, patients who had received Humira in Period A were re</w:t>
      </w:r>
      <w:r w:rsidRPr="00BC0E7E">
        <w:rPr>
          <w:rFonts w:eastAsia="MS Mincho"/>
          <w:szCs w:val="22"/>
          <w:lang w:eastAsia="ja-JP"/>
        </w:rPr>
        <w:noBreakHyphen/>
        <w:t>randomised in Period B to 1 of 3 treatment groups (Humira 40 mg every week, Humira 40 mg every other week, or placebo from Week 12 to Week 35).  Patients who had been randomised to placebo in Period A were assigned to receive Humira 40 mg every week in Period B.</w:t>
      </w:r>
    </w:p>
    <w:p w14:paraId="3D288ADC" w14:textId="77777777" w:rsidR="00BC0E7E" w:rsidRPr="00BC0E7E" w:rsidRDefault="00BC0E7E" w:rsidP="00BC0E7E">
      <w:pPr>
        <w:tabs>
          <w:tab w:val="clear" w:pos="562"/>
        </w:tabs>
        <w:suppressAutoHyphens w:val="0"/>
        <w:rPr>
          <w:rFonts w:eastAsia="MS Mincho"/>
          <w:szCs w:val="22"/>
          <w:lang w:eastAsia="ja-JP"/>
        </w:rPr>
      </w:pPr>
    </w:p>
    <w:p w14:paraId="5763DC75" w14:textId="77777777" w:rsidR="00BC0E7E" w:rsidRPr="00BC0E7E" w:rsidRDefault="00944B8F" w:rsidP="00BC0E7E">
      <w:pPr>
        <w:tabs>
          <w:tab w:val="clear" w:pos="562"/>
        </w:tabs>
        <w:suppressAutoHyphens w:val="0"/>
        <w:rPr>
          <w:rFonts w:eastAsia="MS Mincho"/>
          <w:szCs w:val="22"/>
          <w:lang w:eastAsia="ja-JP"/>
        </w:rPr>
      </w:pPr>
      <w:r w:rsidRPr="00BC0E7E">
        <w:rPr>
          <w:rFonts w:eastAsia="MS Mincho"/>
          <w:szCs w:val="22"/>
          <w:lang w:eastAsia="ja-JP"/>
        </w:rPr>
        <w:t>Study HS-II (PIONEER II) evaluated 326 patients with 2 treatment periods.  In Period A, patients received placebo or Humira at an initial dose of 160 mg at Week 0 and 80 mg at Week 2 and 40 mg every week starting at Week 4 to Week 11.  19.3% of patients had continued baseline oral antibiotic therapy during the study.  After 12 weeks of therapy, patients who had received Humira in Period A were re</w:t>
      </w:r>
      <w:r w:rsidRPr="00BC0E7E">
        <w:rPr>
          <w:rFonts w:eastAsia="MS Mincho"/>
          <w:szCs w:val="22"/>
          <w:lang w:eastAsia="ja-JP"/>
        </w:rPr>
        <w:noBreakHyphen/>
        <w:t>randomised in Period B to 1 of 3 treatment groups (Humira 40 mg every week, Humira 40 mg every other week, or placebo from Week 12 to Week 35).  Patients who had been randomised to placebo in Period A were assigned to receive placebo in Period B.</w:t>
      </w:r>
    </w:p>
    <w:p w14:paraId="2D0D6533" w14:textId="77777777" w:rsidR="00BC0E7E" w:rsidRPr="00BC0E7E" w:rsidRDefault="00BC0E7E" w:rsidP="00BC0E7E">
      <w:pPr>
        <w:tabs>
          <w:tab w:val="clear" w:pos="562"/>
        </w:tabs>
        <w:suppressAutoHyphens w:val="0"/>
        <w:rPr>
          <w:rFonts w:eastAsia="MS Mincho"/>
          <w:szCs w:val="22"/>
          <w:lang w:eastAsia="ja-JP"/>
        </w:rPr>
      </w:pPr>
    </w:p>
    <w:p w14:paraId="75F01031" w14:textId="77777777" w:rsidR="00BC0E7E" w:rsidRPr="00BC0E7E" w:rsidRDefault="00944B8F" w:rsidP="00BC0E7E">
      <w:pPr>
        <w:tabs>
          <w:tab w:val="clear" w:pos="562"/>
        </w:tabs>
        <w:suppressAutoHyphens w:val="0"/>
        <w:rPr>
          <w:rFonts w:eastAsia="MS Mincho"/>
          <w:szCs w:val="22"/>
          <w:lang w:eastAsia="ja-JP"/>
        </w:rPr>
      </w:pPr>
      <w:r w:rsidRPr="00BC0E7E">
        <w:rPr>
          <w:rFonts w:eastAsia="MS Mincho"/>
          <w:szCs w:val="22"/>
          <w:lang w:eastAsia="ja-JP"/>
        </w:rPr>
        <w:t>Patients participating in Studies HS-I and HS-II were eligible to enrol into an open</w:t>
      </w:r>
      <w:r w:rsidRPr="00BC0E7E">
        <w:rPr>
          <w:rFonts w:eastAsia="MS Mincho"/>
          <w:szCs w:val="22"/>
          <w:lang w:eastAsia="ja-JP"/>
        </w:rPr>
        <w:noBreakHyphen/>
        <w:t>label extension study in which Humira 40mg was administered every week.</w:t>
      </w:r>
      <w:r w:rsidRPr="00BC0E7E">
        <w:rPr>
          <w:lang w:eastAsia="ja-JP"/>
        </w:rPr>
        <w:t xml:space="preserve"> Mean exposure in all adalimumab population was 762 days.</w:t>
      </w:r>
      <w:r w:rsidRPr="00BC0E7E">
        <w:rPr>
          <w:rFonts w:eastAsia="MS Mincho"/>
          <w:szCs w:val="22"/>
          <w:lang w:eastAsia="ja-JP"/>
        </w:rPr>
        <w:t xml:space="preserve">  Throughout all 3 studies patients used topical antiseptic wash daily.</w:t>
      </w:r>
    </w:p>
    <w:p w14:paraId="15AA309F" w14:textId="77777777" w:rsidR="00BC0E7E" w:rsidRPr="00BC0E7E" w:rsidRDefault="00BC0E7E" w:rsidP="00BC0E7E">
      <w:pPr>
        <w:tabs>
          <w:tab w:val="clear" w:pos="562"/>
        </w:tabs>
        <w:suppressAutoHyphens w:val="0"/>
        <w:rPr>
          <w:rFonts w:eastAsia="MS Mincho"/>
          <w:szCs w:val="22"/>
          <w:lang w:eastAsia="ja-JP"/>
        </w:rPr>
      </w:pPr>
    </w:p>
    <w:p w14:paraId="3D181150" w14:textId="77777777" w:rsidR="00BC0E7E" w:rsidRPr="00BC0E7E" w:rsidRDefault="00944B8F" w:rsidP="00BC0E7E">
      <w:pPr>
        <w:keepNext/>
        <w:tabs>
          <w:tab w:val="clear" w:pos="562"/>
        </w:tabs>
        <w:suppressAutoHyphens w:val="0"/>
        <w:rPr>
          <w:rFonts w:eastAsia="MS Mincho"/>
          <w:bCs/>
          <w:i/>
          <w:szCs w:val="22"/>
          <w:u w:val="single"/>
          <w:lang w:eastAsia="ja-JP"/>
        </w:rPr>
      </w:pPr>
      <w:r w:rsidRPr="00BC0E7E">
        <w:rPr>
          <w:rFonts w:eastAsia="MS Mincho"/>
          <w:bCs/>
          <w:i/>
          <w:szCs w:val="22"/>
          <w:u w:val="single"/>
          <w:lang w:eastAsia="ja-JP"/>
        </w:rPr>
        <w:t>Clinical Response</w:t>
      </w:r>
    </w:p>
    <w:p w14:paraId="5F5D03D3" w14:textId="77777777" w:rsidR="00BC0E7E" w:rsidRPr="008F4FD5" w:rsidRDefault="00BC0E7E" w:rsidP="00BC0E7E">
      <w:pPr>
        <w:keepNext/>
        <w:tabs>
          <w:tab w:val="clear" w:pos="562"/>
        </w:tabs>
        <w:suppressAutoHyphens w:val="0"/>
        <w:rPr>
          <w:rFonts w:eastAsia="MS Mincho"/>
          <w:szCs w:val="22"/>
          <w:lang w:eastAsia="ja-JP"/>
        </w:rPr>
      </w:pPr>
    </w:p>
    <w:p w14:paraId="0E68A6B9" w14:textId="77777777" w:rsidR="00BC0E7E" w:rsidRPr="00BC0E7E" w:rsidRDefault="00944B8F" w:rsidP="00BC0E7E">
      <w:pPr>
        <w:keepNext/>
        <w:tabs>
          <w:tab w:val="clear" w:pos="562"/>
        </w:tabs>
        <w:suppressAutoHyphens w:val="0"/>
        <w:rPr>
          <w:rFonts w:eastAsia="MS Mincho"/>
          <w:szCs w:val="22"/>
          <w:lang w:eastAsia="ja-JP"/>
        </w:rPr>
      </w:pPr>
      <w:r w:rsidRPr="00BC0E7E">
        <w:rPr>
          <w:rFonts w:eastAsia="MS Mincho"/>
          <w:szCs w:val="22"/>
          <w:lang w:eastAsia="ja-JP"/>
        </w:rPr>
        <w:t xml:space="preserve">Reduction of inflammatory lesions and prevention of worsening of abscesses and draining fistulas was assessed using Hidradenitis Suppurativa Clinical Response (HiSCR; at least a 50% reduction in total abscess and inflammatory nodule count with no increase in abscess count and no increase in draining fistula count relative to Baseline).  Reduction in HS-related skin pain was assessed using a Numeric Rating Scale in patients who entered the study with an initial baseline score of 3 or greater on a 11 point scale. </w:t>
      </w:r>
    </w:p>
    <w:p w14:paraId="5FD0BE5A" w14:textId="77777777" w:rsidR="00BC0E7E" w:rsidRPr="00BC0E7E" w:rsidRDefault="00BC0E7E" w:rsidP="00BC0E7E">
      <w:pPr>
        <w:tabs>
          <w:tab w:val="clear" w:pos="562"/>
        </w:tabs>
        <w:suppressAutoHyphens w:val="0"/>
        <w:rPr>
          <w:rFonts w:eastAsia="MS Mincho"/>
          <w:szCs w:val="22"/>
          <w:lang w:eastAsia="ja-JP"/>
        </w:rPr>
      </w:pPr>
    </w:p>
    <w:p w14:paraId="662376E8" w14:textId="77777777" w:rsidR="00BC0E7E" w:rsidRPr="00BC0E7E" w:rsidRDefault="00944B8F" w:rsidP="00BC0E7E">
      <w:pPr>
        <w:rPr>
          <w:szCs w:val="22"/>
        </w:rPr>
      </w:pPr>
      <w:r w:rsidRPr="00BC0E7E">
        <w:rPr>
          <w:szCs w:val="22"/>
        </w:rPr>
        <w:t xml:space="preserve">At Week 12, a significantly higher proportion of patients treated with Humira versus placebo achieved HiSCR.   At Week 12, a significantly higher proportion of patients in Study HS-II experienced a clinically relevant decrease in HS-related skin pain (see Table </w:t>
      </w:r>
      <w:r w:rsidR="00614ABC">
        <w:rPr>
          <w:szCs w:val="22"/>
        </w:rPr>
        <w:t>19</w:t>
      </w:r>
      <w:r w:rsidRPr="00BC0E7E">
        <w:rPr>
          <w:szCs w:val="22"/>
        </w:rPr>
        <w:t>).  Patients treated with Humira had significantly reduced risk of disease flare during the initial 12 weeks of treatment.</w:t>
      </w:r>
    </w:p>
    <w:p w14:paraId="799597EA" w14:textId="77777777" w:rsidR="00BC0E7E" w:rsidRPr="00BC0E7E" w:rsidRDefault="00BC0E7E" w:rsidP="00BC0E7E">
      <w:pPr>
        <w:rPr>
          <w:szCs w:val="22"/>
        </w:rPr>
      </w:pPr>
    </w:p>
    <w:p w14:paraId="7AF1F2F3" w14:textId="77777777" w:rsidR="00BC0E7E" w:rsidRPr="008F4FD5" w:rsidRDefault="00944B8F" w:rsidP="008F4FD5">
      <w:pPr>
        <w:keepNext/>
        <w:keepLines/>
        <w:widowControl w:val="0"/>
        <w:tabs>
          <w:tab w:val="clear" w:pos="562"/>
        </w:tabs>
        <w:suppressAutoHyphens w:val="0"/>
        <w:spacing w:line="320" w:lineRule="exact"/>
        <w:ind w:left="360"/>
        <w:jc w:val="center"/>
        <w:rPr>
          <w:rFonts w:eastAsia="MS Mincho"/>
          <w:b/>
          <w:szCs w:val="22"/>
          <w:lang w:eastAsia="ja-JP"/>
        </w:rPr>
      </w:pPr>
      <w:r w:rsidRPr="00BC0E7E">
        <w:rPr>
          <w:rFonts w:eastAsia="MS Mincho"/>
          <w:b/>
          <w:szCs w:val="22"/>
          <w:lang w:eastAsia="ja-JP"/>
        </w:rPr>
        <w:t xml:space="preserve">Table </w:t>
      </w:r>
      <w:r w:rsidR="00614ABC">
        <w:rPr>
          <w:rFonts w:eastAsia="MS Mincho"/>
          <w:b/>
          <w:szCs w:val="22"/>
          <w:lang w:eastAsia="ja-JP"/>
        </w:rPr>
        <w:t>19</w:t>
      </w:r>
      <w:r w:rsidRPr="00BC0E7E">
        <w:rPr>
          <w:rFonts w:eastAsia="MS Mincho"/>
          <w:b/>
          <w:szCs w:val="22"/>
          <w:lang w:eastAsia="ja-JP"/>
        </w:rPr>
        <w:t xml:space="preserve">:  </w:t>
      </w:r>
      <w:r w:rsidRPr="00BC0E7E">
        <w:rPr>
          <w:rFonts w:eastAsia="MS Mincho"/>
          <w:b/>
          <w:bCs/>
          <w:iCs/>
          <w:szCs w:val="22"/>
          <w:lang w:eastAsia="ja-JP"/>
        </w:rPr>
        <w:t>Efficacy Results at 12 Weeks, HS Studies I and II</w:t>
      </w: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C6578C" w14:paraId="4DBE5216" w14:textId="77777777" w:rsidTr="00171601">
        <w:trPr>
          <w:jc w:val="center"/>
        </w:trPr>
        <w:tc>
          <w:tcPr>
            <w:tcW w:w="2847" w:type="dxa"/>
            <w:vMerge w:val="restart"/>
            <w:tcMar>
              <w:top w:w="0" w:type="dxa"/>
              <w:left w:w="115" w:type="dxa"/>
              <w:bottom w:w="0" w:type="dxa"/>
              <w:right w:w="115" w:type="dxa"/>
            </w:tcMar>
            <w:vAlign w:val="bottom"/>
          </w:tcPr>
          <w:p w14:paraId="2F0259BA" w14:textId="77777777" w:rsidR="00BC0E7E" w:rsidRPr="00BC0E7E" w:rsidRDefault="00BC0E7E" w:rsidP="00BC0E7E">
            <w:pPr>
              <w:widowControl w:val="0"/>
              <w:rPr>
                <w:b/>
              </w:rPr>
            </w:pPr>
          </w:p>
        </w:tc>
        <w:tc>
          <w:tcPr>
            <w:tcW w:w="3186" w:type="dxa"/>
            <w:gridSpan w:val="2"/>
            <w:tcMar>
              <w:top w:w="0" w:type="dxa"/>
              <w:left w:w="115" w:type="dxa"/>
              <w:bottom w:w="0" w:type="dxa"/>
              <w:right w:w="115" w:type="dxa"/>
            </w:tcMar>
            <w:vAlign w:val="bottom"/>
          </w:tcPr>
          <w:p w14:paraId="0838FB62" w14:textId="77777777" w:rsidR="00BC0E7E" w:rsidRPr="00BC0E7E" w:rsidRDefault="00944B8F" w:rsidP="00BC0E7E">
            <w:pPr>
              <w:widowControl w:val="0"/>
              <w:jc w:val="center"/>
              <w:rPr>
                <w:b/>
                <w:bCs/>
              </w:rPr>
            </w:pPr>
            <w:r w:rsidRPr="00BC0E7E">
              <w:rPr>
                <w:b/>
                <w:bCs/>
              </w:rPr>
              <w:t>HS Study I</w:t>
            </w:r>
          </w:p>
        </w:tc>
        <w:tc>
          <w:tcPr>
            <w:tcW w:w="3260" w:type="dxa"/>
            <w:gridSpan w:val="2"/>
            <w:tcMar>
              <w:top w:w="0" w:type="dxa"/>
              <w:left w:w="115" w:type="dxa"/>
              <w:bottom w:w="0" w:type="dxa"/>
              <w:right w:w="115" w:type="dxa"/>
            </w:tcMar>
            <w:vAlign w:val="bottom"/>
          </w:tcPr>
          <w:p w14:paraId="0D1084AB" w14:textId="77777777" w:rsidR="00BC0E7E" w:rsidRPr="00BC0E7E" w:rsidRDefault="00944B8F" w:rsidP="00BC0E7E">
            <w:pPr>
              <w:widowControl w:val="0"/>
              <w:jc w:val="center"/>
              <w:rPr>
                <w:b/>
                <w:bCs/>
              </w:rPr>
            </w:pPr>
            <w:r w:rsidRPr="00BC0E7E">
              <w:rPr>
                <w:b/>
                <w:bCs/>
              </w:rPr>
              <w:t>HS Study II</w:t>
            </w:r>
          </w:p>
        </w:tc>
      </w:tr>
      <w:tr w:rsidR="00C6578C" w14:paraId="4B6D4BAE" w14:textId="77777777" w:rsidTr="00171601">
        <w:trPr>
          <w:jc w:val="center"/>
        </w:trPr>
        <w:tc>
          <w:tcPr>
            <w:tcW w:w="2847" w:type="dxa"/>
            <w:vMerge/>
            <w:tcMar>
              <w:top w:w="0" w:type="dxa"/>
              <w:left w:w="115" w:type="dxa"/>
              <w:bottom w:w="0" w:type="dxa"/>
              <w:right w:w="115" w:type="dxa"/>
            </w:tcMar>
            <w:vAlign w:val="center"/>
            <w:hideMark/>
          </w:tcPr>
          <w:p w14:paraId="195FF827" w14:textId="77777777" w:rsidR="00BC0E7E" w:rsidRPr="00BC0E7E" w:rsidRDefault="00BC0E7E" w:rsidP="00BC0E7E">
            <w:pPr>
              <w:widowControl w:val="0"/>
            </w:pPr>
          </w:p>
        </w:tc>
        <w:tc>
          <w:tcPr>
            <w:tcW w:w="1440" w:type="dxa"/>
            <w:tcMar>
              <w:top w:w="0" w:type="dxa"/>
              <w:left w:w="115" w:type="dxa"/>
              <w:bottom w:w="0" w:type="dxa"/>
              <w:right w:w="115" w:type="dxa"/>
            </w:tcMar>
            <w:vAlign w:val="bottom"/>
            <w:hideMark/>
          </w:tcPr>
          <w:p w14:paraId="11BFA1B3" w14:textId="77777777" w:rsidR="00BC0E7E" w:rsidRPr="00BC0E7E" w:rsidRDefault="00944B8F" w:rsidP="00BC0E7E">
            <w:pPr>
              <w:widowControl w:val="0"/>
              <w:jc w:val="center"/>
            </w:pPr>
            <w:r w:rsidRPr="00BC0E7E">
              <w:rPr>
                <w:b/>
                <w:bCs/>
              </w:rPr>
              <w:t>Placebo</w:t>
            </w:r>
          </w:p>
        </w:tc>
        <w:tc>
          <w:tcPr>
            <w:tcW w:w="1746" w:type="dxa"/>
            <w:tcMar>
              <w:top w:w="0" w:type="dxa"/>
              <w:left w:w="115" w:type="dxa"/>
              <w:bottom w:w="0" w:type="dxa"/>
              <w:right w:w="115" w:type="dxa"/>
            </w:tcMar>
            <w:vAlign w:val="bottom"/>
            <w:hideMark/>
          </w:tcPr>
          <w:p w14:paraId="7FAB05F9" w14:textId="77777777" w:rsidR="00BC0E7E" w:rsidRPr="00BC0E7E" w:rsidRDefault="00944B8F" w:rsidP="00BC0E7E">
            <w:pPr>
              <w:widowControl w:val="0"/>
              <w:jc w:val="center"/>
              <w:rPr>
                <w:b/>
                <w:bCs/>
              </w:rPr>
            </w:pPr>
            <w:r w:rsidRPr="00BC0E7E">
              <w:rPr>
                <w:b/>
                <w:bCs/>
              </w:rPr>
              <w:t>Humira 40 mg Weekly</w:t>
            </w:r>
          </w:p>
        </w:tc>
        <w:tc>
          <w:tcPr>
            <w:tcW w:w="1404" w:type="dxa"/>
            <w:tcMar>
              <w:top w:w="0" w:type="dxa"/>
              <w:left w:w="115" w:type="dxa"/>
              <w:bottom w:w="0" w:type="dxa"/>
              <w:right w:w="115" w:type="dxa"/>
            </w:tcMar>
            <w:vAlign w:val="bottom"/>
            <w:hideMark/>
          </w:tcPr>
          <w:p w14:paraId="5F111944" w14:textId="77777777" w:rsidR="00BC0E7E" w:rsidRPr="00BC0E7E" w:rsidRDefault="00944B8F" w:rsidP="00BC0E7E">
            <w:pPr>
              <w:widowControl w:val="0"/>
              <w:jc w:val="center"/>
              <w:rPr>
                <w:b/>
                <w:bCs/>
              </w:rPr>
            </w:pPr>
            <w:r w:rsidRPr="00BC0E7E">
              <w:rPr>
                <w:b/>
                <w:bCs/>
              </w:rPr>
              <w:t xml:space="preserve">Placebo </w:t>
            </w:r>
          </w:p>
        </w:tc>
        <w:tc>
          <w:tcPr>
            <w:tcW w:w="1856" w:type="dxa"/>
            <w:tcMar>
              <w:top w:w="0" w:type="dxa"/>
              <w:left w:w="115" w:type="dxa"/>
              <w:bottom w:w="0" w:type="dxa"/>
              <w:right w:w="115" w:type="dxa"/>
            </w:tcMar>
            <w:vAlign w:val="bottom"/>
            <w:hideMark/>
          </w:tcPr>
          <w:p w14:paraId="2E0330A1" w14:textId="77777777" w:rsidR="00BC0E7E" w:rsidRPr="00BC0E7E" w:rsidRDefault="00944B8F" w:rsidP="00BC0E7E">
            <w:pPr>
              <w:widowControl w:val="0"/>
              <w:jc w:val="center"/>
              <w:rPr>
                <w:b/>
                <w:bCs/>
              </w:rPr>
            </w:pPr>
            <w:r w:rsidRPr="00BC0E7E">
              <w:rPr>
                <w:b/>
                <w:bCs/>
              </w:rPr>
              <w:t>Humira 40 mg Weekly</w:t>
            </w:r>
          </w:p>
        </w:tc>
      </w:tr>
      <w:tr w:rsidR="00C6578C" w14:paraId="25B50B4A" w14:textId="77777777" w:rsidTr="00171601">
        <w:trPr>
          <w:trHeight w:val="755"/>
          <w:jc w:val="center"/>
        </w:trPr>
        <w:tc>
          <w:tcPr>
            <w:tcW w:w="2847" w:type="dxa"/>
            <w:tcMar>
              <w:top w:w="0" w:type="dxa"/>
              <w:left w:w="115" w:type="dxa"/>
              <w:bottom w:w="0" w:type="dxa"/>
              <w:right w:w="115" w:type="dxa"/>
            </w:tcMar>
            <w:vAlign w:val="center"/>
            <w:hideMark/>
          </w:tcPr>
          <w:p w14:paraId="3AFD3F15" w14:textId="77777777" w:rsidR="00BC0E7E" w:rsidRPr="00BC0E7E" w:rsidRDefault="00944B8F" w:rsidP="00BC0E7E">
            <w:pPr>
              <w:widowControl w:val="0"/>
            </w:pPr>
            <w:r w:rsidRPr="00BC0E7E">
              <w:t>Hidradenitis Suppurativa Clinical Response (HiSCR)</w:t>
            </w:r>
            <w:r w:rsidRPr="00BC0E7E">
              <w:rPr>
                <w:vertAlign w:val="superscript"/>
              </w:rPr>
              <w:t>a</w:t>
            </w:r>
            <w:r w:rsidRPr="00BC0E7E">
              <w:t xml:space="preserve"> </w:t>
            </w:r>
          </w:p>
          <w:p w14:paraId="2069DF8C" w14:textId="77777777" w:rsidR="00BC0E7E" w:rsidRPr="00BC0E7E" w:rsidRDefault="00BC0E7E" w:rsidP="00BC0E7E">
            <w:pPr>
              <w:widowControl w:val="0"/>
            </w:pPr>
          </w:p>
        </w:tc>
        <w:tc>
          <w:tcPr>
            <w:tcW w:w="1440" w:type="dxa"/>
            <w:tcMar>
              <w:top w:w="0" w:type="dxa"/>
              <w:left w:w="115" w:type="dxa"/>
              <w:bottom w:w="0" w:type="dxa"/>
              <w:right w:w="115" w:type="dxa"/>
            </w:tcMar>
            <w:hideMark/>
          </w:tcPr>
          <w:p w14:paraId="18B1CC50" w14:textId="77777777" w:rsidR="00BC0E7E" w:rsidRPr="00BC0E7E" w:rsidRDefault="00944B8F" w:rsidP="00BC0E7E">
            <w:pPr>
              <w:widowControl w:val="0"/>
              <w:jc w:val="center"/>
            </w:pPr>
            <w:r w:rsidRPr="00BC0E7E">
              <w:t>N = 154</w:t>
            </w:r>
            <w:r w:rsidRPr="00BC0E7E">
              <w:br/>
              <w:t>40 (26.0%)</w:t>
            </w:r>
          </w:p>
        </w:tc>
        <w:tc>
          <w:tcPr>
            <w:tcW w:w="1746" w:type="dxa"/>
            <w:tcMar>
              <w:top w:w="0" w:type="dxa"/>
              <w:left w:w="115" w:type="dxa"/>
              <w:bottom w:w="0" w:type="dxa"/>
              <w:right w:w="115" w:type="dxa"/>
            </w:tcMar>
            <w:hideMark/>
          </w:tcPr>
          <w:p w14:paraId="77F7D35B" w14:textId="77777777" w:rsidR="00BC0E7E" w:rsidRPr="00BC0E7E" w:rsidRDefault="00944B8F" w:rsidP="00BC0E7E">
            <w:pPr>
              <w:widowControl w:val="0"/>
              <w:jc w:val="center"/>
            </w:pPr>
            <w:r w:rsidRPr="00BC0E7E">
              <w:t>N = 153</w:t>
            </w:r>
            <w:r w:rsidRPr="00BC0E7E">
              <w:br/>
              <w:t xml:space="preserve">64 (41.8%) </w:t>
            </w:r>
            <w:r w:rsidRPr="00BC0E7E">
              <w:rPr>
                <w:vertAlign w:val="superscript"/>
              </w:rPr>
              <w:t>*</w:t>
            </w:r>
          </w:p>
        </w:tc>
        <w:tc>
          <w:tcPr>
            <w:tcW w:w="1404" w:type="dxa"/>
            <w:tcMar>
              <w:top w:w="0" w:type="dxa"/>
              <w:left w:w="115" w:type="dxa"/>
              <w:bottom w:w="0" w:type="dxa"/>
              <w:right w:w="115" w:type="dxa"/>
            </w:tcMar>
          </w:tcPr>
          <w:p w14:paraId="79743008" w14:textId="77777777" w:rsidR="00BC0E7E" w:rsidRPr="00BC0E7E" w:rsidRDefault="00944B8F" w:rsidP="00BC0E7E">
            <w:pPr>
              <w:widowControl w:val="0"/>
              <w:jc w:val="center"/>
            </w:pPr>
            <w:r w:rsidRPr="00BC0E7E">
              <w:t>N=163</w:t>
            </w:r>
          </w:p>
          <w:p w14:paraId="7963AB59" w14:textId="77777777" w:rsidR="00BC0E7E" w:rsidRPr="00BC0E7E" w:rsidRDefault="00944B8F" w:rsidP="00BC0E7E">
            <w:pPr>
              <w:widowControl w:val="0"/>
              <w:jc w:val="center"/>
            </w:pPr>
            <w:r w:rsidRPr="00BC0E7E">
              <w:t>45 (27.6%)</w:t>
            </w:r>
          </w:p>
        </w:tc>
        <w:tc>
          <w:tcPr>
            <w:tcW w:w="1856" w:type="dxa"/>
            <w:tcMar>
              <w:top w:w="0" w:type="dxa"/>
              <w:left w:w="115" w:type="dxa"/>
              <w:bottom w:w="0" w:type="dxa"/>
              <w:right w:w="115" w:type="dxa"/>
            </w:tcMar>
          </w:tcPr>
          <w:p w14:paraId="7FB16CB0" w14:textId="77777777" w:rsidR="00BC0E7E" w:rsidRPr="00BC0E7E" w:rsidRDefault="00944B8F" w:rsidP="00BC0E7E">
            <w:pPr>
              <w:widowControl w:val="0"/>
              <w:jc w:val="center"/>
            </w:pPr>
            <w:r w:rsidRPr="00BC0E7E">
              <w:t>N=163</w:t>
            </w:r>
          </w:p>
          <w:p w14:paraId="54A3A9C7" w14:textId="77777777" w:rsidR="00BC0E7E" w:rsidRPr="00BC0E7E" w:rsidRDefault="00944B8F" w:rsidP="00BC0E7E">
            <w:pPr>
              <w:widowControl w:val="0"/>
              <w:jc w:val="center"/>
            </w:pPr>
            <w:r w:rsidRPr="00BC0E7E">
              <w:t xml:space="preserve">96 (58.9%) </w:t>
            </w:r>
            <w:r w:rsidRPr="00BC0E7E">
              <w:rPr>
                <w:vertAlign w:val="superscript"/>
              </w:rPr>
              <w:t>***</w:t>
            </w:r>
          </w:p>
        </w:tc>
      </w:tr>
      <w:tr w:rsidR="00C6578C" w14:paraId="1F27C530" w14:textId="77777777" w:rsidTr="00171601">
        <w:trPr>
          <w:jc w:val="center"/>
        </w:trPr>
        <w:tc>
          <w:tcPr>
            <w:tcW w:w="2847" w:type="dxa"/>
            <w:tcMar>
              <w:top w:w="0" w:type="dxa"/>
              <w:left w:w="115" w:type="dxa"/>
              <w:bottom w:w="0" w:type="dxa"/>
              <w:right w:w="115" w:type="dxa"/>
            </w:tcMar>
            <w:vAlign w:val="center"/>
            <w:hideMark/>
          </w:tcPr>
          <w:p w14:paraId="2D7EE11D" w14:textId="77777777" w:rsidR="00BC0E7E" w:rsidRPr="00BC0E7E" w:rsidRDefault="00944B8F" w:rsidP="00BC0E7E">
            <w:pPr>
              <w:widowControl w:val="0"/>
            </w:pPr>
            <w:r w:rsidRPr="00BC0E7E">
              <w:t>≥30% Reduction in Skin Pain</w:t>
            </w:r>
            <w:r w:rsidRPr="00BC0E7E">
              <w:rPr>
                <w:vertAlign w:val="superscript"/>
              </w:rPr>
              <w:t>b</w:t>
            </w:r>
          </w:p>
        </w:tc>
        <w:tc>
          <w:tcPr>
            <w:tcW w:w="1440" w:type="dxa"/>
            <w:tcMar>
              <w:top w:w="0" w:type="dxa"/>
              <w:left w:w="115" w:type="dxa"/>
              <w:bottom w:w="0" w:type="dxa"/>
              <w:right w:w="115" w:type="dxa"/>
            </w:tcMar>
            <w:hideMark/>
          </w:tcPr>
          <w:p w14:paraId="778ED718" w14:textId="77777777" w:rsidR="00BC0E7E" w:rsidRPr="00BC0E7E" w:rsidRDefault="00944B8F" w:rsidP="00BC0E7E">
            <w:pPr>
              <w:widowControl w:val="0"/>
              <w:jc w:val="center"/>
            </w:pPr>
            <w:r w:rsidRPr="00BC0E7E">
              <w:t>N = 109</w:t>
            </w:r>
            <w:r w:rsidRPr="00BC0E7E">
              <w:br/>
              <w:t>27 (24.8%)</w:t>
            </w:r>
          </w:p>
        </w:tc>
        <w:tc>
          <w:tcPr>
            <w:tcW w:w="1746" w:type="dxa"/>
            <w:tcMar>
              <w:top w:w="0" w:type="dxa"/>
              <w:left w:w="115" w:type="dxa"/>
              <w:bottom w:w="0" w:type="dxa"/>
              <w:right w:w="115" w:type="dxa"/>
            </w:tcMar>
            <w:hideMark/>
          </w:tcPr>
          <w:p w14:paraId="3DDEB173" w14:textId="77777777" w:rsidR="00BC0E7E" w:rsidRPr="00BC0E7E" w:rsidRDefault="00944B8F" w:rsidP="00BC0E7E">
            <w:pPr>
              <w:widowControl w:val="0"/>
              <w:jc w:val="center"/>
            </w:pPr>
            <w:r w:rsidRPr="00BC0E7E">
              <w:t>N = 122</w:t>
            </w:r>
            <w:r w:rsidRPr="00BC0E7E">
              <w:br/>
              <w:t>34 (27.9%)</w:t>
            </w:r>
          </w:p>
        </w:tc>
        <w:tc>
          <w:tcPr>
            <w:tcW w:w="1404" w:type="dxa"/>
            <w:tcMar>
              <w:top w:w="0" w:type="dxa"/>
              <w:left w:w="115" w:type="dxa"/>
              <w:bottom w:w="0" w:type="dxa"/>
              <w:right w:w="115" w:type="dxa"/>
            </w:tcMar>
          </w:tcPr>
          <w:p w14:paraId="234A5AD3" w14:textId="77777777" w:rsidR="00BC0E7E" w:rsidRPr="00BC0E7E" w:rsidRDefault="00944B8F" w:rsidP="00BC0E7E">
            <w:pPr>
              <w:widowControl w:val="0"/>
              <w:jc w:val="center"/>
            </w:pPr>
            <w:r w:rsidRPr="00BC0E7E">
              <w:t>N=111</w:t>
            </w:r>
          </w:p>
          <w:p w14:paraId="768B2684" w14:textId="77777777" w:rsidR="00BC0E7E" w:rsidRPr="00BC0E7E" w:rsidRDefault="00944B8F" w:rsidP="00BC0E7E">
            <w:pPr>
              <w:widowControl w:val="0"/>
              <w:jc w:val="center"/>
            </w:pPr>
            <w:r w:rsidRPr="00BC0E7E">
              <w:t>23 (20.7%)</w:t>
            </w:r>
          </w:p>
        </w:tc>
        <w:tc>
          <w:tcPr>
            <w:tcW w:w="1856" w:type="dxa"/>
            <w:tcMar>
              <w:top w:w="0" w:type="dxa"/>
              <w:left w:w="115" w:type="dxa"/>
              <w:bottom w:w="0" w:type="dxa"/>
              <w:right w:w="115" w:type="dxa"/>
            </w:tcMar>
          </w:tcPr>
          <w:p w14:paraId="53519C4C" w14:textId="77777777" w:rsidR="00BC0E7E" w:rsidRPr="00BC0E7E" w:rsidRDefault="00944B8F" w:rsidP="00BC0E7E">
            <w:pPr>
              <w:widowControl w:val="0"/>
              <w:jc w:val="center"/>
            </w:pPr>
            <w:r w:rsidRPr="00BC0E7E">
              <w:t>N=105</w:t>
            </w:r>
          </w:p>
          <w:p w14:paraId="7CE603AB" w14:textId="77777777" w:rsidR="00BC0E7E" w:rsidRPr="00BC0E7E" w:rsidRDefault="00944B8F" w:rsidP="00BC0E7E">
            <w:pPr>
              <w:widowControl w:val="0"/>
              <w:jc w:val="center"/>
            </w:pPr>
            <w:r w:rsidRPr="00BC0E7E">
              <w:t xml:space="preserve">48 (45.7%) </w:t>
            </w:r>
            <w:r w:rsidRPr="00BC0E7E">
              <w:rPr>
                <w:vertAlign w:val="superscript"/>
              </w:rPr>
              <w:t>***</w:t>
            </w:r>
          </w:p>
        </w:tc>
      </w:tr>
      <w:tr w:rsidR="00C6578C" w14:paraId="309F01BA" w14:textId="77777777" w:rsidTr="00171601">
        <w:trPr>
          <w:jc w:val="center"/>
        </w:trPr>
        <w:tc>
          <w:tcPr>
            <w:tcW w:w="9293" w:type="dxa"/>
            <w:gridSpan w:val="5"/>
            <w:tcMar>
              <w:top w:w="0" w:type="dxa"/>
              <w:left w:w="115" w:type="dxa"/>
              <w:bottom w:w="0" w:type="dxa"/>
              <w:right w:w="115" w:type="dxa"/>
            </w:tcMar>
            <w:vAlign w:val="center"/>
          </w:tcPr>
          <w:p w14:paraId="53C484E6" w14:textId="77777777" w:rsidR="00BC0E7E" w:rsidRPr="00BC0E7E" w:rsidRDefault="00944B8F" w:rsidP="00BC0E7E">
            <w:pPr>
              <w:keepNext/>
              <w:widowControl w:val="0"/>
              <w:ind w:left="360"/>
            </w:pPr>
            <w:r w:rsidRPr="00BC0E7E">
              <w:t xml:space="preserve">* </w:t>
            </w:r>
            <w:r w:rsidRPr="00BC0E7E">
              <w:rPr>
                <w:i/>
              </w:rPr>
              <w:t>P</w:t>
            </w:r>
            <w:r w:rsidRPr="00BC0E7E">
              <w:t xml:space="preserve"> &lt; 0.05, ***</w:t>
            </w:r>
            <w:r w:rsidRPr="00BC0E7E">
              <w:rPr>
                <w:i/>
              </w:rPr>
              <w:t xml:space="preserve">P </w:t>
            </w:r>
            <w:r w:rsidRPr="00BC0E7E">
              <w:t xml:space="preserve">&lt; 0.001, Humira versus placebo </w:t>
            </w:r>
          </w:p>
          <w:p w14:paraId="352B49D1" w14:textId="77777777" w:rsidR="00BC0E7E" w:rsidRPr="00BC0E7E" w:rsidRDefault="00944B8F" w:rsidP="004D00F8">
            <w:pPr>
              <w:keepNext/>
              <w:keepLines/>
              <w:widowControl w:val="0"/>
              <w:numPr>
                <w:ilvl w:val="0"/>
                <w:numId w:val="47"/>
              </w:numPr>
              <w:tabs>
                <w:tab w:val="clear" w:pos="562"/>
              </w:tabs>
              <w:suppressAutoHyphens w:val="0"/>
              <w:spacing w:before="40" w:line="240" w:lineRule="exact"/>
            </w:pPr>
            <w:r w:rsidRPr="00BC0E7E">
              <w:t>Among all randomised patients.</w:t>
            </w:r>
          </w:p>
          <w:p w14:paraId="58BB9DBB" w14:textId="77777777" w:rsidR="00BC0E7E" w:rsidRPr="00BC0E7E" w:rsidRDefault="00944B8F" w:rsidP="004D00F8">
            <w:pPr>
              <w:keepNext/>
              <w:keepLines/>
              <w:widowControl w:val="0"/>
              <w:numPr>
                <w:ilvl w:val="0"/>
                <w:numId w:val="47"/>
              </w:numPr>
              <w:tabs>
                <w:tab w:val="clear" w:pos="562"/>
              </w:tabs>
              <w:suppressAutoHyphens w:val="0"/>
              <w:spacing w:before="40" w:line="240" w:lineRule="exact"/>
            </w:pPr>
            <w:r w:rsidRPr="00BC0E7E">
              <w:t>Among patients with baseline HS-related skin pain assessment ≥ 3, based on Numeric Rating Scale 0 – 10; 0 = no skin pain, 10 = skin pain as bad as you can imagine.</w:t>
            </w:r>
          </w:p>
        </w:tc>
      </w:tr>
    </w:tbl>
    <w:p w14:paraId="5F11FA89" w14:textId="77777777" w:rsidR="00BC0E7E" w:rsidRPr="00BC0E7E" w:rsidRDefault="00BC0E7E" w:rsidP="00BC0E7E">
      <w:pPr>
        <w:rPr>
          <w:szCs w:val="22"/>
        </w:rPr>
      </w:pPr>
    </w:p>
    <w:p w14:paraId="4FC53BED" w14:textId="77777777" w:rsidR="00BC0E7E" w:rsidRPr="00BC0E7E" w:rsidRDefault="00944B8F" w:rsidP="00BC0E7E">
      <w:pPr>
        <w:rPr>
          <w:szCs w:val="22"/>
        </w:rPr>
      </w:pPr>
      <w:r w:rsidRPr="00BC0E7E">
        <w:rPr>
          <w:szCs w:val="22"/>
        </w:rPr>
        <w:t>Treatment with Humira 40 mg every week significantly reduced the risk of worsening of abscesses and draining fistulas.  Approximately twice the proportion of patients in the placebo group in the first 12 weeks of Studies HS-I and HS-II, compared with those in the Humira group experienced worsening of abscesses (23.0% vs 11.4%, respectively) and draining fistulas (30.0% vs 13.9%, respectively).</w:t>
      </w:r>
    </w:p>
    <w:p w14:paraId="5C98CAFD" w14:textId="77777777" w:rsidR="00BC0E7E" w:rsidRPr="00BC0E7E" w:rsidRDefault="00BC0E7E" w:rsidP="00BC0E7E">
      <w:pPr>
        <w:tabs>
          <w:tab w:val="clear" w:pos="562"/>
        </w:tabs>
        <w:suppressAutoHyphens w:val="0"/>
        <w:rPr>
          <w:szCs w:val="22"/>
          <w:lang w:eastAsia="ja-JP"/>
        </w:rPr>
      </w:pPr>
    </w:p>
    <w:p w14:paraId="6CB02838" w14:textId="77777777" w:rsidR="00BC0E7E" w:rsidRPr="00BC0E7E" w:rsidRDefault="00944B8F" w:rsidP="00BC0E7E">
      <w:pPr>
        <w:tabs>
          <w:tab w:val="clear" w:pos="562"/>
        </w:tabs>
        <w:suppressAutoHyphens w:val="0"/>
        <w:rPr>
          <w:szCs w:val="22"/>
          <w:lang w:eastAsia="ja-JP"/>
        </w:rPr>
      </w:pPr>
      <w:r w:rsidRPr="00BC0E7E">
        <w:rPr>
          <w:szCs w:val="22"/>
          <w:lang w:eastAsia="ja-JP"/>
        </w:rPr>
        <w:t xml:space="preserve">Greater improvements at Week 12 from baseline compared to placebo were demonstrated in skin-specific health-related quality of life, as measured by the Dermatology Life Quality Index (DLQI; Studies HS-I </w:t>
      </w:r>
      <w:r w:rsidRPr="00BC0E7E">
        <w:rPr>
          <w:szCs w:val="22"/>
          <w:lang w:eastAsia="ja-JP"/>
        </w:rPr>
        <w:lastRenderedPageBreak/>
        <w:t>and HS-II), patient global satisfaction with medication treatment as measured by the Treatment Satisfaction Questio</w:t>
      </w:r>
      <w:r w:rsidRPr="00BC0E7E">
        <w:rPr>
          <w:rFonts w:eastAsia="MS Mincho"/>
          <w:szCs w:val="22"/>
          <w:lang w:eastAsia="ja-JP"/>
        </w:rPr>
        <w:t>nnaire - medication (TSQM; Studies HS-I and</w:t>
      </w:r>
      <w:r w:rsidRPr="00BC0E7E">
        <w:rPr>
          <w:szCs w:val="22"/>
          <w:lang w:eastAsia="ja-JP"/>
        </w:rPr>
        <w:t xml:space="preserve"> HS-II), and physical health as measured by the physical compon</w:t>
      </w:r>
      <w:r w:rsidRPr="00BC0E7E">
        <w:rPr>
          <w:rFonts w:eastAsia="MS Mincho"/>
          <w:szCs w:val="22"/>
          <w:lang w:eastAsia="ja-JP"/>
        </w:rPr>
        <w:t>ent summary score of the SF-36</w:t>
      </w:r>
      <w:r w:rsidRPr="00BC0E7E">
        <w:rPr>
          <w:szCs w:val="22"/>
          <w:lang w:eastAsia="ja-JP"/>
        </w:rPr>
        <w:t xml:space="preserve"> (Study HS-I).</w:t>
      </w:r>
    </w:p>
    <w:p w14:paraId="3D03E428" w14:textId="77777777" w:rsidR="00BC0E7E" w:rsidRPr="00BC0E7E" w:rsidRDefault="00BC0E7E" w:rsidP="00BC0E7E">
      <w:pPr>
        <w:tabs>
          <w:tab w:val="clear" w:pos="562"/>
        </w:tabs>
        <w:suppressAutoHyphens w:val="0"/>
        <w:rPr>
          <w:szCs w:val="22"/>
          <w:lang w:eastAsia="ja-JP"/>
        </w:rPr>
      </w:pPr>
    </w:p>
    <w:p w14:paraId="59549717" w14:textId="77777777" w:rsidR="00BC0E7E" w:rsidRPr="00BC0E7E" w:rsidRDefault="00944B8F" w:rsidP="00BC0E7E">
      <w:pPr>
        <w:tabs>
          <w:tab w:val="clear" w:pos="562"/>
        </w:tabs>
        <w:suppressAutoHyphens w:val="0"/>
        <w:rPr>
          <w:rFonts w:eastAsia="Calibri"/>
          <w:szCs w:val="22"/>
        </w:rPr>
      </w:pPr>
      <w:r w:rsidRPr="00BC0E7E">
        <w:rPr>
          <w:rFonts w:eastAsia="Calibri"/>
          <w:szCs w:val="22"/>
        </w:rPr>
        <w:t xml:space="preserve">In patients with at least a partial response to Humira 40 mg weekly at Week 12, the HiSCR rate at Week 36 was higher in patients who continued weekly Humira than in patients in whom dosing frequency was reduced to every other week, or in whom treatment was withdrawn (see Table </w:t>
      </w:r>
      <w:r w:rsidR="006876B3">
        <w:rPr>
          <w:rFonts w:eastAsia="Calibri"/>
          <w:szCs w:val="22"/>
        </w:rPr>
        <w:t>2</w:t>
      </w:r>
      <w:r w:rsidR="00614ABC">
        <w:rPr>
          <w:rFonts w:eastAsia="Calibri"/>
          <w:szCs w:val="22"/>
        </w:rPr>
        <w:t>0</w:t>
      </w:r>
      <w:r w:rsidRPr="00BC0E7E">
        <w:rPr>
          <w:rFonts w:eastAsia="Calibri"/>
          <w:szCs w:val="22"/>
        </w:rPr>
        <w:t xml:space="preserve">).  </w:t>
      </w:r>
    </w:p>
    <w:p w14:paraId="1D352EEA" w14:textId="77777777" w:rsidR="00BC0E7E" w:rsidRPr="00BC0E7E" w:rsidRDefault="00BC0E7E" w:rsidP="00BC0E7E">
      <w:pPr>
        <w:rPr>
          <w:szCs w:val="20"/>
        </w:rPr>
      </w:pPr>
    </w:p>
    <w:p w14:paraId="1C558D85" w14:textId="77777777" w:rsidR="00BC0E7E" w:rsidRPr="00BC0E7E" w:rsidRDefault="00944B8F" w:rsidP="00BC0E7E">
      <w:pPr>
        <w:keepNext/>
        <w:tabs>
          <w:tab w:val="clear" w:pos="562"/>
        </w:tabs>
        <w:suppressAutoHyphens w:val="0"/>
        <w:jc w:val="center"/>
        <w:rPr>
          <w:rFonts w:eastAsia="MS Mincho"/>
          <w:b/>
          <w:szCs w:val="22"/>
          <w:lang w:eastAsia="ja-JP"/>
        </w:rPr>
      </w:pPr>
      <w:r w:rsidRPr="00BC0E7E">
        <w:rPr>
          <w:rFonts w:eastAsia="MS Mincho"/>
          <w:b/>
          <w:szCs w:val="22"/>
          <w:lang w:eastAsia="ja-JP"/>
        </w:rPr>
        <w:t>Table </w:t>
      </w:r>
      <w:r w:rsidR="006876B3">
        <w:rPr>
          <w:rFonts w:eastAsia="MS Mincho"/>
          <w:b/>
          <w:szCs w:val="22"/>
          <w:lang w:eastAsia="ja-JP"/>
        </w:rPr>
        <w:t>2</w:t>
      </w:r>
      <w:r w:rsidR="00614ABC">
        <w:rPr>
          <w:rFonts w:eastAsia="MS Mincho"/>
          <w:b/>
          <w:szCs w:val="22"/>
          <w:lang w:eastAsia="ja-JP"/>
        </w:rPr>
        <w:t>0</w:t>
      </w:r>
      <w:r w:rsidRPr="00BC0E7E">
        <w:rPr>
          <w:rFonts w:eastAsia="MS Mincho"/>
          <w:b/>
          <w:szCs w:val="22"/>
          <w:lang w:eastAsia="ja-JP"/>
        </w:rPr>
        <w:t>:</w:t>
      </w:r>
      <w:r w:rsidRPr="00BC0E7E">
        <w:rPr>
          <w:rFonts w:eastAsia="MS Mincho"/>
          <w:b/>
          <w:szCs w:val="22"/>
          <w:lang w:eastAsia="ja-JP"/>
        </w:rPr>
        <w:tab/>
        <w:t xml:space="preserve"> Proportion of Patients</w:t>
      </w:r>
      <w:r w:rsidRPr="00BC0E7E">
        <w:rPr>
          <w:rFonts w:eastAsia="MS Mincho"/>
          <w:b/>
          <w:szCs w:val="22"/>
          <w:vertAlign w:val="superscript"/>
          <w:lang w:eastAsia="ja-JP"/>
        </w:rPr>
        <w:t>a</w:t>
      </w:r>
      <w:r w:rsidRPr="00BC0E7E">
        <w:rPr>
          <w:rFonts w:eastAsia="MS Mincho"/>
          <w:b/>
          <w:szCs w:val="22"/>
          <w:lang w:eastAsia="ja-JP"/>
        </w:rPr>
        <w:t xml:space="preserve"> Achieving HiSCR</w:t>
      </w:r>
      <w:r w:rsidRPr="00BC0E7E">
        <w:rPr>
          <w:rFonts w:eastAsia="MS Mincho"/>
          <w:b/>
          <w:szCs w:val="22"/>
          <w:vertAlign w:val="superscript"/>
          <w:lang w:eastAsia="ja-JP"/>
        </w:rPr>
        <w:t xml:space="preserve">b </w:t>
      </w:r>
      <w:r w:rsidRPr="00BC0E7E">
        <w:rPr>
          <w:rFonts w:eastAsia="MS Mincho"/>
          <w:b/>
          <w:szCs w:val="22"/>
          <w:lang w:eastAsia="ja-JP"/>
        </w:rPr>
        <w:t xml:space="preserve">at Weeks 24 and 36 After </w:t>
      </w:r>
    </w:p>
    <w:p w14:paraId="1922D7DF" w14:textId="77777777" w:rsidR="00BC0E7E" w:rsidRPr="00BC0E7E" w:rsidRDefault="00944B8F" w:rsidP="00BC0E7E">
      <w:pPr>
        <w:keepNext/>
        <w:tabs>
          <w:tab w:val="clear" w:pos="562"/>
        </w:tabs>
        <w:suppressAutoHyphens w:val="0"/>
        <w:ind w:left="567"/>
        <w:jc w:val="center"/>
        <w:rPr>
          <w:rFonts w:eastAsia="MS Mincho"/>
          <w:b/>
          <w:szCs w:val="22"/>
          <w:lang w:eastAsia="ja-JP"/>
        </w:rPr>
      </w:pPr>
      <w:r w:rsidRPr="00BC0E7E">
        <w:rPr>
          <w:rFonts w:eastAsia="MS Mincho"/>
          <w:b/>
          <w:szCs w:val="22"/>
          <w:lang w:eastAsia="ja-JP"/>
        </w:rPr>
        <w:t>Treatment Reassignment from Weekly Humira at Week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C6578C" w14:paraId="74B36596" w14:textId="77777777" w:rsidTr="00171601">
        <w:trPr>
          <w:tblHeader/>
          <w:jc w:val="center"/>
        </w:trPr>
        <w:tc>
          <w:tcPr>
            <w:tcW w:w="1437" w:type="dxa"/>
            <w:vAlign w:val="bottom"/>
          </w:tcPr>
          <w:p w14:paraId="68C05476" w14:textId="77777777" w:rsidR="00BC0E7E" w:rsidRPr="00BC0E7E" w:rsidRDefault="00BC0E7E" w:rsidP="00BC0E7E">
            <w:pPr>
              <w:keepNext/>
              <w:tabs>
                <w:tab w:val="clear" w:pos="562"/>
              </w:tabs>
              <w:suppressAutoHyphens w:val="0"/>
              <w:spacing w:before="40" w:after="40" w:line="240" w:lineRule="exact"/>
              <w:rPr>
                <w:rFonts w:eastAsia="Calibri"/>
                <w:b/>
                <w:szCs w:val="22"/>
                <w:lang w:eastAsia="ja-JP"/>
              </w:rPr>
            </w:pPr>
          </w:p>
        </w:tc>
        <w:tc>
          <w:tcPr>
            <w:tcW w:w="1980" w:type="dxa"/>
            <w:vAlign w:val="bottom"/>
          </w:tcPr>
          <w:p w14:paraId="35751387" w14:textId="77777777" w:rsidR="00BC0E7E" w:rsidRPr="00BC0E7E" w:rsidRDefault="00944B8F" w:rsidP="00BC0E7E">
            <w:pPr>
              <w:keepNext/>
              <w:tabs>
                <w:tab w:val="clear" w:pos="562"/>
              </w:tabs>
              <w:suppressAutoHyphens w:val="0"/>
              <w:spacing w:before="40" w:after="40" w:line="240" w:lineRule="exact"/>
              <w:jc w:val="center"/>
              <w:rPr>
                <w:rFonts w:eastAsia="Calibri"/>
                <w:b/>
                <w:szCs w:val="22"/>
                <w:lang w:eastAsia="ja-JP"/>
              </w:rPr>
            </w:pPr>
            <w:r w:rsidRPr="00BC0E7E">
              <w:rPr>
                <w:rFonts w:eastAsia="Calibri"/>
                <w:b/>
                <w:szCs w:val="22"/>
                <w:lang w:eastAsia="ja-JP"/>
              </w:rPr>
              <w:t>Placebo</w:t>
            </w:r>
            <w:r w:rsidRPr="00BC0E7E">
              <w:rPr>
                <w:rFonts w:eastAsia="Calibri"/>
                <w:b/>
                <w:szCs w:val="22"/>
                <w:lang w:eastAsia="ja-JP"/>
              </w:rPr>
              <w:br/>
              <w:t>(treatment withdrawal)</w:t>
            </w:r>
            <w:r w:rsidRPr="00BC0E7E">
              <w:rPr>
                <w:rFonts w:eastAsia="Calibri"/>
                <w:b/>
                <w:szCs w:val="22"/>
                <w:lang w:eastAsia="ja-JP"/>
              </w:rPr>
              <w:br/>
              <w:t>N = 73</w:t>
            </w:r>
          </w:p>
        </w:tc>
        <w:tc>
          <w:tcPr>
            <w:tcW w:w="1980" w:type="dxa"/>
            <w:vAlign w:val="bottom"/>
          </w:tcPr>
          <w:p w14:paraId="677AE1A8" w14:textId="77777777" w:rsidR="00BC0E7E" w:rsidRPr="00BC0E7E" w:rsidRDefault="00944B8F" w:rsidP="00BC0E7E">
            <w:pPr>
              <w:keepNext/>
              <w:tabs>
                <w:tab w:val="clear" w:pos="562"/>
              </w:tabs>
              <w:suppressAutoHyphens w:val="0"/>
              <w:spacing w:before="40" w:after="40" w:line="240" w:lineRule="exact"/>
              <w:jc w:val="center"/>
              <w:rPr>
                <w:rFonts w:eastAsia="Calibri"/>
                <w:b/>
                <w:szCs w:val="22"/>
                <w:lang w:eastAsia="ja-JP"/>
              </w:rPr>
            </w:pPr>
            <w:r w:rsidRPr="00BC0E7E">
              <w:rPr>
                <w:rFonts w:eastAsia="Calibri"/>
                <w:b/>
                <w:szCs w:val="22"/>
                <w:lang w:eastAsia="ja-JP"/>
              </w:rPr>
              <w:t>Humira 40 mg</w:t>
            </w:r>
            <w:r w:rsidRPr="00BC0E7E">
              <w:rPr>
                <w:rFonts w:eastAsia="Calibri"/>
                <w:b/>
                <w:szCs w:val="22"/>
                <w:lang w:eastAsia="ja-JP"/>
              </w:rPr>
              <w:br/>
              <w:t>every other week</w:t>
            </w:r>
            <w:r w:rsidRPr="00BC0E7E">
              <w:rPr>
                <w:rFonts w:eastAsia="Calibri"/>
                <w:b/>
                <w:szCs w:val="22"/>
                <w:lang w:eastAsia="ja-JP"/>
              </w:rPr>
              <w:br/>
              <w:t>N = 70</w:t>
            </w:r>
          </w:p>
        </w:tc>
        <w:tc>
          <w:tcPr>
            <w:tcW w:w="1855" w:type="dxa"/>
            <w:vAlign w:val="bottom"/>
          </w:tcPr>
          <w:p w14:paraId="702FCC09" w14:textId="77777777" w:rsidR="00BC0E7E" w:rsidRPr="00BC0E7E" w:rsidRDefault="00944B8F" w:rsidP="00BC0E7E">
            <w:pPr>
              <w:keepNext/>
              <w:tabs>
                <w:tab w:val="clear" w:pos="562"/>
              </w:tabs>
              <w:suppressAutoHyphens w:val="0"/>
              <w:spacing w:before="40" w:after="40" w:line="240" w:lineRule="exact"/>
              <w:jc w:val="center"/>
              <w:rPr>
                <w:rFonts w:eastAsia="Calibri"/>
                <w:b/>
                <w:szCs w:val="22"/>
                <w:lang w:eastAsia="ja-JP"/>
              </w:rPr>
            </w:pPr>
            <w:r w:rsidRPr="00BC0E7E">
              <w:rPr>
                <w:rFonts w:eastAsia="Calibri"/>
                <w:b/>
                <w:szCs w:val="22"/>
                <w:lang w:eastAsia="ja-JP"/>
              </w:rPr>
              <w:t>Humira 40 mg</w:t>
            </w:r>
            <w:r w:rsidRPr="00BC0E7E">
              <w:rPr>
                <w:rFonts w:eastAsia="Calibri"/>
                <w:b/>
                <w:szCs w:val="22"/>
                <w:lang w:eastAsia="ja-JP"/>
              </w:rPr>
              <w:br/>
              <w:t>weekly</w:t>
            </w:r>
            <w:r w:rsidRPr="00BC0E7E">
              <w:rPr>
                <w:rFonts w:eastAsia="Calibri"/>
                <w:b/>
                <w:szCs w:val="22"/>
                <w:lang w:eastAsia="ja-JP"/>
              </w:rPr>
              <w:br/>
              <w:t>N = 70</w:t>
            </w:r>
          </w:p>
        </w:tc>
      </w:tr>
      <w:tr w:rsidR="00C6578C" w14:paraId="5840516F" w14:textId="77777777" w:rsidTr="00171601">
        <w:trPr>
          <w:jc w:val="center"/>
        </w:trPr>
        <w:tc>
          <w:tcPr>
            <w:tcW w:w="1437" w:type="dxa"/>
          </w:tcPr>
          <w:p w14:paraId="214D1020" w14:textId="77777777" w:rsidR="00BC0E7E" w:rsidRPr="00BC0E7E" w:rsidRDefault="00944B8F" w:rsidP="00BC0E7E">
            <w:pPr>
              <w:keepNext/>
              <w:tabs>
                <w:tab w:val="clear" w:pos="562"/>
              </w:tabs>
              <w:suppressAutoHyphens w:val="0"/>
              <w:spacing w:before="40" w:after="40" w:line="240" w:lineRule="exact"/>
              <w:rPr>
                <w:rFonts w:eastAsia="Calibri"/>
                <w:szCs w:val="22"/>
                <w:lang w:eastAsia="ja-JP"/>
              </w:rPr>
            </w:pPr>
            <w:r w:rsidRPr="00BC0E7E">
              <w:rPr>
                <w:rFonts w:eastAsia="Calibri"/>
                <w:szCs w:val="22"/>
                <w:lang w:eastAsia="ja-JP"/>
              </w:rPr>
              <w:t>Week 24</w:t>
            </w:r>
          </w:p>
        </w:tc>
        <w:tc>
          <w:tcPr>
            <w:tcW w:w="1980" w:type="dxa"/>
          </w:tcPr>
          <w:p w14:paraId="24704D01" w14:textId="77777777" w:rsidR="00BC0E7E" w:rsidRPr="00BC0E7E" w:rsidRDefault="00944B8F" w:rsidP="00BC0E7E">
            <w:pPr>
              <w:keepNext/>
              <w:tabs>
                <w:tab w:val="clear" w:pos="562"/>
              </w:tabs>
              <w:suppressAutoHyphens w:val="0"/>
              <w:spacing w:before="40" w:after="40" w:line="240" w:lineRule="exact"/>
              <w:jc w:val="center"/>
              <w:rPr>
                <w:rFonts w:eastAsia="Calibri"/>
                <w:szCs w:val="22"/>
                <w:lang w:eastAsia="ja-JP"/>
              </w:rPr>
            </w:pPr>
            <w:r w:rsidRPr="00BC0E7E">
              <w:rPr>
                <w:rFonts w:eastAsia="Calibri"/>
                <w:szCs w:val="22"/>
                <w:lang w:eastAsia="ja-JP"/>
              </w:rPr>
              <w:t>24 (32.9%)</w:t>
            </w:r>
          </w:p>
        </w:tc>
        <w:tc>
          <w:tcPr>
            <w:tcW w:w="1980" w:type="dxa"/>
          </w:tcPr>
          <w:p w14:paraId="0346EDBE" w14:textId="77777777" w:rsidR="00BC0E7E" w:rsidRPr="00BC0E7E" w:rsidRDefault="00944B8F" w:rsidP="00BC0E7E">
            <w:pPr>
              <w:keepNext/>
              <w:tabs>
                <w:tab w:val="clear" w:pos="562"/>
              </w:tabs>
              <w:suppressAutoHyphens w:val="0"/>
              <w:spacing w:before="40" w:after="40" w:line="240" w:lineRule="exact"/>
              <w:jc w:val="center"/>
              <w:rPr>
                <w:rFonts w:eastAsia="Calibri"/>
                <w:szCs w:val="22"/>
                <w:lang w:eastAsia="ja-JP"/>
              </w:rPr>
            </w:pPr>
            <w:r w:rsidRPr="00BC0E7E">
              <w:rPr>
                <w:rFonts w:eastAsia="Calibri"/>
                <w:szCs w:val="22"/>
                <w:lang w:eastAsia="ja-JP"/>
              </w:rPr>
              <w:t>36 (51.4%)</w:t>
            </w:r>
          </w:p>
        </w:tc>
        <w:tc>
          <w:tcPr>
            <w:tcW w:w="1855" w:type="dxa"/>
          </w:tcPr>
          <w:p w14:paraId="531B4559" w14:textId="77777777" w:rsidR="00BC0E7E" w:rsidRPr="00BC0E7E" w:rsidRDefault="00944B8F" w:rsidP="00BC0E7E">
            <w:pPr>
              <w:keepNext/>
              <w:tabs>
                <w:tab w:val="clear" w:pos="562"/>
              </w:tabs>
              <w:suppressAutoHyphens w:val="0"/>
              <w:spacing w:before="40" w:after="40" w:line="240" w:lineRule="exact"/>
              <w:jc w:val="center"/>
              <w:rPr>
                <w:rFonts w:eastAsia="Calibri"/>
                <w:szCs w:val="22"/>
                <w:lang w:eastAsia="ja-JP"/>
              </w:rPr>
            </w:pPr>
            <w:r w:rsidRPr="00BC0E7E">
              <w:rPr>
                <w:rFonts w:eastAsia="Calibri"/>
                <w:szCs w:val="22"/>
                <w:lang w:eastAsia="ja-JP"/>
              </w:rPr>
              <w:t>40 (57.1%)</w:t>
            </w:r>
          </w:p>
        </w:tc>
      </w:tr>
      <w:tr w:rsidR="00C6578C" w14:paraId="0A2D97B9" w14:textId="77777777" w:rsidTr="00171601">
        <w:trPr>
          <w:jc w:val="center"/>
        </w:trPr>
        <w:tc>
          <w:tcPr>
            <w:tcW w:w="1437" w:type="dxa"/>
          </w:tcPr>
          <w:p w14:paraId="3680E199" w14:textId="77777777" w:rsidR="00BC0E7E" w:rsidRPr="00BC0E7E" w:rsidRDefault="00944B8F" w:rsidP="00BC0E7E">
            <w:pPr>
              <w:keepNext/>
              <w:tabs>
                <w:tab w:val="clear" w:pos="562"/>
              </w:tabs>
              <w:suppressAutoHyphens w:val="0"/>
              <w:spacing w:before="40" w:after="40" w:line="240" w:lineRule="exact"/>
              <w:rPr>
                <w:rFonts w:eastAsia="Calibri"/>
                <w:szCs w:val="22"/>
                <w:lang w:eastAsia="ja-JP"/>
              </w:rPr>
            </w:pPr>
            <w:r w:rsidRPr="00BC0E7E">
              <w:rPr>
                <w:rFonts w:eastAsia="Calibri"/>
                <w:szCs w:val="22"/>
                <w:lang w:eastAsia="ja-JP"/>
              </w:rPr>
              <w:t>Week 36</w:t>
            </w:r>
          </w:p>
        </w:tc>
        <w:tc>
          <w:tcPr>
            <w:tcW w:w="1980" w:type="dxa"/>
          </w:tcPr>
          <w:p w14:paraId="095B6EFF" w14:textId="77777777" w:rsidR="00BC0E7E" w:rsidRPr="00BC0E7E" w:rsidRDefault="00944B8F" w:rsidP="00BC0E7E">
            <w:pPr>
              <w:keepNext/>
              <w:tabs>
                <w:tab w:val="clear" w:pos="562"/>
              </w:tabs>
              <w:suppressAutoHyphens w:val="0"/>
              <w:spacing w:before="40" w:after="40" w:line="240" w:lineRule="exact"/>
              <w:jc w:val="center"/>
              <w:rPr>
                <w:rFonts w:eastAsia="Calibri"/>
                <w:szCs w:val="22"/>
                <w:lang w:eastAsia="ja-JP"/>
              </w:rPr>
            </w:pPr>
            <w:r w:rsidRPr="00BC0E7E">
              <w:rPr>
                <w:rFonts w:eastAsia="Calibri"/>
                <w:szCs w:val="22"/>
                <w:lang w:eastAsia="ja-JP"/>
              </w:rPr>
              <w:t>22 (30.1%)</w:t>
            </w:r>
          </w:p>
        </w:tc>
        <w:tc>
          <w:tcPr>
            <w:tcW w:w="1980" w:type="dxa"/>
          </w:tcPr>
          <w:p w14:paraId="13BDD9E5" w14:textId="77777777" w:rsidR="00BC0E7E" w:rsidRPr="00BC0E7E" w:rsidRDefault="00944B8F" w:rsidP="00BC0E7E">
            <w:pPr>
              <w:keepNext/>
              <w:tabs>
                <w:tab w:val="clear" w:pos="562"/>
              </w:tabs>
              <w:suppressAutoHyphens w:val="0"/>
              <w:spacing w:before="40" w:after="40" w:line="240" w:lineRule="exact"/>
              <w:jc w:val="center"/>
              <w:rPr>
                <w:rFonts w:eastAsia="Calibri"/>
                <w:szCs w:val="22"/>
                <w:lang w:eastAsia="ja-JP"/>
              </w:rPr>
            </w:pPr>
            <w:r w:rsidRPr="00BC0E7E">
              <w:rPr>
                <w:rFonts w:eastAsia="Calibri"/>
                <w:szCs w:val="22"/>
                <w:lang w:eastAsia="ja-JP"/>
              </w:rPr>
              <w:t>28 (40.0%)</w:t>
            </w:r>
          </w:p>
        </w:tc>
        <w:tc>
          <w:tcPr>
            <w:tcW w:w="1855" w:type="dxa"/>
          </w:tcPr>
          <w:p w14:paraId="755CF4F0" w14:textId="77777777" w:rsidR="00BC0E7E" w:rsidRPr="00BC0E7E" w:rsidRDefault="00944B8F" w:rsidP="00BC0E7E">
            <w:pPr>
              <w:keepNext/>
              <w:tabs>
                <w:tab w:val="clear" w:pos="562"/>
              </w:tabs>
              <w:suppressAutoHyphens w:val="0"/>
              <w:spacing w:before="40" w:after="40" w:line="240" w:lineRule="exact"/>
              <w:jc w:val="center"/>
              <w:rPr>
                <w:rFonts w:eastAsia="Calibri"/>
                <w:szCs w:val="22"/>
                <w:lang w:eastAsia="ja-JP"/>
              </w:rPr>
            </w:pPr>
            <w:r w:rsidRPr="00BC0E7E">
              <w:rPr>
                <w:rFonts w:eastAsia="Calibri"/>
                <w:szCs w:val="22"/>
                <w:lang w:eastAsia="ja-JP"/>
              </w:rPr>
              <w:t>39 (55.7%)</w:t>
            </w:r>
          </w:p>
        </w:tc>
      </w:tr>
      <w:tr w:rsidR="00C6578C" w14:paraId="28D4DE67" w14:textId="77777777" w:rsidTr="00171601">
        <w:trPr>
          <w:jc w:val="center"/>
        </w:trPr>
        <w:tc>
          <w:tcPr>
            <w:tcW w:w="7252" w:type="dxa"/>
            <w:gridSpan w:val="4"/>
          </w:tcPr>
          <w:p w14:paraId="1222437D" w14:textId="77777777" w:rsidR="00BC0E7E" w:rsidRPr="00BC0E7E" w:rsidRDefault="00944B8F" w:rsidP="00A6294A">
            <w:pPr>
              <w:keepNext/>
              <w:keepLines/>
              <w:numPr>
                <w:ilvl w:val="0"/>
                <w:numId w:val="48"/>
              </w:numPr>
              <w:tabs>
                <w:tab w:val="clear" w:pos="562"/>
              </w:tabs>
              <w:suppressAutoHyphens w:val="0"/>
              <w:spacing w:before="40" w:line="240" w:lineRule="exact"/>
              <w:ind w:left="243" w:hanging="243"/>
              <w:rPr>
                <w:rFonts w:eastAsia="MS Mincho"/>
                <w:szCs w:val="22"/>
                <w:lang w:eastAsia="ja-JP"/>
              </w:rPr>
            </w:pPr>
            <w:r w:rsidRPr="00BC0E7E">
              <w:rPr>
                <w:rFonts w:eastAsia="MS Mincho"/>
                <w:szCs w:val="22"/>
                <w:lang w:eastAsia="ja-JP"/>
              </w:rPr>
              <w:t>Patients with at least a partial response to Humira 40 mg weekly after 12 weeks of treatment.</w:t>
            </w:r>
          </w:p>
          <w:p w14:paraId="4783DD7D" w14:textId="77777777" w:rsidR="00BC0E7E" w:rsidRPr="00BC0E7E" w:rsidRDefault="00944B8F" w:rsidP="00A6294A">
            <w:pPr>
              <w:keepNext/>
              <w:keepLines/>
              <w:numPr>
                <w:ilvl w:val="0"/>
                <w:numId w:val="48"/>
              </w:numPr>
              <w:tabs>
                <w:tab w:val="clear" w:pos="562"/>
              </w:tabs>
              <w:suppressAutoHyphens w:val="0"/>
              <w:spacing w:before="40" w:line="240" w:lineRule="exact"/>
              <w:ind w:left="243" w:hanging="243"/>
              <w:rPr>
                <w:rFonts w:eastAsia="MS Mincho"/>
                <w:szCs w:val="22"/>
                <w:lang w:eastAsia="ja-JP"/>
              </w:rPr>
            </w:pPr>
            <w:r w:rsidRPr="00BC0E7E">
              <w:rPr>
                <w:rFonts w:eastAsia="MS Mincho"/>
                <w:szCs w:val="22"/>
                <w:lang w:eastAsia="ja-JP"/>
              </w:rPr>
              <w:t>Patients meeting protocol-specified criteria for loss of response or no improvement were required to discontinue from the studies and were counted as nonresponders.</w:t>
            </w:r>
          </w:p>
        </w:tc>
      </w:tr>
    </w:tbl>
    <w:p w14:paraId="0964CEAB" w14:textId="77777777" w:rsidR="00BC0E7E" w:rsidRPr="00BC0E7E" w:rsidRDefault="00BC0E7E" w:rsidP="00BC0E7E">
      <w:pPr>
        <w:rPr>
          <w:szCs w:val="22"/>
        </w:rPr>
      </w:pPr>
    </w:p>
    <w:p w14:paraId="7B5920E7" w14:textId="77777777" w:rsidR="00BC0E7E" w:rsidRPr="00BC0E7E" w:rsidRDefault="00944B8F" w:rsidP="00BC0E7E">
      <w:pPr>
        <w:rPr>
          <w:szCs w:val="22"/>
        </w:rPr>
      </w:pPr>
      <w:r w:rsidRPr="00BC0E7E">
        <w:rPr>
          <w:szCs w:val="22"/>
        </w:rPr>
        <w:t>Among patients who were at least partial responders at Week 12, and who received continuous weekly Humira therapy, the HiSCR rate at Week 48 was 68.3% and at Week 96 was 65.1%. Longer term treatment with Humira 40 mg weekly for 96 weeks identified no new safety findings.</w:t>
      </w:r>
    </w:p>
    <w:p w14:paraId="25503342" w14:textId="77777777" w:rsidR="00BC0E7E" w:rsidRPr="00BC0E7E" w:rsidRDefault="00BC0E7E" w:rsidP="00BC0E7E">
      <w:pPr>
        <w:rPr>
          <w:szCs w:val="22"/>
        </w:rPr>
      </w:pPr>
    </w:p>
    <w:p w14:paraId="10CB2FD7" w14:textId="77777777" w:rsidR="00BC0E7E" w:rsidRPr="00BC0E7E" w:rsidRDefault="00944B8F" w:rsidP="00BC0E7E">
      <w:pPr>
        <w:rPr>
          <w:szCs w:val="22"/>
        </w:rPr>
      </w:pPr>
      <w:r w:rsidRPr="00BC0E7E">
        <w:rPr>
          <w:szCs w:val="22"/>
        </w:rPr>
        <w:t>Among patients whose Humira treatment was withdrawn at Week 12 in Studies HS-I and HS-II, the HiSCR rate 12 weeks after re-introduction of Humira 40 mg weekly returned to levels similar to that observed before withdrawal (56.0 %).</w:t>
      </w:r>
    </w:p>
    <w:p w14:paraId="5DF6FBCF" w14:textId="77777777" w:rsidR="00BC0E7E" w:rsidRPr="00BC0E7E" w:rsidRDefault="00BC0E7E" w:rsidP="00BC0E7E">
      <w:pPr>
        <w:rPr>
          <w:szCs w:val="22"/>
        </w:rPr>
      </w:pPr>
    </w:p>
    <w:p w14:paraId="67271095" w14:textId="77777777" w:rsidR="00BC0E7E" w:rsidRPr="00BC0E7E" w:rsidRDefault="00944B8F" w:rsidP="00BC0E7E">
      <w:pPr>
        <w:rPr>
          <w:i/>
          <w:szCs w:val="20"/>
        </w:rPr>
      </w:pPr>
      <w:r w:rsidRPr="00BC0E7E">
        <w:rPr>
          <w:i/>
          <w:szCs w:val="20"/>
        </w:rPr>
        <w:t>Crohn’s disease</w:t>
      </w:r>
    </w:p>
    <w:p w14:paraId="60B422E8" w14:textId="77777777" w:rsidR="00BC0E7E" w:rsidRPr="00BC0E7E" w:rsidRDefault="00BC0E7E" w:rsidP="00BC0E7E">
      <w:pPr>
        <w:rPr>
          <w:szCs w:val="20"/>
        </w:rPr>
      </w:pPr>
    </w:p>
    <w:p w14:paraId="79AC0501" w14:textId="77777777" w:rsidR="00BC0E7E" w:rsidRPr="00BC0E7E" w:rsidRDefault="00944B8F" w:rsidP="00BC0E7E">
      <w:pPr>
        <w:rPr>
          <w:szCs w:val="20"/>
        </w:rPr>
      </w:pPr>
      <w:r w:rsidRPr="00BC0E7E">
        <w:rPr>
          <w:szCs w:val="20"/>
        </w:rPr>
        <w:t xml:space="preserve">The safety and efficacy of Humira were assessed in over 1500 patients with moderately to severely active Crohn’s disease (Crohn’s Disease Activity Index (CDAI) </w:t>
      </w:r>
      <w:r w:rsidRPr="00BC0E7E">
        <w:rPr>
          <w:rFonts w:ascii="Symbol" w:eastAsia="Symbol" w:hAnsi="Symbol" w:cs="Symbol"/>
          <w:szCs w:val="22"/>
        </w:rPr>
        <w:sym w:font="Symbol" w:char="F0B3"/>
      </w:r>
      <w:r w:rsidRPr="00BC0E7E">
        <w:rPr>
          <w:szCs w:val="20"/>
        </w:rPr>
        <w:t xml:space="preserve"> 220 and </w:t>
      </w:r>
      <w:r w:rsidRPr="00BC0E7E">
        <w:rPr>
          <w:rFonts w:ascii="Symbol" w:eastAsia="Symbol" w:hAnsi="Symbol" w:cs="Symbol"/>
          <w:szCs w:val="22"/>
        </w:rPr>
        <w:sym w:font="Symbol" w:char="F0A3"/>
      </w:r>
      <w:r w:rsidRPr="00BC0E7E">
        <w:rPr>
          <w:szCs w:val="20"/>
        </w:rPr>
        <w:t xml:space="preserve"> 450) in randomised, double-blind, placebo-controlled studies. Concomitant stable doses of aminosalicylates, corticosteroids, and/or immunomodulatory agents were permitted and 80% of patients continued to receive at least one of these medications. </w:t>
      </w:r>
    </w:p>
    <w:p w14:paraId="5748F8B0" w14:textId="77777777" w:rsidR="00BC0E7E" w:rsidRPr="00BC0E7E" w:rsidRDefault="00BC0E7E" w:rsidP="00BC0E7E">
      <w:pPr>
        <w:rPr>
          <w:szCs w:val="20"/>
        </w:rPr>
      </w:pPr>
    </w:p>
    <w:p w14:paraId="2579658F" w14:textId="77777777" w:rsidR="00BC0E7E" w:rsidRPr="00BC0E7E" w:rsidRDefault="00944B8F" w:rsidP="00BC0E7E">
      <w:pPr>
        <w:rPr>
          <w:szCs w:val="20"/>
        </w:rPr>
      </w:pPr>
      <w:r w:rsidRPr="00BC0E7E">
        <w:rPr>
          <w:szCs w:val="20"/>
        </w:rPr>
        <w:t>Induction of clinical remission (defined as CDAI &lt; 150) was evaluated in two studies, CD Study I (CLASSIC I) and CD Study II (GAIN). In CD Study I, 299 TNF-antagonist naive patients were randomised to one of four treatment groups; placebo at Weeks 0 and 2, 160 mg Humira at Week 0 and 80 mg at Week 2, 80 mg at Week 0 and 40 mg at Week 2, and 40 mg at Week 0 and 20 mg at Week 2. In CD Study II, 325 patients who had lost response or were intolerant to infliximab were randomised to receive either 160 mg Humira at Week 0 and 80 mg at Week 2 or placebo at Weeks 0 and 2. The primary non-responders were excluded from the studies and therefore these patients were not further evaluated.</w:t>
      </w:r>
    </w:p>
    <w:p w14:paraId="3D39EED3" w14:textId="77777777" w:rsidR="00BC0E7E" w:rsidRPr="00BC0E7E" w:rsidRDefault="00BC0E7E" w:rsidP="00BC0E7E">
      <w:pPr>
        <w:rPr>
          <w:szCs w:val="20"/>
        </w:rPr>
      </w:pPr>
    </w:p>
    <w:p w14:paraId="728BE041" w14:textId="77777777" w:rsidR="00BC0E7E" w:rsidRPr="00BC0E7E" w:rsidRDefault="00944B8F" w:rsidP="00BC0E7E">
      <w:pPr>
        <w:rPr>
          <w:szCs w:val="20"/>
        </w:rPr>
      </w:pPr>
      <w:r w:rsidRPr="00BC0E7E">
        <w:rPr>
          <w:szCs w:val="20"/>
        </w:rPr>
        <w:t xml:space="preserve">Maintenance of clinical remission was evaluated in CD study III (CHARM).  In CD Study III, 854 patients received open-label 80 mg at Week 0 and 40 mg at Week 2.  At Week 4 patients were randomised to 40 mg every other week, 40 mg every week, or placebo with a total study duration of 56 weeks. Patients in clinical response (decrease in CDAI ≥ 70) at Week 4 were stratified and analysed separately from those not in clinical response at Week 4.  Corticosteroid taper was permitted after Week 8. </w:t>
      </w:r>
    </w:p>
    <w:p w14:paraId="7B270204" w14:textId="77777777" w:rsidR="00BC0E7E" w:rsidRPr="00BC0E7E" w:rsidRDefault="00BC0E7E" w:rsidP="00BC0E7E">
      <w:pPr>
        <w:rPr>
          <w:szCs w:val="20"/>
        </w:rPr>
      </w:pPr>
    </w:p>
    <w:p w14:paraId="22853C94" w14:textId="77777777" w:rsidR="00BC0E7E" w:rsidRPr="00BC0E7E" w:rsidRDefault="00944B8F" w:rsidP="00BC0E7E">
      <w:pPr>
        <w:rPr>
          <w:szCs w:val="20"/>
        </w:rPr>
      </w:pPr>
      <w:r w:rsidRPr="00BC0E7E">
        <w:rPr>
          <w:szCs w:val="20"/>
        </w:rPr>
        <w:lastRenderedPageBreak/>
        <w:t xml:space="preserve">CD study I and CD study II induction of remission and response rates are presented in Table </w:t>
      </w:r>
      <w:r w:rsidR="006876B3">
        <w:rPr>
          <w:szCs w:val="20"/>
        </w:rPr>
        <w:t>2</w:t>
      </w:r>
      <w:r w:rsidR="00614ABC">
        <w:rPr>
          <w:szCs w:val="20"/>
        </w:rPr>
        <w:t>1</w:t>
      </w:r>
      <w:r w:rsidRPr="00BC0E7E">
        <w:rPr>
          <w:szCs w:val="20"/>
        </w:rPr>
        <w:t>.</w:t>
      </w:r>
    </w:p>
    <w:p w14:paraId="6C71CD9C" w14:textId="77777777" w:rsidR="00BC0E7E" w:rsidRPr="00BC0E7E" w:rsidRDefault="00BC0E7E" w:rsidP="00BC0E7E">
      <w:pPr>
        <w:rPr>
          <w:szCs w:val="20"/>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1"/>
        <w:gridCol w:w="1192"/>
        <w:gridCol w:w="1249"/>
        <w:gridCol w:w="1176"/>
        <w:gridCol w:w="1494"/>
        <w:gridCol w:w="1816"/>
      </w:tblGrid>
      <w:tr w:rsidR="00C6578C" w14:paraId="088EF3A8" w14:textId="77777777" w:rsidTr="00171601">
        <w:trPr>
          <w:cantSplit/>
        </w:trPr>
        <w:tc>
          <w:tcPr>
            <w:tcW w:w="9238" w:type="dxa"/>
            <w:gridSpan w:val="6"/>
            <w:tcBorders>
              <w:top w:val="nil"/>
              <w:left w:val="nil"/>
              <w:right w:val="nil"/>
            </w:tcBorders>
          </w:tcPr>
          <w:p w14:paraId="64E9BD53" w14:textId="77777777" w:rsidR="00BC0E7E" w:rsidRPr="008F4FD5" w:rsidRDefault="00944B8F" w:rsidP="008F4FD5">
            <w:pPr>
              <w:keepNext/>
              <w:keepLines/>
              <w:tabs>
                <w:tab w:val="clear" w:pos="562"/>
                <w:tab w:val="left" w:pos="360"/>
              </w:tabs>
              <w:spacing w:before="40" w:after="40" w:line="240" w:lineRule="exact"/>
              <w:jc w:val="center"/>
              <w:rPr>
                <w:bCs/>
                <w:szCs w:val="20"/>
              </w:rPr>
            </w:pPr>
            <w:r w:rsidRPr="00BC0E7E">
              <w:rPr>
                <w:b/>
                <w:bCs/>
                <w:szCs w:val="20"/>
              </w:rPr>
              <w:t xml:space="preserve">Table </w:t>
            </w:r>
            <w:r w:rsidR="006876B3">
              <w:rPr>
                <w:b/>
                <w:bCs/>
                <w:szCs w:val="20"/>
              </w:rPr>
              <w:t>2</w:t>
            </w:r>
            <w:r w:rsidR="00614ABC">
              <w:rPr>
                <w:b/>
                <w:bCs/>
                <w:szCs w:val="20"/>
              </w:rPr>
              <w:t>1</w:t>
            </w:r>
          </w:p>
          <w:p w14:paraId="76110978" w14:textId="77777777" w:rsidR="00BC0E7E" w:rsidRPr="008F4FD5" w:rsidRDefault="00944B8F" w:rsidP="008F4FD5">
            <w:pPr>
              <w:keepNext/>
              <w:keepLines/>
              <w:tabs>
                <w:tab w:val="clear" w:pos="562"/>
                <w:tab w:val="left" w:pos="360"/>
              </w:tabs>
              <w:spacing w:before="40" w:after="40" w:line="240" w:lineRule="exact"/>
              <w:jc w:val="center"/>
              <w:rPr>
                <w:bCs/>
                <w:szCs w:val="20"/>
              </w:rPr>
            </w:pPr>
            <w:r w:rsidRPr="00BC0E7E">
              <w:rPr>
                <w:b/>
                <w:bCs/>
                <w:szCs w:val="20"/>
              </w:rPr>
              <w:t>Induction of Clinical Remission and Response</w:t>
            </w:r>
          </w:p>
          <w:p w14:paraId="06A52527" w14:textId="77777777" w:rsidR="00BC0E7E" w:rsidRPr="00BC0E7E" w:rsidRDefault="00944B8F" w:rsidP="008F4FD5">
            <w:pPr>
              <w:keepNext/>
              <w:keepLines/>
              <w:tabs>
                <w:tab w:val="clear" w:pos="562"/>
                <w:tab w:val="left" w:pos="360"/>
              </w:tabs>
              <w:spacing w:before="40" w:after="40" w:line="240" w:lineRule="exact"/>
              <w:jc w:val="center"/>
              <w:rPr>
                <w:b/>
                <w:bCs/>
                <w:szCs w:val="20"/>
              </w:rPr>
            </w:pPr>
            <w:r w:rsidRPr="00BC0E7E">
              <w:rPr>
                <w:b/>
                <w:bCs/>
                <w:szCs w:val="20"/>
              </w:rPr>
              <w:t>(Percent of Patients)</w:t>
            </w:r>
          </w:p>
        </w:tc>
      </w:tr>
      <w:tr w:rsidR="00C6578C" w14:paraId="6874DFFE" w14:textId="77777777" w:rsidTr="00171601">
        <w:trPr>
          <w:cantSplit/>
        </w:trPr>
        <w:tc>
          <w:tcPr>
            <w:tcW w:w="2416" w:type="dxa"/>
          </w:tcPr>
          <w:p w14:paraId="6F262721" w14:textId="77777777" w:rsidR="00BC0E7E" w:rsidRPr="00BC0E7E" w:rsidRDefault="00BC0E7E" w:rsidP="008F4FD5">
            <w:pPr>
              <w:keepNext/>
              <w:keepLines/>
              <w:tabs>
                <w:tab w:val="clear" w:pos="562"/>
                <w:tab w:val="left" w:pos="360"/>
              </w:tabs>
              <w:spacing w:before="40" w:after="40" w:line="240" w:lineRule="exact"/>
              <w:rPr>
                <w:b/>
                <w:bCs/>
                <w:szCs w:val="20"/>
              </w:rPr>
            </w:pPr>
          </w:p>
        </w:tc>
        <w:tc>
          <w:tcPr>
            <w:tcW w:w="3412" w:type="dxa"/>
            <w:gridSpan w:val="3"/>
          </w:tcPr>
          <w:p w14:paraId="25B8188C" w14:textId="77777777" w:rsidR="00BC0E7E" w:rsidRPr="00BC0E7E" w:rsidRDefault="00944B8F" w:rsidP="008F4FD5">
            <w:pPr>
              <w:keepNext/>
              <w:keepLines/>
              <w:tabs>
                <w:tab w:val="clear" w:pos="562"/>
                <w:tab w:val="left" w:pos="360"/>
              </w:tabs>
              <w:spacing w:before="40" w:after="40" w:line="240" w:lineRule="exact"/>
              <w:rPr>
                <w:b/>
                <w:bCs/>
                <w:szCs w:val="20"/>
              </w:rPr>
            </w:pPr>
            <w:r w:rsidRPr="00BC0E7E">
              <w:rPr>
                <w:b/>
                <w:bCs/>
                <w:szCs w:val="20"/>
              </w:rPr>
              <w:t>CD Study I: Infliximab Naive Patients</w:t>
            </w:r>
          </w:p>
        </w:tc>
        <w:tc>
          <w:tcPr>
            <w:tcW w:w="3410" w:type="dxa"/>
            <w:gridSpan w:val="2"/>
          </w:tcPr>
          <w:p w14:paraId="22927A91" w14:textId="77777777" w:rsidR="00BC0E7E" w:rsidRPr="00BC0E7E" w:rsidRDefault="00944B8F" w:rsidP="008F4FD5">
            <w:pPr>
              <w:keepNext/>
              <w:keepLines/>
              <w:tabs>
                <w:tab w:val="clear" w:pos="562"/>
                <w:tab w:val="left" w:pos="360"/>
              </w:tabs>
              <w:spacing w:before="40" w:after="40" w:line="240" w:lineRule="exact"/>
              <w:rPr>
                <w:b/>
                <w:bCs/>
                <w:szCs w:val="20"/>
              </w:rPr>
            </w:pPr>
            <w:r w:rsidRPr="00BC0E7E">
              <w:rPr>
                <w:b/>
                <w:bCs/>
                <w:szCs w:val="20"/>
              </w:rPr>
              <w:t>CD Study II: Infliximab Experienced Patients</w:t>
            </w:r>
          </w:p>
        </w:tc>
      </w:tr>
      <w:tr w:rsidR="00C6578C" w14:paraId="7E24502F" w14:textId="77777777" w:rsidTr="00171601">
        <w:trPr>
          <w:cantSplit/>
        </w:trPr>
        <w:tc>
          <w:tcPr>
            <w:tcW w:w="2416" w:type="dxa"/>
          </w:tcPr>
          <w:p w14:paraId="66C212E0" w14:textId="77777777" w:rsidR="00BC0E7E" w:rsidRPr="00BC0E7E" w:rsidRDefault="00BC0E7E" w:rsidP="008F4FD5">
            <w:pPr>
              <w:keepNext/>
              <w:keepLines/>
              <w:tabs>
                <w:tab w:val="clear" w:pos="562"/>
                <w:tab w:val="left" w:pos="360"/>
              </w:tabs>
              <w:spacing w:before="40" w:after="40" w:line="240" w:lineRule="exact"/>
              <w:jc w:val="center"/>
              <w:rPr>
                <w:b/>
                <w:bCs/>
                <w:szCs w:val="20"/>
              </w:rPr>
            </w:pPr>
          </w:p>
        </w:tc>
        <w:tc>
          <w:tcPr>
            <w:tcW w:w="1212" w:type="dxa"/>
          </w:tcPr>
          <w:p w14:paraId="3E5B0207" w14:textId="77777777" w:rsidR="00BC0E7E" w:rsidRPr="00BC0E7E" w:rsidRDefault="00944B8F" w:rsidP="008F4FD5">
            <w:pPr>
              <w:keepNext/>
              <w:keepLines/>
              <w:tabs>
                <w:tab w:val="clear" w:pos="562"/>
                <w:tab w:val="left" w:pos="360"/>
              </w:tabs>
              <w:spacing w:before="40" w:after="40" w:line="240" w:lineRule="exact"/>
              <w:jc w:val="center"/>
              <w:rPr>
                <w:b/>
                <w:bCs/>
                <w:szCs w:val="20"/>
                <w:lang w:val="fr-FR"/>
              </w:rPr>
            </w:pPr>
            <w:r w:rsidRPr="00BC0E7E">
              <w:rPr>
                <w:b/>
                <w:bCs/>
                <w:szCs w:val="20"/>
                <w:lang w:val="fr-FR"/>
              </w:rPr>
              <w:t>Placebo</w:t>
            </w:r>
          </w:p>
          <w:p w14:paraId="44699A8A" w14:textId="77777777" w:rsidR="00BC0E7E" w:rsidRPr="00BC0E7E" w:rsidRDefault="00944B8F" w:rsidP="008F4FD5">
            <w:pPr>
              <w:keepNext/>
              <w:keepLines/>
              <w:tabs>
                <w:tab w:val="clear" w:pos="562"/>
                <w:tab w:val="left" w:pos="360"/>
              </w:tabs>
              <w:spacing w:before="40" w:after="40" w:line="240" w:lineRule="exact"/>
              <w:jc w:val="center"/>
              <w:rPr>
                <w:b/>
                <w:bCs/>
                <w:szCs w:val="20"/>
                <w:lang w:val="fr-FR"/>
              </w:rPr>
            </w:pPr>
            <w:r w:rsidRPr="00BC0E7E">
              <w:rPr>
                <w:b/>
                <w:bCs/>
                <w:szCs w:val="20"/>
                <w:lang w:val="fr-FR"/>
              </w:rPr>
              <w:t>N=74</w:t>
            </w:r>
          </w:p>
        </w:tc>
        <w:tc>
          <w:tcPr>
            <w:tcW w:w="1264" w:type="dxa"/>
          </w:tcPr>
          <w:p w14:paraId="225A6B5D" w14:textId="77777777" w:rsidR="00BC0E7E" w:rsidRPr="00BC0E7E" w:rsidRDefault="00944B8F" w:rsidP="008F4FD5">
            <w:pPr>
              <w:keepNext/>
              <w:keepLines/>
              <w:tabs>
                <w:tab w:val="clear" w:pos="562"/>
                <w:tab w:val="left" w:pos="360"/>
              </w:tabs>
              <w:spacing w:before="40" w:after="40" w:line="240" w:lineRule="exact"/>
              <w:jc w:val="center"/>
              <w:rPr>
                <w:b/>
                <w:bCs/>
                <w:szCs w:val="20"/>
                <w:lang w:val="fr-FR"/>
              </w:rPr>
            </w:pPr>
            <w:r w:rsidRPr="00BC0E7E">
              <w:rPr>
                <w:b/>
                <w:bCs/>
                <w:szCs w:val="20"/>
                <w:lang w:val="fr-FR"/>
              </w:rPr>
              <w:t>Humira</w:t>
            </w:r>
          </w:p>
          <w:p w14:paraId="01D5905A" w14:textId="77777777" w:rsidR="00BC0E7E" w:rsidRPr="00BC0E7E" w:rsidRDefault="00944B8F" w:rsidP="008F4FD5">
            <w:pPr>
              <w:keepNext/>
              <w:keepLines/>
              <w:tabs>
                <w:tab w:val="clear" w:pos="562"/>
                <w:tab w:val="left" w:pos="360"/>
              </w:tabs>
              <w:spacing w:before="40" w:after="40" w:line="240" w:lineRule="exact"/>
              <w:jc w:val="center"/>
              <w:rPr>
                <w:b/>
                <w:bCs/>
                <w:szCs w:val="20"/>
                <w:lang w:val="fr-FR"/>
              </w:rPr>
            </w:pPr>
            <w:r w:rsidRPr="00BC0E7E">
              <w:rPr>
                <w:b/>
                <w:bCs/>
                <w:szCs w:val="20"/>
                <w:lang w:val="fr-FR"/>
              </w:rPr>
              <w:t>80/40 mg</w:t>
            </w:r>
          </w:p>
          <w:p w14:paraId="790F7DB2" w14:textId="77777777" w:rsidR="00BC0E7E" w:rsidRPr="00BC0E7E" w:rsidRDefault="00944B8F" w:rsidP="008F4FD5">
            <w:pPr>
              <w:keepNext/>
              <w:keepLines/>
              <w:tabs>
                <w:tab w:val="clear" w:pos="562"/>
                <w:tab w:val="left" w:pos="360"/>
              </w:tabs>
              <w:spacing w:before="40" w:after="40" w:line="240" w:lineRule="exact"/>
              <w:jc w:val="center"/>
              <w:rPr>
                <w:b/>
                <w:bCs/>
                <w:szCs w:val="20"/>
                <w:lang w:val="fr-FR"/>
              </w:rPr>
            </w:pPr>
            <w:r w:rsidRPr="00BC0E7E">
              <w:rPr>
                <w:b/>
                <w:bCs/>
                <w:szCs w:val="20"/>
                <w:lang w:val="fr-FR"/>
              </w:rPr>
              <w:t>N = 75</w:t>
            </w:r>
          </w:p>
        </w:tc>
        <w:tc>
          <w:tcPr>
            <w:tcW w:w="936" w:type="dxa"/>
          </w:tcPr>
          <w:p w14:paraId="62560DED" w14:textId="77777777" w:rsidR="00BC0E7E" w:rsidRPr="00BC0E7E" w:rsidRDefault="00944B8F" w:rsidP="008F4FD5">
            <w:pPr>
              <w:keepNext/>
              <w:keepLines/>
              <w:tabs>
                <w:tab w:val="clear" w:pos="562"/>
                <w:tab w:val="left" w:pos="360"/>
              </w:tabs>
              <w:spacing w:before="40" w:after="40" w:line="240" w:lineRule="exact"/>
              <w:jc w:val="center"/>
              <w:rPr>
                <w:b/>
                <w:bCs/>
                <w:szCs w:val="20"/>
                <w:lang w:val="fr-FR"/>
              </w:rPr>
            </w:pPr>
            <w:r w:rsidRPr="00BC0E7E">
              <w:rPr>
                <w:b/>
                <w:bCs/>
                <w:szCs w:val="20"/>
                <w:lang w:val="fr-FR"/>
              </w:rPr>
              <w:t xml:space="preserve">Humira </w:t>
            </w:r>
          </w:p>
          <w:p w14:paraId="1A611C09" w14:textId="77777777" w:rsidR="00BC0E7E" w:rsidRPr="00BC0E7E" w:rsidRDefault="00944B8F" w:rsidP="008F4FD5">
            <w:pPr>
              <w:keepNext/>
              <w:keepLines/>
              <w:tabs>
                <w:tab w:val="clear" w:pos="562"/>
                <w:tab w:val="left" w:pos="360"/>
              </w:tabs>
              <w:spacing w:before="40" w:after="40" w:line="240" w:lineRule="exact"/>
              <w:jc w:val="center"/>
              <w:rPr>
                <w:b/>
                <w:bCs/>
                <w:szCs w:val="20"/>
                <w:lang w:val="fr-FR"/>
              </w:rPr>
            </w:pPr>
            <w:r w:rsidRPr="00BC0E7E">
              <w:rPr>
                <w:b/>
                <w:bCs/>
                <w:szCs w:val="20"/>
                <w:lang w:val="fr-FR"/>
              </w:rPr>
              <w:t>160/80 mg N=76</w:t>
            </w:r>
          </w:p>
        </w:tc>
        <w:tc>
          <w:tcPr>
            <w:tcW w:w="1540" w:type="dxa"/>
          </w:tcPr>
          <w:p w14:paraId="1A7D3E11" w14:textId="77777777" w:rsidR="00BC0E7E" w:rsidRPr="00BC0E7E" w:rsidRDefault="00944B8F" w:rsidP="008F4FD5">
            <w:pPr>
              <w:keepNext/>
              <w:keepLines/>
              <w:tabs>
                <w:tab w:val="clear" w:pos="562"/>
                <w:tab w:val="left" w:pos="360"/>
              </w:tabs>
              <w:spacing w:before="40" w:after="40" w:line="240" w:lineRule="exact"/>
              <w:jc w:val="center"/>
              <w:rPr>
                <w:b/>
                <w:bCs/>
                <w:szCs w:val="20"/>
                <w:lang w:val="fr-FR"/>
              </w:rPr>
            </w:pPr>
            <w:r w:rsidRPr="00BC0E7E">
              <w:rPr>
                <w:b/>
                <w:bCs/>
                <w:szCs w:val="20"/>
                <w:lang w:val="fr-FR"/>
              </w:rPr>
              <w:t>Placebo</w:t>
            </w:r>
          </w:p>
          <w:p w14:paraId="51C2DFE0" w14:textId="77777777" w:rsidR="00BC0E7E" w:rsidRPr="00BC0E7E" w:rsidRDefault="00944B8F" w:rsidP="008F4FD5">
            <w:pPr>
              <w:keepNext/>
              <w:keepLines/>
              <w:tabs>
                <w:tab w:val="clear" w:pos="562"/>
                <w:tab w:val="left" w:pos="360"/>
              </w:tabs>
              <w:spacing w:before="40" w:after="40" w:line="240" w:lineRule="exact"/>
              <w:jc w:val="center"/>
              <w:rPr>
                <w:b/>
                <w:bCs/>
                <w:szCs w:val="20"/>
                <w:lang w:val="fr-FR"/>
              </w:rPr>
            </w:pPr>
            <w:r w:rsidRPr="00BC0E7E">
              <w:rPr>
                <w:b/>
                <w:bCs/>
                <w:szCs w:val="20"/>
                <w:lang w:val="fr-FR"/>
              </w:rPr>
              <w:t>N=166</w:t>
            </w:r>
          </w:p>
        </w:tc>
        <w:tc>
          <w:tcPr>
            <w:tcW w:w="1870" w:type="dxa"/>
          </w:tcPr>
          <w:p w14:paraId="3C137C14" w14:textId="77777777" w:rsidR="00BC0E7E" w:rsidRPr="00BC0E7E" w:rsidRDefault="00944B8F" w:rsidP="008F4FD5">
            <w:pPr>
              <w:keepNext/>
              <w:keepLines/>
              <w:tabs>
                <w:tab w:val="clear" w:pos="562"/>
                <w:tab w:val="left" w:pos="360"/>
              </w:tabs>
              <w:spacing w:before="40" w:after="40" w:line="240" w:lineRule="exact"/>
              <w:jc w:val="center"/>
              <w:rPr>
                <w:b/>
                <w:bCs/>
                <w:szCs w:val="20"/>
                <w:lang w:val="fr-FR"/>
              </w:rPr>
            </w:pPr>
            <w:r w:rsidRPr="00BC0E7E">
              <w:rPr>
                <w:b/>
                <w:bCs/>
                <w:szCs w:val="20"/>
                <w:lang w:val="fr-FR"/>
              </w:rPr>
              <w:t xml:space="preserve">Humira </w:t>
            </w:r>
          </w:p>
          <w:p w14:paraId="528BCDBA" w14:textId="77777777" w:rsidR="00BC0E7E" w:rsidRPr="00BC0E7E" w:rsidRDefault="00944B8F" w:rsidP="008F4FD5">
            <w:pPr>
              <w:keepNext/>
              <w:keepLines/>
              <w:tabs>
                <w:tab w:val="clear" w:pos="562"/>
                <w:tab w:val="left" w:pos="360"/>
              </w:tabs>
              <w:spacing w:before="40" w:after="40" w:line="240" w:lineRule="exact"/>
              <w:jc w:val="center"/>
              <w:rPr>
                <w:b/>
                <w:bCs/>
                <w:szCs w:val="20"/>
                <w:lang w:val="fr-FR"/>
              </w:rPr>
            </w:pPr>
            <w:r w:rsidRPr="00BC0E7E">
              <w:rPr>
                <w:b/>
                <w:bCs/>
                <w:szCs w:val="20"/>
                <w:lang w:val="fr-FR"/>
              </w:rPr>
              <w:t>160/80 mg</w:t>
            </w:r>
          </w:p>
          <w:p w14:paraId="586036D4" w14:textId="77777777" w:rsidR="00BC0E7E" w:rsidRPr="00BC0E7E" w:rsidRDefault="00944B8F" w:rsidP="008F4FD5">
            <w:pPr>
              <w:keepNext/>
              <w:keepLines/>
              <w:tabs>
                <w:tab w:val="clear" w:pos="562"/>
                <w:tab w:val="left" w:pos="360"/>
              </w:tabs>
              <w:spacing w:before="40" w:after="40" w:line="240" w:lineRule="exact"/>
              <w:jc w:val="center"/>
              <w:rPr>
                <w:b/>
                <w:bCs/>
                <w:szCs w:val="20"/>
              </w:rPr>
            </w:pPr>
            <w:r w:rsidRPr="00BC0E7E">
              <w:rPr>
                <w:b/>
                <w:bCs/>
                <w:szCs w:val="20"/>
              </w:rPr>
              <w:t>N=159</w:t>
            </w:r>
          </w:p>
        </w:tc>
      </w:tr>
      <w:tr w:rsidR="00C6578C" w14:paraId="0E9B66AE" w14:textId="77777777" w:rsidTr="00171601">
        <w:trPr>
          <w:cantSplit/>
        </w:trPr>
        <w:tc>
          <w:tcPr>
            <w:tcW w:w="2416" w:type="dxa"/>
            <w:vAlign w:val="bottom"/>
          </w:tcPr>
          <w:p w14:paraId="52250DDD" w14:textId="77777777" w:rsidR="00BC0E7E" w:rsidRPr="00BC0E7E" w:rsidRDefault="00944B8F" w:rsidP="008F4FD5">
            <w:pPr>
              <w:keepNext/>
              <w:keepLines/>
              <w:tabs>
                <w:tab w:val="clear" w:pos="562"/>
                <w:tab w:val="left" w:pos="360"/>
              </w:tabs>
              <w:spacing w:before="40" w:after="40" w:line="240" w:lineRule="exact"/>
              <w:rPr>
                <w:szCs w:val="20"/>
              </w:rPr>
            </w:pPr>
            <w:r w:rsidRPr="00BC0E7E">
              <w:rPr>
                <w:szCs w:val="20"/>
              </w:rPr>
              <w:t>Week 4</w:t>
            </w:r>
          </w:p>
        </w:tc>
        <w:tc>
          <w:tcPr>
            <w:tcW w:w="1212" w:type="dxa"/>
            <w:vAlign w:val="bottom"/>
          </w:tcPr>
          <w:p w14:paraId="7291BB9D" w14:textId="77777777" w:rsidR="00BC0E7E" w:rsidRPr="00BC0E7E" w:rsidRDefault="00BC0E7E" w:rsidP="008F4FD5">
            <w:pPr>
              <w:keepNext/>
              <w:keepLines/>
              <w:tabs>
                <w:tab w:val="clear" w:pos="562"/>
                <w:tab w:val="left" w:pos="360"/>
              </w:tabs>
              <w:spacing w:before="40" w:after="40" w:line="240" w:lineRule="exact"/>
              <w:rPr>
                <w:szCs w:val="20"/>
              </w:rPr>
            </w:pPr>
          </w:p>
        </w:tc>
        <w:tc>
          <w:tcPr>
            <w:tcW w:w="1264" w:type="dxa"/>
            <w:vAlign w:val="bottom"/>
          </w:tcPr>
          <w:p w14:paraId="5BD75831" w14:textId="77777777" w:rsidR="00BC0E7E" w:rsidRPr="00BC0E7E" w:rsidRDefault="00BC0E7E" w:rsidP="008F4FD5">
            <w:pPr>
              <w:keepNext/>
              <w:keepLines/>
              <w:tabs>
                <w:tab w:val="clear" w:pos="562"/>
                <w:tab w:val="left" w:pos="360"/>
              </w:tabs>
              <w:spacing w:before="40" w:after="40" w:line="240" w:lineRule="exact"/>
              <w:rPr>
                <w:szCs w:val="20"/>
              </w:rPr>
            </w:pPr>
          </w:p>
        </w:tc>
        <w:tc>
          <w:tcPr>
            <w:tcW w:w="936" w:type="dxa"/>
            <w:vAlign w:val="bottom"/>
          </w:tcPr>
          <w:p w14:paraId="6F5F27D7" w14:textId="77777777" w:rsidR="00BC0E7E" w:rsidRPr="00BC0E7E" w:rsidRDefault="00BC0E7E" w:rsidP="008F4FD5">
            <w:pPr>
              <w:keepNext/>
              <w:keepLines/>
              <w:tabs>
                <w:tab w:val="clear" w:pos="562"/>
                <w:tab w:val="left" w:pos="360"/>
              </w:tabs>
              <w:spacing w:before="40" w:after="40" w:line="240" w:lineRule="exact"/>
              <w:rPr>
                <w:szCs w:val="20"/>
              </w:rPr>
            </w:pPr>
          </w:p>
        </w:tc>
        <w:tc>
          <w:tcPr>
            <w:tcW w:w="1540" w:type="dxa"/>
            <w:vAlign w:val="bottom"/>
          </w:tcPr>
          <w:p w14:paraId="30884D5B" w14:textId="77777777" w:rsidR="00BC0E7E" w:rsidRPr="00BC0E7E" w:rsidRDefault="00BC0E7E" w:rsidP="008F4FD5">
            <w:pPr>
              <w:keepNext/>
              <w:keepLines/>
              <w:tabs>
                <w:tab w:val="clear" w:pos="562"/>
                <w:tab w:val="left" w:pos="360"/>
              </w:tabs>
              <w:spacing w:before="40" w:after="40" w:line="240" w:lineRule="exact"/>
              <w:rPr>
                <w:szCs w:val="20"/>
              </w:rPr>
            </w:pPr>
          </w:p>
        </w:tc>
        <w:tc>
          <w:tcPr>
            <w:tcW w:w="1870" w:type="dxa"/>
            <w:vAlign w:val="bottom"/>
          </w:tcPr>
          <w:p w14:paraId="780C6569" w14:textId="77777777" w:rsidR="00BC0E7E" w:rsidRPr="00BC0E7E" w:rsidRDefault="00BC0E7E" w:rsidP="008F4FD5">
            <w:pPr>
              <w:keepNext/>
              <w:keepLines/>
              <w:tabs>
                <w:tab w:val="clear" w:pos="562"/>
                <w:tab w:val="left" w:pos="360"/>
              </w:tabs>
              <w:spacing w:before="40" w:after="40" w:line="240" w:lineRule="exact"/>
              <w:rPr>
                <w:szCs w:val="20"/>
              </w:rPr>
            </w:pPr>
          </w:p>
        </w:tc>
      </w:tr>
      <w:tr w:rsidR="00C6578C" w14:paraId="5BE98D77" w14:textId="77777777" w:rsidTr="00171601">
        <w:trPr>
          <w:cantSplit/>
        </w:trPr>
        <w:tc>
          <w:tcPr>
            <w:tcW w:w="2416" w:type="dxa"/>
            <w:vAlign w:val="bottom"/>
          </w:tcPr>
          <w:p w14:paraId="7ABEECA9" w14:textId="77777777" w:rsidR="00BC0E7E" w:rsidRPr="00BC0E7E" w:rsidRDefault="00944B8F" w:rsidP="008F4FD5">
            <w:pPr>
              <w:keepNext/>
              <w:keepLines/>
              <w:tabs>
                <w:tab w:val="clear" w:pos="562"/>
                <w:tab w:val="left" w:pos="360"/>
              </w:tabs>
              <w:spacing w:before="40" w:after="40" w:line="240" w:lineRule="exact"/>
              <w:rPr>
                <w:szCs w:val="20"/>
              </w:rPr>
            </w:pPr>
            <w:r w:rsidRPr="00BC0E7E">
              <w:rPr>
                <w:szCs w:val="20"/>
              </w:rPr>
              <w:t>Clinical remission</w:t>
            </w:r>
          </w:p>
        </w:tc>
        <w:tc>
          <w:tcPr>
            <w:tcW w:w="1212" w:type="dxa"/>
            <w:vAlign w:val="bottom"/>
          </w:tcPr>
          <w:p w14:paraId="098A0C3B" w14:textId="77777777" w:rsidR="00BC0E7E" w:rsidRPr="00BC0E7E" w:rsidRDefault="00944B8F" w:rsidP="008F4FD5">
            <w:pPr>
              <w:keepNext/>
              <w:keepLines/>
              <w:tabs>
                <w:tab w:val="clear" w:pos="562"/>
                <w:tab w:val="left" w:pos="360"/>
              </w:tabs>
              <w:spacing w:before="40" w:after="40" w:line="240" w:lineRule="exact"/>
              <w:jc w:val="center"/>
              <w:rPr>
                <w:szCs w:val="20"/>
              </w:rPr>
            </w:pPr>
            <w:r w:rsidRPr="00BC0E7E">
              <w:rPr>
                <w:szCs w:val="20"/>
              </w:rPr>
              <w:t>12%</w:t>
            </w:r>
          </w:p>
        </w:tc>
        <w:tc>
          <w:tcPr>
            <w:tcW w:w="1264" w:type="dxa"/>
            <w:vAlign w:val="bottom"/>
          </w:tcPr>
          <w:p w14:paraId="1003D83A" w14:textId="77777777" w:rsidR="00BC0E7E" w:rsidRPr="00BC0E7E" w:rsidRDefault="00944B8F" w:rsidP="008F4FD5">
            <w:pPr>
              <w:keepNext/>
              <w:keepLines/>
              <w:tabs>
                <w:tab w:val="clear" w:pos="562"/>
                <w:tab w:val="left" w:pos="360"/>
              </w:tabs>
              <w:spacing w:before="40" w:after="40" w:line="240" w:lineRule="exact"/>
              <w:jc w:val="center"/>
              <w:rPr>
                <w:bCs/>
                <w:iCs/>
                <w:szCs w:val="20"/>
              </w:rPr>
            </w:pPr>
            <w:r w:rsidRPr="00BC0E7E">
              <w:rPr>
                <w:bCs/>
                <w:iCs/>
                <w:szCs w:val="20"/>
              </w:rPr>
              <w:t>24%</w:t>
            </w:r>
          </w:p>
        </w:tc>
        <w:tc>
          <w:tcPr>
            <w:tcW w:w="936" w:type="dxa"/>
            <w:vAlign w:val="bottom"/>
          </w:tcPr>
          <w:p w14:paraId="7E8AE3A9" w14:textId="77777777" w:rsidR="00BC0E7E" w:rsidRPr="00BC0E7E" w:rsidRDefault="00944B8F" w:rsidP="008F4FD5">
            <w:pPr>
              <w:keepNext/>
              <w:keepLines/>
              <w:tabs>
                <w:tab w:val="clear" w:pos="562"/>
                <w:tab w:val="left" w:pos="360"/>
              </w:tabs>
              <w:spacing w:before="40" w:after="40" w:line="240" w:lineRule="exact"/>
              <w:jc w:val="center"/>
              <w:rPr>
                <w:bCs/>
                <w:iCs/>
                <w:szCs w:val="20"/>
              </w:rPr>
            </w:pPr>
            <w:r w:rsidRPr="00BC0E7E">
              <w:rPr>
                <w:szCs w:val="20"/>
              </w:rPr>
              <w:t>36%</w:t>
            </w:r>
            <w:r w:rsidRPr="00BC0E7E">
              <w:rPr>
                <w:szCs w:val="20"/>
                <w:vertAlign w:val="superscript"/>
              </w:rPr>
              <w:t>*</w:t>
            </w:r>
          </w:p>
        </w:tc>
        <w:tc>
          <w:tcPr>
            <w:tcW w:w="1540" w:type="dxa"/>
            <w:vAlign w:val="bottom"/>
          </w:tcPr>
          <w:p w14:paraId="314CCC3F" w14:textId="77777777" w:rsidR="00BC0E7E" w:rsidRPr="00BC0E7E" w:rsidRDefault="00944B8F" w:rsidP="008F4FD5">
            <w:pPr>
              <w:keepNext/>
              <w:keepLines/>
              <w:tabs>
                <w:tab w:val="clear" w:pos="562"/>
                <w:tab w:val="left" w:pos="360"/>
              </w:tabs>
              <w:spacing w:before="40" w:after="40" w:line="240" w:lineRule="exact"/>
              <w:jc w:val="center"/>
              <w:rPr>
                <w:szCs w:val="20"/>
              </w:rPr>
            </w:pPr>
            <w:r w:rsidRPr="00BC0E7E">
              <w:rPr>
                <w:szCs w:val="20"/>
              </w:rPr>
              <w:t>7%</w:t>
            </w:r>
          </w:p>
        </w:tc>
        <w:tc>
          <w:tcPr>
            <w:tcW w:w="1870" w:type="dxa"/>
            <w:vAlign w:val="bottom"/>
          </w:tcPr>
          <w:p w14:paraId="6A445E7B" w14:textId="77777777" w:rsidR="00BC0E7E" w:rsidRPr="00BC0E7E" w:rsidRDefault="00944B8F" w:rsidP="008F4FD5">
            <w:pPr>
              <w:keepNext/>
              <w:keepLines/>
              <w:tabs>
                <w:tab w:val="clear" w:pos="562"/>
                <w:tab w:val="left" w:pos="360"/>
              </w:tabs>
              <w:spacing w:before="40" w:after="40" w:line="240" w:lineRule="exact"/>
              <w:jc w:val="center"/>
              <w:rPr>
                <w:szCs w:val="20"/>
              </w:rPr>
            </w:pPr>
            <w:r w:rsidRPr="00BC0E7E">
              <w:rPr>
                <w:szCs w:val="20"/>
              </w:rPr>
              <w:t>21%</w:t>
            </w:r>
            <w:r w:rsidRPr="00BC0E7E">
              <w:rPr>
                <w:szCs w:val="20"/>
                <w:vertAlign w:val="superscript"/>
              </w:rPr>
              <w:t>*</w:t>
            </w:r>
          </w:p>
        </w:tc>
      </w:tr>
      <w:tr w:rsidR="00C6578C" w14:paraId="3E7B91A4" w14:textId="77777777" w:rsidTr="00171601">
        <w:trPr>
          <w:cantSplit/>
        </w:trPr>
        <w:tc>
          <w:tcPr>
            <w:tcW w:w="2416" w:type="dxa"/>
          </w:tcPr>
          <w:p w14:paraId="29E506F1" w14:textId="77777777" w:rsidR="00BC0E7E" w:rsidRPr="00BC0E7E" w:rsidRDefault="00944B8F" w:rsidP="008F4FD5">
            <w:pPr>
              <w:keepNext/>
              <w:keepLines/>
              <w:tabs>
                <w:tab w:val="clear" w:pos="562"/>
                <w:tab w:val="left" w:pos="360"/>
              </w:tabs>
              <w:spacing w:before="40" w:after="40" w:line="240" w:lineRule="exact"/>
              <w:rPr>
                <w:szCs w:val="20"/>
              </w:rPr>
            </w:pPr>
            <w:r w:rsidRPr="00BC0E7E">
              <w:rPr>
                <w:szCs w:val="20"/>
              </w:rPr>
              <w:t>Clinical response (CR-100)</w:t>
            </w:r>
          </w:p>
        </w:tc>
        <w:tc>
          <w:tcPr>
            <w:tcW w:w="1212" w:type="dxa"/>
          </w:tcPr>
          <w:p w14:paraId="524816EE" w14:textId="77777777" w:rsidR="00BC0E7E" w:rsidRPr="00BC0E7E" w:rsidRDefault="00944B8F" w:rsidP="008F4FD5">
            <w:pPr>
              <w:keepNext/>
              <w:keepLines/>
              <w:tabs>
                <w:tab w:val="clear" w:pos="562"/>
                <w:tab w:val="left" w:pos="360"/>
              </w:tabs>
              <w:spacing w:before="40" w:after="40" w:line="240" w:lineRule="exact"/>
              <w:jc w:val="center"/>
              <w:rPr>
                <w:szCs w:val="20"/>
              </w:rPr>
            </w:pPr>
            <w:r w:rsidRPr="00BC0E7E">
              <w:rPr>
                <w:szCs w:val="20"/>
              </w:rPr>
              <w:t>24%</w:t>
            </w:r>
          </w:p>
        </w:tc>
        <w:tc>
          <w:tcPr>
            <w:tcW w:w="1264" w:type="dxa"/>
          </w:tcPr>
          <w:p w14:paraId="32A477F6" w14:textId="77777777" w:rsidR="00BC0E7E" w:rsidRPr="00BC0E7E" w:rsidRDefault="00944B8F" w:rsidP="008F4FD5">
            <w:pPr>
              <w:keepNext/>
              <w:keepLines/>
              <w:tabs>
                <w:tab w:val="clear" w:pos="562"/>
                <w:tab w:val="left" w:pos="360"/>
              </w:tabs>
              <w:spacing w:before="40" w:after="40" w:line="240" w:lineRule="exact"/>
              <w:jc w:val="center"/>
              <w:rPr>
                <w:szCs w:val="20"/>
              </w:rPr>
            </w:pPr>
            <w:r w:rsidRPr="00BC0E7E">
              <w:rPr>
                <w:szCs w:val="20"/>
              </w:rPr>
              <w:t>37%</w:t>
            </w:r>
          </w:p>
        </w:tc>
        <w:tc>
          <w:tcPr>
            <w:tcW w:w="936" w:type="dxa"/>
          </w:tcPr>
          <w:p w14:paraId="6A9AE77D" w14:textId="77777777" w:rsidR="00BC0E7E" w:rsidRPr="00BC0E7E" w:rsidRDefault="00944B8F" w:rsidP="008F4FD5">
            <w:pPr>
              <w:keepNext/>
              <w:keepLines/>
              <w:tabs>
                <w:tab w:val="clear" w:pos="562"/>
                <w:tab w:val="left" w:pos="360"/>
              </w:tabs>
              <w:spacing w:before="40" w:after="40" w:line="240" w:lineRule="exact"/>
              <w:jc w:val="center"/>
              <w:rPr>
                <w:szCs w:val="20"/>
              </w:rPr>
            </w:pPr>
            <w:r w:rsidRPr="00BC0E7E">
              <w:rPr>
                <w:szCs w:val="20"/>
              </w:rPr>
              <w:t>49%</w:t>
            </w:r>
            <w:r w:rsidRPr="00BC0E7E">
              <w:rPr>
                <w:szCs w:val="20"/>
                <w:vertAlign w:val="superscript"/>
              </w:rPr>
              <w:t>**</w:t>
            </w:r>
          </w:p>
        </w:tc>
        <w:tc>
          <w:tcPr>
            <w:tcW w:w="1540" w:type="dxa"/>
          </w:tcPr>
          <w:p w14:paraId="53AF9F6B" w14:textId="77777777" w:rsidR="00BC0E7E" w:rsidRPr="00BC0E7E" w:rsidRDefault="00944B8F" w:rsidP="008F4FD5">
            <w:pPr>
              <w:keepNext/>
              <w:keepLines/>
              <w:tabs>
                <w:tab w:val="clear" w:pos="562"/>
                <w:tab w:val="left" w:pos="360"/>
              </w:tabs>
              <w:spacing w:before="40" w:after="40" w:line="240" w:lineRule="exact"/>
              <w:jc w:val="center"/>
              <w:rPr>
                <w:szCs w:val="20"/>
              </w:rPr>
            </w:pPr>
            <w:r w:rsidRPr="00BC0E7E">
              <w:rPr>
                <w:szCs w:val="20"/>
              </w:rPr>
              <w:t>25%</w:t>
            </w:r>
          </w:p>
        </w:tc>
        <w:tc>
          <w:tcPr>
            <w:tcW w:w="1870" w:type="dxa"/>
          </w:tcPr>
          <w:p w14:paraId="1383B320" w14:textId="77777777" w:rsidR="00BC0E7E" w:rsidRPr="00BC0E7E" w:rsidRDefault="00944B8F" w:rsidP="008F4FD5">
            <w:pPr>
              <w:keepNext/>
              <w:keepLines/>
              <w:tabs>
                <w:tab w:val="clear" w:pos="562"/>
                <w:tab w:val="left" w:pos="360"/>
              </w:tabs>
              <w:spacing w:before="40" w:after="40" w:line="240" w:lineRule="exact"/>
              <w:jc w:val="center"/>
              <w:rPr>
                <w:szCs w:val="20"/>
              </w:rPr>
            </w:pPr>
            <w:r w:rsidRPr="00BC0E7E">
              <w:rPr>
                <w:szCs w:val="20"/>
              </w:rPr>
              <w:t>38%</w:t>
            </w:r>
            <w:r w:rsidRPr="00BC0E7E">
              <w:rPr>
                <w:szCs w:val="20"/>
                <w:vertAlign w:val="superscript"/>
              </w:rPr>
              <w:t>**</w:t>
            </w:r>
          </w:p>
        </w:tc>
      </w:tr>
      <w:tr w:rsidR="00C6578C" w14:paraId="1322CEE7" w14:textId="77777777" w:rsidTr="00171601">
        <w:trPr>
          <w:cantSplit/>
        </w:trPr>
        <w:tc>
          <w:tcPr>
            <w:tcW w:w="9238" w:type="dxa"/>
            <w:gridSpan w:val="6"/>
            <w:tcBorders>
              <w:left w:val="nil"/>
              <w:bottom w:val="nil"/>
              <w:right w:val="nil"/>
            </w:tcBorders>
          </w:tcPr>
          <w:p w14:paraId="258F1134" w14:textId="77777777" w:rsidR="00BC0E7E" w:rsidRPr="00BC0E7E" w:rsidRDefault="00944B8F" w:rsidP="008F4FD5">
            <w:pPr>
              <w:keepNext/>
              <w:keepLines/>
              <w:tabs>
                <w:tab w:val="clear" w:pos="562"/>
                <w:tab w:val="left" w:pos="360"/>
              </w:tabs>
              <w:spacing w:before="40" w:after="40" w:line="240" w:lineRule="exact"/>
              <w:rPr>
                <w:szCs w:val="20"/>
              </w:rPr>
            </w:pPr>
            <w:r w:rsidRPr="00BC0E7E">
              <w:rPr>
                <w:szCs w:val="20"/>
              </w:rPr>
              <w:t xml:space="preserve">All p-values are pairwise comparisons of proportions for Humira </w:t>
            </w:r>
            <w:r w:rsidRPr="00BC0E7E">
              <w:rPr>
                <w:i/>
                <w:iCs/>
                <w:szCs w:val="20"/>
              </w:rPr>
              <w:t>versus</w:t>
            </w:r>
            <w:r w:rsidRPr="00BC0E7E">
              <w:rPr>
                <w:szCs w:val="20"/>
              </w:rPr>
              <w:t xml:space="preserve"> placebo</w:t>
            </w:r>
          </w:p>
          <w:p w14:paraId="7C93BC72" w14:textId="77777777" w:rsidR="00BC0E7E" w:rsidRPr="00BC0E7E" w:rsidRDefault="00944B8F" w:rsidP="008F4FD5">
            <w:pPr>
              <w:keepNext/>
              <w:keepLines/>
              <w:tabs>
                <w:tab w:val="clear" w:pos="562"/>
                <w:tab w:val="left" w:pos="360"/>
              </w:tabs>
              <w:spacing w:before="40" w:after="40" w:line="240" w:lineRule="exact"/>
              <w:rPr>
                <w:szCs w:val="20"/>
              </w:rPr>
            </w:pPr>
            <w:r w:rsidRPr="00BC0E7E">
              <w:rPr>
                <w:szCs w:val="20"/>
                <w:vertAlign w:val="superscript"/>
              </w:rPr>
              <w:t>*</w:t>
            </w:r>
            <w:r w:rsidRPr="00BC0E7E">
              <w:rPr>
                <w:szCs w:val="20"/>
              </w:rPr>
              <w:tab/>
              <w:t>p &lt; 0.001</w:t>
            </w:r>
          </w:p>
          <w:p w14:paraId="4AB16955" w14:textId="77777777" w:rsidR="00BC0E7E" w:rsidRPr="00BC0E7E" w:rsidRDefault="00944B8F" w:rsidP="008F4FD5">
            <w:pPr>
              <w:keepNext/>
              <w:keepLines/>
              <w:tabs>
                <w:tab w:val="clear" w:pos="562"/>
                <w:tab w:val="left" w:pos="360"/>
              </w:tabs>
              <w:spacing w:before="40" w:after="40" w:line="240" w:lineRule="exact"/>
              <w:rPr>
                <w:szCs w:val="20"/>
              </w:rPr>
            </w:pPr>
            <w:r w:rsidRPr="00BC0E7E">
              <w:rPr>
                <w:szCs w:val="20"/>
                <w:vertAlign w:val="superscript"/>
              </w:rPr>
              <w:t>**</w:t>
            </w:r>
            <w:r w:rsidRPr="00BC0E7E">
              <w:rPr>
                <w:szCs w:val="20"/>
              </w:rPr>
              <w:tab/>
              <w:t>p &lt; 0.01</w:t>
            </w:r>
          </w:p>
        </w:tc>
      </w:tr>
    </w:tbl>
    <w:p w14:paraId="39683269" w14:textId="77777777" w:rsidR="00BC0E7E" w:rsidRPr="00BC0E7E" w:rsidRDefault="00BC0E7E" w:rsidP="00BC0E7E">
      <w:pPr>
        <w:rPr>
          <w:szCs w:val="20"/>
        </w:rPr>
      </w:pPr>
    </w:p>
    <w:p w14:paraId="6D62AC5A" w14:textId="77777777" w:rsidR="00BC0E7E" w:rsidRPr="00BC0E7E" w:rsidRDefault="00944B8F" w:rsidP="00BC0E7E">
      <w:pPr>
        <w:rPr>
          <w:szCs w:val="20"/>
        </w:rPr>
      </w:pPr>
      <w:r w:rsidRPr="00BC0E7E">
        <w:rPr>
          <w:szCs w:val="20"/>
        </w:rPr>
        <w:t>Similar remission rates were observed for the 160/80 mg and 80/40 mg induction regimens by Week 8 and adverse events were more frequently noted in the 160/80 mg group.</w:t>
      </w:r>
    </w:p>
    <w:p w14:paraId="7D7ADA19" w14:textId="77777777" w:rsidR="00BC0E7E" w:rsidRPr="00BC0E7E" w:rsidRDefault="00BC0E7E" w:rsidP="00BC0E7E">
      <w:pPr>
        <w:rPr>
          <w:szCs w:val="20"/>
        </w:rPr>
      </w:pPr>
    </w:p>
    <w:p w14:paraId="6D0DF661" w14:textId="77777777" w:rsidR="00BC0E7E" w:rsidRPr="00BC0E7E" w:rsidRDefault="00944B8F" w:rsidP="00BC0E7E">
      <w:pPr>
        <w:rPr>
          <w:bCs/>
          <w:szCs w:val="20"/>
        </w:rPr>
      </w:pPr>
      <w:r w:rsidRPr="00BC0E7E">
        <w:rPr>
          <w:szCs w:val="20"/>
        </w:rPr>
        <w:t xml:space="preserve">In CD Study III, at Week 4, 58% (499/854) of patients were in clinical response and were assessed in the primary analysis. Of those in clinical response at Week 4, 48% had been previously exposed to other TNF-antagonists. Maintenance of remission and response rates are presented in Table </w:t>
      </w:r>
      <w:r w:rsidR="00930CBB">
        <w:rPr>
          <w:szCs w:val="20"/>
        </w:rPr>
        <w:t>2</w:t>
      </w:r>
      <w:r w:rsidR="00614ABC">
        <w:rPr>
          <w:szCs w:val="20"/>
        </w:rPr>
        <w:t>2</w:t>
      </w:r>
      <w:r w:rsidRPr="00BC0E7E">
        <w:rPr>
          <w:szCs w:val="20"/>
        </w:rPr>
        <w:t xml:space="preserve">.  </w:t>
      </w:r>
      <w:r w:rsidRPr="00BC0E7E">
        <w:rPr>
          <w:bCs/>
          <w:szCs w:val="20"/>
        </w:rPr>
        <w:t>Clinical remission results remained relatively constant irrespective of previous TNF-antagonist exposure.</w:t>
      </w:r>
    </w:p>
    <w:p w14:paraId="4BB1C679" w14:textId="77777777" w:rsidR="00BC0E7E" w:rsidRPr="00BC0E7E" w:rsidRDefault="00BC0E7E" w:rsidP="00BC0E7E">
      <w:pPr>
        <w:rPr>
          <w:bCs/>
          <w:szCs w:val="20"/>
        </w:rPr>
      </w:pPr>
    </w:p>
    <w:p w14:paraId="7E17E4B3" w14:textId="77777777" w:rsidR="00BC0E7E" w:rsidRPr="00BC0E7E" w:rsidRDefault="00944B8F" w:rsidP="00BC0E7E">
      <w:pPr>
        <w:rPr>
          <w:bCs/>
          <w:szCs w:val="20"/>
        </w:rPr>
      </w:pPr>
      <w:r w:rsidRPr="00BC0E7E">
        <w:rPr>
          <w:bCs/>
          <w:szCs w:val="20"/>
        </w:rPr>
        <w:t>Disease-related hospitalisations and surgeries were statistically significantly reduced with adalimumab compared with placebo at Week 56.</w:t>
      </w:r>
    </w:p>
    <w:p w14:paraId="75AD9193" w14:textId="77777777" w:rsidR="00BC0E7E" w:rsidRPr="00BC0E7E" w:rsidRDefault="00BC0E7E" w:rsidP="00BC0E7E">
      <w:pPr>
        <w:keepNext/>
        <w:rPr>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1"/>
        <w:gridCol w:w="1751"/>
        <w:gridCol w:w="1928"/>
        <w:gridCol w:w="1700"/>
      </w:tblGrid>
      <w:tr w:rsidR="00C6578C" w14:paraId="178E7B86" w14:textId="77777777" w:rsidTr="00171601">
        <w:trPr>
          <w:cantSplit/>
        </w:trPr>
        <w:tc>
          <w:tcPr>
            <w:tcW w:w="9020" w:type="dxa"/>
            <w:gridSpan w:val="4"/>
            <w:tcBorders>
              <w:top w:val="nil"/>
              <w:left w:val="nil"/>
              <w:bottom w:val="single" w:sz="4" w:space="0" w:color="auto"/>
              <w:right w:val="nil"/>
            </w:tcBorders>
          </w:tcPr>
          <w:p w14:paraId="1EB699A2" w14:textId="77777777" w:rsidR="00BC0E7E" w:rsidRPr="008F4FD5" w:rsidRDefault="00944B8F" w:rsidP="00BC0E7E">
            <w:pPr>
              <w:keepNext/>
              <w:keepLines/>
              <w:tabs>
                <w:tab w:val="clear" w:pos="562"/>
                <w:tab w:val="left" w:pos="360"/>
              </w:tabs>
              <w:spacing w:before="40" w:after="40" w:line="240" w:lineRule="exact"/>
              <w:jc w:val="center"/>
              <w:rPr>
                <w:bCs/>
                <w:szCs w:val="20"/>
              </w:rPr>
            </w:pPr>
            <w:r w:rsidRPr="00BC0E7E">
              <w:rPr>
                <w:b/>
                <w:bCs/>
                <w:szCs w:val="20"/>
              </w:rPr>
              <w:t xml:space="preserve">Table </w:t>
            </w:r>
            <w:r w:rsidR="00930CBB">
              <w:rPr>
                <w:b/>
                <w:bCs/>
                <w:szCs w:val="20"/>
              </w:rPr>
              <w:t>2</w:t>
            </w:r>
            <w:r w:rsidR="00614ABC">
              <w:rPr>
                <w:b/>
                <w:bCs/>
                <w:szCs w:val="20"/>
              </w:rPr>
              <w:t>2</w:t>
            </w:r>
          </w:p>
          <w:p w14:paraId="5E309E9C" w14:textId="77777777" w:rsidR="00BC0E7E" w:rsidRPr="008F4FD5" w:rsidRDefault="00944B8F" w:rsidP="00BC0E7E">
            <w:pPr>
              <w:keepNext/>
              <w:keepLines/>
              <w:tabs>
                <w:tab w:val="clear" w:pos="562"/>
                <w:tab w:val="left" w:pos="360"/>
              </w:tabs>
              <w:spacing w:before="40" w:after="40" w:line="240" w:lineRule="exact"/>
              <w:jc w:val="center"/>
              <w:rPr>
                <w:bCs/>
                <w:szCs w:val="20"/>
              </w:rPr>
            </w:pPr>
            <w:r w:rsidRPr="00BC0E7E">
              <w:rPr>
                <w:b/>
                <w:bCs/>
                <w:szCs w:val="20"/>
              </w:rPr>
              <w:t>Maintenance of Clinical Remission and Response</w:t>
            </w:r>
          </w:p>
          <w:p w14:paraId="0A41C0CF"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(Percent of Patients)</w:t>
            </w:r>
          </w:p>
        </w:tc>
      </w:tr>
      <w:tr w:rsidR="00C6578C" w14:paraId="7EA4A79B" w14:textId="77777777" w:rsidTr="00171601">
        <w:tc>
          <w:tcPr>
            <w:tcW w:w="3641" w:type="dxa"/>
          </w:tcPr>
          <w:p w14:paraId="5025919B" w14:textId="77777777" w:rsidR="00BC0E7E" w:rsidRPr="00BC0E7E" w:rsidRDefault="00BC0E7E" w:rsidP="00BC0E7E">
            <w:pPr>
              <w:keepNext/>
              <w:keepLines/>
              <w:tabs>
                <w:tab w:val="clear" w:pos="562"/>
                <w:tab w:val="left" w:pos="360"/>
              </w:tabs>
              <w:spacing w:before="40" w:after="40" w:line="240" w:lineRule="exact"/>
              <w:rPr>
                <w:b/>
                <w:bCs/>
                <w:szCs w:val="20"/>
              </w:rPr>
            </w:pPr>
          </w:p>
        </w:tc>
        <w:tc>
          <w:tcPr>
            <w:tcW w:w="1751" w:type="dxa"/>
          </w:tcPr>
          <w:p w14:paraId="4C4FBD8D"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Placebo</w:t>
            </w:r>
          </w:p>
        </w:tc>
        <w:tc>
          <w:tcPr>
            <w:tcW w:w="1928" w:type="dxa"/>
          </w:tcPr>
          <w:p w14:paraId="2A27A6B0"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40 mg Humira</w:t>
            </w:r>
            <w:r w:rsidRPr="00BC0E7E">
              <w:rPr>
                <w:b/>
                <w:bCs/>
                <w:szCs w:val="20"/>
              </w:rPr>
              <w:br/>
              <w:t>every other week</w:t>
            </w:r>
          </w:p>
        </w:tc>
        <w:tc>
          <w:tcPr>
            <w:tcW w:w="1700" w:type="dxa"/>
          </w:tcPr>
          <w:p w14:paraId="4E3266F5"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40 mg Humira</w:t>
            </w:r>
            <w:r w:rsidRPr="00BC0E7E">
              <w:rPr>
                <w:b/>
                <w:bCs/>
                <w:szCs w:val="20"/>
              </w:rPr>
              <w:br/>
              <w:t>every week</w:t>
            </w:r>
          </w:p>
        </w:tc>
      </w:tr>
      <w:tr w:rsidR="00C6578C" w14:paraId="6948470B" w14:textId="77777777" w:rsidTr="00171601">
        <w:tc>
          <w:tcPr>
            <w:tcW w:w="3641" w:type="dxa"/>
          </w:tcPr>
          <w:p w14:paraId="0DBEE703" w14:textId="77777777" w:rsidR="00BC0E7E" w:rsidRPr="00BC0E7E" w:rsidRDefault="00944B8F" w:rsidP="00BC0E7E">
            <w:pPr>
              <w:keepNext/>
              <w:keepLines/>
              <w:tabs>
                <w:tab w:val="clear" w:pos="562"/>
                <w:tab w:val="left" w:pos="360"/>
              </w:tabs>
              <w:spacing w:before="40" w:after="40" w:line="240" w:lineRule="exact"/>
              <w:rPr>
                <w:b/>
                <w:bCs/>
                <w:szCs w:val="20"/>
              </w:rPr>
            </w:pPr>
            <w:r w:rsidRPr="00BC0E7E">
              <w:rPr>
                <w:b/>
                <w:bCs/>
                <w:szCs w:val="20"/>
              </w:rPr>
              <w:t>Week 26</w:t>
            </w:r>
          </w:p>
        </w:tc>
        <w:tc>
          <w:tcPr>
            <w:tcW w:w="1751" w:type="dxa"/>
          </w:tcPr>
          <w:p w14:paraId="6FB121BF"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N=170</w:t>
            </w:r>
          </w:p>
        </w:tc>
        <w:tc>
          <w:tcPr>
            <w:tcW w:w="1928" w:type="dxa"/>
          </w:tcPr>
          <w:p w14:paraId="79689D69"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N=172</w:t>
            </w:r>
          </w:p>
        </w:tc>
        <w:tc>
          <w:tcPr>
            <w:tcW w:w="1700" w:type="dxa"/>
          </w:tcPr>
          <w:p w14:paraId="3D6BBD41"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N=157</w:t>
            </w:r>
          </w:p>
        </w:tc>
      </w:tr>
      <w:tr w:rsidR="00C6578C" w14:paraId="0A93D02A" w14:textId="77777777" w:rsidTr="00171601">
        <w:tc>
          <w:tcPr>
            <w:tcW w:w="3641" w:type="dxa"/>
          </w:tcPr>
          <w:p w14:paraId="14DA686F" w14:textId="77777777" w:rsidR="00BC0E7E" w:rsidRPr="00BC0E7E" w:rsidRDefault="00944B8F" w:rsidP="00BC0E7E">
            <w:pPr>
              <w:keepNext/>
              <w:keepLines/>
              <w:tabs>
                <w:tab w:val="clear" w:pos="562"/>
                <w:tab w:val="left" w:pos="360"/>
              </w:tabs>
              <w:spacing w:before="40" w:after="40" w:line="240" w:lineRule="exact"/>
              <w:rPr>
                <w:szCs w:val="20"/>
              </w:rPr>
            </w:pPr>
            <w:r w:rsidRPr="00BC0E7E">
              <w:rPr>
                <w:szCs w:val="20"/>
              </w:rPr>
              <w:t>Clinical remission</w:t>
            </w:r>
          </w:p>
        </w:tc>
        <w:tc>
          <w:tcPr>
            <w:tcW w:w="1751" w:type="dxa"/>
          </w:tcPr>
          <w:p w14:paraId="19E53255"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17%</w:t>
            </w:r>
          </w:p>
        </w:tc>
        <w:tc>
          <w:tcPr>
            <w:tcW w:w="1928" w:type="dxa"/>
          </w:tcPr>
          <w:p w14:paraId="08C8AFB7"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40%*</w:t>
            </w:r>
          </w:p>
        </w:tc>
        <w:tc>
          <w:tcPr>
            <w:tcW w:w="1700" w:type="dxa"/>
          </w:tcPr>
          <w:p w14:paraId="1609A1E0"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47%*</w:t>
            </w:r>
          </w:p>
        </w:tc>
      </w:tr>
      <w:tr w:rsidR="00C6578C" w14:paraId="4AFA6F1B" w14:textId="77777777" w:rsidTr="00171601">
        <w:tc>
          <w:tcPr>
            <w:tcW w:w="3641" w:type="dxa"/>
          </w:tcPr>
          <w:p w14:paraId="63A5A12A" w14:textId="77777777" w:rsidR="00BC0E7E" w:rsidRPr="00BC0E7E" w:rsidRDefault="00944B8F" w:rsidP="00BC0E7E">
            <w:pPr>
              <w:keepNext/>
              <w:keepLines/>
              <w:tabs>
                <w:tab w:val="clear" w:pos="562"/>
                <w:tab w:val="left" w:pos="360"/>
              </w:tabs>
              <w:spacing w:before="40" w:after="40" w:line="240" w:lineRule="exact"/>
              <w:rPr>
                <w:szCs w:val="20"/>
              </w:rPr>
            </w:pPr>
            <w:r w:rsidRPr="00BC0E7E">
              <w:rPr>
                <w:szCs w:val="20"/>
              </w:rPr>
              <w:t>Clinical response (CR-100)</w:t>
            </w:r>
          </w:p>
        </w:tc>
        <w:tc>
          <w:tcPr>
            <w:tcW w:w="1751" w:type="dxa"/>
          </w:tcPr>
          <w:p w14:paraId="6424B427"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27%</w:t>
            </w:r>
          </w:p>
        </w:tc>
        <w:tc>
          <w:tcPr>
            <w:tcW w:w="1928" w:type="dxa"/>
          </w:tcPr>
          <w:p w14:paraId="6F202B95"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52%*</w:t>
            </w:r>
          </w:p>
        </w:tc>
        <w:tc>
          <w:tcPr>
            <w:tcW w:w="1700" w:type="dxa"/>
          </w:tcPr>
          <w:p w14:paraId="4034F727"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52%*</w:t>
            </w:r>
          </w:p>
        </w:tc>
      </w:tr>
      <w:tr w:rsidR="00C6578C" w14:paraId="33CBA93D" w14:textId="77777777" w:rsidTr="00171601">
        <w:tc>
          <w:tcPr>
            <w:tcW w:w="3641" w:type="dxa"/>
          </w:tcPr>
          <w:p w14:paraId="048533C8" w14:textId="77777777" w:rsidR="00BC0E7E" w:rsidRPr="00BC0E7E" w:rsidRDefault="00944B8F" w:rsidP="00BC0E7E">
            <w:pPr>
              <w:keepNext/>
              <w:keepLines/>
              <w:tabs>
                <w:tab w:val="clear" w:pos="562"/>
                <w:tab w:val="left" w:pos="360"/>
              </w:tabs>
              <w:spacing w:before="40" w:after="40" w:line="240" w:lineRule="exact"/>
              <w:ind w:left="360"/>
              <w:rPr>
                <w:szCs w:val="20"/>
              </w:rPr>
            </w:pPr>
            <w:r w:rsidRPr="00BC0E7E">
              <w:rPr>
                <w:szCs w:val="20"/>
              </w:rPr>
              <w:t xml:space="preserve">Patients in steroid-free remission </w:t>
            </w:r>
            <w:r w:rsidRPr="00BC0E7E">
              <w:rPr>
                <w:szCs w:val="20"/>
              </w:rPr>
              <w:br/>
              <w:t>for &gt;=90 days</w:t>
            </w:r>
            <w:r w:rsidRPr="00BC0E7E">
              <w:rPr>
                <w:szCs w:val="20"/>
                <w:vertAlign w:val="superscript"/>
              </w:rPr>
              <w:t>a</w:t>
            </w:r>
          </w:p>
        </w:tc>
        <w:tc>
          <w:tcPr>
            <w:tcW w:w="1751" w:type="dxa"/>
          </w:tcPr>
          <w:p w14:paraId="05203263"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3% (2/66)</w:t>
            </w:r>
          </w:p>
        </w:tc>
        <w:tc>
          <w:tcPr>
            <w:tcW w:w="1928" w:type="dxa"/>
          </w:tcPr>
          <w:p w14:paraId="3F39B251"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19% (11/58)**</w:t>
            </w:r>
          </w:p>
        </w:tc>
        <w:tc>
          <w:tcPr>
            <w:tcW w:w="1700" w:type="dxa"/>
          </w:tcPr>
          <w:p w14:paraId="237AA9AA"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15% (11/74)**</w:t>
            </w:r>
          </w:p>
        </w:tc>
      </w:tr>
      <w:tr w:rsidR="00C6578C" w14:paraId="43A0A2D4" w14:textId="77777777" w:rsidTr="00171601">
        <w:tc>
          <w:tcPr>
            <w:tcW w:w="3641" w:type="dxa"/>
          </w:tcPr>
          <w:p w14:paraId="272851C4" w14:textId="77777777" w:rsidR="00BC0E7E" w:rsidRPr="00BC0E7E" w:rsidRDefault="00944B8F" w:rsidP="00BC0E7E">
            <w:pPr>
              <w:keepNext/>
              <w:keepLines/>
              <w:tabs>
                <w:tab w:val="clear" w:pos="562"/>
                <w:tab w:val="left" w:pos="360"/>
              </w:tabs>
              <w:spacing w:before="40" w:after="40" w:line="240" w:lineRule="exact"/>
              <w:rPr>
                <w:b/>
                <w:bCs/>
                <w:szCs w:val="20"/>
              </w:rPr>
            </w:pPr>
            <w:r w:rsidRPr="00BC0E7E">
              <w:rPr>
                <w:b/>
                <w:bCs/>
                <w:szCs w:val="20"/>
              </w:rPr>
              <w:t>Week 56</w:t>
            </w:r>
          </w:p>
        </w:tc>
        <w:tc>
          <w:tcPr>
            <w:tcW w:w="1751" w:type="dxa"/>
          </w:tcPr>
          <w:p w14:paraId="50D5A66B"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N=170</w:t>
            </w:r>
          </w:p>
        </w:tc>
        <w:tc>
          <w:tcPr>
            <w:tcW w:w="1928" w:type="dxa"/>
          </w:tcPr>
          <w:p w14:paraId="2F5E2506"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N=172</w:t>
            </w:r>
          </w:p>
        </w:tc>
        <w:tc>
          <w:tcPr>
            <w:tcW w:w="1700" w:type="dxa"/>
          </w:tcPr>
          <w:p w14:paraId="49BF1BF7"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N=157</w:t>
            </w:r>
          </w:p>
        </w:tc>
      </w:tr>
      <w:tr w:rsidR="00C6578C" w14:paraId="1124F656" w14:textId="77777777" w:rsidTr="00171601">
        <w:tc>
          <w:tcPr>
            <w:tcW w:w="3641" w:type="dxa"/>
          </w:tcPr>
          <w:p w14:paraId="04937F87" w14:textId="77777777" w:rsidR="00BC0E7E" w:rsidRPr="00BC0E7E" w:rsidRDefault="00944B8F" w:rsidP="00BC0E7E">
            <w:pPr>
              <w:keepNext/>
              <w:keepLines/>
              <w:tabs>
                <w:tab w:val="clear" w:pos="562"/>
                <w:tab w:val="left" w:pos="360"/>
              </w:tabs>
              <w:spacing w:before="40" w:after="40" w:line="240" w:lineRule="exact"/>
              <w:rPr>
                <w:szCs w:val="20"/>
              </w:rPr>
            </w:pPr>
            <w:r w:rsidRPr="00BC0E7E">
              <w:rPr>
                <w:szCs w:val="20"/>
              </w:rPr>
              <w:t>Clinical remission</w:t>
            </w:r>
          </w:p>
        </w:tc>
        <w:tc>
          <w:tcPr>
            <w:tcW w:w="1751" w:type="dxa"/>
          </w:tcPr>
          <w:p w14:paraId="29900FB9"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12%</w:t>
            </w:r>
          </w:p>
        </w:tc>
        <w:tc>
          <w:tcPr>
            <w:tcW w:w="1928" w:type="dxa"/>
          </w:tcPr>
          <w:p w14:paraId="16B7F018"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36%*</w:t>
            </w:r>
          </w:p>
        </w:tc>
        <w:tc>
          <w:tcPr>
            <w:tcW w:w="1700" w:type="dxa"/>
          </w:tcPr>
          <w:p w14:paraId="298291ED"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41%*</w:t>
            </w:r>
          </w:p>
        </w:tc>
      </w:tr>
      <w:tr w:rsidR="00C6578C" w14:paraId="09F575ED" w14:textId="77777777" w:rsidTr="00171601">
        <w:tc>
          <w:tcPr>
            <w:tcW w:w="3641" w:type="dxa"/>
          </w:tcPr>
          <w:p w14:paraId="520AEE6C" w14:textId="77777777" w:rsidR="00BC0E7E" w:rsidRPr="00BC0E7E" w:rsidRDefault="00944B8F" w:rsidP="00BC0E7E">
            <w:pPr>
              <w:keepNext/>
              <w:keepLines/>
              <w:tabs>
                <w:tab w:val="clear" w:pos="562"/>
                <w:tab w:val="left" w:pos="360"/>
              </w:tabs>
              <w:spacing w:before="40" w:after="40" w:line="240" w:lineRule="exact"/>
              <w:rPr>
                <w:szCs w:val="20"/>
              </w:rPr>
            </w:pPr>
            <w:r w:rsidRPr="00BC0E7E">
              <w:rPr>
                <w:szCs w:val="20"/>
              </w:rPr>
              <w:t>Clinical response (CR-100)</w:t>
            </w:r>
          </w:p>
        </w:tc>
        <w:tc>
          <w:tcPr>
            <w:tcW w:w="1751" w:type="dxa"/>
          </w:tcPr>
          <w:p w14:paraId="08699362"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17%</w:t>
            </w:r>
          </w:p>
        </w:tc>
        <w:tc>
          <w:tcPr>
            <w:tcW w:w="1928" w:type="dxa"/>
          </w:tcPr>
          <w:p w14:paraId="5547CA87"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41%*</w:t>
            </w:r>
          </w:p>
        </w:tc>
        <w:tc>
          <w:tcPr>
            <w:tcW w:w="1700" w:type="dxa"/>
          </w:tcPr>
          <w:p w14:paraId="3E317229"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48%*</w:t>
            </w:r>
          </w:p>
        </w:tc>
      </w:tr>
      <w:tr w:rsidR="00C6578C" w14:paraId="008DFA97" w14:textId="77777777" w:rsidTr="00171601">
        <w:tc>
          <w:tcPr>
            <w:tcW w:w="3641" w:type="dxa"/>
            <w:tcBorders>
              <w:bottom w:val="single" w:sz="4" w:space="0" w:color="auto"/>
            </w:tcBorders>
          </w:tcPr>
          <w:p w14:paraId="28B9AF36" w14:textId="77777777" w:rsidR="00BC0E7E" w:rsidRPr="00BC0E7E" w:rsidRDefault="00944B8F" w:rsidP="00BC0E7E">
            <w:pPr>
              <w:keepNext/>
              <w:keepLines/>
              <w:tabs>
                <w:tab w:val="clear" w:pos="562"/>
                <w:tab w:val="left" w:pos="360"/>
              </w:tabs>
              <w:spacing w:before="40" w:after="40" w:line="240" w:lineRule="exact"/>
              <w:ind w:left="360"/>
              <w:rPr>
                <w:szCs w:val="20"/>
              </w:rPr>
            </w:pPr>
            <w:r w:rsidRPr="00BC0E7E">
              <w:rPr>
                <w:szCs w:val="20"/>
              </w:rPr>
              <w:t xml:space="preserve">Patients in steroid-free remission </w:t>
            </w:r>
            <w:r w:rsidRPr="00BC0E7E">
              <w:rPr>
                <w:szCs w:val="20"/>
              </w:rPr>
              <w:br/>
              <w:t>for &gt; = 90 days</w:t>
            </w:r>
            <w:r w:rsidRPr="00BC0E7E">
              <w:rPr>
                <w:szCs w:val="20"/>
                <w:vertAlign w:val="superscript"/>
              </w:rPr>
              <w:t>a</w:t>
            </w:r>
          </w:p>
        </w:tc>
        <w:tc>
          <w:tcPr>
            <w:tcW w:w="1751" w:type="dxa"/>
            <w:tcBorders>
              <w:bottom w:val="single" w:sz="4" w:space="0" w:color="auto"/>
            </w:tcBorders>
          </w:tcPr>
          <w:p w14:paraId="7683613D"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5% (3/66)</w:t>
            </w:r>
          </w:p>
        </w:tc>
        <w:tc>
          <w:tcPr>
            <w:tcW w:w="1928" w:type="dxa"/>
            <w:tcBorders>
              <w:bottom w:val="single" w:sz="4" w:space="0" w:color="auto"/>
            </w:tcBorders>
          </w:tcPr>
          <w:p w14:paraId="29364AF6"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29% (17/58)*</w:t>
            </w:r>
          </w:p>
        </w:tc>
        <w:tc>
          <w:tcPr>
            <w:tcW w:w="1700" w:type="dxa"/>
            <w:tcBorders>
              <w:bottom w:val="single" w:sz="4" w:space="0" w:color="auto"/>
            </w:tcBorders>
          </w:tcPr>
          <w:p w14:paraId="22E68521"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20% (15/74)**</w:t>
            </w:r>
          </w:p>
        </w:tc>
      </w:tr>
      <w:tr w:rsidR="00C6578C" w14:paraId="530A785B" w14:textId="77777777" w:rsidTr="00171601">
        <w:trPr>
          <w:cantSplit/>
        </w:trPr>
        <w:tc>
          <w:tcPr>
            <w:tcW w:w="9020" w:type="dxa"/>
            <w:gridSpan w:val="4"/>
            <w:tcBorders>
              <w:top w:val="single" w:sz="4" w:space="0" w:color="auto"/>
              <w:left w:val="nil"/>
              <w:bottom w:val="nil"/>
              <w:right w:val="nil"/>
            </w:tcBorders>
          </w:tcPr>
          <w:p w14:paraId="61D31DCA" w14:textId="77777777" w:rsidR="00BC0E7E" w:rsidRPr="00BC0E7E" w:rsidRDefault="00944B8F" w:rsidP="00BC0E7E">
            <w:pPr>
              <w:keepNext/>
              <w:keepLines/>
              <w:tabs>
                <w:tab w:val="clear" w:pos="562"/>
                <w:tab w:val="left" w:pos="360"/>
              </w:tabs>
              <w:spacing w:before="40" w:after="40" w:line="240" w:lineRule="exact"/>
              <w:rPr>
                <w:szCs w:val="20"/>
              </w:rPr>
            </w:pPr>
            <w:r w:rsidRPr="00BC0E7E">
              <w:rPr>
                <w:szCs w:val="20"/>
              </w:rPr>
              <w:t>*</w:t>
            </w:r>
            <w:r w:rsidRPr="00BC0E7E">
              <w:rPr>
                <w:szCs w:val="20"/>
              </w:rPr>
              <w:tab/>
              <w:t xml:space="preserve">p &lt; 0.001 for Humira </w:t>
            </w:r>
            <w:r w:rsidRPr="00BC0E7E">
              <w:rPr>
                <w:i/>
                <w:iCs/>
                <w:szCs w:val="20"/>
              </w:rPr>
              <w:t>versus</w:t>
            </w:r>
            <w:r w:rsidRPr="00BC0E7E">
              <w:rPr>
                <w:szCs w:val="20"/>
              </w:rPr>
              <w:t xml:space="preserve"> placebo pairwise comparisons of proportions</w:t>
            </w:r>
          </w:p>
          <w:p w14:paraId="7B2AAB4B" w14:textId="77777777" w:rsidR="00BC0E7E" w:rsidRPr="00BC0E7E" w:rsidRDefault="00944B8F" w:rsidP="00BC0E7E">
            <w:pPr>
              <w:keepNext/>
              <w:keepLines/>
              <w:tabs>
                <w:tab w:val="clear" w:pos="562"/>
                <w:tab w:val="left" w:pos="360"/>
              </w:tabs>
              <w:spacing w:before="40" w:after="40" w:line="240" w:lineRule="exact"/>
              <w:rPr>
                <w:szCs w:val="20"/>
              </w:rPr>
            </w:pPr>
            <w:r w:rsidRPr="00BC0E7E">
              <w:rPr>
                <w:szCs w:val="20"/>
              </w:rPr>
              <w:t>**</w:t>
            </w:r>
            <w:r w:rsidRPr="00BC0E7E">
              <w:rPr>
                <w:szCs w:val="20"/>
              </w:rPr>
              <w:tab/>
              <w:t xml:space="preserve">p &lt; 0.02 for Humira </w:t>
            </w:r>
            <w:r w:rsidRPr="00BC0E7E">
              <w:rPr>
                <w:i/>
                <w:iCs/>
                <w:szCs w:val="20"/>
              </w:rPr>
              <w:t>versus</w:t>
            </w:r>
            <w:r w:rsidRPr="00BC0E7E">
              <w:rPr>
                <w:szCs w:val="20"/>
              </w:rPr>
              <w:t xml:space="preserve"> placebo pairwise comparisons of proportions</w:t>
            </w:r>
          </w:p>
          <w:p w14:paraId="2EFA4A8B" w14:textId="77777777" w:rsidR="00BC0E7E" w:rsidRPr="00BC0E7E" w:rsidRDefault="00944B8F" w:rsidP="00BC0E7E">
            <w:pPr>
              <w:keepNext/>
              <w:keepLines/>
              <w:tabs>
                <w:tab w:val="clear" w:pos="562"/>
                <w:tab w:val="left" w:pos="360"/>
              </w:tabs>
              <w:spacing w:before="40" w:after="40" w:line="240" w:lineRule="exact"/>
              <w:rPr>
                <w:szCs w:val="20"/>
              </w:rPr>
            </w:pPr>
            <w:r w:rsidRPr="00BC0E7E">
              <w:rPr>
                <w:szCs w:val="20"/>
                <w:vertAlign w:val="superscript"/>
              </w:rPr>
              <w:t>a</w:t>
            </w:r>
            <w:r w:rsidRPr="00BC0E7E">
              <w:rPr>
                <w:szCs w:val="20"/>
                <w:vertAlign w:val="superscript"/>
              </w:rPr>
              <w:tab/>
            </w:r>
            <w:r w:rsidRPr="00BC0E7E">
              <w:rPr>
                <w:szCs w:val="20"/>
              </w:rPr>
              <w:t>Of those receiving corticosteroids at baseline</w:t>
            </w:r>
          </w:p>
        </w:tc>
      </w:tr>
    </w:tbl>
    <w:p w14:paraId="53B82E4C" w14:textId="77777777" w:rsidR="00BC0E7E" w:rsidRPr="00BC0E7E" w:rsidRDefault="00BC0E7E" w:rsidP="00BC0E7E">
      <w:pPr>
        <w:rPr>
          <w:szCs w:val="20"/>
        </w:rPr>
      </w:pPr>
    </w:p>
    <w:p w14:paraId="5BD50162" w14:textId="77777777" w:rsidR="00BC0E7E" w:rsidRPr="00BC0E7E" w:rsidRDefault="00944B8F" w:rsidP="00BC0E7E">
      <w:pPr>
        <w:rPr>
          <w:bCs/>
        </w:rPr>
      </w:pPr>
      <w:r w:rsidRPr="00BC0E7E">
        <w:rPr>
          <w:bCs/>
        </w:rPr>
        <w:t xml:space="preserve">Among patients who were not in response at Week 4, 43% of Humira maintenance patients responded by Week 12 compared to 30% of placebo maintenance patients. These results suggest that some patients who have not responded by Week 4 benefit from continued maintenance therapy through Week 12.  Therapy continued beyond 12 weeks did not result in significantly more responses </w:t>
      </w:r>
      <w:r w:rsidRPr="00BC0E7E">
        <w:t>(see section 4.2).</w:t>
      </w:r>
      <w:r w:rsidRPr="00BC0E7E">
        <w:rPr>
          <w:bCs/>
        </w:rPr>
        <w:t xml:space="preserve">  </w:t>
      </w:r>
    </w:p>
    <w:p w14:paraId="15A2FC66" w14:textId="77777777" w:rsidR="00BC0E7E" w:rsidRPr="00BC0E7E" w:rsidRDefault="00BC0E7E" w:rsidP="00BC0E7E">
      <w:pPr>
        <w:rPr>
          <w:bCs/>
        </w:rPr>
      </w:pPr>
    </w:p>
    <w:p w14:paraId="28B988D5" w14:textId="77777777" w:rsidR="00BC0E7E" w:rsidRPr="00BC0E7E" w:rsidRDefault="00944B8F" w:rsidP="00BC0E7E">
      <w:pPr>
        <w:rPr>
          <w:bCs/>
        </w:rPr>
      </w:pPr>
      <w:r w:rsidRPr="00BC0E7E">
        <w:rPr>
          <w:bCs/>
        </w:rPr>
        <w:t>117/276 patients from CD study I and 272/777 patients from CD studies II and III were followed through at least 3 years of open-label adalimumab therapy.  88 and 189 patients, respectively, continued to be in clinical remission.  Clinical response (CR-100) was maintained in 102 and 233 patients, respectively.</w:t>
      </w:r>
    </w:p>
    <w:p w14:paraId="70C31A8F" w14:textId="77777777" w:rsidR="00BC0E7E" w:rsidRPr="00BC0E7E" w:rsidRDefault="00BC0E7E" w:rsidP="00BC0E7E">
      <w:pPr>
        <w:rPr>
          <w:bCs/>
        </w:rPr>
      </w:pPr>
    </w:p>
    <w:p w14:paraId="07DECF39" w14:textId="77777777" w:rsidR="00BC0E7E" w:rsidRPr="00BC0E7E" w:rsidRDefault="00944B8F" w:rsidP="00BC0E7E">
      <w:pPr>
        <w:rPr>
          <w:i/>
          <w:szCs w:val="20"/>
          <w:u w:val="single"/>
        </w:rPr>
      </w:pPr>
      <w:r w:rsidRPr="00BC0E7E">
        <w:rPr>
          <w:i/>
          <w:szCs w:val="20"/>
          <w:u w:val="single"/>
        </w:rPr>
        <w:t>Quality of life</w:t>
      </w:r>
    </w:p>
    <w:p w14:paraId="09C06725" w14:textId="77777777" w:rsidR="00BC0E7E" w:rsidRPr="00BC0E7E" w:rsidRDefault="00BC0E7E" w:rsidP="00BC0E7E">
      <w:pPr>
        <w:rPr>
          <w:szCs w:val="20"/>
        </w:rPr>
      </w:pPr>
    </w:p>
    <w:p w14:paraId="3541BB14" w14:textId="77777777" w:rsidR="00BC0E7E" w:rsidRPr="00BC0E7E" w:rsidRDefault="00944B8F" w:rsidP="00BC0E7E">
      <w:pPr>
        <w:rPr>
          <w:bCs/>
          <w:szCs w:val="20"/>
        </w:rPr>
      </w:pPr>
      <w:r w:rsidRPr="00BC0E7E">
        <w:rPr>
          <w:bCs/>
          <w:szCs w:val="20"/>
        </w:rPr>
        <w:t>In CD Study I and CD Study II, statistically significant improvement in the disease-specific inflammatory bowel disease questionnaire (IBDQ) total score was achieved at Week 4 in patients randomised to Humira 80/40 mg and 160/80 mg compared to placebo and was seen at Weeks 26 and 56 in CD Study III as well among the adalimumab treatment groups compared to the placebo group.</w:t>
      </w:r>
    </w:p>
    <w:p w14:paraId="35B2B06E" w14:textId="77777777" w:rsidR="00BC0E7E" w:rsidRPr="00BC0E7E" w:rsidRDefault="00BC0E7E" w:rsidP="00BC0E7E">
      <w:pPr>
        <w:rPr>
          <w:bCs/>
          <w:szCs w:val="20"/>
        </w:rPr>
      </w:pPr>
    </w:p>
    <w:p w14:paraId="23272E59" w14:textId="77777777" w:rsidR="00BC0E7E" w:rsidRDefault="00944B8F" w:rsidP="00BC0E7E">
      <w:pPr>
        <w:keepNext/>
        <w:rPr>
          <w:bCs/>
          <w:i/>
          <w:szCs w:val="20"/>
        </w:rPr>
      </w:pPr>
      <w:r w:rsidRPr="00BC0E7E">
        <w:rPr>
          <w:bCs/>
          <w:i/>
          <w:szCs w:val="20"/>
        </w:rPr>
        <w:t>Ulcerative colitis</w:t>
      </w:r>
    </w:p>
    <w:p w14:paraId="3129E3A0" w14:textId="77777777" w:rsidR="002B6EEF" w:rsidRPr="00BC0E7E" w:rsidRDefault="002B6EEF" w:rsidP="00BC0E7E">
      <w:pPr>
        <w:keepNext/>
        <w:rPr>
          <w:bCs/>
          <w:i/>
          <w:szCs w:val="20"/>
        </w:rPr>
      </w:pPr>
    </w:p>
    <w:p w14:paraId="2F0E3C0E" w14:textId="77777777" w:rsidR="00BC0E7E" w:rsidRDefault="00944B8F" w:rsidP="002B6EEF">
      <w:pPr>
        <w:rPr>
          <w:szCs w:val="22"/>
        </w:rPr>
      </w:pPr>
      <w:r w:rsidRPr="00BC0E7E">
        <w:rPr>
          <w:szCs w:val="22"/>
        </w:rPr>
        <w:t xml:space="preserve">The safety and efficacy of multiple doses of Humira were assessed in adult patients with moderately to severely active ulcerative colitis (Mayo score 6 to 12 with endoscopy subscore of 2 to 3) in randomised, double-blind, placebo-controlled studies. </w:t>
      </w:r>
    </w:p>
    <w:p w14:paraId="5022B123" w14:textId="77777777" w:rsidR="002B6EEF" w:rsidRPr="00BC0E7E" w:rsidRDefault="002B6EEF" w:rsidP="002B6EEF">
      <w:pPr>
        <w:rPr>
          <w:szCs w:val="22"/>
        </w:rPr>
      </w:pPr>
    </w:p>
    <w:p w14:paraId="5DF27390" w14:textId="77777777" w:rsidR="00BC0E7E" w:rsidRPr="00BC0E7E" w:rsidRDefault="00944B8F" w:rsidP="002B6EEF">
      <w:pPr>
        <w:rPr>
          <w:szCs w:val="22"/>
        </w:rPr>
      </w:pPr>
      <w:r w:rsidRPr="00BC0E7E">
        <w:rPr>
          <w:szCs w:val="22"/>
        </w:rPr>
        <w:t>In study UC-I, 390 TNF-antagonist naïve patients were randomised to receive either placebo at Weeks 0 and 2, 160</w:t>
      </w:r>
      <w:r w:rsidRPr="00BC0E7E">
        <w:rPr>
          <w:szCs w:val="20"/>
        </w:rPr>
        <w:t> </w:t>
      </w:r>
      <w:r w:rsidRPr="00BC0E7E">
        <w:rPr>
          <w:szCs w:val="22"/>
        </w:rPr>
        <w:t xml:space="preserve">mg Humira at Week 0 followed by 80 mg at Week 2, or 80 mg Humira at Week 0 followed by 40 mg at Week 2.  After Week 2, patients in both adalimumab arms received 40 mg eow.  Clinical remission (defined as Mayo score </w:t>
      </w:r>
      <w:r w:rsidRPr="00BC0E7E">
        <w:rPr>
          <w:rFonts w:eastAsia="Arial Unicode MS"/>
          <w:szCs w:val="22"/>
        </w:rPr>
        <w:t>≤ 2 with no subscore &gt; 1)</w:t>
      </w:r>
      <w:r w:rsidRPr="00BC0E7E">
        <w:rPr>
          <w:szCs w:val="22"/>
        </w:rPr>
        <w:t xml:space="preserve"> was assessed at Week 8. </w:t>
      </w:r>
    </w:p>
    <w:p w14:paraId="39485213" w14:textId="77777777" w:rsidR="00BC0E7E" w:rsidRPr="00BC0E7E" w:rsidRDefault="00BC0E7E" w:rsidP="00BC0E7E">
      <w:pPr>
        <w:rPr>
          <w:szCs w:val="20"/>
        </w:rPr>
      </w:pPr>
    </w:p>
    <w:p w14:paraId="268178EC" w14:textId="77777777" w:rsidR="00BC0E7E" w:rsidRPr="00BC0E7E" w:rsidRDefault="00944B8F" w:rsidP="00BC0E7E">
      <w:pPr>
        <w:rPr>
          <w:szCs w:val="20"/>
        </w:rPr>
      </w:pPr>
      <w:r w:rsidRPr="00BC0E7E">
        <w:rPr>
          <w:szCs w:val="20"/>
        </w:rPr>
        <w:t xml:space="preserve">In study UC-II, 248 patients received 160 mg of Humira at Week 0, 80 mg at Week 2 and 40 mg eow thereafter, and 246 patients received placebo. Clinical results were assessed for induction of remission at Week 8 and for maintenance of remission at Week 52. </w:t>
      </w:r>
    </w:p>
    <w:p w14:paraId="5008BD4A" w14:textId="77777777" w:rsidR="00BC0E7E" w:rsidRPr="00BC0E7E" w:rsidRDefault="00BC0E7E" w:rsidP="00BC0E7E">
      <w:pPr>
        <w:rPr>
          <w:szCs w:val="20"/>
        </w:rPr>
      </w:pPr>
    </w:p>
    <w:p w14:paraId="7A52ABA0" w14:textId="77777777" w:rsidR="00BC0E7E" w:rsidRDefault="00944B8F" w:rsidP="00BC0E7E">
      <w:pPr>
        <w:rPr>
          <w:szCs w:val="20"/>
        </w:rPr>
      </w:pPr>
      <w:r w:rsidRPr="00BC0E7E">
        <w:rPr>
          <w:rFonts w:eastAsia="Arial Unicode MS"/>
          <w:szCs w:val="20"/>
        </w:rPr>
        <w:t xml:space="preserve">Patients induced with 160/80 mg Humira achieved clinical remission versus placebo at Week 8 in statistically significantly greater percentages in study UC-I (18% vs. 9% respectively, p=0.031) and study UC-II (17% vs. 9% respectively, p=0.019). </w:t>
      </w:r>
      <w:r w:rsidRPr="00BC0E7E">
        <w:rPr>
          <w:szCs w:val="20"/>
        </w:rPr>
        <w:t>In study UC-II, among those treated with Humira who were in remission at Week 8, 21/41 (51%) were in remission at Week 52.</w:t>
      </w:r>
    </w:p>
    <w:p w14:paraId="508F20F8" w14:textId="77777777" w:rsidR="002B6EEF" w:rsidRPr="00BC0E7E" w:rsidRDefault="002B6EEF" w:rsidP="00BC0E7E">
      <w:pPr>
        <w:rPr>
          <w:rFonts w:eastAsia="Arial Unicode MS"/>
          <w:szCs w:val="20"/>
        </w:rPr>
      </w:pPr>
    </w:p>
    <w:p w14:paraId="1DF0B013" w14:textId="77777777" w:rsidR="00BC0E7E" w:rsidRPr="00BC0E7E" w:rsidRDefault="00944B8F" w:rsidP="002B6EEF">
      <w:pPr>
        <w:rPr>
          <w:szCs w:val="20"/>
        </w:rPr>
      </w:pPr>
      <w:r w:rsidRPr="00BC0E7E">
        <w:rPr>
          <w:szCs w:val="20"/>
        </w:rPr>
        <w:t xml:space="preserve">Results from the overall UC-II study population are shown in Table </w:t>
      </w:r>
      <w:r w:rsidR="00930CBB">
        <w:rPr>
          <w:szCs w:val="20"/>
        </w:rPr>
        <w:t>2</w:t>
      </w:r>
      <w:r w:rsidR="00614ABC">
        <w:rPr>
          <w:szCs w:val="20"/>
        </w:rPr>
        <w:t>3</w:t>
      </w:r>
      <w:r w:rsidRPr="00BC0E7E">
        <w:rPr>
          <w:szCs w:val="20"/>
        </w:rPr>
        <w:t>.</w:t>
      </w:r>
    </w:p>
    <w:p w14:paraId="359F848C" w14:textId="77777777" w:rsidR="00BC0E7E" w:rsidRPr="002B6EEF" w:rsidRDefault="00BC0E7E" w:rsidP="00BC0E7E">
      <w:pPr>
        <w:rPr>
          <w:i/>
          <w:sz w:val="24"/>
          <w:szCs w:val="22"/>
        </w:rPr>
      </w:pPr>
    </w:p>
    <w:p w14:paraId="43ACB8D0" w14:textId="77777777" w:rsidR="00BC0E7E" w:rsidRPr="00BC0E7E" w:rsidRDefault="00944B8F" w:rsidP="008F4FD5">
      <w:pPr>
        <w:jc w:val="center"/>
        <w:rPr>
          <w:rFonts w:eastAsia="Arial Unicode MS"/>
          <w:b/>
          <w:bCs/>
          <w:szCs w:val="22"/>
        </w:rPr>
      </w:pPr>
      <w:r w:rsidRPr="00BC0E7E">
        <w:rPr>
          <w:rFonts w:eastAsia="Arial Unicode MS"/>
          <w:b/>
          <w:bCs/>
          <w:szCs w:val="22"/>
        </w:rPr>
        <w:t xml:space="preserve">Table </w:t>
      </w:r>
      <w:r w:rsidR="00930CBB">
        <w:rPr>
          <w:rFonts w:eastAsia="Arial Unicode MS"/>
          <w:b/>
          <w:bCs/>
          <w:szCs w:val="22"/>
        </w:rPr>
        <w:t>2</w:t>
      </w:r>
      <w:r w:rsidR="00614ABC">
        <w:rPr>
          <w:rFonts w:eastAsia="Arial Unicode MS"/>
          <w:b/>
          <w:bCs/>
          <w:szCs w:val="22"/>
        </w:rPr>
        <w:t>3</w:t>
      </w:r>
    </w:p>
    <w:p w14:paraId="543AE81E" w14:textId="77777777" w:rsidR="00BC0E7E" w:rsidRPr="00BC0E7E" w:rsidRDefault="00944B8F" w:rsidP="008F4FD5">
      <w:pPr>
        <w:jc w:val="center"/>
        <w:rPr>
          <w:rFonts w:eastAsia="Arial Unicode MS"/>
          <w:b/>
          <w:bCs/>
          <w:szCs w:val="22"/>
        </w:rPr>
      </w:pPr>
      <w:r w:rsidRPr="00BC0E7E">
        <w:rPr>
          <w:rFonts w:eastAsia="Arial Unicode MS"/>
          <w:b/>
          <w:bCs/>
          <w:szCs w:val="22"/>
        </w:rPr>
        <w:t>Response, Remission and Mucosal Healing in Study UC-II</w:t>
      </w:r>
    </w:p>
    <w:p w14:paraId="72E79798" w14:textId="77777777" w:rsidR="00BC0E7E" w:rsidRPr="00BC0E7E" w:rsidRDefault="00944B8F" w:rsidP="008F4FD5">
      <w:pPr>
        <w:jc w:val="center"/>
        <w:rPr>
          <w:rFonts w:eastAsia="Arial Unicode MS"/>
          <w:b/>
          <w:bCs/>
          <w:szCs w:val="22"/>
        </w:rPr>
      </w:pPr>
      <w:r w:rsidRPr="00BC0E7E">
        <w:rPr>
          <w:rFonts w:eastAsia="Arial Unicode MS"/>
          <w:b/>
          <w:bCs/>
          <w:szCs w:val="22"/>
        </w:rPr>
        <w:t>(Percent of Patients)</w:t>
      </w:r>
    </w:p>
    <w:tbl>
      <w:tblPr>
        <w:tblW w:w="4309" w:type="pct"/>
        <w:tblInd w:w="15" w:type="dxa"/>
        <w:tblCellMar>
          <w:top w:w="15" w:type="dxa"/>
          <w:left w:w="15" w:type="dxa"/>
          <w:bottom w:w="15" w:type="dxa"/>
          <w:right w:w="15" w:type="dxa"/>
        </w:tblCellMar>
        <w:tblLook w:val="0000" w:firstRow="0" w:lastRow="0" w:firstColumn="0" w:lastColumn="0" w:noHBand="0" w:noVBand="0"/>
      </w:tblPr>
      <w:tblGrid>
        <w:gridCol w:w="4781"/>
        <w:gridCol w:w="1045"/>
        <w:gridCol w:w="2290"/>
      </w:tblGrid>
      <w:tr w:rsidR="00C6578C" w14:paraId="1490AD65" w14:textId="77777777" w:rsidTr="00171601">
        <w:tc>
          <w:tcPr>
            <w:tcW w:w="2945" w:type="pct"/>
            <w:tcBorders>
              <w:top w:val="single" w:sz="6" w:space="0" w:color="000000"/>
              <w:left w:val="nil"/>
              <w:bottom w:val="single" w:sz="6" w:space="0" w:color="000000"/>
              <w:right w:val="nil"/>
            </w:tcBorders>
          </w:tcPr>
          <w:p w14:paraId="39AF941C" w14:textId="77777777" w:rsidR="00BC0E7E" w:rsidRPr="00BC0E7E" w:rsidRDefault="00BC0E7E" w:rsidP="00BC0E7E">
            <w:pPr>
              <w:jc w:val="center"/>
              <w:rPr>
                <w:rFonts w:eastAsia="Arial Unicode MS"/>
              </w:rPr>
            </w:pPr>
          </w:p>
        </w:tc>
        <w:tc>
          <w:tcPr>
            <w:tcW w:w="644" w:type="pct"/>
            <w:tcBorders>
              <w:top w:val="single" w:sz="6" w:space="0" w:color="000000"/>
              <w:left w:val="nil"/>
              <w:bottom w:val="single" w:sz="6" w:space="0" w:color="000000"/>
              <w:right w:val="nil"/>
            </w:tcBorders>
          </w:tcPr>
          <w:p w14:paraId="1FD1D39C" w14:textId="77777777" w:rsidR="00BC0E7E" w:rsidRPr="00BC0E7E" w:rsidRDefault="00944B8F" w:rsidP="00BC0E7E">
            <w:pPr>
              <w:jc w:val="center"/>
              <w:rPr>
                <w:rFonts w:eastAsia="Arial Unicode MS"/>
              </w:rPr>
            </w:pPr>
            <w:r w:rsidRPr="00BC0E7E">
              <w:rPr>
                <w:rFonts w:eastAsia="Arial Unicode MS"/>
                <w:b/>
                <w:bCs/>
              </w:rPr>
              <w:t>Placebo</w:t>
            </w:r>
            <w:r w:rsidRPr="00BC0E7E">
              <w:rPr>
                <w:rFonts w:eastAsia="Arial Unicode MS"/>
              </w:rPr>
              <w:br/>
            </w:r>
          </w:p>
        </w:tc>
        <w:tc>
          <w:tcPr>
            <w:tcW w:w="1411" w:type="pct"/>
            <w:tcBorders>
              <w:top w:val="single" w:sz="6" w:space="0" w:color="000000"/>
              <w:left w:val="nil"/>
              <w:bottom w:val="single" w:sz="6" w:space="0" w:color="000000"/>
              <w:right w:val="nil"/>
            </w:tcBorders>
          </w:tcPr>
          <w:p w14:paraId="4FAFCE8E" w14:textId="77777777" w:rsidR="00BC0E7E" w:rsidRPr="00BC0E7E" w:rsidRDefault="00944B8F" w:rsidP="00BC0E7E">
            <w:pPr>
              <w:jc w:val="center"/>
              <w:rPr>
                <w:rFonts w:eastAsia="Arial Unicode MS"/>
                <w:b/>
                <w:bCs/>
              </w:rPr>
            </w:pPr>
            <w:r w:rsidRPr="00BC0E7E">
              <w:rPr>
                <w:rFonts w:eastAsia="Arial Unicode MS"/>
                <w:b/>
                <w:bCs/>
              </w:rPr>
              <w:t xml:space="preserve">Humira 40 mg </w:t>
            </w:r>
          </w:p>
          <w:p w14:paraId="2693F0FC" w14:textId="77777777" w:rsidR="00BC0E7E" w:rsidRPr="00BC0E7E" w:rsidRDefault="00944B8F" w:rsidP="00BC0E7E">
            <w:pPr>
              <w:jc w:val="center"/>
              <w:rPr>
                <w:rFonts w:eastAsia="Arial Unicode MS"/>
              </w:rPr>
            </w:pPr>
            <w:r w:rsidRPr="00BC0E7E">
              <w:rPr>
                <w:rFonts w:eastAsia="Arial Unicode MS"/>
                <w:b/>
                <w:bCs/>
              </w:rPr>
              <w:t>eow</w:t>
            </w:r>
            <w:r w:rsidRPr="00BC0E7E">
              <w:rPr>
                <w:rFonts w:eastAsia="Arial Unicode MS"/>
              </w:rPr>
              <w:br/>
            </w:r>
          </w:p>
        </w:tc>
      </w:tr>
      <w:tr w:rsidR="00C6578C" w14:paraId="44C796F6" w14:textId="77777777" w:rsidTr="00171601">
        <w:tc>
          <w:tcPr>
            <w:tcW w:w="2945" w:type="pct"/>
            <w:tcBorders>
              <w:top w:val="single" w:sz="6" w:space="0" w:color="000000"/>
              <w:left w:val="nil"/>
              <w:bottom w:val="single" w:sz="6" w:space="0" w:color="000000"/>
              <w:right w:val="nil"/>
            </w:tcBorders>
          </w:tcPr>
          <w:p w14:paraId="0D58B7DD" w14:textId="77777777" w:rsidR="00BC0E7E" w:rsidRPr="00BC0E7E" w:rsidRDefault="00944B8F" w:rsidP="00BC0E7E">
            <w:pPr>
              <w:rPr>
                <w:rFonts w:eastAsia="Arial Unicode MS"/>
              </w:rPr>
            </w:pPr>
            <w:r w:rsidRPr="00BC0E7E">
              <w:rPr>
                <w:rFonts w:eastAsia="Arial Unicode MS"/>
              </w:rPr>
              <w:t>Week 52</w:t>
            </w:r>
          </w:p>
        </w:tc>
        <w:tc>
          <w:tcPr>
            <w:tcW w:w="644" w:type="pct"/>
            <w:tcBorders>
              <w:top w:val="single" w:sz="6" w:space="0" w:color="000000"/>
              <w:left w:val="nil"/>
              <w:bottom w:val="single" w:sz="6" w:space="0" w:color="000000"/>
              <w:right w:val="nil"/>
            </w:tcBorders>
          </w:tcPr>
          <w:p w14:paraId="1F92474B" w14:textId="77777777" w:rsidR="00BC0E7E" w:rsidRPr="00BC0E7E" w:rsidRDefault="00944B8F" w:rsidP="00BC0E7E">
            <w:pPr>
              <w:jc w:val="center"/>
              <w:rPr>
                <w:rFonts w:eastAsia="Arial Unicode MS"/>
                <w:b/>
                <w:bCs/>
              </w:rPr>
            </w:pPr>
            <w:r w:rsidRPr="00BC0E7E">
              <w:rPr>
                <w:rFonts w:eastAsia="Arial Unicode MS"/>
                <w:b/>
                <w:bCs/>
              </w:rPr>
              <w:t>N=246</w:t>
            </w:r>
          </w:p>
        </w:tc>
        <w:tc>
          <w:tcPr>
            <w:tcW w:w="1411" w:type="pct"/>
            <w:tcBorders>
              <w:top w:val="single" w:sz="6" w:space="0" w:color="000000"/>
              <w:left w:val="nil"/>
              <w:bottom w:val="single" w:sz="6" w:space="0" w:color="000000"/>
              <w:right w:val="nil"/>
            </w:tcBorders>
          </w:tcPr>
          <w:p w14:paraId="49C5CFF4" w14:textId="77777777" w:rsidR="00BC0E7E" w:rsidRPr="00BC0E7E" w:rsidRDefault="00944B8F" w:rsidP="00BC0E7E">
            <w:pPr>
              <w:jc w:val="center"/>
              <w:rPr>
                <w:rFonts w:eastAsia="Arial Unicode MS"/>
                <w:b/>
                <w:bCs/>
              </w:rPr>
            </w:pPr>
            <w:r w:rsidRPr="00BC0E7E">
              <w:rPr>
                <w:rFonts w:eastAsia="Arial Unicode MS"/>
                <w:b/>
                <w:bCs/>
              </w:rPr>
              <w:t>N=248</w:t>
            </w:r>
          </w:p>
        </w:tc>
      </w:tr>
      <w:tr w:rsidR="00C6578C" w14:paraId="4BDF2C03" w14:textId="77777777" w:rsidTr="00171601">
        <w:tc>
          <w:tcPr>
            <w:tcW w:w="2945" w:type="pct"/>
            <w:tcBorders>
              <w:top w:val="nil"/>
              <w:left w:val="nil"/>
              <w:right w:val="nil"/>
            </w:tcBorders>
          </w:tcPr>
          <w:p w14:paraId="37F7349C" w14:textId="77777777" w:rsidR="00BC0E7E" w:rsidRPr="00BC0E7E" w:rsidRDefault="00944B8F" w:rsidP="00BC0E7E">
            <w:pPr>
              <w:rPr>
                <w:rFonts w:eastAsia="Arial Unicode MS"/>
              </w:rPr>
            </w:pPr>
            <w:r w:rsidRPr="00BC0E7E">
              <w:rPr>
                <w:rFonts w:eastAsia="Arial Unicode MS"/>
              </w:rPr>
              <w:t xml:space="preserve">  Clinical Response </w:t>
            </w:r>
          </w:p>
        </w:tc>
        <w:tc>
          <w:tcPr>
            <w:tcW w:w="644" w:type="pct"/>
            <w:tcBorders>
              <w:top w:val="nil"/>
              <w:left w:val="nil"/>
              <w:right w:val="nil"/>
            </w:tcBorders>
          </w:tcPr>
          <w:p w14:paraId="21AA04F6" w14:textId="77777777" w:rsidR="00BC0E7E" w:rsidRPr="00BC0E7E" w:rsidRDefault="00944B8F" w:rsidP="00BC0E7E">
            <w:pPr>
              <w:jc w:val="center"/>
              <w:rPr>
                <w:rFonts w:eastAsia="Arial Unicode MS"/>
              </w:rPr>
            </w:pPr>
            <w:r w:rsidRPr="00BC0E7E">
              <w:rPr>
                <w:rFonts w:eastAsia="Arial Unicode MS"/>
              </w:rPr>
              <w:t xml:space="preserve">18% </w:t>
            </w:r>
          </w:p>
        </w:tc>
        <w:tc>
          <w:tcPr>
            <w:tcW w:w="1411" w:type="pct"/>
            <w:tcBorders>
              <w:top w:val="nil"/>
              <w:left w:val="nil"/>
              <w:right w:val="nil"/>
            </w:tcBorders>
          </w:tcPr>
          <w:p w14:paraId="128D255D" w14:textId="77777777" w:rsidR="00BC0E7E" w:rsidRPr="00BC0E7E" w:rsidRDefault="00944B8F" w:rsidP="00BC0E7E">
            <w:pPr>
              <w:jc w:val="center"/>
              <w:rPr>
                <w:rFonts w:eastAsia="Arial Unicode MS"/>
                <w:sz w:val="20"/>
                <w:szCs w:val="20"/>
              </w:rPr>
            </w:pPr>
            <w:r w:rsidRPr="00BC0E7E">
              <w:rPr>
                <w:rFonts w:eastAsia="Arial Unicode MS"/>
              </w:rPr>
              <w:t xml:space="preserve">   30%</w:t>
            </w:r>
            <w:r w:rsidRPr="00BC0E7E">
              <w:rPr>
                <w:rFonts w:eastAsia="Arial Unicode MS"/>
                <w:sz w:val="20"/>
                <w:szCs w:val="20"/>
              </w:rPr>
              <w:t>*</w:t>
            </w:r>
          </w:p>
        </w:tc>
      </w:tr>
      <w:tr w:rsidR="00C6578C" w14:paraId="79A57E5E" w14:textId="77777777" w:rsidTr="00171601">
        <w:tc>
          <w:tcPr>
            <w:tcW w:w="2945" w:type="pct"/>
            <w:tcBorders>
              <w:top w:val="nil"/>
              <w:left w:val="nil"/>
              <w:right w:val="nil"/>
            </w:tcBorders>
          </w:tcPr>
          <w:p w14:paraId="4BA85704" w14:textId="77777777" w:rsidR="00BC0E7E" w:rsidRPr="00BC0E7E" w:rsidRDefault="00944B8F" w:rsidP="00BC0E7E">
            <w:pPr>
              <w:rPr>
                <w:rFonts w:eastAsia="Arial Unicode MS"/>
              </w:rPr>
            </w:pPr>
            <w:r w:rsidRPr="00BC0E7E">
              <w:rPr>
                <w:rFonts w:eastAsia="Arial Unicode MS"/>
              </w:rPr>
              <w:t xml:space="preserve">  Clinical Remission</w:t>
            </w:r>
          </w:p>
        </w:tc>
        <w:tc>
          <w:tcPr>
            <w:tcW w:w="644" w:type="pct"/>
            <w:tcBorders>
              <w:top w:val="nil"/>
              <w:left w:val="nil"/>
              <w:right w:val="nil"/>
            </w:tcBorders>
          </w:tcPr>
          <w:p w14:paraId="141F0BD3" w14:textId="77777777" w:rsidR="00BC0E7E" w:rsidRPr="00BC0E7E" w:rsidRDefault="00944B8F" w:rsidP="00BC0E7E">
            <w:pPr>
              <w:jc w:val="center"/>
              <w:rPr>
                <w:rFonts w:eastAsia="Arial Unicode MS"/>
              </w:rPr>
            </w:pPr>
            <w:r w:rsidRPr="00BC0E7E">
              <w:rPr>
                <w:rFonts w:eastAsia="Arial Unicode MS"/>
              </w:rPr>
              <w:t>9%</w:t>
            </w:r>
          </w:p>
        </w:tc>
        <w:tc>
          <w:tcPr>
            <w:tcW w:w="1411" w:type="pct"/>
            <w:tcBorders>
              <w:top w:val="nil"/>
              <w:left w:val="nil"/>
              <w:right w:val="nil"/>
            </w:tcBorders>
          </w:tcPr>
          <w:p w14:paraId="06154931" w14:textId="77777777" w:rsidR="00BC0E7E" w:rsidRPr="00BC0E7E" w:rsidRDefault="00944B8F" w:rsidP="00BC0E7E">
            <w:pPr>
              <w:jc w:val="center"/>
              <w:rPr>
                <w:rFonts w:eastAsia="Arial Unicode MS"/>
              </w:rPr>
            </w:pPr>
            <w:r w:rsidRPr="00BC0E7E">
              <w:rPr>
                <w:rFonts w:eastAsia="Arial Unicode MS"/>
              </w:rPr>
              <w:t xml:space="preserve">   17%*</w:t>
            </w:r>
          </w:p>
        </w:tc>
      </w:tr>
      <w:tr w:rsidR="00C6578C" w14:paraId="2009025E" w14:textId="77777777" w:rsidTr="00171601">
        <w:tc>
          <w:tcPr>
            <w:tcW w:w="2945" w:type="pct"/>
            <w:tcBorders>
              <w:top w:val="nil"/>
              <w:left w:val="nil"/>
              <w:right w:val="nil"/>
            </w:tcBorders>
          </w:tcPr>
          <w:p w14:paraId="5CEDC45F" w14:textId="77777777" w:rsidR="00BC0E7E" w:rsidRPr="00BC0E7E" w:rsidRDefault="00944B8F" w:rsidP="00BC0E7E">
            <w:pPr>
              <w:rPr>
                <w:rFonts w:eastAsia="Arial Unicode MS"/>
              </w:rPr>
            </w:pPr>
            <w:r w:rsidRPr="00BC0E7E">
              <w:rPr>
                <w:rFonts w:eastAsia="Arial Unicode MS"/>
              </w:rPr>
              <w:t xml:space="preserve">  Mucosal Healing </w:t>
            </w:r>
          </w:p>
        </w:tc>
        <w:tc>
          <w:tcPr>
            <w:tcW w:w="644" w:type="pct"/>
            <w:tcBorders>
              <w:top w:val="nil"/>
              <w:left w:val="nil"/>
              <w:right w:val="nil"/>
            </w:tcBorders>
          </w:tcPr>
          <w:p w14:paraId="289363D4" w14:textId="77777777" w:rsidR="00BC0E7E" w:rsidRPr="00BC0E7E" w:rsidRDefault="00944B8F" w:rsidP="00BC0E7E">
            <w:pPr>
              <w:jc w:val="center"/>
              <w:rPr>
                <w:rFonts w:eastAsia="Arial Unicode MS"/>
              </w:rPr>
            </w:pPr>
            <w:r w:rsidRPr="00BC0E7E">
              <w:rPr>
                <w:rFonts w:eastAsia="Arial Unicode MS"/>
              </w:rPr>
              <w:t>15%</w:t>
            </w:r>
          </w:p>
        </w:tc>
        <w:tc>
          <w:tcPr>
            <w:tcW w:w="1411" w:type="pct"/>
            <w:tcBorders>
              <w:top w:val="nil"/>
              <w:left w:val="nil"/>
              <w:right w:val="nil"/>
            </w:tcBorders>
          </w:tcPr>
          <w:p w14:paraId="39698466" w14:textId="77777777" w:rsidR="00BC0E7E" w:rsidRPr="00BC0E7E" w:rsidRDefault="00944B8F" w:rsidP="00BC0E7E">
            <w:pPr>
              <w:jc w:val="center"/>
              <w:rPr>
                <w:rFonts w:eastAsia="Arial Unicode MS"/>
              </w:rPr>
            </w:pPr>
            <w:r w:rsidRPr="00BC0E7E">
              <w:rPr>
                <w:rFonts w:eastAsia="Arial Unicode MS"/>
              </w:rPr>
              <w:t xml:space="preserve">   25%*</w:t>
            </w:r>
          </w:p>
        </w:tc>
      </w:tr>
      <w:tr w:rsidR="00C6578C" w14:paraId="1178A444" w14:textId="77777777" w:rsidTr="00171601">
        <w:tc>
          <w:tcPr>
            <w:tcW w:w="2945" w:type="pct"/>
            <w:tcBorders>
              <w:top w:val="nil"/>
              <w:left w:val="nil"/>
              <w:right w:val="nil"/>
            </w:tcBorders>
          </w:tcPr>
          <w:p w14:paraId="14AC844D" w14:textId="77777777" w:rsidR="00BC0E7E" w:rsidRPr="00BC0E7E" w:rsidRDefault="00944B8F" w:rsidP="00BC0E7E">
            <w:pPr>
              <w:rPr>
                <w:rFonts w:eastAsia="Arial Unicode MS"/>
              </w:rPr>
            </w:pPr>
            <w:r w:rsidRPr="00BC0E7E">
              <w:rPr>
                <w:rFonts w:eastAsia="Arial Unicode MS"/>
              </w:rPr>
              <w:t xml:space="preserve">  Steroid-free remission for ≥ 90 days</w:t>
            </w:r>
            <w:r w:rsidRPr="00BC0E7E">
              <w:rPr>
                <w:vertAlign w:val="superscript"/>
              </w:rPr>
              <w:t xml:space="preserve"> a</w:t>
            </w:r>
            <w:r w:rsidRPr="00BC0E7E">
              <w:rPr>
                <w:rFonts w:eastAsia="Arial Unicode MS"/>
              </w:rPr>
              <w:t xml:space="preserve"> </w:t>
            </w:r>
          </w:p>
        </w:tc>
        <w:tc>
          <w:tcPr>
            <w:tcW w:w="644" w:type="pct"/>
            <w:tcBorders>
              <w:top w:val="nil"/>
              <w:left w:val="nil"/>
              <w:right w:val="nil"/>
            </w:tcBorders>
          </w:tcPr>
          <w:p w14:paraId="395C41A2" w14:textId="77777777" w:rsidR="00BC0E7E" w:rsidRPr="00BC0E7E" w:rsidRDefault="00944B8F" w:rsidP="00BC0E7E">
            <w:pPr>
              <w:jc w:val="center"/>
              <w:rPr>
                <w:rFonts w:eastAsia="Arial Unicode MS"/>
              </w:rPr>
            </w:pPr>
            <w:r w:rsidRPr="00BC0E7E">
              <w:rPr>
                <w:rFonts w:eastAsia="Arial Unicode MS"/>
              </w:rPr>
              <w:t xml:space="preserve">6% </w:t>
            </w:r>
          </w:p>
          <w:p w14:paraId="234EBE84" w14:textId="77777777" w:rsidR="00BC0E7E" w:rsidRPr="00BC0E7E" w:rsidRDefault="00944B8F" w:rsidP="00BC0E7E">
            <w:pPr>
              <w:jc w:val="center"/>
              <w:rPr>
                <w:rFonts w:eastAsia="Arial Unicode MS"/>
              </w:rPr>
            </w:pPr>
            <w:r w:rsidRPr="00BC0E7E">
              <w:rPr>
                <w:rFonts w:eastAsia="Arial Unicode MS"/>
              </w:rPr>
              <w:t>(N=140)</w:t>
            </w:r>
          </w:p>
        </w:tc>
        <w:tc>
          <w:tcPr>
            <w:tcW w:w="1411" w:type="pct"/>
            <w:tcBorders>
              <w:top w:val="nil"/>
              <w:left w:val="nil"/>
              <w:right w:val="nil"/>
            </w:tcBorders>
          </w:tcPr>
          <w:p w14:paraId="1EEF9F8D" w14:textId="77777777" w:rsidR="00BC0E7E" w:rsidRPr="00BC0E7E" w:rsidRDefault="00944B8F" w:rsidP="00BC0E7E">
            <w:pPr>
              <w:jc w:val="center"/>
              <w:rPr>
                <w:rFonts w:eastAsia="Arial Unicode MS"/>
              </w:rPr>
            </w:pPr>
            <w:r w:rsidRPr="00BC0E7E">
              <w:rPr>
                <w:rFonts w:eastAsia="Arial Unicode MS"/>
              </w:rPr>
              <w:t xml:space="preserve">     13% *</w:t>
            </w:r>
          </w:p>
          <w:p w14:paraId="69C8B6A4" w14:textId="77777777" w:rsidR="00BC0E7E" w:rsidRPr="00BC0E7E" w:rsidRDefault="00944B8F" w:rsidP="00BC0E7E">
            <w:pPr>
              <w:jc w:val="center"/>
              <w:rPr>
                <w:rFonts w:eastAsia="Arial Unicode MS"/>
              </w:rPr>
            </w:pPr>
            <w:r w:rsidRPr="00BC0E7E">
              <w:rPr>
                <w:rFonts w:eastAsia="Arial Unicode MS"/>
              </w:rPr>
              <w:t>(N=150)</w:t>
            </w:r>
          </w:p>
          <w:p w14:paraId="5413AA49" w14:textId="77777777" w:rsidR="00BC0E7E" w:rsidRPr="00BC0E7E" w:rsidRDefault="00BC0E7E" w:rsidP="00BC0E7E">
            <w:pPr>
              <w:rPr>
                <w:rFonts w:eastAsia="Arial Unicode MS"/>
              </w:rPr>
            </w:pPr>
          </w:p>
        </w:tc>
      </w:tr>
      <w:tr w:rsidR="00C6578C" w14:paraId="00244899" w14:textId="77777777" w:rsidTr="00171601">
        <w:tc>
          <w:tcPr>
            <w:tcW w:w="2945" w:type="pct"/>
            <w:tcBorders>
              <w:top w:val="nil"/>
              <w:left w:val="nil"/>
              <w:right w:val="nil"/>
            </w:tcBorders>
          </w:tcPr>
          <w:p w14:paraId="5C426DD6" w14:textId="77777777" w:rsidR="00BC0E7E" w:rsidRPr="00BC0E7E" w:rsidRDefault="00944B8F" w:rsidP="00BC0E7E">
            <w:pPr>
              <w:rPr>
                <w:rFonts w:eastAsia="Arial Unicode MS"/>
              </w:rPr>
            </w:pPr>
            <w:r w:rsidRPr="00BC0E7E">
              <w:rPr>
                <w:rFonts w:eastAsia="Arial Unicode MS"/>
              </w:rPr>
              <w:t>Week 8 and 52</w:t>
            </w:r>
          </w:p>
        </w:tc>
        <w:tc>
          <w:tcPr>
            <w:tcW w:w="644" w:type="pct"/>
            <w:tcBorders>
              <w:top w:val="nil"/>
              <w:left w:val="nil"/>
              <w:right w:val="nil"/>
            </w:tcBorders>
          </w:tcPr>
          <w:p w14:paraId="7B7CA03A" w14:textId="77777777" w:rsidR="00BC0E7E" w:rsidRPr="00BC0E7E" w:rsidRDefault="00BC0E7E" w:rsidP="00BC0E7E">
            <w:pPr>
              <w:jc w:val="center"/>
              <w:rPr>
                <w:rFonts w:eastAsia="Arial Unicode MS"/>
              </w:rPr>
            </w:pPr>
          </w:p>
        </w:tc>
        <w:tc>
          <w:tcPr>
            <w:tcW w:w="1411" w:type="pct"/>
            <w:tcBorders>
              <w:top w:val="nil"/>
              <w:left w:val="nil"/>
              <w:right w:val="nil"/>
            </w:tcBorders>
          </w:tcPr>
          <w:p w14:paraId="771BCA14" w14:textId="77777777" w:rsidR="00BC0E7E" w:rsidRPr="00BC0E7E" w:rsidRDefault="00BC0E7E" w:rsidP="00BC0E7E">
            <w:pPr>
              <w:jc w:val="center"/>
              <w:rPr>
                <w:rFonts w:eastAsia="Arial Unicode MS"/>
              </w:rPr>
            </w:pPr>
          </w:p>
        </w:tc>
      </w:tr>
      <w:tr w:rsidR="00C6578C" w14:paraId="791BB684" w14:textId="77777777" w:rsidTr="00171601">
        <w:tc>
          <w:tcPr>
            <w:tcW w:w="2945" w:type="pct"/>
            <w:tcBorders>
              <w:top w:val="nil"/>
              <w:left w:val="nil"/>
              <w:right w:val="nil"/>
            </w:tcBorders>
          </w:tcPr>
          <w:p w14:paraId="0B01B548" w14:textId="77777777" w:rsidR="00BC0E7E" w:rsidRPr="00BC0E7E" w:rsidRDefault="00944B8F" w:rsidP="00BC0E7E">
            <w:pPr>
              <w:rPr>
                <w:rFonts w:eastAsia="Arial Unicode MS"/>
              </w:rPr>
            </w:pPr>
            <w:r w:rsidRPr="00BC0E7E">
              <w:rPr>
                <w:rFonts w:eastAsia="Arial Unicode MS"/>
              </w:rPr>
              <w:t xml:space="preserve">  Sustained Response </w:t>
            </w:r>
          </w:p>
        </w:tc>
        <w:tc>
          <w:tcPr>
            <w:tcW w:w="644" w:type="pct"/>
            <w:tcBorders>
              <w:top w:val="nil"/>
              <w:left w:val="nil"/>
              <w:right w:val="nil"/>
            </w:tcBorders>
          </w:tcPr>
          <w:p w14:paraId="5B943843" w14:textId="77777777" w:rsidR="00BC0E7E" w:rsidRPr="00BC0E7E" w:rsidRDefault="00944B8F" w:rsidP="00BC0E7E">
            <w:pPr>
              <w:jc w:val="center"/>
              <w:rPr>
                <w:rFonts w:eastAsia="Arial Unicode MS"/>
              </w:rPr>
            </w:pPr>
            <w:r w:rsidRPr="00BC0E7E">
              <w:rPr>
                <w:rFonts w:eastAsia="Arial Unicode MS"/>
              </w:rPr>
              <w:t>12%</w:t>
            </w:r>
          </w:p>
        </w:tc>
        <w:tc>
          <w:tcPr>
            <w:tcW w:w="1411" w:type="pct"/>
            <w:tcBorders>
              <w:top w:val="nil"/>
              <w:left w:val="nil"/>
              <w:right w:val="nil"/>
            </w:tcBorders>
          </w:tcPr>
          <w:p w14:paraId="603F57E4" w14:textId="77777777" w:rsidR="00BC0E7E" w:rsidRPr="00BC0E7E" w:rsidRDefault="00944B8F" w:rsidP="00BC0E7E">
            <w:pPr>
              <w:jc w:val="center"/>
              <w:rPr>
                <w:rFonts w:eastAsia="Arial Unicode MS"/>
              </w:rPr>
            </w:pPr>
            <w:r w:rsidRPr="00BC0E7E">
              <w:rPr>
                <w:rFonts w:eastAsia="Arial Unicode MS"/>
              </w:rPr>
              <w:t xml:space="preserve">   24%**</w:t>
            </w:r>
          </w:p>
        </w:tc>
      </w:tr>
      <w:tr w:rsidR="00C6578C" w14:paraId="43E677BD" w14:textId="77777777" w:rsidTr="00171601">
        <w:tc>
          <w:tcPr>
            <w:tcW w:w="2945" w:type="pct"/>
            <w:tcBorders>
              <w:top w:val="nil"/>
              <w:left w:val="nil"/>
              <w:right w:val="nil"/>
            </w:tcBorders>
          </w:tcPr>
          <w:p w14:paraId="3735ED59" w14:textId="77777777" w:rsidR="00BC0E7E" w:rsidRPr="00BC0E7E" w:rsidRDefault="00944B8F" w:rsidP="00BC0E7E">
            <w:pPr>
              <w:rPr>
                <w:rFonts w:eastAsia="Arial Unicode MS"/>
              </w:rPr>
            </w:pPr>
            <w:r w:rsidRPr="00BC0E7E">
              <w:rPr>
                <w:rFonts w:eastAsia="Arial Unicode MS"/>
              </w:rPr>
              <w:t xml:space="preserve">  Sustained Remission </w:t>
            </w:r>
          </w:p>
        </w:tc>
        <w:tc>
          <w:tcPr>
            <w:tcW w:w="644" w:type="pct"/>
            <w:tcBorders>
              <w:top w:val="nil"/>
              <w:left w:val="nil"/>
              <w:right w:val="nil"/>
            </w:tcBorders>
          </w:tcPr>
          <w:p w14:paraId="2ADF51DD" w14:textId="77777777" w:rsidR="00BC0E7E" w:rsidRPr="00BC0E7E" w:rsidRDefault="00944B8F" w:rsidP="00BC0E7E">
            <w:pPr>
              <w:jc w:val="center"/>
              <w:rPr>
                <w:rFonts w:eastAsia="Arial Unicode MS"/>
              </w:rPr>
            </w:pPr>
            <w:r w:rsidRPr="00BC0E7E">
              <w:rPr>
                <w:rFonts w:eastAsia="Arial Unicode MS"/>
              </w:rPr>
              <w:t>4%</w:t>
            </w:r>
          </w:p>
        </w:tc>
        <w:tc>
          <w:tcPr>
            <w:tcW w:w="1411" w:type="pct"/>
            <w:tcBorders>
              <w:top w:val="nil"/>
              <w:left w:val="nil"/>
              <w:right w:val="nil"/>
            </w:tcBorders>
          </w:tcPr>
          <w:p w14:paraId="54545FA7" w14:textId="77777777" w:rsidR="00BC0E7E" w:rsidRPr="00BC0E7E" w:rsidRDefault="00944B8F" w:rsidP="00BC0E7E">
            <w:pPr>
              <w:jc w:val="center"/>
              <w:rPr>
                <w:rFonts w:eastAsia="Arial Unicode MS"/>
              </w:rPr>
            </w:pPr>
            <w:r w:rsidRPr="00BC0E7E">
              <w:rPr>
                <w:rFonts w:eastAsia="Arial Unicode MS"/>
              </w:rPr>
              <w:t xml:space="preserve">   8%*</w:t>
            </w:r>
          </w:p>
        </w:tc>
      </w:tr>
      <w:tr w:rsidR="00C6578C" w14:paraId="205ADF55" w14:textId="77777777" w:rsidTr="00171601">
        <w:tc>
          <w:tcPr>
            <w:tcW w:w="2945" w:type="pct"/>
            <w:tcBorders>
              <w:top w:val="nil"/>
              <w:left w:val="nil"/>
              <w:bottom w:val="single" w:sz="6" w:space="0" w:color="000000"/>
              <w:right w:val="nil"/>
            </w:tcBorders>
          </w:tcPr>
          <w:p w14:paraId="7B8C60FA" w14:textId="77777777" w:rsidR="00BC0E7E" w:rsidRPr="00BC0E7E" w:rsidRDefault="00944B8F" w:rsidP="00BC0E7E">
            <w:pPr>
              <w:rPr>
                <w:rFonts w:eastAsia="Arial Unicode MS"/>
              </w:rPr>
            </w:pPr>
            <w:r w:rsidRPr="00BC0E7E">
              <w:rPr>
                <w:rFonts w:eastAsia="Arial Unicode MS"/>
              </w:rPr>
              <w:t xml:space="preserve">  Sustained Mucosal Healing </w:t>
            </w:r>
          </w:p>
        </w:tc>
        <w:tc>
          <w:tcPr>
            <w:tcW w:w="644" w:type="pct"/>
            <w:tcBorders>
              <w:top w:val="nil"/>
              <w:left w:val="nil"/>
              <w:bottom w:val="single" w:sz="6" w:space="0" w:color="000000"/>
              <w:right w:val="nil"/>
            </w:tcBorders>
          </w:tcPr>
          <w:p w14:paraId="5371566C" w14:textId="77777777" w:rsidR="00BC0E7E" w:rsidRPr="00BC0E7E" w:rsidRDefault="00944B8F" w:rsidP="00BC0E7E">
            <w:pPr>
              <w:jc w:val="center"/>
              <w:rPr>
                <w:rFonts w:eastAsia="Arial Unicode MS"/>
              </w:rPr>
            </w:pPr>
            <w:r w:rsidRPr="00BC0E7E">
              <w:rPr>
                <w:rFonts w:eastAsia="Arial Unicode MS"/>
              </w:rPr>
              <w:t>11%</w:t>
            </w:r>
          </w:p>
        </w:tc>
        <w:tc>
          <w:tcPr>
            <w:tcW w:w="1411" w:type="pct"/>
            <w:tcBorders>
              <w:top w:val="nil"/>
              <w:left w:val="nil"/>
              <w:bottom w:val="single" w:sz="6" w:space="0" w:color="000000"/>
              <w:right w:val="nil"/>
            </w:tcBorders>
          </w:tcPr>
          <w:p w14:paraId="3E0D53F6" w14:textId="77777777" w:rsidR="00BC0E7E" w:rsidRPr="00BC0E7E" w:rsidRDefault="00944B8F" w:rsidP="00BC0E7E">
            <w:pPr>
              <w:jc w:val="center"/>
              <w:rPr>
                <w:rFonts w:eastAsia="Arial Unicode MS"/>
              </w:rPr>
            </w:pPr>
            <w:r w:rsidRPr="00BC0E7E">
              <w:rPr>
                <w:rFonts w:eastAsia="Arial Unicode MS"/>
              </w:rPr>
              <w:t xml:space="preserve">  19%*</w:t>
            </w:r>
          </w:p>
        </w:tc>
      </w:tr>
      <w:tr w:rsidR="00C6578C" w14:paraId="0CFE0DBE" w14:textId="77777777" w:rsidTr="00171601">
        <w:tc>
          <w:tcPr>
            <w:tcW w:w="5000" w:type="pct"/>
            <w:gridSpan w:val="3"/>
            <w:tcBorders>
              <w:top w:val="nil"/>
              <w:left w:val="nil"/>
              <w:bottom w:val="nil"/>
              <w:right w:val="nil"/>
            </w:tcBorders>
          </w:tcPr>
          <w:p w14:paraId="593686FC" w14:textId="77777777" w:rsidR="00BC0E7E" w:rsidRPr="00BC0E7E" w:rsidRDefault="00944B8F" w:rsidP="00BC0E7E">
            <w:pPr>
              <w:spacing w:line="264" w:lineRule="atLeast"/>
              <w:rPr>
                <w:rFonts w:eastAsia="Arial Unicode MS"/>
              </w:rPr>
            </w:pPr>
            <w:r w:rsidRPr="00BC0E7E">
              <w:rPr>
                <w:rFonts w:eastAsia="Arial Unicode MS"/>
              </w:rPr>
              <w:t>Clinical remission is Mayo score  ≤ 2 with no subscore &gt; 1;</w:t>
            </w:r>
          </w:p>
          <w:p w14:paraId="1BE559D9" w14:textId="77777777" w:rsidR="00BC0E7E" w:rsidRPr="00BC0E7E" w:rsidRDefault="00944B8F" w:rsidP="00BC0E7E">
            <w:pPr>
              <w:spacing w:line="264" w:lineRule="atLeast"/>
              <w:rPr>
                <w:rFonts w:eastAsia="Arial Unicode MS"/>
              </w:rPr>
            </w:pPr>
            <w:r w:rsidRPr="00BC0E7E">
              <w:rPr>
                <w:rFonts w:eastAsia="Arial Unicode MS"/>
              </w:rPr>
              <w:t>Clinical response is decrease from baseline in Mayo score ≥ 3 points and ≥ 30% plus a decrease in the rectal bleeding subscore [RBS] ≥ 1 or an absolute RBS of 0 or 1;</w:t>
            </w:r>
          </w:p>
          <w:p w14:paraId="48B4ADAD" w14:textId="77777777" w:rsidR="00BC0E7E" w:rsidRPr="00BC0E7E" w:rsidRDefault="00944B8F" w:rsidP="00BC0E7E">
            <w:pPr>
              <w:spacing w:line="264" w:lineRule="atLeast"/>
              <w:rPr>
                <w:rFonts w:eastAsia="Arial Unicode MS"/>
              </w:rPr>
            </w:pPr>
            <w:r w:rsidRPr="00BC0E7E">
              <w:rPr>
                <w:rFonts w:eastAsia="Arial Unicode MS"/>
                <w:sz w:val="24"/>
                <w:szCs w:val="19"/>
                <w:vertAlign w:val="superscript"/>
              </w:rPr>
              <w:t>*</w:t>
            </w:r>
            <w:r w:rsidRPr="00BC0E7E">
              <w:rPr>
                <w:rFonts w:eastAsia="Arial Unicode MS"/>
              </w:rPr>
              <w:t xml:space="preserve">p &lt; 0.05 for Humira </w:t>
            </w:r>
            <w:r w:rsidRPr="00BC0E7E">
              <w:rPr>
                <w:rFonts w:eastAsia="Arial Unicode MS"/>
                <w:i/>
                <w:iCs/>
              </w:rPr>
              <w:t>vs.</w:t>
            </w:r>
            <w:r w:rsidRPr="00BC0E7E">
              <w:rPr>
                <w:rFonts w:eastAsia="Arial Unicode MS"/>
              </w:rPr>
              <w:t xml:space="preserve"> placebo pairwise comparison of proportions </w:t>
            </w:r>
          </w:p>
          <w:p w14:paraId="5677A980" w14:textId="77777777" w:rsidR="00BC0E7E" w:rsidRPr="00BC0E7E" w:rsidRDefault="00944B8F" w:rsidP="00BC0E7E">
            <w:pPr>
              <w:spacing w:line="264" w:lineRule="atLeast"/>
              <w:rPr>
                <w:rFonts w:eastAsia="Arial Unicode MS"/>
              </w:rPr>
            </w:pPr>
            <w:r w:rsidRPr="00BC0E7E">
              <w:rPr>
                <w:rFonts w:eastAsia="Arial Unicode MS"/>
                <w:sz w:val="20"/>
                <w:szCs w:val="20"/>
              </w:rPr>
              <w:t>**</w:t>
            </w:r>
            <w:r w:rsidRPr="00BC0E7E">
              <w:rPr>
                <w:rFonts w:eastAsia="Arial Unicode MS"/>
              </w:rPr>
              <w:t xml:space="preserve">p &lt; 0.001 for Humira </w:t>
            </w:r>
            <w:r w:rsidRPr="00BC0E7E">
              <w:rPr>
                <w:rFonts w:eastAsia="Arial Unicode MS"/>
                <w:i/>
              </w:rPr>
              <w:t>vs.</w:t>
            </w:r>
            <w:r w:rsidRPr="00BC0E7E">
              <w:rPr>
                <w:rFonts w:eastAsia="Arial Unicode MS"/>
              </w:rPr>
              <w:t xml:space="preserve"> placebo pairwise comparison of proportions</w:t>
            </w:r>
          </w:p>
          <w:p w14:paraId="47AE83AB" w14:textId="77777777" w:rsidR="00BC0E7E" w:rsidRPr="00BC0E7E" w:rsidRDefault="00944B8F" w:rsidP="00BC0E7E">
            <w:pPr>
              <w:spacing w:line="264" w:lineRule="atLeast"/>
              <w:rPr>
                <w:rFonts w:eastAsia="Arial Unicode MS"/>
                <w:b/>
              </w:rPr>
            </w:pPr>
            <w:r w:rsidRPr="00BC0E7E">
              <w:rPr>
                <w:vertAlign w:val="superscript"/>
              </w:rPr>
              <w:t xml:space="preserve">a </w:t>
            </w:r>
            <w:r w:rsidRPr="00BC0E7E">
              <w:t xml:space="preserve">  Of those receiving corticosteroids at baseline</w:t>
            </w:r>
          </w:p>
        </w:tc>
      </w:tr>
    </w:tbl>
    <w:p w14:paraId="0961E49B" w14:textId="77777777" w:rsidR="00BC0E7E" w:rsidRPr="00BC0E7E" w:rsidRDefault="00BC0E7E" w:rsidP="00BC0E7E">
      <w:pPr>
        <w:rPr>
          <w:iCs/>
          <w:szCs w:val="22"/>
        </w:rPr>
      </w:pPr>
    </w:p>
    <w:p w14:paraId="0B8BB2BA" w14:textId="77777777" w:rsidR="00BC0E7E" w:rsidRPr="00BC0E7E" w:rsidRDefault="00944B8F" w:rsidP="00BC0E7E">
      <w:pPr>
        <w:tabs>
          <w:tab w:val="clear" w:pos="562"/>
        </w:tabs>
        <w:suppressAutoHyphens w:val="0"/>
        <w:autoSpaceDE w:val="0"/>
        <w:autoSpaceDN w:val="0"/>
        <w:adjustRightInd w:val="0"/>
        <w:rPr>
          <w:iCs/>
          <w:szCs w:val="22"/>
        </w:rPr>
      </w:pPr>
      <w:r w:rsidRPr="00BC0E7E">
        <w:rPr>
          <w:iCs/>
          <w:szCs w:val="22"/>
        </w:rPr>
        <w:t>Of those patients who had a response at Week 8, 47% were in response, 29% were in remission, 41% had mucosal healing, and 20% were in steroid-free remission for ≥ 90 days at Week 52.</w:t>
      </w:r>
    </w:p>
    <w:p w14:paraId="095447B1" w14:textId="77777777" w:rsidR="00BC0E7E" w:rsidRPr="00BC0E7E" w:rsidRDefault="00BC0E7E" w:rsidP="00BC0E7E">
      <w:pPr>
        <w:tabs>
          <w:tab w:val="clear" w:pos="562"/>
        </w:tabs>
        <w:suppressAutoHyphens w:val="0"/>
        <w:autoSpaceDE w:val="0"/>
        <w:autoSpaceDN w:val="0"/>
        <w:adjustRightInd w:val="0"/>
        <w:rPr>
          <w:iCs/>
          <w:szCs w:val="22"/>
        </w:rPr>
      </w:pPr>
    </w:p>
    <w:p w14:paraId="014EF4AC" w14:textId="77777777" w:rsidR="00BC0E7E" w:rsidRPr="00BC0E7E" w:rsidRDefault="00944B8F" w:rsidP="00BC0E7E">
      <w:pPr>
        <w:tabs>
          <w:tab w:val="clear" w:pos="562"/>
        </w:tabs>
        <w:suppressAutoHyphens w:val="0"/>
        <w:autoSpaceDE w:val="0"/>
        <w:autoSpaceDN w:val="0"/>
        <w:adjustRightInd w:val="0"/>
        <w:rPr>
          <w:iCs/>
          <w:szCs w:val="22"/>
        </w:rPr>
      </w:pPr>
      <w:r w:rsidRPr="00BC0E7E">
        <w:rPr>
          <w:iCs/>
          <w:szCs w:val="22"/>
        </w:rPr>
        <w:t>Approximately 40% of patients in study UC-II had failed prior anti-TNF treatment with infliximab. The efficacy of adalimumab in those patients was reduced compared to that in anti-TNF naïve patients.  Among patients who had failed prior anti-TNF treatment, Week 52 remission was achieved by 3% on placebo and 10% on adalimumab.</w:t>
      </w:r>
    </w:p>
    <w:p w14:paraId="4D0D13C5" w14:textId="77777777" w:rsidR="00BC0E7E" w:rsidRPr="00BC0E7E" w:rsidRDefault="00BC0E7E" w:rsidP="00BC0E7E">
      <w:pPr>
        <w:tabs>
          <w:tab w:val="clear" w:pos="562"/>
        </w:tabs>
        <w:suppressAutoHyphens w:val="0"/>
        <w:autoSpaceDE w:val="0"/>
        <w:autoSpaceDN w:val="0"/>
        <w:adjustRightInd w:val="0"/>
        <w:rPr>
          <w:szCs w:val="22"/>
        </w:rPr>
      </w:pPr>
    </w:p>
    <w:p w14:paraId="09BC49A2" w14:textId="77777777" w:rsidR="00BC0E7E" w:rsidRPr="00BC0E7E" w:rsidRDefault="00944B8F" w:rsidP="00BC0E7E">
      <w:pPr>
        <w:rPr>
          <w:szCs w:val="22"/>
        </w:rPr>
      </w:pPr>
      <w:r w:rsidRPr="00BC0E7E">
        <w:rPr>
          <w:szCs w:val="22"/>
        </w:rPr>
        <w:t xml:space="preserve">Patients from studies UC-I and UC-II had the option to roll over into an open-label long-term extension study (UC III). Following 3 years of adalimumab therapy, 75% (301/402) continued to be in clinical remission per partial Mayo score. </w:t>
      </w:r>
    </w:p>
    <w:p w14:paraId="17617B5C" w14:textId="77777777" w:rsidR="00BC0E7E" w:rsidRPr="00BC0E7E" w:rsidRDefault="00BC0E7E" w:rsidP="00BC0E7E">
      <w:pPr>
        <w:rPr>
          <w:szCs w:val="22"/>
        </w:rPr>
      </w:pPr>
    </w:p>
    <w:p w14:paraId="11C6320B" w14:textId="77777777" w:rsidR="00BC0E7E" w:rsidRPr="00BC0E7E" w:rsidRDefault="00944B8F" w:rsidP="00BC0E7E">
      <w:pPr>
        <w:keepNext/>
        <w:rPr>
          <w:bCs/>
          <w:i/>
          <w:szCs w:val="22"/>
          <w:u w:val="single"/>
        </w:rPr>
      </w:pPr>
      <w:r w:rsidRPr="00BC0E7E">
        <w:rPr>
          <w:bCs/>
          <w:i/>
          <w:szCs w:val="22"/>
          <w:u w:val="single"/>
        </w:rPr>
        <w:t>Hospitalisation rates</w:t>
      </w:r>
    </w:p>
    <w:p w14:paraId="7B7A9D9E" w14:textId="77777777" w:rsidR="00BC0E7E" w:rsidRPr="00BC0E7E" w:rsidRDefault="00BC0E7E" w:rsidP="00BC0E7E">
      <w:pPr>
        <w:keepNext/>
        <w:rPr>
          <w:szCs w:val="22"/>
        </w:rPr>
      </w:pPr>
    </w:p>
    <w:p w14:paraId="29FDBD7F" w14:textId="77777777" w:rsidR="00BC0E7E" w:rsidRPr="00BC0E7E" w:rsidRDefault="00944B8F" w:rsidP="00BC0E7E">
      <w:pPr>
        <w:keepNext/>
        <w:rPr>
          <w:szCs w:val="22"/>
        </w:rPr>
      </w:pPr>
      <w:r w:rsidRPr="00BC0E7E">
        <w:rPr>
          <w:szCs w:val="22"/>
        </w:rPr>
        <w:t xml:space="preserve">During 52 weeks of studies UC-I and UC-II, lower rates of all-cause hospitalisations and UC-related hospitalisations were observed for the adalimumab-treated arm compared to the placebo arm. </w:t>
      </w:r>
      <w:r w:rsidRPr="00BC0E7E">
        <w:rPr>
          <w:iCs/>
          <w:szCs w:val="20"/>
          <w:lang w:eastAsia="sv-SE"/>
        </w:rPr>
        <w:t xml:space="preserve">The number of all cause hospitalisations in the adalimumab treatment group was 0.18 per patient year </w:t>
      </w:r>
      <w:r w:rsidRPr="00BC0E7E">
        <w:rPr>
          <w:i/>
          <w:iCs/>
          <w:szCs w:val="20"/>
          <w:lang w:eastAsia="sv-SE"/>
        </w:rPr>
        <w:t>vs</w:t>
      </w:r>
      <w:r w:rsidRPr="00BC0E7E">
        <w:rPr>
          <w:iCs/>
          <w:szCs w:val="20"/>
          <w:lang w:eastAsia="sv-SE"/>
        </w:rPr>
        <w:t xml:space="preserve">. 0.26 per </w:t>
      </w:r>
      <w:r w:rsidRPr="00BC0E7E">
        <w:rPr>
          <w:iCs/>
          <w:szCs w:val="20"/>
          <w:lang w:eastAsia="sv-SE"/>
        </w:rPr>
        <w:lastRenderedPageBreak/>
        <w:t xml:space="preserve">patient year in the placebo group and the corresponding figures for UC-related hospitalisations were 0.12 per patient year </w:t>
      </w:r>
      <w:r w:rsidRPr="00BC0E7E">
        <w:rPr>
          <w:i/>
          <w:iCs/>
          <w:szCs w:val="20"/>
          <w:lang w:eastAsia="sv-SE"/>
        </w:rPr>
        <w:t>vs.</w:t>
      </w:r>
      <w:r w:rsidRPr="00BC0E7E">
        <w:rPr>
          <w:iCs/>
          <w:szCs w:val="20"/>
          <w:lang w:eastAsia="sv-SE"/>
        </w:rPr>
        <w:t xml:space="preserve"> 0.22 per patient year.</w:t>
      </w:r>
    </w:p>
    <w:p w14:paraId="065B77CC" w14:textId="77777777" w:rsidR="00BC0E7E" w:rsidRPr="00BC0E7E" w:rsidRDefault="00BC0E7E" w:rsidP="00BC0E7E">
      <w:pPr>
        <w:rPr>
          <w:szCs w:val="22"/>
        </w:rPr>
      </w:pPr>
    </w:p>
    <w:p w14:paraId="7E0F8B99" w14:textId="77777777" w:rsidR="00BC0E7E" w:rsidRPr="00BC0E7E" w:rsidRDefault="00944B8F" w:rsidP="00BC0E7E">
      <w:pPr>
        <w:keepNext/>
        <w:rPr>
          <w:bCs/>
          <w:i/>
          <w:szCs w:val="22"/>
          <w:u w:val="single"/>
        </w:rPr>
      </w:pPr>
      <w:r w:rsidRPr="00BC0E7E">
        <w:rPr>
          <w:bCs/>
          <w:i/>
          <w:szCs w:val="22"/>
          <w:u w:val="single"/>
        </w:rPr>
        <w:t>Quality of life</w:t>
      </w:r>
    </w:p>
    <w:p w14:paraId="356B5927" w14:textId="77777777" w:rsidR="00BC0E7E" w:rsidRPr="00BC0E7E" w:rsidRDefault="00BC0E7E" w:rsidP="00BC0E7E">
      <w:pPr>
        <w:keepNext/>
        <w:rPr>
          <w:szCs w:val="22"/>
        </w:rPr>
      </w:pPr>
    </w:p>
    <w:p w14:paraId="72480EA6" w14:textId="77777777" w:rsidR="00BC0E7E" w:rsidRPr="00BC0E7E" w:rsidRDefault="00944B8F" w:rsidP="00BC0E7E">
      <w:pPr>
        <w:rPr>
          <w:szCs w:val="20"/>
        </w:rPr>
      </w:pPr>
      <w:r w:rsidRPr="00BC0E7E">
        <w:rPr>
          <w:szCs w:val="22"/>
        </w:rPr>
        <w:t>In study UC-II, treatment with adalimumab resulted in improvements in the Inflammatory Bowel Disease Questionnaire (IBDQ) score.</w:t>
      </w:r>
      <w:r w:rsidRPr="00BC0E7E">
        <w:rPr>
          <w:szCs w:val="20"/>
        </w:rPr>
        <w:t xml:space="preserve"> </w:t>
      </w:r>
    </w:p>
    <w:p w14:paraId="5166DC35" w14:textId="77777777" w:rsidR="00BC0E7E" w:rsidRPr="00BC0E7E" w:rsidRDefault="00BC0E7E" w:rsidP="00BC0E7E">
      <w:pPr>
        <w:rPr>
          <w:szCs w:val="20"/>
        </w:rPr>
      </w:pPr>
    </w:p>
    <w:p w14:paraId="721AB84A" w14:textId="77777777" w:rsidR="00BC0E7E" w:rsidRPr="00BC0E7E" w:rsidRDefault="00944B8F" w:rsidP="00BC0E7E">
      <w:pPr>
        <w:keepNext/>
        <w:rPr>
          <w:bCs/>
          <w:i/>
          <w:szCs w:val="22"/>
        </w:rPr>
      </w:pPr>
      <w:r w:rsidRPr="00BC0E7E">
        <w:rPr>
          <w:bCs/>
          <w:i/>
          <w:szCs w:val="22"/>
        </w:rPr>
        <w:t>Uveitis</w:t>
      </w:r>
    </w:p>
    <w:p w14:paraId="061CE353" w14:textId="77777777" w:rsidR="00BC0E7E" w:rsidRPr="00BC0E7E" w:rsidRDefault="00BC0E7E" w:rsidP="00BC0E7E">
      <w:pPr>
        <w:keepNext/>
        <w:rPr>
          <w:bCs/>
          <w:szCs w:val="22"/>
        </w:rPr>
      </w:pPr>
    </w:p>
    <w:p w14:paraId="1D49A51F" w14:textId="77777777" w:rsidR="00BC0E7E" w:rsidRPr="00BC0E7E" w:rsidRDefault="00944B8F" w:rsidP="00BC0E7E">
      <w:pPr>
        <w:rPr>
          <w:szCs w:val="22"/>
        </w:rPr>
      </w:pPr>
      <w:r w:rsidRPr="00BC0E7E">
        <w:rPr>
          <w:szCs w:val="22"/>
        </w:rPr>
        <w:t>The safety and efficacy of Humira were assessed in adult patients with non-infectious intermediate, posterior, and panuveitis, excluding patients with isolated anterior uveitis, in two randomised, double-masked, placebo-controlled studies (UV I and II). Patients received placebo or Humira at an initial dose of 80 mg followed by 40 mg every other week starting one week after the initial dose. Concomitant stable doses of one</w:t>
      </w:r>
      <w:r w:rsidRPr="00BC0E7E">
        <w:rPr>
          <w:b/>
          <w:i/>
          <w:szCs w:val="22"/>
        </w:rPr>
        <w:t xml:space="preserve"> </w:t>
      </w:r>
      <w:r w:rsidRPr="00BC0E7E">
        <w:rPr>
          <w:szCs w:val="22"/>
        </w:rPr>
        <w:t xml:space="preserve">non-biologic immunosuppressant were permitted. </w:t>
      </w:r>
    </w:p>
    <w:p w14:paraId="2D50520E" w14:textId="77777777" w:rsidR="00BC0E7E" w:rsidRPr="00BC0E7E" w:rsidRDefault="00BC0E7E" w:rsidP="00BC0E7E">
      <w:pPr>
        <w:rPr>
          <w:szCs w:val="22"/>
        </w:rPr>
      </w:pPr>
    </w:p>
    <w:p w14:paraId="7D68BAF9" w14:textId="77777777" w:rsidR="00BC0E7E" w:rsidRPr="00BC0E7E" w:rsidRDefault="00944B8F" w:rsidP="00BC0E7E">
      <w:pPr>
        <w:rPr>
          <w:szCs w:val="22"/>
        </w:rPr>
      </w:pPr>
      <w:r w:rsidRPr="00BC0E7E">
        <w:rPr>
          <w:szCs w:val="22"/>
        </w:rPr>
        <w:t>Study UV I evaluated 217 patients with active uveitis despite treatment with corticosteroids (oral prednisone at a dose of 10 to 60 mg/day). All patients received a 2-week</w:t>
      </w:r>
      <w:r w:rsidRPr="00BC0E7E">
        <w:rPr>
          <w:b/>
          <w:i/>
          <w:szCs w:val="22"/>
        </w:rPr>
        <w:t xml:space="preserve"> </w:t>
      </w:r>
      <w:r w:rsidRPr="00BC0E7E">
        <w:rPr>
          <w:szCs w:val="22"/>
        </w:rPr>
        <w:t xml:space="preserve">standardised dose of prednisone 60 mg/day at study entry followed by a mandatory taper schedule, with complete corticosteroid discontinuation by Week 15. </w:t>
      </w:r>
    </w:p>
    <w:p w14:paraId="35D9E522" w14:textId="77777777" w:rsidR="00BC0E7E" w:rsidRPr="00BC0E7E" w:rsidRDefault="00BC0E7E" w:rsidP="00BC0E7E">
      <w:pPr>
        <w:rPr>
          <w:szCs w:val="22"/>
        </w:rPr>
      </w:pPr>
    </w:p>
    <w:p w14:paraId="03381ACD" w14:textId="77777777" w:rsidR="00BC0E7E" w:rsidRPr="00BC0E7E" w:rsidRDefault="00944B8F" w:rsidP="00BC0E7E">
      <w:pPr>
        <w:rPr>
          <w:szCs w:val="22"/>
        </w:rPr>
      </w:pPr>
      <w:r w:rsidRPr="00BC0E7E">
        <w:rPr>
          <w:szCs w:val="22"/>
        </w:rPr>
        <w:t xml:space="preserve">Study UV II evaluated 226 patients with inactive uveitis requiring chronic corticosteroid treatment (oral prednisone 10 to 35 mg/day) at baseline to control their disease. Patients subsequently underwent a mandatory taper schedule, with complete corticosteroid discontinuation by Week 19. </w:t>
      </w:r>
    </w:p>
    <w:p w14:paraId="1A68EEF6" w14:textId="77777777" w:rsidR="00BC0E7E" w:rsidRPr="00BC0E7E" w:rsidRDefault="00BC0E7E" w:rsidP="00BC0E7E">
      <w:pPr>
        <w:rPr>
          <w:szCs w:val="22"/>
        </w:rPr>
      </w:pPr>
    </w:p>
    <w:p w14:paraId="46A40798" w14:textId="77777777" w:rsidR="00BC0E7E" w:rsidRPr="00BC0E7E" w:rsidRDefault="00944B8F" w:rsidP="00BC0E7E">
      <w:pPr>
        <w:rPr>
          <w:szCs w:val="22"/>
        </w:rPr>
      </w:pPr>
      <w:r w:rsidRPr="00BC0E7E">
        <w:rPr>
          <w:szCs w:val="22"/>
        </w:rPr>
        <w:t xml:space="preserve">The primary efficacy endpoint in both studies was ´time to treatment failure´. Treatment failure was defined by a multi-component outcome based on inflammatory chorioretinal and/or inflammatory retinal vascular lesions, anterior chamber (AC) cell grade, vitreous haze (VH) grade and best corrected visual acuity (BCVA). </w:t>
      </w:r>
    </w:p>
    <w:p w14:paraId="1DC433DA" w14:textId="77777777" w:rsidR="00BC0E7E" w:rsidRDefault="00BC0E7E" w:rsidP="00BC0E7E">
      <w:pPr>
        <w:rPr>
          <w:szCs w:val="20"/>
        </w:rPr>
      </w:pPr>
    </w:p>
    <w:p w14:paraId="0B05FFAD" w14:textId="77777777" w:rsidR="000B2E24" w:rsidRDefault="00944B8F" w:rsidP="00BC0E7E">
      <w:pPr>
        <w:rPr>
          <w:szCs w:val="22"/>
        </w:rPr>
      </w:pPr>
      <w:r>
        <w:rPr>
          <w:szCs w:val="22"/>
        </w:rPr>
        <w:t>Patients who completed Studies UV I and UV</w:t>
      </w:r>
      <w:r w:rsidR="00947BEB">
        <w:rPr>
          <w:szCs w:val="22"/>
        </w:rPr>
        <w:t xml:space="preserve"> II were eligible to enroll in</w:t>
      </w:r>
      <w:r>
        <w:rPr>
          <w:szCs w:val="22"/>
        </w:rPr>
        <w:t xml:space="preserve"> an uncontrolled long-term extension study with an originally planned duration of 78 weeks. Patients were allowed to continue on study medication beyond Week 78 until they had access to Humira.</w:t>
      </w:r>
    </w:p>
    <w:p w14:paraId="002E3C49" w14:textId="77777777" w:rsidR="000B2E24" w:rsidRPr="00BC0E7E" w:rsidRDefault="000B2E24" w:rsidP="00BC0E7E">
      <w:pPr>
        <w:rPr>
          <w:szCs w:val="20"/>
        </w:rPr>
      </w:pPr>
    </w:p>
    <w:p w14:paraId="08CB64FC" w14:textId="77777777" w:rsidR="00BC0E7E" w:rsidRPr="00BC0E7E" w:rsidRDefault="00944B8F" w:rsidP="00BC0E7E">
      <w:pPr>
        <w:rPr>
          <w:i/>
          <w:szCs w:val="22"/>
          <w:u w:val="single"/>
        </w:rPr>
      </w:pPr>
      <w:r w:rsidRPr="00BC0E7E">
        <w:rPr>
          <w:i/>
          <w:szCs w:val="22"/>
          <w:u w:val="single"/>
        </w:rPr>
        <w:t>Clinical Response</w:t>
      </w:r>
    </w:p>
    <w:p w14:paraId="7DEDCE51" w14:textId="77777777" w:rsidR="00BC0E7E" w:rsidRPr="00F619C1" w:rsidRDefault="00BC0E7E" w:rsidP="00BC0E7E">
      <w:pPr>
        <w:rPr>
          <w:szCs w:val="22"/>
          <w:u w:val="single"/>
        </w:rPr>
      </w:pPr>
    </w:p>
    <w:p w14:paraId="2710FF8A" w14:textId="77777777" w:rsidR="00BC0E7E" w:rsidRPr="00BC0E7E" w:rsidRDefault="00944B8F" w:rsidP="00BC0E7E">
      <w:pPr>
        <w:rPr>
          <w:szCs w:val="22"/>
        </w:rPr>
      </w:pPr>
      <w:r w:rsidRPr="00BC0E7E">
        <w:rPr>
          <w:szCs w:val="22"/>
        </w:rPr>
        <w:t xml:space="preserve">Results from both studies demonstrated statistically significant reduction of the risk of treatment failure in patients treated with Humira versus patients receiving placebo (See Table </w:t>
      </w:r>
      <w:r w:rsidR="00930CBB">
        <w:rPr>
          <w:szCs w:val="22"/>
        </w:rPr>
        <w:t>2</w:t>
      </w:r>
      <w:r w:rsidR="00614ABC">
        <w:rPr>
          <w:szCs w:val="22"/>
        </w:rPr>
        <w:t>4</w:t>
      </w:r>
      <w:r w:rsidRPr="00BC0E7E">
        <w:rPr>
          <w:szCs w:val="22"/>
        </w:rPr>
        <w:t xml:space="preserve">). Both studies demonstrated an early and sustained effect of Humira on the treatment failure rate versus placebo (see Figure </w:t>
      </w:r>
      <w:r w:rsidR="008342F2">
        <w:rPr>
          <w:szCs w:val="22"/>
        </w:rPr>
        <w:t>2</w:t>
      </w:r>
      <w:r w:rsidRPr="00BC0E7E">
        <w:rPr>
          <w:szCs w:val="22"/>
        </w:rPr>
        <w:t xml:space="preserve">). </w:t>
      </w:r>
    </w:p>
    <w:p w14:paraId="52282115" w14:textId="77777777" w:rsidR="00BC0E7E" w:rsidRPr="008F4FD5" w:rsidRDefault="00BC0E7E" w:rsidP="00BC0E7E">
      <w:pPr>
        <w:rPr>
          <w:szCs w:val="22"/>
        </w:rPr>
      </w:pPr>
    </w:p>
    <w:p w14:paraId="6889F533" w14:textId="77777777" w:rsidR="00BC0E7E" w:rsidRPr="008F4FD5" w:rsidRDefault="00944B8F" w:rsidP="00BC0E7E">
      <w:pPr>
        <w:keepNext/>
        <w:jc w:val="center"/>
        <w:rPr>
          <w:szCs w:val="22"/>
        </w:rPr>
      </w:pPr>
      <w:r w:rsidRPr="00BC0E7E">
        <w:rPr>
          <w:b/>
          <w:szCs w:val="22"/>
        </w:rPr>
        <w:lastRenderedPageBreak/>
        <w:t xml:space="preserve">Table </w:t>
      </w:r>
      <w:r w:rsidR="00930CBB">
        <w:rPr>
          <w:b/>
          <w:szCs w:val="22"/>
        </w:rPr>
        <w:t>2</w:t>
      </w:r>
      <w:r w:rsidR="00614ABC">
        <w:rPr>
          <w:b/>
          <w:szCs w:val="22"/>
        </w:rPr>
        <w:t>4</w:t>
      </w:r>
    </w:p>
    <w:p w14:paraId="0F9085D0" w14:textId="77777777" w:rsidR="00BC0E7E" w:rsidRPr="008F4FD5" w:rsidRDefault="00944B8F" w:rsidP="00BC0E7E">
      <w:pPr>
        <w:keepNext/>
        <w:jc w:val="center"/>
        <w:rPr>
          <w:szCs w:val="22"/>
        </w:rPr>
      </w:pPr>
      <w:r w:rsidRPr="00BC0E7E">
        <w:rPr>
          <w:b/>
          <w:szCs w:val="22"/>
        </w:rPr>
        <w:t>Time to Treatment Failure in Studies UV I and UV II</w:t>
      </w:r>
    </w:p>
    <w:p w14:paraId="366A3FB3" w14:textId="77777777" w:rsidR="00BC0E7E" w:rsidRPr="008F4FD5" w:rsidRDefault="00BC0E7E" w:rsidP="00BC0E7E">
      <w:pPr>
        <w:keepNext/>
        <w:jc w:val="center"/>
        <w:rPr>
          <w:szCs w:val="22"/>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C6578C" w14:paraId="64DDA8EB" w14:textId="77777777" w:rsidTr="00171601">
        <w:tc>
          <w:tcPr>
            <w:tcW w:w="2268" w:type="dxa"/>
            <w:tcBorders>
              <w:top w:val="single" w:sz="4" w:space="0" w:color="auto"/>
              <w:bottom w:val="single" w:sz="4" w:space="0" w:color="auto"/>
            </w:tcBorders>
          </w:tcPr>
          <w:p w14:paraId="251A8647" w14:textId="77777777" w:rsidR="00BC0E7E" w:rsidRPr="00BC0E7E" w:rsidRDefault="00944B8F" w:rsidP="00BC0E7E">
            <w:pPr>
              <w:keepNext/>
              <w:rPr>
                <w:b/>
                <w:szCs w:val="22"/>
              </w:rPr>
            </w:pPr>
            <w:r w:rsidRPr="00BC0E7E">
              <w:rPr>
                <w:b/>
                <w:szCs w:val="22"/>
              </w:rPr>
              <w:t>Analysis</w:t>
            </w:r>
          </w:p>
          <w:p w14:paraId="059E19E1" w14:textId="77777777" w:rsidR="00BC0E7E" w:rsidRPr="00BC0E7E" w:rsidRDefault="00944B8F" w:rsidP="00BC0E7E">
            <w:pPr>
              <w:keepNext/>
              <w:rPr>
                <w:b/>
                <w:szCs w:val="22"/>
              </w:rPr>
            </w:pPr>
            <w:r w:rsidRPr="00BC0E7E">
              <w:rPr>
                <w:b/>
                <w:szCs w:val="22"/>
              </w:rPr>
              <w:tab/>
              <w:t>Treatment</w:t>
            </w:r>
          </w:p>
        </w:tc>
        <w:tc>
          <w:tcPr>
            <w:tcW w:w="720" w:type="dxa"/>
            <w:tcBorders>
              <w:top w:val="single" w:sz="4" w:space="0" w:color="auto"/>
              <w:bottom w:val="single" w:sz="4" w:space="0" w:color="auto"/>
            </w:tcBorders>
          </w:tcPr>
          <w:p w14:paraId="1D53762D" w14:textId="77777777" w:rsidR="00BC0E7E" w:rsidRPr="00BC0E7E" w:rsidRDefault="00944B8F" w:rsidP="00BC0E7E">
            <w:pPr>
              <w:keepNext/>
              <w:rPr>
                <w:b/>
                <w:szCs w:val="22"/>
              </w:rPr>
            </w:pPr>
            <w:r w:rsidRPr="00BC0E7E">
              <w:rPr>
                <w:b/>
                <w:szCs w:val="22"/>
              </w:rPr>
              <w:t>N</w:t>
            </w:r>
          </w:p>
        </w:tc>
        <w:tc>
          <w:tcPr>
            <w:tcW w:w="1170" w:type="dxa"/>
            <w:tcBorders>
              <w:top w:val="single" w:sz="4" w:space="0" w:color="auto"/>
              <w:bottom w:val="single" w:sz="4" w:space="0" w:color="auto"/>
            </w:tcBorders>
          </w:tcPr>
          <w:p w14:paraId="25E960FC" w14:textId="77777777" w:rsidR="00BC0E7E" w:rsidRPr="00BC0E7E" w:rsidRDefault="00944B8F" w:rsidP="00BC0E7E">
            <w:pPr>
              <w:keepNext/>
              <w:rPr>
                <w:b/>
                <w:szCs w:val="22"/>
              </w:rPr>
            </w:pPr>
            <w:r w:rsidRPr="00BC0E7E">
              <w:rPr>
                <w:b/>
                <w:szCs w:val="22"/>
              </w:rPr>
              <w:t>Failure</w:t>
            </w:r>
            <w:r w:rsidRPr="00BC0E7E">
              <w:rPr>
                <w:b/>
                <w:szCs w:val="22"/>
              </w:rPr>
              <w:br/>
              <w:t>N (%)</w:t>
            </w:r>
          </w:p>
        </w:tc>
        <w:tc>
          <w:tcPr>
            <w:tcW w:w="1890" w:type="dxa"/>
            <w:tcBorders>
              <w:top w:val="single" w:sz="4" w:space="0" w:color="auto"/>
              <w:bottom w:val="single" w:sz="4" w:space="0" w:color="auto"/>
            </w:tcBorders>
          </w:tcPr>
          <w:p w14:paraId="053A65B6" w14:textId="77777777" w:rsidR="00BC0E7E" w:rsidRPr="00BC0E7E" w:rsidRDefault="00944B8F" w:rsidP="00BC0E7E">
            <w:pPr>
              <w:keepNext/>
              <w:rPr>
                <w:b/>
                <w:szCs w:val="22"/>
              </w:rPr>
            </w:pPr>
            <w:r w:rsidRPr="00BC0E7E">
              <w:rPr>
                <w:b/>
                <w:szCs w:val="22"/>
              </w:rPr>
              <w:t>Median Time to Failure (months)</w:t>
            </w:r>
          </w:p>
        </w:tc>
        <w:tc>
          <w:tcPr>
            <w:tcW w:w="720" w:type="dxa"/>
            <w:tcBorders>
              <w:top w:val="single" w:sz="4" w:space="0" w:color="auto"/>
              <w:bottom w:val="single" w:sz="4" w:space="0" w:color="auto"/>
            </w:tcBorders>
          </w:tcPr>
          <w:p w14:paraId="2C5CB981" w14:textId="77777777" w:rsidR="00BC0E7E" w:rsidRPr="00BC0E7E" w:rsidRDefault="00944B8F" w:rsidP="00BC0E7E">
            <w:pPr>
              <w:keepNext/>
              <w:rPr>
                <w:b/>
                <w:szCs w:val="22"/>
              </w:rPr>
            </w:pPr>
            <w:r w:rsidRPr="00BC0E7E">
              <w:rPr>
                <w:b/>
                <w:szCs w:val="22"/>
              </w:rPr>
              <w:t>HR</w:t>
            </w:r>
            <w:r w:rsidRPr="00BC0E7E">
              <w:rPr>
                <w:b/>
                <w:szCs w:val="22"/>
                <w:vertAlign w:val="superscript"/>
              </w:rPr>
              <w:t>a</w:t>
            </w:r>
          </w:p>
        </w:tc>
        <w:tc>
          <w:tcPr>
            <w:tcW w:w="1170" w:type="dxa"/>
            <w:tcBorders>
              <w:top w:val="single" w:sz="4" w:space="0" w:color="auto"/>
              <w:bottom w:val="single" w:sz="4" w:space="0" w:color="auto"/>
            </w:tcBorders>
          </w:tcPr>
          <w:p w14:paraId="7C456127" w14:textId="77777777" w:rsidR="00BC0E7E" w:rsidRPr="00BC0E7E" w:rsidRDefault="00944B8F" w:rsidP="00BC0E7E">
            <w:pPr>
              <w:keepNext/>
              <w:rPr>
                <w:b/>
                <w:szCs w:val="22"/>
              </w:rPr>
            </w:pPr>
            <w:r w:rsidRPr="00BC0E7E">
              <w:rPr>
                <w:b/>
                <w:szCs w:val="22"/>
              </w:rPr>
              <w:t>CI 95% for HR</w:t>
            </w:r>
            <w:r w:rsidRPr="00BC0E7E">
              <w:rPr>
                <w:b/>
                <w:szCs w:val="22"/>
                <w:vertAlign w:val="superscript"/>
              </w:rPr>
              <w:t>a</w:t>
            </w:r>
          </w:p>
        </w:tc>
        <w:tc>
          <w:tcPr>
            <w:tcW w:w="1080" w:type="dxa"/>
            <w:tcBorders>
              <w:top w:val="single" w:sz="4" w:space="0" w:color="auto"/>
              <w:bottom w:val="single" w:sz="4" w:space="0" w:color="auto"/>
            </w:tcBorders>
          </w:tcPr>
          <w:p w14:paraId="0CAD0677" w14:textId="77777777" w:rsidR="00BC0E7E" w:rsidRPr="00BC0E7E" w:rsidRDefault="00944B8F" w:rsidP="00BC0E7E">
            <w:pPr>
              <w:keepNext/>
              <w:rPr>
                <w:b/>
                <w:szCs w:val="22"/>
              </w:rPr>
            </w:pPr>
            <w:r w:rsidRPr="00BC0E7E">
              <w:rPr>
                <w:b/>
                <w:i/>
                <w:szCs w:val="22"/>
              </w:rPr>
              <w:t>P</w:t>
            </w:r>
            <w:r w:rsidRPr="00BC0E7E">
              <w:rPr>
                <w:b/>
                <w:szCs w:val="22"/>
              </w:rPr>
              <w:t xml:space="preserve"> Value</w:t>
            </w:r>
            <w:r w:rsidRPr="00BC0E7E">
              <w:rPr>
                <w:szCs w:val="22"/>
                <w:vertAlign w:val="superscript"/>
              </w:rPr>
              <w:t xml:space="preserve"> b</w:t>
            </w:r>
          </w:p>
        </w:tc>
      </w:tr>
      <w:tr w:rsidR="00C6578C" w14:paraId="4F3B861B" w14:textId="77777777" w:rsidTr="00171601">
        <w:tc>
          <w:tcPr>
            <w:tcW w:w="9018" w:type="dxa"/>
            <w:gridSpan w:val="7"/>
            <w:tcBorders>
              <w:top w:val="single" w:sz="4" w:space="0" w:color="auto"/>
              <w:bottom w:val="nil"/>
            </w:tcBorders>
          </w:tcPr>
          <w:p w14:paraId="26A62739" w14:textId="77777777" w:rsidR="00BC0E7E" w:rsidRPr="00BC0E7E" w:rsidRDefault="00944B8F" w:rsidP="00BC0E7E">
            <w:pPr>
              <w:keepNext/>
              <w:rPr>
                <w:b/>
                <w:szCs w:val="22"/>
              </w:rPr>
            </w:pPr>
            <w:r w:rsidRPr="00BC0E7E">
              <w:rPr>
                <w:b/>
                <w:szCs w:val="22"/>
              </w:rPr>
              <w:t xml:space="preserve">Time to Treatment Failure At or After Week 6 in Study UV I  </w:t>
            </w:r>
          </w:p>
        </w:tc>
      </w:tr>
      <w:tr w:rsidR="00C6578C" w14:paraId="7B680BA7" w14:textId="77777777" w:rsidTr="00171601">
        <w:tc>
          <w:tcPr>
            <w:tcW w:w="2988" w:type="dxa"/>
            <w:gridSpan w:val="2"/>
            <w:tcBorders>
              <w:top w:val="nil"/>
              <w:bottom w:val="nil"/>
            </w:tcBorders>
          </w:tcPr>
          <w:p w14:paraId="39948FD4" w14:textId="77777777" w:rsidR="00BC0E7E" w:rsidRPr="00BC0E7E" w:rsidRDefault="00944B8F" w:rsidP="00BC0E7E">
            <w:pPr>
              <w:keepNext/>
              <w:rPr>
                <w:szCs w:val="22"/>
              </w:rPr>
            </w:pPr>
            <w:r w:rsidRPr="00BC0E7E">
              <w:rPr>
                <w:szCs w:val="22"/>
              </w:rPr>
              <w:t>Primary analysis (ITT)</w:t>
            </w:r>
          </w:p>
        </w:tc>
        <w:tc>
          <w:tcPr>
            <w:tcW w:w="1170" w:type="dxa"/>
            <w:tcBorders>
              <w:top w:val="nil"/>
              <w:bottom w:val="nil"/>
            </w:tcBorders>
          </w:tcPr>
          <w:p w14:paraId="135E7F93" w14:textId="77777777" w:rsidR="00BC0E7E" w:rsidRPr="00BC0E7E" w:rsidRDefault="00BC0E7E" w:rsidP="00BC0E7E">
            <w:pPr>
              <w:keepNext/>
              <w:rPr>
                <w:szCs w:val="22"/>
              </w:rPr>
            </w:pPr>
          </w:p>
        </w:tc>
        <w:tc>
          <w:tcPr>
            <w:tcW w:w="1890" w:type="dxa"/>
            <w:tcBorders>
              <w:top w:val="nil"/>
              <w:bottom w:val="nil"/>
            </w:tcBorders>
          </w:tcPr>
          <w:p w14:paraId="2B50EFCA" w14:textId="77777777" w:rsidR="00BC0E7E" w:rsidRPr="00BC0E7E" w:rsidRDefault="00BC0E7E" w:rsidP="00BC0E7E">
            <w:pPr>
              <w:keepNext/>
              <w:rPr>
                <w:szCs w:val="22"/>
              </w:rPr>
            </w:pPr>
          </w:p>
        </w:tc>
        <w:tc>
          <w:tcPr>
            <w:tcW w:w="720" w:type="dxa"/>
            <w:tcBorders>
              <w:top w:val="nil"/>
              <w:bottom w:val="nil"/>
            </w:tcBorders>
          </w:tcPr>
          <w:p w14:paraId="5B0BD380" w14:textId="77777777" w:rsidR="00BC0E7E" w:rsidRPr="00BC0E7E" w:rsidRDefault="00BC0E7E" w:rsidP="00BC0E7E">
            <w:pPr>
              <w:keepNext/>
              <w:rPr>
                <w:szCs w:val="22"/>
              </w:rPr>
            </w:pPr>
          </w:p>
        </w:tc>
        <w:tc>
          <w:tcPr>
            <w:tcW w:w="1170" w:type="dxa"/>
            <w:tcBorders>
              <w:top w:val="nil"/>
              <w:bottom w:val="nil"/>
            </w:tcBorders>
          </w:tcPr>
          <w:p w14:paraId="6FBDBB66" w14:textId="77777777" w:rsidR="00BC0E7E" w:rsidRPr="00BC0E7E" w:rsidRDefault="00BC0E7E" w:rsidP="00BC0E7E">
            <w:pPr>
              <w:keepNext/>
              <w:rPr>
                <w:szCs w:val="22"/>
              </w:rPr>
            </w:pPr>
          </w:p>
        </w:tc>
        <w:tc>
          <w:tcPr>
            <w:tcW w:w="1080" w:type="dxa"/>
            <w:tcBorders>
              <w:top w:val="nil"/>
              <w:bottom w:val="nil"/>
            </w:tcBorders>
          </w:tcPr>
          <w:p w14:paraId="5CCB3974" w14:textId="77777777" w:rsidR="00BC0E7E" w:rsidRPr="00BC0E7E" w:rsidRDefault="00BC0E7E" w:rsidP="00BC0E7E">
            <w:pPr>
              <w:keepNext/>
              <w:rPr>
                <w:szCs w:val="22"/>
              </w:rPr>
            </w:pPr>
          </w:p>
        </w:tc>
      </w:tr>
      <w:tr w:rsidR="00C6578C" w14:paraId="32EBE4B6" w14:textId="77777777" w:rsidTr="00171601">
        <w:tc>
          <w:tcPr>
            <w:tcW w:w="2268" w:type="dxa"/>
            <w:tcBorders>
              <w:top w:val="nil"/>
              <w:bottom w:val="nil"/>
            </w:tcBorders>
          </w:tcPr>
          <w:p w14:paraId="6193F0D0" w14:textId="77777777" w:rsidR="00BC0E7E" w:rsidRPr="00BC0E7E" w:rsidRDefault="00944B8F" w:rsidP="00BC0E7E">
            <w:pPr>
              <w:keepNext/>
              <w:rPr>
                <w:szCs w:val="22"/>
              </w:rPr>
            </w:pPr>
            <w:r w:rsidRPr="00BC0E7E">
              <w:rPr>
                <w:szCs w:val="22"/>
              </w:rPr>
              <w:tab/>
              <w:t>Placebo</w:t>
            </w:r>
          </w:p>
        </w:tc>
        <w:tc>
          <w:tcPr>
            <w:tcW w:w="720" w:type="dxa"/>
            <w:tcBorders>
              <w:top w:val="nil"/>
              <w:bottom w:val="nil"/>
            </w:tcBorders>
          </w:tcPr>
          <w:p w14:paraId="038A522E" w14:textId="77777777" w:rsidR="00BC0E7E" w:rsidRPr="00BC0E7E" w:rsidRDefault="00944B8F" w:rsidP="00BC0E7E">
            <w:pPr>
              <w:keepNext/>
              <w:rPr>
                <w:szCs w:val="22"/>
              </w:rPr>
            </w:pPr>
            <w:r w:rsidRPr="00BC0E7E">
              <w:rPr>
                <w:szCs w:val="22"/>
              </w:rPr>
              <w:t>107</w:t>
            </w:r>
          </w:p>
        </w:tc>
        <w:tc>
          <w:tcPr>
            <w:tcW w:w="1170" w:type="dxa"/>
            <w:tcBorders>
              <w:top w:val="nil"/>
              <w:bottom w:val="nil"/>
            </w:tcBorders>
          </w:tcPr>
          <w:p w14:paraId="6C7F506D" w14:textId="77777777" w:rsidR="00BC0E7E" w:rsidRPr="00BC0E7E" w:rsidRDefault="00944B8F" w:rsidP="00BC0E7E">
            <w:pPr>
              <w:keepNext/>
              <w:rPr>
                <w:szCs w:val="22"/>
              </w:rPr>
            </w:pPr>
            <w:r w:rsidRPr="00BC0E7E">
              <w:rPr>
                <w:szCs w:val="22"/>
              </w:rPr>
              <w:t>84 (78.5)</w:t>
            </w:r>
          </w:p>
        </w:tc>
        <w:tc>
          <w:tcPr>
            <w:tcW w:w="1890" w:type="dxa"/>
            <w:tcBorders>
              <w:top w:val="nil"/>
              <w:bottom w:val="nil"/>
            </w:tcBorders>
          </w:tcPr>
          <w:p w14:paraId="6B3D5BC2" w14:textId="77777777" w:rsidR="00BC0E7E" w:rsidRPr="00BC0E7E" w:rsidRDefault="00944B8F" w:rsidP="00BC0E7E">
            <w:pPr>
              <w:keepNext/>
              <w:rPr>
                <w:szCs w:val="22"/>
              </w:rPr>
            </w:pPr>
            <w:r w:rsidRPr="00BC0E7E">
              <w:rPr>
                <w:szCs w:val="22"/>
              </w:rPr>
              <w:t>3.0</w:t>
            </w:r>
          </w:p>
        </w:tc>
        <w:tc>
          <w:tcPr>
            <w:tcW w:w="720" w:type="dxa"/>
            <w:tcBorders>
              <w:top w:val="nil"/>
              <w:bottom w:val="nil"/>
            </w:tcBorders>
          </w:tcPr>
          <w:p w14:paraId="2BF60C8D" w14:textId="77777777" w:rsidR="00BC0E7E" w:rsidRPr="00BC0E7E" w:rsidRDefault="00944B8F" w:rsidP="00BC0E7E">
            <w:pPr>
              <w:keepNext/>
              <w:rPr>
                <w:szCs w:val="22"/>
              </w:rPr>
            </w:pPr>
            <w:r w:rsidRPr="00BC0E7E">
              <w:rPr>
                <w:szCs w:val="22"/>
              </w:rPr>
              <w:t>--</w:t>
            </w:r>
          </w:p>
        </w:tc>
        <w:tc>
          <w:tcPr>
            <w:tcW w:w="1170" w:type="dxa"/>
            <w:tcBorders>
              <w:top w:val="nil"/>
              <w:bottom w:val="nil"/>
            </w:tcBorders>
          </w:tcPr>
          <w:p w14:paraId="194C466E" w14:textId="77777777" w:rsidR="00BC0E7E" w:rsidRPr="00BC0E7E" w:rsidRDefault="00944B8F" w:rsidP="00BC0E7E">
            <w:pPr>
              <w:keepNext/>
              <w:rPr>
                <w:szCs w:val="22"/>
              </w:rPr>
            </w:pPr>
            <w:r w:rsidRPr="00BC0E7E">
              <w:rPr>
                <w:szCs w:val="22"/>
              </w:rPr>
              <w:t>--</w:t>
            </w:r>
          </w:p>
        </w:tc>
        <w:tc>
          <w:tcPr>
            <w:tcW w:w="1080" w:type="dxa"/>
            <w:tcBorders>
              <w:top w:val="nil"/>
              <w:bottom w:val="nil"/>
            </w:tcBorders>
          </w:tcPr>
          <w:p w14:paraId="1E36AF32" w14:textId="77777777" w:rsidR="00BC0E7E" w:rsidRPr="00BC0E7E" w:rsidRDefault="00944B8F" w:rsidP="00BC0E7E">
            <w:pPr>
              <w:keepNext/>
              <w:rPr>
                <w:szCs w:val="22"/>
              </w:rPr>
            </w:pPr>
            <w:r w:rsidRPr="00BC0E7E">
              <w:rPr>
                <w:szCs w:val="22"/>
              </w:rPr>
              <w:t>--</w:t>
            </w:r>
          </w:p>
        </w:tc>
      </w:tr>
      <w:tr w:rsidR="00C6578C" w14:paraId="5692E0E8" w14:textId="77777777" w:rsidTr="00171601">
        <w:tc>
          <w:tcPr>
            <w:tcW w:w="2268" w:type="dxa"/>
            <w:tcBorders>
              <w:top w:val="nil"/>
              <w:bottom w:val="single" w:sz="4" w:space="0" w:color="auto"/>
            </w:tcBorders>
          </w:tcPr>
          <w:p w14:paraId="1EB1E1E7" w14:textId="77777777" w:rsidR="00BC0E7E" w:rsidRPr="00BC0E7E" w:rsidRDefault="00944B8F" w:rsidP="00BC0E7E">
            <w:pPr>
              <w:keepNext/>
              <w:rPr>
                <w:szCs w:val="22"/>
              </w:rPr>
            </w:pPr>
            <w:r w:rsidRPr="00BC0E7E">
              <w:rPr>
                <w:szCs w:val="22"/>
              </w:rPr>
              <w:tab/>
              <w:t>Adalimumab</w:t>
            </w:r>
          </w:p>
        </w:tc>
        <w:tc>
          <w:tcPr>
            <w:tcW w:w="720" w:type="dxa"/>
            <w:tcBorders>
              <w:top w:val="nil"/>
              <w:bottom w:val="single" w:sz="4" w:space="0" w:color="auto"/>
            </w:tcBorders>
          </w:tcPr>
          <w:p w14:paraId="29340ED8" w14:textId="77777777" w:rsidR="00BC0E7E" w:rsidRPr="00BC0E7E" w:rsidRDefault="00944B8F" w:rsidP="00BC0E7E">
            <w:pPr>
              <w:keepNext/>
              <w:rPr>
                <w:szCs w:val="22"/>
              </w:rPr>
            </w:pPr>
            <w:r w:rsidRPr="00BC0E7E">
              <w:rPr>
                <w:szCs w:val="22"/>
              </w:rPr>
              <w:t>110</w:t>
            </w:r>
          </w:p>
        </w:tc>
        <w:tc>
          <w:tcPr>
            <w:tcW w:w="1170" w:type="dxa"/>
            <w:tcBorders>
              <w:top w:val="nil"/>
              <w:bottom w:val="single" w:sz="4" w:space="0" w:color="auto"/>
            </w:tcBorders>
          </w:tcPr>
          <w:p w14:paraId="4D2A4996" w14:textId="77777777" w:rsidR="00BC0E7E" w:rsidRPr="00BC0E7E" w:rsidRDefault="00944B8F" w:rsidP="00BC0E7E">
            <w:pPr>
              <w:keepNext/>
              <w:rPr>
                <w:szCs w:val="22"/>
              </w:rPr>
            </w:pPr>
            <w:r w:rsidRPr="00BC0E7E">
              <w:rPr>
                <w:szCs w:val="22"/>
              </w:rPr>
              <w:t>60 (54.5)</w:t>
            </w:r>
          </w:p>
        </w:tc>
        <w:tc>
          <w:tcPr>
            <w:tcW w:w="1890" w:type="dxa"/>
            <w:tcBorders>
              <w:top w:val="nil"/>
              <w:bottom w:val="single" w:sz="4" w:space="0" w:color="auto"/>
            </w:tcBorders>
          </w:tcPr>
          <w:p w14:paraId="6A55E684" w14:textId="77777777" w:rsidR="00BC0E7E" w:rsidRPr="00BC0E7E" w:rsidRDefault="00944B8F" w:rsidP="00BC0E7E">
            <w:pPr>
              <w:keepNext/>
              <w:rPr>
                <w:szCs w:val="22"/>
              </w:rPr>
            </w:pPr>
            <w:r w:rsidRPr="00BC0E7E">
              <w:rPr>
                <w:szCs w:val="22"/>
              </w:rPr>
              <w:t>5.6</w:t>
            </w:r>
          </w:p>
        </w:tc>
        <w:tc>
          <w:tcPr>
            <w:tcW w:w="720" w:type="dxa"/>
            <w:tcBorders>
              <w:top w:val="nil"/>
              <w:bottom w:val="single" w:sz="4" w:space="0" w:color="auto"/>
            </w:tcBorders>
          </w:tcPr>
          <w:p w14:paraId="7C794CC9" w14:textId="77777777" w:rsidR="00BC0E7E" w:rsidRPr="00BC0E7E" w:rsidRDefault="00944B8F" w:rsidP="00BC0E7E">
            <w:pPr>
              <w:keepNext/>
              <w:rPr>
                <w:szCs w:val="22"/>
              </w:rPr>
            </w:pPr>
            <w:r w:rsidRPr="00BC0E7E">
              <w:rPr>
                <w:szCs w:val="22"/>
              </w:rPr>
              <w:t>0.50</w:t>
            </w:r>
          </w:p>
        </w:tc>
        <w:tc>
          <w:tcPr>
            <w:tcW w:w="1170" w:type="dxa"/>
            <w:tcBorders>
              <w:top w:val="nil"/>
              <w:bottom w:val="single" w:sz="4" w:space="0" w:color="auto"/>
            </w:tcBorders>
          </w:tcPr>
          <w:p w14:paraId="5483BE5E" w14:textId="77777777" w:rsidR="00BC0E7E" w:rsidRPr="00BC0E7E" w:rsidRDefault="00944B8F" w:rsidP="00BC0E7E">
            <w:pPr>
              <w:keepNext/>
              <w:rPr>
                <w:szCs w:val="22"/>
              </w:rPr>
            </w:pPr>
            <w:r w:rsidRPr="00BC0E7E">
              <w:rPr>
                <w:szCs w:val="22"/>
              </w:rPr>
              <w:t>0.36, 0.70</w:t>
            </w:r>
            <w:r w:rsidRPr="00BC0E7E">
              <w:rPr>
                <w:szCs w:val="22"/>
                <w:vertAlign w:val="superscript"/>
              </w:rPr>
              <w:t xml:space="preserve"> </w:t>
            </w:r>
          </w:p>
        </w:tc>
        <w:tc>
          <w:tcPr>
            <w:tcW w:w="1080" w:type="dxa"/>
            <w:tcBorders>
              <w:top w:val="nil"/>
              <w:bottom w:val="single" w:sz="4" w:space="0" w:color="auto"/>
            </w:tcBorders>
          </w:tcPr>
          <w:p w14:paraId="5D2B0605" w14:textId="77777777" w:rsidR="00BC0E7E" w:rsidRPr="00BC0E7E" w:rsidRDefault="00944B8F" w:rsidP="00BC0E7E">
            <w:pPr>
              <w:keepNext/>
              <w:rPr>
                <w:szCs w:val="22"/>
              </w:rPr>
            </w:pPr>
            <w:r w:rsidRPr="00BC0E7E">
              <w:rPr>
                <w:szCs w:val="22"/>
              </w:rPr>
              <w:t>&lt; 0.001</w:t>
            </w:r>
          </w:p>
        </w:tc>
      </w:tr>
      <w:tr w:rsidR="00C6578C" w14:paraId="1583BCF0" w14:textId="77777777" w:rsidTr="00171601">
        <w:tblPrEx>
          <w:tblBorders>
            <w:left w:val="single" w:sz="4" w:space="0" w:color="auto"/>
            <w:right w:val="single" w:sz="4" w:space="0" w:color="auto"/>
            <w:insideH w:val="single" w:sz="4" w:space="0" w:color="auto"/>
            <w:insideV w:val="single" w:sz="4" w:space="0" w:color="auto"/>
          </w:tblBorders>
        </w:tblPrEx>
        <w:tc>
          <w:tcPr>
            <w:tcW w:w="9018" w:type="dxa"/>
            <w:gridSpan w:val="7"/>
            <w:tcBorders>
              <w:left w:val="nil"/>
              <w:bottom w:val="nil"/>
              <w:right w:val="nil"/>
            </w:tcBorders>
          </w:tcPr>
          <w:p w14:paraId="5BCAFE1E" w14:textId="77777777" w:rsidR="00BC0E7E" w:rsidRPr="00BC0E7E" w:rsidRDefault="00944B8F" w:rsidP="00BC0E7E">
            <w:pPr>
              <w:keepNext/>
              <w:rPr>
                <w:b/>
                <w:szCs w:val="22"/>
              </w:rPr>
            </w:pPr>
            <w:r w:rsidRPr="00BC0E7E">
              <w:rPr>
                <w:b/>
                <w:szCs w:val="22"/>
              </w:rPr>
              <w:t>Time to Treatment Failure At or After Week 2 in Study UV II</w:t>
            </w:r>
          </w:p>
        </w:tc>
      </w:tr>
      <w:tr w:rsidR="00C6578C" w14:paraId="6572A8B4" w14:textId="77777777" w:rsidTr="00171601">
        <w:tblPrEx>
          <w:tblBorders>
            <w:left w:val="single" w:sz="4" w:space="0" w:color="auto"/>
            <w:right w:val="single" w:sz="4" w:space="0" w:color="auto"/>
            <w:insideH w:val="single" w:sz="4" w:space="0" w:color="auto"/>
            <w:insideV w:val="single" w:sz="4" w:space="0" w:color="auto"/>
          </w:tblBorders>
        </w:tblPrEx>
        <w:tc>
          <w:tcPr>
            <w:tcW w:w="2988" w:type="dxa"/>
            <w:gridSpan w:val="2"/>
            <w:tcBorders>
              <w:top w:val="nil"/>
              <w:left w:val="nil"/>
              <w:bottom w:val="nil"/>
              <w:right w:val="nil"/>
            </w:tcBorders>
          </w:tcPr>
          <w:p w14:paraId="79F3F636" w14:textId="77777777" w:rsidR="00BC0E7E" w:rsidRPr="00BC0E7E" w:rsidRDefault="00944B8F" w:rsidP="00BC0E7E">
            <w:pPr>
              <w:keepNext/>
              <w:rPr>
                <w:szCs w:val="22"/>
              </w:rPr>
            </w:pPr>
            <w:r w:rsidRPr="00BC0E7E">
              <w:rPr>
                <w:szCs w:val="22"/>
              </w:rPr>
              <w:t>Primary analysis (ITT)</w:t>
            </w:r>
          </w:p>
        </w:tc>
        <w:tc>
          <w:tcPr>
            <w:tcW w:w="1170" w:type="dxa"/>
            <w:tcBorders>
              <w:top w:val="nil"/>
              <w:left w:val="nil"/>
              <w:bottom w:val="nil"/>
              <w:right w:val="nil"/>
            </w:tcBorders>
          </w:tcPr>
          <w:p w14:paraId="1F396A35" w14:textId="77777777" w:rsidR="00BC0E7E" w:rsidRPr="00BC0E7E" w:rsidRDefault="00BC0E7E" w:rsidP="00BC0E7E">
            <w:pPr>
              <w:keepNext/>
              <w:rPr>
                <w:szCs w:val="22"/>
              </w:rPr>
            </w:pPr>
          </w:p>
        </w:tc>
        <w:tc>
          <w:tcPr>
            <w:tcW w:w="1890" w:type="dxa"/>
            <w:tcBorders>
              <w:top w:val="nil"/>
              <w:left w:val="nil"/>
              <w:bottom w:val="nil"/>
              <w:right w:val="nil"/>
            </w:tcBorders>
          </w:tcPr>
          <w:p w14:paraId="78AC3F01" w14:textId="77777777" w:rsidR="00BC0E7E" w:rsidRPr="00BC0E7E" w:rsidRDefault="00BC0E7E" w:rsidP="00BC0E7E">
            <w:pPr>
              <w:keepNext/>
              <w:rPr>
                <w:szCs w:val="22"/>
              </w:rPr>
            </w:pPr>
          </w:p>
        </w:tc>
        <w:tc>
          <w:tcPr>
            <w:tcW w:w="720" w:type="dxa"/>
            <w:tcBorders>
              <w:top w:val="nil"/>
              <w:left w:val="nil"/>
              <w:bottom w:val="nil"/>
              <w:right w:val="nil"/>
            </w:tcBorders>
          </w:tcPr>
          <w:p w14:paraId="02F9FBB5" w14:textId="77777777" w:rsidR="00BC0E7E" w:rsidRPr="00BC0E7E" w:rsidRDefault="00BC0E7E" w:rsidP="00BC0E7E">
            <w:pPr>
              <w:keepNext/>
              <w:rPr>
                <w:szCs w:val="22"/>
              </w:rPr>
            </w:pPr>
          </w:p>
        </w:tc>
        <w:tc>
          <w:tcPr>
            <w:tcW w:w="1170" w:type="dxa"/>
            <w:tcBorders>
              <w:top w:val="nil"/>
              <w:left w:val="nil"/>
              <w:bottom w:val="nil"/>
              <w:right w:val="nil"/>
            </w:tcBorders>
          </w:tcPr>
          <w:p w14:paraId="4B3A096C" w14:textId="77777777" w:rsidR="00BC0E7E" w:rsidRPr="00BC0E7E" w:rsidRDefault="00BC0E7E" w:rsidP="00BC0E7E">
            <w:pPr>
              <w:keepNext/>
              <w:rPr>
                <w:szCs w:val="22"/>
              </w:rPr>
            </w:pPr>
          </w:p>
        </w:tc>
        <w:tc>
          <w:tcPr>
            <w:tcW w:w="1080" w:type="dxa"/>
            <w:tcBorders>
              <w:top w:val="nil"/>
              <w:left w:val="nil"/>
              <w:bottom w:val="nil"/>
              <w:right w:val="nil"/>
            </w:tcBorders>
          </w:tcPr>
          <w:p w14:paraId="0C8856B2" w14:textId="77777777" w:rsidR="00BC0E7E" w:rsidRPr="00BC0E7E" w:rsidRDefault="00BC0E7E" w:rsidP="00BC0E7E">
            <w:pPr>
              <w:keepNext/>
              <w:rPr>
                <w:szCs w:val="22"/>
              </w:rPr>
            </w:pPr>
          </w:p>
        </w:tc>
      </w:tr>
      <w:tr w:rsidR="00C6578C" w14:paraId="31501A43" w14:textId="77777777" w:rsidTr="00171601">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nil"/>
              <w:right w:val="nil"/>
            </w:tcBorders>
          </w:tcPr>
          <w:p w14:paraId="7ABEEA83" w14:textId="77777777" w:rsidR="00BC0E7E" w:rsidRPr="00BC0E7E" w:rsidRDefault="00944B8F" w:rsidP="00BC0E7E">
            <w:pPr>
              <w:keepNext/>
              <w:rPr>
                <w:szCs w:val="22"/>
              </w:rPr>
            </w:pPr>
            <w:r w:rsidRPr="00BC0E7E">
              <w:rPr>
                <w:szCs w:val="22"/>
              </w:rPr>
              <w:tab/>
              <w:t>Placebo</w:t>
            </w:r>
          </w:p>
        </w:tc>
        <w:tc>
          <w:tcPr>
            <w:tcW w:w="720" w:type="dxa"/>
            <w:tcBorders>
              <w:top w:val="nil"/>
              <w:left w:val="nil"/>
              <w:bottom w:val="nil"/>
              <w:right w:val="nil"/>
            </w:tcBorders>
          </w:tcPr>
          <w:p w14:paraId="09379DBA" w14:textId="77777777" w:rsidR="00BC0E7E" w:rsidRPr="00BC0E7E" w:rsidRDefault="00944B8F" w:rsidP="00BC0E7E">
            <w:pPr>
              <w:keepNext/>
              <w:rPr>
                <w:szCs w:val="22"/>
              </w:rPr>
            </w:pPr>
            <w:r w:rsidRPr="00BC0E7E">
              <w:rPr>
                <w:szCs w:val="22"/>
              </w:rPr>
              <w:t>111</w:t>
            </w:r>
          </w:p>
        </w:tc>
        <w:tc>
          <w:tcPr>
            <w:tcW w:w="1170" w:type="dxa"/>
            <w:tcBorders>
              <w:top w:val="nil"/>
              <w:left w:val="nil"/>
              <w:bottom w:val="nil"/>
              <w:right w:val="nil"/>
            </w:tcBorders>
          </w:tcPr>
          <w:p w14:paraId="35AA9F0B" w14:textId="77777777" w:rsidR="00BC0E7E" w:rsidRPr="00BC0E7E" w:rsidRDefault="00944B8F" w:rsidP="00BC0E7E">
            <w:pPr>
              <w:keepNext/>
              <w:rPr>
                <w:szCs w:val="22"/>
              </w:rPr>
            </w:pPr>
            <w:r w:rsidRPr="00BC0E7E">
              <w:rPr>
                <w:szCs w:val="22"/>
              </w:rPr>
              <w:t>61 (55.0)</w:t>
            </w:r>
          </w:p>
        </w:tc>
        <w:tc>
          <w:tcPr>
            <w:tcW w:w="1890" w:type="dxa"/>
            <w:tcBorders>
              <w:top w:val="nil"/>
              <w:left w:val="nil"/>
              <w:bottom w:val="nil"/>
              <w:right w:val="nil"/>
            </w:tcBorders>
          </w:tcPr>
          <w:p w14:paraId="6DA444DB" w14:textId="77777777" w:rsidR="00BC0E7E" w:rsidRPr="00BC0E7E" w:rsidRDefault="00944B8F" w:rsidP="00BC0E7E">
            <w:pPr>
              <w:keepNext/>
              <w:rPr>
                <w:szCs w:val="22"/>
              </w:rPr>
            </w:pPr>
            <w:r w:rsidRPr="00BC0E7E">
              <w:rPr>
                <w:szCs w:val="22"/>
              </w:rPr>
              <w:t>8.3</w:t>
            </w:r>
          </w:p>
        </w:tc>
        <w:tc>
          <w:tcPr>
            <w:tcW w:w="720" w:type="dxa"/>
            <w:tcBorders>
              <w:top w:val="nil"/>
              <w:left w:val="nil"/>
              <w:bottom w:val="nil"/>
              <w:right w:val="nil"/>
            </w:tcBorders>
          </w:tcPr>
          <w:p w14:paraId="51F279EC" w14:textId="77777777" w:rsidR="00BC0E7E" w:rsidRPr="00BC0E7E" w:rsidRDefault="00944B8F" w:rsidP="00BC0E7E">
            <w:pPr>
              <w:keepNext/>
              <w:rPr>
                <w:szCs w:val="22"/>
              </w:rPr>
            </w:pPr>
            <w:r w:rsidRPr="00BC0E7E">
              <w:rPr>
                <w:szCs w:val="22"/>
              </w:rPr>
              <w:t>--</w:t>
            </w:r>
          </w:p>
        </w:tc>
        <w:tc>
          <w:tcPr>
            <w:tcW w:w="1170" w:type="dxa"/>
            <w:tcBorders>
              <w:top w:val="nil"/>
              <w:left w:val="nil"/>
              <w:bottom w:val="nil"/>
              <w:right w:val="nil"/>
            </w:tcBorders>
          </w:tcPr>
          <w:p w14:paraId="5E3C3005" w14:textId="77777777" w:rsidR="00BC0E7E" w:rsidRPr="00BC0E7E" w:rsidRDefault="00944B8F" w:rsidP="00BC0E7E">
            <w:pPr>
              <w:keepNext/>
              <w:rPr>
                <w:szCs w:val="22"/>
              </w:rPr>
            </w:pPr>
            <w:r w:rsidRPr="00BC0E7E">
              <w:rPr>
                <w:szCs w:val="22"/>
              </w:rPr>
              <w:t>--</w:t>
            </w:r>
          </w:p>
        </w:tc>
        <w:tc>
          <w:tcPr>
            <w:tcW w:w="1080" w:type="dxa"/>
            <w:tcBorders>
              <w:top w:val="nil"/>
              <w:left w:val="nil"/>
              <w:bottom w:val="nil"/>
              <w:right w:val="nil"/>
            </w:tcBorders>
          </w:tcPr>
          <w:p w14:paraId="460B0F20" w14:textId="77777777" w:rsidR="00BC0E7E" w:rsidRPr="00BC0E7E" w:rsidRDefault="00944B8F" w:rsidP="00BC0E7E">
            <w:pPr>
              <w:keepNext/>
              <w:rPr>
                <w:szCs w:val="22"/>
              </w:rPr>
            </w:pPr>
            <w:r w:rsidRPr="00BC0E7E">
              <w:rPr>
                <w:szCs w:val="22"/>
              </w:rPr>
              <w:t>--</w:t>
            </w:r>
          </w:p>
        </w:tc>
      </w:tr>
      <w:tr w:rsidR="00C6578C" w14:paraId="3C752A5B" w14:textId="77777777" w:rsidTr="00171601">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single" w:sz="4" w:space="0" w:color="auto"/>
              <w:right w:val="nil"/>
            </w:tcBorders>
          </w:tcPr>
          <w:p w14:paraId="690C5BCC" w14:textId="77777777" w:rsidR="00BC0E7E" w:rsidRPr="00BC0E7E" w:rsidRDefault="00944B8F" w:rsidP="00BC0E7E">
            <w:pPr>
              <w:keepNext/>
              <w:rPr>
                <w:szCs w:val="22"/>
              </w:rPr>
            </w:pPr>
            <w:r w:rsidRPr="00BC0E7E">
              <w:rPr>
                <w:szCs w:val="22"/>
              </w:rPr>
              <w:tab/>
              <w:t>Adalimumab</w:t>
            </w:r>
          </w:p>
        </w:tc>
        <w:tc>
          <w:tcPr>
            <w:tcW w:w="720" w:type="dxa"/>
            <w:tcBorders>
              <w:top w:val="nil"/>
              <w:left w:val="nil"/>
              <w:bottom w:val="single" w:sz="4" w:space="0" w:color="auto"/>
              <w:right w:val="nil"/>
            </w:tcBorders>
          </w:tcPr>
          <w:p w14:paraId="1A2A8AB0" w14:textId="77777777" w:rsidR="00BC0E7E" w:rsidRPr="00BC0E7E" w:rsidRDefault="00944B8F" w:rsidP="00BC0E7E">
            <w:pPr>
              <w:keepNext/>
              <w:rPr>
                <w:szCs w:val="22"/>
              </w:rPr>
            </w:pPr>
            <w:r w:rsidRPr="00BC0E7E">
              <w:rPr>
                <w:szCs w:val="22"/>
              </w:rPr>
              <w:t>115</w:t>
            </w:r>
          </w:p>
        </w:tc>
        <w:tc>
          <w:tcPr>
            <w:tcW w:w="1170" w:type="dxa"/>
            <w:tcBorders>
              <w:top w:val="nil"/>
              <w:left w:val="nil"/>
              <w:bottom w:val="single" w:sz="4" w:space="0" w:color="auto"/>
              <w:right w:val="nil"/>
            </w:tcBorders>
          </w:tcPr>
          <w:p w14:paraId="6D1732CA" w14:textId="77777777" w:rsidR="00BC0E7E" w:rsidRPr="00BC0E7E" w:rsidRDefault="00944B8F" w:rsidP="00BC0E7E">
            <w:pPr>
              <w:keepNext/>
              <w:rPr>
                <w:szCs w:val="22"/>
              </w:rPr>
            </w:pPr>
            <w:r w:rsidRPr="00BC0E7E">
              <w:rPr>
                <w:szCs w:val="22"/>
              </w:rPr>
              <w:t>45 (39.1)</w:t>
            </w:r>
          </w:p>
        </w:tc>
        <w:tc>
          <w:tcPr>
            <w:tcW w:w="1890" w:type="dxa"/>
            <w:tcBorders>
              <w:top w:val="nil"/>
              <w:left w:val="nil"/>
              <w:bottom w:val="single" w:sz="4" w:space="0" w:color="auto"/>
              <w:right w:val="nil"/>
            </w:tcBorders>
          </w:tcPr>
          <w:p w14:paraId="2E0459B5" w14:textId="77777777" w:rsidR="00BC0E7E" w:rsidRPr="00BC0E7E" w:rsidRDefault="00944B8F" w:rsidP="00BC0E7E">
            <w:pPr>
              <w:keepNext/>
              <w:rPr>
                <w:szCs w:val="22"/>
              </w:rPr>
            </w:pPr>
            <w:r w:rsidRPr="00BC0E7E">
              <w:rPr>
                <w:szCs w:val="22"/>
              </w:rPr>
              <w:t>NE</w:t>
            </w:r>
            <w:r w:rsidRPr="00BC0E7E">
              <w:rPr>
                <w:szCs w:val="22"/>
                <w:vertAlign w:val="superscript"/>
              </w:rPr>
              <w:t>c</w:t>
            </w:r>
          </w:p>
        </w:tc>
        <w:tc>
          <w:tcPr>
            <w:tcW w:w="720" w:type="dxa"/>
            <w:tcBorders>
              <w:top w:val="nil"/>
              <w:left w:val="nil"/>
              <w:bottom w:val="single" w:sz="4" w:space="0" w:color="auto"/>
              <w:right w:val="nil"/>
            </w:tcBorders>
          </w:tcPr>
          <w:p w14:paraId="77F24500" w14:textId="77777777" w:rsidR="00BC0E7E" w:rsidRPr="00BC0E7E" w:rsidRDefault="00944B8F" w:rsidP="00BC0E7E">
            <w:pPr>
              <w:keepNext/>
              <w:rPr>
                <w:szCs w:val="22"/>
              </w:rPr>
            </w:pPr>
            <w:r w:rsidRPr="00BC0E7E">
              <w:rPr>
                <w:szCs w:val="22"/>
              </w:rPr>
              <w:t>0.57</w:t>
            </w:r>
          </w:p>
        </w:tc>
        <w:tc>
          <w:tcPr>
            <w:tcW w:w="1170" w:type="dxa"/>
            <w:tcBorders>
              <w:top w:val="nil"/>
              <w:left w:val="nil"/>
              <w:bottom w:val="single" w:sz="4" w:space="0" w:color="auto"/>
              <w:right w:val="nil"/>
            </w:tcBorders>
          </w:tcPr>
          <w:p w14:paraId="244DFF72" w14:textId="77777777" w:rsidR="00BC0E7E" w:rsidRPr="00BC0E7E" w:rsidRDefault="00944B8F" w:rsidP="00BC0E7E">
            <w:pPr>
              <w:keepNext/>
              <w:rPr>
                <w:szCs w:val="22"/>
              </w:rPr>
            </w:pPr>
            <w:r w:rsidRPr="00BC0E7E">
              <w:rPr>
                <w:szCs w:val="22"/>
              </w:rPr>
              <w:t>0.39, 0.84</w:t>
            </w:r>
          </w:p>
        </w:tc>
        <w:tc>
          <w:tcPr>
            <w:tcW w:w="1080" w:type="dxa"/>
            <w:tcBorders>
              <w:top w:val="nil"/>
              <w:left w:val="nil"/>
              <w:bottom w:val="single" w:sz="4" w:space="0" w:color="auto"/>
              <w:right w:val="nil"/>
            </w:tcBorders>
          </w:tcPr>
          <w:p w14:paraId="5F4D885C" w14:textId="77777777" w:rsidR="00BC0E7E" w:rsidRPr="00BC0E7E" w:rsidRDefault="00944B8F" w:rsidP="00BC0E7E">
            <w:pPr>
              <w:keepNext/>
              <w:rPr>
                <w:szCs w:val="22"/>
              </w:rPr>
            </w:pPr>
            <w:r w:rsidRPr="00BC0E7E">
              <w:rPr>
                <w:szCs w:val="22"/>
              </w:rPr>
              <w:t>0.004</w:t>
            </w:r>
          </w:p>
        </w:tc>
      </w:tr>
    </w:tbl>
    <w:p w14:paraId="75E6C557" w14:textId="77777777" w:rsidR="00BC0E7E" w:rsidRPr="00BC0E7E" w:rsidRDefault="00944B8F" w:rsidP="00BC0E7E">
      <w:pPr>
        <w:keepNext/>
        <w:rPr>
          <w:szCs w:val="22"/>
        </w:rPr>
      </w:pPr>
      <w:r w:rsidRPr="00BC0E7E">
        <w:rPr>
          <w:szCs w:val="22"/>
        </w:rPr>
        <w:t>Note:  Treatment failure at or after Week 6 (Study UV I), or at or after Week 2 (Study UV II), was counted as event. Drop outs due to reasons other than treatment failure were censored at the time of dropping out.</w:t>
      </w:r>
    </w:p>
    <w:p w14:paraId="312D841B" w14:textId="77777777" w:rsidR="00BC0E7E" w:rsidRPr="00BC0E7E" w:rsidRDefault="00944B8F" w:rsidP="004C7A91">
      <w:pPr>
        <w:numPr>
          <w:ilvl w:val="0"/>
          <w:numId w:val="51"/>
        </w:numPr>
        <w:rPr>
          <w:szCs w:val="22"/>
        </w:rPr>
      </w:pPr>
      <w:r w:rsidRPr="00BC0E7E">
        <w:rPr>
          <w:szCs w:val="22"/>
        </w:rPr>
        <w:t>HR of adalimumab vs placebo from proportional hazards regression with treatment as factor.</w:t>
      </w:r>
    </w:p>
    <w:p w14:paraId="3A31D00F" w14:textId="77777777" w:rsidR="00BC0E7E" w:rsidRPr="00BC0E7E" w:rsidRDefault="00944B8F" w:rsidP="004C7A91">
      <w:pPr>
        <w:numPr>
          <w:ilvl w:val="0"/>
          <w:numId w:val="51"/>
        </w:numPr>
        <w:rPr>
          <w:szCs w:val="22"/>
        </w:rPr>
      </w:pPr>
      <w:r w:rsidRPr="00BC0E7E">
        <w:rPr>
          <w:szCs w:val="22"/>
        </w:rPr>
        <w:t xml:space="preserve">2-sided </w:t>
      </w:r>
      <w:r w:rsidRPr="00BC0E7E">
        <w:rPr>
          <w:i/>
          <w:szCs w:val="22"/>
        </w:rPr>
        <w:t>P</w:t>
      </w:r>
      <w:r w:rsidRPr="00BC0E7E">
        <w:rPr>
          <w:szCs w:val="22"/>
        </w:rPr>
        <w:t xml:space="preserve"> value from log rank test.</w:t>
      </w:r>
    </w:p>
    <w:p w14:paraId="24079788" w14:textId="77777777" w:rsidR="00BC0E7E" w:rsidRPr="00BC0E7E" w:rsidRDefault="00944B8F" w:rsidP="004C7A91">
      <w:pPr>
        <w:numPr>
          <w:ilvl w:val="0"/>
          <w:numId w:val="51"/>
        </w:numPr>
        <w:rPr>
          <w:szCs w:val="22"/>
        </w:rPr>
      </w:pPr>
      <w:r w:rsidRPr="00BC0E7E">
        <w:rPr>
          <w:szCs w:val="22"/>
        </w:rPr>
        <w:t xml:space="preserve">NE = not estimable. Fewer than half of at-risk subjects had an event. </w:t>
      </w:r>
    </w:p>
    <w:p w14:paraId="524D0C34" w14:textId="77777777" w:rsidR="00BC0E7E" w:rsidRPr="00BC0E7E" w:rsidRDefault="00BC0E7E" w:rsidP="00BC0E7E">
      <w:pPr>
        <w:keepNext/>
        <w:rPr>
          <w:szCs w:val="22"/>
        </w:rPr>
      </w:pPr>
    </w:p>
    <w:p w14:paraId="70DA11E3" w14:textId="77777777" w:rsidR="00BC0E7E" w:rsidRPr="008F4FD5" w:rsidRDefault="00944B8F" w:rsidP="002B6EEF">
      <w:pPr>
        <w:keepNext/>
        <w:jc w:val="center"/>
        <w:rPr>
          <w:szCs w:val="22"/>
        </w:rPr>
      </w:pPr>
      <w:r w:rsidRPr="00BC0E7E">
        <w:rPr>
          <w:b/>
          <w:szCs w:val="22"/>
        </w:rPr>
        <w:t xml:space="preserve">Figure </w:t>
      </w:r>
      <w:r w:rsidR="008342F2">
        <w:rPr>
          <w:b/>
          <w:szCs w:val="22"/>
        </w:rPr>
        <w:t>2</w:t>
      </w:r>
      <w:r w:rsidRPr="00BC0E7E">
        <w:rPr>
          <w:b/>
          <w:szCs w:val="22"/>
        </w:rPr>
        <w:t>: Kaplan-Meier Curves Summarizing Time to Treatment Failure on or after Week 6 (Stud</w:t>
      </w:r>
      <w:r w:rsidR="008F4FD5">
        <w:rPr>
          <w:b/>
          <w:szCs w:val="22"/>
        </w:rPr>
        <w:t>y UV I) or Week 2 (Study UV II)</w:t>
      </w:r>
    </w:p>
    <w:p w14:paraId="78ED19FD" w14:textId="77777777" w:rsidR="00BC0E7E" w:rsidRPr="008F4FD5" w:rsidRDefault="00BC0E7E" w:rsidP="002B6EEF">
      <w:pPr>
        <w:keepNext/>
        <w:jc w:val="center"/>
        <w:rPr>
          <w:szCs w:val="22"/>
        </w:rPr>
      </w:pPr>
    </w:p>
    <w:tbl>
      <w:tblPr>
        <w:tblW w:w="9288" w:type="dxa"/>
        <w:tblLayout w:type="fixed"/>
        <w:tblLook w:val="04A0" w:firstRow="1" w:lastRow="0" w:firstColumn="1" w:lastColumn="0" w:noHBand="0" w:noVBand="1"/>
      </w:tblPr>
      <w:tblGrid>
        <w:gridCol w:w="482"/>
        <w:gridCol w:w="3496"/>
        <w:gridCol w:w="1170"/>
        <w:gridCol w:w="1350"/>
        <w:gridCol w:w="900"/>
        <w:gridCol w:w="1890"/>
      </w:tblGrid>
      <w:tr w:rsidR="00C6578C" w14:paraId="51A415A0" w14:textId="77777777" w:rsidTr="00171601">
        <w:trPr>
          <w:cantSplit/>
          <w:trHeight w:val="3806"/>
        </w:trPr>
        <w:tc>
          <w:tcPr>
            <w:tcW w:w="482" w:type="dxa"/>
            <w:textDirection w:val="btLr"/>
            <w:vAlign w:val="bottom"/>
          </w:tcPr>
          <w:p w14:paraId="3B0AE7BC" w14:textId="77777777" w:rsidR="00BC0E7E" w:rsidRPr="00BC0E7E" w:rsidRDefault="00944B8F" w:rsidP="002B6EEF">
            <w:pPr>
              <w:keepNext/>
              <w:ind w:left="113" w:right="113"/>
              <w:jc w:val="center"/>
              <w:rPr>
                <w:b/>
                <w:szCs w:val="22"/>
              </w:rPr>
            </w:pPr>
            <w:r w:rsidRPr="00BC0E7E">
              <w:rPr>
                <w:b/>
                <w:szCs w:val="22"/>
              </w:rPr>
              <w:t>TREATMENT FAILURE RATE (%)</w:t>
            </w:r>
          </w:p>
        </w:tc>
        <w:tc>
          <w:tcPr>
            <w:tcW w:w="8806" w:type="dxa"/>
            <w:gridSpan w:val="5"/>
            <w:vAlign w:val="bottom"/>
          </w:tcPr>
          <w:p w14:paraId="2C68F5A2" w14:textId="77777777" w:rsidR="00BC0E7E" w:rsidRPr="00BC0E7E" w:rsidRDefault="00944B8F" w:rsidP="002B6EEF">
            <w:pPr>
              <w:keepNext/>
              <w:rPr>
                <w:szCs w:val="22"/>
              </w:rPr>
            </w:pPr>
            <w:r>
              <w:rPr>
                <w:noProof/>
                <w:szCs w:val="22"/>
                <w:lang w:val="en-US"/>
              </w:rPr>
              <w:drawing>
                <wp:inline distT="0" distB="0" distL="0" distR="0" wp14:anchorId="789FF3C2" wp14:editId="2B57459A">
                  <wp:extent cx="5486400" cy="2210435"/>
                  <wp:effectExtent l="0" t="0" r="0" b="0"/>
                  <wp:docPr id="167" name="Picture 167"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25" descr="Humira Uveitis Figure 5_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86400" cy="2210435"/>
                          </a:xfrm>
                          <a:prstGeom prst="rect">
                            <a:avLst/>
                          </a:prstGeom>
                          <a:noFill/>
                          <a:ln>
                            <a:noFill/>
                          </a:ln>
                        </pic:spPr>
                      </pic:pic>
                    </a:graphicData>
                  </a:graphic>
                </wp:inline>
              </w:drawing>
            </w:r>
          </w:p>
        </w:tc>
      </w:tr>
      <w:tr w:rsidR="00C6578C" w14:paraId="2698BB6A" w14:textId="77777777" w:rsidTr="00171601">
        <w:tc>
          <w:tcPr>
            <w:tcW w:w="482" w:type="dxa"/>
          </w:tcPr>
          <w:p w14:paraId="1EDE89CC" w14:textId="77777777" w:rsidR="00BC0E7E" w:rsidRPr="00BC0E7E" w:rsidRDefault="00BC0E7E" w:rsidP="00BC0E7E">
            <w:pPr>
              <w:rPr>
                <w:szCs w:val="22"/>
              </w:rPr>
            </w:pPr>
          </w:p>
        </w:tc>
        <w:tc>
          <w:tcPr>
            <w:tcW w:w="8806" w:type="dxa"/>
            <w:gridSpan w:val="5"/>
          </w:tcPr>
          <w:p w14:paraId="5A591573" w14:textId="77777777" w:rsidR="00BC0E7E" w:rsidRPr="00BC0E7E" w:rsidRDefault="00944B8F" w:rsidP="00BC0E7E">
            <w:pPr>
              <w:jc w:val="center"/>
              <w:rPr>
                <w:b/>
                <w:szCs w:val="22"/>
              </w:rPr>
            </w:pPr>
            <w:r w:rsidRPr="00BC0E7E">
              <w:rPr>
                <w:b/>
                <w:szCs w:val="22"/>
              </w:rPr>
              <w:t>TIME (MONTHS)</w:t>
            </w:r>
          </w:p>
        </w:tc>
      </w:tr>
      <w:tr w:rsidR="00C6578C" w14:paraId="05BD2573" w14:textId="77777777" w:rsidTr="00171601">
        <w:tc>
          <w:tcPr>
            <w:tcW w:w="482" w:type="dxa"/>
          </w:tcPr>
          <w:p w14:paraId="4C5A94CB" w14:textId="77777777" w:rsidR="00BC0E7E" w:rsidRPr="00BC0E7E" w:rsidRDefault="00BC0E7E" w:rsidP="00BC0E7E">
            <w:pPr>
              <w:rPr>
                <w:szCs w:val="22"/>
              </w:rPr>
            </w:pPr>
          </w:p>
        </w:tc>
        <w:tc>
          <w:tcPr>
            <w:tcW w:w="3496" w:type="dxa"/>
          </w:tcPr>
          <w:p w14:paraId="4A0B0DEE" w14:textId="77777777" w:rsidR="00BC0E7E" w:rsidRPr="00BC0E7E" w:rsidRDefault="00944B8F" w:rsidP="00BC0E7E">
            <w:pPr>
              <w:rPr>
                <w:szCs w:val="22"/>
              </w:rPr>
            </w:pPr>
            <w:r w:rsidRPr="00BC0E7E">
              <w:rPr>
                <w:szCs w:val="22"/>
              </w:rPr>
              <w:t>Study UV I                        Treatment</w:t>
            </w:r>
          </w:p>
        </w:tc>
        <w:tc>
          <w:tcPr>
            <w:tcW w:w="1170" w:type="dxa"/>
          </w:tcPr>
          <w:p w14:paraId="252249AA" w14:textId="77777777" w:rsidR="00BC0E7E" w:rsidRPr="00BC0E7E" w:rsidRDefault="00944B8F" w:rsidP="00BC0E7E">
            <w:pPr>
              <w:jc w:val="right"/>
              <w:rPr>
                <w:szCs w:val="22"/>
              </w:rPr>
            </w:pPr>
            <w:r>
              <w:rPr>
                <w:noProof/>
                <w:szCs w:val="22"/>
                <w:lang w:val="en-US"/>
              </w:rPr>
              <w:drawing>
                <wp:inline distT="0" distB="0" distL="0" distR="0" wp14:anchorId="4E15E828" wp14:editId="39781DC0">
                  <wp:extent cx="397510" cy="182880"/>
                  <wp:effectExtent l="0" t="0" r="2540" b="7620"/>
                  <wp:docPr id="166" name="Picture 166"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26" descr="Humira Uveitis Figure 5_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97510" cy="182880"/>
                          </a:xfrm>
                          <a:prstGeom prst="rect">
                            <a:avLst/>
                          </a:prstGeom>
                          <a:noFill/>
                          <a:ln>
                            <a:noFill/>
                          </a:ln>
                        </pic:spPr>
                      </pic:pic>
                    </a:graphicData>
                  </a:graphic>
                </wp:inline>
              </w:drawing>
            </w:r>
          </w:p>
        </w:tc>
        <w:tc>
          <w:tcPr>
            <w:tcW w:w="1350" w:type="dxa"/>
          </w:tcPr>
          <w:p w14:paraId="2F70CF4F" w14:textId="77777777" w:rsidR="00BC0E7E" w:rsidRPr="00BC0E7E" w:rsidRDefault="00944B8F" w:rsidP="00BC0E7E">
            <w:pPr>
              <w:rPr>
                <w:szCs w:val="22"/>
              </w:rPr>
            </w:pPr>
            <w:r w:rsidRPr="00BC0E7E">
              <w:rPr>
                <w:szCs w:val="22"/>
              </w:rPr>
              <w:t>Placebo</w:t>
            </w:r>
          </w:p>
        </w:tc>
        <w:tc>
          <w:tcPr>
            <w:tcW w:w="900" w:type="dxa"/>
          </w:tcPr>
          <w:p w14:paraId="15CDC74B" w14:textId="77777777" w:rsidR="00BC0E7E" w:rsidRPr="00BC0E7E" w:rsidRDefault="00944B8F" w:rsidP="00BC0E7E">
            <w:pPr>
              <w:jc w:val="right"/>
              <w:rPr>
                <w:szCs w:val="22"/>
              </w:rPr>
            </w:pPr>
            <w:r>
              <w:rPr>
                <w:noProof/>
                <w:szCs w:val="22"/>
                <w:lang w:val="en-US"/>
              </w:rPr>
              <w:drawing>
                <wp:inline distT="0" distB="0" distL="0" distR="0" wp14:anchorId="501A12B6" wp14:editId="134CA04B">
                  <wp:extent cx="556895" cy="182880"/>
                  <wp:effectExtent l="0" t="0" r="0" b="7620"/>
                  <wp:docPr id="165" name="Picture 16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27" descr="Humira Uveitis Figure 5_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56895" cy="182880"/>
                          </a:xfrm>
                          <a:prstGeom prst="rect">
                            <a:avLst/>
                          </a:prstGeom>
                          <a:noFill/>
                          <a:ln>
                            <a:noFill/>
                          </a:ln>
                        </pic:spPr>
                      </pic:pic>
                    </a:graphicData>
                  </a:graphic>
                </wp:inline>
              </w:drawing>
            </w:r>
          </w:p>
        </w:tc>
        <w:tc>
          <w:tcPr>
            <w:tcW w:w="1890" w:type="dxa"/>
          </w:tcPr>
          <w:p w14:paraId="12634790" w14:textId="77777777" w:rsidR="00BC0E7E" w:rsidRPr="00BC0E7E" w:rsidRDefault="00944B8F" w:rsidP="00BC0E7E">
            <w:pPr>
              <w:rPr>
                <w:szCs w:val="22"/>
              </w:rPr>
            </w:pPr>
            <w:r w:rsidRPr="00BC0E7E">
              <w:rPr>
                <w:szCs w:val="22"/>
              </w:rPr>
              <w:t>Adalimumab</w:t>
            </w:r>
          </w:p>
        </w:tc>
      </w:tr>
      <w:tr w:rsidR="00C6578C" w14:paraId="53446C09" w14:textId="77777777" w:rsidTr="00171601">
        <w:trPr>
          <w:trHeight w:val="3869"/>
        </w:trPr>
        <w:tc>
          <w:tcPr>
            <w:tcW w:w="482" w:type="dxa"/>
            <w:textDirection w:val="btLr"/>
            <w:vAlign w:val="bottom"/>
          </w:tcPr>
          <w:p w14:paraId="445260DA" w14:textId="77777777" w:rsidR="00BC0E7E" w:rsidRPr="00BC0E7E" w:rsidRDefault="00944B8F" w:rsidP="00BC0E7E">
            <w:pPr>
              <w:jc w:val="center"/>
              <w:rPr>
                <w:szCs w:val="22"/>
              </w:rPr>
            </w:pPr>
            <w:r w:rsidRPr="00BC0E7E">
              <w:rPr>
                <w:b/>
                <w:szCs w:val="22"/>
              </w:rPr>
              <w:lastRenderedPageBreak/>
              <w:t>TREATMENT FAILURE RATE (%)</w:t>
            </w:r>
          </w:p>
        </w:tc>
        <w:tc>
          <w:tcPr>
            <w:tcW w:w="8806" w:type="dxa"/>
            <w:gridSpan w:val="5"/>
            <w:vAlign w:val="bottom"/>
          </w:tcPr>
          <w:p w14:paraId="275A6E41" w14:textId="77777777" w:rsidR="00BC0E7E" w:rsidRPr="00BC0E7E" w:rsidRDefault="00944B8F" w:rsidP="00BC0E7E">
            <w:pPr>
              <w:rPr>
                <w:szCs w:val="22"/>
              </w:rPr>
            </w:pPr>
            <w:r>
              <w:rPr>
                <w:noProof/>
                <w:szCs w:val="22"/>
                <w:lang w:val="en-US"/>
              </w:rPr>
              <w:drawing>
                <wp:inline distT="0" distB="0" distL="0" distR="0" wp14:anchorId="7DAE1E5B" wp14:editId="1BCF8358">
                  <wp:extent cx="5486400" cy="2178685"/>
                  <wp:effectExtent l="0" t="0" r="0" b="0"/>
                  <wp:docPr id="164" name="Picture 164"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28" descr="Humira Uveitis Figure 5_7"/>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486400" cy="2178685"/>
                          </a:xfrm>
                          <a:prstGeom prst="rect">
                            <a:avLst/>
                          </a:prstGeom>
                          <a:noFill/>
                          <a:ln>
                            <a:noFill/>
                          </a:ln>
                        </pic:spPr>
                      </pic:pic>
                    </a:graphicData>
                  </a:graphic>
                </wp:inline>
              </w:drawing>
            </w:r>
          </w:p>
        </w:tc>
      </w:tr>
      <w:tr w:rsidR="00C6578C" w14:paraId="4CAEE46F" w14:textId="77777777" w:rsidTr="00171601">
        <w:tc>
          <w:tcPr>
            <w:tcW w:w="482" w:type="dxa"/>
          </w:tcPr>
          <w:p w14:paraId="02F1667F" w14:textId="77777777" w:rsidR="00BC0E7E" w:rsidRPr="00BC0E7E" w:rsidRDefault="00BC0E7E" w:rsidP="00BC0E7E">
            <w:pPr>
              <w:rPr>
                <w:szCs w:val="22"/>
              </w:rPr>
            </w:pPr>
          </w:p>
        </w:tc>
        <w:tc>
          <w:tcPr>
            <w:tcW w:w="8806" w:type="dxa"/>
            <w:gridSpan w:val="5"/>
          </w:tcPr>
          <w:p w14:paraId="01F5C5B8" w14:textId="77777777" w:rsidR="00BC0E7E" w:rsidRPr="00BC0E7E" w:rsidRDefault="00944B8F" w:rsidP="00BC0E7E">
            <w:pPr>
              <w:jc w:val="center"/>
              <w:rPr>
                <w:b/>
                <w:szCs w:val="22"/>
              </w:rPr>
            </w:pPr>
            <w:r w:rsidRPr="00BC0E7E">
              <w:rPr>
                <w:b/>
                <w:szCs w:val="22"/>
              </w:rPr>
              <w:t>TIME (MONTHS)</w:t>
            </w:r>
          </w:p>
        </w:tc>
      </w:tr>
      <w:tr w:rsidR="00C6578C" w14:paraId="2EB028E9" w14:textId="77777777" w:rsidTr="00171601">
        <w:trPr>
          <w:trHeight w:val="369"/>
        </w:trPr>
        <w:tc>
          <w:tcPr>
            <w:tcW w:w="482" w:type="dxa"/>
          </w:tcPr>
          <w:p w14:paraId="6C7E56D3" w14:textId="77777777" w:rsidR="00BC0E7E" w:rsidRPr="00BC0E7E" w:rsidRDefault="00BC0E7E" w:rsidP="00BC0E7E">
            <w:pPr>
              <w:rPr>
                <w:szCs w:val="22"/>
              </w:rPr>
            </w:pPr>
          </w:p>
        </w:tc>
        <w:tc>
          <w:tcPr>
            <w:tcW w:w="3496" w:type="dxa"/>
          </w:tcPr>
          <w:p w14:paraId="45D5D36A" w14:textId="77777777" w:rsidR="00BC0E7E" w:rsidRPr="00BC0E7E" w:rsidRDefault="00944B8F" w:rsidP="00BC0E7E">
            <w:pPr>
              <w:rPr>
                <w:szCs w:val="22"/>
              </w:rPr>
            </w:pPr>
            <w:r w:rsidRPr="00BC0E7E">
              <w:rPr>
                <w:szCs w:val="22"/>
              </w:rPr>
              <w:t>Study UV II                       Treatment</w:t>
            </w:r>
          </w:p>
        </w:tc>
        <w:tc>
          <w:tcPr>
            <w:tcW w:w="1170" w:type="dxa"/>
          </w:tcPr>
          <w:p w14:paraId="371C5F9A" w14:textId="77777777" w:rsidR="00BC0E7E" w:rsidRPr="00BC0E7E" w:rsidRDefault="00944B8F" w:rsidP="00BC0E7E">
            <w:pPr>
              <w:jc w:val="right"/>
              <w:rPr>
                <w:szCs w:val="22"/>
              </w:rPr>
            </w:pPr>
            <w:r>
              <w:rPr>
                <w:noProof/>
                <w:szCs w:val="22"/>
                <w:lang w:val="en-US"/>
              </w:rPr>
              <w:drawing>
                <wp:inline distT="0" distB="0" distL="0" distR="0" wp14:anchorId="02EE8B3C" wp14:editId="14601C1F">
                  <wp:extent cx="397510" cy="182880"/>
                  <wp:effectExtent l="0" t="0" r="2540" b="7620"/>
                  <wp:docPr id="163" name="Picture 163"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29" descr="Humira Uveitis Figure 5_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97510" cy="182880"/>
                          </a:xfrm>
                          <a:prstGeom prst="rect">
                            <a:avLst/>
                          </a:prstGeom>
                          <a:noFill/>
                          <a:ln>
                            <a:noFill/>
                          </a:ln>
                        </pic:spPr>
                      </pic:pic>
                    </a:graphicData>
                  </a:graphic>
                </wp:inline>
              </w:drawing>
            </w:r>
          </w:p>
        </w:tc>
        <w:tc>
          <w:tcPr>
            <w:tcW w:w="1350" w:type="dxa"/>
          </w:tcPr>
          <w:p w14:paraId="568C6578" w14:textId="77777777" w:rsidR="00BC0E7E" w:rsidRPr="00BC0E7E" w:rsidRDefault="00944B8F" w:rsidP="00BC0E7E">
            <w:pPr>
              <w:rPr>
                <w:szCs w:val="22"/>
              </w:rPr>
            </w:pPr>
            <w:r w:rsidRPr="00BC0E7E">
              <w:rPr>
                <w:szCs w:val="22"/>
              </w:rPr>
              <w:t>Placebo</w:t>
            </w:r>
          </w:p>
        </w:tc>
        <w:tc>
          <w:tcPr>
            <w:tcW w:w="900" w:type="dxa"/>
          </w:tcPr>
          <w:p w14:paraId="631D9438" w14:textId="77777777" w:rsidR="00BC0E7E" w:rsidRPr="00BC0E7E" w:rsidRDefault="00944B8F" w:rsidP="00BC0E7E">
            <w:pPr>
              <w:jc w:val="right"/>
              <w:rPr>
                <w:szCs w:val="22"/>
              </w:rPr>
            </w:pPr>
            <w:r>
              <w:rPr>
                <w:noProof/>
                <w:szCs w:val="22"/>
                <w:lang w:val="en-US"/>
              </w:rPr>
              <w:drawing>
                <wp:inline distT="0" distB="0" distL="0" distR="0" wp14:anchorId="462381E4" wp14:editId="5B3AF43F">
                  <wp:extent cx="556895" cy="182880"/>
                  <wp:effectExtent l="0" t="0" r="0" b="7620"/>
                  <wp:docPr id="162" name="Picture 16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30" descr="Humira Uveitis Figure 5_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56895" cy="182880"/>
                          </a:xfrm>
                          <a:prstGeom prst="rect">
                            <a:avLst/>
                          </a:prstGeom>
                          <a:noFill/>
                          <a:ln>
                            <a:noFill/>
                          </a:ln>
                        </pic:spPr>
                      </pic:pic>
                    </a:graphicData>
                  </a:graphic>
                </wp:inline>
              </w:drawing>
            </w:r>
          </w:p>
        </w:tc>
        <w:tc>
          <w:tcPr>
            <w:tcW w:w="1890" w:type="dxa"/>
          </w:tcPr>
          <w:p w14:paraId="00CC0A34" w14:textId="77777777" w:rsidR="00BC0E7E" w:rsidRPr="00BC0E7E" w:rsidRDefault="00944B8F" w:rsidP="00BC0E7E">
            <w:pPr>
              <w:rPr>
                <w:szCs w:val="22"/>
              </w:rPr>
            </w:pPr>
            <w:r w:rsidRPr="00BC0E7E">
              <w:rPr>
                <w:szCs w:val="22"/>
              </w:rPr>
              <w:t>Adalimumab</w:t>
            </w:r>
          </w:p>
        </w:tc>
      </w:tr>
      <w:tr w:rsidR="00C6578C" w14:paraId="681640BC" w14:textId="77777777" w:rsidTr="00171601">
        <w:trPr>
          <w:trHeight w:val="629"/>
        </w:trPr>
        <w:tc>
          <w:tcPr>
            <w:tcW w:w="9288" w:type="dxa"/>
            <w:gridSpan w:val="6"/>
            <w:vAlign w:val="center"/>
          </w:tcPr>
          <w:p w14:paraId="371E3914" w14:textId="77777777" w:rsidR="00BC0E7E" w:rsidRPr="00BC0E7E" w:rsidRDefault="00944B8F" w:rsidP="00BC0E7E">
            <w:pPr>
              <w:rPr>
                <w:szCs w:val="22"/>
              </w:rPr>
            </w:pPr>
            <w:r w:rsidRPr="00BC0E7E">
              <w:rPr>
                <w:szCs w:val="22"/>
              </w:rPr>
              <w:t>Note: P# = Placebo (Number of Events/Number at Risk); A# = HUMIRA (Number of</w:t>
            </w:r>
          </w:p>
          <w:p w14:paraId="1D808FB8" w14:textId="77777777" w:rsidR="00BC0E7E" w:rsidRPr="00BC0E7E" w:rsidRDefault="00944B8F" w:rsidP="00BC0E7E">
            <w:pPr>
              <w:rPr>
                <w:szCs w:val="22"/>
              </w:rPr>
            </w:pPr>
            <w:r w:rsidRPr="00BC0E7E">
              <w:rPr>
                <w:szCs w:val="22"/>
              </w:rPr>
              <w:t>Events/Number at Risk).</w:t>
            </w:r>
          </w:p>
        </w:tc>
      </w:tr>
    </w:tbl>
    <w:p w14:paraId="38BE63A9" w14:textId="77777777" w:rsidR="00BC0E7E" w:rsidRPr="00BC0E7E" w:rsidRDefault="00BC0E7E" w:rsidP="00BC0E7E">
      <w:pPr>
        <w:rPr>
          <w:szCs w:val="20"/>
        </w:rPr>
      </w:pPr>
    </w:p>
    <w:p w14:paraId="7B020B6E" w14:textId="77777777" w:rsidR="00BC0E7E" w:rsidRPr="00BC0E7E" w:rsidRDefault="00944B8F" w:rsidP="00BC0E7E">
      <w:pPr>
        <w:rPr>
          <w:szCs w:val="20"/>
        </w:rPr>
      </w:pPr>
      <w:r w:rsidRPr="00BC0E7E">
        <w:rPr>
          <w:szCs w:val="20"/>
        </w:rPr>
        <w:t>In Study UV I statistically significant differences in favour of adalimumab versus placebo were observed for each component of treatment failure.  In Study UV II, statistically significant differences were observed for visual acuity only, but the other components were numerically in favour of adalimumab.</w:t>
      </w:r>
    </w:p>
    <w:p w14:paraId="187D6E47" w14:textId="77777777" w:rsidR="0053724F" w:rsidRDefault="0053724F" w:rsidP="0053724F">
      <w:pPr>
        <w:pStyle w:val="EMEANormal"/>
        <w:rPr>
          <w:lang w:val="en-GB"/>
        </w:rPr>
      </w:pPr>
    </w:p>
    <w:p w14:paraId="1EFC6240" w14:textId="77777777" w:rsidR="0053724F" w:rsidRDefault="00944B8F" w:rsidP="0053724F">
      <w:pPr>
        <w:pStyle w:val="EMEANormal"/>
      </w:pPr>
      <w:r w:rsidRPr="70D4D675">
        <w:rPr>
          <w:lang w:val="en-GB"/>
        </w:rPr>
        <w:t xml:space="preserve">Of the </w:t>
      </w:r>
      <w:r w:rsidR="000B2E24" w:rsidRPr="70D4D675">
        <w:rPr>
          <w:lang w:val="en-GB"/>
        </w:rPr>
        <w:t>424</w:t>
      </w:r>
      <w:r w:rsidRPr="70D4D675">
        <w:rPr>
          <w:lang w:val="en-GB"/>
        </w:rPr>
        <w:t xml:space="preserve"> subjects included in the uncontrolled long-term extension of Studies UV I and UV II, </w:t>
      </w:r>
      <w:r w:rsidR="000B2E24" w:rsidRPr="70D4D675">
        <w:rPr>
          <w:lang w:val="en-GB"/>
        </w:rPr>
        <w:t>60</w:t>
      </w:r>
      <w:r w:rsidRPr="70D4D675">
        <w:rPr>
          <w:lang w:val="en-GB"/>
        </w:rPr>
        <w:t xml:space="preserve"> subjects were regarded ineligible (e.g. </w:t>
      </w:r>
      <w:r w:rsidR="000B2E24" w:rsidRPr="70D4D675">
        <w:rPr>
          <w:lang w:val="en-GB"/>
        </w:rPr>
        <w:t xml:space="preserve">due to deviations or due to </w:t>
      </w:r>
      <w:r w:rsidRPr="70D4D675">
        <w:rPr>
          <w:lang w:val="en-GB"/>
        </w:rPr>
        <w:t xml:space="preserve">complications secondary to diabetic retinopathy, due to cataract surgery or vitrectomy) and were excluded from the primary analysis of efficacy. Of the </w:t>
      </w:r>
      <w:r w:rsidR="000B2E24" w:rsidRPr="70D4D675">
        <w:rPr>
          <w:lang w:val="en-GB"/>
        </w:rPr>
        <w:t>364</w:t>
      </w:r>
      <w:r w:rsidRPr="70D4D675">
        <w:rPr>
          <w:lang w:val="en-GB"/>
        </w:rPr>
        <w:t xml:space="preserve"> remaining patients, </w:t>
      </w:r>
      <w:r w:rsidR="000B2E24" w:rsidRPr="70D4D675">
        <w:rPr>
          <w:lang w:val="en-GB"/>
        </w:rPr>
        <w:t>269</w:t>
      </w:r>
      <w:r w:rsidRPr="70D4D675">
        <w:rPr>
          <w:lang w:val="en-GB"/>
        </w:rPr>
        <w:t xml:space="preserve"> evaluable patients</w:t>
      </w:r>
      <w:r w:rsidR="000B2E24" w:rsidRPr="70D4D675">
        <w:rPr>
          <w:lang w:val="en-GB"/>
        </w:rPr>
        <w:t xml:space="preserve"> (74%)</w:t>
      </w:r>
      <w:r w:rsidRPr="70D4D675">
        <w:rPr>
          <w:lang w:val="en-GB"/>
        </w:rPr>
        <w:t xml:space="preserve"> reached 78 weeks of open-label adalimumab treatment. Based on the observed data approach, </w:t>
      </w:r>
      <w:r w:rsidR="000B2E24" w:rsidRPr="70D4D675">
        <w:rPr>
          <w:lang w:val="en-GB"/>
        </w:rPr>
        <w:t>216</w:t>
      </w:r>
      <w:r w:rsidRPr="70D4D675">
        <w:rPr>
          <w:lang w:val="en-GB"/>
        </w:rPr>
        <w:t xml:space="preserve"> (</w:t>
      </w:r>
      <w:r w:rsidR="000B2E24" w:rsidRPr="70D4D675">
        <w:rPr>
          <w:lang w:val="en-GB"/>
        </w:rPr>
        <w:t>80.3%</w:t>
      </w:r>
      <w:r w:rsidRPr="70D4D675">
        <w:rPr>
          <w:lang w:val="en-GB"/>
        </w:rPr>
        <w:t xml:space="preserve">) were in quiescence (no active inflammatory lesions, AC cell grade  ≤ 0.5+, VH grade ≤ 0.5+) with a concomitant steroid dose ≤ 7.5 mg per day, and </w:t>
      </w:r>
      <w:r w:rsidR="000B2E24" w:rsidRPr="70D4D675">
        <w:rPr>
          <w:lang w:val="en-GB"/>
        </w:rPr>
        <w:t>178</w:t>
      </w:r>
      <w:r w:rsidRPr="70D4D675">
        <w:rPr>
          <w:lang w:val="en-GB"/>
        </w:rPr>
        <w:t xml:space="preserve"> (</w:t>
      </w:r>
      <w:r w:rsidR="000B2E24" w:rsidRPr="70D4D675">
        <w:rPr>
          <w:lang w:val="en-GB"/>
        </w:rPr>
        <w:t>66.2%</w:t>
      </w:r>
      <w:r w:rsidRPr="70D4D675">
        <w:rPr>
          <w:lang w:val="en-GB"/>
        </w:rPr>
        <w:t>) were in steroid-free quiescence. BCVA was either improved or maintained (&lt; 5 letters deterioration) in 88.</w:t>
      </w:r>
      <w:r w:rsidR="000B2E24" w:rsidRPr="70D4D675">
        <w:rPr>
          <w:lang w:val="en-GB"/>
        </w:rPr>
        <w:t>6</w:t>
      </w:r>
      <w:r w:rsidRPr="70D4D675">
        <w:rPr>
          <w:lang w:val="en-GB"/>
        </w:rPr>
        <w:t>% of the eyes at week 78.</w:t>
      </w:r>
      <w:r w:rsidR="000B2E24" w:rsidRPr="70D4D675">
        <w:rPr>
          <w:lang w:val="en-GB"/>
        </w:rPr>
        <w:t xml:space="preserve"> Data beyond Week 78 were generally consistent with these results but the number of enrolled subjects declined after this time. Overall,</w:t>
      </w:r>
      <w:r w:rsidRPr="70D4D675">
        <w:rPr>
          <w:lang w:val="en-GB"/>
        </w:rPr>
        <w:t xml:space="preserve"> </w:t>
      </w:r>
      <w:r w:rsidR="000B2E24" w:rsidRPr="70D4D675">
        <w:rPr>
          <w:lang w:val="en-GB"/>
        </w:rPr>
        <w:t>a</w:t>
      </w:r>
      <w:r w:rsidRPr="70D4D675">
        <w:rPr>
          <w:lang w:val="en-GB"/>
        </w:rPr>
        <w:t xml:space="preserve">mong the patients who discontinued the study, </w:t>
      </w:r>
      <w:r w:rsidR="000B2E24" w:rsidRPr="70D4D675">
        <w:rPr>
          <w:lang w:val="en-GB"/>
        </w:rPr>
        <w:t>18</w:t>
      </w:r>
      <w:r w:rsidRPr="70D4D675">
        <w:rPr>
          <w:lang w:val="en-GB"/>
        </w:rPr>
        <w:t xml:space="preserve">% discontinued due to adverse events, and </w:t>
      </w:r>
      <w:r w:rsidR="000B2E24" w:rsidRPr="70D4D675">
        <w:rPr>
          <w:lang w:val="en-GB"/>
        </w:rPr>
        <w:t>8</w:t>
      </w:r>
      <w:r w:rsidRPr="70D4D675">
        <w:rPr>
          <w:lang w:val="en-GB"/>
        </w:rPr>
        <w:t>% due to insufficient response to adalimumab treatment.</w:t>
      </w:r>
    </w:p>
    <w:p w14:paraId="5351FD87" w14:textId="77777777" w:rsidR="00BC0E7E" w:rsidRPr="00BC0E7E" w:rsidRDefault="00BC0E7E" w:rsidP="00BC0E7E">
      <w:pPr>
        <w:rPr>
          <w:szCs w:val="20"/>
        </w:rPr>
      </w:pPr>
    </w:p>
    <w:p w14:paraId="0B77FA70" w14:textId="77777777" w:rsidR="00BC0E7E" w:rsidRPr="00BC0E7E" w:rsidRDefault="00944B8F" w:rsidP="00BC0E7E">
      <w:pPr>
        <w:keepNext/>
        <w:rPr>
          <w:i/>
          <w:szCs w:val="22"/>
          <w:u w:val="single"/>
        </w:rPr>
      </w:pPr>
      <w:r w:rsidRPr="00BC0E7E">
        <w:rPr>
          <w:i/>
          <w:szCs w:val="22"/>
          <w:u w:val="single"/>
        </w:rPr>
        <w:t>Quality of Life</w:t>
      </w:r>
    </w:p>
    <w:p w14:paraId="14CF5EBA" w14:textId="77777777" w:rsidR="00BC0E7E" w:rsidRPr="00F619C1" w:rsidRDefault="00BC0E7E" w:rsidP="00BC0E7E">
      <w:pPr>
        <w:keepNext/>
        <w:rPr>
          <w:szCs w:val="22"/>
          <w:u w:val="single"/>
        </w:rPr>
      </w:pPr>
    </w:p>
    <w:p w14:paraId="7271B659" w14:textId="77777777" w:rsidR="00BC0E7E" w:rsidRPr="00BC0E7E" w:rsidRDefault="00944B8F" w:rsidP="00BC0E7E">
      <w:pPr>
        <w:keepNext/>
        <w:rPr>
          <w:szCs w:val="20"/>
        </w:rPr>
      </w:pPr>
      <w:r w:rsidRPr="00BC0E7E">
        <w:rPr>
          <w:szCs w:val="20"/>
        </w:rPr>
        <w:t>Patient reported outcomes regarding vision-related functioning were measured in both clinical studies, using the NEI VFQ-25. Humira was numerically favoured for the majority of subscores with statistically significant mean differences for general vision, ocular pain, near vision, mental health, and total score in Study UV I, and for general vision and mental health in Study UV II. Vision related effects were not numerically in favour of Humira for colour vision in Study UVI and for colour vision, peripheral vision and near vision in Study UV II.</w:t>
      </w:r>
    </w:p>
    <w:p w14:paraId="0F6D57B1" w14:textId="77777777" w:rsidR="00BC0E7E" w:rsidRPr="00BC0E7E" w:rsidRDefault="00BC0E7E" w:rsidP="00BC0E7E">
      <w:pPr>
        <w:rPr>
          <w:szCs w:val="20"/>
        </w:rPr>
      </w:pPr>
    </w:p>
    <w:p w14:paraId="70C9CF61" w14:textId="77777777" w:rsidR="00BC0E7E" w:rsidRPr="00BC0E7E" w:rsidRDefault="00944B8F" w:rsidP="00BC0E7E">
      <w:pPr>
        <w:keepNext/>
        <w:rPr>
          <w:szCs w:val="20"/>
          <w:u w:val="single"/>
        </w:rPr>
      </w:pPr>
      <w:r w:rsidRPr="00BC0E7E">
        <w:rPr>
          <w:szCs w:val="20"/>
          <w:u w:val="single"/>
        </w:rPr>
        <w:t>Immunogenicity</w:t>
      </w:r>
    </w:p>
    <w:p w14:paraId="0925B148" w14:textId="77777777" w:rsidR="00BC0E7E" w:rsidRPr="00BC0E7E" w:rsidRDefault="00BC0E7E" w:rsidP="00BC0E7E">
      <w:pPr>
        <w:keepNext/>
        <w:rPr>
          <w:szCs w:val="20"/>
        </w:rPr>
      </w:pPr>
    </w:p>
    <w:p w14:paraId="060EC025" w14:textId="77777777" w:rsidR="00BC0E7E" w:rsidRPr="00BC0E7E" w:rsidRDefault="00944B8F" w:rsidP="00BC0E7E">
      <w:pPr>
        <w:keepNext/>
        <w:tabs>
          <w:tab w:val="left" w:pos="1294"/>
        </w:tabs>
        <w:autoSpaceDE w:val="0"/>
        <w:autoSpaceDN w:val="0"/>
        <w:adjustRightInd w:val="0"/>
      </w:pPr>
      <w:r w:rsidRPr="00BC0E7E">
        <w:t>Formation of anti-adalimumab antibodies is associated with increased clearance and reduced efficacy of adalimumab. There is no apparent correlation between the presence of anti-adalimumab antibodies and the occurrence of adverse events.</w:t>
      </w:r>
    </w:p>
    <w:p w14:paraId="7EEE0CA0" w14:textId="77777777" w:rsidR="00BC0E7E" w:rsidRPr="00BC0E7E" w:rsidRDefault="00BC0E7E" w:rsidP="00BC0E7E">
      <w:pPr>
        <w:tabs>
          <w:tab w:val="left" w:pos="1294"/>
        </w:tabs>
        <w:autoSpaceDE w:val="0"/>
        <w:autoSpaceDN w:val="0"/>
        <w:adjustRightInd w:val="0"/>
      </w:pPr>
    </w:p>
    <w:p w14:paraId="0D675761" w14:textId="77777777" w:rsidR="00BC0E7E" w:rsidRPr="00BC0E7E" w:rsidRDefault="00944B8F" w:rsidP="00BC0E7E">
      <w:pPr>
        <w:tabs>
          <w:tab w:val="left" w:pos="1294"/>
        </w:tabs>
        <w:autoSpaceDE w:val="0"/>
        <w:autoSpaceDN w:val="0"/>
        <w:adjustRightInd w:val="0"/>
      </w:pPr>
      <w:r w:rsidRPr="00BC0E7E">
        <w:lastRenderedPageBreak/>
        <w:t xml:space="preserve">Patients in rheumatoid arthritis studies I, II and III were tested at multiple time points for anti-adalimumab antibodies during the 6 to 12 month period. In the pivotal trials, anti-adalimumab antibodies were identified in 5.5% (58/1053) of patients treated with adalimumab, compared to 0.5% (2/370) on placebo.  In patients not given concomitant methotrexate, the incidence was 12.4%, compared to 0.6% when adalimumab was used as add-on to methotrexate.  </w:t>
      </w:r>
    </w:p>
    <w:p w14:paraId="508FE473" w14:textId="77777777" w:rsidR="00BC0E7E" w:rsidRPr="00BC0E7E" w:rsidRDefault="00BC0E7E" w:rsidP="00BC0E7E">
      <w:pPr>
        <w:tabs>
          <w:tab w:val="left" w:pos="1294"/>
        </w:tabs>
        <w:autoSpaceDE w:val="0"/>
        <w:autoSpaceDN w:val="0"/>
        <w:adjustRightInd w:val="0"/>
      </w:pPr>
    </w:p>
    <w:p w14:paraId="3B3C032B" w14:textId="77777777" w:rsidR="00930CBB" w:rsidRDefault="00944B8F" w:rsidP="00930CBB">
      <w:pPr>
        <w:rPr>
          <w:szCs w:val="22"/>
        </w:rPr>
      </w:pPr>
      <w:r w:rsidRPr="00BC0E7E">
        <w:t>In patients with polyarticular juvenile idiopathic arthritis who were 4 to 17 years, anti-adalimumab antibodies were identified in 15.8% (27/171) of patients treated with adalimumab. In patients not given concomitant methotrexate, the incidence was 25.6% (22/86) compared to 5.9% (5/85) when adalimumab was used as add-on to methotrexate.</w:t>
      </w:r>
      <w:r w:rsidRPr="005B136B">
        <w:rPr>
          <w:szCs w:val="22"/>
        </w:rPr>
        <w:t xml:space="preserve"> </w:t>
      </w:r>
      <w:r>
        <w:rPr>
          <w:szCs w:val="22"/>
        </w:rPr>
        <w:t>In patients with polyarticular juvenile idiopathic arthritis who were 2 to &lt;4 years old or aged 4 and above weighing &lt;15 kg, anti-adalimumab antibodies were identified in 7% (1/15) of patients, and the one patient was receiving concomitant methotrexate.</w:t>
      </w:r>
    </w:p>
    <w:p w14:paraId="085257F9" w14:textId="77777777" w:rsidR="00BC0E7E" w:rsidRPr="00BC0E7E" w:rsidRDefault="00BC0E7E" w:rsidP="00BC0E7E">
      <w:pPr>
        <w:tabs>
          <w:tab w:val="left" w:pos="1294"/>
        </w:tabs>
        <w:autoSpaceDE w:val="0"/>
        <w:autoSpaceDN w:val="0"/>
        <w:adjustRightInd w:val="0"/>
      </w:pPr>
    </w:p>
    <w:p w14:paraId="5A05ACA5" w14:textId="77777777" w:rsidR="00BC0E7E" w:rsidRPr="00BC0E7E" w:rsidRDefault="00944B8F" w:rsidP="00BC0E7E">
      <w:pPr>
        <w:tabs>
          <w:tab w:val="clear" w:pos="562"/>
        </w:tabs>
        <w:suppressAutoHyphens w:val="0"/>
        <w:rPr>
          <w:szCs w:val="22"/>
        </w:rPr>
      </w:pPr>
      <w:r w:rsidRPr="00BC0E7E">
        <w:rPr>
          <w:szCs w:val="22"/>
        </w:rPr>
        <w:t>In patients with enthesitis-related arthritis, anti-adalimumab antibodies were identified in 10.9% (5/46) of patients treated with adalimumab. In patients not given concomitant methotrexate, the incidence was 13.6% (3/22), compared to 8.3% (2/24) when adalimumab was used as add-on to methotrexate.</w:t>
      </w:r>
    </w:p>
    <w:p w14:paraId="26BD10D5" w14:textId="77777777" w:rsidR="00BC0E7E" w:rsidRPr="00BC0E7E" w:rsidRDefault="00BC0E7E" w:rsidP="00BC0E7E">
      <w:pPr>
        <w:tabs>
          <w:tab w:val="left" w:pos="1294"/>
        </w:tabs>
        <w:autoSpaceDE w:val="0"/>
        <w:autoSpaceDN w:val="0"/>
        <w:adjustRightInd w:val="0"/>
      </w:pPr>
    </w:p>
    <w:p w14:paraId="3E3B7B85" w14:textId="77777777" w:rsidR="00BC0E7E" w:rsidRPr="00BC0E7E" w:rsidRDefault="00944B8F" w:rsidP="00BC0E7E">
      <w:pPr>
        <w:tabs>
          <w:tab w:val="left" w:pos="1294"/>
        </w:tabs>
        <w:autoSpaceDE w:val="0"/>
        <w:autoSpaceDN w:val="0"/>
        <w:adjustRightInd w:val="0"/>
      </w:pPr>
      <w:r w:rsidRPr="00BC0E7E">
        <w:t>In patients with psoriatic arthritis, anti-adalimumab antibodies were identified in 38/376 subjects (10%) treated with adalimumab. In patients not given concomitant methotrexate, the incidence was 13.5% (24/178 subjects), compared to 7% (14 of 198 subjects) when adalimumab was used as add-on to methotrexate.</w:t>
      </w:r>
    </w:p>
    <w:p w14:paraId="0AFE6361" w14:textId="77777777" w:rsidR="00BC0E7E" w:rsidRPr="00BC0E7E" w:rsidRDefault="00BC0E7E" w:rsidP="00BC0E7E">
      <w:pPr>
        <w:tabs>
          <w:tab w:val="left" w:pos="1294"/>
        </w:tabs>
        <w:autoSpaceDE w:val="0"/>
        <w:autoSpaceDN w:val="0"/>
        <w:adjustRightInd w:val="0"/>
      </w:pPr>
    </w:p>
    <w:p w14:paraId="5C372D58" w14:textId="77777777" w:rsidR="00BC0E7E" w:rsidRPr="00BC0E7E" w:rsidRDefault="00944B8F" w:rsidP="00BC0E7E">
      <w:pPr>
        <w:tabs>
          <w:tab w:val="left" w:pos="1294"/>
        </w:tabs>
        <w:autoSpaceDE w:val="0"/>
        <w:autoSpaceDN w:val="0"/>
        <w:adjustRightInd w:val="0"/>
      </w:pPr>
      <w:r w:rsidRPr="00BC0E7E">
        <w:t>In patients with ankylosing spondylitis anti-adalimumab antibodies were identified in 17/204 subjects (8.3%) treated with adalimumab. In patients not given concomitant methotrexate, the incidence was 16/185 (8.6%), compared to 1/19 (5.3%) when adalimumab was used as add-on to methotrexate.</w:t>
      </w:r>
    </w:p>
    <w:p w14:paraId="4BD37025" w14:textId="77777777" w:rsidR="00BC0E7E" w:rsidRDefault="00BC0E7E" w:rsidP="00BC0E7E">
      <w:pPr>
        <w:tabs>
          <w:tab w:val="left" w:pos="1294"/>
        </w:tabs>
        <w:autoSpaceDE w:val="0"/>
        <w:autoSpaceDN w:val="0"/>
        <w:adjustRightInd w:val="0"/>
      </w:pPr>
    </w:p>
    <w:p w14:paraId="098219DB" w14:textId="77777777" w:rsidR="00DC14B9" w:rsidRDefault="00944B8F" w:rsidP="00BC0E7E">
      <w:pPr>
        <w:tabs>
          <w:tab w:val="left" w:pos="1294"/>
        </w:tabs>
        <w:autoSpaceDE w:val="0"/>
        <w:autoSpaceDN w:val="0"/>
        <w:adjustRightInd w:val="0"/>
      </w:pPr>
      <w:r>
        <w:t>In patients with non-radiographic axial spondyloarthritis, anti-adalimumab antibodies were identified in 8/152 subjects (5.3%) who were treated continuously with adalimumab.</w:t>
      </w:r>
    </w:p>
    <w:p w14:paraId="5F2694F0" w14:textId="77777777" w:rsidR="00DC14B9" w:rsidRPr="00BC0E7E" w:rsidRDefault="00DC14B9" w:rsidP="00BC0E7E">
      <w:pPr>
        <w:tabs>
          <w:tab w:val="left" w:pos="1294"/>
        </w:tabs>
        <w:autoSpaceDE w:val="0"/>
        <w:autoSpaceDN w:val="0"/>
        <w:adjustRightInd w:val="0"/>
      </w:pPr>
    </w:p>
    <w:p w14:paraId="662CA5BC" w14:textId="77777777" w:rsidR="00BC0E7E" w:rsidRPr="00BC0E7E" w:rsidRDefault="00944B8F" w:rsidP="00BC0E7E">
      <w:pPr>
        <w:tabs>
          <w:tab w:val="left" w:pos="1294"/>
        </w:tabs>
        <w:autoSpaceDE w:val="0"/>
        <w:autoSpaceDN w:val="0"/>
        <w:adjustRightInd w:val="0"/>
      </w:pPr>
      <w:r w:rsidRPr="00BC0E7E">
        <w:t>In patients with Crohn’s disease, anti-adalimumab antibodies were identified in 7/269 subjects (2.6%) and in 19/487 subjects (3.9%) with ulcerative colitis.</w:t>
      </w:r>
    </w:p>
    <w:p w14:paraId="59DF0260" w14:textId="77777777" w:rsidR="00BC0E7E" w:rsidRPr="00BC0E7E" w:rsidRDefault="00BC0E7E" w:rsidP="00BC0E7E">
      <w:pPr>
        <w:tabs>
          <w:tab w:val="left" w:pos="1294"/>
        </w:tabs>
        <w:autoSpaceDE w:val="0"/>
        <w:autoSpaceDN w:val="0"/>
        <w:adjustRightInd w:val="0"/>
      </w:pPr>
    </w:p>
    <w:p w14:paraId="5B6AF7FD" w14:textId="77777777" w:rsidR="00BC0E7E" w:rsidRPr="00BC0E7E" w:rsidRDefault="00944B8F" w:rsidP="00BC0E7E">
      <w:pPr>
        <w:tabs>
          <w:tab w:val="left" w:pos="1294"/>
        </w:tabs>
        <w:autoSpaceDE w:val="0"/>
        <w:autoSpaceDN w:val="0"/>
        <w:adjustRightInd w:val="0"/>
        <w:rPr>
          <w:bCs/>
          <w:iCs/>
          <w:szCs w:val="20"/>
        </w:rPr>
      </w:pPr>
      <w:r w:rsidRPr="00BC0E7E">
        <w:rPr>
          <w:bCs/>
          <w:iCs/>
          <w:szCs w:val="20"/>
        </w:rPr>
        <w:t>In adult patients with psoriasis, anti-adalimumab antibodies were identified in 77/920 subjects (8.4%) treated with adalimumab monotherapy.</w:t>
      </w:r>
    </w:p>
    <w:p w14:paraId="31B879F4" w14:textId="77777777" w:rsidR="00BC0E7E" w:rsidRPr="00BC0E7E" w:rsidRDefault="00BC0E7E" w:rsidP="00BC0E7E">
      <w:pPr>
        <w:tabs>
          <w:tab w:val="left" w:pos="1294"/>
        </w:tabs>
        <w:autoSpaceDE w:val="0"/>
        <w:autoSpaceDN w:val="0"/>
        <w:adjustRightInd w:val="0"/>
        <w:rPr>
          <w:bCs/>
          <w:iCs/>
          <w:szCs w:val="20"/>
        </w:rPr>
      </w:pPr>
    </w:p>
    <w:p w14:paraId="0D2B65B4" w14:textId="77777777" w:rsidR="00BC0E7E" w:rsidRPr="00BC0E7E" w:rsidRDefault="00944B8F" w:rsidP="00BC0E7E">
      <w:pPr>
        <w:tabs>
          <w:tab w:val="left" w:pos="1294"/>
        </w:tabs>
        <w:autoSpaceDE w:val="0"/>
        <w:autoSpaceDN w:val="0"/>
        <w:adjustRightInd w:val="0"/>
      </w:pPr>
      <w:r w:rsidRPr="00BC0E7E">
        <w:t>In adult plaque psoriasis patients on long term adalimumab monotherapy who participated in a withdrawal and retreatment study, the rate of antibodies to adalimumab after retreatment (11 of 482 subjects, 2.3%) was similar to the rate observed prior to withdrawal (11 of 590 subjects, 1.9%).</w:t>
      </w:r>
    </w:p>
    <w:p w14:paraId="54E9589F" w14:textId="77777777" w:rsidR="00BC0E7E" w:rsidRPr="00BC0E7E" w:rsidRDefault="00BC0E7E" w:rsidP="00BC0E7E">
      <w:pPr>
        <w:tabs>
          <w:tab w:val="left" w:pos="1294"/>
        </w:tabs>
        <w:autoSpaceDE w:val="0"/>
        <w:autoSpaceDN w:val="0"/>
        <w:adjustRightInd w:val="0"/>
      </w:pPr>
    </w:p>
    <w:p w14:paraId="16F9A860" w14:textId="77777777" w:rsidR="00BC0E7E" w:rsidRPr="00BC0E7E" w:rsidRDefault="00944B8F" w:rsidP="00BC0E7E">
      <w:pPr>
        <w:tabs>
          <w:tab w:val="left" w:pos="1294"/>
        </w:tabs>
        <w:autoSpaceDE w:val="0"/>
        <w:autoSpaceDN w:val="0"/>
        <w:adjustRightInd w:val="0"/>
        <w:rPr>
          <w:bCs/>
          <w:iCs/>
          <w:szCs w:val="20"/>
        </w:rPr>
      </w:pPr>
      <w:r w:rsidRPr="00BC0E7E">
        <w:rPr>
          <w:bCs/>
          <w:iCs/>
          <w:szCs w:val="20"/>
        </w:rPr>
        <w:t>In patients with paediatric psoriasis, anti-adalimumab antibodies were identified in 5/38 subjects (13%) treated with 0.8</w:t>
      </w:r>
      <w:r w:rsidR="00930CBB">
        <w:rPr>
          <w:bCs/>
          <w:iCs/>
          <w:szCs w:val="20"/>
        </w:rPr>
        <w:t xml:space="preserve"> </w:t>
      </w:r>
      <w:r w:rsidRPr="00BC0E7E">
        <w:rPr>
          <w:bCs/>
          <w:iCs/>
          <w:szCs w:val="20"/>
        </w:rPr>
        <w:t>mg/kg adalimumab monotherapy.</w:t>
      </w:r>
    </w:p>
    <w:p w14:paraId="02BD31D6" w14:textId="77777777" w:rsidR="00BC0E7E" w:rsidRPr="00BC0E7E" w:rsidRDefault="00BC0E7E" w:rsidP="00BC0E7E">
      <w:pPr>
        <w:tabs>
          <w:tab w:val="left" w:pos="1294"/>
        </w:tabs>
        <w:autoSpaceDE w:val="0"/>
        <w:autoSpaceDN w:val="0"/>
        <w:adjustRightInd w:val="0"/>
        <w:rPr>
          <w:bCs/>
          <w:iCs/>
          <w:szCs w:val="20"/>
        </w:rPr>
      </w:pPr>
    </w:p>
    <w:p w14:paraId="2F2D92BE" w14:textId="77777777" w:rsidR="00BC0E7E" w:rsidRPr="00BC0E7E" w:rsidRDefault="00944B8F" w:rsidP="00BC0E7E">
      <w:pPr>
        <w:tabs>
          <w:tab w:val="left" w:pos="1294"/>
        </w:tabs>
        <w:autoSpaceDE w:val="0"/>
        <w:autoSpaceDN w:val="0"/>
        <w:adjustRightInd w:val="0"/>
        <w:rPr>
          <w:bCs/>
          <w:iCs/>
          <w:szCs w:val="20"/>
        </w:rPr>
      </w:pPr>
      <w:r w:rsidRPr="00BC0E7E">
        <w:rPr>
          <w:bCs/>
          <w:iCs/>
          <w:szCs w:val="20"/>
        </w:rPr>
        <w:t>In patients with moderate to severe hidradenitis suppurativa, anti-adalimumab antibodies were identified in 10/99 subjects (10.1%) treated with adalimumab.</w:t>
      </w:r>
    </w:p>
    <w:p w14:paraId="02635F1E" w14:textId="77777777" w:rsidR="00BC0E7E" w:rsidRPr="00BC0E7E" w:rsidRDefault="00BC0E7E" w:rsidP="00BC0E7E">
      <w:pPr>
        <w:tabs>
          <w:tab w:val="left" w:pos="1294"/>
        </w:tabs>
        <w:autoSpaceDE w:val="0"/>
        <w:autoSpaceDN w:val="0"/>
        <w:adjustRightInd w:val="0"/>
      </w:pPr>
    </w:p>
    <w:p w14:paraId="3944AF15" w14:textId="77777777" w:rsidR="00BC0E7E" w:rsidRPr="00BC0E7E" w:rsidRDefault="00944B8F" w:rsidP="00BC0E7E">
      <w:pPr>
        <w:tabs>
          <w:tab w:val="left" w:pos="1294"/>
        </w:tabs>
        <w:autoSpaceDE w:val="0"/>
        <w:autoSpaceDN w:val="0"/>
        <w:adjustRightInd w:val="0"/>
        <w:rPr>
          <w:bCs/>
          <w:iCs/>
          <w:szCs w:val="20"/>
        </w:rPr>
      </w:pPr>
      <w:r w:rsidRPr="00BC0E7E">
        <w:rPr>
          <w:bCs/>
          <w:iCs/>
          <w:szCs w:val="20"/>
        </w:rPr>
        <w:t xml:space="preserve">In patients with moderately to severely active paediatric Crohn’s disease, the rate of anti-adalimumab antibody development in patients receiving adalimumab was 3.3%. </w:t>
      </w:r>
    </w:p>
    <w:p w14:paraId="1AFD806A" w14:textId="77777777" w:rsidR="00BC0E7E" w:rsidRPr="00BC0E7E" w:rsidRDefault="00BC0E7E" w:rsidP="00BC0E7E">
      <w:pPr>
        <w:tabs>
          <w:tab w:val="left" w:pos="1294"/>
        </w:tabs>
        <w:autoSpaceDE w:val="0"/>
        <w:autoSpaceDN w:val="0"/>
        <w:adjustRightInd w:val="0"/>
      </w:pPr>
    </w:p>
    <w:p w14:paraId="0A342D71" w14:textId="77777777" w:rsidR="00BC0E7E" w:rsidRPr="00BC0E7E" w:rsidRDefault="00944B8F" w:rsidP="00BC0E7E">
      <w:pPr>
        <w:tabs>
          <w:tab w:val="left" w:pos="1294"/>
        </w:tabs>
        <w:autoSpaceDE w:val="0"/>
        <w:autoSpaceDN w:val="0"/>
        <w:adjustRightInd w:val="0"/>
        <w:rPr>
          <w:bCs/>
          <w:iCs/>
          <w:szCs w:val="20"/>
        </w:rPr>
      </w:pPr>
      <w:r w:rsidRPr="00BC0E7E">
        <w:rPr>
          <w:bCs/>
          <w:iCs/>
          <w:szCs w:val="20"/>
        </w:rPr>
        <w:t xml:space="preserve">In </w:t>
      </w:r>
      <w:r w:rsidR="00930CBB">
        <w:rPr>
          <w:bCs/>
          <w:iCs/>
          <w:szCs w:val="20"/>
        </w:rPr>
        <w:t>adult</w:t>
      </w:r>
      <w:r w:rsidR="00930CBB" w:rsidRPr="008805F3">
        <w:rPr>
          <w:bCs/>
          <w:iCs/>
          <w:szCs w:val="20"/>
        </w:rPr>
        <w:t xml:space="preserve"> </w:t>
      </w:r>
      <w:r w:rsidRPr="00BC0E7E">
        <w:rPr>
          <w:bCs/>
          <w:iCs/>
          <w:szCs w:val="20"/>
        </w:rPr>
        <w:t>patients with non-infectious uveitis, anti-adalimumab antibodies were identified in 4.8% (12/249) of patients treated with adalimumab.</w:t>
      </w:r>
    </w:p>
    <w:p w14:paraId="0EBFEDBE" w14:textId="77777777" w:rsidR="00BC0E7E" w:rsidRPr="00BC0E7E" w:rsidRDefault="00BC0E7E" w:rsidP="00BC0E7E">
      <w:pPr>
        <w:rPr>
          <w:szCs w:val="20"/>
        </w:rPr>
      </w:pPr>
    </w:p>
    <w:p w14:paraId="74105382" w14:textId="77777777" w:rsidR="00A5168D" w:rsidRPr="005037B5" w:rsidRDefault="00944B8F" w:rsidP="00A5168D">
      <w:r w:rsidRPr="005037B5">
        <w:t xml:space="preserve">In patients with moderately to severely active paediatric ulcerative colitis, the rate of anti-adalimumab antibody development in patients receiving adalimumab was </w:t>
      </w:r>
      <w:r w:rsidR="003B0C89" w:rsidRPr="005F03EC">
        <w:t>3</w:t>
      </w:r>
      <w:r w:rsidRPr="005037B5">
        <w:t>%.</w:t>
      </w:r>
    </w:p>
    <w:p w14:paraId="316098FD" w14:textId="77777777" w:rsidR="00A5168D" w:rsidRDefault="00A5168D" w:rsidP="00BC0E7E">
      <w:pPr>
        <w:rPr>
          <w:szCs w:val="20"/>
        </w:rPr>
      </w:pPr>
    </w:p>
    <w:p w14:paraId="61D9F800" w14:textId="77777777" w:rsidR="00BC0E7E" w:rsidRPr="00BC0E7E" w:rsidRDefault="00944B8F" w:rsidP="00BC0E7E">
      <w:pPr>
        <w:rPr>
          <w:szCs w:val="20"/>
        </w:rPr>
      </w:pPr>
      <w:r w:rsidRPr="00BC0E7E">
        <w:rPr>
          <w:szCs w:val="20"/>
        </w:rPr>
        <w:t>Because immunogenicity analyses are product-specific, comparison of antibody rates with those from other products is not appropriate.</w:t>
      </w:r>
    </w:p>
    <w:p w14:paraId="020C0CE4" w14:textId="77777777" w:rsidR="00BC0E7E" w:rsidRPr="00BC0E7E" w:rsidRDefault="00944B8F" w:rsidP="00BC0E7E">
      <w:pPr>
        <w:keepNext/>
        <w:rPr>
          <w:szCs w:val="20"/>
          <w:u w:val="single"/>
        </w:rPr>
      </w:pPr>
      <w:r w:rsidRPr="00BC0E7E">
        <w:rPr>
          <w:szCs w:val="22"/>
          <w:lang w:eastAsia="en-GB"/>
        </w:rPr>
        <w:br/>
      </w:r>
      <w:r w:rsidRPr="00BC0E7E">
        <w:rPr>
          <w:szCs w:val="20"/>
          <w:u w:val="single"/>
        </w:rPr>
        <w:t>Paediatric population</w:t>
      </w:r>
    </w:p>
    <w:p w14:paraId="23574818" w14:textId="77777777" w:rsidR="00BC0E7E" w:rsidRPr="00BC0E7E" w:rsidRDefault="00BC0E7E" w:rsidP="00BC0E7E">
      <w:pPr>
        <w:keepNext/>
        <w:rPr>
          <w:szCs w:val="22"/>
          <w:lang w:eastAsia="en-GB"/>
        </w:rPr>
      </w:pPr>
    </w:p>
    <w:p w14:paraId="66757C36" w14:textId="77777777" w:rsidR="003B0C89" w:rsidRPr="00BC0E7E" w:rsidRDefault="00944B8F" w:rsidP="003B0C89">
      <w:pPr>
        <w:rPr>
          <w:bCs/>
          <w:i/>
          <w:iCs/>
          <w:szCs w:val="22"/>
        </w:rPr>
      </w:pPr>
      <w:r w:rsidRPr="002E42DA">
        <w:rPr>
          <w:bCs/>
          <w:i/>
          <w:iCs/>
          <w:szCs w:val="22"/>
        </w:rPr>
        <w:t>Juvenile idiopathic arthritis (JIA)</w:t>
      </w:r>
    </w:p>
    <w:p w14:paraId="442B1D00" w14:textId="77777777" w:rsidR="003B0C89" w:rsidRPr="00BC0E7E" w:rsidRDefault="003B0C89" w:rsidP="003B0C89">
      <w:pPr>
        <w:rPr>
          <w:i/>
          <w:szCs w:val="22"/>
        </w:rPr>
      </w:pPr>
    </w:p>
    <w:p w14:paraId="45046CBB" w14:textId="77777777" w:rsidR="003B0C89" w:rsidRPr="00BC0E7E" w:rsidRDefault="00944B8F" w:rsidP="003B0C89">
      <w:pPr>
        <w:rPr>
          <w:bCs/>
          <w:i/>
          <w:iCs/>
          <w:szCs w:val="22"/>
          <w:u w:val="single"/>
        </w:rPr>
      </w:pPr>
      <w:r w:rsidRPr="00BC0E7E">
        <w:rPr>
          <w:bCs/>
          <w:i/>
          <w:iCs/>
          <w:szCs w:val="22"/>
          <w:u w:val="single"/>
        </w:rPr>
        <w:t>Polyarticular juvenile</w:t>
      </w:r>
      <w:r w:rsidRPr="00BC0E7E">
        <w:rPr>
          <w:i/>
          <w:iCs/>
          <w:szCs w:val="22"/>
          <w:u w:val="single"/>
        </w:rPr>
        <w:t xml:space="preserve"> </w:t>
      </w:r>
      <w:r w:rsidRPr="00BC0E7E">
        <w:rPr>
          <w:bCs/>
          <w:i/>
          <w:iCs/>
          <w:szCs w:val="22"/>
          <w:u w:val="single"/>
        </w:rPr>
        <w:t>idiopathic</w:t>
      </w:r>
      <w:r w:rsidRPr="00BC0E7E">
        <w:rPr>
          <w:i/>
          <w:iCs/>
          <w:szCs w:val="22"/>
          <w:u w:val="single"/>
        </w:rPr>
        <w:t xml:space="preserve"> </w:t>
      </w:r>
      <w:r w:rsidRPr="00BC0E7E">
        <w:rPr>
          <w:bCs/>
          <w:i/>
          <w:iCs/>
          <w:szCs w:val="22"/>
          <w:u w:val="single"/>
        </w:rPr>
        <w:t>arthritis (pJIA)</w:t>
      </w:r>
    </w:p>
    <w:p w14:paraId="55CC12B5" w14:textId="77777777" w:rsidR="003B0C89" w:rsidRPr="00BC0E7E" w:rsidRDefault="003B0C89" w:rsidP="003B0C89">
      <w:pPr>
        <w:rPr>
          <w:bCs/>
          <w:iCs/>
          <w:szCs w:val="22"/>
          <w:u w:val="single"/>
        </w:rPr>
      </w:pPr>
    </w:p>
    <w:p w14:paraId="10F67C41" w14:textId="77777777" w:rsidR="003B0C89" w:rsidRPr="00BC0E7E" w:rsidRDefault="00944B8F" w:rsidP="003B0C89">
      <w:pPr>
        <w:rPr>
          <w:bCs/>
          <w:iCs/>
          <w:szCs w:val="22"/>
        </w:rPr>
      </w:pPr>
      <w:r w:rsidRPr="00BC0E7E">
        <w:rPr>
          <w:bCs/>
          <w:iCs/>
          <w:szCs w:val="22"/>
        </w:rPr>
        <w:t>The safety and efficacy of Humira was assessed in two studies (pJIA I and II) in children with active polyarticular or polyarticular course juvenile idiopathic arthritis, who had a variety of JIA onset types (most frequently rheumatoid-factor negative or positive polyarthritis and extended oligoarthritis).</w:t>
      </w:r>
    </w:p>
    <w:p w14:paraId="5B097C90" w14:textId="77777777" w:rsidR="003B0C89" w:rsidRPr="00BC0E7E" w:rsidRDefault="003B0C89" w:rsidP="003B0C89">
      <w:pPr>
        <w:tabs>
          <w:tab w:val="left" w:pos="6840"/>
        </w:tabs>
        <w:autoSpaceDE w:val="0"/>
        <w:autoSpaceDN w:val="0"/>
        <w:adjustRightInd w:val="0"/>
        <w:ind w:right="53"/>
        <w:rPr>
          <w:szCs w:val="22"/>
        </w:rPr>
      </w:pPr>
    </w:p>
    <w:p w14:paraId="15FC8DEF" w14:textId="77777777" w:rsidR="003B0C89" w:rsidRPr="00BC0E7E" w:rsidRDefault="00944B8F" w:rsidP="003B0C89">
      <w:pPr>
        <w:tabs>
          <w:tab w:val="left" w:pos="6840"/>
        </w:tabs>
        <w:autoSpaceDE w:val="0"/>
        <w:autoSpaceDN w:val="0"/>
        <w:adjustRightInd w:val="0"/>
        <w:ind w:right="53"/>
        <w:rPr>
          <w:szCs w:val="22"/>
        </w:rPr>
      </w:pPr>
      <w:r w:rsidRPr="00BC0E7E">
        <w:rPr>
          <w:szCs w:val="22"/>
        </w:rPr>
        <w:t>pJIA I</w:t>
      </w:r>
    </w:p>
    <w:p w14:paraId="14DDD9B3" w14:textId="77777777" w:rsidR="003B0C89" w:rsidRPr="00BC0E7E" w:rsidRDefault="003B0C89" w:rsidP="003B0C89">
      <w:pPr>
        <w:jc w:val="both"/>
        <w:rPr>
          <w:sz w:val="16"/>
          <w:szCs w:val="16"/>
        </w:rPr>
      </w:pPr>
    </w:p>
    <w:p w14:paraId="1DF573A2" w14:textId="77777777" w:rsidR="003B0C89" w:rsidRPr="00BC0E7E" w:rsidRDefault="00944B8F" w:rsidP="003B0C89">
      <w:pPr>
        <w:tabs>
          <w:tab w:val="left" w:pos="6840"/>
        </w:tabs>
        <w:autoSpaceDE w:val="0"/>
        <w:autoSpaceDN w:val="0"/>
        <w:adjustRightInd w:val="0"/>
        <w:ind w:right="53"/>
      </w:pPr>
      <w:r w:rsidRPr="00BC0E7E">
        <w:t>The safety and efficacy of Humira were assessed in a multicentre, randomised, double-blind, parallel − group study in 171 children (4-17 years old) with polyarticular JIA. In the open-label lead in phase (OL LI) patients were stratified into two groups, MTX (methotrexate)-treated or non-MTX-treated. Patients who were in the non-MTX stratum were either naïve to or had been withdrawn from MTX at least two weeks prior to study drug administration. Patients remained on stable doses of NSAIDs and or prednisone (</w:t>
      </w:r>
      <w:r w:rsidRPr="00BC0E7E">
        <w:rPr>
          <w:rFonts w:ascii="Symbol" w:eastAsia="Symbol" w:hAnsi="Symbol" w:cs="Symbol"/>
          <w:szCs w:val="22"/>
        </w:rPr>
        <w:sym w:font="Symbol" w:char="F0A3"/>
      </w:r>
      <w:r w:rsidRPr="00BC0E7E">
        <w:t xml:space="preserve"> 0.2 mg/kg/day or 10 mg/day maximum). In the OL LI phase all patients received 24 mg/m</w:t>
      </w:r>
      <w:r w:rsidRPr="00BC0E7E">
        <w:rPr>
          <w:vertAlign w:val="superscript"/>
        </w:rPr>
        <w:t xml:space="preserve">2 </w:t>
      </w:r>
      <w:r w:rsidRPr="00BC0E7E">
        <w:t xml:space="preserve">up to a maximum of 40 mg Humira every other week for 16 weeks.  The distribution of patients by age and minimum, median and maximum dose received during the OL LI phase is presented in Table </w:t>
      </w:r>
      <w:r w:rsidR="00614ABC">
        <w:t>25</w:t>
      </w:r>
      <w:r w:rsidRPr="00BC0E7E">
        <w:t>.</w:t>
      </w:r>
    </w:p>
    <w:p w14:paraId="6C61CBE4" w14:textId="77777777" w:rsidR="003B0C89" w:rsidRPr="00BC0E7E" w:rsidRDefault="003B0C89" w:rsidP="003B0C89">
      <w:pPr>
        <w:tabs>
          <w:tab w:val="left" w:pos="6840"/>
        </w:tabs>
        <w:autoSpaceDE w:val="0"/>
        <w:autoSpaceDN w:val="0"/>
        <w:adjustRightInd w:val="0"/>
        <w:ind w:right="51"/>
      </w:pPr>
    </w:p>
    <w:p w14:paraId="7ED7D2F3" w14:textId="77777777" w:rsidR="003B0C89" w:rsidRPr="00BC0E7E" w:rsidRDefault="00944B8F" w:rsidP="003B0C89">
      <w:pPr>
        <w:keepNext/>
        <w:tabs>
          <w:tab w:val="clear" w:pos="562"/>
        </w:tabs>
        <w:ind w:left="113" w:right="57"/>
        <w:jc w:val="center"/>
        <w:rPr>
          <w:b/>
          <w:szCs w:val="22"/>
        </w:rPr>
      </w:pPr>
      <w:r w:rsidRPr="00BC0E7E">
        <w:rPr>
          <w:b/>
          <w:szCs w:val="22"/>
        </w:rPr>
        <w:t xml:space="preserve">Table </w:t>
      </w:r>
      <w:r w:rsidR="00614ABC">
        <w:rPr>
          <w:b/>
          <w:szCs w:val="22"/>
        </w:rPr>
        <w:t>25</w:t>
      </w:r>
      <w:r w:rsidRPr="00BC0E7E">
        <w:rPr>
          <w:b/>
          <w:szCs w:val="22"/>
        </w:rPr>
        <w:t xml:space="preserve"> </w:t>
      </w:r>
    </w:p>
    <w:p w14:paraId="38C4AE7C" w14:textId="77777777" w:rsidR="003B0C89" w:rsidRPr="00BC0E7E" w:rsidRDefault="00944B8F" w:rsidP="003B0C89">
      <w:pPr>
        <w:keepNext/>
        <w:tabs>
          <w:tab w:val="clear" w:pos="562"/>
        </w:tabs>
        <w:ind w:left="110" w:right="51"/>
        <w:jc w:val="center"/>
        <w:rPr>
          <w:b/>
          <w:szCs w:val="22"/>
        </w:rPr>
      </w:pPr>
      <w:r w:rsidRPr="00BC0E7E">
        <w:rPr>
          <w:b/>
          <w:szCs w:val="22"/>
        </w:rPr>
        <w:t>Distribution of patients by age and adalimumab dose received during the OL LI phase</w:t>
      </w:r>
    </w:p>
    <w:p w14:paraId="6C66AEC6" w14:textId="77777777" w:rsidR="003B0C89" w:rsidRPr="00BC0E7E" w:rsidRDefault="003B0C89" w:rsidP="003B0C89">
      <w:pPr>
        <w:keepNext/>
        <w:tabs>
          <w:tab w:val="clear" w:pos="562"/>
        </w:tabs>
        <w:ind w:left="110" w:right="51"/>
        <w:jc w:val="center"/>
        <w:rPr>
          <w:b/>
          <w:bCs/>
          <w:sz w:val="24"/>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8"/>
        <w:gridCol w:w="3520"/>
        <w:gridCol w:w="3239"/>
      </w:tblGrid>
      <w:tr w:rsidR="00C6578C" w14:paraId="09D42184" w14:textId="77777777" w:rsidTr="00C83D47">
        <w:trPr>
          <w:cantSplit/>
        </w:trPr>
        <w:tc>
          <w:tcPr>
            <w:tcW w:w="2418" w:type="dxa"/>
          </w:tcPr>
          <w:p w14:paraId="3A4BD911" w14:textId="77777777" w:rsidR="003B0C89" w:rsidRPr="00BC0E7E" w:rsidRDefault="00944B8F" w:rsidP="00C83D47">
            <w:pPr>
              <w:keepNext/>
              <w:tabs>
                <w:tab w:val="clear" w:pos="562"/>
              </w:tabs>
              <w:ind w:right="51"/>
              <w:rPr>
                <w:bCs/>
              </w:rPr>
            </w:pPr>
            <w:r w:rsidRPr="00BC0E7E">
              <w:rPr>
                <w:bCs/>
              </w:rPr>
              <w:t>Age Group</w:t>
            </w:r>
          </w:p>
        </w:tc>
        <w:tc>
          <w:tcPr>
            <w:tcW w:w="3520" w:type="dxa"/>
          </w:tcPr>
          <w:p w14:paraId="0AD333D3" w14:textId="77777777" w:rsidR="003B0C89" w:rsidRPr="00BC0E7E" w:rsidRDefault="00944B8F" w:rsidP="00C83D47">
            <w:pPr>
              <w:keepNext/>
              <w:tabs>
                <w:tab w:val="clear" w:pos="562"/>
              </w:tabs>
              <w:ind w:right="51"/>
              <w:rPr>
                <w:bCs/>
              </w:rPr>
            </w:pPr>
            <w:r w:rsidRPr="00BC0E7E">
              <w:rPr>
                <w:bCs/>
              </w:rPr>
              <w:t>Number of patients at Baseline n (%)</w:t>
            </w:r>
          </w:p>
        </w:tc>
        <w:tc>
          <w:tcPr>
            <w:tcW w:w="3239" w:type="dxa"/>
          </w:tcPr>
          <w:p w14:paraId="6377E68A" w14:textId="77777777" w:rsidR="003B0C89" w:rsidRPr="00BC0E7E" w:rsidRDefault="00944B8F" w:rsidP="00C83D47">
            <w:pPr>
              <w:keepNext/>
              <w:tabs>
                <w:tab w:val="clear" w:pos="562"/>
              </w:tabs>
              <w:ind w:right="51"/>
              <w:rPr>
                <w:bCs/>
              </w:rPr>
            </w:pPr>
            <w:r w:rsidRPr="00BC0E7E">
              <w:rPr>
                <w:bCs/>
              </w:rPr>
              <w:t>Minimum, median and maximum dose</w:t>
            </w:r>
          </w:p>
        </w:tc>
      </w:tr>
      <w:tr w:rsidR="00C6578C" w14:paraId="0BB2FCD0" w14:textId="77777777" w:rsidTr="00C83D47">
        <w:trPr>
          <w:cantSplit/>
          <w:trHeight w:val="368"/>
        </w:trPr>
        <w:tc>
          <w:tcPr>
            <w:tcW w:w="2418" w:type="dxa"/>
          </w:tcPr>
          <w:p w14:paraId="2A166F37" w14:textId="77777777" w:rsidR="003B0C89" w:rsidRPr="00BC0E7E" w:rsidRDefault="00944B8F" w:rsidP="00C83D47">
            <w:pPr>
              <w:keepNext/>
              <w:tabs>
                <w:tab w:val="clear" w:pos="562"/>
              </w:tabs>
              <w:ind w:right="51"/>
              <w:rPr>
                <w:bCs/>
              </w:rPr>
            </w:pPr>
            <w:r w:rsidRPr="00BC0E7E">
              <w:rPr>
                <w:bCs/>
              </w:rPr>
              <w:t>4 to 7 years</w:t>
            </w:r>
          </w:p>
        </w:tc>
        <w:tc>
          <w:tcPr>
            <w:tcW w:w="3520" w:type="dxa"/>
          </w:tcPr>
          <w:p w14:paraId="39B5558A" w14:textId="77777777" w:rsidR="003B0C89" w:rsidRPr="00BC0E7E" w:rsidRDefault="00944B8F" w:rsidP="00C83D47">
            <w:pPr>
              <w:keepNext/>
              <w:tabs>
                <w:tab w:val="clear" w:pos="562"/>
              </w:tabs>
              <w:ind w:right="51"/>
              <w:rPr>
                <w:bCs/>
              </w:rPr>
            </w:pPr>
            <w:r w:rsidRPr="00BC0E7E">
              <w:rPr>
                <w:bCs/>
              </w:rPr>
              <w:t>31 (18.1)</w:t>
            </w:r>
          </w:p>
        </w:tc>
        <w:tc>
          <w:tcPr>
            <w:tcW w:w="3239" w:type="dxa"/>
          </w:tcPr>
          <w:p w14:paraId="7C9F70B0" w14:textId="77777777" w:rsidR="003B0C89" w:rsidRPr="00BC0E7E" w:rsidRDefault="00944B8F" w:rsidP="00C83D47">
            <w:pPr>
              <w:keepNext/>
              <w:tabs>
                <w:tab w:val="clear" w:pos="562"/>
              </w:tabs>
              <w:ind w:right="51"/>
              <w:rPr>
                <w:bCs/>
              </w:rPr>
            </w:pPr>
            <w:r w:rsidRPr="00BC0E7E">
              <w:rPr>
                <w:bCs/>
              </w:rPr>
              <w:t>10, 20 and 25 mg</w:t>
            </w:r>
          </w:p>
        </w:tc>
      </w:tr>
      <w:tr w:rsidR="00C6578C" w14:paraId="04B63B18" w14:textId="77777777" w:rsidTr="00C83D47">
        <w:trPr>
          <w:cantSplit/>
        </w:trPr>
        <w:tc>
          <w:tcPr>
            <w:tcW w:w="2418" w:type="dxa"/>
          </w:tcPr>
          <w:p w14:paraId="6C996830" w14:textId="77777777" w:rsidR="003B0C89" w:rsidRPr="00BC0E7E" w:rsidRDefault="00944B8F" w:rsidP="00C83D47">
            <w:pPr>
              <w:keepNext/>
              <w:tabs>
                <w:tab w:val="clear" w:pos="562"/>
              </w:tabs>
              <w:ind w:right="51"/>
              <w:rPr>
                <w:bCs/>
              </w:rPr>
            </w:pPr>
            <w:r w:rsidRPr="00BC0E7E">
              <w:rPr>
                <w:bCs/>
              </w:rPr>
              <w:t>8 to 12 years</w:t>
            </w:r>
          </w:p>
        </w:tc>
        <w:tc>
          <w:tcPr>
            <w:tcW w:w="3520" w:type="dxa"/>
          </w:tcPr>
          <w:p w14:paraId="543EF538" w14:textId="77777777" w:rsidR="003B0C89" w:rsidRPr="00BC0E7E" w:rsidRDefault="00944B8F" w:rsidP="00C83D47">
            <w:pPr>
              <w:keepNext/>
              <w:tabs>
                <w:tab w:val="clear" w:pos="562"/>
              </w:tabs>
              <w:ind w:right="51"/>
              <w:rPr>
                <w:bCs/>
              </w:rPr>
            </w:pPr>
            <w:r w:rsidRPr="00BC0E7E">
              <w:rPr>
                <w:bCs/>
              </w:rPr>
              <w:t>71 (41.5)</w:t>
            </w:r>
          </w:p>
        </w:tc>
        <w:tc>
          <w:tcPr>
            <w:tcW w:w="3239" w:type="dxa"/>
          </w:tcPr>
          <w:p w14:paraId="0E5241E2" w14:textId="77777777" w:rsidR="003B0C89" w:rsidRPr="00BC0E7E" w:rsidRDefault="00944B8F" w:rsidP="00C83D47">
            <w:pPr>
              <w:keepNext/>
              <w:tabs>
                <w:tab w:val="clear" w:pos="562"/>
              </w:tabs>
              <w:ind w:right="51"/>
              <w:rPr>
                <w:bCs/>
              </w:rPr>
            </w:pPr>
            <w:r w:rsidRPr="00BC0E7E">
              <w:rPr>
                <w:bCs/>
              </w:rPr>
              <w:t>20, 25 and 40 mg</w:t>
            </w:r>
          </w:p>
        </w:tc>
      </w:tr>
      <w:tr w:rsidR="00C6578C" w14:paraId="153A6027" w14:textId="77777777" w:rsidTr="00C83D47">
        <w:trPr>
          <w:cantSplit/>
        </w:trPr>
        <w:tc>
          <w:tcPr>
            <w:tcW w:w="2418" w:type="dxa"/>
          </w:tcPr>
          <w:p w14:paraId="5E05BFD7" w14:textId="77777777" w:rsidR="003B0C89" w:rsidRPr="00BC0E7E" w:rsidRDefault="00944B8F" w:rsidP="00C83D47">
            <w:pPr>
              <w:keepNext/>
              <w:tabs>
                <w:tab w:val="clear" w:pos="562"/>
              </w:tabs>
              <w:ind w:right="51"/>
              <w:rPr>
                <w:bCs/>
              </w:rPr>
            </w:pPr>
            <w:r w:rsidRPr="00BC0E7E">
              <w:rPr>
                <w:bCs/>
              </w:rPr>
              <w:t>13 to 17 years</w:t>
            </w:r>
          </w:p>
        </w:tc>
        <w:tc>
          <w:tcPr>
            <w:tcW w:w="3520" w:type="dxa"/>
          </w:tcPr>
          <w:p w14:paraId="1D9D76D2" w14:textId="77777777" w:rsidR="003B0C89" w:rsidRPr="00BC0E7E" w:rsidRDefault="00944B8F" w:rsidP="00C83D47">
            <w:pPr>
              <w:keepNext/>
              <w:tabs>
                <w:tab w:val="clear" w:pos="562"/>
              </w:tabs>
              <w:ind w:right="51"/>
              <w:rPr>
                <w:bCs/>
              </w:rPr>
            </w:pPr>
            <w:r w:rsidRPr="00BC0E7E">
              <w:rPr>
                <w:bCs/>
              </w:rPr>
              <w:t>69 (40.4)</w:t>
            </w:r>
          </w:p>
        </w:tc>
        <w:tc>
          <w:tcPr>
            <w:tcW w:w="3239" w:type="dxa"/>
          </w:tcPr>
          <w:p w14:paraId="3CE4165A" w14:textId="77777777" w:rsidR="003B0C89" w:rsidRPr="00BC0E7E" w:rsidRDefault="00944B8F" w:rsidP="00C83D47">
            <w:pPr>
              <w:keepNext/>
              <w:tabs>
                <w:tab w:val="clear" w:pos="562"/>
              </w:tabs>
              <w:ind w:right="51"/>
              <w:rPr>
                <w:bCs/>
              </w:rPr>
            </w:pPr>
            <w:r w:rsidRPr="00BC0E7E">
              <w:rPr>
                <w:bCs/>
              </w:rPr>
              <w:t>25, 40 and 40 mg</w:t>
            </w:r>
          </w:p>
        </w:tc>
      </w:tr>
    </w:tbl>
    <w:p w14:paraId="7B876964" w14:textId="77777777" w:rsidR="003B0C89" w:rsidRPr="00BC0E7E" w:rsidRDefault="003B0C89" w:rsidP="003B0C89">
      <w:pPr>
        <w:keepNext/>
        <w:tabs>
          <w:tab w:val="left" w:pos="6840"/>
        </w:tabs>
        <w:autoSpaceDE w:val="0"/>
        <w:autoSpaceDN w:val="0"/>
        <w:adjustRightInd w:val="0"/>
        <w:ind w:right="51"/>
      </w:pPr>
    </w:p>
    <w:p w14:paraId="14E32E7F" w14:textId="77777777" w:rsidR="003B0C89" w:rsidRPr="00BC0E7E" w:rsidRDefault="00944B8F" w:rsidP="003B0C89">
      <w:pPr>
        <w:tabs>
          <w:tab w:val="left" w:pos="6840"/>
        </w:tabs>
        <w:autoSpaceDE w:val="0"/>
        <w:autoSpaceDN w:val="0"/>
        <w:adjustRightInd w:val="0"/>
        <w:ind w:right="51"/>
      </w:pPr>
      <w:r w:rsidRPr="00BC0E7E">
        <w:t>Patients demonstrating a P</w:t>
      </w:r>
      <w:r w:rsidR="00043E67">
        <w:t>a</w:t>
      </w:r>
      <w:r w:rsidRPr="00BC0E7E">
        <w:t>ediatric ACR 30 response at Week 16 were eligible to be randomised into the double blind (DB) phase and received either Humira 24 mg/m</w:t>
      </w:r>
      <w:r w:rsidRPr="00BC0E7E">
        <w:rPr>
          <w:vertAlign w:val="superscript"/>
        </w:rPr>
        <w:t xml:space="preserve">2 </w:t>
      </w:r>
      <w:r w:rsidRPr="00BC0E7E">
        <w:t xml:space="preserve">up to a maximum of 40 mg, or placebo every other week for an additional 32 weeks or until disease flare. Disease flare criteria were defined as a worsening of </w:t>
      </w:r>
      <w:r w:rsidRPr="00BC0E7E">
        <w:rPr>
          <w:rFonts w:ascii="Symbol" w:eastAsia="Symbol" w:hAnsi="Symbol" w:cs="Symbol"/>
          <w:szCs w:val="22"/>
        </w:rPr>
        <w:sym w:font="Symbol" w:char="F0B3"/>
      </w:r>
      <w:r w:rsidRPr="00BC0E7E">
        <w:t xml:space="preserve"> 30% from baseline in </w:t>
      </w:r>
      <w:r w:rsidRPr="00BC0E7E">
        <w:rPr>
          <w:rFonts w:ascii="Symbol" w:eastAsia="Symbol" w:hAnsi="Symbol" w:cs="Symbol"/>
          <w:szCs w:val="22"/>
        </w:rPr>
        <w:sym w:font="Symbol" w:char="F0B3"/>
      </w:r>
      <w:r w:rsidRPr="00BC0E7E">
        <w:t> 3 of 6 P</w:t>
      </w:r>
      <w:r w:rsidR="00043E67">
        <w:t>a</w:t>
      </w:r>
      <w:r w:rsidRPr="00BC0E7E">
        <w:t xml:space="preserve">ediatric ACR core criteria, </w:t>
      </w:r>
      <w:r w:rsidRPr="00BC0E7E">
        <w:rPr>
          <w:rFonts w:ascii="Symbol" w:eastAsia="Symbol" w:hAnsi="Symbol" w:cs="Symbol"/>
          <w:szCs w:val="22"/>
        </w:rPr>
        <w:sym w:font="Symbol" w:char="F0B3"/>
      </w:r>
      <w:r w:rsidRPr="00BC0E7E">
        <w:t xml:space="preserve"> 2 active joints, and improvement of </w:t>
      </w:r>
      <w:r w:rsidRPr="00BC0E7E">
        <w:rPr>
          <w:rFonts w:ascii="Symbol" w:eastAsia="Symbol" w:hAnsi="Symbol" w:cs="Symbol"/>
          <w:szCs w:val="22"/>
        </w:rPr>
        <w:sym w:font="Symbol" w:char="F03E"/>
      </w:r>
      <w:r w:rsidRPr="00BC0E7E">
        <w:t xml:space="preserve"> 30% in no more than 1 of the 6 criteria. After 32 weeks or at disease flare, patients were eligible to enrol into the open label extension phase. </w:t>
      </w:r>
    </w:p>
    <w:p w14:paraId="6A7B79B4" w14:textId="77777777" w:rsidR="003B0C89" w:rsidRPr="00BC0E7E" w:rsidRDefault="003B0C89" w:rsidP="003B0C89">
      <w:pPr>
        <w:tabs>
          <w:tab w:val="left" w:pos="6840"/>
        </w:tabs>
        <w:autoSpaceDE w:val="0"/>
        <w:autoSpaceDN w:val="0"/>
        <w:adjustRightInd w:val="0"/>
        <w:ind w:right="53"/>
      </w:pPr>
    </w:p>
    <w:p w14:paraId="1DF8D7BE" w14:textId="77777777" w:rsidR="003B0C89" w:rsidRPr="008F4FD5" w:rsidRDefault="00944B8F" w:rsidP="00F043D5">
      <w:pPr>
        <w:keepNext/>
        <w:tabs>
          <w:tab w:val="clear" w:pos="562"/>
        </w:tabs>
        <w:ind w:left="110" w:right="51"/>
        <w:jc w:val="center"/>
        <w:rPr>
          <w:szCs w:val="22"/>
        </w:rPr>
      </w:pPr>
      <w:r w:rsidRPr="00BC0E7E">
        <w:rPr>
          <w:b/>
          <w:szCs w:val="22"/>
        </w:rPr>
        <w:lastRenderedPageBreak/>
        <w:t xml:space="preserve">Table </w:t>
      </w:r>
      <w:r w:rsidR="00614ABC">
        <w:rPr>
          <w:b/>
          <w:szCs w:val="22"/>
        </w:rPr>
        <w:t>26</w:t>
      </w:r>
    </w:p>
    <w:p w14:paraId="6E795655" w14:textId="77777777" w:rsidR="003B0C89" w:rsidRPr="008F4FD5" w:rsidRDefault="00944B8F" w:rsidP="00F043D5">
      <w:pPr>
        <w:keepNext/>
        <w:tabs>
          <w:tab w:val="clear" w:pos="562"/>
        </w:tabs>
        <w:ind w:left="110" w:right="51"/>
        <w:jc w:val="center"/>
        <w:rPr>
          <w:szCs w:val="22"/>
        </w:rPr>
      </w:pPr>
      <w:r w:rsidRPr="00BC0E7E">
        <w:rPr>
          <w:b/>
          <w:szCs w:val="22"/>
        </w:rPr>
        <w:t>Ped ACR 30 Responses in the JIA study</w:t>
      </w:r>
    </w:p>
    <w:p w14:paraId="3FF1F191" w14:textId="77777777" w:rsidR="003B0C89" w:rsidRPr="008F4FD5" w:rsidRDefault="003B0C89" w:rsidP="00F043D5">
      <w:pPr>
        <w:keepNext/>
        <w:tabs>
          <w:tab w:val="clear" w:pos="562"/>
        </w:tabs>
        <w:ind w:left="110" w:right="51"/>
        <w:jc w:val="center"/>
        <w:rPr>
          <w:bCs/>
          <w:szCs w:val="22"/>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8"/>
        <w:gridCol w:w="1760"/>
        <w:gridCol w:w="1760"/>
        <w:gridCol w:w="1650"/>
        <w:gridCol w:w="1589"/>
      </w:tblGrid>
      <w:tr w:rsidR="00C6578C" w14:paraId="4C3CE5FB" w14:textId="77777777" w:rsidTr="00C83D47">
        <w:trPr>
          <w:cantSplit/>
        </w:trPr>
        <w:tc>
          <w:tcPr>
            <w:tcW w:w="2418" w:type="dxa"/>
          </w:tcPr>
          <w:p w14:paraId="3FCD16BA" w14:textId="77777777" w:rsidR="003B0C89" w:rsidRPr="004414A2" w:rsidRDefault="00944B8F" w:rsidP="00F043D5">
            <w:pPr>
              <w:keepNext/>
              <w:tabs>
                <w:tab w:val="clear" w:pos="562"/>
              </w:tabs>
              <w:ind w:right="51"/>
              <w:rPr>
                <w:b/>
              </w:rPr>
            </w:pPr>
            <w:r w:rsidRPr="004414A2">
              <w:rPr>
                <w:b/>
              </w:rPr>
              <w:t>Stratum</w:t>
            </w:r>
          </w:p>
        </w:tc>
        <w:tc>
          <w:tcPr>
            <w:tcW w:w="3520" w:type="dxa"/>
            <w:gridSpan w:val="2"/>
          </w:tcPr>
          <w:p w14:paraId="39EDA940" w14:textId="77777777" w:rsidR="003B0C89" w:rsidRPr="004414A2" w:rsidRDefault="00944B8F" w:rsidP="00F043D5">
            <w:pPr>
              <w:keepNext/>
              <w:tabs>
                <w:tab w:val="clear" w:pos="562"/>
              </w:tabs>
              <w:ind w:right="51"/>
              <w:jc w:val="center"/>
              <w:rPr>
                <w:b/>
              </w:rPr>
            </w:pPr>
            <w:r w:rsidRPr="004414A2">
              <w:rPr>
                <w:b/>
              </w:rPr>
              <w:t>MTX</w:t>
            </w:r>
          </w:p>
        </w:tc>
        <w:tc>
          <w:tcPr>
            <w:tcW w:w="3239" w:type="dxa"/>
            <w:gridSpan w:val="2"/>
          </w:tcPr>
          <w:p w14:paraId="6D82C142" w14:textId="77777777" w:rsidR="003B0C89" w:rsidRPr="004414A2" w:rsidRDefault="00944B8F" w:rsidP="00F043D5">
            <w:pPr>
              <w:keepNext/>
              <w:tabs>
                <w:tab w:val="clear" w:pos="562"/>
              </w:tabs>
              <w:ind w:right="51"/>
              <w:jc w:val="center"/>
              <w:rPr>
                <w:b/>
              </w:rPr>
            </w:pPr>
            <w:r w:rsidRPr="004414A2">
              <w:rPr>
                <w:b/>
              </w:rPr>
              <w:t>Without MTX</w:t>
            </w:r>
          </w:p>
        </w:tc>
      </w:tr>
      <w:tr w:rsidR="00C6578C" w14:paraId="104A644F" w14:textId="77777777" w:rsidTr="00C83D47">
        <w:trPr>
          <w:cantSplit/>
        </w:trPr>
        <w:tc>
          <w:tcPr>
            <w:tcW w:w="2418" w:type="dxa"/>
          </w:tcPr>
          <w:p w14:paraId="574FA254" w14:textId="77777777" w:rsidR="003B0C89" w:rsidRPr="004414A2" w:rsidRDefault="00944B8F" w:rsidP="00F043D5">
            <w:pPr>
              <w:keepNext/>
              <w:tabs>
                <w:tab w:val="clear" w:pos="562"/>
              </w:tabs>
              <w:ind w:right="51"/>
              <w:rPr>
                <w:b/>
              </w:rPr>
            </w:pPr>
            <w:r w:rsidRPr="004414A2">
              <w:rPr>
                <w:b/>
              </w:rPr>
              <w:t>Phase</w:t>
            </w:r>
          </w:p>
        </w:tc>
        <w:tc>
          <w:tcPr>
            <w:tcW w:w="3520" w:type="dxa"/>
            <w:gridSpan w:val="2"/>
          </w:tcPr>
          <w:p w14:paraId="251349AF" w14:textId="77777777" w:rsidR="003B0C89" w:rsidRPr="00BC0E7E" w:rsidRDefault="003B0C89" w:rsidP="00F043D5">
            <w:pPr>
              <w:keepNext/>
              <w:tabs>
                <w:tab w:val="clear" w:pos="562"/>
              </w:tabs>
              <w:ind w:right="51"/>
              <w:jc w:val="center"/>
              <w:rPr>
                <w:bCs/>
              </w:rPr>
            </w:pPr>
          </w:p>
        </w:tc>
        <w:tc>
          <w:tcPr>
            <w:tcW w:w="3239" w:type="dxa"/>
            <w:gridSpan w:val="2"/>
          </w:tcPr>
          <w:p w14:paraId="6FFE77E4" w14:textId="77777777" w:rsidR="003B0C89" w:rsidRPr="00BC0E7E" w:rsidRDefault="003B0C89" w:rsidP="00F043D5">
            <w:pPr>
              <w:keepNext/>
              <w:tabs>
                <w:tab w:val="clear" w:pos="562"/>
              </w:tabs>
              <w:ind w:right="51"/>
              <w:jc w:val="center"/>
              <w:rPr>
                <w:bCs/>
              </w:rPr>
            </w:pPr>
          </w:p>
        </w:tc>
      </w:tr>
      <w:tr w:rsidR="00C6578C" w14:paraId="48AB79D1" w14:textId="77777777" w:rsidTr="00C83D47">
        <w:trPr>
          <w:cantSplit/>
        </w:trPr>
        <w:tc>
          <w:tcPr>
            <w:tcW w:w="2418" w:type="dxa"/>
          </w:tcPr>
          <w:p w14:paraId="10F6F58E" w14:textId="77777777" w:rsidR="003B0C89" w:rsidRPr="00BC0E7E" w:rsidRDefault="00944B8F" w:rsidP="00F043D5">
            <w:pPr>
              <w:keepNext/>
              <w:tabs>
                <w:tab w:val="clear" w:pos="562"/>
              </w:tabs>
              <w:ind w:right="51"/>
              <w:rPr>
                <w:bCs/>
              </w:rPr>
            </w:pPr>
            <w:r w:rsidRPr="00BC0E7E">
              <w:rPr>
                <w:bCs/>
              </w:rPr>
              <w:t>OL-LI 16 weeks</w:t>
            </w:r>
          </w:p>
        </w:tc>
        <w:tc>
          <w:tcPr>
            <w:tcW w:w="3520" w:type="dxa"/>
            <w:gridSpan w:val="2"/>
          </w:tcPr>
          <w:p w14:paraId="6D370DAB" w14:textId="77777777" w:rsidR="003B0C89" w:rsidRPr="00BC0E7E" w:rsidRDefault="003B0C89" w:rsidP="00F043D5">
            <w:pPr>
              <w:keepNext/>
              <w:tabs>
                <w:tab w:val="clear" w:pos="562"/>
              </w:tabs>
              <w:ind w:right="51"/>
              <w:jc w:val="center"/>
              <w:rPr>
                <w:bCs/>
              </w:rPr>
            </w:pPr>
          </w:p>
        </w:tc>
        <w:tc>
          <w:tcPr>
            <w:tcW w:w="3239" w:type="dxa"/>
            <w:gridSpan w:val="2"/>
          </w:tcPr>
          <w:p w14:paraId="74144517" w14:textId="77777777" w:rsidR="003B0C89" w:rsidRPr="00BC0E7E" w:rsidRDefault="003B0C89" w:rsidP="00F043D5">
            <w:pPr>
              <w:keepNext/>
              <w:tabs>
                <w:tab w:val="clear" w:pos="562"/>
              </w:tabs>
              <w:ind w:right="51"/>
              <w:jc w:val="center"/>
              <w:rPr>
                <w:bCs/>
              </w:rPr>
            </w:pPr>
          </w:p>
        </w:tc>
      </w:tr>
      <w:tr w:rsidR="00C6578C" w14:paraId="3D4831C1" w14:textId="77777777" w:rsidTr="00C83D47">
        <w:trPr>
          <w:cantSplit/>
        </w:trPr>
        <w:tc>
          <w:tcPr>
            <w:tcW w:w="2418" w:type="dxa"/>
          </w:tcPr>
          <w:p w14:paraId="756D2781" w14:textId="77777777" w:rsidR="003B0C89" w:rsidRPr="00BC0E7E" w:rsidRDefault="00944B8F" w:rsidP="00F043D5">
            <w:pPr>
              <w:keepNext/>
              <w:tabs>
                <w:tab w:val="clear" w:pos="562"/>
              </w:tabs>
              <w:ind w:left="567" w:right="51"/>
              <w:rPr>
                <w:bCs/>
              </w:rPr>
            </w:pPr>
            <w:r w:rsidRPr="00BC0E7E">
              <w:rPr>
                <w:bCs/>
              </w:rPr>
              <w:t>Ped ACR 30 response (n/N)</w:t>
            </w:r>
          </w:p>
        </w:tc>
        <w:tc>
          <w:tcPr>
            <w:tcW w:w="3520" w:type="dxa"/>
            <w:gridSpan w:val="2"/>
          </w:tcPr>
          <w:p w14:paraId="7791853C" w14:textId="77777777" w:rsidR="003B0C89" w:rsidRPr="00BC0E7E" w:rsidRDefault="00944B8F" w:rsidP="00F043D5">
            <w:pPr>
              <w:keepNext/>
              <w:tabs>
                <w:tab w:val="clear" w:pos="562"/>
              </w:tabs>
              <w:ind w:right="51"/>
              <w:jc w:val="center"/>
              <w:rPr>
                <w:bCs/>
              </w:rPr>
            </w:pPr>
            <w:r w:rsidRPr="00BC0E7E">
              <w:rPr>
                <w:bCs/>
              </w:rPr>
              <w:t>94.1% (80/85)</w:t>
            </w:r>
          </w:p>
        </w:tc>
        <w:tc>
          <w:tcPr>
            <w:tcW w:w="3239" w:type="dxa"/>
            <w:gridSpan w:val="2"/>
          </w:tcPr>
          <w:p w14:paraId="24B134ED" w14:textId="77777777" w:rsidR="003B0C89" w:rsidRPr="00BC0E7E" w:rsidRDefault="00944B8F" w:rsidP="00F043D5">
            <w:pPr>
              <w:keepNext/>
              <w:tabs>
                <w:tab w:val="clear" w:pos="562"/>
              </w:tabs>
              <w:ind w:right="51"/>
              <w:jc w:val="center"/>
              <w:rPr>
                <w:bCs/>
              </w:rPr>
            </w:pPr>
            <w:r w:rsidRPr="00BC0E7E">
              <w:rPr>
                <w:bCs/>
              </w:rPr>
              <w:t>74.4% (64/86)</w:t>
            </w:r>
          </w:p>
        </w:tc>
      </w:tr>
      <w:tr w:rsidR="00C6578C" w14:paraId="22E529EE" w14:textId="77777777" w:rsidTr="00C83D47">
        <w:trPr>
          <w:cantSplit/>
        </w:trPr>
        <w:tc>
          <w:tcPr>
            <w:tcW w:w="9177" w:type="dxa"/>
            <w:gridSpan w:val="5"/>
          </w:tcPr>
          <w:p w14:paraId="15A981CC" w14:textId="77777777" w:rsidR="003B0C89" w:rsidRPr="00BC0E7E" w:rsidRDefault="00944B8F" w:rsidP="00F043D5">
            <w:pPr>
              <w:keepNext/>
              <w:tabs>
                <w:tab w:val="clear" w:pos="562"/>
              </w:tabs>
              <w:ind w:right="51"/>
              <w:rPr>
                <w:bCs/>
              </w:rPr>
            </w:pPr>
            <w:r w:rsidRPr="00BC0E7E">
              <w:rPr>
                <w:bCs/>
              </w:rPr>
              <w:t xml:space="preserve">                                                           Efficacy Outcomes</w:t>
            </w:r>
          </w:p>
        </w:tc>
      </w:tr>
      <w:tr w:rsidR="00C6578C" w14:paraId="0564A004" w14:textId="77777777" w:rsidTr="00C83D47">
        <w:tc>
          <w:tcPr>
            <w:tcW w:w="2418" w:type="dxa"/>
          </w:tcPr>
          <w:p w14:paraId="4C86597D" w14:textId="77777777" w:rsidR="003B0C89" w:rsidRPr="00BC0E7E" w:rsidRDefault="00944B8F" w:rsidP="00F043D5">
            <w:pPr>
              <w:keepNext/>
              <w:tabs>
                <w:tab w:val="clear" w:pos="562"/>
              </w:tabs>
              <w:ind w:right="51"/>
              <w:rPr>
                <w:bCs/>
              </w:rPr>
            </w:pPr>
            <w:r w:rsidRPr="00BC0E7E">
              <w:rPr>
                <w:bCs/>
              </w:rPr>
              <w:t>Double Blind 32 weeks</w:t>
            </w:r>
          </w:p>
        </w:tc>
        <w:tc>
          <w:tcPr>
            <w:tcW w:w="1760" w:type="dxa"/>
          </w:tcPr>
          <w:p w14:paraId="5923FBEE" w14:textId="77777777" w:rsidR="003B0C89" w:rsidRPr="00BC0E7E" w:rsidRDefault="00944B8F" w:rsidP="00F043D5">
            <w:pPr>
              <w:keepNext/>
              <w:tabs>
                <w:tab w:val="clear" w:pos="562"/>
              </w:tabs>
              <w:ind w:right="51"/>
              <w:rPr>
                <w:bCs/>
              </w:rPr>
            </w:pPr>
            <w:r w:rsidRPr="00BC0E7E">
              <w:rPr>
                <w:bCs/>
              </w:rPr>
              <w:t>Humira /MTX</w:t>
            </w:r>
          </w:p>
          <w:p w14:paraId="5484CC66" w14:textId="77777777" w:rsidR="003B0C89" w:rsidRPr="00BC0E7E" w:rsidRDefault="00944B8F" w:rsidP="00F043D5">
            <w:pPr>
              <w:keepNext/>
              <w:tabs>
                <w:tab w:val="clear" w:pos="562"/>
              </w:tabs>
              <w:ind w:right="51"/>
              <w:rPr>
                <w:bCs/>
              </w:rPr>
            </w:pPr>
            <w:r w:rsidRPr="00BC0E7E">
              <w:rPr>
                <w:bCs/>
              </w:rPr>
              <w:t>(N = 38)</w:t>
            </w:r>
          </w:p>
          <w:p w14:paraId="05A25753" w14:textId="77777777" w:rsidR="003B0C89" w:rsidRPr="00BC0E7E" w:rsidRDefault="003B0C89" w:rsidP="00F043D5">
            <w:pPr>
              <w:keepNext/>
              <w:tabs>
                <w:tab w:val="clear" w:pos="562"/>
              </w:tabs>
              <w:ind w:right="51"/>
              <w:rPr>
                <w:bCs/>
              </w:rPr>
            </w:pPr>
          </w:p>
        </w:tc>
        <w:tc>
          <w:tcPr>
            <w:tcW w:w="1760" w:type="dxa"/>
          </w:tcPr>
          <w:p w14:paraId="3FFCBEB4" w14:textId="77777777" w:rsidR="003B0C89" w:rsidRPr="00BC0E7E" w:rsidRDefault="00944B8F" w:rsidP="00F043D5">
            <w:pPr>
              <w:keepNext/>
              <w:tabs>
                <w:tab w:val="clear" w:pos="562"/>
              </w:tabs>
              <w:ind w:right="51"/>
              <w:rPr>
                <w:bCs/>
              </w:rPr>
            </w:pPr>
            <w:r w:rsidRPr="00BC0E7E">
              <w:rPr>
                <w:bCs/>
              </w:rPr>
              <w:t>Placebo / MTX</w:t>
            </w:r>
          </w:p>
          <w:p w14:paraId="5E2CD807" w14:textId="77777777" w:rsidR="003B0C89" w:rsidRPr="00BC0E7E" w:rsidRDefault="00944B8F" w:rsidP="00F043D5">
            <w:pPr>
              <w:keepNext/>
              <w:tabs>
                <w:tab w:val="clear" w:pos="562"/>
              </w:tabs>
              <w:ind w:right="51"/>
              <w:rPr>
                <w:bCs/>
              </w:rPr>
            </w:pPr>
            <w:r w:rsidRPr="00BC0E7E">
              <w:rPr>
                <w:bCs/>
              </w:rPr>
              <w:t>(N = 37)</w:t>
            </w:r>
          </w:p>
        </w:tc>
        <w:tc>
          <w:tcPr>
            <w:tcW w:w="1650" w:type="dxa"/>
          </w:tcPr>
          <w:p w14:paraId="7968802C" w14:textId="77777777" w:rsidR="003B0C89" w:rsidRPr="00BC0E7E" w:rsidRDefault="00944B8F" w:rsidP="00F043D5">
            <w:pPr>
              <w:keepNext/>
              <w:tabs>
                <w:tab w:val="clear" w:pos="562"/>
              </w:tabs>
              <w:ind w:right="51"/>
              <w:rPr>
                <w:bCs/>
              </w:rPr>
            </w:pPr>
            <w:r w:rsidRPr="00BC0E7E">
              <w:rPr>
                <w:bCs/>
              </w:rPr>
              <w:t xml:space="preserve">Humira </w:t>
            </w:r>
          </w:p>
          <w:p w14:paraId="390A0CF3" w14:textId="77777777" w:rsidR="003B0C89" w:rsidRPr="00BC0E7E" w:rsidRDefault="00944B8F" w:rsidP="00F043D5">
            <w:pPr>
              <w:keepNext/>
              <w:tabs>
                <w:tab w:val="clear" w:pos="562"/>
              </w:tabs>
              <w:ind w:right="51"/>
              <w:rPr>
                <w:bCs/>
              </w:rPr>
            </w:pPr>
            <w:r w:rsidRPr="00BC0E7E">
              <w:rPr>
                <w:bCs/>
              </w:rPr>
              <w:t>(N = 30)</w:t>
            </w:r>
          </w:p>
        </w:tc>
        <w:tc>
          <w:tcPr>
            <w:tcW w:w="1589" w:type="dxa"/>
          </w:tcPr>
          <w:p w14:paraId="519F8E95" w14:textId="77777777" w:rsidR="003B0C89" w:rsidRPr="00BC0E7E" w:rsidRDefault="00944B8F" w:rsidP="00F043D5">
            <w:pPr>
              <w:keepNext/>
              <w:tabs>
                <w:tab w:val="clear" w:pos="562"/>
              </w:tabs>
              <w:ind w:right="51"/>
              <w:rPr>
                <w:bCs/>
              </w:rPr>
            </w:pPr>
            <w:r w:rsidRPr="00BC0E7E">
              <w:rPr>
                <w:bCs/>
              </w:rPr>
              <w:t>Placebo</w:t>
            </w:r>
          </w:p>
          <w:p w14:paraId="712DCED4" w14:textId="77777777" w:rsidR="003B0C89" w:rsidRPr="00BC0E7E" w:rsidRDefault="00944B8F" w:rsidP="00F043D5">
            <w:pPr>
              <w:keepNext/>
              <w:tabs>
                <w:tab w:val="clear" w:pos="562"/>
              </w:tabs>
              <w:ind w:right="51"/>
              <w:rPr>
                <w:bCs/>
              </w:rPr>
            </w:pPr>
            <w:r w:rsidRPr="00BC0E7E">
              <w:rPr>
                <w:bCs/>
              </w:rPr>
              <w:t>(N = 28)</w:t>
            </w:r>
          </w:p>
        </w:tc>
      </w:tr>
      <w:tr w:rsidR="00C6578C" w14:paraId="77416896" w14:textId="77777777" w:rsidTr="00C83D47">
        <w:tc>
          <w:tcPr>
            <w:tcW w:w="2418" w:type="dxa"/>
          </w:tcPr>
          <w:p w14:paraId="005B7CD1" w14:textId="77777777" w:rsidR="003B0C89" w:rsidRPr="00BC0E7E" w:rsidRDefault="00944B8F" w:rsidP="00F043D5">
            <w:pPr>
              <w:keepNext/>
              <w:tabs>
                <w:tab w:val="clear" w:pos="562"/>
              </w:tabs>
              <w:ind w:left="567" w:right="51"/>
              <w:rPr>
                <w:bCs/>
              </w:rPr>
            </w:pPr>
            <w:r w:rsidRPr="00BC0E7E">
              <w:rPr>
                <w:bCs/>
              </w:rPr>
              <w:t>Disease flares at the end of 32 weeks</w:t>
            </w:r>
            <w:r w:rsidRPr="00BC0E7E">
              <w:rPr>
                <w:bCs/>
                <w:vertAlign w:val="superscript"/>
              </w:rPr>
              <w:t>a</w:t>
            </w:r>
            <w:r w:rsidRPr="00BC0E7E">
              <w:rPr>
                <w:bCs/>
              </w:rPr>
              <w:t xml:space="preserve"> (n/N)</w:t>
            </w:r>
          </w:p>
        </w:tc>
        <w:tc>
          <w:tcPr>
            <w:tcW w:w="1760" w:type="dxa"/>
          </w:tcPr>
          <w:p w14:paraId="50D01CB7" w14:textId="77777777" w:rsidR="003B0C89" w:rsidRPr="00BC0E7E" w:rsidRDefault="00944B8F" w:rsidP="00F043D5">
            <w:pPr>
              <w:keepNext/>
              <w:tabs>
                <w:tab w:val="clear" w:pos="562"/>
              </w:tabs>
              <w:ind w:right="51"/>
              <w:rPr>
                <w:bCs/>
              </w:rPr>
            </w:pPr>
            <w:r w:rsidRPr="00BC0E7E">
              <w:rPr>
                <w:bCs/>
              </w:rPr>
              <w:t>36.8% (14/38)</w:t>
            </w:r>
          </w:p>
        </w:tc>
        <w:tc>
          <w:tcPr>
            <w:tcW w:w="1760" w:type="dxa"/>
          </w:tcPr>
          <w:p w14:paraId="5AEA7A90" w14:textId="77777777" w:rsidR="003B0C89" w:rsidRPr="00BC0E7E" w:rsidRDefault="00944B8F" w:rsidP="00F043D5">
            <w:pPr>
              <w:keepNext/>
              <w:tabs>
                <w:tab w:val="clear" w:pos="562"/>
              </w:tabs>
              <w:ind w:right="51"/>
              <w:rPr>
                <w:bCs/>
              </w:rPr>
            </w:pPr>
            <w:r w:rsidRPr="00BC0E7E">
              <w:rPr>
                <w:bCs/>
              </w:rPr>
              <w:t>64.9% (24/37)</w:t>
            </w:r>
            <w:r w:rsidRPr="00BC0E7E">
              <w:rPr>
                <w:bCs/>
                <w:vertAlign w:val="superscript"/>
              </w:rPr>
              <w:t>b</w:t>
            </w:r>
          </w:p>
        </w:tc>
        <w:tc>
          <w:tcPr>
            <w:tcW w:w="1650" w:type="dxa"/>
          </w:tcPr>
          <w:p w14:paraId="706CC59E" w14:textId="77777777" w:rsidR="003B0C89" w:rsidRPr="00BC0E7E" w:rsidRDefault="00944B8F" w:rsidP="00F043D5">
            <w:pPr>
              <w:keepNext/>
              <w:tabs>
                <w:tab w:val="clear" w:pos="562"/>
              </w:tabs>
              <w:ind w:right="51"/>
              <w:rPr>
                <w:bCs/>
              </w:rPr>
            </w:pPr>
            <w:r w:rsidRPr="00BC0E7E">
              <w:rPr>
                <w:bCs/>
              </w:rPr>
              <w:t>43.3% (13/30)</w:t>
            </w:r>
          </w:p>
        </w:tc>
        <w:tc>
          <w:tcPr>
            <w:tcW w:w="1589" w:type="dxa"/>
          </w:tcPr>
          <w:p w14:paraId="17E64067" w14:textId="77777777" w:rsidR="003B0C89" w:rsidRPr="00BC0E7E" w:rsidRDefault="00944B8F" w:rsidP="00F043D5">
            <w:pPr>
              <w:keepNext/>
              <w:tabs>
                <w:tab w:val="clear" w:pos="562"/>
              </w:tabs>
              <w:ind w:right="51"/>
              <w:rPr>
                <w:bCs/>
              </w:rPr>
            </w:pPr>
            <w:r w:rsidRPr="00BC0E7E">
              <w:rPr>
                <w:bCs/>
              </w:rPr>
              <w:t>71.4% (20/28)</w:t>
            </w:r>
            <w:r w:rsidRPr="00BC0E7E">
              <w:rPr>
                <w:bCs/>
                <w:vertAlign w:val="superscript"/>
              </w:rPr>
              <w:t>c</w:t>
            </w:r>
          </w:p>
        </w:tc>
      </w:tr>
      <w:tr w:rsidR="00C6578C" w14:paraId="65F65AF4" w14:textId="77777777" w:rsidTr="00C83D47">
        <w:tc>
          <w:tcPr>
            <w:tcW w:w="2418" w:type="dxa"/>
          </w:tcPr>
          <w:p w14:paraId="23563309" w14:textId="77777777" w:rsidR="003B0C89" w:rsidRPr="00BC0E7E" w:rsidRDefault="00944B8F" w:rsidP="00F043D5">
            <w:pPr>
              <w:keepNext/>
              <w:tabs>
                <w:tab w:val="clear" w:pos="562"/>
              </w:tabs>
              <w:ind w:left="567" w:right="51"/>
              <w:rPr>
                <w:bCs/>
              </w:rPr>
            </w:pPr>
            <w:r w:rsidRPr="00BC0E7E">
              <w:rPr>
                <w:bCs/>
              </w:rPr>
              <w:t>Median time to disease flare</w:t>
            </w:r>
          </w:p>
        </w:tc>
        <w:tc>
          <w:tcPr>
            <w:tcW w:w="1760" w:type="dxa"/>
          </w:tcPr>
          <w:p w14:paraId="3CF0B384" w14:textId="77777777" w:rsidR="003B0C89" w:rsidRPr="00BC0E7E" w:rsidRDefault="00944B8F" w:rsidP="00F043D5">
            <w:pPr>
              <w:keepNext/>
              <w:tabs>
                <w:tab w:val="clear" w:pos="562"/>
              </w:tabs>
              <w:ind w:right="51"/>
              <w:rPr>
                <w:bCs/>
              </w:rPr>
            </w:pPr>
            <w:r w:rsidRPr="00BC0E7E">
              <w:rPr>
                <w:bCs/>
              </w:rPr>
              <w:t>&gt;32 weeks</w:t>
            </w:r>
          </w:p>
        </w:tc>
        <w:tc>
          <w:tcPr>
            <w:tcW w:w="1760" w:type="dxa"/>
          </w:tcPr>
          <w:p w14:paraId="7923A139" w14:textId="77777777" w:rsidR="003B0C89" w:rsidRPr="00BC0E7E" w:rsidRDefault="00944B8F" w:rsidP="00F043D5">
            <w:pPr>
              <w:keepNext/>
              <w:tabs>
                <w:tab w:val="clear" w:pos="562"/>
              </w:tabs>
              <w:ind w:right="51"/>
              <w:rPr>
                <w:bCs/>
              </w:rPr>
            </w:pPr>
            <w:r w:rsidRPr="00BC0E7E">
              <w:rPr>
                <w:bCs/>
              </w:rPr>
              <w:t>20 weeks</w:t>
            </w:r>
          </w:p>
        </w:tc>
        <w:tc>
          <w:tcPr>
            <w:tcW w:w="1650" w:type="dxa"/>
          </w:tcPr>
          <w:p w14:paraId="66ECF27A" w14:textId="77777777" w:rsidR="003B0C89" w:rsidRPr="00BC0E7E" w:rsidRDefault="00944B8F" w:rsidP="00F043D5">
            <w:pPr>
              <w:keepNext/>
              <w:tabs>
                <w:tab w:val="clear" w:pos="562"/>
              </w:tabs>
              <w:ind w:right="51"/>
              <w:rPr>
                <w:bCs/>
              </w:rPr>
            </w:pPr>
            <w:r w:rsidRPr="00BC0E7E">
              <w:rPr>
                <w:bCs/>
              </w:rPr>
              <w:t>&gt;32 weeks</w:t>
            </w:r>
          </w:p>
        </w:tc>
        <w:tc>
          <w:tcPr>
            <w:tcW w:w="1589" w:type="dxa"/>
          </w:tcPr>
          <w:p w14:paraId="2B1F2C61" w14:textId="77777777" w:rsidR="003B0C89" w:rsidRPr="00BC0E7E" w:rsidRDefault="00944B8F" w:rsidP="00F043D5">
            <w:pPr>
              <w:keepNext/>
              <w:tabs>
                <w:tab w:val="clear" w:pos="562"/>
              </w:tabs>
              <w:ind w:right="51"/>
              <w:rPr>
                <w:bCs/>
              </w:rPr>
            </w:pPr>
            <w:r w:rsidRPr="00BC0E7E">
              <w:rPr>
                <w:bCs/>
              </w:rPr>
              <w:t>14 weeks</w:t>
            </w:r>
          </w:p>
        </w:tc>
      </w:tr>
    </w:tbl>
    <w:p w14:paraId="370C3B0D" w14:textId="77777777" w:rsidR="003B0C89" w:rsidRPr="00BC0E7E" w:rsidRDefault="003B0C89" w:rsidP="00F043D5">
      <w:pPr>
        <w:keepNext/>
        <w:tabs>
          <w:tab w:val="clear" w:pos="562"/>
        </w:tabs>
        <w:ind w:left="110" w:right="51"/>
        <w:rPr>
          <w:b/>
          <w:bCs/>
          <w:sz w:val="24"/>
          <w:vertAlign w:val="superscript"/>
        </w:rPr>
      </w:pPr>
    </w:p>
    <w:p w14:paraId="6B423797" w14:textId="77777777" w:rsidR="003B0C89" w:rsidRPr="00BC0E7E" w:rsidRDefault="00944B8F" w:rsidP="00F043D5">
      <w:pPr>
        <w:keepNext/>
        <w:tabs>
          <w:tab w:val="clear" w:pos="562"/>
        </w:tabs>
        <w:ind w:left="110" w:right="51"/>
        <w:rPr>
          <w:bCs/>
          <w:i/>
          <w:iCs/>
          <w:szCs w:val="22"/>
        </w:rPr>
      </w:pPr>
      <w:r w:rsidRPr="00BC0E7E">
        <w:rPr>
          <w:bCs/>
          <w:szCs w:val="22"/>
          <w:vertAlign w:val="superscript"/>
        </w:rPr>
        <w:t xml:space="preserve">a </w:t>
      </w:r>
      <w:r w:rsidRPr="00BC0E7E">
        <w:rPr>
          <w:bCs/>
          <w:szCs w:val="22"/>
        </w:rPr>
        <w:t xml:space="preserve">Ped ACR 30/50/70 responses Week 48 significantly greater than those of placebo treated patients </w:t>
      </w:r>
    </w:p>
    <w:p w14:paraId="665B7BD6" w14:textId="77777777" w:rsidR="003B0C89" w:rsidRPr="00BC0E7E" w:rsidRDefault="00944B8F" w:rsidP="00F043D5">
      <w:pPr>
        <w:keepNext/>
        <w:tabs>
          <w:tab w:val="clear" w:pos="562"/>
        </w:tabs>
        <w:ind w:left="110" w:right="51"/>
        <w:rPr>
          <w:bCs/>
          <w:szCs w:val="22"/>
        </w:rPr>
      </w:pPr>
      <w:r w:rsidRPr="00BC0E7E">
        <w:rPr>
          <w:bCs/>
          <w:szCs w:val="22"/>
          <w:vertAlign w:val="superscript"/>
        </w:rPr>
        <w:t>b</w:t>
      </w:r>
      <w:r w:rsidRPr="00BC0E7E">
        <w:rPr>
          <w:bCs/>
          <w:szCs w:val="22"/>
        </w:rPr>
        <w:t xml:space="preserve"> p = 0.015</w:t>
      </w:r>
    </w:p>
    <w:p w14:paraId="5EAAB4CE" w14:textId="77777777" w:rsidR="003B0C89" w:rsidRPr="00BC0E7E" w:rsidRDefault="00944B8F" w:rsidP="00F043D5">
      <w:pPr>
        <w:keepNext/>
        <w:tabs>
          <w:tab w:val="clear" w:pos="562"/>
        </w:tabs>
        <w:ind w:left="110" w:right="51"/>
        <w:rPr>
          <w:bCs/>
          <w:szCs w:val="22"/>
        </w:rPr>
      </w:pPr>
      <w:r w:rsidRPr="00BC0E7E">
        <w:rPr>
          <w:bCs/>
          <w:szCs w:val="22"/>
          <w:vertAlign w:val="superscript"/>
        </w:rPr>
        <w:t>c</w:t>
      </w:r>
      <w:r w:rsidRPr="00BC0E7E">
        <w:rPr>
          <w:bCs/>
          <w:szCs w:val="22"/>
        </w:rPr>
        <w:t xml:space="preserve"> p = 0.031</w:t>
      </w:r>
    </w:p>
    <w:p w14:paraId="55E72A89" w14:textId="77777777" w:rsidR="003B0C89" w:rsidRPr="008F4FD5" w:rsidRDefault="003B0C89" w:rsidP="003B0C89">
      <w:pPr>
        <w:tabs>
          <w:tab w:val="clear" w:pos="562"/>
        </w:tabs>
        <w:ind w:left="110" w:right="53"/>
        <w:rPr>
          <w:bCs/>
          <w:szCs w:val="22"/>
        </w:rPr>
      </w:pPr>
    </w:p>
    <w:p w14:paraId="2057B299" w14:textId="77777777" w:rsidR="003B0C89" w:rsidRPr="00BC0E7E" w:rsidRDefault="00944B8F" w:rsidP="003B0C89">
      <w:pPr>
        <w:rPr>
          <w:szCs w:val="20"/>
        </w:rPr>
      </w:pPr>
      <w:r w:rsidRPr="00BC0E7E">
        <w:rPr>
          <w:szCs w:val="20"/>
        </w:rPr>
        <w:t>Amongst those who responded at Week 16 (n=144), the P</w:t>
      </w:r>
      <w:r w:rsidR="00043E67">
        <w:rPr>
          <w:szCs w:val="20"/>
        </w:rPr>
        <w:t>a</w:t>
      </w:r>
      <w:r w:rsidRPr="00BC0E7E">
        <w:rPr>
          <w:szCs w:val="20"/>
        </w:rPr>
        <w:t>ediatric ACR 30/50/70/90 responses were maintained for up to six years in the OLE phase in patients who received Humira throughout the study.</w:t>
      </w:r>
      <w:r w:rsidRPr="00BC0E7E">
        <w:rPr>
          <w:szCs w:val="22"/>
        </w:rPr>
        <w:t xml:space="preserve"> Over all 19 subjects, of which 11 of the baseline age group 4 to 12 and 8 of the baseline age group 13 to 17 years were treated 6 years or longer.</w:t>
      </w:r>
    </w:p>
    <w:p w14:paraId="5F6B4F7A" w14:textId="77777777" w:rsidR="003B0C89" w:rsidRPr="00BC0E7E" w:rsidRDefault="003B0C89" w:rsidP="003B0C89">
      <w:pPr>
        <w:rPr>
          <w:szCs w:val="20"/>
        </w:rPr>
      </w:pPr>
    </w:p>
    <w:p w14:paraId="32D4E87E" w14:textId="77777777" w:rsidR="003B0C89" w:rsidRPr="00BC0E7E" w:rsidRDefault="00944B8F" w:rsidP="003B0C89">
      <w:pPr>
        <w:rPr>
          <w:szCs w:val="20"/>
        </w:rPr>
      </w:pPr>
      <w:r w:rsidRPr="00BC0E7E">
        <w:rPr>
          <w:szCs w:val="20"/>
        </w:rPr>
        <w:t>Overall responses were generally better and, fewer patients developed antibodies when treated with the combination of Humira and MTX compared to Humira alone. Taking these results into consideration, Humira is recommended for use in combination with MTX and for use as monotherapy in patients for whom MTX use is not appropriate (see section 4.2).</w:t>
      </w:r>
    </w:p>
    <w:p w14:paraId="2CE7F634" w14:textId="77777777" w:rsidR="003B0C89" w:rsidRPr="00BC0E7E" w:rsidRDefault="003B0C89" w:rsidP="003B0C89">
      <w:pPr>
        <w:rPr>
          <w:szCs w:val="20"/>
        </w:rPr>
      </w:pPr>
    </w:p>
    <w:p w14:paraId="59DCE6DB" w14:textId="77777777" w:rsidR="003B0C89" w:rsidRPr="00BC0E7E" w:rsidRDefault="00944B8F" w:rsidP="003B0C89">
      <w:pPr>
        <w:rPr>
          <w:szCs w:val="20"/>
        </w:rPr>
      </w:pPr>
      <w:r w:rsidRPr="00BC0E7E">
        <w:rPr>
          <w:szCs w:val="20"/>
        </w:rPr>
        <w:t>pJIA II</w:t>
      </w:r>
    </w:p>
    <w:p w14:paraId="0A9141B8" w14:textId="77777777" w:rsidR="003B0C89" w:rsidRPr="00BC0E7E" w:rsidRDefault="003B0C89" w:rsidP="003B0C89">
      <w:pPr>
        <w:rPr>
          <w:szCs w:val="20"/>
        </w:rPr>
      </w:pPr>
    </w:p>
    <w:p w14:paraId="0192E160" w14:textId="77777777" w:rsidR="003B0C89" w:rsidRPr="00BC0E7E" w:rsidRDefault="00944B8F" w:rsidP="003B0C89">
      <w:pPr>
        <w:tabs>
          <w:tab w:val="left" w:pos="6840"/>
        </w:tabs>
        <w:autoSpaceDE w:val="0"/>
        <w:autoSpaceDN w:val="0"/>
        <w:adjustRightInd w:val="0"/>
        <w:ind w:right="53"/>
      </w:pPr>
      <w:r w:rsidRPr="00BC0E7E">
        <w:t>The safety and efficacy of Humira was assessed in an open-label, multicentre study in 32 children (2 </w:t>
      </w:r>
      <w:r w:rsidRPr="00BC0E7E">
        <w:noBreakHyphen/>
        <w:t xml:space="preserve"> &lt; 4 years old or</w:t>
      </w:r>
      <w:r w:rsidRPr="00BC0E7E">
        <w:rPr>
          <w:szCs w:val="22"/>
        </w:rPr>
        <w:t xml:space="preserve"> aged 4 and above weighing &lt; 15 kg</w:t>
      </w:r>
      <w:r w:rsidRPr="00BC0E7E">
        <w:t xml:space="preserve">) with moderately to severely active polyarticular JIA. The patients </w:t>
      </w:r>
      <w:r w:rsidRPr="00BC0E7E">
        <w:rPr>
          <w:szCs w:val="22"/>
        </w:rPr>
        <w:t>received 24 mg/m</w:t>
      </w:r>
      <w:r w:rsidRPr="00BC0E7E">
        <w:rPr>
          <w:szCs w:val="22"/>
          <w:vertAlign w:val="superscript"/>
        </w:rPr>
        <w:t>2</w:t>
      </w:r>
      <w:r w:rsidRPr="00BC0E7E">
        <w:rPr>
          <w:szCs w:val="22"/>
        </w:rPr>
        <w:t xml:space="preserve"> body surface area (BSA) of Humira up to a maximum of 20 mg every other week as a single dose via SC injection for at least 24 weeks. During the study, most subjects used concomitant MTX, with fewer reporting use of corticosteroids or NSAIDs.</w:t>
      </w:r>
    </w:p>
    <w:p w14:paraId="7ADCD5D2" w14:textId="77777777" w:rsidR="003B0C89" w:rsidRPr="00BC0E7E" w:rsidRDefault="003B0C89" w:rsidP="003B0C89">
      <w:pPr>
        <w:rPr>
          <w:szCs w:val="20"/>
        </w:rPr>
      </w:pPr>
    </w:p>
    <w:p w14:paraId="0503D11B" w14:textId="77777777" w:rsidR="003B0C89" w:rsidRPr="00BC0E7E" w:rsidRDefault="00944B8F" w:rsidP="003B0C89">
      <w:pPr>
        <w:rPr>
          <w:szCs w:val="22"/>
        </w:rPr>
      </w:pPr>
      <w:r w:rsidRPr="00BC0E7E">
        <w:rPr>
          <w:szCs w:val="22"/>
        </w:rPr>
        <w:t>At Week 12 and Week 24, PedACR30 response was 93.5% and 90.0%, respectively, using the observed data approach. The proportions of subjects with PedACR50/70/90 at Week 12 and Week 24 were 90.3%/61.3%/38.7% and 83.3%/73.3%/36.7%, respectively. Amongst those who responded (P</w:t>
      </w:r>
      <w:r w:rsidR="00043E67">
        <w:rPr>
          <w:szCs w:val="22"/>
        </w:rPr>
        <w:t>a</w:t>
      </w:r>
      <w:r w:rsidRPr="00BC0E7E">
        <w:rPr>
          <w:szCs w:val="22"/>
        </w:rPr>
        <w:t>ediatric ACR 30) at Week 24 (n=27 out of 30 patients), the P</w:t>
      </w:r>
      <w:r w:rsidR="00043E67">
        <w:rPr>
          <w:szCs w:val="22"/>
        </w:rPr>
        <w:t>a</w:t>
      </w:r>
      <w:r w:rsidRPr="00BC0E7E">
        <w:rPr>
          <w:szCs w:val="22"/>
        </w:rPr>
        <w:t>ediatric ACR 30 responses were maintained for up to 60 weeks in the OLE phase in patients who received Humira throughout this time period. Overall, 20 subjects were treated for 60 weeks or longer.</w:t>
      </w:r>
    </w:p>
    <w:p w14:paraId="7E79A28A" w14:textId="77777777" w:rsidR="003B0C89" w:rsidRDefault="003B0C89" w:rsidP="00BC0E7E">
      <w:pPr>
        <w:rPr>
          <w:szCs w:val="22"/>
          <w:lang w:eastAsia="en-GB"/>
        </w:rPr>
      </w:pPr>
    </w:p>
    <w:p w14:paraId="1B5D8F02" w14:textId="77777777" w:rsidR="002E42DA" w:rsidRPr="00BC0E7E" w:rsidRDefault="00944B8F" w:rsidP="002E42DA">
      <w:pPr>
        <w:tabs>
          <w:tab w:val="clear" w:pos="562"/>
        </w:tabs>
        <w:suppressAutoHyphens w:val="0"/>
        <w:rPr>
          <w:bCs/>
          <w:i/>
          <w:szCs w:val="22"/>
          <w:u w:val="single"/>
        </w:rPr>
      </w:pPr>
      <w:r w:rsidRPr="00BC0E7E">
        <w:rPr>
          <w:bCs/>
          <w:i/>
          <w:szCs w:val="22"/>
          <w:u w:val="single"/>
        </w:rPr>
        <w:t>Enthesitis-related arthritis</w:t>
      </w:r>
    </w:p>
    <w:p w14:paraId="6F43F167" w14:textId="77777777" w:rsidR="002E42DA" w:rsidRPr="00BC0E7E" w:rsidRDefault="002E42DA" w:rsidP="002E42DA">
      <w:pPr>
        <w:tabs>
          <w:tab w:val="clear" w:pos="562"/>
        </w:tabs>
        <w:suppressAutoHyphens w:val="0"/>
        <w:rPr>
          <w:bCs/>
          <w:szCs w:val="22"/>
          <w:u w:val="single"/>
        </w:rPr>
      </w:pPr>
    </w:p>
    <w:p w14:paraId="1C90E6AB" w14:textId="77777777" w:rsidR="002E42DA" w:rsidRPr="00BC0E7E" w:rsidRDefault="00944B8F" w:rsidP="002E42DA">
      <w:pPr>
        <w:rPr>
          <w:szCs w:val="20"/>
        </w:rPr>
      </w:pPr>
      <w:r w:rsidRPr="00BC0E7E">
        <w:rPr>
          <w:szCs w:val="22"/>
        </w:rPr>
        <w:t xml:space="preserve">The safety and efficacy of Humira were assessed in a </w:t>
      </w:r>
      <w:r w:rsidRPr="00BC0E7E">
        <w:rPr>
          <w:szCs w:val="20"/>
        </w:rPr>
        <w:t>multicentre</w:t>
      </w:r>
      <w:r w:rsidRPr="00BC0E7E">
        <w:rPr>
          <w:szCs w:val="22"/>
        </w:rPr>
        <w:t>, randomised, double-blind study in 46 paediatric patients (6 to 17 years old) with moderate enthesitis-related arthritis. Patients were randomised to receive either 24 mg/m</w:t>
      </w:r>
      <w:r w:rsidRPr="00BC0E7E">
        <w:rPr>
          <w:szCs w:val="22"/>
          <w:vertAlign w:val="superscript"/>
        </w:rPr>
        <w:t>2</w:t>
      </w:r>
      <w:r w:rsidRPr="00BC0E7E">
        <w:rPr>
          <w:szCs w:val="22"/>
        </w:rPr>
        <w:t xml:space="preserve"> body surface area (BSA) of Humira up to a maximum of 40 mg, or placebo every other week for 12 weeks. The double-blind period is followed by an open-label (OL) period during </w:t>
      </w:r>
      <w:r w:rsidRPr="00BC0E7E">
        <w:rPr>
          <w:szCs w:val="22"/>
        </w:rPr>
        <w:lastRenderedPageBreak/>
        <w:t xml:space="preserve">which patients received </w:t>
      </w:r>
      <w:r w:rsidRPr="00BC0E7E">
        <w:rPr>
          <w:szCs w:val="20"/>
        </w:rPr>
        <w:t>24 mg/m</w:t>
      </w:r>
      <w:r w:rsidRPr="00BC0E7E">
        <w:rPr>
          <w:szCs w:val="20"/>
          <w:vertAlign w:val="superscript"/>
        </w:rPr>
        <w:t>2</w:t>
      </w:r>
      <w:r w:rsidRPr="00BC0E7E">
        <w:rPr>
          <w:szCs w:val="20"/>
        </w:rPr>
        <w:t xml:space="preserve"> BSA of Humira up to a maximum of 40 mg every other week </w:t>
      </w:r>
      <w:r w:rsidRPr="00BC0E7E">
        <w:rPr>
          <w:szCs w:val="22"/>
        </w:rPr>
        <w:t>subcutaneously for up to an additional 192 weeks. The primary endpoint was the percent change from Baseline to Week 12 in the number of active joints with arthritis (swelling not due to deformity or joints with loss of motion plus pain and/or tenderness), which was achieved with mean percent decrease of -62.6% (median percent change -88.9%) in patients in the Humira group compared to -11.6% (median percent change -50.0%) in patients in the placebo group. Improvement in number of active joints with arthritis was maintained during the OL period through Week 156 for the 26 of 31 (84%) patients in the Humira group who remained in the study. Although not statistically significant, the majority of patients demonstrated clinical improvement in secondary endpoints such as number of sites of enthesitis, tender joint count (TJC), swollen joint count (SJC), P</w:t>
      </w:r>
      <w:r w:rsidR="00043E67">
        <w:rPr>
          <w:szCs w:val="22"/>
        </w:rPr>
        <w:t>a</w:t>
      </w:r>
      <w:r w:rsidRPr="00BC0E7E">
        <w:rPr>
          <w:szCs w:val="22"/>
        </w:rPr>
        <w:t>ediatric ACR 50 response, and P</w:t>
      </w:r>
      <w:r w:rsidR="00043E67">
        <w:rPr>
          <w:szCs w:val="22"/>
        </w:rPr>
        <w:t>a</w:t>
      </w:r>
      <w:r w:rsidRPr="00BC0E7E">
        <w:rPr>
          <w:szCs w:val="22"/>
        </w:rPr>
        <w:t>ediatric ACR 70 response.</w:t>
      </w:r>
    </w:p>
    <w:p w14:paraId="7DEDF779" w14:textId="77777777" w:rsidR="002E42DA" w:rsidRDefault="002E42DA" w:rsidP="003B0C89">
      <w:pPr>
        <w:keepNext/>
        <w:tabs>
          <w:tab w:val="clear" w:pos="562"/>
        </w:tabs>
        <w:suppressAutoHyphens w:val="0"/>
        <w:rPr>
          <w:bCs/>
          <w:i/>
          <w:szCs w:val="22"/>
          <w:highlight w:val="yellow"/>
        </w:rPr>
      </w:pPr>
    </w:p>
    <w:p w14:paraId="2D3BD67E" w14:textId="77777777" w:rsidR="003B0C89" w:rsidRPr="00BC0E7E" w:rsidRDefault="00944B8F" w:rsidP="003B0C89">
      <w:pPr>
        <w:keepNext/>
        <w:tabs>
          <w:tab w:val="clear" w:pos="562"/>
        </w:tabs>
        <w:suppressAutoHyphens w:val="0"/>
        <w:rPr>
          <w:bCs/>
          <w:i/>
          <w:szCs w:val="22"/>
        </w:rPr>
      </w:pPr>
      <w:r w:rsidRPr="002E42DA">
        <w:rPr>
          <w:bCs/>
          <w:i/>
          <w:szCs w:val="22"/>
        </w:rPr>
        <w:t>Paediatric plaque psoriasis</w:t>
      </w:r>
      <w:r w:rsidRPr="00BC0E7E">
        <w:rPr>
          <w:bCs/>
          <w:i/>
          <w:szCs w:val="22"/>
        </w:rPr>
        <w:t xml:space="preserve"> </w:t>
      </w:r>
    </w:p>
    <w:p w14:paraId="6BA06B39" w14:textId="77777777" w:rsidR="003B0C89" w:rsidRPr="00BC0E7E" w:rsidRDefault="003B0C89" w:rsidP="003B0C89">
      <w:pPr>
        <w:keepNext/>
        <w:tabs>
          <w:tab w:val="clear" w:pos="562"/>
        </w:tabs>
        <w:suppressAutoHyphens w:val="0"/>
        <w:rPr>
          <w:bCs/>
          <w:i/>
          <w:szCs w:val="22"/>
        </w:rPr>
      </w:pPr>
    </w:p>
    <w:p w14:paraId="043E668B" w14:textId="77777777" w:rsidR="003B0C89" w:rsidRPr="00BC0E7E" w:rsidRDefault="00944B8F" w:rsidP="003B0C89">
      <w:pPr>
        <w:keepNext/>
        <w:autoSpaceDE w:val="0"/>
        <w:autoSpaceDN w:val="0"/>
        <w:adjustRightInd w:val="0"/>
        <w:rPr>
          <w:szCs w:val="22"/>
        </w:rPr>
      </w:pPr>
      <w:r w:rsidRPr="00BC0E7E">
        <w:rPr>
          <w:szCs w:val="22"/>
        </w:rPr>
        <w:t xml:space="preserve">The efficacy of Humira was assessed in a randomised, double-blind, controlled study of 114 paediatric patients from 4 years of age with severe chronic plaque psoriasis (as defined by a PGA ≥ 4 or &gt; 20% BSA involvement or &gt; 10% BSA involvement with very thick lesions or PASI ≥ 20 or ≥ 10 with clinically relevant facial, genital, or hand/ foot involvement) who were inadequately controlled with topical therapy and heliotherapy or phototherapy. </w:t>
      </w:r>
    </w:p>
    <w:p w14:paraId="68F08749" w14:textId="77777777" w:rsidR="003B0C89" w:rsidRPr="00BC0E7E" w:rsidRDefault="003B0C89" w:rsidP="003B0C89">
      <w:pPr>
        <w:autoSpaceDE w:val="0"/>
        <w:autoSpaceDN w:val="0"/>
        <w:adjustRightInd w:val="0"/>
        <w:rPr>
          <w:szCs w:val="22"/>
        </w:rPr>
      </w:pPr>
    </w:p>
    <w:p w14:paraId="6E82DC79" w14:textId="77777777" w:rsidR="003B0C89" w:rsidRPr="00BC0E7E" w:rsidRDefault="00944B8F" w:rsidP="003B0C89">
      <w:pPr>
        <w:autoSpaceDE w:val="0"/>
        <w:autoSpaceDN w:val="0"/>
        <w:adjustRightInd w:val="0"/>
        <w:rPr>
          <w:szCs w:val="22"/>
        </w:rPr>
      </w:pPr>
      <w:r w:rsidRPr="00BC0E7E">
        <w:rPr>
          <w:szCs w:val="22"/>
        </w:rPr>
        <w:t>Patients received Humira 0.8 mg/kg eow (up to 40 mg), 0.4 mg/kg eow (up to 20 mg), or methotrexate 0.1</w:t>
      </w:r>
      <w:r w:rsidRPr="00BC0E7E">
        <w:rPr>
          <w:szCs w:val="22"/>
        </w:rPr>
        <w:noBreakHyphen/>
        <w:t xml:space="preserve"> 0.4 mg/kg weekly (up to 25 mg).   At Week 16, more patients randomised to Humira 0.8 mg/kg had positive efficacy responses (e.g., PASI 75) than those randomised to 0.4 mg/kg eow or MTX.  </w:t>
      </w:r>
    </w:p>
    <w:p w14:paraId="2D510FCF" w14:textId="77777777" w:rsidR="003B0C89" w:rsidRPr="00BC0E7E" w:rsidRDefault="003B0C89" w:rsidP="003B0C89">
      <w:pPr>
        <w:keepNext/>
        <w:autoSpaceDE w:val="0"/>
        <w:autoSpaceDN w:val="0"/>
        <w:adjustRightInd w:val="0"/>
        <w:rPr>
          <w:bCs/>
          <w:szCs w:val="22"/>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firstRow="1" w:lastRow="0" w:firstColumn="1" w:lastColumn="0" w:noHBand="0" w:noVBand="0"/>
      </w:tblPr>
      <w:tblGrid>
        <w:gridCol w:w="3528"/>
        <w:gridCol w:w="1681"/>
        <w:gridCol w:w="3188"/>
      </w:tblGrid>
      <w:tr w:rsidR="00C6578C" w14:paraId="1993E988" w14:textId="77777777" w:rsidTr="00C83D47">
        <w:trPr>
          <w:jc w:val="center"/>
        </w:trPr>
        <w:tc>
          <w:tcPr>
            <w:tcW w:w="5000" w:type="pct"/>
            <w:gridSpan w:val="3"/>
            <w:tcBorders>
              <w:top w:val="nil"/>
              <w:left w:val="nil"/>
              <w:bottom w:val="nil"/>
              <w:right w:val="nil"/>
            </w:tcBorders>
            <w:vAlign w:val="center"/>
          </w:tcPr>
          <w:p w14:paraId="19D849CC" w14:textId="77777777" w:rsidR="003B0C89" w:rsidRPr="008F4FD5" w:rsidRDefault="00944B8F" w:rsidP="00C83D47">
            <w:pPr>
              <w:keepNext/>
              <w:autoSpaceDE w:val="0"/>
              <w:autoSpaceDN w:val="0"/>
              <w:adjustRightInd w:val="0"/>
              <w:jc w:val="center"/>
              <w:rPr>
                <w:b/>
                <w:bCs/>
                <w:szCs w:val="22"/>
              </w:rPr>
            </w:pPr>
            <w:r w:rsidRPr="00BC0E7E">
              <w:rPr>
                <w:b/>
                <w:szCs w:val="22"/>
              </w:rPr>
              <w:t xml:space="preserve">Table </w:t>
            </w:r>
            <w:r w:rsidR="003D1485">
              <w:rPr>
                <w:b/>
                <w:szCs w:val="22"/>
              </w:rPr>
              <w:t>27</w:t>
            </w:r>
            <w:r w:rsidRPr="00BC0E7E">
              <w:rPr>
                <w:b/>
                <w:szCs w:val="22"/>
              </w:rPr>
              <w:t xml:space="preserve">: </w:t>
            </w:r>
            <w:r w:rsidRPr="00BC0E7E">
              <w:rPr>
                <w:rFonts w:ascii="Verdana,Bold" w:hAnsi="Verdana,Bold" w:cs="Verdana,Bold"/>
                <w:b/>
                <w:bCs/>
                <w:sz w:val="18"/>
                <w:szCs w:val="18"/>
              </w:rPr>
              <w:t xml:space="preserve"> </w:t>
            </w:r>
            <w:r w:rsidRPr="00BC0E7E">
              <w:rPr>
                <w:b/>
                <w:bCs/>
                <w:szCs w:val="22"/>
              </w:rPr>
              <w:t>Paediatric Plaque Psorias</w:t>
            </w:r>
            <w:r>
              <w:rPr>
                <w:b/>
                <w:bCs/>
                <w:szCs w:val="22"/>
              </w:rPr>
              <w:t>is Efficacy Results at 16 Weeks</w:t>
            </w:r>
          </w:p>
        </w:tc>
      </w:tr>
      <w:tr w:rsidR="00C6578C" w:rsidRPr="00173B45" w14:paraId="57BA808E" w14:textId="77777777" w:rsidTr="00C83D47">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5A72D8C0" w14:textId="77777777" w:rsidR="003B0C89" w:rsidRPr="00BC0E7E" w:rsidRDefault="003B0C89" w:rsidP="00C83D47">
            <w:pPr>
              <w:keepNext/>
              <w:rPr>
                <w:szCs w:val="22"/>
              </w:rPr>
            </w:pPr>
          </w:p>
        </w:tc>
        <w:tc>
          <w:tcPr>
            <w:tcW w:w="0" w:type="auto"/>
            <w:tcBorders>
              <w:top w:val="single" w:sz="6" w:space="0" w:color="000000"/>
              <w:left w:val="single" w:sz="6" w:space="0" w:color="000000"/>
              <w:bottom w:val="outset" w:sz="6" w:space="0" w:color="auto"/>
              <w:right w:val="outset" w:sz="6" w:space="0" w:color="auto"/>
            </w:tcBorders>
            <w:vAlign w:val="center"/>
          </w:tcPr>
          <w:p w14:paraId="02F22F7F" w14:textId="77777777" w:rsidR="003B0C89" w:rsidRPr="00BC0E7E" w:rsidRDefault="00944B8F" w:rsidP="00C83D47">
            <w:pPr>
              <w:keepNext/>
              <w:jc w:val="center"/>
              <w:rPr>
                <w:szCs w:val="22"/>
              </w:rPr>
            </w:pPr>
            <w:r w:rsidRPr="00BC0E7E">
              <w:rPr>
                <w:szCs w:val="22"/>
              </w:rPr>
              <w:t>MTX</w:t>
            </w:r>
            <w:r w:rsidRPr="00BC0E7E">
              <w:rPr>
                <w:szCs w:val="22"/>
                <w:vertAlign w:val="superscript"/>
              </w:rPr>
              <w:t>a</w:t>
            </w:r>
            <w:r w:rsidRPr="00BC0E7E">
              <w:rPr>
                <w:szCs w:val="22"/>
              </w:rPr>
              <w:br/>
              <w:t xml:space="preserve">N=37 </w:t>
            </w:r>
          </w:p>
        </w:tc>
        <w:tc>
          <w:tcPr>
            <w:tcW w:w="1898" w:type="pct"/>
            <w:tcBorders>
              <w:top w:val="single" w:sz="6" w:space="0" w:color="000000"/>
              <w:left w:val="single" w:sz="6" w:space="0" w:color="000000"/>
              <w:bottom w:val="outset" w:sz="6" w:space="0" w:color="auto"/>
              <w:right w:val="single" w:sz="6" w:space="0" w:color="000000"/>
            </w:tcBorders>
            <w:vAlign w:val="center"/>
          </w:tcPr>
          <w:p w14:paraId="2014C446" w14:textId="77777777" w:rsidR="003B0C89" w:rsidRPr="00BC0E7E" w:rsidRDefault="00944B8F" w:rsidP="00C83D47">
            <w:pPr>
              <w:keepNext/>
              <w:jc w:val="center"/>
              <w:rPr>
                <w:szCs w:val="22"/>
                <w:lang w:val="pt-BR"/>
              </w:rPr>
            </w:pPr>
            <w:r w:rsidRPr="00BC0E7E">
              <w:rPr>
                <w:szCs w:val="22"/>
                <w:lang w:val="pt-BR"/>
              </w:rPr>
              <w:t>Humira 0.8</w:t>
            </w:r>
            <w:r>
              <w:rPr>
                <w:szCs w:val="22"/>
                <w:lang w:val="pt-BR"/>
              </w:rPr>
              <w:t xml:space="preserve"> </w:t>
            </w:r>
            <w:r w:rsidRPr="00BC0E7E">
              <w:rPr>
                <w:szCs w:val="22"/>
                <w:lang w:val="pt-BR"/>
              </w:rPr>
              <w:t>mg/kg eow</w:t>
            </w:r>
            <w:r w:rsidRPr="00BC0E7E">
              <w:rPr>
                <w:szCs w:val="22"/>
                <w:lang w:val="pt-BR"/>
              </w:rPr>
              <w:br/>
              <w:t xml:space="preserve">N=38 </w:t>
            </w:r>
          </w:p>
        </w:tc>
      </w:tr>
      <w:tr w:rsidR="00C6578C" w14:paraId="1174A584" w14:textId="77777777" w:rsidTr="00C83D47">
        <w:trPr>
          <w:jc w:val="center"/>
        </w:trPr>
        <w:tc>
          <w:tcPr>
            <w:tcW w:w="0" w:type="auto"/>
            <w:tcBorders>
              <w:top w:val="single" w:sz="6" w:space="0" w:color="000000"/>
              <w:left w:val="single" w:sz="6" w:space="0" w:color="000000"/>
              <w:bottom w:val="outset" w:sz="6" w:space="0" w:color="auto"/>
              <w:right w:val="outset" w:sz="6" w:space="0" w:color="auto"/>
            </w:tcBorders>
            <w:vAlign w:val="center"/>
          </w:tcPr>
          <w:p w14:paraId="28E2B13D" w14:textId="77777777" w:rsidR="003B0C89" w:rsidRPr="00BC0E7E" w:rsidRDefault="00944B8F" w:rsidP="00C83D47">
            <w:pPr>
              <w:keepNext/>
              <w:rPr>
                <w:szCs w:val="22"/>
              </w:rPr>
            </w:pPr>
            <w:r w:rsidRPr="00BC0E7E">
              <w:rPr>
                <w:szCs w:val="22"/>
              </w:rPr>
              <w:t> </w:t>
            </w:r>
            <w:r w:rsidRPr="00BC0E7E">
              <w:rPr>
                <w:szCs w:val="22"/>
              </w:rPr>
              <w:t>PASI 75</w:t>
            </w:r>
            <w:r w:rsidRPr="00BC0E7E">
              <w:rPr>
                <w:szCs w:val="22"/>
                <w:vertAlign w:val="superscript"/>
              </w:rPr>
              <w:t>b</w:t>
            </w:r>
          </w:p>
        </w:tc>
        <w:tc>
          <w:tcPr>
            <w:tcW w:w="0" w:type="auto"/>
            <w:tcBorders>
              <w:top w:val="single" w:sz="6" w:space="0" w:color="000000"/>
              <w:left w:val="single" w:sz="6" w:space="0" w:color="000000"/>
              <w:bottom w:val="outset" w:sz="6" w:space="0" w:color="auto"/>
              <w:right w:val="outset" w:sz="6" w:space="0" w:color="auto"/>
            </w:tcBorders>
            <w:vAlign w:val="center"/>
          </w:tcPr>
          <w:p w14:paraId="1BB628FC" w14:textId="77777777" w:rsidR="003B0C89" w:rsidRPr="00BC0E7E" w:rsidRDefault="00944B8F" w:rsidP="00C83D47">
            <w:pPr>
              <w:keepNext/>
              <w:jc w:val="center"/>
              <w:rPr>
                <w:szCs w:val="22"/>
              </w:rPr>
            </w:pPr>
            <w:r w:rsidRPr="00BC0E7E">
              <w:rPr>
                <w:szCs w:val="22"/>
              </w:rPr>
              <w:t>12 (32.4%)</w:t>
            </w:r>
          </w:p>
        </w:tc>
        <w:tc>
          <w:tcPr>
            <w:tcW w:w="1898" w:type="pct"/>
            <w:tcBorders>
              <w:top w:val="single" w:sz="6" w:space="0" w:color="000000"/>
              <w:left w:val="single" w:sz="6" w:space="0" w:color="000000"/>
              <w:bottom w:val="outset" w:sz="6" w:space="0" w:color="auto"/>
              <w:right w:val="single" w:sz="6" w:space="0" w:color="000000"/>
            </w:tcBorders>
            <w:vAlign w:val="center"/>
          </w:tcPr>
          <w:p w14:paraId="364F0B63" w14:textId="77777777" w:rsidR="003B0C89" w:rsidRPr="00BC0E7E" w:rsidRDefault="00944B8F" w:rsidP="00C83D47">
            <w:pPr>
              <w:keepNext/>
              <w:jc w:val="center"/>
              <w:rPr>
                <w:szCs w:val="22"/>
              </w:rPr>
            </w:pPr>
            <w:r w:rsidRPr="00BC0E7E">
              <w:rPr>
                <w:szCs w:val="22"/>
              </w:rPr>
              <w:t>22 (57.9%)</w:t>
            </w:r>
          </w:p>
        </w:tc>
      </w:tr>
      <w:tr w:rsidR="00C6578C" w14:paraId="2DC39520" w14:textId="77777777" w:rsidTr="00C83D47">
        <w:trPr>
          <w:jc w:val="center"/>
        </w:trPr>
        <w:tc>
          <w:tcPr>
            <w:tcW w:w="0" w:type="auto"/>
            <w:tcBorders>
              <w:top w:val="single" w:sz="6" w:space="0" w:color="000000"/>
              <w:left w:val="single" w:sz="6" w:space="0" w:color="000000"/>
              <w:bottom w:val="single" w:sz="6" w:space="0" w:color="000000"/>
              <w:right w:val="outset" w:sz="6" w:space="0" w:color="auto"/>
            </w:tcBorders>
            <w:vAlign w:val="center"/>
          </w:tcPr>
          <w:p w14:paraId="42FE768B" w14:textId="77777777" w:rsidR="003B0C89" w:rsidRPr="00BC0E7E" w:rsidRDefault="00944B8F" w:rsidP="00C83D47">
            <w:pPr>
              <w:keepNext/>
              <w:rPr>
                <w:szCs w:val="22"/>
              </w:rPr>
            </w:pPr>
            <w:r w:rsidRPr="00BC0E7E">
              <w:rPr>
                <w:szCs w:val="22"/>
              </w:rPr>
              <w:t> </w:t>
            </w:r>
            <w:r w:rsidRPr="00BC0E7E">
              <w:rPr>
                <w:szCs w:val="22"/>
              </w:rPr>
              <w:t>PGA: Clear/minimal</w:t>
            </w:r>
            <w:r w:rsidRPr="00BC0E7E">
              <w:rPr>
                <w:szCs w:val="22"/>
                <w:vertAlign w:val="superscript"/>
              </w:rPr>
              <w:t>c</w:t>
            </w:r>
          </w:p>
        </w:tc>
        <w:tc>
          <w:tcPr>
            <w:tcW w:w="0" w:type="auto"/>
            <w:tcBorders>
              <w:top w:val="single" w:sz="6" w:space="0" w:color="000000"/>
              <w:left w:val="single" w:sz="6" w:space="0" w:color="000000"/>
              <w:bottom w:val="single" w:sz="6" w:space="0" w:color="000000"/>
              <w:right w:val="outset" w:sz="6" w:space="0" w:color="auto"/>
            </w:tcBorders>
            <w:vAlign w:val="center"/>
          </w:tcPr>
          <w:p w14:paraId="3716982D" w14:textId="77777777" w:rsidR="003B0C89" w:rsidRPr="00BC0E7E" w:rsidRDefault="00944B8F" w:rsidP="00C83D47">
            <w:pPr>
              <w:keepNext/>
              <w:jc w:val="center"/>
              <w:rPr>
                <w:szCs w:val="22"/>
              </w:rPr>
            </w:pPr>
            <w:r w:rsidRPr="00BC0E7E">
              <w:rPr>
                <w:szCs w:val="22"/>
              </w:rPr>
              <w:t>15 (40.5%)</w:t>
            </w:r>
          </w:p>
        </w:tc>
        <w:tc>
          <w:tcPr>
            <w:tcW w:w="1898" w:type="pct"/>
            <w:tcBorders>
              <w:top w:val="single" w:sz="6" w:space="0" w:color="000000"/>
              <w:left w:val="single" w:sz="6" w:space="0" w:color="000000"/>
              <w:bottom w:val="single" w:sz="6" w:space="0" w:color="000000"/>
              <w:right w:val="single" w:sz="6" w:space="0" w:color="000000"/>
            </w:tcBorders>
            <w:vAlign w:val="center"/>
          </w:tcPr>
          <w:p w14:paraId="78D8BC7A" w14:textId="77777777" w:rsidR="003B0C89" w:rsidRPr="00BC0E7E" w:rsidRDefault="00944B8F" w:rsidP="00C83D47">
            <w:pPr>
              <w:keepNext/>
              <w:jc w:val="center"/>
              <w:rPr>
                <w:szCs w:val="22"/>
              </w:rPr>
            </w:pPr>
            <w:r w:rsidRPr="00BC0E7E">
              <w:rPr>
                <w:szCs w:val="22"/>
              </w:rPr>
              <w:t>23 (60.5%)</w:t>
            </w:r>
          </w:p>
        </w:tc>
      </w:tr>
      <w:tr w:rsidR="00C6578C" w:rsidRPr="00173B45" w14:paraId="49D58540" w14:textId="77777777" w:rsidTr="00C83D47">
        <w:trPr>
          <w:jc w:val="center"/>
        </w:trPr>
        <w:tc>
          <w:tcPr>
            <w:tcW w:w="5000" w:type="pct"/>
            <w:gridSpan w:val="3"/>
            <w:tcBorders>
              <w:top w:val="single" w:sz="6" w:space="0" w:color="000000"/>
              <w:left w:val="single" w:sz="6" w:space="0" w:color="000000"/>
              <w:bottom w:val="single" w:sz="6" w:space="0" w:color="000000"/>
              <w:right w:val="single" w:sz="6" w:space="0" w:color="000000"/>
            </w:tcBorders>
            <w:vAlign w:val="center"/>
          </w:tcPr>
          <w:p w14:paraId="433CA964" w14:textId="77777777" w:rsidR="003B0C89" w:rsidRPr="00BC0E7E" w:rsidRDefault="00944B8F" w:rsidP="00C83D47">
            <w:pPr>
              <w:keepNext/>
              <w:rPr>
                <w:szCs w:val="22"/>
                <w:lang w:val="pt-BR"/>
              </w:rPr>
            </w:pPr>
            <w:r w:rsidRPr="00BC0E7E">
              <w:rPr>
                <w:szCs w:val="22"/>
                <w:vertAlign w:val="superscript"/>
                <w:lang w:val="pt-BR"/>
              </w:rPr>
              <w:t xml:space="preserve">a </w:t>
            </w:r>
            <w:r w:rsidRPr="00BC0E7E">
              <w:rPr>
                <w:szCs w:val="22"/>
                <w:lang w:val="pt-BR"/>
              </w:rPr>
              <w:t>MTX = methotrexate</w:t>
            </w:r>
          </w:p>
          <w:p w14:paraId="093B4716" w14:textId="77777777" w:rsidR="003B0C89" w:rsidRPr="00BC0E7E" w:rsidRDefault="00944B8F" w:rsidP="00C83D47">
            <w:pPr>
              <w:keepNext/>
              <w:rPr>
                <w:szCs w:val="22"/>
                <w:lang w:val="pt-BR"/>
              </w:rPr>
            </w:pPr>
            <w:r w:rsidRPr="00BC0E7E">
              <w:rPr>
                <w:szCs w:val="22"/>
                <w:vertAlign w:val="superscript"/>
                <w:lang w:val="pt-BR"/>
              </w:rPr>
              <w:t>b</w:t>
            </w:r>
            <w:r w:rsidRPr="00BC0E7E">
              <w:rPr>
                <w:szCs w:val="22"/>
                <w:lang w:val="pt-BR"/>
              </w:rPr>
              <w:t xml:space="preserve"> P=0.027, Humira 0.8 mg/kg versus MTX</w:t>
            </w:r>
          </w:p>
          <w:p w14:paraId="4222BDBB" w14:textId="77777777" w:rsidR="003B0C89" w:rsidRPr="00BC0E7E" w:rsidRDefault="00944B8F" w:rsidP="00C83D47">
            <w:pPr>
              <w:keepNext/>
              <w:rPr>
                <w:szCs w:val="22"/>
                <w:lang w:val="pt-BR"/>
              </w:rPr>
            </w:pPr>
            <w:r w:rsidRPr="00BC0E7E">
              <w:rPr>
                <w:szCs w:val="22"/>
                <w:vertAlign w:val="superscript"/>
                <w:lang w:val="pt-BR"/>
              </w:rPr>
              <w:t>c</w:t>
            </w:r>
            <w:r w:rsidRPr="00BC0E7E">
              <w:rPr>
                <w:szCs w:val="22"/>
                <w:lang w:val="pt-BR"/>
              </w:rPr>
              <w:t xml:space="preserve"> P=0.083, Humira 0.8 mg/kg versus MTX</w:t>
            </w:r>
          </w:p>
        </w:tc>
      </w:tr>
    </w:tbl>
    <w:p w14:paraId="1F65CBAF" w14:textId="77777777" w:rsidR="003B0C89" w:rsidRPr="00BC0E7E" w:rsidRDefault="003B0C89" w:rsidP="003B0C89">
      <w:pPr>
        <w:rPr>
          <w:szCs w:val="22"/>
          <w:lang w:val="de-DE"/>
        </w:rPr>
      </w:pPr>
    </w:p>
    <w:p w14:paraId="1F43AD7A" w14:textId="77777777" w:rsidR="003B0C89" w:rsidRPr="00BC0E7E" w:rsidRDefault="00944B8F" w:rsidP="003B0C89">
      <w:pPr>
        <w:rPr>
          <w:szCs w:val="22"/>
        </w:rPr>
      </w:pPr>
      <w:r w:rsidRPr="00BC0E7E">
        <w:rPr>
          <w:szCs w:val="22"/>
        </w:rPr>
        <w:t>Patients who achieved PASI 75 and PGA clear or minimal were withdrawn from treatment for up to 36 weeks and monitored for loss of disease control (</w:t>
      </w:r>
      <w:r w:rsidRPr="00BC0E7E">
        <w:t>i.e. a worsening of PGA by at least 2 grades</w:t>
      </w:r>
      <w:r w:rsidRPr="00BC0E7E">
        <w:rPr>
          <w:szCs w:val="22"/>
        </w:rPr>
        <w:t>).  Patients were then re-treated with adalimumab 0.8 mg/kg eow for an additional 16 weeks and response rates observed during retreatment were similar to the previous double-blind period:  PASI 75 response of 78.9% (15 of 19 subjects) and PGA clear or minimal of 52.6% (10 of 19 subjects).</w:t>
      </w:r>
    </w:p>
    <w:p w14:paraId="0262DDF1" w14:textId="77777777" w:rsidR="003B0C89" w:rsidRPr="00BC0E7E" w:rsidRDefault="003B0C89" w:rsidP="003B0C89">
      <w:pPr>
        <w:rPr>
          <w:szCs w:val="22"/>
        </w:rPr>
      </w:pPr>
    </w:p>
    <w:p w14:paraId="25E91801" w14:textId="77777777" w:rsidR="003B0C89" w:rsidRPr="00BC0E7E" w:rsidRDefault="00944B8F" w:rsidP="003B0C89">
      <w:pPr>
        <w:rPr>
          <w:rFonts w:eastAsia="TimesNewRoman"/>
          <w:szCs w:val="22"/>
        </w:rPr>
      </w:pPr>
      <w:r w:rsidRPr="00BC0E7E">
        <w:rPr>
          <w:szCs w:val="22"/>
        </w:rPr>
        <w:t>In the open label period of the study, PASI 75 and PGA clear or minimal responses were maintained for up to an additional 52 weeks with no</w:t>
      </w:r>
      <w:r w:rsidRPr="00BC0E7E">
        <w:rPr>
          <w:rFonts w:eastAsia="TimesNewRoman"/>
          <w:szCs w:val="22"/>
        </w:rPr>
        <w:t xml:space="preserve"> new safety findings.</w:t>
      </w:r>
    </w:p>
    <w:p w14:paraId="7A4AB3B5" w14:textId="77777777" w:rsidR="003B0C89" w:rsidRDefault="003B0C89" w:rsidP="00BC0E7E">
      <w:pPr>
        <w:rPr>
          <w:szCs w:val="22"/>
          <w:lang w:eastAsia="en-GB"/>
        </w:rPr>
      </w:pPr>
    </w:p>
    <w:p w14:paraId="1EDD1354" w14:textId="77777777" w:rsidR="00EF500B" w:rsidRPr="00BC0E7E" w:rsidRDefault="00944B8F" w:rsidP="00EF500B">
      <w:pPr>
        <w:rPr>
          <w:i/>
          <w:szCs w:val="20"/>
        </w:rPr>
      </w:pPr>
      <w:r w:rsidRPr="00BC0E7E">
        <w:rPr>
          <w:i/>
          <w:szCs w:val="20"/>
        </w:rPr>
        <w:t>Adolescent hidradenitis suppurativa</w:t>
      </w:r>
    </w:p>
    <w:p w14:paraId="223B38A3" w14:textId="77777777" w:rsidR="00EF500B" w:rsidRPr="00BC0E7E" w:rsidRDefault="00EF500B" w:rsidP="00EF500B">
      <w:pPr>
        <w:rPr>
          <w:i/>
          <w:szCs w:val="20"/>
        </w:rPr>
      </w:pPr>
    </w:p>
    <w:p w14:paraId="54F884C1" w14:textId="77777777" w:rsidR="00EF500B" w:rsidRPr="00BC0E7E" w:rsidRDefault="00944B8F" w:rsidP="00EF500B">
      <w:pPr>
        <w:rPr>
          <w:rFonts w:cs="Calibri"/>
          <w:szCs w:val="20"/>
        </w:rPr>
      </w:pPr>
      <w:r w:rsidRPr="00BC0E7E">
        <w:rPr>
          <w:rFonts w:cs="Calibri"/>
          <w:szCs w:val="20"/>
        </w:rPr>
        <w:t>There are no clinical trials with Humira in adolescent patients with HS.  E</w:t>
      </w:r>
      <w:r w:rsidRPr="00BC0E7E">
        <w:rPr>
          <w:rFonts w:cs="Calibri"/>
          <w:iCs/>
          <w:szCs w:val="20"/>
        </w:rPr>
        <w:t xml:space="preserve">fficacy of adalimumab for the treatment of adolescent patients with HS is predicted based on the demonstrated efficacy and exposure-response relationship in adult HS patients and the likelihood that the disease course, pathophysiology, and drug effects are substantially similar to that of adults at the same exposure levels. Safety of the recommended adalimumab dose in the adolescent HS population is based on cross-indication safety profile of adalimumab in both adults and paediatric patients at similar or more frequent doses </w:t>
      </w:r>
      <w:r w:rsidRPr="00BC0E7E">
        <w:rPr>
          <w:rFonts w:cs="Calibri"/>
          <w:szCs w:val="20"/>
        </w:rPr>
        <w:t>(see section 5.2).</w:t>
      </w:r>
    </w:p>
    <w:p w14:paraId="5D09BB26" w14:textId="77777777" w:rsidR="00EF500B" w:rsidRPr="00BC0E7E" w:rsidRDefault="00EF500B" w:rsidP="00EF500B">
      <w:pPr>
        <w:rPr>
          <w:rFonts w:eastAsia="TimesNewRoman"/>
          <w:szCs w:val="22"/>
        </w:rPr>
      </w:pPr>
    </w:p>
    <w:p w14:paraId="595D953E" w14:textId="77777777" w:rsidR="003B0C89" w:rsidRPr="00BC0E7E" w:rsidRDefault="00944B8F" w:rsidP="003B0C89">
      <w:pPr>
        <w:keepNext/>
        <w:rPr>
          <w:i/>
          <w:szCs w:val="20"/>
        </w:rPr>
      </w:pPr>
      <w:r w:rsidRPr="002E42DA">
        <w:rPr>
          <w:i/>
          <w:szCs w:val="20"/>
        </w:rPr>
        <w:lastRenderedPageBreak/>
        <w:t>Paediatric Crohn’s disease</w:t>
      </w:r>
      <w:r w:rsidRPr="00BC0E7E">
        <w:rPr>
          <w:i/>
          <w:szCs w:val="20"/>
        </w:rPr>
        <w:t xml:space="preserve"> </w:t>
      </w:r>
    </w:p>
    <w:p w14:paraId="76334FB3" w14:textId="77777777" w:rsidR="003B0C89" w:rsidRPr="00BC0E7E" w:rsidRDefault="003B0C89" w:rsidP="003B0C89">
      <w:pPr>
        <w:keepNext/>
        <w:jc w:val="both"/>
        <w:rPr>
          <w:sz w:val="16"/>
          <w:szCs w:val="16"/>
        </w:rPr>
      </w:pPr>
    </w:p>
    <w:p w14:paraId="2985809D" w14:textId="77777777" w:rsidR="003B0C89" w:rsidRPr="00BC0E7E" w:rsidRDefault="00944B8F" w:rsidP="003B0C89">
      <w:pPr>
        <w:keepNext/>
        <w:keepLines/>
        <w:rPr>
          <w:szCs w:val="22"/>
        </w:rPr>
      </w:pPr>
      <w:r w:rsidRPr="00BC0E7E">
        <w:rPr>
          <w:szCs w:val="22"/>
        </w:rPr>
        <w:t xml:space="preserve">Humira was assessed in a multicentre, randomised, double-blind clinical trial designed to evaluate the efficacy and safety of induction and maintenance treatment with doses dependent on body weight (&lt; 40 kg or ≥ 40 kg) in 192 paediatric subjects between the ages of 6 and 17 (inclusive) years, with moderate to severe Crohn´s disease (CD) defined as Paediatric Crohn's Disease Activity Index (PCDAI) score &gt; 30.  Subjects had to have failed conventional therapy (including a corticosteroid and/or an immunomodulator) for CD. Subjects may also have previously lost response or been intolerant to infliximab. </w:t>
      </w:r>
    </w:p>
    <w:p w14:paraId="01A3C0CF" w14:textId="77777777" w:rsidR="003B0C89" w:rsidRPr="00BC0E7E" w:rsidRDefault="003B0C89" w:rsidP="003B0C89">
      <w:pPr>
        <w:keepNext/>
        <w:keepLines/>
      </w:pPr>
    </w:p>
    <w:p w14:paraId="02287A67" w14:textId="77777777" w:rsidR="003B0C89" w:rsidRPr="00BC0E7E" w:rsidRDefault="00944B8F" w:rsidP="003B0C89">
      <w:pPr>
        <w:tabs>
          <w:tab w:val="left" w:pos="1294"/>
        </w:tabs>
        <w:autoSpaceDE w:val="0"/>
        <w:autoSpaceDN w:val="0"/>
        <w:adjustRightInd w:val="0"/>
      </w:pPr>
      <w:r w:rsidRPr="00BC0E7E">
        <w:t>All subjects received open-label induction therapy at a dose based on their Baseline body weight: 160 mg at Week 0 and 80 mg at Week 2 for subjects ≥ 40 kg, and 80 mg and 40 mg, respectively, for subjects &lt; 40 kg.</w:t>
      </w:r>
    </w:p>
    <w:p w14:paraId="65EC738B" w14:textId="77777777" w:rsidR="003B0C89" w:rsidRPr="00BC0E7E" w:rsidRDefault="003B0C89" w:rsidP="003B0C89">
      <w:pPr>
        <w:tabs>
          <w:tab w:val="left" w:pos="1294"/>
        </w:tabs>
        <w:autoSpaceDE w:val="0"/>
        <w:autoSpaceDN w:val="0"/>
        <w:adjustRightInd w:val="0"/>
      </w:pPr>
    </w:p>
    <w:p w14:paraId="3B1994B1" w14:textId="77777777" w:rsidR="003B0C89" w:rsidRPr="00BC0E7E" w:rsidRDefault="00944B8F" w:rsidP="003B0C89">
      <w:pPr>
        <w:rPr>
          <w:szCs w:val="20"/>
        </w:rPr>
      </w:pPr>
      <w:r w:rsidRPr="00BC0E7E">
        <w:rPr>
          <w:szCs w:val="20"/>
        </w:rPr>
        <w:t xml:space="preserve">At Week 4, subjects were randomised 1:1 based on their body weight at the time to either the Low Dose or Standard Dose maintenance regimens as shown in Table </w:t>
      </w:r>
      <w:r>
        <w:rPr>
          <w:szCs w:val="20"/>
        </w:rPr>
        <w:t>2</w:t>
      </w:r>
      <w:r w:rsidR="003D1485">
        <w:rPr>
          <w:szCs w:val="20"/>
        </w:rPr>
        <w:t>8</w:t>
      </w:r>
      <w:r w:rsidRPr="00BC0E7E">
        <w:rPr>
          <w:szCs w:val="20"/>
        </w:rPr>
        <w:t>.</w:t>
      </w:r>
    </w:p>
    <w:p w14:paraId="5F6A18D3" w14:textId="77777777" w:rsidR="003B0C89" w:rsidRPr="00BC0E7E" w:rsidRDefault="003B0C89" w:rsidP="003B0C89">
      <w:pPr>
        <w:rPr>
          <w:szCs w:val="20"/>
        </w:rPr>
      </w:pPr>
    </w:p>
    <w:tbl>
      <w:tblPr>
        <w:tblW w:w="0" w:type="auto"/>
        <w:jc w:val="center"/>
        <w:tblLook w:val="01E0" w:firstRow="1" w:lastRow="1" w:firstColumn="1" w:lastColumn="1" w:noHBand="0" w:noVBand="0"/>
      </w:tblPr>
      <w:tblGrid>
        <w:gridCol w:w="988"/>
        <w:gridCol w:w="1210"/>
        <w:gridCol w:w="1210"/>
      </w:tblGrid>
      <w:tr w:rsidR="00C6578C" w14:paraId="2724C1B0" w14:textId="77777777" w:rsidTr="00C83D47">
        <w:trPr>
          <w:trHeight w:val="263"/>
          <w:jc w:val="center"/>
        </w:trPr>
        <w:tc>
          <w:tcPr>
            <w:tcW w:w="3408" w:type="dxa"/>
            <w:gridSpan w:val="3"/>
          </w:tcPr>
          <w:p w14:paraId="04473E48" w14:textId="77777777" w:rsidR="003B0C89" w:rsidRPr="00BC0E7E" w:rsidRDefault="00944B8F" w:rsidP="00C83D47">
            <w:pPr>
              <w:jc w:val="center"/>
              <w:rPr>
                <w:b/>
              </w:rPr>
            </w:pPr>
            <w:r w:rsidRPr="00BC0E7E">
              <w:rPr>
                <w:b/>
              </w:rPr>
              <w:t xml:space="preserve">Table </w:t>
            </w:r>
            <w:r>
              <w:rPr>
                <w:b/>
              </w:rPr>
              <w:t>2</w:t>
            </w:r>
            <w:r w:rsidR="003D1485">
              <w:rPr>
                <w:b/>
              </w:rPr>
              <w:t>8</w:t>
            </w:r>
          </w:p>
          <w:p w14:paraId="3C2D0BA6" w14:textId="77777777" w:rsidR="003B0C89" w:rsidRPr="00BC0E7E" w:rsidRDefault="00944B8F" w:rsidP="00C83D47">
            <w:pPr>
              <w:jc w:val="center"/>
            </w:pPr>
            <w:r w:rsidRPr="00BC0E7E">
              <w:rPr>
                <w:b/>
              </w:rPr>
              <w:t>Maintenance regimen</w:t>
            </w:r>
          </w:p>
        </w:tc>
      </w:tr>
      <w:tr w:rsidR="00C6578C" w14:paraId="7E8D40F8" w14:textId="77777777" w:rsidTr="00C83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8" w:type="dxa"/>
          </w:tcPr>
          <w:p w14:paraId="4827435F" w14:textId="77777777" w:rsidR="003B0C89" w:rsidRPr="00BC0E7E" w:rsidRDefault="00944B8F" w:rsidP="00C83D47">
            <w:pPr>
              <w:rPr>
                <w:b/>
              </w:rPr>
            </w:pPr>
            <w:r w:rsidRPr="00BC0E7E">
              <w:rPr>
                <w:b/>
              </w:rPr>
              <w:t>Patient Weight</w:t>
            </w:r>
          </w:p>
        </w:tc>
        <w:tc>
          <w:tcPr>
            <w:tcW w:w="1210" w:type="dxa"/>
          </w:tcPr>
          <w:p w14:paraId="25506376" w14:textId="77777777" w:rsidR="003B0C89" w:rsidRPr="00BC0E7E" w:rsidRDefault="00944B8F" w:rsidP="00C83D47">
            <w:pPr>
              <w:rPr>
                <w:b/>
              </w:rPr>
            </w:pPr>
            <w:r w:rsidRPr="00BC0E7E">
              <w:rPr>
                <w:b/>
              </w:rPr>
              <w:t>Low dose</w:t>
            </w:r>
          </w:p>
        </w:tc>
        <w:tc>
          <w:tcPr>
            <w:tcW w:w="1210" w:type="dxa"/>
          </w:tcPr>
          <w:p w14:paraId="18047871" w14:textId="77777777" w:rsidR="003B0C89" w:rsidRPr="00BC0E7E" w:rsidRDefault="00944B8F" w:rsidP="00C83D47">
            <w:pPr>
              <w:rPr>
                <w:b/>
              </w:rPr>
            </w:pPr>
            <w:r w:rsidRPr="00BC0E7E">
              <w:rPr>
                <w:b/>
              </w:rPr>
              <w:t>Standard dose</w:t>
            </w:r>
          </w:p>
        </w:tc>
      </w:tr>
      <w:tr w:rsidR="00C6578C" w14:paraId="3A95C1A6" w14:textId="77777777" w:rsidTr="00C83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8" w:type="dxa"/>
          </w:tcPr>
          <w:p w14:paraId="0C025399" w14:textId="77777777" w:rsidR="003B0C89" w:rsidRPr="00BC0E7E" w:rsidRDefault="00944B8F" w:rsidP="00C83D47">
            <w:r w:rsidRPr="00BC0E7E">
              <w:t>&lt; 40 kg</w:t>
            </w:r>
          </w:p>
        </w:tc>
        <w:tc>
          <w:tcPr>
            <w:tcW w:w="1210" w:type="dxa"/>
          </w:tcPr>
          <w:p w14:paraId="504DBE77" w14:textId="77777777" w:rsidR="003B0C89" w:rsidRPr="00BC0E7E" w:rsidRDefault="00944B8F" w:rsidP="00C83D47">
            <w:r w:rsidRPr="00BC0E7E">
              <w:t>10 mg eow</w:t>
            </w:r>
          </w:p>
        </w:tc>
        <w:tc>
          <w:tcPr>
            <w:tcW w:w="1210" w:type="dxa"/>
          </w:tcPr>
          <w:p w14:paraId="5190C9AD" w14:textId="77777777" w:rsidR="003B0C89" w:rsidRPr="00BC0E7E" w:rsidRDefault="00944B8F" w:rsidP="00C83D47">
            <w:r w:rsidRPr="00BC0E7E">
              <w:t>20 mg eow</w:t>
            </w:r>
          </w:p>
        </w:tc>
      </w:tr>
      <w:tr w:rsidR="00C6578C" w14:paraId="0F62ADF1" w14:textId="77777777" w:rsidTr="00C83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8" w:type="dxa"/>
          </w:tcPr>
          <w:p w14:paraId="1E32C1F1" w14:textId="77777777" w:rsidR="003B0C89" w:rsidRPr="00BC0E7E" w:rsidRDefault="00944B8F" w:rsidP="00C83D47">
            <w:r w:rsidRPr="00BC0E7E">
              <w:t>≥ 40 kg</w:t>
            </w:r>
          </w:p>
        </w:tc>
        <w:tc>
          <w:tcPr>
            <w:tcW w:w="1210" w:type="dxa"/>
          </w:tcPr>
          <w:p w14:paraId="1C46FCB7" w14:textId="77777777" w:rsidR="003B0C89" w:rsidRPr="00BC0E7E" w:rsidRDefault="00944B8F" w:rsidP="00C83D47">
            <w:r w:rsidRPr="00BC0E7E">
              <w:t>20 mg eow</w:t>
            </w:r>
          </w:p>
        </w:tc>
        <w:tc>
          <w:tcPr>
            <w:tcW w:w="1210" w:type="dxa"/>
          </w:tcPr>
          <w:p w14:paraId="6A59BADD" w14:textId="77777777" w:rsidR="003B0C89" w:rsidRPr="00BC0E7E" w:rsidRDefault="00944B8F" w:rsidP="00C83D47">
            <w:r w:rsidRPr="00BC0E7E">
              <w:t>40 mg eow</w:t>
            </w:r>
          </w:p>
        </w:tc>
      </w:tr>
    </w:tbl>
    <w:p w14:paraId="57B7C17A" w14:textId="77777777" w:rsidR="003B0C89" w:rsidRPr="00BC0E7E" w:rsidRDefault="003B0C89" w:rsidP="003B0C89"/>
    <w:p w14:paraId="3F8657BC" w14:textId="77777777" w:rsidR="003B0C89" w:rsidRPr="00BC0E7E" w:rsidRDefault="00944B8F" w:rsidP="003B0C89">
      <w:pPr>
        <w:rPr>
          <w:i/>
          <w:u w:val="single"/>
        </w:rPr>
      </w:pPr>
      <w:r w:rsidRPr="00BC0E7E">
        <w:rPr>
          <w:i/>
          <w:u w:val="single"/>
        </w:rPr>
        <w:t>Efficacy results</w:t>
      </w:r>
    </w:p>
    <w:p w14:paraId="1FE0AF26" w14:textId="77777777" w:rsidR="003B0C89" w:rsidRPr="00BC0E7E" w:rsidRDefault="003B0C89" w:rsidP="003B0C89"/>
    <w:p w14:paraId="09AC1535" w14:textId="77777777" w:rsidR="003B0C89" w:rsidRPr="00BC0E7E" w:rsidRDefault="00944B8F" w:rsidP="003B0C89">
      <w:pPr>
        <w:tabs>
          <w:tab w:val="clear" w:pos="562"/>
        </w:tabs>
        <w:suppressAutoHyphens w:val="0"/>
        <w:autoSpaceDE w:val="0"/>
        <w:autoSpaceDN w:val="0"/>
        <w:adjustRightInd w:val="0"/>
      </w:pPr>
      <w:r w:rsidRPr="00BC0E7E">
        <w:t xml:space="preserve">The primary endpoint of the study was clinical remission at Week 26, defined as PCDAI score </w:t>
      </w:r>
      <w:r w:rsidRPr="00BC0E7E">
        <w:rPr>
          <w:rFonts w:ascii="Symbol" w:eastAsia="Symbol" w:hAnsi="Symbol" w:cs="Symbol"/>
        </w:rPr>
        <w:sym w:font="Symbol" w:char="F0A3"/>
      </w:r>
      <w:r w:rsidRPr="00BC0E7E">
        <w:t> 10.</w:t>
      </w:r>
    </w:p>
    <w:p w14:paraId="29B641E9" w14:textId="77777777" w:rsidR="003B0C89" w:rsidRPr="00BC0E7E" w:rsidRDefault="003B0C89" w:rsidP="003B0C89"/>
    <w:p w14:paraId="500B4F33" w14:textId="77777777" w:rsidR="003B0C89" w:rsidRPr="00BC0E7E" w:rsidRDefault="00944B8F" w:rsidP="003B0C89">
      <w:pPr>
        <w:tabs>
          <w:tab w:val="clear" w:pos="562"/>
        </w:tabs>
        <w:suppressAutoHyphens w:val="0"/>
        <w:autoSpaceDE w:val="0"/>
        <w:autoSpaceDN w:val="0"/>
        <w:adjustRightInd w:val="0"/>
      </w:pPr>
      <w:r w:rsidRPr="00BC0E7E">
        <w:t xml:space="preserve">Clinical remission and clinical response (defined as reduction in PCDAI score of at least 15 points from Baseline) rates are presented in Table </w:t>
      </w:r>
      <w:r>
        <w:t>2</w:t>
      </w:r>
      <w:r w:rsidR="003D1485">
        <w:t>9</w:t>
      </w:r>
      <w:r w:rsidRPr="00BC0E7E">
        <w:t xml:space="preserve">. Rates of discontinuation of corticosteroids or immunomodulators are presented in Table </w:t>
      </w:r>
      <w:r w:rsidR="003D1485">
        <w:t>30</w:t>
      </w:r>
      <w:r w:rsidRPr="00BC0E7E">
        <w:t>.</w:t>
      </w:r>
    </w:p>
    <w:p w14:paraId="5CEA4346" w14:textId="77777777" w:rsidR="003B0C89" w:rsidRPr="00BC0E7E" w:rsidRDefault="003B0C89" w:rsidP="003B0C89">
      <w:pPr>
        <w:tabs>
          <w:tab w:val="clear" w:pos="562"/>
        </w:tabs>
        <w:suppressAutoHyphens w:val="0"/>
        <w:autoSpaceDE w:val="0"/>
        <w:autoSpaceDN w:val="0"/>
        <w:adjustRightInd w:val="0"/>
        <w:rPr>
          <w:rFonts w:ascii="Tms Rmn" w:hAnsi="Tms Rmn"/>
          <w:sz w:val="24"/>
        </w:rPr>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C6578C" w14:paraId="104C7FA2" w14:textId="77777777" w:rsidTr="00C83D47">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2223B5EA" w14:textId="77777777" w:rsidR="003B0C89" w:rsidRPr="00BC0E7E" w:rsidRDefault="00944B8F" w:rsidP="00C83D47">
            <w:pPr>
              <w:keepNext/>
              <w:tabs>
                <w:tab w:val="clear" w:pos="562"/>
                <w:tab w:val="left" w:pos="-878"/>
              </w:tabs>
              <w:suppressAutoHyphens w:val="0"/>
              <w:autoSpaceDE w:val="0"/>
              <w:autoSpaceDN w:val="0"/>
              <w:adjustRightInd w:val="0"/>
              <w:ind w:left="15"/>
              <w:jc w:val="center"/>
              <w:rPr>
                <w:b/>
                <w:bCs/>
              </w:rPr>
            </w:pPr>
            <w:r w:rsidRPr="00BC0E7E">
              <w:rPr>
                <w:b/>
                <w:bCs/>
                <w:szCs w:val="22"/>
              </w:rPr>
              <w:t xml:space="preserve">Table </w:t>
            </w:r>
            <w:r>
              <w:rPr>
                <w:b/>
                <w:bCs/>
                <w:szCs w:val="22"/>
              </w:rPr>
              <w:t>2</w:t>
            </w:r>
            <w:r w:rsidR="003D1485">
              <w:rPr>
                <w:b/>
                <w:bCs/>
                <w:szCs w:val="22"/>
              </w:rPr>
              <w:t>9</w:t>
            </w:r>
          </w:p>
          <w:p w14:paraId="4F06918C" w14:textId="77777777" w:rsidR="003B0C89" w:rsidRPr="00BC0E7E" w:rsidRDefault="00944B8F" w:rsidP="00C83D47">
            <w:pPr>
              <w:keepNext/>
              <w:tabs>
                <w:tab w:val="clear" w:pos="562"/>
                <w:tab w:val="left" w:pos="-878"/>
              </w:tabs>
              <w:suppressAutoHyphens w:val="0"/>
              <w:autoSpaceDE w:val="0"/>
              <w:autoSpaceDN w:val="0"/>
              <w:adjustRightInd w:val="0"/>
              <w:ind w:left="15"/>
              <w:jc w:val="center"/>
              <w:rPr>
                <w:b/>
                <w:bCs/>
              </w:rPr>
            </w:pPr>
            <w:r w:rsidRPr="00BC0E7E">
              <w:rPr>
                <w:b/>
                <w:bCs/>
                <w:szCs w:val="22"/>
              </w:rPr>
              <w:t>Paediatric CD Study</w:t>
            </w:r>
          </w:p>
          <w:p w14:paraId="4A0A82E6" w14:textId="77777777" w:rsidR="003B0C89" w:rsidRPr="00BC0E7E" w:rsidRDefault="00944B8F" w:rsidP="00C83D47">
            <w:pPr>
              <w:keepNext/>
              <w:tabs>
                <w:tab w:val="clear" w:pos="562"/>
                <w:tab w:val="left" w:pos="-878"/>
              </w:tabs>
              <w:suppressAutoHyphens w:val="0"/>
              <w:autoSpaceDE w:val="0"/>
              <w:autoSpaceDN w:val="0"/>
              <w:adjustRightInd w:val="0"/>
              <w:ind w:left="15"/>
              <w:jc w:val="center"/>
              <w:rPr>
                <w:b/>
                <w:bCs/>
              </w:rPr>
            </w:pPr>
            <w:r w:rsidRPr="00BC0E7E">
              <w:rPr>
                <w:b/>
                <w:bCs/>
                <w:szCs w:val="22"/>
              </w:rPr>
              <w:t>PCDAI Clinical Remission and Response</w:t>
            </w:r>
          </w:p>
        </w:tc>
      </w:tr>
      <w:tr w:rsidR="00C6578C" w14:paraId="66F33942" w14:textId="77777777" w:rsidTr="00C83D47">
        <w:trPr>
          <w:jc w:val="center"/>
        </w:trPr>
        <w:tc>
          <w:tcPr>
            <w:tcW w:w="2321" w:type="dxa"/>
            <w:tcBorders>
              <w:top w:val="single" w:sz="6" w:space="0" w:color="000000"/>
              <w:left w:val="single" w:sz="6" w:space="0" w:color="000000"/>
              <w:bottom w:val="single" w:sz="6" w:space="0" w:color="000000"/>
              <w:right w:val="single" w:sz="6" w:space="0" w:color="000000"/>
            </w:tcBorders>
          </w:tcPr>
          <w:p w14:paraId="61C927AA" w14:textId="77777777" w:rsidR="003B0C89" w:rsidRPr="00BC0E7E" w:rsidRDefault="003B0C89" w:rsidP="00C83D47">
            <w:pPr>
              <w:keepNext/>
              <w:keepLines/>
              <w:tabs>
                <w:tab w:val="clear" w:pos="562"/>
                <w:tab w:val="left" w:pos="-1080"/>
              </w:tabs>
              <w:suppressAutoHyphens w:val="0"/>
              <w:autoSpaceDE w:val="0"/>
              <w:autoSpaceDN w:val="0"/>
              <w:adjustRightInd w:val="0"/>
              <w:ind w:left="15"/>
              <w:jc w:val="center"/>
              <w:rPr>
                <w:b/>
                <w:bCs/>
              </w:rPr>
            </w:pPr>
          </w:p>
        </w:tc>
        <w:tc>
          <w:tcPr>
            <w:tcW w:w="1614" w:type="dxa"/>
            <w:tcBorders>
              <w:top w:val="single" w:sz="6" w:space="0" w:color="000000"/>
              <w:left w:val="single" w:sz="6" w:space="0" w:color="000000"/>
              <w:bottom w:val="single" w:sz="6" w:space="0" w:color="000000"/>
              <w:right w:val="single" w:sz="6" w:space="0" w:color="000000"/>
            </w:tcBorders>
          </w:tcPr>
          <w:p w14:paraId="7D039F56"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rPr>
                <w:b/>
                <w:bCs/>
                <w:lang w:val="de-DE"/>
              </w:rPr>
            </w:pPr>
            <w:r w:rsidRPr="00BC0E7E">
              <w:rPr>
                <w:b/>
                <w:bCs/>
                <w:szCs w:val="22"/>
                <w:lang w:val="de-DE"/>
              </w:rPr>
              <w:t>Standard Dose</w:t>
            </w:r>
          </w:p>
          <w:p w14:paraId="0F04ACBE"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rPr>
                <w:b/>
                <w:bCs/>
                <w:lang w:val="de-DE"/>
              </w:rPr>
            </w:pPr>
            <w:r w:rsidRPr="00BC0E7E">
              <w:rPr>
                <w:b/>
                <w:bCs/>
                <w:szCs w:val="22"/>
                <w:lang w:val="de-DE"/>
              </w:rPr>
              <w:t xml:space="preserve">40/20 mg eow </w:t>
            </w:r>
          </w:p>
          <w:p w14:paraId="4163AA4C"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rPr>
                <w:b/>
                <w:bCs/>
                <w:lang w:val="de-DE"/>
              </w:rPr>
            </w:pPr>
            <w:r w:rsidRPr="00BC0E7E">
              <w:rPr>
                <w:b/>
                <w:bCs/>
                <w:szCs w:val="22"/>
                <w:lang w:val="de-DE"/>
              </w:rPr>
              <w:t>N = 93</w:t>
            </w:r>
          </w:p>
        </w:tc>
        <w:tc>
          <w:tcPr>
            <w:tcW w:w="1591" w:type="dxa"/>
            <w:tcBorders>
              <w:top w:val="single" w:sz="6" w:space="0" w:color="000000"/>
              <w:left w:val="single" w:sz="6" w:space="0" w:color="000000"/>
              <w:bottom w:val="single" w:sz="6" w:space="0" w:color="000000"/>
              <w:right w:val="single" w:sz="6" w:space="0" w:color="000000"/>
            </w:tcBorders>
          </w:tcPr>
          <w:p w14:paraId="27890512"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rPr>
                <w:b/>
                <w:bCs/>
              </w:rPr>
            </w:pPr>
            <w:r w:rsidRPr="00BC0E7E">
              <w:rPr>
                <w:b/>
                <w:bCs/>
                <w:szCs w:val="22"/>
              </w:rPr>
              <w:t>Low Dose</w:t>
            </w:r>
          </w:p>
          <w:p w14:paraId="4E9446C0"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rPr>
                <w:b/>
                <w:bCs/>
              </w:rPr>
            </w:pPr>
            <w:r w:rsidRPr="00BC0E7E">
              <w:rPr>
                <w:b/>
                <w:bCs/>
                <w:szCs w:val="22"/>
              </w:rPr>
              <w:t xml:space="preserve">20/10 mg eow </w:t>
            </w:r>
          </w:p>
          <w:p w14:paraId="296B0AF8"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rPr>
                <w:b/>
                <w:bCs/>
              </w:rPr>
            </w:pPr>
            <w:r w:rsidRPr="00BC0E7E">
              <w:rPr>
                <w:b/>
                <w:bCs/>
                <w:szCs w:val="22"/>
              </w:rPr>
              <w:t>N = 95</w:t>
            </w:r>
          </w:p>
        </w:tc>
        <w:tc>
          <w:tcPr>
            <w:tcW w:w="1147" w:type="dxa"/>
            <w:tcBorders>
              <w:top w:val="single" w:sz="6" w:space="0" w:color="000000"/>
              <w:left w:val="single" w:sz="6" w:space="0" w:color="000000"/>
              <w:bottom w:val="single" w:sz="6" w:space="0" w:color="000000"/>
              <w:right w:val="single" w:sz="6" w:space="0" w:color="000000"/>
            </w:tcBorders>
          </w:tcPr>
          <w:p w14:paraId="0A90900F"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b/>
                <w:bCs/>
                <w:szCs w:val="22"/>
              </w:rPr>
              <w:t>P value</w:t>
            </w:r>
            <w:r w:rsidRPr="00BC0E7E">
              <w:rPr>
                <w:szCs w:val="22"/>
              </w:rPr>
              <w:t>*</w:t>
            </w:r>
          </w:p>
        </w:tc>
      </w:tr>
      <w:tr w:rsidR="00C6578C" w14:paraId="00453F7D" w14:textId="77777777" w:rsidTr="00C83D47">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1BE88074" w14:textId="77777777" w:rsidR="003B0C89" w:rsidRPr="00BC0E7E" w:rsidRDefault="00944B8F" w:rsidP="00C83D47">
            <w:pPr>
              <w:keepNext/>
              <w:keepLines/>
              <w:tabs>
                <w:tab w:val="clear" w:pos="562"/>
                <w:tab w:val="left" w:pos="-1080"/>
              </w:tabs>
              <w:suppressAutoHyphens w:val="0"/>
              <w:autoSpaceDE w:val="0"/>
              <w:autoSpaceDN w:val="0"/>
              <w:adjustRightInd w:val="0"/>
              <w:ind w:left="15"/>
              <w:rPr>
                <w:b/>
                <w:bCs/>
              </w:rPr>
            </w:pPr>
            <w:r w:rsidRPr="00BC0E7E">
              <w:rPr>
                <w:b/>
                <w:bCs/>
                <w:szCs w:val="22"/>
              </w:rPr>
              <w:t>Week 26</w:t>
            </w:r>
          </w:p>
        </w:tc>
        <w:tc>
          <w:tcPr>
            <w:tcW w:w="1614" w:type="dxa"/>
            <w:tcBorders>
              <w:top w:val="single" w:sz="6" w:space="0" w:color="000000"/>
              <w:left w:val="single" w:sz="6" w:space="0" w:color="000000"/>
              <w:bottom w:val="single" w:sz="6" w:space="0" w:color="000000"/>
              <w:right w:val="single" w:sz="6" w:space="0" w:color="000000"/>
            </w:tcBorders>
            <w:vAlign w:val="bottom"/>
          </w:tcPr>
          <w:p w14:paraId="4194B60F" w14:textId="77777777" w:rsidR="003B0C89" w:rsidRPr="00BC0E7E" w:rsidRDefault="003B0C89" w:rsidP="00C83D47">
            <w:pPr>
              <w:keepNext/>
              <w:keepLines/>
              <w:tabs>
                <w:tab w:val="clear" w:pos="562"/>
                <w:tab w:val="left" w:pos="-1080"/>
              </w:tabs>
              <w:suppressAutoHyphens w:val="0"/>
              <w:autoSpaceDE w:val="0"/>
              <w:autoSpaceDN w:val="0"/>
              <w:adjustRightInd w:val="0"/>
              <w:ind w:left="15"/>
              <w:jc w:val="center"/>
              <w:rPr>
                <w:b/>
                <w:bCs/>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01194814" w14:textId="77777777" w:rsidR="003B0C89" w:rsidRPr="00BC0E7E" w:rsidRDefault="003B0C89" w:rsidP="00C83D47">
            <w:pPr>
              <w:keepNext/>
              <w:keepLines/>
              <w:tabs>
                <w:tab w:val="clear" w:pos="562"/>
                <w:tab w:val="left" w:pos="-1080"/>
              </w:tabs>
              <w:suppressAutoHyphens w:val="0"/>
              <w:autoSpaceDE w:val="0"/>
              <w:autoSpaceDN w:val="0"/>
              <w:adjustRightInd w:val="0"/>
              <w:ind w:left="15"/>
              <w:jc w:val="center"/>
              <w:rPr>
                <w:b/>
                <w:bCs/>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41EEC696" w14:textId="77777777" w:rsidR="003B0C89" w:rsidRPr="00BC0E7E" w:rsidRDefault="003B0C89" w:rsidP="00C83D47">
            <w:pPr>
              <w:keepNext/>
              <w:tabs>
                <w:tab w:val="clear" w:pos="562"/>
              </w:tabs>
              <w:suppressAutoHyphens w:val="0"/>
              <w:autoSpaceDE w:val="0"/>
              <w:autoSpaceDN w:val="0"/>
              <w:adjustRightInd w:val="0"/>
              <w:ind w:left="15"/>
              <w:rPr>
                <w:b/>
                <w:bCs/>
              </w:rPr>
            </w:pPr>
          </w:p>
        </w:tc>
      </w:tr>
      <w:tr w:rsidR="00C6578C" w14:paraId="10BBDD97" w14:textId="77777777" w:rsidTr="00C83D47">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7BA158ED" w14:textId="77777777" w:rsidR="003B0C89" w:rsidRPr="00BC0E7E" w:rsidRDefault="00944B8F" w:rsidP="00C83D47">
            <w:pPr>
              <w:keepNext/>
              <w:keepLines/>
              <w:tabs>
                <w:tab w:val="clear" w:pos="562"/>
                <w:tab w:val="left" w:pos="-1080"/>
              </w:tabs>
              <w:suppressAutoHyphens w:val="0"/>
              <w:autoSpaceDE w:val="0"/>
              <w:autoSpaceDN w:val="0"/>
              <w:adjustRightInd w:val="0"/>
              <w:ind w:left="15"/>
            </w:pPr>
            <w:r w:rsidRPr="00BC0E7E">
              <w:rPr>
                <w:szCs w:val="22"/>
              </w:rPr>
              <w:t xml:space="preserve">   Clinical remission</w:t>
            </w:r>
          </w:p>
        </w:tc>
        <w:tc>
          <w:tcPr>
            <w:tcW w:w="1614" w:type="dxa"/>
            <w:tcBorders>
              <w:top w:val="single" w:sz="6" w:space="0" w:color="000000"/>
              <w:left w:val="single" w:sz="6" w:space="0" w:color="000000"/>
              <w:bottom w:val="single" w:sz="6" w:space="0" w:color="000000"/>
              <w:right w:val="single" w:sz="6" w:space="0" w:color="000000"/>
            </w:tcBorders>
            <w:vAlign w:val="bottom"/>
          </w:tcPr>
          <w:p w14:paraId="77DD76FA"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szCs w:val="22"/>
              </w:rPr>
              <w:t>38.7%</w:t>
            </w:r>
          </w:p>
        </w:tc>
        <w:tc>
          <w:tcPr>
            <w:tcW w:w="1591" w:type="dxa"/>
            <w:tcBorders>
              <w:top w:val="single" w:sz="6" w:space="0" w:color="000000"/>
              <w:left w:val="single" w:sz="6" w:space="0" w:color="000000"/>
              <w:bottom w:val="single" w:sz="6" w:space="0" w:color="000000"/>
              <w:right w:val="single" w:sz="6" w:space="0" w:color="000000"/>
            </w:tcBorders>
            <w:vAlign w:val="bottom"/>
          </w:tcPr>
          <w:p w14:paraId="062A5F37"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szCs w:val="22"/>
              </w:rPr>
              <w:t>28.4%</w:t>
            </w:r>
          </w:p>
        </w:tc>
        <w:tc>
          <w:tcPr>
            <w:tcW w:w="1147" w:type="dxa"/>
            <w:tcBorders>
              <w:top w:val="single" w:sz="6" w:space="0" w:color="000000"/>
              <w:left w:val="single" w:sz="6" w:space="0" w:color="000000"/>
              <w:bottom w:val="single" w:sz="6" w:space="0" w:color="000000"/>
              <w:right w:val="single" w:sz="6" w:space="0" w:color="000000"/>
            </w:tcBorders>
            <w:vAlign w:val="bottom"/>
          </w:tcPr>
          <w:p w14:paraId="22938757"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szCs w:val="22"/>
              </w:rPr>
              <w:t>0.075</w:t>
            </w:r>
          </w:p>
        </w:tc>
      </w:tr>
      <w:tr w:rsidR="00C6578C" w14:paraId="40117E8A" w14:textId="77777777" w:rsidTr="00C83D47">
        <w:trPr>
          <w:jc w:val="center"/>
        </w:trPr>
        <w:tc>
          <w:tcPr>
            <w:tcW w:w="2321" w:type="dxa"/>
            <w:tcBorders>
              <w:top w:val="single" w:sz="6" w:space="0" w:color="000000"/>
              <w:left w:val="single" w:sz="6" w:space="0" w:color="000000"/>
              <w:bottom w:val="single" w:sz="6" w:space="0" w:color="000000"/>
              <w:right w:val="single" w:sz="6" w:space="0" w:color="000000"/>
            </w:tcBorders>
          </w:tcPr>
          <w:p w14:paraId="12309A30" w14:textId="77777777" w:rsidR="003B0C89" w:rsidRPr="00BC0E7E" w:rsidRDefault="00944B8F" w:rsidP="00C83D47">
            <w:pPr>
              <w:keepNext/>
              <w:keepLines/>
              <w:tabs>
                <w:tab w:val="clear" w:pos="562"/>
                <w:tab w:val="left" w:pos="-1080"/>
              </w:tabs>
              <w:suppressAutoHyphens w:val="0"/>
              <w:autoSpaceDE w:val="0"/>
              <w:autoSpaceDN w:val="0"/>
              <w:adjustRightInd w:val="0"/>
              <w:ind w:left="15"/>
            </w:pPr>
            <w:r w:rsidRPr="00BC0E7E">
              <w:rPr>
                <w:szCs w:val="22"/>
              </w:rPr>
              <w:t xml:space="preserve">   Clinical response </w:t>
            </w:r>
          </w:p>
        </w:tc>
        <w:tc>
          <w:tcPr>
            <w:tcW w:w="1614" w:type="dxa"/>
            <w:tcBorders>
              <w:top w:val="single" w:sz="6" w:space="0" w:color="000000"/>
              <w:left w:val="single" w:sz="6" w:space="0" w:color="000000"/>
              <w:bottom w:val="single" w:sz="6" w:space="0" w:color="000000"/>
              <w:right w:val="single" w:sz="6" w:space="0" w:color="000000"/>
            </w:tcBorders>
          </w:tcPr>
          <w:p w14:paraId="6D97DCFB"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szCs w:val="22"/>
              </w:rPr>
              <w:t>59.1%</w:t>
            </w:r>
          </w:p>
        </w:tc>
        <w:tc>
          <w:tcPr>
            <w:tcW w:w="1591" w:type="dxa"/>
            <w:tcBorders>
              <w:top w:val="single" w:sz="6" w:space="0" w:color="000000"/>
              <w:left w:val="single" w:sz="6" w:space="0" w:color="000000"/>
              <w:bottom w:val="single" w:sz="6" w:space="0" w:color="000000"/>
              <w:right w:val="single" w:sz="6" w:space="0" w:color="000000"/>
            </w:tcBorders>
          </w:tcPr>
          <w:p w14:paraId="76057634"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szCs w:val="22"/>
              </w:rPr>
              <w:t>48.4%</w:t>
            </w:r>
          </w:p>
        </w:tc>
        <w:tc>
          <w:tcPr>
            <w:tcW w:w="1147" w:type="dxa"/>
            <w:tcBorders>
              <w:top w:val="single" w:sz="6" w:space="0" w:color="000000"/>
              <w:left w:val="single" w:sz="6" w:space="0" w:color="000000"/>
              <w:bottom w:val="single" w:sz="6" w:space="0" w:color="000000"/>
              <w:right w:val="single" w:sz="6" w:space="0" w:color="000000"/>
            </w:tcBorders>
          </w:tcPr>
          <w:p w14:paraId="4A948DD2"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szCs w:val="22"/>
              </w:rPr>
              <w:t>0.073</w:t>
            </w:r>
          </w:p>
        </w:tc>
      </w:tr>
      <w:tr w:rsidR="00C6578C" w14:paraId="6C5E8029" w14:textId="77777777" w:rsidTr="00C83D47">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7A305862" w14:textId="77777777" w:rsidR="003B0C89" w:rsidRPr="00BC0E7E" w:rsidRDefault="00944B8F" w:rsidP="00C83D47">
            <w:pPr>
              <w:keepNext/>
              <w:keepLines/>
              <w:tabs>
                <w:tab w:val="clear" w:pos="562"/>
                <w:tab w:val="left" w:pos="-1080"/>
              </w:tabs>
              <w:suppressAutoHyphens w:val="0"/>
              <w:autoSpaceDE w:val="0"/>
              <w:autoSpaceDN w:val="0"/>
              <w:adjustRightInd w:val="0"/>
              <w:ind w:left="15"/>
              <w:rPr>
                <w:b/>
                <w:bCs/>
              </w:rPr>
            </w:pPr>
            <w:r w:rsidRPr="00BC0E7E">
              <w:rPr>
                <w:b/>
                <w:bCs/>
                <w:szCs w:val="22"/>
              </w:rPr>
              <w:t>Week 52</w:t>
            </w:r>
          </w:p>
        </w:tc>
        <w:tc>
          <w:tcPr>
            <w:tcW w:w="1614" w:type="dxa"/>
            <w:tcBorders>
              <w:top w:val="single" w:sz="6" w:space="0" w:color="000000"/>
              <w:left w:val="single" w:sz="6" w:space="0" w:color="000000"/>
              <w:bottom w:val="single" w:sz="6" w:space="0" w:color="000000"/>
              <w:right w:val="single" w:sz="6" w:space="0" w:color="000000"/>
            </w:tcBorders>
            <w:vAlign w:val="bottom"/>
          </w:tcPr>
          <w:p w14:paraId="2BBBA927" w14:textId="77777777" w:rsidR="003B0C89" w:rsidRPr="00BC0E7E" w:rsidRDefault="003B0C89" w:rsidP="00C83D47">
            <w:pPr>
              <w:keepNext/>
              <w:keepLines/>
              <w:tabs>
                <w:tab w:val="clear" w:pos="562"/>
                <w:tab w:val="left" w:pos="-1080"/>
              </w:tabs>
              <w:suppressAutoHyphens w:val="0"/>
              <w:autoSpaceDE w:val="0"/>
              <w:autoSpaceDN w:val="0"/>
              <w:adjustRightInd w:val="0"/>
              <w:ind w:left="15"/>
              <w:jc w:val="center"/>
              <w:rPr>
                <w:b/>
                <w:bCs/>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59551941" w14:textId="77777777" w:rsidR="003B0C89" w:rsidRPr="00BC0E7E" w:rsidRDefault="003B0C89" w:rsidP="00C83D47">
            <w:pPr>
              <w:keepNext/>
              <w:keepLines/>
              <w:tabs>
                <w:tab w:val="clear" w:pos="562"/>
                <w:tab w:val="left" w:pos="-1080"/>
              </w:tabs>
              <w:suppressAutoHyphens w:val="0"/>
              <w:autoSpaceDE w:val="0"/>
              <w:autoSpaceDN w:val="0"/>
              <w:adjustRightInd w:val="0"/>
              <w:ind w:left="15"/>
              <w:jc w:val="center"/>
              <w:rPr>
                <w:b/>
                <w:bCs/>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30B6B585" w14:textId="77777777" w:rsidR="003B0C89" w:rsidRPr="00BC0E7E" w:rsidRDefault="003B0C89" w:rsidP="00C83D47">
            <w:pPr>
              <w:keepNext/>
              <w:tabs>
                <w:tab w:val="clear" w:pos="562"/>
              </w:tabs>
              <w:suppressAutoHyphens w:val="0"/>
              <w:autoSpaceDE w:val="0"/>
              <w:autoSpaceDN w:val="0"/>
              <w:adjustRightInd w:val="0"/>
              <w:ind w:left="15"/>
              <w:rPr>
                <w:b/>
                <w:bCs/>
              </w:rPr>
            </w:pPr>
          </w:p>
        </w:tc>
      </w:tr>
      <w:tr w:rsidR="00C6578C" w14:paraId="179B79D7" w14:textId="77777777" w:rsidTr="00C83D47">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0067A4BA" w14:textId="77777777" w:rsidR="003B0C89" w:rsidRPr="00BC0E7E" w:rsidRDefault="00944B8F" w:rsidP="00C83D47">
            <w:pPr>
              <w:keepNext/>
              <w:keepLines/>
              <w:tabs>
                <w:tab w:val="clear" w:pos="562"/>
                <w:tab w:val="left" w:pos="-1080"/>
              </w:tabs>
              <w:suppressAutoHyphens w:val="0"/>
              <w:autoSpaceDE w:val="0"/>
              <w:autoSpaceDN w:val="0"/>
              <w:adjustRightInd w:val="0"/>
              <w:ind w:left="15"/>
            </w:pPr>
            <w:r w:rsidRPr="00BC0E7E">
              <w:rPr>
                <w:szCs w:val="22"/>
              </w:rPr>
              <w:t xml:space="preserve">   Clinical remission</w:t>
            </w:r>
          </w:p>
        </w:tc>
        <w:tc>
          <w:tcPr>
            <w:tcW w:w="1614" w:type="dxa"/>
            <w:tcBorders>
              <w:top w:val="single" w:sz="6" w:space="0" w:color="000000"/>
              <w:left w:val="single" w:sz="6" w:space="0" w:color="000000"/>
              <w:bottom w:val="single" w:sz="6" w:space="0" w:color="000000"/>
              <w:right w:val="single" w:sz="6" w:space="0" w:color="000000"/>
            </w:tcBorders>
            <w:vAlign w:val="bottom"/>
          </w:tcPr>
          <w:p w14:paraId="2327228D"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szCs w:val="22"/>
              </w:rPr>
              <w:t>33.3%</w:t>
            </w:r>
          </w:p>
        </w:tc>
        <w:tc>
          <w:tcPr>
            <w:tcW w:w="1591" w:type="dxa"/>
            <w:tcBorders>
              <w:top w:val="single" w:sz="6" w:space="0" w:color="000000"/>
              <w:left w:val="single" w:sz="6" w:space="0" w:color="000000"/>
              <w:bottom w:val="single" w:sz="6" w:space="0" w:color="000000"/>
              <w:right w:val="single" w:sz="6" w:space="0" w:color="000000"/>
            </w:tcBorders>
            <w:vAlign w:val="bottom"/>
          </w:tcPr>
          <w:p w14:paraId="2F6550CB"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szCs w:val="22"/>
              </w:rPr>
              <w:t>23.2%</w:t>
            </w:r>
          </w:p>
        </w:tc>
        <w:tc>
          <w:tcPr>
            <w:tcW w:w="1147" w:type="dxa"/>
            <w:tcBorders>
              <w:top w:val="single" w:sz="6" w:space="0" w:color="000000"/>
              <w:left w:val="single" w:sz="6" w:space="0" w:color="000000"/>
              <w:bottom w:val="single" w:sz="6" w:space="0" w:color="000000"/>
              <w:right w:val="single" w:sz="6" w:space="0" w:color="000000"/>
            </w:tcBorders>
            <w:vAlign w:val="bottom"/>
          </w:tcPr>
          <w:p w14:paraId="5CD94E3E"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szCs w:val="22"/>
              </w:rPr>
              <w:t>0.100</w:t>
            </w:r>
          </w:p>
        </w:tc>
      </w:tr>
      <w:tr w:rsidR="00C6578C" w14:paraId="3392B4C2" w14:textId="77777777" w:rsidTr="00C83D47">
        <w:trPr>
          <w:jc w:val="center"/>
        </w:trPr>
        <w:tc>
          <w:tcPr>
            <w:tcW w:w="2321" w:type="dxa"/>
            <w:tcBorders>
              <w:top w:val="single" w:sz="6" w:space="0" w:color="000000"/>
              <w:left w:val="single" w:sz="6" w:space="0" w:color="000000"/>
              <w:bottom w:val="single" w:sz="6" w:space="0" w:color="000000"/>
              <w:right w:val="single" w:sz="6" w:space="0" w:color="000000"/>
            </w:tcBorders>
          </w:tcPr>
          <w:p w14:paraId="429DF45D" w14:textId="77777777" w:rsidR="003B0C89" w:rsidRPr="00BC0E7E" w:rsidRDefault="00944B8F" w:rsidP="00C83D47">
            <w:pPr>
              <w:keepNext/>
              <w:keepLines/>
              <w:tabs>
                <w:tab w:val="clear" w:pos="562"/>
                <w:tab w:val="left" w:pos="-1080"/>
              </w:tabs>
              <w:suppressAutoHyphens w:val="0"/>
              <w:autoSpaceDE w:val="0"/>
              <w:autoSpaceDN w:val="0"/>
              <w:adjustRightInd w:val="0"/>
              <w:ind w:left="15"/>
            </w:pPr>
            <w:r w:rsidRPr="00BC0E7E">
              <w:rPr>
                <w:szCs w:val="22"/>
              </w:rPr>
              <w:t xml:space="preserve">   Clinical response</w:t>
            </w:r>
          </w:p>
        </w:tc>
        <w:tc>
          <w:tcPr>
            <w:tcW w:w="1614" w:type="dxa"/>
            <w:tcBorders>
              <w:top w:val="single" w:sz="6" w:space="0" w:color="000000"/>
              <w:left w:val="single" w:sz="6" w:space="0" w:color="000000"/>
              <w:bottom w:val="single" w:sz="6" w:space="0" w:color="000000"/>
              <w:right w:val="single" w:sz="6" w:space="0" w:color="000000"/>
            </w:tcBorders>
          </w:tcPr>
          <w:p w14:paraId="40B463A9"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szCs w:val="22"/>
              </w:rPr>
              <w:t>41.9%</w:t>
            </w:r>
          </w:p>
        </w:tc>
        <w:tc>
          <w:tcPr>
            <w:tcW w:w="1591" w:type="dxa"/>
            <w:tcBorders>
              <w:top w:val="single" w:sz="6" w:space="0" w:color="000000"/>
              <w:left w:val="single" w:sz="6" w:space="0" w:color="000000"/>
              <w:bottom w:val="single" w:sz="6" w:space="0" w:color="000000"/>
              <w:right w:val="single" w:sz="6" w:space="0" w:color="000000"/>
            </w:tcBorders>
          </w:tcPr>
          <w:p w14:paraId="636015FF"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szCs w:val="22"/>
              </w:rPr>
              <w:t>28.4%</w:t>
            </w:r>
          </w:p>
        </w:tc>
        <w:tc>
          <w:tcPr>
            <w:tcW w:w="1147" w:type="dxa"/>
            <w:tcBorders>
              <w:top w:val="single" w:sz="6" w:space="0" w:color="000000"/>
              <w:left w:val="single" w:sz="6" w:space="0" w:color="000000"/>
              <w:bottom w:val="single" w:sz="6" w:space="0" w:color="000000"/>
              <w:right w:val="single" w:sz="6" w:space="0" w:color="000000"/>
            </w:tcBorders>
          </w:tcPr>
          <w:p w14:paraId="7838BC0A"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szCs w:val="22"/>
              </w:rPr>
              <w:t>0.038</w:t>
            </w:r>
          </w:p>
        </w:tc>
      </w:tr>
      <w:tr w:rsidR="00C6578C" w14:paraId="4A890F72" w14:textId="77777777" w:rsidTr="00C83D47">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1E2D4A53" w14:textId="77777777" w:rsidR="003B0C89" w:rsidRPr="00BC0E7E" w:rsidRDefault="00944B8F" w:rsidP="00C83D47">
            <w:pPr>
              <w:keepNext/>
              <w:keepLines/>
              <w:tabs>
                <w:tab w:val="clear" w:pos="562"/>
                <w:tab w:val="left" w:pos="-1080"/>
              </w:tabs>
              <w:suppressAutoHyphens w:val="0"/>
              <w:autoSpaceDE w:val="0"/>
              <w:autoSpaceDN w:val="0"/>
              <w:adjustRightInd w:val="0"/>
              <w:ind w:left="15"/>
            </w:pPr>
            <w:r w:rsidRPr="00BC0E7E">
              <w:rPr>
                <w:szCs w:val="22"/>
              </w:rPr>
              <w:t xml:space="preserve">* p value for Standard Dose </w:t>
            </w:r>
            <w:r w:rsidRPr="00BC0E7E">
              <w:rPr>
                <w:i/>
                <w:iCs/>
                <w:szCs w:val="22"/>
              </w:rPr>
              <w:t>versus</w:t>
            </w:r>
            <w:r w:rsidRPr="00BC0E7E">
              <w:rPr>
                <w:szCs w:val="22"/>
              </w:rPr>
              <w:t xml:space="preserve"> Low Dose comparison.</w:t>
            </w:r>
          </w:p>
        </w:tc>
      </w:tr>
    </w:tbl>
    <w:p w14:paraId="07225239" w14:textId="77777777" w:rsidR="003B0C89" w:rsidRPr="00BC0E7E" w:rsidRDefault="003B0C89" w:rsidP="003B0C89">
      <w:pPr>
        <w:tabs>
          <w:tab w:val="left" w:pos="1294"/>
        </w:tabs>
        <w:autoSpaceDE w:val="0"/>
        <w:autoSpaceDN w:val="0"/>
        <w:adjustRightInd w:val="0"/>
        <w:rPr>
          <w:szCs w:val="22"/>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C6578C" w14:paraId="3F1AA3CD" w14:textId="77777777" w:rsidTr="00C83D47">
        <w:trPr>
          <w:jc w:val="center"/>
        </w:trPr>
        <w:tc>
          <w:tcPr>
            <w:tcW w:w="8440" w:type="dxa"/>
            <w:gridSpan w:val="4"/>
            <w:tcBorders>
              <w:top w:val="single" w:sz="6" w:space="0" w:color="000000"/>
              <w:left w:val="single" w:sz="6" w:space="0" w:color="000000"/>
              <w:bottom w:val="single" w:sz="6" w:space="0" w:color="000000"/>
              <w:right w:val="single" w:sz="6" w:space="0" w:color="000000"/>
            </w:tcBorders>
          </w:tcPr>
          <w:p w14:paraId="4AB904F6" w14:textId="77777777" w:rsidR="003B0C89" w:rsidRPr="00BC0E7E" w:rsidRDefault="00944B8F" w:rsidP="00C83D47">
            <w:pPr>
              <w:keepNext/>
              <w:tabs>
                <w:tab w:val="clear" w:pos="562"/>
                <w:tab w:val="left" w:pos="-878"/>
              </w:tabs>
              <w:suppressAutoHyphens w:val="0"/>
              <w:autoSpaceDE w:val="0"/>
              <w:autoSpaceDN w:val="0"/>
              <w:adjustRightInd w:val="0"/>
              <w:jc w:val="center"/>
              <w:rPr>
                <w:b/>
                <w:bCs/>
              </w:rPr>
            </w:pPr>
            <w:r w:rsidRPr="00BC0E7E">
              <w:rPr>
                <w:b/>
                <w:bCs/>
                <w:szCs w:val="22"/>
              </w:rPr>
              <w:lastRenderedPageBreak/>
              <w:t xml:space="preserve">Table </w:t>
            </w:r>
            <w:r w:rsidR="003D1485">
              <w:rPr>
                <w:b/>
                <w:bCs/>
                <w:szCs w:val="22"/>
              </w:rPr>
              <w:t>30</w:t>
            </w:r>
          </w:p>
          <w:p w14:paraId="37002A4F" w14:textId="77777777" w:rsidR="003B0C89" w:rsidRPr="00BC0E7E" w:rsidRDefault="00944B8F" w:rsidP="00C83D47">
            <w:pPr>
              <w:keepNext/>
              <w:tabs>
                <w:tab w:val="clear" w:pos="562"/>
                <w:tab w:val="left" w:pos="-878"/>
              </w:tabs>
              <w:suppressAutoHyphens w:val="0"/>
              <w:autoSpaceDE w:val="0"/>
              <w:autoSpaceDN w:val="0"/>
              <w:adjustRightInd w:val="0"/>
              <w:jc w:val="center"/>
              <w:rPr>
                <w:b/>
                <w:bCs/>
              </w:rPr>
            </w:pPr>
            <w:r w:rsidRPr="00BC0E7E">
              <w:rPr>
                <w:b/>
                <w:bCs/>
                <w:szCs w:val="22"/>
              </w:rPr>
              <w:t>Paediatric CD Study</w:t>
            </w:r>
          </w:p>
          <w:p w14:paraId="1C63E37B" w14:textId="77777777" w:rsidR="003B0C89" w:rsidRPr="00BC0E7E" w:rsidRDefault="00944B8F" w:rsidP="00C83D47">
            <w:pPr>
              <w:keepNext/>
              <w:tabs>
                <w:tab w:val="clear" w:pos="562"/>
                <w:tab w:val="left" w:pos="-878"/>
              </w:tabs>
              <w:suppressAutoHyphens w:val="0"/>
              <w:autoSpaceDE w:val="0"/>
              <w:autoSpaceDN w:val="0"/>
              <w:adjustRightInd w:val="0"/>
              <w:jc w:val="center"/>
              <w:rPr>
                <w:b/>
                <w:bCs/>
              </w:rPr>
            </w:pPr>
            <w:r w:rsidRPr="00BC0E7E">
              <w:rPr>
                <w:b/>
                <w:bCs/>
                <w:szCs w:val="22"/>
              </w:rPr>
              <w:t>Discontinuation of Corticosteroids or Immunomodulators and Fistula Remission</w:t>
            </w:r>
          </w:p>
        </w:tc>
      </w:tr>
      <w:tr w:rsidR="00C6578C" w14:paraId="0B352739" w14:textId="77777777" w:rsidTr="00C83D47">
        <w:trPr>
          <w:jc w:val="center"/>
        </w:trPr>
        <w:tc>
          <w:tcPr>
            <w:tcW w:w="4025" w:type="dxa"/>
            <w:tcBorders>
              <w:top w:val="single" w:sz="6" w:space="0" w:color="000000"/>
              <w:left w:val="single" w:sz="6" w:space="0" w:color="000000"/>
              <w:bottom w:val="single" w:sz="6" w:space="0" w:color="000000"/>
              <w:right w:val="single" w:sz="6" w:space="0" w:color="000000"/>
            </w:tcBorders>
          </w:tcPr>
          <w:p w14:paraId="7C0AB933" w14:textId="77777777" w:rsidR="003B0C89" w:rsidRPr="00BC0E7E" w:rsidRDefault="003B0C89" w:rsidP="00C83D47">
            <w:pPr>
              <w:keepNext/>
              <w:keepLines/>
              <w:tabs>
                <w:tab w:val="clear" w:pos="562"/>
                <w:tab w:val="left" w:pos="-1080"/>
              </w:tabs>
              <w:suppressAutoHyphens w:val="0"/>
              <w:autoSpaceDE w:val="0"/>
              <w:autoSpaceDN w:val="0"/>
              <w:adjustRightInd w:val="0"/>
              <w:jc w:val="center"/>
              <w:rPr>
                <w:b/>
                <w:bCs/>
              </w:rPr>
            </w:pPr>
          </w:p>
        </w:tc>
        <w:tc>
          <w:tcPr>
            <w:tcW w:w="1656" w:type="dxa"/>
            <w:tcBorders>
              <w:top w:val="single" w:sz="6" w:space="0" w:color="000000"/>
              <w:left w:val="single" w:sz="6" w:space="0" w:color="000000"/>
              <w:bottom w:val="single" w:sz="6" w:space="0" w:color="000000"/>
              <w:right w:val="single" w:sz="6" w:space="0" w:color="000000"/>
            </w:tcBorders>
          </w:tcPr>
          <w:p w14:paraId="426FCF8A"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rPr>
                <w:b/>
                <w:bCs/>
              </w:rPr>
            </w:pPr>
            <w:r w:rsidRPr="00BC0E7E">
              <w:rPr>
                <w:b/>
                <w:bCs/>
                <w:szCs w:val="22"/>
              </w:rPr>
              <w:t>Standard Dose</w:t>
            </w:r>
          </w:p>
          <w:p w14:paraId="5679BE45"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rPr>
                <w:b/>
                <w:bCs/>
              </w:rPr>
            </w:pPr>
            <w:r w:rsidRPr="00BC0E7E">
              <w:rPr>
                <w:b/>
                <w:bCs/>
                <w:szCs w:val="22"/>
              </w:rPr>
              <w:t xml:space="preserve">40/20 mg eow </w:t>
            </w:r>
          </w:p>
        </w:tc>
        <w:tc>
          <w:tcPr>
            <w:tcW w:w="1619" w:type="dxa"/>
            <w:tcBorders>
              <w:top w:val="single" w:sz="6" w:space="0" w:color="000000"/>
              <w:left w:val="single" w:sz="6" w:space="0" w:color="000000"/>
              <w:bottom w:val="single" w:sz="6" w:space="0" w:color="000000"/>
              <w:right w:val="single" w:sz="6" w:space="0" w:color="000000"/>
            </w:tcBorders>
          </w:tcPr>
          <w:p w14:paraId="17852E71"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rPr>
                <w:b/>
                <w:bCs/>
              </w:rPr>
            </w:pPr>
            <w:r w:rsidRPr="00BC0E7E">
              <w:rPr>
                <w:b/>
                <w:bCs/>
                <w:szCs w:val="22"/>
              </w:rPr>
              <w:t>Low Dose</w:t>
            </w:r>
          </w:p>
          <w:p w14:paraId="6B536291"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rPr>
                <w:b/>
                <w:bCs/>
              </w:rPr>
            </w:pPr>
            <w:r w:rsidRPr="00BC0E7E">
              <w:rPr>
                <w:b/>
                <w:bCs/>
                <w:szCs w:val="22"/>
              </w:rPr>
              <w:t xml:space="preserve">20/10 mg eow </w:t>
            </w:r>
          </w:p>
        </w:tc>
        <w:tc>
          <w:tcPr>
            <w:tcW w:w="1140" w:type="dxa"/>
            <w:tcBorders>
              <w:top w:val="single" w:sz="6" w:space="0" w:color="000000"/>
              <w:left w:val="single" w:sz="6" w:space="0" w:color="000000"/>
              <w:bottom w:val="single" w:sz="6" w:space="0" w:color="000000"/>
              <w:right w:val="single" w:sz="6" w:space="0" w:color="000000"/>
            </w:tcBorders>
          </w:tcPr>
          <w:p w14:paraId="78F93362"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rPr>
                <w:b/>
                <w:bCs/>
              </w:rPr>
            </w:pPr>
            <w:r w:rsidRPr="00BC0E7E">
              <w:rPr>
                <w:b/>
                <w:bCs/>
                <w:szCs w:val="22"/>
              </w:rPr>
              <w:t>P value</w:t>
            </w:r>
            <w:r w:rsidRPr="00BC0E7E">
              <w:rPr>
                <w:b/>
                <w:bCs/>
                <w:szCs w:val="22"/>
                <w:vertAlign w:val="superscript"/>
              </w:rPr>
              <w:t>1</w:t>
            </w:r>
          </w:p>
        </w:tc>
      </w:tr>
      <w:tr w:rsidR="00C6578C" w14:paraId="136D748C" w14:textId="77777777" w:rsidTr="00C83D47">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112E697C" w14:textId="77777777" w:rsidR="003B0C89" w:rsidRPr="00BC0E7E" w:rsidRDefault="00944B8F" w:rsidP="00C83D47">
            <w:pPr>
              <w:keepNext/>
              <w:keepLines/>
              <w:tabs>
                <w:tab w:val="clear" w:pos="562"/>
                <w:tab w:val="left" w:pos="-1080"/>
              </w:tabs>
              <w:suppressAutoHyphens w:val="0"/>
              <w:autoSpaceDE w:val="0"/>
              <w:autoSpaceDN w:val="0"/>
              <w:adjustRightInd w:val="0"/>
              <w:rPr>
                <w:b/>
              </w:rPr>
            </w:pPr>
            <w:r w:rsidRPr="00BC0E7E">
              <w:rPr>
                <w:b/>
                <w:szCs w:val="22"/>
              </w:rPr>
              <w:t>Discontinued corticosteroids</w:t>
            </w:r>
          </w:p>
        </w:tc>
        <w:tc>
          <w:tcPr>
            <w:tcW w:w="1656" w:type="dxa"/>
            <w:tcBorders>
              <w:top w:val="single" w:sz="6" w:space="0" w:color="000000"/>
              <w:left w:val="single" w:sz="6" w:space="0" w:color="000000"/>
              <w:bottom w:val="single" w:sz="6" w:space="0" w:color="000000"/>
              <w:right w:val="single" w:sz="6" w:space="0" w:color="000000"/>
            </w:tcBorders>
            <w:vAlign w:val="bottom"/>
          </w:tcPr>
          <w:p w14:paraId="3C91813B"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rPr>
                <w:b/>
              </w:rPr>
            </w:pPr>
            <w:r w:rsidRPr="00BC0E7E">
              <w:rPr>
                <w:b/>
                <w:szCs w:val="22"/>
              </w:rPr>
              <w:t>N= 33</w:t>
            </w:r>
          </w:p>
        </w:tc>
        <w:tc>
          <w:tcPr>
            <w:tcW w:w="1619" w:type="dxa"/>
            <w:tcBorders>
              <w:top w:val="single" w:sz="6" w:space="0" w:color="000000"/>
              <w:left w:val="single" w:sz="6" w:space="0" w:color="000000"/>
              <w:bottom w:val="single" w:sz="6" w:space="0" w:color="000000"/>
              <w:right w:val="single" w:sz="6" w:space="0" w:color="000000"/>
            </w:tcBorders>
            <w:vAlign w:val="bottom"/>
          </w:tcPr>
          <w:p w14:paraId="35177D57"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rPr>
                <w:b/>
              </w:rPr>
            </w:pPr>
            <w:r w:rsidRPr="00BC0E7E">
              <w:rPr>
                <w:b/>
                <w:szCs w:val="22"/>
              </w:rPr>
              <w:t>N=38</w:t>
            </w:r>
          </w:p>
        </w:tc>
        <w:tc>
          <w:tcPr>
            <w:tcW w:w="1140" w:type="dxa"/>
            <w:tcBorders>
              <w:top w:val="single" w:sz="6" w:space="0" w:color="000000"/>
              <w:left w:val="single" w:sz="6" w:space="0" w:color="000000"/>
              <w:bottom w:val="single" w:sz="6" w:space="0" w:color="000000"/>
              <w:right w:val="single" w:sz="6" w:space="0" w:color="000000"/>
            </w:tcBorders>
            <w:vAlign w:val="bottom"/>
          </w:tcPr>
          <w:p w14:paraId="61304254" w14:textId="77777777" w:rsidR="003B0C89" w:rsidRPr="00BC0E7E" w:rsidRDefault="003B0C89" w:rsidP="00C83D47">
            <w:pPr>
              <w:keepNext/>
              <w:tabs>
                <w:tab w:val="clear" w:pos="562"/>
              </w:tabs>
              <w:suppressAutoHyphens w:val="0"/>
              <w:autoSpaceDE w:val="0"/>
              <w:autoSpaceDN w:val="0"/>
              <w:adjustRightInd w:val="0"/>
              <w:ind w:left="15"/>
              <w:rPr>
                <w:b/>
              </w:rPr>
            </w:pPr>
          </w:p>
        </w:tc>
      </w:tr>
      <w:tr w:rsidR="00C6578C" w14:paraId="0EEFCA88" w14:textId="77777777" w:rsidTr="00C83D47">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691CE524" w14:textId="77777777" w:rsidR="003B0C89" w:rsidRPr="00BC0E7E" w:rsidRDefault="00944B8F" w:rsidP="00C83D47">
            <w:pPr>
              <w:keepNext/>
              <w:keepLines/>
              <w:tabs>
                <w:tab w:val="clear" w:pos="562"/>
                <w:tab w:val="left" w:pos="-1080"/>
              </w:tabs>
              <w:suppressAutoHyphens w:val="0"/>
              <w:autoSpaceDE w:val="0"/>
              <w:autoSpaceDN w:val="0"/>
              <w:adjustRightInd w:val="0"/>
              <w:rPr>
                <w:bCs/>
              </w:rPr>
            </w:pPr>
            <w:r w:rsidRPr="00BC0E7E">
              <w:rPr>
                <w:bCs/>
                <w:szCs w:val="22"/>
              </w:rPr>
              <w:t>Week 26</w:t>
            </w:r>
          </w:p>
        </w:tc>
        <w:tc>
          <w:tcPr>
            <w:tcW w:w="1656" w:type="dxa"/>
            <w:tcBorders>
              <w:top w:val="single" w:sz="6" w:space="0" w:color="000000"/>
              <w:left w:val="single" w:sz="6" w:space="0" w:color="000000"/>
              <w:bottom w:val="single" w:sz="6" w:space="0" w:color="000000"/>
              <w:right w:val="single" w:sz="6" w:space="0" w:color="000000"/>
            </w:tcBorders>
            <w:vAlign w:val="bottom"/>
          </w:tcPr>
          <w:p w14:paraId="148F7E75"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szCs w:val="22"/>
              </w:rPr>
              <w:t>84.8%</w:t>
            </w:r>
          </w:p>
        </w:tc>
        <w:tc>
          <w:tcPr>
            <w:tcW w:w="1619" w:type="dxa"/>
            <w:tcBorders>
              <w:top w:val="single" w:sz="6" w:space="0" w:color="000000"/>
              <w:left w:val="single" w:sz="6" w:space="0" w:color="000000"/>
              <w:bottom w:val="single" w:sz="6" w:space="0" w:color="000000"/>
              <w:right w:val="single" w:sz="6" w:space="0" w:color="000000"/>
            </w:tcBorders>
            <w:vAlign w:val="bottom"/>
          </w:tcPr>
          <w:p w14:paraId="5FF302F4"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szCs w:val="22"/>
              </w:rPr>
              <w:t>65.8%</w:t>
            </w:r>
          </w:p>
        </w:tc>
        <w:tc>
          <w:tcPr>
            <w:tcW w:w="1140" w:type="dxa"/>
            <w:tcBorders>
              <w:top w:val="single" w:sz="6" w:space="0" w:color="000000"/>
              <w:left w:val="single" w:sz="6" w:space="0" w:color="000000"/>
              <w:bottom w:val="single" w:sz="6" w:space="0" w:color="000000"/>
              <w:right w:val="single" w:sz="6" w:space="0" w:color="000000"/>
            </w:tcBorders>
            <w:vAlign w:val="bottom"/>
          </w:tcPr>
          <w:p w14:paraId="08C52A2E"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szCs w:val="22"/>
              </w:rPr>
              <w:t>0.066</w:t>
            </w:r>
          </w:p>
        </w:tc>
      </w:tr>
      <w:tr w:rsidR="00C6578C" w14:paraId="36C793FF" w14:textId="77777777" w:rsidTr="00C83D47">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20397024" w14:textId="77777777" w:rsidR="003B0C89" w:rsidRPr="00BC0E7E" w:rsidRDefault="00944B8F" w:rsidP="00C83D47">
            <w:pPr>
              <w:keepNext/>
              <w:keepLines/>
              <w:tabs>
                <w:tab w:val="clear" w:pos="562"/>
                <w:tab w:val="left" w:pos="-1080"/>
              </w:tabs>
              <w:suppressAutoHyphens w:val="0"/>
              <w:autoSpaceDE w:val="0"/>
              <w:autoSpaceDN w:val="0"/>
              <w:adjustRightInd w:val="0"/>
              <w:rPr>
                <w:bCs/>
              </w:rPr>
            </w:pPr>
            <w:r w:rsidRPr="00BC0E7E">
              <w:rPr>
                <w:bCs/>
                <w:szCs w:val="22"/>
              </w:rPr>
              <w:t>Week 52</w:t>
            </w:r>
          </w:p>
        </w:tc>
        <w:tc>
          <w:tcPr>
            <w:tcW w:w="1656" w:type="dxa"/>
            <w:tcBorders>
              <w:top w:val="single" w:sz="6" w:space="0" w:color="000000"/>
              <w:left w:val="single" w:sz="6" w:space="0" w:color="000000"/>
              <w:bottom w:val="single" w:sz="6" w:space="0" w:color="000000"/>
              <w:right w:val="single" w:sz="6" w:space="0" w:color="000000"/>
            </w:tcBorders>
          </w:tcPr>
          <w:p w14:paraId="568FD969"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szCs w:val="22"/>
              </w:rPr>
              <w:t>69.7%</w:t>
            </w:r>
          </w:p>
        </w:tc>
        <w:tc>
          <w:tcPr>
            <w:tcW w:w="1619" w:type="dxa"/>
            <w:tcBorders>
              <w:top w:val="single" w:sz="6" w:space="0" w:color="000000"/>
              <w:left w:val="single" w:sz="6" w:space="0" w:color="000000"/>
              <w:bottom w:val="single" w:sz="6" w:space="0" w:color="000000"/>
              <w:right w:val="single" w:sz="6" w:space="0" w:color="000000"/>
            </w:tcBorders>
          </w:tcPr>
          <w:p w14:paraId="67948428"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szCs w:val="22"/>
              </w:rPr>
              <w:t>60.5%</w:t>
            </w:r>
          </w:p>
        </w:tc>
        <w:tc>
          <w:tcPr>
            <w:tcW w:w="1140" w:type="dxa"/>
            <w:tcBorders>
              <w:top w:val="single" w:sz="6" w:space="0" w:color="000000"/>
              <w:left w:val="single" w:sz="6" w:space="0" w:color="000000"/>
              <w:bottom w:val="single" w:sz="6" w:space="0" w:color="000000"/>
              <w:right w:val="single" w:sz="6" w:space="0" w:color="000000"/>
            </w:tcBorders>
            <w:vAlign w:val="bottom"/>
          </w:tcPr>
          <w:p w14:paraId="479EEBC4"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szCs w:val="22"/>
              </w:rPr>
              <w:t>0.420</w:t>
            </w:r>
          </w:p>
        </w:tc>
      </w:tr>
      <w:tr w:rsidR="00C6578C" w14:paraId="04B3AE52" w14:textId="77777777" w:rsidTr="00C83D47">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218576A7" w14:textId="77777777" w:rsidR="003B0C89" w:rsidRPr="00BC0E7E" w:rsidRDefault="00944B8F" w:rsidP="00C83D47">
            <w:pPr>
              <w:keepNext/>
              <w:keepLines/>
              <w:tabs>
                <w:tab w:val="clear" w:pos="562"/>
                <w:tab w:val="left" w:pos="-1080"/>
              </w:tabs>
              <w:suppressAutoHyphens w:val="0"/>
              <w:autoSpaceDE w:val="0"/>
              <w:autoSpaceDN w:val="0"/>
              <w:adjustRightInd w:val="0"/>
              <w:rPr>
                <w:b/>
              </w:rPr>
            </w:pPr>
            <w:r w:rsidRPr="00BC0E7E">
              <w:rPr>
                <w:b/>
                <w:szCs w:val="22"/>
              </w:rPr>
              <w:t>Discontinuation of Immunomodulators</w:t>
            </w:r>
            <w:r w:rsidRPr="00BC0E7E">
              <w:rPr>
                <w:b/>
                <w:szCs w:val="22"/>
                <w:vertAlign w:val="superscript"/>
              </w:rPr>
              <w:t>2</w:t>
            </w:r>
          </w:p>
        </w:tc>
        <w:tc>
          <w:tcPr>
            <w:tcW w:w="1656" w:type="dxa"/>
            <w:tcBorders>
              <w:top w:val="single" w:sz="6" w:space="0" w:color="000000"/>
              <w:left w:val="single" w:sz="6" w:space="0" w:color="000000"/>
              <w:bottom w:val="single" w:sz="6" w:space="0" w:color="000000"/>
              <w:right w:val="single" w:sz="6" w:space="0" w:color="000000"/>
            </w:tcBorders>
            <w:vAlign w:val="bottom"/>
          </w:tcPr>
          <w:p w14:paraId="1825B66B"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rPr>
                <w:b/>
              </w:rPr>
            </w:pPr>
            <w:r w:rsidRPr="00BC0E7E">
              <w:rPr>
                <w:b/>
                <w:szCs w:val="22"/>
              </w:rPr>
              <w:t>N=60</w:t>
            </w:r>
          </w:p>
        </w:tc>
        <w:tc>
          <w:tcPr>
            <w:tcW w:w="1619" w:type="dxa"/>
            <w:tcBorders>
              <w:top w:val="single" w:sz="6" w:space="0" w:color="000000"/>
              <w:left w:val="single" w:sz="6" w:space="0" w:color="000000"/>
              <w:bottom w:val="single" w:sz="6" w:space="0" w:color="000000"/>
              <w:right w:val="single" w:sz="6" w:space="0" w:color="000000"/>
            </w:tcBorders>
            <w:vAlign w:val="bottom"/>
          </w:tcPr>
          <w:p w14:paraId="79D3E0DD"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rPr>
                <w:b/>
              </w:rPr>
            </w:pPr>
            <w:r w:rsidRPr="00BC0E7E">
              <w:rPr>
                <w:b/>
                <w:szCs w:val="22"/>
              </w:rPr>
              <w:t>N=57</w:t>
            </w:r>
          </w:p>
        </w:tc>
        <w:tc>
          <w:tcPr>
            <w:tcW w:w="1140" w:type="dxa"/>
            <w:tcBorders>
              <w:top w:val="single" w:sz="6" w:space="0" w:color="000000"/>
              <w:left w:val="single" w:sz="6" w:space="0" w:color="000000"/>
              <w:bottom w:val="single" w:sz="6" w:space="0" w:color="000000"/>
              <w:right w:val="single" w:sz="6" w:space="0" w:color="000000"/>
            </w:tcBorders>
            <w:vAlign w:val="bottom"/>
          </w:tcPr>
          <w:p w14:paraId="50666EC0" w14:textId="77777777" w:rsidR="003B0C89" w:rsidRPr="00BC0E7E" w:rsidRDefault="003B0C89" w:rsidP="00C83D47">
            <w:pPr>
              <w:keepNext/>
              <w:tabs>
                <w:tab w:val="clear" w:pos="562"/>
              </w:tabs>
              <w:suppressAutoHyphens w:val="0"/>
              <w:autoSpaceDE w:val="0"/>
              <w:autoSpaceDN w:val="0"/>
              <w:adjustRightInd w:val="0"/>
              <w:ind w:left="15"/>
              <w:rPr>
                <w:b/>
              </w:rPr>
            </w:pPr>
          </w:p>
        </w:tc>
      </w:tr>
      <w:tr w:rsidR="00C6578C" w14:paraId="5F32FED0" w14:textId="77777777" w:rsidTr="00C83D47">
        <w:trPr>
          <w:jc w:val="center"/>
        </w:trPr>
        <w:tc>
          <w:tcPr>
            <w:tcW w:w="4025" w:type="dxa"/>
            <w:tcBorders>
              <w:top w:val="single" w:sz="6" w:space="0" w:color="000000"/>
              <w:left w:val="single" w:sz="6" w:space="0" w:color="000000"/>
              <w:bottom w:val="single" w:sz="6" w:space="0" w:color="000000"/>
              <w:right w:val="single" w:sz="6" w:space="0" w:color="000000"/>
            </w:tcBorders>
          </w:tcPr>
          <w:p w14:paraId="7C3328D9" w14:textId="77777777" w:rsidR="003B0C89" w:rsidRPr="00BC0E7E" w:rsidRDefault="00944B8F" w:rsidP="00C83D47">
            <w:pPr>
              <w:keepNext/>
              <w:keepLines/>
              <w:tabs>
                <w:tab w:val="clear" w:pos="562"/>
                <w:tab w:val="left" w:pos="-1080"/>
              </w:tabs>
              <w:suppressAutoHyphens w:val="0"/>
              <w:autoSpaceDE w:val="0"/>
              <w:autoSpaceDN w:val="0"/>
              <w:adjustRightInd w:val="0"/>
              <w:rPr>
                <w:bCs/>
              </w:rPr>
            </w:pPr>
            <w:r w:rsidRPr="00BC0E7E">
              <w:rPr>
                <w:bCs/>
                <w:szCs w:val="22"/>
              </w:rPr>
              <w:t>Week 52</w:t>
            </w:r>
          </w:p>
        </w:tc>
        <w:tc>
          <w:tcPr>
            <w:tcW w:w="1656" w:type="dxa"/>
            <w:tcBorders>
              <w:top w:val="single" w:sz="6" w:space="0" w:color="000000"/>
              <w:left w:val="single" w:sz="6" w:space="0" w:color="000000"/>
              <w:bottom w:val="single" w:sz="6" w:space="0" w:color="000000"/>
              <w:right w:val="single" w:sz="6" w:space="0" w:color="000000"/>
            </w:tcBorders>
          </w:tcPr>
          <w:p w14:paraId="51B2FB5A"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szCs w:val="22"/>
              </w:rPr>
              <w:t>30.0%</w:t>
            </w:r>
          </w:p>
        </w:tc>
        <w:tc>
          <w:tcPr>
            <w:tcW w:w="1619" w:type="dxa"/>
            <w:tcBorders>
              <w:top w:val="single" w:sz="6" w:space="0" w:color="000000"/>
              <w:left w:val="single" w:sz="6" w:space="0" w:color="000000"/>
              <w:bottom w:val="single" w:sz="6" w:space="0" w:color="000000"/>
              <w:right w:val="single" w:sz="6" w:space="0" w:color="000000"/>
            </w:tcBorders>
          </w:tcPr>
          <w:p w14:paraId="5A618289"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szCs w:val="22"/>
              </w:rPr>
              <w:t>29.8%</w:t>
            </w:r>
          </w:p>
        </w:tc>
        <w:tc>
          <w:tcPr>
            <w:tcW w:w="1140" w:type="dxa"/>
            <w:tcBorders>
              <w:top w:val="single" w:sz="6" w:space="0" w:color="000000"/>
              <w:left w:val="single" w:sz="6" w:space="0" w:color="000000"/>
              <w:bottom w:val="single" w:sz="6" w:space="0" w:color="000000"/>
              <w:right w:val="single" w:sz="6" w:space="0" w:color="000000"/>
            </w:tcBorders>
          </w:tcPr>
          <w:p w14:paraId="69D9AF9D"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szCs w:val="22"/>
              </w:rPr>
              <w:t>0.983</w:t>
            </w:r>
          </w:p>
        </w:tc>
      </w:tr>
      <w:tr w:rsidR="00C6578C" w14:paraId="57382376" w14:textId="77777777" w:rsidTr="00C83D47">
        <w:trPr>
          <w:jc w:val="center"/>
        </w:trPr>
        <w:tc>
          <w:tcPr>
            <w:tcW w:w="4025" w:type="dxa"/>
            <w:tcBorders>
              <w:top w:val="single" w:sz="6" w:space="0" w:color="000000"/>
              <w:left w:val="single" w:sz="6" w:space="0" w:color="000000"/>
              <w:bottom w:val="single" w:sz="6" w:space="0" w:color="000000"/>
              <w:right w:val="single" w:sz="6" w:space="0" w:color="000000"/>
            </w:tcBorders>
          </w:tcPr>
          <w:p w14:paraId="4266572A" w14:textId="77777777" w:rsidR="003B0C89" w:rsidRPr="00BC0E7E" w:rsidRDefault="00944B8F" w:rsidP="00C83D47">
            <w:pPr>
              <w:keepNext/>
              <w:keepLines/>
              <w:tabs>
                <w:tab w:val="clear" w:pos="562"/>
                <w:tab w:val="left" w:pos="-1080"/>
              </w:tabs>
              <w:suppressAutoHyphens w:val="0"/>
              <w:autoSpaceDE w:val="0"/>
              <w:autoSpaceDN w:val="0"/>
              <w:adjustRightInd w:val="0"/>
              <w:rPr>
                <w:b/>
                <w:bCs/>
              </w:rPr>
            </w:pPr>
            <w:r w:rsidRPr="00BC0E7E">
              <w:rPr>
                <w:b/>
              </w:rPr>
              <w:t>Fistula remission</w:t>
            </w:r>
            <w:r w:rsidRPr="00BC0E7E">
              <w:rPr>
                <w:b/>
                <w:vertAlign w:val="superscript"/>
              </w:rPr>
              <w:t>3</w:t>
            </w:r>
          </w:p>
        </w:tc>
        <w:tc>
          <w:tcPr>
            <w:tcW w:w="1656" w:type="dxa"/>
            <w:tcBorders>
              <w:top w:val="single" w:sz="6" w:space="0" w:color="000000"/>
              <w:left w:val="single" w:sz="6" w:space="0" w:color="000000"/>
              <w:bottom w:val="single" w:sz="6" w:space="0" w:color="000000"/>
              <w:right w:val="single" w:sz="6" w:space="0" w:color="000000"/>
            </w:tcBorders>
          </w:tcPr>
          <w:p w14:paraId="6B2ACBC9"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b/>
                <w:szCs w:val="22"/>
              </w:rPr>
              <w:t>N=15</w:t>
            </w:r>
          </w:p>
        </w:tc>
        <w:tc>
          <w:tcPr>
            <w:tcW w:w="1619" w:type="dxa"/>
            <w:tcBorders>
              <w:top w:val="single" w:sz="6" w:space="0" w:color="000000"/>
              <w:left w:val="single" w:sz="6" w:space="0" w:color="000000"/>
              <w:bottom w:val="single" w:sz="6" w:space="0" w:color="000000"/>
              <w:right w:val="single" w:sz="6" w:space="0" w:color="000000"/>
            </w:tcBorders>
          </w:tcPr>
          <w:p w14:paraId="63D8BC94"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rPr>
                <w:b/>
                <w:szCs w:val="22"/>
              </w:rPr>
              <w:t>N=21</w:t>
            </w:r>
          </w:p>
        </w:tc>
        <w:tc>
          <w:tcPr>
            <w:tcW w:w="1140" w:type="dxa"/>
            <w:tcBorders>
              <w:top w:val="single" w:sz="6" w:space="0" w:color="000000"/>
              <w:left w:val="single" w:sz="6" w:space="0" w:color="000000"/>
              <w:bottom w:val="single" w:sz="6" w:space="0" w:color="000000"/>
              <w:right w:val="single" w:sz="6" w:space="0" w:color="000000"/>
            </w:tcBorders>
          </w:tcPr>
          <w:p w14:paraId="0CC75C99" w14:textId="77777777" w:rsidR="003B0C89" w:rsidRPr="00BC0E7E" w:rsidRDefault="003B0C89" w:rsidP="00C83D47">
            <w:pPr>
              <w:keepNext/>
              <w:keepLines/>
              <w:tabs>
                <w:tab w:val="clear" w:pos="562"/>
                <w:tab w:val="left" w:pos="-1080"/>
              </w:tabs>
              <w:suppressAutoHyphens w:val="0"/>
              <w:autoSpaceDE w:val="0"/>
              <w:autoSpaceDN w:val="0"/>
              <w:adjustRightInd w:val="0"/>
              <w:ind w:left="15"/>
              <w:jc w:val="center"/>
            </w:pPr>
          </w:p>
        </w:tc>
      </w:tr>
      <w:tr w:rsidR="00C6578C" w14:paraId="047934EC" w14:textId="77777777" w:rsidTr="00C83D47">
        <w:trPr>
          <w:jc w:val="center"/>
        </w:trPr>
        <w:tc>
          <w:tcPr>
            <w:tcW w:w="4025" w:type="dxa"/>
            <w:tcBorders>
              <w:top w:val="single" w:sz="6" w:space="0" w:color="000000"/>
              <w:left w:val="single" w:sz="6" w:space="0" w:color="000000"/>
              <w:bottom w:val="single" w:sz="6" w:space="0" w:color="000000"/>
              <w:right w:val="single" w:sz="6" w:space="0" w:color="000000"/>
            </w:tcBorders>
          </w:tcPr>
          <w:p w14:paraId="1FB54374" w14:textId="77777777" w:rsidR="003B0C89" w:rsidRPr="00BC0E7E" w:rsidRDefault="00944B8F" w:rsidP="00C83D47">
            <w:pPr>
              <w:keepNext/>
              <w:keepLines/>
              <w:tabs>
                <w:tab w:val="clear" w:pos="562"/>
                <w:tab w:val="left" w:pos="-1080"/>
              </w:tabs>
              <w:suppressAutoHyphens w:val="0"/>
              <w:autoSpaceDE w:val="0"/>
              <w:autoSpaceDN w:val="0"/>
              <w:adjustRightInd w:val="0"/>
              <w:rPr>
                <w:bCs/>
              </w:rPr>
            </w:pPr>
            <w:r w:rsidRPr="00BC0E7E">
              <w:rPr>
                <w:bCs/>
                <w:szCs w:val="22"/>
              </w:rPr>
              <w:t>Week 26</w:t>
            </w:r>
          </w:p>
        </w:tc>
        <w:tc>
          <w:tcPr>
            <w:tcW w:w="1656" w:type="dxa"/>
            <w:tcBorders>
              <w:top w:val="single" w:sz="6" w:space="0" w:color="000000"/>
              <w:left w:val="single" w:sz="6" w:space="0" w:color="000000"/>
              <w:bottom w:val="single" w:sz="6" w:space="0" w:color="000000"/>
              <w:right w:val="single" w:sz="6" w:space="0" w:color="000000"/>
            </w:tcBorders>
          </w:tcPr>
          <w:p w14:paraId="07E98DF7"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t>46.7%</w:t>
            </w:r>
          </w:p>
        </w:tc>
        <w:tc>
          <w:tcPr>
            <w:tcW w:w="1619" w:type="dxa"/>
            <w:tcBorders>
              <w:top w:val="single" w:sz="6" w:space="0" w:color="000000"/>
              <w:left w:val="single" w:sz="6" w:space="0" w:color="000000"/>
              <w:bottom w:val="single" w:sz="6" w:space="0" w:color="000000"/>
              <w:right w:val="single" w:sz="6" w:space="0" w:color="000000"/>
            </w:tcBorders>
          </w:tcPr>
          <w:p w14:paraId="25F7E186"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t>38.1%</w:t>
            </w:r>
          </w:p>
        </w:tc>
        <w:tc>
          <w:tcPr>
            <w:tcW w:w="1140" w:type="dxa"/>
            <w:tcBorders>
              <w:top w:val="single" w:sz="6" w:space="0" w:color="000000"/>
              <w:left w:val="single" w:sz="6" w:space="0" w:color="000000"/>
              <w:bottom w:val="single" w:sz="6" w:space="0" w:color="000000"/>
              <w:right w:val="single" w:sz="6" w:space="0" w:color="000000"/>
            </w:tcBorders>
          </w:tcPr>
          <w:p w14:paraId="31938C46"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t>0.608</w:t>
            </w:r>
          </w:p>
        </w:tc>
      </w:tr>
      <w:tr w:rsidR="00C6578C" w14:paraId="19E6D7D4" w14:textId="77777777" w:rsidTr="00C83D47">
        <w:trPr>
          <w:jc w:val="center"/>
        </w:trPr>
        <w:tc>
          <w:tcPr>
            <w:tcW w:w="4025" w:type="dxa"/>
            <w:tcBorders>
              <w:top w:val="single" w:sz="6" w:space="0" w:color="000000"/>
              <w:left w:val="single" w:sz="6" w:space="0" w:color="000000"/>
              <w:bottom w:val="single" w:sz="4" w:space="0" w:color="auto"/>
              <w:right w:val="single" w:sz="6" w:space="0" w:color="000000"/>
            </w:tcBorders>
          </w:tcPr>
          <w:p w14:paraId="38EFECE5" w14:textId="77777777" w:rsidR="003B0C89" w:rsidRPr="00BC0E7E" w:rsidRDefault="00944B8F" w:rsidP="00C83D47">
            <w:pPr>
              <w:keepNext/>
              <w:keepLines/>
              <w:tabs>
                <w:tab w:val="clear" w:pos="562"/>
                <w:tab w:val="left" w:pos="-1080"/>
              </w:tabs>
              <w:suppressAutoHyphens w:val="0"/>
              <w:autoSpaceDE w:val="0"/>
              <w:autoSpaceDN w:val="0"/>
              <w:adjustRightInd w:val="0"/>
              <w:rPr>
                <w:bCs/>
              </w:rPr>
            </w:pPr>
            <w:r w:rsidRPr="00BC0E7E">
              <w:t>Week 52</w:t>
            </w:r>
          </w:p>
        </w:tc>
        <w:tc>
          <w:tcPr>
            <w:tcW w:w="1656" w:type="dxa"/>
            <w:tcBorders>
              <w:top w:val="single" w:sz="6" w:space="0" w:color="000000"/>
              <w:left w:val="single" w:sz="6" w:space="0" w:color="000000"/>
              <w:bottom w:val="single" w:sz="4" w:space="0" w:color="auto"/>
              <w:right w:val="single" w:sz="6" w:space="0" w:color="000000"/>
            </w:tcBorders>
          </w:tcPr>
          <w:p w14:paraId="675FD8A4"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t>40.0%</w:t>
            </w:r>
          </w:p>
        </w:tc>
        <w:tc>
          <w:tcPr>
            <w:tcW w:w="1619" w:type="dxa"/>
            <w:tcBorders>
              <w:top w:val="single" w:sz="6" w:space="0" w:color="000000"/>
              <w:left w:val="single" w:sz="6" w:space="0" w:color="000000"/>
              <w:bottom w:val="single" w:sz="4" w:space="0" w:color="auto"/>
              <w:right w:val="single" w:sz="6" w:space="0" w:color="000000"/>
            </w:tcBorders>
          </w:tcPr>
          <w:p w14:paraId="63070868"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t>23.8%</w:t>
            </w:r>
          </w:p>
        </w:tc>
        <w:tc>
          <w:tcPr>
            <w:tcW w:w="1140" w:type="dxa"/>
            <w:tcBorders>
              <w:top w:val="single" w:sz="6" w:space="0" w:color="000000"/>
              <w:left w:val="single" w:sz="6" w:space="0" w:color="000000"/>
              <w:bottom w:val="single" w:sz="4" w:space="0" w:color="auto"/>
              <w:right w:val="single" w:sz="6" w:space="0" w:color="000000"/>
            </w:tcBorders>
          </w:tcPr>
          <w:p w14:paraId="1FDA6F26" w14:textId="77777777" w:rsidR="003B0C89" w:rsidRPr="00BC0E7E" w:rsidRDefault="00944B8F" w:rsidP="00C83D47">
            <w:pPr>
              <w:keepNext/>
              <w:keepLines/>
              <w:tabs>
                <w:tab w:val="clear" w:pos="562"/>
                <w:tab w:val="left" w:pos="-1080"/>
              </w:tabs>
              <w:suppressAutoHyphens w:val="0"/>
              <w:autoSpaceDE w:val="0"/>
              <w:autoSpaceDN w:val="0"/>
              <w:adjustRightInd w:val="0"/>
              <w:ind w:left="15"/>
              <w:jc w:val="center"/>
            </w:pPr>
            <w:r w:rsidRPr="00BC0E7E">
              <w:t>0.303</w:t>
            </w:r>
          </w:p>
        </w:tc>
      </w:tr>
      <w:tr w:rsidR="00C6578C" w14:paraId="6D57E7D3" w14:textId="77777777" w:rsidTr="00C83D47">
        <w:trPr>
          <w:trHeight w:val="177"/>
          <w:jc w:val="center"/>
        </w:trPr>
        <w:tc>
          <w:tcPr>
            <w:tcW w:w="8440" w:type="dxa"/>
            <w:gridSpan w:val="4"/>
            <w:tcBorders>
              <w:top w:val="single" w:sz="4" w:space="0" w:color="auto"/>
            </w:tcBorders>
          </w:tcPr>
          <w:p w14:paraId="47F29D62" w14:textId="77777777" w:rsidR="003B0C89" w:rsidRPr="00BC0E7E" w:rsidRDefault="00944B8F" w:rsidP="00C83D47">
            <w:pPr>
              <w:keepNext/>
              <w:keepLines/>
              <w:tabs>
                <w:tab w:val="clear" w:pos="562"/>
                <w:tab w:val="left" w:pos="-1080"/>
              </w:tabs>
              <w:suppressAutoHyphens w:val="0"/>
              <w:autoSpaceDE w:val="0"/>
              <w:autoSpaceDN w:val="0"/>
              <w:adjustRightInd w:val="0"/>
            </w:pPr>
            <w:r w:rsidRPr="00BC0E7E">
              <w:rPr>
                <w:szCs w:val="22"/>
                <w:vertAlign w:val="superscript"/>
              </w:rPr>
              <w:t>1</w:t>
            </w:r>
            <w:r w:rsidRPr="00BC0E7E">
              <w:rPr>
                <w:szCs w:val="22"/>
              </w:rPr>
              <w:t xml:space="preserve">  p value for Standard Dose </w:t>
            </w:r>
            <w:r w:rsidRPr="00BC0E7E">
              <w:rPr>
                <w:i/>
                <w:iCs/>
                <w:szCs w:val="22"/>
              </w:rPr>
              <w:t>versus</w:t>
            </w:r>
            <w:r w:rsidRPr="00BC0E7E">
              <w:rPr>
                <w:szCs w:val="22"/>
              </w:rPr>
              <w:t xml:space="preserve"> Low Dose comparison.</w:t>
            </w:r>
          </w:p>
          <w:p w14:paraId="418C8960" w14:textId="77777777" w:rsidR="003B0C89" w:rsidRPr="00BC0E7E" w:rsidRDefault="00944B8F" w:rsidP="00C83D47">
            <w:pPr>
              <w:keepNext/>
              <w:keepLines/>
              <w:tabs>
                <w:tab w:val="clear" w:pos="562"/>
                <w:tab w:val="left" w:pos="-1080"/>
              </w:tabs>
              <w:suppressAutoHyphens w:val="0"/>
              <w:autoSpaceDE w:val="0"/>
              <w:autoSpaceDN w:val="0"/>
              <w:adjustRightInd w:val="0"/>
            </w:pPr>
            <w:r w:rsidRPr="00BC0E7E">
              <w:rPr>
                <w:szCs w:val="22"/>
                <w:vertAlign w:val="superscript"/>
              </w:rPr>
              <w:t>2</w:t>
            </w:r>
            <w:r w:rsidRPr="00BC0E7E">
              <w:rPr>
                <w:szCs w:val="22"/>
              </w:rPr>
              <w:t xml:space="preserve">  Immunosuppressant therapy could only be discontinued at or after Week 26 at the investigator's discretion if the subject met the clinical response criterion </w:t>
            </w:r>
          </w:p>
          <w:p w14:paraId="477EFA5F" w14:textId="77777777" w:rsidR="003B0C89" w:rsidRPr="00BC0E7E" w:rsidRDefault="00944B8F" w:rsidP="00C83D47">
            <w:pPr>
              <w:keepNext/>
              <w:keepLines/>
              <w:tabs>
                <w:tab w:val="clear" w:pos="562"/>
                <w:tab w:val="left" w:pos="-1080"/>
              </w:tabs>
              <w:suppressAutoHyphens w:val="0"/>
              <w:autoSpaceDE w:val="0"/>
              <w:autoSpaceDN w:val="0"/>
              <w:adjustRightInd w:val="0"/>
            </w:pPr>
            <w:r w:rsidRPr="00BC0E7E">
              <w:rPr>
                <w:szCs w:val="22"/>
                <w:vertAlign w:val="superscript"/>
              </w:rPr>
              <w:t>3</w:t>
            </w:r>
            <w:r w:rsidRPr="00BC0E7E">
              <w:rPr>
                <w:szCs w:val="22"/>
              </w:rPr>
              <w:t xml:space="preserve"> defined as a closure of all fistulas that were draining at Baseline for at least 2 consecutive post-Baseline visits</w:t>
            </w:r>
          </w:p>
        </w:tc>
      </w:tr>
    </w:tbl>
    <w:p w14:paraId="60657745" w14:textId="77777777" w:rsidR="003B0C89" w:rsidRPr="00BC0E7E" w:rsidRDefault="003B0C89" w:rsidP="003B0C89">
      <w:pPr>
        <w:tabs>
          <w:tab w:val="left" w:pos="1294"/>
        </w:tabs>
        <w:autoSpaceDE w:val="0"/>
        <w:autoSpaceDN w:val="0"/>
        <w:adjustRightInd w:val="0"/>
        <w:rPr>
          <w:szCs w:val="22"/>
        </w:rPr>
      </w:pPr>
    </w:p>
    <w:p w14:paraId="2F9D8861" w14:textId="77777777" w:rsidR="003B0C89" w:rsidRPr="00BC0E7E" w:rsidRDefault="00944B8F" w:rsidP="003B0C89">
      <w:pPr>
        <w:rPr>
          <w:szCs w:val="22"/>
        </w:rPr>
      </w:pPr>
      <w:r w:rsidRPr="00BC0E7E">
        <w:rPr>
          <w:szCs w:val="20"/>
        </w:rPr>
        <w:t>Statistically significant</w:t>
      </w:r>
      <w:r w:rsidRPr="00BC0E7E">
        <w:rPr>
          <w:szCs w:val="22"/>
        </w:rPr>
        <w:t xml:space="preserve"> increases (improvement) from Baseline to Week 26 and 52 in Body Mass Index and height velocity were observed for both treatment groups.</w:t>
      </w:r>
    </w:p>
    <w:p w14:paraId="4985C3CF" w14:textId="77777777" w:rsidR="003B0C89" w:rsidRPr="00BC0E7E" w:rsidRDefault="003B0C89" w:rsidP="003B0C89">
      <w:pPr>
        <w:rPr>
          <w:szCs w:val="20"/>
        </w:rPr>
      </w:pPr>
    </w:p>
    <w:p w14:paraId="2BB5BC7C" w14:textId="77777777" w:rsidR="003B0C89" w:rsidRPr="00BC0E7E" w:rsidRDefault="00944B8F" w:rsidP="003B0C89">
      <w:pPr>
        <w:rPr>
          <w:szCs w:val="20"/>
        </w:rPr>
      </w:pPr>
      <w:r w:rsidRPr="00BC0E7E">
        <w:rPr>
          <w:bCs/>
          <w:szCs w:val="22"/>
        </w:rPr>
        <w:t>Statistically and clinically significant improvements from Baseline were also observed in both treatment groups for quality of life parameters (including IMPACT III)</w:t>
      </w:r>
      <w:r w:rsidRPr="00BC0E7E">
        <w:rPr>
          <w:szCs w:val="20"/>
        </w:rPr>
        <w:t>.</w:t>
      </w:r>
    </w:p>
    <w:p w14:paraId="760CA42E" w14:textId="77777777" w:rsidR="003B0C89" w:rsidRPr="00BC0E7E" w:rsidRDefault="003B0C89" w:rsidP="003B0C89">
      <w:pPr>
        <w:rPr>
          <w:szCs w:val="20"/>
        </w:rPr>
      </w:pPr>
    </w:p>
    <w:p w14:paraId="5E036F52" w14:textId="77777777" w:rsidR="003B0C89" w:rsidRPr="00BC0E7E" w:rsidRDefault="00944B8F" w:rsidP="003B0C89">
      <w:pPr>
        <w:rPr>
          <w:szCs w:val="20"/>
        </w:rPr>
      </w:pPr>
      <w:r w:rsidRPr="00BC0E7E">
        <w:rPr>
          <w:szCs w:val="20"/>
        </w:rPr>
        <w:t>One hundred patients (n=100) from the Paediatric CD Study continued in an open-label long-term extension study.  After 5 years of adalimumab therapy, 74.0% (37/50) of the 50 patients remaining in the study continued to be in clinical remission, and 92.0% (46/50) of patients continued to be in clinical response per PCDAI.</w:t>
      </w:r>
    </w:p>
    <w:p w14:paraId="44D28B4F" w14:textId="77777777" w:rsidR="003B0C89" w:rsidRDefault="003B0C89" w:rsidP="00BC0E7E">
      <w:pPr>
        <w:rPr>
          <w:szCs w:val="22"/>
          <w:lang w:eastAsia="en-GB"/>
        </w:rPr>
      </w:pPr>
    </w:p>
    <w:p w14:paraId="5C372C77" w14:textId="77777777" w:rsidR="005428D8" w:rsidRDefault="00944B8F" w:rsidP="005428D8">
      <w:pPr>
        <w:keepNext/>
        <w:rPr>
          <w:bCs/>
          <w:i/>
          <w:szCs w:val="22"/>
        </w:rPr>
      </w:pPr>
      <w:r>
        <w:rPr>
          <w:bCs/>
          <w:i/>
          <w:szCs w:val="22"/>
        </w:rPr>
        <w:t>Paediatric ulcerative colitis</w:t>
      </w:r>
    </w:p>
    <w:p w14:paraId="4BB1B81B" w14:textId="77777777" w:rsidR="005428D8" w:rsidRDefault="005428D8" w:rsidP="005428D8">
      <w:pPr>
        <w:keepNext/>
        <w:rPr>
          <w:bCs/>
          <w:i/>
          <w:szCs w:val="22"/>
        </w:rPr>
      </w:pPr>
    </w:p>
    <w:p w14:paraId="7BF0CCB4" w14:textId="77777777" w:rsidR="005428D8" w:rsidRDefault="00944B8F" w:rsidP="005428D8">
      <w:pPr>
        <w:rPr>
          <w:lang w:val="en-US"/>
        </w:rPr>
      </w:pPr>
      <w:r>
        <w:rPr>
          <w:lang w:val="en-US"/>
        </w:rPr>
        <w:t>The safety and efficacy of Humira was assessed in a multicenter, randomized, double-blind, trial in 93 p</w:t>
      </w:r>
      <w:r w:rsidR="0002697B">
        <w:rPr>
          <w:lang w:val="en-US"/>
        </w:rPr>
        <w:t>a</w:t>
      </w:r>
      <w:r>
        <w:rPr>
          <w:lang w:val="en-US"/>
        </w:rPr>
        <w:t>ediatric patients from 5 to 17 years of age with moderate to severe ulcerative colitis (Mayo score 6 to 12 with endoscopy subscore of 2 to 3 points, confirmed by centrally read endoscopy) who had an inadequate response or intolerance to conventional therapy. Approximately 16% of patients in the study had failed prior anti-TNF treatment. Patients who received corticosteroids at enrollment were allowed to taper their corticosteroid therapy after Week 4.</w:t>
      </w:r>
    </w:p>
    <w:p w14:paraId="5FEA20FB" w14:textId="77777777" w:rsidR="005428D8" w:rsidRDefault="005428D8" w:rsidP="005428D8">
      <w:pPr>
        <w:rPr>
          <w:lang w:val="en-US"/>
        </w:rPr>
      </w:pPr>
    </w:p>
    <w:p w14:paraId="3400264F" w14:textId="77777777" w:rsidR="005F5782" w:rsidRPr="005F5782" w:rsidRDefault="00944B8F" w:rsidP="005F5782">
      <w:pPr>
        <w:rPr>
          <w:lang w:val="en-US"/>
        </w:rPr>
      </w:pPr>
      <w:r w:rsidRPr="005F5782">
        <w:rPr>
          <w:rStyle w:val="normaltextrun"/>
          <w:shd w:val="clear" w:color="auto" w:fill="FFFFFF"/>
          <w:lang w:val="en-US"/>
        </w:rPr>
        <w:t>In the induction period of the study, 77 patients were randomized 3:2 to receive double-blind treatment with Humira at an induction dose of 2.4 mg/kg (maximum of 160 mg) at Week 0 and Week 1, and 1.2 mg/kg (maximum of 80 mg) at Week 2; or an induction dose of 2.4 mg/kg (maximum of 160 mg) at Week 0, placebo at Week 1, and 1.2 mg/kg (maximum of 80 mg) at Week 2. Both groups received 0.6 mg/kg (maximum of 40 mg) at Week 4 and Week 6. Following an amendment to the study design, the remaining 16 patients who enrolled in the induction period received open-label treatment with Humira at the induction dose of 2.4 mg/kg (maximum of 160 mg) at Week 0 and Week 1, and 1.2 mg/kg (maximum of 80 mg) at Week 2.</w:t>
      </w:r>
      <w:r w:rsidRPr="005F5782">
        <w:rPr>
          <w:rStyle w:val="eop"/>
          <w:shd w:val="clear" w:color="auto" w:fill="FFFFFF"/>
        </w:rPr>
        <w:t> </w:t>
      </w:r>
    </w:p>
    <w:p w14:paraId="04CA7879" w14:textId="77777777" w:rsidR="005F5782" w:rsidRPr="005F5782" w:rsidRDefault="005F5782" w:rsidP="005F5782">
      <w:pPr>
        <w:rPr>
          <w:lang w:val="en-US"/>
        </w:rPr>
      </w:pPr>
    </w:p>
    <w:p w14:paraId="667C7047" w14:textId="77777777" w:rsidR="005F5782" w:rsidRPr="005F5782" w:rsidRDefault="00944B8F" w:rsidP="005F5782">
      <w:pPr>
        <w:rPr>
          <w:rStyle w:val="eop"/>
          <w:shd w:val="clear" w:color="auto" w:fill="FFFFFF"/>
        </w:rPr>
      </w:pPr>
      <w:r w:rsidRPr="005F5782">
        <w:rPr>
          <w:rStyle w:val="normaltextrun"/>
          <w:shd w:val="clear" w:color="auto" w:fill="FFFFFF"/>
          <w:lang w:val="en-US"/>
        </w:rPr>
        <w:t>At Week 8, 62 patients who demonstrated clinical response per Partial Mayo Score (PMS; defined as a decrease in PMS ≥ 2 points and ≥ 30% from Baseline) were randomized equally to receive double-blind maintenance treatment with Humira at a dose of 0.6 mg/kg (maximum of 40 mg) every week (</w:t>
      </w:r>
      <w:r w:rsidRPr="005F5782">
        <w:rPr>
          <w:rStyle w:val="spellingerror"/>
          <w:shd w:val="clear" w:color="auto" w:fill="FFFFFF"/>
          <w:lang w:val="en-US"/>
        </w:rPr>
        <w:t>ew</w:t>
      </w:r>
      <w:r w:rsidRPr="005F5782">
        <w:rPr>
          <w:rStyle w:val="normaltextrun"/>
          <w:shd w:val="clear" w:color="auto" w:fill="FFFFFF"/>
          <w:lang w:val="en-US"/>
        </w:rPr>
        <w:t>), or a maintenance dose of 0.6 mg/kg (maximum of 40 mg) every other week (</w:t>
      </w:r>
      <w:r w:rsidRPr="005F5782">
        <w:rPr>
          <w:rStyle w:val="spellingerror"/>
          <w:shd w:val="clear" w:color="auto" w:fill="FFFFFF"/>
          <w:lang w:val="en-US"/>
        </w:rPr>
        <w:t>eow</w:t>
      </w:r>
      <w:r w:rsidRPr="005F5782">
        <w:rPr>
          <w:rStyle w:val="normaltextrun"/>
          <w:shd w:val="clear" w:color="auto" w:fill="FFFFFF"/>
          <w:lang w:val="en-US"/>
        </w:rPr>
        <w:t xml:space="preserve">). Prior to an amendment to </w:t>
      </w:r>
      <w:r w:rsidRPr="005F5782">
        <w:rPr>
          <w:rStyle w:val="normaltextrun"/>
          <w:shd w:val="clear" w:color="auto" w:fill="FFFFFF"/>
          <w:lang w:val="en-US"/>
        </w:rPr>
        <w:lastRenderedPageBreak/>
        <w:t>the study design, 12 additional patients who demonstrated clinical response per PMS were randomized to receive placebo but were not included in the confirmatory analysis of efficacy.</w:t>
      </w:r>
    </w:p>
    <w:p w14:paraId="4EEC4815" w14:textId="77777777" w:rsidR="005428D8" w:rsidRDefault="005428D8" w:rsidP="005428D8">
      <w:pPr>
        <w:rPr>
          <w:lang w:val="en-US"/>
        </w:rPr>
      </w:pPr>
    </w:p>
    <w:p w14:paraId="599623DF" w14:textId="77777777" w:rsidR="005428D8" w:rsidRPr="00255EBC" w:rsidRDefault="00944B8F" w:rsidP="005428D8">
      <w:pPr>
        <w:rPr>
          <w:lang w:val="en-US"/>
        </w:rPr>
      </w:pPr>
      <w:r w:rsidRPr="00255EBC">
        <w:rPr>
          <w:lang w:val="en-US"/>
        </w:rPr>
        <w:t xml:space="preserve">Disease flare was defined as an increase in PMS of </w:t>
      </w:r>
      <w:r w:rsidR="00301F8D">
        <w:rPr>
          <w:lang w:val="en-US"/>
        </w:rPr>
        <w:t xml:space="preserve">at least </w:t>
      </w:r>
      <w:r w:rsidRPr="00255EBC">
        <w:rPr>
          <w:lang w:val="en-US"/>
        </w:rPr>
        <w:t xml:space="preserve">3 points (for patients with PMS of 0 to 2 at Week 8), </w:t>
      </w:r>
      <w:r w:rsidR="00301F8D">
        <w:rPr>
          <w:lang w:val="en-US"/>
        </w:rPr>
        <w:t xml:space="preserve">at least </w:t>
      </w:r>
      <w:r w:rsidRPr="00255EBC">
        <w:rPr>
          <w:lang w:val="en-US"/>
        </w:rPr>
        <w:t xml:space="preserve">2 points (for patients with PMS of 3 to 4 at Week 8), or </w:t>
      </w:r>
      <w:r w:rsidR="00301F8D">
        <w:rPr>
          <w:lang w:val="en-US"/>
        </w:rPr>
        <w:t xml:space="preserve">at least </w:t>
      </w:r>
      <w:r w:rsidRPr="00255EBC">
        <w:rPr>
          <w:lang w:val="en-US"/>
        </w:rPr>
        <w:t>1 point (for patients with PMS of 5 to 6 at Week 8). </w:t>
      </w:r>
    </w:p>
    <w:p w14:paraId="6FEAFE78" w14:textId="77777777" w:rsidR="005428D8" w:rsidRPr="00255EBC" w:rsidRDefault="005428D8" w:rsidP="005428D8">
      <w:pPr>
        <w:rPr>
          <w:lang w:val="en-US"/>
        </w:rPr>
      </w:pPr>
    </w:p>
    <w:p w14:paraId="25314758" w14:textId="77777777" w:rsidR="005428D8" w:rsidRPr="00255EBC" w:rsidRDefault="00944B8F" w:rsidP="005428D8">
      <w:pPr>
        <w:rPr>
          <w:lang w:val="en-US"/>
        </w:rPr>
      </w:pPr>
      <w:r w:rsidRPr="00255EBC">
        <w:rPr>
          <w:lang w:val="en-US"/>
        </w:rPr>
        <w:t>Patients who met criteria for disease flare at or after Week 12 were randomized to receive a re-induction dose of 2.4 mg/kg (maximum of 160 mg) or a dose of 0.6 mg/kg (maximum of 40 mg) and continued to receive their respective maintenance dose regimen afterwards. </w:t>
      </w:r>
    </w:p>
    <w:p w14:paraId="6E8AB749" w14:textId="77777777" w:rsidR="00AB3AFC" w:rsidRPr="002A70BB" w:rsidRDefault="00AB3AFC" w:rsidP="00AB3AFC">
      <w:pPr>
        <w:pStyle w:val="gtcbodytext"/>
        <w:spacing w:before="0" w:after="0"/>
        <w:rPr>
          <w:sz w:val="22"/>
          <w:szCs w:val="22"/>
        </w:rPr>
      </w:pPr>
    </w:p>
    <w:p w14:paraId="5AA64DD3" w14:textId="77777777" w:rsidR="005428D8" w:rsidRDefault="00944B8F" w:rsidP="00AB3AFC">
      <w:pPr>
        <w:pStyle w:val="gtcbodytext"/>
        <w:spacing w:before="0" w:after="0"/>
        <w:rPr>
          <w:i/>
          <w:iCs/>
          <w:sz w:val="22"/>
          <w:szCs w:val="22"/>
        </w:rPr>
      </w:pPr>
      <w:r w:rsidRPr="000149FD">
        <w:rPr>
          <w:i/>
          <w:iCs/>
          <w:sz w:val="22"/>
          <w:szCs w:val="22"/>
        </w:rPr>
        <w:t>Efficacy Results</w:t>
      </w:r>
    </w:p>
    <w:p w14:paraId="39047D7B" w14:textId="77777777" w:rsidR="00AB3AFC" w:rsidRPr="002A70BB" w:rsidRDefault="00AB3AFC" w:rsidP="00AB3AFC">
      <w:pPr>
        <w:pStyle w:val="gtcbodytext"/>
        <w:spacing w:before="0" w:after="0"/>
        <w:rPr>
          <w:sz w:val="22"/>
          <w:szCs w:val="22"/>
        </w:rPr>
      </w:pPr>
    </w:p>
    <w:p w14:paraId="7C4EABC0" w14:textId="77777777" w:rsidR="005428D8" w:rsidRDefault="00944B8F" w:rsidP="005428D8">
      <w:pPr>
        <w:rPr>
          <w:lang w:val="en-US"/>
        </w:rPr>
      </w:pPr>
      <w:r>
        <w:rPr>
          <w:lang w:val="en-US"/>
        </w:rPr>
        <w:t>The co-primary endpoints of the study were clinical remission per PMS (defined as PMS ≤ 2 and no individual subscore &gt; 1) at Week 8, and clinical remission per FMS (Full Mayo Score) (defined as a Mayo Score ≤ 2 and no individual subscore &gt; 1) at Week 52 in patients who achieved clinical response per PMS at Week 8.</w:t>
      </w:r>
    </w:p>
    <w:p w14:paraId="711FDD4F" w14:textId="77777777" w:rsidR="002A70BB" w:rsidRDefault="002A70BB" w:rsidP="005428D8">
      <w:pPr>
        <w:rPr>
          <w:lang w:val="en-US"/>
        </w:rPr>
      </w:pPr>
    </w:p>
    <w:p w14:paraId="6E7A0393" w14:textId="77777777" w:rsidR="005428D8" w:rsidRPr="00075E0D" w:rsidRDefault="00944B8F" w:rsidP="005428D8">
      <w:pPr>
        <w:tabs>
          <w:tab w:val="clear" w:pos="562"/>
        </w:tabs>
        <w:suppressAutoHyphens w:val="0"/>
        <w:textAlignment w:val="baseline"/>
        <w:rPr>
          <w:lang w:val="en-US"/>
        </w:rPr>
      </w:pPr>
      <w:r w:rsidRPr="000D5A5A">
        <w:rPr>
          <w:lang w:val="en-US"/>
        </w:rPr>
        <w:t>Clinical remission rates per PMS at Week 8 for patients in each of the Humira double-blind induction groups</w:t>
      </w:r>
      <w:r>
        <w:rPr>
          <w:lang w:val="en-US"/>
        </w:rPr>
        <w:t xml:space="preserve"> are presented in</w:t>
      </w:r>
      <w:r w:rsidRPr="000D5A5A">
        <w:rPr>
          <w:lang w:val="en-US"/>
        </w:rPr>
        <w:t> </w:t>
      </w:r>
      <w:r w:rsidRPr="00075E0D">
        <w:rPr>
          <w:lang w:val="en-US"/>
        </w:rPr>
        <w:t xml:space="preserve">Table </w:t>
      </w:r>
      <w:r w:rsidR="005F03EC">
        <w:rPr>
          <w:lang w:val="en-US"/>
        </w:rPr>
        <w:t>31</w:t>
      </w:r>
      <w:r w:rsidRPr="00075E0D">
        <w:rPr>
          <w:lang w:val="en-US"/>
        </w:rPr>
        <w:t>. </w:t>
      </w:r>
    </w:p>
    <w:p w14:paraId="59E8238C" w14:textId="77777777" w:rsidR="00591A1C" w:rsidRPr="00591A1C" w:rsidRDefault="00944B8F" w:rsidP="00591A1C">
      <w:pPr>
        <w:pStyle w:val="gtcbodytext"/>
        <w:jc w:val="center"/>
        <w:rPr>
          <w:rStyle w:val="normaltextrun"/>
          <w:b/>
          <w:sz w:val="22"/>
          <w:szCs w:val="22"/>
        </w:rPr>
      </w:pPr>
      <w:r w:rsidRPr="003B65EC">
        <w:rPr>
          <w:b/>
          <w:sz w:val="22"/>
          <w:szCs w:val="22"/>
        </w:rPr>
        <w:t xml:space="preserve">Table </w:t>
      </w:r>
      <w:r w:rsidR="005F03EC" w:rsidRPr="003B65EC">
        <w:rPr>
          <w:b/>
          <w:sz w:val="22"/>
          <w:szCs w:val="22"/>
        </w:rPr>
        <w:t>31</w:t>
      </w:r>
      <w:r w:rsidRPr="003B65EC">
        <w:rPr>
          <w:b/>
          <w:sz w:val="22"/>
          <w:szCs w:val="22"/>
        </w:rPr>
        <w:t xml:space="preserve">: Clinical Remission per PMS at 8 Weeks </w:t>
      </w:r>
    </w:p>
    <w:tbl>
      <w:tblPr>
        <w:tblW w:w="4246" w:type="pct"/>
        <w:jc w:val="center"/>
        <w:tblLook w:val="04A0" w:firstRow="1" w:lastRow="0" w:firstColumn="1" w:lastColumn="0" w:noHBand="0" w:noVBand="1"/>
      </w:tblPr>
      <w:tblGrid>
        <w:gridCol w:w="1977"/>
        <w:gridCol w:w="2976"/>
        <w:gridCol w:w="3031"/>
      </w:tblGrid>
      <w:tr w:rsidR="00C6578C" w14:paraId="4EBEB78F" w14:textId="77777777" w:rsidTr="00EA5EEF">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9A8A985" w14:textId="77777777" w:rsidR="00F54255" w:rsidRPr="00C006EF" w:rsidRDefault="00F54255" w:rsidP="0065221F">
            <w:pPr>
              <w:rPr>
                <w:szCs w:val="22"/>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67C303B" w14:textId="77777777" w:rsidR="00F54255" w:rsidRPr="00BB7245" w:rsidRDefault="00944B8F" w:rsidP="0065221F">
            <w:pPr>
              <w:pStyle w:val="paragraph0"/>
              <w:spacing w:before="0" w:beforeAutospacing="0" w:after="0" w:afterAutospacing="0"/>
              <w:jc w:val="center"/>
              <w:textAlignment w:val="baseline"/>
              <w:rPr>
                <w:rFonts w:ascii="Segoe UI" w:hAnsi="Segoe UI" w:cs="Segoe UI"/>
                <w:b/>
                <w:bCs/>
                <w:sz w:val="22"/>
                <w:szCs w:val="22"/>
              </w:rPr>
            </w:pPr>
            <w:r w:rsidRPr="00BB7245">
              <w:rPr>
                <w:rStyle w:val="spellingerror"/>
                <w:rFonts w:cs="Calibri"/>
                <w:b/>
                <w:bCs/>
                <w:sz w:val="22"/>
                <w:szCs w:val="22"/>
              </w:rPr>
              <w:t>Humira</w:t>
            </w:r>
            <w:r w:rsidRPr="00BB7245">
              <w:rPr>
                <w:rStyle w:val="spellingerror"/>
                <w:rFonts w:cs="Calibri"/>
                <w:b/>
                <w:bCs/>
                <w:sz w:val="22"/>
                <w:szCs w:val="22"/>
                <w:vertAlign w:val="superscript"/>
              </w:rPr>
              <w:t>a</w:t>
            </w:r>
            <w:r w:rsidRPr="00BB7245">
              <w:rPr>
                <w:rStyle w:val="eop"/>
                <w:rFonts w:cs="Calibri"/>
                <w:b/>
                <w:bCs/>
                <w:sz w:val="22"/>
                <w:szCs w:val="22"/>
              </w:rPr>
              <w:t> </w:t>
            </w:r>
          </w:p>
          <w:p w14:paraId="355303E7" w14:textId="77777777" w:rsidR="00F54255" w:rsidRPr="00BB7245" w:rsidRDefault="00944B8F" w:rsidP="0065221F">
            <w:pPr>
              <w:spacing w:line="276" w:lineRule="auto"/>
              <w:jc w:val="center"/>
              <w:rPr>
                <w:rStyle w:val="eop"/>
                <w:rFonts w:cs="Calibri"/>
                <w:b/>
                <w:bCs/>
                <w:szCs w:val="22"/>
              </w:rPr>
            </w:pPr>
            <w:r w:rsidRPr="00BB7245">
              <w:rPr>
                <w:rStyle w:val="normaltextrun"/>
                <w:rFonts w:cs="Calibri"/>
                <w:b/>
                <w:bCs/>
                <w:szCs w:val="22"/>
              </w:rPr>
              <w:t>Maximum of 160 mg at Week 0 / Placebo at Week 1</w:t>
            </w:r>
            <w:r w:rsidRPr="00BB7245">
              <w:rPr>
                <w:rStyle w:val="eop"/>
                <w:rFonts w:cs="Calibri"/>
                <w:b/>
                <w:bCs/>
                <w:szCs w:val="22"/>
              </w:rPr>
              <w:t> </w:t>
            </w:r>
          </w:p>
          <w:p w14:paraId="4CC97ECC" w14:textId="77777777" w:rsidR="00F54255" w:rsidRPr="004A7E7E" w:rsidRDefault="00944B8F" w:rsidP="0065221F">
            <w:pPr>
              <w:spacing w:line="276" w:lineRule="auto"/>
              <w:jc w:val="center"/>
              <w:rPr>
                <w:szCs w:val="22"/>
                <w:lang w:val="en-US"/>
              </w:rPr>
            </w:pPr>
            <w:r w:rsidRPr="004A7E7E">
              <w:rPr>
                <w:rStyle w:val="eop"/>
                <w:rFonts w:cs="Calibri"/>
              </w:rPr>
              <w:t>N=30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91235B1" w14:textId="77777777" w:rsidR="00F54255" w:rsidRPr="00BB7245" w:rsidRDefault="00944B8F" w:rsidP="0065221F">
            <w:pPr>
              <w:pStyle w:val="paragraph0"/>
              <w:spacing w:before="0" w:beforeAutospacing="0" w:after="0" w:afterAutospacing="0"/>
              <w:jc w:val="center"/>
              <w:textAlignment w:val="baseline"/>
              <w:rPr>
                <w:rFonts w:ascii="Segoe UI" w:hAnsi="Segoe UI" w:cs="Segoe UI"/>
                <w:b/>
                <w:bCs/>
                <w:sz w:val="22"/>
                <w:szCs w:val="22"/>
              </w:rPr>
            </w:pPr>
            <w:r w:rsidRPr="00BB7245">
              <w:rPr>
                <w:rStyle w:val="spellingerror"/>
                <w:rFonts w:cs="Calibri"/>
                <w:b/>
                <w:bCs/>
                <w:sz w:val="22"/>
                <w:szCs w:val="22"/>
              </w:rPr>
              <w:t>Humira</w:t>
            </w:r>
            <w:r w:rsidRPr="00BB7245">
              <w:rPr>
                <w:rStyle w:val="spellingerror"/>
                <w:rFonts w:cs="Calibri"/>
                <w:b/>
                <w:bCs/>
                <w:sz w:val="22"/>
                <w:szCs w:val="22"/>
                <w:vertAlign w:val="superscript"/>
              </w:rPr>
              <w:t>b</w:t>
            </w:r>
            <w:r w:rsidRPr="00BB7245">
              <w:rPr>
                <w:rStyle w:val="normaltextrun"/>
                <w:rFonts w:cs="Calibri"/>
                <w:b/>
                <w:bCs/>
                <w:sz w:val="22"/>
                <w:szCs w:val="22"/>
                <w:vertAlign w:val="superscript"/>
              </w:rPr>
              <w:t>, c</w:t>
            </w:r>
            <w:r w:rsidRPr="00BB7245">
              <w:rPr>
                <w:rStyle w:val="eop"/>
                <w:rFonts w:cs="Calibri"/>
                <w:b/>
                <w:bCs/>
                <w:sz w:val="22"/>
                <w:szCs w:val="22"/>
              </w:rPr>
              <w:t> </w:t>
            </w:r>
          </w:p>
          <w:p w14:paraId="7AA2C27B" w14:textId="77777777" w:rsidR="00F54255" w:rsidRPr="00BB7245" w:rsidRDefault="00944B8F" w:rsidP="0065221F">
            <w:pPr>
              <w:spacing w:line="276" w:lineRule="auto"/>
              <w:jc w:val="center"/>
              <w:rPr>
                <w:rStyle w:val="eop"/>
                <w:rFonts w:cs="Calibri"/>
                <w:b/>
                <w:bCs/>
                <w:szCs w:val="22"/>
              </w:rPr>
            </w:pPr>
            <w:r w:rsidRPr="00BB7245">
              <w:rPr>
                <w:rStyle w:val="normaltextrun"/>
                <w:rFonts w:cs="Calibri"/>
                <w:b/>
                <w:bCs/>
                <w:szCs w:val="22"/>
              </w:rPr>
              <w:t>Maximum of 160 mg at Week 0 and Week 1</w:t>
            </w:r>
            <w:r w:rsidRPr="00BB7245">
              <w:rPr>
                <w:rStyle w:val="eop"/>
                <w:rFonts w:cs="Calibri"/>
                <w:b/>
                <w:bCs/>
                <w:szCs w:val="22"/>
              </w:rPr>
              <w:t> </w:t>
            </w:r>
          </w:p>
          <w:p w14:paraId="510BDA33" w14:textId="77777777" w:rsidR="00F54255" w:rsidRPr="004A7E7E" w:rsidRDefault="00944B8F" w:rsidP="0065221F">
            <w:pPr>
              <w:spacing w:line="276" w:lineRule="auto"/>
              <w:jc w:val="center"/>
              <w:rPr>
                <w:szCs w:val="22"/>
                <w:lang w:val="en-US"/>
              </w:rPr>
            </w:pPr>
            <w:r w:rsidRPr="004A7E7E">
              <w:rPr>
                <w:rStyle w:val="eop"/>
                <w:rFonts w:cs="Calibri"/>
              </w:rPr>
              <w:t>N=47</w:t>
            </w:r>
          </w:p>
        </w:tc>
      </w:tr>
      <w:tr w:rsidR="00C6578C" w14:paraId="2A08E0DE" w14:textId="77777777" w:rsidTr="00EA5EEF">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594CB69" w14:textId="77777777" w:rsidR="00F54255" w:rsidRPr="00986E88" w:rsidRDefault="00944B8F" w:rsidP="0065221F">
            <w:pPr>
              <w:spacing w:line="276" w:lineRule="auto"/>
              <w:rPr>
                <w:szCs w:val="22"/>
                <w:lang w:val="en-US"/>
              </w:rPr>
            </w:pPr>
            <w:r w:rsidRPr="00986E88">
              <w:rPr>
                <w:szCs w:val="22"/>
                <w:lang w:val="en-US"/>
              </w:rPr>
              <w:t>Clinical remission</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84C222F" w14:textId="77777777" w:rsidR="00F54255" w:rsidRPr="00986E88" w:rsidRDefault="00944B8F" w:rsidP="0065221F">
            <w:pPr>
              <w:spacing w:line="276" w:lineRule="auto"/>
              <w:jc w:val="center"/>
              <w:rPr>
                <w:szCs w:val="22"/>
                <w:lang w:val="en-US"/>
              </w:rPr>
            </w:pPr>
            <w:r w:rsidRPr="00986E88">
              <w:rPr>
                <w:szCs w:val="22"/>
                <w:lang w:val="en-US"/>
              </w:rPr>
              <w:t>13/30 (43.3%)</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BC830E6" w14:textId="77777777" w:rsidR="00F54255" w:rsidRPr="00986E88" w:rsidRDefault="00944B8F" w:rsidP="0065221F">
            <w:pPr>
              <w:spacing w:line="276" w:lineRule="auto"/>
              <w:jc w:val="center"/>
              <w:rPr>
                <w:szCs w:val="22"/>
                <w:vertAlign w:val="superscript"/>
                <w:lang w:val="en-US"/>
              </w:rPr>
            </w:pPr>
            <w:r w:rsidRPr="00986E88">
              <w:rPr>
                <w:szCs w:val="22"/>
                <w:lang w:val="en-US"/>
              </w:rPr>
              <w:t>28/47 (59.6%)</w:t>
            </w:r>
          </w:p>
        </w:tc>
      </w:tr>
      <w:tr w:rsidR="00C6578C" w14:paraId="47543BFB" w14:textId="77777777" w:rsidTr="00EA5EEF">
        <w:trPr>
          <w:trHeight w:val="2517"/>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1A75B0C" w14:textId="77777777" w:rsidR="00F54255" w:rsidRPr="004A7E7E" w:rsidRDefault="00944B8F" w:rsidP="0065221F">
            <w:pPr>
              <w:pStyle w:val="paragraph0"/>
              <w:spacing w:before="0" w:beforeAutospacing="0" w:after="0" w:afterAutospacing="0"/>
              <w:textAlignment w:val="baseline"/>
              <w:rPr>
                <w:rFonts w:ascii="Segoe UI" w:hAnsi="Segoe UI" w:cs="Segoe UI"/>
                <w:sz w:val="22"/>
                <w:szCs w:val="22"/>
              </w:rPr>
            </w:pPr>
            <w:r w:rsidRPr="004A7E7E">
              <w:rPr>
                <w:rStyle w:val="normaltextrun"/>
                <w:sz w:val="22"/>
                <w:szCs w:val="22"/>
                <w:vertAlign w:val="superscript"/>
              </w:rPr>
              <w:t>a </w:t>
            </w:r>
            <w:r w:rsidRPr="004A7E7E">
              <w:rPr>
                <w:rStyle w:val="normaltextrun"/>
                <w:sz w:val="22"/>
                <w:szCs w:val="22"/>
              </w:rPr>
              <w:t>Humira 2.4 mg/kg (maximum of 160 mg) at Week 0, placebo at Week 1, and 1.2 mg/kg (maximum of 80 mg) at Week 2</w:t>
            </w:r>
            <w:r w:rsidRPr="004A7E7E">
              <w:rPr>
                <w:rStyle w:val="eop"/>
                <w:sz w:val="22"/>
                <w:szCs w:val="22"/>
              </w:rPr>
              <w:t> </w:t>
            </w:r>
          </w:p>
          <w:p w14:paraId="7C5CB040" w14:textId="77777777" w:rsidR="00F54255" w:rsidRPr="004A7E7E" w:rsidRDefault="00944B8F" w:rsidP="0065221F">
            <w:pPr>
              <w:pStyle w:val="paragraph0"/>
              <w:spacing w:before="0" w:beforeAutospacing="0" w:after="0" w:afterAutospacing="0"/>
              <w:textAlignment w:val="baseline"/>
              <w:rPr>
                <w:rFonts w:ascii="Segoe UI" w:hAnsi="Segoe UI" w:cs="Segoe UI"/>
                <w:sz w:val="22"/>
                <w:szCs w:val="22"/>
              </w:rPr>
            </w:pPr>
            <w:r w:rsidRPr="004A7E7E">
              <w:rPr>
                <w:rStyle w:val="normaltextrun"/>
                <w:sz w:val="22"/>
                <w:szCs w:val="22"/>
                <w:vertAlign w:val="superscript"/>
              </w:rPr>
              <w:t>b </w:t>
            </w:r>
            <w:r w:rsidRPr="004A7E7E">
              <w:rPr>
                <w:rStyle w:val="normaltextrun"/>
                <w:sz w:val="22"/>
                <w:szCs w:val="22"/>
              </w:rPr>
              <w:t>Humira 2.4 mg/kg (maximum of 160 mg) at Week 0 and Week 1, and 1.2 mg/kg (maximum of 80 mg) at Week 2</w:t>
            </w:r>
            <w:r w:rsidRPr="004A7E7E">
              <w:rPr>
                <w:rStyle w:val="eop"/>
                <w:sz w:val="22"/>
                <w:szCs w:val="22"/>
              </w:rPr>
              <w:t> </w:t>
            </w:r>
          </w:p>
          <w:p w14:paraId="0AE27FBD" w14:textId="77777777" w:rsidR="00F54255" w:rsidRPr="004A7E7E" w:rsidRDefault="00944B8F" w:rsidP="0065221F">
            <w:pPr>
              <w:pStyle w:val="paragraph0"/>
              <w:spacing w:before="0" w:beforeAutospacing="0" w:after="0" w:afterAutospacing="0"/>
              <w:textAlignment w:val="baseline"/>
              <w:rPr>
                <w:rFonts w:ascii="Segoe UI" w:hAnsi="Segoe UI" w:cs="Segoe UI"/>
                <w:sz w:val="22"/>
                <w:szCs w:val="22"/>
              </w:rPr>
            </w:pPr>
            <w:r w:rsidRPr="004A7E7E">
              <w:rPr>
                <w:rStyle w:val="normaltextrun"/>
                <w:rFonts w:cs="Calibri"/>
                <w:sz w:val="22"/>
                <w:szCs w:val="22"/>
                <w:vertAlign w:val="superscript"/>
              </w:rPr>
              <w:t>c</w:t>
            </w:r>
            <w:r w:rsidRPr="004A7E7E">
              <w:rPr>
                <w:rStyle w:val="normaltextrun"/>
                <w:rFonts w:cs="Calibri"/>
                <w:sz w:val="22"/>
                <w:szCs w:val="22"/>
              </w:rPr>
              <w:t> Not including open-label Induction dose of </w:t>
            </w:r>
            <w:r w:rsidRPr="004A7E7E">
              <w:rPr>
                <w:rStyle w:val="normaltextrun"/>
                <w:sz w:val="22"/>
                <w:szCs w:val="22"/>
              </w:rPr>
              <w:t>Humira 2.4 mg/kg (maximum of 160 mg) at Week 0 and Week 1, and 1.2 mg/kg (maximum of 80 mg) at Week 2</w:t>
            </w:r>
          </w:p>
          <w:p w14:paraId="2E4B2C22" w14:textId="77777777" w:rsidR="00F54255" w:rsidRPr="004A7E7E" w:rsidRDefault="00944B8F" w:rsidP="0065221F">
            <w:pPr>
              <w:pStyle w:val="paragraph0"/>
              <w:spacing w:before="0" w:beforeAutospacing="0" w:after="0" w:afterAutospacing="0"/>
              <w:textAlignment w:val="baseline"/>
              <w:rPr>
                <w:rFonts w:ascii="Segoe UI" w:hAnsi="Segoe UI" w:cs="Segoe UI"/>
                <w:sz w:val="22"/>
                <w:szCs w:val="22"/>
              </w:rPr>
            </w:pPr>
            <w:r w:rsidRPr="004A7E7E">
              <w:rPr>
                <w:rStyle w:val="normaltextrun"/>
                <w:rFonts w:cs="Calibri"/>
                <w:sz w:val="22"/>
                <w:szCs w:val="22"/>
              </w:rPr>
              <w:t>Note 1: Both induction groups received 0.6 mg/kg (maximum of 40 mg) at Week 4 and Week 6</w:t>
            </w:r>
            <w:r w:rsidRPr="004A7E7E">
              <w:rPr>
                <w:rStyle w:val="eop"/>
                <w:rFonts w:cs="Calibri"/>
                <w:sz w:val="22"/>
                <w:szCs w:val="22"/>
              </w:rPr>
              <w:t> </w:t>
            </w:r>
          </w:p>
          <w:p w14:paraId="14E8F037" w14:textId="77777777" w:rsidR="00F54255" w:rsidRPr="002D6C33" w:rsidRDefault="00944B8F" w:rsidP="0065221F">
            <w:pPr>
              <w:pStyle w:val="paragraph0"/>
              <w:spacing w:before="0" w:beforeAutospacing="0" w:after="0" w:afterAutospacing="0"/>
              <w:textAlignment w:val="baseline"/>
              <w:rPr>
                <w:sz w:val="22"/>
                <w:szCs w:val="22"/>
              </w:rPr>
            </w:pPr>
            <w:r w:rsidRPr="004A7E7E">
              <w:rPr>
                <w:rStyle w:val="normaltextrun"/>
                <w:rFonts w:cs="Calibri"/>
                <w:sz w:val="22"/>
                <w:szCs w:val="22"/>
              </w:rPr>
              <w:t>Note 2: Patients with missing values at Week 8 were considered as not having met the en</w:t>
            </w:r>
            <w:r>
              <w:rPr>
                <w:rStyle w:val="normaltextrun"/>
                <w:rFonts w:cs="Calibri"/>
                <w:sz w:val="22"/>
                <w:szCs w:val="22"/>
              </w:rPr>
              <w:t>d</w:t>
            </w:r>
            <w:r w:rsidRPr="004A7E7E">
              <w:rPr>
                <w:rStyle w:val="normaltextrun"/>
                <w:rFonts w:cs="Calibri"/>
                <w:sz w:val="22"/>
                <w:szCs w:val="22"/>
              </w:rPr>
              <w:t>point</w:t>
            </w:r>
            <w:r w:rsidRPr="004A7E7E">
              <w:rPr>
                <w:rStyle w:val="eop"/>
                <w:rFonts w:cs="Calibri"/>
                <w:sz w:val="22"/>
                <w:szCs w:val="22"/>
              </w:rPr>
              <w:t> </w:t>
            </w:r>
          </w:p>
        </w:tc>
      </w:tr>
    </w:tbl>
    <w:p w14:paraId="058DE966" w14:textId="77777777" w:rsidR="005428D8" w:rsidRDefault="005428D8" w:rsidP="005428D8"/>
    <w:p w14:paraId="303FA008" w14:textId="77777777" w:rsidR="001724CB" w:rsidRPr="006C2A3F" w:rsidRDefault="00944B8F" w:rsidP="001724CB">
      <w:r w:rsidRPr="006C2A3F">
        <w:rPr>
          <w:rStyle w:val="normaltextrun"/>
          <w:shd w:val="clear" w:color="auto" w:fill="FFFFFF"/>
          <w:lang w:val="en-US"/>
        </w:rPr>
        <w:t xml:space="preserve">At Week 52, clinical remission per FMS in Week 8 responders, clinical response per FMS (defined as a decrease in Mayo Score ≥ 3 points and ≥ 30% from Baseline) in Week 8 responders, mucosal healing (defined as Mayo endoscopy </w:t>
      </w:r>
      <w:r w:rsidR="00032598">
        <w:rPr>
          <w:rStyle w:val="normaltextrun"/>
          <w:shd w:val="clear" w:color="auto" w:fill="FFFFFF"/>
          <w:lang w:val="en-US"/>
        </w:rPr>
        <w:t>sub</w:t>
      </w:r>
      <w:r w:rsidRPr="006C2A3F">
        <w:rPr>
          <w:rStyle w:val="normaltextrun"/>
          <w:shd w:val="clear" w:color="auto" w:fill="FFFFFF"/>
          <w:lang w:val="en-US"/>
        </w:rPr>
        <w:t>score ≤ 1) in Week 8 responders, clinical remission per FMS in Week 8 remitters, and the proportion of subjects in corticosteroid-free remission per FMS in Week 8 responders were assessed in patients who received Humira at the double-blind maximum 40 mg </w:t>
      </w:r>
      <w:r w:rsidRPr="006C2A3F">
        <w:rPr>
          <w:rStyle w:val="spellingerror"/>
          <w:shd w:val="clear" w:color="auto" w:fill="FFFFFF"/>
          <w:lang w:val="en-US"/>
        </w:rPr>
        <w:t>eow</w:t>
      </w:r>
      <w:r w:rsidRPr="006C2A3F">
        <w:rPr>
          <w:rStyle w:val="normaltextrun"/>
          <w:shd w:val="clear" w:color="auto" w:fill="FFFFFF"/>
          <w:lang w:val="en-US"/>
        </w:rPr>
        <w:t> (0.6 mg/kg) and maximum 40 mg </w:t>
      </w:r>
      <w:r w:rsidRPr="006C2A3F">
        <w:rPr>
          <w:rStyle w:val="spellingerror"/>
          <w:shd w:val="clear" w:color="auto" w:fill="FFFFFF"/>
          <w:lang w:val="en-US"/>
        </w:rPr>
        <w:t>ew</w:t>
      </w:r>
      <w:r w:rsidRPr="006C2A3F">
        <w:rPr>
          <w:rStyle w:val="normaltextrun"/>
          <w:shd w:val="clear" w:color="auto" w:fill="FFFFFF"/>
          <w:lang w:val="en-US"/>
        </w:rPr>
        <w:t> (0.6 mg/kg) maintenance doses (Table 32).</w:t>
      </w:r>
    </w:p>
    <w:p w14:paraId="13EB32AB" w14:textId="77777777" w:rsidR="003A50C9" w:rsidRDefault="003A50C9" w:rsidP="005428D8">
      <w:pPr>
        <w:tabs>
          <w:tab w:val="clear" w:pos="562"/>
        </w:tabs>
        <w:suppressAutoHyphens w:val="0"/>
        <w:jc w:val="center"/>
        <w:textAlignment w:val="baseline"/>
        <w:rPr>
          <w:b/>
          <w:szCs w:val="22"/>
          <w:lang w:val="en-US" w:eastAsia="en-GB"/>
        </w:rPr>
      </w:pPr>
    </w:p>
    <w:p w14:paraId="410382D8" w14:textId="77777777" w:rsidR="005428D8" w:rsidRPr="009F1F16" w:rsidRDefault="00944B8F" w:rsidP="00F043D5">
      <w:pPr>
        <w:keepNext/>
        <w:tabs>
          <w:tab w:val="clear" w:pos="562"/>
        </w:tabs>
        <w:suppressAutoHyphens w:val="0"/>
        <w:jc w:val="center"/>
        <w:textAlignment w:val="baseline"/>
        <w:rPr>
          <w:b/>
          <w:szCs w:val="22"/>
          <w:lang w:eastAsia="en-GB"/>
        </w:rPr>
      </w:pPr>
      <w:r w:rsidRPr="009F1F16">
        <w:rPr>
          <w:b/>
          <w:szCs w:val="22"/>
          <w:lang w:val="en-US" w:eastAsia="en-GB"/>
        </w:rPr>
        <w:lastRenderedPageBreak/>
        <w:t>Table 32: Efficacy Results at 52 Weeks</w:t>
      </w:r>
      <w:r w:rsidRPr="009F1F16">
        <w:rPr>
          <w:b/>
          <w:szCs w:val="22"/>
          <w:lang w:eastAsia="en-GB"/>
        </w:rPr>
        <w:t> </w:t>
      </w: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6"/>
        <w:gridCol w:w="2409"/>
        <w:gridCol w:w="2633"/>
      </w:tblGrid>
      <w:tr w:rsidR="00C6578C" w14:paraId="2119FFB3" w14:textId="77777777" w:rsidTr="00A07406">
        <w:trPr>
          <w:trHeight w:val="912"/>
          <w:jc w:val="center"/>
        </w:trPr>
        <w:tc>
          <w:tcPr>
            <w:tcW w:w="2526" w:type="dxa"/>
            <w:tcBorders>
              <w:top w:val="single" w:sz="6" w:space="0" w:color="auto"/>
              <w:left w:val="single" w:sz="6" w:space="0" w:color="auto"/>
              <w:bottom w:val="single" w:sz="6" w:space="0" w:color="auto"/>
              <w:right w:val="single" w:sz="6" w:space="0" w:color="auto"/>
            </w:tcBorders>
            <w:hideMark/>
          </w:tcPr>
          <w:p w14:paraId="3EBF5F34" w14:textId="77777777" w:rsidR="00A07406" w:rsidRPr="004A7E7E" w:rsidRDefault="00A07406" w:rsidP="00F043D5">
            <w:pPr>
              <w:keepNext/>
              <w:tabs>
                <w:tab w:val="clear" w:pos="562"/>
              </w:tabs>
              <w:suppressAutoHyphens w:val="0"/>
              <w:jc w:val="center"/>
              <w:textAlignment w:val="baseline"/>
              <w:rPr>
                <w:szCs w:val="22"/>
                <w:lang w:eastAsia="en-GB"/>
              </w:rPr>
            </w:pPr>
          </w:p>
        </w:tc>
        <w:tc>
          <w:tcPr>
            <w:tcW w:w="2409" w:type="dxa"/>
            <w:tcBorders>
              <w:top w:val="single" w:sz="6" w:space="0" w:color="auto"/>
              <w:left w:val="nil"/>
              <w:bottom w:val="single" w:sz="6" w:space="0" w:color="auto"/>
              <w:right w:val="single" w:sz="6" w:space="0" w:color="auto"/>
            </w:tcBorders>
            <w:vAlign w:val="center"/>
            <w:hideMark/>
          </w:tcPr>
          <w:p w14:paraId="4EB41359" w14:textId="77777777" w:rsidR="00A07406" w:rsidRPr="004C1E5C" w:rsidRDefault="00944B8F" w:rsidP="00F043D5">
            <w:pPr>
              <w:keepNext/>
              <w:tabs>
                <w:tab w:val="clear" w:pos="562"/>
              </w:tabs>
              <w:suppressAutoHyphens w:val="0"/>
              <w:jc w:val="center"/>
              <w:textAlignment w:val="baseline"/>
              <w:rPr>
                <w:szCs w:val="22"/>
                <w:lang w:eastAsia="en-GB"/>
              </w:rPr>
            </w:pPr>
            <w:r w:rsidRPr="004C1E5C">
              <w:rPr>
                <w:b/>
                <w:bCs/>
                <w:szCs w:val="22"/>
                <w:lang w:val="en-US" w:eastAsia="en-GB"/>
              </w:rPr>
              <w:t>Humira</w:t>
            </w:r>
            <w:r w:rsidRPr="004C1E5C">
              <w:rPr>
                <w:b/>
                <w:szCs w:val="22"/>
                <w:vertAlign w:val="superscript"/>
                <w:lang w:val="en-US" w:eastAsia="en-GB"/>
              </w:rPr>
              <w:t>a</w:t>
            </w:r>
            <w:r w:rsidRPr="004C1E5C">
              <w:rPr>
                <w:b/>
                <w:bCs/>
                <w:szCs w:val="22"/>
                <w:lang w:val="en-US" w:eastAsia="en-GB"/>
              </w:rPr>
              <w:t> </w:t>
            </w:r>
            <w:r w:rsidRPr="004C1E5C">
              <w:rPr>
                <w:szCs w:val="22"/>
                <w:lang w:eastAsia="en-GB"/>
              </w:rPr>
              <w:t> </w:t>
            </w:r>
          </w:p>
          <w:p w14:paraId="6D5725C8" w14:textId="77777777" w:rsidR="00A07406" w:rsidRPr="004C1E5C" w:rsidRDefault="00944B8F" w:rsidP="00F043D5">
            <w:pPr>
              <w:keepNext/>
              <w:tabs>
                <w:tab w:val="clear" w:pos="562"/>
              </w:tabs>
              <w:suppressAutoHyphens w:val="0"/>
              <w:jc w:val="center"/>
              <w:textAlignment w:val="baseline"/>
              <w:rPr>
                <w:szCs w:val="22"/>
                <w:lang w:eastAsia="en-GB"/>
              </w:rPr>
            </w:pPr>
            <w:r w:rsidRPr="004C1E5C">
              <w:rPr>
                <w:b/>
                <w:bCs/>
                <w:szCs w:val="22"/>
                <w:lang w:val="en-US" w:eastAsia="en-GB"/>
              </w:rPr>
              <w:t>Maximum of 40 mg eow</w:t>
            </w:r>
            <w:r w:rsidRPr="004C1E5C">
              <w:rPr>
                <w:szCs w:val="22"/>
                <w:lang w:eastAsia="en-GB"/>
              </w:rPr>
              <w:t> </w:t>
            </w:r>
          </w:p>
          <w:p w14:paraId="43514B70" w14:textId="77777777" w:rsidR="00A07406" w:rsidRPr="00245558" w:rsidRDefault="00944B8F" w:rsidP="00F043D5">
            <w:pPr>
              <w:keepNext/>
              <w:tabs>
                <w:tab w:val="clear" w:pos="562"/>
              </w:tabs>
              <w:suppressAutoHyphens w:val="0"/>
              <w:jc w:val="center"/>
              <w:textAlignment w:val="baseline"/>
              <w:rPr>
                <w:szCs w:val="22"/>
                <w:lang w:eastAsia="en-GB"/>
              </w:rPr>
            </w:pPr>
            <w:r w:rsidRPr="00245558">
              <w:rPr>
                <w:szCs w:val="22"/>
                <w:lang w:eastAsia="en-GB"/>
              </w:rPr>
              <w:t>N=31</w:t>
            </w:r>
          </w:p>
        </w:tc>
        <w:tc>
          <w:tcPr>
            <w:tcW w:w="2633" w:type="dxa"/>
            <w:tcBorders>
              <w:top w:val="single" w:sz="6" w:space="0" w:color="auto"/>
              <w:left w:val="nil"/>
              <w:bottom w:val="single" w:sz="6" w:space="0" w:color="auto"/>
              <w:right w:val="single" w:sz="6" w:space="0" w:color="auto"/>
            </w:tcBorders>
            <w:vAlign w:val="center"/>
            <w:hideMark/>
          </w:tcPr>
          <w:p w14:paraId="20C7E32D" w14:textId="77777777" w:rsidR="00A07406" w:rsidRPr="004C1E5C" w:rsidRDefault="00944B8F" w:rsidP="00F043D5">
            <w:pPr>
              <w:keepNext/>
              <w:tabs>
                <w:tab w:val="clear" w:pos="562"/>
              </w:tabs>
              <w:suppressAutoHyphens w:val="0"/>
              <w:jc w:val="center"/>
              <w:textAlignment w:val="baseline"/>
              <w:rPr>
                <w:szCs w:val="22"/>
                <w:lang w:eastAsia="en-GB"/>
              </w:rPr>
            </w:pPr>
            <w:r w:rsidRPr="004C1E5C">
              <w:rPr>
                <w:b/>
                <w:bCs/>
                <w:szCs w:val="22"/>
                <w:lang w:val="en-US" w:eastAsia="en-GB"/>
              </w:rPr>
              <w:t>Humira</w:t>
            </w:r>
            <w:r w:rsidRPr="004C1E5C">
              <w:rPr>
                <w:b/>
                <w:szCs w:val="22"/>
                <w:vertAlign w:val="superscript"/>
                <w:lang w:val="en-US" w:eastAsia="en-GB"/>
              </w:rPr>
              <w:t>b</w:t>
            </w:r>
            <w:r w:rsidRPr="004C1E5C">
              <w:rPr>
                <w:b/>
                <w:bCs/>
                <w:szCs w:val="22"/>
                <w:lang w:val="en-US" w:eastAsia="en-GB"/>
              </w:rPr>
              <w:t> </w:t>
            </w:r>
            <w:r w:rsidRPr="004C1E5C">
              <w:rPr>
                <w:szCs w:val="22"/>
                <w:lang w:eastAsia="en-GB"/>
              </w:rPr>
              <w:t> </w:t>
            </w:r>
          </w:p>
          <w:p w14:paraId="2F6306DF" w14:textId="77777777" w:rsidR="00A07406" w:rsidRPr="004C1E5C" w:rsidRDefault="00944B8F" w:rsidP="00F043D5">
            <w:pPr>
              <w:keepNext/>
              <w:tabs>
                <w:tab w:val="clear" w:pos="562"/>
              </w:tabs>
              <w:suppressAutoHyphens w:val="0"/>
              <w:jc w:val="center"/>
              <w:textAlignment w:val="baseline"/>
              <w:rPr>
                <w:szCs w:val="22"/>
                <w:lang w:eastAsia="en-GB"/>
              </w:rPr>
            </w:pPr>
            <w:r w:rsidRPr="004C1E5C">
              <w:rPr>
                <w:b/>
                <w:bCs/>
                <w:szCs w:val="22"/>
                <w:lang w:val="en-US" w:eastAsia="en-GB"/>
              </w:rPr>
              <w:t>Maximum of 40 mg ew</w:t>
            </w:r>
            <w:r w:rsidRPr="004C1E5C">
              <w:rPr>
                <w:szCs w:val="22"/>
                <w:lang w:eastAsia="en-GB"/>
              </w:rPr>
              <w:t> </w:t>
            </w:r>
          </w:p>
          <w:p w14:paraId="050B6478" w14:textId="77777777" w:rsidR="00A07406" w:rsidRPr="00245558" w:rsidRDefault="00944B8F" w:rsidP="00F043D5">
            <w:pPr>
              <w:keepNext/>
              <w:tabs>
                <w:tab w:val="clear" w:pos="562"/>
              </w:tabs>
              <w:suppressAutoHyphens w:val="0"/>
              <w:jc w:val="center"/>
              <w:textAlignment w:val="baseline"/>
              <w:rPr>
                <w:szCs w:val="22"/>
                <w:lang w:eastAsia="en-GB"/>
              </w:rPr>
            </w:pPr>
            <w:r w:rsidRPr="00245558">
              <w:rPr>
                <w:szCs w:val="22"/>
                <w:lang w:eastAsia="en-GB"/>
              </w:rPr>
              <w:t>N=31</w:t>
            </w:r>
          </w:p>
        </w:tc>
      </w:tr>
      <w:tr w:rsidR="00C6578C" w14:paraId="0EC732CB" w14:textId="77777777" w:rsidTr="00A07406">
        <w:trPr>
          <w:trHeight w:val="570"/>
          <w:jc w:val="center"/>
        </w:trPr>
        <w:tc>
          <w:tcPr>
            <w:tcW w:w="2526" w:type="dxa"/>
            <w:tcBorders>
              <w:top w:val="nil"/>
              <w:left w:val="single" w:sz="6" w:space="0" w:color="auto"/>
              <w:bottom w:val="single" w:sz="6" w:space="0" w:color="auto"/>
              <w:right w:val="single" w:sz="6" w:space="0" w:color="auto"/>
            </w:tcBorders>
            <w:vAlign w:val="center"/>
            <w:hideMark/>
          </w:tcPr>
          <w:p w14:paraId="7D734107" w14:textId="77777777" w:rsidR="00A07406" w:rsidRPr="004A7E7E" w:rsidRDefault="00944B8F" w:rsidP="00F043D5">
            <w:pPr>
              <w:keepNext/>
              <w:tabs>
                <w:tab w:val="clear" w:pos="562"/>
              </w:tabs>
              <w:suppressAutoHyphens w:val="0"/>
              <w:textAlignment w:val="baseline"/>
              <w:rPr>
                <w:szCs w:val="22"/>
                <w:lang w:eastAsia="en-GB"/>
              </w:rPr>
            </w:pPr>
            <w:r w:rsidRPr="004A7E7E">
              <w:rPr>
                <w:szCs w:val="22"/>
                <w:lang w:val="en-US" w:eastAsia="en-GB"/>
              </w:rPr>
              <w:t>Clinical remission in Week 8 PMS responders</w:t>
            </w:r>
            <w:r w:rsidRPr="004A7E7E">
              <w:rPr>
                <w:szCs w:val="22"/>
                <w:lang w:eastAsia="en-GB"/>
              </w:rPr>
              <w:t> </w:t>
            </w:r>
          </w:p>
        </w:tc>
        <w:tc>
          <w:tcPr>
            <w:tcW w:w="2409" w:type="dxa"/>
            <w:tcBorders>
              <w:top w:val="nil"/>
              <w:left w:val="nil"/>
              <w:bottom w:val="single" w:sz="6" w:space="0" w:color="auto"/>
              <w:right w:val="single" w:sz="6" w:space="0" w:color="auto"/>
            </w:tcBorders>
            <w:vAlign w:val="center"/>
            <w:hideMark/>
          </w:tcPr>
          <w:p w14:paraId="4992A2ED" w14:textId="77777777" w:rsidR="00A07406" w:rsidRPr="004A7E7E" w:rsidRDefault="00944B8F" w:rsidP="00F043D5">
            <w:pPr>
              <w:keepNext/>
              <w:tabs>
                <w:tab w:val="clear" w:pos="562"/>
              </w:tabs>
              <w:suppressAutoHyphens w:val="0"/>
              <w:jc w:val="center"/>
              <w:textAlignment w:val="baseline"/>
              <w:rPr>
                <w:szCs w:val="22"/>
                <w:lang w:eastAsia="en-GB"/>
              </w:rPr>
            </w:pPr>
            <w:r w:rsidRPr="004A7E7E">
              <w:rPr>
                <w:szCs w:val="22"/>
                <w:lang w:val="en-US" w:eastAsia="en-GB"/>
              </w:rPr>
              <w:t>9/31 (29.0%)</w:t>
            </w:r>
            <w:r w:rsidRPr="004A7E7E">
              <w:rPr>
                <w:szCs w:val="22"/>
                <w:lang w:eastAsia="en-GB"/>
              </w:rPr>
              <w:t> </w:t>
            </w:r>
          </w:p>
        </w:tc>
        <w:tc>
          <w:tcPr>
            <w:tcW w:w="2633" w:type="dxa"/>
            <w:tcBorders>
              <w:top w:val="nil"/>
              <w:left w:val="nil"/>
              <w:bottom w:val="single" w:sz="6" w:space="0" w:color="auto"/>
              <w:right w:val="single" w:sz="6" w:space="0" w:color="auto"/>
            </w:tcBorders>
            <w:vAlign w:val="center"/>
            <w:hideMark/>
          </w:tcPr>
          <w:p w14:paraId="198141D4" w14:textId="77777777" w:rsidR="00A07406" w:rsidRPr="004A7E7E" w:rsidRDefault="00944B8F" w:rsidP="00F043D5">
            <w:pPr>
              <w:keepNext/>
              <w:tabs>
                <w:tab w:val="clear" w:pos="562"/>
              </w:tabs>
              <w:suppressAutoHyphens w:val="0"/>
              <w:jc w:val="center"/>
              <w:textAlignment w:val="baseline"/>
              <w:rPr>
                <w:szCs w:val="22"/>
                <w:lang w:eastAsia="en-GB"/>
              </w:rPr>
            </w:pPr>
            <w:r w:rsidRPr="004A7E7E">
              <w:rPr>
                <w:szCs w:val="22"/>
                <w:lang w:val="en-US" w:eastAsia="en-GB"/>
              </w:rPr>
              <w:t>14/31 (45.2%)</w:t>
            </w:r>
          </w:p>
        </w:tc>
      </w:tr>
      <w:tr w:rsidR="00C6578C" w14:paraId="28EB7DD8" w14:textId="77777777" w:rsidTr="00A07406">
        <w:trPr>
          <w:trHeight w:val="555"/>
          <w:jc w:val="center"/>
        </w:trPr>
        <w:tc>
          <w:tcPr>
            <w:tcW w:w="2526" w:type="dxa"/>
            <w:tcBorders>
              <w:top w:val="nil"/>
              <w:left w:val="single" w:sz="6" w:space="0" w:color="auto"/>
              <w:bottom w:val="single" w:sz="6" w:space="0" w:color="auto"/>
              <w:right w:val="single" w:sz="6" w:space="0" w:color="auto"/>
            </w:tcBorders>
            <w:vAlign w:val="center"/>
            <w:hideMark/>
          </w:tcPr>
          <w:p w14:paraId="0AF441E2" w14:textId="77777777" w:rsidR="00A07406" w:rsidRPr="004A7E7E" w:rsidRDefault="00944B8F" w:rsidP="00F043D5">
            <w:pPr>
              <w:keepNext/>
              <w:tabs>
                <w:tab w:val="clear" w:pos="562"/>
              </w:tabs>
              <w:suppressAutoHyphens w:val="0"/>
              <w:textAlignment w:val="baseline"/>
              <w:rPr>
                <w:szCs w:val="22"/>
                <w:lang w:eastAsia="en-GB"/>
              </w:rPr>
            </w:pPr>
            <w:r w:rsidRPr="004A7E7E">
              <w:rPr>
                <w:szCs w:val="22"/>
                <w:lang w:val="en-US" w:eastAsia="en-GB"/>
              </w:rPr>
              <w:t>Clinical response in Week 8 PMS responders</w:t>
            </w:r>
            <w:r w:rsidRPr="004A7E7E">
              <w:rPr>
                <w:szCs w:val="22"/>
                <w:lang w:eastAsia="en-GB"/>
              </w:rPr>
              <w:t> </w:t>
            </w:r>
          </w:p>
        </w:tc>
        <w:tc>
          <w:tcPr>
            <w:tcW w:w="2409" w:type="dxa"/>
            <w:tcBorders>
              <w:top w:val="nil"/>
              <w:left w:val="nil"/>
              <w:bottom w:val="single" w:sz="6" w:space="0" w:color="auto"/>
              <w:right w:val="single" w:sz="6" w:space="0" w:color="auto"/>
            </w:tcBorders>
            <w:vAlign w:val="center"/>
            <w:hideMark/>
          </w:tcPr>
          <w:p w14:paraId="57902E0D" w14:textId="77777777" w:rsidR="00A07406" w:rsidRPr="004A7E7E" w:rsidRDefault="00944B8F" w:rsidP="00F043D5">
            <w:pPr>
              <w:keepNext/>
              <w:tabs>
                <w:tab w:val="clear" w:pos="562"/>
              </w:tabs>
              <w:suppressAutoHyphens w:val="0"/>
              <w:jc w:val="center"/>
              <w:textAlignment w:val="baseline"/>
              <w:rPr>
                <w:szCs w:val="22"/>
                <w:lang w:eastAsia="en-GB"/>
              </w:rPr>
            </w:pPr>
            <w:r w:rsidRPr="004A7E7E">
              <w:rPr>
                <w:szCs w:val="22"/>
                <w:lang w:val="en-US" w:eastAsia="en-GB"/>
              </w:rPr>
              <w:t>19/31 (61.3%)</w:t>
            </w:r>
            <w:r w:rsidRPr="004A7E7E">
              <w:rPr>
                <w:szCs w:val="22"/>
                <w:lang w:eastAsia="en-GB"/>
              </w:rPr>
              <w:t> </w:t>
            </w:r>
          </w:p>
        </w:tc>
        <w:tc>
          <w:tcPr>
            <w:tcW w:w="2633" w:type="dxa"/>
            <w:tcBorders>
              <w:top w:val="nil"/>
              <w:left w:val="nil"/>
              <w:bottom w:val="single" w:sz="6" w:space="0" w:color="auto"/>
              <w:right w:val="single" w:sz="6" w:space="0" w:color="auto"/>
            </w:tcBorders>
            <w:vAlign w:val="center"/>
            <w:hideMark/>
          </w:tcPr>
          <w:p w14:paraId="51439658" w14:textId="77777777" w:rsidR="00A07406" w:rsidRPr="004A7E7E" w:rsidRDefault="00944B8F" w:rsidP="00F043D5">
            <w:pPr>
              <w:keepNext/>
              <w:tabs>
                <w:tab w:val="clear" w:pos="562"/>
              </w:tabs>
              <w:suppressAutoHyphens w:val="0"/>
              <w:jc w:val="center"/>
              <w:textAlignment w:val="baseline"/>
              <w:rPr>
                <w:szCs w:val="22"/>
                <w:lang w:eastAsia="en-GB"/>
              </w:rPr>
            </w:pPr>
            <w:r w:rsidRPr="004A7E7E">
              <w:rPr>
                <w:szCs w:val="22"/>
                <w:lang w:val="en-US" w:eastAsia="en-GB"/>
              </w:rPr>
              <w:t>21/31 (67.7%)</w:t>
            </w:r>
            <w:r w:rsidRPr="004A7E7E">
              <w:rPr>
                <w:szCs w:val="22"/>
                <w:lang w:eastAsia="en-GB"/>
              </w:rPr>
              <w:t> </w:t>
            </w:r>
          </w:p>
        </w:tc>
      </w:tr>
      <w:tr w:rsidR="00C6578C" w14:paraId="241293B2" w14:textId="77777777" w:rsidTr="00A07406">
        <w:trPr>
          <w:jc w:val="center"/>
        </w:trPr>
        <w:tc>
          <w:tcPr>
            <w:tcW w:w="2526" w:type="dxa"/>
            <w:tcBorders>
              <w:top w:val="nil"/>
              <w:left w:val="single" w:sz="6" w:space="0" w:color="auto"/>
              <w:bottom w:val="single" w:sz="6" w:space="0" w:color="auto"/>
              <w:right w:val="single" w:sz="6" w:space="0" w:color="auto"/>
            </w:tcBorders>
            <w:vAlign w:val="center"/>
            <w:hideMark/>
          </w:tcPr>
          <w:p w14:paraId="6D479312" w14:textId="77777777" w:rsidR="00A07406" w:rsidRPr="004A7E7E" w:rsidRDefault="00944B8F" w:rsidP="00F043D5">
            <w:pPr>
              <w:keepNext/>
              <w:tabs>
                <w:tab w:val="clear" w:pos="562"/>
              </w:tabs>
              <w:suppressAutoHyphens w:val="0"/>
              <w:textAlignment w:val="baseline"/>
              <w:rPr>
                <w:szCs w:val="22"/>
                <w:lang w:eastAsia="en-GB"/>
              </w:rPr>
            </w:pPr>
            <w:r w:rsidRPr="004A7E7E">
              <w:rPr>
                <w:szCs w:val="22"/>
                <w:lang w:val="en-US" w:eastAsia="en-GB"/>
              </w:rPr>
              <w:t>Mucosal healing in Week 8 PMS responders</w:t>
            </w:r>
            <w:r w:rsidRPr="004A7E7E">
              <w:rPr>
                <w:szCs w:val="22"/>
                <w:lang w:eastAsia="en-GB"/>
              </w:rPr>
              <w:t> </w:t>
            </w:r>
          </w:p>
        </w:tc>
        <w:tc>
          <w:tcPr>
            <w:tcW w:w="2409" w:type="dxa"/>
            <w:tcBorders>
              <w:top w:val="nil"/>
              <w:left w:val="nil"/>
              <w:bottom w:val="single" w:sz="6" w:space="0" w:color="auto"/>
              <w:right w:val="single" w:sz="6" w:space="0" w:color="auto"/>
            </w:tcBorders>
            <w:vAlign w:val="center"/>
            <w:hideMark/>
          </w:tcPr>
          <w:p w14:paraId="6DE1FDF1" w14:textId="77777777" w:rsidR="00A07406" w:rsidRPr="004A7E7E" w:rsidRDefault="00944B8F" w:rsidP="00F043D5">
            <w:pPr>
              <w:keepNext/>
              <w:tabs>
                <w:tab w:val="clear" w:pos="562"/>
              </w:tabs>
              <w:suppressAutoHyphens w:val="0"/>
              <w:jc w:val="center"/>
              <w:textAlignment w:val="baseline"/>
              <w:rPr>
                <w:szCs w:val="22"/>
                <w:lang w:eastAsia="en-GB"/>
              </w:rPr>
            </w:pPr>
            <w:r w:rsidRPr="004A7E7E">
              <w:rPr>
                <w:szCs w:val="22"/>
                <w:lang w:val="en-US" w:eastAsia="en-GB"/>
              </w:rPr>
              <w:t>12/31 (38.7%)</w:t>
            </w:r>
            <w:r w:rsidRPr="004A7E7E">
              <w:rPr>
                <w:szCs w:val="22"/>
                <w:lang w:eastAsia="en-GB"/>
              </w:rPr>
              <w:t> </w:t>
            </w:r>
          </w:p>
        </w:tc>
        <w:tc>
          <w:tcPr>
            <w:tcW w:w="2633" w:type="dxa"/>
            <w:tcBorders>
              <w:top w:val="nil"/>
              <w:left w:val="nil"/>
              <w:bottom w:val="single" w:sz="6" w:space="0" w:color="auto"/>
              <w:right w:val="single" w:sz="6" w:space="0" w:color="auto"/>
            </w:tcBorders>
            <w:vAlign w:val="center"/>
            <w:hideMark/>
          </w:tcPr>
          <w:p w14:paraId="11D7EFAE" w14:textId="77777777" w:rsidR="00A07406" w:rsidRPr="004A7E7E" w:rsidRDefault="00944B8F" w:rsidP="00F043D5">
            <w:pPr>
              <w:keepNext/>
              <w:tabs>
                <w:tab w:val="clear" w:pos="562"/>
              </w:tabs>
              <w:suppressAutoHyphens w:val="0"/>
              <w:jc w:val="center"/>
              <w:textAlignment w:val="baseline"/>
              <w:rPr>
                <w:szCs w:val="22"/>
                <w:lang w:eastAsia="en-GB"/>
              </w:rPr>
            </w:pPr>
            <w:r w:rsidRPr="004A7E7E">
              <w:rPr>
                <w:szCs w:val="22"/>
                <w:lang w:val="en-US" w:eastAsia="en-GB"/>
              </w:rPr>
              <w:t>16/31 (51.6%)</w:t>
            </w:r>
            <w:r w:rsidRPr="004A7E7E">
              <w:rPr>
                <w:szCs w:val="22"/>
                <w:lang w:eastAsia="en-GB"/>
              </w:rPr>
              <w:t> </w:t>
            </w:r>
          </w:p>
        </w:tc>
      </w:tr>
      <w:tr w:rsidR="00C6578C" w14:paraId="0B1929BD" w14:textId="77777777" w:rsidTr="00A07406">
        <w:trPr>
          <w:jc w:val="center"/>
        </w:trPr>
        <w:tc>
          <w:tcPr>
            <w:tcW w:w="2526" w:type="dxa"/>
            <w:tcBorders>
              <w:top w:val="nil"/>
              <w:left w:val="single" w:sz="6" w:space="0" w:color="auto"/>
              <w:bottom w:val="single" w:sz="6" w:space="0" w:color="auto"/>
              <w:right w:val="single" w:sz="6" w:space="0" w:color="auto"/>
            </w:tcBorders>
            <w:vAlign w:val="center"/>
            <w:hideMark/>
          </w:tcPr>
          <w:p w14:paraId="77B8D0F4" w14:textId="77777777" w:rsidR="00A07406" w:rsidRPr="004A7E7E" w:rsidRDefault="00944B8F" w:rsidP="00F043D5">
            <w:pPr>
              <w:keepNext/>
              <w:tabs>
                <w:tab w:val="clear" w:pos="562"/>
              </w:tabs>
              <w:suppressAutoHyphens w:val="0"/>
              <w:textAlignment w:val="baseline"/>
              <w:rPr>
                <w:szCs w:val="22"/>
                <w:lang w:eastAsia="en-GB"/>
              </w:rPr>
            </w:pPr>
            <w:r w:rsidRPr="004A7E7E">
              <w:rPr>
                <w:szCs w:val="22"/>
                <w:lang w:val="en-US" w:eastAsia="en-GB"/>
              </w:rPr>
              <w:t>Clinical remission in Week 8 PMS remitters</w:t>
            </w:r>
            <w:r w:rsidRPr="004A7E7E">
              <w:rPr>
                <w:szCs w:val="22"/>
                <w:lang w:eastAsia="en-GB"/>
              </w:rPr>
              <w:t> </w:t>
            </w:r>
          </w:p>
        </w:tc>
        <w:tc>
          <w:tcPr>
            <w:tcW w:w="2409" w:type="dxa"/>
            <w:tcBorders>
              <w:top w:val="nil"/>
              <w:left w:val="nil"/>
              <w:bottom w:val="single" w:sz="6" w:space="0" w:color="auto"/>
              <w:right w:val="single" w:sz="6" w:space="0" w:color="auto"/>
            </w:tcBorders>
            <w:vAlign w:val="center"/>
            <w:hideMark/>
          </w:tcPr>
          <w:p w14:paraId="083510D0" w14:textId="77777777" w:rsidR="00A07406" w:rsidRPr="004A7E7E" w:rsidRDefault="00944B8F" w:rsidP="00F043D5">
            <w:pPr>
              <w:keepNext/>
              <w:tabs>
                <w:tab w:val="clear" w:pos="562"/>
              </w:tabs>
              <w:suppressAutoHyphens w:val="0"/>
              <w:jc w:val="center"/>
              <w:textAlignment w:val="baseline"/>
              <w:rPr>
                <w:szCs w:val="22"/>
                <w:lang w:eastAsia="en-GB"/>
              </w:rPr>
            </w:pPr>
            <w:r w:rsidRPr="004A7E7E">
              <w:rPr>
                <w:szCs w:val="22"/>
                <w:lang w:val="en-US" w:eastAsia="en-GB"/>
              </w:rPr>
              <w:t>9/21 (42.9%)</w:t>
            </w:r>
            <w:r w:rsidRPr="004A7E7E">
              <w:rPr>
                <w:szCs w:val="22"/>
                <w:lang w:eastAsia="en-GB"/>
              </w:rPr>
              <w:t> </w:t>
            </w:r>
          </w:p>
        </w:tc>
        <w:tc>
          <w:tcPr>
            <w:tcW w:w="2633" w:type="dxa"/>
            <w:tcBorders>
              <w:top w:val="nil"/>
              <w:left w:val="nil"/>
              <w:bottom w:val="single" w:sz="6" w:space="0" w:color="auto"/>
              <w:right w:val="single" w:sz="6" w:space="0" w:color="auto"/>
            </w:tcBorders>
            <w:vAlign w:val="center"/>
            <w:hideMark/>
          </w:tcPr>
          <w:p w14:paraId="76D2ABE3" w14:textId="77777777" w:rsidR="00A07406" w:rsidRPr="004A7E7E" w:rsidRDefault="00944B8F" w:rsidP="00F043D5">
            <w:pPr>
              <w:keepNext/>
              <w:tabs>
                <w:tab w:val="clear" w:pos="562"/>
              </w:tabs>
              <w:suppressAutoHyphens w:val="0"/>
              <w:jc w:val="center"/>
              <w:textAlignment w:val="baseline"/>
              <w:rPr>
                <w:szCs w:val="22"/>
                <w:lang w:eastAsia="en-GB"/>
              </w:rPr>
            </w:pPr>
            <w:r w:rsidRPr="004A7E7E">
              <w:rPr>
                <w:szCs w:val="22"/>
                <w:lang w:val="en-US" w:eastAsia="en-GB"/>
              </w:rPr>
              <w:t>10/22 (45.5%)</w:t>
            </w:r>
            <w:r w:rsidRPr="004A7E7E">
              <w:rPr>
                <w:szCs w:val="22"/>
                <w:lang w:eastAsia="en-GB"/>
              </w:rPr>
              <w:t> </w:t>
            </w:r>
          </w:p>
        </w:tc>
      </w:tr>
      <w:tr w:rsidR="00C6578C" w14:paraId="38F85F45" w14:textId="77777777" w:rsidTr="00A07406">
        <w:trPr>
          <w:jc w:val="center"/>
        </w:trPr>
        <w:tc>
          <w:tcPr>
            <w:tcW w:w="2526" w:type="dxa"/>
            <w:tcBorders>
              <w:top w:val="nil"/>
              <w:left w:val="single" w:sz="6" w:space="0" w:color="auto"/>
              <w:bottom w:val="single" w:sz="6" w:space="0" w:color="auto"/>
              <w:right w:val="single" w:sz="6" w:space="0" w:color="auto"/>
            </w:tcBorders>
            <w:vAlign w:val="center"/>
            <w:hideMark/>
          </w:tcPr>
          <w:p w14:paraId="5F62FE51" w14:textId="77777777" w:rsidR="00A07406" w:rsidRPr="004A7E7E" w:rsidRDefault="00944B8F" w:rsidP="00F043D5">
            <w:pPr>
              <w:keepNext/>
              <w:tabs>
                <w:tab w:val="clear" w:pos="562"/>
              </w:tabs>
              <w:suppressAutoHyphens w:val="0"/>
              <w:textAlignment w:val="baseline"/>
              <w:rPr>
                <w:szCs w:val="22"/>
                <w:lang w:eastAsia="en-GB"/>
              </w:rPr>
            </w:pPr>
            <w:r w:rsidRPr="004A7E7E">
              <w:rPr>
                <w:szCs w:val="22"/>
                <w:lang w:val="en-US" w:eastAsia="en-GB"/>
              </w:rPr>
              <w:t>Corticosteroid-free remission in Week 8 PMS responders</w:t>
            </w:r>
            <w:r>
              <w:rPr>
                <w:szCs w:val="22"/>
                <w:vertAlign w:val="superscript"/>
                <w:lang w:val="en-US" w:eastAsia="en-GB"/>
              </w:rPr>
              <w:t>c</w:t>
            </w:r>
            <w:r w:rsidRPr="004A7E7E">
              <w:rPr>
                <w:szCs w:val="22"/>
                <w:lang w:eastAsia="en-GB"/>
              </w:rPr>
              <w:t> </w:t>
            </w:r>
          </w:p>
        </w:tc>
        <w:tc>
          <w:tcPr>
            <w:tcW w:w="2409" w:type="dxa"/>
            <w:tcBorders>
              <w:top w:val="nil"/>
              <w:left w:val="nil"/>
              <w:bottom w:val="single" w:sz="6" w:space="0" w:color="auto"/>
              <w:right w:val="single" w:sz="6" w:space="0" w:color="auto"/>
            </w:tcBorders>
            <w:vAlign w:val="center"/>
            <w:hideMark/>
          </w:tcPr>
          <w:p w14:paraId="73C34E47" w14:textId="77777777" w:rsidR="00A07406" w:rsidRPr="004A7E7E" w:rsidRDefault="00944B8F" w:rsidP="00F043D5">
            <w:pPr>
              <w:keepNext/>
              <w:tabs>
                <w:tab w:val="clear" w:pos="562"/>
              </w:tabs>
              <w:suppressAutoHyphens w:val="0"/>
              <w:jc w:val="center"/>
              <w:textAlignment w:val="baseline"/>
              <w:rPr>
                <w:szCs w:val="22"/>
                <w:lang w:eastAsia="en-GB"/>
              </w:rPr>
            </w:pPr>
            <w:r w:rsidRPr="004A7E7E">
              <w:rPr>
                <w:szCs w:val="22"/>
                <w:lang w:val="en-US" w:eastAsia="en-GB"/>
              </w:rPr>
              <w:t>4/13 (30.8%)</w:t>
            </w:r>
            <w:r w:rsidRPr="004A7E7E">
              <w:rPr>
                <w:szCs w:val="22"/>
                <w:lang w:eastAsia="en-GB"/>
              </w:rPr>
              <w:t> </w:t>
            </w:r>
          </w:p>
        </w:tc>
        <w:tc>
          <w:tcPr>
            <w:tcW w:w="2633" w:type="dxa"/>
            <w:tcBorders>
              <w:top w:val="nil"/>
              <w:left w:val="nil"/>
              <w:bottom w:val="single" w:sz="6" w:space="0" w:color="auto"/>
              <w:right w:val="single" w:sz="6" w:space="0" w:color="auto"/>
            </w:tcBorders>
            <w:vAlign w:val="center"/>
            <w:hideMark/>
          </w:tcPr>
          <w:p w14:paraId="269EE65E" w14:textId="77777777" w:rsidR="00A07406" w:rsidRPr="004A7E7E" w:rsidRDefault="00944B8F" w:rsidP="00F043D5">
            <w:pPr>
              <w:keepNext/>
              <w:tabs>
                <w:tab w:val="clear" w:pos="562"/>
              </w:tabs>
              <w:suppressAutoHyphens w:val="0"/>
              <w:jc w:val="center"/>
              <w:textAlignment w:val="baseline"/>
              <w:rPr>
                <w:szCs w:val="22"/>
                <w:lang w:eastAsia="en-GB"/>
              </w:rPr>
            </w:pPr>
            <w:r w:rsidRPr="004A7E7E">
              <w:rPr>
                <w:szCs w:val="22"/>
                <w:lang w:val="en-US" w:eastAsia="en-GB"/>
              </w:rPr>
              <w:t>5/16 (31.3%)</w:t>
            </w:r>
            <w:r w:rsidRPr="004A7E7E">
              <w:rPr>
                <w:szCs w:val="22"/>
                <w:lang w:eastAsia="en-GB"/>
              </w:rPr>
              <w:t> </w:t>
            </w:r>
          </w:p>
        </w:tc>
      </w:tr>
      <w:tr w:rsidR="00C6578C" w14:paraId="031D3C98" w14:textId="77777777" w:rsidTr="00A07406">
        <w:trPr>
          <w:jc w:val="center"/>
        </w:trPr>
        <w:tc>
          <w:tcPr>
            <w:tcW w:w="7568" w:type="dxa"/>
            <w:gridSpan w:val="3"/>
            <w:tcBorders>
              <w:top w:val="nil"/>
              <w:left w:val="single" w:sz="6" w:space="0" w:color="auto"/>
              <w:bottom w:val="single" w:sz="6" w:space="0" w:color="auto"/>
              <w:right w:val="single" w:sz="6" w:space="0" w:color="auto"/>
            </w:tcBorders>
            <w:hideMark/>
          </w:tcPr>
          <w:p w14:paraId="2B6B999B" w14:textId="77777777" w:rsidR="00A07406" w:rsidRPr="004A7E7E" w:rsidRDefault="00944B8F" w:rsidP="00F043D5">
            <w:pPr>
              <w:keepNext/>
              <w:tabs>
                <w:tab w:val="clear" w:pos="562"/>
              </w:tabs>
              <w:suppressAutoHyphens w:val="0"/>
              <w:textAlignment w:val="baseline"/>
              <w:rPr>
                <w:szCs w:val="22"/>
                <w:lang w:eastAsia="en-GB"/>
              </w:rPr>
            </w:pPr>
            <w:r w:rsidRPr="004A7E7E">
              <w:rPr>
                <w:szCs w:val="22"/>
                <w:vertAlign w:val="superscript"/>
                <w:lang w:val="en-US" w:eastAsia="en-GB"/>
              </w:rPr>
              <w:t>a </w:t>
            </w:r>
            <w:r w:rsidRPr="004A7E7E">
              <w:rPr>
                <w:szCs w:val="22"/>
                <w:lang w:val="en-US" w:eastAsia="en-GB"/>
              </w:rPr>
              <w:t>Humira 0.6 mg/kg (maximum of 40 mg) every other week</w:t>
            </w:r>
            <w:r w:rsidRPr="004A7E7E">
              <w:rPr>
                <w:szCs w:val="22"/>
                <w:lang w:eastAsia="en-GB"/>
              </w:rPr>
              <w:t> </w:t>
            </w:r>
          </w:p>
          <w:p w14:paraId="59F0AA58" w14:textId="77777777" w:rsidR="00A07406" w:rsidRPr="004A7E7E" w:rsidRDefault="00944B8F" w:rsidP="00F043D5">
            <w:pPr>
              <w:keepNext/>
              <w:tabs>
                <w:tab w:val="clear" w:pos="562"/>
              </w:tabs>
              <w:suppressAutoHyphens w:val="0"/>
              <w:textAlignment w:val="baseline"/>
              <w:rPr>
                <w:szCs w:val="22"/>
                <w:lang w:eastAsia="en-GB"/>
              </w:rPr>
            </w:pPr>
            <w:r w:rsidRPr="004A7E7E">
              <w:rPr>
                <w:szCs w:val="22"/>
                <w:vertAlign w:val="superscript"/>
                <w:lang w:val="en-US" w:eastAsia="en-GB"/>
              </w:rPr>
              <w:t>b </w:t>
            </w:r>
            <w:r w:rsidRPr="004A7E7E">
              <w:rPr>
                <w:szCs w:val="22"/>
                <w:lang w:val="en-US" w:eastAsia="en-GB"/>
              </w:rPr>
              <w:t>Humira 0.6 mg/kg (maximum of 40 mg) every week</w:t>
            </w:r>
            <w:r w:rsidRPr="004A7E7E">
              <w:rPr>
                <w:szCs w:val="22"/>
                <w:lang w:eastAsia="en-GB"/>
              </w:rPr>
              <w:t> </w:t>
            </w:r>
          </w:p>
          <w:p w14:paraId="00C3E669" w14:textId="77777777" w:rsidR="00A07406" w:rsidRPr="004A7E7E" w:rsidRDefault="00944B8F" w:rsidP="00F043D5">
            <w:pPr>
              <w:keepNext/>
              <w:tabs>
                <w:tab w:val="clear" w:pos="562"/>
              </w:tabs>
              <w:suppressAutoHyphens w:val="0"/>
              <w:textAlignment w:val="baseline"/>
              <w:rPr>
                <w:szCs w:val="22"/>
                <w:lang w:eastAsia="en-GB"/>
              </w:rPr>
            </w:pPr>
            <w:r>
              <w:rPr>
                <w:szCs w:val="22"/>
                <w:vertAlign w:val="superscript"/>
                <w:lang w:val="en-US" w:eastAsia="en-GB"/>
              </w:rPr>
              <w:t>c</w:t>
            </w:r>
            <w:r w:rsidRPr="004A7E7E">
              <w:rPr>
                <w:szCs w:val="22"/>
                <w:lang w:val="en-US" w:eastAsia="en-GB"/>
              </w:rPr>
              <w:t> In patients receiving concomitant corticosteroids at baseline</w:t>
            </w:r>
            <w:r w:rsidRPr="004A7E7E">
              <w:rPr>
                <w:szCs w:val="22"/>
                <w:lang w:eastAsia="en-GB"/>
              </w:rPr>
              <w:t> </w:t>
            </w:r>
          </w:p>
          <w:p w14:paraId="766B07F5" w14:textId="77777777" w:rsidR="00A07406" w:rsidRPr="004A7E7E" w:rsidRDefault="00944B8F" w:rsidP="00F043D5">
            <w:pPr>
              <w:keepNext/>
              <w:tabs>
                <w:tab w:val="clear" w:pos="562"/>
              </w:tabs>
              <w:suppressAutoHyphens w:val="0"/>
              <w:textAlignment w:val="baseline"/>
              <w:rPr>
                <w:szCs w:val="22"/>
                <w:lang w:eastAsia="en-GB"/>
              </w:rPr>
            </w:pPr>
            <w:r w:rsidRPr="004A7E7E">
              <w:rPr>
                <w:szCs w:val="22"/>
                <w:lang w:val="en-US" w:eastAsia="en-GB"/>
              </w:rPr>
              <w:t>Note: Patients with missing values at Week 52 or who were randomized to receive re-induction or maintenance treatment were considered non-responders for Week 52 endpoints</w:t>
            </w:r>
            <w:r w:rsidRPr="004A7E7E">
              <w:rPr>
                <w:szCs w:val="22"/>
                <w:lang w:eastAsia="en-GB"/>
              </w:rPr>
              <w:t> </w:t>
            </w:r>
          </w:p>
        </w:tc>
      </w:tr>
    </w:tbl>
    <w:p w14:paraId="13AA322B" w14:textId="77777777" w:rsidR="005428D8" w:rsidRDefault="005428D8" w:rsidP="005428D8"/>
    <w:p w14:paraId="03534FC7" w14:textId="77777777" w:rsidR="00CA2534" w:rsidRDefault="00944B8F" w:rsidP="00CA2534">
      <w:r>
        <w:t xml:space="preserve">Additional exploratory efficacy endpoints included clinical response per the Paediatric Ulcerative Colitis Activity Index (PUCAI) (defined as a decrease in PUCAI ≥ 20 points from Baseline) and clinical remission per PUCAI (defined as PUCAI &lt; 10) at Week 8 and Week 52 (Table 33). </w:t>
      </w:r>
    </w:p>
    <w:p w14:paraId="2E283998" w14:textId="77777777" w:rsidR="004B4425" w:rsidRDefault="004B4425" w:rsidP="00CA2534"/>
    <w:tbl>
      <w:tblPr>
        <w:tblW w:w="8262" w:type="dxa"/>
        <w:jc w:val="center"/>
        <w:tblCellMar>
          <w:left w:w="0" w:type="dxa"/>
          <w:right w:w="0" w:type="dxa"/>
        </w:tblCellMar>
        <w:tblLook w:val="04A0" w:firstRow="1" w:lastRow="0" w:firstColumn="1" w:lastColumn="0" w:noHBand="0" w:noVBand="1"/>
      </w:tblPr>
      <w:tblGrid>
        <w:gridCol w:w="2934"/>
        <w:gridCol w:w="2898"/>
        <w:gridCol w:w="2430"/>
      </w:tblGrid>
      <w:tr w:rsidR="00C6578C" w14:paraId="3654345A" w14:textId="77777777" w:rsidTr="00901FEE">
        <w:trPr>
          <w:trHeight w:val="60"/>
          <w:jc w:val="center"/>
        </w:trPr>
        <w:tc>
          <w:tcPr>
            <w:tcW w:w="8262" w:type="dxa"/>
            <w:gridSpan w:val="3"/>
            <w:tcMar>
              <w:top w:w="0" w:type="dxa"/>
              <w:left w:w="108" w:type="dxa"/>
              <w:bottom w:w="0" w:type="dxa"/>
              <w:right w:w="108" w:type="dxa"/>
            </w:tcMar>
          </w:tcPr>
          <w:p w14:paraId="58364DD1" w14:textId="77777777" w:rsidR="004B4425" w:rsidRPr="00AA54F8" w:rsidRDefault="00944B8F" w:rsidP="00F043D5">
            <w:pPr>
              <w:keepNext/>
              <w:jc w:val="center"/>
              <w:rPr>
                <w:b/>
                <w:bCs/>
              </w:rPr>
            </w:pPr>
            <w:bookmarkStart w:id="8497" w:name="_Hlk51667533"/>
            <w:r w:rsidRPr="00AA54F8">
              <w:rPr>
                <w:b/>
                <w:bCs/>
              </w:rPr>
              <w:lastRenderedPageBreak/>
              <w:t xml:space="preserve">Table </w:t>
            </w:r>
            <w:r>
              <w:rPr>
                <w:b/>
                <w:bCs/>
              </w:rPr>
              <w:t>33</w:t>
            </w:r>
            <w:r w:rsidRPr="00AA54F8">
              <w:rPr>
                <w:b/>
                <w:bCs/>
              </w:rPr>
              <w:t xml:space="preserve">: </w:t>
            </w:r>
            <w:r>
              <w:rPr>
                <w:b/>
                <w:bCs/>
              </w:rPr>
              <w:t>Exploratory Endpoints Results per PUCAI</w:t>
            </w:r>
          </w:p>
        </w:tc>
      </w:tr>
      <w:tr w:rsidR="00C6578C" w14:paraId="4E183D9A" w14:textId="77777777" w:rsidTr="00901FEE">
        <w:trPr>
          <w:trHeight w:val="265"/>
          <w:jc w:val="center"/>
        </w:trPr>
        <w:tc>
          <w:tcPr>
            <w:tcW w:w="2934" w:type="dxa"/>
            <w:vMerge w:val="restart"/>
            <w:tcBorders>
              <w:top w:val="single" w:sz="4" w:space="0" w:color="auto"/>
              <w:left w:val="single" w:sz="8" w:space="0" w:color="auto"/>
              <w:right w:val="single" w:sz="4" w:space="0" w:color="auto"/>
            </w:tcBorders>
            <w:tcMar>
              <w:top w:w="0" w:type="dxa"/>
              <w:left w:w="108" w:type="dxa"/>
              <w:bottom w:w="0" w:type="dxa"/>
              <w:right w:w="108" w:type="dxa"/>
            </w:tcMar>
          </w:tcPr>
          <w:p w14:paraId="576929F9" w14:textId="77777777" w:rsidR="004B4425" w:rsidRPr="00490445" w:rsidRDefault="004B4425" w:rsidP="00F043D5">
            <w:pPr>
              <w:keepNext/>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7C2805" w14:textId="77777777" w:rsidR="004B4425" w:rsidRPr="00490445" w:rsidRDefault="00944B8F" w:rsidP="00F043D5">
            <w:pPr>
              <w:keepNext/>
              <w:jc w:val="center"/>
              <w:rPr>
                <w:b/>
                <w:bCs/>
              </w:rPr>
            </w:pPr>
            <w:r>
              <w:rPr>
                <w:b/>
                <w:bCs/>
              </w:rPr>
              <w:t>Week 8</w:t>
            </w:r>
          </w:p>
        </w:tc>
      </w:tr>
      <w:tr w:rsidR="00C6578C" w14:paraId="726081AB" w14:textId="77777777" w:rsidTr="00901FEE">
        <w:trPr>
          <w:trHeight w:val="1042"/>
          <w:jc w:val="center"/>
        </w:trPr>
        <w:tc>
          <w:tcPr>
            <w:tcW w:w="293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13002B78" w14:textId="77777777" w:rsidR="004B4425" w:rsidRPr="00490445" w:rsidRDefault="004B4425" w:rsidP="00F043D5">
            <w:pPr>
              <w:keepNext/>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904B00" w14:textId="77777777" w:rsidR="004B4425" w:rsidRPr="00490445" w:rsidRDefault="00944B8F" w:rsidP="00F043D5">
            <w:pPr>
              <w:keepNext/>
              <w:jc w:val="center"/>
              <w:rPr>
                <w:b/>
                <w:bCs/>
                <w:vertAlign w:val="superscript"/>
              </w:rPr>
            </w:pPr>
            <w:r w:rsidRPr="00490445">
              <w:rPr>
                <w:b/>
                <w:bCs/>
              </w:rPr>
              <w:t>Humira</w:t>
            </w:r>
            <w:r w:rsidRPr="00490445">
              <w:rPr>
                <w:b/>
                <w:bCs/>
                <w:vertAlign w:val="superscript"/>
              </w:rPr>
              <w:t>a</w:t>
            </w:r>
          </w:p>
          <w:p w14:paraId="2299FF84" w14:textId="77777777" w:rsidR="004B4425" w:rsidRDefault="00944B8F" w:rsidP="00F043D5">
            <w:pPr>
              <w:keepNext/>
              <w:jc w:val="center"/>
              <w:rPr>
                <w:b/>
                <w:bCs/>
              </w:rPr>
            </w:pPr>
            <w:r w:rsidRPr="00490445">
              <w:rPr>
                <w:b/>
                <w:bCs/>
              </w:rPr>
              <w:t>Maximum of 160 mg at Week 0 / Placebo at Week 1</w:t>
            </w:r>
          </w:p>
          <w:p w14:paraId="08EC2D7E" w14:textId="77777777" w:rsidR="004B4425" w:rsidRPr="00262C88" w:rsidRDefault="00944B8F" w:rsidP="00F043D5">
            <w:pPr>
              <w:keepNext/>
              <w:jc w:val="center"/>
            </w:pPr>
            <w:r w:rsidRPr="00262C88">
              <w:t>N=30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99F9A3" w14:textId="77777777" w:rsidR="004B4425" w:rsidRPr="00490445" w:rsidRDefault="00944B8F" w:rsidP="00F043D5">
            <w:pPr>
              <w:keepNext/>
              <w:jc w:val="center"/>
              <w:rPr>
                <w:b/>
                <w:bCs/>
                <w:vertAlign w:val="superscript"/>
              </w:rPr>
            </w:pPr>
            <w:r w:rsidRPr="00490445">
              <w:rPr>
                <w:b/>
                <w:bCs/>
              </w:rPr>
              <w:t>Humira</w:t>
            </w:r>
            <w:r w:rsidRPr="00490445">
              <w:rPr>
                <w:b/>
                <w:bCs/>
                <w:vertAlign w:val="superscript"/>
              </w:rPr>
              <w:t>b</w:t>
            </w:r>
            <w:r>
              <w:rPr>
                <w:b/>
                <w:bCs/>
                <w:vertAlign w:val="superscript"/>
              </w:rPr>
              <w:t>,c</w:t>
            </w:r>
          </w:p>
          <w:p w14:paraId="190ACB44" w14:textId="77777777" w:rsidR="004B4425" w:rsidRDefault="00944B8F" w:rsidP="00F043D5">
            <w:pPr>
              <w:keepNext/>
              <w:jc w:val="center"/>
              <w:rPr>
                <w:b/>
                <w:bCs/>
              </w:rPr>
            </w:pPr>
            <w:r w:rsidRPr="00490445">
              <w:rPr>
                <w:b/>
                <w:bCs/>
              </w:rPr>
              <w:t>Maximum of 160 mg at Week 0 and Week 1</w:t>
            </w:r>
          </w:p>
          <w:p w14:paraId="4E24BC81" w14:textId="77777777" w:rsidR="004B4425" w:rsidRPr="00262C88" w:rsidRDefault="00944B8F" w:rsidP="00F043D5">
            <w:pPr>
              <w:keepNext/>
              <w:jc w:val="center"/>
            </w:pPr>
            <w:r w:rsidRPr="00262C88">
              <w:t>N=47</w:t>
            </w:r>
          </w:p>
        </w:tc>
      </w:tr>
      <w:tr w:rsidR="00C6578C" w14:paraId="39AE6ECE" w14:textId="77777777" w:rsidTr="00901FEE">
        <w:trPr>
          <w:trHeight w:val="202"/>
          <w:jc w:val="center"/>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5B7108" w14:textId="77777777" w:rsidR="004B4425" w:rsidRPr="00490445" w:rsidRDefault="00944B8F" w:rsidP="00F043D5">
            <w:pPr>
              <w:keepNext/>
            </w:pPr>
            <w:r w:rsidRPr="00490445">
              <w:t>Clinical remission per PUCAI</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7E0C401B" w14:textId="77777777" w:rsidR="004B4425" w:rsidRPr="00490445" w:rsidRDefault="00944B8F" w:rsidP="00F043D5">
            <w:pPr>
              <w:keepNext/>
              <w:jc w:val="center"/>
            </w:pPr>
            <w:r w:rsidRPr="00490445">
              <w:t>10/30 (33.3%)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370443EB" w14:textId="77777777" w:rsidR="004B4425" w:rsidRPr="00490445" w:rsidRDefault="00944B8F" w:rsidP="00F043D5">
            <w:pPr>
              <w:keepNext/>
              <w:jc w:val="center"/>
            </w:pPr>
            <w:r w:rsidRPr="00490445">
              <w:t>22/47 (46.8%)</w:t>
            </w:r>
          </w:p>
        </w:tc>
      </w:tr>
      <w:tr w:rsidR="00C6578C" w14:paraId="5CB20520" w14:textId="77777777" w:rsidTr="00901FEE">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3DDA5E8" w14:textId="77777777" w:rsidR="004B4425" w:rsidRPr="00490445" w:rsidRDefault="00944B8F" w:rsidP="00F043D5">
            <w:pPr>
              <w:keepNext/>
            </w:pPr>
            <w:r w:rsidRPr="00490445">
              <w:t>Clinical response per PUCAI</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1932A3A7" w14:textId="77777777" w:rsidR="004B4425" w:rsidRPr="00490445" w:rsidRDefault="00944B8F" w:rsidP="00F043D5">
            <w:pPr>
              <w:keepNext/>
              <w:jc w:val="center"/>
            </w:pPr>
            <w:r w:rsidRPr="00490445">
              <w:t>15/30 (50.0%)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46BD0693" w14:textId="77777777" w:rsidR="004B4425" w:rsidRPr="00490445" w:rsidRDefault="00944B8F" w:rsidP="00F043D5">
            <w:pPr>
              <w:keepNext/>
              <w:jc w:val="center"/>
            </w:pPr>
            <w:r w:rsidRPr="00490445">
              <w:t>32/47 (68.1%)</w:t>
            </w:r>
          </w:p>
        </w:tc>
      </w:tr>
      <w:tr w:rsidR="00C6578C" w14:paraId="7C6BAC6F" w14:textId="77777777" w:rsidTr="00901FEE">
        <w:trPr>
          <w:trHeight w:val="238"/>
          <w:jc w:val="center"/>
        </w:trPr>
        <w:tc>
          <w:tcPr>
            <w:tcW w:w="2934" w:type="dxa"/>
            <w:vMerge w:val="restart"/>
            <w:tcBorders>
              <w:top w:val="nil"/>
              <w:left w:val="single" w:sz="8" w:space="0" w:color="auto"/>
              <w:right w:val="single" w:sz="8" w:space="0" w:color="auto"/>
            </w:tcBorders>
            <w:tcMar>
              <w:top w:w="0" w:type="dxa"/>
              <w:left w:w="108" w:type="dxa"/>
              <w:bottom w:w="0" w:type="dxa"/>
              <w:right w:w="108" w:type="dxa"/>
            </w:tcMar>
          </w:tcPr>
          <w:p w14:paraId="347B80A8" w14:textId="77777777" w:rsidR="004B4425" w:rsidRPr="00490445" w:rsidRDefault="004B4425" w:rsidP="00F043D5">
            <w:pPr>
              <w:keepNext/>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tcPr>
          <w:p w14:paraId="01037351" w14:textId="77777777" w:rsidR="004B4425" w:rsidRPr="00FD6CBD" w:rsidRDefault="00944B8F" w:rsidP="00F043D5">
            <w:pPr>
              <w:keepNext/>
              <w:jc w:val="center"/>
              <w:rPr>
                <w:b/>
                <w:bCs/>
              </w:rPr>
            </w:pPr>
            <w:r>
              <w:rPr>
                <w:b/>
                <w:bCs/>
              </w:rPr>
              <w:t>Week 52</w:t>
            </w:r>
          </w:p>
        </w:tc>
      </w:tr>
      <w:tr w:rsidR="00C6578C" w14:paraId="5A24B744" w14:textId="77777777" w:rsidTr="00901FEE">
        <w:trPr>
          <w:trHeight w:val="238"/>
          <w:jc w:val="center"/>
        </w:trPr>
        <w:tc>
          <w:tcPr>
            <w:tcW w:w="2934" w:type="dxa"/>
            <w:vMerge/>
            <w:tcBorders>
              <w:left w:val="single" w:sz="8" w:space="0" w:color="auto"/>
              <w:bottom w:val="single" w:sz="4" w:space="0" w:color="auto"/>
              <w:right w:val="single" w:sz="8" w:space="0" w:color="auto"/>
            </w:tcBorders>
            <w:tcMar>
              <w:top w:w="0" w:type="dxa"/>
              <w:left w:w="108" w:type="dxa"/>
              <w:bottom w:w="0" w:type="dxa"/>
              <w:right w:w="108" w:type="dxa"/>
            </w:tcMar>
          </w:tcPr>
          <w:p w14:paraId="49C31F80" w14:textId="77777777" w:rsidR="004B4425" w:rsidRPr="00490445" w:rsidRDefault="004B4425" w:rsidP="00F043D5">
            <w:pPr>
              <w:keepNext/>
            </w:pP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5D9C5C92" w14:textId="77777777" w:rsidR="004B4425" w:rsidRPr="004C3BBE" w:rsidRDefault="00944B8F" w:rsidP="00F043D5">
            <w:pPr>
              <w:keepNext/>
              <w:jc w:val="center"/>
              <w:rPr>
                <w:b/>
                <w:bCs/>
                <w:vertAlign w:val="superscript"/>
              </w:rPr>
            </w:pPr>
            <w:r w:rsidRPr="00FD6CBD">
              <w:rPr>
                <w:b/>
                <w:bCs/>
              </w:rPr>
              <w:t>Humira</w:t>
            </w:r>
            <w:r>
              <w:rPr>
                <w:b/>
                <w:bCs/>
                <w:vertAlign w:val="superscript"/>
              </w:rPr>
              <w:t>d</w:t>
            </w:r>
          </w:p>
          <w:p w14:paraId="52983C88" w14:textId="77777777" w:rsidR="004B4425" w:rsidRPr="00FD6CBD" w:rsidRDefault="00944B8F" w:rsidP="00F043D5">
            <w:pPr>
              <w:keepNext/>
              <w:jc w:val="center"/>
              <w:rPr>
                <w:b/>
                <w:bCs/>
              </w:rPr>
            </w:pPr>
            <w:r w:rsidRPr="00FD6CBD">
              <w:rPr>
                <w:b/>
                <w:bCs/>
              </w:rPr>
              <w:t>Maximum of 40 mg eow</w:t>
            </w:r>
          </w:p>
          <w:p w14:paraId="35571209" w14:textId="77777777" w:rsidR="004B4425" w:rsidRPr="00490445" w:rsidRDefault="00944B8F" w:rsidP="00F043D5">
            <w:pPr>
              <w:keepNext/>
              <w:jc w:val="center"/>
            </w:pPr>
            <w:r>
              <w:t>N=31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685BBAEF" w14:textId="77777777" w:rsidR="004B4425" w:rsidRPr="004C3BBE" w:rsidRDefault="00944B8F" w:rsidP="00F043D5">
            <w:pPr>
              <w:keepNext/>
              <w:jc w:val="center"/>
              <w:rPr>
                <w:b/>
                <w:bCs/>
                <w:vertAlign w:val="superscript"/>
              </w:rPr>
            </w:pPr>
            <w:r w:rsidRPr="00FD6CBD">
              <w:rPr>
                <w:b/>
                <w:bCs/>
              </w:rPr>
              <w:t>Humira</w:t>
            </w:r>
            <w:r>
              <w:rPr>
                <w:b/>
                <w:bCs/>
                <w:vertAlign w:val="superscript"/>
              </w:rPr>
              <w:t>e</w:t>
            </w:r>
          </w:p>
          <w:p w14:paraId="221F5099" w14:textId="77777777" w:rsidR="004B4425" w:rsidRPr="00FD6CBD" w:rsidRDefault="00944B8F" w:rsidP="00F043D5">
            <w:pPr>
              <w:keepNext/>
              <w:jc w:val="center"/>
              <w:rPr>
                <w:b/>
                <w:bCs/>
              </w:rPr>
            </w:pPr>
            <w:r w:rsidRPr="00FD6CBD">
              <w:rPr>
                <w:b/>
                <w:bCs/>
              </w:rPr>
              <w:t>Maximum of 40 mg ew</w:t>
            </w:r>
          </w:p>
          <w:p w14:paraId="2663B508" w14:textId="77777777" w:rsidR="004B4425" w:rsidRPr="00490445" w:rsidRDefault="00944B8F" w:rsidP="00F043D5">
            <w:pPr>
              <w:keepNext/>
              <w:jc w:val="center"/>
            </w:pPr>
            <w:r>
              <w:t>N=31</w:t>
            </w:r>
          </w:p>
        </w:tc>
      </w:tr>
      <w:tr w:rsidR="00C6578C" w14:paraId="420BBDEF" w14:textId="77777777" w:rsidTr="00901FEE">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D9790DB" w14:textId="77777777" w:rsidR="004B4425" w:rsidRPr="00490445" w:rsidRDefault="00944B8F" w:rsidP="00F043D5">
            <w:pPr>
              <w:keepNext/>
            </w:pPr>
            <w:r>
              <w:t>Clinical remission per PUCAI in Week 8 PMS responders</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4A9D03A4" w14:textId="77777777" w:rsidR="004B4425" w:rsidRPr="00490445" w:rsidRDefault="00944B8F" w:rsidP="00F043D5">
            <w:pPr>
              <w:keepNext/>
              <w:jc w:val="center"/>
            </w:pPr>
            <w:r>
              <w:t>14/31 (45.2%)</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04A17B81" w14:textId="77777777" w:rsidR="004B4425" w:rsidRPr="00490445" w:rsidRDefault="00944B8F" w:rsidP="00F043D5">
            <w:pPr>
              <w:keepNext/>
              <w:jc w:val="center"/>
            </w:pPr>
            <w:r>
              <w:t>18/31 (58.1%)</w:t>
            </w:r>
          </w:p>
        </w:tc>
      </w:tr>
      <w:tr w:rsidR="00C6578C" w14:paraId="48530632" w14:textId="77777777" w:rsidTr="00901FEE">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7824AE5" w14:textId="77777777" w:rsidR="004B4425" w:rsidRDefault="00944B8F" w:rsidP="00F043D5">
            <w:pPr>
              <w:keepNext/>
            </w:pPr>
            <w:r>
              <w:t>Clinical response per PUCAI in Week 8 PMS responders</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3C802190" w14:textId="77777777" w:rsidR="004B4425" w:rsidRPr="00490445" w:rsidRDefault="00944B8F" w:rsidP="00F043D5">
            <w:pPr>
              <w:keepNext/>
              <w:jc w:val="center"/>
            </w:pPr>
            <w:r>
              <w:t>18/31 (58.1%)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1A945A25" w14:textId="77777777" w:rsidR="004B4425" w:rsidRPr="00490445" w:rsidRDefault="00944B8F" w:rsidP="00F043D5">
            <w:pPr>
              <w:keepNext/>
              <w:jc w:val="center"/>
            </w:pPr>
            <w:r>
              <w:t>16/31 (51.6%)</w:t>
            </w:r>
          </w:p>
        </w:tc>
      </w:tr>
      <w:tr w:rsidR="00C6578C" w14:paraId="05EF2B57" w14:textId="77777777" w:rsidTr="00901FEE">
        <w:trPr>
          <w:trHeight w:val="533"/>
          <w:jc w:val="center"/>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tcPr>
          <w:p w14:paraId="34219451" w14:textId="77777777" w:rsidR="004B4425" w:rsidRPr="00AA54F8" w:rsidRDefault="00944B8F" w:rsidP="00F043D5">
            <w:pPr>
              <w:keepNext/>
              <w:rPr>
                <w:rStyle w:val="eop"/>
              </w:rPr>
            </w:pPr>
            <w:r w:rsidRPr="00AA54F8">
              <w:rPr>
                <w:vertAlign w:val="superscript"/>
              </w:rPr>
              <w:t>a</w:t>
            </w:r>
            <w:r w:rsidRPr="00AA54F8">
              <w:t xml:space="preserve"> </w:t>
            </w:r>
            <w:r w:rsidRPr="00AA54F8">
              <w:rPr>
                <w:rStyle w:val="normaltextrun"/>
              </w:rPr>
              <w:t>Humira 2.4 mg/kg (maximum of 160 mg) at Week 0, placebo at Week 1, and 1.2 mg/kg (maximum of 80 mg) at Week 2</w:t>
            </w:r>
            <w:r w:rsidRPr="00AA54F8">
              <w:rPr>
                <w:rStyle w:val="eop"/>
              </w:rPr>
              <w:t> </w:t>
            </w:r>
          </w:p>
          <w:p w14:paraId="0743AD56" w14:textId="77777777" w:rsidR="004B4425" w:rsidRPr="00262C88" w:rsidRDefault="00944B8F" w:rsidP="00F043D5">
            <w:pPr>
              <w:pStyle w:val="paragraph0"/>
              <w:keepNext/>
              <w:spacing w:before="0" w:beforeAutospacing="0" w:after="0" w:afterAutospacing="0"/>
              <w:textAlignment w:val="baseline"/>
              <w:rPr>
                <w:rStyle w:val="eop"/>
                <w:sz w:val="22"/>
                <w:szCs w:val="22"/>
              </w:rPr>
            </w:pPr>
            <w:r w:rsidRPr="00AA54F8">
              <w:rPr>
                <w:sz w:val="22"/>
                <w:szCs w:val="22"/>
                <w:vertAlign w:val="superscript"/>
              </w:rPr>
              <w:t xml:space="preserve">b </w:t>
            </w:r>
            <w:r w:rsidRPr="00AA54F8">
              <w:rPr>
                <w:rStyle w:val="normaltextrun"/>
                <w:sz w:val="22"/>
                <w:szCs w:val="22"/>
                <w:vertAlign w:val="superscript"/>
              </w:rPr>
              <w:t> </w:t>
            </w:r>
            <w:r w:rsidRPr="00AA54F8">
              <w:rPr>
                <w:rStyle w:val="normaltextrun"/>
                <w:sz w:val="22"/>
                <w:szCs w:val="22"/>
              </w:rPr>
              <w:t xml:space="preserve">Humira 2.4 mg/kg (maximum of 160 mg) at Week 0 and Week 1, and 1.2 </w:t>
            </w:r>
            <w:r w:rsidRPr="00262C88">
              <w:rPr>
                <w:rStyle w:val="normaltextrun"/>
                <w:sz w:val="22"/>
                <w:szCs w:val="22"/>
              </w:rPr>
              <w:t>mg/kg (maximum of 80 mg) at Week 2</w:t>
            </w:r>
            <w:r w:rsidRPr="00262C88">
              <w:rPr>
                <w:rStyle w:val="eop"/>
                <w:sz w:val="22"/>
                <w:szCs w:val="22"/>
              </w:rPr>
              <w:t> </w:t>
            </w:r>
          </w:p>
          <w:p w14:paraId="4A5D81C6" w14:textId="77777777" w:rsidR="004B4425" w:rsidRDefault="00944B8F" w:rsidP="00F043D5">
            <w:pPr>
              <w:pStyle w:val="paragraph0"/>
              <w:keepNext/>
              <w:spacing w:before="0" w:beforeAutospacing="0" w:after="0" w:afterAutospacing="0"/>
              <w:textAlignment w:val="baseline"/>
              <w:rPr>
                <w:rStyle w:val="normaltextrun"/>
                <w:sz w:val="22"/>
                <w:szCs w:val="22"/>
              </w:rPr>
            </w:pPr>
            <w:r w:rsidRPr="00262C88">
              <w:rPr>
                <w:rStyle w:val="normaltextrun"/>
                <w:rFonts w:cs="Calibri"/>
                <w:sz w:val="22"/>
                <w:szCs w:val="22"/>
                <w:vertAlign w:val="superscript"/>
              </w:rPr>
              <w:t>c</w:t>
            </w:r>
            <w:r w:rsidRPr="00262C88">
              <w:rPr>
                <w:rStyle w:val="normaltextrun"/>
                <w:rFonts w:cs="Calibri"/>
                <w:sz w:val="22"/>
                <w:szCs w:val="22"/>
              </w:rPr>
              <w:t> Not including open-label Induction dose of </w:t>
            </w:r>
            <w:r w:rsidRPr="00262C88">
              <w:rPr>
                <w:rStyle w:val="normaltextrun"/>
                <w:sz w:val="22"/>
                <w:szCs w:val="22"/>
              </w:rPr>
              <w:t>Humira 2.4 mg/kg (maximum of 160 mg) at Week 0 and Week 1, and 1.2 mg/kg (maximum of 80 mg) at Week 2</w:t>
            </w:r>
          </w:p>
          <w:p w14:paraId="0048785A" w14:textId="77777777" w:rsidR="004B4425" w:rsidRPr="00703E9C" w:rsidRDefault="00944B8F" w:rsidP="00F043D5">
            <w:pPr>
              <w:pStyle w:val="paragraph0"/>
              <w:keepNext/>
              <w:spacing w:before="0" w:beforeAutospacing="0" w:after="0" w:afterAutospacing="0"/>
              <w:textAlignment w:val="baseline"/>
              <w:rPr>
                <w:sz w:val="22"/>
                <w:szCs w:val="22"/>
                <w:lang w:eastAsia="en-GB"/>
              </w:rPr>
            </w:pPr>
            <w:r>
              <w:rPr>
                <w:rStyle w:val="normaltextrun"/>
                <w:sz w:val="22"/>
                <w:szCs w:val="22"/>
                <w:vertAlign w:val="superscript"/>
              </w:rPr>
              <w:t>d</w:t>
            </w:r>
            <w:r w:rsidRPr="00703E9C">
              <w:rPr>
                <w:sz w:val="22"/>
                <w:szCs w:val="22"/>
                <w:lang w:eastAsia="en-GB"/>
              </w:rPr>
              <w:t xml:space="preserve"> Humira 0.6 mg/kg (maximum of 40 mg) every other week</w:t>
            </w:r>
          </w:p>
          <w:p w14:paraId="773DCBFD" w14:textId="77777777" w:rsidR="004B4425" w:rsidRDefault="00944B8F" w:rsidP="00F043D5">
            <w:pPr>
              <w:keepNext/>
              <w:rPr>
                <w:lang w:eastAsia="en-GB"/>
              </w:rPr>
            </w:pPr>
            <w:r>
              <w:rPr>
                <w:vertAlign w:val="superscript"/>
                <w:lang w:eastAsia="en-GB"/>
              </w:rPr>
              <w:t>e</w:t>
            </w:r>
            <w:r w:rsidRPr="00EA7EBF">
              <w:rPr>
                <w:lang w:eastAsia="en-GB"/>
              </w:rPr>
              <w:t xml:space="preserve"> Humira 0.6 mg/kg (maximum of 40 mg) every week</w:t>
            </w:r>
          </w:p>
          <w:p w14:paraId="18C7AB11" w14:textId="77777777" w:rsidR="004B4425" w:rsidRPr="00262C88" w:rsidRDefault="00944B8F" w:rsidP="00F043D5">
            <w:pPr>
              <w:pStyle w:val="paragraph0"/>
              <w:keepNext/>
              <w:spacing w:before="0" w:beforeAutospacing="0" w:after="0" w:afterAutospacing="0"/>
              <w:textAlignment w:val="baseline"/>
              <w:rPr>
                <w:rFonts w:ascii="Segoe UI" w:hAnsi="Segoe UI" w:cs="Segoe UI"/>
                <w:sz w:val="22"/>
                <w:szCs w:val="22"/>
              </w:rPr>
            </w:pPr>
            <w:r w:rsidRPr="00262C88">
              <w:rPr>
                <w:rStyle w:val="normaltextrun"/>
                <w:rFonts w:cs="Calibri"/>
                <w:sz w:val="22"/>
                <w:szCs w:val="22"/>
              </w:rPr>
              <w:t>Note 1: Both induction groups received 0.6 mg/kg (maximum of 40 mg) at Week 4 and Week 6</w:t>
            </w:r>
            <w:r w:rsidRPr="00262C88">
              <w:rPr>
                <w:rStyle w:val="eop"/>
                <w:rFonts w:cs="Calibri"/>
                <w:sz w:val="22"/>
                <w:szCs w:val="22"/>
              </w:rPr>
              <w:t> </w:t>
            </w:r>
          </w:p>
          <w:p w14:paraId="3EFA5A4E" w14:textId="77777777" w:rsidR="004B4425" w:rsidRDefault="00944B8F" w:rsidP="00F043D5">
            <w:pPr>
              <w:pStyle w:val="paragraph0"/>
              <w:keepNext/>
              <w:spacing w:before="0" w:beforeAutospacing="0" w:after="0" w:afterAutospacing="0"/>
              <w:textAlignment w:val="baseline"/>
              <w:rPr>
                <w:rStyle w:val="eop"/>
                <w:rFonts w:cs="Calibri"/>
                <w:sz w:val="22"/>
                <w:szCs w:val="22"/>
              </w:rPr>
            </w:pPr>
            <w:r w:rsidRPr="00262C88">
              <w:rPr>
                <w:rStyle w:val="normaltextrun"/>
                <w:rFonts w:cs="Calibri"/>
                <w:sz w:val="22"/>
                <w:szCs w:val="22"/>
              </w:rPr>
              <w:t>Note 2: Patients with missing values at Week 8 were considered as not having met the endpoints</w:t>
            </w:r>
            <w:r w:rsidRPr="00262C88">
              <w:rPr>
                <w:rStyle w:val="eop"/>
                <w:rFonts w:cs="Calibri"/>
                <w:sz w:val="22"/>
                <w:szCs w:val="22"/>
              </w:rPr>
              <w:t> </w:t>
            </w:r>
          </w:p>
          <w:p w14:paraId="256745D8" w14:textId="77777777" w:rsidR="004B4425" w:rsidRPr="004C3BBE" w:rsidRDefault="00944B8F" w:rsidP="00F043D5">
            <w:pPr>
              <w:pStyle w:val="paragraph0"/>
              <w:keepNext/>
              <w:spacing w:before="0" w:beforeAutospacing="0" w:after="0" w:afterAutospacing="0"/>
              <w:textAlignment w:val="baseline"/>
              <w:rPr>
                <w:sz w:val="22"/>
                <w:szCs w:val="22"/>
              </w:rPr>
            </w:pPr>
            <w:r w:rsidRPr="004C3BBE">
              <w:rPr>
                <w:rStyle w:val="eop"/>
                <w:rFonts w:cs="Calibri"/>
                <w:sz w:val="22"/>
                <w:szCs w:val="22"/>
              </w:rPr>
              <w:t xml:space="preserve">Note 3: </w:t>
            </w:r>
            <w:r w:rsidRPr="004C3BBE">
              <w:rPr>
                <w:sz w:val="22"/>
                <w:szCs w:val="22"/>
                <w:lang w:eastAsia="en-GB"/>
              </w:rPr>
              <w:t>Patients with missing values at Week 52 or who were randomized to receive re-induction or maintenance treatment were considered non-responders for Week 52 endpoints</w:t>
            </w:r>
          </w:p>
        </w:tc>
      </w:tr>
      <w:bookmarkEnd w:id="8497"/>
    </w:tbl>
    <w:p w14:paraId="435E611A" w14:textId="77777777" w:rsidR="007868A1" w:rsidRDefault="007868A1" w:rsidP="005201C2"/>
    <w:p w14:paraId="16BFFAA4" w14:textId="77777777" w:rsidR="00BF1AB0" w:rsidRPr="00BF1AB0" w:rsidRDefault="00944B8F" w:rsidP="00BF1AB0">
      <w:r w:rsidRPr="00BF1AB0">
        <w:t>Of the Humira-treated patients who received re-induction treatment during the maintenance period, 2/6 (33%) achieved clinical response per FMS at Week 52.</w:t>
      </w:r>
    </w:p>
    <w:p w14:paraId="5DFF1109" w14:textId="77777777" w:rsidR="00BF1AB0" w:rsidRPr="00BF1AB0" w:rsidRDefault="00BF1AB0" w:rsidP="00BF1AB0"/>
    <w:p w14:paraId="1D3D6D99" w14:textId="77777777" w:rsidR="00BF1AB0" w:rsidRPr="00BF1AB0" w:rsidRDefault="00944B8F" w:rsidP="00BF1AB0">
      <w:pPr>
        <w:keepNext/>
        <w:rPr>
          <w:bCs/>
          <w:i/>
          <w:szCs w:val="22"/>
        </w:rPr>
      </w:pPr>
      <w:r w:rsidRPr="00BF1AB0">
        <w:rPr>
          <w:bCs/>
          <w:i/>
          <w:szCs w:val="22"/>
        </w:rPr>
        <w:t>Quality of life</w:t>
      </w:r>
    </w:p>
    <w:p w14:paraId="58A24C90" w14:textId="77777777" w:rsidR="00BF1AB0" w:rsidRPr="00BF1AB0" w:rsidRDefault="00BF1AB0" w:rsidP="00BF1AB0">
      <w:pPr>
        <w:keepNext/>
        <w:rPr>
          <w:bCs/>
          <w:i/>
          <w:szCs w:val="22"/>
        </w:rPr>
      </w:pPr>
    </w:p>
    <w:p w14:paraId="6560232D" w14:textId="77777777" w:rsidR="00BF1AB0" w:rsidRPr="00BF1AB0" w:rsidRDefault="00944B8F" w:rsidP="00BF1AB0">
      <w:pPr>
        <w:keepNext/>
      </w:pPr>
      <w:r w:rsidRPr="00BF1AB0">
        <w:t xml:space="preserve">Clinically meaningful improvements from Baseline were observed in IMPACT III and the caregiver Work Productivity and Activity Impairment (WPAI) scores for the groups treated with Humira. </w:t>
      </w:r>
    </w:p>
    <w:p w14:paraId="343260A5" w14:textId="77777777" w:rsidR="00BF1AB0" w:rsidRPr="00BF1AB0" w:rsidRDefault="00BF1AB0" w:rsidP="00BF1AB0">
      <w:pPr>
        <w:keepNext/>
      </w:pPr>
    </w:p>
    <w:p w14:paraId="0BB277FB" w14:textId="77777777" w:rsidR="00BF1AB0" w:rsidRPr="00BF1AB0" w:rsidRDefault="00944B8F" w:rsidP="00BF1AB0">
      <w:pPr>
        <w:tabs>
          <w:tab w:val="clear" w:pos="562"/>
        </w:tabs>
        <w:suppressAutoHyphens w:val="0"/>
        <w:rPr>
          <w:rFonts w:eastAsiaTheme="minorHAnsi"/>
          <w:sz w:val="24"/>
          <w:lang w:eastAsia="en-GB"/>
        </w:rPr>
      </w:pPr>
      <w:r w:rsidRPr="00BF1AB0">
        <w:t>Clinically meaningful increases (improvement) from Baseline in height velocity were observed for the groups treated with adalimumab, and clinically meaningful increases (improvement) from Baseline in Body Mass Index were observed for subjects on the high maintenance dose of max</w:t>
      </w:r>
      <w:r w:rsidRPr="00BF1AB0">
        <w:rPr>
          <w:rStyle w:val="normaltextrun"/>
          <w:szCs w:val="22"/>
        </w:rPr>
        <w:t>imum</w:t>
      </w:r>
      <w:r w:rsidRPr="00BF1AB0">
        <w:t xml:space="preserve"> 40 mg (0.6 mg/kg) ew. </w:t>
      </w:r>
    </w:p>
    <w:p w14:paraId="58B18A16" w14:textId="77777777" w:rsidR="005428D8" w:rsidRDefault="005428D8" w:rsidP="005428D8">
      <w:pPr>
        <w:keepNext/>
      </w:pPr>
    </w:p>
    <w:p w14:paraId="2E0B46C9" w14:textId="77777777" w:rsidR="003B0C89" w:rsidRPr="00BC0E7E" w:rsidRDefault="00944B8F" w:rsidP="003B0C89">
      <w:pPr>
        <w:keepNext/>
        <w:rPr>
          <w:b/>
          <w:bCs/>
          <w:i/>
          <w:szCs w:val="20"/>
        </w:rPr>
      </w:pPr>
      <w:r w:rsidRPr="002E42DA">
        <w:rPr>
          <w:bCs/>
          <w:i/>
          <w:szCs w:val="22"/>
        </w:rPr>
        <w:t>Paediatric Uveitis</w:t>
      </w:r>
      <w:r w:rsidRPr="00BC0E7E">
        <w:rPr>
          <w:b/>
          <w:bCs/>
          <w:i/>
          <w:szCs w:val="20"/>
        </w:rPr>
        <w:t xml:space="preserve"> </w:t>
      </w:r>
    </w:p>
    <w:p w14:paraId="01A749DE" w14:textId="77777777" w:rsidR="003B0C89" w:rsidRPr="00BC0E7E" w:rsidRDefault="003B0C89" w:rsidP="003B0C89">
      <w:pPr>
        <w:tabs>
          <w:tab w:val="clear" w:pos="562"/>
        </w:tabs>
        <w:suppressAutoHyphens w:val="0"/>
        <w:rPr>
          <w:bCs/>
          <w:szCs w:val="20"/>
        </w:rPr>
      </w:pPr>
    </w:p>
    <w:p w14:paraId="09C969A5" w14:textId="77777777" w:rsidR="003B0C89" w:rsidRPr="00BC0E7E" w:rsidRDefault="00944B8F" w:rsidP="003B0C89">
      <w:pPr>
        <w:tabs>
          <w:tab w:val="clear" w:pos="562"/>
        </w:tabs>
        <w:suppressAutoHyphens w:val="0"/>
        <w:rPr>
          <w:bCs/>
          <w:szCs w:val="20"/>
        </w:rPr>
      </w:pPr>
      <w:r w:rsidRPr="00BC0E7E">
        <w:rPr>
          <w:bCs/>
          <w:szCs w:val="20"/>
        </w:rPr>
        <w:t>The safety and efficacy of Humira was assessed in a randomized, double</w:t>
      </w:r>
      <w:r w:rsidRPr="00BC0E7E">
        <w:rPr>
          <w:bCs/>
          <w:szCs w:val="20"/>
        </w:rPr>
        <w:noBreakHyphen/>
        <w:t xml:space="preserve">masked, controlled study of 90 paediatric patients from 2 to &lt; 18 years of age with active JIA-associated noninfectious anterior uveitis who were refractory to at least 12 weeks of methotrexate treatment.  Patients received either placebo or 20 mg adalimumab (if &lt; 30 kg) or 40 mg adalimumab (if ≥ 30 kg) every other week in combination with their baseline dose of methotrexate. </w:t>
      </w:r>
    </w:p>
    <w:p w14:paraId="0EE6A7ED" w14:textId="77777777" w:rsidR="003B0C89" w:rsidRPr="00BC0E7E" w:rsidRDefault="003B0C89" w:rsidP="003B0C89">
      <w:pPr>
        <w:tabs>
          <w:tab w:val="clear" w:pos="562"/>
        </w:tabs>
        <w:suppressAutoHyphens w:val="0"/>
        <w:rPr>
          <w:bCs/>
          <w:szCs w:val="20"/>
        </w:rPr>
      </w:pPr>
    </w:p>
    <w:p w14:paraId="41C4EAEE" w14:textId="77777777" w:rsidR="003B0C89" w:rsidRPr="00BC0E7E" w:rsidRDefault="00944B8F" w:rsidP="003B0C89">
      <w:pPr>
        <w:tabs>
          <w:tab w:val="clear" w:pos="562"/>
        </w:tabs>
        <w:suppressAutoHyphens w:val="0"/>
        <w:rPr>
          <w:bCs/>
          <w:szCs w:val="20"/>
        </w:rPr>
      </w:pPr>
      <w:r w:rsidRPr="00BC0E7E">
        <w:rPr>
          <w:bCs/>
          <w:szCs w:val="20"/>
        </w:rPr>
        <w:t>The primary endpoint was ‘time to treatment failure’. The criteria determining treatment failure were worsening or sustained non-improvement in ocular inflammation, partial improvement with development of sustained ocular co-morbidities or worsening of ocular co-morbidities, non-permitted use of concomitant medications, and suspension of treatment for an extended period of time.</w:t>
      </w:r>
    </w:p>
    <w:p w14:paraId="3A7574A8" w14:textId="77777777" w:rsidR="003B0C89" w:rsidRPr="00BC0E7E" w:rsidRDefault="003B0C89" w:rsidP="003B0C89">
      <w:pPr>
        <w:tabs>
          <w:tab w:val="clear" w:pos="562"/>
        </w:tabs>
        <w:suppressAutoHyphens w:val="0"/>
        <w:rPr>
          <w:bCs/>
          <w:szCs w:val="20"/>
        </w:rPr>
      </w:pPr>
    </w:p>
    <w:p w14:paraId="47091810" w14:textId="77777777" w:rsidR="003B0C89" w:rsidRPr="00BC0E7E" w:rsidRDefault="00944B8F" w:rsidP="003B0C89">
      <w:pPr>
        <w:rPr>
          <w:i/>
          <w:szCs w:val="20"/>
          <w:u w:val="single"/>
        </w:rPr>
      </w:pPr>
      <w:r w:rsidRPr="00BC0E7E">
        <w:rPr>
          <w:i/>
          <w:szCs w:val="20"/>
          <w:u w:val="single"/>
        </w:rPr>
        <w:t>Clinical Response</w:t>
      </w:r>
    </w:p>
    <w:p w14:paraId="42ECFF25" w14:textId="77777777" w:rsidR="003B0C89" w:rsidRPr="00BC0E7E" w:rsidRDefault="003B0C89" w:rsidP="003B0C89">
      <w:pPr>
        <w:tabs>
          <w:tab w:val="clear" w:pos="562"/>
        </w:tabs>
        <w:suppressAutoHyphens w:val="0"/>
        <w:rPr>
          <w:i/>
          <w:sz w:val="24"/>
          <w:u w:val="single"/>
        </w:rPr>
      </w:pPr>
    </w:p>
    <w:p w14:paraId="19050669" w14:textId="77777777" w:rsidR="003B0C89" w:rsidRPr="00BC0E7E" w:rsidRDefault="00944B8F" w:rsidP="003B0C89">
      <w:pPr>
        <w:tabs>
          <w:tab w:val="clear" w:pos="562"/>
        </w:tabs>
        <w:suppressAutoHyphens w:val="0"/>
        <w:rPr>
          <w:bCs/>
          <w:szCs w:val="20"/>
        </w:rPr>
      </w:pPr>
      <w:r w:rsidRPr="00BC0E7E">
        <w:rPr>
          <w:bCs/>
          <w:szCs w:val="20"/>
        </w:rPr>
        <w:t xml:space="preserve">Adalimumab significantly delayed the time to treatment failure, as compared to placebo (See Figure </w:t>
      </w:r>
      <w:r>
        <w:rPr>
          <w:bCs/>
          <w:szCs w:val="20"/>
        </w:rPr>
        <w:t>3</w:t>
      </w:r>
      <w:r w:rsidRPr="00BC0E7E">
        <w:rPr>
          <w:bCs/>
          <w:szCs w:val="20"/>
        </w:rPr>
        <w:t>, P &lt; 0.0001 from log rank test).The median time to treatment failure was 24.1 weeks for subjects treated with placebo, whereas the median time to treatment failure was not estimable for subjects treated with adalimumab because less than one-half of these subjects experienced treatment failure.  Adalimumab significantly decreased the risk of treatment failure by 75% relative to placebo, as shown by the hazard ratio (HR = 0.25 [95% CI:  0.12, 0.49]).</w:t>
      </w:r>
    </w:p>
    <w:p w14:paraId="70D3A70F" w14:textId="77777777" w:rsidR="003B0C89" w:rsidRPr="008F4FD5" w:rsidRDefault="003B0C89" w:rsidP="003B0C89">
      <w:pPr>
        <w:keepNext/>
        <w:tabs>
          <w:tab w:val="clear" w:pos="562"/>
        </w:tabs>
        <w:suppressAutoHyphens w:val="0"/>
        <w:spacing w:line="300" w:lineRule="auto"/>
        <w:rPr>
          <w:szCs w:val="22"/>
        </w:rPr>
      </w:pPr>
    </w:p>
    <w:p w14:paraId="02BCDE24" w14:textId="77777777" w:rsidR="003B0C89" w:rsidRDefault="00944B8F" w:rsidP="003B0C89">
      <w:pPr>
        <w:keepNext/>
        <w:tabs>
          <w:tab w:val="clear" w:pos="562"/>
        </w:tabs>
        <w:suppressAutoHyphens w:val="0"/>
        <w:spacing w:line="300" w:lineRule="auto"/>
        <w:rPr>
          <w:b/>
          <w:szCs w:val="22"/>
        </w:rPr>
      </w:pPr>
      <w:r w:rsidRPr="00BC0E7E">
        <w:rPr>
          <w:b/>
          <w:szCs w:val="22"/>
        </w:rPr>
        <w:t xml:space="preserve">Figure </w:t>
      </w:r>
      <w:r>
        <w:rPr>
          <w:b/>
          <w:szCs w:val="22"/>
        </w:rPr>
        <w:t>3</w:t>
      </w:r>
      <w:r w:rsidRPr="00BC0E7E">
        <w:rPr>
          <w:b/>
          <w:szCs w:val="22"/>
        </w:rPr>
        <w:t>: Kaplan-Meier Curves Summarizing Time to Treatment Failure in the Paediatric Uveitis Study</w:t>
      </w:r>
    </w:p>
    <w:p w14:paraId="22A2CFF0" w14:textId="77777777" w:rsidR="003B0C89" w:rsidRPr="008F4FD5" w:rsidRDefault="003B0C89" w:rsidP="003B0C89">
      <w:pPr>
        <w:keepNext/>
        <w:tabs>
          <w:tab w:val="clear" w:pos="562"/>
        </w:tabs>
        <w:suppressAutoHyphens w:val="0"/>
        <w:jc w:val="center"/>
        <w:rPr>
          <w:szCs w:val="22"/>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C6578C" w14:paraId="5FDF0BB6" w14:textId="77777777" w:rsidTr="00C83D47">
        <w:trPr>
          <w:cantSplit/>
          <w:trHeight w:val="3806"/>
        </w:trPr>
        <w:tc>
          <w:tcPr>
            <w:tcW w:w="468" w:type="dxa"/>
            <w:textDirection w:val="btLr"/>
            <w:vAlign w:val="bottom"/>
          </w:tcPr>
          <w:p w14:paraId="5B100141" w14:textId="77777777" w:rsidR="003B0C89" w:rsidRPr="00BC0E7E" w:rsidRDefault="00944B8F" w:rsidP="00C83D47">
            <w:pPr>
              <w:keepNext/>
              <w:ind w:left="113" w:right="113"/>
              <w:jc w:val="center"/>
              <w:rPr>
                <w:b/>
                <w:szCs w:val="22"/>
              </w:rPr>
            </w:pPr>
            <w:r w:rsidRPr="00BC0E7E">
              <w:rPr>
                <w:b/>
                <w:szCs w:val="22"/>
              </w:rPr>
              <w:t>PROBABILITY OF FAILING TREATMENT</w:t>
            </w:r>
          </w:p>
        </w:tc>
        <w:tc>
          <w:tcPr>
            <w:tcW w:w="8820" w:type="dxa"/>
            <w:gridSpan w:val="5"/>
            <w:vAlign w:val="bottom"/>
          </w:tcPr>
          <w:p w14:paraId="100D0E02" w14:textId="77777777" w:rsidR="003B0C89" w:rsidRPr="00BC0E7E" w:rsidRDefault="00944B8F" w:rsidP="00C83D47">
            <w:pPr>
              <w:keepNext/>
              <w:rPr>
                <w:szCs w:val="22"/>
              </w:rPr>
            </w:pPr>
            <w:r>
              <w:rPr>
                <w:noProof/>
                <w:szCs w:val="22"/>
                <w:lang w:val="en-US"/>
              </w:rPr>
              <w:drawing>
                <wp:inline distT="0" distB="0" distL="0" distR="0" wp14:anchorId="7FB90EB7" wp14:editId="79769004">
                  <wp:extent cx="5486400" cy="4556125"/>
                  <wp:effectExtent l="0" t="0" r="0" b="0"/>
                  <wp:docPr id="11" name="Picture 11"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1" descr="Humira PED UV KM Curve REVISED 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486400" cy="4556125"/>
                          </a:xfrm>
                          <a:prstGeom prst="rect">
                            <a:avLst/>
                          </a:prstGeom>
                          <a:noFill/>
                          <a:ln>
                            <a:noFill/>
                          </a:ln>
                        </pic:spPr>
                      </pic:pic>
                    </a:graphicData>
                  </a:graphic>
                </wp:inline>
              </w:drawing>
            </w:r>
          </w:p>
        </w:tc>
      </w:tr>
      <w:tr w:rsidR="00C6578C" w14:paraId="6E016E3A" w14:textId="77777777" w:rsidTr="00C83D47">
        <w:tc>
          <w:tcPr>
            <w:tcW w:w="468" w:type="dxa"/>
          </w:tcPr>
          <w:p w14:paraId="0AD12CAC" w14:textId="77777777" w:rsidR="003B0C89" w:rsidRPr="00BC0E7E" w:rsidRDefault="003B0C89" w:rsidP="00C83D47">
            <w:pPr>
              <w:keepNext/>
              <w:rPr>
                <w:szCs w:val="22"/>
              </w:rPr>
            </w:pPr>
          </w:p>
        </w:tc>
        <w:tc>
          <w:tcPr>
            <w:tcW w:w="8820" w:type="dxa"/>
            <w:gridSpan w:val="5"/>
          </w:tcPr>
          <w:p w14:paraId="15AB7703" w14:textId="77777777" w:rsidR="003B0C89" w:rsidRPr="00BC0E7E" w:rsidRDefault="00944B8F" w:rsidP="00C83D47">
            <w:pPr>
              <w:keepNext/>
              <w:jc w:val="center"/>
              <w:rPr>
                <w:b/>
                <w:szCs w:val="22"/>
              </w:rPr>
            </w:pPr>
            <w:r w:rsidRPr="00BC0E7E">
              <w:rPr>
                <w:b/>
                <w:szCs w:val="22"/>
              </w:rPr>
              <w:t>TIME (WEEKS)</w:t>
            </w:r>
          </w:p>
        </w:tc>
      </w:tr>
      <w:tr w:rsidR="00C6578C" w14:paraId="12AEC21B" w14:textId="77777777" w:rsidTr="00C83D47">
        <w:tc>
          <w:tcPr>
            <w:tcW w:w="468" w:type="dxa"/>
          </w:tcPr>
          <w:p w14:paraId="47EE937E" w14:textId="77777777" w:rsidR="003B0C89" w:rsidRPr="00BC0E7E" w:rsidRDefault="003B0C89" w:rsidP="00C83D47">
            <w:pPr>
              <w:keepNext/>
              <w:rPr>
                <w:szCs w:val="22"/>
              </w:rPr>
            </w:pPr>
          </w:p>
        </w:tc>
        <w:tc>
          <w:tcPr>
            <w:tcW w:w="3510" w:type="dxa"/>
          </w:tcPr>
          <w:p w14:paraId="269D1C52" w14:textId="77777777" w:rsidR="003B0C89" w:rsidRPr="00BC0E7E" w:rsidRDefault="00944B8F" w:rsidP="00C83D47">
            <w:pPr>
              <w:keepNext/>
              <w:rPr>
                <w:szCs w:val="22"/>
              </w:rPr>
            </w:pPr>
            <w:r w:rsidRPr="00BC0E7E">
              <w:rPr>
                <w:szCs w:val="22"/>
              </w:rPr>
              <w:t>Treatment</w:t>
            </w:r>
          </w:p>
        </w:tc>
        <w:tc>
          <w:tcPr>
            <w:tcW w:w="1170" w:type="dxa"/>
            <w:vAlign w:val="bottom"/>
          </w:tcPr>
          <w:p w14:paraId="74543D91" w14:textId="77777777" w:rsidR="003B0C89" w:rsidRPr="00BC0E7E" w:rsidRDefault="00944B8F" w:rsidP="00C83D47">
            <w:pPr>
              <w:keepNext/>
              <w:jc w:val="center"/>
              <w:rPr>
                <w:szCs w:val="22"/>
              </w:rPr>
            </w:pPr>
            <w:r>
              <w:rPr>
                <w:noProof/>
                <w:szCs w:val="22"/>
                <w:lang w:val="en-US"/>
              </w:rPr>
              <w:drawing>
                <wp:inline distT="0" distB="0" distL="0" distR="0" wp14:anchorId="547FEE4D" wp14:editId="4AE5DBC2">
                  <wp:extent cx="461010" cy="119380"/>
                  <wp:effectExtent l="0" t="0" r="0" b="0"/>
                  <wp:docPr id="12" name="Picture 12"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2" descr="Humira PED UV KM Curve 1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61010" cy="119380"/>
                          </a:xfrm>
                          <a:prstGeom prst="rect">
                            <a:avLst/>
                          </a:prstGeom>
                          <a:noFill/>
                          <a:ln>
                            <a:noFill/>
                          </a:ln>
                        </pic:spPr>
                      </pic:pic>
                    </a:graphicData>
                  </a:graphic>
                </wp:inline>
              </w:drawing>
            </w:r>
          </w:p>
        </w:tc>
        <w:tc>
          <w:tcPr>
            <w:tcW w:w="1350" w:type="dxa"/>
          </w:tcPr>
          <w:p w14:paraId="5ECAE453" w14:textId="77777777" w:rsidR="003B0C89" w:rsidRPr="00BC0E7E" w:rsidRDefault="00944B8F" w:rsidP="00C83D47">
            <w:pPr>
              <w:keepNext/>
              <w:rPr>
                <w:szCs w:val="22"/>
              </w:rPr>
            </w:pPr>
            <w:r w:rsidRPr="00BC0E7E">
              <w:rPr>
                <w:szCs w:val="22"/>
              </w:rPr>
              <w:t>Placebo</w:t>
            </w:r>
          </w:p>
        </w:tc>
        <w:tc>
          <w:tcPr>
            <w:tcW w:w="900" w:type="dxa"/>
            <w:vAlign w:val="center"/>
          </w:tcPr>
          <w:p w14:paraId="28A63FB6" w14:textId="77777777" w:rsidR="003B0C89" w:rsidRPr="00BC0E7E" w:rsidRDefault="00944B8F" w:rsidP="00C83D47">
            <w:pPr>
              <w:keepNext/>
              <w:rPr>
                <w:szCs w:val="22"/>
              </w:rPr>
            </w:pPr>
            <w:r>
              <w:rPr>
                <w:noProof/>
                <w:szCs w:val="22"/>
                <w:lang w:val="en-US"/>
              </w:rPr>
              <w:drawing>
                <wp:inline distT="0" distB="0" distL="0" distR="0" wp14:anchorId="6F2C8EDF" wp14:editId="1B71E259">
                  <wp:extent cx="453390" cy="87630"/>
                  <wp:effectExtent l="0" t="0" r="3810" b="7620"/>
                  <wp:docPr id="16" name="Picture 16"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3" descr="Humira PED UV KM Curve 1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53390" cy="87630"/>
                          </a:xfrm>
                          <a:prstGeom prst="rect">
                            <a:avLst/>
                          </a:prstGeom>
                          <a:noFill/>
                          <a:ln>
                            <a:noFill/>
                          </a:ln>
                        </pic:spPr>
                      </pic:pic>
                    </a:graphicData>
                  </a:graphic>
                </wp:inline>
              </w:drawing>
            </w:r>
          </w:p>
        </w:tc>
        <w:tc>
          <w:tcPr>
            <w:tcW w:w="1890" w:type="dxa"/>
          </w:tcPr>
          <w:p w14:paraId="0CE6F0C1" w14:textId="77777777" w:rsidR="003B0C89" w:rsidRPr="00BC0E7E" w:rsidRDefault="00944B8F" w:rsidP="00C83D47">
            <w:pPr>
              <w:keepNext/>
              <w:rPr>
                <w:szCs w:val="22"/>
              </w:rPr>
            </w:pPr>
            <w:r w:rsidRPr="00BC0E7E">
              <w:rPr>
                <w:szCs w:val="22"/>
              </w:rPr>
              <w:t>Adalimumab</w:t>
            </w:r>
          </w:p>
        </w:tc>
      </w:tr>
      <w:tr w:rsidR="00C6578C" w14:paraId="2191DD0E" w14:textId="77777777" w:rsidTr="00C83D47">
        <w:tc>
          <w:tcPr>
            <w:tcW w:w="468" w:type="dxa"/>
          </w:tcPr>
          <w:p w14:paraId="55593CCE" w14:textId="77777777" w:rsidR="003B0C89" w:rsidRPr="00BC0E7E" w:rsidRDefault="003B0C89" w:rsidP="00C83D47">
            <w:pPr>
              <w:rPr>
                <w:szCs w:val="22"/>
              </w:rPr>
            </w:pPr>
          </w:p>
        </w:tc>
        <w:tc>
          <w:tcPr>
            <w:tcW w:w="8820" w:type="dxa"/>
            <w:gridSpan w:val="5"/>
          </w:tcPr>
          <w:p w14:paraId="5B7E911D" w14:textId="77777777" w:rsidR="003B0C89" w:rsidRPr="00BC0E7E" w:rsidRDefault="00944B8F" w:rsidP="00C83D47">
            <w:pPr>
              <w:rPr>
                <w:szCs w:val="22"/>
              </w:rPr>
            </w:pPr>
            <w:r w:rsidRPr="00BC0E7E">
              <w:rPr>
                <w:szCs w:val="22"/>
              </w:rPr>
              <w:t>Note: P = Placebo (Number at Risk); H = HUMIRA (Number at Risk).</w:t>
            </w:r>
          </w:p>
        </w:tc>
      </w:tr>
    </w:tbl>
    <w:p w14:paraId="73DA1B8E" w14:textId="77777777" w:rsidR="00630394" w:rsidRDefault="00630394" w:rsidP="003B0C89">
      <w:pPr>
        <w:rPr>
          <w:szCs w:val="22"/>
          <w:lang w:eastAsia="en-GB"/>
        </w:rPr>
      </w:pPr>
    </w:p>
    <w:p w14:paraId="115FFCA4" w14:textId="77777777" w:rsidR="00BC0E7E" w:rsidRPr="00BC0E7E" w:rsidRDefault="00944B8F" w:rsidP="006C5A2D">
      <w:pPr>
        <w:keepNext/>
        <w:suppressAutoHyphens w:val="0"/>
        <w:outlineLvl w:val="1"/>
        <w:rPr>
          <w:b/>
          <w:szCs w:val="20"/>
        </w:rPr>
      </w:pPr>
      <w:r w:rsidRPr="00BC0E7E">
        <w:rPr>
          <w:b/>
          <w:szCs w:val="20"/>
        </w:rPr>
        <w:lastRenderedPageBreak/>
        <w:t>5.2</w:t>
      </w:r>
      <w:r w:rsidRPr="00BC0E7E">
        <w:rPr>
          <w:b/>
          <w:szCs w:val="20"/>
        </w:rPr>
        <w:tab/>
        <w:t>Pharmacokinetic properties</w:t>
      </w:r>
    </w:p>
    <w:p w14:paraId="2A6BE257" w14:textId="77777777" w:rsidR="00BC0E7E" w:rsidRPr="00BC0E7E" w:rsidRDefault="00BC0E7E" w:rsidP="006C5A2D">
      <w:pPr>
        <w:keepNext/>
        <w:rPr>
          <w:szCs w:val="20"/>
        </w:rPr>
      </w:pPr>
    </w:p>
    <w:p w14:paraId="07D6F761" w14:textId="77777777" w:rsidR="00BC0E7E" w:rsidRPr="00BC0E7E" w:rsidRDefault="00944B8F" w:rsidP="006C5A2D">
      <w:pPr>
        <w:keepNext/>
        <w:autoSpaceDE w:val="0"/>
        <w:autoSpaceDN w:val="0"/>
        <w:adjustRightInd w:val="0"/>
        <w:rPr>
          <w:u w:val="single"/>
        </w:rPr>
      </w:pPr>
      <w:r w:rsidRPr="00BC0E7E">
        <w:rPr>
          <w:u w:val="single"/>
        </w:rPr>
        <w:t>Absorption and distribution</w:t>
      </w:r>
    </w:p>
    <w:p w14:paraId="5CDCFA8F" w14:textId="77777777" w:rsidR="00BC0E7E" w:rsidRPr="00BC0E7E" w:rsidRDefault="00BC0E7E" w:rsidP="006C5A2D">
      <w:pPr>
        <w:keepNext/>
        <w:autoSpaceDE w:val="0"/>
        <w:autoSpaceDN w:val="0"/>
        <w:adjustRightInd w:val="0"/>
      </w:pPr>
    </w:p>
    <w:p w14:paraId="2485343D" w14:textId="77777777" w:rsidR="00BC0E7E" w:rsidRPr="00BC0E7E" w:rsidRDefault="00944B8F" w:rsidP="006C5A2D">
      <w:pPr>
        <w:keepNext/>
        <w:autoSpaceDE w:val="0"/>
        <w:autoSpaceDN w:val="0"/>
        <w:adjustRightInd w:val="0"/>
      </w:pPr>
      <w:r w:rsidRPr="00BC0E7E">
        <w:t>After subcutaneous administration of a single 40 mg dose, absorption and distribution of adalimumab was slow, with peak serum concentrations being reached about 5 days after administration. The average absolute bioavailability of adalimumab estimated from three studies following a single 40 mg subcutaneous dose was 64%. After single intravenous doses ranging from 0.25 to 10 mg/kg, concentrations were dose proportional. After doses of 0.5 mg/kg (~40 mg), clearances ranged from 11 to 15 ml/hour, the distribution volume (V</w:t>
      </w:r>
      <w:r w:rsidRPr="00BC0E7E">
        <w:rPr>
          <w:vertAlign w:val="subscript"/>
        </w:rPr>
        <w:t>ss</w:t>
      </w:r>
      <w:r w:rsidRPr="00BC0E7E">
        <w:t>) ranged from 5 to 6 litres and the mean terminal phase half-life was approximately two weeks. Adalimumab concentrations in the synovial fluid from several rheumatoid arthritis patients ranged from 31-96% of those in serum.</w:t>
      </w:r>
    </w:p>
    <w:p w14:paraId="2531DE68" w14:textId="77777777" w:rsidR="00BC0E7E" w:rsidRPr="00BC0E7E" w:rsidRDefault="00BC0E7E" w:rsidP="00BC0E7E">
      <w:pPr>
        <w:autoSpaceDE w:val="0"/>
        <w:autoSpaceDN w:val="0"/>
        <w:adjustRightInd w:val="0"/>
      </w:pPr>
    </w:p>
    <w:p w14:paraId="052DF1E2" w14:textId="77777777" w:rsidR="00BC0E7E" w:rsidRPr="00BC0E7E" w:rsidRDefault="00944B8F" w:rsidP="00BC0E7E">
      <w:pPr>
        <w:autoSpaceDE w:val="0"/>
        <w:autoSpaceDN w:val="0"/>
        <w:adjustRightInd w:val="0"/>
      </w:pPr>
      <w:r w:rsidRPr="00BC0E7E">
        <w:t>Following subcutaneous administration of 40 mg of adalimumab every other week in adult rheumatoid arthritis (RA) patients the mean steady-state trough concentrations were approximately 5 </w:t>
      </w:r>
      <w:r w:rsidRPr="00BC0E7E">
        <w:rPr>
          <w:rFonts w:ascii="Symbol" w:eastAsia="Symbol" w:hAnsi="Symbol" w:cs="Symbol"/>
          <w:szCs w:val="22"/>
        </w:rPr>
        <w:sym w:font="Symbol" w:char="F06D"/>
      </w:r>
      <w:r w:rsidRPr="00BC0E7E">
        <w:t>g/ml (without concomitant methotrexate) and 8 to 9 </w:t>
      </w:r>
      <w:r w:rsidRPr="00BC0E7E">
        <w:rPr>
          <w:rFonts w:ascii="Symbol" w:eastAsia="Symbol" w:hAnsi="Symbol" w:cs="Symbol"/>
          <w:szCs w:val="22"/>
        </w:rPr>
        <w:sym w:font="Symbol" w:char="F06D"/>
      </w:r>
      <w:r w:rsidRPr="00BC0E7E">
        <w:t>g/ml (with concomitant methotrexate), respectively.  The serum adalimumab trough levels at steady-state increased roughly proportionally with dose following 20, 40 and 80 mg subcutaneous dosing every other week and every week.</w:t>
      </w:r>
    </w:p>
    <w:p w14:paraId="4EA5241F" w14:textId="77777777" w:rsidR="00BC0E7E" w:rsidRPr="00BC0E7E" w:rsidRDefault="00BC0E7E" w:rsidP="00BC0E7E">
      <w:pPr>
        <w:autoSpaceDE w:val="0"/>
        <w:autoSpaceDN w:val="0"/>
        <w:adjustRightInd w:val="0"/>
      </w:pPr>
    </w:p>
    <w:p w14:paraId="30679BDE" w14:textId="77777777" w:rsidR="00BC0E7E" w:rsidRPr="00BC0E7E" w:rsidRDefault="00944B8F" w:rsidP="00BC0E7E">
      <w:pPr>
        <w:autoSpaceDE w:val="0"/>
        <w:autoSpaceDN w:val="0"/>
        <w:adjustRightInd w:val="0"/>
      </w:pPr>
      <w:r w:rsidRPr="00BC0E7E">
        <w:t>Following the administration of 24 mg/m</w:t>
      </w:r>
      <w:r w:rsidRPr="00BC0E7E">
        <w:rPr>
          <w:vertAlign w:val="superscript"/>
        </w:rPr>
        <w:t>2</w:t>
      </w:r>
      <w:r w:rsidRPr="00BC0E7E">
        <w:t xml:space="preserve"> (maximum of 40 mg) subcutaneously every other week to patients with polyarticular juvenile idiopathic arthritis (JIA) who were 4 to 17 years the mean trough steady-state (values measured from Week 20 to 48) serum adalimumab concentration was 5.6 ± 5.6 µg/ml (102% CV) for adalimumab without concomitant methotrexate and 10.9 ± 5.2 µg/ml (47.7% CV) with concomitant methotrexate.</w:t>
      </w:r>
    </w:p>
    <w:p w14:paraId="11D36EFD" w14:textId="77777777" w:rsidR="00BC0E7E" w:rsidRPr="00BC0E7E" w:rsidRDefault="00BC0E7E" w:rsidP="00BC0E7E">
      <w:pPr>
        <w:autoSpaceDE w:val="0"/>
        <w:autoSpaceDN w:val="0"/>
        <w:adjustRightInd w:val="0"/>
      </w:pPr>
    </w:p>
    <w:p w14:paraId="7755A37E" w14:textId="77777777" w:rsidR="00BC0E7E" w:rsidRPr="00BC0E7E" w:rsidRDefault="00944B8F" w:rsidP="00BC0E7E">
      <w:pPr>
        <w:autoSpaceDE w:val="0"/>
        <w:autoSpaceDN w:val="0"/>
        <w:adjustRightInd w:val="0"/>
        <w:rPr>
          <w:szCs w:val="22"/>
        </w:rPr>
      </w:pPr>
      <w:r w:rsidRPr="00BC0E7E">
        <w:rPr>
          <w:szCs w:val="22"/>
        </w:rPr>
        <w:t xml:space="preserve">In patients with </w:t>
      </w:r>
      <w:r w:rsidRPr="00BC0E7E">
        <w:t>polyarticular</w:t>
      </w:r>
      <w:r w:rsidRPr="00BC0E7E">
        <w:rPr>
          <w:szCs w:val="22"/>
        </w:rPr>
        <w:t xml:space="preserve"> JIA who were 2 to &lt; 4 years old or aged 4 and above weighing &lt; 15 kg dosed with adalimumab 24 mg/m</w:t>
      </w:r>
      <w:r w:rsidRPr="00BC0E7E">
        <w:rPr>
          <w:szCs w:val="22"/>
          <w:vertAlign w:val="superscript"/>
        </w:rPr>
        <w:t>2</w:t>
      </w:r>
      <w:r w:rsidRPr="00BC0E7E">
        <w:rPr>
          <w:szCs w:val="22"/>
        </w:rPr>
        <w:t xml:space="preserve"> , the mean trough steady-state serum adalimumab concentrations was 6.0  ±  6.1 µg/ml (101% CV) for adalimumab without concomitant methotrexate and 7.9 ± 5.6 µg/ml (71.2% CV) with concomitant methotrexate.</w:t>
      </w:r>
    </w:p>
    <w:p w14:paraId="2B6E12D5" w14:textId="77777777" w:rsidR="00BC0E7E" w:rsidRPr="00BC0E7E" w:rsidRDefault="00BC0E7E" w:rsidP="00BC0E7E">
      <w:pPr>
        <w:tabs>
          <w:tab w:val="clear" w:pos="562"/>
        </w:tabs>
        <w:suppressAutoHyphens w:val="0"/>
        <w:rPr>
          <w:szCs w:val="22"/>
        </w:rPr>
      </w:pPr>
    </w:p>
    <w:p w14:paraId="38D54B2C" w14:textId="77777777" w:rsidR="00BC0E7E" w:rsidRPr="00BC0E7E" w:rsidRDefault="00944B8F" w:rsidP="00BC0E7E">
      <w:pPr>
        <w:tabs>
          <w:tab w:val="clear" w:pos="562"/>
        </w:tabs>
        <w:suppressAutoHyphens w:val="0"/>
        <w:rPr>
          <w:sz w:val="24"/>
        </w:rPr>
      </w:pPr>
      <w:r w:rsidRPr="00BC0E7E">
        <w:rPr>
          <w:szCs w:val="22"/>
        </w:rPr>
        <w:t>Following the administration of 24 mg/m</w:t>
      </w:r>
      <w:r w:rsidRPr="00BC0E7E">
        <w:rPr>
          <w:szCs w:val="22"/>
          <w:vertAlign w:val="superscript"/>
        </w:rPr>
        <w:t>2</w:t>
      </w:r>
      <w:r w:rsidRPr="00BC0E7E">
        <w:rPr>
          <w:szCs w:val="22"/>
        </w:rPr>
        <w:t xml:space="preserve"> (maximum of 40 mg) subcutaneously every other week to patients with enthesitis-related arthritis who were 6 to 17 years, the mean trough steady-state (values measured at Week 24) serum adalimumab concentrations were 8.8 ± 6.6 μg/ml for adalimumab without concomitant methotrexate and 11.8 ± 4.3 μg/ml with concomitant methotrexate.</w:t>
      </w:r>
    </w:p>
    <w:p w14:paraId="69B1AFFF" w14:textId="77777777" w:rsidR="00BC0E7E" w:rsidRDefault="00BC0E7E" w:rsidP="00BC0E7E">
      <w:pPr>
        <w:autoSpaceDE w:val="0"/>
        <w:autoSpaceDN w:val="0"/>
        <w:adjustRightInd w:val="0"/>
      </w:pPr>
    </w:p>
    <w:p w14:paraId="60B9C1BF" w14:textId="77777777" w:rsidR="00DC14B9" w:rsidRDefault="00944B8F" w:rsidP="00BC0E7E">
      <w:pPr>
        <w:autoSpaceDE w:val="0"/>
        <w:autoSpaceDN w:val="0"/>
        <w:adjustRightInd w:val="0"/>
      </w:pPr>
      <w:r>
        <w:t>Following subcutaneous administration of 40 mg of adalimumab every other week in adult non-radiographic axial spondyloarthritis patients, the mean (±SD) trough steady-state concentration at Week 68 was 8.0 ± 4.6 </w:t>
      </w:r>
      <w:r>
        <w:rPr>
          <w:rFonts w:ascii="Symbol" w:eastAsia="Symbol" w:hAnsi="Symbol" w:cs="Symbol"/>
        </w:rPr>
        <w:sym w:font="Symbol" w:char="F06D"/>
      </w:r>
      <w:r>
        <w:t>g/ml.</w:t>
      </w:r>
    </w:p>
    <w:p w14:paraId="514A9CBE" w14:textId="77777777" w:rsidR="00DC14B9" w:rsidRPr="00BC0E7E" w:rsidRDefault="00DC14B9" w:rsidP="00BC0E7E">
      <w:pPr>
        <w:autoSpaceDE w:val="0"/>
        <w:autoSpaceDN w:val="0"/>
        <w:adjustRightInd w:val="0"/>
      </w:pPr>
    </w:p>
    <w:p w14:paraId="366C157E" w14:textId="77777777" w:rsidR="00BC0E7E" w:rsidRPr="00BC0E7E" w:rsidRDefault="00944B8F" w:rsidP="00BC0E7E">
      <w:pPr>
        <w:autoSpaceDE w:val="0"/>
        <w:autoSpaceDN w:val="0"/>
        <w:adjustRightInd w:val="0"/>
      </w:pPr>
      <w:r w:rsidRPr="00BC0E7E">
        <w:t>In adult patients with psoriasis, the mean steady-state trough concentration was 5 </w:t>
      </w:r>
      <w:r w:rsidRPr="00BC0E7E">
        <w:rPr>
          <w:rFonts w:ascii="Symbol" w:eastAsia="Symbol" w:hAnsi="Symbol" w:cs="Symbol"/>
          <w:szCs w:val="22"/>
        </w:rPr>
        <w:sym w:font="Symbol" w:char="F06D"/>
      </w:r>
      <w:r w:rsidRPr="00BC0E7E">
        <w:t xml:space="preserve">g/ml during adalimumab 40 mg </w:t>
      </w:r>
      <w:r w:rsidRPr="00BC0E7E">
        <w:rPr>
          <w:bCs/>
        </w:rPr>
        <w:t xml:space="preserve">every other week </w:t>
      </w:r>
      <w:r w:rsidRPr="00BC0E7E">
        <w:t>monotherapy treatment.</w:t>
      </w:r>
    </w:p>
    <w:p w14:paraId="6B814EE6" w14:textId="77777777" w:rsidR="00BC0E7E" w:rsidRPr="00BC0E7E" w:rsidRDefault="00BC0E7E" w:rsidP="00BC0E7E">
      <w:pPr>
        <w:autoSpaceDE w:val="0"/>
        <w:autoSpaceDN w:val="0"/>
        <w:adjustRightInd w:val="0"/>
      </w:pPr>
    </w:p>
    <w:p w14:paraId="5ABCBC5F" w14:textId="77777777" w:rsidR="00BC0E7E" w:rsidRPr="00BC0E7E" w:rsidRDefault="00944B8F" w:rsidP="00BC0E7E">
      <w:pPr>
        <w:rPr>
          <w:szCs w:val="20"/>
        </w:rPr>
      </w:pPr>
      <w:r w:rsidRPr="00BC0E7E">
        <w:rPr>
          <w:szCs w:val="20"/>
        </w:rPr>
        <w:t>Following the administration of 0.8 mg/kg (maximum of 40 mg) subcutaneously every other week to paediatric patients with chronic plaque psoriasis, the mean ± SD steady-state adalimumab trough concentration was approximately 7.4 ± 5.8 µg/ml (79% CV).</w:t>
      </w:r>
    </w:p>
    <w:p w14:paraId="15937B3B" w14:textId="77777777" w:rsidR="00BC0E7E" w:rsidRPr="00BC0E7E" w:rsidRDefault="00BC0E7E" w:rsidP="00BC0E7E">
      <w:pPr>
        <w:rPr>
          <w:szCs w:val="20"/>
        </w:rPr>
      </w:pPr>
    </w:p>
    <w:p w14:paraId="55EB3D6E" w14:textId="77777777" w:rsidR="00BC0E7E" w:rsidRPr="00BC0E7E" w:rsidRDefault="00944B8F" w:rsidP="00BC0E7E">
      <w:pPr>
        <w:rPr>
          <w:szCs w:val="20"/>
          <w:lang w:eastAsia="en-GB"/>
        </w:rPr>
      </w:pPr>
      <w:r w:rsidRPr="00BC0E7E">
        <w:rPr>
          <w:szCs w:val="20"/>
        </w:rPr>
        <w:t xml:space="preserve">In adult patients with hidradenitis suppurativa, a dose of 160 mg Humira on Week 0 followed by 80 mg on Week 2 achieved serum adalimumab trough concentrations of approximately 7 to 8 μg/ml at Week 2 and Week 4.  The mean steady-state trough concentration at Week 12 through Week 36 were approximately 8 to 10 μg/ml during adalimumab 40 mg every week treatment.  </w:t>
      </w:r>
    </w:p>
    <w:p w14:paraId="3CA08B3D" w14:textId="77777777" w:rsidR="00BC0E7E" w:rsidRPr="00BC0E7E" w:rsidRDefault="00BC0E7E" w:rsidP="00BC0E7E">
      <w:pPr>
        <w:autoSpaceDE w:val="0"/>
        <w:autoSpaceDN w:val="0"/>
        <w:adjustRightInd w:val="0"/>
      </w:pPr>
    </w:p>
    <w:p w14:paraId="760A7AAC" w14:textId="77777777" w:rsidR="00BC0E7E" w:rsidRPr="00BC0E7E" w:rsidRDefault="00944B8F" w:rsidP="00BC0E7E">
      <w:pPr>
        <w:autoSpaceDE w:val="0"/>
        <w:autoSpaceDN w:val="0"/>
        <w:adjustRightInd w:val="0"/>
        <w:rPr>
          <w:iCs/>
          <w:szCs w:val="20"/>
        </w:rPr>
      </w:pPr>
      <w:r w:rsidRPr="00BC0E7E">
        <w:rPr>
          <w:iCs/>
        </w:rPr>
        <w:t xml:space="preserve">Adalimumab exposure in adolescent HS patients was predicted using population pharmacokinetic modelling and simulation based on cross-indication pharmacokinetics in other paediatric patients </w:t>
      </w:r>
      <w:r w:rsidRPr="00BC0E7E">
        <w:rPr>
          <w:iCs/>
        </w:rPr>
        <w:lastRenderedPageBreak/>
        <w:t>(paediatric psoriasis, juvenile idiopathic arthritis, paediatric Crohn’s disease, and enthesitis-related arthritis). </w:t>
      </w:r>
      <w:r w:rsidRPr="00BC0E7E">
        <w:rPr>
          <w:iCs/>
          <w:szCs w:val="20"/>
        </w:rPr>
        <w:t>The recommended adolescent HS dosing schedule is 40 mg every other week. Since exposure to adalimumab can be affected by body size, adolescents with higher body weight and inadequate response may benefit from receiving the recommended adult dose of 40 mg every week.</w:t>
      </w:r>
    </w:p>
    <w:p w14:paraId="0B111EAF" w14:textId="77777777" w:rsidR="00BC0E7E" w:rsidRPr="00BC0E7E" w:rsidRDefault="00BC0E7E" w:rsidP="00BC0E7E">
      <w:pPr>
        <w:autoSpaceDE w:val="0"/>
        <w:autoSpaceDN w:val="0"/>
        <w:adjustRightInd w:val="0"/>
      </w:pPr>
    </w:p>
    <w:p w14:paraId="2AD2DF57" w14:textId="77777777" w:rsidR="00BC0E7E" w:rsidRPr="00BC0E7E" w:rsidRDefault="00944B8F" w:rsidP="00BC0E7E">
      <w:pPr>
        <w:rPr>
          <w:szCs w:val="20"/>
        </w:rPr>
      </w:pPr>
      <w:r w:rsidRPr="00BC0E7E">
        <w:rPr>
          <w:szCs w:val="20"/>
        </w:rPr>
        <w:t>In patients with Crohn’s disease, the loading dose of 80 mg Humira on Week 0 followed by 40 mg Humira on Week 2 achieves serum adalimumab trough concentrations of approximately 5.5 </w:t>
      </w:r>
      <w:r w:rsidRPr="00BC0E7E">
        <w:rPr>
          <w:rFonts w:ascii="Symbol" w:eastAsia="Symbol" w:hAnsi="Symbol" w:cs="Symbol"/>
          <w:szCs w:val="22"/>
        </w:rPr>
        <w:sym w:font="Symbol" w:char="F06D"/>
      </w:r>
      <w:r w:rsidRPr="00BC0E7E">
        <w:rPr>
          <w:szCs w:val="20"/>
        </w:rPr>
        <w:t>g/ml during the induction period. A loading dose of 160 mg Humira on Week 0 followed by 80 mg Humira on Week 2 achieves serum adalimumab trough concentrations of approximately 12 </w:t>
      </w:r>
      <w:r w:rsidRPr="00BC0E7E">
        <w:rPr>
          <w:rFonts w:ascii="Symbol" w:eastAsia="Symbol" w:hAnsi="Symbol" w:cs="Symbol"/>
          <w:szCs w:val="22"/>
        </w:rPr>
        <w:sym w:font="Symbol" w:char="F06D"/>
      </w:r>
      <w:r w:rsidRPr="00BC0E7E">
        <w:rPr>
          <w:szCs w:val="20"/>
        </w:rPr>
        <w:t>g/ml during the induction period. Mean steady-state trough levels of approximately 7 </w:t>
      </w:r>
      <w:r w:rsidRPr="00BC0E7E">
        <w:rPr>
          <w:rFonts w:ascii="Symbol" w:eastAsia="Symbol" w:hAnsi="Symbol" w:cs="Symbol"/>
          <w:szCs w:val="22"/>
        </w:rPr>
        <w:sym w:font="Symbol" w:char="F06D"/>
      </w:r>
      <w:r w:rsidRPr="00BC0E7E">
        <w:rPr>
          <w:szCs w:val="20"/>
        </w:rPr>
        <w:t>g/ml were observed in Crohn’s disease patients who received a maintenance dose of 40 mg Humira every other week.</w:t>
      </w:r>
    </w:p>
    <w:p w14:paraId="76CED62F" w14:textId="77777777" w:rsidR="00BC0E7E" w:rsidRPr="00BC0E7E" w:rsidRDefault="00BC0E7E" w:rsidP="00BC0E7E">
      <w:pPr>
        <w:rPr>
          <w:szCs w:val="20"/>
          <w:lang w:eastAsia="en-GB"/>
        </w:rPr>
      </w:pPr>
    </w:p>
    <w:p w14:paraId="77FBB126" w14:textId="77777777" w:rsidR="00BC0E7E" w:rsidRPr="00BC0E7E" w:rsidRDefault="00944B8F" w:rsidP="00BC0E7E">
      <w:pPr>
        <w:rPr>
          <w:szCs w:val="20"/>
        </w:rPr>
      </w:pPr>
      <w:r w:rsidRPr="00BC0E7E">
        <w:rPr>
          <w:szCs w:val="20"/>
          <w:lang w:eastAsia="en-GB"/>
        </w:rPr>
        <w:t xml:space="preserve">In paediatric patients with moderate to severe CD, the open-label adalimumab induction dose was 160/80 mg or 80/40 mg at Weeks 0 and 2, respectively, dependent on a body weight cut-off of 40 kg.  At Week 4, patients were </w:t>
      </w:r>
      <w:r w:rsidRPr="00BC0E7E">
        <w:rPr>
          <w:szCs w:val="20"/>
        </w:rPr>
        <w:t>randomised 1:1 to either the Standard Dose (</w:t>
      </w:r>
      <w:r w:rsidRPr="00BC0E7E">
        <w:rPr>
          <w:szCs w:val="20"/>
          <w:lang w:eastAsia="en-GB"/>
        </w:rPr>
        <w:t xml:space="preserve">40/20 mg eow) </w:t>
      </w:r>
      <w:r w:rsidRPr="00BC0E7E">
        <w:rPr>
          <w:szCs w:val="20"/>
        </w:rPr>
        <w:t>or Low Dose (</w:t>
      </w:r>
      <w:r w:rsidRPr="00BC0E7E">
        <w:rPr>
          <w:szCs w:val="20"/>
          <w:lang w:eastAsia="en-GB"/>
        </w:rPr>
        <w:t xml:space="preserve">20/10 mg eow) </w:t>
      </w:r>
      <w:r w:rsidRPr="00BC0E7E">
        <w:rPr>
          <w:szCs w:val="20"/>
        </w:rPr>
        <w:t>maintenance treatment groups based on their body weight</w:t>
      </w:r>
      <w:r w:rsidRPr="00BC0E7E">
        <w:rPr>
          <w:szCs w:val="20"/>
          <w:lang w:eastAsia="en-GB"/>
        </w:rPr>
        <w:t xml:space="preserve">. </w:t>
      </w:r>
      <w:r w:rsidRPr="00BC0E7E">
        <w:rPr>
          <w:szCs w:val="22"/>
          <w:lang w:eastAsia="en-GB"/>
        </w:rPr>
        <w:t>The mean (</w:t>
      </w:r>
      <w:r w:rsidRPr="00BC0E7E">
        <w:rPr>
          <w:rFonts w:eastAsia="Arial Unicode MS"/>
          <w:szCs w:val="20"/>
        </w:rPr>
        <w:t xml:space="preserve">±SD) </w:t>
      </w:r>
      <w:r w:rsidRPr="00BC0E7E">
        <w:rPr>
          <w:szCs w:val="22"/>
          <w:lang w:eastAsia="en-GB"/>
        </w:rPr>
        <w:t>serum adalimumab trough concentrations achieved at Week 4 were 15.7 </w:t>
      </w:r>
      <w:r w:rsidRPr="00BC0E7E">
        <w:rPr>
          <w:rFonts w:eastAsia="Arial Unicode MS"/>
          <w:szCs w:val="20"/>
        </w:rPr>
        <w:t>± 6.6 </w:t>
      </w:r>
      <w:r w:rsidRPr="00BC0E7E">
        <w:rPr>
          <w:rFonts w:ascii="Symbol" w:eastAsia="Symbol" w:hAnsi="Symbol" w:cs="Symbol"/>
          <w:szCs w:val="22"/>
        </w:rPr>
        <w:sym w:font="Symbol" w:char="F06D"/>
      </w:r>
      <w:r w:rsidRPr="00BC0E7E">
        <w:rPr>
          <w:szCs w:val="20"/>
        </w:rPr>
        <w:t xml:space="preserve">g/ml for patients ≥ 40 kg (160/80 mg) and </w:t>
      </w:r>
      <w:r w:rsidRPr="00BC0E7E">
        <w:rPr>
          <w:szCs w:val="22"/>
          <w:lang w:eastAsia="en-GB"/>
        </w:rPr>
        <w:t>10.6 </w:t>
      </w:r>
      <w:r w:rsidRPr="00BC0E7E">
        <w:rPr>
          <w:rFonts w:eastAsia="Arial Unicode MS"/>
          <w:szCs w:val="20"/>
        </w:rPr>
        <w:t>± 6.1 </w:t>
      </w:r>
      <w:r w:rsidRPr="00BC0E7E">
        <w:rPr>
          <w:rFonts w:ascii="Symbol" w:eastAsia="Symbol" w:hAnsi="Symbol" w:cs="Symbol"/>
          <w:szCs w:val="22"/>
        </w:rPr>
        <w:sym w:font="Symbol" w:char="F06D"/>
      </w:r>
      <w:r w:rsidRPr="00BC0E7E">
        <w:rPr>
          <w:szCs w:val="20"/>
        </w:rPr>
        <w:t xml:space="preserve">g/ml for patients &lt; 40 kg (80/40 mg). </w:t>
      </w:r>
    </w:p>
    <w:p w14:paraId="0DC7E430" w14:textId="77777777" w:rsidR="00BC0E7E" w:rsidRPr="00BC0E7E" w:rsidRDefault="00BC0E7E" w:rsidP="00BC0E7E">
      <w:pPr>
        <w:rPr>
          <w:szCs w:val="20"/>
          <w:lang w:eastAsia="en-GB"/>
        </w:rPr>
      </w:pPr>
    </w:p>
    <w:p w14:paraId="4889AFC6" w14:textId="77777777" w:rsidR="00BC0E7E" w:rsidRPr="00BC0E7E" w:rsidRDefault="00944B8F" w:rsidP="00BC0E7E">
      <w:pPr>
        <w:autoSpaceDE w:val="0"/>
        <w:autoSpaceDN w:val="0"/>
        <w:adjustRightInd w:val="0"/>
      </w:pPr>
      <w:r w:rsidRPr="00BC0E7E">
        <w:rPr>
          <w:rFonts w:eastAsia="Arial Unicode MS"/>
        </w:rPr>
        <w:t>F</w:t>
      </w:r>
      <w:r w:rsidRPr="00BC0E7E">
        <w:t xml:space="preserve">or patients who stayed on their randomised therapy, the mean </w:t>
      </w:r>
      <w:r w:rsidRPr="00BC0E7E">
        <w:rPr>
          <w:szCs w:val="22"/>
          <w:lang w:eastAsia="en-GB"/>
        </w:rPr>
        <w:t>(</w:t>
      </w:r>
      <w:r w:rsidRPr="00BC0E7E">
        <w:rPr>
          <w:rFonts w:eastAsia="Arial Unicode MS"/>
        </w:rPr>
        <w:t xml:space="preserve">±SD) </w:t>
      </w:r>
      <w:r w:rsidRPr="00BC0E7E">
        <w:t xml:space="preserve">adalimumab trough concentrations at Week 52 were </w:t>
      </w:r>
      <w:r w:rsidRPr="00BC0E7E">
        <w:rPr>
          <w:rFonts w:eastAsia="Arial Unicode MS"/>
        </w:rPr>
        <w:t>9.5 ± 5.6 </w:t>
      </w:r>
      <w:r w:rsidRPr="00BC0E7E">
        <w:rPr>
          <w:rFonts w:ascii="Symbol" w:eastAsia="Symbol" w:hAnsi="Symbol" w:cs="Symbol"/>
          <w:szCs w:val="22"/>
        </w:rPr>
        <w:sym w:font="Symbol" w:char="F06D"/>
      </w:r>
      <w:r w:rsidRPr="00BC0E7E">
        <w:t xml:space="preserve">g/ml for the Standard Dose group and </w:t>
      </w:r>
      <w:r w:rsidRPr="00BC0E7E">
        <w:rPr>
          <w:rFonts w:eastAsia="Arial Unicode MS"/>
        </w:rPr>
        <w:t>3.5 ± 2.2</w:t>
      </w:r>
      <w:r w:rsidRPr="00BC0E7E">
        <w:t> </w:t>
      </w:r>
      <w:r w:rsidRPr="00BC0E7E">
        <w:rPr>
          <w:rFonts w:ascii="Symbol" w:eastAsia="Symbol" w:hAnsi="Symbol" w:cs="Symbol"/>
          <w:szCs w:val="22"/>
        </w:rPr>
        <w:sym w:font="Symbol" w:char="F06D"/>
      </w:r>
      <w:r w:rsidRPr="00BC0E7E">
        <w:t xml:space="preserve">g/ml for the Low Dose group.  </w:t>
      </w:r>
      <w:r w:rsidRPr="00BC0E7E">
        <w:rPr>
          <w:szCs w:val="22"/>
          <w:lang w:eastAsia="en-GB"/>
        </w:rPr>
        <w:t xml:space="preserve">The mean trough concentrations were maintained in patients who continued to receive adalimumab treatment eow for 52 weeks. </w:t>
      </w:r>
      <w:r w:rsidRPr="00BC0E7E">
        <w:t xml:space="preserve">For patients who dose escalated from eow to weekly regimen, the mean </w:t>
      </w:r>
      <w:r w:rsidRPr="00BC0E7E">
        <w:rPr>
          <w:szCs w:val="22"/>
          <w:lang w:eastAsia="en-GB"/>
        </w:rPr>
        <w:t>(</w:t>
      </w:r>
      <w:r w:rsidRPr="00BC0E7E">
        <w:rPr>
          <w:rFonts w:eastAsia="Arial Unicode MS"/>
        </w:rPr>
        <w:t xml:space="preserve">±SD) </w:t>
      </w:r>
      <w:r w:rsidRPr="00BC0E7E">
        <w:t>serum concentrations of adalimumab at Week 52 were 15.3 </w:t>
      </w:r>
      <w:r w:rsidRPr="00BC0E7E">
        <w:rPr>
          <w:rFonts w:eastAsia="Arial Unicode MS"/>
        </w:rPr>
        <w:t>± 11.4</w:t>
      </w:r>
      <w:r w:rsidRPr="00BC0E7E">
        <w:t> μg/ml (40/20 mg, weekly) and 6.7 </w:t>
      </w:r>
      <w:r w:rsidRPr="00BC0E7E">
        <w:rPr>
          <w:rFonts w:eastAsia="Arial Unicode MS"/>
        </w:rPr>
        <w:t>± 3.5 </w:t>
      </w:r>
      <w:r w:rsidRPr="00BC0E7E">
        <w:t>μg/ml (20/10 mg, weekly).</w:t>
      </w:r>
    </w:p>
    <w:p w14:paraId="65290A75" w14:textId="77777777" w:rsidR="00BC0E7E" w:rsidRPr="00BC0E7E" w:rsidRDefault="00BC0E7E" w:rsidP="00BC0E7E">
      <w:pPr>
        <w:tabs>
          <w:tab w:val="clear" w:pos="562"/>
          <w:tab w:val="left" w:pos="638"/>
        </w:tabs>
        <w:autoSpaceDE w:val="0"/>
        <w:autoSpaceDN w:val="0"/>
        <w:adjustRightInd w:val="0"/>
      </w:pPr>
    </w:p>
    <w:p w14:paraId="728307F0" w14:textId="77777777" w:rsidR="00BC0E7E" w:rsidRPr="00BC0E7E" w:rsidRDefault="00944B8F" w:rsidP="00BC0E7E">
      <w:pPr>
        <w:tabs>
          <w:tab w:val="clear" w:pos="562"/>
          <w:tab w:val="left" w:pos="638"/>
        </w:tabs>
        <w:autoSpaceDE w:val="0"/>
        <w:autoSpaceDN w:val="0"/>
        <w:adjustRightInd w:val="0"/>
      </w:pPr>
      <w:r w:rsidRPr="00BC0E7E">
        <w:t>In patients with ulcerative colitis, a loading dose of 160 mg Humira on Week 0 followed by 80 mg Humira on Week 2 achieves serum adalimumab trough concentrations of approximately 12 </w:t>
      </w:r>
      <w:r w:rsidRPr="00BC0E7E">
        <w:rPr>
          <w:rFonts w:ascii="Symbol" w:eastAsia="Symbol" w:hAnsi="Symbol" w:cs="Symbol"/>
          <w:szCs w:val="22"/>
        </w:rPr>
        <w:sym w:font="Symbol" w:char="F06D"/>
      </w:r>
      <w:r w:rsidRPr="00BC0E7E">
        <w:t>g/ml during the induction period.  Mean steady-state trough levels of approximately 8 </w:t>
      </w:r>
      <w:r w:rsidRPr="00BC0E7E">
        <w:rPr>
          <w:rFonts w:ascii="Symbol" w:eastAsia="Symbol" w:hAnsi="Symbol" w:cs="Symbol"/>
          <w:szCs w:val="22"/>
        </w:rPr>
        <w:sym w:font="Symbol" w:char="F06D"/>
      </w:r>
      <w:r w:rsidRPr="00BC0E7E">
        <w:t xml:space="preserve">g/ml were observed in ulcerative colitis patients who received a maintenance dose of 40 mg Humira every other week. </w:t>
      </w:r>
    </w:p>
    <w:p w14:paraId="27D46F6F" w14:textId="77777777" w:rsidR="00BC0E7E" w:rsidRPr="00BC0E7E" w:rsidRDefault="00BC0E7E" w:rsidP="00BC0E7E">
      <w:pPr>
        <w:tabs>
          <w:tab w:val="clear" w:pos="562"/>
          <w:tab w:val="left" w:pos="638"/>
        </w:tabs>
        <w:autoSpaceDE w:val="0"/>
        <w:autoSpaceDN w:val="0"/>
        <w:adjustRightInd w:val="0"/>
        <w:rPr>
          <w:szCs w:val="22"/>
        </w:rPr>
      </w:pPr>
    </w:p>
    <w:p w14:paraId="1BC3C8DF" w14:textId="77777777" w:rsidR="009E1B20" w:rsidRDefault="00944B8F" w:rsidP="00BC0E7E">
      <w:pPr>
        <w:tabs>
          <w:tab w:val="clear" w:pos="562"/>
          <w:tab w:val="left" w:pos="638"/>
        </w:tabs>
        <w:autoSpaceDE w:val="0"/>
        <w:autoSpaceDN w:val="0"/>
        <w:adjustRightInd w:val="0"/>
        <w:rPr>
          <w:szCs w:val="22"/>
        </w:rPr>
      </w:pPr>
      <w:r w:rsidRPr="009E1B20">
        <w:rPr>
          <w:szCs w:val="22"/>
        </w:rPr>
        <w:t>Following the subcutaneous administration of body weight-based dosing of 0.6</w:t>
      </w:r>
      <w:r w:rsidR="00FA4ACF">
        <w:rPr>
          <w:szCs w:val="22"/>
        </w:rPr>
        <w:t> </w:t>
      </w:r>
      <w:r w:rsidRPr="009E1B20">
        <w:rPr>
          <w:szCs w:val="22"/>
        </w:rPr>
        <w:t>mg/kg (maximum of 40</w:t>
      </w:r>
      <w:r w:rsidR="00FA4ACF">
        <w:rPr>
          <w:szCs w:val="22"/>
        </w:rPr>
        <w:t> </w:t>
      </w:r>
      <w:r w:rsidRPr="009E1B20">
        <w:rPr>
          <w:szCs w:val="22"/>
        </w:rPr>
        <w:t>mg) every other week to p</w:t>
      </w:r>
      <w:r w:rsidR="004F2E2D">
        <w:rPr>
          <w:szCs w:val="22"/>
        </w:rPr>
        <w:t>a</w:t>
      </w:r>
      <w:r w:rsidRPr="009E1B20">
        <w:rPr>
          <w:szCs w:val="22"/>
        </w:rPr>
        <w:t>ediatric patients with ulcerative colitis, the mean trough steady-state serum adalimumab concentration was 5.01±3.28</w:t>
      </w:r>
      <w:r w:rsidR="00FA4ACF">
        <w:rPr>
          <w:szCs w:val="22"/>
        </w:rPr>
        <w:t> </w:t>
      </w:r>
      <w:r w:rsidRPr="009E1B20">
        <w:rPr>
          <w:szCs w:val="22"/>
        </w:rPr>
        <w:t>µg/m</w:t>
      </w:r>
      <w:r w:rsidR="003B65EC">
        <w:rPr>
          <w:szCs w:val="22"/>
        </w:rPr>
        <w:t>l</w:t>
      </w:r>
      <w:r w:rsidR="00FA4ACF">
        <w:rPr>
          <w:szCs w:val="22"/>
        </w:rPr>
        <w:t> </w:t>
      </w:r>
      <w:r w:rsidRPr="009E1B20">
        <w:rPr>
          <w:szCs w:val="22"/>
        </w:rPr>
        <w:t>at Week</w:t>
      </w:r>
      <w:r w:rsidR="00FA4ACF">
        <w:rPr>
          <w:szCs w:val="22"/>
        </w:rPr>
        <w:t> </w:t>
      </w:r>
      <w:r w:rsidRPr="009E1B20">
        <w:rPr>
          <w:szCs w:val="22"/>
        </w:rPr>
        <w:t>52. For patients who received 0.6</w:t>
      </w:r>
      <w:r w:rsidR="00FA4ACF">
        <w:rPr>
          <w:szCs w:val="22"/>
        </w:rPr>
        <w:t> </w:t>
      </w:r>
      <w:r w:rsidRPr="009E1B20">
        <w:rPr>
          <w:szCs w:val="22"/>
        </w:rPr>
        <w:t>mg/kg (maximum of 40</w:t>
      </w:r>
      <w:r w:rsidR="00FA4ACF">
        <w:rPr>
          <w:szCs w:val="22"/>
        </w:rPr>
        <w:t> </w:t>
      </w:r>
      <w:r w:rsidRPr="009E1B20">
        <w:rPr>
          <w:szCs w:val="22"/>
        </w:rPr>
        <w:t xml:space="preserve">mg) every week, the mean (±SD) trough steady-state serum adalimumab concentration </w:t>
      </w:r>
      <w:r w:rsidR="008A0824">
        <w:rPr>
          <w:szCs w:val="22"/>
        </w:rPr>
        <w:t>was</w:t>
      </w:r>
      <w:r w:rsidRPr="009E1B20">
        <w:rPr>
          <w:szCs w:val="22"/>
        </w:rPr>
        <w:t xml:space="preserve"> 15.7±5.60</w:t>
      </w:r>
      <w:r w:rsidR="00FA4ACF">
        <w:rPr>
          <w:szCs w:val="22"/>
        </w:rPr>
        <w:t> </w:t>
      </w:r>
      <w:r w:rsidRPr="009E1B20">
        <w:rPr>
          <w:szCs w:val="22"/>
        </w:rPr>
        <w:t>μg/m</w:t>
      </w:r>
      <w:r w:rsidR="003B65EC">
        <w:rPr>
          <w:szCs w:val="22"/>
        </w:rPr>
        <w:t>l</w:t>
      </w:r>
      <w:r w:rsidRPr="009E1B20">
        <w:rPr>
          <w:szCs w:val="22"/>
        </w:rPr>
        <w:t xml:space="preserve"> at Week</w:t>
      </w:r>
      <w:r w:rsidR="00FA4ACF">
        <w:rPr>
          <w:szCs w:val="22"/>
        </w:rPr>
        <w:t> </w:t>
      </w:r>
      <w:r w:rsidRPr="009E1B20">
        <w:rPr>
          <w:szCs w:val="22"/>
        </w:rPr>
        <w:t xml:space="preserve">52. </w:t>
      </w:r>
    </w:p>
    <w:p w14:paraId="40FDDACB" w14:textId="77777777" w:rsidR="009E1B20" w:rsidRDefault="009E1B20" w:rsidP="00BC0E7E">
      <w:pPr>
        <w:tabs>
          <w:tab w:val="clear" w:pos="562"/>
          <w:tab w:val="left" w:pos="638"/>
        </w:tabs>
        <w:autoSpaceDE w:val="0"/>
        <w:autoSpaceDN w:val="0"/>
        <w:adjustRightInd w:val="0"/>
        <w:rPr>
          <w:szCs w:val="22"/>
        </w:rPr>
      </w:pPr>
    </w:p>
    <w:p w14:paraId="65BF7808" w14:textId="77777777" w:rsidR="00BC0E7E" w:rsidRPr="00BC0E7E" w:rsidRDefault="00944B8F" w:rsidP="00BC0E7E">
      <w:pPr>
        <w:tabs>
          <w:tab w:val="clear" w:pos="562"/>
          <w:tab w:val="left" w:pos="638"/>
        </w:tabs>
        <w:autoSpaceDE w:val="0"/>
        <w:autoSpaceDN w:val="0"/>
        <w:adjustRightInd w:val="0"/>
        <w:rPr>
          <w:szCs w:val="22"/>
        </w:rPr>
      </w:pPr>
      <w:r w:rsidRPr="00BC0E7E">
        <w:rPr>
          <w:szCs w:val="22"/>
        </w:rPr>
        <w:t xml:space="preserve">In </w:t>
      </w:r>
      <w:r w:rsidR="00930CBB">
        <w:rPr>
          <w:szCs w:val="22"/>
        </w:rPr>
        <w:t xml:space="preserve">adult </w:t>
      </w:r>
      <w:r w:rsidRPr="00BC0E7E">
        <w:rPr>
          <w:szCs w:val="22"/>
        </w:rPr>
        <w:t>patients with uveitis, a loading dose of 80 mg adalimumab on Week 0 followed by 40 mg adalimumab every other week starting at Week 1, resulted in mean steady-state concentrations of approximately 8 to 10 </w:t>
      </w:r>
      <w:r w:rsidRPr="00BC0E7E">
        <w:rPr>
          <w:rFonts w:ascii="Symbol" w:eastAsia="Symbol" w:hAnsi="Symbol" w:cs="Symbol"/>
          <w:szCs w:val="22"/>
        </w:rPr>
        <w:sym w:font="Symbol" w:char="F06D"/>
      </w:r>
      <w:r w:rsidRPr="00BC0E7E">
        <w:rPr>
          <w:szCs w:val="22"/>
        </w:rPr>
        <w:t>g/m</w:t>
      </w:r>
      <w:r w:rsidR="00F22B2F">
        <w:rPr>
          <w:szCs w:val="22"/>
        </w:rPr>
        <w:t>l</w:t>
      </w:r>
      <w:r w:rsidRPr="00BC0E7E">
        <w:rPr>
          <w:szCs w:val="22"/>
        </w:rPr>
        <w:t>.</w:t>
      </w:r>
    </w:p>
    <w:p w14:paraId="7D6CC662" w14:textId="77777777" w:rsidR="00BC0E7E" w:rsidRPr="00BC0E7E" w:rsidRDefault="00BC0E7E" w:rsidP="00BC0E7E">
      <w:pPr>
        <w:tabs>
          <w:tab w:val="clear" w:pos="562"/>
          <w:tab w:val="left" w:pos="638"/>
        </w:tabs>
        <w:autoSpaceDE w:val="0"/>
        <w:autoSpaceDN w:val="0"/>
        <w:adjustRightInd w:val="0"/>
        <w:rPr>
          <w:szCs w:val="22"/>
        </w:rPr>
      </w:pPr>
    </w:p>
    <w:p w14:paraId="5103AAFE" w14:textId="77777777" w:rsidR="00BC0E7E" w:rsidRPr="00BC0E7E" w:rsidRDefault="00944B8F" w:rsidP="00BC0E7E">
      <w:pPr>
        <w:rPr>
          <w:iCs/>
          <w:szCs w:val="20"/>
        </w:rPr>
      </w:pPr>
      <w:r w:rsidRPr="00BC0E7E">
        <w:rPr>
          <w:iCs/>
          <w:szCs w:val="20"/>
        </w:rPr>
        <w:t>Adalimumab exposure in paediatric uveitis patients was predicted using population pharmacokinetic modelling and simulation based on cross-indication pharmacokinetics in other paediatric patients (paediatric psoriasis, juvenile idiopathic arthritis, paediatric Crohn’s disease, and enthesitis-related arthritis). No clinical exposure data are available on the use of a loading dose in children &lt; 6 years. The predicted exposures indicate that in the absence of methotrexate, a loading dose may lead to an initial increase in systemic exposure.</w:t>
      </w:r>
    </w:p>
    <w:p w14:paraId="14C3A2D3" w14:textId="77777777" w:rsidR="00930CBB" w:rsidRDefault="00930CBB" w:rsidP="00930CBB">
      <w:pPr>
        <w:autoSpaceDE w:val="0"/>
        <w:autoSpaceDN w:val="0"/>
        <w:adjustRightInd w:val="0"/>
      </w:pPr>
    </w:p>
    <w:p w14:paraId="304A363F" w14:textId="77777777" w:rsidR="00560510" w:rsidRDefault="00944B8F" w:rsidP="00930CBB">
      <w:pPr>
        <w:autoSpaceDE w:val="0"/>
        <w:autoSpaceDN w:val="0"/>
        <w:adjustRightInd w:val="0"/>
        <w:rPr>
          <w:iCs/>
          <w:szCs w:val="20"/>
        </w:rPr>
      </w:pPr>
      <w:r w:rsidRPr="00EA1503">
        <w:rPr>
          <w:iCs/>
          <w:szCs w:val="20"/>
        </w:rPr>
        <w:t>Population pharmacokinetic and pharmacokinetic/pharmacodynamic modelling and simulation predicted comparable adalimumab exposure and efficacy in patients treated with 80</w:t>
      </w:r>
      <w:r w:rsidR="0046545C">
        <w:rPr>
          <w:iCs/>
          <w:szCs w:val="20"/>
        </w:rPr>
        <w:t> </w:t>
      </w:r>
      <w:r w:rsidRPr="00EA1503">
        <w:rPr>
          <w:iCs/>
          <w:szCs w:val="20"/>
        </w:rPr>
        <w:t>mg every other week when compared with 40</w:t>
      </w:r>
      <w:r w:rsidR="0046545C">
        <w:rPr>
          <w:iCs/>
          <w:szCs w:val="20"/>
        </w:rPr>
        <w:t> </w:t>
      </w:r>
      <w:r w:rsidRPr="00EA1503">
        <w:rPr>
          <w:iCs/>
          <w:szCs w:val="20"/>
        </w:rPr>
        <w:t>mg every week (including adu</w:t>
      </w:r>
      <w:r w:rsidR="001E485F">
        <w:rPr>
          <w:iCs/>
          <w:szCs w:val="20"/>
        </w:rPr>
        <w:t>lt patients with RA, HS, UC, CD or</w:t>
      </w:r>
      <w:r w:rsidRPr="00EA1503">
        <w:rPr>
          <w:iCs/>
          <w:szCs w:val="20"/>
        </w:rPr>
        <w:t xml:space="preserve"> Ps, patients with adolescent HS, and paediatric patients ≥</w:t>
      </w:r>
      <w:r w:rsidR="0046545C">
        <w:rPr>
          <w:iCs/>
          <w:szCs w:val="20"/>
        </w:rPr>
        <w:t> </w:t>
      </w:r>
      <w:r w:rsidRPr="00EA1503">
        <w:rPr>
          <w:iCs/>
          <w:szCs w:val="20"/>
        </w:rPr>
        <w:t>40</w:t>
      </w:r>
      <w:r w:rsidR="0046545C">
        <w:rPr>
          <w:iCs/>
          <w:szCs w:val="20"/>
        </w:rPr>
        <w:t> </w:t>
      </w:r>
      <w:r w:rsidRPr="00EA1503">
        <w:rPr>
          <w:iCs/>
          <w:szCs w:val="20"/>
        </w:rPr>
        <w:t>kg with CD</w:t>
      </w:r>
      <w:r w:rsidR="00ED73DF">
        <w:rPr>
          <w:iCs/>
          <w:szCs w:val="20"/>
        </w:rPr>
        <w:t xml:space="preserve"> and UC</w:t>
      </w:r>
      <w:r w:rsidRPr="00EA1503">
        <w:rPr>
          <w:iCs/>
          <w:szCs w:val="20"/>
        </w:rPr>
        <w:t>).</w:t>
      </w:r>
    </w:p>
    <w:p w14:paraId="2A0FCE34" w14:textId="77777777" w:rsidR="00560510" w:rsidRDefault="00560510" w:rsidP="00930CBB">
      <w:pPr>
        <w:autoSpaceDE w:val="0"/>
        <w:autoSpaceDN w:val="0"/>
        <w:adjustRightInd w:val="0"/>
      </w:pPr>
    </w:p>
    <w:p w14:paraId="3B666706" w14:textId="77777777" w:rsidR="00930CBB" w:rsidRPr="006C4805" w:rsidRDefault="00944B8F" w:rsidP="00930CBB">
      <w:pPr>
        <w:autoSpaceDE w:val="0"/>
        <w:autoSpaceDN w:val="0"/>
        <w:adjustRightInd w:val="0"/>
      </w:pPr>
      <w:r w:rsidRPr="009E075A">
        <w:rPr>
          <w:u w:val="single"/>
        </w:rPr>
        <w:lastRenderedPageBreak/>
        <w:t>Exposure-response relationship in paediatric population</w:t>
      </w:r>
    </w:p>
    <w:p w14:paraId="628B2B9E" w14:textId="77777777" w:rsidR="00930CBB" w:rsidRPr="006C4805" w:rsidRDefault="00944B8F" w:rsidP="00930CBB">
      <w:pPr>
        <w:autoSpaceDE w:val="0"/>
        <w:autoSpaceDN w:val="0"/>
        <w:adjustRightInd w:val="0"/>
      </w:pPr>
      <w:r w:rsidRPr="006C4805">
        <w:t>On the basis of clinical trial data in patients with JIA (pJIA and ERA), an exposure-response relationship was established between plasma concentrations and PedACR 50 response. The apparent adalimumab plasma concentration that produces half the maximum probability of PedACR 50 response (EC50) was 3</w:t>
      </w:r>
      <w:r w:rsidR="00B349EF">
        <w:t> </w:t>
      </w:r>
      <w:r w:rsidRPr="006C4805">
        <w:t>μg/ml (95% CI: 1</w:t>
      </w:r>
      <w:r w:rsidR="00B349EF">
        <w:noBreakHyphen/>
      </w:r>
      <w:r w:rsidRPr="006C4805">
        <w:t>6</w:t>
      </w:r>
      <w:r w:rsidR="00B349EF">
        <w:t> </w:t>
      </w:r>
      <w:r w:rsidRPr="006C4805">
        <w:t xml:space="preserve">μg/ml). </w:t>
      </w:r>
    </w:p>
    <w:p w14:paraId="10152F75" w14:textId="77777777" w:rsidR="00930CBB" w:rsidRPr="006C4805" w:rsidRDefault="00930CBB" w:rsidP="00930CBB">
      <w:pPr>
        <w:autoSpaceDE w:val="0"/>
        <w:autoSpaceDN w:val="0"/>
        <w:adjustRightInd w:val="0"/>
      </w:pPr>
    </w:p>
    <w:p w14:paraId="17CA53ED" w14:textId="77777777" w:rsidR="00930CBB" w:rsidRDefault="00944B8F" w:rsidP="00930CBB">
      <w:pPr>
        <w:autoSpaceDE w:val="0"/>
        <w:autoSpaceDN w:val="0"/>
        <w:adjustRightInd w:val="0"/>
      </w:pPr>
      <w:r w:rsidRPr="006C4805">
        <w:t>Exposure-response relationships between adalimumab concentration and efficacy in paediatric patients with severe chronic plaque psoriasis were established for PASI 75 and PGA clear or minimal, respectively. PASI 75 and PGA clear or minimal increased with increasing adalimumab concentrations, both with a similar apparent EC50 of approximately 4.5</w:t>
      </w:r>
      <w:r w:rsidR="00B349EF">
        <w:t> </w:t>
      </w:r>
      <w:r w:rsidRPr="006C4805">
        <w:t>μg/m</w:t>
      </w:r>
      <w:r w:rsidR="00F22B2F">
        <w:t>l</w:t>
      </w:r>
      <w:r w:rsidRPr="006C4805">
        <w:t xml:space="preserve"> (95% CI 0.4-47.6 and 1.9-10.5, respectively).  </w:t>
      </w:r>
    </w:p>
    <w:p w14:paraId="48027C52" w14:textId="77777777" w:rsidR="00BC0E7E" w:rsidRPr="00BC0E7E" w:rsidRDefault="00BC0E7E" w:rsidP="00BC0E7E">
      <w:pPr>
        <w:tabs>
          <w:tab w:val="clear" w:pos="562"/>
          <w:tab w:val="left" w:pos="638"/>
        </w:tabs>
        <w:autoSpaceDE w:val="0"/>
        <w:autoSpaceDN w:val="0"/>
        <w:adjustRightInd w:val="0"/>
      </w:pPr>
    </w:p>
    <w:p w14:paraId="22682BBC" w14:textId="77777777" w:rsidR="00BC0E7E" w:rsidRPr="00BC0E7E" w:rsidRDefault="00944B8F" w:rsidP="0046545C">
      <w:pPr>
        <w:keepNext/>
        <w:tabs>
          <w:tab w:val="clear" w:pos="562"/>
          <w:tab w:val="left" w:pos="638"/>
        </w:tabs>
        <w:autoSpaceDE w:val="0"/>
        <w:autoSpaceDN w:val="0"/>
        <w:adjustRightInd w:val="0"/>
        <w:rPr>
          <w:u w:val="single"/>
        </w:rPr>
      </w:pPr>
      <w:r w:rsidRPr="00BC0E7E">
        <w:rPr>
          <w:u w:val="single"/>
        </w:rPr>
        <w:t>Elimination</w:t>
      </w:r>
    </w:p>
    <w:p w14:paraId="11628BE3" w14:textId="77777777" w:rsidR="00BC0E7E" w:rsidRPr="00BC0E7E" w:rsidRDefault="00BC0E7E" w:rsidP="0046545C">
      <w:pPr>
        <w:keepNext/>
        <w:tabs>
          <w:tab w:val="clear" w:pos="562"/>
          <w:tab w:val="left" w:pos="638"/>
        </w:tabs>
        <w:autoSpaceDE w:val="0"/>
        <w:autoSpaceDN w:val="0"/>
        <w:adjustRightInd w:val="0"/>
      </w:pPr>
    </w:p>
    <w:p w14:paraId="0C9D4CF9" w14:textId="77777777" w:rsidR="00BC0E7E" w:rsidRPr="00BC0E7E" w:rsidRDefault="00944B8F" w:rsidP="0046545C">
      <w:pPr>
        <w:keepNext/>
        <w:autoSpaceDE w:val="0"/>
        <w:autoSpaceDN w:val="0"/>
        <w:adjustRightInd w:val="0"/>
      </w:pPr>
      <w:r w:rsidRPr="00BC0E7E">
        <w:t>Population pharmacokinetic analyses with data from over 1,300 RA patients revealed a trend toward higher apparent clearance of adalimumab with increasing body weight. After adjustment for weight differences, gender and age appeared to have a minimal effect on adalimumab clearance.  The serum levels of free adalimumab (not bound to anti-adalimumab antibodies, AAA) were observed to be lower in patients with measurable AAA.</w:t>
      </w:r>
    </w:p>
    <w:p w14:paraId="099EA734" w14:textId="77777777" w:rsidR="00BC0E7E" w:rsidRPr="00BC0E7E" w:rsidRDefault="00BC0E7E" w:rsidP="00BC0E7E">
      <w:pPr>
        <w:autoSpaceDE w:val="0"/>
        <w:autoSpaceDN w:val="0"/>
        <w:adjustRightInd w:val="0"/>
      </w:pPr>
    </w:p>
    <w:p w14:paraId="268138F4" w14:textId="77777777" w:rsidR="00BC0E7E" w:rsidRPr="00BC0E7E" w:rsidRDefault="00944B8F" w:rsidP="00BC0E7E">
      <w:pPr>
        <w:autoSpaceDE w:val="0"/>
        <w:autoSpaceDN w:val="0"/>
        <w:adjustRightInd w:val="0"/>
        <w:rPr>
          <w:u w:val="single"/>
        </w:rPr>
      </w:pPr>
      <w:r w:rsidRPr="00BC0E7E">
        <w:rPr>
          <w:u w:val="single"/>
        </w:rPr>
        <w:t>Hepatic or renal impairment</w:t>
      </w:r>
    </w:p>
    <w:p w14:paraId="4672B1EC" w14:textId="77777777" w:rsidR="00BC0E7E" w:rsidRPr="00BC0E7E" w:rsidRDefault="00BC0E7E" w:rsidP="00BC0E7E">
      <w:pPr>
        <w:autoSpaceDE w:val="0"/>
        <w:autoSpaceDN w:val="0"/>
        <w:adjustRightInd w:val="0"/>
        <w:rPr>
          <w:u w:val="single"/>
        </w:rPr>
      </w:pPr>
    </w:p>
    <w:p w14:paraId="392076F0" w14:textId="77777777" w:rsidR="00BC0E7E" w:rsidRPr="00BC0E7E" w:rsidRDefault="00944B8F" w:rsidP="00BC0E7E">
      <w:pPr>
        <w:rPr>
          <w:szCs w:val="20"/>
        </w:rPr>
      </w:pPr>
      <w:r w:rsidRPr="00BC0E7E">
        <w:rPr>
          <w:szCs w:val="20"/>
        </w:rPr>
        <w:t>Humira has not been studied in patients with hepatic or renal impairment.</w:t>
      </w:r>
    </w:p>
    <w:p w14:paraId="2D7FA49D" w14:textId="77777777" w:rsidR="00BC0E7E" w:rsidRPr="00BC0E7E" w:rsidRDefault="00BC0E7E" w:rsidP="00BC0E7E">
      <w:pPr>
        <w:rPr>
          <w:szCs w:val="20"/>
        </w:rPr>
      </w:pPr>
    </w:p>
    <w:p w14:paraId="14DAE332" w14:textId="77777777" w:rsidR="00BC0E7E" w:rsidRPr="00BC0E7E" w:rsidRDefault="00944B8F" w:rsidP="00BC0E7E">
      <w:pPr>
        <w:suppressAutoHyphens w:val="0"/>
        <w:outlineLvl w:val="1"/>
        <w:rPr>
          <w:b/>
          <w:szCs w:val="20"/>
        </w:rPr>
      </w:pPr>
      <w:r w:rsidRPr="00BC0E7E">
        <w:rPr>
          <w:b/>
          <w:szCs w:val="20"/>
        </w:rPr>
        <w:t>5.3</w:t>
      </w:r>
      <w:r w:rsidRPr="00BC0E7E">
        <w:rPr>
          <w:b/>
          <w:szCs w:val="20"/>
        </w:rPr>
        <w:tab/>
        <w:t xml:space="preserve">Preclinical safety data </w:t>
      </w:r>
    </w:p>
    <w:p w14:paraId="2C4AA592" w14:textId="77777777" w:rsidR="00BC0E7E" w:rsidRPr="00BC0E7E" w:rsidRDefault="00BC0E7E" w:rsidP="00BC0E7E">
      <w:pPr>
        <w:rPr>
          <w:szCs w:val="20"/>
        </w:rPr>
      </w:pPr>
    </w:p>
    <w:p w14:paraId="46BE928D" w14:textId="77777777" w:rsidR="00BC0E7E" w:rsidRPr="00BC0E7E" w:rsidRDefault="00944B8F" w:rsidP="00BC0E7E">
      <w:pPr>
        <w:autoSpaceDE w:val="0"/>
        <w:autoSpaceDN w:val="0"/>
        <w:adjustRightInd w:val="0"/>
      </w:pPr>
      <w:r w:rsidRPr="00BC0E7E">
        <w:t xml:space="preserve">Non-clinical data reveal no special hazard for humans based on studies of single dose toxicity, repeated dose toxicity, and genotoxicity.  </w:t>
      </w:r>
    </w:p>
    <w:p w14:paraId="18091420" w14:textId="77777777" w:rsidR="00BC0E7E" w:rsidRPr="00BC0E7E" w:rsidRDefault="00BC0E7E" w:rsidP="00BC0E7E">
      <w:pPr>
        <w:autoSpaceDE w:val="0"/>
        <w:autoSpaceDN w:val="0"/>
        <w:adjustRightInd w:val="0"/>
      </w:pPr>
    </w:p>
    <w:p w14:paraId="2F55CE7E" w14:textId="77777777" w:rsidR="00BC0E7E" w:rsidRPr="00BC0E7E" w:rsidRDefault="00944B8F" w:rsidP="00BC0E7E">
      <w:pPr>
        <w:rPr>
          <w:szCs w:val="20"/>
        </w:rPr>
      </w:pPr>
      <w:r w:rsidRPr="00BC0E7E">
        <w:rPr>
          <w:szCs w:val="20"/>
        </w:rPr>
        <w:t xml:space="preserve">An embryo-foetal developmental toxicity/perinatal developmental study has been performed in cynomolgus monkeys at 0, 30 and 100 mg/kg (9-17 monkeys/group) and has revealed no evidence of harm to the foetuses due to adalimumab. Neither carcinogenicity studies, nor a standard assessment of fertility and postnatal toxicity, were performed with adalimumab due to the lack of appropriate models for an antibody with limited cross-reactivity to rodent TNF and to the development of neutralising antibodies in rodents. </w:t>
      </w:r>
    </w:p>
    <w:p w14:paraId="09DF7A77" w14:textId="77777777" w:rsidR="00BC0E7E" w:rsidRPr="00BC0E7E" w:rsidRDefault="00BC0E7E" w:rsidP="00BC0E7E">
      <w:pPr>
        <w:rPr>
          <w:szCs w:val="20"/>
        </w:rPr>
      </w:pPr>
    </w:p>
    <w:p w14:paraId="5D69CDAB" w14:textId="77777777" w:rsidR="00BC0E7E" w:rsidRPr="00BC0E7E" w:rsidRDefault="00BC0E7E" w:rsidP="00BC0E7E">
      <w:pPr>
        <w:rPr>
          <w:szCs w:val="20"/>
        </w:rPr>
      </w:pPr>
    </w:p>
    <w:p w14:paraId="3F03F9EE" w14:textId="77777777" w:rsidR="00BC0E7E" w:rsidRPr="00BC0E7E" w:rsidRDefault="00944B8F" w:rsidP="00BC0E7E">
      <w:pPr>
        <w:keepNext/>
        <w:outlineLvl w:val="0"/>
        <w:rPr>
          <w:b/>
          <w:caps/>
          <w:szCs w:val="20"/>
        </w:rPr>
      </w:pPr>
      <w:r w:rsidRPr="00BC0E7E">
        <w:rPr>
          <w:b/>
          <w:caps/>
          <w:szCs w:val="20"/>
        </w:rPr>
        <w:t>6.</w:t>
      </w:r>
      <w:r w:rsidRPr="00BC0E7E">
        <w:rPr>
          <w:b/>
          <w:caps/>
          <w:szCs w:val="20"/>
        </w:rPr>
        <w:tab/>
        <w:t>PHARMACEUTICAL PARTICULARS</w:t>
      </w:r>
    </w:p>
    <w:p w14:paraId="1697ED04" w14:textId="77777777" w:rsidR="00BC0E7E" w:rsidRPr="00BC0E7E" w:rsidRDefault="00BC0E7E" w:rsidP="00BC0E7E">
      <w:pPr>
        <w:keepNext/>
        <w:rPr>
          <w:szCs w:val="20"/>
        </w:rPr>
      </w:pPr>
    </w:p>
    <w:p w14:paraId="5D6C65DA" w14:textId="77777777" w:rsidR="00BC0E7E" w:rsidRPr="00BC0E7E" w:rsidRDefault="00944B8F" w:rsidP="00BC0E7E">
      <w:pPr>
        <w:keepNext/>
        <w:suppressAutoHyphens w:val="0"/>
        <w:outlineLvl w:val="1"/>
        <w:rPr>
          <w:b/>
          <w:szCs w:val="20"/>
        </w:rPr>
      </w:pPr>
      <w:r w:rsidRPr="00BC0E7E">
        <w:rPr>
          <w:b/>
          <w:szCs w:val="20"/>
        </w:rPr>
        <w:t>6.1</w:t>
      </w:r>
      <w:r w:rsidRPr="00BC0E7E">
        <w:rPr>
          <w:b/>
          <w:szCs w:val="20"/>
        </w:rPr>
        <w:tab/>
        <w:t xml:space="preserve">List of excipients </w:t>
      </w:r>
    </w:p>
    <w:p w14:paraId="228C4D44" w14:textId="77777777" w:rsidR="00BC0E7E" w:rsidRPr="00BC0E7E" w:rsidRDefault="00BC0E7E" w:rsidP="00BC0E7E">
      <w:pPr>
        <w:keepNext/>
        <w:rPr>
          <w:szCs w:val="20"/>
        </w:rPr>
      </w:pPr>
    </w:p>
    <w:p w14:paraId="7B7CE0D9" w14:textId="77777777" w:rsidR="00BC0E7E" w:rsidRPr="00BC0E7E" w:rsidRDefault="00944B8F" w:rsidP="00BC0E7E">
      <w:pPr>
        <w:keepNext/>
        <w:autoSpaceDE w:val="0"/>
        <w:autoSpaceDN w:val="0"/>
        <w:adjustRightInd w:val="0"/>
        <w:rPr>
          <w:bCs/>
        </w:rPr>
      </w:pPr>
      <w:r w:rsidRPr="00BC0E7E">
        <w:rPr>
          <w:bCs/>
        </w:rPr>
        <w:t>Mannitol</w:t>
      </w:r>
    </w:p>
    <w:p w14:paraId="00CAD90D" w14:textId="77777777" w:rsidR="00BC0E7E" w:rsidRPr="00BC0E7E" w:rsidRDefault="00944B8F" w:rsidP="00BC0E7E">
      <w:pPr>
        <w:keepNext/>
        <w:autoSpaceDE w:val="0"/>
        <w:autoSpaceDN w:val="0"/>
        <w:adjustRightInd w:val="0"/>
        <w:rPr>
          <w:bCs/>
        </w:rPr>
      </w:pPr>
      <w:r w:rsidRPr="00BC0E7E">
        <w:rPr>
          <w:bCs/>
        </w:rPr>
        <w:t>Polysorbate 80</w:t>
      </w:r>
    </w:p>
    <w:p w14:paraId="00F570B6" w14:textId="77777777" w:rsidR="00BC0E7E" w:rsidRPr="00BC0E7E" w:rsidRDefault="00944B8F" w:rsidP="00BC0E7E">
      <w:pPr>
        <w:keepNext/>
        <w:autoSpaceDE w:val="0"/>
        <w:autoSpaceDN w:val="0"/>
        <w:adjustRightInd w:val="0"/>
        <w:rPr>
          <w:bCs/>
        </w:rPr>
      </w:pPr>
      <w:r w:rsidRPr="00BC0E7E">
        <w:rPr>
          <w:bCs/>
        </w:rPr>
        <w:t>Water for injections</w:t>
      </w:r>
    </w:p>
    <w:p w14:paraId="62F1B74E" w14:textId="77777777" w:rsidR="00BC0E7E" w:rsidRPr="00BC0E7E" w:rsidRDefault="00BC0E7E" w:rsidP="00BC0E7E">
      <w:pPr>
        <w:autoSpaceDE w:val="0"/>
        <w:autoSpaceDN w:val="0"/>
        <w:adjustRightInd w:val="0"/>
        <w:rPr>
          <w:bCs/>
        </w:rPr>
      </w:pPr>
    </w:p>
    <w:p w14:paraId="6E1211B8" w14:textId="77777777" w:rsidR="00BC0E7E" w:rsidRPr="00BC0E7E" w:rsidRDefault="00944B8F" w:rsidP="00BC0E7E">
      <w:pPr>
        <w:keepNext/>
        <w:suppressAutoHyphens w:val="0"/>
        <w:outlineLvl w:val="1"/>
        <w:rPr>
          <w:b/>
          <w:szCs w:val="20"/>
        </w:rPr>
      </w:pPr>
      <w:r w:rsidRPr="00BC0E7E">
        <w:rPr>
          <w:b/>
          <w:szCs w:val="20"/>
        </w:rPr>
        <w:t>6.2</w:t>
      </w:r>
      <w:r w:rsidRPr="00BC0E7E">
        <w:rPr>
          <w:b/>
          <w:szCs w:val="20"/>
        </w:rPr>
        <w:tab/>
        <w:t xml:space="preserve">Incompatibilities </w:t>
      </w:r>
    </w:p>
    <w:p w14:paraId="463EC464" w14:textId="77777777" w:rsidR="00BC0E7E" w:rsidRPr="00BC0E7E" w:rsidRDefault="00BC0E7E" w:rsidP="00BC0E7E">
      <w:pPr>
        <w:keepNext/>
        <w:rPr>
          <w:szCs w:val="20"/>
        </w:rPr>
      </w:pPr>
    </w:p>
    <w:p w14:paraId="7101169A" w14:textId="77777777" w:rsidR="00BC0E7E" w:rsidRPr="00BC0E7E" w:rsidRDefault="00944B8F" w:rsidP="00BC0E7E">
      <w:pPr>
        <w:keepNext/>
        <w:tabs>
          <w:tab w:val="clear" w:pos="562"/>
        </w:tabs>
      </w:pPr>
      <w:r w:rsidRPr="00BC0E7E">
        <w:t>In the absence of compatibility studies, this medicinal product must not be mixed with other medicinal products.</w:t>
      </w:r>
    </w:p>
    <w:p w14:paraId="51CD0FD3" w14:textId="77777777" w:rsidR="00BC0E7E" w:rsidRPr="00BC0E7E" w:rsidRDefault="00BC0E7E" w:rsidP="00BC0E7E">
      <w:pPr>
        <w:tabs>
          <w:tab w:val="clear" w:pos="562"/>
        </w:tabs>
      </w:pPr>
    </w:p>
    <w:p w14:paraId="42E4F17C" w14:textId="77777777" w:rsidR="00BC0E7E" w:rsidRPr="00BC0E7E" w:rsidRDefault="00944B8F" w:rsidP="00BC0E7E">
      <w:pPr>
        <w:suppressAutoHyphens w:val="0"/>
        <w:outlineLvl w:val="1"/>
        <w:rPr>
          <w:b/>
          <w:szCs w:val="20"/>
        </w:rPr>
      </w:pPr>
      <w:r w:rsidRPr="00BC0E7E">
        <w:rPr>
          <w:b/>
          <w:szCs w:val="20"/>
        </w:rPr>
        <w:t>6.3</w:t>
      </w:r>
      <w:r w:rsidRPr="00BC0E7E">
        <w:rPr>
          <w:b/>
          <w:szCs w:val="20"/>
        </w:rPr>
        <w:tab/>
        <w:t xml:space="preserve">Shelf life </w:t>
      </w:r>
    </w:p>
    <w:p w14:paraId="64110819" w14:textId="77777777" w:rsidR="00BC0E7E" w:rsidRPr="00BC0E7E" w:rsidRDefault="00BC0E7E" w:rsidP="00BC0E7E">
      <w:pPr>
        <w:rPr>
          <w:szCs w:val="20"/>
        </w:rPr>
      </w:pPr>
    </w:p>
    <w:p w14:paraId="7C70900E" w14:textId="77777777" w:rsidR="00BC0E7E" w:rsidRPr="00BC0E7E" w:rsidRDefault="00944B8F" w:rsidP="00BC0E7E">
      <w:pPr>
        <w:tabs>
          <w:tab w:val="clear" w:pos="562"/>
        </w:tabs>
      </w:pPr>
      <w:r w:rsidRPr="00BC0E7E">
        <w:t>2 years</w:t>
      </w:r>
    </w:p>
    <w:p w14:paraId="05535549" w14:textId="77777777" w:rsidR="00BC0E7E" w:rsidRPr="00BC0E7E" w:rsidRDefault="00BC0E7E" w:rsidP="00BC0E7E">
      <w:pPr>
        <w:tabs>
          <w:tab w:val="clear" w:pos="562"/>
        </w:tabs>
      </w:pPr>
    </w:p>
    <w:p w14:paraId="68FB9015" w14:textId="77777777" w:rsidR="00BC0E7E" w:rsidRPr="00BC0E7E" w:rsidRDefault="00944B8F" w:rsidP="00BC0E7E">
      <w:pPr>
        <w:suppressAutoHyphens w:val="0"/>
        <w:outlineLvl w:val="1"/>
        <w:rPr>
          <w:b/>
          <w:szCs w:val="20"/>
        </w:rPr>
      </w:pPr>
      <w:r w:rsidRPr="00BC0E7E">
        <w:rPr>
          <w:b/>
          <w:szCs w:val="20"/>
        </w:rPr>
        <w:t>6.4</w:t>
      </w:r>
      <w:r w:rsidRPr="00BC0E7E">
        <w:rPr>
          <w:b/>
          <w:szCs w:val="20"/>
        </w:rPr>
        <w:tab/>
        <w:t xml:space="preserve">Special precautions for storage </w:t>
      </w:r>
    </w:p>
    <w:p w14:paraId="15D3692C" w14:textId="77777777" w:rsidR="00BC0E7E" w:rsidRPr="00BC0E7E" w:rsidRDefault="00BC0E7E" w:rsidP="00BC0E7E">
      <w:pPr>
        <w:rPr>
          <w:szCs w:val="20"/>
        </w:rPr>
      </w:pPr>
    </w:p>
    <w:p w14:paraId="6A7673E8" w14:textId="77777777" w:rsidR="00BC0E7E" w:rsidRPr="00BC0E7E" w:rsidRDefault="00944B8F" w:rsidP="00BC0E7E">
      <w:pPr>
        <w:tabs>
          <w:tab w:val="clear" w:pos="562"/>
        </w:tabs>
      </w:pPr>
      <w:r w:rsidRPr="00BC0E7E">
        <w:t>Store in a refrigerator (2</w:t>
      </w:r>
      <w:r w:rsidRPr="00BC0E7E">
        <w:rPr>
          <w:rFonts w:ascii="Symbol" w:eastAsia="Symbol" w:hAnsi="Symbol" w:cs="Symbol"/>
          <w:szCs w:val="22"/>
        </w:rPr>
        <w:sym w:font="Symbol" w:char="F0B0"/>
      </w:r>
      <w:r w:rsidRPr="00BC0E7E">
        <w:t>C – 8</w:t>
      </w:r>
      <w:r w:rsidRPr="00BC0E7E">
        <w:rPr>
          <w:rFonts w:ascii="Symbol" w:eastAsia="Symbol" w:hAnsi="Symbol" w:cs="Symbol"/>
          <w:szCs w:val="22"/>
        </w:rPr>
        <w:sym w:font="Symbol" w:char="F0B0"/>
      </w:r>
      <w:r w:rsidRPr="00BC0E7E">
        <w:t xml:space="preserve">C). Do not freeze. Keep the pre-filled syringe or pre-filled pen in its outer carton in order to protect from light.  </w:t>
      </w:r>
    </w:p>
    <w:p w14:paraId="5D496A97" w14:textId="77777777" w:rsidR="00BC0E7E" w:rsidRPr="00BC0E7E" w:rsidRDefault="00BC0E7E" w:rsidP="00BC0E7E">
      <w:pPr>
        <w:tabs>
          <w:tab w:val="clear" w:pos="562"/>
        </w:tabs>
      </w:pPr>
    </w:p>
    <w:p w14:paraId="648AFE7E" w14:textId="77777777" w:rsidR="00BC0E7E" w:rsidRPr="00BC0E7E" w:rsidRDefault="00944B8F" w:rsidP="00BC0E7E">
      <w:pPr>
        <w:tabs>
          <w:tab w:val="clear" w:pos="562"/>
        </w:tabs>
      </w:pPr>
      <w:r w:rsidRPr="00BC0E7E">
        <w:t>A single Humira pre-filled syringe or pre-filled pen may be stored at temperatures up to a maximum of 25°C for a period of up to 14 days. The syringe or pen must be protected from light, and discarded if not used within the 14</w:t>
      </w:r>
      <w:r w:rsidRPr="00BC0E7E">
        <w:noBreakHyphen/>
        <w:t>day period.</w:t>
      </w:r>
    </w:p>
    <w:p w14:paraId="4352073B" w14:textId="77777777" w:rsidR="00BC0E7E" w:rsidRPr="00BC0E7E" w:rsidRDefault="00BC0E7E" w:rsidP="00BC0E7E">
      <w:pPr>
        <w:tabs>
          <w:tab w:val="clear" w:pos="562"/>
        </w:tabs>
      </w:pPr>
    </w:p>
    <w:p w14:paraId="3CEC4C02" w14:textId="77777777" w:rsidR="00BC0E7E" w:rsidRPr="00BC0E7E" w:rsidRDefault="00944B8F" w:rsidP="003F2CE2">
      <w:pPr>
        <w:suppressAutoHyphens w:val="0"/>
        <w:outlineLvl w:val="1"/>
        <w:rPr>
          <w:b/>
          <w:szCs w:val="20"/>
        </w:rPr>
      </w:pPr>
      <w:r w:rsidRPr="00BC0E7E">
        <w:rPr>
          <w:b/>
          <w:szCs w:val="20"/>
        </w:rPr>
        <w:t>6.5</w:t>
      </w:r>
      <w:r w:rsidRPr="00BC0E7E">
        <w:rPr>
          <w:b/>
          <w:szCs w:val="20"/>
        </w:rPr>
        <w:tab/>
        <w:t>Nat</w:t>
      </w:r>
      <w:r w:rsidR="00F337C0">
        <w:rPr>
          <w:b/>
          <w:szCs w:val="20"/>
        </w:rPr>
        <w:t>ure and contents of container</w:t>
      </w:r>
    </w:p>
    <w:p w14:paraId="502CBFF1" w14:textId="77777777" w:rsidR="00BC0E7E" w:rsidRPr="00BC0E7E" w:rsidRDefault="00BC0E7E" w:rsidP="003F2CE2">
      <w:pPr>
        <w:rPr>
          <w:szCs w:val="20"/>
        </w:rPr>
      </w:pPr>
    </w:p>
    <w:p w14:paraId="5FCC6ADF" w14:textId="77777777" w:rsidR="00BC0E7E" w:rsidRPr="00BC0E7E" w:rsidRDefault="00944B8F" w:rsidP="003F2CE2">
      <w:pPr>
        <w:tabs>
          <w:tab w:val="clear" w:pos="562"/>
        </w:tabs>
        <w:rPr>
          <w:u w:val="single"/>
        </w:rPr>
      </w:pPr>
      <w:r w:rsidRPr="00BC0E7E">
        <w:rPr>
          <w:u w:val="single"/>
        </w:rPr>
        <w:t>Humira 40 mg solution for injection in pre-filled syringe</w:t>
      </w:r>
    </w:p>
    <w:p w14:paraId="402CE38C" w14:textId="77777777" w:rsidR="00BC0E7E" w:rsidRPr="00BC0E7E" w:rsidRDefault="00944B8F" w:rsidP="003F2CE2">
      <w:pPr>
        <w:tabs>
          <w:tab w:val="clear" w:pos="562"/>
        </w:tabs>
      </w:pPr>
      <w:r w:rsidRPr="00BC0E7E">
        <w:t xml:space="preserve">Humira 40 mg solution for injection in single-use pre-filled syringe (type I glass) with a plunger stopper (bromobutyl rubber) and a needle with a needle shield (thermoplastic elastomer). </w:t>
      </w:r>
      <w:r w:rsidRPr="00BC0E7E">
        <w:br/>
      </w:r>
    </w:p>
    <w:p w14:paraId="15225957" w14:textId="77777777" w:rsidR="00BC0E7E" w:rsidRPr="00BC0E7E" w:rsidRDefault="00944B8F" w:rsidP="003F2CE2">
      <w:pPr>
        <w:keepNext/>
        <w:tabs>
          <w:tab w:val="clear" w:pos="562"/>
        </w:tabs>
      </w:pPr>
      <w:r w:rsidRPr="00BC0E7E">
        <w:t>Packs of:</w:t>
      </w:r>
    </w:p>
    <w:p w14:paraId="61CA0C29" w14:textId="77777777" w:rsidR="00BC0E7E" w:rsidRPr="00BC0E7E" w:rsidRDefault="00944B8F" w:rsidP="003F2CE2">
      <w:pPr>
        <w:keepNext/>
        <w:numPr>
          <w:ilvl w:val="0"/>
          <w:numId w:val="11"/>
        </w:numPr>
        <w:tabs>
          <w:tab w:val="clear" w:pos="562"/>
          <w:tab w:val="clear" w:pos="720"/>
        </w:tabs>
        <w:ind w:left="567" w:hanging="567"/>
      </w:pPr>
      <w:r w:rsidRPr="00BC0E7E">
        <w:t>1 pre-filled syringe (0.4 ml sterile solution) w</w:t>
      </w:r>
      <w:r w:rsidR="008F4FD5">
        <w:t>ith 1 alcohol pad in a blister.</w:t>
      </w:r>
    </w:p>
    <w:p w14:paraId="1F416B85" w14:textId="77777777" w:rsidR="00BC0E7E" w:rsidRPr="00BC0E7E" w:rsidRDefault="00944B8F" w:rsidP="003F2CE2">
      <w:pPr>
        <w:keepNext/>
        <w:numPr>
          <w:ilvl w:val="0"/>
          <w:numId w:val="11"/>
        </w:numPr>
        <w:tabs>
          <w:tab w:val="clear" w:pos="562"/>
          <w:tab w:val="clear" w:pos="720"/>
        </w:tabs>
        <w:ind w:left="567" w:hanging="567"/>
      </w:pPr>
      <w:r w:rsidRPr="00BC0E7E">
        <w:t>2 pre-filled syringes (0.4 ml sterile solution), each wi</w:t>
      </w:r>
      <w:r w:rsidR="008F4FD5">
        <w:t>th 1 alcohol pad, in a blister.</w:t>
      </w:r>
    </w:p>
    <w:p w14:paraId="2BC69300" w14:textId="77777777" w:rsidR="00BC0E7E" w:rsidRPr="00BC0E7E" w:rsidRDefault="00944B8F" w:rsidP="003F2CE2">
      <w:pPr>
        <w:keepNext/>
        <w:numPr>
          <w:ilvl w:val="0"/>
          <w:numId w:val="11"/>
        </w:numPr>
        <w:tabs>
          <w:tab w:val="clear" w:pos="562"/>
          <w:tab w:val="clear" w:pos="720"/>
        </w:tabs>
        <w:ind w:left="567" w:hanging="567"/>
      </w:pPr>
      <w:r w:rsidRPr="00BC0E7E">
        <w:t>4 pre-filled syringes (0.4 ml sterile solution), each wi</w:t>
      </w:r>
      <w:r w:rsidR="008F4FD5">
        <w:t>th 1 alcohol pad, in a blister.</w:t>
      </w:r>
    </w:p>
    <w:p w14:paraId="7C023DFD" w14:textId="77777777" w:rsidR="00BC0E7E" w:rsidRPr="008F4FD5" w:rsidRDefault="00944B8F" w:rsidP="003F2CE2">
      <w:pPr>
        <w:keepNext/>
        <w:numPr>
          <w:ilvl w:val="0"/>
          <w:numId w:val="11"/>
        </w:numPr>
        <w:tabs>
          <w:tab w:val="clear" w:pos="562"/>
          <w:tab w:val="clear" w:pos="720"/>
        </w:tabs>
        <w:ind w:left="567" w:hanging="567"/>
        <w:rPr>
          <w:bCs/>
          <w:iCs/>
        </w:rPr>
      </w:pPr>
      <w:r w:rsidRPr="00BC0E7E">
        <w:t>6 pre-filled syringes (0.4 ml sterile solution), each with 1 alcohol pad, in a blister.</w:t>
      </w:r>
    </w:p>
    <w:p w14:paraId="7D110EB0" w14:textId="77777777" w:rsidR="00BC0E7E" w:rsidRPr="008F4FD5" w:rsidRDefault="00BC0E7E" w:rsidP="00E737A9">
      <w:pPr>
        <w:tabs>
          <w:tab w:val="clear" w:pos="562"/>
        </w:tabs>
        <w:rPr>
          <w:bCs/>
          <w:iCs/>
        </w:rPr>
      </w:pPr>
    </w:p>
    <w:p w14:paraId="126D78D7" w14:textId="77777777" w:rsidR="00BC0E7E" w:rsidRPr="00BC0E7E" w:rsidRDefault="00944B8F" w:rsidP="00F337C0">
      <w:pPr>
        <w:keepNext/>
        <w:tabs>
          <w:tab w:val="clear" w:pos="562"/>
        </w:tabs>
        <w:rPr>
          <w:u w:val="single"/>
        </w:rPr>
      </w:pPr>
      <w:r w:rsidRPr="00BC0E7E">
        <w:rPr>
          <w:u w:val="single"/>
        </w:rPr>
        <w:t>Humira 40 mg solution for injection in pre-filled pen</w:t>
      </w:r>
    </w:p>
    <w:p w14:paraId="0CC1902C" w14:textId="77777777" w:rsidR="00BC0E7E" w:rsidRPr="00BC0E7E" w:rsidRDefault="00944B8F" w:rsidP="00F337C0">
      <w:pPr>
        <w:keepNext/>
        <w:tabs>
          <w:tab w:val="clear" w:pos="562"/>
        </w:tabs>
      </w:pPr>
      <w:r w:rsidRPr="00BC0E7E">
        <w:t>Humira 40 mg solution for injection in single-use pre-filled pen for patient use containing a pre-filled syringe. The syringe inside the pen is made from type 1 glass with a plunger stopper (bromobutyl rubber) and a needle with a needle shield (thermoplastic elastomer).</w:t>
      </w:r>
    </w:p>
    <w:p w14:paraId="78C4A712" w14:textId="77777777" w:rsidR="00BC0E7E" w:rsidRPr="00BC0E7E" w:rsidRDefault="00BC0E7E" w:rsidP="00BC0E7E">
      <w:pPr>
        <w:tabs>
          <w:tab w:val="clear" w:pos="562"/>
        </w:tabs>
      </w:pPr>
    </w:p>
    <w:p w14:paraId="2B4A5B7F" w14:textId="77777777" w:rsidR="00BC0E7E" w:rsidRPr="00BC0E7E" w:rsidRDefault="00944B8F" w:rsidP="00BC0E7E">
      <w:pPr>
        <w:tabs>
          <w:tab w:val="clear" w:pos="562"/>
        </w:tabs>
      </w:pPr>
      <w:r w:rsidRPr="00BC0E7E">
        <w:t>Packs of:</w:t>
      </w:r>
    </w:p>
    <w:p w14:paraId="5EA4D7A6" w14:textId="77777777" w:rsidR="00BC0E7E" w:rsidRPr="00BC0E7E" w:rsidRDefault="00944B8F" w:rsidP="00BC0E7E">
      <w:pPr>
        <w:numPr>
          <w:ilvl w:val="0"/>
          <w:numId w:val="11"/>
        </w:numPr>
        <w:tabs>
          <w:tab w:val="clear" w:pos="562"/>
        </w:tabs>
      </w:pPr>
      <w:r w:rsidRPr="00BC0E7E">
        <w:t>1 pre-filled pen (0.4 ml sterile solution), wi</w:t>
      </w:r>
      <w:r w:rsidR="007F079A">
        <w:t>th 2 alcohol pads in a blister.</w:t>
      </w:r>
    </w:p>
    <w:p w14:paraId="74F1E434" w14:textId="77777777" w:rsidR="00BC0E7E" w:rsidRPr="00BC0E7E" w:rsidRDefault="00944B8F" w:rsidP="00BC0E7E">
      <w:pPr>
        <w:numPr>
          <w:ilvl w:val="0"/>
          <w:numId w:val="11"/>
        </w:numPr>
        <w:tabs>
          <w:tab w:val="clear" w:pos="562"/>
        </w:tabs>
      </w:pPr>
      <w:r w:rsidRPr="00BC0E7E">
        <w:t>2 pre-filled pens (0.4 ml sterile solution), each wi</w:t>
      </w:r>
      <w:r w:rsidR="007F079A">
        <w:t>th 1 alcohol pad, in a blister.</w:t>
      </w:r>
    </w:p>
    <w:p w14:paraId="7ECC841E" w14:textId="77777777" w:rsidR="007F079A" w:rsidRPr="007F079A" w:rsidRDefault="00944B8F" w:rsidP="007F079A">
      <w:pPr>
        <w:numPr>
          <w:ilvl w:val="0"/>
          <w:numId w:val="11"/>
        </w:numPr>
        <w:tabs>
          <w:tab w:val="clear" w:pos="562"/>
        </w:tabs>
      </w:pPr>
      <w:r w:rsidRPr="00BC0E7E">
        <w:t>4 pre-filled pens (0.4 ml sterile solution), each wi</w:t>
      </w:r>
      <w:r>
        <w:t>th 1 alcohol pad, in a blister.</w:t>
      </w:r>
    </w:p>
    <w:p w14:paraId="06F55C07" w14:textId="77777777" w:rsidR="00BC0E7E" w:rsidRPr="00BC0E7E" w:rsidRDefault="00944B8F" w:rsidP="00BC0E7E">
      <w:pPr>
        <w:numPr>
          <w:ilvl w:val="0"/>
          <w:numId w:val="11"/>
        </w:numPr>
        <w:tabs>
          <w:tab w:val="clear" w:pos="562"/>
        </w:tabs>
        <w:rPr>
          <w:b/>
          <w:bCs/>
          <w:i/>
          <w:iCs/>
        </w:rPr>
      </w:pPr>
      <w:r w:rsidRPr="00BC0E7E">
        <w:t>6 pre-filled pens (0.4 ml sterile solution), each with 1 alcohol pad, in a blister.</w:t>
      </w:r>
    </w:p>
    <w:p w14:paraId="0DD82607" w14:textId="77777777" w:rsidR="00BC0E7E" w:rsidRPr="00BC0E7E" w:rsidRDefault="00BC0E7E" w:rsidP="00BC0E7E">
      <w:pPr>
        <w:tabs>
          <w:tab w:val="clear" w:pos="562"/>
        </w:tabs>
      </w:pPr>
    </w:p>
    <w:p w14:paraId="383797D6" w14:textId="77777777" w:rsidR="00BC0E7E" w:rsidRPr="00BC0E7E" w:rsidRDefault="00944B8F" w:rsidP="00BC0E7E">
      <w:pPr>
        <w:tabs>
          <w:tab w:val="clear" w:pos="562"/>
        </w:tabs>
      </w:pPr>
      <w:r w:rsidRPr="00BC0E7E">
        <w:t>Not all presentations or pack sizes may be marketed.</w:t>
      </w:r>
    </w:p>
    <w:p w14:paraId="47C8B68C" w14:textId="77777777" w:rsidR="00BC0E7E" w:rsidRPr="00BC0E7E" w:rsidRDefault="00BC0E7E" w:rsidP="00BC0E7E">
      <w:pPr>
        <w:tabs>
          <w:tab w:val="clear" w:pos="562"/>
        </w:tabs>
      </w:pPr>
    </w:p>
    <w:p w14:paraId="7A0FEF79" w14:textId="77777777" w:rsidR="00BC0E7E" w:rsidRPr="007F079A" w:rsidRDefault="00944B8F" w:rsidP="007F079A">
      <w:pPr>
        <w:keepNext/>
        <w:suppressAutoHyphens w:val="0"/>
        <w:outlineLvl w:val="1"/>
        <w:rPr>
          <w:szCs w:val="20"/>
        </w:rPr>
      </w:pPr>
      <w:r w:rsidRPr="00BC0E7E">
        <w:rPr>
          <w:b/>
          <w:szCs w:val="20"/>
        </w:rPr>
        <w:t>6.6</w:t>
      </w:r>
      <w:r w:rsidRPr="00BC0E7E">
        <w:rPr>
          <w:b/>
          <w:szCs w:val="20"/>
        </w:rPr>
        <w:tab/>
        <w:t>Special precautions for disposal</w:t>
      </w:r>
    </w:p>
    <w:p w14:paraId="5062F442" w14:textId="77777777" w:rsidR="00BC0E7E" w:rsidRPr="00BC0E7E" w:rsidRDefault="00BC0E7E" w:rsidP="007F079A">
      <w:pPr>
        <w:keepNext/>
        <w:rPr>
          <w:szCs w:val="20"/>
        </w:rPr>
      </w:pPr>
    </w:p>
    <w:p w14:paraId="7F417931" w14:textId="77777777" w:rsidR="00BC0E7E" w:rsidRPr="00BC0E7E" w:rsidRDefault="00944B8F" w:rsidP="007F079A">
      <w:pPr>
        <w:keepNext/>
        <w:tabs>
          <w:tab w:val="clear" w:pos="562"/>
        </w:tabs>
      </w:pPr>
      <w:r w:rsidRPr="00BC0E7E">
        <w:t>Any unused medicinal product or waste material should be disposed of in accordance with local requirements.</w:t>
      </w:r>
    </w:p>
    <w:p w14:paraId="0DD33840" w14:textId="77777777" w:rsidR="00BC0E7E" w:rsidRPr="00BC0E7E" w:rsidRDefault="00BC0E7E" w:rsidP="00BC0E7E">
      <w:pPr>
        <w:tabs>
          <w:tab w:val="clear" w:pos="562"/>
        </w:tabs>
      </w:pPr>
    </w:p>
    <w:p w14:paraId="7B21B501" w14:textId="77777777" w:rsidR="00BC0E7E" w:rsidRPr="00BC0E7E" w:rsidRDefault="00BC0E7E" w:rsidP="00BC0E7E">
      <w:pPr>
        <w:tabs>
          <w:tab w:val="clear" w:pos="562"/>
        </w:tabs>
      </w:pPr>
    </w:p>
    <w:p w14:paraId="5729EBB0" w14:textId="77777777" w:rsidR="00BC0E7E" w:rsidRPr="00BC0E7E" w:rsidRDefault="00944B8F" w:rsidP="00BC0E7E">
      <w:pPr>
        <w:outlineLvl w:val="0"/>
        <w:rPr>
          <w:b/>
          <w:caps/>
          <w:szCs w:val="20"/>
        </w:rPr>
      </w:pPr>
      <w:r w:rsidRPr="00BC0E7E">
        <w:rPr>
          <w:b/>
          <w:caps/>
          <w:szCs w:val="20"/>
        </w:rPr>
        <w:t>7.</w:t>
      </w:r>
      <w:r w:rsidRPr="00BC0E7E">
        <w:rPr>
          <w:b/>
          <w:caps/>
          <w:szCs w:val="20"/>
        </w:rPr>
        <w:tab/>
        <w:t xml:space="preserve">MARKETING AUTHORISATION HOLDER </w:t>
      </w:r>
    </w:p>
    <w:p w14:paraId="7E439062" w14:textId="77777777" w:rsidR="00BC0E7E" w:rsidRPr="00BC0E7E" w:rsidRDefault="00BC0E7E" w:rsidP="00BC0E7E">
      <w:pPr>
        <w:rPr>
          <w:szCs w:val="20"/>
        </w:rPr>
      </w:pPr>
    </w:p>
    <w:p w14:paraId="0106EA74"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AbbVie Deutschland GmbH &amp; Co. KG</w:t>
      </w:r>
    </w:p>
    <w:p w14:paraId="015D1885"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Knollstrasse</w:t>
      </w:r>
    </w:p>
    <w:p w14:paraId="6B825884"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67061 Ludwigshafen</w:t>
      </w:r>
    </w:p>
    <w:p w14:paraId="028AC01F" w14:textId="77777777" w:rsidR="006A01D2"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Germany</w:t>
      </w:r>
      <w:r w:rsidRPr="002A3533">
        <w:rPr>
          <w:szCs w:val="22"/>
          <w:lang w:eastAsia="en-GB"/>
        </w:rPr>
        <w:t xml:space="preserve"> </w:t>
      </w:r>
    </w:p>
    <w:p w14:paraId="1FF9094E" w14:textId="77777777" w:rsidR="00BC0E7E" w:rsidRPr="00BC0E7E" w:rsidRDefault="00BC0E7E" w:rsidP="00BC0E7E">
      <w:pPr>
        <w:tabs>
          <w:tab w:val="clear" w:pos="562"/>
        </w:tabs>
        <w:suppressAutoHyphens w:val="0"/>
        <w:autoSpaceDE w:val="0"/>
        <w:autoSpaceDN w:val="0"/>
        <w:adjustRightInd w:val="0"/>
        <w:spacing w:line="240" w:lineRule="atLeast"/>
        <w:rPr>
          <w:szCs w:val="22"/>
          <w:lang w:eastAsia="en-GB"/>
        </w:rPr>
      </w:pPr>
    </w:p>
    <w:p w14:paraId="2FE6B6FA" w14:textId="77777777" w:rsidR="00BC0E7E" w:rsidRPr="00BC0E7E" w:rsidRDefault="00BC0E7E" w:rsidP="00BC0E7E">
      <w:pPr>
        <w:tabs>
          <w:tab w:val="clear" w:pos="562"/>
        </w:tabs>
        <w:suppressAutoHyphens w:val="0"/>
        <w:autoSpaceDE w:val="0"/>
        <w:autoSpaceDN w:val="0"/>
        <w:adjustRightInd w:val="0"/>
        <w:spacing w:line="240" w:lineRule="atLeast"/>
        <w:rPr>
          <w:szCs w:val="22"/>
          <w:lang w:eastAsia="en-GB"/>
        </w:rPr>
      </w:pPr>
    </w:p>
    <w:p w14:paraId="410663CC" w14:textId="77777777" w:rsidR="00BC0E7E" w:rsidRPr="00BC0E7E" w:rsidRDefault="00944B8F" w:rsidP="00BC0E7E">
      <w:pPr>
        <w:keepNext/>
        <w:outlineLvl w:val="0"/>
        <w:rPr>
          <w:b/>
          <w:caps/>
          <w:szCs w:val="20"/>
        </w:rPr>
      </w:pPr>
      <w:r w:rsidRPr="00BC0E7E">
        <w:rPr>
          <w:b/>
          <w:caps/>
          <w:szCs w:val="20"/>
        </w:rPr>
        <w:lastRenderedPageBreak/>
        <w:t>8.</w:t>
      </w:r>
      <w:r w:rsidRPr="00BC0E7E">
        <w:rPr>
          <w:b/>
          <w:caps/>
          <w:szCs w:val="20"/>
        </w:rPr>
        <w:tab/>
        <w:t xml:space="preserve">MARKETING AUTHORISATION NUMBERS </w:t>
      </w:r>
    </w:p>
    <w:p w14:paraId="2D2F4DD2" w14:textId="77777777" w:rsidR="00BC0E7E" w:rsidRPr="00BC0E7E" w:rsidRDefault="00BC0E7E" w:rsidP="00BC0E7E">
      <w:pPr>
        <w:keepNext/>
        <w:tabs>
          <w:tab w:val="clear" w:pos="562"/>
        </w:tabs>
        <w:rPr>
          <w:u w:val="single"/>
        </w:rPr>
      </w:pPr>
    </w:p>
    <w:p w14:paraId="0AC93A6C" w14:textId="77777777" w:rsidR="00BC0E7E" w:rsidRPr="00BC0E7E" w:rsidRDefault="00944B8F" w:rsidP="00BC0E7E">
      <w:pPr>
        <w:keepNext/>
        <w:tabs>
          <w:tab w:val="clear" w:pos="562"/>
        </w:tabs>
        <w:rPr>
          <w:u w:val="single"/>
        </w:rPr>
      </w:pPr>
      <w:r w:rsidRPr="00BC0E7E">
        <w:rPr>
          <w:u w:val="single"/>
        </w:rPr>
        <w:t>Humira 40 mg solution for injection in pre-filled syringe</w:t>
      </w:r>
    </w:p>
    <w:p w14:paraId="64D2FF7F" w14:textId="77777777" w:rsidR="00BC0E7E" w:rsidRPr="00BC0E7E" w:rsidRDefault="00944B8F" w:rsidP="00BC0E7E">
      <w:pPr>
        <w:keepNext/>
        <w:rPr>
          <w:lang w:val="sv-SE"/>
        </w:rPr>
      </w:pPr>
      <w:r w:rsidRPr="00BC0E7E">
        <w:rPr>
          <w:lang w:val="sv-SE"/>
        </w:rPr>
        <w:t>EU/1/03/256/012</w:t>
      </w:r>
    </w:p>
    <w:p w14:paraId="0DA0A92B" w14:textId="77777777" w:rsidR="00BC0E7E" w:rsidRPr="00BC0E7E" w:rsidRDefault="00944B8F" w:rsidP="00BC0E7E">
      <w:pPr>
        <w:keepNext/>
        <w:rPr>
          <w:lang w:val="sv-SE"/>
        </w:rPr>
      </w:pPr>
      <w:r w:rsidRPr="00BC0E7E">
        <w:rPr>
          <w:lang w:val="sv-SE"/>
        </w:rPr>
        <w:t>EU/1/03/256/013</w:t>
      </w:r>
    </w:p>
    <w:p w14:paraId="67869E07" w14:textId="77777777" w:rsidR="00BC0E7E" w:rsidRPr="00BC0E7E" w:rsidRDefault="00944B8F" w:rsidP="00BC0E7E">
      <w:pPr>
        <w:keepNext/>
        <w:rPr>
          <w:szCs w:val="20"/>
          <w:lang w:val="sv-SE"/>
        </w:rPr>
      </w:pPr>
      <w:r w:rsidRPr="00BC0E7E">
        <w:rPr>
          <w:szCs w:val="20"/>
          <w:lang w:val="sv-SE"/>
        </w:rPr>
        <w:t>EU/1/03/256/014</w:t>
      </w:r>
    </w:p>
    <w:p w14:paraId="3269505B" w14:textId="77777777" w:rsidR="00BC0E7E" w:rsidRPr="00BC0E7E" w:rsidRDefault="00944B8F" w:rsidP="00BC0E7E">
      <w:pPr>
        <w:keepNext/>
        <w:rPr>
          <w:szCs w:val="20"/>
          <w:lang w:val="sv-SE"/>
        </w:rPr>
      </w:pPr>
      <w:r w:rsidRPr="00BC0E7E">
        <w:rPr>
          <w:szCs w:val="20"/>
          <w:lang w:val="sv-SE"/>
        </w:rPr>
        <w:t>EU/1/03/256/015</w:t>
      </w:r>
    </w:p>
    <w:p w14:paraId="0D3C766C" w14:textId="77777777" w:rsidR="006B3EA7" w:rsidRPr="006E00B3" w:rsidRDefault="006B3EA7" w:rsidP="006B3EA7">
      <w:pPr>
        <w:tabs>
          <w:tab w:val="clear" w:pos="562"/>
          <w:tab w:val="left" w:pos="5670"/>
        </w:tabs>
        <w:rPr>
          <w:u w:val="single"/>
          <w:lang w:val="sv-SE"/>
        </w:rPr>
      </w:pPr>
    </w:p>
    <w:p w14:paraId="6397CC06" w14:textId="77777777" w:rsidR="00BC0E7E" w:rsidRPr="00491143" w:rsidRDefault="00944B8F" w:rsidP="00BC0E7E">
      <w:pPr>
        <w:tabs>
          <w:tab w:val="clear" w:pos="562"/>
        </w:tabs>
        <w:rPr>
          <w:u w:val="single"/>
          <w:lang w:val="sv-SE"/>
        </w:rPr>
      </w:pPr>
      <w:r w:rsidRPr="00491143">
        <w:rPr>
          <w:u w:val="single"/>
          <w:lang w:val="sv-SE"/>
        </w:rPr>
        <w:t>Humira 40 mg solution for injection in pre-filled pen</w:t>
      </w:r>
    </w:p>
    <w:p w14:paraId="517AE443" w14:textId="77777777" w:rsidR="00BC0E7E" w:rsidRPr="00FB06D0" w:rsidRDefault="00944B8F" w:rsidP="00BC0E7E">
      <w:pPr>
        <w:rPr>
          <w:szCs w:val="20"/>
          <w:lang w:val="nb-NO"/>
        </w:rPr>
      </w:pPr>
      <w:r w:rsidRPr="00FB06D0">
        <w:rPr>
          <w:szCs w:val="20"/>
          <w:lang w:val="nb-NO"/>
        </w:rPr>
        <w:t>EU/1/03/256/016</w:t>
      </w:r>
    </w:p>
    <w:p w14:paraId="7293AF42" w14:textId="77777777" w:rsidR="00BC0E7E" w:rsidRPr="00BC0E7E" w:rsidRDefault="00944B8F" w:rsidP="00BC0E7E">
      <w:pPr>
        <w:rPr>
          <w:szCs w:val="20"/>
        </w:rPr>
      </w:pPr>
      <w:r w:rsidRPr="00BC0E7E">
        <w:rPr>
          <w:szCs w:val="20"/>
        </w:rPr>
        <w:t>EU/1/03/256/017</w:t>
      </w:r>
    </w:p>
    <w:p w14:paraId="26B77DC6" w14:textId="77777777" w:rsidR="00BC0E7E" w:rsidRPr="00BC0E7E" w:rsidRDefault="00944B8F" w:rsidP="00BC0E7E">
      <w:pPr>
        <w:rPr>
          <w:szCs w:val="20"/>
        </w:rPr>
      </w:pPr>
      <w:r w:rsidRPr="00BC0E7E">
        <w:rPr>
          <w:szCs w:val="20"/>
        </w:rPr>
        <w:t>EU/1/03/256/018</w:t>
      </w:r>
    </w:p>
    <w:p w14:paraId="6860E613" w14:textId="77777777" w:rsidR="00BC0E7E" w:rsidRPr="00BC0E7E" w:rsidRDefault="00944B8F" w:rsidP="00BC0E7E">
      <w:pPr>
        <w:rPr>
          <w:szCs w:val="20"/>
        </w:rPr>
      </w:pPr>
      <w:r w:rsidRPr="00BC0E7E">
        <w:rPr>
          <w:szCs w:val="20"/>
        </w:rPr>
        <w:t>EU/1/03/256/019</w:t>
      </w:r>
    </w:p>
    <w:p w14:paraId="68675C3D" w14:textId="77777777" w:rsidR="00BC0E7E" w:rsidRPr="00BC0E7E" w:rsidRDefault="00BC0E7E" w:rsidP="00BC0E7E">
      <w:pPr>
        <w:keepNext/>
        <w:rPr>
          <w:szCs w:val="20"/>
        </w:rPr>
      </w:pPr>
    </w:p>
    <w:p w14:paraId="604A7B3B" w14:textId="77777777" w:rsidR="00BC0E7E" w:rsidRPr="00BC0E7E" w:rsidRDefault="00BC0E7E" w:rsidP="00BC0E7E">
      <w:pPr>
        <w:keepNext/>
        <w:rPr>
          <w:szCs w:val="20"/>
        </w:rPr>
      </w:pPr>
    </w:p>
    <w:p w14:paraId="246675EE" w14:textId="77777777" w:rsidR="00BC0E7E" w:rsidRPr="00BC0E7E" w:rsidRDefault="00944B8F" w:rsidP="00BC0E7E">
      <w:pPr>
        <w:keepNext/>
        <w:outlineLvl w:val="0"/>
        <w:rPr>
          <w:b/>
          <w:caps/>
          <w:szCs w:val="20"/>
        </w:rPr>
      </w:pPr>
      <w:r w:rsidRPr="00BC0E7E">
        <w:rPr>
          <w:b/>
          <w:caps/>
          <w:szCs w:val="20"/>
        </w:rPr>
        <w:t>9.</w:t>
      </w:r>
      <w:r w:rsidRPr="00BC0E7E">
        <w:rPr>
          <w:b/>
          <w:caps/>
          <w:szCs w:val="20"/>
        </w:rPr>
        <w:tab/>
        <w:t>DATE OF FIRST AUTHORISATION/RENEWAL OF THE AUTHORISATION</w:t>
      </w:r>
    </w:p>
    <w:p w14:paraId="09C6E9BB" w14:textId="77777777" w:rsidR="00BC0E7E" w:rsidRPr="00BC0E7E" w:rsidRDefault="00BC0E7E" w:rsidP="00BC0E7E">
      <w:pPr>
        <w:keepNext/>
        <w:autoSpaceDE w:val="0"/>
        <w:autoSpaceDN w:val="0"/>
        <w:adjustRightInd w:val="0"/>
      </w:pPr>
    </w:p>
    <w:p w14:paraId="2F015C3D" w14:textId="77777777" w:rsidR="00BC0E7E" w:rsidRPr="00BC0E7E" w:rsidRDefault="00944B8F" w:rsidP="00BC0E7E">
      <w:pPr>
        <w:keepNext/>
        <w:autoSpaceDE w:val="0"/>
        <w:autoSpaceDN w:val="0"/>
        <w:adjustRightInd w:val="0"/>
        <w:rPr>
          <w:szCs w:val="22"/>
          <w:lang w:eastAsia="en-GB"/>
        </w:rPr>
      </w:pPr>
      <w:r w:rsidRPr="00BC0E7E">
        <w:rPr>
          <w:szCs w:val="22"/>
        </w:rPr>
        <w:t>Date of first authorisation: 0</w:t>
      </w:r>
      <w:r w:rsidRPr="00BC0E7E">
        <w:rPr>
          <w:szCs w:val="22"/>
          <w:lang w:eastAsia="en-GB"/>
        </w:rPr>
        <w:t>8 September 2003</w:t>
      </w:r>
    </w:p>
    <w:p w14:paraId="623C5791" w14:textId="77777777" w:rsidR="00BC0E7E" w:rsidRPr="00BC0E7E" w:rsidRDefault="00944B8F" w:rsidP="00BC0E7E">
      <w:pPr>
        <w:keepNext/>
        <w:rPr>
          <w:szCs w:val="22"/>
          <w:lang w:eastAsia="en-GB"/>
        </w:rPr>
      </w:pPr>
      <w:r w:rsidRPr="00BC0E7E">
        <w:rPr>
          <w:szCs w:val="22"/>
          <w:lang w:eastAsia="en-GB"/>
        </w:rPr>
        <w:t xml:space="preserve">Date of latest renewal: 08 September 2008 </w:t>
      </w:r>
    </w:p>
    <w:p w14:paraId="3FF8337D" w14:textId="77777777" w:rsidR="00BC0E7E" w:rsidRPr="00BC0E7E" w:rsidRDefault="00BC0E7E" w:rsidP="00BC0E7E">
      <w:pPr>
        <w:rPr>
          <w:szCs w:val="22"/>
          <w:lang w:eastAsia="en-GB"/>
        </w:rPr>
      </w:pPr>
    </w:p>
    <w:p w14:paraId="2FDC05C6" w14:textId="77777777" w:rsidR="00BC0E7E" w:rsidRPr="00BC0E7E" w:rsidRDefault="00BC0E7E" w:rsidP="00BC0E7E">
      <w:pPr>
        <w:rPr>
          <w:szCs w:val="22"/>
        </w:rPr>
      </w:pPr>
    </w:p>
    <w:p w14:paraId="26D63BB9" w14:textId="77777777" w:rsidR="00BC0E7E" w:rsidRPr="00BC0E7E" w:rsidRDefault="00944B8F" w:rsidP="00BC0E7E">
      <w:pPr>
        <w:outlineLvl w:val="0"/>
        <w:rPr>
          <w:b/>
          <w:caps/>
          <w:szCs w:val="20"/>
        </w:rPr>
      </w:pPr>
      <w:r w:rsidRPr="00BC0E7E">
        <w:rPr>
          <w:b/>
          <w:caps/>
          <w:szCs w:val="20"/>
        </w:rPr>
        <w:t>10.</w:t>
      </w:r>
      <w:r w:rsidRPr="00BC0E7E">
        <w:rPr>
          <w:b/>
          <w:caps/>
          <w:szCs w:val="20"/>
        </w:rPr>
        <w:tab/>
        <w:t>DATE OF REVISION OF THE TEXT</w:t>
      </w:r>
    </w:p>
    <w:p w14:paraId="03BDE3EE" w14:textId="77777777" w:rsidR="00BC0E7E" w:rsidRPr="00BC0E7E" w:rsidRDefault="00BC0E7E" w:rsidP="00BC0E7E">
      <w:pPr>
        <w:rPr>
          <w:szCs w:val="20"/>
        </w:rPr>
      </w:pPr>
    </w:p>
    <w:p w14:paraId="26DDCC06" w14:textId="77777777" w:rsidR="00BC0E7E" w:rsidRPr="00BC0E7E" w:rsidRDefault="00944B8F" w:rsidP="00BC0E7E">
      <w:pPr>
        <w:rPr>
          <w:szCs w:val="20"/>
        </w:rPr>
      </w:pPr>
      <w:r w:rsidRPr="00BC0E7E">
        <w:rPr>
          <w:bCs/>
          <w:szCs w:val="20"/>
        </w:rPr>
        <w:t xml:space="preserve">Detailed information on this medicinal product is available on the website of the European Medicines Agency </w:t>
      </w:r>
      <w:ins w:id="8498" w:author="AbbVie19" w:date="2025-04-17T11:10:00Z">
        <w:r w:rsidR="00E27926">
          <w:rPr>
            <w:bCs/>
            <w:szCs w:val="20"/>
          </w:rPr>
          <w:fldChar w:fldCharType="begin"/>
        </w:r>
        <w:r w:rsidR="00E27926">
          <w:rPr>
            <w:bCs/>
            <w:szCs w:val="20"/>
          </w:rPr>
          <w:instrText>HYPERLINK "</w:instrText>
        </w:r>
      </w:ins>
      <w:r w:rsidR="00E27926" w:rsidRPr="00671233">
        <w:rPr>
          <w:rStyle w:val="Hyperlink"/>
          <w:bCs/>
          <w:szCs w:val="20"/>
        </w:rPr>
        <w:instrText>http</w:instrText>
      </w:r>
      <w:ins w:id="8499" w:author="AbbVie19" w:date="2025-04-17T11:09:00Z">
        <w:r w:rsidR="00E27926" w:rsidRPr="00671233">
          <w:rPr>
            <w:rStyle w:val="Hyperlink"/>
            <w:bCs/>
            <w:szCs w:val="20"/>
          </w:rPr>
          <w:instrText>s</w:instrText>
        </w:r>
      </w:ins>
      <w:r w:rsidR="00E27926" w:rsidRPr="00671233">
        <w:rPr>
          <w:rStyle w:val="Hyperlink"/>
          <w:bCs/>
          <w:szCs w:val="20"/>
        </w:rPr>
        <w:instrText>://www.ema.europa.eu</w:instrText>
      </w:r>
      <w:ins w:id="8500" w:author="AbbVie19" w:date="2025-04-17T11:10:00Z">
        <w:r w:rsidR="00E27926">
          <w:rPr>
            <w:bCs/>
            <w:szCs w:val="20"/>
          </w:rPr>
          <w:instrText>"</w:instrText>
        </w:r>
        <w:r w:rsidR="00E27926">
          <w:rPr>
            <w:bCs/>
            <w:szCs w:val="20"/>
          </w:rPr>
        </w:r>
        <w:r w:rsidR="00E27926">
          <w:rPr>
            <w:bCs/>
            <w:szCs w:val="20"/>
          </w:rPr>
          <w:fldChar w:fldCharType="separate"/>
        </w:r>
      </w:ins>
      <w:r w:rsidR="00E27926" w:rsidRPr="00E27926">
        <w:rPr>
          <w:rStyle w:val="Hyperlink"/>
          <w:bCs/>
          <w:szCs w:val="20"/>
        </w:rPr>
        <w:t>http</w:t>
      </w:r>
      <w:ins w:id="8501" w:author="AbbVie19" w:date="2025-04-17T11:09:00Z">
        <w:r w:rsidR="00E27926" w:rsidRPr="00E27926">
          <w:rPr>
            <w:rStyle w:val="Hyperlink"/>
            <w:bCs/>
            <w:szCs w:val="20"/>
          </w:rPr>
          <w:t>s</w:t>
        </w:r>
      </w:ins>
      <w:r w:rsidR="00E27926" w:rsidRPr="00E27926">
        <w:rPr>
          <w:rStyle w:val="Hyperlink"/>
          <w:bCs/>
          <w:szCs w:val="20"/>
        </w:rPr>
        <w:t>://www.ema.europa.eu</w:t>
      </w:r>
      <w:ins w:id="8502" w:author="AbbVie19" w:date="2025-04-17T11:10:00Z">
        <w:r w:rsidR="00E27926">
          <w:rPr>
            <w:bCs/>
            <w:szCs w:val="20"/>
          </w:rPr>
          <w:fldChar w:fldCharType="end"/>
        </w:r>
      </w:ins>
    </w:p>
    <w:p w14:paraId="25E8BC40" w14:textId="77777777" w:rsidR="00BC0E7E" w:rsidRPr="00BC0E7E" w:rsidRDefault="00944B8F" w:rsidP="00BC0E7E">
      <w:pPr>
        <w:outlineLvl w:val="0"/>
        <w:rPr>
          <w:b/>
          <w:caps/>
          <w:szCs w:val="20"/>
        </w:rPr>
      </w:pPr>
      <w:r w:rsidRPr="00BC0E7E">
        <w:rPr>
          <w:rFonts w:ascii="Times New Roman Bold" w:hAnsi="Times New Roman Bold"/>
          <w:b/>
          <w:caps/>
          <w:szCs w:val="20"/>
        </w:rPr>
        <w:br w:type="page"/>
      </w:r>
      <w:r w:rsidRPr="00BC0E7E">
        <w:rPr>
          <w:b/>
          <w:caps/>
          <w:szCs w:val="20"/>
        </w:rPr>
        <w:lastRenderedPageBreak/>
        <w:t>1.</w:t>
      </w:r>
      <w:r w:rsidRPr="00BC0E7E">
        <w:rPr>
          <w:b/>
          <w:caps/>
          <w:szCs w:val="20"/>
        </w:rPr>
        <w:tab/>
        <w:t xml:space="preserve">NAME OF THE MEDICINAL PRODUCT </w:t>
      </w:r>
    </w:p>
    <w:p w14:paraId="6C8AB452" w14:textId="77777777" w:rsidR="00BC0E7E" w:rsidRPr="00BC0E7E" w:rsidRDefault="00BC0E7E" w:rsidP="00BC0E7E">
      <w:pPr>
        <w:rPr>
          <w:szCs w:val="20"/>
        </w:rPr>
      </w:pPr>
    </w:p>
    <w:p w14:paraId="20349C29" w14:textId="77777777" w:rsidR="00BC0E7E" w:rsidRPr="00BC0E7E" w:rsidRDefault="00944B8F" w:rsidP="00BC0E7E">
      <w:pPr>
        <w:tabs>
          <w:tab w:val="clear" w:pos="562"/>
        </w:tabs>
      </w:pPr>
      <w:r w:rsidRPr="00BC0E7E">
        <w:t>Humira 80 mg solution for injection in pre-filled syringe</w:t>
      </w:r>
    </w:p>
    <w:p w14:paraId="1D5799CD" w14:textId="77777777" w:rsidR="00BC0E7E" w:rsidRPr="00BC0E7E" w:rsidRDefault="00944B8F" w:rsidP="00BC0E7E">
      <w:pPr>
        <w:tabs>
          <w:tab w:val="clear" w:pos="562"/>
        </w:tabs>
      </w:pPr>
      <w:r w:rsidRPr="00BC0E7E">
        <w:t>Humira 80 mg solution for injection in pre-filled pen</w:t>
      </w:r>
    </w:p>
    <w:p w14:paraId="44B41D32" w14:textId="77777777" w:rsidR="00BC0E7E" w:rsidRPr="00BC0E7E" w:rsidRDefault="00BC0E7E" w:rsidP="00BC0E7E">
      <w:pPr>
        <w:tabs>
          <w:tab w:val="clear" w:pos="562"/>
        </w:tabs>
      </w:pPr>
    </w:p>
    <w:p w14:paraId="4CD0EB31" w14:textId="77777777" w:rsidR="00BC0E7E" w:rsidRPr="00BC0E7E" w:rsidRDefault="00BC0E7E" w:rsidP="00BC0E7E">
      <w:pPr>
        <w:tabs>
          <w:tab w:val="clear" w:pos="562"/>
        </w:tabs>
      </w:pPr>
    </w:p>
    <w:p w14:paraId="05DBA373" w14:textId="77777777" w:rsidR="00BC0E7E" w:rsidRPr="00BC0E7E" w:rsidRDefault="00944B8F" w:rsidP="00BC0E7E">
      <w:pPr>
        <w:outlineLvl w:val="0"/>
        <w:rPr>
          <w:b/>
          <w:caps/>
          <w:szCs w:val="20"/>
        </w:rPr>
      </w:pPr>
      <w:r w:rsidRPr="00BC0E7E">
        <w:rPr>
          <w:b/>
          <w:caps/>
          <w:szCs w:val="20"/>
        </w:rPr>
        <w:t>2.</w:t>
      </w:r>
      <w:r w:rsidRPr="00BC0E7E">
        <w:rPr>
          <w:b/>
          <w:caps/>
          <w:szCs w:val="20"/>
        </w:rPr>
        <w:tab/>
        <w:t xml:space="preserve">QUALITATIVE AND QUANTITATIVE COMPOSITION </w:t>
      </w:r>
    </w:p>
    <w:p w14:paraId="561A34CA" w14:textId="77777777" w:rsidR="00BC0E7E" w:rsidRPr="00BC0E7E" w:rsidRDefault="00BC0E7E" w:rsidP="00BC0E7E">
      <w:pPr>
        <w:tabs>
          <w:tab w:val="clear" w:pos="562"/>
        </w:tabs>
        <w:rPr>
          <w:u w:val="single"/>
        </w:rPr>
      </w:pPr>
    </w:p>
    <w:p w14:paraId="46680432" w14:textId="77777777" w:rsidR="00BC0E7E" w:rsidRPr="00BC0E7E" w:rsidRDefault="00944B8F" w:rsidP="00BC0E7E">
      <w:pPr>
        <w:autoSpaceDE w:val="0"/>
        <w:autoSpaceDN w:val="0"/>
        <w:adjustRightInd w:val="0"/>
        <w:rPr>
          <w:u w:val="single"/>
        </w:rPr>
      </w:pPr>
      <w:r w:rsidRPr="00BC0E7E">
        <w:rPr>
          <w:u w:val="single"/>
        </w:rPr>
        <w:t xml:space="preserve">Humira 80 mg solution for injection in pre-filled syringe </w:t>
      </w:r>
    </w:p>
    <w:p w14:paraId="1F75D1B3" w14:textId="77777777" w:rsidR="00BC0E7E" w:rsidRPr="00BC0E7E" w:rsidRDefault="00944B8F" w:rsidP="00BC0E7E">
      <w:pPr>
        <w:autoSpaceDE w:val="0"/>
        <w:autoSpaceDN w:val="0"/>
        <w:adjustRightInd w:val="0"/>
      </w:pPr>
      <w:r w:rsidRPr="00BC0E7E">
        <w:t xml:space="preserve">Each 0.8 ml single dose pre-filled syringe contains 80 mg of adalimumab. </w:t>
      </w:r>
    </w:p>
    <w:p w14:paraId="05FA8A36" w14:textId="77777777" w:rsidR="00BC0E7E" w:rsidRPr="00BC0E7E" w:rsidRDefault="00BC0E7E" w:rsidP="00BC0E7E">
      <w:pPr>
        <w:autoSpaceDE w:val="0"/>
        <w:autoSpaceDN w:val="0"/>
        <w:adjustRightInd w:val="0"/>
      </w:pPr>
    </w:p>
    <w:p w14:paraId="7794E659" w14:textId="77777777" w:rsidR="006B3EA7" w:rsidRDefault="006B3EA7" w:rsidP="006B3EA7">
      <w:pPr>
        <w:tabs>
          <w:tab w:val="clear" w:pos="562"/>
        </w:tabs>
        <w:rPr>
          <w:u w:val="single"/>
        </w:rPr>
      </w:pPr>
    </w:p>
    <w:p w14:paraId="2655CF08" w14:textId="77777777" w:rsidR="00BC0E7E" w:rsidRPr="00BC0E7E" w:rsidRDefault="00944B8F" w:rsidP="00BC0E7E">
      <w:pPr>
        <w:tabs>
          <w:tab w:val="clear" w:pos="562"/>
        </w:tabs>
        <w:rPr>
          <w:u w:val="single"/>
        </w:rPr>
      </w:pPr>
      <w:r w:rsidRPr="00BC0E7E">
        <w:rPr>
          <w:u w:val="single"/>
        </w:rPr>
        <w:t>Humira 80 mg solution for injection in pre-filled pen</w:t>
      </w:r>
    </w:p>
    <w:p w14:paraId="44F4328F" w14:textId="77777777" w:rsidR="00BC0E7E" w:rsidRPr="00BC0E7E" w:rsidRDefault="00944B8F" w:rsidP="00BC0E7E">
      <w:pPr>
        <w:autoSpaceDE w:val="0"/>
        <w:autoSpaceDN w:val="0"/>
        <w:adjustRightInd w:val="0"/>
      </w:pPr>
      <w:r w:rsidRPr="00BC0E7E">
        <w:t xml:space="preserve">Each 0.8 ml single dose pre-filled pen contains 80 mg of adalimumab. </w:t>
      </w:r>
    </w:p>
    <w:p w14:paraId="67446AD1" w14:textId="77777777" w:rsidR="00BC0E7E" w:rsidRPr="00BC0E7E" w:rsidRDefault="00BC0E7E" w:rsidP="00BC0E7E">
      <w:pPr>
        <w:autoSpaceDE w:val="0"/>
        <w:autoSpaceDN w:val="0"/>
        <w:adjustRightInd w:val="0"/>
      </w:pPr>
    </w:p>
    <w:p w14:paraId="46C2D015" w14:textId="77777777" w:rsidR="00BC0E7E" w:rsidRDefault="00944B8F" w:rsidP="00BC0E7E">
      <w:pPr>
        <w:autoSpaceDE w:val="0"/>
        <w:autoSpaceDN w:val="0"/>
        <w:adjustRightInd w:val="0"/>
        <w:rPr>
          <w:ins w:id="8503" w:author="AbbVie19" w:date="2025-04-17T10:30:00Z"/>
        </w:rPr>
      </w:pPr>
      <w:r w:rsidRPr="00BC0E7E">
        <w:t xml:space="preserve">Adalimumab is a recombinant human monoclonal antibody </w:t>
      </w:r>
      <w:r w:rsidR="00930CBB">
        <w:t>produced</w:t>
      </w:r>
      <w:r w:rsidR="00930CBB" w:rsidRPr="002A3533">
        <w:t xml:space="preserve"> </w:t>
      </w:r>
      <w:r w:rsidRPr="00BC0E7E">
        <w:t>in Chinese Hamster Ovary cells.</w:t>
      </w:r>
    </w:p>
    <w:p w14:paraId="3AB58EA5" w14:textId="77777777" w:rsidR="008F274C" w:rsidRDefault="008F274C" w:rsidP="00BC0E7E">
      <w:pPr>
        <w:autoSpaceDE w:val="0"/>
        <w:autoSpaceDN w:val="0"/>
        <w:adjustRightInd w:val="0"/>
        <w:rPr>
          <w:ins w:id="8504" w:author="AbbVie19" w:date="2025-04-17T10:30:00Z"/>
        </w:rPr>
      </w:pPr>
    </w:p>
    <w:p w14:paraId="622E21B0" w14:textId="77777777" w:rsidR="008F274C" w:rsidRPr="00B364D7" w:rsidRDefault="00944B8F" w:rsidP="008F274C">
      <w:pPr>
        <w:rPr>
          <w:ins w:id="8505" w:author="AbbVie19" w:date="2025-04-17T10:30:00Z"/>
          <w:szCs w:val="22"/>
          <w:u w:val="single"/>
        </w:rPr>
      </w:pPr>
      <w:ins w:id="8506" w:author="AbbVie19" w:date="2025-04-17T10:30:00Z">
        <w:r w:rsidRPr="00B364D7">
          <w:rPr>
            <w:szCs w:val="22"/>
            <w:u w:val="single"/>
          </w:rPr>
          <w:t>Excipients with known effect</w:t>
        </w:r>
      </w:ins>
      <w:r w:rsidR="001D775D">
        <w:rPr>
          <w:szCs w:val="22"/>
          <w:u w:val="single"/>
        </w:rPr>
        <w:t xml:space="preserve"> </w:t>
      </w:r>
    </w:p>
    <w:p w14:paraId="1ECF3D4C" w14:textId="77777777" w:rsidR="008F274C" w:rsidRPr="00B364D7" w:rsidRDefault="008F274C" w:rsidP="008F274C">
      <w:pPr>
        <w:rPr>
          <w:ins w:id="8507" w:author="AbbVie19" w:date="2025-04-17T10:30:00Z"/>
          <w:szCs w:val="22"/>
          <w:u w:val="single"/>
        </w:rPr>
      </w:pPr>
    </w:p>
    <w:p w14:paraId="0F6F56B7" w14:textId="18F1FCF9" w:rsidR="008F274C" w:rsidRPr="00AA4A2A" w:rsidRDefault="00944B8F" w:rsidP="008F274C">
      <w:pPr>
        <w:numPr>
          <w:ilvl w:val="12"/>
          <w:numId w:val="0"/>
        </w:numPr>
        <w:tabs>
          <w:tab w:val="clear" w:pos="562"/>
        </w:tabs>
        <w:ind w:right="-2"/>
        <w:rPr>
          <w:ins w:id="8508" w:author="AbbVie19" w:date="2025-04-17T10:30:00Z"/>
          <w:szCs w:val="22"/>
        </w:rPr>
      </w:pPr>
      <w:ins w:id="8509" w:author="AbbVie19" w:date="2025-04-17T10:30:00Z">
        <w:r w:rsidRPr="00B364D7">
          <w:rPr>
            <w:szCs w:val="22"/>
          </w:rPr>
          <w:t>This medicinal product contains</w:t>
        </w:r>
      </w:ins>
      <w:ins w:id="8510" w:author="AbbVie19" w:date="2025-05-06T09:09:00Z">
        <w:r w:rsidR="00671233">
          <w:rPr>
            <w:szCs w:val="22"/>
          </w:rPr>
          <w:t xml:space="preserve"> 0.8</w:t>
        </w:r>
      </w:ins>
      <w:ins w:id="8511" w:author="AbbVie15" w:date="2025-08-27T10:22:00Z">
        <w:r w:rsidR="00762FA7">
          <w:rPr>
            <w:szCs w:val="22"/>
          </w:rPr>
          <w:t> </w:t>
        </w:r>
      </w:ins>
      <w:ins w:id="8512" w:author="AbbVie19" w:date="2025-04-17T10:30:00Z">
        <w:r w:rsidRPr="00B364D7">
          <w:rPr>
            <w:szCs w:val="22"/>
          </w:rPr>
          <w:t>mg of polysorbate </w:t>
        </w:r>
        <w:r>
          <w:rPr>
            <w:szCs w:val="22"/>
          </w:rPr>
          <w:t>8</w:t>
        </w:r>
        <w:r w:rsidRPr="00B364D7">
          <w:rPr>
            <w:szCs w:val="22"/>
          </w:rPr>
          <w:t>0 in each</w:t>
        </w:r>
      </w:ins>
      <w:ins w:id="8513" w:author="AbbVie19" w:date="2025-05-06T09:09:00Z">
        <w:r w:rsidR="00671233">
          <w:rPr>
            <w:szCs w:val="22"/>
          </w:rPr>
          <w:t xml:space="preserve"> 80</w:t>
        </w:r>
      </w:ins>
      <w:ins w:id="8514" w:author="AbbVie15" w:date="2025-08-27T10:22:00Z">
        <w:r w:rsidR="00762FA7">
          <w:rPr>
            <w:szCs w:val="22"/>
          </w:rPr>
          <w:t> </w:t>
        </w:r>
      </w:ins>
      <w:ins w:id="8515" w:author="AbbVie19" w:date="2025-05-06T09:09:00Z">
        <w:r w:rsidR="00671233">
          <w:rPr>
            <w:szCs w:val="22"/>
          </w:rPr>
          <w:t>mg</w:t>
        </w:r>
      </w:ins>
      <w:ins w:id="8516" w:author="AbbVie19" w:date="2025-04-17T10:30:00Z">
        <w:r w:rsidRPr="00B364D7">
          <w:rPr>
            <w:szCs w:val="22"/>
          </w:rPr>
          <w:t xml:space="preserve"> </w:t>
        </w:r>
        <w:r>
          <w:rPr>
            <w:szCs w:val="22"/>
          </w:rPr>
          <w:t>dose.</w:t>
        </w:r>
      </w:ins>
    </w:p>
    <w:p w14:paraId="3D5E769C" w14:textId="77777777" w:rsidR="008F274C" w:rsidRPr="00BC0E7E" w:rsidRDefault="008F274C" w:rsidP="00BC0E7E">
      <w:pPr>
        <w:autoSpaceDE w:val="0"/>
        <w:autoSpaceDN w:val="0"/>
        <w:adjustRightInd w:val="0"/>
      </w:pPr>
    </w:p>
    <w:p w14:paraId="6BF90720" w14:textId="77777777" w:rsidR="00BC0E7E" w:rsidRPr="00BC0E7E" w:rsidRDefault="00BC0E7E" w:rsidP="00BC0E7E">
      <w:pPr>
        <w:autoSpaceDE w:val="0"/>
        <w:autoSpaceDN w:val="0"/>
        <w:adjustRightInd w:val="0"/>
      </w:pPr>
    </w:p>
    <w:p w14:paraId="4B934944" w14:textId="77777777" w:rsidR="00BC0E7E" w:rsidRPr="00BC0E7E" w:rsidRDefault="00944B8F" w:rsidP="00BC0E7E">
      <w:pPr>
        <w:tabs>
          <w:tab w:val="clear" w:pos="562"/>
        </w:tabs>
      </w:pPr>
      <w:r w:rsidRPr="00BC0E7E">
        <w:t xml:space="preserve">For the full list of excipients, see section 6.1. </w:t>
      </w:r>
    </w:p>
    <w:p w14:paraId="6C6E8C3E" w14:textId="77777777" w:rsidR="00BC0E7E" w:rsidRPr="00BC0E7E" w:rsidRDefault="00BC0E7E" w:rsidP="00BC0E7E">
      <w:pPr>
        <w:tabs>
          <w:tab w:val="clear" w:pos="562"/>
        </w:tabs>
      </w:pPr>
    </w:p>
    <w:p w14:paraId="68071EDB" w14:textId="77777777" w:rsidR="00BC0E7E" w:rsidRPr="00BC0E7E" w:rsidRDefault="00BC0E7E" w:rsidP="00BC0E7E">
      <w:pPr>
        <w:tabs>
          <w:tab w:val="clear" w:pos="562"/>
        </w:tabs>
      </w:pPr>
    </w:p>
    <w:p w14:paraId="7437ACF8" w14:textId="77777777" w:rsidR="00BC0E7E" w:rsidRPr="00BC0E7E" w:rsidRDefault="00944B8F" w:rsidP="00BC0E7E">
      <w:pPr>
        <w:outlineLvl w:val="0"/>
        <w:rPr>
          <w:b/>
          <w:szCs w:val="20"/>
        </w:rPr>
      </w:pPr>
      <w:r w:rsidRPr="00BC0E7E">
        <w:rPr>
          <w:b/>
          <w:caps/>
          <w:szCs w:val="20"/>
        </w:rPr>
        <w:t>3.</w:t>
      </w:r>
      <w:r w:rsidRPr="00BC0E7E">
        <w:rPr>
          <w:b/>
          <w:caps/>
          <w:szCs w:val="20"/>
        </w:rPr>
        <w:tab/>
        <w:t xml:space="preserve">PHARMACEUTICAL </w:t>
      </w:r>
      <w:r w:rsidRPr="00BC0E7E">
        <w:rPr>
          <w:b/>
          <w:szCs w:val="20"/>
        </w:rPr>
        <w:t xml:space="preserve">FORM </w:t>
      </w:r>
    </w:p>
    <w:p w14:paraId="16F39823" w14:textId="77777777" w:rsidR="00BC0E7E" w:rsidRPr="00BC0E7E" w:rsidRDefault="00BC0E7E" w:rsidP="00BC0E7E">
      <w:pPr>
        <w:rPr>
          <w:szCs w:val="20"/>
        </w:rPr>
      </w:pPr>
    </w:p>
    <w:p w14:paraId="1A203BE0" w14:textId="77777777" w:rsidR="00BC0E7E" w:rsidRPr="00BC0E7E" w:rsidRDefault="00944B8F" w:rsidP="00BC0E7E">
      <w:pPr>
        <w:tabs>
          <w:tab w:val="clear" w:pos="562"/>
        </w:tabs>
      </w:pPr>
      <w:r w:rsidRPr="00BC0E7E">
        <w:t>Solution for injection.</w:t>
      </w:r>
      <w:r w:rsidR="00930CBB">
        <w:t xml:space="preserve"> (injection)</w:t>
      </w:r>
    </w:p>
    <w:p w14:paraId="61A5CCF3" w14:textId="77777777" w:rsidR="00BC0E7E" w:rsidRPr="00BC0E7E" w:rsidRDefault="00944B8F" w:rsidP="00BC0E7E">
      <w:pPr>
        <w:tabs>
          <w:tab w:val="clear" w:pos="562"/>
        </w:tabs>
      </w:pPr>
      <w:r w:rsidRPr="00BC0E7E">
        <w:t xml:space="preserve">Clear, colourless solution. </w:t>
      </w:r>
    </w:p>
    <w:p w14:paraId="30B4788B" w14:textId="77777777" w:rsidR="00BC0E7E" w:rsidRPr="00BC0E7E" w:rsidRDefault="00BC0E7E" w:rsidP="00BC0E7E">
      <w:pPr>
        <w:tabs>
          <w:tab w:val="clear" w:pos="562"/>
        </w:tabs>
      </w:pPr>
    </w:p>
    <w:p w14:paraId="1681466A" w14:textId="77777777" w:rsidR="00BC0E7E" w:rsidRPr="00BC0E7E" w:rsidRDefault="00BC0E7E" w:rsidP="00BC0E7E">
      <w:pPr>
        <w:tabs>
          <w:tab w:val="clear" w:pos="562"/>
        </w:tabs>
      </w:pPr>
    </w:p>
    <w:p w14:paraId="787702C8" w14:textId="77777777" w:rsidR="00BC0E7E" w:rsidRPr="00BC0E7E" w:rsidRDefault="00944B8F" w:rsidP="00BC0E7E">
      <w:pPr>
        <w:outlineLvl w:val="0"/>
        <w:rPr>
          <w:b/>
          <w:caps/>
          <w:szCs w:val="20"/>
        </w:rPr>
      </w:pPr>
      <w:r w:rsidRPr="00BC0E7E">
        <w:rPr>
          <w:b/>
          <w:szCs w:val="20"/>
        </w:rPr>
        <w:t>4.</w:t>
      </w:r>
      <w:r w:rsidRPr="00BC0E7E">
        <w:rPr>
          <w:b/>
          <w:szCs w:val="20"/>
        </w:rPr>
        <w:tab/>
        <w:t>CLINICAL PARTICULARS</w:t>
      </w:r>
    </w:p>
    <w:p w14:paraId="08B2AE4B" w14:textId="77777777" w:rsidR="00BC0E7E" w:rsidRPr="00BC0E7E" w:rsidRDefault="00BC0E7E" w:rsidP="00BC0E7E">
      <w:pPr>
        <w:rPr>
          <w:szCs w:val="20"/>
        </w:rPr>
      </w:pPr>
    </w:p>
    <w:p w14:paraId="49D51BA2" w14:textId="77777777" w:rsidR="00BC0E7E" w:rsidRPr="00BC0E7E" w:rsidRDefault="00944B8F" w:rsidP="00BC0E7E">
      <w:pPr>
        <w:suppressAutoHyphens w:val="0"/>
        <w:outlineLvl w:val="1"/>
        <w:rPr>
          <w:b/>
          <w:szCs w:val="20"/>
        </w:rPr>
      </w:pPr>
      <w:r w:rsidRPr="00BC0E7E">
        <w:rPr>
          <w:b/>
          <w:szCs w:val="20"/>
        </w:rPr>
        <w:t>4.1</w:t>
      </w:r>
      <w:r w:rsidRPr="00BC0E7E">
        <w:rPr>
          <w:b/>
          <w:szCs w:val="20"/>
        </w:rPr>
        <w:tab/>
        <w:t xml:space="preserve">Therapeutic indications </w:t>
      </w:r>
    </w:p>
    <w:p w14:paraId="0F91EC06" w14:textId="77777777" w:rsidR="00BC0E7E" w:rsidRDefault="00BC0E7E" w:rsidP="00BC0E7E">
      <w:pPr>
        <w:rPr>
          <w:szCs w:val="20"/>
        </w:rPr>
      </w:pPr>
    </w:p>
    <w:p w14:paraId="6C18514F" w14:textId="77777777" w:rsidR="00AB637F" w:rsidRPr="00BC0E7E" w:rsidRDefault="00944B8F" w:rsidP="00AB637F">
      <w:pPr>
        <w:rPr>
          <w:szCs w:val="20"/>
          <w:u w:val="single"/>
        </w:rPr>
      </w:pPr>
      <w:r w:rsidRPr="00BC0E7E">
        <w:rPr>
          <w:szCs w:val="20"/>
          <w:u w:val="single"/>
        </w:rPr>
        <w:t>Rheumatoid arthritis</w:t>
      </w:r>
    </w:p>
    <w:p w14:paraId="7BF42733" w14:textId="77777777" w:rsidR="00AB637F" w:rsidRPr="00BC0E7E" w:rsidRDefault="00AB637F" w:rsidP="00AB637F">
      <w:pPr>
        <w:rPr>
          <w:szCs w:val="20"/>
        </w:rPr>
      </w:pPr>
    </w:p>
    <w:p w14:paraId="6090D81F" w14:textId="77777777" w:rsidR="00AB637F" w:rsidRPr="00BC0E7E" w:rsidRDefault="00944B8F" w:rsidP="00AB637F">
      <w:pPr>
        <w:tabs>
          <w:tab w:val="clear" w:pos="562"/>
        </w:tabs>
      </w:pPr>
      <w:r w:rsidRPr="00BC0E7E">
        <w:t>Humira in combination with methotrexate, is indicated for:</w:t>
      </w:r>
    </w:p>
    <w:p w14:paraId="2FBFFC32" w14:textId="77777777" w:rsidR="00AB637F" w:rsidRPr="00BC0E7E" w:rsidRDefault="00AB637F" w:rsidP="00AB637F">
      <w:pPr>
        <w:tabs>
          <w:tab w:val="clear" w:pos="562"/>
        </w:tabs>
      </w:pPr>
    </w:p>
    <w:p w14:paraId="733AE952" w14:textId="77777777" w:rsidR="00AB637F" w:rsidRPr="00BC0E7E" w:rsidRDefault="00944B8F" w:rsidP="00AB637F">
      <w:pPr>
        <w:numPr>
          <w:ilvl w:val="0"/>
          <w:numId w:val="16"/>
        </w:numPr>
        <w:tabs>
          <w:tab w:val="clear" w:pos="562"/>
          <w:tab w:val="clear" w:pos="720"/>
          <w:tab w:val="num" w:pos="550"/>
        </w:tabs>
        <w:ind w:left="550" w:hanging="550"/>
      </w:pPr>
      <w:r w:rsidRPr="00BC0E7E">
        <w:t>the treatment of moderate to severe, active rheumatoid arthritis in adult patients when the response to disease-modifying anti-rheumatic drugs including methotrexate has been inadequate.</w:t>
      </w:r>
    </w:p>
    <w:p w14:paraId="3615E2DB" w14:textId="77777777" w:rsidR="00AB637F" w:rsidRPr="00BC0E7E" w:rsidRDefault="00944B8F" w:rsidP="00AB637F">
      <w:pPr>
        <w:numPr>
          <w:ilvl w:val="0"/>
          <w:numId w:val="16"/>
        </w:numPr>
        <w:tabs>
          <w:tab w:val="clear" w:pos="562"/>
          <w:tab w:val="clear" w:pos="720"/>
          <w:tab w:val="num" w:pos="550"/>
        </w:tabs>
        <w:ind w:left="550" w:hanging="550"/>
      </w:pPr>
      <w:r w:rsidRPr="00BC0E7E">
        <w:t>the treatment of severe, active and progressive rheumatoid arthritis in adults not previously treated with methotrexate.</w:t>
      </w:r>
    </w:p>
    <w:p w14:paraId="00ACACFA" w14:textId="77777777" w:rsidR="00AB637F" w:rsidRPr="00BC0E7E" w:rsidRDefault="00AB637F" w:rsidP="00AB637F">
      <w:pPr>
        <w:tabs>
          <w:tab w:val="clear" w:pos="562"/>
        </w:tabs>
      </w:pPr>
    </w:p>
    <w:p w14:paraId="7B7495E2" w14:textId="77777777" w:rsidR="00AB637F" w:rsidRPr="00BC0E7E" w:rsidRDefault="00944B8F" w:rsidP="00AB637F">
      <w:pPr>
        <w:tabs>
          <w:tab w:val="clear" w:pos="562"/>
        </w:tabs>
      </w:pPr>
      <w:r w:rsidRPr="00BC0E7E">
        <w:t>Humira can be given as monotherapy in case of intolerance to methotrexate or when continued treatment with methotrexate is inappropriate.</w:t>
      </w:r>
    </w:p>
    <w:p w14:paraId="42A6FF9B" w14:textId="77777777" w:rsidR="00AB637F" w:rsidRPr="00BC0E7E" w:rsidRDefault="00AB637F" w:rsidP="00AB637F">
      <w:pPr>
        <w:tabs>
          <w:tab w:val="clear" w:pos="562"/>
        </w:tabs>
      </w:pPr>
    </w:p>
    <w:p w14:paraId="1BA8B01B" w14:textId="77777777" w:rsidR="00AB637F" w:rsidRDefault="00944B8F" w:rsidP="00AB637F">
      <w:r w:rsidRPr="00BC0E7E">
        <w:t>Humira has been shown to reduce the rate of progression of joint damage as measured by X-ray and to improve physical function, when given in combination with methotrexate.</w:t>
      </w:r>
    </w:p>
    <w:p w14:paraId="3178CAA2" w14:textId="77777777" w:rsidR="00AB637F" w:rsidRPr="00BC0E7E" w:rsidRDefault="00AB637F" w:rsidP="00AB637F">
      <w:pPr>
        <w:rPr>
          <w:szCs w:val="20"/>
        </w:rPr>
      </w:pPr>
    </w:p>
    <w:p w14:paraId="020285FE" w14:textId="77777777" w:rsidR="00BC0E7E" w:rsidRPr="00BC0E7E" w:rsidRDefault="00944B8F" w:rsidP="00BC0E7E">
      <w:pPr>
        <w:tabs>
          <w:tab w:val="clear" w:pos="562"/>
        </w:tabs>
        <w:suppressAutoHyphens w:val="0"/>
        <w:overflowPunct w:val="0"/>
        <w:autoSpaceDE w:val="0"/>
        <w:autoSpaceDN w:val="0"/>
        <w:adjustRightInd w:val="0"/>
        <w:textAlignment w:val="baseline"/>
        <w:rPr>
          <w:bCs/>
          <w:iCs/>
          <w:szCs w:val="20"/>
          <w:u w:val="single"/>
        </w:rPr>
      </w:pPr>
      <w:r w:rsidRPr="00BC0E7E">
        <w:rPr>
          <w:bCs/>
          <w:iCs/>
          <w:szCs w:val="20"/>
          <w:u w:val="single"/>
        </w:rPr>
        <w:t>Psoriasis</w:t>
      </w:r>
    </w:p>
    <w:p w14:paraId="35DB0C49" w14:textId="77777777" w:rsidR="00BC0E7E" w:rsidRPr="007F079A" w:rsidRDefault="00BC0E7E" w:rsidP="00BC0E7E">
      <w:pPr>
        <w:tabs>
          <w:tab w:val="clear" w:pos="562"/>
        </w:tabs>
        <w:suppressAutoHyphens w:val="0"/>
        <w:overflowPunct w:val="0"/>
        <w:autoSpaceDE w:val="0"/>
        <w:autoSpaceDN w:val="0"/>
        <w:adjustRightInd w:val="0"/>
        <w:textAlignment w:val="baseline"/>
        <w:rPr>
          <w:iCs/>
          <w:szCs w:val="20"/>
        </w:rPr>
      </w:pPr>
    </w:p>
    <w:p w14:paraId="2F730A0A" w14:textId="77777777" w:rsidR="00BC0E7E" w:rsidRPr="00BC0E7E" w:rsidRDefault="00944B8F" w:rsidP="00BC0E7E">
      <w:pPr>
        <w:rPr>
          <w:szCs w:val="20"/>
        </w:rPr>
      </w:pPr>
      <w:r w:rsidRPr="00BC0E7E">
        <w:rPr>
          <w:szCs w:val="20"/>
        </w:rPr>
        <w:lastRenderedPageBreak/>
        <w:t>Humira is indicated for the treatment of moderate to severe chronic plaque psoriasis in adult patients who are candidates for systemic therapy.</w:t>
      </w:r>
    </w:p>
    <w:p w14:paraId="6B54F0FB" w14:textId="77777777" w:rsidR="00BC0E7E" w:rsidRPr="00BC0E7E" w:rsidRDefault="00BC0E7E" w:rsidP="00BC0E7E">
      <w:pPr>
        <w:rPr>
          <w:szCs w:val="20"/>
          <w:u w:val="single"/>
        </w:rPr>
      </w:pPr>
    </w:p>
    <w:p w14:paraId="34ADB4BC" w14:textId="77777777" w:rsidR="00BC0E7E" w:rsidRPr="00BC0E7E" w:rsidRDefault="00944B8F" w:rsidP="007F079A">
      <w:pPr>
        <w:keepNext/>
        <w:rPr>
          <w:szCs w:val="20"/>
          <w:u w:val="single"/>
        </w:rPr>
      </w:pPr>
      <w:r w:rsidRPr="00BC0E7E">
        <w:rPr>
          <w:szCs w:val="20"/>
          <w:u w:val="single"/>
        </w:rPr>
        <w:t>Hidradenitis suppurativa (HS)</w:t>
      </w:r>
    </w:p>
    <w:p w14:paraId="06FB6B57" w14:textId="77777777" w:rsidR="00BC0E7E" w:rsidRPr="00BC0E7E" w:rsidRDefault="00BC0E7E" w:rsidP="007F079A">
      <w:pPr>
        <w:keepNext/>
        <w:rPr>
          <w:szCs w:val="20"/>
          <w:u w:val="single"/>
        </w:rPr>
      </w:pPr>
    </w:p>
    <w:p w14:paraId="76519051" w14:textId="77777777" w:rsidR="00BC0E7E" w:rsidRPr="00BC0E7E" w:rsidRDefault="00944B8F" w:rsidP="007F079A">
      <w:pPr>
        <w:keepNext/>
        <w:rPr>
          <w:szCs w:val="20"/>
        </w:rPr>
      </w:pPr>
      <w:r w:rsidRPr="00BC0E7E">
        <w:rPr>
          <w:szCs w:val="20"/>
        </w:rPr>
        <w:t>Humira is indicated for the treatment of active moderate to severe hidradenitis suppurativa (acne inversa) in adults and adolescents from 12 years of age with an inadequate response to conventional systemic HS therapy (see sections 5.1 and 5.2).</w:t>
      </w:r>
    </w:p>
    <w:p w14:paraId="321A579B" w14:textId="77777777" w:rsidR="00BC0E7E" w:rsidRPr="00BC0E7E" w:rsidRDefault="00BC0E7E" w:rsidP="00BC0E7E">
      <w:pPr>
        <w:rPr>
          <w:szCs w:val="20"/>
          <w:u w:val="single"/>
        </w:rPr>
      </w:pPr>
    </w:p>
    <w:p w14:paraId="379FA99B" w14:textId="77777777" w:rsidR="00BC0E7E" w:rsidRPr="00BC0E7E" w:rsidRDefault="00944B8F" w:rsidP="00BC0E7E">
      <w:pPr>
        <w:rPr>
          <w:szCs w:val="20"/>
          <w:u w:val="single"/>
        </w:rPr>
      </w:pPr>
      <w:r w:rsidRPr="00BC0E7E">
        <w:rPr>
          <w:szCs w:val="20"/>
          <w:u w:val="single"/>
        </w:rPr>
        <w:t>Crohn’s disease</w:t>
      </w:r>
    </w:p>
    <w:p w14:paraId="033A600D" w14:textId="77777777" w:rsidR="00BC0E7E" w:rsidRPr="00BC0E7E" w:rsidRDefault="00BC0E7E" w:rsidP="00BC0E7E">
      <w:pPr>
        <w:rPr>
          <w:szCs w:val="20"/>
        </w:rPr>
      </w:pPr>
    </w:p>
    <w:p w14:paraId="718383CC" w14:textId="77777777" w:rsidR="00BC0E7E" w:rsidRPr="00BC0E7E" w:rsidRDefault="00944B8F" w:rsidP="00BC0E7E">
      <w:pPr>
        <w:rPr>
          <w:szCs w:val="20"/>
        </w:rPr>
      </w:pPr>
      <w:r w:rsidRPr="00BC0E7E">
        <w:rPr>
          <w:szCs w:val="20"/>
        </w:rPr>
        <w:t xml:space="preserve">Humira is indicated for treatment of moderately to severely active Crohn’s disease, in adult patients who have not responded despite a full and adequate course of therapy with a corticosteroid and/or an immunosuppressant; or who are intolerant to or have medical contraindications for such therapies. </w:t>
      </w:r>
    </w:p>
    <w:p w14:paraId="5D642857" w14:textId="77777777" w:rsidR="00BC0E7E" w:rsidRPr="00BC0E7E" w:rsidRDefault="00BC0E7E" w:rsidP="00BC0E7E">
      <w:pPr>
        <w:rPr>
          <w:i/>
          <w:szCs w:val="22"/>
          <w:u w:val="single"/>
        </w:rPr>
      </w:pPr>
    </w:p>
    <w:p w14:paraId="666C6C7E" w14:textId="77777777" w:rsidR="00BC0E7E" w:rsidRPr="00BC0E7E" w:rsidRDefault="00944B8F" w:rsidP="00BC0E7E">
      <w:pPr>
        <w:rPr>
          <w:szCs w:val="22"/>
          <w:u w:val="single"/>
        </w:rPr>
      </w:pPr>
      <w:r w:rsidRPr="00BC0E7E">
        <w:rPr>
          <w:szCs w:val="22"/>
          <w:u w:val="single"/>
        </w:rPr>
        <w:t xml:space="preserve">Paediatric Crohn's disease </w:t>
      </w:r>
    </w:p>
    <w:p w14:paraId="688B0446" w14:textId="77777777" w:rsidR="00BC0E7E" w:rsidRPr="00BC0E7E" w:rsidRDefault="00BC0E7E" w:rsidP="00BC0E7E">
      <w:pPr>
        <w:rPr>
          <w:i/>
          <w:szCs w:val="22"/>
        </w:rPr>
      </w:pPr>
    </w:p>
    <w:p w14:paraId="382FDDDA" w14:textId="77777777" w:rsidR="00BC0E7E" w:rsidRPr="00BC0E7E" w:rsidRDefault="00944B8F" w:rsidP="00BC0E7E">
      <w:pPr>
        <w:tabs>
          <w:tab w:val="clear" w:pos="562"/>
        </w:tabs>
      </w:pPr>
      <w:r w:rsidRPr="00BC0E7E">
        <w:t>Humira is indicated for the treatment of moderately to severely active Crohn's disease in paediatric patients (from 6 years of age) who have had an inadequate response to conventional therapy including primary nutrition therapy and a corticosteroid and/or an immunomodulator, or who are intolerant to or have contraindications for such therapies.</w:t>
      </w:r>
    </w:p>
    <w:p w14:paraId="1F5EC7AB" w14:textId="77777777" w:rsidR="00BC0E7E" w:rsidRPr="00BC0E7E" w:rsidRDefault="00BC0E7E" w:rsidP="00BC0E7E">
      <w:pPr>
        <w:rPr>
          <w:szCs w:val="20"/>
        </w:rPr>
      </w:pPr>
    </w:p>
    <w:p w14:paraId="121EABF0" w14:textId="77777777" w:rsidR="00BC0E7E" w:rsidRPr="00BC0E7E" w:rsidRDefault="00944B8F" w:rsidP="00BC0E7E">
      <w:pPr>
        <w:keepNext/>
        <w:tabs>
          <w:tab w:val="clear" w:pos="562"/>
        </w:tabs>
        <w:rPr>
          <w:u w:val="single"/>
        </w:rPr>
      </w:pPr>
      <w:r w:rsidRPr="00BC0E7E">
        <w:rPr>
          <w:u w:val="single"/>
        </w:rPr>
        <w:t>Ulcerative colitis</w:t>
      </w:r>
    </w:p>
    <w:p w14:paraId="3DB6CE3C" w14:textId="77777777" w:rsidR="00BC0E7E" w:rsidRPr="00BC0E7E" w:rsidRDefault="00BC0E7E" w:rsidP="00BC0E7E">
      <w:pPr>
        <w:keepNext/>
        <w:tabs>
          <w:tab w:val="clear" w:pos="562"/>
        </w:tabs>
        <w:rPr>
          <w:u w:val="single"/>
        </w:rPr>
      </w:pPr>
    </w:p>
    <w:p w14:paraId="2912A88B" w14:textId="77777777" w:rsidR="00BC0E7E" w:rsidRPr="00BC0E7E" w:rsidRDefault="00944B8F" w:rsidP="00BC0E7E">
      <w:pPr>
        <w:rPr>
          <w:szCs w:val="20"/>
        </w:rPr>
      </w:pPr>
      <w:r w:rsidRPr="00BC0E7E">
        <w:rPr>
          <w:szCs w:val="20"/>
        </w:rPr>
        <w:t>Humira is indicated for treatment of moderately to severely active ulcerative colitis in adult patients who have had an inadequate response to conventional therapy including corticosteroids and 6</w:t>
      </w:r>
      <w:r w:rsidRPr="00BC0E7E">
        <w:rPr>
          <w:szCs w:val="20"/>
        </w:rPr>
        <w:noBreakHyphen/>
        <w:t xml:space="preserve">mercaptopurine (6-MP) or azathioprine (AZA), or who are intolerant to or have medical contraindications for such therapies. </w:t>
      </w:r>
    </w:p>
    <w:p w14:paraId="4BD8A0AE" w14:textId="77777777" w:rsidR="00BC0E7E" w:rsidRPr="00BC0E7E" w:rsidRDefault="00BC0E7E" w:rsidP="00BC0E7E">
      <w:pPr>
        <w:rPr>
          <w:szCs w:val="20"/>
        </w:rPr>
      </w:pPr>
    </w:p>
    <w:p w14:paraId="5099184A" w14:textId="77777777" w:rsidR="00A733E3" w:rsidRPr="005037B5" w:rsidRDefault="00944B8F" w:rsidP="00A733E3">
      <w:pPr>
        <w:rPr>
          <w:szCs w:val="20"/>
          <w:u w:val="single"/>
        </w:rPr>
      </w:pPr>
      <w:r w:rsidRPr="00DA728B">
        <w:rPr>
          <w:szCs w:val="20"/>
          <w:u w:val="single"/>
        </w:rPr>
        <w:t>Paediatric ulcerative colitis</w:t>
      </w:r>
    </w:p>
    <w:p w14:paraId="1C45AA00" w14:textId="77777777" w:rsidR="00A733E3" w:rsidRPr="005037B5" w:rsidRDefault="00A733E3" w:rsidP="00A733E3">
      <w:pPr>
        <w:rPr>
          <w:szCs w:val="20"/>
        </w:rPr>
      </w:pPr>
    </w:p>
    <w:p w14:paraId="379770AE" w14:textId="77777777" w:rsidR="00477A2C" w:rsidRPr="006527B0" w:rsidRDefault="00944B8F" w:rsidP="00477A2C">
      <w:pPr>
        <w:rPr>
          <w:szCs w:val="20"/>
        </w:rPr>
      </w:pPr>
      <w:r w:rsidRPr="005037B5">
        <w:rPr>
          <w:szCs w:val="20"/>
        </w:rPr>
        <w:t>Humira is indicated for the treatment of moderately to severely active ulcerative colitis in paediatric patients (</w:t>
      </w:r>
      <w:r>
        <w:rPr>
          <w:szCs w:val="20"/>
        </w:rPr>
        <w:t>from 6</w:t>
      </w:r>
      <w:r w:rsidRPr="005037B5">
        <w:rPr>
          <w:szCs w:val="20"/>
        </w:rPr>
        <w:t xml:space="preserve"> years of age) who have had an inadequate response to conventional therapy including corticosteroids and/or 6-mercaptopurine (6-MP) or azathioprine (AZA), or who are intolerant </w:t>
      </w:r>
      <w:r w:rsidRPr="006527B0">
        <w:rPr>
          <w:szCs w:val="20"/>
        </w:rPr>
        <w:t>to or have medical contraindications for such therapies</w:t>
      </w:r>
      <w:r w:rsidRPr="005037B5">
        <w:rPr>
          <w:szCs w:val="20"/>
        </w:rPr>
        <w:t>.</w:t>
      </w:r>
    </w:p>
    <w:p w14:paraId="47CAA345" w14:textId="77777777" w:rsidR="00A733E3" w:rsidRDefault="00A733E3" w:rsidP="00BC0E7E">
      <w:pPr>
        <w:keepNext/>
        <w:tabs>
          <w:tab w:val="clear" w:pos="562"/>
        </w:tabs>
        <w:rPr>
          <w:u w:val="single"/>
        </w:rPr>
      </w:pPr>
    </w:p>
    <w:p w14:paraId="43E662A9" w14:textId="77777777" w:rsidR="00BC0E7E" w:rsidRPr="00BC0E7E" w:rsidRDefault="00944B8F" w:rsidP="00BC0E7E">
      <w:pPr>
        <w:keepNext/>
        <w:tabs>
          <w:tab w:val="clear" w:pos="562"/>
        </w:tabs>
        <w:rPr>
          <w:u w:val="single"/>
        </w:rPr>
      </w:pPr>
      <w:r w:rsidRPr="00BC0E7E">
        <w:rPr>
          <w:u w:val="single"/>
        </w:rPr>
        <w:t>Uveitis</w:t>
      </w:r>
    </w:p>
    <w:p w14:paraId="7863CA01" w14:textId="77777777" w:rsidR="00BC0E7E" w:rsidRPr="00BC0E7E" w:rsidRDefault="00BC0E7E" w:rsidP="00BC0E7E">
      <w:pPr>
        <w:keepNext/>
        <w:tabs>
          <w:tab w:val="clear" w:pos="562"/>
        </w:tabs>
        <w:rPr>
          <w:u w:val="single"/>
        </w:rPr>
      </w:pPr>
    </w:p>
    <w:p w14:paraId="274975AF" w14:textId="77777777" w:rsidR="00BC0E7E" w:rsidRPr="00BC0E7E" w:rsidRDefault="00944B8F" w:rsidP="00BC0E7E">
      <w:pPr>
        <w:rPr>
          <w:szCs w:val="20"/>
        </w:rPr>
      </w:pPr>
      <w:r w:rsidRPr="00BC0E7E">
        <w:rPr>
          <w:szCs w:val="20"/>
        </w:rPr>
        <w:t>Humira is indicated for the treatment of non-infectious intermediate, posterior and panuveitis in adult patients who have had an inadequate response to corticosteroids, in patients in need of corticosteroid-sparing, or in whom corticosteroid treatment is inappropriate.</w:t>
      </w:r>
    </w:p>
    <w:p w14:paraId="48349503" w14:textId="77777777" w:rsidR="00BC0E7E" w:rsidRPr="00BC0E7E" w:rsidRDefault="00BC0E7E" w:rsidP="00BC0E7E">
      <w:pPr>
        <w:rPr>
          <w:szCs w:val="20"/>
        </w:rPr>
      </w:pPr>
    </w:p>
    <w:p w14:paraId="24457726" w14:textId="77777777" w:rsidR="00BC0E7E" w:rsidRPr="00BC0E7E" w:rsidRDefault="00944B8F" w:rsidP="00BC0E7E">
      <w:pPr>
        <w:rPr>
          <w:szCs w:val="22"/>
          <w:u w:val="single"/>
        </w:rPr>
      </w:pPr>
      <w:r w:rsidRPr="00BC0E7E">
        <w:rPr>
          <w:szCs w:val="22"/>
          <w:u w:val="single"/>
        </w:rPr>
        <w:t>Paediatric Uveitis</w:t>
      </w:r>
    </w:p>
    <w:p w14:paraId="17F8A53A" w14:textId="77777777" w:rsidR="00BC0E7E" w:rsidRPr="00BC0E7E" w:rsidRDefault="00BC0E7E" w:rsidP="00BC0E7E">
      <w:pPr>
        <w:tabs>
          <w:tab w:val="clear" w:pos="562"/>
        </w:tabs>
      </w:pPr>
    </w:p>
    <w:p w14:paraId="38E7734B" w14:textId="77777777" w:rsidR="0030126B" w:rsidRPr="00BC0E7E" w:rsidRDefault="00944B8F" w:rsidP="00BC0E7E">
      <w:pPr>
        <w:rPr>
          <w:szCs w:val="20"/>
        </w:rPr>
      </w:pPr>
      <w:r w:rsidRPr="00BC0E7E">
        <w:rPr>
          <w:szCs w:val="20"/>
        </w:rPr>
        <w:t>Humira is indicated for the treatment of paediatric chronic non-infectious anterior uveitis in patients from 2 years of age who have had an inadequate response to or are intolerant to conventional therapy, or in whom conventional therapy is inappropriate.</w:t>
      </w:r>
    </w:p>
    <w:p w14:paraId="223EDA31" w14:textId="77777777" w:rsidR="00BC0E7E" w:rsidRPr="00BC0E7E" w:rsidRDefault="00BC0E7E" w:rsidP="00BC0E7E">
      <w:pPr>
        <w:rPr>
          <w:szCs w:val="20"/>
        </w:rPr>
      </w:pPr>
    </w:p>
    <w:p w14:paraId="60454A63" w14:textId="77777777" w:rsidR="00BC0E7E" w:rsidRPr="00BC0E7E" w:rsidRDefault="00944B8F" w:rsidP="00BC0E7E">
      <w:pPr>
        <w:tabs>
          <w:tab w:val="left" w:pos="1134"/>
          <w:tab w:val="left" w:pos="1701"/>
          <w:tab w:val="left" w:pos="2268"/>
          <w:tab w:val="left" w:pos="2835"/>
          <w:tab w:val="left" w:pos="3402"/>
          <w:tab w:val="left" w:pos="3969"/>
          <w:tab w:val="left" w:pos="6285"/>
        </w:tabs>
        <w:suppressAutoHyphens w:val="0"/>
        <w:outlineLvl w:val="1"/>
        <w:rPr>
          <w:b/>
          <w:szCs w:val="20"/>
        </w:rPr>
      </w:pPr>
      <w:r w:rsidRPr="00BC0E7E">
        <w:rPr>
          <w:b/>
          <w:szCs w:val="20"/>
        </w:rPr>
        <w:t>4.2</w:t>
      </w:r>
      <w:r w:rsidRPr="00BC0E7E">
        <w:rPr>
          <w:b/>
          <w:szCs w:val="20"/>
        </w:rPr>
        <w:tab/>
        <w:t xml:space="preserve">Posology and method of administration  </w:t>
      </w:r>
    </w:p>
    <w:p w14:paraId="5D43A7D5" w14:textId="77777777" w:rsidR="00BC0E7E" w:rsidRPr="00BC0E7E" w:rsidRDefault="00BC0E7E" w:rsidP="00BC0E7E">
      <w:pPr>
        <w:rPr>
          <w:szCs w:val="20"/>
        </w:rPr>
      </w:pPr>
    </w:p>
    <w:p w14:paraId="078A777D" w14:textId="77777777" w:rsidR="00BC0E7E" w:rsidRPr="00BC0E7E" w:rsidRDefault="00944B8F" w:rsidP="00BC0E7E">
      <w:pPr>
        <w:tabs>
          <w:tab w:val="clear" w:pos="562"/>
        </w:tabs>
        <w:rPr>
          <w:szCs w:val="22"/>
        </w:rPr>
      </w:pPr>
      <w:r w:rsidRPr="00BC0E7E">
        <w:rPr>
          <w:szCs w:val="22"/>
        </w:rPr>
        <w:t xml:space="preserve">Humira treatment should be initiated and supervised by specialist physicians experienced in the diagnosis and treatment of conditions for which Humira is indicated. Ophthalmologists are advised to consult with </w:t>
      </w:r>
      <w:r w:rsidRPr="00BC0E7E">
        <w:rPr>
          <w:szCs w:val="22"/>
        </w:rPr>
        <w:lastRenderedPageBreak/>
        <w:t xml:space="preserve">an appropriate specialist before initiation of treatment with Humira (see section 4.4). Patients treated with Humira should be given the </w:t>
      </w:r>
      <w:r w:rsidR="002179FE">
        <w:t>Patient Reminder Card</w:t>
      </w:r>
      <w:r w:rsidRPr="00BC0E7E">
        <w:rPr>
          <w:szCs w:val="22"/>
        </w:rPr>
        <w:t>.</w:t>
      </w:r>
    </w:p>
    <w:p w14:paraId="6616B978" w14:textId="77777777" w:rsidR="00BC0E7E" w:rsidRPr="00BC0E7E" w:rsidRDefault="00BC0E7E" w:rsidP="00BC0E7E">
      <w:pPr>
        <w:tabs>
          <w:tab w:val="clear" w:pos="562"/>
        </w:tabs>
        <w:rPr>
          <w:szCs w:val="22"/>
        </w:rPr>
      </w:pPr>
    </w:p>
    <w:p w14:paraId="10D6203D" w14:textId="77777777" w:rsidR="00BC0E7E" w:rsidRPr="00BC0E7E" w:rsidRDefault="00944B8F" w:rsidP="00BC0E7E">
      <w:pPr>
        <w:tabs>
          <w:tab w:val="clear" w:pos="562"/>
        </w:tabs>
        <w:rPr>
          <w:szCs w:val="22"/>
        </w:rPr>
      </w:pPr>
      <w:r w:rsidRPr="00BC0E7E">
        <w:rPr>
          <w:szCs w:val="22"/>
        </w:rPr>
        <w:t xml:space="preserve">After proper training in injection technique, patients may self-inject with Humira if their physician determines that it is appropriate and with medical follow-up as necessary. </w:t>
      </w:r>
    </w:p>
    <w:p w14:paraId="019F905E" w14:textId="77777777" w:rsidR="00BC0E7E" w:rsidRPr="00BC0E7E" w:rsidRDefault="00BC0E7E" w:rsidP="00BC0E7E"/>
    <w:p w14:paraId="61720F35" w14:textId="77777777" w:rsidR="00BC0E7E" w:rsidRPr="00BC0E7E" w:rsidRDefault="00944B8F" w:rsidP="00BC0E7E">
      <w:r w:rsidRPr="00BC0E7E">
        <w:t>During treatment with Humira, other concomitant therapies (e.g., corticosteroids and/or immunomodulatory agents) should be optimised.</w:t>
      </w:r>
    </w:p>
    <w:p w14:paraId="6FBE52C6" w14:textId="77777777" w:rsidR="00BC0E7E" w:rsidRPr="00BC0E7E" w:rsidRDefault="00BC0E7E" w:rsidP="00BC0E7E">
      <w:pPr>
        <w:rPr>
          <w:szCs w:val="20"/>
          <w:u w:val="single"/>
        </w:rPr>
      </w:pPr>
    </w:p>
    <w:p w14:paraId="737A5828" w14:textId="77777777" w:rsidR="00BC0E7E" w:rsidRPr="00BC0E7E" w:rsidRDefault="00944B8F" w:rsidP="0046545C">
      <w:pPr>
        <w:keepNext/>
        <w:rPr>
          <w:szCs w:val="22"/>
          <w:u w:val="single"/>
        </w:rPr>
      </w:pPr>
      <w:r w:rsidRPr="00BC0E7E">
        <w:rPr>
          <w:szCs w:val="22"/>
          <w:u w:val="single"/>
        </w:rPr>
        <w:t>Posology</w:t>
      </w:r>
    </w:p>
    <w:p w14:paraId="3794FBD4" w14:textId="77777777" w:rsidR="00BC0E7E" w:rsidRDefault="00BC0E7E" w:rsidP="0046545C">
      <w:pPr>
        <w:keepNext/>
        <w:rPr>
          <w:szCs w:val="20"/>
          <w:u w:val="single"/>
        </w:rPr>
      </w:pPr>
    </w:p>
    <w:p w14:paraId="698DD33F" w14:textId="77777777" w:rsidR="00AB637F" w:rsidRPr="00BC0E7E" w:rsidRDefault="00944B8F" w:rsidP="0046545C">
      <w:pPr>
        <w:keepNext/>
        <w:rPr>
          <w:i/>
          <w:szCs w:val="20"/>
        </w:rPr>
      </w:pPr>
      <w:r w:rsidRPr="00BC0E7E">
        <w:rPr>
          <w:i/>
          <w:szCs w:val="20"/>
        </w:rPr>
        <w:t>Rheumatoid arthritis</w:t>
      </w:r>
    </w:p>
    <w:p w14:paraId="00EE12EC" w14:textId="77777777" w:rsidR="00AB637F" w:rsidRPr="00BC0E7E" w:rsidRDefault="00AB637F" w:rsidP="0046545C">
      <w:pPr>
        <w:keepNext/>
        <w:rPr>
          <w:szCs w:val="20"/>
        </w:rPr>
      </w:pPr>
    </w:p>
    <w:p w14:paraId="4858A4F3" w14:textId="77777777" w:rsidR="00AB637F" w:rsidRPr="00BC0E7E" w:rsidRDefault="00944B8F" w:rsidP="0046545C">
      <w:pPr>
        <w:keepNext/>
        <w:tabs>
          <w:tab w:val="clear" w:pos="562"/>
        </w:tabs>
      </w:pPr>
      <w:r w:rsidRPr="00BC0E7E">
        <w:t>The recommended dose of Humira for adult patients with rheumatoid arthritis is 40 mg adalimumab administered every other week as a single dose via subcutaneous injection. Methotrexate should be continued during treatment with Humira.</w:t>
      </w:r>
    </w:p>
    <w:p w14:paraId="0BBCE77B" w14:textId="77777777" w:rsidR="00AB637F" w:rsidRPr="00BC0E7E" w:rsidRDefault="00AB637F" w:rsidP="0046545C">
      <w:pPr>
        <w:keepNext/>
        <w:tabs>
          <w:tab w:val="clear" w:pos="562"/>
        </w:tabs>
      </w:pPr>
    </w:p>
    <w:p w14:paraId="69091985" w14:textId="77777777" w:rsidR="00AB637F" w:rsidRPr="00BC0E7E" w:rsidRDefault="00944B8F" w:rsidP="0046545C">
      <w:pPr>
        <w:keepNext/>
        <w:tabs>
          <w:tab w:val="clear" w:pos="562"/>
        </w:tabs>
      </w:pPr>
      <w:r w:rsidRPr="00BC0E7E">
        <w:t>Glucocorticoids, salicylates, non</w:t>
      </w:r>
      <w:r w:rsidR="00E85DFE">
        <w:t>-</w:t>
      </w:r>
      <w:r w:rsidRPr="00BC0E7E">
        <w:t>steroidal anti-inflammatory drugs</w:t>
      </w:r>
      <w:r w:rsidR="004B6F4F">
        <w:t xml:space="preserve"> (NSAIDs)</w:t>
      </w:r>
      <w:r w:rsidRPr="00BC0E7E">
        <w:t>, or analgesics can be continued during treatment with Humira.  Regarding combination with disease modifying anti-rheumatic drugs other than methotrexate see sections 4.4 and 5.1.</w:t>
      </w:r>
    </w:p>
    <w:p w14:paraId="1D24FA3B" w14:textId="77777777" w:rsidR="00AB637F" w:rsidRPr="00BC0E7E" w:rsidRDefault="00AB637F" w:rsidP="0046545C">
      <w:pPr>
        <w:keepNext/>
      </w:pPr>
    </w:p>
    <w:p w14:paraId="2EA06707" w14:textId="77777777" w:rsidR="00AB637F" w:rsidRPr="00BC0E7E" w:rsidRDefault="00944B8F" w:rsidP="0046545C">
      <w:pPr>
        <w:keepNext/>
      </w:pPr>
      <w:r w:rsidRPr="00BC0E7E">
        <w:t xml:space="preserve">In monotherapy, some patients who experience a decrease in their response </w:t>
      </w:r>
      <w:r w:rsidR="000C2195">
        <w:t>to Humira 40</w:t>
      </w:r>
      <w:r w:rsidR="0046545C">
        <w:t> </w:t>
      </w:r>
      <w:r w:rsidR="000C2195">
        <w:t xml:space="preserve">mg every other week </w:t>
      </w:r>
      <w:r w:rsidRPr="00BC0E7E">
        <w:t>may benefit from an increase in dos</w:t>
      </w:r>
      <w:r w:rsidR="000C2195">
        <w:t>ag</w:t>
      </w:r>
      <w:r w:rsidRPr="00BC0E7E">
        <w:t>e to 40 mg adalimumab every week</w:t>
      </w:r>
      <w:r w:rsidR="000C2195">
        <w:t xml:space="preserve"> or 80</w:t>
      </w:r>
      <w:r w:rsidR="0046545C">
        <w:t> </w:t>
      </w:r>
      <w:r w:rsidR="000C2195">
        <w:t>mg every other week</w:t>
      </w:r>
      <w:r w:rsidRPr="00BC0E7E">
        <w:t xml:space="preserve">. </w:t>
      </w:r>
    </w:p>
    <w:p w14:paraId="5A9D36DB" w14:textId="77777777" w:rsidR="00AB637F" w:rsidRPr="00BC0E7E" w:rsidRDefault="00AB637F" w:rsidP="0046545C">
      <w:pPr>
        <w:keepNext/>
      </w:pPr>
    </w:p>
    <w:p w14:paraId="5C4E5C0E" w14:textId="77777777" w:rsidR="00AB637F" w:rsidRDefault="00944B8F" w:rsidP="0046545C">
      <w:pPr>
        <w:keepNext/>
      </w:pPr>
      <w:r w:rsidRPr="00BC0E7E">
        <w:t>Available data suggest that the clinical response is usually achieved within 12</w:t>
      </w:r>
      <w:r w:rsidR="0046545C">
        <w:t> </w:t>
      </w:r>
      <w:r w:rsidRPr="00BC0E7E">
        <w:t>weeks of treatment.  Continued therapy should be reconsidered in a patient not responding within this time period.</w:t>
      </w:r>
    </w:p>
    <w:p w14:paraId="452E5F86" w14:textId="77777777" w:rsidR="00AB637F" w:rsidRDefault="00AB637F" w:rsidP="0046545C">
      <w:pPr>
        <w:keepNext/>
        <w:rPr>
          <w:szCs w:val="20"/>
          <w:u w:val="single"/>
        </w:rPr>
      </w:pPr>
    </w:p>
    <w:p w14:paraId="1F137ABD" w14:textId="77777777" w:rsidR="000C2195" w:rsidRDefault="00944B8F" w:rsidP="0046545C">
      <w:pPr>
        <w:keepNext/>
        <w:rPr>
          <w:szCs w:val="20"/>
          <w:u w:val="single"/>
        </w:rPr>
      </w:pPr>
      <w:r w:rsidRPr="004B1BA6">
        <w:t>Humira may be available in other strengths and/or presentations depending on the individual treatment needs.</w:t>
      </w:r>
    </w:p>
    <w:p w14:paraId="49585D15" w14:textId="77777777" w:rsidR="000C2195" w:rsidRPr="00BC0E7E" w:rsidRDefault="000C2195" w:rsidP="00AB637F">
      <w:pPr>
        <w:rPr>
          <w:szCs w:val="20"/>
          <w:u w:val="single"/>
        </w:rPr>
      </w:pPr>
    </w:p>
    <w:p w14:paraId="5DF7BFDA" w14:textId="77777777" w:rsidR="00BC0E7E" w:rsidRPr="00BC0E7E" w:rsidRDefault="00944B8F" w:rsidP="00BC0E7E">
      <w:pPr>
        <w:keepNext/>
        <w:tabs>
          <w:tab w:val="clear" w:pos="562"/>
        </w:tabs>
        <w:suppressAutoHyphens w:val="0"/>
        <w:overflowPunct w:val="0"/>
        <w:autoSpaceDE w:val="0"/>
        <w:autoSpaceDN w:val="0"/>
        <w:adjustRightInd w:val="0"/>
        <w:textAlignment w:val="baseline"/>
        <w:rPr>
          <w:bCs/>
          <w:i/>
          <w:iCs/>
          <w:szCs w:val="20"/>
        </w:rPr>
      </w:pPr>
      <w:r w:rsidRPr="00BC0E7E">
        <w:rPr>
          <w:bCs/>
          <w:i/>
          <w:iCs/>
          <w:szCs w:val="20"/>
        </w:rPr>
        <w:t>Psoriasis</w:t>
      </w:r>
    </w:p>
    <w:p w14:paraId="0487E424" w14:textId="77777777" w:rsidR="00BC0E7E" w:rsidRPr="00BC0E7E" w:rsidRDefault="00BC0E7E" w:rsidP="00BC0E7E">
      <w:pPr>
        <w:keepNext/>
        <w:tabs>
          <w:tab w:val="clear" w:pos="562"/>
        </w:tabs>
        <w:suppressAutoHyphens w:val="0"/>
        <w:overflowPunct w:val="0"/>
        <w:autoSpaceDE w:val="0"/>
        <w:autoSpaceDN w:val="0"/>
        <w:adjustRightInd w:val="0"/>
        <w:textAlignment w:val="baseline"/>
        <w:rPr>
          <w:bCs/>
          <w:iCs/>
          <w:szCs w:val="20"/>
        </w:rPr>
      </w:pPr>
    </w:p>
    <w:p w14:paraId="6C47F9AA" w14:textId="77777777" w:rsidR="00BC0E7E" w:rsidRPr="00BC0E7E" w:rsidRDefault="00944B8F" w:rsidP="00BC0E7E">
      <w:pPr>
        <w:keepNext/>
      </w:pPr>
      <w:r w:rsidRPr="00BC0E7E">
        <w:t>The recommended dose of Humira for adult patients is an initial dose of 80 mg administered subcutaneously, followed by 40 mg subcutaneously given every other week starting one week af</w:t>
      </w:r>
      <w:r w:rsidR="0046545C">
        <w:t>ter the initial dose. Humira 40 </w:t>
      </w:r>
      <w:r w:rsidRPr="00BC0E7E">
        <w:t>mg solution for injection in pre-filled syringe and/or pre-filled pen is available for the maintenance dose.</w:t>
      </w:r>
    </w:p>
    <w:p w14:paraId="2041DEA1" w14:textId="77777777" w:rsidR="00BC0E7E" w:rsidRPr="00BC0E7E" w:rsidRDefault="00BC0E7E" w:rsidP="00BC0E7E">
      <w:pPr>
        <w:rPr>
          <w:szCs w:val="20"/>
        </w:rPr>
      </w:pPr>
    </w:p>
    <w:p w14:paraId="1A06814F" w14:textId="77777777" w:rsidR="00BC0E7E" w:rsidRPr="00BC0E7E" w:rsidRDefault="00944B8F" w:rsidP="00BC0E7E">
      <w:pPr>
        <w:rPr>
          <w:szCs w:val="20"/>
        </w:rPr>
      </w:pPr>
      <w:r w:rsidRPr="00BC0E7E">
        <w:rPr>
          <w:szCs w:val="20"/>
        </w:rPr>
        <w:t>Continued therapy beyond 16 weeks should be carefully reconsidered in a patient not responding within this time period.</w:t>
      </w:r>
    </w:p>
    <w:p w14:paraId="069B7DBB" w14:textId="77777777" w:rsidR="00BC0E7E" w:rsidRPr="00BC0E7E" w:rsidRDefault="00BC0E7E" w:rsidP="00BC0E7E">
      <w:pPr>
        <w:rPr>
          <w:szCs w:val="20"/>
          <w:u w:val="single"/>
        </w:rPr>
      </w:pPr>
    </w:p>
    <w:p w14:paraId="16333418" w14:textId="77777777" w:rsidR="00BC0E7E" w:rsidRPr="00BC0E7E" w:rsidRDefault="00944B8F" w:rsidP="00BC0E7E">
      <w:pPr>
        <w:rPr>
          <w:szCs w:val="22"/>
        </w:rPr>
      </w:pPr>
      <w:r>
        <w:rPr>
          <w:rFonts w:cs="Calibri"/>
          <w:szCs w:val="22"/>
        </w:rPr>
        <w:t>Beyond 16 </w:t>
      </w:r>
      <w:r w:rsidRPr="00BC0E7E">
        <w:rPr>
          <w:rFonts w:cs="Calibri"/>
          <w:szCs w:val="22"/>
        </w:rPr>
        <w:t xml:space="preserve">weeks, patients with inadequate response </w:t>
      </w:r>
      <w:r w:rsidR="00263617">
        <w:rPr>
          <w:rFonts w:cs="Calibri"/>
          <w:szCs w:val="22"/>
        </w:rPr>
        <w:t>to Humira 40</w:t>
      </w:r>
      <w:r>
        <w:rPr>
          <w:rFonts w:cs="Calibri"/>
          <w:szCs w:val="22"/>
        </w:rPr>
        <w:t> </w:t>
      </w:r>
      <w:r w:rsidR="00263617">
        <w:rPr>
          <w:rFonts w:cs="Calibri"/>
          <w:szCs w:val="22"/>
        </w:rPr>
        <w:t xml:space="preserve">mg every other week </w:t>
      </w:r>
      <w:r w:rsidRPr="00BC0E7E">
        <w:rPr>
          <w:rFonts w:cs="Calibri"/>
          <w:szCs w:val="22"/>
        </w:rPr>
        <w:t>may benefit from an increase in dos</w:t>
      </w:r>
      <w:r w:rsidR="00263617">
        <w:rPr>
          <w:rFonts w:cs="Calibri"/>
          <w:szCs w:val="22"/>
        </w:rPr>
        <w:t>age</w:t>
      </w:r>
      <w:r>
        <w:rPr>
          <w:rFonts w:cs="Calibri"/>
          <w:szCs w:val="22"/>
        </w:rPr>
        <w:t xml:space="preserve"> to 40 </w:t>
      </w:r>
      <w:r w:rsidRPr="00BC0E7E">
        <w:rPr>
          <w:rFonts w:cs="Calibri"/>
          <w:szCs w:val="22"/>
        </w:rPr>
        <w:t>mg every week</w:t>
      </w:r>
      <w:r w:rsidR="00263617">
        <w:rPr>
          <w:rFonts w:cs="Calibri"/>
          <w:szCs w:val="22"/>
        </w:rPr>
        <w:t xml:space="preserve"> or 80</w:t>
      </w:r>
      <w:r>
        <w:rPr>
          <w:rFonts w:cs="Calibri"/>
          <w:szCs w:val="22"/>
        </w:rPr>
        <w:t> </w:t>
      </w:r>
      <w:r w:rsidR="00263617">
        <w:rPr>
          <w:rFonts w:cs="Calibri"/>
          <w:szCs w:val="22"/>
        </w:rPr>
        <w:t>mg every other week</w:t>
      </w:r>
      <w:r w:rsidRPr="00BC0E7E">
        <w:rPr>
          <w:rFonts w:cs="Calibri"/>
          <w:szCs w:val="22"/>
        </w:rPr>
        <w:t xml:space="preserve">. The benefits and risks of continued </w:t>
      </w:r>
      <w:r w:rsidR="00263617">
        <w:rPr>
          <w:rFonts w:cs="Calibri"/>
          <w:szCs w:val="22"/>
        </w:rPr>
        <w:t>40</w:t>
      </w:r>
      <w:r>
        <w:rPr>
          <w:rFonts w:cs="Calibri"/>
          <w:szCs w:val="22"/>
        </w:rPr>
        <w:t> </w:t>
      </w:r>
      <w:r w:rsidR="00263617">
        <w:rPr>
          <w:rFonts w:cs="Calibri"/>
          <w:szCs w:val="22"/>
        </w:rPr>
        <w:t xml:space="preserve">mg </w:t>
      </w:r>
      <w:r w:rsidRPr="00BC0E7E">
        <w:rPr>
          <w:rFonts w:cs="Calibri"/>
          <w:szCs w:val="22"/>
        </w:rPr>
        <w:t xml:space="preserve">weekly </w:t>
      </w:r>
      <w:r w:rsidR="00263617">
        <w:rPr>
          <w:rFonts w:cs="Calibri"/>
          <w:szCs w:val="22"/>
        </w:rPr>
        <w:t>or 80</w:t>
      </w:r>
      <w:r>
        <w:rPr>
          <w:rFonts w:cs="Calibri"/>
          <w:szCs w:val="22"/>
        </w:rPr>
        <w:t> </w:t>
      </w:r>
      <w:r w:rsidR="00263617">
        <w:rPr>
          <w:rFonts w:cs="Calibri"/>
          <w:szCs w:val="22"/>
        </w:rPr>
        <w:t>mg every other week</w:t>
      </w:r>
      <w:r w:rsidRPr="00BC0E7E">
        <w:rPr>
          <w:rFonts w:cs="Calibri"/>
          <w:szCs w:val="22"/>
        </w:rPr>
        <w:t xml:space="preserve"> therapy should be carefully reconsidered in a patient with an inadequate response after the increase in dos</w:t>
      </w:r>
      <w:r w:rsidR="00263617">
        <w:rPr>
          <w:rFonts w:cs="Calibri"/>
          <w:szCs w:val="22"/>
        </w:rPr>
        <w:t>age</w:t>
      </w:r>
      <w:r w:rsidRPr="00BC0E7E">
        <w:rPr>
          <w:rFonts w:cs="Calibri"/>
          <w:szCs w:val="22"/>
        </w:rPr>
        <w:t xml:space="preserve"> (see section 5.1).</w:t>
      </w:r>
      <w:r w:rsidRPr="00BC0E7E">
        <w:rPr>
          <w:szCs w:val="22"/>
        </w:rPr>
        <w:t xml:space="preserve"> If adequate response is achieved with </w:t>
      </w:r>
      <w:r w:rsidR="00263617">
        <w:rPr>
          <w:szCs w:val="22"/>
        </w:rPr>
        <w:t>40</w:t>
      </w:r>
      <w:r>
        <w:rPr>
          <w:szCs w:val="22"/>
        </w:rPr>
        <w:t> </w:t>
      </w:r>
      <w:r w:rsidR="00263617">
        <w:rPr>
          <w:szCs w:val="22"/>
        </w:rPr>
        <w:t>mg every week or 80</w:t>
      </w:r>
      <w:r>
        <w:rPr>
          <w:szCs w:val="22"/>
        </w:rPr>
        <w:t> </w:t>
      </w:r>
      <w:r w:rsidR="00263617">
        <w:rPr>
          <w:szCs w:val="22"/>
        </w:rPr>
        <w:t>mg every other week</w:t>
      </w:r>
      <w:r w:rsidRPr="00BC0E7E">
        <w:rPr>
          <w:szCs w:val="22"/>
        </w:rPr>
        <w:t>, the dos</w:t>
      </w:r>
      <w:r w:rsidR="00263617">
        <w:rPr>
          <w:szCs w:val="22"/>
        </w:rPr>
        <w:t>ag</w:t>
      </w:r>
      <w:r w:rsidRPr="00BC0E7E">
        <w:rPr>
          <w:szCs w:val="22"/>
        </w:rPr>
        <w:t>e may subsequently be reduced to</w:t>
      </w:r>
      <w:r>
        <w:rPr>
          <w:szCs w:val="22"/>
        </w:rPr>
        <w:t xml:space="preserve"> 40 </w:t>
      </w:r>
      <w:r w:rsidRPr="00BC0E7E">
        <w:rPr>
          <w:szCs w:val="22"/>
        </w:rPr>
        <w:t>mg every other week.</w:t>
      </w:r>
    </w:p>
    <w:p w14:paraId="4562494C" w14:textId="77777777" w:rsidR="00BC0E7E" w:rsidRDefault="00BC0E7E" w:rsidP="00BC0E7E">
      <w:pPr>
        <w:rPr>
          <w:szCs w:val="20"/>
          <w:u w:val="single"/>
        </w:rPr>
      </w:pPr>
    </w:p>
    <w:p w14:paraId="66A2B482" w14:textId="77777777" w:rsidR="00263617" w:rsidRDefault="00944B8F" w:rsidP="00BC0E7E">
      <w:pPr>
        <w:rPr>
          <w:szCs w:val="20"/>
          <w:u w:val="single"/>
        </w:rPr>
      </w:pPr>
      <w:r w:rsidRPr="00D21ABE">
        <w:t>Humira may be available in other strengths and/or presentations depending on the individual treatment needs.</w:t>
      </w:r>
    </w:p>
    <w:p w14:paraId="0AF3DF82" w14:textId="77777777" w:rsidR="00263617" w:rsidRPr="00BC0E7E" w:rsidRDefault="00263617" w:rsidP="00BC0E7E">
      <w:pPr>
        <w:rPr>
          <w:szCs w:val="20"/>
          <w:u w:val="single"/>
        </w:rPr>
      </w:pPr>
    </w:p>
    <w:p w14:paraId="48D23081" w14:textId="77777777" w:rsidR="00BC0E7E" w:rsidRPr="00BC0E7E" w:rsidRDefault="00944B8F" w:rsidP="002B6EEF">
      <w:pPr>
        <w:keepNext/>
        <w:rPr>
          <w:i/>
          <w:szCs w:val="20"/>
        </w:rPr>
      </w:pPr>
      <w:r w:rsidRPr="00BC0E7E">
        <w:rPr>
          <w:i/>
          <w:szCs w:val="20"/>
        </w:rPr>
        <w:lastRenderedPageBreak/>
        <w:t>Hidradenitis suppurativa</w:t>
      </w:r>
    </w:p>
    <w:p w14:paraId="429B9A22" w14:textId="77777777" w:rsidR="00BC0E7E" w:rsidRPr="00BC0E7E" w:rsidRDefault="00BC0E7E" w:rsidP="002B6EEF">
      <w:pPr>
        <w:keepNext/>
        <w:rPr>
          <w:szCs w:val="20"/>
          <w:u w:val="single"/>
        </w:rPr>
      </w:pPr>
    </w:p>
    <w:p w14:paraId="6674D8F3" w14:textId="77777777" w:rsidR="00BC0E7E" w:rsidRPr="00BC0E7E" w:rsidRDefault="00944B8F" w:rsidP="002B6EEF">
      <w:pPr>
        <w:keepNext/>
        <w:rPr>
          <w:szCs w:val="20"/>
        </w:rPr>
      </w:pPr>
      <w:r w:rsidRPr="00BC0E7E">
        <w:rPr>
          <w:szCs w:val="20"/>
        </w:rPr>
        <w:t>The recommended Humira dose regimen for adult patients with hidradenitis suppurativa (HS) is 1</w:t>
      </w:r>
      <w:r w:rsidR="00053FB2">
        <w:rPr>
          <w:szCs w:val="20"/>
        </w:rPr>
        <w:t>60 </w:t>
      </w:r>
      <w:r w:rsidRPr="00BC0E7E">
        <w:rPr>
          <w:szCs w:val="20"/>
        </w:rPr>
        <w:t>mg init</w:t>
      </w:r>
      <w:r w:rsidR="00053FB2">
        <w:rPr>
          <w:szCs w:val="20"/>
        </w:rPr>
        <w:t>ially at Day 1 (given as two 80 </w:t>
      </w:r>
      <w:r w:rsidRPr="00BC0E7E">
        <w:rPr>
          <w:szCs w:val="20"/>
        </w:rPr>
        <w:t>mg inj</w:t>
      </w:r>
      <w:r w:rsidR="00053FB2">
        <w:rPr>
          <w:szCs w:val="20"/>
        </w:rPr>
        <w:t>ections in one day or as one 80 </w:t>
      </w:r>
      <w:r w:rsidRPr="00BC0E7E">
        <w:rPr>
          <w:szCs w:val="20"/>
        </w:rPr>
        <w:t>mg injection per day for two co</w:t>
      </w:r>
      <w:r w:rsidR="00053FB2">
        <w:rPr>
          <w:szCs w:val="20"/>
        </w:rPr>
        <w:t>nsecutive days), followed by 80 </w:t>
      </w:r>
      <w:r w:rsidRPr="00BC0E7E">
        <w:rPr>
          <w:szCs w:val="20"/>
        </w:rPr>
        <w:t>mg two weeks later at Day 15. Two weeks later (Day</w:t>
      </w:r>
      <w:r w:rsidR="00053FB2">
        <w:rPr>
          <w:szCs w:val="20"/>
        </w:rPr>
        <w:t xml:space="preserve"> 29) continue with a dose of 40 </w:t>
      </w:r>
      <w:r w:rsidRPr="00BC0E7E">
        <w:rPr>
          <w:szCs w:val="20"/>
        </w:rPr>
        <w:t>mg every week</w:t>
      </w:r>
      <w:r w:rsidR="00FD7565">
        <w:rPr>
          <w:szCs w:val="20"/>
        </w:rPr>
        <w:t xml:space="preserve"> or 80</w:t>
      </w:r>
      <w:r w:rsidR="00053FB2">
        <w:rPr>
          <w:szCs w:val="20"/>
        </w:rPr>
        <w:t> </w:t>
      </w:r>
      <w:r w:rsidR="00FD7565">
        <w:rPr>
          <w:szCs w:val="20"/>
        </w:rPr>
        <w:t>mg every other week</w:t>
      </w:r>
      <w:r w:rsidRPr="00BC0E7E">
        <w:rPr>
          <w:szCs w:val="20"/>
        </w:rPr>
        <w:t xml:space="preserve">. Antibiotics may be continued during treatment with Humira if necessary. It is recommended that the patient should use a topical antiseptic wash on their HS lesions on a daily basis during treatment with Humira. </w:t>
      </w:r>
    </w:p>
    <w:p w14:paraId="2BB3D0E0" w14:textId="77777777" w:rsidR="00BC0E7E" w:rsidRPr="00BC0E7E" w:rsidRDefault="00BC0E7E" w:rsidP="00BC0E7E">
      <w:pPr>
        <w:rPr>
          <w:szCs w:val="20"/>
        </w:rPr>
      </w:pPr>
    </w:p>
    <w:p w14:paraId="2C60D8C0" w14:textId="77777777" w:rsidR="00BC0E7E" w:rsidRPr="00BC0E7E" w:rsidRDefault="00944B8F" w:rsidP="00BC0E7E">
      <w:pPr>
        <w:rPr>
          <w:szCs w:val="20"/>
        </w:rPr>
      </w:pPr>
      <w:r w:rsidRPr="00BC0E7E">
        <w:rPr>
          <w:szCs w:val="20"/>
        </w:rPr>
        <w:t xml:space="preserve">Continued therapy beyond 12 weeks should be carefully reconsidered in a patient with no improvement within this time period.  </w:t>
      </w:r>
    </w:p>
    <w:p w14:paraId="1A67FA25" w14:textId="77777777" w:rsidR="00BC0E7E" w:rsidRPr="00BC0E7E" w:rsidRDefault="00BC0E7E" w:rsidP="00BC0E7E">
      <w:pPr>
        <w:rPr>
          <w:szCs w:val="20"/>
        </w:rPr>
      </w:pPr>
    </w:p>
    <w:p w14:paraId="21F4205B" w14:textId="77777777" w:rsidR="00BC0E7E" w:rsidRPr="00BC0E7E" w:rsidRDefault="00944B8F" w:rsidP="00BC0E7E">
      <w:pPr>
        <w:rPr>
          <w:szCs w:val="20"/>
        </w:rPr>
      </w:pPr>
      <w:r w:rsidRPr="00BC0E7E">
        <w:rPr>
          <w:szCs w:val="20"/>
        </w:rPr>
        <w:t xml:space="preserve">Should treatment be interrupted, Humira 40 mg every week </w:t>
      </w:r>
      <w:r w:rsidR="00FD7565">
        <w:rPr>
          <w:szCs w:val="20"/>
        </w:rPr>
        <w:t>or 80</w:t>
      </w:r>
      <w:r w:rsidR="00053FB2">
        <w:rPr>
          <w:szCs w:val="20"/>
        </w:rPr>
        <w:t> </w:t>
      </w:r>
      <w:r w:rsidR="00FD7565">
        <w:rPr>
          <w:szCs w:val="20"/>
        </w:rPr>
        <w:t xml:space="preserve">mg every other week </w:t>
      </w:r>
      <w:r w:rsidRPr="00BC0E7E">
        <w:rPr>
          <w:szCs w:val="20"/>
        </w:rPr>
        <w:t xml:space="preserve">may be re-introduced (see section 5.1). </w:t>
      </w:r>
    </w:p>
    <w:p w14:paraId="2D89FE67" w14:textId="77777777" w:rsidR="00BC0E7E" w:rsidRPr="00BC0E7E" w:rsidRDefault="00BC0E7E" w:rsidP="00BC0E7E">
      <w:pPr>
        <w:rPr>
          <w:szCs w:val="20"/>
        </w:rPr>
      </w:pPr>
    </w:p>
    <w:p w14:paraId="21F189DD" w14:textId="77777777" w:rsidR="00BC0E7E" w:rsidRPr="00BC0E7E" w:rsidRDefault="00944B8F" w:rsidP="00BC0E7E">
      <w:pPr>
        <w:rPr>
          <w:szCs w:val="20"/>
        </w:rPr>
      </w:pPr>
      <w:r w:rsidRPr="00BC0E7E">
        <w:rPr>
          <w:szCs w:val="20"/>
        </w:rPr>
        <w:t>The benefit and risk of continued long-term treatment should be periodically evaluated (see section 5.1).</w:t>
      </w:r>
    </w:p>
    <w:p w14:paraId="4A42B1F6" w14:textId="77777777" w:rsidR="00BC0E7E" w:rsidRDefault="00BC0E7E" w:rsidP="00BC0E7E">
      <w:pPr>
        <w:rPr>
          <w:szCs w:val="20"/>
          <w:u w:val="single"/>
        </w:rPr>
      </w:pPr>
    </w:p>
    <w:p w14:paraId="7BB1F990" w14:textId="77777777" w:rsidR="00FD7565" w:rsidRDefault="00944B8F" w:rsidP="00FD7565">
      <w:pPr>
        <w:rPr>
          <w:szCs w:val="20"/>
          <w:u w:val="single"/>
        </w:rPr>
      </w:pPr>
      <w:r w:rsidRPr="00D21ABE">
        <w:t>Humira may be available in other strengths and/or presentations depending on the individual treatment needs.</w:t>
      </w:r>
    </w:p>
    <w:p w14:paraId="75C00949" w14:textId="77777777" w:rsidR="00FD7565" w:rsidRPr="00BC0E7E" w:rsidRDefault="00FD7565" w:rsidP="00BC0E7E">
      <w:pPr>
        <w:rPr>
          <w:szCs w:val="20"/>
          <w:u w:val="single"/>
        </w:rPr>
      </w:pPr>
    </w:p>
    <w:p w14:paraId="63313F03" w14:textId="77777777" w:rsidR="00BC0E7E" w:rsidRPr="00BC0E7E" w:rsidRDefault="00944B8F" w:rsidP="00BC0E7E">
      <w:pPr>
        <w:rPr>
          <w:i/>
          <w:szCs w:val="20"/>
        </w:rPr>
      </w:pPr>
      <w:r w:rsidRPr="00BC0E7E">
        <w:rPr>
          <w:i/>
          <w:szCs w:val="20"/>
        </w:rPr>
        <w:t>Crohn’s disease</w:t>
      </w:r>
    </w:p>
    <w:p w14:paraId="734B3BEA" w14:textId="77777777" w:rsidR="00BC0E7E" w:rsidRPr="00BC0E7E" w:rsidRDefault="00BC0E7E" w:rsidP="00BC0E7E">
      <w:pPr>
        <w:rPr>
          <w:szCs w:val="20"/>
        </w:rPr>
      </w:pPr>
    </w:p>
    <w:p w14:paraId="28467A71" w14:textId="77777777" w:rsidR="00BC0E7E" w:rsidRPr="00BC0E7E" w:rsidRDefault="00944B8F" w:rsidP="00BC0E7E">
      <w:pPr>
        <w:rPr>
          <w:szCs w:val="20"/>
        </w:rPr>
      </w:pPr>
      <w:r w:rsidRPr="00BC0E7E">
        <w:rPr>
          <w:szCs w:val="20"/>
        </w:rPr>
        <w:t>The recommended Humira induction dose regimen for adult patients with moderately to severely active Crohn’s disease is 80 mg at Week 0 followed by 40 mg at Week 2. In case there is a need for a more rapid response to therapy, the regimen 160 mg at Week 0 (given as two 80 mg inj</w:t>
      </w:r>
      <w:r w:rsidR="00053FB2">
        <w:rPr>
          <w:szCs w:val="20"/>
        </w:rPr>
        <w:t>ections in one day or as one 80 </w:t>
      </w:r>
      <w:r w:rsidRPr="00BC0E7E">
        <w:rPr>
          <w:szCs w:val="20"/>
        </w:rPr>
        <w:t>mg injection per day for two consecutive days),</w:t>
      </w:r>
      <w:r w:rsidR="003E4C7E">
        <w:rPr>
          <w:szCs w:val="20"/>
        </w:rPr>
        <w:t xml:space="preserve"> followed by</w:t>
      </w:r>
      <w:r w:rsidRPr="00BC0E7E">
        <w:rPr>
          <w:szCs w:val="20"/>
        </w:rPr>
        <w:t xml:space="preserve"> 80 mg at Week 2, can be used with the awareness that the risk for adverse events is higher during induction.</w:t>
      </w:r>
    </w:p>
    <w:p w14:paraId="32D41366" w14:textId="77777777" w:rsidR="00BC0E7E" w:rsidRPr="00BC0E7E" w:rsidRDefault="00BC0E7E" w:rsidP="00BC0E7E">
      <w:pPr>
        <w:rPr>
          <w:szCs w:val="20"/>
        </w:rPr>
      </w:pPr>
    </w:p>
    <w:p w14:paraId="0CF8FB70" w14:textId="77777777" w:rsidR="00BC0E7E" w:rsidRPr="00BC0E7E" w:rsidRDefault="00944B8F" w:rsidP="00BC0E7E">
      <w:pPr>
        <w:rPr>
          <w:szCs w:val="20"/>
        </w:rPr>
      </w:pPr>
      <w:r w:rsidRPr="00BC0E7E">
        <w:rPr>
          <w:szCs w:val="20"/>
        </w:rPr>
        <w:t>After induction treatment, the recommended dose is 40 mg every other week via subcutaneous injection. Alternatively, if a patient has stopped Humira and signs and symptoms of disease recur, Humira may be re</w:t>
      </w:r>
      <w:r w:rsidRPr="00BC0E7E">
        <w:rPr>
          <w:szCs w:val="20"/>
        </w:rPr>
        <w:noBreakHyphen/>
        <w:t>administered. There is little experience from re</w:t>
      </w:r>
      <w:r w:rsidRPr="00BC0E7E">
        <w:rPr>
          <w:szCs w:val="20"/>
        </w:rPr>
        <w:noBreakHyphen/>
        <w:t xml:space="preserve">administration after more than 8 weeks since the previous dose. </w:t>
      </w:r>
    </w:p>
    <w:p w14:paraId="46D2A0D3" w14:textId="77777777" w:rsidR="00BC0E7E" w:rsidRPr="00BC0E7E" w:rsidRDefault="00BC0E7E" w:rsidP="00BC0E7E">
      <w:pPr>
        <w:rPr>
          <w:szCs w:val="20"/>
        </w:rPr>
      </w:pPr>
    </w:p>
    <w:p w14:paraId="19708DC8" w14:textId="77777777" w:rsidR="00BC0E7E" w:rsidRPr="00BC0E7E" w:rsidRDefault="00944B8F" w:rsidP="00BC0E7E">
      <w:pPr>
        <w:rPr>
          <w:szCs w:val="20"/>
        </w:rPr>
      </w:pPr>
      <w:r w:rsidRPr="00BC0E7E">
        <w:rPr>
          <w:szCs w:val="20"/>
        </w:rPr>
        <w:t>During maintenance treatment, corticosteroids may be tapered in accordance with clinical practice guidelines.</w:t>
      </w:r>
    </w:p>
    <w:p w14:paraId="0DFBDDF1" w14:textId="77777777" w:rsidR="00BC0E7E" w:rsidRPr="00BC0E7E" w:rsidRDefault="00BC0E7E" w:rsidP="00BC0E7E">
      <w:pPr>
        <w:rPr>
          <w:szCs w:val="20"/>
        </w:rPr>
      </w:pPr>
    </w:p>
    <w:p w14:paraId="127E2771" w14:textId="77777777" w:rsidR="00BC0E7E" w:rsidRPr="00BC0E7E" w:rsidRDefault="00944B8F" w:rsidP="00BC0E7E">
      <w:pPr>
        <w:rPr>
          <w:szCs w:val="20"/>
        </w:rPr>
      </w:pPr>
      <w:r w:rsidRPr="00BC0E7E">
        <w:rPr>
          <w:szCs w:val="20"/>
        </w:rPr>
        <w:t xml:space="preserve">Some patients who experience decrease in their response </w:t>
      </w:r>
      <w:r w:rsidR="007C4056">
        <w:rPr>
          <w:szCs w:val="20"/>
        </w:rPr>
        <w:t>to Humira 40</w:t>
      </w:r>
      <w:r w:rsidR="00053FB2">
        <w:rPr>
          <w:szCs w:val="20"/>
        </w:rPr>
        <w:t> </w:t>
      </w:r>
      <w:r w:rsidR="007C4056">
        <w:rPr>
          <w:szCs w:val="20"/>
        </w:rPr>
        <w:t xml:space="preserve">mg every other week </w:t>
      </w:r>
      <w:r w:rsidRPr="00BC0E7E">
        <w:rPr>
          <w:szCs w:val="20"/>
        </w:rPr>
        <w:t>may benefit from an increase in dos</w:t>
      </w:r>
      <w:r w:rsidR="007C4056">
        <w:rPr>
          <w:szCs w:val="20"/>
        </w:rPr>
        <w:t>age</w:t>
      </w:r>
      <w:r w:rsidRPr="00BC0E7E">
        <w:rPr>
          <w:szCs w:val="20"/>
        </w:rPr>
        <w:t xml:space="preserve"> to 40 mg Humira every week</w:t>
      </w:r>
      <w:r w:rsidR="007C4056">
        <w:rPr>
          <w:szCs w:val="20"/>
        </w:rPr>
        <w:t xml:space="preserve"> or 80</w:t>
      </w:r>
      <w:r w:rsidR="00053FB2">
        <w:rPr>
          <w:szCs w:val="20"/>
        </w:rPr>
        <w:t> </w:t>
      </w:r>
      <w:r w:rsidR="007C4056">
        <w:rPr>
          <w:szCs w:val="20"/>
        </w:rPr>
        <w:t>mg every other week</w:t>
      </w:r>
      <w:r w:rsidRPr="00BC0E7E">
        <w:rPr>
          <w:szCs w:val="20"/>
        </w:rPr>
        <w:t>.</w:t>
      </w:r>
    </w:p>
    <w:p w14:paraId="0CBBD912" w14:textId="77777777" w:rsidR="00BC0E7E" w:rsidRPr="00BC0E7E" w:rsidRDefault="00BC0E7E" w:rsidP="00BC0E7E">
      <w:pPr>
        <w:rPr>
          <w:szCs w:val="20"/>
        </w:rPr>
      </w:pPr>
    </w:p>
    <w:p w14:paraId="1D8331CD" w14:textId="77777777" w:rsidR="00BC0E7E" w:rsidRPr="00BC0E7E" w:rsidRDefault="00944B8F" w:rsidP="00BC0E7E">
      <w:pPr>
        <w:rPr>
          <w:bCs/>
          <w:szCs w:val="20"/>
        </w:rPr>
      </w:pPr>
      <w:r w:rsidRPr="00BC0E7E">
        <w:rPr>
          <w:bCs/>
          <w:szCs w:val="20"/>
        </w:rPr>
        <w:t>Some patients who have not responded by Week 4 may benefit from continued maintenance therapy through Week 12. Continued therapy should be carefully reconsidered in a patient not responding within this time period.</w:t>
      </w:r>
    </w:p>
    <w:p w14:paraId="4D1A4A08" w14:textId="77777777" w:rsidR="00BC0E7E" w:rsidRDefault="00BC0E7E" w:rsidP="00BC0E7E">
      <w:pPr>
        <w:rPr>
          <w:bCs/>
          <w:szCs w:val="20"/>
        </w:rPr>
      </w:pPr>
    </w:p>
    <w:p w14:paraId="0496F678" w14:textId="77777777" w:rsidR="007C4056" w:rsidRDefault="00944B8F" w:rsidP="007C4056">
      <w:pPr>
        <w:rPr>
          <w:szCs w:val="20"/>
          <w:u w:val="single"/>
        </w:rPr>
      </w:pPr>
      <w:r w:rsidRPr="00D21ABE">
        <w:t>Humira may be available in other strengths and/or presentations depending on the individual treatment needs.</w:t>
      </w:r>
    </w:p>
    <w:p w14:paraId="2E79F9BD" w14:textId="77777777" w:rsidR="007C4056" w:rsidRPr="00BC0E7E" w:rsidRDefault="007C4056" w:rsidP="00BC0E7E">
      <w:pPr>
        <w:rPr>
          <w:bCs/>
          <w:szCs w:val="20"/>
        </w:rPr>
      </w:pPr>
    </w:p>
    <w:p w14:paraId="186E9E94" w14:textId="77777777" w:rsidR="00BC0E7E" w:rsidRPr="00BC0E7E" w:rsidRDefault="00944B8F" w:rsidP="00BC0E7E">
      <w:pPr>
        <w:rPr>
          <w:i/>
          <w:szCs w:val="20"/>
        </w:rPr>
      </w:pPr>
      <w:r w:rsidRPr="00BC0E7E">
        <w:rPr>
          <w:i/>
          <w:szCs w:val="20"/>
        </w:rPr>
        <w:t>Ulcerative colitis</w:t>
      </w:r>
    </w:p>
    <w:p w14:paraId="66C66237" w14:textId="77777777" w:rsidR="00BC0E7E" w:rsidRPr="00BC0E7E" w:rsidRDefault="00BC0E7E" w:rsidP="00BC0E7E">
      <w:pPr>
        <w:rPr>
          <w:szCs w:val="20"/>
        </w:rPr>
      </w:pPr>
    </w:p>
    <w:p w14:paraId="63B2B8A3" w14:textId="77777777" w:rsidR="00BC0E7E" w:rsidRPr="00BC0E7E" w:rsidRDefault="00944B8F" w:rsidP="00BC0E7E">
      <w:pPr>
        <w:rPr>
          <w:szCs w:val="20"/>
        </w:rPr>
      </w:pPr>
      <w:r w:rsidRPr="00BC0E7E">
        <w:rPr>
          <w:szCs w:val="20"/>
        </w:rPr>
        <w:t xml:space="preserve">The recommended Humira induction dose regimen for adult patients with moderate to severe ulcerative colitis is 160 mg at Week 0 (given as two 80 mg injections in one day or as one 80 mg injection per day for two consecutive days) and 80 mg at Week 2. After induction treatment, the recommended dose is 40 mg every other week via subcutaneous injection. </w:t>
      </w:r>
    </w:p>
    <w:p w14:paraId="5A622B31" w14:textId="77777777" w:rsidR="00BC0E7E" w:rsidRPr="00BC0E7E" w:rsidRDefault="00BC0E7E" w:rsidP="00BC0E7E">
      <w:pPr>
        <w:rPr>
          <w:szCs w:val="20"/>
        </w:rPr>
      </w:pPr>
    </w:p>
    <w:p w14:paraId="031FD8D0" w14:textId="77777777" w:rsidR="00BC0E7E" w:rsidRPr="00BC0E7E" w:rsidRDefault="00944B8F" w:rsidP="00BC0E7E">
      <w:pPr>
        <w:rPr>
          <w:szCs w:val="20"/>
        </w:rPr>
      </w:pPr>
      <w:r w:rsidRPr="00BC0E7E">
        <w:rPr>
          <w:szCs w:val="20"/>
        </w:rPr>
        <w:lastRenderedPageBreak/>
        <w:t xml:space="preserve">During maintenance treatment, corticosteroids may be tapered in accordance with clinical practice guidelines. </w:t>
      </w:r>
    </w:p>
    <w:p w14:paraId="77CD4726" w14:textId="77777777" w:rsidR="00BC0E7E" w:rsidRPr="00BC0E7E" w:rsidRDefault="00BC0E7E" w:rsidP="00BC0E7E">
      <w:pPr>
        <w:rPr>
          <w:szCs w:val="20"/>
        </w:rPr>
      </w:pPr>
    </w:p>
    <w:p w14:paraId="192F87BA" w14:textId="77777777" w:rsidR="00BC0E7E" w:rsidRPr="00BC0E7E" w:rsidRDefault="00944B8F" w:rsidP="00BC0E7E">
      <w:pPr>
        <w:rPr>
          <w:szCs w:val="20"/>
        </w:rPr>
      </w:pPr>
      <w:r w:rsidRPr="00BC0E7E">
        <w:rPr>
          <w:szCs w:val="20"/>
        </w:rPr>
        <w:t xml:space="preserve">Some patients who experience decrease in their response </w:t>
      </w:r>
      <w:r w:rsidR="00D00E46">
        <w:rPr>
          <w:szCs w:val="20"/>
        </w:rPr>
        <w:t>to 40</w:t>
      </w:r>
      <w:r w:rsidR="00053FB2">
        <w:rPr>
          <w:szCs w:val="20"/>
        </w:rPr>
        <w:t> </w:t>
      </w:r>
      <w:r w:rsidR="00D00E46">
        <w:rPr>
          <w:szCs w:val="20"/>
        </w:rPr>
        <w:t xml:space="preserve">mg every other week </w:t>
      </w:r>
      <w:r w:rsidRPr="00BC0E7E">
        <w:rPr>
          <w:szCs w:val="20"/>
        </w:rPr>
        <w:t>may benefit from an increase in dos</w:t>
      </w:r>
      <w:r w:rsidR="00D00E46">
        <w:rPr>
          <w:szCs w:val="20"/>
        </w:rPr>
        <w:t>age</w:t>
      </w:r>
      <w:r w:rsidRPr="00BC0E7E">
        <w:rPr>
          <w:szCs w:val="20"/>
        </w:rPr>
        <w:t xml:space="preserve"> to 40 mg Humira every week</w:t>
      </w:r>
      <w:r w:rsidR="00D00E46">
        <w:rPr>
          <w:szCs w:val="20"/>
        </w:rPr>
        <w:t xml:space="preserve"> or 80</w:t>
      </w:r>
      <w:r w:rsidR="00053FB2">
        <w:rPr>
          <w:szCs w:val="20"/>
        </w:rPr>
        <w:t> </w:t>
      </w:r>
      <w:r w:rsidR="00D00E46">
        <w:rPr>
          <w:szCs w:val="20"/>
        </w:rPr>
        <w:t>mg every other week</w:t>
      </w:r>
      <w:r w:rsidRPr="00BC0E7E">
        <w:rPr>
          <w:szCs w:val="20"/>
        </w:rPr>
        <w:t>.</w:t>
      </w:r>
    </w:p>
    <w:p w14:paraId="4F76ABFB" w14:textId="77777777" w:rsidR="00BC0E7E" w:rsidRPr="00BC0E7E" w:rsidRDefault="00BC0E7E" w:rsidP="00BC0E7E">
      <w:pPr>
        <w:rPr>
          <w:szCs w:val="20"/>
        </w:rPr>
      </w:pPr>
    </w:p>
    <w:p w14:paraId="16B0ABFB" w14:textId="77777777" w:rsidR="00BC0E7E" w:rsidRPr="00BC0E7E" w:rsidRDefault="00944B8F" w:rsidP="00BC0E7E">
      <w:pPr>
        <w:rPr>
          <w:szCs w:val="22"/>
        </w:rPr>
      </w:pPr>
      <w:r w:rsidRPr="00BC0E7E">
        <w:rPr>
          <w:szCs w:val="22"/>
        </w:rPr>
        <w:t>Available data suggest that clinical response is usually achieved within 2</w:t>
      </w:r>
      <w:r w:rsidRPr="00BC0E7E">
        <w:rPr>
          <w:szCs w:val="22"/>
        </w:rPr>
        <w:noBreakHyphen/>
        <w:t>8 weeks of treatment.  Humira therapy should not be continued in patients failing to respond within this time period.</w:t>
      </w:r>
    </w:p>
    <w:p w14:paraId="12C26FF6" w14:textId="77777777" w:rsidR="00BC0E7E" w:rsidRDefault="00BC0E7E" w:rsidP="00BC0E7E">
      <w:pPr>
        <w:rPr>
          <w:szCs w:val="22"/>
        </w:rPr>
      </w:pPr>
    </w:p>
    <w:p w14:paraId="484DF78D" w14:textId="77777777" w:rsidR="00D00E46" w:rsidRDefault="00944B8F" w:rsidP="00BC0E7E">
      <w:r w:rsidRPr="00D21ABE">
        <w:t>Humira may be available in other strengths and/or presentations depending on the individual treatment needs.</w:t>
      </w:r>
    </w:p>
    <w:p w14:paraId="721EA520" w14:textId="77777777" w:rsidR="00053FB2" w:rsidRPr="00BC0E7E" w:rsidRDefault="00053FB2" w:rsidP="00BC0E7E">
      <w:pPr>
        <w:rPr>
          <w:szCs w:val="22"/>
        </w:rPr>
      </w:pPr>
    </w:p>
    <w:p w14:paraId="1CB1B2B7" w14:textId="77777777" w:rsidR="00BC0E7E" w:rsidRPr="00BC0E7E" w:rsidRDefault="00944B8F" w:rsidP="00BC0E7E">
      <w:pPr>
        <w:keepNext/>
        <w:tabs>
          <w:tab w:val="clear" w:pos="562"/>
        </w:tabs>
        <w:suppressAutoHyphens w:val="0"/>
        <w:overflowPunct w:val="0"/>
        <w:autoSpaceDE w:val="0"/>
        <w:autoSpaceDN w:val="0"/>
        <w:adjustRightInd w:val="0"/>
        <w:textAlignment w:val="baseline"/>
        <w:rPr>
          <w:bCs/>
          <w:i/>
          <w:iCs/>
          <w:szCs w:val="20"/>
        </w:rPr>
      </w:pPr>
      <w:r w:rsidRPr="00BC0E7E">
        <w:rPr>
          <w:bCs/>
          <w:i/>
          <w:iCs/>
          <w:szCs w:val="20"/>
        </w:rPr>
        <w:t>Uveitis</w:t>
      </w:r>
    </w:p>
    <w:p w14:paraId="6821D425" w14:textId="77777777" w:rsidR="00BC0E7E" w:rsidRPr="00BC0E7E" w:rsidRDefault="00BC0E7E" w:rsidP="00BC0E7E">
      <w:pPr>
        <w:keepNext/>
        <w:tabs>
          <w:tab w:val="clear" w:pos="562"/>
        </w:tabs>
        <w:suppressAutoHyphens w:val="0"/>
        <w:overflowPunct w:val="0"/>
        <w:autoSpaceDE w:val="0"/>
        <w:autoSpaceDN w:val="0"/>
        <w:adjustRightInd w:val="0"/>
        <w:textAlignment w:val="baseline"/>
        <w:rPr>
          <w:bCs/>
          <w:iCs/>
          <w:szCs w:val="20"/>
        </w:rPr>
      </w:pPr>
    </w:p>
    <w:p w14:paraId="74D47C16" w14:textId="77777777" w:rsidR="00BC0E7E" w:rsidRPr="00BC0E7E" w:rsidRDefault="00944B8F" w:rsidP="00BC0E7E">
      <w:pPr>
        <w:keepNext/>
        <w:rPr>
          <w:szCs w:val="22"/>
        </w:rPr>
      </w:pPr>
      <w:r w:rsidRPr="00BC0E7E">
        <w:rPr>
          <w:szCs w:val="22"/>
        </w:rPr>
        <w:t xml:space="preserve">The recommended dose of Humira for adult patients with uveitis is an initial dose of 80 mg, followed by 40 mg given every other week starting one week after the initial dose. </w:t>
      </w:r>
      <w:r w:rsidRPr="00BC0E7E">
        <w:rPr>
          <w:szCs w:val="20"/>
        </w:rPr>
        <w:t xml:space="preserve">Humira 40 mg solution for injection in pre-filled syringe and/or pre-filled pen is available for the maintenance dose. </w:t>
      </w:r>
      <w:r w:rsidRPr="00BC0E7E">
        <w:rPr>
          <w:szCs w:val="22"/>
        </w:rPr>
        <w:t>There is limited experience in the initiation of treatment with Humira alone. Treatment with Humira can be initiated in combination with corticosteroids and/or with other non-biologic immunomodulatory agents. Concomitant corticosteroids may be tapered in accordance with clinical practice starting two weeks after initiating treatment with Humira.</w:t>
      </w:r>
    </w:p>
    <w:p w14:paraId="16A9405F" w14:textId="77777777" w:rsidR="00BC0E7E" w:rsidRPr="00BC0E7E" w:rsidRDefault="00BC0E7E" w:rsidP="00BC0E7E">
      <w:pPr>
        <w:rPr>
          <w:szCs w:val="22"/>
        </w:rPr>
      </w:pPr>
    </w:p>
    <w:p w14:paraId="76173109" w14:textId="77777777" w:rsidR="00BC0E7E" w:rsidRPr="00BC0E7E" w:rsidRDefault="00944B8F" w:rsidP="00BC0E7E">
      <w:pPr>
        <w:rPr>
          <w:szCs w:val="22"/>
        </w:rPr>
      </w:pPr>
      <w:r w:rsidRPr="00BC0E7E">
        <w:rPr>
          <w:szCs w:val="22"/>
        </w:rPr>
        <w:t xml:space="preserve">It is recommended that the benefit and risk of continued long-term treatment should be evaluated on a yearly basis (see section 5.1).  </w:t>
      </w:r>
    </w:p>
    <w:p w14:paraId="72C10CC5" w14:textId="77777777" w:rsidR="00BC0E7E" w:rsidRDefault="00BC0E7E" w:rsidP="00BC0E7E">
      <w:pPr>
        <w:rPr>
          <w:szCs w:val="22"/>
        </w:rPr>
      </w:pPr>
    </w:p>
    <w:p w14:paraId="7313CDFC" w14:textId="77777777" w:rsidR="00FC14DA" w:rsidRDefault="00944B8F" w:rsidP="00FC14DA">
      <w:pPr>
        <w:rPr>
          <w:szCs w:val="22"/>
        </w:rPr>
      </w:pPr>
      <w:r>
        <w:rPr>
          <w:szCs w:val="22"/>
        </w:rPr>
        <w:t>Humira may be available in other strengths and/or presentations depending on the individual treatment needs.</w:t>
      </w:r>
    </w:p>
    <w:p w14:paraId="59D23674" w14:textId="77777777" w:rsidR="00FC14DA" w:rsidRDefault="00FC14DA" w:rsidP="00BC0E7E">
      <w:pPr>
        <w:rPr>
          <w:szCs w:val="22"/>
        </w:rPr>
      </w:pPr>
    </w:p>
    <w:p w14:paraId="707FEE5C" w14:textId="77777777" w:rsidR="009043B2" w:rsidRDefault="00944B8F" w:rsidP="00BC0E7E">
      <w:pPr>
        <w:rPr>
          <w:u w:val="single"/>
        </w:rPr>
      </w:pPr>
      <w:r>
        <w:rPr>
          <w:u w:val="single"/>
        </w:rPr>
        <w:t>Special populations</w:t>
      </w:r>
    </w:p>
    <w:p w14:paraId="76E820AD" w14:textId="77777777" w:rsidR="009043B2" w:rsidRPr="00BC0E7E" w:rsidRDefault="009043B2" w:rsidP="00BC0E7E">
      <w:pPr>
        <w:rPr>
          <w:szCs w:val="22"/>
        </w:rPr>
      </w:pPr>
    </w:p>
    <w:p w14:paraId="423A845C" w14:textId="77777777" w:rsidR="00BC0E7E" w:rsidRPr="000244DF" w:rsidRDefault="00944B8F" w:rsidP="00BC0E7E">
      <w:r w:rsidRPr="000244DF">
        <w:t>Elderly</w:t>
      </w:r>
    </w:p>
    <w:p w14:paraId="59F48C78" w14:textId="77777777" w:rsidR="00BC0E7E" w:rsidRPr="00BC0E7E" w:rsidRDefault="00BC0E7E" w:rsidP="00BC0E7E">
      <w:pPr>
        <w:rPr>
          <w:u w:val="single"/>
        </w:rPr>
      </w:pPr>
    </w:p>
    <w:p w14:paraId="15BDC9A3" w14:textId="77777777" w:rsidR="00BC0E7E" w:rsidRPr="00BC0E7E" w:rsidRDefault="00944B8F" w:rsidP="00BC0E7E">
      <w:r w:rsidRPr="00BC0E7E">
        <w:t>No dose adjustment is required.</w:t>
      </w:r>
    </w:p>
    <w:p w14:paraId="2CED373A" w14:textId="77777777" w:rsidR="00BC0E7E" w:rsidRPr="00BC0E7E" w:rsidRDefault="00BC0E7E" w:rsidP="00BC0E7E"/>
    <w:p w14:paraId="236C6AB6" w14:textId="77777777" w:rsidR="00BC0E7E" w:rsidRPr="000244DF" w:rsidRDefault="00944B8F" w:rsidP="00BC0E7E">
      <w:r w:rsidRPr="000244DF">
        <w:t>Renal and/or hepatic impairment</w:t>
      </w:r>
    </w:p>
    <w:p w14:paraId="11469C44" w14:textId="77777777" w:rsidR="00BC0E7E" w:rsidRPr="00BC0E7E" w:rsidRDefault="00BC0E7E" w:rsidP="00BC0E7E"/>
    <w:p w14:paraId="5CE58F81" w14:textId="77777777" w:rsidR="00BC0E7E" w:rsidRPr="00BC0E7E" w:rsidRDefault="00944B8F" w:rsidP="00BC0E7E">
      <w:r w:rsidRPr="00BC0E7E">
        <w:t>Humira has not been studied in these patient populations. No dose recommendations can be made.</w:t>
      </w:r>
    </w:p>
    <w:p w14:paraId="6DBF278B" w14:textId="77777777" w:rsidR="00BC0E7E" w:rsidRPr="00BC0E7E" w:rsidRDefault="00BC0E7E" w:rsidP="00BC0E7E"/>
    <w:p w14:paraId="595CFDF9" w14:textId="77777777" w:rsidR="00BC0E7E" w:rsidRPr="000244DF" w:rsidRDefault="00944B8F" w:rsidP="00BC0E7E">
      <w:pPr>
        <w:rPr>
          <w:szCs w:val="20"/>
        </w:rPr>
      </w:pPr>
      <w:r w:rsidRPr="000244DF">
        <w:rPr>
          <w:szCs w:val="20"/>
        </w:rPr>
        <w:t>Paediatric population</w:t>
      </w:r>
    </w:p>
    <w:p w14:paraId="5F882AAC" w14:textId="77777777" w:rsidR="00BC0E7E" w:rsidRPr="00BC0E7E" w:rsidRDefault="00BC0E7E" w:rsidP="00BC0E7E">
      <w:pPr>
        <w:rPr>
          <w:szCs w:val="20"/>
          <w:u w:val="single"/>
        </w:rPr>
      </w:pPr>
    </w:p>
    <w:p w14:paraId="05D9F3EF" w14:textId="77777777" w:rsidR="008E04C0" w:rsidRPr="00BC0E7E" w:rsidRDefault="00944B8F" w:rsidP="008E04C0">
      <w:pPr>
        <w:rPr>
          <w:i/>
          <w:szCs w:val="20"/>
        </w:rPr>
      </w:pPr>
      <w:r w:rsidRPr="00BC0E7E">
        <w:rPr>
          <w:i/>
          <w:szCs w:val="20"/>
        </w:rPr>
        <w:t>Paediatric plaque psoriasis</w:t>
      </w:r>
    </w:p>
    <w:p w14:paraId="156FDD6F" w14:textId="77777777" w:rsidR="008E04C0" w:rsidRPr="00BC0E7E" w:rsidRDefault="008E04C0" w:rsidP="008E04C0">
      <w:pPr>
        <w:rPr>
          <w:i/>
          <w:szCs w:val="20"/>
        </w:rPr>
      </w:pPr>
    </w:p>
    <w:p w14:paraId="7F8EBB58" w14:textId="77777777" w:rsidR="008E04C0" w:rsidRPr="00BC0E7E" w:rsidRDefault="00944B8F" w:rsidP="008E04C0">
      <w:pPr>
        <w:rPr>
          <w:i/>
          <w:szCs w:val="20"/>
        </w:rPr>
      </w:pPr>
      <w:r w:rsidRPr="00BC0E7E">
        <w:rPr>
          <w:szCs w:val="20"/>
        </w:rPr>
        <w:t xml:space="preserve">The safety and efficacy of Humira in children aged 4-17 years have been established for plaque psoriasis. The recommended Humira dose is up to a maximum of 40 mg per dose.  </w:t>
      </w:r>
    </w:p>
    <w:p w14:paraId="21B61EE0" w14:textId="77777777" w:rsidR="008E04C0" w:rsidRPr="00BC0E7E" w:rsidRDefault="008E04C0" w:rsidP="008E04C0">
      <w:pPr>
        <w:rPr>
          <w:i/>
          <w:szCs w:val="20"/>
        </w:rPr>
      </w:pPr>
    </w:p>
    <w:p w14:paraId="62CB2D3F" w14:textId="77777777" w:rsidR="00BC0E7E" w:rsidRPr="00BC0E7E" w:rsidRDefault="00944B8F" w:rsidP="00BC0E7E">
      <w:pPr>
        <w:keepNext/>
        <w:rPr>
          <w:i/>
        </w:rPr>
      </w:pPr>
      <w:r w:rsidRPr="00BC0E7E">
        <w:rPr>
          <w:i/>
        </w:rPr>
        <w:t>Adolescent hidradenitis suppurativa (from 12 years of age, weighing at least 30 kg)</w:t>
      </w:r>
    </w:p>
    <w:p w14:paraId="2793BABB" w14:textId="77777777" w:rsidR="00BC0E7E" w:rsidRPr="00BC0E7E" w:rsidRDefault="00BC0E7E" w:rsidP="00BC0E7E">
      <w:pPr>
        <w:keepNext/>
        <w:rPr>
          <w:i/>
        </w:rPr>
      </w:pPr>
    </w:p>
    <w:p w14:paraId="696F6089" w14:textId="77777777" w:rsidR="00BC0E7E" w:rsidRPr="00BC0E7E" w:rsidRDefault="00944B8F" w:rsidP="00BC0E7E">
      <w:pPr>
        <w:rPr>
          <w:shd w:val="clear" w:color="auto" w:fill="FFFFFF"/>
        </w:rPr>
      </w:pPr>
      <w:r w:rsidRPr="00BC0E7E">
        <w:t>There are no clinical trials with Humira in adolescent patients with HS.  The posology of Humira in these patients has been determined from pharmacokinetic modelling and simulation (see section 5.2).</w:t>
      </w:r>
    </w:p>
    <w:p w14:paraId="70D76858" w14:textId="77777777" w:rsidR="00BC0E7E" w:rsidRPr="00BC0E7E" w:rsidRDefault="00BC0E7E" w:rsidP="00BC0E7E">
      <w:pPr>
        <w:rPr>
          <w:szCs w:val="20"/>
        </w:rPr>
      </w:pPr>
    </w:p>
    <w:p w14:paraId="12CAEC7C" w14:textId="77777777" w:rsidR="00BC0E7E" w:rsidRPr="00BC0E7E" w:rsidRDefault="00944B8F" w:rsidP="00930CBB">
      <w:pPr>
        <w:rPr>
          <w:szCs w:val="20"/>
        </w:rPr>
      </w:pPr>
      <w:r w:rsidRPr="00BC0E7E">
        <w:rPr>
          <w:szCs w:val="20"/>
        </w:rPr>
        <w:t>Th</w:t>
      </w:r>
      <w:r w:rsidR="002B1B68">
        <w:rPr>
          <w:szCs w:val="20"/>
        </w:rPr>
        <w:t>e recommended Humira dose is 80 mg at Week 0 followed by 40 </w:t>
      </w:r>
      <w:r w:rsidRPr="00BC0E7E">
        <w:rPr>
          <w:szCs w:val="20"/>
        </w:rPr>
        <w:t>mg ev</w:t>
      </w:r>
      <w:r w:rsidR="002B1B68">
        <w:rPr>
          <w:szCs w:val="20"/>
        </w:rPr>
        <w:t>ery other week starting at Week </w:t>
      </w:r>
      <w:r w:rsidRPr="00BC0E7E">
        <w:rPr>
          <w:szCs w:val="20"/>
        </w:rPr>
        <w:t xml:space="preserve">1 via subcutaneous injection. </w:t>
      </w:r>
    </w:p>
    <w:p w14:paraId="0DDF15E9" w14:textId="77777777" w:rsidR="00BC0E7E" w:rsidRPr="00BC0E7E" w:rsidRDefault="00BC0E7E" w:rsidP="00BC0E7E">
      <w:pPr>
        <w:rPr>
          <w:szCs w:val="20"/>
        </w:rPr>
      </w:pPr>
    </w:p>
    <w:p w14:paraId="42583C59" w14:textId="77777777" w:rsidR="00BC0E7E" w:rsidRPr="00BC0E7E" w:rsidRDefault="00944B8F" w:rsidP="00BC0E7E">
      <w:r w:rsidRPr="00BC0E7E">
        <w:lastRenderedPageBreak/>
        <w:t>In adolescent patients with i</w:t>
      </w:r>
      <w:r w:rsidR="00053FB2">
        <w:t>nadequate response to Humira 40 </w:t>
      </w:r>
      <w:r w:rsidRPr="00BC0E7E">
        <w:t>mg every other week, an increase in dos</w:t>
      </w:r>
      <w:r w:rsidR="00CC222E">
        <w:t>age</w:t>
      </w:r>
      <w:r w:rsidR="00053FB2">
        <w:t xml:space="preserve"> to 40 </w:t>
      </w:r>
      <w:r w:rsidRPr="00BC0E7E">
        <w:t xml:space="preserve">mg every week </w:t>
      </w:r>
      <w:r w:rsidR="00CC222E">
        <w:t>or 80</w:t>
      </w:r>
      <w:r w:rsidR="00053FB2">
        <w:t> </w:t>
      </w:r>
      <w:r w:rsidR="00CC222E">
        <w:t xml:space="preserve">mg every other week </w:t>
      </w:r>
      <w:r w:rsidRPr="00BC0E7E">
        <w:t xml:space="preserve">may be considered. </w:t>
      </w:r>
    </w:p>
    <w:p w14:paraId="4E0FFEB8" w14:textId="77777777" w:rsidR="00BC0E7E" w:rsidRPr="00BC0E7E" w:rsidRDefault="00BC0E7E" w:rsidP="00BC0E7E">
      <w:pPr>
        <w:rPr>
          <w:szCs w:val="20"/>
        </w:rPr>
      </w:pPr>
    </w:p>
    <w:p w14:paraId="56ABB142" w14:textId="77777777" w:rsidR="00BC0E7E" w:rsidRPr="00BC0E7E" w:rsidRDefault="00944B8F" w:rsidP="00BC0E7E">
      <w:pPr>
        <w:rPr>
          <w:szCs w:val="20"/>
        </w:rPr>
      </w:pPr>
      <w:r w:rsidRPr="00BC0E7E">
        <w:rPr>
          <w:szCs w:val="20"/>
        </w:rPr>
        <w:t xml:space="preserve">Antibiotics may be continued during treatment with Humira if necessary. It is recommended that the patient should use a topical antiseptic wash on their HS lesions on a daily basis during treatment with Humira. </w:t>
      </w:r>
    </w:p>
    <w:p w14:paraId="13BC17B5" w14:textId="77777777" w:rsidR="00BC0E7E" w:rsidRPr="00BC0E7E" w:rsidRDefault="00BC0E7E" w:rsidP="00BC0E7E">
      <w:pPr>
        <w:rPr>
          <w:szCs w:val="20"/>
        </w:rPr>
      </w:pPr>
    </w:p>
    <w:p w14:paraId="31E62F5B" w14:textId="77777777" w:rsidR="00BC0E7E" w:rsidRPr="00BC0E7E" w:rsidRDefault="00944B8F" w:rsidP="00BC0E7E">
      <w:pPr>
        <w:rPr>
          <w:szCs w:val="20"/>
        </w:rPr>
      </w:pPr>
      <w:r w:rsidRPr="00BC0E7E">
        <w:rPr>
          <w:szCs w:val="20"/>
        </w:rPr>
        <w:t xml:space="preserve">Continued therapy beyond 12 weeks should be carefully reconsidered in a patient with no improvement within this time period.  </w:t>
      </w:r>
    </w:p>
    <w:p w14:paraId="66B37D2A" w14:textId="77777777" w:rsidR="00BC0E7E" w:rsidRPr="00BC0E7E" w:rsidRDefault="00BC0E7E" w:rsidP="00BC0E7E">
      <w:pPr>
        <w:rPr>
          <w:i/>
        </w:rPr>
      </w:pPr>
    </w:p>
    <w:p w14:paraId="0ED59C90" w14:textId="77777777" w:rsidR="00BC0E7E" w:rsidRPr="00BC0E7E" w:rsidRDefault="00944B8F" w:rsidP="00BC0E7E">
      <w:pPr>
        <w:rPr>
          <w:szCs w:val="20"/>
        </w:rPr>
      </w:pPr>
      <w:r w:rsidRPr="00BC0E7E">
        <w:rPr>
          <w:szCs w:val="20"/>
        </w:rPr>
        <w:t>Should treatment be interrupted, Humira may be re-introduced as appropriate.</w:t>
      </w:r>
    </w:p>
    <w:p w14:paraId="33E3EDCC" w14:textId="77777777" w:rsidR="00BC0E7E" w:rsidRPr="00BC0E7E" w:rsidRDefault="00BC0E7E" w:rsidP="00BC0E7E">
      <w:pPr>
        <w:rPr>
          <w:szCs w:val="20"/>
        </w:rPr>
      </w:pPr>
    </w:p>
    <w:p w14:paraId="4A266867" w14:textId="77777777" w:rsidR="00BC0E7E" w:rsidRPr="00BC0E7E" w:rsidRDefault="00944B8F" w:rsidP="00BC0E7E">
      <w:pPr>
        <w:rPr>
          <w:szCs w:val="20"/>
        </w:rPr>
      </w:pPr>
      <w:r w:rsidRPr="00BC0E7E">
        <w:rPr>
          <w:szCs w:val="20"/>
        </w:rPr>
        <w:t>The benefit and risk of continued long-term treatment should be periodically evaluated (see adult data in section 5.1)</w:t>
      </w:r>
    </w:p>
    <w:p w14:paraId="3E800139" w14:textId="77777777" w:rsidR="00487394" w:rsidRPr="00BC0E7E" w:rsidRDefault="00487394" w:rsidP="00BC0E7E">
      <w:pPr>
        <w:rPr>
          <w:szCs w:val="20"/>
        </w:rPr>
      </w:pPr>
    </w:p>
    <w:p w14:paraId="4FBBBE53" w14:textId="77777777" w:rsidR="00BC0E7E" w:rsidRPr="00BC0E7E" w:rsidRDefault="00944B8F" w:rsidP="00BC0E7E">
      <w:r w:rsidRPr="00BC0E7E">
        <w:t>There is no relevant use of Humira in children aged less than 12 years in this indication.</w:t>
      </w:r>
    </w:p>
    <w:p w14:paraId="70814F17" w14:textId="77777777" w:rsidR="00FC14DA" w:rsidRDefault="00FC14DA" w:rsidP="00FC14DA">
      <w:pPr>
        <w:rPr>
          <w:szCs w:val="22"/>
        </w:rPr>
      </w:pPr>
    </w:p>
    <w:p w14:paraId="2BC41680" w14:textId="77777777" w:rsidR="00FC14DA" w:rsidRDefault="00944B8F" w:rsidP="00FC14DA">
      <w:pPr>
        <w:rPr>
          <w:szCs w:val="22"/>
        </w:rPr>
      </w:pPr>
      <w:r>
        <w:rPr>
          <w:szCs w:val="22"/>
        </w:rPr>
        <w:t>Humira may be available in other strengths and/or presentations depending on the individual treatment needs.</w:t>
      </w:r>
    </w:p>
    <w:p w14:paraId="1C9FEAC5" w14:textId="77777777" w:rsidR="00BC0E7E" w:rsidRPr="00BC0E7E" w:rsidRDefault="00BC0E7E" w:rsidP="00BC0E7E"/>
    <w:p w14:paraId="3DFE38DF" w14:textId="77777777" w:rsidR="00BC0E7E" w:rsidRPr="00BC0E7E" w:rsidRDefault="00944B8F" w:rsidP="00BC0E7E">
      <w:pPr>
        <w:keepNext/>
        <w:rPr>
          <w:i/>
        </w:rPr>
      </w:pPr>
      <w:r w:rsidRPr="00BC0E7E">
        <w:rPr>
          <w:i/>
        </w:rPr>
        <w:t>Paediatric Crohn's disease</w:t>
      </w:r>
    </w:p>
    <w:p w14:paraId="5CD88A6B" w14:textId="77777777" w:rsidR="00BC0E7E" w:rsidRPr="00BC0E7E" w:rsidRDefault="00BC0E7E" w:rsidP="00BC0E7E">
      <w:pPr>
        <w:keepNext/>
        <w:rPr>
          <w:u w:val="single"/>
        </w:rPr>
      </w:pPr>
    </w:p>
    <w:p w14:paraId="7A4308AE" w14:textId="77777777" w:rsidR="00930CBB" w:rsidRDefault="00944B8F" w:rsidP="00930CBB">
      <w:pPr>
        <w:rPr>
          <w:szCs w:val="22"/>
        </w:rPr>
      </w:pPr>
      <w:r>
        <w:rPr>
          <w:szCs w:val="22"/>
        </w:rPr>
        <w:t xml:space="preserve">The recommended dose of Humira for patients with Crohn’s disease from 6 to 17 years of age is based on body weight (Table 1). Humira is administered via subcutaneous injection. </w:t>
      </w:r>
    </w:p>
    <w:p w14:paraId="78B0E4EE" w14:textId="77777777" w:rsidR="00930CBB" w:rsidRDefault="00930CBB" w:rsidP="00930CBB">
      <w:pPr>
        <w:rPr>
          <w:szCs w:val="22"/>
        </w:rPr>
      </w:pPr>
    </w:p>
    <w:p w14:paraId="354B8A0E" w14:textId="77777777" w:rsidR="00930CBB" w:rsidRPr="007F079A" w:rsidRDefault="00944B8F" w:rsidP="00930CBB">
      <w:pPr>
        <w:jc w:val="center"/>
        <w:rPr>
          <w:szCs w:val="22"/>
        </w:rPr>
      </w:pPr>
      <w:r>
        <w:rPr>
          <w:b/>
          <w:szCs w:val="22"/>
        </w:rPr>
        <w:t>Table 1. Humira Dose for Paediatric Patients with Crohn’s disease</w:t>
      </w:r>
    </w:p>
    <w:p w14:paraId="2DFBFDD9" w14:textId="77777777" w:rsidR="00930CBB" w:rsidRDefault="00930CBB" w:rsidP="00930CBB"/>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72"/>
        <w:gridCol w:w="6858"/>
        <w:gridCol w:w="1572"/>
      </w:tblGrid>
      <w:tr w:rsidR="00C6578C" w14:paraId="6A29A188" w14:textId="77777777" w:rsidTr="00930CBB">
        <w:trPr>
          <w:tblHead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746419A" w14:textId="77777777" w:rsidR="00930CBB" w:rsidRDefault="00944B8F" w:rsidP="00930CBB">
            <w:pPr>
              <w:jc w:val="center"/>
            </w:pPr>
            <w:r>
              <w:rPr>
                <w:b/>
              </w:rPr>
              <w:t>Patient Weight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D4F8DA2" w14:textId="77777777" w:rsidR="00930CBB" w:rsidRDefault="00944B8F" w:rsidP="00930CBB">
            <w:pPr>
              <w:jc w:val="center"/>
            </w:pPr>
            <w:r>
              <w:rPr>
                <w:b/>
              </w:rPr>
              <w:t>Induction Dose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FF94DC8" w14:textId="77777777" w:rsidR="00930CBB" w:rsidRDefault="00944B8F" w:rsidP="00930CBB">
            <w:pPr>
              <w:jc w:val="center"/>
            </w:pPr>
            <w:r>
              <w:rPr>
                <w:b/>
              </w:rPr>
              <w:t>Maintenance Dose</w:t>
            </w:r>
            <w:r>
              <w:rPr>
                <w:b/>
              </w:rPr>
              <w:br/>
              <w:t>Starting at Week 4</w:t>
            </w:r>
          </w:p>
        </w:tc>
      </w:tr>
      <w:tr w:rsidR="00C6578C" w14:paraId="595FCAE2" w14:textId="77777777" w:rsidTr="00930CBB">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A26E13B" w14:textId="77777777" w:rsidR="00930CBB" w:rsidRDefault="00944B8F" w:rsidP="00930CBB">
            <w:pPr>
              <w:jc w:val="center"/>
            </w:pPr>
            <w:r>
              <w:t>&lt; 40 kg</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09B73D2" w14:textId="77777777" w:rsidR="00930CBB" w:rsidRDefault="00944B8F" w:rsidP="00AF6B81">
            <w:pPr>
              <w:numPr>
                <w:ilvl w:val="0"/>
                <w:numId w:val="92"/>
              </w:numPr>
              <w:tabs>
                <w:tab w:val="clear" w:pos="562"/>
                <w:tab w:val="left" w:pos="720"/>
              </w:tabs>
              <w:suppressAutoHyphens w:val="0"/>
              <w:ind w:left="307" w:hanging="180"/>
              <w:rPr>
                <w:szCs w:val="22"/>
              </w:rPr>
            </w:pPr>
            <w:r>
              <w:rPr>
                <w:szCs w:val="22"/>
              </w:rPr>
              <w:t>40 mg at Week 0 and 20 mg at Week 2</w:t>
            </w:r>
          </w:p>
          <w:p w14:paraId="06B6FB89" w14:textId="77777777" w:rsidR="00930CBB" w:rsidRDefault="00930CBB" w:rsidP="00930CBB">
            <w:pPr>
              <w:tabs>
                <w:tab w:val="clear" w:pos="562"/>
                <w:tab w:val="left" w:pos="720"/>
              </w:tabs>
              <w:suppressAutoHyphens w:val="0"/>
              <w:ind w:left="337"/>
              <w:rPr>
                <w:szCs w:val="22"/>
              </w:rPr>
            </w:pPr>
          </w:p>
          <w:p w14:paraId="34DC6BBF" w14:textId="77777777" w:rsidR="00930CBB" w:rsidRDefault="00944B8F" w:rsidP="00930CBB">
            <w:pPr>
              <w:tabs>
                <w:tab w:val="clear" w:pos="562"/>
                <w:tab w:val="left" w:pos="720"/>
              </w:tabs>
              <w:suppressAutoHyphens w:val="0"/>
              <w:ind w:left="150"/>
              <w:rPr>
                <w:szCs w:val="22"/>
              </w:rPr>
            </w:pPr>
            <w:r>
              <w:rPr>
                <w:szCs w:val="22"/>
              </w:rPr>
              <w:t xml:space="preserve">In case there is a need for a more rapid response to therapy </w:t>
            </w:r>
            <w:r>
              <w:rPr>
                <w:iCs/>
                <w:szCs w:val="22"/>
              </w:rPr>
              <w:t>with the awareness that the risk for adverse events may be higher with use of the higher induction dose, the following dose may be used:</w:t>
            </w:r>
          </w:p>
          <w:p w14:paraId="071E41FA" w14:textId="77777777" w:rsidR="00930CBB" w:rsidRDefault="00944B8F" w:rsidP="00AF6B81">
            <w:pPr>
              <w:numPr>
                <w:ilvl w:val="0"/>
                <w:numId w:val="93"/>
              </w:numPr>
              <w:tabs>
                <w:tab w:val="clear" w:pos="562"/>
                <w:tab w:val="left" w:pos="720"/>
              </w:tabs>
              <w:suppressAutoHyphens w:val="0"/>
              <w:ind w:left="307" w:hanging="180"/>
              <w:rPr>
                <w:iCs/>
                <w:szCs w:val="22"/>
              </w:rPr>
            </w:pPr>
            <w:r>
              <w:rPr>
                <w:szCs w:val="22"/>
              </w:rPr>
              <w:t>80 mg at Week 0 and 40 mg at Week 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ED5C127" w14:textId="77777777" w:rsidR="00930CBB" w:rsidRDefault="00944B8F" w:rsidP="00930CBB">
            <w:pPr>
              <w:tabs>
                <w:tab w:val="clear" w:pos="562"/>
                <w:tab w:val="left" w:pos="720"/>
              </w:tabs>
              <w:suppressAutoHyphens w:val="0"/>
              <w:jc w:val="center"/>
            </w:pPr>
            <w:r>
              <w:t>20 mg every other week</w:t>
            </w:r>
          </w:p>
        </w:tc>
      </w:tr>
      <w:tr w:rsidR="00C6578C" w14:paraId="724F9FCC" w14:textId="77777777" w:rsidTr="00930CBB">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AF73883" w14:textId="77777777" w:rsidR="00930CBB" w:rsidRDefault="00944B8F" w:rsidP="00930CBB">
            <w:pPr>
              <w:jc w:val="center"/>
            </w:pPr>
            <w:r>
              <w:t>≥ 40 kg</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93FCF76" w14:textId="77777777" w:rsidR="00930CBB" w:rsidRDefault="00944B8F" w:rsidP="00AF6B81">
            <w:pPr>
              <w:numPr>
                <w:ilvl w:val="0"/>
                <w:numId w:val="94"/>
              </w:numPr>
              <w:tabs>
                <w:tab w:val="clear" w:pos="562"/>
                <w:tab w:val="left" w:pos="720"/>
              </w:tabs>
              <w:suppressAutoHyphens w:val="0"/>
              <w:ind w:left="307" w:hanging="175"/>
              <w:rPr>
                <w:szCs w:val="22"/>
              </w:rPr>
            </w:pPr>
            <w:r>
              <w:rPr>
                <w:szCs w:val="22"/>
              </w:rPr>
              <w:t>80 mg at Week 0 and 40 mg at Week 2</w:t>
            </w:r>
          </w:p>
          <w:p w14:paraId="70069B7C" w14:textId="77777777" w:rsidR="00930CBB" w:rsidRDefault="00930CBB" w:rsidP="00930CBB">
            <w:pPr>
              <w:tabs>
                <w:tab w:val="clear" w:pos="562"/>
                <w:tab w:val="left" w:pos="720"/>
              </w:tabs>
              <w:suppressAutoHyphens w:val="0"/>
              <w:rPr>
                <w:szCs w:val="22"/>
              </w:rPr>
            </w:pPr>
          </w:p>
          <w:p w14:paraId="4887D809" w14:textId="77777777" w:rsidR="00930CBB" w:rsidRDefault="00944B8F" w:rsidP="00930CBB">
            <w:pPr>
              <w:tabs>
                <w:tab w:val="clear" w:pos="562"/>
                <w:tab w:val="left" w:pos="720"/>
              </w:tabs>
              <w:suppressAutoHyphens w:val="0"/>
              <w:ind w:left="150"/>
              <w:rPr>
                <w:iCs/>
                <w:szCs w:val="22"/>
              </w:rPr>
            </w:pPr>
            <w:r>
              <w:rPr>
                <w:szCs w:val="22"/>
              </w:rPr>
              <w:t xml:space="preserve">In case there is a need for a more rapid response to therapy </w:t>
            </w:r>
            <w:r>
              <w:rPr>
                <w:iCs/>
                <w:szCs w:val="22"/>
              </w:rPr>
              <w:t>with the awareness that the risk for adverse events may be higher with use of the higher induction dose, the following dose may be used:</w:t>
            </w:r>
          </w:p>
          <w:p w14:paraId="1E77B201" w14:textId="77777777" w:rsidR="00930CBB" w:rsidRDefault="00944B8F" w:rsidP="00AF6B81">
            <w:pPr>
              <w:numPr>
                <w:ilvl w:val="0"/>
                <w:numId w:val="95"/>
              </w:numPr>
              <w:tabs>
                <w:tab w:val="clear" w:pos="562"/>
                <w:tab w:val="left" w:pos="720"/>
              </w:tabs>
              <w:suppressAutoHyphens w:val="0"/>
              <w:ind w:left="314" w:hanging="187"/>
              <w:rPr>
                <w:szCs w:val="22"/>
              </w:rPr>
            </w:pPr>
            <w:r>
              <w:rPr>
                <w:szCs w:val="22"/>
              </w:rPr>
              <w:t>160 mg at Week 0 and 80 mg at Week 2</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0F496F1" w14:textId="77777777" w:rsidR="00930CBB" w:rsidRDefault="00944B8F" w:rsidP="00930CBB">
            <w:pPr>
              <w:tabs>
                <w:tab w:val="clear" w:pos="562"/>
                <w:tab w:val="left" w:pos="720"/>
              </w:tabs>
              <w:suppressAutoHyphens w:val="0"/>
              <w:jc w:val="center"/>
            </w:pPr>
            <w:r>
              <w:t>40 mg every other week</w:t>
            </w:r>
          </w:p>
        </w:tc>
      </w:tr>
    </w:tbl>
    <w:p w14:paraId="73B245E0" w14:textId="77777777" w:rsidR="00930CBB" w:rsidRDefault="00930CBB" w:rsidP="00930CBB">
      <w:pPr>
        <w:keepNext/>
      </w:pPr>
    </w:p>
    <w:p w14:paraId="192F8A74" w14:textId="77777777" w:rsidR="00930CBB" w:rsidRDefault="00944B8F" w:rsidP="00930CBB">
      <w:pPr>
        <w:keepNext/>
      </w:pPr>
      <w:r>
        <w:t xml:space="preserve">Patients who experience insufficient response may benefit from an increase in </w:t>
      </w:r>
      <w:r w:rsidR="001F67CD">
        <w:t>dosage</w:t>
      </w:r>
      <w:r>
        <w:t>:</w:t>
      </w:r>
    </w:p>
    <w:p w14:paraId="4FDF4328" w14:textId="77777777" w:rsidR="00930CBB" w:rsidRDefault="00944B8F" w:rsidP="00AF6B81">
      <w:pPr>
        <w:keepNext/>
        <w:numPr>
          <w:ilvl w:val="0"/>
          <w:numId w:val="95"/>
        </w:numPr>
        <w:ind w:left="540" w:hanging="540"/>
      </w:pPr>
      <w:r>
        <w:t>&lt; 40 kg: 20 mg every week</w:t>
      </w:r>
    </w:p>
    <w:p w14:paraId="43202627" w14:textId="77777777" w:rsidR="00930CBB" w:rsidRDefault="00944B8F" w:rsidP="00AF6B81">
      <w:pPr>
        <w:keepNext/>
        <w:numPr>
          <w:ilvl w:val="0"/>
          <w:numId w:val="95"/>
        </w:numPr>
        <w:ind w:left="540" w:hanging="540"/>
      </w:pPr>
      <w:r>
        <w:t>≥ 40 kg: 40 mg every week</w:t>
      </w:r>
      <w:r w:rsidR="00E00DEC">
        <w:t xml:space="preserve"> or 80</w:t>
      </w:r>
      <w:r w:rsidR="002B1B68">
        <w:t> </w:t>
      </w:r>
      <w:r w:rsidR="00E00DEC">
        <w:t>mg every other week</w:t>
      </w:r>
    </w:p>
    <w:p w14:paraId="43649117" w14:textId="77777777" w:rsidR="00BC0E7E" w:rsidRPr="00BC0E7E" w:rsidRDefault="00BC0E7E" w:rsidP="00BC0E7E"/>
    <w:p w14:paraId="041F00EB" w14:textId="77777777" w:rsidR="00BC0E7E" w:rsidRPr="00BC0E7E" w:rsidRDefault="00944B8F" w:rsidP="00BC0E7E">
      <w:r w:rsidRPr="00BC0E7E">
        <w:t>Continued therapy should be carefully considered in a subject not responding by Week 12.</w:t>
      </w:r>
    </w:p>
    <w:p w14:paraId="3472D784" w14:textId="77777777" w:rsidR="002B4773" w:rsidRDefault="002B4773" w:rsidP="00BC0E7E">
      <w:pPr>
        <w:rPr>
          <w:szCs w:val="22"/>
        </w:rPr>
      </w:pPr>
    </w:p>
    <w:p w14:paraId="34C2B9DF" w14:textId="77777777" w:rsidR="00BC0E7E" w:rsidRDefault="00944B8F" w:rsidP="00BC0E7E">
      <w:pPr>
        <w:rPr>
          <w:szCs w:val="22"/>
        </w:rPr>
      </w:pPr>
      <w:r>
        <w:rPr>
          <w:szCs w:val="22"/>
        </w:rPr>
        <w:t>Humira may be available in other strengths and/or presentations depending on the individual treatment needs.</w:t>
      </w:r>
    </w:p>
    <w:p w14:paraId="2D616E77" w14:textId="77777777" w:rsidR="002B4773" w:rsidRPr="00BC0E7E" w:rsidRDefault="002B4773" w:rsidP="00BC0E7E"/>
    <w:p w14:paraId="0DD78587" w14:textId="77777777" w:rsidR="00BC0E7E" w:rsidRPr="00BC0E7E" w:rsidRDefault="00944B8F" w:rsidP="00BC0E7E">
      <w:r w:rsidRPr="00BC0E7E">
        <w:t xml:space="preserve">There is no relevant use of Humira in children aged </w:t>
      </w:r>
      <w:r w:rsidR="00930CBB">
        <w:t>less than</w:t>
      </w:r>
      <w:r w:rsidR="00930CBB" w:rsidRPr="00BC0E7E">
        <w:t xml:space="preserve"> </w:t>
      </w:r>
      <w:r w:rsidRPr="00BC0E7E">
        <w:t>6 years for this indication.</w:t>
      </w:r>
    </w:p>
    <w:p w14:paraId="202A4BA9" w14:textId="77777777" w:rsidR="00BC0E7E" w:rsidRPr="00BC0E7E" w:rsidRDefault="00BC0E7E" w:rsidP="00BC0E7E"/>
    <w:p w14:paraId="11A54E0A" w14:textId="77777777" w:rsidR="008E04C0" w:rsidRPr="003A75F8" w:rsidRDefault="00944B8F" w:rsidP="008E04C0">
      <w:pPr>
        <w:rPr>
          <w:b/>
          <w:bCs/>
          <w:iCs/>
        </w:rPr>
      </w:pPr>
      <w:r w:rsidRPr="003A75F8">
        <w:rPr>
          <w:i/>
          <w:szCs w:val="20"/>
        </w:rPr>
        <w:t>Paediatric ulcerative colitis</w:t>
      </w:r>
      <w:r w:rsidRPr="003A75F8">
        <w:rPr>
          <w:b/>
          <w:bCs/>
          <w:iCs/>
        </w:rPr>
        <w:t xml:space="preserve"> </w:t>
      </w:r>
    </w:p>
    <w:p w14:paraId="0DAF9F97" w14:textId="77777777" w:rsidR="008E04C0" w:rsidRPr="005037B5" w:rsidRDefault="008E04C0" w:rsidP="008E04C0">
      <w:pPr>
        <w:rPr>
          <w:szCs w:val="20"/>
        </w:rPr>
      </w:pPr>
    </w:p>
    <w:p w14:paraId="258A220C" w14:textId="77777777" w:rsidR="001108D9" w:rsidRPr="005037B5" w:rsidRDefault="00944B8F" w:rsidP="001108D9">
      <w:r w:rsidRPr="005037B5">
        <w:t xml:space="preserve">The recommended dose of Humira for patients from </w:t>
      </w:r>
      <w:r>
        <w:t>6</w:t>
      </w:r>
      <w:r w:rsidRPr="005037B5">
        <w:t xml:space="preserve"> to 17 years of age with ulcerative colitis is based on body weight (Table </w:t>
      </w:r>
      <w:r w:rsidR="001A3EE1">
        <w:t>2</w:t>
      </w:r>
      <w:r w:rsidRPr="005037B5">
        <w:t xml:space="preserve">). Humira is administered via subcutaneous injection. </w:t>
      </w:r>
    </w:p>
    <w:p w14:paraId="3F48F70F" w14:textId="77777777" w:rsidR="008E04C0" w:rsidRPr="005037B5" w:rsidRDefault="008E04C0" w:rsidP="008E04C0"/>
    <w:p w14:paraId="6D3AC5F9" w14:textId="77777777" w:rsidR="008E04C0" w:rsidRPr="005037B5" w:rsidRDefault="00944B8F" w:rsidP="008E04C0">
      <w:pPr>
        <w:keepNext/>
        <w:jc w:val="center"/>
        <w:rPr>
          <w:szCs w:val="22"/>
        </w:rPr>
      </w:pPr>
      <w:r w:rsidRPr="003B65EC">
        <w:rPr>
          <w:b/>
          <w:szCs w:val="22"/>
        </w:rPr>
        <w:t xml:space="preserve">Table </w:t>
      </w:r>
      <w:r w:rsidR="001A3EE1">
        <w:rPr>
          <w:b/>
          <w:szCs w:val="22"/>
        </w:rPr>
        <w:t>2</w:t>
      </w:r>
      <w:r w:rsidRPr="003B65EC">
        <w:rPr>
          <w:b/>
          <w:szCs w:val="22"/>
        </w:rPr>
        <w:t xml:space="preserve">. Humira Dose for Paediatric Patients with Ulcerative Colitis </w:t>
      </w: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73"/>
        <w:gridCol w:w="3449"/>
        <w:gridCol w:w="3279"/>
      </w:tblGrid>
      <w:tr w:rsidR="00C6578C" w14:paraId="134B3688" w14:textId="77777777" w:rsidTr="0065221F">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2C9E543" w14:textId="77777777" w:rsidR="007D5FC0" w:rsidRPr="005075FA" w:rsidRDefault="00944B8F" w:rsidP="0065221F">
            <w:pPr>
              <w:jc w:val="center"/>
              <w:rPr>
                <w:b/>
                <w:szCs w:val="22"/>
              </w:rPr>
            </w:pPr>
            <w:r w:rsidRPr="005075FA">
              <w:rPr>
                <w:b/>
                <w:szCs w:val="22"/>
              </w:rPr>
              <w:t>Patient Weight</w:t>
            </w:r>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166CDBF0" w14:textId="77777777" w:rsidR="007D5FC0" w:rsidRPr="005075FA" w:rsidRDefault="00944B8F" w:rsidP="0065221F">
            <w:pPr>
              <w:jc w:val="center"/>
              <w:rPr>
                <w:b/>
                <w:szCs w:val="22"/>
              </w:rPr>
            </w:pPr>
            <w:r w:rsidRPr="005075FA">
              <w:rPr>
                <w:b/>
                <w:szCs w:val="22"/>
              </w:rPr>
              <w:t>Induction Dose</w:t>
            </w:r>
          </w:p>
        </w:tc>
        <w:tc>
          <w:tcPr>
            <w:tcW w:w="1906" w:type="pct"/>
            <w:tcBorders>
              <w:top w:val="single" w:sz="6" w:space="0" w:color="000000"/>
              <w:left w:val="single" w:sz="6" w:space="0" w:color="000000"/>
              <w:bottom w:val="single" w:sz="6" w:space="0" w:color="000000"/>
              <w:right w:val="single" w:sz="6" w:space="0" w:color="000000"/>
            </w:tcBorders>
            <w:hideMark/>
          </w:tcPr>
          <w:p w14:paraId="693E3A30" w14:textId="77777777" w:rsidR="007D5FC0" w:rsidRPr="005075FA" w:rsidRDefault="00944B8F" w:rsidP="0065221F">
            <w:pPr>
              <w:jc w:val="center"/>
              <w:rPr>
                <w:b/>
                <w:szCs w:val="22"/>
              </w:rPr>
            </w:pPr>
            <w:r w:rsidRPr="005075FA">
              <w:rPr>
                <w:b/>
                <w:szCs w:val="22"/>
              </w:rPr>
              <w:t>Maintenance Dose</w:t>
            </w:r>
            <w:r w:rsidRPr="005075FA">
              <w:rPr>
                <w:b/>
                <w:szCs w:val="22"/>
              </w:rPr>
              <w:br/>
              <w:t>Starting at Week 4*</w:t>
            </w:r>
          </w:p>
        </w:tc>
      </w:tr>
      <w:tr w:rsidR="00C6578C" w14:paraId="1F464735" w14:textId="77777777" w:rsidTr="0065221F">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4777B2E2" w14:textId="77777777" w:rsidR="007D5FC0" w:rsidRPr="005075FA" w:rsidRDefault="00944B8F" w:rsidP="0065221F">
            <w:pPr>
              <w:jc w:val="center"/>
              <w:rPr>
                <w:szCs w:val="22"/>
              </w:rPr>
            </w:pPr>
            <w:r w:rsidRPr="005075FA">
              <w:rPr>
                <w:szCs w:val="22"/>
              </w:rPr>
              <w:t>&lt; 40 kg</w:t>
            </w:r>
          </w:p>
        </w:tc>
        <w:tc>
          <w:tcPr>
            <w:tcW w:w="2005" w:type="pct"/>
            <w:tcBorders>
              <w:top w:val="single" w:sz="6" w:space="0" w:color="000000"/>
              <w:left w:val="single" w:sz="6" w:space="0" w:color="000000"/>
              <w:bottom w:val="single" w:sz="6" w:space="0" w:color="000000"/>
              <w:right w:val="single" w:sz="6" w:space="0" w:color="000000"/>
            </w:tcBorders>
            <w:hideMark/>
          </w:tcPr>
          <w:p w14:paraId="561659C6" w14:textId="77777777" w:rsidR="007D5FC0" w:rsidRPr="005075FA" w:rsidRDefault="00944B8F" w:rsidP="0065221F">
            <w:pPr>
              <w:numPr>
                <w:ilvl w:val="0"/>
                <w:numId w:val="154"/>
              </w:numPr>
              <w:tabs>
                <w:tab w:val="clear" w:pos="562"/>
              </w:tabs>
              <w:suppressAutoHyphens w:val="0"/>
              <w:ind w:left="360" w:hanging="210"/>
              <w:rPr>
                <w:szCs w:val="22"/>
              </w:rPr>
            </w:pPr>
            <w:r w:rsidRPr="005075FA">
              <w:rPr>
                <w:szCs w:val="22"/>
              </w:rPr>
              <w:t>80 mg at Week 0</w:t>
            </w:r>
            <w:r>
              <w:rPr>
                <w:szCs w:val="22"/>
              </w:rPr>
              <w:t xml:space="preserve"> </w:t>
            </w:r>
            <w:r w:rsidR="00CC7138">
              <w:rPr>
                <w:szCs w:val="22"/>
              </w:rPr>
              <w:t xml:space="preserve">(given as one 80 mg injection) </w:t>
            </w:r>
            <w:r w:rsidRPr="005075FA">
              <w:rPr>
                <w:szCs w:val="22"/>
              </w:rPr>
              <w:t>and</w:t>
            </w:r>
          </w:p>
          <w:p w14:paraId="327EDA52" w14:textId="77777777" w:rsidR="007D5FC0" w:rsidRPr="005075FA" w:rsidRDefault="00944B8F" w:rsidP="0065221F">
            <w:pPr>
              <w:numPr>
                <w:ilvl w:val="0"/>
                <w:numId w:val="154"/>
              </w:numPr>
              <w:tabs>
                <w:tab w:val="clear" w:pos="562"/>
              </w:tabs>
              <w:suppressAutoHyphens w:val="0"/>
              <w:ind w:left="360" w:hanging="210"/>
              <w:rPr>
                <w:szCs w:val="22"/>
              </w:rPr>
            </w:pPr>
            <w:r w:rsidRPr="005075FA">
              <w:rPr>
                <w:szCs w:val="22"/>
              </w:rPr>
              <w:t>40 mg at Week 2</w:t>
            </w:r>
            <w:r w:rsidR="002F1A1F">
              <w:rPr>
                <w:szCs w:val="22"/>
              </w:rPr>
              <w:t xml:space="preserve"> (given as one 40 mg injection)</w:t>
            </w:r>
          </w:p>
        </w:tc>
        <w:tc>
          <w:tcPr>
            <w:tcW w:w="1906" w:type="pct"/>
            <w:tcBorders>
              <w:top w:val="single" w:sz="6" w:space="0" w:color="000000"/>
              <w:left w:val="single" w:sz="6" w:space="0" w:color="000000"/>
              <w:bottom w:val="single" w:sz="6" w:space="0" w:color="000000"/>
              <w:right w:val="single" w:sz="6" w:space="0" w:color="000000"/>
            </w:tcBorders>
            <w:hideMark/>
          </w:tcPr>
          <w:p w14:paraId="478A4A04" w14:textId="77777777" w:rsidR="007D5FC0" w:rsidRPr="005075FA" w:rsidRDefault="00944B8F" w:rsidP="0065221F">
            <w:pPr>
              <w:numPr>
                <w:ilvl w:val="0"/>
                <w:numId w:val="154"/>
              </w:numPr>
              <w:tabs>
                <w:tab w:val="clear" w:pos="562"/>
              </w:tabs>
              <w:suppressAutoHyphens w:val="0"/>
              <w:ind w:left="360" w:hanging="210"/>
              <w:rPr>
                <w:szCs w:val="22"/>
              </w:rPr>
            </w:pPr>
            <w:r w:rsidRPr="005075FA">
              <w:rPr>
                <w:szCs w:val="22"/>
              </w:rPr>
              <w:t>40 mg every other week</w:t>
            </w:r>
          </w:p>
        </w:tc>
      </w:tr>
      <w:tr w:rsidR="00C6578C" w14:paraId="50FCDD07" w14:textId="77777777" w:rsidTr="0065221F">
        <w:trPr>
          <w:jc w:val="center"/>
        </w:trPr>
        <w:tc>
          <w:tcPr>
            <w:tcW w:w="0" w:type="auto"/>
            <w:tcBorders>
              <w:top w:val="single" w:sz="6" w:space="0" w:color="000000"/>
              <w:left w:val="single" w:sz="6" w:space="0" w:color="000000"/>
              <w:bottom w:val="single" w:sz="4" w:space="0" w:color="auto"/>
              <w:right w:val="single" w:sz="6" w:space="0" w:color="000000"/>
            </w:tcBorders>
            <w:hideMark/>
          </w:tcPr>
          <w:p w14:paraId="6626883B" w14:textId="77777777" w:rsidR="007D5FC0" w:rsidRPr="005075FA" w:rsidRDefault="00944B8F" w:rsidP="0065221F">
            <w:pPr>
              <w:jc w:val="center"/>
              <w:rPr>
                <w:szCs w:val="22"/>
              </w:rPr>
            </w:pPr>
            <w:r w:rsidRPr="005075FA">
              <w:rPr>
                <w:szCs w:val="22"/>
              </w:rPr>
              <w:t>≥ 40 kg</w:t>
            </w:r>
          </w:p>
        </w:tc>
        <w:tc>
          <w:tcPr>
            <w:tcW w:w="2005" w:type="pct"/>
            <w:tcBorders>
              <w:top w:val="single" w:sz="6" w:space="0" w:color="000000"/>
              <w:left w:val="single" w:sz="6" w:space="0" w:color="000000"/>
              <w:bottom w:val="single" w:sz="4" w:space="0" w:color="auto"/>
              <w:right w:val="single" w:sz="6" w:space="0" w:color="000000"/>
            </w:tcBorders>
            <w:hideMark/>
          </w:tcPr>
          <w:p w14:paraId="6F452050" w14:textId="77777777" w:rsidR="007D5FC0" w:rsidRPr="005075FA" w:rsidRDefault="00944B8F" w:rsidP="0065221F">
            <w:pPr>
              <w:numPr>
                <w:ilvl w:val="0"/>
                <w:numId w:val="155"/>
              </w:numPr>
              <w:tabs>
                <w:tab w:val="clear" w:pos="562"/>
              </w:tabs>
              <w:suppressAutoHyphens w:val="0"/>
              <w:ind w:left="360" w:hanging="210"/>
              <w:rPr>
                <w:szCs w:val="22"/>
              </w:rPr>
            </w:pPr>
            <w:r w:rsidRPr="005075FA">
              <w:rPr>
                <w:szCs w:val="22"/>
              </w:rPr>
              <w:t>160 mg at Week 0</w:t>
            </w:r>
            <w:r>
              <w:rPr>
                <w:szCs w:val="22"/>
              </w:rPr>
              <w:t xml:space="preserve"> (given as two 80 mg injections in one day or one 80 mg injection per day for two consecutive days)</w:t>
            </w:r>
            <w:r w:rsidRPr="005075FA">
              <w:rPr>
                <w:szCs w:val="22"/>
              </w:rPr>
              <w:t xml:space="preserve"> and</w:t>
            </w:r>
          </w:p>
          <w:p w14:paraId="49F597F2" w14:textId="77777777" w:rsidR="007D5FC0" w:rsidRPr="005075FA" w:rsidRDefault="00944B8F" w:rsidP="0065221F">
            <w:pPr>
              <w:numPr>
                <w:ilvl w:val="0"/>
                <w:numId w:val="155"/>
              </w:numPr>
              <w:tabs>
                <w:tab w:val="clear" w:pos="562"/>
              </w:tabs>
              <w:suppressAutoHyphens w:val="0"/>
              <w:ind w:left="360" w:hanging="210"/>
              <w:rPr>
                <w:szCs w:val="22"/>
              </w:rPr>
            </w:pPr>
            <w:r w:rsidRPr="005075FA">
              <w:rPr>
                <w:szCs w:val="22"/>
              </w:rPr>
              <w:t>80 mg at Week 2</w:t>
            </w:r>
            <w:r>
              <w:rPr>
                <w:szCs w:val="22"/>
              </w:rPr>
              <w:t xml:space="preserve"> (given as one 80 mg injection)</w:t>
            </w:r>
          </w:p>
        </w:tc>
        <w:tc>
          <w:tcPr>
            <w:tcW w:w="1906" w:type="pct"/>
            <w:tcBorders>
              <w:top w:val="single" w:sz="6" w:space="0" w:color="000000"/>
              <w:left w:val="single" w:sz="6" w:space="0" w:color="000000"/>
              <w:bottom w:val="single" w:sz="4" w:space="0" w:color="auto"/>
              <w:right w:val="single" w:sz="6" w:space="0" w:color="000000"/>
            </w:tcBorders>
            <w:hideMark/>
          </w:tcPr>
          <w:p w14:paraId="6DD2F48E" w14:textId="77777777" w:rsidR="007D5FC0" w:rsidRPr="005075FA" w:rsidRDefault="00944B8F" w:rsidP="0065221F">
            <w:pPr>
              <w:numPr>
                <w:ilvl w:val="0"/>
                <w:numId w:val="154"/>
              </w:numPr>
              <w:tabs>
                <w:tab w:val="clear" w:pos="562"/>
              </w:tabs>
              <w:suppressAutoHyphens w:val="0"/>
              <w:ind w:left="360" w:hanging="210"/>
              <w:rPr>
                <w:szCs w:val="22"/>
              </w:rPr>
            </w:pPr>
            <w:r w:rsidRPr="005075FA">
              <w:rPr>
                <w:szCs w:val="22"/>
              </w:rPr>
              <w:t>80 mg every other week</w:t>
            </w:r>
          </w:p>
        </w:tc>
      </w:tr>
      <w:tr w:rsidR="00C6578C" w14:paraId="280A13C2" w14:textId="77777777" w:rsidTr="0065221F">
        <w:trPr>
          <w:jc w:val="center"/>
        </w:trPr>
        <w:tc>
          <w:tcPr>
            <w:tcW w:w="5000" w:type="pct"/>
            <w:gridSpan w:val="3"/>
            <w:tcBorders>
              <w:top w:val="single" w:sz="4" w:space="0" w:color="auto"/>
              <w:left w:val="nil"/>
              <w:bottom w:val="nil"/>
              <w:right w:val="nil"/>
            </w:tcBorders>
          </w:tcPr>
          <w:p w14:paraId="0FB82FAF" w14:textId="77777777" w:rsidR="007D5FC0" w:rsidRPr="005075FA" w:rsidRDefault="00944B8F" w:rsidP="0065221F">
            <w:pPr>
              <w:rPr>
                <w:szCs w:val="22"/>
              </w:rPr>
            </w:pPr>
            <w:r w:rsidRPr="005075FA">
              <w:rPr>
                <w:szCs w:val="22"/>
                <w:vertAlign w:val="superscript"/>
              </w:rPr>
              <w:t xml:space="preserve">* </w:t>
            </w:r>
            <w:r w:rsidRPr="005075FA">
              <w:rPr>
                <w:szCs w:val="22"/>
              </w:rPr>
              <w:t>Paediatric patients who turn 18 years of age while on Humira should continue their prescribed maintenance dose.</w:t>
            </w:r>
          </w:p>
        </w:tc>
      </w:tr>
    </w:tbl>
    <w:p w14:paraId="25A4C262" w14:textId="77777777" w:rsidR="008E04C0" w:rsidRPr="005037B5" w:rsidRDefault="008E04C0" w:rsidP="008E04C0">
      <w:pPr>
        <w:pStyle w:val="gtctablespaceafter"/>
        <w:numPr>
          <w:ilvl w:val="0"/>
          <w:numId w:val="153"/>
        </w:numPr>
      </w:pPr>
    </w:p>
    <w:p w14:paraId="3CC1F953" w14:textId="77777777" w:rsidR="008E04C0" w:rsidRPr="005037B5" w:rsidRDefault="00944B8F" w:rsidP="008E04C0">
      <w:r w:rsidRPr="005037B5">
        <w:t xml:space="preserve">Continued therapy beyond 8 weeks should be carefully considered in </w:t>
      </w:r>
      <w:r w:rsidRPr="00B15DF4">
        <w:t>patients not showing signs of response</w:t>
      </w:r>
      <w:r w:rsidRPr="005037B5">
        <w:t xml:space="preserve"> within this time period.</w:t>
      </w:r>
    </w:p>
    <w:p w14:paraId="7886C92E" w14:textId="77777777" w:rsidR="008E04C0" w:rsidRPr="005037B5" w:rsidRDefault="008E04C0" w:rsidP="008E04C0"/>
    <w:p w14:paraId="65E0D65B" w14:textId="77777777" w:rsidR="00FD0BD2" w:rsidRDefault="00944B8F" w:rsidP="00FD0BD2">
      <w:r w:rsidRPr="005037B5">
        <w:t xml:space="preserve">There is no relevant use of Humira in children aged less than </w:t>
      </w:r>
      <w:r>
        <w:t>6</w:t>
      </w:r>
      <w:r w:rsidRPr="005037B5">
        <w:t xml:space="preserve"> years in this indication.</w:t>
      </w:r>
    </w:p>
    <w:p w14:paraId="7D8C4995" w14:textId="77777777" w:rsidR="008E04C0" w:rsidRDefault="008E04C0" w:rsidP="008E04C0"/>
    <w:p w14:paraId="09EFC1E2" w14:textId="77777777" w:rsidR="008E04C0" w:rsidRDefault="00944B8F" w:rsidP="008E04C0">
      <w:r w:rsidRPr="005037B5">
        <w:t>Humira may be available in different strengths and/or presentations</w:t>
      </w:r>
      <w:r>
        <w:t xml:space="preserve"> depending on the individual treatment needs</w:t>
      </w:r>
      <w:r w:rsidRPr="005037B5">
        <w:t>. </w:t>
      </w:r>
    </w:p>
    <w:p w14:paraId="4DEDAC2E" w14:textId="77777777" w:rsidR="008E04C0" w:rsidRDefault="008E04C0" w:rsidP="00BC0E7E">
      <w:pPr>
        <w:keepNext/>
        <w:rPr>
          <w:bCs/>
          <w:i/>
          <w:iCs/>
        </w:rPr>
      </w:pPr>
    </w:p>
    <w:p w14:paraId="31F33994" w14:textId="77777777" w:rsidR="00BC0E7E" w:rsidRPr="00BC0E7E" w:rsidRDefault="00944B8F" w:rsidP="00BC0E7E">
      <w:pPr>
        <w:keepNext/>
        <w:rPr>
          <w:i/>
        </w:rPr>
      </w:pPr>
      <w:r w:rsidRPr="00BC0E7E">
        <w:rPr>
          <w:bCs/>
          <w:i/>
          <w:iCs/>
        </w:rPr>
        <w:t xml:space="preserve">Paediatric Uveitis </w:t>
      </w:r>
    </w:p>
    <w:p w14:paraId="5AF4A693" w14:textId="77777777" w:rsidR="00930CBB" w:rsidRDefault="00930CBB" w:rsidP="00930CBB">
      <w:pPr>
        <w:rPr>
          <w:szCs w:val="22"/>
        </w:rPr>
      </w:pPr>
    </w:p>
    <w:p w14:paraId="76A73E00" w14:textId="77777777" w:rsidR="00930CBB" w:rsidRDefault="00944B8F" w:rsidP="00930CBB">
      <w:pPr>
        <w:rPr>
          <w:szCs w:val="22"/>
        </w:rPr>
      </w:pPr>
      <w:r>
        <w:rPr>
          <w:szCs w:val="22"/>
        </w:rPr>
        <w:t>The recommended dose of Humira for paediatric patients with uveitis from 2</w:t>
      </w:r>
      <w:r w:rsidR="002B0954">
        <w:rPr>
          <w:szCs w:val="22"/>
        </w:rPr>
        <w:t> </w:t>
      </w:r>
      <w:r>
        <w:rPr>
          <w:szCs w:val="22"/>
        </w:rPr>
        <w:t xml:space="preserve">years of age is based on body weight (Table </w:t>
      </w:r>
      <w:r w:rsidR="001A3EE1">
        <w:rPr>
          <w:szCs w:val="22"/>
        </w:rPr>
        <w:t>3</w:t>
      </w:r>
      <w:r>
        <w:rPr>
          <w:szCs w:val="22"/>
        </w:rPr>
        <w:t>). Humira is administe</w:t>
      </w:r>
      <w:r w:rsidR="00C06BC2">
        <w:rPr>
          <w:szCs w:val="22"/>
        </w:rPr>
        <w:t>red via subcutaneous injection.</w:t>
      </w:r>
    </w:p>
    <w:p w14:paraId="090275B9" w14:textId="77777777" w:rsidR="00BC0E7E" w:rsidRPr="00BC0E7E" w:rsidRDefault="00BC0E7E" w:rsidP="00BC0E7E"/>
    <w:p w14:paraId="3E6AE717" w14:textId="77777777" w:rsidR="00BC0E7E" w:rsidRPr="00BC0E7E" w:rsidRDefault="00944B8F" w:rsidP="00BC0E7E">
      <w:r w:rsidRPr="00BC0E7E">
        <w:t>In paediatric uveitis, there is no experience in the treatment with Humira without concomitant treatment with methotrexate.</w:t>
      </w:r>
    </w:p>
    <w:p w14:paraId="26302FA1" w14:textId="77777777" w:rsidR="00930CBB" w:rsidRDefault="00930CBB" w:rsidP="00930CBB">
      <w:pPr>
        <w:jc w:val="center"/>
        <w:rPr>
          <w:b/>
          <w:szCs w:val="22"/>
        </w:rPr>
      </w:pPr>
    </w:p>
    <w:p w14:paraId="219FF7E6" w14:textId="77777777" w:rsidR="00930CBB" w:rsidRPr="007F079A" w:rsidRDefault="00944B8F" w:rsidP="007A4250">
      <w:pPr>
        <w:keepNext/>
        <w:jc w:val="center"/>
        <w:rPr>
          <w:szCs w:val="22"/>
        </w:rPr>
      </w:pPr>
      <w:r>
        <w:rPr>
          <w:b/>
          <w:szCs w:val="22"/>
        </w:rPr>
        <w:t xml:space="preserve">Table </w:t>
      </w:r>
      <w:r w:rsidR="001A3EE1">
        <w:rPr>
          <w:b/>
          <w:szCs w:val="22"/>
        </w:rPr>
        <w:t>3</w:t>
      </w:r>
      <w:r>
        <w:rPr>
          <w:b/>
          <w:szCs w:val="22"/>
        </w:rPr>
        <w:t>. Humira Dose for Paediatric Patients with Uveitis</w:t>
      </w:r>
    </w:p>
    <w:p w14:paraId="10F6062E" w14:textId="77777777" w:rsidR="00930CBB" w:rsidRDefault="00930CBB" w:rsidP="007A4250">
      <w:pPr>
        <w:keepNext/>
        <w:jc w:val="center"/>
      </w:pPr>
    </w:p>
    <w:tbl>
      <w:tblPr>
        <w:tblW w:w="6795" w:type="dxa"/>
        <w:jc w:val="center"/>
        <w:tblLayout w:type="fixed"/>
        <w:tblLook w:val="04A0" w:firstRow="1" w:lastRow="0" w:firstColumn="1" w:lastColumn="0" w:noHBand="0" w:noVBand="1"/>
      </w:tblPr>
      <w:tblGrid>
        <w:gridCol w:w="3401"/>
        <w:gridCol w:w="3394"/>
      </w:tblGrid>
      <w:tr w:rsidR="00C6578C" w14:paraId="462B60BE" w14:textId="77777777" w:rsidTr="00930CBB">
        <w:trPr>
          <w:tblHeader/>
          <w:jc w:val="center"/>
        </w:trPr>
        <w:tc>
          <w:tcPr>
            <w:tcW w:w="3401" w:type="dxa"/>
            <w:tcBorders>
              <w:top w:val="single" w:sz="4" w:space="0" w:color="auto"/>
              <w:left w:val="nil"/>
              <w:bottom w:val="single" w:sz="4" w:space="0" w:color="auto"/>
              <w:right w:val="nil"/>
            </w:tcBorders>
            <w:hideMark/>
          </w:tcPr>
          <w:p w14:paraId="4957BB19" w14:textId="77777777" w:rsidR="00930CBB" w:rsidRDefault="00944B8F" w:rsidP="007A4250">
            <w:pPr>
              <w:pStyle w:val="TableLeft"/>
              <w:jc w:val="center"/>
              <w:rPr>
                <w:b/>
                <w:sz w:val="22"/>
                <w:szCs w:val="22"/>
              </w:rPr>
            </w:pPr>
            <w:r>
              <w:rPr>
                <w:b/>
                <w:sz w:val="22"/>
                <w:szCs w:val="22"/>
              </w:rPr>
              <w:t>Patient Weight</w:t>
            </w:r>
          </w:p>
        </w:tc>
        <w:tc>
          <w:tcPr>
            <w:tcW w:w="3394" w:type="dxa"/>
            <w:tcBorders>
              <w:top w:val="single" w:sz="4" w:space="0" w:color="auto"/>
              <w:left w:val="nil"/>
              <w:bottom w:val="single" w:sz="4" w:space="0" w:color="auto"/>
              <w:right w:val="nil"/>
            </w:tcBorders>
            <w:hideMark/>
          </w:tcPr>
          <w:p w14:paraId="45B18440" w14:textId="77777777" w:rsidR="00930CBB" w:rsidRDefault="00944B8F" w:rsidP="007A4250">
            <w:pPr>
              <w:pStyle w:val="TableLeft"/>
              <w:jc w:val="center"/>
              <w:rPr>
                <w:b/>
                <w:sz w:val="22"/>
                <w:szCs w:val="22"/>
              </w:rPr>
            </w:pPr>
            <w:r>
              <w:rPr>
                <w:b/>
                <w:sz w:val="22"/>
                <w:szCs w:val="22"/>
              </w:rPr>
              <w:t>Dosing Regimen</w:t>
            </w:r>
          </w:p>
        </w:tc>
      </w:tr>
      <w:tr w:rsidR="00C6578C" w14:paraId="42AB014A" w14:textId="77777777" w:rsidTr="00930CBB">
        <w:trPr>
          <w:tblHeader/>
          <w:jc w:val="center"/>
        </w:trPr>
        <w:tc>
          <w:tcPr>
            <w:tcW w:w="3401" w:type="dxa"/>
            <w:tcBorders>
              <w:top w:val="single" w:sz="4" w:space="0" w:color="auto"/>
              <w:left w:val="nil"/>
              <w:bottom w:val="single" w:sz="4" w:space="0" w:color="auto"/>
              <w:right w:val="nil"/>
            </w:tcBorders>
            <w:hideMark/>
          </w:tcPr>
          <w:p w14:paraId="092B3C88" w14:textId="77777777" w:rsidR="00930CBB" w:rsidRDefault="00944B8F" w:rsidP="007A4250">
            <w:pPr>
              <w:pStyle w:val="TableLeft"/>
              <w:jc w:val="center"/>
              <w:rPr>
                <w:b/>
                <w:sz w:val="22"/>
                <w:szCs w:val="22"/>
              </w:rPr>
            </w:pPr>
            <w:r>
              <w:rPr>
                <w:sz w:val="22"/>
                <w:szCs w:val="22"/>
              </w:rPr>
              <w:t>&lt; 30 kg</w:t>
            </w:r>
          </w:p>
        </w:tc>
        <w:tc>
          <w:tcPr>
            <w:tcW w:w="3394" w:type="dxa"/>
            <w:tcBorders>
              <w:top w:val="single" w:sz="4" w:space="0" w:color="auto"/>
              <w:left w:val="nil"/>
              <w:bottom w:val="single" w:sz="4" w:space="0" w:color="auto"/>
              <w:right w:val="nil"/>
            </w:tcBorders>
            <w:hideMark/>
          </w:tcPr>
          <w:p w14:paraId="5ABDE946" w14:textId="77777777" w:rsidR="00930CBB" w:rsidRDefault="00944B8F" w:rsidP="007A4250">
            <w:pPr>
              <w:pStyle w:val="TableLeft"/>
              <w:jc w:val="center"/>
              <w:rPr>
                <w:b/>
                <w:sz w:val="22"/>
                <w:szCs w:val="22"/>
              </w:rPr>
            </w:pPr>
            <w:r>
              <w:rPr>
                <w:sz w:val="22"/>
                <w:szCs w:val="22"/>
              </w:rPr>
              <w:t>20 mg every other week in combination with methotrexate</w:t>
            </w:r>
          </w:p>
        </w:tc>
      </w:tr>
      <w:tr w:rsidR="00C6578C" w14:paraId="3E720E89" w14:textId="77777777" w:rsidTr="00930CBB">
        <w:trPr>
          <w:tblHeader/>
          <w:jc w:val="center"/>
        </w:trPr>
        <w:tc>
          <w:tcPr>
            <w:tcW w:w="3401" w:type="dxa"/>
            <w:tcBorders>
              <w:top w:val="single" w:sz="4" w:space="0" w:color="auto"/>
              <w:left w:val="nil"/>
              <w:bottom w:val="single" w:sz="4" w:space="0" w:color="auto"/>
              <w:right w:val="nil"/>
            </w:tcBorders>
            <w:hideMark/>
          </w:tcPr>
          <w:p w14:paraId="355D4C13" w14:textId="77777777" w:rsidR="00930CBB" w:rsidRDefault="00944B8F" w:rsidP="007A4250">
            <w:pPr>
              <w:pStyle w:val="TableLeft"/>
              <w:jc w:val="center"/>
              <w:rPr>
                <w:b/>
                <w:sz w:val="22"/>
                <w:szCs w:val="22"/>
              </w:rPr>
            </w:pPr>
            <w:r>
              <w:rPr>
                <w:sz w:val="22"/>
                <w:szCs w:val="22"/>
              </w:rPr>
              <w:t>≥ 30 kg</w:t>
            </w:r>
          </w:p>
        </w:tc>
        <w:tc>
          <w:tcPr>
            <w:tcW w:w="3394" w:type="dxa"/>
            <w:tcBorders>
              <w:top w:val="single" w:sz="4" w:space="0" w:color="auto"/>
              <w:left w:val="nil"/>
              <w:bottom w:val="single" w:sz="4" w:space="0" w:color="auto"/>
              <w:right w:val="nil"/>
            </w:tcBorders>
            <w:hideMark/>
          </w:tcPr>
          <w:p w14:paraId="573C46B9" w14:textId="77777777" w:rsidR="00930CBB" w:rsidRDefault="00944B8F" w:rsidP="007A4250">
            <w:pPr>
              <w:pStyle w:val="TableLeft"/>
              <w:jc w:val="center"/>
              <w:rPr>
                <w:b/>
                <w:sz w:val="22"/>
                <w:szCs w:val="22"/>
              </w:rPr>
            </w:pPr>
            <w:r>
              <w:rPr>
                <w:sz w:val="22"/>
                <w:szCs w:val="22"/>
              </w:rPr>
              <w:t>40 mg every other week in combination with methotrexate</w:t>
            </w:r>
          </w:p>
        </w:tc>
      </w:tr>
    </w:tbl>
    <w:p w14:paraId="38A463C1" w14:textId="77777777" w:rsidR="00BC0E7E" w:rsidRPr="00BC0E7E" w:rsidRDefault="00BC0E7E" w:rsidP="00BC0E7E">
      <w:pPr>
        <w:rPr>
          <w:szCs w:val="20"/>
        </w:rPr>
      </w:pPr>
    </w:p>
    <w:p w14:paraId="1593AF9E" w14:textId="77777777" w:rsidR="00BC0E7E" w:rsidRPr="00BC0E7E" w:rsidRDefault="00944B8F" w:rsidP="00BC0E7E">
      <w:r w:rsidRPr="00BC0E7E">
        <w:t xml:space="preserve">When Humira therapy is initiated, a loading dose of 40 mg </w:t>
      </w:r>
      <w:r w:rsidR="00930CBB">
        <w:t>for patients &lt;</w:t>
      </w:r>
      <w:r w:rsidR="002B0954">
        <w:t> </w:t>
      </w:r>
      <w:r w:rsidR="00930CBB">
        <w:t>30</w:t>
      </w:r>
      <w:r w:rsidR="002B0954">
        <w:t> </w:t>
      </w:r>
      <w:r w:rsidR="00930CBB">
        <w:t>kg or 80</w:t>
      </w:r>
      <w:r w:rsidR="002B0954">
        <w:t> </w:t>
      </w:r>
      <w:r w:rsidR="00930CBB">
        <w:t>mg for patients ≥</w:t>
      </w:r>
      <w:r w:rsidR="002B0954">
        <w:t> </w:t>
      </w:r>
      <w:r w:rsidR="00930CBB">
        <w:t>30</w:t>
      </w:r>
      <w:r w:rsidR="002B0954">
        <w:t> </w:t>
      </w:r>
      <w:r w:rsidR="00930CBB">
        <w:t xml:space="preserve">kg </w:t>
      </w:r>
      <w:r w:rsidRPr="00BC0E7E">
        <w:t>may be administered one week prior to the start of maintenance therapy. No clinical data are available on the use of a Humira loading dose in children &lt; 6 years of age (see section 5.2).</w:t>
      </w:r>
    </w:p>
    <w:p w14:paraId="5DC50555" w14:textId="77777777" w:rsidR="00BC0E7E" w:rsidRPr="00BC0E7E" w:rsidRDefault="00BC0E7E" w:rsidP="00BC0E7E"/>
    <w:p w14:paraId="6A6A6BE9" w14:textId="77777777" w:rsidR="00BC0E7E" w:rsidRPr="00BC0E7E" w:rsidRDefault="00944B8F" w:rsidP="00BC0E7E">
      <w:r w:rsidRPr="00BC0E7E">
        <w:t>There is no relevant use of Humira in children aged less than 2 years in this indication.</w:t>
      </w:r>
    </w:p>
    <w:p w14:paraId="0FBAC847" w14:textId="77777777" w:rsidR="00BC0E7E" w:rsidRPr="00BC0E7E" w:rsidRDefault="00BC0E7E" w:rsidP="00BC0E7E"/>
    <w:p w14:paraId="0BA1FE39" w14:textId="77777777" w:rsidR="00BC0E7E" w:rsidRPr="00BC0E7E" w:rsidRDefault="00944B8F" w:rsidP="00BC0E7E">
      <w:r w:rsidRPr="00BC0E7E">
        <w:rPr>
          <w:szCs w:val="22"/>
        </w:rPr>
        <w:t>It is recommended that the benefit and risk of continued long-term treatment should be evaluated on a yearly basis (see section 5.1).</w:t>
      </w:r>
    </w:p>
    <w:p w14:paraId="60A28D8C" w14:textId="77777777" w:rsidR="00FC14DA" w:rsidRDefault="00FC14DA" w:rsidP="00FC14DA">
      <w:pPr>
        <w:rPr>
          <w:szCs w:val="22"/>
        </w:rPr>
      </w:pPr>
    </w:p>
    <w:p w14:paraId="571D2094" w14:textId="77777777" w:rsidR="00FC14DA" w:rsidRDefault="00944B8F" w:rsidP="00FC14DA">
      <w:pPr>
        <w:rPr>
          <w:szCs w:val="22"/>
        </w:rPr>
      </w:pPr>
      <w:r>
        <w:rPr>
          <w:szCs w:val="22"/>
        </w:rPr>
        <w:t>Humira may be available in other strengths and/or presentations depending on the individual treatment needs.</w:t>
      </w:r>
    </w:p>
    <w:p w14:paraId="1377BD1D" w14:textId="77777777" w:rsidR="00BC0E7E" w:rsidRPr="00BC0E7E" w:rsidRDefault="00BC0E7E" w:rsidP="00BC0E7E"/>
    <w:p w14:paraId="739EB1DC" w14:textId="77777777" w:rsidR="00BC0E7E" w:rsidRPr="00BC0E7E" w:rsidRDefault="00944B8F" w:rsidP="00BC0E7E">
      <w:pPr>
        <w:rPr>
          <w:szCs w:val="20"/>
          <w:u w:val="single"/>
        </w:rPr>
      </w:pPr>
      <w:r w:rsidRPr="00BC0E7E">
        <w:rPr>
          <w:szCs w:val="20"/>
          <w:u w:val="single"/>
        </w:rPr>
        <w:t>Method of administration</w:t>
      </w:r>
    </w:p>
    <w:p w14:paraId="2A1A4B32" w14:textId="77777777" w:rsidR="00BC0E7E" w:rsidRPr="00BC0E7E" w:rsidRDefault="00BC0E7E" w:rsidP="00BC0E7E">
      <w:pPr>
        <w:rPr>
          <w:szCs w:val="20"/>
          <w:u w:val="single"/>
        </w:rPr>
      </w:pPr>
    </w:p>
    <w:p w14:paraId="4DC383D2" w14:textId="77777777" w:rsidR="00BC0E7E" w:rsidRPr="00BC0E7E" w:rsidRDefault="00944B8F" w:rsidP="00BC0E7E">
      <w:pPr>
        <w:rPr>
          <w:szCs w:val="20"/>
        </w:rPr>
      </w:pPr>
      <w:r w:rsidRPr="00BC0E7E">
        <w:rPr>
          <w:szCs w:val="20"/>
        </w:rPr>
        <w:t>Humira is administered by subcutaneous injection. Full instructions for use are provided in the package leaflet.</w:t>
      </w:r>
    </w:p>
    <w:p w14:paraId="60A4F424" w14:textId="77777777" w:rsidR="00930CBB" w:rsidRDefault="00930CBB" w:rsidP="00930CBB">
      <w:pPr>
        <w:pStyle w:val="EMEANormal"/>
        <w:rPr>
          <w:lang w:val="en-GB"/>
        </w:rPr>
      </w:pPr>
    </w:p>
    <w:p w14:paraId="3336F5A6" w14:textId="77777777" w:rsidR="00930CBB" w:rsidRDefault="00944B8F" w:rsidP="00930CBB">
      <w:pPr>
        <w:pStyle w:val="EMEANormal"/>
        <w:rPr>
          <w:lang w:val="en-GB"/>
        </w:rPr>
      </w:pPr>
      <w:r>
        <w:rPr>
          <w:lang w:val="en-GB"/>
        </w:rPr>
        <w:t>Humira is available in other strengths and presentations.</w:t>
      </w:r>
    </w:p>
    <w:p w14:paraId="5E7AC2B6" w14:textId="77777777" w:rsidR="00BC0E7E" w:rsidRPr="00BC0E7E" w:rsidRDefault="00BC0E7E" w:rsidP="00BC0E7E">
      <w:pPr>
        <w:rPr>
          <w:szCs w:val="20"/>
        </w:rPr>
      </w:pPr>
    </w:p>
    <w:p w14:paraId="268C9F0E" w14:textId="77777777" w:rsidR="00BC0E7E" w:rsidRPr="00BC0E7E" w:rsidRDefault="00944B8F" w:rsidP="00BC0E7E">
      <w:pPr>
        <w:suppressAutoHyphens w:val="0"/>
        <w:outlineLvl w:val="1"/>
        <w:rPr>
          <w:b/>
          <w:szCs w:val="20"/>
        </w:rPr>
      </w:pPr>
      <w:r w:rsidRPr="00BC0E7E">
        <w:rPr>
          <w:b/>
          <w:szCs w:val="20"/>
        </w:rPr>
        <w:t>4.3</w:t>
      </w:r>
      <w:r w:rsidRPr="00BC0E7E">
        <w:rPr>
          <w:b/>
          <w:szCs w:val="20"/>
        </w:rPr>
        <w:tab/>
        <w:t xml:space="preserve">Contraindications </w:t>
      </w:r>
    </w:p>
    <w:p w14:paraId="7BBE94E1" w14:textId="77777777" w:rsidR="00BC0E7E" w:rsidRPr="00BC0E7E" w:rsidRDefault="00BC0E7E" w:rsidP="00BC0E7E">
      <w:pPr>
        <w:rPr>
          <w:szCs w:val="20"/>
        </w:rPr>
      </w:pPr>
    </w:p>
    <w:p w14:paraId="59626FCD" w14:textId="77777777" w:rsidR="00BC0E7E" w:rsidRPr="00BC0E7E" w:rsidRDefault="00944B8F" w:rsidP="00BC0E7E">
      <w:pPr>
        <w:tabs>
          <w:tab w:val="clear" w:pos="562"/>
        </w:tabs>
      </w:pPr>
      <w:r w:rsidRPr="00BC0E7E">
        <w:t xml:space="preserve">Hypersensitivity to the active substance or to any of the excipients listed in section 6.1. </w:t>
      </w:r>
    </w:p>
    <w:p w14:paraId="3067F340" w14:textId="77777777" w:rsidR="00BC0E7E" w:rsidRPr="00BC0E7E" w:rsidRDefault="00BC0E7E" w:rsidP="00BC0E7E">
      <w:pPr>
        <w:tabs>
          <w:tab w:val="clear" w:pos="562"/>
        </w:tabs>
      </w:pPr>
    </w:p>
    <w:p w14:paraId="1EEBA7AF" w14:textId="77777777" w:rsidR="00BC0E7E" w:rsidRPr="00BC0E7E" w:rsidRDefault="00944B8F" w:rsidP="00BC0E7E">
      <w:pPr>
        <w:tabs>
          <w:tab w:val="clear" w:pos="562"/>
        </w:tabs>
      </w:pPr>
      <w:r w:rsidRPr="00BC0E7E">
        <w:t>Active tuberculosis or other severe infections such as sepsis, and opportunistic infections (see section 4.4).</w:t>
      </w:r>
    </w:p>
    <w:p w14:paraId="518C9859" w14:textId="77777777" w:rsidR="00BC0E7E" w:rsidRPr="00BC0E7E" w:rsidRDefault="00BC0E7E" w:rsidP="00BC0E7E">
      <w:pPr>
        <w:tabs>
          <w:tab w:val="clear" w:pos="562"/>
        </w:tabs>
        <w:rPr>
          <w:sz w:val="20"/>
          <w:szCs w:val="20"/>
        </w:rPr>
      </w:pPr>
    </w:p>
    <w:p w14:paraId="19BD7BE1" w14:textId="77777777" w:rsidR="00BC0E7E" w:rsidRPr="00BC0E7E" w:rsidRDefault="00944B8F" w:rsidP="00BC0E7E">
      <w:r w:rsidRPr="00BC0E7E">
        <w:t>Moderate to severe heart failure (NYHA class III/IV) (see section 4.4).</w:t>
      </w:r>
    </w:p>
    <w:p w14:paraId="15462FA5" w14:textId="77777777" w:rsidR="00BC0E7E" w:rsidRPr="00BC0E7E" w:rsidRDefault="00BC0E7E" w:rsidP="00BC0E7E"/>
    <w:p w14:paraId="409E9CAA" w14:textId="77777777" w:rsidR="00BC0E7E" w:rsidRPr="00BC0E7E" w:rsidRDefault="00944B8F" w:rsidP="00BC0E7E">
      <w:pPr>
        <w:suppressAutoHyphens w:val="0"/>
        <w:outlineLvl w:val="1"/>
        <w:rPr>
          <w:b/>
          <w:szCs w:val="20"/>
        </w:rPr>
      </w:pPr>
      <w:r w:rsidRPr="00BC0E7E">
        <w:rPr>
          <w:b/>
          <w:szCs w:val="20"/>
        </w:rPr>
        <w:t>4.4</w:t>
      </w:r>
      <w:r w:rsidRPr="00BC0E7E">
        <w:rPr>
          <w:b/>
          <w:szCs w:val="20"/>
        </w:rPr>
        <w:tab/>
        <w:t>Special warnings and precautions for use</w:t>
      </w:r>
    </w:p>
    <w:p w14:paraId="1FED09CA" w14:textId="77777777" w:rsidR="00BC0E7E" w:rsidRPr="00BC0E7E" w:rsidRDefault="00BC0E7E" w:rsidP="00BC0E7E">
      <w:pPr>
        <w:rPr>
          <w:szCs w:val="20"/>
        </w:rPr>
      </w:pPr>
    </w:p>
    <w:p w14:paraId="639D50AA" w14:textId="77777777" w:rsidR="00930CBB" w:rsidRPr="000244DF" w:rsidRDefault="00944B8F" w:rsidP="00930CBB">
      <w:pPr>
        <w:pStyle w:val="Heading4"/>
        <w:autoSpaceDE w:val="0"/>
        <w:autoSpaceDN w:val="0"/>
        <w:adjustRightInd w:val="0"/>
        <w:rPr>
          <w:rFonts w:ascii="Times New Roman" w:hAnsi="Times New Roman"/>
          <w:b w:val="0"/>
          <w:sz w:val="22"/>
          <w:szCs w:val="22"/>
          <w:u w:val="single"/>
        </w:rPr>
      </w:pPr>
      <w:r w:rsidRPr="000244DF">
        <w:rPr>
          <w:rFonts w:ascii="Times New Roman" w:hAnsi="Times New Roman"/>
          <w:b w:val="0"/>
          <w:sz w:val="22"/>
          <w:szCs w:val="22"/>
          <w:u w:val="single"/>
        </w:rPr>
        <w:t xml:space="preserve">Traceability </w:t>
      </w:r>
    </w:p>
    <w:p w14:paraId="252C7223" w14:textId="77777777" w:rsidR="00930CBB" w:rsidRPr="00473C7B" w:rsidRDefault="00930CBB" w:rsidP="00930CBB"/>
    <w:p w14:paraId="35235D2A" w14:textId="77777777" w:rsidR="00BC0E7E" w:rsidRPr="00BC0E7E" w:rsidRDefault="00944B8F" w:rsidP="00BC0E7E">
      <w:pPr>
        <w:autoSpaceDE w:val="0"/>
        <w:autoSpaceDN w:val="0"/>
        <w:adjustRightInd w:val="0"/>
      </w:pPr>
      <w:r w:rsidRPr="00BC0E7E">
        <w:t xml:space="preserve">In order to improve traceability of biological medicinal products, the </w:t>
      </w:r>
      <w:r w:rsidR="00367800">
        <w:rPr>
          <w:szCs w:val="22"/>
        </w:rPr>
        <w:t>name</w:t>
      </w:r>
      <w:r w:rsidR="00B21C8B">
        <w:rPr>
          <w:szCs w:val="22"/>
        </w:rPr>
        <w:t xml:space="preserve"> </w:t>
      </w:r>
      <w:r w:rsidRPr="00BC0E7E">
        <w:t>and the batch number of the administered product should be clearly recorded.</w:t>
      </w:r>
    </w:p>
    <w:p w14:paraId="28B9F3CB" w14:textId="77777777" w:rsidR="00BC0E7E" w:rsidRPr="00BC0E7E" w:rsidRDefault="00BC0E7E" w:rsidP="00BC0E7E">
      <w:pPr>
        <w:autoSpaceDE w:val="0"/>
        <w:autoSpaceDN w:val="0"/>
        <w:adjustRightInd w:val="0"/>
      </w:pPr>
    </w:p>
    <w:p w14:paraId="00CA7CEE" w14:textId="77777777" w:rsidR="00BC0E7E" w:rsidRPr="00BC0E7E" w:rsidRDefault="00944B8F" w:rsidP="007A4250">
      <w:pPr>
        <w:keepNext/>
        <w:autoSpaceDE w:val="0"/>
        <w:autoSpaceDN w:val="0"/>
        <w:adjustRightInd w:val="0"/>
        <w:rPr>
          <w:u w:val="single"/>
        </w:rPr>
      </w:pPr>
      <w:r w:rsidRPr="00BC0E7E">
        <w:rPr>
          <w:u w:val="single"/>
        </w:rPr>
        <w:t>Infections</w:t>
      </w:r>
    </w:p>
    <w:p w14:paraId="73276331" w14:textId="77777777" w:rsidR="00BC0E7E" w:rsidRPr="00BC0E7E" w:rsidRDefault="00BC0E7E" w:rsidP="007A4250">
      <w:pPr>
        <w:keepNext/>
      </w:pPr>
    </w:p>
    <w:p w14:paraId="49153980" w14:textId="77777777" w:rsidR="00BC0E7E" w:rsidRPr="00BC0E7E" w:rsidRDefault="00944B8F" w:rsidP="007A4250">
      <w:pPr>
        <w:keepNext/>
        <w:autoSpaceDE w:val="0"/>
        <w:autoSpaceDN w:val="0"/>
        <w:adjustRightInd w:val="0"/>
      </w:pPr>
      <w:r w:rsidRPr="00BC0E7E">
        <w:t>Patients taking TNF-antagonists are more susceptible to serious infections. Impaired lung function may increase the risk for developing infections. Patients must therefore be monitored closely for infections, including tuberculosis, before, during and after treatment with Humira.  Because the elimination of adalimumab may take up to four months, monitoring should be continued throughout this period.</w:t>
      </w:r>
    </w:p>
    <w:p w14:paraId="4E4BBBB1" w14:textId="77777777" w:rsidR="00BC0E7E" w:rsidRPr="00BC0E7E" w:rsidRDefault="00BC0E7E" w:rsidP="00BC0E7E">
      <w:pPr>
        <w:autoSpaceDE w:val="0"/>
        <w:autoSpaceDN w:val="0"/>
        <w:adjustRightInd w:val="0"/>
      </w:pPr>
    </w:p>
    <w:p w14:paraId="4A6C471F" w14:textId="77777777" w:rsidR="00BC0E7E" w:rsidRPr="00BC0E7E" w:rsidRDefault="00944B8F" w:rsidP="00BC0E7E">
      <w:pPr>
        <w:autoSpaceDE w:val="0"/>
        <w:autoSpaceDN w:val="0"/>
        <w:adjustRightInd w:val="0"/>
      </w:pPr>
      <w:r w:rsidRPr="00BC0E7E">
        <w:t xml:space="preserve">Treatment with Humira should not be initiated in patients with active infections including chronic or localised infections until infections are controlled. In patients who have been exposed to tuberculosis and patients who have travelled in areas of high risk of tuberculosis or endemic mycoses, such as histoplasmosis, coccidioidomycosis, or blastomycosis, the risk and benefits of treatment with Humira should be considered prior to initiating therapy (see </w:t>
      </w:r>
      <w:r w:rsidRPr="00BC0E7E">
        <w:rPr>
          <w:i/>
          <w:iCs/>
        </w:rPr>
        <w:t>Other opportunistic infections</w:t>
      </w:r>
      <w:r w:rsidRPr="00BC0E7E">
        <w:t>).</w:t>
      </w:r>
    </w:p>
    <w:p w14:paraId="36F15797" w14:textId="77777777" w:rsidR="00BC0E7E" w:rsidRPr="00BC0E7E" w:rsidRDefault="00BC0E7E" w:rsidP="00BC0E7E">
      <w:pPr>
        <w:autoSpaceDE w:val="0"/>
        <w:autoSpaceDN w:val="0"/>
        <w:adjustRightInd w:val="0"/>
      </w:pPr>
    </w:p>
    <w:p w14:paraId="63BA01D6" w14:textId="77777777" w:rsidR="00BC0E7E" w:rsidRPr="00BC0E7E" w:rsidRDefault="00944B8F" w:rsidP="00BC0E7E">
      <w:pPr>
        <w:autoSpaceDE w:val="0"/>
        <w:autoSpaceDN w:val="0"/>
        <w:adjustRightInd w:val="0"/>
      </w:pPr>
      <w:r w:rsidRPr="00BC0E7E">
        <w:t>Patients who develop a new infection while undergoing treatment with Humira should be monitored closely and undergo a complete diagnostic evaluation. Administration of Humira should be discontinued if a patient develops a new serious infection or sepsis, and appropriate antimicrobial or antifungal therapy should be initiated until the infection is controlled.  Physicians should exercise caution when considering the use of Humira in patients with a history of recurring infection or with underlying conditions which may predispose patients to infections, including the use of concomitant immunosuppressive medications.</w:t>
      </w:r>
    </w:p>
    <w:p w14:paraId="71E5619B" w14:textId="77777777" w:rsidR="00BC0E7E" w:rsidRPr="00BC0E7E" w:rsidRDefault="00BC0E7E" w:rsidP="00BC0E7E">
      <w:pPr>
        <w:autoSpaceDE w:val="0"/>
        <w:autoSpaceDN w:val="0"/>
        <w:adjustRightInd w:val="0"/>
      </w:pPr>
    </w:p>
    <w:p w14:paraId="07DE629C" w14:textId="77777777" w:rsidR="00BC0E7E" w:rsidRPr="00BC0E7E" w:rsidRDefault="00944B8F" w:rsidP="00BC0E7E">
      <w:pPr>
        <w:keepNext/>
        <w:autoSpaceDE w:val="0"/>
        <w:autoSpaceDN w:val="0"/>
        <w:adjustRightInd w:val="0"/>
        <w:rPr>
          <w:i/>
          <w:iCs/>
        </w:rPr>
      </w:pPr>
      <w:r w:rsidRPr="00BC0E7E">
        <w:rPr>
          <w:i/>
          <w:iCs/>
        </w:rPr>
        <w:lastRenderedPageBreak/>
        <w:t>Serious infections</w:t>
      </w:r>
    </w:p>
    <w:p w14:paraId="7979B257" w14:textId="77777777" w:rsidR="00BC0E7E" w:rsidRPr="00BC0E7E" w:rsidRDefault="00BC0E7E" w:rsidP="00BC0E7E">
      <w:pPr>
        <w:keepNext/>
        <w:autoSpaceDE w:val="0"/>
        <w:autoSpaceDN w:val="0"/>
        <w:adjustRightInd w:val="0"/>
      </w:pPr>
    </w:p>
    <w:p w14:paraId="4CBBB23C" w14:textId="77777777" w:rsidR="00BC0E7E" w:rsidRPr="00BC0E7E" w:rsidRDefault="00944B8F" w:rsidP="00BC0E7E">
      <w:pPr>
        <w:keepNext/>
        <w:autoSpaceDE w:val="0"/>
        <w:autoSpaceDN w:val="0"/>
        <w:adjustRightInd w:val="0"/>
      </w:pPr>
      <w:r w:rsidRPr="00BC0E7E">
        <w:t xml:space="preserve">Serious infections, </w:t>
      </w:r>
      <w:r w:rsidRPr="00BC0E7E">
        <w:rPr>
          <w:u w:color="0000FF"/>
        </w:rPr>
        <w:t>including sepsis,</w:t>
      </w:r>
      <w:r w:rsidRPr="00BC0E7E">
        <w:t xml:space="preserve"> due to bacterial, mycobacterial, invasive fungal, parasitic, viral, or other opportunistic infections</w:t>
      </w:r>
      <w:r w:rsidRPr="00BC0E7E">
        <w:rPr>
          <w:u w:color="0000FF"/>
        </w:rPr>
        <w:t xml:space="preserve"> such as listeriosis, legionellosis and pneumocystis</w:t>
      </w:r>
      <w:r w:rsidRPr="00BC0E7E">
        <w:t xml:space="preserve"> have been reported in patients receiving Humira.  </w:t>
      </w:r>
    </w:p>
    <w:p w14:paraId="57B180BC" w14:textId="77777777" w:rsidR="00BC0E7E" w:rsidRPr="00BC0E7E" w:rsidRDefault="00BC0E7E" w:rsidP="00BC0E7E">
      <w:pPr>
        <w:autoSpaceDE w:val="0"/>
        <w:autoSpaceDN w:val="0"/>
        <w:adjustRightInd w:val="0"/>
      </w:pPr>
    </w:p>
    <w:p w14:paraId="4FA49D70" w14:textId="77777777" w:rsidR="00BC0E7E" w:rsidRPr="00BC0E7E" w:rsidRDefault="00944B8F" w:rsidP="00BC0E7E">
      <w:pPr>
        <w:autoSpaceDE w:val="0"/>
        <w:autoSpaceDN w:val="0"/>
        <w:adjustRightInd w:val="0"/>
      </w:pPr>
      <w:r w:rsidRPr="00BC0E7E">
        <w:t xml:space="preserve">Other serious infections seen in clinical trials include pneumonia, pyelonephritis, septic arthritis and septicaemia. Hospitalisation or fatal outcomes associated with infections have been reported. </w:t>
      </w:r>
    </w:p>
    <w:p w14:paraId="7938B62A" w14:textId="77777777" w:rsidR="00BC0E7E" w:rsidRPr="00BC0E7E" w:rsidRDefault="00BC0E7E" w:rsidP="00BC0E7E">
      <w:pPr>
        <w:autoSpaceDE w:val="0"/>
        <w:autoSpaceDN w:val="0"/>
        <w:adjustRightInd w:val="0"/>
      </w:pPr>
    </w:p>
    <w:p w14:paraId="0FB1595B" w14:textId="77777777" w:rsidR="00BC0E7E" w:rsidRPr="00BC0E7E" w:rsidRDefault="00944B8F" w:rsidP="00BC0E7E">
      <w:pPr>
        <w:autoSpaceDE w:val="0"/>
        <w:autoSpaceDN w:val="0"/>
        <w:adjustRightInd w:val="0"/>
        <w:rPr>
          <w:i/>
          <w:iCs/>
        </w:rPr>
      </w:pPr>
      <w:r w:rsidRPr="00BC0E7E">
        <w:rPr>
          <w:i/>
          <w:iCs/>
        </w:rPr>
        <w:t>Tuberculosis</w:t>
      </w:r>
    </w:p>
    <w:p w14:paraId="21BDA159" w14:textId="77777777" w:rsidR="00BC0E7E" w:rsidRPr="00BC0E7E" w:rsidRDefault="00BC0E7E" w:rsidP="00BC0E7E">
      <w:pPr>
        <w:autoSpaceDE w:val="0"/>
        <w:autoSpaceDN w:val="0"/>
        <w:adjustRightInd w:val="0"/>
      </w:pPr>
    </w:p>
    <w:p w14:paraId="02E38A09" w14:textId="77777777" w:rsidR="00BC0E7E" w:rsidRPr="00BC0E7E" w:rsidRDefault="00944B8F" w:rsidP="00BC0E7E">
      <w:pPr>
        <w:autoSpaceDE w:val="0"/>
        <w:autoSpaceDN w:val="0"/>
        <w:adjustRightInd w:val="0"/>
      </w:pPr>
      <w:r w:rsidRPr="00BC0E7E">
        <w:t xml:space="preserve">Tuberculosis, including reactivation and new onset of tuberculosis, has been reported in patients receiving Humira.  Reports included cases of pulmonary and extra-pulmonary (i.e. disseminated) tuberculosis. </w:t>
      </w:r>
    </w:p>
    <w:p w14:paraId="6E331F4F" w14:textId="77777777" w:rsidR="00BC0E7E" w:rsidRPr="00BC0E7E" w:rsidRDefault="00BC0E7E" w:rsidP="00BC0E7E">
      <w:pPr>
        <w:autoSpaceDE w:val="0"/>
        <w:autoSpaceDN w:val="0"/>
        <w:adjustRightInd w:val="0"/>
      </w:pPr>
    </w:p>
    <w:p w14:paraId="3A4501B4" w14:textId="77777777" w:rsidR="00BC0E7E" w:rsidRPr="00BC0E7E" w:rsidRDefault="00944B8F" w:rsidP="00BC0E7E">
      <w:r w:rsidRPr="00BC0E7E">
        <w:t>Before initiation of therapy with Humira, all patients must be evaluated for both active or inactive (“latent”) tuberculosis infection.  This evaluation should include a detailed medical assessment of patient history of tuberculosis or possible previous exposure to people with active tuberculosis and previous and/or current immunosuppressive therapy.  Appropriate screening tests (i.e. tuberculin skin test and chest X</w:t>
      </w:r>
      <w:r w:rsidRPr="00BC0E7E">
        <w:noBreakHyphen/>
        <w:t xml:space="preserve">ray) should be performed in all patients (local recommendations may apply).  It is recommended that the conduct and results of these tests are recorded in the </w:t>
      </w:r>
      <w:r w:rsidR="002179FE">
        <w:t>Patient Reminder Card</w:t>
      </w:r>
      <w:r w:rsidRPr="00BC0E7E">
        <w:t xml:space="preserve">.  Prescribers are reminded of the risk of false negative tuberculin skin test results, especially in patients who are severely ill or immunocompromised. </w:t>
      </w:r>
    </w:p>
    <w:p w14:paraId="045F2572" w14:textId="77777777" w:rsidR="00BC0E7E" w:rsidRPr="00BC0E7E" w:rsidRDefault="00BC0E7E" w:rsidP="00BC0E7E"/>
    <w:p w14:paraId="512C2BBA" w14:textId="77777777" w:rsidR="00BC0E7E" w:rsidRPr="00BC0E7E" w:rsidRDefault="00944B8F" w:rsidP="00BC0E7E">
      <w:r w:rsidRPr="00BC0E7E">
        <w:t xml:space="preserve">If active tuberculosis is diagnosed, Humira therapy must not be initiated (see section 4.3). </w:t>
      </w:r>
    </w:p>
    <w:p w14:paraId="269669F2" w14:textId="77777777" w:rsidR="00BC0E7E" w:rsidRPr="00BC0E7E" w:rsidRDefault="00BC0E7E" w:rsidP="00BC0E7E"/>
    <w:p w14:paraId="736B278D" w14:textId="77777777" w:rsidR="00BC0E7E" w:rsidRPr="00BC0E7E" w:rsidRDefault="00944B8F" w:rsidP="00BC0E7E">
      <w:r w:rsidRPr="00BC0E7E">
        <w:t>In all situations described below, the benefit/risk balance of therapy should be very carefully considered.</w:t>
      </w:r>
    </w:p>
    <w:p w14:paraId="70D946BA" w14:textId="77777777" w:rsidR="00BC0E7E" w:rsidRPr="00BC0E7E" w:rsidRDefault="00BC0E7E" w:rsidP="00BC0E7E"/>
    <w:p w14:paraId="5A7B4D2C" w14:textId="77777777" w:rsidR="00BC0E7E" w:rsidRPr="00BC0E7E" w:rsidRDefault="00944B8F" w:rsidP="00BC0E7E">
      <w:r w:rsidRPr="00BC0E7E">
        <w:t xml:space="preserve">If latent tuberculosis is suspected, </w:t>
      </w:r>
      <w:r w:rsidRPr="00BC0E7E">
        <w:rPr>
          <w:szCs w:val="22"/>
        </w:rPr>
        <w:t>a physician with expertise in the treatment of tuberculosis should be consulted.</w:t>
      </w:r>
      <w:r w:rsidRPr="00BC0E7E">
        <w:t xml:space="preserve">  </w:t>
      </w:r>
    </w:p>
    <w:p w14:paraId="474C77B6" w14:textId="77777777" w:rsidR="00BC0E7E" w:rsidRPr="00BC0E7E" w:rsidRDefault="00BC0E7E" w:rsidP="00BC0E7E"/>
    <w:p w14:paraId="5B995C14" w14:textId="77777777" w:rsidR="00BC0E7E" w:rsidRPr="00BC0E7E" w:rsidRDefault="00944B8F" w:rsidP="00BC0E7E">
      <w:pPr>
        <w:rPr>
          <w:bCs/>
          <w:snapToGrid w:val="0"/>
          <w:szCs w:val="22"/>
        </w:rPr>
      </w:pPr>
      <w:r w:rsidRPr="00BC0E7E">
        <w:rPr>
          <w:szCs w:val="22"/>
        </w:rPr>
        <w:t xml:space="preserve">If latent tuberculosis is diagnosed, appropriate treatment must be started with anti-tuberculosis prophylaxis treatment before the initiation of Humira, and in accordance with local recommendations. </w:t>
      </w:r>
    </w:p>
    <w:p w14:paraId="256E58BD" w14:textId="77777777" w:rsidR="00BC0E7E" w:rsidRPr="007F079A" w:rsidRDefault="00BC0E7E" w:rsidP="00BC0E7E">
      <w:pPr>
        <w:rPr>
          <w:bCs/>
          <w:iCs/>
        </w:rPr>
      </w:pPr>
    </w:p>
    <w:p w14:paraId="154F0C9A" w14:textId="77777777" w:rsidR="00BC0E7E" w:rsidRPr="00BC0E7E" w:rsidRDefault="00944B8F" w:rsidP="00BC0E7E">
      <w:r w:rsidRPr="00BC0E7E">
        <w:t xml:space="preserve">Use of anti-tuberculosis prophylaxis treatment should also be considered before the initiation of Humira in patients with several or significant risk factors for tuberculosis despite a negative test for tuberculosis and in patients with a past history of latent or active tuberculosis in whom an adequate course of treatment cannot be confirmed.  </w:t>
      </w:r>
    </w:p>
    <w:p w14:paraId="14A31D6E" w14:textId="77777777" w:rsidR="00BC0E7E" w:rsidRPr="00BC0E7E" w:rsidRDefault="00BC0E7E" w:rsidP="00BC0E7E"/>
    <w:p w14:paraId="50ACC240" w14:textId="77777777" w:rsidR="00BC0E7E" w:rsidRPr="00BC0E7E" w:rsidRDefault="00944B8F" w:rsidP="00BC0E7E">
      <w:r w:rsidRPr="00BC0E7E">
        <w:t>Despite prophylactic treatment for tuberculosis, cases of reactivated tuberculosis have occurred in patients treated with Humira. Some patients who have been successfully treated for active tuberculosis have redeveloped tuberculosis while being treated with Humira.</w:t>
      </w:r>
    </w:p>
    <w:p w14:paraId="0EA5016C" w14:textId="77777777" w:rsidR="00BC0E7E" w:rsidRPr="00BC0E7E" w:rsidRDefault="00BC0E7E" w:rsidP="00BC0E7E"/>
    <w:p w14:paraId="6B343C7C" w14:textId="77777777" w:rsidR="00BC0E7E" w:rsidRPr="00BC0E7E" w:rsidRDefault="00944B8F" w:rsidP="00BC0E7E">
      <w:pPr>
        <w:autoSpaceDE w:val="0"/>
        <w:autoSpaceDN w:val="0"/>
        <w:adjustRightInd w:val="0"/>
      </w:pPr>
      <w:r w:rsidRPr="00BC0E7E">
        <w:t xml:space="preserve">Patients should be instructed to seek medical advice if signs/symptoms suggestive of a tuberculosis infection (e.g., persistent cough, wasting/weight loss, low grade fever, listlessness) occur during or after therapy with Humira. </w:t>
      </w:r>
    </w:p>
    <w:p w14:paraId="4E016059" w14:textId="77777777" w:rsidR="00BC0E7E" w:rsidRPr="00BC0E7E" w:rsidRDefault="00BC0E7E" w:rsidP="00BC0E7E">
      <w:pPr>
        <w:autoSpaceDE w:val="0"/>
        <w:autoSpaceDN w:val="0"/>
        <w:adjustRightInd w:val="0"/>
      </w:pPr>
    </w:p>
    <w:p w14:paraId="25DA278D" w14:textId="77777777" w:rsidR="00BC0E7E" w:rsidRPr="00BC0E7E" w:rsidRDefault="00944B8F" w:rsidP="00BC0E7E">
      <w:pPr>
        <w:keepNext/>
        <w:autoSpaceDE w:val="0"/>
        <w:autoSpaceDN w:val="0"/>
        <w:adjustRightInd w:val="0"/>
        <w:rPr>
          <w:i/>
          <w:iCs/>
        </w:rPr>
      </w:pPr>
      <w:r w:rsidRPr="00BC0E7E">
        <w:rPr>
          <w:i/>
          <w:iCs/>
        </w:rPr>
        <w:t>Other opportunistic infections</w:t>
      </w:r>
    </w:p>
    <w:p w14:paraId="3D2C114F" w14:textId="77777777" w:rsidR="00BC0E7E" w:rsidRPr="00BC0E7E" w:rsidRDefault="00BC0E7E" w:rsidP="00BC0E7E">
      <w:pPr>
        <w:keepNext/>
        <w:autoSpaceDE w:val="0"/>
        <w:autoSpaceDN w:val="0"/>
        <w:adjustRightInd w:val="0"/>
      </w:pPr>
    </w:p>
    <w:p w14:paraId="5EA0C94E" w14:textId="77777777" w:rsidR="00BC0E7E" w:rsidRPr="00BC0E7E" w:rsidRDefault="00944B8F" w:rsidP="00BC0E7E">
      <w:pPr>
        <w:keepNext/>
        <w:autoSpaceDE w:val="0"/>
        <w:autoSpaceDN w:val="0"/>
        <w:adjustRightInd w:val="0"/>
      </w:pPr>
      <w:r w:rsidRPr="00BC0E7E">
        <w:t xml:space="preserve">Opportunistic infections, including invasive fungal infections have been observed in patients receiving Humira. These infections have not consistently been recognised in patients taking TNF-antagonists and this has resulted in delays in appropriate treatment, sometimes resulting in fatal outcomes. </w:t>
      </w:r>
    </w:p>
    <w:p w14:paraId="5957ABB9" w14:textId="77777777" w:rsidR="00BC0E7E" w:rsidRPr="00BC0E7E" w:rsidRDefault="00BC0E7E" w:rsidP="00BC0E7E">
      <w:pPr>
        <w:autoSpaceDE w:val="0"/>
        <w:autoSpaceDN w:val="0"/>
        <w:adjustRightInd w:val="0"/>
      </w:pPr>
    </w:p>
    <w:p w14:paraId="1363B1C0" w14:textId="77777777" w:rsidR="00BC0E7E" w:rsidRPr="00BC0E7E" w:rsidRDefault="00944B8F" w:rsidP="00BC0E7E">
      <w:pPr>
        <w:autoSpaceDE w:val="0"/>
        <w:autoSpaceDN w:val="0"/>
        <w:adjustRightInd w:val="0"/>
        <w:spacing w:line="240" w:lineRule="atLeast"/>
        <w:rPr>
          <w:szCs w:val="20"/>
        </w:rPr>
      </w:pPr>
      <w:r w:rsidRPr="00BC0E7E">
        <w:rPr>
          <w:szCs w:val="20"/>
        </w:rPr>
        <w:lastRenderedPageBreak/>
        <w:t xml:space="preserve">For patients who develop the signs and symptoms such as fever, malaise, weight loss, sweats, cough, dyspnoea, and/or pulmonary infiltrates or other serious systemic illness with or without concomitant shock an invasive fungal infection should be suspected and administration of Humira should be promptly discontinued.  Diagnosis and administration of empiric antifungal therapy in these patients should be made in consultation with a physician with expertise in the care of patients with invasive fungal infections. </w:t>
      </w:r>
    </w:p>
    <w:p w14:paraId="72A6C88C" w14:textId="77777777" w:rsidR="00BC0E7E" w:rsidRPr="00BC0E7E" w:rsidRDefault="00BC0E7E" w:rsidP="00BC0E7E">
      <w:pPr>
        <w:autoSpaceDE w:val="0"/>
        <w:autoSpaceDN w:val="0"/>
        <w:adjustRightInd w:val="0"/>
        <w:spacing w:line="240" w:lineRule="atLeast"/>
        <w:rPr>
          <w:szCs w:val="20"/>
        </w:rPr>
      </w:pPr>
    </w:p>
    <w:p w14:paraId="03688CBD" w14:textId="77777777" w:rsidR="00BC0E7E" w:rsidRPr="00BC0E7E" w:rsidRDefault="00944B8F" w:rsidP="00BC0E7E">
      <w:pPr>
        <w:keepNext/>
        <w:autoSpaceDE w:val="0"/>
        <w:autoSpaceDN w:val="0"/>
        <w:adjustRightInd w:val="0"/>
        <w:spacing w:line="240" w:lineRule="atLeast"/>
        <w:rPr>
          <w:szCs w:val="22"/>
          <w:u w:val="single"/>
        </w:rPr>
      </w:pPr>
      <w:r w:rsidRPr="00BC0E7E">
        <w:rPr>
          <w:szCs w:val="22"/>
          <w:u w:val="single"/>
        </w:rPr>
        <w:t>Hepatitis B reactivation</w:t>
      </w:r>
    </w:p>
    <w:p w14:paraId="5CEBD519" w14:textId="77777777" w:rsidR="00BC0E7E" w:rsidRPr="00BC0E7E" w:rsidRDefault="00BC0E7E" w:rsidP="00BC0E7E">
      <w:pPr>
        <w:keepNext/>
        <w:autoSpaceDE w:val="0"/>
        <w:autoSpaceDN w:val="0"/>
        <w:adjustRightInd w:val="0"/>
        <w:spacing w:line="240" w:lineRule="atLeast"/>
        <w:rPr>
          <w:bCs/>
          <w:i/>
          <w:iCs/>
          <w:szCs w:val="22"/>
        </w:rPr>
      </w:pPr>
    </w:p>
    <w:p w14:paraId="5E5B00E3" w14:textId="77777777" w:rsidR="00BC0E7E" w:rsidRPr="00BC0E7E" w:rsidRDefault="00944B8F" w:rsidP="00BC0E7E">
      <w:pPr>
        <w:keepNext/>
        <w:tabs>
          <w:tab w:val="clear" w:pos="562"/>
        </w:tabs>
        <w:suppressAutoHyphens w:val="0"/>
        <w:autoSpaceDE w:val="0"/>
        <w:autoSpaceDN w:val="0"/>
        <w:adjustRightInd w:val="0"/>
        <w:spacing w:line="240" w:lineRule="atLeast"/>
        <w:rPr>
          <w:szCs w:val="22"/>
        </w:rPr>
      </w:pPr>
      <w:r w:rsidRPr="00BC0E7E">
        <w:rPr>
          <w:szCs w:val="22"/>
        </w:rPr>
        <w:t>Reactivation of hepatitis B has occurred in patients receiving a TNF-antagonist including Humira, who are chronic carriers of this virus (i.e. surface antigen positive).  Some cases have had a fatal outcome. Patients should be tested for HBV infection before initiating treatment with Humira. For patients who test positive for hepatitis B infection, consultation with a physician with expertise in the treatment of hepatitis B is recommended.</w:t>
      </w:r>
    </w:p>
    <w:p w14:paraId="643DF861" w14:textId="77777777" w:rsidR="00BC0E7E" w:rsidRPr="00BC0E7E" w:rsidRDefault="00BC0E7E" w:rsidP="00BC0E7E">
      <w:pPr>
        <w:tabs>
          <w:tab w:val="clear" w:pos="562"/>
        </w:tabs>
        <w:suppressAutoHyphens w:val="0"/>
        <w:autoSpaceDE w:val="0"/>
        <w:autoSpaceDN w:val="0"/>
        <w:adjustRightInd w:val="0"/>
        <w:spacing w:line="240" w:lineRule="atLeast"/>
        <w:rPr>
          <w:szCs w:val="22"/>
        </w:rPr>
      </w:pPr>
    </w:p>
    <w:p w14:paraId="386E7B01" w14:textId="77777777" w:rsidR="00BC0E7E" w:rsidRPr="00BC0E7E" w:rsidRDefault="00944B8F" w:rsidP="00BC0E7E">
      <w:pPr>
        <w:tabs>
          <w:tab w:val="clear" w:pos="562"/>
        </w:tabs>
        <w:suppressAutoHyphens w:val="0"/>
        <w:autoSpaceDE w:val="0"/>
        <w:autoSpaceDN w:val="0"/>
        <w:adjustRightInd w:val="0"/>
        <w:spacing w:line="240" w:lineRule="atLeast"/>
        <w:rPr>
          <w:szCs w:val="22"/>
        </w:rPr>
      </w:pPr>
      <w:r w:rsidRPr="00BC0E7E">
        <w:rPr>
          <w:szCs w:val="22"/>
        </w:rPr>
        <w:t xml:space="preserve">Carriers of HBV who require treatment with Humira should be closely monitored for signs and symptoms of active HBV infection throughout therapy and for several months following termination of therapy. Adequate data from treating patients who are carriers of HBV with anti-viral therapy in conjunction with TNF-antagonist therapy to prevent HBV reactivation are not available. In patients who develop HBV reactivation, Humira should be stopped and effective anti-viral therapy with appropriate supportive treatment should be initiated. </w:t>
      </w:r>
    </w:p>
    <w:p w14:paraId="0171A012" w14:textId="77777777" w:rsidR="00BC0E7E" w:rsidRPr="00BC0E7E" w:rsidRDefault="00BC0E7E" w:rsidP="00BC0E7E">
      <w:pPr>
        <w:tabs>
          <w:tab w:val="clear" w:pos="562"/>
        </w:tabs>
        <w:suppressAutoHyphens w:val="0"/>
        <w:autoSpaceDE w:val="0"/>
        <w:autoSpaceDN w:val="0"/>
        <w:adjustRightInd w:val="0"/>
        <w:spacing w:line="240" w:lineRule="atLeast"/>
        <w:rPr>
          <w:szCs w:val="22"/>
        </w:rPr>
      </w:pPr>
    </w:p>
    <w:p w14:paraId="7F1689AF" w14:textId="77777777" w:rsidR="00BC0E7E" w:rsidRPr="00BC0E7E" w:rsidRDefault="00944B8F" w:rsidP="00BC0E7E">
      <w:pPr>
        <w:rPr>
          <w:szCs w:val="20"/>
          <w:u w:val="single"/>
        </w:rPr>
      </w:pPr>
      <w:r w:rsidRPr="00BC0E7E">
        <w:rPr>
          <w:szCs w:val="20"/>
          <w:u w:val="single"/>
        </w:rPr>
        <w:t xml:space="preserve">Neurological events </w:t>
      </w:r>
    </w:p>
    <w:p w14:paraId="1EACF2CB" w14:textId="77777777" w:rsidR="00BC0E7E" w:rsidRPr="00BC0E7E" w:rsidRDefault="00BC0E7E" w:rsidP="00BC0E7E">
      <w:pPr>
        <w:rPr>
          <w:szCs w:val="20"/>
        </w:rPr>
      </w:pPr>
    </w:p>
    <w:p w14:paraId="6BEB0A45" w14:textId="77777777" w:rsidR="00BC0E7E" w:rsidRPr="00BC0E7E" w:rsidRDefault="00944B8F" w:rsidP="00BC0E7E">
      <w:pPr>
        <w:autoSpaceDE w:val="0"/>
        <w:autoSpaceDN w:val="0"/>
        <w:adjustRightInd w:val="0"/>
      </w:pPr>
      <w:r w:rsidRPr="00BC0E7E">
        <w:t>TNF-antagonists including Humira have been associated in rare instances with new onset or exacerbation of clinical symptoms and/or radiographic evidence of central nervous system demyelinating disease including multiple sclerosis and optic neuritis, and peripheral demyelinating disease, including Guillain-Barré syndrome. Prescribers should exercise caution in considering the use of Humira in patients with pre-existing or recent-onset central or peripheral nervous system demyelinating disorders</w:t>
      </w:r>
      <w:r w:rsidRPr="00BC0E7E">
        <w:rPr>
          <w:bCs/>
        </w:rPr>
        <w:t>; discontinuation of Humira should be considered if any of these disorders develop. There is a known association between intermediate uveitis and central demyelinating disorders. Neurologic evaluation should be performed in patients with non-infectious intermediate uveitis prior to the initiation of Humira therapy and regularly during treatment to assess for pre-existing or developing central demyelinating disorders</w:t>
      </w:r>
      <w:r w:rsidRPr="00BC0E7E">
        <w:t xml:space="preserve">. </w:t>
      </w:r>
    </w:p>
    <w:p w14:paraId="32F5DF92" w14:textId="77777777" w:rsidR="00BC0E7E" w:rsidRPr="00BC0E7E" w:rsidRDefault="00BC0E7E" w:rsidP="00BC0E7E">
      <w:pPr>
        <w:autoSpaceDE w:val="0"/>
        <w:autoSpaceDN w:val="0"/>
        <w:adjustRightInd w:val="0"/>
      </w:pPr>
    </w:p>
    <w:p w14:paraId="1D8EAA19" w14:textId="77777777" w:rsidR="00BC0E7E" w:rsidRPr="00BC0E7E" w:rsidRDefault="00944B8F" w:rsidP="007F079A">
      <w:pPr>
        <w:keepNext/>
        <w:rPr>
          <w:szCs w:val="20"/>
          <w:u w:val="single"/>
        </w:rPr>
      </w:pPr>
      <w:r w:rsidRPr="00BC0E7E">
        <w:rPr>
          <w:szCs w:val="20"/>
          <w:u w:val="single"/>
        </w:rPr>
        <w:t>Allergic reactions</w:t>
      </w:r>
    </w:p>
    <w:p w14:paraId="0520548E" w14:textId="77777777" w:rsidR="00BC0E7E" w:rsidRPr="00BC0E7E" w:rsidRDefault="00BC0E7E" w:rsidP="007F079A">
      <w:pPr>
        <w:keepNext/>
        <w:rPr>
          <w:szCs w:val="20"/>
        </w:rPr>
      </w:pPr>
    </w:p>
    <w:p w14:paraId="44588C66" w14:textId="77777777" w:rsidR="00BC0E7E" w:rsidRPr="00BC0E7E" w:rsidRDefault="00944B8F" w:rsidP="007F079A">
      <w:pPr>
        <w:keepNext/>
        <w:autoSpaceDE w:val="0"/>
        <w:autoSpaceDN w:val="0"/>
        <w:adjustRightInd w:val="0"/>
      </w:pPr>
      <w:r w:rsidRPr="00BC0E7E">
        <w:t xml:space="preserve">Serious allergic reactions associated with Humira were rare during clinical trials. Non-serious allergic reactions associated with Humira were uncommon during clinical trials. Reports of serious allergic reactions including anaphylaxis have been received following Humira administration. If an anaphylactic reaction or other serious allergic reaction occurs, administration of Humira should be discontinued immediately and appropriate therapy initiated. </w:t>
      </w:r>
    </w:p>
    <w:p w14:paraId="140F0378" w14:textId="77777777" w:rsidR="00BC0E7E" w:rsidRPr="00BC0E7E" w:rsidRDefault="00BC0E7E" w:rsidP="00BC0E7E">
      <w:pPr>
        <w:autoSpaceDE w:val="0"/>
        <w:autoSpaceDN w:val="0"/>
        <w:adjustRightInd w:val="0"/>
      </w:pPr>
    </w:p>
    <w:p w14:paraId="1F04C0FA" w14:textId="77777777" w:rsidR="00BC0E7E" w:rsidRPr="00BC0E7E" w:rsidRDefault="00944B8F" w:rsidP="00BC0E7E">
      <w:pPr>
        <w:rPr>
          <w:szCs w:val="20"/>
          <w:u w:val="single"/>
        </w:rPr>
      </w:pPr>
      <w:r w:rsidRPr="00BC0E7E">
        <w:rPr>
          <w:szCs w:val="20"/>
          <w:u w:val="single"/>
        </w:rPr>
        <w:t>Immunosuppression</w:t>
      </w:r>
    </w:p>
    <w:p w14:paraId="146BFB02" w14:textId="77777777" w:rsidR="00BC0E7E" w:rsidRPr="00BC0E7E" w:rsidRDefault="00BC0E7E" w:rsidP="00BC0E7E">
      <w:pPr>
        <w:rPr>
          <w:szCs w:val="20"/>
        </w:rPr>
      </w:pPr>
    </w:p>
    <w:p w14:paraId="0D893A72" w14:textId="77777777" w:rsidR="00BC0E7E" w:rsidRPr="00BC0E7E" w:rsidRDefault="00944B8F" w:rsidP="00BC0E7E">
      <w:pPr>
        <w:rPr>
          <w:szCs w:val="20"/>
        </w:rPr>
      </w:pPr>
      <w:r w:rsidRPr="00BC0E7E">
        <w:rPr>
          <w:szCs w:val="20"/>
        </w:rPr>
        <w:t>In a study of 64 patients with rheumatoid arthritis that were treated with Humira, there was no evidence of depression of delayed-type hypersensitivity, depression of immunoglobulin levels, or change in enumeration of effector T-, B</w:t>
      </w:r>
      <w:r w:rsidR="00E77479">
        <w:rPr>
          <w:szCs w:val="20"/>
        </w:rPr>
        <w:t>-</w:t>
      </w:r>
      <w:r w:rsidRPr="00BC0E7E">
        <w:rPr>
          <w:szCs w:val="20"/>
        </w:rPr>
        <w:t>, NK-cells, monocyte/macrophages, and neutrophils.</w:t>
      </w:r>
    </w:p>
    <w:p w14:paraId="6493DC29" w14:textId="77777777" w:rsidR="00BC0E7E" w:rsidRPr="00BC0E7E" w:rsidRDefault="00BC0E7E" w:rsidP="00BC0E7E">
      <w:pPr>
        <w:rPr>
          <w:szCs w:val="20"/>
        </w:rPr>
      </w:pPr>
    </w:p>
    <w:p w14:paraId="17720C4E" w14:textId="77777777" w:rsidR="00BC0E7E" w:rsidRPr="00BC0E7E" w:rsidRDefault="00944B8F" w:rsidP="00BC0E7E">
      <w:pPr>
        <w:rPr>
          <w:szCs w:val="20"/>
          <w:u w:val="single"/>
        </w:rPr>
      </w:pPr>
      <w:r w:rsidRPr="00BC0E7E">
        <w:rPr>
          <w:szCs w:val="20"/>
          <w:u w:val="single"/>
        </w:rPr>
        <w:t>Malignancies and lymphoproliferative disorders</w:t>
      </w:r>
    </w:p>
    <w:p w14:paraId="0D4EC609" w14:textId="77777777" w:rsidR="00BC0E7E" w:rsidRPr="00BC0E7E" w:rsidRDefault="00BC0E7E" w:rsidP="00BC0E7E">
      <w:pPr>
        <w:rPr>
          <w:szCs w:val="20"/>
        </w:rPr>
      </w:pPr>
    </w:p>
    <w:p w14:paraId="220FF581" w14:textId="77777777" w:rsidR="00BC0E7E" w:rsidRPr="00BC0E7E" w:rsidRDefault="00944B8F" w:rsidP="00BC0E7E">
      <w:pPr>
        <w:rPr>
          <w:szCs w:val="20"/>
        </w:rPr>
      </w:pPr>
      <w:r w:rsidRPr="00BC0E7E">
        <w:rPr>
          <w:szCs w:val="20"/>
        </w:rPr>
        <w:t xml:space="preserve">In the controlled portions of clinical trials of TNF-antagonists, more cases of malignancies including lymphoma have been observed among patients receiving a TNF-antagonist compared with control patients. However, the occurrence was rare. In the post marketing setting, cases of leukaemia have been reported in patients treated with a TNF-antagonist. There is an increased background risk for lymphoma </w:t>
      </w:r>
      <w:r w:rsidRPr="00BC0E7E">
        <w:rPr>
          <w:szCs w:val="20"/>
        </w:rPr>
        <w:lastRenderedPageBreak/>
        <w:t>and leukaemia in rheumatoid arthritis patients with long-standing, highly active, inflammatory disease, which complicates the risk estimation. With the current knowledge, a possible risk for the development of lymphomas, leukaemia, and other malignancies in patients treated with a TNF-antagonist cannot be excluded.</w:t>
      </w:r>
    </w:p>
    <w:p w14:paraId="594A0C1C" w14:textId="77777777" w:rsidR="00BC0E7E" w:rsidRPr="00BC0E7E" w:rsidRDefault="00BC0E7E" w:rsidP="00BC0E7E">
      <w:pPr>
        <w:rPr>
          <w:szCs w:val="20"/>
        </w:rPr>
      </w:pPr>
    </w:p>
    <w:p w14:paraId="08BF7B7F" w14:textId="77777777" w:rsidR="00BC0E7E" w:rsidRPr="00BC0E7E" w:rsidRDefault="00944B8F" w:rsidP="00BC0E7E">
      <w:pPr>
        <w:rPr>
          <w:szCs w:val="20"/>
        </w:rPr>
      </w:pPr>
      <w:r w:rsidRPr="00BC0E7E">
        <w:rPr>
          <w:szCs w:val="20"/>
        </w:rPr>
        <w:t xml:space="preserve">Malignancies, some fatal, have been reported among children, adolescents and young adults (up to 22 years of age) treated with TNF-antagonists (initiation of therapy ≤ 18 years of age), including adalimumab in the post marketing setting. Approximately half the cases were lymphomas. The other cases represented a variety of different malignancies and included rare malignancies usually associated with immunosuppression. A risk for the development of malignancies in children and adolescents treated with TNF-antagonists cannot be excluded. </w:t>
      </w:r>
    </w:p>
    <w:p w14:paraId="34F16B23" w14:textId="77777777" w:rsidR="00BC0E7E" w:rsidRPr="00BC0E7E" w:rsidRDefault="00BC0E7E" w:rsidP="00BC0E7E">
      <w:pPr>
        <w:rPr>
          <w:szCs w:val="20"/>
        </w:rPr>
      </w:pPr>
    </w:p>
    <w:p w14:paraId="2CA7F9CE" w14:textId="77777777" w:rsidR="00BC0E7E" w:rsidRPr="00BC0E7E" w:rsidRDefault="00944B8F" w:rsidP="00BC0E7E">
      <w:pPr>
        <w:rPr>
          <w:szCs w:val="20"/>
        </w:rPr>
      </w:pPr>
      <w:r w:rsidRPr="00BC0E7E">
        <w:rPr>
          <w:szCs w:val="20"/>
        </w:rPr>
        <w:t>Rare postmarketing cases of hepatosplenic T-cell lymphoma have been identified in patients treated with adalimumab. This rare type of T-cell lymphoma has a very aggressive disease course and is usually fatal. Some of these hepatosplenic T-cell lymphomas with Humira have occurred in young adult patients on concomitant treatment with azathioprine or 6-mercaptopurine used for inflammatory bowel disease. The potential risk with the combination of azathioprine or 6-mercaptopurine and Humira should be carefully considered. A risk for the development of hepatosplenic T-cell lymphoma in patients treated with Humira cannot be excluded (see section 4.8).</w:t>
      </w:r>
    </w:p>
    <w:p w14:paraId="43271061" w14:textId="77777777" w:rsidR="00BC0E7E" w:rsidRPr="00BC0E7E" w:rsidRDefault="00BC0E7E" w:rsidP="00BC0E7E">
      <w:pPr>
        <w:rPr>
          <w:szCs w:val="20"/>
        </w:rPr>
      </w:pPr>
    </w:p>
    <w:p w14:paraId="4CAC2A16" w14:textId="77777777" w:rsidR="00BC0E7E" w:rsidRPr="00BC0E7E" w:rsidRDefault="00944B8F" w:rsidP="00BC0E7E">
      <w:r w:rsidRPr="00BC0E7E">
        <w:t>No studies have been conducted that include patients with a history of malignancy or in whom treatment with Humira is continued following development of malignancy.  Thus</w:t>
      </w:r>
      <w:r w:rsidR="00954842">
        <w:t>,</w:t>
      </w:r>
      <w:r w:rsidRPr="00BC0E7E">
        <w:t xml:space="preserve"> additional caution should be exercised in considering Humira treatment of these patients (see section 4.8).</w:t>
      </w:r>
    </w:p>
    <w:p w14:paraId="03D76776" w14:textId="77777777" w:rsidR="00BC0E7E" w:rsidRPr="00BC0E7E" w:rsidRDefault="00BC0E7E" w:rsidP="00BC0E7E"/>
    <w:p w14:paraId="79A8C8B2" w14:textId="77777777" w:rsidR="00BC0E7E" w:rsidRPr="00BC0E7E" w:rsidRDefault="00944B8F" w:rsidP="00BC0E7E">
      <w:pPr>
        <w:rPr>
          <w:i/>
          <w:u w:val="single"/>
        </w:rPr>
      </w:pPr>
      <w:r w:rsidRPr="00BC0E7E">
        <w:t>All patients, and in particular patients with a medical history of extensive immunosuppressant therapy or psoriasis patients with a history of PUVA treatment should be examined for the presence of non-melanoma skin cancer prior to and during treatment with Humira.  Melanoma and Merkel cell carcinoma have also been reported in patients treated with TNF-antagonists including adalimumab (see section 4.8).</w:t>
      </w:r>
    </w:p>
    <w:p w14:paraId="5B2842A8" w14:textId="77777777" w:rsidR="00BC0E7E" w:rsidRPr="00BC0E7E" w:rsidRDefault="00BC0E7E" w:rsidP="00BC0E7E">
      <w:pPr>
        <w:rPr>
          <w:i/>
          <w:u w:val="single"/>
        </w:rPr>
      </w:pPr>
    </w:p>
    <w:p w14:paraId="329219BF" w14:textId="77777777" w:rsidR="00BC0E7E" w:rsidRPr="00BC0E7E" w:rsidRDefault="00944B8F" w:rsidP="00BC0E7E">
      <w:r w:rsidRPr="00BC0E7E">
        <w:t>In an exploratory clinical trial evaluating the use of another TNF-antagonist, infliximab, in patients with moderate to severe chronic obstructive pulmonary disease (COPD), more malignancies, mostly in the lung or head and neck, were reported in infliximab-treated patients compared with control patients. All patients had a history of heavy smoking. Therefore, caution should be exercised when using any TNF-antagonist in COPD patients, as well as in patients with increased risk for malignancy due to heavy smoking.</w:t>
      </w:r>
    </w:p>
    <w:p w14:paraId="29F291C0" w14:textId="77777777" w:rsidR="00BC0E7E" w:rsidRPr="00BC0E7E" w:rsidRDefault="00BC0E7E" w:rsidP="00BC0E7E">
      <w:pPr>
        <w:rPr>
          <w:iCs/>
          <w:szCs w:val="22"/>
        </w:rPr>
      </w:pPr>
    </w:p>
    <w:p w14:paraId="59CE32AA" w14:textId="77777777" w:rsidR="00BC0E7E" w:rsidRPr="00BC0E7E" w:rsidRDefault="00944B8F" w:rsidP="00BC0E7E">
      <w:r w:rsidRPr="00BC0E7E">
        <w:rPr>
          <w:iCs/>
          <w:szCs w:val="22"/>
        </w:rPr>
        <w:t>With current data it is not known if adalimumab treatment influences the risk for developing dysplasia or colon cancer.  All patients with ulcerative colitis who are at increased risk for dysplasia or colon carcinoma (for example, patients with long-standing ulcerative colitis or primary sclerosing cholangitis), or who had a prior history of dysplasia or colon carcinoma should be screened for dysplasia at regular intervals before therapy and throughout their disease course. This evaluation should include colonoscopy and biopsies per local recommendations.</w:t>
      </w:r>
    </w:p>
    <w:p w14:paraId="567A7B46" w14:textId="77777777" w:rsidR="00BC0E7E" w:rsidRPr="00BC0E7E" w:rsidRDefault="00BC0E7E" w:rsidP="00BC0E7E"/>
    <w:p w14:paraId="33D80C44" w14:textId="77777777" w:rsidR="00BC0E7E" w:rsidRPr="00BC0E7E" w:rsidRDefault="00944B8F" w:rsidP="00BC0E7E">
      <w:pPr>
        <w:rPr>
          <w:u w:val="single"/>
        </w:rPr>
      </w:pPr>
      <w:r w:rsidRPr="00BC0E7E">
        <w:rPr>
          <w:u w:val="single"/>
        </w:rPr>
        <w:t>Haematologic reactions</w:t>
      </w:r>
    </w:p>
    <w:p w14:paraId="025B4C65" w14:textId="77777777" w:rsidR="00BC0E7E" w:rsidRPr="00BC0E7E" w:rsidRDefault="00BC0E7E" w:rsidP="00BC0E7E"/>
    <w:p w14:paraId="038E814F" w14:textId="77777777" w:rsidR="00BC0E7E" w:rsidRPr="00BC0E7E" w:rsidRDefault="00944B8F" w:rsidP="00BC0E7E">
      <w:r w:rsidRPr="00BC0E7E">
        <w:t>Rare reports of pancytopenia including aplastic anaemia have been reported with TNF-antagonists.  Adverse events of the haematologic system, including medically significant cytopenia (e.g. thrombocytopenia, leukopenia) have been reported with Humira. All patients should be advised to seek immediate medical attention if they develop signs and symptoms suggestive of blood dyscrasias (e.g. persistent fever, bruising, bleeding, pallor) while on Humira. Discontinuation of Humira therapy should be considered in patients with confirmed significant haematologic abnormalities.</w:t>
      </w:r>
    </w:p>
    <w:p w14:paraId="0D03532D" w14:textId="77777777" w:rsidR="00BC0E7E" w:rsidRPr="00BC0E7E" w:rsidRDefault="00BC0E7E" w:rsidP="00BC0E7E"/>
    <w:p w14:paraId="539A948B" w14:textId="77777777" w:rsidR="00BC0E7E" w:rsidRPr="00BC0E7E" w:rsidRDefault="00944B8F" w:rsidP="001F6917">
      <w:pPr>
        <w:keepNext/>
        <w:rPr>
          <w:u w:val="single"/>
        </w:rPr>
      </w:pPr>
      <w:r w:rsidRPr="00BC0E7E">
        <w:rPr>
          <w:u w:val="single"/>
        </w:rPr>
        <w:lastRenderedPageBreak/>
        <w:t xml:space="preserve">Vaccinations </w:t>
      </w:r>
    </w:p>
    <w:p w14:paraId="6C4173B6" w14:textId="77777777" w:rsidR="00BC0E7E" w:rsidRPr="00BC0E7E" w:rsidRDefault="00BC0E7E" w:rsidP="001F6917">
      <w:pPr>
        <w:keepNext/>
        <w:rPr>
          <w:szCs w:val="20"/>
        </w:rPr>
      </w:pPr>
    </w:p>
    <w:p w14:paraId="2600F08D" w14:textId="77777777" w:rsidR="00BC0E7E" w:rsidRPr="00BC0E7E" w:rsidRDefault="00944B8F" w:rsidP="001F6917">
      <w:pPr>
        <w:keepNext/>
        <w:autoSpaceDE w:val="0"/>
        <w:autoSpaceDN w:val="0"/>
        <w:adjustRightInd w:val="0"/>
      </w:pPr>
      <w:r w:rsidRPr="00BC0E7E">
        <w:t xml:space="preserve">Similar antibody responses to the standard 23-valent pneumococcal vaccine and the influenza trivalent virus vaccination were observed in a study in 226 adult subjects with rheumatoid arthritis who were treated with adalimumab or placebo. No data are available on the secondary transmission of infection by live vaccines in patients receiving Humira.  </w:t>
      </w:r>
    </w:p>
    <w:p w14:paraId="0D190633" w14:textId="77777777" w:rsidR="00BC0E7E" w:rsidRPr="00BC0E7E" w:rsidRDefault="00BC0E7E" w:rsidP="00BC0E7E">
      <w:pPr>
        <w:autoSpaceDE w:val="0"/>
        <w:autoSpaceDN w:val="0"/>
        <w:adjustRightInd w:val="0"/>
      </w:pPr>
    </w:p>
    <w:p w14:paraId="140F961E" w14:textId="77777777" w:rsidR="00BC0E7E" w:rsidRPr="00BC0E7E" w:rsidRDefault="00944B8F" w:rsidP="00BC0E7E">
      <w:pPr>
        <w:autoSpaceDE w:val="0"/>
        <w:autoSpaceDN w:val="0"/>
        <w:adjustRightInd w:val="0"/>
      </w:pPr>
      <w:r w:rsidRPr="00BC0E7E">
        <w:t>It is recommended that paediatric patients, if possible, be brought up to date with all immunisations in agreement with current immunisation guidelines prior to initiating Humira therapy.</w:t>
      </w:r>
    </w:p>
    <w:p w14:paraId="34FEAA3B" w14:textId="77777777" w:rsidR="00BC0E7E" w:rsidRPr="00BC0E7E" w:rsidRDefault="00BC0E7E" w:rsidP="00BC0E7E">
      <w:pPr>
        <w:autoSpaceDE w:val="0"/>
        <w:autoSpaceDN w:val="0"/>
        <w:adjustRightInd w:val="0"/>
      </w:pPr>
    </w:p>
    <w:p w14:paraId="28D56F27" w14:textId="77777777" w:rsidR="00BC0E7E" w:rsidRPr="00BC0E7E" w:rsidRDefault="00944B8F" w:rsidP="00BC0E7E">
      <w:pPr>
        <w:autoSpaceDE w:val="0"/>
        <w:autoSpaceDN w:val="0"/>
        <w:adjustRightInd w:val="0"/>
      </w:pPr>
      <w:r w:rsidRPr="00BC0E7E">
        <w:t xml:space="preserve">Patients on Humira may receive concurrent vaccinations, except for live vaccines. Administration of live vaccines </w:t>
      </w:r>
      <w:r w:rsidR="00FD62A1" w:rsidRPr="00B2265A">
        <w:rPr>
          <w:szCs w:val="22"/>
        </w:rPr>
        <w:t>(e.g., BCG vaccine)</w:t>
      </w:r>
      <w:r w:rsidR="00FD62A1">
        <w:rPr>
          <w:szCs w:val="22"/>
        </w:rPr>
        <w:t xml:space="preserve"> </w:t>
      </w:r>
      <w:r w:rsidRPr="00BC0E7E">
        <w:t>to infants exposed to adalimumab in utero is not recommended for 5 months following the mother’s last adalimumab injection during pregnancy.</w:t>
      </w:r>
    </w:p>
    <w:p w14:paraId="1F15FD37" w14:textId="77777777" w:rsidR="00BC0E7E" w:rsidRPr="00BC0E7E" w:rsidRDefault="00BC0E7E" w:rsidP="00BC0E7E">
      <w:pPr>
        <w:autoSpaceDE w:val="0"/>
        <w:autoSpaceDN w:val="0"/>
        <w:adjustRightInd w:val="0"/>
      </w:pPr>
    </w:p>
    <w:p w14:paraId="299FFCDA" w14:textId="77777777" w:rsidR="00BC0E7E" w:rsidRPr="00BC0E7E" w:rsidRDefault="00944B8F" w:rsidP="00BC0E7E">
      <w:pPr>
        <w:rPr>
          <w:szCs w:val="20"/>
          <w:u w:val="single"/>
        </w:rPr>
      </w:pPr>
      <w:r w:rsidRPr="00BC0E7E">
        <w:rPr>
          <w:szCs w:val="20"/>
          <w:u w:val="single"/>
        </w:rPr>
        <w:t>Congestive heart failure</w:t>
      </w:r>
    </w:p>
    <w:p w14:paraId="79B3F0D0" w14:textId="77777777" w:rsidR="00BC0E7E" w:rsidRPr="00BC0E7E" w:rsidRDefault="00BC0E7E" w:rsidP="00BC0E7E">
      <w:pPr>
        <w:rPr>
          <w:szCs w:val="20"/>
        </w:rPr>
      </w:pPr>
    </w:p>
    <w:p w14:paraId="072A4F8E" w14:textId="77777777" w:rsidR="00BC0E7E" w:rsidRPr="00BC0E7E" w:rsidRDefault="00944B8F" w:rsidP="00BC0E7E">
      <w:pPr>
        <w:rPr>
          <w:szCs w:val="20"/>
        </w:rPr>
      </w:pPr>
      <w:r w:rsidRPr="00BC0E7E">
        <w:rPr>
          <w:szCs w:val="20"/>
        </w:rPr>
        <w:t>In a clinical trial with another TNF-antagonist worsening congestive heart failure and increased mortality due to congestive heart failure have been observed. Cases of worsening congestive heart failure have also been reported in patients receiving Humira. Humira should be used with caution in patients with mild heart failure (NYHA class I/II). Humira is contraindicated in moderate to severe heart failure (see section 4.3). Treatment with Humira must be discontinued in patients who develop new or worsening symptoms of congestive heart failure.</w:t>
      </w:r>
    </w:p>
    <w:p w14:paraId="7D3AB4F4" w14:textId="77777777" w:rsidR="00BC0E7E" w:rsidRPr="00BC0E7E" w:rsidRDefault="00BC0E7E" w:rsidP="00BC0E7E">
      <w:pPr>
        <w:rPr>
          <w:i/>
          <w:iCs/>
          <w:szCs w:val="20"/>
        </w:rPr>
      </w:pPr>
    </w:p>
    <w:p w14:paraId="503CE196" w14:textId="77777777" w:rsidR="00BC0E7E" w:rsidRPr="00BC0E7E" w:rsidRDefault="00944B8F" w:rsidP="00BC0E7E">
      <w:pPr>
        <w:rPr>
          <w:szCs w:val="20"/>
          <w:u w:val="single"/>
        </w:rPr>
      </w:pPr>
      <w:r w:rsidRPr="00BC0E7E">
        <w:rPr>
          <w:szCs w:val="20"/>
          <w:u w:val="single"/>
        </w:rPr>
        <w:t>Autoimmune processes</w:t>
      </w:r>
    </w:p>
    <w:p w14:paraId="4AA71587" w14:textId="77777777" w:rsidR="00BC0E7E" w:rsidRPr="00BC0E7E" w:rsidRDefault="00BC0E7E" w:rsidP="00BC0E7E">
      <w:pPr>
        <w:rPr>
          <w:szCs w:val="20"/>
        </w:rPr>
      </w:pPr>
    </w:p>
    <w:p w14:paraId="06F1B450" w14:textId="77777777" w:rsidR="00BC0E7E" w:rsidRPr="00BC0E7E" w:rsidRDefault="00944B8F" w:rsidP="00BC0E7E">
      <w:pPr>
        <w:rPr>
          <w:szCs w:val="22"/>
        </w:rPr>
      </w:pPr>
      <w:r w:rsidRPr="00BC0E7E">
        <w:t>Treatment with Humira may result in the formation of autoimmune antibodies.</w:t>
      </w:r>
      <w:r w:rsidRPr="00BC0E7E">
        <w:rPr>
          <w:i/>
          <w:iCs/>
        </w:rPr>
        <w:t xml:space="preserve"> </w:t>
      </w:r>
      <w:r w:rsidRPr="00BC0E7E">
        <w:t xml:space="preserve">The impact of long-term treatment with Humira on the development of autoimmune diseases is unknown. </w:t>
      </w:r>
      <w:r w:rsidRPr="00BC0E7E">
        <w:rPr>
          <w:szCs w:val="22"/>
        </w:rPr>
        <w:t>If a patient develops symptoms suggestive of a lupus-like syndrome following treatment with Humira and is positive for antibodies against double-stranded DNA, further treatment with Humira should not be given (see section 4.8).</w:t>
      </w:r>
    </w:p>
    <w:p w14:paraId="019F137E" w14:textId="77777777" w:rsidR="00BC0E7E" w:rsidRPr="00BC0E7E" w:rsidRDefault="00BC0E7E" w:rsidP="00BC0E7E"/>
    <w:p w14:paraId="4EBB859D" w14:textId="77777777" w:rsidR="00BC0E7E" w:rsidRPr="00BC0E7E" w:rsidRDefault="00944B8F" w:rsidP="007F079A">
      <w:pPr>
        <w:keepNext/>
        <w:rPr>
          <w:szCs w:val="20"/>
          <w:u w:val="single"/>
        </w:rPr>
      </w:pPr>
      <w:r w:rsidRPr="00BC0E7E">
        <w:rPr>
          <w:szCs w:val="20"/>
          <w:u w:val="single"/>
        </w:rPr>
        <w:t>Concurrent administration of biologic DMARDS or TNF-antagonists</w:t>
      </w:r>
    </w:p>
    <w:p w14:paraId="0B01C4C3" w14:textId="77777777" w:rsidR="00BC0E7E" w:rsidRPr="00BC0E7E" w:rsidRDefault="00BC0E7E" w:rsidP="007F079A">
      <w:pPr>
        <w:keepNext/>
        <w:rPr>
          <w:szCs w:val="20"/>
        </w:rPr>
      </w:pPr>
    </w:p>
    <w:p w14:paraId="5DE61AEB" w14:textId="77777777" w:rsidR="00BC0E7E" w:rsidRPr="00BC0E7E" w:rsidRDefault="00944B8F" w:rsidP="007F079A">
      <w:pPr>
        <w:keepNext/>
        <w:rPr>
          <w:szCs w:val="20"/>
        </w:rPr>
      </w:pPr>
      <w:r w:rsidRPr="00BC0E7E">
        <w:rPr>
          <w:szCs w:val="20"/>
        </w:rPr>
        <w:t>Serious infections were seen in clinical studies with concurrent use of anakinra and another TNF</w:t>
      </w:r>
      <w:r w:rsidRPr="00BC0E7E">
        <w:rPr>
          <w:szCs w:val="20"/>
        </w:rPr>
        <w:noBreakHyphen/>
        <w:t>antagonist, etanercept, with no added clinical benefit compared to etanercept alone. Because of the nature of the adverse events seen with the combination of etanercept and anakinra therapy, similar toxicities may also result from the combination of anakinra and other TNF-antagonists. Therefore, the combination of adalimumab and anakinra is not recommended. (See section 4.5).</w:t>
      </w:r>
    </w:p>
    <w:p w14:paraId="5FA39E68" w14:textId="77777777" w:rsidR="00BC0E7E" w:rsidRPr="00BC0E7E" w:rsidRDefault="00BC0E7E" w:rsidP="007F079A">
      <w:pPr>
        <w:keepNext/>
        <w:rPr>
          <w:szCs w:val="20"/>
        </w:rPr>
      </w:pPr>
    </w:p>
    <w:p w14:paraId="2300F159" w14:textId="77777777" w:rsidR="00BC0E7E" w:rsidRPr="00BC0E7E" w:rsidRDefault="00944B8F" w:rsidP="00BC0E7E">
      <w:pPr>
        <w:rPr>
          <w:szCs w:val="20"/>
        </w:rPr>
      </w:pPr>
      <w:r w:rsidRPr="00BC0E7E">
        <w:rPr>
          <w:szCs w:val="20"/>
        </w:rPr>
        <w:t>Concomitant administration of adalimumab with other biologic DMARDS (e.g, anakinra and abatacept) or other TNF-antagonists is not recommended based upon the possible increased risk for infections, including serious infections and other potential pharmacological interactions. (See section 4.5).</w:t>
      </w:r>
    </w:p>
    <w:p w14:paraId="76379694" w14:textId="77777777" w:rsidR="00BC0E7E" w:rsidRPr="00BC0E7E" w:rsidRDefault="00BC0E7E" w:rsidP="00BC0E7E">
      <w:pPr>
        <w:rPr>
          <w:szCs w:val="20"/>
        </w:rPr>
      </w:pPr>
    </w:p>
    <w:p w14:paraId="4D98B542" w14:textId="77777777" w:rsidR="00BC0E7E" w:rsidRPr="00BC0E7E" w:rsidRDefault="00944B8F" w:rsidP="00BC0E7E">
      <w:pPr>
        <w:rPr>
          <w:szCs w:val="20"/>
          <w:u w:val="single"/>
        </w:rPr>
      </w:pPr>
      <w:r w:rsidRPr="00BC0E7E">
        <w:rPr>
          <w:szCs w:val="20"/>
          <w:u w:val="single"/>
        </w:rPr>
        <w:t>Surgery</w:t>
      </w:r>
    </w:p>
    <w:p w14:paraId="766E8ACD" w14:textId="77777777" w:rsidR="00BC0E7E" w:rsidRPr="00BC0E7E" w:rsidRDefault="00BC0E7E" w:rsidP="00BC0E7E">
      <w:pPr>
        <w:rPr>
          <w:szCs w:val="20"/>
        </w:rPr>
      </w:pPr>
    </w:p>
    <w:p w14:paraId="09CFD4E9" w14:textId="77777777" w:rsidR="00BC0E7E" w:rsidRPr="00BC0E7E" w:rsidRDefault="00944B8F" w:rsidP="00BC0E7E">
      <w:pPr>
        <w:tabs>
          <w:tab w:val="clear" w:pos="562"/>
        </w:tabs>
      </w:pPr>
      <w:r w:rsidRPr="00BC0E7E">
        <w:t xml:space="preserve">There is limited safety experience of surgical procedures in patients treated with Humira. The long half-life of adalimumab should be taken into consideration if a surgical procedure is planned.  A patient who requires surgery while on Humira should be closely monitored for infections, and appropriate actions should be taken. There is limited safety experience in patients undergoing arthroplasty while receiving Humira. </w:t>
      </w:r>
    </w:p>
    <w:p w14:paraId="05279AA2" w14:textId="77777777" w:rsidR="00BC0E7E" w:rsidRPr="00BC0E7E" w:rsidRDefault="00BC0E7E" w:rsidP="00BC0E7E">
      <w:pPr>
        <w:tabs>
          <w:tab w:val="clear" w:pos="562"/>
        </w:tabs>
      </w:pPr>
    </w:p>
    <w:p w14:paraId="5B63DDDD" w14:textId="77777777" w:rsidR="00BC0E7E" w:rsidRPr="00BC0E7E" w:rsidRDefault="00944B8F" w:rsidP="00BC0E7E">
      <w:pPr>
        <w:keepNext/>
        <w:tabs>
          <w:tab w:val="clear" w:pos="562"/>
        </w:tabs>
        <w:rPr>
          <w:u w:val="single"/>
        </w:rPr>
      </w:pPr>
      <w:r w:rsidRPr="00BC0E7E">
        <w:rPr>
          <w:u w:val="single"/>
        </w:rPr>
        <w:lastRenderedPageBreak/>
        <w:t>Small bowel obstruction</w:t>
      </w:r>
    </w:p>
    <w:p w14:paraId="21435D26" w14:textId="77777777" w:rsidR="00BC0E7E" w:rsidRPr="00BC0E7E" w:rsidRDefault="00BC0E7E" w:rsidP="00BC0E7E">
      <w:pPr>
        <w:keepNext/>
        <w:tabs>
          <w:tab w:val="clear" w:pos="562"/>
        </w:tabs>
      </w:pPr>
    </w:p>
    <w:p w14:paraId="305949EE" w14:textId="77777777" w:rsidR="00BC0E7E" w:rsidRPr="00BC0E7E" w:rsidRDefault="00944B8F" w:rsidP="00BC0E7E">
      <w:pPr>
        <w:keepNext/>
        <w:tabs>
          <w:tab w:val="clear" w:pos="562"/>
        </w:tabs>
      </w:pPr>
      <w:r w:rsidRPr="00BC0E7E">
        <w:t>Failure to respond to treatment for Crohn’s disease may indicate the presence of fixed fibrotic stricture that may require surgical treatment. Available data suggest that Humira does not worsen or cause strictures.</w:t>
      </w:r>
    </w:p>
    <w:p w14:paraId="6C76021B" w14:textId="77777777" w:rsidR="00BC0E7E" w:rsidRPr="00BC0E7E" w:rsidRDefault="00BC0E7E" w:rsidP="00BC0E7E">
      <w:pPr>
        <w:tabs>
          <w:tab w:val="clear" w:pos="562"/>
        </w:tabs>
      </w:pPr>
    </w:p>
    <w:p w14:paraId="063BAD10" w14:textId="77777777" w:rsidR="00BC0E7E" w:rsidRPr="00BC0E7E" w:rsidRDefault="00944B8F" w:rsidP="00BC0E7E">
      <w:pPr>
        <w:keepNext/>
        <w:tabs>
          <w:tab w:val="clear" w:pos="562"/>
        </w:tabs>
        <w:rPr>
          <w:u w:val="single"/>
        </w:rPr>
      </w:pPr>
      <w:r w:rsidRPr="00BC0E7E">
        <w:rPr>
          <w:u w:val="single"/>
        </w:rPr>
        <w:t>Elderly</w:t>
      </w:r>
    </w:p>
    <w:p w14:paraId="3A6AFDFA" w14:textId="77777777" w:rsidR="00BC0E7E" w:rsidRPr="00BC0E7E" w:rsidRDefault="00BC0E7E" w:rsidP="00BC0E7E">
      <w:pPr>
        <w:keepNext/>
        <w:tabs>
          <w:tab w:val="clear" w:pos="562"/>
        </w:tabs>
      </w:pPr>
    </w:p>
    <w:p w14:paraId="359E3E61" w14:textId="77777777" w:rsidR="00BC0E7E" w:rsidRPr="00BC0E7E" w:rsidRDefault="00944B8F" w:rsidP="00BC0E7E">
      <w:pPr>
        <w:tabs>
          <w:tab w:val="clear" w:pos="562"/>
        </w:tabs>
      </w:pPr>
      <w:r w:rsidRPr="00BC0E7E">
        <w:t>The frequency of serious infections among Humira treated subjects over 65 years of age (3.7%) was higher than for those under 65 years of age (1.5%). Some of those had a fatal outcome. Particular attention regarding the risk for infection should be paid when treating the elderly.</w:t>
      </w:r>
    </w:p>
    <w:p w14:paraId="12CBF1EC" w14:textId="77777777" w:rsidR="00BC0E7E" w:rsidRPr="00BC0E7E" w:rsidRDefault="00BC0E7E" w:rsidP="00BC0E7E">
      <w:pPr>
        <w:tabs>
          <w:tab w:val="clear" w:pos="562"/>
        </w:tabs>
      </w:pPr>
    </w:p>
    <w:p w14:paraId="350CA6AE" w14:textId="77777777" w:rsidR="00BC0E7E" w:rsidRPr="00BC0E7E" w:rsidRDefault="00944B8F" w:rsidP="00BC0E7E">
      <w:pPr>
        <w:keepNext/>
        <w:tabs>
          <w:tab w:val="clear" w:pos="562"/>
        </w:tabs>
        <w:rPr>
          <w:u w:val="single"/>
        </w:rPr>
      </w:pPr>
      <w:r w:rsidRPr="00BC0E7E">
        <w:rPr>
          <w:u w:val="single"/>
        </w:rPr>
        <w:t>Paediatric population</w:t>
      </w:r>
    </w:p>
    <w:p w14:paraId="416320AD" w14:textId="77777777" w:rsidR="00BC0E7E" w:rsidRPr="00BC0E7E" w:rsidRDefault="00BC0E7E" w:rsidP="00BC0E7E">
      <w:pPr>
        <w:keepNext/>
        <w:tabs>
          <w:tab w:val="clear" w:pos="562"/>
        </w:tabs>
      </w:pPr>
    </w:p>
    <w:p w14:paraId="12E960EC" w14:textId="77777777" w:rsidR="00BC0E7E" w:rsidRDefault="00944B8F" w:rsidP="00BC0E7E">
      <w:pPr>
        <w:keepNext/>
        <w:tabs>
          <w:tab w:val="clear" w:pos="562"/>
        </w:tabs>
        <w:rPr>
          <w:ins w:id="8517" w:author="AbbVie19" w:date="2025-04-17T11:01:00Z"/>
        </w:rPr>
      </w:pPr>
      <w:r w:rsidRPr="00BC0E7E">
        <w:t>See Vaccinations above.</w:t>
      </w:r>
    </w:p>
    <w:p w14:paraId="1E37E992" w14:textId="77777777" w:rsidR="00FE6A82" w:rsidRDefault="00FE6A82" w:rsidP="00BC0E7E">
      <w:pPr>
        <w:keepNext/>
        <w:tabs>
          <w:tab w:val="clear" w:pos="562"/>
        </w:tabs>
        <w:rPr>
          <w:ins w:id="8518" w:author="AbbVie19" w:date="2025-04-17T11:01:00Z"/>
        </w:rPr>
      </w:pPr>
    </w:p>
    <w:p w14:paraId="6208437A" w14:textId="4EEEBF06" w:rsidR="00FE6A82" w:rsidRPr="00762FA7" w:rsidRDefault="00944B8F" w:rsidP="00762FA7">
      <w:pPr>
        <w:keepNext/>
        <w:tabs>
          <w:tab w:val="clear" w:pos="562"/>
        </w:tabs>
        <w:rPr>
          <w:ins w:id="8519" w:author="AbbVie19" w:date="2025-04-17T11:01:00Z"/>
          <w:szCs w:val="22"/>
          <w:u w:val="single"/>
        </w:rPr>
      </w:pPr>
      <w:ins w:id="8520" w:author="AbbVie19" w:date="2025-04-17T11:01:00Z">
        <w:r w:rsidRPr="00B364D7">
          <w:rPr>
            <w:szCs w:val="22"/>
            <w:u w:val="single"/>
          </w:rPr>
          <w:t>Excipients with known effect</w:t>
        </w:r>
      </w:ins>
    </w:p>
    <w:p w14:paraId="72119D6C" w14:textId="77777777" w:rsidR="00FE6A82" w:rsidRDefault="00FE6A82" w:rsidP="00BC0E7E">
      <w:pPr>
        <w:keepNext/>
        <w:tabs>
          <w:tab w:val="clear" w:pos="562"/>
        </w:tabs>
        <w:rPr>
          <w:ins w:id="8521" w:author="AbbVie19" w:date="2025-04-17T11:01:00Z"/>
        </w:rPr>
      </w:pPr>
    </w:p>
    <w:p w14:paraId="7BB7264B" w14:textId="436C0702" w:rsidR="00FE6A82" w:rsidRPr="00BC0E7E" w:rsidRDefault="00944B8F" w:rsidP="00762FA7">
      <w:pPr>
        <w:numPr>
          <w:ilvl w:val="12"/>
          <w:numId w:val="0"/>
        </w:numPr>
        <w:tabs>
          <w:tab w:val="clear" w:pos="562"/>
        </w:tabs>
        <w:ind w:right="-2"/>
      </w:pPr>
      <w:ins w:id="8522" w:author="AbbVie19" w:date="2025-04-17T11:01:00Z">
        <w:r w:rsidRPr="00B364D7">
          <w:rPr>
            <w:szCs w:val="22"/>
          </w:rPr>
          <w:t>This medicinal product contains</w:t>
        </w:r>
      </w:ins>
      <w:ins w:id="8523" w:author="AbbVie19" w:date="2025-05-06T09:10:00Z">
        <w:r w:rsidR="00671233">
          <w:rPr>
            <w:szCs w:val="22"/>
          </w:rPr>
          <w:t xml:space="preserve"> 0.8</w:t>
        </w:r>
      </w:ins>
      <w:ins w:id="8524" w:author="AbbVie15" w:date="2025-08-27T10:22:00Z">
        <w:r w:rsidR="00762FA7">
          <w:rPr>
            <w:szCs w:val="22"/>
          </w:rPr>
          <w:t> </w:t>
        </w:r>
      </w:ins>
      <w:ins w:id="8525" w:author="AbbVie19" w:date="2025-04-17T11:01:00Z">
        <w:r w:rsidRPr="00B364D7">
          <w:rPr>
            <w:szCs w:val="22"/>
          </w:rPr>
          <w:t>mg of polysorbate </w:t>
        </w:r>
        <w:r>
          <w:rPr>
            <w:szCs w:val="22"/>
          </w:rPr>
          <w:t>8</w:t>
        </w:r>
        <w:r w:rsidRPr="00B364D7">
          <w:rPr>
            <w:szCs w:val="22"/>
          </w:rPr>
          <w:t xml:space="preserve">0 in each </w:t>
        </w:r>
        <w:r>
          <w:rPr>
            <w:szCs w:val="22"/>
          </w:rPr>
          <w:t>80</w:t>
        </w:r>
      </w:ins>
      <w:ins w:id="8526" w:author="AbbVie15" w:date="2025-08-27T10:22:00Z">
        <w:r w:rsidR="00762FA7">
          <w:rPr>
            <w:szCs w:val="22"/>
          </w:rPr>
          <w:t> </w:t>
        </w:r>
      </w:ins>
      <w:ins w:id="8527" w:author="AbbVie19" w:date="2025-04-17T11:01:00Z">
        <w:r>
          <w:rPr>
            <w:szCs w:val="22"/>
          </w:rPr>
          <w:t>mg dose.</w:t>
        </w:r>
      </w:ins>
      <w:ins w:id="8528" w:author="AbbVie15" w:date="2025-08-27T10:22:00Z">
        <w:r w:rsidR="00762FA7">
          <w:rPr>
            <w:szCs w:val="22"/>
          </w:rPr>
          <w:t xml:space="preserve"> </w:t>
        </w:r>
        <w:r w:rsidR="00762FA7" w:rsidRPr="00762FA7">
          <w:rPr>
            <w:szCs w:val="22"/>
          </w:rPr>
          <w:t>Polysorbates may cause allergic reactions</w:t>
        </w:r>
        <w:r w:rsidR="00762FA7">
          <w:rPr>
            <w:szCs w:val="22"/>
          </w:rPr>
          <w:t>.</w:t>
        </w:r>
      </w:ins>
    </w:p>
    <w:p w14:paraId="3C450348" w14:textId="77777777" w:rsidR="00BC0E7E" w:rsidRPr="00BC0E7E" w:rsidRDefault="00BC0E7E" w:rsidP="00BC0E7E">
      <w:pPr>
        <w:tabs>
          <w:tab w:val="clear" w:pos="562"/>
        </w:tabs>
      </w:pPr>
    </w:p>
    <w:p w14:paraId="3E9BBAB2" w14:textId="77777777" w:rsidR="00BC0E7E" w:rsidRPr="00BC0E7E" w:rsidRDefault="00944B8F" w:rsidP="00BC0E7E">
      <w:pPr>
        <w:suppressAutoHyphens w:val="0"/>
        <w:outlineLvl w:val="1"/>
        <w:rPr>
          <w:b/>
          <w:szCs w:val="20"/>
        </w:rPr>
      </w:pPr>
      <w:r w:rsidRPr="00BC0E7E">
        <w:rPr>
          <w:b/>
          <w:szCs w:val="20"/>
        </w:rPr>
        <w:t>4.5</w:t>
      </w:r>
      <w:r w:rsidRPr="00BC0E7E">
        <w:rPr>
          <w:b/>
          <w:szCs w:val="20"/>
        </w:rPr>
        <w:tab/>
        <w:t xml:space="preserve">Interaction with other medicinal products and other forms of interaction </w:t>
      </w:r>
    </w:p>
    <w:p w14:paraId="77561AD3" w14:textId="77777777" w:rsidR="00BC0E7E" w:rsidRPr="00BC0E7E" w:rsidRDefault="00BC0E7E" w:rsidP="00BC0E7E">
      <w:pPr>
        <w:rPr>
          <w:szCs w:val="20"/>
        </w:rPr>
      </w:pPr>
    </w:p>
    <w:p w14:paraId="3D4FFA87" w14:textId="77777777" w:rsidR="00BC0E7E" w:rsidRPr="00BC0E7E" w:rsidRDefault="00944B8F" w:rsidP="00BC0E7E">
      <w:pPr>
        <w:autoSpaceDE w:val="0"/>
        <w:autoSpaceDN w:val="0"/>
        <w:adjustRightInd w:val="0"/>
      </w:pPr>
      <w:r w:rsidRPr="00BC0E7E">
        <w:t xml:space="preserve">Humira has been studied in rheumatoid arthritis, polyarticular juvenile idiopathic arthritis and psoriatic arthritis patients taking Humira as monotherapy and those taking concomitant methotrexate.  Antibody formation was lower when Humira was given together with methotrexate in comparison with use as monotherapy. Administration of Humira without methotrexate resulted in increased formation of antibodies, increased clearance and reduced efficacy of adalimumab (see section 5.1). </w:t>
      </w:r>
    </w:p>
    <w:p w14:paraId="404AD9D8" w14:textId="77777777" w:rsidR="00BC0E7E" w:rsidRPr="00BC0E7E" w:rsidRDefault="00BC0E7E" w:rsidP="00BC0E7E">
      <w:pPr>
        <w:autoSpaceDE w:val="0"/>
        <w:autoSpaceDN w:val="0"/>
        <w:adjustRightInd w:val="0"/>
      </w:pPr>
    </w:p>
    <w:p w14:paraId="12941447" w14:textId="77777777" w:rsidR="00BC0E7E" w:rsidRPr="00BC0E7E" w:rsidRDefault="00944B8F" w:rsidP="00BC0E7E">
      <w:pPr>
        <w:autoSpaceDE w:val="0"/>
        <w:autoSpaceDN w:val="0"/>
        <w:adjustRightInd w:val="0"/>
      </w:pPr>
      <w:r w:rsidRPr="00BC0E7E">
        <w:t xml:space="preserve">The combination of Humira and anakinra is not recommended (see section 4.4 “Concurrent administration of biologic DMARDS or TNF-antagonists”). </w:t>
      </w:r>
    </w:p>
    <w:p w14:paraId="55DAB558" w14:textId="77777777" w:rsidR="00BC0E7E" w:rsidRPr="00BC0E7E" w:rsidRDefault="00BC0E7E" w:rsidP="00BC0E7E">
      <w:pPr>
        <w:autoSpaceDE w:val="0"/>
        <w:autoSpaceDN w:val="0"/>
        <w:adjustRightInd w:val="0"/>
      </w:pPr>
    </w:p>
    <w:p w14:paraId="426BCABC" w14:textId="77777777" w:rsidR="00BC0E7E" w:rsidRPr="00BC0E7E" w:rsidRDefault="00944B8F" w:rsidP="00BC0E7E">
      <w:pPr>
        <w:autoSpaceDE w:val="0"/>
        <w:autoSpaceDN w:val="0"/>
        <w:adjustRightInd w:val="0"/>
      </w:pPr>
      <w:r w:rsidRPr="00BC0E7E">
        <w:t>The combination of Humira and abatacept is not recommended (see section 4.4 “Concurrent administration of biologic DMARDS or TNF-antagonists”).</w:t>
      </w:r>
    </w:p>
    <w:p w14:paraId="3C4D5900" w14:textId="77777777" w:rsidR="00BC0E7E" w:rsidRPr="00BC0E7E" w:rsidRDefault="00BC0E7E" w:rsidP="00BC0E7E">
      <w:pPr>
        <w:autoSpaceDE w:val="0"/>
        <w:autoSpaceDN w:val="0"/>
        <w:adjustRightInd w:val="0"/>
      </w:pPr>
    </w:p>
    <w:p w14:paraId="7E5C3282" w14:textId="77777777" w:rsidR="00BC0E7E" w:rsidRPr="00816607" w:rsidRDefault="00944B8F" w:rsidP="007F079A">
      <w:pPr>
        <w:keepNext/>
        <w:autoSpaceDE w:val="0"/>
        <w:autoSpaceDN w:val="0"/>
        <w:adjustRightInd w:val="0"/>
        <w:rPr>
          <w:bCs/>
        </w:rPr>
      </w:pPr>
      <w:r w:rsidRPr="00BC0E7E">
        <w:rPr>
          <w:b/>
          <w:bCs/>
        </w:rPr>
        <w:t>4.6</w:t>
      </w:r>
      <w:r w:rsidRPr="00BC0E7E">
        <w:rPr>
          <w:b/>
          <w:bCs/>
        </w:rPr>
        <w:tab/>
        <w:t>Fer</w:t>
      </w:r>
      <w:r w:rsidR="00816607">
        <w:rPr>
          <w:b/>
          <w:bCs/>
        </w:rPr>
        <w:t>tility, pregnancy and lactation</w:t>
      </w:r>
    </w:p>
    <w:p w14:paraId="320A9971" w14:textId="77777777" w:rsidR="00BC0E7E" w:rsidRPr="00BC0E7E" w:rsidRDefault="00BC0E7E" w:rsidP="007F079A">
      <w:pPr>
        <w:keepNext/>
        <w:autoSpaceDE w:val="0"/>
        <w:autoSpaceDN w:val="0"/>
        <w:adjustRightInd w:val="0"/>
      </w:pPr>
    </w:p>
    <w:p w14:paraId="5BAD5366" w14:textId="77777777" w:rsidR="00BC0E7E" w:rsidRPr="00BC0E7E" w:rsidRDefault="00944B8F" w:rsidP="007F079A">
      <w:pPr>
        <w:keepNext/>
        <w:autoSpaceDE w:val="0"/>
        <w:autoSpaceDN w:val="0"/>
        <w:adjustRightInd w:val="0"/>
        <w:rPr>
          <w:u w:val="single"/>
        </w:rPr>
      </w:pPr>
      <w:r w:rsidRPr="00BC0E7E">
        <w:rPr>
          <w:u w:val="single"/>
        </w:rPr>
        <w:t>Women of childbearing potential</w:t>
      </w:r>
    </w:p>
    <w:p w14:paraId="2365579C" w14:textId="77777777" w:rsidR="00BC0E7E" w:rsidRPr="00BC0E7E" w:rsidRDefault="00BC0E7E" w:rsidP="007F079A">
      <w:pPr>
        <w:keepNext/>
      </w:pPr>
    </w:p>
    <w:p w14:paraId="01DEB033" w14:textId="77777777" w:rsidR="00BC0E7E" w:rsidRPr="00BC0E7E" w:rsidRDefault="00944B8F" w:rsidP="007F079A">
      <w:pPr>
        <w:keepNext/>
      </w:pPr>
      <w:r w:rsidRPr="00BC0E7E">
        <w:t xml:space="preserve">Women of childbearing potential </w:t>
      </w:r>
      <w:r w:rsidR="00FD62A1">
        <w:t>should consider the</w:t>
      </w:r>
      <w:r w:rsidRPr="00BC0E7E">
        <w:t xml:space="preserve"> use </w:t>
      </w:r>
      <w:r w:rsidR="00FD62A1">
        <w:t xml:space="preserve">of </w:t>
      </w:r>
      <w:r w:rsidRPr="00BC0E7E">
        <w:t>adequate contraception to prevent pregnancy and continue its use for at least five months after the last Humira treatment.</w:t>
      </w:r>
    </w:p>
    <w:p w14:paraId="571A54AA" w14:textId="77777777" w:rsidR="00BC0E7E" w:rsidRPr="00BC0E7E" w:rsidRDefault="00BC0E7E" w:rsidP="00BC0E7E">
      <w:pPr>
        <w:autoSpaceDE w:val="0"/>
        <w:autoSpaceDN w:val="0"/>
        <w:adjustRightInd w:val="0"/>
        <w:rPr>
          <w:bCs/>
          <w:u w:val="single"/>
        </w:rPr>
      </w:pPr>
    </w:p>
    <w:p w14:paraId="282EEA2F" w14:textId="77777777" w:rsidR="00BC0E7E" w:rsidRPr="00BC0E7E" w:rsidRDefault="00944B8F" w:rsidP="00BC0E7E">
      <w:pPr>
        <w:autoSpaceDE w:val="0"/>
        <w:autoSpaceDN w:val="0"/>
        <w:adjustRightInd w:val="0"/>
        <w:rPr>
          <w:bCs/>
          <w:u w:val="single"/>
        </w:rPr>
      </w:pPr>
      <w:r w:rsidRPr="00BC0E7E">
        <w:rPr>
          <w:bCs/>
          <w:u w:val="single"/>
        </w:rPr>
        <w:t>Pregnancy</w:t>
      </w:r>
    </w:p>
    <w:p w14:paraId="2ADAD130" w14:textId="77777777" w:rsidR="00BC0E7E" w:rsidRPr="00BC0E7E" w:rsidRDefault="00BC0E7E" w:rsidP="00BC0E7E">
      <w:pPr>
        <w:autoSpaceDE w:val="0"/>
        <w:autoSpaceDN w:val="0"/>
        <w:adjustRightInd w:val="0"/>
        <w:rPr>
          <w:bCs/>
        </w:rPr>
      </w:pPr>
    </w:p>
    <w:p w14:paraId="2797D630" w14:textId="77777777" w:rsidR="00BC0E7E" w:rsidRDefault="00944B8F" w:rsidP="00BC0E7E">
      <w:pPr>
        <w:autoSpaceDE w:val="0"/>
        <w:autoSpaceDN w:val="0"/>
        <w:adjustRightInd w:val="0"/>
        <w:rPr>
          <w:bCs/>
        </w:rPr>
      </w:pPr>
      <w:r w:rsidRPr="00946ECA">
        <w:rPr>
          <w:bCs/>
        </w:rPr>
        <w:t>A large number (approximately 2100) of prospectively collected pregnancies exposed to adalimumab resulting in live birth with known outcomes, including more than 1500 exposed during the first trimester, does not indicate an increase in the rate of malformation in the newborn.</w:t>
      </w:r>
    </w:p>
    <w:p w14:paraId="0700A850" w14:textId="77777777" w:rsidR="00FD62A1" w:rsidRDefault="00FD62A1" w:rsidP="00BC0E7E">
      <w:pPr>
        <w:autoSpaceDE w:val="0"/>
        <w:autoSpaceDN w:val="0"/>
        <w:adjustRightInd w:val="0"/>
        <w:rPr>
          <w:bCs/>
        </w:rPr>
      </w:pPr>
    </w:p>
    <w:p w14:paraId="3F45B35E" w14:textId="77777777" w:rsidR="00FD62A1" w:rsidRPr="00FD62A1" w:rsidRDefault="00944B8F" w:rsidP="00FD62A1">
      <w:pPr>
        <w:pStyle w:val="Paragraph"/>
        <w:spacing w:after="0" w:line="240" w:lineRule="auto"/>
        <w:rPr>
          <w:rFonts w:eastAsia="TimesNewRoman"/>
          <w:sz w:val="22"/>
          <w:szCs w:val="22"/>
        </w:rPr>
      </w:pPr>
      <w:r w:rsidRPr="00946ECA">
        <w:rPr>
          <w:rFonts w:eastAsia="TimesNewRoman"/>
          <w:color w:val="000000"/>
          <w:sz w:val="22"/>
          <w:szCs w:val="22"/>
          <w:lang w:eastAsia="en-US"/>
        </w:rPr>
        <w:t xml:space="preserve">In a prospective cohort registry, 257 women with rheumatoid arthritis (RA) or Crohn’s disease (CD) treated with adalimumab at least during the first trimester and 120 women with RA or CD not treated with adalimumab were enrolled.  The primary endpoint was the birth prevalence of major birth defects. The rate of </w:t>
      </w:r>
      <w:r w:rsidRPr="00946ECA">
        <w:rPr>
          <w:rFonts w:eastAsia="TimesNewRoman"/>
          <w:sz w:val="22"/>
          <w:szCs w:val="22"/>
          <w:lang w:eastAsia="en-US"/>
        </w:rPr>
        <w:t xml:space="preserve">pregnancies ending with at least one live born infant with a major birth defect was 6/69 (8.7%) </w:t>
      </w:r>
      <w:r w:rsidRPr="00946ECA">
        <w:rPr>
          <w:sz w:val="22"/>
          <w:szCs w:val="22"/>
        </w:rPr>
        <w:t xml:space="preserve">in the adalimumab-treated women with RA and 5/74 (6.8%) in the untreated women with RA (unadjusted </w:t>
      </w:r>
      <w:r w:rsidRPr="00946ECA">
        <w:rPr>
          <w:sz w:val="22"/>
          <w:szCs w:val="22"/>
        </w:rPr>
        <w:lastRenderedPageBreak/>
        <w:t>OR 1.31, 95% CI 0.38-4.52) and 16/152 (10.5%) in the adalimumab-treated women with CD and 3/32 (9.4%) in the untreated women with CD (unadjusted OR 1.14, 95% CI 0.31-4.16). The adjusted OR (accounting for baseline differences) was</w:t>
      </w:r>
      <w:r w:rsidRPr="00946ECA">
        <w:rPr>
          <w:sz w:val="22"/>
          <w:szCs w:val="22"/>
          <w:lang w:val="en-GB"/>
        </w:rPr>
        <w:t> 1.10 (95% CI 0.45-2.73) with RA and CD combined</w:t>
      </w:r>
      <w:r w:rsidRPr="00946ECA">
        <w:rPr>
          <w:rFonts w:eastAsia="TimesNewRoman"/>
          <w:sz w:val="22"/>
          <w:szCs w:val="22"/>
          <w:lang w:eastAsia="en-US"/>
        </w:rPr>
        <w:t xml:space="preserve">. There were no distinct differences between </w:t>
      </w:r>
      <w:r w:rsidRPr="00946ECA">
        <w:rPr>
          <w:sz w:val="22"/>
          <w:szCs w:val="22"/>
        </w:rPr>
        <w:t xml:space="preserve">adalimumab-treated and untreated women </w:t>
      </w:r>
      <w:r w:rsidRPr="00946ECA">
        <w:rPr>
          <w:rFonts w:eastAsia="TimesNewRoman"/>
          <w:sz w:val="22"/>
          <w:szCs w:val="22"/>
          <w:lang w:eastAsia="en-US"/>
        </w:rPr>
        <w:t xml:space="preserve">for the secondary </w:t>
      </w:r>
      <w:r w:rsidRPr="00946ECA">
        <w:rPr>
          <w:rFonts w:eastAsia="TimesNewRoman"/>
          <w:color w:val="000000"/>
          <w:sz w:val="22"/>
          <w:szCs w:val="22"/>
          <w:lang w:eastAsia="en-US"/>
        </w:rPr>
        <w:t xml:space="preserve">endpoints spontaneous abortions, minor birth defects, preterm </w:t>
      </w:r>
      <w:r w:rsidRPr="00946ECA">
        <w:rPr>
          <w:rFonts w:eastAsia="TimesNewRoman"/>
          <w:sz w:val="22"/>
          <w:szCs w:val="22"/>
          <w:lang w:eastAsia="en-US"/>
        </w:rPr>
        <w:t>delivery, birth size and serious or opportunistic infections</w:t>
      </w:r>
      <w:r w:rsidRPr="00946ECA">
        <w:rPr>
          <w:rFonts w:eastAsia="TimesNewRoman"/>
          <w:sz w:val="22"/>
          <w:szCs w:val="22"/>
        </w:rPr>
        <w:t xml:space="preserve"> </w:t>
      </w:r>
      <w:r w:rsidRPr="00946ECA">
        <w:rPr>
          <w:sz w:val="22"/>
          <w:szCs w:val="22"/>
        </w:rPr>
        <w:t xml:space="preserve">and no stillbirths or malignancies were reported. </w:t>
      </w:r>
      <w:r w:rsidRPr="00946ECA">
        <w:rPr>
          <w:rFonts w:eastAsia="TimesNewRoman"/>
          <w:sz w:val="22"/>
          <w:szCs w:val="22"/>
          <w:lang w:eastAsia="en-US"/>
        </w:rPr>
        <w:t>The interpretation of data</w:t>
      </w:r>
      <w:r w:rsidRPr="00946ECA">
        <w:rPr>
          <w:rFonts w:eastAsia="TimesNewRoman"/>
          <w:sz w:val="22"/>
          <w:szCs w:val="22"/>
        </w:rPr>
        <w:t xml:space="preserve"> </w:t>
      </w:r>
      <w:r w:rsidRPr="00946ECA">
        <w:rPr>
          <w:sz w:val="22"/>
          <w:szCs w:val="22"/>
          <w:lang w:val="en-GB"/>
        </w:rPr>
        <w:t>may be impacted due to methodological limitations of the study, including small sample size and non-randomized design.</w:t>
      </w:r>
    </w:p>
    <w:p w14:paraId="6FFF00BA" w14:textId="77777777" w:rsidR="00BC0E7E" w:rsidRPr="00BC0E7E" w:rsidRDefault="00BC0E7E" w:rsidP="00BC0E7E">
      <w:pPr>
        <w:autoSpaceDE w:val="0"/>
        <w:autoSpaceDN w:val="0"/>
        <w:adjustRightInd w:val="0"/>
      </w:pPr>
    </w:p>
    <w:p w14:paraId="24CBC8C6" w14:textId="77777777" w:rsidR="00BC0E7E" w:rsidRPr="00BC0E7E" w:rsidRDefault="00944B8F" w:rsidP="00BC0E7E">
      <w:pPr>
        <w:autoSpaceDE w:val="0"/>
        <w:autoSpaceDN w:val="0"/>
        <w:adjustRightInd w:val="0"/>
      </w:pPr>
      <w:r w:rsidRPr="00BC0E7E">
        <w:t>In a developmental toxicity study conducted in monkeys, there was no indication of maternal toxicity, embryotoxicity or teratogenicity. Preclinical data on postnatal toxicity of adalimumab are not available (see section 5.3).</w:t>
      </w:r>
    </w:p>
    <w:p w14:paraId="38E2084E" w14:textId="77777777" w:rsidR="00BC0E7E" w:rsidRPr="00BC0E7E" w:rsidRDefault="00BC0E7E" w:rsidP="00BC0E7E">
      <w:pPr>
        <w:autoSpaceDE w:val="0"/>
        <w:autoSpaceDN w:val="0"/>
        <w:adjustRightInd w:val="0"/>
      </w:pPr>
    </w:p>
    <w:p w14:paraId="526570E6" w14:textId="77777777" w:rsidR="00BC0E7E" w:rsidRPr="00BC0E7E" w:rsidRDefault="00944B8F" w:rsidP="00BC0E7E">
      <w:pPr>
        <w:autoSpaceDE w:val="0"/>
        <w:autoSpaceDN w:val="0"/>
        <w:adjustRightInd w:val="0"/>
      </w:pPr>
      <w:r w:rsidRPr="00BC0E7E">
        <w:t>Due to its inhibition of TNF</w:t>
      </w:r>
      <w:r w:rsidRPr="00BC0E7E">
        <w:rPr>
          <w:rFonts w:ascii="Symbol" w:eastAsia="Symbol" w:hAnsi="Symbol" w:cs="Symbol"/>
          <w:szCs w:val="22"/>
        </w:rPr>
        <w:sym w:font="Symbol" w:char="F061"/>
      </w:r>
      <w:r w:rsidRPr="00BC0E7E">
        <w:t xml:space="preserve">, adalimumab administered during pregnancy could affect normal immune responses in the newborn. </w:t>
      </w:r>
      <w:r w:rsidR="00FD62A1" w:rsidRPr="00FD62A1">
        <w:rPr>
          <w:bCs/>
          <w:iCs/>
          <w:szCs w:val="22"/>
        </w:rPr>
        <w:t xml:space="preserve"> </w:t>
      </w:r>
      <w:r w:rsidR="00FD62A1" w:rsidRPr="00B2265A">
        <w:rPr>
          <w:bCs/>
          <w:iCs/>
          <w:szCs w:val="22"/>
        </w:rPr>
        <w:t>Adalimumab should only be used during pregnancy if clearly needed.</w:t>
      </w:r>
    </w:p>
    <w:p w14:paraId="18A91C39" w14:textId="77777777" w:rsidR="00BC0E7E" w:rsidRPr="00BC0E7E" w:rsidRDefault="00BC0E7E" w:rsidP="00BC0E7E"/>
    <w:p w14:paraId="2AAC6311" w14:textId="77777777" w:rsidR="00BC0E7E" w:rsidRPr="00BC0E7E" w:rsidRDefault="00944B8F" w:rsidP="00BC0E7E">
      <w:pPr>
        <w:autoSpaceDE w:val="0"/>
        <w:autoSpaceDN w:val="0"/>
        <w:adjustRightInd w:val="0"/>
      </w:pPr>
      <w:r w:rsidRPr="00BC0E7E">
        <w:rPr>
          <w:bCs/>
        </w:rPr>
        <w:t>A</w:t>
      </w:r>
      <w:r w:rsidRPr="00BC0E7E">
        <w:rPr>
          <w:szCs w:val="22"/>
          <w:lang w:eastAsia="en-GB"/>
        </w:rPr>
        <w:t xml:space="preserve">dalimumab may cross the placenta into the serum of infants born to women treated with adalimumab during pregnancy. Consequently, these infants may be at increased risk for infection. Administration of live vaccines </w:t>
      </w:r>
      <w:r w:rsidR="00FD62A1" w:rsidRPr="00B2265A">
        <w:rPr>
          <w:szCs w:val="22"/>
        </w:rPr>
        <w:t>(e.g., BCG vaccine)</w:t>
      </w:r>
      <w:r w:rsidR="00FD62A1">
        <w:rPr>
          <w:szCs w:val="22"/>
        </w:rPr>
        <w:t xml:space="preserve"> </w:t>
      </w:r>
      <w:r w:rsidRPr="00BC0E7E">
        <w:rPr>
          <w:szCs w:val="22"/>
          <w:lang w:eastAsia="en-GB"/>
        </w:rPr>
        <w:t>to infants exposed to adalimumab in utero is not recommended for 5 months following the mother’s last adalimumab injection during pregnancy.</w:t>
      </w:r>
    </w:p>
    <w:p w14:paraId="32614B08" w14:textId="77777777" w:rsidR="00BC0E7E" w:rsidRPr="00BC0E7E" w:rsidRDefault="00BC0E7E" w:rsidP="00BC0E7E">
      <w:pPr>
        <w:autoSpaceDE w:val="0"/>
        <w:autoSpaceDN w:val="0"/>
        <w:adjustRightInd w:val="0"/>
      </w:pPr>
    </w:p>
    <w:p w14:paraId="59885329" w14:textId="77777777" w:rsidR="00BC0E7E" w:rsidRPr="00BC0E7E" w:rsidRDefault="00944B8F" w:rsidP="00BC0E7E">
      <w:pPr>
        <w:keepNext/>
        <w:rPr>
          <w:u w:val="single"/>
        </w:rPr>
      </w:pPr>
      <w:r w:rsidRPr="00BC0E7E">
        <w:rPr>
          <w:u w:val="single"/>
        </w:rPr>
        <w:t>Breast</w:t>
      </w:r>
      <w:r w:rsidR="00367800">
        <w:rPr>
          <w:u w:val="single"/>
        </w:rPr>
        <w:t>-</w:t>
      </w:r>
      <w:r w:rsidRPr="00BC0E7E">
        <w:rPr>
          <w:u w:val="single"/>
        </w:rPr>
        <w:t>feeding</w:t>
      </w:r>
    </w:p>
    <w:p w14:paraId="5DEB4341" w14:textId="77777777" w:rsidR="00BC0E7E" w:rsidRPr="00BC0E7E" w:rsidRDefault="00BC0E7E" w:rsidP="00BC0E7E">
      <w:pPr>
        <w:keepNext/>
      </w:pPr>
    </w:p>
    <w:p w14:paraId="257FFC04" w14:textId="77777777" w:rsidR="00BC0E7E" w:rsidRPr="00FD62A1" w:rsidRDefault="00944B8F" w:rsidP="00FD62A1">
      <w:r w:rsidRPr="00946ECA">
        <w:rPr>
          <w:szCs w:val="22"/>
        </w:rPr>
        <w:t>Limited information from the published literature indicates that adalimumab is excreted in breast milk at very low concentrations with the presence of adalimumab in human milk at concentrations of 0.1% to 1% of the maternal serum level. Given orally, immunoglobulin G proteins undergo intestinal proteolysis and have poor bioavailability. No effects on the breastfed newborns/infants are anticipated. Consequently, Humira can be used during breastfeeding.</w:t>
      </w:r>
    </w:p>
    <w:p w14:paraId="39F3F268" w14:textId="77777777" w:rsidR="00BC0E7E" w:rsidRPr="00BC0E7E" w:rsidRDefault="00BC0E7E" w:rsidP="00BC0E7E"/>
    <w:p w14:paraId="5EA74829" w14:textId="77777777" w:rsidR="00BC0E7E" w:rsidRPr="00BC0E7E" w:rsidRDefault="00944B8F" w:rsidP="00BC0E7E">
      <w:pPr>
        <w:rPr>
          <w:u w:val="single"/>
        </w:rPr>
      </w:pPr>
      <w:r w:rsidRPr="00BC0E7E">
        <w:rPr>
          <w:u w:val="single"/>
        </w:rPr>
        <w:t>Fertility</w:t>
      </w:r>
    </w:p>
    <w:p w14:paraId="52883891" w14:textId="77777777" w:rsidR="00BC0E7E" w:rsidRPr="00BC0E7E" w:rsidRDefault="00BC0E7E" w:rsidP="00BC0E7E">
      <w:pPr>
        <w:rPr>
          <w:u w:val="single"/>
        </w:rPr>
      </w:pPr>
    </w:p>
    <w:p w14:paraId="4EEEED30" w14:textId="77777777" w:rsidR="00BC0E7E" w:rsidRPr="00BC0E7E" w:rsidRDefault="00944B8F" w:rsidP="00BC0E7E">
      <w:r w:rsidRPr="00BC0E7E">
        <w:t>Preclinical data on fertility effects of adalimumab are not available.</w:t>
      </w:r>
    </w:p>
    <w:p w14:paraId="3F0E3476" w14:textId="77777777" w:rsidR="00BC0E7E" w:rsidRPr="00BC0E7E" w:rsidRDefault="00BC0E7E" w:rsidP="00BC0E7E"/>
    <w:p w14:paraId="1EFF6D88" w14:textId="77777777" w:rsidR="00BC0E7E" w:rsidRPr="00BC0E7E" w:rsidRDefault="00944B8F" w:rsidP="00BC0E7E">
      <w:pPr>
        <w:keepNext/>
        <w:suppressAutoHyphens w:val="0"/>
        <w:outlineLvl w:val="1"/>
        <w:rPr>
          <w:b/>
          <w:szCs w:val="20"/>
        </w:rPr>
      </w:pPr>
      <w:r w:rsidRPr="00BC0E7E">
        <w:rPr>
          <w:b/>
          <w:szCs w:val="20"/>
        </w:rPr>
        <w:t>4.7</w:t>
      </w:r>
      <w:r w:rsidRPr="00BC0E7E">
        <w:rPr>
          <w:b/>
          <w:szCs w:val="20"/>
        </w:rPr>
        <w:tab/>
        <w:t xml:space="preserve">Effects on ability to drive and use machines </w:t>
      </w:r>
    </w:p>
    <w:p w14:paraId="4819CC01" w14:textId="77777777" w:rsidR="00BC0E7E" w:rsidRPr="00BC0E7E" w:rsidRDefault="00BC0E7E" w:rsidP="00BC0E7E">
      <w:pPr>
        <w:keepNext/>
        <w:rPr>
          <w:szCs w:val="20"/>
        </w:rPr>
      </w:pPr>
    </w:p>
    <w:p w14:paraId="20B414C9" w14:textId="77777777" w:rsidR="00BC0E7E" w:rsidRPr="00BC0E7E" w:rsidRDefault="00944B8F" w:rsidP="00BC0E7E">
      <w:pPr>
        <w:keepNext/>
        <w:tabs>
          <w:tab w:val="clear" w:pos="562"/>
        </w:tabs>
      </w:pPr>
      <w:r w:rsidRPr="00BC0E7E">
        <w:t>Humira may have a minor influence on the ability to drive and use machines. Vertigo and visual impairment may occur following administration of Humira (see section 4.8).</w:t>
      </w:r>
    </w:p>
    <w:p w14:paraId="378E355E" w14:textId="77777777" w:rsidR="00BC0E7E" w:rsidRPr="00BC0E7E" w:rsidRDefault="00BC0E7E" w:rsidP="00BC0E7E">
      <w:pPr>
        <w:keepNext/>
        <w:tabs>
          <w:tab w:val="clear" w:pos="562"/>
        </w:tabs>
      </w:pPr>
    </w:p>
    <w:p w14:paraId="65A22286" w14:textId="77777777" w:rsidR="00BC0E7E" w:rsidRPr="00BC0E7E" w:rsidRDefault="00944B8F" w:rsidP="00BC0E7E">
      <w:pPr>
        <w:suppressAutoHyphens w:val="0"/>
        <w:outlineLvl w:val="1"/>
        <w:rPr>
          <w:b/>
          <w:szCs w:val="20"/>
        </w:rPr>
      </w:pPr>
      <w:r w:rsidRPr="00BC0E7E">
        <w:rPr>
          <w:b/>
          <w:szCs w:val="20"/>
        </w:rPr>
        <w:t>4.8</w:t>
      </w:r>
      <w:r w:rsidRPr="00BC0E7E">
        <w:rPr>
          <w:b/>
          <w:szCs w:val="20"/>
        </w:rPr>
        <w:tab/>
        <w:t>Undesirable effects</w:t>
      </w:r>
    </w:p>
    <w:p w14:paraId="1813648B" w14:textId="77777777" w:rsidR="00BC0E7E" w:rsidRPr="00BC0E7E" w:rsidRDefault="00BC0E7E" w:rsidP="00BC0E7E">
      <w:pPr>
        <w:rPr>
          <w:szCs w:val="20"/>
        </w:rPr>
      </w:pPr>
    </w:p>
    <w:p w14:paraId="3B04F79F" w14:textId="77777777" w:rsidR="00BC0E7E" w:rsidRPr="00BC0E7E" w:rsidRDefault="00944B8F" w:rsidP="00BC0E7E">
      <w:pPr>
        <w:autoSpaceDE w:val="0"/>
        <w:autoSpaceDN w:val="0"/>
        <w:adjustRightInd w:val="0"/>
        <w:rPr>
          <w:u w:val="single"/>
        </w:rPr>
      </w:pPr>
      <w:r w:rsidRPr="00BC0E7E">
        <w:rPr>
          <w:u w:val="single"/>
        </w:rPr>
        <w:t>Summary of the safety profile</w:t>
      </w:r>
    </w:p>
    <w:p w14:paraId="489C6168" w14:textId="77777777" w:rsidR="00BC0E7E" w:rsidRPr="00BC0E7E" w:rsidRDefault="00BC0E7E" w:rsidP="00BC0E7E">
      <w:pPr>
        <w:autoSpaceDE w:val="0"/>
        <w:autoSpaceDN w:val="0"/>
        <w:adjustRightInd w:val="0"/>
        <w:rPr>
          <w:u w:val="single"/>
        </w:rPr>
      </w:pPr>
    </w:p>
    <w:p w14:paraId="3251BA09" w14:textId="77777777" w:rsidR="00BC0E7E" w:rsidRPr="00BC0E7E" w:rsidRDefault="00944B8F" w:rsidP="00BC0E7E">
      <w:pPr>
        <w:autoSpaceDE w:val="0"/>
        <w:autoSpaceDN w:val="0"/>
        <w:adjustRightInd w:val="0"/>
      </w:pPr>
      <w:r w:rsidRPr="00BC0E7E">
        <w:t>Humira was studied in 9,506 patients in pivotal controlled and open label trials for up to 60 months or more.  These trials included rheumatoid arthritis patients with short term and long standing disease, juvenile idiopathic arthritis (polyarticular juvenile idiopathic arthritis and enthesitis-related arthritis) as well as axial spondyloarthritis (ankylosing spondylitis and axial spondyloarthritis without radiographic evidence of AS), psoriatic arthritis, Crohn’s disease, ulcerative colitis, psoriasis, hidradenitis suppurativa and uveitis patients. The pivotal controlled studies involved 6,089 patients receiving Humira and 3,801 patients receiving placebo or active comparator during the controlled period.</w:t>
      </w:r>
    </w:p>
    <w:p w14:paraId="045AAA4A" w14:textId="77777777" w:rsidR="00BC0E7E" w:rsidRPr="00BC0E7E" w:rsidRDefault="00BC0E7E" w:rsidP="00BC0E7E">
      <w:pPr>
        <w:autoSpaceDE w:val="0"/>
        <w:autoSpaceDN w:val="0"/>
        <w:adjustRightInd w:val="0"/>
      </w:pPr>
    </w:p>
    <w:p w14:paraId="25438325" w14:textId="77777777" w:rsidR="00BC0E7E" w:rsidRPr="00BC0E7E" w:rsidRDefault="00944B8F" w:rsidP="00BC0E7E">
      <w:pPr>
        <w:autoSpaceDE w:val="0"/>
        <w:autoSpaceDN w:val="0"/>
        <w:adjustRightInd w:val="0"/>
      </w:pPr>
      <w:r w:rsidRPr="00BC0E7E">
        <w:t>The proportion of patients who discontinued treatment due to adverse events during the double-blind, controlled portion of pivotal studies was 5.9% for patients taking Humira and 5.4% for control treated patients.</w:t>
      </w:r>
    </w:p>
    <w:p w14:paraId="2A0AE701" w14:textId="77777777" w:rsidR="00BC0E7E" w:rsidRPr="00BC0E7E" w:rsidRDefault="00BC0E7E" w:rsidP="00BC0E7E">
      <w:pPr>
        <w:autoSpaceDE w:val="0"/>
        <w:autoSpaceDN w:val="0"/>
        <w:adjustRightInd w:val="0"/>
      </w:pPr>
    </w:p>
    <w:p w14:paraId="7F4CCC8E" w14:textId="77777777" w:rsidR="00BC0E7E" w:rsidRPr="00BC0E7E" w:rsidRDefault="00944B8F" w:rsidP="00BC0E7E">
      <w:pPr>
        <w:autoSpaceDE w:val="0"/>
        <w:autoSpaceDN w:val="0"/>
        <w:adjustRightInd w:val="0"/>
      </w:pPr>
      <w:r w:rsidRPr="00BC0E7E">
        <w:lastRenderedPageBreak/>
        <w:t>The most commonly reported adverse reactions are infections (such as nasopharyngitis, upper respiratory tract infection and sinusitis), injection site reactions (erythema, itching, haemorrhage, pain or swelling), headache and musculoskeletal pain.</w:t>
      </w:r>
    </w:p>
    <w:p w14:paraId="40505075" w14:textId="77777777" w:rsidR="00BC0E7E" w:rsidRPr="00BC0E7E" w:rsidRDefault="00BC0E7E" w:rsidP="00BC0E7E">
      <w:pPr>
        <w:autoSpaceDE w:val="0"/>
        <w:autoSpaceDN w:val="0"/>
        <w:adjustRightInd w:val="0"/>
      </w:pPr>
    </w:p>
    <w:p w14:paraId="642B6F7E" w14:textId="77777777" w:rsidR="00BC0E7E" w:rsidRPr="00BC0E7E" w:rsidRDefault="00944B8F" w:rsidP="00BC0E7E">
      <w:pPr>
        <w:autoSpaceDE w:val="0"/>
        <w:autoSpaceDN w:val="0"/>
        <w:adjustRightInd w:val="0"/>
      </w:pPr>
      <w:r w:rsidRPr="00BC0E7E">
        <w:t>Serious adverse reactions have been reported for Humira. TNF-antagonists, such as Humira affect the immune system and their use may affect the body’s defence against infection and cancer.</w:t>
      </w:r>
    </w:p>
    <w:p w14:paraId="7161308D" w14:textId="77777777" w:rsidR="00BC0E7E" w:rsidRPr="00BC0E7E" w:rsidRDefault="00944B8F" w:rsidP="00BC0E7E">
      <w:pPr>
        <w:autoSpaceDE w:val="0"/>
        <w:autoSpaceDN w:val="0"/>
        <w:adjustRightInd w:val="0"/>
      </w:pPr>
      <w:r w:rsidRPr="00BC0E7E">
        <w:t>Fatal and life-threatening infections (including sepsis, opportunistic infections and TB), HBV reactivation and various malignancies (including leukaemia, lymphoma and HSTCL) have also been reported with use of Humira.</w:t>
      </w:r>
    </w:p>
    <w:p w14:paraId="38909420" w14:textId="77777777" w:rsidR="00BC0E7E" w:rsidRPr="00BC0E7E" w:rsidRDefault="00BC0E7E" w:rsidP="00BC0E7E">
      <w:pPr>
        <w:autoSpaceDE w:val="0"/>
        <w:autoSpaceDN w:val="0"/>
        <w:adjustRightInd w:val="0"/>
      </w:pPr>
    </w:p>
    <w:p w14:paraId="1D8F4FB1" w14:textId="77777777" w:rsidR="00BC0E7E" w:rsidRPr="00BC0E7E" w:rsidRDefault="00944B8F" w:rsidP="00BC0E7E">
      <w:pPr>
        <w:autoSpaceDE w:val="0"/>
        <w:autoSpaceDN w:val="0"/>
        <w:adjustRightInd w:val="0"/>
      </w:pPr>
      <w:r w:rsidRPr="00BC0E7E">
        <w:t>Serious haematological, neurological and autoimmune reactions have also been reported. These include rare reports of pancytopenia, aplastic anaemia, central and peripheral demyelinating events and reports of lupus, lupus-related conditions and Stevens-Johnson syndrome.</w:t>
      </w:r>
    </w:p>
    <w:p w14:paraId="1DF0F865" w14:textId="77777777" w:rsidR="00BC0E7E" w:rsidRPr="00BC0E7E" w:rsidRDefault="00BC0E7E" w:rsidP="00BC0E7E">
      <w:pPr>
        <w:autoSpaceDE w:val="0"/>
        <w:autoSpaceDN w:val="0"/>
        <w:adjustRightInd w:val="0"/>
      </w:pPr>
    </w:p>
    <w:p w14:paraId="4075EBEB" w14:textId="77777777" w:rsidR="00BC0E7E" w:rsidRPr="00BC0E7E" w:rsidRDefault="00944B8F" w:rsidP="00BC0E7E">
      <w:pPr>
        <w:autoSpaceDE w:val="0"/>
        <w:autoSpaceDN w:val="0"/>
        <w:adjustRightInd w:val="0"/>
        <w:rPr>
          <w:b/>
          <w:u w:val="single"/>
        </w:rPr>
      </w:pPr>
      <w:r w:rsidRPr="00BC0E7E">
        <w:rPr>
          <w:u w:val="single"/>
        </w:rPr>
        <w:t>Paediatric population</w:t>
      </w:r>
    </w:p>
    <w:p w14:paraId="06E87D2D" w14:textId="77777777" w:rsidR="00BC0E7E" w:rsidRPr="00BC0E7E" w:rsidRDefault="00BC0E7E" w:rsidP="00BC0E7E">
      <w:pPr>
        <w:autoSpaceDE w:val="0"/>
        <w:autoSpaceDN w:val="0"/>
        <w:adjustRightInd w:val="0"/>
      </w:pPr>
    </w:p>
    <w:p w14:paraId="2016E2EB" w14:textId="77777777" w:rsidR="00BC0E7E" w:rsidRPr="00BC0E7E" w:rsidRDefault="00944B8F" w:rsidP="00BC0E7E">
      <w:pPr>
        <w:autoSpaceDE w:val="0"/>
        <w:autoSpaceDN w:val="0"/>
        <w:adjustRightInd w:val="0"/>
      </w:pPr>
      <w:r w:rsidRPr="00BC0E7E">
        <w:t>In general, the adverse events in paediatric patients were similar in frequency and type to those seen in adult patients.</w:t>
      </w:r>
    </w:p>
    <w:p w14:paraId="290C145C" w14:textId="77777777" w:rsidR="00BC0E7E" w:rsidRPr="00BC0E7E" w:rsidRDefault="00BC0E7E" w:rsidP="00BC0E7E">
      <w:pPr>
        <w:autoSpaceDE w:val="0"/>
        <w:autoSpaceDN w:val="0"/>
        <w:adjustRightInd w:val="0"/>
      </w:pPr>
    </w:p>
    <w:p w14:paraId="4F75CFBC" w14:textId="77777777" w:rsidR="00BC0E7E" w:rsidRPr="00BC0E7E" w:rsidRDefault="00944B8F" w:rsidP="00BC0E7E">
      <w:pPr>
        <w:keepNext/>
        <w:tabs>
          <w:tab w:val="clear" w:pos="562"/>
        </w:tabs>
        <w:rPr>
          <w:u w:val="single"/>
        </w:rPr>
      </w:pPr>
      <w:r w:rsidRPr="00BC0E7E">
        <w:rPr>
          <w:u w:val="single"/>
        </w:rPr>
        <w:t>Tabulated list of adverse reactions</w:t>
      </w:r>
    </w:p>
    <w:p w14:paraId="75AF2F9E" w14:textId="77777777" w:rsidR="00BC0E7E" w:rsidRPr="00BC0E7E" w:rsidRDefault="00BC0E7E" w:rsidP="00BC0E7E">
      <w:pPr>
        <w:keepNext/>
        <w:tabs>
          <w:tab w:val="clear" w:pos="562"/>
        </w:tabs>
      </w:pPr>
    </w:p>
    <w:p w14:paraId="5CC2B5CF" w14:textId="77777777" w:rsidR="00BC0E7E" w:rsidRPr="00BC0E7E" w:rsidRDefault="00944B8F" w:rsidP="00BC0E7E">
      <w:pPr>
        <w:keepNext/>
        <w:tabs>
          <w:tab w:val="clear" w:pos="562"/>
        </w:tabs>
        <w:suppressAutoHyphens w:val="0"/>
        <w:autoSpaceDE w:val="0"/>
        <w:autoSpaceDN w:val="0"/>
        <w:adjustRightInd w:val="0"/>
      </w:pPr>
      <w:r w:rsidRPr="00BC0E7E">
        <w:t xml:space="preserve">The following list of adverse reactions is based on experience from clinical trials and on postmarketing experience and are displayed by system organ class and frequency in Table </w:t>
      </w:r>
      <w:r w:rsidR="005F03EC">
        <w:t>4</w:t>
      </w:r>
      <w:r w:rsidRPr="00BC0E7E">
        <w:t xml:space="preserve"> below: very common (</w:t>
      </w:r>
      <w:r w:rsidRPr="00BC0E7E">
        <w:rPr>
          <w:rFonts w:ascii="Symbol" w:eastAsia="Symbol" w:hAnsi="Symbol" w:cs="Symbol"/>
          <w:szCs w:val="22"/>
        </w:rPr>
        <w:sym w:font="Symbol" w:char="F0B3"/>
      </w:r>
      <w:r w:rsidRPr="00BC0E7E">
        <w:t> 1/10); common (</w:t>
      </w:r>
      <w:r w:rsidRPr="00BC0E7E">
        <w:rPr>
          <w:rFonts w:ascii="Symbol" w:eastAsia="Symbol" w:hAnsi="Symbol" w:cs="Symbol"/>
          <w:szCs w:val="22"/>
        </w:rPr>
        <w:sym w:font="Symbol" w:char="F0B3"/>
      </w:r>
      <w:r w:rsidRPr="00BC0E7E">
        <w:t> 1/100 to &lt; 1/10); uncommon (</w:t>
      </w:r>
      <w:r w:rsidRPr="00BC0E7E">
        <w:rPr>
          <w:rFonts w:ascii="Symbol" w:eastAsia="Symbol" w:hAnsi="Symbol" w:cs="Symbol"/>
          <w:szCs w:val="22"/>
        </w:rPr>
        <w:sym w:font="Symbol" w:char="F0B3"/>
      </w:r>
      <w:r w:rsidRPr="00BC0E7E">
        <w:t> 1/1,000 to &lt; 1/100); rare (</w:t>
      </w:r>
      <w:r w:rsidRPr="00BC0E7E">
        <w:rPr>
          <w:rFonts w:ascii="Symbol" w:eastAsia="Symbol" w:hAnsi="Symbol" w:cs="Symbol"/>
          <w:szCs w:val="22"/>
        </w:rPr>
        <w:sym w:font="Symbol" w:char="F0B3"/>
      </w:r>
      <w:r w:rsidRPr="00BC0E7E">
        <w:t xml:space="preserve"> 1/10,000 to &lt; 1/1,000); </w:t>
      </w:r>
      <w:r w:rsidRPr="00BC0E7E">
        <w:rPr>
          <w:iCs/>
          <w:szCs w:val="22"/>
        </w:rPr>
        <w:t>and not known (cannot be estimated from the available data)</w:t>
      </w:r>
      <w:r w:rsidRPr="00BC0E7E">
        <w:t>. Within each frequency grouping, undesirable effects are presented in order of decreasing seriousness. The highest frequency seen among the various indications has been included. An asterisk (*) appears in the SOC column if further information is found elsewhere in sections 4.3, 4.4 and 4.8.</w:t>
      </w:r>
    </w:p>
    <w:p w14:paraId="34C5B851" w14:textId="77777777" w:rsidR="00BC0E7E" w:rsidRPr="00BC0E7E" w:rsidRDefault="00BC0E7E" w:rsidP="00BC0E7E">
      <w:pPr>
        <w:tabs>
          <w:tab w:val="clear" w:pos="562"/>
        </w:tabs>
      </w:pPr>
    </w:p>
    <w:p w14:paraId="203CC768" w14:textId="77777777" w:rsidR="00BC0E7E" w:rsidRPr="00BC0E7E" w:rsidRDefault="00944B8F" w:rsidP="00BC0E7E">
      <w:pPr>
        <w:keepNext/>
        <w:jc w:val="center"/>
        <w:rPr>
          <w:b/>
        </w:rPr>
      </w:pPr>
      <w:r w:rsidRPr="00BC0E7E">
        <w:rPr>
          <w:b/>
        </w:rPr>
        <w:t xml:space="preserve">Table </w:t>
      </w:r>
      <w:r w:rsidR="005F03EC">
        <w:rPr>
          <w:b/>
        </w:rPr>
        <w:t>4</w:t>
      </w:r>
    </w:p>
    <w:p w14:paraId="56BA9B4D" w14:textId="77777777" w:rsidR="00BC0E7E" w:rsidRPr="00BC0E7E" w:rsidRDefault="00944B8F" w:rsidP="00BC0E7E">
      <w:pPr>
        <w:keepNext/>
        <w:jc w:val="center"/>
        <w:rPr>
          <w:b/>
        </w:rPr>
      </w:pPr>
      <w:r w:rsidRPr="00BC0E7E">
        <w:rPr>
          <w:b/>
        </w:rPr>
        <w:t>Undesirable Effects</w:t>
      </w:r>
    </w:p>
    <w:p w14:paraId="4FE4AD7E" w14:textId="77777777" w:rsidR="00BC0E7E" w:rsidRPr="00BC0E7E" w:rsidRDefault="00BC0E7E" w:rsidP="00BC0E7E">
      <w:pPr>
        <w:keepNext/>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2074"/>
        <w:gridCol w:w="4575"/>
      </w:tblGrid>
      <w:tr w:rsidR="00C6578C" w14:paraId="49603F50" w14:textId="77777777" w:rsidTr="00171601">
        <w:trPr>
          <w:tblHeader/>
        </w:trPr>
        <w:tc>
          <w:tcPr>
            <w:tcW w:w="2600" w:type="dxa"/>
          </w:tcPr>
          <w:p w14:paraId="12E0906B" w14:textId="77777777" w:rsidR="00BC0E7E" w:rsidRPr="00BC0E7E" w:rsidRDefault="00944B8F" w:rsidP="00BC0E7E">
            <w:pPr>
              <w:keepNext/>
              <w:widowControl w:val="0"/>
              <w:spacing w:before="120" w:after="120"/>
              <w:jc w:val="center"/>
              <w:rPr>
                <w:b/>
              </w:rPr>
            </w:pPr>
            <w:r w:rsidRPr="00BC0E7E">
              <w:rPr>
                <w:b/>
                <w:bCs/>
              </w:rPr>
              <w:t>System Organ Class</w:t>
            </w:r>
          </w:p>
        </w:tc>
        <w:tc>
          <w:tcPr>
            <w:tcW w:w="2074" w:type="dxa"/>
          </w:tcPr>
          <w:p w14:paraId="4C1123F3" w14:textId="77777777" w:rsidR="00BC0E7E" w:rsidRPr="00BC0E7E" w:rsidRDefault="00944B8F" w:rsidP="00BC0E7E">
            <w:pPr>
              <w:keepNext/>
              <w:widowControl w:val="0"/>
              <w:spacing w:before="120" w:after="120"/>
              <w:jc w:val="center"/>
              <w:rPr>
                <w:b/>
              </w:rPr>
            </w:pPr>
            <w:r w:rsidRPr="00BC0E7E">
              <w:rPr>
                <w:b/>
                <w:bCs/>
              </w:rPr>
              <w:t>Frequency</w:t>
            </w:r>
          </w:p>
        </w:tc>
        <w:tc>
          <w:tcPr>
            <w:tcW w:w="4575" w:type="dxa"/>
          </w:tcPr>
          <w:p w14:paraId="489CFB44" w14:textId="77777777" w:rsidR="00BC0E7E" w:rsidRPr="00BC0E7E" w:rsidRDefault="00944B8F" w:rsidP="00BC0E7E">
            <w:pPr>
              <w:keepNext/>
              <w:widowControl w:val="0"/>
              <w:spacing w:before="120" w:after="120"/>
              <w:jc w:val="center"/>
              <w:rPr>
                <w:b/>
              </w:rPr>
            </w:pPr>
            <w:r w:rsidRPr="00BC0E7E">
              <w:rPr>
                <w:b/>
                <w:bCs/>
              </w:rPr>
              <w:t>Adverse Reaction</w:t>
            </w:r>
          </w:p>
        </w:tc>
      </w:tr>
      <w:tr w:rsidR="00C6578C" w14:paraId="336E62B7" w14:textId="77777777" w:rsidTr="000244DF">
        <w:tc>
          <w:tcPr>
            <w:tcW w:w="2600" w:type="dxa"/>
            <w:vMerge w:val="restart"/>
          </w:tcPr>
          <w:p w14:paraId="0C69B137" w14:textId="77777777" w:rsidR="00BC0E7E" w:rsidRPr="00BC0E7E" w:rsidRDefault="00944B8F" w:rsidP="00BC0E7E">
            <w:pPr>
              <w:widowControl w:val="0"/>
              <w:spacing w:before="60"/>
              <w:rPr>
                <w:szCs w:val="20"/>
              </w:rPr>
            </w:pPr>
            <w:r w:rsidRPr="00BC0E7E">
              <w:rPr>
                <w:szCs w:val="20"/>
              </w:rPr>
              <w:t>Infections and infestations*</w:t>
            </w:r>
          </w:p>
          <w:p w14:paraId="4DC03397" w14:textId="77777777" w:rsidR="00BC0E7E" w:rsidRPr="00BC0E7E" w:rsidRDefault="00BC0E7E" w:rsidP="00BC0E7E">
            <w:pPr>
              <w:widowControl w:val="0"/>
              <w:spacing w:before="60"/>
              <w:jc w:val="center"/>
            </w:pPr>
          </w:p>
        </w:tc>
        <w:tc>
          <w:tcPr>
            <w:tcW w:w="2074" w:type="dxa"/>
          </w:tcPr>
          <w:p w14:paraId="618812ED" w14:textId="77777777" w:rsidR="00BC0E7E" w:rsidRPr="00BC0E7E" w:rsidRDefault="00944B8F" w:rsidP="00BC0E7E">
            <w:pPr>
              <w:widowControl w:val="0"/>
              <w:spacing w:before="60"/>
              <w:rPr>
                <w:szCs w:val="20"/>
              </w:rPr>
            </w:pPr>
            <w:r w:rsidRPr="00BC0E7E">
              <w:rPr>
                <w:szCs w:val="20"/>
              </w:rPr>
              <w:t>Very common</w:t>
            </w:r>
          </w:p>
        </w:tc>
        <w:tc>
          <w:tcPr>
            <w:tcW w:w="4575" w:type="dxa"/>
          </w:tcPr>
          <w:p w14:paraId="3C4AFD97" w14:textId="77777777" w:rsidR="00BC0E7E" w:rsidRPr="00BC0E7E" w:rsidRDefault="00944B8F" w:rsidP="00BC0E7E">
            <w:pPr>
              <w:widowControl w:val="0"/>
              <w:spacing w:before="60"/>
              <w:rPr>
                <w:szCs w:val="20"/>
              </w:rPr>
            </w:pPr>
            <w:r>
              <w:rPr>
                <w:szCs w:val="20"/>
              </w:rPr>
              <w:t>R</w:t>
            </w:r>
            <w:r w:rsidRPr="00BC0E7E">
              <w:rPr>
                <w:szCs w:val="20"/>
              </w:rPr>
              <w:t>espiratory tract infections (including lower and upper respiratory tract infection, pneumonia, sinusitis, pharyngitis, nasopharyngitis and pneumonia herpes viral)</w:t>
            </w:r>
          </w:p>
          <w:p w14:paraId="23EF6E7C" w14:textId="77777777" w:rsidR="00BC0E7E" w:rsidRPr="00BC0E7E" w:rsidRDefault="00BC0E7E" w:rsidP="00BC0E7E">
            <w:pPr>
              <w:widowControl w:val="0"/>
              <w:spacing w:before="60"/>
              <w:rPr>
                <w:szCs w:val="20"/>
              </w:rPr>
            </w:pPr>
          </w:p>
        </w:tc>
      </w:tr>
      <w:tr w:rsidR="00C6578C" w14:paraId="293BB2CF" w14:textId="77777777" w:rsidTr="000244DF">
        <w:tc>
          <w:tcPr>
            <w:tcW w:w="2600" w:type="dxa"/>
            <w:vMerge/>
          </w:tcPr>
          <w:p w14:paraId="2CCDCDE3" w14:textId="77777777" w:rsidR="00BC0E7E" w:rsidRPr="00BC0E7E" w:rsidRDefault="00BC0E7E" w:rsidP="00BC0E7E">
            <w:pPr>
              <w:widowControl w:val="0"/>
              <w:spacing w:before="60"/>
              <w:jc w:val="center"/>
              <w:rPr>
                <w:b/>
              </w:rPr>
            </w:pPr>
          </w:p>
        </w:tc>
        <w:tc>
          <w:tcPr>
            <w:tcW w:w="2074" w:type="dxa"/>
          </w:tcPr>
          <w:p w14:paraId="6E605B46" w14:textId="77777777" w:rsidR="00BC0E7E" w:rsidRPr="00BC0E7E" w:rsidRDefault="00944B8F" w:rsidP="00BC0E7E">
            <w:pPr>
              <w:widowControl w:val="0"/>
              <w:spacing w:before="60"/>
              <w:rPr>
                <w:szCs w:val="20"/>
              </w:rPr>
            </w:pPr>
            <w:r w:rsidRPr="00BC0E7E">
              <w:rPr>
                <w:szCs w:val="20"/>
              </w:rPr>
              <w:t>Common</w:t>
            </w:r>
          </w:p>
          <w:p w14:paraId="019A7628" w14:textId="77777777" w:rsidR="00BC0E7E" w:rsidRPr="00BC0E7E" w:rsidRDefault="00BC0E7E" w:rsidP="00BC0E7E">
            <w:pPr>
              <w:widowControl w:val="0"/>
              <w:spacing w:before="60"/>
              <w:rPr>
                <w:szCs w:val="20"/>
              </w:rPr>
            </w:pPr>
          </w:p>
        </w:tc>
        <w:tc>
          <w:tcPr>
            <w:tcW w:w="4575" w:type="dxa"/>
          </w:tcPr>
          <w:p w14:paraId="1DB39B66" w14:textId="77777777" w:rsidR="00BC0E7E" w:rsidRPr="00BC0E7E" w:rsidRDefault="00944B8F" w:rsidP="00BC0E7E">
            <w:pPr>
              <w:widowControl w:val="0"/>
              <w:tabs>
                <w:tab w:val="clear" w:pos="562"/>
              </w:tabs>
              <w:rPr>
                <w:sz w:val="24"/>
                <w:szCs w:val="20"/>
              </w:rPr>
            </w:pPr>
            <w:r>
              <w:rPr>
                <w:szCs w:val="22"/>
              </w:rPr>
              <w:t>S</w:t>
            </w:r>
            <w:r w:rsidRPr="00BC0E7E">
              <w:rPr>
                <w:szCs w:val="22"/>
              </w:rPr>
              <w:t xml:space="preserve">ystemic infections </w:t>
            </w:r>
            <w:r w:rsidRPr="00BC0E7E">
              <w:t>(including sepsis, candidiasis and influenza)</w:t>
            </w:r>
            <w:r w:rsidRPr="00BC0E7E">
              <w:rPr>
                <w:szCs w:val="22"/>
              </w:rPr>
              <w:t>,</w:t>
            </w:r>
          </w:p>
          <w:p w14:paraId="0E5D5ABF" w14:textId="77777777" w:rsidR="00BC0E7E" w:rsidRPr="00BC0E7E" w:rsidRDefault="00944B8F" w:rsidP="00BC0E7E">
            <w:pPr>
              <w:widowControl w:val="0"/>
              <w:tabs>
                <w:tab w:val="clear" w:pos="562"/>
              </w:tabs>
            </w:pPr>
            <w:r w:rsidRPr="00BC0E7E">
              <w:rPr>
                <w:szCs w:val="22"/>
              </w:rPr>
              <w:t xml:space="preserve">intestinal infections </w:t>
            </w:r>
            <w:r w:rsidRPr="00BC0E7E">
              <w:t>(including gastroenteritis viral)</w:t>
            </w:r>
            <w:r w:rsidRPr="00BC0E7E">
              <w:rPr>
                <w:szCs w:val="22"/>
              </w:rPr>
              <w:t>,</w:t>
            </w:r>
          </w:p>
          <w:p w14:paraId="2E6F0354" w14:textId="77777777" w:rsidR="00BC0E7E" w:rsidRPr="00BC0E7E" w:rsidRDefault="00944B8F" w:rsidP="00BC0E7E">
            <w:pPr>
              <w:widowControl w:val="0"/>
              <w:tabs>
                <w:tab w:val="clear" w:pos="562"/>
              </w:tabs>
            </w:pPr>
            <w:r w:rsidRPr="00BC0E7E">
              <w:t>skin and soft tissue infections (including paronychia, cellulitis, impetigo, necrotising fasciitis and herpes zoster),</w:t>
            </w:r>
          </w:p>
          <w:p w14:paraId="73DF769B" w14:textId="77777777" w:rsidR="00BC0E7E" w:rsidRPr="00BC0E7E" w:rsidRDefault="00944B8F" w:rsidP="00BC0E7E">
            <w:pPr>
              <w:widowControl w:val="0"/>
              <w:tabs>
                <w:tab w:val="clear" w:pos="562"/>
              </w:tabs>
            </w:pPr>
            <w:r w:rsidRPr="00BC0E7E">
              <w:rPr>
                <w:szCs w:val="22"/>
              </w:rPr>
              <w:t>ear infections,</w:t>
            </w:r>
          </w:p>
          <w:p w14:paraId="5ED60CA2" w14:textId="77777777" w:rsidR="00BC0E7E" w:rsidRPr="00BC0E7E" w:rsidRDefault="00944B8F" w:rsidP="00BC0E7E">
            <w:pPr>
              <w:widowControl w:val="0"/>
              <w:tabs>
                <w:tab w:val="clear" w:pos="562"/>
              </w:tabs>
            </w:pPr>
            <w:r w:rsidRPr="00BC0E7E">
              <w:rPr>
                <w:szCs w:val="22"/>
              </w:rPr>
              <w:t xml:space="preserve">oral infections </w:t>
            </w:r>
            <w:r w:rsidRPr="00BC0E7E">
              <w:t>(including herpes simplex, oral herpes and tooth infections)</w:t>
            </w:r>
            <w:r w:rsidRPr="00BC0E7E">
              <w:rPr>
                <w:szCs w:val="22"/>
              </w:rPr>
              <w:t xml:space="preserve">, </w:t>
            </w:r>
          </w:p>
          <w:p w14:paraId="54AF8FDF" w14:textId="77777777" w:rsidR="00BC0E7E" w:rsidRPr="00BC0E7E" w:rsidRDefault="00944B8F" w:rsidP="00BC0E7E">
            <w:pPr>
              <w:widowControl w:val="0"/>
              <w:tabs>
                <w:tab w:val="clear" w:pos="562"/>
              </w:tabs>
            </w:pPr>
            <w:r w:rsidRPr="00BC0E7E">
              <w:rPr>
                <w:szCs w:val="22"/>
              </w:rPr>
              <w:t xml:space="preserve">reproductive tract infections </w:t>
            </w:r>
            <w:r w:rsidRPr="00BC0E7E">
              <w:t>(including vulvovaginal mycotic infection)</w:t>
            </w:r>
            <w:r w:rsidRPr="00BC0E7E">
              <w:rPr>
                <w:szCs w:val="22"/>
              </w:rPr>
              <w:t xml:space="preserve">, </w:t>
            </w:r>
          </w:p>
          <w:p w14:paraId="6E2F42DD" w14:textId="77777777" w:rsidR="00BC0E7E" w:rsidRPr="00BC0E7E" w:rsidRDefault="00944B8F" w:rsidP="00BC0E7E">
            <w:pPr>
              <w:widowControl w:val="0"/>
              <w:spacing w:before="60"/>
              <w:rPr>
                <w:szCs w:val="20"/>
              </w:rPr>
            </w:pPr>
            <w:r w:rsidRPr="00BC0E7E">
              <w:rPr>
                <w:szCs w:val="20"/>
              </w:rPr>
              <w:t xml:space="preserve">urinary tract infections (including </w:t>
            </w:r>
            <w:r w:rsidRPr="00BC0E7E">
              <w:rPr>
                <w:szCs w:val="20"/>
              </w:rPr>
              <w:lastRenderedPageBreak/>
              <w:t>pyelonephritis),</w:t>
            </w:r>
          </w:p>
          <w:p w14:paraId="262504DC" w14:textId="77777777" w:rsidR="00BC0E7E" w:rsidRPr="00BC0E7E" w:rsidRDefault="00944B8F" w:rsidP="00BC0E7E">
            <w:pPr>
              <w:widowControl w:val="0"/>
              <w:spacing w:before="60"/>
              <w:rPr>
                <w:szCs w:val="20"/>
              </w:rPr>
            </w:pPr>
            <w:r w:rsidRPr="00BC0E7E">
              <w:rPr>
                <w:szCs w:val="20"/>
              </w:rPr>
              <w:t>fungal infections,</w:t>
            </w:r>
          </w:p>
          <w:p w14:paraId="7538270A" w14:textId="77777777" w:rsidR="00BC0E7E" w:rsidRPr="00BC0E7E" w:rsidRDefault="00944B8F" w:rsidP="00BC0E7E">
            <w:pPr>
              <w:widowControl w:val="0"/>
              <w:spacing w:before="60"/>
              <w:rPr>
                <w:szCs w:val="20"/>
              </w:rPr>
            </w:pPr>
            <w:r w:rsidRPr="00BC0E7E">
              <w:rPr>
                <w:szCs w:val="20"/>
              </w:rPr>
              <w:t>joint infections</w:t>
            </w:r>
          </w:p>
          <w:p w14:paraId="063E908A" w14:textId="77777777" w:rsidR="00BC0E7E" w:rsidRPr="00BC0E7E" w:rsidRDefault="00BC0E7E" w:rsidP="00BC0E7E">
            <w:pPr>
              <w:widowControl w:val="0"/>
              <w:spacing w:before="60"/>
              <w:rPr>
                <w:szCs w:val="20"/>
              </w:rPr>
            </w:pPr>
          </w:p>
        </w:tc>
      </w:tr>
      <w:tr w:rsidR="00C6578C" w14:paraId="14E1DEBC" w14:textId="77777777" w:rsidTr="000244DF">
        <w:tc>
          <w:tcPr>
            <w:tcW w:w="2600" w:type="dxa"/>
            <w:vMerge/>
          </w:tcPr>
          <w:p w14:paraId="72477D46" w14:textId="77777777" w:rsidR="00BC0E7E" w:rsidRPr="00BC0E7E" w:rsidRDefault="00BC0E7E" w:rsidP="00BC0E7E">
            <w:pPr>
              <w:widowControl w:val="0"/>
              <w:spacing w:before="60"/>
              <w:jc w:val="center"/>
              <w:rPr>
                <w:b/>
              </w:rPr>
            </w:pPr>
          </w:p>
        </w:tc>
        <w:tc>
          <w:tcPr>
            <w:tcW w:w="2074" w:type="dxa"/>
          </w:tcPr>
          <w:p w14:paraId="3B9DCA9C" w14:textId="77777777" w:rsidR="00BC0E7E" w:rsidRPr="00BC0E7E" w:rsidRDefault="00944B8F" w:rsidP="00BC0E7E">
            <w:pPr>
              <w:widowControl w:val="0"/>
              <w:rPr>
                <w:szCs w:val="20"/>
              </w:rPr>
            </w:pPr>
            <w:r w:rsidRPr="00BC0E7E">
              <w:rPr>
                <w:szCs w:val="20"/>
              </w:rPr>
              <w:t>Uncommon</w:t>
            </w:r>
          </w:p>
          <w:p w14:paraId="2F7296F8" w14:textId="77777777" w:rsidR="00BC0E7E" w:rsidRPr="00BC0E7E" w:rsidRDefault="00BC0E7E" w:rsidP="00BC0E7E">
            <w:pPr>
              <w:widowControl w:val="0"/>
              <w:rPr>
                <w:szCs w:val="20"/>
              </w:rPr>
            </w:pPr>
          </w:p>
        </w:tc>
        <w:tc>
          <w:tcPr>
            <w:tcW w:w="4575" w:type="dxa"/>
          </w:tcPr>
          <w:p w14:paraId="5A1668D5" w14:textId="77777777" w:rsidR="00BC0E7E" w:rsidRPr="00BC0E7E" w:rsidRDefault="00944B8F" w:rsidP="00BC0E7E">
            <w:pPr>
              <w:widowControl w:val="0"/>
              <w:rPr>
                <w:szCs w:val="20"/>
              </w:rPr>
            </w:pPr>
            <w:r>
              <w:rPr>
                <w:szCs w:val="20"/>
              </w:rPr>
              <w:t>N</w:t>
            </w:r>
            <w:r w:rsidRPr="00BC0E7E">
              <w:rPr>
                <w:szCs w:val="20"/>
              </w:rPr>
              <w:t>eurological infections (including viral meningitis),</w:t>
            </w:r>
          </w:p>
          <w:p w14:paraId="28C08AD2" w14:textId="77777777" w:rsidR="00BC0E7E" w:rsidRPr="00BC0E7E" w:rsidRDefault="00944B8F" w:rsidP="00BC0E7E">
            <w:pPr>
              <w:widowControl w:val="0"/>
              <w:rPr>
                <w:szCs w:val="20"/>
              </w:rPr>
            </w:pPr>
            <w:r w:rsidRPr="00BC0E7E">
              <w:rPr>
                <w:szCs w:val="20"/>
              </w:rPr>
              <w:t xml:space="preserve">opportunistic infections and tuberculosis (including coccidioidomycosis, histoplasmosis and mycobacterium avium complex infection), </w:t>
            </w:r>
          </w:p>
          <w:p w14:paraId="7D9A7327" w14:textId="77777777" w:rsidR="00BC0E7E" w:rsidRPr="00BC0E7E" w:rsidRDefault="00944B8F" w:rsidP="00BC0E7E">
            <w:pPr>
              <w:widowControl w:val="0"/>
              <w:rPr>
                <w:szCs w:val="20"/>
              </w:rPr>
            </w:pPr>
            <w:r w:rsidRPr="00BC0E7E">
              <w:rPr>
                <w:szCs w:val="20"/>
              </w:rPr>
              <w:t>bacterial infections,</w:t>
            </w:r>
          </w:p>
          <w:p w14:paraId="29408958" w14:textId="77777777" w:rsidR="00BC0E7E" w:rsidRPr="00BC0E7E" w:rsidRDefault="00944B8F" w:rsidP="00BC0E7E">
            <w:pPr>
              <w:widowControl w:val="0"/>
              <w:rPr>
                <w:b/>
                <w:i/>
                <w:szCs w:val="20"/>
              </w:rPr>
            </w:pPr>
            <w:r w:rsidRPr="00BC0E7E">
              <w:rPr>
                <w:szCs w:val="20"/>
              </w:rPr>
              <w:t>eye infections,</w:t>
            </w:r>
          </w:p>
          <w:p w14:paraId="2BE1B748" w14:textId="77777777" w:rsidR="00BC0E7E" w:rsidRPr="00BC0E7E" w:rsidRDefault="00944B8F" w:rsidP="00BC0E7E">
            <w:pPr>
              <w:widowControl w:val="0"/>
              <w:rPr>
                <w:szCs w:val="20"/>
              </w:rPr>
            </w:pPr>
            <w:r w:rsidRPr="00BC0E7E">
              <w:rPr>
                <w:szCs w:val="20"/>
              </w:rPr>
              <w:t>diverticulitis</w:t>
            </w:r>
            <w:r w:rsidRPr="00BC0E7E">
              <w:rPr>
                <w:szCs w:val="20"/>
                <w:vertAlign w:val="superscript"/>
              </w:rPr>
              <w:t>1)</w:t>
            </w:r>
            <w:r w:rsidRPr="00BC0E7E">
              <w:rPr>
                <w:szCs w:val="20"/>
              </w:rPr>
              <w:t xml:space="preserve"> </w:t>
            </w:r>
          </w:p>
          <w:p w14:paraId="0D41157C" w14:textId="77777777" w:rsidR="00BC0E7E" w:rsidRPr="00BC0E7E" w:rsidRDefault="00BC0E7E" w:rsidP="00BC0E7E">
            <w:pPr>
              <w:widowControl w:val="0"/>
              <w:rPr>
                <w:szCs w:val="20"/>
              </w:rPr>
            </w:pPr>
          </w:p>
        </w:tc>
      </w:tr>
      <w:tr w:rsidR="00C6578C" w14:paraId="47B76A79" w14:textId="77777777" w:rsidTr="000244DF">
        <w:tc>
          <w:tcPr>
            <w:tcW w:w="2600" w:type="dxa"/>
            <w:vMerge w:val="restart"/>
          </w:tcPr>
          <w:p w14:paraId="382A9DFA" w14:textId="77777777" w:rsidR="00BC0E7E" w:rsidRPr="00BC0E7E" w:rsidRDefault="00944B8F" w:rsidP="00BC0E7E">
            <w:pPr>
              <w:widowControl w:val="0"/>
              <w:spacing w:before="60"/>
              <w:rPr>
                <w:b/>
              </w:rPr>
            </w:pPr>
            <w:r w:rsidRPr="00BC0E7E">
              <w:t>Neoplasms benign, malignant and unspecified (including cysts and polyps)*</w:t>
            </w:r>
          </w:p>
        </w:tc>
        <w:tc>
          <w:tcPr>
            <w:tcW w:w="2074" w:type="dxa"/>
          </w:tcPr>
          <w:p w14:paraId="55FB44D4" w14:textId="77777777" w:rsidR="00BC0E7E" w:rsidRPr="00BC0E7E" w:rsidRDefault="00944B8F" w:rsidP="00BC0E7E">
            <w:pPr>
              <w:widowControl w:val="0"/>
              <w:spacing w:before="60"/>
              <w:rPr>
                <w:szCs w:val="20"/>
              </w:rPr>
            </w:pPr>
            <w:r w:rsidRPr="00BC0E7E">
              <w:rPr>
                <w:szCs w:val="20"/>
              </w:rPr>
              <w:t>Common</w:t>
            </w:r>
          </w:p>
          <w:p w14:paraId="238C5E05" w14:textId="77777777" w:rsidR="00BC0E7E" w:rsidRPr="00BC0E7E" w:rsidRDefault="00BC0E7E" w:rsidP="00BC0E7E">
            <w:pPr>
              <w:widowControl w:val="0"/>
              <w:spacing w:before="60"/>
              <w:rPr>
                <w:szCs w:val="20"/>
              </w:rPr>
            </w:pPr>
          </w:p>
        </w:tc>
        <w:tc>
          <w:tcPr>
            <w:tcW w:w="4575" w:type="dxa"/>
          </w:tcPr>
          <w:p w14:paraId="5AFFB9F6" w14:textId="77777777" w:rsidR="00BC0E7E" w:rsidRPr="00BC0E7E" w:rsidRDefault="00944B8F" w:rsidP="00BC0E7E">
            <w:pPr>
              <w:widowControl w:val="0"/>
              <w:spacing w:before="60"/>
              <w:rPr>
                <w:szCs w:val="20"/>
              </w:rPr>
            </w:pPr>
            <w:r>
              <w:rPr>
                <w:szCs w:val="20"/>
              </w:rPr>
              <w:t>S</w:t>
            </w:r>
            <w:r w:rsidRPr="00BC0E7E">
              <w:rPr>
                <w:szCs w:val="20"/>
              </w:rPr>
              <w:t>kin cancer excluding melanoma (including basal cell carcinoma and squamous cell carcinoma),</w:t>
            </w:r>
          </w:p>
          <w:p w14:paraId="1F8DEB89" w14:textId="77777777" w:rsidR="00BC0E7E" w:rsidRPr="00BC0E7E" w:rsidRDefault="00944B8F" w:rsidP="00BC0E7E">
            <w:pPr>
              <w:widowControl w:val="0"/>
              <w:spacing w:before="60"/>
              <w:rPr>
                <w:szCs w:val="20"/>
              </w:rPr>
            </w:pPr>
            <w:r w:rsidRPr="00BC0E7E">
              <w:rPr>
                <w:szCs w:val="20"/>
              </w:rPr>
              <w:t>benign neoplasm</w:t>
            </w:r>
          </w:p>
          <w:p w14:paraId="2291A018" w14:textId="77777777" w:rsidR="00BC0E7E" w:rsidRPr="00BC0E7E" w:rsidRDefault="00BC0E7E" w:rsidP="00BC0E7E">
            <w:pPr>
              <w:widowControl w:val="0"/>
              <w:spacing w:before="60"/>
              <w:rPr>
                <w:szCs w:val="20"/>
              </w:rPr>
            </w:pPr>
          </w:p>
        </w:tc>
      </w:tr>
      <w:tr w:rsidR="00C6578C" w14:paraId="46B95A85" w14:textId="77777777" w:rsidTr="000244DF">
        <w:tc>
          <w:tcPr>
            <w:tcW w:w="2600" w:type="dxa"/>
            <w:vMerge/>
          </w:tcPr>
          <w:p w14:paraId="627C6ECF" w14:textId="77777777" w:rsidR="00BC0E7E" w:rsidRPr="00BC0E7E" w:rsidRDefault="00BC0E7E" w:rsidP="00BC0E7E">
            <w:pPr>
              <w:widowControl w:val="0"/>
              <w:spacing w:before="60"/>
              <w:jc w:val="center"/>
              <w:rPr>
                <w:b/>
              </w:rPr>
            </w:pPr>
          </w:p>
        </w:tc>
        <w:tc>
          <w:tcPr>
            <w:tcW w:w="2074" w:type="dxa"/>
          </w:tcPr>
          <w:p w14:paraId="5AB3E6A5" w14:textId="77777777" w:rsidR="00BC0E7E" w:rsidRPr="00BC0E7E" w:rsidRDefault="00944B8F" w:rsidP="00BC0E7E">
            <w:pPr>
              <w:widowControl w:val="0"/>
              <w:rPr>
                <w:szCs w:val="20"/>
              </w:rPr>
            </w:pPr>
            <w:r w:rsidRPr="00BC0E7E">
              <w:rPr>
                <w:szCs w:val="20"/>
              </w:rPr>
              <w:t>Uncommon</w:t>
            </w:r>
          </w:p>
          <w:p w14:paraId="42A433EA" w14:textId="77777777" w:rsidR="00BC0E7E" w:rsidRPr="00BC0E7E" w:rsidRDefault="00BC0E7E" w:rsidP="00BC0E7E">
            <w:pPr>
              <w:widowControl w:val="0"/>
              <w:rPr>
                <w:szCs w:val="20"/>
              </w:rPr>
            </w:pPr>
          </w:p>
        </w:tc>
        <w:tc>
          <w:tcPr>
            <w:tcW w:w="4575" w:type="dxa"/>
          </w:tcPr>
          <w:p w14:paraId="30686808" w14:textId="77777777" w:rsidR="00BC0E7E" w:rsidRPr="00BC0E7E" w:rsidRDefault="00944B8F" w:rsidP="00BC0E7E">
            <w:pPr>
              <w:widowControl w:val="0"/>
              <w:rPr>
                <w:szCs w:val="20"/>
              </w:rPr>
            </w:pPr>
            <w:r>
              <w:rPr>
                <w:szCs w:val="20"/>
              </w:rPr>
              <w:t>L</w:t>
            </w:r>
            <w:r w:rsidRPr="00BC0E7E">
              <w:rPr>
                <w:szCs w:val="20"/>
              </w:rPr>
              <w:t xml:space="preserve">ymphoma**, </w:t>
            </w:r>
          </w:p>
          <w:p w14:paraId="306BD472" w14:textId="77777777" w:rsidR="00BC0E7E" w:rsidRPr="00BC0E7E" w:rsidRDefault="00944B8F" w:rsidP="00BC0E7E">
            <w:pPr>
              <w:widowControl w:val="0"/>
              <w:rPr>
                <w:szCs w:val="20"/>
              </w:rPr>
            </w:pPr>
            <w:r w:rsidRPr="00BC0E7E">
              <w:rPr>
                <w:szCs w:val="20"/>
              </w:rPr>
              <w:t xml:space="preserve">solid organ neoplasm (including breast cancer, lung neoplasm and thyroid neoplasm), </w:t>
            </w:r>
          </w:p>
          <w:p w14:paraId="33C1F594" w14:textId="77777777" w:rsidR="00BC0E7E" w:rsidRPr="00BC0E7E" w:rsidRDefault="00944B8F" w:rsidP="00BC0E7E">
            <w:pPr>
              <w:widowControl w:val="0"/>
              <w:rPr>
                <w:szCs w:val="20"/>
              </w:rPr>
            </w:pPr>
            <w:r w:rsidRPr="00BC0E7E">
              <w:rPr>
                <w:szCs w:val="20"/>
              </w:rPr>
              <w:t>melanoma**</w:t>
            </w:r>
          </w:p>
          <w:p w14:paraId="32F6F247" w14:textId="77777777" w:rsidR="00BC0E7E" w:rsidRPr="00BC0E7E" w:rsidRDefault="00BC0E7E" w:rsidP="00BC0E7E">
            <w:pPr>
              <w:widowControl w:val="0"/>
              <w:rPr>
                <w:szCs w:val="20"/>
              </w:rPr>
            </w:pPr>
          </w:p>
        </w:tc>
      </w:tr>
      <w:tr w:rsidR="00C6578C" w14:paraId="1350215B" w14:textId="77777777" w:rsidTr="000244DF">
        <w:trPr>
          <w:trHeight w:val="323"/>
        </w:trPr>
        <w:tc>
          <w:tcPr>
            <w:tcW w:w="2600" w:type="dxa"/>
            <w:vMerge w:val="restart"/>
          </w:tcPr>
          <w:p w14:paraId="4FD27A28" w14:textId="77777777" w:rsidR="00BC0E7E" w:rsidRPr="00BC0E7E" w:rsidRDefault="00BC0E7E" w:rsidP="00BC0E7E">
            <w:pPr>
              <w:widowControl w:val="0"/>
              <w:spacing w:before="60"/>
            </w:pPr>
          </w:p>
        </w:tc>
        <w:tc>
          <w:tcPr>
            <w:tcW w:w="2074" w:type="dxa"/>
          </w:tcPr>
          <w:p w14:paraId="58A52234" w14:textId="77777777" w:rsidR="00BC0E7E" w:rsidRPr="00BC0E7E" w:rsidRDefault="00944B8F" w:rsidP="00BC0E7E">
            <w:pPr>
              <w:widowControl w:val="0"/>
              <w:spacing w:before="60"/>
              <w:jc w:val="both"/>
              <w:rPr>
                <w:szCs w:val="20"/>
              </w:rPr>
            </w:pPr>
            <w:r w:rsidRPr="00BC0E7E">
              <w:rPr>
                <w:szCs w:val="20"/>
              </w:rPr>
              <w:t>Rare</w:t>
            </w:r>
          </w:p>
        </w:tc>
        <w:tc>
          <w:tcPr>
            <w:tcW w:w="4575" w:type="dxa"/>
          </w:tcPr>
          <w:p w14:paraId="521DFE48" w14:textId="77777777" w:rsidR="00BC0E7E" w:rsidRPr="00BC0E7E" w:rsidRDefault="00944B8F" w:rsidP="00BC0E7E">
            <w:pPr>
              <w:widowControl w:val="0"/>
              <w:spacing w:before="60"/>
            </w:pPr>
            <w:r>
              <w:t>L</w:t>
            </w:r>
            <w:r w:rsidRPr="00BC0E7E">
              <w:t>eukaemia</w:t>
            </w:r>
            <w:r w:rsidRPr="00BC0E7E">
              <w:rPr>
                <w:vertAlign w:val="superscript"/>
              </w:rPr>
              <w:t>1)</w:t>
            </w:r>
          </w:p>
          <w:p w14:paraId="63B0DE61" w14:textId="77777777" w:rsidR="00BC0E7E" w:rsidRPr="00BC0E7E" w:rsidRDefault="00BC0E7E" w:rsidP="00BC0E7E">
            <w:pPr>
              <w:widowControl w:val="0"/>
              <w:spacing w:before="60"/>
            </w:pPr>
          </w:p>
        </w:tc>
      </w:tr>
      <w:tr w:rsidR="00C6578C" w14:paraId="6024F321" w14:textId="77777777" w:rsidTr="000244DF">
        <w:trPr>
          <w:trHeight w:val="322"/>
        </w:trPr>
        <w:tc>
          <w:tcPr>
            <w:tcW w:w="2600" w:type="dxa"/>
            <w:vMerge/>
          </w:tcPr>
          <w:p w14:paraId="041C6C0A" w14:textId="77777777" w:rsidR="00BC0E7E" w:rsidRPr="00BC0E7E" w:rsidRDefault="00BC0E7E" w:rsidP="00BC0E7E">
            <w:pPr>
              <w:widowControl w:val="0"/>
              <w:spacing w:before="60"/>
            </w:pPr>
          </w:p>
        </w:tc>
        <w:tc>
          <w:tcPr>
            <w:tcW w:w="2074" w:type="dxa"/>
          </w:tcPr>
          <w:p w14:paraId="51697627" w14:textId="77777777" w:rsidR="00BC0E7E" w:rsidRPr="00BC0E7E" w:rsidRDefault="00944B8F" w:rsidP="00BC0E7E">
            <w:pPr>
              <w:widowControl w:val="0"/>
              <w:spacing w:before="60"/>
              <w:jc w:val="both"/>
              <w:rPr>
                <w:szCs w:val="20"/>
              </w:rPr>
            </w:pPr>
            <w:r w:rsidRPr="00BC0E7E">
              <w:rPr>
                <w:szCs w:val="20"/>
              </w:rPr>
              <w:t>Not known</w:t>
            </w:r>
          </w:p>
        </w:tc>
        <w:tc>
          <w:tcPr>
            <w:tcW w:w="4575" w:type="dxa"/>
          </w:tcPr>
          <w:p w14:paraId="55E68AB0" w14:textId="77777777" w:rsidR="00BC0E7E" w:rsidRPr="00BC0E7E" w:rsidRDefault="00944B8F" w:rsidP="00BC0E7E">
            <w:pPr>
              <w:widowControl w:val="0"/>
              <w:spacing w:before="60"/>
            </w:pPr>
            <w:r>
              <w:t>H</w:t>
            </w:r>
            <w:r w:rsidRPr="00BC0E7E">
              <w:t>epatosplenic T-cell lymphoma</w:t>
            </w:r>
            <w:r w:rsidRPr="00BC0E7E">
              <w:rPr>
                <w:vertAlign w:val="superscript"/>
              </w:rPr>
              <w:t>1)</w:t>
            </w:r>
          </w:p>
          <w:p w14:paraId="08635796" w14:textId="77777777" w:rsidR="00BC0E7E" w:rsidRDefault="00944B8F" w:rsidP="00BC0E7E">
            <w:pPr>
              <w:widowControl w:val="0"/>
              <w:spacing w:before="60"/>
            </w:pPr>
            <w:r w:rsidRPr="00BC0E7E">
              <w:t>Merkel cell carcinoma (neuroendocrine carcinoma of the skin)</w:t>
            </w:r>
            <w:r w:rsidRPr="00BC0E7E">
              <w:rPr>
                <w:vertAlign w:val="superscript"/>
              </w:rPr>
              <w:t>1)</w:t>
            </w:r>
            <w:r w:rsidR="00F9435E">
              <w:t>,</w:t>
            </w:r>
          </w:p>
          <w:p w14:paraId="6623BA34" w14:textId="77777777" w:rsidR="00F9435E" w:rsidRPr="00F9435E" w:rsidRDefault="00944B8F" w:rsidP="00BC0E7E">
            <w:pPr>
              <w:widowControl w:val="0"/>
              <w:spacing w:before="60"/>
            </w:pPr>
            <w:r>
              <w:t>Kaposi’s sarcoma</w:t>
            </w:r>
          </w:p>
          <w:p w14:paraId="03AB5D3F" w14:textId="77777777" w:rsidR="00BC0E7E" w:rsidRPr="00BC0E7E" w:rsidRDefault="00BC0E7E" w:rsidP="00BC0E7E">
            <w:pPr>
              <w:widowControl w:val="0"/>
              <w:spacing w:before="60"/>
            </w:pPr>
          </w:p>
        </w:tc>
      </w:tr>
      <w:tr w:rsidR="00C6578C" w14:paraId="496E5C1D" w14:textId="77777777" w:rsidTr="000244DF">
        <w:tc>
          <w:tcPr>
            <w:tcW w:w="2600" w:type="dxa"/>
            <w:vMerge w:val="restart"/>
          </w:tcPr>
          <w:p w14:paraId="04903081" w14:textId="77777777" w:rsidR="00BC0E7E" w:rsidRPr="00BC0E7E" w:rsidRDefault="00944B8F" w:rsidP="00BC0E7E">
            <w:pPr>
              <w:widowControl w:val="0"/>
              <w:spacing w:before="60"/>
              <w:rPr>
                <w:b/>
              </w:rPr>
            </w:pPr>
            <w:r w:rsidRPr="00BC0E7E">
              <w:t>Blood and the lymphatic system disorders*</w:t>
            </w:r>
          </w:p>
        </w:tc>
        <w:tc>
          <w:tcPr>
            <w:tcW w:w="2074" w:type="dxa"/>
          </w:tcPr>
          <w:p w14:paraId="2AA16D7A" w14:textId="77777777" w:rsidR="00BC0E7E" w:rsidRPr="00BC0E7E" w:rsidRDefault="00944B8F" w:rsidP="00BC0E7E">
            <w:pPr>
              <w:widowControl w:val="0"/>
              <w:spacing w:before="60"/>
              <w:jc w:val="both"/>
              <w:rPr>
                <w:szCs w:val="20"/>
              </w:rPr>
            </w:pPr>
            <w:r w:rsidRPr="00BC0E7E">
              <w:rPr>
                <w:szCs w:val="20"/>
              </w:rPr>
              <w:t>Very common</w:t>
            </w:r>
          </w:p>
          <w:p w14:paraId="0DF1A608" w14:textId="77777777" w:rsidR="00BC0E7E" w:rsidRPr="00BC0E7E" w:rsidRDefault="00BC0E7E" w:rsidP="00BC0E7E">
            <w:pPr>
              <w:widowControl w:val="0"/>
              <w:spacing w:before="60"/>
              <w:jc w:val="both"/>
              <w:rPr>
                <w:szCs w:val="20"/>
              </w:rPr>
            </w:pPr>
          </w:p>
        </w:tc>
        <w:tc>
          <w:tcPr>
            <w:tcW w:w="4575" w:type="dxa"/>
          </w:tcPr>
          <w:p w14:paraId="0A7B4A0A" w14:textId="77777777" w:rsidR="00BC0E7E" w:rsidRPr="00BC0E7E" w:rsidRDefault="00944B8F" w:rsidP="00BC0E7E">
            <w:pPr>
              <w:widowControl w:val="0"/>
              <w:spacing w:before="60"/>
            </w:pPr>
            <w:r>
              <w:t>L</w:t>
            </w:r>
            <w:r w:rsidRPr="00BC0E7E">
              <w:t xml:space="preserve">eukopenia (including neutropenia and agranulocytosis), </w:t>
            </w:r>
          </w:p>
          <w:p w14:paraId="36D41FE6" w14:textId="77777777" w:rsidR="00BC0E7E" w:rsidRPr="00BC0E7E" w:rsidRDefault="00944B8F" w:rsidP="00BC0E7E">
            <w:pPr>
              <w:widowControl w:val="0"/>
              <w:spacing w:before="60"/>
            </w:pPr>
            <w:r w:rsidRPr="00BC0E7E">
              <w:t>anaemia</w:t>
            </w:r>
          </w:p>
          <w:p w14:paraId="02D8923A" w14:textId="77777777" w:rsidR="00BC0E7E" w:rsidRPr="00BC0E7E" w:rsidRDefault="00BC0E7E" w:rsidP="00BC0E7E">
            <w:pPr>
              <w:widowControl w:val="0"/>
              <w:spacing w:before="60"/>
              <w:rPr>
                <w:b/>
              </w:rPr>
            </w:pPr>
          </w:p>
        </w:tc>
      </w:tr>
      <w:tr w:rsidR="00C6578C" w14:paraId="3D1B3434" w14:textId="77777777" w:rsidTr="000244DF">
        <w:tc>
          <w:tcPr>
            <w:tcW w:w="2600" w:type="dxa"/>
            <w:vMerge/>
          </w:tcPr>
          <w:p w14:paraId="29D0A259" w14:textId="77777777" w:rsidR="00BC0E7E" w:rsidRPr="00BC0E7E" w:rsidRDefault="00BC0E7E" w:rsidP="00BC0E7E">
            <w:pPr>
              <w:widowControl w:val="0"/>
              <w:spacing w:beforeLines="60" w:before="144"/>
              <w:jc w:val="center"/>
              <w:rPr>
                <w:b/>
              </w:rPr>
            </w:pPr>
          </w:p>
        </w:tc>
        <w:tc>
          <w:tcPr>
            <w:tcW w:w="2074" w:type="dxa"/>
          </w:tcPr>
          <w:p w14:paraId="43F10AB2" w14:textId="77777777" w:rsidR="00BC0E7E" w:rsidRPr="00BC0E7E" w:rsidRDefault="00944B8F" w:rsidP="00BC0E7E">
            <w:pPr>
              <w:widowControl w:val="0"/>
              <w:jc w:val="both"/>
              <w:rPr>
                <w:szCs w:val="20"/>
              </w:rPr>
            </w:pPr>
            <w:r w:rsidRPr="00BC0E7E">
              <w:rPr>
                <w:szCs w:val="20"/>
              </w:rPr>
              <w:t>Common</w:t>
            </w:r>
          </w:p>
        </w:tc>
        <w:tc>
          <w:tcPr>
            <w:tcW w:w="4575" w:type="dxa"/>
          </w:tcPr>
          <w:p w14:paraId="11342AC1" w14:textId="77777777" w:rsidR="00BC0E7E" w:rsidRPr="00BC0E7E" w:rsidRDefault="00944B8F" w:rsidP="00BC0E7E">
            <w:pPr>
              <w:widowControl w:val="0"/>
            </w:pPr>
            <w:r>
              <w:t>L</w:t>
            </w:r>
            <w:r w:rsidRPr="00BC0E7E">
              <w:t>eucocytosis,</w:t>
            </w:r>
          </w:p>
          <w:p w14:paraId="1958EAA8" w14:textId="77777777" w:rsidR="00BC0E7E" w:rsidRPr="00BC0E7E" w:rsidRDefault="00944B8F" w:rsidP="00BC0E7E">
            <w:pPr>
              <w:widowControl w:val="0"/>
            </w:pPr>
            <w:r w:rsidRPr="00BC0E7E">
              <w:t>thrombocytopenia</w:t>
            </w:r>
          </w:p>
          <w:p w14:paraId="032EFFE2" w14:textId="77777777" w:rsidR="00BC0E7E" w:rsidRPr="00BC0E7E" w:rsidRDefault="00BC0E7E" w:rsidP="00BC0E7E">
            <w:pPr>
              <w:widowControl w:val="0"/>
            </w:pPr>
          </w:p>
        </w:tc>
      </w:tr>
      <w:tr w:rsidR="00C6578C" w14:paraId="454531BD" w14:textId="77777777" w:rsidTr="000244DF">
        <w:tc>
          <w:tcPr>
            <w:tcW w:w="2600" w:type="dxa"/>
            <w:vMerge/>
          </w:tcPr>
          <w:p w14:paraId="57AE8416" w14:textId="77777777" w:rsidR="00BC0E7E" w:rsidRPr="00BC0E7E" w:rsidRDefault="00BC0E7E" w:rsidP="00BC0E7E">
            <w:pPr>
              <w:widowControl w:val="0"/>
              <w:spacing w:beforeLines="60" w:before="144"/>
              <w:jc w:val="center"/>
              <w:rPr>
                <w:b/>
              </w:rPr>
            </w:pPr>
          </w:p>
        </w:tc>
        <w:tc>
          <w:tcPr>
            <w:tcW w:w="2074" w:type="dxa"/>
          </w:tcPr>
          <w:p w14:paraId="5D0E1EA0" w14:textId="77777777" w:rsidR="00BC0E7E" w:rsidRPr="00BC0E7E" w:rsidRDefault="00944B8F" w:rsidP="00BC0E7E">
            <w:pPr>
              <w:widowControl w:val="0"/>
              <w:jc w:val="both"/>
              <w:rPr>
                <w:szCs w:val="20"/>
              </w:rPr>
            </w:pPr>
            <w:r w:rsidRPr="00BC0E7E">
              <w:rPr>
                <w:szCs w:val="20"/>
              </w:rPr>
              <w:t>Uncommon</w:t>
            </w:r>
          </w:p>
        </w:tc>
        <w:tc>
          <w:tcPr>
            <w:tcW w:w="4575" w:type="dxa"/>
          </w:tcPr>
          <w:p w14:paraId="01B9C9C7" w14:textId="77777777" w:rsidR="00BC0E7E" w:rsidRPr="00BC0E7E" w:rsidRDefault="00944B8F" w:rsidP="00BC0E7E">
            <w:pPr>
              <w:widowControl w:val="0"/>
            </w:pPr>
            <w:r>
              <w:t>I</w:t>
            </w:r>
            <w:r w:rsidRPr="00BC0E7E">
              <w:t>diopathic thrombocytopenic purpura</w:t>
            </w:r>
          </w:p>
          <w:p w14:paraId="4F7E8F1D" w14:textId="77777777" w:rsidR="00BC0E7E" w:rsidRPr="00BC0E7E" w:rsidRDefault="00BC0E7E" w:rsidP="00BC0E7E">
            <w:pPr>
              <w:widowControl w:val="0"/>
            </w:pPr>
          </w:p>
        </w:tc>
      </w:tr>
      <w:tr w:rsidR="00C6578C" w14:paraId="29DD74BA" w14:textId="77777777" w:rsidTr="000244DF">
        <w:tc>
          <w:tcPr>
            <w:tcW w:w="2600" w:type="dxa"/>
            <w:vMerge/>
          </w:tcPr>
          <w:p w14:paraId="0A920737" w14:textId="77777777" w:rsidR="00BC0E7E" w:rsidRPr="00BC0E7E" w:rsidRDefault="00BC0E7E" w:rsidP="00BC0E7E">
            <w:pPr>
              <w:widowControl w:val="0"/>
              <w:spacing w:beforeLines="60" w:before="144"/>
              <w:jc w:val="center"/>
              <w:rPr>
                <w:b/>
              </w:rPr>
            </w:pPr>
          </w:p>
        </w:tc>
        <w:tc>
          <w:tcPr>
            <w:tcW w:w="2074" w:type="dxa"/>
          </w:tcPr>
          <w:p w14:paraId="1F2B7D82" w14:textId="77777777" w:rsidR="00BC0E7E" w:rsidRPr="00BC0E7E" w:rsidRDefault="00944B8F" w:rsidP="00BC0E7E">
            <w:pPr>
              <w:widowControl w:val="0"/>
              <w:jc w:val="both"/>
              <w:rPr>
                <w:szCs w:val="20"/>
              </w:rPr>
            </w:pPr>
            <w:r w:rsidRPr="00BC0E7E">
              <w:rPr>
                <w:szCs w:val="20"/>
              </w:rPr>
              <w:t>Rare</w:t>
            </w:r>
          </w:p>
          <w:p w14:paraId="627AA45D" w14:textId="77777777" w:rsidR="00BC0E7E" w:rsidRPr="00BC0E7E" w:rsidRDefault="00BC0E7E" w:rsidP="00BC0E7E">
            <w:pPr>
              <w:widowControl w:val="0"/>
              <w:jc w:val="both"/>
              <w:rPr>
                <w:szCs w:val="20"/>
              </w:rPr>
            </w:pPr>
          </w:p>
        </w:tc>
        <w:tc>
          <w:tcPr>
            <w:tcW w:w="4575" w:type="dxa"/>
          </w:tcPr>
          <w:p w14:paraId="16007036" w14:textId="77777777" w:rsidR="00BC0E7E" w:rsidRPr="00BC0E7E" w:rsidRDefault="00944B8F" w:rsidP="00BC0E7E">
            <w:pPr>
              <w:widowControl w:val="0"/>
              <w:rPr>
                <w:b/>
              </w:rPr>
            </w:pPr>
            <w:r>
              <w:t>P</w:t>
            </w:r>
            <w:r w:rsidRPr="00BC0E7E">
              <w:t>ancytopenia</w:t>
            </w:r>
          </w:p>
        </w:tc>
      </w:tr>
      <w:tr w:rsidR="00C6578C" w14:paraId="19E343EA" w14:textId="77777777" w:rsidTr="000244DF">
        <w:tc>
          <w:tcPr>
            <w:tcW w:w="2600" w:type="dxa"/>
            <w:vMerge w:val="restart"/>
          </w:tcPr>
          <w:p w14:paraId="2FD3C462" w14:textId="77777777" w:rsidR="00BC0E7E" w:rsidRPr="00BC0E7E" w:rsidRDefault="00944B8F" w:rsidP="00BC0E7E">
            <w:pPr>
              <w:widowControl w:val="0"/>
              <w:spacing w:before="60"/>
              <w:rPr>
                <w:szCs w:val="20"/>
                <w:lang w:val="de-DE"/>
              </w:rPr>
            </w:pPr>
            <w:r w:rsidRPr="00BC0E7E">
              <w:rPr>
                <w:szCs w:val="20"/>
                <w:lang w:val="de-DE"/>
              </w:rPr>
              <w:t>Immune system disorders*</w:t>
            </w:r>
          </w:p>
        </w:tc>
        <w:tc>
          <w:tcPr>
            <w:tcW w:w="2074" w:type="dxa"/>
          </w:tcPr>
          <w:p w14:paraId="6A21C202" w14:textId="77777777" w:rsidR="00BC0E7E" w:rsidRPr="00BC0E7E" w:rsidRDefault="00944B8F" w:rsidP="00BC0E7E">
            <w:pPr>
              <w:widowControl w:val="0"/>
              <w:spacing w:before="60"/>
              <w:rPr>
                <w:szCs w:val="20"/>
              </w:rPr>
            </w:pPr>
            <w:r w:rsidRPr="00BC0E7E">
              <w:rPr>
                <w:szCs w:val="20"/>
              </w:rPr>
              <w:t>Common</w:t>
            </w:r>
          </w:p>
          <w:p w14:paraId="2C1CC1D6" w14:textId="77777777" w:rsidR="00BC0E7E" w:rsidRPr="00BC0E7E" w:rsidRDefault="00BC0E7E" w:rsidP="00BC0E7E">
            <w:pPr>
              <w:widowControl w:val="0"/>
              <w:spacing w:before="60"/>
              <w:rPr>
                <w:szCs w:val="20"/>
              </w:rPr>
            </w:pPr>
          </w:p>
        </w:tc>
        <w:tc>
          <w:tcPr>
            <w:tcW w:w="4575" w:type="dxa"/>
          </w:tcPr>
          <w:p w14:paraId="6644F2ED" w14:textId="77777777" w:rsidR="00BC0E7E" w:rsidRPr="00BC0E7E" w:rsidRDefault="00944B8F" w:rsidP="00BC0E7E">
            <w:pPr>
              <w:widowControl w:val="0"/>
              <w:spacing w:before="60"/>
              <w:rPr>
                <w:szCs w:val="20"/>
              </w:rPr>
            </w:pPr>
            <w:r>
              <w:rPr>
                <w:szCs w:val="20"/>
              </w:rPr>
              <w:t>H</w:t>
            </w:r>
            <w:r w:rsidRPr="00BC0E7E">
              <w:rPr>
                <w:szCs w:val="20"/>
              </w:rPr>
              <w:t>ypersensitivity,</w:t>
            </w:r>
          </w:p>
          <w:p w14:paraId="7E28532C" w14:textId="77777777" w:rsidR="00BC0E7E" w:rsidRPr="00BC0E7E" w:rsidRDefault="00944B8F" w:rsidP="00BC0E7E">
            <w:pPr>
              <w:widowControl w:val="0"/>
              <w:spacing w:before="60"/>
              <w:rPr>
                <w:szCs w:val="20"/>
              </w:rPr>
            </w:pPr>
            <w:r w:rsidRPr="00BC0E7E">
              <w:rPr>
                <w:szCs w:val="20"/>
              </w:rPr>
              <w:t>allergies (including seasonal allergy)</w:t>
            </w:r>
          </w:p>
          <w:p w14:paraId="6C0BC075" w14:textId="77777777" w:rsidR="00BC0E7E" w:rsidRPr="00BC0E7E" w:rsidRDefault="00BC0E7E" w:rsidP="00BC0E7E">
            <w:pPr>
              <w:widowControl w:val="0"/>
              <w:spacing w:before="60"/>
              <w:rPr>
                <w:szCs w:val="20"/>
              </w:rPr>
            </w:pPr>
          </w:p>
        </w:tc>
      </w:tr>
      <w:tr w:rsidR="00C6578C" w14:paraId="63576B04" w14:textId="77777777" w:rsidTr="000244DF">
        <w:tc>
          <w:tcPr>
            <w:tcW w:w="2600" w:type="dxa"/>
            <w:vMerge/>
          </w:tcPr>
          <w:p w14:paraId="3EB121C7" w14:textId="77777777" w:rsidR="00BC0E7E" w:rsidRPr="00BC0E7E" w:rsidRDefault="00BC0E7E" w:rsidP="00BC0E7E">
            <w:pPr>
              <w:widowControl w:val="0"/>
              <w:spacing w:before="60"/>
              <w:rPr>
                <w:szCs w:val="20"/>
              </w:rPr>
            </w:pPr>
          </w:p>
        </w:tc>
        <w:tc>
          <w:tcPr>
            <w:tcW w:w="2074" w:type="dxa"/>
          </w:tcPr>
          <w:p w14:paraId="2C69AADB" w14:textId="77777777" w:rsidR="00BC0E7E" w:rsidRPr="00BC0E7E" w:rsidRDefault="00944B8F" w:rsidP="00BC0E7E">
            <w:pPr>
              <w:widowControl w:val="0"/>
              <w:spacing w:before="60"/>
              <w:rPr>
                <w:szCs w:val="20"/>
              </w:rPr>
            </w:pPr>
            <w:r w:rsidRPr="00BC0E7E">
              <w:rPr>
                <w:szCs w:val="20"/>
              </w:rPr>
              <w:t>Uncommon</w:t>
            </w:r>
          </w:p>
        </w:tc>
        <w:tc>
          <w:tcPr>
            <w:tcW w:w="4575" w:type="dxa"/>
          </w:tcPr>
          <w:p w14:paraId="6CCC6C0C" w14:textId="77777777" w:rsidR="00BC0E7E" w:rsidRPr="00BC0E7E" w:rsidRDefault="00944B8F" w:rsidP="00BC0E7E">
            <w:pPr>
              <w:widowControl w:val="0"/>
              <w:spacing w:before="60"/>
              <w:rPr>
                <w:szCs w:val="20"/>
                <w:vertAlign w:val="superscript"/>
              </w:rPr>
            </w:pPr>
            <w:r>
              <w:rPr>
                <w:szCs w:val="20"/>
              </w:rPr>
              <w:t>S</w:t>
            </w:r>
            <w:r w:rsidRPr="00BC0E7E">
              <w:rPr>
                <w:szCs w:val="20"/>
              </w:rPr>
              <w:t>arcoidosis</w:t>
            </w:r>
            <w:r w:rsidRPr="00BC0E7E">
              <w:rPr>
                <w:szCs w:val="20"/>
                <w:vertAlign w:val="superscript"/>
              </w:rPr>
              <w:t>1)</w:t>
            </w:r>
            <w:r w:rsidRPr="00BC0E7E">
              <w:rPr>
                <w:szCs w:val="20"/>
              </w:rPr>
              <w:t>,</w:t>
            </w:r>
          </w:p>
          <w:p w14:paraId="7959F60D" w14:textId="77777777" w:rsidR="00BC0E7E" w:rsidRPr="00BC0E7E" w:rsidRDefault="00944B8F" w:rsidP="00BC0E7E">
            <w:pPr>
              <w:widowControl w:val="0"/>
              <w:spacing w:before="60"/>
              <w:rPr>
                <w:szCs w:val="20"/>
                <w:vertAlign w:val="superscript"/>
              </w:rPr>
            </w:pPr>
            <w:r w:rsidRPr="00BC0E7E">
              <w:rPr>
                <w:szCs w:val="20"/>
              </w:rPr>
              <w:t>vasculitis</w:t>
            </w:r>
          </w:p>
          <w:p w14:paraId="0B414DEE" w14:textId="77777777" w:rsidR="00BC0E7E" w:rsidRPr="00BC0E7E" w:rsidRDefault="00BC0E7E" w:rsidP="00BC0E7E">
            <w:pPr>
              <w:widowControl w:val="0"/>
              <w:spacing w:before="60"/>
              <w:rPr>
                <w:szCs w:val="20"/>
              </w:rPr>
            </w:pPr>
          </w:p>
        </w:tc>
      </w:tr>
      <w:tr w:rsidR="00C6578C" w14:paraId="4B3DBC1E" w14:textId="77777777" w:rsidTr="000244DF">
        <w:tc>
          <w:tcPr>
            <w:tcW w:w="2600" w:type="dxa"/>
            <w:vMerge/>
          </w:tcPr>
          <w:p w14:paraId="2BB16434" w14:textId="77777777" w:rsidR="00BC0E7E" w:rsidRPr="00BC0E7E" w:rsidRDefault="00BC0E7E" w:rsidP="00BC0E7E">
            <w:pPr>
              <w:widowControl w:val="0"/>
              <w:spacing w:before="60"/>
              <w:rPr>
                <w:szCs w:val="20"/>
              </w:rPr>
            </w:pPr>
          </w:p>
        </w:tc>
        <w:tc>
          <w:tcPr>
            <w:tcW w:w="2074" w:type="dxa"/>
          </w:tcPr>
          <w:p w14:paraId="4F5DDA02" w14:textId="77777777" w:rsidR="00BC0E7E" w:rsidRPr="00BC0E7E" w:rsidRDefault="00944B8F" w:rsidP="00BC0E7E">
            <w:pPr>
              <w:widowControl w:val="0"/>
              <w:spacing w:before="60"/>
              <w:rPr>
                <w:szCs w:val="20"/>
              </w:rPr>
            </w:pPr>
            <w:r w:rsidRPr="00BC0E7E">
              <w:rPr>
                <w:szCs w:val="20"/>
              </w:rPr>
              <w:t>Rare</w:t>
            </w:r>
          </w:p>
        </w:tc>
        <w:tc>
          <w:tcPr>
            <w:tcW w:w="4575" w:type="dxa"/>
          </w:tcPr>
          <w:p w14:paraId="5E8164A1" w14:textId="77777777" w:rsidR="00BC0E7E" w:rsidRPr="00BC0E7E" w:rsidRDefault="00944B8F" w:rsidP="00BC0E7E">
            <w:pPr>
              <w:widowControl w:val="0"/>
              <w:spacing w:before="60"/>
              <w:rPr>
                <w:szCs w:val="20"/>
                <w:vertAlign w:val="superscript"/>
              </w:rPr>
            </w:pPr>
            <w:r>
              <w:rPr>
                <w:szCs w:val="20"/>
              </w:rPr>
              <w:t>A</w:t>
            </w:r>
            <w:r w:rsidRPr="00BC0E7E">
              <w:rPr>
                <w:szCs w:val="20"/>
              </w:rPr>
              <w:t>naphylaxis</w:t>
            </w:r>
            <w:r w:rsidRPr="00BC0E7E">
              <w:rPr>
                <w:szCs w:val="20"/>
                <w:vertAlign w:val="superscript"/>
              </w:rPr>
              <w:t>1)</w:t>
            </w:r>
          </w:p>
          <w:p w14:paraId="24FE4F87" w14:textId="77777777" w:rsidR="00BC0E7E" w:rsidRPr="00BC0E7E" w:rsidRDefault="00BC0E7E" w:rsidP="00BC0E7E">
            <w:pPr>
              <w:widowControl w:val="0"/>
              <w:spacing w:before="60"/>
              <w:rPr>
                <w:szCs w:val="20"/>
              </w:rPr>
            </w:pPr>
          </w:p>
        </w:tc>
      </w:tr>
      <w:tr w:rsidR="00C6578C" w14:paraId="3B3FD0CB" w14:textId="77777777" w:rsidTr="000244DF">
        <w:tc>
          <w:tcPr>
            <w:tcW w:w="2600" w:type="dxa"/>
            <w:vMerge w:val="restart"/>
          </w:tcPr>
          <w:p w14:paraId="1A66AF15" w14:textId="77777777" w:rsidR="00BC0E7E" w:rsidRPr="00BC0E7E" w:rsidRDefault="00944B8F" w:rsidP="00BC0E7E">
            <w:pPr>
              <w:widowControl w:val="0"/>
              <w:spacing w:before="60"/>
              <w:rPr>
                <w:szCs w:val="20"/>
              </w:rPr>
            </w:pPr>
            <w:r w:rsidRPr="00BC0E7E">
              <w:rPr>
                <w:szCs w:val="20"/>
              </w:rPr>
              <w:t>Metabolism and nutrition disorders</w:t>
            </w:r>
          </w:p>
        </w:tc>
        <w:tc>
          <w:tcPr>
            <w:tcW w:w="2074" w:type="dxa"/>
          </w:tcPr>
          <w:p w14:paraId="7057667B" w14:textId="77777777" w:rsidR="00BC0E7E" w:rsidRPr="00BC0E7E" w:rsidRDefault="00944B8F" w:rsidP="00BC0E7E">
            <w:pPr>
              <w:widowControl w:val="0"/>
              <w:spacing w:before="60"/>
              <w:rPr>
                <w:szCs w:val="20"/>
              </w:rPr>
            </w:pPr>
            <w:r w:rsidRPr="00BC0E7E">
              <w:rPr>
                <w:szCs w:val="20"/>
              </w:rPr>
              <w:t>Very common</w:t>
            </w:r>
          </w:p>
          <w:p w14:paraId="6403832E" w14:textId="77777777" w:rsidR="00BC0E7E" w:rsidRPr="00BC0E7E" w:rsidRDefault="00BC0E7E" w:rsidP="00BC0E7E">
            <w:pPr>
              <w:widowControl w:val="0"/>
              <w:spacing w:before="60"/>
              <w:rPr>
                <w:szCs w:val="20"/>
              </w:rPr>
            </w:pPr>
          </w:p>
        </w:tc>
        <w:tc>
          <w:tcPr>
            <w:tcW w:w="4575" w:type="dxa"/>
          </w:tcPr>
          <w:p w14:paraId="75CC5758" w14:textId="77777777" w:rsidR="00BC0E7E" w:rsidRPr="00BC0E7E" w:rsidRDefault="00944B8F" w:rsidP="00BC0E7E">
            <w:pPr>
              <w:widowControl w:val="0"/>
              <w:spacing w:before="60"/>
              <w:rPr>
                <w:szCs w:val="20"/>
              </w:rPr>
            </w:pPr>
            <w:r>
              <w:rPr>
                <w:szCs w:val="20"/>
              </w:rPr>
              <w:t>L</w:t>
            </w:r>
            <w:r w:rsidRPr="00BC0E7E">
              <w:rPr>
                <w:szCs w:val="20"/>
              </w:rPr>
              <w:t>ipids increased</w:t>
            </w:r>
          </w:p>
        </w:tc>
      </w:tr>
      <w:tr w:rsidR="00C6578C" w14:paraId="118B104C" w14:textId="77777777" w:rsidTr="000244DF">
        <w:trPr>
          <w:trHeight w:val="2687"/>
        </w:trPr>
        <w:tc>
          <w:tcPr>
            <w:tcW w:w="2600" w:type="dxa"/>
            <w:vMerge/>
          </w:tcPr>
          <w:p w14:paraId="1A39BF1C" w14:textId="77777777" w:rsidR="00BC0E7E" w:rsidRPr="00BC0E7E" w:rsidRDefault="00BC0E7E" w:rsidP="00BC0E7E">
            <w:pPr>
              <w:widowControl w:val="0"/>
              <w:spacing w:before="60"/>
              <w:rPr>
                <w:szCs w:val="20"/>
              </w:rPr>
            </w:pPr>
          </w:p>
        </w:tc>
        <w:tc>
          <w:tcPr>
            <w:tcW w:w="2074" w:type="dxa"/>
          </w:tcPr>
          <w:p w14:paraId="346553F6" w14:textId="77777777" w:rsidR="00BC0E7E" w:rsidRPr="00BC0E7E" w:rsidRDefault="00944B8F" w:rsidP="00BC0E7E">
            <w:pPr>
              <w:widowControl w:val="0"/>
              <w:spacing w:before="60"/>
              <w:rPr>
                <w:szCs w:val="20"/>
              </w:rPr>
            </w:pPr>
            <w:r w:rsidRPr="00BC0E7E">
              <w:rPr>
                <w:szCs w:val="20"/>
              </w:rPr>
              <w:t>Common</w:t>
            </w:r>
          </w:p>
        </w:tc>
        <w:tc>
          <w:tcPr>
            <w:tcW w:w="4575" w:type="dxa"/>
          </w:tcPr>
          <w:p w14:paraId="2E52E673" w14:textId="77777777" w:rsidR="00BC0E7E" w:rsidRPr="00BC0E7E" w:rsidRDefault="00944B8F" w:rsidP="00BC0E7E">
            <w:pPr>
              <w:widowControl w:val="0"/>
              <w:spacing w:before="60"/>
              <w:rPr>
                <w:szCs w:val="20"/>
              </w:rPr>
            </w:pPr>
            <w:r>
              <w:rPr>
                <w:szCs w:val="20"/>
              </w:rPr>
              <w:t>H</w:t>
            </w:r>
            <w:r w:rsidRPr="00BC0E7E">
              <w:rPr>
                <w:szCs w:val="20"/>
              </w:rPr>
              <w:t xml:space="preserve">ypokalaemia, </w:t>
            </w:r>
          </w:p>
          <w:p w14:paraId="3D5F9AB3" w14:textId="77777777" w:rsidR="00BC0E7E" w:rsidRPr="00BC0E7E" w:rsidRDefault="00944B8F" w:rsidP="00BC0E7E">
            <w:pPr>
              <w:widowControl w:val="0"/>
              <w:spacing w:before="60"/>
              <w:rPr>
                <w:szCs w:val="20"/>
              </w:rPr>
            </w:pPr>
            <w:r w:rsidRPr="00BC0E7E">
              <w:rPr>
                <w:szCs w:val="20"/>
              </w:rPr>
              <w:t xml:space="preserve">uric acid increased, </w:t>
            </w:r>
          </w:p>
          <w:p w14:paraId="17BEA576" w14:textId="77777777" w:rsidR="00BC0E7E" w:rsidRPr="00BC0E7E" w:rsidRDefault="00944B8F" w:rsidP="00BC0E7E">
            <w:pPr>
              <w:widowControl w:val="0"/>
              <w:spacing w:before="60"/>
              <w:rPr>
                <w:szCs w:val="20"/>
              </w:rPr>
            </w:pPr>
            <w:r w:rsidRPr="00BC0E7E">
              <w:rPr>
                <w:szCs w:val="20"/>
              </w:rPr>
              <w:t>blood sodium abnormal,</w:t>
            </w:r>
          </w:p>
          <w:p w14:paraId="07DE70F1" w14:textId="77777777" w:rsidR="00BC0E7E" w:rsidRPr="00BC0E7E" w:rsidRDefault="00944B8F" w:rsidP="00BC0E7E">
            <w:pPr>
              <w:widowControl w:val="0"/>
              <w:spacing w:before="60"/>
              <w:rPr>
                <w:szCs w:val="20"/>
              </w:rPr>
            </w:pPr>
            <w:r w:rsidRPr="00BC0E7E">
              <w:rPr>
                <w:szCs w:val="20"/>
              </w:rPr>
              <w:t>hypocalcaemia,</w:t>
            </w:r>
          </w:p>
          <w:p w14:paraId="7B9F958E" w14:textId="77777777" w:rsidR="00BC0E7E" w:rsidRPr="00BC0E7E" w:rsidRDefault="00944B8F" w:rsidP="00BC0E7E">
            <w:pPr>
              <w:widowControl w:val="0"/>
              <w:spacing w:before="60"/>
              <w:rPr>
                <w:szCs w:val="20"/>
              </w:rPr>
            </w:pPr>
            <w:r w:rsidRPr="00BC0E7E">
              <w:rPr>
                <w:szCs w:val="20"/>
              </w:rPr>
              <w:t>hyperglycaemia,</w:t>
            </w:r>
          </w:p>
          <w:p w14:paraId="343957C8" w14:textId="77777777" w:rsidR="00BC0E7E" w:rsidRPr="00BC0E7E" w:rsidRDefault="00944B8F" w:rsidP="00BC0E7E">
            <w:pPr>
              <w:widowControl w:val="0"/>
              <w:spacing w:before="60"/>
              <w:rPr>
                <w:szCs w:val="20"/>
              </w:rPr>
            </w:pPr>
            <w:r w:rsidRPr="00BC0E7E">
              <w:rPr>
                <w:szCs w:val="20"/>
              </w:rPr>
              <w:t>hypophosphatemia,</w:t>
            </w:r>
          </w:p>
          <w:p w14:paraId="16E95C6A" w14:textId="77777777" w:rsidR="00BC0E7E" w:rsidRPr="00BC0E7E" w:rsidRDefault="00944B8F" w:rsidP="00BC0E7E">
            <w:pPr>
              <w:widowControl w:val="0"/>
              <w:spacing w:before="60"/>
              <w:rPr>
                <w:szCs w:val="20"/>
              </w:rPr>
            </w:pPr>
            <w:r w:rsidRPr="00BC0E7E">
              <w:rPr>
                <w:szCs w:val="20"/>
              </w:rPr>
              <w:t>dehydration</w:t>
            </w:r>
          </w:p>
        </w:tc>
      </w:tr>
      <w:tr w:rsidR="00C6578C" w14:paraId="220F174C" w14:textId="77777777" w:rsidTr="00171601">
        <w:tc>
          <w:tcPr>
            <w:tcW w:w="2600" w:type="dxa"/>
          </w:tcPr>
          <w:p w14:paraId="1EFCF985" w14:textId="77777777" w:rsidR="00BC0E7E" w:rsidRPr="00BC0E7E" w:rsidRDefault="00944B8F" w:rsidP="00BC0E7E">
            <w:pPr>
              <w:widowControl w:val="0"/>
              <w:spacing w:before="60"/>
              <w:rPr>
                <w:szCs w:val="20"/>
              </w:rPr>
            </w:pPr>
            <w:r w:rsidRPr="00BC0E7E">
              <w:rPr>
                <w:szCs w:val="20"/>
              </w:rPr>
              <w:t>Psychiatric disorders</w:t>
            </w:r>
          </w:p>
        </w:tc>
        <w:tc>
          <w:tcPr>
            <w:tcW w:w="2074" w:type="dxa"/>
          </w:tcPr>
          <w:p w14:paraId="69FD28D9" w14:textId="77777777" w:rsidR="00BC0E7E" w:rsidRPr="00BC0E7E" w:rsidRDefault="00944B8F" w:rsidP="00BC0E7E">
            <w:pPr>
              <w:widowControl w:val="0"/>
              <w:spacing w:before="60"/>
              <w:rPr>
                <w:szCs w:val="20"/>
              </w:rPr>
            </w:pPr>
            <w:r w:rsidRPr="00BC0E7E">
              <w:rPr>
                <w:szCs w:val="20"/>
              </w:rPr>
              <w:t>Common</w:t>
            </w:r>
          </w:p>
          <w:p w14:paraId="3014FC40" w14:textId="77777777" w:rsidR="00BC0E7E" w:rsidRPr="00BC0E7E" w:rsidRDefault="00BC0E7E" w:rsidP="00BC0E7E">
            <w:pPr>
              <w:widowControl w:val="0"/>
              <w:spacing w:before="60"/>
              <w:rPr>
                <w:szCs w:val="20"/>
              </w:rPr>
            </w:pPr>
          </w:p>
        </w:tc>
        <w:tc>
          <w:tcPr>
            <w:tcW w:w="4575" w:type="dxa"/>
          </w:tcPr>
          <w:p w14:paraId="301E00E9" w14:textId="77777777" w:rsidR="00BC0E7E" w:rsidRPr="00BC0E7E" w:rsidRDefault="00944B8F" w:rsidP="00BC0E7E">
            <w:pPr>
              <w:widowControl w:val="0"/>
              <w:spacing w:before="60"/>
              <w:rPr>
                <w:szCs w:val="20"/>
              </w:rPr>
            </w:pPr>
            <w:r>
              <w:rPr>
                <w:szCs w:val="20"/>
              </w:rPr>
              <w:t>M</w:t>
            </w:r>
            <w:r w:rsidRPr="00BC0E7E">
              <w:rPr>
                <w:szCs w:val="20"/>
              </w:rPr>
              <w:t xml:space="preserve">ood alterations (including depression), </w:t>
            </w:r>
          </w:p>
          <w:p w14:paraId="0A15C66F" w14:textId="77777777" w:rsidR="00BC0E7E" w:rsidRPr="00BC0E7E" w:rsidRDefault="00944B8F" w:rsidP="00BC0E7E">
            <w:pPr>
              <w:widowControl w:val="0"/>
              <w:spacing w:before="60"/>
              <w:rPr>
                <w:szCs w:val="20"/>
              </w:rPr>
            </w:pPr>
            <w:r w:rsidRPr="00BC0E7E">
              <w:rPr>
                <w:szCs w:val="20"/>
              </w:rPr>
              <w:t>anxiety,</w:t>
            </w:r>
          </w:p>
          <w:p w14:paraId="006A575C" w14:textId="77777777" w:rsidR="00BC0E7E" w:rsidRPr="00BC0E7E" w:rsidRDefault="00944B8F" w:rsidP="00BC0E7E">
            <w:pPr>
              <w:widowControl w:val="0"/>
              <w:spacing w:before="60"/>
              <w:rPr>
                <w:szCs w:val="20"/>
              </w:rPr>
            </w:pPr>
            <w:r w:rsidRPr="00BC0E7E">
              <w:rPr>
                <w:szCs w:val="20"/>
              </w:rPr>
              <w:t>insomnia</w:t>
            </w:r>
          </w:p>
          <w:p w14:paraId="0AA61F65" w14:textId="77777777" w:rsidR="00BC0E7E" w:rsidRPr="00BC0E7E" w:rsidRDefault="00BC0E7E" w:rsidP="00BC0E7E">
            <w:pPr>
              <w:widowControl w:val="0"/>
              <w:spacing w:before="60"/>
              <w:rPr>
                <w:szCs w:val="20"/>
              </w:rPr>
            </w:pPr>
          </w:p>
        </w:tc>
      </w:tr>
      <w:tr w:rsidR="00C6578C" w14:paraId="325D3B59" w14:textId="77777777" w:rsidTr="000244DF">
        <w:tc>
          <w:tcPr>
            <w:tcW w:w="2600" w:type="dxa"/>
            <w:vMerge w:val="restart"/>
          </w:tcPr>
          <w:p w14:paraId="37FD8707" w14:textId="77777777" w:rsidR="00BC0E7E" w:rsidRPr="00BC0E7E" w:rsidRDefault="00944B8F" w:rsidP="00BC0E7E">
            <w:pPr>
              <w:widowControl w:val="0"/>
              <w:spacing w:before="60"/>
              <w:rPr>
                <w:szCs w:val="20"/>
                <w:lang w:val="de-DE"/>
              </w:rPr>
            </w:pPr>
            <w:r w:rsidRPr="00BC0E7E">
              <w:rPr>
                <w:szCs w:val="20"/>
                <w:lang w:val="de-DE"/>
              </w:rPr>
              <w:t>Nervous system disorders*</w:t>
            </w:r>
          </w:p>
        </w:tc>
        <w:tc>
          <w:tcPr>
            <w:tcW w:w="2074" w:type="dxa"/>
          </w:tcPr>
          <w:p w14:paraId="1431F385" w14:textId="77777777" w:rsidR="00BC0E7E" w:rsidRPr="00BC0E7E" w:rsidRDefault="00944B8F" w:rsidP="00BC0E7E">
            <w:pPr>
              <w:widowControl w:val="0"/>
              <w:spacing w:before="60"/>
              <w:rPr>
                <w:szCs w:val="20"/>
              </w:rPr>
            </w:pPr>
            <w:r w:rsidRPr="00BC0E7E">
              <w:rPr>
                <w:szCs w:val="20"/>
              </w:rPr>
              <w:t>Very common</w:t>
            </w:r>
          </w:p>
          <w:p w14:paraId="5B57FA8C" w14:textId="77777777" w:rsidR="00BC0E7E" w:rsidRPr="00BC0E7E" w:rsidRDefault="00BC0E7E" w:rsidP="00BC0E7E">
            <w:pPr>
              <w:widowControl w:val="0"/>
              <w:spacing w:before="60"/>
              <w:rPr>
                <w:szCs w:val="20"/>
              </w:rPr>
            </w:pPr>
          </w:p>
        </w:tc>
        <w:tc>
          <w:tcPr>
            <w:tcW w:w="4575" w:type="dxa"/>
          </w:tcPr>
          <w:p w14:paraId="5933C6C4" w14:textId="77777777" w:rsidR="00BC0E7E" w:rsidRPr="00BC0E7E" w:rsidRDefault="00944B8F" w:rsidP="00BC0E7E">
            <w:pPr>
              <w:widowControl w:val="0"/>
              <w:spacing w:before="60"/>
              <w:rPr>
                <w:szCs w:val="20"/>
              </w:rPr>
            </w:pPr>
            <w:r>
              <w:rPr>
                <w:szCs w:val="20"/>
              </w:rPr>
              <w:t>H</w:t>
            </w:r>
            <w:r w:rsidRPr="00BC0E7E">
              <w:rPr>
                <w:szCs w:val="20"/>
              </w:rPr>
              <w:t>eadache</w:t>
            </w:r>
          </w:p>
        </w:tc>
      </w:tr>
      <w:tr w:rsidR="00C6578C" w14:paraId="65BBDD8D" w14:textId="77777777" w:rsidTr="000244DF">
        <w:tc>
          <w:tcPr>
            <w:tcW w:w="2600" w:type="dxa"/>
            <w:vMerge/>
          </w:tcPr>
          <w:p w14:paraId="3DBA9F9F" w14:textId="77777777" w:rsidR="00BC0E7E" w:rsidRPr="00BC0E7E" w:rsidRDefault="00BC0E7E" w:rsidP="00BC0E7E">
            <w:pPr>
              <w:widowControl w:val="0"/>
              <w:spacing w:before="60"/>
              <w:rPr>
                <w:szCs w:val="20"/>
                <w:lang w:val="de-DE"/>
              </w:rPr>
            </w:pPr>
          </w:p>
        </w:tc>
        <w:tc>
          <w:tcPr>
            <w:tcW w:w="2074" w:type="dxa"/>
          </w:tcPr>
          <w:p w14:paraId="3B8A6BE1" w14:textId="77777777" w:rsidR="00BC0E7E" w:rsidRPr="00BC0E7E" w:rsidRDefault="00944B8F" w:rsidP="00BC0E7E">
            <w:pPr>
              <w:widowControl w:val="0"/>
              <w:spacing w:before="60"/>
              <w:rPr>
                <w:szCs w:val="20"/>
              </w:rPr>
            </w:pPr>
            <w:r w:rsidRPr="00BC0E7E">
              <w:rPr>
                <w:szCs w:val="20"/>
              </w:rPr>
              <w:t>Common</w:t>
            </w:r>
          </w:p>
          <w:p w14:paraId="48597DC4" w14:textId="77777777" w:rsidR="00BC0E7E" w:rsidRPr="00BC0E7E" w:rsidRDefault="00BC0E7E" w:rsidP="00BC0E7E">
            <w:pPr>
              <w:widowControl w:val="0"/>
              <w:spacing w:before="60"/>
              <w:rPr>
                <w:szCs w:val="20"/>
              </w:rPr>
            </w:pPr>
          </w:p>
        </w:tc>
        <w:tc>
          <w:tcPr>
            <w:tcW w:w="4575" w:type="dxa"/>
          </w:tcPr>
          <w:p w14:paraId="2C3A98AD" w14:textId="77777777" w:rsidR="00BC0E7E" w:rsidRPr="00BC0E7E" w:rsidRDefault="00944B8F" w:rsidP="00BC0E7E">
            <w:pPr>
              <w:widowControl w:val="0"/>
              <w:spacing w:before="60"/>
              <w:rPr>
                <w:szCs w:val="20"/>
              </w:rPr>
            </w:pPr>
            <w:r>
              <w:rPr>
                <w:szCs w:val="20"/>
              </w:rPr>
              <w:t>P</w:t>
            </w:r>
            <w:r w:rsidRPr="00BC0E7E">
              <w:rPr>
                <w:szCs w:val="20"/>
              </w:rPr>
              <w:t>araesthesias (including hypoesthesia),</w:t>
            </w:r>
          </w:p>
          <w:p w14:paraId="5F0001D5" w14:textId="77777777" w:rsidR="00BC0E7E" w:rsidRPr="00BC0E7E" w:rsidRDefault="00944B8F" w:rsidP="00BC0E7E">
            <w:pPr>
              <w:widowControl w:val="0"/>
              <w:spacing w:before="60"/>
              <w:rPr>
                <w:szCs w:val="20"/>
              </w:rPr>
            </w:pPr>
            <w:r w:rsidRPr="00BC0E7E">
              <w:rPr>
                <w:szCs w:val="20"/>
              </w:rPr>
              <w:t>migraine,</w:t>
            </w:r>
          </w:p>
          <w:p w14:paraId="1E53322E" w14:textId="77777777" w:rsidR="00BC0E7E" w:rsidRPr="00BC0E7E" w:rsidRDefault="00944B8F" w:rsidP="00BC0E7E">
            <w:pPr>
              <w:widowControl w:val="0"/>
              <w:spacing w:before="60"/>
              <w:rPr>
                <w:szCs w:val="20"/>
              </w:rPr>
            </w:pPr>
            <w:r w:rsidRPr="00BC0E7E">
              <w:rPr>
                <w:szCs w:val="20"/>
              </w:rPr>
              <w:t>nerve root compression</w:t>
            </w:r>
          </w:p>
          <w:p w14:paraId="78B8D477" w14:textId="77777777" w:rsidR="00BC0E7E" w:rsidRPr="00BC0E7E" w:rsidRDefault="00BC0E7E" w:rsidP="00BC0E7E">
            <w:pPr>
              <w:widowControl w:val="0"/>
              <w:spacing w:before="60"/>
              <w:rPr>
                <w:szCs w:val="20"/>
              </w:rPr>
            </w:pPr>
          </w:p>
        </w:tc>
      </w:tr>
      <w:tr w:rsidR="00C6578C" w14:paraId="5AC02103" w14:textId="77777777" w:rsidTr="000244DF">
        <w:tc>
          <w:tcPr>
            <w:tcW w:w="2600" w:type="dxa"/>
            <w:vMerge/>
          </w:tcPr>
          <w:p w14:paraId="732F6208" w14:textId="77777777" w:rsidR="00BC0E7E" w:rsidRPr="00BC0E7E" w:rsidRDefault="00BC0E7E" w:rsidP="00BC0E7E">
            <w:pPr>
              <w:widowControl w:val="0"/>
              <w:spacing w:before="60"/>
              <w:jc w:val="center"/>
              <w:rPr>
                <w:b/>
              </w:rPr>
            </w:pPr>
          </w:p>
        </w:tc>
        <w:tc>
          <w:tcPr>
            <w:tcW w:w="2074" w:type="dxa"/>
          </w:tcPr>
          <w:p w14:paraId="7BD0B7C0" w14:textId="77777777" w:rsidR="00BC0E7E" w:rsidRPr="00BC0E7E" w:rsidRDefault="00944B8F" w:rsidP="00BC0E7E">
            <w:pPr>
              <w:widowControl w:val="0"/>
              <w:rPr>
                <w:szCs w:val="20"/>
              </w:rPr>
            </w:pPr>
            <w:r w:rsidRPr="00BC0E7E">
              <w:rPr>
                <w:szCs w:val="20"/>
              </w:rPr>
              <w:t>Uncommon</w:t>
            </w:r>
          </w:p>
          <w:p w14:paraId="112641DB" w14:textId="77777777" w:rsidR="00BC0E7E" w:rsidRPr="00BC0E7E" w:rsidRDefault="00BC0E7E" w:rsidP="00BC0E7E">
            <w:pPr>
              <w:widowControl w:val="0"/>
              <w:rPr>
                <w:szCs w:val="20"/>
              </w:rPr>
            </w:pPr>
          </w:p>
        </w:tc>
        <w:tc>
          <w:tcPr>
            <w:tcW w:w="4575" w:type="dxa"/>
          </w:tcPr>
          <w:p w14:paraId="03B920D7" w14:textId="77777777" w:rsidR="00BC0E7E" w:rsidRPr="00BC0E7E" w:rsidRDefault="00944B8F" w:rsidP="00BC0E7E">
            <w:pPr>
              <w:widowControl w:val="0"/>
              <w:rPr>
                <w:szCs w:val="20"/>
              </w:rPr>
            </w:pPr>
            <w:r>
              <w:rPr>
                <w:szCs w:val="20"/>
              </w:rPr>
              <w:t>C</w:t>
            </w:r>
            <w:r w:rsidRPr="00BC0E7E">
              <w:rPr>
                <w:szCs w:val="20"/>
              </w:rPr>
              <w:t>erebrovascular accident</w:t>
            </w:r>
            <w:r w:rsidRPr="00BC0E7E">
              <w:rPr>
                <w:szCs w:val="20"/>
                <w:vertAlign w:val="superscript"/>
              </w:rPr>
              <w:t>1)</w:t>
            </w:r>
            <w:r w:rsidRPr="00BC0E7E">
              <w:rPr>
                <w:szCs w:val="20"/>
              </w:rPr>
              <w:t>,</w:t>
            </w:r>
          </w:p>
          <w:p w14:paraId="702D8702" w14:textId="77777777" w:rsidR="00BC0E7E" w:rsidRPr="00BC0E7E" w:rsidRDefault="00944B8F" w:rsidP="00BC0E7E">
            <w:pPr>
              <w:widowControl w:val="0"/>
              <w:rPr>
                <w:szCs w:val="20"/>
              </w:rPr>
            </w:pPr>
            <w:r w:rsidRPr="00BC0E7E">
              <w:rPr>
                <w:szCs w:val="20"/>
              </w:rPr>
              <w:t>tremor,</w:t>
            </w:r>
          </w:p>
          <w:p w14:paraId="1DA14CB1" w14:textId="77777777" w:rsidR="00BC0E7E" w:rsidRPr="00BC0E7E" w:rsidRDefault="00944B8F" w:rsidP="00BC0E7E">
            <w:pPr>
              <w:widowControl w:val="0"/>
              <w:rPr>
                <w:szCs w:val="20"/>
              </w:rPr>
            </w:pPr>
            <w:r w:rsidRPr="00BC0E7E">
              <w:rPr>
                <w:szCs w:val="20"/>
              </w:rPr>
              <w:t xml:space="preserve">neuropathy  </w:t>
            </w:r>
          </w:p>
          <w:p w14:paraId="5007EA9B" w14:textId="77777777" w:rsidR="00BC0E7E" w:rsidRPr="00BC0E7E" w:rsidRDefault="00BC0E7E" w:rsidP="00BC0E7E">
            <w:pPr>
              <w:widowControl w:val="0"/>
              <w:rPr>
                <w:szCs w:val="20"/>
              </w:rPr>
            </w:pPr>
          </w:p>
        </w:tc>
      </w:tr>
      <w:tr w:rsidR="00C6578C" w14:paraId="3F68AA60" w14:textId="77777777" w:rsidTr="000244DF">
        <w:trPr>
          <w:trHeight w:val="881"/>
        </w:trPr>
        <w:tc>
          <w:tcPr>
            <w:tcW w:w="2600" w:type="dxa"/>
            <w:vMerge/>
          </w:tcPr>
          <w:p w14:paraId="17BF4EBA" w14:textId="77777777" w:rsidR="00BC0E7E" w:rsidRPr="00BC0E7E" w:rsidRDefault="00BC0E7E" w:rsidP="00BC0E7E">
            <w:pPr>
              <w:widowControl w:val="0"/>
              <w:spacing w:before="60"/>
              <w:jc w:val="center"/>
              <w:rPr>
                <w:b/>
              </w:rPr>
            </w:pPr>
          </w:p>
        </w:tc>
        <w:tc>
          <w:tcPr>
            <w:tcW w:w="2074" w:type="dxa"/>
          </w:tcPr>
          <w:p w14:paraId="213BF8DC" w14:textId="77777777" w:rsidR="00BC0E7E" w:rsidRPr="00BC0E7E" w:rsidRDefault="00944B8F" w:rsidP="00BC0E7E">
            <w:pPr>
              <w:widowControl w:val="0"/>
              <w:rPr>
                <w:szCs w:val="20"/>
              </w:rPr>
            </w:pPr>
            <w:r w:rsidRPr="00BC0E7E">
              <w:rPr>
                <w:szCs w:val="20"/>
              </w:rPr>
              <w:t>Rare</w:t>
            </w:r>
          </w:p>
          <w:p w14:paraId="14C6C7BF" w14:textId="77777777" w:rsidR="00BC0E7E" w:rsidRPr="00BC0E7E" w:rsidRDefault="00BC0E7E" w:rsidP="00BC0E7E">
            <w:pPr>
              <w:widowControl w:val="0"/>
              <w:rPr>
                <w:szCs w:val="20"/>
              </w:rPr>
            </w:pPr>
          </w:p>
        </w:tc>
        <w:tc>
          <w:tcPr>
            <w:tcW w:w="4575" w:type="dxa"/>
          </w:tcPr>
          <w:p w14:paraId="28E9AA3A" w14:textId="77777777" w:rsidR="00BC0E7E" w:rsidRPr="00BC0E7E" w:rsidRDefault="00944B8F" w:rsidP="00BC0E7E">
            <w:pPr>
              <w:widowControl w:val="0"/>
              <w:rPr>
                <w:szCs w:val="20"/>
                <w:lang w:val="fr-FR"/>
              </w:rPr>
            </w:pPr>
            <w:r>
              <w:rPr>
                <w:szCs w:val="20"/>
                <w:lang w:val="fr-FR"/>
              </w:rPr>
              <w:t>M</w:t>
            </w:r>
            <w:r w:rsidRPr="00BC0E7E">
              <w:rPr>
                <w:szCs w:val="20"/>
                <w:lang w:val="fr-FR"/>
              </w:rPr>
              <w:t>ultiple sclerosis,</w:t>
            </w:r>
          </w:p>
          <w:p w14:paraId="2734439F" w14:textId="77777777" w:rsidR="00BC0E7E" w:rsidRPr="00BC0E7E" w:rsidRDefault="00944B8F" w:rsidP="00BC0E7E">
            <w:pPr>
              <w:widowControl w:val="0"/>
              <w:spacing w:before="60"/>
              <w:rPr>
                <w:szCs w:val="20"/>
                <w:vertAlign w:val="superscript"/>
                <w:lang w:val="fr-FR"/>
              </w:rPr>
            </w:pPr>
            <w:r w:rsidRPr="00BC0E7E">
              <w:rPr>
                <w:szCs w:val="20"/>
                <w:lang w:val="fr-FR"/>
              </w:rPr>
              <w:t>demyelinating disorders (e.g. optic neuritis, Guillain-Barré syndrome)</w:t>
            </w:r>
            <w:r w:rsidRPr="00BC0E7E">
              <w:rPr>
                <w:szCs w:val="20"/>
                <w:vertAlign w:val="superscript"/>
                <w:lang w:val="fr-FR"/>
              </w:rPr>
              <w:t xml:space="preserve"> 1)</w:t>
            </w:r>
          </w:p>
          <w:p w14:paraId="1B12E85B" w14:textId="77777777" w:rsidR="00BC0E7E" w:rsidRPr="00BC0E7E" w:rsidRDefault="00BC0E7E" w:rsidP="00BC0E7E">
            <w:pPr>
              <w:widowControl w:val="0"/>
              <w:spacing w:before="60"/>
              <w:rPr>
                <w:szCs w:val="20"/>
                <w:lang w:val="fr-FR"/>
              </w:rPr>
            </w:pPr>
          </w:p>
        </w:tc>
      </w:tr>
      <w:tr w:rsidR="00C6578C" w14:paraId="417B0E35" w14:textId="77777777" w:rsidTr="000244DF">
        <w:tc>
          <w:tcPr>
            <w:tcW w:w="2600" w:type="dxa"/>
            <w:vMerge w:val="restart"/>
          </w:tcPr>
          <w:p w14:paraId="2D5CEB02" w14:textId="77777777" w:rsidR="00BC0E7E" w:rsidRPr="00BC0E7E" w:rsidRDefault="00944B8F" w:rsidP="00BC0E7E">
            <w:pPr>
              <w:widowControl w:val="0"/>
              <w:spacing w:before="60"/>
              <w:rPr>
                <w:szCs w:val="20"/>
              </w:rPr>
            </w:pPr>
            <w:r w:rsidRPr="00BC0E7E">
              <w:rPr>
                <w:szCs w:val="20"/>
              </w:rPr>
              <w:t>Eye disorders</w:t>
            </w:r>
          </w:p>
        </w:tc>
        <w:tc>
          <w:tcPr>
            <w:tcW w:w="2074" w:type="dxa"/>
          </w:tcPr>
          <w:p w14:paraId="60B0862A" w14:textId="77777777" w:rsidR="00BC0E7E" w:rsidRPr="00BC0E7E" w:rsidRDefault="00944B8F" w:rsidP="00BC0E7E">
            <w:pPr>
              <w:widowControl w:val="0"/>
              <w:spacing w:before="60"/>
              <w:rPr>
                <w:szCs w:val="20"/>
              </w:rPr>
            </w:pPr>
            <w:r w:rsidRPr="00BC0E7E">
              <w:rPr>
                <w:szCs w:val="20"/>
              </w:rPr>
              <w:t>Common</w:t>
            </w:r>
          </w:p>
          <w:p w14:paraId="6F17DC4F" w14:textId="77777777" w:rsidR="00BC0E7E" w:rsidRPr="00BC0E7E" w:rsidRDefault="00BC0E7E" w:rsidP="00BC0E7E">
            <w:pPr>
              <w:widowControl w:val="0"/>
              <w:spacing w:before="60"/>
              <w:rPr>
                <w:szCs w:val="20"/>
              </w:rPr>
            </w:pPr>
          </w:p>
        </w:tc>
        <w:tc>
          <w:tcPr>
            <w:tcW w:w="4575" w:type="dxa"/>
          </w:tcPr>
          <w:p w14:paraId="016BC7DA" w14:textId="77777777" w:rsidR="00BC0E7E" w:rsidRPr="00BC0E7E" w:rsidRDefault="00944B8F" w:rsidP="00BC0E7E">
            <w:pPr>
              <w:widowControl w:val="0"/>
              <w:spacing w:before="60"/>
              <w:rPr>
                <w:szCs w:val="20"/>
              </w:rPr>
            </w:pPr>
            <w:r>
              <w:rPr>
                <w:szCs w:val="20"/>
              </w:rPr>
              <w:t>V</w:t>
            </w:r>
            <w:r w:rsidRPr="00BC0E7E">
              <w:rPr>
                <w:szCs w:val="20"/>
              </w:rPr>
              <w:t>isual impairment,</w:t>
            </w:r>
          </w:p>
          <w:p w14:paraId="1EDEA122" w14:textId="77777777" w:rsidR="00BC0E7E" w:rsidRPr="00BC0E7E" w:rsidRDefault="00944B8F" w:rsidP="00BC0E7E">
            <w:pPr>
              <w:widowControl w:val="0"/>
              <w:spacing w:before="60"/>
              <w:rPr>
                <w:szCs w:val="20"/>
              </w:rPr>
            </w:pPr>
            <w:r w:rsidRPr="00BC0E7E">
              <w:rPr>
                <w:szCs w:val="20"/>
              </w:rPr>
              <w:t>conjunctivitis,</w:t>
            </w:r>
          </w:p>
          <w:p w14:paraId="5DD84BE6" w14:textId="77777777" w:rsidR="00BC0E7E" w:rsidRPr="00BC0E7E" w:rsidRDefault="00944B8F" w:rsidP="00BC0E7E">
            <w:pPr>
              <w:widowControl w:val="0"/>
              <w:spacing w:before="60"/>
              <w:rPr>
                <w:szCs w:val="20"/>
              </w:rPr>
            </w:pPr>
            <w:r w:rsidRPr="00BC0E7E">
              <w:rPr>
                <w:szCs w:val="20"/>
              </w:rPr>
              <w:t>blepharitis,</w:t>
            </w:r>
          </w:p>
          <w:p w14:paraId="4DE4A4E3" w14:textId="77777777" w:rsidR="00BC0E7E" w:rsidRPr="00BC0E7E" w:rsidRDefault="00944B8F" w:rsidP="00BC0E7E">
            <w:pPr>
              <w:widowControl w:val="0"/>
              <w:spacing w:before="60"/>
              <w:rPr>
                <w:szCs w:val="20"/>
              </w:rPr>
            </w:pPr>
            <w:r w:rsidRPr="00BC0E7E">
              <w:rPr>
                <w:szCs w:val="20"/>
              </w:rPr>
              <w:t>eye swelling</w:t>
            </w:r>
          </w:p>
          <w:p w14:paraId="57967107" w14:textId="77777777" w:rsidR="00BC0E7E" w:rsidRPr="00BC0E7E" w:rsidRDefault="00BC0E7E" w:rsidP="00BC0E7E">
            <w:pPr>
              <w:widowControl w:val="0"/>
              <w:spacing w:before="60"/>
              <w:rPr>
                <w:szCs w:val="20"/>
              </w:rPr>
            </w:pPr>
          </w:p>
        </w:tc>
      </w:tr>
      <w:tr w:rsidR="00C6578C" w14:paraId="5488CF50" w14:textId="77777777" w:rsidTr="000244DF">
        <w:tc>
          <w:tcPr>
            <w:tcW w:w="2600" w:type="dxa"/>
            <w:vMerge/>
          </w:tcPr>
          <w:p w14:paraId="28DCD9FA" w14:textId="77777777" w:rsidR="00BC0E7E" w:rsidRPr="00BC0E7E" w:rsidRDefault="00BC0E7E" w:rsidP="00BC0E7E">
            <w:pPr>
              <w:widowControl w:val="0"/>
              <w:spacing w:before="60"/>
              <w:jc w:val="center"/>
              <w:rPr>
                <w:b/>
              </w:rPr>
            </w:pPr>
          </w:p>
        </w:tc>
        <w:tc>
          <w:tcPr>
            <w:tcW w:w="2074" w:type="dxa"/>
          </w:tcPr>
          <w:p w14:paraId="3BA313AD" w14:textId="77777777" w:rsidR="00BC0E7E" w:rsidRPr="00BC0E7E" w:rsidRDefault="00944B8F" w:rsidP="00BC0E7E">
            <w:pPr>
              <w:widowControl w:val="0"/>
              <w:rPr>
                <w:szCs w:val="20"/>
                <w:lang w:val="fr-FR"/>
              </w:rPr>
            </w:pPr>
            <w:r w:rsidRPr="00BC0E7E">
              <w:rPr>
                <w:szCs w:val="20"/>
                <w:lang w:val="fr-FR"/>
              </w:rPr>
              <w:t>Uncommon</w:t>
            </w:r>
          </w:p>
        </w:tc>
        <w:tc>
          <w:tcPr>
            <w:tcW w:w="4575" w:type="dxa"/>
          </w:tcPr>
          <w:p w14:paraId="7A36B51A" w14:textId="77777777" w:rsidR="00BC0E7E" w:rsidRPr="00BC0E7E" w:rsidRDefault="00944B8F" w:rsidP="00BC0E7E">
            <w:pPr>
              <w:widowControl w:val="0"/>
              <w:rPr>
                <w:szCs w:val="20"/>
              </w:rPr>
            </w:pPr>
            <w:r>
              <w:rPr>
                <w:szCs w:val="20"/>
              </w:rPr>
              <w:t>D</w:t>
            </w:r>
            <w:r w:rsidRPr="00BC0E7E">
              <w:rPr>
                <w:szCs w:val="20"/>
              </w:rPr>
              <w:t>iplopia</w:t>
            </w:r>
          </w:p>
          <w:p w14:paraId="1FCE9DCF" w14:textId="77777777" w:rsidR="00BC0E7E" w:rsidRPr="00BC0E7E" w:rsidRDefault="00BC0E7E" w:rsidP="00BC0E7E">
            <w:pPr>
              <w:widowControl w:val="0"/>
              <w:rPr>
                <w:szCs w:val="20"/>
              </w:rPr>
            </w:pPr>
          </w:p>
        </w:tc>
      </w:tr>
      <w:tr w:rsidR="00C6578C" w14:paraId="6C2A0401" w14:textId="77777777" w:rsidTr="000244DF">
        <w:tc>
          <w:tcPr>
            <w:tcW w:w="2600" w:type="dxa"/>
            <w:vMerge w:val="restart"/>
          </w:tcPr>
          <w:p w14:paraId="1F8603FC" w14:textId="77777777" w:rsidR="00BC0E7E" w:rsidRPr="00BC0E7E" w:rsidRDefault="00944B8F" w:rsidP="00BC0E7E">
            <w:pPr>
              <w:widowControl w:val="0"/>
              <w:spacing w:before="60"/>
              <w:rPr>
                <w:szCs w:val="20"/>
              </w:rPr>
            </w:pPr>
            <w:r w:rsidRPr="00BC0E7E">
              <w:rPr>
                <w:szCs w:val="20"/>
              </w:rPr>
              <w:t xml:space="preserve">Ear and labyrinth disorders </w:t>
            </w:r>
          </w:p>
          <w:p w14:paraId="73539ECE" w14:textId="77777777" w:rsidR="00BC0E7E" w:rsidRPr="00BC0E7E" w:rsidRDefault="00BC0E7E" w:rsidP="00BC0E7E">
            <w:pPr>
              <w:widowControl w:val="0"/>
              <w:spacing w:before="60"/>
              <w:rPr>
                <w:szCs w:val="20"/>
              </w:rPr>
            </w:pPr>
          </w:p>
        </w:tc>
        <w:tc>
          <w:tcPr>
            <w:tcW w:w="2074" w:type="dxa"/>
          </w:tcPr>
          <w:p w14:paraId="6A0030E1" w14:textId="77777777" w:rsidR="00BC0E7E" w:rsidRPr="00BC0E7E" w:rsidRDefault="00944B8F" w:rsidP="00BC0E7E">
            <w:pPr>
              <w:widowControl w:val="0"/>
              <w:spacing w:before="60"/>
              <w:rPr>
                <w:szCs w:val="20"/>
              </w:rPr>
            </w:pPr>
            <w:r w:rsidRPr="00BC0E7E">
              <w:rPr>
                <w:szCs w:val="20"/>
              </w:rPr>
              <w:t>Common</w:t>
            </w:r>
          </w:p>
          <w:p w14:paraId="2460253F" w14:textId="77777777" w:rsidR="00BC0E7E" w:rsidRPr="00BC0E7E" w:rsidRDefault="00BC0E7E" w:rsidP="00BC0E7E">
            <w:pPr>
              <w:widowControl w:val="0"/>
              <w:spacing w:before="60"/>
              <w:rPr>
                <w:szCs w:val="20"/>
              </w:rPr>
            </w:pPr>
          </w:p>
        </w:tc>
        <w:tc>
          <w:tcPr>
            <w:tcW w:w="4575" w:type="dxa"/>
          </w:tcPr>
          <w:p w14:paraId="17819EE2" w14:textId="77777777" w:rsidR="00BC0E7E" w:rsidRPr="00BC0E7E" w:rsidRDefault="00944B8F" w:rsidP="00BC0E7E">
            <w:pPr>
              <w:widowControl w:val="0"/>
              <w:spacing w:before="60"/>
              <w:rPr>
                <w:szCs w:val="20"/>
              </w:rPr>
            </w:pPr>
            <w:r>
              <w:rPr>
                <w:szCs w:val="20"/>
              </w:rPr>
              <w:t>V</w:t>
            </w:r>
            <w:r w:rsidRPr="00BC0E7E">
              <w:rPr>
                <w:szCs w:val="20"/>
              </w:rPr>
              <w:t>ertigo</w:t>
            </w:r>
          </w:p>
          <w:p w14:paraId="62B8F208" w14:textId="77777777" w:rsidR="00BC0E7E" w:rsidRPr="00BC0E7E" w:rsidRDefault="00BC0E7E" w:rsidP="00BC0E7E">
            <w:pPr>
              <w:widowControl w:val="0"/>
              <w:spacing w:before="60"/>
              <w:rPr>
                <w:szCs w:val="20"/>
              </w:rPr>
            </w:pPr>
          </w:p>
        </w:tc>
      </w:tr>
      <w:tr w:rsidR="00C6578C" w14:paraId="51432E5E" w14:textId="77777777" w:rsidTr="000244DF">
        <w:tc>
          <w:tcPr>
            <w:tcW w:w="2600" w:type="dxa"/>
            <w:vMerge/>
          </w:tcPr>
          <w:p w14:paraId="22E8982C" w14:textId="77777777" w:rsidR="00BC0E7E" w:rsidRPr="00BC0E7E" w:rsidRDefault="00BC0E7E" w:rsidP="00BC0E7E">
            <w:pPr>
              <w:widowControl w:val="0"/>
              <w:spacing w:before="60"/>
              <w:jc w:val="center"/>
              <w:rPr>
                <w:b/>
              </w:rPr>
            </w:pPr>
          </w:p>
        </w:tc>
        <w:tc>
          <w:tcPr>
            <w:tcW w:w="2074" w:type="dxa"/>
          </w:tcPr>
          <w:p w14:paraId="5022828F" w14:textId="77777777" w:rsidR="00BC0E7E" w:rsidRPr="00BC0E7E" w:rsidRDefault="00944B8F" w:rsidP="00BC0E7E">
            <w:pPr>
              <w:widowControl w:val="0"/>
              <w:rPr>
                <w:szCs w:val="20"/>
              </w:rPr>
            </w:pPr>
            <w:r w:rsidRPr="00BC0E7E">
              <w:rPr>
                <w:szCs w:val="20"/>
              </w:rPr>
              <w:t>Uncommon</w:t>
            </w:r>
          </w:p>
          <w:p w14:paraId="56F79917" w14:textId="77777777" w:rsidR="00BC0E7E" w:rsidRPr="00BC0E7E" w:rsidRDefault="00BC0E7E" w:rsidP="00BC0E7E">
            <w:pPr>
              <w:widowControl w:val="0"/>
              <w:rPr>
                <w:szCs w:val="20"/>
              </w:rPr>
            </w:pPr>
          </w:p>
        </w:tc>
        <w:tc>
          <w:tcPr>
            <w:tcW w:w="4575" w:type="dxa"/>
          </w:tcPr>
          <w:p w14:paraId="73B8EBD5" w14:textId="77777777" w:rsidR="00BC0E7E" w:rsidRPr="00BC0E7E" w:rsidRDefault="00944B8F" w:rsidP="00BC0E7E">
            <w:pPr>
              <w:widowControl w:val="0"/>
              <w:rPr>
                <w:szCs w:val="20"/>
              </w:rPr>
            </w:pPr>
            <w:r>
              <w:rPr>
                <w:szCs w:val="20"/>
              </w:rPr>
              <w:t>D</w:t>
            </w:r>
            <w:r w:rsidRPr="00BC0E7E">
              <w:rPr>
                <w:szCs w:val="20"/>
              </w:rPr>
              <w:t xml:space="preserve">eafness, </w:t>
            </w:r>
          </w:p>
          <w:p w14:paraId="183C3A79" w14:textId="77777777" w:rsidR="00BC0E7E" w:rsidRPr="00BC0E7E" w:rsidRDefault="00944B8F" w:rsidP="00BC0E7E">
            <w:pPr>
              <w:widowControl w:val="0"/>
              <w:rPr>
                <w:szCs w:val="20"/>
              </w:rPr>
            </w:pPr>
            <w:r w:rsidRPr="00BC0E7E">
              <w:rPr>
                <w:szCs w:val="20"/>
              </w:rPr>
              <w:t>tinnitus</w:t>
            </w:r>
          </w:p>
          <w:p w14:paraId="599C039B" w14:textId="77777777" w:rsidR="00BC0E7E" w:rsidRPr="00BC0E7E" w:rsidRDefault="00BC0E7E" w:rsidP="00BC0E7E">
            <w:pPr>
              <w:widowControl w:val="0"/>
              <w:rPr>
                <w:szCs w:val="20"/>
              </w:rPr>
            </w:pPr>
          </w:p>
        </w:tc>
      </w:tr>
      <w:tr w:rsidR="00C6578C" w14:paraId="0F3C0C2A" w14:textId="77777777" w:rsidTr="000244DF">
        <w:tc>
          <w:tcPr>
            <w:tcW w:w="2600" w:type="dxa"/>
            <w:vMerge w:val="restart"/>
          </w:tcPr>
          <w:p w14:paraId="1956BCEB" w14:textId="77777777" w:rsidR="00BC0E7E" w:rsidRPr="00BC0E7E" w:rsidRDefault="00944B8F" w:rsidP="00BC0E7E">
            <w:pPr>
              <w:widowControl w:val="0"/>
              <w:spacing w:before="60"/>
              <w:rPr>
                <w:szCs w:val="20"/>
              </w:rPr>
            </w:pPr>
            <w:r w:rsidRPr="00BC0E7E">
              <w:rPr>
                <w:szCs w:val="20"/>
              </w:rPr>
              <w:lastRenderedPageBreak/>
              <w:t xml:space="preserve">Cardiac disorders* </w:t>
            </w:r>
          </w:p>
        </w:tc>
        <w:tc>
          <w:tcPr>
            <w:tcW w:w="2074" w:type="dxa"/>
          </w:tcPr>
          <w:p w14:paraId="2F9A4502" w14:textId="77777777" w:rsidR="00BC0E7E" w:rsidRPr="00BC0E7E" w:rsidRDefault="00944B8F" w:rsidP="00BC0E7E">
            <w:pPr>
              <w:widowControl w:val="0"/>
              <w:spacing w:before="60"/>
              <w:rPr>
                <w:szCs w:val="20"/>
              </w:rPr>
            </w:pPr>
            <w:r w:rsidRPr="00BC0E7E">
              <w:rPr>
                <w:szCs w:val="20"/>
              </w:rPr>
              <w:t>Common</w:t>
            </w:r>
          </w:p>
        </w:tc>
        <w:tc>
          <w:tcPr>
            <w:tcW w:w="4575" w:type="dxa"/>
          </w:tcPr>
          <w:p w14:paraId="4C563C10" w14:textId="77777777" w:rsidR="00BC0E7E" w:rsidRPr="00BC0E7E" w:rsidRDefault="00944B8F" w:rsidP="00BC0E7E">
            <w:pPr>
              <w:widowControl w:val="0"/>
              <w:spacing w:before="60"/>
              <w:rPr>
                <w:szCs w:val="20"/>
              </w:rPr>
            </w:pPr>
            <w:r>
              <w:rPr>
                <w:szCs w:val="20"/>
              </w:rPr>
              <w:t>T</w:t>
            </w:r>
            <w:r w:rsidRPr="00BC0E7E">
              <w:rPr>
                <w:szCs w:val="20"/>
              </w:rPr>
              <w:t>achycardia</w:t>
            </w:r>
          </w:p>
          <w:p w14:paraId="234AFF97" w14:textId="77777777" w:rsidR="00BC0E7E" w:rsidRPr="00BC0E7E" w:rsidRDefault="00BC0E7E" w:rsidP="00BC0E7E">
            <w:pPr>
              <w:widowControl w:val="0"/>
              <w:spacing w:before="60"/>
              <w:rPr>
                <w:szCs w:val="20"/>
              </w:rPr>
            </w:pPr>
          </w:p>
        </w:tc>
      </w:tr>
      <w:tr w:rsidR="00C6578C" w14:paraId="57DF94AD" w14:textId="77777777" w:rsidTr="000244DF">
        <w:tc>
          <w:tcPr>
            <w:tcW w:w="2600" w:type="dxa"/>
            <w:vMerge/>
          </w:tcPr>
          <w:p w14:paraId="0DAB659A" w14:textId="77777777" w:rsidR="00BC0E7E" w:rsidRPr="00BC0E7E" w:rsidRDefault="00BC0E7E" w:rsidP="00BC0E7E">
            <w:pPr>
              <w:widowControl w:val="0"/>
              <w:spacing w:before="60"/>
              <w:rPr>
                <w:szCs w:val="20"/>
              </w:rPr>
            </w:pPr>
          </w:p>
        </w:tc>
        <w:tc>
          <w:tcPr>
            <w:tcW w:w="2074" w:type="dxa"/>
          </w:tcPr>
          <w:p w14:paraId="03657D38" w14:textId="77777777" w:rsidR="00BC0E7E" w:rsidRPr="00BC0E7E" w:rsidRDefault="00944B8F" w:rsidP="00BC0E7E">
            <w:pPr>
              <w:widowControl w:val="0"/>
              <w:spacing w:before="60"/>
              <w:rPr>
                <w:szCs w:val="20"/>
              </w:rPr>
            </w:pPr>
            <w:r w:rsidRPr="00BC0E7E">
              <w:rPr>
                <w:szCs w:val="20"/>
              </w:rPr>
              <w:t>Uncommon</w:t>
            </w:r>
          </w:p>
          <w:p w14:paraId="678190A1" w14:textId="77777777" w:rsidR="00BC0E7E" w:rsidRPr="00BC0E7E" w:rsidRDefault="00BC0E7E" w:rsidP="00BC0E7E">
            <w:pPr>
              <w:widowControl w:val="0"/>
              <w:spacing w:before="60"/>
              <w:rPr>
                <w:szCs w:val="20"/>
              </w:rPr>
            </w:pPr>
          </w:p>
        </w:tc>
        <w:tc>
          <w:tcPr>
            <w:tcW w:w="4575" w:type="dxa"/>
          </w:tcPr>
          <w:p w14:paraId="70964EAC" w14:textId="77777777" w:rsidR="00BC0E7E" w:rsidRPr="00BC0E7E" w:rsidRDefault="00944B8F" w:rsidP="00BC0E7E">
            <w:pPr>
              <w:widowControl w:val="0"/>
              <w:spacing w:before="60"/>
              <w:rPr>
                <w:szCs w:val="20"/>
              </w:rPr>
            </w:pPr>
            <w:r>
              <w:rPr>
                <w:szCs w:val="20"/>
              </w:rPr>
              <w:t>M</w:t>
            </w:r>
            <w:r w:rsidRPr="00BC0E7E">
              <w:rPr>
                <w:szCs w:val="20"/>
              </w:rPr>
              <w:t>yocardial infarction</w:t>
            </w:r>
            <w:r w:rsidRPr="00BC0E7E">
              <w:rPr>
                <w:szCs w:val="20"/>
                <w:vertAlign w:val="superscript"/>
              </w:rPr>
              <w:t>1)</w:t>
            </w:r>
            <w:r w:rsidRPr="00BC0E7E">
              <w:rPr>
                <w:szCs w:val="20"/>
              </w:rPr>
              <w:t>,</w:t>
            </w:r>
          </w:p>
          <w:p w14:paraId="515502B0" w14:textId="77777777" w:rsidR="00BC0E7E" w:rsidRPr="00BC0E7E" w:rsidRDefault="00944B8F" w:rsidP="00BC0E7E">
            <w:pPr>
              <w:widowControl w:val="0"/>
              <w:spacing w:before="60"/>
              <w:rPr>
                <w:szCs w:val="20"/>
              </w:rPr>
            </w:pPr>
            <w:r w:rsidRPr="00BC0E7E">
              <w:rPr>
                <w:szCs w:val="20"/>
              </w:rPr>
              <w:t>arrhythmia,</w:t>
            </w:r>
          </w:p>
          <w:p w14:paraId="4554EA7C" w14:textId="77777777" w:rsidR="00BC0E7E" w:rsidRPr="00BC0E7E" w:rsidRDefault="00944B8F" w:rsidP="00BC0E7E">
            <w:pPr>
              <w:widowControl w:val="0"/>
              <w:spacing w:before="60"/>
              <w:rPr>
                <w:szCs w:val="20"/>
              </w:rPr>
            </w:pPr>
            <w:r w:rsidRPr="00BC0E7E">
              <w:rPr>
                <w:szCs w:val="20"/>
              </w:rPr>
              <w:t>congestive heart failure</w:t>
            </w:r>
          </w:p>
          <w:p w14:paraId="65B47B00" w14:textId="77777777" w:rsidR="00BC0E7E" w:rsidRPr="00BC0E7E" w:rsidRDefault="00BC0E7E" w:rsidP="00BC0E7E">
            <w:pPr>
              <w:widowControl w:val="0"/>
              <w:spacing w:before="60"/>
              <w:rPr>
                <w:szCs w:val="20"/>
              </w:rPr>
            </w:pPr>
          </w:p>
        </w:tc>
      </w:tr>
      <w:tr w:rsidR="00C6578C" w14:paraId="4257ADA5" w14:textId="77777777" w:rsidTr="000244DF">
        <w:tc>
          <w:tcPr>
            <w:tcW w:w="2600" w:type="dxa"/>
            <w:vMerge/>
          </w:tcPr>
          <w:p w14:paraId="37579D58" w14:textId="77777777" w:rsidR="00BC0E7E" w:rsidRPr="00BC0E7E" w:rsidRDefault="00BC0E7E" w:rsidP="00BC0E7E">
            <w:pPr>
              <w:widowControl w:val="0"/>
              <w:spacing w:before="60"/>
              <w:jc w:val="center"/>
              <w:rPr>
                <w:b/>
              </w:rPr>
            </w:pPr>
          </w:p>
        </w:tc>
        <w:tc>
          <w:tcPr>
            <w:tcW w:w="2074" w:type="dxa"/>
          </w:tcPr>
          <w:p w14:paraId="373C1368" w14:textId="77777777" w:rsidR="00BC0E7E" w:rsidRPr="00BC0E7E" w:rsidRDefault="00944B8F" w:rsidP="00BC0E7E">
            <w:pPr>
              <w:widowControl w:val="0"/>
              <w:rPr>
                <w:szCs w:val="20"/>
              </w:rPr>
            </w:pPr>
            <w:r w:rsidRPr="00BC0E7E">
              <w:rPr>
                <w:szCs w:val="20"/>
              </w:rPr>
              <w:t>Rare</w:t>
            </w:r>
          </w:p>
          <w:p w14:paraId="16C15FD7" w14:textId="77777777" w:rsidR="00BC0E7E" w:rsidRPr="00BC0E7E" w:rsidRDefault="00BC0E7E" w:rsidP="00BC0E7E">
            <w:pPr>
              <w:widowControl w:val="0"/>
              <w:rPr>
                <w:szCs w:val="20"/>
              </w:rPr>
            </w:pPr>
          </w:p>
        </w:tc>
        <w:tc>
          <w:tcPr>
            <w:tcW w:w="4575" w:type="dxa"/>
          </w:tcPr>
          <w:p w14:paraId="13867388" w14:textId="77777777" w:rsidR="00BC0E7E" w:rsidRPr="00BC0E7E" w:rsidRDefault="00944B8F" w:rsidP="00BC0E7E">
            <w:pPr>
              <w:widowControl w:val="0"/>
              <w:rPr>
                <w:szCs w:val="20"/>
              </w:rPr>
            </w:pPr>
            <w:r>
              <w:rPr>
                <w:szCs w:val="20"/>
              </w:rPr>
              <w:t>C</w:t>
            </w:r>
            <w:r w:rsidRPr="00BC0E7E">
              <w:rPr>
                <w:szCs w:val="20"/>
              </w:rPr>
              <w:t>ardiac arrest</w:t>
            </w:r>
          </w:p>
          <w:p w14:paraId="280AD344" w14:textId="77777777" w:rsidR="00BC0E7E" w:rsidRPr="00BC0E7E" w:rsidRDefault="00BC0E7E" w:rsidP="00BC0E7E">
            <w:pPr>
              <w:widowControl w:val="0"/>
              <w:rPr>
                <w:szCs w:val="20"/>
              </w:rPr>
            </w:pPr>
          </w:p>
        </w:tc>
      </w:tr>
      <w:tr w:rsidR="00C6578C" w14:paraId="4075E73A" w14:textId="77777777" w:rsidTr="000244DF">
        <w:tc>
          <w:tcPr>
            <w:tcW w:w="2600" w:type="dxa"/>
            <w:vMerge w:val="restart"/>
          </w:tcPr>
          <w:p w14:paraId="38AD79E5" w14:textId="77777777" w:rsidR="00BC0E7E" w:rsidRPr="00BC0E7E" w:rsidRDefault="00944B8F" w:rsidP="00BC0E7E">
            <w:pPr>
              <w:widowControl w:val="0"/>
              <w:spacing w:before="60"/>
              <w:rPr>
                <w:szCs w:val="20"/>
              </w:rPr>
            </w:pPr>
            <w:r w:rsidRPr="00BC0E7E">
              <w:rPr>
                <w:szCs w:val="20"/>
              </w:rPr>
              <w:t>Vascular disorders</w:t>
            </w:r>
          </w:p>
        </w:tc>
        <w:tc>
          <w:tcPr>
            <w:tcW w:w="2074" w:type="dxa"/>
          </w:tcPr>
          <w:p w14:paraId="722A0FB1" w14:textId="77777777" w:rsidR="00BC0E7E" w:rsidRPr="00BC0E7E" w:rsidRDefault="00944B8F" w:rsidP="00BC0E7E">
            <w:pPr>
              <w:widowControl w:val="0"/>
              <w:spacing w:before="60"/>
              <w:rPr>
                <w:szCs w:val="20"/>
              </w:rPr>
            </w:pPr>
            <w:r w:rsidRPr="00BC0E7E">
              <w:rPr>
                <w:szCs w:val="20"/>
              </w:rPr>
              <w:t>Common</w:t>
            </w:r>
          </w:p>
          <w:p w14:paraId="52A900C5" w14:textId="77777777" w:rsidR="00BC0E7E" w:rsidRPr="00BC0E7E" w:rsidRDefault="00BC0E7E" w:rsidP="00BC0E7E">
            <w:pPr>
              <w:widowControl w:val="0"/>
              <w:spacing w:before="60"/>
              <w:rPr>
                <w:szCs w:val="20"/>
              </w:rPr>
            </w:pPr>
          </w:p>
        </w:tc>
        <w:tc>
          <w:tcPr>
            <w:tcW w:w="4575" w:type="dxa"/>
          </w:tcPr>
          <w:p w14:paraId="388F6EFE" w14:textId="77777777" w:rsidR="00BC0E7E" w:rsidRPr="00BC0E7E" w:rsidRDefault="00944B8F" w:rsidP="00BC0E7E">
            <w:pPr>
              <w:widowControl w:val="0"/>
              <w:spacing w:before="60"/>
              <w:rPr>
                <w:szCs w:val="20"/>
              </w:rPr>
            </w:pPr>
            <w:r>
              <w:rPr>
                <w:szCs w:val="20"/>
              </w:rPr>
              <w:t>H</w:t>
            </w:r>
            <w:r w:rsidRPr="00BC0E7E">
              <w:rPr>
                <w:szCs w:val="20"/>
              </w:rPr>
              <w:t xml:space="preserve">ypertension, </w:t>
            </w:r>
          </w:p>
          <w:p w14:paraId="71A1CF8D" w14:textId="77777777" w:rsidR="00BC0E7E" w:rsidRPr="00BC0E7E" w:rsidRDefault="00944B8F" w:rsidP="00BC0E7E">
            <w:pPr>
              <w:widowControl w:val="0"/>
              <w:spacing w:before="60"/>
              <w:rPr>
                <w:szCs w:val="20"/>
              </w:rPr>
            </w:pPr>
            <w:r w:rsidRPr="00BC0E7E">
              <w:rPr>
                <w:szCs w:val="20"/>
              </w:rPr>
              <w:t xml:space="preserve">flushing, </w:t>
            </w:r>
          </w:p>
          <w:p w14:paraId="67A446C9" w14:textId="77777777" w:rsidR="00BC0E7E" w:rsidRPr="00BC0E7E" w:rsidRDefault="00944B8F" w:rsidP="00BC0E7E">
            <w:pPr>
              <w:widowControl w:val="0"/>
              <w:spacing w:before="60"/>
              <w:rPr>
                <w:szCs w:val="20"/>
              </w:rPr>
            </w:pPr>
            <w:r w:rsidRPr="00BC0E7E">
              <w:rPr>
                <w:szCs w:val="20"/>
              </w:rPr>
              <w:t>haematoma</w:t>
            </w:r>
          </w:p>
          <w:p w14:paraId="243C82E2" w14:textId="77777777" w:rsidR="00BC0E7E" w:rsidRPr="00BC0E7E" w:rsidRDefault="00BC0E7E" w:rsidP="00BC0E7E">
            <w:pPr>
              <w:widowControl w:val="0"/>
              <w:spacing w:before="60"/>
              <w:rPr>
                <w:szCs w:val="20"/>
              </w:rPr>
            </w:pPr>
          </w:p>
        </w:tc>
      </w:tr>
      <w:tr w:rsidR="00C6578C" w14:paraId="2D04CD2C" w14:textId="77777777" w:rsidTr="000244DF">
        <w:tc>
          <w:tcPr>
            <w:tcW w:w="2600" w:type="dxa"/>
            <w:vMerge/>
          </w:tcPr>
          <w:p w14:paraId="06346EB8" w14:textId="77777777" w:rsidR="00BC0E7E" w:rsidRPr="00BC0E7E" w:rsidRDefault="00BC0E7E" w:rsidP="00BC0E7E">
            <w:pPr>
              <w:widowControl w:val="0"/>
              <w:spacing w:before="60"/>
              <w:rPr>
                <w:szCs w:val="20"/>
              </w:rPr>
            </w:pPr>
          </w:p>
        </w:tc>
        <w:tc>
          <w:tcPr>
            <w:tcW w:w="2074" w:type="dxa"/>
          </w:tcPr>
          <w:p w14:paraId="248849BC" w14:textId="77777777" w:rsidR="00BC0E7E" w:rsidRPr="00BC0E7E" w:rsidRDefault="00944B8F" w:rsidP="00BC0E7E">
            <w:pPr>
              <w:widowControl w:val="0"/>
              <w:rPr>
                <w:szCs w:val="20"/>
              </w:rPr>
            </w:pPr>
            <w:r w:rsidRPr="00BC0E7E">
              <w:rPr>
                <w:szCs w:val="20"/>
              </w:rPr>
              <w:t>Uncommon</w:t>
            </w:r>
          </w:p>
        </w:tc>
        <w:tc>
          <w:tcPr>
            <w:tcW w:w="4575" w:type="dxa"/>
          </w:tcPr>
          <w:p w14:paraId="1B817050" w14:textId="77777777" w:rsidR="00BC0E7E" w:rsidRPr="00BC0E7E" w:rsidRDefault="00944B8F" w:rsidP="00BC0E7E">
            <w:pPr>
              <w:widowControl w:val="0"/>
              <w:rPr>
                <w:szCs w:val="20"/>
              </w:rPr>
            </w:pPr>
            <w:r>
              <w:rPr>
                <w:szCs w:val="20"/>
              </w:rPr>
              <w:t>A</w:t>
            </w:r>
            <w:r w:rsidRPr="00BC0E7E">
              <w:rPr>
                <w:szCs w:val="20"/>
              </w:rPr>
              <w:t>ortic aneurysm,</w:t>
            </w:r>
          </w:p>
          <w:p w14:paraId="4FBE7DAF" w14:textId="77777777" w:rsidR="00BC0E7E" w:rsidRPr="00BC0E7E" w:rsidRDefault="00944B8F" w:rsidP="00BC0E7E">
            <w:pPr>
              <w:widowControl w:val="0"/>
              <w:rPr>
                <w:szCs w:val="20"/>
              </w:rPr>
            </w:pPr>
            <w:r w:rsidRPr="00BC0E7E">
              <w:rPr>
                <w:szCs w:val="20"/>
              </w:rPr>
              <w:t>vascular arterial occlusion,</w:t>
            </w:r>
          </w:p>
          <w:p w14:paraId="59E88D7F" w14:textId="77777777" w:rsidR="00BC0E7E" w:rsidRPr="00BC0E7E" w:rsidRDefault="00944B8F" w:rsidP="00BC0E7E">
            <w:pPr>
              <w:widowControl w:val="0"/>
              <w:rPr>
                <w:szCs w:val="20"/>
              </w:rPr>
            </w:pPr>
            <w:r w:rsidRPr="00BC0E7E">
              <w:rPr>
                <w:szCs w:val="20"/>
              </w:rPr>
              <w:t xml:space="preserve">thrombophlebitis   </w:t>
            </w:r>
          </w:p>
          <w:p w14:paraId="498922B1" w14:textId="77777777" w:rsidR="00BC0E7E" w:rsidRPr="00BC0E7E" w:rsidRDefault="00BC0E7E" w:rsidP="00BC0E7E">
            <w:pPr>
              <w:widowControl w:val="0"/>
              <w:rPr>
                <w:szCs w:val="20"/>
              </w:rPr>
            </w:pPr>
          </w:p>
        </w:tc>
      </w:tr>
      <w:tr w:rsidR="00C6578C" w14:paraId="79C24140" w14:textId="77777777" w:rsidTr="000244DF">
        <w:tc>
          <w:tcPr>
            <w:tcW w:w="2600" w:type="dxa"/>
            <w:vMerge w:val="restart"/>
          </w:tcPr>
          <w:p w14:paraId="2C3FE7E7" w14:textId="77777777" w:rsidR="00BC0E7E" w:rsidRPr="00BC0E7E" w:rsidRDefault="00944B8F" w:rsidP="00BC0E7E">
            <w:pPr>
              <w:widowControl w:val="0"/>
              <w:spacing w:before="60"/>
              <w:rPr>
                <w:szCs w:val="20"/>
              </w:rPr>
            </w:pPr>
            <w:r w:rsidRPr="00BC0E7E">
              <w:rPr>
                <w:szCs w:val="20"/>
              </w:rPr>
              <w:t>Respiratory, thoracic and mediastinal disorders*</w:t>
            </w:r>
          </w:p>
        </w:tc>
        <w:tc>
          <w:tcPr>
            <w:tcW w:w="2074" w:type="dxa"/>
          </w:tcPr>
          <w:p w14:paraId="2AB0575F" w14:textId="77777777" w:rsidR="00BC0E7E" w:rsidRPr="00BC0E7E" w:rsidRDefault="00944B8F" w:rsidP="00BC0E7E">
            <w:pPr>
              <w:widowControl w:val="0"/>
              <w:spacing w:before="60"/>
              <w:rPr>
                <w:szCs w:val="20"/>
              </w:rPr>
            </w:pPr>
            <w:r w:rsidRPr="00BC0E7E">
              <w:rPr>
                <w:szCs w:val="20"/>
              </w:rPr>
              <w:t>Common</w:t>
            </w:r>
          </w:p>
          <w:p w14:paraId="4A1491CE" w14:textId="77777777" w:rsidR="00BC0E7E" w:rsidRPr="00BC0E7E" w:rsidRDefault="00BC0E7E" w:rsidP="00BC0E7E">
            <w:pPr>
              <w:widowControl w:val="0"/>
              <w:spacing w:before="60"/>
              <w:rPr>
                <w:szCs w:val="20"/>
              </w:rPr>
            </w:pPr>
          </w:p>
        </w:tc>
        <w:tc>
          <w:tcPr>
            <w:tcW w:w="4575" w:type="dxa"/>
          </w:tcPr>
          <w:p w14:paraId="122A71D1" w14:textId="77777777" w:rsidR="00BC0E7E" w:rsidRPr="00BC0E7E" w:rsidRDefault="00944B8F" w:rsidP="00BC0E7E">
            <w:pPr>
              <w:widowControl w:val="0"/>
              <w:spacing w:before="60"/>
              <w:rPr>
                <w:szCs w:val="20"/>
              </w:rPr>
            </w:pPr>
            <w:r>
              <w:rPr>
                <w:szCs w:val="20"/>
              </w:rPr>
              <w:t>A</w:t>
            </w:r>
            <w:r w:rsidRPr="00BC0E7E">
              <w:rPr>
                <w:szCs w:val="20"/>
              </w:rPr>
              <w:t>sthma,</w:t>
            </w:r>
          </w:p>
          <w:p w14:paraId="015D1A93" w14:textId="77777777" w:rsidR="00BC0E7E" w:rsidRPr="00BC0E7E" w:rsidRDefault="00944B8F" w:rsidP="00BC0E7E">
            <w:pPr>
              <w:widowControl w:val="0"/>
              <w:spacing w:before="60"/>
              <w:rPr>
                <w:szCs w:val="20"/>
              </w:rPr>
            </w:pPr>
            <w:r w:rsidRPr="00BC0E7E">
              <w:rPr>
                <w:szCs w:val="20"/>
              </w:rPr>
              <w:t>dyspnoea,</w:t>
            </w:r>
          </w:p>
          <w:p w14:paraId="6BD11CFE" w14:textId="77777777" w:rsidR="00BC0E7E" w:rsidRPr="00BC0E7E" w:rsidRDefault="00944B8F" w:rsidP="00BC0E7E">
            <w:pPr>
              <w:widowControl w:val="0"/>
              <w:spacing w:before="60"/>
              <w:rPr>
                <w:szCs w:val="20"/>
              </w:rPr>
            </w:pPr>
            <w:r w:rsidRPr="00BC0E7E">
              <w:rPr>
                <w:szCs w:val="20"/>
              </w:rPr>
              <w:t>cough</w:t>
            </w:r>
          </w:p>
          <w:p w14:paraId="505220D4" w14:textId="77777777" w:rsidR="00BC0E7E" w:rsidRPr="00BC0E7E" w:rsidRDefault="00BC0E7E" w:rsidP="00BC0E7E">
            <w:pPr>
              <w:widowControl w:val="0"/>
              <w:spacing w:before="60"/>
              <w:rPr>
                <w:szCs w:val="20"/>
              </w:rPr>
            </w:pPr>
          </w:p>
        </w:tc>
      </w:tr>
      <w:tr w:rsidR="00C6578C" w14:paraId="5BD28C40" w14:textId="77777777" w:rsidTr="000244DF">
        <w:tc>
          <w:tcPr>
            <w:tcW w:w="2600" w:type="dxa"/>
            <w:vMerge/>
          </w:tcPr>
          <w:p w14:paraId="2C4E2518" w14:textId="77777777" w:rsidR="00BC0E7E" w:rsidRPr="00BC0E7E" w:rsidRDefault="00BC0E7E" w:rsidP="00BC0E7E">
            <w:pPr>
              <w:widowControl w:val="0"/>
              <w:spacing w:before="60"/>
              <w:jc w:val="center"/>
              <w:rPr>
                <w:b/>
              </w:rPr>
            </w:pPr>
          </w:p>
        </w:tc>
        <w:tc>
          <w:tcPr>
            <w:tcW w:w="2074" w:type="dxa"/>
          </w:tcPr>
          <w:p w14:paraId="4CF1D279" w14:textId="77777777" w:rsidR="00BC0E7E" w:rsidRPr="00BC0E7E" w:rsidRDefault="00944B8F" w:rsidP="00BC0E7E">
            <w:pPr>
              <w:widowControl w:val="0"/>
              <w:rPr>
                <w:szCs w:val="20"/>
              </w:rPr>
            </w:pPr>
            <w:r w:rsidRPr="00BC0E7E">
              <w:rPr>
                <w:szCs w:val="20"/>
              </w:rPr>
              <w:t>Uncommon</w:t>
            </w:r>
          </w:p>
          <w:p w14:paraId="7424541B" w14:textId="77777777" w:rsidR="00BC0E7E" w:rsidRPr="00BC0E7E" w:rsidRDefault="00BC0E7E" w:rsidP="00BC0E7E">
            <w:pPr>
              <w:widowControl w:val="0"/>
              <w:rPr>
                <w:szCs w:val="20"/>
              </w:rPr>
            </w:pPr>
          </w:p>
        </w:tc>
        <w:tc>
          <w:tcPr>
            <w:tcW w:w="4575" w:type="dxa"/>
          </w:tcPr>
          <w:p w14:paraId="30BB7C15" w14:textId="77777777" w:rsidR="00BC0E7E" w:rsidRPr="00BC0E7E" w:rsidRDefault="00944B8F" w:rsidP="00BC0E7E">
            <w:pPr>
              <w:widowControl w:val="0"/>
              <w:rPr>
                <w:szCs w:val="20"/>
              </w:rPr>
            </w:pPr>
            <w:r>
              <w:rPr>
                <w:szCs w:val="20"/>
              </w:rPr>
              <w:t>P</w:t>
            </w:r>
            <w:r w:rsidRPr="00BC0E7E">
              <w:rPr>
                <w:szCs w:val="20"/>
              </w:rPr>
              <w:t>ulmonary embolism</w:t>
            </w:r>
            <w:r w:rsidRPr="00BC0E7E">
              <w:rPr>
                <w:szCs w:val="20"/>
                <w:vertAlign w:val="superscript"/>
              </w:rPr>
              <w:t>1)</w:t>
            </w:r>
            <w:r w:rsidRPr="00BC0E7E">
              <w:rPr>
                <w:szCs w:val="20"/>
              </w:rPr>
              <w:t>,</w:t>
            </w:r>
          </w:p>
          <w:p w14:paraId="2393F73D" w14:textId="77777777" w:rsidR="00BC0E7E" w:rsidRPr="00BC0E7E" w:rsidRDefault="00944B8F" w:rsidP="00BC0E7E">
            <w:pPr>
              <w:widowControl w:val="0"/>
              <w:rPr>
                <w:szCs w:val="20"/>
              </w:rPr>
            </w:pPr>
            <w:r w:rsidRPr="00BC0E7E">
              <w:rPr>
                <w:szCs w:val="20"/>
              </w:rPr>
              <w:t xml:space="preserve">interstitial lung disease, </w:t>
            </w:r>
          </w:p>
          <w:p w14:paraId="7E80AF2E" w14:textId="77777777" w:rsidR="00BC0E7E" w:rsidRPr="00BC0E7E" w:rsidRDefault="00944B8F" w:rsidP="00BC0E7E">
            <w:pPr>
              <w:widowControl w:val="0"/>
              <w:rPr>
                <w:szCs w:val="20"/>
              </w:rPr>
            </w:pPr>
            <w:r w:rsidRPr="00BC0E7E">
              <w:rPr>
                <w:szCs w:val="20"/>
              </w:rPr>
              <w:t>chronic obstructive pulmonary disease,</w:t>
            </w:r>
          </w:p>
          <w:p w14:paraId="29CD779D" w14:textId="77777777" w:rsidR="00BC0E7E" w:rsidRPr="00BC0E7E" w:rsidRDefault="00944B8F" w:rsidP="00BC0E7E">
            <w:pPr>
              <w:widowControl w:val="0"/>
              <w:rPr>
                <w:szCs w:val="20"/>
              </w:rPr>
            </w:pPr>
            <w:r w:rsidRPr="00BC0E7E">
              <w:rPr>
                <w:szCs w:val="20"/>
              </w:rPr>
              <w:t>pneumonitis,</w:t>
            </w:r>
          </w:p>
          <w:p w14:paraId="4A729E46" w14:textId="77777777" w:rsidR="00BC0E7E" w:rsidRPr="00BC0E7E" w:rsidRDefault="00944B8F" w:rsidP="00BC0E7E">
            <w:pPr>
              <w:widowControl w:val="0"/>
              <w:rPr>
                <w:szCs w:val="20"/>
              </w:rPr>
            </w:pPr>
            <w:r w:rsidRPr="00BC0E7E">
              <w:rPr>
                <w:szCs w:val="20"/>
              </w:rPr>
              <w:t>pleural effusion</w:t>
            </w:r>
            <w:r w:rsidRPr="00BC0E7E">
              <w:rPr>
                <w:szCs w:val="20"/>
                <w:vertAlign w:val="superscript"/>
              </w:rPr>
              <w:t>1)</w:t>
            </w:r>
          </w:p>
          <w:p w14:paraId="2A2EADE9" w14:textId="77777777" w:rsidR="00BC0E7E" w:rsidRPr="00BC0E7E" w:rsidRDefault="00BC0E7E" w:rsidP="00BC0E7E">
            <w:pPr>
              <w:widowControl w:val="0"/>
              <w:rPr>
                <w:szCs w:val="20"/>
              </w:rPr>
            </w:pPr>
          </w:p>
        </w:tc>
      </w:tr>
      <w:tr w:rsidR="00C6578C" w14:paraId="0566B453" w14:textId="77777777" w:rsidTr="000244DF">
        <w:tc>
          <w:tcPr>
            <w:tcW w:w="2600" w:type="dxa"/>
            <w:vMerge/>
          </w:tcPr>
          <w:p w14:paraId="375B4D77" w14:textId="77777777" w:rsidR="00BC0E7E" w:rsidRPr="00BC0E7E" w:rsidRDefault="00BC0E7E" w:rsidP="00BC0E7E">
            <w:pPr>
              <w:widowControl w:val="0"/>
              <w:spacing w:before="60"/>
              <w:rPr>
                <w:szCs w:val="20"/>
              </w:rPr>
            </w:pPr>
          </w:p>
        </w:tc>
        <w:tc>
          <w:tcPr>
            <w:tcW w:w="2074" w:type="dxa"/>
          </w:tcPr>
          <w:p w14:paraId="44B79C61" w14:textId="77777777" w:rsidR="00BC0E7E" w:rsidRPr="00BC0E7E" w:rsidRDefault="00944B8F" w:rsidP="00BC0E7E">
            <w:pPr>
              <w:widowControl w:val="0"/>
              <w:spacing w:before="60"/>
              <w:rPr>
                <w:szCs w:val="20"/>
              </w:rPr>
            </w:pPr>
            <w:r w:rsidRPr="00BC0E7E">
              <w:rPr>
                <w:szCs w:val="20"/>
              </w:rPr>
              <w:t>Rare</w:t>
            </w:r>
          </w:p>
        </w:tc>
        <w:tc>
          <w:tcPr>
            <w:tcW w:w="4575" w:type="dxa"/>
          </w:tcPr>
          <w:p w14:paraId="52F72063" w14:textId="77777777" w:rsidR="00BC0E7E" w:rsidRPr="00BC0E7E" w:rsidRDefault="00944B8F" w:rsidP="00BC0E7E">
            <w:pPr>
              <w:widowControl w:val="0"/>
              <w:rPr>
                <w:szCs w:val="20"/>
                <w:vertAlign w:val="superscript"/>
              </w:rPr>
            </w:pPr>
            <w:r>
              <w:rPr>
                <w:szCs w:val="20"/>
              </w:rPr>
              <w:t>P</w:t>
            </w:r>
            <w:r w:rsidRPr="00BC0E7E">
              <w:rPr>
                <w:szCs w:val="20"/>
              </w:rPr>
              <w:t>ulmonary fibrosis</w:t>
            </w:r>
            <w:r w:rsidRPr="00BC0E7E">
              <w:rPr>
                <w:szCs w:val="20"/>
                <w:vertAlign w:val="superscript"/>
              </w:rPr>
              <w:t>1)</w:t>
            </w:r>
          </w:p>
          <w:p w14:paraId="6DA24610" w14:textId="77777777" w:rsidR="00BC0E7E" w:rsidRPr="00BC0E7E" w:rsidRDefault="00BC0E7E" w:rsidP="00BC0E7E">
            <w:pPr>
              <w:widowControl w:val="0"/>
              <w:rPr>
                <w:szCs w:val="20"/>
              </w:rPr>
            </w:pPr>
          </w:p>
        </w:tc>
      </w:tr>
      <w:tr w:rsidR="00C6578C" w14:paraId="25E61343" w14:textId="77777777" w:rsidTr="000244DF">
        <w:tc>
          <w:tcPr>
            <w:tcW w:w="2600" w:type="dxa"/>
            <w:vMerge w:val="restart"/>
          </w:tcPr>
          <w:p w14:paraId="502085D4" w14:textId="77777777" w:rsidR="00BC0E7E" w:rsidRPr="00BC0E7E" w:rsidRDefault="00944B8F" w:rsidP="00BC0E7E">
            <w:pPr>
              <w:widowControl w:val="0"/>
              <w:spacing w:before="60"/>
              <w:rPr>
                <w:szCs w:val="20"/>
              </w:rPr>
            </w:pPr>
            <w:r w:rsidRPr="00BC0E7E">
              <w:rPr>
                <w:szCs w:val="20"/>
              </w:rPr>
              <w:t>Gastrointestinal disorders</w:t>
            </w:r>
          </w:p>
        </w:tc>
        <w:tc>
          <w:tcPr>
            <w:tcW w:w="2074" w:type="dxa"/>
          </w:tcPr>
          <w:p w14:paraId="0ABB0044" w14:textId="77777777" w:rsidR="00BC0E7E" w:rsidRPr="00BC0E7E" w:rsidRDefault="00944B8F" w:rsidP="00BC0E7E">
            <w:pPr>
              <w:widowControl w:val="0"/>
              <w:spacing w:before="60"/>
              <w:rPr>
                <w:szCs w:val="20"/>
              </w:rPr>
            </w:pPr>
            <w:r w:rsidRPr="00BC0E7E">
              <w:rPr>
                <w:szCs w:val="20"/>
              </w:rPr>
              <w:t>Very common</w:t>
            </w:r>
          </w:p>
          <w:p w14:paraId="4305F9E9" w14:textId="77777777" w:rsidR="00BC0E7E" w:rsidRPr="00BC0E7E" w:rsidRDefault="00BC0E7E" w:rsidP="00BC0E7E">
            <w:pPr>
              <w:widowControl w:val="0"/>
              <w:spacing w:before="60"/>
              <w:rPr>
                <w:szCs w:val="20"/>
              </w:rPr>
            </w:pPr>
          </w:p>
        </w:tc>
        <w:tc>
          <w:tcPr>
            <w:tcW w:w="4575" w:type="dxa"/>
          </w:tcPr>
          <w:p w14:paraId="575124E1" w14:textId="77777777" w:rsidR="00BC0E7E" w:rsidRPr="00BC0E7E" w:rsidRDefault="00944B8F" w:rsidP="00BC0E7E">
            <w:pPr>
              <w:widowControl w:val="0"/>
              <w:spacing w:before="60"/>
              <w:rPr>
                <w:szCs w:val="20"/>
              </w:rPr>
            </w:pPr>
            <w:r>
              <w:rPr>
                <w:szCs w:val="20"/>
              </w:rPr>
              <w:t>A</w:t>
            </w:r>
            <w:r w:rsidRPr="00BC0E7E">
              <w:rPr>
                <w:szCs w:val="20"/>
              </w:rPr>
              <w:t xml:space="preserve">bdominal pain, </w:t>
            </w:r>
          </w:p>
          <w:p w14:paraId="5F009F48" w14:textId="77777777" w:rsidR="00BC0E7E" w:rsidRPr="00BC0E7E" w:rsidRDefault="00944B8F" w:rsidP="00BC0E7E">
            <w:pPr>
              <w:widowControl w:val="0"/>
              <w:spacing w:before="60"/>
              <w:rPr>
                <w:szCs w:val="20"/>
              </w:rPr>
            </w:pPr>
            <w:r w:rsidRPr="00BC0E7E">
              <w:rPr>
                <w:szCs w:val="20"/>
              </w:rPr>
              <w:t>nausea and vomiting</w:t>
            </w:r>
          </w:p>
          <w:p w14:paraId="35EB7B4D" w14:textId="77777777" w:rsidR="00BC0E7E" w:rsidRPr="00BC0E7E" w:rsidRDefault="00BC0E7E" w:rsidP="00BC0E7E">
            <w:pPr>
              <w:widowControl w:val="0"/>
              <w:spacing w:before="60"/>
              <w:rPr>
                <w:szCs w:val="20"/>
              </w:rPr>
            </w:pPr>
          </w:p>
        </w:tc>
      </w:tr>
      <w:tr w:rsidR="00C6578C" w14:paraId="5CB7CF2A" w14:textId="77777777" w:rsidTr="000244DF">
        <w:tc>
          <w:tcPr>
            <w:tcW w:w="2600" w:type="dxa"/>
            <w:vMerge/>
          </w:tcPr>
          <w:p w14:paraId="067DC676" w14:textId="77777777" w:rsidR="00BC0E7E" w:rsidRPr="00BC0E7E" w:rsidRDefault="00BC0E7E" w:rsidP="00BC0E7E">
            <w:pPr>
              <w:widowControl w:val="0"/>
              <w:spacing w:before="60"/>
              <w:jc w:val="center"/>
              <w:rPr>
                <w:b/>
              </w:rPr>
            </w:pPr>
          </w:p>
        </w:tc>
        <w:tc>
          <w:tcPr>
            <w:tcW w:w="2074" w:type="dxa"/>
          </w:tcPr>
          <w:p w14:paraId="22335D88" w14:textId="77777777" w:rsidR="00BC0E7E" w:rsidRPr="00BC0E7E" w:rsidRDefault="00944B8F" w:rsidP="00BC0E7E">
            <w:pPr>
              <w:widowControl w:val="0"/>
              <w:rPr>
                <w:szCs w:val="20"/>
              </w:rPr>
            </w:pPr>
            <w:r w:rsidRPr="00BC0E7E">
              <w:rPr>
                <w:szCs w:val="20"/>
              </w:rPr>
              <w:t>Common</w:t>
            </w:r>
          </w:p>
          <w:p w14:paraId="2797FAE2" w14:textId="77777777" w:rsidR="00BC0E7E" w:rsidRPr="00BC0E7E" w:rsidRDefault="00BC0E7E" w:rsidP="00BC0E7E">
            <w:pPr>
              <w:widowControl w:val="0"/>
              <w:rPr>
                <w:szCs w:val="20"/>
              </w:rPr>
            </w:pPr>
          </w:p>
        </w:tc>
        <w:tc>
          <w:tcPr>
            <w:tcW w:w="4575" w:type="dxa"/>
          </w:tcPr>
          <w:p w14:paraId="0C8066BA" w14:textId="77777777" w:rsidR="00BC0E7E" w:rsidRPr="00BC0E7E" w:rsidRDefault="00944B8F" w:rsidP="00BC0E7E">
            <w:pPr>
              <w:widowControl w:val="0"/>
              <w:rPr>
                <w:szCs w:val="20"/>
              </w:rPr>
            </w:pPr>
            <w:r w:rsidRPr="00BC0E7E">
              <w:rPr>
                <w:szCs w:val="20"/>
              </w:rPr>
              <w:t xml:space="preserve">GI haemorrhage, </w:t>
            </w:r>
          </w:p>
          <w:p w14:paraId="34F1B102" w14:textId="77777777" w:rsidR="00BC0E7E" w:rsidRPr="00BC0E7E" w:rsidRDefault="00944B8F" w:rsidP="00BC0E7E">
            <w:pPr>
              <w:widowControl w:val="0"/>
              <w:rPr>
                <w:szCs w:val="15"/>
              </w:rPr>
            </w:pPr>
            <w:r w:rsidRPr="00BC0E7E">
              <w:rPr>
                <w:szCs w:val="20"/>
              </w:rPr>
              <w:t>dyspepsia,</w:t>
            </w:r>
            <w:r w:rsidRPr="00BC0E7E">
              <w:rPr>
                <w:szCs w:val="15"/>
              </w:rPr>
              <w:t xml:space="preserve"> </w:t>
            </w:r>
          </w:p>
          <w:p w14:paraId="37205F7C" w14:textId="77777777" w:rsidR="00BC0E7E" w:rsidRPr="00BC0E7E" w:rsidRDefault="00944B8F" w:rsidP="00BC0E7E">
            <w:pPr>
              <w:widowControl w:val="0"/>
              <w:rPr>
                <w:szCs w:val="20"/>
              </w:rPr>
            </w:pPr>
            <w:r w:rsidRPr="00BC0E7E">
              <w:rPr>
                <w:szCs w:val="20"/>
              </w:rPr>
              <w:t>gastroesophageal reflux disease,</w:t>
            </w:r>
          </w:p>
          <w:p w14:paraId="6FFBF601" w14:textId="77777777" w:rsidR="00BC0E7E" w:rsidRPr="00BC0E7E" w:rsidRDefault="00944B8F" w:rsidP="00BC0E7E">
            <w:pPr>
              <w:widowControl w:val="0"/>
              <w:rPr>
                <w:szCs w:val="20"/>
              </w:rPr>
            </w:pPr>
            <w:r w:rsidRPr="00BC0E7E">
              <w:rPr>
                <w:szCs w:val="20"/>
              </w:rPr>
              <w:t>sicca syndrome</w:t>
            </w:r>
          </w:p>
          <w:p w14:paraId="30197C06" w14:textId="77777777" w:rsidR="00BC0E7E" w:rsidRPr="00BC0E7E" w:rsidRDefault="00BC0E7E" w:rsidP="00BC0E7E">
            <w:pPr>
              <w:widowControl w:val="0"/>
              <w:rPr>
                <w:szCs w:val="20"/>
              </w:rPr>
            </w:pPr>
          </w:p>
        </w:tc>
      </w:tr>
      <w:tr w:rsidR="00C6578C" w14:paraId="59C3DEF2" w14:textId="77777777" w:rsidTr="000244DF">
        <w:tc>
          <w:tcPr>
            <w:tcW w:w="2600" w:type="dxa"/>
            <w:vMerge/>
          </w:tcPr>
          <w:p w14:paraId="1293680F" w14:textId="77777777" w:rsidR="00BC0E7E" w:rsidRPr="00BC0E7E" w:rsidRDefault="00BC0E7E" w:rsidP="00BC0E7E">
            <w:pPr>
              <w:widowControl w:val="0"/>
              <w:spacing w:before="60"/>
              <w:jc w:val="center"/>
              <w:rPr>
                <w:b/>
              </w:rPr>
            </w:pPr>
          </w:p>
        </w:tc>
        <w:tc>
          <w:tcPr>
            <w:tcW w:w="2074" w:type="dxa"/>
          </w:tcPr>
          <w:p w14:paraId="3C0BCD35" w14:textId="77777777" w:rsidR="00BC0E7E" w:rsidRPr="00BC0E7E" w:rsidRDefault="00944B8F" w:rsidP="00BC0E7E">
            <w:pPr>
              <w:widowControl w:val="0"/>
              <w:rPr>
                <w:szCs w:val="20"/>
              </w:rPr>
            </w:pPr>
            <w:r w:rsidRPr="00BC0E7E">
              <w:rPr>
                <w:szCs w:val="20"/>
              </w:rPr>
              <w:t>Uncommon</w:t>
            </w:r>
          </w:p>
          <w:p w14:paraId="2BCC4837" w14:textId="77777777" w:rsidR="00BC0E7E" w:rsidRPr="00BC0E7E" w:rsidRDefault="00BC0E7E" w:rsidP="00BC0E7E">
            <w:pPr>
              <w:widowControl w:val="0"/>
              <w:rPr>
                <w:szCs w:val="20"/>
              </w:rPr>
            </w:pPr>
          </w:p>
        </w:tc>
        <w:tc>
          <w:tcPr>
            <w:tcW w:w="4575" w:type="dxa"/>
          </w:tcPr>
          <w:p w14:paraId="56FB3747" w14:textId="77777777" w:rsidR="00BC0E7E" w:rsidRPr="00BC0E7E" w:rsidRDefault="00944B8F" w:rsidP="00BC0E7E">
            <w:pPr>
              <w:widowControl w:val="0"/>
              <w:rPr>
                <w:szCs w:val="20"/>
              </w:rPr>
            </w:pPr>
            <w:r>
              <w:rPr>
                <w:szCs w:val="20"/>
              </w:rPr>
              <w:t>P</w:t>
            </w:r>
            <w:r w:rsidRPr="00BC0E7E">
              <w:rPr>
                <w:szCs w:val="20"/>
              </w:rPr>
              <w:t xml:space="preserve">ancreatitis, </w:t>
            </w:r>
          </w:p>
          <w:p w14:paraId="7E847BB3" w14:textId="77777777" w:rsidR="00BC0E7E" w:rsidRPr="00BC0E7E" w:rsidRDefault="00944B8F" w:rsidP="00BC0E7E">
            <w:pPr>
              <w:widowControl w:val="0"/>
              <w:rPr>
                <w:szCs w:val="20"/>
              </w:rPr>
            </w:pPr>
            <w:r w:rsidRPr="00BC0E7E">
              <w:rPr>
                <w:szCs w:val="20"/>
              </w:rPr>
              <w:t>dysphagia,</w:t>
            </w:r>
          </w:p>
          <w:p w14:paraId="3B8A8B39" w14:textId="77777777" w:rsidR="00BC0E7E" w:rsidRPr="00BC0E7E" w:rsidRDefault="00944B8F" w:rsidP="00BC0E7E">
            <w:pPr>
              <w:widowControl w:val="0"/>
              <w:rPr>
                <w:szCs w:val="20"/>
              </w:rPr>
            </w:pPr>
            <w:r w:rsidRPr="00BC0E7E">
              <w:rPr>
                <w:szCs w:val="20"/>
              </w:rPr>
              <w:t>face oedema</w:t>
            </w:r>
          </w:p>
          <w:p w14:paraId="4D0BD3A9" w14:textId="77777777" w:rsidR="00BC0E7E" w:rsidRPr="00BC0E7E" w:rsidRDefault="00BC0E7E" w:rsidP="00BC0E7E">
            <w:pPr>
              <w:widowControl w:val="0"/>
              <w:rPr>
                <w:szCs w:val="20"/>
              </w:rPr>
            </w:pPr>
          </w:p>
        </w:tc>
      </w:tr>
      <w:tr w:rsidR="00C6578C" w14:paraId="356AF72D" w14:textId="77777777" w:rsidTr="000244DF">
        <w:tc>
          <w:tcPr>
            <w:tcW w:w="2600" w:type="dxa"/>
            <w:vMerge/>
          </w:tcPr>
          <w:p w14:paraId="4A4CE0FA" w14:textId="77777777" w:rsidR="00BC0E7E" w:rsidRPr="00BC0E7E" w:rsidRDefault="00BC0E7E" w:rsidP="00BC0E7E">
            <w:pPr>
              <w:widowControl w:val="0"/>
              <w:spacing w:before="60"/>
              <w:rPr>
                <w:szCs w:val="20"/>
              </w:rPr>
            </w:pPr>
          </w:p>
        </w:tc>
        <w:tc>
          <w:tcPr>
            <w:tcW w:w="2074" w:type="dxa"/>
          </w:tcPr>
          <w:p w14:paraId="025FA25A" w14:textId="77777777" w:rsidR="00BC0E7E" w:rsidRPr="00BC0E7E" w:rsidRDefault="00944B8F" w:rsidP="00BC0E7E">
            <w:pPr>
              <w:widowControl w:val="0"/>
              <w:spacing w:before="60"/>
              <w:rPr>
                <w:szCs w:val="20"/>
              </w:rPr>
            </w:pPr>
            <w:r w:rsidRPr="00BC0E7E">
              <w:rPr>
                <w:szCs w:val="20"/>
              </w:rPr>
              <w:t>Rare</w:t>
            </w:r>
          </w:p>
        </w:tc>
        <w:tc>
          <w:tcPr>
            <w:tcW w:w="4575" w:type="dxa"/>
          </w:tcPr>
          <w:p w14:paraId="29E40DC5" w14:textId="77777777" w:rsidR="00BC0E7E" w:rsidRPr="00BC0E7E" w:rsidRDefault="00944B8F" w:rsidP="00BC0E7E">
            <w:pPr>
              <w:widowControl w:val="0"/>
              <w:spacing w:before="60"/>
              <w:rPr>
                <w:szCs w:val="20"/>
                <w:vertAlign w:val="superscript"/>
              </w:rPr>
            </w:pPr>
            <w:r>
              <w:rPr>
                <w:szCs w:val="20"/>
              </w:rPr>
              <w:t>I</w:t>
            </w:r>
            <w:r w:rsidRPr="00BC0E7E">
              <w:rPr>
                <w:szCs w:val="20"/>
              </w:rPr>
              <w:t>ntestinal perforation</w:t>
            </w:r>
            <w:r w:rsidRPr="00BC0E7E">
              <w:rPr>
                <w:szCs w:val="20"/>
                <w:vertAlign w:val="superscript"/>
              </w:rPr>
              <w:t>1)</w:t>
            </w:r>
          </w:p>
          <w:p w14:paraId="2CF10574" w14:textId="77777777" w:rsidR="00BC0E7E" w:rsidRPr="00BC0E7E" w:rsidRDefault="00BC0E7E" w:rsidP="00BC0E7E">
            <w:pPr>
              <w:widowControl w:val="0"/>
              <w:spacing w:before="60"/>
              <w:rPr>
                <w:szCs w:val="20"/>
              </w:rPr>
            </w:pPr>
          </w:p>
        </w:tc>
      </w:tr>
      <w:tr w:rsidR="00C6578C" w14:paraId="37A3CFE3" w14:textId="77777777" w:rsidTr="000244DF">
        <w:tc>
          <w:tcPr>
            <w:tcW w:w="2600" w:type="dxa"/>
            <w:vMerge w:val="restart"/>
          </w:tcPr>
          <w:p w14:paraId="6399507D" w14:textId="77777777" w:rsidR="00BC0E7E" w:rsidRPr="00BC0E7E" w:rsidRDefault="00944B8F" w:rsidP="00BC0E7E">
            <w:pPr>
              <w:widowControl w:val="0"/>
              <w:spacing w:before="60"/>
              <w:rPr>
                <w:szCs w:val="20"/>
              </w:rPr>
            </w:pPr>
            <w:r w:rsidRPr="00BC0E7E">
              <w:rPr>
                <w:szCs w:val="20"/>
              </w:rPr>
              <w:t>Hepato-biliary disorders*</w:t>
            </w:r>
          </w:p>
        </w:tc>
        <w:tc>
          <w:tcPr>
            <w:tcW w:w="2074" w:type="dxa"/>
          </w:tcPr>
          <w:p w14:paraId="0BB1AEC5" w14:textId="77777777" w:rsidR="00BC0E7E" w:rsidRPr="00BC0E7E" w:rsidRDefault="00944B8F" w:rsidP="00BC0E7E">
            <w:pPr>
              <w:widowControl w:val="0"/>
              <w:spacing w:before="60"/>
              <w:rPr>
                <w:szCs w:val="20"/>
              </w:rPr>
            </w:pPr>
            <w:r w:rsidRPr="00BC0E7E">
              <w:rPr>
                <w:szCs w:val="20"/>
              </w:rPr>
              <w:t>Very Common</w:t>
            </w:r>
          </w:p>
          <w:p w14:paraId="3A8A6980" w14:textId="77777777" w:rsidR="00BC0E7E" w:rsidRPr="00BC0E7E" w:rsidRDefault="00BC0E7E" w:rsidP="00BC0E7E">
            <w:pPr>
              <w:widowControl w:val="0"/>
              <w:spacing w:before="60"/>
              <w:rPr>
                <w:szCs w:val="20"/>
              </w:rPr>
            </w:pPr>
          </w:p>
        </w:tc>
        <w:tc>
          <w:tcPr>
            <w:tcW w:w="4575" w:type="dxa"/>
          </w:tcPr>
          <w:p w14:paraId="6AFE143C" w14:textId="77777777" w:rsidR="00BC0E7E" w:rsidRPr="00BC0E7E" w:rsidRDefault="00944B8F" w:rsidP="00BC0E7E">
            <w:pPr>
              <w:widowControl w:val="0"/>
              <w:spacing w:before="60"/>
              <w:rPr>
                <w:szCs w:val="20"/>
              </w:rPr>
            </w:pPr>
            <w:r>
              <w:rPr>
                <w:szCs w:val="20"/>
              </w:rPr>
              <w:t>E</w:t>
            </w:r>
            <w:r w:rsidRPr="00BC0E7E">
              <w:rPr>
                <w:szCs w:val="20"/>
              </w:rPr>
              <w:t>levated liver enzymes</w:t>
            </w:r>
          </w:p>
          <w:p w14:paraId="305B3F9A" w14:textId="77777777" w:rsidR="00BC0E7E" w:rsidRPr="00BC0E7E" w:rsidRDefault="00BC0E7E" w:rsidP="00BC0E7E">
            <w:pPr>
              <w:widowControl w:val="0"/>
              <w:spacing w:before="60"/>
              <w:rPr>
                <w:szCs w:val="20"/>
              </w:rPr>
            </w:pPr>
          </w:p>
        </w:tc>
      </w:tr>
      <w:tr w:rsidR="00C6578C" w14:paraId="494DB90B" w14:textId="77777777" w:rsidTr="000244DF">
        <w:tc>
          <w:tcPr>
            <w:tcW w:w="2600" w:type="dxa"/>
            <w:vMerge/>
          </w:tcPr>
          <w:p w14:paraId="226B023F" w14:textId="77777777" w:rsidR="00BC0E7E" w:rsidRPr="00BC0E7E" w:rsidRDefault="00BC0E7E" w:rsidP="00BC0E7E">
            <w:pPr>
              <w:widowControl w:val="0"/>
              <w:spacing w:before="60"/>
              <w:rPr>
                <w:szCs w:val="20"/>
              </w:rPr>
            </w:pPr>
          </w:p>
        </w:tc>
        <w:tc>
          <w:tcPr>
            <w:tcW w:w="2074" w:type="dxa"/>
          </w:tcPr>
          <w:p w14:paraId="7E41E900" w14:textId="77777777" w:rsidR="00BC0E7E" w:rsidRPr="00BC0E7E" w:rsidRDefault="00944B8F" w:rsidP="00BC0E7E">
            <w:pPr>
              <w:widowControl w:val="0"/>
              <w:rPr>
                <w:szCs w:val="20"/>
              </w:rPr>
            </w:pPr>
            <w:r w:rsidRPr="00BC0E7E">
              <w:rPr>
                <w:szCs w:val="20"/>
              </w:rPr>
              <w:t>Uncommon</w:t>
            </w:r>
          </w:p>
          <w:p w14:paraId="41949518" w14:textId="77777777" w:rsidR="00BC0E7E" w:rsidRPr="00BC0E7E" w:rsidRDefault="00BC0E7E" w:rsidP="00BC0E7E">
            <w:pPr>
              <w:widowControl w:val="0"/>
              <w:rPr>
                <w:szCs w:val="20"/>
              </w:rPr>
            </w:pPr>
          </w:p>
        </w:tc>
        <w:tc>
          <w:tcPr>
            <w:tcW w:w="4575" w:type="dxa"/>
          </w:tcPr>
          <w:p w14:paraId="7C28895D" w14:textId="77777777" w:rsidR="00BC0E7E" w:rsidRPr="00BC0E7E" w:rsidRDefault="00944B8F" w:rsidP="00BC0E7E">
            <w:pPr>
              <w:widowControl w:val="0"/>
              <w:rPr>
                <w:szCs w:val="20"/>
              </w:rPr>
            </w:pPr>
            <w:r>
              <w:rPr>
                <w:szCs w:val="20"/>
              </w:rPr>
              <w:lastRenderedPageBreak/>
              <w:t>C</w:t>
            </w:r>
            <w:r w:rsidRPr="00BC0E7E">
              <w:rPr>
                <w:szCs w:val="20"/>
              </w:rPr>
              <w:t>holecystitis and cholelithiasis,</w:t>
            </w:r>
          </w:p>
          <w:p w14:paraId="3A2AB836" w14:textId="77777777" w:rsidR="00BC0E7E" w:rsidRPr="00BC0E7E" w:rsidRDefault="00944B8F" w:rsidP="00BC0E7E">
            <w:pPr>
              <w:widowControl w:val="0"/>
              <w:rPr>
                <w:szCs w:val="20"/>
              </w:rPr>
            </w:pPr>
            <w:r w:rsidRPr="00BC0E7E">
              <w:rPr>
                <w:szCs w:val="20"/>
              </w:rPr>
              <w:lastRenderedPageBreak/>
              <w:t>hepatic steatosis,</w:t>
            </w:r>
          </w:p>
          <w:p w14:paraId="13E9BA2D" w14:textId="77777777" w:rsidR="00BC0E7E" w:rsidRPr="00BC0E7E" w:rsidRDefault="00944B8F" w:rsidP="00BC0E7E">
            <w:pPr>
              <w:widowControl w:val="0"/>
              <w:rPr>
                <w:szCs w:val="20"/>
              </w:rPr>
            </w:pPr>
            <w:r w:rsidRPr="00BC0E7E">
              <w:rPr>
                <w:szCs w:val="20"/>
              </w:rPr>
              <w:t>bilirubin increased</w:t>
            </w:r>
          </w:p>
          <w:p w14:paraId="0897F990" w14:textId="77777777" w:rsidR="00BC0E7E" w:rsidRPr="00BC0E7E" w:rsidRDefault="00BC0E7E" w:rsidP="00BC0E7E">
            <w:pPr>
              <w:widowControl w:val="0"/>
              <w:rPr>
                <w:szCs w:val="20"/>
              </w:rPr>
            </w:pPr>
          </w:p>
        </w:tc>
      </w:tr>
      <w:tr w:rsidR="00C6578C" w14:paraId="789A5DC6" w14:textId="77777777" w:rsidTr="000244DF">
        <w:tc>
          <w:tcPr>
            <w:tcW w:w="2600" w:type="dxa"/>
            <w:vMerge/>
          </w:tcPr>
          <w:p w14:paraId="45C0A985" w14:textId="77777777" w:rsidR="00BC0E7E" w:rsidRPr="00BC0E7E" w:rsidRDefault="00BC0E7E" w:rsidP="00BC0E7E">
            <w:pPr>
              <w:widowControl w:val="0"/>
              <w:spacing w:before="60"/>
              <w:rPr>
                <w:szCs w:val="20"/>
              </w:rPr>
            </w:pPr>
          </w:p>
        </w:tc>
        <w:tc>
          <w:tcPr>
            <w:tcW w:w="2074" w:type="dxa"/>
          </w:tcPr>
          <w:p w14:paraId="0B343AF2" w14:textId="77777777" w:rsidR="00BC0E7E" w:rsidRPr="00BC0E7E" w:rsidRDefault="00944B8F" w:rsidP="00BC0E7E">
            <w:pPr>
              <w:widowControl w:val="0"/>
              <w:spacing w:before="60"/>
              <w:rPr>
                <w:szCs w:val="20"/>
              </w:rPr>
            </w:pPr>
            <w:r w:rsidRPr="00BC0E7E">
              <w:rPr>
                <w:szCs w:val="20"/>
              </w:rPr>
              <w:t>Rare</w:t>
            </w:r>
          </w:p>
          <w:p w14:paraId="6DC61168" w14:textId="77777777" w:rsidR="00BC0E7E" w:rsidRPr="00BC0E7E" w:rsidRDefault="00BC0E7E" w:rsidP="00BC0E7E">
            <w:pPr>
              <w:widowControl w:val="0"/>
              <w:rPr>
                <w:szCs w:val="20"/>
              </w:rPr>
            </w:pPr>
          </w:p>
        </w:tc>
        <w:tc>
          <w:tcPr>
            <w:tcW w:w="4575" w:type="dxa"/>
          </w:tcPr>
          <w:p w14:paraId="6296A529" w14:textId="77777777" w:rsidR="00BC0E7E" w:rsidRPr="00BC0E7E" w:rsidRDefault="00944B8F" w:rsidP="00BC0E7E">
            <w:pPr>
              <w:widowControl w:val="0"/>
              <w:spacing w:before="60"/>
              <w:rPr>
                <w:szCs w:val="20"/>
              </w:rPr>
            </w:pPr>
            <w:r>
              <w:rPr>
                <w:szCs w:val="20"/>
              </w:rPr>
              <w:t>H</w:t>
            </w:r>
            <w:r w:rsidRPr="00BC0E7E">
              <w:rPr>
                <w:szCs w:val="20"/>
              </w:rPr>
              <w:t>epatitis</w:t>
            </w:r>
          </w:p>
          <w:p w14:paraId="484B02C4" w14:textId="77777777" w:rsidR="00BC0E7E" w:rsidRPr="00BC0E7E" w:rsidRDefault="00944B8F" w:rsidP="00BC0E7E">
            <w:pPr>
              <w:widowControl w:val="0"/>
              <w:spacing w:before="60"/>
              <w:rPr>
                <w:szCs w:val="20"/>
                <w:vertAlign w:val="superscript"/>
              </w:rPr>
            </w:pPr>
            <w:r w:rsidRPr="00BC0E7E">
              <w:rPr>
                <w:szCs w:val="20"/>
              </w:rPr>
              <w:t>reactivation of hepatitis B</w:t>
            </w:r>
            <w:r w:rsidRPr="00BC0E7E">
              <w:rPr>
                <w:szCs w:val="20"/>
                <w:vertAlign w:val="superscript"/>
              </w:rPr>
              <w:t xml:space="preserve">1) </w:t>
            </w:r>
          </w:p>
          <w:p w14:paraId="00B5F020" w14:textId="77777777" w:rsidR="00BC0E7E" w:rsidRPr="00BC0E7E" w:rsidRDefault="00944B8F" w:rsidP="00BC0E7E">
            <w:pPr>
              <w:widowControl w:val="0"/>
              <w:spacing w:before="60"/>
              <w:rPr>
                <w:szCs w:val="20"/>
                <w:vertAlign w:val="superscript"/>
              </w:rPr>
            </w:pPr>
            <w:r w:rsidRPr="00BC0E7E">
              <w:rPr>
                <w:szCs w:val="20"/>
              </w:rPr>
              <w:t>autoimmune hepatitis</w:t>
            </w:r>
            <w:r w:rsidRPr="00BC0E7E">
              <w:rPr>
                <w:szCs w:val="20"/>
                <w:vertAlign w:val="superscript"/>
              </w:rPr>
              <w:t>1)</w:t>
            </w:r>
          </w:p>
          <w:p w14:paraId="5EC9A3B6" w14:textId="77777777" w:rsidR="00BC0E7E" w:rsidRPr="00BC0E7E" w:rsidRDefault="00BC0E7E" w:rsidP="00BC0E7E">
            <w:pPr>
              <w:widowControl w:val="0"/>
              <w:rPr>
                <w:szCs w:val="20"/>
              </w:rPr>
            </w:pPr>
          </w:p>
        </w:tc>
      </w:tr>
      <w:tr w:rsidR="00C6578C" w14:paraId="64B3822B" w14:textId="77777777" w:rsidTr="000244DF">
        <w:tc>
          <w:tcPr>
            <w:tcW w:w="2600" w:type="dxa"/>
            <w:vMerge/>
          </w:tcPr>
          <w:p w14:paraId="550C665F" w14:textId="77777777" w:rsidR="00BC0E7E" w:rsidRPr="00BC0E7E" w:rsidRDefault="00BC0E7E" w:rsidP="00BC0E7E">
            <w:pPr>
              <w:widowControl w:val="0"/>
              <w:spacing w:before="60"/>
              <w:rPr>
                <w:szCs w:val="20"/>
              </w:rPr>
            </w:pPr>
          </w:p>
        </w:tc>
        <w:tc>
          <w:tcPr>
            <w:tcW w:w="2074" w:type="dxa"/>
          </w:tcPr>
          <w:p w14:paraId="57C024A6" w14:textId="77777777" w:rsidR="00BC0E7E" w:rsidRPr="00BC0E7E" w:rsidRDefault="00944B8F" w:rsidP="00BC0E7E">
            <w:pPr>
              <w:widowControl w:val="0"/>
              <w:spacing w:before="60"/>
              <w:rPr>
                <w:szCs w:val="20"/>
              </w:rPr>
            </w:pPr>
            <w:r w:rsidRPr="00BC0E7E">
              <w:rPr>
                <w:szCs w:val="20"/>
              </w:rPr>
              <w:t>Not known</w:t>
            </w:r>
          </w:p>
          <w:p w14:paraId="014AE1DB" w14:textId="77777777" w:rsidR="00BC0E7E" w:rsidRPr="00BC0E7E" w:rsidRDefault="00BC0E7E" w:rsidP="00BC0E7E">
            <w:pPr>
              <w:widowControl w:val="0"/>
              <w:spacing w:before="60"/>
              <w:rPr>
                <w:szCs w:val="20"/>
              </w:rPr>
            </w:pPr>
          </w:p>
        </w:tc>
        <w:tc>
          <w:tcPr>
            <w:tcW w:w="4575" w:type="dxa"/>
          </w:tcPr>
          <w:p w14:paraId="30C7311A" w14:textId="77777777" w:rsidR="00BC0E7E" w:rsidRPr="00BC0E7E" w:rsidRDefault="00944B8F" w:rsidP="00BC0E7E">
            <w:pPr>
              <w:widowControl w:val="0"/>
              <w:spacing w:before="60"/>
              <w:rPr>
                <w:szCs w:val="20"/>
              </w:rPr>
            </w:pPr>
            <w:r>
              <w:rPr>
                <w:szCs w:val="20"/>
              </w:rPr>
              <w:t>L</w:t>
            </w:r>
            <w:r w:rsidRPr="00BC0E7E">
              <w:rPr>
                <w:szCs w:val="20"/>
              </w:rPr>
              <w:t>iver failure</w:t>
            </w:r>
            <w:r w:rsidRPr="00BC0E7E">
              <w:rPr>
                <w:szCs w:val="20"/>
                <w:vertAlign w:val="superscript"/>
              </w:rPr>
              <w:t>1)</w:t>
            </w:r>
          </w:p>
        </w:tc>
      </w:tr>
      <w:tr w:rsidR="00C6578C" w14:paraId="75F44BD8" w14:textId="77777777" w:rsidTr="000244DF">
        <w:tc>
          <w:tcPr>
            <w:tcW w:w="2600" w:type="dxa"/>
            <w:vMerge w:val="restart"/>
          </w:tcPr>
          <w:p w14:paraId="55959B27" w14:textId="77777777" w:rsidR="00BC0E7E" w:rsidRPr="00BC0E7E" w:rsidRDefault="00944B8F" w:rsidP="00BC0E7E">
            <w:pPr>
              <w:widowControl w:val="0"/>
              <w:spacing w:before="60"/>
              <w:rPr>
                <w:szCs w:val="20"/>
              </w:rPr>
            </w:pPr>
            <w:r w:rsidRPr="00BC0E7E">
              <w:rPr>
                <w:szCs w:val="20"/>
              </w:rPr>
              <w:t>Skin and subcutaneous tissue disorders</w:t>
            </w:r>
          </w:p>
        </w:tc>
        <w:tc>
          <w:tcPr>
            <w:tcW w:w="2074" w:type="dxa"/>
          </w:tcPr>
          <w:p w14:paraId="676DFC22" w14:textId="77777777" w:rsidR="00BC0E7E" w:rsidRPr="00BC0E7E" w:rsidRDefault="00944B8F" w:rsidP="00BC0E7E">
            <w:pPr>
              <w:widowControl w:val="0"/>
              <w:spacing w:before="60"/>
              <w:rPr>
                <w:szCs w:val="20"/>
              </w:rPr>
            </w:pPr>
            <w:r w:rsidRPr="00BC0E7E">
              <w:rPr>
                <w:szCs w:val="20"/>
              </w:rPr>
              <w:t>Very Common</w:t>
            </w:r>
          </w:p>
          <w:p w14:paraId="016EA3CF" w14:textId="77777777" w:rsidR="00BC0E7E" w:rsidRPr="00BC0E7E" w:rsidRDefault="00BC0E7E" w:rsidP="00BC0E7E">
            <w:pPr>
              <w:widowControl w:val="0"/>
              <w:spacing w:before="60"/>
              <w:rPr>
                <w:szCs w:val="20"/>
              </w:rPr>
            </w:pPr>
          </w:p>
        </w:tc>
        <w:tc>
          <w:tcPr>
            <w:tcW w:w="4575" w:type="dxa"/>
          </w:tcPr>
          <w:p w14:paraId="0C8EEE8E" w14:textId="77777777" w:rsidR="00BC0E7E" w:rsidRPr="00BC0E7E" w:rsidRDefault="00944B8F" w:rsidP="00BC0E7E">
            <w:pPr>
              <w:widowControl w:val="0"/>
              <w:spacing w:before="60"/>
              <w:rPr>
                <w:szCs w:val="20"/>
              </w:rPr>
            </w:pPr>
            <w:r>
              <w:rPr>
                <w:szCs w:val="20"/>
              </w:rPr>
              <w:t>R</w:t>
            </w:r>
            <w:r w:rsidRPr="00BC0E7E">
              <w:rPr>
                <w:szCs w:val="20"/>
              </w:rPr>
              <w:t>ash (including exfoliative rash)</w:t>
            </w:r>
          </w:p>
          <w:p w14:paraId="62627375" w14:textId="77777777" w:rsidR="00BC0E7E" w:rsidRPr="00BC0E7E" w:rsidRDefault="00BC0E7E" w:rsidP="00BC0E7E">
            <w:pPr>
              <w:widowControl w:val="0"/>
              <w:spacing w:before="60"/>
              <w:rPr>
                <w:szCs w:val="20"/>
              </w:rPr>
            </w:pPr>
          </w:p>
        </w:tc>
      </w:tr>
      <w:tr w:rsidR="00C6578C" w14:paraId="67BF4468" w14:textId="77777777" w:rsidTr="000244DF">
        <w:tc>
          <w:tcPr>
            <w:tcW w:w="2600" w:type="dxa"/>
            <w:vMerge/>
          </w:tcPr>
          <w:p w14:paraId="380E9B0D" w14:textId="77777777" w:rsidR="00BC0E7E" w:rsidRPr="00BC0E7E" w:rsidRDefault="00BC0E7E" w:rsidP="00BC0E7E">
            <w:pPr>
              <w:widowControl w:val="0"/>
              <w:spacing w:before="60"/>
              <w:jc w:val="center"/>
              <w:rPr>
                <w:b/>
              </w:rPr>
            </w:pPr>
          </w:p>
        </w:tc>
        <w:tc>
          <w:tcPr>
            <w:tcW w:w="2074" w:type="dxa"/>
          </w:tcPr>
          <w:p w14:paraId="235F05AF" w14:textId="77777777" w:rsidR="00BC0E7E" w:rsidRPr="00BC0E7E" w:rsidRDefault="00944B8F" w:rsidP="00BC0E7E">
            <w:pPr>
              <w:widowControl w:val="0"/>
              <w:rPr>
                <w:szCs w:val="20"/>
              </w:rPr>
            </w:pPr>
            <w:r w:rsidRPr="00BC0E7E">
              <w:rPr>
                <w:szCs w:val="20"/>
              </w:rPr>
              <w:t>Common</w:t>
            </w:r>
          </w:p>
          <w:p w14:paraId="0F69DAC0" w14:textId="77777777" w:rsidR="00BC0E7E" w:rsidRPr="00BC0E7E" w:rsidRDefault="00BC0E7E" w:rsidP="00BC0E7E">
            <w:pPr>
              <w:widowControl w:val="0"/>
              <w:rPr>
                <w:szCs w:val="20"/>
              </w:rPr>
            </w:pPr>
          </w:p>
        </w:tc>
        <w:tc>
          <w:tcPr>
            <w:tcW w:w="4575" w:type="dxa"/>
          </w:tcPr>
          <w:p w14:paraId="6AF9B8DC" w14:textId="77777777" w:rsidR="00BC0E7E" w:rsidRPr="00BC0E7E" w:rsidRDefault="00944B8F" w:rsidP="00BC0E7E">
            <w:pPr>
              <w:widowControl w:val="0"/>
              <w:rPr>
                <w:szCs w:val="20"/>
              </w:rPr>
            </w:pPr>
            <w:r>
              <w:rPr>
                <w:szCs w:val="20"/>
              </w:rPr>
              <w:t>W</w:t>
            </w:r>
            <w:r w:rsidRPr="00BC0E7E">
              <w:rPr>
                <w:szCs w:val="20"/>
              </w:rPr>
              <w:t>orsening or new onset of psoriasis (including palmoplantar pustular psoriasis)</w:t>
            </w:r>
            <w:r w:rsidRPr="00BC0E7E">
              <w:rPr>
                <w:szCs w:val="20"/>
                <w:vertAlign w:val="superscript"/>
              </w:rPr>
              <w:t>1)</w:t>
            </w:r>
            <w:r w:rsidRPr="00BC0E7E">
              <w:rPr>
                <w:szCs w:val="20"/>
              </w:rPr>
              <w:t>,</w:t>
            </w:r>
          </w:p>
          <w:p w14:paraId="0935CA35" w14:textId="77777777" w:rsidR="00BC0E7E" w:rsidRPr="00BC0E7E" w:rsidRDefault="00944B8F" w:rsidP="00BC0E7E">
            <w:pPr>
              <w:widowControl w:val="0"/>
              <w:rPr>
                <w:szCs w:val="20"/>
              </w:rPr>
            </w:pPr>
            <w:r w:rsidRPr="00BC0E7E">
              <w:rPr>
                <w:szCs w:val="20"/>
              </w:rPr>
              <w:t>urticaria,</w:t>
            </w:r>
          </w:p>
          <w:p w14:paraId="6F9B1783" w14:textId="77777777" w:rsidR="00BC0E7E" w:rsidRPr="00BC0E7E" w:rsidRDefault="00944B8F" w:rsidP="00BC0E7E">
            <w:pPr>
              <w:widowControl w:val="0"/>
              <w:rPr>
                <w:szCs w:val="20"/>
              </w:rPr>
            </w:pPr>
            <w:r w:rsidRPr="00BC0E7E">
              <w:rPr>
                <w:szCs w:val="20"/>
              </w:rPr>
              <w:t xml:space="preserve">bruising (including purpura), </w:t>
            </w:r>
          </w:p>
          <w:p w14:paraId="2BE1E8A3" w14:textId="77777777" w:rsidR="00BC0E7E" w:rsidRPr="00BC0E7E" w:rsidRDefault="00944B8F" w:rsidP="00BC0E7E">
            <w:pPr>
              <w:widowControl w:val="0"/>
              <w:rPr>
                <w:szCs w:val="20"/>
              </w:rPr>
            </w:pPr>
            <w:r w:rsidRPr="00BC0E7E">
              <w:rPr>
                <w:szCs w:val="20"/>
              </w:rPr>
              <w:t>dermatitis (including eczema),</w:t>
            </w:r>
          </w:p>
          <w:p w14:paraId="14A68C5C" w14:textId="77777777" w:rsidR="00BC0E7E" w:rsidRPr="00BC0E7E" w:rsidRDefault="00944B8F" w:rsidP="00BC0E7E">
            <w:pPr>
              <w:widowControl w:val="0"/>
              <w:rPr>
                <w:szCs w:val="20"/>
                <w:lang w:val="it-IT"/>
              </w:rPr>
            </w:pPr>
            <w:r w:rsidRPr="00BC0E7E">
              <w:rPr>
                <w:szCs w:val="20"/>
                <w:lang w:val="it-IT"/>
              </w:rPr>
              <w:t xml:space="preserve">onychoclasis, </w:t>
            </w:r>
          </w:p>
          <w:p w14:paraId="5463626A" w14:textId="77777777" w:rsidR="00BC0E7E" w:rsidRPr="00BC0E7E" w:rsidRDefault="00944B8F" w:rsidP="00BC0E7E">
            <w:pPr>
              <w:widowControl w:val="0"/>
              <w:rPr>
                <w:szCs w:val="20"/>
                <w:lang w:val="it-IT"/>
              </w:rPr>
            </w:pPr>
            <w:r w:rsidRPr="00BC0E7E">
              <w:rPr>
                <w:szCs w:val="20"/>
              </w:rPr>
              <w:t>hyperhidrosis</w:t>
            </w:r>
            <w:r w:rsidRPr="00BC0E7E">
              <w:rPr>
                <w:szCs w:val="20"/>
                <w:lang w:val="it-IT"/>
              </w:rPr>
              <w:t>,</w:t>
            </w:r>
          </w:p>
          <w:p w14:paraId="03C350CE" w14:textId="77777777" w:rsidR="00BC0E7E" w:rsidRPr="00BC0E7E" w:rsidRDefault="00944B8F" w:rsidP="00BC0E7E">
            <w:pPr>
              <w:widowControl w:val="0"/>
              <w:rPr>
                <w:szCs w:val="20"/>
              </w:rPr>
            </w:pPr>
            <w:r w:rsidRPr="00BC0E7E">
              <w:rPr>
                <w:szCs w:val="20"/>
                <w:lang w:val="it-IT"/>
              </w:rPr>
              <w:t>alopecia</w:t>
            </w:r>
            <w:r w:rsidRPr="00BC0E7E">
              <w:rPr>
                <w:szCs w:val="20"/>
                <w:vertAlign w:val="superscript"/>
                <w:lang w:val="it-IT"/>
              </w:rPr>
              <w:t>1)</w:t>
            </w:r>
            <w:r w:rsidRPr="00BC0E7E">
              <w:rPr>
                <w:szCs w:val="20"/>
                <w:lang w:val="it-IT"/>
              </w:rPr>
              <w:t>,</w:t>
            </w:r>
          </w:p>
          <w:p w14:paraId="76FFAF92" w14:textId="77777777" w:rsidR="00BC0E7E" w:rsidRPr="00BC0E7E" w:rsidRDefault="00944B8F" w:rsidP="00BC0E7E">
            <w:pPr>
              <w:widowControl w:val="0"/>
              <w:rPr>
                <w:szCs w:val="20"/>
              </w:rPr>
            </w:pPr>
            <w:r w:rsidRPr="00BC0E7E">
              <w:rPr>
                <w:szCs w:val="20"/>
              </w:rPr>
              <w:t xml:space="preserve">pruritus </w:t>
            </w:r>
          </w:p>
          <w:p w14:paraId="49FF71D8" w14:textId="77777777" w:rsidR="00BC0E7E" w:rsidRPr="00BC0E7E" w:rsidRDefault="00BC0E7E" w:rsidP="00BC0E7E">
            <w:pPr>
              <w:widowControl w:val="0"/>
              <w:rPr>
                <w:szCs w:val="20"/>
              </w:rPr>
            </w:pPr>
          </w:p>
        </w:tc>
      </w:tr>
      <w:tr w:rsidR="00C6578C" w14:paraId="1B0E8CB4" w14:textId="77777777" w:rsidTr="000244DF">
        <w:tc>
          <w:tcPr>
            <w:tcW w:w="2600" w:type="dxa"/>
            <w:vMerge/>
          </w:tcPr>
          <w:p w14:paraId="2FB03AED" w14:textId="77777777" w:rsidR="00BC0E7E" w:rsidRPr="00BC0E7E" w:rsidRDefault="00BC0E7E" w:rsidP="00BC0E7E">
            <w:pPr>
              <w:widowControl w:val="0"/>
              <w:spacing w:before="60"/>
              <w:jc w:val="center"/>
              <w:rPr>
                <w:b/>
              </w:rPr>
            </w:pPr>
          </w:p>
        </w:tc>
        <w:tc>
          <w:tcPr>
            <w:tcW w:w="2074" w:type="dxa"/>
          </w:tcPr>
          <w:p w14:paraId="16D15437" w14:textId="77777777" w:rsidR="00BC0E7E" w:rsidRPr="00BC0E7E" w:rsidRDefault="00944B8F" w:rsidP="00BC0E7E">
            <w:pPr>
              <w:widowControl w:val="0"/>
              <w:rPr>
                <w:szCs w:val="20"/>
                <w:lang w:val="it-IT"/>
              </w:rPr>
            </w:pPr>
            <w:r w:rsidRPr="00BC0E7E">
              <w:rPr>
                <w:szCs w:val="20"/>
                <w:lang w:val="it-IT"/>
              </w:rPr>
              <w:t>Uncommon</w:t>
            </w:r>
          </w:p>
          <w:p w14:paraId="77988BB5" w14:textId="77777777" w:rsidR="00BC0E7E" w:rsidRPr="00BC0E7E" w:rsidRDefault="00BC0E7E" w:rsidP="00BC0E7E">
            <w:pPr>
              <w:widowControl w:val="0"/>
              <w:rPr>
                <w:szCs w:val="20"/>
                <w:lang w:val="it-IT"/>
              </w:rPr>
            </w:pPr>
          </w:p>
        </w:tc>
        <w:tc>
          <w:tcPr>
            <w:tcW w:w="4575" w:type="dxa"/>
          </w:tcPr>
          <w:p w14:paraId="323494C4" w14:textId="77777777" w:rsidR="00BC0E7E" w:rsidRPr="00BC0E7E" w:rsidRDefault="00944B8F" w:rsidP="00BC0E7E">
            <w:pPr>
              <w:widowControl w:val="0"/>
              <w:rPr>
                <w:szCs w:val="20"/>
                <w:lang w:val="it-IT"/>
              </w:rPr>
            </w:pPr>
            <w:r>
              <w:rPr>
                <w:szCs w:val="20"/>
                <w:lang w:val="it-IT"/>
              </w:rPr>
              <w:t>N</w:t>
            </w:r>
            <w:r w:rsidRPr="00BC0E7E">
              <w:rPr>
                <w:szCs w:val="20"/>
                <w:lang w:val="it-IT"/>
              </w:rPr>
              <w:t>ight sweats,</w:t>
            </w:r>
          </w:p>
          <w:p w14:paraId="263C0057" w14:textId="77777777" w:rsidR="00BC0E7E" w:rsidRPr="00BC0E7E" w:rsidRDefault="00944B8F" w:rsidP="00BC0E7E">
            <w:pPr>
              <w:widowControl w:val="0"/>
              <w:rPr>
                <w:szCs w:val="20"/>
                <w:lang w:val="it-IT"/>
              </w:rPr>
            </w:pPr>
            <w:r w:rsidRPr="00BC0E7E">
              <w:rPr>
                <w:szCs w:val="20"/>
                <w:lang w:val="it-IT"/>
              </w:rPr>
              <w:t>scar</w:t>
            </w:r>
          </w:p>
          <w:p w14:paraId="66E5DAFA" w14:textId="77777777" w:rsidR="00BC0E7E" w:rsidRPr="00BC0E7E" w:rsidRDefault="00BC0E7E" w:rsidP="00BC0E7E">
            <w:pPr>
              <w:widowControl w:val="0"/>
              <w:rPr>
                <w:szCs w:val="20"/>
                <w:lang w:val="it-IT"/>
              </w:rPr>
            </w:pPr>
          </w:p>
        </w:tc>
      </w:tr>
      <w:tr w:rsidR="00C6578C" w14:paraId="03D880E8" w14:textId="77777777" w:rsidTr="000244DF">
        <w:trPr>
          <w:trHeight w:val="1333"/>
        </w:trPr>
        <w:tc>
          <w:tcPr>
            <w:tcW w:w="2600" w:type="dxa"/>
            <w:vMerge/>
          </w:tcPr>
          <w:p w14:paraId="18388DBD" w14:textId="77777777" w:rsidR="00BC0E7E" w:rsidRPr="00BC0E7E" w:rsidRDefault="00BC0E7E" w:rsidP="00BC0E7E">
            <w:pPr>
              <w:widowControl w:val="0"/>
              <w:spacing w:before="60"/>
              <w:rPr>
                <w:szCs w:val="20"/>
              </w:rPr>
            </w:pPr>
          </w:p>
        </w:tc>
        <w:tc>
          <w:tcPr>
            <w:tcW w:w="2074" w:type="dxa"/>
          </w:tcPr>
          <w:p w14:paraId="4CA255EA" w14:textId="77777777" w:rsidR="00BC0E7E" w:rsidRPr="00BC0E7E" w:rsidRDefault="00944B8F" w:rsidP="00BC0E7E">
            <w:pPr>
              <w:widowControl w:val="0"/>
              <w:spacing w:before="60"/>
              <w:rPr>
                <w:szCs w:val="20"/>
              </w:rPr>
            </w:pPr>
            <w:r w:rsidRPr="00BC0E7E">
              <w:rPr>
                <w:szCs w:val="20"/>
              </w:rPr>
              <w:t>Rare</w:t>
            </w:r>
          </w:p>
        </w:tc>
        <w:tc>
          <w:tcPr>
            <w:tcW w:w="4575" w:type="dxa"/>
          </w:tcPr>
          <w:p w14:paraId="0AC6CC13" w14:textId="77777777" w:rsidR="00BC0E7E" w:rsidRPr="00BC0E7E" w:rsidRDefault="00944B8F" w:rsidP="00BC0E7E">
            <w:pPr>
              <w:widowControl w:val="0"/>
              <w:spacing w:before="60"/>
              <w:rPr>
                <w:szCs w:val="20"/>
                <w:lang w:val="fr-FR"/>
              </w:rPr>
            </w:pPr>
            <w:r>
              <w:rPr>
                <w:szCs w:val="20"/>
                <w:lang w:val="fr-FR"/>
              </w:rPr>
              <w:t>E</w:t>
            </w:r>
            <w:r w:rsidRPr="00BC0E7E">
              <w:rPr>
                <w:szCs w:val="20"/>
                <w:lang w:val="fr-FR"/>
              </w:rPr>
              <w:t>rythema multiforme</w:t>
            </w:r>
            <w:r w:rsidRPr="00BC0E7E">
              <w:rPr>
                <w:szCs w:val="20"/>
                <w:vertAlign w:val="superscript"/>
                <w:lang w:val="fr-FR"/>
              </w:rPr>
              <w:t>1)</w:t>
            </w:r>
            <w:r w:rsidRPr="00BC0E7E">
              <w:rPr>
                <w:szCs w:val="20"/>
                <w:lang w:val="fr-FR"/>
              </w:rPr>
              <w:t>,</w:t>
            </w:r>
          </w:p>
          <w:p w14:paraId="078FB51F" w14:textId="77777777" w:rsidR="00BC0E7E" w:rsidRPr="00FB06D0" w:rsidRDefault="00944B8F" w:rsidP="00BC0E7E">
            <w:pPr>
              <w:widowControl w:val="0"/>
              <w:spacing w:before="60"/>
              <w:rPr>
                <w:szCs w:val="20"/>
                <w:lang w:val="nb-NO"/>
              </w:rPr>
            </w:pPr>
            <w:r w:rsidRPr="00FB06D0">
              <w:rPr>
                <w:szCs w:val="20"/>
                <w:lang w:val="nb-NO"/>
              </w:rPr>
              <w:t>Stevens-Johnson syndrome</w:t>
            </w:r>
            <w:r w:rsidRPr="00FB06D0">
              <w:rPr>
                <w:szCs w:val="20"/>
                <w:vertAlign w:val="superscript"/>
                <w:lang w:val="nb-NO"/>
              </w:rPr>
              <w:t>1)</w:t>
            </w:r>
            <w:r w:rsidRPr="00FB06D0">
              <w:rPr>
                <w:szCs w:val="20"/>
                <w:lang w:val="nb-NO"/>
              </w:rPr>
              <w:t>,</w:t>
            </w:r>
          </w:p>
          <w:p w14:paraId="2F240CED" w14:textId="77777777" w:rsidR="00BC0E7E" w:rsidRPr="007224CE" w:rsidRDefault="00944B8F" w:rsidP="00BC0E7E">
            <w:pPr>
              <w:widowControl w:val="0"/>
              <w:spacing w:before="60"/>
              <w:rPr>
                <w:szCs w:val="20"/>
              </w:rPr>
            </w:pPr>
            <w:r w:rsidRPr="007224CE">
              <w:rPr>
                <w:szCs w:val="20"/>
              </w:rPr>
              <w:t>angioedema</w:t>
            </w:r>
            <w:r w:rsidRPr="007224CE">
              <w:rPr>
                <w:szCs w:val="20"/>
                <w:vertAlign w:val="superscript"/>
              </w:rPr>
              <w:t>1)</w:t>
            </w:r>
            <w:r w:rsidRPr="007224CE">
              <w:rPr>
                <w:szCs w:val="20"/>
              </w:rPr>
              <w:t>,</w:t>
            </w:r>
          </w:p>
          <w:p w14:paraId="1510AF73" w14:textId="77777777" w:rsidR="00BC0E7E" w:rsidRPr="00BC0E7E" w:rsidRDefault="00944B8F" w:rsidP="00BC0E7E">
            <w:pPr>
              <w:widowControl w:val="0"/>
              <w:spacing w:before="60"/>
              <w:rPr>
                <w:szCs w:val="20"/>
                <w:vertAlign w:val="superscript"/>
                <w:lang w:val="fr-FR"/>
              </w:rPr>
            </w:pPr>
            <w:r w:rsidRPr="00BC0E7E">
              <w:rPr>
                <w:szCs w:val="20"/>
                <w:lang w:val="fr-FR"/>
              </w:rPr>
              <w:t>cutaneous vasculitis</w:t>
            </w:r>
            <w:r w:rsidRPr="00BC0E7E">
              <w:rPr>
                <w:szCs w:val="20"/>
                <w:vertAlign w:val="superscript"/>
                <w:lang w:val="fr-FR"/>
              </w:rPr>
              <w:t>1)</w:t>
            </w:r>
          </w:p>
          <w:p w14:paraId="3C278FF7" w14:textId="77777777" w:rsidR="00A81D15" w:rsidRDefault="00944B8F" w:rsidP="00A81D15">
            <w:pPr>
              <w:pStyle w:val="EMEANormal"/>
              <w:widowControl w:val="0"/>
              <w:spacing w:before="60"/>
              <w:rPr>
                <w:szCs w:val="22"/>
                <w:vertAlign w:val="superscript"/>
                <w:lang w:val="en-GB"/>
              </w:rPr>
            </w:pPr>
            <w:r>
              <w:t>lichenoid skin reaction</w:t>
            </w:r>
            <w:r>
              <w:rPr>
                <w:szCs w:val="22"/>
                <w:vertAlign w:val="superscript"/>
                <w:lang w:val="en-GB"/>
              </w:rPr>
              <w:t>1)</w:t>
            </w:r>
          </w:p>
          <w:p w14:paraId="54CAD19E" w14:textId="77777777" w:rsidR="00BC0E7E" w:rsidRPr="00BC0E7E" w:rsidRDefault="00BC0E7E" w:rsidP="00BC0E7E">
            <w:pPr>
              <w:widowControl w:val="0"/>
              <w:spacing w:before="60"/>
              <w:rPr>
                <w:szCs w:val="20"/>
              </w:rPr>
            </w:pPr>
          </w:p>
        </w:tc>
      </w:tr>
      <w:tr w:rsidR="00C6578C" w14:paraId="2C1488AB" w14:textId="77777777" w:rsidTr="000244DF">
        <w:tc>
          <w:tcPr>
            <w:tcW w:w="2600" w:type="dxa"/>
            <w:vMerge/>
          </w:tcPr>
          <w:p w14:paraId="23D5E3FA" w14:textId="77777777" w:rsidR="00BC0E7E" w:rsidRPr="00BC0E7E" w:rsidRDefault="00BC0E7E" w:rsidP="00BC0E7E">
            <w:pPr>
              <w:widowControl w:val="0"/>
              <w:spacing w:before="60"/>
              <w:rPr>
                <w:szCs w:val="20"/>
              </w:rPr>
            </w:pPr>
          </w:p>
        </w:tc>
        <w:tc>
          <w:tcPr>
            <w:tcW w:w="2074" w:type="dxa"/>
          </w:tcPr>
          <w:p w14:paraId="5F97C14A" w14:textId="77777777" w:rsidR="00BC0E7E" w:rsidRPr="00BC0E7E" w:rsidRDefault="00944B8F" w:rsidP="00BC0E7E">
            <w:pPr>
              <w:widowControl w:val="0"/>
              <w:spacing w:before="60"/>
              <w:rPr>
                <w:szCs w:val="20"/>
              </w:rPr>
            </w:pPr>
            <w:r w:rsidRPr="00BC0E7E">
              <w:rPr>
                <w:szCs w:val="20"/>
              </w:rPr>
              <w:t>Not known</w:t>
            </w:r>
          </w:p>
        </w:tc>
        <w:tc>
          <w:tcPr>
            <w:tcW w:w="4575" w:type="dxa"/>
          </w:tcPr>
          <w:p w14:paraId="5BDF1B0F" w14:textId="77777777" w:rsidR="00BC0E7E" w:rsidRPr="00BC0E7E" w:rsidRDefault="00944B8F" w:rsidP="00BC0E7E">
            <w:pPr>
              <w:widowControl w:val="0"/>
              <w:spacing w:before="60"/>
              <w:rPr>
                <w:szCs w:val="20"/>
                <w:vertAlign w:val="superscript"/>
              </w:rPr>
            </w:pPr>
            <w:r>
              <w:rPr>
                <w:szCs w:val="20"/>
              </w:rPr>
              <w:t>W</w:t>
            </w:r>
            <w:r w:rsidRPr="00BC0E7E">
              <w:rPr>
                <w:szCs w:val="20"/>
              </w:rPr>
              <w:t>orsening of symptoms of dermatomyositis</w:t>
            </w:r>
            <w:r w:rsidRPr="00BC0E7E">
              <w:rPr>
                <w:szCs w:val="20"/>
                <w:vertAlign w:val="superscript"/>
              </w:rPr>
              <w:t>1)</w:t>
            </w:r>
          </w:p>
          <w:p w14:paraId="191DECDD" w14:textId="77777777" w:rsidR="00BC0E7E" w:rsidRPr="00BC0E7E" w:rsidRDefault="00BC0E7E" w:rsidP="00BC0E7E">
            <w:pPr>
              <w:widowControl w:val="0"/>
              <w:spacing w:before="60"/>
              <w:rPr>
                <w:szCs w:val="20"/>
              </w:rPr>
            </w:pPr>
          </w:p>
        </w:tc>
      </w:tr>
      <w:tr w:rsidR="00C6578C" w14:paraId="05CF45CA" w14:textId="77777777" w:rsidTr="000244DF">
        <w:tc>
          <w:tcPr>
            <w:tcW w:w="2600" w:type="dxa"/>
            <w:vMerge w:val="restart"/>
          </w:tcPr>
          <w:p w14:paraId="2ACBCC4F" w14:textId="77777777" w:rsidR="00BC0E7E" w:rsidRPr="00BC0E7E" w:rsidRDefault="00944B8F" w:rsidP="00BC0E7E">
            <w:pPr>
              <w:widowControl w:val="0"/>
              <w:spacing w:before="60"/>
              <w:rPr>
                <w:szCs w:val="20"/>
              </w:rPr>
            </w:pPr>
            <w:r w:rsidRPr="00BC0E7E">
              <w:rPr>
                <w:szCs w:val="20"/>
              </w:rPr>
              <w:t>Musculoskeletal and connective tissue disorders</w:t>
            </w:r>
          </w:p>
        </w:tc>
        <w:tc>
          <w:tcPr>
            <w:tcW w:w="2074" w:type="dxa"/>
          </w:tcPr>
          <w:p w14:paraId="6769B16A" w14:textId="77777777" w:rsidR="00BC0E7E" w:rsidRPr="00BC0E7E" w:rsidRDefault="00944B8F" w:rsidP="00BC0E7E">
            <w:pPr>
              <w:widowControl w:val="0"/>
              <w:spacing w:before="60"/>
              <w:rPr>
                <w:szCs w:val="20"/>
              </w:rPr>
            </w:pPr>
            <w:r w:rsidRPr="00BC0E7E">
              <w:rPr>
                <w:szCs w:val="20"/>
              </w:rPr>
              <w:t>Very common</w:t>
            </w:r>
          </w:p>
          <w:p w14:paraId="5CC80A9F" w14:textId="77777777" w:rsidR="00BC0E7E" w:rsidRPr="00BC0E7E" w:rsidRDefault="00BC0E7E" w:rsidP="00BC0E7E">
            <w:pPr>
              <w:widowControl w:val="0"/>
              <w:spacing w:before="60"/>
              <w:rPr>
                <w:szCs w:val="20"/>
              </w:rPr>
            </w:pPr>
          </w:p>
        </w:tc>
        <w:tc>
          <w:tcPr>
            <w:tcW w:w="4575" w:type="dxa"/>
          </w:tcPr>
          <w:p w14:paraId="014C4ACF" w14:textId="77777777" w:rsidR="00BC0E7E" w:rsidRPr="00BC0E7E" w:rsidRDefault="00944B8F" w:rsidP="00BC0E7E">
            <w:pPr>
              <w:widowControl w:val="0"/>
              <w:spacing w:before="60"/>
              <w:rPr>
                <w:szCs w:val="20"/>
              </w:rPr>
            </w:pPr>
            <w:r>
              <w:rPr>
                <w:szCs w:val="20"/>
              </w:rPr>
              <w:t>M</w:t>
            </w:r>
            <w:r w:rsidRPr="00BC0E7E">
              <w:rPr>
                <w:szCs w:val="20"/>
              </w:rPr>
              <w:t>usculoskeletal pain</w:t>
            </w:r>
          </w:p>
          <w:p w14:paraId="66DEA0E4" w14:textId="77777777" w:rsidR="00BC0E7E" w:rsidRPr="00BC0E7E" w:rsidRDefault="00BC0E7E" w:rsidP="00BC0E7E">
            <w:pPr>
              <w:widowControl w:val="0"/>
              <w:spacing w:before="60"/>
              <w:rPr>
                <w:szCs w:val="20"/>
              </w:rPr>
            </w:pPr>
          </w:p>
        </w:tc>
      </w:tr>
      <w:tr w:rsidR="00C6578C" w14:paraId="2AFB974A" w14:textId="77777777" w:rsidTr="000244DF">
        <w:tc>
          <w:tcPr>
            <w:tcW w:w="2600" w:type="dxa"/>
            <w:vMerge/>
          </w:tcPr>
          <w:p w14:paraId="7BB51817" w14:textId="77777777" w:rsidR="00BC0E7E" w:rsidRPr="00BC0E7E" w:rsidRDefault="00BC0E7E" w:rsidP="00BC0E7E">
            <w:pPr>
              <w:widowControl w:val="0"/>
              <w:spacing w:before="60"/>
              <w:rPr>
                <w:szCs w:val="20"/>
              </w:rPr>
            </w:pPr>
          </w:p>
        </w:tc>
        <w:tc>
          <w:tcPr>
            <w:tcW w:w="2074" w:type="dxa"/>
          </w:tcPr>
          <w:p w14:paraId="6D6A3605" w14:textId="77777777" w:rsidR="00BC0E7E" w:rsidRPr="00BC0E7E" w:rsidRDefault="00944B8F" w:rsidP="00BC0E7E">
            <w:pPr>
              <w:widowControl w:val="0"/>
              <w:spacing w:before="60"/>
              <w:rPr>
                <w:szCs w:val="20"/>
              </w:rPr>
            </w:pPr>
            <w:r w:rsidRPr="00BC0E7E">
              <w:rPr>
                <w:szCs w:val="20"/>
              </w:rPr>
              <w:t>Common</w:t>
            </w:r>
          </w:p>
        </w:tc>
        <w:tc>
          <w:tcPr>
            <w:tcW w:w="4575" w:type="dxa"/>
          </w:tcPr>
          <w:p w14:paraId="1EA74DD6" w14:textId="77777777" w:rsidR="00BC0E7E" w:rsidRPr="00BC0E7E" w:rsidRDefault="00944B8F" w:rsidP="00BC0E7E">
            <w:pPr>
              <w:widowControl w:val="0"/>
              <w:spacing w:before="60"/>
              <w:rPr>
                <w:szCs w:val="20"/>
              </w:rPr>
            </w:pPr>
            <w:r>
              <w:rPr>
                <w:szCs w:val="20"/>
              </w:rPr>
              <w:t>M</w:t>
            </w:r>
            <w:r w:rsidRPr="00BC0E7E">
              <w:rPr>
                <w:szCs w:val="20"/>
              </w:rPr>
              <w:t>uscle spasms (including blood creatine phosphokinase increased)</w:t>
            </w:r>
          </w:p>
          <w:p w14:paraId="1361D380" w14:textId="77777777" w:rsidR="00BC0E7E" w:rsidRPr="00BC0E7E" w:rsidRDefault="00BC0E7E" w:rsidP="00BC0E7E">
            <w:pPr>
              <w:widowControl w:val="0"/>
              <w:spacing w:before="60"/>
              <w:rPr>
                <w:szCs w:val="20"/>
              </w:rPr>
            </w:pPr>
          </w:p>
        </w:tc>
      </w:tr>
      <w:tr w:rsidR="00C6578C" w14:paraId="740BE628" w14:textId="77777777" w:rsidTr="000244DF">
        <w:tc>
          <w:tcPr>
            <w:tcW w:w="2600" w:type="dxa"/>
            <w:vMerge/>
          </w:tcPr>
          <w:p w14:paraId="10E7B7CB" w14:textId="77777777" w:rsidR="00BC0E7E" w:rsidRPr="00BC0E7E" w:rsidRDefault="00BC0E7E" w:rsidP="00BC0E7E">
            <w:pPr>
              <w:widowControl w:val="0"/>
              <w:spacing w:before="60"/>
              <w:jc w:val="center"/>
              <w:rPr>
                <w:b/>
              </w:rPr>
            </w:pPr>
          </w:p>
        </w:tc>
        <w:tc>
          <w:tcPr>
            <w:tcW w:w="2074" w:type="dxa"/>
          </w:tcPr>
          <w:p w14:paraId="2482AC48" w14:textId="77777777" w:rsidR="00BC0E7E" w:rsidRPr="00BC0E7E" w:rsidRDefault="00944B8F" w:rsidP="00BC0E7E">
            <w:pPr>
              <w:widowControl w:val="0"/>
              <w:rPr>
                <w:szCs w:val="20"/>
              </w:rPr>
            </w:pPr>
            <w:r w:rsidRPr="00BC0E7E">
              <w:rPr>
                <w:szCs w:val="20"/>
              </w:rPr>
              <w:t>Uncommon</w:t>
            </w:r>
          </w:p>
        </w:tc>
        <w:tc>
          <w:tcPr>
            <w:tcW w:w="4575" w:type="dxa"/>
          </w:tcPr>
          <w:p w14:paraId="44180F36" w14:textId="77777777" w:rsidR="00BC0E7E" w:rsidRPr="00BC0E7E" w:rsidRDefault="00944B8F" w:rsidP="00BC0E7E">
            <w:pPr>
              <w:widowControl w:val="0"/>
              <w:rPr>
                <w:szCs w:val="20"/>
              </w:rPr>
            </w:pPr>
            <w:r>
              <w:rPr>
                <w:szCs w:val="20"/>
              </w:rPr>
              <w:t>R</w:t>
            </w:r>
            <w:r w:rsidRPr="00BC0E7E">
              <w:rPr>
                <w:szCs w:val="20"/>
              </w:rPr>
              <w:t>habdomyolysis,</w:t>
            </w:r>
          </w:p>
          <w:p w14:paraId="6A0C6846" w14:textId="77777777" w:rsidR="00BC0E7E" w:rsidRPr="00BC0E7E" w:rsidRDefault="00944B8F" w:rsidP="00BC0E7E">
            <w:pPr>
              <w:widowControl w:val="0"/>
              <w:rPr>
                <w:szCs w:val="20"/>
              </w:rPr>
            </w:pPr>
            <w:r w:rsidRPr="00BC0E7E">
              <w:rPr>
                <w:szCs w:val="20"/>
              </w:rPr>
              <w:t>systemic lupus erythematosus</w:t>
            </w:r>
          </w:p>
          <w:p w14:paraId="79094794" w14:textId="77777777" w:rsidR="00BC0E7E" w:rsidRPr="00BC0E7E" w:rsidRDefault="00BC0E7E" w:rsidP="00BC0E7E">
            <w:pPr>
              <w:widowControl w:val="0"/>
              <w:rPr>
                <w:szCs w:val="20"/>
              </w:rPr>
            </w:pPr>
          </w:p>
        </w:tc>
      </w:tr>
      <w:tr w:rsidR="00C6578C" w14:paraId="0D684911" w14:textId="77777777" w:rsidTr="000244DF">
        <w:tc>
          <w:tcPr>
            <w:tcW w:w="2600" w:type="dxa"/>
            <w:vMerge/>
          </w:tcPr>
          <w:p w14:paraId="0789943B" w14:textId="77777777" w:rsidR="00BC0E7E" w:rsidRPr="00BC0E7E" w:rsidRDefault="00BC0E7E" w:rsidP="00BC0E7E">
            <w:pPr>
              <w:widowControl w:val="0"/>
              <w:spacing w:before="60"/>
              <w:jc w:val="center"/>
              <w:rPr>
                <w:b/>
              </w:rPr>
            </w:pPr>
          </w:p>
        </w:tc>
        <w:tc>
          <w:tcPr>
            <w:tcW w:w="2074" w:type="dxa"/>
          </w:tcPr>
          <w:p w14:paraId="44084D1C" w14:textId="77777777" w:rsidR="00BC0E7E" w:rsidRPr="00BC0E7E" w:rsidRDefault="00944B8F" w:rsidP="00BC0E7E">
            <w:pPr>
              <w:widowControl w:val="0"/>
              <w:rPr>
                <w:szCs w:val="20"/>
              </w:rPr>
            </w:pPr>
            <w:r w:rsidRPr="00BC0E7E">
              <w:rPr>
                <w:szCs w:val="20"/>
              </w:rPr>
              <w:t>Rare</w:t>
            </w:r>
          </w:p>
          <w:p w14:paraId="0D83156C" w14:textId="77777777" w:rsidR="00BC0E7E" w:rsidRPr="00BC0E7E" w:rsidRDefault="00BC0E7E" w:rsidP="00BC0E7E">
            <w:pPr>
              <w:widowControl w:val="0"/>
              <w:rPr>
                <w:szCs w:val="20"/>
              </w:rPr>
            </w:pPr>
          </w:p>
        </w:tc>
        <w:tc>
          <w:tcPr>
            <w:tcW w:w="4575" w:type="dxa"/>
          </w:tcPr>
          <w:p w14:paraId="78D99970" w14:textId="77777777" w:rsidR="00BC0E7E" w:rsidRPr="00BC0E7E" w:rsidRDefault="00944B8F" w:rsidP="00BC0E7E">
            <w:pPr>
              <w:widowControl w:val="0"/>
              <w:rPr>
                <w:szCs w:val="20"/>
                <w:vertAlign w:val="superscript"/>
              </w:rPr>
            </w:pPr>
            <w:r>
              <w:rPr>
                <w:szCs w:val="20"/>
              </w:rPr>
              <w:t>L</w:t>
            </w:r>
            <w:r w:rsidRPr="00BC0E7E">
              <w:rPr>
                <w:szCs w:val="20"/>
              </w:rPr>
              <w:t>upus-like syndrome</w:t>
            </w:r>
            <w:r w:rsidRPr="00BC0E7E">
              <w:rPr>
                <w:szCs w:val="20"/>
                <w:vertAlign w:val="superscript"/>
              </w:rPr>
              <w:t>1)</w:t>
            </w:r>
          </w:p>
          <w:p w14:paraId="4EE04949" w14:textId="77777777" w:rsidR="00BC0E7E" w:rsidRPr="00BC0E7E" w:rsidRDefault="00BC0E7E" w:rsidP="00BC0E7E">
            <w:pPr>
              <w:widowControl w:val="0"/>
              <w:rPr>
                <w:szCs w:val="20"/>
              </w:rPr>
            </w:pPr>
          </w:p>
        </w:tc>
      </w:tr>
      <w:tr w:rsidR="00C6578C" w14:paraId="73782DC7" w14:textId="77777777" w:rsidTr="000244DF">
        <w:tc>
          <w:tcPr>
            <w:tcW w:w="2600" w:type="dxa"/>
            <w:vMerge w:val="restart"/>
          </w:tcPr>
          <w:p w14:paraId="74C7D8F4" w14:textId="77777777" w:rsidR="00BC0E7E" w:rsidRPr="00BC0E7E" w:rsidRDefault="00944B8F" w:rsidP="00BC0E7E">
            <w:pPr>
              <w:widowControl w:val="0"/>
              <w:spacing w:before="60"/>
              <w:rPr>
                <w:szCs w:val="20"/>
              </w:rPr>
            </w:pPr>
            <w:r w:rsidRPr="00BC0E7E">
              <w:rPr>
                <w:szCs w:val="20"/>
              </w:rPr>
              <w:t xml:space="preserve">Renal and urinary disorders </w:t>
            </w:r>
          </w:p>
        </w:tc>
        <w:tc>
          <w:tcPr>
            <w:tcW w:w="2074" w:type="dxa"/>
          </w:tcPr>
          <w:p w14:paraId="31DB094B" w14:textId="77777777" w:rsidR="00BC0E7E" w:rsidRPr="00BC0E7E" w:rsidRDefault="00944B8F" w:rsidP="00BC0E7E">
            <w:pPr>
              <w:widowControl w:val="0"/>
              <w:spacing w:before="60"/>
              <w:rPr>
                <w:szCs w:val="20"/>
              </w:rPr>
            </w:pPr>
            <w:r w:rsidRPr="00BC0E7E">
              <w:rPr>
                <w:szCs w:val="20"/>
              </w:rPr>
              <w:t>Common</w:t>
            </w:r>
          </w:p>
          <w:p w14:paraId="3B005771" w14:textId="77777777" w:rsidR="00BC0E7E" w:rsidRPr="00BC0E7E" w:rsidRDefault="00BC0E7E" w:rsidP="00BC0E7E">
            <w:pPr>
              <w:widowControl w:val="0"/>
              <w:spacing w:before="60"/>
              <w:rPr>
                <w:szCs w:val="20"/>
              </w:rPr>
            </w:pPr>
          </w:p>
        </w:tc>
        <w:tc>
          <w:tcPr>
            <w:tcW w:w="4575" w:type="dxa"/>
          </w:tcPr>
          <w:p w14:paraId="172751AF" w14:textId="77777777" w:rsidR="00BC0E7E" w:rsidRPr="00BC0E7E" w:rsidRDefault="00944B8F" w:rsidP="00BC0E7E">
            <w:pPr>
              <w:widowControl w:val="0"/>
              <w:spacing w:before="60"/>
              <w:rPr>
                <w:szCs w:val="20"/>
              </w:rPr>
            </w:pPr>
            <w:r>
              <w:rPr>
                <w:szCs w:val="20"/>
              </w:rPr>
              <w:t>R</w:t>
            </w:r>
            <w:r w:rsidRPr="00BC0E7E">
              <w:rPr>
                <w:szCs w:val="20"/>
              </w:rPr>
              <w:t>enal impairment,</w:t>
            </w:r>
          </w:p>
          <w:p w14:paraId="5A7572ED" w14:textId="77777777" w:rsidR="00BC0E7E" w:rsidRPr="00BC0E7E" w:rsidRDefault="00944B8F" w:rsidP="00BC0E7E">
            <w:pPr>
              <w:widowControl w:val="0"/>
              <w:spacing w:before="60"/>
              <w:rPr>
                <w:szCs w:val="20"/>
              </w:rPr>
            </w:pPr>
            <w:r w:rsidRPr="00BC0E7E">
              <w:rPr>
                <w:szCs w:val="20"/>
              </w:rPr>
              <w:t>haematuria</w:t>
            </w:r>
          </w:p>
          <w:p w14:paraId="66C6CB75" w14:textId="77777777" w:rsidR="00BC0E7E" w:rsidRPr="00BC0E7E" w:rsidRDefault="00BC0E7E" w:rsidP="00BC0E7E">
            <w:pPr>
              <w:widowControl w:val="0"/>
              <w:spacing w:before="60"/>
              <w:rPr>
                <w:szCs w:val="20"/>
              </w:rPr>
            </w:pPr>
          </w:p>
        </w:tc>
      </w:tr>
      <w:tr w:rsidR="00C6578C" w14:paraId="4FD2637B" w14:textId="77777777" w:rsidTr="000244DF">
        <w:tc>
          <w:tcPr>
            <w:tcW w:w="2600" w:type="dxa"/>
            <w:vMerge/>
          </w:tcPr>
          <w:p w14:paraId="6481292C" w14:textId="77777777" w:rsidR="00BC0E7E" w:rsidRPr="00BC0E7E" w:rsidRDefault="00BC0E7E" w:rsidP="00BC0E7E">
            <w:pPr>
              <w:widowControl w:val="0"/>
              <w:spacing w:before="60"/>
              <w:jc w:val="center"/>
              <w:rPr>
                <w:b/>
              </w:rPr>
            </w:pPr>
          </w:p>
        </w:tc>
        <w:tc>
          <w:tcPr>
            <w:tcW w:w="2074" w:type="dxa"/>
          </w:tcPr>
          <w:p w14:paraId="4A155CD1" w14:textId="77777777" w:rsidR="00BC0E7E" w:rsidRPr="00BC0E7E" w:rsidRDefault="00944B8F" w:rsidP="00BC0E7E">
            <w:pPr>
              <w:widowControl w:val="0"/>
              <w:rPr>
                <w:szCs w:val="20"/>
              </w:rPr>
            </w:pPr>
            <w:r w:rsidRPr="00BC0E7E">
              <w:rPr>
                <w:szCs w:val="20"/>
              </w:rPr>
              <w:t>Uncommon</w:t>
            </w:r>
          </w:p>
          <w:p w14:paraId="3096A3FB" w14:textId="77777777" w:rsidR="00BC0E7E" w:rsidRPr="00BC0E7E" w:rsidRDefault="00BC0E7E" w:rsidP="00BC0E7E">
            <w:pPr>
              <w:widowControl w:val="0"/>
              <w:rPr>
                <w:szCs w:val="20"/>
              </w:rPr>
            </w:pPr>
          </w:p>
        </w:tc>
        <w:tc>
          <w:tcPr>
            <w:tcW w:w="4575" w:type="dxa"/>
          </w:tcPr>
          <w:p w14:paraId="1E1D96CC" w14:textId="77777777" w:rsidR="00BC0E7E" w:rsidRPr="00BC0E7E" w:rsidRDefault="00944B8F" w:rsidP="00BC0E7E">
            <w:pPr>
              <w:widowControl w:val="0"/>
              <w:rPr>
                <w:szCs w:val="20"/>
              </w:rPr>
            </w:pPr>
            <w:r>
              <w:rPr>
                <w:szCs w:val="20"/>
              </w:rPr>
              <w:t>N</w:t>
            </w:r>
            <w:r w:rsidRPr="00BC0E7E">
              <w:rPr>
                <w:szCs w:val="20"/>
              </w:rPr>
              <w:t>octuria</w:t>
            </w:r>
          </w:p>
          <w:p w14:paraId="702ED5F1" w14:textId="77777777" w:rsidR="00BC0E7E" w:rsidRPr="00BC0E7E" w:rsidRDefault="00BC0E7E" w:rsidP="00BC0E7E">
            <w:pPr>
              <w:widowControl w:val="0"/>
              <w:rPr>
                <w:szCs w:val="20"/>
              </w:rPr>
            </w:pPr>
          </w:p>
        </w:tc>
      </w:tr>
      <w:tr w:rsidR="00C6578C" w14:paraId="15BB9EFB" w14:textId="77777777" w:rsidTr="00171601">
        <w:tc>
          <w:tcPr>
            <w:tcW w:w="2600" w:type="dxa"/>
          </w:tcPr>
          <w:p w14:paraId="553F32EF" w14:textId="77777777" w:rsidR="00BC0E7E" w:rsidRPr="00BC0E7E" w:rsidRDefault="00944B8F" w:rsidP="00BC0E7E">
            <w:pPr>
              <w:widowControl w:val="0"/>
              <w:spacing w:before="60"/>
              <w:rPr>
                <w:szCs w:val="20"/>
              </w:rPr>
            </w:pPr>
            <w:r w:rsidRPr="00BC0E7E">
              <w:rPr>
                <w:szCs w:val="20"/>
              </w:rPr>
              <w:t>Reproductive system and breast disorders</w:t>
            </w:r>
          </w:p>
        </w:tc>
        <w:tc>
          <w:tcPr>
            <w:tcW w:w="2074" w:type="dxa"/>
          </w:tcPr>
          <w:p w14:paraId="7491DF13" w14:textId="77777777" w:rsidR="00BC0E7E" w:rsidRPr="00BC0E7E" w:rsidRDefault="00944B8F" w:rsidP="00BC0E7E">
            <w:pPr>
              <w:widowControl w:val="0"/>
              <w:spacing w:before="60"/>
              <w:rPr>
                <w:szCs w:val="20"/>
              </w:rPr>
            </w:pPr>
            <w:r w:rsidRPr="00BC0E7E">
              <w:rPr>
                <w:szCs w:val="20"/>
              </w:rPr>
              <w:t>Uncommon</w:t>
            </w:r>
          </w:p>
        </w:tc>
        <w:tc>
          <w:tcPr>
            <w:tcW w:w="4575" w:type="dxa"/>
          </w:tcPr>
          <w:p w14:paraId="1B27DD75" w14:textId="77777777" w:rsidR="00BC0E7E" w:rsidRPr="00BC0E7E" w:rsidRDefault="00944B8F" w:rsidP="00BC0E7E">
            <w:pPr>
              <w:widowControl w:val="0"/>
              <w:spacing w:before="60"/>
              <w:rPr>
                <w:szCs w:val="20"/>
              </w:rPr>
            </w:pPr>
            <w:r>
              <w:rPr>
                <w:szCs w:val="20"/>
              </w:rPr>
              <w:t>E</w:t>
            </w:r>
            <w:r w:rsidRPr="00BC0E7E">
              <w:rPr>
                <w:szCs w:val="20"/>
              </w:rPr>
              <w:t>rectile dysfunction</w:t>
            </w:r>
          </w:p>
          <w:p w14:paraId="6367873A" w14:textId="77777777" w:rsidR="00BC0E7E" w:rsidRPr="00BC0E7E" w:rsidRDefault="00BC0E7E" w:rsidP="00BC0E7E">
            <w:pPr>
              <w:widowControl w:val="0"/>
              <w:spacing w:before="60"/>
              <w:rPr>
                <w:szCs w:val="20"/>
              </w:rPr>
            </w:pPr>
          </w:p>
        </w:tc>
      </w:tr>
      <w:tr w:rsidR="00C6578C" w14:paraId="6FCDCEB0" w14:textId="77777777" w:rsidTr="000244DF">
        <w:tc>
          <w:tcPr>
            <w:tcW w:w="2600" w:type="dxa"/>
            <w:vMerge w:val="restart"/>
          </w:tcPr>
          <w:p w14:paraId="59CEADAB" w14:textId="77777777" w:rsidR="00BC0E7E" w:rsidRPr="00BC0E7E" w:rsidRDefault="00944B8F" w:rsidP="00BC0E7E">
            <w:pPr>
              <w:widowControl w:val="0"/>
              <w:spacing w:before="60"/>
              <w:rPr>
                <w:szCs w:val="20"/>
              </w:rPr>
            </w:pPr>
            <w:r w:rsidRPr="00BC0E7E">
              <w:rPr>
                <w:szCs w:val="20"/>
              </w:rPr>
              <w:t>General disorders and administration site conditions*</w:t>
            </w:r>
          </w:p>
        </w:tc>
        <w:tc>
          <w:tcPr>
            <w:tcW w:w="2074" w:type="dxa"/>
          </w:tcPr>
          <w:p w14:paraId="68E95295" w14:textId="77777777" w:rsidR="00BC0E7E" w:rsidRPr="00BC0E7E" w:rsidRDefault="00944B8F" w:rsidP="00BC0E7E">
            <w:pPr>
              <w:widowControl w:val="0"/>
              <w:spacing w:before="60"/>
              <w:rPr>
                <w:szCs w:val="20"/>
              </w:rPr>
            </w:pPr>
            <w:r w:rsidRPr="00BC0E7E">
              <w:rPr>
                <w:szCs w:val="20"/>
              </w:rPr>
              <w:t>Very Common</w:t>
            </w:r>
          </w:p>
          <w:p w14:paraId="5A1219AF" w14:textId="77777777" w:rsidR="00BC0E7E" w:rsidRPr="00BC0E7E" w:rsidRDefault="00BC0E7E" w:rsidP="00BC0E7E">
            <w:pPr>
              <w:widowControl w:val="0"/>
              <w:spacing w:before="60"/>
              <w:rPr>
                <w:szCs w:val="20"/>
              </w:rPr>
            </w:pPr>
          </w:p>
        </w:tc>
        <w:tc>
          <w:tcPr>
            <w:tcW w:w="4575" w:type="dxa"/>
          </w:tcPr>
          <w:p w14:paraId="03703C93" w14:textId="77777777" w:rsidR="00BC0E7E" w:rsidRPr="00BC0E7E" w:rsidRDefault="00944B8F" w:rsidP="00BC0E7E">
            <w:pPr>
              <w:widowControl w:val="0"/>
              <w:spacing w:before="60"/>
              <w:rPr>
                <w:szCs w:val="20"/>
              </w:rPr>
            </w:pPr>
            <w:r>
              <w:rPr>
                <w:szCs w:val="20"/>
              </w:rPr>
              <w:t>I</w:t>
            </w:r>
            <w:r w:rsidRPr="00BC0E7E">
              <w:rPr>
                <w:szCs w:val="20"/>
              </w:rPr>
              <w:t>njection site reaction (including injection site erythema)</w:t>
            </w:r>
          </w:p>
          <w:p w14:paraId="03D07965" w14:textId="77777777" w:rsidR="00BC0E7E" w:rsidRPr="00BC0E7E" w:rsidRDefault="00BC0E7E" w:rsidP="00BC0E7E">
            <w:pPr>
              <w:widowControl w:val="0"/>
              <w:spacing w:before="60"/>
              <w:rPr>
                <w:szCs w:val="20"/>
              </w:rPr>
            </w:pPr>
          </w:p>
        </w:tc>
      </w:tr>
      <w:tr w:rsidR="00C6578C" w14:paraId="2CF9C31F" w14:textId="77777777" w:rsidTr="000244DF">
        <w:tc>
          <w:tcPr>
            <w:tcW w:w="2600" w:type="dxa"/>
            <w:vMerge/>
          </w:tcPr>
          <w:p w14:paraId="457F1C37" w14:textId="77777777" w:rsidR="00BC0E7E" w:rsidRPr="00BC0E7E" w:rsidRDefault="00BC0E7E" w:rsidP="00BC0E7E">
            <w:pPr>
              <w:widowControl w:val="0"/>
              <w:spacing w:before="60"/>
              <w:jc w:val="center"/>
              <w:rPr>
                <w:b/>
              </w:rPr>
            </w:pPr>
          </w:p>
        </w:tc>
        <w:tc>
          <w:tcPr>
            <w:tcW w:w="2074" w:type="dxa"/>
          </w:tcPr>
          <w:p w14:paraId="386A4193" w14:textId="77777777" w:rsidR="00BC0E7E" w:rsidRPr="00BC0E7E" w:rsidRDefault="00944B8F" w:rsidP="00BC0E7E">
            <w:pPr>
              <w:widowControl w:val="0"/>
              <w:rPr>
                <w:szCs w:val="20"/>
              </w:rPr>
            </w:pPr>
            <w:r w:rsidRPr="00BC0E7E">
              <w:rPr>
                <w:szCs w:val="20"/>
              </w:rPr>
              <w:t>Common</w:t>
            </w:r>
          </w:p>
          <w:p w14:paraId="5F6264D7" w14:textId="77777777" w:rsidR="00BC0E7E" w:rsidRPr="00BC0E7E" w:rsidRDefault="00BC0E7E" w:rsidP="00BC0E7E">
            <w:pPr>
              <w:widowControl w:val="0"/>
              <w:rPr>
                <w:szCs w:val="20"/>
              </w:rPr>
            </w:pPr>
          </w:p>
        </w:tc>
        <w:tc>
          <w:tcPr>
            <w:tcW w:w="4575" w:type="dxa"/>
          </w:tcPr>
          <w:p w14:paraId="5CC36E09" w14:textId="77777777" w:rsidR="00BC0E7E" w:rsidRPr="00BC0E7E" w:rsidRDefault="00944B8F" w:rsidP="00BC0E7E">
            <w:pPr>
              <w:widowControl w:val="0"/>
              <w:rPr>
                <w:szCs w:val="20"/>
              </w:rPr>
            </w:pPr>
            <w:r>
              <w:rPr>
                <w:szCs w:val="20"/>
              </w:rPr>
              <w:t>C</w:t>
            </w:r>
            <w:r w:rsidRPr="00BC0E7E">
              <w:rPr>
                <w:szCs w:val="20"/>
              </w:rPr>
              <w:t xml:space="preserve">hest pain, </w:t>
            </w:r>
          </w:p>
          <w:p w14:paraId="5061389E" w14:textId="77777777" w:rsidR="00BC0E7E" w:rsidRPr="00BC0E7E" w:rsidRDefault="00944B8F" w:rsidP="00BC0E7E">
            <w:pPr>
              <w:widowControl w:val="0"/>
              <w:rPr>
                <w:szCs w:val="20"/>
              </w:rPr>
            </w:pPr>
            <w:r w:rsidRPr="00BC0E7E">
              <w:rPr>
                <w:szCs w:val="20"/>
              </w:rPr>
              <w:t>oedema,</w:t>
            </w:r>
          </w:p>
          <w:p w14:paraId="3CC5EE13" w14:textId="77777777" w:rsidR="00BC0E7E" w:rsidRPr="00BC0E7E" w:rsidRDefault="00944B8F" w:rsidP="00BC0E7E">
            <w:pPr>
              <w:widowControl w:val="0"/>
              <w:rPr>
                <w:szCs w:val="20"/>
              </w:rPr>
            </w:pPr>
            <w:r w:rsidRPr="00BC0E7E">
              <w:rPr>
                <w:szCs w:val="20"/>
              </w:rPr>
              <w:t>pyrexia</w:t>
            </w:r>
            <w:r w:rsidRPr="00BC0E7E">
              <w:rPr>
                <w:szCs w:val="20"/>
                <w:vertAlign w:val="superscript"/>
              </w:rPr>
              <w:t>1)</w:t>
            </w:r>
          </w:p>
          <w:p w14:paraId="104B1F3B" w14:textId="77777777" w:rsidR="00BC0E7E" w:rsidRPr="00BC0E7E" w:rsidRDefault="00BC0E7E" w:rsidP="00BC0E7E">
            <w:pPr>
              <w:widowControl w:val="0"/>
              <w:rPr>
                <w:szCs w:val="20"/>
              </w:rPr>
            </w:pPr>
          </w:p>
        </w:tc>
      </w:tr>
      <w:tr w:rsidR="00C6578C" w14:paraId="57AF0F2F" w14:textId="77777777" w:rsidTr="000244DF">
        <w:tc>
          <w:tcPr>
            <w:tcW w:w="2600" w:type="dxa"/>
            <w:vMerge/>
          </w:tcPr>
          <w:p w14:paraId="04BF47F1" w14:textId="77777777" w:rsidR="00BC0E7E" w:rsidRPr="00BC0E7E" w:rsidRDefault="00BC0E7E" w:rsidP="00BC0E7E">
            <w:pPr>
              <w:widowControl w:val="0"/>
              <w:spacing w:before="60"/>
              <w:jc w:val="center"/>
              <w:rPr>
                <w:b/>
              </w:rPr>
            </w:pPr>
          </w:p>
        </w:tc>
        <w:tc>
          <w:tcPr>
            <w:tcW w:w="2074" w:type="dxa"/>
          </w:tcPr>
          <w:p w14:paraId="3937AD8F" w14:textId="77777777" w:rsidR="00BC0E7E" w:rsidRPr="00BC0E7E" w:rsidRDefault="00944B8F" w:rsidP="00BC0E7E">
            <w:pPr>
              <w:widowControl w:val="0"/>
              <w:rPr>
                <w:szCs w:val="20"/>
              </w:rPr>
            </w:pPr>
            <w:r w:rsidRPr="00BC0E7E">
              <w:rPr>
                <w:szCs w:val="20"/>
              </w:rPr>
              <w:t>Uncommon</w:t>
            </w:r>
          </w:p>
          <w:p w14:paraId="280A2BF4" w14:textId="77777777" w:rsidR="00BC0E7E" w:rsidRPr="00BC0E7E" w:rsidRDefault="00BC0E7E" w:rsidP="00BC0E7E">
            <w:pPr>
              <w:widowControl w:val="0"/>
              <w:rPr>
                <w:szCs w:val="20"/>
              </w:rPr>
            </w:pPr>
          </w:p>
        </w:tc>
        <w:tc>
          <w:tcPr>
            <w:tcW w:w="4575" w:type="dxa"/>
          </w:tcPr>
          <w:p w14:paraId="294503C9" w14:textId="77777777" w:rsidR="00BC0E7E" w:rsidRPr="00BC0E7E" w:rsidRDefault="00944B8F" w:rsidP="00BC0E7E">
            <w:pPr>
              <w:widowControl w:val="0"/>
              <w:rPr>
                <w:szCs w:val="20"/>
              </w:rPr>
            </w:pPr>
            <w:r>
              <w:rPr>
                <w:szCs w:val="20"/>
              </w:rPr>
              <w:t>I</w:t>
            </w:r>
            <w:r w:rsidRPr="00BC0E7E">
              <w:rPr>
                <w:szCs w:val="20"/>
              </w:rPr>
              <w:t>nflammation</w:t>
            </w:r>
          </w:p>
        </w:tc>
      </w:tr>
      <w:tr w:rsidR="00C6578C" w14:paraId="17A72A05" w14:textId="77777777" w:rsidTr="00171601">
        <w:tc>
          <w:tcPr>
            <w:tcW w:w="2600" w:type="dxa"/>
            <w:vMerge w:val="restart"/>
          </w:tcPr>
          <w:p w14:paraId="71E65DC1" w14:textId="77777777" w:rsidR="00693052" w:rsidRPr="00BC0E7E" w:rsidRDefault="00944B8F" w:rsidP="00BC0E7E">
            <w:pPr>
              <w:widowControl w:val="0"/>
              <w:spacing w:before="60"/>
              <w:rPr>
                <w:szCs w:val="20"/>
              </w:rPr>
            </w:pPr>
            <w:r w:rsidRPr="00BC0E7E">
              <w:rPr>
                <w:szCs w:val="20"/>
              </w:rPr>
              <w:t>Investigations*</w:t>
            </w:r>
          </w:p>
        </w:tc>
        <w:tc>
          <w:tcPr>
            <w:tcW w:w="2074" w:type="dxa"/>
          </w:tcPr>
          <w:p w14:paraId="2DA7B398" w14:textId="77777777" w:rsidR="00693052" w:rsidRPr="00BC0E7E" w:rsidRDefault="00944B8F" w:rsidP="00BC0E7E">
            <w:pPr>
              <w:widowControl w:val="0"/>
              <w:spacing w:before="60"/>
              <w:rPr>
                <w:szCs w:val="20"/>
              </w:rPr>
            </w:pPr>
            <w:r w:rsidRPr="00BC0E7E">
              <w:rPr>
                <w:szCs w:val="20"/>
              </w:rPr>
              <w:t>Common</w:t>
            </w:r>
          </w:p>
        </w:tc>
        <w:tc>
          <w:tcPr>
            <w:tcW w:w="4575" w:type="dxa"/>
          </w:tcPr>
          <w:p w14:paraId="15A19913" w14:textId="77777777" w:rsidR="00693052" w:rsidRPr="00BC0E7E" w:rsidRDefault="00944B8F" w:rsidP="00BC0E7E">
            <w:pPr>
              <w:widowControl w:val="0"/>
              <w:spacing w:before="60"/>
              <w:rPr>
                <w:szCs w:val="20"/>
              </w:rPr>
            </w:pPr>
            <w:r>
              <w:rPr>
                <w:szCs w:val="20"/>
              </w:rPr>
              <w:t>C</w:t>
            </w:r>
            <w:r w:rsidRPr="00BC0E7E">
              <w:rPr>
                <w:szCs w:val="20"/>
              </w:rPr>
              <w:t xml:space="preserve">oagulation and bleeding disorders (including activated partial thromboplastin time prolonged), </w:t>
            </w:r>
          </w:p>
          <w:p w14:paraId="737A32FC" w14:textId="77777777" w:rsidR="00693052" w:rsidRPr="00BC0E7E" w:rsidRDefault="00944B8F" w:rsidP="00BC0E7E">
            <w:pPr>
              <w:widowControl w:val="0"/>
              <w:spacing w:before="60"/>
              <w:rPr>
                <w:szCs w:val="20"/>
              </w:rPr>
            </w:pPr>
            <w:r w:rsidRPr="00BC0E7E">
              <w:rPr>
                <w:szCs w:val="20"/>
              </w:rPr>
              <w:t xml:space="preserve">autoantibody test positive (including double stranded DNA antibody), </w:t>
            </w:r>
          </w:p>
          <w:p w14:paraId="3202D985" w14:textId="77777777" w:rsidR="00693052" w:rsidRPr="00BC0E7E" w:rsidRDefault="00944B8F" w:rsidP="00BC0E7E">
            <w:pPr>
              <w:widowControl w:val="0"/>
              <w:spacing w:before="60"/>
              <w:rPr>
                <w:szCs w:val="20"/>
              </w:rPr>
            </w:pPr>
            <w:r w:rsidRPr="00BC0E7E">
              <w:rPr>
                <w:szCs w:val="20"/>
              </w:rPr>
              <w:t>blood lactate dehydrogenase increased</w:t>
            </w:r>
          </w:p>
          <w:p w14:paraId="325F936A" w14:textId="77777777" w:rsidR="00693052" w:rsidRPr="00BC0E7E" w:rsidRDefault="00693052" w:rsidP="00BC0E7E">
            <w:pPr>
              <w:widowControl w:val="0"/>
              <w:spacing w:before="60"/>
              <w:rPr>
                <w:szCs w:val="20"/>
              </w:rPr>
            </w:pPr>
          </w:p>
        </w:tc>
      </w:tr>
      <w:tr w:rsidR="00C6578C" w14:paraId="6C8BF033" w14:textId="77777777" w:rsidTr="00171601">
        <w:tc>
          <w:tcPr>
            <w:tcW w:w="2600" w:type="dxa"/>
            <w:vMerge/>
          </w:tcPr>
          <w:p w14:paraId="0303B37F" w14:textId="77777777" w:rsidR="00693052" w:rsidRPr="00BC0E7E" w:rsidRDefault="00693052" w:rsidP="00BC0E7E">
            <w:pPr>
              <w:widowControl w:val="0"/>
              <w:spacing w:before="60"/>
              <w:rPr>
                <w:szCs w:val="20"/>
              </w:rPr>
            </w:pPr>
            <w:bookmarkStart w:id="8529" w:name="_Hlk63321842"/>
          </w:p>
        </w:tc>
        <w:tc>
          <w:tcPr>
            <w:tcW w:w="2074" w:type="dxa"/>
          </w:tcPr>
          <w:p w14:paraId="4009D306" w14:textId="77777777" w:rsidR="00693052" w:rsidRPr="00BC0E7E" w:rsidRDefault="00944B8F" w:rsidP="00BC0E7E">
            <w:pPr>
              <w:widowControl w:val="0"/>
              <w:spacing w:before="60"/>
              <w:rPr>
                <w:szCs w:val="20"/>
              </w:rPr>
            </w:pPr>
            <w:r>
              <w:rPr>
                <w:szCs w:val="20"/>
              </w:rPr>
              <w:t>Not known</w:t>
            </w:r>
          </w:p>
        </w:tc>
        <w:tc>
          <w:tcPr>
            <w:tcW w:w="4575" w:type="dxa"/>
          </w:tcPr>
          <w:p w14:paraId="53F15663" w14:textId="77777777" w:rsidR="00693052" w:rsidRDefault="00944B8F" w:rsidP="00BC0E7E">
            <w:pPr>
              <w:widowControl w:val="0"/>
              <w:spacing w:before="60"/>
              <w:rPr>
                <w:szCs w:val="20"/>
              </w:rPr>
            </w:pPr>
            <w:r>
              <w:rPr>
                <w:szCs w:val="20"/>
              </w:rPr>
              <w:t>Weight increased</w:t>
            </w:r>
            <w:r w:rsidRPr="00693052">
              <w:rPr>
                <w:vertAlign w:val="superscript"/>
              </w:rPr>
              <w:t>2)</w:t>
            </w:r>
          </w:p>
        </w:tc>
      </w:tr>
      <w:bookmarkEnd w:id="8529"/>
      <w:tr w:rsidR="00C6578C" w14:paraId="20EF6221" w14:textId="77777777" w:rsidTr="00171601">
        <w:tc>
          <w:tcPr>
            <w:tcW w:w="2600" w:type="dxa"/>
          </w:tcPr>
          <w:p w14:paraId="4F8AC55E" w14:textId="77777777" w:rsidR="00BC0E7E" w:rsidRPr="00BC0E7E" w:rsidRDefault="00944B8F" w:rsidP="00BC0E7E">
            <w:pPr>
              <w:widowControl w:val="0"/>
              <w:spacing w:before="60"/>
              <w:rPr>
                <w:szCs w:val="20"/>
              </w:rPr>
            </w:pPr>
            <w:r w:rsidRPr="00BC0E7E">
              <w:rPr>
                <w:szCs w:val="20"/>
              </w:rPr>
              <w:t>Injury, poisoning and procedural complications</w:t>
            </w:r>
          </w:p>
        </w:tc>
        <w:tc>
          <w:tcPr>
            <w:tcW w:w="2074" w:type="dxa"/>
          </w:tcPr>
          <w:p w14:paraId="19C29645" w14:textId="77777777" w:rsidR="00BC0E7E" w:rsidRPr="00BC0E7E" w:rsidRDefault="00944B8F" w:rsidP="00BC0E7E">
            <w:pPr>
              <w:widowControl w:val="0"/>
              <w:spacing w:before="60"/>
              <w:rPr>
                <w:szCs w:val="20"/>
              </w:rPr>
            </w:pPr>
            <w:r w:rsidRPr="00BC0E7E">
              <w:rPr>
                <w:szCs w:val="20"/>
              </w:rPr>
              <w:t>Common</w:t>
            </w:r>
          </w:p>
        </w:tc>
        <w:tc>
          <w:tcPr>
            <w:tcW w:w="4575" w:type="dxa"/>
          </w:tcPr>
          <w:p w14:paraId="590B96DA" w14:textId="77777777" w:rsidR="00BC0E7E" w:rsidRPr="00BC0E7E" w:rsidRDefault="00944B8F" w:rsidP="00BC0E7E">
            <w:pPr>
              <w:widowControl w:val="0"/>
              <w:spacing w:before="60"/>
              <w:rPr>
                <w:szCs w:val="20"/>
              </w:rPr>
            </w:pPr>
            <w:r>
              <w:rPr>
                <w:szCs w:val="20"/>
              </w:rPr>
              <w:t>I</w:t>
            </w:r>
            <w:r w:rsidRPr="00BC0E7E">
              <w:rPr>
                <w:szCs w:val="20"/>
              </w:rPr>
              <w:t>mpaired healing</w:t>
            </w:r>
          </w:p>
          <w:p w14:paraId="2CA71578" w14:textId="77777777" w:rsidR="009F76D2" w:rsidRPr="00BC0E7E" w:rsidRDefault="009F76D2" w:rsidP="00BC0E7E">
            <w:pPr>
              <w:widowControl w:val="0"/>
              <w:spacing w:before="60"/>
              <w:rPr>
                <w:szCs w:val="20"/>
              </w:rPr>
            </w:pPr>
          </w:p>
        </w:tc>
      </w:tr>
    </w:tbl>
    <w:p w14:paraId="1A94550C" w14:textId="77777777" w:rsidR="00BC0E7E" w:rsidRPr="00BC0E7E" w:rsidRDefault="00BC0E7E" w:rsidP="00BC0E7E">
      <w:pPr>
        <w:rPr>
          <w:sz w:val="20"/>
        </w:rPr>
      </w:pPr>
    </w:p>
    <w:p w14:paraId="478F64A8" w14:textId="77777777" w:rsidR="00BC0E7E" w:rsidRPr="00BC0E7E" w:rsidRDefault="00944B8F" w:rsidP="00BC0E7E">
      <w:r w:rsidRPr="00BC0E7E">
        <w:t>* further information is found elsewhere in sections 4.3, 4.4 and 4.8</w:t>
      </w:r>
    </w:p>
    <w:p w14:paraId="63155CD1" w14:textId="77777777" w:rsidR="00BC0E7E" w:rsidRPr="00BC0E7E" w:rsidRDefault="00944B8F" w:rsidP="00BC0E7E">
      <w:pPr>
        <w:rPr>
          <w:szCs w:val="22"/>
        </w:rPr>
      </w:pPr>
      <w:r w:rsidRPr="00BC0E7E">
        <w:rPr>
          <w:szCs w:val="20"/>
        </w:rPr>
        <w:t>** including open label extension stu</w:t>
      </w:r>
      <w:r w:rsidRPr="00BC0E7E">
        <w:rPr>
          <w:szCs w:val="22"/>
        </w:rPr>
        <w:t>dies</w:t>
      </w:r>
    </w:p>
    <w:p w14:paraId="4596AB52" w14:textId="77777777" w:rsidR="00BC0E7E" w:rsidRDefault="00944B8F" w:rsidP="00BC0E7E">
      <w:pPr>
        <w:rPr>
          <w:szCs w:val="22"/>
        </w:rPr>
      </w:pPr>
      <w:r w:rsidRPr="009F76D2">
        <w:rPr>
          <w:szCs w:val="22"/>
          <w:vertAlign w:val="superscript"/>
        </w:rPr>
        <w:t>1)</w:t>
      </w:r>
      <w:r w:rsidRPr="009F76D2">
        <w:rPr>
          <w:szCs w:val="22"/>
        </w:rPr>
        <w:t xml:space="preserve"> including spontaneous reporting data</w:t>
      </w:r>
    </w:p>
    <w:p w14:paraId="40374A1F" w14:textId="77777777" w:rsidR="009F76D2" w:rsidRPr="009F76D2" w:rsidRDefault="00944B8F" w:rsidP="00BC0E7E">
      <w:pPr>
        <w:rPr>
          <w:szCs w:val="22"/>
        </w:rPr>
      </w:pPr>
      <w:bookmarkStart w:id="8530" w:name="_Hlk63321849"/>
      <w:r w:rsidRPr="00693052">
        <w:rPr>
          <w:vertAlign w:val="superscript"/>
        </w:rPr>
        <w:t>2) </w:t>
      </w:r>
      <w:r w:rsidR="00E05C80" w:rsidRPr="00693052">
        <w:t>The mean weight change from baseline for adalimumab ranged from 0.3</w:t>
      </w:r>
      <w:r w:rsidR="00E05C80">
        <w:t> </w:t>
      </w:r>
      <w:r w:rsidR="00E05C80" w:rsidRPr="00693052">
        <w:t>kg to 1.0</w:t>
      </w:r>
      <w:r w:rsidR="00E05C80">
        <w:t> </w:t>
      </w:r>
      <w:r w:rsidR="00E05C80" w:rsidRPr="00693052">
        <w:t>kg across adult indications compared to (minus) -0.4</w:t>
      </w:r>
      <w:r w:rsidR="00E05C80">
        <w:t> </w:t>
      </w:r>
      <w:r w:rsidR="00E05C80" w:rsidRPr="00693052">
        <w:t>kg to 0.4</w:t>
      </w:r>
      <w:r w:rsidR="00E05C80">
        <w:t> </w:t>
      </w:r>
      <w:r w:rsidR="00E05C80" w:rsidRPr="00693052">
        <w:t>kg for placebo over a treatment period of 4-6 months. Weight increase of 5-6</w:t>
      </w:r>
      <w:r w:rsidR="00E05C80">
        <w:t> </w:t>
      </w:r>
      <w:r w:rsidR="00E05C80" w:rsidRPr="00693052">
        <w:t>kg has also been observed</w:t>
      </w:r>
      <w:r w:rsidR="00E05C80">
        <w:t xml:space="preserve"> in long-term extension studies with mean exposures of approximately 1-2 years without control group,</w:t>
      </w:r>
      <w:r w:rsidR="00E05C80" w:rsidRPr="00693052">
        <w:t xml:space="preserve"> particularly in patients with Crohn’s disease and U</w:t>
      </w:r>
      <w:r w:rsidR="00E05C80" w:rsidRPr="00530CA3">
        <w:t>l</w:t>
      </w:r>
      <w:r w:rsidR="00E05C80" w:rsidRPr="00693052">
        <w:t>cerative colitis. The mechanism behind this effect is unclear but could be associated with the anti</w:t>
      </w:r>
      <w:r w:rsidR="00E05C80">
        <w:noBreakHyphen/>
      </w:r>
      <w:r w:rsidR="00E05C80" w:rsidRPr="00693052">
        <w:t>inflammatory effect of adalimumab.</w:t>
      </w:r>
    </w:p>
    <w:bookmarkEnd w:id="8530"/>
    <w:p w14:paraId="24235F3B" w14:textId="77777777" w:rsidR="00BC0E7E" w:rsidRPr="00BC0E7E" w:rsidRDefault="00BC0E7E" w:rsidP="00BC0E7E">
      <w:pPr>
        <w:rPr>
          <w:szCs w:val="22"/>
        </w:rPr>
      </w:pPr>
    </w:p>
    <w:p w14:paraId="7C091759" w14:textId="77777777" w:rsidR="00BC0E7E" w:rsidRPr="00BC0E7E" w:rsidRDefault="00944B8F" w:rsidP="00BC0E7E">
      <w:pPr>
        <w:rPr>
          <w:szCs w:val="22"/>
          <w:u w:val="single"/>
        </w:rPr>
      </w:pPr>
      <w:r w:rsidRPr="00BC0E7E">
        <w:rPr>
          <w:szCs w:val="22"/>
          <w:u w:val="single"/>
        </w:rPr>
        <w:t>Hidradenitis suppurativa</w:t>
      </w:r>
    </w:p>
    <w:p w14:paraId="03D1A506" w14:textId="77777777" w:rsidR="00BC0E7E" w:rsidRPr="00BC0E7E" w:rsidRDefault="00BC0E7E" w:rsidP="00BC0E7E">
      <w:pPr>
        <w:rPr>
          <w:szCs w:val="22"/>
        </w:rPr>
      </w:pPr>
    </w:p>
    <w:p w14:paraId="1CB49C0B" w14:textId="77777777" w:rsidR="00BC0E7E" w:rsidRPr="00BC0E7E" w:rsidRDefault="00944B8F" w:rsidP="00BC0E7E">
      <w:pPr>
        <w:rPr>
          <w:szCs w:val="22"/>
        </w:rPr>
      </w:pPr>
      <w:r w:rsidRPr="00BC0E7E">
        <w:rPr>
          <w:szCs w:val="22"/>
        </w:rPr>
        <w:t>The safety profile for patients with HS treated with Humira weekly was consistent with the known safety profile of Humira.</w:t>
      </w:r>
    </w:p>
    <w:p w14:paraId="57D302B3" w14:textId="77777777" w:rsidR="00BC0E7E" w:rsidRPr="00BC0E7E" w:rsidRDefault="00BC0E7E" w:rsidP="00BC0E7E">
      <w:pPr>
        <w:rPr>
          <w:szCs w:val="22"/>
          <w:u w:val="single"/>
        </w:rPr>
      </w:pPr>
    </w:p>
    <w:p w14:paraId="551B696A" w14:textId="77777777" w:rsidR="00BC0E7E" w:rsidRPr="00BC0E7E" w:rsidRDefault="00944B8F" w:rsidP="00BC0E7E">
      <w:pPr>
        <w:rPr>
          <w:szCs w:val="22"/>
          <w:u w:val="single"/>
        </w:rPr>
      </w:pPr>
      <w:r w:rsidRPr="00BC0E7E">
        <w:rPr>
          <w:szCs w:val="22"/>
          <w:u w:val="single"/>
        </w:rPr>
        <w:t>Uveitis</w:t>
      </w:r>
    </w:p>
    <w:p w14:paraId="17A7DFED" w14:textId="77777777" w:rsidR="00BC0E7E" w:rsidRPr="00BC0E7E" w:rsidRDefault="00BC0E7E" w:rsidP="00BC0E7E">
      <w:pPr>
        <w:rPr>
          <w:szCs w:val="22"/>
          <w:u w:val="single"/>
        </w:rPr>
      </w:pPr>
    </w:p>
    <w:p w14:paraId="1E464777" w14:textId="77777777" w:rsidR="00BC0E7E" w:rsidRPr="00BC0E7E" w:rsidRDefault="00944B8F" w:rsidP="00BC0E7E">
      <w:pPr>
        <w:rPr>
          <w:szCs w:val="22"/>
        </w:rPr>
      </w:pPr>
      <w:r w:rsidRPr="00BC0E7E">
        <w:rPr>
          <w:szCs w:val="22"/>
        </w:rPr>
        <w:t>The safety profile for patients with uveitis treated with Humira every other week was consistent with the known safety profile of Humira.</w:t>
      </w:r>
    </w:p>
    <w:p w14:paraId="093054D5" w14:textId="77777777" w:rsidR="00BC0E7E" w:rsidRPr="00BC0E7E" w:rsidRDefault="00BC0E7E" w:rsidP="00BC0E7E">
      <w:pPr>
        <w:rPr>
          <w:szCs w:val="22"/>
        </w:rPr>
      </w:pPr>
    </w:p>
    <w:p w14:paraId="1E33367D" w14:textId="77777777" w:rsidR="00BC0E7E" w:rsidRPr="00BC0E7E" w:rsidRDefault="00944B8F" w:rsidP="00BC0E7E">
      <w:pPr>
        <w:keepNext/>
        <w:rPr>
          <w:szCs w:val="20"/>
          <w:u w:val="single"/>
        </w:rPr>
      </w:pPr>
      <w:r w:rsidRPr="00BC0E7E">
        <w:rPr>
          <w:szCs w:val="20"/>
          <w:u w:val="single"/>
        </w:rPr>
        <w:lastRenderedPageBreak/>
        <w:t>Description of selected adverse reactions</w:t>
      </w:r>
    </w:p>
    <w:p w14:paraId="2DBE1B59" w14:textId="77777777" w:rsidR="00BC0E7E" w:rsidRPr="00BC0E7E" w:rsidRDefault="00BC0E7E" w:rsidP="00BC0E7E">
      <w:pPr>
        <w:keepNext/>
        <w:rPr>
          <w:szCs w:val="20"/>
        </w:rPr>
      </w:pPr>
    </w:p>
    <w:p w14:paraId="712BF92D" w14:textId="77777777" w:rsidR="00BC0E7E" w:rsidRPr="00BC0E7E" w:rsidRDefault="00944B8F" w:rsidP="00BC0E7E">
      <w:pPr>
        <w:keepNext/>
        <w:rPr>
          <w:i/>
          <w:szCs w:val="20"/>
        </w:rPr>
      </w:pPr>
      <w:r w:rsidRPr="00BC0E7E">
        <w:rPr>
          <w:i/>
          <w:szCs w:val="20"/>
        </w:rPr>
        <w:t>Injection site reactions</w:t>
      </w:r>
    </w:p>
    <w:p w14:paraId="3F031701" w14:textId="77777777" w:rsidR="00BC0E7E" w:rsidRPr="00BC0E7E" w:rsidRDefault="00BC0E7E" w:rsidP="00BC0E7E">
      <w:pPr>
        <w:keepNext/>
        <w:rPr>
          <w:szCs w:val="20"/>
        </w:rPr>
      </w:pPr>
    </w:p>
    <w:p w14:paraId="74964B51" w14:textId="77777777" w:rsidR="00BC0E7E" w:rsidRPr="00BC0E7E" w:rsidRDefault="00944B8F" w:rsidP="00BC0E7E">
      <w:pPr>
        <w:keepNext/>
        <w:tabs>
          <w:tab w:val="clear" w:pos="562"/>
        </w:tabs>
      </w:pPr>
      <w:r w:rsidRPr="00BC0E7E">
        <w:t>In the pivotal controlled trials in adults and children, 12.9% of patients treated with Humira developed injection site reactions (erythema and/or itching, haemorrhage, pain or swelling), compared to 7.2% of patients receiving placebo or active control. Injection site reactions generally did not necessitate discontinuation of the medicinal product.</w:t>
      </w:r>
    </w:p>
    <w:p w14:paraId="44D446FB" w14:textId="77777777" w:rsidR="00BC0E7E" w:rsidRPr="00BC0E7E" w:rsidRDefault="00BC0E7E" w:rsidP="00BC0E7E">
      <w:pPr>
        <w:tabs>
          <w:tab w:val="clear" w:pos="562"/>
        </w:tabs>
      </w:pPr>
    </w:p>
    <w:p w14:paraId="1EB3DC09" w14:textId="77777777" w:rsidR="00BC0E7E" w:rsidRPr="00BC0E7E" w:rsidRDefault="00944B8F" w:rsidP="007F079A">
      <w:pPr>
        <w:keepNext/>
        <w:rPr>
          <w:i/>
          <w:szCs w:val="20"/>
        </w:rPr>
      </w:pPr>
      <w:r w:rsidRPr="00BC0E7E">
        <w:rPr>
          <w:i/>
          <w:szCs w:val="20"/>
        </w:rPr>
        <w:t xml:space="preserve">Infections </w:t>
      </w:r>
    </w:p>
    <w:p w14:paraId="750CF85E" w14:textId="77777777" w:rsidR="00BC0E7E" w:rsidRPr="00BC0E7E" w:rsidRDefault="00BC0E7E" w:rsidP="007F079A">
      <w:pPr>
        <w:keepNext/>
        <w:rPr>
          <w:szCs w:val="20"/>
        </w:rPr>
      </w:pPr>
    </w:p>
    <w:p w14:paraId="0DA129B5" w14:textId="77777777" w:rsidR="00BC0E7E" w:rsidRPr="00BC0E7E" w:rsidRDefault="00944B8F" w:rsidP="007F079A">
      <w:pPr>
        <w:keepNext/>
      </w:pPr>
      <w:r w:rsidRPr="00BC0E7E">
        <w:t>In the pivotal controlled trials in adults and children, the rate of infection was 1.51 per patient year in the Humira treated patients and 1.46 per patient year in the placebo and active control</w:t>
      </w:r>
      <w:r w:rsidRPr="00BC0E7E">
        <w:noBreakHyphen/>
        <w:t xml:space="preserve">treated patients. The infections consisted primarily of </w:t>
      </w:r>
      <w:r w:rsidRPr="00BC0E7E">
        <w:rPr>
          <w:szCs w:val="20"/>
        </w:rPr>
        <w:t>nasopharyngitis, upper respiratory tract infection, and sinusitis.</w:t>
      </w:r>
      <w:r w:rsidRPr="00BC0E7E">
        <w:t xml:space="preserve"> Most patients continued on Humira after the infection re</w:t>
      </w:r>
      <w:r w:rsidR="007F079A">
        <w:t>solved.</w:t>
      </w:r>
    </w:p>
    <w:p w14:paraId="7AC9CC75" w14:textId="77777777" w:rsidR="00BC0E7E" w:rsidRPr="00BC0E7E" w:rsidRDefault="00BC0E7E" w:rsidP="00BC0E7E"/>
    <w:p w14:paraId="2AB59E30" w14:textId="77777777" w:rsidR="00BC0E7E" w:rsidRPr="00BC0E7E" w:rsidRDefault="00944B8F" w:rsidP="00BC0E7E">
      <w:r w:rsidRPr="00BC0E7E">
        <w:t>The incidence of serious infections was 0.04 per patient year in Humira treated patients and 0.03 per patient year in placebo and acti</w:t>
      </w:r>
      <w:r w:rsidR="007F079A">
        <w:t>ve control − treated patients.</w:t>
      </w:r>
    </w:p>
    <w:p w14:paraId="148270AE" w14:textId="77777777" w:rsidR="00BC0E7E" w:rsidRPr="00BC0E7E" w:rsidRDefault="00BC0E7E" w:rsidP="00BC0E7E"/>
    <w:p w14:paraId="6B29837F" w14:textId="77777777" w:rsidR="00BC0E7E" w:rsidRPr="00BC0E7E" w:rsidRDefault="00944B8F" w:rsidP="00BC0E7E">
      <w:r w:rsidRPr="00BC0E7E">
        <w:t xml:space="preserve">In controlled and open label adult and paediatric studies with Humira, serious infections (including fatal infections, which occurred rarely) have been reported, which include reports of tuberculosis (including miliary and extra-pulmonary locations) and invasive opportunistic infections (e.g. disseminated </w:t>
      </w:r>
      <w:r w:rsidRPr="00BC0E7E">
        <w:rPr>
          <w:u w:color="0000FF"/>
        </w:rPr>
        <w:t>or extrapulmonary</w:t>
      </w:r>
      <w:r w:rsidRPr="00BC0E7E">
        <w:t xml:space="preserve"> histoplasmosis, </w:t>
      </w:r>
      <w:r w:rsidRPr="00BC0E7E">
        <w:rPr>
          <w:u w:color="0000FF"/>
        </w:rPr>
        <w:t>blastomycosis, coccidioidomycosis, pneumocystis,</w:t>
      </w:r>
      <w:r w:rsidRPr="00BC0E7E">
        <w:t xml:space="preserve"> </w:t>
      </w:r>
      <w:r w:rsidRPr="00BC0E7E">
        <w:rPr>
          <w:u w:color="0000FF"/>
        </w:rPr>
        <w:t>candidiasis</w:t>
      </w:r>
      <w:r w:rsidRPr="00BC0E7E">
        <w:t>, aspergillosis and listeriosis). Most of the cases of tuberculosis occurred within the first eight months after initiation of therapy and may reflect recrudescence of latent disease.</w:t>
      </w:r>
    </w:p>
    <w:p w14:paraId="32A6997F" w14:textId="77777777" w:rsidR="00BC0E7E" w:rsidRPr="00BC0E7E" w:rsidRDefault="00BC0E7E" w:rsidP="00BC0E7E"/>
    <w:p w14:paraId="3C5B6871" w14:textId="77777777" w:rsidR="00BC0E7E" w:rsidRPr="00BC0E7E" w:rsidRDefault="00944B8F" w:rsidP="00BC0E7E">
      <w:pPr>
        <w:rPr>
          <w:i/>
          <w:szCs w:val="20"/>
        </w:rPr>
      </w:pPr>
      <w:r w:rsidRPr="00BC0E7E">
        <w:rPr>
          <w:i/>
          <w:szCs w:val="20"/>
        </w:rPr>
        <w:t>Malignancies and lymphoproliferative disorders</w:t>
      </w:r>
    </w:p>
    <w:p w14:paraId="19C27F96" w14:textId="77777777" w:rsidR="00BC0E7E" w:rsidRPr="00BC0E7E" w:rsidRDefault="00BC0E7E" w:rsidP="00BC0E7E">
      <w:pPr>
        <w:rPr>
          <w:szCs w:val="20"/>
        </w:rPr>
      </w:pPr>
    </w:p>
    <w:p w14:paraId="55A54A60" w14:textId="77777777" w:rsidR="00BC0E7E" w:rsidRPr="00BC0E7E" w:rsidRDefault="00944B8F" w:rsidP="00BC0E7E">
      <w:r w:rsidRPr="00BC0E7E">
        <w:t xml:space="preserve">No malignancies were observed in 249 paediatric patients with an exposure of 655.6 patient years during Humira trials in patients with juvenile idiopathic arthritis (polyarticular juvenile idiopathic arthritis and enthesitis-related arthritis). </w:t>
      </w:r>
      <w:r w:rsidRPr="00BC0E7E">
        <w:rPr>
          <w:szCs w:val="22"/>
        </w:rPr>
        <w:t xml:space="preserve">In addition, no malignancies were observed in 192 paediatric patients with an exposure of 498.1 patient years during Humira trials in paediatric patients with Crohn’s disease. No malignancies were observed in 77 paediatric patients with an exposure of 80.0 patient years during a Humira trial in paediatric patients with chronic plaque psoriasis. </w:t>
      </w:r>
      <w:r w:rsidR="00FC6CEF" w:rsidRPr="00FC6CEF">
        <w:rPr>
          <w:rStyle w:val="normaltextrun"/>
          <w:shd w:val="clear" w:color="auto" w:fill="FFFFFF"/>
          <w:lang w:val="en-US"/>
        </w:rPr>
        <w:t>No malignancies were observed in 93 paediatric patients with an exposure of 65.3 patient years during a Humira trial in paediatric patients with ulcerative colitis.</w:t>
      </w:r>
      <w:r w:rsidR="00FC6CEF" w:rsidRPr="00FC6CEF">
        <w:rPr>
          <w:rStyle w:val="eop"/>
          <w:shd w:val="clear" w:color="auto" w:fill="FFFFFF"/>
        </w:rPr>
        <w:t> </w:t>
      </w:r>
      <w:r w:rsidRPr="00BC0E7E">
        <w:rPr>
          <w:szCs w:val="22"/>
        </w:rPr>
        <w:t>No malignancies were observed in 60 paediatric patients with an exposure of 58.4 patient years during a Humira trial in paediatric patients with uveitis.</w:t>
      </w:r>
    </w:p>
    <w:p w14:paraId="41231726" w14:textId="77777777" w:rsidR="00BC0E7E" w:rsidRPr="00BC0E7E" w:rsidRDefault="00BC0E7E" w:rsidP="00BC0E7E"/>
    <w:p w14:paraId="7A3BD136" w14:textId="77777777" w:rsidR="00BC0E7E" w:rsidRPr="00BC0E7E" w:rsidRDefault="00944B8F" w:rsidP="00BC0E7E">
      <w:r w:rsidRPr="00BC0E7E">
        <w:t xml:space="preserve">During the controlled portions of pivotal Humira trials in adults of at least 12 weeks in duration in patients with moderately to severely active rheumatoid arthritis, ankylosing spondylitis, axial spondyloarthritis without radiographic evidence of AS,  psoriatic arthritis, psoriasis, hidradenitis suppurativa, Crohn’s disease, ulcerative colitis and uveitis, malignancies, other than lymphoma and non-melanoma skin cancer, were observed at a rate (95% confidence interval) of 6.8 (4.4, 10.5)  per 1,000 patient-years among 5,291 Humira treated patients </w:t>
      </w:r>
      <w:r w:rsidRPr="00BC0E7E">
        <w:rPr>
          <w:i/>
          <w:iCs/>
        </w:rPr>
        <w:t xml:space="preserve">versus </w:t>
      </w:r>
      <w:r w:rsidRPr="00BC0E7E">
        <w:t>a rate of 6.3 (3.4, 11.8) per 1,000 patient-years among 3,444 control patients (median duration of treatment was 4.0 months for Humira and 3.8 months for control-treated patients). The rate (95% confidence interval) of non-melanoma skin cancers was 8.8 (6.0, 13.0) per 1,000 patient-years among Humira-treated patients and 3.2 (1.3, 7.6) per 1,000 patient-years among control patients. Of these skin cancers, squamous cell carcinomas occurred at rates (95% confidence interval) of 2.7 (1.4, 5.4) per 1,000 patient-years among Humira-treated patients and 0.6 (0.1, 4.5) per 1,000 patient-years among control patients. The rate (95% confidence interval) of lymphomas was 0.7 (0.2, 2.7) per 1,000 patient-years among Humira-treated patients and 0.6 (0.1, 4.5) per 1,000 patient-years among control patients.</w:t>
      </w:r>
    </w:p>
    <w:p w14:paraId="63D5FE99" w14:textId="77777777" w:rsidR="00BC0E7E" w:rsidRPr="00BC0E7E" w:rsidRDefault="00BC0E7E" w:rsidP="00BC0E7E"/>
    <w:p w14:paraId="239528B2" w14:textId="77777777" w:rsidR="00BC0E7E" w:rsidRPr="00BC0E7E" w:rsidRDefault="00944B8F" w:rsidP="00BC0E7E">
      <w:r w:rsidRPr="00BC0E7E">
        <w:lastRenderedPageBreak/>
        <w:t>When combining controlled portions of these trials and ongoing and completed open label extension studies with a median duration of approximately 3.3 years including 6,427 patients and over 26,439 patient-years of therapy, the observed rate of malignancies, other than lymphoma and non-melanoma skin cancers is approximately 8.5 per 1,000 patient years. The observed rate of non-melanoma skin cancers is approximately 9.6 per 1,000 patient years, and the observed rate of lymphomas is approximately 1.3 per 1,000 patient years.</w:t>
      </w:r>
    </w:p>
    <w:p w14:paraId="2C470AD5" w14:textId="77777777" w:rsidR="00BC0E7E" w:rsidRPr="00BC0E7E" w:rsidRDefault="00BC0E7E" w:rsidP="00BC0E7E"/>
    <w:p w14:paraId="3C7762DF" w14:textId="77777777" w:rsidR="00BC0E7E" w:rsidRPr="00BC0E7E" w:rsidRDefault="00944B8F" w:rsidP="00BC0E7E">
      <w:r w:rsidRPr="00BC0E7E">
        <w:t xml:space="preserve">In post-marketing experience from January 2003 to December 2010, predominantly in patients with rheumatoid arthritis, the </w:t>
      </w:r>
      <w:r w:rsidR="00D67DA1" w:rsidRPr="00D67DA1">
        <w:t>spontaneously</w:t>
      </w:r>
      <w:r w:rsidR="00D67DA1" w:rsidRPr="00BC0E7E">
        <w:t xml:space="preserve"> </w:t>
      </w:r>
      <w:r w:rsidRPr="00BC0E7E">
        <w:t xml:space="preserve">reported rate of malignancies is approximately 2.7 per 1,000 patient treatment years. The </w:t>
      </w:r>
      <w:r w:rsidR="00D67DA1" w:rsidRPr="00D67DA1">
        <w:t>spontaneously</w:t>
      </w:r>
      <w:r w:rsidR="00D67DA1" w:rsidRPr="00BC0E7E">
        <w:t xml:space="preserve"> </w:t>
      </w:r>
      <w:r w:rsidRPr="00BC0E7E">
        <w:t>reported rates for non-melanoma skin cancers and lymphomas are approximately 0.2 and 0.3 per 1,000 patient treatment years, respectively (see section 4.4).</w:t>
      </w:r>
    </w:p>
    <w:p w14:paraId="4B18E884" w14:textId="77777777" w:rsidR="00BC0E7E" w:rsidRPr="00BC0E7E" w:rsidRDefault="00BC0E7E" w:rsidP="00BC0E7E">
      <w:pPr>
        <w:rPr>
          <w:szCs w:val="22"/>
        </w:rPr>
      </w:pPr>
    </w:p>
    <w:p w14:paraId="159CF230" w14:textId="77777777" w:rsidR="00BC0E7E" w:rsidRPr="00BC0E7E" w:rsidRDefault="00944B8F" w:rsidP="00BC0E7E">
      <w:pPr>
        <w:rPr>
          <w:szCs w:val="22"/>
        </w:rPr>
      </w:pPr>
      <w:r w:rsidRPr="00BC0E7E">
        <w:rPr>
          <w:szCs w:val="22"/>
        </w:rPr>
        <w:t>Rare post-marketing cases of hepatosplenic T-cell lymphoma have been reported in patients treated with adalimumab (see section 4.4).</w:t>
      </w:r>
    </w:p>
    <w:p w14:paraId="4103D3EF" w14:textId="77777777" w:rsidR="00BC0E7E" w:rsidRPr="00BC0E7E" w:rsidRDefault="00BC0E7E" w:rsidP="00BC0E7E"/>
    <w:p w14:paraId="4AE65004" w14:textId="77777777" w:rsidR="00BC0E7E" w:rsidRPr="00BC0E7E" w:rsidRDefault="00944B8F" w:rsidP="00BC0E7E">
      <w:pPr>
        <w:rPr>
          <w:i/>
          <w:szCs w:val="20"/>
        </w:rPr>
      </w:pPr>
      <w:r w:rsidRPr="00BC0E7E">
        <w:rPr>
          <w:i/>
          <w:szCs w:val="20"/>
        </w:rPr>
        <w:t xml:space="preserve">Autoantibodies </w:t>
      </w:r>
    </w:p>
    <w:p w14:paraId="00987B47" w14:textId="77777777" w:rsidR="00BC0E7E" w:rsidRPr="00BC0E7E" w:rsidRDefault="00BC0E7E" w:rsidP="00BC0E7E">
      <w:pPr>
        <w:rPr>
          <w:szCs w:val="20"/>
        </w:rPr>
      </w:pPr>
    </w:p>
    <w:p w14:paraId="74BE13C1" w14:textId="77777777" w:rsidR="00BC0E7E" w:rsidRPr="00BC0E7E" w:rsidRDefault="00944B8F" w:rsidP="00BC0E7E">
      <w:pPr>
        <w:rPr>
          <w:szCs w:val="20"/>
        </w:rPr>
      </w:pPr>
      <w:r w:rsidRPr="00BC0E7E">
        <w:rPr>
          <w:szCs w:val="20"/>
        </w:rPr>
        <w:t>Patients had serum samples tested for autoantibodies at multiple time points in rheumatoid arthritis studies I − V. In these trials, 11.9% of patients treated with Humira and 8.1% of placebo and active control − treated patients that had negative baseline anti-nuclear antibody titres reported positive titres at Week 24. Two patients out of 3,441 treated with Humira in all rheumatoid arthritis and psoriatic arthritis studies developed clinical signs suggestive of new-onset lupus-like syndrome. The patients improved following discontinuation of therapy. No patients developed lupus nephritis or central nervous system symptoms.</w:t>
      </w:r>
    </w:p>
    <w:p w14:paraId="3B08BF76" w14:textId="77777777" w:rsidR="00BC0E7E" w:rsidRPr="00BC0E7E" w:rsidRDefault="00BC0E7E" w:rsidP="00BC0E7E">
      <w:pPr>
        <w:rPr>
          <w:szCs w:val="20"/>
        </w:rPr>
      </w:pPr>
    </w:p>
    <w:p w14:paraId="59A5E9E8" w14:textId="77777777" w:rsidR="00BC0E7E" w:rsidRPr="00BC0E7E" w:rsidRDefault="00944B8F" w:rsidP="00BC0E7E">
      <w:pPr>
        <w:rPr>
          <w:i/>
          <w:szCs w:val="20"/>
        </w:rPr>
      </w:pPr>
      <w:r w:rsidRPr="00BC0E7E">
        <w:rPr>
          <w:i/>
          <w:szCs w:val="20"/>
        </w:rPr>
        <w:t>Hepato-biliary events</w:t>
      </w:r>
    </w:p>
    <w:p w14:paraId="4D0B5387" w14:textId="77777777" w:rsidR="00BC0E7E" w:rsidRPr="00BC0E7E" w:rsidRDefault="00BC0E7E" w:rsidP="00BC0E7E">
      <w:pPr>
        <w:rPr>
          <w:szCs w:val="20"/>
        </w:rPr>
      </w:pPr>
    </w:p>
    <w:p w14:paraId="4690519C" w14:textId="77777777" w:rsidR="00BC0E7E" w:rsidRPr="00BC0E7E" w:rsidRDefault="00944B8F" w:rsidP="00BC0E7E">
      <w:pPr>
        <w:rPr>
          <w:szCs w:val="20"/>
        </w:rPr>
      </w:pPr>
      <w:r w:rsidRPr="00BC0E7E">
        <w:rPr>
          <w:szCs w:val="20"/>
        </w:rPr>
        <w:t xml:space="preserve">In controlled Phase 3 trials of Humira in patients with rheumatoid arthritis and psoriatic arthritis with a control period duration ranging from 4 to 104 weeks, ALT elevations ≥ 3 x ULN occurred in 3.7% of Humira-treated patients and 1.6% of control-treated patients. </w:t>
      </w:r>
    </w:p>
    <w:p w14:paraId="2997B945" w14:textId="77777777" w:rsidR="00BC0E7E" w:rsidRPr="00BC0E7E" w:rsidRDefault="00BC0E7E" w:rsidP="00BC0E7E">
      <w:pPr>
        <w:rPr>
          <w:szCs w:val="20"/>
        </w:rPr>
      </w:pPr>
    </w:p>
    <w:p w14:paraId="3CAB5F9D" w14:textId="77777777" w:rsidR="00BC0E7E" w:rsidRPr="00BC0E7E" w:rsidRDefault="00944B8F" w:rsidP="00BC0E7E">
      <w:pPr>
        <w:rPr>
          <w:szCs w:val="22"/>
        </w:rPr>
      </w:pPr>
      <w:r w:rsidRPr="00BC0E7E">
        <w:rPr>
          <w:szCs w:val="22"/>
        </w:rPr>
        <w:t>In controlled Phase 3 trials of Humira in patients with polyarticular juvenile idiopathic arthritis who were 4 to 17 years and enthesitis-related arthritis who were 6 to 17 years, ALT elevations ≥ 3 x ULN occurred in 6.1% of Humira-treated patients and 1.3% of control-treated patients. Most ALT elevations occurred with concomitant methotrexate use. No ALT elevations ≥ 3 x ULN occurred in the Phase 3 trial of Humira in patients with polyarticular juvenile idiopathic arthritis who were 2 to &lt; 4 years.</w:t>
      </w:r>
    </w:p>
    <w:p w14:paraId="157FD1D2" w14:textId="77777777" w:rsidR="00BC0E7E" w:rsidRPr="00BC0E7E" w:rsidRDefault="00BC0E7E" w:rsidP="00BC0E7E">
      <w:pPr>
        <w:rPr>
          <w:szCs w:val="20"/>
        </w:rPr>
      </w:pPr>
    </w:p>
    <w:p w14:paraId="63A11936" w14:textId="77777777" w:rsidR="00BC0E7E" w:rsidRPr="00BC0E7E" w:rsidRDefault="00944B8F" w:rsidP="00BC0E7E">
      <w:pPr>
        <w:rPr>
          <w:i/>
          <w:iCs/>
          <w:szCs w:val="20"/>
        </w:rPr>
      </w:pPr>
      <w:r w:rsidRPr="00BC0E7E">
        <w:rPr>
          <w:iCs/>
          <w:szCs w:val="20"/>
        </w:rPr>
        <w:t>In controlled Phase 3 trials of Humira in patients with</w:t>
      </w:r>
      <w:r w:rsidRPr="00BC0E7E">
        <w:rPr>
          <w:i/>
          <w:iCs/>
          <w:szCs w:val="20"/>
        </w:rPr>
        <w:t xml:space="preserve"> </w:t>
      </w:r>
      <w:r w:rsidRPr="00BC0E7E">
        <w:rPr>
          <w:iCs/>
          <w:szCs w:val="20"/>
        </w:rPr>
        <w:t>Crohn’s disease and ulcerative colitis with a control period ranging from 4 to 52 weeks. ALT elevations ≥ 3 x ULN occurred in 0.9% of Humira-treated patients and 0.9% of controlled-treated patients.</w:t>
      </w:r>
      <w:r w:rsidRPr="00BC0E7E">
        <w:rPr>
          <w:i/>
          <w:iCs/>
          <w:szCs w:val="20"/>
        </w:rPr>
        <w:t xml:space="preserve"> </w:t>
      </w:r>
    </w:p>
    <w:p w14:paraId="3651281A" w14:textId="77777777" w:rsidR="00BC0E7E" w:rsidRPr="00BC0E7E" w:rsidRDefault="00BC0E7E" w:rsidP="00BC0E7E">
      <w:pPr>
        <w:rPr>
          <w:i/>
          <w:iCs/>
          <w:szCs w:val="20"/>
        </w:rPr>
      </w:pPr>
    </w:p>
    <w:p w14:paraId="627C2E1B" w14:textId="77777777" w:rsidR="00BC0E7E" w:rsidRPr="00BC0E7E" w:rsidRDefault="00944B8F" w:rsidP="00BC0E7E">
      <w:pPr>
        <w:rPr>
          <w:iCs/>
          <w:szCs w:val="20"/>
        </w:rPr>
      </w:pPr>
      <w:r w:rsidRPr="00BC0E7E">
        <w:rPr>
          <w:szCs w:val="20"/>
        </w:rPr>
        <w:t xml:space="preserve">In the Phase 3 trial of Humira in patients with paediatric Crohn’s disease which evaluated efficacy and safety of two body weight adjusted maintenance dose regimens following body weight adjusted induction therapy up to 52 weeks of treatment, ALT elevations </w:t>
      </w:r>
      <w:r w:rsidRPr="00BC0E7E">
        <w:rPr>
          <w:iCs/>
          <w:szCs w:val="20"/>
        </w:rPr>
        <w:t xml:space="preserve">≥ 3 x ULN occurred in 2.6% </w:t>
      </w:r>
      <w:r w:rsidRPr="00BC0E7E">
        <w:rPr>
          <w:szCs w:val="20"/>
        </w:rPr>
        <w:t xml:space="preserve"> (5/192) </w:t>
      </w:r>
      <w:r w:rsidRPr="00BC0E7E">
        <w:rPr>
          <w:iCs/>
          <w:szCs w:val="20"/>
        </w:rPr>
        <w:t>of patients of whom 4 were receiving concomitant immunosuppressants at baseline.</w:t>
      </w:r>
    </w:p>
    <w:p w14:paraId="5101B8A5" w14:textId="77777777" w:rsidR="00BC0E7E" w:rsidRPr="00BC0E7E" w:rsidRDefault="00BC0E7E" w:rsidP="00BC0E7E">
      <w:pPr>
        <w:rPr>
          <w:szCs w:val="20"/>
        </w:rPr>
      </w:pPr>
    </w:p>
    <w:p w14:paraId="4A156EED" w14:textId="77777777" w:rsidR="00BC0E7E" w:rsidRPr="00BC0E7E" w:rsidRDefault="00944B8F" w:rsidP="00BC0E7E">
      <w:pPr>
        <w:rPr>
          <w:iCs/>
          <w:szCs w:val="20"/>
        </w:rPr>
      </w:pPr>
      <w:r w:rsidRPr="00BC0E7E">
        <w:rPr>
          <w:iCs/>
          <w:szCs w:val="20"/>
        </w:rPr>
        <w:t xml:space="preserve">In controlled Phase 3 trials of Humira in patients with plaque </w:t>
      </w:r>
      <w:r w:rsidR="00071890">
        <w:rPr>
          <w:iCs/>
          <w:szCs w:val="20"/>
        </w:rPr>
        <w:t>p</w:t>
      </w:r>
      <w:r w:rsidRPr="00BC0E7E">
        <w:rPr>
          <w:iCs/>
          <w:szCs w:val="20"/>
        </w:rPr>
        <w:t>soriasis</w:t>
      </w:r>
      <w:r w:rsidRPr="00BC0E7E">
        <w:rPr>
          <w:i/>
          <w:iCs/>
          <w:szCs w:val="20"/>
        </w:rPr>
        <w:t xml:space="preserve"> </w:t>
      </w:r>
      <w:r w:rsidRPr="00BC0E7E">
        <w:rPr>
          <w:iCs/>
          <w:szCs w:val="20"/>
        </w:rPr>
        <w:t xml:space="preserve">with a control period duration ranging from 12 to 24 weeks, ALT elevations ≥ 3 x ULN occurred in 1.8% of Humira-treated patients and 1.8% of control-treated patients. </w:t>
      </w:r>
    </w:p>
    <w:p w14:paraId="334D63E6" w14:textId="77777777" w:rsidR="00BC0E7E" w:rsidRPr="00BC0E7E" w:rsidRDefault="00BC0E7E" w:rsidP="00BC0E7E">
      <w:pPr>
        <w:rPr>
          <w:iCs/>
          <w:szCs w:val="20"/>
        </w:rPr>
      </w:pPr>
    </w:p>
    <w:p w14:paraId="3AFE3450" w14:textId="77777777" w:rsidR="00BC0E7E" w:rsidRPr="00BC0E7E" w:rsidRDefault="00944B8F" w:rsidP="00BC0E7E">
      <w:pPr>
        <w:autoSpaceDE w:val="0"/>
        <w:autoSpaceDN w:val="0"/>
        <w:adjustRightInd w:val="0"/>
        <w:rPr>
          <w:iCs/>
        </w:rPr>
      </w:pPr>
      <w:r w:rsidRPr="00BC0E7E">
        <w:rPr>
          <w:iCs/>
        </w:rPr>
        <w:t>No ALT elevations ≥ 3 X ULN occurred in the Phase 3 trial of Humira in paediatric patients with plaque psoriasis.</w:t>
      </w:r>
    </w:p>
    <w:p w14:paraId="4529BF06" w14:textId="77777777" w:rsidR="00BC0E7E" w:rsidRPr="00BC0E7E" w:rsidRDefault="00BC0E7E" w:rsidP="00BC0E7E">
      <w:pPr>
        <w:autoSpaceDE w:val="0"/>
        <w:autoSpaceDN w:val="0"/>
        <w:adjustRightInd w:val="0"/>
        <w:rPr>
          <w:iCs/>
        </w:rPr>
      </w:pPr>
    </w:p>
    <w:p w14:paraId="6D921A79" w14:textId="77777777" w:rsidR="00BC0E7E" w:rsidRPr="00BC0E7E" w:rsidRDefault="00944B8F" w:rsidP="00BC0E7E">
      <w:pPr>
        <w:autoSpaceDE w:val="0"/>
        <w:autoSpaceDN w:val="0"/>
        <w:adjustRightInd w:val="0"/>
        <w:rPr>
          <w:iCs/>
        </w:rPr>
      </w:pPr>
      <w:r w:rsidRPr="00BC0E7E">
        <w:rPr>
          <w:iCs/>
        </w:rPr>
        <w:lastRenderedPageBreak/>
        <w:t>In controlled trials of Humira (initial doses of 160 mg at Week 0 and 80 mg at Week 2, followed by 40 mg every week starting at Week 4), in patients with hidradenitis suppurativa with a control period duration ranging from 12 to 16 weeks, ALT elevations ≥ 3 x ULN occurred in 0.3% of Humira-treated patients and 0.6% of control-treated patients.</w:t>
      </w:r>
    </w:p>
    <w:p w14:paraId="190E973C" w14:textId="77777777" w:rsidR="00BC0E7E" w:rsidRPr="00BC0E7E" w:rsidRDefault="00BC0E7E" w:rsidP="00BC0E7E">
      <w:pPr>
        <w:autoSpaceDE w:val="0"/>
        <w:autoSpaceDN w:val="0"/>
        <w:adjustRightInd w:val="0"/>
      </w:pPr>
    </w:p>
    <w:p w14:paraId="5FCC9543" w14:textId="77777777" w:rsidR="00BC0E7E" w:rsidRPr="00BC0E7E" w:rsidRDefault="00944B8F" w:rsidP="00BC0E7E">
      <w:pPr>
        <w:autoSpaceDE w:val="0"/>
        <w:autoSpaceDN w:val="0"/>
        <w:adjustRightInd w:val="0"/>
        <w:rPr>
          <w:iCs/>
          <w:szCs w:val="20"/>
        </w:rPr>
      </w:pPr>
      <w:r w:rsidRPr="00BC0E7E">
        <w:rPr>
          <w:iCs/>
          <w:szCs w:val="20"/>
        </w:rPr>
        <w:t xml:space="preserve">In controlled trials of Humira (initial doses of 80 mg at Week 0 followed by 40 mg every other week starting at Week 1) in </w:t>
      </w:r>
      <w:r w:rsidR="00071890">
        <w:rPr>
          <w:iCs/>
          <w:szCs w:val="20"/>
        </w:rPr>
        <w:t xml:space="preserve">adult </w:t>
      </w:r>
      <w:r w:rsidRPr="00BC0E7E">
        <w:rPr>
          <w:iCs/>
          <w:szCs w:val="20"/>
        </w:rPr>
        <w:t xml:space="preserve">patients with uveitis up to 80 weeks with a median exposure of 166.5 days and 105.0 days in Humira-treated and control-treated patients, respectively, ALT elevations ≥ 3 x ULN occurred in 2.4% of Humira-treated patients and 2.4% of control-treated patients. </w:t>
      </w:r>
    </w:p>
    <w:p w14:paraId="46871B95" w14:textId="77777777" w:rsidR="00BC0E7E" w:rsidRPr="00BC0E7E" w:rsidRDefault="00BC0E7E" w:rsidP="00BC0E7E">
      <w:pPr>
        <w:autoSpaceDE w:val="0"/>
        <w:autoSpaceDN w:val="0"/>
        <w:adjustRightInd w:val="0"/>
      </w:pPr>
    </w:p>
    <w:p w14:paraId="483A00B7" w14:textId="77777777" w:rsidR="00EE47A8" w:rsidRPr="00EE47A8" w:rsidRDefault="00944B8F" w:rsidP="00EE47A8">
      <w:pPr>
        <w:autoSpaceDE w:val="0"/>
        <w:autoSpaceDN w:val="0"/>
        <w:adjustRightInd w:val="0"/>
        <w:rPr>
          <w:rStyle w:val="normaltextrun"/>
          <w:shd w:val="clear" w:color="auto" w:fill="FFFFFF"/>
        </w:rPr>
      </w:pPr>
      <w:r w:rsidRPr="00EE47A8">
        <w:rPr>
          <w:rStyle w:val="normaltextrun"/>
          <w:shd w:val="clear" w:color="auto" w:fill="FFFFFF"/>
        </w:rPr>
        <w:t>In the controlled Phase 3 trial of Humira in patients with paediatric ulcerative colitis (N=93) which evaluated efficacy and safety of a maintenance dose of 0.6 mg/kg (maximum of 40 mg) every other week (N=31) and a maintenance dose of 0.6 mg/kg (maximum of 40 mg) every Week (N=32), following body weight adjusted induction dosing of 2.4 mg/kg (maximum of 160 mg) at Week 0 and Week 1, and 1.2 mg/kg (maximum of 80 mg) at Week 2 (N=63), or an induction dose of 2.4 mg/kg (maximum of 160 mg) at Week 0, placebo at Week 1, and 1.2 mg/kg (maximum of 80 mg) at Week 2 (N=30), ALT elevations ≥ 3 X ULN occurred in 1.1% (1/93) of patients.</w:t>
      </w:r>
    </w:p>
    <w:p w14:paraId="743A414C" w14:textId="77777777" w:rsidR="00CF63AF" w:rsidRDefault="00CF63AF" w:rsidP="00BC0E7E">
      <w:pPr>
        <w:autoSpaceDE w:val="0"/>
        <w:autoSpaceDN w:val="0"/>
        <w:adjustRightInd w:val="0"/>
      </w:pPr>
    </w:p>
    <w:p w14:paraId="79E7F21F" w14:textId="77777777" w:rsidR="00BC0E7E" w:rsidRPr="00BC0E7E" w:rsidRDefault="00944B8F" w:rsidP="00BC0E7E">
      <w:pPr>
        <w:autoSpaceDE w:val="0"/>
        <w:autoSpaceDN w:val="0"/>
        <w:adjustRightInd w:val="0"/>
      </w:pPr>
      <w:r w:rsidRPr="00BC0E7E">
        <w:t>Across all indications in clinical trials patients with raised ALT were asymptomatic and in most cases elevations were transient and resolved on continued treatment.  However, there have also been post-marketing reports of liver failure as well as less severe liver disorders that may precede liver failure, such as hepatitis including autoimmune hepatitis in patients receiving adalimumab.</w:t>
      </w:r>
    </w:p>
    <w:p w14:paraId="524096A8" w14:textId="77777777" w:rsidR="00BC0E7E" w:rsidRPr="00BC0E7E" w:rsidRDefault="00BC0E7E" w:rsidP="00BC0E7E">
      <w:pPr>
        <w:autoSpaceDE w:val="0"/>
        <w:autoSpaceDN w:val="0"/>
        <w:adjustRightInd w:val="0"/>
      </w:pPr>
    </w:p>
    <w:p w14:paraId="12E08D91" w14:textId="77777777" w:rsidR="00BC0E7E" w:rsidRPr="00BC0E7E" w:rsidRDefault="00944B8F" w:rsidP="00BC0E7E">
      <w:pPr>
        <w:autoSpaceDE w:val="0"/>
        <w:autoSpaceDN w:val="0"/>
        <w:adjustRightInd w:val="0"/>
        <w:rPr>
          <w:u w:val="single"/>
        </w:rPr>
      </w:pPr>
      <w:r w:rsidRPr="00BC0E7E">
        <w:rPr>
          <w:u w:val="single"/>
        </w:rPr>
        <w:t>Concurrent treatment with azathioprine/6-mercaptopurine</w:t>
      </w:r>
    </w:p>
    <w:p w14:paraId="4BA3A1AE" w14:textId="77777777" w:rsidR="00BC0E7E" w:rsidRPr="00BC0E7E" w:rsidRDefault="00BC0E7E" w:rsidP="00BC0E7E">
      <w:pPr>
        <w:rPr>
          <w:szCs w:val="20"/>
        </w:rPr>
      </w:pPr>
    </w:p>
    <w:p w14:paraId="5F7E7E47" w14:textId="77777777" w:rsidR="00BC0E7E" w:rsidRPr="00BC0E7E" w:rsidRDefault="00944B8F" w:rsidP="00BC0E7E">
      <w:pPr>
        <w:rPr>
          <w:szCs w:val="20"/>
        </w:rPr>
      </w:pPr>
      <w:r w:rsidRPr="00BC0E7E">
        <w:rPr>
          <w:szCs w:val="20"/>
        </w:rPr>
        <w:t>In adult Crohn’s disease studies, higher incidences of malignant and serious infection-related adverse events were seen with the combination of Humira and azathioprine/6-mercaptopurine compared with Humira alone.</w:t>
      </w:r>
    </w:p>
    <w:p w14:paraId="12BF637B" w14:textId="77777777" w:rsidR="00BC0E7E" w:rsidRPr="00BC0E7E" w:rsidRDefault="00BC0E7E" w:rsidP="00BC0E7E">
      <w:pPr>
        <w:rPr>
          <w:szCs w:val="20"/>
        </w:rPr>
      </w:pPr>
    </w:p>
    <w:p w14:paraId="5358188F" w14:textId="77777777" w:rsidR="00BC0E7E" w:rsidRPr="00BC0E7E" w:rsidRDefault="00944B8F" w:rsidP="00BC0E7E">
      <w:pPr>
        <w:keepNext/>
        <w:rPr>
          <w:u w:val="single"/>
        </w:rPr>
      </w:pPr>
      <w:r w:rsidRPr="00BC0E7E">
        <w:rPr>
          <w:u w:val="single"/>
        </w:rPr>
        <w:t>Reporting of suspected adverse reactions</w:t>
      </w:r>
    </w:p>
    <w:p w14:paraId="75B30C99" w14:textId="77777777" w:rsidR="00BC0E7E" w:rsidRPr="00BC0E7E" w:rsidRDefault="00BC0E7E" w:rsidP="00BC0E7E">
      <w:pPr>
        <w:keepNext/>
      </w:pPr>
    </w:p>
    <w:p w14:paraId="70F743F0" w14:textId="77777777" w:rsidR="00BC0E7E" w:rsidRPr="00BC0E7E" w:rsidRDefault="00944B8F" w:rsidP="00BC0E7E">
      <w:pPr>
        <w:keepNext/>
      </w:pPr>
      <w:r w:rsidRPr="00BC0E7E">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BC0E7E">
        <w:rPr>
          <w:highlight w:val="lightGray"/>
        </w:rPr>
        <w:t xml:space="preserve">the national reporting system listed in </w:t>
      </w:r>
      <w:hyperlink r:id="rId23" w:history="1">
        <w:r w:rsidR="00BC0E7E" w:rsidRPr="00BC0E7E">
          <w:rPr>
            <w:color w:val="0000FF"/>
            <w:szCs w:val="22"/>
            <w:highlight w:val="lightGray"/>
            <w:u w:val="single"/>
          </w:rPr>
          <w:t>Appendix V</w:t>
        </w:r>
      </w:hyperlink>
      <w:r w:rsidRPr="00BC0E7E">
        <w:rPr>
          <w:highlight w:val="lightGray"/>
        </w:rPr>
        <w:t>.</w:t>
      </w:r>
      <w:r w:rsidRPr="00BC0E7E">
        <w:t xml:space="preserve"> </w:t>
      </w:r>
    </w:p>
    <w:p w14:paraId="58F63FDA" w14:textId="77777777" w:rsidR="00BC0E7E" w:rsidRPr="00BC0E7E" w:rsidRDefault="00BC0E7E" w:rsidP="00BC0E7E"/>
    <w:p w14:paraId="79FC7D29" w14:textId="77777777" w:rsidR="00BC0E7E" w:rsidRPr="00BC0E7E" w:rsidRDefault="00944B8F" w:rsidP="00BC0E7E">
      <w:pPr>
        <w:tabs>
          <w:tab w:val="clear" w:pos="562"/>
        </w:tabs>
        <w:rPr>
          <w:b/>
          <w:szCs w:val="22"/>
        </w:rPr>
      </w:pPr>
      <w:r w:rsidRPr="00BC0E7E">
        <w:rPr>
          <w:b/>
          <w:szCs w:val="22"/>
        </w:rPr>
        <w:t>4.9</w:t>
      </w:r>
      <w:r w:rsidRPr="00BC0E7E">
        <w:rPr>
          <w:b/>
          <w:szCs w:val="22"/>
        </w:rPr>
        <w:tab/>
        <w:t>Overdose</w:t>
      </w:r>
    </w:p>
    <w:p w14:paraId="665A8E78" w14:textId="77777777" w:rsidR="00BC0E7E" w:rsidRPr="007F079A" w:rsidRDefault="00BC0E7E" w:rsidP="00BC0E7E">
      <w:pPr>
        <w:tabs>
          <w:tab w:val="clear" w:pos="562"/>
        </w:tabs>
        <w:rPr>
          <w:szCs w:val="22"/>
        </w:rPr>
      </w:pPr>
    </w:p>
    <w:p w14:paraId="3B18861C" w14:textId="77777777" w:rsidR="00BC0E7E" w:rsidRPr="00BC0E7E" w:rsidRDefault="00944B8F" w:rsidP="00BC0E7E">
      <w:pPr>
        <w:tabs>
          <w:tab w:val="clear" w:pos="562"/>
        </w:tabs>
      </w:pPr>
      <w:r w:rsidRPr="00BC0E7E">
        <w:t xml:space="preserve">No dose-limiting toxicity was observed during clinical trials. The highest dose level evaluated has been multiple intravenous doses of 10 mg/kg, which is approximately 15 times the recommended dose. </w:t>
      </w:r>
    </w:p>
    <w:p w14:paraId="36DDA4F5" w14:textId="77777777" w:rsidR="00BC0E7E" w:rsidRPr="00BC0E7E" w:rsidRDefault="00BC0E7E" w:rsidP="00BC0E7E">
      <w:pPr>
        <w:tabs>
          <w:tab w:val="clear" w:pos="562"/>
        </w:tabs>
      </w:pPr>
    </w:p>
    <w:p w14:paraId="700E1B1A" w14:textId="77777777" w:rsidR="00BC0E7E" w:rsidRPr="00BC0E7E" w:rsidRDefault="00BC0E7E" w:rsidP="00BC0E7E">
      <w:pPr>
        <w:tabs>
          <w:tab w:val="clear" w:pos="562"/>
        </w:tabs>
      </w:pPr>
    </w:p>
    <w:p w14:paraId="683294F3" w14:textId="77777777" w:rsidR="00BC0E7E" w:rsidRPr="00BC0E7E" w:rsidRDefault="00944B8F" w:rsidP="00BC0E7E">
      <w:pPr>
        <w:outlineLvl w:val="0"/>
        <w:rPr>
          <w:b/>
          <w:caps/>
          <w:szCs w:val="20"/>
        </w:rPr>
      </w:pPr>
      <w:r w:rsidRPr="00BC0E7E">
        <w:rPr>
          <w:b/>
          <w:caps/>
          <w:szCs w:val="20"/>
        </w:rPr>
        <w:t>5.</w:t>
      </w:r>
      <w:r w:rsidRPr="00BC0E7E">
        <w:rPr>
          <w:b/>
          <w:caps/>
          <w:szCs w:val="20"/>
        </w:rPr>
        <w:tab/>
        <w:t>PHARMACOLOGICAL PROPERTIES</w:t>
      </w:r>
    </w:p>
    <w:p w14:paraId="77892CAE" w14:textId="77777777" w:rsidR="00BC0E7E" w:rsidRPr="00BC0E7E" w:rsidRDefault="00BC0E7E" w:rsidP="00BC0E7E">
      <w:pPr>
        <w:rPr>
          <w:szCs w:val="20"/>
        </w:rPr>
      </w:pPr>
    </w:p>
    <w:p w14:paraId="6483F975" w14:textId="77777777" w:rsidR="00BC0E7E" w:rsidRPr="00BC0E7E" w:rsidRDefault="00944B8F" w:rsidP="00BC0E7E">
      <w:pPr>
        <w:suppressAutoHyphens w:val="0"/>
        <w:outlineLvl w:val="1"/>
        <w:rPr>
          <w:b/>
          <w:szCs w:val="20"/>
        </w:rPr>
      </w:pPr>
      <w:r w:rsidRPr="00BC0E7E">
        <w:rPr>
          <w:b/>
          <w:szCs w:val="20"/>
        </w:rPr>
        <w:t>5.1</w:t>
      </w:r>
      <w:r w:rsidRPr="00BC0E7E">
        <w:rPr>
          <w:b/>
          <w:szCs w:val="20"/>
        </w:rPr>
        <w:tab/>
        <w:t>Pharmacodynamic properties</w:t>
      </w:r>
    </w:p>
    <w:p w14:paraId="3605ED39" w14:textId="77777777" w:rsidR="00BC0E7E" w:rsidRPr="00BC0E7E" w:rsidRDefault="00BC0E7E" w:rsidP="00BC0E7E">
      <w:pPr>
        <w:rPr>
          <w:szCs w:val="20"/>
        </w:rPr>
      </w:pPr>
    </w:p>
    <w:p w14:paraId="1C6A76E1" w14:textId="77777777" w:rsidR="00BC0E7E" w:rsidRPr="00BC0E7E" w:rsidRDefault="00944B8F" w:rsidP="00BC0E7E">
      <w:pPr>
        <w:tabs>
          <w:tab w:val="clear" w:pos="562"/>
        </w:tabs>
      </w:pPr>
      <w:r w:rsidRPr="00BC0E7E">
        <w:t>Pharmacotherapeutic group: Immunosuppressants, Tumour Necrosis Factor alpha (TNF-α) inhibitors. ATC code: L04AB04</w:t>
      </w:r>
    </w:p>
    <w:p w14:paraId="3B5F610B" w14:textId="77777777" w:rsidR="00BC0E7E" w:rsidRPr="00BC0E7E" w:rsidRDefault="00BC0E7E" w:rsidP="00BC0E7E">
      <w:pPr>
        <w:tabs>
          <w:tab w:val="clear" w:pos="562"/>
        </w:tabs>
      </w:pPr>
    </w:p>
    <w:p w14:paraId="551AAB87" w14:textId="77777777" w:rsidR="00BC0E7E" w:rsidRPr="00BC0E7E" w:rsidRDefault="00944B8F" w:rsidP="007D7686">
      <w:pPr>
        <w:keepNext/>
        <w:rPr>
          <w:szCs w:val="20"/>
          <w:u w:val="single"/>
        </w:rPr>
      </w:pPr>
      <w:r w:rsidRPr="00BC0E7E">
        <w:rPr>
          <w:szCs w:val="20"/>
          <w:u w:val="single"/>
        </w:rPr>
        <w:t>Mechanism of action</w:t>
      </w:r>
    </w:p>
    <w:p w14:paraId="7B332D49" w14:textId="77777777" w:rsidR="00BC0E7E" w:rsidRPr="00BC0E7E" w:rsidRDefault="00BC0E7E" w:rsidP="007D7686">
      <w:pPr>
        <w:keepNext/>
        <w:rPr>
          <w:szCs w:val="20"/>
        </w:rPr>
      </w:pPr>
    </w:p>
    <w:p w14:paraId="755D4227" w14:textId="77777777" w:rsidR="00BC0E7E" w:rsidRPr="00BC0E7E" w:rsidRDefault="00944B8F" w:rsidP="007D7686">
      <w:pPr>
        <w:keepNext/>
      </w:pPr>
      <w:r w:rsidRPr="00BC0E7E">
        <w:t xml:space="preserve">Adalimumab binds specifically to TNF and neutralises the biological function of TNF by blocking its interaction with the p55 and p75 cell surface TNF receptors.  </w:t>
      </w:r>
    </w:p>
    <w:p w14:paraId="15BFBD18" w14:textId="77777777" w:rsidR="00BC0E7E" w:rsidRPr="00BC0E7E" w:rsidRDefault="00BC0E7E" w:rsidP="00BC0E7E"/>
    <w:p w14:paraId="77C5FCFC" w14:textId="77777777" w:rsidR="00BC0E7E" w:rsidRPr="00BC0E7E" w:rsidRDefault="00944B8F" w:rsidP="00BC0E7E">
      <w:bookmarkStart w:id="8531" w:name="_Hlk36573070"/>
      <w:r w:rsidRPr="00BC0E7E">
        <w:lastRenderedPageBreak/>
        <w:t>Adalimumab also modulates biological responses that are induced or regulated by TNF, including changes in the levels of adhesion molecules responsible for leukocyte migration (ELAM-1, VCAM-1, and ICAM-1 with an IC</w:t>
      </w:r>
      <w:r w:rsidRPr="00BC0E7E">
        <w:rPr>
          <w:vertAlign w:val="subscript"/>
        </w:rPr>
        <w:t>50</w:t>
      </w:r>
      <w:r w:rsidRPr="00BC0E7E">
        <w:t xml:space="preserve"> of</w:t>
      </w:r>
      <w:r w:rsidR="005276D4">
        <w:t xml:space="preserve"> </w:t>
      </w:r>
      <w:r w:rsidRPr="00BC0E7E">
        <w:t xml:space="preserve">0.1-0.2 nM). </w:t>
      </w:r>
    </w:p>
    <w:bookmarkEnd w:id="8531"/>
    <w:p w14:paraId="01874364" w14:textId="77777777" w:rsidR="00BC0E7E" w:rsidRPr="00BC0E7E" w:rsidRDefault="00BC0E7E" w:rsidP="00BC0E7E"/>
    <w:p w14:paraId="3D30FFE9" w14:textId="77777777" w:rsidR="00BC0E7E" w:rsidRPr="00BC0E7E" w:rsidRDefault="00944B8F" w:rsidP="00BC0E7E">
      <w:pPr>
        <w:rPr>
          <w:szCs w:val="20"/>
          <w:u w:val="single"/>
        </w:rPr>
      </w:pPr>
      <w:r w:rsidRPr="00BC0E7E">
        <w:rPr>
          <w:szCs w:val="20"/>
          <w:u w:val="single"/>
        </w:rPr>
        <w:t xml:space="preserve">Pharmacodynamic effects </w:t>
      </w:r>
    </w:p>
    <w:p w14:paraId="1BD66A69" w14:textId="77777777" w:rsidR="00BC0E7E" w:rsidRPr="00BC0E7E" w:rsidRDefault="00BC0E7E" w:rsidP="00BC0E7E">
      <w:pPr>
        <w:rPr>
          <w:szCs w:val="20"/>
        </w:rPr>
      </w:pPr>
    </w:p>
    <w:p w14:paraId="0BBCF824" w14:textId="77777777" w:rsidR="00BC0E7E" w:rsidRPr="00BC0E7E" w:rsidRDefault="00944B8F" w:rsidP="00BC0E7E">
      <w:pPr>
        <w:tabs>
          <w:tab w:val="clear" w:pos="562"/>
        </w:tabs>
      </w:pPr>
      <w:r w:rsidRPr="00BC0E7E">
        <w:t>After treatment with Humira, a rapid decrease in levels of acute phase reactants of inflammation (C</w:t>
      </w:r>
      <w:r w:rsidRPr="00BC0E7E">
        <w:noBreakHyphen/>
        <w:t>reactive protein (CRP) and erythrocyte sedimentation rate (ESR)) and serum cytokines (IL-6) was observed, compared to baseline in patients with rheumatoid arthritis. Serum levels of matrix metalloproteinases (MMP-1 and MMP-3) that produce tissue remodelling responsible for cartilage destruction were also decreased after Humira administration. Patients treated with Humira usually experienced improvement in haematological signs of chronic inflammation.</w:t>
      </w:r>
    </w:p>
    <w:p w14:paraId="6B88472E" w14:textId="77777777" w:rsidR="00BC0E7E" w:rsidRPr="00BC0E7E" w:rsidRDefault="00BC0E7E" w:rsidP="00BC0E7E">
      <w:pPr>
        <w:tabs>
          <w:tab w:val="clear" w:pos="562"/>
        </w:tabs>
      </w:pPr>
    </w:p>
    <w:p w14:paraId="661FA233" w14:textId="77777777" w:rsidR="00BC0E7E" w:rsidRPr="00BC0E7E" w:rsidRDefault="00944B8F" w:rsidP="00BC0E7E">
      <w:pPr>
        <w:tabs>
          <w:tab w:val="clear" w:pos="562"/>
        </w:tabs>
      </w:pPr>
      <w:r w:rsidRPr="00BC0E7E">
        <w:t>A rapid decrease in CRP levels was also observed in patients with polyarticular juvenile idiopathic arthritis, Crohn’s disease, ulcerative colitis and hidradenitis suppurativa after treatment with Humira. In patients with Crohn’s disease, a reduction of the number of cells expressing inflammatory markers in the colon including a significant reduction of expression of TNFα was seen. Endoscopic studies in intestinal mucosa have shown evidence of mucosal healing in adalimumab treated patients.</w:t>
      </w:r>
    </w:p>
    <w:p w14:paraId="669E6D58" w14:textId="77777777" w:rsidR="00BC0E7E" w:rsidRPr="00BC0E7E" w:rsidRDefault="00BC0E7E" w:rsidP="00BC0E7E">
      <w:pPr>
        <w:rPr>
          <w:szCs w:val="20"/>
          <w:u w:val="single"/>
        </w:rPr>
      </w:pPr>
    </w:p>
    <w:p w14:paraId="66D5BB9B" w14:textId="77777777" w:rsidR="00BC0E7E" w:rsidRPr="00BC0E7E" w:rsidRDefault="00944B8F" w:rsidP="00BC0E7E">
      <w:pPr>
        <w:rPr>
          <w:szCs w:val="20"/>
          <w:u w:val="single"/>
        </w:rPr>
      </w:pPr>
      <w:r w:rsidRPr="00BC0E7E">
        <w:rPr>
          <w:szCs w:val="20"/>
          <w:u w:val="single"/>
        </w:rPr>
        <w:t>Clinical efficacy and safety</w:t>
      </w:r>
    </w:p>
    <w:p w14:paraId="308B2611" w14:textId="77777777" w:rsidR="00BC0E7E" w:rsidRPr="00BC0E7E" w:rsidRDefault="00BC0E7E" w:rsidP="00BC0E7E">
      <w:pPr>
        <w:rPr>
          <w:szCs w:val="20"/>
        </w:rPr>
      </w:pPr>
    </w:p>
    <w:p w14:paraId="65401E35" w14:textId="77777777" w:rsidR="00EC53A7" w:rsidRPr="00BC0E7E" w:rsidRDefault="00944B8F" w:rsidP="00EC53A7">
      <w:pPr>
        <w:rPr>
          <w:i/>
          <w:szCs w:val="20"/>
        </w:rPr>
      </w:pPr>
      <w:r w:rsidRPr="00BC0E7E">
        <w:rPr>
          <w:i/>
          <w:szCs w:val="20"/>
        </w:rPr>
        <w:t>Rheumatoid arthritis</w:t>
      </w:r>
    </w:p>
    <w:p w14:paraId="67D3D4C2" w14:textId="77777777" w:rsidR="00EC53A7" w:rsidRPr="00BC0E7E" w:rsidRDefault="00EC53A7" w:rsidP="00EC53A7">
      <w:pPr>
        <w:rPr>
          <w:szCs w:val="20"/>
        </w:rPr>
      </w:pPr>
    </w:p>
    <w:p w14:paraId="4495F9D5" w14:textId="77777777" w:rsidR="00EC53A7" w:rsidRPr="00BC0E7E" w:rsidRDefault="00944B8F" w:rsidP="00EC53A7">
      <w:r w:rsidRPr="00BC0E7E">
        <w:t>Humira was evaluated in over 3</w:t>
      </w:r>
      <w:r>
        <w:t>,</w:t>
      </w:r>
      <w:r w:rsidRPr="00BC0E7E">
        <w:t xml:space="preserve">000 patients in all rheumatoid arthritis clinical trials. The efficacy and safety of Humira were assessed in five randomised, double-blind and well-controlled studies. Some patients were treated for up to 120 months duration. Injection site pain of Humira 40 mg/0.4 ml was assessed in two randomised, active control, single-blind, two-period crossover studies. </w:t>
      </w:r>
    </w:p>
    <w:p w14:paraId="489E34AC" w14:textId="77777777" w:rsidR="00EC53A7" w:rsidRPr="00BC0E7E" w:rsidRDefault="00EC53A7" w:rsidP="00EC53A7"/>
    <w:p w14:paraId="78579195" w14:textId="77777777" w:rsidR="00EC53A7" w:rsidRPr="00BC0E7E" w:rsidRDefault="00944B8F" w:rsidP="00EC53A7">
      <w:r w:rsidRPr="00BC0E7E">
        <w:t xml:space="preserve">RA study I evaluated 271 patients with moderately to severely active rheumatoid arthritis who were </w:t>
      </w:r>
      <w:r w:rsidRPr="00BC0E7E">
        <w:rPr>
          <w:rFonts w:ascii="Symbol" w:eastAsia="Symbol" w:hAnsi="Symbol" w:cs="Symbol"/>
          <w:szCs w:val="22"/>
        </w:rPr>
        <w:sym w:font="Symbol" w:char="F0B3"/>
      </w:r>
      <w:r w:rsidRPr="00BC0E7E">
        <w:t xml:space="preserve"> 18 years old, had failed therapy with at least one disease-modifying, anti rheumatic drug and had insufficient efficacy with methotrexate at doses of 12.5 to 25 mg (10 mg if methotrexate-intolerant) every week and whose methotrexate dose remained constant at 10 to 25 mg every week. Doses of 20, 40 or 80 mg of Humira or placebo were given every other week for 24 weeks. </w:t>
      </w:r>
    </w:p>
    <w:p w14:paraId="5278FEEF" w14:textId="77777777" w:rsidR="00EC53A7" w:rsidRPr="00BC0E7E" w:rsidRDefault="00EC53A7" w:rsidP="00EC53A7"/>
    <w:p w14:paraId="06D8EFC5" w14:textId="77777777" w:rsidR="00EC53A7" w:rsidRPr="00BC0E7E" w:rsidRDefault="00944B8F" w:rsidP="00EC53A7">
      <w:r w:rsidRPr="00BC0E7E">
        <w:t xml:space="preserve">RA study II evaluated 544 patients with moderately to severely active rheumatoid arthritis who were </w:t>
      </w:r>
      <w:r w:rsidRPr="00BC0E7E">
        <w:rPr>
          <w:rFonts w:ascii="Symbol" w:eastAsia="Symbol" w:hAnsi="Symbol" w:cs="Symbol"/>
          <w:szCs w:val="22"/>
        </w:rPr>
        <w:sym w:font="Symbol" w:char="F0B3"/>
      </w:r>
      <w:r w:rsidRPr="00BC0E7E">
        <w:t> 18 years old and had failed therapy with at least one disease-modifying, anti-rheumatic drugs.  Doses of 20 or 40 mg of Humira were given by subcutaneous injection every other week with placebo on alternative weeks or every week for 26 weeks; placebo was given every week for the same duration.  No other disease-modifying anti-rheumatic drugs were allowed.</w:t>
      </w:r>
    </w:p>
    <w:p w14:paraId="4B72FCFB" w14:textId="77777777" w:rsidR="00EC53A7" w:rsidRPr="00BC0E7E" w:rsidRDefault="00EC53A7" w:rsidP="00EC53A7"/>
    <w:p w14:paraId="15600DAA" w14:textId="77777777" w:rsidR="00EC53A7" w:rsidRPr="00BC0E7E" w:rsidRDefault="00944B8F" w:rsidP="00EC53A7">
      <w:r w:rsidRPr="00BC0E7E">
        <w:t xml:space="preserve">RA study III evaluated 619 patients with moderately to severely active rheumatoid arthritis who were </w:t>
      </w:r>
      <w:r w:rsidRPr="00BC0E7E">
        <w:rPr>
          <w:rFonts w:ascii="Symbol" w:eastAsia="Symbol" w:hAnsi="Symbol" w:cs="Symbol"/>
          <w:szCs w:val="22"/>
        </w:rPr>
        <w:sym w:font="Symbol" w:char="F0B3"/>
      </w:r>
      <w:r w:rsidRPr="00BC0E7E">
        <w:t> 18 years old, and who had an ineffective response to methotrexate at doses of 12.5 to 25 mg or have been intolerant to 10 mg of methotrexate every week. There were three groups in this study.  The first received placebo injections every week for 52 weeks. The second received 20 mg of Humira every week for 52 weeks. The third group received 40 mg of Humira every other week with placebo injections on alternate weeks. Upon completion of the first 52 weeks, 457 patients enrolled in an open-label extension phase in which 40 mg of Humira/MTX was administered every other week up to 10 years.</w:t>
      </w:r>
    </w:p>
    <w:p w14:paraId="20F8FC7D" w14:textId="77777777" w:rsidR="00EC53A7" w:rsidRPr="00BC0E7E" w:rsidRDefault="00EC53A7" w:rsidP="00EC53A7"/>
    <w:p w14:paraId="0AFB1710" w14:textId="77777777" w:rsidR="00EC53A7" w:rsidRPr="00BC0E7E" w:rsidRDefault="00944B8F" w:rsidP="00EC53A7">
      <w:r w:rsidRPr="00BC0E7E">
        <w:t xml:space="preserve">RA study IV primarily assessed safety in 636 patients with moderately to severely active rheumatoid arthritis who were </w:t>
      </w:r>
      <w:r w:rsidRPr="00BC0E7E">
        <w:rPr>
          <w:rFonts w:ascii="Symbol" w:eastAsia="Symbol" w:hAnsi="Symbol" w:cs="Symbol"/>
          <w:szCs w:val="22"/>
        </w:rPr>
        <w:sym w:font="Symbol" w:char="F0B3"/>
      </w:r>
      <w:r w:rsidRPr="00BC0E7E">
        <w:t> 18 years old. Patients were permitted to be either disease-modifying, anti</w:t>
      </w:r>
      <w:r w:rsidRPr="00BC0E7E">
        <w:noBreakHyphen/>
        <w:t xml:space="preserve">rheumatic drug-naïve or to remain on their pre-existing rheumatologic therapy provided that therapy was stable for a minimum of 28 days. These therapies include methotrexate, leflunomide, hydroxychloroquine, </w:t>
      </w:r>
      <w:r w:rsidRPr="00BC0E7E">
        <w:lastRenderedPageBreak/>
        <w:t xml:space="preserve">sulfasalazine and/or gold salts. Patients were randomised to 40 mg of Humira or placebo every other week for 24 weeks.  </w:t>
      </w:r>
    </w:p>
    <w:p w14:paraId="5DB07782" w14:textId="77777777" w:rsidR="00EC53A7" w:rsidRPr="00BC0E7E" w:rsidRDefault="00EC53A7" w:rsidP="00EC53A7"/>
    <w:p w14:paraId="55E5A6FE" w14:textId="77777777" w:rsidR="00EC53A7" w:rsidRPr="00BC0E7E" w:rsidRDefault="00944B8F" w:rsidP="00EC53A7">
      <w:r w:rsidRPr="00BC0E7E">
        <w:t>RA study V evaluated 799 methotrexate-naïve, adult patients with moderate to severely active early rheumatoid arthritis (mean disease duration less than 9 months). This study evaluated the efficacy of Humira 40 mg every other week/methotrexate combination therapy, Humira 40 mg every other week monotherapy and methotrexate monotherapy in reducing the signs and symptoms and rate of progression of joint damage in rheumatoid arthritis for 104 weeks. Upon completion of the first 104 weeks, 497 patients enrolled in an open-label extension phase in which 40 mg of Humira was administered every other week up to 10 years.</w:t>
      </w:r>
    </w:p>
    <w:p w14:paraId="66444646" w14:textId="77777777" w:rsidR="00EC53A7" w:rsidRPr="00BC0E7E" w:rsidRDefault="00EC53A7" w:rsidP="00EC53A7"/>
    <w:p w14:paraId="6448C9C3" w14:textId="77777777" w:rsidR="00EC53A7" w:rsidRPr="00BC0E7E" w:rsidRDefault="00944B8F" w:rsidP="00EC53A7">
      <w:pPr>
        <w:rPr>
          <w:szCs w:val="22"/>
        </w:rPr>
      </w:pPr>
      <w:r w:rsidRPr="00BC0E7E">
        <w:rPr>
          <w:szCs w:val="22"/>
        </w:rPr>
        <w:t xml:space="preserve">RA studies VI and VII each evaluated 60 patients with moderately to severely active rheumatoid arthritis who were ≥ 18 years old. Enrolled patients were </w:t>
      </w:r>
      <w:r w:rsidRPr="00BC0E7E">
        <w:rPr>
          <w:rFonts w:eastAsia="MS Mincho"/>
          <w:szCs w:val="22"/>
          <w:lang w:eastAsia="ja-JP"/>
        </w:rPr>
        <w:t>either current users of Humira 40 mg/0.8 ml and rated their average injection site pain as at least 3 cm (on a 0-10 cm VAS) or were biologic-naïve subjects who were starting Humira 40 mg/0.8 ml</w:t>
      </w:r>
      <w:r w:rsidRPr="00BC0E7E">
        <w:rPr>
          <w:szCs w:val="22"/>
        </w:rPr>
        <w:t xml:space="preserve">. Patients were randomised to receive a single dose of Humira 40 mg/0.8 ml or Humira 40 mg/0.4 ml, followed by a single injection of the opposite treatment at their next dose. </w:t>
      </w:r>
    </w:p>
    <w:p w14:paraId="577131FA" w14:textId="77777777" w:rsidR="00EC53A7" w:rsidRPr="00BC0E7E" w:rsidRDefault="00EC53A7" w:rsidP="00EC53A7"/>
    <w:p w14:paraId="2C97327E" w14:textId="77777777" w:rsidR="00EC53A7" w:rsidRPr="00BC0E7E" w:rsidRDefault="00944B8F" w:rsidP="00EC53A7">
      <w:r w:rsidRPr="00BC0E7E">
        <w:t>The primary end point in RA studies I, II and III and the secondary endpoint in RA study IV was the percent of patients who achieved an ACR 20 response at Week 24 or 26. The primary endpoint in RA study V was the percent of patients who achieved an ACR 50 response at Week 52. RA studies III and V had an additional primary endpoint at 52 weeks of retardation of disease progression (as detected by X-ray results). RA study III also had a primary endpoint of changes in quality of life. The primary endpoint in RA studies VI and VII was injection site pain immediately after injection as measured by a 0-10 cm VAS.</w:t>
      </w:r>
    </w:p>
    <w:p w14:paraId="3F78CA1D" w14:textId="77777777" w:rsidR="00EC53A7" w:rsidRPr="00BC0E7E" w:rsidRDefault="00EC53A7" w:rsidP="00EC53A7"/>
    <w:p w14:paraId="17EE992C" w14:textId="77777777" w:rsidR="00EC53A7" w:rsidRPr="00BC0E7E" w:rsidRDefault="00944B8F" w:rsidP="00EC53A7">
      <w:pPr>
        <w:rPr>
          <w:i/>
          <w:szCs w:val="20"/>
          <w:u w:val="single"/>
        </w:rPr>
      </w:pPr>
      <w:r w:rsidRPr="00BC0E7E">
        <w:rPr>
          <w:i/>
          <w:szCs w:val="20"/>
          <w:u w:val="single"/>
        </w:rPr>
        <w:t>ACR response</w:t>
      </w:r>
    </w:p>
    <w:p w14:paraId="3776F045" w14:textId="77777777" w:rsidR="00EC53A7" w:rsidRPr="00BC0E7E" w:rsidRDefault="00EC53A7" w:rsidP="00EC53A7">
      <w:pPr>
        <w:rPr>
          <w:szCs w:val="20"/>
        </w:rPr>
      </w:pPr>
    </w:p>
    <w:p w14:paraId="68EC6540" w14:textId="77777777" w:rsidR="00EC53A7" w:rsidRPr="00BC0E7E" w:rsidRDefault="00944B8F" w:rsidP="00EC53A7">
      <w:r w:rsidRPr="00BC0E7E">
        <w:t xml:space="preserve">The percent of Humira-treated patients achieving ACR 20, 50 and 70 responses was consistent across RA studies I, II and III. The results for the 40 mg every other week dose are summarised in Table </w:t>
      </w:r>
      <w:r w:rsidR="005F03EC">
        <w:t>5</w:t>
      </w:r>
      <w:r w:rsidRPr="00BC0E7E">
        <w:t xml:space="preserve">. </w:t>
      </w:r>
    </w:p>
    <w:p w14:paraId="4FF52E74" w14:textId="77777777" w:rsidR="00EC53A7" w:rsidRPr="00BC0E7E" w:rsidRDefault="00EC53A7" w:rsidP="00EC53A7">
      <w:pPr>
        <w:keepNext/>
      </w:pPr>
    </w:p>
    <w:tbl>
      <w:tblPr>
        <w:tblW w:w="9124" w:type="dxa"/>
        <w:tblInd w:w="98" w:type="dxa"/>
        <w:tblLayout w:type="fixed"/>
        <w:tblCellMar>
          <w:left w:w="0" w:type="dxa"/>
          <w:right w:w="0" w:type="dxa"/>
        </w:tblCellMar>
        <w:tblLook w:val="0000" w:firstRow="0" w:lastRow="0" w:firstColumn="0" w:lastColumn="0" w:noHBand="0" w:noVBand="0"/>
      </w:tblPr>
      <w:tblGrid>
        <w:gridCol w:w="1186"/>
        <w:gridCol w:w="1134"/>
        <w:gridCol w:w="1550"/>
        <w:gridCol w:w="1285"/>
        <w:gridCol w:w="1276"/>
        <w:gridCol w:w="1276"/>
        <w:gridCol w:w="1417"/>
      </w:tblGrid>
      <w:tr w:rsidR="00C6578C" w14:paraId="14E087DD" w14:textId="77777777" w:rsidTr="00BF4F97">
        <w:tc>
          <w:tcPr>
            <w:tcW w:w="9124" w:type="dxa"/>
            <w:gridSpan w:val="7"/>
          </w:tcPr>
          <w:p w14:paraId="0C03E8B1" w14:textId="77777777" w:rsidR="00EC53A7" w:rsidRPr="007F079A" w:rsidRDefault="00944B8F" w:rsidP="00BF4F97">
            <w:pPr>
              <w:keepNext/>
              <w:tabs>
                <w:tab w:val="clear" w:pos="562"/>
              </w:tabs>
              <w:suppressAutoHyphens w:val="0"/>
              <w:overflowPunct w:val="0"/>
              <w:autoSpaceDE w:val="0"/>
              <w:autoSpaceDN w:val="0"/>
              <w:adjustRightInd w:val="0"/>
              <w:jc w:val="center"/>
              <w:textAlignment w:val="baseline"/>
              <w:rPr>
                <w:szCs w:val="20"/>
              </w:rPr>
            </w:pPr>
            <w:r w:rsidRPr="00BC0E7E">
              <w:rPr>
                <w:b/>
                <w:szCs w:val="20"/>
              </w:rPr>
              <w:t xml:space="preserve">Table </w:t>
            </w:r>
            <w:r w:rsidR="005F03EC">
              <w:rPr>
                <w:b/>
                <w:szCs w:val="20"/>
              </w:rPr>
              <w:t>5</w:t>
            </w:r>
          </w:p>
          <w:p w14:paraId="0D028BE5" w14:textId="77777777" w:rsidR="00EC53A7" w:rsidRPr="007F079A" w:rsidRDefault="00944B8F" w:rsidP="00BF4F97">
            <w:pPr>
              <w:keepNext/>
              <w:tabs>
                <w:tab w:val="clear" w:pos="562"/>
              </w:tabs>
              <w:suppressAutoHyphens w:val="0"/>
              <w:overflowPunct w:val="0"/>
              <w:autoSpaceDE w:val="0"/>
              <w:autoSpaceDN w:val="0"/>
              <w:adjustRightInd w:val="0"/>
              <w:jc w:val="center"/>
              <w:textAlignment w:val="baseline"/>
              <w:rPr>
                <w:szCs w:val="20"/>
              </w:rPr>
            </w:pPr>
            <w:r w:rsidRPr="00BC0E7E">
              <w:rPr>
                <w:b/>
                <w:szCs w:val="20"/>
              </w:rPr>
              <w:t>ACR Responses in Placebo-Controlled Trials</w:t>
            </w:r>
          </w:p>
          <w:p w14:paraId="35BD8F82" w14:textId="77777777" w:rsidR="00EC53A7" w:rsidRPr="007F079A" w:rsidRDefault="00944B8F" w:rsidP="00BF4F97">
            <w:pPr>
              <w:keepNext/>
              <w:tabs>
                <w:tab w:val="clear" w:pos="562"/>
              </w:tabs>
              <w:suppressAutoHyphens w:val="0"/>
              <w:overflowPunct w:val="0"/>
              <w:autoSpaceDE w:val="0"/>
              <w:autoSpaceDN w:val="0"/>
              <w:adjustRightInd w:val="0"/>
              <w:jc w:val="center"/>
              <w:textAlignment w:val="baseline"/>
              <w:rPr>
                <w:szCs w:val="20"/>
              </w:rPr>
            </w:pPr>
            <w:r w:rsidRPr="00BC0E7E">
              <w:rPr>
                <w:b/>
                <w:szCs w:val="20"/>
              </w:rPr>
              <w:t>(Percent of Patients)</w:t>
            </w:r>
          </w:p>
          <w:p w14:paraId="4437345C" w14:textId="77777777" w:rsidR="00EC53A7" w:rsidRPr="00BC0E7E" w:rsidRDefault="00EC53A7" w:rsidP="00BF4F97">
            <w:pPr>
              <w:keepNext/>
              <w:tabs>
                <w:tab w:val="clear" w:pos="562"/>
              </w:tabs>
              <w:suppressAutoHyphens w:val="0"/>
              <w:overflowPunct w:val="0"/>
              <w:autoSpaceDE w:val="0"/>
              <w:autoSpaceDN w:val="0"/>
              <w:adjustRightInd w:val="0"/>
              <w:jc w:val="center"/>
              <w:textAlignment w:val="baseline"/>
              <w:rPr>
                <w:b/>
                <w:szCs w:val="20"/>
              </w:rPr>
            </w:pPr>
          </w:p>
        </w:tc>
      </w:tr>
      <w:tr w:rsidR="00C6578C" w14:paraId="261BAF07" w14:textId="77777777" w:rsidTr="00BF4F97">
        <w:trPr>
          <w:cantSplit/>
        </w:trPr>
        <w:tc>
          <w:tcPr>
            <w:tcW w:w="1186" w:type="dxa"/>
            <w:tcBorders>
              <w:top w:val="single" w:sz="6" w:space="0" w:color="auto"/>
              <w:right w:val="single" w:sz="6" w:space="0" w:color="auto"/>
            </w:tcBorders>
          </w:tcPr>
          <w:p w14:paraId="04C8E5FB" w14:textId="77777777" w:rsidR="00EC53A7" w:rsidRPr="00BC0E7E" w:rsidRDefault="00944B8F" w:rsidP="00BF4F97">
            <w:pPr>
              <w:keepNext/>
              <w:tabs>
                <w:tab w:val="clear" w:pos="562"/>
              </w:tabs>
              <w:overflowPunct w:val="0"/>
              <w:autoSpaceDE w:val="0"/>
              <w:autoSpaceDN w:val="0"/>
              <w:adjustRightInd w:val="0"/>
              <w:textAlignment w:val="baseline"/>
            </w:pPr>
            <w:r w:rsidRPr="00BC0E7E">
              <w:t>Response</w:t>
            </w:r>
          </w:p>
        </w:tc>
        <w:tc>
          <w:tcPr>
            <w:tcW w:w="2684" w:type="dxa"/>
            <w:gridSpan w:val="2"/>
            <w:tcBorders>
              <w:top w:val="single" w:sz="6" w:space="0" w:color="auto"/>
              <w:left w:val="single" w:sz="6" w:space="0" w:color="auto"/>
              <w:bottom w:val="single" w:sz="6" w:space="0" w:color="auto"/>
              <w:right w:val="single" w:sz="6" w:space="0" w:color="auto"/>
            </w:tcBorders>
          </w:tcPr>
          <w:p w14:paraId="2A2B869B" w14:textId="77777777" w:rsidR="00EC53A7" w:rsidRPr="00BC0E7E" w:rsidRDefault="00944B8F" w:rsidP="00BF4F97">
            <w:pPr>
              <w:keepNext/>
              <w:tabs>
                <w:tab w:val="clear" w:pos="562"/>
              </w:tabs>
              <w:overflowPunct w:val="0"/>
              <w:autoSpaceDE w:val="0"/>
              <w:autoSpaceDN w:val="0"/>
              <w:adjustRightInd w:val="0"/>
              <w:jc w:val="center"/>
              <w:textAlignment w:val="baseline"/>
            </w:pPr>
            <w:r w:rsidRPr="00BC0E7E">
              <w:t>RA Study I</w:t>
            </w:r>
            <w:r w:rsidRPr="00BC0E7E">
              <w:rPr>
                <w:vertAlign w:val="superscript"/>
              </w:rPr>
              <w:t>a</w:t>
            </w:r>
            <w:r w:rsidRPr="00BC0E7E">
              <w:t>**</w:t>
            </w:r>
          </w:p>
        </w:tc>
        <w:tc>
          <w:tcPr>
            <w:tcW w:w="2561" w:type="dxa"/>
            <w:gridSpan w:val="2"/>
            <w:tcBorders>
              <w:top w:val="single" w:sz="6" w:space="0" w:color="auto"/>
              <w:left w:val="single" w:sz="6" w:space="0" w:color="auto"/>
              <w:bottom w:val="single" w:sz="6" w:space="0" w:color="auto"/>
              <w:right w:val="single" w:sz="6" w:space="0" w:color="auto"/>
            </w:tcBorders>
          </w:tcPr>
          <w:p w14:paraId="62D7B987" w14:textId="77777777" w:rsidR="00EC53A7" w:rsidRPr="00BC0E7E" w:rsidRDefault="00944B8F" w:rsidP="00BF4F97">
            <w:pPr>
              <w:keepNext/>
              <w:tabs>
                <w:tab w:val="clear" w:pos="562"/>
              </w:tabs>
              <w:overflowPunct w:val="0"/>
              <w:autoSpaceDE w:val="0"/>
              <w:autoSpaceDN w:val="0"/>
              <w:adjustRightInd w:val="0"/>
              <w:jc w:val="center"/>
              <w:textAlignment w:val="baseline"/>
            </w:pPr>
            <w:r w:rsidRPr="00BC0E7E">
              <w:t>RA Study II</w:t>
            </w:r>
            <w:r w:rsidRPr="00BC0E7E">
              <w:rPr>
                <w:vertAlign w:val="superscript"/>
              </w:rPr>
              <w:t>a</w:t>
            </w:r>
            <w:r w:rsidRPr="00BC0E7E">
              <w:t>**</w:t>
            </w:r>
          </w:p>
        </w:tc>
        <w:tc>
          <w:tcPr>
            <w:tcW w:w="2693" w:type="dxa"/>
            <w:gridSpan w:val="2"/>
            <w:tcBorders>
              <w:top w:val="single" w:sz="6" w:space="0" w:color="auto"/>
              <w:left w:val="single" w:sz="6" w:space="0" w:color="auto"/>
              <w:bottom w:val="single" w:sz="6" w:space="0" w:color="auto"/>
            </w:tcBorders>
          </w:tcPr>
          <w:p w14:paraId="08F56C5A" w14:textId="77777777" w:rsidR="00EC53A7" w:rsidRPr="00BC0E7E" w:rsidRDefault="00944B8F" w:rsidP="00BF4F97">
            <w:pPr>
              <w:keepNext/>
              <w:tabs>
                <w:tab w:val="clear" w:pos="562"/>
              </w:tabs>
              <w:overflowPunct w:val="0"/>
              <w:autoSpaceDE w:val="0"/>
              <w:autoSpaceDN w:val="0"/>
              <w:adjustRightInd w:val="0"/>
              <w:jc w:val="center"/>
              <w:textAlignment w:val="baseline"/>
            </w:pPr>
            <w:r w:rsidRPr="00BC0E7E">
              <w:t>RA Study III</w:t>
            </w:r>
            <w:r w:rsidRPr="00BC0E7E">
              <w:rPr>
                <w:vertAlign w:val="superscript"/>
              </w:rPr>
              <w:t>a</w:t>
            </w:r>
            <w:r w:rsidRPr="00BC0E7E">
              <w:t>**</w:t>
            </w:r>
          </w:p>
          <w:p w14:paraId="4A4A7948" w14:textId="77777777" w:rsidR="00EC53A7" w:rsidRPr="00BC0E7E" w:rsidRDefault="00EC53A7" w:rsidP="00BF4F97">
            <w:pPr>
              <w:keepNext/>
              <w:tabs>
                <w:tab w:val="clear" w:pos="562"/>
              </w:tabs>
              <w:overflowPunct w:val="0"/>
              <w:autoSpaceDE w:val="0"/>
              <w:autoSpaceDN w:val="0"/>
              <w:adjustRightInd w:val="0"/>
              <w:jc w:val="center"/>
              <w:textAlignment w:val="baseline"/>
            </w:pPr>
          </w:p>
        </w:tc>
      </w:tr>
      <w:tr w:rsidR="00C6578C" w14:paraId="60B5E0B6" w14:textId="77777777" w:rsidTr="00BF4F97">
        <w:trPr>
          <w:cantSplit/>
        </w:trPr>
        <w:tc>
          <w:tcPr>
            <w:tcW w:w="1186" w:type="dxa"/>
            <w:tcBorders>
              <w:bottom w:val="single" w:sz="6" w:space="0" w:color="auto"/>
              <w:right w:val="single" w:sz="6" w:space="0" w:color="auto"/>
            </w:tcBorders>
          </w:tcPr>
          <w:p w14:paraId="0F165A4A" w14:textId="77777777" w:rsidR="00EC53A7" w:rsidRPr="00BC0E7E" w:rsidRDefault="00EC53A7" w:rsidP="00BF4F97">
            <w:pPr>
              <w:keepNext/>
              <w:tabs>
                <w:tab w:val="clear" w:pos="562"/>
              </w:tabs>
              <w:overflowPunct w:val="0"/>
              <w:autoSpaceDE w:val="0"/>
              <w:autoSpaceDN w:val="0"/>
              <w:adjustRightInd w:val="0"/>
              <w:textAlignment w:val="baseline"/>
            </w:pPr>
          </w:p>
        </w:tc>
        <w:tc>
          <w:tcPr>
            <w:tcW w:w="1134" w:type="dxa"/>
            <w:tcBorders>
              <w:top w:val="single" w:sz="6" w:space="0" w:color="auto"/>
              <w:left w:val="single" w:sz="6" w:space="0" w:color="auto"/>
              <w:bottom w:val="single" w:sz="6" w:space="0" w:color="auto"/>
            </w:tcBorders>
          </w:tcPr>
          <w:p w14:paraId="67928BF1" w14:textId="77777777" w:rsidR="00EC53A7" w:rsidRPr="00BC0E7E" w:rsidRDefault="00944B8F" w:rsidP="00BF4F97">
            <w:pPr>
              <w:keepNext/>
              <w:tabs>
                <w:tab w:val="clear" w:pos="562"/>
              </w:tabs>
              <w:overflowPunct w:val="0"/>
              <w:autoSpaceDE w:val="0"/>
              <w:autoSpaceDN w:val="0"/>
              <w:adjustRightInd w:val="0"/>
              <w:jc w:val="center"/>
              <w:textAlignment w:val="baseline"/>
            </w:pPr>
            <w:r w:rsidRPr="00BC0E7E">
              <w:t>Placebo/ MTX</w:t>
            </w:r>
            <w:r w:rsidRPr="00BC0E7E">
              <w:rPr>
                <w:vertAlign w:val="superscript"/>
              </w:rPr>
              <w:t>c</w:t>
            </w:r>
          </w:p>
          <w:p w14:paraId="7C0F8C31" w14:textId="77777777" w:rsidR="00EC53A7" w:rsidRPr="00BC0E7E" w:rsidRDefault="00944B8F" w:rsidP="00BF4F97">
            <w:pPr>
              <w:keepNext/>
              <w:tabs>
                <w:tab w:val="clear" w:pos="562"/>
              </w:tabs>
              <w:overflowPunct w:val="0"/>
              <w:autoSpaceDE w:val="0"/>
              <w:autoSpaceDN w:val="0"/>
              <w:adjustRightInd w:val="0"/>
              <w:jc w:val="center"/>
              <w:textAlignment w:val="baseline"/>
            </w:pPr>
            <w:r w:rsidRPr="00BC0E7E">
              <w:t>n=60</w:t>
            </w:r>
          </w:p>
        </w:tc>
        <w:tc>
          <w:tcPr>
            <w:tcW w:w="1550" w:type="dxa"/>
            <w:tcBorders>
              <w:top w:val="single" w:sz="6" w:space="0" w:color="auto"/>
              <w:bottom w:val="single" w:sz="6" w:space="0" w:color="auto"/>
              <w:right w:val="single" w:sz="6" w:space="0" w:color="auto"/>
            </w:tcBorders>
          </w:tcPr>
          <w:p w14:paraId="7B82265D" w14:textId="77777777" w:rsidR="00EC53A7" w:rsidRPr="00BC0E7E" w:rsidRDefault="00944B8F" w:rsidP="00BF4F97">
            <w:pPr>
              <w:keepNext/>
              <w:tabs>
                <w:tab w:val="clear" w:pos="562"/>
              </w:tabs>
              <w:overflowPunct w:val="0"/>
              <w:autoSpaceDE w:val="0"/>
              <w:autoSpaceDN w:val="0"/>
              <w:adjustRightInd w:val="0"/>
              <w:jc w:val="center"/>
              <w:textAlignment w:val="baseline"/>
            </w:pPr>
            <w:r w:rsidRPr="00BC0E7E">
              <w:t>Humira</w:t>
            </w:r>
            <w:r w:rsidRPr="00BC0E7E">
              <w:rPr>
                <w:vertAlign w:val="superscript"/>
              </w:rPr>
              <w:t>b</w:t>
            </w:r>
            <w:r w:rsidRPr="00BC0E7E">
              <w:t>/ MTX</w:t>
            </w:r>
            <w:r w:rsidRPr="00BC0E7E">
              <w:rPr>
                <w:vertAlign w:val="superscript"/>
              </w:rPr>
              <w:t>c</w:t>
            </w:r>
          </w:p>
          <w:p w14:paraId="4B06B3A6" w14:textId="77777777" w:rsidR="00EC53A7" w:rsidRPr="00BC0E7E" w:rsidRDefault="00944B8F" w:rsidP="00BF4F97">
            <w:pPr>
              <w:keepNext/>
              <w:tabs>
                <w:tab w:val="clear" w:pos="562"/>
              </w:tabs>
              <w:overflowPunct w:val="0"/>
              <w:autoSpaceDE w:val="0"/>
              <w:autoSpaceDN w:val="0"/>
              <w:adjustRightInd w:val="0"/>
              <w:jc w:val="center"/>
              <w:textAlignment w:val="baseline"/>
              <w:rPr>
                <w:lang w:val="fr-FR"/>
              </w:rPr>
            </w:pPr>
            <w:r w:rsidRPr="00BC0E7E">
              <w:rPr>
                <w:lang w:val="fr-FR"/>
              </w:rPr>
              <w:t>n=63</w:t>
            </w:r>
          </w:p>
        </w:tc>
        <w:tc>
          <w:tcPr>
            <w:tcW w:w="1285" w:type="dxa"/>
            <w:tcBorders>
              <w:top w:val="single" w:sz="6" w:space="0" w:color="auto"/>
              <w:left w:val="single" w:sz="6" w:space="0" w:color="auto"/>
              <w:bottom w:val="single" w:sz="6" w:space="0" w:color="auto"/>
            </w:tcBorders>
          </w:tcPr>
          <w:p w14:paraId="5B26B681" w14:textId="77777777" w:rsidR="00EC53A7" w:rsidRPr="00BC0E7E" w:rsidRDefault="00944B8F" w:rsidP="00BF4F97">
            <w:pPr>
              <w:keepNext/>
              <w:tabs>
                <w:tab w:val="clear" w:pos="562"/>
              </w:tabs>
              <w:overflowPunct w:val="0"/>
              <w:autoSpaceDE w:val="0"/>
              <w:autoSpaceDN w:val="0"/>
              <w:adjustRightInd w:val="0"/>
              <w:jc w:val="center"/>
              <w:textAlignment w:val="baseline"/>
              <w:rPr>
                <w:lang w:val="fr-FR"/>
              </w:rPr>
            </w:pPr>
            <w:r w:rsidRPr="00BC0E7E">
              <w:rPr>
                <w:lang w:val="fr-FR"/>
              </w:rPr>
              <w:t>Placebo</w:t>
            </w:r>
          </w:p>
          <w:p w14:paraId="77344C79" w14:textId="77777777" w:rsidR="00EC53A7" w:rsidRPr="00BC0E7E" w:rsidRDefault="00944B8F" w:rsidP="00BF4F97">
            <w:pPr>
              <w:keepNext/>
              <w:tabs>
                <w:tab w:val="clear" w:pos="562"/>
              </w:tabs>
              <w:overflowPunct w:val="0"/>
              <w:autoSpaceDE w:val="0"/>
              <w:autoSpaceDN w:val="0"/>
              <w:adjustRightInd w:val="0"/>
              <w:jc w:val="center"/>
              <w:textAlignment w:val="baseline"/>
              <w:rPr>
                <w:lang w:val="fr-FR"/>
              </w:rPr>
            </w:pPr>
            <w:r w:rsidRPr="00BC0E7E">
              <w:rPr>
                <w:lang w:val="fr-FR"/>
              </w:rPr>
              <w:t>n=110</w:t>
            </w:r>
          </w:p>
        </w:tc>
        <w:tc>
          <w:tcPr>
            <w:tcW w:w="1276" w:type="dxa"/>
            <w:tcBorders>
              <w:top w:val="single" w:sz="6" w:space="0" w:color="auto"/>
              <w:bottom w:val="single" w:sz="6" w:space="0" w:color="auto"/>
              <w:right w:val="single" w:sz="6" w:space="0" w:color="auto"/>
            </w:tcBorders>
          </w:tcPr>
          <w:p w14:paraId="2C66C774" w14:textId="77777777" w:rsidR="00EC53A7" w:rsidRPr="00BC0E7E" w:rsidRDefault="00944B8F" w:rsidP="00BF4F97">
            <w:pPr>
              <w:keepNext/>
              <w:tabs>
                <w:tab w:val="clear" w:pos="562"/>
              </w:tabs>
              <w:overflowPunct w:val="0"/>
              <w:autoSpaceDE w:val="0"/>
              <w:autoSpaceDN w:val="0"/>
              <w:adjustRightInd w:val="0"/>
              <w:jc w:val="center"/>
              <w:textAlignment w:val="baseline"/>
              <w:rPr>
                <w:lang w:val="fr-FR"/>
              </w:rPr>
            </w:pPr>
            <w:r w:rsidRPr="00BC0E7E">
              <w:rPr>
                <w:lang w:val="fr-FR"/>
              </w:rPr>
              <w:t>Humira</w:t>
            </w:r>
            <w:r w:rsidRPr="00BC0E7E">
              <w:rPr>
                <w:vertAlign w:val="superscript"/>
                <w:lang w:val="fr-FR"/>
              </w:rPr>
              <w:t>b</w:t>
            </w:r>
          </w:p>
          <w:p w14:paraId="7DFE6C9A" w14:textId="77777777" w:rsidR="00EC53A7" w:rsidRPr="00BC0E7E" w:rsidRDefault="00944B8F" w:rsidP="00BF4F97">
            <w:pPr>
              <w:keepNext/>
              <w:tabs>
                <w:tab w:val="clear" w:pos="562"/>
              </w:tabs>
              <w:overflowPunct w:val="0"/>
              <w:autoSpaceDE w:val="0"/>
              <w:autoSpaceDN w:val="0"/>
              <w:adjustRightInd w:val="0"/>
              <w:jc w:val="center"/>
              <w:textAlignment w:val="baseline"/>
              <w:rPr>
                <w:lang w:val="fr-FR"/>
              </w:rPr>
            </w:pPr>
            <w:r w:rsidRPr="00BC0E7E">
              <w:rPr>
                <w:lang w:val="fr-FR"/>
              </w:rPr>
              <w:t>n=113</w:t>
            </w:r>
          </w:p>
        </w:tc>
        <w:tc>
          <w:tcPr>
            <w:tcW w:w="1276" w:type="dxa"/>
            <w:tcBorders>
              <w:top w:val="single" w:sz="6" w:space="0" w:color="auto"/>
              <w:left w:val="single" w:sz="6" w:space="0" w:color="auto"/>
              <w:bottom w:val="single" w:sz="6" w:space="0" w:color="auto"/>
            </w:tcBorders>
          </w:tcPr>
          <w:p w14:paraId="24994A61" w14:textId="77777777" w:rsidR="00EC53A7" w:rsidRPr="00BC0E7E" w:rsidRDefault="00944B8F" w:rsidP="00BF4F97">
            <w:pPr>
              <w:keepNext/>
              <w:tabs>
                <w:tab w:val="clear" w:pos="562"/>
              </w:tabs>
              <w:overflowPunct w:val="0"/>
              <w:autoSpaceDE w:val="0"/>
              <w:autoSpaceDN w:val="0"/>
              <w:adjustRightInd w:val="0"/>
              <w:jc w:val="center"/>
              <w:textAlignment w:val="baseline"/>
              <w:rPr>
                <w:lang w:val="fr-FR"/>
              </w:rPr>
            </w:pPr>
            <w:r w:rsidRPr="00BC0E7E">
              <w:rPr>
                <w:lang w:val="fr-FR"/>
              </w:rPr>
              <w:t>Placebo/ MTX</w:t>
            </w:r>
            <w:r w:rsidRPr="00BC0E7E">
              <w:rPr>
                <w:vertAlign w:val="superscript"/>
                <w:lang w:val="fr-FR"/>
              </w:rPr>
              <w:t>c</w:t>
            </w:r>
          </w:p>
          <w:p w14:paraId="27C73D96" w14:textId="77777777" w:rsidR="00EC53A7" w:rsidRPr="00BC0E7E" w:rsidRDefault="00944B8F" w:rsidP="00BF4F97">
            <w:pPr>
              <w:keepNext/>
              <w:tabs>
                <w:tab w:val="clear" w:pos="562"/>
              </w:tabs>
              <w:overflowPunct w:val="0"/>
              <w:autoSpaceDE w:val="0"/>
              <w:autoSpaceDN w:val="0"/>
              <w:adjustRightInd w:val="0"/>
              <w:jc w:val="center"/>
              <w:textAlignment w:val="baseline"/>
              <w:rPr>
                <w:lang w:val="fr-FR"/>
              </w:rPr>
            </w:pPr>
            <w:r w:rsidRPr="00BC0E7E">
              <w:rPr>
                <w:lang w:val="fr-FR"/>
              </w:rPr>
              <w:t>n=200</w:t>
            </w:r>
          </w:p>
        </w:tc>
        <w:tc>
          <w:tcPr>
            <w:tcW w:w="1417" w:type="dxa"/>
            <w:tcBorders>
              <w:top w:val="single" w:sz="6" w:space="0" w:color="auto"/>
              <w:bottom w:val="single" w:sz="6" w:space="0" w:color="auto"/>
            </w:tcBorders>
          </w:tcPr>
          <w:p w14:paraId="21926EDF" w14:textId="77777777" w:rsidR="00EC53A7" w:rsidRPr="00BC0E7E" w:rsidRDefault="00944B8F" w:rsidP="00BF4F97">
            <w:pPr>
              <w:keepNext/>
              <w:tabs>
                <w:tab w:val="clear" w:pos="562"/>
              </w:tabs>
              <w:overflowPunct w:val="0"/>
              <w:autoSpaceDE w:val="0"/>
              <w:autoSpaceDN w:val="0"/>
              <w:adjustRightInd w:val="0"/>
              <w:jc w:val="center"/>
              <w:textAlignment w:val="baseline"/>
              <w:rPr>
                <w:lang w:val="fr-FR"/>
              </w:rPr>
            </w:pPr>
            <w:r w:rsidRPr="00BC0E7E">
              <w:rPr>
                <w:lang w:val="fr-FR"/>
              </w:rPr>
              <w:t>Humira</w:t>
            </w:r>
            <w:r w:rsidRPr="00BC0E7E">
              <w:rPr>
                <w:vertAlign w:val="superscript"/>
                <w:lang w:val="fr-FR"/>
              </w:rPr>
              <w:t>b</w:t>
            </w:r>
            <w:r w:rsidRPr="00BC0E7E">
              <w:rPr>
                <w:lang w:val="fr-FR"/>
              </w:rPr>
              <w:t>/ MTX</w:t>
            </w:r>
            <w:r w:rsidRPr="00BC0E7E">
              <w:rPr>
                <w:vertAlign w:val="superscript"/>
                <w:lang w:val="fr-FR"/>
              </w:rPr>
              <w:t>c</w:t>
            </w:r>
          </w:p>
          <w:p w14:paraId="09B43084" w14:textId="77777777" w:rsidR="00EC53A7" w:rsidRPr="00BC0E7E" w:rsidRDefault="00944B8F" w:rsidP="00BF4F97">
            <w:pPr>
              <w:keepNext/>
              <w:tabs>
                <w:tab w:val="clear" w:pos="562"/>
              </w:tabs>
              <w:overflowPunct w:val="0"/>
              <w:autoSpaceDE w:val="0"/>
              <w:autoSpaceDN w:val="0"/>
              <w:adjustRightInd w:val="0"/>
              <w:jc w:val="center"/>
              <w:textAlignment w:val="baseline"/>
            </w:pPr>
            <w:r w:rsidRPr="00BC0E7E">
              <w:t>n=207</w:t>
            </w:r>
          </w:p>
        </w:tc>
      </w:tr>
      <w:tr w:rsidR="00C6578C" w14:paraId="4E7255E6" w14:textId="77777777" w:rsidTr="00BF4F97">
        <w:trPr>
          <w:cantSplit/>
        </w:trPr>
        <w:tc>
          <w:tcPr>
            <w:tcW w:w="1186" w:type="dxa"/>
            <w:tcBorders>
              <w:right w:val="single" w:sz="6" w:space="0" w:color="auto"/>
            </w:tcBorders>
          </w:tcPr>
          <w:p w14:paraId="3C7A9F20" w14:textId="77777777" w:rsidR="00EC53A7" w:rsidRPr="00BC0E7E" w:rsidRDefault="00944B8F" w:rsidP="00BF4F97">
            <w:pPr>
              <w:keepNext/>
              <w:tabs>
                <w:tab w:val="clear" w:pos="562"/>
                <w:tab w:val="left" w:pos="144"/>
              </w:tabs>
              <w:overflowPunct w:val="0"/>
              <w:autoSpaceDE w:val="0"/>
              <w:autoSpaceDN w:val="0"/>
              <w:adjustRightInd w:val="0"/>
              <w:textAlignment w:val="baseline"/>
            </w:pPr>
            <w:r w:rsidRPr="00BC0E7E">
              <w:t>ACR 20</w:t>
            </w:r>
          </w:p>
        </w:tc>
        <w:tc>
          <w:tcPr>
            <w:tcW w:w="1134" w:type="dxa"/>
            <w:tcBorders>
              <w:left w:val="single" w:sz="6" w:space="0" w:color="auto"/>
            </w:tcBorders>
          </w:tcPr>
          <w:p w14:paraId="473775E0" w14:textId="77777777" w:rsidR="00EC53A7" w:rsidRPr="00BC0E7E" w:rsidRDefault="00EC53A7" w:rsidP="00BF4F97">
            <w:pPr>
              <w:keepNext/>
              <w:tabs>
                <w:tab w:val="clear" w:pos="562"/>
              </w:tabs>
              <w:overflowPunct w:val="0"/>
              <w:autoSpaceDE w:val="0"/>
              <w:autoSpaceDN w:val="0"/>
              <w:adjustRightInd w:val="0"/>
              <w:textAlignment w:val="baseline"/>
            </w:pPr>
          </w:p>
        </w:tc>
        <w:tc>
          <w:tcPr>
            <w:tcW w:w="1550" w:type="dxa"/>
            <w:tcBorders>
              <w:right w:val="single" w:sz="6" w:space="0" w:color="auto"/>
            </w:tcBorders>
          </w:tcPr>
          <w:p w14:paraId="35B1F7C1" w14:textId="77777777" w:rsidR="00EC53A7" w:rsidRPr="00BC0E7E" w:rsidRDefault="00EC53A7" w:rsidP="00BF4F97">
            <w:pPr>
              <w:keepNext/>
              <w:tabs>
                <w:tab w:val="clear" w:pos="562"/>
              </w:tabs>
              <w:overflowPunct w:val="0"/>
              <w:autoSpaceDE w:val="0"/>
              <w:autoSpaceDN w:val="0"/>
              <w:adjustRightInd w:val="0"/>
              <w:textAlignment w:val="baseline"/>
            </w:pPr>
          </w:p>
        </w:tc>
        <w:tc>
          <w:tcPr>
            <w:tcW w:w="1285" w:type="dxa"/>
            <w:tcBorders>
              <w:left w:val="single" w:sz="6" w:space="0" w:color="auto"/>
            </w:tcBorders>
          </w:tcPr>
          <w:p w14:paraId="077A77BD" w14:textId="77777777" w:rsidR="00EC53A7" w:rsidRPr="00BC0E7E" w:rsidRDefault="00EC53A7" w:rsidP="00BF4F97">
            <w:pPr>
              <w:keepNext/>
              <w:tabs>
                <w:tab w:val="clear" w:pos="562"/>
              </w:tabs>
              <w:overflowPunct w:val="0"/>
              <w:autoSpaceDE w:val="0"/>
              <w:autoSpaceDN w:val="0"/>
              <w:adjustRightInd w:val="0"/>
              <w:textAlignment w:val="baseline"/>
            </w:pPr>
          </w:p>
        </w:tc>
        <w:tc>
          <w:tcPr>
            <w:tcW w:w="1276" w:type="dxa"/>
            <w:tcBorders>
              <w:right w:val="single" w:sz="6" w:space="0" w:color="auto"/>
            </w:tcBorders>
          </w:tcPr>
          <w:p w14:paraId="00505239" w14:textId="77777777" w:rsidR="00EC53A7" w:rsidRPr="00BC0E7E" w:rsidRDefault="00EC53A7" w:rsidP="00BF4F97">
            <w:pPr>
              <w:keepNext/>
              <w:tabs>
                <w:tab w:val="clear" w:pos="562"/>
              </w:tabs>
              <w:overflowPunct w:val="0"/>
              <w:autoSpaceDE w:val="0"/>
              <w:autoSpaceDN w:val="0"/>
              <w:adjustRightInd w:val="0"/>
              <w:textAlignment w:val="baseline"/>
            </w:pPr>
          </w:p>
        </w:tc>
        <w:tc>
          <w:tcPr>
            <w:tcW w:w="1276" w:type="dxa"/>
            <w:tcBorders>
              <w:top w:val="single" w:sz="6" w:space="0" w:color="auto"/>
              <w:left w:val="single" w:sz="6" w:space="0" w:color="auto"/>
            </w:tcBorders>
          </w:tcPr>
          <w:p w14:paraId="246F0FE7" w14:textId="77777777" w:rsidR="00EC53A7" w:rsidRPr="00BC0E7E" w:rsidRDefault="00EC53A7" w:rsidP="00BF4F97">
            <w:pPr>
              <w:keepNext/>
              <w:tabs>
                <w:tab w:val="clear" w:pos="562"/>
              </w:tabs>
              <w:overflowPunct w:val="0"/>
              <w:autoSpaceDE w:val="0"/>
              <w:autoSpaceDN w:val="0"/>
              <w:adjustRightInd w:val="0"/>
              <w:textAlignment w:val="baseline"/>
            </w:pPr>
          </w:p>
        </w:tc>
        <w:tc>
          <w:tcPr>
            <w:tcW w:w="1417" w:type="dxa"/>
            <w:tcBorders>
              <w:top w:val="single" w:sz="6" w:space="0" w:color="auto"/>
            </w:tcBorders>
          </w:tcPr>
          <w:p w14:paraId="53C1D76D" w14:textId="77777777" w:rsidR="00EC53A7" w:rsidRPr="00BC0E7E" w:rsidRDefault="00EC53A7" w:rsidP="00BF4F97">
            <w:pPr>
              <w:keepNext/>
              <w:tabs>
                <w:tab w:val="clear" w:pos="562"/>
              </w:tabs>
              <w:overflowPunct w:val="0"/>
              <w:autoSpaceDE w:val="0"/>
              <w:autoSpaceDN w:val="0"/>
              <w:adjustRightInd w:val="0"/>
              <w:textAlignment w:val="baseline"/>
            </w:pPr>
          </w:p>
        </w:tc>
      </w:tr>
      <w:tr w:rsidR="00C6578C" w14:paraId="39D0434D" w14:textId="77777777" w:rsidTr="00BF4F97">
        <w:trPr>
          <w:cantSplit/>
        </w:trPr>
        <w:tc>
          <w:tcPr>
            <w:tcW w:w="1186" w:type="dxa"/>
            <w:tcBorders>
              <w:right w:val="single" w:sz="6" w:space="0" w:color="auto"/>
            </w:tcBorders>
          </w:tcPr>
          <w:p w14:paraId="13564893" w14:textId="77777777" w:rsidR="00EC53A7" w:rsidRPr="00BC0E7E" w:rsidRDefault="00944B8F" w:rsidP="00BF4F97">
            <w:pPr>
              <w:keepNext/>
              <w:tabs>
                <w:tab w:val="clear" w:pos="562"/>
                <w:tab w:val="left" w:pos="144"/>
              </w:tabs>
              <w:overflowPunct w:val="0"/>
              <w:autoSpaceDE w:val="0"/>
              <w:autoSpaceDN w:val="0"/>
              <w:adjustRightInd w:val="0"/>
              <w:textAlignment w:val="baseline"/>
            </w:pPr>
            <w:r w:rsidRPr="00BC0E7E">
              <w:tab/>
              <w:t>6 months</w:t>
            </w:r>
          </w:p>
        </w:tc>
        <w:tc>
          <w:tcPr>
            <w:tcW w:w="1134" w:type="dxa"/>
            <w:tcBorders>
              <w:left w:val="single" w:sz="6" w:space="0" w:color="auto"/>
            </w:tcBorders>
          </w:tcPr>
          <w:p w14:paraId="702AF815" w14:textId="77777777" w:rsidR="00EC53A7" w:rsidRPr="00BC0E7E" w:rsidRDefault="00944B8F" w:rsidP="00BF4F97">
            <w:pPr>
              <w:keepNext/>
              <w:tabs>
                <w:tab w:val="clear" w:pos="562"/>
              </w:tabs>
              <w:overflowPunct w:val="0"/>
              <w:autoSpaceDE w:val="0"/>
              <w:autoSpaceDN w:val="0"/>
              <w:adjustRightInd w:val="0"/>
              <w:jc w:val="center"/>
              <w:textAlignment w:val="baseline"/>
            </w:pPr>
            <w:r w:rsidRPr="00BC0E7E">
              <w:t>13.3%</w:t>
            </w:r>
          </w:p>
        </w:tc>
        <w:tc>
          <w:tcPr>
            <w:tcW w:w="1550" w:type="dxa"/>
            <w:tcBorders>
              <w:right w:val="single" w:sz="6" w:space="0" w:color="auto"/>
            </w:tcBorders>
          </w:tcPr>
          <w:p w14:paraId="3B7C1ED0" w14:textId="77777777" w:rsidR="00EC53A7" w:rsidRPr="00BC0E7E" w:rsidRDefault="00944B8F" w:rsidP="00BF4F97">
            <w:pPr>
              <w:keepNext/>
              <w:tabs>
                <w:tab w:val="clear" w:pos="562"/>
              </w:tabs>
              <w:overflowPunct w:val="0"/>
              <w:autoSpaceDE w:val="0"/>
              <w:autoSpaceDN w:val="0"/>
              <w:adjustRightInd w:val="0"/>
              <w:jc w:val="center"/>
              <w:textAlignment w:val="baseline"/>
            </w:pPr>
            <w:r w:rsidRPr="00BC0E7E">
              <w:t>65.1%</w:t>
            </w:r>
          </w:p>
        </w:tc>
        <w:tc>
          <w:tcPr>
            <w:tcW w:w="1285" w:type="dxa"/>
            <w:tcBorders>
              <w:left w:val="single" w:sz="6" w:space="0" w:color="auto"/>
            </w:tcBorders>
          </w:tcPr>
          <w:p w14:paraId="23B6DBAB" w14:textId="77777777" w:rsidR="00EC53A7" w:rsidRPr="00BC0E7E" w:rsidRDefault="00944B8F" w:rsidP="00BF4F97">
            <w:pPr>
              <w:keepNext/>
              <w:tabs>
                <w:tab w:val="clear" w:pos="562"/>
              </w:tabs>
              <w:overflowPunct w:val="0"/>
              <w:autoSpaceDE w:val="0"/>
              <w:autoSpaceDN w:val="0"/>
              <w:adjustRightInd w:val="0"/>
              <w:jc w:val="center"/>
              <w:textAlignment w:val="baseline"/>
            </w:pPr>
            <w:r w:rsidRPr="00BC0E7E">
              <w:t>19.1%</w:t>
            </w:r>
          </w:p>
        </w:tc>
        <w:tc>
          <w:tcPr>
            <w:tcW w:w="1276" w:type="dxa"/>
            <w:tcBorders>
              <w:right w:val="single" w:sz="6" w:space="0" w:color="auto"/>
            </w:tcBorders>
          </w:tcPr>
          <w:p w14:paraId="3915FB40" w14:textId="77777777" w:rsidR="00EC53A7" w:rsidRPr="00BC0E7E" w:rsidRDefault="00944B8F" w:rsidP="00BF4F97">
            <w:pPr>
              <w:keepNext/>
              <w:tabs>
                <w:tab w:val="clear" w:pos="562"/>
              </w:tabs>
              <w:overflowPunct w:val="0"/>
              <w:autoSpaceDE w:val="0"/>
              <w:autoSpaceDN w:val="0"/>
              <w:adjustRightInd w:val="0"/>
              <w:jc w:val="center"/>
              <w:textAlignment w:val="baseline"/>
            </w:pPr>
            <w:r w:rsidRPr="00BC0E7E">
              <w:t>46.0%</w:t>
            </w:r>
          </w:p>
        </w:tc>
        <w:tc>
          <w:tcPr>
            <w:tcW w:w="1276" w:type="dxa"/>
            <w:tcBorders>
              <w:left w:val="single" w:sz="6" w:space="0" w:color="auto"/>
            </w:tcBorders>
          </w:tcPr>
          <w:p w14:paraId="1B548EB5" w14:textId="77777777" w:rsidR="00EC53A7" w:rsidRPr="00BC0E7E" w:rsidRDefault="00944B8F" w:rsidP="00BF4F97">
            <w:pPr>
              <w:keepNext/>
              <w:tabs>
                <w:tab w:val="clear" w:pos="562"/>
                <w:tab w:val="decimal" w:pos="567"/>
              </w:tabs>
              <w:overflowPunct w:val="0"/>
              <w:autoSpaceDE w:val="0"/>
              <w:autoSpaceDN w:val="0"/>
              <w:adjustRightInd w:val="0"/>
              <w:textAlignment w:val="baseline"/>
            </w:pPr>
            <w:r w:rsidRPr="00BC0E7E">
              <w:t>29.5%</w:t>
            </w:r>
          </w:p>
        </w:tc>
        <w:tc>
          <w:tcPr>
            <w:tcW w:w="1417" w:type="dxa"/>
          </w:tcPr>
          <w:p w14:paraId="15F38209" w14:textId="77777777" w:rsidR="00EC53A7" w:rsidRPr="00BC0E7E" w:rsidRDefault="00944B8F" w:rsidP="00BF4F97">
            <w:pPr>
              <w:keepNext/>
              <w:tabs>
                <w:tab w:val="clear" w:pos="562"/>
                <w:tab w:val="decimal" w:pos="662"/>
              </w:tabs>
              <w:overflowPunct w:val="0"/>
              <w:autoSpaceDE w:val="0"/>
              <w:autoSpaceDN w:val="0"/>
              <w:adjustRightInd w:val="0"/>
              <w:textAlignment w:val="baseline"/>
            </w:pPr>
            <w:r w:rsidRPr="00BC0E7E">
              <w:t>63.3%</w:t>
            </w:r>
          </w:p>
        </w:tc>
      </w:tr>
      <w:tr w:rsidR="00C6578C" w14:paraId="5E6E1FD8" w14:textId="77777777" w:rsidTr="00BF4F97">
        <w:trPr>
          <w:cantSplit/>
        </w:trPr>
        <w:tc>
          <w:tcPr>
            <w:tcW w:w="1186" w:type="dxa"/>
            <w:tcBorders>
              <w:right w:val="single" w:sz="6" w:space="0" w:color="auto"/>
            </w:tcBorders>
          </w:tcPr>
          <w:p w14:paraId="05B2A503" w14:textId="77777777" w:rsidR="00EC53A7" w:rsidRPr="00BC0E7E" w:rsidRDefault="00944B8F" w:rsidP="00BF4F97">
            <w:pPr>
              <w:keepNext/>
              <w:tabs>
                <w:tab w:val="clear" w:pos="562"/>
                <w:tab w:val="left" w:pos="144"/>
              </w:tabs>
              <w:overflowPunct w:val="0"/>
              <w:autoSpaceDE w:val="0"/>
              <w:autoSpaceDN w:val="0"/>
              <w:adjustRightInd w:val="0"/>
              <w:textAlignment w:val="baseline"/>
            </w:pPr>
            <w:r w:rsidRPr="00BC0E7E">
              <w:tab/>
              <w:t>12 months</w:t>
            </w:r>
          </w:p>
        </w:tc>
        <w:tc>
          <w:tcPr>
            <w:tcW w:w="1134" w:type="dxa"/>
            <w:tcBorders>
              <w:left w:val="single" w:sz="6" w:space="0" w:color="auto"/>
            </w:tcBorders>
          </w:tcPr>
          <w:p w14:paraId="317114DF" w14:textId="77777777" w:rsidR="00EC53A7" w:rsidRPr="00BC0E7E" w:rsidRDefault="00944B8F" w:rsidP="00BF4F97">
            <w:pPr>
              <w:keepNext/>
              <w:tabs>
                <w:tab w:val="clear" w:pos="562"/>
              </w:tabs>
              <w:overflowPunct w:val="0"/>
              <w:autoSpaceDE w:val="0"/>
              <w:autoSpaceDN w:val="0"/>
              <w:adjustRightInd w:val="0"/>
              <w:jc w:val="center"/>
              <w:textAlignment w:val="baseline"/>
            </w:pPr>
            <w:r w:rsidRPr="00BC0E7E">
              <w:t>NA</w:t>
            </w:r>
          </w:p>
        </w:tc>
        <w:tc>
          <w:tcPr>
            <w:tcW w:w="1550" w:type="dxa"/>
            <w:tcBorders>
              <w:right w:val="single" w:sz="6" w:space="0" w:color="auto"/>
            </w:tcBorders>
          </w:tcPr>
          <w:p w14:paraId="5A3A6C01" w14:textId="77777777" w:rsidR="00EC53A7" w:rsidRPr="00BC0E7E" w:rsidRDefault="00944B8F" w:rsidP="00BF4F97">
            <w:pPr>
              <w:keepNext/>
              <w:tabs>
                <w:tab w:val="clear" w:pos="562"/>
              </w:tabs>
              <w:overflowPunct w:val="0"/>
              <w:autoSpaceDE w:val="0"/>
              <w:autoSpaceDN w:val="0"/>
              <w:adjustRightInd w:val="0"/>
              <w:jc w:val="center"/>
              <w:textAlignment w:val="baseline"/>
            </w:pPr>
            <w:r w:rsidRPr="00BC0E7E">
              <w:t>NA</w:t>
            </w:r>
          </w:p>
        </w:tc>
        <w:tc>
          <w:tcPr>
            <w:tcW w:w="1285" w:type="dxa"/>
            <w:tcBorders>
              <w:left w:val="single" w:sz="6" w:space="0" w:color="auto"/>
            </w:tcBorders>
          </w:tcPr>
          <w:p w14:paraId="0E4E36A9" w14:textId="77777777" w:rsidR="00EC53A7" w:rsidRPr="00BC0E7E" w:rsidRDefault="00944B8F" w:rsidP="00BF4F97">
            <w:pPr>
              <w:keepNext/>
              <w:tabs>
                <w:tab w:val="clear" w:pos="562"/>
                <w:tab w:val="decimal" w:pos="151"/>
              </w:tabs>
              <w:overflowPunct w:val="0"/>
              <w:autoSpaceDE w:val="0"/>
              <w:autoSpaceDN w:val="0"/>
              <w:adjustRightInd w:val="0"/>
              <w:jc w:val="center"/>
              <w:textAlignment w:val="baseline"/>
              <w:rPr>
                <w:lang w:val="it-IT"/>
              </w:rPr>
            </w:pPr>
            <w:r w:rsidRPr="00BC0E7E">
              <w:rPr>
                <w:lang w:val="it-IT"/>
              </w:rPr>
              <w:t>NA</w:t>
            </w:r>
          </w:p>
        </w:tc>
        <w:tc>
          <w:tcPr>
            <w:tcW w:w="1276" w:type="dxa"/>
            <w:tcBorders>
              <w:right w:val="single" w:sz="6" w:space="0" w:color="auto"/>
            </w:tcBorders>
          </w:tcPr>
          <w:p w14:paraId="6993B221" w14:textId="77777777" w:rsidR="00EC53A7" w:rsidRPr="00BC0E7E" w:rsidRDefault="00944B8F" w:rsidP="00BF4F97">
            <w:pPr>
              <w:keepNext/>
              <w:tabs>
                <w:tab w:val="clear" w:pos="562"/>
              </w:tabs>
              <w:overflowPunct w:val="0"/>
              <w:autoSpaceDE w:val="0"/>
              <w:autoSpaceDN w:val="0"/>
              <w:adjustRightInd w:val="0"/>
              <w:jc w:val="center"/>
              <w:textAlignment w:val="baseline"/>
              <w:rPr>
                <w:lang w:val="it-IT"/>
              </w:rPr>
            </w:pPr>
            <w:r w:rsidRPr="00BC0E7E">
              <w:rPr>
                <w:lang w:val="it-IT"/>
              </w:rPr>
              <w:t>NA</w:t>
            </w:r>
          </w:p>
        </w:tc>
        <w:tc>
          <w:tcPr>
            <w:tcW w:w="1276" w:type="dxa"/>
            <w:tcBorders>
              <w:left w:val="single" w:sz="6" w:space="0" w:color="auto"/>
            </w:tcBorders>
          </w:tcPr>
          <w:p w14:paraId="622599CB" w14:textId="77777777" w:rsidR="00EC53A7" w:rsidRPr="00BC0E7E" w:rsidRDefault="00944B8F" w:rsidP="00BF4F97">
            <w:pPr>
              <w:keepNext/>
              <w:tabs>
                <w:tab w:val="clear" w:pos="562"/>
                <w:tab w:val="decimal" w:pos="567"/>
              </w:tabs>
              <w:overflowPunct w:val="0"/>
              <w:autoSpaceDE w:val="0"/>
              <w:autoSpaceDN w:val="0"/>
              <w:adjustRightInd w:val="0"/>
              <w:textAlignment w:val="baseline"/>
              <w:rPr>
                <w:lang w:val="it-IT"/>
              </w:rPr>
            </w:pPr>
            <w:r w:rsidRPr="00BC0E7E">
              <w:rPr>
                <w:lang w:val="it-IT"/>
              </w:rPr>
              <w:t>24.0%</w:t>
            </w:r>
          </w:p>
        </w:tc>
        <w:tc>
          <w:tcPr>
            <w:tcW w:w="1417" w:type="dxa"/>
          </w:tcPr>
          <w:p w14:paraId="5789D99C" w14:textId="77777777" w:rsidR="00EC53A7" w:rsidRPr="00BC0E7E" w:rsidRDefault="00944B8F" w:rsidP="00BF4F97">
            <w:pPr>
              <w:keepNext/>
              <w:tabs>
                <w:tab w:val="clear" w:pos="562"/>
                <w:tab w:val="decimal" w:pos="662"/>
              </w:tabs>
              <w:overflowPunct w:val="0"/>
              <w:autoSpaceDE w:val="0"/>
              <w:autoSpaceDN w:val="0"/>
              <w:adjustRightInd w:val="0"/>
              <w:textAlignment w:val="baseline"/>
              <w:rPr>
                <w:lang w:val="it-IT"/>
              </w:rPr>
            </w:pPr>
            <w:r w:rsidRPr="00BC0E7E">
              <w:rPr>
                <w:lang w:val="it-IT"/>
              </w:rPr>
              <w:t>58.9%</w:t>
            </w:r>
          </w:p>
        </w:tc>
      </w:tr>
      <w:tr w:rsidR="00C6578C" w14:paraId="2EFFBDBD" w14:textId="77777777" w:rsidTr="00BF4F97">
        <w:trPr>
          <w:cantSplit/>
        </w:trPr>
        <w:tc>
          <w:tcPr>
            <w:tcW w:w="1186" w:type="dxa"/>
            <w:tcBorders>
              <w:right w:val="single" w:sz="6" w:space="0" w:color="auto"/>
            </w:tcBorders>
          </w:tcPr>
          <w:p w14:paraId="41C88A12" w14:textId="77777777" w:rsidR="00EC53A7" w:rsidRPr="00BC0E7E" w:rsidRDefault="00944B8F" w:rsidP="00BF4F97">
            <w:pPr>
              <w:keepNext/>
              <w:tabs>
                <w:tab w:val="clear" w:pos="562"/>
                <w:tab w:val="left" w:pos="144"/>
              </w:tabs>
              <w:overflowPunct w:val="0"/>
              <w:autoSpaceDE w:val="0"/>
              <w:autoSpaceDN w:val="0"/>
              <w:adjustRightInd w:val="0"/>
              <w:textAlignment w:val="baseline"/>
              <w:rPr>
                <w:lang w:val="it-IT"/>
              </w:rPr>
            </w:pPr>
            <w:r w:rsidRPr="00BC0E7E">
              <w:rPr>
                <w:lang w:val="it-IT"/>
              </w:rPr>
              <w:t>ACR 50</w:t>
            </w:r>
          </w:p>
        </w:tc>
        <w:tc>
          <w:tcPr>
            <w:tcW w:w="1134" w:type="dxa"/>
            <w:tcBorders>
              <w:left w:val="single" w:sz="6" w:space="0" w:color="auto"/>
            </w:tcBorders>
          </w:tcPr>
          <w:p w14:paraId="45659DE5" w14:textId="77777777" w:rsidR="00EC53A7" w:rsidRPr="00BC0E7E" w:rsidRDefault="00EC53A7" w:rsidP="00BF4F97">
            <w:pPr>
              <w:keepNext/>
              <w:tabs>
                <w:tab w:val="clear" w:pos="562"/>
              </w:tabs>
              <w:overflowPunct w:val="0"/>
              <w:autoSpaceDE w:val="0"/>
              <w:autoSpaceDN w:val="0"/>
              <w:adjustRightInd w:val="0"/>
              <w:jc w:val="center"/>
              <w:textAlignment w:val="baseline"/>
              <w:rPr>
                <w:lang w:val="it-IT"/>
              </w:rPr>
            </w:pPr>
          </w:p>
        </w:tc>
        <w:tc>
          <w:tcPr>
            <w:tcW w:w="1550" w:type="dxa"/>
            <w:tcBorders>
              <w:right w:val="single" w:sz="6" w:space="0" w:color="auto"/>
            </w:tcBorders>
          </w:tcPr>
          <w:p w14:paraId="66672D5C" w14:textId="77777777" w:rsidR="00EC53A7" w:rsidRPr="00BC0E7E" w:rsidRDefault="00EC53A7" w:rsidP="00BF4F97">
            <w:pPr>
              <w:keepNext/>
              <w:tabs>
                <w:tab w:val="clear" w:pos="562"/>
              </w:tabs>
              <w:overflowPunct w:val="0"/>
              <w:autoSpaceDE w:val="0"/>
              <w:autoSpaceDN w:val="0"/>
              <w:adjustRightInd w:val="0"/>
              <w:jc w:val="center"/>
              <w:textAlignment w:val="baseline"/>
              <w:rPr>
                <w:lang w:val="it-IT"/>
              </w:rPr>
            </w:pPr>
          </w:p>
        </w:tc>
        <w:tc>
          <w:tcPr>
            <w:tcW w:w="1285" w:type="dxa"/>
            <w:tcBorders>
              <w:left w:val="single" w:sz="6" w:space="0" w:color="auto"/>
            </w:tcBorders>
          </w:tcPr>
          <w:p w14:paraId="1F441417" w14:textId="77777777" w:rsidR="00EC53A7" w:rsidRPr="00BC0E7E" w:rsidRDefault="00EC53A7" w:rsidP="00BF4F97">
            <w:pPr>
              <w:keepNext/>
              <w:tabs>
                <w:tab w:val="clear" w:pos="562"/>
                <w:tab w:val="decimal" w:pos="151"/>
              </w:tabs>
              <w:overflowPunct w:val="0"/>
              <w:autoSpaceDE w:val="0"/>
              <w:autoSpaceDN w:val="0"/>
              <w:adjustRightInd w:val="0"/>
              <w:jc w:val="center"/>
              <w:textAlignment w:val="baseline"/>
              <w:rPr>
                <w:lang w:val="it-IT"/>
              </w:rPr>
            </w:pPr>
          </w:p>
        </w:tc>
        <w:tc>
          <w:tcPr>
            <w:tcW w:w="1276" w:type="dxa"/>
            <w:tcBorders>
              <w:right w:val="single" w:sz="6" w:space="0" w:color="auto"/>
            </w:tcBorders>
          </w:tcPr>
          <w:p w14:paraId="11C37EE4" w14:textId="77777777" w:rsidR="00EC53A7" w:rsidRPr="00BC0E7E" w:rsidRDefault="00EC53A7" w:rsidP="00BF4F97">
            <w:pPr>
              <w:keepNext/>
              <w:tabs>
                <w:tab w:val="clear" w:pos="562"/>
              </w:tabs>
              <w:overflowPunct w:val="0"/>
              <w:autoSpaceDE w:val="0"/>
              <w:autoSpaceDN w:val="0"/>
              <w:adjustRightInd w:val="0"/>
              <w:jc w:val="center"/>
              <w:textAlignment w:val="baseline"/>
              <w:rPr>
                <w:lang w:val="it-IT"/>
              </w:rPr>
            </w:pPr>
          </w:p>
        </w:tc>
        <w:tc>
          <w:tcPr>
            <w:tcW w:w="1276" w:type="dxa"/>
            <w:tcBorders>
              <w:left w:val="single" w:sz="6" w:space="0" w:color="auto"/>
            </w:tcBorders>
          </w:tcPr>
          <w:p w14:paraId="13E79DB7" w14:textId="77777777" w:rsidR="00EC53A7" w:rsidRPr="00BC0E7E" w:rsidRDefault="00EC53A7" w:rsidP="00BF4F97">
            <w:pPr>
              <w:keepNext/>
              <w:tabs>
                <w:tab w:val="clear" w:pos="562"/>
                <w:tab w:val="decimal" w:pos="567"/>
              </w:tabs>
              <w:overflowPunct w:val="0"/>
              <w:autoSpaceDE w:val="0"/>
              <w:autoSpaceDN w:val="0"/>
              <w:adjustRightInd w:val="0"/>
              <w:textAlignment w:val="baseline"/>
              <w:rPr>
                <w:lang w:val="it-IT"/>
              </w:rPr>
            </w:pPr>
          </w:p>
        </w:tc>
        <w:tc>
          <w:tcPr>
            <w:tcW w:w="1417" w:type="dxa"/>
          </w:tcPr>
          <w:p w14:paraId="379A2164" w14:textId="77777777" w:rsidR="00EC53A7" w:rsidRPr="00BC0E7E" w:rsidRDefault="00EC53A7" w:rsidP="00BF4F97">
            <w:pPr>
              <w:keepNext/>
              <w:tabs>
                <w:tab w:val="clear" w:pos="562"/>
                <w:tab w:val="decimal" w:pos="662"/>
              </w:tabs>
              <w:overflowPunct w:val="0"/>
              <w:autoSpaceDE w:val="0"/>
              <w:autoSpaceDN w:val="0"/>
              <w:adjustRightInd w:val="0"/>
              <w:textAlignment w:val="baseline"/>
              <w:rPr>
                <w:lang w:val="it-IT"/>
              </w:rPr>
            </w:pPr>
          </w:p>
        </w:tc>
      </w:tr>
      <w:tr w:rsidR="00C6578C" w14:paraId="4191707E" w14:textId="77777777" w:rsidTr="00BF4F97">
        <w:trPr>
          <w:cantSplit/>
        </w:trPr>
        <w:tc>
          <w:tcPr>
            <w:tcW w:w="1186" w:type="dxa"/>
            <w:tcBorders>
              <w:right w:val="single" w:sz="6" w:space="0" w:color="auto"/>
            </w:tcBorders>
          </w:tcPr>
          <w:p w14:paraId="241ECF48" w14:textId="77777777" w:rsidR="00EC53A7" w:rsidRPr="00BC0E7E" w:rsidRDefault="00944B8F" w:rsidP="00BF4F97">
            <w:pPr>
              <w:keepNext/>
              <w:tabs>
                <w:tab w:val="clear" w:pos="562"/>
                <w:tab w:val="left" w:pos="144"/>
              </w:tabs>
              <w:overflowPunct w:val="0"/>
              <w:autoSpaceDE w:val="0"/>
              <w:autoSpaceDN w:val="0"/>
              <w:adjustRightInd w:val="0"/>
              <w:textAlignment w:val="baseline"/>
            </w:pPr>
            <w:r w:rsidRPr="00BC0E7E">
              <w:rPr>
                <w:lang w:val="it-IT"/>
              </w:rPr>
              <w:tab/>
            </w:r>
            <w:r w:rsidRPr="00BC0E7E">
              <w:t>6 months</w:t>
            </w:r>
          </w:p>
        </w:tc>
        <w:tc>
          <w:tcPr>
            <w:tcW w:w="1134" w:type="dxa"/>
            <w:tcBorders>
              <w:left w:val="single" w:sz="6" w:space="0" w:color="auto"/>
            </w:tcBorders>
          </w:tcPr>
          <w:p w14:paraId="4D02CBE8" w14:textId="77777777" w:rsidR="00EC53A7" w:rsidRPr="00BC0E7E" w:rsidRDefault="00944B8F" w:rsidP="00BF4F97">
            <w:pPr>
              <w:keepNext/>
              <w:tabs>
                <w:tab w:val="clear" w:pos="562"/>
                <w:tab w:val="decimal" w:pos="117"/>
              </w:tabs>
              <w:overflowPunct w:val="0"/>
              <w:autoSpaceDE w:val="0"/>
              <w:autoSpaceDN w:val="0"/>
              <w:adjustRightInd w:val="0"/>
              <w:jc w:val="center"/>
              <w:textAlignment w:val="baseline"/>
            </w:pPr>
            <w:r w:rsidRPr="00BC0E7E">
              <w:t>6.7%</w:t>
            </w:r>
          </w:p>
        </w:tc>
        <w:tc>
          <w:tcPr>
            <w:tcW w:w="1550" w:type="dxa"/>
            <w:tcBorders>
              <w:right w:val="single" w:sz="6" w:space="0" w:color="auto"/>
            </w:tcBorders>
          </w:tcPr>
          <w:p w14:paraId="7F555972" w14:textId="77777777" w:rsidR="00EC53A7" w:rsidRPr="00BC0E7E" w:rsidRDefault="00944B8F" w:rsidP="00BF4F97">
            <w:pPr>
              <w:keepNext/>
              <w:tabs>
                <w:tab w:val="clear" w:pos="562"/>
              </w:tabs>
              <w:overflowPunct w:val="0"/>
              <w:autoSpaceDE w:val="0"/>
              <w:autoSpaceDN w:val="0"/>
              <w:adjustRightInd w:val="0"/>
              <w:jc w:val="center"/>
              <w:textAlignment w:val="baseline"/>
            </w:pPr>
            <w:r w:rsidRPr="00BC0E7E">
              <w:t>52.4%</w:t>
            </w:r>
          </w:p>
        </w:tc>
        <w:tc>
          <w:tcPr>
            <w:tcW w:w="1285" w:type="dxa"/>
            <w:tcBorders>
              <w:left w:val="single" w:sz="6" w:space="0" w:color="auto"/>
            </w:tcBorders>
          </w:tcPr>
          <w:p w14:paraId="08556646" w14:textId="77777777" w:rsidR="00EC53A7" w:rsidRPr="00BC0E7E" w:rsidRDefault="00944B8F" w:rsidP="00BF4F97">
            <w:pPr>
              <w:keepNext/>
              <w:tabs>
                <w:tab w:val="clear" w:pos="562"/>
                <w:tab w:val="decimal" w:pos="151"/>
              </w:tabs>
              <w:overflowPunct w:val="0"/>
              <w:autoSpaceDE w:val="0"/>
              <w:autoSpaceDN w:val="0"/>
              <w:adjustRightInd w:val="0"/>
              <w:jc w:val="center"/>
              <w:textAlignment w:val="baseline"/>
            </w:pPr>
            <w:r w:rsidRPr="00BC0E7E">
              <w:t>8.2%</w:t>
            </w:r>
          </w:p>
        </w:tc>
        <w:tc>
          <w:tcPr>
            <w:tcW w:w="1276" w:type="dxa"/>
            <w:tcBorders>
              <w:right w:val="single" w:sz="6" w:space="0" w:color="auto"/>
            </w:tcBorders>
          </w:tcPr>
          <w:p w14:paraId="4F4148A5" w14:textId="77777777" w:rsidR="00EC53A7" w:rsidRPr="00BC0E7E" w:rsidRDefault="00944B8F" w:rsidP="00BF4F97">
            <w:pPr>
              <w:keepNext/>
              <w:tabs>
                <w:tab w:val="clear" w:pos="562"/>
              </w:tabs>
              <w:overflowPunct w:val="0"/>
              <w:autoSpaceDE w:val="0"/>
              <w:autoSpaceDN w:val="0"/>
              <w:adjustRightInd w:val="0"/>
              <w:jc w:val="center"/>
              <w:textAlignment w:val="baseline"/>
            </w:pPr>
            <w:r w:rsidRPr="00BC0E7E">
              <w:t>22.1%</w:t>
            </w:r>
          </w:p>
        </w:tc>
        <w:tc>
          <w:tcPr>
            <w:tcW w:w="1276" w:type="dxa"/>
            <w:tcBorders>
              <w:left w:val="single" w:sz="6" w:space="0" w:color="auto"/>
            </w:tcBorders>
          </w:tcPr>
          <w:p w14:paraId="168CCB25" w14:textId="77777777" w:rsidR="00EC53A7" w:rsidRPr="00BC0E7E" w:rsidRDefault="00944B8F" w:rsidP="00BF4F97">
            <w:pPr>
              <w:keepNext/>
              <w:tabs>
                <w:tab w:val="clear" w:pos="562"/>
                <w:tab w:val="decimal" w:pos="567"/>
              </w:tabs>
              <w:overflowPunct w:val="0"/>
              <w:autoSpaceDE w:val="0"/>
              <w:autoSpaceDN w:val="0"/>
              <w:adjustRightInd w:val="0"/>
              <w:textAlignment w:val="baseline"/>
            </w:pPr>
            <w:r w:rsidRPr="00BC0E7E">
              <w:t>9.5%</w:t>
            </w:r>
          </w:p>
        </w:tc>
        <w:tc>
          <w:tcPr>
            <w:tcW w:w="1417" w:type="dxa"/>
          </w:tcPr>
          <w:p w14:paraId="3259FED1" w14:textId="77777777" w:rsidR="00EC53A7" w:rsidRPr="00BC0E7E" w:rsidRDefault="00944B8F" w:rsidP="00BF4F97">
            <w:pPr>
              <w:keepNext/>
              <w:tabs>
                <w:tab w:val="clear" w:pos="562"/>
                <w:tab w:val="decimal" w:pos="662"/>
              </w:tabs>
              <w:overflowPunct w:val="0"/>
              <w:autoSpaceDE w:val="0"/>
              <w:autoSpaceDN w:val="0"/>
              <w:adjustRightInd w:val="0"/>
              <w:textAlignment w:val="baseline"/>
            </w:pPr>
            <w:r w:rsidRPr="00BC0E7E">
              <w:t>39.1%</w:t>
            </w:r>
          </w:p>
        </w:tc>
      </w:tr>
      <w:tr w:rsidR="00C6578C" w14:paraId="14120E89" w14:textId="77777777" w:rsidTr="00BF4F97">
        <w:trPr>
          <w:cantSplit/>
        </w:trPr>
        <w:tc>
          <w:tcPr>
            <w:tcW w:w="1186" w:type="dxa"/>
            <w:tcBorders>
              <w:right w:val="single" w:sz="6" w:space="0" w:color="auto"/>
            </w:tcBorders>
          </w:tcPr>
          <w:p w14:paraId="03956014" w14:textId="77777777" w:rsidR="00EC53A7" w:rsidRPr="00BC0E7E" w:rsidRDefault="00944B8F" w:rsidP="00BF4F97">
            <w:pPr>
              <w:keepNext/>
              <w:tabs>
                <w:tab w:val="clear" w:pos="562"/>
                <w:tab w:val="left" w:pos="144"/>
              </w:tabs>
              <w:overflowPunct w:val="0"/>
              <w:autoSpaceDE w:val="0"/>
              <w:autoSpaceDN w:val="0"/>
              <w:adjustRightInd w:val="0"/>
              <w:textAlignment w:val="baseline"/>
            </w:pPr>
            <w:r w:rsidRPr="00BC0E7E">
              <w:tab/>
              <w:t>12 months</w:t>
            </w:r>
          </w:p>
        </w:tc>
        <w:tc>
          <w:tcPr>
            <w:tcW w:w="1134" w:type="dxa"/>
            <w:tcBorders>
              <w:left w:val="single" w:sz="6" w:space="0" w:color="auto"/>
            </w:tcBorders>
          </w:tcPr>
          <w:p w14:paraId="14938BA0" w14:textId="77777777" w:rsidR="00EC53A7" w:rsidRPr="00BC0E7E" w:rsidRDefault="00944B8F" w:rsidP="00BF4F97">
            <w:pPr>
              <w:keepNext/>
              <w:tabs>
                <w:tab w:val="clear" w:pos="562"/>
                <w:tab w:val="decimal" w:pos="117"/>
              </w:tabs>
              <w:overflowPunct w:val="0"/>
              <w:autoSpaceDE w:val="0"/>
              <w:autoSpaceDN w:val="0"/>
              <w:adjustRightInd w:val="0"/>
              <w:jc w:val="center"/>
              <w:textAlignment w:val="baseline"/>
            </w:pPr>
            <w:r w:rsidRPr="00BC0E7E">
              <w:t>NA</w:t>
            </w:r>
          </w:p>
        </w:tc>
        <w:tc>
          <w:tcPr>
            <w:tcW w:w="1550" w:type="dxa"/>
            <w:tcBorders>
              <w:right w:val="single" w:sz="6" w:space="0" w:color="auto"/>
            </w:tcBorders>
          </w:tcPr>
          <w:p w14:paraId="7B6040FA" w14:textId="77777777" w:rsidR="00EC53A7" w:rsidRPr="00BC0E7E" w:rsidRDefault="00944B8F" w:rsidP="00BF4F97">
            <w:pPr>
              <w:keepNext/>
              <w:tabs>
                <w:tab w:val="clear" w:pos="562"/>
              </w:tabs>
              <w:overflowPunct w:val="0"/>
              <w:autoSpaceDE w:val="0"/>
              <w:autoSpaceDN w:val="0"/>
              <w:adjustRightInd w:val="0"/>
              <w:jc w:val="center"/>
              <w:textAlignment w:val="baseline"/>
              <w:rPr>
                <w:lang w:val="it-IT"/>
              </w:rPr>
            </w:pPr>
            <w:r w:rsidRPr="00BC0E7E">
              <w:rPr>
                <w:lang w:val="it-IT"/>
              </w:rPr>
              <w:t>NA</w:t>
            </w:r>
          </w:p>
        </w:tc>
        <w:tc>
          <w:tcPr>
            <w:tcW w:w="1285" w:type="dxa"/>
            <w:tcBorders>
              <w:left w:val="single" w:sz="6" w:space="0" w:color="auto"/>
            </w:tcBorders>
          </w:tcPr>
          <w:p w14:paraId="36A9BE71" w14:textId="77777777" w:rsidR="00EC53A7" w:rsidRPr="00BC0E7E" w:rsidRDefault="00944B8F" w:rsidP="00BF4F97">
            <w:pPr>
              <w:keepNext/>
              <w:tabs>
                <w:tab w:val="clear" w:pos="562"/>
                <w:tab w:val="decimal" w:pos="151"/>
              </w:tabs>
              <w:overflowPunct w:val="0"/>
              <w:autoSpaceDE w:val="0"/>
              <w:autoSpaceDN w:val="0"/>
              <w:adjustRightInd w:val="0"/>
              <w:jc w:val="center"/>
              <w:textAlignment w:val="baseline"/>
              <w:rPr>
                <w:lang w:val="it-IT"/>
              </w:rPr>
            </w:pPr>
            <w:r w:rsidRPr="00BC0E7E">
              <w:rPr>
                <w:lang w:val="it-IT"/>
              </w:rPr>
              <w:t>NA</w:t>
            </w:r>
          </w:p>
        </w:tc>
        <w:tc>
          <w:tcPr>
            <w:tcW w:w="1276" w:type="dxa"/>
            <w:tcBorders>
              <w:right w:val="single" w:sz="6" w:space="0" w:color="auto"/>
            </w:tcBorders>
          </w:tcPr>
          <w:p w14:paraId="28FBC633" w14:textId="77777777" w:rsidR="00EC53A7" w:rsidRPr="00BC0E7E" w:rsidRDefault="00944B8F" w:rsidP="00BF4F97">
            <w:pPr>
              <w:keepNext/>
              <w:tabs>
                <w:tab w:val="clear" w:pos="562"/>
              </w:tabs>
              <w:overflowPunct w:val="0"/>
              <w:autoSpaceDE w:val="0"/>
              <w:autoSpaceDN w:val="0"/>
              <w:adjustRightInd w:val="0"/>
              <w:jc w:val="center"/>
              <w:textAlignment w:val="baseline"/>
              <w:rPr>
                <w:lang w:val="it-IT"/>
              </w:rPr>
            </w:pPr>
            <w:r w:rsidRPr="00BC0E7E">
              <w:rPr>
                <w:lang w:val="it-IT"/>
              </w:rPr>
              <w:t>NA</w:t>
            </w:r>
          </w:p>
        </w:tc>
        <w:tc>
          <w:tcPr>
            <w:tcW w:w="1276" w:type="dxa"/>
            <w:tcBorders>
              <w:left w:val="single" w:sz="6" w:space="0" w:color="auto"/>
            </w:tcBorders>
          </w:tcPr>
          <w:p w14:paraId="5DEF6180" w14:textId="77777777" w:rsidR="00EC53A7" w:rsidRPr="00BC0E7E" w:rsidRDefault="00944B8F" w:rsidP="00BF4F97">
            <w:pPr>
              <w:keepNext/>
              <w:tabs>
                <w:tab w:val="clear" w:pos="562"/>
                <w:tab w:val="decimal" w:pos="567"/>
              </w:tabs>
              <w:overflowPunct w:val="0"/>
              <w:autoSpaceDE w:val="0"/>
              <w:autoSpaceDN w:val="0"/>
              <w:adjustRightInd w:val="0"/>
              <w:textAlignment w:val="baseline"/>
            </w:pPr>
            <w:r w:rsidRPr="00BC0E7E">
              <w:t>9.5%</w:t>
            </w:r>
          </w:p>
        </w:tc>
        <w:tc>
          <w:tcPr>
            <w:tcW w:w="1417" w:type="dxa"/>
          </w:tcPr>
          <w:p w14:paraId="437C5693" w14:textId="77777777" w:rsidR="00EC53A7" w:rsidRPr="00BC0E7E" w:rsidRDefault="00944B8F" w:rsidP="00BF4F97">
            <w:pPr>
              <w:keepNext/>
              <w:tabs>
                <w:tab w:val="clear" w:pos="562"/>
                <w:tab w:val="decimal" w:pos="662"/>
              </w:tabs>
              <w:overflowPunct w:val="0"/>
              <w:autoSpaceDE w:val="0"/>
              <w:autoSpaceDN w:val="0"/>
              <w:adjustRightInd w:val="0"/>
              <w:textAlignment w:val="baseline"/>
            </w:pPr>
            <w:r w:rsidRPr="00BC0E7E">
              <w:t>41.5%</w:t>
            </w:r>
          </w:p>
        </w:tc>
      </w:tr>
      <w:tr w:rsidR="00C6578C" w14:paraId="040F64E0" w14:textId="77777777" w:rsidTr="00BF4F97">
        <w:trPr>
          <w:cantSplit/>
        </w:trPr>
        <w:tc>
          <w:tcPr>
            <w:tcW w:w="1186" w:type="dxa"/>
            <w:tcBorders>
              <w:right w:val="single" w:sz="6" w:space="0" w:color="auto"/>
            </w:tcBorders>
          </w:tcPr>
          <w:p w14:paraId="13C45C0A" w14:textId="77777777" w:rsidR="00EC53A7" w:rsidRPr="00BC0E7E" w:rsidRDefault="00944B8F" w:rsidP="00BF4F97">
            <w:pPr>
              <w:keepNext/>
              <w:tabs>
                <w:tab w:val="clear" w:pos="562"/>
                <w:tab w:val="left" w:pos="144"/>
              </w:tabs>
              <w:overflowPunct w:val="0"/>
              <w:autoSpaceDE w:val="0"/>
              <w:autoSpaceDN w:val="0"/>
              <w:adjustRightInd w:val="0"/>
              <w:textAlignment w:val="baseline"/>
            </w:pPr>
            <w:r w:rsidRPr="00EC44BE">
              <w:rPr>
                <w:noProof/>
                <w:lang w:val="en-US"/>
              </w:rPr>
              <mc:AlternateContent>
                <mc:Choice Requires="wps">
                  <w:drawing>
                    <wp:anchor distT="0" distB="0" distL="114300" distR="114300" simplePos="0" relativeHeight="251658244" behindDoc="0" locked="0" layoutInCell="0" allowOverlap="1" wp14:anchorId="7B052202" wp14:editId="0EF690FA">
                      <wp:simplePos x="0" y="0"/>
                      <wp:positionH relativeFrom="column">
                        <wp:posOffset>-4972050</wp:posOffset>
                      </wp:positionH>
                      <wp:positionV relativeFrom="paragraph">
                        <wp:posOffset>38735</wp:posOffset>
                      </wp:positionV>
                      <wp:extent cx="3543300" cy="342900"/>
                      <wp:effectExtent l="0" t="1270" r="444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93A499" w14:textId="77777777" w:rsidR="00693052" w:rsidRDefault="00693052" w:rsidP="00EC53A7">
                                  <w:pPr>
                                    <w:rPr>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B052202" id="Text Box 20" o:spid="_x0000_s1031" type="#_x0000_t202" style="position:absolute;margin-left:-391.5pt;margin-top:3.05pt;width:279pt;height:2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" o:allowincell="f" stroked="f">
                      <v:textbox>
                        <w:txbxContent>
                          <w:p w14:paraId="0693A499" w14:textId="77777777" w:rsidR="00693052" w:rsidRDefault="00693052" w:rsidP="00EC53A7">
                            <w:pPr>
                              <w:rPr>
                                <w:sz w:val="20"/>
                              </w:rPr>
                            </w:pPr>
                          </w:p>
                        </w:txbxContent>
                      </v:textbox>
                    </v:shape>
                  </w:pict>
                </mc:Fallback>
              </mc:AlternateContent>
            </w:r>
            <w:r w:rsidRPr="00BC0E7E">
              <w:t>ACR 70</w:t>
            </w:r>
          </w:p>
        </w:tc>
        <w:tc>
          <w:tcPr>
            <w:tcW w:w="1134" w:type="dxa"/>
            <w:tcBorders>
              <w:left w:val="single" w:sz="6" w:space="0" w:color="auto"/>
            </w:tcBorders>
          </w:tcPr>
          <w:p w14:paraId="6F0B9CEF" w14:textId="77777777" w:rsidR="00EC53A7" w:rsidRPr="00BC0E7E" w:rsidRDefault="00EC53A7" w:rsidP="00BF4F97">
            <w:pPr>
              <w:keepNext/>
              <w:tabs>
                <w:tab w:val="clear" w:pos="562"/>
                <w:tab w:val="decimal" w:pos="117"/>
              </w:tabs>
              <w:overflowPunct w:val="0"/>
              <w:autoSpaceDE w:val="0"/>
              <w:autoSpaceDN w:val="0"/>
              <w:adjustRightInd w:val="0"/>
              <w:jc w:val="center"/>
              <w:textAlignment w:val="baseline"/>
            </w:pPr>
          </w:p>
        </w:tc>
        <w:tc>
          <w:tcPr>
            <w:tcW w:w="1550" w:type="dxa"/>
            <w:tcBorders>
              <w:right w:val="single" w:sz="6" w:space="0" w:color="auto"/>
            </w:tcBorders>
          </w:tcPr>
          <w:p w14:paraId="2B906A99" w14:textId="77777777" w:rsidR="00EC53A7" w:rsidRPr="00BC0E7E" w:rsidRDefault="00EC53A7" w:rsidP="00BF4F97">
            <w:pPr>
              <w:keepNext/>
              <w:tabs>
                <w:tab w:val="clear" w:pos="562"/>
              </w:tabs>
              <w:overflowPunct w:val="0"/>
              <w:autoSpaceDE w:val="0"/>
              <w:autoSpaceDN w:val="0"/>
              <w:adjustRightInd w:val="0"/>
              <w:jc w:val="center"/>
              <w:textAlignment w:val="baseline"/>
            </w:pPr>
          </w:p>
        </w:tc>
        <w:tc>
          <w:tcPr>
            <w:tcW w:w="1285" w:type="dxa"/>
            <w:tcBorders>
              <w:left w:val="single" w:sz="6" w:space="0" w:color="auto"/>
            </w:tcBorders>
          </w:tcPr>
          <w:p w14:paraId="5E56271A" w14:textId="77777777" w:rsidR="00EC53A7" w:rsidRPr="00BC0E7E" w:rsidRDefault="00EC53A7" w:rsidP="00BF4F97">
            <w:pPr>
              <w:keepNext/>
              <w:tabs>
                <w:tab w:val="clear" w:pos="562"/>
                <w:tab w:val="decimal" w:pos="151"/>
              </w:tabs>
              <w:overflowPunct w:val="0"/>
              <w:autoSpaceDE w:val="0"/>
              <w:autoSpaceDN w:val="0"/>
              <w:adjustRightInd w:val="0"/>
              <w:jc w:val="center"/>
              <w:textAlignment w:val="baseline"/>
            </w:pPr>
          </w:p>
        </w:tc>
        <w:tc>
          <w:tcPr>
            <w:tcW w:w="1276" w:type="dxa"/>
            <w:tcBorders>
              <w:right w:val="single" w:sz="6" w:space="0" w:color="auto"/>
            </w:tcBorders>
          </w:tcPr>
          <w:p w14:paraId="2A270124" w14:textId="77777777" w:rsidR="00EC53A7" w:rsidRPr="00BC0E7E" w:rsidRDefault="00EC53A7" w:rsidP="00BF4F97">
            <w:pPr>
              <w:keepNext/>
              <w:tabs>
                <w:tab w:val="clear" w:pos="562"/>
              </w:tabs>
              <w:overflowPunct w:val="0"/>
              <w:autoSpaceDE w:val="0"/>
              <w:autoSpaceDN w:val="0"/>
              <w:adjustRightInd w:val="0"/>
              <w:jc w:val="center"/>
              <w:textAlignment w:val="baseline"/>
            </w:pPr>
          </w:p>
        </w:tc>
        <w:tc>
          <w:tcPr>
            <w:tcW w:w="1276" w:type="dxa"/>
            <w:tcBorders>
              <w:left w:val="single" w:sz="6" w:space="0" w:color="auto"/>
            </w:tcBorders>
          </w:tcPr>
          <w:p w14:paraId="35637CBF" w14:textId="77777777" w:rsidR="00EC53A7" w:rsidRPr="00BC0E7E" w:rsidRDefault="00EC53A7" w:rsidP="00BF4F97">
            <w:pPr>
              <w:keepNext/>
              <w:tabs>
                <w:tab w:val="clear" w:pos="562"/>
                <w:tab w:val="decimal" w:pos="567"/>
              </w:tabs>
              <w:overflowPunct w:val="0"/>
              <w:autoSpaceDE w:val="0"/>
              <w:autoSpaceDN w:val="0"/>
              <w:adjustRightInd w:val="0"/>
              <w:textAlignment w:val="baseline"/>
            </w:pPr>
          </w:p>
        </w:tc>
        <w:tc>
          <w:tcPr>
            <w:tcW w:w="1417" w:type="dxa"/>
          </w:tcPr>
          <w:p w14:paraId="44B58DD8" w14:textId="77777777" w:rsidR="00EC53A7" w:rsidRPr="00BC0E7E" w:rsidRDefault="00EC53A7" w:rsidP="00BF4F97">
            <w:pPr>
              <w:keepNext/>
              <w:tabs>
                <w:tab w:val="clear" w:pos="562"/>
                <w:tab w:val="decimal" w:pos="662"/>
              </w:tabs>
              <w:overflowPunct w:val="0"/>
              <w:autoSpaceDE w:val="0"/>
              <w:autoSpaceDN w:val="0"/>
              <w:adjustRightInd w:val="0"/>
              <w:textAlignment w:val="baseline"/>
            </w:pPr>
          </w:p>
        </w:tc>
      </w:tr>
      <w:tr w:rsidR="00C6578C" w14:paraId="3D23ABAF" w14:textId="77777777" w:rsidTr="00BF4F97">
        <w:trPr>
          <w:cantSplit/>
        </w:trPr>
        <w:tc>
          <w:tcPr>
            <w:tcW w:w="1186" w:type="dxa"/>
            <w:tcBorders>
              <w:right w:val="single" w:sz="6" w:space="0" w:color="auto"/>
            </w:tcBorders>
          </w:tcPr>
          <w:p w14:paraId="5D9D8AD6" w14:textId="77777777" w:rsidR="00EC53A7" w:rsidRPr="00BC0E7E" w:rsidRDefault="00944B8F" w:rsidP="00BF4F97">
            <w:pPr>
              <w:keepNext/>
              <w:tabs>
                <w:tab w:val="clear" w:pos="562"/>
                <w:tab w:val="left" w:pos="144"/>
              </w:tabs>
              <w:overflowPunct w:val="0"/>
              <w:autoSpaceDE w:val="0"/>
              <w:autoSpaceDN w:val="0"/>
              <w:adjustRightInd w:val="0"/>
              <w:textAlignment w:val="baseline"/>
            </w:pPr>
            <w:r w:rsidRPr="00BC0E7E">
              <w:tab/>
              <w:t>6 months</w:t>
            </w:r>
          </w:p>
        </w:tc>
        <w:tc>
          <w:tcPr>
            <w:tcW w:w="1134" w:type="dxa"/>
            <w:tcBorders>
              <w:left w:val="single" w:sz="6" w:space="0" w:color="auto"/>
            </w:tcBorders>
          </w:tcPr>
          <w:p w14:paraId="7FE42D0C" w14:textId="77777777" w:rsidR="00EC53A7" w:rsidRPr="00BC0E7E" w:rsidRDefault="00944B8F" w:rsidP="00BF4F97">
            <w:pPr>
              <w:keepNext/>
              <w:tabs>
                <w:tab w:val="clear" w:pos="562"/>
                <w:tab w:val="decimal" w:pos="117"/>
              </w:tabs>
              <w:overflowPunct w:val="0"/>
              <w:autoSpaceDE w:val="0"/>
              <w:autoSpaceDN w:val="0"/>
              <w:adjustRightInd w:val="0"/>
              <w:jc w:val="center"/>
              <w:textAlignment w:val="baseline"/>
            </w:pPr>
            <w:r w:rsidRPr="00BC0E7E">
              <w:t>3.3%</w:t>
            </w:r>
          </w:p>
        </w:tc>
        <w:tc>
          <w:tcPr>
            <w:tcW w:w="1550" w:type="dxa"/>
            <w:tcBorders>
              <w:right w:val="single" w:sz="6" w:space="0" w:color="auto"/>
            </w:tcBorders>
          </w:tcPr>
          <w:p w14:paraId="6FA1287B" w14:textId="77777777" w:rsidR="00EC53A7" w:rsidRPr="00BC0E7E" w:rsidRDefault="00944B8F" w:rsidP="00BF4F97">
            <w:pPr>
              <w:keepNext/>
              <w:tabs>
                <w:tab w:val="clear" w:pos="562"/>
              </w:tabs>
              <w:overflowPunct w:val="0"/>
              <w:autoSpaceDE w:val="0"/>
              <w:autoSpaceDN w:val="0"/>
              <w:adjustRightInd w:val="0"/>
              <w:jc w:val="center"/>
              <w:textAlignment w:val="baseline"/>
            </w:pPr>
            <w:r w:rsidRPr="00BC0E7E">
              <w:t>23.8%</w:t>
            </w:r>
          </w:p>
        </w:tc>
        <w:tc>
          <w:tcPr>
            <w:tcW w:w="1285" w:type="dxa"/>
            <w:tcBorders>
              <w:left w:val="single" w:sz="6" w:space="0" w:color="auto"/>
            </w:tcBorders>
          </w:tcPr>
          <w:p w14:paraId="149AF218" w14:textId="77777777" w:rsidR="00EC53A7" w:rsidRPr="00BC0E7E" w:rsidRDefault="00944B8F" w:rsidP="00BF4F97">
            <w:pPr>
              <w:keepNext/>
              <w:tabs>
                <w:tab w:val="clear" w:pos="562"/>
                <w:tab w:val="decimal" w:pos="151"/>
              </w:tabs>
              <w:overflowPunct w:val="0"/>
              <w:autoSpaceDE w:val="0"/>
              <w:autoSpaceDN w:val="0"/>
              <w:adjustRightInd w:val="0"/>
              <w:jc w:val="center"/>
              <w:textAlignment w:val="baseline"/>
            </w:pPr>
            <w:r w:rsidRPr="00BC0E7E">
              <w:t>1.8%</w:t>
            </w:r>
          </w:p>
        </w:tc>
        <w:tc>
          <w:tcPr>
            <w:tcW w:w="1276" w:type="dxa"/>
            <w:tcBorders>
              <w:right w:val="single" w:sz="6" w:space="0" w:color="auto"/>
            </w:tcBorders>
          </w:tcPr>
          <w:p w14:paraId="17463C7E" w14:textId="77777777" w:rsidR="00EC53A7" w:rsidRPr="00BC0E7E" w:rsidRDefault="00944B8F" w:rsidP="00BF4F97">
            <w:pPr>
              <w:keepNext/>
              <w:tabs>
                <w:tab w:val="clear" w:pos="562"/>
              </w:tabs>
              <w:overflowPunct w:val="0"/>
              <w:autoSpaceDE w:val="0"/>
              <w:autoSpaceDN w:val="0"/>
              <w:adjustRightInd w:val="0"/>
              <w:jc w:val="center"/>
              <w:textAlignment w:val="baseline"/>
            </w:pPr>
            <w:r w:rsidRPr="00BC0E7E">
              <w:t>12.4%</w:t>
            </w:r>
          </w:p>
        </w:tc>
        <w:tc>
          <w:tcPr>
            <w:tcW w:w="1276" w:type="dxa"/>
            <w:tcBorders>
              <w:left w:val="single" w:sz="6" w:space="0" w:color="auto"/>
            </w:tcBorders>
          </w:tcPr>
          <w:p w14:paraId="7C8B62F8" w14:textId="77777777" w:rsidR="00EC53A7" w:rsidRPr="00BC0E7E" w:rsidRDefault="00944B8F" w:rsidP="00BF4F97">
            <w:pPr>
              <w:keepNext/>
              <w:tabs>
                <w:tab w:val="clear" w:pos="562"/>
                <w:tab w:val="decimal" w:pos="567"/>
              </w:tabs>
              <w:overflowPunct w:val="0"/>
              <w:autoSpaceDE w:val="0"/>
              <w:autoSpaceDN w:val="0"/>
              <w:adjustRightInd w:val="0"/>
              <w:textAlignment w:val="baseline"/>
            </w:pPr>
            <w:r w:rsidRPr="00BC0E7E">
              <w:t>2.5%</w:t>
            </w:r>
          </w:p>
        </w:tc>
        <w:tc>
          <w:tcPr>
            <w:tcW w:w="1417" w:type="dxa"/>
          </w:tcPr>
          <w:p w14:paraId="0A60C2F3" w14:textId="77777777" w:rsidR="00EC53A7" w:rsidRPr="00BC0E7E" w:rsidRDefault="00944B8F" w:rsidP="00BF4F97">
            <w:pPr>
              <w:keepNext/>
              <w:tabs>
                <w:tab w:val="clear" w:pos="562"/>
                <w:tab w:val="decimal" w:pos="662"/>
              </w:tabs>
              <w:overflowPunct w:val="0"/>
              <w:autoSpaceDE w:val="0"/>
              <w:autoSpaceDN w:val="0"/>
              <w:adjustRightInd w:val="0"/>
              <w:textAlignment w:val="baseline"/>
            </w:pPr>
            <w:r w:rsidRPr="00BC0E7E">
              <w:t>20.8%</w:t>
            </w:r>
          </w:p>
        </w:tc>
      </w:tr>
      <w:tr w:rsidR="00C6578C" w14:paraId="5B1AB2E5" w14:textId="77777777" w:rsidTr="00BF4F97">
        <w:trPr>
          <w:cantSplit/>
        </w:trPr>
        <w:tc>
          <w:tcPr>
            <w:tcW w:w="1186" w:type="dxa"/>
            <w:tcBorders>
              <w:bottom w:val="single" w:sz="6" w:space="0" w:color="auto"/>
              <w:right w:val="single" w:sz="6" w:space="0" w:color="auto"/>
            </w:tcBorders>
          </w:tcPr>
          <w:p w14:paraId="1C7E3663" w14:textId="77777777" w:rsidR="00EC53A7" w:rsidRPr="00BC0E7E" w:rsidRDefault="00944B8F" w:rsidP="00BF4F97">
            <w:pPr>
              <w:keepNext/>
              <w:tabs>
                <w:tab w:val="clear" w:pos="562"/>
                <w:tab w:val="left" w:pos="144"/>
              </w:tabs>
              <w:overflowPunct w:val="0"/>
              <w:autoSpaceDE w:val="0"/>
              <w:autoSpaceDN w:val="0"/>
              <w:adjustRightInd w:val="0"/>
              <w:textAlignment w:val="baseline"/>
            </w:pPr>
            <w:r w:rsidRPr="00BC0E7E">
              <w:tab/>
              <w:t>12 months</w:t>
            </w:r>
          </w:p>
        </w:tc>
        <w:tc>
          <w:tcPr>
            <w:tcW w:w="1134" w:type="dxa"/>
            <w:tcBorders>
              <w:left w:val="single" w:sz="6" w:space="0" w:color="auto"/>
              <w:bottom w:val="single" w:sz="6" w:space="0" w:color="auto"/>
            </w:tcBorders>
          </w:tcPr>
          <w:p w14:paraId="30F93754" w14:textId="77777777" w:rsidR="00EC53A7" w:rsidRPr="00BC0E7E" w:rsidRDefault="00944B8F" w:rsidP="00BF4F97">
            <w:pPr>
              <w:keepNext/>
              <w:tabs>
                <w:tab w:val="clear" w:pos="562"/>
              </w:tabs>
              <w:overflowPunct w:val="0"/>
              <w:autoSpaceDE w:val="0"/>
              <w:autoSpaceDN w:val="0"/>
              <w:adjustRightInd w:val="0"/>
              <w:jc w:val="center"/>
              <w:textAlignment w:val="baseline"/>
              <w:rPr>
                <w:lang w:val="it-IT"/>
              </w:rPr>
            </w:pPr>
            <w:r w:rsidRPr="00BC0E7E">
              <w:rPr>
                <w:lang w:val="it-IT"/>
              </w:rPr>
              <w:t>NA</w:t>
            </w:r>
          </w:p>
        </w:tc>
        <w:tc>
          <w:tcPr>
            <w:tcW w:w="1550" w:type="dxa"/>
            <w:tcBorders>
              <w:bottom w:val="single" w:sz="6" w:space="0" w:color="auto"/>
              <w:right w:val="single" w:sz="6" w:space="0" w:color="auto"/>
            </w:tcBorders>
          </w:tcPr>
          <w:p w14:paraId="63CC504E" w14:textId="77777777" w:rsidR="00EC53A7" w:rsidRPr="00BC0E7E" w:rsidRDefault="00944B8F" w:rsidP="00BF4F97">
            <w:pPr>
              <w:keepNext/>
              <w:tabs>
                <w:tab w:val="clear" w:pos="562"/>
              </w:tabs>
              <w:overflowPunct w:val="0"/>
              <w:autoSpaceDE w:val="0"/>
              <w:autoSpaceDN w:val="0"/>
              <w:adjustRightInd w:val="0"/>
              <w:jc w:val="center"/>
              <w:textAlignment w:val="baseline"/>
              <w:rPr>
                <w:lang w:val="it-IT"/>
              </w:rPr>
            </w:pPr>
            <w:r w:rsidRPr="00BC0E7E">
              <w:rPr>
                <w:lang w:val="it-IT"/>
              </w:rPr>
              <w:t>NA</w:t>
            </w:r>
          </w:p>
        </w:tc>
        <w:tc>
          <w:tcPr>
            <w:tcW w:w="1285" w:type="dxa"/>
            <w:tcBorders>
              <w:left w:val="single" w:sz="6" w:space="0" w:color="auto"/>
              <w:bottom w:val="single" w:sz="6" w:space="0" w:color="auto"/>
            </w:tcBorders>
          </w:tcPr>
          <w:p w14:paraId="3031A26B" w14:textId="77777777" w:rsidR="00EC53A7" w:rsidRPr="00BC0E7E" w:rsidRDefault="00944B8F" w:rsidP="00BF4F97">
            <w:pPr>
              <w:keepNext/>
              <w:tabs>
                <w:tab w:val="clear" w:pos="562"/>
              </w:tabs>
              <w:overflowPunct w:val="0"/>
              <w:autoSpaceDE w:val="0"/>
              <w:autoSpaceDN w:val="0"/>
              <w:adjustRightInd w:val="0"/>
              <w:jc w:val="center"/>
              <w:textAlignment w:val="baseline"/>
              <w:rPr>
                <w:lang w:val="it-IT"/>
              </w:rPr>
            </w:pPr>
            <w:r w:rsidRPr="00BC0E7E">
              <w:rPr>
                <w:lang w:val="it-IT"/>
              </w:rPr>
              <w:t>NA</w:t>
            </w:r>
          </w:p>
        </w:tc>
        <w:tc>
          <w:tcPr>
            <w:tcW w:w="1276" w:type="dxa"/>
            <w:tcBorders>
              <w:bottom w:val="single" w:sz="6" w:space="0" w:color="auto"/>
              <w:right w:val="single" w:sz="6" w:space="0" w:color="auto"/>
            </w:tcBorders>
          </w:tcPr>
          <w:p w14:paraId="7B30B3CA" w14:textId="77777777" w:rsidR="00EC53A7" w:rsidRPr="00BC0E7E" w:rsidRDefault="00944B8F" w:rsidP="00BF4F97">
            <w:pPr>
              <w:keepNext/>
              <w:tabs>
                <w:tab w:val="clear" w:pos="562"/>
              </w:tabs>
              <w:overflowPunct w:val="0"/>
              <w:autoSpaceDE w:val="0"/>
              <w:autoSpaceDN w:val="0"/>
              <w:adjustRightInd w:val="0"/>
              <w:jc w:val="center"/>
              <w:textAlignment w:val="baseline"/>
            </w:pPr>
            <w:r w:rsidRPr="00BC0E7E">
              <w:t>NA</w:t>
            </w:r>
          </w:p>
        </w:tc>
        <w:tc>
          <w:tcPr>
            <w:tcW w:w="1276" w:type="dxa"/>
            <w:tcBorders>
              <w:left w:val="single" w:sz="6" w:space="0" w:color="auto"/>
              <w:bottom w:val="single" w:sz="6" w:space="0" w:color="auto"/>
            </w:tcBorders>
          </w:tcPr>
          <w:p w14:paraId="166E532F" w14:textId="77777777" w:rsidR="00EC53A7" w:rsidRPr="00BC0E7E" w:rsidRDefault="00944B8F" w:rsidP="00BF4F97">
            <w:pPr>
              <w:keepNext/>
              <w:tabs>
                <w:tab w:val="clear" w:pos="562"/>
                <w:tab w:val="decimal" w:pos="567"/>
              </w:tabs>
              <w:overflowPunct w:val="0"/>
              <w:autoSpaceDE w:val="0"/>
              <w:autoSpaceDN w:val="0"/>
              <w:adjustRightInd w:val="0"/>
              <w:textAlignment w:val="baseline"/>
            </w:pPr>
            <w:r w:rsidRPr="00BC0E7E">
              <w:t>4.5%</w:t>
            </w:r>
          </w:p>
        </w:tc>
        <w:tc>
          <w:tcPr>
            <w:tcW w:w="1417" w:type="dxa"/>
            <w:tcBorders>
              <w:bottom w:val="single" w:sz="6" w:space="0" w:color="auto"/>
            </w:tcBorders>
          </w:tcPr>
          <w:p w14:paraId="2179DCDC" w14:textId="77777777" w:rsidR="00EC53A7" w:rsidRPr="00BC0E7E" w:rsidRDefault="00944B8F" w:rsidP="00BF4F97">
            <w:pPr>
              <w:keepNext/>
              <w:tabs>
                <w:tab w:val="clear" w:pos="562"/>
                <w:tab w:val="decimal" w:pos="662"/>
              </w:tabs>
              <w:overflowPunct w:val="0"/>
              <w:autoSpaceDE w:val="0"/>
              <w:autoSpaceDN w:val="0"/>
              <w:adjustRightInd w:val="0"/>
              <w:textAlignment w:val="baseline"/>
            </w:pPr>
            <w:r w:rsidRPr="00BC0E7E">
              <w:t>23.2%</w:t>
            </w:r>
          </w:p>
        </w:tc>
      </w:tr>
      <w:tr w:rsidR="00C6578C" w14:paraId="5416F119" w14:textId="77777777" w:rsidTr="00BF4F97">
        <w:trPr>
          <w:cantSplit/>
        </w:trPr>
        <w:tc>
          <w:tcPr>
            <w:tcW w:w="9124" w:type="dxa"/>
            <w:gridSpan w:val="7"/>
          </w:tcPr>
          <w:p w14:paraId="2A4DE644" w14:textId="77777777" w:rsidR="00EC53A7" w:rsidRPr="00BC0E7E" w:rsidRDefault="00944B8F" w:rsidP="00BF4F97">
            <w:pPr>
              <w:keepNext/>
              <w:tabs>
                <w:tab w:val="clear" w:pos="562"/>
                <w:tab w:val="left" w:pos="142"/>
              </w:tabs>
              <w:overflowPunct w:val="0"/>
              <w:autoSpaceDE w:val="0"/>
              <w:autoSpaceDN w:val="0"/>
              <w:adjustRightInd w:val="0"/>
              <w:ind w:left="144" w:hanging="144"/>
              <w:textAlignment w:val="baseline"/>
            </w:pPr>
            <w:r w:rsidRPr="00BC0E7E">
              <w:rPr>
                <w:vertAlign w:val="superscript"/>
              </w:rPr>
              <w:t>a</w:t>
            </w:r>
            <w:r w:rsidRPr="00BC0E7E">
              <w:tab/>
              <w:t>RA study I at 24 weeks, RA study II at 26 weeks , and RA study III at 24 and 52 weeks</w:t>
            </w:r>
          </w:p>
          <w:p w14:paraId="098787D6" w14:textId="77777777" w:rsidR="00EC53A7" w:rsidRPr="00BC0E7E" w:rsidRDefault="00944B8F" w:rsidP="00BF4F97">
            <w:pPr>
              <w:keepNext/>
              <w:tabs>
                <w:tab w:val="clear" w:pos="562"/>
                <w:tab w:val="left" w:pos="142"/>
              </w:tabs>
              <w:overflowPunct w:val="0"/>
              <w:autoSpaceDE w:val="0"/>
              <w:autoSpaceDN w:val="0"/>
              <w:adjustRightInd w:val="0"/>
              <w:ind w:left="144" w:hanging="144"/>
              <w:textAlignment w:val="baseline"/>
            </w:pPr>
            <w:r w:rsidRPr="00BC0E7E">
              <w:rPr>
                <w:vertAlign w:val="superscript"/>
              </w:rPr>
              <w:t>b</w:t>
            </w:r>
            <w:r w:rsidRPr="00BC0E7E">
              <w:tab/>
              <w:t>40 mg Humira administered every other week</w:t>
            </w:r>
          </w:p>
          <w:p w14:paraId="2F72DB02" w14:textId="77777777" w:rsidR="00EC53A7" w:rsidRPr="00BC0E7E" w:rsidRDefault="00944B8F" w:rsidP="00BF4F97">
            <w:pPr>
              <w:keepNext/>
              <w:tabs>
                <w:tab w:val="clear" w:pos="562"/>
                <w:tab w:val="left" w:pos="142"/>
              </w:tabs>
              <w:overflowPunct w:val="0"/>
              <w:autoSpaceDE w:val="0"/>
              <w:autoSpaceDN w:val="0"/>
              <w:adjustRightInd w:val="0"/>
              <w:ind w:left="144" w:hanging="144"/>
              <w:textAlignment w:val="baseline"/>
              <w:rPr>
                <w:lang w:val="fr-FR"/>
              </w:rPr>
            </w:pPr>
            <w:r w:rsidRPr="00BC0E7E">
              <w:rPr>
                <w:vertAlign w:val="superscript"/>
                <w:lang w:val="fr-FR"/>
              </w:rPr>
              <w:t>c</w:t>
            </w:r>
            <w:r w:rsidRPr="00BC0E7E">
              <w:rPr>
                <w:lang w:val="fr-FR"/>
              </w:rPr>
              <w:t xml:space="preserve"> MTX = methotrexate</w:t>
            </w:r>
          </w:p>
          <w:p w14:paraId="6448B364" w14:textId="77777777" w:rsidR="00EC53A7" w:rsidRPr="00BC0E7E" w:rsidRDefault="00944B8F" w:rsidP="00BF4F97">
            <w:pPr>
              <w:keepNext/>
              <w:tabs>
                <w:tab w:val="clear" w:pos="562"/>
                <w:tab w:val="left" w:pos="142"/>
              </w:tabs>
              <w:overflowPunct w:val="0"/>
              <w:autoSpaceDE w:val="0"/>
              <w:autoSpaceDN w:val="0"/>
              <w:adjustRightInd w:val="0"/>
              <w:ind w:left="144" w:hanging="144"/>
              <w:textAlignment w:val="baseline"/>
              <w:rPr>
                <w:lang w:val="fr-FR"/>
              </w:rPr>
            </w:pPr>
            <w:r w:rsidRPr="00BC0E7E">
              <w:rPr>
                <w:lang w:val="fr-FR"/>
              </w:rPr>
              <w:t xml:space="preserve">**p &lt; 0.01, Humira </w:t>
            </w:r>
            <w:r w:rsidRPr="00BC0E7E">
              <w:rPr>
                <w:i/>
                <w:iCs/>
                <w:lang w:val="fr-FR"/>
              </w:rPr>
              <w:t>versus</w:t>
            </w:r>
            <w:r w:rsidRPr="00BC0E7E">
              <w:rPr>
                <w:lang w:val="fr-FR"/>
              </w:rPr>
              <w:t xml:space="preserve"> placebo</w:t>
            </w:r>
          </w:p>
        </w:tc>
      </w:tr>
    </w:tbl>
    <w:p w14:paraId="0F2C29E5" w14:textId="77777777" w:rsidR="00EC53A7" w:rsidRPr="00BC0E7E" w:rsidRDefault="00EC53A7" w:rsidP="00EC53A7">
      <w:pPr>
        <w:rPr>
          <w:lang w:val="fr-FR"/>
        </w:rPr>
      </w:pPr>
    </w:p>
    <w:p w14:paraId="2C4FF98E" w14:textId="77777777" w:rsidR="00EC53A7" w:rsidRPr="00BC0E7E" w:rsidRDefault="00944B8F" w:rsidP="00EC53A7">
      <w:r w:rsidRPr="00BC0E7E">
        <w:lastRenderedPageBreak/>
        <w:t xml:space="preserve">In RA studies I-IV, all individual components of the ACR response criteria (number of tender and swollen joints, physician and patient assessment of disease activity and pain, disability index (HAQ) scores and CRP (mg/dl) values) improved at 24 or 26 weeks compared to placebo. In RA study III, these improvements were maintained throughout 52 weeks. </w:t>
      </w:r>
    </w:p>
    <w:p w14:paraId="13257B61" w14:textId="77777777" w:rsidR="00EC53A7" w:rsidRPr="00BC0E7E" w:rsidRDefault="00EC53A7" w:rsidP="00EC53A7"/>
    <w:p w14:paraId="1FFAF3F5" w14:textId="77777777" w:rsidR="00EC53A7" w:rsidRPr="00BC0E7E" w:rsidRDefault="00944B8F" w:rsidP="00EC53A7">
      <w:r w:rsidRPr="00BC0E7E">
        <w:t>In the open-label extension for RA study III, most patients who were ACR responders maintained response when followed for up to 10 years. Of 207 patients who were randomised to Humira 40 mg every other week, 114 patients continued on Humira 40 mg every other week for 5 years. Among those, 86 patients (75.4%) had ACR 20 responses; 72 patients (63.2%) had ACR 50 responses; and 41 patients (36%) had ACR 70 responses. Of 207 patients, 81 patients continued on Humira 40 mg every other week for 10 years. Among those, 64 patients (79.0%) had ACR 20 responses; 56 patients (69.1%) had ACR 50 responses; and 43 patients (53.1%) had ACR 70 responses.</w:t>
      </w:r>
    </w:p>
    <w:p w14:paraId="796DCEEC" w14:textId="77777777" w:rsidR="00EC53A7" w:rsidRPr="00BC0E7E" w:rsidRDefault="00EC53A7" w:rsidP="00EC53A7"/>
    <w:p w14:paraId="04A83A89" w14:textId="77777777" w:rsidR="00EC53A7" w:rsidRPr="00BC0E7E" w:rsidRDefault="00944B8F" w:rsidP="00EC53A7">
      <w:r w:rsidRPr="00BC0E7E">
        <w:t xml:space="preserve">In RA study IV, the ACR 20 response of patients treated with Humira plus standard of care was statistically significantly better than patients treated with placebo plus standard of care (p &lt; 0.001).  </w:t>
      </w:r>
    </w:p>
    <w:p w14:paraId="44DA448E" w14:textId="77777777" w:rsidR="00EC53A7" w:rsidRPr="00BC0E7E" w:rsidRDefault="00EC53A7" w:rsidP="00EC53A7">
      <w:pPr>
        <w:tabs>
          <w:tab w:val="clear" w:pos="562"/>
        </w:tabs>
        <w:suppressAutoHyphens w:val="0"/>
        <w:overflowPunct w:val="0"/>
        <w:autoSpaceDE w:val="0"/>
        <w:autoSpaceDN w:val="0"/>
        <w:adjustRightInd w:val="0"/>
        <w:textAlignment w:val="baseline"/>
        <w:rPr>
          <w:szCs w:val="20"/>
        </w:rPr>
      </w:pPr>
    </w:p>
    <w:p w14:paraId="0484CA90" w14:textId="77777777" w:rsidR="00EC53A7" w:rsidRPr="00BC0E7E" w:rsidRDefault="00944B8F" w:rsidP="00EC53A7">
      <w:r w:rsidRPr="00BC0E7E">
        <w:t>In RA studies I-IV, Humira-treated patients achieved statistically significant ACR 20 and 50 responses compared to placebo as early as one to two weeks after initiation of treatment.</w:t>
      </w:r>
    </w:p>
    <w:p w14:paraId="755BBB05" w14:textId="77777777" w:rsidR="00EC53A7" w:rsidRPr="00BC0E7E" w:rsidRDefault="00EC53A7" w:rsidP="00EC53A7"/>
    <w:p w14:paraId="5B229E4F" w14:textId="77777777" w:rsidR="00EC53A7" w:rsidRPr="00BC0E7E" w:rsidRDefault="00944B8F" w:rsidP="00EC53A7">
      <w:r w:rsidRPr="00BC0E7E">
        <w:t xml:space="preserve">In RA study V with early rheumatoid arthritis patients who were methotrexate naïve, combination therapy with Humira and methotrexate led to faster and significantly greater ACR responses than methotrexate monotherapy and Humira monotherapy at Week 52 and responses were sustained at Week 104 (see Table </w:t>
      </w:r>
      <w:r w:rsidR="005F03EC">
        <w:t>6</w:t>
      </w:r>
      <w:r w:rsidRPr="00BC0E7E">
        <w:t>).</w:t>
      </w:r>
    </w:p>
    <w:p w14:paraId="5A202154" w14:textId="77777777" w:rsidR="00EC53A7" w:rsidRPr="00BC0E7E" w:rsidRDefault="00EC53A7" w:rsidP="00EC53A7">
      <w:pPr>
        <w:keepN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
        <w:gridCol w:w="1539"/>
        <w:gridCol w:w="1320"/>
        <w:gridCol w:w="1320"/>
        <w:gridCol w:w="1576"/>
        <w:gridCol w:w="1100"/>
        <w:gridCol w:w="1173"/>
        <w:gridCol w:w="1210"/>
        <w:gridCol w:w="12"/>
      </w:tblGrid>
      <w:tr w:rsidR="00C6578C" w14:paraId="72EFCD4A" w14:textId="77777777" w:rsidTr="00BF4F97">
        <w:trPr>
          <w:gridBefore w:val="1"/>
          <w:wBefore w:w="9" w:type="dxa"/>
          <w:cantSplit/>
          <w:jc w:val="center"/>
        </w:trPr>
        <w:tc>
          <w:tcPr>
            <w:tcW w:w="9250" w:type="dxa"/>
            <w:gridSpan w:val="8"/>
            <w:tcBorders>
              <w:top w:val="nil"/>
              <w:left w:val="nil"/>
              <w:bottom w:val="nil"/>
              <w:right w:val="nil"/>
            </w:tcBorders>
            <w:vAlign w:val="center"/>
          </w:tcPr>
          <w:p w14:paraId="1DAB6B2F" w14:textId="77777777" w:rsidR="00EC53A7" w:rsidRPr="007F079A" w:rsidRDefault="00944B8F" w:rsidP="00BF4F97">
            <w:pPr>
              <w:keepNext/>
              <w:tabs>
                <w:tab w:val="left" w:pos="3600"/>
                <w:tab w:val="center" w:pos="5760"/>
              </w:tabs>
              <w:jc w:val="center"/>
              <w:rPr>
                <w:iCs/>
              </w:rPr>
            </w:pPr>
            <w:r w:rsidRPr="00BC0E7E">
              <w:rPr>
                <w:b/>
                <w:iCs/>
              </w:rPr>
              <w:t xml:space="preserve">Table </w:t>
            </w:r>
            <w:r w:rsidR="005F03EC">
              <w:rPr>
                <w:b/>
                <w:iCs/>
              </w:rPr>
              <w:t>6</w:t>
            </w:r>
          </w:p>
          <w:p w14:paraId="543BB17B" w14:textId="77777777" w:rsidR="00EC53A7" w:rsidRPr="007F079A" w:rsidRDefault="00944B8F" w:rsidP="00BF4F97">
            <w:pPr>
              <w:keepNext/>
              <w:tabs>
                <w:tab w:val="left" w:pos="3600"/>
                <w:tab w:val="center" w:pos="5760"/>
              </w:tabs>
              <w:jc w:val="center"/>
              <w:rPr>
                <w:iCs/>
              </w:rPr>
            </w:pPr>
            <w:r w:rsidRPr="00BC0E7E">
              <w:rPr>
                <w:b/>
                <w:iCs/>
              </w:rPr>
              <w:t>ACR Responses in RA Study V</w:t>
            </w:r>
          </w:p>
          <w:p w14:paraId="1114997F" w14:textId="77777777" w:rsidR="00EC53A7" w:rsidRPr="007F079A" w:rsidRDefault="00944B8F" w:rsidP="00BF4F97">
            <w:pPr>
              <w:keepNext/>
              <w:tabs>
                <w:tab w:val="left" w:pos="3600"/>
                <w:tab w:val="center" w:pos="5760"/>
              </w:tabs>
              <w:jc w:val="center"/>
              <w:rPr>
                <w:bCs/>
                <w:caps/>
              </w:rPr>
            </w:pPr>
            <w:r w:rsidRPr="00BC0E7E">
              <w:rPr>
                <w:b/>
                <w:bCs/>
              </w:rPr>
              <w:t>(percent of patients</w:t>
            </w:r>
            <w:r w:rsidRPr="00BC0E7E">
              <w:rPr>
                <w:b/>
                <w:bCs/>
                <w:caps/>
              </w:rPr>
              <w:t>)</w:t>
            </w:r>
          </w:p>
          <w:p w14:paraId="5E51607F" w14:textId="77777777" w:rsidR="00EC53A7" w:rsidRPr="00BC0E7E" w:rsidRDefault="00EC53A7" w:rsidP="00BF4F97">
            <w:pPr>
              <w:keepNext/>
              <w:tabs>
                <w:tab w:val="left" w:pos="3600"/>
                <w:tab w:val="center" w:pos="5760"/>
              </w:tabs>
              <w:jc w:val="center"/>
              <w:rPr>
                <w:b/>
                <w:bCs/>
              </w:rPr>
            </w:pPr>
          </w:p>
        </w:tc>
      </w:tr>
      <w:tr w:rsidR="00C6578C" w14:paraId="328B7692" w14:textId="77777777" w:rsidTr="00BF4F97">
        <w:trPr>
          <w:gridAfter w:val="1"/>
          <w:wAfter w:w="12" w:type="dxa"/>
          <w:cantSplit/>
          <w:jc w:val="center"/>
        </w:trPr>
        <w:tc>
          <w:tcPr>
            <w:tcW w:w="1548" w:type="dxa"/>
            <w:gridSpan w:val="2"/>
            <w:vAlign w:val="center"/>
          </w:tcPr>
          <w:p w14:paraId="74A371F6" w14:textId="77777777" w:rsidR="00EC53A7" w:rsidRPr="00BC0E7E" w:rsidRDefault="00944B8F" w:rsidP="00BF4F97">
            <w:pPr>
              <w:keepNext/>
              <w:rPr>
                <w:b/>
                <w:bCs/>
                <w:lang w:val="fr-FR"/>
              </w:rPr>
            </w:pPr>
            <w:r w:rsidRPr="00BC0E7E">
              <w:rPr>
                <w:b/>
                <w:bCs/>
                <w:lang w:val="fr-FR"/>
              </w:rPr>
              <w:t>Response</w:t>
            </w:r>
          </w:p>
        </w:tc>
        <w:tc>
          <w:tcPr>
            <w:tcW w:w="1320" w:type="dxa"/>
            <w:vAlign w:val="center"/>
          </w:tcPr>
          <w:p w14:paraId="3D57E1BA" w14:textId="77777777" w:rsidR="00EC53A7" w:rsidRPr="00BC0E7E" w:rsidRDefault="00944B8F" w:rsidP="00BF4F97">
            <w:pPr>
              <w:keepNext/>
              <w:jc w:val="center"/>
              <w:rPr>
                <w:b/>
                <w:bCs/>
                <w:lang w:val="fr-FR"/>
              </w:rPr>
            </w:pPr>
            <w:r w:rsidRPr="00BC0E7E">
              <w:rPr>
                <w:b/>
                <w:bCs/>
                <w:lang w:val="fr-FR"/>
              </w:rPr>
              <w:t>MTX</w:t>
            </w:r>
          </w:p>
          <w:p w14:paraId="6F7B840B" w14:textId="77777777" w:rsidR="00EC53A7" w:rsidRPr="00BC0E7E" w:rsidRDefault="00944B8F" w:rsidP="00BF4F97">
            <w:pPr>
              <w:keepNext/>
              <w:jc w:val="center"/>
              <w:rPr>
                <w:b/>
                <w:bCs/>
                <w:lang w:val="fr-FR"/>
              </w:rPr>
            </w:pPr>
            <w:r w:rsidRPr="00BC0E7E">
              <w:rPr>
                <w:b/>
                <w:bCs/>
                <w:lang w:val="fr-FR"/>
              </w:rPr>
              <w:t>n=257</w:t>
            </w:r>
          </w:p>
        </w:tc>
        <w:tc>
          <w:tcPr>
            <w:tcW w:w="1320" w:type="dxa"/>
            <w:vAlign w:val="center"/>
          </w:tcPr>
          <w:p w14:paraId="70859447" w14:textId="77777777" w:rsidR="00EC53A7" w:rsidRPr="00BC0E7E" w:rsidRDefault="00944B8F" w:rsidP="00BF4F97">
            <w:pPr>
              <w:keepNext/>
              <w:jc w:val="center"/>
              <w:rPr>
                <w:b/>
                <w:bCs/>
                <w:lang w:val="fr-FR"/>
              </w:rPr>
            </w:pPr>
            <w:r w:rsidRPr="00BC0E7E">
              <w:rPr>
                <w:b/>
                <w:bCs/>
                <w:lang w:val="fr-FR"/>
              </w:rPr>
              <w:t>Humira</w:t>
            </w:r>
          </w:p>
          <w:p w14:paraId="4F96526A" w14:textId="77777777" w:rsidR="00EC53A7" w:rsidRPr="00BC0E7E" w:rsidRDefault="00944B8F" w:rsidP="00BF4F97">
            <w:pPr>
              <w:keepNext/>
              <w:jc w:val="center"/>
              <w:rPr>
                <w:b/>
                <w:bCs/>
                <w:lang w:val="fr-FR"/>
              </w:rPr>
            </w:pPr>
            <w:r w:rsidRPr="00BC0E7E">
              <w:rPr>
                <w:b/>
                <w:bCs/>
                <w:lang w:val="fr-FR"/>
              </w:rPr>
              <w:t>n=274</w:t>
            </w:r>
          </w:p>
        </w:tc>
        <w:tc>
          <w:tcPr>
            <w:tcW w:w="1576" w:type="dxa"/>
            <w:vAlign w:val="center"/>
          </w:tcPr>
          <w:p w14:paraId="54E498A1" w14:textId="77777777" w:rsidR="00EC53A7" w:rsidRPr="00BC0E7E" w:rsidRDefault="00944B8F" w:rsidP="00BF4F97">
            <w:pPr>
              <w:keepNext/>
              <w:jc w:val="center"/>
              <w:rPr>
                <w:b/>
                <w:bCs/>
                <w:lang w:val="fr-FR"/>
              </w:rPr>
            </w:pPr>
            <w:r w:rsidRPr="00BC0E7E">
              <w:rPr>
                <w:b/>
                <w:bCs/>
                <w:lang w:val="fr-FR"/>
              </w:rPr>
              <w:t>Humira/MTX</w:t>
            </w:r>
          </w:p>
          <w:p w14:paraId="60C03672" w14:textId="77777777" w:rsidR="00EC53A7" w:rsidRPr="00BC0E7E" w:rsidRDefault="00944B8F" w:rsidP="00BF4F97">
            <w:pPr>
              <w:keepNext/>
              <w:jc w:val="center"/>
              <w:rPr>
                <w:b/>
                <w:bCs/>
                <w:lang w:val="fr-FR"/>
              </w:rPr>
            </w:pPr>
            <w:r w:rsidRPr="00BC0E7E">
              <w:rPr>
                <w:b/>
                <w:bCs/>
                <w:lang w:val="fr-FR"/>
              </w:rPr>
              <w:t>n=268</w:t>
            </w:r>
          </w:p>
        </w:tc>
        <w:tc>
          <w:tcPr>
            <w:tcW w:w="1100" w:type="dxa"/>
            <w:vAlign w:val="center"/>
          </w:tcPr>
          <w:p w14:paraId="48F5AB13" w14:textId="77777777" w:rsidR="00EC53A7" w:rsidRPr="00BC0E7E" w:rsidRDefault="00944B8F" w:rsidP="00BF4F97">
            <w:pPr>
              <w:keepNext/>
              <w:jc w:val="center"/>
              <w:rPr>
                <w:b/>
                <w:bCs/>
                <w:lang w:val="fr-FR"/>
              </w:rPr>
            </w:pPr>
            <w:r w:rsidRPr="00BC0E7E">
              <w:rPr>
                <w:b/>
                <w:bCs/>
                <w:lang w:val="fr-FR"/>
              </w:rPr>
              <w:t>p-value</w:t>
            </w:r>
            <w:r w:rsidRPr="00BC0E7E">
              <w:rPr>
                <w:b/>
                <w:bCs/>
                <w:vertAlign w:val="superscript"/>
                <w:lang w:val="fr-FR"/>
              </w:rPr>
              <w:t>a</w:t>
            </w:r>
          </w:p>
        </w:tc>
        <w:tc>
          <w:tcPr>
            <w:tcW w:w="1173" w:type="dxa"/>
            <w:vAlign w:val="center"/>
          </w:tcPr>
          <w:p w14:paraId="13B0D4D1" w14:textId="77777777" w:rsidR="00EC53A7" w:rsidRPr="00BC0E7E" w:rsidRDefault="00944B8F" w:rsidP="00BF4F97">
            <w:pPr>
              <w:keepNext/>
              <w:jc w:val="center"/>
              <w:rPr>
                <w:b/>
                <w:bCs/>
                <w:lang w:val="fr-FR"/>
              </w:rPr>
            </w:pPr>
            <w:r w:rsidRPr="00BC0E7E">
              <w:rPr>
                <w:b/>
                <w:bCs/>
                <w:lang w:val="fr-FR"/>
              </w:rPr>
              <w:t>p-value</w:t>
            </w:r>
            <w:r w:rsidRPr="00BC0E7E">
              <w:rPr>
                <w:b/>
                <w:bCs/>
                <w:vertAlign w:val="superscript"/>
                <w:lang w:val="fr-FR"/>
              </w:rPr>
              <w:t>b</w:t>
            </w:r>
          </w:p>
        </w:tc>
        <w:tc>
          <w:tcPr>
            <w:tcW w:w="1210" w:type="dxa"/>
            <w:vAlign w:val="center"/>
          </w:tcPr>
          <w:p w14:paraId="01E11266" w14:textId="77777777" w:rsidR="00EC53A7" w:rsidRPr="00BC0E7E" w:rsidRDefault="00944B8F" w:rsidP="00BF4F97">
            <w:pPr>
              <w:keepNext/>
              <w:jc w:val="center"/>
            </w:pPr>
            <w:r w:rsidRPr="00BC0E7E">
              <w:rPr>
                <w:b/>
                <w:bCs/>
              </w:rPr>
              <w:t>p-value</w:t>
            </w:r>
            <w:r w:rsidRPr="00BC0E7E">
              <w:rPr>
                <w:b/>
                <w:bCs/>
                <w:vertAlign w:val="superscript"/>
              </w:rPr>
              <w:t>c</w:t>
            </w:r>
          </w:p>
        </w:tc>
      </w:tr>
      <w:tr w:rsidR="00C6578C" w14:paraId="032C5C71" w14:textId="77777777" w:rsidTr="00BF4F97">
        <w:trPr>
          <w:gridAfter w:val="1"/>
          <w:wAfter w:w="12" w:type="dxa"/>
          <w:cantSplit/>
          <w:jc w:val="center"/>
        </w:trPr>
        <w:tc>
          <w:tcPr>
            <w:tcW w:w="1548" w:type="dxa"/>
            <w:gridSpan w:val="2"/>
          </w:tcPr>
          <w:p w14:paraId="2B509CA1" w14:textId="77777777" w:rsidR="00EC53A7" w:rsidRPr="00BC0E7E" w:rsidRDefault="00944B8F" w:rsidP="00BF4F97">
            <w:pPr>
              <w:keepNext/>
            </w:pPr>
            <w:r w:rsidRPr="00BC0E7E">
              <w:t>ACR 20</w:t>
            </w:r>
          </w:p>
        </w:tc>
        <w:tc>
          <w:tcPr>
            <w:tcW w:w="1320" w:type="dxa"/>
          </w:tcPr>
          <w:p w14:paraId="4E9591F2" w14:textId="77777777" w:rsidR="00EC53A7" w:rsidRPr="00BC0E7E" w:rsidRDefault="00EC53A7" w:rsidP="00BF4F97">
            <w:pPr>
              <w:keepNext/>
              <w:jc w:val="center"/>
            </w:pPr>
          </w:p>
        </w:tc>
        <w:tc>
          <w:tcPr>
            <w:tcW w:w="1320" w:type="dxa"/>
          </w:tcPr>
          <w:p w14:paraId="5B0CD95D" w14:textId="77777777" w:rsidR="00EC53A7" w:rsidRPr="00BC0E7E" w:rsidRDefault="00EC53A7" w:rsidP="00BF4F97">
            <w:pPr>
              <w:keepNext/>
              <w:jc w:val="center"/>
            </w:pPr>
          </w:p>
        </w:tc>
        <w:tc>
          <w:tcPr>
            <w:tcW w:w="1576" w:type="dxa"/>
          </w:tcPr>
          <w:p w14:paraId="16FBA692" w14:textId="77777777" w:rsidR="00EC53A7" w:rsidRPr="00BC0E7E" w:rsidRDefault="00EC53A7" w:rsidP="00BF4F97">
            <w:pPr>
              <w:keepNext/>
              <w:jc w:val="center"/>
            </w:pPr>
          </w:p>
        </w:tc>
        <w:tc>
          <w:tcPr>
            <w:tcW w:w="1100" w:type="dxa"/>
          </w:tcPr>
          <w:p w14:paraId="4F31E416" w14:textId="77777777" w:rsidR="00EC53A7" w:rsidRPr="00BC0E7E" w:rsidRDefault="00EC53A7" w:rsidP="00BF4F97">
            <w:pPr>
              <w:keepNext/>
              <w:jc w:val="center"/>
            </w:pPr>
          </w:p>
        </w:tc>
        <w:tc>
          <w:tcPr>
            <w:tcW w:w="1173" w:type="dxa"/>
          </w:tcPr>
          <w:p w14:paraId="480810E9" w14:textId="77777777" w:rsidR="00EC53A7" w:rsidRPr="00BC0E7E" w:rsidRDefault="00EC53A7" w:rsidP="00BF4F97">
            <w:pPr>
              <w:keepNext/>
              <w:jc w:val="center"/>
            </w:pPr>
          </w:p>
        </w:tc>
        <w:tc>
          <w:tcPr>
            <w:tcW w:w="1210" w:type="dxa"/>
          </w:tcPr>
          <w:p w14:paraId="787D8A37" w14:textId="77777777" w:rsidR="00EC53A7" w:rsidRPr="00BC0E7E" w:rsidRDefault="00EC53A7" w:rsidP="00BF4F97">
            <w:pPr>
              <w:keepNext/>
              <w:jc w:val="center"/>
            </w:pPr>
          </w:p>
        </w:tc>
      </w:tr>
      <w:tr w:rsidR="00C6578C" w14:paraId="5AFEF14A" w14:textId="77777777" w:rsidTr="00BF4F97">
        <w:trPr>
          <w:gridAfter w:val="1"/>
          <w:wAfter w:w="12" w:type="dxa"/>
          <w:cantSplit/>
          <w:jc w:val="center"/>
        </w:trPr>
        <w:tc>
          <w:tcPr>
            <w:tcW w:w="1548" w:type="dxa"/>
            <w:gridSpan w:val="2"/>
          </w:tcPr>
          <w:p w14:paraId="57E30349" w14:textId="77777777" w:rsidR="00EC53A7" w:rsidRPr="00BC0E7E" w:rsidRDefault="00944B8F" w:rsidP="00BF4F97">
            <w:pPr>
              <w:keepNext/>
            </w:pPr>
            <w:r w:rsidRPr="00BC0E7E">
              <w:tab/>
              <w:t>Week 52</w:t>
            </w:r>
          </w:p>
        </w:tc>
        <w:tc>
          <w:tcPr>
            <w:tcW w:w="1320" w:type="dxa"/>
          </w:tcPr>
          <w:p w14:paraId="3B01F61E" w14:textId="77777777" w:rsidR="00EC53A7" w:rsidRPr="00BC0E7E" w:rsidRDefault="00944B8F" w:rsidP="00BF4F97">
            <w:pPr>
              <w:keepNext/>
              <w:jc w:val="center"/>
            </w:pPr>
            <w:r w:rsidRPr="00BC0E7E">
              <w:t>62.6%</w:t>
            </w:r>
          </w:p>
        </w:tc>
        <w:tc>
          <w:tcPr>
            <w:tcW w:w="1320" w:type="dxa"/>
          </w:tcPr>
          <w:p w14:paraId="554BAB46" w14:textId="77777777" w:rsidR="00EC53A7" w:rsidRPr="00BC0E7E" w:rsidRDefault="00944B8F" w:rsidP="00BF4F97">
            <w:pPr>
              <w:keepNext/>
              <w:jc w:val="center"/>
            </w:pPr>
            <w:r w:rsidRPr="00BC0E7E">
              <w:t>54.4%</w:t>
            </w:r>
          </w:p>
        </w:tc>
        <w:tc>
          <w:tcPr>
            <w:tcW w:w="1576" w:type="dxa"/>
          </w:tcPr>
          <w:p w14:paraId="52F6761E" w14:textId="77777777" w:rsidR="00EC53A7" w:rsidRPr="00BC0E7E" w:rsidRDefault="00944B8F" w:rsidP="00BF4F97">
            <w:pPr>
              <w:keepNext/>
              <w:jc w:val="center"/>
            </w:pPr>
            <w:r w:rsidRPr="00BC0E7E">
              <w:t>72.8%</w:t>
            </w:r>
          </w:p>
        </w:tc>
        <w:tc>
          <w:tcPr>
            <w:tcW w:w="1100" w:type="dxa"/>
          </w:tcPr>
          <w:p w14:paraId="541E46FF" w14:textId="77777777" w:rsidR="00EC53A7" w:rsidRPr="00BC0E7E" w:rsidRDefault="00944B8F" w:rsidP="00BF4F97">
            <w:pPr>
              <w:keepNext/>
              <w:jc w:val="center"/>
            </w:pPr>
            <w:r w:rsidRPr="00BC0E7E">
              <w:t>0.013</w:t>
            </w:r>
          </w:p>
        </w:tc>
        <w:tc>
          <w:tcPr>
            <w:tcW w:w="1173" w:type="dxa"/>
          </w:tcPr>
          <w:p w14:paraId="28968645" w14:textId="77777777" w:rsidR="00EC53A7" w:rsidRPr="00BC0E7E" w:rsidRDefault="00944B8F" w:rsidP="00BF4F97">
            <w:pPr>
              <w:keepNext/>
              <w:jc w:val="center"/>
            </w:pPr>
            <w:r w:rsidRPr="00BC0E7E">
              <w:t>&lt; 0.001</w:t>
            </w:r>
          </w:p>
        </w:tc>
        <w:tc>
          <w:tcPr>
            <w:tcW w:w="1210" w:type="dxa"/>
          </w:tcPr>
          <w:p w14:paraId="31A9D28B" w14:textId="77777777" w:rsidR="00EC53A7" w:rsidRPr="00BC0E7E" w:rsidRDefault="00944B8F" w:rsidP="00BF4F97">
            <w:pPr>
              <w:keepNext/>
              <w:jc w:val="center"/>
            </w:pPr>
            <w:r w:rsidRPr="00BC0E7E">
              <w:t>0.043</w:t>
            </w:r>
          </w:p>
        </w:tc>
      </w:tr>
      <w:tr w:rsidR="00C6578C" w14:paraId="1478B058" w14:textId="77777777" w:rsidTr="00BF4F97">
        <w:trPr>
          <w:gridAfter w:val="1"/>
          <w:wAfter w:w="12" w:type="dxa"/>
          <w:cantSplit/>
          <w:jc w:val="center"/>
        </w:trPr>
        <w:tc>
          <w:tcPr>
            <w:tcW w:w="1548" w:type="dxa"/>
            <w:gridSpan w:val="2"/>
          </w:tcPr>
          <w:p w14:paraId="017B9913" w14:textId="77777777" w:rsidR="00EC53A7" w:rsidRPr="00BC0E7E" w:rsidRDefault="00944B8F" w:rsidP="00BF4F97">
            <w:pPr>
              <w:keepNext/>
            </w:pPr>
            <w:r w:rsidRPr="00BC0E7E">
              <w:tab/>
              <w:t>Week 104</w:t>
            </w:r>
          </w:p>
        </w:tc>
        <w:tc>
          <w:tcPr>
            <w:tcW w:w="1320" w:type="dxa"/>
          </w:tcPr>
          <w:p w14:paraId="7DAC24AC" w14:textId="77777777" w:rsidR="00EC53A7" w:rsidRPr="00BC0E7E" w:rsidRDefault="00944B8F" w:rsidP="00BF4F97">
            <w:pPr>
              <w:keepNext/>
              <w:jc w:val="center"/>
            </w:pPr>
            <w:r w:rsidRPr="00BC0E7E">
              <w:t>56.0%</w:t>
            </w:r>
          </w:p>
        </w:tc>
        <w:tc>
          <w:tcPr>
            <w:tcW w:w="1320" w:type="dxa"/>
          </w:tcPr>
          <w:p w14:paraId="5007D238" w14:textId="77777777" w:rsidR="00EC53A7" w:rsidRPr="00BC0E7E" w:rsidRDefault="00944B8F" w:rsidP="00BF4F97">
            <w:pPr>
              <w:keepNext/>
              <w:jc w:val="center"/>
            </w:pPr>
            <w:r w:rsidRPr="00BC0E7E">
              <w:t>49.3%</w:t>
            </w:r>
          </w:p>
        </w:tc>
        <w:tc>
          <w:tcPr>
            <w:tcW w:w="1576" w:type="dxa"/>
          </w:tcPr>
          <w:p w14:paraId="57189DC3" w14:textId="77777777" w:rsidR="00EC53A7" w:rsidRPr="00BC0E7E" w:rsidRDefault="00944B8F" w:rsidP="00BF4F97">
            <w:pPr>
              <w:keepNext/>
              <w:jc w:val="center"/>
            </w:pPr>
            <w:r w:rsidRPr="00BC0E7E">
              <w:t>69.4%</w:t>
            </w:r>
          </w:p>
        </w:tc>
        <w:tc>
          <w:tcPr>
            <w:tcW w:w="1100" w:type="dxa"/>
          </w:tcPr>
          <w:p w14:paraId="66691F80" w14:textId="77777777" w:rsidR="00EC53A7" w:rsidRPr="00BC0E7E" w:rsidRDefault="00944B8F" w:rsidP="00BF4F97">
            <w:pPr>
              <w:keepNext/>
              <w:jc w:val="center"/>
            </w:pPr>
            <w:r w:rsidRPr="00BC0E7E">
              <w:t>0.002</w:t>
            </w:r>
          </w:p>
        </w:tc>
        <w:tc>
          <w:tcPr>
            <w:tcW w:w="1173" w:type="dxa"/>
          </w:tcPr>
          <w:p w14:paraId="69EA4D49" w14:textId="77777777" w:rsidR="00EC53A7" w:rsidRPr="00BC0E7E" w:rsidRDefault="00944B8F" w:rsidP="00BF4F97">
            <w:pPr>
              <w:keepNext/>
              <w:jc w:val="center"/>
            </w:pPr>
            <w:r w:rsidRPr="00BC0E7E">
              <w:t>&lt; 0.001</w:t>
            </w:r>
          </w:p>
        </w:tc>
        <w:tc>
          <w:tcPr>
            <w:tcW w:w="1210" w:type="dxa"/>
          </w:tcPr>
          <w:p w14:paraId="5CA3D6EA" w14:textId="77777777" w:rsidR="00EC53A7" w:rsidRPr="00BC0E7E" w:rsidRDefault="00944B8F" w:rsidP="00BF4F97">
            <w:pPr>
              <w:keepNext/>
              <w:jc w:val="center"/>
            </w:pPr>
            <w:r w:rsidRPr="00BC0E7E">
              <w:t>0.140</w:t>
            </w:r>
          </w:p>
        </w:tc>
      </w:tr>
      <w:tr w:rsidR="00C6578C" w14:paraId="638AD367" w14:textId="77777777" w:rsidTr="00BF4F97">
        <w:trPr>
          <w:gridAfter w:val="1"/>
          <w:wAfter w:w="12" w:type="dxa"/>
          <w:cantSplit/>
          <w:jc w:val="center"/>
        </w:trPr>
        <w:tc>
          <w:tcPr>
            <w:tcW w:w="1548" w:type="dxa"/>
            <w:gridSpan w:val="2"/>
          </w:tcPr>
          <w:p w14:paraId="7511D192" w14:textId="77777777" w:rsidR="00EC53A7" w:rsidRPr="00BC0E7E" w:rsidRDefault="00944B8F" w:rsidP="00BF4F97">
            <w:pPr>
              <w:keepNext/>
            </w:pPr>
            <w:r w:rsidRPr="00BC0E7E">
              <w:t>ACR 50</w:t>
            </w:r>
          </w:p>
        </w:tc>
        <w:tc>
          <w:tcPr>
            <w:tcW w:w="1320" w:type="dxa"/>
          </w:tcPr>
          <w:p w14:paraId="47A1B152" w14:textId="77777777" w:rsidR="00EC53A7" w:rsidRPr="00BC0E7E" w:rsidRDefault="00EC53A7" w:rsidP="00BF4F97">
            <w:pPr>
              <w:keepNext/>
              <w:jc w:val="center"/>
            </w:pPr>
          </w:p>
        </w:tc>
        <w:tc>
          <w:tcPr>
            <w:tcW w:w="1320" w:type="dxa"/>
          </w:tcPr>
          <w:p w14:paraId="211C6431" w14:textId="77777777" w:rsidR="00EC53A7" w:rsidRPr="00BC0E7E" w:rsidRDefault="00EC53A7" w:rsidP="00BF4F97">
            <w:pPr>
              <w:keepNext/>
              <w:jc w:val="center"/>
            </w:pPr>
          </w:p>
        </w:tc>
        <w:tc>
          <w:tcPr>
            <w:tcW w:w="1576" w:type="dxa"/>
          </w:tcPr>
          <w:p w14:paraId="593C77A1" w14:textId="77777777" w:rsidR="00EC53A7" w:rsidRPr="00BC0E7E" w:rsidRDefault="00EC53A7" w:rsidP="00BF4F97">
            <w:pPr>
              <w:keepNext/>
              <w:jc w:val="center"/>
            </w:pPr>
          </w:p>
        </w:tc>
        <w:tc>
          <w:tcPr>
            <w:tcW w:w="1100" w:type="dxa"/>
          </w:tcPr>
          <w:p w14:paraId="7FC62E6E" w14:textId="77777777" w:rsidR="00EC53A7" w:rsidRPr="00BC0E7E" w:rsidRDefault="00EC53A7" w:rsidP="00BF4F97">
            <w:pPr>
              <w:keepNext/>
              <w:jc w:val="center"/>
            </w:pPr>
          </w:p>
        </w:tc>
        <w:tc>
          <w:tcPr>
            <w:tcW w:w="1173" w:type="dxa"/>
          </w:tcPr>
          <w:p w14:paraId="70F03515" w14:textId="77777777" w:rsidR="00EC53A7" w:rsidRPr="00BC0E7E" w:rsidRDefault="00EC53A7" w:rsidP="00BF4F97">
            <w:pPr>
              <w:keepNext/>
              <w:jc w:val="center"/>
            </w:pPr>
          </w:p>
        </w:tc>
        <w:tc>
          <w:tcPr>
            <w:tcW w:w="1210" w:type="dxa"/>
          </w:tcPr>
          <w:p w14:paraId="4A316209" w14:textId="77777777" w:rsidR="00EC53A7" w:rsidRPr="00BC0E7E" w:rsidRDefault="00EC53A7" w:rsidP="00BF4F97">
            <w:pPr>
              <w:keepNext/>
              <w:jc w:val="center"/>
            </w:pPr>
          </w:p>
        </w:tc>
      </w:tr>
      <w:tr w:rsidR="00C6578C" w14:paraId="569CCA0D" w14:textId="77777777" w:rsidTr="00BF4F97">
        <w:trPr>
          <w:gridAfter w:val="1"/>
          <w:wAfter w:w="12" w:type="dxa"/>
          <w:cantSplit/>
          <w:jc w:val="center"/>
        </w:trPr>
        <w:tc>
          <w:tcPr>
            <w:tcW w:w="1548" w:type="dxa"/>
            <w:gridSpan w:val="2"/>
          </w:tcPr>
          <w:p w14:paraId="5FDCF1FB" w14:textId="77777777" w:rsidR="00EC53A7" w:rsidRPr="00BC0E7E" w:rsidRDefault="00944B8F" w:rsidP="00BF4F97">
            <w:pPr>
              <w:keepNext/>
            </w:pPr>
            <w:r w:rsidRPr="00BC0E7E">
              <w:tab/>
              <w:t>Week 52</w:t>
            </w:r>
          </w:p>
        </w:tc>
        <w:tc>
          <w:tcPr>
            <w:tcW w:w="1320" w:type="dxa"/>
          </w:tcPr>
          <w:p w14:paraId="3A3C02AD" w14:textId="77777777" w:rsidR="00EC53A7" w:rsidRPr="00BC0E7E" w:rsidRDefault="00944B8F" w:rsidP="00BF4F97">
            <w:pPr>
              <w:keepNext/>
              <w:jc w:val="center"/>
            </w:pPr>
            <w:r w:rsidRPr="00BC0E7E">
              <w:t>45.9%</w:t>
            </w:r>
          </w:p>
        </w:tc>
        <w:tc>
          <w:tcPr>
            <w:tcW w:w="1320" w:type="dxa"/>
          </w:tcPr>
          <w:p w14:paraId="2B3F6E2E" w14:textId="77777777" w:rsidR="00EC53A7" w:rsidRPr="00BC0E7E" w:rsidRDefault="00944B8F" w:rsidP="00BF4F97">
            <w:pPr>
              <w:keepNext/>
              <w:jc w:val="center"/>
            </w:pPr>
            <w:r w:rsidRPr="00BC0E7E">
              <w:t>41.2%</w:t>
            </w:r>
          </w:p>
        </w:tc>
        <w:tc>
          <w:tcPr>
            <w:tcW w:w="1576" w:type="dxa"/>
          </w:tcPr>
          <w:p w14:paraId="3B72B18E" w14:textId="77777777" w:rsidR="00EC53A7" w:rsidRPr="00BC0E7E" w:rsidRDefault="00944B8F" w:rsidP="00BF4F97">
            <w:pPr>
              <w:keepNext/>
              <w:jc w:val="center"/>
            </w:pPr>
            <w:r w:rsidRPr="00BC0E7E">
              <w:t>61.6%</w:t>
            </w:r>
          </w:p>
        </w:tc>
        <w:tc>
          <w:tcPr>
            <w:tcW w:w="1100" w:type="dxa"/>
          </w:tcPr>
          <w:p w14:paraId="3A125C11" w14:textId="77777777" w:rsidR="00EC53A7" w:rsidRPr="00BC0E7E" w:rsidRDefault="00944B8F" w:rsidP="00BF4F97">
            <w:pPr>
              <w:keepNext/>
              <w:jc w:val="center"/>
            </w:pPr>
            <w:r w:rsidRPr="00BC0E7E">
              <w:t>&lt; 0.001</w:t>
            </w:r>
          </w:p>
        </w:tc>
        <w:tc>
          <w:tcPr>
            <w:tcW w:w="1173" w:type="dxa"/>
          </w:tcPr>
          <w:p w14:paraId="6D62DCF4" w14:textId="77777777" w:rsidR="00EC53A7" w:rsidRPr="00BC0E7E" w:rsidRDefault="00944B8F" w:rsidP="00BF4F97">
            <w:pPr>
              <w:keepNext/>
              <w:jc w:val="center"/>
            </w:pPr>
            <w:r w:rsidRPr="00BC0E7E">
              <w:t>&lt; 0.001</w:t>
            </w:r>
          </w:p>
        </w:tc>
        <w:tc>
          <w:tcPr>
            <w:tcW w:w="1210" w:type="dxa"/>
          </w:tcPr>
          <w:p w14:paraId="04C3623F" w14:textId="77777777" w:rsidR="00EC53A7" w:rsidRPr="00BC0E7E" w:rsidRDefault="00944B8F" w:rsidP="00BF4F97">
            <w:pPr>
              <w:keepNext/>
              <w:jc w:val="center"/>
            </w:pPr>
            <w:r w:rsidRPr="00BC0E7E">
              <w:t>0.317</w:t>
            </w:r>
          </w:p>
        </w:tc>
      </w:tr>
      <w:tr w:rsidR="00C6578C" w14:paraId="712DFD5F" w14:textId="77777777" w:rsidTr="00BF4F97">
        <w:trPr>
          <w:gridAfter w:val="1"/>
          <w:wAfter w:w="12" w:type="dxa"/>
          <w:cantSplit/>
          <w:jc w:val="center"/>
        </w:trPr>
        <w:tc>
          <w:tcPr>
            <w:tcW w:w="1548" w:type="dxa"/>
            <w:gridSpan w:val="2"/>
          </w:tcPr>
          <w:p w14:paraId="58003348" w14:textId="77777777" w:rsidR="00EC53A7" w:rsidRPr="00BC0E7E" w:rsidRDefault="00944B8F" w:rsidP="00BF4F97">
            <w:pPr>
              <w:keepNext/>
            </w:pPr>
            <w:r w:rsidRPr="00BC0E7E">
              <w:tab/>
              <w:t>Week 104</w:t>
            </w:r>
          </w:p>
        </w:tc>
        <w:tc>
          <w:tcPr>
            <w:tcW w:w="1320" w:type="dxa"/>
          </w:tcPr>
          <w:p w14:paraId="1ABC33D7" w14:textId="77777777" w:rsidR="00EC53A7" w:rsidRPr="00BC0E7E" w:rsidRDefault="00944B8F" w:rsidP="00BF4F97">
            <w:pPr>
              <w:keepNext/>
              <w:jc w:val="center"/>
            </w:pPr>
            <w:r w:rsidRPr="00BC0E7E">
              <w:t>42.8%</w:t>
            </w:r>
          </w:p>
        </w:tc>
        <w:tc>
          <w:tcPr>
            <w:tcW w:w="1320" w:type="dxa"/>
          </w:tcPr>
          <w:p w14:paraId="411D7B0C" w14:textId="77777777" w:rsidR="00EC53A7" w:rsidRPr="00BC0E7E" w:rsidRDefault="00944B8F" w:rsidP="00BF4F97">
            <w:pPr>
              <w:keepNext/>
              <w:jc w:val="center"/>
            </w:pPr>
            <w:r w:rsidRPr="00BC0E7E">
              <w:t>36.9%</w:t>
            </w:r>
          </w:p>
        </w:tc>
        <w:tc>
          <w:tcPr>
            <w:tcW w:w="1576" w:type="dxa"/>
          </w:tcPr>
          <w:p w14:paraId="23066130" w14:textId="77777777" w:rsidR="00EC53A7" w:rsidRPr="00BC0E7E" w:rsidRDefault="00944B8F" w:rsidP="00BF4F97">
            <w:pPr>
              <w:keepNext/>
              <w:jc w:val="center"/>
            </w:pPr>
            <w:r w:rsidRPr="00BC0E7E">
              <w:t>59.0%</w:t>
            </w:r>
          </w:p>
        </w:tc>
        <w:tc>
          <w:tcPr>
            <w:tcW w:w="1100" w:type="dxa"/>
          </w:tcPr>
          <w:p w14:paraId="46CB4282" w14:textId="77777777" w:rsidR="00EC53A7" w:rsidRPr="00BC0E7E" w:rsidRDefault="00944B8F" w:rsidP="00BF4F97">
            <w:pPr>
              <w:keepNext/>
              <w:jc w:val="center"/>
            </w:pPr>
            <w:r w:rsidRPr="00BC0E7E">
              <w:t>&lt; 0.001</w:t>
            </w:r>
          </w:p>
        </w:tc>
        <w:tc>
          <w:tcPr>
            <w:tcW w:w="1173" w:type="dxa"/>
          </w:tcPr>
          <w:p w14:paraId="7EC3476B" w14:textId="77777777" w:rsidR="00EC53A7" w:rsidRPr="00BC0E7E" w:rsidRDefault="00944B8F" w:rsidP="00BF4F97">
            <w:pPr>
              <w:keepNext/>
              <w:jc w:val="center"/>
            </w:pPr>
            <w:r w:rsidRPr="00BC0E7E">
              <w:t>&lt; 0.001</w:t>
            </w:r>
          </w:p>
        </w:tc>
        <w:tc>
          <w:tcPr>
            <w:tcW w:w="1210" w:type="dxa"/>
          </w:tcPr>
          <w:p w14:paraId="2497DE0A" w14:textId="77777777" w:rsidR="00EC53A7" w:rsidRPr="00BC0E7E" w:rsidRDefault="00944B8F" w:rsidP="00BF4F97">
            <w:pPr>
              <w:keepNext/>
              <w:jc w:val="center"/>
            </w:pPr>
            <w:r w:rsidRPr="00BC0E7E">
              <w:t>0.162</w:t>
            </w:r>
          </w:p>
        </w:tc>
      </w:tr>
      <w:tr w:rsidR="00C6578C" w14:paraId="2F97E57E" w14:textId="77777777" w:rsidTr="00BF4F97">
        <w:trPr>
          <w:gridAfter w:val="1"/>
          <w:wAfter w:w="12" w:type="dxa"/>
          <w:cantSplit/>
          <w:jc w:val="center"/>
        </w:trPr>
        <w:tc>
          <w:tcPr>
            <w:tcW w:w="1548" w:type="dxa"/>
            <w:gridSpan w:val="2"/>
          </w:tcPr>
          <w:p w14:paraId="0C5E1A41" w14:textId="77777777" w:rsidR="00EC53A7" w:rsidRPr="00BC0E7E" w:rsidRDefault="00944B8F" w:rsidP="00BF4F97">
            <w:pPr>
              <w:keepNext/>
            </w:pPr>
            <w:r w:rsidRPr="00BC0E7E">
              <w:t>ACR 70</w:t>
            </w:r>
          </w:p>
        </w:tc>
        <w:tc>
          <w:tcPr>
            <w:tcW w:w="1320" w:type="dxa"/>
          </w:tcPr>
          <w:p w14:paraId="1121E318" w14:textId="77777777" w:rsidR="00EC53A7" w:rsidRPr="00BC0E7E" w:rsidRDefault="00EC53A7" w:rsidP="00BF4F97">
            <w:pPr>
              <w:keepNext/>
              <w:jc w:val="center"/>
            </w:pPr>
          </w:p>
        </w:tc>
        <w:tc>
          <w:tcPr>
            <w:tcW w:w="1320" w:type="dxa"/>
          </w:tcPr>
          <w:p w14:paraId="5C11BB07" w14:textId="77777777" w:rsidR="00EC53A7" w:rsidRPr="00BC0E7E" w:rsidRDefault="00EC53A7" w:rsidP="00BF4F97">
            <w:pPr>
              <w:keepNext/>
              <w:jc w:val="center"/>
            </w:pPr>
          </w:p>
        </w:tc>
        <w:tc>
          <w:tcPr>
            <w:tcW w:w="1576" w:type="dxa"/>
          </w:tcPr>
          <w:p w14:paraId="2F40D4EF" w14:textId="77777777" w:rsidR="00EC53A7" w:rsidRPr="00BC0E7E" w:rsidRDefault="00EC53A7" w:rsidP="00BF4F97">
            <w:pPr>
              <w:keepNext/>
              <w:jc w:val="center"/>
            </w:pPr>
          </w:p>
        </w:tc>
        <w:tc>
          <w:tcPr>
            <w:tcW w:w="1100" w:type="dxa"/>
          </w:tcPr>
          <w:p w14:paraId="6535A30C" w14:textId="77777777" w:rsidR="00EC53A7" w:rsidRPr="00BC0E7E" w:rsidRDefault="00EC53A7" w:rsidP="00BF4F97">
            <w:pPr>
              <w:keepNext/>
              <w:jc w:val="center"/>
            </w:pPr>
          </w:p>
        </w:tc>
        <w:tc>
          <w:tcPr>
            <w:tcW w:w="1173" w:type="dxa"/>
          </w:tcPr>
          <w:p w14:paraId="55BCF579" w14:textId="77777777" w:rsidR="00EC53A7" w:rsidRPr="00BC0E7E" w:rsidRDefault="00EC53A7" w:rsidP="00BF4F97">
            <w:pPr>
              <w:keepNext/>
              <w:jc w:val="center"/>
            </w:pPr>
          </w:p>
        </w:tc>
        <w:tc>
          <w:tcPr>
            <w:tcW w:w="1210" w:type="dxa"/>
          </w:tcPr>
          <w:p w14:paraId="4D22154C" w14:textId="77777777" w:rsidR="00EC53A7" w:rsidRPr="00BC0E7E" w:rsidRDefault="00EC53A7" w:rsidP="00BF4F97">
            <w:pPr>
              <w:keepNext/>
              <w:jc w:val="center"/>
            </w:pPr>
          </w:p>
        </w:tc>
      </w:tr>
      <w:tr w:rsidR="00C6578C" w14:paraId="7DBC56A6" w14:textId="77777777" w:rsidTr="00BF4F97">
        <w:trPr>
          <w:gridAfter w:val="1"/>
          <w:wAfter w:w="12" w:type="dxa"/>
          <w:cantSplit/>
          <w:trHeight w:val="70"/>
          <w:jc w:val="center"/>
        </w:trPr>
        <w:tc>
          <w:tcPr>
            <w:tcW w:w="1548" w:type="dxa"/>
            <w:gridSpan w:val="2"/>
          </w:tcPr>
          <w:p w14:paraId="714BE74A" w14:textId="77777777" w:rsidR="00EC53A7" w:rsidRPr="00BC0E7E" w:rsidRDefault="00944B8F" w:rsidP="00BF4F97">
            <w:pPr>
              <w:keepNext/>
            </w:pPr>
            <w:r w:rsidRPr="00BC0E7E">
              <w:tab/>
              <w:t>Week 52</w:t>
            </w:r>
          </w:p>
        </w:tc>
        <w:tc>
          <w:tcPr>
            <w:tcW w:w="1320" w:type="dxa"/>
          </w:tcPr>
          <w:p w14:paraId="07F4FDE5" w14:textId="77777777" w:rsidR="00EC53A7" w:rsidRPr="00BC0E7E" w:rsidRDefault="00944B8F" w:rsidP="00BF4F97">
            <w:pPr>
              <w:keepNext/>
              <w:jc w:val="center"/>
            </w:pPr>
            <w:r w:rsidRPr="00BC0E7E">
              <w:t>27.2%</w:t>
            </w:r>
          </w:p>
        </w:tc>
        <w:tc>
          <w:tcPr>
            <w:tcW w:w="1320" w:type="dxa"/>
          </w:tcPr>
          <w:p w14:paraId="5CBCDEFB" w14:textId="77777777" w:rsidR="00EC53A7" w:rsidRPr="00BC0E7E" w:rsidRDefault="00944B8F" w:rsidP="00BF4F97">
            <w:pPr>
              <w:keepNext/>
              <w:jc w:val="center"/>
            </w:pPr>
            <w:r w:rsidRPr="00BC0E7E">
              <w:t>25.9%</w:t>
            </w:r>
          </w:p>
        </w:tc>
        <w:tc>
          <w:tcPr>
            <w:tcW w:w="1576" w:type="dxa"/>
          </w:tcPr>
          <w:p w14:paraId="54C32424" w14:textId="77777777" w:rsidR="00EC53A7" w:rsidRPr="00BC0E7E" w:rsidRDefault="00944B8F" w:rsidP="00BF4F97">
            <w:pPr>
              <w:keepNext/>
              <w:jc w:val="center"/>
            </w:pPr>
            <w:r w:rsidRPr="00BC0E7E">
              <w:t>45.5%</w:t>
            </w:r>
          </w:p>
        </w:tc>
        <w:tc>
          <w:tcPr>
            <w:tcW w:w="1100" w:type="dxa"/>
          </w:tcPr>
          <w:p w14:paraId="5D4E5490" w14:textId="77777777" w:rsidR="00EC53A7" w:rsidRPr="00BC0E7E" w:rsidRDefault="00944B8F" w:rsidP="00BF4F97">
            <w:pPr>
              <w:keepNext/>
              <w:jc w:val="center"/>
            </w:pPr>
            <w:r w:rsidRPr="00BC0E7E">
              <w:t>&lt; 0.001</w:t>
            </w:r>
          </w:p>
        </w:tc>
        <w:tc>
          <w:tcPr>
            <w:tcW w:w="1173" w:type="dxa"/>
          </w:tcPr>
          <w:p w14:paraId="210F1033" w14:textId="77777777" w:rsidR="00EC53A7" w:rsidRPr="00BC0E7E" w:rsidRDefault="00944B8F" w:rsidP="00BF4F97">
            <w:pPr>
              <w:keepNext/>
              <w:jc w:val="center"/>
            </w:pPr>
            <w:r w:rsidRPr="00BC0E7E">
              <w:t>&lt; 0.001</w:t>
            </w:r>
          </w:p>
        </w:tc>
        <w:tc>
          <w:tcPr>
            <w:tcW w:w="1210" w:type="dxa"/>
          </w:tcPr>
          <w:p w14:paraId="59ED3FFB" w14:textId="77777777" w:rsidR="00EC53A7" w:rsidRPr="00BC0E7E" w:rsidRDefault="00944B8F" w:rsidP="00BF4F97">
            <w:pPr>
              <w:keepNext/>
              <w:jc w:val="center"/>
            </w:pPr>
            <w:r w:rsidRPr="00BC0E7E">
              <w:t>0.656</w:t>
            </w:r>
          </w:p>
        </w:tc>
      </w:tr>
      <w:tr w:rsidR="00C6578C" w14:paraId="1ACEFBC7" w14:textId="77777777" w:rsidTr="00BF4F97">
        <w:trPr>
          <w:gridAfter w:val="1"/>
          <w:wAfter w:w="12" w:type="dxa"/>
          <w:cantSplit/>
          <w:jc w:val="center"/>
        </w:trPr>
        <w:tc>
          <w:tcPr>
            <w:tcW w:w="1548" w:type="dxa"/>
            <w:gridSpan w:val="2"/>
          </w:tcPr>
          <w:p w14:paraId="3D550FAC" w14:textId="77777777" w:rsidR="00EC53A7" w:rsidRPr="00BC0E7E" w:rsidRDefault="00944B8F" w:rsidP="00BF4F97">
            <w:pPr>
              <w:keepNext/>
            </w:pPr>
            <w:r w:rsidRPr="00BC0E7E">
              <w:tab/>
              <w:t>Week 104</w:t>
            </w:r>
          </w:p>
        </w:tc>
        <w:tc>
          <w:tcPr>
            <w:tcW w:w="1320" w:type="dxa"/>
          </w:tcPr>
          <w:p w14:paraId="03470C95" w14:textId="77777777" w:rsidR="00EC53A7" w:rsidRPr="00BC0E7E" w:rsidRDefault="00944B8F" w:rsidP="00BF4F97">
            <w:pPr>
              <w:keepNext/>
              <w:jc w:val="center"/>
            </w:pPr>
            <w:r w:rsidRPr="00BC0E7E">
              <w:t>28.4%</w:t>
            </w:r>
          </w:p>
        </w:tc>
        <w:tc>
          <w:tcPr>
            <w:tcW w:w="1320" w:type="dxa"/>
          </w:tcPr>
          <w:p w14:paraId="57BA7476" w14:textId="77777777" w:rsidR="00EC53A7" w:rsidRPr="00BC0E7E" w:rsidRDefault="00944B8F" w:rsidP="00BF4F97">
            <w:pPr>
              <w:keepNext/>
              <w:jc w:val="center"/>
            </w:pPr>
            <w:r w:rsidRPr="00BC0E7E">
              <w:t>28.1%</w:t>
            </w:r>
          </w:p>
        </w:tc>
        <w:tc>
          <w:tcPr>
            <w:tcW w:w="1576" w:type="dxa"/>
          </w:tcPr>
          <w:p w14:paraId="2712C5E3" w14:textId="77777777" w:rsidR="00EC53A7" w:rsidRPr="00BC0E7E" w:rsidRDefault="00944B8F" w:rsidP="00BF4F97">
            <w:pPr>
              <w:keepNext/>
              <w:jc w:val="center"/>
            </w:pPr>
            <w:r w:rsidRPr="00BC0E7E">
              <w:t>46.6%</w:t>
            </w:r>
          </w:p>
        </w:tc>
        <w:tc>
          <w:tcPr>
            <w:tcW w:w="1100" w:type="dxa"/>
          </w:tcPr>
          <w:p w14:paraId="163E58FA" w14:textId="77777777" w:rsidR="00EC53A7" w:rsidRPr="00BC0E7E" w:rsidRDefault="00944B8F" w:rsidP="00BF4F97">
            <w:pPr>
              <w:keepNext/>
              <w:jc w:val="center"/>
            </w:pPr>
            <w:r w:rsidRPr="00BC0E7E">
              <w:t>&lt; 0.001</w:t>
            </w:r>
          </w:p>
        </w:tc>
        <w:tc>
          <w:tcPr>
            <w:tcW w:w="1173" w:type="dxa"/>
          </w:tcPr>
          <w:p w14:paraId="70E83B8B" w14:textId="77777777" w:rsidR="00EC53A7" w:rsidRPr="00BC0E7E" w:rsidRDefault="00944B8F" w:rsidP="00BF4F97">
            <w:pPr>
              <w:keepNext/>
              <w:jc w:val="center"/>
            </w:pPr>
            <w:r w:rsidRPr="00BC0E7E">
              <w:t>&lt; 0.001</w:t>
            </w:r>
          </w:p>
        </w:tc>
        <w:tc>
          <w:tcPr>
            <w:tcW w:w="1210" w:type="dxa"/>
          </w:tcPr>
          <w:p w14:paraId="184143B3" w14:textId="77777777" w:rsidR="00EC53A7" w:rsidRPr="00BC0E7E" w:rsidRDefault="00944B8F" w:rsidP="00BF4F97">
            <w:pPr>
              <w:keepNext/>
              <w:jc w:val="center"/>
            </w:pPr>
            <w:r w:rsidRPr="00BC0E7E">
              <w:t>0.864</w:t>
            </w:r>
          </w:p>
        </w:tc>
      </w:tr>
      <w:tr w:rsidR="00C6578C" w14:paraId="3CC9ED17" w14:textId="77777777" w:rsidTr="00BF4F97">
        <w:trPr>
          <w:gridBefore w:val="1"/>
          <w:wBefore w:w="9" w:type="dxa"/>
          <w:cantSplit/>
          <w:jc w:val="center"/>
        </w:trPr>
        <w:tc>
          <w:tcPr>
            <w:tcW w:w="9250" w:type="dxa"/>
            <w:gridSpan w:val="8"/>
          </w:tcPr>
          <w:p w14:paraId="119DBB4A" w14:textId="77777777" w:rsidR="00EC53A7" w:rsidRPr="00BC0E7E" w:rsidRDefault="00944B8F" w:rsidP="00BF4F97">
            <w:pPr>
              <w:keepNext/>
              <w:tabs>
                <w:tab w:val="clear" w:pos="562"/>
                <w:tab w:val="left" w:pos="330"/>
                <w:tab w:val="left" w:pos="10728"/>
              </w:tabs>
              <w:ind w:left="360" w:hanging="360"/>
            </w:pPr>
            <w:r w:rsidRPr="00BC0E7E">
              <w:t>a.</w:t>
            </w:r>
            <w:r w:rsidRPr="00BC0E7E">
              <w:tab/>
              <w:t>p-value is from the pairwise comparison of methotrexate monotherapy and Humira/methotrexate combination therapy using the Mann-Whitney U test.</w:t>
            </w:r>
          </w:p>
          <w:p w14:paraId="6B26CFFC" w14:textId="77777777" w:rsidR="00EC53A7" w:rsidRPr="00BC0E7E" w:rsidRDefault="00944B8F" w:rsidP="00BF4F97">
            <w:pPr>
              <w:keepNext/>
              <w:tabs>
                <w:tab w:val="clear" w:pos="562"/>
              </w:tabs>
              <w:ind w:left="330" w:hanging="330"/>
            </w:pPr>
            <w:r w:rsidRPr="00BC0E7E">
              <w:t>b.</w:t>
            </w:r>
            <w:r w:rsidRPr="00BC0E7E">
              <w:tab/>
              <w:t>p-value is from the pairwise comparison of Humira monotherapy and Humira/methotrexate combination therapy using the Mann-Whitney U test</w:t>
            </w:r>
          </w:p>
          <w:p w14:paraId="4B05E909" w14:textId="77777777" w:rsidR="00EC53A7" w:rsidRPr="00BC0E7E" w:rsidRDefault="00944B8F" w:rsidP="00BF4F97">
            <w:pPr>
              <w:keepNext/>
              <w:tabs>
                <w:tab w:val="clear" w:pos="562"/>
              </w:tabs>
              <w:ind w:left="330" w:hanging="330"/>
            </w:pPr>
            <w:r w:rsidRPr="00BC0E7E">
              <w:t>c.   p-value is from the pairwise comparison of Humira monotherapy and methotrexate monotherapy using the Mann-Whitney U test</w:t>
            </w:r>
          </w:p>
        </w:tc>
      </w:tr>
    </w:tbl>
    <w:p w14:paraId="299957A2" w14:textId="77777777" w:rsidR="00EC53A7" w:rsidRPr="00BC0E7E" w:rsidRDefault="00EC53A7" w:rsidP="00EC53A7"/>
    <w:p w14:paraId="7AC3B83E" w14:textId="77777777" w:rsidR="00EC53A7" w:rsidRPr="00BC0E7E" w:rsidRDefault="00944B8F" w:rsidP="00EC53A7">
      <w:r w:rsidRPr="00BC0E7E">
        <w:lastRenderedPageBreak/>
        <w:t>In the open-label extension for RA study V, ACR response rates were maintained when followed for up to 10 years. Of 542 patients who were randomised to Humira 40 mg every other week, 170 patients continued on Humira 40 mg every other week for 10 years. Among those, 154 patients (90.6%) had ACR 20 responses; 127 patients (74.7%) had ACR 50 responses; and 102 patients (60.0%) had ACR 70 responses.</w:t>
      </w:r>
    </w:p>
    <w:p w14:paraId="41800CEC" w14:textId="77777777" w:rsidR="00EC53A7" w:rsidRPr="00BC0E7E" w:rsidRDefault="00EC53A7" w:rsidP="00EC53A7"/>
    <w:p w14:paraId="687C90E0" w14:textId="77777777" w:rsidR="00EC53A7" w:rsidRPr="00BC0E7E" w:rsidRDefault="00944B8F" w:rsidP="00EC53A7">
      <w:r w:rsidRPr="00BC0E7E">
        <w:t>At Week 52, 42.9% of patients who received Humira/methotrexate combination therapy achieved clinical remission (DAS28 (CRP) &lt; 2.6) compared to 20.6% of patients receiving methotrexate monotherapy and 23.4% of patients receiving Humira monotherapy. Humira/methotrexate combination therapy was clinically and statistically superior to methotrexate (p &lt; 0.001) and Humira monotherapy (p &lt; 0.001) in achieving a low disease state in patients with recently diagnosed moderate to severe rheumatoid arthritis. The response for the two monotherapy arms was similar (p = 0.447).  Of 342 subjects originally randomized to Humira monotherapy or Humira/methotrexate combination therapy who entered the open-label extension study, 171 subjects completed 10 years of Humira treatment. Among those, 109 subjects (63.7%) were reported to be in remission at 10 years.</w:t>
      </w:r>
    </w:p>
    <w:p w14:paraId="0DCEC4BC" w14:textId="77777777" w:rsidR="00EC53A7" w:rsidRPr="00BC0E7E" w:rsidRDefault="00EC53A7" w:rsidP="00EC53A7">
      <w:pPr>
        <w:rPr>
          <w:i/>
          <w:szCs w:val="20"/>
          <w:u w:val="single"/>
        </w:rPr>
      </w:pPr>
    </w:p>
    <w:p w14:paraId="505E0E3A" w14:textId="77777777" w:rsidR="00EC53A7" w:rsidRPr="00BC0E7E" w:rsidRDefault="00944B8F" w:rsidP="007F079A">
      <w:pPr>
        <w:keepNext/>
        <w:rPr>
          <w:i/>
          <w:szCs w:val="20"/>
          <w:u w:val="single"/>
        </w:rPr>
      </w:pPr>
      <w:r w:rsidRPr="00BC0E7E">
        <w:rPr>
          <w:i/>
          <w:szCs w:val="20"/>
          <w:u w:val="single"/>
        </w:rPr>
        <w:t>Radiographic response</w:t>
      </w:r>
    </w:p>
    <w:p w14:paraId="4354AE2C" w14:textId="77777777" w:rsidR="00EC53A7" w:rsidRPr="00BC0E7E" w:rsidRDefault="00EC53A7" w:rsidP="007F079A">
      <w:pPr>
        <w:keepNext/>
        <w:rPr>
          <w:szCs w:val="20"/>
        </w:rPr>
      </w:pPr>
    </w:p>
    <w:p w14:paraId="22AAA56E" w14:textId="77777777" w:rsidR="00EC53A7" w:rsidRPr="00BC0E7E" w:rsidRDefault="00944B8F" w:rsidP="007F079A">
      <w:pPr>
        <w:keepNext/>
      </w:pPr>
      <w:r w:rsidRPr="00BC0E7E">
        <w:t xml:space="preserve">In RA study III, where Humira treated patients had a mean duration of rheumatoid arthritis of approximately 11 years, structural joint damage was assessed radiographically and expressed as change in modified Total Sharp Score (TSS) and its components, the erosion score and joint space narrowing score.  Humira/methotrexate patients demonstrated significantly less radiographic progression than patients receiving methotrexate alone at 6 and 12 months (see Table </w:t>
      </w:r>
      <w:r w:rsidR="005F03EC">
        <w:t>7</w:t>
      </w:r>
      <w:r w:rsidR="007F079A">
        <w:t>).</w:t>
      </w:r>
    </w:p>
    <w:p w14:paraId="07991F77" w14:textId="77777777" w:rsidR="00EC53A7" w:rsidRPr="00BC0E7E" w:rsidRDefault="00EC53A7" w:rsidP="00EC53A7"/>
    <w:p w14:paraId="1858DC0B" w14:textId="77777777" w:rsidR="00EC53A7" w:rsidRPr="00BC0E7E" w:rsidRDefault="00944B8F" w:rsidP="00EC53A7">
      <w:r w:rsidRPr="00BC0E7E">
        <w:t>In the open-label extension of RA Study III, the reduction in rate of progression of structural damage is maintained for 8 and 10 years in a subset of patients. At 8 years, 81 of 207 patients originally treated with 40 mg Humira every other week were evaluated radiographically. Among those, 48 patients showed no progression of structural damage defined by a change from baseline in the mTSS of 0.5 or less. At 10 years, 79 of 207 patients originally treated with 40 mg Humira every other week were evaluated radiographically. Among those, 40 patients showed no progression of structural damage defined by a change from baseline in the mTSS of 0.5 or less.</w:t>
      </w:r>
    </w:p>
    <w:p w14:paraId="23FE543C" w14:textId="77777777" w:rsidR="00EC53A7" w:rsidRPr="00BC0E7E" w:rsidRDefault="00EC53A7" w:rsidP="00EC53A7">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430"/>
        <w:gridCol w:w="1790"/>
        <w:gridCol w:w="2000"/>
        <w:gridCol w:w="1548"/>
      </w:tblGrid>
      <w:tr w:rsidR="00C6578C" w14:paraId="2E4A30EB" w14:textId="77777777" w:rsidTr="00BF4F97">
        <w:trPr>
          <w:cantSplit/>
        </w:trPr>
        <w:tc>
          <w:tcPr>
            <w:tcW w:w="8856" w:type="dxa"/>
            <w:gridSpan w:val="5"/>
            <w:tcBorders>
              <w:top w:val="nil"/>
              <w:left w:val="nil"/>
              <w:right w:val="nil"/>
            </w:tcBorders>
          </w:tcPr>
          <w:p w14:paraId="6EF24B26" w14:textId="77777777" w:rsidR="00EC53A7" w:rsidRPr="00BC0E7E" w:rsidRDefault="00944B8F" w:rsidP="00BF4F97">
            <w:pPr>
              <w:keepNext/>
              <w:jc w:val="center"/>
              <w:rPr>
                <w:b/>
                <w:bCs/>
              </w:rPr>
            </w:pPr>
            <w:r w:rsidRPr="00BC0E7E">
              <w:rPr>
                <w:b/>
                <w:bCs/>
              </w:rPr>
              <w:t xml:space="preserve">Table </w:t>
            </w:r>
            <w:r w:rsidR="005F03EC">
              <w:rPr>
                <w:b/>
                <w:bCs/>
              </w:rPr>
              <w:t>7</w:t>
            </w:r>
          </w:p>
          <w:p w14:paraId="6039EA56" w14:textId="77777777" w:rsidR="00EC53A7" w:rsidRPr="00BC0E7E" w:rsidRDefault="00944B8F" w:rsidP="00BF4F97">
            <w:pPr>
              <w:keepNext/>
              <w:jc w:val="center"/>
              <w:rPr>
                <w:b/>
                <w:bCs/>
              </w:rPr>
            </w:pPr>
            <w:r w:rsidRPr="00BC0E7E">
              <w:rPr>
                <w:b/>
                <w:bCs/>
              </w:rPr>
              <w:t xml:space="preserve"> Radiographic Mean Changes Over 12 Months in RA Study III</w:t>
            </w:r>
          </w:p>
          <w:p w14:paraId="28DFD70F" w14:textId="77777777" w:rsidR="00EC53A7" w:rsidRPr="00BC0E7E" w:rsidRDefault="00EC53A7" w:rsidP="00BF4F97">
            <w:pPr>
              <w:keepNext/>
              <w:jc w:val="center"/>
              <w:rPr>
                <w:b/>
                <w:bCs/>
              </w:rPr>
            </w:pPr>
          </w:p>
        </w:tc>
      </w:tr>
      <w:tr w:rsidR="00C6578C" w14:paraId="0239B224" w14:textId="77777777" w:rsidTr="00BF4F97">
        <w:tc>
          <w:tcPr>
            <w:tcW w:w="2088" w:type="dxa"/>
          </w:tcPr>
          <w:p w14:paraId="6F43725F" w14:textId="77777777" w:rsidR="00EC53A7" w:rsidRPr="00BC0E7E" w:rsidRDefault="00EC53A7" w:rsidP="00BF4F97">
            <w:pPr>
              <w:keepNext/>
              <w:jc w:val="center"/>
            </w:pPr>
          </w:p>
        </w:tc>
        <w:tc>
          <w:tcPr>
            <w:tcW w:w="1430" w:type="dxa"/>
          </w:tcPr>
          <w:p w14:paraId="09879FE6" w14:textId="77777777" w:rsidR="00EC53A7" w:rsidRPr="00BC0E7E" w:rsidRDefault="00944B8F" w:rsidP="00BF4F97">
            <w:pPr>
              <w:keepNext/>
            </w:pPr>
            <w:r w:rsidRPr="00BC0E7E">
              <w:t>Placebo/</w:t>
            </w:r>
          </w:p>
          <w:p w14:paraId="330DF7EC" w14:textId="77777777" w:rsidR="00EC53A7" w:rsidRPr="00BC0E7E" w:rsidRDefault="00944B8F" w:rsidP="00BF4F97">
            <w:pPr>
              <w:keepNext/>
              <w:rPr>
                <w:vertAlign w:val="superscript"/>
              </w:rPr>
            </w:pPr>
            <w:r w:rsidRPr="00BC0E7E">
              <w:t>MTX</w:t>
            </w:r>
            <w:r w:rsidRPr="00BC0E7E">
              <w:rPr>
                <w:vertAlign w:val="superscript"/>
              </w:rPr>
              <w:t>a</w:t>
            </w:r>
          </w:p>
        </w:tc>
        <w:tc>
          <w:tcPr>
            <w:tcW w:w="1790" w:type="dxa"/>
          </w:tcPr>
          <w:p w14:paraId="39ECE982" w14:textId="77777777" w:rsidR="00EC53A7" w:rsidRPr="00BC0E7E" w:rsidRDefault="00944B8F" w:rsidP="00BF4F97">
            <w:pPr>
              <w:keepNext/>
              <w:jc w:val="center"/>
            </w:pPr>
            <w:r w:rsidRPr="00BC0E7E">
              <w:t>Humira/MTX</w:t>
            </w:r>
          </w:p>
          <w:p w14:paraId="50C6F2B9" w14:textId="77777777" w:rsidR="00EC53A7" w:rsidRPr="00BC0E7E" w:rsidRDefault="00944B8F" w:rsidP="00BF4F97">
            <w:pPr>
              <w:keepNext/>
              <w:jc w:val="center"/>
            </w:pPr>
            <w:r w:rsidRPr="00BC0E7E">
              <w:t>40 mg every other week</w:t>
            </w:r>
          </w:p>
        </w:tc>
        <w:tc>
          <w:tcPr>
            <w:tcW w:w="2000" w:type="dxa"/>
          </w:tcPr>
          <w:p w14:paraId="7B5A7C85" w14:textId="77777777" w:rsidR="00EC53A7" w:rsidRPr="00BC0E7E" w:rsidRDefault="00944B8F" w:rsidP="00BF4F97">
            <w:pPr>
              <w:keepNext/>
              <w:jc w:val="center"/>
            </w:pPr>
            <w:r w:rsidRPr="00BC0E7E">
              <w:t>Placebo/MTX-Humira/MTX (95% Confidence Interval</w:t>
            </w:r>
            <w:r w:rsidRPr="00BC0E7E">
              <w:rPr>
                <w:vertAlign w:val="superscript"/>
              </w:rPr>
              <w:t>b</w:t>
            </w:r>
            <w:r w:rsidRPr="00BC0E7E">
              <w:t>)</w:t>
            </w:r>
          </w:p>
        </w:tc>
        <w:tc>
          <w:tcPr>
            <w:tcW w:w="1548" w:type="dxa"/>
          </w:tcPr>
          <w:p w14:paraId="5967E7EF" w14:textId="77777777" w:rsidR="00EC53A7" w:rsidRPr="00BC0E7E" w:rsidRDefault="00944B8F" w:rsidP="00BF4F97">
            <w:pPr>
              <w:keepNext/>
              <w:jc w:val="center"/>
            </w:pPr>
            <w:r w:rsidRPr="00BC0E7E">
              <w:t>p-value</w:t>
            </w:r>
          </w:p>
        </w:tc>
      </w:tr>
      <w:tr w:rsidR="00C6578C" w14:paraId="0DB02EDE" w14:textId="77777777" w:rsidTr="00BF4F97">
        <w:tc>
          <w:tcPr>
            <w:tcW w:w="2088" w:type="dxa"/>
          </w:tcPr>
          <w:p w14:paraId="7A73BB48" w14:textId="77777777" w:rsidR="00EC53A7" w:rsidRPr="00BC0E7E" w:rsidRDefault="00944B8F" w:rsidP="00BF4F97">
            <w:pPr>
              <w:keepNext/>
              <w:jc w:val="center"/>
            </w:pPr>
            <w:r w:rsidRPr="00BC0E7E">
              <w:t>Total Sharp Score</w:t>
            </w:r>
          </w:p>
        </w:tc>
        <w:tc>
          <w:tcPr>
            <w:tcW w:w="1430" w:type="dxa"/>
          </w:tcPr>
          <w:p w14:paraId="44E4BFCE" w14:textId="77777777" w:rsidR="00EC53A7" w:rsidRPr="00BC0E7E" w:rsidRDefault="00944B8F" w:rsidP="00BF4F97">
            <w:pPr>
              <w:keepNext/>
              <w:jc w:val="center"/>
              <w:rPr>
                <w:lang w:val="it-IT"/>
              </w:rPr>
            </w:pPr>
            <w:r w:rsidRPr="00BC0E7E">
              <w:rPr>
                <w:lang w:val="it-IT"/>
              </w:rPr>
              <w:t>2.7</w:t>
            </w:r>
          </w:p>
        </w:tc>
        <w:tc>
          <w:tcPr>
            <w:tcW w:w="1790" w:type="dxa"/>
          </w:tcPr>
          <w:p w14:paraId="169F1BFA" w14:textId="77777777" w:rsidR="00EC53A7" w:rsidRPr="00BC0E7E" w:rsidRDefault="00944B8F" w:rsidP="00BF4F97">
            <w:pPr>
              <w:keepNext/>
              <w:jc w:val="center"/>
              <w:rPr>
                <w:lang w:val="it-IT"/>
              </w:rPr>
            </w:pPr>
            <w:r w:rsidRPr="00BC0E7E">
              <w:rPr>
                <w:lang w:val="it-IT"/>
              </w:rPr>
              <w:t>0.1</w:t>
            </w:r>
          </w:p>
        </w:tc>
        <w:tc>
          <w:tcPr>
            <w:tcW w:w="2000" w:type="dxa"/>
          </w:tcPr>
          <w:p w14:paraId="71010D00" w14:textId="77777777" w:rsidR="00EC53A7" w:rsidRPr="00BC0E7E" w:rsidRDefault="00944B8F" w:rsidP="00BF4F97">
            <w:pPr>
              <w:keepNext/>
              <w:jc w:val="center"/>
              <w:rPr>
                <w:lang w:val="it-IT"/>
              </w:rPr>
            </w:pPr>
            <w:r w:rsidRPr="00BC0E7E">
              <w:rPr>
                <w:lang w:val="it-IT"/>
              </w:rPr>
              <w:t xml:space="preserve">2.6 (1.4, 3.8) </w:t>
            </w:r>
          </w:p>
        </w:tc>
        <w:tc>
          <w:tcPr>
            <w:tcW w:w="1548" w:type="dxa"/>
          </w:tcPr>
          <w:p w14:paraId="505CA845" w14:textId="77777777" w:rsidR="00EC53A7" w:rsidRPr="00BC0E7E" w:rsidRDefault="00944B8F" w:rsidP="00BF4F97">
            <w:pPr>
              <w:keepNext/>
              <w:jc w:val="center"/>
              <w:rPr>
                <w:vertAlign w:val="superscript"/>
                <w:lang w:val="it-IT"/>
              </w:rPr>
            </w:pPr>
            <w:r w:rsidRPr="00BC0E7E">
              <w:rPr>
                <w:lang w:val="it-IT"/>
              </w:rPr>
              <w:t>&lt; 0.001</w:t>
            </w:r>
            <w:r w:rsidRPr="00BC0E7E">
              <w:rPr>
                <w:vertAlign w:val="superscript"/>
                <w:lang w:val="it-IT"/>
              </w:rPr>
              <w:t>c</w:t>
            </w:r>
          </w:p>
        </w:tc>
      </w:tr>
      <w:tr w:rsidR="00C6578C" w14:paraId="107D55FD" w14:textId="77777777" w:rsidTr="00BF4F97">
        <w:tc>
          <w:tcPr>
            <w:tcW w:w="2088" w:type="dxa"/>
          </w:tcPr>
          <w:p w14:paraId="3B02BF49" w14:textId="77777777" w:rsidR="00EC53A7" w:rsidRPr="00BC0E7E" w:rsidRDefault="00944B8F" w:rsidP="00BF4F97">
            <w:pPr>
              <w:keepNext/>
              <w:jc w:val="center"/>
              <w:rPr>
                <w:lang w:val="it-IT"/>
              </w:rPr>
            </w:pPr>
            <w:r w:rsidRPr="00BC0E7E">
              <w:rPr>
                <w:lang w:val="it-IT"/>
              </w:rPr>
              <w:t>Erosion score</w:t>
            </w:r>
          </w:p>
        </w:tc>
        <w:tc>
          <w:tcPr>
            <w:tcW w:w="1430" w:type="dxa"/>
          </w:tcPr>
          <w:p w14:paraId="737115AE" w14:textId="77777777" w:rsidR="00EC53A7" w:rsidRPr="00BC0E7E" w:rsidRDefault="00944B8F" w:rsidP="00BF4F97">
            <w:pPr>
              <w:keepNext/>
              <w:jc w:val="center"/>
            </w:pPr>
            <w:r w:rsidRPr="00BC0E7E">
              <w:t>1.6</w:t>
            </w:r>
          </w:p>
        </w:tc>
        <w:tc>
          <w:tcPr>
            <w:tcW w:w="1790" w:type="dxa"/>
          </w:tcPr>
          <w:p w14:paraId="54599CF6" w14:textId="77777777" w:rsidR="00EC53A7" w:rsidRPr="00BC0E7E" w:rsidRDefault="00944B8F" w:rsidP="00BF4F97">
            <w:pPr>
              <w:keepNext/>
              <w:jc w:val="center"/>
            </w:pPr>
            <w:r w:rsidRPr="00BC0E7E">
              <w:t>0.0</w:t>
            </w:r>
          </w:p>
        </w:tc>
        <w:tc>
          <w:tcPr>
            <w:tcW w:w="2000" w:type="dxa"/>
          </w:tcPr>
          <w:p w14:paraId="0CE760D0" w14:textId="77777777" w:rsidR="00EC53A7" w:rsidRPr="00BC0E7E" w:rsidRDefault="00944B8F" w:rsidP="00BF4F97">
            <w:pPr>
              <w:keepNext/>
              <w:jc w:val="center"/>
            </w:pPr>
            <w:r w:rsidRPr="00BC0E7E">
              <w:t>1.6 (0.9, 2.2)</w:t>
            </w:r>
          </w:p>
        </w:tc>
        <w:tc>
          <w:tcPr>
            <w:tcW w:w="1548" w:type="dxa"/>
          </w:tcPr>
          <w:p w14:paraId="2379BE11" w14:textId="77777777" w:rsidR="00EC53A7" w:rsidRPr="00BC0E7E" w:rsidRDefault="00944B8F" w:rsidP="00BF4F97">
            <w:pPr>
              <w:keepNext/>
              <w:jc w:val="center"/>
            </w:pPr>
            <w:r w:rsidRPr="00BC0E7E">
              <w:t>&lt; 0.001</w:t>
            </w:r>
          </w:p>
        </w:tc>
      </w:tr>
      <w:tr w:rsidR="00C6578C" w14:paraId="2415273A" w14:textId="77777777" w:rsidTr="00BF4F97">
        <w:tc>
          <w:tcPr>
            <w:tcW w:w="2088" w:type="dxa"/>
          </w:tcPr>
          <w:p w14:paraId="33588D26" w14:textId="77777777" w:rsidR="00EC53A7" w:rsidRPr="00BC0E7E" w:rsidRDefault="00944B8F" w:rsidP="00BF4F97">
            <w:pPr>
              <w:keepNext/>
              <w:jc w:val="center"/>
            </w:pPr>
            <w:r w:rsidRPr="00BC0E7E">
              <w:t>JSN</w:t>
            </w:r>
            <w:r w:rsidRPr="00BC0E7E">
              <w:rPr>
                <w:vertAlign w:val="superscript"/>
              </w:rPr>
              <w:t>d</w:t>
            </w:r>
            <w:r w:rsidRPr="00BC0E7E">
              <w:t xml:space="preserve"> score</w:t>
            </w:r>
          </w:p>
        </w:tc>
        <w:tc>
          <w:tcPr>
            <w:tcW w:w="1430" w:type="dxa"/>
          </w:tcPr>
          <w:p w14:paraId="672BB428" w14:textId="77777777" w:rsidR="00EC53A7" w:rsidRPr="00BC0E7E" w:rsidRDefault="00944B8F" w:rsidP="00BF4F97">
            <w:pPr>
              <w:keepNext/>
              <w:jc w:val="center"/>
            </w:pPr>
            <w:r w:rsidRPr="00BC0E7E">
              <w:t>1.0</w:t>
            </w:r>
          </w:p>
        </w:tc>
        <w:tc>
          <w:tcPr>
            <w:tcW w:w="1790" w:type="dxa"/>
          </w:tcPr>
          <w:p w14:paraId="12AB5C11" w14:textId="77777777" w:rsidR="00EC53A7" w:rsidRPr="00BC0E7E" w:rsidRDefault="00944B8F" w:rsidP="00BF4F97">
            <w:pPr>
              <w:keepNext/>
              <w:jc w:val="center"/>
            </w:pPr>
            <w:r w:rsidRPr="00BC0E7E">
              <w:t>0.1</w:t>
            </w:r>
          </w:p>
        </w:tc>
        <w:tc>
          <w:tcPr>
            <w:tcW w:w="2000" w:type="dxa"/>
          </w:tcPr>
          <w:p w14:paraId="52F7C37A" w14:textId="77777777" w:rsidR="00EC53A7" w:rsidRPr="00BC0E7E" w:rsidRDefault="00944B8F" w:rsidP="00BF4F97">
            <w:pPr>
              <w:keepNext/>
              <w:jc w:val="center"/>
            </w:pPr>
            <w:r w:rsidRPr="00BC0E7E">
              <w:t>0.9 (0.3, 1.4)</w:t>
            </w:r>
          </w:p>
        </w:tc>
        <w:tc>
          <w:tcPr>
            <w:tcW w:w="1548" w:type="dxa"/>
          </w:tcPr>
          <w:p w14:paraId="06130E38" w14:textId="77777777" w:rsidR="00EC53A7" w:rsidRPr="00BC0E7E" w:rsidRDefault="00944B8F" w:rsidP="00BF4F97">
            <w:pPr>
              <w:keepNext/>
              <w:jc w:val="center"/>
            </w:pPr>
            <w:r w:rsidRPr="00BC0E7E">
              <w:t xml:space="preserve">  0.002</w:t>
            </w:r>
          </w:p>
        </w:tc>
      </w:tr>
    </w:tbl>
    <w:p w14:paraId="5A8EAE57" w14:textId="77777777" w:rsidR="00EC53A7" w:rsidRPr="00BC0E7E" w:rsidRDefault="00944B8F" w:rsidP="00EC53A7">
      <w:pPr>
        <w:keepNext/>
        <w:rPr>
          <w:szCs w:val="20"/>
        </w:rPr>
      </w:pPr>
      <w:r w:rsidRPr="00BC0E7E">
        <w:rPr>
          <w:b/>
          <w:bCs/>
          <w:szCs w:val="20"/>
          <w:vertAlign w:val="superscript"/>
        </w:rPr>
        <w:t>a</w:t>
      </w:r>
      <w:r w:rsidRPr="00BC0E7E">
        <w:rPr>
          <w:szCs w:val="20"/>
        </w:rPr>
        <w:t>methotrexate</w:t>
      </w:r>
    </w:p>
    <w:p w14:paraId="2EC32A61" w14:textId="77777777" w:rsidR="00EC53A7" w:rsidRPr="00BC0E7E" w:rsidRDefault="00944B8F" w:rsidP="00EC53A7">
      <w:pPr>
        <w:keepNext/>
        <w:rPr>
          <w:szCs w:val="20"/>
        </w:rPr>
      </w:pPr>
      <w:r w:rsidRPr="00BC0E7E">
        <w:rPr>
          <w:szCs w:val="20"/>
          <w:vertAlign w:val="superscript"/>
        </w:rPr>
        <w:t>b</w:t>
      </w:r>
      <w:r w:rsidRPr="00BC0E7E">
        <w:rPr>
          <w:szCs w:val="20"/>
        </w:rPr>
        <w:t xml:space="preserve">95% confidence intervals for the differences in change scores between methotrexate and Humira. </w:t>
      </w:r>
    </w:p>
    <w:p w14:paraId="103D9EDD" w14:textId="77777777" w:rsidR="00EC53A7" w:rsidRPr="00BC0E7E" w:rsidRDefault="00944B8F" w:rsidP="00EC53A7">
      <w:pPr>
        <w:keepNext/>
        <w:rPr>
          <w:szCs w:val="20"/>
        </w:rPr>
      </w:pPr>
      <w:r w:rsidRPr="00BC0E7E">
        <w:rPr>
          <w:szCs w:val="20"/>
          <w:vertAlign w:val="superscript"/>
        </w:rPr>
        <w:t>c</w:t>
      </w:r>
      <w:r w:rsidRPr="00BC0E7E">
        <w:rPr>
          <w:szCs w:val="20"/>
        </w:rPr>
        <w:t xml:space="preserve">Based on rank analysis </w:t>
      </w:r>
    </w:p>
    <w:p w14:paraId="27042CAC" w14:textId="77777777" w:rsidR="00EC53A7" w:rsidRPr="00BC0E7E" w:rsidRDefault="00944B8F" w:rsidP="00EC53A7">
      <w:pPr>
        <w:keepNext/>
        <w:rPr>
          <w:szCs w:val="20"/>
        </w:rPr>
      </w:pPr>
      <w:r w:rsidRPr="00BC0E7E">
        <w:rPr>
          <w:szCs w:val="20"/>
          <w:vertAlign w:val="superscript"/>
        </w:rPr>
        <w:t>d</w:t>
      </w:r>
      <w:r w:rsidRPr="00BC0E7E">
        <w:rPr>
          <w:szCs w:val="20"/>
        </w:rPr>
        <w:t>Joint Space Narrowing</w:t>
      </w:r>
    </w:p>
    <w:p w14:paraId="663298A6" w14:textId="77777777" w:rsidR="00EC53A7" w:rsidRPr="00BC0E7E" w:rsidRDefault="00EC53A7" w:rsidP="00EC53A7">
      <w:pPr>
        <w:keepNext/>
        <w:rPr>
          <w:szCs w:val="20"/>
        </w:rPr>
      </w:pPr>
    </w:p>
    <w:p w14:paraId="3E171429" w14:textId="77777777" w:rsidR="00EC53A7" w:rsidRPr="00BC0E7E" w:rsidRDefault="00944B8F" w:rsidP="00EC53A7">
      <w:r w:rsidRPr="00BC0E7E">
        <w:t xml:space="preserve">In RA study V, structural joint damage was assessed radiographically and expressed as change in modified Total Sharp Score (see Table </w:t>
      </w:r>
      <w:r w:rsidR="005F03EC">
        <w:t>8</w:t>
      </w:r>
      <w:r w:rsidRPr="00BC0E7E">
        <w:t>).</w:t>
      </w:r>
    </w:p>
    <w:p w14:paraId="166D4C67" w14:textId="77777777" w:rsidR="00EC53A7" w:rsidRPr="00BC0E7E" w:rsidRDefault="00EC53A7" w:rsidP="00EC53A7"/>
    <w:tbl>
      <w:tblPr>
        <w:tblW w:w="8910" w:type="dxa"/>
        <w:tblInd w:w="108" w:type="dxa"/>
        <w:tblLayout w:type="fixed"/>
        <w:tblLook w:val="0000" w:firstRow="0" w:lastRow="0" w:firstColumn="0" w:lastColumn="0" w:noHBand="0" w:noVBand="0"/>
      </w:tblPr>
      <w:tblGrid>
        <w:gridCol w:w="1430"/>
        <w:gridCol w:w="1540"/>
        <w:gridCol w:w="1482"/>
        <w:gridCol w:w="1488"/>
        <w:gridCol w:w="990"/>
        <w:gridCol w:w="990"/>
        <w:gridCol w:w="990"/>
      </w:tblGrid>
      <w:tr w:rsidR="00C6578C" w14:paraId="11F3B487" w14:textId="77777777" w:rsidTr="00BF4F97">
        <w:trPr>
          <w:cantSplit/>
        </w:trPr>
        <w:tc>
          <w:tcPr>
            <w:tcW w:w="8910" w:type="dxa"/>
            <w:gridSpan w:val="7"/>
            <w:tcBorders>
              <w:bottom w:val="single" w:sz="4" w:space="0" w:color="auto"/>
            </w:tcBorders>
          </w:tcPr>
          <w:p w14:paraId="7A18C748" w14:textId="77777777" w:rsidR="00EC53A7" w:rsidRPr="00BC0E7E" w:rsidRDefault="00944B8F" w:rsidP="00BF4F97">
            <w:pPr>
              <w:jc w:val="center"/>
              <w:outlineLvl w:val="4"/>
              <w:rPr>
                <w:b/>
                <w:bCs/>
                <w:noProof/>
              </w:rPr>
            </w:pPr>
            <w:r w:rsidRPr="00BC0E7E">
              <w:rPr>
                <w:b/>
                <w:bCs/>
                <w:noProof/>
              </w:rPr>
              <w:t xml:space="preserve">Table </w:t>
            </w:r>
            <w:r w:rsidR="005F03EC">
              <w:rPr>
                <w:b/>
                <w:bCs/>
                <w:noProof/>
              </w:rPr>
              <w:t>8</w:t>
            </w:r>
          </w:p>
          <w:p w14:paraId="23A21A61" w14:textId="77777777" w:rsidR="00EC53A7" w:rsidRPr="00BC0E7E" w:rsidRDefault="00944B8F" w:rsidP="00BF4F97">
            <w:pPr>
              <w:jc w:val="center"/>
              <w:outlineLvl w:val="4"/>
              <w:rPr>
                <w:b/>
                <w:bCs/>
                <w:noProof/>
              </w:rPr>
            </w:pPr>
            <w:r w:rsidRPr="00BC0E7E">
              <w:rPr>
                <w:b/>
                <w:bCs/>
                <w:noProof/>
              </w:rPr>
              <w:t xml:space="preserve">  Radiographic Mean Changes at Week 52 in RA Study V</w:t>
            </w:r>
          </w:p>
          <w:p w14:paraId="1CDAD395" w14:textId="77777777" w:rsidR="00EC53A7" w:rsidRPr="00BC0E7E" w:rsidRDefault="00EC53A7" w:rsidP="00BF4F97"/>
        </w:tc>
      </w:tr>
      <w:tr w:rsidR="00C6578C" w14:paraId="0AB47812" w14:textId="77777777" w:rsidTr="00BF4F97">
        <w:tc>
          <w:tcPr>
            <w:tcW w:w="1430" w:type="dxa"/>
            <w:tcBorders>
              <w:top w:val="single" w:sz="4" w:space="0" w:color="auto"/>
              <w:left w:val="single" w:sz="4" w:space="0" w:color="auto"/>
              <w:bottom w:val="single" w:sz="4" w:space="0" w:color="auto"/>
              <w:right w:val="single" w:sz="4" w:space="0" w:color="auto"/>
            </w:tcBorders>
            <w:vAlign w:val="center"/>
          </w:tcPr>
          <w:p w14:paraId="4D6157C3" w14:textId="77777777" w:rsidR="00EC53A7" w:rsidRPr="00BC0E7E" w:rsidRDefault="00EC53A7" w:rsidP="00BF4F97"/>
        </w:tc>
        <w:tc>
          <w:tcPr>
            <w:tcW w:w="1540" w:type="dxa"/>
            <w:tcBorders>
              <w:top w:val="single" w:sz="4" w:space="0" w:color="auto"/>
              <w:left w:val="single" w:sz="4" w:space="0" w:color="auto"/>
              <w:bottom w:val="single" w:sz="4" w:space="0" w:color="auto"/>
              <w:right w:val="single" w:sz="4" w:space="0" w:color="auto"/>
            </w:tcBorders>
            <w:vAlign w:val="center"/>
          </w:tcPr>
          <w:p w14:paraId="2A70C0F0" w14:textId="77777777" w:rsidR="00EC53A7" w:rsidRPr="00BC0E7E" w:rsidRDefault="00944B8F" w:rsidP="00BF4F97">
            <w:pPr>
              <w:jc w:val="center"/>
            </w:pPr>
            <w:r w:rsidRPr="00BC0E7E">
              <w:t>MTX</w:t>
            </w:r>
          </w:p>
          <w:p w14:paraId="42A67CA5" w14:textId="77777777" w:rsidR="00EC53A7" w:rsidRPr="00BC0E7E" w:rsidRDefault="00944B8F" w:rsidP="00BF4F97">
            <w:pPr>
              <w:jc w:val="center"/>
            </w:pPr>
            <w:r w:rsidRPr="00BC0E7E">
              <w:t>n=257</w:t>
            </w:r>
          </w:p>
          <w:p w14:paraId="0808AE65" w14:textId="77777777" w:rsidR="00EC53A7" w:rsidRPr="00BC0E7E" w:rsidRDefault="00944B8F" w:rsidP="00BF4F97">
            <w:pPr>
              <w:jc w:val="center"/>
            </w:pPr>
            <w:r w:rsidRPr="00BC0E7E">
              <w:t>(95% confidence interval)</w:t>
            </w:r>
          </w:p>
        </w:tc>
        <w:tc>
          <w:tcPr>
            <w:tcW w:w="1482" w:type="dxa"/>
            <w:tcBorders>
              <w:top w:val="single" w:sz="4" w:space="0" w:color="auto"/>
              <w:left w:val="single" w:sz="4" w:space="0" w:color="auto"/>
              <w:bottom w:val="single" w:sz="4" w:space="0" w:color="auto"/>
              <w:right w:val="single" w:sz="4" w:space="0" w:color="auto"/>
            </w:tcBorders>
            <w:vAlign w:val="center"/>
          </w:tcPr>
          <w:p w14:paraId="5017141C" w14:textId="77777777" w:rsidR="00EC53A7" w:rsidRPr="00BC0E7E" w:rsidRDefault="00944B8F" w:rsidP="00BF4F97">
            <w:pPr>
              <w:jc w:val="center"/>
            </w:pPr>
            <w:r w:rsidRPr="00BC0E7E">
              <w:t>Humira</w:t>
            </w:r>
          </w:p>
          <w:p w14:paraId="206B5196" w14:textId="77777777" w:rsidR="00EC53A7" w:rsidRPr="00BC0E7E" w:rsidRDefault="00944B8F" w:rsidP="00BF4F97">
            <w:pPr>
              <w:jc w:val="center"/>
              <w:rPr>
                <w:szCs w:val="20"/>
              </w:rPr>
            </w:pPr>
            <w:r w:rsidRPr="00BC0E7E">
              <w:rPr>
                <w:szCs w:val="20"/>
              </w:rPr>
              <w:t>n=274</w:t>
            </w:r>
          </w:p>
          <w:p w14:paraId="5025B20C" w14:textId="77777777" w:rsidR="00EC53A7" w:rsidRPr="00BC0E7E" w:rsidRDefault="00944B8F" w:rsidP="00BF4F97">
            <w:pPr>
              <w:jc w:val="center"/>
            </w:pPr>
            <w:r w:rsidRPr="00BC0E7E">
              <w:t>(95% confidence interval)</w:t>
            </w:r>
          </w:p>
        </w:tc>
        <w:tc>
          <w:tcPr>
            <w:tcW w:w="1488" w:type="dxa"/>
            <w:tcBorders>
              <w:top w:val="single" w:sz="4" w:space="0" w:color="auto"/>
              <w:left w:val="single" w:sz="4" w:space="0" w:color="auto"/>
              <w:bottom w:val="single" w:sz="4" w:space="0" w:color="auto"/>
              <w:right w:val="single" w:sz="4" w:space="0" w:color="auto"/>
            </w:tcBorders>
            <w:vAlign w:val="center"/>
          </w:tcPr>
          <w:p w14:paraId="512C45EF" w14:textId="77777777" w:rsidR="00EC53A7" w:rsidRPr="00BC0E7E" w:rsidRDefault="00944B8F" w:rsidP="00BF4F97">
            <w:pPr>
              <w:jc w:val="center"/>
            </w:pPr>
            <w:r w:rsidRPr="00BC0E7E">
              <w:t>Humira/MTX</w:t>
            </w:r>
          </w:p>
          <w:p w14:paraId="2A83B7EB" w14:textId="77777777" w:rsidR="00EC53A7" w:rsidRPr="00BC0E7E" w:rsidRDefault="00944B8F" w:rsidP="00BF4F97">
            <w:pPr>
              <w:jc w:val="center"/>
              <w:rPr>
                <w:szCs w:val="20"/>
              </w:rPr>
            </w:pPr>
            <w:r w:rsidRPr="00BC0E7E">
              <w:rPr>
                <w:szCs w:val="20"/>
              </w:rPr>
              <w:t>n=268</w:t>
            </w:r>
          </w:p>
          <w:p w14:paraId="1A3380E6" w14:textId="77777777" w:rsidR="00EC53A7" w:rsidRPr="00BC0E7E" w:rsidRDefault="00944B8F" w:rsidP="00BF4F97">
            <w:pPr>
              <w:jc w:val="center"/>
              <w:rPr>
                <w:szCs w:val="20"/>
              </w:rPr>
            </w:pPr>
            <w:r w:rsidRPr="00BC0E7E">
              <w:rPr>
                <w:szCs w:val="20"/>
              </w:rPr>
              <w:t>(95% confidence interval)</w:t>
            </w:r>
          </w:p>
        </w:tc>
        <w:tc>
          <w:tcPr>
            <w:tcW w:w="990" w:type="dxa"/>
            <w:tcBorders>
              <w:top w:val="single" w:sz="4" w:space="0" w:color="auto"/>
              <w:left w:val="single" w:sz="4" w:space="0" w:color="auto"/>
              <w:bottom w:val="single" w:sz="4" w:space="0" w:color="auto"/>
              <w:right w:val="single" w:sz="4" w:space="0" w:color="auto"/>
            </w:tcBorders>
            <w:vAlign w:val="center"/>
          </w:tcPr>
          <w:p w14:paraId="44E4B8D1" w14:textId="77777777" w:rsidR="00EC53A7" w:rsidRPr="00BC0E7E" w:rsidRDefault="00944B8F" w:rsidP="00BF4F97">
            <w:pPr>
              <w:jc w:val="center"/>
              <w:rPr>
                <w:szCs w:val="20"/>
              </w:rPr>
            </w:pPr>
            <w:r w:rsidRPr="00BC0E7E">
              <w:rPr>
                <w:szCs w:val="20"/>
              </w:rPr>
              <w:t>p-value</w:t>
            </w:r>
            <w:r w:rsidRPr="00BC0E7E">
              <w:rPr>
                <w:szCs w:val="20"/>
                <w:vertAlign w:val="superscript"/>
              </w:rPr>
              <w:t>a</w:t>
            </w:r>
          </w:p>
        </w:tc>
        <w:tc>
          <w:tcPr>
            <w:tcW w:w="990" w:type="dxa"/>
            <w:tcBorders>
              <w:top w:val="single" w:sz="4" w:space="0" w:color="auto"/>
              <w:left w:val="single" w:sz="4" w:space="0" w:color="auto"/>
              <w:bottom w:val="single" w:sz="4" w:space="0" w:color="auto"/>
              <w:right w:val="single" w:sz="4" w:space="0" w:color="auto"/>
            </w:tcBorders>
            <w:vAlign w:val="center"/>
          </w:tcPr>
          <w:p w14:paraId="15930BC9" w14:textId="77777777" w:rsidR="00EC53A7" w:rsidRPr="00BC0E7E" w:rsidRDefault="00944B8F" w:rsidP="00BF4F97">
            <w:pPr>
              <w:jc w:val="center"/>
            </w:pPr>
            <w:r w:rsidRPr="00BC0E7E">
              <w:t>p-value</w:t>
            </w:r>
            <w:r w:rsidRPr="00BC0E7E">
              <w:rPr>
                <w:vertAlign w:val="superscript"/>
              </w:rPr>
              <w:t>b</w:t>
            </w:r>
          </w:p>
        </w:tc>
        <w:tc>
          <w:tcPr>
            <w:tcW w:w="990" w:type="dxa"/>
            <w:tcBorders>
              <w:top w:val="single" w:sz="4" w:space="0" w:color="auto"/>
              <w:left w:val="single" w:sz="4" w:space="0" w:color="auto"/>
              <w:bottom w:val="single" w:sz="4" w:space="0" w:color="auto"/>
              <w:right w:val="single" w:sz="4" w:space="0" w:color="auto"/>
            </w:tcBorders>
            <w:vAlign w:val="center"/>
          </w:tcPr>
          <w:p w14:paraId="4537DA09" w14:textId="77777777" w:rsidR="00EC53A7" w:rsidRPr="00BC0E7E" w:rsidRDefault="00944B8F" w:rsidP="00BF4F97">
            <w:pPr>
              <w:jc w:val="center"/>
            </w:pPr>
            <w:r w:rsidRPr="00BC0E7E">
              <w:t>p-value</w:t>
            </w:r>
            <w:r w:rsidRPr="00BC0E7E">
              <w:rPr>
                <w:vertAlign w:val="superscript"/>
              </w:rPr>
              <w:t>c</w:t>
            </w:r>
          </w:p>
        </w:tc>
      </w:tr>
      <w:tr w:rsidR="00C6578C" w14:paraId="7D5915E2" w14:textId="77777777" w:rsidTr="00BF4F97">
        <w:tc>
          <w:tcPr>
            <w:tcW w:w="1430" w:type="dxa"/>
            <w:tcBorders>
              <w:top w:val="single" w:sz="4" w:space="0" w:color="auto"/>
              <w:left w:val="single" w:sz="4" w:space="0" w:color="auto"/>
              <w:bottom w:val="single" w:sz="4" w:space="0" w:color="auto"/>
              <w:right w:val="single" w:sz="4" w:space="0" w:color="auto"/>
            </w:tcBorders>
          </w:tcPr>
          <w:p w14:paraId="486EF420" w14:textId="77777777" w:rsidR="00EC53A7" w:rsidRPr="00BC0E7E" w:rsidRDefault="00944B8F" w:rsidP="00BF4F97">
            <w:pPr>
              <w:jc w:val="center"/>
            </w:pPr>
            <w:r w:rsidRPr="00BC0E7E">
              <w:t>Total Sharp Score</w:t>
            </w:r>
          </w:p>
        </w:tc>
        <w:tc>
          <w:tcPr>
            <w:tcW w:w="1540" w:type="dxa"/>
            <w:tcBorders>
              <w:top w:val="single" w:sz="4" w:space="0" w:color="auto"/>
              <w:left w:val="single" w:sz="4" w:space="0" w:color="auto"/>
              <w:bottom w:val="single" w:sz="4" w:space="0" w:color="auto"/>
              <w:right w:val="single" w:sz="4" w:space="0" w:color="auto"/>
            </w:tcBorders>
          </w:tcPr>
          <w:p w14:paraId="63984232" w14:textId="77777777" w:rsidR="00EC53A7" w:rsidRPr="00BC0E7E" w:rsidRDefault="00944B8F" w:rsidP="00BF4F97">
            <w:pPr>
              <w:jc w:val="center"/>
              <w:rPr>
                <w:lang w:val="it-IT"/>
              </w:rPr>
            </w:pPr>
            <w:r w:rsidRPr="00BC0E7E">
              <w:rPr>
                <w:lang w:val="it-IT"/>
              </w:rPr>
              <w:t>5.7 (4.2-7.3)</w:t>
            </w:r>
          </w:p>
        </w:tc>
        <w:tc>
          <w:tcPr>
            <w:tcW w:w="1482" w:type="dxa"/>
            <w:tcBorders>
              <w:top w:val="single" w:sz="4" w:space="0" w:color="auto"/>
              <w:left w:val="single" w:sz="4" w:space="0" w:color="auto"/>
              <w:bottom w:val="single" w:sz="4" w:space="0" w:color="auto"/>
              <w:right w:val="single" w:sz="4" w:space="0" w:color="auto"/>
            </w:tcBorders>
          </w:tcPr>
          <w:p w14:paraId="63305872" w14:textId="77777777" w:rsidR="00EC53A7" w:rsidRPr="00BC0E7E" w:rsidRDefault="00944B8F" w:rsidP="00BF4F97">
            <w:pPr>
              <w:jc w:val="center"/>
              <w:rPr>
                <w:lang w:val="it-IT"/>
              </w:rPr>
            </w:pPr>
            <w:r w:rsidRPr="00BC0E7E">
              <w:rPr>
                <w:lang w:val="it-IT"/>
              </w:rPr>
              <w:t>3.0 (1.7-4.3)</w:t>
            </w:r>
          </w:p>
        </w:tc>
        <w:tc>
          <w:tcPr>
            <w:tcW w:w="1488" w:type="dxa"/>
            <w:tcBorders>
              <w:top w:val="single" w:sz="4" w:space="0" w:color="auto"/>
              <w:left w:val="single" w:sz="4" w:space="0" w:color="auto"/>
              <w:bottom w:val="single" w:sz="4" w:space="0" w:color="auto"/>
              <w:right w:val="single" w:sz="4" w:space="0" w:color="auto"/>
            </w:tcBorders>
          </w:tcPr>
          <w:p w14:paraId="50BDF6EA" w14:textId="77777777" w:rsidR="00EC53A7" w:rsidRPr="00BC0E7E" w:rsidRDefault="00944B8F" w:rsidP="00BF4F97">
            <w:pPr>
              <w:jc w:val="center"/>
              <w:rPr>
                <w:lang w:val="it-IT"/>
              </w:rPr>
            </w:pPr>
            <w:r w:rsidRPr="00BC0E7E">
              <w:rPr>
                <w:lang w:val="it-IT"/>
              </w:rPr>
              <w:t>1.3 (0.5-2.1)</w:t>
            </w:r>
          </w:p>
        </w:tc>
        <w:tc>
          <w:tcPr>
            <w:tcW w:w="990" w:type="dxa"/>
            <w:tcBorders>
              <w:top w:val="single" w:sz="4" w:space="0" w:color="auto"/>
              <w:left w:val="single" w:sz="4" w:space="0" w:color="auto"/>
              <w:bottom w:val="single" w:sz="4" w:space="0" w:color="auto"/>
              <w:right w:val="single" w:sz="4" w:space="0" w:color="auto"/>
            </w:tcBorders>
          </w:tcPr>
          <w:p w14:paraId="22B63F42" w14:textId="77777777" w:rsidR="00EC53A7" w:rsidRPr="00BC0E7E" w:rsidRDefault="00944B8F" w:rsidP="00BF4F97">
            <w:pPr>
              <w:jc w:val="center"/>
              <w:rPr>
                <w:lang w:val="it-IT"/>
              </w:rPr>
            </w:pPr>
            <w:r w:rsidRPr="00BC0E7E">
              <w:rPr>
                <w:lang w:val="it-IT"/>
              </w:rPr>
              <w:t>&lt; 0.001</w:t>
            </w:r>
          </w:p>
        </w:tc>
        <w:tc>
          <w:tcPr>
            <w:tcW w:w="990" w:type="dxa"/>
            <w:tcBorders>
              <w:top w:val="single" w:sz="4" w:space="0" w:color="auto"/>
              <w:left w:val="single" w:sz="4" w:space="0" w:color="auto"/>
              <w:bottom w:val="single" w:sz="4" w:space="0" w:color="auto"/>
              <w:right w:val="single" w:sz="4" w:space="0" w:color="auto"/>
            </w:tcBorders>
          </w:tcPr>
          <w:p w14:paraId="44A58F0F" w14:textId="77777777" w:rsidR="00EC53A7" w:rsidRPr="00BC0E7E" w:rsidRDefault="00944B8F" w:rsidP="00BF4F97">
            <w:pPr>
              <w:jc w:val="center"/>
              <w:rPr>
                <w:lang w:val="it-IT"/>
              </w:rPr>
            </w:pPr>
            <w:r w:rsidRPr="00BC0E7E">
              <w:rPr>
                <w:lang w:val="it-IT"/>
              </w:rPr>
              <w:t>0.0020</w:t>
            </w:r>
          </w:p>
        </w:tc>
        <w:tc>
          <w:tcPr>
            <w:tcW w:w="990" w:type="dxa"/>
            <w:tcBorders>
              <w:top w:val="single" w:sz="4" w:space="0" w:color="auto"/>
              <w:left w:val="single" w:sz="4" w:space="0" w:color="auto"/>
              <w:bottom w:val="single" w:sz="4" w:space="0" w:color="auto"/>
              <w:right w:val="single" w:sz="4" w:space="0" w:color="auto"/>
            </w:tcBorders>
          </w:tcPr>
          <w:p w14:paraId="1E6E0240" w14:textId="77777777" w:rsidR="00EC53A7" w:rsidRPr="00BC0E7E" w:rsidRDefault="00944B8F" w:rsidP="00BF4F97">
            <w:pPr>
              <w:jc w:val="center"/>
              <w:rPr>
                <w:lang w:val="it-IT"/>
              </w:rPr>
            </w:pPr>
            <w:r w:rsidRPr="00BC0E7E">
              <w:rPr>
                <w:lang w:val="it-IT"/>
              </w:rPr>
              <w:t>&lt; 0.001</w:t>
            </w:r>
          </w:p>
        </w:tc>
      </w:tr>
      <w:tr w:rsidR="00C6578C" w14:paraId="4FDEDD21" w14:textId="77777777" w:rsidTr="00BF4F97">
        <w:tc>
          <w:tcPr>
            <w:tcW w:w="1430" w:type="dxa"/>
            <w:tcBorders>
              <w:top w:val="single" w:sz="4" w:space="0" w:color="auto"/>
              <w:left w:val="single" w:sz="4" w:space="0" w:color="auto"/>
              <w:bottom w:val="single" w:sz="4" w:space="0" w:color="auto"/>
              <w:right w:val="single" w:sz="4" w:space="0" w:color="auto"/>
            </w:tcBorders>
          </w:tcPr>
          <w:p w14:paraId="5DA967A0" w14:textId="77777777" w:rsidR="00EC53A7" w:rsidRPr="00BC0E7E" w:rsidRDefault="00944B8F" w:rsidP="00BF4F97">
            <w:pPr>
              <w:jc w:val="center"/>
              <w:rPr>
                <w:lang w:val="it-IT"/>
              </w:rPr>
            </w:pPr>
            <w:r w:rsidRPr="00BC0E7E">
              <w:rPr>
                <w:lang w:val="it-IT"/>
              </w:rPr>
              <w:t>Erosion score</w:t>
            </w:r>
          </w:p>
        </w:tc>
        <w:tc>
          <w:tcPr>
            <w:tcW w:w="1540" w:type="dxa"/>
            <w:tcBorders>
              <w:top w:val="single" w:sz="4" w:space="0" w:color="auto"/>
              <w:left w:val="single" w:sz="4" w:space="0" w:color="auto"/>
              <w:bottom w:val="single" w:sz="4" w:space="0" w:color="auto"/>
              <w:right w:val="single" w:sz="4" w:space="0" w:color="auto"/>
            </w:tcBorders>
          </w:tcPr>
          <w:p w14:paraId="46F94DF3" w14:textId="77777777" w:rsidR="00EC53A7" w:rsidRPr="00BC0E7E" w:rsidRDefault="00944B8F" w:rsidP="00BF4F97">
            <w:pPr>
              <w:jc w:val="center"/>
              <w:rPr>
                <w:lang w:val="it-IT"/>
              </w:rPr>
            </w:pPr>
            <w:r w:rsidRPr="00BC0E7E">
              <w:rPr>
                <w:lang w:val="it-IT"/>
              </w:rPr>
              <w:t>3.7 (2.7-4.7)</w:t>
            </w:r>
          </w:p>
        </w:tc>
        <w:tc>
          <w:tcPr>
            <w:tcW w:w="1482" w:type="dxa"/>
            <w:tcBorders>
              <w:top w:val="single" w:sz="4" w:space="0" w:color="auto"/>
              <w:left w:val="single" w:sz="4" w:space="0" w:color="auto"/>
              <w:bottom w:val="single" w:sz="4" w:space="0" w:color="auto"/>
              <w:right w:val="single" w:sz="4" w:space="0" w:color="auto"/>
            </w:tcBorders>
          </w:tcPr>
          <w:p w14:paraId="65304189" w14:textId="77777777" w:rsidR="00EC53A7" w:rsidRPr="00BC0E7E" w:rsidRDefault="00944B8F" w:rsidP="00BF4F97">
            <w:pPr>
              <w:jc w:val="center"/>
              <w:rPr>
                <w:lang w:val="it-IT"/>
              </w:rPr>
            </w:pPr>
            <w:r w:rsidRPr="00BC0E7E">
              <w:rPr>
                <w:lang w:val="it-IT"/>
              </w:rPr>
              <w:t>1.7 (1.0-2.4)</w:t>
            </w:r>
          </w:p>
        </w:tc>
        <w:tc>
          <w:tcPr>
            <w:tcW w:w="1488" w:type="dxa"/>
            <w:tcBorders>
              <w:top w:val="single" w:sz="4" w:space="0" w:color="auto"/>
              <w:left w:val="single" w:sz="4" w:space="0" w:color="auto"/>
              <w:bottom w:val="single" w:sz="4" w:space="0" w:color="auto"/>
              <w:right w:val="single" w:sz="4" w:space="0" w:color="auto"/>
            </w:tcBorders>
          </w:tcPr>
          <w:p w14:paraId="074F11F2" w14:textId="77777777" w:rsidR="00EC53A7" w:rsidRPr="00BC0E7E" w:rsidRDefault="00944B8F" w:rsidP="00BF4F97">
            <w:pPr>
              <w:jc w:val="center"/>
              <w:rPr>
                <w:lang w:val="it-IT"/>
              </w:rPr>
            </w:pPr>
            <w:r w:rsidRPr="00BC0E7E">
              <w:rPr>
                <w:lang w:val="it-IT"/>
              </w:rPr>
              <w:t>0.8 (0.4-1.2)</w:t>
            </w:r>
          </w:p>
        </w:tc>
        <w:tc>
          <w:tcPr>
            <w:tcW w:w="990" w:type="dxa"/>
            <w:tcBorders>
              <w:top w:val="single" w:sz="4" w:space="0" w:color="auto"/>
              <w:left w:val="single" w:sz="4" w:space="0" w:color="auto"/>
              <w:bottom w:val="single" w:sz="4" w:space="0" w:color="auto"/>
              <w:right w:val="single" w:sz="4" w:space="0" w:color="auto"/>
            </w:tcBorders>
          </w:tcPr>
          <w:p w14:paraId="7F7016F9" w14:textId="77777777" w:rsidR="00EC53A7" w:rsidRPr="00BC0E7E" w:rsidRDefault="00944B8F" w:rsidP="00BF4F97">
            <w:pPr>
              <w:jc w:val="center"/>
              <w:rPr>
                <w:lang w:val="it-IT"/>
              </w:rPr>
            </w:pPr>
            <w:r w:rsidRPr="00BC0E7E">
              <w:rPr>
                <w:lang w:val="it-IT"/>
              </w:rPr>
              <w:t>&lt; 0.001</w:t>
            </w:r>
          </w:p>
        </w:tc>
        <w:tc>
          <w:tcPr>
            <w:tcW w:w="990" w:type="dxa"/>
            <w:tcBorders>
              <w:top w:val="single" w:sz="4" w:space="0" w:color="auto"/>
              <w:left w:val="single" w:sz="4" w:space="0" w:color="auto"/>
              <w:bottom w:val="single" w:sz="4" w:space="0" w:color="auto"/>
              <w:right w:val="single" w:sz="4" w:space="0" w:color="auto"/>
            </w:tcBorders>
          </w:tcPr>
          <w:p w14:paraId="0A2E5927" w14:textId="77777777" w:rsidR="00EC53A7" w:rsidRPr="00BC0E7E" w:rsidRDefault="00944B8F" w:rsidP="00BF4F97">
            <w:pPr>
              <w:jc w:val="center"/>
              <w:rPr>
                <w:lang w:val="it-IT"/>
              </w:rPr>
            </w:pPr>
            <w:r w:rsidRPr="00BC0E7E">
              <w:rPr>
                <w:lang w:val="it-IT"/>
              </w:rPr>
              <w:t>0.0082</w:t>
            </w:r>
          </w:p>
        </w:tc>
        <w:tc>
          <w:tcPr>
            <w:tcW w:w="990" w:type="dxa"/>
            <w:tcBorders>
              <w:top w:val="single" w:sz="4" w:space="0" w:color="auto"/>
              <w:left w:val="single" w:sz="4" w:space="0" w:color="auto"/>
              <w:bottom w:val="single" w:sz="4" w:space="0" w:color="auto"/>
              <w:right w:val="single" w:sz="4" w:space="0" w:color="auto"/>
            </w:tcBorders>
          </w:tcPr>
          <w:p w14:paraId="2F1EE909" w14:textId="77777777" w:rsidR="00EC53A7" w:rsidRPr="00BC0E7E" w:rsidRDefault="00944B8F" w:rsidP="00BF4F97">
            <w:pPr>
              <w:jc w:val="center"/>
              <w:rPr>
                <w:lang w:val="it-IT"/>
              </w:rPr>
            </w:pPr>
            <w:r w:rsidRPr="00BC0E7E">
              <w:rPr>
                <w:lang w:val="it-IT"/>
              </w:rPr>
              <w:t>&lt; 0.001</w:t>
            </w:r>
          </w:p>
        </w:tc>
      </w:tr>
      <w:tr w:rsidR="00C6578C" w14:paraId="03DADC62" w14:textId="77777777" w:rsidTr="00BF4F97">
        <w:tc>
          <w:tcPr>
            <w:tcW w:w="1430" w:type="dxa"/>
            <w:tcBorders>
              <w:top w:val="single" w:sz="4" w:space="0" w:color="auto"/>
              <w:left w:val="single" w:sz="4" w:space="0" w:color="auto"/>
              <w:bottom w:val="single" w:sz="4" w:space="0" w:color="auto"/>
              <w:right w:val="single" w:sz="4" w:space="0" w:color="auto"/>
            </w:tcBorders>
          </w:tcPr>
          <w:p w14:paraId="33D6132E" w14:textId="77777777" w:rsidR="00EC53A7" w:rsidRPr="00BC0E7E" w:rsidRDefault="00944B8F" w:rsidP="00BF4F97">
            <w:pPr>
              <w:jc w:val="center"/>
              <w:rPr>
                <w:lang w:val="it-IT"/>
              </w:rPr>
            </w:pPr>
            <w:r w:rsidRPr="00BC0E7E">
              <w:rPr>
                <w:lang w:val="it-IT"/>
              </w:rPr>
              <w:t>JSN score</w:t>
            </w:r>
          </w:p>
        </w:tc>
        <w:tc>
          <w:tcPr>
            <w:tcW w:w="1540" w:type="dxa"/>
            <w:tcBorders>
              <w:top w:val="single" w:sz="4" w:space="0" w:color="auto"/>
              <w:left w:val="single" w:sz="4" w:space="0" w:color="auto"/>
              <w:bottom w:val="single" w:sz="4" w:space="0" w:color="auto"/>
              <w:right w:val="single" w:sz="4" w:space="0" w:color="auto"/>
            </w:tcBorders>
          </w:tcPr>
          <w:p w14:paraId="36AA9D89" w14:textId="77777777" w:rsidR="00EC53A7" w:rsidRPr="00BC0E7E" w:rsidRDefault="00944B8F" w:rsidP="00BF4F97">
            <w:pPr>
              <w:jc w:val="center"/>
            </w:pPr>
            <w:r w:rsidRPr="00BC0E7E">
              <w:t>2.0 (1.2-2.8)</w:t>
            </w:r>
          </w:p>
        </w:tc>
        <w:tc>
          <w:tcPr>
            <w:tcW w:w="1482" w:type="dxa"/>
            <w:tcBorders>
              <w:top w:val="single" w:sz="4" w:space="0" w:color="auto"/>
              <w:left w:val="single" w:sz="4" w:space="0" w:color="auto"/>
              <w:bottom w:val="single" w:sz="4" w:space="0" w:color="auto"/>
              <w:right w:val="single" w:sz="4" w:space="0" w:color="auto"/>
            </w:tcBorders>
          </w:tcPr>
          <w:p w14:paraId="4A6A51BB" w14:textId="77777777" w:rsidR="00EC53A7" w:rsidRPr="00BC0E7E" w:rsidRDefault="00944B8F" w:rsidP="00BF4F97">
            <w:pPr>
              <w:jc w:val="center"/>
            </w:pPr>
            <w:r w:rsidRPr="00BC0E7E">
              <w:t>1.3 (0.5-2.1)</w:t>
            </w:r>
          </w:p>
        </w:tc>
        <w:tc>
          <w:tcPr>
            <w:tcW w:w="1488" w:type="dxa"/>
            <w:tcBorders>
              <w:top w:val="single" w:sz="4" w:space="0" w:color="auto"/>
              <w:left w:val="single" w:sz="4" w:space="0" w:color="auto"/>
              <w:bottom w:val="single" w:sz="4" w:space="0" w:color="auto"/>
              <w:right w:val="single" w:sz="4" w:space="0" w:color="auto"/>
            </w:tcBorders>
          </w:tcPr>
          <w:p w14:paraId="6BCE5F47" w14:textId="77777777" w:rsidR="00EC53A7" w:rsidRPr="00BC0E7E" w:rsidRDefault="00944B8F" w:rsidP="00BF4F97">
            <w:pPr>
              <w:jc w:val="center"/>
            </w:pPr>
            <w:r w:rsidRPr="00BC0E7E">
              <w:t>0.5 (0-1.0)</w:t>
            </w:r>
          </w:p>
        </w:tc>
        <w:tc>
          <w:tcPr>
            <w:tcW w:w="990" w:type="dxa"/>
            <w:tcBorders>
              <w:top w:val="single" w:sz="4" w:space="0" w:color="auto"/>
              <w:left w:val="single" w:sz="4" w:space="0" w:color="auto"/>
              <w:bottom w:val="single" w:sz="4" w:space="0" w:color="auto"/>
              <w:right w:val="single" w:sz="4" w:space="0" w:color="auto"/>
            </w:tcBorders>
          </w:tcPr>
          <w:p w14:paraId="672A19A8" w14:textId="77777777" w:rsidR="00EC53A7" w:rsidRPr="00BC0E7E" w:rsidRDefault="00944B8F" w:rsidP="00BF4F97">
            <w:pPr>
              <w:jc w:val="center"/>
            </w:pPr>
            <w:r w:rsidRPr="00BC0E7E">
              <w:t>&lt; 0.001</w:t>
            </w:r>
          </w:p>
        </w:tc>
        <w:tc>
          <w:tcPr>
            <w:tcW w:w="990" w:type="dxa"/>
            <w:tcBorders>
              <w:top w:val="single" w:sz="4" w:space="0" w:color="auto"/>
              <w:left w:val="single" w:sz="4" w:space="0" w:color="auto"/>
              <w:bottom w:val="single" w:sz="4" w:space="0" w:color="auto"/>
              <w:right w:val="single" w:sz="4" w:space="0" w:color="auto"/>
            </w:tcBorders>
          </w:tcPr>
          <w:p w14:paraId="55272D67" w14:textId="77777777" w:rsidR="00EC53A7" w:rsidRPr="00BC0E7E" w:rsidRDefault="00944B8F" w:rsidP="00BF4F97">
            <w:pPr>
              <w:jc w:val="center"/>
            </w:pPr>
            <w:r w:rsidRPr="00BC0E7E">
              <w:t>0.0037</w:t>
            </w:r>
          </w:p>
        </w:tc>
        <w:tc>
          <w:tcPr>
            <w:tcW w:w="990" w:type="dxa"/>
            <w:tcBorders>
              <w:top w:val="single" w:sz="4" w:space="0" w:color="auto"/>
              <w:left w:val="single" w:sz="4" w:space="0" w:color="auto"/>
              <w:bottom w:val="single" w:sz="4" w:space="0" w:color="auto"/>
              <w:right w:val="single" w:sz="4" w:space="0" w:color="auto"/>
            </w:tcBorders>
          </w:tcPr>
          <w:p w14:paraId="5B05AD6C" w14:textId="77777777" w:rsidR="00EC53A7" w:rsidRPr="00BC0E7E" w:rsidRDefault="00944B8F" w:rsidP="00BF4F97">
            <w:pPr>
              <w:jc w:val="center"/>
            </w:pPr>
            <w:r w:rsidRPr="00BC0E7E">
              <w:t>0.151</w:t>
            </w:r>
          </w:p>
        </w:tc>
      </w:tr>
      <w:tr w:rsidR="00C6578C" w14:paraId="731F7509" w14:textId="77777777" w:rsidTr="00BF4F97">
        <w:trPr>
          <w:cantSplit/>
        </w:trPr>
        <w:tc>
          <w:tcPr>
            <w:tcW w:w="8910" w:type="dxa"/>
            <w:gridSpan w:val="7"/>
            <w:tcBorders>
              <w:top w:val="single" w:sz="4" w:space="0" w:color="auto"/>
            </w:tcBorders>
          </w:tcPr>
          <w:p w14:paraId="7E454E66" w14:textId="77777777" w:rsidR="00EC53A7" w:rsidRPr="00BC0E7E" w:rsidRDefault="00944B8F" w:rsidP="00BF4F97">
            <w:pPr>
              <w:tabs>
                <w:tab w:val="clear" w:pos="562"/>
                <w:tab w:val="left" w:pos="330"/>
              </w:tabs>
              <w:ind w:left="330" w:hanging="330"/>
              <w:rPr>
                <w:bCs/>
              </w:rPr>
            </w:pPr>
            <w:r w:rsidRPr="00BC0E7E">
              <w:rPr>
                <w:bCs/>
                <w:vertAlign w:val="superscript"/>
              </w:rPr>
              <w:t xml:space="preserve">a </w:t>
            </w:r>
            <w:r w:rsidRPr="00BC0E7E">
              <w:rPr>
                <w:bCs/>
              </w:rPr>
              <w:t>p-value is from the pairwise comparison of methotrexate monotherapy and Humira/methotrexate combination therapy using the Mann-Whitney U test.</w:t>
            </w:r>
          </w:p>
          <w:p w14:paraId="43DDA51A" w14:textId="77777777" w:rsidR="00EC53A7" w:rsidRPr="00BC0E7E" w:rsidRDefault="00944B8F" w:rsidP="00BF4F97">
            <w:pPr>
              <w:tabs>
                <w:tab w:val="clear" w:pos="562"/>
                <w:tab w:val="left" w:pos="330"/>
              </w:tabs>
              <w:ind w:left="360" w:hanging="360"/>
              <w:rPr>
                <w:bCs/>
              </w:rPr>
            </w:pPr>
            <w:r w:rsidRPr="00BC0E7E">
              <w:rPr>
                <w:bCs/>
                <w:vertAlign w:val="superscript"/>
              </w:rPr>
              <w:t>b</w:t>
            </w:r>
            <w:r w:rsidRPr="00BC0E7E">
              <w:rPr>
                <w:bCs/>
              </w:rPr>
              <w:t xml:space="preserve"> p-value is from the pairwise comparison of Humira monotherapy and Humira/methotrexate combination therapy using the Mann-Whitney U test </w:t>
            </w:r>
          </w:p>
          <w:p w14:paraId="2913AEA3" w14:textId="77777777" w:rsidR="00EC53A7" w:rsidRPr="00BC0E7E" w:rsidRDefault="00944B8F" w:rsidP="00BF4F97">
            <w:pPr>
              <w:tabs>
                <w:tab w:val="clear" w:pos="562"/>
                <w:tab w:val="left" w:pos="330"/>
              </w:tabs>
              <w:ind w:left="360" w:hanging="360"/>
              <w:rPr>
                <w:bCs/>
              </w:rPr>
            </w:pPr>
            <w:r w:rsidRPr="00BC0E7E">
              <w:rPr>
                <w:bCs/>
                <w:vertAlign w:val="superscript"/>
              </w:rPr>
              <w:t>c</w:t>
            </w:r>
            <w:r w:rsidRPr="00BC0E7E">
              <w:rPr>
                <w:bCs/>
              </w:rPr>
              <w:t xml:space="preserve"> p-value is from the pairwise comparison of Humira monotherapy and methotrexate monotherapy using the Mann-Whitney U test</w:t>
            </w:r>
          </w:p>
        </w:tc>
      </w:tr>
    </w:tbl>
    <w:p w14:paraId="18D9C199" w14:textId="77777777" w:rsidR="00EC53A7" w:rsidRPr="00BC0E7E" w:rsidRDefault="00EC53A7" w:rsidP="00EC53A7"/>
    <w:p w14:paraId="74E4D0A3" w14:textId="77777777" w:rsidR="00EC53A7" w:rsidRPr="00BC0E7E" w:rsidRDefault="00944B8F" w:rsidP="00EC53A7">
      <w:pPr>
        <w:rPr>
          <w:szCs w:val="20"/>
        </w:rPr>
      </w:pPr>
      <w:r w:rsidRPr="00BC0E7E">
        <w:rPr>
          <w:szCs w:val="20"/>
        </w:rPr>
        <w:t xml:space="preserve">Following 52 weeks and 104 weeks of treatment, the percentage of patients without progression (change from baseline in modified Total Sharp Score </w:t>
      </w:r>
      <w:r w:rsidRPr="00BC0E7E">
        <w:rPr>
          <w:rFonts w:ascii="Symbol" w:eastAsia="Symbol" w:hAnsi="Symbol" w:cs="Symbol"/>
          <w:szCs w:val="22"/>
        </w:rPr>
        <w:sym w:font="Symbol" w:char="F0A3"/>
      </w:r>
      <w:r w:rsidRPr="00BC0E7E">
        <w:rPr>
          <w:szCs w:val="20"/>
        </w:rPr>
        <w:t> 0.5) was significantly higher with Humira/methotrexate combination therapy (63.8% and 61.2% respectively) compared to methotrexate monotherapy (37.4% and 33.5% respectively, p &lt; 0.001) and Humira monotherapy (50.7%, p &lt; 0.002 and 44.5%, p &lt; 0.001 respectively).</w:t>
      </w:r>
    </w:p>
    <w:p w14:paraId="0924F70D" w14:textId="77777777" w:rsidR="00EC53A7" w:rsidRPr="00BC0E7E" w:rsidRDefault="00EC53A7" w:rsidP="00EC53A7">
      <w:pPr>
        <w:rPr>
          <w:szCs w:val="20"/>
        </w:rPr>
      </w:pPr>
    </w:p>
    <w:p w14:paraId="6A266EAF" w14:textId="77777777" w:rsidR="00EC53A7" w:rsidRPr="00BC0E7E" w:rsidRDefault="00944B8F" w:rsidP="00EC53A7">
      <w:pPr>
        <w:rPr>
          <w:szCs w:val="20"/>
        </w:rPr>
      </w:pPr>
      <w:r w:rsidRPr="00BC0E7E">
        <w:rPr>
          <w:szCs w:val="22"/>
        </w:rPr>
        <w:t xml:space="preserve">In the open-label extension of RA study V, the mean change from baseline at Year 10 in the modified Total Sharp Score was 10.8, 9.2 and 3.9 in patients originally randomized to methotrexate monotherapy, Humira monotherapy and Humira/methotrexate combination therapy, respectively. </w:t>
      </w:r>
      <w:r w:rsidRPr="00BC0E7E">
        <w:rPr>
          <w:szCs w:val="20"/>
        </w:rPr>
        <w:t>The corresponding proportions of patients with no radiographic progression were 31.3%, 23.7% and 36.7% respectively.</w:t>
      </w:r>
    </w:p>
    <w:p w14:paraId="5F711BEB" w14:textId="77777777" w:rsidR="00EC53A7" w:rsidRPr="00BC0E7E" w:rsidRDefault="00EC53A7" w:rsidP="00EC53A7">
      <w:pPr>
        <w:rPr>
          <w:szCs w:val="20"/>
        </w:rPr>
      </w:pPr>
    </w:p>
    <w:p w14:paraId="1148F93D" w14:textId="77777777" w:rsidR="00EC53A7" w:rsidRPr="00BC0E7E" w:rsidRDefault="00944B8F" w:rsidP="00EC53A7">
      <w:pPr>
        <w:keepNext/>
        <w:rPr>
          <w:i/>
          <w:szCs w:val="20"/>
          <w:u w:val="single"/>
        </w:rPr>
      </w:pPr>
      <w:r w:rsidRPr="00BC0E7E">
        <w:rPr>
          <w:i/>
          <w:szCs w:val="20"/>
          <w:u w:val="single"/>
        </w:rPr>
        <w:t xml:space="preserve">Quality of life and physical function </w:t>
      </w:r>
    </w:p>
    <w:p w14:paraId="378E5E18" w14:textId="77777777" w:rsidR="00EC53A7" w:rsidRPr="00BC0E7E" w:rsidRDefault="00EC53A7" w:rsidP="00EC53A7">
      <w:pPr>
        <w:keepNext/>
        <w:rPr>
          <w:szCs w:val="20"/>
        </w:rPr>
      </w:pPr>
    </w:p>
    <w:p w14:paraId="6BBC9CC0" w14:textId="77777777" w:rsidR="00EC53A7" w:rsidRPr="00BC0E7E" w:rsidRDefault="00944B8F" w:rsidP="00EC53A7">
      <w:pPr>
        <w:keepNext/>
      </w:pPr>
      <w:r w:rsidRPr="00BC0E7E">
        <w:t>Health-related quality of life and physical function were assessed using the disability index of the Health Assessment Questionnaire (HAQ) in the four original adequate and well-controlled trials, which was a pre-specified primary endpoint at Week 52 in RA study III. All doses/schedules of Humira in all four studies showed statistically significantly greater improvement in the disability index of the HAQ from baseline to Month 6 compared to placebo and in RA study III the same was seen at Week 52. Results from the Short Form Health Survey (SF 36) for all doses/schedules of Humira in all four studies support these findings, with statistically significant physical component summary (PCS) scores, as well as statistically significant pain and vitality domain scores for the 40 mg every other week dose. A statistically significant decrease in fatigue as measured by functional assessment of chronic illness therapy (FACIT) scores was seen in all three studies in which it was assessed (RA studies I, III, IV).</w:t>
      </w:r>
    </w:p>
    <w:p w14:paraId="3DD67061" w14:textId="77777777" w:rsidR="00EC53A7" w:rsidRPr="00BC0E7E" w:rsidRDefault="00EC53A7" w:rsidP="00EC53A7">
      <w:pPr>
        <w:keepNext/>
        <w:keepLines/>
      </w:pPr>
    </w:p>
    <w:p w14:paraId="66A2122D" w14:textId="77777777" w:rsidR="00EC53A7" w:rsidRPr="00BC0E7E" w:rsidRDefault="00944B8F" w:rsidP="00EC53A7">
      <w:pPr>
        <w:keepNext/>
        <w:keepLines/>
      </w:pPr>
      <w:r w:rsidRPr="00BC0E7E">
        <w:t>In RA study III, most subjects who achieved improvement in physical function and continued treatment maintained improvement through Week 520 (120 months) of open-label treatment. Improvement in quality of life was measured up to Week 156 (36 months) and improvement was maintained through that time.</w:t>
      </w:r>
    </w:p>
    <w:p w14:paraId="72A0397D" w14:textId="77777777" w:rsidR="00EC53A7" w:rsidRPr="00BC0E7E" w:rsidRDefault="00EC53A7" w:rsidP="00EC53A7">
      <w:pPr>
        <w:keepNext/>
        <w:keepLines/>
      </w:pPr>
    </w:p>
    <w:p w14:paraId="07CA54E5" w14:textId="77777777" w:rsidR="00EC53A7" w:rsidRPr="00BC0E7E" w:rsidRDefault="00944B8F" w:rsidP="00EC53A7">
      <w:pPr>
        <w:keepNext/>
        <w:rPr>
          <w:szCs w:val="22"/>
        </w:rPr>
      </w:pPr>
      <w:r w:rsidRPr="00BC0E7E">
        <w:rPr>
          <w:szCs w:val="20"/>
        </w:rPr>
        <w:t xml:space="preserve">In RA study V, the improvement in the HAQ disability index and the physical component of the SF 36 showed greater improvement (p &lt; 0.001) for Humira/methotrexate combination therapy </w:t>
      </w:r>
      <w:r w:rsidRPr="00BC0E7E">
        <w:rPr>
          <w:i/>
          <w:iCs/>
          <w:szCs w:val="20"/>
        </w:rPr>
        <w:t>versus</w:t>
      </w:r>
      <w:r w:rsidRPr="00BC0E7E">
        <w:rPr>
          <w:szCs w:val="20"/>
        </w:rPr>
        <w:t xml:space="preserve"> methotrexate monotherapy and Humira monotherapy at Week 52, which was maintained through </w:t>
      </w:r>
      <w:r w:rsidRPr="00BC0E7E">
        <w:rPr>
          <w:szCs w:val="22"/>
        </w:rPr>
        <w:t xml:space="preserve">Week 104. </w:t>
      </w:r>
      <w:r w:rsidRPr="00BC0E7E">
        <w:rPr>
          <w:szCs w:val="20"/>
        </w:rPr>
        <w:t>Among the 250 subjects who completed the open-label extension study, improvements in physical function were maintained through 10 years of treatment.</w:t>
      </w:r>
    </w:p>
    <w:p w14:paraId="782778A1" w14:textId="77777777" w:rsidR="00EC53A7" w:rsidRPr="00BC0E7E" w:rsidRDefault="00EC53A7" w:rsidP="00EC53A7">
      <w:pPr>
        <w:rPr>
          <w:i/>
          <w:szCs w:val="20"/>
          <w:u w:val="single"/>
        </w:rPr>
      </w:pPr>
    </w:p>
    <w:p w14:paraId="1D4BB579" w14:textId="77777777" w:rsidR="00EC53A7" w:rsidRPr="00BC0E7E" w:rsidRDefault="00944B8F" w:rsidP="00EC53A7">
      <w:pPr>
        <w:rPr>
          <w:i/>
          <w:szCs w:val="20"/>
          <w:u w:val="single"/>
        </w:rPr>
      </w:pPr>
      <w:r w:rsidRPr="00BC0E7E">
        <w:rPr>
          <w:i/>
          <w:szCs w:val="20"/>
          <w:u w:val="single"/>
        </w:rPr>
        <w:t>Injection site pain</w:t>
      </w:r>
    </w:p>
    <w:p w14:paraId="7C7D9588" w14:textId="77777777" w:rsidR="00EC53A7" w:rsidRPr="00BC0E7E" w:rsidRDefault="00EC53A7" w:rsidP="00EC53A7">
      <w:pPr>
        <w:rPr>
          <w:szCs w:val="20"/>
        </w:rPr>
      </w:pPr>
    </w:p>
    <w:p w14:paraId="78DE738B" w14:textId="77777777" w:rsidR="00EC53A7" w:rsidRDefault="00944B8F" w:rsidP="00EC53A7">
      <w:pPr>
        <w:rPr>
          <w:szCs w:val="20"/>
        </w:rPr>
      </w:pPr>
      <w:r w:rsidRPr="00BC0E7E">
        <w:rPr>
          <w:szCs w:val="20"/>
        </w:rPr>
        <w:lastRenderedPageBreak/>
        <w:t>For the pooled crossover RA studies VI and VII, a statistically significant difference for injection site pain immediately after dosing was observed between Humira 40 mg/0.8 ml and Humira 40 mg/0.4 ml (mean VAS of 3.7 cm versus 1.2 cm, scale of 0-10 cm, P &lt; 0.001).  This represented an 84% median reduction in injection site pain.</w:t>
      </w:r>
    </w:p>
    <w:p w14:paraId="0903A67E" w14:textId="77777777" w:rsidR="00EC53A7" w:rsidRDefault="00EC53A7" w:rsidP="00EC53A7">
      <w:pPr>
        <w:rPr>
          <w:i/>
        </w:rPr>
      </w:pPr>
    </w:p>
    <w:p w14:paraId="6C16E126" w14:textId="77777777" w:rsidR="00BC0E7E" w:rsidRPr="00BC0E7E" w:rsidRDefault="00944B8F" w:rsidP="00BC0E7E">
      <w:pPr>
        <w:rPr>
          <w:i/>
        </w:rPr>
      </w:pPr>
      <w:r w:rsidRPr="00BC0E7E">
        <w:rPr>
          <w:i/>
        </w:rPr>
        <w:t xml:space="preserve">Psoriasis </w:t>
      </w:r>
    </w:p>
    <w:p w14:paraId="44C8638B" w14:textId="77777777" w:rsidR="00BC0E7E" w:rsidRPr="00BC0E7E" w:rsidRDefault="00BC0E7E" w:rsidP="00BC0E7E">
      <w:pPr>
        <w:rPr>
          <w:u w:val="single"/>
        </w:rPr>
      </w:pPr>
    </w:p>
    <w:p w14:paraId="569FA556" w14:textId="77777777" w:rsidR="00BC0E7E" w:rsidRPr="00BC0E7E" w:rsidRDefault="00944B8F" w:rsidP="00BC0E7E">
      <w:pPr>
        <w:rPr>
          <w:szCs w:val="22"/>
        </w:rPr>
      </w:pPr>
      <w:r w:rsidRPr="00BC0E7E">
        <w:t>The safety and efficacy of Humira were studied in adult patients with chronic plaque psoriasis (</w:t>
      </w:r>
      <w:r w:rsidRPr="00BC0E7E">
        <w:rPr>
          <w:rFonts w:ascii="Symbol" w:eastAsia="Symbol" w:hAnsi="Symbol" w:cs="Symbol"/>
          <w:szCs w:val="22"/>
        </w:rPr>
        <w:sym w:font="Symbol" w:char="F0B3"/>
      </w:r>
      <w:r w:rsidRPr="00BC0E7E">
        <w:t xml:space="preserve"> 10% BSA involvement and Psoriasis Area and Severity Index (PASI) </w:t>
      </w:r>
      <w:r w:rsidRPr="00BC0E7E">
        <w:rPr>
          <w:rFonts w:ascii="Symbol" w:eastAsia="Symbol" w:hAnsi="Symbol" w:cs="Symbol"/>
          <w:szCs w:val="22"/>
        </w:rPr>
        <w:sym w:font="Symbol" w:char="F0B3"/>
      </w:r>
      <w:r w:rsidRPr="00BC0E7E">
        <w:t xml:space="preserve"> 12 or </w:t>
      </w:r>
      <w:r w:rsidRPr="00BC0E7E">
        <w:rPr>
          <w:rFonts w:ascii="Symbol" w:eastAsia="Symbol" w:hAnsi="Symbol" w:cs="Symbol"/>
          <w:szCs w:val="22"/>
        </w:rPr>
        <w:sym w:font="Symbol" w:char="F0B3"/>
      </w:r>
      <w:r w:rsidRPr="00BC0E7E">
        <w:t xml:space="preserve"> 10) who were candidates for systemic therapy or phototherapy in randomised, double-blind studies. 73% of patients enrolled in Psoriasis Studies I and II had received prior systemic therapy or phototherapy.  The safety and efficacy of Humira were also studied in adult patients with moderate to severe </w:t>
      </w:r>
      <w:r w:rsidRPr="00BC0E7E">
        <w:rPr>
          <w:szCs w:val="22"/>
        </w:rPr>
        <w:t xml:space="preserve">chronic plaque psoriasis with concomitant hand and/or foot psoriasis who were candidates for systemic therapy in a randomised double-blind study (Psoriasis Study III).  </w:t>
      </w:r>
    </w:p>
    <w:p w14:paraId="4596A5EA" w14:textId="77777777" w:rsidR="00BC0E7E" w:rsidRPr="00BC0E7E" w:rsidRDefault="00BC0E7E" w:rsidP="00BC0E7E">
      <w:pPr>
        <w:rPr>
          <w:sz w:val="20"/>
          <w:szCs w:val="20"/>
        </w:rPr>
      </w:pPr>
    </w:p>
    <w:p w14:paraId="3F67DB66" w14:textId="77777777" w:rsidR="00BC0E7E" w:rsidRPr="00BC0E7E" w:rsidRDefault="00944B8F" w:rsidP="00BC0E7E">
      <w:r w:rsidRPr="00BC0E7E">
        <w:t xml:space="preserve">Psoriasis Study I (REVEAL) evaluated 1,212 patients within three treatment periods.  In period A, patients received placebo or Humira at an initial dose of 80 mg followed by 40 mg every other week starting one week after the initial dose. After 16 weeks of therapy, patients who achieved at least a PASI 75 response (PASI score improvement of at least 75% relative to baseline), entered period B and received open-label 40 mg Humira every other week. Patients who maintained </w:t>
      </w:r>
      <w:r w:rsidRPr="00BC0E7E">
        <w:rPr>
          <w:rFonts w:ascii="Symbol" w:eastAsia="Symbol" w:hAnsi="Symbol" w:cs="Symbol"/>
          <w:szCs w:val="22"/>
        </w:rPr>
        <w:sym w:font="Symbol" w:char="F0B3"/>
      </w:r>
      <w:r w:rsidRPr="00BC0E7E">
        <w:t>PASI 75 response at Week 33 and were originally randomised to active therapy in Period A, were re-randomised in period C to receive 40 mg Humira every other week or placebo for an additional 19 weeks. Across all treatment groups, the mean baseline PASI score was 18.9 and the baseline Physician’s Global Assessment (PGA) score ranged from “moderate” (53% of subjects included) to “severe” (41%) to “very severe” (6%).</w:t>
      </w:r>
    </w:p>
    <w:p w14:paraId="0E58A648" w14:textId="77777777" w:rsidR="00BC0E7E" w:rsidRPr="00BC0E7E" w:rsidRDefault="00BC0E7E" w:rsidP="00BC0E7E"/>
    <w:p w14:paraId="79EFE3E8" w14:textId="77777777" w:rsidR="00BC0E7E" w:rsidRPr="00BC0E7E" w:rsidRDefault="00944B8F" w:rsidP="00BC0E7E">
      <w:pPr>
        <w:autoSpaceDE w:val="0"/>
        <w:autoSpaceDN w:val="0"/>
        <w:adjustRightInd w:val="0"/>
      </w:pPr>
      <w:r w:rsidRPr="00BC0E7E">
        <w:rPr>
          <w:szCs w:val="22"/>
        </w:rPr>
        <w:t xml:space="preserve">Psoriasis Study II (CHAMPION) compared the efficacy and safety of Humira </w:t>
      </w:r>
      <w:r w:rsidRPr="00BC0E7E">
        <w:rPr>
          <w:i/>
          <w:iCs/>
          <w:szCs w:val="22"/>
        </w:rPr>
        <w:t>versus</w:t>
      </w:r>
      <w:r w:rsidRPr="00BC0E7E">
        <w:rPr>
          <w:szCs w:val="22"/>
        </w:rPr>
        <w:t xml:space="preserve"> methotrexate and placebo in 271 patients. </w:t>
      </w:r>
      <w:r w:rsidRPr="00BC0E7E">
        <w:t xml:space="preserve">Patients received placebo, an initial dose of MTX 7.5 mg and thereafter dose increases up to Week 12, with a maximum dose of 25 mg or an initial dose of 80 mg Humira followed by 40 mg every other week (starting one week after the initial dose) for 16 weeks. There are no data available comparing Humira and MTX beyond 16 weeks of therapy. Patients receiving MTX who achieved a </w:t>
      </w:r>
      <w:r w:rsidRPr="00BC0E7E">
        <w:rPr>
          <w:rFonts w:ascii="Symbol" w:eastAsia="Symbol" w:hAnsi="Symbol" w:cs="Symbol"/>
          <w:szCs w:val="22"/>
        </w:rPr>
        <w:sym w:font="Symbol" w:char="F0B3"/>
      </w:r>
      <w:r w:rsidRPr="00BC0E7E">
        <w:t xml:space="preserve">PASI 50 response at Week 8 and/or 12 did not receive further dose increases. Across all treatment groups, the mean baseline </w:t>
      </w:r>
      <w:r w:rsidRPr="00BC0E7E">
        <w:rPr>
          <w:caps/>
        </w:rPr>
        <w:t>Pasi</w:t>
      </w:r>
      <w:r w:rsidRPr="00BC0E7E">
        <w:t xml:space="preserve"> score was 19.7 and the baseline PGA score ranged from “mild” (&lt;1%) to “moderate” (48%) to “severe” (46%) to “very severe” (6%).</w:t>
      </w:r>
    </w:p>
    <w:p w14:paraId="03072DA0" w14:textId="77777777" w:rsidR="00BC0E7E" w:rsidRPr="00BC0E7E" w:rsidRDefault="00BC0E7E" w:rsidP="00BC0E7E">
      <w:pPr>
        <w:autoSpaceDE w:val="0"/>
        <w:autoSpaceDN w:val="0"/>
        <w:adjustRightInd w:val="0"/>
      </w:pPr>
    </w:p>
    <w:p w14:paraId="456E0DCB" w14:textId="77777777" w:rsidR="00BC0E7E" w:rsidRPr="00BC0E7E" w:rsidRDefault="00944B8F" w:rsidP="00BC0E7E">
      <w:pPr>
        <w:autoSpaceDE w:val="0"/>
        <w:autoSpaceDN w:val="0"/>
        <w:adjustRightInd w:val="0"/>
      </w:pPr>
      <w:r w:rsidRPr="00BC0E7E">
        <w:t>Patients participating in all Phase 2 and Phase 3 psoriasis studies were eligible to enrol into an open-label extension trial, where Humira was given for at least an additional 108 weeks.</w:t>
      </w:r>
    </w:p>
    <w:p w14:paraId="2A140735" w14:textId="77777777" w:rsidR="00BC0E7E" w:rsidRPr="00BC0E7E" w:rsidRDefault="00BC0E7E" w:rsidP="00BC0E7E">
      <w:pPr>
        <w:autoSpaceDE w:val="0"/>
        <w:autoSpaceDN w:val="0"/>
        <w:adjustRightInd w:val="0"/>
      </w:pPr>
    </w:p>
    <w:p w14:paraId="5D653A4B" w14:textId="77777777" w:rsidR="00BC0E7E" w:rsidRPr="00BC0E7E" w:rsidRDefault="00944B8F" w:rsidP="00BC0E7E">
      <w:pPr>
        <w:autoSpaceDE w:val="0"/>
        <w:autoSpaceDN w:val="0"/>
        <w:adjustRightInd w:val="0"/>
      </w:pPr>
      <w:r w:rsidRPr="00BC0E7E">
        <w:rPr>
          <w:iCs/>
        </w:rPr>
        <w:t xml:space="preserve">In Psoriasis Studies I and II, a primary endpoint was the proportion of patients who achieved a PASI 75 response from baseline at Week 16 </w:t>
      </w:r>
      <w:r w:rsidRPr="00BC0E7E">
        <w:rPr>
          <w:szCs w:val="22"/>
        </w:rPr>
        <w:t xml:space="preserve">(see Tables </w:t>
      </w:r>
      <w:r w:rsidR="005F03EC">
        <w:rPr>
          <w:szCs w:val="22"/>
        </w:rPr>
        <w:t>9</w:t>
      </w:r>
      <w:r w:rsidR="00EC44BE" w:rsidRPr="00BC0E7E">
        <w:rPr>
          <w:szCs w:val="22"/>
        </w:rPr>
        <w:t xml:space="preserve"> </w:t>
      </w:r>
      <w:r w:rsidRPr="00BC0E7E">
        <w:rPr>
          <w:szCs w:val="22"/>
        </w:rPr>
        <w:t xml:space="preserve">and </w:t>
      </w:r>
      <w:r w:rsidR="005F03EC">
        <w:rPr>
          <w:szCs w:val="22"/>
        </w:rPr>
        <w:t>10</w:t>
      </w:r>
      <w:r w:rsidRPr="00BC0E7E">
        <w:rPr>
          <w:szCs w:val="22"/>
        </w:rPr>
        <w:t>).</w:t>
      </w:r>
    </w:p>
    <w:p w14:paraId="0F7A3860" w14:textId="77777777" w:rsidR="00BC0E7E" w:rsidRPr="00BC0E7E" w:rsidRDefault="00BC0E7E" w:rsidP="00BC0E7E">
      <w:pPr>
        <w:keepNext/>
        <w:tabs>
          <w:tab w:val="clear" w:pos="562"/>
        </w:tabs>
        <w:suppressAutoHyphens w:val="0"/>
        <w:overflowPunct w:val="0"/>
        <w:autoSpaceDE w:val="0"/>
        <w:autoSpaceDN w:val="0"/>
        <w:adjustRightInd w:val="0"/>
        <w:textAlignment w:val="baseline"/>
        <w:rPr>
          <w:bCs/>
          <w:iCs/>
          <w:szCs w:val="20"/>
        </w:rPr>
      </w:pPr>
    </w:p>
    <w:tbl>
      <w:tblPr>
        <w:tblW w:w="6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620"/>
        <w:gridCol w:w="2352"/>
      </w:tblGrid>
      <w:tr w:rsidR="00C6578C" w14:paraId="199B2266" w14:textId="77777777" w:rsidTr="00171601">
        <w:trPr>
          <w:cantSplit/>
          <w:jc w:val="center"/>
        </w:trPr>
        <w:tc>
          <w:tcPr>
            <w:tcW w:w="6949" w:type="dxa"/>
            <w:gridSpan w:val="3"/>
            <w:tcBorders>
              <w:top w:val="nil"/>
              <w:left w:val="nil"/>
              <w:right w:val="nil"/>
            </w:tcBorders>
          </w:tcPr>
          <w:p w14:paraId="5ED16848"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
                <w:iCs/>
                <w:szCs w:val="20"/>
              </w:rPr>
            </w:pPr>
            <w:r w:rsidRPr="00BC0E7E">
              <w:rPr>
                <w:b/>
                <w:iCs/>
                <w:szCs w:val="20"/>
              </w:rPr>
              <w:t xml:space="preserve">Table </w:t>
            </w:r>
            <w:r w:rsidR="005F03EC">
              <w:rPr>
                <w:b/>
                <w:iCs/>
                <w:szCs w:val="20"/>
              </w:rPr>
              <w:t>9</w:t>
            </w:r>
          </w:p>
          <w:p w14:paraId="229A6ED8"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
                <w:iCs/>
                <w:szCs w:val="20"/>
              </w:rPr>
            </w:pPr>
            <w:r w:rsidRPr="00BC0E7E">
              <w:rPr>
                <w:b/>
                <w:iCs/>
                <w:szCs w:val="20"/>
              </w:rPr>
              <w:t>Ps Study I (REVEAL)  - Efficacy Results at 16 Weeks</w:t>
            </w:r>
          </w:p>
        </w:tc>
      </w:tr>
      <w:tr w:rsidR="00C6578C" w:rsidRPr="00173B45" w14:paraId="11465812" w14:textId="77777777" w:rsidTr="00171601">
        <w:trPr>
          <w:cantSplit/>
          <w:jc w:val="center"/>
        </w:trPr>
        <w:tc>
          <w:tcPr>
            <w:tcW w:w="2977" w:type="dxa"/>
            <w:vAlign w:val="center"/>
          </w:tcPr>
          <w:p w14:paraId="6F8352EE" w14:textId="77777777" w:rsidR="00BC0E7E" w:rsidRPr="00BC0E7E" w:rsidRDefault="00BC0E7E" w:rsidP="00BC0E7E">
            <w:pPr>
              <w:keepNext/>
              <w:tabs>
                <w:tab w:val="clear" w:pos="562"/>
              </w:tabs>
              <w:suppressAutoHyphens w:val="0"/>
              <w:overflowPunct w:val="0"/>
              <w:autoSpaceDE w:val="0"/>
              <w:autoSpaceDN w:val="0"/>
              <w:adjustRightInd w:val="0"/>
              <w:textAlignment w:val="baseline"/>
              <w:rPr>
                <w:b/>
                <w:iCs/>
                <w:szCs w:val="20"/>
              </w:rPr>
            </w:pPr>
          </w:p>
        </w:tc>
        <w:tc>
          <w:tcPr>
            <w:tcW w:w="1620" w:type="dxa"/>
            <w:vAlign w:val="center"/>
          </w:tcPr>
          <w:p w14:paraId="1C11774A"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
                <w:iCs/>
                <w:szCs w:val="20"/>
                <w:lang w:val="fr-FR"/>
              </w:rPr>
            </w:pPr>
            <w:r w:rsidRPr="00BC0E7E">
              <w:rPr>
                <w:b/>
                <w:iCs/>
                <w:szCs w:val="20"/>
                <w:lang w:val="fr-FR"/>
              </w:rPr>
              <w:t>Placebo</w:t>
            </w:r>
          </w:p>
          <w:p w14:paraId="651A0B0D"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
                <w:iCs/>
                <w:szCs w:val="20"/>
                <w:lang w:val="fr-FR"/>
              </w:rPr>
            </w:pPr>
            <w:r w:rsidRPr="00BC0E7E">
              <w:rPr>
                <w:b/>
                <w:iCs/>
                <w:szCs w:val="20"/>
                <w:lang w:val="fr-FR"/>
              </w:rPr>
              <w:t>N=398</w:t>
            </w:r>
          </w:p>
          <w:p w14:paraId="3326E244"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
                <w:iCs/>
                <w:szCs w:val="20"/>
                <w:lang w:val="fr-FR"/>
              </w:rPr>
            </w:pPr>
            <w:r w:rsidRPr="00BC0E7E">
              <w:rPr>
                <w:b/>
                <w:iCs/>
                <w:szCs w:val="20"/>
                <w:lang w:val="fr-FR"/>
              </w:rPr>
              <w:t>n (%)</w:t>
            </w:r>
          </w:p>
        </w:tc>
        <w:tc>
          <w:tcPr>
            <w:tcW w:w="2352" w:type="dxa"/>
            <w:vAlign w:val="center"/>
          </w:tcPr>
          <w:p w14:paraId="75C31DCC"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
                <w:iCs/>
                <w:szCs w:val="20"/>
                <w:lang w:val="es-ES"/>
              </w:rPr>
            </w:pPr>
            <w:r w:rsidRPr="00BC0E7E">
              <w:rPr>
                <w:b/>
                <w:iCs/>
                <w:szCs w:val="20"/>
                <w:lang w:val="es-ES"/>
              </w:rPr>
              <w:t>Humira 40 mg eow</w:t>
            </w:r>
          </w:p>
          <w:p w14:paraId="595B05CE"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
                <w:iCs/>
                <w:szCs w:val="20"/>
                <w:lang w:val="it-IT"/>
              </w:rPr>
            </w:pPr>
            <w:r w:rsidRPr="00BC0E7E">
              <w:rPr>
                <w:b/>
                <w:iCs/>
                <w:szCs w:val="20"/>
                <w:lang w:val="it-IT"/>
              </w:rPr>
              <w:t>N=814</w:t>
            </w:r>
          </w:p>
          <w:p w14:paraId="13FAA2DB"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
                <w:iCs/>
                <w:szCs w:val="20"/>
                <w:lang w:val="it-IT"/>
              </w:rPr>
            </w:pPr>
            <w:r w:rsidRPr="00BC0E7E">
              <w:rPr>
                <w:b/>
                <w:iCs/>
                <w:szCs w:val="20"/>
                <w:lang w:val="it-IT"/>
              </w:rPr>
              <w:t>n (%)</w:t>
            </w:r>
          </w:p>
        </w:tc>
      </w:tr>
      <w:tr w:rsidR="00C6578C" w14:paraId="603646BA" w14:textId="77777777" w:rsidTr="00171601">
        <w:trPr>
          <w:cantSplit/>
          <w:jc w:val="center"/>
        </w:trPr>
        <w:tc>
          <w:tcPr>
            <w:tcW w:w="2977" w:type="dxa"/>
          </w:tcPr>
          <w:p w14:paraId="52AD59F8" w14:textId="77777777" w:rsidR="00BC0E7E" w:rsidRPr="00BC0E7E" w:rsidRDefault="00944B8F" w:rsidP="00BC0E7E">
            <w:pPr>
              <w:keepNext/>
              <w:tabs>
                <w:tab w:val="clear" w:pos="562"/>
              </w:tabs>
              <w:suppressAutoHyphens w:val="0"/>
              <w:overflowPunct w:val="0"/>
              <w:autoSpaceDE w:val="0"/>
              <w:autoSpaceDN w:val="0"/>
              <w:adjustRightInd w:val="0"/>
              <w:textAlignment w:val="baseline"/>
              <w:rPr>
                <w:b/>
                <w:iCs/>
                <w:szCs w:val="20"/>
                <w:lang w:val="it-IT"/>
              </w:rPr>
            </w:pPr>
            <w:r w:rsidRPr="00BC0E7E">
              <w:rPr>
                <w:b/>
                <w:iCs/>
                <w:szCs w:val="20"/>
                <w:lang w:val="it-IT"/>
              </w:rPr>
              <w:t xml:space="preserve">    </w:t>
            </w:r>
            <w:r w:rsidRPr="00BC0E7E">
              <w:rPr>
                <w:rFonts w:ascii="Symbol" w:eastAsia="Symbol" w:hAnsi="Symbol" w:cs="Symbol"/>
                <w:b/>
                <w:szCs w:val="22"/>
              </w:rPr>
              <w:sym w:font="Symbol" w:char="F0B3"/>
            </w:r>
            <w:r w:rsidRPr="00BC0E7E">
              <w:rPr>
                <w:b/>
                <w:iCs/>
                <w:szCs w:val="22"/>
              </w:rPr>
              <w:t> </w:t>
            </w:r>
            <w:r w:rsidRPr="00BC0E7E">
              <w:rPr>
                <w:b/>
                <w:iCs/>
                <w:szCs w:val="20"/>
                <w:lang w:val="it-IT"/>
              </w:rPr>
              <w:t>PASI 75</w:t>
            </w:r>
            <w:r w:rsidRPr="00BC0E7E">
              <w:rPr>
                <w:b/>
                <w:iCs/>
                <w:szCs w:val="20"/>
                <w:vertAlign w:val="superscript"/>
                <w:lang w:val="it-IT"/>
              </w:rPr>
              <w:t>a</w:t>
            </w:r>
          </w:p>
        </w:tc>
        <w:tc>
          <w:tcPr>
            <w:tcW w:w="1620" w:type="dxa"/>
          </w:tcPr>
          <w:p w14:paraId="5F61581B"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Cs/>
                <w:iCs/>
                <w:szCs w:val="20"/>
                <w:lang w:val="it-IT"/>
              </w:rPr>
            </w:pPr>
            <w:r w:rsidRPr="00BC0E7E">
              <w:rPr>
                <w:bCs/>
                <w:iCs/>
                <w:szCs w:val="20"/>
                <w:lang w:val="it-IT"/>
              </w:rPr>
              <w:t>26 (6.5)</w:t>
            </w:r>
          </w:p>
        </w:tc>
        <w:tc>
          <w:tcPr>
            <w:tcW w:w="2352" w:type="dxa"/>
          </w:tcPr>
          <w:p w14:paraId="347DFBEB"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Cs/>
                <w:iCs/>
                <w:szCs w:val="20"/>
                <w:lang w:val="it-IT"/>
              </w:rPr>
            </w:pPr>
            <w:r w:rsidRPr="00BC0E7E">
              <w:rPr>
                <w:bCs/>
                <w:iCs/>
                <w:szCs w:val="20"/>
                <w:lang w:val="it-IT"/>
              </w:rPr>
              <w:t>578 (70.9)</w:t>
            </w:r>
            <w:r w:rsidRPr="00BC0E7E">
              <w:rPr>
                <w:bCs/>
                <w:iCs/>
                <w:szCs w:val="20"/>
                <w:vertAlign w:val="superscript"/>
                <w:lang w:val="it-IT"/>
              </w:rPr>
              <w:t>b</w:t>
            </w:r>
          </w:p>
        </w:tc>
      </w:tr>
      <w:tr w:rsidR="00C6578C" w14:paraId="72DDA5E2" w14:textId="77777777" w:rsidTr="00171601">
        <w:trPr>
          <w:cantSplit/>
          <w:trHeight w:val="70"/>
          <w:jc w:val="center"/>
        </w:trPr>
        <w:tc>
          <w:tcPr>
            <w:tcW w:w="2977" w:type="dxa"/>
          </w:tcPr>
          <w:p w14:paraId="1D443E0A" w14:textId="77777777" w:rsidR="00BC0E7E" w:rsidRPr="00BC0E7E" w:rsidRDefault="00944B8F" w:rsidP="00BC0E7E">
            <w:pPr>
              <w:keepNext/>
              <w:tabs>
                <w:tab w:val="clear" w:pos="562"/>
              </w:tabs>
              <w:suppressAutoHyphens w:val="0"/>
              <w:overflowPunct w:val="0"/>
              <w:autoSpaceDE w:val="0"/>
              <w:autoSpaceDN w:val="0"/>
              <w:adjustRightInd w:val="0"/>
              <w:textAlignment w:val="baseline"/>
              <w:rPr>
                <w:b/>
                <w:iCs/>
                <w:szCs w:val="20"/>
                <w:lang w:val="it-IT"/>
              </w:rPr>
            </w:pPr>
            <w:r w:rsidRPr="00BC0E7E">
              <w:rPr>
                <w:b/>
                <w:iCs/>
                <w:szCs w:val="20"/>
                <w:lang w:val="it-IT"/>
              </w:rPr>
              <w:t xml:space="preserve">    PASI 100</w:t>
            </w:r>
          </w:p>
        </w:tc>
        <w:tc>
          <w:tcPr>
            <w:tcW w:w="1620" w:type="dxa"/>
          </w:tcPr>
          <w:p w14:paraId="5E0CD1C2"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Cs/>
                <w:iCs/>
                <w:szCs w:val="20"/>
                <w:lang w:val="it-IT"/>
              </w:rPr>
            </w:pPr>
            <w:r w:rsidRPr="00BC0E7E">
              <w:rPr>
                <w:bCs/>
                <w:iCs/>
                <w:szCs w:val="20"/>
                <w:lang w:val="it-IT"/>
              </w:rPr>
              <w:t>3 (0.8)</w:t>
            </w:r>
          </w:p>
        </w:tc>
        <w:tc>
          <w:tcPr>
            <w:tcW w:w="2352" w:type="dxa"/>
          </w:tcPr>
          <w:p w14:paraId="2CD7EE4C"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Cs/>
                <w:iCs/>
                <w:szCs w:val="20"/>
                <w:lang w:val="it-IT"/>
              </w:rPr>
            </w:pPr>
            <w:r w:rsidRPr="00BC0E7E">
              <w:rPr>
                <w:bCs/>
                <w:iCs/>
                <w:szCs w:val="20"/>
                <w:lang w:val="it-IT"/>
              </w:rPr>
              <w:t>163 (20.0)</w:t>
            </w:r>
            <w:r w:rsidRPr="00BC0E7E">
              <w:rPr>
                <w:bCs/>
                <w:iCs/>
                <w:szCs w:val="20"/>
                <w:vertAlign w:val="superscript"/>
                <w:lang w:val="it-IT"/>
              </w:rPr>
              <w:t>b</w:t>
            </w:r>
          </w:p>
        </w:tc>
      </w:tr>
      <w:tr w:rsidR="00C6578C" w14:paraId="48F538B0" w14:textId="77777777" w:rsidTr="00171601">
        <w:trPr>
          <w:cantSplit/>
          <w:jc w:val="center"/>
        </w:trPr>
        <w:tc>
          <w:tcPr>
            <w:tcW w:w="2977" w:type="dxa"/>
          </w:tcPr>
          <w:p w14:paraId="3C31CBDC" w14:textId="77777777" w:rsidR="00BC0E7E" w:rsidRPr="00BC0E7E" w:rsidRDefault="00944B8F" w:rsidP="00BC0E7E">
            <w:pPr>
              <w:keepNext/>
              <w:tabs>
                <w:tab w:val="clear" w:pos="562"/>
              </w:tabs>
              <w:suppressAutoHyphens w:val="0"/>
              <w:overflowPunct w:val="0"/>
              <w:autoSpaceDE w:val="0"/>
              <w:autoSpaceDN w:val="0"/>
              <w:adjustRightInd w:val="0"/>
              <w:textAlignment w:val="baseline"/>
              <w:rPr>
                <w:b/>
                <w:iCs/>
                <w:szCs w:val="20"/>
              </w:rPr>
            </w:pPr>
            <w:r w:rsidRPr="00BC0E7E">
              <w:rPr>
                <w:b/>
                <w:iCs/>
                <w:szCs w:val="20"/>
                <w:lang w:val="it-IT"/>
              </w:rPr>
              <w:t xml:space="preserve">    </w:t>
            </w:r>
            <w:r w:rsidRPr="00BC0E7E">
              <w:rPr>
                <w:b/>
                <w:iCs/>
                <w:szCs w:val="20"/>
              </w:rPr>
              <w:t>PGA: Clear/minimal</w:t>
            </w:r>
          </w:p>
        </w:tc>
        <w:tc>
          <w:tcPr>
            <w:tcW w:w="1620" w:type="dxa"/>
          </w:tcPr>
          <w:p w14:paraId="5D667B08"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Cs/>
                <w:iCs/>
                <w:szCs w:val="20"/>
              </w:rPr>
            </w:pPr>
            <w:r w:rsidRPr="00BC0E7E">
              <w:rPr>
                <w:bCs/>
                <w:iCs/>
                <w:szCs w:val="20"/>
              </w:rPr>
              <w:t>17 (4.3)</w:t>
            </w:r>
          </w:p>
        </w:tc>
        <w:tc>
          <w:tcPr>
            <w:tcW w:w="2352" w:type="dxa"/>
          </w:tcPr>
          <w:p w14:paraId="3F8AC004" w14:textId="77777777" w:rsidR="00BC0E7E" w:rsidRPr="00BC0E7E" w:rsidRDefault="00944B8F" w:rsidP="00BC0E7E">
            <w:pPr>
              <w:keepNext/>
              <w:tabs>
                <w:tab w:val="clear" w:pos="562"/>
              </w:tabs>
              <w:suppressAutoHyphens w:val="0"/>
              <w:overflowPunct w:val="0"/>
              <w:autoSpaceDE w:val="0"/>
              <w:autoSpaceDN w:val="0"/>
              <w:adjustRightInd w:val="0"/>
              <w:jc w:val="center"/>
              <w:textAlignment w:val="baseline"/>
              <w:rPr>
                <w:bCs/>
                <w:iCs/>
                <w:szCs w:val="20"/>
              </w:rPr>
            </w:pPr>
            <w:r w:rsidRPr="00BC0E7E">
              <w:rPr>
                <w:bCs/>
                <w:iCs/>
                <w:szCs w:val="20"/>
              </w:rPr>
              <w:t>506 (62.2)</w:t>
            </w:r>
            <w:r w:rsidRPr="00BC0E7E">
              <w:rPr>
                <w:bCs/>
                <w:iCs/>
                <w:szCs w:val="20"/>
                <w:vertAlign w:val="superscript"/>
              </w:rPr>
              <w:t>b</w:t>
            </w:r>
          </w:p>
        </w:tc>
      </w:tr>
      <w:tr w:rsidR="00C6578C" w14:paraId="0B5162AC" w14:textId="77777777" w:rsidTr="00171601">
        <w:trPr>
          <w:cantSplit/>
          <w:jc w:val="center"/>
        </w:trPr>
        <w:tc>
          <w:tcPr>
            <w:tcW w:w="6949" w:type="dxa"/>
            <w:gridSpan w:val="3"/>
          </w:tcPr>
          <w:p w14:paraId="028C8C9C" w14:textId="77777777" w:rsidR="00BC0E7E" w:rsidRPr="00BC0E7E" w:rsidRDefault="00944B8F" w:rsidP="00BC0E7E">
            <w:pPr>
              <w:keepNext/>
              <w:tabs>
                <w:tab w:val="clear" w:pos="562"/>
              </w:tabs>
              <w:suppressAutoHyphens w:val="0"/>
              <w:overflowPunct w:val="0"/>
              <w:autoSpaceDE w:val="0"/>
              <w:autoSpaceDN w:val="0"/>
              <w:adjustRightInd w:val="0"/>
              <w:textAlignment w:val="baseline"/>
              <w:rPr>
                <w:bCs/>
                <w:iCs/>
                <w:szCs w:val="20"/>
              </w:rPr>
            </w:pPr>
            <w:r w:rsidRPr="00BC0E7E">
              <w:rPr>
                <w:bCs/>
                <w:iCs/>
                <w:szCs w:val="20"/>
                <w:vertAlign w:val="superscript"/>
              </w:rPr>
              <w:t>a</w:t>
            </w:r>
            <w:r w:rsidRPr="00BC0E7E">
              <w:rPr>
                <w:bCs/>
                <w:iCs/>
                <w:szCs w:val="20"/>
              </w:rPr>
              <w:t xml:space="preserve"> Percent of patients achieving PASI75 response was calculated as centre-adjusted rate</w:t>
            </w:r>
          </w:p>
          <w:p w14:paraId="64FAF9E3" w14:textId="77777777" w:rsidR="00BC0E7E" w:rsidRPr="00BC0E7E" w:rsidRDefault="00944B8F" w:rsidP="00BC0E7E">
            <w:pPr>
              <w:keepNext/>
              <w:tabs>
                <w:tab w:val="clear" w:pos="562"/>
              </w:tabs>
              <w:suppressAutoHyphens w:val="0"/>
              <w:overflowPunct w:val="0"/>
              <w:autoSpaceDE w:val="0"/>
              <w:autoSpaceDN w:val="0"/>
              <w:adjustRightInd w:val="0"/>
              <w:textAlignment w:val="baseline"/>
              <w:rPr>
                <w:bCs/>
                <w:iCs/>
                <w:szCs w:val="20"/>
                <w:lang w:val="fr-FR"/>
              </w:rPr>
            </w:pPr>
            <w:r w:rsidRPr="00BC0E7E">
              <w:rPr>
                <w:bCs/>
                <w:iCs/>
                <w:szCs w:val="20"/>
                <w:vertAlign w:val="superscript"/>
                <w:lang w:val="fr-FR"/>
              </w:rPr>
              <w:t>b</w:t>
            </w:r>
            <w:r w:rsidRPr="00BC0E7E">
              <w:rPr>
                <w:bCs/>
                <w:iCs/>
                <w:szCs w:val="20"/>
                <w:lang w:val="fr-FR"/>
              </w:rPr>
              <w:t xml:space="preserve"> p &lt; 0.001, Humira vs. </w:t>
            </w:r>
            <w:r w:rsidR="005F03EC" w:rsidRPr="00BC0E7E">
              <w:rPr>
                <w:bCs/>
                <w:iCs/>
                <w:szCs w:val="20"/>
                <w:lang w:val="fr-FR"/>
              </w:rPr>
              <w:t>P</w:t>
            </w:r>
            <w:r w:rsidRPr="00BC0E7E">
              <w:rPr>
                <w:bCs/>
                <w:iCs/>
                <w:szCs w:val="20"/>
                <w:lang w:val="fr-FR"/>
              </w:rPr>
              <w:t>lacebo</w:t>
            </w:r>
          </w:p>
        </w:tc>
      </w:tr>
    </w:tbl>
    <w:p w14:paraId="4C430580" w14:textId="77777777" w:rsidR="00BC0E7E" w:rsidRPr="002B6EEF" w:rsidRDefault="00BC0E7E" w:rsidP="00BC0E7E">
      <w:pPr>
        <w:jc w:val="both"/>
        <w:rPr>
          <w:szCs w:val="22"/>
          <w:lang w:val="fr-FR"/>
        </w:rPr>
      </w:pPr>
    </w:p>
    <w:tbl>
      <w:tblPr>
        <w:tblW w:w="7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9"/>
        <w:gridCol w:w="1668"/>
        <w:gridCol w:w="1347"/>
        <w:gridCol w:w="2392"/>
      </w:tblGrid>
      <w:tr w:rsidR="00C6578C" w14:paraId="6A9D3651" w14:textId="77777777" w:rsidTr="00171601">
        <w:trPr>
          <w:cantSplit/>
          <w:jc w:val="center"/>
        </w:trPr>
        <w:tc>
          <w:tcPr>
            <w:tcW w:w="7046" w:type="dxa"/>
            <w:gridSpan w:val="4"/>
            <w:tcBorders>
              <w:top w:val="nil"/>
              <w:left w:val="nil"/>
              <w:right w:val="nil"/>
            </w:tcBorders>
          </w:tcPr>
          <w:p w14:paraId="4236CF00" w14:textId="77777777" w:rsidR="00BC0E7E" w:rsidRPr="00BC0E7E" w:rsidRDefault="00944B8F" w:rsidP="00BC0E7E">
            <w:pPr>
              <w:tabs>
                <w:tab w:val="clear" w:pos="562"/>
              </w:tabs>
              <w:suppressAutoHyphens w:val="0"/>
              <w:overflowPunct w:val="0"/>
              <w:autoSpaceDE w:val="0"/>
              <w:autoSpaceDN w:val="0"/>
              <w:adjustRightInd w:val="0"/>
              <w:jc w:val="center"/>
              <w:textAlignment w:val="baseline"/>
              <w:rPr>
                <w:b/>
                <w:iCs/>
                <w:szCs w:val="20"/>
              </w:rPr>
            </w:pPr>
            <w:r w:rsidRPr="00BC0E7E">
              <w:rPr>
                <w:b/>
                <w:iCs/>
                <w:szCs w:val="20"/>
              </w:rPr>
              <w:lastRenderedPageBreak/>
              <w:t xml:space="preserve">Table </w:t>
            </w:r>
            <w:r w:rsidR="005F03EC">
              <w:rPr>
                <w:b/>
                <w:iCs/>
                <w:szCs w:val="20"/>
              </w:rPr>
              <w:t>10</w:t>
            </w:r>
          </w:p>
          <w:p w14:paraId="4BB00220" w14:textId="77777777" w:rsidR="00BC0E7E" w:rsidRPr="00BC0E7E" w:rsidRDefault="00944B8F" w:rsidP="00BC0E7E">
            <w:pPr>
              <w:tabs>
                <w:tab w:val="clear" w:pos="562"/>
              </w:tabs>
              <w:suppressAutoHyphens w:val="0"/>
              <w:overflowPunct w:val="0"/>
              <w:autoSpaceDE w:val="0"/>
              <w:autoSpaceDN w:val="0"/>
              <w:adjustRightInd w:val="0"/>
              <w:jc w:val="center"/>
              <w:textAlignment w:val="baseline"/>
              <w:rPr>
                <w:b/>
                <w:iCs/>
                <w:szCs w:val="20"/>
              </w:rPr>
            </w:pPr>
            <w:r w:rsidRPr="00BC0E7E">
              <w:rPr>
                <w:b/>
                <w:iCs/>
                <w:szCs w:val="20"/>
              </w:rPr>
              <w:t xml:space="preserve"> Ps Study II (CHAMPION) Efficacy Results at 16 Weeks</w:t>
            </w:r>
          </w:p>
          <w:p w14:paraId="3A4E5846" w14:textId="77777777" w:rsidR="00BC0E7E" w:rsidRPr="00BC0E7E" w:rsidRDefault="00BC0E7E" w:rsidP="00BC0E7E">
            <w:pPr>
              <w:tabs>
                <w:tab w:val="clear" w:pos="562"/>
              </w:tabs>
              <w:suppressAutoHyphens w:val="0"/>
              <w:overflowPunct w:val="0"/>
              <w:autoSpaceDE w:val="0"/>
              <w:autoSpaceDN w:val="0"/>
              <w:adjustRightInd w:val="0"/>
              <w:jc w:val="center"/>
              <w:textAlignment w:val="baseline"/>
              <w:rPr>
                <w:bCs/>
                <w:iCs/>
                <w:szCs w:val="20"/>
              </w:rPr>
            </w:pPr>
          </w:p>
        </w:tc>
      </w:tr>
      <w:tr w:rsidR="00C6578C" w:rsidRPr="00173B45" w14:paraId="133B209F" w14:textId="77777777" w:rsidTr="00171601">
        <w:trPr>
          <w:cantSplit/>
          <w:jc w:val="center"/>
        </w:trPr>
        <w:tc>
          <w:tcPr>
            <w:tcW w:w="1639" w:type="dxa"/>
          </w:tcPr>
          <w:p w14:paraId="2C39A6CE" w14:textId="77777777" w:rsidR="00BC0E7E" w:rsidRPr="00BC0E7E" w:rsidRDefault="00BC0E7E" w:rsidP="00BC0E7E">
            <w:pPr>
              <w:tabs>
                <w:tab w:val="clear" w:pos="562"/>
              </w:tabs>
              <w:suppressAutoHyphens w:val="0"/>
              <w:overflowPunct w:val="0"/>
              <w:autoSpaceDE w:val="0"/>
              <w:autoSpaceDN w:val="0"/>
              <w:adjustRightInd w:val="0"/>
              <w:jc w:val="center"/>
              <w:textAlignment w:val="baseline"/>
              <w:rPr>
                <w:b/>
                <w:iCs/>
                <w:szCs w:val="20"/>
              </w:rPr>
            </w:pPr>
          </w:p>
        </w:tc>
        <w:tc>
          <w:tcPr>
            <w:tcW w:w="1668" w:type="dxa"/>
            <w:vAlign w:val="center"/>
          </w:tcPr>
          <w:p w14:paraId="3AC0FD76" w14:textId="77777777" w:rsidR="00BC0E7E" w:rsidRPr="00BC0E7E" w:rsidRDefault="00944B8F" w:rsidP="00BC0E7E">
            <w:pPr>
              <w:tabs>
                <w:tab w:val="clear" w:pos="562"/>
              </w:tabs>
              <w:suppressAutoHyphens w:val="0"/>
              <w:overflowPunct w:val="0"/>
              <w:autoSpaceDE w:val="0"/>
              <w:autoSpaceDN w:val="0"/>
              <w:adjustRightInd w:val="0"/>
              <w:jc w:val="center"/>
              <w:textAlignment w:val="baseline"/>
              <w:rPr>
                <w:b/>
                <w:iCs/>
                <w:szCs w:val="20"/>
              </w:rPr>
            </w:pPr>
            <w:r w:rsidRPr="00BC0E7E">
              <w:rPr>
                <w:b/>
                <w:iCs/>
                <w:szCs w:val="20"/>
              </w:rPr>
              <w:t>Placebo</w:t>
            </w:r>
          </w:p>
          <w:p w14:paraId="18C85C6E" w14:textId="77777777" w:rsidR="00BC0E7E" w:rsidRPr="00BC0E7E" w:rsidRDefault="00944B8F" w:rsidP="00BC0E7E">
            <w:pPr>
              <w:tabs>
                <w:tab w:val="clear" w:pos="562"/>
              </w:tabs>
              <w:suppressAutoHyphens w:val="0"/>
              <w:overflowPunct w:val="0"/>
              <w:autoSpaceDE w:val="0"/>
              <w:autoSpaceDN w:val="0"/>
              <w:adjustRightInd w:val="0"/>
              <w:jc w:val="center"/>
              <w:textAlignment w:val="baseline"/>
              <w:rPr>
                <w:b/>
                <w:iCs/>
                <w:szCs w:val="20"/>
              </w:rPr>
            </w:pPr>
            <w:r w:rsidRPr="00BC0E7E">
              <w:rPr>
                <w:b/>
                <w:iCs/>
                <w:szCs w:val="20"/>
              </w:rPr>
              <w:t>N=53</w:t>
            </w:r>
          </w:p>
          <w:p w14:paraId="598EA327" w14:textId="77777777" w:rsidR="00BC0E7E" w:rsidRPr="00BC0E7E" w:rsidRDefault="00944B8F" w:rsidP="00BC0E7E">
            <w:pPr>
              <w:tabs>
                <w:tab w:val="clear" w:pos="562"/>
              </w:tabs>
              <w:suppressAutoHyphens w:val="0"/>
              <w:overflowPunct w:val="0"/>
              <w:autoSpaceDE w:val="0"/>
              <w:autoSpaceDN w:val="0"/>
              <w:adjustRightInd w:val="0"/>
              <w:jc w:val="center"/>
              <w:textAlignment w:val="baseline"/>
              <w:rPr>
                <w:b/>
                <w:iCs/>
                <w:szCs w:val="20"/>
              </w:rPr>
            </w:pPr>
            <w:r w:rsidRPr="00BC0E7E">
              <w:rPr>
                <w:b/>
                <w:iCs/>
                <w:szCs w:val="20"/>
              </w:rPr>
              <w:t>n (%)</w:t>
            </w:r>
          </w:p>
        </w:tc>
        <w:tc>
          <w:tcPr>
            <w:tcW w:w="1347" w:type="dxa"/>
            <w:vAlign w:val="center"/>
          </w:tcPr>
          <w:p w14:paraId="5015FC0A" w14:textId="77777777" w:rsidR="00BC0E7E" w:rsidRPr="00BC0E7E" w:rsidRDefault="00944B8F" w:rsidP="00BC0E7E">
            <w:pPr>
              <w:tabs>
                <w:tab w:val="clear" w:pos="562"/>
              </w:tabs>
              <w:suppressAutoHyphens w:val="0"/>
              <w:overflowPunct w:val="0"/>
              <w:autoSpaceDE w:val="0"/>
              <w:autoSpaceDN w:val="0"/>
              <w:adjustRightInd w:val="0"/>
              <w:jc w:val="center"/>
              <w:textAlignment w:val="baseline"/>
              <w:rPr>
                <w:b/>
                <w:iCs/>
                <w:szCs w:val="20"/>
              </w:rPr>
            </w:pPr>
            <w:r w:rsidRPr="00BC0E7E">
              <w:rPr>
                <w:b/>
                <w:iCs/>
                <w:szCs w:val="20"/>
              </w:rPr>
              <w:t>MTX</w:t>
            </w:r>
          </w:p>
          <w:p w14:paraId="7672E28C" w14:textId="77777777" w:rsidR="00BC0E7E" w:rsidRPr="00BC0E7E" w:rsidRDefault="00944B8F" w:rsidP="00BC0E7E">
            <w:pPr>
              <w:tabs>
                <w:tab w:val="clear" w:pos="562"/>
              </w:tabs>
              <w:suppressAutoHyphens w:val="0"/>
              <w:overflowPunct w:val="0"/>
              <w:autoSpaceDE w:val="0"/>
              <w:autoSpaceDN w:val="0"/>
              <w:adjustRightInd w:val="0"/>
              <w:jc w:val="center"/>
              <w:textAlignment w:val="baseline"/>
              <w:rPr>
                <w:b/>
                <w:iCs/>
                <w:szCs w:val="20"/>
              </w:rPr>
            </w:pPr>
            <w:r w:rsidRPr="00BC0E7E">
              <w:rPr>
                <w:b/>
                <w:iCs/>
                <w:szCs w:val="20"/>
              </w:rPr>
              <w:t>N=110</w:t>
            </w:r>
          </w:p>
          <w:p w14:paraId="306A09AD" w14:textId="77777777" w:rsidR="00BC0E7E" w:rsidRPr="00BC0E7E" w:rsidRDefault="00944B8F" w:rsidP="00BC0E7E">
            <w:pPr>
              <w:tabs>
                <w:tab w:val="clear" w:pos="562"/>
              </w:tabs>
              <w:suppressAutoHyphens w:val="0"/>
              <w:overflowPunct w:val="0"/>
              <w:autoSpaceDE w:val="0"/>
              <w:autoSpaceDN w:val="0"/>
              <w:adjustRightInd w:val="0"/>
              <w:jc w:val="center"/>
              <w:textAlignment w:val="baseline"/>
              <w:rPr>
                <w:b/>
                <w:iCs/>
                <w:szCs w:val="20"/>
              </w:rPr>
            </w:pPr>
            <w:r w:rsidRPr="00BC0E7E">
              <w:rPr>
                <w:b/>
                <w:iCs/>
                <w:szCs w:val="20"/>
              </w:rPr>
              <w:t>n (%)</w:t>
            </w:r>
          </w:p>
        </w:tc>
        <w:tc>
          <w:tcPr>
            <w:tcW w:w="2392" w:type="dxa"/>
            <w:vAlign w:val="center"/>
          </w:tcPr>
          <w:p w14:paraId="6F01EC37" w14:textId="77777777" w:rsidR="00BC0E7E" w:rsidRPr="00BC0E7E" w:rsidRDefault="00944B8F" w:rsidP="00BC0E7E">
            <w:pPr>
              <w:tabs>
                <w:tab w:val="clear" w:pos="562"/>
              </w:tabs>
              <w:suppressAutoHyphens w:val="0"/>
              <w:overflowPunct w:val="0"/>
              <w:autoSpaceDE w:val="0"/>
              <w:autoSpaceDN w:val="0"/>
              <w:adjustRightInd w:val="0"/>
              <w:jc w:val="center"/>
              <w:textAlignment w:val="baseline"/>
              <w:rPr>
                <w:b/>
                <w:iCs/>
                <w:szCs w:val="20"/>
                <w:lang w:val="it-IT"/>
              </w:rPr>
            </w:pPr>
            <w:r w:rsidRPr="00BC0E7E">
              <w:rPr>
                <w:b/>
                <w:iCs/>
                <w:szCs w:val="20"/>
                <w:lang w:val="it-IT"/>
              </w:rPr>
              <w:t>Humira 40 mg eow</w:t>
            </w:r>
          </w:p>
          <w:p w14:paraId="37CFE6ED" w14:textId="77777777" w:rsidR="00BC0E7E" w:rsidRPr="00BC0E7E" w:rsidRDefault="00944B8F" w:rsidP="00BC0E7E">
            <w:pPr>
              <w:tabs>
                <w:tab w:val="clear" w:pos="562"/>
              </w:tabs>
              <w:suppressAutoHyphens w:val="0"/>
              <w:overflowPunct w:val="0"/>
              <w:autoSpaceDE w:val="0"/>
              <w:autoSpaceDN w:val="0"/>
              <w:adjustRightInd w:val="0"/>
              <w:jc w:val="center"/>
              <w:textAlignment w:val="baseline"/>
              <w:rPr>
                <w:b/>
                <w:iCs/>
                <w:szCs w:val="20"/>
                <w:lang w:val="it-IT"/>
              </w:rPr>
            </w:pPr>
            <w:r w:rsidRPr="00BC0E7E">
              <w:rPr>
                <w:b/>
                <w:iCs/>
                <w:szCs w:val="20"/>
                <w:lang w:val="it-IT"/>
              </w:rPr>
              <w:t>N=108</w:t>
            </w:r>
          </w:p>
          <w:p w14:paraId="3DDAF022" w14:textId="77777777" w:rsidR="00BC0E7E" w:rsidRPr="00BC0E7E" w:rsidRDefault="00944B8F" w:rsidP="00BC0E7E">
            <w:pPr>
              <w:tabs>
                <w:tab w:val="clear" w:pos="562"/>
              </w:tabs>
              <w:suppressAutoHyphens w:val="0"/>
              <w:overflowPunct w:val="0"/>
              <w:autoSpaceDE w:val="0"/>
              <w:autoSpaceDN w:val="0"/>
              <w:adjustRightInd w:val="0"/>
              <w:jc w:val="center"/>
              <w:textAlignment w:val="baseline"/>
              <w:rPr>
                <w:b/>
                <w:iCs/>
                <w:szCs w:val="20"/>
                <w:lang w:val="it-IT"/>
              </w:rPr>
            </w:pPr>
            <w:r w:rsidRPr="00BC0E7E">
              <w:rPr>
                <w:b/>
                <w:iCs/>
                <w:szCs w:val="20"/>
                <w:lang w:val="it-IT"/>
              </w:rPr>
              <w:t>n (%)</w:t>
            </w:r>
          </w:p>
        </w:tc>
      </w:tr>
      <w:tr w:rsidR="00C6578C" w14:paraId="56213256" w14:textId="77777777" w:rsidTr="00171601">
        <w:trPr>
          <w:cantSplit/>
          <w:jc w:val="center"/>
        </w:trPr>
        <w:tc>
          <w:tcPr>
            <w:tcW w:w="1639" w:type="dxa"/>
          </w:tcPr>
          <w:p w14:paraId="5E5F2630" w14:textId="77777777" w:rsidR="00BC0E7E" w:rsidRPr="00BC0E7E" w:rsidRDefault="00944B8F" w:rsidP="00BC0E7E">
            <w:pPr>
              <w:tabs>
                <w:tab w:val="clear" w:pos="562"/>
              </w:tabs>
              <w:suppressAutoHyphens w:val="0"/>
              <w:overflowPunct w:val="0"/>
              <w:autoSpaceDE w:val="0"/>
              <w:autoSpaceDN w:val="0"/>
              <w:adjustRightInd w:val="0"/>
              <w:textAlignment w:val="baseline"/>
              <w:rPr>
                <w:b/>
                <w:iCs/>
                <w:szCs w:val="20"/>
                <w:lang w:val="it-IT"/>
              </w:rPr>
            </w:pPr>
            <w:r w:rsidRPr="00BC0E7E">
              <w:rPr>
                <w:b/>
                <w:iCs/>
                <w:szCs w:val="20"/>
                <w:lang w:val="it-IT"/>
              </w:rPr>
              <w:t xml:space="preserve">    </w:t>
            </w:r>
            <w:r w:rsidRPr="00BC0E7E">
              <w:rPr>
                <w:rFonts w:ascii="Symbol" w:eastAsia="Symbol" w:hAnsi="Symbol" w:cs="Symbol"/>
                <w:b/>
                <w:szCs w:val="22"/>
              </w:rPr>
              <w:sym w:font="Symbol" w:char="F0B3"/>
            </w:r>
            <w:r w:rsidRPr="00BC0E7E">
              <w:rPr>
                <w:b/>
                <w:iCs/>
                <w:szCs w:val="22"/>
              </w:rPr>
              <w:t> </w:t>
            </w:r>
            <w:r w:rsidRPr="00BC0E7E">
              <w:rPr>
                <w:b/>
                <w:iCs/>
                <w:szCs w:val="20"/>
                <w:lang w:val="it-IT"/>
              </w:rPr>
              <w:t>PASI 75</w:t>
            </w:r>
          </w:p>
        </w:tc>
        <w:tc>
          <w:tcPr>
            <w:tcW w:w="1668" w:type="dxa"/>
          </w:tcPr>
          <w:p w14:paraId="0348E2A6" w14:textId="77777777" w:rsidR="00BC0E7E" w:rsidRPr="00BC0E7E" w:rsidRDefault="00944B8F" w:rsidP="00BC0E7E">
            <w:pPr>
              <w:tabs>
                <w:tab w:val="clear" w:pos="562"/>
              </w:tabs>
              <w:suppressAutoHyphens w:val="0"/>
              <w:overflowPunct w:val="0"/>
              <w:autoSpaceDE w:val="0"/>
              <w:autoSpaceDN w:val="0"/>
              <w:adjustRightInd w:val="0"/>
              <w:jc w:val="center"/>
              <w:textAlignment w:val="baseline"/>
              <w:rPr>
                <w:bCs/>
                <w:iCs/>
                <w:szCs w:val="20"/>
                <w:lang w:val="it-IT"/>
              </w:rPr>
            </w:pPr>
            <w:r w:rsidRPr="00BC0E7E">
              <w:rPr>
                <w:bCs/>
                <w:iCs/>
                <w:szCs w:val="20"/>
                <w:lang w:val="it-IT"/>
              </w:rPr>
              <w:t>10 (18.9)</w:t>
            </w:r>
          </w:p>
        </w:tc>
        <w:tc>
          <w:tcPr>
            <w:tcW w:w="1347" w:type="dxa"/>
          </w:tcPr>
          <w:p w14:paraId="1E2B9A4D" w14:textId="77777777" w:rsidR="00BC0E7E" w:rsidRPr="00BC0E7E" w:rsidRDefault="00944B8F" w:rsidP="00BC0E7E">
            <w:pPr>
              <w:tabs>
                <w:tab w:val="clear" w:pos="562"/>
              </w:tabs>
              <w:suppressAutoHyphens w:val="0"/>
              <w:overflowPunct w:val="0"/>
              <w:autoSpaceDE w:val="0"/>
              <w:autoSpaceDN w:val="0"/>
              <w:adjustRightInd w:val="0"/>
              <w:jc w:val="center"/>
              <w:textAlignment w:val="baseline"/>
              <w:rPr>
                <w:bCs/>
                <w:iCs/>
                <w:szCs w:val="20"/>
                <w:lang w:val="it-IT"/>
              </w:rPr>
            </w:pPr>
            <w:r w:rsidRPr="00BC0E7E">
              <w:rPr>
                <w:bCs/>
                <w:iCs/>
                <w:szCs w:val="20"/>
                <w:lang w:val="it-IT"/>
              </w:rPr>
              <w:t>39 (35.5)</w:t>
            </w:r>
          </w:p>
        </w:tc>
        <w:tc>
          <w:tcPr>
            <w:tcW w:w="2392" w:type="dxa"/>
          </w:tcPr>
          <w:p w14:paraId="09CB44F5" w14:textId="77777777" w:rsidR="00BC0E7E" w:rsidRPr="00BC0E7E" w:rsidRDefault="00944B8F" w:rsidP="00BC0E7E">
            <w:pPr>
              <w:tabs>
                <w:tab w:val="clear" w:pos="562"/>
              </w:tabs>
              <w:suppressAutoHyphens w:val="0"/>
              <w:overflowPunct w:val="0"/>
              <w:autoSpaceDE w:val="0"/>
              <w:autoSpaceDN w:val="0"/>
              <w:adjustRightInd w:val="0"/>
              <w:jc w:val="center"/>
              <w:textAlignment w:val="baseline"/>
              <w:rPr>
                <w:bCs/>
                <w:iCs/>
                <w:szCs w:val="20"/>
                <w:lang w:val="it-IT"/>
              </w:rPr>
            </w:pPr>
            <w:r w:rsidRPr="00BC0E7E">
              <w:rPr>
                <w:bCs/>
                <w:iCs/>
                <w:szCs w:val="20"/>
                <w:lang w:val="it-IT"/>
              </w:rPr>
              <w:t>86 (79.6)</w:t>
            </w:r>
            <w:r w:rsidRPr="00BC0E7E">
              <w:rPr>
                <w:bCs/>
                <w:iCs/>
                <w:szCs w:val="20"/>
                <w:vertAlign w:val="superscript"/>
                <w:lang w:val="it-IT"/>
              </w:rPr>
              <w:t xml:space="preserve"> a, b</w:t>
            </w:r>
          </w:p>
        </w:tc>
      </w:tr>
      <w:tr w:rsidR="00C6578C" w14:paraId="50DCC315" w14:textId="77777777" w:rsidTr="00171601">
        <w:trPr>
          <w:cantSplit/>
          <w:jc w:val="center"/>
        </w:trPr>
        <w:tc>
          <w:tcPr>
            <w:tcW w:w="1639" w:type="dxa"/>
          </w:tcPr>
          <w:p w14:paraId="5294E415" w14:textId="77777777" w:rsidR="00BC0E7E" w:rsidRPr="00BC0E7E" w:rsidRDefault="00944B8F" w:rsidP="00BC0E7E">
            <w:pPr>
              <w:tabs>
                <w:tab w:val="clear" w:pos="562"/>
              </w:tabs>
              <w:suppressAutoHyphens w:val="0"/>
              <w:overflowPunct w:val="0"/>
              <w:autoSpaceDE w:val="0"/>
              <w:autoSpaceDN w:val="0"/>
              <w:adjustRightInd w:val="0"/>
              <w:textAlignment w:val="baseline"/>
              <w:rPr>
                <w:b/>
                <w:iCs/>
                <w:szCs w:val="20"/>
                <w:lang w:val="it-IT"/>
              </w:rPr>
            </w:pPr>
            <w:r w:rsidRPr="00BC0E7E">
              <w:rPr>
                <w:b/>
                <w:iCs/>
                <w:szCs w:val="20"/>
                <w:lang w:val="it-IT"/>
              </w:rPr>
              <w:t xml:space="preserve">    PASI 100</w:t>
            </w:r>
          </w:p>
        </w:tc>
        <w:tc>
          <w:tcPr>
            <w:tcW w:w="1668" w:type="dxa"/>
          </w:tcPr>
          <w:p w14:paraId="34FEE77A" w14:textId="77777777" w:rsidR="00BC0E7E" w:rsidRPr="00BC0E7E" w:rsidRDefault="00944B8F" w:rsidP="00BC0E7E">
            <w:pPr>
              <w:tabs>
                <w:tab w:val="clear" w:pos="562"/>
              </w:tabs>
              <w:suppressAutoHyphens w:val="0"/>
              <w:overflowPunct w:val="0"/>
              <w:autoSpaceDE w:val="0"/>
              <w:autoSpaceDN w:val="0"/>
              <w:adjustRightInd w:val="0"/>
              <w:jc w:val="center"/>
              <w:textAlignment w:val="baseline"/>
              <w:rPr>
                <w:bCs/>
                <w:iCs/>
                <w:szCs w:val="20"/>
              </w:rPr>
            </w:pPr>
            <w:r w:rsidRPr="00BC0E7E">
              <w:rPr>
                <w:bCs/>
                <w:iCs/>
                <w:szCs w:val="20"/>
              </w:rPr>
              <w:t>1 (1.9)</w:t>
            </w:r>
          </w:p>
        </w:tc>
        <w:tc>
          <w:tcPr>
            <w:tcW w:w="1347" w:type="dxa"/>
          </w:tcPr>
          <w:p w14:paraId="3202F1BD" w14:textId="77777777" w:rsidR="00BC0E7E" w:rsidRPr="00BC0E7E" w:rsidRDefault="00944B8F" w:rsidP="00BC0E7E">
            <w:pPr>
              <w:tabs>
                <w:tab w:val="clear" w:pos="562"/>
              </w:tabs>
              <w:suppressAutoHyphens w:val="0"/>
              <w:overflowPunct w:val="0"/>
              <w:autoSpaceDE w:val="0"/>
              <w:autoSpaceDN w:val="0"/>
              <w:adjustRightInd w:val="0"/>
              <w:jc w:val="center"/>
              <w:textAlignment w:val="baseline"/>
              <w:rPr>
                <w:bCs/>
                <w:iCs/>
                <w:szCs w:val="20"/>
              </w:rPr>
            </w:pPr>
            <w:r w:rsidRPr="00BC0E7E">
              <w:rPr>
                <w:bCs/>
                <w:iCs/>
                <w:szCs w:val="20"/>
              </w:rPr>
              <w:t>8 (7.3)</w:t>
            </w:r>
          </w:p>
        </w:tc>
        <w:tc>
          <w:tcPr>
            <w:tcW w:w="2392" w:type="dxa"/>
          </w:tcPr>
          <w:p w14:paraId="36009EE7" w14:textId="77777777" w:rsidR="00BC0E7E" w:rsidRPr="00BC0E7E" w:rsidRDefault="00944B8F" w:rsidP="00BC0E7E">
            <w:pPr>
              <w:tabs>
                <w:tab w:val="clear" w:pos="562"/>
              </w:tabs>
              <w:suppressAutoHyphens w:val="0"/>
              <w:overflowPunct w:val="0"/>
              <w:autoSpaceDE w:val="0"/>
              <w:autoSpaceDN w:val="0"/>
              <w:adjustRightInd w:val="0"/>
              <w:jc w:val="center"/>
              <w:textAlignment w:val="baseline"/>
              <w:rPr>
                <w:bCs/>
                <w:iCs/>
                <w:szCs w:val="20"/>
              </w:rPr>
            </w:pPr>
            <w:r w:rsidRPr="00BC0E7E">
              <w:rPr>
                <w:bCs/>
                <w:iCs/>
                <w:szCs w:val="20"/>
              </w:rPr>
              <w:t>18 (16.7)</w:t>
            </w:r>
            <w:r w:rsidRPr="00BC0E7E">
              <w:rPr>
                <w:bCs/>
                <w:iCs/>
                <w:szCs w:val="20"/>
                <w:vertAlign w:val="superscript"/>
              </w:rPr>
              <w:t xml:space="preserve"> c, d</w:t>
            </w:r>
          </w:p>
        </w:tc>
      </w:tr>
      <w:tr w:rsidR="00C6578C" w14:paraId="3A56AEEA" w14:textId="77777777" w:rsidTr="00171601">
        <w:trPr>
          <w:cantSplit/>
          <w:jc w:val="center"/>
        </w:trPr>
        <w:tc>
          <w:tcPr>
            <w:tcW w:w="1639" w:type="dxa"/>
          </w:tcPr>
          <w:p w14:paraId="4034DB30" w14:textId="77777777" w:rsidR="00BC0E7E" w:rsidRPr="00BC0E7E" w:rsidRDefault="00944B8F" w:rsidP="00BC0E7E">
            <w:pPr>
              <w:tabs>
                <w:tab w:val="clear" w:pos="562"/>
              </w:tabs>
              <w:suppressAutoHyphens w:val="0"/>
              <w:overflowPunct w:val="0"/>
              <w:autoSpaceDE w:val="0"/>
              <w:autoSpaceDN w:val="0"/>
              <w:adjustRightInd w:val="0"/>
              <w:textAlignment w:val="baseline"/>
              <w:rPr>
                <w:b/>
                <w:iCs/>
                <w:szCs w:val="20"/>
              </w:rPr>
            </w:pPr>
            <w:r w:rsidRPr="00BC0E7E">
              <w:rPr>
                <w:b/>
                <w:iCs/>
                <w:szCs w:val="20"/>
              </w:rPr>
              <w:t xml:space="preserve">    PGA: Clear/minimal</w:t>
            </w:r>
          </w:p>
        </w:tc>
        <w:tc>
          <w:tcPr>
            <w:tcW w:w="1668" w:type="dxa"/>
          </w:tcPr>
          <w:p w14:paraId="46C9A31E" w14:textId="77777777" w:rsidR="00BC0E7E" w:rsidRPr="00BC0E7E" w:rsidRDefault="00944B8F" w:rsidP="00BC0E7E">
            <w:pPr>
              <w:tabs>
                <w:tab w:val="clear" w:pos="562"/>
              </w:tabs>
              <w:suppressAutoHyphens w:val="0"/>
              <w:overflowPunct w:val="0"/>
              <w:autoSpaceDE w:val="0"/>
              <w:autoSpaceDN w:val="0"/>
              <w:adjustRightInd w:val="0"/>
              <w:jc w:val="center"/>
              <w:textAlignment w:val="baseline"/>
              <w:rPr>
                <w:bCs/>
                <w:iCs/>
                <w:szCs w:val="20"/>
              </w:rPr>
            </w:pPr>
            <w:r w:rsidRPr="00BC0E7E">
              <w:rPr>
                <w:bCs/>
                <w:iCs/>
                <w:szCs w:val="20"/>
              </w:rPr>
              <w:t>6 (11.3)</w:t>
            </w:r>
          </w:p>
        </w:tc>
        <w:tc>
          <w:tcPr>
            <w:tcW w:w="1347" w:type="dxa"/>
          </w:tcPr>
          <w:p w14:paraId="40839834" w14:textId="77777777" w:rsidR="00BC0E7E" w:rsidRPr="00BC0E7E" w:rsidRDefault="00944B8F" w:rsidP="00BC0E7E">
            <w:pPr>
              <w:tabs>
                <w:tab w:val="clear" w:pos="562"/>
              </w:tabs>
              <w:suppressAutoHyphens w:val="0"/>
              <w:overflowPunct w:val="0"/>
              <w:autoSpaceDE w:val="0"/>
              <w:autoSpaceDN w:val="0"/>
              <w:adjustRightInd w:val="0"/>
              <w:jc w:val="center"/>
              <w:textAlignment w:val="baseline"/>
              <w:rPr>
                <w:bCs/>
                <w:iCs/>
                <w:szCs w:val="20"/>
              </w:rPr>
            </w:pPr>
            <w:r w:rsidRPr="00BC0E7E">
              <w:rPr>
                <w:bCs/>
                <w:iCs/>
                <w:szCs w:val="20"/>
              </w:rPr>
              <w:t>33 (30.0)</w:t>
            </w:r>
          </w:p>
        </w:tc>
        <w:tc>
          <w:tcPr>
            <w:tcW w:w="2392" w:type="dxa"/>
          </w:tcPr>
          <w:p w14:paraId="1372E8B9" w14:textId="77777777" w:rsidR="00BC0E7E" w:rsidRPr="00BC0E7E" w:rsidRDefault="00944B8F" w:rsidP="00BC0E7E">
            <w:pPr>
              <w:tabs>
                <w:tab w:val="clear" w:pos="562"/>
              </w:tabs>
              <w:suppressAutoHyphens w:val="0"/>
              <w:overflowPunct w:val="0"/>
              <w:autoSpaceDE w:val="0"/>
              <w:autoSpaceDN w:val="0"/>
              <w:adjustRightInd w:val="0"/>
              <w:jc w:val="center"/>
              <w:textAlignment w:val="baseline"/>
              <w:rPr>
                <w:bCs/>
                <w:iCs/>
                <w:szCs w:val="20"/>
              </w:rPr>
            </w:pPr>
            <w:r w:rsidRPr="00BC0E7E">
              <w:rPr>
                <w:bCs/>
                <w:iCs/>
                <w:szCs w:val="20"/>
              </w:rPr>
              <w:t>79 (73.1)</w:t>
            </w:r>
            <w:r w:rsidRPr="00BC0E7E">
              <w:rPr>
                <w:bCs/>
                <w:iCs/>
                <w:szCs w:val="20"/>
                <w:vertAlign w:val="superscript"/>
              </w:rPr>
              <w:t xml:space="preserve"> a, b</w:t>
            </w:r>
          </w:p>
        </w:tc>
      </w:tr>
      <w:tr w:rsidR="00C6578C" w14:paraId="03819F39" w14:textId="77777777" w:rsidTr="00171601">
        <w:trPr>
          <w:cantSplit/>
          <w:jc w:val="center"/>
        </w:trPr>
        <w:tc>
          <w:tcPr>
            <w:tcW w:w="7046" w:type="dxa"/>
            <w:gridSpan w:val="4"/>
          </w:tcPr>
          <w:p w14:paraId="2A811935" w14:textId="77777777" w:rsidR="00BC0E7E" w:rsidRPr="00452C41" w:rsidRDefault="00944B8F" w:rsidP="00BC0E7E">
            <w:pPr>
              <w:tabs>
                <w:tab w:val="clear" w:pos="562"/>
              </w:tabs>
              <w:suppressAutoHyphens w:val="0"/>
              <w:overflowPunct w:val="0"/>
              <w:autoSpaceDE w:val="0"/>
              <w:autoSpaceDN w:val="0"/>
              <w:adjustRightInd w:val="0"/>
              <w:textAlignment w:val="baseline"/>
              <w:rPr>
                <w:bCs/>
                <w:iCs/>
                <w:szCs w:val="20"/>
              </w:rPr>
            </w:pPr>
            <w:r w:rsidRPr="00452C41">
              <w:rPr>
                <w:bCs/>
                <w:iCs/>
                <w:szCs w:val="20"/>
                <w:vertAlign w:val="superscript"/>
              </w:rPr>
              <w:t>a</w:t>
            </w:r>
            <w:r w:rsidRPr="00452C41">
              <w:rPr>
                <w:bCs/>
                <w:iCs/>
                <w:szCs w:val="20"/>
              </w:rPr>
              <w:t xml:space="preserve"> p &lt; 0.001 Humira vs. placebo</w:t>
            </w:r>
          </w:p>
          <w:p w14:paraId="35B0C3B2" w14:textId="77777777" w:rsidR="00BC0E7E" w:rsidRPr="00452C41" w:rsidRDefault="00944B8F" w:rsidP="00BC0E7E">
            <w:pPr>
              <w:tabs>
                <w:tab w:val="clear" w:pos="562"/>
              </w:tabs>
              <w:suppressAutoHyphens w:val="0"/>
              <w:overflowPunct w:val="0"/>
              <w:autoSpaceDE w:val="0"/>
              <w:autoSpaceDN w:val="0"/>
              <w:adjustRightInd w:val="0"/>
              <w:textAlignment w:val="baseline"/>
              <w:rPr>
                <w:bCs/>
                <w:iCs/>
                <w:szCs w:val="20"/>
              </w:rPr>
            </w:pPr>
            <w:r w:rsidRPr="00452C41">
              <w:rPr>
                <w:bCs/>
                <w:iCs/>
                <w:szCs w:val="20"/>
                <w:vertAlign w:val="superscript"/>
              </w:rPr>
              <w:t>b</w:t>
            </w:r>
            <w:r w:rsidRPr="00452C41">
              <w:rPr>
                <w:bCs/>
                <w:iCs/>
                <w:szCs w:val="20"/>
              </w:rPr>
              <w:t xml:space="preserve"> p &lt; 0.001 Humira vs. methotrexate</w:t>
            </w:r>
          </w:p>
          <w:p w14:paraId="59505B67" w14:textId="77777777" w:rsidR="00BC0E7E" w:rsidRPr="00452C41" w:rsidRDefault="00944B8F" w:rsidP="00BC0E7E">
            <w:pPr>
              <w:tabs>
                <w:tab w:val="clear" w:pos="562"/>
              </w:tabs>
              <w:suppressAutoHyphens w:val="0"/>
              <w:overflowPunct w:val="0"/>
              <w:autoSpaceDE w:val="0"/>
              <w:autoSpaceDN w:val="0"/>
              <w:adjustRightInd w:val="0"/>
              <w:textAlignment w:val="baseline"/>
              <w:rPr>
                <w:bCs/>
                <w:iCs/>
                <w:szCs w:val="20"/>
              </w:rPr>
            </w:pPr>
            <w:r w:rsidRPr="00452C41">
              <w:rPr>
                <w:bCs/>
                <w:iCs/>
                <w:szCs w:val="20"/>
                <w:vertAlign w:val="superscript"/>
              </w:rPr>
              <w:t>c</w:t>
            </w:r>
            <w:r w:rsidRPr="00452C41">
              <w:rPr>
                <w:bCs/>
                <w:iCs/>
                <w:szCs w:val="20"/>
              </w:rPr>
              <w:t xml:space="preserve"> p &lt; 0.01 Humira vs. placebo</w:t>
            </w:r>
          </w:p>
          <w:p w14:paraId="7ACF7327" w14:textId="77777777" w:rsidR="00BC0E7E" w:rsidRPr="00BC0E7E" w:rsidRDefault="00944B8F" w:rsidP="00BC0E7E">
            <w:pPr>
              <w:tabs>
                <w:tab w:val="clear" w:pos="562"/>
              </w:tabs>
              <w:suppressAutoHyphens w:val="0"/>
              <w:overflowPunct w:val="0"/>
              <w:autoSpaceDE w:val="0"/>
              <w:autoSpaceDN w:val="0"/>
              <w:adjustRightInd w:val="0"/>
              <w:textAlignment w:val="baseline"/>
              <w:rPr>
                <w:bCs/>
                <w:iCs/>
                <w:szCs w:val="20"/>
                <w:lang w:val="fr-FR"/>
              </w:rPr>
            </w:pPr>
            <w:r w:rsidRPr="00BC0E7E">
              <w:rPr>
                <w:bCs/>
                <w:iCs/>
                <w:szCs w:val="20"/>
                <w:vertAlign w:val="superscript"/>
                <w:lang w:val="fr-FR"/>
              </w:rPr>
              <w:t>d</w:t>
            </w:r>
            <w:r w:rsidRPr="00BC0E7E">
              <w:rPr>
                <w:bCs/>
                <w:iCs/>
                <w:szCs w:val="20"/>
                <w:lang w:val="fr-FR"/>
              </w:rPr>
              <w:t xml:space="preserve"> p &lt; 0.05 Humira vs. methotrexate</w:t>
            </w:r>
          </w:p>
        </w:tc>
      </w:tr>
    </w:tbl>
    <w:p w14:paraId="1EC61185" w14:textId="77777777" w:rsidR="00BC0E7E" w:rsidRPr="007F079A" w:rsidRDefault="00BC0E7E" w:rsidP="00BC0E7E">
      <w:pPr>
        <w:rPr>
          <w:bCs/>
          <w:szCs w:val="22"/>
          <w:lang w:val="fr-FR"/>
        </w:rPr>
      </w:pPr>
    </w:p>
    <w:p w14:paraId="2F9ADD8E" w14:textId="77777777" w:rsidR="00BC0E7E" w:rsidRPr="00BC0E7E" w:rsidRDefault="00944B8F" w:rsidP="00BC0E7E">
      <w:pPr>
        <w:rPr>
          <w:szCs w:val="22"/>
        </w:rPr>
      </w:pPr>
      <w:r w:rsidRPr="00BC0E7E">
        <w:rPr>
          <w:szCs w:val="22"/>
        </w:rPr>
        <w:t xml:space="preserve">In </w:t>
      </w:r>
      <w:r w:rsidRPr="00BC0E7E">
        <w:rPr>
          <w:iCs/>
        </w:rPr>
        <w:t xml:space="preserve">Psoriasis </w:t>
      </w:r>
      <w:r w:rsidRPr="00BC0E7E">
        <w:rPr>
          <w:szCs w:val="22"/>
        </w:rPr>
        <w:t>Study I, 28% of patients who were PASI 75 responders and were re-randomised to placebo at Week 33 compared to 5% continuing on Humira, p &lt; 0.001, experienced “loss of adequate response”</w:t>
      </w:r>
      <w:r w:rsidRPr="00BC0E7E">
        <w:rPr>
          <w:iCs/>
        </w:rPr>
        <w:t xml:space="preserve"> (PASI score after Week 33 and on or before Week 52 that resulted in a &lt;PASI 50 response relative to baseline with a minimum of a 6-point increase in PASI score relative to Week 33)</w:t>
      </w:r>
      <w:r w:rsidRPr="00BC0E7E">
        <w:rPr>
          <w:szCs w:val="22"/>
        </w:rPr>
        <w:t>. Of the patients who lost adequate response after re-randomisation to placebo who then enrolled into the open-label extension trial, 38% (25/66) and 55% (36/66) regained PASI 75 response after 12 and 24 weeks of re-treatment, respectively.</w:t>
      </w:r>
    </w:p>
    <w:p w14:paraId="633259F0" w14:textId="77777777" w:rsidR="00BC0E7E" w:rsidRPr="00BC0E7E" w:rsidRDefault="00BC0E7E" w:rsidP="00BC0E7E">
      <w:pPr>
        <w:rPr>
          <w:szCs w:val="22"/>
        </w:rPr>
      </w:pPr>
    </w:p>
    <w:p w14:paraId="1DB145B9" w14:textId="77777777" w:rsidR="00BC0E7E" w:rsidRPr="00BC0E7E" w:rsidRDefault="00944B8F" w:rsidP="00BC0E7E">
      <w:pPr>
        <w:rPr>
          <w:szCs w:val="22"/>
        </w:rPr>
      </w:pPr>
      <w:r w:rsidRPr="00BC0E7E">
        <w:rPr>
          <w:szCs w:val="22"/>
        </w:rPr>
        <w:t>A total of 233 PASI 75 responders at Week 16 and Week 33 received continuous Humira therapy for 52 weeks in Psoriasis Study I, and continued Humira in the open-label extension trial.  PASI 75 and PGA of clear or minimal response rates in these patients were 74.7% and 59.0%, respectively, after an additional 108 weeks of open-label therapy (total of 160 weeks). In an analysis in which all patients who dropped out of the study for adverse events or lack of efficacy, or who dose-escalated, were considered non-responders, PASI 75 and PGA of clear or minimal response rates in these patients were 69.6% and 55.7%, respectively, after an additional 108 weeks of open-label therapy (total of 160 weeks).</w:t>
      </w:r>
    </w:p>
    <w:p w14:paraId="34CC9583" w14:textId="77777777" w:rsidR="00BC0E7E" w:rsidRPr="00BC0E7E" w:rsidRDefault="00BC0E7E" w:rsidP="00BC0E7E">
      <w:pPr>
        <w:rPr>
          <w:szCs w:val="22"/>
        </w:rPr>
      </w:pPr>
    </w:p>
    <w:p w14:paraId="27908B1F" w14:textId="77777777" w:rsidR="00BC0E7E" w:rsidRPr="00BC0E7E" w:rsidRDefault="00944B8F" w:rsidP="00BC0E7E">
      <w:pPr>
        <w:rPr>
          <w:szCs w:val="22"/>
        </w:rPr>
      </w:pPr>
      <w:r w:rsidRPr="00BC0E7E">
        <w:rPr>
          <w:szCs w:val="22"/>
        </w:rPr>
        <w:t>A total of 347 stable responders participated in a withdrawal and retreatment evaluation in an open-label extension study. During the withdrawal period, symptoms of psoriasis returned over time with a median time to relapse (decline to PGA “moderate” or worse) of approximately 5 months. None of these patients experienced rebound during the withdrawal period. A total of 76.5% (218/285) of patients who entered the retreatment period had a response of PGA “clear” or “minimal” after 16 weeks of retreatment, irrespective of whether they relapsed during withdrawal (69.1%[123/178] and 88.8% [95/107] for patients who relapsed and who did not relapse during the withdrawal period, respectively).  A similar safety profile was observed during retreatment as before withdrawal.</w:t>
      </w:r>
    </w:p>
    <w:p w14:paraId="6F35F781" w14:textId="77777777" w:rsidR="00BC0E7E" w:rsidRPr="00BC0E7E" w:rsidRDefault="00BC0E7E" w:rsidP="00BC0E7E">
      <w:pPr>
        <w:autoSpaceDE w:val="0"/>
        <w:autoSpaceDN w:val="0"/>
        <w:adjustRightInd w:val="0"/>
      </w:pPr>
    </w:p>
    <w:p w14:paraId="04650880" w14:textId="77777777" w:rsidR="00BC0E7E" w:rsidRPr="00BC0E7E" w:rsidRDefault="00944B8F" w:rsidP="00BC0E7E">
      <w:pPr>
        <w:rPr>
          <w:szCs w:val="20"/>
        </w:rPr>
      </w:pPr>
      <w:r w:rsidRPr="00BC0E7E">
        <w:rPr>
          <w:szCs w:val="20"/>
        </w:rPr>
        <w:t>Significant improvements at Week 16 from baseline compared to placebo (Studies I and II) and MTX (Study II) were demonstrated in the DLQI (Dermatology Life Quality Index). In Study I, improvements in the physical and mental component summary scores of the SF-36 were also significant compared to placebo.</w:t>
      </w:r>
    </w:p>
    <w:p w14:paraId="3303DB0F" w14:textId="77777777" w:rsidR="00BC0E7E" w:rsidRPr="00BC0E7E" w:rsidRDefault="00BC0E7E" w:rsidP="00BC0E7E">
      <w:pPr>
        <w:rPr>
          <w:szCs w:val="20"/>
        </w:rPr>
      </w:pPr>
    </w:p>
    <w:p w14:paraId="35F7B002" w14:textId="77777777" w:rsidR="00BC0E7E" w:rsidRPr="00BC0E7E" w:rsidRDefault="00944B8F" w:rsidP="00BC0E7E">
      <w:pPr>
        <w:rPr>
          <w:szCs w:val="20"/>
        </w:rPr>
      </w:pPr>
      <w:r w:rsidRPr="00BC0E7E">
        <w:rPr>
          <w:szCs w:val="20"/>
        </w:rPr>
        <w:t>In an open-label extension study, for patients who dose escalated from 40 mg every other week to 40 mg weekly due to a PASI response below 50%, 26.4% (92/349) and 37.8% (132/349) of patients achieved PASI 75 response at Week 12 and 24, respectively.</w:t>
      </w:r>
    </w:p>
    <w:p w14:paraId="7A28033B" w14:textId="77777777" w:rsidR="00BC0E7E" w:rsidRPr="00BC0E7E" w:rsidRDefault="00BC0E7E" w:rsidP="00BC0E7E">
      <w:pPr>
        <w:rPr>
          <w:szCs w:val="20"/>
        </w:rPr>
      </w:pPr>
    </w:p>
    <w:p w14:paraId="6C10EBB6" w14:textId="77777777" w:rsidR="00BC0E7E" w:rsidRPr="00BC0E7E" w:rsidRDefault="00944B8F" w:rsidP="00BC0E7E">
      <w:pPr>
        <w:rPr>
          <w:szCs w:val="20"/>
        </w:rPr>
      </w:pPr>
      <w:r w:rsidRPr="00BC0E7E">
        <w:rPr>
          <w:szCs w:val="20"/>
        </w:rPr>
        <w:t>Psoriasis Study III (REACH)</w:t>
      </w:r>
      <w:r w:rsidRPr="00BC0E7E">
        <w:rPr>
          <w:szCs w:val="22"/>
        </w:rPr>
        <w:t xml:space="preserve"> compared the efficacy and safety of Humira </w:t>
      </w:r>
      <w:r w:rsidRPr="00BC0E7E">
        <w:rPr>
          <w:i/>
          <w:iCs/>
          <w:szCs w:val="22"/>
        </w:rPr>
        <w:t>versus</w:t>
      </w:r>
      <w:r w:rsidRPr="00BC0E7E">
        <w:rPr>
          <w:szCs w:val="22"/>
        </w:rPr>
        <w:t xml:space="preserve"> placebo in 72 patients with moderate to severe chronic plaque psoriasis and hand and/or foot psoriasis. Patients received an initial </w:t>
      </w:r>
      <w:r w:rsidRPr="00BC0E7E">
        <w:rPr>
          <w:szCs w:val="20"/>
        </w:rPr>
        <w:t xml:space="preserve">dose of 80 mg Humira followed by 40 mg every other week (starting one week after the initial dose) or placebo for 16 weeks. At Week 16, a statistically significantly greater proportion of patients who </w:t>
      </w:r>
      <w:r w:rsidRPr="00BC0E7E">
        <w:rPr>
          <w:szCs w:val="20"/>
        </w:rPr>
        <w:lastRenderedPageBreak/>
        <w:t>received Humira achieved PGA of 'clear' or 'almost clear' for the hands and/or feet compared to patients who received placebo (30.6% versus 4.3%, respectively [P = 0.014]).</w:t>
      </w:r>
    </w:p>
    <w:p w14:paraId="602F99EE" w14:textId="77777777" w:rsidR="00BC0E7E" w:rsidRPr="00BC0E7E" w:rsidRDefault="00BC0E7E" w:rsidP="00BC0E7E">
      <w:pPr>
        <w:rPr>
          <w:szCs w:val="20"/>
        </w:rPr>
      </w:pPr>
    </w:p>
    <w:p w14:paraId="1D312032" w14:textId="77777777" w:rsidR="00BC0E7E" w:rsidRPr="00BC0E7E" w:rsidRDefault="00944B8F" w:rsidP="00BC0E7E">
      <w:pPr>
        <w:tabs>
          <w:tab w:val="clear" w:pos="562"/>
        </w:tabs>
        <w:suppressAutoHyphens w:val="0"/>
        <w:rPr>
          <w:szCs w:val="22"/>
        </w:rPr>
      </w:pPr>
      <w:r w:rsidRPr="00BC0E7E">
        <w:rPr>
          <w:szCs w:val="22"/>
        </w:rPr>
        <w:t xml:space="preserve">Psoriasis Study IV compared efficacy and safety of Humira versus placebo in 217 adult patients with moderate to severe nail psoriasis. Patients received an initial dose of 80 mg Humira followed by 40 mg every other week (starting one week after the initial dose) or placebo for 26 weeks followed by open-label Humira treatment for an additional 26 weeks. Nail psoriasis assessments included the Modified Nail Psoriasis Severity Index (mNAPSI), the Physician’s Global Assessment of Fingernail Psoriasis (PGA-F) and the Nail Psoriasis Severity Index (NAPSI) (see Table </w:t>
      </w:r>
      <w:r w:rsidR="00EC44BE">
        <w:rPr>
          <w:szCs w:val="22"/>
        </w:rPr>
        <w:t>1</w:t>
      </w:r>
      <w:r w:rsidR="005F03EC">
        <w:rPr>
          <w:szCs w:val="22"/>
        </w:rPr>
        <w:t>1</w:t>
      </w:r>
      <w:r w:rsidRPr="00BC0E7E">
        <w:rPr>
          <w:szCs w:val="22"/>
        </w:rPr>
        <w:t xml:space="preserve">). Humira demonstrated a treatment benefit in nail psoriasis patients with different extents of skin involvement (BSA≥10% (60% of patients) and BSA&lt;10% and ≥5% (40% of patients)).    </w:t>
      </w:r>
    </w:p>
    <w:p w14:paraId="00ACE4C0" w14:textId="77777777" w:rsidR="00BC0E7E" w:rsidRPr="00BC0E7E" w:rsidRDefault="00BC0E7E" w:rsidP="00BC0E7E">
      <w:pPr>
        <w:tabs>
          <w:tab w:val="clear" w:pos="562"/>
        </w:tabs>
        <w:suppressAutoHyphens w:val="0"/>
        <w:rPr>
          <w:szCs w:val="22"/>
        </w:rPr>
      </w:pPr>
    </w:p>
    <w:p w14:paraId="03D05147" w14:textId="77777777" w:rsidR="00BC0E7E" w:rsidRPr="00BC0E7E" w:rsidRDefault="00944B8F" w:rsidP="007F079A">
      <w:pPr>
        <w:keepNext/>
        <w:tabs>
          <w:tab w:val="clear" w:pos="562"/>
        </w:tabs>
        <w:suppressAutoHyphens w:val="0"/>
        <w:jc w:val="center"/>
        <w:rPr>
          <w:b/>
          <w:szCs w:val="22"/>
        </w:rPr>
      </w:pPr>
      <w:r w:rsidRPr="00BC0E7E">
        <w:rPr>
          <w:b/>
          <w:szCs w:val="22"/>
        </w:rPr>
        <w:t xml:space="preserve">Table </w:t>
      </w:r>
      <w:r w:rsidR="005F03EC">
        <w:rPr>
          <w:b/>
          <w:szCs w:val="22"/>
        </w:rPr>
        <w:t>11</w:t>
      </w:r>
    </w:p>
    <w:p w14:paraId="69CAB4C2" w14:textId="77777777" w:rsidR="00BC0E7E" w:rsidRPr="00BC0E7E" w:rsidRDefault="00944B8F" w:rsidP="007F079A">
      <w:pPr>
        <w:keepNext/>
        <w:tabs>
          <w:tab w:val="clear" w:pos="562"/>
        </w:tabs>
        <w:suppressAutoHyphens w:val="0"/>
        <w:jc w:val="center"/>
        <w:rPr>
          <w:b/>
          <w:bCs/>
          <w:szCs w:val="22"/>
        </w:rPr>
      </w:pPr>
      <w:r w:rsidRPr="00BC0E7E">
        <w:rPr>
          <w:b/>
          <w:szCs w:val="22"/>
        </w:rPr>
        <w:t>Ps Study IV Efficacy Results at 16, 26 and 52 Weeks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080"/>
        <w:gridCol w:w="1260"/>
        <w:gridCol w:w="990"/>
        <w:gridCol w:w="1260"/>
        <w:gridCol w:w="2268"/>
      </w:tblGrid>
      <w:tr w:rsidR="00C6578C" w14:paraId="3BB54C9B" w14:textId="77777777" w:rsidTr="00171601">
        <w:tc>
          <w:tcPr>
            <w:tcW w:w="2718" w:type="dxa"/>
            <w:vMerge w:val="restart"/>
          </w:tcPr>
          <w:p w14:paraId="20856302" w14:textId="77777777" w:rsidR="00BC0E7E" w:rsidRPr="00BC0E7E" w:rsidRDefault="00944B8F" w:rsidP="007F079A">
            <w:pPr>
              <w:keepNext/>
              <w:tabs>
                <w:tab w:val="clear" w:pos="562"/>
              </w:tabs>
              <w:suppressAutoHyphens w:val="0"/>
              <w:rPr>
                <w:szCs w:val="22"/>
              </w:rPr>
            </w:pPr>
            <w:r w:rsidRPr="00BC0E7E">
              <w:rPr>
                <w:szCs w:val="22"/>
              </w:rPr>
              <w:t>Endpoint</w:t>
            </w:r>
          </w:p>
        </w:tc>
        <w:tc>
          <w:tcPr>
            <w:tcW w:w="2340" w:type="dxa"/>
            <w:gridSpan w:val="2"/>
          </w:tcPr>
          <w:p w14:paraId="383406DD" w14:textId="77777777" w:rsidR="00BC0E7E" w:rsidRPr="00BC0E7E" w:rsidRDefault="00944B8F" w:rsidP="007F079A">
            <w:pPr>
              <w:keepNext/>
              <w:tabs>
                <w:tab w:val="clear" w:pos="562"/>
              </w:tabs>
              <w:suppressAutoHyphens w:val="0"/>
              <w:jc w:val="center"/>
              <w:rPr>
                <w:szCs w:val="22"/>
              </w:rPr>
            </w:pPr>
            <w:r w:rsidRPr="00BC0E7E">
              <w:rPr>
                <w:szCs w:val="22"/>
              </w:rPr>
              <w:t>Week 16</w:t>
            </w:r>
          </w:p>
          <w:p w14:paraId="3EF81C89" w14:textId="77777777" w:rsidR="00BC0E7E" w:rsidRPr="00BC0E7E" w:rsidRDefault="00944B8F" w:rsidP="007F079A">
            <w:pPr>
              <w:keepNext/>
              <w:tabs>
                <w:tab w:val="clear" w:pos="562"/>
              </w:tabs>
              <w:suppressAutoHyphens w:val="0"/>
              <w:jc w:val="center"/>
              <w:rPr>
                <w:szCs w:val="22"/>
              </w:rPr>
            </w:pPr>
            <w:r w:rsidRPr="00BC0E7E">
              <w:rPr>
                <w:szCs w:val="22"/>
              </w:rPr>
              <w:t>Placebo-Controlled</w:t>
            </w:r>
          </w:p>
        </w:tc>
        <w:tc>
          <w:tcPr>
            <w:tcW w:w="2250" w:type="dxa"/>
            <w:gridSpan w:val="2"/>
          </w:tcPr>
          <w:p w14:paraId="4F6B7BDA" w14:textId="77777777" w:rsidR="00BC0E7E" w:rsidRPr="00BC0E7E" w:rsidRDefault="00944B8F" w:rsidP="007F079A">
            <w:pPr>
              <w:keepNext/>
              <w:tabs>
                <w:tab w:val="clear" w:pos="562"/>
              </w:tabs>
              <w:suppressAutoHyphens w:val="0"/>
              <w:jc w:val="center"/>
              <w:rPr>
                <w:szCs w:val="22"/>
              </w:rPr>
            </w:pPr>
            <w:r w:rsidRPr="00BC0E7E">
              <w:rPr>
                <w:szCs w:val="22"/>
              </w:rPr>
              <w:t>Week 26</w:t>
            </w:r>
          </w:p>
          <w:p w14:paraId="697B29FE" w14:textId="77777777" w:rsidR="00BC0E7E" w:rsidRPr="00BC0E7E" w:rsidRDefault="00944B8F" w:rsidP="007F079A">
            <w:pPr>
              <w:keepNext/>
              <w:tabs>
                <w:tab w:val="clear" w:pos="562"/>
              </w:tabs>
              <w:suppressAutoHyphens w:val="0"/>
              <w:jc w:val="center"/>
              <w:rPr>
                <w:szCs w:val="22"/>
              </w:rPr>
            </w:pPr>
            <w:r w:rsidRPr="00BC0E7E">
              <w:rPr>
                <w:szCs w:val="22"/>
              </w:rPr>
              <w:t>Placebo-Controlled</w:t>
            </w:r>
          </w:p>
        </w:tc>
        <w:tc>
          <w:tcPr>
            <w:tcW w:w="2268" w:type="dxa"/>
          </w:tcPr>
          <w:p w14:paraId="3506E046" w14:textId="77777777" w:rsidR="00BC0E7E" w:rsidRPr="00BC0E7E" w:rsidRDefault="00944B8F" w:rsidP="007F079A">
            <w:pPr>
              <w:keepNext/>
              <w:tabs>
                <w:tab w:val="clear" w:pos="562"/>
              </w:tabs>
              <w:suppressAutoHyphens w:val="0"/>
              <w:jc w:val="center"/>
              <w:rPr>
                <w:szCs w:val="22"/>
              </w:rPr>
            </w:pPr>
            <w:r w:rsidRPr="00BC0E7E">
              <w:rPr>
                <w:szCs w:val="22"/>
              </w:rPr>
              <w:t>Week 52</w:t>
            </w:r>
          </w:p>
          <w:p w14:paraId="63D69F97" w14:textId="77777777" w:rsidR="00BC0E7E" w:rsidRPr="00BC0E7E" w:rsidRDefault="00944B8F" w:rsidP="007F079A">
            <w:pPr>
              <w:keepNext/>
              <w:tabs>
                <w:tab w:val="clear" w:pos="562"/>
              </w:tabs>
              <w:suppressAutoHyphens w:val="0"/>
              <w:jc w:val="center"/>
              <w:rPr>
                <w:szCs w:val="22"/>
              </w:rPr>
            </w:pPr>
            <w:r w:rsidRPr="00BC0E7E">
              <w:rPr>
                <w:szCs w:val="22"/>
              </w:rPr>
              <w:t>Open-label</w:t>
            </w:r>
          </w:p>
        </w:tc>
      </w:tr>
      <w:tr w:rsidR="00C6578C" w14:paraId="3C23BF11" w14:textId="77777777" w:rsidTr="00171601">
        <w:tc>
          <w:tcPr>
            <w:tcW w:w="2718" w:type="dxa"/>
            <w:vMerge/>
          </w:tcPr>
          <w:p w14:paraId="3548AD9A" w14:textId="77777777" w:rsidR="00BC0E7E" w:rsidRPr="00BC0E7E" w:rsidRDefault="00BC0E7E" w:rsidP="007F079A">
            <w:pPr>
              <w:keepNext/>
              <w:tabs>
                <w:tab w:val="clear" w:pos="562"/>
              </w:tabs>
              <w:suppressAutoHyphens w:val="0"/>
              <w:rPr>
                <w:szCs w:val="22"/>
              </w:rPr>
            </w:pPr>
          </w:p>
        </w:tc>
        <w:tc>
          <w:tcPr>
            <w:tcW w:w="1080" w:type="dxa"/>
          </w:tcPr>
          <w:p w14:paraId="4038B7E0" w14:textId="77777777" w:rsidR="00BC0E7E" w:rsidRPr="00BC0E7E" w:rsidRDefault="00944B8F" w:rsidP="007F079A">
            <w:pPr>
              <w:keepNext/>
              <w:tabs>
                <w:tab w:val="clear" w:pos="562"/>
              </w:tabs>
              <w:suppressAutoHyphens w:val="0"/>
              <w:jc w:val="center"/>
              <w:rPr>
                <w:szCs w:val="22"/>
              </w:rPr>
            </w:pPr>
            <w:r w:rsidRPr="00BC0E7E">
              <w:rPr>
                <w:szCs w:val="2"/>
              </w:rPr>
              <w:t>Placebo</w:t>
            </w:r>
            <w:r w:rsidRPr="00BC0E7E">
              <w:rPr>
                <w:szCs w:val="2"/>
              </w:rPr>
              <w:br/>
              <w:t>N=108</w:t>
            </w:r>
          </w:p>
        </w:tc>
        <w:tc>
          <w:tcPr>
            <w:tcW w:w="1260" w:type="dxa"/>
          </w:tcPr>
          <w:p w14:paraId="5AF2D86D" w14:textId="77777777" w:rsidR="00BC0E7E" w:rsidRPr="00BC0E7E" w:rsidRDefault="00944B8F" w:rsidP="007F079A">
            <w:pPr>
              <w:keepNext/>
              <w:tabs>
                <w:tab w:val="clear" w:pos="562"/>
              </w:tabs>
              <w:overflowPunct w:val="0"/>
              <w:autoSpaceDE w:val="0"/>
              <w:autoSpaceDN w:val="0"/>
              <w:adjustRightInd w:val="0"/>
              <w:jc w:val="center"/>
              <w:textAlignment w:val="baseline"/>
            </w:pPr>
            <w:r w:rsidRPr="00BC0E7E">
              <w:t>Humira</w:t>
            </w:r>
          </w:p>
          <w:p w14:paraId="3165B573" w14:textId="77777777" w:rsidR="00BC0E7E" w:rsidRPr="00BC0E7E" w:rsidRDefault="00944B8F" w:rsidP="007F079A">
            <w:pPr>
              <w:keepNext/>
              <w:tabs>
                <w:tab w:val="clear" w:pos="562"/>
              </w:tabs>
              <w:suppressAutoHyphens w:val="0"/>
              <w:jc w:val="center"/>
              <w:rPr>
                <w:szCs w:val="22"/>
              </w:rPr>
            </w:pPr>
            <w:r w:rsidRPr="00BC0E7E">
              <w:rPr>
                <w:szCs w:val="2"/>
              </w:rPr>
              <w:t xml:space="preserve">40 mg eow </w:t>
            </w:r>
            <w:r w:rsidRPr="00BC0E7E">
              <w:rPr>
                <w:szCs w:val="2"/>
              </w:rPr>
              <w:br/>
              <w:t>N=109</w:t>
            </w:r>
          </w:p>
        </w:tc>
        <w:tc>
          <w:tcPr>
            <w:tcW w:w="990" w:type="dxa"/>
          </w:tcPr>
          <w:p w14:paraId="25EECD2D" w14:textId="77777777" w:rsidR="00BC0E7E" w:rsidRPr="00BC0E7E" w:rsidRDefault="00944B8F" w:rsidP="007F079A">
            <w:pPr>
              <w:keepNext/>
              <w:tabs>
                <w:tab w:val="clear" w:pos="562"/>
              </w:tabs>
              <w:suppressAutoHyphens w:val="0"/>
              <w:jc w:val="center"/>
              <w:rPr>
                <w:szCs w:val="22"/>
              </w:rPr>
            </w:pPr>
            <w:r w:rsidRPr="00BC0E7E">
              <w:rPr>
                <w:szCs w:val="2"/>
              </w:rPr>
              <w:t>Placebo</w:t>
            </w:r>
            <w:r w:rsidRPr="00BC0E7E">
              <w:rPr>
                <w:szCs w:val="2"/>
              </w:rPr>
              <w:br/>
              <w:t>N=108</w:t>
            </w:r>
          </w:p>
        </w:tc>
        <w:tc>
          <w:tcPr>
            <w:tcW w:w="1260" w:type="dxa"/>
          </w:tcPr>
          <w:p w14:paraId="55420D5D" w14:textId="77777777" w:rsidR="00BC0E7E" w:rsidRPr="00BC0E7E" w:rsidRDefault="00944B8F" w:rsidP="007F079A">
            <w:pPr>
              <w:keepNext/>
              <w:tabs>
                <w:tab w:val="clear" w:pos="562"/>
              </w:tabs>
              <w:overflowPunct w:val="0"/>
              <w:autoSpaceDE w:val="0"/>
              <w:autoSpaceDN w:val="0"/>
              <w:adjustRightInd w:val="0"/>
              <w:jc w:val="center"/>
              <w:textAlignment w:val="baseline"/>
            </w:pPr>
            <w:r w:rsidRPr="00BC0E7E">
              <w:t>Humira</w:t>
            </w:r>
          </w:p>
          <w:p w14:paraId="620796B4" w14:textId="77777777" w:rsidR="00BC0E7E" w:rsidRPr="00BC0E7E" w:rsidRDefault="00944B8F" w:rsidP="007F079A">
            <w:pPr>
              <w:keepNext/>
              <w:tabs>
                <w:tab w:val="clear" w:pos="562"/>
              </w:tabs>
              <w:suppressAutoHyphens w:val="0"/>
              <w:jc w:val="center"/>
              <w:rPr>
                <w:szCs w:val="22"/>
              </w:rPr>
            </w:pPr>
            <w:r w:rsidRPr="00BC0E7E">
              <w:rPr>
                <w:szCs w:val="2"/>
              </w:rPr>
              <w:t xml:space="preserve">40 mg eow </w:t>
            </w:r>
            <w:r w:rsidRPr="00BC0E7E">
              <w:rPr>
                <w:szCs w:val="2"/>
              </w:rPr>
              <w:br/>
              <w:t>N=109</w:t>
            </w:r>
          </w:p>
        </w:tc>
        <w:tc>
          <w:tcPr>
            <w:tcW w:w="2268" w:type="dxa"/>
          </w:tcPr>
          <w:p w14:paraId="582D6323" w14:textId="77777777" w:rsidR="00BC0E7E" w:rsidRPr="00BC0E7E" w:rsidRDefault="00944B8F" w:rsidP="007F079A">
            <w:pPr>
              <w:keepNext/>
              <w:tabs>
                <w:tab w:val="clear" w:pos="562"/>
              </w:tabs>
              <w:overflowPunct w:val="0"/>
              <w:autoSpaceDE w:val="0"/>
              <w:autoSpaceDN w:val="0"/>
              <w:adjustRightInd w:val="0"/>
              <w:jc w:val="center"/>
              <w:textAlignment w:val="baseline"/>
            </w:pPr>
            <w:r w:rsidRPr="00BC0E7E">
              <w:t>Humira</w:t>
            </w:r>
          </w:p>
          <w:p w14:paraId="60411732" w14:textId="77777777" w:rsidR="00BC0E7E" w:rsidRPr="00BC0E7E" w:rsidRDefault="00944B8F" w:rsidP="007F079A">
            <w:pPr>
              <w:keepNext/>
              <w:tabs>
                <w:tab w:val="clear" w:pos="562"/>
              </w:tabs>
              <w:suppressAutoHyphens w:val="0"/>
              <w:jc w:val="center"/>
              <w:rPr>
                <w:szCs w:val="22"/>
              </w:rPr>
            </w:pPr>
            <w:r w:rsidRPr="00BC0E7E">
              <w:rPr>
                <w:szCs w:val="2"/>
              </w:rPr>
              <w:t xml:space="preserve">40 mg eow </w:t>
            </w:r>
            <w:r w:rsidRPr="00BC0E7E">
              <w:rPr>
                <w:szCs w:val="2"/>
              </w:rPr>
              <w:br/>
              <w:t>N=80</w:t>
            </w:r>
          </w:p>
        </w:tc>
      </w:tr>
      <w:tr w:rsidR="00C6578C" w14:paraId="2B76EC1C" w14:textId="77777777" w:rsidTr="00171601">
        <w:tc>
          <w:tcPr>
            <w:tcW w:w="2718" w:type="dxa"/>
          </w:tcPr>
          <w:p w14:paraId="4265CA37" w14:textId="77777777" w:rsidR="00BC0E7E" w:rsidRPr="00BC0E7E" w:rsidRDefault="00944B8F" w:rsidP="007F079A">
            <w:pPr>
              <w:keepNext/>
              <w:tabs>
                <w:tab w:val="clear" w:pos="562"/>
              </w:tabs>
              <w:suppressAutoHyphens w:val="0"/>
              <w:rPr>
                <w:szCs w:val="22"/>
              </w:rPr>
            </w:pPr>
            <w:r w:rsidRPr="00BC0E7E">
              <w:rPr>
                <w:szCs w:val="2"/>
              </w:rPr>
              <w:t>≥ mNAPSI 75 (%)</w:t>
            </w:r>
          </w:p>
        </w:tc>
        <w:tc>
          <w:tcPr>
            <w:tcW w:w="1080" w:type="dxa"/>
          </w:tcPr>
          <w:p w14:paraId="560B6E0E" w14:textId="77777777" w:rsidR="00BC0E7E" w:rsidRPr="00BC0E7E" w:rsidRDefault="00944B8F" w:rsidP="007F079A">
            <w:pPr>
              <w:keepNext/>
              <w:tabs>
                <w:tab w:val="clear" w:pos="562"/>
              </w:tabs>
              <w:suppressAutoHyphens w:val="0"/>
              <w:jc w:val="center"/>
              <w:rPr>
                <w:szCs w:val="22"/>
              </w:rPr>
            </w:pPr>
            <w:r w:rsidRPr="00BC0E7E">
              <w:rPr>
                <w:szCs w:val="22"/>
              </w:rPr>
              <w:t>2.9</w:t>
            </w:r>
          </w:p>
        </w:tc>
        <w:tc>
          <w:tcPr>
            <w:tcW w:w="1260" w:type="dxa"/>
          </w:tcPr>
          <w:p w14:paraId="0F89F345" w14:textId="77777777" w:rsidR="00BC0E7E" w:rsidRPr="00BC0E7E" w:rsidRDefault="00944B8F" w:rsidP="007F079A">
            <w:pPr>
              <w:keepNext/>
              <w:tabs>
                <w:tab w:val="clear" w:pos="562"/>
              </w:tabs>
              <w:suppressAutoHyphens w:val="0"/>
              <w:jc w:val="center"/>
              <w:rPr>
                <w:szCs w:val="22"/>
              </w:rPr>
            </w:pPr>
            <w:r w:rsidRPr="00BC0E7E">
              <w:rPr>
                <w:szCs w:val="22"/>
              </w:rPr>
              <w:t>26.0</w:t>
            </w:r>
            <w:r w:rsidRPr="00BC0E7E">
              <w:rPr>
                <w:szCs w:val="22"/>
                <w:vertAlign w:val="superscript"/>
              </w:rPr>
              <w:t>a</w:t>
            </w:r>
          </w:p>
        </w:tc>
        <w:tc>
          <w:tcPr>
            <w:tcW w:w="990" w:type="dxa"/>
          </w:tcPr>
          <w:p w14:paraId="3A464BEC" w14:textId="77777777" w:rsidR="00BC0E7E" w:rsidRPr="00BC0E7E" w:rsidRDefault="00944B8F" w:rsidP="007F079A">
            <w:pPr>
              <w:keepNext/>
              <w:jc w:val="center"/>
              <w:rPr>
                <w:szCs w:val="22"/>
              </w:rPr>
            </w:pPr>
            <w:r w:rsidRPr="00BC0E7E">
              <w:rPr>
                <w:szCs w:val="22"/>
              </w:rPr>
              <w:t>3.4</w:t>
            </w:r>
          </w:p>
        </w:tc>
        <w:tc>
          <w:tcPr>
            <w:tcW w:w="1260" w:type="dxa"/>
          </w:tcPr>
          <w:p w14:paraId="35DB7CDE" w14:textId="77777777" w:rsidR="00BC0E7E" w:rsidRPr="00BC0E7E" w:rsidRDefault="00944B8F" w:rsidP="007F079A">
            <w:pPr>
              <w:keepNext/>
              <w:jc w:val="center"/>
              <w:rPr>
                <w:szCs w:val="22"/>
              </w:rPr>
            </w:pPr>
            <w:r w:rsidRPr="00BC0E7E">
              <w:rPr>
                <w:szCs w:val="22"/>
              </w:rPr>
              <w:t>46.6</w:t>
            </w:r>
            <w:r w:rsidRPr="00BC0E7E">
              <w:rPr>
                <w:szCs w:val="22"/>
                <w:vertAlign w:val="superscript"/>
              </w:rPr>
              <w:t>a</w:t>
            </w:r>
          </w:p>
        </w:tc>
        <w:tc>
          <w:tcPr>
            <w:tcW w:w="2268" w:type="dxa"/>
          </w:tcPr>
          <w:p w14:paraId="40522C36" w14:textId="77777777" w:rsidR="00BC0E7E" w:rsidRPr="00BC0E7E" w:rsidRDefault="00944B8F" w:rsidP="007F079A">
            <w:pPr>
              <w:keepNext/>
              <w:tabs>
                <w:tab w:val="clear" w:pos="562"/>
              </w:tabs>
              <w:suppressAutoHyphens w:val="0"/>
              <w:jc w:val="center"/>
              <w:rPr>
                <w:szCs w:val="22"/>
              </w:rPr>
            </w:pPr>
            <w:r w:rsidRPr="00BC0E7E">
              <w:rPr>
                <w:szCs w:val="22"/>
              </w:rPr>
              <w:t>65.0</w:t>
            </w:r>
          </w:p>
        </w:tc>
      </w:tr>
      <w:tr w:rsidR="00C6578C" w14:paraId="54F73ADE" w14:textId="77777777" w:rsidTr="00171601">
        <w:tc>
          <w:tcPr>
            <w:tcW w:w="2718" w:type="dxa"/>
          </w:tcPr>
          <w:p w14:paraId="0C4CB582" w14:textId="77777777" w:rsidR="00BC0E7E" w:rsidRPr="00BC0E7E" w:rsidRDefault="00944B8F" w:rsidP="007F079A">
            <w:pPr>
              <w:keepNext/>
              <w:tabs>
                <w:tab w:val="clear" w:pos="562"/>
              </w:tabs>
              <w:suppressAutoHyphens w:val="0"/>
              <w:rPr>
                <w:szCs w:val="22"/>
              </w:rPr>
            </w:pPr>
            <w:r w:rsidRPr="00BC0E7E">
              <w:rPr>
                <w:szCs w:val="22"/>
              </w:rPr>
              <w:t>PGA-F clear/minimal and ≥2-grade improvement (%)</w:t>
            </w:r>
          </w:p>
        </w:tc>
        <w:tc>
          <w:tcPr>
            <w:tcW w:w="1080" w:type="dxa"/>
          </w:tcPr>
          <w:p w14:paraId="75DBECB4" w14:textId="77777777" w:rsidR="00BC0E7E" w:rsidRPr="00BC0E7E" w:rsidRDefault="00944B8F" w:rsidP="007F079A">
            <w:pPr>
              <w:keepNext/>
              <w:tabs>
                <w:tab w:val="clear" w:pos="562"/>
              </w:tabs>
              <w:suppressAutoHyphens w:val="0"/>
              <w:jc w:val="center"/>
              <w:rPr>
                <w:szCs w:val="22"/>
              </w:rPr>
            </w:pPr>
            <w:r w:rsidRPr="00BC0E7E">
              <w:rPr>
                <w:szCs w:val="22"/>
              </w:rPr>
              <w:t>2.9</w:t>
            </w:r>
          </w:p>
        </w:tc>
        <w:tc>
          <w:tcPr>
            <w:tcW w:w="1260" w:type="dxa"/>
          </w:tcPr>
          <w:p w14:paraId="1114A33D" w14:textId="77777777" w:rsidR="00BC0E7E" w:rsidRPr="00BC0E7E" w:rsidRDefault="00944B8F" w:rsidP="007F079A">
            <w:pPr>
              <w:keepNext/>
              <w:tabs>
                <w:tab w:val="clear" w:pos="562"/>
              </w:tabs>
              <w:suppressAutoHyphens w:val="0"/>
              <w:jc w:val="center"/>
              <w:rPr>
                <w:szCs w:val="22"/>
              </w:rPr>
            </w:pPr>
            <w:r w:rsidRPr="00BC0E7E">
              <w:rPr>
                <w:szCs w:val="22"/>
              </w:rPr>
              <w:t>29.7</w:t>
            </w:r>
            <w:r w:rsidRPr="00BC0E7E">
              <w:rPr>
                <w:szCs w:val="22"/>
                <w:vertAlign w:val="superscript"/>
              </w:rPr>
              <w:t>a</w:t>
            </w:r>
          </w:p>
        </w:tc>
        <w:tc>
          <w:tcPr>
            <w:tcW w:w="990" w:type="dxa"/>
          </w:tcPr>
          <w:p w14:paraId="5FC719B9" w14:textId="77777777" w:rsidR="00BC0E7E" w:rsidRPr="00BC0E7E" w:rsidRDefault="00944B8F" w:rsidP="007F079A">
            <w:pPr>
              <w:keepNext/>
              <w:jc w:val="center"/>
              <w:rPr>
                <w:szCs w:val="22"/>
              </w:rPr>
            </w:pPr>
            <w:r w:rsidRPr="00BC0E7E">
              <w:rPr>
                <w:szCs w:val="22"/>
              </w:rPr>
              <w:t>6.9</w:t>
            </w:r>
          </w:p>
        </w:tc>
        <w:tc>
          <w:tcPr>
            <w:tcW w:w="1260" w:type="dxa"/>
          </w:tcPr>
          <w:p w14:paraId="7432C1BE" w14:textId="77777777" w:rsidR="00BC0E7E" w:rsidRPr="00BC0E7E" w:rsidRDefault="00944B8F" w:rsidP="007F079A">
            <w:pPr>
              <w:keepNext/>
              <w:jc w:val="center"/>
              <w:rPr>
                <w:szCs w:val="22"/>
              </w:rPr>
            </w:pPr>
            <w:r w:rsidRPr="00BC0E7E">
              <w:rPr>
                <w:szCs w:val="22"/>
              </w:rPr>
              <w:t>48.9</w:t>
            </w:r>
            <w:r w:rsidRPr="00BC0E7E">
              <w:rPr>
                <w:szCs w:val="22"/>
                <w:vertAlign w:val="superscript"/>
              </w:rPr>
              <w:t>a</w:t>
            </w:r>
          </w:p>
        </w:tc>
        <w:tc>
          <w:tcPr>
            <w:tcW w:w="2268" w:type="dxa"/>
          </w:tcPr>
          <w:p w14:paraId="5A3F99AC" w14:textId="77777777" w:rsidR="00BC0E7E" w:rsidRPr="00BC0E7E" w:rsidRDefault="00944B8F" w:rsidP="007F079A">
            <w:pPr>
              <w:keepNext/>
              <w:tabs>
                <w:tab w:val="clear" w:pos="562"/>
              </w:tabs>
              <w:suppressAutoHyphens w:val="0"/>
              <w:jc w:val="center"/>
              <w:rPr>
                <w:szCs w:val="22"/>
              </w:rPr>
            </w:pPr>
            <w:r w:rsidRPr="00BC0E7E">
              <w:rPr>
                <w:szCs w:val="22"/>
              </w:rPr>
              <w:t>61.3</w:t>
            </w:r>
          </w:p>
        </w:tc>
      </w:tr>
      <w:tr w:rsidR="00C6578C" w14:paraId="30FD7049" w14:textId="77777777" w:rsidTr="00171601">
        <w:tc>
          <w:tcPr>
            <w:tcW w:w="2718" w:type="dxa"/>
          </w:tcPr>
          <w:p w14:paraId="2B9A3941" w14:textId="77777777" w:rsidR="00BC0E7E" w:rsidRPr="00BC0E7E" w:rsidRDefault="00944B8F" w:rsidP="007F079A">
            <w:pPr>
              <w:keepNext/>
              <w:tabs>
                <w:tab w:val="clear" w:pos="562"/>
              </w:tabs>
              <w:suppressAutoHyphens w:val="0"/>
              <w:rPr>
                <w:szCs w:val="22"/>
              </w:rPr>
            </w:pPr>
            <w:r w:rsidRPr="00BC0E7E">
              <w:rPr>
                <w:szCs w:val="22"/>
              </w:rPr>
              <w:t>Percent Change in Total Fingernail NAPSI (%)</w:t>
            </w:r>
          </w:p>
        </w:tc>
        <w:tc>
          <w:tcPr>
            <w:tcW w:w="1080" w:type="dxa"/>
          </w:tcPr>
          <w:p w14:paraId="56934DF3" w14:textId="77777777" w:rsidR="00BC0E7E" w:rsidRPr="00BC0E7E" w:rsidRDefault="00944B8F" w:rsidP="007F079A">
            <w:pPr>
              <w:keepNext/>
              <w:tabs>
                <w:tab w:val="clear" w:pos="562"/>
              </w:tabs>
              <w:suppressAutoHyphens w:val="0"/>
              <w:jc w:val="center"/>
              <w:rPr>
                <w:szCs w:val="22"/>
              </w:rPr>
            </w:pPr>
            <w:r w:rsidRPr="00BC0E7E">
              <w:rPr>
                <w:szCs w:val="22"/>
              </w:rPr>
              <w:t>-7.8</w:t>
            </w:r>
          </w:p>
        </w:tc>
        <w:tc>
          <w:tcPr>
            <w:tcW w:w="1260" w:type="dxa"/>
          </w:tcPr>
          <w:p w14:paraId="6C224D39" w14:textId="77777777" w:rsidR="00BC0E7E" w:rsidRPr="00BC0E7E" w:rsidRDefault="00944B8F" w:rsidP="007F079A">
            <w:pPr>
              <w:keepNext/>
              <w:tabs>
                <w:tab w:val="clear" w:pos="562"/>
              </w:tabs>
              <w:suppressAutoHyphens w:val="0"/>
              <w:jc w:val="center"/>
              <w:rPr>
                <w:szCs w:val="22"/>
              </w:rPr>
            </w:pPr>
            <w:r w:rsidRPr="00BC0E7E">
              <w:rPr>
                <w:szCs w:val="22"/>
              </w:rPr>
              <w:t>-44.2</w:t>
            </w:r>
            <w:r w:rsidRPr="00BC0E7E">
              <w:rPr>
                <w:szCs w:val="22"/>
                <w:vertAlign w:val="superscript"/>
              </w:rPr>
              <w:t xml:space="preserve"> a</w:t>
            </w:r>
          </w:p>
        </w:tc>
        <w:tc>
          <w:tcPr>
            <w:tcW w:w="990" w:type="dxa"/>
          </w:tcPr>
          <w:p w14:paraId="7AF97DC3" w14:textId="77777777" w:rsidR="00BC0E7E" w:rsidRPr="00BC0E7E" w:rsidRDefault="00944B8F" w:rsidP="007F079A">
            <w:pPr>
              <w:keepNext/>
              <w:jc w:val="center"/>
              <w:rPr>
                <w:szCs w:val="22"/>
              </w:rPr>
            </w:pPr>
            <w:r w:rsidRPr="00BC0E7E">
              <w:rPr>
                <w:szCs w:val="22"/>
              </w:rPr>
              <w:t>-11.5</w:t>
            </w:r>
          </w:p>
        </w:tc>
        <w:tc>
          <w:tcPr>
            <w:tcW w:w="1260" w:type="dxa"/>
          </w:tcPr>
          <w:p w14:paraId="505A9DFF" w14:textId="77777777" w:rsidR="00BC0E7E" w:rsidRPr="00BC0E7E" w:rsidRDefault="00944B8F" w:rsidP="007F079A">
            <w:pPr>
              <w:keepNext/>
              <w:jc w:val="center"/>
              <w:rPr>
                <w:szCs w:val="22"/>
              </w:rPr>
            </w:pPr>
            <w:r w:rsidRPr="00BC0E7E">
              <w:rPr>
                <w:szCs w:val="22"/>
              </w:rPr>
              <w:t>-56.2</w:t>
            </w:r>
            <w:r w:rsidRPr="00BC0E7E">
              <w:rPr>
                <w:szCs w:val="22"/>
                <w:vertAlign w:val="superscript"/>
              </w:rPr>
              <w:t>a</w:t>
            </w:r>
          </w:p>
        </w:tc>
        <w:tc>
          <w:tcPr>
            <w:tcW w:w="2268" w:type="dxa"/>
          </w:tcPr>
          <w:p w14:paraId="3F6C18BA" w14:textId="77777777" w:rsidR="00BC0E7E" w:rsidRPr="00BC0E7E" w:rsidRDefault="00944B8F" w:rsidP="007F079A">
            <w:pPr>
              <w:keepNext/>
              <w:tabs>
                <w:tab w:val="clear" w:pos="562"/>
              </w:tabs>
              <w:suppressAutoHyphens w:val="0"/>
              <w:jc w:val="center"/>
              <w:rPr>
                <w:szCs w:val="22"/>
              </w:rPr>
            </w:pPr>
            <w:r w:rsidRPr="00BC0E7E">
              <w:rPr>
                <w:szCs w:val="22"/>
              </w:rPr>
              <w:t>-72.2</w:t>
            </w:r>
          </w:p>
        </w:tc>
      </w:tr>
      <w:tr w:rsidR="00C6578C" w14:paraId="1DC3E8F5" w14:textId="77777777" w:rsidTr="00171601">
        <w:tc>
          <w:tcPr>
            <w:tcW w:w="9576" w:type="dxa"/>
            <w:gridSpan w:val="6"/>
          </w:tcPr>
          <w:p w14:paraId="05C97CC3" w14:textId="77777777" w:rsidR="00BC0E7E" w:rsidRPr="00BC0E7E" w:rsidRDefault="00944B8F" w:rsidP="007F079A">
            <w:pPr>
              <w:keepNext/>
              <w:tabs>
                <w:tab w:val="clear" w:pos="562"/>
              </w:tabs>
              <w:suppressAutoHyphens w:val="0"/>
              <w:rPr>
                <w:szCs w:val="22"/>
              </w:rPr>
            </w:pPr>
            <w:r w:rsidRPr="00BC0E7E">
              <w:rPr>
                <w:szCs w:val="22"/>
                <w:vertAlign w:val="superscript"/>
              </w:rPr>
              <w:t>a</w:t>
            </w:r>
            <w:r w:rsidRPr="00BC0E7E">
              <w:rPr>
                <w:szCs w:val="22"/>
              </w:rPr>
              <w:t xml:space="preserve"> p&lt;0.001, Humira </w:t>
            </w:r>
            <w:r w:rsidRPr="00BC0E7E">
              <w:rPr>
                <w:i/>
                <w:szCs w:val="22"/>
              </w:rPr>
              <w:t>vs.</w:t>
            </w:r>
            <w:r w:rsidRPr="00BC0E7E">
              <w:rPr>
                <w:szCs w:val="22"/>
              </w:rPr>
              <w:t xml:space="preserve"> placebo </w:t>
            </w:r>
          </w:p>
        </w:tc>
      </w:tr>
    </w:tbl>
    <w:p w14:paraId="7FCCC79B" w14:textId="77777777" w:rsidR="00BC0E7E" w:rsidRPr="00BC0E7E" w:rsidRDefault="00BC0E7E" w:rsidP="00BC0E7E">
      <w:pPr>
        <w:tabs>
          <w:tab w:val="clear" w:pos="562"/>
        </w:tabs>
        <w:suppressAutoHyphens w:val="0"/>
        <w:rPr>
          <w:szCs w:val="22"/>
        </w:rPr>
      </w:pPr>
    </w:p>
    <w:p w14:paraId="6E1285E2" w14:textId="77777777" w:rsidR="00BC0E7E" w:rsidRPr="00BC0E7E" w:rsidRDefault="00944B8F" w:rsidP="00BC0E7E">
      <w:pPr>
        <w:rPr>
          <w:szCs w:val="22"/>
        </w:rPr>
      </w:pPr>
      <w:r w:rsidRPr="00BC0E7E">
        <w:rPr>
          <w:szCs w:val="22"/>
        </w:rPr>
        <w:t xml:space="preserve">Humira treated patients showed statistically significant improvements at Week 26 compared with placebo in the DLQI. </w:t>
      </w:r>
    </w:p>
    <w:p w14:paraId="57A7239D" w14:textId="77777777" w:rsidR="00BC0E7E" w:rsidRPr="007F079A" w:rsidRDefault="00BC0E7E" w:rsidP="00BC0E7E">
      <w:pPr>
        <w:keepNext/>
        <w:tabs>
          <w:tab w:val="clear" w:pos="562"/>
        </w:tabs>
        <w:suppressAutoHyphens w:val="0"/>
        <w:rPr>
          <w:bCs/>
          <w:szCs w:val="22"/>
        </w:rPr>
      </w:pPr>
    </w:p>
    <w:p w14:paraId="420E2942" w14:textId="77777777" w:rsidR="00BC0E7E" w:rsidRPr="00BC0E7E" w:rsidRDefault="00944B8F" w:rsidP="00BC0E7E">
      <w:pPr>
        <w:keepNext/>
        <w:rPr>
          <w:i/>
          <w:szCs w:val="22"/>
        </w:rPr>
      </w:pPr>
      <w:r w:rsidRPr="00BC0E7E">
        <w:rPr>
          <w:i/>
          <w:szCs w:val="22"/>
        </w:rPr>
        <w:t>Hidradenitis suppurativa</w:t>
      </w:r>
    </w:p>
    <w:p w14:paraId="3451A00B" w14:textId="77777777" w:rsidR="00BC0E7E" w:rsidRPr="00BC0E7E" w:rsidRDefault="00BC0E7E" w:rsidP="00BC0E7E">
      <w:pPr>
        <w:keepNext/>
        <w:rPr>
          <w:szCs w:val="22"/>
          <w:u w:val="single"/>
        </w:rPr>
      </w:pPr>
    </w:p>
    <w:p w14:paraId="3A75A262" w14:textId="77777777" w:rsidR="00BC0E7E" w:rsidRPr="00BC0E7E" w:rsidRDefault="00944B8F" w:rsidP="00BC0E7E">
      <w:pPr>
        <w:keepNext/>
        <w:tabs>
          <w:tab w:val="clear" w:pos="562"/>
        </w:tabs>
        <w:suppressAutoHyphens w:val="0"/>
        <w:rPr>
          <w:rFonts w:eastAsia="MS Mincho"/>
          <w:szCs w:val="22"/>
          <w:lang w:eastAsia="ja-JP"/>
        </w:rPr>
      </w:pPr>
      <w:r w:rsidRPr="00BC0E7E">
        <w:rPr>
          <w:rFonts w:eastAsia="MS Mincho"/>
          <w:szCs w:val="22"/>
          <w:lang w:eastAsia="ja-JP"/>
        </w:rPr>
        <w:t>The safety and efficacy of Humira were assessed in randomised, double-blind, placebo-controlled studies and an open-label extension study in adult patients with moderate to severe hidradenitis suppurativa (HS) who were intolerant, had a contraindication or an inadequate response to at least a 3-month trial of systemic antibiotic therapy.  The patients in HS-I and HS-II had Hurley Stage II or III disease with at least 3 abscesses or inflammatory nodules.</w:t>
      </w:r>
    </w:p>
    <w:p w14:paraId="4DE36204" w14:textId="77777777" w:rsidR="00BC0E7E" w:rsidRPr="00BC0E7E" w:rsidRDefault="00BC0E7E" w:rsidP="00BC0E7E">
      <w:pPr>
        <w:tabs>
          <w:tab w:val="clear" w:pos="562"/>
        </w:tabs>
        <w:suppressAutoHyphens w:val="0"/>
        <w:rPr>
          <w:rFonts w:eastAsia="MS Mincho"/>
          <w:szCs w:val="22"/>
          <w:lang w:eastAsia="ja-JP"/>
        </w:rPr>
      </w:pPr>
    </w:p>
    <w:p w14:paraId="27341A2F" w14:textId="77777777" w:rsidR="00BC0E7E" w:rsidRPr="00BC0E7E" w:rsidRDefault="00944B8F" w:rsidP="00BC0E7E">
      <w:pPr>
        <w:tabs>
          <w:tab w:val="clear" w:pos="562"/>
        </w:tabs>
        <w:suppressAutoHyphens w:val="0"/>
        <w:rPr>
          <w:rFonts w:eastAsia="MS Mincho"/>
          <w:szCs w:val="22"/>
          <w:lang w:eastAsia="ja-JP"/>
        </w:rPr>
      </w:pPr>
      <w:r w:rsidRPr="00BC0E7E">
        <w:rPr>
          <w:rFonts w:eastAsia="MS Mincho"/>
          <w:szCs w:val="22"/>
          <w:lang w:eastAsia="ja-JP"/>
        </w:rPr>
        <w:t>Study HS-I (PIONEER I) evaluated 307 patients with 2 treatment periods.  In Period A, patients received placebo or Humira at an initial dose of 160 mg at Week 0, 80 mg at Week 2, and 40 mg every week starting at Week 4 to Week 11.  Concomitant antibiotic use was not allowed during the study.  After 12 weeks of therapy, patients who had received Humira in Period A were re</w:t>
      </w:r>
      <w:r w:rsidRPr="00BC0E7E">
        <w:rPr>
          <w:rFonts w:eastAsia="MS Mincho"/>
          <w:szCs w:val="22"/>
          <w:lang w:eastAsia="ja-JP"/>
        </w:rPr>
        <w:noBreakHyphen/>
        <w:t>randomised in Period B to 1 of 3 treatment groups (Humira 40 mg every week, Humira 40 mg every other week, or placebo from Week 12 to Week 35).  Patients who had been randomised to placebo in Period A were assigned to receive Humira 40 mg every week in Period B.</w:t>
      </w:r>
    </w:p>
    <w:p w14:paraId="14DD31AD" w14:textId="77777777" w:rsidR="00BC0E7E" w:rsidRPr="00BC0E7E" w:rsidRDefault="00BC0E7E" w:rsidP="00BC0E7E">
      <w:pPr>
        <w:tabs>
          <w:tab w:val="clear" w:pos="562"/>
        </w:tabs>
        <w:suppressAutoHyphens w:val="0"/>
        <w:rPr>
          <w:rFonts w:eastAsia="MS Mincho"/>
          <w:szCs w:val="22"/>
          <w:lang w:eastAsia="ja-JP"/>
        </w:rPr>
      </w:pPr>
    </w:p>
    <w:p w14:paraId="04C780F5" w14:textId="77777777" w:rsidR="00BC0E7E" w:rsidRPr="00BC0E7E" w:rsidRDefault="00944B8F" w:rsidP="00BC0E7E">
      <w:pPr>
        <w:tabs>
          <w:tab w:val="clear" w:pos="562"/>
        </w:tabs>
        <w:suppressAutoHyphens w:val="0"/>
        <w:rPr>
          <w:rFonts w:eastAsia="MS Mincho"/>
          <w:szCs w:val="22"/>
          <w:lang w:eastAsia="ja-JP"/>
        </w:rPr>
      </w:pPr>
      <w:r w:rsidRPr="00BC0E7E">
        <w:rPr>
          <w:rFonts w:eastAsia="MS Mincho"/>
          <w:szCs w:val="22"/>
          <w:lang w:eastAsia="ja-JP"/>
        </w:rPr>
        <w:t>Study HS-II (PIONEER II) evaluated 326 patients with 2 treatment periods.  In Period A, patients received placebo or Humira at an initial dose of 160 mg at Week 0 and 80 mg at Week 2 and 40 mg every week starting at Week 4 to Week 11.  19.3% of patients had continued baseline oral antibiotic therapy during the study.  After 12 weeks of therapy, patients who had received Humira in Period A were re</w:t>
      </w:r>
      <w:r w:rsidRPr="00BC0E7E">
        <w:rPr>
          <w:rFonts w:eastAsia="MS Mincho"/>
          <w:szCs w:val="22"/>
          <w:lang w:eastAsia="ja-JP"/>
        </w:rPr>
        <w:noBreakHyphen/>
        <w:t>randomised in Period B to 1 of 3 treatment groups (Humira 40 mg every week, Humira 40 mg every other week, or placebo from Week 12 to Week 35).  Patients who had been randomised to placebo in Period A were assigned to receive placebo in Period B.</w:t>
      </w:r>
    </w:p>
    <w:p w14:paraId="74AAF8F0" w14:textId="77777777" w:rsidR="00BC0E7E" w:rsidRPr="00BC0E7E" w:rsidRDefault="00BC0E7E" w:rsidP="00BC0E7E">
      <w:pPr>
        <w:tabs>
          <w:tab w:val="clear" w:pos="562"/>
        </w:tabs>
        <w:suppressAutoHyphens w:val="0"/>
        <w:rPr>
          <w:rFonts w:eastAsia="MS Mincho"/>
          <w:szCs w:val="22"/>
          <w:lang w:eastAsia="ja-JP"/>
        </w:rPr>
      </w:pPr>
    </w:p>
    <w:p w14:paraId="5E1D0965" w14:textId="77777777" w:rsidR="00BC0E7E" w:rsidRPr="00BC0E7E" w:rsidRDefault="00944B8F" w:rsidP="00BC0E7E">
      <w:pPr>
        <w:tabs>
          <w:tab w:val="clear" w:pos="562"/>
        </w:tabs>
        <w:suppressAutoHyphens w:val="0"/>
        <w:rPr>
          <w:rFonts w:eastAsia="MS Mincho"/>
          <w:szCs w:val="22"/>
          <w:lang w:eastAsia="ja-JP"/>
        </w:rPr>
      </w:pPr>
      <w:r w:rsidRPr="00BC0E7E">
        <w:rPr>
          <w:rFonts w:eastAsia="MS Mincho"/>
          <w:szCs w:val="22"/>
          <w:lang w:eastAsia="ja-JP"/>
        </w:rPr>
        <w:lastRenderedPageBreak/>
        <w:t>Patients participating in Studies HS-I and HS-II were eligible to enrol into an open</w:t>
      </w:r>
      <w:r w:rsidRPr="00BC0E7E">
        <w:rPr>
          <w:rFonts w:eastAsia="MS Mincho"/>
          <w:szCs w:val="22"/>
          <w:lang w:eastAsia="ja-JP"/>
        </w:rPr>
        <w:noBreakHyphen/>
        <w:t>label extension study in which Humira 40mg was administered every week.</w:t>
      </w:r>
      <w:r w:rsidRPr="00BC0E7E">
        <w:rPr>
          <w:lang w:eastAsia="ja-JP"/>
        </w:rPr>
        <w:t xml:space="preserve"> Mean exposure in all adalimumab population was 762 days.</w:t>
      </w:r>
      <w:r w:rsidRPr="00BC0E7E">
        <w:rPr>
          <w:rFonts w:eastAsia="MS Mincho"/>
          <w:szCs w:val="22"/>
          <w:lang w:eastAsia="ja-JP"/>
        </w:rPr>
        <w:t xml:space="preserve">  Throughout all 3 studies patients used topical antiseptic wash daily.</w:t>
      </w:r>
    </w:p>
    <w:p w14:paraId="1AFE4B6C" w14:textId="77777777" w:rsidR="00BC0E7E" w:rsidRPr="00BC0E7E" w:rsidRDefault="00BC0E7E" w:rsidP="00BC0E7E">
      <w:pPr>
        <w:tabs>
          <w:tab w:val="clear" w:pos="562"/>
        </w:tabs>
        <w:suppressAutoHyphens w:val="0"/>
        <w:rPr>
          <w:rFonts w:eastAsia="MS Mincho"/>
          <w:szCs w:val="22"/>
          <w:lang w:eastAsia="ja-JP"/>
        </w:rPr>
      </w:pPr>
    </w:p>
    <w:p w14:paraId="28A03F02" w14:textId="77777777" w:rsidR="00BC0E7E" w:rsidRPr="00BC0E7E" w:rsidRDefault="00944B8F" w:rsidP="00BC0E7E">
      <w:pPr>
        <w:keepNext/>
        <w:keepLines/>
        <w:tabs>
          <w:tab w:val="clear" w:pos="562"/>
        </w:tabs>
        <w:suppressAutoHyphens w:val="0"/>
        <w:rPr>
          <w:rFonts w:eastAsia="MS Mincho"/>
          <w:bCs/>
          <w:i/>
          <w:szCs w:val="22"/>
          <w:u w:val="single"/>
          <w:lang w:eastAsia="ja-JP"/>
        </w:rPr>
      </w:pPr>
      <w:r w:rsidRPr="00BC0E7E">
        <w:rPr>
          <w:rFonts w:eastAsia="MS Mincho"/>
          <w:bCs/>
          <w:i/>
          <w:szCs w:val="22"/>
          <w:u w:val="single"/>
          <w:lang w:eastAsia="ja-JP"/>
        </w:rPr>
        <w:t>Clinical Response</w:t>
      </w:r>
    </w:p>
    <w:p w14:paraId="269E0239" w14:textId="77777777" w:rsidR="00BC0E7E" w:rsidRPr="007F079A" w:rsidRDefault="00BC0E7E" w:rsidP="00BC0E7E">
      <w:pPr>
        <w:tabs>
          <w:tab w:val="clear" w:pos="562"/>
        </w:tabs>
        <w:suppressAutoHyphens w:val="0"/>
        <w:rPr>
          <w:rFonts w:eastAsia="MS Mincho"/>
          <w:szCs w:val="22"/>
          <w:lang w:eastAsia="ja-JP"/>
        </w:rPr>
      </w:pPr>
    </w:p>
    <w:p w14:paraId="16C81E06" w14:textId="77777777" w:rsidR="00BC0E7E" w:rsidRPr="00BC0E7E" w:rsidRDefault="00944B8F" w:rsidP="00BC0E7E">
      <w:pPr>
        <w:tabs>
          <w:tab w:val="clear" w:pos="562"/>
        </w:tabs>
        <w:suppressAutoHyphens w:val="0"/>
        <w:rPr>
          <w:rFonts w:eastAsia="MS Mincho"/>
          <w:szCs w:val="22"/>
          <w:lang w:eastAsia="ja-JP"/>
        </w:rPr>
      </w:pPr>
      <w:r w:rsidRPr="00BC0E7E">
        <w:rPr>
          <w:rFonts w:eastAsia="MS Mincho"/>
          <w:szCs w:val="22"/>
          <w:lang w:eastAsia="ja-JP"/>
        </w:rPr>
        <w:t xml:space="preserve">Reduction of inflammatory lesions and prevention of worsening of abscesses and draining fistulas was assessed using Hidradenitis Suppurativa Clinical Response (HiSCR; at least a 50% reduction in total abscess and inflammatory nodule count with no increase in abscess count and no increase in draining fistula count relative to Baseline).  Reduction in HS-related skin pain was assessed using a Numeric Rating Scale in patients who entered the study with an initial baseline score of 3 or greater on a 11 point scale. </w:t>
      </w:r>
    </w:p>
    <w:p w14:paraId="16349370" w14:textId="77777777" w:rsidR="00BC0E7E" w:rsidRPr="00BC0E7E" w:rsidRDefault="00BC0E7E" w:rsidP="00BC0E7E">
      <w:pPr>
        <w:tabs>
          <w:tab w:val="clear" w:pos="562"/>
        </w:tabs>
        <w:suppressAutoHyphens w:val="0"/>
        <w:rPr>
          <w:rFonts w:eastAsia="MS Mincho"/>
          <w:szCs w:val="22"/>
          <w:lang w:eastAsia="ja-JP"/>
        </w:rPr>
      </w:pPr>
    </w:p>
    <w:p w14:paraId="7A08FF8F" w14:textId="77777777" w:rsidR="00BC0E7E" w:rsidRPr="00BC0E7E" w:rsidRDefault="00944B8F" w:rsidP="00BC0E7E">
      <w:pPr>
        <w:rPr>
          <w:szCs w:val="22"/>
        </w:rPr>
      </w:pPr>
      <w:r w:rsidRPr="00BC0E7E">
        <w:rPr>
          <w:szCs w:val="22"/>
        </w:rPr>
        <w:t xml:space="preserve">At Week 12, a significantly higher proportion of patients treated with Humira versus placebo achieved HiSCR.   At Week 12, a significantly higher proportion of patients in Study HS-II experienced a clinically relevant decrease in HS-related skin pain (see Table </w:t>
      </w:r>
      <w:r w:rsidR="00EC44BE">
        <w:rPr>
          <w:szCs w:val="22"/>
        </w:rPr>
        <w:t>1</w:t>
      </w:r>
      <w:r w:rsidR="005F03EC">
        <w:rPr>
          <w:szCs w:val="22"/>
        </w:rPr>
        <w:t>2</w:t>
      </w:r>
      <w:r w:rsidRPr="00BC0E7E">
        <w:rPr>
          <w:szCs w:val="22"/>
        </w:rPr>
        <w:t>).  Patients treated with Humira had significantly reduced risk of disease flare during the initial 12 weeks of treatment.</w:t>
      </w:r>
    </w:p>
    <w:p w14:paraId="464102EA" w14:textId="77777777" w:rsidR="00BC0E7E" w:rsidRPr="00BC0E7E" w:rsidRDefault="00BC0E7E" w:rsidP="00BC0E7E">
      <w:pPr>
        <w:rPr>
          <w:szCs w:val="22"/>
        </w:rPr>
      </w:pPr>
    </w:p>
    <w:p w14:paraId="4719AF7D" w14:textId="77777777" w:rsidR="00BC0E7E" w:rsidRPr="007F079A" w:rsidRDefault="00944B8F" w:rsidP="002B6EEF">
      <w:pPr>
        <w:keepNext/>
        <w:keepLines/>
        <w:widowControl w:val="0"/>
        <w:tabs>
          <w:tab w:val="clear" w:pos="562"/>
        </w:tabs>
        <w:suppressAutoHyphens w:val="0"/>
        <w:spacing w:line="320" w:lineRule="exact"/>
        <w:ind w:left="360"/>
        <w:jc w:val="center"/>
        <w:rPr>
          <w:rFonts w:eastAsia="MS Mincho"/>
          <w:bCs/>
          <w:iCs/>
          <w:szCs w:val="22"/>
          <w:lang w:eastAsia="ja-JP"/>
        </w:rPr>
      </w:pPr>
      <w:r w:rsidRPr="00BC0E7E">
        <w:rPr>
          <w:rFonts w:eastAsia="MS Mincho"/>
          <w:b/>
          <w:szCs w:val="22"/>
          <w:lang w:eastAsia="ja-JP"/>
        </w:rPr>
        <w:t xml:space="preserve">Table </w:t>
      </w:r>
      <w:r w:rsidR="00EC44BE">
        <w:rPr>
          <w:rFonts w:eastAsia="MS Mincho"/>
          <w:b/>
          <w:szCs w:val="22"/>
          <w:lang w:eastAsia="ja-JP"/>
        </w:rPr>
        <w:t>1</w:t>
      </w:r>
      <w:r w:rsidR="005F03EC">
        <w:rPr>
          <w:rFonts w:eastAsia="MS Mincho"/>
          <w:b/>
          <w:szCs w:val="22"/>
          <w:lang w:eastAsia="ja-JP"/>
        </w:rPr>
        <w:t>2</w:t>
      </w:r>
      <w:r w:rsidRPr="00BC0E7E">
        <w:rPr>
          <w:rFonts w:eastAsia="MS Mincho"/>
          <w:b/>
          <w:szCs w:val="22"/>
          <w:lang w:eastAsia="ja-JP"/>
        </w:rPr>
        <w:t xml:space="preserve">:  </w:t>
      </w:r>
      <w:r w:rsidRPr="00BC0E7E">
        <w:rPr>
          <w:rFonts w:eastAsia="MS Mincho"/>
          <w:b/>
          <w:bCs/>
          <w:iCs/>
          <w:szCs w:val="22"/>
          <w:lang w:eastAsia="ja-JP"/>
        </w:rPr>
        <w:t>Efficacy Results at 12 Weeks, HS Studies I and II</w:t>
      </w:r>
    </w:p>
    <w:p w14:paraId="3F6E1824" w14:textId="77777777" w:rsidR="002B6EEF" w:rsidRPr="007F079A" w:rsidRDefault="002B6EEF" w:rsidP="002B6EEF">
      <w:pPr>
        <w:keepNext/>
        <w:keepLines/>
        <w:widowControl w:val="0"/>
        <w:tabs>
          <w:tab w:val="clear" w:pos="562"/>
        </w:tabs>
        <w:suppressAutoHyphens w:val="0"/>
        <w:spacing w:line="320" w:lineRule="exact"/>
        <w:ind w:left="360"/>
        <w:jc w:val="center"/>
        <w:rPr>
          <w:rFonts w:eastAsia="MS Mincho"/>
          <w:szCs w:val="22"/>
          <w:lang w:eastAsia="ja-JP"/>
        </w:rPr>
      </w:pP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847"/>
        <w:gridCol w:w="1440"/>
        <w:gridCol w:w="1746"/>
        <w:gridCol w:w="1404"/>
        <w:gridCol w:w="1856"/>
      </w:tblGrid>
      <w:tr w:rsidR="00C6578C" w14:paraId="5265CA5B" w14:textId="77777777" w:rsidTr="00171601">
        <w:trPr>
          <w:jc w:val="center"/>
        </w:trPr>
        <w:tc>
          <w:tcPr>
            <w:tcW w:w="2847" w:type="dxa"/>
            <w:vMerge w:val="restart"/>
            <w:tcMar>
              <w:top w:w="0" w:type="dxa"/>
              <w:left w:w="115" w:type="dxa"/>
              <w:bottom w:w="0" w:type="dxa"/>
              <w:right w:w="115" w:type="dxa"/>
            </w:tcMar>
            <w:vAlign w:val="bottom"/>
          </w:tcPr>
          <w:p w14:paraId="7DA0ECB9" w14:textId="77777777" w:rsidR="00BC0E7E" w:rsidRPr="00BC0E7E" w:rsidRDefault="00BC0E7E" w:rsidP="002B6EEF">
            <w:pPr>
              <w:keepNext/>
              <w:widowControl w:val="0"/>
              <w:rPr>
                <w:b/>
              </w:rPr>
            </w:pPr>
          </w:p>
        </w:tc>
        <w:tc>
          <w:tcPr>
            <w:tcW w:w="3186" w:type="dxa"/>
            <w:gridSpan w:val="2"/>
            <w:tcMar>
              <w:top w:w="0" w:type="dxa"/>
              <w:left w:w="115" w:type="dxa"/>
              <w:bottom w:w="0" w:type="dxa"/>
              <w:right w:w="115" w:type="dxa"/>
            </w:tcMar>
            <w:vAlign w:val="bottom"/>
          </w:tcPr>
          <w:p w14:paraId="21A678A2" w14:textId="77777777" w:rsidR="00BC0E7E" w:rsidRPr="00BC0E7E" w:rsidRDefault="00944B8F" w:rsidP="002B6EEF">
            <w:pPr>
              <w:keepNext/>
              <w:widowControl w:val="0"/>
              <w:jc w:val="center"/>
              <w:rPr>
                <w:b/>
                <w:bCs/>
              </w:rPr>
            </w:pPr>
            <w:r w:rsidRPr="00BC0E7E">
              <w:rPr>
                <w:b/>
                <w:bCs/>
              </w:rPr>
              <w:t>HS Study I</w:t>
            </w:r>
          </w:p>
        </w:tc>
        <w:tc>
          <w:tcPr>
            <w:tcW w:w="3260" w:type="dxa"/>
            <w:gridSpan w:val="2"/>
            <w:tcMar>
              <w:top w:w="0" w:type="dxa"/>
              <w:left w:w="115" w:type="dxa"/>
              <w:bottom w:w="0" w:type="dxa"/>
              <w:right w:w="115" w:type="dxa"/>
            </w:tcMar>
            <w:vAlign w:val="bottom"/>
          </w:tcPr>
          <w:p w14:paraId="0A6EA969" w14:textId="77777777" w:rsidR="00BC0E7E" w:rsidRPr="00BC0E7E" w:rsidRDefault="00944B8F" w:rsidP="002B6EEF">
            <w:pPr>
              <w:keepNext/>
              <w:widowControl w:val="0"/>
              <w:jc w:val="center"/>
              <w:rPr>
                <w:b/>
                <w:bCs/>
              </w:rPr>
            </w:pPr>
            <w:r w:rsidRPr="00BC0E7E">
              <w:rPr>
                <w:b/>
                <w:bCs/>
              </w:rPr>
              <w:t>HS Study II</w:t>
            </w:r>
          </w:p>
        </w:tc>
      </w:tr>
      <w:tr w:rsidR="00C6578C" w14:paraId="2F4F7060" w14:textId="77777777" w:rsidTr="00171601">
        <w:trPr>
          <w:jc w:val="center"/>
        </w:trPr>
        <w:tc>
          <w:tcPr>
            <w:tcW w:w="2847" w:type="dxa"/>
            <w:vMerge/>
            <w:tcMar>
              <w:top w:w="0" w:type="dxa"/>
              <w:left w:w="115" w:type="dxa"/>
              <w:bottom w:w="0" w:type="dxa"/>
              <w:right w:w="115" w:type="dxa"/>
            </w:tcMar>
            <w:vAlign w:val="center"/>
            <w:hideMark/>
          </w:tcPr>
          <w:p w14:paraId="2610DB27" w14:textId="77777777" w:rsidR="00BC0E7E" w:rsidRPr="00BC0E7E" w:rsidRDefault="00BC0E7E" w:rsidP="002B6EEF">
            <w:pPr>
              <w:keepNext/>
              <w:widowControl w:val="0"/>
            </w:pPr>
          </w:p>
        </w:tc>
        <w:tc>
          <w:tcPr>
            <w:tcW w:w="1440" w:type="dxa"/>
            <w:tcMar>
              <w:top w:w="0" w:type="dxa"/>
              <w:left w:w="115" w:type="dxa"/>
              <w:bottom w:w="0" w:type="dxa"/>
              <w:right w:w="115" w:type="dxa"/>
            </w:tcMar>
            <w:vAlign w:val="bottom"/>
            <w:hideMark/>
          </w:tcPr>
          <w:p w14:paraId="6FB435B1" w14:textId="77777777" w:rsidR="00BC0E7E" w:rsidRPr="00BC0E7E" w:rsidRDefault="00944B8F" w:rsidP="002B6EEF">
            <w:pPr>
              <w:keepNext/>
              <w:widowControl w:val="0"/>
              <w:jc w:val="center"/>
            </w:pPr>
            <w:r w:rsidRPr="00BC0E7E">
              <w:rPr>
                <w:b/>
                <w:bCs/>
              </w:rPr>
              <w:t>Placebo</w:t>
            </w:r>
          </w:p>
        </w:tc>
        <w:tc>
          <w:tcPr>
            <w:tcW w:w="1746" w:type="dxa"/>
            <w:tcMar>
              <w:top w:w="0" w:type="dxa"/>
              <w:left w:w="115" w:type="dxa"/>
              <w:bottom w:w="0" w:type="dxa"/>
              <w:right w:w="115" w:type="dxa"/>
            </w:tcMar>
            <w:vAlign w:val="bottom"/>
            <w:hideMark/>
          </w:tcPr>
          <w:p w14:paraId="6F7CAEED" w14:textId="77777777" w:rsidR="00BC0E7E" w:rsidRPr="00BC0E7E" w:rsidRDefault="00944B8F" w:rsidP="002B6EEF">
            <w:pPr>
              <w:keepNext/>
              <w:widowControl w:val="0"/>
              <w:jc w:val="center"/>
              <w:rPr>
                <w:b/>
                <w:bCs/>
              </w:rPr>
            </w:pPr>
            <w:r w:rsidRPr="00BC0E7E">
              <w:rPr>
                <w:b/>
                <w:bCs/>
              </w:rPr>
              <w:t>Humira 40 mg Weekly</w:t>
            </w:r>
          </w:p>
        </w:tc>
        <w:tc>
          <w:tcPr>
            <w:tcW w:w="1404" w:type="dxa"/>
            <w:tcMar>
              <w:top w:w="0" w:type="dxa"/>
              <w:left w:w="115" w:type="dxa"/>
              <w:bottom w:w="0" w:type="dxa"/>
              <w:right w:w="115" w:type="dxa"/>
            </w:tcMar>
            <w:vAlign w:val="bottom"/>
            <w:hideMark/>
          </w:tcPr>
          <w:p w14:paraId="1D4F9C08" w14:textId="77777777" w:rsidR="00BC0E7E" w:rsidRPr="00BC0E7E" w:rsidRDefault="00944B8F" w:rsidP="002B6EEF">
            <w:pPr>
              <w:keepNext/>
              <w:widowControl w:val="0"/>
              <w:jc w:val="center"/>
              <w:rPr>
                <w:b/>
                <w:bCs/>
              </w:rPr>
            </w:pPr>
            <w:r w:rsidRPr="00BC0E7E">
              <w:rPr>
                <w:b/>
                <w:bCs/>
              </w:rPr>
              <w:t xml:space="preserve">Placebo </w:t>
            </w:r>
          </w:p>
        </w:tc>
        <w:tc>
          <w:tcPr>
            <w:tcW w:w="1856" w:type="dxa"/>
            <w:tcMar>
              <w:top w:w="0" w:type="dxa"/>
              <w:left w:w="115" w:type="dxa"/>
              <w:bottom w:w="0" w:type="dxa"/>
              <w:right w:w="115" w:type="dxa"/>
            </w:tcMar>
            <w:vAlign w:val="bottom"/>
            <w:hideMark/>
          </w:tcPr>
          <w:p w14:paraId="1221A1F8" w14:textId="77777777" w:rsidR="00BC0E7E" w:rsidRPr="00BC0E7E" w:rsidRDefault="00944B8F" w:rsidP="002B6EEF">
            <w:pPr>
              <w:keepNext/>
              <w:widowControl w:val="0"/>
              <w:jc w:val="center"/>
              <w:rPr>
                <w:b/>
                <w:bCs/>
              </w:rPr>
            </w:pPr>
            <w:r w:rsidRPr="00BC0E7E">
              <w:rPr>
                <w:b/>
                <w:bCs/>
              </w:rPr>
              <w:t>Humira 40 mg Weekly</w:t>
            </w:r>
          </w:p>
        </w:tc>
      </w:tr>
      <w:tr w:rsidR="00C6578C" w14:paraId="719AA451" w14:textId="77777777" w:rsidTr="00171601">
        <w:trPr>
          <w:trHeight w:val="755"/>
          <w:jc w:val="center"/>
        </w:trPr>
        <w:tc>
          <w:tcPr>
            <w:tcW w:w="2847" w:type="dxa"/>
            <w:tcMar>
              <w:top w:w="0" w:type="dxa"/>
              <w:left w:w="115" w:type="dxa"/>
              <w:bottom w:w="0" w:type="dxa"/>
              <w:right w:w="115" w:type="dxa"/>
            </w:tcMar>
            <w:vAlign w:val="center"/>
            <w:hideMark/>
          </w:tcPr>
          <w:p w14:paraId="1596DF14" w14:textId="77777777" w:rsidR="00BC0E7E" w:rsidRPr="00BC0E7E" w:rsidRDefault="00944B8F" w:rsidP="002B6EEF">
            <w:pPr>
              <w:keepNext/>
              <w:widowControl w:val="0"/>
            </w:pPr>
            <w:r w:rsidRPr="00BC0E7E">
              <w:t>Hidradenitis Suppurativa Clinical Response (HiSCR)</w:t>
            </w:r>
            <w:r w:rsidRPr="00BC0E7E">
              <w:rPr>
                <w:vertAlign w:val="superscript"/>
              </w:rPr>
              <w:t>a</w:t>
            </w:r>
            <w:r w:rsidRPr="00BC0E7E">
              <w:t xml:space="preserve"> </w:t>
            </w:r>
          </w:p>
          <w:p w14:paraId="57F8D1B0" w14:textId="77777777" w:rsidR="00BC0E7E" w:rsidRPr="00BC0E7E" w:rsidRDefault="00BC0E7E" w:rsidP="002B6EEF">
            <w:pPr>
              <w:keepNext/>
              <w:widowControl w:val="0"/>
            </w:pPr>
          </w:p>
        </w:tc>
        <w:tc>
          <w:tcPr>
            <w:tcW w:w="1440" w:type="dxa"/>
            <w:tcMar>
              <w:top w:w="0" w:type="dxa"/>
              <w:left w:w="115" w:type="dxa"/>
              <w:bottom w:w="0" w:type="dxa"/>
              <w:right w:w="115" w:type="dxa"/>
            </w:tcMar>
            <w:hideMark/>
          </w:tcPr>
          <w:p w14:paraId="7F913B74" w14:textId="77777777" w:rsidR="00BC0E7E" w:rsidRPr="00BC0E7E" w:rsidRDefault="00944B8F" w:rsidP="002B6EEF">
            <w:pPr>
              <w:keepNext/>
              <w:widowControl w:val="0"/>
              <w:jc w:val="center"/>
            </w:pPr>
            <w:r w:rsidRPr="00BC0E7E">
              <w:t>N = 154</w:t>
            </w:r>
            <w:r w:rsidRPr="00BC0E7E">
              <w:br/>
              <w:t>40 (26.0%)</w:t>
            </w:r>
          </w:p>
        </w:tc>
        <w:tc>
          <w:tcPr>
            <w:tcW w:w="1746" w:type="dxa"/>
            <w:tcMar>
              <w:top w:w="0" w:type="dxa"/>
              <w:left w:w="115" w:type="dxa"/>
              <w:bottom w:w="0" w:type="dxa"/>
              <w:right w:w="115" w:type="dxa"/>
            </w:tcMar>
            <w:hideMark/>
          </w:tcPr>
          <w:p w14:paraId="01A2CE46" w14:textId="77777777" w:rsidR="00BC0E7E" w:rsidRPr="00BC0E7E" w:rsidRDefault="00944B8F" w:rsidP="002B6EEF">
            <w:pPr>
              <w:keepNext/>
              <w:widowControl w:val="0"/>
              <w:jc w:val="center"/>
            </w:pPr>
            <w:r w:rsidRPr="00BC0E7E">
              <w:t>N = 153</w:t>
            </w:r>
            <w:r w:rsidRPr="00BC0E7E">
              <w:br/>
              <w:t xml:space="preserve">64 (41.8%) </w:t>
            </w:r>
            <w:r w:rsidRPr="00BC0E7E">
              <w:rPr>
                <w:vertAlign w:val="superscript"/>
              </w:rPr>
              <w:t>*</w:t>
            </w:r>
          </w:p>
        </w:tc>
        <w:tc>
          <w:tcPr>
            <w:tcW w:w="1404" w:type="dxa"/>
            <w:tcMar>
              <w:top w:w="0" w:type="dxa"/>
              <w:left w:w="115" w:type="dxa"/>
              <w:bottom w:w="0" w:type="dxa"/>
              <w:right w:w="115" w:type="dxa"/>
            </w:tcMar>
          </w:tcPr>
          <w:p w14:paraId="5DD01417" w14:textId="77777777" w:rsidR="00BC0E7E" w:rsidRPr="00BC0E7E" w:rsidRDefault="00944B8F" w:rsidP="002B6EEF">
            <w:pPr>
              <w:keepNext/>
              <w:widowControl w:val="0"/>
              <w:jc w:val="center"/>
            </w:pPr>
            <w:r w:rsidRPr="00BC0E7E">
              <w:t>N=163</w:t>
            </w:r>
          </w:p>
          <w:p w14:paraId="129FAD32" w14:textId="77777777" w:rsidR="00BC0E7E" w:rsidRPr="00BC0E7E" w:rsidRDefault="00944B8F" w:rsidP="002B6EEF">
            <w:pPr>
              <w:keepNext/>
              <w:widowControl w:val="0"/>
              <w:jc w:val="center"/>
            </w:pPr>
            <w:r w:rsidRPr="00BC0E7E">
              <w:t>45 (27.6%)</w:t>
            </w:r>
          </w:p>
        </w:tc>
        <w:tc>
          <w:tcPr>
            <w:tcW w:w="1856" w:type="dxa"/>
            <w:tcMar>
              <w:top w:w="0" w:type="dxa"/>
              <w:left w:w="115" w:type="dxa"/>
              <w:bottom w:w="0" w:type="dxa"/>
              <w:right w:w="115" w:type="dxa"/>
            </w:tcMar>
          </w:tcPr>
          <w:p w14:paraId="12C41941" w14:textId="77777777" w:rsidR="00BC0E7E" w:rsidRPr="00BC0E7E" w:rsidRDefault="00944B8F" w:rsidP="002B6EEF">
            <w:pPr>
              <w:keepNext/>
              <w:widowControl w:val="0"/>
              <w:jc w:val="center"/>
            </w:pPr>
            <w:r w:rsidRPr="00BC0E7E">
              <w:t>N=163</w:t>
            </w:r>
          </w:p>
          <w:p w14:paraId="08098E09" w14:textId="77777777" w:rsidR="00BC0E7E" w:rsidRPr="00BC0E7E" w:rsidRDefault="00944B8F" w:rsidP="002B6EEF">
            <w:pPr>
              <w:keepNext/>
              <w:widowControl w:val="0"/>
              <w:jc w:val="center"/>
            </w:pPr>
            <w:r w:rsidRPr="00BC0E7E">
              <w:t xml:space="preserve">96 (58.9%) </w:t>
            </w:r>
            <w:r w:rsidRPr="00BC0E7E">
              <w:rPr>
                <w:vertAlign w:val="superscript"/>
              </w:rPr>
              <w:t>***</w:t>
            </w:r>
          </w:p>
        </w:tc>
      </w:tr>
      <w:tr w:rsidR="00C6578C" w14:paraId="09B6E075" w14:textId="77777777" w:rsidTr="00171601">
        <w:trPr>
          <w:jc w:val="center"/>
        </w:trPr>
        <w:tc>
          <w:tcPr>
            <w:tcW w:w="2847" w:type="dxa"/>
            <w:tcMar>
              <w:top w:w="0" w:type="dxa"/>
              <w:left w:w="115" w:type="dxa"/>
              <w:bottom w:w="0" w:type="dxa"/>
              <w:right w:w="115" w:type="dxa"/>
            </w:tcMar>
            <w:vAlign w:val="center"/>
            <w:hideMark/>
          </w:tcPr>
          <w:p w14:paraId="549EA857" w14:textId="77777777" w:rsidR="00BC0E7E" w:rsidRPr="00BC0E7E" w:rsidRDefault="00944B8F" w:rsidP="002B6EEF">
            <w:pPr>
              <w:keepNext/>
              <w:widowControl w:val="0"/>
            </w:pPr>
            <w:r w:rsidRPr="00BC0E7E">
              <w:t>≥30% Reduction in Skin Pain</w:t>
            </w:r>
            <w:r w:rsidRPr="00BC0E7E">
              <w:rPr>
                <w:vertAlign w:val="superscript"/>
              </w:rPr>
              <w:t>b</w:t>
            </w:r>
          </w:p>
        </w:tc>
        <w:tc>
          <w:tcPr>
            <w:tcW w:w="1440" w:type="dxa"/>
            <w:tcMar>
              <w:top w:w="0" w:type="dxa"/>
              <w:left w:w="115" w:type="dxa"/>
              <w:bottom w:w="0" w:type="dxa"/>
              <w:right w:w="115" w:type="dxa"/>
            </w:tcMar>
            <w:hideMark/>
          </w:tcPr>
          <w:p w14:paraId="65AD079E" w14:textId="77777777" w:rsidR="00BC0E7E" w:rsidRPr="00BC0E7E" w:rsidRDefault="00944B8F" w:rsidP="002B6EEF">
            <w:pPr>
              <w:keepNext/>
              <w:widowControl w:val="0"/>
              <w:jc w:val="center"/>
            </w:pPr>
            <w:r w:rsidRPr="00BC0E7E">
              <w:t>N = 109</w:t>
            </w:r>
            <w:r w:rsidRPr="00BC0E7E">
              <w:br/>
              <w:t>27 (24.8%)</w:t>
            </w:r>
          </w:p>
        </w:tc>
        <w:tc>
          <w:tcPr>
            <w:tcW w:w="1746" w:type="dxa"/>
            <w:tcMar>
              <w:top w:w="0" w:type="dxa"/>
              <w:left w:w="115" w:type="dxa"/>
              <w:bottom w:w="0" w:type="dxa"/>
              <w:right w:w="115" w:type="dxa"/>
            </w:tcMar>
            <w:hideMark/>
          </w:tcPr>
          <w:p w14:paraId="3A0A1576" w14:textId="77777777" w:rsidR="00BC0E7E" w:rsidRPr="00BC0E7E" w:rsidRDefault="00944B8F" w:rsidP="002B6EEF">
            <w:pPr>
              <w:keepNext/>
              <w:widowControl w:val="0"/>
              <w:jc w:val="center"/>
            </w:pPr>
            <w:r w:rsidRPr="00BC0E7E">
              <w:t>N = 122</w:t>
            </w:r>
            <w:r w:rsidRPr="00BC0E7E">
              <w:br/>
              <w:t>34 (27.9%)</w:t>
            </w:r>
          </w:p>
        </w:tc>
        <w:tc>
          <w:tcPr>
            <w:tcW w:w="1404" w:type="dxa"/>
            <w:tcMar>
              <w:top w:w="0" w:type="dxa"/>
              <w:left w:w="115" w:type="dxa"/>
              <w:bottom w:w="0" w:type="dxa"/>
              <w:right w:w="115" w:type="dxa"/>
            </w:tcMar>
          </w:tcPr>
          <w:p w14:paraId="2FE61A46" w14:textId="77777777" w:rsidR="00BC0E7E" w:rsidRPr="00BC0E7E" w:rsidRDefault="00944B8F" w:rsidP="002B6EEF">
            <w:pPr>
              <w:keepNext/>
              <w:widowControl w:val="0"/>
              <w:jc w:val="center"/>
            </w:pPr>
            <w:r w:rsidRPr="00BC0E7E">
              <w:t>N=111</w:t>
            </w:r>
          </w:p>
          <w:p w14:paraId="298AB112" w14:textId="77777777" w:rsidR="00BC0E7E" w:rsidRPr="00BC0E7E" w:rsidRDefault="00944B8F" w:rsidP="002B6EEF">
            <w:pPr>
              <w:keepNext/>
              <w:widowControl w:val="0"/>
              <w:jc w:val="center"/>
            </w:pPr>
            <w:r w:rsidRPr="00BC0E7E">
              <w:t>23 (20.7%)</w:t>
            </w:r>
          </w:p>
        </w:tc>
        <w:tc>
          <w:tcPr>
            <w:tcW w:w="1856" w:type="dxa"/>
            <w:tcMar>
              <w:top w:w="0" w:type="dxa"/>
              <w:left w:w="115" w:type="dxa"/>
              <w:bottom w:w="0" w:type="dxa"/>
              <w:right w:w="115" w:type="dxa"/>
            </w:tcMar>
          </w:tcPr>
          <w:p w14:paraId="48B7B783" w14:textId="77777777" w:rsidR="00BC0E7E" w:rsidRPr="00BC0E7E" w:rsidRDefault="00944B8F" w:rsidP="002B6EEF">
            <w:pPr>
              <w:keepNext/>
              <w:widowControl w:val="0"/>
              <w:jc w:val="center"/>
            </w:pPr>
            <w:r w:rsidRPr="00BC0E7E">
              <w:t>N=105</w:t>
            </w:r>
          </w:p>
          <w:p w14:paraId="4B07EA5D" w14:textId="77777777" w:rsidR="00BC0E7E" w:rsidRPr="00BC0E7E" w:rsidRDefault="00944B8F" w:rsidP="002B6EEF">
            <w:pPr>
              <w:keepNext/>
              <w:widowControl w:val="0"/>
              <w:jc w:val="center"/>
            </w:pPr>
            <w:r w:rsidRPr="00BC0E7E">
              <w:t xml:space="preserve">48 (45.7%) </w:t>
            </w:r>
            <w:r w:rsidRPr="00BC0E7E">
              <w:rPr>
                <w:vertAlign w:val="superscript"/>
              </w:rPr>
              <w:t>***</w:t>
            </w:r>
          </w:p>
        </w:tc>
      </w:tr>
      <w:tr w:rsidR="00C6578C" w14:paraId="1127CCE8" w14:textId="77777777" w:rsidTr="00171601">
        <w:trPr>
          <w:jc w:val="center"/>
        </w:trPr>
        <w:tc>
          <w:tcPr>
            <w:tcW w:w="9293" w:type="dxa"/>
            <w:gridSpan w:val="5"/>
            <w:tcMar>
              <w:top w:w="0" w:type="dxa"/>
              <w:left w:w="115" w:type="dxa"/>
              <w:bottom w:w="0" w:type="dxa"/>
              <w:right w:w="115" w:type="dxa"/>
            </w:tcMar>
            <w:vAlign w:val="center"/>
          </w:tcPr>
          <w:p w14:paraId="47CDA6D8" w14:textId="77777777" w:rsidR="00BC0E7E" w:rsidRPr="00BC0E7E" w:rsidRDefault="00944B8F" w:rsidP="002B6EEF">
            <w:pPr>
              <w:keepNext/>
              <w:widowControl w:val="0"/>
              <w:ind w:left="360"/>
            </w:pPr>
            <w:r w:rsidRPr="00BC0E7E">
              <w:t xml:space="preserve">* </w:t>
            </w:r>
            <w:r w:rsidRPr="00BC0E7E">
              <w:rPr>
                <w:i/>
              </w:rPr>
              <w:t>P</w:t>
            </w:r>
            <w:r w:rsidRPr="00BC0E7E">
              <w:t xml:space="preserve"> &lt; 0.05, ***</w:t>
            </w:r>
            <w:r w:rsidRPr="00BC0E7E">
              <w:rPr>
                <w:i/>
              </w:rPr>
              <w:t xml:space="preserve">P </w:t>
            </w:r>
            <w:r w:rsidRPr="00BC0E7E">
              <w:t xml:space="preserve">&lt; 0.001, Humira versus placebo </w:t>
            </w:r>
          </w:p>
          <w:p w14:paraId="37868B1B" w14:textId="77777777" w:rsidR="00BC0E7E" w:rsidRPr="00BC0E7E" w:rsidRDefault="00944B8F" w:rsidP="00311C84">
            <w:pPr>
              <w:keepNext/>
              <w:keepLines/>
              <w:widowControl w:val="0"/>
              <w:numPr>
                <w:ilvl w:val="0"/>
                <w:numId w:val="143"/>
              </w:numPr>
              <w:tabs>
                <w:tab w:val="clear" w:pos="562"/>
              </w:tabs>
              <w:suppressAutoHyphens w:val="0"/>
              <w:spacing w:before="40" w:line="240" w:lineRule="exact"/>
            </w:pPr>
            <w:r w:rsidRPr="00BC0E7E">
              <w:t>Among all randomised patients.</w:t>
            </w:r>
          </w:p>
          <w:p w14:paraId="3F934E18" w14:textId="77777777" w:rsidR="00BC0E7E" w:rsidRPr="00BC0E7E" w:rsidRDefault="00944B8F" w:rsidP="00311C84">
            <w:pPr>
              <w:keepNext/>
              <w:keepLines/>
              <w:widowControl w:val="0"/>
              <w:numPr>
                <w:ilvl w:val="0"/>
                <w:numId w:val="143"/>
              </w:numPr>
              <w:tabs>
                <w:tab w:val="clear" w:pos="562"/>
              </w:tabs>
              <w:suppressAutoHyphens w:val="0"/>
              <w:spacing w:before="40" w:line="240" w:lineRule="exact"/>
            </w:pPr>
            <w:r w:rsidRPr="00BC0E7E">
              <w:t>Among patients with baseline HS-related skin pain assessment ≥ 3, based on Numeric Rating Scale 0 – 10; 0 = no skin pain, 10 = skin pain as bad as you can imagine.</w:t>
            </w:r>
          </w:p>
        </w:tc>
      </w:tr>
    </w:tbl>
    <w:p w14:paraId="3EECA01F" w14:textId="77777777" w:rsidR="00BC0E7E" w:rsidRPr="00BC0E7E" w:rsidRDefault="00BC0E7E" w:rsidP="00BC0E7E">
      <w:pPr>
        <w:rPr>
          <w:szCs w:val="22"/>
        </w:rPr>
      </w:pPr>
    </w:p>
    <w:p w14:paraId="16C795D0" w14:textId="77777777" w:rsidR="00BC0E7E" w:rsidRPr="00BC0E7E" w:rsidRDefault="00944B8F" w:rsidP="00BC0E7E">
      <w:pPr>
        <w:rPr>
          <w:szCs w:val="22"/>
        </w:rPr>
      </w:pPr>
      <w:r w:rsidRPr="00BC0E7E">
        <w:rPr>
          <w:szCs w:val="22"/>
        </w:rPr>
        <w:t>Treatment with Humira 40 mg every week significantly reduced the risk of worsening of abscesses and draining fistulas.  Approximately twice the proportion of patients in the placebo group in the first 12 weeks of Studies HS-I and HS-II, compared with those in the Humira group experienced worsening of abscesses (23.0% vs 11.4%, respectively) and draining fistulas (30.0% vs 13.9%, respectively).</w:t>
      </w:r>
    </w:p>
    <w:p w14:paraId="01CB0A28" w14:textId="77777777" w:rsidR="00BC0E7E" w:rsidRPr="00BC0E7E" w:rsidRDefault="00BC0E7E" w:rsidP="00BC0E7E">
      <w:pPr>
        <w:tabs>
          <w:tab w:val="clear" w:pos="562"/>
        </w:tabs>
        <w:suppressAutoHyphens w:val="0"/>
        <w:rPr>
          <w:szCs w:val="22"/>
          <w:lang w:eastAsia="ja-JP"/>
        </w:rPr>
      </w:pPr>
    </w:p>
    <w:p w14:paraId="65515FD8" w14:textId="77777777" w:rsidR="00BC0E7E" w:rsidRPr="00BC0E7E" w:rsidRDefault="00944B8F" w:rsidP="00BC0E7E">
      <w:pPr>
        <w:tabs>
          <w:tab w:val="clear" w:pos="562"/>
        </w:tabs>
        <w:suppressAutoHyphens w:val="0"/>
        <w:rPr>
          <w:szCs w:val="22"/>
          <w:lang w:eastAsia="ja-JP"/>
        </w:rPr>
      </w:pPr>
      <w:r w:rsidRPr="00BC0E7E">
        <w:rPr>
          <w:szCs w:val="22"/>
          <w:lang w:eastAsia="ja-JP"/>
        </w:rPr>
        <w:t>Greater improvements at Week 12 from baseline compared to placebo were demonstrated in skin-specific health-related quality of life, as measured by the Dermatology Life Quality Index (DLQI; Studies HS-I and HS-II), patient global satisfaction with medication treatment as measured by the Treatment Satisfaction Questio</w:t>
      </w:r>
      <w:r w:rsidRPr="00BC0E7E">
        <w:rPr>
          <w:rFonts w:eastAsia="MS Mincho"/>
          <w:szCs w:val="22"/>
          <w:lang w:eastAsia="ja-JP"/>
        </w:rPr>
        <w:t>nnaire - medication (TSQM; Studies HS-I and</w:t>
      </w:r>
      <w:r w:rsidRPr="00BC0E7E">
        <w:rPr>
          <w:szCs w:val="22"/>
          <w:lang w:eastAsia="ja-JP"/>
        </w:rPr>
        <w:t xml:space="preserve"> HS-II), and physical health as measured by the physical compon</w:t>
      </w:r>
      <w:r w:rsidRPr="00BC0E7E">
        <w:rPr>
          <w:rFonts w:eastAsia="MS Mincho"/>
          <w:szCs w:val="22"/>
          <w:lang w:eastAsia="ja-JP"/>
        </w:rPr>
        <w:t>ent summary score of the SF-36</w:t>
      </w:r>
      <w:r w:rsidRPr="00BC0E7E">
        <w:rPr>
          <w:szCs w:val="22"/>
          <w:lang w:eastAsia="ja-JP"/>
        </w:rPr>
        <w:t xml:space="preserve"> (Study HS-I).</w:t>
      </w:r>
    </w:p>
    <w:p w14:paraId="7DD6CDF7" w14:textId="77777777" w:rsidR="00BC0E7E" w:rsidRPr="00BC0E7E" w:rsidRDefault="00BC0E7E" w:rsidP="00BC0E7E">
      <w:pPr>
        <w:tabs>
          <w:tab w:val="clear" w:pos="562"/>
        </w:tabs>
        <w:suppressAutoHyphens w:val="0"/>
        <w:rPr>
          <w:szCs w:val="22"/>
          <w:lang w:eastAsia="ja-JP"/>
        </w:rPr>
      </w:pPr>
    </w:p>
    <w:p w14:paraId="34A86E2C" w14:textId="77777777" w:rsidR="00BC0E7E" w:rsidRPr="00BC0E7E" w:rsidRDefault="00944B8F" w:rsidP="00BC0E7E">
      <w:pPr>
        <w:tabs>
          <w:tab w:val="clear" w:pos="562"/>
        </w:tabs>
        <w:suppressAutoHyphens w:val="0"/>
        <w:rPr>
          <w:rFonts w:eastAsia="Calibri"/>
          <w:szCs w:val="22"/>
        </w:rPr>
      </w:pPr>
      <w:r w:rsidRPr="00BC0E7E">
        <w:rPr>
          <w:rFonts w:eastAsia="Calibri"/>
          <w:szCs w:val="22"/>
        </w:rPr>
        <w:t xml:space="preserve">In patients with at least a partial response to Humira 40 mg weekly at Week 12, the HiSCR rate at Week 36 was higher in patients who continued weekly Humira than in patients in whom dosing frequency was reduced to every other week, or in whom treatment was withdrawn (see Table </w:t>
      </w:r>
      <w:r w:rsidR="00EC44BE">
        <w:rPr>
          <w:rFonts w:eastAsia="Calibri"/>
          <w:szCs w:val="22"/>
        </w:rPr>
        <w:t>1</w:t>
      </w:r>
      <w:r w:rsidR="005F03EC">
        <w:rPr>
          <w:rFonts w:eastAsia="Calibri"/>
          <w:szCs w:val="22"/>
        </w:rPr>
        <w:t>3</w:t>
      </w:r>
      <w:r w:rsidR="007F079A">
        <w:rPr>
          <w:rFonts w:eastAsia="Calibri"/>
          <w:szCs w:val="22"/>
        </w:rPr>
        <w:t>).</w:t>
      </w:r>
    </w:p>
    <w:p w14:paraId="3C976820" w14:textId="77777777" w:rsidR="00BC0E7E" w:rsidRPr="00BC0E7E" w:rsidRDefault="00BC0E7E" w:rsidP="00BC0E7E">
      <w:pPr>
        <w:rPr>
          <w:szCs w:val="20"/>
        </w:rPr>
      </w:pPr>
    </w:p>
    <w:p w14:paraId="17825ACF" w14:textId="77777777" w:rsidR="00BC0E7E" w:rsidRPr="007F079A" w:rsidRDefault="00944B8F" w:rsidP="00BC0E7E">
      <w:pPr>
        <w:keepNext/>
        <w:tabs>
          <w:tab w:val="clear" w:pos="562"/>
        </w:tabs>
        <w:suppressAutoHyphens w:val="0"/>
        <w:jc w:val="center"/>
        <w:rPr>
          <w:rFonts w:eastAsia="MS Mincho"/>
          <w:szCs w:val="22"/>
          <w:lang w:eastAsia="ja-JP"/>
        </w:rPr>
      </w:pPr>
      <w:r w:rsidRPr="00BC0E7E">
        <w:rPr>
          <w:rFonts w:eastAsia="MS Mincho"/>
          <w:b/>
          <w:szCs w:val="22"/>
          <w:lang w:eastAsia="ja-JP"/>
        </w:rPr>
        <w:lastRenderedPageBreak/>
        <w:t>Table </w:t>
      </w:r>
      <w:r w:rsidR="00EC44BE">
        <w:rPr>
          <w:rFonts w:eastAsia="MS Mincho"/>
          <w:b/>
          <w:szCs w:val="22"/>
          <w:lang w:eastAsia="ja-JP"/>
        </w:rPr>
        <w:t>1</w:t>
      </w:r>
      <w:r w:rsidR="005F03EC">
        <w:rPr>
          <w:rFonts w:eastAsia="MS Mincho"/>
          <w:b/>
          <w:szCs w:val="22"/>
          <w:lang w:eastAsia="ja-JP"/>
        </w:rPr>
        <w:t>3</w:t>
      </w:r>
      <w:r w:rsidRPr="00BC0E7E">
        <w:rPr>
          <w:rFonts w:eastAsia="MS Mincho"/>
          <w:b/>
          <w:szCs w:val="22"/>
          <w:lang w:eastAsia="ja-JP"/>
        </w:rPr>
        <w:t>:</w:t>
      </w:r>
      <w:r w:rsidRPr="00BC0E7E">
        <w:rPr>
          <w:rFonts w:eastAsia="MS Mincho"/>
          <w:b/>
          <w:szCs w:val="22"/>
          <w:lang w:eastAsia="ja-JP"/>
        </w:rPr>
        <w:tab/>
        <w:t xml:space="preserve"> Proportion of Patients</w:t>
      </w:r>
      <w:r w:rsidRPr="00BC0E7E">
        <w:rPr>
          <w:rFonts w:eastAsia="MS Mincho"/>
          <w:b/>
          <w:szCs w:val="22"/>
          <w:vertAlign w:val="superscript"/>
          <w:lang w:eastAsia="ja-JP"/>
        </w:rPr>
        <w:t>a</w:t>
      </w:r>
      <w:r w:rsidRPr="00BC0E7E">
        <w:rPr>
          <w:rFonts w:eastAsia="MS Mincho"/>
          <w:b/>
          <w:szCs w:val="22"/>
          <w:lang w:eastAsia="ja-JP"/>
        </w:rPr>
        <w:t xml:space="preserve"> Achieving HiSCR</w:t>
      </w:r>
      <w:r w:rsidRPr="00BC0E7E">
        <w:rPr>
          <w:rFonts w:eastAsia="MS Mincho"/>
          <w:b/>
          <w:szCs w:val="22"/>
          <w:vertAlign w:val="superscript"/>
          <w:lang w:eastAsia="ja-JP"/>
        </w:rPr>
        <w:t xml:space="preserve">b </w:t>
      </w:r>
      <w:r w:rsidR="007F079A">
        <w:rPr>
          <w:rFonts w:eastAsia="MS Mincho"/>
          <w:b/>
          <w:szCs w:val="22"/>
          <w:lang w:eastAsia="ja-JP"/>
        </w:rPr>
        <w:t>at Weeks 24 and 36 After</w:t>
      </w:r>
    </w:p>
    <w:p w14:paraId="7EE2801A" w14:textId="77777777" w:rsidR="00BC0E7E" w:rsidRPr="007F079A" w:rsidRDefault="00944B8F" w:rsidP="00BC0E7E">
      <w:pPr>
        <w:keepNext/>
        <w:tabs>
          <w:tab w:val="clear" w:pos="562"/>
        </w:tabs>
        <w:suppressAutoHyphens w:val="0"/>
        <w:ind w:left="567"/>
        <w:jc w:val="center"/>
        <w:rPr>
          <w:rFonts w:eastAsia="MS Mincho"/>
          <w:szCs w:val="22"/>
          <w:lang w:eastAsia="ja-JP"/>
        </w:rPr>
      </w:pPr>
      <w:r w:rsidRPr="00BC0E7E">
        <w:rPr>
          <w:rFonts w:eastAsia="MS Mincho"/>
          <w:b/>
          <w:szCs w:val="22"/>
          <w:lang w:eastAsia="ja-JP"/>
        </w:rPr>
        <w:t>Treatment Reassignment from Weekly Humira at Week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1980"/>
        <w:gridCol w:w="1980"/>
        <w:gridCol w:w="1855"/>
      </w:tblGrid>
      <w:tr w:rsidR="00C6578C" w14:paraId="6C24827B" w14:textId="77777777" w:rsidTr="00171601">
        <w:trPr>
          <w:tblHeader/>
          <w:jc w:val="center"/>
        </w:trPr>
        <w:tc>
          <w:tcPr>
            <w:tcW w:w="1437" w:type="dxa"/>
            <w:vAlign w:val="bottom"/>
          </w:tcPr>
          <w:p w14:paraId="52595B88" w14:textId="77777777" w:rsidR="00BC0E7E" w:rsidRPr="00BC0E7E" w:rsidRDefault="00BC0E7E" w:rsidP="00BC0E7E">
            <w:pPr>
              <w:keepNext/>
              <w:tabs>
                <w:tab w:val="clear" w:pos="562"/>
              </w:tabs>
              <w:suppressAutoHyphens w:val="0"/>
              <w:spacing w:before="40" w:after="40" w:line="240" w:lineRule="exact"/>
              <w:rPr>
                <w:rFonts w:eastAsia="Calibri"/>
                <w:b/>
                <w:szCs w:val="22"/>
                <w:lang w:eastAsia="ja-JP"/>
              </w:rPr>
            </w:pPr>
          </w:p>
        </w:tc>
        <w:tc>
          <w:tcPr>
            <w:tcW w:w="1980" w:type="dxa"/>
            <w:vAlign w:val="bottom"/>
          </w:tcPr>
          <w:p w14:paraId="4919546F" w14:textId="77777777" w:rsidR="00BC0E7E" w:rsidRPr="00BC0E7E" w:rsidRDefault="00944B8F" w:rsidP="00BC0E7E">
            <w:pPr>
              <w:keepNext/>
              <w:tabs>
                <w:tab w:val="clear" w:pos="562"/>
              </w:tabs>
              <w:suppressAutoHyphens w:val="0"/>
              <w:spacing w:before="40" w:after="40" w:line="240" w:lineRule="exact"/>
              <w:jc w:val="center"/>
              <w:rPr>
                <w:rFonts w:eastAsia="Calibri"/>
                <w:b/>
                <w:szCs w:val="22"/>
                <w:lang w:eastAsia="ja-JP"/>
              </w:rPr>
            </w:pPr>
            <w:r w:rsidRPr="00BC0E7E">
              <w:rPr>
                <w:rFonts w:eastAsia="Calibri"/>
                <w:b/>
                <w:szCs w:val="22"/>
                <w:lang w:eastAsia="ja-JP"/>
              </w:rPr>
              <w:t>Placebo</w:t>
            </w:r>
            <w:r w:rsidRPr="00BC0E7E">
              <w:rPr>
                <w:rFonts w:eastAsia="Calibri"/>
                <w:b/>
                <w:szCs w:val="22"/>
                <w:lang w:eastAsia="ja-JP"/>
              </w:rPr>
              <w:br/>
              <w:t>(treatment withdrawal)</w:t>
            </w:r>
            <w:r w:rsidRPr="00BC0E7E">
              <w:rPr>
                <w:rFonts w:eastAsia="Calibri"/>
                <w:b/>
                <w:szCs w:val="22"/>
                <w:lang w:eastAsia="ja-JP"/>
              </w:rPr>
              <w:br/>
              <w:t>N = 73</w:t>
            </w:r>
          </w:p>
        </w:tc>
        <w:tc>
          <w:tcPr>
            <w:tcW w:w="1980" w:type="dxa"/>
            <w:vAlign w:val="bottom"/>
          </w:tcPr>
          <w:p w14:paraId="6BC912F8" w14:textId="77777777" w:rsidR="00BC0E7E" w:rsidRPr="00BC0E7E" w:rsidRDefault="00944B8F" w:rsidP="00BC0E7E">
            <w:pPr>
              <w:keepNext/>
              <w:tabs>
                <w:tab w:val="clear" w:pos="562"/>
              </w:tabs>
              <w:suppressAutoHyphens w:val="0"/>
              <w:spacing w:before="40" w:after="40" w:line="240" w:lineRule="exact"/>
              <w:jc w:val="center"/>
              <w:rPr>
                <w:rFonts w:eastAsia="Calibri"/>
                <w:b/>
                <w:szCs w:val="22"/>
                <w:lang w:eastAsia="ja-JP"/>
              </w:rPr>
            </w:pPr>
            <w:r w:rsidRPr="00BC0E7E">
              <w:rPr>
                <w:rFonts w:eastAsia="Calibri"/>
                <w:b/>
                <w:szCs w:val="22"/>
                <w:lang w:eastAsia="ja-JP"/>
              </w:rPr>
              <w:t>Humira 40 mg</w:t>
            </w:r>
            <w:r w:rsidRPr="00BC0E7E">
              <w:rPr>
                <w:rFonts w:eastAsia="Calibri"/>
                <w:b/>
                <w:szCs w:val="22"/>
                <w:lang w:eastAsia="ja-JP"/>
              </w:rPr>
              <w:br/>
              <w:t>every other week</w:t>
            </w:r>
            <w:r w:rsidRPr="00BC0E7E">
              <w:rPr>
                <w:rFonts w:eastAsia="Calibri"/>
                <w:b/>
                <w:szCs w:val="22"/>
                <w:lang w:eastAsia="ja-JP"/>
              </w:rPr>
              <w:br/>
              <w:t>N = 70</w:t>
            </w:r>
          </w:p>
        </w:tc>
        <w:tc>
          <w:tcPr>
            <w:tcW w:w="1855" w:type="dxa"/>
            <w:vAlign w:val="bottom"/>
          </w:tcPr>
          <w:p w14:paraId="1BE99C79" w14:textId="77777777" w:rsidR="00BC0E7E" w:rsidRPr="00BC0E7E" w:rsidRDefault="00944B8F" w:rsidP="00BC0E7E">
            <w:pPr>
              <w:keepNext/>
              <w:tabs>
                <w:tab w:val="clear" w:pos="562"/>
              </w:tabs>
              <w:suppressAutoHyphens w:val="0"/>
              <w:spacing w:before="40" w:after="40" w:line="240" w:lineRule="exact"/>
              <w:jc w:val="center"/>
              <w:rPr>
                <w:rFonts w:eastAsia="Calibri"/>
                <w:b/>
                <w:szCs w:val="22"/>
                <w:lang w:eastAsia="ja-JP"/>
              </w:rPr>
            </w:pPr>
            <w:r w:rsidRPr="00BC0E7E">
              <w:rPr>
                <w:rFonts w:eastAsia="Calibri"/>
                <w:b/>
                <w:szCs w:val="22"/>
                <w:lang w:eastAsia="ja-JP"/>
              </w:rPr>
              <w:t>Humira 40 mg</w:t>
            </w:r>
            <w:r w:rsidRPr="00BC0E7E">
              <w:rPr>
                <w:rFonts w:eastAsia="Calibri"/>
                <w:b/>
                <w:szCs w:val="22"/>
                <w:lang w:eastAsia="ja-JP"/>
              </w:rPr>
              <w:br/>
              <w:t>weekly</w:t>
            </w:r>
            <w:r w:rsidRPr="00BC0E7E">
              <w:rPr>
                <w:rFonts w:eastAsia="Calibri"/>
                <w:b/>
                <w:szCs w:val="22"/>
                <w:lang w:eastAsia="ja-JP"/>
              </w:rPr>
              <w:br/>
              <w:t>N = 70</w:t>
            </w:r>
          </w:p>
        </w:tc>
      </w:tr>
      <w:tr w:rsidR="00C6578C" w14:paraId="6844B532" w14:textId="77777777" w:rsidTr="00171601">
        <w:trPr>
          <w:jc w:val="center"/>
        </w:trPr>
        <w:tc>
          <w:tcPr>
            <w:tcW w:w="1437" w:type="dxa"/>
          </w:tcPr>
          <w:p w14:paraId="4FAE8F2F" w14:textId="77777777" w:rsidR="00BC0E7E" w:rsidRPr="00BC0E7E" w:rsidRDefault="00944B8F" w:rsidP="00BC0E7E">
            <w:pPr>
              <w:keepNext/>
              <w:tabs>
                <w:tab w:val="clear" w:pos="562"/>
              </w:tabs>
              <w:suppressAutoHyphens w:val="0"/>
              <w:spacing w:before="40" w:after="40" w:line="240" w:lineRule="exact"/>
              <w:rPr>
                <w:rFonts w:eastAsia="Calibri"/>
                <w:szCs w:val="22"/>
                <w:lang w:eastAsia="ja-JP"/>
              </w:rPr>
            </w:pPr>
            <w:r w:rsidRPr="00BC0E7E">
              <w:rPr>
                <w:rFonts w:eastAsia="Calibri"/>
                <w:szCs w:val="22"/>
                <w:lang w:eastAsia="ja-JP"/>
              </w:rPr>
              <w:t>Week 24</w:t>
            </w:r>
          </w:p>
        </w:tc>
        <w:tc>
          <w:tcPr>
            <w:tcW w:w="1980" w:type="dxa"/>
          </w:tcPr>
          <w:p w14:paraId="76B7EA7E" w14:textId="77777777" w:rsidR="00BC0E7E" w:rsidRPr="00BC0E7E" w:rsidRDefault="00944B8F" w:rsidP="00BC0E7E">
            <w:pPr>
              <w:keepNext/>
              <w:tabs>
                <w:tab w:val="clear" w:pos="562"/>
              </w:tabs>
              <w:suppressAutoHyphens w:val="0"/>
              <w:spacing w:before="40" w:after="40" w:line="240" w:lineRule="exact"/>
              <w:jc w:val="center"/>
              <w:rPr>
                <w:rFonts w:eastAsia="Calibri"/>
                <w:szCs w:val="22"/>
                <w:lang w:eastAsia="ja-JP"/>
              </w:rPr>
            </w:pPr>
            <w:r w:rsidRPr="00BC0E7E">
              <w:rPr>
                <w:rFonts w:eastAsia="Calibri"/>
                <w:szCs w:val="22"/>
                <w:lang w:eastAsia="ja-JP"/>
              </w:rPr>
              <w:t>24 (32.9%)</w:t>
            </w:r>
          </w:p>
        </w:tc>
        <w:tc>
          <w:tcPr>
            <w:tcW w:w="1980" w:type="dxa"/>
          </w:tcPr>
          <w:p w14:paraId="08ABDD9C" w14:textId="77777777" w:rsidR="00BC0E7E" w:rsidRPr="00BC0E7E" w:rsidRDefault="00944B8F" w:rsidP="00BC0E7E">
            <w:pPr>
              <w:keepNext/>
              <w:tabs>
                <w:tab w:val="clear" w:pos="562"/>
              </w:tabs>
              <w:suppressAutoHyphens w:val="0"/>
              <w:spacing w:before="40" w:after="40" w:line="240" w:lineRule="exact"/>
              <w:jc w:val="center"/>
              <w:rPr>
                <w:rFonts w:eastAsia="Calibri"/>
                <w:szCs w:val="22"/>
                <w:lang w:eastAsia="ja-JP"/>
              </w:rPr>
            </w:pPr>
            <w:r w:rsidRPr="00BC0E7E">
              <w:rPr>
                <w:rFonts w:eastAsia="Calibri"/>
                <w:szCs w:val="22"/>
                <w:lang w:eastAsia="ja-JP"/>
              </w:rPr>
              <w:t>36 (51.4%)</w:t>
            </w:r>
          </w:p>
        </w:tc>
        <w:tc>
          <w:tcPr>
            <w:tcW w:w="1855" w:type="dxa"/>
          </w:tcPr>
          <w:p w14:paraId="44616AA2" w14:textId="77777777" w:rsidR="00BC0E7E" w:rsidRPr="00BC0E7E" w:rsidRDefault="00944B8F" w:rsidP="00BC0E7E">
            <w:pPr>
              <w:keepNext/>
              <w:tabs>
                <w:tab w:val="clear" w:pos="562"/>
              </w:tabs>
              <w:suppressAutoHyphens w:val="0"/>
              <w:spacing w:before="40" w:after="40" w:line="240" w:lineRule="exact"/>
              <w:jc w:val="center"/>
              <w:rPr>
                <w:rFonts w:eastAsia="Calibri"/>
                <w:szCs w:val="22"/>
                <w:lang w:eastAsia="ja-JP"/>
              </w:rPr>
            </w:pPr>
            <w:r w:rsidRPr="00BC0E7E">
              <w:rPr>
                <w:rFonts w:eastAsia="Calibri"/>
                <w:szCs w:val="22"/>
                <w:lang w:eastAsia="ja-JP"/>
              </w:rPr>
              <w:t>40 (57.1%)</w:t>
            </w:r>
          </w:p>
        </w:tc>
      </w:tr>
      <w:tr w:rsidR="00C6578C" w14:paraId="2C591CC3" w14:textId="77777777" w:rsidTr="00171601">
        <w:trPr>
          <w:jc w:val="center"/>
        </w:trPr>
        <w:tc>
          <w:tcPr>
            <w:tcW w:w="1437" w:type="dxa"/>
          </w:tcPr>
          <w:p w14:paraId="2EE83208" w14:textId="77777777" w:rsidR="00BC0E7E" w:rsidRPr="00BC0E7E" w:rsidRDefault="00944B8F" w:rsidP="00BC0E7E">
            <w:pPr>
              <w:keepNext/>
              <w:tabs>
                <w:tab w:val="clear" w:pos="562"/>
              </w:tabs>
              <w:suppressAutoHyphens w:val="0"/>
              <w:spacing w:before="40" w:after="40" w:line="240" w:lineRule="exact"/>
              <w:rPr>
                <w:rFonts w:eastAsia="Calibri"/>
                <w:szCs w:val="22"/>
                <w:lang w:eastAsia="ja-JP"/>
              </w:rPr>
            </w:pPr>
            <w:r w:rsidRPr="00BC0E7E">
              <w:rPr>
                <w:rFonts w:eastAsia="Calibri"/>
                <w:szCs w:val="22"/>
                <w:lang w:eastAsia="ja-JP"/>
              </w:rPr>
              <w:t>Week 36</w:t>
            </w:r>
          </w:p>
        </w:tc>
        <w:tc>
          <w:tcPr>
            <w:tcW w:w="1980" w:type="dxa"/>
          </w:tcPr>
          <w:p w14:paraId="1CD421D8" w14:textId="77777777" w:rsidR="00BC0E7E" w:rsidRPr="00BC0E7E" w:rsidRDefault="00944B8F" w:rsidP="00BC0E7E">
            <w:pPr>
              <w:keepNext/>
              <w:tabs>
                <w:tab w:val="clear" w:pos="562"/>
              </w:tabs>
              <w:suppressAutoHyphens w:val="0"/>
              <w:spacing w:before="40" w:after="40" w:line="240" w:lineRule="exact"/>
              <w:jc w:val="center"/>
              <w:rPr>
                <w:rFonts w:eastAsia="Calibri"/>
                <w:szCs w:val="22"/>
                <w:lang w:eastAsia="ja-JP"/>
              </w:rPr>
            </w:pPr>
            <w:r w:rsidRPr="00BC0E7E">
              <w:rPr>
                <w:rFonts w:eastAsia="Calibri"/>
                <w:szCs w:val="22"/>
                <w:lang w:eastAsia="ja-JP"/>
              </w:rPr>
              <w:t>22 (30.1%)</w:t>
            </w:r>
          </w:p>
        </w:tc>
        <w:tc>
          <w:tcPr>
            <w:tcW w:w="1980" w:type="dxa"/>
          </w:tcPr>
          <w:p w14:paraId="11231325" w14:textId="77777777" w:rsidR="00BC0E7E" w:rsidRPr="00BC0E7E" w:rsidRDefault="00944B8F" w:rsidP="00BC0E7E">
            <w:pPr>
              <w:keepNext/>
              <w:tabs>
                <w:tab w:val="clear" w:pos="562"/>
              </w:tabs>
              <w:suppressAutoHyphens w:val="0"/>
              <w:spacing w:before="40" w:after="40" w:line="240" w:lineRule="exact"/>
              <w:jc w:val="center"/>
              <w:rPr>
                <w:rFonts w:eastAsia="Calibri"/>
                <w:szCs w:val="22"/>
                <w:lang w:eastAsia="ja-JP"/>
              </w:rPr>
            </w:pPr>
            <w:r w:rsidRPr="00BC0E7E">
              <w:rPr>
                <w:rFonts w:eastAsia="Calibri"/>
                <w:szCs w:val="22"/>
                <w:lang w:eastAsia="ja-JP"/>
              </w:rPr>
              <w:t>28 (40.0%)</w:t>
            </w:r>
          </w:p>
        </w:tc>
        <w:tc>
          <w:tcPr>
            <w:tcW w:w="1855" w:type="dxa"/>
          </w:tcPr>
          <w:p w14:paraId="09A22459" w14:textId="77777777" w:rsidR="00BC0E7E" w:rsidRPr="00BC0E7E" w:rsidRDefault="00944B8F" w:rsidP="00BC0E7E">
            <w:pPr>
              <w:keepNext/>
              <w:tabs>
                <w:tab w:val="clear" w:pos="562"/>
              </w:tabs>
              <w:suppressAutoHyphens w:val="0"/>
              <w:spacing w:before="40" w:after="40" w:line="240" w:lineRule="exact"/>
              <w:jc w:val="center"/>
              <w:rPr>
                <w:rFonts w:eastAsia="Calibri"/>
                <w:szCs w:val="22"/>
                <w:lang w:eastAsia="ja-JP"/>
              </w:rPr>
            </w:pPr>
            <w:r w:rsidRPr="00BC0E7E">
              <w:rPr>
                <w:rFonts w:eastAsia="Calibri"/>
                <w:szCs w:val="22"/>
                <w:lang w:eastAsia="ja-JP"/>
              </w:rPr>
              <w:t>39 (55.7%)</w:t>
            </w:r>
          </w:p>
        </w:tc>
      </w:tr>
      <w:tr w:rsidR="00C6578C" w14:paraId="6AA525E1" w14:textId="77777777" w:rsidTr="00171601">
        <w:trPr>
          <w:jc w:val="center"/>
        </w:trPr>
        <w:tc>
          <w:tcPr>
            <w:tcW w:w="7252" w:type="dxa"/>
            <w:gridSpan w:val="4"/>
          </w:tcPr>
          <w:p w14:paraId="71B121AE" w14:textId="77777777" w:rsidR="00BC0E7E" w:rsidRPr="00BC0E7E" w:rsidRDefault="00944B8F" w:rsidP="00311C84">
            <w:pPr>
              <w:keepNext/>
              <w:keepLines/>
              <w:numPr>
                <w:ilvl w:val="0"/>
                <w:numId w:val="142"/>
              </w:numPr>
              <w:tabs>
                <w:tab w:val="clear" w:pos="562"/>
              </w:tabs>
              <w:suppressAutoHyphens w:val="0"/>
              <w:spacing w:before="40" w:line="240" w:lineRule="exact"/>
              <w:ind w:left="339"/>
              <w:rPr>
                <w:rFonts w:eastAsia="MS Mincho"/>
                <w:szCs w:val="22"/>
                <w:lang w:eastAsia="ja-JP"/>
              </w:rPr>
            </w:pPr>
            <w:r w:rsidRPr="00BC0E7E">
              <w:rPr>
                <w:rFonts w:eastAsia="MS Mincho"/>
                <w:szCs w:val="22"/>
                <w:lang w:eastAsia="ja-JP"/>
              </w:rPr>
              <w:t>Patients with at least a partial response to Humira 40 mg weekly after 12 weeks of treatment.</w:t>
            </w:r>
          </w:p>
          <w:p w14:paraId="3365FCEF" w14:textId="77777777" w:rsidR="00BC0E7E" w:rsidRPr="00BC0E7E" w:rsidRDefault="00944B8F" w:rsidP="00311C84">
            <w:pPr>
              <w:keepNext/>
              <w:keepLines/>
              <w:numPr>
                <w:ilvl w:val="0"/>
                <w:numId w:val="142"/>
              </w:numPr>
              <w:tabs>
                <w:tab w:val="clear" w:pos="562"/>
              </w:tabs>
              <w:suppressAutoHyphens w:val="0"/>
              <w:spacing w:before="40" w:line="240" w:lineRule="exact"/>
              <w:ind w:left="243" w:hanging="243"/>
              <w:rPr>
                <w:rFonts w:eastAsia="MS Mincho"/>
                <w:szCs w:val="22"/>
                <w:lang w:eastAsia="ja-JP"/>
              </w:rPr>
            </w:pPr>
            <w:r w:rsidRPr="00BC0E7E">
              <w:rPr>
                <w:rFonts w:eastAsia="MS Mincho"/>
                <w:szCs w:val="22"/>
                <w:lang w:eastAsia="ja-JP"/>
              </w:rPr>
              <w:t>Patients meeting protocol-specified criteria for loss of response or no improvement were required to discontinue from the studies and were counted as nonresponders.</w:t>
            </w:r>
          </w:p>
        </w:tc>
      </w:tr>
    </w:tbl>
    <w:p w14:paraId="5CAB0666" w14:textId="77777777" w:rsidR="00BC0E7E" w:rsidRPr="00BC0E7E" w:rsidRDefault="00BC0E7E" w:rsidP="00BC0E7E">
      <w:pPr>
        <w:rPr>
          <w:szCs w:val="22"/>
        </w:rPr>
      </w:pPr>
    </w:p>
    <w:p w14:paraId="282152D8" w14:textId="77777777" w:rsidR="00BC0E7E" w:rsidRPr="00BC0E7E" w:rsidRDefault="00944B8F" w:rsidP="00BC0E7E">
      <w:pPr>
        <w:rPr>
          <w:szCs w:val="22"/>
        </w:rPr>
      </w:pPr>
      <w:r w:rsidRPr="00BC0E7E">
        <w:rPr>
          <w:szCs w:val="22"/>
        </w:rPr>
        <w:t>Among patients who were at least partial responders at Week 12, and who received continuous weekly Humira therapy, the HiSCR rate at Week 48 was 68.3% and at Week 96 was 65.1%. Longer term treatment with Humira 40 mg weekly for 96 weeks identified no new safety findings.</w:t>
      </w:r>
    </w:p>
    <w:p w14:paraId="2173EF81" w14:textId="77777777" w:rsidR="00BC0E7E" w:rsidRPr="00BC0E7E" w:rsidRDefault="00BC0E7E" w:rsidP="00BC0E7E">
      <w:pPr>
        <w:rPr>
          <w:szCs w:val="22"/>
        </w:rPr>
      </w:pPr>
    </w:p>
    <w:p w14:paraId="77B7E2D4" w14:textId="77777777" w:rsidR="00BC0E7E" w:rsidRPr="00BC0E7E" w:rsidRDefault="00944B8F" w:rsidP="00BC0E7E">
      <w:pPr>
        <w:rPr>
          <w:szCs w:val="22"/>
        </w:rPr>
      </w:pPr>
      <w:r w:rsidRPr="00BC0E7E">
        <w:rPr>
          <w:szCs w:val="22"/>
        </w:rPr>
        <w:t>Among patients whose Humira treatment was withdrawn at Week 12 in Studies HS-I and HS-II, the HiSCR rate 12 weeks after re-introduction of Humira 40 mg weekly returned to levels similar to that observed before withdrawal (56.0 %).</w:t>
      </w:r>
    </w:p>
    <w:p w14:paraId="6485DD58" w14:textId="77777777" w:rsidR="00BC0E7E" w:rsidRPr="00BC0E7E" w:rsidRDefault="00BC0E7E" w:rsidP="00BC0E7E">
      <w:pPr>
        <w:rPr>
          <w:szCs w:val="22"/>
        </w:rPr>
      </w:pPr>
    </w:p>
    <w:p w14:paraId="7E895C65" w14:textId="77777777" w:rsidR="00BC0E7E" w:rsidRPr="00BC0E7E" w:rsidRDefault="00944B8F" w:rsidP="00BC0E7E">
      <w:pPr>
        <w:rPr>
          <w:i/>
          <w:szCs w:val="20"/>
        </w:rPr>
      </w:pPr>
      <w:r w:rsidRPr="00BC0E7E">
        <w:rPr>
          <w:i/>
          <w:szCs w:val="20"/>
        </w:rPr>
        <w:t>Crohn’s disease</w:t>
      </w:r>
    </w:p>
    <w:p w14:paraId="76AA9050" w14:textId="77777777" w:rsidR="00BC0E7E" w:rsidRPr="00BC0E7E" w:rsidRDefault="00BC0E7E" w:rsidP="00BC0E7E">
      <w:pPr>
        <w:rPr>
          <w:szCs w:val="20"/>
        </w:rPr>
      </w:pPr>
    </w:p>
    <w:p w14:paraId="086F568F" w14:textId="77777777" w:rsidR="00BC0E7E" w:rsidRPr="00BC0E7E" w:rsidRDefault="00944B8F" w:rsidP="00BC0E7E">
      <w:pPr>
        <w:rPr>
          <w:szCs w:val="20"/>
        </w:rPr>
      </w:pPr>
      <w:r w:rsidRPr="00BC0E7E">
        <w:rPr>
          <w:szCs w:val="20"/>
        </w:rPr>
        <w:t xml:space="preserve">The safety and efficacy of Humira were assessed in over 1500 patients with moderately to severely active Crohn’s disease (Crohn’s Disease Activity Index (CDAI) </w:t>
      </w:r>
      <w:r w:rsidRPr="00BC0E7E">
        <w:rPr>
          <w:rFonts w:ascii="Symbol" w:eastAsia="Symbol" w:hAnsi="Symbol" w:cs="Symbol"/>
          <w:szCs w:val="22"/>
        </w:rPr>
        <w:sym w:font="Symbol" w:char="F0B3"/>
      </w:r>
      <w:r w:rsidRPr="00BC0E7E">
        <w:rPr>
          <w:szCs w:val="20"/>
        </w:rPr>
        <w:t xml:space="preserve"> 220 and </w:t>
      </w:r>
      <w:r w:rsidRPr="00BC0E7E">
        <w:rPr>
          <w:rFonts w:ascii="Symbol" w:eastAsia="Symbol" w:hAnsi="Symbol" w:cs="Symbol"/>
          <w:szCs w:val="22"/>
        </w:rPr>
        <w:sym w:font="Symbol" w:char="F0A3"/>
      </w:r>
      <w:r w:rsidRPr="00BC0E7E">
        <w:rPr>
          <w:szCs w:val="20"/>
        </w:rPr>
        <w:t xml:space="preserve"> 450) in randomised, double-blind, placebo-controlled studies. Concomitant stable doses of aminosalicylates, corticosteroids, and/or immunomodulatory agents were permitted and 80% of patients continued to receive at least one of these medications. </w:t>
      </w:r>
    </w:p>
    <w:p w14:paraId="32586B6A" w14:textId="77777777" w:rsidR="00BC0E7E" w:rsidRPr="00BC0E7E" w:rsidRDefault="00BC0E7E" w:rsidP="00BC0E7E">
      <w:pPr>
        <w:rPr>
          <w:szCs w:val="20"/>
        </w:rPr>
      </w:pPr>
    </w:p>
    <w:p w14:paraId="051D9595" w14:textId="77777777" w:rsidR="00BC0E7E" w:rsidRPr="00BC0E7E" w:rsidRDefault="00944B8F" w:rsidP="00BC0E7E">
      <w:pPr>
        <w:rPr>
          <w:szCs w:val="20"/>
        </w:rPr>
      </w:pPr>
      <w:r w:rsidRPr="00BC0E7E">
        <w:rPr>
          <w:szCs w:val="20"/>
        </w:rPr>
        <w:t>Induction of clinical remission (defined as CDAI &lt; 150) was evaluated in two studies, CD Study I (CLASSIC I) and CD Study II (GAIN). In CD Study I, 299 TNF-antagonist naive patients were randomised to one of four treatment groups; placebo at Weeks 0 and 2, 160 mg Humira at Week 0 and 80 mg at Week 2, 80 mg at Week 0 and 40 mg at Week 2, and 40 mg at Week 0 and 20 mg at Week 2. In CD Study II, 325 patients who had lost response or were intolerant to infliximab were randomised to receive either 160 mg Humira at Week 0 and 80 mg at Week 2 or placebo at Weeks 0 and 2. The primary non-responders were excluded from the studies and therefore these patients were not further evaluated.</w:t>
      </w:r>
    </w:p>
    <w:p w14:paraId="5B0020F6" w14:textId="77777777" w:rsidR="00BC0E7E" w:rsidRPr="00BC0E7E" w:rsidRDefault="00BC0E7E" w:rsidP="00BC0E7E">
      <w:pPr>
        <w:rPr>
          <w:szCs w:val="20"/>
        </w:rPr>
      </w:pPr>
    </w:p>
    <w:p w14:paraId="2EFD612C" w14:textId="77777777" w:rsidR="00BC0E7E" w:rsidRPr="00BC0E7E" w:rsidRDefault="00944B8F" w:rsidP="00BC0E7E">
      <w:pPr>
        <w:rPr>
          <w:szCs w:val="20"/>
        </w:rPr>
      </w:pPr>
      <w:r w:rsidRPr="00BC0E7E">
        <w:rPr>
          <w:szCs w:val="20"/>
        </w:rPr>
        <w:t xml:space="preserve">Maintenance of clinical remission was evaluated in CD study III (CHARM).  In CD Study III, 854 patients received open-label 80 mg at Week 0 and 40 mg at Week 2.  At Week 4 patients were randomised to 40 mg every other week, 40 mg every week, or placebo with a total study duration of 56 weeks. Patients in clinical response (decrease in CDAI ≥ 70) at Week 4 were stratified and analysed separately from those not in clinical response at Week 4.  Corticosteroid taper was permitted after Week 8. </w:t>
      </w:r>
    </w:p>
    <w:p w14:paraId="4985ACBA" w14:textId="77777777" w:rsidR="00BC0E7E" w:rsidRPr="00BC0E7E" w:rsidRDefault="00BC0E7E" w:rsidP="00BC0E7E">
      <w:pPr>
        <w:rPr>
          <w:szCs w:val="20"/>
        </w:rPr>
      </w:pPr>
    </w:p>
    <w:p w14:paraId="284029F2" w14:textId="77777777" w:rsidR="00BC0E7E" w:rsidRPr="00BC0E7E" w:rsidRDefault="00944B8F" w:rsidP="00BC0E7E">
      <w:pPr>
        <w:rPr>
          <w:szCs w:val="20"/>
        </w:rPr>
      </w:pPr>
      <w:r w:rsidRPr="00BC0E7E">
        <w:rPr>
          <w:szCs w:val="20"/>
        </w:rPr>
        <w:t xml:space="preserve">CD study I and CD study II induction of remission and response rates are presented in Table </w:t>
      </w:r>
      <w:r w:rsidR="00EC44BE">
        <w:rPr>
          <w:szCs w:val="20"/>
        </w:rPr>
        <w:t>1</w:t>
      </w:r>
      <w:r w:rsidR="005F03EC">
        <w:rPr>
          <w:szCs w:val="20"/>
        </w:rPr>
        <w:t>4</w:t>
      </w:r>
      <w:r w:rsidRPr="00BC0E7E">
        <w:rPr>
          <w:szCs w:val="20"/>
        </w:rPr>
        <w:t>.</w:t>
      </w:r>
    </w:p>
    <w:p w14:paraId="4096029B" w14:textId="77777777" w:rsidR="00BC0E7E" w:rsidRPr="00BC0E7E" w:rsidRDefault="00BC0E7E" w:rsidP="00BC0E7E">
      <w:pPr>
        <w:rPr>
          <w:szCs w:val="20"/>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1"/>
        <w:gridCol w:w="1192"/>
        <w:gridCol w:w="1249"/>
        <w:gridCol w:w="1176"/>
        <w:gridCol w:w="1494"/>
        <w:gridCol w:w="1816"/>
      </w:tblGrid>
      <w:tr w:rsidR="00C6578C" w14:paraId="79468686" w14:textId="77777777" w:rsidTr="00171601">
        <w:trPr>
          <w:cantSplit/>
        </w:trPr>
        <w:tc>
          <w:tcPr>
            <w:tcW w:w="9238" w:type="dxa"/>
            <w:gridSpan w:val="6"/>
            <w:tcBorders>
              <w:top w:val="nil"/>
              <w:left w:val="nil"/>
              <w:right w:val="nil"/>
            </w:tcBorders>
          </w:tcPr>
          <w:p w14:paraId="55EEB80B" w14:textId="77777777" w:rsidR="00BC0E7E" w:rsidRPr="00BC0E7E" w:rsidRDefault="00944B8F" w:rsidP="007F079A">
            <w:pPr>
              <w:keepNext/>
              <w:keepLines/>
              <w:tabs>
                <w:tab w:val="clear" w:pos="562"/>
                <w:tab w:val="left" w:pos="360"/>
              </w:tabs>
              <w:spacing w:before="40" w:after="40" w:line="240" w:lineRule="exact"/>
              <w:jc w:val="center"/>
              <w:rPr>
                <w:b/>
                <w:bCs/>
                <w:szCs w:val="20"/>
              </w:rPr>
            </w:pPr>
            <w:r w:rsidRPr="00BC0E7E">
              <w:rPr>
                <w:b/>
                <w:bCs/>
                <w:szCs w:val="20"/>
              </w:rPr>
              <w:lastRenderedPageBreak/>
              <w:t xml:space="preserve">Table </w:t>
            </w:r>
            <w:r w:rsidR="00EC44BE">
              <w:rPr>
                <w:b/>
                <w:bCs/>
                <w:szCs w:val="20"/>
              </w:rPr>
              <w:t>1</w:t>
            </w:r>
            <w:r w:rsidR="005F03EC">
              <w:rPr>
                <w:b/>
                <w:bCs/>
                <w:szCs w:val="20"/>
              </w:rPr>
              <w:t>4</w:t>
            </w:r>
          </w:p>
          <w:p w14:paraId="42175FA1" w14:textId="77777777" w:rsidR="00BC0E7E" w:rsidRPr="00BC0E7E" w:rsidRDefault="00944B8F" w:rsidP="007F079A">
            <w:pPr>
              <w:keepNext/>
              <w:keepLines/>
              <w:tabs>
                <w:tab w:val="clear" w:pos="562"/>
                <w:tab w:val="left" w:pos="360"/>
              </w:tabs>
              <w:spacing w:before="40" w:after="40" w:line="240" w:lineRule="exact"/>
              <w:jc w:val="center"/>
              <w:rPr>
                <w:b/>
                <w:bCs/>
                <w:szCs w:val="20"/>
              </w:rPr>
            </w:pPr>
            <w:r w:rsidRPr="00BC0E7E">
              <w:rPr>
                <w:b/>
                <w:bCs/>
                <w:szCs w:val="20"/>
              </w:rPr>
              <w:t>Induction of Clinical Remission and Response</w:t>
            </w:r>
          </w:p>
          <w:p w14:paraId="15BC70F8" w14:textId="77777777" w:rsidR="00BC0E7E" w:rsidRPr="00BC0E7E" w:rsidRDefault="00944B8F" w:rsidP="007F079A">
            <w:pPr>
              <w:keepNext/>
              <w:keepLines/>
              <w:tabs>
                <w:tab w:val="clear" w:pos="562"/>
                <w:tab w:val="left" w:pos="360"/>
              </w:tabs>
              <w:spacing w:before="40" w:after="40" w:line="240" w:lineRule="exact"/>
              <w:jc w:val="center"/>
              <w:rPr>
                <w:b/>
                <w:bCs/>
                <w:szCs w:val="20"/>
              </w:rPr>
            </w:pPr>
            <w:r w:rsidRPr="00BC0E7E">
              <w:rPr>
                <w:b/>
                <w:bCs/>
                <w:szCs w:val="20"/>
              </w:rPr>
              <w:t>(Percent of Patients)</w:t>
            </w:r>
          </w:p>
        </w:tc>
      </w:tr>
      <w:tr w:rsidR="00C6578C" w14:paraId="42148C35" w14:textId="77777777" w:rsidTr="00171601">
        <w:trPr>
          <w:cantSplit/>
        </w:trPr>
        <w:tc>
          <w:tcPr>
            <w:tcW w:w="2416" w:type="dxa"/>
          </w:tcPr>
          <w:p w14:paraId="21A3B7DF" w14:textId="77777777" w:rsidR="00BC0E7E" w:rsidRPr="00BC0E7E" w:rsidRDefault="00BC0E7E" w:rsidP="007F079A">
            <w:pPr>
              <w:keepNext/>
              <w:keepLines/>
              <w:tabs>
                <w:tab w:val="clear" w:pos="562"/>
                <w:tab w:val="left" w:pos="360"/>
              </w:tabs>
              <w:spacing w:before="40" w:after="40" w:line="240" w:lineRule="exact"/>
              <w:rPr>
                <w:b/>
                <w:bCs/>
                <w:szCs w:val="20"/>
              </w:rPr>
            </w:pPr>
          </w:p>
        </w:tc>
        <w:tc>
          <w:tcPr>
            <w:tcW w:w="3412" w:type="dxa"/>
            <w:gridSpan w:val="3"/>
          </w:tcPr>
          <w:p w14:paraId="20D19CC9" w14:textId="77777777" w:rsidR="00BC0E7E" w:rsidRPr="00BC0E7E" w:rsidRDefault="00944B8F" w:rsidP="007F079A">
            <w:pPr>
              <w:keepNext/>
              <w:keepLines/>
              <w:tabs>
                <w:tab w:val="clear" w:pos="562"/>
                <w:tab w:val="left" w:pos="360"/>
              </w:tabs>
              <w:spacing w:before="40" w:after="40" w:line="240" w:lineRule="exact"/>
              <w:rPr>
                <w:b/>
                <w:bCs/>
                <w:szCs w:val="20"/>
              </w:rPr>
            </w:pPr>
            <w:r w:rsidRPr="00BC0E7E">
              <w:rPr>
                <w:b/>
                <w:bCs/>
                <w:szCs w:val="20"/>
              </w:rPr>
              <w:t>CD</w:t>
            </w:r>
            <w:r w:rsidR="00B21C8B">
              <w:rPr>
                <w:b/>
                <w:bCs/>
                <w:szCs w:val="20"/>
              </w:rPr>
              <w:t xml:space="preserve"> </w:t>
            </w:r>
            <w:r w:rsidRPr="00BC0E7E">
              <w:rPr>
                <w:b/>
                <w:bCs/>
                <w:szCs w:val="20"/>
              </w:rPr>
              <w:t>Study I: Infliximab Naive Patients</w:t>
            </w:r>
          </w:p>
        </w:tc>
        <w:tc>
          <w:tcPr>
            <w:tcW w:w="3410" w:type="dxa"/>
            <w:gridSpan w:val="2"/>
          </w:tcPr>
          <w:p w14:paraId="24789C65" w14:textId="77777777" w:rsidR="00BC0E7E" w:rsidRPr="00BC0E7E" w:rsidRDefault="00944B8F" w:rsidP="007F079A">
            <w:pPr>
              <w:keepNext/>
              <w:keepLines/>
              <w:tabs>
                <w:tab w:val="clear" w:pos="562"/>
                <w:tab w:val="left" w:pos="360"/>
              </w:tabs>
              <w:spacing w:before="40" w:after="40" w:line="240" w:lineRule="exact"/>
              <w:rPr>
                <w:b/>
                <w:bCs/>
                <w:szCs w:val="20"/>
              </w:rPr>
            </w:pPr>
            <w:r w:rsidRPr="00BC0E7E">
              <w:rPr>
                <w:b/>
                <w:bCs/>
                <w:szCs w:val="20"/>
              </w:rPr>
              <w:t>CD Study II: Infliximab Experienced Patients</w:t>
            </w:r>
          </w:p>
        </w:tc>
      </w:tr>
      <w:tr w:rsidR="00C6578C" w14:paraId="32AFE7AF" w14:textId="77777777" w:rsidTr="00171601">
        <w:trPr>
          <w:cantSplit/>
        </w:trPr>
        <w:tc>
          <w:tcPr>
            <w:tcW w:w="2416" w:type="dxa"/>
          </w:tcPr>
          <w:p w14:paraId="2953ABF7" w14:textId="77777777" w:rsidR="00BC0E7E" w:rsidRPr="00BC0E7E" w:rsidRDefault="00BC0E7E" w:rsidP="007F079A">
            <w:pPr>
              <w:keepNext/>
              <w:keepLines/>
              <w:tabs>
                <w:tab w:val="clear" w:pos="562"/>
                <w:tab w:val="left" w:pos="360"/>
              </w:tabs>
              <w:spacing w:before="40" w:after="40" w:line="240" w:lineRule="exact"/>
              <w:jc w:val="center"/>
              <w:rPr>
                <w:b/>
                <w:bCs/>
                <w:szCs w:val="20"/>
              </w:rPr>
            </w:pPr>
          </w:p>
        </w:tc>
        <w:tc>
          <w:tcPr>
            <w:tcW w:w="1212" w:type="dxa"/>
          </w:tcPr>
          <w:p w14:paraId="09F8ECFD" w14:textId="77777777" w:rsidR="00BC0E7E" w:rsidRPr="00BC0E7E" w:rsidRDefault="00944B8F" w:rsidP="007F079A">
            <w:pPr>
              <w:keepNext/>
              <w:keepLines/>
              <w:tabs>
                <w:tab w:val="clear" w:pos="562"/>
                <w:tab w:val="left" w:pos="360"/>
              </w:tabs>
              <w:spacing w:before="40" w:after="40" w:line="240" w:lineRule="exact"/>
              <w:jc w:val="center"/>
              <w:rPr>
                <w:b/>
                <w:bCs/>
                <w:szCs w:val="20"/>
                <w:lang w:val="fr-FR"/>
              </w:rPr>
            </w:pPr>
            <w:r w:rsidRPr="00BC0E7E">
              <w:rPr>
                <w:b/>
                <w:bCs/>
                <w:szCs w:val="20"/>
                <w:lang w:val="fr-FR"/>
              </w:rPr>
              <w:t>Placebo</w:t>
            </w:r>
          </w:p>
          <w:p w14:paraId="2DA8599D" w14:textId="77777777" w:rsidR="00BC0E7E" w:rsidRPr="00BC0E7E" w:rsidRDefault="00944B8F" w:rsidP="007F079A">
            <w:pPr>
              <w:keepNext/>
              <w:keepLines/>
              <w:tabs>
                <w:tab w:val="clear" w:pos="562"/>
                <w:tab w:val="left" w:pos="360"/>
              </w:tabs>
              <w:spacing w:before="40" w:after="40" w:line="240" w:lineRule="exact"/>
              <w:jc w:val="center"/>
              <w:rPr>
                <w:b/>
                <w:bCs/>
                <w:szCs w:val="20"/>
                <w:lang w:val="fr-FR"/>
              </w:rPr>
            </w:pPr>
            <w:r w:rsidRPr="00BC0E7E">
              <w:rPr>
                <w:b/>
                <w:bCs/>
                <w:szCs w:val="20"/>
                <w:lang w:val="fr-FR"/>
              </w:rPr>
              <w:t>N=74</w:t>
            </w:r>
          </w:p>
        </w:tc>
        <w:tc>
          <w:tcPr>
            <w:tcW w:w="1264" w:type="dxa"/>
          </w:tcPr>
          <w:p w14:paraId="2E829C40" w14:textId="77777777" w:rsidR="00BC0E7E" w:rsidRPr="00BC0E7E" w:rsidRDefault="00944B8F" w:rsidP="007F079A">
            <w:pPr>
              <w:keepNext/>
              <w:keepLines/>
              <w:tabs>
                <w:tab w:val="clear" w:pos="562"/>
                <w:tab w:val="left" w:pos="360"/>
              </w:tabs>
              <w:spacing w:before="40" w:after="40" w:line="240" w:lineRule="exact"/>
              <w:jc w:val="center"/>
              <w:rPr>
                <w:b/>
                <w:bCs/>
                <w:szCs w:val="20"/>
                <w:lang w:val="fr-FR"/>
              </w:rPr>
            </w:pPr>
            <w:r w:rsidRPr="00BC0E7E">
              <w:rPr>
                <w:b/>
                <w:bCs/>
                <w:szCs w:val="20"/>
                <w:lang w:val="fr-FR"/>
              </w:rPr>
              <w:t>Humira</w:t>
            </w:r>
          </w:p>
          <w:p w14:paraId="63B11046" w14:textId="77777777" w:rsidR="00BC0E7E" w:rsidRPr="00BC0E7E" w:rsidRDefault="00944B8F" w:rsidP="007F079A">
            <w:pPr>
              <w:keepNext/>
              <w:keepLines/>
              <w:tabs>
                <w:tab w:val="clear" w:pos="562"/>
                <w:tab w:val="left" w:pos="360"/>
              </w:tabs>
              <w:spacing w:before="40" w:after="40" w:line="240" w:lineRule="exact"/>
              <w:jc w:val="center"/>
              <w:rPr>
                <w:b/>
                <w:bCs/>
                <w:szCs w:val="20"/>
                <w:lang w:val="fr-FR"/>
              </w:rPr>
            </w:pPr>
            <w:r w:rsidRPr="00BC0E7E">
              <w:rPr>
                <w:b/>
                <w:bCs/>
                <w:szCs w:val="20"/>
                <w:lang w:val="fr-FR"/>
              </w:rPr>
              <w:t>80/40 mg</w:t>
            </w:r>
          </w:p>
          <w:p w14:paraId="1ACA4325" w14:textId="77777777" w:rsidR="00BC0E7E" w:rsidRPr="00BC0E7E" w:rsidRDefault="00944B8F" w:rsidP="007F079A">
            <w:pPr>
              <w:keepNext/>
              <w:keepLines/>
              <w:tabs>
                <w:tab w:val="clear" w:pos="562"/>
                <w:tab w:val="left" w:pos="360"/>
              </w:tabs>
              <w:spacing w:before="40" w:after="40" w:line="240" w:lineRule="exact"/>
              <w:jc w:val="center"/>
              <w:rPr>
                <w:b/>
                <w:bCs/>
                <w:szCs w:val="20"/>
                <w:lang w:val="fr-FR"/>
              </w:rPr>
            </w:pPr>
            <w:r w:rsidRPr="00BC0E7E">
              <w:rPr>
                <w:b/>
                <w:bCs/>
                <w:szCs w:val="20"/>
                <w:lang w:val="fr-FR"/>
              </w:rPr>
              <w:t>N = 75</w:t>
            </w:r>
          </w:p>
        </w:tc>
        <w:tc>
          <w:tcPr>
            <w:tcW w:w="936" w:type="dxa"/>
          </w:tcPr>
          <w:p w14:paraId="5C7EA3A1" w14:textId="77777777" w:rsidR="00BC0E7E" w:rsidRPr="00BC0E7E" w:rsidRDefault="00944B8F" w:rsidP="007F079A">
            <w:pPr>
              <w:keepNext/>
              <w:keepLines/>
              <w:tabs>
                <w:tab w:val="clear" w:pos="562"/>
                <w:tab w:val="left" w:pos="360"/>
              </w:tabs>
              <w:spacing w:before="40" w:after="40" w:line="240" w:lineRule="exact"/>
              <w:jc w:val="center"/>
              <w:rPr>
                <w:b/>
                <w:bCs/>
                <w:szCs w:val="20"/>
                <w:lang w:val="fr-FR"/>
              </w:rPr>
            </w:pPr>
            <w:r w:rsidRPr="00BC0E7E">
              <w:rPr>
                <w:b/>
                <w:bCs/>
                <w:szCs w:val="20"/>
                <w:lang w:val="fr-FR"/>
              </w:rPr>
              <w:t xml:space="preserve">Humira </w:t>
            </w:r>
          </w:p>
          <w:p w14:paraId="01583261" w14:textId="77777777" w:rsidR="00BC0E7E" w:rsidRPr="00BC0E7E" w:rsidRDefault="00944B8F" w:rsidP="007F079A">
            <w:pPr>
              <w:keepNext/>
              <w:keepLines/>
              <w:tabs>
                <w:tab w:val="clear" w:pos="562"/>
                <w:tab w:val="left" w:pos="360"/>
              </w:tabs>
              <w:spacing w:before="40" w:after="40" w:line="240" w:lineRule="exact"/>
              <w:jc w:val="center"/>
              <w:rPr>
                <w:b/>
                <w:bCs/>
                <w:szCs w:val="20"/>
                <w:lang w:val="fr-FR"/>
              </w:rPr>
            </w:pPr>
            <w:r w:rsidRPr="00BC0E7E">
              <w:rPr>
                <w:b/>
                <w:bCs/>
                <w:szCs w:val="20"/>
                <w:lang w:val="fr-FR"/>
              </w:rPr>
              <w:t>160/80 mg N=76</w:t>
            </w:r>
          </w:p>
        </w:tc>
        <w:tc>
          <w:tcPr>
            <w:tcW w:w="1540" w:type="dxa"/>
          </w:tcPr>
          <w:p w14:paraId="2F917361" w14:textId="77777777" w:rsidR="00BC0E7E" w:rsidRPr="00BC0E7E" w:rsidRDefault="00944B8F" w:rsidP="007F079A">
            <w:pPr>
              <w:keepNext/>
              <w:keepLines/>
              <w:tabs>
                <w:tab w:val="clear" w:pos="562"/>
                <w:tab w:val="left" w:pos="360"/>
              </w:tabs>
              <w:spacing w:before="40" w:after="40" w:line="240" w:lineRule="exact"/>
              <w:jc w:val="center"/>
              <w:rPr>
                <w:b/>
                <w:bCs/>
                <w:szCs w:val="20"/>
                <w:lang w:val="fr-FR"/>
              </w:rPr>
            </w:pPr>
            <w:r w:rsidRPr="00BC0E7E">
              <w:rPr>
                <w:b/>
                <w:bCs/>
                <w:szCs w:val="20"/>
                <w:lang w:val="fr-FR"/>
              </w:rPr>
              <w:t>Placebo</w:t>
            </w:r>
          </w:p>
          <w:p w14:paraId="7A04164B" w14:textId="77777777" w:rsidR="00BC0E7E" w:rsidRPr="00BC0E7E" w:rsidRDefault="00944B8F" w:rsidP="007F079A">
            <w:pPr>
              <w:keepNext/>
              <w:keepLines/>
              <w:tabs>
                <w:tab w:val="clear" w:pos="562"/>
                <w:tab w:val="left" w:pos="360"/>
              </w:tabs>
              <w:spacing w:before="40" w:after="40" w:line="240" w:lineRule="exact"/>
              <w:jc w:val="center"/>
              <w:rPr>
                <w:b/>
                <w:bCs/>
                <w:szCs w:val="20"/>
                <w:lang w:val="fr-FR"/>
              </w:rPr>
            </w:pPr>
            <w:r w:rsidRPr="00BC0E7E">
              <w:rPr>
                <w:b/>
                <w:bCs/>
                <w:szCs w:val="20"/>
                <w:lang w:val="fr-FR"/>
              </w:rPr>
              <w:t>N=166</w:t>
            </w:r>
          </w:p>
        </w:tc>
        <w:tc>
          <w:tcPr>
            <w:tcW w:w="1870" w:type="dxa"/>
          </w:tcPr>
          <w:p w14:paraId="09D84096" w14:textId="77777777" w:rsidR="00BC0E7E" w:rsidRPr="00BC0E7E" w:rsidRDefault="00944B8F" w:rsidP="007F079A">
            <w:pPr>
              <w:keepNext/>
              <w:keepLines/>
              <w:tabs>
                <w:tab w:val="clear" w:pos="562"/>
                <w:tab w:val="left" w:pos="360"/>
              </w:tabs>
              <w:spacing w:before="40" w:after="40" w:line="240" w:lineRule="exact"/>
              <w:jc w:val="center"/>
              <w:rPr>
                <w:b/>
                <w:bCs/>
                <w:szCs w:val="20"/>
                <w:lang w:val="fr-FR"/>
              </w:rPr>
            </w:pPr>
            <w:r w:rsidRPr="00BC0E7E">
              <w:rPr>
                <w:b/>
                <w:bCs/>
                <w:szCs w:val="20"/>
                <w:lang w:val="fr-FR"/>
              </w:rPr>
              <w:t xml:space="preserve">Humira </w:t>
            </w:r>
          </w:p>
          <w:p w14:paraId="483263A1" w14:textId="77777777" w:rsidR="00BC0E7E" w:rsidRPr="00BC0E7E" w:rsidRDefault="00944B8F" w:rsidP="007F079A">
            <w:pPr>
              <w:keepNext/>
              <w:keepLines/>
              <w:tabs>
                <w:tab w:val="clear" w:pos="562"/>
                <w:tab w:val="left" w:pos="360"/>
              </w:tabs>
              <w:spacing w:before="40" w:after="40" w:line="240" w:lineRule="exact"/>
              <w:jc w:val="center"/>
              <w:rPr>
                <w:b/>
                <w:bCs/>
                <w:szCs w:val="20"/>
                <w:lang w:val="fr-FR"/>
              </w:rPr>
            </w:pPr>
            <w:r w:rsidRPr="00BC0E7E">
              <w:rPr>
                <w:b/>
                <w:bCs/>
                <w:szCs w:val="20"/>
                <w:lang w:val="fr-FR"/>
              </w:rPr>
              <w:t>160/80 mg</w:t>
            </w:r>
          </w:p>
          <w:p w14:paraId="5024E69D" w14:textId="77777777" w:rsidR="00BC0E7E" w:rsidRPr="00BC0E7E" w:rsidRDefault="00944B8F" w:rsidP="007F079A">
            <w:pPr>
              <w:keepNext/>
              <w:keepLines/>
              <w:tabs>
                <w:tab w:val="clear" w:pos="562"/>
                <w:tab w:val="left" w:pos="360"/>
              </w:tabs>
              <w:spacing w:before="40" w:after="40" w:line="240" w:lineRule="exact"/>
              <w:jc w:val="center"/>
              <w:rPr>
                <w:b/>
                <w:bCs/>
                <w:szCs w:val="20"/>
              </w:rPr>
            </w:pPr>
            <w:r w:rsidRPr="00BC0E7E">
              <w:rPr>
                <w:b/>
                <w:bCs/>
                <w:szCs w:val="20"/>
              </w:rPr>
              <w:t>N=159</w:t>
            </w:r>
          </w:p>
        </w:tc>
      </w:tr>
      <w:tr w:rsidR="00C6578C" w14:paraId="657B770D" w14:textId="77777777" w:rsidTr="00171601">
        <w:trPr>
          <w:cantSplit/>
        </w:trPr>
        <w:tc>
          <w:tcPr>
            <w:tcW w:w="2416" w:type="dxa"/>
            <w:vAlign w:val="bottom"/>
          </w:tcPr>
          <w:p w14:paraId="2157E577" w14:textId="77777777" w:rsidR="00BC0E7E" w:rsidRPr="00BC0E7E" w:rsidRDefault="00944B8F" w:rsidP="007F079A">
            <w:pPr>
              <w:keepNext/>
              <w:keepLines/>
              <w:tabs>
                <w:tab w:val="clear" w:pos="562"/>
                <w:tab w:val="left" w:pos="360"/>
              </w:tabs>
              <w:spacing w:before="40" w:after="40" w:line="240" w:lineRule="exact"/>
              <w:rPr>
                <w:szCs w:val="20"/>
              </w:rPr>
            </w:pPr>
            <w:r w:rsidRPr="00BC0E7E">
              <w:rPr>
                <w:szCs w:val="20"/>
              </w:rPr>
              <w:t>Week 4</w:t>
            </w:r>
          </w:p>
        </w:tc>
        <w:tc>
          <w:tcPr>
            <w:tcW w:w="1212" w:type="dxa"/>
            <w:vAlign w:val="bottom"/>
          </w:tcPr>
          <w:p w14:paraId="440AC53F" w14:textId="77777777" w:rsidR="00BC0E7E" w:rsidRPr="00BC0E7E" w:rsidRDefault="00BC0E7E" w:rsidP="007F079A">
            <w:pPr>
              <w:keepNext/>
              <w:keepLines/>
              <w:tabs>
                <w:tab w:val="clear" w:pos="562"/>
                <w:tab w:val="left" w:pos="360"/>
              </w:tabs>
              <w:spacing w:before="40" w:after="40" w:line="240" w:lineRule="exact"/>
              <w:rPr>
                <w:szCs w:val="20"/>
              </w:rPr>
            </w:pPr>
          </w:p>
        </w:tc>
        <w:tc>
          <w:tcPr>
            <w:tcW w:w="1264" w:type="dxa"/>
            <w:vAlign w:val="bottom"/>
          </w:tcPr>
          <w:p w14:paraId="6C3DD282" w14:textId="77777777" w:rsidR="00BC0E7E" w:rsidRPr="00BC0E7E" w:rsidRDefault="00BC0E7E" w:rsidP="007F079A">
            <w:pPr>
              <w:keepNext/>
              <w:keepLines/>
              <w:tabs>
                <w:tab w:val="clear" w:pos="562"/>
                <w:tab w:val="left" w:pos="360"/>
              </w:tabs>
              <w:spacing w:before="40" w:after="40" w:line="240" w:lineRule="exact"/>
              <w:rPr>
                <w:szCs w:val="20"/>
              </w:rPr>
            </w:pPr>
          </w:p>
        </w:tc>
        <w:tc>
          <w:tcPr>
            <w:tcW w:w="936" w:type="dxa"/>
            <w:vAlign w:val="bottom"/>
          </w:tcPr>
          <w:p w14:paraId="1AC1B027" w14:textId="77777777" w:rsidR="00BC0E7E" w:rsidRPr="00BC0E7E" w:rsidRDefault="00BC0E7E" w:rsidP="007F079A">
            <w:pPr>
              <w:keepNext/>
              <w:keepLines/>
              <w:tabs>
                <w:tab w:val="clear" w:pos="562"/>
                <w:tab w:val="left" w:pos="360"/>
              </w:tabs>
              <w:spacing w:before="40" w:after="40" w:line="240" w:lineRule="exact"/>
              <w:rPr>
                <w:szCs w:val="20"/>
              </w:rPr>
            </w:pPr>
          </w:p>
        </w:tc>
        <w:tc>
          <w:tcPr>
            <w:tcW w:w="1540" w:type="dxa"/>
            <w:vAlign w:val="bottom"/>
          </w:tcPr>
          <w:p w14:paraId="138F8370" w14:textId="77777777" w:rsidR="00BC0E7E" w:rsidRPr="00BC0E7E" w:rsidRDefault="00BC0E7E" w:rsidP="007F079A">
            <w:pPr>
              <w:keepNext/>
              <w:keepLines/>
              <w:tabs>
                <w:tab w:val="clear" w:pos="562"/>
                <w:tab w:val="left" w:pos="360"/>
              </w:tabs>
              <w:spacing w:before="40" w:after="40" w:line="240" w:lineRule="exact"/>
              <w:rPr>
                <w:szCs w:val="20"/>
              </w:rPr>
            </w:pPr>
          </w:p>
        </w:tc>
        <w:tc>
          <w:tcPr>
            <w:tcW w:w="1870" w:type="dxa"/>
            <w:vAlign w:val="bottom"/>
          </w:tcPr>
          <w:p w14:paraId="03B22D2B" w14:textId="77777777" w:rsidR="00BC0E7E" w:rsidRPr="00BC0E7E" w:rsidRDefault="00BC0E7E" w:rsidP="007F079A">
            <w:pPr>
              <w:keepNext/>
              <w:keepLines/>
              <w:tabs>
                <w:tab w:val="clear" w:pos="562"/>
                <w:tab w:val="left" w:pos="360"/>
              </w:tabs>
              <w:spacing w:before="40" w:after="40" w:line="240" w:lineRule="exact"/>
              <w:rPr>
                <w:szCs w:val="20"/>
              </w:rPr>
            </w:pPr>
          </w:p>
        </w:tc>
      </w:tr>
      <w:tr w:rsidR="00C6578C" w14:paraId="46B9BDC2" w14:textId="77777777" w:rsidTr="00171601">
        <w:trPr>
          <w:cantSplit/>
        </w:trPr>
        <w:tc>
          <w:tcPr>
            <w:tcW w:w="2416" w:type="dxa"/>
            <w:vAlign w:val="bottom"/>
          </w:tcPr>
          <w:p w14:paraId="4C9322E9" w14:textId="77777777" w:rsidR="00BC0E7E" w:rsidRPr="00BC0E7E" w:rsidRDefault="00944B8F" w:rsidP="007F079A">
            <w:pPr>
              <w:keepNext/>
              <w:keepLines/>
              <w:tabs>
                <w:tab w:val="clear" w:pos="562"/>
                <w:tab w:val="left" w:pos="360"/>
              </w:tabs>
              <w:spacing w:before="40" w:after="40" w:line="240" w:lineRule="exact"/>
              <w:rPr>
                <w:szCs w:val="20"/>
              </w:rPr>
            </w:pPr>
            <w:r w:rsidRPr="00BC0E7E">
              <w:rPr>
                <w:szCs w:val="20"/>
              </w:rPr>
              <w:t>Clinical remission</w:t>
            </w:r>
          </w:p>
        </w:tc>
        <w:tc>
          <w:tcPr>
            <w:tcW w:w="1212" w:type="dxa"/>
            <w:vAlign w:val="bottom"/>
          </w:tcPr>
          <w:p w14:paraId="43AF21C8" w14:textId="77777777" w:rsidR="00BC0E7E" w:rsidRPr="00BC0E7E" w:rsidRDefault="00944B8F" w:rsidP="007F079A">
            <w:pPr>
              <w:keepNext/>
              <w:keepLines/>
              <w:tabs>
                <w:tab w:val="clear" w:pos="562"/>
                <w:tab w:val="left" w:pos="360"/>
              </w:tabs>
              <w:spacing w:before="40" w:after="40" w:line="240" w:lineRule="exact"/>
              <w:jc w:val="center"/>
              <w:rPr>
                <w:szCs w:val="20"/>
              </w:rPr>
            </w:pPr>
            <w:r w:rsidRPr="00BC0E7E">
              <w:rPr>
                <w:szCs w:val="20"/>
              </w:rPr>
              <w:t>12%</w:t>
            </w:r>
          </w:p>
        </w:tc>
        <w:tc>
          <w:tcPr>
            <w:tcW w:w="1264" w:type="dxa"/>
            <w:vAlign w:val="bottom"/>
          </w:tcPr>
          <w:p w14:paraId="30AFC708" w14:textId="77777777" w:rsidR="00BC0E7E" w:rsidRPr="00BC0E7E" w:rsidRDefault="00944B8F" w:rsidP="007F079A">
            <w:pPr>
              <w:keepNext/>
              <w:keepLines/>
              <w:tabs>
                <w:tab w:val="clear" w:pos="562"/>
                <w:tab w:val="left" w:pos="360"/>
              </w:tabs>
              <w:spacing w:before="40" w:after="40" w:line="240" w:lineRule="exact"/>
              <w:jc w:val="center"/>
              <w:rPr>
                <w:bCs/>
                <w:iCs/>
                <w:szCs w:val="20"/>
              </w:rPr>
            </w:pPr>
            <w:r w:rsidRPr="00BC0E7E">
              <w:rPr>
                <w:bCs/>
                <w:iCs/>
                <w:szCs w:val="20"/>
              </w:rPr>
              <w:t>24%</w:t>
            </w:r>
          </w:p>
        </w:tc>
        <w:tc>
          <w:tcPr>
            <w:tcW w:w="936" w:type="dxa"/>
            <w:vAlign w:val="bottom"/>
          </w:tcPr>
          <w:p w14:paraId="62733B6C" w14:textId="77777777" w:rsidR="00BC0E7E" w:rsidRPr="00BC0E7E" w:rsidRDefault="00944B8F" w:rsidP="007F079A">
            <w:pPr>
              <w:keepNext/>
              <w:keepLines/>
              <w:tabs>
                <w:tab w:val="clear" w:pos="562"/>
                <w:tab w:val="left" w:pos="360"/>
              </w:tabs>
              <w:spacing w:before="40" w:after="40" w:line="240" w:lineRule="exact"/>
              <w:jc w:val="center"/>
              <w:rPr>
                <w:bCs/>
                <w:iCs/>
                <w:szCs w:val="20"/>
              </w:rPr>
            </w:pPr>
            <w:r w:rsidRPr="00BC0E7E">
              <w:rPr>
                <w:szCs w:val="20"/>
              </w:rPr>
              <w:t>36%</w:t>
            </w:r>
            <w:r w:rsidRPr="00BC0E7E">
              <w:rPr>
                <w:szCs w:val="20"/>
                <w:vertAlign w:val="superscript"/>
              </w:rPr>
              <w:t>*</w:t>
            </w:r>
          </w:p>
        </w:tc>
        <w:tc>
          <w:tcPr>
            <w:tcW w:w="1540" w:type="dxa"/>
            <w:vAlign w:val="bottom"/>
          </w:tcPr>
          <w:p w14:paraId="79BB7CF1" w14:textId="77777777" w:rsidR="00BC0E7E" w:rsidRPr="00BC0E7E" w:rsidRDefault="00944B8F" w:rsidP="007F079A">
            <w:pPr>
              <w:keepNext/>
              <w:keepLines/>
              <w:tabs>
                <w:tab w:val="clear" w:pos="562"/>
                <w:tab w:val="left" w:pos="360"/>
              </w:tabs>
              <w:spacing w:before="40" w:after="40" w:line="240" w:lineRule="exact"/>
              <w:jc w:val="center"/>
              <w:rPr>
                <w:szCs w:val="20"/>
              </w:rPr>
            </w:pPr>
            <w:r w:rsidRPr="00BC0E7E">
              <w:rPr>
                <w:szCs w:val="20"/>
              </w:rPr>
              <w:t>7%</w:t>
            </w:r>
          </w:p>
        </w:tc>
        <w:tc>
          <w:tcPr>
            <w:tcW w:w="1870" w:type="dxa"/>
            <w:vAlign w:val="bottom"/>
          </w:tcPr>
          <w:p w14:paraId="28B51A2B" w14:textId="77777777" w:rsidR="00BC0E7E" w:rsidRPr="00BC0E7E" w:rsidRDefault="00944B8F" w:rsidP="007F079A">
            <w:pPr>
              <w:keepNext/>
              <w:keepLines/>
              <w:tabs>
                <w:tab w:val="clear" w:pos="562"/>
                <w:tab w:val="left" w:pos="360"/>
              </w:tabs>
              <w:spacing w:before="40" w:after="40" w:line="240" w:lineRule="exact"/>
              <w:jc w:val="center"/>
              <w:rPr>
                <w:szCs w:val="20"/>
              </w:rPr>
            </w:pPr>
            <w:r w:rsidRPr="00BC0E7E">
              <w:rPr>
                <w:szCs w:val="20"/>
              </w:rPr>
              <w:t>21%</w:t>
            </w:r>
            <w:r w:rsidRPr="00BC0E7E">
              <w:rPr>
                <w:szCs w:val="20"/>
                <w:vertAlign w:val="superscript"/>
              </w:rPr>
              <w:t>*</w:t>
            </w:r>
          </w:p>
        </w:tc>
      </w:tr>
      <w:tr w:rsidR="00C6578C" w14:paraId="45E2D5C7" w14:textId="77777777" w:rsidTr="00171601">
        <w:trPr>
          <w:cantSplit/>
        </w:trPr>
        <w:tc>
          <w:tcPr>
            <w:tcW w:w="2416" w:type="dxa"/>
          </w:tcPr>
          <w:p w14:paraId="5EB1A905" w14:textId="77777777" w:rsidR="00BC0E7E" w:rsidRPr="00BC0E7E" w:rsidRDefault="00944B8F" w:rsidP="007F079A">
            <w:pPr>
              <w:keepNext/>
              <w:keepLines/>
              <w:tabs>
                <w:tab w:val="clear" w:pos="562"/>
                <w:tab w:val="left" w:pos="360"/>
              </w:tabs>
              <w:spacing w:before="40" w:after="40" w:line="240" w:lineRule="exact"/>
              <w:rPr>
                <w:szCs w:val="20"/>
              </w:rPr>
            </w:pPr>
            <w:r w:rsidRPr="00BC0E7E">
              <w:rPr>
                <w:szCs w:val="20"/>
              </w:rPr>
              <w:t>Clinical response (CR-100)</w:t>
            </w:r>
          </w:p>
        </w:tc>
        <w:tc>
          <w:tcPr>
            <w:tcW w:w="1212" w:type="dxa"/>
          </w:tcPr>
          <w:p w14:paraId="60AE1415" w14:textId="77777777" w:rsidR="00BC0E7E" w:rsidRPr="00BC0E7E" w:rsidRDefault="00944B8F" w:rsidP="007F079A">
            <w:pPr>
              <w:keepNext/>
              <w:keepLines/>
              <w:tabs>
                <w:tab w:val="clear" w:pos="562"/>
                <w:tab w:val="left" w:pos="360"/>
              </w:tabs>
              <w:spacing w:before="40" w:after="40" w:line="240" w:lineRule="exact"/>
              <w:jc w:val="center"/>
              <w:rPr>
                <w:szCs w:val="20"/>
              </w:rPr>
            </w:pPr>
            <w:r w:rsidRPr="00BC0E7E">
              <w:rPr>
                <w:szCs w:val="20"/>
              </w:rPr>
              <w:t>24%</w:t>
            </w:r>
          </w:p>
        </w:tc>
        <w:tc>
          <w:tcPr>
            <w:tcW w:w="1264" w:type="dxa"/>
          </w:tcPr>
          <w:p w14:paraId="11455FB8" w14:textId="77777777" w:rsidR="00BC0E7E" w:rsidRPr="00BC0E7E" w:rsidRDefault="00944B8F" w:rsidP="007F079A">
            <w:pPr>
              <w:keepNext/>
              <w:keepLines/>
              <w:tabs>
                <w:tab w:val="clear" w:pos="562"/>
                <w:tab w:val="left" w:pos="360"/>
              </w:tabs>
              <w:spacing w:before="40" w:after="40" w:line="240" w:lineRule="exact"/>
              <w:jc w:val="center"/>
              <w:rPr>
                <w:szCs w:val="20"/>
              </w:rPr>
            </w:pPr>
            <w:r w:rsidRPr="00BC0E7E">
              <w:rPr>
                <w:szCs w:val="20"/>
              </w:rPr>
              <w:t>37%</w:t>
            </w:r>
          </w:p>
        </w:tc>
        <w:tc>
          <w:tcPr>
            <w:tcW w:w="936" w:type="dxa"/>
          </w:tcPr>
          <w:p w14:paraId="2D75D383" w14:textId="77777777" w:rsidR="00BC0E7E" w:rsidRPr="00BC0E7E" w:rsidRDefault="00944B8F" w:rsidP="007F079A">
            <w:pPr>
              <w:keepNext/>
              <w:keepLines/>
              <w:tabs>
                <w:tab w:val="clear" w:pos="562"/>
                <w:tab w:val="left" w:pos="360"/>
              </w:tabs>
              <w:spacing w:before="40" w:after="40" w:line="240" w:lineRule="exact"/>
              <w:jc w:val="center"/>
              <w:rPr>
                <w:szCs w:val="20"/>
              </w:rPr>
            </w:pPr>
            <w:r w:rsidRPr="00BC0E7E">
              <w:rPr>
                <w:szCs w:val="20"/>
              </w:rPr>
              <w:t>49%</w:t>
            </w:r>
            <w:r w:rsidRPr="00BC0E7E">
              <w:rPr>
                <w:szCs w:val="20"/>
                <w:vertAlign w:val="superscript"/>
              </w:rPr>
              <w:t>**</w:t>
            </w:r>
          </w:p>
        </w:tc>
        <w:tc>
          <w:tcPr>
            <w:tcW w:w="1540" w:type="dxa"/>
          </w:tcPr>
          <w:p w14:paraId="1C400EE0" w14:textId="77777777" w:rsidR="00BC0E7E" w:rsidRPr="00BC0E7E" w:rsidRDefault="00944B8F" w:rsidP="007F079A">
            <w:pPr>
              <w:keepNext/>
              <w:keepLines/>
              <w:tabs>
                <w:tab w:val="clear" w:pos="562"/>
                <w:tab w:val="left" w:pos="360"/>
              </w:tabs>
              <w:spacing w:before="40" w:after="40" w:line="240" w:lineRule="exact"/>
              <w:jc w:val="center"/>
              <w:rPr>
                <w:szCs w:val="20"/>
              </w:rPr>
            </w:pPr>
            <w:r w:rsidRPr="00BC0E7E">
              <w:rPr>
                <w:szCs w:val="20"/>
              </w:rPr>
              <w:t>25%</w:t>
            </w:r>
          </w:p>
        </w:tc>
        <w:tc>
          <w:tcPr>
            <w:tcW w:w="1870" w:type="dxa"/>
          </w:tcPr>
          <w:p w14:paraId="60876963" w14:textId="77777777" w:rsidR="00BC0E7E" w:rsidRPr="00BC0E7E" w:rsidRDefault="00944B8F" w:rsidP="007F079A">
            <w:pPr>
              <w:keepNext/>
              <w:keepLines/>
              <w:tabs>
                <w:tab w:val="clear" w:pos="562"/>
                <w:tab w:val="left" w:pos="360"/>
              </w:tabs>
              <w:spacing w:before="40" w:after="40" w:line="240" w:lineRule="exact"/>
              <w:jc w:val="center"/>
              <w:rPr>
                <w:szCs w:val="20"/>
              </w:rPr>
            </w:pPr>
            <w:r w:rsidRPr="00BC0E7E">
              <w:rPr>
                <w:szCs w:val="20"/>
              </w:rPr>
              <w:t>38%</w:t>
            </w:r>
            <w:r w:rsidRPr="00BC0E7E">
              <w:rPr>
                <w:szCs w:val="20"/>
                <w:vertAlign w:val="superscript"/>
              </w:rPr>
              <w:t>**</w:t>
            </w:r>
          </w:p>
        </w:tc>
      </w:tr>
      <w:tr w:rsidR="00C6578C" w14:paraId="190DDCAD" w14:textId="77777777" w:rsidTr="00171601">
        <w:trPr>
          <w:cantSplit/>
        </w:trPr>
        <w:tc>
          <w:tcPr>
            <w:tcW w:w="9238" w:type="dxa"/>
            <w:gridSpan w:val="6"/>
            <w:tcBorders>
              <w:left w:val="nil"/>
              <w:bottom w:val="nil"/>
              <w:right w:val="nil"/>
            </w:tcBorders>
          </w:tcPr>
          <w:p w14:paraId="2A3012D4" w14:textId="77777777" w:rsidR="00BC0E7E" w:rsidRPr="00BC0E7E" w:rsidRDefault="00944B8F" w:rsidP="007F079A">
            <w:pPr>
              <w:keepNext/>
              <w:keepLines/>
              <w:tabs>
                <w:tab w:val="clear" w:pos="562"/>
                <w:tab w:val="left" w:pos="360"/>
              </w:tabs>
              <w:spacing w:before="40" w:after="40" w:line="240" w:lineRule="exact"/>
              <w:rPr>
                <w:szCs w:val="20"/>
              </w:rPr>
            </w:pPr>
            <w:r w:rsidRPr="00BC0E7E">
              <w:rPr>
                <w:szCs w:val="20"/>
              </w:rPr>
              <w:t xml:space="preserve">All p-values are pairwise comparisons of proportions for Humira </w:t>
            </w:r>
            <w:r w:rsidRPr="00BC0E7E">
              <w:rPr>
                <w:i/>
                <w:iCs/>
                <w:szCs w:val="20"/>
              </w:rPr>
              <w:t>versus</w:t>
            </w:r>
            <w:r w:rsidRPr="00BC0E7E">
              <w:rPr>
                <w:szCs w:val="20"/>
              </w:rPr>
              <w:t xml:space="preserve"> placebo</w:t>
            </w:r>
          </w:p>
          <w:p w14:paraId="114F1933" w14:textId="77777777" w:rsidR="00BC0E7E" w:rsidRPr="00BC0E7E" w:rsidRDefault="00944B8F" w:rsidP="007F079A">
            <w:pPr>
              <w:keepNext/>
              <w:keepLines/>
              <w:tabs>
                <w:tab w:val="clear" w:pos="562"/>
                <w:tab w:val="left" w:pos="360"/>
              </w:tabs>
              <w:spacing w:before="40" w:after="40" w:line="240" w:lineRule="exact"/>
              <w:rPr>
                <w:szCs w:val="20"/>
              </w:rPr>
            </w:pPr>
            <w:r w:rsidRPr="00BC0E7E">
              <w:rPr>
                <w:szCs w:val="20"/>
                <w:vertAlign w:val="superscript"/>
              </w:rPr>
              <w:t>*</w:t>
            </w:r>
            <w:r w:rsidRPr="00BC0E7E">
              <w:rPr>
                <w:szCs w:val="20"/>
              </w:rPr>
              <w:tab/>
              <w:t>p &lt; 0.001</w:t>
            </w:r>
          </w:p>
          <w:p w14:paraId="22866643" w14:textId="77777777" w:rsidR="00BC0E7E" w:rsidRPr="00BC0E7E" w:rsidRDefault="00944B8F" w:rsidP="007F079A">
            <w:pPr>
              <w:keepNext/>
              <w:keepLines/>
              <w:tabs>
                <w:tab w:val="clear" w:pos="562"/>
                <w:tab w:val="left" w:pos="360"/>
              </w:tabs>
              <w:spacing w:before="40" w:after="40" w:line="240" w:lineRule="exact"/>
              <w:rPr>
                <w:szCs w:val="20"/>
              </w:rPr>
            </w:pPr>
            <w:r w:rsidRPr="00BC0E7E">
              <w:rPr>
                <w:szCs w:val="20"/>
                <w:vertAlign w:val="superscript"/>
              </w:rPr>
              <w:t>**</w:t>
            </w:r>
            <w:r w:rsidRPr="00BC0E7E">
              <w:rPr>
                <w:szCs w:val="20"/>
              </w:rPr>
              <w:tab/>
              <w:t>p &lt; 0.01</w:t>
            </w:r>
          </w:p>
        </w:tc>
      </w:tr>
    </w:tbl>
    <w:p w14:paraId="43D7A580" w14:textId="77777777" w:rsidR="00BC0E7E" w:rsidRPr="00BC0E7E" w:rsidRDefault="00BC0E7E" w:rsidP="00BC0E7E">
      <w:pPr>
        <w:rPr>
          <w:szCs w:val="20"/>
        </w:rPr>
      </w:pPr>
    </w:p>
    <w:p w14:paraId="42F4F25F" w14:textId="77777777" w:rsidR="00BC0E7E" w:rsidRPr="00BC0E7E" w:rsidRDefault="00944B8F" w:rsidP="00BC0E7E">
      <w:pPr>
        <w:rPr>
          <w:szCs w:val="20"/>
        </w:rPr>
      </w:pPr>
      <w:r w:rsidRPr="00BC0E7E">
        <w:rPr>
          <w:szCs w:val="20"/>
        </w:rPr>
        <w:t>Similar remission rates were observed for the 160/80 mg and 80/40 mg induction regimens by Week 8 and adverse events were more frequently noted in the 160/80 mg group.</w:t>
      </w:r>
    </w:p>
    <w:p w14:paraId="4A02FC4E" w14:textId="77777777" w:rsidR="00BC0E7E" w:rsidRPr="00BC0E7E" w:rsidRDefault="00BC0E7E" w:rsidP="00BC0E7E">
      <w:pPr>
        <w:rPr>
          <w:szCs w:val="20"/>
        </w:rPr>
      </w:pPr>
    </w:p>
    <w:p w14:paraId="6F961559" w14:textId="77777777" w:rsidR="00BC0E7E" w:rsidRPr="00BC0E7E" w:rsidRDefault="00944B8F" w:rsidP="00BC0E7E">
      <w:pPr>
        <w:rPr>
          <w:bCs/>
          <w:szCs w:val="20"/>
        </w:rPr>
      </w:pPr>
      <w:r w:rsidRPr="00BC0E7E">
        <w:rPr>
          <w:szCs w:val="20"/>
        </w:rPr>
        <w:t xml:space="preserve">In CD Study III, at Week 4, 58% (499/854) of patients were in clinical response and were assessed in the primary analysis. Of those in clinical response at Week 4, 48% had been previously exposed to other TNF-antagonists. Maintenance of remission and response rates are presented in Table </w:t>
      </w:r>
      <w:r w:rsidR="00EC44BE">
        <w:rPr>
          <w:szCs w:val="20"/>
        </w:rPr>
        <w:t>1</w:t>
      </w:r>
      <w:r w:rsidR="005F03EC">
        <w:rPr>
          <w:szCs w:val="20"/>
        </w:rPr>
        <w:t>5</w:t>
      </w:r>
      <w:r w:rsidRPr="00BC0E7E">
        <w:rPr>
          <w:szCs w:val="20"/>
        </w:rPr>
        <w:t xml:space="preserve">.  </w:t>
      </w:r>
      <w:r w:rsidRPr="00BC0E7E">
        <w:rPr>
          <w:bCs/>
          <w:szCs w:val="20"/>
        </w:rPr>
        <w:t>Clinical remission results remained relatively constant irrespective of previous TNF-antagonist exposure.</w:t>
      </w:r>
    </w:p>
    <w:p w14:paraId="6BBDEF71" w14:textId="77777777" w:rsidR="00BC0E7E" w:rsidRPr="00BC0E7E" w:rsidRDefault="00BC0E7E" w:rsidP="00BC0E7E">
      <w:pPr>
        <w:rPr>
          <w:bCs/>
          <w:szCs w:val="20"/>
        </w:rPr>
      </w:pPr>
    </w:p>
    <w:p w14:paraId="7097A27B" w14:textId="77777777" w:rsidR="00BC0E7E" w:rsidRPr="00BC0E7E" w:rsidRDefault="00944B8F" w:rsidP="00BC0E7E">
      <w:pPr>
        <w:rPr>
          <w:bCs/>
          <w:szCs w:val="20"/>
        </w:rPr>
      </w:pPr>
      <w:r w:rsidRPr="00BC0E7E">
        <w:rPr>
          <w:bCs/>
          <w:szCs w:val="20"/>
        </w:rPr>
        <w:t>Disease-related hospitalisations and surgeries were statistically significantly reduced with adalimumab compared with placebo at Week 56.</w:t>
      </w:r>
    </w:p>
    <w:p w14:paraId="04414033" w14:textId="77777777" w:rsidR="00BC0E7E" w:rsidRPr="00BC0E7E" w:rsidRDefault="00BC0E7E" w:rsidP="00BC0E7E">
      <w:pPr>
        <w:rPr>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1"/>
        <w:gridCol w:w="1751"/>
        <w:gridCol w:w="1928"/>
        <w:gridCol w:w="1700"/>
      </w:tblGrid>
      <w:tr w:rsidR="00C6578C" w14:paraId="363EDE6C" w14:textId="77777777" w:rsidTr="00171601">
        <w:trPr>
          <w:cantSplit/>
        </w:trPr>
        <w:tc>
          <w:tcPr>
            <w:tcW w:w="9020" w:type="dxa"/>
            <w:gridSpan w:val="4"/>
            <w:tcBorders>
              <w:top w:val="nil"/>
              <w:left w:val="nil"/>
              <w:bottom w:val="single" w:sz="4" w:space="0" w:color="auto"/>
              <w:right w:val="nil"/>
            </w:tcBorders>
          </w:tcPr>
          <w:p w14:paraId="56488D36"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 xml:space="preserve">Table </w:t>
            </w:r>
            <w:r w:rsidR="00EC44BE">
              <w:rPr>
                <w:b/>
                <w:bCs/>
                <w:szCs w:val="20"/>
              </w:rPr>
              <w:t>1</w:t>
            </w:r>
            <w:r w:rsidR="005F03EC">
              <w:rPr>
                <w:b/>
                <w:bCs/>
                <w:szCs w:val="20"/>
              </w:rPr>
              <w:t>5</w:t>
            </w:r>
          </w:p>
          <w:p w14:paraId="385E42A9"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Maintenance of Clinical Remission and Response</w:t>
            </w:r>
          </w:p>
          <w:p w14:paraId="13301268"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(Percent of Patients)</w:t>
            </w:r>
          </w:p>
        </w:tc>
      </w:tr>
      <w:tr w:rsidR="00C6578C" w14:paraId="350AF22B" w14:textId="77777777" w:rsidTr="00171601">
        <w:tc>
          <w:tcPr>
            <w:tcW w:w="3641" w:type="dxa"/>
          </w:tcPr>
          <w:p w14:paraId="24E7A961" w14:textId="77777777" w:rsidR="00BC0E7E" w:rsidRPr="00BC0E7E" w:rsidRDefault="00BC0E7E" w:rsidP="00BC0E7E">
            <w:pPr>
              <w:keepNext/>
              <w:keepLines/>
              <w:tabs>
                <w:tab w:val="clear" w:pos="562"/>
                <w:tab w:val="left" w:pos="360"/>
              </w:tabs>
              <w:spacing w:before="40" w:after="40" w:line="240" w:lineRule="exact"/>
              <w:rPr>
                <w:b/>
                <w:bCs/>
                <w:szCs w:val="20"/>
              </w:rPr>
            </w:pPr>
          </w:p>
        </w:tc>
        <w:tc>
          <w:tcPr>
            <w:tcW w:w="1751" w:type="dxa"/>
          </w:tcPr>
          <w:p w14:paraId="6659C767"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Placebo</w:t>
            </w:r>
          </w:p>
        </w:tc>
        <w:tc>
          <w:tcPr>
            <w:tcW w:w="1928" w:type="dxa"/>
          </w:tcPr>
          <w:p w14:paraId="1D439A1B"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40 mg Humira</w:t>
            </w:r>
            <w:r w:rsidRPr="00BC0E7E">
              <w:rPr>
                <w:b/>
                <w:bCs/>
                <w:szCs w:val="20"/>
              </w:rPr>
              <w:br/>
              <w:t>every other week</w:t>
            </w:r>
          </w:p>
        </w:tc>
        <w:tc>
          <w:tcPr>
            <w:tcW w:w="1700" w:type="dxa"/>
          </w:tcPr>
          <w:p w14:paraId="457BAF90"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40 mg Humira</w:t>
            </w:r>
            <w:r w:rsidRPr="00BC0E7E">
              <w:rPr>
                <w:b/>
                <w:bCs/>
                <w:szCs w:val="20"/>
              </w:rPr>
              <w:br/>
              <w:t>every week</w:t>
            </w:r>
          </w:p>
        </w:tc>
      </w:tr>
      <w:tr w:rsidR="00C6578C" w14:paraId="1B48CEB7" w14:textId="77777777" w:rsidTr="00171601">
        <w:tc>
          <w:tcPr>
            <w:tcW w:w="3641" w:type="dxa"/>
          </w:tcPr>
          <w:p w14:paraId="7FF920B4" w14:textId="77777777" w:rsidR="00BC0E7E" w:rsidRPr="00BC0E7E" w:rsidRDefault="00944B8F" w:rsidP="00BC0E7E">
            <w:pPr>
              <w:keepNext/>
              <w:keepLines/>
              <w:tabs>
                <w:tab w:val="clear" w:pos="562"/>
                <w:tab w:val="left" w:pos="360"/>
              </w:tabs>
              <w:spacing w:before="40" w:after="40" w:line="240" w:lineRule="exact"/>
              <w:rPr>
                <w:b/>
                <w:bCs/>
                <w:szCs w:val="20"/>
              </w:rPr>
            </w:pPr>
            <w:r w:rsidRPr="00BC0E7E">
              <w:rPr>
                <w:b/>
                <w:bCs/>
                <w:szCs w:val="20"/>
              </w:rPr>
              <w:t>Week 26</w:t>
            </w:r>
          </w:p>
        </w:tc>
        <w:tc>
          <w:tcPr>
            <w:tcW w:w="1751" w:type="dxa"/>
          </w:tcPr>
          <w:p w14:paraId="1368855E"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N=170</w:t>
            </w:r>
          </w:p>
        </w:tc>
        <w:tc>
          <w:tcPr>
            <w:tcW w:w="1928" w:type="dxa"/>
          </w:tcPr>
          <w:p w14:paraId="2BD110E3"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N=172</w:t>
            </w:r>
          </w:p>
        </w:tc>
        <w:tc>
          <w:tcPr>
            <w:tcW w:w="1700" w:type="dxa"/>
          </w:tcPr>
          <w:p w14:paraId="0E818E9D"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N=157</w:t>
            </w:r>
          </w:p>
        </w:tc>
      </w:tr>
      <w:tr w:rsidR="00C6578C" w14:paraId="4B58EC9A" w14:textId="77777777" w:rsidTr="00171601">
        <w:tc>
          <w:tcPr>
            <w:tcW w:w="3641" w:type="dxa"/>
          </w:tcPr>
          <w:p w14:paraId="532F065D" w14:textId="77777777" w:rsidR="00BC0E7E" w:rsidRPr="00BC0E7E" w:rsidRDefault="00944B8F" w:rsidP="00BC0E7E">
            <w:pPr>
              <w:keepNext/>
              <w:keepLines/>
              <w:tabs>
                <w:tab w:val="clear" w:pos="562"/>
                <w:tab w:val="left" w:pos="360"/>
              </w:tabs>
              <w:spacing w:before="40" w:after="40" w:line="240" w:lineRule="exact"/>
              <w:rPr>
                <w:szCs w:val="20"/>
              </w:rPr>
            </w:pPr>
            <w:r w:rsidRPr="00BC0E7E">
              <w:rPr>
                <w:szCs w:val="20"/>
              </w:rPr>
              <w:t>Clinical remission</w:t>
            </w:r>
          </w:p>
        </w:tc>
        <w:tc>
          <w:tcPr>
            <w:tcW w:w="1751" w:type="dxa"/>
          </w:tcPr>
          <w:p w14:paraId="4E140D5A"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17%</w:t>
            </w:r>
          </w:p>
        </w:tc>
        <w:tc>
          <w:tcPr>
            <w:tcW w:w="1928" w:type="dxa"/>
          </w:tcPr>
          <w:p w14:paraId="7251214A"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40%*</w:t>
            </w:r>
          </w:p>
        </w:tc>
        <w:tc>
          <w:tcPr>
            <w:tcW w:w="1700" w:type="dxa"/>
          </w:tcPr>
          <w:p w14:paraId="2D770DCB"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47%*</w:t>
            </w:r>
          </w:p>
        </w:tc>
      </w:tr>
      <w:tr w:rsidR="00C6578C" w14:paraId="39CB1454" w14:textId="77777777" w:rsidTr="00171601">
        <w:tc>
          <w:tcPr>
            <w:tcW w:w="3641" w:type="dxa"/>
          </w:tcPr>
          <w:p w14:paraId="2D79B134" w14:textId="77777777" w:rsidR="00BC0E7E" w:rsidRPr="00BC0E7E" w:rsidRDefault="00944B8F" w:rsidP="00BC0E7E">
            <w:pPr>
              <w:keepNext/>
              <w:keepLines/>
              <w:tabs>
                <w:tab w:val="clear" w:pos="562"/>
                <w:tab w:val="left" w:pos="360"/>
              </w:tabs>
              <w:spacing w:before="40" w:after="40" w:line="240" w:lineRule="exact"/>
              <w:rPr>
                <w:szCs w:val="20"/>
              </w:rPr>
            </w:pPr>
            <w:r w:rsidRPr="00BC0E7E">
              <w:rPr>
                <w:szCs w:val="20"/>
              </w:rPr>
              <w:t>Clinical response (CR-100)</w:t>
            </w:r>
          </w:p>
        </w:tc>
        <w:tc>
          <w:tcPr>
            <w:tcW w:w="1751" w:type="dxa"/>
          </w:tcPr>
          <w:p w14:paraId="308FE8E4"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27%</w:t>
            </w:r>
          </w:p>
        </w:tc>
        <w:tc>
          <w:tcPr>
            <w:tcW w:w="1928" w:type="dxa"/>
          </w:tcPr>
          <w:p w14:paraId="1BE633DE"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52%*</w:t>
            </w:r>
          </w:p>
        </w:tc>
        <w:tc>
          <w:tcPr>
            <w:tcW w:w="1700" w:type="dxa"/>
          </w:tcPr>
          <w:p w14:paraId="69609899"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52%*</w:t>
            </w:r>
          </w:p>
        </w:tc>
      </w:tr>
      <w:tr w:rsidR="00C6578C" w14:paraId="60BB86C1" w14:textId="77777777" w:rsidTr="00171601">
        <w:tc>
          <w:tcPr>
            <w:tcW w:w="3641" w:type="dxa"/>
          </w:tcPr>
          <w:p w14:paraId="3ED79FD3" w14:textId="77777777" w:rsidR="00BC0E7E" w:rsidRPr="00BC0E7E" w:rsidRDefault="00944B8F" w:rsidP="00BC0E7E">
            <w:pPr>
              <w:keepNext/>
              <w:keepLines/>
              <w:tabs>
                <w:tab w:val="clear" w:pos="562"/>
                <w:tab w:val="left" w:pos="360"/>
              </w:tabs>
              <w:spacing w:before="40" w:after="40" w:line="240" w:lineRule="exact"/>
              <w:ind w:left="360"/>
              <w:rPr>
                <w:szCs w:val="20"/>
              </w:rPr>
            </w:pPr>
            <w:r w:rsidRPr="00BC0E7E">
              <w:rPr>
                <w:szCs w:val="20"/>
              </w:rPr>
              <w:t xml:space="preserve">Patients in steroid-free remission </w:t>
            </w:r>
            <w:r w:rsidRPr="00BC0E7E">
              <w:rPr>
                <w:szCs w:val="20"/>
              </w:rPr>
              <w:br/>
              <w:t>for &gt;=90 days</w:t>
            </w:r>
            <w:r w:rsidRPr="00BC0E7E">
              <w:rPr>
                <w:szCs w:val="20"/>
                <w:vertAlign w:val="superscript"/>
              </w:rPr>
              <w:t>a</w:t>
            </w:r>
          </w:p>
        </w:tc>
        <w:tc>
          <w:tcPr>
            <w:tcW w:w="1751" w:type="dxa"/>
          </w:tcPr>
          <w:p w14:paraId="711B3C2A"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3% (2/66)</w:t>
            </w:r>
          </w:p>
        </w:tc>
        <w:tc>
          <w:tcPr>
            <w:tcW w:w="1928" w:type="dxa"/>
          </w:tcPr>
          <w:p w14:paraId="3CE00148"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19% (11/58)**</w:t>
            </w:r>
          </w:p>
        </w:tc>
        <w:tc>
          <w:tcPr>
            <w:tcW w:w="1700" w:type="dxa"/>
          </w:tcPr>
          <w:p w14:paraId="789E01E4"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15% (11/74)**</w:t>
            </w:r>
          </w:p>
        </w:tc>
      </w:tr>
      <w:tr w:rsidR="00C6578C" w14:paraId="5EC601BD" w14:textId="77777777" w:rsidTr="00171601">
        <w:tc>
          <w:tcPr>
            <w:tcW w:w="3641" w:type="dxa"/>
          </w:tcPr>
          <w:p w14:paraId="152D8EEE" w14:textId="77777777" w:rsidR="00BC0E7E" w:rsidRPr="00BC0E7E" w:rsidRDefault="00944B8F" w:rsidP="00BC0E7E">
            <w:pPr>
              <w:keepNext/>
              <w:keepLines/>
              <w:tabs>
                <w:tab w:val="clear" w:pos="562"/>
                <w:tab w:val="left" w:pos="360"/>
              </w:tabs>
              <w:spacing w:before="40" w:after="40" w:line="240" w:lineRule="exact"/>
              <w:rPr>
                <w:b/>
                <w:bCs/>
                <w:szCs w:val="20"/>
              </w:rPr>
            </w:pPr>
            <w:r w:rsidRPr="00BC0E7E">
              <w:rPr>
                <w:b/>
                <w:bCs/>
                <w:szCs w:val="20"/>
              </w:rPr>
              <w:t>Week 56</w:t>
            </w:r>
          </w:p>
        </w:tc>
        <w:tc>
          <w:tcPr>
            <w:tcW w:w="1751" w:type="dxa"/>
          </w:tcPr>
          <w:p w14:paraId="0FD0FAC2"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N=170</w:t>
            </w:r>
          </w:p>
        </w:tc>
        <w:tc>
          <w:tcPr>
            <w:tcW w:w="1928" w:type="dxa"/>
          </w:tcPr>
          <w:p w14:paraId="5F30A417"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N=172</w:t>
            </w:r>
          </w:p>
        </w:tc>
        <w:tc>
          <w:tcPr>
            <w:tcW w:w="1700" w:type="dxa"/>
          </w:tcPr>
          <w:p w14:paraId="6813E85C" w14:textId="77777777" w:rsidR="00BC0E7E" w:rsidRPr="00BC0E7E" w:rsidRDefault="00944B8F" w:rsidP="00BC0E7E">
            <w:pPr>
              <w:keepNext/>
              <w:keepLines/>
              <w:tabs>
                <w:tab w:val="clear" w:pos="562"/>
                <w:tab w:val="left" w:pos="360"/>
              </w:tabs>
              <w:spacing w:before="40" w:after="40" w:line="240" w:lineRule="exact"/>
              <w:jc w:val="center"/>
              <w:rPr>
                <w:b/>
                <w:bCs/>
                <w:szCs w:val="20"/>
              </w:rPr>
            </w:pPr>
            <w:r w:rsidRPr="00BC0E7E">
              <w:rPr>
                <w:b/>
                <w:bCs/>
                <w:szCs w:val="20"/>
              </w:rPr>
              <w:t>N=157</w:t>
            </w:r>
          </w:p>
        </w:tc>
      </w:tr>
      <w:tr w:rsidR="00C6578C" w14:paraId="2405A7BA" w14:textId="77777777" w:rsidTr="00171601">
        <w:tc>
          <w:tcPr>
            <w:tcW w:w="3641" w:type="dxa"/>
          </w:tcPr>
          <w:p w14:paraId="6D3D9436" w14:textId="77777777" w:rsidR="00BC0E7E" w:rsidRPr="00BC0E7E" w:rsidRDefault="00944B8F" w:rsidP="00BC0E7E">
            <w:pPr>
              <w:keepNext/>
              <w:keepLines/>
              <w:tabs>
                <w:tab w:val="clear" w:pos="562"/>
                <w:tab w:val="left" w:pos="360"/>
              </w:tabs>
              <w:spacing w:before="40" w:after="40" w:line="240" w:lineRule="exact"/>
              <w:rPr>
                <w:szCs w:val="20"/>
              </w:rPr>
            </w:pPr>
            <w:r w:rsidRPr="00BC0E7E">
              <w:rPr>
                <w:szCs w:val="20"/>
              </w:rPr>
              <w:t>Clinical remission</w:t>
            </w:r>
          </w:p>
        </w:tc>
        <w:tc>
          <w:tcPr>
            <w:tcW w:w="1751" w:type="dxa"/>
          </w:tcPr>
          <w:p w14:paraId="6E6BD2AD"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12%</w:t>
            </w:r>
          </w:p>
        </w:tc>
        <w:tc>
          <w:tcPr>
            <w:tcW w:w="1928" w:type="dxa"/>
          </w:tcPr>
          <w:p w14:paraId="397E28D0"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36%*</w:t>
            </w:r>
          </w:p>
        </w:tc>
        <w:tc>
          <w:tcPr>
            <w:tcW w:w="1700" w:type="dxa"/>
          </w:tcPr>
          <w:p w14:paraId="37F0980B"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41%*</w:t>
            </w:r>
          </w:p>
        </w:tc>
      </w:tr>
      <w:tr w:rsidR="00C6578C" w14:paraId="653A1D3C" w14:textId="77777777" w:rsidTr="00171601">
        <w:tc>
          <w:tcPr>
            <w:tcW w:w="3641" w:type="dxa"/>
          </w:tcPr>
          <w:p w14:paraId="08005A39" w14:textId="77777777" w:rsidR="00BC0E7E" w:rsidRPr="00BC0E7E" w:rsidRDefault="00944B8F" w:rsidP="00BC0E7E">
            <w:pPr>
              <w:keepNext/>
              <w:keepLines/>
              <w:tabs>
                <w:tab w:val="clear" w:pos="562"/>
                <w:tab w:val="left" w:pos="360"/>
              </w:tabs>
              <w:spacing w:before="40" w:after="40" w:line="240" w:lineRule="exact"/>
              <w:rPr>
                <w:szCs w:val="20"/>
              </w:rPr>
            </w:pPr>
            <w:r w:rsidRPr="00BC0E7E">
              <w:rPr>
                <w:szCs w:val="20"/>
              </w:rPr>
              <w:t>Clinical response (CR-100)</w:t>
            </w:r>
          </w:p>
        </w:tc>
        <w:tc>
          <w:tcPr>
            <w:tcW w:w="1751" w:type="dxa"/>
          </w:tcPr>
          <w:p w14:paraId="1091F368"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17%</w:t>
            </w:r>
          </w:p>
        </w:tc>
        <w:tc>
          <w:tcPr>
            <w:tcW w:w="1928" w:type="dxa"/>
          </w:tcPr>
          <w:p w14:paraId="4A33A72F"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41%*</w:t>
            </w:r>
          </w:p>
        </w:tc>
        <w:tc>
          <w:tcPr>
            <w:tcW w:w="1700" w:type="dxa"/>
          </w:tcPr>
          <w:p w14:paraId="3AA19E13"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48%*</w:t>
            </w:r>
          </w:p>
        </w:tc>
      </w:tr>
      <w:tr w:rsidR="00C6578C" w14:paraId="4723DF81" w14:textId="77777777" w:rsidTr="00171601">
        <w:tc>
          <w:tcPr>
            <w:tcW w:w="3641" w:type="dxa"/>
            <w:tcBorders>
              <w:bottom w:val="single" w:sz="4" w:space="0" w:color="auto"/>
            </w:tcBorders>
          </w:tcPr>
          <w:p w14:paraId="01807AF1" w14:textId="77777777" w:rsidR="00BC0E7E" w:rsidRPr="00BC0E7E" w:rsidRDefault="00944B8F" w:rsidP="00BC0E7E">
            <w:pPr>
              <w:keepNext/>
              <w:keepLines/>
              <w:tabs>
                <w:tab w:val="clear" w:pos="562"/>
                <w:tab w:val="left" w:pos="360"/>
              </w:tabs>
              <w:spacing w:before="40" w:after="40" w:line="240" w:lineRule="exact"/>
              <w:ind w:left="360"/>
              <w:rPr>
                <w:szCs w:val="20"/>
              </w:rPr>
            </w:pPr>
            <w:r w:rsidRPr="00BC0E7E">
              <w:rPr>
                <w:szCs w:val="20"/>
              </w:rPr>
              <w:t xml:space="preserve">Patients in steroid-free remission </w:t>
            </w:r>
            <w:r w:rsidRPr="00BC0E7E">
              <w:rPr>
                <w:szCs w:val="20"/>
              </w:rPr>
              <w:br/>
              <w:t>for &gt; = 90 days</w:t>
            </w:r>
            <w:r w:rsidRPr="00BC0E7E">
              <w:rPr>
                <w:szCs w:val="20"/>
                <w:vertAlign w:val="superscript"/>
              </w:rPr>
              <w:t>a</w:t>
            </w:r>
          </w:p>
        </w:tc>
        <w:tc>
          <w:tcPr>
            <w:tcW w:w="1751" w:type="dxa"/>
            <w:tcBorders>
              <w:bottom w:val="single" w:sz="4" w:space="0" w:color="auto"/>
            </w:tcBorders>
          </w:tcPr>
          <w:p w14:paraId="38F9117E"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5% (3/66)</w:t>
            </w:r>
          </w:p>
        </w:tc>
        <w:tc>
          <w:tcPr>
            <w:tcW w:w="1928" w:type="dxa"/>
            <w:tcBorders>
              <w:bottom w:val="single" w:sz="4" w:space="0" w:color="auto"/>
            </w:tcBorders>
          </w:tcPr>
          <w:p w14:paraId="4620F37A"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29% (17/58)*</w:t>
            </w:r>
          </w:p>
        </w:tc>
        <w:tc>
          <w:tcPr>
            <w:tcW w:w="1700" w:type="dxa"/>
            <w:tcBorders>
              <w:bottom w:val="single" w:sz="4" w:space="0" w:color="auto"/>
            </w:tcBorders>
          </w:tcPr>
          <w:p w14:paraId="7929796A" w14:textId="77777777" w:rsidR="00BC0E7E" w:rsidRPr="00BC0E7E" w:rsidRDefault="00944B8F" w:rsidP="00BC0E7E">
            <w:pPr>
              <w:keepNext/>
              <w:keepLines/>
              <w:tabs>
                <w:tab w:val="clear" w:pos="562"/>
                <w:tab w:val="left" w:pos="360"/>
              </w:tabs>
              <w:spacing w:before="40" w:after="40" w:line="240" w:lineRule="exact"/>
              <w:jc w:val="center"/>
              <w:rPr>
                <w:szCs w:val="20"/>
              </w:rPr>
            </w:pPr>
            <w:r w:rsidRPr="00BC0E7E">
              <w:rPr>
                <w:szCs w:val="20"/>
              </w:rPr>
              <w:t>20% (15/74)**</w:t>
            </w:r>
          </w:p>
        </w:tc>
      </w:tr>
      <w:tr w:rsidR="00C6578C" w14:paraId="36C572F0" w14:textId="77777777" w:rsidTr="00171601">
        <w:trPr>
          <w:cantSplit/>
        </w:trPr>
        <w:tc>
          <w:tcPr>
            <w:tcW w:w="9020" w:type="dxa"/>
            <w:gridSpan w:val="4"/>
            <w:tcBorders>
              <w:top w:val="single" w:sz="4" w:space="0" w:color="auto"/>
              <w:left w:val="nil"/>
              <w:bottom w:val="nil"/>
              <w:right w:val="nil"/>
            </w:tcBorders>
          </w:tcPr>
          <w:p w14:paraId="4642256A" w14:textId="77777777" w:rsidR="00BC0E7E" w:rsidRPr="00BC0E7E" w:rsidRDefault="00944B8F" w:rsidP="00BC0E7E">
            <w:pPr>
              <w:keepNext/>
              <w:keepLines/>
              <w:tabs>
                <w:tab w:val="clear" w:pos="562"/>
                <w:tab w:val="left" w:pos="360"/>
              </w:tabs>
              <w:spacing w:before="40" w:after="40" w:line="240" w:lineRule="exact"/>
              <w:rPr>
                <w:szCs w:val="20"/>
              </w:rPr>
            </w:pPr>
            <w:r w:rsidRPr="00BC0E7E">
              <w:rPr>
                <w:szCs w:val="20"/>
              </w:rPr>
              <w:t>*</w:t>
            </w:r>
            <w:r w:rsidRPr="00BC0E7E">
              <w:rPr>
                <w:szCs w:val="20"/>
              </w:rPr>
              <w:tab/>
              <w:t xml:space="preserve">p &lt; 0.001 for Humira </w:t>
            </w:r>
            <w:r w:rsidRPr="00BC0E7E">
              <w:rPr>
                <w:i/>
                <w:iCs/>
                <w:szCs w:val="20"/>
              </w:rPr>
              <w:t>versus</w:t>
            </w:r>
            <w:r w:rsidRPr="00BC0E7E">
              <w:rPr>
                <w:szCs w:val="20"/>
              </w:rPr>
              <w:t xml:space="preserve"> placebo pairwise comparisons of proportions</w:t>
            </w:r>
          </w:p>
          <w:p w14:paraId="72A22D45" w14:textId="77777777" w:rsidR="00BC0E7E" w:rsidRPr="00BC0E7E" w:rsidRDefault="00944B8F" w:rsidP="00BC0E7E">
            <w:pPr>
              <w:keepNext/>
              <w:keepLines/>
              <w:tabs>
                <w:tab w:val="clear" w:pos="562"/>
                <w:tab w:val="left" w:pos="360"/>
              </w:tabs>
              <w:spacing w:before="40" w:after="40" w:line="240" w:lineRule="exact"/>
              <w:rPr>
                <w:szCs w:val="20"/>
              </w:rPr>
            </w:pPr>
            <w:r w:rsidRPr="00BC0E7E">
              <w:rPr>
                <w:szCs w:val="20"/>
              </w:rPr>
              <w:t>**</w:t>
            </w:r>
            <w:r w:rsidRPr="00BC0E7E">
              <w:rPr>
                <w:szCs w:val="20"/>
              </w:rPr>
              <w:tab/>
              <w:t xml:space="preserve">p &lt; 0.02 for Humira </w:t>
            </w:r>
            <w:r w:rsidRPr="00BC0E7E">
              <w:rPr>
                <w:i/>
                <w:iCs/>
                <w:szCs w:val="20"/>
              </w:rPr>
              <w:t>versus</w:t>
            </w:r>
            <w:r w:rsidRPr="00BC0E7E">
              <w:rPr>
                <w:szCs w:val="20"/>
              </w:rPr>
              <w:t xml:space="preserve"> placebo pairwise comparisons of proportions</w:t>
            </w:r>
          </w:p>
          <w:p w14:paraId="52AFA122" w14:textId="77777777" w:rsidR="00BC0E7E" w:rsidRPr="00BC0E7E" w:rsidRDefault="00944B8F" w:rsidP="00BC0E7E">
            <w:pPr>
              <w:keepNext/>
              <w:keepLines/>
              <w:tabs>
                <w:tab w:val="clear" w:pos="562"/>
                <w:tab w:val="left" w:pos="360"/>
              </w:tabs>
              <w:spacing w:before="40" w:after="40" w:line="240" w:lineRule="exact"/>
              <w:rPr>
                <w:szCs w:val="20"/>
              </w:rPr>
            </w:pPr>
            <w:r w:rsidRPr="00BC0E7E">
              <w:rPr>
                <w:szCs w:val="20"/>
                <w:vertAlign w:val="superscript"/>
              </w:rPr>
              <w:t>a</w:t>
            </w:r>
            <w:r w:rsidRPr="00BC0E7E">
              <w:rPr>
                <w:szCs w:val="20"/>
                <w:vertAlign w:val="superscript"/>
              </w:rPr>
              <w:tab/>
            </w:r>
            <w:r w:rsidRPr="00BC0E7E">
              <w:rPr>
                <w:szCs w:val="20"/>
              </w:rPr>
              <w:t>Of those receiving corticosteroids at baseline</w:t>
            </w:r>
          </w:p>
        </w:tc>
      </w:tr>
    </w:tbl>
    <w:p w14:paraId="4FD73601" w14:textId="77777777" w:rsidR="00BC0E7E" w:rsidRPr="00BC0E7E" w:rsidRDefault="00BC0E7E" w:rsidP="00BC0E7E">
      <w:pPr>
        <w:rPr>
          <w:szCs w:val="20"/>
        </w:rPr>
      </w:pPr>
    </w:p>
    <w:p w14:paraId="0E3FB5E2" w14:textId="77777777" w:rsidR="00BC0E7E" w:rsidRPr="00BC0E7E" w:rsidRDefault="00944B8F" w:rsidP="00BC0E7E">
      <w:pPr>
        <w:rPr>
          <w:bCs/>
        </w:rPr>
      </w:pPr>
      <w:r w:rsidRPr="00BC0E7E">
        <w:rPr>
          <w:bCs/>
        </w:rPr>
        <w:lastRenderedPageBreak/>
        <w:t xml:space="preserve">Among patients who were not in response at Week 4, 43% of Humira maintenance patients responded by Week 12 compared to 30% of placebo maintenance patients. These results suggest that some patients who have not responded by Week 4 benefit from continued maintenance therapy through Week 12.  Therapy continued beyond 12 weeks did not result in significantly more responses </w:t>
      </w:r>
      <w:r w:rsidRPr="00BC0E7E">
        <w:t>(see section 4.2).</w:t>
      </w:r>
      <w:r w:rsidRPr="00BC0E7E">
        <w:rPr>
          <w:bCs/>
        </w:rPr>
        <w:t xml:space="preserve">  </w:t>
      </w:r>
    </w:p>
    <w:p w14:paraId="3D3159B2" w14:textId="77777777" w:rsidR="00BC0E7E" w:rsidRPr="00BC0E7E" w:rsidRDefault="00BC0E7E" w:rsidP="00BC0E7E">
      <w:pPr>
        <w:rPr>
          <w:bCs/>
        </w:rPr>
      </w:pPr>
    </w:p>
    <w:p w14:paraId="294ADD27" w14:textId="77777777" w:rsidR="00BC0E7E" w:rsidRPr="00BC0E7E" w:rsidRDefault="00944B8F" w:rsidP="00BC0E7E">
      <w:pPr>
        <w:rPr>
          <w:bCs/>
        </w:rPr>
      </w:pPr>
      <w:r w:rsidRPr="00BC0E7E">
        <w:rPr>
          <w:bCs/>
        </w:rPr>
        <w:t>117/276 patients from CD study I and 272/777 patients from CD studies II and III were followed through at least 3 years of open-label adalimumab therapy.  88 and 189 patients, respectively, continued to be in clinical remission.  Clinical response (CR-100) was maintained in 102 and 233 patients, respectively.</w:t>
      </w:r>
    </w:p>
    <w:p w14:paraId="3812F2B1" w14:textId="77777777" w:rsidR="00BC0E7E" w:rsidRPr="00BC0E7E" w:rsidRDefault="00BC0E7E" w:rsidP="00BC0E7E">
      <w:pPr>
        <w:rPr>
          <w:bCs/>
        </w:rPr>
      </w:pPr>
    </w:p>
    <w:p w14:paraId="49F53BC1" w14:textId="77777777" w:rsidR="00BC0E7E" w:rsidRPr="00BC0E7E" w:rsidRDefault="00944B8F" w:rsidP="00BC0E7E">
      <w:pPr>
        <w:rPr>
          <w:i/>
          <w:szCs w:val="20"/>
          <w:u w:val="single"/>
        </w:rPr>
      </w:pPr>
      <w:r w:rsidRPr="00BC0E7E">
        <w:rPr>
          <w:i/>
          <w:szCs w:val="20"/>
          <w:u w:val="single"/>
        </w:rPr>
        <w:t>Quality of life</w:t>
      </w:r>
    </w:p>
    <w:p w14:paraId="60023194" w14:textId="77777777" w:rsidR="00BC0E7E" w:rsidRPr="00BC0E7E" w:rsidRDefault="00BC0E7E" w:rsidP="00BC0E7E">
      <w:pPr>
        <w:rPr>
          <w:szCs w:val="20"/>
        </w:rPr>
      </w:pPr>
    </w:p>
    <w:p w14:paraId="4F34EC22" w14:textId="77777777" w:rsidR="00BC0E7E" w:rsidRPr="00BC0E7E" w:rsidRDefault="00944B8F" w:rsidP="00BC0E7E">
      <w:pPr>
        <w:rPr>
          <w:bCs/>
          <w:szCs w:val="20"/>
        </w:rPr>
      </w:pPr>
      <w:r w:rsidRPr="00BC0E7E">
        <w:rPr>
          <w:bCs/>
          <w:szCs w:val="20"/>
        </w:rPr>
        <w:t>In CD Study I and CD Study II, statistically significant improvement in the disease-specific inflammatory bowel disease questionnaire (IBDQ) total score was achieved at Week 4 in patients randomised to Humira 80/40 mg and 160/80 mg compared to placebo and was seen at Weeks 26 and 56 in CD Study III as well among the adalimumab treatment groups compared to the placebo group.</w:t>
      </w:r>
    </w:p>
    <w:p w14:paraId="3C53A75F" w14:textId="77777777" w:rsidR="00BC0E7E" w:rsidRPr="00BC0E7E" w:rsidRDefault="00BC0E7E" w:rsidP="00BC0E7E">
      <w:pPr>
        <w:rPr>
          <w:bCs/>
          <w:szCs w:val="20"/>
        </w:rPr>
      </w:pPr>
    </w:p>
    <w:p w14:paraId="7048CB3D" w14:textId="77777777" w:rsidR="00BC0E7E" w:rsidRPr="00BC0E7E" w:rsidRDefault="00944B8F" w:rsidP="00BC0E7E">
      <w:pPr>
        <w:keepNext/>
        <w:rPr>
          <w:bCs/>
          <w:i/>
          <w:szCs w:val="20"/>
        </w:rPr>
      </w:pPr>
      <w:r w:rsidRPr="00BC0E7E">
        <w:rPr>
          <w:bCs/>
          <w:i/>
          <w:szCs w:val="20"/>
        </w:rPr>
        <w:t>Ulcerative colitis</w:t>
      </w:r>
    </w:p>
    <w:p w14:paraId="33A9DA4C" w14:textId="77777777" w:rsidR="00BC0E7E" w:rsidRPr="00BC0E7E" w:rsidRDefault="00BC0E7E" w:rsidP="00BC0E7E">
      <w:pPr>
        <w:keepNext/>
        <w:rPr>
          <w:bCs/>
          <w:i/>
          <w:szCs w:val="20"/>
        </w:rPr>
      </w:pPr>
    </w:p>
    <w:p w14:paraId="16286842" w14:textId="77777777" w:rsidR="00BC0E7E" w:rsidRPr="00BC0E7E" w:rsidRDefault="00944B8F" w:rsidP="00BC0E7E">
      <w:pPr>
        <w:rPr>
          <w:szCs w:val="22"/>
        </w:rPr>
      </w:pPr>
      <w:r w:rsidRPr="00BC0E7E">
        <w:rPr>
          <w:szCs w:val="22"/>
        </w:rPr>
        <w:t xml:space="preserve">The safety and efficacy of multiple doses of Humira were assessed in adult patients with moderately to severely active ulcerative colitis (Mayo score 6 to 12 with endoscopy subscore of 2 to 3) in randomised, double-blind, placebo-controlled studies. </w:t>
      </w:r>
    </w:p>
    <w:p w14:paraId="27346CDE" w14:textId="77777777" w:rsidR="00BC0E7E" w:rsidRPr="00BC0E7E" w:rsidRDefault="00BC0E7E" w:rsidP="00BC0E7E">
      <w:pPr>
        <w:rPr>
          <w:szCs w:val="22"/>
        </w:rPr>
      </w:pPr>
    </w:p>
    <w:p w14:paraId="21413FAA" w14:textId="77777777" w:rsidR="00BC0E7E" w:rsidRPr="00BC0E7E" w:rsidRDefault="00944B8F" w:rsidP="00BC0E7E">
      <w:pPr>
        <w:rPr>
          <w:szCs w:val="22"/>
        </w:rPr>
      </w:pPr>
      <w:r w:rsidRPr="00BC0E7E">
        <w:rPr>
          <w:szCs w:val="22"/>
        </w:rPr>
        <w:t>In study UC-I, 390 TNF-antagonist naïve patients were randomised to receive either placebo at Weeks 0 and 2, 160</w:t>
      </w:r>
      <w:r w:rsidRPr="00BC0E7E">
        <w:rPr>
          <w:szCs w:val="20"/>
        </w:rPr>
        <w:t> </w:t>
      </w:r>
      <w:r w:rsidRPr="00BC0E7E">
        <w:rPr>
          <w:szCs w:val="22"/>
        </w:rPr>
        <w:t xml:space="preserve">mg Humira at Week 0 followed by 80 mg at Week 2, or 80 mg Humira at Week 0 followed by 40 mg at Week 2.  After Week 2, patients in both adalimumab arms received 40 mg eow.  Clinical remission (defined as Mayo score </w:t>
      </w:r>
      <w:r w:rsidRPr="00BC0E7E">
        <w:rPr>
          <w:rFonts w:eastAsia="Arial Unicode MS"/>
          <w:szCs w:val="22"/>
        </w:rPr>
        <w:t>≤ 2 with no subscore &gt; 1)</w:t>
      </w:r>
      <w:r w:rsidRPr="00BC0E7E">
        <w:rPr>
          <w:szCs w:val="22"/>
        </w:rPr>
        <w:t xml:space="preserve"> was assessed at Week 8. </w:t>
      </w:r>
    </w:p>
    <w:p w14:paraId="5F342D61" w14:textId="77777777" w:rsidR="00BC0E7E" w:rsidRPr="00BC0E7E" w:rsidRDefault="00BC0E7E" w:rsidP="00BC0E7E">
      <w:pPr>
        <w:rPr>
          <w:szCs w:val="20"/>
        </w:rPr>
      </w:pPr>
    </w:p>
    <w:p w14:paraId="6FBDCD29" w14:textId="77777777" w:rsidR="00BC0E7E" w:rsidRPr="00BC0E7E" w:rsidRDefault="00944B8F" w:rsidP="00BC0E7E">
      <w:pPr>
        <w:rPr>
          <w:szCs w:val="20"/>
        </w:rPr>
      </w:pPr>
      <w:r w:rsidRPr="00BC0E7E">
        <w:rPr>
          <w:szCs w:val="20"/>
        </w:rPr>
        <w:t xml:space="preserve">In study UC-II, 248 patients received 160 mg of Humira at Week 0, 80 mg at Week 2 and 40 mg eow thereafter, and 246 patients received placebo. Clinical results were assessed for induction of remission at Week 8 and for maintenance of remission at Week 52. </w:t>
      </w:r>
    </w:p>
    <w:p w14:paraId="5F747F73" w14:textId="77777777" w:rsidR="00BC0E7E" w:rsidRPr="00BC0E7E" w:rsidRDefault="00BC0E7E" w:rsidP="00BC0E7E">
      <w:pPr>
        <w:rPr>
          <w:szCs w:val="20"/>
        </w:rPr>
      </w:pPr>
    </w:p>
    <w:p w14:paraId="134A4BCD" w14:textId="77777777" w:rsidR="00BC0E7E" w:rsidRDefault="00944B8F" w:rsidP="00BC0E7E">
      <w:pPr>
        <w:rPr>
          <w:szCs w:val="20"/>
        </w:rPr>
      </w:pPr>
      <w:r w:rsidRPr="00BC0E7E">
        <w:rPr>
          <w:rFonts w:eastAsia="Arial Unicode MS"/>
          <w:szCs w:val="20"/>
        </w:rPr>
        <w:t xml:space="preserve">Patients induced with 160/80 mg Humira achieved clinical remission versus placebo at Week 8 in statistically significantly greater percentages in study UC-I (18% vs. 9% respectively, p=0.031) and study UC-II (17% vs. 9% respectively, p=0.019). </w:t>
      </w:r>
      <w:r w:rsidRPr="00BC0E7E">
        <w:rPr>
          <w:szCs w:val="20"/>
        </w:rPr>
        <w:t>In study UC-II, among those treated with Humira who were in remission at Week 8, 21/41 (51%) were in remission at Week 52.</w:t>
      </w:r>
    </w:p>
    <w:p w14:paraId="244AB5F7" w14:textId="77777777" w:rsidR="002B6EEF" w:rsidRPr="00BC0E7E" w:rsidRDefault="002B6EEF" w:rsidP="00BC0E7E">
      <w:pPr>
        <w:rPr>
          <w:rFonts w:eastAsia="Arial Unicode MS"/>
          <w:szCs w:val="20"/>
        </w:rPr>
      </w:pPr>
    </w:p>
    <w:p w14:paraId="61338AF0" w14:textId="77777777" w:rsidR="00BC0E7E" w:rsidRPr="00BC0E7E" w:rsidRDefault="00944B8F" w:rsidP="002B6EEF">
      <w:pPr>
        <w:rPr>
          <w:szCs w:val="20"/>
        </w:rPr>
      </w:pPr>
      <w:r w:rsidRPr="00BC0E7E">
        <w:rPr>
          <w:szCs w:val="20"/>
        </w:rPr>
        <w:t xml:space="preserve">Results from the overall UC-II study population are shown in Table </w:t>
      </w:r>
      <w:r w:rsidR="00DF4E07">
        <w:rPr>
          <w:szCs w:val="20"/>
        </w:rPr>
        <w:t>1</w:t>
      </w:r>
      <w:r w:rsidR="005F03EC">
        <w:rPr>
          <w:szCs w:val="20"/>
        </w:rPr>
        <w:t>6</w:t>
      </w:r>
      <w:r w:rsidRPr="00BC0E7E">
        <w:rPr>
          <w:szCs w:val="20"/>
        </w:rPr>
        <w:t>.</w:t>
      </w:r>
    </w:p>
    <w:p w14:paraId="1165FA99" w14:textId="77777777" w:rsidR="00BC0E7E" w:rsidRPr="00BC0E7E" w:rsidRDefault="00BC0E7E" w:rsidP="00BC0E7E">
      <w:pPr>
        <w:rPr>
          <w:i/>
          <w:szCs w:val="22"/>
        </w:rPr>
      </w:pPr>
    </w:p>
    <w:p w14:paraId="104B7828" w14:textId="77777777" w:rsidR="00BC0E7E" w:rsidRPr="007F079A" w:rsidRDefault="00944B8F" w:rsidP="007F079A">
      <w:pPr>
        <w:jc w:val="center"/>
        <w:rPr>
          <w:rFonts w:eastAsia="Arial Unicode MS"/>
          <w:bCs/>
          <w:szCs w:val="22"/>
        </w:rPr>
      </w:pPr>
      <w:r w:rsidRPr="00BC0E7E">
        <w:rPr>
          <w:rFonts w:eastAsia="Arial Unicode MS"/>
          <w:b/>
          <w:bCs/>
          <w:szCs w:val="22"/>
        </w:rPr>
        <w:t xml:space="preserve">Table </w:t>
      </w:r>
      <w:r w:rsidR="00DF4E07">
        <w:rPr>
          <w:rFonts w:eastAsia="Arial Unicode MS"/>
          <w:b/>
          <w:bCs/>
          <w:szCs w:val="22"/>
        </w:rPr>
        <w:t>1</w:t>
      </w:r>
      <w:r w:rsidR="005F03EC">
        <w:rPr>
          <w:rFonts w:eastAsia="Arial Unicode MS"/>
          <w:b/>
          <w:bCs/>
          <w:szCs w:val="22"/>
        </w:rPr>
        <w:t>6</w:t>
      </w:r>
    </w:p>
    <w:p w14:paraId="3A4D4F54" w14:textId="77777777" w:rsidR="00BC0E7E" w:rsidRPr="007F079A" w:rsidRDefault="00944B8F" w:rsidP="007F079A">
      <w:pPr>
        <w:jc w:val="center"/>
        <w:rPr>
          <w:rFonts w:eastAsia="Arial Unicode MS"/>
          <w:bCs/>
          <w:szCs w:val="22"/>
        </w:rPr>
      </w:pPr>
      <w:r w:rsidRPr="00BC0E7E">
        <w:rPr>
          <w:rFonts w:eastAsia="Arial Unicode MS"/>
          <w:b/>
          <w:bCs/>
          <w:szCs w:val="22"/>
        </w:rPr>
        <w:t>Response, Remission and Mucosal Healing in Study UC-II</w:t>
      </w:r>
    </w:p>
    <w:p w14:paraId="42E91737" w14:textId="77777777" w:rsidR="00BC0E7E" w:rsidRPr="007F079A" w:rsidRDefault="00944B8F" w:rsidP="007F079A">
      <w:pPr>
        <w:jc w:val="center"/>
        <w:rPr>
          <w:rFonts w:eastAsia="Arial Unicode MS"/>
          <w:bCs/>
          <w:szCs w:val="22"/>
        </w:rPr>
      </w:pPr>
      <w:r w:rsidRPr="00BC0E7E">
        <w:rPr>
          <w:rFonts w:eastAsia="Arial Unicode MS"/>
          <w:b/>
          <w:bCs/>
          <w:szCs w:val="22"/>
        </w:rPr>
        <w:t>(Percent of Patients)</w:t>
      </w:r>
    </w:p>
    <w:tbl>
      <w:tblPr>
        <w:tblW w:w="4309" w:type="pct"/>
        <w:tblInd w:w="15" w:type="dxa"/>
        <w:tblCellMar>
          <w:top w:w="15" w:type="dxa"/>
          <w:left w:w="15" w:type="dxa"/>
          <w:bottom w:w="15" w:type="dxa"/>
          <w:right w:w="15" w:type="dxa"/>
        </w:tblCellMar>
        <w:tblLook w:val="0000" w:firstRow="0" w:lastRow="0" w:firstColumn="0" w:lastColumn="0" w:noHBand="0" w:noVBand="0"/>
      </w:tblPr>
      <w:tblGrid>
        <w:gridCol w:w="4781"/>
        <w:gridCol w:w="1045"/>
        <w:gridCol w:w="2290"/>
      </w:tblGrid>
      <w:tr w:rsidR="00C6578C" w14:paraId="5ABEA5B4" w14:textId="77777777" w:rsidTr="00171601">
        <w:tc>
          <w:tcPr>
            <w:tcW w:w="2945" w:type="pct"/>
            <w:tcBorders>
              <w:top w:val="single" w:sz="6" w:space="0" w:color="000000"/>
              <w:left w:val="nil"/>
              <w:bottom w:val="single" w:sz="6" w:space="0" w:color="000000"/>
              <w:right w:val="nil"/>
            </w:tcBorders>
          </w:tcPr>
          <w:p w14:paraId="032C80AF" w14:textId="77777777" w:rsidR="00BC0E7E" w:rsidRPr="00BC0E7E" w:rsidRDefault="00BC0E7E" w:rsidP="00BC0E7E">
            <w:pPr>
              <w:jc w:val="center"/>
              <w:rPr>
                <w:rFonts w:eastAsia="Arial Unicode MS"/>
              </w:rPr>
            </w:pPr>
          </w:p>
        </w:tc>
        <w:tc>
          <w:tcPr>
            <w:tcW w:w="644" w:type="pct"/>
            <w:tcBorders>
              <w:top w:val="single" w:sz="6" w:space="0" w:color="000000"/>
              <w:left w:val="nil"/>
              <w:bottom w:val="single" w:sz="6" w:space="0" w:color="000000"/>
              <w:right w:val="nil"/>
            </w:tcBorders>
          </w:tcPr>
          <w:p w14:paraId="5D517C09" w14:textId="77777777" w:rsidR="00BC0E7E" w:rsidRPr="00BC0E7E" w:rsidRDefault="00944B8F" w:rsidP="00BC0E7E">
            <w:pPr>
              <w:jc w:val="center"/>
              <w:rPr>
                <w:rFonts w:eastAsia="Arial Unicode MS"/>
              </w:rPr>
            </w:pPr>
            <w:r w:rsidRPr="00BC0E7E">
              <w:rPr>
                <w:rFonts w:eastAsia="Arial Unicode MS"/>
                <w:b/>
                <w:bCs/>
              </w:rPr>
              <w:t>Placebo</w:t>
            </w:r>
            <w:r w:rsidRPr="00BC0E7E">
              <w:rPr>
                <w:rFonts w:eastAsia="Arial Unicode MS"/>
              </w:rPr>
              <w:br/>
            </w:r>
          </w:p>
        </w:tc>
        <w:tc>
          <w:tcPr>
            <w:tcW w:w="1411" w:type="pct"/>
            <w:tcBorders>
              <w:top w:val="single" w:sz="6" w:space="0" w:color="000000"/>
              <w:left w:val="nil"/>
              <w:bottom w:val="single" w:sz="6" w:space="0" w:color="000000"/>
              <w:right w:val="nil"/>
            </w:tcBorders>
          </w:tcPr>
          <w:p w14:paraId="1A104389" w14:textId="77777777" w:rsidR="00BC0E7E" w:rsidRPr="00BC0E7E" w:rsidRDefault="00944B8F" w:rsidP="00BC0E7E">
            <w:pPr>
              <w:jc w:val="center"/>
              <w:rPr>
                <w:rFonts w:eastAsia="Arial Unicode MS"/>
                <w:b/>
                <w:bCs/>
              </w:rPr>
            </w:pPr>
            <w:r w:rsidRPr="00BC0E7E">
              <w:rPr>
                <w:rFonts w:eastAsia="Arial Unicode MS"/>
                <w:b/>
                <w:bCs/>
              </w:rPr>
              <w:t xml:space="preserve">Humira 40 mg </w:t>
            </w:r>
          </w:p>
          <w:p w14:paraId="7CFB9637" w14:textId="77777777" w:rsidR="00BC0E7E" w:rsidRPr="00BC0E7E" w:rsidRDefault="00944B8F" w:rsidP="00BC0E7E">
            <w:pPr>
              <w:jc w:val="center"/>
              <w:rPr>
                <w:rFonts w:eastAsia="Arial Unicode MS"/>
              </w:rPr>
            </w:pPr>
            <w:r w:rsidRPr="00BC0E7E">
              <w:rPr>
                <w:rFonts w:eastAsia="Arial Unicode MS"/>
                <w:b/>
                <w:bCs/>
              </w:rPr>
              <w:t>eow</w:t>
            </w:r>
            <w:r w:rsidRPr="00BC0E7E">
              <w:rPr>
                <w:rFonts w:eastAsia="Arial Unicode MS"/>
              </w:rPr>
              <w:br/>
            </w:r>
          </w:p>
        </w:tc>
      </w:tr>
      <w:tr w:rsidR="00C6578C" w14:paraId="37F2C7A6" w14:textId="77777777" w:rsidTr="00171601">
        <w:tc>
          <w:tcPr>
            <w:tcW w:w="2945" w:type="pct"/>
            <w:tcBorders>
              <w:top w:val="single" w:sz="6" w:space="0" w:color="000000"/>
              <w:left w:val="nil"/>
              <w:bottom w:val="single" w:sz="6" w:space="0" w:color="000000"/>
              <w:right w:val="nil"/>
            </w:tcBorders>
          </w:tcPr>
          <w:p w14:paraId="5EE7CF9E" w14:textId="77777777" w:rsidR="00BC0E7E" w:rsidRPr="00BC0E7E" w:rsidRDefault="00944B8F" w:rsidP="00BC0E7E">
            <w:pPr>
              <w:rPr>
                <w:rFonts w:eastAsia="Arial Unicode MS"/>
              </w:rPr>
            </w:pPr>
            <w:r w:rsidRPr="00BC0E7E">
              <w:rPr>
                <w:rFonts w:eastAsia="Arial Unicode MS"/>
              </w:rPr>
              <w:t>Week 52</w:t>
            </w:r>
          </w:p>
        </w:tc>
        <w:tc>
          <w:tcPr>
            <w:tcW w:w="644" w:type="pct"/>
            <w:tcBorders>
              <w:top w:val="single" w:sz="6" w:space="0" w:color="000000"/>
              <w:left w:val="nil"/>
              <w:bottom w:val="single" w:sz="6" w:space="0" w:color="000000"/>
              <w:right w:val="nil"/>
            </w:tcBorders>
          </w:tcPr>
          <w:p w14:paraId="7E14C972" w14:textId="77777777" w:rsidR="00BC0E7E" w:rsidRPr="00BC0E7E" w:rsidRDefault="00944B8F" w:rsidP="00BC0E7E">
            <w:pPr>
              <w:jc w:val="center"/>
              <w:rPr>
                <w:rFonts w:eastAsia="Arial Unicode MS"/>
                <w:b/>
                <w:bCs/>
              </w:rPr>
            </w:pPr>
            <w:r w:rsidRPr="00BC0E7E">
              <w:rPr>
                <w:rFonts w:eastAsia="Arial Unicode MS"/>
                <w:b/>
                <w:bCs/>
              </w:rPr>
              <w:t>N=246</w:t>
            </w:r>
          </w:p>
        </w:tc>
        <w:tc>
          <w:tcPr>
            <w:tcW w:w="1411" w:type="pct"/>
            <w:tcBorders>
              <w:top w:val="single" w:sz="6" w:space="0" w:color="000000"/>
              <w:left w:val="nil"/>
              <w:bottom w:val="single" w:sz="6" w:space="0" w:color="000000"/>
              <w:right w:val="nil"/>
            </w:tcBorders>
          </w:tcPr>
          <w:p w14:paraId="7E810D93" w14:textId="77777777" w:rsidR="00BC0E7E" w:rsidRPr="00BC0E7E" w:rsidRDefault="00944B8F" w:rsidP="00BC0E7E">
            <w:pPr>
              <w:jc w:val="center"/>
              <w:rPr>
                <w:rFonts w:eastAsia="Arial Unicode MS"/>
                <w:b/>
                <w:bCs/>
              </w:rPr>
            </w:pPr>
            <w:r w:rsidRPr="00BC0E7E">
              <w:rPr>
                <w:rFonts w:eastAsia="Arial Unicode MS"/>
                <w:b/>
                <w:bCs/>
              </w:rPr>
              <w:t>N=248</w:t>
            </w:r>
          </w:p>
        </w:tc>
      </w:tr>
      <w:tr w:rsidR="00C6578C" w14:paraId="543D4F21" w14:textId="77777777" w:rsidTr="00171601">
        <w:tc>
          <w:tcPr>
            <w:tcW w:w="2945" w:type="pct"/>
            <w:tcBorders>
              <w:top w:val="nil"/>
              <w:left w:val="nil"/>
              <w:right w:val="nil"/>
            </w:tcBorders>
          </w:tcPr>
          <w:p w14:paraId="77E1FFE5" w14:textId="77777777" w:rsidR="00BC0E7E" w:rsidRPr="00BC0E7E" w:rsidRDefault="00944B8F" w:rsidP="00BC0E7E">
            <w:pPr>
              <w:rPr>
                <w:rFonts w:eastAsia="Arial Unicode MS"/>
              </w:rPr>
            </w:pPr>
            <w:r w:rsidRPr="00BC0E7E">
              <w:rPr>
                <w:rFonts w:eastAsia="Arial Unicode MS"/>
              </w:rPr>
              <w:t xml:space="preserve">  Clinical Response </w:t>
            </w:r>
          </w:p>
        </w:tc>
        <w:tc>
          <w:tcPr>
            <w:tcW w:w="644" w:type="pct"/>
            <w:tcBorders>
              <w:top w:val="nil"/>
              <w:left w:val="nil"/>
              <w:right w:val="nil"/>
            </w:tcBorders>
          </w:tcPr>
          <w:p w14:paraId="3422F72B" w14:textId="77777777" w:rsidR="00BC0E7E" w:rsidRPr="00BC0E7E" w:rsidRDefault="00944B8F" w:rsidP="00BC0E7E">
            <w:pPr>
              <w:jc w:val="center"/>
              <w:rPr>
                <w:rFonts w:eastAsia="Arial Unicode MS"/>
              </w:rPr>
            </w:pPr>
            <w:r w:rsidRPr="00BC0E7E">
              <w:rPr>
                <w:rFonts w:eastAsia="Arial Unicode MS"/>
              </w:rPr>
              <w:t xml:space="preserve">18% </w:t>
            </w:r>
          </w:p>
        </w:tc>
        <w:tc>
          <w:tcPr>
            <w:tcW w:w="1411" w:type="pct"/>
            <w:tcBorders>
              <w:top w:val="nil"/>
              <w:left w:val="nil"/>
              <w:right w:val="nil"/>
            </w:tcBorders>
          </w:tcPr>
          <w:p w14:paraId="3C70F394" w14:textId="77777777" w:rsidR="00BC0E7E" w:rsidRPr="00BC0E7E" w:rsidRDefault="00944B8F" w:rsidP="00BC0E7E">
            <w:pPr>
              <w:jc w:val="center"/>
              <w:rPr>
                <w:rFonts w:eastAsia="Arial Unicode MS"/>
                <w:sz w:val="20"/>
                <w:szCs w:val="20"/>
              </w:rPr>
            </w:pPr>
            <w:r w:rsidRPr="00BC0E7E">
              <w:rPr>
                <w:rFonts w:eastAsia="Arial Unicode MS"/>
              </w:rPr>
              <w:t xml:space="preserve">   30%</w:t>
            </w:r>
            <w:r w:rsidRPr="00BC0E7E">
              <w:rPr>
                <w:rFonts w:eastAsia="Arial Unicode MS"/>
                <w:sz w:val="20"/>
                <w:szCs w:val="20"/>
              </w:rPr>
              <w:t>*</w:t>
            </w:r>
          </w:p>
        </w:tc>
      </w:tr>
      <w:tr w:rsidR="00C6578C" w14:paraId="6847BBE6" w14:textId="77777777" w:rsidTr="00171601">
        <w:tc>
          <w:tcPr>
            <w:tcW w:w="2945" w:type="pct"/>
            <w:tcBorders>
              <w:top w:val="nil"/>
              <w:left w:val="nil"/>
              <w:right w:val="nil"/>
            </w:tcBorders>
          </w:tcPr>
          <w:p w14:paraId="4F118113" w14:textId="77777777" w:rsidR="00BC0E7E" w:rsidRPr="00BC0E7E" w:rsidRDefault="00944B8F" w:rsidP="00BC0E7E">
            <w:pPr>
              <w:rPr>
                <w:rFonts w:eastAsia="Arial Unicode MS"/>
              </w:rPr>
            </w:pPr>
            <w:r w:rsidRPr="00BC0E7E">
              <w:rPr>
                <w:rFonts w:eastAsia="Arial Unicode MS"/>
              </w:rPr>
              <w:t xml:space="preserve">  Clinical Remission</w:t>
            </w:r>
          </w:p>
        </w:tc>
        <w:tc>
          <w:tcPr>
            <w:tcW w:w="644" w:type="pct"/>
            <w:tcBorders>
              <w:top w:val="nil"/>
              <w:left w:val="nil"/>
              <w:right w:val="nil"/>
            </w:tcBorders>
          </w:tcPr>
          <w:p w14:paraId="6D9198CE" w14:textId="77777777" w:rsidR="00BC0E7E" w:rsidRPr="00BC0E7E" w:rsidRDefault="00944B8F" w:rsidP="00BC0E7E">
            <w:pPr>
              <w:jc w:val="center"/>
              <w:rPr>
                <w:rFonts w:eastAsia="Arial Unicode MS"/>
              </w:rPr>
            </w:pPr>
            <w:r w:rsidRPr="00BC0E7E">
              <w:rPr>
                <w:rFonts w:eastAsia="Arial Unicode MS"/>
              </w:rPr>
              <w:t>9%</w:t>
            </w:r>
          </w:p>
        </w:tc>
        <w:tc>
          <w:tcPr>
            <w:tcW w:w="1411" w:type="pct"/>
            <w:tcBorders>
              <w:top w:val="nil"/>
              <w:left w:val="nil"/>
              <w:right w:val="nil"/>
            </w:tcBorders>
          </w:tcPr>
          <w:p w14:paraId="05A00E0D" w14:textId="77777777" w:rsidR="00BC0E7E" w:rsidRPr="00BC0E7E" w:rsidRDefault="00944B8F" w:rsidP="00BC0E7E">
            <w:pPr>
              <w:jc w:val="center"/>
              <w:rPr>
                <w:rFonts w:eastAsia="Arial Unicode MS"/>
              </w:rPr>
            </w:pPr>
            <w:r w:rsidRPr="00BC0E7E">
              <w:rPr>
                <w:rFonts w:eastAsia="Arial Unicode MS"/>
              </w:rPr>
              <w:t xml:space="preserve">   17%*</w:t>
            </w:r>
          </w:p>
        </w:tc>
      </w:tr>
      <w:tr w:rsidR="00C6578C" w14:paraId="6CFA1BDB" w14:textId="77777777" w:rsidTr="00171601">
        <w:tc>
          <w:tcPr>
            <w:tcW w:w="2945" w:type="pct"/>
            <w:tcBorders>
              <w:top w:val="nil"/>
              <w:left w:val="nil"/>
              <w:right w:val="nil"/>
            </w:tcBorders>
          </w:tcPr>
          <w:p w14:paraId="230042B8" w14:textId="77777777" w:rsidR="00BC0E7E" w:rsidRPr="00BC0E7E" w:rsidRDefault="00944B8F" w:rsidP="00BC0E7E">
            <w:pPr>
              <w:rPr>
                <w:rFonts w:eastAsia="Arial Unicode MS"/>
              </w:rPr>
            </w:pPr>
            <w:r w:rsidRPr="00BC0E7E">
              <w:rPr>
                <w:rFonts w:eastAsia="Arial Unicode MS"/>
              </w:rPr>
              <w:t xml:space="preserve">  Mucosal Healing </w:t>
            </w:r>
          </w:p>
        </w:tc>
        <w:tc>
          <w:tcPr>
            <w:tcW w:w="644" w:type="pct"/>
            <w:tcBorders>
              <w:top w:val="nil"/>
              <w:left w:val="nil"/>
              <w:right w:val="nil"/>
            </w:tcBorders>
          </w:tcPr>
          <w:p w14:paraId="5C0C505A" w14:textId="77777777" w:rsidR="00BC0E7E" w:rsidRPr="00BC0E7E" w:rsidRDefault="00944B8F" w:rsidP="00BC0E7E">
            <w:pPr>
              <w:jc w:val="center"/>
              <w:rPr>
                <w:rFonts w:eastAsia="Arial Unicode MS"/>
              </w:rPr>
            </w:pPr>
            <w:r w:rsidRPr="00BC0E7E">
              <w:rPr>
                <w:rFonts w:eastAsia="Arial Unicode MS"/>
              </w:rPr>
              <w:t>15%</w:t>
            </w:r>
          </w:p>
        </w:tc>
        <w:tc>
          <w:tcPr>
            <w:tcW w:w="1411" w:type="pct"/>
            <w:tcBorders>
              <w:top w:val="nil"/>
              <w:left w:val="nil"/>
              <w:right w:val="nil"/>
            </w:tcBorders>
          </w:tcPr>
          <w:p w14:paraId="5F737FC9" w14:textId="77777777" w:rsidR="00BC0E7E" w:rsidRPr="00BC0E7E" w:rsidRDefault="00944B8F" w:rsidP="00BC0E7E">
            <w:pPr>
              <w:jc w:val="center"/>
              <w:rPr>
                <w:rFonts w:eastAsia="Arial Unicode MS"/>
              </w:rPr>
            </w:pPr>
            <w:r w:rsidRPr="00BC0E7E">
              <w:rPr>
                <w:rFonts w:eastAsia="Arial Unicode MS"/>
              </w:rPr>
              <w:t xml:space="preserve">   25%*</w:t>
            </w:r>
          </w:p>
        </w:tc>
      </w:tr>
      <w:tr w:rsidR="00C6578C" w14:paraId="33D9E044" w14:textId="77777777" w:rsidTr="00171601">
        <w:tc>
          <w:tcPr>
            <w:tcW w:w="2945" w:type="pct"/>
            <w:tcBorders>
              <w:top w:val="nil"/>
              <w:left w:val="nil"/>
              <w:right w:val="nil"/>
            </w:tcBorders>
          </w:tcPr>
          <w:p w14:paraId="520B9898" w14:textId="77777777" w:rsidR="00BC0E7E" w:rsidRPr="00BC0E7E" w:rsidRDefault="00944B8F" w:rsidP="00BC0E7E">
            <w:pPr>
              <w:rPr>
                <w:rFonts w:eastAsia="Arial Unicode MS"/>
              </w:rPr>
            </w:pPr>
            <w:r w:rsidRPr="00BC0E7E">
              <w:rPr>
                <w:rFonts w:eastAsia="Arial Unicode MS"/>
              </w:rPr>
              <w:t xml:space="preserve">  Steroid-free remission for ≥ 90 days</w:t>
            </w:r>
            <w:r w:rsidRPr="00BC0E7E">
              <w:rPr>
                <w:vertAlign w:val="superscript"/>
              </w:rPr>
              <w:t xml:space="preserve"> a</w:t>
            </w:r>
            <w:r w:rsidRPr="00BC0E7E">
              <w:rPr>
                <w:rFonts w:eastAsia="Arial Unicode MS"/>
              </w:rPr>
              <w:t xml:space="preserve"> </w:t>
            </w:r>
          </w:p>
        </w:tc>
        <w:tc>
          <w:tcPr>
            <w:tcW w:w="644" w:type="pct"/>
            <w:tcBorders>
              <w:top w:val="nil"/>
              <w:left w:val="nil"/>
              <w:right w:val="nil"/>
            </w:tcBorders>
          </w:tcPr>
          <w:p w14:paraId="21E9D8C3" w14:textId="77777777" w:rsidR="00BC0E7E" w:rsidRPr="00BC0E7E" w:rsidRDefault="00944B8F" w:rsidP="00BC0E7E">
            <w:pPr>
              <w:jc w:val="center"/>
              <w:rPr>
                <w:rFonts w:eastAsia="Arial Unicode MS"/>
              </w:rPr>
            </w:pPr>
            <w:r w:rsidRPr="00BC0E7E">
              <w:rPr>
                <w:rFonts w:eastAsia="Arial Unicode MS"/>
              </w:rPr>
              <w:t xml:space="preserve">6% </w:t>
            </w:r>
          </w:p>
          <w:p w14:paraId="232D66A4" w14:textId="77777777" w:rsidR="00BC0E7E" w:rsidRPr="00BC0E7E" w:rsidRDefault="00944B8F" w:rsidP="00BC0E7E">
            <w:pPr>
              <w:jc w:val="center"/>
              <w:rPr>
                <w:rFonts w:eastAsia="Arial Unicode MS"/>
              </w:rPr>
            </w:pPr>
            <w:r w:rsidRPr="00BC0E7E">
              <w:rPr>
                <w:rFonts w:eastAsia="Arial Unicode MS"/>
              </w:rPr>
              <w:t>(N=140)</w:t>
            </w:r>
          </w:p>
        </w:tc>
        <w:tc>
          <w:tcPr>
            <w:tcW w:w="1411" w:type="pct"/>
            <w:tcBorders>
              <w:top w:val="nil"/>
              <w:left w:val="nil"/>
              <w:right w:val="nil"/>
            </w:tcBorders>
          </w:tcPr>
          <w:p w14:paraId="1FC76517" w14:textId="77777777" w:rsidR="00BC0E7E" w:rsidRPr="00BC0E7E" w:rsidRDefault="00944B8F" w:rsidP="00BC0E7E">
            <w:pPr>
              <w:jc w:val="center"/>
              <w:rPr>
                <w:rFonts w:eastAsia="Arial Unicode MS"/>
              </w:rPr>
            </w:pPr>
            <w:r w:rsidRPr="00BC0E7E">
              <w:rPr>
                <w:rFonts w:eastAsia="Arial Unicode MS"/>
              </w:rPr>
              <w:t xml:space="preserve">     13% *</w:t>
            </w:r>
          </w:p>
          <w:p w14:paraId="3F7DF015" w14:textId="77777777" w:rsidR="00BC0E7E" w:rsidRPr="00BC0E7E" w:rsidRDefault="00944B8F" w:rsidP="00BC0E7E">
            <w:pPr>
              <w:jc w:val="center"/>
              <w:rPr>
                <w:rFonts w:eastAsia="Arial Unicode MS"/>
              </w:rPr>
            </w:pPr>
            <w:r w:rsidRPr="00BC0E7E">
              <w:rPr>
                <w:rFonts w:eastAsia="Arial Unicode MS"/>
              </w:rPr>
              <w:t>(N=150)</w:t>
            </w:r>
          </w:p>
          <w:p w14:paraId="5D702F77" w14:textId="77777777" w:rsidR="00BC0E7E" w:rsidRPr="00BC0E7E" w:rsidRDefault="00BC0E7E" w:rsidP="00BC0E7E">
            <w:pPr>
              <w:rPr>
                <w:rFonts w:eastAsia="Arial Unicode MS"/>
              </w:rPr>
            </w:pPr>
          </w:p>
        </w:tc>
      </w:tr>
      <w:tr w:rsidR="00C6578C" w14:paraId="7CA40718" w14:textId="77777777" w:rsidTr="00171601">
        <w:tc>
          <w:tcPr>
            <w:tcW w:w="2945" w:type="pct"/>
            <w:tcBorders>
              <w:top w:val="nil"/>
              <w:left w:val="nil"/>
              <w:right w:val="nil"/>
            </w:tcBorders>
          </w:tcPr>
          <w:p w14:paraId="487D6A18" w14:textId="77777777" w:rsidR="00BC0E7E" w:rsidRPr="00BC0E7E" w:rsidRDefault="00944B8F" w:rsidP="00BC0E7E">
            <w:pPr>
              <w:rPr>
                <w:rFonts w:eastAsia="Arial Unicode MS"/>
              </w:rPr>
            </w:pPr>
            <w:r w:rsidRPr="00BC0E7E">
              <w:rPr>
                <w:rFonts w:eastAsia="Arial Unicode MS"/>
              </w:rPr>
              <w:t>Week 8 and 52</w:t>
            </w:r>
          </w:p>
        </w:tc>
        <w:tc>
          <w:tcPr>
            <w:tcW w:w="644" w:type="pct"/>
            <w:tcBorders>
              <w:top w:val="nil"/>
              <w:left w:val="nil"/>
              <w:right w:val="nil"/>
            </w:tcBorders>
          </w:tcPr>
          <w:p w14:paraId="0E5BE8F2" w14:textId="77777777" w:rsidR="00BC0E7E" w:rsidRPr="00BC0E7E" w:rsidRDefault="00BC0E7E" w:rsidP="00BC0E7E">
            <w:pPr>
              <w:jc w:val="center"/>
              <w:rPr>
                <w:rFonts w:eastAsia="Arial Unicode MS"/>
              </w:rPr>
            </w:pPr>
          </w:p>
        </w:tc>
        <w:tc>
          <w:tcPr>
            <w:tcW w:w="1411" w:type="pct"/>
            <w:tcBorders>
              <w:top w:val="nil"/>
              <w:left w:val="nil"/>
              <w:right w:val="nil"/>
            </w:tcBorders>
          </w:tcPr>
          <w:p w14:paraId="770457AA" w14:textId="77777777" w:rsidR="00BC0E7E" w:rsidRPr="00BC0E7E" w:rsidRDefault="00BC0E7E" w:rsidP="00BC0E7E">
            <w:pPr>
              <w:jc w:val="center"/>
              <w:rPr>
                <w:rFonts w:eastAsia="Arial Unicode MS"/>
              </w:rPr>
            </w:pPr>
          </w:p>
        </w:tc>
      </w:tr>
      <w:tr w:rsidR="00C6578C" w14:paraId="3B1BCC91" w14:textId="77777777" w:rsidTr="00171601">
        <w:tc>
          <w:tcPr>
            <w:tcW w:w="2945" w:type="pct"/>
            <w:tcBorders>
              <w:top w:val="nil"/>
              <w:left w:val="nil"/>
              <w:right w:val="nil"/>
            </w:tcBorders>
          </w:tcPr>
          <w:p w14:paraId="3BB12B1D" w14:textId="77777777" w:rsidR="00BC0E7E" w:rsidRPr="00BC0E7E" w:rsidRDefault="00944B8F" w:rsidP="00BC0E7E">
            <w:pPr>
              <w:rPr>
                <w:rFonts w:eastAsia="Arial Unicode MS"/>
              </w:rPr>
            </w:pPr>
            <w:r w:rsidRPr="00BC0E7E">
              <w:rPr>
                <w:rFonts w:eastAsia="Arial Unicode MS"/>
              </w:rPr>
              <w:lastRenderedPageBreak/>
              <w:t xml:space="preserve">  Sustained Response </w:t>
            </w:r>
          </w:p>
        </w:tc>
        <w:tc>
          <w:tcPr>
            <w:tcW w:w="644" w:type="pct"/>
            <w:tcBorders>
              <w:top w:val="nil"/>
              <w:left w:val="nil"/>
              <w:right w:val="nil"/>
            </w:tcBorders>
          </w:tcPr>
          <w:p w14:paraId="16CFDA12" w14:textId="77777777" w:rsidR="00BC0E7E" w:rsidRPr="00BC0E7E" w:rsidRDefault="00944B8F" w:rsidP="00BC0E7E">
            <w:pPr>
              <w:jc w:val="center"/>
              <w:rPr>
                <w:rFonts w:eastAsia="Arial Unicode MS"/>
              </w:rPr>
            </w:pPr>
            <w:r w:rsidRPr="00BC0E7E">
              <w:rPr>
                <w:rFonts w:eastAsia="Arial Unicode MS"/>
              </w:rPr>
              <w:t>12%</w:t>
            </w:r>
          </w:p>
        </w:tc>
        <w:tc>
          <w:tcPr>
            <w:tcW w:w="1411" w:type="pct"/>
            <w:tcBorders>
              <w:top w:val="nil"/>
              <w:left w:val="nil"/>
              <w:right w:val="nil"/>
            </w:tcBorders>
          </w:tcPr>
          <w:p w14:paraId="3EED928C" w14:textId="77777777" w:rsidR="00BC0E7E" w:rsidRPr="00BC0E7E" w:rsidRDefault="00944B8F" w:rsidP="00BC0E7E">
            <w:pPr>
              <w:jc w:val="center"/>
              <w:rPr>
                <w:rFonts w:eastAsia="Arial Unicode MS"/>
              </w:rPr>
            </w:pPr>
            <w:r w:rsidRPr="00BC0E7E">
              <w:rPr>
                <w:rFonts w:eastAsia="Arial Unicode MS"/>
              </w:rPr>
              <w:t xml:space="preserve">   24%**</w:t>
            </w:r>
          </w:p>
        </w:tc>
      </w:tr>
      <w:tr w:rsidR="00C6578C" w14:paraId="4C838C8A" w14:textId="77777777" w:rsidTr="00171601">
        <w:tc>
          <w:tcPr>
            <w:tcW w:w="2945" w:type="pct"/>
            <w:tcBorders>
              <w:top w:val="nil"/>
              <w:left w:val="nil"/>
              <w:right w:val="nil"/>
            </w:tcBorders>
          </w:tcPr>
          <w:p w14:paraId="3483A9FF" w14:textId="77777777" w:rsidR="00BC0E7E" w:rsidRPr="00BC0E7E" w:rsidRDefault="00944B8F" w:rsidP="00BC0E7E">
            <w:pPr>
              <w:rPr>
                <w:rFonts w:eastAsia="Arial Unicode MS"/>
              </w:rPr>
            </w:pPr>
            <w:r w:rsidRPr="00BC0E7E">
              <w:rPr>
                <w:rFonts w:eastAsia="Arial Unicode MS"/>
              </w:rPr>
              <w:t xml:space="preserve">  Sustained Remission </w:t>
            </w:r>
          </w:p>
        </w:tc>
        <w:tc>
          <w:tcPr>
            <w:tcW w:w="644" w:type="pct"/>
            <w:tcBorders>
              <w:top w:val="nil"/>
              <w:left w:val="nil"/>
              <w:right w:val="nil"/>
            </w:tcBorders>
          </w:tcPr>
          <w:p w14:paraId="3A1D74E1" w14:textId="77777777" w:rsidR="00BC0E7E" w:rsidRPr="00BC0E7E" w:rsidRDefault="00944B8F" w:rsidP="00BC0E7E">
            <w:pPr>
              <w:jc w:val="center"/>
              <w:rPr>
                <w:rFonts w:eastAsia="Arial Unicode MS"/>
              </w:rPr>
            </w:pPr>
            <w:r w:rsidRPr="00BC0E7E">
              <w:rPr>
                <w:rFonts w:eastAsia="Arial Unicode MS"/>
              </w:rPr>
              <w:t>4%</w:t>
            </w:r>
          </w:p>
        </w:tc>
        <w:tc>
          <w:tcPr>
            <w:tcW w:w="1411" w:type="pct"/>
            <w:tcBorders>
              <w:top w:val="nil"/>
              <w:left w:val="nil"/>
              <w:right w:val="nil"/>
            </w:tcBorders>
          </w:tcPr>
          <w:p w14:paraId="17199C08" w14:textId="77777777" w:rsidR="00BC0E7E" w:rsidRPr="00BC0E7E" w:rsidRDefault="00944B8F" w:rsidP="00BC0E7E">
            <w:pPr>
              <w:jc w:val="center"/>
              <w:rPr>
                <w:rFonts w:eastAsia="Arial Unicode MS"/>
              </w:rPr>
            </w:pPr>
            <w:r w:rsidRPr="00BC0E7E">
              <w:rPr>
                <w:rFonts w:eastAsia="Arial Unicode MS"/>
              </w:rPr>
              <w:t xml:space="preserve">   8%*</w:t>
            </w:r>
          </w:p>
        </w:tc>
      </w:tr>
      <w:tr w:rsidR="00C6578C" w14:paraId="2FE57FCC" w14:textId="77777777" w:rsidTr="00171601">
        <w:tc>
          <w:tcPr>
            <w:tcW w:w="2945" w:type="pct"/>
            <w:tcBorders>
              <w:top w:val="nil"/>
              <w:left w:val="nil"/>
              <w:bottom w:val="single" w:sz="6" w:space="0" w:color="000000"/>
              <w:right w:val="nil"/>
            </w:tcBorders>
          </w:tcPr>
          <w:p w14:paraId="6DB3555C" w14:textId="77777777" w:rsidR="00BC0E7E" w:rsidRPr="00BC0E7E" w:rsidRDefault="00944B8F" w:rsidP="00BC0E7E">
            <w:pPr>
              <w:rPr>
                <w:rFonts w:eastAsia="Arial Unicode MS"/>
              </w:rPr>
            </w:pPr>
            <w:r w:rsidRPr="00BC0E7E">
              <w:rPr>
                <w:rFonts w:eastAsia="Arial Unicode MS"/>
              </w:rPr>
              <w:t xml:space="preserve">  Sustained Mucosal Healing </w:t>
            </w:r>
          </w:p>
        </w:tc>
        <w:tc>
          <w:tcPr>
            <w:tcW w:w="644" w:type="pct"/>
            <w:tcBorders>
              <w:top w:val="nil"/>
              <w:left w:val="nil"/>
              <w:bottom w:val="single" w:sz="6" w:space="0" w:color="000000"/>
              <w:right w:val="nil"/>
            </w:tcBorders>
          </w:tcPr>
          <w:p w14:paraId="13DE925A" w14:textId="77777777" w:rsidR="00BC0E7E" w:rsidRPr="00BC0E7E" w:rsidRDefault="00944B8F" w:rsidP="00BC0E7E">
            <w:pPr>
              <w:jc w:val="center"/>
              <w:rPr>
                <w:rFonts w:eastAsia="Arial Unicode MS"/>
              </w:rPr>
            </w:pPr>
            <w:r w:rsidRPr="00BC0E7E">
              <w:rPr>
                <w:rFonts w:eastAsia="Arial Unicode MS"/>
              </w:rPr>
              <w:t>11%</w:t>
            </w:r>
          </w:p>
        </w:tc>
        <w:tc>
          <w:tcPr>
            <w:tcW w:w="1411" w:type="pct"/>
            <w:tcBorders>
              <w:top w:val="nil"/>
              <w:left w:val="nil"/>
              <w:bottom w:val="single" w:sz="6" w:space="0" w:color="000000"/>
              <w:right w:val="nil"/>
            </w:tcBorders>
          </w:tcPr>
          <w:p w14:paraId="5CA137C6" w14:textId="77777777" w:rsidR="00BC0E7E" w:rsidRPr="00BC0E7E" w:rsidRDefault="00944B8F" w:rsidP="00BC0E7E">
            <w:pPr>
              <w:jc w:val="center"/>
              <w:rPr>
                <w:rFonts w:eastAsia="Arial Unicode MS"/>
              </w:rPr>
            </w:pPr>
            <w:r w:rsidRPr="00BC0E7E">
              <w:rPr>
                <w:rFonts w:eastAsia="Arial Unicode MS"/>
              </w:rPr>
              <w:t xml:space="preserve">  19%*</w:t>
            </w:r>
          </w:p>
        </w:tc>
      </w:tr>
      <w:tr w:rsidR="00C6578C" w14:paraId="7427E979" w14:textId="77777777" w:rsidTr="00171601">
        <w:tc>
          <w:tcPr>
            <w:tcW w:w="5000" w:type="pct"/>
            <w:gridSpan w:val="3"/>
            <w:tcBorders>
              <w:top w:val="nil"/>
              <w:left w:val="nil"/>
              <w:bottom w:val="nil"/>
              <w:right w:val="nil"/>
            </w:tcBorders>
          </w:tcPr>
          <w:p w14:paraId="126478EC" w14:textId="77777777" w:rsidR="00BC0E7E" w:rsidRPr="00BC0E7E" w:rsidRDefault="00944B8F" w:rsidP="00BC0E7E">
            <w:pPr>
              <w:spacing w:line="264" w:lineRule="atLeast"/>
              <w:rPr>
                <w:rFonts w:eastAsia="Arial Unicode MS"/>
              </w:rPr>
            </w:pPr>
            <w:r w:rsidRPr="00BC0E7E">
              <w:rPr>
                <w:rFonts w:eastAsia="Arial Unicode MS"/>
              </w:rPr>
              <w:t>Clinical remission is Mayo score  ≤ 2 with no subscore &gt; 1;</w:t>
            </w:r>
          </w:p>
          <w:p w14:paraId="337FB7F9" w14:textId="77777777" w:rsidR="00BC0E7E" w:rsidRPr="00BC0E7E" w:rsidRDefault="00944B8F" w:rsidP="00BC0E7E">
            <w:pPr>
              <w:spacing w:line="264" w:lineRule="atLeast"/>
              <w:rPr>
                <w:rFonts w:eastAsia="Arial Unicode MS"/>
              </w:rPr>
            </w:pPr>
            <w:r w:rsidRPr="00BC0E7E">
              <w:rPr>
                <w:rFonts w:eastAsia="Arial Unicode MS"/>
              </w:rPr>
              <w:t>Clinical response is decrease from baseline in Mayo score ≥ 3 points and ≥ 30% plus a decrease in the rectal bleeding subscore [RBS] ≥ 1 or an absolute RBS of 0 or 1;</w:t>
            </w:r>
          </w:p>
          <w:p w14:paraId="45C194D0" w14:textId="77777777" w:rsidR="00BC0E7E" w:rsidRPr="00BC0E7E" w:rsidRDefault="00944B8F" w:rsidP="00BC0E7E">
            <w:pPr>
              <w:spacing w:line="264" w:lineRule="atLeast"/>
              <w:rPr>
                <w:rFonts w:eastAsia="Arial Unicode MS"/>
              </w:rPr>
            </w:pPr>
            <w:r w:rsidRPr="00BC0E7E">
              <w:rPr>
                <w:rFonts w:eastAsia="Arial Unicode MS"/>
                <w:sz w:val="24"/>
                <w:szCs w:val="19"/>
                <w:vertAlign w:val="superscript"/>
              </w:rPr>
              <w:t>*</w:t>
            </w:r>
            <w:r w:rsidRPr="00BC0E7E">
              <w:rPr>
                <w:rFonts w:eastAsia="Arial Unicode MS"/>
              </w:rPr>
              <w:t xml:space="preserve">p &lt; 0.05 for Humira </w:t>
            </w:r>
            <w:r w:rsidRPr="00BC0E7E">
              <w:rPr>
                <w:rFonts w:eastAsia="Arial Unicode MS"/>
                <w:i/>
                <w:iCs/>
              </w:rPr>
              <w:t>vs.</w:t>
            </w:r>
            <w:r w:rsidRPr="00BC0E7E">
              <w:rPr>
                <w:rFonts w:eastAsia="Arial Unicode MS"/>
              </w:rPr>
              <w:t xml:space="preserve"> placebo pairwise comparison of proportions </w:t>
            </w:r>
          </w:p>
          <w:p w14:paraId="2E76C2BC" w14:textId="77777777" w:rsidR="00BC0E7E" w:rsidRPr="00BC0E7E" w:rsidRDefault="00944B8F" w:rsidP="00BC0E7E">
            <w:pPr>
              <w:spacing w:line="264" w:lineRule="atLeast"/>
              <w:rPr>
                <w:rFonts w:eastAsia="Arial Unicode MS"/>
              </w:rPr>
            </w:pPr>
            <w:r w:rsidRPr="00BC0E7E">
              <w:rPr>
                <w:rFonts w:eastAsia="Arial Unicode MS"/>
                <w:sz w:val="20"/>
                <w:szCs w:val="20"/>
              </w:rPr>
              <w:t>**</w:t>
            </w:r>
            <w:r w:rsidRPr="00BC0E7E">
              <w:rPr>
                <w:rFonts w:eastAsia="Arial Unicode MS"/>
              </w:rPr>
              <w:t xml:space="preserve">p &lt; 0.001 for Humira </w:t>
            </w:r>
            <w:r w:rsidRPr="00BC0E7E">
              <w:rPr>
                <w:rFonts w:eastAsia="Arial Unicode MS"/>
                <w:i/>
              </w:rPr>
              <w:t>vs.</w:t>
            </w:r>
            <w:r w:rsidRPr="00BC0E7E">
              <w:rPr>
                <w:rFonts w:eastAsia="Arial Unicode MS"/>
              </w:rPr>
              <w:t xml:space="preserve"> placebo pairwise comparison of proportions</w:t>
            </w:r>
          </w:p>
          <w:p w14:paraId="1D19719A" w14:textId="77777777" w:rsidR="00BC0E7E" w:rsidRPr="00BC0E7E" w:rsidRDefault="00944B8F" w:rsidP="00BC0E7E">
            <w:pPr>
              <w:spacing w:line="264" w:lineRule="atLeast"/>
              <w:rPr>
                <w:rFonts w:eastAsia="Arial Unicode MS"/>
                <w:b/>
              </w:rPr>
            </w:pPr>
            <w:r w:rsidRPr="00BC0E7E">
              <w:rPr>
                <w:vertAlign w:val="superscript"/>
              </w:rPr>
              <w:t xml:space="preserve">a </w:t>
            </w:r>
            <w:r w:rsidRPr="00BC0E7E">
              <w:t xml:space="preserve">  Of those receiving corticosteroids at baseline</w:t>
            </w:r>
          </w:p>
        </w:tc>
      </w:tr>
    </w:tbl>
    <w:p w14:paraId="3A34C091" w14:textId="77777777" w:rsidR="00BC0E7E" w:rsidRPr="00BC0E7E" w:rsidRDefault="00BC0E7E" w:rsidP="00BC0E7E">
      <w:pPr>
        <w:rPr>
          <w:iCs/>
          <w:szCs w:val="22"/>
        </w:rPr>
      </w:pPr>
    </w:p>
    <w:p w14:paraId="14CC4D06" w14:textId="77777777" w:rsidR="00BC0E7E" w:rsidRPr="00BC0E7E" w:rsidRDefault="00944B8F" w:rsidP="00BC0E7E">
      <w:pPr>
        <w:tabs>
          <w:tab w:val="clear" w:pos="562"/>
        </w:tabs>
        <w:suppressAutoHyphens w:val="0"/>
        <w:autoSpaceDE w:val="0"/>
        <w:autoSpaceDN w:val="0"/>
        <w:adjustRightInd w:val="0"/>
        <w:rPr>
          <w:iCs/>
          <w:szCs w:val="22"/>
        </w:rPr>
      </w:pPr>
      <w:r w:rsidRPr="00BC0E7E">
        <w:rPr>
          <w:iCs/>
          <w:szCs w:val="22"/>
        </w:rPr>
        <w:t>Of those patients who had a response at Week 8, 47% were in response, 29% were in remission, 41% had mucosal healing, and 20% were in steroid-free remission for ≥ 90 days at Week 52.</w:t>
      </w:r>
    </w:p>
    <w:p w14:paraId="7CB3AA8E" w14:textId="77777777" w:rsidR="00BC0E7E" w:rsidRPr="00BC0E7E" w:rsidRDefault="00BC0E7E" w:rsidP="00BC0E7E">
      <w:pPr>
        <w:tabs>
          <w:tab w:val="clear" w:pos="562"/>
        </w:tabs>
        <w:suppressAutoHyphens w:val="0"/>
        <w:autoSpaceDE w:val="0"/>
        <w:autoSpaceDN w:val="0"/>
        <w:adjustRightInd w:val="0"/>
        <w:rPr>
          <w:iCs/>
          <w:szCs w:val="22"/>
        </w:rPr>
      </w:pPr>
    </w:p>
    <w:p w14:paraId="13A2FF74" w14:textId="77777777" w:rsidR="00BC0E7E" w:rsidRPr="00BC0E7E" w:rsidRDefault="00944B8F" w:rsidP="00BC0E7E">
      <w:pPr>
        <w:tabs>
          <w:tab w:val="clear" w:pos="562"/>
        </w:tabs>
        <w:suppressAutoHyphens w:val="0"/>
        <w:autoSpaceDE w:val="0"/>
        <w:autoSpaceDN w:val="0"/>
        <w:adjustRightInd w:val="0"/>
        <w:rPr>
          <w:iCs/>
          <w:szCs w:val="22"/>
        </w:rPr>
      </w:pPr>
      <w:r w:rsidRPr="00BC0E7E">
        <w:rPr>
          <w:iCs/>
          <w:szCs w:val="22"/>
        </w:rPr>
        <w:t>Approximately 40% of patients in study UC-II had failed prior anti-TNF treatment with infliximab. The efficacy of adalimumab in those patients was reduced compared to that in anti-TNF naïve patients.  Among patients who had failed prior anti-TNF treatment, Week 52 remission was achieved by 3% on placebo and 10% on adalimumab.</w:t>
      </w:r>
    </w:p>
    <w:p w14:paraId="6F2EADF9" w14:textId="77777777" w:rsidR="00BC0E7E" w:rsidRPr="00BC0E7E" w:rsidRDefault="00BC0E7E" w:rsidP="00BC0E7E">
      <w:pPr>
        <w:tabs>
          <w:tab w:val="clear" w:pos="562"/>
        </w:tabs>
        <w:suppressAutoHyphens w:val="0"/>
        <w:autoSpaceDE w:val="0"/>
        <w:autoSpaceDN w:val="0"/>
        <w:adjustRightInd w:val="0"/>
        <w:rPr>
          <w:szCs w:val="22"/>
        </w:rPr>
      </w:pPr>
    </w:p>
    <w:p w14:paraId="6CD5296F" w14:textId="77777777" w:rsidR="00BC0E7E" w:rsidRPr="00BC0E7E" w:rsidRDefault="00944B8F" w:rsidP="00BC0E7E">
      <w:pPr>
        <w:rPr>
          <w:szCs w:val="22"/>
        </w:rPr>
      </w:pPr>
      <w:r w:rsidRPr="00BC0E7E">
        <w:rPr>
          <w:szCs w:val="22"/>
        </w:rPr>
        <w:t xml:space="preserve">Patients from studies UC-I and UC-II had the option to roll over into an open-label long-term extension study (UC III). Following 3 years of adalimumab therapy, 75% (301/402) continued to be in clinical remission per partial Mayo score. </w:t>
      </w:r>
    </w:p>
    <w:p w14:paraId="48A36A74" w14:textId="77777777" w:rsidR="00BC0E7E" w:rsidRPr="00BC0E7E" w:rsidRDefault="00BC0E7E" w:rsidP="00BC0E7E">
      <w:pPr>
        <w:rPr>
          <w:szCs w:val="22"/>
        </w:rPr>
      </w:pPr>
    </w:p>
    <w:p w14:paraId="4037C9F8" w14:textId="77777777" w:rsidR="00BC0E7E" w:rsidRPr="00BC0E7E" w:rsidRDefault="00944B8F" w:rsidP="00BC0E7E">
      <w:pPr>
        <w:keepNext/>
        <w:rPr>
          <w:bCs/>
          <w:i/>
          <w:szCs w:val="22"/>
          <w:u w:val="single"/>
        </w:rPr>
      </w:pPr>
      <w:r w:rsidRPr="00BC0E7E">
        <w:rPr>
          <w:bCs/>
          <w:i/>
          <w:szCs w:val="22"/>
          <w:u w:val="single"/>
        </w:rPr>
        <w:t>Hospitalisation rates</w:t>
      </w:r>
    </w:p>
    <w:p w14:paraId="374C032A" w14:textId="77777777" w:rsidR="00BC0E7E" w:rsidRPr="00BC0E7E" w:rsidRDefault="00BC0E7E" w:rsidP="00BC0E7E">
      <w:pPr>
        <w:keepNext/>
        <w:rPr>
          <w:szCs w:val="22"/>
        </w:rPr>
      </w:pPr>
    </w:p>
    <w:p w14:paraId="7A223473" w14:textId="77777777" w:rsidR="00BC0E7E" w:rsidRPr="00BC0E7E" w:rsidRDefault="00944B8F" w:rsidP="00BC0E7E">
      <w:pPr>
        <w:keepNext/>
        <w:rPr>
          <w:szCs w:val="22"/>
        </w:rPr>
      </w:pPr>
      <w:r w:rsidRPr="00BC0E7E">
        <w:rPr>
          <w:szCs w:val="22"/>
        </w:rPr>
        <w:t xml:space="preserve">During 52 weeks of studies UC-I and UC-II, lower rates of all-cause hospitalisations and UC-related hospitalisations were observed for the adalimumab-treated arm compared to the placebo arm. </w:t>
      </w:r>
      <w:r w:rsidRPr="00BC0E7E">
        <w:rPr>
          <w:iCs/>
          <w:szCs w:val="20"/>
          <w:lang w:eastAsia="sv-SE"/>
        </w:rPr>
        <w:t xml:space="preserve">The number of all cause hospitalisations in the adalimumab treatment group was 0.18 per patient year </w:t>
      </w:r>
      <w:r w:rsidRPr="00BC0E7E">
        <w:rPr>
          <w:i/>
          <w:iCs/>
          <w:szCs w:val="20"/>
          <w:lang w:eastAsia="sv-SE"/>
        </w:rPr>
        <w:t>vs</w:t>
      </w:r>
      <w:r w:rsidRPr="00BC0E7E">
        <w:rPr>
          <w:iCs/>
          <w:szCs w:val="20"/>
          <w:lang w:eastAsia="sv-SE"/>
        </w:rPr>
        <w:t xml:space="preserve">. 0.26 per patient year in the placebo group and the corresponding figures for UC-related hospitalisations were 0.12 per patient year </w:t>
      </w:r>
      <w:r w:rsidRPr="00BC0E7E">
        <w:rPr>
          <w:i/>
          <w:iCs/>
          <w:szCs w:val="20"/>
          <w:lang w:eastAsia="sv-SE"/>
        </w:rPr>
        <w:t>vs.</w:t>
      </w:r>
      <w:r w:rsidRPr="00BC0E7E">
        <w:rPr>
          <w:iCs/>
          <w:szCs w:val="20"/>
          <w:lang w:eastAsia="sv-SE"/>
        </w:rPr>
        <w:t xml:space="preserve"> 0.22 per patient year.</w:t>
      </w:r>
    </w:p>
    <w:p w14:paraId="0D4329F3" w14:textId="77777777" w:rsidR="00BC0E7E" w:rsidRPr="00BC0E7E" w:rsidRDefault="00BC0E7E" w:rsidP="00BC0E7E">
      <w:pPr>
        <w:rPr>
          <w:szCs w:val="22"/>
        </w:rPr>
      </w:pPr>
    </w:p>
    <w:p w14:paraId="64AD00A7" w14:textId="77777777" w:rsidR="00BC0E7E" w:rsidRPr="00BC0E7E" w:rsidRDefault="00944B8F" w:rsidP="00BC0E7E">
      <w:pPr>
        <w:keepNext/>
        <w:rPr>
          <w:bCs/>
          <w:i/>
          <w:szCs w:val="22"/>
          <w:u w:val="single"/>
        </w:rPr>
      </w:pPr>
      <w:r w:rsidRPr="00BC0E7E">
        <w:rPr>
          <w:bCs/>
          <w:i/>
          <w:szCs w:val="22"/>
          <w:u w:val="single"/>
        </w:rPr>
        <w:t>Quality of life</w:t>
      </w:r>
    </w:p>
    <w:p w14:paraId="5BFEFB68" w14:textId="77777777" w:rsidR="00BC0E7E" w:rsidRPr="00BC0E7E" w:rsidRDefault="00BC0E7E" w:rsidP="00BC0E7E">
      <w:pPr>
        <w:keepNext/>
        <w:rPr>
          <w:szCs w:val="22"/>
        </w:rPr>
      </w:pPr>
    </w:p>
    <w:p w14:paraId="5FFF9E78" w14:textId="77777777" w:rsidR="00BC0E7E" w:rsidRPr="00BC0E7E" w:rsidRDefault="00944B8F" w:rsidP="00BC0E7E">
      <w:pPr>
        <w:rPr>
          <w:szCs w:val="20"/>
        </w:rPr>
      </w:pPr>
      <w:r w:rsidRPr="00BC0E7E">
        <w:rPr>
          <w:szCs w:val="22"/>
        </w:rPr>
        <w:t>In study UC-II, treatment with adalimumab resulted in improvements in the Inflammatory Bowel Disease Questionnaire (IBDQ) score.</w:t>
      </w:r>
      <w:r w:rsidRPr="00BC0E7E">
        <w:rPr>
          <w:szCs w:val="20"/>
        </w:rPr>
        <w:t xml:space="preserve"> </w:t>
      </w:r>
    </w:p>
    <w:p w14:paraId="6C6F4BB1" w14:textId="77777777" w:rsidR="00BC0E7E" w:rsidRPr="00BC0E7E" w:rsidRDefault="00BC0E7E" w:rsidP="00BC0E7E">
      <w:pPr>
        <w:rPr>
          <w:szCs w:val="20"/>
        </w:rPr>
      </w:pPr>
    </w:p>
    <w:p w14:paraId="04B7A6F0" w14:textId="77777777" w:rsidR="00BC0E7E" w:rsidRPr="00BC0E7E" w:rsidRDefault="00944B8F" w:rsidP="00BC0E7E">
      <w:pPr>
        <w:keepNext/>
        <w:rPr>
          <w:bCs/>
          <w:i/>
          <w:szCs w:val="22"/>
        </w:rPr>
      </w:pPr>
      <w:r w:rsidRPr="00BC0E7E">
        <w:rPr>
          <w:bCs/>
          <w:i/>
          <w:szCs w:val="22"/>
        </w:rPr>
        <w:t>Uveitis</w:t>
      </w:r>
    </w:p>
    <w:p w14:paraId="148BEC61" w14:textId="77777777" w:rsidR="00BC0E7E" w:rsidRPr="00BC0E7E" w:rsidRDefault="00BC0E7E" w:rsidP="00BC0E7E">
      <w:pPr>
        <w:keepNext/>
        <w:rPr>
          <w:bCs/>
          <w:szCs w:val="22"/>
        </w:rPr>
      </w:pPr>
    </w:p>
    <w:p w14:paraId="56F7F8A3" w14:textId="77777777" w:rsidR="00BC0E7E" w:rsidRPr="00BC0E7E" w:rsidRDefault="00944B8F" w:rsidP="00BC0E7E">
      <w:pPr>
        <w:rPr>
          <w:szCs w:val="22"/>
        </w:rPr>
      </w:pPr>
      <w:r w:rsidRPr="00BC0E7E">
        <w:rPr>
          <w:szCs w:val="22"/>
        </w:rPr>
        <w:t>The safety and efficacy of Humira were assessed in adult patients with non-infectious intermediate, posterior, and panuveitis, excluding patients with isolated anterior uveitis, in two randomised, double-masked, placebo-controlled studies (UV I and II). Patients received placebo or Humira at an initial dose of 80 mg followed by 40 mg every other week starting one week after the initial dose. Concomitant stable doses of one</w:t>
      </w:r>
      <w:r w:rsidRPr="00BC0E7E">
        <w:rPr>
          <w:b/>
          <w:i/>
          <w:szCs w:val="22"/>
        </w:rPr>
        <w:t xml:space="preserve"> </w:t>
      </w:r>
      <w:r w:rsidRPr="00BC0E7E">
        <w:rPr>
          <w:szCs w:val="22"/>
        </w:rPr>
        <w:t xml:space="preserve">non-biologic immunosuppressant were permitted. </w:t>
      </w:r>
    </w:p>
    <w:p w14:paraId="020A7649" w14:textId="77777777" w:rsidR="00BC0E7E" w:rsidRPr="00BC0E7E" w:rsidRDefault="00BC0E7E" w:rsidP="00BC0E7E">
      <w:pPr>
        <w:rPr>
          <w:szCs w:val="22"/>
        </w:rPr>
      </w:pPr>
    </w:p>
    <w:p w14:paraId="666885AA" w14:textId="77777777" w:rsidR="00BC0E7E" w:rsidRPr="00BC0E7E" w:rsidRDefault="00944B8F" w:rsidP="00BC0E7E">
      <w:pPr>
        <w:rPr>
          <w:szCs w:val="22"/>
        </w:rPr>
      </w:pPr>
      <w:r w:rsidRPr="00BC0E7E">
        <w:rPr>
          <w:szCs w:val="22"/>
        </w:rPr>
        <w:t>Study UV I evaluated 217 patients with active uveitis despite treatment with corticosteroids (oral prednisone at a dose of 10 to 60 mg/day). All patients received a 2-week</w:t>
      </w:r>
      <w:r w:rsidRPr="00BC0E7E">
        <w:rPr>
          <w:b/>
          <w:i/>
          <w:szCs w:val="22"/>
        </w:rPr>
        <w:t xml:space="preserve"> </w:t>
      </w:r>
      <w:r w:rsidRPr="00BC0E7E">
        <w:rPr>
          <w:szCs w:val="22"/>
        </w:rPr>
        <w:t xml:space="preserve">standardised dose of prednisone 60 mg/day at study entry followed by a mandatory taper schedule, with complete corticosteroid discontinuation by Week 15. </w:t>
      </w:r>
    </w:p>
    <w:p w14:paraId="52DCBEF9" w14:textId="77777777" w:rsidR="00BC0E7E" w:rsidRPr="00BC0E7E" w:rsidRDefault="00BC0E7E" w:rsidP="00BC0E7E">
      <w:pPr>
        <w:rPr>
          <w:szCs w:val="22"/>
        </w:rPr>
      </w:pPr>
    </w:p>
    <w:p w14:paraId="79973CBB" w14:textId="77777777" w:rsidR="00BC0E7E" w:rsidRPr="00BC0E7E" w:rsidRDefault="00944B8F" w:rsidP="00BC0E7E">
      <w:pPr>
        <w:rPr>
          <w:szCs w:val="22"/>
        </w:rPr>
      </w:pPr>
      <w:r w:rsidRPr="00BC0E7E">
        <w:rPr>
          <w:szCs w:val="22"/>
        </w:rPr>
        <w:t xml:space="preserve">Study UV II evaluated 226 patients with inactive uveitis requiring chronic corticosteroid treatment (oral prednisone 10 to 35 mg/day) at baseline to control their disease. Patients subsequently underwent a mandatory taper schedule, with complete corticosteroid discontinuation by Week 19. </w:t>
      </w:r>
    </w:p>
    <w:p w14:paraId="3A01CFD0" w14:textId="77777777" w:rsidR="00BC0E7E" w:rsidRPr="00BC0E7E" w:rsidRDefault="00BC0E7E" w:rsidP="00BC0E7E">
      <w:pPr>
        <w:rPr>
          <w:szCs w:val="22"/>
        </w:rPr>
      </w:pPr>
    </w:p>
    <w:p w14:paraId="728E3E65" w14:textId="77777777" w:rsidR="00BC0E7E" w:rsidRPr="00BC0E7E" w:rsidRDefault="00944B8F" w:rsidP="00BC0E7E">
      <w:pPr>
        <w:rPr>
          <w:szCs w:val="22"/>
        </w:rPr>
      </w:pPr>
      <w:r w:rsidRPr="00BC0E7E">
        <w:rPr>
          <w:szCs w:val="22"/>
        </w:rPr>
        <w:lastRenderedPageBreak/>
        <w:t xml:space="preserve">The primary efficacy endpoint in both studies was ´time to treatment failure´. Treatment failure was defined by a multi-component outcome based on inflammatory chorioretinal and/or inflammatory retinal vascular lesions, anterior chamber (AC) cell grade, vitreous haze (VH) grade and best corrected visual acuity (BCVA). </w:t>
      </w:r>
    </w:p>
    <w:p w14:paraId="55FC8EBE" w14:textId="77777777" w:rsidR="00BC0E7E" w:rsidRDefault="00BC0E7E" w:rsidP="00BC0E7E">
      <w:pPr>
        <w:rPr>
          <w:szCs w:val="20"/>
        </w:rPr>
      </w:pPr>
    </w:p>
    <w:p w14:paraId="54FCF826" w14:textId="77777777" w:rsidR="00990E3D" w:rsidRDefault="00944B8F" w:rsidP="00BC0E7E">
      <w:pPr>
        <w:rPr>
          <w:szCs w:val="22"/>
        </w:rPr>
      </w:pPr>
      <w:r>
        <w:rPr>
          <w:szCs w:val="22"/>
        </w:rPr>
        <w:t>Patients who completed Studies UV I and UV</w:t>
      </w:r>
      <w:r w:rsidR="00947BEB">
        <w:rPr>
          <w:szCs w:val="22"/>
        </w:rPr>
        <w:t xml:space="preserve"> II were eligible to enroll in</w:t>
      </w:r>
      <w:r>
        <w:rPr>
          <w:szCs w:val="22"/>
        </w:rPr>
        <w:t xml:space="preserve"> an uncontrolled long-term extension study with an originally planned duration of 78 weeks. Patients were allowed to continue on study medication beyond Week 78 until they had access to Humira.</w:t>
      </w:r>
    </w:p>
    <w:p w14:paraId="07C89D94" w14:textId="77777777" w:rsidR="00990E3D" w:rsidRPr="00BC0E7E" w:rsidRDefault="00990E3D" w:rsidP="00BC0E7E">
      <w:pPr>
        <w:rPr>
          <w:szCs w:val="20"/>
        </w:rPr>
      </w:pPr>
    </w:p>
    <w:p w14:paraId="3651ED17" w14:textId="77777777" w:rsidR="00BC0E7E" w:rsidRPr="00BC0E7E" w:rsidRDefault="00944B8F" w:rsidP="00BC0E7E">
      <w:pPr>
        <w:rPr>
          <w:i/>
          <w:szCs w:val="22"/>
          <w:u w:val="single"/>
        </w:rPr>
      </w:pPr>
      <w:r w:rsidRPr="00BC0E7E">
        <w:rPr>
          <w:i/>
          <w:szCs w:val="22"/>
          <w:u w:val="single"/>
        </w:rPr>
        <w:t>Clinical Response</w:t>
      </w:r>
    </w:p>
    <w:p w14:paraId="00015949" w14:textId="77777777" w:rsidR="00BC0E7E" w:rsidRPr="00F619C1" w:rsidRDefault="00BC0E7E" w:rsidP="00BC0E7E">
      <w:pPr>
        <w:rPr>
          <w:szCs w:val="22"/>
          <w:u w:val="single"/>
        </w:rPr>
      </w:pPr>
    </w:p>
    <w:p w14:paraId="4ECAF566" w14:textId="77777777" w:rsidR="00BC0E7E" w:rsidRPr="00BC0E7E" w:rsidRDefault="00944B8F" w:rsidP="00BC0E7E">
      <w:pPr>
        <w:rPr>
          <w:szCs w:val="22"/>
        </w:rPr>
      </w:pPr>
      <w:r w:rsidRPr="00BC0E7E">
        <w:rPr>
          <w:szCs w:val="22"/>
        </w:rPr>
        <w:t xml:space="preserve">Results from both studies demonstrated statistically significant reduction of the risk of treatment failure in patients treated with Humira versus patients receiving placebo (See Table </w:t>
      </w:r>
      <w:r w:rsidR="00DF4E07">
        <w:rPr>
          <w:szCs w:val="22"/>
        </w:rPr>
        <w:t>1</w:t>
      </w:r>
      <w:r w:rsidR="005F03EC">
        <w:rPr>
          <w:szCs w:val="22"/>
        </w:rPr>
        <w:t>7</w:t>
      </w:r>
      <w:r w:rsidRPr="00BC0E7E">
        <w:rPr>
          <w:szCs w:val="22"/>
        </w:rPr>
        <w:t xml:space="preserve">). Both studies demonstrated an early and sustained effect of Humira on the treatment failure rate versus placebo (see Figure 1). </w:t>
      </w:r>
    </w:p>
    <w:p w14:paraId="5B352684" w14:textId="77777777" w:rsidR="00BC0E7E" w:rsidRPr="007F079A" w:rsidRDefault="00BC0E7E" w:rsidP="00BC0E7E">
      <w:pPr>
        <w:rPr>
          <w:szCs w:val="22"/>
        </w:rPr>
      </w:pPr>
    </w:p>
    <w:p w14:paraId="21138333" w14:textId="77777777" w:rsidR="00BC0E7E" w:rsidRPr="007F079A" w:rsidRDefault="00944B8F" w:rsidP="00BC0E7E">
      <w:pPr>
        <w:keepNext/>
        <w:jc w:val="center"/>
        <w:rPr>
          <w:szCs w:val="22"/>
        </w:rPr>
      </w:pPr>
      <w:r w:rsidRPr="00BC0E7E">
        <w:rPr>
          <w:b/>
          <w:szCs w:val="22"/>
        </w:rPr>
        <w:t xml:space="preserve">Table </w:t>
      </w:r>
      <w:r w:rsidR="00DF4E07">
        <w:rPr>
          <w:b/>
          <w:szCs w:val="22"/>
        </w:rPr>
        <w:t>1</w:t>
      </w:r>
      <w:r w:rsidR="005F03EC">
        <w:rPr>
          <w:b/>
          <w:szCs w:val="22"/>
        </w:rPr>
        <w:t>7</w:t>
      </w:r>
    </w:p>
    <w:p w14:paraId="049D0EED" w14:textId="77777777" w:rsidR="00BC0E7E" w:rsidRPr="007F079A" w:rsidRDefault="00944B8F" w:rsidP="00BC0E7E">
      <w:pPr>
        <w:keepNext/>
        <w:jc w:val="center"/>
        <w:rPr>
          <w:szCs w:val="22"/>
        </w:rPr>
      </w:pPr>
      <w:r w:rsidRPr="00BC0E7E">
        <w:rPr>
          <w:b/>
          <w:szCs w:val="22"/>
        </w:rPr>
        <w:t>Time to Treatment Failure in Studies UV I and UV II</w:t>
      </w:r>
    </w:p>
    <w:p w14:paraId="185253F2" w14:textId="77777777" w:rsidR="00BC0E7E" w:rsidRPr="007F079A" w:rsidRDefault="00BC0E7E" w:rsidP="00BC0E7E">
      <w:pPr>
        <w:keepNext/>
        <w:jc w:val="center"/>
        <w:rPr>
          <w:szCs w:val="22"/>
        </w:rPr>
      </w:pPr>
    </w:p>
    <w:tbl>
      <w:tblPr>
        <w:tblW w:w="0" w:type="auto"/>
        <w:tblBorders>
          <w:top w:val="single" w:sz="4" w:space="0" w:color="auto"/>
          <w:bottom w:val="single" w:sz="4" w:space="0" w:color="auto"/>
        </w:tblBorders>
        <w:tblLook w:val="04A0" w:firstRow="1" w:lastRow="0" w:firstColumn="1" w:lastColumn="0" w:noHBand="0" w:noVBand="1"/>
      </w:tblPr>
      <w:tblGrid>
        <w:gridCol w:w="2268"/>
        <w:gridCol w:w="720"/>
        <w:gridCol w:w="1170"/>
        <w:gridCol w:w="1890"/>
        <w:gridCol w:w="720"/>
        <w:gridCol w:w="1170"/>
        <w:gridCol w:w="1080"/>
      </w:tblGrid>
      <w:tr w:rsidR="00C6578C" w14:paraId="12E961DE" w14:textId="77777777" w:rsidTr="00171601">
        <w:tc>
          <w:tcPr>
            <w:tcW w:w="2268" w:type="dxa"/>
            <w:tcBorders>
              <w:top w:val="single" w:sz="4" w:space="0" w:color="auto"/>
              <w:bottom w:val="single" w:sz="4" w:space="0" w:color="auto"/>
            </w:tcBorders>
          </w:tcPr>
          <w:p w14:paraId="296B2715" w14:textId="77777777" w:rsidR="00BC0E7E" w:rsidRPr="00BC0E7E" w:rsidRDefault="00944B8F" w:rsidP="00BC0E7E">
            <w:pPr>
              <w:keepNext/>
              <w:rPr>
                <w:b/>
                <w:szCs w:val="22"/>
              </w:rPr>
            </w:pPr>
            <w:r w:rsidRPr="00BC0E7E">
              <w:rPr>
                <w:b/>
                <w:szCs w:val="22"/>
              </w:rPr>
              <w:t>Analysis</w:t>
            </w:r>
          </w:p>
          <w:p w14:paraId="0EC72500" w14:textId="77777777" w:rsidR="00BC0E7E" w:rsidRPr="00BC0E7E" w:rsidRDefault="00944B8F" w:rsidP="00BC0E7E">
            <w:pPr>
              <w:keepNext/>
              <w:rPr>
                <w:b/>
                <w:szCs w:val="22"/>
              </w:rPr>
            </w:pPr>
            <w:r w:rsidRPr="00BC0E7E">
              <w:rPr>
                <w:b/>
                <w:szCs w:val="22"/>
              </w:rPr>
              <w:tab/>
              <w:t>Treatment</w:t>
            </w:r>
          </w:p>
        </w:tc>
        <w:tc>
          <w:tcPr>
            <w:tcW w:w="720" w:type="dxa"/>
            <w:tcBorders>
              <w:top w:val="single" w:sz="4" w:space="0" w:color="auto"/>
              <w:bottom w:val="single" w:sz="4" w:space="0" w:color="auto"/>
            </w:tcBorders>
          </w:tcPr>
          <w:p w14:paraId="08E338B6" w14:textId="77777777" w:rsidR="00BC0E7E" w:rsidRPr="00BC0E7E" w:rsidRDefault="00944B8F" w:rsidP="00BC0E7E">
            <w:pPr>
              <w:keepNext/>
              <w:rPr>
                <w:b/>
                <w:szCs w:val="22"/>
              </w:rPr>
            </w:pPr>
            <w:r w:rsidRPr="00BC0E7E">
              <w:rPr>
                <w:b/>
                <w:szCs w:val="22"/>
              </w:rPr>
              <w:t>N</w:t>
            </w:r>
          </w:p>
        </w:tc>
        <w:tc>
          <w:tcPr>
            <w:tcW w:w="1170" w:type="dxa"/>
            <w:tcBorders>
              <w:top w:val="single" w:sz="4" w:space="0" w:color="auto"/>
              <w:bottom w:val="single" w:sz="4" w:space="0" w:color="auto"/>
            </w:tcBorders>
          </w:tcPr>
          <w:p w14:paraId="10034B14" w14:textId="77777777" w:rsidR="00BC0E7E" w:rsidRPr="00BC0E7E" w:rsidRDefault="00944B8F" w:rsidP="00BC0E7E">
            <w:pPr>
              <w:keepNext/>
              <w:rPr>
                <w:b/>
                <w:szCs w:val="22"/>
              </w:rPr>
            </w:pPr>
            <w:r w:rsidRPr="00BC0E7E">
              <w:rPr>
                <w:b/>
                <w:szCs w:val="22"/>
              </w:rPr>
              <w:t>Failure</w:t>
            </w:r>
            <w:r w:rsidRPr="00BC0E7E">
              <w:rPr>
                <w:b/>
                <w:szCs w:val="22"/>
              </w:rPr>
              <w:br/>
              <w:t>N (%)</w:t>
            </w:r>
          </w:p>
        </w:tc>
        <w:tc>
          <w:tcPr>
            <w:tcW w:w="1890" w:type="dxa"/>
            <w:tcBorders>
              <w:top w:val="single" w:sz="4" w:space="0" w:color="auto"/>
              <w:bottom w:val="single" w:sz="4" w:space="0" w:color="auto"/>
            </w:tcBorders>
          </w:tcPr>
          <w:p w14:paraId="6963F124" w14:textId="77777777" w:rsidR="00BC0E7E" w:rsidRPr="00BC0E7E" w:rsidRDefault="00944B8F" w:rsidP="00BC0E7E">
            <w:pPr>
              <w:keepNext/>
              <w:rPr>
                <w:b/>
                <w:szCs w:val="22"/>
              </w:rPr>
            </w:pPr>
            <w:r w:rsidRPr="00BC0E7E">
              <w:rPr>
                <w:b/>
                <w:szCs w:val="22"/>
              </w:rPr>
              <w:t>Median Time to Failure (months)</w:t>
            </w:r>
          </w:p>
        </w:tc>
        <w:tc>
          <w:tcPr>
            <w:tcW w:w="720" w:type="dxa"/>
            <w:tcBorders>
              <w:top w:val="single" w:sz="4" w:space="0" w:color="auto"/>
              <w:bottom w:val="single" w:sz="4" w:space="0" w:color="auto"/>
            </w:tcBorders>
          </w:tcPr>
          <w:p w14:paraId="3A26D8BB" w14:textId="77777777" w:rsidR="00BC0E7E" w:rsidRPr="00BC0E7E" w:rsidRDefault="00944B8F" w:rsidP="00BC0E7E">
            <w:pPr>
              <w:keepNext/>
              <w:rPr>
                <w:b/>
                <w:szCs w:val="22"/>
              </w:rPr>
            </w:pPr>
            <w:r w:rsidRPr="00BC0E7E">
              <w:rPr>
                <w:b/>
                <w:szCs w:val="22"/>
              </w:rPr>
              <w:t>HR</w:t>
            </w:r>
            <w:r w:rsidRPr="00BC0E7E">
              <w:rPr>
                <w:b/>
                <w:szCs w:val="22"/>
                <w:vertAlign w:val="superscript"/>
              </w:rPr>
              <w:t>a</w:t>
            </w:r>
          </w:p>
        </w:tc>
        <w:tc>
          <w:tcPr>
            <w:tcW w:w="1170" w:type="dxa"/>
            <w:tcBorders>
              <w:top w:val="single" w:sz="4" w:space="0" w:color="auto"/>
              <w:bottom w:val="single" w:sz="4" w:space="0" w:color="auto"/>
            </w:tcBorders>
          </w:tcPr>
          <w:p w14:paraId="7F5551ED" w14:textId="77777777" w:rsidR="00BC0E7E" w:rsidRPr="00BC0E7E" w:rsidRDefault="00944B8F" w:rsidP="00BC0E7E">
            <w:pPr>
              <w:keepNext/>
              <w:rPr>
                <w:b/>
                <w:szCs w:val="22"/>
              </w:rPr>
            </w:pPr>
            <w:r w:rsidRPr="00BC0E7E">
              <w:rPr>
                <w:b/>
                <w:szCs w:val="22"/>
              </w:rPr>
              <w:t>CI 95% for HR</w:t>
            </w:r>
            <w:r w:rsidRPr="00BC0E7E">
              <w:rPr>
                <w:b/>
                <w:szCs w:val="22"/>
                <w:vertAlign w:val="superscript"/>
              </w:rPr>
              <w:t>a</w:t>
            </w:r>
          </w:p>
        </w:tc>
        <w:tc>
          <w:tcPr>
            <w:tcW w:w="1080" w:type="dxa"/>
            <w:tcBorders>
              <w:top w:val="single" w:sz="4" w:space="0" w:color="auto"/>
              <w:bottom w:val="single" w:sz="4" w:space="0" w:color="auto"/>
            </w:tcBorders>
          </w:tcPr>
          <w:p w14:paraId="0734E2B1" w14:textId="77777777" w:rsidR="00BC0E7E" w:rsidRPr="00BC0E7E" w:rsidRDefault="00944B8F" w:rsidP="00BC0E7E">
            <w:pPr>
              <w:keepNext/>
              <w:rPr>
                <w:b/>
                <w:szCs w:val="22"/>
              </w:rPr>
            </w:pPr>
            <w:r w:rsidRPr="00BC0E7E">
              <w:rPr>
                <w:b/>
                <w:i/>
                <w:szCs w:val="22"/>
              </w:rPr>
              <w:t>P</w:t>
            </w:r>
            <w:r w:rsidRPr="00BC0E7E">
              <w:rPr>
                <w:b/>
                <w:szCs w:val="22"/>
              </w:rPr>
              <w:t xml:space="preserve"> Value</w:t>
            </w:r>
            <w:r w:rsidRPr="00BC0E7E">
              <w:rPr>
                <w:szCs w:val="22"/>
                <w:vertAlign w:val="superscript"/>
              </w:rPr>
              <w:t xml:space="preserve"> b</w:t>
            </w:r>
          </w:p>
        </w:tc>
      </w:tr>
      <w:tr w:rsidR="00C6578C" w14:paraId="52100290" w14:textId="77777777" w:rsidTr="00171601">
        <w:tc>
          <w:tcPr>
            <w:tcW w:w="9018" w:type="dxa"/>
            <w:gridSpan w:val="7"/>
            <w:tcBorders>
              <w:top w:val="single" w:sz="4" w:space="0" w:color="auto"/>
              <w:bottom w:val="nil"/>
            </w:tcBorders>
          </w:tcPr>
          <w:p w14:paraId="1E5C32A7" w14:textId="77777777" w:rsidR="00BC0E7E" w:rsidRPr="00BC0E7E" w:rsidRDefault="00944B8F" w:rsidP="00BC0E7E">
            <w:pPr>
              <w:keepNext/>
              <w:rPr>
                <w:b/>
                <w:szCs w:val="22"/>
              </w:rPr>
            </w:pPr>
            <w:r w:rsidRPr="00BC0E7E">
              <w:rPr>
                <w:b/>
                <w:szCs w:val="22"/>
              </w:rPr>
              <w:t xml:space="preserve">Time to Treatment Failure At or After Week 6 in Study UV I  </w:t>
            </w:r>
          </w:p>
        </w:tc>
      </w:tr>
      <w:tr w:rsidR="00C6578C" w14:paraId="07018E3A" w14:textId="77777777" w:rsidTr="00171601">
        <w:tc>
          <w:tcPr>
            <w:tcW w:w="2988" w:type="dxa"/>
            <w:gridSpan w:val="2"/>
            <w:tcBorders>
              <w:top w:val="nil"/>
              <w:bottom w:val="nil"/>
            </w:tcBorders>
          </w:tcPr>
          <w:p w14:paraId="4B3F3C9B" w14:textId="77777777" w:rsidR="00BC0E7E" w:rsidRPr="00BC0E7E" w:rsidRDefault="00944B8F" w:rsidP="00BC0E7E">
            <w:pPr>
              <w:keepNext/>
              <w:rPr>
                <w:szCs w:val="22"/>
              </w:rPr>
            </w:pPr>
            <w:r w:rsidRPr="00BC0E7E">
              <w:rPr>
                <w:szCs w:val="22"/>
              </w:rPr>
              <w:t>Primary analysis (ITT)</w:t>
            </w:r>
          </w:p>
        </w:tc>
        <w:tc>
          <w:tcPr>
            <w:tcW w:w="1170" w:type="dxa"/>
            <w:tcBorders>
              <w:top w:val="nil"/>
              <w:bottom w:val="nil"/>
            </w:tcBorders>
          </w:tcPr>
          <w:p w14:paraId="5404EE88" w14:textId="77777777" w:rsidR="00BC0E7E" w:rsidRPr="00BC0E7E" w:rsidRDefault="00BC0E7E" w:rsidP="00BC0E7E">
            <w:pPr>
              <w:keepNext/>
              <w:rPr>
                <w:szCs w:val="22"/>
              </w:rPr>
            </w:pPr>
          </w:p>
        </w:tc>
        <w:tc>
          <w:tcPr>
            <w:tcW w:w="1890" w:type="dxa"/>
            <w:tcBorders>
              <w:top w:val="nil"/>
              <w:bottom w:val="nil"/>
            </w:tcBorders>
          </w:tcPr>
          <w:p w14:paraId="5C3FCAA5" w14:textId="77777777" w:rsidR="00BC0E7E" w:rsidRPr="00BC0E7E" w:rsidRDefault="00BC0E7E" w:rsidP="00BC0E7E">
            <w:pPr>
              <w:keepNext/>
              <w:rPr>
                <w:szCs w:val="22"/>
              </w:rPr>
            </w:pPr>
          </w:p>
        </w:tc>
        <w:tc>
          <w:tcPr>
            <w:tcW w:w="720" w:type="dxa"/>
            <w:tcBorders>
              <w:top w:val="nil"/>
              <w:bottom w:val="nil"/>
            </w:tcBorders>
          </w:tcPr>
          <w:p w14:paraId="164E03B8" w14:textId="77777777" w:rsidR="00BC0E7E" w:rsidRPr="00BC0E7E" w:rsidRDefault="00BC0E7E" w:rsidP="00BC0E7E">
            <w:pPr>
              <w:keepNext/>
              <w:rPr>
                <w:szCs w:val="22"/>
              </w:rPr>
            </w:pPr>
          </w:p>
        </w:tc>
        <w:tc>
          <w:tcPr>
            <w:tcW w:w="1170" w:type="dxa"/>
            <w:tcBorders>
              <w:top w:val="nil"/>
              <w:bottom w:val="nil"/>
            </w:tcBorders>
          </w:tcPr>
          <w:p w14:paraId="49F17346" w14:textId="77777777" w:rsidR="00BC0E7E" w:rsidRPr="00BC0E7E" w:rsidRDefault="00BC0E7E" w:rsidP="00BC0E7E">
            <w:pPr>
              <w:keepNext/>
              <w:rPr>
                <w:szCs w:val="22"/>
              </w:rPr>
            </w:pPr>
          </w:p>
        </w:tc>
        <w:tc>
          <w:tcPr>
            <w:tcW w:w="1080" w:type="dxa"/>
            <w:tcBorders>
              <w:top w:val="nil"/>
              <w:bottom w:val="nil"/>
            </w:tcBorders>
          </w:tcPr>
          <w:p w14:paraId="4EE01E91" w14:textId="77777777" w:rsidR="00BC0E7E" w:rsidRPr="00BC0E7E" w:rsidRDefault="00BC0E7E" w:rsidP="00BC0E7E">
            <w:pPr>
              <w:keepNext/>
              <w:rPr>
                <w:szCs w:val="22"/>
              </w:rPr>
            </w:pPr>
          </w:p>
        </w:tc>
      </w:tr>
      <w:tr w:rsidR="00C6578C" w14:paraId="30AC4645" w14:textId="77777777" w:rsidTr="00171601">
        <w:tc>
          <w:tcPr>
            <w:tcW w:w="2268" w:type="dxa"/>
            <w:tcBorders>
              <w:top w:val="nil"/>
              <w:bottom w:val="nil"/>
            </w:tcBorders>
          </w:tcPr>
          <w:p w14:paraId="61B9E99C" w14:textId="77777777" w:rsidR="00BC0E7E" w:rsidRPr="00BC0E7E" w:rsidRDefault="00944B8F" w:rsidP="00BC0E7E">
            <w:pPr>
              <w:keepNext/>
              <w:rPr>
                <w:szCs w:val="22"/>
              </w:rPr>
            </w:pPr>
            <w:r w:rsidRPr="00BC0E7E">
              <w:rPr>
                <w:szCs w:val="22"/>
              </w:rPr>
              <w:tab/>
              <w:t>Placebo</w:t>
            </w:r>
          </w:p>
        </w:tc>
        <w:tc>
          <w:tcPr>
            <w:tcW w:w="720" w:type="dxa"/>
            <w:tcBorders>
              <w:top w:val="nil"/>
              <w:bottom w:val="nil"/>
            </w:tcBorders>
          </w:tcPr>
          <w:p w14:paraId="3443FBC3" w14:textId="77777777" w:rsidR="00BC0E7E" w:rsidRPr="00BC0E7E" w:rsidRDefault="00944B8F" w:rsidP="00BC0E7E">
            <w:pPr>
              <w:keepNext/>
              <w:rPr>
                <w:szCs w:val="22"/>
              </w:rPr>
            </w:pPr>
            <w:r w:rsidRPr="00BC0E7E">
              <w:rPr>
                <w:szCs w:val="22"/>
              </w:rPr>
              <w:t>107</w:t>
            </w:r>
          </w:p>
        </w:tc>
        <w:tc>
          <w:tcPr>
            <w:tcW w:w="1170" w:type="dxa"/>
            <w:tcBorders>
              <w:top w:val="nil"/>
              <w:bottom w:val="nil"/>
            </w:tcBorders>
          </w:tcPr>
          <w:p w14:paraId="2F1E2582" w14:textId="77777777" w:rsidR="00BC0E7E" w:rsidRPr="00BC0E7E" w:rsidRDefault="00944B8F" w:rsidP="00BC0E7E">
            <w:pPr>
              <w:keepNext/>
              <w:rPr>
                <w:szCs w:val="22"/>
              </w:rPr>
            </w:pPr>
            <w:r w:rsidRPr="00BC0E7E">
              <w:rPr>
                <w:szCs w:val="22"/>
              </w:rPr>
              <w:t>84 (78.5)</w:t>
            </w:r>
          </w:p>
        </w:tc>
        <w:tc>
          <w:tcPr>
            <w:tcW w:w="1890" w:type="dxa"/>
            <w:tcBorders>
              <w:top w:val="nil"/>
              <w:bottom w:val="nil"/>
            </w:tcBorders>
          </w:tcPr>
          <w:p w14:paraId="3291B283" w14:textId="77777777" w:rsidR="00BC0E7E" w:rsidRPr="00BC0E7E" w:rsidRDefault="00944B8F" w:rsidP="00BC0E7E">
            <w:pPr>
              <w:keepNext/>
              <w:rPr>
                <w:szCs w:val="22"/>
              </w:rPr>
            </w:pPr>
            <w:r w:rsidRPr="00BC0E7E">
              <w:rPr>
                <w:szCs w:val="22"/>
              </w:rPr>
              <w:t>3.0</w:t>
            </w:r>
          </w:p>
        </w:tc>
        <w:tc>
          <w:tcPr>
            <w:tcW w:w="720" w:type="dxa"/>
            <w:tcBorders>
              <w:top w:val="nil"/>
              <w:bottom w:val="nil"/>
            </w:tcBorders>
          </w:tcPr>
          <w:p w14:paraId="1A7A0D9B" w14:textId="77777777" w:rsidR="00BC0E7E" w:rsidRPr="00BC0E7E" w:rsidRDefault="00944B8F" w:rsidP="00BC0E7E">
            <w:pPr>
              <w:keepNext/>
              <w:rPr>
                <w:szCs w:val="22"/>
              </w:rPr>
            </w:pPr>
            <w:r w:rsidRPr="00BC0E7E">
              <w:rPr>
                <w:szCs w:val="22"/>
              </w:rPr>
              <w:t>--</w:t>
            </w:r>
          </w:p>
        </w:tc>
        <w:tc>
          <w:tcPr>
            <w:tcW w:w="1170" w:type="dxa"/>
            <w:tcBorders>
              <w:top w:val="nil"/>
              <w:bottom w:val="nil"/>
            </w:tcBorders>
          </w:tcPr>
          <w:p w14:paraId="5768A7C2" w14:textId="77777777" w:rsidR="00BC0E7E" w:rsidRPr="00BC0E7E" w:rsidRDefault="00944B8F" w:rsidP="00BC0E7E">
            <w:pPr>
              <w:keepNext/>
              <w:rPr>
                <w:szCs w:val="22"/>
              </w:rPr>
            </w:pPr>
            <w:r w:rsidRPr="00BC0E7E">
              <w:rPr>
                <w:szCs w:val="22"/>
              </w:rPr>
              <w:t>--</w:t>
            </w:r>
          </w:p>
        </w:tc>
        <w:tc>
          <w:tcPr>
            <w:tcW w:w="1080" w:type="dxa"/>
            <w:tcBorders>
              <w:top w:val="nil"/>
              <w:bottom w:val="nil"/>
            </w:tcBorders>
          </w:tcPr>
          <w:p w14:paraId="64F89D02" w14:textId="77777777" w:rsidR="00BC0E7E" w:rsidRPr="00BC0E7E" w:rsidRDefault="00944B8F" w:rsidP="00BC0E7E">
            <w:pPr>
              <w:keepNext/>
              <w:rPr>
                <w:szCs w:val="22"/>
              </w:rPr>
            </w:pPr>
            <w:r w:rsidRPr="00BC0E7E">
              <w:rPr>
                <w:szCs w:val="22"/>
              </w:rPr>
              <w:t>--</w:t>
            </w:r>
          </w:p>
        </w:tc>
      </w:tr>
      <w:tr w:rsidR="00C6578C" w14:paraId="40D4035C" w14:textId="77777777" w:rsidTr="00171601">
        <w:tc>
          <w:tcPr>
            <w:tcW w:w="2268" w:type="dxa"/>
            <w:tcBorders>
              <w:top w:val="nil"/>
              <w:bottom w:val="single" w:sz="4" w:space="0" w:color="auto"/>
            </w:tcBorders>
          </w:tcPr>
          <w:p w14:paraId="5C109829" w14:textId="77777777" w:rsidR="00BC0E7E" w:rsidRPr="00BC0E7E" w:rsidRDefault="00944B8F" w:rsidP="00BC0E7E">
            <w:pPr>
              <w:keepNext/>
              <w:rPr>
                <w:szCs w:val="22"/>
              </w:rPr>
            </w:pPr>
            <w:r w:rsidRPr="00BC0E7E">
              <w:rPr>
                <w:szCs w:val="22"/>
              </w:rPr>
              <w:tab/>
              <w:t>Adalimumab</w:t>
            </w:r>
          </w:p>
        </w:tc>
        <w:tc>
          <w:tcPr>
            <w:tcW w:w="720" w:type="dxa"/>
            <w:tcBorders>
              <w:top w:val="nil"/>
              <w:bottom w:val="single" w:sz="4" w:space="0" w:color="auto"/>
            </w:tcBorders>
          </w:tcPr>
          <w:p w14:paraId="03AA4799" w14:textId="77777777" w:rsidR="00BC0E7E" w:rsidRPr="00BC0E7E" w:rsidRDefault="00944B8F" w:rsidP="00BC0E7E">
            <w:pPr>
              <w:keepNext/>
              <w:rPr>
                <w:szCs w:val="22"/>
              </w:rPr>
            </w:pPr>
            <w:r w:rsidRPr="00BC0E7E">
              <w:rPr>
                <w:szCs w:val="22"/>
              </w:rPr>
              <w:t>110</w:t>
            </w:r>
          </w:p>
        </w:tc>
        <w:tc>
          <w:tcPr>
            <w:tcW w:w="1170" w:type="dxa"/>
            <w:tcBorders>
              <w:top w:val="nil"/>
              <w:bottom w:val="single" w:sz="4" w:space="0" w:color="auto"/>
            </w:tcBorders>
          </w:tcPr>
          <w:p w14:paraId="36895EDF" w14:textId="77777777" w:rsidR="00BC0E7E" w:rsidRPr="00BC0E7E" w:rsidRDefault="00944B8F" w:rsidP="00BC0E7E">
            <w:pPr>
              <w:keepNext/>
              <w:rPr>
                <w:szCs w:val="22"/>
              </w:rPr>
            </w:pPr>
            <w:r w:rsidRPr="00BC0E7E">
              <w:rPr>
                <w:szCs w:val="22"/>
              </w:rPr>
              <w:t>60 (54.5)</w:t>
            </w:r>
          </w:p>
        </w:tc>
        <w:tc>
          <w:tcPr>
            <w:tcW w:w="1890" w:type="dxa"/>
            <w:tcBorders>
              <w:top w:val="nil"/>
              <w:bottom w:val="single" w:sz="4" w:space="0" w:color="auto"/>
            </w:tcBorders>
          </w:tcPr>
          <w:p w14:paraId="4F0963E2" w14:textId="77777777" w:rsidR="00BC0E7E" w:rsidRPr="00BC0E7E" w:rsidRDefault="00944B8F" w:rsidP="00BC0E7E">
            <w:pPr>
              <w:keepNext/>
              <w:rPr>
                <w:szCs w:val="22"/>
              </w:rPr>
            </w:pPr>
            <w:r w:rsidRPr="00BC0E7E">
              <w:rPr>
                <w:szCs w:val="22"/>
              </w:rPr>
              <w:t>5.6</w:t>
            </w:r>
          </w:p>
        </w:tc>
        <w:tc>
          <w:tcPr>
            <w:tcW w:w="720" w:type="dxa"/>
            <w:tcBorders>
              <w:top w:val="nil"/>
              <w:bottom w:val="single" w:sz="4" w:space="0" w:color="auto"/>
            </w:tcBorders>
          </w:tcPr>
          <w:p w14:paraId="3649AAE5" w14:textId="77777777" w:rsidR="00BC0E7E" w:rsidRPr="00BC0E7E" w:rsidRDefault="00944B8F" w:rsidP="00BC0E7E">
            <w:pPr>
              <w:keepNext/>
              <w:rPr>
                <w:szCs w:val="22"/>
              </w:rPr>
            </w:pPr>
            <w:r w:rsidRPr="00BC0E7E">
              <w:rPr>
                <w:szCs w:val="22"/>
              </w:rPr>
              <w:t>0.50</w:t>
            </w:r>
          </w:p>
        </w:tc>
        <w:tc>
          <w:tcPr>
            <w:tcW w:w="1170" w:type="dxa"/>
            <w:tcBorders>
              <w:top w:val="nil"/>
              <w:bottom w:val="single" w:sz="4" w:space="0" w:color="auto"/>
            </w:tcBorders>
          </w:tcPr>
          <w:p w14:paraId="432DEC35" w14:textId="77777777" w:rsidR="00BC0E7E" w:rsidRPr="00BC0E7E" w:rsidRDefault="00944B8F" w:rsidP="00BC0E7E">
            <w:pPr>
              <w:keepNext/>
              <w:rPr>
                <w:szCs w:val="22"/>
              </w:rPr>
            </w:pPr>
            <w:r w:rsidRPr="00BC0E7E">
              <w:rPr>
                <w:szCs w:val="22"/>
              </w:rPr>
              <w:t>0.36, 0.70</w:t>
            </w:r>
            <w:r w:rsidRPr="00BC0E7E">
              <w:rPr>
                <w:szCs w:val="22"/>
                <w:vertAlign w:val="superscript"/>
              </w:rPr>
              <w:t xml:space="preserve"> </w:t>
            </w:r>
          </w:p>
        </w:tc>
        <w:tc>
          <w:tcPr>
            <w:tcW w:w="1080" w:type="dxa"/>
            <w:tcBorders>
              <w:top w:val="nil"/>
              <w:bottom w:val="single" w:sz="4" w:space="0" w:color="auto"/>
            </w:tcBorders>
          </w:tcPr>
          <w:p w14:paraId="53CB7F00" w14:textId="77777777" w:rsidR="00BC0E7E" w:rsidRPr="00BC0E7E" w:rsidRDefault="00944B8F" w:rsidP="00BC0E7E">
            <w:pPr>
              <w:keepNext/>
              <w:rPr>
                <w:szCs w:val="22"/>
              </w:rPr>
            </w:pPr>
            <w:r w:rsidRPr="00BC0E7E">
              <w:rPr>
                <w:szCs w:val="22"/>
              </w:rPr>
              <w:t>&lt; 0.001</w:t>
            </w:r>
          </w:p>
        </w:tc>
      </w:tr>
      <w:tr w:rsidR="00C6578C" w14:paraId="0F47C92C" w14:textId="77777777" w:rsidTr="00171601">
        <w:tblPrEx>
          <w:tblBorders>
            <w:left w:val="single" w:sz="4" w:space="0" w:color="auto"/>
            <w:right w:val="single" w:sz="4" w:space="0" w:color="auto"/>
            <w:insideH w:val="single" w:sz="4" w:space="0" w:color="auto"/>
            <w:insideV w:val="single" w:sz="4" w:space="0" w:color="auto"/>
          </w:tblBorders>
        </w:tblPrEx>
        <w:tc>
          <w:tcPr>
            <w:tcW w:w="9018" w:type="dxa"/>
            <w:gridSpan w:val="7"/>
            <w:tcBorders>
              <w:left w:val="nil"/>
              <w:bottom w:val="nil"/>
              <w:right w:val="nil"/>
            </w:tcBorders>
          </w:tcPr>
          <w:p w14:paraId="2091AA87" w14:textId="77777777" w:rsidR="00BC0E7E" w:rsidRPr="00BC0E7E" w:rsidRDefault="00944B8F" w:rsidP="00BC0E7E">
            <w:pPr>
              <w:keepNext/>
              <w:rPr>
                <w:b/>
                <w:szCs w:val="22"/>
              </w:rPr>
            </w:pPr>
            <w:r w:rsidRPr="00BC0E7E">
              <w:rPr>
                <w:b/>
                <w:szCs w:val="22"/>
              </w:rPr>
              <w:t>Time to Treatment Failure At or After Week 2 in Study UV II</w:t>
            </w:r>
          </w:p>
        </w:tc>
      </w:tr>
      <w:tr w:rsidR="00C6578C" w14:paraId="40EFEF2B" w14:textId="77777777" w:rsidTr="00171601">
        <w:tblPrEx>
          <w:tblBorders>
            <w:left w:val="single" w:sz="4" w:space="0" w:color="auto"/>
            <w:right w:val="single" w:sz="4" w:space="0" w:color="auto"/>
            <w:insideH w:val="single" w:sz="4" w:space="0" w:color="auto"/>
            <w:insideV w:val="single" w:sz="4" w:space="0" w:color="auto"/>
          </w:tblBorders>
        </w:tblPrEx>
        <w:tc>
          <w:tcPr>
            <w:tcW w:w="2988" w:type="dxa"/>
            <w:gridSpan w:val="2"/>
            <w:tcBorders>
              <w:top w:val="nil"/>
              <w:left w:val="nil"/>
              <w:bottom w:val="nil"/>
              <w:right w:val="nil"/>
            </w:tcBorders>
          </w:tcPr>
          <w:p w14:paraId="4FFD6570" w14:textId="77777777" w:rsidR="00BC0E7E" w:rsidRPr="00BC0E7E" w:rsidRDefault="00944B8F" w:rsidP="00BC0E7E">
            <w:pPr>
              <w:keepNext/>
              <w:rPr>
                <w:szCs w:val="22"/>
              </w:rPr>
            </w:pPr>
            <w:r w:rsidRPr="00BC0E7E">
              <w:rPr>
                <w:szCs w:val="22"/>
              </w:rPr>
              <w:t>Primary analysis (ITT)</w:t>
            </w:r>
          </w:p>
        </w:tc>
        <w:tc>
          <w:tcPr>
            <w:tcW w:w="1170" w:type="dxa"/>
            <w:tcBorders>
              <w:top w:val="nil"/>
              <w:left w:val="nil"/>
              <w:bottom w:val="nil"/>
              <w:right w:val="nil"/>
            </w:tcBorders>
          </w:tcPr>
          <w:p w14:paraId="47296C54" w14:textId="77777777" w:rsidR="00BC0E7E" w:rsidRPr="00BC0E7E" w:rsidRDefault="00BC0E7E" w:rsidP="00BC0E7E">
            <w:pPr>
              <w:keepNext/>
              <w:rPr>
                <w:szCs w:val="22"/>
              </w:rPr>
            </w:pPr>
          </w:p>
        </w:tc>
        <w:tc>
          <w:tcPr>
            <w:tcW w:w="1890" w:type="dxa"/>
            <w:tcBorders>
              <w:top w:val="nil"/>
              <w:left w:val="nil"/>
              <w:bottom w:val="nil"/>
              <w:right w:val="nil"/>
            </w:tcBorders>
          </w:tcPr>
          <w:p w14:paraId="1B2DA8E9" w14:textId="77777777" w:rsidR="00BC0E7E" w:rsidRPr="00BC0E7E" w:rsidRDefault="00BC0E7E" w:rsidP="00BC0E7E">
            <w:pPr>
              <w:keepNext/>
              <w:rPr>
                <w:szCs w:val="22"/>
              </w:rPr>
            </w:pPr>
          </w:p>
        </w:tc>
        <w:tc>
          <w:tcPr>
            <w:tcW w:w="720" w:type="dxa"/>
            <w:tcBorders>
              <w:top w:val="nil"/>
              <w:left w:val="nil"/>
              <w:bottom w:val="nil"/>
              <w:right w:val="nil"/>
            </w:tcBorders>
          </w:tcPr>
          <w:p w14:paraId="41B5B6AE" w14:textId="77777777" w:rsidR="00BC0E7E" w:rsidRPr="00BC0E7E" w:rsidRDefault="00BC0E7E" w:rsidP="00BC0E7E">
            <w:pPr>
              <w:keepNext/>
              <w:rPr>
                <w:szCs w:val="22"/>
              </w:rPr>
            </w:pPr>
          </w:p>
        </w:tc>
        <w:tc>
          <w:tcPr>
            <w:tcW w:w="1170" w:type="dxa"/>
            <w:tcBorders>
              <w:top w:val="nil"/>
              <w:left w:val="nil"/>
              <w:bottom w:val="nil"/>
              <w:right w:val="nil"/>
            </w:tcBorders>
          </w:tcPr>
          <w:p w14:paraId="732E085A" w14:textId="77777777" w:rsidR="00BC0E7E" w:rsidRPr="00BC0E7E" w:rsidRDefault="00BC0E7E" w:rsidP="00BC0E7E">
            <w:pPr>
              <w:keepNext/>
              <w:rPr>
                <w:szCs w:val="22"/>
              </w:rPr>
            </w:pPr>
          </w:p>
        </w:tc>
        <w:tc>
          <w:tcPr>
            <w:tcW w:w="1080" w:type="dxa"/>
            <w:tcBorders>
              <w:top w:val="nil"/>
              <w:left w:val="nil"/>
              <w:bottom w:val="nil"/>
              <w:right w:val="nil"/>
            </w:tcBorders>
          </w:tcPr>
          <w:p w14:paraId="4803480D" w14:textId="77777777" w:rsidR="00BC0E7E" w:rsidRPr="00BC0E7E" w:rsidRDefault="00BC0E7E" w:rsidP="00BC0E7E">
            <w:pPr>
              <w:keepNext/>
              <w:rPr>
                <w:szCs w:val="22"/>
              </w:rPr>
            </w:pPr>
          </w:p>
        </w:tc>
      </w:tr>
      <w:tr w:rsidR="00C6578C" w14:paraId="5A88C1BF" w14:textId="77777777" w:rsidTr="00171601">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nil"/>
              <w:right w:val="nil"/>
            </w:tcBorders>
          </w:tcPr>
          <w:p w14:paraId="4FB7134C" w14:textId="77777777" w:rsidR="00BC0E7E" w:rsidRPr="00BC0E7E" w:rsidRDefault="00944B8F" w:rsidP="00BC0E7E">
            <w:pPr>
              <w:keepNext/>
              <w:rPr>
                <w:szCs w:val="22"/>
              </w:rPr>
            </w:pPr>
            <w:r w:rsidRPr="00BC0E7E">
              <w:rPr>
                <w:szCs w:val="22"/>
              </w:rPr>
              <w:tab/>
              <w:t>Placebo</w:t>
            </w:r>
          </w:p>
        </w:tc>
        <w:tc>
          <w:tcPr>
            <w:tcW w:w="720" w:type="dxa"/>
            <w:tcBorders>
              <w:top w:val="nil"/>
              <w:left w:val="nil"/>
              <w:bottom w:val="nil"/>
              <w:right w:val="nil"/>
            </w:tcBorders>
          </w:tcPr>
          <w:p w14:paraId="3D6C19CF" w14:textId="77777777" w:rsidR="00BC0E7E" w:rsidRPr="00BC0E7E" w:rsidRDefault="00944B8F" w:rsidP="00BC0E7E">
            <w:pPr>
              <w:keepNext/>
              <w:rPr>
                <w:szCs w:val="22"/>
              </w:rPr>
            </w:pPr>
            <w:r w:rsidRPr="00BC0E7E">
              <w:rPr>
                <w:szCs w:val="22"/>
              </w:rPr>
              <w:t>111</w:t>
            </w:r>
          </w:p>
        </w:tc>
        <w:tc>
          <w:tcPr>
            <w:tcW w:w="1170" w:type="dxa"/>
            <w:tcBorders>
              <w:top w:val="nil"/>
              <w:left w:val="nil"/>
              <w:bottom w:val="nil"/>
              <w:right w:val="nil"/>
            </w:tcBorders>
          </w:tcPr>
          <w:p w14:paraId="7726F3CF" w14:textId="77777777" w:rsidR="00BC0E7E" w:rsidRPr="00BC0E7E" w:rsidRDefault="00944B8F" w:rsidP="00BC0E7E">
            <w:pPr>
              <w:keepNext/>
              <w:rPr>
                <w:szCs w:val="22"/>
              </w:rPr>
            </w:pPr>
            <w:r w:rsidRPr="00BC0E7E">
              <w:rPr>
                <w:szCs w:val="22"/>
              </w:rPr>
              <w:t>61 (55.0)</w:t>
            </w:r>
          </w:p>
        </w:tc>
        <w:tc>
          <w:tcPr>
            <w:tcW w:w="1890" w:type="dxa"/>
            <w:tcBorders>
              <w:top w:val="nil"/>
              <w:left w:val="nil"/>
              <w:bottom w:val="nil"/>
              <w:right w:val="nil"/>
            </w:tcBorders>
          </w:tcPr>
          <w:p w14:paraId="2C6455B2" w14:textId="77777777" w:rsidR="00BC0E7E" w:rsidRPr="00BC0E7E" w:rsidRDefault="00944B8F" w:rsidP="00BC0E7E">
            <w:pPr>
              <w:keepNext/>
              <w:rPr>
                <w:szCs w:val="22"/>
              </w:rPr>
            </w:pPr>
            <w:r w:rsidRPr="00BC0E7E">
              <w:rPr>
                <w:szCs w:val="22"/>
              </w:rPr>
              <w:t>8.3</w:t>
            </w:r>
          </w:p>
        </w:tc>
        <w:tc>
          <w:tcPr>
            <w:tcW w:w="720" w:type="dxa"/>
            <w:tcBorders>
              <w:top w:val="nil"/>
              <w:left w:val="nil"/>
              <w:bottom w:val="nil"/>
              <w:right w:val="nil"/>
            </w:tcBorders>
          </w:tcPr>
          <w:p w14:paraId="20384D21" w14:textId="77777777" w:rsidR="00BC0E7E" w:rsidRPr="00BC0E7E" w:rsidRDefault="00944B8F" w:rsidP="00BC0E7E">
            <w:pPr>
              <w:keepNext/>
              <w:rPr>
                <w:szCs w:val="22"/>
              </w:rPr>
            </w:pPr>
            <w:r w:rsidRPr="00BC0E7E">
              <w:rPr>
                <w:szCs w:val="22"/>
              </w:rPr>
              <w:t>--</w:t>
            </w:r>
          </w:p>
        </w:tc>
        <w:tc>
          <w:tcPr>
            <w:tcW w:w="1170" w:type="dxa"/>
            <w:tcBorders>
              <w:top w:val="nil"/>
              <w:left w:val="nil"/>
              <w:bottom w:val="nil"/>
              <w:right w:val="nil"/>
            </w:tcBorders>
          </w:tcPr>
          <w:p w14:paraId="2AF3BF0F" w14:textId="77777777" w:rsidR="00BC0E7E" w:rsidRPr="00BC0E7E" w:rsidRDefault="00944B8F" w:rsidP="00BC0E7E">
            <w:pPr>
              <w:keepNext/>
              <w:rPr>
                <w:szCs w:val="22"/>
              </w:rPr>
            </w:pPr>
            <w:r w:rsidRPr="00BC0E7E">
              <w:rPr>
                <w:szCs w:val="22"/>
              </w:rPr>
              <w:t>--</w:t>
            </w:r>
          </w:p>
        </w:tc>
        <w:tc>
          <w:tcPr>
            <w:tcW w:w="1080" w:type="dxa"/>
            <w:tcBorders>
              <w:top w:val="nil"/>
              <w:left w:val="nil"/>
              <w:bottom w:val="nil"/>
              <w:right w:val="nil"/>
            </w:tcBorders>
          </w:tcPr>
          <w:p w14:paraId="63F574A5" w14:textId="77777777" w:rsidR="00BC0E7E" w:rsidRPr="00BC0E7E" w:rsidRDefault="00944B8F" w:rsidP="00BC0E7E">
            <w:pPr>
              <w:keepNext/>
              <w:rPr>
                <w:szCs w:val="22"/>
              </w:rPr>
            </w:pPr>
            <w:r w:rsidRPr="00BC0E7E">
              <w:rPr>
                <w:szCs w:val="22"/>
              </w:rPr>
              <w:t>--</w:t>
            </w:r>
          </w:p>
        </w:tc>
      </w:tr>
      <w:tr w:rsidR="00C6578C" w14:paraId="7DE27C50" w14:textId="77777777" w:rsidTr="00171601">
        <w:tblPrEx>
          <w:tblBorders>
            <w:left w:val="single" w:sz="4" w:space="0" w:color="auto"/>
            <w:right w:val="single" w:sz="4" w:space="0" w:color="auto"/>
            <w:insideH w:val="single" w:sz="4" w:space="0" w:color="auto"/>
            <w:insideV w:val="single" w:sz="4" w:space="0" w:color="auto"/>
          </w:tblBorders>
        </w:tblPrEx>
        <w:tc>
          <w:tcPr>
            <w:tcW w:w="2268" w:type="dxa"/>
            <w:tcBorders>
              <w:top w:val="nil"/>
              <w:left w:val="nil"/>
              <w:bottom w:val="single" w:sz="4" w:space="0" w:color="auto"/>
              <w:right w:val="nil"/>
            </w:tcBorders>
          </w:tcPr>
          <w:p w14:paraId="4B7D9421" w14:textId="77777777" w:rsidR="00BC0E7E" w:rsidRPr="00BC0E7E" w:rsidRDefault="00944B8F" w:rsidP="00BC0E7E">
            <w:pPr>
              <w:keepNext/>
              <w:rPr>
                <w:szCs w:val="22"/>
              </w:rPr>
            </w:pPr>
            <w:r w:rsidRPr="00BC0E7E">
              <w:rPr>
                <w:szCs w:val="22"/>
              </w:rPr>
              <w:tab/>
              <w:t>Adalimumab</w:t>
            </w:r>
          </w:p>
        </w:tc>
        <w:tc>
          <w:tcPr>
            <w:tcW w:w="720" w:type="dxa"/>
            <w:tcBorders>
              <w:top w:val="nil"/>
              <w:left w:val="nil"/>
              <w:bottom w:val="single" w:sz="4" w:space="0" w:color="auto"/>
              <w:right w:val="nil"/>
            </w:tcBorders>
          </w:tcPr>
          <w:p w14:paraId="2BA8845D" w14:textId="77777777" w:rsidR="00BC0E7E" w:rsidRPr="00BC0E7E" w:rsidRDefault="00944B8F" w:rsidP="00BC0E7E">
            <w:pPr>
              <w:keepNext/>
              <w:rPr>
                <w:szCs w:val="22"/>
              </w:rPr>
            </w:pPr>
            <w:r w:rsidRPr="00BC0E7E">
              <w:rPr>
                <w:szCs w:val="22"/>
              </w:rPr>
              <w:t>115</w:t>
            </w:r>
          </w:p>
        </w:tc>
        <w:tc>
          <w:tcPr>
            <w:tcW w:w="1170" w:type="dxa"/>
            <w:tcBorders>
              <w:top w:val="nil"/>
              <w:left w:val="nil"/>
              <w:bottom w:val="single" w:sz="4" w:space="0" w:color="auto"/>
              <w:right w:val="nil"/>
            </w:tcBorders>
          </w:tcPr>
          <w:p w14:paraId="7AEABD79" w14:textId="77777777" w:rsidR="00BC0E7E" w:rsidRPr="00BC0E7E" w:rsidRDefault="00944B8F" w:rsidP="00BC0E7E">
            <w:pPr>
              <w:keepNext/>
              <w:rPr>
                <w:szCs w:val="22"/>
              </w:rPr>
            </w:pPr>
            <w:r w:rsidRPr="00BC0E7E">
              <w:rPr>
                <w:szCs w:val="22"/>
              </w:rPr>
              <w:t>45 (39.1)</w:t>
            </w:r>
          </w:p>
        </w:tc>
        <w:tc>
          <w:tcPr>
            <w:tcW w:w="1890" w:type="dxa"/>
            <w:tcBorders>
              <w:top w:val="nil"/>
              <w:left w:val="nil"/>
              <w:bottom w:val="single" w:sz="4" w:space="0" w:color="auto"/>
              <w:right w:val="nil"/>
            </w:tcBorders>
          </w:tcPr>
          <w:p w14:paraId="1A73B50F" w14:textId="77777777" w:rsidR="00BC0E7E" w:rsidRPr="00BC0E7E" w:rsidRDefault="00944B8F" w:rsidP="00BC0E7E">
            <w:pPr>
              <w:keepNext/>
              <w:rPr>
                <w:szCs w:val="22"/>
              </w:rPr>
            </w:pPr>
            <w:r w:rsidRPr="00BC0E7E">
              <w:rPr>
                <w:szCs w:val="22"/>
              </w:rPr>
              <w:t>NE</w:t>
            </w:r>
            <w:r w:rsidRPr="00BC0E7E">
              <w:rPr>
                <w:szCs w:val="22"/>
                <w:vertAlign w:val="superscript"/>
              </w:rPr>
              <w:t>c</w:t>
            </w:r>
          </w:p>
        </w:tc>
        <w:tc>
          <w:tcPr>
            <w:tcW w:w="720" w:type="dxa"/>
            <w:tcBorders>
              <w:top w:val="nil"/>
              <w:left w:val="nil"/>
              <w:bottom w:val="single" w:sz="4" w:space="0" w:color="auto"/>
              <w:right w:val="nil"/>
            </w:tcBorders>
          </w:tcPr>
          <w:p w14:paraId="63F5BBB7" w14:textId="77777777" w:rsidR="00BC0E7E" w:rsidRPr="00BC0E7E" w:rsidRDefault="00944B8F" w:rsidP="00BC0E7E">
            <w:pPr>
              <w:keepNext/>
              <w:rPr>
                <w:szCs w:val="22"/>
              </w:rPr>
            </w:pPr>
            <w:r w:rsidRPr="00BC0E7E">
              <w:rPr>
                <w:szCs w:val="22"/>
              </w:rPr>
              <w:t>0.57</w:t>
            </w:r>
          </w:p>
        </w:tc>
        <w:tc>
          <w:tcPr>
            <w:tcW w:w="1170" w:type="dxa"/>
            <w:tcBorders>
              <w:top w:val="nil"/>
              <w:left w:val="nil"/>
              <w:bottom w:val="single" w:sz="4" w:space="0" w:color="auto"/>
              <w:right w:val="nil"/>
            </w:tcBorders>
          </w:tcPr>
          <w:p w14:paraId="652F4F51" w14:textId="77777777" w:rsidR="00BC0E7E" w:rsidRPr="00BC0E7E" w:rsidRDefault="00944B8F" w:rsidP="00BC0E7E">
            <w:pPr>
              <w:keepNext/>
              <w:rPr>
                <w:szCs w:val="22"/>
              </w:rPr>
            </w:pPr>
            <w:r w:rsidRPr="00BC0E7E">
              <w:rPr>
                <w:szCs w:val="22"/>
              </w:rPr>
              <w:t>0.39, 0.84</w:t>
            </w:r>
          </w:p>
        </w:tc>
        <w:tc>
          <w:tcPr>
            <w:tcW w:w="1080" w:type="dxa"/>
            <w:tcBorders>
              <w:top w:val="nil"/>
              <w:left w:val="nil"/>
              <w:bottom w:val="single" w:sz="4" w:space="0" w:color="auto"/>
              <w:right w:val="nil"/>
            </w:tcBorders>
          </w:tcPr>
          <w:p w14:paraId="6302CF95" w14:textId="77777777" w:rsidR="00BC0E7E" w:rsidRPr="00BC0E7E" w:rsidRDefault="00944B8F" w:rsidP="00BC0E7E">
            <w:pPr>
              <w:keepNext/>
              <w:rPr>
                <w:szCs w:val="22"/>
              </w:rPr>
            </w:pPr>
            <w:r w:rsidRPr="00BC0E7E">
              <w:rPr>
                <w:szCs w:val="22"/>
              </w:rPr>
              <w:t>0.004</w:t>
            </w:r>
          </w:p>
        </w:tc>
      </w:tr>
    </w:tbl>
    <w:p w14:paraId="74C80C8F" w14:textId="77777777" w:rsidR="00BC0E7E" w:rsidRPr="00BC0E7E" w:rsidRDefault="00944B8F" w:rsidP="00BC0E7E">
      <w:pPr>
        <w:keepNext/>
        <w:rPr>
          <w:szCs w:val="22"/>
        </w:rPr>
      </w:pPr>
      <w:r w:rsidRPr="00BC0E7E">
        <w:rPr>
          <w:szCs w:val="22"/>
        </w:rPr>
        <w:t>Note:  Treatment failure at or after Week 6 (Study UV I), or at or after Week 2 (Study UV II), was counted as event. Drop outs due to reasons other than treatment failure were censored at the time of dropping out.</w:t>
      </w:r>
    </w:p>
    <w:p w14:paraId="3996C1C3" w14:textId="77777777" w:rsidR="00BC0E7E" w:rsidRPr="00BC0E7E" w:rsidRDefault="00944B8F" w:rsidP="00AF6B81">
      <w:pPr>
        <w:keepNext/>
        <w:numPr>
          <w:ilvl w:val="0"/>
          <w:numId w:val="87"/>
        </w:numPr>
        <w:rPr>
          <w:szCs w:val="22"/>
        </w:rPr>
      </w:pPr>
      <w:r w:rsidRPr="00BC0E7E">
        <w:rPr>
          <w:szCs w:val="22"/>
        </w:rPr>
        <w:t>HR of adalimumab vs placebo from proportional hazards regression with treatment as factor.</w:t>
      </w:r>
    </w:p>
    <w:p w14:paraId="67941A66" w14:textId="77777777" w:rsidR="00BC0E7E" w:rsidRPr="00BC0E7E" w:rsidRDefault="00944B8F" w:rsidP="00AF6B81">
      <w:pPr>
        <w:keepNext/>
        <w:numPr>
          <w:ilvl w:val="0"/>
          <w:numId w:val="87"/>
        </w:numPr>
        <w:rPr>
          <w:szCs w:val="22"/>
        </w:rPr>
      </w:pPr>
      <w:r w:rsidRPr="00BC0E7E">
        <w:rPr>
          <w:szCs w:val="22"/>
        </w:rPr>
        <w:t xml:space="preserve">2-sided </w:t>
      </w:r>
      <w:r w:rsidRPr="00BC0E7E">
        <w:rPr>
          <w:i/>
          <w:szCs w:val="22"/>
        </w:rPr>
        <w:t>P</w:t>
      </w:r>
      <w:r w:rsidRPr="00BC0E7E">
        <w:rPr>
          <w:szCs w:val="22"/>
        </w:rPr>
        <w:t xml:space="preserve"> value from log rank test.</w:t>
      </w:r>
    </w:p>
    <w:p w14:paraId="37C59C9D" w14:textId="77777777" w:rsidR="00BC0E7E" w:rsidRPr="00BC0E7E" w:rsidRDefault="00944B8F" w:rsidP="00AF6B81">
      <w:pPr>
        <w:keepNext/>
        <w:numPr>
          <w:ilvl w:val="0"/>
          <w:numId w:val="87"/>
        </w:numPr>
        <w:rPr>
          <w:szCs w:val="22"/>
        </w:rPr>
      </w:pPr>
      <w:r w:rsidRPr="00BC0E7E">
        <w:rPr>
          <w:szCs w:val="22"/>
        </w:rPr>
        <w:t xml:space="preserve">NE = not estimable. Fewer than half of at-risk subjects had an event. </w:t>
      </w:r>
    </w:p>
    <w:p w14:paraId="3315F98B" w14:textId="77777777" w:rsidR="00BC0E7E" w:rsidRPr="00BC0E7E" w:rsidRDefault="00BC0E7E" w:rsidP="00BC0E7E">
      <w:pPr>
        <w:rPr>
          <w:szCs w:val="22"/>
        </w:rPr>
      </w:pPr>
    </w:p>
    <w:p w14:paraId="6D132069" w14:textId="77777777" w:rsidR="00BC0E7E" w:rsidRPr="007F079A" w:rsidRDefault="00944B8F" w:rsidP="002B6EEF">
      <w:pPr>
        <w:keepNext/>
        <w:jc w:val="center"/>
        <w:rPr>
          <w:szCs w:val="22"/>
        </w:rPr>
      </w:pPr>
      <w:r w:rsidRPr="00BC0E7E">
        <w:rPr>
          <w:b/>
          <w:szCs w:val="22"/>
        </w:rPr>
        <w:lastRenderedPageBreak/>
        <w:t>Figure 1: Kaplan-Meier Curves Summarizing Time to Treatment Failure on or after Week 6 (Stud</w:t>
      </w:r>
      <w:r w:rsidR="007F079A">
        <w:rPr>
          <w:b/>
          <w:szCs w:val="22"/>
        </w:rPr>
        <w:t>y UV I) or Week 2 (Study UV II)</w:t>
      </w:r>
    </w:p>
    <w:p w14:paraId="11CF50F6" w14:textId="77777777" w:rsidR="00BC0E7E" w:rsidRPr="007F079A" w:rsidRDefault="00BC0E7E" w:rsidP="007F079A">
      <w:pPr>
        <w:keepNext/>
        <w:jc w:val="center"/>
        <w:rPr>
          <w:szCs w:val="22"/>
        </w:rPr>
      </w:pPr>
    </w:p>
    <w:tbl>
      <w:tblPr>
        <w:tblW w:w="9288" w:type="dxa"/>
        <w:tblLayout w:type="fixed"/>
        <w:tblLook w:val="04A0" w:firstRow="1" w:lastRow="0" w:firstColumn="1" w:lastColumn="0" w:noHBand="0" w:noVBand="1"/>
      </w:tblPr>
      <w:tblGrid>
        <w:gridCol w:w="482"/>
        <w:gridCol w:w="3496"/>
        <w:gridCol w:w="1170"/>
        <w:gridCol w:w="1350"/>
        <w:gridCol w:w="900"/>
        <w:gridCol w:w="1890"/>
      </w:tblGrid>
      <w:tr w:rsidR="00C6578C" w14:paraId="71B15C68" w14:textId="77777777" w:rsidTr="00171601">
        <w:trPr>
          <w:cantSplit/>
          <w:trHeight w:val="3806"/>
        </w:trPr>
        <w:tc>
          <w:tcPr>
            <w:tcW w:w="482" w:type="dxa"/>
            <w:textDirection w:val="btLr"/>
            <w:vAlign w:val="bottom"/>
          </w:tcPr>
          <w:p w14:paraId="5961A7BC" w14:textId="77777777" w:rsidR="00BC0E7E" w:rsidRPr="00BC0E7E" w:rsidRDefault="00944B8F" w:rsidP="002B6EEF">
            <w:pPr>
              <w:keepNext/>
              <w:ind w:left="113" w:right="113"/>
              <w:jc w:val="center"/>
              <w:rPr>
                <w:b/>
                <w:szCs w:val="22"/>
              </w:rPr>
            </w:pPr>
            <w:r w:rsidRPr="00BC0E7E">
              <w:rPr>
                <w:b/>
                <w:szCs w:val="22"/>
              </w:rPr>
              <w:t>TREATMENT FAILURE RATE (%)</w:t>
            </w:r>
          </w:p>
        </w:tc>
        <w:tc>
          <w:tcPr>
            <w:tcW w:w="8806" w:type="dxa"/>
            <w:gridSpan w:val="5"/>
            <w:vAlign w:val="bottom"/>
          </w:tcPr>
          <w:p w14:paraId="126CC43F" w14:textId="77777777" w:rsidR="00BC0E7E" w:rsidRPr="00BC0E7E" w:rsidRDefault="00944B8F" w:rsidP="002B6EEF">
            <w:pPr>
              <w:keepNext/>
              <w:rPr>
                <w:szCs w:val="22"/>
              </w:rPr>
            </w:pPr>
            <w:r>
              <w:rPr>
                <w:noProof/>
                <w:szCs w:val="22"/>
                <w:lang w:val="en-US"/>
              </w:rPr>
              <w:drawing>
                <wp:inline distT="0" distB="0" distL="0" distR="0" wp14:anchorId="2424902D" wp14:editId="29BBE185">
                  <wp:extent cx="5486400" cy="2210435"/>
                  <wp:effectExtent l="0" t="0" r="0" b="0"/>
                  <wp:docPr id="158" name="Picture 158"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34" descr="Humira Uveitis Figure 5_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86400" cy="2210435"/>
                          </a:xfrm>
                          <a:prstGeom prst="rect">
                            <a:avLst/>
                          </a:prstGeom>
                          <a:noFill/>
                          <a:ln>
                            <a:noFill/>
                          </a:ln>
                        </pic:spPr>
                      </pic:pic>
                    </a:graphicData>
                  </a:graphic>
                </wp:inline>
              </w:drawing>
            </w:r>
          </w:p>
        </w:tc>
      </w:tr>
      <w:tr w:rsidR="00C6578C" w14:paraId="7E6C885D" w14:textId="77777777" w:rsidTr="00171601">
        <w:tc>
          <w:tcPr>
            <w:tcW w:w="482" w:type="dxa"/>
          </w:tcPr>
          <w:p w14:paraId="3C32F279" w14:textId="77777777" w:rsidR="00BC0E7E" w:rsidRPr="00BC0E7E" w:rsidRDefault="00BC0E7E" w:rsidP="00BC0E7E">
            <w:pPr>
              <w:rPr>
                <w:szCs w:val="22"/>
              </w:rPr>
            </w:pPr>
          </w:p>
        </w:tc>
        <w:tc>
          <w:tcPr>
            <w:tcW w:w="8806" w:type="dxa"/>
            <w:gridSpan w:val="5"/>
          </w:tcPr>
          <w:p w14:paraId="098CECFE" w14:textId="77777777" w:rsidR="00BC0E7E" w:rsidRPr="00BC0E7E" w:rsidRDefault="00944B8F" w:rsidP="00BC0E7E">
            <w:pPr>
              <w:jc w:val="center"/>
              <w:rPr>
                <w:b/>
                <w:szCs w:val="22"/>
              </w:rPr>
            </w:pPr>
            <w:r w:rsidRPr="00BC0E7E">
              <w:rPr>
                <w:b/>
                <w:szCs w:val="22"/>
              </w:rPr>
              <w:t>TIME (MONTHS)</w:t>
            </w:r>
          </w:p>
        </w:tc>
      </w:tr>
      <w:tr w:rsidR="00C6578C" w14:paraId="54B3D938" w14:textId="77777777" w:rsidTr="00171601">
        <w:tc>
          <w:tcPr>
            <w:tcW w:w="482" w:type="dxa"/>
          </w:tcPr>
          <w:p w14:paraId="24B84B8D" w14:textId="77777777" w:rsidR="00BC0E7E" w:rsidRPr="00BC0E7E" w:rsidRDefault="00BC0E7E" w:rsidP="00BC0E7E">
            <w:pPr>
              <w:rPr>
                <w:szCs w:val="22"/>
              </w:rPr>
            </w:pPr>
          </w:p>
        </w:tc>
        <w:tc>
          <w:tcPr>
            <w:tcW w:w="3496" w:type="dxa"/>
          </w:tcPr>
          <w:p w14:paraId="4D372C20" w14:textId="77777777" w:rsidR="00BC0E7E" w:rsidRPr="00BC0E7E" w:rsidRDefault="00944B8F" w:rsidP="00BC0E7E">
            <w:pPr>
              <w:rPr>
                <w:szCs w:val="22"/>
              </w:rPr>
            </w:pPr>
            <w:r w:rsidRPr="00BC0E7E">
              <w:rPr>
                <w:szCs w:val="22"/>
              </w:rPr>
              <w:t>Study UV I                        Treatment</w:t>
            </w:r>
          </w:p>
        </w:tc>
        <w:tc>
          <w:tcPr>
            <w:tcW w:w="1170" w:type="dxa"/>
          </w:tcPr>
          <w:p w14:paraId="58A4A18A" w14:textId="77777777" w:rsidR="00BC0E7E" w:rsidRPr="00BC0E7E" w:rsidRDefault="00944B8F" w:rsidP="00BC0E7E">
            <w:pPr>
              <w:jc w:val="right"/>
              <w:rPr>
                <w:szCs w:val="22"/>
              </w:rPr>
            </w:pPr>
            <w:r>
              <w:rPr>
                <w:noProof/>
                <w:szCs w:val="22"/>
                <w:lang w:val="en-US"/>
              </w:rPr>
              <w:drawing>
                <wp:inline distT="0" distB="0" distL="0" distR="0" wp14:anchorId="27C7769F" wp14:editId="2A1E7A4B">
                  <wp:extent cx="397510" cy="182880"/>
                  <wp:effectExtent l="0" t="0" r="2540" b="7620"/>
                  <wp:docPr id="157" name="Picture 157"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35" descr="Humira Uveitis Figure 5_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97510" cy="182880"/>
                          </a:xfrm>
                          <a:prstGeom prst="rect">
                            <a:avLst/>
                          </a:prstGeom>
                          <a:noFill/>
                          <a:ln>
                            <a:noFill/>
                          </a:ln>
                        </pic:spPr>
                      </pic:pic>
                    </a:graphicData>
                  </a:graphic>
                </wp:inline>
              </w:drawing>
            </w:r>
          </w:p>
        </w:tc>
        <w:tc>
          <w:tcPr>
            <w:tcW w:w="1350" w:type="dxa"/>
          </w:tcPr>
          <w:p w14:paraId="3ED603C6" w14:textId="77777777" w:rsidR="00BC0E7E" w:rsidRPr="00BC0E7E" w:rsidRDefault="00944B8F" w:rsidP="00BC0E7E">
            <w:pPr>
              <w:rPr>
                <w:szCs w:val="22"/>
              </w:rPr>
            </w:pPr>
            <w:r w:rsidRPr="00BC0E7E">
              <w:rPr>
                <w:szCs w:val="22"/>
              </w:rPr>
              <w:t>Placebo</w:t>
            </w:r>
          </w:p>
        </w:tc>
        <w:tc>
          <w:tcPr>
            <w:tcW w:w="900" w:type="dxa"/>
          </w:tcPr>
          <w:p w14:paraId="335B9833" w14:textId="77777777" w:rsidR="00BC0E7E" w:rsidRPr="00BC0E7E" w:rsidRDefault="00944B8F" w:rsidP="00BC0E7E">
            <w:pPr>
              <w:jc w:val="right"/>
              <w:rPr>
                <w:szCs w:val="22"/>
              </w:rPr>
            </w:pPr>
            <w:r>
              <w:rPr>
                <w:noProof/>
                <w:szCs w:val="22"/>
                <w:lang w:val="en-US"/>
              </w:rPr>
              <w:drawing>
                <wp:inline distT="0" distB="0" distL="0" distR="0" wp14:anchorId="6E46627D" wp14:editId="1D3D4E0C">
                  <wp:extent cx="556895" cy="182880"/>
                  <wp:effectExtent l="0" t="0" r="0" b="7620"/>
                  <wp:docPr id="156" name="Picture 156"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36" descr="Humira Uveitis Figure 5_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56895" cy="182880"/>
                          </a:xfrm>
                          <a:prstGeom prst="rect">
                            <a:avLst/>
                          </a:prstGeom>
                          <a:noFill/>
                          <a:ln>
                            <a:noFill/>
                          </a:ln>
                        </pic:spPr>
                      </pic:pic>
                    </a:graphicData>
                  </a:graphic>
                </wp:inline>
              </w:drawing>
            </w:r>
          </w:p>
        </w:tc>
        <w:tc>
          <w:tcPr>
            <w:tcW w:w="1890" w:type="dxa"/>
          </w:tcPr>
          <w:p w14:paraId="5BEAAB20" w14:textId="77777777" w:rsidR="00BC0E7E" w:rsidRPr="00BC0E7E" w:rsidRDefault="00944B8F" w:rsidP="00BC0E7E">
            <w:pPr>
              <w:rPr>
                <w:szCs w:val="22"/>
              </w:rPr>
            </w:pPr>
            <w:r w:rsidRPr="00BC0E7E">
              <w:rPr>
                <w:szCs w:val="22"/>
              </w:rPr>
              <w:t>Adalimumab</w:t>
            </w:r>
          </w:p>
        </w:tc>
      </w:tr>
      <w:tr w:rsidR="00C6578C" w14:paraId="02D4D218" w14:textId="77777777" w:rsidTr="00171601">
        <w:trPr>
          <w:trHeight w:val="3869"/>
        </w:trPr>
        <w:tc>
          <w:tcPr>
            <w:tcW w:w="482" w:type="dxa"/>
            <w:textDirection w:val="btLr"/>
            <w:vAlign w:val="bottom"/>
          </w:tcPr>
          <w:p w14:paraId="12A11715" w14:textId="77777777" w:rsidR="00BC0E7E" w:rsidRPr="00BC0E7E" w:rsidRDefault="00944B8F" w:rsidP="00BC0E7E">
            <w:pPr>
              <w:keepNext/>
              <w:jc w:val="center"/>
              <w:rPr>
                <w:szCs w:val="22"/>
              </w:rPr>
            </w:pPr>
            <w:r w:rsidRPr="00BC0E7E">
              <w:rPr>
                <w:b/>
                <w:szCs w:val="22"/>
              </w:rPr>
              <w:t>TREATMENT FAILURE RATE (%)</w:t>
            </w:r>
          </w:p>
        </w:tc>
        <w:tc>
          <w:tcPr>
            <w:tcW w:w="8806" w:type="dxa"/>
            <w:gridSpan w:val="5"/>
            <w:vAlign w:val="bottom"/>
          </w:tcPr>
          <w:p w14:paraId="48FF3D05" w14:textId="77777777" w:rsidR="00BC0E7E" w:rsidRPr="00BC0E7E" w:rsidRDefault="00944B8F" w:rsidP="00BC0E7E">
            <w:pPr>
              <w:keepNext/>
              <w:rPr>
                <w:szCs w:val="22"/>
              </w:rPr>
            </w:pPr>
            <w:r>
              <w:rPr>
                <w:noProof/>
                <w:szCs w:val="22"/>
                <w:lang w:val="en-US"/>
              </w:rPr>
              <w:drawing>
                <wp:inline distT="0" distB="0" distL="0" distR="0" wp14:anchorId="53E7E6EB" wp14:editId="0292A6EF">
                  <wp:extent cx="5486400" cy="2178685"/>
                  <wp:effectExtent l="0" t="0" r="0" b="0"/>
                  <wp:docPr id="155" name="Picture 155"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37" descr="Humira Uveitis Figure 5_7"/>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486400" cy="2178685"/>
                          </a:xfrm>
                          <a:prstGeom prst="rect">
                            <a:avLst/>
                          </a:prstGeom>
                          <a:noFill/>
                          <a:ln>
                            <a:noFill/>
                          </a:ln>
                        </pic:spPr>
                      </pic:pic>
                    </a:graphicData>
                  </a:graphic>
                </wp:inline>
              </w:drawing>
            </w:r>
          </w:p>
        </w:tc>
      </w:tr>
      <w:tr w:rsidR="00C6578C" w14:paraId="1448E9A8" w14:textId="77777777" w:rsidTr="00171601">
        <w:tc>
          <w:tcPr>
            <w:tcW w:w="482" w:type="dxa"/>
          </w:tcPr>
          <w:p w14:paraId="398C9E10" w14:textId="77777777" w:rsidR="00BC0E7E" w:rsidRPr="00BC0E7E" w:rsidRDefault="00BC0E7E" w:rsidP="00BC0E7E">
            <w:pPr>
              <w:keepNext/>
              <w:rPr>
                <w:szCs w:val="22"/>
              </w:rPr>
            </w:pPr>
          </w:p>
        </w:tc>
        <w:tc>
          <w:tcPr>
            <w:tcW w:w="8806" w:type="dxa"/>
            <w:gridSpan w:val="5"/>
          </w:tcPr>
          <w:p w14:paraId="6298A042" w14:textId="77777777" w:rsidR="00BC0E7E" w:rsidRPr="00BC0E7E" w:rsidRDefault="00944B8F" w:rsidP="00BC0E7E">
            <w:pPr>
              <w:keepNext/>
              <w:jc w:val="center"/>
              <w:rPr>
                <w:b/>
                <w:szCs w:val="22"/>
              </w:rPr>
            </w:pPr>
            <w:r w:rsidRPr="00BC0E7E">
              <w:rPr>
                <w:b/>
                <w:szCs w:val="22"/>
              </w:rPr>
              <w:t>TIME (MONTHS)</w:t>
            </w:r>
          </w:p>
        </w:tc>
      </w:tr>
      <w:tr w:rsidR="00C6578C" w14:paraId="358A9867" w14:textId="77777777" w:rsidTr="00171601">
        <w:trPr>
          <w:trHeight w:val="369"/>
        </w:trPr>
        <w:tc>
          <w:tcPr>
            <w:tcW w:w="482" w:type="dxa"/>
          </w:tcPr>
          <w:p w14:paraId="4C38982A" w14:textId="77777777" w:rsidR="00BC0E7E" w:rsidRPr="00BC0E7E" w:rsidRDefault="00BC0E7E" w:rsidP="00BC0E7E">
            <w:pPr>
              <w:keepNext/>
              <w:rPr>
                <w:szCs w:val="22"/>
              </w:rPr>
            </w:pPr>
          </w:p>
        </w:tc>
        <w:tc>
          <w:tcPr>
            <w:tcW w:w="3496" w:type="dxa"/>
          </w:tcPr>
          <w:p w14:paraId="32325DB3" w14:textId="77777777" w:rsidR="00BC0E7E" w:rsidRPr="00BC0E7E" w:rsidRDefault="00944B8F" w:rsidP="00BC0E7E">
            <w:pPr>
              <w:keepNext/>
              <w:rPr>
                <w:szCs w:val="22"/>
              </w:rPr>
            </w:pPr>
            <w:r w:rsidRPr="00BC0E7E">
              <w:rPr>
                <w:szCs w:val="22"/>
              </w:rPr>
              <w:t>Study UV II                       Treatment</w:t>
            </w:r>
          </w:p>
        </w:tc>
        <w:tc>
          <w:tcPr>
            <w:tcW w:w="1170" w:type="dxa"/>
          </w:tcPr>
          <w:p w14:paraId="514158B8" w14:textId="77777777" w:rsidR="00BC0E7E" w:rsidRPr="00BC0E7E" w:rsidRDefault="00944B8F" w:rsidP="00BC0E7E">
            <w:pPr>
              <w:keepNext/>
              <w:jc w:val="right"/>
              <w:rPr>
                <w:szCs w:val="22"/>
              </w:rPr>
            </w:pPr>
            <w:r>
              <w:rPr>
                <w:noProof/>
                <w:szCs w:val="22"/>
                <w:lang w:val="en-US"/>
              </w:rPr>
              <w:drawing>
                <wp:inline distT="0" distB="0" distL="0" distR="0" wp14:anchorId="4F1ABEF8" wp14:editId="501D0703">
                  <wp:extent cx="397510" cy="182880"/>
                  <wp:effectExtent l="0" t="0" r="2540" b="7620"/>
                  <wp:docPr id="154" name="Picture 15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38" descr="Humira Uveitis Figure 5_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97510" cy="182880"/>
                          </a:xfrm>
                          <a:prstGeom prst="rect">
                            <a:avLst/>
                          </a:prstGeom>
                          <a:noFill/>
                          <a:ln>
                            <a:noFill/>
                          </a:ln>
                        </pic:spPr>
                      </pic:pic>
                    </a:graphicData>
                  </a:graphic>
                </wp:inline>
              </w:drawing>
            </w:r>
          </w:p>
        </w:tc>
        <w:tc>
          <w:tcPr>
            <w:tcW w:w="1350" w:type="dxa"/>
          </w:tcPr>
          <w:p w14:paraId="52F569A1" w14:textId="77777777" w:rsidR="00BC0E7E" w:rsidRPr="00BC0E7E" w:rsidRDefault="00944B8F" w:rsidP="00BC0E7E">
            <w:pPr>
              <w:keepNext/>
              <w:rPr>
                <w:szCs w:val="22"/>
              </w:rPr>
            </w:pPr>
            <w:r w:rsidRPr="00BC0E7E">
              <w:rPr>
                <w:szCs w:val="22"/>
              </w:rPr>
              <w:t>Placebo</w:t>
            </w:r>
          </w:p>
        </w:tc>
        <w:tc>
          <w:tcPr>
            <w:tcW w:w="900" w:type="dxa"/>
          </w:tcPr>
          <w:p w14:paraId="2BE216B6" w14:textId="77777777" w:rsidR="00BC0E7E" w:rsidRPr="00BC0E7E" w:rsidRDefault="00944B8F" w:rsidP="00BC0E7E">
            <w:pPr>
              <w:keepNext/>
              <w:jc w:val="right"/>
              <w:rPr>
                <w:szCs w:val="22"/>
              </w:rPr>
            </w:pPr>
            <w:r>
              <w:rPr>
                <w:noProof/>
                <w:szCs w:val="22"/>
                <w:lang w:val="en-US"/>
              </w:rPr>
              <w:drawing>
                <wp:inline distT="0" distB="0" distL="0" distR="0" wp14:anchorId="04A2E38C" wp14:editId="78002316">
                  <wp:extent cx="556895" cy="182880"/>
                  <wp:effectExtent l="0" t="0" r="0" b="7620"/>
                  <wp:docPr id="153" name="Picture 153"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39" descr="Humira Uveitis Figure 5_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56895" cy="182880"/>
                          </a:xfrm>
                          <a:prstGeom prst="rect">
                            <a:avLst/>
                          </a:prstGeom>
                          <a:noFill/>
                          <a:ln>
                            <a:noFill/>
                          </a:ln>
                        </pic:spPr>
                      </pic:pic>
                    </a:graphicData>
                  </a:graphic>
                </wp:inline>
              </w:drawing>
            </w:r>
          </w:p>
        </w:tc>
        <w:tc>
          <w:tcPr>
            <w:tcW w:w="1890" w:type="dxa"/>
          </w:tcPr>
          <w:p w14:paraId="1B8E1A10" w14:textId="77777777" w:rsidR="00BC0E7E" w:rsidRPr="00BC0E7E" w:rsidRDefault="00944B8F" w:rsidP="00BC0E7E">
            <w:pPr>
              <w:keepNext/>
              <w:rPr>
                <w:szCs w:val="22"/>
              </w:rPr>
            </w:pPr>
            <w:r w:rsidRPr="00BC0E7E">
              <w:rPr>
                <w:szCs w:val="22"/>
              </w:rPr>
              <w:t>Adalimumab</w:t>
            </w:r>
          </w:p>
        </w:tc>
      </w:tr>
      <w:tr w:rsidR="00C6578C" w14:paraId="25DC9788" w14:textId="77777777" w:rsidTr="00171601">
        <w:trPr>
          <w:trHeight w:val="629"/>
        </w:trPr>
        <w:tc>
          <w:tcPr>
            <w:tcW w:w="9288" w:type="dxa"/>
            <w:gridSpan w:val="6"/>
            <w:vAlign w:val="center"/>
          </w:tcPr>
          <w:p w14:paraId="210570ED" w14:textId="77777777" w:rsidR="00BC0E7E" w:rsidRPr="00BC0E7E" w:rsidRDefault="00944B8F" w:rsidP="00BC0E7E">
            <w:pPr>
              <w:keepNext/>
              <w:rPr>
                <w:szCs w:val="22"/>
              </w:rPr>
            </w:pPr>
            <w:r w:rsidRPr="00BC0E7E">
              <w:rPr>
                <w:szCs w:val="22"/>
              </w:rPr>
              <w:t>Note: P# = Placebo (Number of Events/Number at Risk); A# = HUMIRA (Number of</w:t>
            </w:r>
          </w:p>
          <w:p w14:paraId="68C9EED7" w14:textId="77777777" w:rsidR="00BC0E7E" w:rsidRPr="00BC0E7E" w:rsidRDefault="00944B8F" w:rsidP="00BC0E7E">
            <w:pPr>
              <w:keepNext/>
              <w:rPr>
                <w:szCs w:val="22"/>
              </w:rPr>
            </w:pPr>
            <w:r w:rsidRPr="00BC0E7E">
              <w:rPr>
                <w:szCs w:val="22"/>
              </w:rPr>
              <w:t>Events/Number at Risk).</w:t>
            </w:r>
          </w:p>
        </w:tc>
      </w:tr>
    </w:tbl>
    <w:p w14:paraId="1AAE05B0" w14:textId="77777777" w:rsidR="00BC0E7E" w:rsidRPr="00BC0E7E" w:rsidRDefault="00BC0E7E" w:rsidP="00BC0E7E">
      <w:pPr>
        <w:rPr>
          <w:szCs w:val="20"/>
        </w:rPr>
      </w:pPr>
    </w:p>
    <w:p w14:paraId="211CFD24" w14:textId="77777777" w:rsidR="00BC0E7E" w:rsidRPr="00BC0E7E" w:rsidRDefault="00944B8F" w:rsidP="00BC0E7E">
      <w:pPr>
        <w:rPr>
          <w:szCs w:val="20"/>
        </w:rPr>
      </w:pPr>
      <w:r w:rsidRPr="00BC0E7E">
        <w:rPr>
          <w:szCs w:val="20"/>
        </w:rPr>
        <w:t>In Study UV I statistically significant differences in favour of adalimumab versus placebo were observed for each component of treatment failure.  In Study UV II, statistically significant differences were observed for visual acuity only, but the other components were numerically in favour of adalimumab.</w:t>
      </w:r>
    </w:p>
    <w:p w14:paraId="70281D80" w14:textId="77777777" w:rsidR="0053724F" w:rsidRDefault="0053724F" w:rsidP="0053724F">
      <w:pPr>
        <w:pStyle w:val="EMEANormal"/>
        <w:rPr>
          <w:lang w:val="en-GB"/>
        </w:rPr>
      </w:pPr>
    </w:p>
    <w:p w14:paraId="4E00A605" w14:textId="77777777" w:rsidR="0053724F" w:rsidRDefault="00944B8F" w:rsidP="0053724F">
      <w:pPr>
        <w:pStyle w:val="EMEANormal"/>
      </w:pPr>
      <w:r w:rsidRPr="70D4D675">
        <w:rPr>
          <w:lang w:val="en-GB"/>
        </w:rPr>
        <w:t xml:space="preserve">Of the </w:t>
      </w:r>
      <w:r w:rsidR="00990E3D" w:rsidRPr="70D4D675">
        <w:rPr>
          <w:lang w:val="en-GB"/>
        </w:rPr>
        <w:t>424</w:t>
      </w:r>
      <w:r w:rsidRPr="70D4D675">
        <w:rPr>
          <w:lang w:val="en-GB"/>
        </w:rPr>
        <w:t xml:space="preserve"> subjects included in the uncontrolled long-term extension of Studies UV I and UV II, </w:t>
      </w:r>
      <w:r w:rsidR="00990E3D" w:rsidRPr="70D4D675">
        <w:rPr>
          <w:lang w:val="en-GB"/>
        </w:rPr>
        <w:t>60</w:t>
      </w:r>
      <w:r w:rsidRPr="70D4D675">
        <w:rPr>
          <w:lang w:val="en-GB"/>
        </w:rPr>
        <w:t xml:space="preserve"> subjects were regarded ineligible (e.g. </w:t>
      </w:r>
      <w:r w:rsidR="00990E3D" w:rsidRPr="70D4D675">
        <w:rPr>
          <w:lang w:val="en-GB"/>
        </w:rPr>
        <w:t xml:space="preserve">due to deviations or due to </w:t>
      </w:r>
      <w:r w:rsidRPr="70D4D675">
        <w:rPr>
          <w:lang w:val="en-GB"/>
        </w:rPr>
        <w:t xml:space="preserve">complications secondary to diabetic retinopathy, due to cataract surgery or vitrectomy) and were excluded from the primary analysis of efficacy. Of the </w:t>
      </w:r>
      <w:r w:rsidR="00990E3D" w:rsidRPr="70D4D675">
        <w:rPr>
          <w:lang w:val="en-GB"/>
        </w:rPr>
        <w:t>364</w:t>
      </w:r>
      <w:r w:rsidRPr="70D4D675">
        <w:rPr>
          <w:lang w:val="en-GB"/>
        </w:rPr>
        <w:t xml:space="preserve"> remaining patients, </w:t>
      </w:r>
      <w:r w:rsidR="00990E3D" w:rsidRPr="70D4D675">
        <w:rPr>
          <w:lang w:val="en-GB"/>
        </w:rPr>
        <w:t>269</w:t>
      </w:r>
      <w:r w:rsidRPr="70D4D675">
        <w:rPr>
          <w:lang w:val="en-GB"/>
        </w:rPr>
        <w:t xml:space="preserve"> evaluable patients</w:t>
      </w:r>
      <w:r w:rsidR="00990E3D" w:rsidRPr="70D4D675">
        <w:rPr>
          <w:lang w:val="en-GB"/>
        </w:rPr>
        <w:t xml:space="preserve"> (74%)</w:t>
      </w:r>
      <w:r w:rsidRPr="70D4D675">
        <w:rPr>
          <w:lang w:val="en-GB"/>
        </w:rPr>
        <w:t xml:space="preserve"> reached 78 weeks of open-label adalimumab treatment. Based on the observed data approach, </w:t>
      </w:r>
      <w:r w:rsidR="00990E3D" w:rsidRPr="70D4D675">
        <w:rPr>
          <w:lang w:val="en-GB"/>
        </w:rPr>
        <w:t>216</w:t>
      </w:r>
      <w:r w:rsidRPr="70D4D675">
        <w:rPr>
          <w:lang w:val="en-GB"/>
        </w:rPr>
        <w:t xml:space="preserve"> (</w:t>
      </w:r>
      <w:r w:rsidR="00990E3D" w:rsidRPr="70D4D675">
        <w:rPr>
          <w:lang w:val="en-GB"/>
        </w:rPr>
        <w:t>80.3%</w:t>
      </w:r>
      <w:r w:rsidRPr="70D4D675">
        <w:rPr>
          <w:lang w:val="en-GB"/>
        </w:rPr>
        <w:t>) were in quiescence (no active infla</w:t>
      </w:r>
      <w:r w:rsidR="00842398" w:rsidRPr="70D4D675">
        <w:rPr>
          <w:lang w:val="en-GB"/>
        </w:rPr>
        <w:t xml:space="preserve">mmatory lesions, AC cell grade </w:t>
      </w:r>
      <w:r w:rsidRPr="70D4D675">
        <w:rPr>
          <w:lang w:val="en-GB"/>
        </w:rPr>
        <w:t xml:space="preserve">≤ 0.5+, VH grade ≤ 0.5+) with a concomitant steroid dose ≤ 7.5 mg per day, and </w:t>
      </w:r>
      <w:r w:rsidR="00990E3D" w:rsidRPr="70D4D675">
        <w:rPr>
          <w:lang w:val="en-GB"/>
        </w:rPr>
        <w:t>178</w:t>
      </w:r>
      <w:r w:rsidRPr="70D4D675">
        <w:rPr>
          <w:lang w:val="en-GB"/>
        </w:rPr>
        <w:t xml:space="preserve"> (</w:t>
      </w:r>
      <w:r w:rsidR="00990E3D" w:rsidRPr="70D4D675">
        <w:rPr>
          <w:lang w:val="en-GB"/>
        </w:rPr>
        <w:t>66.2%</w:t>
      </w:r>
      <w:r w:rsidRPr="70D4D675">
        <w:rPr>
          <w:lang w:val="en-GB"/>
        </w:rPr>
        <w:t>) were in steroid-free quiescence. BCVA was either improved or maintained (&lt; 5 letters deterioration) in 88.</w:t>
      </w:r>
      <w:r w:rsidR="00990E3D" w:rsidRPr="70D4D675">
        <w:rPr>
          <w:lang w:val="en-GB"/>
        </w:rPr>
        <w:t>6</w:t>
      </w:r>
      <w:r w:rsidRPr="70D4D675">
        <w:rPr>
          <w:lang w:val="en-GB"/>
        </w:rPr>
        <w:t xml:space="preserve">% of the eyes at week 78. </w:t>
      </w:r>
      <w:r w:rsidR="00990E3D" w:rsidRPr="70D4D675">
        <w:rPr>
          <w:lang w:val="en-GB"/>
        </w:rPr>
        <w:t xml:space="preserve">Data beyond Week 78 were generally consistent </w:t>
      </w:r>
      <w:r w:rsidR="00990E3D" w:rsidRPr="70D4D675">
        <w:rPr>
          <w:lang w:val="en-GB"/>
        </w:rPr>
        <w:lastRenderedPageBreak/>
        <w:t>with these results but the number of enrolled subjects declined after this time. Overall</w:t>
      </w:r>
      <w:r w:rsidR="00367148" w:rsidRPr="70D4D675">
        <w:rPr>
          <w:lang w:val="en-GB"/>
        </w:rPr>
        <w:t>,</w:t>
      </w:r>
      <w:r w:rsidR="00990E3D" w:rsidRPr="70D4D675">
        <w:rPr>
          <w:lang w:val="en-GB"/>
        </w:rPr>
        <w:t xml:space="preserve"> a</w:t>
      </w:r>
      <w:r w:rsidRPr="70D4D675">
        <w:rPr>
          <w:lang w:val="en-GB"/>
        </w:rPr>
        <w:t xml:space="preserve">mong the patients who discontinued the study, </w:t>
      </w:r>
      <w:r w:rsidR="00990E3D" w:rsidRPr="70D4D675">
        <w:rPr>
          <w:lang w:val="en-GB"/>
        </w:rPr>
        <w:t>18</w:t>
      </w:r>
      <w:r w:rsidRPr="70D4D675">
        <w:rPr>
          <w:lang w:val="en-GB"/>
        </w:rPr>
        <w:t xml:space="preserve">% discontinued due to adverse events, and </w:t>
      </w:r>
      <w:r w:rsidR="00990E3D" w:rsidRPr="70D4D675">
        <w:rPr>
          <w:lang w:val="en-GB"/>
        </w:rPr>
        <w:t>8</w:t>
      </w:r>
      <w:r w:rsidRPr="70D4D675">
        <w:rPr>
          <w:lang w:val="en-GB"/>
        </w:rPr>
        <w:t>% due to insufficient response to adalimumab treatment.</w:t>
      </w:r>
    </w:p>
    <w:p w14:paraId="09EDE4A9" w14:textId="77777777" w:rsidR="00BC0E7E" w:rsidRPr="00BC0E7E" w:rsidRDefault="00BC0E7E" w:rsidP="00BC0E7E">
      <w:pPr>
        <w:rPr>
          <w:szCs w:val="20"/>
        </w:rPr>
      </w:pPr>
    </w:p>
    <w:p w14:paraId="0669EEE1" w14:textId="77777777" w:rsidR="00BC0E7E" w:rsidRPr="00BC0E7E" w:rsidRDefault="00944B8F" w:rsidP="00BC0E7E">
      <w:pPr>
        <w:keepNext/>
        <w:rPr>
          <w:i/>
          <w:szCs w:val="22"/>
          <w:u w:val="single"/>
        </w:rPr>
      </w:pPr>
      <w:r w:rsidRPr="00BC0E7E">
        <w:rPr>
          <w:i/>
          <w:szCs w:val="22"/>
          <w:u w:val="single"/>
        </w:rPr>
        <w:t>Quality of Life</w:t>
      </w:r>
    </w:p>
    <w:p w14:paraId="28FDEC28" w14:textId="77777777" w:rsidR="00BC0E7E" w:rsidRPr="00F619C1" w:rsidRDefault="00BC0E7E" w:rsidP="00BC0E7E">
      <w:pPr>
        <w:keepNext/>
        <w:rPr>
          <w:szCs w:val="22"/>
          <w:u w:val="single"/>
        </w:rPr>
      </w:pPr>
    </w:p>
    <w:p w14:paraId="305979C6" w14:textId="77777777" w:rsidR="00BC0E7E" w:rsidRPr="00BC0E7E" w:rsidRDefault="00944B8F" w:rsidP="00BC0E7E">
      <w:pPr>
        <w:keepNext/>
        <w:rPr>
          <w:szCs w:val="20"/>
        </w:rPr>
      </w:pPr>
      <w:r w:rsidRPr="00BC0E7E">
        <w:rPr>
          <w:szCs w:val="20"/>
        </w:rPr>
        <w:t>Patient reported outcomes regarding vision-related functioning were measured in both clinical studies, using the NEI VFQ-25. Humira was numerically favoured for the majority of subscores with statistically significant mean differences for general vision, ocular pain, near vision, mental health, and total score in Study UV I, and for general vision and mental health in Study UV II. Vision related effects were not numerically in favour of Humira for colour vision in Study UVI and for colour vision, peripheral vision and near vision in Study UV II.</w:t>
      </w:r>
    </w:p>
    <w:p w14:paraId="73A16017" w14:textId="77777777" w:rsidR="00BC0E7E" w:rsidRPr="00BC0E7E" w:rsidRDefault="00BC0E7E" w:rsidP="00BC0E7E">
      <w:pPr>
        <w:keepNext/>
        <w:rPr>
          <w:szCs w:val="20"/>
        </w:rPr>
      </w:pPr>
    </w:p>
    <w:p w14:paraId="10F05748" w14:textId="77777777" w:rsidR="00BC0E7E" w:rsidRPr="00BC0E7E" w:rsidRDefault="00944B8F" w:rsidP="00BC0E7E">
      <w:pPr>
        <w:keepNext/>
        <w:rPr>
          <w:szCs w:val="20"/>
          <w:u w:val="single"/>
        </w:rPr>
      </w:pPr>
      <w:r w:rsidRPr="00BC0E7E">
        <w:rPr>
          <w:szCs w:val="20"/>
          <w:u w:val="single"/>
        </w:rPr>
        <w:t>Immunogenicity</w:t>
      </w:r>
    </w:p>
    <w:p w14:paraId="6F51219F" w14:textId="77777777" w:rsidR="00BC0E7E" w:rsidRPr="00BC0E7E" w:rsidRDefault="00BC0E7E" w:rsidP="00BC0E7E">
      <w:pPr>
        <w:keepNext/>
        <w:rPr>
          <w:szCs w:val="20"/>
        </w:rPr>
      </w:pPr>
    </w:p>
    <w:p w14:paraId="1683C102" w14:textId="77777777" w:rsidR="00BC0E7E" w:rsidRPr="00BC0E7E" w:rsidRDefault="00944B8F" w:rsidP="00BC0E7E">
      <w:pPr>
        <w:keepNext/>
        <w:tabs>
          <w:tab w:val="left" w:pos="1294"/>
        </w:tabs>
        <w:autoSpaceDE w:val="0"/>
        <w:autoSpaceDN w:val="0"/>
        <w:adjustRightInd w:val="0"/>
      </w:pPr>
      <w:r w:rsidRPr="00BC0E7E">
        <w:t>Formation of anti-adalimumab antibodies is associated with increased clearance and reduced efficacy of adalimumab. There is no apparent correlation between the presence of anti-adalimumab antibodies and the occurrence of adverse events.</w:t>
      </w:r>
    </w:p>
    <w:p w14:paraId="57902119" w14:textId="77777777" w:rsidR="00BC0E7E" w:rsidRDefault="00BC0E7E" w:rsidP="00BC0E7E">
      <w:pPr>
        <w:tabs>
          <w:tab w:val="left" w:pos="1294"/>
        </w:tabs>
        <w:autoSpaceDE w:val="0"/>
        <w:autoSpaceDN w:val="0"/>
        <w:adjustRightInd w:val="0"/>
      </w:pPr>
    </w:p>
    <w:p w14:paraId="4F529ED6" w14:textId="77777777" w:rsidR="00EC53A7" w:rsidRPr="00BC0E7E" w:rsidRDefault="00944B8F" w:rsidP="00EC53A7">
      <w:pPr>
        <w:tabs>
          <w:tab w:val="left" w:pos="1294"/>
        </w:tabs>
        <w:autoSpaceDE w:val="0"/>
        <w:autoSpaceDN w:val="0"/>
        <w:adjustRightInd w:val="0"/>
      </w:pPr>
      <w:r w:rsidRPr="00BC0E7E">
        <w:t xml:space="preserve">Patients in rheumatoid arthritis studies I, II and III were tested at multiple time points for anti-adalimumab antibodies during the 6 to 12 month period. In the pivotal trials, anti-adalimumab antibodies were identified in 5.5% (58/1053) of patients treated with adalimumab, compared to 0.5% (2/370) on placebo.  In patients not given concomitant methotrexate, the incidence was 12.4%, compared to 0.6% when adalimumab was used as add-on to methotrexate.  </w:t>
      </w:r>
    </w:p>
    <w:p w14:paraId="2FA46105" w14:textId="77777777" w:rsidR="00EC53A7" w:rsidRPr="00BC0E7E" w:rsidRDefault="00EC53A7" w:rsidP="00BC0E7E">
      <w:pPr>
        <w:tabs>
          <w:tab w:val="left" w:pos="1294"/>
        </w:tabs>
        <w:autoSpaceDE w:val="0"/>
        <w:autoSpaceDN w:val="0"/>
        <w:adjustRightInd w:val="0"/>
      </w:pPr>
    </w:p>
    <w:p w14:paraId="502AB829" w14:textId="77777777" w:rsidR="00BC0E7E" w:rsidRPr="00BC0E7E" w:rsidRDefault="00944B8F" w:rsidP="00BC0E7E">
      <w:pPr>
        <w:tabs>
          <w:tab w:val="left" w:pos="1294"/>
        </w:tabs>
        <w:autoSpaceDE w:val="0"/>
        <w:autoSpaceDN w:val="0"/>
        <w:adjustRightInd w:val="0"/>
      </w:pPr>
      <w:r w:rsidRPr="00BC0E7E">
        <w:t>In patients with Crohn’s disease, anti-adalimumab antibodies were identified in 7/269 subjects (2.6%) and in 19/487 subjects (3.9%) with ulcerative colitis.</w:t>
      </w:r>
    </w:p>
    <w:p w14:paraId="11E7D158" w14:textId="77777777" w:rsidR="00BC0E7E" w:rsidRPr="00BC0E7E" w:rsidRDefault="00BC0E7E" w:rsidP="00BC0E7E">
      <w:pPr>
        <w:tabs>
          <w:tab w:val="left" w:pos="1294"/>
        </w:tabs>
        <w:autoSpaceDE w:val="0"/>
        <w:autoSpaceDN w:val="0"/>
        <w:adjustRightInd w:val="0"/>
      </w:pPr>
    </w:p>
    <w:p w14:paraId="0556C549" w14:textId="77777777" w:rsidR="00BC0E7E" w:rsidRPr="00BC0E7E" w:rsidRDefault="00944B8F" w:rsidP="00BC0E7E">
      <w:pPr>
        <w:tabs>
          <w:tab w:val="left" w:pos="1294"/>
        </w:tabs>
        <w:autoSpaceDE w:val="0"/>
        <w:autoSpaceDN w:val="0"/>
        <w:adjustRightInd w:val="0"/>
        <w:rPr>
          <w:bCs/>
          <w:iCs/>
          <w:szCs w:val="20"/>
        </w:rPr>
      </w:pPr>
      <w:r w:rsidRPr="00BC0E7E">
        <w:rPr>
          <w:bCs/>
          <w:iCs/>
          <w:szCs w:val="20"/>
        </w:rPr>
        <w:t>In adult patients with psoriasis, anti-adalimumab antibodies were identified in 77/920 subjects (8.4%) treated with adalimumab monotherapy.</w:t>
      </w:r>
    </w:p>
    <w:p w14:paraId="6CDB2A5A" w14:textId="77777777" w:rsidR="00BC0E7E" w:rsidRPr="00BC0E7E" w:rsidRDefault="00BC0E7E" w:rsidP="00BC0E7E">
      <w:pPr>
        <w:tabs>
          <w:tab w:val="left" w:pos="1294"/>
        </w:tabs>
        <w:autoSpaceDE w:val="0"/>
        <w:autoSpaceDN w:val="0"/>
        <w:adjustRightInd w:val="0"/>
        <w:rPr>
          <w:bCs/>
          <w:iCs/>
          <w:szCs w:val="20"/>
        </w:rPr>
      </w:pPr>
    </w:p>
    <w:p w14:paraId="2EF4BEAD" w14:textId="77777777" w:rsidR="00BC0E7E" w:rsidRPr="00BC0E7E" w:rsidRDefault="00944B8F" w:rsidP="00BC0E7E">
      <w:pPr>
        <w:tabs>
          <w:tab w:val="left" w:pos="1294"/>
        </w:tabs>
        <w:autoSpaceDE w:val="0"/>
        <w:autoSpaceDN w:val="0"/>
        <w:adjustRightInd w:val="0"/>
      </w:pPr>
      <w:r w:rsidRPr="00BC0E7E">
        <w:t>In adult plaque psoriasis patients on long term adalimumab monotherapy who participated in a withdrawal and retreatment study, the rate of antibodies to adalimumab after retreatment (11 of 482 subjects, 2.3%) was similar to the rate observed prior to withdrawal (11 of 590 subjects, 1.9%).</w:t>
      </w:r>
    </w:p>
    <w:p w14:paraId="7E43AF9C" w14:textId="77777777" w:rsidR="00BC0E7E" w:rsidRPr="00BC0E7E" w:rsidRDefault="00BC0E7E" w:rsidP="00BC0E7E">
      <w:pPr>
        <w:tabs>
          <w:tab w:val="left" w:pos="1294"/>
        </w:tabs>
        <w:autoSpaceDE w:val="0"/>
        <w:autoSpaceDN w:val="0"/>
        <w:adjustRightInd w:val="0"/>
      </w:pPr>
    </w:p>
    <w:p w14:paraId="05B4FFCB" w14:textId="77777777" w:rsidR="00BC0E7E" w:rsidRPr="00BC0E7E" w:rsidRDefault="00944B8F" w:rsidP="00BC0E7E">
      <w:pPr>
        <w:tabs>
          <w:tab w:val="left" w:pos="1294"/>
        </w:tabs>
        <w:autoSpaceDE w:val="0"/>
        <w:autoSpaceDN w:val="0"/>
        <w:adjustRightInd w:val="0"/>
        <w:rPr>
          <w:bCs/>
          <w:iCs/>
          <w:szCs w:val="20"/>
        </w:rPr>
      </w:pPr>
      <w:r w:rsidRPr="00BC0E7E">
        <w:rPr>
          <w:bCs/>
          <w:iCs/>
          <w:szCs w:val="20"/>
        </w:rPr>
        <w:t>In patients with moderate to severe hidradenitis suppurativa, anti-adalimumab antibodies were identified in 10/99 subjects (10.1%) treated with adalimumab.</w:t>
      </w:r>
    </w:p>
    <w:p w14:paraId="0BC5B5A3" w14:textId="77777777" w:rsidR="00BC0E7E" w:rsidRPr="00BC0E7E" w:rsidRDefault="00BC0E7E" w:rsidP="00BC0E7E">
      <w:pPr>
        <w:tabs>
          <w:tab w:val="left" w:pos="1294"/>
        </w:tabs>
        <w:autoSpaceDE w:val="0"/>
        <w:autoSpaceDN w:val="0"/>
        <w:adjustRightInd w:val="0"/>
      </w:pPr>
    </w:p>
    <w:p w14:paraId="3AD5EC1B" w14:textId="77777777" w:rsidR="00BC0E7E" w:rsidRPr="00BC0E7E" w:rsidRDefault="00944B8F" w:rsidP="00BC0E7E">
      <w:pPr>
        <w:tabs>
          <w:tab w:val="left" w:pos="1294"/>
        </w:tabs>
        <w:autoSpaceDE w:val="0"/>
        <w:autoSpaceDN w:val="0"/>
        <w:adjustRightInd w:val="0"/>
        <w:rPr>
          <w:bCs/>
          <w:iCs/>
          <w:szCs w:val="20"/>
        </w:rPr>
      </w:pPr>
      <w:r w:rsidRPr="00BC0E7E">
        <w:rPr>
          <w:bCs/>
          <w:iCs/>
          <w:szCs w:val="20"/>
        </w:rPr>
        <w:t xml:space="preserve">In patients with moderately to severely active paediatric Crohn’s disease, the rate of anti-adalimumab antibody development in patients receiving adalimumab was 3.3%. </w:t>
      </w:r>
    </w:p>
    <w:p w14:paraId="3BCFA2FF" w14:textId="77777777" w:rsidR="00BC0E7E" w:rsidRPr="00BC0E7E" w:rsidRDefault="00BC0E7E" w:rsidP="00BC0E7E">
      <w:pPr>
        <w:tabs>
          <w:tab w:val="left" w:pos="1294"/>
        </w:tabs>
        <w:autoSpaceDE w:val="0"/>
        <w:autoSpaceDN w:val="0"/>
        <w:adjustRightInd w:val="0"/>
      </w:pPr>
    </w:p>
    <w:p w14:paraId="27ACECA7" w14:textId="77777777" w:rsidR="00BC0E7E" w:rsidRPr="00BC0E7E" w:rsidRDefault="00944B8F" w:rsidP="00BC0E7E">
      <w:pPr>
        <w:tabs>
          <w:tab w:val="left" w:pos="1294"/>
        </w:tabs>
        <w:autoSpaceDE w:val="0"/>
        <w:autoSpaceDN w:val="0"/>
        <w:adjustRightInd w:val="0"/>
        <w:rPr>
          <w:bCs/>
          <w:iCs/>
          <w:szCs w:val="20"/>
        </w:rPr>
      </w:pPr>
      <w:r w:rsidRPr="00BC0E7E">
        <w:rPr>
          <w:bCs/>
          <w:iCs/>
          <w:szCs w:val="20"/>
        </w:rPr>
        <w:t xml:space="preserve">In </w:t>
      </w:r>
      <w:r w:rsidR="00071890">
        <w:rPr>
          <w:bCs/>
          <w:iCs/>
          <w:szCs w:val="20"/>
        </w:rPr>
        <w:t xml:space="preserve">adult </w:t>
      </w:r>
      <w:r w:rsidRPr="00BC0E7E">
        <w:rPr>
          <w:bCs/>
          <w:iCs/>
          <w:szCs w:val="20"/>
        </w:rPr>
        <w:t>patients with non-infectious uveitis, anti-adalimumab antibodies were identified in 4.8% (12/249) of patients treated with adalimumab.</w:t>
      </w:r>
    </w:p>
    <w:p w14:paraId="2FFF783E" w14:textId="77777777" w:rsidR="00BC0E7E" w:rsidRPr="00BC0E7E" w:rsidRDefault="00BC0E7E" w:rsidP="00BC0E7E">
      <w:pPr>
        <w:rPr>
          <w:szCs w:val="20"/>
        </w:rPr>
      </w:pPr>
    </w:p>
    <w:p w14:paraId="76B4B77D" w14:textId="77777777" w:rsidR="004A14C9" w:rsidRDefault="00944B8F" w:rsidP="004A14C9">
      <w:r>
        <w:t xml:space="preserve">In patients with moderately to severely active paediatric ulcerative colitis, the rate of anti-adalimumab antibody development in patients receiving adalimumab was </w:t>
      </w:r>
      <w:r w:rsidR="00686116">
        <w:t>3</w:t>
      </w:r>
      <w:r>
        <w:t>%.</w:t>
      </w:r>
    </w:p>
    <w:p w14:paraId="0DF035DE" w14:textId="77777777" w:rsidR="004A14C9" w:rsidRDefault="004A14C9" w:rsidP="00BC0E7E">
      <w:pPr>
        <w:rPr>
          <w:szCs w:val="20"/>
        </w:rPr>
      </w:pPr>
    </w:p>
    <w:p w14:paraId="534F3813" w14:textId="77777777" w:rsidR="00A42C85" w:rsidRDefault="00944B8F" w:rsidP="00A42C85">
      <w:pPr>
        <w:rPr>
          <w:szCs w:val="20"/>
        </w:rPr>
      </w:pPr>
      <w:r w:rsidRPr="00BC0E7E">
        <w:rPr>
          <w:szCs w:val="20"/>
        </w:rPr>
        <w:t>Because immunogenicity analyses are product-specific, comparison of antibody rates with those from other products is not appropriate.</w:t>
      </w:r>
    </w:p>
    <w:p w14:paraId="2127141C" w14:textId="77777777" w:rsidR="00A42C85" w:rsidRDefault="00A42C85" w:rsidP="00A42C85">
      <w:pPr>
        <w:rPr>
          <w:szCs w:val="20"/>
        </w:rPr>
      </w:pPr>
    </w:p>
    <w:p w14:paraId="733B3C87" w14:textId="77777777" w:rsidR="00BC0E7E" w:rsidRPr="00A42C85" w:rsidRDefault="00944B8F" w:rsidP="00A42C85">
      <w:pPr>
        <w:keepNext/>
        <w:rPr>
          <w:szCs w:val="20"/>
        </w:rPr>
      </w:pPr>
      <w:r w:rsidRPr="00BC0E7E">
        <w:rPr>
          <w:szCs w:val="20"/>
          <w:u w:val="single"/>
        </w:rPr>
        <w:lastRenderedPageBreak/>
        <w:t>Paediatric population</w:t>
      </w:r>
    </w:p>
    <w:p w14:paraId="428DF663" w14:textId="77777777" w:rsidR="00BC0E7E" w:rsidRPr="00BC0E7E" w:rsidRDefault="00BC0E7E" w:rsidP="00A42C85">
      <w:pPr>
        <w:keepNext/>
        <w:rPr>
          <w:szCs w:val="22"/>
          <w:lang w:eastAsia="en-GB"/>
        </w:rPr>
      </w:pPr>
    </w:p>
    <w:p w14:paraId="5B320ACE" w14:textId="77777777" w:rsidR="00D32B46" w:rsidRPr="00BC0E7E" w:rsidRDefault="00944B8F" w:rsidP="00A42C85">
      <w:pPr>
        <w:keepNext/>
        <w:rPr>
          <w:i/>
          <w:szCs w:val="20"/>
        </w:rPr>
      </w:pPr>
      <w:r w:rsidRPr="00BC0E7E">
        <w:rPr>
          <w:i/>
          <w:szCs w:val="20"/>
        </w:rPr>
        <w:t>Adolescent hidradenitis suppurativa</w:t>
      </w:r>
    </w:p>
    <w:p w14:paraId="29D56EAF" w14:textId="77777777" w:rsidR="00D32B46" w:rsidRPr="00BC0E7E" w:rsidRDefault="00D32B46" w:rsidP="00A42C85">
      <w:pPr>
        <w:keepNext/>
        <w:rPr>
          <w:i/>
          <w:szCs w:val="20"/>
        </w:rPr>
      </w:pPr>
    </w:p>
    <w:p w14:paraId="7C03EDFC" w14:textId="77777777" w:rsidR="00D32B46" w:rsidRPr="00BC0E7E" w:rsidRDefault="00944B8F" w:rsidP="00A42C85">
      <w:pPr>
        <w:keepNext/>
        <w:rPr>
          <w:rFonts w:cs="Calibri"/>
          <w:szCs w:val="20"/>
        </w:rPr>
      </w:pPr>
      <w:r w:rsidRPr="00BC0E7E">
        <w:rPr>
          <w:rFonts w:cs="Calibri"/>
          <w:szCs w:val="20"/>
        </w:rPr>
        <w:t>There are no clinical trials with Humira in adolescent patients with HS.  E</w:t>
      </w:r>
      <w:r w:rsidRPr="00BC0E7E">
        <w:rPr>
          <w:rFonts w:cs="Calibri"/>
          <w:iCs/>
          <w:szCs w:val="20"/>
        </w:rPr>
        <w:t xml:space="preserve">fficacy of adalimumab for the treatment of adolescent patients with HS is predicted based on the demonstrated efficacy and exposure-response relationship in adult HS patients and the likelihood that the disease course, pathophysiology, and drug effects are substantially similar to that of adults at the same exposure levels. Safety of the recommended adalimumab dose in the adolescent HS population is based on cross-indication safety profile of adalimumab in both adults and paediatric patients at similar or more frequent doses </w:t>
      </w:r>
      <w:r w:rsidRPr="00BC0E7E">
        <w:rPr>
          <w:rFonts w:cs="Calibri"/>
          <w:szCs w:val="20"/>
        </w:rPr>
        <w:t>(see section 5.2).</w:t>
      </w:r>
    </w:p>
    <w:p w14:paraId="3DCDE883" w14:textId="77777777" w:rsidR="00D32B46" w:rsidRPr="00BC0E7E" w:rsidRDefault="00D32B46" w:rsidP="00D32B46">
      <w:pPr>
        <w:rPr>
          <w:rFonts w:eastAsia="TimesNewRoman"/>
          <w:szCs w:val="22"/>
        </w:rPr>
      </w:pPr>
    </w:p>
    <w:p w14:paraId="1F5DCF1F" w14:textId="77777777" w:rsidR="00686116" w:rsidRPr="00BC0E7E" w:rsidRDefault="00944B8F" w:rsidP="00686116">
      <w:pPr>
        <w:keepNext/>
        <w:rPr>
          <w:i/>
          <w:szCs w:val="20"/>
        </w:rPr>
      </w:pPr>
      <w:r w:rsidRPr="00BC0E7E">
        <w:rPr>
          <w:i/>
          <w:szCs w:val="20"/>
        </w:rPr>
        <w:t xml:space="preserve">Paediatric Crohn’s disease </w:t>
      </w:r>
    </w:p>
    <w:p w14:paraId="6CDF9075" w14:textId="77777777" w:rsidR="00686116" w:rsidRPr="002B6EEF" w:rsidRDefault="00686116" w:rsidP="00686116">
      <w:pPr>
        <w:keepNext/>
        <w:jc w:val="both"/>
        <w:rPr>
          <w:szCs w:val="22"/>
        </w:rPr>
      </w:pPr>
    </w:p>
    <w:p w14:paraId="57B5BB2F" w14:textId="77777777" w:rsidR="00686116" w:rsidRPr="00BC0E7E" w:rsidRDefault="00944B8F" w:rsidP="00686116">
      <w:pPr>
        <w:keepNext/>
        <w:keepLines/>
        <w:rPr>
          <w:szCs w:val="22"/>
        </w:rPr>
      </w:pPr>
      <w:r w:rsidRPr="00BC0E7E">
        <w:rPr>
          <w:szCs w:val="22"/>
        </w:rPr>
        <w:t xml:space="preserve">Humira was assessed in a multicentre, randomised, double-blind clinical trial designed to evaluate the efficacy and safety of induction and maintenance treatment with doses dependent on body weight (&lt; 40 kg or ≥ 40 kg) in 192 paediatric subjects between the ages of 6 and 17 (inclusive) years, with moderate to severe Crohn´s disease (CD) defined as Paediatric Crohn's Disease Activity Index (PCDAI) score &gt; 30.  Subjects had to have failed conventional therapy (including a corticosteroid and/or an immunomodulator) for CD. Subjects may also have previously lost response or been intolerant to infliximab. </w:t>
      </w:r>
    </w:p>
    <w:p w14:paraId="71DADC74" w14:textId="77777777" w:rsidR="00686116" w:rsidRPr="00BC0E7E" w:rsidRDefault="00686116" w:rsidP="00686116">
      <w:pPr>
        <w:keepLines/>
      </w:pPr>
    </w:p>
    <w:p w14:paraId="74483AEF" w14:textId="77777777" w:rsidR="00686116" w:rsidRPr="00BC0E7E" w:rsidRDefault="00944B8F" w:rsidP="00686116">
      <w:pPr>
        <w:tabs>
          <w:tab w:val="left" w:pos="1294"/>
        </w:tabs>
        <w:autoSpaceDE w:val="0"/>
        <w:autoSpaceDN w:val="0"/>
        <w:adjustRightInd w:val="0"/>
      </w:pPr>
      <w:r w:rsidRPr="00BC0E7E">
        <w:t>All subjects received open-label induction therapy at a dose based on their Baseline body weight: 160 mg at Week 0 and 80 mg at Week 2 for subjects ≥ 40 kg, and 80 mg and 40 mg, respectively, for subjects &lt; 40 kg.</w:t>
      </w:r>
    </w:p>
    <w:p w14:paraId="1209D924" w14:textId="77777777" w:rsidR="00686116" w:rsidRPr="00BC0E7E" w:rsidRDefault="00686116" w:rsidP="00686116">
      <w:pPr>
        <w:tabs>
          <w:tab w:val="left" w:pos="1294"/>
        </w:tabs>
        <w:autoSpaceDE w:val="0"/>
        <w:autoSpaceDN w:val="0"/>
        <w:adjustRightInd w:val="0"/>
      </w:pPr>
    </w:p>
    <w:p w14:paraId="1EDBE65D" w14:textId="77777777" w:rsidR="00686116" w:rsidRPr="00BC0E7E" w:rsidRDefault="00944B8F" w:rsidP="00686116">
      <w:pPr>
        <w:rPr>
          <w:szCs w:val="20"/>
        </w:rPr>
      </w:pPr>
      <w:r w:rsidRPr="00BC0E7E">
        <w:rPr>
          <w:szCs w:val="20"/>
        </w:rPr>
        <w:t xml:space="preserve">At Week 4, subjects were randomised 1:1 based on their body weight at the time to either the Low Dose or Standard Dose maintenance regimens as shown in Table </w:t>
      </w:r>
      <w:r>
        <w:rPr>
          <w:szCs w:val="20"/>
        </w:rPr>
        <w:t>1</w:t>
      </w:r>
      <w:r w:rsidR="005F03EC">
        <w:rPr>
          <w:szCs w:val="20"/>
        </w:rPr>
        <w:t>8</w:t>
      </w:r>
      <w:r w:rsidRPr="00BC0E7E">
        <w:rPr>
          <w:szCs w:val="20"/>
        </w:rPr>
        <w:t>.</w:t>
      </w:r>
    </w:p>
    <w:p w14:paraId="75213EAC" w14:textId="77777777" w:rsidR="00686116" w:rsidRPr="00BC0E7E" w:rsidRDefault="00686116" w:rsidP="00686116">
      <w:pPr>
        <w:rPr>
          <w:szCs w:val="20"/>
        </w:rPr>
      </w:pPr>
    </w:p>
    <w:tbl>
      <w:tblPr>
        <w:tblW w:w="0" w:type="auto"/>
        <w:jc w:val="center"/>
        <w:tblLook w:val="01E0" w:firstRow="1" w:lastRow="1" w:firstColumn="1" w:lastColumn="1" w:noHBand="0" w:noVBand="0"/>
      </w:tblPr>
      <w:tblGrid>
        <w:gridCol w:w="988"/>
        <w:gridCol w:w="1210"/>
        <w:gridCol w:w="1210"/>
      </w:tblGrid>
      <w:tr w:rsidR="00C6578C" w14:paraId="1AE77E14" w14:textId="77777777" w:rsidTr="00271199">
        <w:trPr>
          <w:trHeight w:val="263"/>
          <w:jc w:val="center"/>
        </w:trPr>
        <w:tc>
          <w:tcPr>
            <w:tcW w:w="3408" w:type="dxa"/>
            <w:gridSpan w:val="3"/>
          </w:tcPr>
          <w:p w14:paraId="176E31DD" w14:textId="77777777" w:rsidR="00686116" w:rsidRPr="00BC0E7E" w:rsidRDefault="00944B8F" w:rsidP="00271199">
            <w:pPr>
              <w:jc w:val="center"/>
              <w:rPr>
                <w:b/>
              </w:rPr>
            </w:pPr>
            <w:r w:rsidRPr="00BC0E7E">
              <w:rPr>
                <w:b/>
              </w:rPr>
              <w:t xml:space="preserve">Table </w:t>
            </w:r>
            <w:r>
              <w:rPr>
                <w:b/>
              </w:rPr>
              <w:t>1</w:t>
            </w:r>
            <w:r w:rsidR="005F03EC">
              <w:rPr>
                <w:b/>
              </w:rPr>
              <w:t>8</w:t>
            </w:r>
          </w:p>
          <w:p w14:paraId="797BBBFB" w14:textId="77777777" w:rsidR="00686116" w:rsidRPr="00BC0E7E" w:rsidRDefault="00944B8F" w:rsidP="00271199">
            <w:pPr>
              <w:jc w:val="center"/>
            </w:pPr>
            <w:r w:rsidRPr="00BC0E7E">
              <w:rPr>
                <w:b/>
              </w:rPr>
              <w:t>Maintenance regimen</w:t>
            </w:r>
          </w:p>
        </w:tc>
      </w:tr>
      <w:tr w:rsidR="00C6578C" w14:paraId="54B9110B" w14:textId="77777777" w:rsidTr="00271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8" w:type="dxa"/>
          </w:tcPr>
          <w:p w14:paraId="3DDC7C57" w14:textId="77777777" w:rsidR="00686116" w:rsidRPr="00BC0E7E" w:rsidRDefault="00944B8F" w:rsidP="00271199">
            <w:pPr>
              <w:rPr>
                <w:b/>
              </w:rPr>
            </w:pPr>
            <w:r w:rsidRPr="00BC0E7E">
              <w:rPr>
                <w:b/>
              </w:rPr>
              <w:t>Patient Weight</w:t>
            </w:r>
          </w:p>
        </w:tc>
        <w:tc>
          <w:tcPr>
            <w:tcW w:w="1210" w:type="dxa"/>
          </w:tcPr>
          <w:p w14:paraId="4E9ADC7D" w14:textId="77777777" w:rsidR="00686116" w:rsidRPr="00BC0E7E" w:rsidRDefault="00944B8F" w:rsidP="00271199">
            <w:pPr>
              <w:rPr>
                <w:b/>
              </w:rPr>
            </w:pPr>
            <w:r w:rsidRPr="00BC0E7E">
              <w:rPr>
                <w:b/>
              </w:rPr>
              <w:t>Low dose</w:t>
            </w:r>
          </w:p>
        </w:tc>
        <w:tc>
          <w:tcPr>
            <w:tcW w:w="1210" w:type="dxa"/>
          </w:tcPr>
          <w:p w14:paraId="26097ACF" w14:textId="77777777" w:rsidR="00686116" w:rsidRPr="00BC0E7E" w:rsidRDefault="00944B8F" w:rsidP="00271199">
            <w:pPr>
              <w:rPr>
                <w:b/>
              </w:rPr>
            </w:pPr>
            <w:r w:rsidRPr="00BC0E7E">
              <w:rPr>
                <w:b/>
              </w:rPr>
              <w:t>Standard dose</w:t>
            </w:r>
          </w:p>
        </w:tc>
      </w:tr>
      <w:tr w:rsidR="00C6578C" w14:paraId="56392360" w14:textId="77777777" w:rsidTr="00271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8" w:type="dxa"/>
          </w:tcPr>
          <w:p w14:paraId="5ACFB587" w14:textId="77777777" w:rsidR="00686116" w:rsidRPr="00BC0E7E" w:rsidRDefault="00944B8F" w:rsidP="00271199">
            <w:r w:rsidRPr="00BC0E7E">
              <w:t>&lt; 40 kg</w:t>
            </w:r>
          </w:p>
        </w:tc>
        <w:tc>
          <w:tcPr>
            <w:tcW w:w="1210" w:type="dxa"/>
          </w:tcPr>
          <w:p w14:paraId="6D73D069" w14:textId="77777777" w:rsidR="00686116" w:rsidRPr="00BC0E7E" w:rsidRDefault="00944B8F" w:rsidP="00271199">
            <w:r w:rsidRPr="00BC0E7E">
              <w:t>10 mg eow</w:t>
            </w:r>
          </w:p>
        </w:tc>
        <w:tc>
          <w:tcPr>
            <w:tcW w:w="1210" w:type="dxa"/>
          </w:tcPr>
          <w:p w14:paraId="0F0F3A38" w14:textId="77777777" w:rsidR="00686116" w:rsidRPr="00BC0E7E" w:rsidRDefault="00944B8F" w:rsidP="00271199">
            <w:r w:rsidRPr="00BC0E7E">
              <w:t>20 mg eow</w:t>
            </w:r>
          </w:p>
        </w:tc>
      </w:tr>
      <w:tr w:rsidR="00C6578C" w14:paraId="1E0A9790" w14:textId="77777777" w:rsidTr="00271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8" w:type="dxa"/>
          </w:tcPr>
          <w:p w14:paraId="690EFA15" w14:textId="77777777" w:rsidR="00686116" w:rsidRPr="00BC0E7E" w:rsidRDefault="00944B8F" w:rsidP="00271199">
            <w:r w:rsidRPr="00BC0E7E">
              <w:t>≥ 40 kg</w:t>
            </w:r>
          </w:p>
        </w:tc>
        <w:tc>
          <w:tcPr>
            <w:tcW w:w="1210" w:type="dxa"/>
          </w:tcPr>
          <w:p w14:paraId="7E9CDA28" w14:textId="77777777" w:rsidR="00686116" w:rsidRPr="00BC0E7E" w:rsidRDefault="00944B8F" w:rsidP="00271199">
            <w:r w:rsidRPr="00BC0E7E">
              <w:t>20 mg eow</w:t>
            </w:r>
          </w:p>
        </w:tc>
        <w:tc>
          <w:tcPr>
            <w:tcW w:w="1210" w:type="dxa"/>
          </w:tcPr>
          <w:p w14:paraId="626A2B43" w14:textId="77777777" w:rsidR="00686116" w:rsidRPr="00BC0E7E" w:rsidRDefault="00944B8F" w:rsidP="00271199">
            <w:r w:rsidRPr="00BC0E7E">
              <w:t>40 mg eow</w:t>
            </w:r>
          </w:p>
        </w:tc>
      </w:tr>
    </w:tbl>
    <w:p w14:paraId="17652A35" w14:textId="77777777" w:rsidR="00686116" w:rsidRPr="00BC0E7E" w:rsidRDefault="00686116" w:rsidP="00686116"/>
    <w:p w14:paraId="1F110441" w14:textId="77777777" w:rsidR="00686116" w:rsidRPr="00BC0E7E" w:rsidRDefault="00944B8F" w:rsidP="00686116">
      <w:pPr>
        <w:rPr>
          <w:i/>
          <w:u w:val="single"/>
        </w:rPr>
      </w:pPr>
      <w:r w:rsidRPr="00BC0E7E">
        <w:rPr>
          <w:i/>
          <w:u w:val="single"/>
        </w:rPr>
        <w:t>Efficacy results</w:t>
      </w:r>
    </w:p>
    <w:p w14:paraId="6ADCF2A6" w14:textId="77777777" w:rsidR="00686116" w:rsidRPr="00BC0E7E" w:rsidRDefault="00686116" w:rsidP="00686116"/>
    <w:p w14:paraId="3955BD9F" w14:textId="77777777" w:rsidR="00686116" w:rsidRPr="00BC0E7E" w:rsidRDefault="00944B8F" w:rsidP="00686116">
      <w:pPr>
        <w:tabs>
          <w:tab w:val="clear" w:pos="562"/>
        </w:tabs>
        <w:suppressAutoHyphens w:val="0"/>
        <w:autoSpaceDE w:val="0"/>
        <w:autoSpaceDN w:val="0"/>
        <w:adjustRightInd w:val="0"/>
      </w:pPr>
      <w:r w:rsidRPr="00BC0E7E">
        <w:t xml:space="preserve">The primary endpoint of the study was clinical remission at Week 26, defined as PCDAI score </w:t>
      </w:r>
      <w:r w:rsidRPr="00BC0E7E">
        <w:rPr>
          <w:rFonts w:ascii="Symbol" w:eastAsia="Symbol" w:hAnsi="Symbol" w:cs="Symbol"/>
        </w:rPr>
        <w:sym w:font="Symbol" w:char="F0A3"/>
      </w:r>
      <w:r w:rsidRPr="00BC0E7E">
        <w:t> 10.</w:t>
      </w:r>
    </w:p>
    <w:p w14:paraId="29584538" w14:textId="77777777" w:rsidR="00686116" w:rsidRPr="00BC0E7E" w:rsidRDefault="00686116" w:rsidP="00686116"/>
    <w:p w14:paraId="3A64419F" w14:textId="77777777" w:rsidR="00686116" w:rsidRPr="00BC0E7E" w:rsidRDefault="00944B8F" w:rsidP="00686116">
      <w:pPr>
        <w:tabs>
          <w:tab w:val="clear" w:pos="562"/>
        </w:tabs>
        <w:suppressAutoHyphens w:val="0"/>
        <w:autoSpaceDE w:val="0"/>
        <w:autoSpaceDN w:val="0"/>
        <w:adjustRightInd w:val="0"/>
      </w:pPr>
      <w:r w:rsidRPr="00BC0E7E">
        <w:t xml:space="preserve">Clinical remission and clinical response (defined as reduction in PCDAI score of at least 15 points from Baseline) rates are presented in Table </w:t>
      </w:r>
      <w:r>
        <w:t>1</w:t>
      </w:r>
      <w:r w:rsidR="005F03EC">
        <w:t>9</w:t>
      </w:r>
      <w:r w:rsidRPr="00BC0E7E">
        <w:t xml:space="preserve">. Rates of discontinuation of corticosteroids or immunomodulators are presented in Table </w:t>
      </w:r>
      <w:r w:rsidR="005F03EC">
        <w:t>20</w:t>
      </w:r>
      <w:r w:rsidRPr="00BC0E7E">
        <w:t>.</w:t>
      </w:r>
    </w:p>
    <w:p w14:paraId="33364728" w14:textId="77777777" w:rsidR="00686116" w:rsidRPr="00BC0E7E" w:rsidRDefault="00686116" w:rsidP="00686116">
      <w:pPr>
        <w:tabs>
          <w:tab w:val="clear" w:pos="562"/>
        </w:tabs>
        <w:suppressAutoHyphens w:val="0"/>
        <w:autoSpaceDE w:val="0"/>
        <w:autoSpaceDN w:val="0"/>
        <w:adjustRightInd w:val="0"/>
        <w:rPr>
          <w:rFonts w:ascii="Tms Rmn" w:hAnsi="Tms Rmn"/>
          <w:sz w:val="24"/>
        </w:rPr>
      </w:pPr>
    </w:p>
    <w:tbl>
      <w:tblPr>
        <w:tblW w:w="0" w:type="auto"/>
        <w:jc w:val="center"/>
        <w:tblCellMar>
          <w:left w:w="0" w:type="dxa"/>
          <w:right w:w="0" w:type="dxa"/>
        </w:tblCellMar>
        <w:tblLook w:val="00A0" w:firstRow="1" w:lastRow="0" w:firstColumn="1" w:lastColumn="0" w:noHBand="0" w:noVBand="0"/>
      </w:tblPr>
      <w:tblGrid>
        <w:gridCol w:w="2321"/>
        <w:gridCol w:w="1614"/>
        <w:gridCol w:w="1591"/>
        <w:gridCol w:w="1147"/>
      </w:tblGrid>
      <w:tr w:rsidR="00C6578C" w14:paraId="2704799A" w14:textId="77777777" w:rsidTr="00271199">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44548D91" w14:textId="77777777" w:rsidR="00686116" w:rsidRPr="00BC0E7E" w:rsidRDefault="00944B8F" w:rsidP="00271199">
            <w:pPr>
              <w:keepNext/>
              <w:tabs>
                <w:tab w:val="clear" w:pos="562"/>
                <w:tab w:val="left" w:pos="-878"/>
              </w:tabs>
              <w:suppressAutoHyphens w:val="0"/>
              <w:autoSpaceDE w:val="0"/>
              <w:autoSpaceDN w:val="0"/>
              <w:adjustRightInd w:val="0"/>
              <w:ind w:left="15"/>
              <w:jc w:val="center"/>
              <w:rPr>
                <w:b/>
                <w:bCs/>
              </w:rPr>
            </w:pPr>
            <w:r w:rsidRPr="00BC0E7E">
              <w:rPr>
                <w:b/>
                <w:bCs/>
                <w:szCs w:val="22"/>
              </w:rPr>
              <w:lastRenderedPageBreak/>
              <w:t xml:space="preserve">Table </w:t>
            </w:r>
            <w:r>
              <w:rPr>
                <w:b/>
                <w:bCs/>
                <w:szCs w:val="22"/>
              </w:rPr>
              <w:t>1</w:t>
            </w:r>
            <w:r w:rsidR="005F03EC">
              <w:rPr>
                <w:b/>
                <w:bCs/>
                <w:szCs w:val="22"/>
              </w:rPr>
              <w:t>9</w:t>
            </w:r>
          </w:p>
          <w:p w14:paraId="7AC7CAD0" w14:textId="77777777" w:rsidR="00686116" w:rsidRPr="00BC0E7E" w:rsidRDefault="00944B8F" w:rsidP="00271199">
            <w:pPr>
              <w:keepNext/>
              <w:tabs>
                <w:tab w:val="clear" w:pos="562"/>
                <w:tab w:val="left" w:pos="-878"/>
              </w:tabs>
              <w:suppressAutoHyphens w:val="0"/>
              <w:autoSpaceDE w:val="0"/>
              <w:autoSpaceDN w:val="0"/>
              <w:adjustRightInd w:val="0"/>
              <w:ind w:left="15"/>
              <w:jc w:val="center"/>
              <w:rPr>
                <w:b/>
                <w:bCs/>
              </w:rPr>
            </w:pPr>
            <w:r w:rsidRPr="00BC0E7E">
              <w:rPr>
                <w:b/>
                <w:bCs/>
                <w:szCs w:val="22"/>
              </w:rPr>
              <w:t>Paediatric CD Study</w:t>
            </w:r>
          </w:p>
          <w:p w14:paraId="5DBC9747" w14:textId="77777777" w:rsidR="00686116" w:rsidRPr="00BC0E7E" w:rsidRDefault="00944B8F" w:rsidP="00271199">
            <w:pPr>
              <w:keepNext/>
              <w:tabs>
                <w:tab w:val="clear" w:pos="562"/>
                <w:tab w:val="left" w:pos="-878"/>
              </w:tabs>
              <w:suppressAutoHyphens w:val="0"/>
              <w:autoSpaceDE w:val="0"/>
              <w:autoSpaceDN w:val="0"/>
              <w:adjustRightInd w:val="0"/>
              <w:ind w:left="15"/>
              <w:jc w:val="center"/>
              <w:rPr>
                <w:b/>
                <w:bCs/>
              </w:rPr>
            </w:pPr>
            <w:r w:rsidRPr="00BC0E7E">
              <w:rPr>
                <w:b/>
                <w:bCs/>
                <w:szCs w:val="22"/>
              </w:rPr>
              <w:t>PCDAI Clinical Remission and Response</w:t>
            </w:r>
          </w:p>
        </w:tc>
      </w:tr>
      <w:tr w:rsidR="00C6578C" w14:paraId="2B971E76" w14:textId="77777777" w:rsidTr="00271199">
        <w:trPr>
          <w:jc w:val="center"/>
        </w:trPr>
        <w:tc>
          <w:tcPr>
            <w:tcW w:w="2321" w:type="dxa"/>
            <w:tcBorders>
              <w:top w:val="single" w:sz="6" w:space="0" w:color="000000"/>
              <w:left w:val="single" w:sz="6" w:space="0" w:color="000000"/>
              <w:bottom w:val="single" w:sz="6" w:space="0" w:color="000000"/>
              <w:right w:val="single" w:sz="6" w:space="0" w:color="000000"/>
            </w:tcBorders>
          </w:tcPr>
          <w:p w14:paraId="71B9D79E" w14:textId="77777777" w:rsidR="00686116" w:rsidRPr="00BC0E7E" w:rsidRDefault="00686116" w:rsidP="00271199">
            <w:pPr>
              <w:keepNext/>
              <w:keepLines/>
              <w:tabs>
                <w:tab w:val="clear" w:pos="562"/>
                <w:tab w:val="left" w:pos="-1080"/>
              </w:tabs>
              <w:suppressAutoHyphens w:val="0"/>
              <w:autoSpaceDE w:val="0"/>
              <w:autoSpaceDN w:val="0"/>
              <w:adjustRightInd w:val="0"/>
              <w:ind w:left="15"/>
              <w:jc w:val="center"/>
              <w:rPr>
                <w:b/>
                <w:bCs/>
              </w:rPr>
            </w:pPr>
          </w:p>
        </w:tc>
        <w:tc>
          <w:tcPr>
            <w:tcW w:w="1614" w:type="dxa"/>
            <w:tcBorders>
              <w:top w:val="single" w:sz="6" w:space="0" w:color="000000"/>
              <w:left w:val="single" w:sz="6" w:space="0" w:color="000000"/>
              <w:bottom w:val="single" w:sz="6" w:space="0" w:color="000000"/>
              <w:right w:val="single" w:sz="6" w:space="0" w:color="000000"/>
            </w:tcBorders>
          </w:tcPr>
          <w:p w14:paraId="0191BDF7"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rPr>
                <w:b/>
                <w:bCs/>
                <w:lang w:val="de-DE"/>
              </w:rPr>
            </w:pPr>
            <w:r w:rsidRPr="00BC0E7E">
              <w:rPr>
                <w:b/>
                <w:bCs/>
                <w:szCs w:val="22"/>
                <w:lang w:val="de-DE"/>
              </w:rPr>
              <w:t>Standard Dose</w:t>
            </w:r>
          </w:p>
          <w:p w14:paraId="4F31600E"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rPr>
                <w:b/>
                <w:bCs/>
                <w:lang w:val="de-DE"/>
              </w:rPr>
            </w:pPr>
            <w:r w:rsidRPr="00BC0E7E">
              <w:rPr>
                <w:b/>
                <w:bCs/>
                <w:szCs w:val="22"/>
                <w:lang w:val="de-DE"/>
              </w:rPr>
              <w:t xml:space="preserve">40/20 mg eow </w:t>
            </w:r>
          </w:p>
          <w:p w14:paraId="343EE330"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rPr>
                <w:b/>
                <w:bCs/>
                <w:lang w:val="de-DE"/>
              </w:rPr>
            </w:pPr>
            <w:r w:rsidRPr="00BC0E7E">
              <w:rPr>
                <w:b/>
                <w:bCs/>
                <w:szCs w:val="22"/>
                <w:lang w:val="de-DE"/>
              </w:rPr>
              <w:t>N = 93</w:t>
            </w:r>
          </w:p>
        </w:tc>
        <w:tc>
          <w:tcPr>
            <w:tcW w:w="1591" w:type="dxa"/>
            <w:tcBorders>
              <w:top w:val="single" w:sz="6" w:space="0" w:color="000000"/>
              <w:left w:val="single" w:sz="6" w:space="0" w:color="000000"/>
              <w:bottom w:val="single" w:sz="6" w:space="0" w:color="000000"/>
              <w:right w:val="single" w:sz="6" w:space="0" w:color="000000"/>
            </w:tcBorders>
          </w:tcPr>
          <w:p w14:paraId="6B9E6F2B"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rPr>
                <w:b/>
                <w:bCs/>
              </w:rPr>
            </w:pPr>
            <w:r w:rsidRPr="00BC0E7E">
              <w:rPr>
                <w:b/>
                <w:bCs/>
                <w:szCs w:val="22"/>
              </w:rPr>
              <w:t>Low Dose</w:t>
            </w:r>
          </w:p>
          <w:p w14:paraId="381BB072"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rPr>
                <w:b/>
                <w:bCs/>
              </w:rPr>
            </w:pPr>
            <w:r w:rsidRPr="00BC0E7E">
              <w:rPr>
                <w:b/>
                <w:bCs/>
                <w:szCs w:val="22"/>
              </w:rPr>
              <w:t xml:space="preserve">20/10 mg eow </w:t>
            </w:r>
          </w:p>
          <w:p w14:paraId="194CC794"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rPr>
                <w:b/>
                <w:bCs/>
              </w:rPr>
            </w:pPr>
            <w:r w:rsidRPr="00BC0E7E">
              <w:rPr>
                <w:b/>
                <w:bCs/>
                <w:szCs w:val="22"/>
              </w:rPr>
              <w:t>N = 95</w:t>
            </w:r>
          </w:p>
        </w:tc>
        <w:tc>
          <w:tcPr>
            <w:tcW w:w="1147" w:type="dxa"/>
            <w:tcBorders>
              <w:top w:val="single" w:sz="6" w:space="0" w:color="000000"/>
              <w:left w:val="single" w:sz="6" w:space="0" w:color="000000"/>
              <w:bottom w:val="single" w:sz="6" w:space="0" w:color="000000"/>
              <w:right w:val="single" w:sz="6" w:space="0" w:color="000000"/>
            </w:tcBorders>
          </w:tcPr>
          <w:p w14:paraId="31913B27"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b/>
                <w:bCs/>
                <w:szCs w:val="22"/>
              </w:rPr>
              <w:t>P value</w:t>
            </w:r>
            <w:r w:rsidRPr="00BC0E7E">
              <w:rPr>
                <w:szCs w:val="22"/>
              </w:rPr>
              <w:t>*</w:t>
            </w:r>
          </w:p>
        </w:tc>
      </w:tr>
      <w:tr w:rsidR="00C6578C" w14:paraId="084A190A" w14:textId="77777777" w:rsidTr="00271199">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5F785FCB" w14:textId="77777777" w:rsidR="00686116" w:rsidRPr="00BC0E7E" w:rsidRDefault="00944B8F" w:rsidP="00271199">
            <w:pPr>
              <w:keepNext/>
              <w:keepLines/>
              <w:tabs>
                <w:tab w:val="clear" w:pos="562"/>
                <w:tab w:val="left" w:pos="-1080"/>
              </w:tabs>
              <w:suppressAutoHyphens w:val="0"/>
              <w:autoSpaceDE w:val="0"/>
              <w:autoSpaceDN w:val="0"/>
              <w:adjustRightInd w:val="0"/>
              <w:ind w:left="15"/>
              <w:rPr>
                <w:b/>
                <w:bCs/>
              </w:rPr>
            </w:pPr>
            <w:r w:rsidRPr="00BC0E7E">
              <w:rPr>
                <w:b/>
                <w:bCs/>
                <w:szCs w:val="22"/>
              </w:rPr>
              <w:t>Week 26</w:t>
            </w:r>
          </w:p>
        </w:tc>
        <w:tc>
          <w:tcPr>
            <w:tcW w:w="1614" w:type="dxa"/>
            <w:tcBorders>
              <w:top w:val="single" w:sz="6" w:space="0" w:color="000000"/>
              <w:left w:val="single" w:sz="6" w:space="0" w:color="000000"/>
              <w:bottom w:val="single" w:sz="6" w:space="0" w:color="000000"/>
              <w:right w:val="single" w:sz="6" w:space="0" w:color="000000"/>
            </w:tcBorders>
            <w:vAlign w:val="bottom"/>
          </w:tcPr>
          <w:p w14:paraId="27FFE12A" w14:textId="77777777" w:rsidR="00686116" w:rsidRPr="00BC0E7E" w:rsidRDefault="00686116" w:rsidP="00271199">
            <w:pPr>
              <w:keepNext/>
              <w:keepLines/>
              <w:tabs>
                <w:tab w:val="clear" w:pos="562"/>
                <w:tab w:val="left" w:pos="-1080"/>
              </w:tabs>
              <w:suppressAutoHyphens w:val="0"/>
              <w:autoSpaceDE w:val="0"/>
              <w:autoSpaceDN w:val="0"/>
              <w:adjustRightInd w:val="0"/>
              <w:ind w:left="15"/>
              <w:jc w:val="center"/>
              <w:rPr>
                <w:b/>
                <w:bCs/>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1E6DC9BF" w14:textId="77777777" w:rsidR="00686116" w:rsidRPr="00BC0E7E" w:rsidRDefault="00686116" w:rsidP="00271199">
            <w:pPr>
              <w:keepNext/>
              <w:keepLines/>
              <w:tabs>
                <w:tab w:val="clear" w:pos="562"/>
                <w:tab w:val="left" w:pos="-1080"/>
              </w:tabs>
              <w:suppressAutoHyphens w:val="0"/>
              <w:autoSpaceDE w:val="0"/>
              <w:autoSpaceDN w:val="0"/>
              <w:adjustRightInd w:val="0"/>
              <w:ind w:left="15"/>
              <w:jc w:val="center"/>
              <w:rPr>
                <w:b/>
                <w:bCs/>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74E174C8" w14:textId="77777777" w:rsidR="00686116" w:rsidRPr="00BC0E7E" w:rsidRDefault="00686116" w:rsidP="00271199">
            <w:pPr>
              <w:keepNext/>
              <w:tabs>
                <w:tab w:val="clear" w:pos="562"/>
              </w:tabs>
              <w:suppressAutoHyphens w:val="0"/>
              <w:autoSpaceDE w:val="0"/>
              <w:autoSpaceDN w:val="0"/>
              <w:adjustRightInd w:val="0"/>
              <w:ind w:left="15"/>
              <w:rPr>
                <w:b/>
                <w:bCs/>
              </w:rPr>
            </w:pPr>
          </w:p>
        </w:tc>
      </w:tr>
      <w:tr w:rsidR="00C6578C" w14:paraId="0455C853" w14:textId="77777777" w:rsidTr="00271199">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1DAF5C31" w14:textId="77777777" w:rsidR="00686116" w:rsidRPr="00BC0E7E" w:rsidRDefault="00944B8F" w:rsidP="00271199">
            <w:pPr>
              <w:keepNext/>
              <w:keepLines/>
              <w:tabs>
                <w:tab w:val="clear" w:pos="562"/>
                <w:tab w:val="left" w:pos="-1080"/>
              </w:tabs>
              <w:suppressAutoHyphens w:val="0"/>
              <w:autoSpaceDE w:val="0"/>
              <w:autoSpaceDN w:val="0"/>
              <w:adjustRightInd w:val="0"/>
              <w:ind w:left="15"/>
            </w:pPr>
            <w:r w:rsidRPr="00BC0E7E">
              <w:rPr>
                <w:szCs w:val="22"/>
              </w:rPr>
              <w:t xml:space="preserve">   Clinical remission</w:t>
            </w:r>
          </w:p>
        </w:tc>
        <w:tc>
          <w:tcPr>
            <w:tcW w:w="1614" w:type="dxa"/>
            <w:tcBorders>
              <w:top w:val="single" w:sz="6" w:space="0" w:color="000000"/>
              <w:left w:val="single" w:sz="6" w:space="0" w:color="000000"/>
              <w:bottom w:val="single" w:sz="6" w:space="0" w:color="000000"/>
              <w:right w:val="single" w:sz="6" w:space="0" w:color="000000"/>
            </w:tcBorders>
            <w:vAlign w:val="bottom"/>
          </w:tcPr>
          <w:p w14:paraId="6B70892F"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szCs w:val="22"/>
              </w:rPr>
              <w:t>38.7%</w:t>
            </w:r>
          </w:p>
        </w:tc>
        <w:tc>
          <w:tcPr>
            <w:tcW w:w="1591" w:type="dxa"/>
            <w:tcBorders>
              <w:top w:val="single" w:sz="6" w:space="0" w:color="000000"/>
              <w:left w:val="single" w:sz="6" w:space="0" w:color="000000"/>
              <w:bottom w:val="single" w:sz="6" w:space="0" w:color="000000"/>
              <w:right w:val="single" w:sz="6" w:space="0" w:color="000000"/>
            </w:tcBorders>
            <w:vAlign w:val="bottom"/>
          </w:tcPr>
          <w:p w14:paraId="574BB18E"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szCs w:val="22"/>
              </w:rPr>
              <w:t>28.4%</w:t>
            </w:r>
          </w:p>
        </w:tc>
        <w:tc>
          <w:tcPr>
            <w:tcW w:w="1147" w:type="dxa"/>
            <w:tcBorders>
              <w:top w:val="single" w:sz="6" w:space="0" w:color="000000"/>
              <w:left w:val="single" w:sz="6" w:space="0" w:color="000000"/>
              <w:bottom w:val="single" w:sz="6" w:space="0" w:color="000000"/>
              <w:right w:val="single" w:sz="6" w:space="0" w:color="000000"/>
            </w:tcBorders>
            <w:vAlign w:val="bottom"/>
          </w:tcPr>
          <w:p w14:paraId="0DE77A91"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szCs w:val="22"/>
              </w:rPr>
              <w:t>0.075</w:t>
            </w:r>
          </w:p>
        </w:tc>
      </w:tr>
      <w:tr w:rsidR="00C6578C" w14:paraId="2EE7F9EA" w14:textId="77777777" w:rsidTr="00271199">
        <w:trPr>
          <w:jc w:val="center"/>
        </w:trPr>
        <w:tc>
          <w:tcPr>
            <w:tcW w:w="2321" w:type="dxa"/>
            <w:tcBorders>
              <w:top w:val="single" w:sz="6" w:space="0" w:color="000000"/>
              <w:left w:val="single" w:sz="6" w:space="0" w:color="000000"/>
              <w:bottom w:val="single" w:sz="6" w:space="0" w:color="000000"/>
              <w:right w:val="single" w:sz="6" w:space="0" w:color="000000"/>
            </w:tcBorders>
          </w:tcPr>
          <w:p w14:paraId="69F2BBBE" w14:textId="77777777" w:rsidR="00686116" w:rsidRPr="00BC0E7E" w:rsidRDefault="00944B8F" w:rsidP="00271199">
            <w:pPr>
              <w:keepNext/>
              <w:keepLines/>
              <w:tabs>
                <w:tab w:val="clear" w:pos="562"/>
                <w:tab w:val="left" w:pos="-1080"/>
              </w:tabs>
              <w:suppressAutoHyphens w:val="0"/>
              <w:autoSpaceDE w:val="0"/>
              <w:autoSpaceDN w:val="0"/>
              <w:adjustRightInd w:val="0"/>
              <w:ind w:left="15"/>
            </w:pPr>
            <w:r w:rsidRPr="00BC0E7E">
              <w:rPr>
                <w:szCs w:val="22"/>
              </w:rPr>
              <w:t xml:space="preserve">   Clinical response </w:t>
            </w:r>
          </w:p>
        </w:tc>
        <w:tc>
          <w:tcPr>
            <w:tcW w:w="1614" w:type="dxa"/>
            <w:tcBorders>
              <w:top w:val="single" w:sz="6" w:space="0" w:color="000000"/>
              <w:left w:val="single" w:sz="6" w:space="0" w:color="000000"/>
              <w:bottom w:val="single" w:sz="6" w:space="0" w:color="000000"/>
              <w:right w:val="single" w:sz="6" w:space="0" w:color="000000"/>
            </w:tcBorders>
          </w:tcPr>
          <w:p w14:paraId="20194C94"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szCs w:val="22"/>
              </w:rPr>
              <w:t>59.1%</w:t>
            </w:r>
          </w:p>
        </w:tc>
        <w:tc>
          <w:tcPr>
            <w:tcW w:w="1591" w:type="dxa"/>
            <w:tcBorders>
              <w:top w:val="single" w:sz="6" w:space="0" w:color="000000"/>
              <w:left w:val="single" w:sz="6" w:space="0" w:color="000000"/>
              <w:bottom w:val="single" w:sz="6" w:space="0" w:color="000000"/>
              <w:right w:val="single" w:sz="6" w:space="0" w:color="000000"/>
            </w:tcBorders>
          </w:tcPr>
          <w:p w14:paraId="059B9A78"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szCs w:val="22"/>
              </w:rPr>
              <w:t>48.4%</w:t>
            </w:r>
          </w:p>
        </w:tc>
        <w:tc>
          <w:tcPr>
            <w:tcW w:w="1147" w:type="dxa"/>
            <w:tcBorders>
              <w:top w:val="single" w:sz="6" w:space="0" w:color="000000"/>
              <w:left w:val="single" w:sz="6" w:space="0" w:color="000000"/>
              <w:bottom w:val="single" w:sz="6" w:space="0" w:color="000000"/>
              <w:right w:val="single" w:sz="6" w:space="0" w:color="000000"/>
            </w:tcBorders>
          </w:tcPr>
          <w:p w14:paraId="3D8192C2"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szCs w:val="22"/>
              </w:rPr>
              <w:t>0.073</w:t>
            </w:r>
          </w:p>
        </w:tc>
      </w:tr>
      <w:tr w:rsidR="00C6578C" w14:paraId="32390581" w14:textId="77777777" w:rsidTr="00271199">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146B4CE5" w14:textId="77777777" w:rsidR="00686116" w:rsidRPr="00BC0E7E" w:rsidRDefault="00944B8F" w:rsidP="00271199">
            <w:pPr>
              <w:keepNext/>
              <w:keepLines/>
              <w:tabs>
                <w:tab w:val="clear" w:pos="562"/>
                <w:tab w:val="left" w:pos="-1080"/>
              </w:tabs>
              <w:suppressAutoHyphens w:val="0"/>
              <w:autoSpaceDE w:val="0"/>
              <w:autoSpaceDN w:val="0"/>
              <w:adjustRightInd w:val="0"/>
              <w:ind w:left="15"/>
              <w:rPr>
                <w:b/>
                <w:bCs/>
              </w:rPr>
            </w:pPr>
            <w:r w:rsidRPr="00BC0E7E">
              <w:rPr>
                <w:b/>
                <w:bCs/>
                <w:szCs w:val="22"/>
              </w:rPr>
              <w:t>Week 52</w:t>
            </w:r>
          </w:p>
        </w:tc>
        <w:tc>
          <w:tcPr>
            <w:tcW w:w="1614" w:type="dxa"/>
            <w:tcBorders>
              <w:top w:val="single" w:sz="6" w:space="0" w:color="000000"/>
              <w:left w:val="single" w:sz="6" w:space="0" w:color="000000"/>
              <w:bottom w:val="single" w:sz="6" w:space="0" w:color="000000"/>
              <w:right w:val="single" w:sz="6" w:space="0" w:color="000000"/>
            </w:tcBorders>
            <w:vAlign w:val="bottom"/>
          </w:tcPr>
          <w:p w14:paraId="73719A38" w14:textId="77777777" w:rsidR="00686116" w:rsidRPr="00BC0E7E" w:rsidRDefault="00686116" w:rsidP="00271199">
            <w:pPr>
              <w:keepNext/>
              <w:keepLines/>
              <w:tabs>
                <w:tab w:val="clear" w:pos="562"/>
                <w:tab w:val="left" w:pos="-1080"/>
              </w:tabs>
              <w:suppressAutoHyphens w:val="0"/>
              <w:autoSpaceDE w:val="0"/>
              <w:autoSpaceDN w:val="0"/>
              <w:adjustRightInd w:val="0"/>
              <w:ind w:left="15"/>
              <w:jc w:val="center"/>
              <w:rPr>
                <w:b/>
                <w:bCs/>
              </w:rPr>
            </w:pPr>
          </w:p>
        </w:tc>
        <w:tc>
          <w:tcPr>
            <w:tcW w:w="1591" w:type="dxa"/>
            <w:tcBorders>
              <w:top w:val="single" w:sz="6" w:space="0" w:color="000000"/>
              <w:left w:val="single" w:sz="6" w:space="0" w:color="000000"/>
              <w:bottom w:val="single" w:sz="6" w:space="0" w:color="000000"/>
              <w:right w:val="single" w:sz="6" w:space="0" w:color="000000"/>
            </w:tcBorders>
            <w:vAlign w:val="bottom"/>
          </w:tcPr>
          <w:p w14:paraId="68365CEA" w14:textId="77777777" w:rsidR="00686116" w:rsidRPr="00BC0E7E" w:rsidRDefault="00686116" w:rsidP="00271199">
            <w:pPr>
              <w:keepNext/>
              <w:keepLines/>
              <w:tabs>
                <w:tab w:val="clear" w:pos="562"/>
                <w:tab w:val="left" w:pos="-1080"/>
              </w:tabs>
              <w:suppressAutoHyphens w:val="0"/>
              <w:autoSpaceDE w:val="0"/>
              <w:autoSpaceDN w:val="0"/>
              <w:adjustRightInd w:val="0"/>
              <w:ind w:left="15"/>
              <w:jc w:val="center"/>
              <w:rPr>
                <w:b/>
                <w:bCs/>
              </w:rPr>
            </w:pPr>
          </w:p>
        </w:tc>
        <w:tc>
          <w:tcPr>
            <w:tcW w:w="1147" w:type="dxa"/>
            <w:tcBorders>
              <w:top w:val="single" w:sz="6" w:space="0" w:color="000000"/>
              <w:left w:val="single" w:sz="6" w:space="0" w:color="000000"/>
              <w:bottom w:val="single" w:sz="6" w:space="0" w:color="000000"/>
              <w:right w:val="single" w:sz="6" w:space="0" w:color="000000"/>
            </w:tcBorders>
            <w:vAlign w:val="bottom"/>
          </w:tcPr>
          <w:p w14:paraId="08975F8B" w14:textId="77777777" w:rsidR="00686116" w:rsidRPr="00BC0E7E" w:rsidRDefault="00686116" w:rsidP="00271199">
            <w:pPr>
              <w:keepNext/>
              <w:tabs>
                <w:tab w:val="clear" w:pos="562"/>
              </w:tabs>
              <w:suppressAutoHyphens w:val="0"/>
              <w:autoSpaceDE w:val="0"/>
              <w:autoSpaceDN w:val="0"/>
              <w:adjustRightInd w:val="0"/>
              <w:ind w:left="15"/>
              <w:rPr>
                <w:b/>
                <w:bCs/>
              </w:rPr>
            </w:pPr>
          </w:p>
        </w:tc>
      </w:tr>
      <w:tr w:rsidR="00C6578C" w14:paraId="4951C539" w14:textId="77777777" w:rsidTr="00271199">
        <w:trPr>
          <w:jc w:val="center"/>
        </w:trPr>
        <w:tc>
          <w:tcPr>
            <w:tcW w:w="2321" w:type="dxa"/>
            <w:tcBorders>
              <w:top w:val="single" w:sz="6" w:space="0" w:color="000000"/>
              <w:left w:val="single" w:sz="6" w:space="0" w:color="000000"/>
              <w:bottom w:val="single" w:sz="6" w:space="0" w:color="000000"/>
              <w:right w:val="single" w:sz="6" w:space="0" w:color="000000"/>
            </w:tcBorders>
            <w:vAlign w:val="bottom"/>
          </w:tcPr>
          <w:p w14:paraId="5094ED92" w14:textId="77777777" w:rsidR="00686116" w:rsidRPr="00BC0E7E" w:rsidRDefault="00944B8F" w:rsidP="00271199">
            <w:pPr>
              <w:keepNext/>
              <w:keepLines/>
              <w:tabs>
                <w:tab w:val="clear" w:pos="562"/>
                <w:tab w:val="left" w:pos="-1080"/>
              </w:tabs>
              <w:suppressAutoHyphens w:val="0"/>
              <w:autoSpaceDE w:val="0"/>
              <w:autoSpaceDN w:val="0"/>
              <w:adjustRightInd w:val="0"/>
              <w:ind w:left="15"/>
            </w:pPr>
            <w:r w:rsidRPr="00BC0E7E">
              <w:rPr>
                <w:szCs w:val="22"/>
              </w:rPr>
              <w:t xml:space="preserve">   Clinical remission</w:t>
            </w:r>
          </w:p>
        </w:tc>
        <w:tc>
          <w:tcPr>
            <w:tcW w:w="1614" w:type="dxa"/>
            <w:tcBorders>
              <w:top w:val="single" w:sz="6" w:space="0" w:color="000000"/>
              <w:left w:val="single" w:sz="6" w:space="0" w:color="000000"/>
              <w:bottom w:val="single" w:sz="6" w:space="0" w:color="000000"/>
              <w:right w:val="single" w:sz="6" w:space="0" w:color="000000"/>
            </w:tcBorders>
            <w:vAlign w:val="bottom"/>
          </w:tcPr>
          <w:p w14:paraId="7C6ACD5B"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szCs w:val="22"/>
              </w:rPr>
              <w:t>33.3%</w:t>
            </w:r>
          </w:p>
        </w:tc>
        <w:tc>
          <w:tcPr>
            <w:tcW w:w="1591" w:type="dxa"/>
            <w:tcBorders>
              <w:top w:val="single" w:sz="6" w:space="0" w:color="000000"/>
              <w:left w:val="single" w:sz="6" w:space="0" w:color="000000"/>
              <w:bottom w:val="single" w:sz="6" w:space="0" w:color="000000"/>
              <w:right w:val="single" w:sz="6" w:space="0" w:color="000000"/>
            </w:tcBorders>
            <w:vAlign w:val="bottom"/>
          </w:tcPr>
          <w:p w14:paraId="28551BAA"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szCs w:val="22"/>
              </w:rPr>
              <w:t>23.2%</w:t>
            </w:r>
          </w:p>
        </w:tc>
        <w:tc>
          <w:tcPr>
            <w:tcW w:w="1147" w:type="dxa"/>
            <w:tcBorders>
              <w:top w:val="single" w:sz="6" w:space="0" w:color="000000"/>
              <w:left w:val="single" w:sz="6" w:space="0" w:color="000000"/>
              <w:bottom w:val="single" w:sz="6" w:space="0" w:color="000000"/>
              <w:right w:val="single" w:sz="6" w:space="0" w:color="000000"/>
            </w:tcBorders>
            <w:vAlign w:val="bottom"/>
          </w:tcPr>
          <w:p w14:paraId="6413091F"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szCs w:val="22"/>
              </w:rPr>
              <w:t>0.100</w:t>
            </w:r>
          </w:p>
        </w:tc>
      </w:tr>
      <w:tr w:rsidR="00C6578C" w14:paraId="6BBB84AB" w14:textId="77777777" w:rsidTr="00271199">
        <w:trPr>
          <w:jc w:val="center"/>
        </w:trPr>
        <w:tc>
          <w:tcPr>
            <w:tcW w:w="2321" w:type="dxa"/>
            <w:tcBorders>
              <w:top w:val="single" w:sz="6" w:space="0" w:color="000000"/>
              <w:left w:val="single" w:sz="6" w:space="0" w:color="000000"/>
              <w:bottom w:val="single" w:sz="6" w:space="0" w:color="000000"/>
              <w:right w:val="single" w:sz="6" w:space="0" w:color="000000"/>
            </w:tcBorders>
          </w:tcPr>
          <w:p w14:paraId="6108092D" w14:textId="77777777" w:rsidR="00686116" w:rsidRPr="00BC0E7E" w:rsidRDefault="00944B8F" w:rsidP="00271199">
            <w:pPr>
              <w:keepNext/>
              <w:keepLines/>
              <w:tabs>
                <w:tab w:val="clear" w:pos="562"/>
                <w:tab w:val="left" w:pos="-1080"/>
              </w:tabs>
              <w:suppressAutoHyphens w:val="0"/>
              <w:autoSpaceDE w:val="0"/>
              <w:autoSpaceDN w:val="0"/>
              <w:adjustRightInd w:val="0"/>
              <w:ind w:left="15"/>
            </w:pPr>
            <w:r w:rsidRPr="00BC0E7E">
              <w:rPr>
                <w:szCs w:val="22"/>
              </w:rPr>
              <w:t xml:space="preserve">   Clinical response</w:t>
            </w:r>
          </w:p>
        </w:tc>
        <w:tc>
          <w:tcPr>
            <w:tcW w:w="1614" w:type="dxa"/>
            <w:tcBorders>
              <w:top w:val="single" w:sz="6" w:space="0" w:color="000000"/>
              <w:left w:val="single" w:sz="6" w:space="0" w:color="000000"/>
              <w:bottom w:val="single" w:sz="6" w:space="0" w:color="000000"/>
              <w:right w:val="single" w:sz="6" w:space="0" w:color="000000"/>
            </w:tcBorders>
          </w:tcPr>
          <w:p w14:paraId="0C54EBA7"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szCs w:val="22"/>
              </w:rPr>
              <w:t>41.9%</w:t>
            </w:r>
          </w:p>
        </w:tc>
        <w:tc>
          <w:tcPr>
            <w:tcW w:w="1591" w:type="dxa"/>
            <w:tcBorders>
              <w:top w:val="single" w:sz="6" w:space="0" w:color="000000"/>
              <w:left w:val="single" w:sz="6" w:space="0" w:color="000000"/>
              <w:bottom w:val="single" w:sz="6" w:space="0" w:color="000000"/>
              <w:right w:val="single" w:sz="6" w:space="0" w:color="000000"/>
            </w:tcBorders>
          </w:tcPr>
          <w:p w14:paraId="30E11327"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szCs w:val="22"/>
              </w:rPr>
              <w:t>28.4%</w:t>
            </w:r>
          </w:p>
        </w:tc>
        <w:tc>
          <w:tcPr>
            <w:tcW w:w="1147" w:type="dxa"/>
            <w:tcBorders>
              <w:top w:val="single" w:sz="6" w:space="0" w:color="000000"/>
              <w:left w:val="single" w:sz="6" w:space="0" w:color="000000"/>
              <w:bottom w:val="single" w:sz="6" w:space="0" w:color="000000"/>
              <w:right w:val="single" w:sz="6" w:space="0" w:color="000000"/>
            </w:tcBorders>
          </w:tcPr>
          <w:p w14:paraId="45A87C76"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szCs w:val="22"/>
              </w:rPr>
              <w:t>0.038</w:t>
            </w:r>
          </w:p>
        </w:tc>
      </w:tr>
      <w:tr w:rsidR="00C6578C" w14:paraId="36146B63" w14:textId="77777777" w:rsidTr="00271199">
        <w:trPr>
          <w:jc w:val="center"/>
        </w:trPr>
        <w:tc>
          <w:tcPr>
            <w:tcW w:w="6673" w:type="dxa"/>
            <w:gridSpan w:val="4"/>
            <w:tcBorders>
              <w:top w:val="single" w:sz="6" w:space="0" w:color="000000"/>
              <w:left w:val="single" w:sz="6" w:space="0" w:color="000000"/>
              <w:bottom w:val="single" w:sz="6" w:space="0" w:color="000000"/>
              <w:right w:val="single" w:sz="6" w:space="0" w:color="000000"/>
            </w:tcBorders>
          </w:tcPr>
          <w:p w14:paraId="13DD911B" w14:textId="77777777" w:rsidR="00686116" w:rsidRPr="00BC0E7E" w:rsidRDefault="00944B8F" w:rsidP="00271199">
            <w:pPr>
              <w:keepNext/>
              <w:keepLines/>
              <w:tabs>
                <w:tab w:val="clear" w:pos="562"/>
                <w:tab w:val="left" w:pos="-1080"/>
              </w:tabs>
              <w:suppressAutoHyphens w:val="0"/>
              <w:autoSpaceDE w:val="0"/>
              <w:autoSpaceDN w:val="0"/>
              <w:adjustRightInd w:val="0"/>
              <w:ind w:left="15"/>
            </w:pPr>
            <w:r w:rsidRPr="00BC0E7E">
              <w:rPr>
                <w:szCs w:val="22"/>
              </w:rPr>
              <w:t xml:space="preserve">* p value for Standard Dose </w:t>
            </w:r>
            <w:r w:rsidRPr="00BC0E7E">
              <w:rPr>
                <w:i/>
                <w:iCs/>
                <w:szCs w:val="22"/>
              </w:rPr>
              <w:t>versus</w:t>
            </w:r>
            <w:r w:rsidRPr="00BC0E7E">
              <w:rPr>
                <w:szCs w:val="22"/>
              </w:rPr>
              <w:t xml:space="preserve"> Low Dose comparison.</w:t>
            </w:r>
          </w:p>
        </w:tc>
      </w:tr>
    </w:tbl>
    <w:p w14:paraId="48687FBE" w14:textId="77777777" w:rsidR="00686116" w:rsidRPr="00BC0E7E" w:rsidRDefault="00686116" w:rsidP="00686116">
      <w:pPr>
        <w:tabs>
          <w:tab w:val="left" w:pos="1294"/>
        </w:tabs>
        <w:autoSpaceDE w:val="0"/>
        <w:autoSpaceDN w:val="0"/>
        <w:adjustRightInd w:val="0"/>
        <w:rPr>
          <w:szCs w:val="22"/>
        </w:rPr>
      </w:pPr>
    </w:p>
    <w:tbl>
      <w:tblPr>
        <w:tblW w:w="0" w:type="auto"/>
        <w:jc w:val="center"/>
        <w:tblCellMar>
          <w:left w:w="0" w:type="dxa"/>
          <w:right w:w="0" w:type="dxa"/>
        </w:tblCellMar>
        <w:tblLook w:val="00A0" w:firstRow="1" w:lastRow="0" w:firstColumn="1" w:lastColumn="0" w:noHBand="0" w:noVBand="0"/>
      </w:tblPr>
      <w:tblGrid>
        <w:gridCol w:w="4025"/>
        <w:gridCol w:w="1656"/>
        <w:gridCol w:w="1619"/>
        <w:gridCol w:w="1140"/>
      </w:tblGrid>
      <w:tr w:rsidR="00C6578C" w14:paraId="2B9CADB6" w14:textId="77777777" w:rsidTr="00271199">
        <w:trPr>
          <w:jc w:val="center"/>
        </w:trPr>
        <w:tc>
          <w:tcPr>
            <w:tcW w:w="8440" w:type="dxa"/>
            <w:gridSpan w:val="4"/>
            <w:tcBorders>
              <w:top w:val="single" w:sz="6" w:space="0" w:color="000000"/>
              <w:left w:val="single" w:sz="6" w:space="0" w:color="000000"/>
              <w:bottom w:val="single" w:sz="6" w:space="0" w:color="000000"/>
              <w:right w:val="single" w:sz="6" w:space="0" w:color="000000"/>
            </w:tcBorders>
          </w:tcPr>
          <w:p w14:paraId="6BF98080" w14:textId="77777777" w:rsidR="00686116" w:rsidRPr="00BC0E7E" w:rsidRDefault="00944B8F" w:rsidP="00271199">
            <w:pPr>
              <w:keepNext/>
              <w:tabs>
                <w:tab w:val="clear" w:pos="562"/>
                <w:tab w:val="left" w:pos="-878"/>
              </w:tabs>
              <w:suppressAutoHyphens w:val="0"/>
              <w:autoSpaceDE w:val="0"/>
              <w:autoSpaceDN w:val="0"/>
              <w:adjustRightInd w:val="0"/>
              <w:jc w:val="center"/>
              <w:rPr>
                <w:b/>
                <w:bCs/>
              </w:rPr>
            </w:pPr>
            <w:r w:rsidRPr="00BC0E7E">
              <w:rPr>
                <w:b/>
                <w:bCs/>
                <w:szCs w:val="22"/>
              </w:rPr>
              <w:t xml:space="preserve">Table </w:t>
            </w:r>
            <w:r w:rsidR="005F03EC">
              <w:rPr>
                <w:b/>
                <w:bCs/>
                <w:szCs w:val="22"/>
              </w:rPr>
              <w:t>20</w:t>
            </w:r>
          </w:p>
          <w:p w14:paraId="5DC39E97" w14:textId="77777777" w:rsidR="00686116" w:rsidRPr="00BC0E7E" w:rsidRDefault="00944B8F" w:rsidP="00271199">
            <w:pPr>
              <w:keepNext/>
              <w:tabs>
                <w:tab w:val="clear" w:pos="562"/>
                <w:tab w:val="left" w:pos="-878"/>
              </w:tabs>
              <w:suppressAutoHyphens w:val="0"/>
              <w:autoSpaceDE w:val="0"/>
              <w:autoSpaceDN w:val="0"/>
              <w:adjustRightInd w:val="0"/>
              <w:jc w:val="center"/>
              <w:rPr>
                <w:b/>
                <w:bCs/>
              </w:rPr>
            </w:pPr>
            <w:r w:rsidRPr="00BC0E7E">
              <w:rPr>
                <w:b/>
                <w:bCs/>
                <w:szCs w:val="22"/>
              </w:rPr>
              <w:t>Paediatric CD Study</w:t>
            </w:r>
          </w:p>
          <w:p w14:paraId="34A7FCDE" w14:textId="77777777" w:rsidR="00686116" w:rsidRPr="00BC0E7E" w:rsidRDefault="00944B8F" w:rsidP="00271199">
            <w:pPr>
              <w:keepNext/>
              <w:tabs>
                <w:tab w:val="clear" w:pos="562"/>
                <w:tab w:val="left" w:pos="-878"/>
              </w:tabs>
              <w:suppressAutoHyphens w:val="0"/>
              <w:autoSpaceDE w:val="0"/>
              <w:autoSpaceDN w:val="0"/>
              <w:adjustRightInd w:val="0"/>
              <w:jc w:val="center"/>
              <w:rPr>
                <w:b/>
                <w:bCs/>
              </w:rPr>
            </w:pPr>
            <w:r w:rsidRPr="00BC0E7E">
              <w:rPr>
                <w:b/>
                <w:bCs/>
                <w:szCs w:val="22"/>
              </w:rPr>
              <w:t>Discontinuation of Corticosteroids or Immunomodulators and Fistula Remission</w:t>
            </w:r>
          </w:p>
        </w:tc>
      </w:tr>
      <w:tr w:rsidR="00C6578C" w14:paraId="2588C85B" w14:textId="77777777" w:rsidTr="00271199">
        <w:trPr>
          <w:jc w:val="center"/>
        </w:trPr>
        <w:tc>
          <w:tcPr>
            <w:tcW w:w="4025" w:type="dxa"/>
            <w:tcBorders>
              <w:top w:val="single" w:sz="6" w:space="0" w:color="000000"/>
              <w:left w:val="single" w:sz="6" w:space="0" w:color="000000"/>
              <w:bottom w:val="single" w:sz="6" w:space="0" w:color="000000"/>
              <w:right w:val="single" w:sz="6" w:space="0" w:color="000000"/>
            </w:tcBorders>
          </w:tcPr>
          <w:p w14:paraId="34C0E986" w14:textId="77777777" w:rsidR="00686116" w:rsidRPr="00BC0E7E" w:rsidRDefault="00686116" w:rsidP="00271199">
            <w:pPr>
              <w:keepNext/>
              <w:keepLines/>
              <w:tabs>
                <w:tab w:val="clear" w:pos="562"/>
                <w:tab w:val="left" w:pos="-1080"/>
              </w:tabs>
              <w:suppressAutoHyphens w:val="0"/>
              <w:autoSpaceDE w:val="0"/>
              <w:autoSpaceDN w:val="0"/>
              <w:adjustRightInd w:val="0"/>
              <w:jc w:val="center"/>
              <w:rPr>
                <w:b/>
                <w:bCs/>
              </w:rPr>
            </w:pPr>
          </w:p>
        </w:tc>
        <w:tc>
          <w:tcPr>
            <w:tcW w:w="1656" w:type="dxa"/>
            <w:tcBorders>
              <w:top w:val="single" w:sz="6" w:space="0" w:color="000000"/>
              <w:left w:val="single" w:sz="6" w:space="0" w:color="000000"/>
              <w:bottom w:val="single" w:sz="6" w:space="0" w:color="000000"/>
              <w:right w:val="single" w:sz="6" w:space="0" w:color="000000"/>
            </w:tcBorders>
          </w:tcPr>
          <w:p w14:paraId="67CB7B51"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rPr>
                <w:b/>
                <w:bCs/>
              </w:rPr>
            </w:pPr>
            <w:r w:rsidRPr="00BC0E7E">
              <w:rPr>
                <w:b/>
                <w:bCs/>
                <w:szCs w:val="22"/>
              </w:rPr>
              <w:t>Standard Dose</w:t>
            </w:r>
          </w:p>
          <w:p w14:paraId="0446B0C4"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rPr>
                <w:b/>
                <w:bCs/>
              </w:rPr>
            </w:pPr>
            <w:r w:rsidRPr="00BC0E7E">
              <w:rPr>
                <w:b/>
                <w:bCs/>
                <w:szCs w:val="22"/>
              </w:rPr>
              <w:t xml:space="preserve">40/20 mg eow </w:t>
            </w:r>
          </w:p>
        </w:tc>
        <w:tc>
          <w:tcPr>
            <w:tcW w:w="1619" w:type="dxa"/>
            <w:tcBorders>
              <w:top w:val="single" w:sz="6" w:space="0" w:color="000000"/>
              <w:left w:val="single" w:sz="6" w:space="0" w:color="000000"/>
              <w:bottom w:val="single" w:sz="6" w:space="0" w:color="000000"/>
              <w:right w:val="single" w:sz="6" w:space="0" w:color="000000"/>
            </w:tcBorders>
          </w:tcPr>
          <w:p w14:paraId="26F7F69E"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rPr>
                <w:b/>
                <w:bCs/>
              </w:rPr>
            </w:pPr>
            <w:r w:rsidRPr="00BC0E7E">
              <w:rPr>
                <w:b/>
                <w:bCs/>
                <w:szCs w:val="22"/>
              </w:rPr>
              <w:t>Low Dose</w:t>
            </w:r>
          </w:p>
          <w:p w14:paraId="11BCD3B5"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rPr>
                <w:b/>
                <w:bCs/>
              </w:rPr>
            </w:pPr>
            <w:r w:rsidRPr="00BC0E7E">
              <w:rPr>
                <w:b/>
                <w:bCs/>
                <w:szCs w:val="22"/>
              </w:rPr>
              <w:t xml:space="preserve">20/10 mg eow </w:t>
            </w:r>
          </w:p>
        </w:tc>
        <w:tc>
          <w:tcPr>
            <w:tcW w:w="1140" w:type="dxa"/>
            <w:tcBorders>
              <w:top w:val="single" w:sz="6" w:space="0" w:color="000000"/>
              <w:left w:val="single" w:sz="6" w:space="0" w:color="000000"/>
              <w:bottom w:val="single" w:sz="6" w:space="0" w:color="000000"/>
              <w:right w:val="single" w:sz="6" w:space="0" w:color="000000"/>
            </w:tcBorders>
          </w:tcPr>
          <w:p w14:paraId="14128519"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rPr>
                <w:b/>
                <w:bCs/>
              </w:rPr>
            </w:pPr>
            <w:r w:rsidRPr="00BC0E7E">
              <w:rPr>
                <w:b/>
                <w:bCs/>
                <w:szCs w:val="22"/>
              </w:rPr>
              <w:t>P value</w:t>
            </w:r>
            <w:r w:rsidRPr="00BC0E7E">
              <w:rPr>
                <w:b/>
                <w:bCs/>
                <w:szCs w:val="22"/>
                <w:vertAlign w:val="superscript"/>
              </w:rPr>
              <w:t>1</w:t>
            </w:r>
          </w:p>
        </w:tc>
      </w:tr>
      <w:tr w:rsidR="00C6578C" w14:paraId="6058BE67" w14:textId="77777777" w:rsidTr="00271199">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0B7B0E59" w14:textId="77777777" w:rsidR="00686116" w:rsidRPr="00BC0E7E" w:rsidRDefault="00944B8F" w:rsidP="00271199">
            <w:pPr>
              <w:keepNext/>
              <w:keepLines/>
              <w:tabs>
                <w:tab w:val="clear" w:pos="562"/>
                <w:tab w:val="left" w:pos="-1080"/>
              </w:tabs>
              <w:suppressAutoHyphens w:val="0"/>
              <w:autoSpaceDE w:val="0"/>
              <w:autoSpaceDN w:val="0"/>
              <w:adjustRightInd w:val="0"/>
              <w:rPr>
                <w:b/>
              </w:rPr>
            </w:pPr>
            <w:r w:rsidRPr="00BC0E7E">
              <w:rPr>
                <w:b/>
                <w:szCs w:val="22"/>
              </w:rPr>
              <w:t>Discontinued corticosteroids</w:t>
            </w:r>
          </w:p>
        </w:tc>
        <w:tc>
          <w:tcPr>
            <w:tcW w:w="1656" w:type="dxa"/>
            <w:tcBorders>
              <w:top w:val="single" w:sz="6" w:space="0" w:color="000000"/>
              <w:left w:val="single" w:sz="6" w:space="0" w:color="000000"/>
              <w:bottom w:val="single" w:sz="6" w:space="0" w:color="000000"/>
              <w:right w:val="single" w:sz="6" w:space="0" w:color="000000"/>
            </w:tcBorders>
            <w:vAlign w:val="bottom"/>
          </w:tcPr>
          <w:p w14:paraId="0AE22428"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rPr>
                <w:b/>
              </w:rPr>
            </w:pPr>
            <w:r w:rsidRPr="00BC0E7E">
              <w:rPr>
                <w:b/>
                <w:szCs w:val="22"/>
              </w:rPr>
              <w:t>N= 33</w:t>
            </w:r>
          </w:p>
        </w:tc>
        <w:tc>
          <w:tcPr>
            <w:tcW w:w="1619" w:type="dxa"/>
            <w:tcBorders>
              <w:top w:val="single" w:sz="6" w:space="0" w:color="000000"/>
              <w:left w:val="single" w:sz="6" w:space="0" w:color="000000"/>
              <w:bottom w:val="single" w:sz="6" w:space="0" w:color="000000"/>
              <w:right w:val="single" w:sz="6" w:space="0" w:color="000000"/>
            </w:tcBorders>
            <w:vAlign w:val="bottom"/>
          </w:tcPr>
          <w:p w14:paraId="2091D25F"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rPr>
                <w:b/>
              </w:rPr>
            </w:pPr>
            <w:r w:rsidRPr="00BC0E7E">
              <w:rPr>
                <w:b/>
                <w:szCs w:val="22"/>
              </w:rPr>
              <w:t>N=38</w:t>
            </w:r>
          </w:p>
        </w:tc>
        <w:tc>
          <w:tcPr>
            <w:tcW w:w="1140" w:type="dxa"/>
            <w:tcBorders>
              <w:top w:val="single" w:sz="6" w:space="0" w:color="000000"/>
              <w:left w:val="single" w:sz="6" w:space="0" w:color="000000"/>
              <w:bottom w:val="single" w:sz="6" w:space="0" w:color="000000"/>
              <w:right w:val="single" w:sz="6" w:space="0" w:color="000000"/>
            </w:tcBorders>
            <w:vAlign w:val="bottom"/>
          </w:tcPr>
          <w:p w14:paraId="15405710" w14:textId="77777777" w:rsidR="00686116" w:rsidRPr="00BC0E7E" w:rsidRDefault="00686116" w:rsidP="00271199">
            <w:pPr>
              <w:keepNext/>
              <w:tabs>
                <w:tab w:val="clear" w:pos="562"/>
              </w:tabs>
              <w:suppressAutoHyphens w:val="0"/>
              <w:autoSpaceDE w:val="0"/>
              <w:autoSpaceDN w:val="0"/>
              <w:adjustRightInd w:val="0"/>
              <w:ind w:left="15"/>
              <w:rPr>
                <w:b/>
              </w:rPr>
            </w:pPr>
          </w:p>
        </w:tc>
      </w:tr>
      <w:tr w:rsidR="00C6578C" w14:paraId="361A7DE2" w14:textId="77777777" w:rsidTr="00271199">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478D5B18" w14:textId="77777777" w:rsidR="00686116" w:rsidRPr="00BC0E7E" w:rsidRDefault="00944B8F" w:rsidP="00271199">
            <w:pPr>
              <w:keepNext/>
              <w:keepLines/>
              <w:tabs>
                <w:tab w:val="clear" w:pos="562"/>
                <w:tab w:val="left" w:pos="-1080"/>
              </w:tabs>
              <w:suppressAutoHyphens w:val="0"/>
              <w:autoSpaceDE w:val="0"/>
              <w:autoSpaceDN w:val="0"/>
              <w:adjustRightInd w:val="0"/>
              <w:rPr>
                <w:bCs/>
              </w:rPr>
            </w:pPr>
            <w:r w:rsidRPr="00BC0E7E">
              <w:rPr>
                <w:bCs/>
                <w:szCs w:val="22"/>
              </w:rPr>
              <w:t>Week 26</w:t>
            </w:r>
          </w:p>
        </w:tc>
        <w:tc>
          <w:tcPr>
            <w:tcW w:w="1656" w:type="dxa"/>
            <w:tcBorders>
              <w:top w:val="single" w:sz="6" w:space="0" w:color="000000"/>
              <w:left w:val="single" w:sz="6" w:space="0" w:color="000000"/>
              <w:bottom w:val="single" w:sz="6" w:space="0" w:color="000000"/>
              <w:right w:val="single" w:sz="6" w:space="0" w:color="000000"/>
            </w:tcBorders>
            <w:vAlign w:val="bottom"/>
          </w:tcPr>
          <w:p w14:paraId="14EC9438"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szCs w:val="22"/>
              </w:rPr>
              <w:t>84.8%</w:t>
            </w:r>
          </w:p>
        </w:tc>
        <w:tc>
          <w:tcPr>
            <w:tcW w:w="1619" w:type="dxa"/>
            <w:tcBorders>
              <w:top w:val="single" w:sz="6" w:space="0" w:color="000000"/>
              <w:left w:val="single" w:sz="6" w:space="0" w:color="000000"/>
              <w:bottom w:val="single" w:sz="6" w:space="0" w:color="000000"/>
              <w:right w:val="single" w:sz="6" w:space="0" w:color="000000"/>
            </w:tcBorders>
            <w:vAlign w:val="bottom"/>
          </w:tcPr>
          <w:p w14:paraId="52FEDC6B"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szCs w:val="22"/>
              </w:rPr>
              <w:t>65.8%</w:t>
            </w:r>
          </w:p>
        </w:tc>
        <w:tc>
          <w:tcPr>
            <w:tcW w:w="1140" w:type="dxa"/>
            <w:tcBorders>
              <w:top w:val="single" w:sz="6" w:space="0" w:color="000000"/>
              <w:left w:val="single" w:sz="6" w:space="0" w:color="000000"/>
              <w:bottom w:val="single" w:sz="6" w:space="0" w:color="000000"/>
              <w:right w:val="single" w:sz="6" w:space="0" w:color="000000"/>
            </w:tcBorders>
            <w:vAlign w:val="bottom"/>
          </w:tcPr>
          <w:p w14:paraId="165AD7EE"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szCs w:val="22"/>
              </w:rPr>
              <w:t>0.066</w:t>
            </w:r>
          </w:p>
        </w:tc>
      </w:tr>
      <w:tr w:rsidR="00C6578C" w14:paraId="322B6B05" w14:textId="77777777" w:rsidTr="00271199">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315C1853" w14:textId="77777777" w:rsidR="00686116" w:rsidRPr="00BC0E7E" w:rsidRDefault="00944B8F" w:rsidP="00271199">
            <w:pPr>
              <w:keepNext/>
              <w:keepLines/>
              <w:tabs>
                <w:tab w:val="clear" w:pos="562"/>
                <w:tab w:val="left" w:pos="-1080"/>
              </w:tabs>
              <w:suppressAutoHyphens w:val="0"/>
              <w:autoSpaceDE w:val="0"/>
              <w:autoSpaceDN w:val="0"/>
              <w:adjustRightInd w:val="0"/>
              <w:rPr>
                <w:bCs/>
              </w:rPr>
            </w:pPr>
            <w:r w:rsidRPr="00BC0E7E">
              <w:rPr>
                <w:bCs/>
                <w:szCs w:val="22"/>
              </w:rPr>
              <w:t>Week 52</w:t>
            </w:r>
          </w:p>
        </w:tc>
        <w:tc>
          <w:tcPr>
            <w:tcW w:w="1656" w:type="dxa"/>
            <w:tcBorders>
              <w:top w:val="single" w:sz="6" w:space="0" w:color="000000"/>
              <w:left w:val="single" w:sz="6" w:space="0" w:color="000000"/>
              <w:bottom w:val="single" w:sz="6" w:space="0" w:color="000000"/>
              <w:right w:val="single" w:sz="6" w:space="0" w:color="000000"/>
            </w:tcBorders>
          </w:tcPr>
          <w:p w14:paraId="351DFE19"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szCs w:val="22"/>
              </w:rPr>
              <w:t>69.7%</w:t>
            </w:r>
          </w:p>
        </w:tc>
        <w:tc>
          <w:tcPr>
            <w:tcW w:w="1619" w:type="dxa"/>
            <w:tcBorders>
              <w:top w:val="single" w:sz="6" w:space="0" w:color="000000"/>
              <w:left w:val="single" w:sz="6" w:space="0" w:color="000000"/>
              <w:bottom w:val="single" w:sz="6" w:space="0" w:color="000000"/>
              <w:right w:val="single" w:sz="6" w:space="0" w:color="000000"/>
            </w:tcBorders>
          </w:tcPr>
          <w:p w14:paraId="5AA9C5AB"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szCs w:val="22"/>
              </w:rPr>
              <w:t>60.5%</w:t>
            </w:r>
          </w:p>
        </w:tc>
        <w:tc>
          <w:tcPr>
            <w:tcW w:w="1140" w:type="dxa"/>
            <w:tcBorders>
              <w:top w:val="single" w:sz="6" w:space="0" w:color="000000"/>
              <w:left w:val="single" w:sz="6" w:space="0" w:color="000000"/>
              <w:bottom w:val="single" w:sz="6" w:space="0" w:color="000000"/>
              <w:right w:val="single" w:sz="6" w:space="0" w:color="000000"/>
            </w:tcBorders>
            <w:vAlign w:val="bottom"/>
          </w:tcPr>
          <w:p w14:paraId="3E1120FD"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szCs w:val="22"/>
              </w:rPr>
              <w:t>0.420</w:t>
            </w:r>
          </w:p>
        </w:tc>
      </w:tr>
      <w:tr w:rsidR="00C6578C" w14:paraId="2807A7AE" w14:textId="77777777" w:rsidTr="00271199">
        <w:trPr>
          <w:jc w:val="center"/>
        </w:trPr>
        <w:tc>
          <w:tcPr>
            <w:tcW w:w="4025" w:type="dxa"/>
            <w:tcBorders>
              <w:top w:val="single" w:sz="6" w:space="0" w:color="000000"/>
              <w:left w:val="single" w:sz="6" w:space="0" w:color="000000"/>
              <w:bottom w:val="single" w:sz="6" w:space="0" w:color="000000"/>
              <w:right w:val="single" w:sz="6" w:space="0" w:color="000000"/>
            </w:tcBorders>
            <w:vAlign w:val="bottom"/>
          </w:tcPr>
          <w:p w14:paraId="46B561E1" w14:textId="77777777" w:rsidR="00686116" w:rsidRPr="00BC0E7E" w:rsidRDefault="00944B8F" w:rsidP="00271199">
            <w:pPr>
              <w:keepNext/>
              <w:keepLines/>
              <w:tabs>
                <w:tab w:val="clear" w:pos="562"/>
                <w:tab w:val="left" w:pos="-1080"/>
              </w:tabs>
              <w:suppressAutoHyphens w:val="0"/>
              <w:autoSpaceDE w:val="0"/>
              <w:autoSpaceDN w:val="0"/>
              <w:adjustRightInd w:val="0"/>
              <w:rPr>
                <w:b/>
              </w:rPr>
            </w:pPr>
            <w:r w:rsidRPr="00BC0E7E">
              <w:rPr>
                <w:b/>
                <w:szCs w:val="22"/>
              </w:rPr>
              <w:t>Discontinuation of Immunomodulators</w:t>
            </w:r>
            <w:r w:rsidRPr="00BC0E7E">
              <w:rPr>
                <w:b/>
                <w:szCs w:val="22"/>
                <w:vertAlign w:val="superscript"/>
              </w:rPr>
              <w:t>2</w:t>
            </w:r>
          </w:p>
        </w:tc>
        <w:tc>
          <w:tcPr>
            <w:tcW w:w="1656" w:type="dxa"/>
            <w:tcBorders>
              <w:top w:val="single" w:sz="6" w:space="0" w:color="000000"/>
              <w:left w:val="single" w:sz="6" w:space="0" w:color="000000"/>
              <w:bottom w:val="single" w:sz="6" w:space="0" w:color="000000"/>
              <w:right w:val="single" w:sz="6" w:space="0" w:color="000000"/>
            </w:tcBorders>
            <w:vAlign w:val="bottom"/>
          </w:tcPr>
          <w:p w14:paraId="3778BE05"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rPr>
                <w:b/>
              </w:rPr>
            </w:pPr>
            <w:r w:rsidRPr="00BC0E7E">
              <w:rPr>
                <w:b/>
                <w:szCs w:val="22"/>
              </w:rPr>
              <w:t>N=60</w:t>
            </w:r>
          </w:p>
        </w:tc>
        <w:tc>
          <w:tcPr>
            <w:tcW w:w="1619" w:type="dxa"/>
            <w:tcBorders>
              <w:top w:val="single" w:sz="6" w:space="0" w:color="000000"/>
              <w:left w:val="single" w:sz="6" w:space="0" w:color="000000"/>
              <w:bottom w:val="single" w:sz="6" w:space="0" w:color="000000"/>
              <w:right w:val="single" w:sz="6" w:space="0" w:color="000000"/>
            </w:tcBorders>
            <w:vAlign w:val="bottom"/>
          </w:tcPr>
          <w:p w14:paraId="2E1E9205"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rPr>
                <w:b/>
              </w:rPr>
            </w:pPr>
            <w:r w:rsidRPr="00BC0E7E">
              <w:rPr>
                <w:b/>
                <w:szCs w:val="22"/>
              </w:rPr>
              <w:t>N=57</w:t>
            </w:r>
          </w:p>
        </w:tc>
        <w:tc>
          <w:tcPr>
            <w:tcW w:w="1140" w:type="dxa"/>
            <w:tcBorders>
              <w:top w:val="single" w:sz="6" w:space="0" w:color="000000"/>
              <w:left w:val="single" w:sz="6" w:space="0" w:color="000000"/>
              <w:bottom w:val="single" w:sz="6" w:space="0" w:color="000000"/>
              <w:right w:val="single" w:sz="6" w:space="0" w:color="000000"/>
            </w:tcBorders>
            <w:vAlign w:val="bottom"/>
          </w:tcPr>
          <w:p w14:paraId="65D4993D" w14:textId="77777777" w:rsidR="00686116" w:rsidRPr="00BC0E7E" w:rsidRDefault="00686116" w:rsidP="00271199">
            <w:pPr>
              <w:keepNext/>
              <w:tabs>
                <w:tab w:val="clear" w:pos="562"/>
              </w:tabs>
              <w:suppressAutoHyphens w:val="0"/>
              <w:autoSpaceDE w:val="0"/>
              <w:autoSpaceDN w:val="0"/>
              <w:adjustRightInd w:val="0"/>
              <w:ind w:left="15"/>
              <w:rPr>
                <w:b/>
              </w:rPr>
            </w:pPr>
          </w:p>
        </w:tc>
      </w:tr>
      <w:tr w:rsidR="00C6578C" w14:paraId="74932E2E" w14:textId="77777777" w:rsidTr="00271199">
        <w:trPr>
          <w:jc w:val="center"/>
        </w:trPr>
        <w:tc>
          <w:tcPr>
            <w:tcW w:w="4025" w:type="dxa"/>
            <w:tcBorders>
              <w:top w:val="single" w:sz="6" w:space="0" w:color="000000"/>
              <w:left w:val="single" w:sz="6" w:space="0" w:color="000000"/>
              <w:bottom w:val="single" w:sz="6" w:space="0" w:color="000000"/>
              <w:right w:val="single" w:sz="6" w:space="0" w:color="000000"/>
            </w:tcBorders>
          </w:tcPr>
          <w:p w14:paraId="48B894FA" w14:textId="77777777" w:rsidR="00686116" w:rsidRPr="00BC0E7E" w:rsidRDefault="00944B8F" w:rsidP="00271199">
            <w:pPr>
              <w:keepNext/>
              <w:keepLines/>
              <w:tabs>
                <w:tab w:val="clear" w:pos="562"/>
                <w:tab w:val="left" w:pos="-1080"/>
              </w:tabs>
              <w:suppressAutoHyphens w:val="0"/>
              <w:autoSpaceDE w:val="0"/>
              <w:autoSpaceDN w:val="0"/>
              <w:adjustRightInd w:val="0"/>
              <w:rPr>
                <w:bCs/>
              </w:rPr>
            </w:pPr>
            <w:r w:rsidRPr="00BC0E7E">
              <w:rPr>
                <w:bCs/>
                <w:szCs w:val="22"/>
              </w:rPr>
              <w:t>Week 52</w:t>
            </w:r>
          </w:p>
        </w:tc>
        <w:tc>
          <w:tcPr>
            <w:tcW w:w="1656" w:type="dxa"/>
            <w:tcBorders>
              <w:top w:val="single" w:sz="6" w:space="0" w:color="000000"/>
              <w:left w:val="single" w:sz="6" w:space="0" w:color="000000"/>
              <w:bottom w:val="single" w:sz="6" w:space="0" w:color="000000"/>
              <w:right w:val="single" w:sz="6" w:space="0" w:color="000000"/>
            </w:tcBorders>
          </w:tcPr>
          <w:p w14:paraId="6C3821B2"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szCs w:val="22"/>
              </w:rPr>
              <w:t>30.0%</w:t>
            </w:r>
          </w:p>
        </w:tc>
        <w:tc>
          <w:tcPr>
            <w:tcW w:w="1619" w:type="dxa"/>
            <w:tcBorders>
              <w:top w:val="single" w:sz="6" w:space="0" w:color="000000"/>
              <w:left w:val="single" w:sz="6" w:space="0" w:color="000000"/>
              <w:bottom w:val="single" w:sz="6" w:space="0" w:color="000000"/>
              <w:right w:val="single" w:sz="6" w:space="0" w:color="000000"/>
            </w:tcBorders>
          </w:tcPr>
          <w:p w14:paraId="40719290"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szCs w:val="22"/>
              </w:rPr>
              <w:t>29.8%</w:t>
            </w:r>
          </w:p>
        </w:tc>
        <w:tc>
          <w:tcPr>
            <w:tcW w:w="1140" w:type="dxa"/>
            <w:tcBorders>
              <w:top w:val="single" w:sz="6" w:space="0" w:color="000000"/>
              <w:left w:val="single" w:sz="6" w:space="0" w:color="000000"/>
              <w:bottom w:val="single" w:sz="6" w:space="0" w:color="000000"/>
              <w:right w:val="single" w:sz="6" w:space="0" w:color="000000"/>
            </w:tcBorders>
          </w:tcPr>
          <w:p w14:paraId="6010838A"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szCs w:val="22"/>
              </w:rPr>
              <w:t>0.983</w:t>
            </w:r>
          </w:p>
        </w:tc>
      </w:tr>
      <w:tr w:rsidR="00C6578C" w14:paraId="06EFDBBD" w14:textId="77777777" w:rsidTr="00271199">
        <w:trPr>
          <w:jc w:val="center"/>
        </w:trPr>
        <w:tc>
          <w:tcPr>
            <w:tcW w:w="4025" w:type="dxa"/>
            <w:tcBorders>
              <w:top w:val="single" w:sz="6" w:space="0" w:color="000000"/>
              <w:left w:val="single" w:sz="6" w:space="0" w:color="000000"/>
              <w:bottom w:val="single" w:sz="6" w:space="0" w:color="000000"/>
              <w:right w:val="single" w:sz="6" w:space="0" w:color="000000"/>
            </w:tcBorders>
          </w:tcPr>
          <w:p w14:paraId="4D5F8DE0" w14:textId="77777777" w:rsidR="00686116" w:rsidRPr="00BC0E7E" w:rsidRDefault="00944B8F" w:rsidP="00271199">
            <w:pPr>
              <w:keepNext/>
              <w:keepLines/>
              <w:tabs>
                <w:tab w:val="clear" w:pos="562"/>
                <w:tab w:val="left" w:pos="-1080"/>
              </w:tabs>
              <w:suppressAutoHyphens w:val="0"/>
              <w:autoSpaceDE w:val="0"/>
              <w:autoSpaceDN w:val="0"/>
              <w:adjustRightInd w:val="0"/>
              <w:rPr>
                <w:b/>
                <w:bCs/>
              </w:rPr>
            </w:pPr>
            <w:r w:rsidRPr="00BC0E7E">
              <w:rPr>
                <w:b/>
              </w:rPr>
              <w:t>Fistula remission</w:t>
            </w:r>
            <w:r w:rsidRPr="00BC0E7E">
              <w:rPr>
                <w:b/>
                <w:vertAlign w:val="superscript"/>
              </w:rPr>
              <w:t>3</w:t>
            </w:r>
          </w:p>
        </w:tc>
        <w:tc>
          <w:tcPr>
            <w:tcW w:w="1656" w:type="dxa"/>
            <w:tcBorders>
              <w:top w:val="single" w:sz="6" w:space="0" w:color="000000"/>
              <w:left w:val="single" w:sz="6" w:space="0" w:color="000000"/>
              <w:bottom w:val="single" w:sz="6" w:space="0" w:color="000000"/>
              <w:right w:val="single" w:sz="6" w:space="0" w:color="000000"/>
            </w:tcBorders>
          </w:tcPr>
          <w:p w14:paraId="65D2AB41"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b/>
                <w:szCs w:val="22"/>
              </w:rPr>
              <w:t>N=15</w:t>
            </w:r>
          </w:p>
        </w:tc>
        <w:tc>
          <w:tcPr>
            <w:tcW w:w="1619" w:type="dxa"/>
            <w:tcBorders>
              <w:top w:val="single" w:sz="6" w:space="0" w:color="000000"/>
              <w:left w:val="single" w:sz="6" w:space="0" w:color="000000"/>
              <w:bottom w:val="single" w:sz="6" w:space="0" w:color="000000"/>
              <w:right w:val="single" w:sz="6" w:space="0" w:color="000000"/>
            </w:tcBorders>
          </w:tcPr>
          <w:p w14:paraId="5E00D77F"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rPr>
                <w:b/>
                <w:szCs w:val="22"/>
              </w:rPr>
              <w:t>N=21</w:t>
            </w:r>
          </w:p>
        </w:tc>
        <w:tc>
          <w:tcPr>
            <w:tcW w:w="1140" w:type="dxa"/>
            <w:tcBorders>
              <w:top w:val="single" w:sz="6" w:space="0" w:color="000000"/>
              <w:left w:val="single" w:sz="6" w:space="0" w:color="000000"/>
              <w:bottom w:val="single" w:sz="6" w:space="0" w:color="000000"/>
              <w:right w:val="single" w:sz="6" w:space="0" w:color="000000"/>
            </w:tcBorders>
          </w:tcPr>
          <w:p w14:paraId="6157F8C7" w14:textId="77777777" w:rsidR="00686116" w:rsidRPr="00BC0E7E" w:rsidRDefault="00686116" w:rsidP="00271199">
            <w:pPr>
              <w:keepNext/>
              <w:keepLines/>
              <w:tabs>
                <w:tab w:val="clear" w:pos="562"/>
                <w:tab w:val="left" w:pos="-1080"/>
              </w:tabs>
              <w:suppressAutoHyphens w:val="0"/>
              <w:autoSpaceDE w:val="0"/>
              <w:autoSpaceDN w:val="0"/>
              <w:adjustRightInd w:val="0"/>
              <w:ind w:left="15"/>
              <w:jc w:val="center"/>
            </w:pPr>
          </w:p>
        </w:tc>
      </w:tr>
      <w:tr w:rsidR="00C6578C" w14:paraId="6450B3E1" w14:textId="77777777" w:rsidTr="00271199">
        <w:trPr>
          <w:jc w:val="center"/>
        </w:trPr>
        <w:tc>
          <w:tcPr>
            <w:tcW w:w="4025" w:type="dxa"/>
            <w:tcBorders>
              <w:top w:val="single" w:sz="6" w:space="0" w:color="000000"/>
              <w:left w:val="single" w:sz="6" w:space="0" w:color="000000"/>
              <w:bottom w:val="single" w:sz="6" w:space="0" w:color="000000"/>
              <w:right w:val="single" w:sz="6" w:space="0" w:color="000000"/>
            </w:tcBorders>
          </w:tcPr>
          <w:p w14:paraId="3ACD9549" w14:textId="77777777" w:rsidR="00686116" w:rsidRPr="00BC0E7E" w:rsidRDefault="00944B8F" w:rsidP="00271199">
            <w:pPr>
              <w:keepNext/>
              <w:keepLines/>
              <w:tabs>
                <w:tab w:val="clear" w:pos="562"/>
                <w:tab w:val="left" w:pos="-1080"/>
              </w:tabs>
              <w:suppressAutoHyphens w:val="0"/>
              <w:autoSpaceDE w:val="0"/>
              <w:autoSpaceDN w:val="0"/>
              <w:adjustRightInd w:val="0"/>
              <w:rPr>
                <w:bCs/>
              </w:rPr>
            </w:pPr>
            <w:r w:rsidRPr="00BC0E7E">
              <w:rPr>
                <w:bCs/>
                <w:szCs w:val="22"/>
              </w:rPr>
              <w:t>Week 26</w:t>
            </w:r>
          </w:p>
        </w:tc>
        <w:tc>
          <w:tcPr>
            <w:tcW w:w="1656" w:type="dxa"/>
            <w:tcBorders>
              <w:top w:val="single" w:sz="6" w:space="0" w:color="000000"/>
              <w:left w:val="single" w:sz="6" w:space="0" w:color="000000"/>
              <w:bottom w:val="single" w:sz="6" w:space="0" w:color="000000"/>
              <w:right w:val="single" w:sz="6" w:space="0" w:color="000000"/>
            </w:tcBorders>
          </w:tcPr>
          <w:p w14:paraId="7BE4F120"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t>46.7%</w:t>
            </w:r>
          </w:p>
        </w:tc>
        <w:tc>
          <w:tcPr>
            <w:tcW w:w="1619" w:type="dxa"/>
            <w:tcBorders>
              <w:top w:val="single" w:sz="6" w:space="0" w:color="000000"/>
              <w:left w:val="single" w:sz="6" w:space="0" w:color="000000"/>
              <w:bottom w:val="single" w:sz="6" w:space="0" w:color="000000"/>
              <w:right w:val="single" w:sz="6" w:space="0" w:color="000000"/>
            </w:tcBorders>
          </w:tcPr>
          <w:p w14:paraId="19035023"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t>38.1%</w:t>
            </w:r>
          </w:p>
        </w:tc>
        <w:tc>
          <w:tcPr>
            <w:tcW w:w="1140" w:type="dxa"/>
            <w:tcBorders>
              <w:top w:val="single" w:sz="6" w:space="0" w:color="000000"/>
              <w:left w:val="single" w:sz="6" w:space="0" w:color="000000"/>
              <w:bottom w:val="single" w:sz="6" w:space="0" w:color="000000"/>
              <w:right w:val="single" w:sz="6" w:space="0" w:color="000000"/>
            </w:tcBorders>
          </w:tcPr>
          <w:p w14:paraId="2F261DC4"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t>0.608</w:t>
            </w:r>
          </w:p>
        </w:tc>
      </w:tr>
      <w:tr w:rsidR="00C6578C" w14:paraId="459A47DF" w14:textId="77777777" w:rsidTr="00271199">
        <w:trPr>
          <w:jc w:val="center"/>
        </w:trPr>
        <w:tc>
          <w:tcPr>
            <w:tcW w:w="4025" w:type="dxa"/>
            <w:tcBorders>
              <w:top w:val="single" w:sz="6" w:space="0" w:color="000000"/>
              <w:left w:val="single" w:sz="6" w:space="0" w:color="000000"/>
              <w:bottom w:val="single" w:sz="4" w:space="0" w:color="auto"/>
              <w:right w:val="single" w:sz="6" w:space="0" w:color="000000"/>
            </w:tcBorders>
          </w:tcPr>
          <w:p w14:paraId="0711AA1D" w14:textId="77777777" w:rsidR="00686116" w:rsidRPr="00BC0E7E" w:rsidRDefault="00944B8F" w:rsidP="00271199">
            <w:pPr>
              <w:keepNext/>
              <w:keepLines/>
              <w:tabs>
                <w:tab w:val="clear" w:pos="562"/>
                <w:tab w:val="left" w:pos="-1080"/>
              </w:tabs>
              <w:suppressAutoHyphens w:val="0"/>
              <w:autoSpaceDE w:val="0"/>
              <w:autoSpaceDN w:val="0"/>
              <w:adjustRightInd w:val="0"/>
              <w:rPr>
                <w:bCs/>
              </w:rPr>
            </w:pPr>
            <w:r w:rsidRPr="00BC0E7E">
              <w:t>Week 52</w:t>
            </w:r>
          </w:p>
        </w:tc>
        <w:tc>
          <w:tcPr>
            <w:tcW w:w="1656" w:type="dxa"/>
            <w:tcBorders>
              <w:top w:val="single" w:sz="6" w:space="0" w:color="000000"/>
              <w:left w:val="single" w:sz="6" w:space="0" w:color="000000"/>
              <w:bottom w:val="single" w:sz="4" w:space="0" w:color="auto"/>
              <w:right w:val="single" w:sz="6" w:space="0" w:color="000000"/>
            </w:tcBorders>
          </w:tcPr>
          <w:p w14:paraId="4BB7D92D"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t>40.0%</w:t>
            </w:r>
          </w:p>
        </w:tc>
        <w:tc>
          <w:tcPr>
            <w:tcW w:w="1619" w:type="dxa"/>
            <w:tcBorders>
              <w:top w:val="single" w:sz="6" w:space="0" w:color="000000"/>
              <w:left w:val="single" w:sz="6" w:space="0" w:color="000000"/>
              <w:bottom w:val="single" w:sz="4" w:space="0" w:color="auto"/>
              <w:right w:val="single" w:sz="6" w:space="0" w:color="000000"/>
            </w:tcBorders>
          </w:tcPr>
          <w:p w14:paraId="6713677D"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t>23.8%</w:t>
            </w:r>
          </w:p>
        </w:tc>
        <w:tc>
          <w:tcPr>
            <w:tcW w:w="1140" w:type="dxa"/>
            <w:tcBorders>
              <w:top w:val="single" w:sz="6" w:space="0" w:color="000000"/>
              <w:left w:val="single" w:sz="6" w:space="0" w:color="000000"/>
              <w:bottom w:val="single" w:sz="4" w:space="0" w:color="auto"/>
              <w:right w:val="single" w:sz="6" w:space="0" w:color="000000"/>
            </w:tcBorders>
          </w:tcPr>
          <w:p w14:paraId="6E7625F0" w14:textId="77777777" w:rsidR="00686116" w:rsidRPr="00BC0E7E" w:rsidRDefault="00944B8F" w:rsidP="00271199">
            <w:pPr>
              <w:keepNext/>
              <w:keepLines/>
              <w:tabs>
                <w:tab w:val="clear" w:pos="562"/>
                <w:tab w:val="left" w:pos="-1080"/>
              </w:tabs>
              <w:suppressAutoHyphens w:val="0"/>
              <w:autoSpaceDE w:val="0"/>
              <w:autoSpaceDN w:val="0"/>
              <w:adjustRightInd w:val="0"/>
              <w:ind w:left="15"/>
              <w:jc w:val="center"/>
            </w:pPr>
            <w:r w:rsidRPr="00BC0E7E">
              <w:t>0.303</w:t>
            </w:r>
          </w:p>
        </w:tc>
      </w:tr>
      <w:tr w:rsidR="00C6578C" w14:paraId="7882F665" w14:textId="77777777" w:rsidTr="00271199">
        <w:trPr>
          <w:trHeight w:val="177"/>
          <w:jc w:val="center"/>
        </w:trPr>
        <w:tc>
          <w:tcPr>
            <w:tcW w:w="8440" w:type="dxa"/>
            <w:gridSpan w:val="4"/>
            <w:tcBorders>
              <w:top w:val="single" w:sz="4" w:space="0" w:color="auto"/>
            </w:tcBorders>
          </w:tcPr>
          <w:p w14:paraId="4AC40E34" w14:textId="77777777" w:rsidR="00686116" w:rsidRPr="00BC0E7E" w:rsidRDefault="00944B8F" w:rsidP="00271199">
            <w:pPr>
              <w:keepNext/>
              <w:keepLines/>
              <w:tabs>
                <w:tab w:val="clear" w:pos="562"/>
                <w:tab w:val="left" w:pos="-1080"/>
              </w:tabs>
              <w:suppressAutoHyphens w:val="0"/>
              <w:autoSpaceDE w:val="0"/>
              <w:autoSpaceDN w:val="0"/>
              <w:adjustRightInd w:val="0"/>
            </w:pPr>
            <w:r w:rsidRPr="00BC0E7E">
              <w:rPr>
                <w:szCs w:val="22"/>
                <w:vertAlign w:val="superscript"/>
              </w:rPr>
              <w:t>1</w:t>
            </w:r>
            <w:r w:rsidRPr="00BC0E7E">
              <w:rPr>
                <w:szCs w:val="22"/>
              </w:rPr>
              <w:t xml:space="preserve">  p value for Standard Dose </w:t>
            </w:r>
            <w:r w:rsidRPr="00BC0E7E">
              <w:rPr>
                <w:i/>
                <w:iCs/>
                <w:szCs w:val="22"/>
              </w:rPr>
              <w:t>versus</w:t>
            </w:r>
            <w:r w:rsidRPr="00BC0E7E">
              <w:rPr>
                <w:szCs w:val="22"/>
              </w:rPr>
              <w:t xml:space="preserve"> Low Dose comparison.</w:t>
            </w:r>
          </w:p>
          <w:p w14:paraId="5E61B2B6" w14:textId="77777777" w:rsidR="00686116" w:rsidRPr="00BC0E7E" w:rsidRDefault="00944B8F" w:rsidP="00271199">
            <w:pPr>
              <w:keepNext/>
              <w:keepLines/>
              <w:tabs>
                <w:tab w:val="clear" w:pos="562"/>
                <w:tab w:val="left" w:pos="-1080"/>
              </w:tabs>
              <w:suppressAutoHyphens w:val="0"/>
              <w:autoSpaceDE w:val="0"/>
              <w:autoSpaceDN w:val="0"/>
              <w:adjustRightInd w:val="0"/>
            </w:pPr>
            <w:r w:rsidRPr="00BC0E7E">
              <w:rPr>
                <w:szCs w:val="22"/>
                <w:vertAlign w:val="superscript"/>
              </w:rPr>
              <w:t>2</w:t>
            </w:r>
            <w:r w:rsidRPr="00BC0E7E">
              <w:rPr>
                <w:szCs w:val="22"/>
              </w:rPr>
              <w:t xml:space="preserve">  Immunosuppressant therapy could only be discontinued at or after Week 26 at the investigator's discretion if the subject met the clinical response criterion </w:t>
            </w:r>
          </w:p>
          <w:p w14:paraId="6511D771" w14:textId="77777777" w:rsidR="00686116" w:rsidRPr="00BC0E7E" w:rsidRDefault="00944B8F" w:rsidP="00271199">
            <w:pPr>
              <w:keepNext/>
              <w:keepLines/>
              <w:tabs>
                <w:tab w:val="clear" w:pos="562"/>
                <w:tab w:val="left" w:pos="-1080"/>
              </w:tabs>
              <w:suppressAutoHyphens w:val="0"/>
              <w:autoSpaceDE w:val="0"/>
              <w:autoSpaceDN w:val="0"/>
              <w:adjustRightInd w:val="0"/>
            </w:pPr>
            <w:r w:rsidRPr="00BC0E7E">
              <w:rPr>
                <w:szCs w:val="22"/>
                <w:vertAlign w:val="superscript"/>
              </w:rPr>
              <w:t>3</w:t>
            </w:r>
            <w:r w:rsidRPr="00BC0E7E">
              <w:rPr>
                <w:szCs w:val="22"/>
              </w:rPr>
              <w:t xml:space="preserve"> defined as a closure of all fistulas that were draining at Baseline for at least 2 consecutive post-Baseline visits</w:t>
            </w:r>
          </w:p>
        </w:tc>
      </w:tr>
    </w:tbl>
    <w:p w14:paraId="5333738E" w14:textId="77777777" w:rsidR="00686116" w:rsidRPr="00BC0E7E" w:rsidRDefault="00686116" w:rsidP="00686116">
      <w:pPr>
        <w:tabs>
          <w:tab w:val="left" w:pos="1294"/>
        </w:tabs>
        <w:autoSpaceDE w:val="0"/>
        <w:autoSpaceDN w:val="0"/>
        <w:adjustRightInd w:val="0"/>
        <w:rPr>
          <w:szCs w:val="22"/>
        </w:rPr>
      </w:pPr>
    </w:p>
    <w:p w14:paraId="77E4F9F5" w14:textId="77777777" w:rsidR="00686116" w:rsidRPr="00BC0E7E" w:rsidRDefault="00944B8F" w:rsidP="00686116">
      <w:pPr>
        <w:rPr>
          <w:szCs w:val="22"/>
        </w:rPr>
      </w:pPr>
      <w:r w:rsidRPr="00BC0E7E">
        <w:rPr>
          <w:szCs w:val="20"/>
        </w:rPr>
        <w:t>Statistically significant</w:t>
      </w:r>
      <w:r w:rsidRPr="00BC0E7E">
        <w:rPr>
          <w:szCs w:val="22"/>
        </w:rPr>
        <w:t xml:space="preserve"> increases (improvement) from Baseline to Week 26 and 52 in Body Mass Index and height velocity were observed for both treatment groups.</w:t>
      </w:r>
    </w:p>
    <w:p w14:paraId="26561102" w14:textId="77777777" w:rsidR="00686116" w:rsidRPr="00BC0E7E" w:rsidRDefault="00686116" w:rsidP="00686116">
      <w:pPr>
        <w:rPr>
          <w:szCs w:val="20"/>
        </w:rPr>
      </w:pPr>
    </w:p>
    <w:p w14:paraId="4ED74DDF" w14:textId="77777777" w:rsidR="00686116" w:rsidRPr="00BC0E7E" w:rsidRDefault="00944B8F" w:rsidP="00686116">
      <w:pPr>
        <w:rPr>
          <w:szCs w:val="20"/>
        </w:rPr>
      </w:pPr>
      <w:r w:rsidRPr="00BC0E7E">
        <w:rPr>
          <w:bCs/>
          <w:szCs w:val="22"/>
        </w:rPr>
        <w:t>Statistically and clinically significant improvements from Baseline were also observed in both treatment groups for quality of life parameters (including IMPACT III)</w:t>
      </w:r>
      <w:r w:rsidRPr="00BC0E7E">
        <w:rPr>
          <w:szCs w:val="20"/>
        </w:rPr>
        <w:t>.</w:t>
      </w:r>
    </w:p>
    <w:p w14:paraId="34D33D2D" w14:textId="77777777" w:rsidR="00686116" w:rsidRPr="00BC0E7E" w:rsidRDefault="00686116" w:rsidP="00686116">
      <w:pPr>
        <w:rPr>
          <w:szCs w:val="20"/>
        </w:rPr>
      </w:pPr>
    </w:p>
    <w:p w14:paraId="26DEC708" w14:textId="77777777" w:rsidR="00686116" w:rsidRPr="00BC0E7E" w:rsidRDefault="00944B8F" w:rsidP="00686116">
      <w:pPr>
        <w:rPr>
          <w:szCs w:val="20"/>
        </w:rPr>
      </w:pPr>
      <w:r w:rsidRPr="00BC0E7E">
        <w:rPr>
          <w:szCs w:val="20"/>
        </w:rPr>
        <w:t>One hundred patients (n=100) from the Paediatric CD Study continued in an open-label long-term extension study.  After 5 years of adalimumab therapy, 74.0% (37/50) of the 50 patients remaining in the study continued to be in clinical remission, and 92.0% (46/50) of patients continued to be in clinical response per PCDAI.</w:t>
      </w:r>
    </w:p>
    <w:p w14:paraId="4B865606" w14:textId="77777777" w:rsidR="00686116" w:rsidRDefault="00686116" w:rsidP="00BC0E7E">
      <w:pPr>
        <w:rPr>
          <w:szCs w:val="22"/>
          <w:lang w:eastAsia="en-GB"/>
        </w:rPr>
      </w:pPr>
    </w:p>
    <w:p w14:paraId="7B9EEF08" w14:textId="77777777" w:rsidR="00630394" w:rsidRDefault="00944B8F" w:rsidP="00630394">
      <w:pPr>
        <w:keepNext/>
        <w:rPr>
          <w:bCs/>
          <w:i/>
          <w:szCs w:val="22"/>
        </w:rPr>
      </w:pPr>
      <w:r>
        <w:rPr>
          <w:bCs/>
          <w:i/>
          <w:szCs w:val="22"/>
        </w:rPr>
        <w:t>Paediatric ulcerative colitis</w:t>
      </w:r>
    </w:p>
    <w:p w14:paraId="1B44F15B" w14:textId="77777777" w:rsidR="00630394" w:rsidRDefault="00630394" w:rsidP="00630394">
      <w:pPr>
        <w:keepNext/>
        <w:rPr>
          <w:bCs/>
          <w:i/>
          <w:szCs w:val="22"/>
        </w:rPr>
      </w:pPr>
    </w:p>
    <w:p w14:paraId="3EEBF5D1" w14:textId="77777777" w:rsidR="00630394" w:rsidRDefault="00944B8F" w:rsidP="00630394">
      <w:pPr>
        <w:rPr>
          <w:lang w:val="en-US"/>
        </w:rPr>
      </w:pPr>
      <w:r>
        <w:rPr>
          <w:lang w:val="en-US"/>
        </w:rPr>
        <w:t>The safety and efficacy of Humira was assessed in a multicenter, randomized, double-blind, trial in 93 p</w:t>
      </w:r>
      <w:r w:rsidR="005F249E">
        <w:rPr>
          <w:lang w:val="en-US"/>
        </w:rPr>
        <w:t>a</w:t>
      </w:r>
      <w:r>
        <w:rPr>
          <w:lang w:val="en-US"/>
        </w:rPr>
        <w:t>ediatric patients from 5 to 17 years of age with moderate to severe ulcerative colitis (Mayo score 6 to 12 with endoscopy subscore of 2 to 3 points, confirmed by centrally read endoscopy) who had an inadequate response or intolerance to conventional therapy. Approximately 16% of patients in the study had failed prior anti-TNF treatment. Patients who received corticosteroids at enrollment were allowed to taper their corticosteroid therapy after Week 4.</w:t>
      </w:r>
    </w:p>
    <w:p w14:paraId="7D4230E2" w14:textId="77777777" w:rsidR="00630394" w:rsidRDefault="00630394" w:rsidP="00630394">
      <w:pPr>
        <w:rPr>
          <w:lang w:val="en-US"/>
        </w:rPr>
      </w:pPr>
    </w:p>
    <w:p w14:paraId="6F5A45C2" w14:textId="77777777" w:rsidR="00C52E87" w:rsidRPr="00C52E87" w:rsidRDefault="00944B8F" w:rsidP="00C52E87">
      <w:pPr>
        <w:rPr>
          <w:lang w:val="en-US"/>
        </w:rPr>
      </w:pPr>
      <w:r w:rsidRPr="00C52E87">
        <w:rPr>
          <w:rStyle w:val="normaltextrun"/>
          <w:shd w:val="clear" w:color="auto" w:fill="FFFFFF"/>
          <w:lang w:val="en-US"/>
        </w:rPr>
        <w:t>In the induction period of the study, 77 patients were randomized 3:2 to receive double-blind treatment with Humira at an induction dose of 2.4 mg/kg (maximum of 160 mg) at Week 0 and Week 1, and 1.2 mg/kg (maximum of 80 mg) at Week 2; or an induction dose of 2.4 mg/kg (maximum of 160 mg) at Week 0, placebo at Week 1, and 1.2 mg/kg (maximum of 80 mg) at Week 2. Both groups received 0.6 mg/kg (maximum of 40 mg) at Week 4 and Week 6. Following an amendment to the study design, the remaining 16 patients who enrolled in the induction period received open-label treatment with Humira at the induction dose of 2.4 mg/kg (maximum of 160 mg) at Week 0 and Week 1, and 1.2 mg/kg (maximum of 80 mg) at Week 2.</w:t>
      </w:r>
      <w:r w:rsidRPr="00C52E87">
        <w:rPr>
          <w:rStyle w:val="eop"/>
          <w:shd w:val="clear" w:color="auto" w:fill="FFFFFF"/>
        </w:rPr>
        <w:t> </w:t>
      </w:r>
    </w:p>
    <w:p w14:paraId="753326D3" w14:textId="77777777" w:rsidR="00C52E87" w:rsidRPr="00C52E87" w:rsidRDefault="00C52E87" w:rsidP="00C52E87">
      <w:pPr>
        <w:rPr>
          <w:lang w:val="en-US"/>
        </w:rPr>
      </w:pPr>
    </w:p>
    <w:p w14:paraId="46655687" w14:textId="77777777" w:rsidR="00C52E87" w:rsidRPr="00C52E87" w:rsidRDefault="00944B8F" w:rsidP="00C52E87">
      <w:pPr>
        <w:rPr>
          <w:rStyle w:val="eop"/>
          <w:shd w:val="clear" w:color="auto" w:fill="FFFFFF"/>
        </w:rPr>
      </w:pPr>
      <w:r w:rsidRPr="00C52E87">
        <w:rPr>
          <w:rStyle w:val="normaltextrun"/>
          <w:shd w:val="clear" w:color="auto" w:fill="FFFFFF"/>
          <w:lang w:val="en-US"/>
        </w:rPr>
        <w:t>At Week 8, 62 patients who demonstrated clinical response per Partial Mayo Score (PMS; defined as a decrease in PMS ≥ 2 points and ≥ 30% from Baseline) were randomized equally to receive double-blind maintenance treatment with Humira at a dose of 0.6 mg/kg (maximum of 40 mg) every week (</w:t>
      </w:r>
      <w:r w:rsidRPr="00C52E87">
        <w:rPr>
          <w:rStyle w:val="spellingerror"/>
          <w:shd w:val="clear" w:color="auto" w:fill="FFFFFF"/>
          <w:lang w:val="en-US"/>
        </w:rPr>
        <w:t>ew</w:t>
      </w:r>
      <w:r w:rsidRPr="00C52E87">
        <w:rPr>
          <w:rStyle w:val="normaltextrun"/>
          <w:shd w:val="clear" w:color="auto" w:fill="FFFFFF"/>
          <w:lang w:val="en-US"/>
        </w:rPr>
        <w:t>), or a maintenance dose of 0.6 mg/kg (maximum of 40 mg) every other week (</w:t>
      </w:r>
      <w:r w:rsidRPr="00C52E87">
        <w:rPr>
          <w:rStyle w:val="spellingerror"/>
          <w:shd w:val="clear" w:color="auto" w:fill="FFFFFF"/>
          <w:lang w:val="en-US"/>
        </w:rPr>
        <w:t>eow</w:t>
      </w:r>
      <w:r w:rsidRPr="00C52E87">
        <w:rPr>
          <w:rStyle w:val="normaltextrun"/>
          <w:shd w:val="clear" w:color="auto" w:fill="FFFFFF"/>
          <w:lang w:val="en-US"/>
        </w:rPr>
        <w:t>). Prior to an amendment to the study design, 12 additional patients who demonstrated clinical response per PMS were randomized to receive placebo but were not included in the confirmatory analysis of efficacy.</w:t>
      </w:r>
    </w:p>
    <w:p w14:paraId="38B545D8" w14:textId="77777777" w:rsidR="00630394" w:rsidRDefault="00630394" w:rsidP="00630394">
      <w:pPr>
        <w:rPr>
          <w:lang w:val="en-US"/>
        </w:rPr>
      </w:pPr>
    </w:p>
    <w:p w14:paraId="1D455047" w14:textId="77777777" w:rsidR="00630394" w:rsidRPr="00255EBC" w:rsidRDefault="00944B8F" w:rsidP="00630394">
      <w:pPr>
        <w:rPr>
          <w:lang w:val="en-US"/>
        </w:rPr>
      </w:pPr>
      <w:r w:rsidRPr="00255EBC">
        <w:rPr>
          <w:lang w:val="en-US"/>
        </w:rPr>
        <w:t xml:space="preserve">Disease flare was defined as an increase in PMS of </w:t>
      </w:r>
      <w:r w:rsidR="00D9267D">
        <w:rPr>
          <w:lang w:val="en-US"/>
        </w:rPr>
        <w:t xml:space="preserve">at least </w:t>
      </w:r>
      <w:r w:rsidRPr="00255EBC">
        <w:rPr>
          <w:lang w:val="en-US"/>
        </w:rPr>
        <w:t xml:space="preserve">3 points (for patients with PMS of 0 to 2 at Week 8), </w:t>
      </w:r>
      <w:r w:rsidR="00D9267D">
        <w:rPr>
          <w:lang w:val="en-US"/>
        </w:rPr>
        <w:t xml:space="preserve">at least </w:t>
      </w:r>
      <w:r w:rsidRPr="00255EBC">
        <w:rPr>
          <w:lang w:val="en-US"/>
        </w:rPr>
        <w:t xml:space="preserve">2 points (for patients with PMS of 3 to 4 at Week 8), or </w:t>
      </w:r>
      <w:r w:rsidR="00D9267D">
        <w:rPr>
          <w:lang w:val="en-US"/>
        </w:rPr>
        <w:t xml:space="preserve">at least </w:t>
      </w:r>
      <w:r w:rsidRPr="00255EBC">
        <w:rPr>
          <w:lang w:val="en-US"/>
        </w:rPr>
        <w:t>1 point (for patients with PMS of 5 to 6 at Week 8). </w:t>
      </w:r>
    </w:p>
    <w:p w14:paraId="07258159" w14:textId="77777777" w:rsidR="00630394" w:rsidRPr="00255EBC" w:rsidRDefault="00630394" w:rsidP="00630394">
      <w:pPr>
        <w:rPr>
          <w:lang w:val="en-US"/>
        </w:rPr>
      </w:pPr>
    </w:p>
    <w:p w14:paraId="44DFE6BC" w14:textId="77777777" w:rsidR="00630394" w:rsidRPr="00255EBC" w:rsidRDefault="00944B8F" w:rsidP="00630394">
      <w:pPr>
        <w:rPr>
          <w:lang w:val="en-US"/>
        </w:rPr>
      </w:pPr>
      <w:r w:rsidRPr="00255EBC">
        <w:rPr>
          <w:lang w:val="en-US"/>
        </w:rPr>
        <w:t>Patients who met criteria for disease flare at or after Week 12 were randomized to receive a re-induction dose of 2.4 mg/kg (maximum of 160 mg) or a dose of 0.6 mg/kg (maximum of 40 mg) and continued to receive their respective maintenance dose regimen afterwards. </w:t>
      </w:r>
    </w:p>
    <w:p w14:paraId="5CA38500" w14:textId="77777777" w:rsidR="00AB3AFC" w:rsidRPr="002A70BB" w:rsidRDefault="00AB3AFC" w:rsidP="006160FE">
      <w:pPr>
        <w:pStyle w:val="gtcbodytext"/>
        <w:spacing w:before="0" w:after="0" w:line="240" w:lineRule="auto"/>
        <w:rPr>
          <w:sz w:val="22"/>
          <w:szCs w:val="22"/>
        </w:rPr>
      </w:pPr>
    </w:p>
    <w:p w14:paraId="08322E84" w14:textId="77777777" w:rsidR="00630394" w:rsidRDefault="00944B8F" w:rsidP="00AB3AFC">
      <w:pPr>
        <w:pStyle w:val="gtcbodytext"/>
        <w:spacing w:before="0" w:after="0"/>
        <w:rPr>
          <w:i/>
          <w:iCs/>
          <w:sz w:val="22"/>
          <w:szCs w:val="22"/>
        </w:rPr>
      </w:pPr>
      <w:r w:rsidRPr="000149FD">
        <w:rPr>
          <w:i/>
          <w:iCs/>
          <w:sz w:val="22"/>
          <w:szCs w:val="22"/>
        </w:rPr>
        <w:t>Efficacy Results</w:t>
      </w:r>
    </w:p>
    <w:p w14:paraId="082F2572" w14:textId="77777777" w:rsidR="00AB3AFC" w:rsidRPr="002A70BB" w:rsidRDefault="00AB3AFC" w:rsidP="006160FE">
      <w:pPr>
        <w:pStyle w:val="gtcbodytext"/>
        <w:spacing w:before="0" w:after="0" w:line="240" w:lineRule="auto"/>
        <w:rPr>
          <w:sz w:val="22"/>
          <w:szCs w:val="22"/>
        </w:rPr>
      </w:pPr>
    </w:p>
    <w:p w14:paraId="13BC2F54" w14:textId="77777777" w:rsidR="00630394" w:rsidRDefault="00944B8F" w:rsidP="00630394">
      <w:pPr>
        <w:rPr>
          <w:lang w:val="en-US"/>
        </w:rPr>
      </w:pPr>
      <w:r>
        <w:rPr>
          <w:lang w:val="en-US"/>
        </w:rPr>
        <w:t>The co-primary endpoints of the study were clinical remission per PMS (defined as PMS ≤ 2 and no individual subscore &gt; 1) at Week 8, and clinical remission per FMS (Full Mayo Score) (defined as a Mayo Score ≤ 2 and no individual subscore &gt; 1) at Week 52 in patients who achieved clinical response per PMS at Week 8.</w:t>
      </w:r>
    </w:p>
    <w:p w14:paraId="357063BC" w14:textId="77777777" w:rsidR="002A70BB" w:rsidRDefault="002A70BB" w:rsidP="00630394">
      <w:pPr>
        <w:rPr>
          <w:lang w:val="en-US"/>
        </w:rPr>
      </w:pPr>
    </w:p>
    <w:p w14:paraId="33AF024F" w14:textId="77777777" w:rsidR="00630394" w:rsidRPr="00075E0D" w:rsidRDefault="00944B8F" w:rsidP="00630394">
      <w:pPr>
        <w:tabs>
          <w:tab w:val="clear" w:pos="562"/>
        </w:tabs>
        <w:suppressAutoHyphens w:val="0"/>
        <w:textAlignment w:val="baseline"/>
        <w:rPr>
          <w:lang w:val="en-US"/>
        </w:rPr>
      </w:pPr>
      <w:r w:rsidRPr="000D5A5A">
        <w:rPr>
          <w:lang w:val="en-US"/>
        </w:rPr>
        <w:t>Clinical remission rates per PMS at Week 8 for patients in each of the Humira double-blind induction groups</w:t>
      </w:r>
      <w:r>
        <w:rPr>
          <w:lang w:val="en-US"/>
        </w:rPr>
        <w:t xml:space="preserve"> are presented in</w:t>
      </w:r>
      <w:r w:rsidRPr="000D5A5A">
        <w:rPr>
          <w:lang w:val="en-US"/>
        </w:rPr>
        <w:t> </w:t>
      </w:r>
      <w:r w:rsidRPr="00075E0D">
        <w:rPr>
          <w:lang w:val="en-US"/>
        </w:rPr>
        <w:t xml:space="preserve">Table </w:t>
      </w:r>
      <w:r w:rsidR="005F03EC">
        <w:rPr>
          <w:lang w:val="en-US"/>
        </w:rPr>
        <w:t>21</w:t>
      </w:r>
      <w:r w:rsidRPr="00075E0D">
        <w:rPr>
          <w:lang w:val="en-US"/>
        </w:rPr>
        <w:t>. </w:t>
      </w:r>
    </w:p>
    <w:p w14:paraId="5BF85076" w14:textId="77777777" w:rsidR="00630394" w:rsidRDefault="00630394" w:rsidP="00630394">
      <w:pPr>
        <w:rPr>
          <w:lang w:val="en-US"/>
        </w:rPr>
      </w:pPr>
    </w:p>
    <w:p w14:paraId="6033AECF" w14:textId="77777777" w:rsidR="00630394" w:rsidRPr="003B65EC" w:rsidRDefault="00944B8F" w:rsidP="00630394">
      <w:pPr>
        <w:pStyle w:val="gtcbodytext"/>
        <w:jc w:val="center"/>
        <w:rPr>
          <w:sz w:val="22"/>
          <w:szCs w:val="22"/>
        </w:rPr>
      </w:pPr>
      <w:r w:rsidRPr="003B65EC">
        <w:rPr>
          <w:b/>
          <w:sz w:val="22"/>
          <w:szCs w:val="22"/>
        </w:rPr>
        <w:t xml:space="preserve">Table </w:t>
      </w:r>
      <w:r w:rsidR="005F03EC" w:rsidRPr="003B65EC">
        <w:rPr>
          <w:b/>
          <w:sz w:val="22"/>
          <w:szCs w:val="22"/>
        </w:rPr>
        <w:t>21</w:t>
      </w:r>
      <w:r w:rsidRPr="003B65EC">
        <w:rPr>
          <w:b/>
          <w:sz w:val="22"/>
          <w:szCs w:val="22"/>
        </w:rPr>
        <w:t xml:space="preserve">: Clinical Remission per PMS at 8 Weeks </w:t>
      </w:r>
    </w:p>
    <w:tbl>
      <w:tblPr>
        <w:tblW w:w="4246" w:type="pct"/>
        <w:jc w:val="center"/>
        <w:tblLook w:val="04A0" w:firstRow="1" w:lastRow="0" w:firstColumn="1" w:lastColumn="0" w:noHBand="0" w:noVBand="1"/>
      </w:tblPr>
      <w:tblGrid>
        <w:gridCol w:w="1977"/>
        <w:gridCol w:w="2976"/>
        <w:gridCol w:w="3031"/>
      </w:tblGrid>
      <w:tr w:rsidR="00C6578C" w14:paraId="6BFEEA72" w14:textId="77777777" w:rsidTr="009D3F74">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9C62346" w14:textId="77777777" w:rsidR="000A0366" w:rsidRPr="00C006EF" w:rsidRDefault="000A0366" w:rsidP="009D3F74">
            <w:pPr>
              <w:rPr>
                <w:szCs w:val="22"/>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14419BD" w14:textId="77777777" w:rsidR="009D3F74" w:rsidRPr="009D3F74" w:rsidRDefault="00944B8F" w:rsidP="009D3F74">
            <w:pPr>
              <w:pStyle w:val="paragraph0"/>
              <w:spacing w:before="0" w:beforeAutospacing="0" w:after="0" w:afterAutospacing="0"/>
              <w:jc w:val="center"/>
              <w:textAlignment w:val="baseline"/>
              <w:rPr>
                <w:rFonts w:ascii="Segoe UI" w:hAnsi="Segoe UI" w:cs="Segoe UI"/>
                <w:b/>
                <w:bCs/>
                <w:sz w:val="22"/>
                <w:szCs w:val="22"/>
              </w:rPr>
            </w:pPr>
            <w:r w:rsidRPr="009D3F74">
              <w:rPr>
                <w:rStyle w:val="spellingerror"/>
                <w:rFonts w:cs="Calibri"/>
                <w:b/>
                <w:bCs/>
                <w:sz w:val="22"/>
                <w:szCs w:val="22"/>
              </w:rPr>
              <w:t>Humira</w:t>
            </w:r>
            <w:r w:rsidRPr="009D3F74">
              <w:rPr>
                <w:rStyle w:val="spellingerror"/>
                <w:rFonts w:cs="Calibri"/>
                <w:b/>
                <w:bCs/>
                <w:sz w:val="22"/>
                <w:szCs w:val="22"/>
                <w:vertAlign w:val="superscript"/>
              </w:rPr>
              <w:t>a</w:t>
            </w:r>
            <w:r w:rsidRPr="009D3F74">
              <w:rPr>
                <w:rStyle w:val="eop"/>
                <w:rFonts w:cs="Calibri"/>
                <w:b/>
                <w:bCs/>
                <w:sz w:val="22"/>
                <w:szCs w:val="22"/>
              </w:rPr>
              <w:t> </w:t>
            </w:r>
          </w:p>
          <w:p w14:paraId="2C9C0AF4" w14:textId="77777777" w:rsidR="009D3F74" w:rsidRPr="009D3F74" w:rsidRDefault="00944B8F" w:rsidP="009D3F74">
            <w:pPr>
              <w:spacing w:line="276" w:lineRule="auto"/>
              <w:jc w:val="center"/>
              <w:rPr>
                <w:rStyle w:val="eop"/>
                <w:rFonts w:cs="Calibri"/>
                <w:b/>
                <w:bCs/>
                <w:szCs w:val="22"/>
              </w:rPr>
            </w:pPr>
            <w:r w:rsidRPr="009D3F74">
              <w:rPr>
                <w:rStyle w:val="normaltextrun"/>
                <w:rFonts w:cs="Calibri"/>
                <w:b/>
                <w:bCs/>
                <w:szCs w:val="22"/>
              </w:rPr>
              <w:t>Maximum of 160 mg at Week 0 / Placebo at Week 1</w:t>
            </w:r>
            <w:r w:rsidRPr="009D3F74">
              <w:rPr>
                <w:rStyle w:val="eop"/>
                <w:rFonts w:cs="Calibri"/>
                <w:b/>
                <w:bCs/>
                <w:szCs w:val="22"/>
              </w:rPr>
              <w:t> </w:t>
            </w:r>
          </w:p>
          <w:p w14:paraId="795CFB52" w14:textId="77777777" w:rsidR="000A0366" w:rsidRPr="004A7E7E" w:rsidRDefault="00944B8F" w:rsidP="009D3F74">
            <w:pPr>
              <w:spacing w:line="276" w:lineRule="auto"/>
              <w:jc w:val="center"/>
              <w:rPr>
                <w:szCs w:val="22"/>
                <w:lang w:val="en-US"/>
              </w:rPr>
            </w:pPr>
            <w:r w:rsidRPr="004A7E7E">
              <w:rPr>
                <w:rStyle w:val="eop"/>
                <w:rFonts w:cs="Calibri"/>
              </w:rPr>
              <w:t>N=30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F226578" w14:textId="77777777" w:rsidR="007D1712" w:rsidRPr="009D3F74" w:rsidRDefault="00944B8F" w:rsidP="007D1712">
            <w:pPr>
              <w:pStyle w:val="paragraph0"/>
              <w:spacing w:before="0" w:beforeAutospacing="0" w:after="0" w:afterAutospacing="0"/>
              <w:jc w:val="center"/>
              <w:textAlignment w:val="baseline"/>
              <w:rPr>
                <w:rFonts w:ascii="Segoe UI" w:hAnsi="Segoe UI" w:cs="Segoe UI"/>
                <w:b/>
                <w:bCs/>
                <w:sz w:val="22"/>
                <w:szCs w:val="22"/>
              </w:rPr>
            </w:pPr>
            <w:r w:rsidRPr="009D3F74">
              <w:rPr>
                <w:rStyle w:val="spellingerror"/>
                <w:rFonts w:cs="Calibri"/>
                <w:b/>
                <w:bCs/>
                <w:sz w:val="22"/>
                <w:szCs w:val="22"/>
              </w:rPr>
              <w:t>Humira</w:t>
            </w:r>
            <w:r w:rsidRPr="009D3F74">
              <w:rPr>
                <w:rStyle w:val="spellingerror"/>
                <w:rFonts w:cs="Calibri"/>
                <w:b/>
                <w:bCs/>
                <w:sz w:val="22"/>
                <w:szCs w:val="22"/>
                <w:vertAlign w:val="superscript"/>
              </w:rPr>
              <w:t>b</w:t>
            </w:r>
            <w:r w:rsidRPr="009D3F74">
              <w:rPr>
                <w:rStyle w:val="normaltextrun"/>
                <w:rFonts w:cs="Calibri"/>
                <w:b/>
                <w:bCs/>
                <w:sz w:val="22"/>
                <w:szCs w:val="22"/>
                <w:vertAlign w:val="superscript"/>
              </w:rPr>
              <w:t>, c</w:t>
            </w:r>
            <w:r w:rsidRPr="009D3F74">
              <w:rPr>
                <w:rStyle w:val="eop"/>
                <w:rFonts w:cs="Calibri"/>
                <w:b/>
                <w:bCs/>
                <w:sz w:val="22"/>
                <w:szCs w:val="22"/>
              </w:rPr>
              <w:t> </w:t>
            </w:r>
          </w:p>
          <w:p w14:paraId="659BABBF" w14:textId="77777777" w:rsidR="007D1712" w:rsidRPr="009D3F74" w:rsidRDefault="00944B8F" w:rsidP="007D1712">
            <w:pPr>
              <w:spacing w:line="276" w:lineRule="auto"/>
              <w:jc w:val="center"/>
              <w:rPr>
                <w:rStyle w:val="eop"/>
                <w:rFonts w:cs="Calibri"/>
                <w:b/>
                <w:bCs/>
                <w:szCs w:val="22"/>
              </w:rPr>
            </w:pPr>
            <w:r w:rsidRPr="009D3F74">
              <w:rPr>
                <w:rStyle w:val="normaltextrun"/>
                <w:rFonts w:cs="Calibri"/>
                <w:b/>
                <w:bCs/>
                <w:szCs w:val="22"/>
              </w:rPr>
              <w:t>Maximum of 160 mg at Week 0 and Week 1</w:t>
            </w:r>
            <w:r w:rsidRPr="009D3F74">
              <w:rPr>
                <w:rStyle w:val="eop"/>
                <w:rFonts w:cs="Calibri"/>
                <w:b/>
                <w:bCs/>
                <w:szCs w:val="22"/>
              </w:rPr>
              <w:t> </w:t>
            </w:r>
          </w:p>
          <w:p w14:paraId="2018A1AB" w14:textId="77777777" w:rsidR="000A0366" w:rsidRPr="004A7E7E" w:rsidRDefault="00944B8F" w:rsidP="009D3F74">
            <w:pPr>
              <w:spacing w:line="276" w:lineRule="auto"/>
              <w:jc w:val="center"/>
              <w:rPr>
                <w:szCs w:val="22"/>
                <w:lang w:val="en-US"/>
              </w:rPr>
            </w:pPr>
            <w:r w:rsidRPr="004A7E7E">
              <w:rPr>
                <w:rStyle w:val="eop"/>
                <w:rFonts w:cs="Calibri"/>
              </w:rPr>
              <w:t>N=47</w:t>
            </w:r>
          </w:p>
        </w:tc>
      </w:tr>
      <w:tr w:rsidR="00C6578C" w14:paraId="65F2D2F3" w14:textId="77777777" w:rsidTr="009D3F74">
        <w:trPr>
          <w:jc w:val="center"/>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D7502A3" w14:textId="77777777" w:rsidR="000A0366" w:rsidRPr="00986E88" w:rsidRDefault="00944B8F" w:rsidP="009D3F74">
            <w:pPr>
              <w:spacing w:line="276" w:lineRule="auto"/>
              <w:rPr>
                <w:szCs w:val="22"/>
                <w:lang w:val="en-US"/>
              </w:rPr>
            </w:pPr>
            <w:r w:rsidRPr="00986E88">
              <w:rPr>
                <w:szCs w:val="22"/>
                <w:lang w:val="en-US"/>
              </w:rPr>
              <w:t>Clinical remission</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CF2FE5A" w14:textId="77777777" w:rsidR="000A0366" w:rsidRPr="00986E88" w:rsidRDefault="00944B8F" w:rsidP="009D3F74">
            <w:pPr>
              <w:spacing w:line="276" w:lineRule="auto"/>
              <w:jc w:val="center"/>
              <w:rPr>
                <w:szCs w:val="22"/>
                <w:lang w:val="en-US"/>
              </w:rPr>
            </w:pPr>
            <w:r w:rsidRPr="00986E88">
              <w:rPr>
                <w:szCs w:val="22"/>
                <w:lang w:val="en-US"/>
              </w:rPr>
              <w:t>13/30 (43.3%)</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114CC6B" w14:textId="77777777" w:rsidR="000A0366" w:rsidRPr="00986E88" w:rsidRDefault="00944B8F" w:rsidP="009D3F74">
            <w:pPr>
              <w:spacing w:line="276" w:lineRule="auto"/>
              <w:jc w:val="center"/>
              <w:rPr>
                <w:szCs w:val="22"/>
                <w:vertAlign w:val="superscript"/>
                <w:lang w:val="en-US"/>
              </w:rPr>
            </w:pPr>
            <w:r w:rsidRPr="00986E88">
              <w:rPr>
                <w:szCs w:val="22"/>
                <w:lang w:val="en-US"/>
              </w:rPr>
              <w:t>28/47 (59.6%)</w:t>
            </w:r>
          </w:p>
        </w:tc>
      </w:tr>
      <w:tr w:rsidR="00C6578C" w14:paraId="24B96DD1" w14:textId="77777777" w:rsidTr="009D3F74">
        <w:trPr>
          <w:trHeight w:val="2517"/>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F93A951" w14:textId="77777777" w:rsidR="000A0366" w:rsidRPr="004A7E7E" w:rsidRDefault="00944B8F" w:rsidP="009D3F74">
            <w:pPr>
              <w:pStyle w:val="paragraph0"/>
              <w:spacing w:before="0" w:beforeAutospacing="0" w:after="0" w:afterAutospacing="0"/>
              <w:textAlignment w:val="baseline"/>
              <w:rPr>
                <w:rFonts w:ascii="Segoe UI" w:hAnsi="Segoe UI" w:cs="Segoe UI"/>
                <w:sz w:val="22"/>
                <w:szCs w:val="22"/>
              </w:rPr>
            </w:pPr>
            <w:r w:rsidRPr="004A7E7E">
              <w:rPr>
                <w:rStyle w:val="normaltextrun"/>
                <w:sz w:val="22"/>
                <w:szCs w:val="22"/>
                <w:vertAlign w:val="superscript"/>
              </w:rPr>
              <w:lastRenderedPageBreak/>
              <w:t>a </w:t>
            </w:r>
            <w:r w:rsidRPr="004A7E7E">
              <w:rPr>
                <w:rStyle w:val="normaltextrun"/>
                <w:sz w:val="22"/>
                <w:szCs w:val="22"/>
              </w:rPr>
              <w:t>Humira 2.4 mg/kg (maximum of 160 mg) at Week 0, placebo at Week 1, and 1.2 mg/kg (maximum of 80 mg) at Week 2</w:t>
            </w:r>
            <w:r w:rsidRPr="004A7E7E">
              <w:rPr>
                <w:rStyle w:val="eop"/>
                <w:sz w:val="22"/>
                <w:szCs w:val="22"/>
              </w:rPr>
              <w:t> </w:t>
            </w:r>
          </w:p>
          <w:p w14:paraId="4ED357A0" w14:textId="77777777" w:rsidR="000A0366" w:rsidRPr="004A7E7E" w:rsidRDefault="00944B8F" w:rsidP="009D3F74">
            <w:pPr>
              <w:pStyle w:val="paragraph0"/>
              <w:spacing w:before="0" w:beforeAutospacing="0" w:after="0" w:afterAutospacing="0"/>
              <w:textAlignment w:val="baseline"/>
              <w:rPr>
                <w:rFonts w:ascii="Segoe UI" w:hAnsi="Segoe UI" w:cs="Segoe UI"/>
                <w:sz w:val="22"/>
                <w:szCs w:val="22"/>
              </w:rPr>
            </w:pPr>
            <w:r w:rsidRPr="004A7E7E">
              <w:rPr>
                <w:rStyle w:val="normaltextrun"/>
                <w:sz w:val="22"/>
                <w:szCs w:val="22"/>
                <w:vertAlign w:val="superscript"/>
              </w:rPr>
              <w:t>b </w:t>
            </w:r>
            <w:r w:rsidRPr="004A7E7E">
              <w:rPr>
                <w:rStyle w:val="normaltextrun"/>
                <w:sz w:val="22"/>
                <w:szCs w:val="22"/>
              </w:rPr>
              <w:t>Humira 2.4 mg/kg (maximum of 160 mg) at Week 0 and Week 1, and 1.2 mg/kg (maximum of 80 mg) at Week 2</w:t>
            </w:r>
            <w:r w:rsidRPr="004A7E7E">
              <w:rPr>
                <w:rStyle w:val="eop"/>
                <w:sz w:val="22"/>
                <w:szCs w:val="22"/>
              </w:rPr>
              <w:t> </w:t>
            </w:r>
          </w:p>
          <w:p w14:paraId="1CD56EBE" w14:textId="77777777" w:rsidR="000A0366" w:rsidRPr="004A7E7E" w:rsidRDefault="00944B8F" w:rsidP="009D3F74">
            <w:pPr>
              <w:pStyle w:val="paragraph0"/>
              <w:spacing w:before="0" w:beforeAutospacing="0" w:after="0" w:afterAutospacing="0"/>
              <w:textAlignment w:val="baseline"/>
              <w:rPr>
                <w:rFonts w:ascii="Segoe UI" w:hAnsi="Segoe UI" w:cs="Segoe UI"/>
                <w:sz w:val="22"/>
                <w:szCs w:val="22"/>
              </w:rPr>
            </w:pPr>
            <w:r w:rsidRPr="004A7E7E">
              <w:rPr>
                <w:rStyle w:val="normaltextrun"/>
                <w:rFonts w:cs="Calibri"/>
                <w:sz w:val="22"/>
                <w:szCs w:val="22"/>
                <w:vertAlign w:val="superscript"/>
              </w:rPr>
              <w:t>c</w:t>
            </w:r>
            <w:r w:rsidRPr="004A7E7E">
              <w:rPr>
                <w:rStyle w:val="normaltextrun"/>
                <w:rFonts w:cs="Calibri"/>
                <w:sz w:val="22"/>
                <w:szCs w:val="22"/>
              </w:rPr>
              <w:t> Not including open-label Induction dose of </w:t>
            </w:r>
            <w:r w:rsidRPr="004A7E7E">
              <w:rPr>
                <w:rStyle w:val="normaltextrun"/>
                <w:sz w:val="22"/>
                <w:szCs w:val="22"/>
              </w:rPr>
              <w:t>Humira 2.4 mg/kg (maximum of 160 mg) at Week 0 and Week 1, and 1.2 mg/kg (maximum of 80 mg) at Week 2</w:t>
            </w:r>
          </w:p>
          <w:p w14:paraId="43062BCA" w14:textId="77777777" w:rsidR="000A0366" w:rsidRPr="004A7E7E" w:rsidRDefault="00944B8F" w:rsidP="009D3F74">
            <w:pPr>
              <w:pStyle w:val="paragraph0"/>
              <w:spacing w:before="0" w:beforeAutospacing="0" w:after="0" w:afterAutospacing="0"/>
              <w:textAlignment w:val="baseline"/>
              <w:rPr>
                <w:rFonts w:ascii="Segoe UI" w:hAnsi="Segoe UI" w:cs="Segoe UI"/>
                <w:sz w:val="22"/>
                <w:szCs w:val="22"/>
              </w:rPr>
            </w:pPr>
            <w:r w:rsidRPr="004A7E7E">
              <w:rPr>
                <w:rStyle w:val="normaltextrun"/>
                <w:rFonts w:cs="Calibri"/>
                <w:sz w:val="22"/>
                <w:szCs w:val="22"/>
              </w:rPr>
              <w:t>Note 1: Both induction groups received 0.6 mg/kg (maximum of 40 mg) at Week 4 and Week 6</w:t>
            </w:r>
            <w:r w:rsidRPr="004A7E7E">
              <w:rPr>
                <w:rStyle w:val="eop"/>
                <w:rFonts w:cs="Calibri"/>
                <w:sz w:val="22"/>
                <w:szCs w:val="22"/>
              </w:rPr>
              <w:t> </w:t>
            </w:r>
          </w:p>
          <w:p w14:paraId="5ECACA22" w14:textId="77777777" w:rsidR="000A0366" w:rsidRPr="002D6C33" w:rsidRDefault="00944B8F" w:rsidP="009D3F74">
            <w:pPr>
              <w:pStyle w:val="paragraph0"/>
              <w:spacing w:before="0" w:beforeAutospacing="0" w:after="0" w:afterAutospacing="0"/>
              <w:textAlignment w:val="baseline"/>
              <w:rPr>
                <w:sz w:val="22"/>
                <w:szCs w:val="22"/>
              </w:rPr>
            </w:pPr>
            <w:r w:rsidRPr="004A7E7E">
              <w:rPr>
                <w:rStyle w:val="normaltextrun"/>
                <w:rFonts w:cs="Calibri"/>
                <w:sz w:val="22"/>
                <w:szCs w:val="22"/>
              </w:rPr>
              <w:t>Note 2: Patients with missing values at Week 8 were considered as not having met the en</w:t>
            </w:r>
            <w:r>
              <w:rPr>
                <w:rStyle w:val="normaltextrun"/>
                <w:rFonts w:cs="Calibri"/>
                <w:sz w:val="22"/>
                <w:szCs w:val="22"/>
              </w:rPr>
              <w:t>d</w:t>
            </w:r>
            <w:r w:rsidRPr="004A7E7E">
              <w:rPr>
                <w:rStyle w:val="normaltextrun"/>
                <w:rFonts w:cs="Calibri"/>
                <w:sz w:val="22"/>
                <w:szCs w:val="22"/>
              </w:rPr>
              <w:t>point</w:t>
            </w:r>
            <w:r w:rsidRPr="004A7E7E">
              <w:rPr>
                <w:rStyle w:val="eop"/>
                <w:rFonts w:cs="Calibri"/>
                <w:sz w:val="22"/>
                <w:szCs w:val="22"/>
              </w:rPr>
              <w:t> </w:t>
            </w:r>
          </w:p>
        </w:tc>
      </w:tr>
    </w:tbl>
    <w:p w14:paraId="78B6C13D" w14:textId="77777777" w:rsidR="000A0366" w:rsidRPr="0002256D" w:rsidRDefault="000A0366" w:rsidP="00630394">
      <w:pPr>
        <w:rPr>
          <w:szCs w:val="22"/>
        </w:rPr>
      </w:pPr>
    </w:p>
    <w:p w14:paraId="16204AF5" w14:textId="77777777" w:rsidR="00743359" w:rsidRDefault="00944B8F" w:rsidP="00743359">
      <w:pPr>
        <w:rPr>
          <w:rStyle w:val="normaltextrun"/>
          <w:shd w:val="clear" w:color="auto" w:fill="FFFFFF"/>
          <w:lang w:val="en-US"/>
        </w:rPr>
      </w:pPr>
      <w:r w:rsidRPr="00743359">
        <w:rPr>
          <w:rStyle w:val="normaltextrun"/>
          <w:shd w:val="clear" w:color="auto" w:fill="FFFFFF"/>
          <w:lang w:val="en-US"/>
        </w:rPr>
        <w:t xml:space="preserve">At Week 52, clinical remission per FMS in Week 8 responders, clinical response per FMS (defined as a decrease in Mayo Score ≥ 3 points and ≥ 30% from Baseline) in Week 8 responders, mucosal healing (defined as Mayo endoscopy </w:t>
      </w:r>
      <w:r w:rsidR="00032598">
        <w:rPr>
          <w:rStyle w:val="normaltextrun"/>
          <w:shd w:val="clear" w:color="auto" w:fill="FFFFFF"/>
          <w:lang w:val="en-US"/>
        </w:rPr>
        <w:t>sub</w:t>
      </w:r>
      <w:r w:rsidRPr="00743359">
        <w:rPr>
          <w:rStyle w:val="normaltextrun"/>
          <w:shd w:val="clear" w:color="auto" w:fill="FFFFFF"/>
          <w:lang w:val="en-US"/>
        </w:rPr>
        <w:t>score ≤ 1) in Week 8 responders, clinical remission per FMS in Week 8 remitters, and the proportion of subjects in corticosteroid-free remission per FMS in Week 8 responders were assessed in patients who received Humira at the double-blind maximum 40 mg </w:t>
      </w:r>
      <w:r w:rsidRPr="00743359">
        <w:rPr>
          <w:rStyle w:val="spellingerror"/>
          <w:shd w:val="clear" w:color="auto" w:fill="FFFFFF"/>
          <w:lang w:val="en-US"/>
        </w:rPr>
        <w:t>eow</w:t>
      </w:r>
      <w:r w:rsidRPr="00743359">
        <w:rPr>
          <w:rStyle w:val="normaltextrun"/>
          <w:shd w:val="clear" w:color="auto" w:fill="FFFFFF"/>
          <w:lang w:val="en-US"/>
        </w:rPr>
        <w:t> (0.6 mg/kg) and maximum 40 mg </w:t>
      </w:r>
      <w:r w:rsidRPr="00743359">
        <w:rPr>
          <w:rStyle w:val="spellingerror"/>
          <w:shd w:val="clear" w:color="auto" w:fill="FFFFFF"/>
          <w:lang w:val="en-US"/>
        </w:rPr>
        <w:t>ew</w:t>
      </w:r>
      <w:r w:rsidRPr="00743359">
        <w:rPr>
          <w:rStyle w:val="normaltextrun"/>
          <w:shd w:val="clear" w:color="auto" w:fill="FFFFFF"/>
          <w:lang w:val="en-US"/>
        </w:rPr>
        <w:t> (0.6 mg/kg) maintenance doses (Table 22).</w:t>
      </w:r>
    </w:p>
    <w:p w14:paraId="6FE84DFA" w14:textId="77777777" w:rsidR="00630394" w:rsidRDefault="00630394" w:rsidP="00630394"/>
    <w:p w14:paraId="3E0459C5" w14:textId="77777777" w:rsidR="00630394" w:rsidRPr="006F4D9A" w:rsidRDefault="00944B8F" w:rsidP="005C3004">
      <w:pPr>
        <w:keepNext/>
        <w:tabs>
          <w:tab w:val="clear" w:pos="562"/>
        </w:tabs>
        <w:suppressAutoHyphens w:val="0"/>
        <w:jc w:val="center"/>
        <w:textAlignment w:val="baseline"/>
        <w:rPr>
          <w:szCs w:val="22"/>
          <w:lang w:eastAsia="en-GB"/>
        </w:rPr>
      </w:pPr>
      <w:r w:rsidRPr="006F4D9A">
        <w:rPr>
          <w:b/>
          <w:szCs w:val="22"/>
          <w:lang w:val="en-US" w:eastAsia="en-GB"/>
        </w:rPr>
        <w:t>Table 22: Efficacy Results at 52 Weeks</w:t>
      </w:r>
      <w:r w:rsidRPr="006F4D9A">
        <w:rPr>
          <w:szCs w:val="22"/>
          <w:lang w:eastAsia="en-GB"/>
        </w:rPr>
        <w:t> </w:t>
      </w: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6"/>
        <w:gridCol w:w="2409"/>
        <w:gridCol w:w="2633"/>
      </w:tblGrid>
      <w:tr w:rsidR="00C6578C" w14:paraId="1A0F71FB" w14:textId="77777777" w:rsidTr="00A81396">
        <w:trPr>
          <w:trHeight w:val="912"/>
          <w:jc w:val="center"/>
        </w:trPr>
        <w:tc>
          <w:tcPr>
            <w:tcW w:w="2526" w:type="dxa"/>
            <w:tcBorders>
              <w:top w:val="single" w:sz="6" w:space="0" w:color="auto"/>
              <w:left w:val="single" w:sz="6" w:space="0" w:color="auto"/>
              <w:bottom w:val="single" w:sz="6" w:space="0" w:color="auto"/>
              <w:right w:val="single" w:sz="6" w:space="0" w:color="auto"/>
            </w:tcBorders>
            <w:hideMark/>
          </w:tcPr>
          <w:p w14:paraId="47F4AE69" w14:textId="77777777" w:rsidR="00A81396" w:rsidRPr="004A7E7E" w:rsidRDefault="00A81396" w:rsidP="005C3004">
            <w:pPr>
              <w:keepNext/>
              <w:tabs>
                <w:tab w:val="clear" w:pos="562"/>
              </w:tabs>
              <w:suppressAutoHyphens w:val="0"/>
              <w:textAlignment w:val="baseline"/>
              <w:rPr>
                <w:szCs w:val="22"/>
                <w:lang w:eastAsia="en-GB"/>
              </w:rPr>
            </w:pPr>
          </w:p>
        </w:tc>
        <w:tc>
          <w:tcPr>
            <w:tcW w:w="2409" w:type="dxa"/>
            <w:tcBorders>
              <w:top w:val="single" w:sz="6" w:space="0" w:color="auto"/>
              <w:left w:val="nil"/>
              <w:bottom w:val="single" w:sz="6" w:space="0" w:color="auto"/>
              <w:right w:val="single" w:sz="6" w:space="0" w:color="auto"/>
            </w:tcBorders>
            <w:vAlign w:val="center"/>
            <w:hideMark/>
          </w:tcPr>
          <w:p w14:paraId="10D3D5CD" w14:textId="77777777" w:rsidR="00A81396" w:rsidRPr="004C1E5C" w:rsidRDefault="00944B8F" w:rsidP="005C3004">
            <w:pPr>
              <w:keepNext/>
              <w:tabs>
                <w:tab w:val="clear" w:pos="562"/>
              </w:tabs>
              <w:suppressAutoHyphens w:val="0"/>
              <w:jc w:val="center"/>
              <w:textAlignment w:val="baseline"/>
              <w:rPr>
                <w:szCs w:val="22"/>
                <w:lang w:eastAsia="en-GB"/>
              </w:rPr>
            </w:pPr>
            <w:r w:rsidRPr="004C1E5C">
              <w:rPr>
                <w:b/>
                <w:bCs/>
                <w:szCs w:val="22"/>
                <w:lang w:val="en-US" w:eastAsia="en-GB"/>
              </w:rPr>
              <w:t>Humira</w:t>
            </w:r>
            <w:r w:rsidRPr="004C1E5C">
              <w:rPr>
                <w:b/>
                <w:szCs w:val="22"/>
                <w:vertAlign w:val="superscript"/>
                <w:lang w:val="en-US" w:eastAsia="en-GB"/>
              </w:rPr>
              <w:t>a</w:t>
            </w:r>
            <w:r w:rsidRPr="004C1E5C">
              <w:rPr>
                <w:b/>
                <w:bCs/>
                <w:szCs w:val="22"/>
                <w:lang w:val="en-US" w:eastAsia="en-GB"/>
              </w:rPr>
              <w:t> </w:t>
            </w:r>
            <w:r w:rsidRPr="004C1E5C">
              <w:rPr>
                <w:szCs w:val="22"/>
                <w:lang w:eastAsia="en-GB"/>
              </w:rPr>
              <w:t> </w:t>
            </w:r>
          </w:p>
          <w:p w14:paraId="29BDE347" w14:textId="77777777" w:rsidR="00A81396" w:rsidRPr="004C1E5C" w:rsidRDefault="00944B8F" w:rsidP="005C3004">
            <w:pPr>
              <w:keepNext/>
              <w:tabs>
                <w:tab w:val="clear" w:pos="562"/>
              </w:tabs>
              <w:suppressAutoHyphens w:val="0"/>
              <w:jc w:val="center"/>
              <w:textAlignment w:val="baseline"/>
              <w:rPr>
                <w:szCs w:val="22"/>
                <w:lang w:eastAsia="en-GB"/>
              </w:rPr>
            </w:pPr>
            <w:r w:rsidRPr="004C1E5C">
              <w:rPr>
                <w:b/>
                <w:bCs/>
                <w:szCs w:val="22"/>
                <w:lang w:val="en-US" w:eastAsia="en-GB"/>
              </w:rPr>
              <w:t>Maximum of 40 mg eow</w:t>
            </w:r>
            <w:r w:rsidRPr="004C1E5C">
              <w:rPr>
                <w:szCs w:val="22"/>
                <w:lang w:eastAsia="en-GB"/>
              </w:rPr>
              <w:t> </w:t>
            </w:r>
          </w:p>
          <w:p w14:paraId="74C4F168" w14:textId="77777777" w:rsidR="00A81396" w:rsidRPr="00245558" w:rsidRDefault="00944B8F" w:rsidP="005C3004">
            <w:pPr>
              <w:keepNext/>
              <w:tabs>
                <w:tab w:val="clear" w:pos="562"/>
              </w:tabs>
              <w:suppressAutoHyphens w:val="0"/>
              <w:jc w:val="center"/>
              <w:textAlignment w:val="baseline"/>
              <w:rPr>
                <w:szCs w:val="22"/>
                <w:lang w:eastAsia="en-GB"/>
              </w:rPr>
            </w:pPr>
            <w:r w:rsidRPr="00245558">
              <w:rPr>
                <w:szCs w:val="22"/>
                <w:lang w:eastAsia="en-GB"/>
              </w:rPr>
              <w:t>N=31</w:t>
            </w:r>
          </w:p>
        </w:tc>
        <w:tc>
          <w:tcPr>
            <w:tcW w:w="2633" w:type="dxa"/>
            <w:tcBorders>
              <w:top w:val="single" w:sz="6" w:space="0" w:color="auto"/>
              <w:left w:val="nil"/>
              <w:bottom w:val="single" w:sz="6" w:space="0" w:color="auto"/>
              <w:right w:val="single" w:sz="6" w:space="0" w:color="auto"/>
            </w:tcBorders>
            <w:vAlign w:val="center"/>
            <w:hideMark/>
          </w:tcPr>
          <w:p w14:paraId="426E2216" w14:textId="77777777" w:rsidR="00A81396" w:rsidRPr="004C1E5C" w:rsidRDefault="00944B8F" w:rsidP="005C3004">
            <w:pPr>
              <w:keepNext/>
              <w:tabs>
                <w:tab w:val="clear" w:pos="562"/>
              </w:tabs>
              <w:suppressAutoHyphens w:val="0"/>
              <w:jc w:val="center"/>
              <w:textAlignment w:val="baseline"/>
              <w:rPr>
                <w:szCs w:val="22"/>
                <w:lang w:eastAsia="en-GB"/>
              </w:rPr>
            </w:pPr>
            <w:r w:rsidRPr="004C1E5C">
              <w:rPr>
                <w:b/>
                <w:bCs/>
                <w:szCs w:val="22"/>
                <w:lang w:val="en-US" w:eastAsia="en-GB"/>
              </w:rPr>
              <w:t>Humira</w:t>
            </w:r>
            <w:r w:rsidRPr="004C1E5C">
              <w:rPr>
                <w:b/>
                <w:szCs w:val="22"/>
                <w:vertAlign w:val="superscript"/>
                <w:lang w:val="en-US" w:eastAsia="en-GB"/>
              </w:rPr>
              <w:t>b</w:t>
            </w:r>
            <w:r w:rsidRPr="004C1E5C">
              <w:rPr>
                <w:b/>
                <w:bCs/>
                <w:szCs w:val="22"/>
                <w:lang w:val="en-US" w:eastAsia="en-GB"/>
              </w:rPr>
              <w:t> </w:t>
            </w:r>
            <w:r w:rsidRPr="004C1E5C">
              <w:rPr>
                <w:szCs w:val="22"/>
                <w:lang w:eastAsia="en-GB"/>
              </w:rPr>
              <w:t> </w:t>
            </w:r>
          </w:p>
          <w:p w14:paraId="161E70D9" w14:textId="77777777" w:rsidR="00A81396" w:rsidRPr="004C1E5C" w:rsidRDefault="00944B8F" w:rsidP="005C3004">
            <w:pPr>
              <w:keepNext/>
              <w:tabs>
                <w:tab w:val="clear" w:pos="562"/>
              </w:tabs>
              <w:suppressAutoHyphens w:val="0"/>
              <w:jc w:val="center"/>
              <w:textAlignment w:val="baseline"/>
              <w:rPr>
                <w:szCs w:val="22"/>
                <w:lang w:eastAsia="en-GB"/>
              </w:rPr>
            </w:pPr>
            <w:r w:rsidRPr="004C1E5C">
              <w:rPr>
                <w:b/>
                <w:bCs/>
                <w:szCs w:val="22"/>
                <w:lang w:val="en-US" w:eastAsia="en-GB"/>
              </w:rPr>
              <w:t>Maximum of 40 mg ew</w:t>
            </w:r>
            <w:r w:rsidRPr="004C1E5C">
              <w:rPr>
                <w:szCs w:val="22"/>
                <w:lang w:eastAsia="en-GB"/>
              </w:rPr>
              <w:t> </w:t>
            </w:r>
          </w:p>
          <w:p w14:paraId="28DBF9EB" w14:textId="77777777" w:rsidR="00A81396" w:rsidRPr="00245558" w:rsidRDefault="00944B8F" w:rsidP="005C3004">
            <w:pPr>
              <w:keepNext/>
              <w:tabs>
                <w:tab w:val="clear" w:pos="562"/>
              </w:tabs>
              <w:suppressAutoHyphens w:val="0"/>
              <w:jc w:val="center"/>
              <w:textAlignment w:val="baseline"/>
              <w:rPr>
                <w:szCs w:val="22"/>
                <w:lang w:eastAsia="en-GB"/>
              </w:rPr>
            </w:pPr>
            <w:r w:rsidRPr="00245558">
              <w:rPr>
                <w:szCs w:val="22"/>
                <w:lang w:eastAsia="en-GB"/>
              </w:rPr>
              <w:t>N=31</w:t>
            </w:r>
          </w:p>
        </w:tc>
      </w:tr>
      <w:tr w:rsidR="00C6578C" w14:paraId="1A1D7528" w14:textId="77777777" w:rsidTr="00A81396">
        <w:trPr>
          <w:trHeight w:val="570"/>
          <w:jc w:val="center"/>
        </w:trPr>
        <w:tc>
          <w:tcPr>
            <w:tcW w:w="2526" w:type="dxa"/>
            <w:tcBorders>
              <w:top w:val="nil"/>
              <w:left w:val="single" w:sz="6" w:space="0" w:color="auto"/>
              <w:bottom w:val="single" w:sz="6" w:space="0" w:color="auto"/>
              <w:right w:val="single" w:sz="6" w:space="0" w:color="auto"/>
            </w:tcBorders>
            <w:vAlign w:val="center"/>
            <w:hideMark/>
          </w:tcPr>
          <w:p w14:paraId="5D947A35" w14:textId="77777777" w:rsidR="00A81396" w:rsidRPr="004A7E7E" w:rsidRDefault="00944B8F" w:rsidP="005C3004">
            <w:pPr>
              <w:keepNext/>
              <w:tabs>
                <w:tab w:val="clear" w:pos="562"/>
              </w:tabs>
              <w:suppressAutoHyphens w:val="0"/>
              <w:textAlignment w:val="baseline"/>
              <w:rPr>
                <w:szCs w:val="22"/>
                <w:lang w:eastAsia="en-GB"/>
              </w:rPr>
            </w:pPr>
            <w:r w:rsidRPr="004A7E7E">
              <w:rPr>
                <w:szCs w:val="22"/>
                <w:lang w:val="en-US" w:eastAsia="en-GB"/>
              </w:rPr>
              <w:t>Clinical remission in Week 8 PMS responders</w:t>
            </w:r>
            <w:r w:rsidRPr="004A7E7E">
              <w:rPr>
                <w:szCs w:val="22"/>
                <w:lang w:eastAsia="en-GB"/>
              </w:rPr>
              <w:t> </w:t>
            </w:r>
          </w:p>
        </w:tc>
        <w:tc>
          <w:tcPr>
            <w:tcW w:w="2409" w:type="dxa"/>
            <w:tcBorders>
              <w:top w:val="nil"/>
              <w:left w:val="nil"/>
              <w:bottom w:val="single" w:sz="6" w:space="0" w:color="auto"/>
              <w:right w:val="single" w:sz="6" w:space="0" w:color="auto"/>
            </w:tcBorders>
            <w:vAlign w:val="center"/>
            <w:hideMark/>
          </w:tcPr>
          <w:p w14:paraId="24211CCC" w14:textId="77777777" w:rsidR="00A81396" w:rsidRPr="004A7E7E" w:rsidRDefault="00944B8F" w:rsidP="005C3004">
            <w:pPr>
              <w:keepNext/>
              <w:tabs>
                <w:tab w:val="clear" w:pos="562"/>
              </w:tabs>
              <w:suppressAutoHyphens w:val="0"/>
              <w:jc w:val="center"/>
              <w:textAlignment w:val="baseline"/>
              <w:rPr>
                <w:szCs w:val="22"/>
                <w:lang w:eastAsia="en-GB"/>
              </w:rPr>
            </w:pPr>
            <w:r w:rsidRPr="004A7E7E">
              <w:rPr>
                <w:szCs w:val="22"/>
                <w:lang w:val="en-US" w:eastAsia="en-GB"/>
              </w:rPr>
              <w:t>9/31 (29.0%)</w:t>
            </w:r>
            <w:r w:rsidRPr="004A7E7E">
              <w:rPr>
                <w:szCs w:val="22"/>
                <w:lang w:eastAsia="en-GB"/>
              </w:rPr>
              <w:t> </w:t>
            </w:r>
          </w:p>
        </w:tc>
        <w:tc>
          <w:tcPr>
            <w:tcW w:w="2633" w:type="dxa"/>
            <w:tcBorders>
              <w:top w:val="nil"/>
              <w:left w:val="nil"/>
              <w:bottom w:val="single" w:sz="6" w:space="0" w:color="auto"/>
              <w:right w:val="single" w:sz="6" w:space="0" w:color="auto"/>
            </w:tcBorders>
            <w:vAlign w:val="center"/>
            <w:hideMark/>
          </w:tcPr>
          <w:p w14:paraId="255A73E9" w14:textId="77777777" w:rsidR="00A81396" w:rsidRPr="004A7E7E" w:rsidRDefault="00944B8F" w:rsidP="005C3004">
            <w:pPr>
              <w:keepNext/>
              <w:tabs>
                <w:tab w:val="clear" w:pos="562"/>
              </w:tabs>
              <w:suppressAutoHyphens w:val="0"/>
              <w:jc w:val="center"/>
              <w:textAlignment w:val="baseline"/>
              <w:rPr>
                <w:szCs w:val="22"/>
                <w:lang w:eastAsia="en-GB"/>
              </w:rPr>
            </w:pPr>
            <w:r w:rsidRPr="004A7E7E">
              <w:rPr>
                <w:szCs w:val="22"/>
                <w:lang w:val="en-US" w:eastAsia="en-GB"/>
              </w:rPr>
              <w:t>14/31 (45.2%)</w:t>
            </w:r>
          </w:p>
        </w:tc>
      </w:tr>
      <w:tr w:rsidR="00C6578C" w14:paraId="6BDA3ED7" w14:textId="77777777" w:rsidTr="00A81396">
        <w:trPr>
          <w:trHeight w:val="555"/>
          <w:jc w:val="center"/>
        </w:trPr>
        <w:tc>
          <w:tcPr>
            <w:tcW w:w="2526" w:type="dxa"/>
            <w:tcBorders>
              <w:top w:val="nil"/>
              <w:left w:val="single" w:sz="6" w:space="0" w:color="auto"/>
              <w:bottom w:val="single" w:sz="6" w:space="0" w:color="auto"/>
              <w:right w:val="single" w:sz="6" w:space="0" w:color="auto"/>
            </w:tcBorders>
            <w:vAlign w:val="center"/>
            <w:hideMark/>
          </w:tcPr>
          <w:p w14:paraId="77244C41" w14:textId="77777777" w:rsidR="00A81396" w:rsidRPr="004A7E7E" w:rsidRDefault="00944B8F" w:rsidP="005C3004">
            <w:pPr>
              <w:keepNext/>
              <w:tabs>
                <w:tab w:val="clear" w:pos="562"/>
              </w:tabs>
              <w:suppressAutoHyphens w:val="0"/>
              <w:textAlignment w:val="baseline"/>
              <w:rPr>
                <w:szCs w:val="22"/>
                <w:lang w:eastAsia="en-GB"/>
              </w:rPr>
            </w:pPr>
            <w:r w:rsidRPr="004A7E7E">
              <w:rPr>
                <w:szCs w:val="22"/>
                <w:lang w:val="en-US" w:eastAsia="en-GB"/>
              </w:rPr>
              <w:t>Clinical response in Week 8 PMS responders</w:t>
            </w:r>
            <w:r w:rsidRPr="004A7E7E">
              <w:rPr>
                <w:szCs w:val="22"/>
                <w:lang w:eastAsia="en-GB"/>
              </w:rPr>
              <w:t> </w:t>
            </w:r>
          </w:p>
        </w:tc>
        <w:tc>
          <w:tcPr>
            <w:tcW w:w="2409" w:type="dxa"/>
            <w:tcBorders>
              <w:top w:val="nil"/>
              <w:left w:val="nil"/>
              <w:bottom w:val="single" w:sz="6" w:space="0" w:color="auto"/>
              <w:right w:val="single" w:sz="6" w:space="0" w:color="auto"/>
            </w:tcBorders>
            <w:vAlign w:val="center"/>
            <w:hideMark/>
          </w:tcPr>
          <w:p w14:paraId="468E59D1" w14:textId="77777777" w:rsidR="00A81396" w:rsidRPr="004A7E7E" w:rsidRDefault="00944B8F" w:rsidP="005C3004">
            <w:pPr>
              <w:keepNext/>
              <w:tabs>
                <w:tab w:val="clear" w:pos="562"/>
              </w:tabs>
              <w:suppressAutoHyphens w:val="0"/>
              <w:jc w:val="center"/>
              <w:textAlignment w:val="baseline"/>
              <w:rPr>
                <w:szCs w:val="22"/>
                <w:lang w:eastAsia="en-GB"/>
              </w:rPr>
            </w:pPr>
            <w:r w:rsidRPr="004A7E7E">
              <w:rPr>
                <w:szCs w:val="22"/>
                <w:lang w:val="en-US" w:eastAsia="en-GB"/>
              </w:rPr>
              <w:t>19/31 (61.3%)</w:t>
            </w:r>
            <w:r w:rsidRPr="004A7E7E">
              <w:rPr>
                <w:szCs w:val="22"/>
                <w:lang w:eastAsia="en-GB"/>
              </w:rPr>
              <w:t> </w:t>
            </w:r>
          </w:p>
        </w:tc>
        <w:tc>
          <w:tcPr>
            <w:tcW w:w="2633" w:type="dxa"/>
            <w:tcBorders>
              <w:top w:val="nil"/>
              <w:left w:val="nil"/>
              <w:bottom w:val="single" w:sz="6" w:space="0" w:color="auto"/>
              <w:right w:val="single" w:sz="6" w:space="0" w:color="auto"/>
            </w:tcBorders>
            <w:vAlign w:val="center"/>
            <w:hideMark/>
          </w:tcPr>
          <w:p w14:paraId="5E1878AC" w14:textId="77777777" w:rsidR="00A81396" w:rsidRPr="004A7E7E" w:rsidRDefault="00944B8F" w:rsidP="005C3004">
            <w:pPr>
              <w:keepNext/>
              <w:tabs>
                <w:tab w:val="clear" w:pos="562"/>
              </w:tabs>
              <w:suppressAutoHyphens w:val="0"/>
              <w:jc w:val="center"/>
              <w:textAlignment w:val="baseline"/>
              <w:rPr>
                <w:szCs w:val="22"/>
                <w:lang w:eastAsia="en-GB"/>
              </w:rPr>
            </w:pPr>
            <w:r w:rsidRPr="004A7E7E">
              <w:rPr>
                <w:szCs w:val="22"/>
                <w:lang w:val="en-US" w:eastAsia="en-GB"/>
              </w:rPr>
              <w:t>21/31 (67.7%)</w:t>
            </w:r>
            <w:r w:rsidRPr="004A7E7E">
              <w:rPr>
                <w:szCs w:val="22"/>
                <w:lang w:eastAsia="en-GB"/>
              </w:rPr>
              <w:t> </w:t>
            </w:r>
          </w:p>
        </w:tc>
      </w:tr>
      <w:tr w:rsidR="00C6578C" w14:paraId="24F54A74" w14:textId="77777777" w:rsidTr="00A81396">
        <w:trPr>
          <w:jc w:val="center"/>
        </w:trPr>
        <w:tc>
          <w:tcPr>
            <w:tcW w:w="2526" w:type="dxa"/>
            <w:tcBorders>
              <w:top w:val="nil"/>
              <w:left w:val="single" w:sz="6" w:space="0" w:color="auto"/>
              <w:bottom w:val="single" w:sz="6" w:space="0" w:color="auto"/>
              <w:right w:val="single" w:sz="6" w:space="0" w:color="auto"/>
            </w:tcBorders>
            <w:vAlign w:val="center"/>
            <w:hideMark/>
          </w:tcPr>
          <w:p w14:paraId="2EA9AE93" w14:textId="77777777" w:rsidR="00A81396" w:rsidRPr="004A7E7E" w:rsidRDefault="00944B8F" w:rsidP="005C3004">
            <w:pPr>
              <w:keepNext/>
              <w:tabs>
                <w:tab w:val="clear" w:pos="562"/>
              </w:tabs>
              <w:suppressAutoHyphens w:val="0"/>
              <w:textAlignment w:val="baseline"/>
              <w:rPr>
                <w:szCs w:val="22"/>
                <w:lang w:eastAsia="en-GB"/>
              </w:rPr>
            </w:pPr>
            <w:r w:rsidRPr="004A7E7E">
              <w:rPr>
                <w:szCs w:val="22"/>
                <w:lang w:val="en-US" w:eastAsia="en-GB"/>
              </w:rPr>
              <w:t>Mucosal healing in Week 8 PMS responders</w:t>
            </w:r>
            <w:r w:rsidRPr="004A7E7E">
              <w:rPr>
                <w:szCs w:val="22"/>
                <w:lang w:eastAsia="en-GB"/>
              </w:rPr>
              <w:t> </w:t>
            </w:r>
          </w:p>
        </w:tc>
        <w:tc>
          <w:tcPr>
            <w:tcW w:w="2409" w:type="dxa"/>
            <w:tcBorders>
              <w:top w:val="nil"/>
              <w:left w:val="nil"/>
              <w:bottom w:val="single" w:sz="6" w:space="0" w:color="auto"/>
              <w:right w:val="single" w:sz="6" w:space="0" w:color="auto"/>
            </w:tcBorders>
            <w:vAlign w:val="center"/>
            <w:hideMark/>
          </w:tcPr>
          <w:p w14:paraId="3E9B099B" w14:textId="77777777" w:rsidR="00A81396" w:rsidRPr="004A7E7E" w:rsidRDefault="00944B8F" w:rsidP="005C3004">
            <w:pPr>
              <w:keepNext/>
              <w:tabs>
                <w:tab w:val="clear" w:pos="562"/>
              </w:tabs>
              <w:suppressAutoHyphens w:val="0"/>
              <w:jc w:val="center"/>
              <w:textAlignment w:val="baseline"/>
              <w:rPr>
                <w:szCs w:val="22"/>
                <w:lang w:eastAsia="en-GB"/>
              </w:rPr>
            </w:pPr>
            <w:r w:rsidRPr="004A7E7E">
              <w:rPr>
                <w:szCs w:val="22"/>
                <w:lang w:val="en-US" w:eastAsia="en-GB"/>
              </w:rPr>
              <w:t>12/31 (38.7%)</w:t>
            </w:r>
            <w:r w:rsidRPr="004A7E7E">
              <w:rPr>
                <w:szCs w:val="22"/>
                <w:lang w:eastAsia="en-GB"/>
              </w:rPr>
              <w:t> </w:t>
            </w:r>
          </w:p>
        </w:tc>
        <w:tc>
          <w:tcPr>
            <w:tcW w:w="2633" w:type="dxa"/>
            <w:tcBorders>
              <w:top w:val="nil"/>
              <w:left w:val="nil"/>
              <w:bottom w:val="single" w:sz="6" w:space="0" w:color="auto"/>
              <w:right w:val="single" w:sz="6" w:space="0" w:color="auto"/>
            </w:tcBorders>
            <w:vAlign w:val="center"/>
            <w:hideMark/>
          </w:tcPr>
          <w:p w14:paraId="5CCC4EBB" w14:textId="77777777" w:rsidR="00A81396" w:rsidRPr="004A7E7E" w:rsidRDefault="00944B8F" w:rsidP="005C3004">
            <w:pPr>
              <w:keepNext/>
              <w:tabs>
                <w:tab w:val="clear" w:pos="562"/>
              </w:tabs>
              <w:suppressAutoHyphens w:val="0"/>
              <w:jc w:val="center"/>
              <w:textAlignment w:val="baseline"/>
              <w:rPr>
                <w:szCs w:val="22"/>
                <w:lang w:eastAsia="en-GB"/>
              </w:rPr>
            </w:pPr>
            <w:r w:rsidRPr="004A7E7E">
              <w:rPr>
                <w:szCs w:val="22"/>
                <w:lang w:val="en-US" w:eastAsia="en-GB"/>
              </w:rPr>
              <w:t>16/31 (51.6%)</w:t>
            </w:r>
            <w:r w:rsidRPr="004A7E7E">
              <w:rPr>
                <w:szCs w:val="22"/>
                <w:lang w:eastAsia="en-GB"/>
              </w:rPr>
              <w:t> </w:t>
            </w:r>
          </w:p>
        </w:tc>
      </w:tr>
      <w:tr w:rsidR="00C6578C" w14:paraId="4652F10F" w14:textId="77777777" w:rsidTr="00A81396">
        <w:trPr>
          <w:jc w:val="center"/>
        </w:trPr>
        <w:tc>
          <w:tcPr>
            <w:tcW w:w="2526" w:type="dxa"/>
            <w:tcBorders>
              <w:top w:val="nil"/>
              <w:left w:val="single" w:sz="6" w:space="0" w:color="auto"/>
              <w:bottom w:val="single" w:sz="6" w:space="0" w:color="auto"/>
              <w:right w:val="single" w:sz="6" w:space="0" w:color="auto"/>
            </w:tcBorders>
            <w:vAlign w:val="center"/>
            <w:hideMark/>
          </w:tcPr>
          <w:p w14:paraId="71361AE8" w14:textId="77777777" w:rsidR="00A81396" w:rsidRPr="004A7E7E" w:rsidRDefault="00944B8F" w:rsidP="005C3004">
            <w:pPr>
              <w:keepNext/>
              <w:tabs>
                <w:tab w:val="clear" w:pos="562"/>
              </w:tabs>
              <w:suppressAutoHyphens w:val="0"/>
              <w:textAlignment w:val="baseline"/>
              <w:rPr>
                <w:szCs w:val="22"/>
                <w:lang w:eastAsia="en-GB"/>
              </w:rPr>
            </w:pPr>
            <w:r w:rsidRPr="004A7E7E">
              <w:rPr>
                <w:szCs w:val="22"/>
                <w:lang w:val="en-US" w:eastAsia="en-GB"/>
              </w:rPr>
              <w:t>Clinical remission in Week 8 PMS remitters</w:t>
            </w:r>
            <w:r w:rsidRPr="004A7E7E">
              <w:rPr>
                <w:szCs w:val="22"/>
                <w:lang w:eastAsia="en-GB"/>
              </w:rPr>
              <w:t> </w:t>
            </w:r>
          </w:p>
        </w:tc>
        <w:tc>
          <w:tcPr>
            <w:tcW w:w="2409" w:type="dxa"/>
            <w:tcBorders>
              <w:top w:val="nil"/>
              <w:left w:val="nil"/>
              <w:bottom w:val="single" w:sz="6" w:space="0" w:color="auto"/>
              <w:right w:val="single" w:sz="6" w:space="0" w:color="auto"/>
            </w:tcBorders>
            <w:vAlign w:val="center"/>
            <w:hideMark/>
          </w:tcPr>
          <w:p w14:paraId="43B31D28" w14:textId="77777777" w:rsidR="00A81396" w:rsidRPr="004A7E7E" w:rsidRDefault="00944B8F" w:rsidP="005C3004">
            <w:pPr>
              <w:keepNext/>
              <w:tabs>
                <w:tab w:val="clear" w:pos="562"/>
              </w:tabs>
              <w:suppressAutoHyphens w:val="0"/>
              <w:jc w:val="center"/>
              <w:textAlignment w:val="baseline"/>
              <w:rPr>
                <w:szCs w:val="22"/>
                <w:lang w:eastAsia="en-GB"/>
              </w:rPr>
            </w:pPr>
            <w:r w:rsidRPr="004A7E7E">
              <w:rPr>
                <w:szCs w:val="22"/>
                <w:lang w:val="en-US" w:eastAsia="en-GB"/>
              </w:rPr>
              <w:t>9/21 (42.9%)</w:t>
            </w:r>
            <w:r w:rsidRPr="004A7E7E">
              <w:rPr>
                <w:szCs w:val="22"/>
                <w:lang w:eastAsia="en-GB"/>
              </w:rPr>
              <w:t> </w:t>
            </w:r>
          </w:p>
        </w:tc>
        <w:tc>
          <w:tcPr>
            <w:tcW w:w="2633" w:type="dxa"/>
            <w:tcBorders>
              <w:top w:val="nil"/>
              <w:left w:val="nil"/>
              <w:bottom w:val="single" w:sz="6" w:space="0" w:color="auto"/>
              <w:right w:val="single" w:sz="6" w:space="0" w:color="auto"/>
            </w:tcBorders>
            <w:vAlign w:val="center"/>
            <w:hideMark/>
          </w:tcPr>
          <w:p w14:paraId="49727081" w14:textId="77777777" w:rsidR="00A81396" w:rsidRPr="004A7E7E" w:rsidRDefault="00944B8F" w:rsidP="005C3004">
            <w:pPr>
              <w:keepNext/>
              <w:tabs>
                <w:tab w:val="clear" w:pos="562"/>
              </w:tabs>
              <w:suppressAutoHyphens w:val="0"/>
              <w:jc w:val="center"/>
              <w:textAlignment w:val="baseline"/>
              <w:rPr>
                <w:szCs w:val="22"/>
                <w:lang w:eastAsia="en-GB"/>
              </w:rPr>
            </w:pPr>
            <w:r w:rsidRPr="004A7E7E">
              <w:rPr>
                <w:szCs w:val="22"/>
                <w:lang w:val="en-US" w:eastAsia="en-GB"/>
              </w:rPr>
              <w:t>10/22 (45.5%)</w:t>
            </w:r>
            <w:r w:rsidRPr="004A7E7E">
              <w:rPr>
                <w:szCs w:val="22"/>
                <w:lang w:eastAsia="en-GB"/>
              </w:rPr>
              <w:t> </w:t>
            </w:r>
          </w:p>
        </w:tc>
      </w:tr>
      <w:tr w:rsidR="00C6578C" w14:paraId="4A0A68DF" w14:textId="77777777" w:rsidTr="00A81396">
        <w:trPr>
          <w:jc w:val="center"/>
        </w:trPr>
        <w:tc>
          <w:tcPr>
            <w:tcW w:w="2526" w:type="dxa"/>
            <w:tcBorders>
              <w:top w:val="nil"/>
              <w:left w:val="single" w:sz="6" w:space="0" w:color="auto"/>
              <w:bottom w:val="single" w:sz="6" w:space="0" w:color="auto"/>
              <w:right w:val="single" w:sz="6" w:space="0" w:color="auto"/>
            </w:tcBorders>
            <w:vAlign w:val="center"/>
            <w:hideMark/>
          </w:tcPr>
          <w:p w14:paraId="76F6B160" w14:textId="77777777" w:rsidR="00A81396" w:rsidRPr="004A7E7E" w:rsidRDefault="00944B8F" w:rsidP="005C3004">
            <w:pPr>
              <w:keepNext/>
              <w:tabs>
                <w:tab w:val="clear" w:pos="562"/>
              </w:tabs>
              <w:suppressAutoHyphens w:val="0"/>
              <w:textAlignment w:val="baseline"/>
              <w:rPr>
                <w:szCs w:val="22"/>
                <w:lang w:eastAsia="en-GB"/>
              </w:rPr>
            </w:pPr>
            <w:r w:rsidRPr="004A7E7E">
              <w:rPr>
                <w:szCs w:val="22"/>
                <w:lang w:val="en-US" w:eastAsia="en-GB"/>
              </w:rPr>
              <w:t>Corticosteroid-free remission in Week 8 PMS responders</w:t>
            </w:r>
            <w:r>
              <w:rPr>
                <w:szCs w:val="22"/>
                <w:vertAlign w:val="superscript"/>
                <w:lang w:val="en-US" w:eastAsia="en-GB"/>
              </w:rPr>
              <w:t>c</w:t>
            </w:r>
            <w:r w:rsidRPr="004A7E7E">
              <w:rPr>
                <w:szCs w:val="22"/>
                <w:lang w:eastAsia="en-GB"/>
              </w:rPr>
              <w:t> </w:t>
            </w:r>
          </w:p>
        </w:tc>
        <w:tc>
          <w:tcPr>
            <w:tcW w:w="2409" w:type="dxa"/>
            <w:tcBorders>
              <w:top w:val="nil"/>
              <w:left w:val="nil"/>
              <w:bottom w:val="single" w:sz="6" w:space="0" w:color="auto"/>
              <w:right w:val="single" w:sz="6" w:space="0" w:color="auto"/>
            </w:tcBorders>
            <w:vAlign w:val="center"/>
            <w:hideMark/>
          </w:tcPr>
          <w:p w14:paraId="70FFA369" w14:textId="77777777" w:rsidR="00A81396" w:rsidRPr="004A7E7E" w:rsidRDefault="00944B8F" w:rsidP="005C3004">
            <w:pPr>
              <w:keepNext/>
              <w:tabs>
                <w:tab w:val="clear" w:pos="562"/>
              </w:tabs>
              <w:suppressAutoHyphens w:val="0"/>
              <w:jc w:val="center"/>
              <w:textAlignment w:val="baseline"/>
              <w:rPr>
                <w:szCs w:val="22"/>
                <w:lang w:eastAsia="en-GB"/>
              </w:rPr>
            </w:pPr>
            <w:r w:rsidRPr="004A7E7E">
              <w:rPr>
                <w:szCs w:val="22"/>
                <w:lang w:val="en-US" w:eastAsia="en-GB"/>
              </w:rPr>
              <w:t>4/13 (30.8%)</w:t>
            </w:r>
            <w:r w:rsidRPr="004A7E7E">
              <w:rPr>
                <w:szCs w:val="22"/>
                <w:lang w:eastAsia="en-GB"/>
              </w:rPr>
              <w:t> </w:t>
            </w:r>
          </w:p>
        </w:tc>
        <w:tc>
          <w:tcPr>
            <w:tcW w:w="2633" w:type="dxa"/>
            <w:tcBorders>
              <w:top w:val="nil"/>
              <w:left w:val="nil"/>
              <w:bottom w:val="single" w:sz="6" w:space="0" w:color="auto"/>
              <w:right w:val="single" w:sz="6" w:space="0" w:color="auto"/>
            </w:tcBorders>
            <w:vAlign w:val="center"/>
            <w:hideMark/>
          </w:tcPr>
          <w:p w14:paraId="1A2CF6F2" w14:textId="77777777" w:rsidR="00A81396" w:rsidRPr="004A7E7E" w:rsidRDefault="00944B8F" w:rsidP="005C3004">
            <w:pPr>
              <w:keepNext/>
              <w:tabs>
                <w:tab w:val="clear" w:pos="562"/>
              </w:tabs>
              <w:suppressAutoHyphens w:val="0"/>
              <w:jc w:val="center"/>
              <w:textAlignment w:val="baseline"/>
              <w:rPr>
                <w:szCs w:val="22"/>
                <w:lang w:eastAsia="en-GB"/>
              </w:rPr>
            </w:pPr>
            <w:r w:rsidRPr="004A7E7E">
              <w:rPr>
                <w:szCs w:val="22"/>
                <w:lang w:val="en-US" w:eastAsia="en-GB"/>
              </w:rPr>
              <w:t>5/16 (31.3%)</w:t>
            </w:r>
            <w:r w:rsidRPr="004A7E7E">
              <w:rPr>
                <w:szCs w:val="22"/>
                <w:lang w:eastAsia="en-GB"/>
              </w:rPr>
              <w:t> </w:t>
            </w:r>
          </w:p>
        </w:tc>
      </w:tr>
      <w:tr w:rsidR="00C6578C" w14:paraId="75766641" w14:textId="77777777" w:rsidTr="00A81396">
        <w:trPr>
          <w:jc w:val="center"/>
        </w:trPr>
        <w:tc>
          <w:tcPr>
            <w:tcW w:w="7568" w:type="dxa"/>
            <w:gridSpan w:val="3"/>
            <w:tcBorders>
              <w:top w:val="nil"/>
              <w:left w:val="single" w:sz="6" w:space="0" w:color="auto"/>
              <w:bottom w:val="single" w:sz="6" w:space="0" w:color="auto"/>
              <w:right w:val="single" w:sz="6" w:space="0" w:color="auto"/>
            </w:tcBorders>
            <w:hideMark/>
          </w:tcPr>
          <w:p w14:paraId="0C660D61" w14:textId="77777777" w:rsidR="00A81396" w:rsidRPr="004A7E7E" w:rsidRDefault="00944B8F" w:rsidP="005C3004">
            <w:pPr>
              <w:keepNext/>
              <w:tabs>
                <w:tab w:val="clear" w:pos="562"/>
              </w:tabs>
              <w:suppressAutoHyphens w:val="0"/>
              <w:textAlignment w:val="baseline"/>
              <w:rPr>
                <w:szCs w:val="22"/>
                <w:lang w:eastAsia="en-GB"/>
              </w:rPr>
            </w:pPr>
            <w:r w:rsidRPr="004A7E7E">
              <w:rPr>
                <w:szCs w:val="22"/>
                <w:vertAlign w:val="superscript"/>
                <w:lang w:val="en-US" w:eastAsia="en-GB"/>
              </w:rPr>
              <w:t>a </w:t>
            </w:r>
            <w:r w:rsidRPr="004A7E7E">
              <w:rPr>
                <w:szCs w:val="22"/>
                <w:lang w:val="en-US" w:eastAsia="en-GB"/>
              </w:rPr>
              <w:t>Humira 0.6 mg/kg (maximum of 40 mg) every other week</w:t>
            </w:r>
            <w:r w:rsidRPr="004A7E7E">
              <w:rPr>
                <w:szCs w:val="22"/>
                <w:lang w:eastAsia="en-GB"/>
              </w:rPr>
              <w:t> </w:t>
            </w:r>
          </w:p>
          <w:p w14:paraId="421BF7F6" w14:textId="77777777" w:rsidR="00A81396" w:rsidRPr="004A7E7E" w:rsidRDefault="00944B8F" w:rsidP="005C3004">
            <w:pPr>
              <w:keepNext/>
              <w:tabs>
                <w:tab w:val="clear" w:pos="562"/>
              </w:tabs>
              <w:suppressAutoHyphens w:val="0"/>
              <w:textAlignment w:val="baseline"/>
              <w:rPr>
                <w:szCs w:val="22"/>
                <w:lang w:eastAsia="en-GB"/>
              </w:rPr>
            </w:pPr>
            <w:r w:rsidRPr="004A7E7E">
              <w:rPr>
                <w:szCs w:val="22"/>
                <w:vertAlign w:val="superscript"/>
                <w:lang w:val="en-US" w:eastAsia="en-GB"/>
              </w:rPr>
              <w:t>b </w:t>
            </w:r>
            <w:r w:rsidRPr="004A7E7E">
              <w:rPr>
                <w:szCs w:val="22"/>
                <w:lang w:val="en-US" w:eastAsia="en-GB"/>
              </w:rPr>
              <w:t>Humira 0.6 mg/kg (maximum of 40 mg) every week</w:t>
            </w:r>
            <w:r w:rsidRPr="004A7E7E">
              <w:rPr>
                <w:szCs w:val="22"/>
                <w:lang w:eastAsia="en-GB"/>
              </w:rPr>
              <w:t> </w:t>
            </w:r>
          </w:p>
          <w:p w14:paraId="46047B46" w14:textId="77777777" w:rsidR="00A81396" w:rsidRPr="004A7E7E" w:rsidRDefault="00944B8F" w:rsidP="005C3004">
            <w:pPr>
              <w:keepNext/>
              <w:tabs>
                <w:tab w:val="clear" w:pos="562"/>
              </w:tabs>
              <w:suppressAutoHyphens w:val="0"/>
              <w:textAlignment w:val="baseline"/>
              <w:rPr>
                <w:szCs w:val="22"/>
                <w:lang w:eastAsia="en-GB"/>
              </w:rPr>
            </w:pPr>
            <w:r>
              <w:rPr>
                <w:szCs w:val="22"/>
                <w:vertAlign w:val="superscript"/>
                <w:lang w:val="en-US" w:eastAsia="en-GB"/>
              </w:rPr>
              <w:t>c</w:t>
            </w:r>
            <w:r w:rsidRPr="004A7E7E">
              <w:rPr>
                <w:szCs w:val="22"/>
                <w:lang w:val="en-US" w:eastAsia="en-GB"/>
              </w:rPr>
              <w:t> In patients receiving concomitant corticosteroids at baseline</w:t>
            </w:r>
            <w:r w:rsidRPr="004A7E7E">
              <w:rPr>
                <w:szCs w:val="22"/>
                <w:lang w:eastAsia="en-GB"/>
              </w:rPr>
              <w:t> </w:t>
            </w:r>
          </w:p>
          <w:p w14:paraId="34F9FD47" w14:textId="77777777" w:rsidR="00A81396" w:rsidRPr="004A7E7E" w:rsidRDefault="00944B8F" w:rsidP="005C3004">
            <w:pPr>
              <w:keepNext/>
              <w:tabs>
                <w:tab w:val="clear" w:pos="562"/>
              </w:tabs>
              <w:suppressAutoHyphens w:val="0"/>
              <w:textAlignment w:val="baseline"/>
              <w:rPr>
                <w:szCs w:val="22"/>
                <w:lang w:eastAsia="en-GB"/>
              </w:rPr>
            </w:pPr>
            <w:r w:rsidRPr="004A7E7E">
              <w:rPr>
                <w:szCs w:val="22"/>
                <w:lang w:val="en-US" w:eastAsia="en-GB"/>
              </w:rPr>
              <w:t>Note: Patients with missing values at Week 52 or who were randomized to receive re-induction or maintenance treatment were considered non-responders for Week 52 endpoints</w:t>
            </w:r>
            <w:r w:rsidRPr="004A7E7E">
              <w:rPr>
                <w:szCs w:val="22"/>
                <w:lang w:eastAsia="en-GB"/>
              </w:rPr>
              <w:t> </w:t>
            </w:r>
          </w:p>
        </w:tc>
      </w:tr>
    </w:tbl>
    <w:p w14:paraId="5A3DC72B" w14:textId="77777777" w:rsidR="00630394" w:rsidRPr="0002256D" w:rsidRDefault="00630394" w:rsidP="00630394">
      <w:pPr>
        <w:rPr>
          <w:szCs w:val="22"/>
        </w:rPr>
      </w:pPr>
    </w:p>
    <w:p w14:paraId="0F0EAAB2" w14:textId="77777777" w:rsidR="00A81396" w:rsidRDefault="00944B8F" w:rsidP="00A81396">
      <w:pPr>
        <w:rPr>
          <w:szCs w:val="22"/>
        </w:rPr>
      </w:pPr>
      <w:r w:rsidRPr="0002256D">
        <w:rPr>
          <w:szCs w:val="22"/>
        </w:rPr>
        <w:t>Additional exploratory efficacy endpoints included clinical response per the P</w:t>
      </w:r>
      <w:r>
        <w:rPr>
          <w:szCs w:val="22"/>
        </w:rPr>
        <w:t>a</w:t>
      </w:r>
      <w:r w:rsidRPr="0002256D">
        <w:rPr>
          <w:szCs w:val="22"/>
        </w:rPr>
        <w:t>ediatric Ulcerative Colitis Activity Index (PUCAI) (defined as a decrease in PUCAI ≥ 20 points from Baseline) and clinical remission per PUCAI (defined as PUCAI &lt; 10) at Week 8 and Week 52</w:t>
      </w:r>
      <w:r>
        <w:rPr>
          <w:szCs w:val="22"/>
        </w:rPr>
        <w:t xml:space="preserve"> (Table 23)</w:t>
      </w:r>
      <w:r w:rsidRPr="0002256D">
        <w:rPr>
          <w:szCs w:val="22"/>
        </w:rPr>
        <w:t xml:space="preserve">. </w:t>
      </w:r>
    </w:p>
    <w:p w14:paraId="40B71B9F" w14:textId="77777777" w:rsidR="00661566" w:rsidRPr="0002256D" w:rsidRDefault="00661566" w:rsidP="00A81396">
      <w:pPr>
        <w:rPr>
          <w:szCs w:val="22"/>
        </w:rPr>
      </w:pPr>
    </w:p>
    <w:tbl>
      <w:tblPr>
        <w:tblW w:w="8262" w:type="dxa"/>
        <w:jc w:val="center"/>
        <w:tblCellMar>
          <w:left w:w="0" w:type="dxa"/>
          <w:right w:w="0" w:type="dxa"/>
        </w:tblCellMar>
        <w:tblLook w:val="04A0" w:firstRow="1" w:lastRow="0" w:firstColumn="1" w:lastColumn="0" w:noHBand="0" w:noVBand="1"/>
      </w:tblPr>
      <w:tblGrid>
        <w:gridCol w:w="2934"/>
        <w:gridCol w:w="2898"/>
        <w:gridCol w:w="2430"/>
      </w:tblGrid>
      <w:tr w:rsidR="00C6578C" w14:paraId="0CC0F2A8" w14:textId="77777777" w:rsidTr="009D3F74">
        <w:trPr>
          <w:trHeight w:val="60"/>
          <w:jc w:val="center"/>
        </w:trPr>
        <w:tc>
          <w:tcPr>
            <w:tcW w:w="8262" w:type="dxa"/>
            <w:gridSpan w:val="3"/>
            <w:tcMar>
              <w:top w:w="0" w:type="dxa"/>
              <w:left w:w="108" w:type="dxa"/>
              <w:bottom w:w="0" w:type="dxa"/>
              <w:right w:w="108" w:type="dxa"/>
            </w:tcMar>
          </w:tcPr>
          <w:p w14:paraId="4BAB7C00" w14:textId="77777777" w:rsidR="00661566" w:rsidRPr="00AA54F8" w:rsidRDefault="00944B8F" w:rsidP="00F043D5">
            <w:pPr>
              <w:keepNext/>
              <w:jc w:val="center"/>
              <w:rPr>
                <w:b/>
                <w:bCs/>
              </w:rPr>
            </w:pPr>
            <w:r w:rsidRPr="00AA54F8">
              <w:rPr>
                <w:b/>
                <w:bCs/>
              </w:rPr>
              <w:lastRenderedPageBreak/>
              <w:t xml:space="preserve">Table </w:t>
            </w:r>
            <w:r>
              <w:rPr>
                <w:b/>
                <w:bCs/>
              </w:rPr>
              <w:t>23</w:t>
            </w:r>
            <w:r w:rsidRPr="00AA54F8">
              <w:rPr>
                <w:b/>
                <w:bCs/>
              </w:rPr>
              <w:t xml:space="preserve">: </w:t>
            </w:r>
            <w:r>
              <w:rPr>
                <w:b/>
                <w:bCs/>
              </w:rPr>
              <w:t>Exploratory Endpoints Results per PUCAI</w:t>
            </w:r>
          </w:p>
        </w:tc>
      </w:tr>
      <w:tr w:rsidR="00C6578C" w14:paraId="01B0437A" w14:textId="77777777" w:rsidTr="009D3F74">
        <w:trPr>
          <w:trHeight w:val="265"/>
          <w:jc w:val="center"/>
        </w:trPr>
        <w:tc>
          <w:tcPr>
            <w:tcW w:w="2934" w:type="dxa"/>
            <w:vMerge w:val="restart"/>
            <w:tcBorders>
              <w:top w:val="single" w:sz="4" w:space="0" w:color="auto"/>
              <w:left w:val="single" w:sz="8" w:space="0" w:color="auto"/>
              <w:right w:val="single" w:sz="4" w:space="0" w:color="auto"/>
            </w:tcBorders>
            <w:tcMar>
              <w:top w:w="0" w:type="dxa"/>
              <w:left w:w="108" w:type="dxa"/>
              <w:bottom w:w="0" w:type="dxa"/>
              <w:right w:w="108" w:type="dxa"/>
            </w:tcMar>
          </w:tcPr>
          <w:p w14:paraId="6129C4A9" w14:textId="77777777" w:rsidR="00661566" w:rsidRPr="00490445" w:rsidRDefault="00661566" w:rsidP="00F043D5">
            <w:pPr>
              <w:keepNext/>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6A78FD" w14:textId="77777777" w:rsidR="00661566" w:rsidRPr="00490445" w:rsidRDefault="00944B8F" w:rsidP="00F043D5">
            <w:pPr>
              <w:keepNext/>
              <w:jc w:val="center"/>
              <w:rPr>
                <w:b/>
                <w:bCs/>
              </w:rPr>
            </w:pPr>
            <w:r>
              <w:rPr>
                <w:b/>
                <w:bCs/>
              </w:rPr>
              <w:t>Week 8</w:t>
            </w:r>
          </w:p>
        </w:tc>
      </w:tr>
      <w:tr w:rsidR="00C6578C" w14:paraId="62288B4E" w14:textId="77777777" w:rsidTr="009D3F74">
        <w:trPr>
          <w:trHeight w:val="1042"/>
          <w:jc w:val="center"/>
        </w:trPr>
        <w:tc>
          <w:tcPr>
            <w:tcW w:w="293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62195052" w14:textId="77777777" w:rsidR="00661566" w:rsidRPr="00490445" w:rsidRDefault="00661566" w:rsidP="00F043D5">
            <w:pPr>
              <w:keepNext/>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2B520E" w14:textId="77777777" w:rsidR="00661566" w:rsidRPr="00490445" w:rsidRDefault="00944B8F" w:rsidP="00F043D5">
            <w:pPr>
              <w:keepNext/>
              <w:jc w:val="center"/>
              <w:rPr>
                <w:b/>
                <w:bCs/>
                <w:vertAlign w:val="superscript"/>
              </w:rPr>
            </w:pPr>
            <w:r w:rsidRPr="00490445">
              <w:rPr>
                <w:b/>
                <w:bCs/>
              </w:rPr>
              <w:t>Humira</w:t>
            </w:r>
            <w:r w:rsidRPr="00490445">
              <w:rPr>
                <w:b/>
                <w:bCs/>
                <w:vertAlign w:val="superscript"/>
              </w:rPr>
              <w:t>a</w:t>
            </w:r>
          </w:p>
          <w:p w14:paraId="18F79BA9" w14:textId="77777777" w:rsidR="00661566" w:rsidRDefault="00944B8F" w:rsidP="00F043D5">
            <w:pPr>
              <w:keepNext/>
              <w:jc w:val="center"/>
              <w:rPr>
                <w:b/>
                <w:bCs/>
              </w:rPr>
            </w:pPr>
            <w:r w:rsidRPr="00490445">
              <w:rPr>
                <w:b/>
                <w:bCs/>
              </w:rPr>
              <w:t>Maximum of 160 mg at Week 0 / Placebo at Week 1</w:t>
            </w:r>
          </w:p>
          <w:p w14:paraId="6E1B5B30" w14:textId="77777777" w:rsidR="00661566" w:rsidRPr="00262C88" w:rsidRDefault="00944B8F" w:rsidP="00F043D5">
            <w:pPr>
              <w:keepNext/>
              <w:jc w:val="center"/>
            </w:pPr>
            <w:r w:rsidRPr="00262C88">
              <w:t>N=30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8642DF" w14:textId="77777777" w:rsidR="00661566" w:rsidRPr="00490445" w:rsidRDefault="00944B8F" w:rsidP="00F043D5">
            <w:pPr>
              <w:keepNext/>
              <w:jc w:val="center"/>
              <w:rPr>
                <w:b/>
                <w:bCs/>
                <w:vertAlign w:val="superscript"/>
              </w:rPr>
            </w:pPr>
            <w:r w:rsidRPr="00490445">
              <w:rPr>
                <w:b/>
                <w:bCs/>
              </w:rPr>
              <w:t>Humira</w:t>
            </w:r>
            <w:r w:rsidRPr="00490445">
              <w:rPr>
                <w:b/>
                <w:bCs/>
                <w:vertAlign w:val="superscript"/>
              </w:rPr>
              <w:t>b</w:t>
            </w:r>
            <w:r>
              <w:rPr>
                <w:b/>
                <w:bCs/>
                <w:vertAlign w:val="superscript"/>
              </w:rPr>
              <w:t>,c</w:t>
            </w:r>
          </w:p>
          <w:p w14:paraId="7BC0296B" w14:textId="77777777" w:rsidR="00661566" w:rsidRDefault="00944B8F" w:rsidP="00F043D5">
            <w:pPr>
              <w:keepNext/>
              <w:jc w:val="center"/>
              <w:rPr>
                <w:b/>
                <w:bCs/>
              </w:rPr>
            </w:pPr>
            <w:r w:rsidRPr="00490445">
              <w:rPr>
                <w:b/>
                <w:bCs/>
              </w:rPr>
              <w:t>Maximum of 160 mg at Week 0 and Week 1</w:t>
            </w:r>
          </w:p>
          <w:p w14:paraId="1601E7DB" w14:textId="77777777" w:rsidR="00661566" w:rsidRPr="00262C88" w:rsidRDefault="00944B8F" w:rsidP="00F043D5">
            <w:pPr>
              <w:keepNext/>
              <w:jc w:val="center"/>
            </w:pPr>
            <w:r w:rsidRPr="00262C88">
              <w:t>N=47</w:t>
            </w:r>
          </w:p>
        </w:tc>
      </w:tr>
      <w:tr w:rsidR="00C6578C" w14:paraId="52BD9F5C" w14:textId="77777777" w:rsidTr="009D3F74">
        <w:trPr>
          <w:trHeight w:val="202"/>
          <w:jc w:val="center"/>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752BDE" w14:textId="77777777" w:rsidR="00661566" w:rsidRPr="00490445" w:rsidRDefault="00944B8F" w:rsidP="00F043D5">
            <w:pPr>
              <w:keepNext/>
            </w:pPr>
            <w:r w:rsidRPr="00490445">
              <w:t>Clinical remission per PUCAI</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5220B924" w14:textId="77777777" w:rsidR="00661566" w:rsidRPr="00490445" w:rsidRDefault="00944B8F" w:rsidP="00F043D5">
            <w:pPr>
              <w:keepNext/>
              <w:jc w:val="center"/>
            </w:pPr>
            <w:r w:rsidRPr="00490445">
              <w:t>10/30 (33.3%)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4C6B7D95" w14:textId="77777777" w:rsidR="00661566" w:rsidRPr="00490445" w:rsidRDefault="00944B8F" w:rsidP="00F043D5">
            <w:pPr>
              <w:keepNext/>
              <w:jc w:val="center"/>
            </w:pPr>
            <w:r w:rsidRPr="00490445">
              <w:t>22/47 (46.8%)</w:t>
            </w:r>
          </w:p>
        </w:tc>
      </w:tr>
      <w:tr w:rsidR="00C6578C" w14:paraId="7638907E" w14:textId="77777777" w:rsidTr="009D3F74">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F976B48" w14:textId="77777777" w:rsidR="00661566" w:rsidRPr="00490445" w:rsidRDefault="00944B8F" w:rsidP="00F043D5">
            <w:pPr>
              <w:keepNext/>
            </w:pPr>
            <w:r w:rsidRPr="00490445">
              <w:t>Clinical response per PUCAI</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7EFB8158" w14:textId="77777777" w:rsidR="00661566" w:rsidRPr="00490445" w:rsidRDefault="00944B8F" w:rsidP="00F043D5">
            <w:pPr>
              <w:keepNext/>
              <w:jc w:val="center"/>
            </w:pPr>
            <w:r w:rsidRPr="00490445">
              <w:t>15/30 (50.0%)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119E0528" w14:textId="77777777" w:rsidR="00661566" w:rsidRPr="00490445" w:rsidRDefault="00944B8F" w:rsidP="00F043D5">
            <w:pPr>
              <w:keepNext/>
              <w:jc w:val="center"/>
            </w:pPr>
            <w:r w:rsidRPr="00490445">
              <w:t>32/47 (68.1%)</w:t>
            </w:r>
          </w:p>
        </w:tc>
      </w:tr>
      <w:tr w:rsidR="00C6578C" w14:paraId="2FF57EF4" w14:textId="77777777" w:rsidTr="009D3F74">
        <w:trPr>
          <w:trHeight w:val="238"/>
          <w:jc w:val="center"/>
        </w:trPr>
        <w:tc>
          <w:tcPr>
            <w:tcW w:w="2934" w:type="dxa"/>
            <w:vMerge w:val="restart"/>
            <w:tcBorders>
              <w:top w:val="nil"/>
              <w:left w:val="single" w:sz="8" w:space="0" w:color="auto"/>
              <w:right w:val="single" w:sz="8" w:space="0" w:color="auto"/>
            </w:tcBorders>
            <w:tcMar>
              <w:top w:w="0" w:type="dxa"/>
              <w:left w:w="108" w:type="dxa"/>
              <w:bottom w:w="0" w:type="dxa"/>
              <w:right w:w="108" w:type="dxa"/>
            </w:tcMar>
          </w:tcPr>
          <w:p w14:paraId="730C1E1E" w14:textId="77777777" w:rsidR="00661566" w:rsidRPr="00490445" w:rsidRDefault="00661566" w:rsidP="00F043D5">
            <w:pPr>
              <w:keepNext/>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tcPr>
          <w:p w14:paraId="32EC57EA" w14:textId="77777777" w:rsidR="00661566" w:rsidRPr="00FD6CBD" w:rsidRDefault="00944B8F" w:rsidP="00F043D5">
            <w:pPr>
              <w:keepNext/>
              <w:jc w:val="center"/>
              <w:rPr>
                <w:b/>
                <w:bCs/>
              </w:rPr>
            </w:pPr>
            <w:r>
              <w:rPr>
                <w:b/>
                <w:bCs/>
              </w:rPr>
              <w:t>Week 52</w:t>
            </w:r>
          </w:p>
        </w:tc>
      </w:tr>
      <w:tr w:rsidR="00C6578C" w14:paraId="16D7B768" w14:textId="77777777" w:rsidTr="009D3F74">
        <w:trPr>
          <w:trHeight w:val="238"/>
          <w:jc w:val="center"/>
        </w:trPr>
        <w:tc>
          <w:tcPr>
            <w:tcW w:w="2934" w:type="dxa"/>
            <w:vMerge/>
            <w:tcBorders>
              <w:left w:val="single" w:sz="8" w:space="0" w:color="auto"/>
              <w:bottom w:val="single" w:sz="4" w:space="0" w:color="auto"/>
              <w:right w:val="single" w:sz="8" w:space="0" w:color="auto"/>
            </w:tcBorders>
            <w:tcMar>
              <w:top w:w="0" w:type="dxa"/>
              <w:left w:w="108" w:type="dxa"/>
              <w:bottom w:w="0" w:type="dxa"/>
              <w:right w:w="108" w:type="dxa"/>
            </w:tcMar>
          </w:tcPr>
          <w:p w14:paraId="78143366" w14:textId="77777777" w:rsidR="00661566" w:rsidRPr="00490445" w:rsidRDefault="00661566" w:rsidP="00F043D5">
            <w:pPr>
              <w:keepNext/>
            </w:pP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3A04CB50" w14:textId="77777777" w:rsidR="00661566" w:rsidRPr="004C3BBE" w:rsidRDefault="00944B8F" w:rsidP="00F043D5">
            <w:pPr>
              <w:keepNext/>
              <w:jc w:val="center"/>
              <w:rPr>
                <w:b/>
                <w:bCs/>
                <w:vertAlign w:val="superscript"/>
              </w:rPr>
            </w:pPr>
            <w:r w:rsidRPr="00FD6CBD">
              <w:rPr>
                <w:b/>
                <w:bCs/>
              </w:rPr>
              <w:t>Humira</w:t>
            </w:r>
            <w:r>
              <w:rPr>
                <w:b/>
                <w:bCs/>
                <w:vertAlign w:val="superscript"/>
              </w:rPr>
              <w:t>d</w:t>
            </w:r>
          </w:p>
          <w:p w14:paraId="64F88E42" w14:textId="77777777" w:rsidR="00661566" w:rsidRPr="00FD6CBD" w:rsidRDefault="00944B8F" w:rsidP="00F043D5">
            <w:pPr>
              <w:keepNext/>
              <w:jc w:val="center"/>
              <w:rPr>
                <w:b/>
                <w:bCs/>
              </w:rPr>
            </w:pPr>
            <w:r w:rsidRPr="00FD6CBD">
              <w:rPr>
                <w:b/>
                <w:bCs/>
              </w:rPr>
              <w:t>Maximum of 40 mg eow</w:t>
            </w:r>
          </w:p>
          <w:p w14:paraId="2E765DC8" w14:textId="77777777" w:rsidR="00661566" w:rsidRPr="00490445" w:rsidRDefault="00944B8F" w:rsidP="00F043D5">
            <w:pPr>
              <w:keepNext/>
              <w:jc w:val="center"/>
            </w:pPr>
            <w:r>
              <w:t>N=31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0DF89967" w14:textId="77777777" w:rsidR="00661566" w:rsidRPr="004C3BBE" w:rsidRDefault="00944B8F" w:rsidP="00F043D5">
            <w:pPr>
              <w:keepNext/>
              <w:jc w:val="center"/>
              <w:rPr>
                <w:b/>
                <w:bCs/>
                <w:vertAlign w:val="superscript"/>
              </w:rPr>
            </w:pPr>
            <w:r w:rsidRPr="00FD6CBD">
              <w:rPr>
                <w:b/>
                <w:bCs/>
              </w:rPr>
              <w:t>Humira</w:t>
            </w:r>
            <w:r>
              <w:rPr>
                <w:b/>
                <w:bCs/>
                <w:vertAlign w:val="superscript"/>
              </w:rPr>
              <w:t>e</w:t>
            </w:r>
          </w:p>
          <w:p w14:paraId="1521AC6F" w14:textId="77777777" w:rsidR="00661566" w:rsidRPr="00FD6CBD" w:rsidRDefault="00944B8F" w:rsidP="00F043D5">
            <w:pPr>
              <w:keepNext/>
              <w:jc w:val="center"/>
              <w:rPr>
                <w:b/>
                <w:bCs/>
              </w:rPr>
            </w:pPr>
            <w:r w:rsidRPr="00FD6CBD">
              <w:rPr>
                <w:b/>
                <w:bCs/>
              </w:rPr>
              <w:t>Maximum of 40 mg ew</w:t>
            </w:r>
          </w:p>
          <w:p w14:paraId="47E0D1A6" w14:textId="77777777" w:rsidR="00661566" w:rsidRPr="00490445" w:rsidRDefault="00944B8F" w:rsidP="00F043D5">
            <w:pPr>
              <w:keepNext/>
              <w:jc w:val="center"/>
            </w:pPr>
            <w:r>
              <w:t>N=31</w:t>
            </w:r>
          </w:p>
        </w:tc>
      </w:tr>
      <w:tr w:rsidR="00C6578C" w14:paraId="181FF5B9" w14:textId="77777777" w:rsidTr="009D3F74">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6CA3CC0C" w14:textId="77777777" w:rsidR="00661566" w:rsidRPr="00490445" w:rsidRDefault="00944B8F" w:rsidP="00F043D5">
            <w:pPr>
              <w:keepNext/>
            </w:pPr>
            <w:r>
              <w:t>Clinical remission per PUCAI in Week 8 PMS responders</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62D7DC32" w14:textId="77777777" w:rsidR="00661566" w:rsidRPr="00490445" w:rsidRDefault="00944B8F" w:rsidP="00F043D5">
            <w:pPr>
              <w:keepNext/>
              <w:jc w:val="center"/>
            </w:pPr>
            <w:r>
              <w:t>14/31 (45.2%)</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0E27637A" w14:textId="77777777" w:rsidR="00661566" w:rsidRPr="00490445" w:rsidRDefault="00944B8F" w:rsidP="00F043D5">
            <w:pPr>
              <w:keepNext/>
              <w:jc w:val="center"/>
            </w:pPr>
            <w:r>
              <w:t>18/31 (58.1%)</w:t>
            </w:r>
          </w:p>
        </w:tc>
      </w:tr>
      <w:tr w:rsidR="00C6578C" w14:paraId="0F1A6AA4" w14:textId="77777777" w:rsidTr="009D3F74">
        <w:trPr>
          <w:trHeight w:val="238"/>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1D2268BD" w14:textId="77777777" w:rsidR="00661566" w:rsidRDefault="00944B8F" w:rsidP="00F043D5">
            <w:pPr>
              <w:keepNext/>
            </w:pPr>
            <w:r>
              <w:t>Clinical response per PUCAI in Week 8 PMS responders</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4C18ECC8" w14:textId="77777777" w:rsidR="00661566" w:rsidRPr="00490445" w:rsidRDefault="00944B8F" w:rsidP="00F043D5">
            <w:pPr>
              <w:keepNext/>
              <w:jc w:val="center"/>
            </w:pPr>
            <w:r>
              <w:t>18/31 (58.1%)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7340917D" w14:textId="77777777" w:rsidR="00661566" w:rsidRPr="00490445" w:rsidRDefault="00944B8F" w:rsidP="00F043D5">
            <w:pPr>
              <w:keepNext/>
              <w:jc w:val="center"/>
            </w:pPr>
            <w:r>
              <w:t>16/31 (51.6%)</w:t>
            </w:r>
          </w:p>
        </w:tc>
      </w:tr>
      <w:tr w:rsidR="00C6578C" w14:paraId="66EE40AC" w14:textId="77777777" w:rsidTr="009D3F74">
        <w:trPr>
          <w:trHeight w:val="533"/>
          <w:jc w:val="center"/>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tcPr>
          <w:p w14:paraId="0379BD5E" w14:textId="77777777" w:rsidR="00661566" w:rsidRPr="00AA54F8" w:rsidRDefault="00944B8F" w:rsidP="00F043D5">
            <w:pPr>
              <w:keepNext/>
              <w:rPr>
                <w:rStyle w:val="eop"/>
              </w:rPr>
            </w:pPr>
            <w:r w:rsidRPr="00AA54F8">
              <w:rPr>
                <w:vertAlign w:val="superscript"/>
              </w:rPr>
              <w:t>a</w:t>
            </w:r>
            <w:r w:rsidRPr="00AA54F8">
              <w:t xml:space="preserve"> </w:t>
            </w:r>
            <w:r w:rsidRPr="00AA54F8">
              <w:rPr>
                <w:rStyle w:val="normaltextrun"/>
              </w:rPr>
              <w:t>Humira 2.4 mg/kg (maximum of 160 mg) at Week 0, placebo at Week 1, and 1.2 mg/kg (maximum of 80 mg) at Week 2</w:t>
            </w:r>
            <w:r w:rsidRPr="00AA54F8">
              <w:rPr>
                <w:rStyle w:val="eop"/>
              </w:rPr>
              <w:t> </w:t>
            </w:r>
          </w:p>
          <w:p w14:paraId="706283EE" w14:textId="77777777" w:rsidR="00661566" w:rsidRPr="00262C88" w:rsidRDefault="00944B8F" w:rsidP="00F043D5">
            <w:pPr>
              <w:pStyle w:val="paragraph0"/>
              <w:keepNext/>
              <w:spacing w:before="0" w:beforeAutospacing="0" w:after="0" w:afterAutospacing="0"/>
              <w:textAlignment w:val="baseline"/>
              <w:rPr>
                <w:rStyle w:val="eop"/>
                <w:sz w:val="22"/>
                <w:szCs w:val="22"/>
              </w:rPr>
            </w:pPr>
            <w:r w:rsidRPr="00AA54F8">
              <w:rPr>
                <w:sz w:val="22"/>
                <w:szCs w:val="22"/>
                <w:vertAlign w:val="superscript"/>
              </w:rPr>
              <w:t xml:space="preserve">b </w:t>
            </w:r>
            <w:r w:rsidRPr="00AA54F8">
              <w:rPr>
                <w:rStyle w:val="normaltextrun"/>
                <w:sz w:val="22"/>
                <w:szCs w:val="22"/>
                <w:vertAlign w:val="superscript"/>
              </w:rPr>
              <w:t> </w:t>
            </w:r>
            <w:r w:rsidRPr="00AA54F8">
              <w:rPr>
                <w:rStyle w:val="normaltextrun"/>
                <w:sz w:val="22"/>
                <w:szCs w:val="22"/>
              </w:rPr>
              <w:t xml:space="preserve">Humira 2.4 mg/kg (maximum of 160 mg) at Week 0 and Week 1, and 1.2 </w:t>
            </w:r>
            <w:r w:rsidRPr="00262C88">
              <w:rPr>
                <w:rStyle w:val="normaltextrun"/>
                <w:sz w:val="22"/>
                <w:szCs w:val="22"/>
              </w:rPr>
              <w:t>mg/kg (maximum of 80 mg) at Week 2</w:t>
            </w:r>
            <w:r w:rsidRPr="00262C88">
              <w:rPr>
                <w:rStyle w:val="eop"/>
                <w:sz w:val="22"/>
                <w:szCs w:val="22"/>
              </w:rPr>
              <w:t> </w:t>
            </w:r>
          </w:p>
          <w:p w14:paraId="0E6C37ED" w14:textId="77777777" w:rsidR="00661566" w:rsidRDefault="00944B8F" w:rsidP="00F043D5">
            <w:pPr>
              <w:pStyle w:val="paragraph0"/>
              <w:keepNext/>
              <w:spacing w:before="0" w:beforeAutospacing="0" w:after="0" w:afterAutospacing="0"/>
              <w:textAlignment w:val="baseline"/>
              <w:rPr>
                <w:rStyle w:val="normaltextrun"/>
                <w:sz w:val="22"/>
                <w:szCs w:val="22"/>
              </w:rPr>
            </w:pPr>
            <w:r w:rsidRPr="00262C88">
              <w:rPr>
                <w:rStyle w:val="normaltextrun"/>
                <w:rFonts w:cs="Calibri"/>
                <w:sz w:val="22"/>
                <w:szCs w:val="22"/>
                <w:vertAlign w:val="superscript"/>
              </w:rPr>
              <w:t>c</w:t>
            </w:r>
            <w:r w:rsidRPr="00262C88">
              <w:rPr>
                <w:rStyle w:val="normaltextrun"/>
                <w:rFonts w:cs="Calibri"/>
                <w:sz w:val="22"/>
                <w:szCs w:val="22"/>
              </w:rPr>
              <w:t> Not including open-label Induction dose of </w:t>
            </w:r>
            <w:r w:rsidRPr="00262C88">
              <w:rPr>
                <w:rStyle w:val="normaltextrun"/>
                <w:sz w:val="22"/>
                <w:szCs w:val="22"/>
              </w:rPr>
              <w:t>Humira 2.4 mg/kg (maximum of 160 mg) at Week 0 and Week 1, and 1.2 mg/kg (maximum of 80 mg) at Week 2</w:t>
            </w:r>
          </w:p>
          <w:p w14:paraId="68AA3951" w14:textId="77777777" w:rsidR="00661566" w:rsidRPr="00703E9C" w:rsidRDefault="00944B8F" w:rsidP="00F043D5">
            <w:pPr>
              <w:pStyle w:val="paragraph0"/>
              <w:keepNext/>
              <w:spacing w:before="0" w:beforeAutospacing="0" w:after="0" w:afterAutospacing="0"/>
              <w:textAlignment w:val="baseline"/>
              <w:rPr>
                <w:sz w:val="22"/>
                <w:szCs w:val="22"/>
                <w:lang w:eastAsia="en-GB"/>
              </w:rPr>
            </w:pPr>
            <w:r>
              <w:rPr>
                <w:rStyle w:val="normaltextrun"/>
                <w:sz w:val="22"/>
                <w:szCs w:val="22"/>
                <w:vertAlign w:val="superscript"/>
              </w:rPr>
              <w:t>d</w:t>
            </w:r>
            <w:r w:rsidRPr="00703E9C">
              <w:rPr>
                <w:sz w:val="22"/>
                <w:szCs w:val="22"/>
                <w:lang w:eastAsia="en-GB"/>
              </w:rPr>
              <w:t xml:space="preserve"> Humira 0.6 mg/kg (maximum of 40 mg) every other week</w:t>
            </w:r>
          </w:p>
          <w:p w14:paraId="6565B76F" w14:textId="77777777" w:rsidR="00661566" w:rsidRDefault="00944B8F" w:rsidP="00F043D5">
            <w:pPr>
              <w:keepNext/>
              <w:rPr>
                <w:lang w:eastAsia="en-GB"/>
              </w:rPr>
            </w:pPr>
            <w:r>
              <w:rPr>
                <w:vertAlign w:val="superscript"/>
                <w:lang w:eastAsia="en-GB"/>
              </w:rPr>
              <w:t>e</w:t>
            </w:r>
            <w:r w:rsidRPr="00EA7EBF">
              <w:rPr>
                <w:lang w:eastAsia="en-GB"/>
              </w:rPr>
              <w:t xml:space="preserve"> Humira 0.6 mg/kg (maximum of 40 mg) every week</w:t>
            </w:r>
          </w:p>
          <w:p w14:paraId="0A3B0375" w14:textId="77777777" w:rsidR="00661566" w:rsidRPr="00262C88" w:rsidRDefault="00944B8F" w:rsidP="00F043D5">
            <w:pPr>
              <w:pStyle w:val="paragraph0"/>
              <w:keepNext/>
              <w:spacing w:before="0" w:beforeAutospacing="0" w:after="0" w:afterAutospacing="0"/>
              <w:textAlignment w:val="baseline"/>
              <w:rPr>
                <w:rFonts w:ascii="Segoe UI" w:hAnsi="Segoe UI" w:cs="Segoe UI"/>
                <w:sz w:val="22"/>
                <w:szCs w:val="22"/>
              </w:rPr>
            </w:pPr>
            <w:r w:rsidRPr="00262C88">
              <w:rPr>
                <w:rStyle w:val="normaltextrun"/>
                <w:rFonts w:cs="Calibri"/>
                <w:sz w:val="22"/>
                <w:szCs w:val="22"/>
              </w:rPr>
              <w:t>Note 1: Both induction groups received 0.6 mg/kg (maximum of 40 mg) at Week 4 and Week 6</w:t>
            </w:r>
            <w:r w:rsidRPr="00262C88">
              <w:rPr>
                <w:rStyle w:val="eop"/>
                <w:rFonts w:cs="Calibri"/>
                <w:sz w:val="22"/>
                <w:szCs w:val="22"/>
              </w:rPr>
              <w:t> </w:t>
            </w:r>
          </w:p>
          <w:p w14:paraId="150042B9" w14:textId="77777777" w:rsidR="00661566" w:rsidRDefault="00944B8F" w:rsidP="00F043D5">
            <w:pPr>
              <w:pStyle w:val="paragraph0"/>
              <w:keepNext/>
              <w:spacing w:before="0" w:beforeAutospacing="0" w:after="0" w:afterAutospacing="0"/>
              <w:textAlignment w:val="baseline"/>
              <w:rPr>
                <w:rStyle w:val="eop"/>
                <w:rFonts w:cs="Calibri"/>
                <w:sz w:val="22"/>
                <w:szCs w:val="22"/>
              </w:rPr>
            </w:pPr>
            <w:r w:rsidRPr="00262C88">
              <w:rPr>
                <w:rStyle w:val="normaltextrun"/>
                <w:rFonts w:cs="Calibri"/>
                <w:sz w:val="22"/>
                <w:szCs w:val="22"/>
              </w:rPr>
              <w:t>Note 2: Patients with missing values at Week 8 were considered as not having met the endpoints</w:t>
            </w:r>
            <w:r w:rsidRPr="00262C88">
              <w:rPr>
                <w:rStyle w:val="eop"/>
                <w:rFonts w:cs="Calibri"/>
                <w:sz w:val="22"/>
                <w:szCs w:val="22"/>
              </w:rPr>
              <w:t> </w:t>
            </w:r>
          </w:p>
          <w:p w14:paraId="460C74EB" w14:textId="77777777" w:rsidR="00661566" w:rsidRPr="004C3BBE" w:rsidRDefault="00944B8F" w:rsidP="00F043D5">
            <w:pPr>
              <w:pStyle w:val="paragraph0"/>
              <w:keepNext/>
              <w:spacing w:before="0" w:beforeAutospacing="0" w:after="0" w:afterAutospacing="0"/>
              <w:textAlignment w:val="baseline"/>
              <w:rPr>
                <w:sz w:val="22"/>
                <w:szCs w:val="22"/>
              </w:rPr>
            </w:pPr>
            <w:r w:rsidRPr="004C3BBE">
              <w:rPr>
                <w:rStyle w:val="eop"/>
                <w:rFonts w:cs="Calibri"/>
                <w:sz w:val="22"/>
                <w:szCs w:val="22"/>
              </w:rPr>
              <w:t xml:space="preserve">Note 3: </w:t>
            </w:r>
            <w:r w:rsidRPr="004C3BBE">
              <w:rPr>
                <w:sz w:val="22"/>
                <w:szCs w:val="22"/>
                <w:lang w:eastAsia="en-GB"/>
              </w:rPr>
              <w:t>Patients with missing values at Week 52 or who were randomized to receive re-induction or maintenance treatment were considered non-responders for Week 52 endpoints</w:t>
            </w:r>
          </w:p>
        </w:tc>
      </w:tr>
    </w:tbl>
    <w:p w14:paraId="5D33F680" w14:textId="77777777" w:rsidR="002E1170" w:rsidRDefault="002E1170" w:rsidP="005201C2"/>
    <w:p w14:paraId="2D847B8C" w14:textId="77777777" w:rsidR="005201C2" w:rsidRDefault="00944B8F" w:rsidP="005201C2">
      <w:r>
        <w:t>Of the Humira-treated patients who received re-induction treatment during the maintenance period, 2/6 (33%) achieved clinical response per FMS at Week 52.</w:t>
      </w:r>
    </w:p>
    <w:p w14:paraId="4E8464AD" w14:textId="77777777" w:rsidR="00630394" w:rsidRDefault="00630394" w:rsidP="00630394"/>
    <w:p w14:paraId="4817313D" w14:textId="77777777" w:rsidR="00630394" w:rsidRDefault="00944B8F" w:rsidP="00630394">
      <w:pPr>
        <w:keepNext/>
        <w:rPr>
          <w:bCs/>
          <w:i/>
          <w:szCs w:val="22"/>
          <w:u w:val="single"/>
        </w:rPr>
      </w:pPr>
      <w:r>
        <w:rPr>
          <w:bCs/>
          <w:i/>
          <w:szCs w:val="22"/>
          <w:u w:val="single"/>
        </w:rPr>
        <w:t>Quality of life</w:t>
      </w:r>
    </w:p>
    <w:p w14:paraId="3CC8DCAF" w14:textId="77777777" w:rsidR="00630394" w:rsidRDefault="00630394" w:rsidP="00630394">
      <w:pPr>
        <w:keepNext/>
        <w:rPr>
          <w:bCs/>
          <w:i/>
          <w:szCs w:val="22"/>
          <w:u w:val="single"/>
        </w:rPr>
      </w:pPr>
    </w:p>
    <w:p w14:paraId="00C6F228" w14:textId="77777777" w:rsidR="00630394" w:rsidRDefault="00944B8F" w:rsidP="00630394">
      <w:pPr>
        <w:keepNext/>
      </w:pPr>
      <w:r>
        <w:t xml:space="preserve">Clinically meaningful improvements from Baseline were observed in IMPACT III and the caregiver Work Productivity and Activity Impairment (WPAI) scores for the groups treated with </w:t>
      </w:r>
      <w:r w:rsidR="002F045A">
        <w:t>Humira.</w:t>
      </w:r>
      <w:r>
        <w:t xml:space="preserve"> </w:t>
      </w:r>
    </w:p>
    <w:p w14:paraId="6B448E11" w14:textId="77777777" w:rsidR="00630394" w:rsidRDefault="00630394" w:rsidP="00630394">
      <w:pPr>
        <w:keepNext/>
      </w:pPr>
    </w:p>
    <w:p w14:paraId="400B2274" w14:textId="77777777" w:rsidR="00630394" w:rsidRDefault="00944B8F" w:rsidP="00630394">
      <w:pPr>
        <w:tabs>
          <w:tab w:val="clear" w:pos="562"/>
        </w:tabs>
        <w:suppressAutoHyphens w:val="0"/>
        <w:rPr>
          <w:rFonts w:eastAsiaTheme="minorHAnsi"/>
          <w:sz w:val="24"/>
          <w:lang w:eastAsia="en-GB"/>
        </w:rPr>
      </w:pPr>
      <w:r>
        <w:t>Clinically meaningful increases (improvement) from Baseline in h</w:t>
      </w:r>
      <w:r w:rsidR="000B2BAA">
        <w:t>eight</w:t>
      </w:r>
      <w:r>
        <w:t xml:space="preserve"> velocity were observed for the groups treated with adalimumab, and clinically meaningful increases (improvement) from Baseline in Body Mass Index were observed for subjects on the high maintenance dose of max</w:t>
      </w:r>
      <w:r w:rsidR="00D4346A">
        <w:t>imum</w:t>
      </w:r>
      <w:r>
        <w:t xml:space="preserve"> 40 mg (0.6 mg/kg) ew. </w:t>
      </w:r>
    </w:p>
    <w:p w14:paraId="0635A053" w14:textId="77777777" w:rsidR="00630394" w:rsidRDefault="00630394" w:rsidP="00686116">
      <w:pPr>
        <w:keepNext/>
        <w:rPr>
          <w:bCs/>
          <w:i/>
          <w:szCs w:val="22"/>
        </w:rPr>
      </w:pPr>
    </w:p>
    <w:p w14:paraId="52543E02" w14:textId="77777777" w:rsidR="00686116" w:rsidRPr="00BC0E7E" w:rsidRDefault="00944B8F" w:rsidP="00686116">
      <w:pPr>
        <w:keepNext/>
        <w:rPr>
          <w:b/>
          <w:bCs/>
          <w:i/>
          <w:szCs w:val="20"/>
        </w:rPr>
      </w:pPr>
      <w:r w:rsidRPr="00BC0E7E">
        <w:rPr>
          <w:bCs/>
          <w:i/>
          <w:szCs w:val="22"/>
        </w:rPr>
        <w:t xml:space="preserve">Paediatric Uveitis </w:t>
      </w:r>
    </w:p>
    <w:p w14:paraId="04DBB2DD" w14:textId="77777777" w:rsidR="00686116" w:rsidRPr="00BC0E7E" w:rsidRDefault="00686116" w:rsidP="00686116">
      <w:pPr>
        <w:tabs>
          <w:tab w:val="clear" w:pos="562"/>
        </w:tabs>
        <w:suppressAutoHyphens w:val="0"/>
        <w:rPr>
          <w:bCs/>
          <w:szCs w:val="20"/>
        </w:rPr>
      </w:pPr>
    </w:p>
    <w:p w14:paraId="7B697D7B" w14:textId="77777777" w:rsidR="00686116" w:rsidRPr="00BC0E7E" w:rsidRDefault="00944B8F" w:rsidP="00686116">
      <w:pPr>
        <w:tabs>
          <w:tab w:val="clear" w:pos="562"/>
        </w:tabs>
        <w:suppressAutoHyphens w:val="0"/>
        <w:rPr>
          <w:bCs/>
          <w:szCs w:val="20"/>
        </w:rPr>
      </w:pPr>
      <w:r w:rsidRPr="00BC0E7E">
        <w:rPr>
          <w:bCs/>
          <w:szCs w:val="20"/>
        </w:rPr>
        <w:t>The safety and efficacy of Humira was assessed in a randomized, double</w:t>
      </w:r>
      <w:r w:rsidRPr="00BC0E7E">
        <w:rPr>
          <w:bCs/>
          <w:szCs w:val="20"/>
        </w:rPr>
        <w:noBreakHyphen/>
        <w:t xml:space="preserve">masked, controlled study of 90 paediatric patients from 2 to &lt; 18 years of age with active JIA-associated noninfectious anterior uveitis who were refractory to at least 12 weeks of methotrexate treatment.  Patients received either placebo or 20 mg adalimumab (if &lt; 30 kg) or 40 mg adalimumab (if ≥ 30 kg) every other week in combination with their baseline dose of methotrexate. </w:t>
      </w:r>
    </w:p>
    <w:p w14:paraId="18FFD68A" w14:textId="77777777" w:rsidR="00686116" w:rsidRPr="00BC0E7E" w:rsidRDefault="00686116" w:rsidP="00686116">
      <w:pPr>
        <w:tabs>
          <w:tab w:val="clear" w:pos="562"/>
        </w:tabs>
        <w:suppressAutoHyphens w:val="0"/>
        <w:rPr>
          <w:bCs/>
          <w:szCs w:val="20"/>
        </w:rPr>
      </w:pPr>
    </w:p>
    <w:p w14:paraId="29D6338B" w14:textId="77777777" w:rsidR="00686116" w:rsidRPr="00BC0E7E" w:rsidRDefault="00944B8F" w:rsidP="00686116">
      <w:pPr>
        <w:tabs>
          <w:tab w:val="clear" w:pos="562"/>
        </w:tabs>
        <w:suppressAutoHyphens w:val="0"/>
        <w:rPr>
          <w:bCs/>
          <w:szCs w:val="20"/>
        </w:rPr>
      </w:pPr>
      <w:r w:rsidRPr="00BC0E7E">
        <w:rPr>
          <w:bCs/>
          <w:szCs w:val="20"/>
        </w:rPr>
        <w:t>The primary endpoint was ‘time to treatment failure’. The criteria determining treatment failure were worsening or sustained non-improvement in ocular inflammation, partial improvement with development of sustained ocular co-morbidities or worsening of ocular co-morbidities, non-permitted use of concomitant medications, and suspension of treatment for an extended period of time.</w:t>
      </w:r>
    </w:p>
    <w:p w14:paraId="198412F2" w14:textId="77777777" w:rsidR="00686116" w:rsidRPr="00BC0E7E" w:rsidRDefault="00686116" w:rsidP="00686116">
      <w:pPr>
        <w:tabs>
          <w:tab w:val="clear" w:pos="562"/>
        </w:tabs>
        <w:suppressAutoHyphens w:val="0"/>
        <w:rPr>
          <w:bCs/>
          <w:szCs w:val="20"/>
        </w:rPr>
      </w:pPr>
    </w:p>
    <w:p w14:paraId="7AD79145" w14:textId="77777777" w:rsidR="00686116" w:rsidRPr="00BC0E7E" w:rsidRDefault="00944B8F" w:rsidP="00686116">
      <w:pPr>
        <w:rPr>
          <w:i/>
          <w:szCs w:val="20"/>
          <w:u w:val="single"/>
        </w:rPr>
      </w:pPr>
      <w:r w:rsidRPr="00BC0E7E">
        <w:rPr>
          <w:i/>
          <w:szCs w:val="20"/>
          <w:u w:val="single"/>
        </w:rPr>
        <w:t>Clinical Response</w:t>
      </w:r>
    </w:p>
    <w:p w14:paraId="3AED0F95" w14:textId="77777777" w:rsidR="00686116" w:rsidRPr="00BC0E7E" w:rsidRDefault="00686116" w:rsidP="00686116">
      <w:pPr>
        <w:tabs>
          <w:tab w:val="clear" w:pos="562"/>
        </w:tabs>
        <w:suppressAutoHyphens w:val="0"/>
        <w:rPr>
          <w:i/>
          <w:sz w:val="24"/>
          <w:u w:val="single"/>
        </w:rPr>
      </w:pPr>
    </w:p>
    <w:p w14:paraId="337BA95C" w14:textId="77777777" w:rsidR="00686116" w:rsidRDefault="00944B8F" w:rsidP="00686116">
      <w:pPr>
        <w:tabs>
          <w:tab w:val="clear" w:pos="562"/>
        </w:tabs>
        <w:suppressAutoHyphens w:val="0"/>
        <w:rPr>
          <w:bCs/>
          <w:szCs w:val="20"/>
        </w:rPr>
      </w:pPr>
      <w:r w:rsidRPr="00BC0E7E">
        <w:rPr>
          <w:bCs/>
          <w:szCs w:val="20"/>
        </w:rPr>
        <w:t>Adalimumab significantly delayed the time to treatment failure, as compared to placebo (See Figure 2, P &lt; 0.0001 from log rank test).The median time to treatment failure was 24.1 weeks for subjects treated with placebo, whereas the median time to treatment failure was not estimable for subjects treated with adalimumab because less than one-half of these subjects experienced treatment failure.  Adalimumab significantly decreased the risk of treatment failure by 75% relative to placebo, as shown by the hazard ratio (HR = 0.25 [95% CI:  0.12, 0.49]).</w:t>
      </w:r>
    </w:p>
    <w:p w14:paraId="2A1D0D48" w14:textId="77777777" w:rsidR="00686116" w:rsidRPr="00BC0E7E" w:rsidRDefault="00686116" w:rsidP="00686116">
      <w:pPr>
        <w:tabs>
          <w:tab w:val="clear" w:pos="562"/>
        </w:tabs>
        <w:suppressAutoHyphens w:val="0"/>
        <w:rPr>
          <w:bCs/>
          <w:szCs w:val="20"/>
        </w:rPr>
      </w:pPr>
    </w:p>
    <w:p w14:paraId="37935B59" w14:textId="77777777" w:rsidR="00686116" w:rsidRDefault="00944B8F" w:rsidP="00686116">
      <w:pPr>
        <w:keepNext/>
        <w:tabs>
          <w:tab w:val="clear" w:pos="562"/>
        </w:tabs>
        <w:suppressAutoHyphens w:val="0"/>
        <w:spacing w:line="300" w:lineRule="auto"/>
        <w:jc w:val="center"/>
        <w:rPr>
          <w:b/>
          <w:szCs w:val="22"/>
        </w:rPr>
      </w:pPr>
      <w:r w:rsidRPr="00BC0E7E">
        <w:rPr>
          <w:b/>
          <w:szCs w:val="22"/>
        </w:rPr>
        <w:t>Figure 2: Kaplan-Meier Curves Summarizing Time to Treatment Failure in the Paediatric Uveitis Study</w:t>
      </w:r>
    </w:p>
    <w:p w14:paraId="2B243728" w14:textId="77777777" w:rsidR="00686116" w:rsidRPr="00BC0E7E" w:rsidRDefault="00686116" w:rsidP="00686116">
      <w:pPr>
        <w:keepNext/>
        <w:tabs>
          <w:tab w:val="clear" w:pos="562"/>
        </w:tabs>
        <w:suppressAutoHyphens w:val="0"/>
        <w:spacing w:line="300" w:lineRule="auto"/>
        <w:jc w:val="center"/>
        <w:rPr>
          <w:b/>
          <w:szCs w:val="22"/>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C6578C" w14:paraId="3F9B51C4" w14:textId="77777777" w:rsidTr="00271199">
        <w:trPr>
          <w:cantSplit/>
          <w:trHeight w:val="3806"/>
        </w:trPr>
        <w:tc>
          <w:tcPr>
            <w:tcW w:w="468" w:type="dxa"/>
            <w:textDirection w:val="btLr"/>
            <w:vAlign w:val="bottom"/>
          </w:tcPr>
          <w:p w14:paraId="2764BA7F" w14:textId="77777777" w:rsidR="00686116" w:rsidRPr="00BC0E7E" w:rsidRDefault="00944B8F" w:rsidP="00271199">
            <w:pPr>
              <w:keepNext/>
              <w:ind w:left="113" w:right="113"/>
              <w:jc w:val="center"/>
              <w:rPr>
                <w:b/>
                <w:szCs w:val="22"/>
              </w:rPr>
            </w:pPr>
            <w:r w:rsidRPr="00BC0E7E">
              <w:rPr>
                <w:b/>
                <w:szCs w:val="22"/>
              </w:rPr>
              <w:t>PROBABILITY OF FAILING TREATMENT</w:t>
            </w:r>
          </w:p>
        </w:tc>
        <w:tc>
          <w:tcPr>
            <w:tcW w:w="8820" w:type="dxa"/>
            <w:gridSpan w:val="5"/>
            <w:vAlign w:val="bottom"/>
          </w:tcPr>
          <w:p w14:paraId="5E53601E" w14:textId="77777777" w:rsidR="00686116" w:rsidRPr="00BC0E7E" w:rsidRDefault="00944B8F" w:rsidP="00271199">
            <w:pPr>
              <w:keepNext/>
              <w:rPr>
                <w:szCs w:val="22"/>
              </w:rPr>
            </w:pPr>
            <w:r>
              <w:rPr>
                <w:noProof/>
                <w:szCs w:val="22"/>
                <w:lang w:val="en-US"/>
              </w:rPr>
              <w:drawing>
                <wp:inline distT="0" distB="0" distL="0" distR="0" wp14:anchorId="384EE9CB" wp14:editId="466BF2AD">
                  <wp:extent cx="5486400" cy="4556125"/>
                  <wp:effectExtent l="0" t="0" r="0" b="0"/>
                  <wp:docPr id="47" name="Picture 47"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0" descr="Humira PED UV KM Curve REVISED 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486400" cy="4556125"/>
                          </a:xfrm>
                          <a:prstGeom prst="rect">
                            <a:avLst/>
                          </a:prstGeom>
                          <a:noFill/>
                          <a:ln>
                            <a:noFill/>
                          </a:ln>
                        </pic:spPr>
                      </pic:pic>
                    </a:graphicData>
                  </a:graphic>
                </wp:inline>
              </w:drawing>
            </w:r>
          </w:p>
        </w:tc>
      </w:tr>
      <w:tr w:rsidR="00C6578C" w14:paraId="45E0A304" w14:textId="77777777" w:rsidTr="00271199">
        <w:tc>
          <w:tcPr>
            <w:tcW w:w="468" w:type="dxa"/>
          </w:tcPr>
          <w:p w14:paraId="449C9123" w14:textId="77777777" w:rsidR="00686116" w:rsidRPr="00BC0E7E" w:rsidRDefault="00686116" w:rsidP="00271199">
            <w:pPr>
              <w:keepNext/>
              <w:rPr>
                <w:szCs w:val="22"/>
              </w:rPr>
            </w:pPr>
          </w:p>
        </w:tc>
        <w:tc>
          <w:tcPr>
            <w:tcW w:w="8820" w:type="dxa"/>
            <w:gridSpan w:val="5"/>
          </w:tcPr>
          <w:p w14:paraId="4578C9C0" w14:textId="77777777" w:rsidR="00686116" w:rsidRPr="00BC0E7E" w:rsidRDefault="00944B8F" w:rsidP="00271199">
            <w:pPr>
              <w:keepNext/>
              <w:jc w:val="center"/>
              <w:rPr>
                <w:b/>
                <w:szCs w:val="22"/>
              </w:rPr>
            </w:pPr>
            <w:r w:rsidRPr="00BC0E7E">
              <w:rPr>
                <w:b/>
                <w:szCs w:val="22"/>
              </w:rPr>
              <w:t>TIME (WEEKS)</w:t>
            </w:r>
          </w:p>
        </w:tc>
      </w:tr>
      <w:tr w:rsidR="00C6578C" w14:paraId="3A5F1768" w14:textId="77777777" w:rsidTr="00271199">
        <w:tc>
          <w:tcPr>
            <w:tcW w:w="468" w:type="dxa"/>
          </w:tcPr>
          <w:p w14:paraId="55DAA93E" w14:textId="77777777" w:rsidR="00686116" w:rsidRPr="00BC0E7E" w:rsidRDefault="00686116" w:rsidP="00271199">
            <w:pPr>
              <w:keepNext/>
              <w:rPr>
                <w:szCs w:val="22"/>
              </w:rPr>
            </w:pPr>
          </w:p>
        </w:tc>
        <w:tc>
          <w:tcPr>
            <w:tcW w:w="3510" w:type="dxa"/>
          </w:tcPr>
          <w:p w14:paraId="409B92BB" w14:textId="77777777" w:rsidR="00686116" w:rsidRPr="00BC0E7E" w:rsidRDefault="00944B8F" w:rsidP="00271199">
            <w:pPr>
              <w:keepNext/>
              <w:rPr>
                <w:szCs w:val="22"/>
              </w:rPr>
            </w:pPr>
            <w:r w:rsidRPr="00BC0E7E">
              <w:rPr>
                <w:szCs w:val="22"/>
              </w:rPr>
              <w:t>Treatment</w:t>
            </w:r>
          </w:p>
        </w:tc>
        <w:tc>
          <w:tcPr>
            <w:tcW w:w="1170" w:type="dxa"/>
            <w:vAlign w:val="bottom"/>
          </w:tcPr>
          <w:p w14:paraId="2B58D64B" w14:textId="77777777" w:rsidR="00686116" w:rsidRPr="00BC0E7E" w:rsidRDefault="00944B8F" w:rsidP="00271199">
            <w:pPr>
              <w:keepNext/>
              <w:jc w:val="center"/>
              <w:rPr>
                <w:szCs w:val="22"/>
              </w:rPr>
            </w:pPr>
            <w:r>
              <w:rPr>
                <w:noProof/>
                <w:szCs w:val="22"/>
                <w:lang w:val="en-US"/>
              </w:rPr>
              <w:drawing>
                <wp:inline distT="0" distB="0" distL="0" distR="0" wp14:anchorId="3649C033" wp14:editId="465F26D7">
                  <wp:extent cx="461010" cy="119380"/>
                  <wp:effectExtent l="0" t="0" r="0" b="0"/>
                  <wp:docPr id="48" name="Picture 48"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1" descr="Humira PED UV KM Curve 1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61010" cy="119380"/>
                          </a:xfrm>
                          <a:prstGeom prst="rect">
                            <a:avLst/>
                          </a:prstGeom>
                          <a:noFill/>
                          <a:ln>
                            <a:noFill/>
                          </a:ln>
                        </pic:spPr>
                      </pic:pic>
                    </a:graphicData>
                  </a:graphic>
                </wp:inline>
              </w:drawing>
            </w:r>
          </w:p>
        </w:tc>
        <w:tc>
          <w:tcPr>
            <w:tcW w:w="1350" w:type="dxa"/>
          </w:tcPr>
          <w:p w14:paraId="0A21C43B" w14:textId="77777777" w:rsidR="00686116" w:rsidRPr="00BC0E7E" w:rsidRDefault="00944B8F" w:rsidP="00271199">
            <w:pPr>
              <w:keepNext/>
              <w:rPr>
                <w:szCs w:val="22"/>
              </w:rPr>
            </w:pPr>
            <w:r w:rsidRPr="00BC0E7E">
              <w:rPr>
                <w:szCs w:val="22"/>
              </w:rPr>
              <w:t>Placebo</w:t>
            </w:r>
          </w:p>
        </w:tc>
        <w:tc>
          <w:tcPr>
            <w:tcW w:w="900" w:type="dxa"/>
            <w:vAlign w:val="center"/>
          </w:tcPr>
          <w:p w14:paraId="4C71BBC3" w14:textId="77777777" w:rsidR="00686116" w:rsidRPr="00BC0E7E" w:rsidRDefault="00944B8F" w:rsidP="00271199">
            <w:pPr>
              <w:keepNext/>
              <w:rPr>
                <w:szCs w:val="22"/>
              </w:rPr>
            </w:pPr>
            <w:r>
              <w:rPr>
                <w:noProof/>
                <w:szCs w:val="22"/>
                <w:lang w:val="en-US"/>
              </w:rPr>
              <w:drawing>
                <wp:inline distT="0" distB="0" distL="0" distR="0" wp14:anchorId="4B61D66E" wp14:editId="036C0904">
                  <wp:extent cx="453390" cy="87630"/>
                  <wp:effectExtent l="0" t="0" r="3810" b="7620"/>
                  <wp:docPr id="49" name="Picture 49"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2" descr="Humira PED UV KM Curve 1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53390" cy="87630"/>
                          </a:xfrm>
                          <a:prstGeom prst="rect">
                            <a:avLst/>
                          </a:prstGeom>
                          <a:noFill/>
                          <a:ln>
                            <a:noFill/>
                          </a:ln>
                        </pic:spPr>
                      </pic:pic>
                    </a:graphicData>
                  </a:graphic>
                </wp:inline>
              </w:drawing>
            </w:r>
          </w:p>
        </w:tc>
        <w:tc>
          <w:tcPr>
            <w:tcW w:w="1890" w:type="dxa"/>
          </w:tcPr>
          <w:p w14:paraId="423D07C0" w14:textId="77777777" w:rsidR="00686116" w:rsidRPr="00BC0E7E" w:rsidRDefault="00944B8F" w:rsidP="00271199">
            <w:pPr>
              <w:keepNext/>
              <w:rPr>
                <w:szCs w:val="22"/>
              </w:rPr>
            </w:pPr>
            <w:r w:rsidRPr="00BC0E7E">
              <w:rPr>
                <w:szCs w:val="22"/>
              </w:rPr>
              <w:t>Adalimumab</w:t>
            </w:r>
          </w:p>
        </w:tc>
      </w:tr>
      <w:tr w:rsidR="00C6578C" w14:paraId="3573D4B8" w14:textId="77777777" w:rsidTr="00271199">
        <w:tc>
          <w:tcPr>
            <w:tcW w:w="468" w:type="dxa"/>
          </w:tcPr>
          <w:p w14:paraId="6D11D5A2" w14:textId="77777777" w:rsidR="00686116" w:rsidRPr="00BC0E7E" w:rsidRDefault="00686116" w:rsidP="00271199">
            <w:pPr>
              <w:rPr>
                <w:szCs w:val="22"/>
              </w:rPr>
            </w:pPr>
          </w:p>
        </w:tc>
        <w:tc>
          <w:tcPr>
            <w:tcW w:w="8820" w:type="dxa"/>
            <w:gridSpan w:val="5"/>
          </w:tcPr>
          <w:p w14:paraId="603D946C" w14:textId="77777777" w:rsidR="00686116" w:rsidRPr="00BC0E7E" w:rsidRDefault="00944B8F" w:rsidP="00271199">
            <w:pPr>
              <w:rPr>
                <w:szCs w:val="22"/>
              </w:rPr>
            </w:pPr>
            <w:r w:rsidRPr="00BC0E7E">
              <w:rPr>
                <w:szCs w:val="22"/>
              </w:rPr>
              <w:t>Note: P = Placebo (Number at Risk); H = HUMIRA (Number at Risk).</w:t>
            </w:r>
          </w:p>
        </w:tc>
      </w:tr>
    </w:tbl>
    <w:p w14:paraId="37B45662" w14:textId="77777777" w:rsidR="00686116" w:rsidRPr="00BC0E7E" w:rsidRDefault="00686116" w:rsidP="00686116">
      <w:pPr>
        <w:rPr>
          <w:szCs w:val="20"/>
        </w:rPr>
      </w:pPr>
    </w:p>
    <w:p w14:paraId="1C62C8A4" w14:textId="77777777" w:rsidR="005428D8" w:rsidRDefault="005428D8" w:rsidP="005428D8">
      <w:pPr>
        <w:keepNext/>
        <w:rPr>
          <w:szCs w:val="22"/>
          <w:lang w:eastAsia="en-GB"/>
        </w:rPr>
      </w:pPr>
    </w:p>
    <w:p w14:paraId="14B809A8" w14:textId="77777777" w:rsidR="00BC0E7E" w:rsidRPr="00BC0E7E" w:rsidRDefault="00BC0E7E" w:rsidP="00BC0E7E">
      <w:pPr>
        <w:rPr>
          <w:szCs w:val="22"/>
        </w:rPr>
      </w:pPr>
    </w:p>
    <w:p w14:paraId="73572FD8" w14:textId="77777777" w:rsidR="00BC0E7E" w:rsidRPr="00BC0E7E" w:rsidRDefault="00944B8F" w:rsidP="00BC0E7E">
      <w:pPr>
        <w:suppressAutoHyphens w:val="0"/>
        <w:outlineLvl w:val="1"/>
        <w:rPr>
          <w:b/>
          <w:szCs w:val="20"/>
        </w:rPr>
      </w:pPr>
      <w:r w:rsidRPr="00BC0E7E">
        <w:rPr>
          <w:b/>
          <w:szCs w:val="20"/>
        </w:rPr>
        <w:lastRenderedPageBreak/>
        <w:t>5.2</w:t>
      </w:r>
      <w:r w:rsidRPr="00BC0E7E">
        <w:rPr>
          <w:b/>
          <w:szCs w:val="20"/>
        </w:rPr>
        <w:tab/>
        <w:t>Pharmacokinetic properties</w:t>
      </w:r>
    </w:p>
    <w:p w14:paraId="72D36C0C" w14:textId="77777777" w:rsidR="00BC0E7E" w:rsidRPr="00BC0E7E" w:rsidRDefault="00BC0E7E" w:rsidP="00BC0E7E">
      <w:pPr>
        <w:rPr>
          <w:szCs w:val="20"/>
        </w:rPr>
      </w:pPr>
    </w:p>
    <w:p w14:paraId="33E50EDB" w14:textId="77777777" w:rsidR="00BC0E7E" w:rsidRPr="00BC0E7E" w:rsidRDefault="00944B8F" w:rsidP="00BC0E7E">
      <w:pPr>
        <w:autoSpaceDE w:val="0"/>
        <w:autoSpaceDN w:val="0"/>
        <w:adjustRightInd w:val="0"/>
        <w:rPr>
          <w:u w:val="single"/>
        </w:rPr>
      </w:pPr>
      <w:r w:rsidRPr="00BC0E7E">
        <w:rPr>
          <w:u w:val="single"/>
        </w:rPr>
        <w:t>Absorption and distribution</w:t>
      </w:r>
    </w:p>
    <w:p w14:paraId="7577C331" w14:textId="77777777" w:rsidR="00BC0E7E" w:rsidRPr="00BC0E7E" w:rsidRDefault="00BC0E7E" w:rsidP="00BC0E7E">
      <w:pPr>
        <w:autoSpaceDE w:val="0"/>
        <w:autoSpaceDN w:val="0"/>
        <w:adjustRightInd w:val="0"/>
      </w:pPr>
    </w:p>
    <w:p w14:paraId="0E8834A0" w14:textId="77777777" w:rsidR="00BC0E7E" w:rsidRPr="00BC0E7E" w:rsidRDefault="00944B8F" w:rsidP="00BC0E7E">
      <w:pPr>
        <w:autoSpaceDE w:val="0"/>
        <w:autoSpaceDN w:val="0"/>
        <w:adjustRightInd w:val="0"/>
      </w:pPr>
      <w:r w:rsidRPr="00BC0E7E">
        <w:t>After subcutaneous administration of a single 40 mg dose, absorption and distribution of adalimumab was slow, with peak serum concentrations being reached about 5 days after administration. The average absolute bioavailability of adalimumab estimated from three studies following a single 40 mg subcutaneous dose was 64%. After single intravenous doses ranging from 0.25 to 10 mg/kg, concentrations were dose proportional. After doses of 0.5 mg/kg (~40 mg), clearances ranged from 11 to 15 ml/hour, the distribution volume (V</w:t>
      </w:r>
      <w:r w:rsidRPr="00BC0E7E">
        <w:rPr>
          <w:vertAlign w:val="subscript"/>
        </w:rPr>
        <w:t>ss</w:t>
      </w:r>
      <w:r w:rsidRPr="00BC0E7E">
        <w:t>) ranged from 5 to 6 litres and the mean terminal phase half-life was approximately two weeks. Adalimumab concentrations in the synovial fluid from several rheumatoid arthritis patients ranged from 31-96% of those in serum.</w:t>
      </w:r>
    </w:p>
    <w:p w14:paraId="1A57A17D" w14:textId="77777777" w:rsidR="00BC0E7E" w:rsidRDefault="00BC0E7E" w:rsidP="00BC0E7E">
      <w:pPr>
        <w:autoSpaceDE w:val="0"/>
        <w:autoSpaceDN w:val="0"/>
        <w:adjustRightInd w:val="0"/>
      </w:pPr>
    </w:p>
    <w:p w14:paraId="2EDAF734" w14:textId="77777777" w:rsidR="00F3767B" w:rsidRDefault="00944B8F" w:rsidP="00BC0E7E">
      <w:pPr>
        <w:autoSpaceDE w:val="0"/>
        <w:autoSpaceDN w:val="0"/>
        <w:adjustRightInd w:val="0"/>
      </w:pPr>
      <w:r w:rsidRPr="00BC0E7E">
        <w:t>Following subcutaneous administration of 40 mg of adalimumab every other week in adult rheumatoid arthritis (RA) patients the mean steady-state trough concentrations were approximately 5 </w:t>
      </w:r>
      <w:r w:rsidRPr="00BC0E7E">
        <w:rPr>
          <w:rFonts w:ascii="Symbol" w:eastAsia="Symbol" w:hAnsi="Symbol" w:cs="Symbol"/>
          <w:szCs w:val="22"/>
        </w:rPr>
        <w:sym w:font="Symbol" w:char="F06D"/>
      </w:r>
      <w:r w:rsidRPr="00BC0E7E">
        <w:t>g/ml (without concomitant methotrexate) and 8 to 9 </w:t>
      </w:r>
      <w:r w:rsidRPr="00BC0E7E">
        <w:rPr>
          <w:rFonts w:ascii="Symbol" w:eastAsia="Symbol" w:hAnsi="Symbol" w:cs="Symbol"/>
          <w:szCs w:val="22"/>
        </w:rPr>
        <w:sym w:font="Symbol" w:char="F06D"/>
      </w:r>
      <w:r w:rsidRPr="00BC0E7E">
        <w:t>g/ml (with concomitant methotrexate), respectively.  The serum adalimumab trough levels at steady-state increased roughly proportionally with dose following 20, 40 and 80 mg subcutaneous dosing every other week and every week.</w:t>
      </w:r>
    </w:p>
    <w:p w14:paraId="214A419C" w14:textId="77777777" w:rsidR="00F3767B" w:rsidRPr="00BC0E7E" w:rsidRDefault="00F3767B" w:rsidP="00BC0E7E">
      <w:pPr>
        <w:autoSpaceDE w:val="0"/>
        <w:autoSpaceDN w:val="0"/>
        <w:adjustRightInd w:val="0"/>
      </w:pPr>
    </w:p>
    <w:p w14:paraId="38C3CE98" w14:textId="77777777" w:rsidR="00BC0E7E" w:rsidRPr="00BC0E7E" w:rsidRDefault="00944B8F" w:rsidP="00BC0E7E">
      <w:pPr>
        <w:autoSpaceDE w:val="0"/>
        <w:autoSpaceDN w:val="0"/>
        <w:adjustRightInd w:val="0"/>
      </w:pPr>
      <w:r w:rsidRPr="00BC0E7E">
        <w:t>In adult patients with psoriasis, the mean steady-state trough concentration was 5 </w:t>
      </w:r>
      <w:r w:rsidRPr="00BC0E7E">
        <w:rPr>
          <w:rFonts w:ascii="Symbol" w:eastAsia="Symbol" w:hAnsi="Symbol" w:cs="Symbol"/>
          <w:szCs w:val="22"/>
        </w:rPr>
        <w:sym w:font="Symbol" w:char="F06D"/>
      </w:r>
      <w:r w:rsidRPr="00BC0E7E">
        <w:t xml:space="preserve">g/ml during adalimumab 40 mg </w:t>
      </w:r>
      <w:r w:rsidRPr="00BC0E7E">
        <w:rPr>
          <w:bCs/>
        </w:rPr>
        <w:t xml:space="preserve">every other week </w:t>
      </w:r>
      <w:r w:rsidRPr="00BC0E7E">
        <w:t>monotherapy treatment.</w:t>
      </w:r>
    </w:p>
    <w:p w14:paraId="4AD97DA7" w14:textId="77777777" w:rsidR="00BC0E7E" w:rsidRPr="00BC0E7E" w:rsidRDefault="00BC0E7E" w:rsidP="00BC0E7E">
      <w:pPr>
        <w:rPr>
          <w:szCs w:val="20"/>
        </w:rPr>
      </w:pPr>
    </w:p>
    <w:p w14:paraId="14B640BE" w14:textId="77777777" w:rsidR="00BC0E7E" w:rsidRPr="00BC0E7E" w:rsidRDefault="00944B8F" w:rsidP="00BC0E7E">
      <w:pPr>
        <w:rPr>
          <w:szCs w:val="20"/>
          <w:lang w:eastAsia="en-GB"/>
        </w:rPr>
      </w:pPr>
      <w:r w:rsidRPr="00BC0E7E">
        <w:rPr>
          <w:szCs w:val="20"/>
        </w:rPr>
        <w:t xml:space="preserve">In adult patients with hidradenitis suppurativa, a dose of 160 mg Humira on Week 0 followed by 80 mg on Week 2 achieved serum adalimumab trough concentrations of approximately 7 to 8 μg/ml at Week 2 and Week 4.  The mean steady-state trough concentration at Week 12 through Week 36 were approximately 8 to 10 μg/ml during adalimumab 40 mg every week treatment.  </w:t>
      </w:r>
    </w:p>
    <w:p w14:paraId="2EDE8108" w14:textId="77777777" w:rsidR="00BC0E7E" w:rsidRPr="00BC0E7E" w:rsidRDefault="00BC0E7E" w:rsidP="00BC0E7E">
      <w:pPr>
        <w:autoSpaceDE w:val="0"/>
        <w:autoSpaceDN w:val="0"/>
        <w:adjustRightInd w:val="0"/>
      </w:pPr>
    </w:p>
    <w:p w14:paraId="2908D8BD" w14:textId="77777777" w:rsidR="00BC0E7E" w:rsidRPr="00BC0E7E" w:rsidRDefault="00944B8F" w:rsidP="00BC0E7E">
      <w:pPr>
        <w:autoSpaceDE w:val="0"/>
        <w:autoSpaceDN w:val="0"/>
        <w:adjustRightInd w:val="0"/>
        <w:rPr>
          <w:iCs/>
          <w:szCs w:val="20"/>
        </w:rPr>
      </w:pPr>
      <w:r w:rsidRPr="00BC0E7E">
        <w:rPr>
          <w:iCs/>
        </w:rPr>
        <w:t>Adalimumab exposure in adolescent HS patients was predicted using population pharmacokinetic modelling and simulation based on cross-indication pharmacokinetics in other paediatric patients (paediatric psoriasis, juvenile idiopathic arthritis, paediatric Crohn’s disease, and enthesitis-related arthritis). </w:t>
      </w:r>
      <w:r w:rsidRPr="00BC0E7E">
        <w:rPr>
          <w:iCs/>
          <w:szCs w:val="20"/>
        </w:rPr>
        <w:t>The recommended adolescent HS dosing schedule is 40 mg every other week. Since exposure to adalimumab can be affected by body size, adolescents with higher body weight and inadequate response may benefit from receiving the recommended adult dose of 40 mg every week.</w:t>
      </w:r>
    </w:p>
    <w:p w14:paraId="536F936A" w14:textId="77777777" w:rsidR="00BC0E7E" w:rsidRPr="00BC0E7E" w:rsidRDefault="00BC0E7E" w:rsidP="00BC0E7E">
      <w:pPr>
        <w:autoSpaceDE w:val="0"/>
        <w:autoSpaceDN w:val="0"/>
        <w:adjustRightInd w:val="0"/>
      </w:pPr>
    </w:p>
    <w:p w14:paraId="7A7731A8" w14:textId="77777777" w:rsidR="00BC0E7E" w:rsidRPr="00BC0E7E" w:rsidRDefault="00944B8F" w:rsidP="00BC0E7E">
      <w:pPr>
        <w:rPr>
          <w:szCs w:val="20"/>
        </w:rPr>
      </w:pPr>
      <w:r w:rsidRPr="00BC0E7E">
        <w:rPr>
          <w:szCs w:val="20"/>
        </w:rPr>
        <w:t>In patients with Crohn’s disease, the loading dose of 80 mg Humira on Week 0 followed by 40 mg Humira on Week 2 achieves serum adalimumab trough concentrations of approximately 5.5 </w:t>
      </w:r>
      <w:r w:rsidRPr="00BC0E7E">
        <w:rPr>
          <w:rFonts w:ascii="Symbol" w:eastAsia="Symbol" w:hAnsi="Symbol" w:cs="Symbol"/>
          <w:szCs w:val="22"/>
        </w:rPr>
        <w:sym w:font="Symbol" w:char="F06D"/>
      </w:r>
      <w:r w:rsidRPr="00BC0E7E">
        <w:rPr>
          <w:szCs w:val="20"/>
        </w:rPr>
        <w:t>g/ml during the induction period. A loading dose of 160 mg Humira on Week 0 followed by 80 mg Humira on Week 2 achieves serum adalimumab trough concentrations of approximately 12 </w:t>
      </w:r>
      <w:r w:rsidRPr="00BC0E7E">
        <w:rPr>
          <w:rFonts w:ascii="Symbol" w:eastAsia="Symbol" w:hAnsi="Symbol" w:cs="Symbol"/>
          <w:szCs w:val="22"/>
        </w:rPr>
        <w:sym w:font="Symbol" w:char="F06D"/>
      </w:r>
      <w:r w:rsidRPr="00BC0E7E">
        <w:rPr>
          <w:szCs w:val="20"/>
        </w:rPr>
        <w:t>g/ml during the induction period. Mean steady-state trough levels of approximately 7 </w:t>
      </w:r>
      <w:r w:rsidRPr="00BC0E7E">
        <w:rPr>
          <w:rFonts w:ascii="Symbol" w:eastAsia="Symbol" w:hAnsi="Symbol" w:cs="Symbol"/>
          <w:szCs w:val="22"/>
        </w:rPr>
        <w:sym w:font="Symbol" w:char="F06D"/>
      </w:r>
      <w:r w:rsidRPr="00BC0E7E">
        <w:rPr>
          <w:szCs w:val="20"/>
        </w:rPr>
        <w:t>g/ml were observed in Crohn’s disease patients who received a maintenance dose of 40 mg Humira every other week.</w:t>
      </w:r>
    </w:p>
    <w:p w14:paraId="49B8E64D" w14:textId="77777777" w:rsidR="00BC0E7E" w:rsidRPr="00BC0E7E" w:rsidRDefault="00BC0E7E" w:rsidP="00BC0E7E">
      <w:pPr>
        <w:rPr>
          <w:szCs w:val="20"/>
          <w:lang w:eastAsia="en-GB"/>
        </w:rPr>
      </w:pPr>
    </w:p>
    <w:p w14:paraId="556803F1" w14:textId="77777777" w:rsidR="00BC0E7E" w:rsidRPr="00BC0E7E" w:rsidRDefault="00944B8F" w:rsidP="00BC0E7E">
      <w:pPr>
        <w:rPr>
          <w:szCs w:val="20"/>
        </w:rPr>
      </w:pPr>
      <w:r w:rsidRPr="00BC0E7E">
        <w:rPr>
          <w:szCs w:val="20"/>
          <w:lang w:eastAsia="en-GB"/>
        </w:rPr>
        <w:t xml:space="preserve">In paediatric patients with moderate to severe CD, the open-label adalimumab induction dose was 160/80 mg or 80/40 mg at Weeks 0 and 2, respectively, dependent on a body weight cut-off of 40 kg.  At Week 4, patients were </w:t>
      </w:r>
      <w:r w:rsidRPr="00BC0E7E">
        <w:rPr>
          <w:szCs w:val="20"/>
        </w:rPr>
        <w:t>randomised 1:1 to either the Standard Dose (</w:t>
      </w:r>
      <w:r w:rsidRPr="00BC0E7E">
        <w:rPr>
          <w:szCs w:val="20"/>
          <w:lang w:eastAsia="en-GB"/>
        </w:rPr>
        <w:t xml:space="preserve">40/20 mg eow) </w:t>
      </w:r>
      <w:r w:rsidRPr="00BC0E7E">
        <w:rPr>
          <w:szCs w:val="20"/>
        </w:rPr>
        <w:t>or Low Dose (</w:t>
      </w:r>
      <w:r w:rsidRPr="00BC0E7E">
        <w:rPr>
          <w:szCs w:val="20"/>
          <w:lang w:eastAsia="en-GB"/>
        </w:rPr>
        <w:t xml:space="preserve">20/10 mg eow) </w:t>
      </w:r>
      <w:r w:rsidRPr="00BC0E7E">
        <w:rPr>
          <w:szCs w:val="20"/>
        </w:rPr>
        <w:t>maintenance treatment groups based on their body weight</w:t>
      </w:r>
      <w:r w:rsidRPr="00BC0E7E">
        <w:rPr>
          <w:szCs w:val="20"/>
          <w:lang w:eastAsia="en-GB"/>
        </w:rPr>
        <w:t xml:space="preserve">. </w:t>
      </w:r>
      <w:r w:rsidRPr="00BC0E7E">
        <w:rPr>
          <w:szCs w:val="22"/>
          <w:lang w:eastAsia="en-GB"/>
        </w:rPr>
        <w:t>The mean (</w:t>
      </w:r>
      <w:r w:rsidRPr="00BC0E7E">
        <w:rPr>
          <w:rFonts w:eastAsia="Arial Unicode MS"/>
          <w:szCs w:val="20"/>
        </w:rPr>
        <w:t xml:space="preserve">±SD) </w:t>
      </w:r>
      <w:r w:rsidRPr="00BC0E7E">
        <w:rPr>
          <w:szCs w:val="22"/>
          <w:lang w:eastAsia="en-GB"/>
        </w:rPr>
        <w:t>serum adalimumab trough concentrations achieved at Week 4 were 15.7 </w:t>
      </w:r>
      <w:r w:rsidRPr="00BC0E7E">
        <w:rPr>
          <w:rFonts w:eastAsia="Arial Unicode MS"/>
          <w:szCs w:val="20"/>
        </w:rPr>
        <w:t>± 6.6 </w:t>
      </w:r>
      <w:r w:rsidRPr="00BC0E7E">
        <w:rPr>
          <w:rFonts w:ascii="Symbol" w:eastAsia="Symbol" w:hAnsi="Symbol" w:cs="Symbol"/>
          <w:szCs w:val="22"/>
        </w:rPr>
        <w:sym w:font="Symbol" w:char="F06D"/>
      </w:r>
      <w:r w:rsidRPr="00BC0E7E">
        <w:rPr>
          <w:szCs w:val="20"/>
        </w:rPr>
        <w:t xml:space="preserve">g/ml for patients ≥ 40 kg (160/80 mg) and </w:t>
      </w:r>
      <w:r w:rsidRPr="00BC0E7E">
        <w:rPr>
          <w:szCs w:val="22"/>
          <w:lang w:eastAsia="en-GB"/>
        </w:rPr>
        <w:t>10.6 </w:t>
      </w:r>
      <w:r w:rsidRPr="00BC0E7E">
        <w:rPr>
          <w:rFonts w:eastAsia="Arial Unicode MS"/>
          <w:szCs w:val="20"/>
        </w:rPr>
        <w:t>± 6.1 </w:t>
      </w:r>
      <w:r w:rsidRPr="00BC0E7E">
        <w:rPr>
          <w:rFonts w:ascii="Symbol" w:eastAsia="Symbol" w:hAnsi="Symbol" w:cs="Symbol"/>
          <w:szCs w:val="22"/>
        </w:rPr>
        <w:sym w:font="Symbol" w:char="F06D"/>
      </w:r>
      <w:r w:rsidRPr="00BC0E7E">
        <w:rPr>
          <w:szCs w:val="20"/>
        </w:rPr>
        <w:t xml:space="preserve">g/ml for patients &lt; 40 kg (80/40 mg). </w:t>
      </w:r>
    </w:p>
    <w:p w14:paraId="126C2AF1" w14:textId="77777777" w:rsidR="00BC0E7E" w:rsidRPr="00BC0E7E" w:rsidRDefault="00BC0E7E" w:rsidP="00BC0E7E">
      <w:pPr>
        <w:rPr>
          <w:szCs w:val="20"/>
          <w:lang w:eastAsia="en-GB"/>
        </w:rPr>
      </w:pPr>
    </w:p>
    <w:p w14:paraId="5AB812BA" w14:textId="77777777" w:rsidR="00BC0E7E" w:rsidRPr="00BC0E7E" w:rsidRDefault="00944B8F" w:rsidP="00BC0E7E">
      <w:pPr>
        <w:autoSpaceDE w:val="0"/>
        <w:autoSpaceDN w:val="0"/>
        <w:adjustRightInd w:val="0"/>
      </w:pPr>
      <w:r w:rsidRPr="00BC0E7E">
        <w:rPr>
          <w:rFonts w:eastAsia="Arial Unicode MS"/>
        </w:rPr>
        <w:t>F</w:t>
      </w:r>
      <w:r w:rsidRPr="00BC0E7E">
        <w:t xml:space="preserve">or patients who stayed on their randomised therapy, the mean </w:t>
      </w:r>
      <w:r w:rsidRPr="00BC0E7E">
        <w:rPr>
          <w:szCs w:val="22"/>
          <w:lang w:eastAsia="en-GB"/>
        </w:rPr>
        <w:t>(</w:t>
      </w:r>
      <w:r w:rsidRPr="00BC0E7E">
        <w:rPr>
          <w:rFonts w:eastAsia="Arial Unicode MS"/>
        </w:rPr>
        <w:t xml:space="preserve">±SD) </w:t>
      </w:r>
      <w:r w:rsidRPr="00BC0E7E">
        <w:t xml:space="preserve">adalimumab trough concentrations at Week 52 were </w:t>
      </w:r>
      <w:r w:rsidRPr="00BC0E7E">
        <w:rPr>
          <w:rFonts w:eastAsia="Arial Unicode MS"/>
        </w:rPr>
        <w:t>9.5 ± 5.6 </w:t>
      </w:r>
      <w:r w:rsidRPr="00BC0E7E">
        <w:rPr>
          <w:rFonts w:ascii="Symbol" w:eastAsia="Symbol" w:hAnsi="Symbol" w:cs="Symbol"/>
          <w:szCs w:val="22"/>
        </w:rPr>
        <w:sym w:font="Symbol" w:char="F06D"/>
      </w:r>
      <w:r w:rsidRPr="00BC0E7E">
        <w:t xml:space="preserve">g/ml for the Standard Dose group and </w:t>
      </w:r>
      <w:r w:rsidRPr="00BC0E7E">
        <w:rPr>
          <w:rFonts w:eastAsia="Arial Unicode MS"/>
        </w:rPr>
        <w:t>3.5 ± 2.2</w:t>
      </w:r>
      <w:r w:rsidRPr="00BC0E7E">
        <w:t> </w:t>
      </w:r>
      <w:r w:rsidRPr="00BC0E7E">
        <w:rPr>
          <w:rFonts w:ascii="Symbol" w:eastAsia="Symbol" w:hAnsi="Symbol" w:cs="Symbol"/>
          <w:szCs w:val="22"/>
        </w:rPr>
        <w:sym w:font="Symbol" w:char="F06D"/>
      </w:r>
      <w:r w:rsidRPr="00BC0E7E">
        <w:t xml:space="preserve">g/ml for the Low Dose group.  </w:t>
      </w:r>
      <w:r w:rsidRPr="00BC0E7E">
        <w:rPr>
          <w:szCs w:val="22"/>
          <w:lang w:eastAsia="en-GB"/>
        </w:rPr>
        <w:t xml:space="preserve">The mean trough concentrations were maintained in patients who continued to receive adalimumab treatment eow for 52 weeks. </w:t>
      </w:r>
      <w:r w:rsidRPr="00BC0E7E">
        <w:t xml:space="preserve">For patients who dose escalated from eow to weekly regimen, the mean </w:t>
      </w:r>
      <w:r w:rsidRPr="00BC0E7E">
        <w:rPr>
          <w:szCs w:val="22"/>
          <w:lang w:eastAsia="en-GB"/>
        </w:rPr>
        <w:lastRenderedPageBreak/>
        <w:t>(</w:t>
      </w:r>
      <w:r w:rsidRPr="00BC0E7E">
        <w:rPr>
          <w:rFonts w:eastAsia="Arial Unicode MS"/>
        </w:rPr>
        <w:t xml:space="preserve">±SD) </w:t>
      </w:r>
      <w:r w:rsidRPr="00BC0E7E">
        <w:t>serum concentrations of adalimumab at Week 52 were 15.3 </w:t>
      </w:r>
      <w:r w:rsidRPr="00BC0E7E">
        <w:rPr>
          <w:rFonts w:eastAsia="Arial Unicode MS"/>
        </w:rPr>
        <w:t>± 11.4</w:t>
      </w:r>
      <w:r w:rsidRPr="00BC0E7E">
        <w:t> μg/ml (40/20 mg, weekly) and 6.7 </w:t>
      </w:r>
      <w:r w:rsidRPr="00BC0E7E">
        <w:rPr>
          <w:rFonts w:eastAsia="Arial Unicode MS"/>
        </w:rPr>
        <w:t>± 3.5 </w:t>
      </w:r>
      <w:r w:rsidRPr="00BC0E7E">
        <w:t>μg/ml (20/10 mg, weekly).</w:t>
      </w:r>
    </w:p>
    <w:p w14:paraId="62B345BB" w14:textId="77777777" w:rsidR="00BC0E7E" w:rsidRPr="00BC0E7E" w:rsidRDefault="00BC0E7E" w:rsidP="00BC0E7E">
      <w:pPr>
        <w:tabs>
          <w:tab w:val="clear" w:pos="562"/>
          <w:tab w:val="left" w:pos="638"/>
        </w:tabs>
        <w:autoSpaceDE w:val="0"/>
        <w:autoSpaceDN w:val="0"/>
        <w:adjustRightInd w:val="0"/>
      </w:pPr>
    </w:p>
    <w:p w14:paraId="128700CF" w14:textId="77777777" w:rsidR="00BC0E7E" w:rsidRPr="00BC0E7E" w:rsidRDefault="00944B8F" w:rsidP="00BC0E7E">
      <w:pPr>
        <w:tabs>
          <w:tab w:val="clear" w:pos="562"/>
          <w:tab w:val="left" w:pos="638"/>
        </w:tabs>
        <w:autoSpaceDE w:val="0"/>
        <w:autoSpaceDN w:val="0"/>
        <w:adjustRightInd w:val="0"/>
      </w:pPr>
      <w:r w:rsidRPr="00BC0E7E">
        <w:t>In patients with ulcerative colitis, a loading dose of 160 mg Humira on Week 0 followed by 80 mg Humira on Week 2 achieves serum adalimumab trough concentrations of approximately 12 </w:t>
      </w:r>
      <w:r w:rsidRPr="00BC0E7E">
        <w:rPr>
          <w:rFonts w:ascii="Symbol" w:eastAsia="Symbol" w:hAnsi="Symbol" w:cs="Symbol"/>
          <w:szCs w:val="22"/>
        </w:rPr>
        <w:sym w:font="Symbol" w:char="F06D"/>
      </w:r>
      <w:r w:rsidRPr="00BC0E7E">
        <w:t>g/ml during the induction period.  Mean steady-state trough levels of approximately 8 </w:t>
      </w:r>
      <w:r w:rsidRPr="00BC0E7E">
        <w:rPr>
          <w:rFonts w:ascii="Symbol" w:eastAsia="Symbol" w:hAnsi="Symbol" w:cs="Symbol"/>
          <w:szCs w:val="22"/>
        </w:rPr>
        <w:sym w:font="Symbol" w:char="F06D"/>
      </w:r>
      <w:r w:rsidRPr="00BC0E7E">
        <w:t xml:space="preserve">g/ml were observed in ulcerative colitis patients who received a maintenance dose of 40 mg Humira every other week. </w:t>
      </w:r>
    </w:p>
    <w:p w14:paraId="6036D1ED" w14:textId="77777777" w:rsidR="00BC0E7E" w:rsidRPr="00BC0E7E" w:rsidRDefault="00BC0E7E" w:rsidP="00BC0E7E">
      <w:pPr>
        <w:tabs>
          <w:tab w:val="clear" w:pos="562"/>
          <w:tab w:val="left" w:pos="638"/>
        </w:tabs>
        <w:autoSpaceDE w:val="0"/>
        <w:autoSpaceDN w:val="0"/>
        <w:adjustRightInd w:val="0"/>
        <w:rPr>
          <w:szCs w:val="22"/>
        </w:rPr>
      </w:pPr>
    </w:p>
    <w:p w14:paraId="32204AF0" w14:textId="77777777" w:rsidR="00F0402E" w:rsidRPr="00C2713E" w:rsidRDefault="00944B8F" w:rsidP="00F0402E">
      <w:pPr>
        <w:tabs>
          <w:tab w:val="clear" w:pos="562"/>
          <w:tab w:val="left" w:pos="638"/>
        </w:tabs>
        <w:autoSpaceDE w:val="0"/>
        <w:autoSpaceDN w:val="0"/>
        <w:adjustRightInd w:val="0"/>
        <w:rPr>
          <w:rStyle w:val="eop"/>
          <w:shd w:val="clear" w:color="auto" w:fill="FFFFFF"/>
        </w:rPr>
      </w:pPr>
      <w:r w:rsidRPr="00C2713E">
        <w:rPr>
          <w:rStyle w:val="normaltextrun"/>
          <w:shd w:val="clear" w:color="auto" w:fill="FFFFFF"/>
          <w:lang w:val="en-US"/>
        </w:rPr>
        <w:t>Following the subcutaneous administration of body weight-based dosing of 0.6 mg/kg (maximum of 40 mg) every other week to paediatric patients with ulcerative colitis, the mean trough steady-state serum adalimumab concentration was 5.01±3.28 µg/ml at Week 52. For patients who received 0.6 mg/kg (maximum of 40 mg) every week, the mean (±SD) trough steady-state serum adalimumab concentration was 15.7±5.60 </w:t>
      </w:r>
      <w:r w:rsidRPr="00C2713E">
        <w:rPr>
          <w:rStyle w:val="spellingerror"/>
          <w:shd w:val="clear" w:color="auto" w:fill="FFFFFF"/>
          <w:lang w:val="en-US"/>
        </w:rPr>
        <w:t>μg</w:t>
      </w:r>
      <w:r w:rsidRPr="00C2713E">
        <w:rPr>
          <w:rStyle w:val="normaltextrun"/>
          <w:shd w:val="clear" w:color="auto" w:fill="FFFFFF"/>
          <w:lang w:val="en-US"/>
        </w:rPr>
        <w:t>/ml at Week 52.</w:t>
      </w:r>
    </w:p>
    <w:p w14:paraId="1BE7AADD" w14:textId="77777777" w:rsidR="00C65EB5" w:rsidRDefault="00C65EB5" w:rsidP="00BC0E7E">
      <w:pPr>
        <w:tabs>
          <w:tab w:val="clear" w:pos="562"/>
          <w:tab w:val="left" w:pos="638"/>
        </w:tabs>
        <w:autoSpaceDE w:val="0"/>
        <w:autoSpaceDN w:val="0"/>
        <w:adjustRightInd w:val="0"/>
        <w:rPr>
          <w:rStyle w:val="eop"/>
          <w:color w:val="000000"/>
          <w:shd w:val="clear" w:color="auto" w:fill="FFFFFF"/>
        </w:rPr>
      </w:pPr>
    </w:p>
    <w:p w14:paraId="21929350" w14:textId="77777777" w:rsidR="00BC0E7E" w:rsidRPr="00BC0E7E" w:rsidRDefault="00944B8F" w:rsidP="00BC0E7E">
      <w:pPr>
        <w:tabs>
          <w:tab w:val="clear" w:pos="562"/>
          <w:tab w:val="left" w:pos="638"/>
        </w:tabs>
        <w:autoSpaceDE w:val="0"/>
        <w:autoSpaceDN w:val="0"/>
        <w:adjustRightInd w:val="0"/>
      </w:pPr>
      <w:r w:rsidRPr="00BC0E7E">
        <w:rPr>
          <w:szCs w:val="22"/>
        </w:rPr>
        <w:t xml:space="preserve">In </w:t>
      </w:r>
      <w:r w:rsidR="00071890">
        <w:rPr>
          <w:szCs w:val="22"/>
        </w:rPr>
        <w:t xml:space="preserve">adult </w:t>
      </w:r>
      <w:r w:rsidRPr="00BC0E7E">
        <w:rPr>
          <w:szCs w:val="22"/>
        </w:rPr>
        <w:t>patients with uveitis, a loading dose of 80 mg adalimumab on Week 0 followed by 40 mg adalimumab every other week starting at Week 1, resulted in mean steady-state concentrations of approximately 8 to 10 </w:t>
      </w:r>
      <w:r w:rsidRPr="00BC0E7E">
        <w:rPr>
          <w:rFonts w:ascii="Symbol" w:eastAsia="Symbol" w:hAnsi="Symbol" w:cs="Symbol"/>
          <w:szCs w:val="22"/>
        </w:rPr>
        <w:sym w:font="Symbol" w:char="F06D"/>
      </w:r>
      <w:r w:rsidRPr="00BC0E7E">
        <w:rPr>
          <w:szCs w:val="22"/>
        </w:rPr>
        <w:t>g/m</w:t>
      </w:r>
      <w:r w:rsidR="00F22B2F">
        <w:rPr>
          <w:szCs w:val="22"/>
        </w:rPr>
        <w:t>l</w:t>
      </w:r>
      <w:r w:rsidRPr="00BC0E7E">
        <w:rPr>
          <w:szCs w:val="22"/>
        </w:rPr>
        <w:t>.</w:t>
      </w:r>
    </w:p>
    <w:p w14:paraId="0F2A324A" w14:textId="77777777" w:rsidR="00BC0E7E" w:rsidRPr="00BC0E7E" w:rsidRDefault="00BC0E7E" w:rsidP="00BC0E7E">
      <w:pPr>
        <w:tabs>
          <w:tab w:val="clear" w:pos="562"/>
          <w:tab w:val="left" w:pos="638"/>
        </w:tabs>
        <w:autoSpaceDE w:val="0"/>
        <w:autoSpaceDN w:val="0"/>
        <w:adjustRightInd w:val="0"/>
      </w:pPr>
    </w:p>
    <w:p w14:paraId="60D80CA2" w14:textId="77777777" w:rsidR="00BC0E7E" w:rsidRPr="00BC0E7E" w:rsidRDefault="00944B8F" w:rsidP="00BC0E7E">
      <w:pPr>
        <w:tabs>
          <w:tab w:val="clear" w:pos="562"/>
          <w:tab w:val="left" w:pos="638"/>
        </w:tabs>
        <w:autoSpaceDE w:val="0"/>
        <w:autoSpaceDN w:val="0"/>
        <w:adjustRightInd w:val="0"/>
      </w:pPr>
      <w:r w:rsidRPr="00BC0E7E">
        <w:rPr>
          <w:iCs/>
        </w:rPr>
        <w:t>Adalimumab exposure in paediatric uveitis patients was predicted using population pharmacokinetic modelling and simulation based on cross-indication pharmacokinetics in other paediatric patients (paediatric psoriasis, juvenile idiopathic arthritis, paediatric Crohn’s disease, and enthesitis-related arthritis). No clinical exposure data are available on the use of a loading dose in children &lt; 6 years. The predicted exposures indicate that in the absence of methotrexate, a loading dose may lead to an initial increase in systemic exposure.</w:t>
      </w:r>
    </w:p>
    <w:p w14:paraId="5B699531" w14:textId="77777777" w:rsidR="00071890" w:rsidRDefault="00071890" w:rsidP="00071890">
      <w:pPr>
        <w:autoSpaceDE w:val="0"/>
        <w:autoSpaceDN w:val="0"/>
        <w:adjustRightInd w:val="0"/>
      </w:pPr>
    </w:p>
    <w:p w14:paraId="7C8D59AE" w14:textId="77777777" w:rsidR="00560510" w:rsidRDefault="00944B8F" w:rsidP="00071890">
      <w:pPr>
        <w:autoSpaceDE w:val="0"/>
        <w:autoSpaceDN w:val="0"/>
        <w:adjustRightInd w:val="0"/>
        <w:rPr>
          <w:iCs/>
          <w:szCs w:val="20"/>
        </w:rPr>
      </w:pPr>
      <w:r w:rsidRPr="00EA1503">
        <w:rPr>
          <w:iCs/>
          <w:szCs w:val="20"/>
        </w:rPr>
        <w:t>Population pharmacokinetic and pharmacokinetic/pharmacodynamic modelling and simulation predicted comparable adalimumab exposure and efficacy in patients treated with 80</w:t>
      </w:r>
      <w:r w:rsidR="002B1B68">
        <w:rPr>
          <w:iCs/>
          <w:szCs w:val="20"/>
        </w:rPr>
        <w:t> </w:t>
      </w:r>
      <w:r w:rsidRPr="00EA1503">
        <w:rPr>
          <w:iCs/>
          <w:szCs w:val="20"/>
        </w:rPr>
        <w:t>mg every other week when compared with 40</w:t>
      </w:r>
      <w:r w:rsidR="002B1B68">
        <w:rPr>
          <w:iCs/>
          <w:szCs w:val="20"/>
        </w:rPr>
        <w:t> </w:t>
      </w:r>
      <w:r w:rsidRPr="00EA1503">
        <w:rPr>
          <w:iCs/>
          <w:szCs w:val="20"/>
        </w:rPr>
        <w:t>mg every week (including adu</w:t>
      </w:r>
      <w:r w:rsidR="001E485F">
        <w:rPr>
          <w:iCs/>
          <w:szCs w:val="20"/>
        </w:rPr>
        <w:t>lt patients with RA, HS, UC, CD or</w:t>
      </w:r>
      <w:r w:rsidRPr="00EA1503">
        <w:rPr>
          <w:iCs/>
          <w:szCs w:val="20"/>
        </w:rPr>
        <w:t xml:space="preserve"> Ps, patients with adolescent HS, and paediatric patients ≥</w:t>
      </w:r>
      <w:r w:rsidR="002B1B68">
        <w:rPr>
          <w:iCs/>
          <w:szCs w:val="20"/>
        </w:rPr>
        <w:t> </w:t>
      </w:r>
      <w:r w:rsidRPr="00EA1503">
        <w:rPr>
          <w:iCs/>
          <w:szCs w:val="20"/>
        </w:rPr>
        <w:t>40</w:t>
      </w:r>
      <w:r w:rsidR="002B1B68">
        <w:rPr>
          <w:iCs/>
          <w:szCs w:val="20"/>
        </w:rPr>
        <w:t> </w:t>
      </w:r>
      <w:r w:rsidRPr="00EA1503">
        <w:rPr>
          <w:iCs/>
          <w:szCs w:val="20"/>
        </w:rPr>
        <w:t>kg with CD</w:t>
      </w:r>
      <w:r w:rsidR="00091D00">
        <w:rPr>
          <w:iCs/>
          <w:szCs w:val="20"/>
        </w:rPr>
        <w:t xml:space="preserve"> and UC</w:t>
      </w:r>
      <w:r w:rsidRPr="00EA1503">
        <w:rPr>
          <w:iCs/>
          <w:szCs w:val="20"/>
        </w:rPr>
        <w:t>).</w:t>
      </w:r>
    </w:p>
    <w:p w14:paraId="55B66318" w14:textId="77777777" w:rsidR="00560510" w:rsidRDefault="00560510" w:rsidP="00071890">
      <w:pPr>
        <w:autoSpaceDE w:val="0"/>
        <w:autoSpaceDN w:val="0"/>
        <w:adjustRightInd w:val="0"/>
      </w:pPr>
    </w:p>
    <w:p w14:paraId="5104655C" w14:textId="77777777" w:rsidR="00071890" w:rsidRPr="006C4805" w:rsidRDefault="00944B8F" w:rsidP="00071890">
      <w:pPr>
        <w:autoSpaceDE w:val="0"/>
        <w:autoSpaceDN w:val="0"/>
        <w:adjustRightInd w:val="0"/>
      </w:pPr>
      <w:r w:rsidRPr="009E075A">
        <w:rPr>
          <w:u w:val="single"/>
        </w:rPr>
        <w:t>Exposure-response relationship in paediatric population</w:t>
      </w:r>
    </w:p>
    <w:p w14:paraId="30B16BDD" w14:textId="77777777" w:rsidR="00071890" w:rsidRPr="006C4805" w:rsidRDefault="00944B8F" w:rsidP="00071890">
      <w:pPr>
        <w:autoSpaceDE w:val="0"/>
        <w:autoSpaceDN w:val="0"/>
        <w:adjustRightInd w:val="0"/>
      </w:pPr>
      <w:r w:rsidRPr="006C4805">
        <w:t>On the basis of clinical trial data in patients with JIA (pJIA and ERA), an exposure-response relationship was established between plasma concentrations and PedACR 50 response. The apparent adalimumab plasma concentration that produces half the maximum probability of PedACR 50 response (EC50) was 3</w:t>
      </w:r>
      <w:r w:rsidR="003F2CE2">
        <w:t> </w:t>
      </w:r>
      <w:r w:rsidRPr="006C4805">
        <w:t>μg/ml (95% CI: 1</w:t>
      </w:r>
      <w:r w:rsidR="002B0954">
        <w:noBreakHyphen/>
      </w:r>
      <w:r w:rsidRPr="006C4805">
        <w:t>6</w:t>
      </w:r>
      <w:r w:rsidR="002B0954">
        <w:t> </w:t>
      </w:r>
      <w:r w:rsidRPr="006C4805">
        <w:t xml:space="preserve">μg/ml). </w:t>
      </w:r>
    </w:p>
    <w:p w14:paraId="2183D747" w14:textId="77777777" w:rsidR="00071890" w:rsidRPr="006C4805" w:rsidRDefault="00071890" w:rsidP="00071890">
      <w:pPr>
        <w:autoSpaceDE w:val="0"/>
        <w:autoSpaceDN w:val="0"/>
        <w:adjustRightInd w:val="0"/>
      </w:pPr>
    </w:p>
    <w:p w14:paraId="59E67809" w14:textId="77777777" w:rsidR="00071890" w:rsidRDefault="00944B8F" w:rsidP="00071890">
      <w:pPr>
        <w:autoSpaceDE w:val="0"/>
        <w:autoSpaceDN w:val="0"/>
        <w:adjustRightInd w:val="0"/>
      </w:pPr>
      <w:r w:rsidRPr="006C4805">
        <w:t>Exposure-response relationships between adalimumab concentration and efficacy in paediatric patients with severe chronic plaque psoriasis were established for PASI 75 and PGA clear or minimal, respectively. PASI 75 and PGA clear or minimal increased with increasing adalimumab concentrations, both with a similar apparent EC50 of approximately 4.5</w:t>
      </w:r>
      <w:r w:rsidR="002B0954">
        <w:t> </w:t>
      </w:r>
      <w:r w:rsidRPr="006C4805">
        <w:t>μg/m</w:t>
      </w:r>
      <w:r w:rsidR="00F22B2F">
        <w:t>l</w:t>
      </w:r>
      <w:r w:rsidRPr="006C4805">
        <w:t xml:space="preserve"> (95% CI 0.4-47.6 and 1.9-10.5, respectively).  </w:t>
      </w:r>
    </w:p>
    <w:p w14:paraId="7997E8C7" w14:textId="77777777" w:rsidR="00BC0E7E" w:rsidRPr="00BC0E7E" w:rsidRDefault="00BC0E7E" w:rsidP="00BC0E7E">
      <w:pPr>
        <w:tabs>
          <w:tab w:val="clear" w:pos="562"/>
          <w:tab w:val="left" w:pos="638"/>
        </w:tabs>
        <w:autoSpaceDE w:val="0"/>
        <w:autoSpaceDN w:val="0"/>
        <w:adjustRightInd w:val="0"/>
      </w:pPr>
    </w:p>
    <w:p w14:paraId="53CA0FA1" w14:textId="77777777" w:rsidR="00BC0E7E" w:rsidRPr="00BC0E7E" w:rsidRDefault="00944B8F" w:rsidP="00BC0E7E">
      <w:pPr>
        <w:tabs>
          <w:tab w:val="clear" w:pos="562"/>
          <w:tab w:val="left" w:pos="638"/>
        </w:tabs>
        <w:autoSpaceDE w:val="0"/>
        <w:autoSpaceDN w:val="0"/>
        <w:adjustRightInd w:val="0"/>
        <w:rPr>
          <w:u w:val="single"/>
        </w:rPr>
      </w:pPr>
      <w:r w:rsidRPr="00BC0E7E">
        <w:rPr>
          <w:u w:val="single"/>
        </w:rPr>
        <w:t>Elimination</w:t>
      </w:r>
    </w:p>
    <w:p w14:paraId="09C67EB7" w14:textId="77777777" w:rsidR="00BC0E7E" w:rsidRPr="00BC0E7E" w:rsidRDefault="00BC0E7E" w:rsidP="00BC0E7E">
      <w:pPr>
        <w:tabs>
          <w:tab w:val="clear" w:pos="562"/>
          <w:tab w:val="left" w:pos="638"/>
        </w:tabs>
        <w:autoSpaceDE w:val="0"/>
        <w:autoSpaceDN w:val="0"/>
        <w:adjustRightInd w:val="0"/>
      </w:pPr>
    </w:p>
    <w:p w14:paraId="1EF7E330" w14:textId="77777777" w:rsidR="00BC0E7E" w:rsidRPr="00BC0E7E" w:rsidRDefault="00944B8F" w:rsidP="00BC0E7E">
      <w:pPr>
        <w:autoSpaceDE w:val="0"/>
        <w:autoSpaceDN w:val="0"/>
        <w:adjustRightInd w:val="0"/>
      </w:pPr>
      <w:r w:rsidRPr="00BC0E7E">
        <w:t>Population pharmacokinetic analyses with data from over 1,300 RA patients revealed a trend toward higher apparent clearance of adalimumab with increasing body weight. After adjustment for weight differences, gender and age appeared to have a minimal effect on adalimumab clearance.  The serum levels of free adalimumab (not bound to anti-adalimumab antibodies, AAA) were observed to be lower in patients with measurable AAA.</w:t>
      </w:r>
    </w:p>
    <w:p w14:paraId="26D35E76" w14:textId="77777777" w:rsidR="00BC0E7E" w:rsidRPr="00BC0E7E" w:rsidRDefault="00BC0E7E" w:rsidP="00BC0E7E">
      <w:pPr>
        <w:autoSpaceDE w:val="0"/>
        <w:autoSpaceDN w:val="0"/>
        <w:adjustRightInd w:val="0"/>
      </w:pPr>
    </w:p>
    <w:p w14:paraId="15DBAD49" w14:textId="77777777" w:rsidR="00BC0E7E" w:rsidRPr="00BC0E7E" w:rsidRDefault="00944B8F" w:rsidP="00BC0E7E">
      <w:pPr>
        <w:autoSpaceDE w:val="0"/>
        <w:autoSpaceDN w:val="0"/>
        <w:adjustRightInd w:val="0"/>
        <w:rPr>
          <w:u w:val="single"/>
        </w:rPr>
      </w:pPr>
      <w:r w:rsidRPr="00BC0E7E">
        <w:rPr>
          <w:u w:val="single"/>
        </w:rPr>
        <w:t>Hepatic or renal impairment</w:t>
      </w:r>
    </w:p>
    <w:p w14:paraId="279389E2" w14:textId="77777777" w:rsidR="00BC0E7E" w:rsidRPr="00BC0E7E" w:rsidRDefault="00BC0E7E" w:rsidP="00BC0E7E">
      <w:pPr>
        <w:autoSpaceDE w:val="0"/>
        <w:autoSpaceDN w:val="0"/>
        <w:adjustRightInd w:val="0"/>
        <w:rPr>
          <w:u w:val="single"/>
        </w:rPr>
      </w:pPr>
    </w:p>
    <w:p w14:paraId="621D7E10" w14:textId="77777777" w:rsidR="00BC0E7E" w:rsidRPr="00BC0E7E" w:rsidRDefault="00944B8F" w:rsidP="00BC0E7E">
      <w:pPr>
        <w:rPr>
          <w:szCs w:val="20"/>
        </w:rPr>
      </w:pPr>
      <w:r w:rsidRPr="00BC0E7E">
        <w:rPr>
          <w:szCs w:val="20"/>
        </w:rPr>
        <w:t>Humira has not been studied in patients with hepatic or renal impairment.</w:t>
      </w:r>
    </w:p>
    <w:p w14:paraId="207A1949" w14:textId="77777777" w:rsidR="00BC0E7E" w:rsidRPr="00BC0E7E" w:rsidRDefault="00BC0E7E" w:rsidP="00BC0E7E">
      <w:pPr>
        <w:rPr>
          <w:szCs w:val="20"/>
        </w:rPr>
      </w:pPr>
    </w:p>
    <w:p w14:paraId="0728C776" w14:textId="77777777" w:rsidR="00BC0E7E" w:rsidRPr="00BC0E7E" w:rsidRDefault="00944B8F" w:rsidP="00BC0E7E">
      <w:pPr>
        <w:suppressAutoHyphens w:val="0"/>
        <w:outlineLvl w:val="1"/>
        <w:rPr>
          <w:b/>
          <w:szCs w:val="20"/>
        </w:rPr>
      </w:pPr>
      <w:r w:rsidRPr="00BC0E7E">
        <w:rPr>
          <w:b/>
          <w:szCs w:val="20"/>
        </w:rPr>
        <w:t>5.3</w:t>
      </w:r>
      <w:r w:rsidRPr="00BC0E7E">
        <w:rPr>
          <w:b/>
          <w:szCs w:val="20"/>
        </w:rPr>
        <w:tab/>
        <w:t xml:space="preserve">Preclinical safety data </w:t>
      </w:r>
    </w:p>
    <w:p w14:paraId="4278A759" w14:textId="77777777" w:rsidR="00BC0E7E" w:rsidRPr="00BC0E7E" w:rsidRDefault="00BC0E7E" w:rsidP="00BC0E7E">
      <w:pPr>
        <w:rPr>
          <w:szCs w:val="20"/>
        </w:rPr>
      </w:pPr>
    </w:p>
    <w:p w14:paraId="29B8E4FD" w14:textId="77777777" w:rsidR="00BC0E7E" w:rsidRPr="00BC0E7E" w:rsidRDefault="00944B8F" w:rsidP="00BC0E7E">
      <w:pPr>
        <w:autoSpaceDE w:val="0"/>
        <w:autoSpaceDN w:val="0"/>
        <w:adjustRightInd w:val="0"/>
      </w:pPr>
      <w:r w:rsidRPr="00BC0E7E">
        <w:t xml:space="preserve">Non-clinical data reveal no special hazard for humans based on studies of single dose toxicity, repeated dose toxicity, and genotoxicity.  </w:t>
      </w:r>
    </w:p>
    <w:p w14:paraId="353587B7" w14:textId="77777777" w:rsidR="00BC0E7E" w:rsidRPr="00BC0E7E" w:rsidRDefault="00BC0E7E" w:rsidP="00BC0E7E">
      <w:pPr>
        <w:autoSpaceDE w:val="0"/>
        <w:autoSpaceDN w:val="0"/>
        <w:adjustRightInd w:val="0"/>
      </w:pPr>
    </w:p>
    <w:p w14:paraId="61A44E19" w14:textId="77777777" w:rsidR="00BC0E7E" w:rsidRPr="00BC0E7E" w:rsidRDefault="00944B8F" w:rsidP="00BC0E7E">
      <w:pPr>
        <w:rPr>
          <w:szCs w:val="20"/>
        </w:rPr>
      </w:pPr>
      <w:r w:rsidRPr="00BC0E7E">
        <w:rPr>
          <w:szCs w:val="20"/>
        </w:rPr>
        <w:t xml:space="preserve">An embryo-foetal developmental toxicity/perinatal developmental study has been performed in cynomolgus monkeys at 0, 30 and 100 mg/kg (9-17 monkeys/group) and has revealed no evidence of harm to the foetuses due to adalimumab. Neither carcinogenicity studies, nor a standard assessment of fertility and postnatal toxicity, were performed with adalimumab due to the lack of appropriate models for an antibody with limited cross-reactivity to rodent TNF and to the development of neutralising antibodies in rodents. </w:t>
      </w:r>
    </w:p>
    <w:p w14:paraId="7754EE05" w14:textId="77777777" w:rsidR="00BC0E7E" w:rsidRPr="00BC0E7E" w:rsidRDefault="00BC0E7E" w:rsidP="00BC0E7E">
      <w:pPr>
        <w:rPr>
          <w:szCs w:val="20"/>
        </w:rPr>
      </w:pPr>
    </w:p>
    <w:p w14:paraId="103C26F6" w14:textId="77777777" w:rsidR="00BC0E7E" w:rsidRPr="00BC0E7E" w:rsidRDefault="00BC0E7E" w:rsidP="00BC0E7E">
      <w:pPr>
        <w:rPr>
          <w:szCs w:val="20"/>
        </w:rPr>
      </w:pPr>
    </w:p>
    <w:p w14:paraId="6EAF69A1" w14:textId="77777777" w:rsidR="00BC0E7E" w:rsidRPr="00BC0E7E" w:rsidRDefault="00944B8F" w:rsidP="00BC0E7E">
      <w:pPr>
        <w:keepNext/>
        <w:outlineLvl w:val="0"/>
        <w:rPr>
          <w:b/>
          <w:caps/>
          <w:szCs w:val="20"/>
        </w:rPr>
      </w:pPr>
      <w:r w:rsidRPr="00BC0E7E">
        <w:rPr>
          <w:b/>
          <w:caps/>
          <w:szCs w:val="20"/>
        </w:rPr>
        <w:t>6.</w:t>
      </w:r>
      <w:r w:rsidRPr="00BC0E7E">
        <w:rPr>
          <w:b/>
          <w:caps/>
          <w:szCs w:val="20"/>
        </w:rPr>
        <w:tab/>
        <w:t>PHARMACEUTICAL PARTICULARS</w:t>
      </w:r>
    </w:p>
    <w:p w14:paraId="5A744384" w14:textId="77777777" w:rsidR="00BC0E7E" w:rsidRPr="00BC0E7E" w:rsidRDefault="00BC0E7E" w:rsidP="00BC0E7E">
      <w:pPr>
        <w:keepNext/>
        <w:rPr>
          <w:szCs w:val="20"/>
        </w:rPr>
      </w:pPr>
    </w:p>
    <w:p w14:paraId="394F0CE0" w14:textId="77777777" w:rsidR="00BC0E7E" w:rsidRPr="00BC0E7E" w:rsidRDefault="00944B8F" w:rsidP="00BC0E7E">
      <w:pPr>
        <w:keepNext/>
        <w:suppressAutoHyphens w:val="0"/>
        <w:outlineLvl w:val="1"/>
        <w:rPr>
          <w:b/>
          <w:szCs w:val="20"/>
        </w:rPr>
      </w:pPr>
      <w:r w:rsidRPr="00BC0E7E">
        <w:rPr>
          <w:b/>
          <w:szCs w:val="20"/>
        </w:rPr>
        <w:t>6.1</w:t>
      </w:r>
      <w:r w:rsidRPr="00BC0E7E">
        <w:rPr>
          <w:b/>
          <w:szCs w:val="20"/>
        </w:rPr>
        <w:tab/>
        <w:t xml:space="preserve">List of excipients </w:t>
      </w:r>
    </w:p>
    <w:p w14:paraId="28ADB2C3" w14:textId="77777777" w:rsidR="00BC0E7E" w:rsidRPr="00BC0E7E" w:rsidRDefault="00BC0E7E" w:rsidP="00BC0E7E">
      <w:pPr>
        <w:keepNext/>
        <w:rPr>
          <w:szCs w:val="20"/>
        </w:rPr>
      </w:pPr>
    </w:p>
    <w:p w14:paraId="2AAF9DF6" w14:textId="77777777" w:rsidR="00BC0E7E" w:rsidRPr="00BC0E7E" w:rsidRDefault="00944B8F" w:rsidP="00BC0E7E">
      <w:pPr>
        <w:keepNext/>
        <w:autoSpaceDE w:val="0"/>
        <w:autoSpaceDN w:val="0"/>
        <w:adjustRightInd w:val="0"/>
        <w:rPr>
          <w:bCs/>
        </w:rPr>
      </w:pPr>
      <w:r w:rsidRPr="00BC0E7E">
        <w:rPr>
          <w:bCs/>
        </w:rPr>
        <w:t>Mannitol</w:t>
      </w:r>
    </w:p>
    <w:p w14:paraId="2E4BA5E8" w14:textId="77777777" w:rsidR="00BC0E7E" w:rsidRPr="00BC0E7E" w:rsidRDefault="00944B8F" w:rsidP="00BC0E7E">
      <w:pPr>
        <w:keepNext/>
        <w:autoSpaceDE w:val="0"/>
        <w:autoSpaceDN w:val="0"/>
        <w:adjustRightInd w:val="0"/>
        <w:rPr>
          <w:bCs/>
        </w:rPr>
      </w:pPr>
      <w:r w:rsidRPr="00BC0E7E">
        <w:rPr>
          <w:bCs/>
        </w:rPr>
        <w:t>Polysorbate 80</w:t>
      </w:r>
    </w:p>
    <w:p w14:paraId="27289052" w14:textId="77777777" w:rsidR="00BC0E7E" w:rsidRPr="00BC0E7E" w:rsidRDefault="00944B8F" w:rsidP="00BC0E7E">
      <w:pPr>
        <w:keepNext/>
        <w:autoSpaceDE w:val="0"/>
        <w:autoSpaceDN w:val="0"/>
        <w:adjustRightInd w:val="0"/>
        <w:rPr>
          <w:bCs/>
        </w:rPr>
      </w:pPr>
      <w:r w:rsidRPr="00BC0E7E">
        <w:rPr>
          <w:bCs/>
        </w:rPr>
        <w:t>Water for injections</w:t>
      </w:r>
    </w:p>
    <w:p w14:paraId="5A3567DD" w14:textId="77777777" w:rsidR="00BC0E7E" w:rsidRPr="00BC0E7E" w:rsidRDefault="00BC0E7E" w:rsidP="00BC0E7E">
      <w:pPr>
        <w:autoSpaceDE w:val="0"/>
        <w:autoSpaceDN w:val="0"/>
        <w:adjustRightInd w:val="0"/>
        <w:rPr>
          <w:bCs/>
        </w:rPr>
      </w:pPr>
    </w:p>
    <w:p w14:paraId="4DDE6D77" w14:textId="77777777" w:rsidR="00BC0E7E" w:rsidRPr="00BC0E7E" w:rsidRDefault="00944B8F" w:rsidP="00BC0E7E">
      <w:pPr>
        <w:suppressAutoHyphens w:val="0"/>
        <w:outlineLvl w:val="1"/>
        <w:rPr>
          <w:b/>
          <w:szCs w:val="20"/>
        </w:rPr>
      </w:pPr>
      <w:r w:rsidRPr="00BC0E7E">
        <w:rPr>
          <w:b/>
          <w:szCs w:val="20"/>
        </w:rPr>
        <w:t>6.2</w:t>
      </w:r>
      <w:r w:rsidRPr="00BC0E7E">
        <w:rPr>
          <w:b/>
          <w:szCs w:val="20"/>
        </w:rPr>
        <w:tab/>
        <w:t xml:space="preserve">Incompatibilities </w:t>
      </w:r>
    </w:p>
    <w:p w14:paraId="691A4273" w14:textId="77777777" w:rsidR="00BC0E7E" w:rsidRPr="00BC0E7E" w:rsidRDefault="00BC0E7E" w:rsidP="00BC0E7E">
      <w:pPr>
        <w:rPr>
          <w:szCs w:val="20"/>
        </w:rPr>
      </w:pPr>
    </w:p>
    <w:p w14:paraId="2F7415E9" w14:textId="77777777" w:rsidR="00BC0E7E" w:rsidRPr="00BC0E7E" w:rsidRDefault="00944B8F" w:rsidP="00BC0E7E">
      <w:pPr>
        <w:tabs>
          <w:tab w:val="clear" w:pos="562"/>
        </w:tabs>
      </w:pPr>
      <w:r w:rsidRPr="00BC0E7E">
        <w:t>In the absence of compatibility studies, this medicinal product must not be mixed with other medicinal products.</w:t>
      </w:r>
    </w:p>
    <w:p w14:paraId="13796736" w14:textId="77777777" w:rsidR="00BC0E7E" w:rsidRPr="00BC0E7E" w:rsidRDefault="00BC0E7E" w:rsidP="00BC0E7E">
      <w:pPr>
        <w:tabs>
          <w:tab w:val="clear" w:pos="562"/>
        </w:tabs>
      </w:pPr>
    </w:p>
    <w:p w14:paraId="337934BF" w14:textId="77777777" w:rsidR="00BC0E7E" w:rsidRPr="00BC0E7E" w:rsidRDefault="00944B8F" w:rsidP="00BC0E7E">
      <w:pPr>
        <w:suppressAutoHyphens w:val="0"/>
        <w:outlineLvl w:val="1"/>
        <w:rPr>
          <w:b/>
          <w:szCs w:val="20"/>
        </w:rPr>
      </w:pPr>
      <w:r w:rsidRPr="00BC0E7E">
        <w:rPr>
          <w:b/>
          <w:szCs w:val="20"/>
        </w:rPr>
        <w:t>6.3</w:t>
      </w:r>
      <w:r w:rsidRPr="00BC0E7E">
        <w:rPr>
          <w:b/>
          <w:szCs w:val="20"/>
        </w:rPr>
        <w:tab/>
        <w:t xml:space="preserve">Shelf life </w:t>
      </w:r>
    </w:p>
    <w:p w14:paraId="4BE94AB8" w14:textId="77777777" w:rsidR="00BC0E7E" w:rsidRPr="00BC0E7E" w:rsidRDefault="00BC0E7E" w:rsidP="00BC0E7E">
      <w:pPr>
        <w:rPr>
          <w:szCs w:val="20"/>
        </w:rPr>
      </w:pPr>
    </w:p>
    <w:p w14:paraId="4FE44BAF" w14:textId="77777777" w:rsidR="00BC0E7E" w:rsidRPr="00BC0E7E" w:rsidRDefault="00944B8F" w:rsidP="00BC0E7E">
      <w:pPr>
        <w:tabs>
          <w:tab w:val="clear" w:pos="562"/>
        </w:tabs>
      </w:pPr>
      <w:r w:rsidRPr="00BC0E7E">
        <w:t>2 years</w:t>
      </w:r>
    </w:p>
    <w:p w14:paraId="0438666C" w14:textId="77777777" w:rsidR="00BC0E7E" w:rsidRPr="00BC0E7E" w:rsidRDefault="00BC0E7E" w:rsidP="00BC0E7E">
      <w:pPr>
        <w:tabs>
          <w:tab w:val="clear" w:pos="562"/>
        </w:tabs>
      </w:pPr>
    </w:p>
    <w:p w14:paraId="02BDFBA7" w14:textId="77777777" w:rsidR="00BC0E7E" w:rsidRPr="00BC0E7E" w:rsidRDefault="00944B8F" w:rsidP="00BC0E7E">
      <w:pPr>
        <w:keepNext/>
        <w:suppressAutoHyphens w:val="0"/>
        <w:outlineLvl w:val="1"/>
        <w:rPr>
          <w:b/>
          <w:szCs w:val="20"/>
        </w:rPr>
      </w:pPr>
      <w:r w:rsidRPr="00BC0E7E">
        <w:rPr>
          <w:b/>
          <w:szCs w:val="20"/>
        </w:rPr>
        <w:t>6.4</w:t>
      </w:r>
      <w:r w:rsidRPr="00BC0E7E">
        <w:rPr>
          <w:b/>
          <w:szCs w:val="20"/>
        </w:rPr>
        <w:tab/>
        <w:t xml:space="preserve">Special precautions for storage </w:t>
      </w:r>
    </w:p>
    <w:p w14:paraId="4D6BF4E8" w14:textId="77777777" w:rsidR="00BC0E7E" w:rsidRPr="00BC0E7E" w:rsidRDefault="00BC0E7E" w:rsidP="00BC0E7E">
      <w:pPr>
        <w:keepNext/>
        <w:rPr>
          <w:szCs w:val="20"/>
        </w:rPr>
      </w:pPr>
    </w:p>
    <w:p w14:paraId="419F4DD0" w14:textId="77777777" w:rsidR="00BC0E7E" w:rsidRPr="00BC0E7E" w:rsidRDefault="00944B8F" w:rsidP="00BC0E7E">
      <w:pPr>
        <w:keepNext/>
        <w:tabs>
          <w:tab w:val="clear" w:pos="562"/>
        </w:tabs>
      </w:pPr>
      <w:r w:rsidRPr="00BC0E7E">
        <w:t>Store in a refrigerator (2</w:t>
      </w:r>
      <w:r w:rsidRPr="00BC0E7E">
        <w:rPr>
          <w:rFonts w:ascii="Symbol" w:eastAsia="Symbol" w:hAnsi="Symbol" w:cs="Symbol"/>
          <w:szCs w:val="22"/>
        </w:rPr>
        <w:sym w:font="Symbol" w:char="F0B0"/>
      </w:r>
      <w:r w:rsidRPr="00BC0E7E">
        <w:t>C – 8</w:t>
      </w:r>
      <w:r w:rsidRPr="00BC0E7E">
        <w:rPr>
          <w:rFonts w:ascii="Symbol" w:eastAsia="Symbol" w:hAnsi="Symbol" w:cs="Symbol"/>
          <w:szCs w:val="22"/>
        </w:rPr>
        <w:sym w:font="Symbol" w:char="F0B0"/>
      </w:r>
      <w:r w:rsidRPr="00BC0E7E">
        <w:t xml:space="preserve">C). Do not freeze. Keep the pre-filled syringe or pre-filled pen in its outer carton in order to protect from light.  </w:t>
      </w:r>
    </w:p>
    <w:p w14:paraId="1778F3C4" w14:textId="77777777" w:rsidR="00BC0E7E" w:rsidRPr="00BC0E7E" w:rsidRDefault="00BC0E7E" w:rsidP="00BC0E7E">
      <w:pPr>
        <w:tabs>
          <w:tab w:val="clear" w:pos="562"/>
        </w:tabs>
      </w:pPr>
    </w:p>
    <w:p w14:paraId="162C5975" w14:textId="77777777" w:rsidR="00BC0E7E" w:rsidRPr="00BC0E7E" w:rsidRDefault="00944B8F" w:rsidP="00BC0E7E">
      <w:pPr>
        <w:tabs>
          <w:tab w:val="clear" w:pos="562"/>
        </w:tabs>
      </w:pPr>
      <w:r w:rsidRPr="00BC0E7E">
        <w:t>A single Humira pre-filled syringe or pre-filled pen may be stored at temperatures up to a maximum of 25°C for a period of up to 14 days. The syringe or pen must be protected from light, and discarded if not used within the 14</w:t>
      </w:r>
      <w:r w:rsidRPr="00BC0E7E">
        <w:noBreakHyphen/>
        <w:t>day period.</w:t>
      </w:r>
    </w:p>
    <w:p w14:paraId="3E709A45" w14:textId="77777777" w:rsidR="00BC0E7E" w:rsidRPr="00BC0E7E" w:rsidRDefault="00BC0E7E" w:rsidP="00BC0E7E">
      <w:pPr>
        <w:tabs>
          <w:tab w:val="clear" w:pos="562"/>
        </w:tabs>
      </w:pPr>
    </w:p>
    <w:p w14:paraId="00DB2ED3" w14:textId="77777777" w:rsidR="00BC0E7E" w:rsidRPr="00BC0E7E" w:rsidRDefault="00944B8F" w:rsidP="00BC0E7E">
      <w:pPr>
        <w:keepNext/>
        <w:suppressAutoHyphens w:val="0"/>
        <w:outlineLvl w:val="1"/>
        <w:rPr>
          <w:b/>
          <w:szCs w:val="20"/>
        </w:rPr>
      </w:pPr>
      <w:r w:rsidRPr="00BC0E7E">
        <w:rPr>
          <w:b/>
          <w:szCs w:val="20"/>
        </w:rPr>
        <w:t>6.5</w:t>
      </w:r>
      <w:r w:rsidRPr="00BC0E7E">
        <w:rPr>
          <w:b/>
          <w:szCs w:val="20"/>
        </w:rPr>
        <w:tab/>
        <w:t>Nat</w:t>
      </w:r>
      <w:r w:rsidR="00F337C0">
        <w:rPr>
          <w:b/>
          <w:szCs w:val="20"/>
        </w:rPr>
        <w:t>ure and contents of container</w:t>
      </w:r>
    </w:p>
    <w:p w14:paraId="739FFB63" w14:textId="77777777" w:rsidR="00BC0E7E" w:rsidRPr="00BC0E7E" w:rsidRDefault="00BC0E7E" w:rsidP="00BC0E7E">
      <w:pPr>
        <w:keepNext/>
        <w:rPr>
          <w:szCs w:val="20"/>
        </w:rPr>
      </w:pPr>
    </w:p>
    <w:p w14:paraId="5B7C01A5" w14:textId="77777777" w:rsidR="00BC0E7E" w:rsidRPr="00BC0E7E" w:rsidRDefault="00944B8F" w:rsidP="00BC0E7E">
      <w:pPr>
        <w:tabs>
          <w:tab w:val="clear" w:pos="562"/>
        </w:tabs>
        <w:rPr>
          <w:u w:val="single"/>
        </w:rPr>
      </w:pPr>
      <w:r w:rsidRPr="00BC0E7E">
        <w:rPr>
          <w:u w:val="single"/>
        </w:rPr>
        <w:t>Humira 80 mg solution for injection in pre-filled syringe</w:t>
      </w:r>
    </w:p>
    <w:p w14:paraId="3F5805E9" w14:textId="77777777" w:rsidR="00BC0E7E" w:rsidRPr="00BC0E7E" w:rsidRDefault="00944B8F" w:rsidP="00BC0E7E">
      <w:pPr>
        <w:tabs>
          <w:tab w:val="clear" w:pos="562"/>
        </w:tabs>
      </w:pPr>
      <w:r w:rsidRPr="00BC0E7E">
        <w:t xml:space="preserve">Humira 80 mg solution for injection in single-use pre-filled syringe (type I glass) with a plunger stopper (bromobutyl rubber) and a needle with a needle shield (thermoplastic elastomer). </w:t>
      </w:r>
      <w:r w:rsidRPr="00BC0E7E">
        <w:br/>
      </w:r>
    </w:p>
    <w:p w14:paraId="2EE795DC" w14:textId="77777777" w:rsidR="00BC0E7E" w:rsidRPr="00BC0E7E" w:rsidRDefault="00944B8F" w:rsidP="00BC0E7E">
      <w:pPr>
        <w:tabs>
          <w:tab w:val="clear" w:pos="562"/>
        </w:tabs>
      </w:pPr>
      <w:r w:rsidRPr="00BC0E7E">
        <w:t>Packs of:</w:t>
      </w:r>
    </w:p>
    <w:p w14:paraId="056CE713" w14:textId="77777777" w:rsidR="00BC0E7E" w:rsidRPr="00BC0E7E" w:rsidRDefault="00944B8F" w:rsidP="00BC0E7E">
      <w:pPr>
        <w:numPr>
          <w:ilvl w:val="0"/>
          <w:numId w:val="11"/>
        </w:numPr>
        <w:tabs>
          <w:tab w:val="clear" w:pos="562"/>
          <w:tab w:val="clear" w:pos="720"/>
        </w:tabs>
        <w:ind w:left="567" w:hanging="567"/>
      </w:pPr>
      <w:r w:rsidRPr="00BC0E7E">
        <w:t>1 pre-filled syringe (0.8 ml sterile solution) with 1 al</w:t>
      </w:r>
      <w:r w:rsidR="00F337C0">
        <w:t>cohol pad in a blister.</w:t>
      </w:r>
    </w:p>
    <w:p w14:paraId="3DE988B0" w14:textId="77777777" w:rsidR="00ED2494" w:rsidRDefault="00ED2494" w:rsidP="00ED2494">
      <w:pPr>
        <w:tabs>
          <w:tab w:val="clear" w:pos="562"/>
        </w:tabs>
        <w:rPr>
          <w:u w:val="single"/>
        </w:rPr>
      </w:pPr>
    </w:p>
    <w:p w14:paraId="432D9809" w14:textId="77777777" w:rsidR="00BC0E7E" w:rsidRPr="00BC0E7E" w:rsidRDefault="00944B8F" w:rsidP="00BC0E7E">
      <w:pPr>
        <w:tabs>
          <w:tab w:val="clear" w:pos="562"/>
        </w:tabs>
        <w:rPr>
          <w:u w:val="single"/>
        </w:rPr>
      </w:pPr>
      <w:r w:rsidRPr="00BC0E7E">
        <w:rPr>
          <w:u w:val="single"/>
        </w:rPr>
        <w:t>Humira 80 mg solution for injection in pre-filled pen</w:t>
      </w:r>
    </w:p>
    <w:p w14:paraId="472E71C7" w14:textId="77777777" w:rsidR="00BC0E7E" w:rsidRPr="00BC0E7E" w:rsidRDefault="00944B8F" w:rsidP="00BC0E7E">
      <w:pPr>
        <w:tabs>
          <w:tab w:val="clear" w:pos="562"/>
        </w:tabs>
      </w:pPr>
      <w:r w:rsidRPr="00BC0E7E">
        <w:t>Humira 80 mg solution for injection in single-use pre-filled pen for patient use containing a pre-filled syringe. The syringe inside the pen is made from type 1 glass with a plunger stopper (bromobutyl rubber) and a needle with a needle shield (thermoplastic elastomer).</w:t>
      </w:r>
    </w:p>
    <w:p w14:paraId="5BCFB755" w14:textId="77777777" w:rsidR="00BC0E7E" w:rsidRPr="00BC0E7E" w:rsidRDefault="00BC0E7E" w:rsidP="00BC0E7E">
      <w:pPr>
        <w:tabs>
          <w:tab w:val="clear" w:pos="562"/>
        </w:tabs>
      </w:pPr>
    </w:p>
    <w:p w14:paraId="4AB92220" w14:textId="77777777" w:rsidR="00BC0E7E" w:rsidRPr="00BC0E7E" w:rsidRDefault="00944B8F" w:rsidP="00BC0E7E">
      <w:pPr>
        <w:tabs>
          <w:tab w:val="clear" w:pos="562"/>
        </w:tabs>
      </w:pPr>
      <w:r w:rsidRPr="00BC0E7E">
        <w:t>Packs of:</w:t>
      </w:r>
    </w:p>
    <w:p w14:paraId="3B5F1532" w14:textId="77777777" w:rsidR="00770928" w:rsidRDefault="00944B8F" w:rsidP="00770928">
      <w:pPr>
        <w:numPr>
          <w:ilvl w:val="0"/>
          <w:numId w:val="11"/>
        </w:numPr>
        <w:tabs>
          <w:tab w:val="clear" w:pos="562"/>
        </w:tabs>
      </w:pPr>
      <w:r w:rsidRPr="00BC0E7E">
        <w:t>1 pre-filled pen (0.8 ml sterile solution), wi</w:t>
      </w:r>
      <w:r w:rsidR="00F337C0">
        <w:t>th 2 alcohol pads in a blister.</w:t>
      </w:r>
    </w:p>
    <w:p w14:paraId="49BCE466" w14:textId="77777777" w:rsidR="00770928" w:rsidRDefault="00944B8F" w:rsidP="00770928">
      <w:pPr>
        <w:numPr>
          <w:ilvl w:val="0"/>
          <w:numId w:val="11"/>
        </w:numPr>
        <w:tabs>
          <w:tab w:val="clear" w:pos="562"/>
        </w:tabs>
      </w:pPr>
      <w:r>
        <w:t>3 pre-filled pens (0.8 ml sterile solution), with 4 alcohol pads in a blister.</w:t>
      </w:r>
    </w:p>
    <w:p w14:paraId="6E92F099" w14:textId="77777777" w:rsidR="00BC0E7E" w:rsidRPr="00BC0E7E" w:rsidRDefault="00BC0E7E" w:rsidP="00770928">
      <w:pPr>
        <w:tabs>
          <w:tab w:val="clear" w:pos="562"/>
        </w:tabs>
        <w:ind w:left="720"/>
      </w:pPr>
    </w:p>
    <w:p w14:paraId="16250BBB" w14:textId="77777777" w:rsidR="00BC0E7E" w:rsidRPr="00BC0E7E" w:rsidRDefault="00BC0E7E" w:rsidP="00BC0E7E">
      <w:pPr>
        <w:tabs>
          <w:tab w:val="clear" w:pos="562"/>
        </w:tabs>
      </w:pPr>
    </w:p>
    <w:p w14:paraId="263FB903" w14:textId="77777777" w:rsidR="00BC0E7E" w:rsidRPr="00BC0E7E" w:rsidRDefault="00944B8F" w:rsidP="00BC0E7E">
      <w:r w:rsidRPr="00BC0E7E">
        <w:t xml:space="preserve">Not all presentations </w:t>
      </w:r>
      <w:r w:rsidR="00F337C0">
        <w:t>or pack sizes may be marketed.</w:t>
      </w:r>
    </w:p>
    <w:p w14:paraId="75A964C7" w14:textId="77777777" w:rsidR="00BC0E7E" w:rsidRPr="00BC0E7E" w:rsidRDefault="00BC0E7E" w:rsidP="00BC0E7E">
      <w:pPr>
        <w:tabs>
          <w:tab w:val="clear" w:pos="562"/>
        </w:tabs>
      </w:pPr>
    </w:p>
    <w:p w14:paraId="7E8C2B70" w14:textId="77777777" w:rsidR="00BC0E7E" w:rsidRPr="00BC0E7E" w:rsidRDefault="00944B8F" w:rsidP="00BC0E7E">
      <w:pPr>
        <w:keepNext/>
        <w:suppressAutoHyphens w:val="0"/>
        <w:outlineLvl w:val="1"/>
        <w:rPr>
          <w:b/>
          <w:szCs w:val="20"/>
        </w:rPr>
      </w:pPr>
      <w:r w:rsidRPr="00BC0E7E">
        <w:rPr>
          <w:b/>
          <w:szCs w:val="20"/>
        </w:rPr>
        <w:t>6.6</w:t>
      </w:r>
      <w:r w:rsidRPr="00BC0E7E">
        <w:rPr>
          <w:b/>
          <w:szCs w:val="20"/>
        </w:rPr>
        <w:tab/>
        <w:t>Special precautions for disposal</w:t>
      </w:r>
    </w:p>
    <w:p w14:paraId="626B5F59" w14:textId="77777777" w:rsidR="00BC0E7E" w:rsidRPr="00BC0E7E" w:rsidRDefault="00BC0E7E" w:rsidP="00BC0E7E">
      <w:pPr>
        <w:keepNext/>
        <w:rPr>
          <w:szCs w:val="20"/>
        </w:rPr>
      </w:pPr>
    </w:p>
    <w:p w14:paraId="4C35B651" w14:textId="77777777" w:rsidR="00BC0E7E" w:rsidRPr="00BC0E7E" w:rsidRDefault="00944B8F" w:rsidP="00BC0E7E">
      <w:pPr>
        <w:keepNext/>
        <w:tabs>
          <w:tab w:val="clear" w:pos="562"/>
        </w:tabs>
      </w:pPr>
      <w:r w:rsidRPr="00BC0E7E">
        <w:t>Any unused medicinal product or waste material should be disposed of in accordance with local requirements.</w:t>
      </w:r>
    </w:p>
    <w:p w14:paraId="43A02B3A" w14:textId="77777777" w:rsidR="00BC0E7E" w:rsidRPr="00BC0E7E" w:rsidRDefault="00BC0E7E" w:rsidP="00BC0E7E">
      <w:pPr>
        <w:tabs>
          <w:tab w:val="clear" w:pos="562"/>
        </w:tabs>
      </w:pPr>
    </w:p>
    <w:p w14:paraId="72A715D3" w14:textId="77777777" w:rsidR="00BC0E7E" w:rsidRPr="00BC0E7E" w:rsidRDefault="00BC0E7E" w:rsidP="00BC0E7E">
      <w:pPr>
        <w:tabs>
          <w:tab w:val="clear" w:pos="562"/>
        </w:tabs>
      </w:pPr>
    </w:p>
    <w:p w14:paraId="0EFD43FB" w14:textId="77777777" w:rsidR="00BC0E7E" w:rsidRPr="00BC0E7E" w:rsidRDefault="00944B8F" w:rsidP="00BC0E7E">
      <w:pPr>
        <w:keepNext/>
        <w:outlineLvl w:val="0"/>
        <w:rPr>
          <w:b/>
          <w:caps/>
          <w:szCs w:val="20"/>
        </w:rPr>
      </w:pPr>
      <w:r w:rsidRPr="00BC0E7E">
        <w:rPr>
          <w:b/>
          <w:caps/>
          <w:szCs w:val="20"/>
        </w:rPr>
        <w:t>7.</w:t>
      </w:r>
      <w:r w:rsidRPr="00BC0E7E">
        <w:rPr>
          <w:b/>
          <w:caps/>
          <w:szCs w:val="20"/>
        </w:rPr>
        <w:tab/>
        <w:t xml:space="preserve">MARKETING AUTHORISATION HOLDER </w:t>
      </w:r>
    </w:p>
    <w:p w14:paraId="25259F45" w14:textId="77777777" w:rsidR="00BC0E7E" w:rsidRPr="00BC0E7E" w:rsidRDefault="00BC0E7E" w:rsidP="00BC0E7E">
      <w:pPr>
        <w:keepNext/>
        <w:rPr>
          <w:szCs w:val="20"/>
        </w:rPr>
      </w:pPr>
    </w:p>
    <w:p w14:paraId="2F5BDE8D"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AbbVie Deutschland GmbH &amp; Co. KG</w:t>
      </w:r>
    </w:p>
    <w:p w14:paraId="7275A1CF"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Knollstrasse</w:t>
      </w:r>
    </w:p>
    <w:p w14:paraId="25CD7331"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67061 Ludwigshafen</w:t>
      </w:r>
    </w:p>
    <w:p w14:paraId="55C8F558" w14:textId="77777777" w:rsidR="006A01D2"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Germany</w:t>
      </w:r>
      <w:r w:rsidRPr="002A3533">
        <w:rPr>
          <w:szCs w:val="22"/>
          <w:lang w:eastAsia="en-GB"/>
        </w:rPr>
        <w:t xml:space="preserve"> </w:t>
      </w:r>
    </w:p>
    <w:p w14:paraId="197902F1" w14:textId="77777777" w:rsidR="00BC0E7E" w:rsidRPr="00BC0E7E" w:rsidRDefault="00BC0E7E" w:rsidP="00BC0E7E">
      <w:pPr>
        <w:keepNext/>
        <w:tabs>
          <w:tab w:val="clear" w:pos="562"/>
        </w:tabs>
        <w:suppressAutoHyphens w:val="0"/>
        <w:autoSpaceDE w:val="0"/>
        <w:autoSpaceDN w:val="0"/>
        <w:adjustRightInd w:val="0"/>
        <w:spacing w:line="240" w:lineRule="atLeast"/>
        <w:rPr>
          <w:szCs w:val="22"/>
          <w:lang w:eastAsia="en-GB"/>
        </w:rPr>
      </w:pPr>
    </w:p>
    <w:p w14:paraId="5272A673" w14:textId="77777777" w:rsidR="00BC0E7E" w:rsidRPr="00BC0E7E" w:rsidRDefault="00BC0E7E" w:rsidP="00BC0E7E">
      <w:pPr>
        <w:keepNext/>
        <w:tabs>
          <w:tab w:val="clear" w:pos="562"/>
        </w:tabs>
        <w:suppressAutoHyphens w:val="0"/>
        <w:autoSpaceDE w:val="0"/>
        <w:autoSpaceDN w:val="0"/>
        <w:adjustRightInd w:val="0"/>
        <w:spacing w:line="240" w:lineRule="atLeast"/>
        <w:rPr>
          <w:szCs w:val="22"/>
          <w:lang w:eastAsia="en-GB"/>
        </w:rPr>
      </w:pPr>
    </w:p>
    <w:p w14:paraId="13686DE2" w14:textId="77777777" w:rsidR="00BC0E7E" w:rsidRPr="00BC0E7E" w:rsidRDefault="00944B8F" w:rsidP="00BC0E7E">
      <w:pPr>
        <w:keepNext/>
        <w:outlineLvl w:val="0"/>
        <w:rPr>
          <w:b/>
          <w:caps/>
          <w:szCs w:val="20"/>
        </w:rPr>
      </w:pPr>
      <w:r w:rsidRPr="00BC0E7E">
        <w:rPr>
          <w:b/>
          <w:caps/>
          <w:szCs w:val="20"/>
        </w:rPr>
        <w:t>8.</w:t>
      </w:r>
      <w:r w:rsidRPr="00BC0E7E">
        <w:rPr>
          <w:b/>
          <w:caps/>
          <w:szCs w:val="20"/>
        </w:rPr>
        <w:tab/>
        <w:t xml:space="preserve">MARKETING AUTHORISATION NUMBERS </w:t>
      </w:r>
    </w:p>
    <w:p w14:paraId="284C445B" w14:textId="77777777" w:rsidR="00BC0E7E" w:rsidRPr="00BC0E7E" w:rsidRDefault="00BC0E7E" w:rsidP="00BC0E7E">
      <w:pPr>
        <w:tabs>
          <w:tab w:val="clear" w:pos="562"/>
        </w:tabs>
        <w:rPr>
          <w:u w:val="single"/>
        </w:rPr>
      </w:pPr>
    </w:p>
    <w:p w14:paraId="10E714F4" w14:textId="77777777" w:rsidR="00BC0E7E" w:rsidRPr="00BC0E7E" w:rsidRDefault="00944B8F" w:rsidP="00BC0E7E">
      <w:pPr>
        <w:tabs>
          <w:tab w:val="clear" w:pos="562"/>
        </w:tabs>
        <w:rPr>
          <w:u w:val="single"/>
        </w:rPr>
      </w:pPr>
      <w:r w:rsidRPr="00BC0E7E">
        <w:rPr>
          <w:u w:val="single"/>
        </w:rPr>
        <w:t>Humira 80 mg solution for injection in pre-filled syringe</w:t>
      </w:r>
    </w:p>
    <w:p w14:paraId="0C1B8978" w14:textId="77777777" w:rsidR="00BC0E7E" w:rsidRPr="00BC0E7E" w:rsidRDefault="00944B8F" w:rsidP="00BC0E7E">
      <w:pPr>
        <w:keepNext/>
        <w:rPr>
          <w:szCs w:val="20"/>
        </w:rPr>
      </w:pPr>
      <w:r w:rsidRPr="00BC0E7E">
        <w:rPr>
          <w:szCs w:val="20"/>
        </w:rPr>
        <w:t>EU/1/03/256/020</w:t>
      </w:r>
    </w:p>
    <w:p w14:paraId="1775763F" w14:textId="77777777" w:rsidR="00BC0E7E" w:rsidRPr="00BC0E7E" w:rsidRDefault="00BC0E7E" w:rsidP="00BC0E7E">
      <w:pPr>
        <w:keepNext/>
        <w:rPr>
          <w:szCs w:val="20"/>
        </w:rPr>
      </w:pPr>
    </w:p>
    <w:p w14:paraId="10460477" w14:textId="77777777" w:rsidR="00BC0E7E" w:rsidRPr="00BC0E7E" w:rsidRDefault="00944B8F" w:rsidP="00BC0E7E">
      <w:pPr>
        <w:tabs>
          <w:tab w:val="clear" w:pos="562"/>
        </w:tabs>
        <w:rPr>
          <w:u w:val="single"/>
        </w:rPr>
      </w:pPr>
      <w:r w:rsidRPr="00BC0E7E">
        <w:rPr>
          <w:u w:val="single"/>
        </w:rPr>
        <w:t>Humira 80 mg solution for injection in pre-filled pen</w:t>
      </w:r>
    </w:p>
    <w:p w14:paraId="6925F7D5" w14:textId="77777777" w:rsidR="00BC0E7E" w:rsidRDefault="00944B8F" w:rsidP="00BC0E7E">
      <w:pPr>
        <w:rPr>
          <w:szCs w:val="20"/>
        </w:rPr>
      </w:pPr>
      <w:r w:rsidRPr="00BC0E7E">
        <w:rPr>
          <w:szCs w:val="20"/>
        </w:rPr>
        <w:t>EU/1/03/256/021</w:t>
      </w:r>
    </w:p>
    <w:p w14:paraId="70A1A5D4" w14:textId="77777777" w:rsidR="00770928" w:rsidRPr="00BC0E7E" w:rsidRDefault="00944B8F" w:rsidP="00BC0E7E">
      <w:pPr>
        <w:rPr>
          <w:szCs w:val="20"/>
        </w:rPr>
      </w:pPr>
      <w:r>
        <w:rPr>
          <w:szCs w:val="20"/>
        </w:rPr>
        <w:t>EU/1/03/256/027</w:t>
      </w:r>
    </w:p>
    <w:p w14:paraId="0463B519" w14:textId="77777777" w:rsidR="00BC0E7E" w:rsidRPr="00BC0E7E" w:rsidRDefault="00BC0E7E" w:rsidP="00BC0E7E">
      <w:pPr>
        <w:keepNext/>
        <w:rPr>
          <w:szCs w:val="20"/>
        </w:rPr>
      </w:pPr>
    </w:p>
    <w:p w14:paraId="002735F6" w14:textId="77777777" w:rsidR="00BC0E7E" w:rsidRPr="00BC0E7E" w:rsidRDefault="00BC0E7E" w:rsidP="00BC0E7E">
      <w:pPr>
        <w:keepNext/>
        <w:rPr>
          <w:szCs w:val="20"/>
        </w:rPr>
      </w:pPr>
    </w:p>
    <w:p w14:paraId="7B4DC27B" w14:textId="77777777" w:rsidR="00BC0E7E" w:rsidRPr="00BC0E7E" w:rsidRDefault="00944B8F" w:rsidP="00BC0E7E">
      <w:pPr>
        <w:keepNext/>
        <w:outlineLvl w:val="0"/>
        <w:rPr>
          <w:b/>
          <w:caps/>
          <w:szCs w:val="20"/>
        </w:rPr>
      </w:pPr>
      <w:r w:rsidRPr="00BC0E7E">
        <w:rPr>
          <w:b/>
          <w:caps/>
          <w:szCs w:val="20"/>
        </w:rPr>
        <w:t>9.</w:t>
      </w:r>
      <w:r w:rsidRPr="00BC0E7E">
        <w:rPr>
          <w:b/>
          <w:caps/>
          <w:szCs w:val="20"/>
        </w:rPr>
        <w:tab/>
        <w:t>DATE OF FIRST AUTHORISATION/RENEWAL OF THE AUTHORISATION</w:t>
      </w:r>
    </w:p>
    <w:p w14:paraId="712AD7A7" w14:textId="77777777" w:rsidR="00BC0E7E" w:rsidRPr="00BC0E7E" w:rsidRDefault="00BC0E7E" w:rsidP="00BC0E7E">
      <w:pPr>
        <w:keepNext/>
        <w:autoSpaceDE w:val="0"/>
        <w:autoSpaceDN w:val="0"/>
        <w:adjustRightInd w:val="0"/>
      </w:pPr>
    </w:p>
    <w:p w14:paraId="13A00A59" w14:textId="77777777" w:rsidR="00BC0E7E" w:rsidRPr="00BC0E7E" w:rsidRDefault="00944B8F" w:rsidP="00BC0E7E">
      <w:pPr>
        <w:keepNext/>
        <w:autoSpaceDE w:val="0"/>
        <w:autoSpaceDN w:val="0"/>
        <w:adjustRightInd w:val="0"/>
        <w:rPr>
          <w:szCs w:val="22"/>
          <w:lang w:eastAsia="en-GB"/>
        </w:rPr>
      </w:pPr>
      <w:r w:rsidRPr="00BC0E7E">
        <w:rPr>
          <w:szCs w:val="22"/>
        </w:rPr>
        <w:t>Date of first authorisation: 0</w:t>
      </w:r>
      <w:r w:rsidRPr="00BC0E7E">
        <w:rPr>
          <w:szCs w:val="22"/>
          <w:lang w:eastAsia="en-GB"/>
        </w:rPr>
        <w:t>8 September 2003</w:t>
      </w:r>
    </w:p>
    <w:p w14:paraId="7DB9A25D" w14:textId="77777777" w:rsidR="00BC0E7E" w:rsidRPr="00BC0E7E" w:rsidRDefault="00944B8F" w:rsidP="00BC0E7E">
      <w:pPr>
        <w:keepNext/>
        <w:rPr>
          <w:szCs w:val="22"/>
          <w:lang w:eastAsia="en-GB"/>
        </w:rPr>
      </w:pPr>
      <w:r w:rsidRPr="00BC0E7E">
        <w:rPr>
          <w:szCs w:val="22"/>
          <w:lang w:eastAsia="en-GB"/>
        </w:rPr>
        <w:t xml:space="preserve">Date of latest renewal: 08 September 2008 </w:t>
      </w:r>
    </w:p>
    <w:p w14:paraId="5596C62A" w14:textId="77777777" w:rsidR="00BC0E7E" w:rsidRPr="00BC0E7E" w:rsidRDefault="00BC0E7E" w:rsidP="00BC0E7E">
      <w:pPr>
        <w:rPr>
          <w:szCs w:val="22"/>
          <w:lang w:eastAsia="en-GB"/>
        </w:rPr>
      </w:pPr>
    </w:p>
    <w:p w14:paraId="143D272E" w14:textId="77777777" w:rsidR="00BC0E7E" w:rsidRPr="00BC0E7E" w:rsidRDefault="00BC0E7E" w:rsidP="00BC0E7E">
      <w:pPr>
        <w:rPr>
          <w:szCs w:val="22"/>
        </w:rPr>
      </w:pPr>
    </w:p>
    <w:p w14:paraId="0914D519" w14:textId="77777777" w:rsidR="00BC0E7E" w:rsidRPr="00BC0E7E" w:rsidRDefault="00944B8F" w:rsidP="00BA4D5F">
      <w:pPr>
        <w:keepNext/>
        <w:outlineLvl w:val="0"/>
        <w:rPr>
          <w:b/>
          <w:caps/>
          <w:szCs w:val="20"/>
        </w:rPr>
      </w:pPr>
      <w:r w:rsidRPr="00BC0E7E">
        <w:rPr>
          <w:b/>
          <w:caps/>
          <w:szCs w:val="20"/>
        </w:rPr>
        <w:t>10.</w:t>
      </w:r>
      <w:r w:rsidRPr="00BC0E7E">
        <w:rPr>
          <w:b/>
          <w:caps/>
          <w:szCs w:val="20"/>
        </w:rPr>
        <w:tab/>
        <w:t>DATE OF REVISION OF THE TEXT</w:t>
      </w:r>
    </w:p>
    <w:p w14:paraId="7F3FDB32" w14:textId="77777777" w:rsidR="00BC0E7E" w:rsidRPr="00BC0E7E" w:rsidRDefault="00BC0E7E" w:rsidP="00BA4D5F">
      <w:pPr>
        <w:keepNext/>
        <w:rPr>
          <w:szCs w:val="20"/>
        </w:rPr>
      </w:pPr>
    </w:p>
    <w:p w14:paraId="4FC9196E" w14:textId="77777777" w:rsidR="00BC0E7E" w:rsidRPr="00BC0E7E" w:rsidRDefault="00944B8F" w:rsidP="00BA4D5F">
      <w:pPr>
        <w:keepNext/>
        <w:rPr>
          <w:szCs w:val="20"/>
        </w:rPr>
      </w:pPr>
      <w:r w:rsidRPr="00BC0E7E">
        <w:rPr>
          <w:bCs/>
          <w:szCs w:val="20"/>
        </w:rPr>
        <w:t xml:space="preserve">Detailed information on this medicinal product is available on the website of the European Medicines Agency </w:t>
      </w:r>
      <w:ins w:id="8532" w:author="AbbVie19" w:date="2025-04-17T11:11:00Z">
        <w:r w:rsidR="00011787">
          <w:rPr>
            <w:bCs/>
            <w:szCs w:val="20"/>
          </w:rPr>
          <w:fldChar w:fldCharType="begin"/>
        </w:r>
        <w:r w:rsidR="00011787">
          <w:rPr>
            <w:bCs/>
            <w:szCs w:val="20"/>
          </w:rPr>
          <w:instrText>HYPERLINK "</w:instrText>
        </w:r>
      </w:ins>
      <w:r w:rsidR="00011787" w:rsidRPr="00011787">
        <w:rPr>
          <w:rStyle w:val="Hyperlink"/>
          <w:bCs/>
          <w:szCs w:val="20"/>
        </w:rPr>
        <w:instrText>http</w:instrText>
      </w:r>
      <w:ins w:id="8533" w:author="AbbVie19" w:date="2025-04-17T11:10:00Z">
        <w:r w:rsidR="00011787" w:rsidRPr="00011787">
          <w:rPr>
            <w:rStyle w:val="Hyperlink"/>
            <w:bCs/>
            <w:szCs w:val="20"/>
          </w:rPr>
          <w:instrText>s</w:instrText>
        </w:r>
      </w:ins>
      <w:r w:rsidR="00011787" w:rsidRPr="00011787">
        <w:rPr>
          <w:rStyle w:val="Hyperlink"/>
          <w:bCs/>
          <w:szCs w:val="20"/>
        </w:rPr>
        <w:instrText>://www.ema.europa.eu</w:instrText>
      </w:r>
      <w:ins w:id="8534" w:author="AbbVie19" w:date="2025-04-17T11:11:00Z">
        <w:r w:rsidR="00011787">
          <w:rPr>
            <w:bCs/>
            <w:szCs w:val="20"/>
          </w:rPr>
          <w:instrText>"</w:instrText>
        </w:r>
        <w:r w:rsidR="00011787">
          <w:rPr>
            <w:bCs/>
            <w:szCs w:val="20"/>
          </w:rPr>
        </w:r>
        <w:r w:rsidR="00011787">
          <w:rPr>
            <w:bCs/>
            <w:szCs w:val="20"/>
          </w:rPr>
          <w:fldChar w:fldCharType="separate"/>
        </w:r>
      </w:ins>
      <w:r w:rsidR="00011787" w:rsidRPr="00011787">
        <w:rPr>
          <w:rStyle w:val="Hyperlink"/>
          <w:bCs/>
          <w:szCs w:val="20"/>
        </w:rPr>
        <w:t>http</w:t>
      </w:r>
      <w:ins w:id="8535" w:author="AbbVie19" w:date="2025-04-17T11:10:00Z">
        <w:r w:rsidR="00011787" w:rsidRPr="00011787">
          <w:rPr>
            <w:rStyle w:val="Hyperlink"/>
            <w:bCs/>
            <w:szCs w:val="20"/>
          </w:rPr>
          <w:t>s</w:t>
        </w:r>
      </w:ins>
      <w:r w:rsidR="00011787" w:rsidRPr="00011787">
        <w:rPr>
          <w:rStyle w:val="Hyperlink"/>
          <w:bCs/>
          <w:szCs w:val="20"/>
        </w:rPr>
        <w:t>://www.ema.europa.eu</w:t>
      </w:r>
      <w:ins w:id="8536" w:author="AbbVie19" w:date="2025-04-17T11:11:00Z">
        <w:r w:rsidR="00011787">
          <w:rPr>
            <w:bCs/>
            <w:szCs w:val="20"/>
          </w:rPr>
          <w:fldChar w:fldCharType="end"/>
        </w:r>
      </w:ins>
    </w:p>
    <w:p w14:paraId="70E16BFF" w14:textId="77777777" w:rsidR="00BC0E7E" w:rsidRPr="00BC0E7E" w:rsidRDefault="00944B8F" w:rsidP="00BA4D5F">
      <w:pPr>
        <w:keepNext/>
        <w:rPr>
          <w:szCs w:val="20"/>
        </w:rPr>
      </w:pPr>
      <w:r w:rsidRPr="00BC0E7E">
        <w:rPr>
          <w:szCs w:val="20"/>
        </w:rPr>
        <w:br w:type="page"/>
      </w:r>
    </w:p>
    <w:p w14:paraId="12F90A14" w14:textId="77777777" w:rsidR="00BC0E7E" w:rsidRPr="00BC0E7E" w:rsidRDefault="00BC0E7E" w:rsidP="00BC0E7E">
      <w:pPr>
        <w:rPr>
          <w:szCs w:val="20"/>
        </w:rPr>
      </w:pPr>
    </w:p>
    <w:p w14:paraId="77045F3A" w14:textId="77777777" w:rsidR="00BC0E7E" w:rsidRPr="00BC0E7E" w:rsidRDefault="00BC0E7E" w:rsidP="00BC0E7E">
      <w:pPr>
        <w:rPr>
          <w:szCs w:val="20"/>
        </w:rPr>
      </w:pPr>
    </w:p>
    <w:p w14:paraId="7DC63C96" w14:textId="77777777" w:rsidR="00BC0E7E" w:rsidRPr="00BC0E7E" w:rsidRDefault="00BC0E7E" w:rsidP="00BC0E7E">
      <w:pPr>
        <w:rPr>
          <w:szCs w:val="20"/>
        </w:rPr>
      </w:pPr>
    </w:p>
    <w:p w14:paraId="390F44E6" w14:textId="77777777" w:rsidR="00BC0E7E" w:rsidRPr="00BC0E7E" w:rsidRDefault="00BC0E7E" w:rsidP="00BC0E7E">
      <w:pPr>
        <w:rPr>
          <w:szCs w:val="20"/>
        </w:rPr>
      </w:pPr>
    </w:p>
    <w:p w14:paraId="19D2EF84" w14:textId="77777777" w:rsidR="00BC0E7E" w:rsidRPr="00BC0E7E" w:rsidRDefault="00BC0E7E" w:rsidP="00BC0E7E">
      <w:pPr>
        <w:rPr>
          <w:szCs w:val="20"/>
        </w:rPr>
      </w:pPr>
    </w:p>
    <w:p w14:paraId="4C3B6B20" w14:textId="77777777" w:rsidR="00BC0E7E" w:rsidRPr="00BC0E7E" w:rsidRDefault="00BC0E7E" w:rsidP="00BC0E7E">
      <w:pPr>
        <w:rPr>
          <w:szCs w:val="20"/>
        </w:rPr>
      </w:pPr>
    </w:p>
    <w:p w14:paraId="1E89921A" w14:textId="77777777" w:rsidR="00BC0E7E" w:rsidRPr="00BC0E7E" w:rsidRDefault="00BC0E7E" w:rsidP="00BC0E7E">
      <w:pPr>
        <w:rPr>
          <w:szCs w:val="20"/>
        </w:rPr>
      </w:pPr>
    </w:p>
    <w:p w14:paraId="1EB6C35E" w14:textId="77777777" w:rsidR="00BC0E7E" w:rsidRPr="00BC0E7E" w:rsidRDefault="00BC0E7E" w:rsidP="00BC0E7E">
      <w:pPr>
        <w:rPr>
          <w:szCs w:val="20"/>
        </w:rPr>
      </w:pPr>
    </w:p>
    <w:p w14:paraId="6471B168" w14:textId="77777777" w:rsidR="00BC0E7E" w:rsidRPr="00BC0E7E" w:rsidRDefault="00BC0E7E" w:rsidP="00BC0E7E">
      <w:pPr>
        <w:rPr>
          <w:szCs w:val="20"/>
        </w:rPr>
      </w:pPr>
    </w:p>
    <w:p w14:paraId="78AFCED3" w14:textId="77777777" w:rsidR="00BC0E7E" w:rsidRPr="00BC0E7E" w:rsidRDefault="00BC0E7E" w:rsidP="00BC0E7E">
      <w:pPr>
        <w:rPr>
          <w:szCs w:val="20"/>
        </w:rPr>
      </w:pPr>
    </w:p>
    <w:p w14:paraId="0B9E7203" w14:textId="77777777" w:rsidR="00BC0E7E" w:rsidRPr="00BC0E7E" w:rsidRDefault="00BC0E7E" w:rsidP="00BC0E7E">
      <w:pPr>
        <w:rPr>
          <w:szCs w:val="20"/>
        </w:rPr>
      </w:pPr>
    </w:p>
    <w:p w14:paraId="58888C38" w14:textId="77777777" w:rsidR="00BC0E7E" w:rsidRPr="00BC0E7E" w:rsidRDefault="00BC0E7E" w:rsidP="00BC0E7E">
      <w:pPr>
        <w:rPr>
          <w:szCs w:val="20"/>
        </w:rPr>
      </w:pPr>
    </w:p>
    <w:p w14:paraId="097823DA" w14:textId="77777777" w:rsidR="00BC0E7E" w:rsidRPr="00BC0E7E" w:rsidRDefault="00BC0E7E" w:rsidP="00BC0E7E">
      <w:pPr>
        <w:rPr>
          <w:szCs w:val="20"/>
        </w:rPr>
      </w:pPr>
    </w:p>
    <w:p w14:paraId="61041E10" w14:textId="77777777" w:rsidR="00BC0E7E" w:rsidRPr="00BC0E7E" w:rsidRDefault="00BC0E7E" w:rsidP="00BC0E7E">
      <w:pPr>
        <w:rPr>
          <w:szCs w:val="20"/>
        </w:rPr>
      </w:pPr>
    </w:p>
    <w:p w14:paraId="76022AAB" w14:textId="77777777" w:rsidR="00BC0E7E" w:rsidRDefault="00BC0E7E" w:rsidP="00BC0E7E">
      <w:pPr>
        <w:rPr>
          <w:szCs w:val="20"/>
        </w:rPr>
      </w:pPr>
    </w:p>
    <w:p w14:paraId="4C2BE0AD" w14:textId="77777777" w:rsidR="000A2CA3" w:rsidRPr="00BC0E7E" w:rsidRDefault="000A2CA3" w:rsidP="00BC0E7E">
      <w:pPr>
        <w:rPr>
          <w:szCs w:val="20"/>
        </w:rPr>
      </w:pPr>
    </w:p>
    <w:p w14:paraId="4A571EBE" w14:textId="77777777" w:rsidR="00BC0E7E" w:rsidRPr="00BC0E7E" w:rsidRDefault="00BC0E7E" w:rsidP="00BC0E7E">
      <w:pPr>
        <w:rPr>
          <w:szCs w:val="20"/>
        </w:rPr>
      </w:pPr>
    </w:p>
    <w:p w14:paraId="0B434D52" w14:textId="77777777" w:rsidR="00BC0E7E" w:rsidRPr="00BC0E7E" w:rsidRDefault="00BC0E7E" w:rsidP="00BC0E7E">
      <w:pPr>
        <w:rPr>
          <w:szCs w:val="20"/>
        </w:rPr>
      </w:pPr>
    </w:p>
    <w:p w14:paraId="2FFA04A7" w14:textId="77777777" w:rsidR="00BC0E7E" w:rsidRPr="00BC0E7E" w:rsidRDefault="00BC0E7E" w:rsidP="00BC0E7E">
      <w:pPr>
        <w:rPr>
          <w:szCs w:val="20"/>
        </w:rPr>
      </w:pPr>
    </w:p>
    <w:p w14:paraId="2591478C" w14:textId="77777777" w:rsidR="00BC0E7E" w:rsidRPr="00BC0E7E" w:rsidRDefault="00BC0E7E" w:rsidP="00BC0E7E">
      <w:pPr>
        <w:rPr>
          <w:szCs w:val="20"/>
        </w:rPr>
      </w:pPr>
    </w:p>
    <w:p w14:paraId="51728745" w14:textId="77777777" w:rsidR="00BC0E7E" w:rsidRPr="00BC0E7E" w:rsidRDefault="00BC0E7E" w:rsidP="00BC0E7E">
      <w:pPr>
        <w:rPr>
          <w:szCs w:val="20"/>
        </w:rPr>
      </w:pPr>
    </w:p>
    <w:p w14:paraId="31BC51DC" w14:textId="77777777" w:rsidR="00BC0E7E" w:rsidRPr="00BC0E7E" w:rsidRDefault="00BC0E7E" w:rsidP="00BC0E7E">
      <w:pPr>
        <w:rPr>
          <w:szCs w:val="20"/>
        </w:rPr>
      </w:pPr>
    </w:p>
    <w:p w14:paraId="209D3F10" w14:textId="77777777" w:rsidR="00BC0E7E" w:rsidRPr="00BC0E7E" w:rsidRDefault="00BC0E7E" w:rsidP="00BC0E7E">
      <w:pPr>
        <w:rPr>
          <w:szCs w:val="20"/>
        </w:rPr>
      </w:pPr>
    </w:p>
    <w:p w14:paraId="4B890FFE" w14:textId="77777777" w:rsidR="00BC0E7E" w:rsidRPr="00BC0E7E" w:rsidRDefault="00944B8F" w:rsidP="00BC0E7E">
      <w:pPr>
        <w:jc w:val="center"/>
        <w:rPr>
          <w:b/>
          <w:caps/>
          <w:szCs w:val="20"/>
        </w:rPr>
      </w:pPr>
      <w:r w:rsidRPr="00BC0E7E">
        <w:rPr>
          <w:b/>
          <w:caps/>
          <w:szCs w:val="20"/>
        </w:rPr>
        <w:t>ANNEX II</w:t>
      </w:r>
    </w:p>
    <w:p w14:paraId="6437728A" w14:textId="77777777" w:rsidR="00BC0E7E" w:rsidRPr="00BC0E7E" w:rsidRDefault="00BC0E7E" w:rsidP="00BC0E7E">
      <w:pPr>
        <w:tabs>
          <w:tab w:val="clear" w:pos="562"/>
          <w:tab w:val="left" w:pos="720"/>
        </w:tabs>
        <w:ind w:left="1701" w:right="1416" w:hanging="567"/>
      </w:pPr>
    </w:p>
    <w:p w14:paraId="3E320E38" w14:textId="77777777" w:rsidR="00BC0E7E" w:rsidRPr="00BC0E7E" w:rsidRDefault="00944B8F" w:rsidP="00BC0E7E">
      <w:pPr>
        <w:numPr>
          <w:ilvl w:val="0"/>
          <w:numId w:val="14"/>
        </w:numPr>
        <w:tabs>
          <w:tab w:val="clear" w:pos="562"/>
          <w:tab w:val="left" w:pos="720"/>
        </w:tabs>
        <w:ind w:left="1701" w:right="1416" w:hanging="601"/>
        <w:rPr>
          <w:b/>
        </w:rPr>
      </w:pPr>
      <w:r w:rsidRPr="00BC0E7E">
        <w:rPr>
          <w:b/>
        </w:rPr>
        <w:t>MANUFACTURERS OF THE BIOLOGICAL ACTIVE SUBSTANCE AND MANUFACTURERS RESPONSIBLE FOR BATCH RELEASE</w:t>
      </w:r>
    </w:p>
    <w:p w14:paraId="21585E60" w14:textId="77777777" w:rsidR="00BC0E7E" w:rsidRPr="00BC0E7E" w:rsidRDefault="00BC0E7E" w:rsidP="00BC0E7E">
      <w:pPr>
        <w:tabs>
          <w:tab w:val="clear" w:pos="562"/>
          <w:tab w:val="left" w:pos="720"/>
        </w:tabs>
        <w:ind w:left="1701" w:right="1416" w:hanging="601"/>
      </w:pPr>
    </w:p>
    <w:p w14:paraId="56294F28" w14:textId="77777777" w:rsidR="00BC0E7E" w:rsidRPr="00BC0E7E" w:rsidRDefault="00944B8F" w:rsidP="00BC0E7E">
      <w:pPr>
        <w:numPr>
          <w:ilvl w:val="0"/>
          <w:numId w:val="14"/>
        </w:numPr>
        <w:tabs>
          <w:tab w:val="clear" w:pos="562"/>
          <w:tab w:val="left" w:pos="720"/>
        </w:tabs>
        <w:ind w:left="1701" w:right="1416" w:hanging="601"/>
        <w:rPr>
          <w:b/>
        </w:rPr>
      </w:pPr>
      <w:r w:rsidRPr="00BC0E7E">
        <w:rPr>
          <w:b/>
        </w:rPr>
        <w:t>CONDITIONS OR RESTRICTIONS REGARDING SUPPLY AND USE</w:t>
      </w:r>
      <w:r w:rsidRPr="00BC0E7E">
        <w:rPr>
          <w:b/>
        </w:rPr>
        <w:br/>
      </w:r>
    </w:p>
    <w:p w14:paraId="09CE99E9" w14:textId="77777777" w:rsidR="00BC0E7E" w:rsidRPr="00BC0E7E" w:rsidRDefault="00944B8F" w:rsidP="00BC0E7E">
      <w:pPr>
        <w:numPr>
          <w:ilvl w:val="0"/>
          <w:numId w:val="14"/>
        </w:numPr>
        <w:tabs>
          <w:tab w:val="clear" w:pos="562"/>
          <w:tab w:val="left" w:pos="720"/>
        </w:tabs>
        <w:ind w:left="1701" w:right="1416" w:hanging="601"/>
        <w:rPr>
          <w:b/>
        </w:rPr>
      </w:pPr>
      <w:r w:rsidRPr="00BC0E7E">
        <w:rPr>
          <w:b/>
        </w:rPr>
        <w:t xml:space="preserve"> OTHER CONDITIONS AND REQUIREMENTS OF THE MARKETING AUTHORISATION</w:t>
      </w:r>
    </w:p>
    <w:p w14:paraId="55F33418" w14:textId="77777777" w:rsidR="00BC0E7E" w:rsidRPr="00BC0E7E" w:rsidRDefault="00BC0E7E" w:rsidP="00BC0E7E">
      <w:pPr>
        <w:tabs>
          <w:tab w:val="clear" w:pos="562"/>
          <w:tab w:val="left" w:pos="720"/>
        </w:tabs>
        <w:ind w:left="1134" w:right="1416"/>
        <w:rPr>
          <w:b/>
        </w:rPr>
      </w:pPr>
    </w:p>
    <w:p w14:paraId="6E225C40" w14:textId="77777777" w:rsidR="00BC0E7E" w:rsidRPr="00BC0E7E" w:rsidRDefault="00944B8F" w:rsidP="00BC0E7E">
      <w:pPr>
        <w:suppressLineNumbers/>
        <w:ind w:left="1701" w:right="1416" w:hanging="601"/>
        <w:rPr>
          <w:b/>
          <w:szCs w:val="22"/>
        </w:rPr>
      </w:pPr>
      <w:r w:rsidRPr="00BC0E7E">
        <w:rPr>
          <w:b/>
          <w:szCs w:val="22"/>
        </w:rPr>
        <w:t>D.</w:t>
      </w:r>
      <w:r w:rsidRPr="00BC0E7E">
        <w:rPr>
          <w:b/>
          <w:szCs w:val="22"/>
        </w:rPr>
        <w:tab/>
      </w:r>
      <w:r w:rsidRPr="00BC0E7E">
        <w:rPr>
          <w:b/>
          <w:caps/>
          <w:szCs w:val="22"/>
        </w:rPr>
        <w:t>conditions or restrictions with regard to the safe and effective use of the medicinal product</w:t>
      </w:r>
    </w:p>
    <w:p w14:paraId="3739F3CB" w14:textId="77777777" w:rsidR="00BC0E7E" w:rsidRPr="00BC0E7E" w:rsidRDefault="00944B8F" w:rsidP="000A2CA3">
      <w:pPr>
        <w:pStyle w:val="BMLeftAligned"/>
      </w:pPr>
      <w:r w:rsidRPr="00BC0E7E">
        <w:br w:type="page"/>
      </w:r>
      <w:r w:rsidRPr="00BC0E7E">
        <w:lastRenderedPageBreak/>
        <w:t>A.</w:t>
      </w:r>
      <w:r w:rsidRPr="00BC0E7E">
        <w:tab/>
        <w:t>MANUFACTURERS OF THE BIOLOGICAL ACTIVE SUBSTANCE AND MANUFACTURERS RESPONSIBLE FOR BATCH RELEASE</w:t>
      </w:r>
    </w:p>
    <w:p w14:paraId="454A85FE" w14:textId="77777777" w:rsidR="00BC0E7E" w:rsidRPr="00DE77C5" w:rsidRDefault="00BC0E7E" w:rsidP="00BC0E7E">
      <w:pPr>
        <w:ind w:left="550" w:hanging="550"/>
      </w:pPr>
    </w:p>
    <w:p w14:paraId="5703338B" w14:textId="77777777" w:rsidR="00BC0E7E" w:rsidRPr="00BC0E7E" w:rsidRDefault="00944B8F" w:rsidP="00BC0E7E">
      <w:pPr>
        <w:numPr>
          <w:ilvl w:val="12"/>
          <w:numId w:val="0"/>
        </w:numPr>
        <w:tabs>
          <w:tab w:val="clear" w:pos="562"/>
          <w:tab w:val="left" w:pos="720"/>
        </w:tabs>
        <w:rPr>
          <w:u w:val="single"/>
        </w:rPr>
      </w:pPr>
      <w:r w:rsidRPr="00BC0E7E">
        <w:rPr>
          <w:szCs w:val="22"/>
          <w:u w:val="single"/>
        </w:rPr>
        <w:t>Name and address of the manufacturers of the biological active substance</w:t>
      </w:r>
    </w:p>
    <w:p w14:paraId="30DD4645" w14:textId="77777777" w:rsidR="00BC0E7E" w:rsidRPr="00BC0E7E" w:rsidRDefault="00BC0E7E" w:rsidP="00BC0E7E">
      <w:pPr>
        <w:numPr>
          <w:ilvl w:val="12"/>
          <w:numId w:val="0"/>
        </w:numPr>
        <w:tabs>
          <w:tab w:val="clear" w:pos="562"/>
          <w:tab w:val="left" w:pos="720"/>
        </w:tabs>
        <w:ind w:right="1416"/>
      </w:pPr>
    </w:p>
    <w:p w14:paraId="33DD98B0" w14:textId="77777777" w:rsidR="00BC0E7E" w:rsidRPr="00BC0E7E" w:rsidRDefault="00944B8F" w:rsidP="00BC0E7E">
      <w:pPr>
        <w:tabs>
          <w:tab w:val="left" w:pos="1134"/>
        </w:tabs>
      </w:pPr>
      <w:r w:rsidRPr="00BC0E7E">
        <w:t>AbbVie Bioresearch Center</w:t>
      </w:r>
    </w:p>
    <w:p w14:paraId="573766B0" w14:textId="77777777" w:rsidR="00BC0E7E" w:rsidRPr="00BC0E7E" w:rsidRDefault="00944B8F" w:rsidP="00BC0E7E">
      <w:pPr>
        <w:tabs>
          <w:tab w:val="left" w:pos="1134"/>
        </w:tabs>
      </w:pPr>
      <w:r w:rsidRPr="00BC0E7E">
        <w:t>100 Research Drive</w:t>
      </w:r>
    </w:p>
    <w:p w14:paraId="036B441C" w14:textId="77777777" w:rsidR="00BC0E7E" w:rsidRPr="00BC0E7E" w:rsidRDefault="00944B8F" w:rsidP="00BC0E7E">
      <w:pPr>
        <w:tabs>
          <w:tab w:val="left" w:pos="1134"/>
        </w:tabs>
        <w:rPr>
          <w:lang w:val="it-IT"/>
        </w:rPr>
      </w:pPr>
      <w:r w:rsidRPr="00BC0E7E">
        <w:rPr>
          <w:lang w:val="it-IT"/>
        </w:rPr>
        <w:t>Worcester</w:t>
      </w:r>
    </w:p>
    <w:p w14:paraId="4520954D" w14:textId="77777777" w:rsidR="00BC0E7E" w:rsidRPr="00BC0E7E" w:rsidRDefault="00944B8F" w:rsidP="00BC0E7E">
      <w:pPr>
        <w:tabs>
          <w:tab w:val="left" w:pos="1134"/>
        </w:tabs>
        <w:rPr>
          <w:lang w:val="it-IT"/>
        </w:rPr>
      </w:pPr>
      <w:r w:rsidRPr="00BC0E7E">
        <w:rPr>
          <w:lang w:val="it-IT"/>
        </w:rPr>
        <w:t>MA 01605</w:t>
      </w:r>
    </w:p>
    <w:p w14:paraId="0E0C8E7B" w14:textId="77777777" w:rsidR="00BC0E7E" w:rsidRPr="00BC0E7E" w:rsidRDefault="00944B8F" w:rsidP="00BC0E7E">
      <w:pPr>
        <w:tabs>
          <w:tab w:val="left" w:pos="1134"/>
        </w:tabs>
        <w:rPr>
          <w:lang w:val="it-IT"/>
        </w:rPr>
      </w:pPr>
      <w:r w:rsidRPr="00BC0E7E">
        <w:rPr>
          <w:lang w:val="it-IT"/>
        </w:rPr>
        <w:t>USA</w:t>
      </w:r>
    </w:p>
    <w:p w14:paraId="12C2C08E" w14:textId="77777777" w:rsidR="00BC0E7E" w:rsidRPr="00BC0E7E" w:rsidRDefault="00BC0E7E" w:rsidP="00BC0E7E">
      <w:pPr>
        <w:numPr>
          <w:ilvl w:val="12"/>
          <w:numId w:val="0"/>
        </w:numPr>
        <w:tabs>
          <w:tab w:val="clear" w:pos="562"/>
          <w:tab w:val="left" w:pos="720"/>
        </w:tabs>
        <w:rPr>
          <w:lang w:val="it-IT"/>
        </w:rPr>
      </w:pPr>
    </w:p>
    <w:p w14:paraId="5461C015" w14:textId="77777777" w:rsidR="00BC0E7E" w:rsidRPr="00BC0E7E" w:rsidRDefault="00944B8F" w:rsidP="00BC0E7E">
      <w:pPr>
        <w:numPr>
          <w:ilvl w:val="12"/>
          <w:numId w:val="0"/>
        </w:numPr>
        <w:tabs>
          <w:tab w:val="clear" w:pos="562"/>
          <w:tab w:val="left" w:pos="720"/>
        </w:tabs>
        <w:rPr>
          <w:lang w:val="it-IT"/>
        </w:rPr>
      </w:pPr>
      <w:r w:rsidRPr="00BC0E7E">
        <w:rPr>
          <w:lang w:val="it-IT"/>
        </w:rPr>
        <w:t>and</w:t>
      </w:r>
    </w:p>
    <w:p w14:paraId="4512BDD2" w14:textId="77777777" w:rsidR="00BC0E7E" w:rsidRPr="00BC0E7E" w:rsidRDefault="00BC0E7E" w:rsidP="00BC0E7E">
      <w:pPr>
        <w:numPr>
          <w:ilvl w:val="12"/>
          <w:numId w:val="0"/>
        </w:numPr>
        <w:tabs>
          <w:tab w:val="clear" w:pos="562"/>
          <w:tab w:val="left" w:pos="720"/>
        </w:tabs>
        <w:rPr>
          <w:lang w:val="it-IT"/>
        </w:rPr>
      </w:pPr>
    </w:p>
    <w:p w14:paraId="7B08F31C" w14:textId="77777777" w:rsidR="00BC0E7E" w:rsidRPr="00BC0E7E" w:rsidRDefault="00944B8F" w:rsidP="00BC0E7E">
      <w:r w:rsidRPr="00BC0E7E">
        <w:t>AbbVie Biotechnology Ltd.</w:t>
      </w:r>
    </w:p>
    <w:p w14:paraId="21636080" w14:textId="77777777" w:rsidR="00BC0E7E" w:rsidRPr="00BC0E7E" w:rsidRDefault="00944B8F" w:rsidP="00BC0E7E">
      <w:pPr>
        <w:rPr>
          <w:lang w:val="es-ES"/>
        </w:rPr>
      </w:pPr>
      <w:r w:rsidRPr="00BC0E7E">
        <w:rPr>
          <w:lang w:val="es-ES"/>
        </w:rPr>
        <w:t>Road No. 2, Km. 59.2</w:t>
      </w:r>
    </w:p>
    <w:p w14:paraId="7C79D48E" w14:textId="77777777" w:rsidR="00BC0E7E" w:rsidRPr="00BC0E7E" w:rsidRDefault="00944B8F" w:rsidP="00BC0E7E">
      <w:pPr>
        <w:rPr>
          <w:lang w:val="it-IT"/>
        </w:rPr>
      </w:pPr>
      <w:r w:rsidRPr="00BC0E7E">
        <w:rPr>
          <w:lang w:val="it-IT"/>
        </w:rPr>
        <w:t>Barceloneta</w:t>
      </w:r>
    </w:p>
    <w:p w14:paraId="68DC456B" w14:textId="77777777" w:rsidR="00BC0E7E" w:rsidRPr="00BC0E7E" w:rsidRDefault="00944B8F" w:rsidP="00BC0E7E">
      <w:pPr>
        <w:numPr>
          <w:ilvl w:val="12"/>
          <w:numId w:val="0"/>
        </w:numPr>
        <w:tabs>
          <w:tab w:val="clear" w:pos="562"/>
          <w:tab w:val="left" w:pos="720"/>
        </w:tabs>
        <w:rPr>
          <w:lang w:val="it-IT"/>
        </w:rPr>
      </w:pPr>
      <w:r w:rsidRPr="00BC0E7E">
        <w:rPr>
          <w:lang w:val="it-IT"/>
        </w:rPr>
        <w:t>Puerto Rico 00617</w:t>
      </w:r>
    </w:p>
    <w:p w14:paraId="65600132" w14:textId="77777777" w:rsidR="00BC0E7E" w:rsidRPr="00BC0E7E" w:rsidRDefault="00BC0E7E" w:rsidP="00BC0E7E">
      <w:pPr>
        <w:numPr>
          <w:ilvl w:val="12"/>
          <w:numId w:val="0"/>
        </w:numPr>
        <w:tabs>
          <w:tab w:val="clear" w:pos="562"/>
          <w:tab w:val="left" w:pos="720"/>
        </w:tabs>
        <w:rPr>
          <w:lang w:val="it-IT"/>
        </w:rPr>
      </w:pPr>
    </w:p>
    <w:p w14:paraId="2F1AC783" w14:textId="77777777" w:rsidR="00BC0E7E" w:rsidRPr="00BC0E7E" w:rsidRDefault="00944B8F" w:rsidP="00BC0E7E">
      <w:pPr>
        <w:numPr>
          <w:ilvl w:val="12"/>
          <w:numId w:val="0"/>
        </w:numPr>
        <w:tabs>
          <w:tab w:val="clear" w:pos="562"/>
          <w:tab w:val="left" w:pos="720"/>
        </w:tabs>
        <w:rPr>
          <w:lang w:val="it-IT"/>
        </w:rPr>
      </w:pPr>
      <w:r w:rsidRPr="00BC0E7E">
        <w:rPr>
          <w:lang w:val="it-IT"/>
        </w:rPr>
        <w:t>and</w:t>
      </w:r>
    </w:p>
    <w:p w14:paraId="3164B918" w14:textId="77777777" w:rsidR="00BC0E7E" w:rsidRPr="00BC0E7E" w:rsidRDefault="00BC0E7E" w:rsidP="00BC0E7E">
      <w:pPr>
        <w:numPr>
          <w:ilvl w:val="12"/>
          <w:numId w:val="0"/>
        </w:numPr>
        <w:tabs>
          <w:tab w:val="clear" w:pos="562"/>
          <w:tab w:val="left" w:pos="720"/>
        </w:tabs>
        <w:rPr>
          <w:lang w:val="it-IT"/>
        </w:rPr>
      </w:pPr>
    </w:p>
    <w:p w14:paraId="001D92A8" w14:textId="77777777" w:rsidR="00BC0E7E" w:rsidRPr="00BC0E7E" w:rsidRDefault="00944B8F" w:rsidP="00BC0E7E">
      <w:pPr>
        <w:autoSpaceDE w:val="0"/>
        <w:autoSpaceDN w:val="0"/>
        <w:adjustRightInd w:val="0"/>
        <w:rPr>
          <w:bCs/>
          <w:szCs w:val="22"/>
        </w:rPr>
      </w:pPr>
      <w:r w:rsidRPr="00BC0E7E">
        <w:rPr>
          <w:bCs/>
          <w:szCs w:val="22"/>
        </w:rPr>
        <w:t>Lonza Biologics Tuas PTE Ltd</w:t>
      </w:r>
    </w:p>
    <w:p w14:paraId="098FEEB5" w14:textId="77777777" w:rsidR="00BC0E7E" w:rsidRPr="00BC0E7E" w:rsidRDefault="00944B8F" w:rsidP="00BC0E7E">
      <w:pPr>
        <w:autoSpaceDE w:val="0"/>
        <w:autoSpaceDN w:val="0"/>
        <w:adjustRightInd w:val="0"/>
        <w:rPr>
          <w:bCs/>
          <w:szCs w:val="22"/>
        </w:rPr>
      </w:pPr>
      <w:r w:rsidRPr="00BC0E7E">
        <w:rPr>
          <w:bCs/>
          <w:szCs w:val="22"/>
        </w:rPr>
        <w:t>35 Tuas South Ave 6</w:t>
      </w:r>
    </w:p>
    <w:p w14:paraId="71C547A8" w14:textId="77777777" w:rsidR="00BC0E7E" w:rsidRPr="00BC0E7E" w:rsidRDefault="00944B8F" w:rsidP="00BC0E7E">
      <w:pPr>
        <w:rPr>
          <w:szCs w:val="22"/>
        </w:rPr>
      </w:pPr>
      <w:r w:rsidRPr="00BC0E7E">
        <w:rPr>
          <w:bCs/>
          <w:szCs w:val="22"/>
        </w:rPr>
        <w:t>Singapore 637377</w:t>
      </w:r>
    </w:p>
    <w:p w14:paraId="385ADF33" w14:textId="77777777" w:rsidR="008A4025" w:rsidRDefault="008A4025" w:rsidP="008A4025">
      <w:pPr>
        <w:rPr>
          <w:bCs/>
          <w:szCs w:val="22"/>
        </w:rPr>
      </w:pPr>
    </w:p>
    <w:p w14:paraId="113176BB" w14:textId="77777777" w:rsidR="008A4025" w:rsidRDefault="00944B8F" w:rsidP="008A4025">
      <w:pPr>
        <w:rPr>
          <w:bCs/>
          <w:szCs w:val="22"/>
        </w:rPr>
      </w:pPr>
      <w:r>
        <w:rPr>
          <w:bCs/>
          <w:szCs w:val="22"/>
        </w:rPr>
        <w:t>and</w:t>
      </w:r>
    </w:p>
    <w:p w14:paraId="31A49730" w14:textId="77777777" w:rsidR="008A4025" w:rsidRPr="00B12143" w:rsidRDefault="008A4025" w:rsidP="008A4025">
      <w:pPr>
        <w:rPr>
          <w:bCs/>
          <w:szCs w:val="22"/>
        </w:rPr>
      </w:pPr>
    </w:p>
    <w:p w14:paraId="1248C935" w14:textId="77777777" w:rsidR="008A4025" w:rsidRPr="00B12143" w:rsidRDefault="00944B8F" w:rsidP="008A4025">
      <w:pPr>
        <w:rPr>
          <w:bCs/>
          <w:szCs w:val="22"/>
        </w:rPr>
      </w:pPr>
      <w:r w:rsidRPr="00B12143">
        <w:rPr>
          <w:bCs/>
          <w:szCs w:val="22"/>
        </w:rPr>
        <w:t>AbbVie Ope</w:t>
      </w:r>
      <w:r w:rsidR="00E858F1">
        <w:rPr>
          <w:bCs/>
          <w:szCs w:val="22"/>
        </w:rPr>
        <w:t>rations Singapore PTE Ltd</w:t>
      </w:r>
    </w:p>
    <w:p w14:paraId="0D5BB5A6" w14:textId="77777777" w:rsidR="008A4025" w:rsidRPr="00B12143" w:rsidRDefault="00944B8F" w:rsidP="008A4025">
      <w:pPr>
        <w:rPr>
          <w:bCs/>
          <w:szCs w:val="22"/>
        </w:rPr>
      </w:pPr>
      <w:r w:rsidRPr="00B12143">
        <w:rPr>
          <w:bCs/>
          <w:szCs w:val="22"/>
        </w:rPr>
        <w:t>23 Tuas South Avenue 6</w:t>
      </w:r>
    </w:p>
    <w:p w14:paraId="1254480C" w14:textId="77777777" w:rsidR="008A4025" w:rsidRDefault="00944B8F" w:rsidP="008A4025">
      <w:pPr>
        <w:numPr>
          <w:ilvl w:val="12"/>
          <w:numId w:val="0"/>
        </w:numPr>
        <w:tabs>
          <w:tab w:val="clear" w:pos="562"/>
          <w:tab w:val="left" w:pos="720"/>
        </w:tabs>
        <w:rPr>
          <w:bCs/>
          <w:szCs w:val="22"/>
        </w:rPr>
      </w:pPr>
      <w:r w:rsidRPr="00B12143">
        <w:rPr>
          <w:bCs/>
          <w:szCs w:val="22"/>
        </w:rPr>
        <w:t>Singapore 637022</w:t>
      </w:r>
    </w:p>
    <w:p w14:paraId="465CA450" w14:textId="77777777" w:rsidR="008A4025" w:rsidRDefault="008A4025" w:rsidP="008A4025">
      <w:pPr>
        <w:numPr>
          <w:ilvl w:val="12"/>
          <w:numId w:val="0"/>
        </w:numPr>
        <w:tabs>
          <w:tab w:val="clear" w:pos="562"/>
          <w:tab w:val="left" w:pos="720"/>
        </w:tabs>
        <w:rPr>
          <w:bCs/>
          <w:szCs w:val="22"/>
        </w:rPr>
      </w:pPr>
    </w:p>
    <w:p w14:paraId="6B18747D" w14:textId="77777777" w:rsidR="00BC0E7E" w:rsidRPr="00BC0E7E" w:rsidRDefault="00944B8F" w:rsidP="008A4025">
      <w:pPr>
        <w:numPr>
          <w:ilvl w:val="12"/>
          <w:numId w:val="0"/>
        </w:numPr>
        <w:tabs>
          <w:tab w:val="clear" w:pos="562"/>
          <w:tab w:val="left" w:pos="720"/>
        </w:tabs>
        <w:rPr>
          <w:u w:val="single"/>
        </w:rPr>
      </w:pPr>
      <w:r w:rsidRPr="00BC0E7E">
        <w:rPr>
          <w:szCs w:val="22"/>
          <w:u w:val="single"/>
        </w:rPr>
        <w:t>Name and address of the manufacturer responsible for batch release</w:t>
      </w:r>
    </w:p>
    <w:p w14:paraId="2439E10A" w14:textId="77777777" w:rsidR="00BC0E7E" w:rsidRPr="00BC0E7E" w:rsidRDefault="00BC0E7E" w:rsidP="00BC0E7E">
      <w:pPr>
        <w:numPr>
          <w:ilvl w:val="12"/>
          <w:numId w:val="0"/>
        </w:numPr>
        <w:tabs>
          <w:tab w:val="clear" w:pos="562"/>
          <w:tab w:val="left" w:pos="720"/>
        </w:tabs>
      </w:pPr>
    </w:p>
    <w:p w14:paraId="5B7AF966" w14:textId="77777777" w:rsidR="00BC0E7E" w:rsidRPr="00DF4E07" w:rsidRDefault="00944B8F" w:rsidP="00BC0E7E">
      <w:r w:rsidRPr="00DF4E07">
        <w:t>AbbVie Biotechnology GmbH</w:t>
      </w:r>
    </w:p>
    <w:p w14:paraId="17BEA3CF" w14:textId="77777777" w:rsidR="00BC0E7E" w:rsidRPr="00DF4E07" w:rsidRDefault="00944B8F" w:rsidP="00BC0E7E">
      <w:pPr>
        <w:numPr>
          <w:ilvl w:val="12"/>
          <w:numId w:val="0"/>
        </w:numPr>
        <w:tabs>
          <w:tab w:val="clear" w:pos="562"/>
          <w:tab w:val="left" w:pos="720"/>
        </w:tabs>
      </w:pPr>
      <w:r w:rsidRPr="00DF4E07">
        <w:t>Knollstrasse</w:t>
      </w:r>
    </w:p>
    <w:p w14:paraId="079F094E" w14:textId="77777777" w:rsidR="00BC0E7E" w:rsidRPr="00DF4E07" w:rsidRDefault="00944B8F" w:rsidP="00BC0E7E">
      <w:pPr>
        <w:numPr>
          <w:ilvl w:val="12"/>
          <w:numId w:val="0"/>
        </w:numPr>
        <w:tabs>
          <w:tab w:val="clear" w:pos="562"/>
          <w:tab w:val="left" w:pos="720"/>
        </w:tabs>
      </w:pPr>
      <w:r w:rsidRPr="00DF4E07">
        <w:t>67061 Ludwigshafen</w:t>
      </w:r>
    </w:p>
    <w:p w14:paraId="7B34A549" w14:textId="77777777" w:rsidR="00BC0E7E" w:rsidRPr="00BC0E7E" w:rsidRDefault="00944B8F" w:rsidP="00BC0E7E">
      <w:pPr>
        <w:numPr>
          <w:ilvl w:val="12"/>
          <w:numId w:val="0"/>
        </w:numPr>
        <w:tabs>
          <w:tab w:val="clear" w:pos="562"/>
          <w:tab w:val="left" w:pos="720"/>
        </w:tabs>
      </w:pPr>
      <w:r w:rsidRPr="00BC0E7E">
        <w:t>Germany</w:t>
      </w:r>
    </w:p>
    <w:p w14:paraId="2DB5EB50" w14:textId="77777777" w:rsidR="00BC0E7E" w:rsidRPr="00BC0E7E" w:rsidRDefault="00BC0E7E" w:rsidP="00BC0E7E">
      <w:pPr>
        <w:numPr>
          <w:ilvl w:val="12"/>
          <w:numId w:val="0"/>
        </w:numPr>
        <w:tabs>
          <w:tab w:val="clear" w:pos="562"/>
          <w:tab w:val="left" w:pos="720"/>
        </w:tabs>
      </w:pPr>
    </w:p>
    <w:p w14:paraId="37113767" w14:textId="77777777" w:rsidR="00BC0E7E" w:rsidRPr="00BC0E7E" w:rsidRDefault="00BC0E7E" w:rsidP="00BC0E7E">
      <w:pPr>
        <w:numPr>
          <w:ilvl w:val="12"/>
          <w:numId w:val="0"/>
        </w:numPr>
        <w:tabs>
          <w:tab w:val="clear" w:pos="562"/>
          <w:tab w:val="left" w:pos="720"/>
        </w:tabs>
      </w:pPr>
    </w:p>
    <w:p w14:paraId="2A872E01" w14:textId="77777777" w:rsidR="00BC0E7E" w:rsidRPr="00BC0E7E" w:rsidRDefault="00944B8F" w:rsidP="000A2CA3">
      <w:pPr>
        <w:pStyle w:val="BMLeftAligned"/>
      </w:pPr>
      <w:r w:rsidRPr="00BC0E7E">
        <w:t>B.</w:t>
      </w:r>
      <w:r w:rsidRPr="00BC0E7E">
        <w:tab/>
        <w:t xml:space="preserve">CONDITIONS OR RESTRICTIONS REGARDING SUPPLY AND USE </w:t>
      </w:r>
    </w:p>
    <w:p w14:paraId="1EFCB00F" w14:textId="77777777" w:rsidR="00BC0E7E" w:rsidRPr="00BC0E7E" w:rsidRDefault="00BC0E7E" w:rsidP="00BC0E7E">
      <w:pPr>
        <w:tabs>
          <w:tab w:val="clear" w:pos="562"/>
          <w:tab w:val="left" w:pos="720"/>
        </w:tabs>
      </w:pPr>
    </w:p>
    <w:p w14:paraId="5EFB052A" w14:textId="77777777" w:rsidR="00BC0E7E" w:rsidRPr="00BC0E7E" w:rsidRDefault="00944B8F" w:rsidP="00BC0E7E">
      <w:pPr>
        <w:numPr>
          <w:ilvl w:val="12"/>
          <w:numId w:val="0"/>
        </w:numPr>
        <w:tabs>
          <w:tab w:val="clear" w:pos="562"/>
          <w:tab w:val="left" w:pos="720"/>
        </w:tabs>
      </w:pPr>
      <w:r w:rsidRPr="00BC0E7E">
        <w:t>Medicinal product subject to restricted medical prescription (see Annex I: Summary of Product Characteristics, section 4.2).</w:t>
      </w:r>
    </w:p>
    <w:p w14:paraId="5F0214AA" w14:textId="77777777" w:rsidR="00BC0E7E" w:rsidRPr="00BC0E7E" w:rsidRDefault="00BC0E7E" w:rsidP="00BC0E7E">
      <w:pPr>
        <w:ind w:left="660" w:hanging="660"/>
      </w:pPr>
    </w:p>
    <w:p w14:paraId="6DDFB9FD" w14:textId="77777777" w:rsidR="00BC0E7E" w:rsidRPr="00DE77C5" w:rsidRDefault="00BC0E7E" w:rsidP="00BC0E7E">
      <w:pPr>
        <w:ind w:left="550" w:hanging="550"/>
      </w:pPr>
    </w:p>
    <w:p w14:paraId="3AEEFEE5" w14:textId="77777777" w:rsidR="00BC0E7E" w:rsidRPr="00DE77C5" w:rsidRDefault="00944B8F" w:rsidP="000A2CA3">
      <w:pPr>
        <w:pStyle w:val="BMLeftAligned"/>
        <w:rPr>
          <w:b w:val="0"/>
        </w:rPr>
      </w:pPr>
      <w:r w:rsidRPr="00BC0E7E">
        <w:t xml:space="preserve">C. </w:t>
      </w:r>
      <w:r w:rsidRPr="00BC0E7E">
        <w:tab/>
        <w:t>OTHER CONDITIONS AND REQUIREMENTS OF THE MARKETING AUTHORISATION</w:t>
      </w:r>
    </w:p>
    <w:p w14:paraId="7DB564E3" w14:textId="77777777" w:rsidR="00BC0E7E" w:rsidRPr="00DE77C5" w:rsidRDefault="00BC0E7E" w:rsidP="00BC0E7E">
      <w:pPr>
        <w:ind w:left="550" w:hanging="550"/>
      </w:pPr>
    </w:p>
    <w:p w14:paraId="32EC6688" w14:textId="77777777" w:rsidR="00BC0E7E" w:rsidRPr="00BC0E7E" w:rsidRDefault="00944B8F" w:rsidP="00AF6B81">
      <w:pPr>
        <w:numPr>
          <w:ilvl w:val="0"/>
          <w:numId w:val="49"/>
        </w:numPr>
        <w:tabs>
          <w:tab w:val="clear" w:pos="562"/>
          <w:tab w:val="left" w:pos="720"/>
        </w:tabs>
      </w:pPr>
      <w:r w:rsidRPr="00BC0E7E">
        <w:rPr>
          <w:b/>
          <w:szCs w:val="22"/>
        </w:rPr>
        <w:t xml:space="preserve">Periodic </w:t>
      </w:r>
      <w:r w:rsidR="00597EDA">
        <w:rPr>
          <w:b/>
          <w:szCs w:val="22"/>
        </w:rPr>
        <w:t>s</w:t>
      </w:r>
      <w:r w:rsidRPr="00BC0E7E">
        <w:rPr>
          <w:b/>
          <w:szCs w:val="22"/>
        </w:rPr>
        <w:t xml:space="preserve">afety </w:t>
      </w:r>
      <w:r w:rsidR="00597EDA">
        <w:rPr>
          <w:b/>
          <w:szCs w:val="22"/>
        </w:rPr>
        <w:t>u</w:t>
      </w:r>
      <w:r w:rsidRPr="00BC0E7E">
        <w:rPr>
          <w:b/>
          <w:szCs w:val="22"/>
        </w:rPr>
        <w:t xml:space="preserve">pdate </w:t>
      </w:r>
      <w:r w:rsidR="00597EDA">
        <w:rPr>
          <w:b/>
          <w:szCs w:val="22"/>
        </w:rPr>
        <w:t>r</w:t>
      </w:r>
      <w:r w:rsidRPr="00BC0E7E">
        <w:rPr>
          <w:b/>
          <w:szCs w:val="22"/>
        </w:rPr>
        <w:t>eports</w:t>
      </w:r>
      <w:r w:rsidR="00597EDA">
        <w:rPr>
          <w:b/>
          <w:szCs w:val="22"/>
        </w:rPr>
        <w:t xml:space="preserve"> (PSURs)</w:t>
      </w:r>
    </w:p>
    <w:p w14:paraId="322631DE" w14:textId="77777777" w:rsidR="00BC0E7E" w:rsidRPr="00BC0E7E" w:rsidRDefault="00944B8F" w:rsidP="00BC0E7E">
      <w:pPr>
        <w:numPr>
          <w:ilvl w:val="12"/>
          <w:numId w:val="0"/>
        </w:numPr>
        <w:tabs>
          <w:tab w:val="clear" w:pos="562"/>
          <w:tab w:val="left" w:pos="720"/>
        </w:tabs>
      </w:pPr>
      <w:r w:rsidRPr="00BC0E7E">
        <w:rPr>
          <w:iCs/>
          <w:szCs w:val="22"/>
        </w:rPr>
        <w:t xml:space="preserve">The requirements for submission of </w:t>
      </w:r>
      <w:r w:rsidR="00597EDA">
        <w:rPr>
          <w:iCs/>
          <w:szCs w:val="22"/>
        </w:rPr>
        <w:t>PSURs</w:t>
      </w:r>
      <w:r w:rsidRPr="00BC0E7E">
        <w:rPr>
          <w:iCs/>
          <w:szCs w:val="22"/>
        </w:rPr>
        <w:t xml:space="preserve"> for this medicinal product are set out in the list of Union reference dates (EURD list) provided for under Article 107c(7) of Directive 2001/83</w:t>
      </w:r>
      <w:r w:rsidRPr="00BC0E7E">
        <w:t>/EC</w:t>
      </w:r>
      <w:r w:rsidRPr="00BC0E7E">
        <w:rPr>
          <w:iCs/>
          <w:szCs w:val="22"/>
        </w:rPr>
        <w:t xml:space="preserve"> and any subsequent updates published on the European medicines web-portal.</w:t>
      </w:r>
    </w:p>
    <w:p w14:paraId="7E53EFE8" w14:textId="77777777" w:rsidR="00BC0E7E" w:rsidRPr="00DE77C5" w:rsidRDefault="00BC0E7E" w:rsidP="00BC0E7E">
      <w:pPr>
        <w:ind w:left="550" w:hanging="550"/>
      </w:pPr>
    </w:p>
    <w:p w14:paraId="75278473" w14:textId="77777777" w:rsidR="00BC0E7E" w:rsidRPr="00DE77C5" w:rsidRDefault="00BC0E7E" w:rsidP="00BC0E7E">
      <w:pPr>
        <w:ind w:left="550" w:hanging="550"/>
      </w:pPr>
    </w:p>
    <w:p w14:paraId="081122A5" w14:textId="77777777" w:rsidR="00BC0E7E" w:rsidRPr="00DE77C5" w:rsidRDefault="00944B8F" w:rsidP="000A2CA3">
      <w:pPr>
        <w:pStyle w:val="BMLeftAligned"/>
        <w:rPr>
          <w:b w:val="0"/>
        </w:rPr>
      </w:pPr>
      <w:r w:rsidRPr="00BC0E7E">
        <w:lastRenderedPageBreak/>
        <w:t>D.</w:t>
      </w:r>
      <w:r w:rsidRPr="00BC0E7E">
        <w:tab/>
        <w:t>CONDITIONS OR RESTRICTIONS WITH REGARD TO THE SAFE AND EFFECTIVE USE OF THE MEDICIN</w:t>
      </w:r>
      <w:r w:rsidR="00DE77C5">
        <w:t>AL PRODUCT</w:t>
      </w:r>
    </w:p>
    <w:p w14:paraId="146AD8F4" w14:textId="77777777" w:rsidR="00BC0E7E" w:rsidRPr="00DE77C5" w:rsidRDefault="00BC0E7E" w:rsidP="00BC0E7E">
      <w:pPr>
        <w:suppressLineNumbers/>
        <w:ind w:left="567" w:hanging="567"/>
        <w:rPr>
          <w:bCs/>
          <w:szCs w:val="22"/>
        </w:rPr>
      </w:pPr>
    </w:p>
    <w:p w14:paraId="6211C747" w14:textId="77777777" w:rsidR="00BC0E7E" w:rsidRPr="00BC0E7E" w:rsidRDefault="00944B8F" w:rsidP="00AF6B81">
      <w:pPr>
        <w:numPr>
          <w:ilvl w:val="0"/>
          <w:numId w:val="42"/>
        </w:numPr>
        <w:suppressLineNumbers/>
        <w:tabs>
          <w:tab w:val="clear" w:pos="562"/>
        </w:tabs>
        <w:suppressAutoHyphens w:val="0"/>
        <w:spacing w:line="260" w:lineRule="exact"/>
        <w:ind w:left="550" w:right="-1" w:hanging="550"/>
        <w:rPr>
          <w:b/>
          <w:szCs w:val="22"/>
        </w:rPr>
      </w:pPr>
      <w:r w:rsidRPr="00BC0E7E">
        <w:rPr>
          <w:b/>
          <w:szCs w:val="22"/>
        </w:rPr>
        <w:t xml:space="preserve">Risk </w:t>
      </w:r>
      <w:r w:rsidR="00597EDA">
        <w:rPr>
          <w:b/>
          <w:szCs w:val="22"/>
        </w:rPr>
        <w:t>m</w:t>
      </w:r>
      <w:r w:rsidRPr="00BC0E7E">
        <w:rPr>
          <w:b/>
          <w:szCs w:val="22"/>
        </w:rPr>
        <w:t xml:space="preserve">anagement </w:t>
      </w:r>
      <w:r w:rsidR="00597EDA">
        <w:rPr>
          <w:b/>
          <w:szCs w:val="22"/>
        </w:rPr>
        <w:t>p</w:t>
      </w:r>
      <w:r w:rsidRPr="00BC0E7E">
        <w:rPr>
          <w:b/>
          <w:szCs w:val="22"/>
        </w:rPr>
        <w:t>lan (RMP)</w:t>
      </w:r>
    </w:p>
    <w:p w14:paraId="5F16E94D" w14:textId="77777777" w:rsidR="00BC0E7E" w:rsidRPr="00DE77C5" w:rsidRDefault="00BC0E7E" w:rsidP="00BC0E7E">
      <w:pPr>
        <w:suppressLineNumbers/>
        <w:suppressAutoHyphens w:val="0"/>
        <w:spacing w:line="260" w:lineRule="exact"/>
        <w:ind w:right="-1"/>
        <w:rPr>
          <w:szCs w:val="22"/>
        </w:rPr>
      </w:pPr>
    </w:p>
    <w:p w14:paraId="0D010824" w14:textId="77777777" w:rsidR="00BC0E7E" w:rsidRPr="00BC0E7E" w:rsidRDefault="00944B8F" w:rsidP="00BC0E7E">
      <w:pPr>
        <w:tabs>
          <w:tab w:val="clear" w:pos="562"/>
          <w:tab w:val="left" w:pos="0"/>
        </w:tabs>
        <w:ind w:right="567"/>
        <w:rPr>
          <w:noProof/>
        </w:rPr>
      </w:pPr>
      <w:r w:rsidRPr="00BC0E7E">
        <w:rPr>
          <w:noProof/>
        </w:rPr>
        <w:t xml:space="preserve">The </w:t>
      </w:r>
      <w:r w:rsidR="00597EDA">
        <w:rPr>
          <w:noProof/>
        </w:rPr>
        <w:t>marketing authorization holder (</w:t>
      </w:r>
      <w:r w:rsidRPr="00BC0E7E">
        <w:rPr>
          <w:noProof/>
        </w:rPr>
        <w:t>MAH</w:t>
      </w:r>
      <w:r w:rsidR="00597EDA">
        <w:rPr>
          <w:noProof/>
        </w:rPr>
        <w:t>)</w:t>
      </w:r>
      <w:r w:rsidRPr="00BC0E7E">
        <w:rPr>
          <w:noProof/>
        </w:rPr>
        <w:t xml:space="preserve"> shall perform the required pharmacovigilance activities and interventions detailed in the agreed RMP presented in Module 1.8.2 of the </w:t>
      </w:r>
      <w:r w:rsidR="00597EDA">
        <w:rPr>
          <w:noProof/>
        </w:rPr>
        <w:t>m</w:t>
      </w:r>
      <w:r w:rsidRPr="00BC0E7E">
        <w:rPr>
          <w:noProof/>
        </w:rPr>
        <w:t xml:space="preserve">arketing </w:t>
      </w:r>
      <w:r w:rsidR="00597EDA">
        <w:rPr>
          <w:noProof/>
        </w:rPr>
        <w:t>a</w:t>
      </w:r>
      <w:r w:rsidRPr="00BC0E7E">
        <w:rPr>
          <w:noProof/>
        </w:rPr>
        <w:t>uthorisation and any agreed subsequent updates of the RMP.</w:t>
      </w:r>
    </w:p>
    <w:p w14:paraId="7BA20665" w14:textId="77777777" w:rsidR="00BC0E7E" w:rsidRPr="00BC0E7E" w:rsidRDefault="00BC0E7E" w:rsidP="00BC0E7E">
      <w:pPr>
        <w:ind w:right="-1"/>
        <w:rPr>
          <w:noProof/>
        </w:rPr>
      </w:pPr>
    </w:p>
    <w:p w14:paraId="11DC4F2C" w14:textId="77777777" w:rsidR="00BC0E7E" w:rsidRPr="00BC0E7E" w:rsidRDefault="00944B8F" w:rsidP="00BC0E7E">
      <w:pPr>
        <w:ind w:right="-1"/>
        <w:rPr>
          <w:iCs/>
          <w:noProof/>
        </w:rPr>
      </w:pPr>
      <w:r w:rsidRPr="00BC0E7E">
        <w:rPr>
          <w:iCs/>
          <w:noProof/>
        </w:rPr>
        <w:t>An updated RMP should be submitted:</w:t>
      </w:r>
    </w:p>
    <w:p w14:paraId="4BD615D6" w14:textId="77777777" w:rsidR="00BC0E7E" w:rsidRPr="00BC0E7E" w:rsidRDefault="00944B8F" w:rsidP="00B06895">
      <w:pPr>
        <w:numPr>
          <w:ilvl w:val="0"/>
          <w:numId w:val="41"/>
        </w:numPr>
        <w:suppressAutoHyphens w:val="0"/>
        <w:spacing w:line="260" w:lineRule="exact"/>
        <w:ind w:right="-1"/>
        <w:rPr>
          <w:iCs/>
          <w:noProof/>
        </w:rPr>
      </w:pPr>
      <w:r w:rsidRPr="00BC0E7E">
        <w:rPr>
          <w:iCs/>
          <w:noProof/>
        </w:rPr>
        <w:t xml:space="preserve">At the request of the European Medicines Agency; </w:t>
      </w:r>
    </w:p>
    <w:p w14:paraId="6F109E30" w14:textId="77777777" w:rsidR="00BC0E7E" w:rsidRPr="00BC0E7E" w:rsidRDefault="00944B8F" w:rsidP="00B06895">
      <w:pPr>
        <w:numPr>
          <w:ilvl w:val="0"/>
          <w:numId w:val="41"/>
        </w:numPr>
        <w:tabs>
          <w:tab w:val="clear" w:pos="562"/>
        </w:tabs>
        <w:suppressAutoHyphens w:val="0"/>
        <w:spacing w:line="260" w:lineRule="exact"/>
        <w:ind w:left="567" w:right="-1" w:hanging="207"/>
      </w:pPr>
      <w:r w:rsidRPr="00BC0E7E">
        <w:rPr>
          <w:iCs/>
          <w:noProof/>
        </w:rPr>
        <w:t xml:space="preserve">Whenever </w:t>
      </w:r>
      <w:r w:rsidRPr="00BC0E7E">
        <w:rPr>
          <w:iCs/>
          <w:noProof/>
          <w:szCs w:val="22"/>
        </w:rPr>
        <w:t xml:space="preserve">the risk management system is modified, especially as the result of </w:t>
      </w:r>
      <w:r w:rsidRPr="00BC0E7E">
        <w:rPr>
          <w:iCs/>
          <w:noProof/>
        </w:rPr>
        <w:t xml:space="preserve">new information being received that may lead to a </w:t>
      </w:r>
      <w:r w:rsidRPr="00BC0E7E">
        <w:rPr>
          <w:iCs/>
          <w:noProof/>
          <w:szCs w:val="22"/>
        </w:rPr>
        <w:t xml:space="preserve">significant change to the benefit/risk profile or as the result </w:t>
      </w:r>
      <w:r w:rsidRPr="00BC0E7E">
        <w:rPr>
          <w:iCs/>
          <w:noProof/>
        </w:rPr>
        <w:t>of an important (pharmacovigilance or risk minimisation) milestone being reached.</w:t>
      </w:r>
    </w:p>
    <w:p w14:paraId="6B918368" w14:textId="77777777" w:rsidR="00BC0E7E" w:rsidRPr="00BC0E7E" w:rsidRDefault="00BC0E7E" w:rsidP="00BC0E7E">
      <w:pPr>
        <w:tabs>
          <w:tab w:val="clear" w:pos="562"/>
          <w:tab w:val="left" w:pos="720"/>
        </w:tabs>
        <w:ind w:right="-1"/>
      </w:pPr>
    </w:p>
    <w:p w14:paraId="486B233E" w14:textId="77777777" w:rsidR="00BC0E7E" w:rsidRPr="00BC0E7E" w:rsidRDefault="00944B8F" w:rsidP="00B06895">
      <w:pPr>
        <w:numPr>
          <w:ilvl w:val="0"/>
          <w:numId w:val="38"/>
        </w:numPr>
        <w:suppressLineNumbers/>
        <w:tabs>
          <w:tab w:val="clear" w:pos="562"/>
        </w:tabs>
        <w:suppressAutoHyphens w:val="0"/>
        <w:spacing w:line="260" w:lineRule="exact"/>
        <w:ind w:left="550" w:right="-1" w:hanging="550"/>
        <w:rPr>
          <w:b/>
          <w:szCs w:val="22"/>
        </w:rPr>
      </w:pPr>
      <w:r w:rsidRPr="00BC0E7E">
        <w:rPr>
          <w:b/>
          <w:szCs w:val="22"/>
        </w:rPr>
        <w:t>Additional risk minimisation measures</w:t>
      </w:r>
      <w:r w:rsidRPr="00BC0E7E">
        <w:rPr>
          <w:b/>
          <w:szCs w:val="22"/>
        </w:rPr>
        <w:br/>
        <w:t xml:space="preserve">  </w:t>
      </w:r>
    </w:p>
    <w:p w14:paraId="5133E21B" w14:textId="77777777" w:rsidR="00BC0E7E" w:rsidRPr="00BC0E7E" w:rsidRDefault="00944B8F" w:rsidP="00BC0E7E">
      <w:pPr>
        <w:numPr>
          <w:ilvl w:val="12"/>
          <w:numId w:val="0"/>
        </w:numPr>
        <w:tabs>
          <w:tab w:val="left" w:pos="720"/>
        </w:tabs>
      </w:pPr>
      <w:r w:rsidRPr="00BC0E7E">
        <w:t xml:space="preserve">The </w:t>
      </w:r>
      <w:r w:rsidR="002179FE">
        <w:t>Patient Reminder Cards (adult and paediatric) contain the following key elements</w:t>
      </w:r>
    </w:p>
    <w:p w14:paraId="4E7604D1" w14:textId="77777777" w:rsidR="00BC0E7E" w:rsidRPr="00BC0E7E" w:rsidRDefault="00BC0E7E" w:rsidP="00BC0E7E">
      <w:pPr>
        <w:numPr>
          <w:ilvl w:val="12"/>
          <w:numId w:val="0"/>
        </w:numPr>
        <w:tabs>
          <w:tab w:val="left" w:pos="720"/>
        </w:tabs>
      </w:pPr>
    </w:p>
    <w:p w14:paraId="20A3AC0E" w14:textId="77777777" w:rsidR="002179FE" w:rsidRDefault="00944B8F" w:rsidP="00B06895">
      <w:pPr>
        <w:numPr>
          <w:ilvl w:val="0"/>
          <w:numId w:val="26"/>
        </w:numPr>
        <w:tabs>
          <w:tab w:val="left" w:pos="720"/>
        </w:tabs>
      </w:pPr>
      <w:r>
        <w:t>infections, including tuberculosis</w:t>
      </w:r>
    </w:p>
    <w:p w14:paraId="420C5EAA" w14:textId="77777777" w:rsidR="002179FE" w:rsidRDefault="00944B8F" w:rsidP="00B06895">
      <w:pPr>
        <w:numPr>
          <w:ilvl w:val="0"/>
          <w:numId w:val="26"/>
        </w:numPr>
        <w:tabs>
          <w:tab w:val="left" w:pos="720"/>
        </w:tabs>
      </w:pPr>
      <w:r>
        <w:t>cancer</w:t>
      </w:r>
    </w:p>
    <w:p w14:paraId="6F9887D5" w14:textId="77777777" w:rsidR="002179FE" w:rsidRDefault="00944B8F" w:rsidP="00B06895">
      <w:pPr>
        <w:numPr>
          <w:ilvl w:val="0"/>
          <w:numId w:val="26"/>
        </w:numPr>
        <w:tabs>
          <w:tab w:val="left" w:pos="720"/>
        </w:tabs>
      </w:pPr>
      <w:r>
        <w:t>nervous system problems</w:t>
      </w:r>
    </w:p>
    <w:p w14:paraId="499FDBAF" w14:textId="77777777" w:rsidR="00BC0E7E" w:rsidRPr="00BC0E7E" w:rsidRDefault="00944B8F">
      <w:pPr>
        <w:numPr>
          <w:ilvl w:val="0"/>
          <w:numId w:val="26"/>
        </w:numPr>
        <w:tabs>
          <w:tab w:val="left" w:pos="720"/>
        </w:tabs>
      </w:pPr>
      <w:r>
        <w:t>vaccinations</w:t>
      </w:r>
    </w:p>
    <w:p w14:paraId="14BB923B" w14:textId="77777777" w:rsidR="00BC0E7E" w:rsidRPr="00BC0E7E" w:rsidRDefault="00BC0E7E" w:rsidP="00BC0E7E">
      <w:pPr>
        <w:tabs>
          <w:tab w:val="clear" w:pos="562"/>
        </w:tabs>
        <w:ind w:right="-1"/>
      </w:pPr>
    </w:p>
    <w:p w14:paraId="7AE5AA1C" w14:textId="77777777" w:rsidR="00BC0E7E" w:rsidRPr="00BC0E7E" w:rsidRDefault="00944B8F" w:rsidP="00BC0E7E">
      <w:pPr>
        <w:rPr>
          <w:szCs w:val="20"/>
        </w:rPr>
      </w:pPr>
      <w:r w:rsidRPr="00BC0E7E">
        <w:rPr>
          <w:szCs w:val="20"/>
        </w:rPr>
        <w:br w:type="page"/>
      </w:r>
    </w:p>
    <w:p w14:paraId="57BBFBB7" w14:textId="77777777" w:rsidR="00BC0E7E" w:rsidRPr="00BC0E7E" w:rsidRDefault="00BC0E7E" w:rsidP="00BC0E7E">
      <w:pPr>
        <w:rPr>
          <w:szCs w:val="20"/>
        </w:rPr>
      </w:pPr>
    </w:p>
    <w:p w14:paraId="61B48BF2" w14:textId="77777777" w:rsidR="00BC0E7E" w:rsidRPr="00BC0E7E" w:rsidRDefault="00BC0E7E" w:rsidP="00BC0E7E">
      <w:pPr>
        <w:rPr>
          <w:szCs w:val="20"/>
        </w:rPr>
      </w:pPr>
    </w:p>
    <w:p w14:paraId="6669B567" w14:textId="77777777" w:rsidR="00BC0E7E" w:rsidRPr="00BC0E7E" w:rsidRDefault="00BC0E7E" w:rsidP="00BC0E7E">
      <w:pPr>
        <w:rPr>
          <w:szCs w:val="20"/>
        </w:rPr>
      </w:pPr>
    </w:p>
    <w:p w14:paraId="00611F3E" w14:textId="77777777" w:rsidR="00BC0E7E" w:rsidRPr="00BC0E7E" w:rsidRDefault="00BC0E7E" w:rsidP="00BC0E7E">
      <w:pPr>
        <w:rPr>
          <w:szCs w:val="20"/>
        </w:rPr>
      </w:pPr>
    </w:p>
    <w:p w14:paraId="28F83370" w14:textId="77777777" w:rsidR="00BC0E7E" w:rsidRPr="00BC0E7E" w:rsidRDefault="00BC0E7E" w:rsidP="00BC0E7E">
      <w:pPr>
        <w:rPr>
          <w:szCs w:val="20"/>
        </w:rPr>
      </w:pPr>
    </w:p>
    <w:p w14:paraId="54DA2615" w14:textId="77777777" w:rsidR="00BC0E7E" w:rsidRPr="00BC0E7E" w:rsidRDefault="00BC0E7E" w:rsidP="00BC0E7E">
      <w:pPr>
        <w:rPr>
          <w:szCs w:val="20"/>
        </w:rPr>
      </w:pPr>
    </w:p>
    <w:p w14:paraId="4FF3C60D" w14:textId="77777777" w:rsidR="00BC0E7E" w:rsidRPr="00BC0E7E" w:rsidRDefault="00BC0E7E" w:rsidP="00BC0E7E">
      <w:pPr>
        <w:rPr>
          <w:szCs w:val="20"/>
        </w:rPr>
      </w:pPr>
    </w:p>
    <w:p w14:paraId="5601B311" w14:textId="77777777" w:rsidR="00BC0E7E" w:rsidRPr="00BC0E7E" w:rsidRDefault="00BC0E7E" w:rsidP="00BC0E7E">
      <w:pPr>
        <w:rPr>
          <w:szCs w:val="20"/>
        </w:rPr>
      </w:pPr>
    </w:p>
    <w:p w14:paraId="1A3F84EB" w14:textId="77777777" w:rsidR="00BC0E7E" w:rsidRPr="00BC0E7E" w:rsidRDefault="00BC0E7E" w:rsidP="00BC0E7E">
      <w:pPr>
        <w:rPr>
          <w:szCs w:val="20"/>
        </w:rPr>
      </w:pPr>
    </w:p>
    <w:p w14:paraId="11DAFAE0" w14:textId="77777777" w:rsidR="00BC0E7E" w:rsidRPr="00BC0E7E" w:rsidRDefault="00BC0E7E" w:rsidP="00BC0E7E">
      <w:pPr>
        <w:rPr>
          <w:szCs w:val="20"/>
        </w:rPr>
      </w:pPr>
    </w:p>
    <w:p w14:paraId="18D70C24" w14:textId="77777777" w:rsidR="00BC0E7E" w:rsidRPr="00BC0E7E" w:rsidRDefault="00BC0E7E" w:rsidP="00BC0E7E">
      <w:pPr>
        <w:rPr>
          <w:szCs w:val="20"/>
        </w:rPr>
      </w:pPr>
    </w:p>
    <w:p w14:paraId="0CF96D5D" w14:textId="77777777" w:rsidR="00BC0E7E" w:rsidRPr="00BC0E7E" w:rsidRDefault="00BC0E7E" w:rsidP="00BC0E7E">
      <w:pPr>
        <w:rPr>
          <w:szCs w:val="20"/>
        </w:rPr>
      </w:pPr>
    </w:p>
    <w:p w14:paraId="57E549AC" w14:textId="77777777" w:rsidR="00BC0E7E" w:rsidRPr="00BC0E7E" w:rsidRDefault="00BC0E7E" w:rsidP="00BC0E7E">
      <w:pPr>
        <w:rPr>
          <w:szCs w:val="20"/>
        </w:rPr>
      </w:pPr>
    </w:p>
    <w:p w14:paraId="124830DE" w14:textId="77777777" w:rsidR="00BC0E7E" w:rsidRPr="00BC0E7E" w:rsidRDefault="00BC0E7E" w:rsidP="00BC0E7E">
      <w:pPr>
        <w:rPr>
          <w:szCs w:val="20"/>
        </w:rPr>
      </w:pPr>
    </w:p>
    <w:p w14:paraId="76875EE8" w14:textId="77777777" w:rsidR="00BC0E7E" w:rsidRDefault="00BC0E7E" w:rsidP="00BC0E7E">
      <w:pPr>
        <w:rPr>
          <w:szCs w:val="20"/>
        </w:rPr>
      </w:pPr>
    </w:p>
    <w:p w14:paraId="4250D534" w14:textId="77777777" w:rsidR="000A2CA3" w:rsidRPr="00BC0E7E" w:rsidRDefault="000A2CA3" w:rsidP="00BC0E7E">
      <w:pPr>
        <w:rPr>
          <w:szCs w:val="20"/>
        </w:rPr>
      </w:pPr>
    </w:p>
    <w:p w14:paraId="32100D86" w14:textId="77777777" w:rsidR="00BC0E7E" w:rsidRPr="00BC0E7E" w:rsidRDefault="00BC0E7E" w:rsidP="00BC0E7E">
      <w:pPr>
        <w:rPr>
          <w:szCs w:val="20"/>
        </w:rPr>
      </w:pPr>
    </w:p>
    <w:p w14:paraId="2CE39B28" w14:textId="77777777" w:rsidR="00BC0E7E" w:rsidRPr="00BC0E7E" w:rsidRDefault="00BC0E7E" w:rsidP="00BC0E7E">
      <w:pPr>
        <w:rPr>
          <w:szCs w:val="20"/>
        </w:rPr>
      </w:pPr>
    </w:p>
    <w:p w14:paraId="32C42054" w14:textId="77777777" w:rsidR="00BC0E7E" w:rsidRPr="00BC0E7E" w:rsidRDefault="00BC0E7E" w:rsidP="00BC0E7E">
      <w:pPr>
        <w:rPr>
          <w:szCs w:val="20"/>
        </w:rPr>
      </w:pPr>
    </w:p>
    <w:p w14:paraId="29190558" w14:textId="77777777" w:rsidR="00BC0E7E" w:rsidRPr="00BC0E7E" w:rsidRDefault="00BC0E7E" w:rsidP="00BC0E7E">
      <w:pPr>
        <w:rPr>
          <w:szCs w:val="20"/>
        </w:rPr>
      </w:pPr>
    </w:p>
    <w:p w14:paraId="3FEEB7BE" w14:textId="77777777" w:rsidR="00BC0E7E" w:rsidRPr="00BC0E7E" w:rsidRDefault="00BC0E7E" w:rsidP="00BC0E7E">
      <w:pPr>
        <w:rPr>
          <w:szCs w:val="20"/>
        </w:rPr>
      </w:pPr>
    </w:p>
    <w:p w14:paraId="440BC565" w14:textId="77777777" w:rsidR="00BC0E7E" w:rsidRPr="00BC0E7E" w:rsidRDefault="00BC0E7E" w:rsidP="00BC0E7E">
      <w:pPr>
        <w:rPr>
          <w:szCs w:val="20"/>
        </w:rPr>
      </w:pPr>
    </w:p>
    <w:p w14:paraId="12A09793" w14:textId="77777777" w:rsidR="00BC0E7E" w:rsidRPr="00BC0E7E" w:rsidRDefault="00BC0E7E" w:rsidP="00BC0E7E">
      <w:pPr>
        <w:rPr>
          <w:szCs w:val="20"/>
        </w:rPr>
      </w:pPr>
    </w:p>
    <w:p w14:paraId="35E39AC0" w14:textId="77777777" w:rsidR="00BC0E7E" w:rsidRPr="00BC0E7E" w:rsidRDefault="00944B8F" w:rsidP="00BC0E7E">
      <w:pPr>
        <w:jc w:val="center"/>
        <w:rPr>
          <w:b/>
          <w:caps/>
          <w:szCs w:val="20"/>
        </w:rPr>
      </w:pPr>
      <w:r w:rsidRPr="00BC0E7E">
        <w:rPr>
          <w:b/>
          <w:caps/>
          <w:szCs w:val="20"/>
        </w:rPr>
        <w:t>ANNEX III</w:t>
      </w:r>
    </w:p>
    <w:p w14:paraId="77B48200" w14:textId="77777777" w:rsidR="00BC0E7E" w:rsidRPr="00BC0E7E" w:rsidRDefault="00BC0E7E" w:rsidP="00BC0E7E">
      <w:pPr>
        <w:tabs>
          <w:tab w:val="clear" w:pos="562"/>
        </w:tabs>
        <w:jc w:val="center"/>
        <w:rPr>
          <w:b/>
        </w:rPr>
      </w:pPr>
    </w:p>
    <w:p w14:paraId="62EC3A6D" w14:textId="77777777" w:rsidR="00BC0E7E" w:rsidRPr="00BC0E7E" w:rsidRDefault="00944B8F" w:rsidP="00BC0E7E">
      <w:pPr>
        <w:tabs>
          <w:tab w:val="clear" w:pos="562"/>
        </w:tabs>
        <w:jc w:val="center"/>
        <w:rPr>
          <w:b/>
        </w:rPr>
      </w:pPr>
      <w:r w:rsidRPr="00BC0E7E">
        <w:rPr>
          <w:b/>
        </w:rPr>
        <w:t>LABELLING AND PACKAGE LEAFLET</w:t>
      </w:r>
    </w:p>
    <w:p w14:paraId="1B8A4E54" w14:textId="77777777" w:rsidR="00BC0E7E" w:rsidRPr="00BC0E7E" w:rsidRDefault="00BC0E7E" w:rsidP="00BC0E7E">
      <w:pPr>
        <w:tabs>
          <w:tab w:val="left" w:pos="720"/>
        </w:tabs>
        <w:jc w:val="center"/>
      </w:pPr>
    </w:p>
    <w:p w14:paraId="23EBA11E" w14:textId="77777777" w:rsidR="00BC0E7E" w:rsidRPr="00BC0E7E" w:rsidRDefault="00944B8F" w:rsidP="00BC0E7E">
      <w:pPr>
        <w:rPr>
          <w:szCs w:val="20"/>
        </w:rPr>
      </w:pPr>
      <w:r w:rsidRPr="00BC0E7E">
        <w:rPr>
          <w:szCs w:val="20"/>
        </w:rPr>
        <w:br w:type="page"/>
      </w:r>
    </w:p>
    <w:p w14:paraId="2190C302" w14:textId="77777777" w:rsidR="00BC0E7E" w:rsidRPr="00BC0E7E" w:rsidRDefault="00BC0E7E" w:rsidP="00BC0E7E">
      <w:pPr>
        <w:rPr>
          <w:szCs w:val="20"/>
        </w:rPr>
      </w:pPr>
    </w:p>
    <w:p w14:paraId="4995E5AA" w14:textId="77777777" w:rsidR="00BC0E7E" w:rsidRPr="00BC0E7E" w:rsidRDefault="00BC0E7E" w:rsidP="00BC0E7E">
      <w:pPr>
        <w:rPr>
          <w:szCs w:val="20"/>
        </w:rPr>
      </w:pPr>
    </w:p>
    <w:p w14:paraId="16987E9B" w14:textId="77777777" w:rsidR="00BC0E7E" w:rsidRPr="00BC0E7E" w:rsidRDefault="00BC0E7E" w:rsidP="00BC0E7E">
      <w:pPr>
        <w:rPr>
          <w:szCs w:val="20"/>
        </w:rPr>
      </w:pPr>
    </w:p>
    <w:p w14:paraId="733DBD99" w14:textId="77777777" w:rsidR="00BC0E7E" w:rsidRPr="00BC0E7E" w:rsidRDefault="00BC0E7E" w:rsidP="00BC0E7E">
      <w:pPr>
        <w:rPr>
          <w:szCs w:val="20"/>
        </w:rPr>
      </w:pPr>
    </w:p>
    <w:p w14:paraId="229F86C0" w14:textId="77777777" w:rsidR="00BC0E7E" w:rsidRPr="00BC0E7E" w:rsidRDefault="00BC0E7E" w:rsidP="00BC0E7E">
      <w:pPr>
        <w:rPr>
          <w:szCs w:val="20"/>
        </w:rPr>
      </w:pPr>
    </w:p>
    <w:p w14:paraId="5D014A71" w14:textId="77777777" w:rsidR="00BC0E7E" w:rsidRPr="00BC0E7E" w:rsidRDefault="00BC0E7E" w:rsidP="00BC0E7E">
      <w:pPr>
        <w:rPr>
          <w:szCs w:val="20"/>
        </w:rPr>
      </w:pPr>
    </w:p>
    <w:p w14:paraId="1591B0F6" w14:textId="77777777" w:rsidR="00BC0E7E" w:rsidRPr="00BC0E7E" w:rsidRDefault="00BC0E7E" w:rsidP="00BC0E7E">
      <w:pPr>
        <w:rPr>
          <w:szCs w:val="20"/>
        </w:rPr>
      </w:pPr>
    </w:p>
    <w:p w14:paraId="113E9407" w14:textId="77777777" w:rsidR="00BC0E7E" w:rsidRPr="00BC0E7E" w:rsidRDefault="00BC0E7E" w:rsidP="00BC0E7E">
      <w:pPr>
        <w:rPr>
          <w:szCs w:val="20"/>
        </w:rPr>
      </w:pPr>
    </w:p>
    <w:p w14:paraId="28C18F09" w14:textId="77777777" w:rsidR="00BC0E7E" w:rsidRPr="00BC0E7E" w:rsidRDefault="00BC0E7E" w:rsidP="00BC0E7E">
      <w:pPr>
        <w:rPr>
          <w:szCs w:val="20"/>
        </w:rPr>
      </w:pPr>
    </w:p>
    <w:p w14:paraId="2499127B" w14:textId="77777777" w:rsidR="00BC0E7E" w:rsidRPr="00BC0E7E" w:rsidRDefault="00BC0E7E" w:rsidP="00BC0E7E">
      <w:pPr>
        <w:rPr>
          <w:szCs w:val="20"/>
        </w:rPr>
      </w:pPr>
    </w:p>
    <w:p w14:paraId="1F66B3BB" w14:textId="77777777" w:rsidR="00BC0E7E" w:rsidRPr="00BC0E7E" w:rsidRDefault="00BC0E7E" w:rsidP="00BC0E7E">
      <w:pPr>
        <w:rPr>
          <w:szCs w:val="20"/>
        </w:rPr>
      </w:pPr>
    </w:p>
    <w:p w14:paraId="4209C581" w14:textId="77777777" w:rsidR="00BC0E7E" w:rsidRPr="00BC0E7E" w:rsidRDefault="00BC0E7E" w:rsidP="00BC0E7E">
      <w:pPr>
        <w:rPr>
          <w:szCs w:val="20"/>
        </w:rPr>
      </w:pPr>
    </w:p>
    <w:p w14:paraId="0BEAC507" w14:textId="77777777" w:rsidR="00BC0E7E" w:rsidRPr="00BC0E7E" w:rsidRDefault="00BC0E7E" w:rsidP="00BC0E7E">
      <w:pPr>
        <w:rPr>
          <w:szCs w:val="20"/>
        </w:rPr>
      </w:pPr>
    </w:p>
    <w:p w14:paraId="489544E1" w14:textId="77777777" w:rsidR="00BC0E7E" w:rsidRPr="00BC0E7E" w:rsidRDefault="00BC0E7E" w:rsidP="00BC0E7E">
      <w:pPr>
        <w:rPr>
          <w:szCs w:val="20"/>
        </w:rPr>
      </w:pPr>
    </w:p>
    <w:p w14:paraId="21805371" w14:textId="77777777" w:rsidR="00BC0E7E" w:rsidRPr="00BC0E7E" w:rsidRDefault="00BC0E7E" w:rsidP="00BC0E7E">
      <w:pPr>
        <w:rPr>
          <w:szCs w:val="20"/>
        </w:rPr>
      </w:pPr>
    </w:p>
    <w:p w14:paraId="530DD883" w14:textId="77777777" w:rsidR="00BC0E7E" w:rsidRPr="00BC0E7E" w:rsidRDefault="00BC0E7E" w:rsidP="00BC0E7E">
      <w:pPr>
        <w:rPr>
          <w:szCs w:val="20"/>
        </w:rPr>
      </w:pPr>
    </w:p>
    <w:p w14:paraId="5537F7D9" w14:textId="77777777" w:rsidR="00BC0E7E" w:rsidRPr="00BC0E7E" w:rsidRDefault="00BC0E7E" w:rsidP="00BC0E7E">
      <w:pPr>
        <w:rPr>
          <w:szCs w:val="20"/>
        </w:rPr>
      </w:pPr>
    </w:p>
    <w:p w14:paraId="5F2C2D00" w14:textId="77777777" w:rsidR="00BC0E7E" w:rsidRDefault="00BC0E7E" w:rsidP="00BC0E7E">
      <w:pPr>
        <w:rPr>
          <w:szCs w:val="20"/>
        </w:rPr>
      </w:pPr>
    </w:p>
    <w:p w14:paraId="3CC74BCA" w14:textId="77777777" w:rsidR="000A2CA3" w:rsidRPr="00BC0E7E" w:rsidRDefault="000A2CA3" w:rsidP="00BC0E7E">
      <w:pPr>
        <w:rPr>
          <w:szCs w:val="20"/>
        </w:rPr>
      </w:pPr>
    </w:p>
    <w:p w14:paraId="44B368B6" w14:textId="77777777" w:rsidR="00BC0E7E" w:rsidRPr="00BC0E7E" w:rsidRDefault="00BC0E7E" w:rsidP="00BC0E7E">
      <w:pPr>
        <w:rPr>
          <w:szCs w:val="20"/>
        </w:rPr>
      </w:pPr>
    </w:p>
    <w:p w14:paraId="31C4F046" w14:textId="77777777" w:rsidR="00BC0E7E" w:rsidRPr="00BC0E7E" w:rsidRDefault="00BC0E7E" w:rsidP="00BC0E7E">
      <w:pPr>
        <w:rPr>
          <w:szCs w:val="20"/>
        </w:rPr>
      </w:pPr>
    </w:p>
    <w:p w14:paraId="6B428551" w14:textId="77777777" w:rsidR="00BC0E7E" w:rsidRPr="00BC0E7E" w:rsidRDefault="00BC0E7E" w:rsidP="00BC0E7E">
      <w:pPr>
        <w:rPr>
          <w:szCs w:val="20"/>
        </w:rPr>
      </w:pPr>
    </w:p>
    <w:p w14:paraId="72017719" w14:textId="77777777" w:rsidR="00BC0E7E" w:rsidRPr="00BC0E7E" w:rsidRDefault="00BC0E7E" w:rsidP="000A2CA3">
      <w:pPr>
        <w:pStyle w:val="BMCENTRED"/>
      </w:pPr>
    </w:p>
    <w:p w14:paraId="3D42F1E5" w14:textId="77777777" w:rsidR="00BC0E7E" w:rsidRPr="00BC0E7E" w:rsidRDefault="00944B8F" w:rsidP="000A2CA3">
      <w:pPr>
        <w:pStyle w:val="BMCENTRED"/>
      </w:pPr>
      <w:r w:rsidRPr="00BC0E7E">
        <w:t>A. LABELLING</w:t>
      </w:r>
    </w:p>
    <w:p w14:paraId="4C46A2C0" w14:textId="77777777" w:rsidR="00BC0E7E" w:rsidRPr="00BC0E7E" w:rsidRDefault="00BC0E7E" w:rsidP="00BC0E7E">
      <w:pPr>
        <w:tabs>
          <w:tab w:val="left" w:pos="720"/>
        </w:tabs>
      </w:pPr>
    </w:p>
    <w:p w14:paraId="4CDE814E" w14:textId="77777777" w:rsidR="007E1F7C" w:rsidRDefault="00944B8F" w:rsidP="007E1F7C">
      <w:pPr>
        <w:pStyle w:val="EMEAHeadingBoxedTitle"/>
        <w:tabs>
          <w:tab w:val="clear" w:pos="562"/>
          <w:tab w:val="left" w:pos="720"/>
        </w:tabs>
        <w:ind w:left="0" w:firstLine="0"/>
        <w:rPr>
          <w:rFonts w:ascii="Times New Roman" w:hAnsi="Times New Roman"/>
          <w:b/>
          <w:bCs/>
        </w:rPr>
      </w:pPr>
      <w:r w:rsidRPr="00BC0E7E">
        <w:rPr>
          <w:caps w:val="0"/>
        </w:rPr>
        <w:br w:type="page"/>
      </w:r>
      <w:r>
        <w:rPr>
          <w:rFonts w:ascii="Times New Roman" w:hAnsi="Times New Roman"/>
          <w:b/>
          <w:bCs/>
        </w:rPr>
        <w:lastRenderedPageBreak/>
        <w:t xml:space="preserve">PARTICULARS TO APPEAR ON THE OUTER PACKAGING </w:t>
      </w:r>
    </w:p>
    <w:p w14:paraId="0F137A36" w14:textId="77777777" w:rsidR="007E1F7C" w:rsidRDefault="007E1F7C" w:rsidP="007E1F7C">
      <w:pPr>
        <w:pBdr>
          <w:top w:val="single" w:sz="4" w:space="1" w:color="auto"/>
          <w:left w:val="single" w:sz="4" w:space="4" w:color="auto"/>
          <w:bottom w:val="single" w:sz="4" w:space="1" w:color="auto"/>
          <w:right w:val="single" w:sz="4" w:space="4" w:color="auto"/>
        </w:pBdr>
        <w:tabs>
          <w:tab w:val="clear" w:pos="562"/>
          <w:tab w:val="left" w:pos="720"/>
        </w:tabs>
        <w:rPr>
          <w:b/>
          <w:bCs/>
        </w:rPr>
      </w:pPr>
    </w:p>
    <w:p w14:paraId="79441A2B" w14:textId="77777777" w:rsidR="007E1F7C" w:rsidRDefault="00944B8F" w:rsidP="007E1F7C">
      <w:pPr>
        <w:pBdr>
          <w:top w:val="single" w:sz="4" w:space="1" w:color="auto"/>
          <w:left w:val="single" w:sz="4" w:space="4" w:color="auto"/>
          <w:bottom w:val="single" w:sz="4" w:space="1" w:color="auto"/>
          <w:right w:val="single" w:sz="4" w:space="4" w:color="auto"/>
        </w:pBdr>
        <w:ind w:left="540" w:hanging="540"/>
        <w:rPr>
          <w:b/>
          <w:bCs/>
        </w:rPr>
      </w:pPr>
      <w:r>
        <w:rPr>
          <w:b/>
          <w:bCs/>
        </w:rPr>
        <w:t>OUTER CARTON</w:t>
      </w:r>
    </w:p>
    <w:p w14:paraId="44ACD86F" w14:textId="77777777" w:rsidR="007E1F7C" w:rsidRDefault="007E1F7C" w:rsidP="007E1F7C">
      <w:pPr>
        <w:ind w:left="540" w:hanging="540"/>
        <w:rPr>
          <w:b/>
        </w:rPr>
      </w:pPr>
    </w:p>
    <w:p w14:paraId="35F7FB0F" w14:textId="77777777" w:rsidR="007E1F7C" w:rsidRDefault="007E1F7C" w:rsidP="007E1F7C">
      <w:pPr>
        <w:ind w:left="540" w:hanging="540"/>
        <w:rPr>
          <w:b/>
        </w:rPr>
      </w:pPr>
    </w:p>
    <w:p w14:paraId="05673509" w14:textId="77777777" w:rsidR="007E1F7C" w:rsidRDefault="00944B8F" w:rsidP="007E1F7C">
      <w:pPr>
        <w:pStyle w:val="EMEAHeadingBoxed1"/>
        <w:spacing w:beforeLines="0" w:afterLines="0" w:after="0"/>
        <w:rPr>
          <w:rFonts w:ascii="Times New Roman" w:hAnsi="Times New Roman"/>
        </w:rPr>
      </w:pPr>
      <w:r>
        <w:rPr>
          <w:rFonts w:ascii="Times New Roman" w:hAnsi="Times New Roman"/>
        </w:rPr>
        <w:t>1.</w:t>
      </w:r>
      <w:r>
        <w:rPr>
          <w:rFonts w:ascii="Times New Roman" w:hAnsi="Times New Roman"/>
        </w:rPr>
        <w:tab/>
        <w:t>NAME OF THE MEDICINAL PRODUCT</w:t>
      </w:r>
    </w:p>
    <w:p w14:paraId="636A51CA" w14:textId="77777777" w:rsidR="007E1F7C" w:rsidRDefault="007E1F7C" w:rsidP="007E1F7C">
      <w:pPr>
        <w:ind w:left="540" w:hanging="540"/>
        <w:rPr>
          <w:szCs w:val="22"/>
        </w:rPr>
      </w:pPr>
    </w:p>
    <w:p w14:paraId="00D0A314" w14:textId="77777777" w:rsidR="007E1F7C" w:rsidRDefault="00944B8F" w:rsidP="007E1F7C">
      <w:pPr>
        <w:ind w:left="540" w:hanging="540"/>
        <w:rPr>
          <w:szCs w:val="22"/>
        </w:rPr>
      </w:pPr>
      <w:r>
        <w:rPr>
          <w:szCs w:val="22"/>
        </w:rPr>
        <w:t>Humira 20 mg solution for injection in pre-filled syringe</w:t>
      </w:r>
    </w:p>
    <w:p w14:paraId="5F0CF0EF" w14:textId="77777777" w:rsidR="007E1F7C" w:rsidRDefault="00944B8F" w:rsidP="007E1F7C">
      <w:pPr>
        <w:pStyle w:val="EndnoteText"/>
        <w:tabs>
          <w:tab w:val="clear" w:pos="562"/>
          <w:tab w:val="left" w:pos="720"/>
        </w:tabs>
        <w:ind w:left="540" w:hanging="540"/>
        <w:rPr>
          <w:sz w:val="22"/>
          <w:szCs w:val="22"/>
        </w:rPr>
      </w:pPr>
      <w:r>
        <w:rPr>
          <w:sz w:val="22"/>
          <w:szCs w:val="22"/>
        </w:rPr>
        <w:t>adalimumab</w:t>
      </w:r>
    </w:p>
    <w:p w14:paraId="0E83E349" w14:textId="77777777" w:rsidR="007E1F7C" w:rsidRDefault="007E1F7C" w:rsidP="007E1F7C"/>
    <w:p w14:paraId="74B31A05" w14:textId="77777777" w:rsidR="007E1F7C" w:rsidRDefault="007E1F7C" w:rsidP="007E1F7C"/>
    <w:p w14:paraId="15FA1BFE" w14:textId="77777777" w:rsidR="007E1F7C" w:rsidRDefault="00944B8F" w:rsidP="007E1F7C">
      <w:pPr>
        <w:pStyle w:val="EMEAHeadingBoxed"/>
        <w:spacing w:beforeLines="0" w:afterLines="0"/>
        <w:rPr>
          <w:rFonts w:ascii="Times New Roman" w:hAnsi="Times New Roman"/>
          <w:lang w:val="en-GB"/>
        </w:rPr>
      </w:pPr>
      <w:r>
        <w:rPr>
          <w:rFonts w:ascii="Times New Roman" w:hAnsi="Times New Roman"/>
          <w:lang w:val="en-GB"/>
        </w:rPr>
        <w:t>2.</w:t>
      </w:r>
      <w:r>
        <w:rPr>
          <w:rFonts w:ascii="Times New Roman" w:hAnsi="Times New Roman"/>
          <w:lang w:val="en-GB"/>
        </w:rPr>
        <w:tab/>
        <w:t>STATEMENT OF ACTIVE SUBSTANCE</w:t>
      </w:r>
    </w:p>
    <w:p w14:paraId="3710A196" w14:textId="77777777" w:rsidR="007E1F7C" w:rsidRDefault="007E1F7C" w:rsidP="007E1F7C">
      <w:pPr>
        <w:ind w:left="540" w:hanging="540"/>
      </w:pPr>
    </w:p>
    <w:p w14:paraId="1413C7D1" w14:textId="77777777" w:rsidR="007E1F7C" w:rsidRDefault="00944B8F" w:rsidP="007E1F7C">
      <w:pPr>
        <w:ind w:left="540" w:hanging="540"/>
      </w:pPr>
      <w:r>
        <w:t>One 0.2 ml pre-filled sy</w:t>
      </w:r>
      <w:r w:rsidR="007746CB">
        <w:t>ringe contains 20 mg adalimumab.</w:t>
      </w:r>
    </w:p>
    <w:p w14:paraId="55E56BF9" w14:textId="77777777" w:rsidR="007E1F7C" w:rsidRDefault="007E1F7C" w:rsidP="007E1F7C">
      <w:pPr>
        <w:ind w:left="540" w:hanging="540"/>
      </w:pPr>
    </w:p>
    <w:p w14:paraId="5D6C217F" w14:textId="77777777" w:rsidR="007E1F7C" w:rsidRDefault="007E1F7C" w:rsidP="007E1F7C">
      <w:pPr>
        <w:ind w:left="540" w:hanging="540"/>
      </w:pPr>
    </w:p>
    <w:p w14:paraId="184DF083" w14:textId="77777777" w:rsidR="007E1F7C" w:rsidRDefault="00944B8F" w:rsidP="007E1F7C">
      <w:pPr>
        <w:pStyle w:val="EMEAHeadingBoxed"/>
        <w:spacing w:beforeLines="0" w:afterLines="0"/>
        <w:rPr>
          <w:rFonts w:ascii="Times New Roman" w:hAnsi="Times New Roman"/>
          <w:lang w:val="en-GB"/>
        </w:rPr>
      </w:pPr>
      <w:r>
        <w:rPr>
          <w:rFonts w:ascii="Times New Roman" w:hAnsi="Times New Roman"/>
          <w:lang w:val="en-GB"/>
        </w:rPr>
        <w:t>3.</w:t>
      </w:r>
      <w:r>
        <w:rPr>
          <w:rFonts w:ascii="Times New Roman" w:hAnsi="Times New Roman"/>
          <w:lang w:val="en-GB"/>
        </w:rPr>
        <w:tab/>
        <w:t>LIST OF EXCIPIENTS</w:t>
      </w:r>
    </w:p>
    <w:p w14:paraId="0110903C" w14:textId="77777777" w:rsidR="007E1F7C" w:rsidRDefault="007E1F7C" w:rsidP="007E1F7C"/>
    <w:p w14:paraId="7379FB93" w14:textId="77777777" w:rsidR="007E1F7C" w:rsidRDefault="00944B8F" w:rsidP="007E1F7C">
      <w:r>
        <w:t>Excipients: mannitol, polysorbate 80, and water for injections. See leaflet for further information.</w:t>
      </w:r>
    </w:p>
    <w:p w14:paraId="29B535EF" w14:textId="77777777" w:rsidR="007E1F7C" w:rsidRDefault="007E1F7C" w:rsidP="007E1F7C"/>
    <w:p w14:paraId="27E2D6AF" w14:textId="77777777" w:rsidR="007E1F7C" w:rsidRDefault="007E1F7C" w:rsidP="007E1F7C"/>
    <w:p w14:paraId="4452CEA4" w14:textId="77777777" w:rsidR="007E1F7C" w:rsidRDefault="00944B8F" w:rsidP="007E1F7C">
      <w:pPr>
        <w:pStyle w:val="EMEAHeadingBoxed"/>
        <w:spacing w:beforeLines="0" w:afterLines="0"/>
        <w:rPr>
          <w:rFonts w:ascii="Times New Roman" w:hAnsi="Times New Roman"/>
          <w:lang w:val="en-GB"/>
        </w:rPr>
      </w:pPr>
      <w:r>
        <w:rPr>
          <w:rFonts w:ascii="Times New Roman" w:hAnsi="Times New Roman"/>
          <w:lang w:val="en-GB"/>
        </w:rPr>
        <w:t>4.</w:t>
      </w:r>
      <w:r>
        <w:rPr>
          <w:rFonts w:ascii="Times New Roman" w:hAnsi="Times New Roman"/>
          <w:lang w:val="en-GB"/>
        </w:rPr>
        <w:tab/>
        <w:t>PHARMACEUTICAL FORM AND CONTENTS</w:t>
      </w:r>
    </w:p>
    <w:p w14:paraId="37CE45F7" w14:textId="77777777" w:rsidR="007E1F7C" w:rsidRDefault="007E1F7C" w:rsidP="007E1F7C">
      <w:pPr>
        <w:pStyle w:val="EndnoteText"/>
        <w:tabs>
          <w:tab w:val="clear" w:pos="562"/>
          <w:tab w:val="left" w:pos="720"/>
        </w:tabs>
        <w:ind w:left="540" w:hanging="540"/>
        <w:rPr>
          <w:sz w:val="22"/>
          <w:szCs w:val="22"/>
        </w:rPr>
      </w:pPr>
    </w:p>
    <w:p w14:paraId="7F5EED24" w14:textId="77777777" w:rsidR="007E1F7C" w:rsidRDefault="00944B8F" w:rsidP="007E1F7C">
      <w:pPr>
        <w:pStyle w:val="EndnoteText"/>
        <w:tabs>
          <w:tab w:val="clear" w:pos="562"/>
          <w:tab w:val="left" w:pos="720"/>
        </w:tabs>
        <w:ind w:left="540" w:hanging="540"/>
        <w:rPr>
          <w:sz w:val="22"/>
          <w:szCs w:val="22"/>
        </w:rPr>
      </w:pPr>
      <w:r w:rsidRPr="004D55D1">
        <w:rPr>
          <w:sz w:val="22"/>
          <w:szCs w:val="22"/>
          <w:highlight w:val="lightGray"/>
        </w:rPr>
        <w:t>Solution for injection</w:t>
      </w:r>
    </w:p>
    <w:p w14:paraId="77BC8B2A" w14:textId="77777777" w:rsidR="007E1F7C" w:rsidRDefault="00944B8F" w:rsidP="007E1F7C">
      <w:pPr>
        <w:pStyle w:val="EndnoteText"/>
        <w:tabs>
          <w:tab w:val="clear" w:pos="562"/>
          <w:tab w:val="left" w:pos="720"/>
        </w:tabs>
        <w:ind w:left="540" w:hanging="540"/>
        <w:rPr>
          <w:sz w:val="22"/>
          <w:szCs w:val="22"/>
        </w:rPr>
      </w:pPr>
      <w:r>
        <w:rPr>
          <w:sz w:val="22"/>
          <w:szCs w:val="22"/>
        </w:rPr>
        <w:t>2 pre-filled syringes</w:t>
      </w:r>
    </w:p>
    <w:p w14:paraId="1733CBA9" w14:textId="77777777" w:rsidR="007E1F7C" w:rsidRDefault="00944B8F" w:rsidP="007E1F7C">
      <w:pPr>
        <w:ind w:left="540" w:hanging="540"/>
        <w:rPr>
          <w:szCs w:val="22"/>
        </w:rPr>
      </w:pPr>
      <w:r>
        <w:rPr>
          <w:szCs w:val="22"/>
        </w:rPr>
        <w:t xml:space="preserve">2 alcohol pads </w:t>
      </w:r>
    </w:p>
    <w:p w14:paraId="3918E08C" w14:textId="77777777" w:rsidR="007E1F7C" w:rsidRDefault="007E1F7C" w:rsidP="007E1F7C">
      <w:pPr>
        <w:ind w:left="540" w:hanging="540"/>
        <w:rPr>
          <w:szCs w:val="22"/>
        </w:rPr>
      </w:pPr>
    </w:p>
    <w:p w14:paraId="0A6B1FA6" w14:textId="77777777" w:rsidR="007E1F7C" w:rsidRDefault="007E1F7C" w:rsidP="007E1F7C">
      <w:pPr>
        <w:ind w:left="540" w:hanging="540"/>
        <w:rPr>
          <w:szCs w:val="22"/>
        </w:rPr>
      </w:pPr>
    </w:p>
    <w:p w14:paraId="4AA9CD0A" w14:textId="77777777" w:rsidR="007E1F7C" w:rsidRDefault="00944B8F" w:rsidP="007E1F7C">
      <w:pPr>
        <w:pStyle w:val="EMEAHeadingBoxed"/>
        <w:spacing w:beforeLines="0" w:afterLines="0"/>
        <w:rPr>
          <w:rFonts w:ascii="Times New Roman" w:hAnsi="Times New Roman"/>
          <w:lang w:val="en-GB"/>
        </w:rPr>
      </w:pPr>
      <w:r>
        <w:rPr>
          <w:rFonts w:ascii="Times New Roman" w:hAnsi="Times New Roman"/>
          <w:lang w:val="en-GB"/>
        </w:rPr>
        <w:t>5.</w:t>
      </w:r>
      <w:r>
        <w:rPr>
          <w:rFonts w:ascii="Times New Roman" w:hAnsi="Times New Roman"/>
          <w:lang w:val="en-GB"/>
        </w:rPr>
        <w:tab/>
        <w:t>METHOD AND ROUTE OF ADMINISTRATION</w:t>
      </w:r>
    </w:p>
    <w:p w14:paraId="6F2BD923" w14:textId="77777777" w:rsidR="007E1F7C" w:rsidRDefault="007E1F7C" w:rsidP="007E1F7C">
      <w:pPr>
        <w:ind w:left="540" w:hanging="540"/>
      </w:pPr>
    </w:p>
    <w:p w14:paraId="00361220" w14:textId="77777777" w:rsidR="007E1F7C" w:rsidRDefault="00944B8F" w:rsidP="007E1F7C">
      <w:pPr>
        <w:ind w:left="540" w:hanging="540"/>
      </w:pPr>
      <w:r>
        <w:t>Subcutaneous use</w:t>
      </w:r>
    </w:p>
    <w:p w14:paraId="3561F339" w14:textId="77777777" w:rsidR="007E1F7C" w:rsidRDefault="007E1F7C" w:rsidP="007E1F7C">
      <w:pPr>
        <w:ind w:left="540" w:hanging="540"/>
      </w:pPr>
    </w:p>
    <w:p w14:paraId="09BCA1E3" w14:textId="77777777" w:rsidR="007E1F7C" w:rsidRDefault="00944B8F" w:rsidP="007E1F7C">
      <w:pPr>
        <w:ind w:left="540" w:hanging="540"/>
      </w:pPr>
      <w:r>
        <w:t>Read the package leaflet before use.</w:t>
      </w:r>
    </w:p>
    <w:p w14:paraId="249B2A9A" w14:textId="77777777" w:rsidR="007E1F7C" w:rsidRDefault="007E1F7C" w:rsidP="007E1F7C">
      <w:pPr>
        <w:ind w:left="540" w:hanging="540"/>
      </w:pPr>
    </w:p>
    <w:p w14:paraId="6FBE2511" w14:textId="77777777" w:rsidR="007E1F7C" w:rsidRDefault="00944B8F" w:rsidP="007E1F7C">
      <w:pPr>
        <w:ind w:left="540" w:hanging="540"/>
      </w:pPr>
      <w:r w:rsidRPr="002A3533">
        <w:t>For single use only</w:t>
      </w:r>
      <w:r w:rsidR="00F73477">
        <w:t>.</w:t>
      </w:r>
    </w:p>
    <w:p w14:paraId="6CA0F62F" w14:textId="77777777" w:rsidR="007E1F7C" w:rsidRDefault="007E1F7C" w:rsidP="007E1F7C">
      <w:pPr>
        <w:ind w:left="540" w:hanging="540"/>
      </w:pPr>
    </w:p>
    <w:p w14:paraId="76115066" w14:textId="77777777" w:rsidR="007E1F7C" w:rsidRDefault="00944B8F" w:rsidP="007E1F7C">
      <w:pPr>
        <w:ind w:left="540" w:hanging="540"/>
      </w:pPr>
      <w:r>
        <w:rPr>
          <w:szCs w:val="22"/>
        </w:rPr>
        <w:t>For paediatric use</w:t>
      </w:r>
    </w:p>
    <w:p w14:paraId="1146457B" w14:textId="77777777" w:rsidR="007E1F7C" w:rsidRDefault="007E1F7C" w:rsidP="007E1F7C">
      <w:pPr>
        <w:ind w:left="540" w:hanging="540"/>
      </w:pPr>
    </w:p>
    <w:p w14:paraId="4FE42CDD" w14:textId="77777777" w:rsidR="007E1F7C" w:rsidRDefault="007E1F7C" w:rsidP="007E1F7C">
      <w:pPr>
        <w:ind w:left="540" w:hanging="540"/>
      </w:pPr>
    </w:p>
    <w:p w14:paraId="7F9A086D" w14:textId="77777777" w:rsidR="007E1F7C" w:rsidRDefault="00944B8F" w:rsidP="007E1F7C">
      <w:pPr>
        <w:pStyle w:val="EMEAHeadingBoxed"/>
        <w:tabs>
          <w:tab w:val="clear" w:pos="562"/>
          <w:tab w:val="left" w:pos="540"/>
        </w:tabs>
        <w:spacing w:beforeLines="0" w:afterLines="0"/>
        <w:ind w:left="540" w:hanging="550"/>
        <w:rPr>
          <w:rFonts w:ascii="Times New Roman" w:hAnsi="Times New Roman"/>
          <w:lang w:val="en-GB"/>
        </w:rPr>
      </w:pPr>
      <w:r>
        <w:rPr>
          <w:rFonts w:ascii="Times New Roman" w:hAnsi="Times New Roman"/>
          <w:lang w:val="en-GB"/>
        </w:rPr>
        <w:t>6.</w:t>
      </w:r>
      <w:r>
        <w:rPr>
          <w:rFonts w:ascii="Times New Roman" w:hAnsi="Times New Roman"/>
          <w:lang w:val="en-GB"/>
        </w:rPr>
        <w:tab/>
        <w:t>SPECIAL WARNING THAT THE MEDICINAL PRODUCT MUST BE STORED OUT OF THE SIGHT AND REACH OF CHILDREN</w:t>
      </w:r>
    </w:p>
    <w:p w14:paraId="53423E40" w14:textId="77777777" w:rsidR="007E1F7C" w:rsidRDefault="007E1F7C" w:rsidP="007E1F7C">
      <w:pPr>
        <w:ind w:left="540" w:hanging="540"/>
      </w:pPr>
    </w:p>
    <w:p w14:paraId="2F5AF272" w14:textId="77777777" w:rsidR="007E1F7C" w:rsidRDefault="00944B8F" w:rsidP="007E1F7C">
      <w:pPr>
        <w:ind w:left="540" w:hanging="540"/>
      </w:pPr>
      <w:r>
        <w:t>Keep out of the sight and reach of children.</w:t>
      </w:r>
    </w:p>
    <w:p w14:paraId="4F13C70B" w14:textId="77777777" w:rsidR="007E1F7C" w:rsidRDefault="007E1F7C" w:rsidP="007E1F7C">
      <w:pPr>
        <w:ind w:left="540" w:hanging="540"/>
      </w:pPr>
    </w:p>
    <w:p w14:paraId="44C7E3B6" w14:textId="77777777" w:rsidR="007E1F7C" w:rsidRDefault="007E1F7C" w:rsidP="007E1F7C">
      <w:pPr>
        <w:ind w:left="540" w:hanging="540"/>
      </w:pPr>
    </w:p>
    <w:p w14:paraId="43779A7A" w14:textId="77777777" w:rsidR="007E1F7C" w:rsidRDefault="00944B8F" w:rsidP="007E1F7C">
      <w:pPr>
        <w:pStyle w:val="EMEAHeadingBoxedEmpty"/>
        <w:spacing w:beforeLines="0"/>
        <w:rPr>
          <w:rFonts w:ascii="Times New Roman" w:hAnsi="Times New Roman"/>
          <w:lang w:val="en-GB"/>
        </w:rPr>
      </w:pPr>
      <w:r>
        <w:rPr>
          <w:rFonts w:ascii="Times New Roman" w:hAnsi="Times New Roman"/>
          <w:lang w:val="en-GB"/>
        </w:rPr>
        <w:t>7.</w:t>
      </w:r>
      <w:r>
        <w:rPr>
          <w:rFonts w:ascii="Times New Roman" w:hAnsi="Times New Roman"/>
          <w:lang w:val="en-GB"/>
        </w:rPr>
        <w:tab/>
        <w:t>OTHER SPECIAL WARNING, IF NECESSARY</w:t>
      </w:r>
    </w:p>
    <w:p w14:paraId="5E6E2099" w14:textId="77777777" w:rsidR="007E1F7C" w:rsidRDefault="007E1F7C" w:rsidP="007E1F7C">
      <w:pPr>
        <w:ind w:left="540" w:hanging="540"/>
      </w:pPr>
    </w:p>
    <w:p w14:paraId="41E56519" w14:textId="77777777" w:rsidR="007E1F7C" w:rsidRDefault="007E1F7C" w:rsidP="007E1F7C">
      <w:pPr>
        <w:ind w:left="540" w:hanging="540"/>
      </w:pPr>
    </w:p>
    <w:p w14:paraId="18644FEB" w14:textId="77777777" w:rsidR="007E1F7C" w:rsidRDefault="00944B8F" w:rsidP="007E1F7C">
      <w:pPr>
        <w:pStyle w:val="EMEAHeadingBoxed1"/>
        <w:spacing w:beforeLines="0" w:afterLines="0" w:after="0"/>
        <w:rPr>
          <w:rFonts w:ascii="Times New Roman" w:hAnsi="Times New Roman"/>
        </w:rPr>
      </w:pPr>
      <w:r>
        <w:rPr>
          <w:rFonts w:ascii="Times New Roman" w:hAnsi="Times New Roman"/>
        </w:rPr>
        <w:t>8.</w:t>
      </w:r>
      <w:r>
        <w:rPr>
          <w:rFonts w:ascii="Times New Roman" w:hAnsi="Times New Roman"/>
        </w:rPr>
        <w:tab/>
        <w:t>EXPIRY DATE</w:t>
      </w:r>
    </w:p>
    <w:p w14:paraId="5B5AAA0F" w14:textId="77777777" w:rsidR="007E1F7C" w:rsidRDefault="007E1F7C" w:rsidP="007E1F7C">
      <w:pPr>
        <w:ind w:left="540" w:hanging="540"/>
      </w:pPr>
    </w:p>
    <w:p w14:paraId="403AEA6D" w14:textId="77777777" w:rsidR="007E1F7C" w:rsidRDefault="00944B8F" w:rsidP="007E1F7C">
      <w:pPr>
        <w:ind w:left="540" w:hanging="540"/>
      </w:pPr>
      <w:r>
        <w:t>EXP</w:t>
      </w:r>
    </w:p>
    <w:p w14:paraId="2F401D6F" w14:textId="77777777" w:rsidR="007E1F7C" w:rsidRDefault="007E1F7C" w:rsidP="007E1F7C">
      <w:pPr>
        <w:ind w:left="540" w:hanging="540"/>
      </w:pPr>
    </w:p>
    <w:p w14:paraId="49B5E9E4" w14:textId="77777777" w:rsidR="007E1F7C" w:rsidRDefault="007E1F7C" w:rsidP="007E1F7C">
      <w:pPr>
        <w:ind w:left="540" w:hanging="540"/>
      </w:pPr>
    </w:p>
    <w:p w14:paraId="62DA9D01" w14:textId="77777777" w:rsidR="007E1F7C" w:rsidRDefault="00944B8F" w:rsidP="007E1F7C">
      <w:pPr>
        <w:pStyle w:val="EMEAHeadingBoxed"/>
        <w:keepNext/>
        <w:spacing w:beforeLines="0" w:afterLines="0"/>
        <w:rPr>
          <w:rFonts w:ascii="Times New Roman" w:hAnsi="Times New Roman"/>
          <w:lang w:val="en-GB"/>
        </w:rPr>
      </w:pPr>
      <w:r>
        <w:rPr>
          <w:rFonts w:ascii="Times New Roman" w:hAnsi="Times New Roman"/>
          <w:lang w:val="en-GB"/>
        </w:rPr>
        <w:t>9.</w:t>
      </w:r>
      <w:r>
        <w:rPr>
          <w:rFonts w:ascii="Times New Roman" w:hAnsi="Times New Roman"/>
          <w:lang w:val="en-GB"/>
        </w:rPr>
        <w:tab/>
        <w:t>SPECIAL STORAGE CONDITIONS</w:t>
      </w:r>
    </w:p>
    <w:p w14:paraId="77C60CA5" w14:textId="77777777" w:rsidR="007E1F7C" w:rsidRDefault="007E1F7C" w:rsidP="007E1F7C">
      <w:pPr>
        <w:keepNext/>
        <w:ind w:left="540" w:hanging="540"/>
      </w:pPr>
    </w:p>
    <w:p w14:paraId="03E01B9E" w14:textId="77777777" w:rsidR="007E1F7C" w:rsidRDefault="00944B8F" w:rsidP="007E1F7C">
      <w:pPr>
        <w:keepNext/>
        <w:ind w:left="540" w:hanging="540"/>
      </w:pPr>
      <w:r>
        <w:t xml:space="preserve">Store in a refrigerator. Do not freeze. </w:t>
      </w:r>
    </w:p>
    <w:p w14:paraId="479031AC" w14:textId="77777777" w:rsidR="007E1F7C" w:rsidRDefault="00944B8F" w:rsidP="007E1F7C">
      <w:pPr>
        <w:keepNext/>
      </w:pPr>
      <w:r>
        <w:rPr>
          <w:rFonts w:eastAsia="MS Mincho"/>
        </w:rPr>
        <w:t>Refer to package leaflet for alternative storage details.</w:t>
      </w:r>
    </w:p>
    <w:p w14:paraId="01CE72F2" w14:textId="77777777" w:rsidR="007E1F7C" w:rsidRDefault="007E1F7C" w:rsidP="007E1F7C">
      <w:pPr>
        <w:keepNext/>
        <w:ind w:left="540" w:hanging="540"/>
      </w:pPr>
    </w:p>
    <w:p w14:paraId="681C711F" w14:textId="77777777" w:rsidR="007E1F7C" w:rsidRDefault="00944B8F" w:rsidP="007E1F7C">
      <w:pPr>
        <w:keepNext/>
        <w:ind w:left="540" w:hanging="540"/>
      </w:pPr>
      <w:r>
        <w:t>Keep the syringe in the outer carton in order to protect from light.</w:t>
      </w:r>
    </w:p>
    <w:p w14:paraId="262CAFD9" w14:textId="77777777" w:rsidR="007E1F7C" w:rsidRDefault="007E1F7C" w:rsidP="007E1F7C">
      <w:pPr>
        <w:keepNext/>
        <w:ind w:left="540" w:hanging="540"/>
      </w:pPr>
    </w:p>
    <w:p w14:paraId="1B62CC6F" w14:textId="77777777" w:rsidR="007E1F7C" w:rsidRDefault="007E1F7C" w:rsidP="007E1F7C">
      <w:pPr>
        <w:keepNext/>
        <w:ind w:left="540" w:hanging="540"/>
      </w:pPr>
    </w:p>
    <w:p w14:paraId="3849856F" w14:textId="77777777" w:rsidR="007E1F7C" w:rsidRDefault="00944B8F" w:rsidP="007E1F7C">
      <w:pPr>
        <w:pStyle w:val="EMEAHeadingBoxedEmpty"/>
        <w:spacing w:beforeLines="0"/>
        <w:rPr>
          <w:rFonts w:ascii="Times New Roman" w:hAnsi="Times New Roman"/>
          <w:lang w:val="en-GB"/>
        </w:rPr>
      </w:pPr>
      <w:r>
        <w:rPr>
          <w:rFonts w:ascii="Times New Roman" w:hAnsi="Times New Roman"/>
          <w:lang w:val="en-GB"/>
        </w:rPr>
        <w:t>10.</w:t>
      </w:r>
      <w:r>
        <w:rPr>
          <w:rFonts w:ascii="Times New Roman" w:hAnsi="Times New Roman"/>
          <w:lang w:val="en-GB"/>
        </w:rPr>
        <w:tab/>
        <w:t>SPECIAL PRECAUTIONS FOR DISPOSAL OF UNUSED MEDICINAL PRODUCTS OR WASTE MATERIALS DERIVED FROM SUCH MEDICINAL PRODUCTS, IF APPROPRIATE</w:t>
      </w:r>
    </w:p>
    <w:p w14:paraId="7790B542" w14:textId="77777777" w:rsidR="007E1F7C" w:rsidRDefault="007E1F7C" w:rsidP="007E1F7C">
      <w:pPr>
        <w:ind w:left="540" w:hanging="540"/>
      </w:pPr>
    </w:p>
    <w:p w14:paraId="05869F30" w14:textId="77777777" w:rsidR="007E1F7C" w:rsidRDefault="007E1F7C" w:rsidP="007E1F7C">
      <w:pPr>
        <w:ind w:left="540" w:hanging="540"/>
      </w:pPr>
    </w:p>
    <w:p w14:paraId="1895B1CE" w14:textId="77777777" w:rsidR="007E1F7C" w:rsidRDefault="00944B8F" w:rsidP="007E1F7C">
      <w:pPr>
        <w:pStyle w:val="EMEAHeadingBoxed1"/>
        <w:spacing w:beforeLines="0" w:afterLines="0" w:after="0"/>
        <w:rPr>
          <w:rFonts w:ascii="Times New Roman" w:hAnsi="Times New Roman"/>
        </w:rPr>
      </w:pPr>
      <w:r>
        <w:rPr>
          <w:rFonts w:ascii="Times New Roman" w:hAnsi="Times New Roman"/>
        </w:rPr>
        <w:t>11.</w:t>
      </w:r>
      <w:r>
        <w:rPr>
          <w:rFonts w:ascii="Times New Roman" w:hAnsi="Times New Roman"/>
        </w:rPr>
        <w:tab/>
        <w:t>NAME AND ADDRESS OF THE MARKETING AUTHORISATION HOLDER</w:t>
      </w:r>
    </w:p>
    <w:p w14:paraId="41D2FC9C" w14:textId="77777777" w:rsidR="007E1F7C" w:rsidRDefault="007E1F7C" w:rsidP="007E1F7C">
      <w:pPr>
        <w:keepNext/>
        <w:tabs>
          <w:tab w:val="clear" w:pos="562"/>
          <w:tab w:val="left" w:pos="720"/>
        </w:tabs>
        <w:suppressAutoHyphens w:val="0"/>
        <w:autoSpaceDE w:val="0"/>
        <w:autoSpaceDN w:val="0"/>
        <w:adjustRightInd w:val="0"/>
        <w:spacing w:line="240" w:lineRule="atLeast"/>
        <w:rPr>
          <w:szCs w:val="22"/>
          <w:lang w:eastAsia="en-GB"/>
        </w:rPr>
      </w:pPr>
    </w:p>
    <w:p w14:paraId="5631BF2B"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AbbVie Deutschland GmbH &amp; Co. KG</w:t>
      </w:r>
    </w:p>
    <w:p w14:paraId="4D7FADEF"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Knollstrasse</w:t>
      </w:r>
    </w:p>
    <w:p w14:paraId="36409772"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67061 Ludwigshafen</w:t>
      </w:r>
    </w:p>
    <w:p w14:paraId="66FEC049" w14:textId="77777777" w:rsidR="006A01D2" w:rsidRDefault="00944B8F" w:rsidP="006A01D2">
      <w:pPr>
        <w:keepNext/>
        <w:tabs>
          <w:tab w:val="clear" w:pos="562"/>
          <w:tab w:val="left" w:pos="720"/>
        </w:tabs>
        <w:suppressAutoHyphens w:val="0"/>
        <w:autoSpaceDE w:val="0"/>
        <w:autoSpaceDN w:val="0"/>
        <w:adjustRightInd w:val="0"/>
        <w:spacing w:line="240" w:lineRule="atLeast"/>
        <w:rPr>
          <w:szCs w:val="22"/>
          <w:lang w:eastAsia="en-GB"/>
        </w:rPr>
      </w:pPr>
      <w:r w:rsidRPr="00EB4204">
        <w:rPr>
          <w:szCs w:val="22"/>
          <w:lang w:eastAsia="en-GB"/>
        </w:rPr>
        <w:t>Germany</w:t>
      </w:r>
      <w:r>
        <w:rPr>
          <w:szCs w:val="22"/>
          <w:lang w:eastAsia="en-GB"/>
        </w:rPr>
        <w:t xml:space="preserve"> </w:t>
      </w:r>
    </w:p>
    <w:p w14:paraId="5623A27C" w14:textId="77777777" w:rsidR="007E1F7C" w:rsidRDefault="007E1F7C" w:rsidP="007E1F7C">
      <w:pPr>
        <w:keepNext/>
        <w:tabs>
          <w:tab w:val="clear" w:pos="562"/>
          <w:tab w:val="left" w:pos="720"/>
        </w:tabs>
        <w:suppressAutoHyphens w:val="0"/>
        <w:autoSpaceDE w:val="0"/>
        <w:autoSpaceDN w:val="0"/>
        <w:adjustRightInd w:val="0"/>
        <w:spacing w:line="240" w:lineRule="atLeast"/>
        <w:rPr>
          <w:szCs w:val="22"/>
          <w:lang w:eastAsia="en-GB"/>
        </w:rPr>
      </w:pPr>
    </w:p>
    <w:p w14:paraId="301D5374" w14:textId="77777777" w:rsidR="007E1F7C" w:rsidRDefault="007E1F7C" w:rsidP="007E1F7C">
      <w:pPr>
        <w:keepNext/>
        <w:tabs>
          <w:tab w:val="clear" w:pos="562"/>
          <w:tab w:val="left" w:pos="720"/>
        </w:tabs>
        <w:suppressAutoHyphens w:val="0"/>
        <w:autoSpaceDE w:val="0"/>
        <w:autoSpaceDN w:val="0"/>
        <w:adjustRightInd w:val="0"/>
        <w:spacing w:line="240" w:lineRule="atLeast"/>
        <w:rPr>
          <w:szCs w:val="22"/>
          <w:lang w:eastAsia="en-GB"/>
        </w:rPr>
      </w:pPr>
    </w:p>
    <w:p w14:paraId="70174BE6" w14:textId="77777777" w:rsidR="007E1F7C" w:rsidRDefault="00944B8F" w:rsidP="007E1F7C">
      <w:pPr>
        <w:pStyle w:val="EMEAHeadingBoxed"/>
        <w:spacing w:beforeLines="0" w:afterLines="0"/>
        <w:rPr>
          <w:rFonts w:ascii="Times New Roman" w:hAnsi="Times New Roman"/>
          <w:lang w:val="en-GB"/>
        </w:rPr>
      </w:pPr>
      <w:r>
        <w:rPr>
          <w:rFonts w:ascii="Times New Roman" w:hAnsi="Times New Roman"/>
          <w:lang w:val="en-GB"/>
        </w:rPr>
        <w:t>12.</w:t>
      </w:r>
      <w:r>
        <w:rPr>
          <w:rFonts w:ascii="Times New Roman" w:hAnsi="Times New Roman"/>
          <w:lang w:val="en-GB"/>
        </w:rPr>
        <w:tab/>
        <w:t>MARKETING AUTHORISATION NUMBER</w:t>
      </w:r>
    </w:p>
    <w:p w14:paraId="48C7B0B0" w14:textId="77777777" w:rsidR="007E1F7C" w:rsidRDefault="007E1F7C" w:rsidP="007E1F7C">
      <w:pPr>
        <w:ind w:left="540" w:hanging="540"/>
      </w:pPr>
    </w:p>
    <w:p w14:paraId="2FD22CC6" w14:textId="77777777" w:rsidR="007E1F7C" w:rsidRDefault="00944B8F" w:rsidP="007E1F7C">
      <w:pPr>
        <w:ind w:left="540" w:hanging="540"/>
      </w:pPr>
      <w:r w:rsidRPr="00AE43B4">
        <w:t>EU/1/03/256/022</w:t>
      </w:r>
    </w:p>
    <w:p w14:paraId="2D0C83CB" w14:textId="77777777" w:rsidR="007E1F7C" w:rsidRDefault="007E1F7C" w:rsidP="007E1F7C">
      <w:pPr>
        <w:ind w:left="540" w:hanging="540"/>
      </w:pPr>
    </w:p>
    <w:p w14:paraId="5428D0BF" w14:textId="77777777" w:rsidR="00AE43B4" w:rsidRDefault="00AE43B4" w:rsidP="007E1F7C">
      <w:pPr>
        <w:ind w:left="540" w:hanging="540"/>
      </w:pPr>
    </w:p>
    <w:p w14:paraId="3CDD0C99" w14:textId="77777777" w:rsidR="007E1F7C" w:rsidRDefault="00944B8F" w:rsidP="007E1F7C">
      <w:pPr>
        <w:pStyle w:val="EMEAHeadingBoxed"/>
        <w:spacing w:beforeLines="0" w:afterLines="0"/>
        <w:rPr>
          <w:rFonts w:ascii="Times New Roman" w:hAnsi="Times New Roman"/>
          <w:lang w:val="en-GB"/>
        </w:rPr>
      </w:pPr>
      <w:r>
        <w:rPr>
          <w:rFonts w:ascii="Times New Roman" w:hAnsi="Times New Roman"/>
          <w:lang w:val="en-GB"/>
        </w:rPr>
        <w:t>13.</w:t>
      </w:r>
      <w:r>
        <w:rPr>
          <w:rFonts w:ascii="Times New Roman" w:hAnsi="Times New Roman"/>
          <w:lang w:val="en-GB"/>
        </w:rPr>
        <w:tab/>
        <w:t>BATCH NUMBER</w:t>
      </w:r>
    </w:p>
    <w:p w14:paraId="073921ED" w14:textId="77777777" w:rsidR="007E1F7C" w:rsidRDefault="007E1F7C" w:rsidP="007E1F7C">
      <w:pPr>
        <w:ind w:left="540" w:hanging="540"/>
      </w:pPr>
    </w:p>
    <w:p w14:paraId="35D73A7E" w14:textId="77777777" w:rsidR="007E1F7C" w:rsidRDefault="00944B8F" w:rsidP="007E1F7C">
      <w:pPr>
        <w:ind w:left="540" w:hanging="540"/>
      </w:pPr>
      <w:r>
        <w:t>Lot</w:t>
      </w:r>
    </w:p>
    <w:p w14:paraId="1CEBD2DC" w14:textId="77777777" w:rsidR="007E1F7C" w:rsidRDefault="007E1F7C" w:rsidP="007E1F7C">
      <w:pPr>
        <w:ind w:left="540" w:hanging="540"/>
      </w:pPr>
    </w:p>
    <w:p w14:paraId="1E0508A8" w14:textId="77777777" w:rsidR="007E1F7C" w:rsidRDefault="007E1F7C" w:rsidP="007E1F7C">
      <w:pPr>
        <w:ind w:left="540" w:hanging="540"/>
      </w:pPr>
    </w:p>
    <w:p w14:paraId="4229DA7D" w14:textId="77777777" w:rsidR="007E1F7C" w:rsidRDefault="00944B8F" w:rsidP="007E1F7C">
      <w:pPr>
        <w:pStyle w:val="EMEAHeadingBoxed"/>
        <w:spacing w:beforeLines="0" w:afterLines="0"/>
        <w:rPr>
          <w:rFonts w:ascii="Times New Roman" w:hAnsi="Times New Roman"/>
          <w:lang w:val="en-GB"/>
        </w:rPr>
      </w:pPr>
      <w:r>
        <w:rPr>
          <w:rFonts w:ascii="Times New Roman" w:hAnsi="Times New Roman"/>
          <w:lang w:val="en-GB"/>
        </w:rPr>
        <w:t>14.</w:t>
      </w:r>
      <w:r>
        <w:rPr>
          <w:rFonts w:ascii="Times New Roman" w:hAnsi="Times New Roman"/>
          <w:lang w:val="en-GB"/>
        </w:rPr>
        <w:tab/>
        <w:t>GENERAL CLASSIFICATION FOR SUPPLY</w:t>
      </w:r>
    </w:p>
    <w:p w14:paraId="5AAFD5DC" w14:textId="77777777" w:rsidR="007E1F7C" w:rsidRDefault="007E1F7C" w:rsidP="007E1F7C">
      <w:pPr>
        <w:ind w:left="540" w:hanging="540"/>
      </w:pPr>
    </w:p>
    <w:p w14:paraId="26AC3AB5" w14:textId="77777777" w:rsidR="007E1F7C" w:rsidRDefault="007E1F7C" w:rsidP="007E1F7C">
      <w:pPr>
        <w:ind w:left="540" w:hanging="540"/>
      </w:pPr>
    </w:p>
    <w:p w14:paraId="3854E6CE" w14:textId="77777777" w:rsidR="007E1F7C" w:rsidRDefault="00944B8F" w:rsidP="007E1F7C">
      <w:pPr>
        <w:pStyle w:val="EMEAHeadingBoxed"/>
        <w:spacing w:beforeLines="0" w:afterLines="0"/>
        <w:ind w:left="540" w:hanging="561"/>
        <w:rPr>
          <w:rFonts w:ascii="Times New Roman" w:hAnsi="Times New Roman"/>
          <w:lang w:val="en-GB"/>
        </w:rPr>
      </w:pPr>
      <w:r>
        <w:rPr>
          <w:rFonts w:ascii="Times New Roman" w:hAnsi="Times New Roman"/>
          <w:lang w:val="en-GB"/>
        </w:rPr>
        <w:t>15.</w:t>
      </w:r>
      <w:r>
        <w:rPr>
          <w:rFonts w:ascii="Times New Roman" w:hAnsi="Times New Roman"/>
          <w:lang w:val="en-GB"/>
        </w:rPr>
        <w:tab/>
        <w:t>INSTRUCTIONS ON USE</w:t>
      </w:r>
    </w:p>
    <w:p w14:paraId="2C273764" w14:textId="77777777" w:rsidR="007E1F7C" w:rsidRDefault="007E1F7C" w:rsidP="007E1F7C">
      <w:pPr>
        <w:pStyle w:val="EMEANormal"/>
        <w:rPr>
          <w:lang w:val="en-GB"/>
        </w:rPr>
      </w:pPr>
    </w:p>
    <w:p w14:paraId="7784C6E6" w14:textId="77777777" w:rsidR="007E1F7C" w:rsidRDefault="007E1F7C" w:rsidP="007E1F7C">
      <w:pPr>
        <w:pStyle w:val="EMEANormal"/>
        <w:rPr>
          <w:lang w:val="en-GB"/>
        </w:rPr>
      </w:pPr>
    </w:p>
    <w:p w14:paraId="3BCF6203" w14:textId="77777777" w:rsidR="007E1F7C" w:rsidRPr="00083C28" w:rsidRDefault="00944B8F" w:rsidP="007E1F7C">
      <w:pPr>
        <w:pStyle w:val="EMEAHeadingBoxedTitle"/>
        <w:ind w:left="0" w:firstLine="0"/>
        <w:rPr>
          <w:rFonts w:ascii="Times New Roman" w:hAnsi="Times New Roman"/>
          <w:b/>
          <w:bCs/>
        </w:rPr>
      </w:pPr>
      <w:r w:rsidRPr="00083C28">
        <w:rPr>
          <w:rFonts w:ascii="Times New Roman" w:hAnsi="Times New Roman"/>
          <w:b/>
          <w:bCs/>
        </w:rPr>
        <w:t>16.</w:t>
      </w:r>
      <w:r w:rsidRPr="00083C28">
        <w:rPr>
          <w:rFonts w:ascii="Times New Roman" w:hAnsi="Times New Roman"/>
          <w:b/>
          <w:bCs/>
        </w:rPr>
        <w:tab/>
        <w:t>Information in braille</w:t>
      </w:r>
    </w:p>
    <w:p w14:paraId="1DEFDBB1" w14:textId="77777777" w:rsidR="007E1F7C" w:rsidRPr="00083C28" w:rsidRDefault="007E1F7C" w:rsidP="007E1F7C">
      <w:pPr>
        <w:ind w:left="540" w:hanging="540"/>
      </w:pPr>
    </w:p>
    <w:p w14:paraId="15CBDD89" w14:textId="77777777" w:rsidR="007E1F7C" w:rsidRPr="00491143" w:rsidRDefault="00944B8F" w:rsidP="007E1F7C">
      <w:pPr>
        <w:ind w:left="540" w:hanging="540"/>
        <w:rPr>
          <w:lang w:val="es-ES"/>
        </w:rPr>
      </w:pPr>
      <w:r w:rsidRPr="00491143">
        <w:rPr>
          <w:lang w:val="es-ES"/>
        </w:rPr>
        <w:t>Humira 20</w:t>
      </w:r>
      <w:r w:rsidR="00AA6375" w:rsidRPr="00491143">
        <w:rPr>
          <w:lang w:val="es-ES"/>
        </w:rPr>
        <w:t> </w:t>
      </w:r>
      <w:r w:rsidRPr="00491143">
        <w:rPr>
          <w:lang w:val="es-ES"/>
        </w:rPr>
        <w:t>mg</w:t>
      </w:r>
    </w:p>
    <w:p w14:paraId="48FE8824" w14:textId="77777777" w:rsidR="007E1F7C" w:rsidRPr="00491143" w:rsidRDefault="007E1F7C" w:rsidP="007E1F7C">
      <w:pPr>
        <w:ind w:left="540" w:hanging="540"/>
        <w:rPr>
          <w:lang w:val="es-ES"/>
        </w:rPr>
      </w:pPr>
    </w:p>
    <w:p w14:paraId="67B9AFD5" w14:textId="77777777" w:rsidR="007E1F7C" w:rsidRPr="00491143" w:rsidRDefault="007E1F7C" w:rsidP="007E1F7C">
      <w:pPr>
        <w:ind w:left="540" w:hanging="540"/>
        <w:rPr>
          <w:lang w:val="es-ES"/>
        </w:rPr>
      </w:pPr>
    </w:p>
    <w:p w14:paraId="599B67A7" w14:textId="77777777" w:rsidR="007E1F7C" w:rsidRPr="00433FAD" w:rsidRDefault="00944B8F" w:rsidP="007E1F7C">
      <w:pPr>
        <w:pStyle w:val="EMEAHeadingBoxedTitle"/>
        <w:ind w:left="0" w:firstLine="0"/>
        <w:rPr>
          <w:rFonts w:ascii="Times New Roman" w:hAnsi="Times New Roman"/>
          <w:b/>
          <w:bCs/>
          <w:lang w:val="es-MX"/>
        </w:rPr>
      </w:pPr>
      <w:r w:rsidRPr="00491143">
        <w:rPr>
          <w:rFonts w:ascii="Times New Roman" w:hAnsi="Times New Roman"/>
          <w:b/>
          <w:bCs/>
          <w:lang w:val="es-ES"/>
        </w:rPr>
        <w:t xml:space="preserve">17. </w:t>
      </w:r>
      <w:r w:rsidRPr="00491143">
        <w:rPr>
          <w:rFonts w:ascii="Times New Roman" w:hAnsi="Times New Roman"/>
          <w:b/>
          <w:bCs/>
          <w:lang w:val="es-ES"/>
        </w:rPr>
        <w:tab/>
      </w:r>
      <w:r w:rsidRPr="00433FAD">
        <w:rPr>
          <w:rFonts w:ascii="Times New Roman" w:hAnsi="Times New Roman"/>
          <w:b/>
          <w:bCs/>
          <w:lang w:val="es-MX"/>
        </w:rPr>
        <w:t>UNIQUE INDENTIFIER – 2D BARCODE</w:t>
      </w:r>
    </w:p>
    <w:p w14:paraId="39E45360" w14:textId="77777777" w:rsidR="007E1F7C" w:rsidRPr="00433FAD" w:rsidRDefault="007E1F7C" w:rsidP="007E1F7C">
      <w:pPr>
        <w:rPr>
          <w:lang w:val="es-MX"/>
        </w:rPr>
      </w:pPr>
    </w:p>
    <w:p w14:paraId="075F5E53" w14:textId="77777777" w:rsidR="007E1F7C" w:rsidRDefault="00944B8F" w:rsidP="007E1F7C">
      <w:pPr>
        <w:rPr>
          <w:shd w:val="clear" w:color="auto" w:fill="BFBFBF"/>
        </w:rPr>
      </w:pPr>
      <w:r>
        <w:rPr>
          <w:shd w:val="clear" w:color="auto" w:fill="BFBFBF"/>
        </w:rPr>
        <w:t>2D barcode carrying the unique identifier included.</w:t>
      </w:r>
    </w:p>
    <w:p w14:paraId="70B23E76" w14:textId="77777777" w:rsidR="007E1F7C" w:rsidRDefault="007E1F7C" w:rsidP="007E1F7C">
      <w:pPr>
        <w:rPr>
          <w:shd w:val="clear" w:color="auto" w:fill="BFBFBF"/>
        </w:rPr>
      </w:pPr>
    </w:p>
    <w:p w14:paraId="01132A6F" w14:textId="77777777" w:rsidR="007E1F7C" w:rsidRDefault="007E1F7C" w:rsidP="007E1F7C">
      <w:pPr>
        <w:rPr>
          <w:shd w:val="clear" w:color="auto" w:fill="BFBFBF"/>
        </w:rPr>
      </w:pPr>
    </w:p>
    <w:p w14:paraId="574F97A6" w14:textId="77777777" w:rsidR="007E1F7C" w:rsidRDefault="00944B8F" w:rsidP="007E1F7C">
      <w:pPr>
        <w:pStyle w:val="EMEAHeadingBoxedTitle"/>
        <w:keepNext/>
        <w:ind w:left="0" w:firstLine="0"/>
      </w:pPr>
      <w:r>
        <w:rPr>
          <w:rFonts w:ascii="Times New Roman" w:hAnsi="Times New Roman"/>
          <w:b/>
          <w:bCs/>
        </w:rPr>
        <w:lastRenderedPageBreak/>
        <w:t xml:space="preserve">18. </w:t>
      </w:r>
      <w:r>
        <w:rPr>
          <w:rFonts w:ascii="Times New Roman" w:hAnsi="Times New Roman"/>
          <w:b/>
          <w:bCs/>
        </w:rPr>
        <w:tab/>
        <w:t>UNIQUE INDENTIFIER – HUMAN READABLE DATA</w:t>
      </w:r>
    </w:p>
    <w:p w14:paraId="2379A568" w14:textId="77777777" w:rsidR="007E1F7C" w:rsidRDefault="007E1F7C" w:rsidP="007E1F7C">
      <w:pPr>
        <w:keepNext/>
        <w:ind w:left="540" w:hanging="540"/>
      </w:pPr>
    </w:p>
    <w:p w14:paraId="0CCB4D84" w14:textId="77777777" w:rsidR="007E1F7C" w:rsidRDefault="00944B8F" w:rsidP="007E1F7C">
      <w:pPr>
        <w:keepNext/>
        <w:ind w:left="540" w:hanging="540"/>
      </w:pPr>
      <w:r>
        <w:t>PC</w:t>
      </w:r>
    </w:p>
    <w:p w14:paraId="6E698669" w14:textId="77777777" w:rsidR="007E1F7C" w:rsidRDefault="00944B8F" w:rsidP="007E1F7C">
      <w:pPr>
        <w:keepNext/>
        <w:ind w:left="540" w:hanging="540"/>
      </w:pPr>
      <w:r>
        <w:t>SN</w:t>
      </w:r>
    </w:p>
    <w:p w14:paraId="61565298" w14:textId="77777777" w:rsidR="007E1F7C" w:rsidRDefault="00944B8F" w:rsidP="007E1F7C">
      <w:pPr>
        <w:keepNext/>
        <w:ind w:left="540" w:hanging="540"/>
      </w:pPr>
      <w:r w:rsidRPr="001B6DEE">
        <w:rPr>
          <w:highlight w:val="darkGray"/>
        </w:rPr>
        <w:t>NN</w:t>
      </w:r>
    </w:p>
    <w:p w14:paraId="47AB7326" w14:textId="77777777" w:rsidR="007E1F7C" w:rsidRDefault="00944B8F" w:rsidP="007E1F7C">
      <w:pPr>
        <w:keepNext/>
        <w:ind w:left="540" w:hanging="540"/>
      </w:pPr>
      <w:r>
        <w:t xml:space="preserve"> </w:t>
      </w:r>
    </w:p>
    <w:p w14:paraId="176D6228" w14:textId="77777777" w:rsidR="007E1F7C" w:rsidRDefault="00944B8F" w:rsidP="007E1F7C">
      <w:pPr>
        <w:pBdr>
          <w:top w:val="single" w:sz="4" w:space="1" w:color="auto"/>
          <w:left w:val="single" w:sz="4" w:space="4" w:color="auto"/>
          <w:bottom w:val="single" w:sz="4" w:space="1" w:color="auto"/>
          <w:right w:val="single" w:sz="4" w:space="4" w:color="auto"/>
        </w:pBdr>
        <w:tabs>
          <w:tab w:val="clear" w:pos="562"/>
          <w:tab w:val="left" w:pos="720"/>
        </w:tabs>
        <w:rPr>
          <w:b/>
        </w:rPr>
      </w:pPr>
      <w:r>
        <w:rPr>
          <w:b/>
        </w:rPr>
        <w:br w:type="page"/>
      </w:r>
      <w:r>
        <w:rPr>
          <w:b/>
        </w:rPr>
        <w:lastRenderedPageBreak/>
        <w:t>MINIMUM PARTICULARS TO APPEAR ON BLISTERS OR STRIPS</w:t>
      </w:r>
    </w:p>
    <w:p w14:paraId="5A5B5AD7" w14:textId="77777777" w:rsidR="007E1F7C" w:rsidRDefault="007E1F7C" w:rsidP="007E1F7C">
      <w:pPr>
        <w:pBdr>
          <w:top w:val="single" w:sz="4" w:space="1" w:color="auto"/>
          <w:left w:val="single" w:sz="4" w:space="4" w:color="auto"/>
          <w:bottom w:val="single" w:sz="4" w:space="1" w:color="auto"/>
          <w:right w:val="single" w:sz="4" w:space="4" w:color="auto"/>
        </w:pBdr>
        <w:ind w:left="540" w:hanging="540"/>
        <w:rPr>
          <w:b/>
        </w:rPr>
      </w:pPr>
    </w:p>
    <w:p w14:paraId="7DB8E0CA" w14:textId="77777777" w:rsidR="007E1F7C" w:rsidRDefault="00944B8F" w:rsidP="007E1F7C">
      <w:pPr>
        <w:pStyle w:val="Heading3"/>
        <w:keepNext w:val="0"/>
        <w:pBdr>
          <w:top w:val="single" w:sz="4" w:space="1" w:color="auto"/>
          <w:left w:val="single" w:sz="4" w:space="4" w:color="auto"/>
          <w:bottom w:val="single" w:sz="4" w:space="1" w:color="auto"/>
          <w:right w:val="single" w:sz="4" w:space="4" w:color="auto"/>
        </w:pBdr>
        <w:spacing w:before="0" w:after="0"/>
        <w:ind w:left="540" w:hanging="540"/>
        <w:rPr>
          <w:rFonts w:ascii="Times New Roman" w:hAnsi="Times New Roman"/>
          <w:sz w:val="22"/>
        </w:rPr>
      </w:pPr>
      <w:r>
        <w:rPr>
          <w:rFonts w:ascii="Times New Roman" w:hAnsi="Times New Roman"/>
          <w:sz w:val="22"/>
        </w:rPr>
        <w:t>TRAY BACKING TEXT</w:t>
      </w:r>
    </w:p>
    <w:p w14:paraId="38949ACC" w14:textId="77777777" w:rsidR="007E1F7C" w:rsidRDefault="007E1F7C" w:rsidP="007E1F7C">
      <w:pPr>
        <w:ind w:left="540" w:hanging="540"/>
      </w:pPr>
    </w:p>
    <w:p w14:paraId="38034FDD" w14:textId="77777777" w:rsidR="007E1F7C" w:rsidRDefault="007E1F7C" w:rsidP="007E1F7C">
      <w:pPr>
        <w:ind w:left="540" w:hanging="540"/>
      </w:pPr>
    </w:p>
    <w:p w14:paraId="721B9D42" w14:textId="77777777" w:rsidR="007E1F7C" w:rsidRDefault="00944B8F" w:rsidP="007E1F7C">
      <w:pPr>
        <w:pStyle w:val="EMEAHeadingBoxed1"/>
        <w:spacing w:beforeLines="0" w:afterLines="0" w:after="0"/>
        <w:rPr>
          <w:rFonts w:ascii="Times New Roman" w:hAnsi="Times New Roman"/>
        </w:rPr>
      </w:pPr>
      <w:r>
        <w:rPr>
          <w:rFonts w:ascii="Times New Roman" w:hAnsi="Times New Roman"/>
        </w:rPr>
        <w:t>1.</w:t>
      </w:r>
      <w:r>
        <w:rPr>
          <w:rFonts w:ascii="Times New Roman" w:hAnsi="Times New Roman"/>
        </w:rPr>
        <w:tab/>
        <w:t>NAME OF THE MEDICINAL PRODUCT</w:t>
      </w:r>
    </w:p>
    <w:p w14:paraId="286CF439" w14:textId="77777777" w:rsidR="007E1F7C" w:rsidRDefault="007E1F7C" w:rsidP="007E1F7C">
      <w:pPr>
        <w:ind w:left="540" w:hanging="540"/>
      </w:pPr>
    </w:p>
    <w:p w14:paraId="76E2034C" w14:textId="77777777" w:rsidR="007E1F7C" w:rsidRDefault="00944B8F" w:rsidP="007E1F7C">
      <w:pPr>
        <w:ind w:left="540" w:hanging="540"/>
      </w:pPr>
      <w:r>
        <w:t xml:space="preserve">Humira 20 mg solution for injection in pre-filled syringe </w:t>
      </w:r>
    </w:p>
    <w:p w14:paraId="57A57D95" w14:textId="77777777" w:rsidR="007E1F7C" w:rsidRDefault="00944B8F" w:rsidP="007E1F7C">
      <w:pPr>
        <w:ind w:left="540" w:hanging="540"/>
      </w:pPr>
      <w:r>
        <w:t>adalimumab</w:t>
      </w:r>
    </w:p>
    <w:p w14:paraId="02CFAA74" w14:textId="77777777" w:rsidR="007E1F7C" w:rsidRDefault="007E1F7C" w:rsidP="007E1F7C">
      <w:pPr>
        <w:ind w:left="540" w:hanging="540"/>
      </w:pPr>
    </w:p>
    <w:p w14:paraId="73CAD823" w14:textId="77777777" w:rsidR="007E1F7C" w:rsidRDefault="007E1F7C" w:rsidP="007E1F7C">
      <w:pPr>
        <w:ind w:left="540" w:hanging="540"/>
      </w:pPr>
    </w:p>
    <w:p w14:paraId="47D2B92B" w14:textId="77777777" w:rsidR="007E1F7C" w:rsidRDefault="00944B8F" w:rsidP="007E1F7C">
      <w:pPr>
        <w:pStyle w:val="EMEAHeadingBoxed"/>
        <w:tabs>
          <w:tab w:val="left" w:pos="-3300"/>
        </w:tabs>
        <w:spacing w:beforeLines="0" w:afterLines="0"/>
        <w:rPr>
          <w:rFonts w:ascii="Times New Roman" w:hAnsi="Times New Roman"/>
          <w:lang w:val="en-GB"/>
        </w:rPr>
      </w:pPr>
      <w:r>
        <w:rPr>
          <w:rFonts w:ascii="Times New Roman" w:hAnsi="Times New Roman"/>
          <w:lang w:val="en-GB"/>
        </w:rPr>
        <w:t>2.</w:t>
      </w:r>
      <w:r>
        <w:rPr>
          <w:rFonts w:ascii="Times New Roman" w:hAnsi="Times New Roman"/>
          <w:lang w:val="en-GB"/>
        </w:rPr>
        <w:tab/>
        <w:t>NAME OF THE MARKETING AUTHORISATION HOLDER</w:t>
      </w:r>
    </w:p>
    <w:p w14:paraId="7A167A2A" w14:textId="77777777" w:rsidR="007E1F7C" w:rsidRDefault="007E1F7C" w:rsidP="007E1F7C">
      <w:pPr>
        <w:ind w:left="540" w:hanging="540"/>
      </w:pPr>
    </w:p>
    <w:p w14:paraId="4B598B67" w14:textId="77777777" w:rsidR="006A01D2" w:rsidRDefault="00944B8F" w:rsidP="006A01D2">
      <w:pPr>
        <w:keepNext/>
        <w:tabs>
          <w:tab w:val="clear" w:pos="562"/>
        </w:tabs>
        <w:suppressAutoHyphens w:val="0"/>
        <w:autoSpaceDE w:val="0"/>
        <w:autoSpaceDN w:val="0"/>
        <w:adjustRightInd w:val="0"/>
        <w:spacing w:line="240" w:lineRule="atLeast"/>
      </w:pPr>
      <w:r>
        <w:t xml:space="preserve">AbbVie </w:t>
      </w:r>
      <w:r w:rsidRPr="00D32313">
        <w:rPr>
          <w:szCs w:val="22"/>
          <w:highlight w:val="lightGray"/>
          <w:lang w:eastAsia="en-GB"/>
        </w:rPr>
        <w:t>(as logo)</w:t>
      </w:r>
    </w:p>
    <w:p w14:paraId="4545C8DB" w14:textId="77777777" w:rsidR="007E1F7C" w:rsidRDefault="007E1F7C" w:rsidP="007E1F7C">
      <w:pPr>
        <w:ind w:left="540" w:hanging="540"/>
      </w:pPr>
    </w:p>
    <w:p w14:paraId="21375C9E" w14:textId="77777777" w:rsidR="007E1F7C" w:rsidRDefault="007E1F7C" w:rsidP="007E1F7C">
      <w:pPr>
        <w:ind w:left="540" w:hanging="540"/>
      </w:pPr>
    </w:p>
    <w:p w14:paraId="63E8D1D1" w14:textId="77777777" w:rsidR="007E1F7C" w:rsidRDefault="00944B8F" w:rsidP="007E1F7C">
      <w:pPr>
        <w:pStyle w:val="EMEAHeadingBoxed"/>
        <w:spacing w:beforeLines="0" w:afterLines="0"/>
        <w:rPr>
          <w:rFonts w:ascii="Times New Roman" w:hAnsi="Times New Roman"/>
          <w:lang w:val="en-GB"/>
        </w:rPr>
      </w:pPr>
      <w:r>
        <w:rPr>
          <w:rFonts w:ascii="Times New Roman" w:hAnsi="Times New Roman"/>
          <w:lang w:val="en-GB"/>
        </w:rPr>
        <w:t>3.</w:t>
      </w:r>
      <w:r>
        <w:rPr>
          <w:rFonts w:ascii="Times New Roman" w:hAnsi="Times New Roman"/>
          <w:lang w:val="en-GB"/>
        </w:rPr>
        <w:tab/>
        <w:t>EXPIRY DATE</w:t>
      </w:r>
    </w:p>
    <w:p w14:paraId="75C63682" w14:textId="77777777" w:rsidR="007E1F7C" w:rsidRDefault="007E1F7C" w:rsidP="007E1F7C">
      <w:pPr>
        <w:ind w:left="540" w:hanging="540"/>
      </w:pPr>
    </w:p>
    <w:p w14:paraId="50261588" w14:textId="77777777" w:rsidR="007E1F7C" w:rsidRDefault="00944B8F" w:rsidP="007E1F7C">
      <w:pPr>
        <w:ind w:left="540" w:hanging="540"/>
      </w:pPr>
      <w:r>
        <w:t>EXP</w:t>
      </w:r>
    </w:p>
    <w:p w14:paraId="6014E96E" w14:textId="77777777" w:rsidR="007E1F7C" w:rsidRDefault="007E1F7C" w:rsidP="007E1F7C">
      <w:pPr>
        <w:ind w:left="540" w:hanging="540"/>
      </w:pPr>
    </w:p>
    <w:p w14:paraId="1D4C17CD" w14:textId="77777777" w:rsidR="007E1F7C" w:rsidRDefault="007E1F7C" w:rsidP="007E1F7C">
      <w:pPr>
        <w:ind w:left="540" w:hanging="540"/>
      </w:pPr>
    </w:p>
    <w:p w14:paraId="0B39CA19" w14:textId="77777777" w:rsidR="007E1F7C" w:rsidRDefault="00944B8F" w:rsidP="007E1F7C">
      <w:pPr>
        <w:pStyle w:val="EMEAHeadingBoxed"/>
        <w:spacing w:beforeLines="0" w:afterLines="0"/>
        <w:rPr>
          <w:rFonts w:ascii="Times New Roman" w:hAnsi="Times New Roman"/>
          <w:lang w:val="en-GB"/>
        </w:rPr>
      </w:pPr>
      <w:r>
        <w:rPr>
          <w:rFonts w:ascii="Times New Roman" w:hAnsi="Times New Roman"/>
          <w:lang w:val="en-GB"/>
        </w:rPr>
        <w:t>4.</w:t>
      </w:r>
      <w:r>
        <w:rPr>
          <w:rFonts w:ascii="Times New Roman" w:hAnsi="Times New Roman"/>
          <w:lang w:val="en-GB"/>
        </w:rPr>
        <w:tab/>
        <w:t>BATCH NUMBER</w:t>
      </w:r>
    </w:p>
    <w:p w14:paraId="430AE485" w14:textId="77777777" w:rsidR="007E1F7C" w:rsidRDefault="007E1F7C" w:rsidP="007E1F7C">
      <w:pPr>
        <w:ind w:left="540" w:hanging="540"/>
      </w:pPr>
    </w:p>
    <w:p w14:paraId="13ED8814" w14:textId="77777777" w:rsidR="007E1F7C" w:rsidRDefault="00944B8F" w:rsidP="007E1F7C">
      <w:pPr>
        <w:ind w:left="540" w:hanging="540"/>
      </w:pPr>
      <w:r>
        <w:t>Lot</w:t>
      </w:r>
    </w:p>
    <w:p w14:paraId="1A8A1EDD" w14:textId="77777777" w:rsidR="007E1F7C" w:rsidRDefault="007E1F7C" w:rsidP="007E1F7C">
      <w:pPr>
        <w:ind w:left="540" w:hanging="540"/>
      </w:pPr>
    </w:p>
    <w:p w14:paraId="3FCED595" w14:textId="77777777" w:rsidR="007E1F7C" w:rsidRDefault="007E1F7C" w:rsidP="007E1F7C">
      <w:pPr>
        <w:ind w:left="540" w:hanging="540"/>
      </w:pPr>
    </w:p>
    <w:p w14:paraId="7CE49209" w14:textId="77777777" w:rsidR="007E1F7C" w:rsidRDefault="00944B8F" w:rsidP="007E1F7C">
      <w:pPr>
        <w:pStyle w:val="EMEAHeadingBoxed"/>
        <w:tabs>
          <w:tab w:val="clear" w:pos="562"/>
          <w:tab w:val="left" w:pos="540"/>
        </w:tabs>
        <w:spacing w:beforeLines="0" w:afterLines="0"/>
        <w:ind w:left="540"/>
        <w:rPr>
          <w:rFonts w:ascii="Times New Roman" w:hAnsi="Times New Roman"/>
          <w:lang w:val="en-GB"/>
        </w:rPr>
      </w:pPr>
      <w:r>
        <w:rPr>
          <w:rFonts w:ascii="Times New Roman" w:hAnsi="Times New Roman"/>
          <w:lang w:val="en-GB"/>
        </w:rPr>
        <w:t>5.</w:t>
      </w:r>
      <w:r>
        <w:rPr>
          <w:rFonts w:ascii="Times New Roman" w:hAnsi="Times New Roman"/>
          <w:lang w:val="en-GB"/>
        </w:rPr>
        <w:tab/>
        <w:t>OTHER</w:t>
      </w:r>
    </w:p>
    <w:p w14:paraId="67C36C76" w14:textId="77777777" w:rsidR="007E1F7C" w:rsidRDefault="007E1F7C" w:rsidP="007E1F7C">
      <w:pPr>
        <w:ind w:left="540" w:hanging="540"/>
      </w:pPr>
    </w:p>
    <w:p w14:paraId="4F24DB2F" w14:textId="77777777" w:rsidR="007E1F7C" w:rsidRDefault="00944B8F" w:rsidP="007E1F7C">
      <w:pPr>
        <w:ind w:left="540" w:hanging="540"/>
      </w:pPr>
      <w:r>
        <w:t>For storage information, see package leaflet.</w:t>
      </w:r>
    </w:p>
    <w:p w14:paraId="53F97EA1" w14:textId="77777777" w:rsidR="007E1F7C" w:rsidRDefault="007E1F7C" w:rsidP="007E1F7C">
      <w:pPr>
        <w:ind w:left="540" w:hanging="540"/>
      </w:pPr>
    </w:p>
    <w:p w14:paraId="257BB730" w14:textId="77777777" w:rsidR="007E1F7C" w:rsidRDefault="00944B8F" w:rsidP="007E1F7C">
      <w:pPr>
        <w:ind w:left="540" w:hanging="540"/>
      </w:pPr>
      <w:r>
        <w:t>For single use only</w:t>
      </w:r>
      <w:r w:rsidR="00F73477">
        <w:t>.</w:t>
      </w:r>
    </w:p>
    <w:p w14:paraId="162F77F8" w14:textId="77777777" w:rsidR="007E1F7C" w:rsidRDefault="007E1F7C" w:rsidP="007E1F7C"/>
    <w:p w14:paraId="361A1C2B" w14:textId="77777777" w:rsidR="007E1F7C" w:rsidRDefault="00944B8F" w:rsidP="007E1F7C">
      <w:r w:rsidRPr="00882221">
        <w:t>For paediatric use</w:t>
      </w:r>
    </w:p>
    <w:p w14:paraId="22B76481" w14:textId="77777777" w:rsidR="00A62F16" w:rsidRPr="00882221" w:rsidRDefault="00A62F16" w:rsidP="007E1F7C"/>
    <w:p w14:paraId="70977C41" w14:textId="77777777" w:rsidR="00A62F16" w:rsidRPr="00893C35" w:rsidRDefault="00A62F16" w:rsidP="00A62F16"/>
    <w:p w14:paraId="7E86D02E" w14:textId="77777777" w:rsidR="007E1F7C" w:rsidRDefault="00944B8F" w:rsidP="007E1F7C">
      <w:pPr>
        <w:pStyle w:val="EMEAHeadingBoxedTitle"/>
        <w:rPr>
          <w:rFonts w:ascii="Times New Roman" w:hAnsi="Times New Roman"/>
          <w:b/>
        </w:rPr>
      </w:pPr>
      <w:r>
        <w:rPr>
          <w:b/>
          <w:caps w:val="0"/>
        </w:rPr>
        <w:br w:type="page"/>
      </w:r>
      <w:r>
        <w:rPr>
          <w:rFonts w:ascii="Times New Roman" w:hAnsi="Times New Roman"/>
          <w:b/>
        </w:rPr>
        <w:lastRenderedPageBreak/>
        <w:t>MINIMUM PARTICULARS TO APPEAR ON SMALL IMMEDIATE PACKAGING UNITS</w:t>
      </w:r>
    </w:p>
    <w:p w14:paraId="14ED7D9C" w14:textId="77777777" w:rsidR="007E1F7C" w:rsidRDefault="007E1F7C" w:rsidP="007E1F7C">
      <w:pPr>
        <w:pStyle w:val="EMEAHeadingBoxedTitle"/>
        <w:rPr>
          <w:rFonts w:ascii="Times New Roman" w:hAnsi="Times New Roman"/>
          <w:b/>
          <w:bCs/>
        </w:rPr>
      </w:pPr>
    </w:p>
    <w:p w14:paraId="75F877C0" w14:textId="77777777" w:rsidR="007E1F7C" w:rsidRDefault="00944B8F" w:rsidP="007E1F7C">
      <w:pPr>
        <w:pStyle w:val="EMEAHeadingBoxedTitle"/>
        <w:rPr>
          <w:rFonts w:ascii="Times New Roman" w:hAnsi="Times New Roman"/>
          <w:b/>
          <w:bCs/>
        </w:rPr>
      </w:pPr>
      <w:r>
        <w:rPr>
          <w:rFonts w:ascii="Times New Roman" w:hAnsi="Times New Roman"/>
          <w:b/>
          <w:bCs/>
        </w:rPr>
        <w:t>SYRINGE LABEL</w:t>
      </w:r>
    </w:p>
    <w:p w14:paraId="5816F5C9" w14:textId="77777777" w:rsidR="007E1F7C" w:rsidRDefault="007E1F7C" w:rsidP="007E1F7C">
      <w:pPr>
        <w:pStyle w:val="EMEANormal"/>
        <w:rPr>
          <w:lang w:val="en-GB"/>
        </w:rPr>
      </w:pPr>
    </w:p>
    <w:p w14:paraId="03E015BC" w14:textId="77777777" w:rsidR="007E1F7C" w:rsidRDefault="007E1F7C" w:rsidP="007E1F7C">
      <w:pPr>
        <w:pStyle w:val="EMEANormal"/>
        <w:rPr>
          <w:lang w:val="en-GB"/>
        </w:rPr>
      </w:pPr>
    </w:p>
    <w:p w14:paraId="46AE8E7C" w14:textId="77777777" w:rsidR="007E1F7C" w:rsidRDefault="00944B8F" w:rsidP="007E1F7C">
      <w:pPr>
        <w:pStyle w:val="EMEAHeadingBoxed1"/>
        <w:spacing w:beforeLines="0" w:afterLines="0" w:after="0"/>
        <w:rPr>
          <w:rFonts w:ascii="Times New Roman" w:hAnsi="Times New Roman"/>
        </w:rPr>
      </w:pPr>
      <w:r>
        <w:rPr>
          <w:rFonts w:ascii="Times New Roman" w:hAnsi="Times New Roman"/>
        </w:rPr>
        <w:t>1.</w:t>
      </w:r>
      <w:r>
        <w:rPr>
          <w:rFonts w:ascii="Times New Roman" w:hAnsi="Times New Roman"/>
        </w:rPr>
        <w:tab/>
        <w:t>NAME OF THE MEDICINAL PRODUCT AND ROUTE OF ADMINISTRATION</w:t>
      </w:r>
    </w:p>
    <w:p w14:paraId="319D05F0" w14:textId="77777777" w:rsidR="007E1F7C" w:rsidRDefault="007E1F7C" w:rsidP="007E1F7C">
      <w:pPr>
        <w:ind w:left="540" w:hanging="540"/>
      </w:pPr>
    </w:p>
    <w:p w14:paraId="6FF98853" w14:textId="77777777" w:rsidR="007E1F7C" w:rsidRDefault="00944B8F" w:rsidP="007E1F7C">
      <w:pPr>
        <w:ind w:left="540" w:hanging="540"/>
      </w:pPr>
      <w:r>
        <w:t>Humira 20 mg injection</w:t>
      </w:r>
    </w:p>
    <w:p w14:paraId="52EFC493" w14:textId="77777777" w:rsidR="007E1F7C" w:rsidRDefault="00944B8F" w:rsidP="007E1F7C">
      <w:pPr>
        <w:ind w:left="540" w:hanging="540"/>
      </w:pPr>
      <w:r>
        <w:t>adalimumab</w:t>
      </w:r>
    </w:p>
    <w:p w14:paraId="53550EF2" w14:textId="77777777" w:rsidR="007E1F7C" w:rsidRPr="005423B7" w:rsidRDefault="00944B8F" w:rsidP="007E1F7C">
      <w:pPr>
        <w:pStyle w:val="EndnoteText"/>
        <w:tabs>
          <w:tab w:val="clear" w:pos="562"/>
          <w:tab w:val="left" w:pos="720"/>
        </w:tabs>
        <w:ind w:left="540" w:hanging="540"/>
        <w:rPr>
          <w:sz w:val="22"/>
          <w:szCs w:val="22"/>
        </w:rPr>
      </w:pPr>
      <w:r>
        <w:rPr>
          <w:sz w:val="22"/>
          <w:szCs w:val="22"/>
        </w:rPr>
        <w:t>SC</w:t>
      </w:r>
    </w:p>
    <w:p w14:paraId="012B4810" w14:textId="77777777" w:rsidR="007E1F7C" w:rsidRDefault="007E1F7C" w:rsidP="007E1F7C"/>
    <w:p w14:paraId="747841BC" w14:textId="77777777" w:rsidR="007E1F7C" w:rsidRDefault="007E1F7C" w:rsidP="007E1F7C"/>
    <w:p w14:paraId="447EC4C8" w14:textId="77777777" w:rsidR="007E1F7C" w:rsidRDefault="00944B8F" w:rsidP="007E1F7C">
      <w:pPr>
        <w:pStyle w:val="EMEAHeadingBoxedEmpty"/>
        <w:spacing w:beforeLines="0"/>
        <w:rPr>
          <w:rFonts w:ascii="Times New Roman" w:hAnsi="Times New Roman"/>
          <w:lang w:val="en-GB"/>
        </w:rPr>
      </w:pPr>
      <w:r>
        <w:rPr>
          <w:rFonts w:ascii="Times New Roman" w:hAnsi="Times New Roman"/>
          <w:lang w:val="en-GB"/>
        </w:rPr>
        <w:t>2.</w:t>
      </w:r>
      <w:r>
        <w:rPr>
          <w:rFonts w:ascii="Times New Roman" w:hAnsi="Times New Roman"/>
          <w:lang w:val="en-GB"/>
        </w:rPr>
        <w:tab/>
        <w:t>METHOD OF ADMINISTRATION</w:t>
      </w:r>
    </w:p>
    <w:p w14:paraId="4E4FF8DC" w14:textId="77777777" w:rsidR="007E1F7C" w:rsidRDefault="007E1F7C" w:rsidP="007E1F7C">
      <w:pPr>
        <w:ind w:left="540" w:hanging="540"/>
        <w:rPr>
          <w:b/>
        </w:rPr>
      </w:pPr>
    </w:p>
    <w:p w14:paraId="6D0ADF58" w14:textId="77777777" w:rsidR="007E1F7C" w:rsidRDefault="007E1F7C" w:rsidP="007E1F7C">
      <w:pPr>
        <w:ind w:left="540" w:hanging="540"/>
        <w:rPr>
          <w:b/>
        </w:rPr>
      </w:pPr>
    </w:p>
    <w:p w14:paraId="5527217D" w14:textId="77777777" w:rsidR="007E1F7C" w:rsidRDefault="00944B8F" w:rsidP="007E1F7C">
      <w:pPr>
        <w:pStyle w:val="EMEAHeadingBoxed1"/>
        <w:spacing w:beforeLines="0" w:afterLines="0" w:after="0"/>
        <w:rPr>
          <w:rFonts w:ascii="Times New Roman" w:hAnsi="Times New Roman"/>
        </w:rPr>
      </w:pPr>
      <w:r>
        <w:rPr>
          <w:rFonts w:ascii="Times New Roman" w:hAnsi="Times New Roman"/>
        </w:rPr>
        <w:t>3.</w:t>
      </w:r>
      <w:r>
        <w:rPr>
          <w:rFonts w:ascii="Times New Roman" w:hAnsi="Times New Roman"/>
        </w:rPr>
        <w:tab/>
        <w:t>EXPIRY DATE</w:t>
      </w:r>
    </w:p>
    <w:p w14:paraId="593C8F40" w14:textId="77777777" w:rsidR="007E1F7C" w:rsidRDefault="007E1F7C" w:rsidP="007E1F7C">
      <w:pPr>
        <w:ind w:left="540" w:hanging="540"/>
      </w:pPr>
    </w:p>
    <w:p w14:paraId="03507819" w14:textId="77777777" w:rsidR="007E1F7C" w:rsidRDefault="00944B8F" w:rsidP="007E1F7C">
      <w:pPr>
        <w:ind w:left="540" w:hanging="540"/>
      </w:pPr>
      <w:r>
        <w:t>EXP</w:t>
      </w:r>
    </w:p>
    <w:p w14:paraId="411C157F" w14:textId="77777777" w:rsidR="007E1F7C" w:rsidRDefault="007E1F7C" w:rsidP="007E1F7C"/>
    <w:p w14:paraId="6D718EBD" w14:textId="77777777" w:rsidR="007E1F7C" w:rsidRDefault="007E1F7C" w:rsidP="007E1F7C">
      <w:pPr>
        <w:ind w:left="540" w:hanging="540"/>
      </w:pPr>
    </w:p>
    <w:p w14:paraId="387DE531" w14:textId="77777777" w:rsidR="007E1F7C" w:rsidRDefault="00944B8F" w:rsidP="007E1F7C">
      <w:pPr>
        <w:pStyle w:val="EMEAHeadingBoxed"/>
        <w:spacing w:beforeLines="0" w:afterLines="0"/>
        <w:rPr>
          <w:rFonts w:ascii="Times New Roman" w:hAnsi="Times New Roman"/>
          <w:lang w:val="en-GB"/>
        </w:rPr>
      </w:pPr>
      <w:r>
        <w:rPr>
          <w:rFonts w:ascii="Times New Roman" w:hAnsi="Times New Roman"/>
          <w:lang w:val="en-GB"/>
        </w:rPr>
        <w:t>4.</w:t>
      </w:r>
      <w:r>
        <w:rPr>
          <w:rFonts w:ascii="Times New Roman" w:hAnsi="Times New Roman"/>
          <w:lang w:val="en-GB"/>
        </w:rPr>
        <w:tab/>
        <w:t>BATCH NUMBER</w:t>
      </w:r>
    </w:p>
    <w:p w14:paraId="50CE5E71" w14:textId="77777777" w:rsidR="007E1F7C" w:rsidRDefault="007E1F7C" w:rsidP="007E1F7C">
      <w:pPr>
        <w:ind w:left="540" w:hanging="540"/>
      </w:pPr>
    </w:p>
    <w:p w14:paraId="180A067F" w14:textId="77777777" w:rsidR="007E1F7C" w:rsidRDefault="00944B8F" w:rsidP="007E1F7C">
      <w:pPr>
        <w:ind w:left="540" w:hanging="540"/>
      </w:pPr>
      <w:r>
        <w:t>Lot</w:t>
      </w:r>
    </w:p>
    <w:p w14:paraId="53A7E9C3" w14:textId="77777777" w:rsidR="007E1F7C" w:rsidRDefault="007E1F7C" w:rsidP="007E1F7C">
      <w:pPr>
        <w:ind w:left="540" w:hanging="540"/>
      </w:pPr>
    </w:p>
    <w:p w14:paraId="6BBFBD72" w14:textId="77777777" w:rsidR="007E1F7C" w:rsidRDefault="007E1F7C" w:rsidP="007E1F7C">
      <w:pPr>
        <w:ind w:left="540" w:hanging="540"/>
      </w:pPr>
    </w:p>
    <w:p w14:paraId="35D3B5ED" w14:textId="77777777" w:rsidR="007E1F7C" w:rsidRDefault="00944B8F" w:rsidP="007E1F7C">
      <w:pPr>
        <w:pStyle w:val="EMEAHeadingBoxed"/>
        <w:spacing w:beforeLines="0" w:afterLines="0"/>
        <w:rPr>
          <w:rFonts w:ascii="Times New Roman" w:hAnsi="Times New Roman"/>
          <w:lang w:val="en-GB"/>
        </w:rPr>
      </w:pPr>
      <w:r>
        <w:rPr>
          <w:rFonts w:ascii="Times New Roman" w:hAnsi="Times New Roman"/>
          <w:lang w:val="en-GB"/>
        </w:rPr>
        <w:t>5.</w:t>
      </w:r>
      <w:r>
        <w:rPr>
          <w:rFonts w:ascii="Times New Roman" w:hAnsi="Times New Roman"/>
          <w:lang w:val="en-GB"/>
        </w:rPr>
        <w:tab/>
        <w:t>CONTENTS BY WEIGHT, BY VOLUME OR BY UNIT</w:t>
      </w:r>
    </w:p>
    <w:p w14:paraId="15F71426" w14:textId="77777777" w:rsidR="007E1F7C" w:rsidRDefault="007E1F7C" w:rsidP="007E1F7C">
      <w:pPr>
        <w:ind w:left="540" w:hanging="540"/>
      </w:pPr>
    </w:p>
    <w:p w14:paraId="42CCC17B" w14:textId="77777777" w:rsidR="007E1F7C" w:rsidRDefault="00944B8F" w:rsidP="007E1F7C">
      <w:pPr>
        <w:ind w:left="540" w:hanging="540"/>
      </w:pPr>
      <w:r>
        <w:t>20 mg</w:t>
      </w:r>
      <w:r w:rsidRPr="004D55D1">
        <w:rPr>
          <w:highlight w:val="lightGray"/>
        </w:rPr>
        <w:t>/0.2</w:t>
      </w:r>
      <w:r w:rsidR="00AA6375">
        <w:rPr>
          <w:highlight w:val="lightGray"/>
        </w:rPr>
        <w:t> </w:t>
      </w:r>
      <w:r w:rsidRPr="004D55D1">
        <w:rPr>
          <w:highlight w:val="lightGray"/>
        </w:rPr>
        <w:t>ml</w:t>
      </w:r>
    </w:p>
    <w:p w14:paraId="4427770E" w14:textId="77777777" w:rsidR="007E1F7C" w:rsidRDefault="007E1F7C" w:rsidP="007E1F7C">
      <w:pPr>
        <w:ind w:left="540" w:hanging="540"/>
      </w:pPr>
    </w:p>
    <w:p w14:paraId="390F3917" w14:textId="77777777" w:rsidR="007E1F7C" w:rsidRDefault="007E1F7C" w:rsidP="007E1F7C">
      <w:pPr>
        <w:ind w:left="540" w:hanging="540"/>
      </w:pPr>
    </w:p>
    <w:p w14:paraId="180DFB81" w14:textId="77777777" w:rsidR="007E1F7C" w:rsidRDefault="00944B8F" w:rsidP="007E1F7C">
      <w:pPr>
        <w:pStyle w:val="EMEAHeadingBoxed"/>
        <w:spacing w:beforeLines="0" w:afterLines="0"/>
        <w:rPr>
          <w:rFonts w:ascii="Times New Roman" w:hAnsi="Times New Roman"/>
          <w:lang w:val="en-GB"/>
        </w:rPr>
      </w:pPr>
      <w:r>
        <w:rPr>
          <w:rFonts w:ascii="Times New Roman" w:hAnsi="Times New Roman"/>
          <w:lang w:val="en-GB"/>
        </w:rPr>
        <w:t>6.</w:t>
      </w:r>
      <w:r>
        <w:rPr>
          <w:rFonts w:ascii="Times New Roman" w:hAnsi="Times New Roman"/>
          <w:lang w:val="en-GB"/>
        </w:rPr>
        <w:tab/>
        <w:t>OTHER</w:t>
      </w:r>
    </w:p>
    <w:p w14:paraId="6B7636AA" w14:textId="77777777" w:rsidR="00BC0E7E" w:rsidRPr="00BC0E7E" w:rsidRDefault="00944B8F" w:rsidP="00804924">
      <w:pPr>
        <w:pBdr>
          <w:top w:val="single" w:sz="4" w:space="1" w:color="auto"/>
          <w:left w:val="single" w:sz="4" w:space="4" w:color="auto"/>
          <w:bottom w:val="single" w:sz="4" w:space="1" w:color="auto"/>
          <w:right w:val="single" w:sz="4" w:space="4" w:color="auto"/>
        </w:pBdr>
        <w:tabs>
          <w:tab w:val="clear" w:pos="562"/>
        </w:tabs>
        <w:rPr>
          <w:del w:id="8537" w:author="AbbVie19" w:date="2025-04-16T12:28:00Z"/>
          <w:b/>
          <w:bCs/>
          <w:caps/>
          <w:szCs w:val="20"/>
        </w:rPr>
      </w:pPr>
      <w:r>
        <w:rPr>
          <w:b/>
          <w:bCs/>
        </w:rPr>
        <w:br w:type="page"/>
      </w:r>
      <w:del w:id="8538" w:author="AbbVie19" w:date="2025-04-16T12:28:00Z">
        <w:r w:rsidRPr="00BC0E7E">
          <w:rPr>
            <w:b/>
            <w:bCs/>
            <w:caps/>
            <w:szCs w:val="20"/>
          </w:rPr>
          <w:lastRenderedPageBreak/>
          <w:delText xml:space="preserve">PARTICULARS TO APPEAR ON THE OUTER PACKAGING </w:delText>
        </w:r>
      </w:del>
    </w:p>
    <w:p w14:paraId="311BF771" w14:textId="77777777" w:rsidR="00BC0E7E" w:rsidRPr="00BC0E7E" w:rsidRDefault="00BC0E7E" w:rsidP="00804924">
      <w:pPr>
        <w:pBdr>
          <w:top w:val="single" w:sz="4" w:space="1" w:color="auto"/>
          <w:left w:val="single" w:sz="4" w:space="4" w:color="auto"/>
          <w:bottom w:val="single" w:sz="4" w:space="1" w:color="auto"/>
          <w:right w:val="single" w:sz="4" w:space="4" w:color="auto"/>
        </w:pBdr>
        <w:tabs>
          <w:tab w:val="clear" w:pos="562"/>
        </w:tabs>
        <w:rPr>
          <w:del w:id="8539" w:author="AbbVie19" w:date="2025-04-16T12:28:00Z"/>
          <w:b/>
        </w:rPr>
      </w:pPr>
    </w:p>
    <w:p w14:paraId="18F0823E" w14:textId="77777777" w:rsidR="00BC0E7E" w:rsidRPr="00BC0E7E" w:rsidRDefault="00944B8F" w:rsidP="00762FA7">
      <w:pPr>
        <w:keepLines/>
        <w:pBdr>
          <w:top w:val="single" w:sz="4" w:space="1" w:color="auto"/>
          <w:left w:val="single" w:sz="4" w:space="4" w:color="auto"/>
          <w:bottom w:val="single" w:sz="4" w:space="1" w:color="auto"/>
          <w:right w:val="single" w:sz="4" w:space="4" w:color="auto"/>
        </w:pBdr>
        <w:ind w:left="540" w:hanging="540"/>
        <w:outlineLvl w:val="2"/>
        <w:rPr>
          <w:del w:id="8540" w:author="AbbVie19" w:date="2025-04-16T12:28:00Z"/>
          <w:b/>
          <w:bCs/>
          <w:szCs w:val="26"/>
        </w:rPr>
      </w:pPr>
      <w:del w:id="8541" w:author="AbbVie19" w:date="2025-04-16T12:28:00Z">
        <w:r>
          <w:rPr>
            <w:b/>
            <w:bCs/>
            <w:szCs w:val="26"/>
          </w:rPr>
          <w:delText xml:space="preserve">OUTER </w:delText>
        </w:r>
        <w:r w:rsidRPr="00BC0E7E">
          <w:rPr>
            <w:b/>
            <w:bCs/>
            <w:szCs w:val="26"/>
          </w:rPr>
          <w:delText xml:space="preserve">CARTON </w:delText>
        </w:r>
      </w:del>
    </w:p>
    <w:p w14:paraId="5DC15658" w14:textId="77777777" w:rsidR="00BC0E7E" w:rsidRPr="00BC0E7E" w:rsidRDefault="00BC0E7E" w:rsidP="00762FA7">
      <w:pPr>
        <w:ind w:left="540" w:hanging="540"/>
        <w:rPr>
          <w:del w:id="8542" w:author="AbbVie19" w:date="2025-04-16T12:28:00Z"/>
        </w:rPr>
      </w:pPr>
    </w:p>
    <w:p w14:paraId="5D1A554B" w14:textId="77777777" w:rsidR="00BC0E7E" w:rsidRPr="00BC0E7E" w:rsidRDefault="00BC0E7E" w:rsidP="00762FA7">
      <w:pPr>
        <w:ind w:left="540" w:hanging="540"/>
        <w:rPr>
          <w:del w:id="8543" w:author="AbbVie19" w:date="2025-04-16T12:28:00Z"/>
        </w:rPr>
      </w:pPr>
    </w:p>
    <w:p w14:paraId="56470A97"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544" w:author="AbbVie19" w:date="2025-04-16T12:28:00Z"/>
          <w:b/>
          <w:caps/>
          <w:szCs w:val="22"/>
        </w:rPr>
      </w:pPr>
      <w:del w:id="8545" w:author="AbbVie19" w:date="2025-04-16T12:28:00Z">
        <w:r w:rsidRPr="00BC0E7E">
          <w:rPr>
            <w:b/>
            <w:caps/>
            <w:szCs w:val="20"/>
          </w:rPr>
          <w:delText>1.</w:delText>
        </w:r>
        <w:r w:rsidRPr="00BC0E7E">
          <w:rPr>
            <w:b/>
            <w:caps/>
            <w:szCs w:val="20"/>
          </w:rPr>
          <w:tab/>
          <w:delText>NAME OF THE MEDICINAL PRODUCT</w:delText>
        </w:r>
      </w:del>
    </w:p>
    <w:p w14:paraId="7E6E35B8" w14:textId="77777777" w:rsidR="00BC0E7E" w:rsidRPr="00BC0E7E" w:rsidRDefault="00BC0E7E" w:rsidP="00762FA7">
      <w:pPr>
        <w:ind w:left="540" w:hanging="540"/>
        <w:rPr>
          <w:del w:id="8546" w:author="AbbVie19" w:date="2025-04-16T12:28:00Z"/>
        </w:rPr>
      </w:pPr>
    </w:p>
    <w:p w14:paraId="650FBF24" w14:textId="77777777" w:rsidR="00BC0E7E" w:rsidRPr="00BC0E7E" w:rsidRDefault="00944B8F" w:rsidP="00762FA7">
      <w:pPr>
        <w:ind w:left="540" w:hanging="540"/>
        <w:rPr>
          <w:del w:id="8547" w:author="AbbVie19" w:date="2025-04-16T12:28:00Z"/>
        </w:rPr>
      </w:pPr>
      <w:del w:id="8548" w:author="AbbVie19" w:date="2025-04-16T12:28:00Z">
        <w:r w:rsidRPr="00BC0E7E">
          <w:delText>Humira 40 mg/0.8 ml solution for injection</w:delText>
        </w:r>
      </w:del>
    </w:p>
    <w:p w14:paraId="2824A61D" w14:textId="77777777" w:rsidR="00BC0E7E" w:rsidRPr="00BC0E7E" w:rsidRDefault="00944B8F" w:rsidP="00762FA7">
      <w:pPr>
        <w:ind w:left="540" w:hanging="540"/>
        <w:rPr>
          <w:del w:id="8549" w:author="AbbVie19" w:date="2025-04-16T12:28:00Z"/>
        </w:rPr>
      </w:pPr>
      <w:del w:id="8550" w:author="AbbVie19" w:date="2025-04-16T12:28:00Z">
        <w:r w:rsidRPr="00BC0E7E">
          <w:delText>adalimumab</w:delText>
        </w:r>
      </w:del>
    </w:p>
    <w:p w14:paraId="21057ECE" w14:textId="77777777" w:rsidR="00BC0E7E" w:rsidRPr="00BC0E7E" w:rsidRDefault="00BC0E7E" w:rsidP="00762FA7">
      <w:pPr>
        <w:ind w:left="540" w:hanging="540"/>
        <w:rPr>
          <w:del w:id="8551" w:author="AbbVie19" w:date="2025-04-16T12:28:00Z"/>
        </w:rPr>
      </w:pPr>
    </w:p>
    <w:p w14:paraId="6ADE5743" w14:textId="77777777" w:rsidR="00BC0E7E" w:rsidRPr="00BC0E7E" w:rsidRDefault="00BC0E7E" w:rsidP="00762FA7">
      <w:pPr>
        <w:ind w:left="540" w:hanging="540"/>
        <w:rPr>
          <w:del w:id="8552" w:author="AbbVie19" w:date="2025-04-16T12:28:00Z"/>
        </w:rPr>
      </w:pPr>
    </w:p>
    <w:p w14:paraId="6EC6888B"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553" w:author="AbbVie19" w:date="2025-04-16T12:28:00Z"/>
          <w:b/>
          <w:caps/>
          <w:szCs w:val="20"/>
        </w:rPr>
      </w:pPr>
      <w:del w:id="8554" w:author="AbbVie19" w:date="2025-04-16T12:28:00Z">
        <w:r w:rsidRPr="00BC0E7E">
          <w:rPr>
            <w:b/>
            <w:caps/>
            <w:szCs w:val="20"/>
          </w:rPr>
          <w:delText>2.</w:delText>
        </w:r>
        <w:r w:rsidRPr="00BC0E7E">
          <w:rPr>
            <w:b/>
            <w:caps/>
            <w:szCs w:val="20"/>
          </w:rPr>
          <w:tab/>
          <w:delText>STATEMENT OF ACTIVE SUBSTANCE</w:delText>
        </w:r>
      </w:del>
    </w:p>
    <w:p w14:paraId="51712937" w14:textId="77777777" w:rsidR="00BC0E7E" w:rsidRPr="00BC0E7E" w:rsidRDefault="00BC0E7E" w:rsidP="00762FA7">
      <w:pPr>
        <w:ind w:left="540" w:hanging="540"/>
        <w:rPr>
          <w:del w:id="8555" w:author="AbbVie19" w:date="2025-04-16T12:28:00Z"/>
        </w:rPr>
      </w:pPr>
    </w:p>
    <w:p w14:paraId="7D471265" w14:textId="77777777" w:rsidR="00BC0E7E" w:rsidRPr="00BC0E7E" w:rsidRDefault="00944B8F" w:rsidP="00762FA7">
      <w:pPr>
        <w:ind w:left="540" w:hanging="540"/>
        <w:rPr>
          <w:del w:id="8556" w:author="AbbVie19" w:date="2025-04-16T12:28:00Z"/>
        </w:rPr>
      </w:pPr>
      <w:del w:id="8557" w:author="AbbVie19" w:date="2025-04-16T12:28:00Z">
        <w:r w:rsidRPr="00BC0E7E">
          <w:delText>One 0.8 ml vial contains 40 mg adalimumab</w:delText>
        </w:r>
        <w:r w:rsidR="007746CB">
          <w:delText>.</w:delText>
        </w:r>
      </w:del>
    </w:p>
    <w:p w14:paraId="2A99B0B7" w14:textId="77777777" w:rsidR="00BC0E7E" w:rsidRPr="00BC0E7E" w:rsidRDefault="00BC0E7E" w:rsidP="00762FA7">
      <w:pPr>
        <w:ind w:left="540" w:hanging="540"/>
        <w:rPr>
          <w:del w:id="8558" w:author="AbbVie19" w:date="2025-04-16T12:28:00Z"/>
        </w:rPr>
      </w:pPr>
    </w:p>
    <w:p w14:paraId="651D386A" w14:textId="77777777" w:rsidR="00BC0E7E" w:rsidRPr="00BC0E7E" w:rsidRDefault="00BC0E7E" w:rsidP="00762FA7">
      <w:pPr>
        <w:ind w:left="540" w:hanging="540"/>
        <w:rPr>
          <w:del w:id="8559" w:author="AbbVie19" w:date="2025-04-16T12:28:00Z"/>
        </w:rPr>
      </w:pPr>
    </w:p>
    <w:p w14:paraId="2D0A35D7"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560" w:author="AbbVie19" w:date="2025-04-16T12:28:00Z"/>
          <w:b/>
          <w:caps/>
          <w:szCs w:val="20"/>
        </w:rPr>
      </w:pPr>
      <w:del w:id="8561" w:author="AbbVie19" w:date="2025-04-16T12:28:00Z">
        <w:r w:rsidRPr="00BC0E7E">
          <w:rPr>
            <w:b/>
            <w:caps/>
            <w:szCs w:val="20"/>
          </w:rPr>
          <w:delText>3.</w:delText>
        </w:r>
        <w:r w:rsidRPr="00BC0E7E">
          <w:rPr>
            <w:b/>
            <w:caps/>
            <w:szCs w:val="20"/>
          </w:rPr>
          <w:tab/>
          <w:delText>LIST OF EXCIPIENTS</w:delText>
        </w:r>
      </w:del>
    </w:p>
    <w:p w14:paraId="7BC05231" w14:textId="77777777" w:rsidR="00BC0E7E" w:rsidRPr="00BC0E7E" w:rsidRDefault="00BC0E7E" w:rsidP="00762FA7">
      <w:pPr>
        <w:rPr>
          <w:del w:id="8562" w:author="AbbVie19" w:date="2025-04-16T12:28:00Z"/>
        </w:rPr>
      </w:pPr>
    </w:p>
    <w:p w14:paraId="1C1E20E2" w14:textId="77777777" w:rsidR="00BC0E7E" w:rsidRPr="00BC0E7E" w:rsidRDefault="00944B8F" w:rsidP="00762FA7">
      <w:pPr>
        <w:rPr>
          <w:del w:id="8563" w:author="AbbVie19" w:date="2025-04-16T12:28:00Z"/>
        </w:rPr>
      </w:pPr>
      <w:del w:id="8564" w:author="AbbVie19" w:date="2025-04-16T12:28:00Z">
        <w:r w:rsidRPr="00BC0E7E">
          <w:delText>Excipients: mannitol, citric acid monohydrate, sodium citrate, sodium dihydrogen phosphate dihydrate, disodium phosphate dihydrate, sodium chloride, polysorbate 80, sodium hydroxide and water for injections. See leaflet for further information.</w:delText>
        </w:r>
      </w:del>
    </w:p>
    <w:p w14:paraId="4AE033FA" w14:textId="77777777" w:rsidR="00BC0E7E" w:rsidRPr="00BC0E7E" w:rsidRDefault="00BC0E7E" w:rsidP="00762FA7">
      <w:pPr>
        <w:rPr>
          <w:del w:id="8565" w:author="AbbVie19" w:date="2025-04-16T12:28:00Z"/>
        </w:rPr>
      </w:pPr>
    </w:p>
    <w:p w14:paraId="1636C84D" w14:textId="77777777" w:rsidR="00BC0E7E" w:rsidRPr="00BC0E7E" w:rsidRDefault="00BC0E7E" w:rsidP="00762FA7">
      <w:pPr>
        <w:rPr>
          <w:del w:id="8566" w:author="AbbVie19" w:date="2025-04-16T12:28:00Z"/>
        </w:rPr>
      </w:pPr>
    </w:p>
    <w:p w14:paraId="4EAEFA94"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567" w:author="AbbVie19" w:date="2025-04-16T12:28:00Z"/>
          <w:b/>
          <w:caps/>
          <w:szCs w:val="20"/>
        </w:rPr>
      </w:pPr>
      <w:del w:id="8568" w:author="AbbVie19" w:date="2025-04-16T12:28:00Z">
        <w:r w:rsidRPr="00BC0E7E">
          <w:rPr>
            <w:b/>
            <w:caps/>
            <w:szCs w:val="20"/>
          </w:rPr>
          <w:delText>4.</w:delText>
        </w:r>
        <w:r w:rsidRPr="00BC0E7E">
          <w:rPr>
            <w:b/>
            <w:caps/>
            <w:szCs w:val="20"/>
          </w:rPr>
          <w:tab/>
          <w:delText>PHARMACEUTICAL FORM AND CONTENTS</w:delText>
        </w:r>
      </w:del>
    </w:p>
    <w:p w14:paraId="29CFD9FB" w14:textId="77777777" w:rsidR="00BC0E7E" w:rsidRPr="00BC0E7E" w:rsidRDefault="00BC0E7E" w:rsidP="00762FA7">
      <w:pPr>
        <w:ind w:left="540" w:hanging="540"/>
        <w:rPr>
          <w:del w:id="8569" w:author="AbbVie19" w:date="2025-04-16T12:28:00Z"/>
        </w:rPr>
      </w:pPr>
    </w:p>
    <w:p w14:paraId="25EA4056" w14:textId="77777777" w:rsidR="007E1F7C" w:rsidRDefault="00944B8F" w:rsidP="00762FA7">
      <w:pPr>
        <w:autoSpaceDE w:val="0"/>
        <w:autoSpaceDN w:val="0"/>
        <w:adjustRightInd w:val="0"/>
        <w:rPr>
          <w:del w:id="8570" w:author="AbbVie19" w:date="2025-04-16T12:28:00Z"/>
        </w:rPr>
      </w:pPr>
      <w:del w:id="8571" w:author="AbbVie19" w:date="2025-04-16T12:28:00Z">
        <w:r w:rsidRPr="00925C36">
          <w:rPr>
            <w:highlight w:val="lightGray"/>
          </w:rPr>
          <w:delText>Solution for injection</w:delText>
        </w:r>
      </w:del>
    </w:p>
    <w:p w14:paraId="26B2E807" w14:textId="77777777" w:rsidR="00BC0E7E" w:rsidRPr="00BC0E7E" w:rsidRDefault="00944B8F" w:rsidP="00762FA7">
      <w:pPr>
        <w:ind w:left="540" w:hanging="540"/>
        <w:rPr>
          <w:del w:id="8572" w:author="AbbVie19" w:date="2025-04-16T12:28:00Z"/>
        </w:rPr>
      </w:pPr>
      <w:del w:id="8573" w:author="AbbVie19" w:date="2025-04-16T12:28:00Z">
        <w:r w:rsidRPr="00BC0E7E">
          <w:delText>Contains 2 cartons each for a single injection only</w:delText>
        </w:r>
      </w:del>
    </w:p>
    <w:p w14:paraId="387C24A4" w14:textId="77777777" w:rsidR="00BC0E7E" w:rsidRPr="00BC0E7E" w:rsidRDefault="00944B8F" w:rsidP="00762FA7">
      <w:pPr>
        <w:ind w:left="540" w:hanging="540"/>
        <w:rPr>
          <w:del w:id="8574" w:author="AbbVie19" w:date="2025-04-16T12:28:00Z"/>
        </w:rPr>
      </w:pPr>
      <w:del w:id="8575" w:author="AbbVie19" w:date="2025-04-16T12:28:00Z">
        <w:r w:rsidRPr="00BC0E7E">
          <w:rPr>
            <w:b/>
          </w:rPr>
          <w:delText>Each carton contains</w:delText>
        </w:r>
        <w:r w:rsidRPr="00BC0E7E">
          <w:delText>:</w:delText>
        </w:r>
      </w:del>
    </w:p>
    <w:p w14:paraId="0D968817" w14:textId="77777777" w:rsidR="00BC0E7E" w:rsidRPr="00BC0E7E" w:rsidRDefault="00944B8F" w:rsidP="00762FA7">
      <w:pPr>
        <w:ind w:left="540" w:hanging="540"/>
        <w:rPr>
          <w:del w:id="8576" w:author="AbbVie19" w:date="2025-04-16T12:28:00Z"/>
          <w:i/>
        </w:rPr>
      </w:pPr>
      <w:del w:id="8577" w:author="AbbVie19" w:date="2025-04-16T12:28:00Z">
        <w:r w:rsidRPr="00BC0E7E">
          <w:delText xml:space="preserve">1 vial </w:delText>
        </w:r>
      </w:del>
    </w:p>
    <w:p w14:paraId="62EF8C08" w14:textId="77777777" w:rsidR="00BC0E7E" w:rsidRPr="00BC0E7E" w:rsidRDefault="00944B8F" w:rsidP="00762FA7">
      <w:pPr>
        <w:ind w:left="540" w:hanging="540"/>
        <w:rPr>
          <w:del w:id="8578" w:author="AbbVie19" w:date="2025-04-16T12:28:00Z"/>
        </w:rPr>
      </w:pPr>
      <w:del w:id="8579" w:author="AbbVie19" w:date="2025-04-16T12:28:00Z">
        <w:r w:rsidRPr="00BC0E7E">
          <w:delText xml:space="preserve">1 sterile injection syringe </w:delText>
        </w:r>
      </w:del>
    </w:p>
    <w:p w14:paraId="1ADBF928" w14:textId="77777777" w:rsidR="00BC0E7E" w:rsidRPr="00762FA7" w:rsidRDefault="00944B8F" w:rsidP="00762FA7">
      <w:pPr>
        <w:ind w:left="540" w:hanging="540"/>
        <w:rPr>
          <w:del w:id="8580" w:author="AbbVie19" w:date="2025-04-16T12:28:00Z"/>
          <w:lang w:val="nb-NO"/>
        </w:rPr>
      </w:pPr>
      <w:del w:id="8581" w:author="AbbVie19" w:date="2025-04-16T12:28:00Z">
        <w:r w:rsidRPr="00762FA7">
          <w:rPr>
            <w:lang w:val="nb-NO"/>
          </w:rPr>
          <w:delText>1 sterile needle</w:delText>
        </w:r>
      </w:del>
    </w:p>
    <w:p w14:paraId="03F23CBD" w14:textId="77777777" w:rsidR="00BC0E7E" w:rsidRPr="00762FA7" w:rsidRDefault="00944B8F" w:rsidP="00762FA7">
      <w:pPr>
        <w:ind w:left="540" w:hanging="540"/>
        <w:rPr>
          <w:del w:id="8582" w:author="AbbVie19" w:date="2025-04-16T12:28:00Z"/>
          <w:lang w:val="nb-NO"/>
        </w:rPr>
      </w:pPr>
      <w:del w:id="8583" w:author="AbbVie19" w:date="2025-04-16T12:28:00Z">
        <w:r w:rsidRPr="00762FA7">
          <w:rPr>
            <w:lang w:val="nb-NO"/>
          </w:rPr>
          <w:delText>1 sterile vial adapter</w:delText>
        </w:r>
      </w:del>
    </w:p>
    <w:p w14:paraId="7F10E3E4" w14:textId="77777777" w:rsidR="00BC0E7E" w:rsidRPr="00762FA7" w:rsidRDefault="00944B8F" w:rsidP="00762FA7">
      <w:pPr>
        <w:ind w:left="540" w:hanging="540"/>
        <w:rPr>
          <w:del w:id="8584" w:author="AbbVie19" w:date="2025-04-16T12:28:00Z"/>
          <w:lang w:val="nb-NO"/>
        </w:rPr>
      </w:pPr>
      <w:del w:id="8585" w:author="AbbVie19" w:date="2025-04-16T12:28:00Z">
        <w:r w:rsidRPr="00762FA7">
          <w:rPr>
            <w:lang w:val="nb-NO"/>
          </w:rPr>
          <w:delText xml:space="preserve">2 alcohol pads </w:delText>
        </w:r>
      </w:del>
    </w:p>
    <w:p w14:paraId="46039BBD" w14:textId="77777777" w:rsidR="00BC0E7E" w:rsidRPr="00762FA7" w:rsidRDefault="00BC0E7E" w:rsidP="00762FA7">
      <w:pPr>
        <w:ind w:left="540" w:hanging="540"/>
        <w:rPr>
          <w:del w:id="8586" w:author="AbbVie19" w:date="2025-04-16T12:28:00Z"/>
          <w:lang w:val="nb-NO"/>
        </w:rPr>
      </w:pPr>
    </w:p>
    <w:p w14:paraId="137A6985" w14:textId="77777777" w:rsidR="00BC0E7E" w:rsidRPr="00762FA7" w:rsidRDefault="00BC0E7E" w:rsidP="00762FA7">
      <w:pPr>
        <w:ind w:left="540" w:hanging="540"/>
        <w:rPr>
          <w:del w:id="8587" w:author="AbbVie19" w:date="2025-04-16T12:28:00Z"/>
          <w:lang w:val="nb-NO"/>
        </w:rPr>
      </w:pPr>
    </w:p>
    <w:p w14:paraId="5A2ECE35"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588" w:author="AbbVie19" w:date="2025-04-16T12:28:00Z"/>
          <w:b/>
          <w:caps/>
          <w:szCs w:val="20"/>
        </w:rPr>
      </w:pPr>
      <w:del w:id="8589" w:author="AbbVie19" w:date="2025-04-16T12:28:00Z">
        <w:r w:rsidRPr="00BC0E7E">
          <w:rPr>
            <w:b/>
            <w:caps/>
            <w:szCs w:val="20"/>
          </w:rPr>
          <w:delText>5.</w:delText>
        </w:r>
        <w:r w:rsidRPr="00BC0E7E">
          <w:rPr>
            <w:b/>
            <w:caps/>
            <w:szCs w:val="20"/>
          </w:rPr>
          <w:tab/>
          <w:delText>METHOD AND ROUTE OF ADMINISTRATION</w:delText>
        </w:r>
      </w:del>
    </w:p>
    <w:p w14:paraId="50A9BE9D" w14:textId="77777777" w:rsidR="00BC0E7E" w:rsidRPr="00BC0E7E" w:rsidRDefault="00BC0E7E" w:rsidP="00762FA7">
      <w:pPr>
        <w:ind w:left="540" w:hanging="540"/>
        <w:rPr>
          <w:del w:id="8590" w:author="AbbVie19" w:date="2025-04-16T12:28:00Z"/>
        </w:rPr>
      </w:pPr>
    </w:p>
    <w:p w14:paraId="1B027470" w14:textId="77777777" w:rsidR="00BC0E7E" w:rsidRPr="00BC0E7E" w:rsidRDefault="00944B8F" w:rsidP="00762FA7">
      <w:pPr>
        <w:ind w:left="540" w:hanging="540"/>
        <w:rPr>
          <w:del w:id="8591" w:author="AbbVie19" w:date="2025-04-16T12:28:00Z"/>
        </w:rPr>
      </w:pPr>
      <w:del w:id="8592" w:author="AbbVie19" w:date="2025-04-16T12:28:00Z">
        <w:r w:rsidRPr="00BC0E7E">
          <w:delText>Subcutaneous use</w:delText>
        </w:r>
      </w:del>
    </w:p>
    <w:p w14:paraId="4839B9A4" w14:textId="77777777" w:rsidR="00BC0E7E" w:rsidRPr="00BC0E7E" w:rsidRDefault="00BC0E7E" w:rsidP="00762FA7">
      <w:pPr>
        <w:ind w:left="540" w:hanging="540"/>
        <w:rPr>
          <w:del w:id="8593" w:author="AbbVie19" w:date="2025-04-16T12:28:00Z"/>
        </w:rPr>
      </w:pPr>
    </w:p>
    <w:p w14:paraId="699390F5" w14:textId="77777777" w:rsidR="00BC0E7E" w:rsidRPr="00BC0E7E" w:rsidRDefault="00944B8F" w:rsidP="00762FA7">
      <w:pPr>
        <w:ind w:left="540" w:hanging="540"/>
        <w:rPr>
          <w:del w:id="8594" w:author="AbbVie19" w:date="2025-04-16T12:28:00Z"/>
        </w:rPr>
      </w:pPr>
      <w:del w:id="8595" w:author="AbbVie19" w:date="2025-04-16T12:28:00Z">
        <w:r w:rsidRPr="00BC0E7E">
          <w:delText>Read the package leaflet before use.</w:delText>
        </w:r>
      </w:del>
    </w:p>
    <w:p w14:paraId="5D2CF2AD" w14:textId="77777777" w:rsidR="007E1F7C" w:rsidRDefault="007E1F7C" w:rsidP="00762FA7">
      <w:pPr>
        <w:ind w:left="540" w:hanging="540"/>
        <w:rPr>
          <w:del w:id="8596" w:author="AbbVie19" w:date="2025-04-16T12:28:00Z"/>
        </w:rPr>
      </w:pPr>
    </w:p>
    <w:p w14:paraId="2066B15D" w14:textId="77777777" w:rsidR="007E1F7C" w:rsidRDefault="00944B8F" w:rsidP="00762FA7">
      <w:pPr>
        <w:ind w:left="540" w:hanging="540"/>
        <w:rPr>
          <w:del w:id="8597" w:author="AbbVie19" w:date="2025-04-16T12:28:00Z"/>
        </w:rPr>
      </w:pPr>
      <w:del w:id="8598" w:author="AbbVie19" w:date="2025-04-16T12:28:00Z">
        <w:r>
          <w:delText>F</w:delText>
        </w:r>
        <w:r w:rsidRPr="002A3533">
          <w:delText>or paediatric use</w:delText>
        </w:r>
      </w:del>
    </w:p>
    <w:p w14:paraId="1EAF0073" w14:textId="77777777" w:rsidR="00BC0E7E" w:rsidRPr="00BC0E7E" w:rsidRDefault="00BC0E7E" w:rsidP="00762FA7">
      <w:pPr>
        <w:ind w:left="540" w:hanging="540"/>
        <w:rPr>
          <w:del w:id="8599" w:author="AbbVie19" w:date="2025-04-16T12:28:00Z"/>
        </w:rPr>
      </w:pPr>
    </w:p>
    <w:p w14:paraId="3AB0F014" w14:textId="77777777" w:rsidR="00BC0E7E" w:rsidRPr="00BC0E7E" w:rsidRDefault="00BC0E7E" w:rsidP="00762FA7">
      <w:pPr>
        <w:ind w:left="540" w:hanging="540"/>
        <w:rPr>
          <w:del w:id="8600" w:author="AbbVie19" w:date="2025-04-16T12:28:00Z"/>
        </w:rPr>
      </w:pPr>
    </w:p>
    <w:p w14:paraId="30F700DD"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601" w:author="AbbVie19" w:date="2025-04-16T12:28:00Z"/>
          <w:b/>
          <w:caps/>
          <w:szCs w:val="20"/>
        </w:rPr>
      </w:pPr>
      <w:del w:id="8602" w:author="AbbVie19" w:date="2025-04-16T12:28:00Z">
        <w:r w:rsidRPr="00BC0E7E">
          <w:rPr>
            <w:b/>
            <w:caps/>
            <w:szCs w:val="20"/>
          </w:rPr>
          <w:delText>6.</w:delText>
        </w:r>
        <w:r w:rsidRPr="00BC0E7E">
          <w:rPr>
            <w:b/>
            <w:caps/>
            <w:szCs w:val="20"/>
          </w:rPr>
          <w:tab/>
          <w:delText>SPECIAL WARNING THAT THE MEDICINAL PRODUCT MUST BE STORED OUT OF THE SIGHT AND REACH OF CHILDREN</w:delText>
        </w:r>
      </w:del>
    </w:p>
    <w:p w14:paraId="0EE8F0B6" w14:textId="77777777" w:rsidR="00BC0E7E" w:rsidRPr="00BC0E7E" w:rsidRDefault="00BC0E7E" w:rsidP="00762FA7">
      <w:pPr>
        <w:ind w:left="540" w:hanging="540"/>
        <w:rPr>
          <w:del w:id="8603" w:author="AbbVie19" w:date="2025-04-16T12:28:00Z"/>
        </w:rPr>
      </w:pPr>
    </w:p>
    <w:p w14:paraId="1967221A" w14:textId="77777777" w:rsidR="00BC0E7E" w:rsidRPr="00BC0E7E" w:rsidRDefault="00944B8F" w:rsidP="00762FA7">
      <w:pPr>
        <w:ind w:left="540" w:hanging="540"/>
        <w:rPr>
          <w:del w:id="8604" w:author="AbbVie19" w:date="2025-04-16T12:28:00Z"/>
        </w:rPr>
      </w:pPr>
      <w:del w:id="8605" w:author="AbbVie19" w:date="2025-04-16T12:28:00Z">
        <w:r w:rsidRPr="00BC0E7E">
          <w:delText>Keep out of the sight and reach of children.</w:delText>
        </w:r>
      </w:del>
    </w:p>
    <w:p w14:paraId="24940AD3" w14:textId="77777777" w:rsidR="00BC0E7E" w:rsidRPr="00BC0E7E" w:rsidRDefault="00BC0E7E" w:rsidP="00762FA7">
      <w:pPr>
        <w:ind w:left="540" w:hanging="540"/>
        <w:rPr>
          <w:del w:id="8606" w:author="AbbVie19" w:date="2025-04-16T12:28:00Z"/>
        </w:rPr>
      </w:pPr>
    </w:p>
    <w:p w14:paraId="5E701026" w14:textId="77777777" w:rsidR="00BC0E7E" w:rsidRPr="00BC0E7E" w:rsidRDefault="00BC0E7E" w:rsidP="00762FA7">
      <w:pPr>
        <w:ind w:left="540" w:hanging="540"/>
        <w:rPr>
          <w:del w:id="8607" w:author="AbbVie19" w:date="2025-04-16T12:28:00Z"/>
        </w:rPr>
      </w:pPr>
    </w:p>
    <w:p w14:paraId="0C28774C"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608" w:author="AbbVie19" w:date="2025-04-16T12:28:00Z"/>
          <w:b/>
          <w:caps/>
          <w:szCs w:val="20"/>
        </w:rPr>
      </w:pPr>
      <w:del w:id="8609" w:author="AbbVie19" w:date="2025-04-16T12:28:00Z">
        <w:r w:rsidRPr="00BC0E7E">
          <w:rPr>
            <w:b/>
            <w:caps/>
            <w:szCs w:val="20"/>
          </w:rPr>
          <w:delText>7.</w:delText>
        </w:r>
        <w:r w:rsidRPr="00BC0E7E">
          <w:rPr>
            <w:b/>
            <w:caps/>
            <w:szCs w:val="20"/>
          </w:rPr>
          <w:tab/>
          <w:delText>OTHER SPECIAL WARNING, IF NECESSARY</w:delText>
        </w:r>
      </w:del>
    </w:p>
    <w:p w14:paraId="07754AE5" w14:textId="77777777" w:rsidR="00BC0E7E" w:rsidRPr="00BC0E7E" w:rsidRDefault="00BC0E7E" w:rsidP="00762FA7">
      <w:pPr>
        <w:ind w:left="540" w:hanging="540"/>
        <w:rPr>
          <w:del w:id="8610" w:author="AbbVie19" w:date="2025-04-16T12:28:00Z"/>
        </w:rPr>
      </w:pPr>
    </w:p>
    <w:p w14:paraId="39C6F414" w14:textId="77777777" w:rsidR="00BC0E7E" w:rsidRPr="00BC0E7E" w:rsidRDefault="00BC0E7E" w:rsidP="00762FA7">
      <w:pPr>
        <w:ind w:left="540" w:hanging="540"/>
        <w:rPr>
          <w:del w:id="8611" w:author="AbbVie19" w:date="2025-04-16T12:28:00Z"/>
        </w:rPr>
      </w:pPr>
    </w:p>
    <w:p w14:paraId="208E88A5"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1" w:hanging="561"/>
        <w:rPr>
          <w:del w:id="8612" w:author="AbbVie19" w:date="2025-04-16T12:28:00Z"/>
          <w:b/>
          <w:caps/>
          <w:szCs w:val="20"/>
        </w:rPr>
      </w:pPr>
      <w:del w:id="8613" w:author="AbbVie19" w:date="2025-04-16T12:28:00Z">
        <w:r w:rsidRPr="00BC0E7E">
          <w:rPr>
            <w:b/>
            <w:caps/>
            <w:szCs w:val="20"/>
          </w:rPr>
          <w:delText>8.</w:delText>
        </w:r>
        <w:r w:rsidRPr="00BC0E7E">
          <w:rPr>
            <w:b/>
            <w:caps/>
            <w:szCs w:val="20"/>
          </w:rPr>
          <w:tab/>
          <w:delText>EXPIRY DATE</w:delText>
        </w:r>
      </w:del>
    </w:p>
    <w:p w14:paraId="171CF291" w14:textId="77777777" w:rsidR="00BC0E7E" w:rsidRPr="00BC0E7E" w:rsidRDefault="00BC0E7E" w:rsidP="00762FA7">
      <w:pPr>
        <w:ind w:left="540" w:hanging="540"/>
        <w:rPr>
          <w:del w:id="8614" w:author="AbbVie19" w:date="2025-04-16T12:28:00Z"/>
        </w:rPr>
      </w:pPr>
    </w:p>
    <w:p w14:paraId="4C92693C" w14:textId="77777777" w:rsidR="00BC0E7E" w:rsidRPr="00BC0E7E" w:rsidRDefault="00944B8F" w:rsidP="00762FA7">
      <w:pPr>
        <w:ind w:left="540" w:hanging="540"/>
        <w:rPr>
          <w:del w:id="8615" w:author="AbbVie19" w:date="2025-04-16T12:28:00Z"/>
        </w:rPr>
      </w:pPr>
      <w:del w:id="8616" w:author="AbbVie19" w:date="2025-04-16T12:28:00Z">
        <w:r w:rsidRPr="00BC0E7E">
          <w:delText>EXP</w:delText>
        </w:r>
      </w:del>
    </w:p>
    <w:p w14:paraId="27DC045B" w14:textId="77777777" w:rsidR="00BC0E7E" w:rsidRPr="00BC0E7E" w:rsidRDefault="00BC0E7E" w:rsidP="00762FA7">
      <w:pPr>
        <w:ind w:left="540" w:hanging="540"/>
        <w:rPr>
          <w:del w:id="8617" w:author="AbbVie19" w:date="2025-04-16T12:28:00Z"/>
        </w:rPr>
      </w:pPr>
    </w:p>
    <w:p w14:paraId="3E9FDD91" w14:textId="77777777" w:rsidR="00BC0E7E" w:rsidRPr="00BC0E7E" w:rsidRDefault="00BC0E7E" w:rsidP="00762FA7">
      <w:pPr>
        <w:ind w:left="540" w:hanging="540"/>
        <w:rPr>
          <w:del w:id="8618" w:author="AbbVie19" w:date="2025-04-16T12:28:00Z"/>
        </w:rPr>
      </w:pPr>
    </w:p>
    <w:p w14:paraId="1603DA98"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619" w:author="AbbVie19" w:date="2025-04-16T12:28:00Z"/>
          <w:b/>
          <w:caps/>
          <w:szCs w:val="20"/>
        </w:rPr>
      </w:pPr>
      <w:del w:id="8620" w:author="AbbVie19" w:date="2025-04-16T12:28:00Z">
        <w:r w:rsidRPr="00BC0E7E">
          <w:rPr>
            <w:b/>
            <w:caps/>
            <w:szCs w:val="20"/>
          </w:rPr>
          <w:delText>9.</w:delText>
        </w:r>
        <w:r w:rsidRPr="00BC0E7E">
          <w:rPr>
            <w:b/>
            <w:caps/>
            <w:szCs w:val="20"/>
          </w:rPr>
          <w:tab/>
          <w:delText>SPECIAL STORAGE CONDITIONS</w:delText>
        </w:r>
      </w:del>
    </w:p>
    <w:p w14:paraId="2CE5C7AC" w14:textId="77777777" w:rsidR="00BC0E7E" w:rsidRPr="00BC0E7E" w:rsidRDefault="00BC0E7E" w:rsidP="00762FA7">
      <w:pPr>
        <w:ind w:left="540" w:hanging="540"/>
        <w:rPr>
          <w:del w:id="8621" w:author="AbbVie19" w:date="2025-04-16T12:28:00Z"/>
        </w:rPr>
      </w:pPr>
    </w:p>
    <w:p w14:paraId="0629CBC8" w14:textId="77777777" w:rsidR="00BC0E7E" w:rsidRPr="00BC0E7E" w:rsidRDefault="00944B8F" w:rsidP="00762FA7">
      <w:pPr>
        <w:ind w:left="540" w:hanging="540"/>
        <w:rPr>
          <w:del w:id="8622" w:author="AbbVie19" w:date="2025-04-16T12:28:00Z"/>
        </w:rPr>
      </w:pPr>
      <w:del w:id="8623" w:author="AbbVie19" w:date="2025-04-16T12:28:00Z">
        <w:r w:rsidRPr="00BC0E7E">
          <w:delText>Store in a refrigerator. Do not freeze.</w:delText>
        </w:r>
      </w:del>
    </w:p>
    <w:p w14:paraId="0C7B7746" w14:textId="77777777" w:rsidR="00BC0E7E" w:rsidRPr="00BC0E7E" w:rsidRDefault="00944B8F" w:rsidP="00762FA7">
      <w:pPr>
        <w:ind w:left="540" w:hanging="540"/>
        <w:rPr>
          <w:del w:id="8624" w:author="AbbVie19" w:date="2025-04-16T12:28:00Z"/>
        </w:rPr>
      </w:pPr>
      <w:del w:id="8625" w:author="AbbVie19" w:date="2025-04-16T12:28:00Z">
        <w:r w:rsidRPr="00BC0E7E">
          <w:delText>Keep the vial in the outer carton in order to protect from light.</w:delText>
        </w:r>
      </w:del>
    </w:p>
    <w:p w14:paraId="779B7412" w14:textId="77777777" w:rsidR="00BC0E7E" w:rsidRPr="00BC0E7E" w:rsidRDefault="00BC0E7E" w:rsidP="00762FA7">
      <w:pPr>
        <w:ind w:left="540" w:hanging="540"/>
        <w:rPr>
          <w:del w:id="8626" w:author="AbbVie19" w:date="2025-04-16T12:28:00Z"/>
        </w:rPr>
      </w:pPr>
    </w:p>
    <w:p w14:paraId="21C0C6DC" w14:textId="77777777" w:rsidR="00BC0E7E" w:rsidRPr="00BC0E7E" w:rsidRDefault="00BC0E7E" w:rsidP="00762FA7">
      <w:pPr>
        <w:ind w:left="540" w:hanging="540"/>
        <w:rPr>
          <w:del w:id="8627" w:author="AbbVie19" w:date="2025-04-16T12:28:00Z"/>
        </w:rPr>
      </w:pPr>
    </w:p>
    <w:p w14:paraId="7B99A42F"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628" w:author="AbbVie19" w:date="2025-04-16T12:28:00Z"/>
          <w:b/>
          <w:caps/>
          <w:szCs w:val="20"/>
        </w:rPr>
      </w:pPr>
      <w:del w:id="8629" w:author="AbbVie19" w:date="2025-04-16T12:28:00Z">
        <w:r w:rsidRPr="00BC0E7E">
          <w:rPr>
            <w:b/>
            <w:caps/>
            <w:szCs w:val="20"/>
          </w:rPr>
          <w:delText>10.</w:delText>
        </w:r>
        <w:r w:rsidRPr="00BC0E7E">
          <w:rPr>
            <w:b/>
            <w:caps/>
            <w:szCs w:val="20"/>
          </w:rPr>
          <w:tab/>
          <w:delText>SPECIAL PRECAUTIONS FOR DISPOSAL OF UNUSED MEDICINAL PRODUCTS OR WASTE MATERIALS DERIVED FROM SUCH MEDICINAL PRODUCTS, IF APPROPRIATE</w:delText>
        </w:r>
      </w:del>
    </w:p>
    <w:p w14:paraId="503C9D1A" w14:textId="77777777" w:rsidR="00BC0E7E" w:rsidRPr="00BC0E7E" w:rsidRDefault="00BC0E7E" w:rsidP="00762FA7">
      <w:pPr>
        <w:ind w:left="540" w:hanging="540"/>
        <w:rPr>
          <w:del w:id="8630" w:author="AbbVie19" w:date="2025-04-16T12:28:00Z"/>
        </w:rPr>
      </w:pPr>
    </w:p>
    <w:p w14:paraId="4063DC5E" w14:textId="77777777" w:rsidR="00BC0E7E" w:rsidRPr="00BC0E7E" w:rsidRDefault="00BC0E7E" w:rsidP="00762FA7">
      <w:pPr>
        <w:ind w:left="540" w:hanging="540"/>
        <w:rPr>
          <w:del w:id="8631" w:author="AbbVie19" w:date="2025-04-16T12:28:00Z"/>
        </w:rPr>
      </w:pPr>
    </w:p>
    <w:p w14:paraId="5209C788"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1" w:hanging="561"/>
        <w:rPr>
          <w:del w:id="8632" w:author="AbbVie19" w:date="2025-04-16T12:28:00Z"/>
          <w:b/>
          <w:caps/>
          <w:szCs w:val="20"/>
        </w:rPr>
      </w:pPr>
      <w:del w:id="8633" w:author="AbbVie19" w:date="2025-04-16T12:28:00Z">
        <w:r w:rsidRPr="00BC0E7E">
          <w:rPr>
            <w:b/>
            <w:caps/>
            <w:szCs w:val="20"/>
          </w:rPr>
          <w:delText>11.</w:delText>
        </w:r>
        <w:r w:rsidRPr="00BC0E7E">
          <w:rPr>
            <w:b/>
            <w:caps/>
            <w:szCs w:val="20"/>
          </w:rPr>
          <w:tab/>
          <w:delText>NAME AND ADDRESS OF THE MARKETING AUTHORISATION HOLDER</w:delText>
        </w:r>
      </w:del>
    </w:p>
    <w:p w14:paraId="5C388DE3" w14:textId="77777777" w:rsidR="00BC0E7E" w:rsidRPr="00BC0E7E" w:rsidRDefault="00BC0E7E" w:rsidP="00762FA7">
      <w:pPr>
        <w:keepNext/>
        <w:tabs>
          <w:tab w:val="clear" w:pos="562"/>
        </w:tabs>
        <w:suppressAutoHyphens w:val="0"/>
        <w:autoSpaceDE w:val="0"/>
        <w:autoSpaceDN w:val="0"/>
        <w:adjustRightInd w:val="0"/>
        <w:spacing w:line="240" w:lineRule="atLeast"/>
        <w:rPr>
          <w:del w:id="8634" w:author="AbbVie19" w:date="2025-04-16T12:28:00Z"/>
          <w:szCs w:val="22"/>
          <w:lang w:eastAsia="en-GB"/>
        </w:rPr>
      </w:pPr>
    </w:p>
    <w:p w14:paraId="00A8235F" w14:textId="77777777" w:rsidR="006A01D2" w:rsidRPr="00EB4204" w:rsidRDefault="00944B8F" w:rsidP="00762FA7">
      <w:pPr>
        <w:keepNext/>
        <w:tabs>
          <w:tab w:val="clear" w:pos="562"/>
        </w:tabs>
        <w:suppressAutoHyphens w:val="0"/>
        <w:autoSpaceDE w:val="0"/>
        <w:autoSpaceDN w:val="0"/>
        <w:adjustRightInd w:val="0"/>
        <w:spacing w:line="240" w:lineRule="atLeast"/>
        <w:rPr>
          <w:del w:id="8635" w:author="AbbVie19" w:date="2025-04-16T12:28:00Z"/>
          <w:szCs w:val="22"/>
          <w:lang w:eastAsia="en-GB"/>
        </w:rPr>
      </w:pPr>
      <w:del w:id="8636" w:author="AbbVie19" w:date="2025-04-16T12:28:00Z">
        <w:r w:rsidRPr="00EB4204">
          <w:rPr>
            <w:szCs w:val="22"/>
            <w:lang w:eastAsia="en-GB"/>
          </w:rPr>
          <w:delText>AbbVie Deutschland GmbH &amp; Co. KG</w:delText>
        </w:r>
      </w:del>
    </w:p>
    <w:p w14:paraId="4D61A830" w14:textId="77777777" w:rsidR="006A01D2" w:rsidRPr="00EB4204" w:rsidRDefault="00944B8F" w:rsidP="00762FA7">
      <w:pPr>
        <w:keepNext/>
        <w:tabs>
          <w:tab w:val="clear" w:pos="562"/>
        </w:tabs>
        <w:suppressAutoHyphens w:val="0"/>
        <w:autoSpaceDE w:val="0"/>
        <w:autoSpaceDN w:val="0"/>
        <w:adjustRightInd w:val="0"/>
        <w:spacing w:line="240" w:lineRule="atLeast"/>
        <w:rPr>
          <w:del w:id="8637" w:author="AbbVie19" w:date="2025-04-16T12:28:00Z"/>
          <w:szCs w:val="22"/>
          <w:lang w:eastAsia="en-GB"/>
        </w:rPr>
      </w:pPr>
      <w:del w:id="8638" w:author="AbbVie19" w:date="2025-04-16T12:28:00Z">
        <w:r w:rsidRPr="00EB4204">
          <w:rPr>
            <w:szCs w:val="22"/>
            <w:lang w:eastAsia="en-GB"/>
          </w:rPr>
          <w:delText>Knollstrasse</w:delText>
        </w:r>
      </w:del>
    </w:p>
    <w:p w14:paraId="367E0784" w14:textId="77777777" w:rsidR="006A01D2" w:rsidRPr="00EB4204" w:rsidRDefault="00944B8F" w:rsidP="00762FA7">
      <w:pPr>
        <w:keepNext/>
        <w:tabs>
          <w:tab w:val="clear" w:pos="562"/>
        </w:tabs>
        <w:suppressAutoHyphens w:val="0"/>
        <w:autoSpaceDE w:val="0"/>
        <w:autoSpaceDN w:val="0"/>
        <w:adjustRightInd w:val="0"/>
        <w:spacing w:line="240" w:lineRule="atLeast"/>
        <w:rPr>
          <w:del w:id="8639" w:author="AbbVie19" w:date="2025-04-16T12:28:00Z"/>
          <w:szCs w:val="22"/>
          <w:lang w:eastAsia="en-GB"/>
        </w:rPr>
      </w:pPr>
      <w:del w:id="8640" w:author="AbbVie19" w:date="2025-04-16T12:28:00Z">
        <w:r w:rsidRPr="00EB4204">
          <w:rPr>
            <w:szCs w:val="22"/>
            <w:lang w:eastAsia="en-GB"/>
          </w:rPr>
          <w:delText>67061 Ludwigshafen</w:delText>
        </w:r>
      </w:del>
    </w:p>
    <w:p w14:paraId="1BF31C3C" w14:textId="77777777" w:rsidR="006A01D2" w:rsidRDefault="00944B8F" w:rsidP="00762FA7">
      <w:pPr>
        <w:keepNext/>
        <w:tabs>
          <w:tab w:val="clear" w:pos="562"/>
          <w:tab w:val="left" w:pos="720"/>
        </w:tabs>
        <w:suppressAutoHyphens w:val="0"/>
        <w:autoSpaceDE w:val="0"/>
        <w:autoSpaceDN w:val="0"/>
        <w:adjustRightInd w:val="0"/>
        <w:spacing w:line="240" w:lineRule="atLeast"/>
        <w:rPr>
          <w:del w:id="8641" w:author="AbbVie19" w:date="2025-04-16T12:28:00Z"/>
          <w:szCs w:val="22"/>
          <w:lang w:eastAsia="en-GB"/>
        </w:rPr>
      </w:pPr>
      <w:del w:id="8642" w:author="AbbVie19" w:date="2025-04-16T12:28:00Z">
        <w:r w:rsidRPr="00EB4204">
          <w:rPr>
            <w:szCs w:val="22"/>
            <w:lang w:eastAsia="en-GB"/>
          </w:rPr>
          <w:delText>Germany</w:delText>
        </w:r>
        <w:r>
          <w:rPr>
            <w:szCs w:val="22"/>
            <w:lang w:eastAsia="en-GB"/>
          </w:rPr>
          <w:delText xml:space="preserve"> </w:delText>
        </w:r>
      </w:del>
    </w:p>
    <w:p w14:paraId="588EF5FF" w14:textId="77777777" w:rsidR="00BC0E7E" w:rsidRPr="00BC0E7E" w:rsidRDefault="00BC0E7E" w:rsidP="00762FA7">
      <w:pPr>
        <w:keepNext/>
        <w:tabs>
          <w:tab w:val="clear" w:pos="562"/>
        </w:tabs>
        <w:suppressAutoHyphens w:val="0"/>
        <w:autoSpaceDE w:val="0"/>
        <w:autoSpaceDN w:val="0"/>
        <w:adjustRightInd w:val="0"/>
        <w:spacing w:line="240" w:lineRule="atLeast"/>
        <w:rPr>
          <w:del w:id="8643" w:author="AbbVie19" w:date="2025-04-16T12:28:00Z"/>
          <w:szCs w:val="22"/>
          <w:lang w:eastAsia="en-GB"/>
        </w:rPr>
      </w:pPr>
    </w:p>
    <w:p w14:paraId="7F802D6C" w14:textId="77777777" w:rsidR="00BC0E7E" w:rsidRPr="00BC0E7E" w:rsidRDefault="00BC0E7E" w:rsidP="00762FA7">
      <w:pPr>
        <w:keepNext/>
        <w:tabs>
          <w:tab w:val="clear" w:pos="562"/>
        </w:tabs>
        <w:suppressAutoHyphens w:val="0"/>
        <w:autoSpaceDE w:val="0"/>
        <w:autoSpaceDN w:val="0"/>
        <w:adjustRightInd w:val="0"/>
        <w:spacing w:line="240" w:lineRule="atLeast"/>
        <w:rPr>
          <w:del w:id="8644" w:author="AbbVie19" w:date="2025-04-16T12:28:00Z"/>
          <w:szCs w:val="22"/>
          <w:lang w:eastAsia="en-GB"/>
        </w:rPr>
      </w:pPr>
    </w:p>
    <w:p w14:paraId="735B76C0"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645" w:author="AbbVie19" w:date="2025-04-16T12:28:00Z"/>
          <w:b/>
          <w:caps/>
          <w:szCs w:val="20"/>
        </w:rPr>
      </w:pPr>
      <w:del w:id="8646" w:author="AbbVie19" w:date="2025-04-16T12:28:00Z">
        <w:r w:rsidRPr="00BC0E7E">
          <w:rPr>
            <w:b/>
            <w:caps/>
            <w:szCs w:val="20"/>
          </w:rPr>
          <w:delText>12.</w:delText>
        </w:r>
        <w:r w:rsidRPr="00BC0E7E">
          <w:rPr>
            <w:b/>
            <w:caps/>
            <w:szCs w:val="20"/>
          </w:rPr>
          <w:tab/>
          <w:delText>MARKETING AUTHORISATION NUMBER</w:delText>
        </w:r>
      </w:del>
    </w:p>
    <w:p w14:paraId="16E7A0F5" w14:textId="77777777" w:rsidR="00BC0E7E" w:rsidRPr="00BC0E7E" w:rsidRDefault="00BC0E7E" w:rsidP="00762FA7">
      <w:pPr>
        <w:ind w:left="540" w:hanging="540"/>
        <w:rPr>
          <w:del w:id="8647" w:author="AbbVie19" w:date="2025-04-16T12:28:00Z"/>
        </w:rPr>
      </w:pPr>
    </w:p>
    <w:p w14:paraId="4F169E8F" w14:textId="77777777" w:rsidR="00BC0E7E" w:rsidRPr="00BC0E7E" w:rsidRDefault="00944B8F" w:rsidP="00762FA7">
      <w:pPr>
        <w:ind w:left="540" w:hanging="540"/>
        <w:rPr>
          <w:del w:id="8648" w:author="AbbVie19" w:date="2025-04-16T12:28:00Z"/>
        </w:rPr>
      </w:pPr>
      <w:del w:id="8649" w:author="AbbVie19" w:date="2025-04-16T12:28:00Z">
        <w:r w:rsidRPr="00BC0E7E">
          <w:delText>EU/1/03/256/001</w:delText>
        </w:r>
      </w:del>
    </w:p>
    <w:p w14:paraId="31CDBFB3" w14:textId="77777777" w:rsidR="00BC0E7E" w:rsidRPr="00BC0E7E" w:rsidRDefault="00BC0E7E" w:rsidP="00762FA7">
      <w:pPr>
        <w:ind w:left="540" w:hanging="540"/>
        <w:rPr>
          <w:del w:id="8650" w:author="AbbVie19" w:date="2025-04-16T12:28:00Z"/>
        </w:rPr>
      </w:pPr>
    </w:p>
    <w:p w14:paraId="3D3FF125" w14:textId="77777777" w:rsidR="00BC0E7E" w:rsidRPr="00BC0E7E" w:rsidRDefault="00BC0E7E" w:rsidP="00762FA7">
      <w:pPr>
        <w:ind w:left="540" w:hanging="540"/>
        <w:rPr>
          <w:del w:id="8651" w:author="AbbVie19" w:date="2025-04-16T12:28:00Z"/>
        </w:rPr>
      </w:pPr>
    </w:p>
    <w:p w14:paraId="5912FE58"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652" w:author="AbbVie19" w:date="2025-04-16T12:28:00Z"/>
          <w:b/>
          <w:caps/>
          <w:szCs w:val="20"/>
        </w:rPr>
      </w:pPr>
      <w:del w:id="8653" w:author="AbbVie19" w:date="2025-04-16T12:28:00Z">
        <w:r w:rsidRPr="00BC0E7E">
          <w:rPr>
            <w:b/>
            <w:caps/>
            <w:szCs w:val="20"/>
          </w:rPr>
          <w:delText>13.</w:delText>
        </w:r>
        <w:r w:rsidRPr="00BC0E7E">
          <w:rPr>
            <w:b/>
            <w:caps/>
            <w:szCs w:val="20"/>
          </w:rPr>
          <w:tab/>
          <w:delText>BATCH NUMBER</w:delText>
        </w:r>
      </w:del>
    </w:p>
    <w:p w14:paraId="48B45102" w14:textId="77777777" w:rsidR="00BC0E7E" w:rsidRPr="00BC0E7E" w:rsidRDefault="00BC0E7E" w:rsidP="00762FA7">
      <w:pPr>
        <w:ind w:left="540" w:hanging="540"/>
        <w:rPr>
          <w:del w:id="8654" w:author="AbbVie19" w:date="2025-04-16T12:28:00Z"/>
        </w:rPr>
      </w:pPr>
    </w:p>
    <w:p w14:paraId="489487CD" w14:textId="77777777" w:rsidR="00BC0E7E" w:rsidRPr="00BC0E7E" w:rsidRDefault="00944B8F" w:rsidP="00762FA7">
      <w:pPr>
        <w:ind w:left="540" w:hanging="540"/>
        <w:rPr>
          <w:del w:id="8655" w:author="AbbVie19" w:date="2025-04-16T12:28:00Z"/>
        </w:rPr>
      </w:pPr>
      <w:del w:id="8656" w:author="AbbVie19" w:date="2025-04-16T12:28:00Z">
        <w:r w:rsidRPr="00BC0E7E">
          <w:delText xml:space="preserve">Lot </w:delText>
        </w:r>
      </w:del>
    </w:p>
    <w:p w14:paraId="052AA7A8" w14:textId="77777777" w:rsidR="00BC0E7E" w:rsidRPr="00BC0E7E" w:rsidRDefault="00BC0E7E" w:rsidP="00762FA7">
      <w:pPr>
        <w:ind w:left="540" w:hanging="540"/>
        <w:rPr>
          <w:del w:id="8657" w:author="AbbVie19" w:date="2025-04-16T12:28:00Z"/>
        </w:rPr>
      </w:pPr>
    </w:p>
    <w:p w14:paraId="506E85E3" w14:textId="77777777" w:rsidR="00BC0E7E" w:rsidRPr="00BC0E7E" w:rsidRDefault="00BC0E7E" w:rsidP="00762FA7">
      <w:pPr>
        <w:ind w:left="540" w:hanging="540"/>
        <w:rPr>
          <w:del w:id="8658" w:author="AbbVie19" w:date="2025-04-16T12:28:00Z"/>
        </w:rPr>
      </w:pPr>
    </w:p>
    <w:p w14:paraId="3B133599"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659" w:author="AbbVie19" w:date="2025-04-16T12:28:00Z"/>
          <w:b/>
          <w:caps/>
          <w:szCs w:val="20"/>
        </w:rPr>
      </w:pPr>
      <w:del w:id="8660" w:author="AbbVie19" w:date="2025-04-16T12:28:00Z">
        <w:r w:rsidRPr="00BC0E7E">
          <w:rPr>
            <w:b/>
            <w:caps/>
            <w:szCs w:val="20"/>
          </w:rPr>
          <w:delText>14.</w:delText>
        </w:r>
        <w:r w:rsidRPr="00BC0E7E">
          <w:rPr>
            <w:b/>
            <w:caps/>
            <w:szCs w:val="20"/>
          </w:rPr>
          <w:tab/>
          <w:delText>GENERAL CLASSIFICATION FOR SUPPLY</w:delText>
        </w:r>
      </w:del>
    </w:p>
    <w:p w14:paraId="6AFC0A24" w14:textId="77777777" w:rsidR="00BC0E7E" w:rsidRPr="00BC0E7E" w:rsidRDefault="00BC0E7E" w:rsidP="00762FA7">
      <w:pPr>
        <w:ind w:left="540" w:hanging="540"/>
        <w:rPr>
          <w:del w:id="8661" w:author="AbbVie19" w:date="2025-04-16T12:28:00Z"/>
        </w:rPr>
      </w:pPr>
    </w:p>
    <w:p w14:paraId="621E05EE" w14:textId="77777777" w:rsidR="00BC0E7E" w:rsidRPr="00BC0E7E" w:rsidRDefault="00BC0E7E" w:rsidP="00762FA7">
      <w:pPr>
        <w:ind w:left="540" w:hanging="540"/>
        <w:rPr>
          <w:del w:id="8662" w:author="AbbVie19" w:date="2025-04-16T12:28:00Z"/>
        </w:rPr>
      </w:pPr>
    </w:p>
    <w:p w14:paraId="34D6693B"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1" w:hanging="561"/>
        <w:rPr>
          <w:del w:id="8663" w:author="AbbVie19" w:date="2025-04-16T12:28:00Z"/>
          <w:b/>
          <w:caps/>
          <w:szCs w:val="20"/>
        </w:rPr>
      </w:pPr>
      <w:del w:id="8664" w:author="AbbVie19" w:date="2025-04-16T12:28:00Z">
        <w:r w:rsidRPr="00BC0E7E">
          <w:rPr>
            <w:b/>
            <w:caps/>
            <w:szCs w:val="20"/>
          </w:rPr>
          <w:delText>15.</w:delText>
        </w:r>
        <w:r w:rsidRPr="00BC0E7E">
          <w:rPr>
            <w:b/>
            <w:caps/>
            <w:szCs w:val="20"/>
          </w:rPr>
          <w:tab/>
          <w:delText>INSTRUCTIONS ON USE</w:delText>
        </w:r>
      </w:del>
    </w:p>
    <w:p w14:paraId="208FDA3F" w14:textId="77777777" w:rsidR="00BC0E7E" w:rsidRPr="00BC0E7E" w:rsidRDefault="00BC0E7E" w:rsidP="00762FA7">
      <w:pPr>
        <w:rPr>
          <w:del w:id="8665" w:author="AbbVie19" w:date="2025-04-16T12:28:00Z"/>
          <w:szCs w:val="20"/>
        </w:rPr>
      </w:pPr>
    </w:p>
    <w:p w14:paraId="49B4663F" w14:textId="77777777" w:rsidR="00BC0E7E" w:rsidRPr="00BC0E7E" w:rsidRDefault="00BC0E7E" w:rsidP="00762FA7">
      <w:pPr>
        <w:rPr>
          <w:del w:id="8666" w:author="AbbVie19" w:date="2025-04-16T12:28:00Z"/>
          <w:szCs w:val="20"/>
        </w:rPr>
      </w:pPr>
    </w:p>
    <w:p w14:paraId="28C3640B" w14:textId="77777777" w:rsidR="00BC0E7E" w:rsidRPr="00083C28" w:rsidRDefault="00944B8F" w:rsidP="00762FA7">
      <w:pPr>
        <w:pBdr>
          <w:top w:val="single" w:sz="4" w:space="1" w:color="auto"/>
          <w:left w:val="single" w:sz="4" w:space="4" w:color="auto"/>
          <w:bottom w:val="single" w:sz="4" w:space="1" w:color="auto"/>
          <w:right w:val="single" w:sz="4" w:space="4" w:color="auto"/>
        </w:pBdr>
        <w:rPr>
          <w:del w:id="8667" w:author="AbbVie19" w:date="2025-04-16T12:28:00Z"/>
          <w:b/>
          <w:bCs/>
          <w:caps/>
          <w:szCs w:val="20"/>
        </w:rPr>
      </w:pPr>
      <w:del w:id="8668" w:author="AbbVie19" w:date="2025-04-16T12:28:00Z">
        <w:r w:rsidRPr="00083C28">
          <w:rPr>
            <w:b/>
            <w:bCs/>
            <w:caps/>
            <w:szCs w:val="20"/>
          </w:rPr>
          <w:delText>16.</w:delText>
        </w:r>
        <w:r w:rsidRPr="00083C28">
          <w:rPr>
            <w:b/>
            <w:bCs/>
            <w:caps/>
            <w:szCs w:val="20"/>
          </w:rPr>
          <w:tab/>
          <w:delText>Information in braille</w:delText>
        </w:r>
      </w:del>
    </w:p>
    <w:p w14:paraId="6AE1B5B6" w14:textId="77777777" w:rsidR="00BC0E7E" w:rsidRPr="00083C28" w:rsidRDefault="00BC0E7E" w:rsidP="00762FA7">
      <w:pPr>
        <w:ind w:left="540" w:hanging="540"/>
        <w:rPr>
          <w:del w:id="8669" w:author="AbbVie19" w:date="2025-04-16T12:28:00Z"/>
        </w:rPr>
      </w:pPr>
    </w:p>
    <w:p w14:paraId="7004FE67" w14:textId="77777777" w:rsidR="00BC0E7E" w:rsidRPr="00491143" w:rsidRDefault="00944B8F" w:rsidP="00762FA7">
      <w:pPr>
        <w:ind w:left="540" w:hanging="540"/>
        <w:rPr>
          <w:del w:id="8670" w:author="AbbVie19" w:date="2025-04-16T12:28:00Z"/>
          <w:lang w:val="es-ES"/>
        </w:rPr>
      </w:pPr>
      <w:del w:id="8671" w:author="AbbVie19" w:date="2025-04-16T12:28:00Z">
        <w:r w:rsidRPr="00491143">
          <w:rPr>
            <w:lang w:val="es-ES"/>
          </w:rPr>
          <w:delText>Humira 40 mg</w:delText>
        </w:r>
      </w:del>
    </w:p>
    <w:p w14:paraId="0AA095DB" w14:textId="77777777" w:rsidR="00BC0E7E" w:rsidRPr="00491143" w:rsidRDefault="00BC0E7E" w:rsidP="00762FA7">
      <w:pPr>
        <w:ind w:left="540" w:hanging="540"/>
        <w:rPr>
          <w:del w:id="8672" w:author="AbbVie19" w:date="2025-04-16T12:28:00Z"/>
          <w:lang w:val="es-ES"/>
        </w:rPr>
      </w:pPr>
    </w:p>
    <w:p w14:paraId="4DA19D58" w14:textId="77777777" w:rsidR="00BC0E7E" w:rsidRPr="00491143" w:rsidRDefault="00BC0E7E" w:rsidP="00762FA7">
      <w:pPr>
        <w:ind w:left="540" w:hanging="540"/>
        <w:rPr>
          <w:del w:id="8673" w:author="AbbVie19" w:date="2025-04-16T12:28:00Z"/>
          <w:lang w:val="es-ES"/>
        </w:rPr>
      </w:pPr>
    </w:p>
    <w:p w14:paraId="4C1E07F1" w14:textId="77777777" w:rsidR="00BC0E7E" w:rsidRPr="00433FAD" w:rsidRDefault="00944B8F" w:rsidP="00762FA7">
      <w:pPr>
        <w:pBdr>
          <w:top w:val="single" w:sz="4" w:space="1" w:color="auto"/>
          <w:left w:val="single" w:sz="4" w:space="4" w:color="auto"/>
          <w:bottom w:val="single" w:sz="4" w:space="1" w:color="auto"/>
          <w:right w:val="single" w:sz="4" w:space="4" w:color="auto"/>
        </w:pBdr>
        <w:rPr>
          <w:del w:id="8674" w:author="AbbVie19" w:date="2025-04-16T12:28:00Z"/>
          <w:b/>
          <w:bCs/>
          <w:caps/>
          <w:szCs w:val="20"/>
          <w:lang w:val="es-MX"/>
        </w:rPr>
      </w:pPr>
      <w:del w:id="8675" w:author="AbbVie19" w:date="2025-04-16T12:28:00Z">
        <w:r w:rsidRPr="00491143">
          <w:rPr>
            <w:b/>
            <w:bCs/>
            <w:caps/>
            <w:szCs w:val="20"/>
            <w:lang w:val="es-ES"/>
          </w:rPr>
          <w:delText xml:space="preserve">17. </w:delText>
        </w:r>
        <w:r w:rsidRPr="00491143">
          <w:rPr>
            <w:b/>
            <w:bCs/>
            <w:caps/>
            <w:szCs w:val="20"/>
            <w:lang w:val="es-ES"/>
          </w:rPr>
          <w:tab/>
        </w:r>
        <w:r w:rsidRPr="00433FAD">
          <w:rPr>
            <w:b/>
            <w:bCs/>
            <w:caps/>
            <w:szCs w:val="20"/>
            <w:lang w:val="es-MX"/>
          </w:rPr>
          <w:delText>UNIQUE INDENTIFIER – 2D BARCODE</w:delText>
        </w:r>
      </w:del>
    </w:p>
    <w:p w14:paraId="372393A0" w14:textId="77777777" w:rsidR="00BC0E7E" w:rsidRPr="00433FAD" w:rsidRDefault="00BC0E7E" w:rsidP="00762FA7">
      <w:pPr>
        <w:rPr>
          <w:del w:id="8676" w:author="AbbVie19" w:date="2025-04-16T12:28:00Z"/>
          <w:lang w:val="es-MX"/>
        </w:rPr>
      </w:pPr>
    </w:p>
    <w:p w14:paraId="6AE32A41" w14:textId="77777777" w:rsidR="00BC0E7E" w:rsidRPr="00BC0E7E" w:rsidRDefault="00944B8F" w:rsidP="00762FA7">
      <w:pPr>
        <w:rPr>
          <w:del w:id="8677" w:author="AbbVie19" w:date="2025-04-16T12:28:00Z"/>
          <w:shd w:val="clear" w:color="auto" w:fill="BFBFBF"/>
        </w:rPr>
      </w:pPr>
      <w:del w:id="8678" w:author="AbbVie19" w:date="2025-04-16T12:28:00Z">
        <w:r w:rsidRPr="00BC0E7E">
          <w:rPr>
            <w:shd w:val="clear" w:color="auto" w:fill="BFBFBF"/>
          </w:rPr>
          <w:delText>2D barcode carrying the unique identifier included.</w:delText>
        </w:r>
      </w:del>
    </w:p>
    <w:p w14:paraId="27D8E43E" w14:textId="77777777" w:rsidR="00BC0E7E" w:rsidRPr="00BC0E7E" w:rsidRDefault="00BC0E7E" w:rsidP="00762FA7">
      <w:pPr>
        <w:rPr>
          <w:del w:id="8679" w:author="AbbVie19" w:date="2025-04-16T12:28:00Z"/>
          <w:shd w:val="clear" w:color="auto" w:fill="BFBFBF"/>
        </w:rPr>
      </w:pPr>
    </w:p>
    <w:p w14:paraId="46B8F644" w14:textId="77777777" w:rsidR="00BC0E7E" w:rsidRPr="00BC0E7E" w:rsidRDefault="00BC0E7E" w:rsidP="00762FA7">
      <w:pPr>
        <w:rPr>
          <w:del w:id="8680" w:author="AbbVie19" w:date="2025-04-16T12:28:00Z"/>
          <w:shd w:val="clear" w:color="auto" w:fill="BFBFBF"/>
        </w:rPr>
      </w:pPr>
    </w:p>
    <w:p w14:paraId="40CC5D14" w14:textId="77777777" w:rsidR="00BC0E7E" w:rsidRPr="00BC0E7E" w:rsidRDefault="00944B8F" w:rsidP="00762FA7">
      <w:pPr>
        <w:keepNext/>
        <w:pBdr>
          <w:top w:val="single" w:sz="4" w:space="1" w:color="auto"/>
          <w:left w:val="single" w:sz="4" w:space="4" w:color="auto"/>
          <w:bottom w:val="single" w:sz="4" w:space="1" w:color="auto"/>
          <w:right w:val="single" w:sz="4" w:space="4" w:color="auto"/>
        </w:pBdr>
        <w:rPr>
          <w:del w:id="8681" w:author="AbbVie19" w:date="2025-04-16T12:28:00Z"/>
          <w:rFonts w:ascii="Times New Roman Bold" w:hAnsi="Times New Roman Bold"/>
          <w:caps/>
          <w:szCs w:val="20"/>
        </w:rPr>
      </w:pPr>
      <w:del w:id="8682" w:author="AbbVie19" w:date="2025-04-16T12:28:00Z">
        <w:r w:rsidRPr="00BC0E7E">
          <w:rPr>
            <w:b/>
            <w:bCs/>
            <w:caps/>
            <w:szCs w:val="20"/>
          </w:rPr>
          <w:delText xml:space="preserve">18. </w:delText>
        </w:r>
        <w:r w:rsidRPr="00BC0E7E">
          <w:rPr>
            <w:b/>
            <w:bCs/>
            <w:caps/>
            <w:szCs w:val="20"/>
          </w:rPr>
          <w:tab/>
          <w:delText>UNIQUE INDENTIFIER – HUMAN READABLE DATA</w:delText>
        </w:r>
      </w:del>
    </w:p>
    <w:p w14:paraId="7B1BA1F4" w14:textId="77777777" w:rsidR="00BC0E7E" w:rsidRPr="00BC0E7E" w:rsidRDefault="00BC0E7E" w:rsidP="00762FA7">
      <w:pPr>
        <w:keepNext/>
        <w:ind w:left="540" w:hanging="540"/>
        <w:rPr>
          <w:del w:id="8683" w:author="AbbVie19" w:date="2025-04-16T12:28:00Z"/>
        </w:rPr>
      </w:pPr>
    </w:p>
    <w:p w14:paraId="6E20F7BD" w14:textId="77777777" w:rsidR="00BC0E7E" w:rsidRPr="00BC0E7E" w:rsidRDefault="00944B8F" w:rsidP="00762FA7">
      <w:pPr>
        <w:keepNext/>
        <w:ind w:left="540" w:hanging="540"/>
        <w:rPr>
          <w:del w:id="8684" w:author="AbbVie19" w:date="2025-04-16T12:28:00Z"/>
        </w:rPr>
      </w:pPr>
      <w:del w:id="8685" w:author="AbbVie19" w:date="2025-04-16T12:28:00Z">
        <w:r w:rsidRPr="00BC0E7E">
          <w:delText>PC</w:delText>
        </w:r>
      </w:del>
    </w:p>
    <w:p w14:paraId="01CCEF4C" w14:textId="77777777" w:rsidR="00BC0E7E" w:rsidRPr="00BC0E7E" w:rsidRDefault="00944B8F" w:rsidP="00762FA7">
      <w:pPr>
        <w:keepNext/>
        <w:ind w:left="540" w:hanging="540"/>
        <w:rPr>
          <w:del w:id="8686" w:author="AbbVie19" w:date="2025-04-16T12:28:00Z"/>
        </w:rPr>
      </w:pPr>
      <w:del w:id="8687" w:author="AbbVie19" w:date="2025-04-16T12:28:00Z">
        <w:r w:rsidRPr="00BC0E7E">
          <w:delText>SN</w:delText>
        </w:r>
      </w:del>
    </w:p>
    <w:p w14:paraId="2E04DDCC" w14:textId="77777777" w:rsidR="00BC0E7E" w:rsidRPr="00BC0E7E" w:rsidRDefault="00944B8F" w:rsidP="00762FA7">
      <w:pPr>
        <w:keepNext/>
        <w:ind w:left="540" w:hanging="540"/>
        <w:rPr>
          <w:del w:id="8688" w:author="AbbVie19" w:date="2025-04-16T12:28:00Z"/>
        </w:rPr>
      </w:pPr>
      <w:del w:id="8689" w:author="AbbVie19" w:date="2025-04-16T12:28:00Z">
        <w:r w:rsidRPr="001B6DEE">
          <w:rPr>
            <w:highlight w:val="darkGray"/>
          </w:rPr>
          <w:delText>NN</w:delText>
        </w:r>
      </w:del>
    </w:p>
    <w:p w14:paraId="0BBDB4E1" w14:textId="77777777" w:rsidR="00BC0E7E" w:rsidRPr="00BC0E7E" w:rsidRDefault="00944B8F" w:rsidP="00804924">
      <w:pPr>
        <w:pBdr>
          <w:top w:val="single" w:sz="4" w:space="1" w:color="auto"/>
          <w:left w:val="single" w:sz="4" w:space="4" w:color="auto"/>
          <w:bottom w:val="single" w:sz="4" w:space="1" w:color="auto"/>
          <w:right w:val="single" w:sz="4" w:space="4" w:color="auto"/>
        </w:pBdr>
        <w:tabs>
          <w:tab w:val="clear" w:pos="562"/>
        </w:tabs>
        <w:rPr>
          <w:del w:id="8690" w:author="AbbVie19" w:date="2025-04-16T12:28:00Z"/>
          <w:rFonts w:ascii="Times New Roman Bold" w:hAnsi="Times New Roman Bold"/>
          <w:b/>
          <w:bCs/>
          <w:caps/>
          <w:szCs w:val="20"/>
        </w:rPr>
      </w:pPr>
      <w:del w:id="8691" w:author="AbbVie19" w:date="2025-04-16T12:28:00Z">
        <w:r w:rsidRPr="00BC0E7E">
          <w:rPr>
            <w:rFonts w:ascii="Times New Roman Bold" w:hAnsi="Times New Roman Bold"/>
            <w:caps/>
            <w:szCs w:val="20"/>
          </w:rPr>
          <w:br w:type="page"/>
        </w:r>
        <w:r w:rsidRPr="00BC0E7E">
          <w:rPr>
            <w:b/>
            <w:bCs/>
            <w:caps/>
            <w:szCs w:val="20"/>
          </w:rPr>
          <w:lastRenderedPageBreak/>
          <w:delText xml:space="preserve">PARTICULARS TO APPEAR ON THE OUTER PACKAGING </w:delText>
        </w:r>
      </w:del>
    </w:p>
    <w:p w14:paraId="07D0D716" w14:textId="77777777" w:rsidR="00BC0E7E" w:rsidRPr="00BC0E7E" w:rsidRDefault="00BC0E7E" w:rsidP="00804924">
      <w:pPr>
        <w:pBdr>
          <w:top w:val="single" w:sz="4" w:space="1" w:color="auto"/>
          <w:left w:val="single" w:sz="4" w:space="4" w:color="auto"/>
          <w:bottom w:val="single" w:sz="4" w:space="1" w:color="auto"/>
          <w:right w:val="single" w:sz="4" w:space="4" w:color="auto"/>
        </w:pBdr>
        <w:tabs>
          <w:tab w:val="clear" w:pos="562"/>
        </w:tabs>
        <w:rPr>
          <w:del w:id="8692" w:author="AbbVie19" w:date="2025-04-16T12:28:00Z"/>
          <w:rFonts w:ascii="Times New Roman Bold" w:hAnsi="Times New Roman Bold"/>
          <w:b/>
          <w:caps/>
          <w:szCs w:val="20"/>
        </w:rPr>
      </w:pPr>
    </w:p>
    <w:p w14:paraId="71D81512" w14:textId="77777777" w:rsidR="00BC0E7E" w:rsidRPr="00BC0E7E" w:rsidRDefault="00944B8F" w:rsidP="00762FA7">
      <w:pPr>
        <w:keepLines/>
        <w:pBdr>
          <w:top w:val="single" w:sz="4" w:space="1" w:color="auto"/>
          <w:left w:val="single" w:sz="4" w:space="4" w:color="auto"/>
          <w:bottom w:val="single" w:sz="4" w:space="1" w:color="auto"/>
          <w:right w:val="single" w:sz="4" w:space="4" w:color="auto"/>
        </w:pBdr>
        <w:ind w:left="540" w:hanging="540"/>
        <w:outlineLvl w:val="2"/>
        <w:rPr>
          <w:del w:id="8693" w:author="AbbVie19" w:date="2025-04-16T12:28:00Z"/>
          <w:rFonts w:ascii="Cambria" w:hAnsi="Cambria"/>
          <w:b/>
          <w:bCs/>
          <w:szCs w:val="26"/>
        </w:rPr>
      </w:pPr>
      <w:del w:id="8694" w:author="AbbVie19" w:date="2025-04-16T12:28:00Z">
        <w:r>
          <w:rPr>
            <w:b/>
            <w:bCs/>
            <w:szCs w:val="26"/>
          </w:rPr>
          <w:delText xml:space="preserve">INNER </w:delText>
        </w:r>
        <w:r w:rsidRPr="00BC0E7E">
          <w:rPr>
            <w:b/>
            <w:bCs/>
            <w:szCs w:val="26"/>
          </w:rPr>
          <w:delText>CARTON</w:delText>
        </w:r>
        <w:r w:rsidRPr="00BC0E7E">
          <w:rPr>
            <w:rFonts w:ascii="Cambria" w:hAnsi="Cambria"/>
            <w:b/>
            <w:bCs/>
            <w:szCs w:val="26"/>
          </w:rPr>
          <w:delText xml:space="preserve"> </w:delText>
        </w:r>
      </w:del>
    </w:p>
    <w:p w14:paraId="09AD4895" w14:textId="77777777" w:rsidR="00BC0E7E" w:rsidRPr="00BC0E7E" w:rsidRDefault="00BC0E7E" w:rsidP="00762FA7">
      <w:pPr>
        <w:ind w:left="540" w:hanging="540"/>
        <w:rPr>
          <w:del w:id="8695" w:author="AbbVie19" w:date="2025-04-16T12:28:00Z"/>
        </w:rPr>
      </w:pPr>
    </w:p>
    <w:p w14:paraId="57C6251D" w14:textId="77777777" w:rsidR="00BC0E7E" w:rsidRPr="00BC0E7E" w:rsidRDefault="00BC0E7E" w:rsidP="00762FA7">
      <w:pPr>
        <w:ind w:left="540" w:hanging="540"/>
        <w:rPr>
          <w:del w:id="8696" w:author="AbbVie19" w:date="2025-04-16T12:28:00Z"/>
        </w:rPr>
      </w:pPr>
    </w:p>
    <w:p w14:paraId="678AB115"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1" w:hanging="561"/>
        <w:rPr>
          <w:del w:id="8697" w:author="AbbVie19" w:date="2025-04-16T12:28:00Z"/>
          <w:b/>
          <w:caps/>
          <w:szCs w:val="20"/>
        </w:rPr>
      </w:pPr>
      <w:del w:id="8698" w:author="AbbVie19" w:date="2025-04-16T12:28:00Z">
        <w:r w:rsidRPr="00BC0E7E">
          <w:rPr>
            <w:b/>
            <w:caps/>
            <w:szCs w:val="20"/>
          </w:rPr>
          <w:delText>1.</w:delText>
        </w:r>
        <w:r w:rsidRPr="00BC0E7E">
          <w:rPr>
            <w:b/>
            <w:caps/>
            <w:szCs w:val="20"/>
          </w:rPr>
          <w:tab/>
          <w:delText>NAME OF THE MEDICINAL PRODUCT</w:delText>
        </w:r>
      </w:del>
    </w:p>
    <w:p w14:paraId="4EB873E1" w14:textId="77777777" w:rsidR="00BC0E7E" w:rsidRPr="00BC0E7E" w:rsidRDefault="00BC0E7E" w:rsidP="00762FA7">
      <w:pPr>
        <w:ind w:left="540" w:hanging="540"/>
        <w:rPr>
          <w:del w:id="8699" w:author="AbbVie19" w:date="2025-04-16T12:28:00Z"/>
        </w:rPr>
      </w:pPr>
    </w:p>
    <w:p w14:paraId="1542653E" w14:textId="77777777" w:rsidR="00BC0E7E" w:rsidRPr="00BC0E7E" w:rsidRDefault="00944B8F" w:rsidP="00762FA7">
      <w:pPr>
        <w:ind w:left="540" w:hanging="540"/>
        <w:rPr>
          <w:del w:id="8700" w:author="AbbVie19" w:date="2025-04-16T12:28:00Z"/>
        </w:rPr>
      </w:pPr>
      <w:del w:id="8701" w:author="AbbVie19" w:date="2025-04-16T12:28:00Z">
        <w:r w:rsidRPr="00BC0E7E">
          <w:delText>Humira 40 mg/0.8 ml solution for injection</w:delText>
        </w:r>
      </w:del>
    </w:p>
    <w:p w14:paraId="2F32C195" w14:textId="77777777" w:rsidR="00BC0E7E" w:rsidRPr="00BC0E7E" w:rsidRDefault="00944B8F" w:rsidP="00762FA7">
      <w:pPr>
        <w:ind w:left="540" w:hanging="540"/>
        <w:rPr>
          <w:del w:id="8702" w:author="AbbVie19" w:date="2025-04-16T12:28:00Z"/>
        </w:rPr>
      </w:pPr>
      <w:del w:id="8703" w:author="AbbVie19" w:date="2025-04-16T12:28:00Z">
        <w:r w:rsidRPr="00BC0E7E">
          <w:delText>adalimumab</w:delText>
        </w:r>
      </w:del>
    </w:p>
    <w:p w14:paraId="49394499" w14:textId="77777777" w:rsidR="00BC0E7E" w:rsidRPr="00BC0E7E" w:rsidRDefault="00BC0E7E" w:rsidP="00762FA7">
      <w:pPr>
        <w:ind w:left="540" w:hanging="540"/>
        <w:rPr>
          <w:del w:id="8704" w:author="AbbVie19" w:date="2025-04-16T12:28:00Z"/>
        </w:rPr>
      </w:pPr>
    </w:p>
    <w:p w14:paraId="350988C2" w14:textId="77777777" w:rsidR="00BC0E7E" w:rsidRPr="00BC0E7E" w:rsidRDefault="00BC0E7E" w:rsidP="00762FA7">
      <w:pPr>
        <w:ind w:left="540" w:hanging="540"/>
        <w:rPr>
          <w:del w:id="8705" w:author="AbbVie19" w:date="2025-04-16T12:28:00Z"/>
        </w:rPr>
      </w:pPr>
    </w:p>
    <w:p w14:paraId="49D058E3"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706" w:author="AbbVie19" w:date="2025-04-16T12:28:00Z"/>
          <w:b/>
          <w:caps/>
          <w:szCs w:val="20"/>
        </w:rPr>
      </w:pPr>
      <w:del w:id="8707" w:author="AbbVie19" w:date="2025-04-16T12:28:00Z">
        <w:r w:rsidRPr="00BC0E7E">
          <w:rPr>
            <w:b/>
            <w:caps/>
            <w:szCs w:val="20"/>
          </w:rPr>
          <w:delText>2.</w:delText>
        </w:r>
        <w:r w:rsidRPr="00BC0E7E">
          <w:rPr>
            <w:b/>
            <w:caps/>
            <w:szCs w:val="20"/>
          </w:rPr>
          <w:tab/>
          <w:delText>STATEMENT OF ACTIVE SUBSTANCE</w:delText>
        </w:r>
      </w:del>
    </w:p>
    <w:p w14:paraId="58EED135" w14:textId="77777777" w:rsidR="00BC0E7E" w:rsidRPr="00BC0E7E" w:rsidRDefault="00BC0E7E" w:rsidP="00762FA7">
      <w:pPr>
        <w:ind w:left="540" w:hanging="540"/>
        <w:rPr>
          <w:del w:id="8708" w:author="AbbVie19" w:date="2025-04-16T12:28:00Z"/>
        </w:rPr>
      </w:pPr>
    </w:p>
    <w:p w14:paraId="5CDCC8CD" w14:textId="77777777" w:rsidR="00BC0E7E" w:rsidRPr="00BC0E7E" w:rsidRDefault="00944B8F" w:rsidP="00762FA7">
      <w:pPr>
        <w:ind w:left="540" w:hanging="540"/>
        <w:rPr>
          <w:del w:id="8709" w:author="AbbVie19" w:date="2025-04-16T12:28:00Z"/>
        </w:rPr>
      </w:pPr>
      <w:del w:id="8710" w:author="AbbVie19" w:date="2025-04-16T12:28:00Z">
        <w:r w:rsidRPr="00BC0E7E">
          <w:delText>One 0.8 ml vial contains 40 mg adalimumab</w:delText>
        </w:r>
        <w:r w:rsidR="007746CB">
          <w:delText>.</w:delText>
        </w:r>
      </w:del>
    </w:p>
    <w:p w14:paraId="1D10458E" w14:textId="77777777" w:rsidR="00BC0E7E" w:rsidRPr="00BC0E7E" w:rsidRDefault="00BC0E7E" w:rsidP="00762FA7">
      <w:pPr>
        <w:ind w:left="540" w:hanging="540"/>
        <w:rPr>
          <w:del w:id="8711" w:author="AbbVie19" w:date="2025-04-16T12:28:00Z"/>
        </w:rPr>
      </w:pPr>
    </w:p>
    <w:p w14:paraId="14490D57" w14:textId="77777777" w:rsidR="00BC0E7E" w:rsidRPr="00BC0E7E" w:rsidRDefault="00BC0E7E" w:rsidP="00762FA7">
      <w:pPr>
        <w:ind w:left="540" w:hanging="540"/>
        <w:rPr>
          <w:del w:id="8712" w:author="AbbVie19" w:date="2025-04-16T12:28:00Z"/>
        </w:rPr>
      </w:pPr>
    </w:p>
    <w:p w14:paraId="51917149"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713" w:author="AbbVie19" w:date="2025-04-16T12:28:00Z"/>
          <w:b/>
          <w:caps/>
          <w:szCs w:val="20"/>
        </w:rPr>
      </w:pPr>
      <w:del w:id="8714" w:author="AbbVie19" w:date="2025-04-16T12:28:00Z">
        <w:r w:rsidRPr="00BC0E7E">
          <w:rPr>
            <w:b/>
            <w:caps/>
            <w:szCs w:val="20"/>
          </w:rPr>
          <w:delText>3.</w:delText>
        </w:r>
        <w:r w:rsidRPr="00BC0E7E">
          <w:rPr>
            <w:b/>
            <w:caps/>
            <w:szCs w:val="20"/>
          </w:rPr>
          <w:tab/>
          <w:delText>LIST OF EXCIPIENTS</w:delText>
        </w:r>
      </w:del>
    </w:p>
    <w:p w14:paraId="53B3DD94" w14:textId="77777777" w:rsidR="00BC0E7E" w:rsidRPr="00BC0E7E" w:rsidRDefault="00BC0E7E" w:rsidP="00762FA7">
      <w:pPr>
        <w:rPr>
          <w:del w:id="8715" w:author="AbbVie19" w:date="2025-04-16T12:28:00Z"/>
        </w:rPr>
      </w:pPr>
    </w:p>
    <w:p w14:paraId="36484B5C" w14:textId="77777777" w:rsidR="00BC0E7E" w:rsidRPr="00BC0E7E" w:rsidRDefault="00944B8F" w:rsidP="00762FA7">
      <w:pPr>
        <w:rPr>
          <w:del w:id="8716" w:author="AbbVie19" w:date="2025-04-16T12:28:00Z"/>
        </w:rPr>
      </w:pPr>
      <w:del w:id="8717" w:author="AbbVie19" w:date="2025-04-16T12:28:00Z">
        <w:r w:rsidRPr="00BC0E7E">
          <w:delText>Excipients: mannitol, citric acid monohydrate, sodium citrate, sodium dihydrogen phosphate dihydrate, disodium phosphate dihydrate, sodium chloride, polysorbate 80, sodium hydroxide and water for injections. See leaflet for further information.</w:delText>
        </w:r>
      </w:del>
    </w:p>
    <w:p w14:paraId="0E7FE509" w14:textId="77777777" w:rsidR="00BC0E7E" w:rsidRPr="00BC0E7E" w:rsidRDefault="00BC0E7E" w:rsidP="00762FA7">
      <w:pPr>
        <w:rPr>
          <w:del w:id="8718" w:author="AbbVie19" w:date="2025-04-16T12:28:00Z"/>
        </w:rPr>
      </w:pPr>
    </w:p>
    <w:p w14:paraId="5B82513A" w14:textId="77777777" w:rsidR="00BC0E7E" w:rsidRPr="00BC0E7E" w:rsidRDefault="00BC0E7E" w:rsidP="00762FA7">
      <w:pPr>
        <w:rPr>
          <w:del w:id="8719" w:author="AbbVie19" w:date="2025-04-16T12:28:00Z"/>
        </w:rPr>
      </w:pPr>
    </w:p>
    <w:p w14:paraId="3172F86F"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720" w:author="AbbVie19" w:date="2025-04-16T12:28:00Z"/>
          <w:b/>
          <w:caps/>
          <w:szCs w:val="20"/>
        </w:rPr>
      </w:pPr>
      <w:del w:id="8721" w:author="AbbVie19" w:date="2025-04-16T12:28:00Z">
        <w:r w:rsidRPr="00BC0E7E">
          <w:rPr>
            <w:b/>
            <w:caps/>
            <w:szCs w:val="20"/>
          </w:rPr>
          <w:delText>4.</w:delText>
        </w:r>
        <w:r w:rsidRPr="00BC0E7E">
          <w:rPr>
            <w:b/>
            <w:caps/>
            <w:szCs w:val="20"/>
          </w:rPr>
          <w:tab/>
          <w:delText>PHARMACEUTICAL FORM AND CONTENTS</w:delText>
        </w:r>
      </w:del>
    </w:p>
    <w:p w14:paraId="22B1966A" w14:textId="77777777" w:rsidR="007E1F7C" w:rsidRDefault="007E1F7C" w:rsidP="00762FA7">
      <w:pPr>
        <w:ind w:left="540" w:hanging="540"/>
        <w:rPr>
          <w:del w:id="8722" w:author="AbbVie19" w:date="2025-04-16T12:28:00Z"/>
        </w:rPr>
      </w:pPr>
    </w:p>
    <w:p w14:paraId="11E41D0E" w14:textId="77777777" w:rsidR="00BC0E7E" w:rsidRPr="00BC0E7E" w:rsidRDefault="00944B8F" w:rsidP="00762FA7">
      <w:pPr>
        <w:ind w:left="540" w:hanging="540"/>
        <w:rPr>
          <w:del w:id="8723" w:author="AbbVie19" w:date="2025-04-16T12:28:00Z"/>
        </w:rPr>
      </w:pPr>
      <w:del w:id="8724" w:author="AbbVie19" w:date="2025-04-16T12:28:00Z">
        <w:r w:rsidRPr="00925C36">
          <w:rPr>
            <w:highlight w:val="lightGray"/>
          </w:rPr>
          <w:delText>Solution for injection</w:delText>
        </w:r>
      </w:del>
    </w:p>
    <w:p w14:paraId="773B4C91" w14:textId="77777777" w:rsidR="00BC0E7E" w:rsidRPr="00BC0E7E" w:rsidRDefault="00944B8F" w:rsidP="00762FA7">
      <w:pPr>
        <w:ind w:left="540" w:hanging="540"/>
        <w:rPr>
          <w:del w:id="8725" w:author="AbbVie19" w:date="2025-04-16T12:28:00Z"/>
          <w:i/>
        </w:rPr>
      </w:pPr>
      <w:del w:id="8726" w:author="AbbVie19" w:date="2025-04-16T12:28:00Z">
        <w:r w:rsidRPr="00BC0E7E">
          <w:delText xml:space="preserve">1 vial </w:delText>
        </w:r>
      </w:del>
    </w:p>
    <w:p w14:paraId="38F55681" w14:textId="77777777" w:rsidR="00BC0E7E" w:rsidRPr="00BC0E7E" w:rsidRDefault="00944B8F" w:rsidP="00762FA7">
      <w:pPr>
        <w:ind w:left="540" w:hanging="540"/>
        <w:rPr>
          <w:del w:id="8727" w:author="AbbVie19" w:date="2025-04-16T12:28:00Z"/>
        </w:rPr>
      </w:pPr>
      <w:del w:id="8728" w:author="AbbVie19" w:date="2025-04-16T12:28:00Z">
        <w:r w:rsidRPr="00BC0E7E">
          <w:delText xml:space="preserve">1 sterile injection syringe </w:delText>
        </w:r>
      </w:del>
    </w:p>
    <w:p w14:paraId="37046835" w14:textId="77777777" w:rsidR="00BC0E7E" w:rsidRPr="00BC0E7E" w:rsidRDefault="00944B8F" w:rsidP="00762FA7">
      <w:pPr>
        <w:ind w:left="540" w:hanging="540"/>
        <w:rPr>
          <w:del w:id="8729" w:author="AbbVie19" w:date="2025-04-16T12:28:00Z"/>
        </w:rPr>
      </w:pPr>
      <w:del w:id="8730" w:author="AbbVie19" w:date="2025-04-16T12:28:00Z">
        <w:r w:rsidRPr="00BC0E7E">
          <w:delText>1 sterile needle</w:delText>
        </w:r>
      </w:del>
    </w:p>
    <w:p w14:paraId="3F1E8ED3" w14:textId="77777777" w:rsidR="00BC0E7E" w:rsidRPr="00BC0E7E" w:rsidRDefault="00944B8F" w:rsidP="00762FA7">
      <w:pPr>
        <w:ind w:left="540" w:hanging="540"/>
        <w:rPr>
          <w:del w:id="8731" w:author="AbbVie19" w:date="2025-04-16T12:28:00Z"/>
        </w:rPr>
      </w:pPr>
      <w:del w:id="8732" w:author="AbbVie19" w:date="2025-04-16T12:28:00Z">
        <w:r w:rsidRPr="00BC0E7E">
          <w:delText>1 sterile vial adapter</w:delText>
        </w:r>
      </w:del>
    </w:p>
    <w:p w14:paraId="1259F8C4" w14:textId="77777777" w:rsidR="00BC0E7E" w:rsidRPr="00BC0E7E" w:rsidRDefault="00944B8F" w:rsidP="00762FA7">
      <w:pPr>
        <w:ind w:left="540" w:hanging="540"/>
        <w:rPr>
          <w:del w:id="8733" w:author="AbbVie19" w:date="2025-04-16T12:28:00Z"/>
        </w:rPr>
      </w:pPr>
      <w:del w:id="8734" w:author="AbbVie19" w:date="2025-04-16T12:28:00Z">
        <w:r w:rsidRPr="00BC0E7E">
          <w:delText xml:space="preserve">2 alcohol pads </w:delText>
        </w:r>
      </w:del>
    </w:p>
    <w:p w14:paraId="20A92EF4" w14:textId="77777777" w:rsidR="00BC0E7E" w:rsidRPr="00BC0E7E" w:rsidRDefault="00BC0E7E" w:rsidP="00762FA7">
      <w:pPr>
        <w:ind w:left="540" w:hanging="540"/>
        <w:rPr>
          <w:del w:id="8735" w:author="AbbVie19" w:date="2025-04-16T12:28:00Z"/>
        </w:rPr>
      </w:pPr>
    </w:p>
    <w:p w14:paraId="157AFF84" w14:textId="77777777" w:rsidR="00BC0E7E" w:rsidRPr="00BC0E7E" w:rsidRDefault="00BC0E7E" w:rsidP="00762FA7">
      <w:pPr>
        <w:ind w:left="540" w:hanging="540"/>
        <w:rPr>
          <w:del w:id="8736" w:author="AbbVie19" w:date="2025-04-16T12:28:00Z"/>
        </w:rPr>
      </w:pPr>
    </w:p>
    <w:p w14:paraId="2AA91943"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737" w:author="AbbVie19" w:date="2025-04-16T12:28:00Z"/>
          <w:b/>
          <w:caps/>
          <w:szCs w:val="20"/>
        </w:rPr>
      </w:pPr>
      <w:del w:id="8738" w:author="AbbVie19" w:date="2025-04-16T12:28:00Z">
        <w:r w:rsidRPr="00BC0E7E">
          <w:rPr>
            <w:b/>
            <w:caps/>
            <w:szCs w:val="20"/>
          </w:rPr>
          <w:delText>5.</w:delText>
        </w:r>
        <w:r w:rsidRPr="00BC0E7E">
          <w:rPr>
            <w:b/>
            <w:caps/>
            <w:szCs w:val="20"/>
          </w:rPr>
          <w:tab/>
          <w:delText>METHOD AND ROUTE OF ADMINISTRATION</w:delText>
        </w:r>
      </w:del>
    </w:p>
    <w:p w14:paraId="343ADC8F" w14:textId="77777777" w:rsidR="00BC0E7E" w:rsidRPr="00BC0E7E" w:rsidRDefault="00BC0E7E" w:rsidP="00762FA7">
      <w:pPr>
        <w:ind w:left="540" w:hanging="540"/>
        <w:rPr>
          <w:del w:id="8739" w:author="AbbVie19" w:date="2025-04-16T12:28:00Z"/>
        </w:rPr>
      </w:pPr>
    </w:p>
    <w:p w14:paraId="512C1CC9" w14:textId="77777777" w:rsidR="00BC0E7E" w:rsidRPr="00BC0E7E" w:rsidRDefault="00944B8F" w:rsidP="00762FA7">
      <w:pPr>
        <w:ind w:left="540" w:hanging="540"/>
        <w:rPr>
          <w:del w:id="8740" w:author="AbbVie19" w:date="2025-04-16T12:28:00Z"/>
        </w:rPr>
      </w:pPr>
      <w:del w:id="8741" w:author="AbbVie19" w:date="2025-04-16T12:28:00Z">
        <w:r w:rsidRPr="00BC0E7E">
          <w:delText>Subcutaneous use</w:delText>
        </w:r>
      </w:del>
    </w:p>
    <w:p w14:paraId="245925C2" w14:textId="77777777" w:rsidR="00BC0E7E" w:rsidRPr="00BC0E7E" w:rsidRDefault="00BC0E7E" w:rsidP="00762FA7">
      <w:pPr>
        <w:ind w:left="540" w:hanging="540"/>
        <w:rPr>
          <w:del w:id="8742" w:author="AbbVie19" w:date="2025-04-16T12:28:00Z"/>
        </w:rPr>
      </w:pPr>
    </w:p>
    <w:p w14:paraId="0B0A5C0C" w14:textId="77777777" w:rsidR="00BC0E7E" w:rsidRPr="00BC0E7E" w:rsidRDefault="00944B8F" w:rsidP="00762FA7">
      <w:pPr>
        <w:ind w:left="540" w:hanging="540"/>
        <w:rPr>
          <w:del w:id="8743" w:author="AbbVie19" w:date="2025-04-16T12:28:00Z"/>
        </w:rPr>
      </w:pPr>
      <w:del w:id="8744" w:author="AbbVie19" w:date="2025-04-16T12:28:00Z">
        <w:r w:rsidRPr="00BC0E7E">
          <w:delText>Read the package leaflet before use.</w:delText>
        </w:r>
      </w:del>
    </w:p>
    <w:p w14:paraId="2779E04C" w14:textId="77777777" w:rsidR="007E1F7C" w:rsidRDefault="007E1F7C" w:rsidP="00762FA7">
      <w:pPr>
        <w:ind w:left="540" w:hanging="540"/>
        <w:rPr>
          <w:del w:id="8745" w:author="AbbVie19" w:date="2025-04-16T12:28:00Z"/>
        </w:rPr>
      </w:pPr>
    </w:p>
    <w:p w14:paraId="099E9655" w14:textId="77777777" w:rsidR="00647F5F" w:rsidRDefault="00944B8F" w:rsidP="00762FA7">
      <w:pPr>
        <w:ind w:left="540" w:hanging="540"/>
        <w:rPr>
          <w:del w:id="8746" w:author="AbbVie19" w:date="2025-04-16T12:28:00Z"/>
        </w:rPr>
      </w:pPr>
      <w:del w:id="8747" w:author="AbbVie19" w:date="2025-04-16T12:28:00Z">
        <w:r>
          <w:delText xml:space="preserve">For single use only. </w:delText>
        </w:r>
      </w:del>
    </w:p>
    <w:p w14:paraId="23FA02BD" w14:textId="77777777" w:rsidR="00647F5F" w:rsidRDefault="00647F5F" w:rsidP="00762FA7">
      <w:pPr>
        <w:ind w:left="540" w:hanging="540"/>
        <w:rPr>
          <w:del w:id="8748" w:author="AbbVie19" w:date="2025-04-16T12:28:00Z"/>
        </w:rPr>
      </w:pPr>
    </w:p>
    <w:p w14:paraId="4947C78E" w14:textId="77777777" w:rsidR="00BC0E7E" w:rsidRPr="00BC0E7E" w:rsidRDefault="00944B8F" w:rsidP="00762FA7">
      <w:pPr>
        <w:ind w:left="540" w:hanging="540"/>
        <w:rPr>
          <w:del w:id="8749" w:author="AbbVie19" w:date="2025-04-16T12:28:00Z"/>
        </w:rPr>
      </w:pPr>
      <w:del w:id="8750" w:author="AbbVie19" w:date="2025-04-16T12:28:00Z">
        <w:r>
          <w:delText>For paediatric use</w:delText>
        </w:r>
      </w:del>
    </w:p>
    <w:p w14:paraId="61BF6395" w14:textId="77777777" w:rsidR="00BC0E7E" w:rsidRDefault="00BC0E7E" w:rsidP="00762FA7">
      <w:pPr>
        <w:ind w:left="540" w:hanging="540"/>
        <w:rPr>
          <w:del w:id="8751" w:author="AbbVie19" w:date="2025-04-16T12:28:00Z"/>
        </w:rPr>
      </w:pPr>
    </w:p>
    <w:p w14:paraId="065C3289" w14:textId="77777777" w:rsidR="00AE43B4" w:rsidRPr="00BC0E7E" w:rsidRDefault="00AE43B4" w:rsidP="00762FA7">
      <w:pPr>
        <w:ind w:left="540" w:hanging="540"/>
        <w:rPr>
          <w:del w:id="8752" w:author="AbbVie19" w:date="2025-04-16T12:28:00Z"/>
        </w:rPr>
      </w:pPr>
    </w:p>
    <w:p w14:paraId="1A0B585C"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753" w:author="AbbVie19" w:date="2025-04-16T12:28:00Z"/>
          <w:b/>
          <w:caps/>
          <w:szCs w:val="20"/>
        </w:rPr>
      </w:pPr>
      <w:del w:id="8754" w:author="AbbVie19" w:date="2025-04-16T12:28:00Z">
        <w:r w:rsidRPr="00BC0E7E">
          <w:rPr>
            <w:b/>
            <w:caps/>
            <w:szCs w:val="20"/>
          </w:rPr>
          <w:delText>6.</w:delText>
        </w:r>
        <w:r w:rsidRPr="00BC0E7E">
          <w:rPr>
            <w:b/>
            <w:caps/>
            <w:szCs w:val="20"/>
          </w:rPr>
          <w:tab/>
          <w:delText>SPECIAL WARNING THAT THE MEDICINAL PRODUCT MUST BE STORED OUT OF THE SIGHT AND REACH OF CHILDREN</w:delText>
        </w:r>
      </w:del>
    </w:p>
    <w:p w14:paraId="404989CE" w14:textId="77777777" w:rsidR="00BC0E7E" w:rsidRPr="00BC0E7E" w:rsidRDefault="00BC0E7E" w:rsidP="00762FA7">
      <w:pPr>
        <w:ind w:left="540" w:hanging="540"/>
        <w:rPr>
          <w:del w:id="8755" w:author="AbbVie19" w:date="2025-04-16T12:28:00Z"/>
        </w:rPr>
      </w:pPr>
    </w:p>
    <w:p w14:paraId="60386925" w14:textId="77777777" w:rsidR="00BC0E7E" w:rsidRPr="00BC0E7E" w:rsidRDefault="00944B8F" w:rsidP="00762FA7">
      <w:pPr>
        <w:ind w:left="540" w:hanging="540"/>
        <w:rPr>
          <w:del w:id="8756" w:author="AbbVie19" w:date="2025-04-16T12:28:00Z"/>
        </w:rPr>
      </w:pPr>
      <w:del w:id="8757" w:author="AbbVie19" w:date="2025-04-16T12:28:00Z">
        <w:r w:rsidRPr="00BC0E7E">
          <w:delText>Keep out of the sight and reach of children.</w:delText>
        </w:r>
      </w:del>
    </w:p>
    <w:p w14:paraId="6F268AF4" w14:textId="77777777" w:rsidR="00BC0E7E" w:rsidRPr="00BC0E7E" w:rsidRDefault="00BC0E7E" w:rsidP="00762FA7">
      <w:pPr>
        <w:ind w:left="540" w:hanging="540"/>
        <w:rPr>
          <w:del w:id="8758" w:author="AbbVie19" w:date="2025-04-16T12:28:00Z"/>
        </w:rPr>
      </w:pPr>
    </w:p>
    <w:p w14:paraId="34AD9CAA" w14:textId="77777777" w:rsidR="00BC0E7E" w:rsidRPr="00BC0E7E" w:rsidRDefault="00BC0E7E" w:rsidP="00762FA7">
      <w:pPr>
        <w:ind w:left="540" w:hanging="540"/>
        <w:rPr>
          <w:del w:id="8759" w:author="AbbVie19" w:date="2025-04-16T12:28:00Z"/>
        </w:rPr>
      </w:pPr>
    </w:p>
    <w:p w14:paraId="03600080"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760" w:author="AbbVie19" w:date="2025-04-16T12:28:00Z"/>
          <w:b/>
          <w:caps/>
          <w:szCs w:val="20"/>
        </w:rPr>
      </w:pPr>
      <w:del w:id="8761" w:author="AbbVie19" w:date="2025-04-16T12:28:00Z">
        <w:r w:rsidRPr="00BC0E7E">
          <w:rPr>
            <w:b/>
            <w:caps/>
            <w:szCs w:val="20"/>
          </w:rPr>
          <w:delText>7.</w:delText>
        </w:r>
        <w:r w:rsidRPr="00BC0E7E">
          <w:rPr>
            <w:b/>
            <w:caps/>
            <w:szCs w:val="20"/>
          </w:rPr>
          <w:tab/>
          <w:delText>OTHER SPECIAL WARNING, IF NECESSARY</w:delText>
        </w:r>
      </w:del>
    </w:p>
    <w:p w14:paraId="14FFE0B4" w14:textId="77777777" w:rsidR="00BC0E7E" w:rsidRPr="00BC0E7E" w:rsidRDefault="00BC0E7E" w:rsidP="00762FA7">
      <w:pPr>
        <w:ind w:left="540" w:hanging="540"/>
        <w:rPr>
          <w:del w:id="8762" w:author="AbbVie19" w:date="2025-04-16T12:28:00Z"/>
        </w:rPr>
      </w:pPr>
    </w:p>
    <w:p w14:paraId="375C27B1" w14:textId="77777777" w:rsidR="00BC0E7E" w:rsidRPr="00BC0E7E" w:rsidRDefault="00BC0E7E" w:rsidP="00762FA7">
      <w:pPr>
        <w:ind w:left="540" w:hanging="540"/>
        <w:rPr>
          <w:del w:id="8763" w:author="AbbVie19" w:date="2025-04-16T12:28:00Z"/>
        </w:rPr>
      </w:pPr>
    </w:p>
    <w:p w14:paraId="656B8405" w14:textId="77777777" w:rsidR="00BC0E7E" w:rsidRPr="00BC0E7E" w:rsidRDefault="00944B8F" w:rsidP="00762FA7">
      <w:pPr>
        <w:keepNext/>
        <w:pBdr>
          <w:top w:val="single" w:sz="4" w:space="1" w:color="auto"/>
          <w:left w:val="single" w:sz="4" w:space="4" w:color="auto"/>
          <w:bottom w:val="single" w:sz="4" w:space="1" w:color="auto"/>
          <w:right w:val="single" w:sz="4" w:space="4" w:color="auto"/>
        </w:pBdr>
        <w:ind w:left="561" w:hanging="561"/>
        <w:rPr>
          <w:del w:id="8764" w:author="AbbVie19" w:date="2025-04-16T12:28:00Z"/>
          <w:b/>
          <w:caps/>
          <w:szCs w:val="20"/>
        </w:rPr>
      </w:pPr>
      <w:del w:id="8765" w:author="AbbVie19" w:date="2025-04-16T12:28:00Z">
        <w:r w:rsidRPr="00BC0E7E">
          <w:rPr>
            <w:b/>
            <w:caps/>
            <w:szCs w:val="20"/>
          </w:rPr>
          <w:delText>8.</w:delText>
        </w:r>
        <w:r w:rsidRPr="00BC0E7E">
          <w:rPr>
            <w:b/>
            <w:caps/>
            <w:szCs w:val="20"/>
          </w:rPr>
          <w:tab/>
          <w:delText>EXPIRY DATE</w:delText>
        </w:r>
      </w:del>
    </w:p>
    <w:p w14:paraId="68B4A209" w14:textId="77777777" w:rsidR="00BC0E7E" w:rsidRPr="00BC0E7E" w:rsidRDefault="00BC0E7E" w:rsidP="00762FA7">
      <w:pPr>
        <w:keepNext/>
        <w:ind w:left="540" w:hanging="540"/>
        <w:rPr>
          <w:del w:id="8766" w:author="AbbVie19" w:date="2025-04-16T12:28:00Z"/>
        </w:rPr>
      </w:pPr>
    </w:p>
    <w:p w14:paraId="74B91486" w14:textId="77777777" w:rsidR="00BC0E7E" w:rsidRPr="00BC0E7E" w:rsidRDefault="00944B8F" w:rsidP="00762FA7">
      <w:pPr>
        <w:keepNext/>
        <w:ind w:left="540" w:hanging="540"/>
        <w:rPr>
          <w:del w:id="8767" w:author="AbbVie19" w:date="2025-04-16T12:28:00Z"/>
        </w:rPr>
      </w:pPr>
      <w:del w:id="8768" w:author="AbbVie19" w:date="2025-04-16T12:28:00Z">
        <w:r w:rsidRPr="00BC0E7E">
          <w:delText>EXP</w:delText>
        </w:r>
      </w:del>
    </w:p>
    <w:p w14:paraId="7B55500A" w14:textId="77777777" w:rsidR="00BC0E7E" w:rsidRPr="00BC0E7E" w:rsidRDefault="00BC0E7E" w:rsidP="00762FA7">
      <w:pPr>
        <w:keepNext/>
        <w:ind w:left="540" w:hanging="540"/>
        <w:rPr>
          <w:del w:id="8769" w:author="AbbVie19" w:date="2025-04-16T12:28:00Z"/>
        </w:rPr>
      </w:pPr>
    </w:p>
    <w:p w14:paraId="12EC771D" w14:textId="77777777" w:rsidR="00BC0E7E" w:rsidRPr="00BC0E7E" w:rsidRDefault="00BC0E7E" w:rsidP="00762FA7">
      <w:pPr>
        <w:keepNext/>
        <w:ind w:left="540" w:hanging="540"/>
        <w:rPr>
          <w:del w:id="8770" w:author="AbbVie19" w:date="2025-04-16T12:28:00Z"/>
        </w:rPr>
      </w:pPr>
    </w:p>
    <w:p w14:paraId="14A2412B"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771" w:author="AbbVie19" w:date="2025-04-16T12:28:00Z"/>
          <w:b/>
          <w:caps/>
          <w:szCs w:val="20"/>
        </w:rPr>
      </w:pPr>
      <w:del w:id="8772" w:author="AbbVie19" w:date="2025-04-16T12:28:00Z">
        <w:r w:rsidRPr="00BC0E7E">
          <w:rPr>
            <w:b/>
            <w:caps/>
            <w:szCs w:val="20"/>
          </w:rPr>
          <w:delText>9.</w:delText>
        </w:r>
        <w:r w:rsidRPr="00BC0E7E">
          <w:rPr>
            <w:b/>
            <w:caps/>
            <w:szCs w:val="20"/>
          </w:rPr>
          <w:tab/>
          <w:delText>SPECIAL STORAGE CONDITIONS</w:delText>
        </w:r>
      </w:del>
    </w:p>
    <w:p w14:paraId="2FAAD9DA" w14:textId="77777777" w:rsidR="00BC0E7E" w:rsidRPr="00BC0E7E" w:rsidRDefault="00BC0E7E" w:rsidP="00762FA7">
      <w:pPr>
        <w:ind w:left="540" w:hanging="540"/>
        <w:rPr>
          <w:del w:id="8773" w:author="AbbVie19" w:date="2025-04-16T12:28:00Z"/>
        </w:rPr>
      </w:pPr>
    </w:p>
    <w:p w14:paraId="487441C2" w14:textId="77777777" w:rsidR="00BC0E7E" w:rsidRPr="00BC0E7E" w:rsidRDefault="00944B8F" w:rsidP="00762FA7">
      <w:pPr>
        <w:ind w:left="540" w:hanging="540"/>
        <w:rPr>
          <w:del w:id="8774" w:author="AbbVie19" w:date="2025-04-16T12:28:00Z"/>
        </w:rPr>
      </w:pPr>
      <w:del w:id="8775" w:author="AbbVie19" w:date="2025-04-16T12:28:00Z">
        <w:r w:rsidRPr="00BC0E7E">
          <w:delText>Store in a refrigerator. Do not freeze.</w:delText>
        </w:r>
      </w:del>
    </w:p>
    <w:p w14:paraId="2F0B86D8" w14:textId="77777777" w:rsidR="00BC0E7E" w:rsidRPr="00BC0E7E" w:rsidRDefault="00944B8F" w:rsidP="00762FA7">
      <w:pPr>
        <w:ind w:left="540" w:hanging="540"/>
        <w:rPr>
          <w:del w:id="8776" w:author="AbbVie19" w:date="2025-04-16T12:28:00Z"/>
        </w:rPr>
      </w:pPr>
      <w:del w:id="8777" w:author="AbbVie19" w:date="2025-04-16T12:28:00Z">
        <w:r w:rsidRPr="00BC0E7E">
          <w:delText>Keep the vial in the outer carton in order to protect from light.</w:delText>
        </w:r>
      </w:del>
    </w:p>
    <w:p w14:paraId="6840DE5D" w14:textId="77777777" w:rsidR="00BC0E7E" w:rsidRPr="00BC0E7E" w:rsidRDefault="00BC0E7E" w:rsidP="00762FA7">
      <w:pPr>
        <w:ind w:left="540" w:hanging="540"/>
        <w:rPr>
          <w:del w:id="8778" w:author="AbbVie19" w:date="2025-04-16T12:28:00Z"/>
        </w:rPr>
      </w:pPr>
    </w:p>
    <w:p w14:paraId="1B9F8415" w14:textId="77777777" w:rsidR="00BC0E7E" w:rsidRPr="00BC0E7E" w:rsidRDefault="00BC0E7E" w:rsidP="00762FA7">
      <w:pPr>
        <w:ind w:left="540" w:hanging="540"/>
        <w:rPr>
          <w:del w:id="8779" w:author="AbbVie19" w:date="2025-04-16T12:28:00Z"/>
        </w:rPr>
      </w:pPr>
    </w:p>
    <w:p w14:paraId="519ADB7D"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780" w:author="AbbVie19" w:date="2025-04-16T12:28:00Z"/>
          <w:b/>
          <w:caps/>
          <w:szCs w:val="20"/>
        </w:rPr>
      </w:pPr>
      <w:del w:id="8781" w:author="AbbVie19" w:date="2025-04-16T12:28:00Z">
        <w:r w:rsidRPr="00BC0E7E">
          <w:rPr>
            <w:b/>
            <w:caps/>
            <w:szCs w:val="20"/>
          </w:rPr>
          <w:delText>10.</w:delText>
        </w:r>
        <w:r w:rsidRPr="00BC0E7E">
          <w:rPr>
            <w:b/>
            <w:caps/>
            <w:szCs w:val="20"/>
          </w:rPr>
          <w:tab/>
          <w:delText>SPECIAL PRECAUTIONS FOR DISPOSAL OF UNUSED MEDICINAL PRODUCTS OR WASTE MATERIALS DERIVED FROM SUCH MEDICINAL PRODUCTS, IF APPROPRIATE</w:delText>
        </w:r>
      </w:del>
    </w:p>
    <w:p w14:paraId="3CE33DA6" w14:textId="77777777" w:rsidR="00BC0E7E" w:rsidRPr="00BC0E7E" w:rsidRDefault="00BC0E7E" w:rsidP="00762FA7">
      <w:pPr>
        <w:ind w:left="540" w:hanging="540"/>
        <w:rPr>
          <w:del w:id="8782" w:author="AbbVie19" w:date="2025-04-16T12:28:00Z"/>
        </w:rPr>
      </w:pPr>
    </w:p>
    <w:p w14:paraId="74C0F114" w14:textId="77777777" w:rsidR="00BC0E7E" w:rsidRPr="00BC0E7E" w:rsidRDefault="00BC0E7E" w:rsidP="00762FA7">
      <w:pPr>
        <w:ind w:left="540" w:hanging="540"/>
        <w:rPr>
          <w:del w:id="8783" w:author="AbbVie19" w:date="2025-04-16T12:28:00Z"/>
        </w:rPr>
      </w:pPr>
    </w:p>
    <w:p w14:paraId="28ED7C0F"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1" w:hanging="561"/>
        <w:rPr>
          <w:del w:id="8784" w:author="AbbVie19" w:date="2025-04-16T12:28:00Z"/>
          <w:b/>
          <w:caps/>
          <w:szCs w:val="20"/>
        </w:rPr>
      </w:pPr>
      <w:del w:id="8785" w:author="AbbVie19" w:date="2025-04-16T12:28:00Z">
        <w:r w:rsidRPr="00BC0E7E">
          <w:rPr>
            <w:b/>
            <w:caps/>
            <w:szCs w:val="20"/>
          </w:rPr>
          <w:delText>11.</w:delText>
        </w:r>
        <w:r w:rsidRPr="00BC0E7E">
          <w:rPr>
            <w:b/>
            <w:caps/>
            <w:szCs w:val="20"/>
          </w:rPr>
          <w:tab/>
          <w:delText>NAME AND ADDRESS OF THE MARKETING AUTHORISATION HOLDER</w:delText>
        </w:r>
      </w:del>
    </w:p>
    <w:p w14:paraId="39BD2597" w14:textId="77777777" w:rsidR="00BC0E7E" w:rsidRPr="00BC0E7E" w:rsidRDefault="00BC0E7E" w:rsidP="00762FA7">
      <w:pPr>
        <w:keepNext/>
        <w:tabs>
          <w:tab w:val="clear" w:pos="562"/>
        </w:tabs>
        <w:suppressAutoHyphens w:val="0"/>
        <w:autoSpaceDE w:val="0"/>
        <w:autoSpaceDN w:val="0"/>
        <w:adjustRightInd w:val="0"/>
        <w:spacing w:line="240" w:lineRule="atLeast"/>
        <w:rPr>
          <w:del w:id="8786" w:author="AbbVie19" w:date="2025-04-16T12:28:00Z"/>
          <w:szCs w:val="22"/>
          <w:lang w:eastAsia="en-GB"/>
        </w:rPr>
      </w:pPr>
    </w:p>
    <w:p w14:paraId="2857D90A" w14:textId="77777777" w:rsidR="006A01D2" w:rsidRPr="00EB4204" w:rsidRDefault="00944B8F" w:rsidP="00762FA7">
      <w:pPr>
        <w:keepNext/>
        <w:tabs>
          <w:tab w:val="clear" w:pos="562"/>
        </w:tabs>
        <w:suppressAutoHyphens w:val="0"/>
        <w:autoSpaceDE w:val="0"/>
        <w:autoSpaceDN w:val="0"/>
        <w:adjustRightInd w:val="0"/>
        <w:spacing w:line="240" w:lineRule="atLeast"/>
        <w:rPr>
          <w:del w:id="8787" w:author="AbbVie19" w:date="2025-04-16T12:28:00Z"/>
          <w:szCs w:val="22"/>
          <w:lang w:eastAsia="en-GB"/>
        </w:rPr>
      </w:pPr>
      <w:del w:id="8788" w:author="AbbVie19" w:date="2025-04-16T12:28:00Z">
        <w:r w:rsidRPr="00EB4204">
          <w:rPr>
            <w:szCs w:val="22"/>
            <w:lang w:eastAsia="en-GB"/>
          </w:rPr>
          <w:delText>AbbVie Deutschland GmbH &amp; Co. KG</w:delText>
        </w:r>
      </w:del>
    </w:p>
    <w:p w14:paraId="4D2E1D8A" w14:textId="77777777" w:rsidR="006A01D2" w:rsidRPr="00EB4204" w:rsidRDefault="00944B8F" w:rsidP="00762FA7">
      <w:pPr>
        <w:keepNext/>
        <w:tabs>
          <w:tab w:val="clear" w:pos="562"/>
        </w:tabs>
        <w:suppressAutoHyphens w:val="0"/>
        <w:autoSpaceDE w:val="0"/>
        <w:autoSpaceDN w:val="0"/>
        <w:adjustRightInd w:val="0"/>
        <w:spacing w:line="240" w:lineRule="atLeast"/>
        <w:rPr>
          <w:del w:id="8789" w:author="AbbVie19" w:date="2025-04-16T12:28:00Z"/>
          <w:szCs w:val="22"/>
          <w:lang w:eastAsia="en-GB"/>
        </w:rPr>
      </w:pPr>
      <w:del w:id="8790" w:author="AbbVie19" w:date="2025-04-16T12:28:00Z">
        <w:r w:rsidRPr="00EB4204">
          <w:rPr>
            <w:szCs w:val="22"/>
            <w:lang w:eastAsia="en-GB"/>
          </w:rPr>
          <w:delText>Knollstrasse</w:delText>
        </w:r>
      </w:del>
    </w:p>
    <w:p w14:paraId="7D3006DA" w14:textId="77777777" w:rsidR="006A01D2" w:rsidRPr="00EB4204" w:rsidRDefault="00944B8F" w:rsidP="00762FA7">
      <w:pPr>
        <w:keepNext/>
        <w:tabs>
          <w:tab w:val="clear" w:pos="562"/>
        </w:tabs>
        <w:suppressAutoHyphens w:val="0"/>
        <w:autoSpaceDE w:val="0"/>
        <w:autoSpaceDN w:val="0"/>
        <w:adjustRightInd w:val="0"/>
        <w:spacing w:line="240" w:lineRule="atLeast"/>
        <w:rPr>
          <w:del w:id="8791" w:author="AbbVie19" w:date="2025-04-16T12:28:00Z"/>
          <w:szCs w:val="22"/>
          <w:lang w:eastAsia="en-GB"/>
        </w:rPr>
      </w:pPr>
      <w:del w:id="8792" w:author="AbbVie19" w:date="2025-04-16T12:28:00Z">
        <w:r w:rsidRPr="00EB4204">
          <w:rPr>
            <w:szCs w:val="22"/>
            <w:lang w:eastAsia="en-GB"/>
          </w:rPr>
          <w:delText>67061 Ludwigshafen</w:delText>
        </w:r>
      </w:del>
    </w:p>
    <w:p w14:paraId="3683E397" w14:textId="77777777" w:rsidR="006A01D2" w:rsidRDefault="00944B8F" w:rsidP="00762FA7">
      <w:pPr>
        <w:keepNext/>
        <w:tabs>
          <w:tab w:val="clear" w:pos="562"/>
          <w:tab w:val="left" w:pos="720"/>
        </w:tabs>
        <w:suppressAutoHyphens w:val="0"/>
        <w:autoSpaceDE w:val="0"/>
        <w:autoSpaceDN w:val="0"/>
        <w:adjustRightInd w:val="0"/>
        <w:spacing w:line="240" w:lineRule="atLeast"/>
        <w:rPr>
          <w:del w:id="8793" w:author="AbbVie19" w:date="2025-04-16T12:28:00Z"/>
          <w:szCs w:val="22"/>
          <w:lang w:eastAsia="en-GB"/>
        </w:rPr>
      </w:pPr>
      <w:del w:id="8794" w:author="AbbVie19" w:date="2025-04-16T12:28:00Z">
        <w:r w:rsidRPr="00EB4204">
          <w:rPr>
            <w:szCs w:val="22"/>
            <w:lang w:eastAsia="en-GB"/>
          </w:rPr>
          <w:delText>Germany</w:delText>
        </w:r>
        <w:r>
          <w:rPr>
            <w:szCs w:val="22"/>
            <w:lang w:eastAsia="en-GB"/>
          </w:rPr>
          <w:delText xml:space="preserve"> </w:delText>
        </w:r>
      </w:del>
    </w:p>
    <w:p w14:paraId="7CBEDE36" w14:textId="77777777" w:rsidR="00BC0E7E" w:rsidRPr="00BC0E7E" w:rsidRDefault="00BC0E7E" w:rsidP="00762FA7">
      <w:pPr>
        <w:keepNext/>
        <w:tabs>
          <w:tab w:val="clear" w:pos="562"/>
        </w:tabs>
        <w:suppressAutoHyphens w:val="0"/>
        <w:autoSpaceDE w:val="0"/>
        <w:autoSpaceDN w:val="0"/>
        <w:adjustRightInd w:val="0"/>
        <w:spacing w:line="240" w:lineRule="atLeast"/>
        <w:rPr>
          <w:del w:id="8795" w:author="AbbVie19" w:date="2025-04-16T12:28:00Z"/>
          <w:szCs w:val="22"/>
          <w:lang w:eastAsia="en-GB"/>
        </w:rPr>
      </w:pPr>
    </w:p>
    <w:p w14:paraId="415FACF6" w14:textId="77777777" w:rsidR="00BC0E7E" w:rsidRPr="00BC0E7E" w:rsidRDefault="00BC0E7E" w:rsidP="00762FA7">
      <w:pPr>
        <w:keepNext/>
        <w:tabs>
          <w:tab w:val="clear" w:pos="562"/>
        </w:tabs>
        <w:suppressAutoHyphens w:val="0"/>
        <w:autoSpaceDE w:val="0"/>
        <w:autoSpaceDN w:val="0"/>
        <w:adjustRightInd w:val="0"/>
        <w:spacing w:line="240" w:lineRule="atLeast"/>
        <w:rPr>
          <w:del w:id="8796" w:author="AbbVie19" w:date="2025-04-16T12:28:00Z"/>
          <w:szCs w:val="22"/>
          <w:lang w:eastAsia="en-GB"/>
        </w:rPr>
      </w:pPr>
    </w:p>
    <w:p w14:paraId="0E7B3036"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797" w:author="AbbVie19" w:date="2025-04-16T12:28:00Z"/>
          <w:b/>
          <w:caps/>
          <w:szCs w:val="20"/>
        </w:rPr>
      </w:pPr>
      <w:del w:id="8798" w:author="AbbVie19" w:date="2025-04-16T12:28:00Z">
        <w:r w:rsidRPr="00BC0E7E">
          <w:rPr>
            <w:b/>
            <w:caps/>
            <w:szCs w:val="20"/>
          </w:rPr>
          <w:delText>12.</w:delText>
        </w:r>
        <w:r w:rsidRPr="00BC0E7E">
          <w:rPr>
            <w:b/>
            <w:caps/>
            <w:szCs w:val="20"/>
          </w:rPr>
          <w:tab/>
          <w:delText>MARKETING AUTHORISATION NUMBER</w:delText>
        </w:r>
      </w:del>
    </w:p>
    <w:p w14:paraId="26F54F1A" w14:textId="77777777" w:rsidR="00BC0E7E" w:rsidRPr="00BC0E7E" w:rsidRDefault="00BC0E7E" w:rsidP="00762FA7">
      <w:pPr>
        <w:ind w:left="540" w:hanging="540"/>
        <w:rPr>
          <w:del w:id="8799" w:author="AbbVie19" w:date="2025-04-16T12:28:00Z"/>
        </w:rPr>
      </w:pPr>
    </w:p>
    <w:p w14:paraId="2BE856DD" w14:textId="77777777" w:rsidR="00BC0E7E" w:rsidRPr="00BC0E7E" w:rsidRDefault="00944B8F" w:rsidP="00762FA7">
      <w:pPr>
        <w:ind w:left="540" w:hanging="540"/>
        <w:rPr>
          <w:del w:id="8800" w:author="AbbVie19" w:date="2025-04-16T12:28:00Z"/>
        </w:rPr>
      </w:pPr>
      <w:del w:id="8801" w:author="AbbVie19" w:date="2025-04-16T12:28:00Z">
        <w:r w:rsidRPr="00BC0E7E">
          <w:delText>EU/1/03/256/001</w:delText>
        </w:r>
      </w:del>
    </w:p>
    <w:p w14:paraId="0B591B87" w14:textId="77777777" w:rsidR="00BC0E7E" w:rsidRPr="00BC0E7E" w:rsidRDefault="00BC0E7E" w:rsidP="00762FA7">
      <w:pPr>
        <w:ind w:left="540" w:hanging="540"/>
        <w:rPr>
          <w:del w:id="8802" w:author="AbbVie19" w:date="2025-04-16T12:28:00Z"/>
        </w:rPr>
      </w:pPr>
    </w:p>
    <w:p w14:paraId="7481C934" w14:textId="77777777" w:rsidR="00BC0E7E" w:rsidRPr="00BC0E7E" w:rsidRDefault="00BC0E7E" w:rsidP="00762FA7">
      <w:pPr>
        <w:ind w:left="540" w:hanging="540"/>
        <w:rPr>
          <w:del w:id="8803" w:author="AbbVie19" w:date="2025-04-16T12:28:00Z"/>
        </w:rPr>
      </w:pPr>
    </w:p>
    <w:p w14:paraId="3210D4D1"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804" w:author="AbbVie19" w:date="2025-04-16T12:28:00Z"/>
          <w:b/>
          <w:caps/>
          <w:szCs w:val="20"/>
        </w:rPr>
      </w:pPr>
      <w:del w:id="8805" w:author="AbbVie19" w:date="2025-04-16T12:28:00Z">
        <w:r w:rsidRPr="00BC0E7E">
          <w:rPr>
            <w:b/>
            <w:caps/>
            <w:szCs w:val="20"/>
          </w:rPr>
          <w:delText>13.</w:delText>
        </w:r>
        <w:r w:rsidRPr="00BC0E7E">
          <w:rPr>
            <w:b/>
            <w:caps/>
            <w:szCs w:val="20"/>
          </w:rPr>
          <w:tab/>
          <w:delText>BATCH NUMBER</w:delText>
        </w:r>
      </w:del>
    </w:p>
    <w:p w14:paraId="4AC11265" w14:textId="77777777" w:rsidR="00BC0E7E" w:rsidRPr="00BC0E7E" w:rsidRDefault="00BC0E7E" w:rsidP="00762FA7">
      <w:pPr>
        <w:ind w:left="540" w:hanging="540"/>
        <w:rPr>
          <w:del w:id="8806" w:author="AbbVie19" w:date="2025-04-16T12:28:00Z"/>
        </w:rPr>
      </w:pPr>
    </w:p>
    <w:p w14:paraId="6BEB7691" w14:textId="77777777" w:rsidR="00BC0E7E" w:rsidRPr="00BC0E7E" w:rsidRDefault="00944B8F" w:rsidP="00762FA7">
      <w:pPr>
        <w:ind w:left="540" w:hanging="540"/>
        <w:rPr>
          <w:del w:id="8807" w:author="AbbVie19" w:date="2025-04-16T12:28:00Z"/>
        </w:rPr>
      </w:pPr>
      <w:del w:id="8808" w:author="AbbVie19" w:date="2025-04-16T12:28:00Z">
        <w:r w:rsidRPr="00BC0E7E">
          <w:delText xml:space="preserve">Lot </w:delText>
        </w:r>
      </w:del>
    </w:p>
    <w:p w14:paraId="43309CA0" w14:textId="77777777" w:rsidR="00BC0E7E" w:rsidRPr="00BC0E7E" w:rsidRDefault="00BC0E7E" w:rsidP="00762FA7">
      <w:pPr>
        <w:ind w:left="540" w:hanging="540"/>
        <w:rPr>
          <w:del w:id="8809" w:author="AbbVie19" w:date="2025-04-16T12:28:00Z"/>
        </w:rPr>
      </w:pPr>
    </w:p>
    <w:p w14:paraId="3AF57B05" w14:textId="77777777" w:rsidR="00BC0E7E" w:rsidRPr="00BC0E7E" w:rsidRDefault="00BC0E7E" w:rsidP="00762FA7">
      <w:pPr>
        <w:ind w:left="540" w:hanging="540"/>
        <w:rPr>
          <w:del w:id="8810" w:author="AbbVie19" w:date="2025-04-16T12:28:00Z"/>
        </w:rPr>
      </w:pPr>
    </w:p>
    <w:p w14:paraId="767D40EF"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811" w:author="AbbVie19" w:date="2025-04-16T12:28:00Z"/>
          <w:b/>
          <w:caps/>
          <w:szCs w:val="20"/>
        </w:rPr>
      </w:pPr>
      <w:del w:id="8812" w:author="AbbVie19" w:date="2025-04-16T12:28:00Z">
        <w:r w:rsidRPr="00BC0E7E">
          <w:rPr>
            <w:b/>
            <w:caps/>
            <w:szCs w:val="20"/>
          </w:rPr>
          <w:delText>14.</w:delText>
        </w:r>
        <w:r w:rsidRPr="00BC0E7E">
          <w:rPr>
            <w:b/>
            <w:caps/>
            <w:szCs w:val="20"/>
          </w:rPr>
          <w:tab/>
          <w:delText>GENERAL CLASSIFICATION FOR SUPPLY</w:delText>
        </w:r>
      </w:del>
    </w:p>
    <w:p w14:paraId="3E311406" w14:textId="77777777" w:rsidR="00BC0E7E" w:rsidRPr="00BC0E7E" w:rsidRDefault="00BC0E7E" w:rsidP="00762FA7">
      <w:pPr>
        <w:ind w:left="540" w:hanging="540"/>
        <w:rPr>
          <w:del w:id="8813" w:author="AbbVie19" w:date="2025-04-16T12:28:00Z"/>
        </w:rPr>
      </w:pPr>
    </w:p>
    <w:p w14:paraId="7BDA061D" w14:textId="77777777" w:rsidR="00BC0E7E" w:rsidRPr="00BC0E7E" w:rsidRDefault="00BC0E7E" w:rsidP="00762FA7">
      <w:pPr>
        <w:ind w:left="540" w:hanging="540"/>
        <w:rPr>
          <w:del w:id="8814" w:author="AbbVie19" w:date="2025-04-16T12:28:00Z"/>
        </w:rPr>
      </w:pPr>
    </w:p>
    <w:p w14:paraId="762981DD"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1" w:hanging="561"/>
        <w:rPr>
          <w:del w:id="8815" w:author="AbbVie19" w:date="2025-04-16T12:28:00Z"/>
          <w:b/>
          <w:caps/>
          <w:szCs w:val="20"/>
        </w:rPr>
      </w:pPr>
      <w:del w:id="8816" w:author="AbbVie19" w:date="2025-04-16T12:28:00Z">
        <w:r w:rsidRPr="00BC0E7E">
          <w:rPr>
            <w:b/>
            <w:caps/>
            <w:szCs w:val="20"/>
          </w:rPr>
          <w:delText>15.</w:delText>
        </w:r>
        <w:r w:rsidRPr="00BC0E7E">
          <w:rPr>
            <w:b/>
            <w:caps/>
            <w:szCs w:val="20"/>
          </w:rPr>
          <w:tab/>
          <w:delText>INSTRUCTIONS ON USE</w:delText>
        </w:r>
      </w:del>
    </w:p>
    <w:p w14:paraId="3167FAE4" w14:textId="77777777" w:rsidR="00BC0E7E" w:rsidRPr="00BC0E7E" w:rsidRDefault="00BC0E7E" w:rsidP="00762FA7">
      <w:pPr>
        <w:rPr>
          <w:del w:id="8817" w:author="AbbVie19" w:date="2025-04-16T12:28:00Z"/>
          <w:szCs w:val="20"/>
        </w:rPr>
      </w:pPr>
    </w:p>
    <w:p w14:paraId="7D10BD30" w14:textId="77777777" w:rsidR="00BC0E7E" w:rsidRPr="00BC0E7E" w:rsidRDefault="00BC0E7E" w:rsidP="00762FA7">
      <w:pPr>
        <w:rPr>
          <w:del w:id="8818" w:author="AbbVie19" w:date="2025-04-16T12:28:00Z"/>
          <w:szCs w:val="20"/>
        </w:rPr>
      </w:pPr>
    </w:p>
    <w:p w14:paraId="0636DBC5" w14:textId="77777777" w:rsidR="00BC0E7E" w:rsidRPr="00083C28" w:rsidRDefault="00944B8F" w:rsidP="00762FA7">
      <w:pPr>
        <w:pBdr>
          <w:top w:val="single" w:sz="4" w:space="1" w:color="auto"/>
          <w:left w:val="single" w:sz="4" w:space="4" w:color="auto"/>
          <w:bottom w:val="single" w:sz="4" w:space="1" w:color="auto"/>
          <w:right w:val="single" w:sz="4" w:space="4" w:color="auto"/>
        </w:pBdr>
        <w:rPr>
          <w:del w:id="8819" w:author="AbbVie19" w:date="2025-04-16T12:28:00Z"/>
          <w:b/>
          <w:bCs/>
          <w:caps/>
          <w:szCs w:val="20"/>
        </w:rPr>
      </w:pPr>
      <w:del w:id="8820" w:author="AbbVie19" w:date="2025-04-16T12:28:00Z">
        <w:r w:rsidRPr="00083C28">
          <w:rPr>
            <w:b/>
            <w:bCs/>
            <w:caps/>
            <w:szCs w:val="20"/>
          </w:rPr>
          <w:delText>16.</w:delText>
        </w:r>
        <w:r w:rsidRPr="00083C28">
          <w:rPr>
            <w:b/>
            <w:bCs/>
            <w:caps/>
            <w:szCs w:val="20"/>
          </w:rPr>
          <w:tab/>
          <w:delText>Information in braille</w:delText>
        </w:r>
      </w:del>
    </w:p>
    <w:p w14:paraId="0199B577" w14:textId="77777777" w:rsidR="00BC0E7E" w:rsidRPr="00083C28" w:rsidRDefault="00BC0E7E" w:rsidP="00762FA7">
      <w:pPr>
        <w:ind w:left="540" w:hanging="540"/>
        <w:rPr>
          <w:del w:id="8821" w:author="AbbVie19" w:date="2025-04-16T12:28:00Z"/>
        </w:rPr>
      </w:pPr>
    </w:p>
    <w:p w14:paraId="00D33FBF" w14:textId="77777777" w:rsidR="00BC0E7E" w:rsidRPr="00491143" w:rsidRDefault="00944B8F" w:rsidP="00762FA7">
      <w:pPr>
        <w:ind w:left="540" w:hanging="540"/>
        <w:rPr>
          <w:del w:id="8822" w:author="AbbVie19" w:date="2025-04-16T12:28:00Z"/>
          <w:lang w:val="es-ES"/>
        </w:rPr>
      </w:pPr>
      <w:del w:id="8823" w:author="AbbVie19" w:date="2025-04-16T12:28:00Z">
        <w:r w:rsidRPr="00491143">
          <w:rPr>
            <w:lang w:val="es-ES"/>
          </w:rPr>
          <w:delText>Humira 40 mg</w:delText>
        </w:r>
      </w:del>
    </w:p>
    <w:p w14:paraId="434127A1" w14:textId="77777777" w:rsidR="00BC0E7E" w:rsidRPr="00491143" w:rsidRDefault="00BC0E7E" w:rsidP="00762FA7">
      <w:pPr>
        <w:ind w:left="540" w:hanging="540"/>
        <w:rPr>
          <w:del w:id="8824" w:author="AbbVie19" w:date="2025-04-16T12:28:00Z"/>
          <w:lang w:val="es-ES"/>
        </w:rPr>
      </w:pPr>
    </w:p>
    <w:p w14:paraId="359A1507" w14:textId="77777777" w:rsidR="00BC0E7E" w:rsidRPr="00491143" w:rsidRDefault="00BC0E7E" w:rsidP="00762FA7">
      <w:pPr>
        <w:ind w:left="540" w:hanging="540"/>
        <w:rPr>
          <w:del w:id="8825" w:author="AbbVie19" w:date="2025-04-16T12:28:00Z"/>
          <w:lang w:val="es-ES"/>
        </w:rPr>
      </w:pPr>
    </w:p>
    <w:p w14:paraId="73258E59" w14:textId="77777777" w:rsidR="00BC0E7E" w:rsidRPr="00433FAD" w:rsidRDefault="00944B8F" w:rsidP="00762FA7">
      <w:pPr>
        <w:pBdr>
          <w:top w:val="single" w:sz="4" w:space="1" w:color="auto"/>
          <w:left w:val="single" w:sz="4" w:space="4" w:color="auto"/>
          <w:bottom w:val="single" w:sz="4" w:space="1" w:color="auto"/>
          <w:right w:val="single" w:sz="4" w:space="4" w:color="auto"/>
        </w:pBdr>
        <w:rPr>
          <w:del w:id="8826" w:author="AbbVie19" w:date="2025-04-16T12:28:00Z"/>
          <w:b/>
          <w:bCs/>
          <w:caps/>
          <w:szCs w:val="20"/>
          <w:lang w:val="es-MX"/>
        </w:rPr>
      </w:pPr>
      <w:del w:id="8827" w:author="AbbVie19" w:date="2025-04-16T12:28:00Z">
        <w:r w:rsidRPr="00491143">
          <w:rPr>
            <w:b/>
            <w:bCs/>
            <w:caps/>
            <w:szCs w:val="20"/>
            <w:lang w:val="es-ES"/>
          </w:rPr>
          <w:delText xml:space="preserve">17. </w:delText>
        </w:r>
        <w:r w:rsidRPr="00491143">
          <w:rPr>
            <w:b/>
            <w:bCs/>
            <w:caps/>
            <w:szCs w:val="20"/>
            <w:lang w:val="es-ES"/>
          </w:rPr>
          <w:tab/>
        </w:r>
        <w:r w:rsidRPr="00433FAD">
          <w:rPr>
            <w:b/>
            <w:bCs/>
            <w:caps/>
            <w:szCs w:val="20"/>
            <w:lang w:val="es-MX"/>
          </w:rPr>
          <w:delText>UNIQUE INDENTIFIER – 2D BARCODE</w:delText>
        </w:r>
      </w:del>
    </w:p>
    <w:p w14:paraId="02D2E040" w14:textId="77777777" w:rsidR="00BC0E7E" w:rsidRPr="00433FAD" w:rsidRDefault="00BC0E7E" w:rsidP="00762FA7">
      <w:pPr>
        <w:rPr>
          <w:del w:id="8828" w:author="AbbVie19" w:date="2025-04-16T12:28:00Z"/>
          <w:lang w:val="es-MX"/>
        </w:rPr>
      </w:pPr>
    </w:p>
    <w:p w14:paraId="6EF1AAB9" w14:textId="77777777" w:rsidR="00BC0E7E" w:rsidRPr="00433FAD" w:rsidRDefault="00BC0E7E" w:rsidP="00762FA7">
      <w:pPr>
        <w:rPr>
          <w:del w:id="8829" w:author="AbbVie19" w:date="2025-04-16T12:28:00Z"/>
          <w:shd w:val="clear" w:color="auto" w:fill="BFBFBF"/>
          <w:lang w:val="es-MX"/>
        </w:rPr>
      </w:pPr>
    </w:p>
    <w:p w14:paraId="482F733F" w14:textId="77777777" w:rsidR="00BC0E7E" w:rsidRPr="00BC0E7E" w:rsidRDefault="00944B8F" w:rsidP="00762FA7">
      <w:pPr>
        <w:keepNext/>
        <w:pBdr>
          <w:top w:val="single" w:sz="4" w:space="1" w:color="auto"/>
          <w:left w:val="single" w:sz="4" w:space="4" w:color="auto"/>
          <w:bottom w:val="single" w:sz="4" w:space="1" w:color="auto"/>
          <w:right w:val="single" w:sz="4" w:space="4" w:color="auto"/>
        </w:pBdr>
        <w:rPr>
          <w:del w:id="8830" w:author="AbbVie19" w:date="2025-04-16T12:28:00Z"/>
          <w:rFonts w:ascii="Times New Roman Bold" w:hAnsi="Times New Roman Bold"/>
          <w:caps/>
          <w:szCs w:val="20"/>
        </w:rPr>
      </w:pPr>
      <w:del w:id="8831" w:author="AbbVie19" w:date="2025-04-16T12:28:00Z">
        <w:r w:rsidRPr="00BC0E7E">
          <w:rPr>
            <w:b/>
            <w:bCs/>
            <w:caps/>
            <w:szCs w:val="20"/>
          </w:rPr>
          <w:lastRenderedPageBreak/>
          <w:delText xml:space="preserve">18. </w:delText>
        </w:r>
        <w:r w:rsidRPr="00BC0E7E">
          <w:rPr>
            <w:b/>
            <w:bCs/>
            <w:caps/>
            <w:szCs w:val="20"/>
          </w:rPr>
          <w:tab/>
          <w:delText>UNIQUE INDENTIFIER – HUMAN READABLE DATA</w:delText>
        </w:r>
      </w:del>
    </w:p>
    <w:p w14:paraId="5F6501FD" w14:textId="77777777" w:rsidR="00BC0E7E" w:rsidRPr="00BC0E7E" w:rsidRDefault="00BC0E7E" w:rsidP="00762FA7">
      <w:pPr>
        <w:keepNext/>
        <w:ind w:left="540" w:hanging="540"/>
        <w:rPr>
          <w:del w:id="8832" w:author="AbbVie19" w:date="2025-04-16T12:28:00Z"/>
        </w:rPr>
      </w:pPr>
    </w:p>
    <w:p w14:paraId="410A3967" w14:textId="77777777" w:rsidR="00BC0E7E" w:rsidRPr="00BC0E7E" w:rsidRDefault="00944B8F" w:rsidP="00762FA7">
      <w:pPr>
        <w:pBdr>
          <w:top w:val="single" w:sz="4" w:space="1" w:color="auto"/>
          <w:left w:val="single" w:sz="4" w:space="1" w:color="auto"/>
          <w:bottom w:val="single" w:sz="4" w:space="1" w:color="auto"/>
          <w:right w:val="single" w:sz="4" w:space="1" w:color="auto"/>
        </w:pBdr>
        <w:rPr>
          <w:del w:id="8833" w:author="AbbVie19" w:date="2025-04-16T12:28:00Z"/>
          <w:b/>
          <w:bCs/>
        </w:rPr>
      </w:pPr>
      <w:del w:id="8834" w:author="AbbVie19" w:date="2025-04-16T12:28:00Z">
        <w:r w:rsidRPr="00BC0E7E">
          <w:rPr>
            <w:b/>
            <w:bCs/>
          </w:rPr>
          <w:br w:type="page"/>
        </w:r>
        <w:r w:rsidRPr="00BC0E7E">
          <w:rPr>
            <w:b/>
            <w:bCs/>
          </w:rPr>
          <w:lastRenderedPageBreak/>
          <w:delText>MINIMUM PARTICULARS TO APPEAR ON SMALL IMMEDIATE PACKAGING UNITS</w:delText>
        </w:r>
      </w:del>
    </w:p>
    <w:p w14:paraId="4048ECE0" w14:textId="77777777" w:rsidR="00BC0E7E" w:rsidRPr="00BC0E7E" w:rsidRDefault="00BC0E7E" w:rsidP="00762FA7">
      <w:pPr>
        <w:pBdr>
          <w:top w:val="single" w:sz="4" w:space="1" w:color="auto"/>
          <w:left w:val="single" w:sz="4" w:space="1" w:color="auto"/>
          <w:bottom w:val="single" w:sz="4" w:space="1" w:color="auto"/>
          <w:right w:val="single" w:sz="4" w:space="1" w:color="auto"/>
        </w:pBdr>
        <w:rPr>
          <w:del w:id="8835" w:author="AbbVie19" w:date="2025-04-16T12:28:00Z"/>
          <w:b/>
          <w:bCs/>
        </w:rPr>
      </w:pPr>
    </w:p>
    <w:p w14:paraId="48B419A7" w14:textId="77777777" w:rsidR="00BC0E7E" w:rsidRPr="00BC0E7E" w:rsidRDefault="00944B8F" w:rsidP="00762FA7">
      <w:pPr>
        <w:keepLines/>
        <w:pBdr>
          <w:top w:val="single" w:sz="4" w:space="1" w:color="auto"/>
          <w:left w:val="single" w:sz="4" w:space="1" w:color="auto"/>
          <w:bottom w:val="single" w:sz="4" w:space="1" w:color="auto"/>
          <w:right w:val="single" w:sz="4" w:space="1" w:color="auto"/>
        </w:pBdr>
        <w:ind w:left="540" w:hanging="540"/>
        <w:outlineLvl w:val="2"/>
        <w:rPr>
          <w:del w:id="8836" w:author="AbbVie19" w:date="2025-04-16T12:28:00Z"/>
          <w:i/>
          <w:sz w:val="26"/>
          <w:szCs w:val="26"/>
        </w:rPr>
      </w:pPr>
      <w:del w:id="8837" w:author="AbbVie19" w:date="2025-04-16T12:28:00Z">
        <w:r w:rsidRPr="00BC0E7E">
          <w:rPr>
            <w:b/>
            <w:bCs/>
            <w:szCs w:val="26"/>
          </w:rPr>
          <w:delText>VIAL LABEL</w:delText>
        </w:r>
      </w:del>
    </w:p>
    <w:p w14:paraId="4048F210" w14:textId="77777777" w:rsidR="00BC0E7E" w:rsidRPr="00BC0E7E" w:rsidRDefault="00BC0E7E" w:rsidP="00762FA7">
      <w:pPr>
        <w:ind w:left="540" w:hanging="540"/>
        <w:rPr>
          <w:del w:id="8838" w:author="AbbVie19" w:date="2025-04-16T12:28:00Z"/>
          <w:b/>
        </w:rPr>
      </w:pPr>
    </w:p>
    <w:p w14:paraId="497B13D9" w14:textId="77777777" w:rsidR="00BC0E7E" w:rsidRPr="00BC0E7E" w:rsidRDefault="00BC0E7E" w:rsidP="00762FA7">
      <w:pPr>
        <w:ind w:left="540" w:hanging="540"/>
        <w:rPr>
          <w:del w:id="8839" w:author="AbbVie19" w:date="2025-04-16T12:28:00Z"/>
          <w:b/>
        </w:rPr>
      </w:pPr>
    </w:p>
    <w:p w14:paraId="11B542FA"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1" w:hanging="561"/>
        <w:rPr>
          <w:del w:id="8840" w:author="AbbVie19" w:date="2025-04-16T12:28:00Z"/>
          <w:b/>
          <w:caps/>
          <w:szCs w:val="20"/>
        </w:rPr>
      </w:pPr>
      <w:del w:id="8841" w:author="AbbVie19" w:date="2025-04-16T12:28:00Z">
        <w:r w:rsidRPr="00BC0E7E">
          <w:rPr>
            <w:b/>
            <w:caps/>
            <w:szCs w:val="20"/>
          </w:rPr>
          <w:delText>1.</w:delText>
        </w:r>
        <w:r w:rsidRPr="00BC0E7E">
          <w:rPr>
            <w:b/>
            <w:caps/>
            <w:szCs w:val="20"/>
          </w:rPr>
          <w:tab/>
          <w:delText>NAME OF THE MEDICINAL PRODUCT AND ROUTE OF ADMINISTRATION</w:delText>
        </w:r>
      </w:del>
    </w:p>
    <w:p w14:paraId="71D72DCF" w14:textId="77777777" w:rsidR="00BC0E7E" w:rsidRPr="00BC0E7E" w:rsidRDefault="00BC0E7E" w:rsidP="00762FA7">
      <w:pPr>
        <w:ind w:left="540" w:hanging="540"/>
        <w:rPr>
          <w:del w:id="8842" w:author="AbbVie19" w:date="2025-04-16T12:28:00Z"/>
        </w:rPr>
      </w:pPr>
    </w:p>
    <w:p w14:paraId="670558DB" w14:textId="77777777" w:rsidR="00BC0E7E" w:rsidRPr="00BC0E7E" w:rsidRDefault="00944B8F" w:rsidP="00762FA7">
      <w:pPr>
        <w:ind w:left="540" w:hanging="540"/>
        <w:rPr>
          <w:del w:id="8843" w:author="AbbVie19" w:date="2025-04-16T12:28:00Z"/>
        </w:rPr>
      </w:pPr>
      <w:del w:id="8844" w:author="AbbVie19" w:date="2025-04-16T12:28:00Z">
        <w:r w:rsidRPr="00BC0E7E">
          <w:delText>Humira 40 mg/0.8 ml injection</w:delText>
        </w:r>
      </w:del>
    </w:p>
    <w:p w14:paraId="532EB0BC" w14:textId="77777777" w:rsidR="00BC0E7E" w:rsidRPr="00BC0E7E" w:rsidRDefault="00944B8F" w:rsidP="00762FA7">
      <w:pPr>
        <w:ind w:left="540" w:hanging="540"/>
        <w:rPr>
          <w:del w:id="8845" w:author="AbbVie19" w:date="2025-04-16T12:28:00Z"/>
        </w:rPr>
      </w:pPr>
      <w:del w:id="8846" w:author="AbbVie19" w:date="2025-04-16T12:28:00Z">
        <w:r w:rsidRPr="00BC0E7E">
          <w:delText>adalimumab</w:delText>
        </w:r>
      </w:del>
    </w:p>
    <w:p w14:paraId="413EFAB5" w14:textId="77777777" w:rsidR="00BC0E7E" w:rsidRPr="00BC0E7E" w:rsidRDefault="00944B8F" w:rsidP="00762FA7">
      <w:pPr>
        <w:ind w:left="540" w:hanging="540"/>
        <w:rPr>
          <w:del w:id="8847" w:author="AbbVie19" w:date="2025-04-16T12:28:00Z"/>
        </w:rPr>
      </w:pPr>
      <w:del w:id="8848" w:author="AbbVie19" w:date="2025-04-16T12:28:00Z">
        <w:r>
          <w:delText>SC</w:delText>
        </w:r>
      </w:del>
    </w:p>
    <w:p w14:paraId="2824C680" w14:textId="77777777" w:rsidR="00BC0E7E" w:rsidRDefault="00BC0E7E" w:rsidP="00762FA7">
      <w:pPr>
        <w:ind w:left="540" w:hanging="540"/>
        <w:rPr>
          <w:del w:id="8849" w:author="AbbVie19" w:date="2025-04-16T12:28:00Z"/>
          <w:b/>
        </w:rPr>
      </w:pPr>
    </w:p>
    <w:p w14:paraId="25DFE0B0" w14:textId="77777777" w:rsidR="00AE43B4" w:rsidRPr="00BC0E7E" w:rsidRDefault="00AE43B4" w:rsidP="00762FA7">
      <w:pPr>
        <w:ind w:left="540" w:hanging="540"/>
        <w:rPr>
          <w:del w:id="8850" w:author="AbbVie19" w:date="2025-04-16T12:28:00Z"/>
          <w:b/>
        </w:rPr>
      </w:pPr>
    </w:p>
    <w:p w14:paraId="18BB7EA8"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851" w:author="AbbVie19" w:date="2025-04-16T12:28:00Z"/>
          <w:b/>
          <w:caps/>
          <w:szCs w:val="20"/>
        </w:rPr>
      </w:pPr>
      <w:del w:id="8852" w:author="AbbVie19" w:date="2025-04-16T12:28:00Z">
        <w:r w:rsidRPr="00BC0E7E">
          <w:rPr>
            <w:b/>
            <w:caps/>
            <w:szCs w:val="20"/>
          </w:rPr>
          <w:delText>2.</w:delText>
        </w:r>
        <w:r w:rsidRPr="00BC0E7E">
          <w:rPr>
            <w:b/>
            <w:caps/>
            <w:szCs w:val="20"/>
          </w:rPr>
          <w:tab/>
          <w:delText>METHOD OF ADMINISTRATION</w:delText>
        </w:r>
      </w:del>
    </w:p>
    <w:p w14:paraId="6BF6A7C7" w14:textId="77777777" w:rsidR="00BC0E7E" w:rsidRPr="00BC0E7E" w:rsidRDefault="00BC0E7E" w:rsidP="00762FA7">
      <w:pPr>
        <w:ind w:left="540" w:hanging="540"/>
        <w:rPr>
          <w:del w:id="8853" w:author="AbbVie19" w:date="2025-04-16T12:28:00Z"/>
          <w:b/>
        </w:rPr>
      </w:pPr>
    </w:p>
    <w:p w14:paraId="708F78B2" w14:textId="77777777" w:rsidR="00BC0E7E" w:rsidRPr="00BC0E7E" w:rsidRDefault="00BC0E7E" w:rsidP="00762FA7">
      <w:pPr>
        <w:ind w:left="540" w:hanging="540"/>
        <w:rPr>
          <w:del w:id="8854" w:author="AbbVie19" w:date="2025-04-16T12:28:00Z"/>
          <w:b/>
        </w:rPr>
      </w:pPr>
    </w:p>
    <w:p w14:paraId="4B164B29"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1" w:hanging="561"/>
        <w:rPr>
          <w:del w:id="8855" w:author="AbbVie19" w:date="2025-04-16T12:28:00Z"/>
          <w:b/>
          <w:caps/>
          <w:szCs w:val="20"/>
        </w:rPr>
      </w:pPr>
      <w:del w:id="8856" w:author="AbbVie19" w:date="2025-04-16T12:28:00Z">
        <w:r w:rsidRPr="00BC0E7E">
          <w:rPr>
            <w:b/>
            <w:caps/>
            <w:szCs w:val="20"/>
          </w:rPr>
          <w:delText>3.</w:delText>
        </w:r>
        <w:r w:rsidRPr="00BC0E7E">
          <w:rPr>
            <w:b/>
            <w:caps/>
            <w:szCs w:val="20"/>
          </w:rPr>
          <w:tab/>
          <w:delText>EXPIRY DATE</w:delText>
        </w:r>
      </w:del>
    </w:p>
    <w:p w14:paraId="314E3F88" w14:textId="77777777" w:rsidR="00BC0E7E" w:rsidRPr="00BC0E7E" w:rsidRDefault="00BC0E7E" w:rsidP="00762FA7">
      <w:pPr>
        <w:ind w:left="540" w:hanging="540"/>
        <w:rPr>
          <w:del w:id="8857" w:author="AbbVie19" w:date="2025-04-16T12:28:00Z"/>
        </w:rPr>
      </w:pPr>
    </w:p>
    <w:p w14:paraId="21E823DE" w14:textId="77777777" w:rsidR="00BC0E7E" w:rsidRPr="00BC0E7E" w:rsidRDefault="00944B8F" w:rsidP="00762FA7">
      <w:pPr>
        <w:ind w:left="540" w:hanging="540"/>
        <w:rPr>
          <w:del w:id="8858" w:author="AbbVie19" w:date="2025-04-16T12:28:00Z"/>
        </w:rPr>
      </w:pPr>
      <w:del w:id="8859" w:author="AbbVie19" w:date="2025-04-16T12:28:00Z">
        <w:r w:rsidRPr="00BC0E7E">
          <w:delText>EXP</w:delText>
        </w:r>
      </w:del>
    </w:p>
    <w:p w14:paraId="61B4BEDB" w14:textId="77777777" w:rsidR="00BC0E7E" w:rsidRPr="00BC0E7E" w:rsidRDefault="00BC0E7E" w:rsidP="00762FA7">
      <w:pPr>
        <w:ind w:left="540" w:hanging="540"/>
        <w:rPr>
          <w:del w:id="8860" w:author="AbbVie19" w:date="2025-04-16T12:28:00Z"/>
        </w:rPr>
      </w:pPr>
    </w:p>
    <w:p w14:paraId="6E0AD523" w14:textId="77777777" w:rsidR="00BC0E7E" w:rsidRPr="00BC0E7E" w:rsidRDefault="00BC0E7E" w:rsidP="00762FA7">
      <w:pPr>
        <w:ind w:left="540" w:hanging="540"/>
        <w:rPr>
          <w:del w:id="8861" w:author="AbbVie19" w:date="2025-04-16T12:28:00Z"/>
        </w:rPr>
      </w:pPr>
    </w:p>
    <w:p w14:paraId="309F8A0A"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862" w:author="AbbVie19" w:date="2025-04-16T12:28:00Z"/>
          <w:b/>
          <w:caps/>
          <w:szCs w:val="20"/>
        </w:rPr>
      </w:pPr>
      <w:del w:id="8863" w:author="AbbVie19" w:date="2025-04-16T12:28:00Z">
        <w:r w:rsidRPr="00BC0E7E">
          <w:rPr>
            <w:b/>
            <w:caps/>
            <w:szCs w:val="20"/>
          </w:rPr>
          <w:delText>4.</w:delText>
        </w:r>
        <w:r w:rsidRPr="00BC0E7E">
          <w:rPr>
            <w:b/>
            <w:caps/>
            <w:szCs w:val="20"/>
          </w:rPr>
          <w:tab/>
          <w:delText>BATCH NUMBER</w:delText>
        </w:r>
      </w:del>
    </w:p>
    <w:p w14:paraId="737F71E1" w14:textId="77777777" w:rsidR="00BC0E7E" w:rsidRPr="00BC0E7E" w:rsidRDefault="00BC0E7E" w:rsidP="00762FA7">
      <w:pPr>
        <w:ind w:left="540" w:hanging="540"/>
        <w:rPr>
          <w:del w:id="8864" w:author="AbbVie19" w:date="2025-04-16T12:28:00Z"/>
        </w:rPr>
      </w:pPr>
    </w:p>
    <w:p w14:paraId="7B40B32E" w14:textId="77777777" w:rsidR="00BC0E7E" w:rsidRPr="00BC0E7E" w:rsidRDefault="00944B8F" w:rsidP="00762FA7">
      <w:pPr>
        <w:ind w:left="540" w:hanging="540"/>
        <w:rPr>
          <w:del w:id="8865" w:author="AbbVie19" w:date="2025-04-16T12:28:00Z"/>
        </w:rPr>
      </w:pPr>
      <w:del w:id="8866" w:author="AbbVie19" w:date="2025-04-16T12:28:00Z">
        <w:r w:rsidRPr="00BC0E7E">
          <w:delText xml:space="preserve">Lot </w:delText>
        </w:r>
      </w:del>
    </w:p>
    <w:p w14:paraId="7C26E205" w14:textId="77777777" w:rsidR="00BC0E7E" w:rsidRPr="00BC0E7E" w:rsidRDefault="00BC0E7E" w:rsidP="00762FA7">
      <w:pPr>
        <w:ind w:left="540" w:hanging="540"/>
        <w:rPr>
          <w:del w:id="8867" w:author="AbbVie19" w:date="2025-04-16T12:28:00Z"/>
        </w:rPr>
      </w:pPr>
    </w:p>
    <w:p w14:paraId="7AB9D2D3" w14:textId="77777777" w:rsidR="00BC0E7E" w:rsidRPr="00BC0E7E" w:rsidRDefault="00BC0E7E" w:rsidP="00762FA7">
      <w:pPr>
        <w:ind w:left="540" w:hanging="540"/>
        <w:rPr>
          <w:del w:id="8868" w:author="AbbVie19" w:date="2025-04-16T12:28:00Z"/>
        </w:rPr>
      </w:pPr>
    </w:p>
    <w:p w14:paraId="45D9CFFA"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869" w:author="AbbVie19" w:date="2025-04-16T12:28:00Z"/>
          <w:b/>
          <w:caps/>
          <w:szCs w:val="20"/>
        </w:rPr>
      </w:pPr>
      <w:del w:id="8870" w:author="AbbVie19" w:date="2025-04-16T12:28:00Z">
        <w:r w:rsidRPr="00BC0E7E">
          <w:rPr>
            <w:b/>
            <w:caps/>
            <w:szCs w:val="20"/>
          </w:rPr>
          <w:delText>5.</w:delText>
        </w:r>
        <w:r w:rsidRPr="00BC0E7E">
          <w:rPr>
            <w:b/>
            <w:caps/>
            <w:szCs w:val="20"/>
          </w:rPr>
          <w:tab/>
          <w:delText>CONTENTS BY WEIGHT, BY VOLUME OR BY UNIT</w:delText>
        </w:r>
      </w:del>
    </w:p>
    <w:p w14:paraId="500C963E" w14:textId="77777777" w:rsidR="00BC0E7E" w:rsidRPr="00BC0E7E" w:rsidRDefault="00BC0E7E" w:rsidP="00762FA7">
      <w:pPr>
        <w:tabs>
          <w:tab w:val="clear" w:pos="562"/>
        </w:tabs>
        <w:ind w:left="540" w:hanging="540"/>
        <w:rPr>
          <w:del w:id="8871" w:author="AbbVie19" w:date="2025-04-16T12:28:00Z"/>
          <w:szCs w:val="22"/>
        </w:rPr>
      </w:pPr>
    </w:p>
    <w:p w14:paraId="0DEC9BFF" w14:textId="77777777" w:rsidR="00BC0E7E" w:rsidRPr="00BC0E7E" w:rsidRDefault="00944B8F" w:rsidP="00762FA7">
      <w:pPr>
        <w:tabs>
          <w:tab w:val="clear" w:pos="562"/>
        </w:tabs>
        <w:ind w:left="540" w:hanging="540"/>
        <w:rPr>
          <w:del w:id="8872" w:author="AbbVie19" w:date="2025-04-16T12:28:00Z"/>
          <w:szCs w:val="22"/>
        </w:rPr>
      </w:pPr>
      <w:del w:id="8873" w:author="AbbVie19" w:date="2025-04-16T12:28:00Z">
        <w:r w:rsidRPr="00BC0E7E">
          <w:rPr>
            <w:szCs w:val="22"/>
          </w:rPr>
          <w:delText>40 mg/0.8 ml</w:delText>
        </w:r>
      </w:del>
    </w:p>
    <w:p w14:paraId="49294673" w14:textId="77777777" w:rsidR="00BC0E7E" w:rsidRPr="00BC0E7E" w:rsidRDefault="00BC0E7E" w:rsidP="00762FA7">
      <w:pPr>
        <w:rPr>
          <w:del w:id="8874" w:author="AbbVie19" w:date="2025-04-16T12:28:00Z"/>
        </w:rPr>
      </w:pPr>
    </w:p>
    <w:p w14:paraId="4F808830" w14:textId="77777777" w:rsidR="00BC0E7E" w:rsidRPr="00BC0E7E" w:rsidRDefault="00BC0E7E" w:rsidP="00762FA7">
      <w:pPr>
        <w:rPr>
          <w:del w:id="8875" w:author="AbbVie19" w:date="2025-04-16T12:28:00Z"/>
        </w:rPr>
      </w:pPr>
    </w:p>
    <w:p w14:paraId="10F56E2F" w14:textId="77777777" w:rsidR="00BC0E7E" w:rsidRPr="00BC0E7E" w:rsidRDefault="00944B8F" w:rsidP="00762FA7">
      <w:pPr>
        <w:pBdr>
          <w:top w:val="single" w:sz="4" w:space="1" w:color="auto"/>
          <w:left w:val="single" w:sz="4" w:space="12" w:color="auto"/>
          <w:bottom w:val="single" w:sz="4" w:space="1" w:color="auto"/>
          <w:right w:val="single" w:sz="4" w:space="4" w:color="auto"/>
        </w:pBdr>
        <w:ind w:left="220"/>
        <w:rPr>
          <w:del w:id="8876" w:author="AbbVie19" w:date="2025-04-16T12:28:00Z"/>
          <w:b/>
          <w:caps/>
          <w:szCs w:val="20"/>
        </w:rPr>
      </w:pPr>
      <w:del w:id="8877" w:author="AbbVie19" w:date="2025-04-16T12:28:00Z">
        <w:r w:rsidRPr="00BC0E7E">
          <w:rPr>
            <w:b/>
            <w:caps/>
            <w:szCs w:val="20"/>
          </w:rPr>
          <w:delText>6. OTHER</w:delText>
        </w:r>
      </w:del>
    </w:p>
    <w:p w14:paraId="3290C543" w14:textId="77777777" w:rsidR="00BC0E7E" w:rsidRPr="00BC0E7E" w:rsidRDefault="00BC0E7E" w:rsidP="00762FA7">
      <w:pPr>
        <w:ind w:left="540" w:hanging="540"/>
        <w:rPr>
          <w:del w:id="8878" w:author="AbbVie19" w:date="2025-04-16T12:28:00Z"/>
        </w:rPr>
      </w:pPr>
    </w:p>
    <w:p w14:paraId="76EC5A0D" w14:textId="77777777" w:rsidR="00BC0E7E" w:rsidRPr="00BC0E7E" w:rsidRDefault="00944B8F" w:rsidP="00762FA7">
      <w:pPr>
        <w:ind w:left="540" w:hanging="540"/>
        <w:rPr>
          <w:del w:id="8879" w:author="AbbVie19" w:date="2025-04-16T12:28:00Z"/>
        </w:rPr>
      </w:pPr>
      <w:del w:id="8880" w:author="AbbVie19" w:date="2025-04-16T12:28:00Z">
        <w:r w:rsidRPr="00BC0E7E">
          <w:delText>For single use only</w:delText>
        </w:r>
      </w:del>
    </w:p>
    <w:p w14:paraId="6447A632" w14:textId="77777777" w:rsidR="00BC0E7E" w:rsidRPr="00BC0E7E" w:rsidRDefault="00BC0E7E" w:rsidP="00762FA7">
      <w:pPr>
        <w:ind w:left="540" w:hanging="540"/>
        <w:rPr>
          <w:del w:id="8881" w:author="AbbVie19" w:date="2025-04-16T12:28:00Z"/>
        </w:rPr>
      </w:pPr>
    </w:p>
    <w:p w14:paraId="2BBFC793" w14:textId="77777777" w:rsidR="00BC0E7E" w:rsidRPr="00BC0E7E" w:rsidRDefault="00944B8F" w:rsidP="00762FA7">
      <w:pPr>
        <w:pBdr>
          <w:top w:val="single" w:sz="4" w:space="1" w:color="auto"/>
          <w:left w:val="single" w:sz="4" w:space="1" w:color="auto"/>
          <w:bottom w:val="single" w:sz="4" w:space="1" w:color="auto"/>
          <w:right w:val="single" w:sz="4" w:space="1" w:color="auto"/>
        </w:pBdr>
        <w:rPr>
          <w:del w:id="8882" w:author="AbbVie19" w:date="2025-04-16T12:28:00Z"/>
          <w:b/>
          <w:bCs/>
        </w:rPr>
      </w:pPr>
      <w:del w:id="8883" w:author="AbbVie19" w:date="2025-04-16T12:28:00Z">
        <w:r w:rsidRPr="00BC0E7E">
          <w:br w:type="page"/>
        </w:r>
        <w:r w:rsidRPr="00BC0E7E">
          <w:rPr>
            <w:b/>
            <w:bCs/>
          </w:rPr>
          <w:lastRenderedPageBreak/>
          <w:delText xml:space="preserve">PARTICULARS TO APPEAR ON THE OUTER PACKAGING </w:delText>
        </w:r>
      </w:del>
    </w:p>
    <w:p w14:paraId="77580C18" w14:textId="77777777" w:rsidR="00BC0E7E" w:rsidRPr="00BC0E7E" w:rsidRDefault="00BC0E7E" w:rsidP="00762FA7">
      <w:pPr>
        <w:pBdr>
          <w:top w:val="single" w:sz="4" w:space="1" w:color="auto"/>
          <w:left w:val="single" w:sz="4" w:space="1" w:color="auto"/>
          <w:bottom w:val="single" w:sz="4" w:space="1" w:color="auto"/>
          <w:right w:val="single" w:sz="4" w:space="1" w:color="auto"/>
        </w:pBdr>
        <w:rPr>
          <w:del w:id="8884" w:author="AbbVie19" w:date="2025-04-16T12:28:00Z"/>
          <w:b/>
          <w:bCs/>
        </w:rPr>
      </w:pPr>
    </w:p>
    <w:p w14:paraId="07D4EFAE" w14:textId="77777777" w:rsidR="00BC0E7E" w:rsidRPr="00BC0E7E" w:rsidRDefault="00944B8F" w:rsidP="00762FA7">
      <w:pPr>
        <w:keepLines/>
        <w:pBdr>
          <w:top w:val="single" w:sz="4" w:space="1" w:color="auto"/>
          <w:left w:val="single" w:sz="4" w:space="1" w:color="auto"/>
          <w:bottom w:val="single" w:sz="4" w:space="1" w:color="auto"/>
          <w:right w:val="single" w:sz="4" w:space="1" w:color="auto"/>
        </w:pBdr>
        <w:ind w:left="540" w:hanging="540"/>
        <w:outlineLvl w:val="2"/>
        <w:rPr>
          <w:del w:id="8885" w:author="AbbVie19" w:date="2025-04-16T12:28:00Z"/>
          <w:sz w:val="26"/>
          <w:szCs w:val="26"/>
        </w:rPr>
      </w:pPr>
      <w:del w:id="8886" w:author="AbbVie19" w:date="2025-04-16T12:28:00Z">
        <w:r w:rsidRPr="00BC0E7E">
          <w:rPr>
            <w:b/>
            <w:bCs/>
            <w:szCs w:val="26"/>
          </w:rPr>
          <w:delText>OUTER CARTON</w:delText>
        </w:r>
      </w:del>
    </w:p>
    <w:p w14:paraId="0EFB9C8A" w14:textId="77777777" w:rsidR="00BC0E7E" w:rsidRPr="00BC0E7E" w:rsidRDefault="00BC0E7E" w:rsidP="00762FA7">
      <w:pPr>
        <w:rPr>
          <w:del w:id="8887" w:author="AbbVie19" w:date="2025-04-16T12:28:00Z"/>
          <w:b/>
        </w:rPr>
      </w:pPr>
    </w:p>
    <w:p w14:paraId="65B101B1" w14:textId="77777777" w:rsidR="00BC0E7E" w:rsidRPr="00BC0E7E" w:rsidRDefault="00BC0E7E" w:rsidP="00762FA7">
      <w:pPr>
        <w:rPr>
          <w:del w:id="8888" w:author="AbbVie19" w:date="2025-04-16T12:28:00Z"/>
          <w:b/>
        </w:rPr>
      </w:pPr>
    </w:p>
    <w:p w14:paraId="529ADFE8"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1" w:hanging="561"/>
        <w:rPr>
          <w:del w:id="8889" w:author="AbbVie19" w:date="2025-04-16T12:28:00Z"/>
          <w:b/>
          <w:caps/>
          <w:szCs w:val="20"/>
        </w:rPr>
      </w:pPr>
      <w:del w:id="8890" w:author="AbbVie19" w:date="2025-04-16T12:28:00Z">
        <w:r w:rsidRPr="00BC0E7E">
          <w:rPr>
            <w:b/>
            <w:caps/>
            <w:szCs w:val="20"/>
          </w:rPr>
          <w:delText>1.</w:delText>
        </w:r>
        <w:r w:rsidRPr="00BC0E7E">
          <w:rPr>
            <w:b/>
            <w:caps/>
            <w:szCs w:val="20"/>
          </w:rPr>
          <w:tab/>
          <w:delText>NAME OF THE MEDICINAL PRODUCT</w:delText>
        </w:r>
      </w:del>
    </w:p>
    <w:p w14:paraId="1A8CA3BF" w14:textId="77777777" w:rsidR="00BC0E7E" w:rsidRPr="00BC0E7E" w:rsidRDefault="00BC0E7E" w:rsidP="00762FA7">
      <w:pPr>
        <w:ind w:left="540" w:hanging="540"/>
        <w:rPr>
          <w:del w:id="8891" w:author="AbbVie19" w:date="2025-04-16T12:28:00Z"/>
        </w:rPr>
      </w:pPr>
    </w:p>
    <w:p w14:paraId="20728F69" w14:textId="77777777" w:rsidR="00BC0E7E" w:rsidRPr="00BC0E7E" w:rsidRDefault="00944B8F" w:rsidP="00762FA7">
      <w:pPr>
        <w:ind w:left="540" w:hanging="540"/>
        <w:rPr>
          <w:del w:id="8892" w:author="AbbVie19" w:date="2025-04-16T12:28:00Z"/>
        </w:rPr>
      </w:pPr>
      <w:del w:id="8893" w:author="AbbVie19" w:date="2025-04-16T12:28:00Z">
        <w:r w:rsidRPr="00BC0E7E">
          <w:delText xml:space="preserve">Humira 40 mg solution for injection in pre-filled syringe </w:delText>
        </w:r>
      </w:del>
    </w:p>
    <w:p w14:paraId="65F46B63" w14:textId="77777777" w:rsidR="00BC0E7E" w:rsidRPr="00BC0E7E" w:rsidRDefault="00944B8F" w:rsidP="00762FA7">
      <w:pPr>
        <w:tabs>
          <w:tab w:val="clear" w:pos="562"/>
        </w:tabs>
        <w:ind w:left="540" w:hanging="540"/>
        <w:rPr>
          <w:del w:id="8894" w:author="AbbVie19" w:date="2025-04-16T12:28:00Z"/>
          <w:szCs w:val="22"/>
        </w:rPr>
      </w:pPr>
      <w:del w:id="8895" w:author="AbbVie19" w:date="2025-04-16T12:28:00Z">
        <w:r w:rsidRPr="00BC0E7E">
          <w:rPr>
            <w:szCs w:val="22"/>
          </w:rPr>
          <w:delText>adalimumab</w:delText>
        </w:r>
      </w:del>
    </w:p>
    <w:p w14:paraId="6CC8904D" w14:textId="77777777" w:rsidR="00BC0E7E" w:rsidRPr="00BC0E7E" w:rsidRDefault="00BC0E7E" w:rsidP="00762FA7">
      <w:pPr>
        <w:rPr>
          <w:del w:id="8896" w:author="AbbVie19" w:date="2025-04-16T12:28:00Z"/>
        </w:rPr>
      </w:pPr>
    </w:p>
    <w:p w14:paraId="6554C3EB" w14:textId="77777777" w:rsidR="00BC0E7E" w:rsidRPr="00BC0E7E" w:rsidRDefault="00BC0E7E" w:rsidP="00762FA7">
      <w:pPr>
        <w:rPr>
          <w:del w:id="8897" w:author="AbbVie19" w:date="2025-04-16T12:28:00Z"/>
        </w:rPr>
      </w:pPr>
    </w:p>
    <w:p w14:paraId="7FED0893"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898" w:author="AbbVie19" w:date="2025-04-16T12:28:00Z"/>
          <w:b/>
          <w:caps/>
          <w:szCs w:val="20"/>
        </w:rPr>
      </w:pPr>
      <w:del w:id="8899" w:author="AbbVie19" w:date="2025-04-16T12:28:00Z">
        <w:r w:rsidRPr="00BC0E7E">
          <w:rPr>
            <w:b/>
            <w:caps/>
            <w:szCs w:val="20"/>
          </w:rPr>
          <w:delText>2.</w:delText>
        </w:r>
        <w:r w:rsidRPr="00BC0E7E">
          <w:rPr>
            <w:b/>
            <w:caps/>
            <w:szCs w:val="20"/>
          </w:rPr>
          <w:tab/>
          <w:delText>STATEMENT OF ACTIVE SUBSTANCE</w:delText>
        </w:r>
      </w:del>
    </w:p>
    <w:p w14:paraId="436EF96C" w14:textId="77777777" w:rsidR="00BC0E7E" w:rsidRPr="00BC0E7E" w:rsidRDefault="00BC0E7E" w:rsidP="00762FA7">
      <w:pPr>
        <w:ind w:left="540" w:hanging="540"/>
        <w:rPr>
          <w:del w:id="8900" w:author="AbbVie19" w:date="2025-04-16T12:28:00Z"/>
        </w:rPr>
      </w:pPr>
    </w:p>
    <w:p w14:paraId="13636E31" w14:textId="77777777" w:rsidR="00BC0E7E" w:rsidRPr="00BC0E7E" w:rsidRDefault="00944B8F" w:rsidP="00762FA7">
      <w:pPr>
        <w:ind w:left="540" w:hanging="540"/>
        <w:rPr>
          <w:del w:id="8901" w:author="AbbVie19" w:date="2025-04-16T12:28:00Z"/>
        </w:rPr>
      </w:pPr>
      <w:del w:id="8902" w:author="AbbVie19" w:date="2025-04-16T12:28:00Z">
        <w:r w:rsidRPr="00BC0E7E">
          <w:delText>One 0.8 ml pre-filled sy</w:delText>
        </w:r>
        <w:r w:rsidR="007746CB">
          <w:delText>ringe contains 40 mg adalimumab.</w:delText>
        </w:r>
      </w:del>
    </w:p>
    <w:p w14:paraId="68870BFD" w14:textId="77777777" w:rsidR="00BC0E7E" w:rsidRPr="00BC0E7E" w:rsidRDefault="00BC0E7E" w:rsidP="00762FA7">
      <w:pPr>
        <w:ind w:left="540" w:hanging="540"/>
        <w:rPr>
          <w:del w:id="8903" w:author="AbbVie19" w:date="2025-04-16T12:28:00Z"/>
        </w:rPr>
      </w:pPr>
    </w:p>
    <w:p w14:paraId="1FE3DFF9" w14:textId="77777777" w:rsidR="00BC0E7E" w:rsidRPr="00BC0E7E" w:rsidRDefault="00BC0E7E" w:rsidP="00762FA7">
      <w:pPr>
        <w:ind w:left="540" w:hanging="540"/>
        <w:rPr>
          <w:del w:id="8904" w:author="AbbVie19" w:date="2025-04-16T12:28:00Z"/>
        </w:rPr>
      </w:pPr>
    </w:p>
    <w:p w14:paraId="04141EFD"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905" w:author="AbbVie19" w:date="2025-04-16T12:28:00Z"/>
          <w:b/>
          <w:caps/>
          <w:szCs w:val="20"/>
        </w:rPr>
      </w:pPr>
      <w:del w:id="8906" w:author="AbbVie19" w:date="2025-04-16T12:28:00Z">
        <w:r w:rsidRPr="00BC0E7E">
          <w:rPr>
            <w:b/>
            <w:caps/>
            <w:szCs w:val="20"/>
          </w:rPr>
          <w:delText>3.</w:delText>
        </w:r>
        <w:r w:rsidRPr="00BC0E7E">
          <w:rPr>
            <w:b/>
            <w:caps/>
            <w:szCs w:val="20"/>
          </w:rPr>
          <w:tab/>
          <w:delText>LIST OF EXCIPIENTS</w:delText>
        </w:r>
      </w:del>
    </w:p>
    <w:p w14:paraId="12F586FC" w14:textId="77777777" w:rsidR="00BC0E7E" w:rsidRPr="00BC0E7E" w:rsidRDefault="00BC0E7E" w:rsidP="00762FA7">
      <w:pPr>
        <w:rPr>
          <w:del w:id="8907" w:author="AbbVie19" w:date="2025-04-16T12:28:00Z"/>
        </w:rPr>
      </w:pPr>
    </w:p>
    <w:p w14:paraId="7048386D" w14:textId="77777777" w:rsidR="00BC0E7E" w:rsidRPr="00BC0E7E" w:rsidRDefault="00944B8F" w:rsidP="00762FA7">
      <w:pPr>
        <w:rPr>
          <w:del w:id="8908" w:author="AbbVie19" w:date="2025-04-16T12:28:00Z"/>
        </w:rPr>
      </w:pPr>
      <w:del w:id="8909" w:author="AbbVie19" w:date="2025-04-16T12:28:00Z">
        <w:r w:rsidRPr="00BC0E7E">
          <w:delText>Excipients:  mannitol, citric acid monohydrate, sodium citrate, sodium dihydrogen phosphate dihydrate, disodium phosphate dihydrate, sodium chloride, polysorbate 80, sodium hydroxide and water for injections. See leaflet for further information.</w:delText>
        </w:r>
      </w:del>
    </w:p>
    <w:p w14:paraId="1DA9A75C" w14:textId="77777777" w:rsidR="00BC0E7E" w:rsidRPr="00BC0E7E" w:rsidRDefault="00BC0E7E" w:rsidP="00762FA7">
      <w:pPr>
        <w:rPr>
          <w:del w:id="8910" w:author="AbbVie19" w:date="2025-04-16T12:28:00Z"/>
        </w:rPr>
      </w:pPr>
    </w:p>
    <w:p w14:paraId="10862E58" w14:textId="77777777" w:rsidR="00BC0E7E" w:rsidRPr="00BC0E7E" w:rsidRDefault="00BC0E7E" w:rsidP="00762FA7">
      <w:pPr>
        <w:rPr>
          <w:del w:id="8911" w:author="AbbVie19" w:date="2025-04-16T12:28:00Z"/>
        </w:rPr>
      </w:pPr>
    </w:p>
    <w:p w14:paraId="06ACA91C"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912" w:author="AbbVie19" w:date="2025-04-16T12:28:00Z"/>
          <w:b/>
          <w:caps/>
          <w:szCs w:val="20"/>
        </w:rPr>
      </w:pPr>
      <w:del w:id="8913" w:author="AbbVie19" w:date="2025-04-16T12:28:00Z">
        <w:r w:rsidRPr="00BC0E7E">
          <w:rPr>
            <w:b/>
            <w:caps/>
            <w:szCs w:val="20"/>
          </w:rPr>
          <w:delText>4.</w:delText>
        </w:r>
        <w:r w:rsidRPr="00BC0E7E">
          <w:rPr>
            <w:b/>
            <w:caps/>
            <w:szCs w:val="20"/>
          </w:rPr>
          <w:tab/>
          <w:delText>PHARMACEUTICAL FORM AND CONTENTS</w:delText>
        </w:r>
      </w:del>
    </w:p>
    <w:p w14:paraId="28E0410F" w14:textId="77777777" w:rsidR="007E1F7C" w:rsidRDefault="007E1F7C" w:rsidP="00762FA7">
      <w:pPr>
        <w:ind w:left="540" w:hanging="540"/>
        <w:rPr>
          <w:del w:id="8914" w:author="AbbVie19" w:date="2025-04-16T12:28:00Z"/>
        </w:rPr>
      </w:pPr>
    </w:p>
    <w:p w14:paraId="3E2CA488" w14:textId="77777777" w:rsidR="00BC0E7E" w:rsidRPr="00647F5F" w:rsidRDefault="00944B8F" w:rsidP="00762FA7">
      <w:pPr>
        <w:ind w:left="540" w:hanging="540"/>
        <w:rPr>
          <w:del w:id="8915" w:author="AbbVie19" w:date="2025-04-16T12:28:00Z"/>
        </w:rPr>
      </w:pPr>
      <w:del w:id="8916" w:author="AbbVie19" w:date="2025-04-16T12:28:00Z">
        <w:r w:rsidRPr="00647F5F">
          <w:rPr>
            <w:highlight w:val="lightGray"/>
          </w:rPr>
          <w:delText>Solution for injection</w:delText>
        </w:r>
      </w:del>
    </w:p>
    <w:p w14:paraId="51B0C534" w14:textId="77777777" w:rsidR="00BC0E7E" w:rsidRPr="00BC0E7E" w:rsidRDefault="00944B8F" w:rsidP="00762FA7">
      <w:pPr>
        <w:ind w:left="540" w:hanging="540"/>
        <w:rPr>
          <w:del w:id="8917" w:author="AbbVie19" w:date="2025-04-16T12:28:00Z"/>
        </w:rPr>
      </w:pPr>
      <w:del w:id="8918" w:author="AbbVie19" w:date="2025-04-16T12:28:00Z">
        <w:r w:rsidRPr="00BC0E7E">
          <w:delText>1 pre-filled syringe</w:delText>
        </w:r>
      </w:del>
    </w:p>
    <w:p w14:paraId="058A46E4" w14:textId="77777777" w:rsidR="00BC0E7E" w:rsidRDefault="00944B8F" w:rsidP="00762FA7">
      <w:pPr>
        <w:ind w:left="540" w:hanging="540"/>
        <w:rPr>
          <w:del w:id="8919" w:author="AbbVie19" w:date="2025-04-16T12:28:00Z"/>
        </w:rPr>
      </w:pPr>
      <w:del w:id="8920" w:author="AbbVie19" w:date="2025-04-16T12:28:00Z">
        <w:r w:rsidRPr="00BC0E7E">
          <w:delText>1 alcohol pad</w:delText>
        </w:r>
      </w:del>
    </w:p>
    <w:p w14:paraId="24CE5AFE" w14:textId="77777777" w:rsidR="00005A72" w:rsidRPr="00BC0E7E" w:rsidRDefault="00005A72" w:rsidP="00762FA7">
      <w:pPr>
        <w:ind w:left="540" w:hanging="540"/>
        <w:rPr>
          <w:del w:id="8921" w:author="AbbVie19" w:date="2025-04-16T12:28:00Z"/>
        </w:rPr>
      </w:pPr>
    </w:p>
    <w:p w14:paraId="1B8584AA" w14:textId="77777777" w:rsidR="00073A18" w:rsidRPr="000244DF" w:rsidRDefault="00944B8F" w:rsidP="00762FA7">
      <w:pPr>
        <w:tabs>
          <w:tab w:val="clear" w:pos="562"/>
        </w:tabs>
        <w:ind w:left="540" w:hanging="540"/>
        <w:rPr>
          <w:del w:id="8922" w:author="AbbVie19" w:date="2025-04-16T12:28:00Z"/>
          <w:szCs w:val="22"/>
          <w:highlight w:val="lightGray"/>
        </w:rPr>
      </w:pPr>
      <w:del w:id="8923" w:author="AbbVie19" w:date="2025-04-16T12:28:00Z">
        <w:r w:rsidRPr="000244DF">
          <w:rPr>
            <w:szCs w:val="22"/>
            <w:highlight w:val="lightGray"/>
          </w:rPr>
          <w:delText>2 pre-filled syringes</w:delText>
        </w:r>
      </w:del>
    </w:p>
    <w:p w14:paraId="6C3F1EAF" w14:textId="77777777" w:rsidR="00073A18" w:rsidRDefault="00944B8F" w:rsidP="00762FA7">
      <w:pPr>
        <w:ind w:left="540" w:hanging="540"/>
        <w:rPr>
          <w:del w:id="8924" w:author="AbbVie19" w:date="2025-04-16T12:28:00Z"/>
          <w:highlight w:val="lightGray"/>
        </w:rPr>
      </w:pPr>
      <w:del w:id="8925" w:author="AbbVie19" w:date="2025-04-16T12:28:00Z">
        <w:r w:rsidRPr="000244DF">
          <w:rPr>
            <w:highlight w:val="lightGray"/>
          </w:rPr>
          <w:delText xml:space="preserve">2 alcohol pads </w:delText>
        </w:r>
      </w:del>
    </w:p>
    <w:p w14:paraId="4C8910DE" w14:textId="77777777" w:rsidR="00005A72" w:rsidRPr="000244DF" w:rsidRDefault="00005A72" w:rsidP="00762FA7">
      <w:pPr>
        <w:ind w:left="540" w:hanging="540"/>
        <w:rPr>
          <w:del w:id="8926" w:author="AbbVie19" w:date="2025-04-16T12:28:00Z"/>
          <w:highlight w:val="lightGray"/>
        </w:rPr>
      </w:pPr>
    </w:p>
    <w:p w14:paraId="4158E0B3" w14:textId="77777777" w:rsidR="00073A18" w:rsidRPr="000244DF" w:rsidRDefault="00944B8F" w:rsidP="00762FA7">
      <w:pPr>
        <w:tabs>
          <w:tab w:val="clear" w:pos="562"/>
        </w:tabs>
        <w:ind w:left="540" w:hanging="540"/>
        <w:rPr>
          <w:del w:id="8927" w:author="AbbVie19" w:date="2025-04-16T12:28:00Z"/>
          <w:szCs w:val="22"/>
          <w:highlight w:val="lightGray"/>
        </w:rPr>
      </w:pPr>
      <w:del w:id="8928" w:author="AbbVie19" w:date="2025-04-16T12:28:00Z">
        <w:r w:rsidRPr="000244DF">
          <w:rPr>
            <w:szCs w:val="22"/>
            <w:highlight w:val="lightGray"/>
          </w:rPr>
          <w:delText>4 pre-filled syringes</w:delText>
        </w:r>
      </w:del>
    </w:p>
    <w:p w14:paraId="09B11AE2" w14:textId="77777777" w:rsidR="00073A18" w:rsidRDefault="00944B8F" w:rsidP="00762FA7">
      <w:pPr>
        <w:ind w:left="540" w:hanging="540"/>
        <w:rPr>
          <w:del w:id="8929" w:author="AbbVie19" w:date="2025-04-16T12:28:00Z"/>
          <w:highlight w:val="lightGray"/>
        </w:rPr>
      </w:pPr>
      <w:del w:id="8930" w:author="AbbVie19" w:date="2025-04-16T12:28:00Z">
        <w:r w:rsidRPr="000244DF">
          <w:rPr>
            <w:highlight w:val="lightGray"/>
          </w:rPr>
          <w:delText xml:space="preserve">4 alcohol pads </w:delText>
        </w:r>
      </w:del>
    </w:p>
    <w:p w14:paraId="6A60FA22" w14:textId="77777777" w:rsidR="00005A72" w:rsidRPr="000244DF" w:rsidRDefault="00005A72" w:rsidP="00762FA7">
      <w:pPr>
        <w:ind w:left="540" w:hanging="540"/>
        <w:rPr>
          <w:del w:id="8931" w:author="AbbVie19" w:date="2025-04-16T12:28:00Z"/>
          <w:highlight w:val="lightGray"/>
        </w:rPr>
      </w:pPr>
    </w:p>
    <w:p w14:paraId="2568E6BC" w14:textId="77777777" w:rsidR="00073A18" w:rsidRPr="000244DF" w:rsidRDefault="00944B8F" w:rsidP="00762FA7">
      <w:pPr>
        <w:tabs>
          <w:tab w:val="clear" w:pos="562"/>
        </w:tabs>
        <w:ind w:left="540" w:hanging="540"/>
        <w:rPr>
          <w:del w:id="8932" w:author="AbbVie19" w:date="2025-04-16T12:28:00Z"/>
          <w:szCs w:val="22"/>
          <w:highlight w:val="lightGray"/>
        </w:rPr>
      </w:pPr>
      <w:del w:id="8933" w:author="AbbVie19" w:date="2025-04-16T12:28:00Z">
        <w:r w:rsidRPr="000244DF">
          <w:rPr>
            <w:szCs w:val="22"/>
            <w:highlight w:val="lightGray"/>
          </w:rPr>
          <w:delText>6 pre-filled syringes</w:delText>
        </w:r>
      </w:del>
    </w:p>
    <w:p w14:paraId="446881DA" w14:textId="77777777" w:rsidR="00073A18" w:rsidRPr="00BC0E7E" w:rsidRDefault="00944B8F" w:rsidP="00762FA7">
      <w:pPr>
        <w:ind w:left="540" w:hanging="540"/>
        <w:rPr>
          <w:del w:id="8934" w:author="AbbVie19" w:date="2025-04-16T12:28:00Z"/>
        </w:rPr>
      </w:pPr>
      <w:del w:id="8935" w:author="AbbVie19" w:date="2025-04-16T12:28:00Z">
        <w:r w:rsidRPr="000244DF">
          <w:rPr>
            <w:highlight w:val="lightGray"/>
          </w:rPr>
          <w:delText>6 alcohol pads</w:delText>
        </w:r>
        <w:r w:rsidRPr="00BC0E7E">
          <w:delText xml:space="preserve"> </w:delText>
        </w:r>
      </w:del>
    </w:p>
    <w:p w14:paraId="784A73F0" w14:textId="77777777" w:rsidR="00073A18" w:rsidRPr="00BC0E7E" w:rsidRDefault="00073A18" w:rsidP="00762FA7">
      <w:pPr>
        <w:ind w:left="540" w:hanging="540"/>
        <w:rPr>
          <w:del w:id="8936" w:author="AbbVie19" w:date="2025-04-16T12:28:00Z"/>
        </w:rPr>
      </w:pPr>
    </w:p>
    <w:p w14:paraId="5B4EC608" w14:textId="77777777" w:rsidR="00BC0E7E" w:rsidRPr="000244DF" w:rsidRDefault="00BC0E7E" w:rsidP="00762FA7">
      <w:pPr>
        <w:ind w:left="540" w:hanging="540"/>
        <w:rPr>
          <w:del w:id="8937" w:author="AbbVie19" w:date="2025-04-16T12:28:00Z"/>
        </w:rPr>
      </w:pPr>
    </w:p>
    <w:p w14:paraId="781006E1"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938" w:author="AbbVie19" w:date="2025-04-16T12:28:00Z"/>
          <w:b/>
          <w:caps/>
          <w:szCs w:val="20"/>
        </w:rPr>
      </w:pPr>
      <w:del w:id="8939" w:author="AbbVie19" w:date="2025-04-16T12:28:00Z">
        <w:r w:rsidRPr="00BC0E7E">
          <w:rPr>
            <w:b/>
            <w:caps/>
            <w:szCs w:val="20"/>
          </w:rPr>
          <w:delText>5.</w:delText>
        </w:r>
        <w:r w:rsidRPr="00BC0E7E">
          <w:rPr>
            <w:b/>
            <w:caps/>
            <w:szCs w:val="20"/>
          </w:rPr>
          <w:tab/>
          <w:delText>METHOD AND ROUTE OF ADMINISTRATION</w:delText>
        </w:r>
      </w:del>
    </w:p>
    <w:p w14:paraId="19E4EE1C" w14:textId="77777777" w:rsidR="00BC0E7E" w:rsidRPr="00BC0E7E" w:rsidRDefault="00BC0E7E" w:rsidP="00762FA7">
      <w:pPr>
        <w:ind w:left="540" w:hanging="540"/>
        <w:rPr>
          <w:del w:id="8940" w:author="AbbVie19" w:date="2025-04-16T12:28:00Z"/>
        </w:rPr>
      </w:pPr>
    </w:p>
    <w:p w14:paraId="7E8F721F" w14:textId="77777777" w:rsidR="00BC0E7E" w:rsidRPr="00BC0E7E" w:rsidRDefault="00944B8F" w:rsidP="00762FA7">
      <w:pPr>
        <w:ind w:left="540" w:hanging="540"/>
        <w:rPr>
          <w:del w:id="8941" w:author="AbbVie19" w:date="2025-04-16T12:28:00Z"/>
        </w:rPr>
      </w:pPr>
      <w:del w:id="8942" w:author="AbbVie19" w:date="2025-04-16T12:28:00Z">
        <w:r w:rsidRPr="00BC0E7E">
          <w:delText>Subcutaneous use</w:delText>
        </w:r>
      </w:del>
    </w:p>
    <w:p w14:paraId="601A1A2D" w14:textId="77777777" w:rsidR="00BC0E7E" w:rsidRPr="00BC0E7E" w:rsidRDefault="00BC0E7E" w:rsidP="00762FA7">
      <w:pPr>
        <w:ind w:left="540" w:hanging="540"/>
        <w:rPr>
          <w:del w:id="8943" w:author="AbbVie19" w:date="2025-04-16T12:28:00Z"/>
        </w:rPr>
      </w:pPr>
    </w:p>
    <w:p w14:paraId="646B278F" w14:textId="77777777" w:rsidR="00BC0E7E" w:rsidRPr="00BC0E7E" w:rsidRDefault="00944B8F" w:rsidP="00762FA7">
      <w:pPr>
        <w:ind w:left="540" w:hanging="540"/>
        <w:rPr>
          <w:del w:id="8944" w:author="AbbVie19" w:date="2025-04-16T12:28:00Z"/>
        </w:rPr>
      </w:pPr>
      <w:del w:id="8945" w:author="AbbVie19" w:date="2025-04-16T12:28:00Z">
        <w:r w:rsidRPr="00BC0E7E">
          <w:delText>Read the package leaflet before use.</w:delText>
        </w:r>
      </w:del>
    </w:p>
    <w:p w14:paraId="7DD97269" w14:textId="77777777" w:rsidR="007E1F7C" w:rsidRDefault="007E1F7C" w:rsidP="00762FA7">
      <w:pPr>
        <w:ind w:left="540" w:hanging="540"/>
        <w:rPr>
          <w:del w:id="8946" w:author="AbbVie19" w:date="2025-04-16T12:28:00Z"/>
        </w:rPr>
      </w:pPr>
    </w:p>
    <w:p w14:paraId="1A0721B4" w14:textId="77777777" w:rsidR="007E1F7C" w:rsidRDefault="00944B8F" w:rsidP="00762FA7">
      <w:pPr>
        <w:ind w:left="540" w:hanging="540"/>
        <w:rPr>
          <w:del w:id="8947" w:author="AbbVie19" w:date="2025-04-16T12:28:00Z"/>
        </w:rPr>
      </w:pPr>
      <w:del w:id="8948" w:author="AbbVie19" w:date="2025-04-16T12:28:00Z">
        <w:r w:rsidRPr="002A3533">
          <w:delText>For single use only</w:delText>
        </w:r>
        <w:r w:rsidR="006E5817">
          <w:delText>.</w:delText>
        </w:r>
      </w:del>
    </w:p>
    <w:p w14:paraId="1EA4BE19" w14:textId="77777777" w:rsidR="00BC0E7E" w:rsidRPr="00BC0E7E" w:rsidRDefault="00BC0E7E" w:rsidP="00762FA7">
      <w:pPr>
        <w:ind w:left="540" w:hanging="540"/>
        <w:rPr>
          <w:del w:id="8949" w:author="AbbVie19" w:date="2025-04-16T12:28:00Z"/>
        </w:rPr>
      </w:pPr>
    </w:p>
    <w:p w14:paraId="311D9867" w14:textId="77777777" w:rsidR="00BC0E7E" w:rsidRPr="00BC0E7E" w:rsidRDefault="00BC0E7E" w:rsidP="00762FA7">
      <w:pPr>
        <w:ind w:left="540" w:hanging="540"/>
        <w:rPr>
          <w:del w:id="8950" w:author="AbbVie19" w:date="2025-04-16T12:28:00Z"/>
        </w:rPr>
      </w:pPr>
    </w:p>
    <w:p w14:paraId="576C80A8" w14:textId="77777777" w:rsidR="00BC0E7E" w:rsidRPr="00BC0E7E" w:rsidRDefault="00944B8F" w:rsidP="00762FA7">
      <w:pPr>
        <w:keepNext/>
        <w:pBdr>
          <w:top w:val="single" w:sz="4" w:space="1" w:color="auto"/>
          <w:left w:val="single" w:sz="4" w:space="4" w:color="auto"/>
          <w:bottom w:val="single" w:sz="4" w:space="1" w:color="auto"/>
          <w:right w:val="single" w:sz="4" w:space="4" w:color="auto"/>
        </w:pBdr>
        <w:ind w:left="550" w:hanging="550"/>
        <w:rPr>
          <w:del w:id="8951" w:author="AbbVie19" w:date="2025-04-16T12:28:00Z"/>
          <w:b/>
          <w:caps/>
          <w:szCs w:val="20"/>
        </w:rPr>
      </w:pPr>
      <w:del w:id="8952" w:author="AbbVie19" w:date="2025-04-16T12:28:00Z">
        <w:r w:rsidRPr="00BC0E7E">
          <w:rPr>
            <w:b/>
            <w:caps/>
            <w:szCs w:val="20"/>
          </w:rPr>
          <w:lastRenderedPageBreak/>
          <w:delText>6.</w:delText>
        </w:r>
        <w:r w:rsidRPr="00BC0E7E">
          <w:rPr>
            <w:b/>
            <w:caps/>
            <w:szCs w:val="20"/>
          </w:rPr>
          <w:tab/>
          <w:delText>SPECIAL WARNING THAT THE MEDICINAL PRODUCT MUST BE STORED OUT OF THE SIGHT AND REACH OF CHILDREN</w:delText>
        </w:r>
      </w:del>
    </w:p>
    <w:p w14:paraId="789093AE" w14:textId="77777777" w:rsidR="00BC0E7E" w:rsidRPr="00BC0E7E" w:rsidRDefault="00BC0E7E" w:rsidP="00762FA7">
      <w:pPr>
        <w:keepNext/>
        <w:ind w:left="540" w:hanging="540"/>
        <w:rPr>
          <w:del w:id="8953" w:author="AbbVie19" w:date="2025-04-16T12:28:00Z"/>
        </w:rPr>
      </w:pPr>
    </w:p>
    <w:p w14:paraId="5D7E7491" w14:textId="77777777" w:rsidR="00BC0E7E" w:rsidRPr="00BC0E7E" w:rsidRDefault="00944B8F" w:rsidP="00762FA7">
      <w:pPr>
        <w:keepNext/>
        <w:ind w:left="540" w:hanging="540"/>
        <w:rPr>
          <w:del w:id="8954" w:author="AbbVie19" w:date="2025-04-16T12:28:00Z"/>
        </w:rPr>
      </w:pPr>
      <w:del w:id="8955" w:author="AbbVie19" w:date="2025-04-16T12:28:00Z">
        <w:r w:rsidRPr="00BC0E7E">
          <w:delText>Keep out of the sight and reach of children.</w:delText>
        </w:r>
      </w:del>
    </w:p>
    <w:p w14:paraId="574AD057" w14:textId="77777777" w:rsidR="00BC0E7E" w:rsidRPr="00BC0E7E" w:rsidRDefault="00BC0E7E" w:rsidP="00762FA7">
      <w:pPr>
        <w:ind w:left="540" w:hanging="540"/>
        <w:rPr>
          <w:del w:id="8956" w:author="AbbVie19" w:date="2025-04-16T12:28:00Z"/>
        </w:rPr>
      </w:pPr>
    </w:p>
    <w:p w14:paraId="6C27887F" w14:textId="77777777" w:rsidR="00BC0E7E" w:rsidRPr="00BC0E7E" w:rsidRDefault="00BC0E7E" w:rsidP="00762FA7">
      <w:pPr>
        <w:ind w:left="540" w:hanging="540"/>
        <w:rPr>
          <w:del w:id="8957" w:author="AbbVie19" w:date="2025-04-16T12:28:00Z"/>
        </w:rPr>
      </w:pPr>
    </w:p>
    <w:p w14:paraId="43AC69BF"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958" w:author="AbbVie19" w:date="2025-04-16T12:28:00Z"/>
          <w:b/>
          <w:caps/>
          <w:szCs w:val="20"/>
        </w:rPr>
      </w:pPr>
      <w:del w:id="8959" w:author="AbbVie19" w:date="2025-04-16T12:28:00Z">
        <w:r w:rsidRPr="00BC0E7E">
          <w:rPr>
            <w:b/>
            <w:caps/>
            <w:szCs w:val="20"/>
          </w:rPr>
          <w:delText>7.</w:delText>
        </w:r>
        <w:r w:rsidRPr="00BC0E7E">
          <w:rPr>
            <w:b/>
            <w:caps/>
            <w:szCs w:val="20"/>
          </w:rPr>
          <w:tab/>
          <w:delText>OTHER SPECIAL WARNING, IF NECESSARY</w:delText>
        </w:r>
      </w:del>
    </w:p>
    <w:p w14:paraId="486196BC" w14:textId="77777777" w:rsidR="00BC0E7E" w:rsidRPr="00BC0E7E" w:rsidRDefault="00BC0E7E" w:rsidP="00762FA7">
      <w:pPr>
        <w:ind w:left="540" w:hanging="540"/>
        <w:rPr>
          <w:del w:id="8960" w:author="AbbVie19" w:date="2025-04-16T12:28:00Z"/>
        </w:rPr>
      </w:pPr>
    </w:p>
    <w:p w14:paraId="62E075AC" w14:textId="77777777" w:rsidR="00BC0E7E" w:rsidRPr="00BC0E7E" w:rsidRDefault="00BC0E7E" w:rsidP="00762FA7">
      <w:pPr>
        <w:ind w:left="540" w:hanging="540"/>
        <w:rPr>
          <w:del w:id="8961" w:author="AbbVie19" w:date="2025-04-16T12:28:00Z"/>
        </w:rPr>
      </w:pPr>
    </w:p>
    <w:p w14:paraId="580F3D58"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1" w:hanging="561"/>
        <w:rPr>
          <w:del w:id="8962" w:author="AbbVie19" w:date="2025-04-16T12:28:00Z"/>
          <w:b/>
          <w:caps/>
          <w:szCs w:val="20"/>
        </w:rPr>
      </w:pPr>
      <w:del w:id="8963" w:author="AbbVie19" w:date="2025-04-16T12:28:00Z">
        <w:r w:rsidRPr="00BC0E7E">
          <w:rPr>
            <w:b/>
            <w:caps/>
            <w:szCs w:val="20"/>
          </w:rPr>
          <w:delText>8.</w:delText>
        </w:r>
        <w:r w:rsidRPr="00BC0E7E">
          <w:rPr>
            <w:b/>
            <w:caps/>
            <w:szCs w:val="20"/>
          </w:rPr>
          <w:tab/>
          <w:delText>EXPIRY DATE</w:delText>
        </w:r>
      </w:del>
    </w:p>
    <w:p w14:paraId="5BB14E74" w14:textId="77777777" w:rsidR="00BC0E7E" w:rsidRPr="00BC0E7E" w:rsidRDefault="00BC0E7E" w:rsidP="00762FA7">
      <w:pPr>
        <w:ind w:left="540" w:hanging="540"/>
        <w:rPr>
          <w:del w:id="8964" w:author="AbbVie19" w:date="2025-04-16T12:28:00Z"/>
        </w:rPr>
      </w:pPr>
    </w:p>
    <w:p w14:paraId="3C1BB126" w14:textId="77777777" w:rsidR="00BC0E7E" w:rsidRPr="00BC0E7E" w:rsidRDefault="00944B8F" w:rsidP="00762FA7">
      <w:pPr>
        <w:ind w:left="540" w:hanging="540"/>
        <w:rPr>
          <w:del w:id="8965" w:author="AbbVie19" w:date="2025-04-16T12:28:00Z"/>
        </w:rPr>
      </w:pPr>
      <w:del w:id="8966" w:author="AbbVie19" w:date="2025-04-16T12:28:00Z">
        <w:r w:rsidRPr="00BC0E7E">
          <w:delText>EXP</w:delText>
        </w:r>
      </w:del>
    </w:p>
    <w:p w14:paraId="0D67E60F" w14:textId="77777777" w:rsidR="00BC0E7E" w:rsidRPr="00BC0E7E" w:rsidRDefault="00BC0E7E" w:rsidP="00762FA7">
      <w:pPr>
        <w:ind w:left="540" w:hanging="540"/>
        <w:rPr>
          <w:del w:id="8967" w:author="AbbVie19" w:date="2025-04-16T12:28:00Z"/>
        </w:rPr>
      </w:pPr>
    </w:p>
    <w:p w14:paraId="65F18C76" w14:textId="77777777" w:rsidR="00BC0E7E" w:rsidRPr="00BC0E7E" w:rsidRDefault="00BC0E7E" w:rsidP="00762FA7">
      <w:pPr>
        <w:ind w:left="540" w:hanging="540"/>
        <w:rPr>
          <w:del w:id="8968" w:author="AbbVie19" w:date="2025-04-16T12:28:00Z"/>
        </w:rPr>
      </w:pPr>
    </w:p>
    <w:p w14:paraId="7EA681DA" w14:textId="77777777" w:rsidR="00BC0E7E" w:rsidRPr="00BC0E7E" w:rsidRDefault="00944B8F" w:rsidP="00762FA7">
      <w:pPr>
        <w:keepNext/>
        <w:pBdr>
          <w:top w:val="single" w:sz="4" w:space="1" w:color="auto"/>
          <w:left w:val="single" w:sz="4" w:space="4" w:color="auto"/>
          <w:bottom w:val="single" w:sz="4" w:space="1" w:color="auto"/>
          <w:right w:val="single" w:sz="4" w:space="4" w:color="auto"/>
        </w:pBdr>
        <w:ind w:left="562" w:hanging="562"/>
        <w:rPr>
          <w:del w:id="8969" w:author="AbbVie19" w:date="2025-04-16T12:28:00Z"/>
          <w:b/>
          <w:caps/>
          <w:szCs w:val="20"/>
        </w:rPr>
      </w:pPr>
      <w:del w:id="8970" w:author="AbbVie19" w:date="2025-04-16T12:28:00Z">
        <w:r w:rsidRPr="00BC0E7E">
          <w:rPr>
            <w:b/>
            <w:caps/>
            <w:szCs w:val="20"/>
          </w:rPr>
          <w:delText>9.</w:delText>
        </w:r>
        <w:r w:rsidRPr="00BC0E7E">
          <w:rPr>
            <w:b/>
            <w:caps/>
            <w:szCs w:val="20"/>
          </w:rPr>
          <w:tab/>
          <w:delText>SPECIAL STORAGE CONDITIONS</w:delText>
        </w:r>
      </w:del>
    </w:p>
    <w:p w14:paraId="54D0731E" w14:textId="77777777" w:rsidR="00BC0E7E" w:rsidRPr="00BC0E7E" w:rsidRDefault="00BC0E7E" w:rsidP="00762FA7">
      <w:pPr>
        <w:keepNext/>
        <w:ind w:left="540" w:hanging="540"/>
        <w:rPr>
          <w:del w:id="8971" w:author="AbbVie19" w:date="2025-04-16T12:28:00Z"/>
        </w:rPr>
      </w:pPr>
    </w:p>
    <w:p w14:paraId="5BDD2787" w14:textId="77777777" w:rsidR="00BC0E7E" w:rsidRPr="00BC0E7E" w:rsidRDefault="00944B8F" w:rsidP="00762FA7">
      <w:pPr>
        <w:keepNext/>
        <w:ind w:left="540" w:hanging="540"/>
        <w:rPr>
          <w:del w:id="8972" w:author="AbbVie19" w:date="2025-04-16T12:28:00Z"/>
        </w:rPr>
      </w:pPr>
      <w:del w:id="8973" w:author="AbbVie19" w:date="2025-04-16T12:28:00Z">
        <w:r w:rsidRPr="00BC0E7E">
          <w:delText>Store in a refrigerator. Do not freeze.</w:delText>
        </w:r>
      </w:del>
    </w:p>
    <w:p w14:paraId="4E4259E2" w14:textId="77777777" w:rsidR="00BC0E7E" w:rsidRPr="00BC0E7E" w:rsidRDefault="00944B8F" w:rsidP="00762FA7">
      <w:pPr>
        <w:keepNext/>
        <w:rPr>
          <w:del w:id="8974" w:author="AbbVie19" w:date="2025-04-16T12:28:00Z"/>
        </w:rPr>
      </w:pPr>
      <w:del w:id="8975" w:author="AbbVie19" w:date="2025-04-16T12:28:00Z">
        <w:r w:rsidRPr="00BC0E7E">
          <w:rPr>
            <w:rFonts w:eastAsia="MS Mincho"/>
          </w:rPr>
          <w:delText>Refer to package leaflet for alternative storage details.</w:delText>
        </w:r>
      </w:del>
    </w:p>
    <w:p w14:paraId="627F05E5" w14:textId="77777777" w:rsidR="00BC0E7E" w:rsidRPr="00BC0E7E" w:rsidRDefault="00BC0E7E" w:rsidP="00762FA7">
      <w:pPr>
        <w:keepNext/>
        <w:ind w:left="540" w:hanging="540"/>
        <w:rPr>
          <w:del w:id="8976" w:author="AbbVie19" w:date="2025-04-16T12:28:00Z"/>
        </w:rPr>
      </w:pPr>
    </w:p>
    <w:p w14:paraId="3E121761" w14:textId="77777777" w:rsidR="00BC0E7E" w:rsidRPr="00BC0E7E" w:rsidRDefault="00944B8F" w:rsidP="00762FA7">
      <w:pPr>
        <w:keepNext/>
        <w:ind w:left="540" w:hanging="540"/>
        <w:rPr>
          <w:del w:id="8977" w:author="AbbVie19" w:date="2025-04-16T12:28:00Z"/>
        </w:rPr>
      </w:pPr>
      <w:del w:id="8978" w:author="AbbVie19" w:date="2025-04-16T12:28:00Z">
        <w:r w:rsidRPr="00BC0E7E">
          <w:delText>Keep the syringe in the outer carton in order to protect from light.</w:delText>
        </w:r>
      </w:del>
    </w:p>
    <w:p w14:paraId="5717C160" w14:textId="77777777" w:rsidR="00BC0E7E" w:rsidRPr="00BC0E7E" w:rsidRDefault="00BC0E7E" w:rsidP="00762FA7">
      <w:pPr>
        <w:keepNext/>
        <w:ind w:left="540" w:hanging="540"/>
        <w:rPr>
          <w:del w:id="8979" w:author="AbbVie19" w:date="2025-04-16T12:28:00Z"/>
        </w:rPr>
      </w:pPr>
    </w:p>
    <w:p w14:paraId="4562513F" w14:textId="77777777" w:rsidR="00BC0E7E" w:rsidRPr="00BC0E7E" w:rsidRDefault="00BC0E7E" w:rsidP="00762FA7">
      <w:pPr>
        <w:keepNext/>
        <w:ind w:left="540" w:hanging="540"/>
        <w:rPr>
          <w:del w:id="8980" w:author="AbbVie19" w:date="2025-04-16T12:28:00Z"/>
        </w:rPr>
      </w:pPr>
    </w:p>
    <w:p w14:paraId="67D3C1C4"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8981" w:author="AbbVie19" w:date="2025-04-16T12:28:00Z"/>
          <w:b/>
          <w:caps/>
          <w:szCs w:val="20"/>
        </w:rPr>
      </w:pPr>
      <w:del w:id="8982" w:author="AbbVie19" w:date="2025-04-16T12:28:00Z">
        <w:r w:rsidRPr="00BC0E7E">
          <w:rPr>
            <w:b/>
            <w:caps/>
            <w:szCs w:val="20"/>
          </w:rPr>
          <w:delText>10.</w:delText>
        </w:r>
        <w:r w:rsidRPr="00BC0E7E">
          <w:rPr>
            <w:b/>
            <w:caps/>
            <w:szCs w:val="20"/>
          </w:rPr>
          <w:tab/>
          <w:delText>SPECIAL PRECAUTIONS FOR DISPOSAL OF UNUSED MEDICINAL PRODUCTS OR WASTE MATERIALS DERIVED FROM SUCH MEDICINAL PRODUCTS, IF APPROPRIATE</w:delText>
        </w:r>
      </w:del>
    </w:p>
    <w:p w14:paraId="41BD5AEA" w14:textId="77777777" w:rsidR="00BC0E7E" w:rsidRPr="00BC0E7E" w:rsidRDefault="00BC0E7E" w:rsidP="00762FA7">
      <w:pPr>
        <w:ind w:left="540" w:hanging="540"/>
        <w:rPr>
          <w:del w:id="8983" w:author="AbbVie19" w:date="2025-04-16T12:28:00Z"/>
        </w:rPr>
      </w:pPr>
    </w:p>
    <w:p w14:paraId="18558D44" w14:textId="77777777" w:rsidR="00BC0E7E" w:rsidRPr="00BC0E7E" w:rsidRDefault="00BC0E7E" w:rsidP="00762FA7">
      <w:pPr>
        <w:ind w:left="540" w:hanging="540"/>
        <w:rPr>
          <w:del w:id="8984" w:author="AbbVie19" w:date="2025-04-16T12:28:00Z"/>
        </w:rPr>
      </w:pPr>
    </w:p>
    <w:p w14:paraId="25191D68"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1" w:hanging="561"/>
        <w:rPr>
          <w:del w:id="8985" w:author="AbbVie19" w:date="2025-04-16T12:28:00Z"/>
          <w:b/>
          <w:caps/>
          <w:szCs w:val="20"/>
        </w:rPr>
      </w:pPr>
      <w:del w:id="8986" w:author="AbbVie19" w:date="2025-04-16T12:28:00Z">
        <w:r w:rsidRPr="00BC0E7E">
          <w:rPr>
            <w:b/>
            <w:caps/>
            <w:szCs w:val="20"/>
          </w:rPr>
          <w:delText>11.</w:delText>
        </w:r>
        <w:r w:rsidRPr="00BC0E7E">
          <w:rPr>
            <w:b/>
            <w:caps/>
            <w:szCs w:val="20"/>
          </w:rPr>
          <w:tab/>
          <w:delText>NAME AND ADDRESS OF THE MARKETING AUTHORISATION HOLDER</w:delText>
        </w:r>
      </w:del>
    </w:p>
    <w:p w14:paraId="4F89DEFF" w14:textId="77777777" w:rsidR="00BC0E7E" w:rsidRPr="00BC0E7E" w:rsidRDefault="00BC0E7E" w:rsidP="00762FA7">
      <w:pPr>
        <w:keepNext/>
        <w:tabs>
          <w:tab w:val="clear" w:pos="562"/>
        </w:tabs>
        <w:suppressAutoHyphens w:val="0"/>
        <w:autoSpaceDE w:val="0"/>
        <w:autoSpaceDN w:val="0"/>
        <w:adjustRightInd w:val="0"/>
        <w:spacing w:line="240" w:lineRule="atLeast"/>
        <w:rPr>
          <w:del w:id="8987" w:author="AbbVie19" w:date="2025-04-16T12:28:00Z"/>
          <w:szCs w:val="22"/>
          <w:lang w:eastAsia="en-GB"/>
        </w:rPr>
      </w:pPr>
    </w:p>
    <w:p w14:paraId="773CA9A9" w14:textId="77777777" w:rsidR="006A01D2" w:rsidRPr="00EB4204" w:rsidRDefault="00944B8F" w:rsidP="00762FA7">
      <w:pPr>
        <w:keepNext/>
        <w:tabs>
          <w:tab w:val="clear" w:pos="562"/>
        </w:tabs>
        <w:suppressAutoHyphens w:val="0"/>
        <w:autoSpaceDE w:val="0"/>
        <w:autoSpaceDN w:val="0"/>
        <w:adjustRightInd w:val="0"/>
        <w:spacing w:line="240" w:lineRule="atLeast"/>
        <w:rPr>
          <w:del w:id="8988" w:author="AbbVie19" w:date="2025-04-16T12:28:00Z"/>
          <w:szCs w:val="22"/>
          <w:lang w:eastAsia="en-GB"/>
        </w:rPr>
      </w:pPr>
      <w:del w:id="8989" w:author="AbbVie19" w:date="2025-04-16T12:28:00Z">
        <w:r w:rsidRPr="00EB4204">
          <w:rPr>
            <w:szCs w:val="22"/>
            <w:lang w:eastAsia="en-GB"/>
          </w:rPr>
          <w:delText>AbbVie Deutschland GmbH &amp; Co. KG</w:delText>
        </w:r>
      </w:del>
    </w:p>
    <w:p w14:paraId="6D45AE1B" w14:textId="77777777" w:rsidR="006A01D2" w:rsidRPr="00083C28" w:rsidRDefault="00944B8F" w:rsidP="00762FA7">
      <w:pPr>
        <w:keepNext/>
        <w:tabs>
          <w:tab w:val="clear" w:pos="562"/>
        </w:tabs>
        <w:suppressAutoHyphens w:val="0"/>
        <w:autoSpaceDE w:val="0"/>
        <w:autoSpaceDN w:val="0"/>
        <w:adjustRightInd w:val="0"/>
        <w:spacing w:line="240" w:lineRule="atLeast"/>
        <w:rPr>
          <w:del w:id="8990" w:author="AbbVie19" w:date="2025-04-16T12:28:00Z"/>
          <w:szCs w:val="22"/>
          <w:lang w:eastAsia="en-GB"/>
        </w:rPr>
      </w:pPr>
      <w:del w:id="8991" w:author="AbbVie19" w:date="2025-04-16T12:28:00Z">
        <w:r w:rsidRPr="00083C28">
          <w:rPr>
            <w:szCs w:val="22"/>
            <w:lang w:eastAsia="en-GB"/>
          </w:rPr>
          <w:delText>Knollstrasse</w:delText>
        </w:r>
      </w:del>
    </w:p>
    <w:p w14:paraId="25352970" w14:textId="77777777" w:rsidR="006A01D2" w:rsidRPr="00083C28" w:rsidRDefault="00944B8F" w:rsidP="00762FA7">
      <w:pPr>
        <w:keepNext/>
        <w:tabs>
          <w:tab w:val="clear" w:pos="562"/>
        </w:tabs>
        <w:suppressAutoHyphens w:val="0"/>
        <w:autoSpaceDE w:val="0"/>
        <w:autoSpaceDN w:val="0"/>
        <w:adjustRightInd w:val="0"/>
        <w:spacing w:line="240" w:lineRule="atLeast"/>
        <w:rPr>
          <w:del w:id="8992" w:author="AbbVie19" w:date="2025-04-16T12:28:00Z"/>
          <w:szCs w:val="22"/>
          <w:lang w:eastAsia="en-GB"/>
        </w:rPr>
      </w:pPr>
      <w:del w:id="8993" w:author="AbbVie19" w:date="2025-04-16T12:28:00Z">
        <w:r w:rsidRPr="00083C28">
          <w:rPr>
            <w:szCs w:val="22"/>
            <w:lang w:eastAsia="en-GB"/>
          </w:rPr>
          <w:delText>67061 Ludwigshafen</w:delText>
        </w:r>
      </w:del>
    </w:p>
    <w:p w14:paraId="03836942" w14:textId="77777777" w:rsidR="006A01D2" w:rsidRPr="00083C28" w:rsidRDefault="00944B8F" w:rsidP="00762FA7">
      <w:pPr>
        <w:keepNext/>
        <w:tabs>
          <w:tab w:val="clear" w:pos="562"/>
          <w:tab w:val="left" w:pos="720"/>
        </w:tabs>
        <w:suppressAutoHyphens w:val="0"/>
        <w:autoSpaceDE w:val="0"/>
        <w:autoSpaceDN w:val="0"/>
        <w:adjustRightInd w:val="0"/>
        <w:spacing w:line="240" w:lineRule="atLeast"/>
        <w:rPr>
          <w:del w:id="8994" w:author="AbbVie19" w:date="2025-04-16T12:28:00Z"/>
          <w:szCs w:val="22"/>
          <w:lang w:eastAsia="en-GB"/>
        </w:rPr>
      </w:pPr>
      <w:del w:id="8995" w:author="AbbVie19" w:date="2025-04-16T12:28:00Z">
        <w:r w:rsidRPr="00083C28">
          <w:rPr>
            <w:szCs w:val="22"/>
            <w:lang w:eastAsia="en-GB"/>
          </w:rPr>
          <w:delText xml:space="preserve">Germany </w:delText>
        </w:r>
      </w:del>
    </w:p>
    <w:p w14:paraId="6369CBF6" w14:textId="77777777" w:rsidR="00BC0E7E" w:rsidRPr="00083C28" w:rsidRDefault="00BC0E7E" w:rsidP="00762FA7">
      <w:pPr>
        <w:keepNext/>
        <w:tabs>
          <w:tab w:val="clear" w:pos="562"/>
        </w:tabs>
        <w:suppressAutoHyphens w:val="0"/>
        <w:autoSpaceDE w:val="0"/>
        <w:autoSpaceDN w:val="0"/>
        <w:adjustRightInd w:val="0"/>
        <w:spacing w:line="240" w:lineRule="atLeast"/>
        <w:rPr>
          <w:del w:id="8996" w:author="AbbVie19" w:date="2025-04-16T12:28:00Z"/>
          <w:szCs w:val="22"/>
          <w:lang w:eastAsia="en-GB"/>
        </w:rPr>
      </w:pPr>
    </w:p>
    <w:p w14:paraId="6CC2850A" w14:textId="77777777" w:rsidR="00BC0E7E" w:rsidRPr="00083C28" w:rsidRDefault="00BC0E7E" w:rsidP="00762FA7">
      <w:pPr>
        <w:keepNext/>
        <w:tabs>
          <w:tab w:val="clear" w:pos="562"/>
        </w:tabs>
        <w:suppressAutoHyphens w:val="0"/>
        <w:autoSpaceDE w:val="0"/>
        <w:autoSpaceDN w:val="0"/>
        <w:adjustRightInd w:val="0"/>
        <w:spacing w:line="240" w:lineRule="atLeast"/>
        <w:rPr>
          <w:del w:id="8997" w:author="AbbVie19" w:date="2025-04-16T12:28:00Z"/>
          <w:szCs w:val="22"/>
          <w:lang w:eastAsia="en-GB"/>
        </w:rPr>
      </w:pPr>
    </w:p>
    <w:p w14:paraId="7D76C751" w14:textId="77777777" w:rsidR="00BC0E7E" w:rsidRPr="00083C28" w:rsidRDefault="00944B8F" w:rsidP="00762FA7">
      <w:pPr>
        <w:pBdr>
          <w:top w:val="single" w:sz="4" w:space="1" w:color="auto"/>
          <w:left w:val="single" w:sz="4" w:space="4" w:color="auto"/>
          <w:bottom w:val="single" w:sz="4" w:space="1" w:color="auto"/>
          <w:right w:val="single" w:sz="4" w:space="4" w:color="auto"/>
        </w:pBdr>
        <w:ind w:left="562" w:hanging="562"/>
        <w:rPr>
          <w:del w:id="8998" w:author="AbbVie19" w:date="2025-04-16T12:28:00Z"/>
          <w:b/>
          <w:caps/>
          <w:szCs w:val="20"/>
        </w:rPr>
      </w:pPr>
      <w:del w:id="8999" w:author="AbbVie19" w:date="2025-04-16T12:28:00Z">
        <w:r w:rsidRPr="00083C28">
          <w:rPr>
            <w:b/>
            <w:caps/>
            <w:szCs w:val="20"/>
          </w:rPr>
          <w:delText>12.</w:delText>
        </w:r>
        <w:r w:rsidRPr="00083C28">
          <w:rPr>
            <w:b/>
            <w:caps/>
            <w:szCs w:val="20"/>
          </w:rPr>
          <w:tab/>
          <w:delText>MARKETING AUTHORISATION NUMBER</w:delText>
        </w:r>
      </w:del>
    </w:p>
    <w:p w14:paraId="50C963D6" w14:textId="77777777" w:rsidR="00BC0E7E" w:rsidRPr="00083C28" w:rsidRDefault="00BC0E7E" w:rsidP="00762FA7">
      <w:pPr>
        <w:ind w:left="540" w:hanging="540"/>
        <w:rPr>
          <w:del w:id="9000" w:author="AbbVie19" w:date="2025-04-16T12:28:00Z"/>
        </w:rPr>
      </w:pPr>
    </w:p>
    <w:p w14:paraId="5907FADB" w14:textId="77777777" w:rsidR="00BC0E7E" w:rsidRPr="002F270B" w:rsidRDefault="00944B8F" w:rsidP="00762FA7">
      <w:pPr>
        <w:ind w:left="540" w:hanging="540"/>
        <w:rPr>
          <w:del w:id="9001" w:author="AbbVie19" w:date="2025-04-16T12:28:00Z"/>
          <w:lang w:val="sv-SE"/>
        </w:rPr>
      </w:pPr>
      <w:del w:id="9002" w:author="AbbVie19" w:date="2025-04-16T12:28:00Z">
        <w:r w:rsidRPr="002F270B">
          <w:rPr>
            <w:lang w:val="sv-SE"/>
          </w:rPr>
          <w:delText>EU/1/03/256/002</w:delText>
        </w:r>
      </w:del>
    </w:p>
    <w:p w14:paraId="222F95E7" w14:textId="77777777" w:rsidR="00073A18" w:rsidRPr="002F270B" w:rsidRDefault="00944B8F" w:rsidP="00762FA7">
      <w:pPr>
        <w:ind w:left="540" w:hanging="540"/>
        <w:rPr>
          <w:del w:id="9003" w:author="AbbVie19" w:date="2025-04-16T12:28:00Z"/>
          <w:highlight w:val="lightGray"/>
          <w:lang w:val="sv-SE"/>
        </w:rPr>
      </w:pPr>
      <w:del w:id="9004" w:author="AbbVie19" w:date="2025-04-16T12:28:00Z">
        <w:r w:rsidRPr="002F270B">
          <w:rPr>
            <w:highlight w:val="lightGray"/>
            <w:lang w:val="sv-SE"/>
          </w:rPr>
          <w:delText>EU/1/03/256/003</w:delText>
        </w:r>
      </w:del>
    </w:p>
    <w:p w14:paraId="16967971" w14:textId="77777777" w:rsidR="00073A18" w:rsidRPr="002F270B" w:rsidRDefault="00944B8F" w:rsidP="00762FA7">
      <w:pPr>
        <w:ind w:left="540" w:hanging="540"/>
        <w:rPr>
          <w:del w:id="9005" w:author="AbbVie19" w:date="2025-04-16T12:28:00Z"/>
          <w:highlight w:val="lightGray"/>
          <w:lang w:val="sv-SE"/>
        </w:rPr>
      </w:pPr>
      <w:del w:id="9006" w:author="AbbVie19" w:date="2025-04-16T12:28:00Z">
        <w:r w:rsidRPr="002F270B">
          <w:rPr>
            <w:highlight w:val="lightGray"/>
            <w:lang w:val="sv-SE"/>
          </w:rPr>
          <w:delText>EU/1/03/256/004</w:delText>
        </w:r>
      </w:del>
    </w:p>
    <w:p w14:paraId="25BD9235" w14:textId="77777777" w:rsidR="00073A18" w:rsidRPr="00083C28" w:rsidRDefault="00944B8F" w:rsidP="00762FA7">
      <w:pPr>
        <w:ind w:left="540" w:hanging="540"/>
        <w:rPr>
          <w:del w:id="9007" w:author="AbbVie19" w:date="2025-04-16T12:28:00Z"/>
          <w:lang w:val="sv-SE"/>
        </w:rPr>
      </w:pPr>
      <w:del w:id="9008" w:author="AbbVie19" w:date="2025-04-16T12:28:00Z">
        <w:r w:rsidRPr="00083C28">
          <w:rPr>
            <w:highlight w:val="lightGray"/>
            <w:lang w:val="sv-SE"/>
          </w:rPr>
          <w:delText>EU/1/03/256/005</w:delText>
        </w:r>
      </w:del>
    </w:p>
    <w:p w14:paraId="749ED0E5" w14:textId="77777777" w:rsidR="00073A18" w:rsidRPr="00083C28" w:rsidRDefault="00073A18" w:rsidP="00762FA7">
      <w:pPr>
        <w:ind w:left="540" w:hanging="540"/>
        <w:rPr>
          <w:del w:id="9009" w:author="AbbVie19" w:date="2025-04-16T12:28:00Z"/>
          <w:lang w:val="sv-SE"/>
        </w:rPr>
      </w:pPr>
    </w:p>
    <w:p w14:paraId="0BC0D2A3" w14:textId="77777777" w:rsidR="00BC0E7E" w:rsidRPr="00083C28" w:rsidRDefault="00BC0E7E" w:rsidP="00762FA7">
      <w:pPr>
        <w:ind w:left="540" w:hanging="540"/>
        <w:rPr>
          <w:del w:id="9010" w:author="AbbVie19" w:date="2025-04-16T12:28:00Z"/>
          <w:lang w:val="sv-SE"/>
        </w:rPr>
      </w:pPr>
    </w:p>
    <w:p w14:paraId="7F5D6AFD" w14:textId="77777777" w:rsidR="00BC0E7E" w:rsidRPr="00083C28" w:rsidRDefault="00944B8F" w:rsidP="00762FA7">
      <w:pPr>
        <w:pBdr>
          <w:top w:val="single" w:sz="4" w:space="1" w:color="auto"/>
          <w:left w:val="single" w:sz="4" w:space="4" w:color="auto"/>
          <w:bottom w:val="single" w:sz="4" w:space="1" w:color="auto"/>
          <w:right w:val="single" w:sz="4" w:space="4" w:color="auto"/>
        </w:pBdr>
        <w:ind w:left="562" w:hanging="562"/>
        <w:rPr>
          <w:del w:id="9011" w:author="AbbVie19" w:date="2025-04-16T12:28:00Z"/>
          <w:b/>
          <w:caps/>
          <w:szCs w:val="20"/>
          <w:lang w:val="sv-SE"/>
        </w:rPr>
      </w:pPr>
      <w:del w:id="9012" w:author="AbbVie19" w:date="2025-04-16T12:28:00Z">
        <w:r w:rsidRPr="00083C28">
          <w:rPr>
            <w:b/>
            <w:caps/>
            <w:szCs w:val="20"/>
            <w:lang w:val="sv-SE"/>
          </w:rPr>
          <w:delText>13.</w:delText>
        </w:r>
        <w:r w:rsidRPr="00083C28">
          <w:rPr>
            <w:b/>
            <w:caps/>
            <w:szCs w:val="20"/>
            <w:lang w:val="sv-SE"/>
          </w:rPr>
          <w:tab/>
          <w:delText>BATCH NUMBER</w:delText>
        </w:r>
      </w:del>
    </w:p>
    <w:p w14:paraId="3DDE5975" w14:textId="77777777" w:rsidR="00BC0E7E" w:rsidRPr="00083C28" w:rsidRDefault="00BC0E7E" w:rsidP="00762FA7">
      <w:pPr>
        <w:ind w:left="540" w:hanging="540"/>
        <w:rPr>
          <w:del w:id="9013" w:author="AbbVie19" w:date="2025-04-16T12:28:00Z"/>
          <w:lang w:val="sv-SE"/>
        </w:rPr>
      </w:pPr>
    </w:p>
    <w:p w14:paraId="161AA690" w14:textId="77777777" w:rsidR="00BC0E7E" w:rsidRPr="00762FA7" w:rsidRDefault="00944B8F" w:rsidP="00762FA7">
      <w:pPr>
        <w:ind w:left="540" w:hanging="540"/>
        <w:rPr>
          <w:del w:id="9014" w:author="AbbVie19" w:date="2025-04-16T12:28:00Z"/>
          <w:lang w:val="nb-NO"/>
        </w:rPr>
      </w:pPr>
      <w:del w:id="9015" w:author="AbbVie19" w:date="2025-04-16T12:28:00Z">
        <w:r w:rsidRPr="00762FA7">
          <w:rPr>
            <w:lang w:val="nb-NO"/>
          </w:rPr>
          <w:delText xml:space="preserve">Lot </w:delText>
        </w:r>
      </w:del>
    </w:p>
    <w:p w14:paraId="1774999D" w14:textId="77777777" w:rsidR="00BC0E7E" w:rsidRPr="00762FA7" w:rsidRDefault="00BC0E7E" w:rsidP="00762FA7">
      <w:pPr>
        <w:ind w:left="540" w:hanging="540"/>
        <w:rPr>
          <w:del w:id="9016" w:author="AbbVie19" w:date="2025-04-16T12:28:00Z"/>
          <w:lang w:val="nb-NO"/>
        </w:rPr>
      </w:pPr>
    </w:p>
    <w:p w14:paraId="6F35D175" w14:textId="77777777" w:rsidR="00BC0E7E" w:rsidRPr="00762FA7" w:rsidRDefault="00BC0E7E" w:rsidP="00762FA7">
      <w:pPr>
        <w:ind w:left="540" w:hanging="540"/>
        <w:rPr>
          <w:del w:id="9017" w:author="AbbVie19" w:date="2025-04-16T12:28:00Z"/>
          <w:lang w:val="nb-NO"/>
        </w:rPr>
      </w:pPr>
    </w:p>
    <w:p w14:paraId="7EB162E5"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018" w:author="AbbVie19" w:date="2025-04-16T12:28:00Z"/>
          <w:b/>
          <w:caps/>
          <w:szCs w:val="20"/>
        </w:rPr>
      </w:pPr>
      <w:del w:id="9019" w:author="AbbVie19" w:date="2025-04-16T12:28:00Z">
        <w:r w:rsidRPr="00BC0E7E">
          <w:rPr>
            <w:b/>
            <w:caps/>
            <w:szCs w:val="20"/>
          </w:rPr>
          <w:delText>14.</w:delText>
        </w:r>
        <w:r w:rsidRPr="00BC0E7E">
          <w:rPr>
            <w:b/>
            <w:caps/>
            <w:szCs w:val="20"/>
          </w:rPr>
          <w:tab/>
          <w:delText>GENERAL CLASSIFICATION FOR SUPPLY</w:delText>
        </w:r>
      </w:del>
    </w:p>
    <w:p w14:paraId="762BF2E2" w14:textId="77777777" w:rsidR="00BC0E7E" w:rsidRPr="00BC0E7E" w:rsidRDefault="00BC0E7E" w:rsidP="00762FA7">
      <w:pPr>
        <w:ind w:left="540" w:hanging="540"/>
        <w:rPr>
          <w:del w:id="9020" w:author="AbbVie19" w:date="2025-04-16T12:28:00Z"/>
        </w:rPr>
      </w:pPr>
    </w:p>
    <w:p w14:paraId="0F11C682" w14:textId="77777777" w:rsidR="00BC0E7E" w:rsidRPr="00BC0E7E" w:rsidRDefault="00BC0E7E" w:rsidP="00762FA7">
      <w:pPr>
        <w:ind w:left="540" w:hanging="540"/>
        <w:rPr>
          <w:del w:id="9021" w:author="AbbVie19" w:date="2025-04-16T12:28:00Z"/>
        </w:rPr>
      </w:pPr>
    </w:p>
    <w:p w14:paraId="37F92D30"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1" w:hanging="561"/>
        <w:rPr>
          <w:del w:id="9022" w:author="AbbVie19" w:date="2025-04-16T12:28:00Z"/>
          <w:b/>
          <w:caps/>
          <w:szCs w:val="20"/>
        </w:rPr>
      </w:pPr>
      <w:del w:id="9023" w:author="AbbVie19" w:date="2025-04-16T12:28:00Z">
        <w:r w:rsidRPr="00BC0E7E">
          <w:rPr>
            <w:b/>
            <w:caps/>
            <w:szCs w:val="20"/>
          </w:rPr>
          <w:lastRenderedPageBreak/>
          <w:delText>15.</w:delText>
        </w:r>
        <w:r w:rsidRPr="00BC0E7E">
          <w:rPr>
            <w:b/>
            <w:caps/>
            <w:szCs w:val="20"/>
          </w:rPr>
          <w:tab/>
          <w:delText>INSTRUCTIONS ON USE</w:delText>
        </w:r>
      </w:del>
    </w:p>
    <w:p w14:paraId="6D475A9C" w14:textId="77777777" w:rsidR="00BC0E7E" w:rsidRPr="00BC0E7E" w:rsidRDefault="00BC0E7E" w:rsidP="00762FA7">
      <w:pPr>
        <w:rPr>
          <w:del w:id="9024" w:author="AbbVie19" w:date="2025-04-16T12:28:00Z"/>
          <w:szCs w:val="20"/>
        </w:rPr>
      </w:pPr>
    </w:p>
    <w:p w14:paraId="656BFA25" w14:textId="77777777" w:rsidR="00BC0E7E" w:rsidRPr="00BC0E7E" w:rsidRDefault="00BC0E7E" w:rsidP="00762FA7">
      <w:pPr>
        <w:rPr>
          <w:del w:id="9025" w:author="AbbVie19" w:date="2025-04-16T12:28:00Z"/>
          <w:szCs w:val="20"/>
        </w:rPr>
      </w:pPr>
    </w:p>
    <w:p w14:paraId="7A6857CC" w14:textId="77777777" w:rsidR="00BC0E7E" w:rsidRPr="00083C28" w:rsidRDefault="00944B8F" w:rsidP="00762FA7">
      <w:pPr>
        <w:pBdr>
          <w:top w:val="single" w:sz="4" w:space="1" w:color="auto"/>
          <w:left w:val="single" w:sz="4" w:space="4" w:color="auto"/>
          <w:bottom w:val="single" w:sz="4" w:space="1" w:color="auto"/>
          <w:right w:val="single" w:sz="4" w:space="4" w:color="auto"/>
        </w:pBdr>
        <w:rPr>
          <w:del w:id="9026" w:author="AbbVie19" w:date="2025-04-16T12:28:00Z"/>
          <w:b/>
          <w:bCs/>
          <w:caps/>
          <w:szCs w:val="20"/>
          <w:lang w:val="sv-SE"/>
        </w:rPr>
      </w:pPr>
      <w:del w:id="9027" w:author="AbbVie19" w:date="2025-04-16T12:28:00Z">
        <w:r w:rsidRPr="00083C28">
          <w:rPr>
            <w:b/>
            <w:bCs/>
            <w:caps/>
            <w:szCs w:val="20"/>
            <w:lang w:val="sv-SE"/>
          </w:rPr>
          <w:delText>16.</w:delText>
        </w:r>
        <w:r w:rsidRPr="00083C28">
          <w:rPr>
            <w:b/>
            <w:bCs/>
            <w:caps/>
            <w:szCs w:val="20"/>
            <w:lang w:val="sv-SE"/>
          </w:rPr>
          <w:tab/>
          <w:delText>Information in braille</w:delText>
        </w:r>
      </w:del>
    </w:p>
    <w:p w14:paraId="0FFD1EB4" w14:textId="77777777" w:rsidR="00BC0E7E" w:rsidRPr="00083C28" w:rsidRDefault="00BC0E7E" w:rsidP="00762FA7">
      <w:pPr>
        <w:ind w:left="540" w:hanging="540"/>
        <w:rPr>
          <w:del w:id="9028" w:author="AbbVie19" w:date="2025-04-16T12:28:00Z"/>
          <w:lang w:val="sv-SE"/>
        </w:rPr>
      </w:pPr>
    </w:p>
    <w:p w14:paraId="7C8FA0F3" w14:textId="77777777" w:rsidR="00BC0E7E" w:rsidRPr="00083C28" w:rsidRDefault="00944B8F" w:rsidP="00762FA7">
      <w:pPr>
        <w:ind w:left="540" w:hanging="540"/>
        <w:rPr>
          <w:del w:id="9029" w:author="AbbVie19" w:date="2025-04-16T12:28:00Z"/>
          <w:lang w:val="sv-SE"/>
        </w:rPr>
      </w:pPr>
      <w:del w:id="9030" w:author="AbbVie19" w:date="2025-04-16T12:28:00Z">
        <w:r w:rsidRPr="00083C28">
          <w:rPr>
            <w:lang w:val="sv-SE"/>
          </w:rPr>
          <w:delText>Humira 40 mg</w:delText>
        </w:r>
      </w:del>
    </w:p>
    <w:p w14:paraId="2D1E8802" w14:textId="77777777" w:rsidR="00BC0E7E" w:rsidRPr="00083C28" w:rsidRDefault="00BC0E7E" w:rsidP="00762FA7">
      <w:pPr>
        <w:ind w:left="540" w:hanging="540"/>
        <w:rPr>
          <w:del w:id="9031" w:author="AbbVie19" w:date="2025-04-16T12:28:00Z"/>
          <w:lang w:val="sv-SE"/>
        </w:rPr>
      </w:pPr>
    </w:p>
    <w:p w14:paraId="075486C7" w14:textId="77777777" w:rsidR="00BC0E7E" w:rsidRPr="00083C28" w:rsidRDefault="00BC0E7E" w:rsidP="00762FA7">
      <w:pPr>
        <w:ind w:left="540" w:hanging="540"/>
        <w:rPr>
          <w:del w:id="9032" w:author="AbbVie19" w:date="2025-04-16T12:28:00Z"/>
          <w:lang w:val="sv-SE"/>
        </w:rPr>
      </w:pPr>
    </w:p>
    <w:p w14:paraId="50C32FCC" w14:textId="77777777" w:rsidR="00BC0E7E" w:rsidRPr="001D5A63" w:rsidRDefault="00944B8F" w:rsidP="00762FA7">
      <w:pPr>
        <w:pBdr>
          <w:top w:val="single" w:sz="4" w:space="1" w:color="auto"/>
          <w:left w:val="single" w:sz="4" w:space="4" w:color="auto"/>
          <w:bottom w:val="single" w:sz="4" w:space="1" w:color="auto"/>
          <w:right w:val="single" w:sz="4" w:space="4" w:color="auto"/>
        </w:pBdr>
        <w:rPr>
          <w:del w:id="9033" w:author="AbbVie19" w:date="2025-04-16T12:28:00Z"/>
          <w:b/>
          <w:bCs/>
          <w:caps/>
          <w:szCs w:val="20"/>
        </w:rPr>
      </w:pPr>
      <w:del w:id="9034" w:author="AbbVie19" w:date="2025-04-16T12:28:00Z">
        <w:r w:rsidRPr="00083C28">
          <w:rPr>
            <w:b/>
            <w:bCs/>
            <w:caps/>
            <w:szCs w:val="20"/>
            <w:lang w:val="sv-SE"/>
          </w:rPr>
          <w:delText xml:space="preserve">17. </w:delText>
        </w:r>
        <w:r w:rsidRPr="00083C28">
          <w:rPr>
            <w:b/>
            <w:bCs/>
            <w:caps/>
            <w:szCs w:val="20"/>
            <w:lang w:val="sv-SE"/>
          </w:rPr>
          <w:tab/>
        </w:r>
        <w:r w:rsidRPr="001D5A63">
          <w:rPr>
            <w:b/>
            <w:bCs/>
            <w:caps/>
            <w:szCs w:val="20"/>
          </w:rPr>
          <w:delText>UNIQUE INDENTIFIER – 2D BARCODE</w:delText>
        </w:r>
      </w:del>
    </w:p>
    <w:p w14:paraId="6B0D8517" w14:textId="77777777" w:rsidR="00BC0E7E" w:rsidRPr="001D5A63" w:rsidRDefault="00BC0E7E" w:rsidP="00762FA7">
      <w:pPr>
        <w:rPr>
          <w:del w:id="9035" w:author="AbbVie19" w:date="2025-04-16T12:28:00Z"/>
        </w:rPr>
      </w:pPr>
    </w:p>
    <w:p w14:paraId="00B7B759" w14:textId="77777777" w:rsidR="00BC0E7E" w:rsidRPr="00BC0E7E" w:rsidRDefault="00944B8F" w:rsidP="00762FA7">
      <w:pPr>
        <w:rPr>
          <w:del w:id="9036" w:author="AbbVie19" w:date="2025-04-16T12:28:00Z"/>
          <w:shd w:val="clear" w:color="auto" w:fill="BFBFBF"/>
        </w:rPr>
      </w:pPr>
      <w:del w:id="9037" w:author="AbbVie19" w:date="2025-04-16T12:28:00Z">
        <w:r w:rsidRPr="00BC0E7E">
          <w:rPr>
            <w:shd w:val="clear" w:color="auto" w:fill="BFBFBF"/>
          </w:rPr>
          <w:delText>2D barcode carrying the unique identifier included.</w:delText>
        </w:r>
      </w:del>
    </w:p>
    <w:p w14:paraId="23018BB4" w14:textId="77777777" w:rsidR="00BC0E7E" w:rsidRPr="00BC0E7E" w:rsidRDefault="00BC0E7E" w:rsidP="00762FA7">
      <w:pPr>
        <w:rPr>
          <w:del w:id="9038" w:author="AbbVie19" w:date="2025-04-16T12:28:00Z"/>
          <w:shd w:val="clear" w:color="auto" w:fill="BFBFBF"/>
        </w:rPr>
      </w:pPr>
    </w:p>
    <w:p w14:paraId="0D593EFA" w14:textId="77777777" w:rsidR="00BC0E7E" w:rsidRPr="00BC0E7E" w:rsidRDefault="00BC0E7E" w:rsidP="00762FA7">
      <w:pPr>
        <w:rPr>
          <w:del w:id="9039" w:author="AbbVie19" w:date="2025-04-16T12:28:00Z"/>
          <w:shd w:val="clear" w:color="auto" w:fill="BFBFBF"/>
        </w:rPr>
      </w:pPr>
    </w:p>
    <w:p w14:paraId="33D1BFD8" w14:textId="77777777" w:rsidR="00BC0E7E" w:rsidRPr="00BC0E7E" w:rsidRDefault="00944B8F" w:rsidP="00762FA7">
      <w:pPr>
        <w:keepNext/>
        <w:pBdr>
          <w:top w:val="single" w:sz="4" w:space="1" w:color="auto"/>
          <w:left w:val="single" w:sz="4" w:space="4" w:color="auto"/>
          <w:bottom w:val="single" w:sz="4" w:space="1" w:color="auto"/>
          <w:right w:val="single" w:sz="4" w:space="4" w:color="auto"/>
        </w:pBdr>
        <w:rPr>
          <w:del w:id="9040" w:author="AbbVie19" w:date="2025-04-16T12:28:00Z"/>
          <w:rFonts w:ascii="Times New Roman Bold" w:hAnsi="Times New Roman Bold"/>
          <w:caps/>
          <w:szCs w:val="20"/>
        </w:rPr>
      </w:pPr>
      <w:del w:id="9041" w:author="AbbVie19" w:date="2025-04-16T12:28:00Z">
        <w:r w:rsidRPr="00BC0E7E">
          <w:rPr>
            <w:b/>
            <w:bCs/>
            <w:caps/>
            <w:szCs w:val="20"/>
          </w:rPr>
          <w:delText xml:space="preserve">18. </w:delText>
        </w:r>
        <w:r w:rsidRPr="00BC0E7E">
          <w:rPr>
            <w:b/>
            <w:bCs/>
            <w:caps/>
            <w:szCs w:val="20"/>
          </w:rPr>
          <w:tab/>
          <w:delText>UNIQUE INDENTIFIER – HUMAN READABLE DATA</w:delText>
        </w:r>
      </w:del>
    </w:p>
    <w:p w14:paraId="10B99A73" w14:textId="77777777" w:rsidR="00BC0E7E" w:rsidRPr="00BC0E7E" w:rsidRDefault="00BC0E7E" w:rsidP="00762FA7">
      <w:pPr>
        <w:keepNext/>
        <w:ind w:left="540" w:hanging="540"/>
        <w:rPr>
          <w:del w:id="9042" w:author="AbbVie19" w:date="2025-04-16T12:28:00Z"/>
        </w:rPr>
      </w:pPr>
    </w:p>
    <w:p w14:paraId="3B66E8DC" w14:textId="77777777" w:rsidR="00BC0E7E" w:rsidRPr="00BC0E7E" w:rsidRDefault="00944B8F" w:rsidP="00762FA7">
      <w:pPr>
        <w:keepNext/>
        <w:ind w:left="540" w:hanging="540"/>
        <w:rPr>
          <w:del w:id="9043" w:author="AbbVie19" w:date="2025-04-16T12:28:00Z"/>
        </w:rPr>
      </w:pPr>
      <w:del w:id="9044" w:author="AbbVie19" w:date="2025-04-16T12:28:00Z">
        <w:r w:rsidRPr="00BC0E7E">
          <w:delText>PC</w:delText>
        </w:r>
      </w:del>
    </w:p>
    <w:p w14:paraId="76000F28" w14:textId="77777777" w:rsidR="00BC0E7E" w:rsidRPr="00BC0E7E" w:rsidRDefault="00944B8F" w:rsidP="00762FA7">
      <w:pPr>
        <w:keepNext/>
        <w:ind w:left="540" w:hanging="540"/>
        <w:rPr>
          <w:del w:id="9045" w:author="AbbVie19" w:date="2025-04-16T12:28:00Z"/>
        </w:rPr>
      </w:pPr>
      <w:del w:id="9046" w:author="AbbVie19" w:date="2025-04-16T12:28:00Z">
        <w:r w:rsidRPr="00BC0E7E">
          <w:delText>SN</w:delText>
        </w:r>
      </w:del>
    </w:p>
    <w:p w14:paraId="7B5261C5" w14:textId="77777777" w:rsidR="00BC0E7E" w:rsidRPr="00BC0E7E" w:rsidRDefault="00944B8F" w:rsidP="00762FA7">
      <w:pPr>
        <w:keepNext/>
        <w:ind w:left="540" w:hanging="540"/>
      </w:pPr>
      <w:del w:id="9047" w:author="AbbVie19" w:date="2025-04-16T12:28:00Z">
        <w:r w:rsidRPr="001B6DEE">
          <w:rPr>
            <w:highlight w:val="darkGray"/>
          </w:rPr>
          <w:delText>NN</w:delText>
        </w:r>
      </w:del>
    </w:p>
    <w:p w14:paraId="227DC6AB" w14:textId="77777777" w:rsidR="00BC0E7E" w:rsidRPr="00BC0E7E" w:rsidRDefault="00944B8F" w:rsidP="00BC0E7E">
      <w:pPr>
        <w:keepNext/>
        <w:ind w:left="540" w:hanging="540"/>
      </w:pPr>
      <w:r w:rsidRPr="00BC0E7E">
        <w:br w:type="page"/>
      </w:r>
    </w:p>
    <w:p w14:paraId="4E3B4A96" w14:textId="2B1C8EA7" w:rsidR="00BC0E7E" w:rsidRPr="00BC0E7E" w:rsidDel="00173B45" w:rsidRDefault="00944B8F" w:rsidP="00BC0E7E">
      <w:pPr>
        <w:pBdr>
          <w:top w:val="single" w:sz="4" w:space="1" w:color="auto"/>
          <w:left w:val="single" w:sz="4" w:space="4" w:color="auto"/>
          <w:bottom w:val="single" w:sz="4" w:space="1" w:color="auto"/>
          <w:right w:val="single" w:sz="4" w:space="4" w:color="auto"/>
        </w:pBdr>
        <w:tabs>
          <w:tab w:val="clear" w:pos="562"/>
        </w:tabs>
        <w:rPr>
          <w:del w:id="9048" w:author="AbbVie19" w:date="2025-09-08T11:31:00Z" w16du:dateUtc="2025-09-08T08:31:00Z"/>
          <w:b/>
        </w:rPr>
      </w:pPr>
      <w:del w:id="9049" w:author="AbbVie19" w:date="2025-09-08T11:31:00Z" w16du:dateUtc="2025-09-08T08:31:00Z">
        <w:r w:rsidRPr="00BC0E7E" w:rsidDel="00173B45">
          <w:rPr>
            <w:b/>
          </w:rPr>
          <w:lastRenderedPageBreak/>
          <w:delText>MINIMUM PARTICULARS TO APPEAR ON BLISTERS OR STRIPS</w:delText>
        </w:r>
      </w:del>
    </w:p>
    <w:p w14:paraId="53A94CBC" w14:textId="01996A26" w:rsidR="00BC0E7E" w:rsidRPr="00BC0E7E" w:rsidDel="00173B45" w:rsidRDefault="00BC0E7E" w:rsidP="00BC0E7E">
      <w:pPr>
        <w:pBdr>
          <w:top w:val="single" w:sz="4" w:space="1" w:color="auto"/>
          <w:left w:val="single" w:sz="4" w:space="4" w:color="auto"/>
          <w:bottom w:val="single" w:sz="4" w:space="1" w:color="auto"/>
          <w:right w:val="single" w:sz="4" w:space="4" w:color="auto"/>
        </w:pBdr>
        <w:ind w:left="540" w:hanging="540"/>
        <w:rPr>
          <w:del w:id="9050" w:author="AbbVie19" w:date="2025-09-08T11:31:00Z" w16du:dateUtc="2025-09-08T08:31:00Z"/>
          <w:b/>
        </w:rPr>
      </w:pPr>
    </w:p>
    <w:p w14:paraId="20F1A5E2" w14:textId="456C52FC" w:rsidR="00BC0E7E" w:rsidRPr="00BC0E7E" w:rsidDel="00173B45" w:rsidRDefault="00944B8F" w:rsidP="00BC0E7E">
      <w:pPr>
        <w:keepLines/>
        <w:pBdr>
          <w:top w:val="single" w:sz="4" w:space="1" w:color="auto"/>
          <w:left w:val="single" w:sz="4" w:space="4" w:color="auto"/>
          <w:bottom w:val="single" w:sz="4" w:space="1" w:color="auto"/>
          <w:right w:val="single" w:sz="4" w:space="4" w:color="auto"/>
        </w:pBdr>
        <w:ind w:left="540" w:hanging="540"/>
        <w:outlineLvl w:val="2"/>
        <w:rPr>
          <w:del w:id="9051" w:author="AbbVie19" w:date="2025-09-08T11:31:00Z" w16du:dateUtc="2025-09-08T08:31:00Z"/>
          <w:b/>
          <w:bCs/>
          <w:szCs w:val="26"/>
        </w:rPr>
      </w:pPr>
      <w:del w:id="9052" w:author="AbbVie19" w:date="2025-09-08T11:31:00Z" w16du:dateUtc="2025-09-08T08:31:00Z">
        <w:r w:rsidRPr="00BC0E7E" w:rsidDel="00173B45">
          <w:rPr>
            <w:b/>
            <w:bCs/>
            <w:szCs w:val="26"/>
          </w:rPr>
          <w:delText>TRAY BACKING TEXT</w:delText>
        </w:r>
      </w:del>
    </w:p>
    <w:p w14:paraId="7175A3EB" w14:textId="67B87638" w:rsidR="00BC0E7E" w:rsidRPr="00BC0E7E" w:rsidDel="00173B45" w:rsidRDefault="00BC0E7E" w:rsidP="00BC0E7E">
      <w:pPr>
        <w:ind w:left="540" w:hanging="540"/>
        <w:rPr>
          <w:del w:id="9053" w:author="AbbVie19" w:date="2025-09-08T11:31:00Z" w16du:dateUtc="2025-09-08T08:31:00Z"/>
        </w:rPr>
      </w:pPr>
    </w:p>
    <w:p w14:paraId="491E5FE3" w14:textId="2A9C3908" w:rsidR="00BC0E7E" w:rsidRPr="00BC0E7E" w:rsidDel="00173B45" w:rsidRDefault="00BC0E7E" w:rsidP="00BC0E7E">
      <w:pPr>
        <w:ind w:left="540" w:hanging="540"/>
        <w:rPr>
          <w:del w:id="9054" w:author="AbbVie19" w:date="2025-09-08T11:31:00Z" w16du:dateUtc="2025-09-08T08:31:00Z"/>
        </w:rPr>
      </w:pPr>
    </w:p>
    <w:p w14:paraId="2D516880" w14:textId="05C01E96" w:rsidR="00BC0E7E" w:rsidRPr="00BC0E7E" w:rsidDel="00173B45" w:rsidRDefault="00944B8F" w:rsidP="00BC0E7E">
      <w:pPr>
        <w:pBdr>
          <w:top w:val="single" w:sz="4" w:space="1" w:color="auto"/>
          <w:left w:val="single" w:sz="4" w:space="4" w:color="auto"/>
          <w:bottom w:val="single" w:sz="4" w:space="1" w:color="auto"/>
          <w:right w:val="single" w:sz="4" w:space="4" w:color="auto"/>
        </w:pBdr>
        <w:ind w:left="561" w:hanging="561"/>
        <w:rPr>
          <w:del w:id="9055" w:author="AbbVie19" w:date="2025-09-08T11:31:00Z" w16du:dateUtc="2025-09-08T08:31:00Z"/>
          <w:b/>
          <w:caps/>
          <w:szCs w:val="20"/>
        </w:rPr>
      </w:pPr>
      <w:del w:id="9056" w:author="AbbVie19" w:date="2025-09-08T11:31:00Z" w16du:dateUtc="2025-09-08T08:31:00Z">
        <w:r w:rsidRPr="00BC0E7E" w:rsidDel="00173B45">
          <w:rPr>
            <w:b/>
            <w:caps/>
            <w:szCs w:val="20"/>
          </w:rPr>
          <w:delText>1.</w:delText>
        </w:r>
        <w:r w:rsidRPr="00BC0E7E" w:rsidDel="00173B45">
          <w:rPr>
            <w:b/>
            <w:caps/>
            <w:szCs w:val="20"/>
          </w:rPr>
          <w:tab/>
          <w:delText>NAME OF THE MEDICINAL PRODUCT</w:delText>
        </w:r>
      </w:del>
    </w:p>
    <w:p w14:paraId="2722B298" w14:textId="36621F22" w:rsidR="00BC0E7E" w:rsidRPr="00BC0E7E" w:rsidDel="00173B45" w:rsidRDefault="00BC0E7E" w:rsidP="00BC0E7E">
      <w:pPr>
        <w:ind w:left="540" w:hanging="540"/>
        <w:rPr>
          <w:del w:id="9057" w:author="AbbVie19" w:date="2025-09-08T11:31:00Z" w16du:dateUtc="2025-09-08T08:31:00Z"/>
        </w:rPr>
      </w:pPr>
    </w:p>
    <w:p w14:paraId="792A3E9E" w14:textId="5E97F44D" w:rsidR="00BC0E7E" w:rsidRPr="00BC0E7E" w:rsidDel="00173B45" w:rsidRDefault="00944B8F" w:rsidP="00BC0E7E">
      <w:pPr>
        <w:ind w:left="540" w:hanging="540"/>
        <w:rPr>
          <w:del w:id="9058" w:author="AbbVie19" w:date="2025-09-08T11:31:00Z" w16du:dateUtc="2025-09-08T08:31:00Z"/>
        </w:rPr>
      </w:pPr>
      <w:del w:id="9059" w:author="AbbVie19" w:date="2025-09-08T11:31:00Z" w16du:dateUtc="2025-09-08T08:31:00Z">
        <w:r w:rsidRPr="00BC0E7E" w:rsidDel="00173B45">
          <w:delText>Humira 40 mg solution for injection in pre-filled syringe</w:delText>
        </w:r>
      </w:del>
    </w:p>
    <w:p w14:paraId="64B12596" w14:textId="13127DE4" w:rsidR="00BC0E7E" w:rsidRPr="00BC0E7E" w:rsidDel="00173B45" w:rsidRDefault="00944B8F" w:rsidP="00BC0E7E">
      <w:pPr>
        <w:ind w:left="540" w:hanging="540"/>
        <w:rPr>
          <w:del w:id="9060" w:author="AbbVie19" w:date="2025-09-08T11:31:00Z" w16du:dateUtc="2025-09-08T08:31:00Z"/>
        </w:rPr>
      </w:pPr>
      <w:del w:id="9061" w:author="AbbVie19" w:date="2025-09-08T11:31:00Z" w16du:dateUtc="2025-09-08T08:31:00Z">
        <w:r w:rsidRPr="00BC0E7E" w:rsidDel="00173B45">
          <w:delText>adalimumab</w:delText>
        </w:r>
      </w:del>
    </w:p>
    <w:p w14:paraId="7AFBE4CC" w14:textId="47745670" w:rsidR="00BC0E7E" w:rsidRPr="00BC0E7E" w:rsidDel="00173B45" w:rsidRDefault="00BC0E7E" w:rsidP="00BC0E7E">
      <w:pPr>
        <w:ind w:left="540" w:hanging="540"/>
        <w:rPr>
          <w:del w:id="9062" w:author="AbbVie19" w:date="2025-09-08T11:31:00Z" w16du:dateUtc="2025-09-08T08:31:00Z"/>
        </w:rPr>
      </w:pPr>
    </w:p>
    <w:p w14:paraId="2C85693C" w14:textId="5524F2E2" w:rsidR="00BC0E7E" w:rsidRPr="00BC0E7E" w:rsidDel="00173B45" w:rsidRDefault="00BC0E7E" w:rsidP="00BC0E7E">
      <w:pPr>
        <w:ind w:left="540" w:hanging="540"/>
        <w:rPr>
          <w:del w:id="9063" w:author="AbbVie19" w:date="2025-09-08T11:31:00Z" w16du:dateUtc="2025-09-08T08:31:00Z"/>
        </w:rPr>
      </w:pPr>
    </w:p>
    <w:p w14:paraId="1522F7D8" w14:textId="1AA8D916" w:rsidR="00BC0E7E" w:rsidRPr="00BC0E7E" w:rsidDel="00173B45" w:rsidRDefault="00944B8F" w:rsidP="00BC0E7E">
      <w:pPr>
        <w:pBdr>
          <w:top w:val="single" w:sz="4" w:space="1" w:color="auto"/>
          <w:left w:val="single" w:sz="4" w:space="4" w:color="auto"/>
          <w:bottom w:val="single" w:sz="4" w:space="1" w:color="auto"/>
          <w:right w:val="single" w:sz="4" w:space="4" w:color="auto"/>
        </w:pBdr>
        <w:tabs>
          <w:tab w:val="left" w:pos="-3300"/>
        </w:tabs>
        <w:ind w:left="562" w:hanging="562"/>
        <w:rPr>
          <w:del w:id="9064" w:author="AbbVie19" w:date="2025-09-08T11:31:00Z" w16du:dateUtc="2025-09-08T08:31:00Z"/>
          <w:b/>
          <w:caps/>
          <w:szCs w:val="20"/>
        </w:rPr>
      </w:pPr>
      <w:del w:id="9065" w:author="AbbVie19" w:date="2025-09-08T11:31:00Z" w16du:dateUtc="2025-09-08T08:31:00Z">
        <w:r w:rsidRPr="00BC0E7E" w:rsidDel="00173B45">
          <w:rPr>
            <w:b/>
            <w:caps/>
            <w:szCs w:val="20"/>
          </w:rPr>
          <w:delText>2.</w:delText>
        </w:r>
        <w:r w:rsidRPr="00BC0E7E" w:rsidDel="00173B45">
          <w:rPr>
            <w:b/>
            <w:caps/>
            <w:szCs w:val="20"/>
          </w:rPr>
          <w:tab/>
          <w:delText>NAME OF THE MARKETING AUTHORISATION HOLDER</w:delText>
        </w:r>
      </w:del>
    </w:p>
    <w:p w14:paraId="798AD329" w14:textId="5A9CD7EA" w:rsidR="00BC0E7E" w:rsidRPr="00BC0E7E" w:rsidDel="00173B45" w:rsidRDefault="00BC0E7E" w:rsidP="00BC0E7E">
      <w:pPr>
        <w:ind w:left="540" w:hanging="540"/>
        <w:rPr>
          <w:del w:id="9066" w:author="AbbVie19" w:date="2025-09-08T11:31:00Z" w16du:dateUtc="2025-09-08T08:31:00Z"/>
        </w:rPr>
      </w:pPr>
    </w:p>
    <w:p w14:paraId="5DD3C6DA" w14:textId="77D98B45" w:rsidR="006A01D2" w:rsidDel="00173B45" w:rsidRDefault="00944B8F" w:rsidP="006A01D2">
      <w:pPr>
        <w:keepNext/>
        <w:tabs>
          <w:tab w:val="clear" w:pos="562"/>
        </w:tabs>
        <w:suppressAutoHyphens w:val="0"/>
        <w:autoSpaceDE w:val="0"/>
        <w:autoSpaceDN w:val="0"/>
        <w:adjustRightInd w:val="0"/>
        <w:spacing w:line="240" w:lineRule="atLeast"/>
        <w:rPr>
          <w:del w:id="9067" w:author="AbbVie19" w:date="2025-09-08T11:31:00Z" w16du:dateUtc="2025-09-08T08:31:00Z"/>
        </w:rPr>
      </w:pPr>
      <w:del w:id="9068" w:author="AbbVie19" w:date="2025-09-08T11:31:00Z" w16du:dateUtc="2025-09-08T08:31:00Z">
        <w:r w:rsidDel="00173B45">
          <w:delText xml:space="preserve">AbbVie </w:delText>
        </w:r>
        <w:r w:rsidRPr="00D32313" w:rsidDel="00173B45">
          <w:rPr>
            <w:szCs w:val="22"/>
            <w:highlight w:val="lightGray"/>
            <w:lang w:eastAsia="en-GB"/>
          </w:rPr>
          <w:delText>(as logo)</w:delText>
        </w:r>
      </w:del>
    </w:p>
    <w:p w14:paraId="208075E2" w14:textId="6FC0BFCA" w:rsidR="00BC0E7E" w:rsidRPr="00BC0E7E" w:rsidDel="00173B45" w:rsidRDefault="00BC0E7E" w:rsidP="00BC0E7E">
      <w:pPr>
        <w:ind w:left="540" w:hanging="540"/>
        <w:rPr>
          <w:del w:id="9069" w:author="AbbVie19" w:date="2025-09-08T11:31:00Z" w16du:dateUtc="2025-09-08T08:31:00Z"/>
        </w:rPr>
      </w:pPr>
    </w:p>
    <w:p w14:paraId="7B372D06" w14:textId="508A8D9C" w:rsidR="00BC0E7E" w:rsidRPr="00BC0E7E" w:rsidDel="00173B45" w:rsidRDefault="00BC0E7E" w:rsidP="00BC0E7E">
      <w:pPr>
        <w:ind w:left="540" w:hanging="540"/>
        <w:rPr>
          <w:del w:id="9070" w:author="AbbVie19" w:date="2025-09-08T11:31:00Z" w16du:dateUtc="2025-09-08T08:31:00Z"/>
        </w:rPr>
      </w:pPr>
    </w:p>
    <w:p w14:paraId="0EC73BCA" w14:textId="14119FE2" w:rsidR="00BC0E7E" w:rsidRPr="00BC0E7E" w:rsidDel="00173B45" w:rsidRDefault="00944B8F" w:rsidP="00BC0E7E">
      <w:pPr>
        <w:pBdr>
          <w:top w:val="single" w:sz="4" w:space="1" w:color="auto"/>
          <w:left w:val="single" w:sz="4" w:space="4" w:color="auto"/>
          <w:bottom w:val="single" w:sz="4" w:space="1" w:color="auto"/>
          <w:right w:val="single" w:sz="4" w:space="4" w:color="auto"/>
        </w:pBdr>
        <w:ind w:left="562" w:hanging="562"/>
        <w:rPr>
          <w:del w:id="9071" w:author="AbbVie19" w:date="2025-09-08T11:31:00Z" w16du:dateUtc="2025-09-08T08:31:00Z"/>
          <w:b/>
          <w:caps/>
          <w:szCs w:val="20"/>
        </w:rPr>
      </w:pPr>
      <w:del w:id="9072" w:author="AbbVie19" w:date="2025-09-08T11:31:00Z" w16du:dateUtc="2025-09-08T08:31:00Z">
        <w:r w:rsidRPr="00BC0E7E" w:rsidDel="00173B45">
          <w:rPr>
            <w:b/>
            <w:caps/>
            <w:szCs w:val="20"/>
          </w:rPr>
          <w:delText>3.</w:delText>
        </w:r>
        <w:r w:rsidRPr="00BC0E7E" w:rsidDel="00173B45">
          <w:rPr>
            <w:b/>
            <w:caps/>
            <w:szCs w:val="20"/>
          </w:rPr>
          <w:tab/>
          <w:delText>EXPIRY DATE</w:delText>
        </w:r>
      </w:del>
    </w:p>
    <w:p w14:paraId="0C4D6A8F" w14:textId="032F5794" w:rsidR="00BC0E7E" w:rsidRPr="00BC0E7E" w:rsidDel="00173B45" w:rsidRDefault="00BC0E7E" w:rsidP="00BC0E7E">
      <w:pPr>
        <w:ind w:left="540" w:hanging="540"/>
        <w:rPr>
          <w:del w:id="9073" w:author="AbbVie19" w:date="2025-09-08T11:31:00Z" w16du:dateUtc="2025-09-08T08:31:00Z"/>
        </w:rPr>
      </w:pPr>
    </w:p>
    <w:p w14:paraId="10FDAFF1" w14:textId="00DBC4B6" w:rsidR="00BC0E7E" w:rsidRPr="00BC0E7E" w:rsidDel="00173B45" w:rsidRDefault="00944B8F" w:rsidP="00BC0E7E">
      <w:pPr>
        <w:ind w:left="540" w:hanging="540"/>
        <w:rPr>
          <w:del w:id="9074" w:author="AbbVie19" w:date="2025-09-08T11:31:00Z" w16du:dateUtc="2025-09-08T08:31:00Z"/>
        </w:rPr>
      </w:pPr>
      <w:del w:id="9075" w:author="AbbVie19" w:date="2025-09-08T11:31:00Z" w16du:dateUtc="2025-09-08T08:31:00Z">
        <w:r w:rsidRPr="00BC0E7E" w:rsidDel="00173B45">
          <w:delText>EXP</w:delText>
        </w:r>
      </w:del>
    </w:p>
    <w:p w14:paraId="6F5368AB" w14:textId="0A16219C" w:rsidR="00BC0E7E" w:rsidRPr="00BC0E7E" w:rsidDel="00173B45" w:rsidRDefault="00BC0E7E" w:rsidP="00BC0E7E">
      <w:pPr>
        <w:ind w:left="540" w:hanging="540"/>
        <w:rPr>
          <w:del w:id="9076" w:author="AbbVie19" w:date="2025-09-08T11:31:00Z" w16du:dateUtc="2025-09-08T08:31:00Z"/>
        </w:rPr>
      </w:pPr>
    </w:p>
    <w:p w14:paraId="6DE36A32" w14:textId="0E140696" w:rsidR="00BC0E7E" w:rsidRPr="00BC0E7E" w:rsidDel="00173B45" w:rsidRDefault="00BC0E7E" w:rsidP="00BC0E7E">
      <w:pPr>
        <w:ind w:left="540" w:hanging="540"/>
        <w:rPr>
          <w:del w:id="9077" w:author="AbbVie19" w:date="2025-09-08T11:31:00Z" w16du:dateUtc="2025-09-08T08:31:00Z"/>
        </w:rPr>
      </w:pPr>
    </w:p>
    <w:p w14:paraId="486DE697" w14:textId="0289FB47" w:rsidR="00BC0E7E" w:rsidRPr="00BC0E7E" w:rsidDel="00173B45" w:rsidRDefault="00944B8F" w:rsidP="00BC0E7E">
      <w:pPr>
        <w:pBdr>
          <w:top w:val="single" w:sz="4" w:space="1" w:color="auto"/>
          <w:left w:val="single" w:sz="4" w:space="4" w:color="auto"/>
          <w:bottom w:val="single" w:sz="4" w:space="1" w:color="auto"/>
          <w:right w:val="single" w:sz="4" w:space="4" w:color="auto"/>
        </w:pBdr>
        <w:ind w:left="562" w:hanging="562"/>
        <w:rPr>
          <w:del w:id="9078" w:author="AbbVie19" w:date="2025-09-08T11:31:00Z" w16du:dateUtc="2025-09-08T08:31:00Z"/>
          <w:b/>
          <w:caps/>
          <w:szCs w:val="20"/>
        </w:rPr>
      </w:pPr>
      <w:del w:id="9079" w:author="AbbVie19" w:date="2025-09-08T11:31:00Z" w16du:dateUtc="2025-09-08T08:31:00Z">
        <w:r w:rsidRPr="00BC0E7E" w:rsidDel="00173B45">
          <w:rPr>
            <w:b/>
            <w:caps/>
            <w:szCs w:val="20"/>
          </w:rPr>
          <w:delText>4.</w:delText>
        </w:r>
        <w:r w:rsidRPr="00BC0E7E" w:rsidDel="00173B45">
          <w:rPr>
            <w:b/>
            <w:caps/>
            <w:szCs w:val="20"/>
          </w:rPr>
          <w:tab/>
          <w:delText>BATCH NUMBER</w:delText>
        </w:r>
      </w:del>
    </w:p>
    <w:p w14:paraId="3B341462" w14:textId="027992F9" w:rsidR="00BC0E7E" w:rsidRPr="00BC0E7E" w:rsidDel="00173B45" w:rsidRDefault="00BC0E7E" w:rsidP="00BC0E7E">
      <w:pPr>
        <w:ind w:left="540" w:hanging="540"/>
        <w:rPr>
          <w:del w:id="9080" w:author="AbbVie19" w:date="2025-09-08T11:31:00Z" w16du:dateUtc="2025-09-08T08:31:00Z"/>
        </w:rPr>
      </w:pPr>
    </w:p>
    <w:p w14:paraId="57FED229" w14:textId="097A1D85" w:rsidR="00BC0E7E" w:rsidRPr="00BC0E7E" w:rsidDel="00173B45" w:rsidRDefault="00944B8F" w:rsidP="00BC0E7E">
      <w:pPr>
        <w:ind w:left="540" w:hanging="540"/>
        <w:rPr>
          <w:del w:id="9081" w:author="AbbVie19" w:date="2025-09-08T11:31:00Z" w16du:dateUtc="2025-09-08T08:31:00Z"/>
        </w:rPr>
      </w:pPr>
      <w:del w:id="9082" w:author="AbbVie19" w:date="2025-09-08T11:31:00Z" w16du:dateUtc="2025-09-08T08:31:00Z">
        <w:r w:rsidRPr="00BC0E7E" w:rsidDel="00173B45">
          <w:delText xml:space="preserve">Lot </w:delText>
        </w:r>
      </w:del>
    </w:p>
    <w:p w14:paraId="65D15193" w14:textId="2CCB27A1" w:rsidR="00BC0E7E" w:rsidRPr="00BC0E7E" w:rsidDel="00173B45" w:rsidRDefault="00BC0E7E" w:rsidP="00BC0E7E">
      <w:pPr>
        <w:ind w:left="540" w:hanging="540"/>
        <w:rPr>
          <w:del w:id="9083" w:author="AbbVie19" w:date="2025-09-08T11:31:00Z" w16du:dateUtc="2025-09-08T08:31:00Z"/>
        </w:rPr>
      </w:pPr>
    </w:p>
    <w:p w14:paraId="2A3356B6" w14:textId="08BC0CE3" w:rsidR="00BC0E7E" w:rsidRPr="00BC0E7E" w:rsidDel="00173B45" w:rsidRDefault="00BC0E7E" w:rsidP="00BC0E7E">
      <w:pPr>
        <w:ind w:left="540" w:hanging="540"/>
        <w:rPr>
          <w:del w:id="9084" w:author="AbbVie19" w:date="2025-09-08T11:31:00Z" w16du:dateUtc="2025-09-08T08:31:00Z"/>
        </w:rPr>
      </w:pPr>
    </w:p>
    <w:p w14:paraId="0E924396" w14:textId="0D8D24F8" w:rsidR="00BC0E7E" w:rsidRPr="00BC0E7E" w:rsidDel="00173B45" w:rsidRDefault="00944B8F" w:rsidP="00BC0E7E">
      <w:pPr>
        <w:pBdr>
          <w:top w:val="single" w:sz="4" w:space="1" w:color="auto"/>
          <w:left w:val="single" w:sz="4" w:space="4" w:color="auto"/>
          <w:bottom w:val="single" w:sz="4" w:space="1" w:color="auto"/>
          <w:right w:val="single" w:sz="4" w:space="4" w:color="auto"/>
        </w:pBdr>
        <w:rPr>
          <w:del w:id="9085" w:author="AbbVie19" w:date="2025-09-08T11:31:00Z" w16du:dateUtc="2025-09-08T08:31:00Z"/>
          <w:b/>
          <w:caps/>
          <w:szCs w:val="20"/>
        </w:rPr>
      </w:pPr>
      <w:del w:id="9086" w:author="AbbVie19" w:date="2025-09-08T11:31:00Z" w16du:dateUtc="2025-09-08T08:31:00Z">
        <w:r w:rsidRPr="00BC0E7E" w:rsidDel="00173B45">
          <w:rPr>
            <w:b/>
            <w:caps/>
            <w:szCs w:val="20"/>
          </w:rPr>
          <w:delText>5.</w:delText>
        </w:r>
        <w:r w:rsidRPr="00BC0E7E" w:rsidDel="00173B45">
          <w:rPr>
            <w:b/>
            <w:caps/>
            <w:szCs w:val="20"/>
          </w:rPr>
          <w:tab/>
          <w:delText>OTHER</w:delText>
        </w:r>
      </w:del>
    </w:p>
    <w:p w14:paraId="1C377F33" w14:textId="7ACFFA8F" w:rsidR="00BC0E7E" w:rsidRPr="00BC0E7E" w:rsidDel="00173B45" w:rsidRDefault="00BC0E7E" w:rsidP="00BC0E7E">
      <w:pPr>
        <w:ind w:left="540" w:hanging="540"/>
        <w:rPr>
          <w:del w:id="9087" w:author="AbbVie19" w:date="2025-09-08T11:31:00Z" w16du:dateUtc="2025-09-08T08:31:00Z"/>
        </w:rPr>
      </w:pPr>
    </w:p>
    <w:p w14:paraId="181799BA" w14:textId="0F61A58A" w:rsidR="00BC0E7E" w:rsidRPr="00BC0E7E" w:rsidDel="00173B45" w:rsidRDefault="00944B8F" w:rsidP="00BC0E7E">
      <w:pPr>
        <w:ind w:left="540" w:hanging="540"/>
        <w:rPr>
          <w:del w:id="9088" w:author="AbbVie19" w:date="2025-09-08T11:31:00Z" w16du:dateUtc="2025-09-08T08:31:00Z"/>
        </w:rPr>
      </w:pPr>
      <w:del w:id="9089" w:author="AbbVie19" w:date="2025-09-08T11:31:00Z" w16du:dateUtc="2025-09-08T08:31:00Z">
        <w:r w:rsidRPr="00BC0E7E" w:rsidDel="00173B45">
          <w:delText>For storage information, see package leaflet.</w:delText>
        </w:r>
      </w:del>
    </w:p>
    <w:p w14:paraId="5C713203" w14:textId="30185B87" w:rsidR="00BC0E7E" w:rsidRPr="00BC0E7E" w:rsidDel="00173B45" w:rsidRDefault="00BC0E7E" w:rsidP="00BC0E7E">
      <w:pPr>
        <w:ind w:left="540" w:hanging="540"/>
        <w:rPr>
          <w:del w:id="9090" w:author="AbbVie19" w:date="2025-09-08T11:31:00Z" w16du:dateUtc="2025-09-08T08:31:00Z"/>
        </w:rPr>
      </w:pPr>
    </w:p>
    <w:p w14:paraId="7D9874D4" w14:textId="363E00C7" w:rsidR="00BC0E7E" w:rsidRPr="00BC0E7E" w:rsidDel="00173B45" w:rsidRDefault="00944B8F" w:rsidP="00BC0E7E">
      <w:pPr>
        <w:ind w:left="540" w:hanging="540"/>
        <w:rPr>
          <w:del w:id="9091" w:author="AbbVie19" w:date="2025-09-08T11:31:00Z" w16du:dateUtc="2025-09-08T08:31:00Z"/>
        </w:rPr>
      </w:pPr>
      <w:del w:id="9092" w:author="AbbVie19" w:date="2025-09-08T11:31:00Z" w16du:dateUtc="2025-09-08T08:31:00Z">
        <w:r w:rsidRPr="00BC0E7E" w:rsidDel="00173B45">
          <w:delText>For single use only</w:delText>
        </w:r>
        <w:r w:rsidR="00DC6624" w:rsidDel="00173B45">
          <w:delText>.</w:delText>
        </w:r>
      </w:del>
    </w:p>
    <w:p w14:paraId="5CC6DDC1" w14:textId="77777777" w:rsidR="00BC0E7E" w:rsidRPr="00BC0E7E" w:rsidRDefault="00BC0E7E" w:rsidP="00BC0E7E"/>
    <w:p w14:paraId="54360EF4" w14:textId="5C96B71C" w:rsidR="00BC0E7E" w:rsidRPr="00BC0E7E" w:rsidRDefault="00944B8F" w:rsidP="005C0D2E">
      <w:pPr>
        <w:pBdr>
          <w:top w:val="single" w:sz="4" w:space="1" w:color="auto"/>
          <w:left w:val="single" w:sz="4" w:space="4" w:color="auto"/>
          <w:bottom w:val="single" w:sz="4" w:space="1" w:color="auto"/>
          <w:right w:val="single" w:sz="4" w:space="4" w:color="auto"/>
        </w:pBdr>
        <w:ind w:left="561" w:hanging="561"/>
        <w:rPr>
          <w:del w:id="9093" w:author="AbbVie19" w:date="2025-04-17T11:02:00Z"/>
          <w:b/>
          <w:caps/>
          <w:szCs w:val="20"/>
        </w:rPr>
      </w:pPr>
      <w:r w:rsidRPr="00BC0E7E">
        <w:rPr>
          <w:b/>
          <w:caps/>
          <w:szCs w:val="20"/>
        </w:rPr>
        <w:br w:type="page"/>
      </w:r>
      <w:del w:id="9094" w:author="AbbVie19" w:date="2025-04-17T11:02:00Z">
        <w:r w:rsidRPr="00BC0E7E">
          <w:rPr>
            <w:b/>
            <w:caps/>
            <w:szCs w:val="20"/>
          </w:rPr>
          <w:lastRenderedPageBreak/>
          <w:delText>MINIMUM PARTICULARS TO APPEAR ON SMALL IMMEDIATE PACKAGING UNITS</w:delText>
        </w:r>
      </w:del>
    </w:p>
    <w:p w14:paraId="38E87850" w14:textId="77777777" w:rsidR="00BC0E7E" w:rsidRPr="00BC0E7E" w:rsidRDefault="00BC0E7E" w:rsidP="005C0D2E">
      <w:pPr>
        <w:pBdr>
          <w:top w:val="single" w:sz="4" w:space="1" w:color="auto"/>
          <w:left w:val="single" w:sz="4" w:space="4" w:color="auto"/>
          <w:bottom w:val="single" w:sz="4" w:space="1" w:color="auto"/>
          <w:right w:val="single" w:sz="4" w:space="4" w:color="auto"/>
        </w:pBdr>
        <w:ind w:left="561" w:hanging="561"/>
        <w:rPr>
          <w:del w:id="9095" w:author="AbbVie19" w:date="2025-04-17T11:02:00Z"/>
          <w:b/>
          <w:bCs/>
          <w:caps/>
          <w:szCs w:val="20"/>
        </w:rPr>
      </w:pPr>
    </w:p>
    <w:p w14:paraId="495C6E74" w14:textId="77777777" w:rsidR="00BC0E7E" w:rsidRPr="00BC0E7E" w:rsidRDefault="00944B8F" w:rsidP="005C0D2E">
      <w:pPr>
        <w:pBdr>
          <w:top w:val="single" w:sz="4" w:space="1" w:color="auto"/>
          <w:left w:val="single" w:sz="4" w:space="4" w:color="auto"/>
          <w:bottom w:val="single" w:sz="4" w:space="1" w:color="auto"/>
          <w:right w:val="single" w:sz="4" w:space="4" w:color="auto"/>
        </w:pBdr>
        <w:ind w:left="561" w:hanging="561"/>
        <w:rPr>
          <w:del w:id="9096" w:author="AbbVie19" w:date="2025-04-17T11:02:00Z"/>
          <w:b/>
          <w:bCs/>
          <w:caps/>
          <w:szCs w:val="20"/>
        </w:rPr>
      </w:pPr>
      <w:del w:id="9097" w:author="AbbVie19" w:date="2025-04-17T11:02:00Z">
        <w:r w:rsidRPr="00BC0E7E">
          <w:rPr>
            <w:b/>
            <w:bCs/>
            <w:caps/>
            <w:szCs w:val="20"/>
          </w:rPr>
          <w:delText>SYRINGE LABEL</w:delText>
        </w:r>
      </w:del>
    </w:p>
    <w:p w14:paraId="7A06265D" w14:textId="77777777" w:rsidR="00BC0E7E" w:rsidRPr="00BC0E7E" w:rsidRDefault="00BC0E7E" w:rsidP="00762FA7">
      <w:pPr>
        <w:rPr>
          <w:del w:id="9098" w:author="AbbVie19" w:date="2025-04-17T11:02:00Z"/>
          <w:szCs w:val="20"/>
        </w:rPr>
      </w:pPr>
    </w:p>
    <w:p w14:paraId="58FAAFE6" w14:textId="77777777" w:rsidR="00BC0E7E" w:rsidRPr="00BC0E7E" w:rsidRDefault="00BC0E7E" w:rsidP="00762FA7">
      <w:pPr>
        <w:rPr>
          <w:del w:id="9099" w:author="AbbVie19" w:date="2025-04-17T11:02:00Z"/>
          <w:szCs w:val="20"/>
        </w:rPr>
      </w:pPr>
    </w:p>
    <w:p w14:paraId="243AFCF9" w14:textId="77777777" w:rsidR="00BC0E7E" w:rsidRPr="00BC0E7E" w:rsidRDefault="00944B8F" w:rsidP="005C0D2E">
      <w:pPr>
        <w:pBdr>
          <w:top w:val="single" w:sz="4" w:space="1" w:color="auto"/>
          <w:left w:val="single" w:sz="4" w:space="4" w:color="auto"/>
          <w:bottom w:val="single" w:sz="4" w:space="1" w:color="auto"/>
          <w:right w:val="single" w:sz="4" w:space="4" w:color="auto"/>
        </w:pBdr>
        <w:ind w:left="561" w:hanging="561"/>
        <w:rPr>
          <w:del w:id="9100" w:author="AbbVie19" w:date="2025-04-17T11:02:00Z"/>
          <w:b/>
          <w:caps/>
          <w:szCs w:val="20"/>
        </w:rPr>
      </w:pPr>
      <w:del w:id="9101" w:author="AbbVie19" w:date="2025-04-17T11:02:00Z">
        <w:r w:rsidRPr="00BC0E7E">
          <w:rPr>
            <w:b/>
            <w:caps/>
            <w:szCs w:val="20"/>
          </w:rPr>
          <w:delText>1.</w:delText>
        </w:r>
        <w:r w:rsidRPr="00BC0E7E">
          <w:rPr>
            <w:b/>
            <w:caps/>
            <w:szCs w:val="20"/>
          </w:rPr>
          <w:tab/>
          <w:delText>NAME OF THE MEDICINAL PRODUCT AND ROUTE OF ADMINISTRATION</w:delText>
        </w:r>
      </w:del>
    </w:p>
    <w:p w14:paraId="06079DF3" w14:textId="77777777" w:rsidR="00BC0E7E" w:rsidRPr="00BC0E7E" w:rsidRDefault="00BC0E7E" w:rsidP="00762FA7">
      <w:pPr>
        <w:ind w:left="540" w:hanging="540"/>
        <w:rPr>
          <w:del w:id="9102" w:author="AbbVie19" w:date="2025-04-17T11:02:00Z"/>
        </w:rPr>
      </w:pPr>
    </w:p>
    <w:p w14:paraId="6D431D4F" w14:textId="77777777" w:rsidR="00BC0E7E" w:rsidRPr="00BC0E7E" w:rsidRDefault="00944B8F" w:rsidP="00762FA7">
      <w:pPr>
        <w:ind w:left="540" w:hanging="540"/>
        <w:rPr>
          <w:del w:id="9103" w:author="AbbVie19" w:date="2025-04-17T11:02:00Z"/>
        </w:rPr>
      </w:pPr>
      <w:del w:id="9104" w:author="AbbVie19" w:date="2025-04-17T11:02:00Z">
        <w:r w:rsidRPr="00BC0E7E">
          <w:delText>Humira 40 mg injection</w:delText>
        </w:r>
      </w:del>
    </w:p>
    <w:p w14:paraId="42C85C15" w14:textId="77777777" w:rsidR="00BC0E7E" w:rsidRPr="00BC0E7E" w:rsidRDefault="00944B8F" w:rsidP="00762FA7">
      <w:pPr>
        <w:ind w:left="540" w:hanging="540"/>
        <w:rPr>
          <w:del w:id="9105" w:author="AbbVie19" w:date="2025-04-17T11:02:00Z"/>
          <w:szCs w:val="22"/>
        </w:rPr>
      </w:pPr>
      <w:del w:id="9106" w:author="AbbVie19" w:date="2025-04-17T11:02:00Z">
        <w:r w:rsidRPr="00BC0E7E">
          <w:rPr>
            <w:szCs w:val="22"/>
          </w:rPr>
          <w:delText>adalimumab</w:delText>
        </w:r>
      </w:del>
    </w:p>
    <w:p w14:paraId="1B815930" w14:textId="77777777" w:rsidR="00BC0E7E" w:rsidRPr="00BC0E7E" w:rsidRDefault="00944B8F" w:rsidP="00762FA7">
      <w:pPr>
        <w:tabs>
          <w:tab w:val="clear" w:pos="562"/>
        </w:tabs>
        <w:ind w:left="540" w:hanging="540"/>
        <w:rPr>
          <w:del w:id="9107" w:author="AbbVie19" w:date="2025-04-17T11:02:00Z"/>
          <w:szCs w:val="22"/>
        </w:rPr>
      </w:pPr>
      <w:del w:id="9108" w:author="AbbVie19" w:date="2025-04-17T11:02:00Z">
        <w:r>
          <w:rPr>
            <w:szCs w:val="22"/>
          </w:rPr>
          <w:delText>SC</w:delText>
        </w:r>
      </w:del>
    </w:p>
    <w:p w14:paraId="4C474BD2" w14:textId="77777777" w:rsidR="00BC0E7E" w:rsidRPr="00BC0E7E" w:rsidRDefault="00BC0E7E" w:rsidP="00762FA7">
      <w:pPr>
        <w:rPr>
          <w:del w:id="9109" w:author="AbbVie19" w:date="2025-04-17T11:02:00Z"/>
        </w:rPr>
      </w:pPr>
    </w:p>
    <w:p w14:paraId="663498C5" w14:textId="77777777" w:rsidR="00BC0E7E" w:rsidRPr="00BC0E7E" w:rsidRDefault="00BC0E7E" w:rsidP="00762FA7">
      <w:pPr>
        <w:rPr>
          <w:del w:id="9110" w:author="AbbVie19" w:date="2025-04-17T11:02:00Z"/>
        </w:rPr>
      </w:pPr>
    </w:p>
    <w:p w14:paraId="0AD5A379"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111" w:author="AbbVie19" w:date="2025-04-17T11:02:00Z"/>
          <w:b/>
          <w:caps/>
          <w:szCs w:val="20"/>
        </w:rPr>
      </w:pPr>
      <w:del w:id="9112" w:author="AbbVie19" w:date="2025-04-17T11:02:00Z">
        <w:r w:rsidRPr="00BC0E7E">
          <w:rPr>
            <w:b/>
            <w:caps/>
            <w:szCs w:val="20"/>
          </w:rPr>
          <w:delText>2.</w:delText>
        </w:r>
        <w:r w:rsidRPr="00BC0E7E">
          <w:rPr>
            <w:b/>
            <w:caps/>
            <w:szCs w:val="20"/>
          </w:rPr>
          <w:tab/>
          <w:delText>METHOD OF ADMINISTRATION</w:delText>
        </w:r>
      </w:del>
    </w:p>
    <w:p w14:paraId="40ED0DA2" w14:textId="77777777" w:rsidR="00BC0E7E" w:rsidRPr="00BC0E7E" w:rsidRDefault="00BC0E7E" w:rsidP="00762FA7">
      <w:pPr>
        <w:ind w:left="540" w:hanging="540"/>
        <w:rPr>
          <w:del w:id="9113" w:author="AbbVie19" w:date="2025-04-17T11:02:00Z"/>
          <w:b/>
        </w:rPr>
      </w:pPr>
    </w:p>
    <w:p w14:paraId="6130CDED" w14:textId="77777777" w:rsidR="00BC0E7E" w:rsidRPr="00BC0E7E" w:rsidRDefault="00BC0E7E" w:rsidP="00762FA7">
      <w:pPr>
        <w:ind w:left="540" w:hanging="540"/>
        <w:rPr>
          <w:del w:id="9114" w:author="AbbVie19" w:date="2025-04-17T11:02:00Z"/>
          <w:b/>
        </w:rPr>
      </w:pPr>
    </w:p>
    <w:p w14:paraId="2858E147" w14:textId="77777777" w:rsidR="00BC0E7E" w:rsidRPr="00BC0E7E" w:rsidRDefault="00944B8F" w:rsidP="005C0D2E">
      <w:pPr>
        <w:pBdr>
          <w:top w:val="single" w:sz="4" w:space="1" w:color="auto"/>
          <w:left w:val="single" w:sz="4" w:space="4" w:color="auto"/>
          <w:bottom w:val="single" w:sz="4" w:space="1" w:color="auto"/>
          <w:right w:val="single" w:sz="4" w:space="4" w:color="auto"/>
        </w:pBdr>
        <w:ind w:left="561" w:hanging="561"/>
        <w:rPr>
          <w:del w:id="9115" w:author="AbbVie19" w:date="2025-04-17T11:02:00Z"/>
          <w:b/>
          <w:caps/>
          <w:szCs w:val="20"/>
        </w:rPr>
      </w:pPr>
      <w:del w:id="9116" w:author="AbbVie19" w:date="2025-04-17T11:02:00Z">
        <w:r w:rsidRPr="00BC0E7E">
          <w:rPr>
            <w:b/>
            <w:caps/>
            <w:szCs w:val="20"/>
          </w:rPr>
          <w:delText>3.</w:delText>
        </w:r>
        <w:r w:rsidRPr="00BC0E7E">
          <w:rPr>
            <w:b/>
            <w:caps/>
            <w:szCs w:val="20"/>
          </w:rPr>
          <w:tab/>
          <w:delText>EXPIRY DATE</w:delText>
        </w:r>
      </w:del>
    </w:p>
    <w:p w14:paraId="74C73502" w14:textId="77777777" w:rsidR="00BC0E7E" w:rsidRPr="00BC0E7E" w:rsidRDefault="00BC0E7E" w:rsidP="00762FA7">
      <w:pPr>
        <w:ind w:left="540" w:hanging="540"/>
        <w:rPr>
          <w:del w:id="9117" w:author="AbbVie19" w:date="2025-04-17T11:02:00Z"/>
        </w:rPr>
      </w:pPr>
    </w:p>
    <w:p w14:paraId="1949943A" w14:textId="77777777" w:rsidR="00BC0E7E" w:rsidRPr="00BC0E7E" w:rsidRDefault="00944B8F" w:rsidP="00762FA7">
      <w:pPr>
        <w:ind w:left="540" w:hanging="540"/>
        <w:rPr>
          <w:del w:id="9118" w:author="AbbVie19" w:date="2025-04-17T11:02:00Z"/>
        </w:rPr>
      </w:pPr>
      <w:del w:id="9119" w:author="AbbVie19" w:date="2025-04-17T11:02:00Z">
        <w:r w:rsidRPr="00BC0E7E">
          <w:delText>EXP</w:delText>
        </w:r>
      </w:del>
    </w:p>
    <w:p w14:paraId="36C82A58" w14:textId="77777777" w:rsidR="00BC0E7E" w:rsidRPr="00BC0E7E" w:rsidRDefault="00BC0E7E" w:rsidP="00762FA7">
      <w:pPr>
        <w:ind w:left="540" w:hanging="540"/>
        <w:rPr>
          <w:del w:id="9120" w:author="AbbVie19" w:date="2025-04-17T11:02:00Z"/>
        </w:rPr>
      </w:pPr>
    </w:p>
    <w:p w14:paraId="380D516E" w14:textId="77777777" w:rsidR="00BC0E7E" w:rsidRPr="00BC0E7E" w:rsidRDefault="00BC0E7E" w:rsidP="00762FA7">
      <w:pPr>
        <w:ind w:left="540" w:hanging="540"/>
        <w:rPr>
          <w:del w:id="9121" w:author="AbbVie19" w:date="2025-04-17T11:02:00Z"/>
        </w:rPr>
      </w:pPr>
    </w:p>
    <w:p w14:paraId="71F9AC2B"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122" w:author="AbbVie19" w:date="2025-04-17T11:02:00Z"/>
          <w:b/>
          <w:caps/>
          <w:szCs w:val="20"/>
        </w:rPr>
      </w:pPr>
      <w:del w:id="9123" w:author="AbbVie19" w:date="2025-04-17T11:02:00Z">
        <w:r w:rsidRPr="00BC0E7E">
          <w:rPr>
            <w:b/>
            <w:caps/>
            <w:szCs w:val="20"/>
          </w:rPr>
          <w:delText>4.</w:delText>
        </w:r>
        <w:r w:rsidRPr="00BC0E7E">
          <w:rPr>
            <w:b/>
            <w:caps/>
            <w:szCs w:val="20"/>
          </w:rPr>
          <w:tab/>
          <w:delText>BATCH NUMBER</w:delText>
        </w:r>
      </w:del>
    </w:p>
    <w:p w14:paraId="124EEB34" w14:textId="77777777" w:rsidR="00BC0E7E" w:rsidRPr="00BC0E7E" w:rsidRDefault="00BC0E7E" w:rsidP="00762FA7">
      <w:pPr>
        <w:ind w:left="540" w:hanging="540"/>
        <w:rPr>
          <w:del w:id="9124" w:author="AbbVie19" w:date="2025-04-17T11:02:00Z"/>
        </w:rPr>
      </w:pPr>
    </w:p>
    <w:p w14:paraId="78A1EDD9" w14:textId="77777777" w:rsidR="00BC0E7E" w:rsidRPr="00BC0E7E" w:rsidRDefault="00944B8F" w:rsidP="00762FA7">
      <w:pPr>
        <w:ind w:left="540" w:hanging="540"/>
        <w:rPr>
          <w:del w:id="9125" w:author="AbbVie19" w:date="2025-04-17T11:02:00Z"/>
        </w:rPr>
      </w:pPr>
      <w:del w:id="9126" w:author="AbbVie19" w:date="2025-04-17T11:02:00Z">
        <w:r w:rsidRPr="00BC0E7E">
          <w:delText xml:space="preserve">Lot </w:delText>
        </w:r>
      </w:del>
    </w:p>
    <w:p w14:paraId="772E945E" w14:textId="77777777" w:rsidR="00BC0E7E" w:rsidRPr="00BC0E7E" w:rsidRDefault="00BC0E7E" w:rsidP="00762FA7">
      <w:pPr>
        <w:ind w:left="540" w:hanging="540"/>
        <w:rPr>
          <w:del w:id="9127" w:author="AbbVie19" w:date="2025-04-17T11:02:00Z"/>
        </w:rPr>
      </w:pPr>
    </w:p>
    <w:p w14:paraId="50FEC1C6" w14:textId="77777777" w:rsidR="00BC0E7E" w:rsidRPr="00BC0E7E" w:rsidRDefault="00BC0E7E" w:rsidP="00762FA7">
      <w:pPr>
        <w:ind w:left="540" w:hanging="540"/>
        <w:rPr>
          <w:del w:id="9128" w:author="AbbVie19" w:date="2025-04-17T11:02:00Z"/>
        </w:rPr>
      </w:pPr>
    </w:p>
    <w:p w14:paraId="585CAADC"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129" w:author="AbbVie19" w:date="2025-04-17T11:02:00Z"/>
          <w:b/>
          <w:caps/>
          <w:szCs w:val="20"/>
        </w:rPr>
      </w:pPr>
      <w:del w:id="9130" w:author="AbbVie19" w:date="2025-04-17T11:02:00Z">
        <w:r w:rsidRPr="00BC0E7E">
          <w:rPr>
            <w:b/>
            <w:caps/>
            <w:szCs w:val="20"/>
          </w:rPr>
          <w:delText>5.</w:delText>
        </w:r>
        <w:r w:rsidRPr="00BC0E7E">
          <w:rPr>
            <w:b/>
            <w:caps/>
            <w:szCs w:val="20"/>
          </w:rPr>
          <w:tab/>
          <w:delText>CONTENTS BY WEIGHT, BY VOLUME OR BY UNIT</w:delText>
        </w:r>
      </w:del>
    </w:p>
    <w:p w14:paraId="7613A345" w14:textId="77777777" w:rsidR="00BC0E7E" w:rsidRPr="00BC0E7E" w:rsidRDefault="00BC0E7E" w:rsidP="00762FA7">
      <w:pPr>
        <w:ind w:left="540" w:hanging="540"/>
        <w:rPr>
          <w:del w:id="9131" w:author="AbbVie19" w:date="2025-04-17T11:02:00Z"/>
        </w:rPr>
      </w:pPr>
    </w:p>
    <w:p w14:paraId="6A6B76BD" w14:textId="77777777" w:rsidR="00BC0E7E" w:rsidRPr="00BC0E7E" w:rsidRDefault="00944B8F" w:rsidP="00762FA7">
      <w:pPr>
        <w:ind w:left="540" w:hanging="540"/>
        <w:rPr>
          <w:del w:id="9132" w:author="AbbVie19" w:date="2025-04-17T11:02:00Z"/>
        </w:rPr>
      </w:pPr>
      <w:del w:id="9133" w:author="AbbVie19" w:date="2025-04-17T11:02:00Z">
        <w:r w:rsidRPr="00BC0E7E">
          <w:delText>40 mg/0.8 ml</w:delText>
        </w:r>
      </w:del>
    </w:p>
    <w:p w14:paraId="37B7276C" w14:textId="77777777" w:rsidR="00BC0E7E" w:rsidRPr="00BC0E7E" w:rsidRDefault="00BC0E7E" w:rsidP="00762FA7">
      <w:pPr>
        <w:ind w:left="540" w:hanging="540"/>
        <w:rPr>
          <w:del w:id="9134" w:author="AbbVie19" w:date="2025-04-17T11:02:00Z"/>
        </w:rPr>
      </w:pPr>
    </w:p>
    <w:p w14:paraId="08703041" w14:textId="77777777" w:rsidR="00BC0E7E" w:rsidRPr="00BC0E7E" w:rsidRDefault="00BC0E7E" w:rsidP="00762FA7">
      <w:pPr>
        <w:ind w:left="540" w:hanging="540"/>
        <w:rPr>
          <w:del w:id="9135" w:author="AbbVie19" w:date="2025-04-17T11:02:00Z"/>
        </w:rPr>
      </w:pPr>
    </w:p>
    <w:p w14:paraId="52F7F52B" w14:textId="77777777" w:rsidR="00BC0E7E" w:rsidRPr="00BC0E7E" w:rsidRDefault="00944B8F" w:rsidP="00762FA7">
      <w:pPr>
        <w:pBdr>
          <w:top w:val="single" w:sz="4" w:space="1" w:color="auto"/>
          <w:left w:val="single" w:sz="4" w:space="4" w:color="auto"/>
          <w:bottom w:val="single" w:sz="4" w:space="1" w:color="auto"/>
          <w:right w:val="single" w:sz="4" w:space="4" w:color="auto"/>
        </w:pBdr>
        <w:rPr>
          <w:del w:id="9136" w:author="AbbVie19" w:date="2025-04-17T11:02:00Z"/>
          <w:b/>
          <w:caps/>
          <w:szCs w:val="20"/>
        </w:rPr>
      </w:pPr>
      <w:del w:id="9137" w:author="AbbVie19" w:date="2025-04-17T11:02:00Z">
        <w:r w:rsidRPr="00BC0E7E">
          <w:rPr>
            <w:b/>
            <w:caps/>
            <w:szCs w:val="20"/>
          </w:rPr>
          <w:delText>6.</w:delText>
        </w:r>
        <w:r w:rsidRPr="00BC0E7E">
          <w:rPr>
            <w:b/>
            <w:caps/>
            <w:szCs w:val="20"/>
          </w:rPr>
          <w:tab/>
          <w:delText>OTHER</w:delText>
        </w:r>
      </w:del>
    </w:p>
    <w:p w14:paraId="0D855E5F" w14:textId="77777777" w:rsidR="00BC0E7E" w:rsidRPr="00BC0E7E" w:rsidRDefault="00BC0E7E" w:rsidP="00762FA7">
      <w:pPr>
        <w:ind w:left="540" w:hanging="540"/>
        <w:rPr>
          <w:del w:id="9138" w:author="AbbVie19" w:date="2025-04-17T11:02:00Z"/>
        </w:rPr>
      </w:pPr>
    </w:p>
    <w:p w14:paraId="50821DA1" w14:textId="77777777" w:rsidR="00BC0E7E" w:rsidRPr="00BC0E7E" w:rsidRDefault="00BC0E7E" w:rsidP="00762FA7">
      <w:pPr>
        <w:ind w:left="540" w:hanging="540"/>
        <w:rPr>
          <w:del w:id="9139" w:author="AbbVie19" w:date="2025-04-17T11:02:00Z"/>
        </w:rPr>
      </w:pPr>
    </w:p>
    <w:p w14:paraId="2AB78F64" w14:textId="77777777" w:rsidR="00BC0E7E" w:rsidRPr="00BC0E7E" w:rsidRDefault="00944B8F" w:rsidP="00762FA7">
      <w:pPr>
        <w:pBdr>
          <w:top w:val="single" w:sz="4" w:space="1" w:color="auto"/>
          <w:left w:val="single" w:sz="4" w:space="4" w:color="auto"/>
          <w:bottom w:val="single" w:sz="4" w:space="1" w:color="auto"/>
          <w:right w:val="single" w:sz="4" w:space="4" w:color="auto"/>
        </w:pBdr>
        <w:tabs>
          <w:tab w:val="clear" w:pos="562"/>
        </w:tabs>
        <w:rPr>
          <w:del w:id="9140" w:author="AbbVie19" w:date="2025-04-17T11:02:00Z"/>
          <w:b/>
          <w:caps/>
          <w:szCs w:val="20"/>
        </w:rPr>
      </w:pPr>
      <w:del w:id="9141" w:author="AbbVie19" w:date="2025-04-17T11:02:00Z">
        <w:r w:rsidRPr="00BC0E7E">
          <w:rPr>
            <w:caps/>
            <w:szCs w:val="20"/>
          </w:rPr>
          <w:br w:type="page"/>
        </w:r>
        <w:r w:rsidRPr="00BC0E7E">
          <w:rPr>
            <w:b/>
            <w:caps/>
            <w:szCs w:val="20"/>
          </w:rPr>
          <w:lastRenderedPageBreak/>
          <w:delText>PARTICULARS TO APPEAR ON THE OUTER PACKAGING OR, WHERE THERE IS NO OUTER PACKAGING, ON THE IMMEDIATE PACKAGING</w:delText>
        </w:r>
      </w:del>
    </w:p>
    <w:p w14:paraId="5F04CA5D" w14:textId="77777777" w:rsidR="00BC0E7E" w:rsidRPr="00BC0E7E" w:rsidRDefault="00BC0E7E" w:rsidP="005C0D2E">
      <w:pPr>
        <w:pBdr>
          <w:top w:val="single" w:sz="4" w:space="1" w:color="auto"/>
          <w:left w:val="single" w:sz="4" w:space="4" w:color="auto"/>
          <w:bottom w:val="single" w:sz="4" w:space="1" w:color="auto"/>
          <w:right w:val="single" w:sz="4" w:space="4" w:color="auto"/>
        </w:pBdr>
        <w:ind w:left="561" w:hanging="561"/>
        <w:rPr>
          <w:del w:id="9142" w:author="AbbVie19" w:date="2025-04-17T11:02:00Z"/>
          <w:caps/>
          <w:szCs w:val="20"/>
        </w:rPr>
      </w:pPr>
    </w:p>
    <w:p w14:paraId="55D44639" w14:textId="77777777" w:rsidR="00BC0E7E" w:rsidRPr="00BC0E7E" w:rsidRDefault="00944B8F" w:rsidP="00762FA7">
      <w:pPr>
        <w:keepLines/>
        <w:pBdr>
          <w:top w:val="single" w:sz="4" w:space="1" w:color="auto"/>
          <w:left w:val="single" w:sz="4" w:space="4" w:color="auto"/>
          <w:bottom w:val="single" w:sz="4" w:space="1" w:color="auto"/>
          <w:right w:val="single" w:sz="4" w:space="4" w:color="auto"/>
        </w:pBdr>
        <w:ind w:left="540" w:hanging="540"/>
        <w:outlineLvl w:val="2"/>
        <w:rPr>
          <w:del w:id="9143" w:author="AbbVie19" w:date="2025-04-17T11:02:00Z"/>
          <w:b/>
          <w:bCs/>
          <w:szCs w:val="26"/>
        </w:rPr>
      </w:pPr>
      <w:del w:id="9144" w:author="AbbVie19" w:date="2025-04-17T11:02:00Z">
        <w:r w:rsidRPr="00BC0E7E">
          <w:rPr>
            <w:b/>
            <w:bCs/>
            <w:szCs w:val="26"/>
          </w:rPr>
          <w:delText>OUTER CARTON</w:delText>
        </w:r>
      </w:del>
    </w:p>
    <w:p w14:paraId="4B96DCE3" w14:textId="77777777" w:rsidR="00BC0E7E" w:rsidRPr="00BC0E7E" w:rsidRDefault="00BC0E7E" w:rsidP="00762FA7">
      <w:pPr>
        <w:ind w:left="540" w:hanging="540"/>
        <w:rPr>
          <w:del w:id="9145" w:author="AbbVie19" w:date="2025-04-17T11:02:00Z"/>
        </w:rPr>
      </w:pPr>
    </w:p>
    <w:p w14:paraId="75A4C4AE" w14:textId="77777777" w:rsidR="00BC0E7E" w:rsidRPr="00BC0E7E" w:rsidRDefault="00BC0E7E" w:rsidP="00762FA7">
      <w:pPr>
        <w:ind w:left="540" w:hanging="540"/>
        <w:rPr>
          <w:del w:id="9146" w:author="AbbVie19" w:date="2025-04-17T11:02:00Z"/>
        </w:rPr>
      </w:pPr>
    </w:p>
    <w:p w14:paraId="4D1A4DB5" w14:textId="77777777" w:rsidR="00BC0E7E" w:rsidRPr="00BC0E7E" w:rsidRDefault="00944B8F" w:rsidP="005C0D2E">
      <w:pPr>
        <w:pBdr>
          <w:top w:val="single" w:sz="4" w:space="1" w:color="auto"/>
          <w:left w:val="single" w:sz="4" w:space="4" w:color="auto"/>
          <w:bottom w:val="single" w:sz="4" w:space="1" w:color="auto"/>
          <w:right w:val="single" w:sz="4" w:space="4" w:color="auto"/>
        </w:pBdr>
        <w:ind w:left="561" w:hanging="561"/>
        <w:rPr>
          <w:del w:id="9147" w:author="AbbVie19" w:date="2025-04-17T11:02:00Z"/>
          <w:b/>
          <w:caps/>
          <w:szCs w:val="20"/>
        </w:rPr>
      </w:pPr>
      <w:del w:id="9148" w:author="AbbVie19" w:date="2025-04-17T11:02:00Z">
        <w:r w:rsidRPr="00BC0E7E">
          <w:rPr>
            <w:b/>
            <w:caps/>
            <w:szCs w:val="20"/>
          </w:rPr>
          <w:delText>1.</w:delText>
        </w:r>
        <w:r w:rsidRPr="00BC0E7E">
          <w:rPr>
            <w:b/>
            <w:caps/>
            <w:szCs w:val="20"/>
          </w:rPr>
          <w:tab/>
          <w:delText>NAME OF THE MEDICINAL PRODUCT</w:delText>
        </w:r>
      </w:del>
    </w:p>
    <w:p w14:paraId="0523F465" w14:textId="77777777" w:rsidR="00BC0E7E" w:rsidRPr="00BC0E7E" w:rsidRDefault="00BC0E7E" w:rsidP="00762FA7">
      <w:pPr>
        <w:ind w:left="540" w:hanging="540"/>
        <w:rPr>
          <w:del w:id="9149" w:author="AbbVie19" w:date="2025-04-17T11:02:00Z"/>
        </w:rPr>
      </w:pPr>
    </w:p>
    <w:p w14:paraId="4F637FC9" w14:textId="77777777" w:rsidR="00BC0E7E" w:rsidRPr="00BC0E7E" w:rsidRDefault="00944B8F" w:rsidP="00762FA7">
      <w:pPr>
        <w:ind w:left="540" w:hanging="540"/>
        <w:rPr>
          <w:del w:id="9150" w:author="AbbVie19" w:date="2025-04-17T11:02:00Z"/>
        </w:rPr>
      </w:pPr>
      <w:del w:id="9151" w:author="AbbVie19" w:date="2025-04-17T11:02:00Z">
        <w:r w:rsidRPr="00BC0E7E">
          <w:delText>Humira 40 mg solution for injection in pre-filled syringe</w:delText>
        </w:r>
      </w:del>
    </w:p>
    <w:p w14:paraId="372A2B98" w14:textId="77777777" w:rsidR="00BC0E7E" w:rsidRPr="00BC0E7E" w:rsidRDefault="00944B8F" w:rsidP="00762FA7">
      <w:pPr>
        <w:ind w:left="540" w:hanging="540"/>
        <w:rPr>
          <w:del w:id="9152" w:author="AbbVie19" w:date="2025-04-17T11:02:00Z"/>
        </w:rPr>
      </w:pPr>
      <w:del w:id="9153" w:author="AbbVie19" w:date="2025-04-17T11:02:00Z">
        <w:r w:rsidRPr="00BC0E7E">
          <w:delText>adalimumab</w:delText>
        </w:r>
      </w:del>
    </w:p>
    <w:p w14:paraId="67D73D6F" w14:textId="77777777" w:rsidR="00BC0E7E" w:rsidRPr="00BC0E7E" w:rsidRDefault="00BC0E7E" w:rsidP="00762FA7">
      <w:pPr>
        <w:ind w:left="540" w:hanging="540"/>
        <w:rPr>
          <w:del w:id="9154" w:author="AbbVie19" w:date="2025-04-17T11:02:00Z"/>
        </w:rPr>
      </w:pPr>
    </w:p>
    <w:p w14:paraId="475CB5A6" w14:textId="77777777" w:rsidR="00BC0E7E" w:rsidRPr="00BC0E7E" w:rsidRDefault="00BC0E7E" w:rsidP="00762FA7">
      <w:pPr>
        <w:ind w:left="540" w:hanging="540"/>
        <w:rPr>
          <w:del w:id="9155" w:author="AbbVie19" w:date="2025-04-17T11:02:00Z"/>
        </w:rPr>
      </w:pPr>
    </w:p>
    <w:p w14:paraId="4AB1717A"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156" w:author="AbbVie19" w:date="2025-04-17T11:02:00Z"/>
          <w:b/>
          <w:caps/>
          <w:szCs w:val="20"/>
        </w:rPr>
      </w:pPr>
      <w:del w:id="9157" w:author="AbbVie19" w:date="2025-04-17T11:02:00Z">
        <w:r w:rsidRPr="00BC0E7E">
          <w:rPr>
            <w:b/>
            <w:caps/>
            <w:szCs w:val="20"/>
          </w:rPr>
          <w:delText>2.</w:delText>
        </w:r>
        <w:r w:rsidRPr="00BC0E7E">
          <w:rPr>
            <w:b/>
            <w:caps/>
            <w:szCs w:val="20"/>
          </w:rPr>
          <w:tab/>
          <w:delText>STATEMENT OF ACTIVE SUBSTANCE</w:delText>
        </w:r>
      </w:del>
    </w:p>
    <w:p w14:paraId="145B3CCD" w14:textId="77777777" w:rsidR="00BC0E7E" w:rsidRPr="00BC0E7E" w:rsidRDefault="00BC0E7E" w:rsidP="00762FA7">
      <w:pPr>
        <w:ind w:left="540" w:hanging="540"/>
        <w:rPr>
          <w:del w:id="9158" w:author="AbbVie19" w:date="2025-04-17T11:02:00Z"/>
        </w:rPr>
      </w:pPr>
    </w:p>
    <w:p w14:paraId="0B383208" w14:textId="77777777" w:rsidR="00BC0E7E" w:rsidRPr="00BC0E7E" w:rsidRDefault="00944B8F" w:rsidP="00762FA7">
      <w:pPr>
        <w:ind w:left="540" w:hanging="540"/>
        <w:rPr>
          <w:del w:id="9159" w:author="AbbVie19" w:date="2025-04-17T11:02:00Z"/>
        </w:rPr>
      </w:pPr>
      <w:del w:id="9160" w:author="AbbVie19" w:date="2025-04-17T11:02:00Z">
        <w:r w:rsidRPr="00BC0E7E">
          <w:delText>One 0.8 ml pre-filled syringe with needle</w:delText>
        </w:r>
        <w:r w:rsidR="00A62F16">
          <w:delText xml:space="preserve"> </w:delText>
        </w:r>
        <w:r w:rsidRPr="00BC0E7E">
          <w:delText>guard contains 40 mg adalimumab</w:delText>
        </w:r>
        <w:r w:rsidR="007746CB">
          <w:delText>.</w:delText>
        </w:r>
      </w:del>
    </w:p>
    <w:p w14:paraId="05E4212B" w14:textId="77777777" w:rsidR="00BC0E7E" w:rsidRPr="00BC0E7E" w:rsidRDefault="00BC0E7E" w:rsidP="00762FA7">
      <w:pPr>
        <w:ind w:left="540" w:hanging="540"/>
        <w:rPr>
          <w:del w:id="9161" w:author="AbbVie19" w:date="2025-04-17T11:02:00Z"/>
        </w:rPr>
      </w:pPr>
    </w:p>
    <w:p w14:paraId="1BD9344F" w14:textId="77777777" w:rsidR="00BC0E7E" w:rsidRPr="00BC0E7E" w:rsidRDefault="00BC0E7E" w:rsidP="00762FA7">
      <w:pPr>
        <w:ind w:left="540" w:hanging="540"/>
        <w:rPr>
          <w:del w:id="9162" w:author="AbbVie19" w:date="2025-04-17T11:02:00Z"/>
        </w:rPr>
      </w:pPr>
    </w:p>
    <w:p w14:paraId="76B86B53"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163" w:author="AbbVie19" w:date="2025-04-17T11:02:00Z"/>
          <w:b/>
          <w:caps/>
          <w:szCs w:val="20"/>
        </w:rPr>
      </w:pPr>
      <w:del w:id="9164" w:author="AbbVie19" w:date="2025-04-17T11:02:00Z">
        <w:r w:rsidRPr="00BC0E7E">
          <w:rPr>
            <w:b/>
            <w:caps/>
            <w:szCs w:val="20"/>
          </w:rPr>
          <w:delText>3.</w:delText>
        </w:r>
        <w:r w:rsidRPr="00BC0E7E">
          <w:rPr>
            <w:b/>
            <w:caps/>
            <w:szCs w:val="20"/>
          </w:rPr>
          <w:tab/>
          <w:delText>LIST OF EXCIPIENTS</w:delText>
        </w:r>
      </w:del>
    </w:p>
    <w:p w14:paraId="1BFA4AF0" w14:textId="77777777" w:rsidR="00BC0E7E" w:rsidRPr="00BC0E7E" w:rsidRDefault="00BC0E7E" w:rsidP="00762FA7">
      <w:pPr>
        <w:rPr>
          <w:del w:id="9165" w:author="AbbVie19" w:date="2025-04-17T11:02:00Z"/>
        </w:rPr>
      </w:pPr>
    </w:p>
    <w:p w14:paraId="6C198F5C" w14:textId="77777777" w:rsidR="00BC0E7E" w:rsidRPr="00BC0E7E" w:rsidRDefault="00944B8F" w:rsidP="00762FA7">
      <w:pPr>
        <w:rPr>
          <w:del w:id="9166" w:author="AbbVie19" w:date="2025-04-17T11:02:00Z"/>
        </w:rPr>
      </w:pPr>
      <w:del w:id="9167" w:author="AbbVie19" w:date="2025-04-17T11:02:00Z">
        <w:r w:rsidRPr="00BC0E7E">
          <w:delText>Excipients: mannitol, citric acid monohydrate, sodium citrate, sodium dihydrogen phosphate dihydrate, disodium phosphate dihydrate, sodium chloride, polysorbate 80, sodium hydroxide and water for injections. See leaflet for further information.</w:delText>
        </w:r>
      </w:del>
    </w:p>
    <w:p w14:paraId="2B9DA2C7" w14:textId="77777777" w:rsidR="00BC0E7E" w:rsidRPr="00BC0E7E" w:rsidRDefault="00BC0E7E" w:rsidP="00762FA7">
      <w:pPr>
        <w:rPr>
          <w:del w:id="9168" w:author="AbbVie19" w:date="2025-04-17T11:02:00Z"/>
        </w:rPr>
      </w:pPr>
    </w:p>
    <w:p w14:paraId="597A6490" w14:textId="77777777" w:rsidR="00BC0E7E" w:rsidRPr="00BC0E7E" w:rsidRDefault="00BC0E7E" w:rsidP="00762FA7">
      <w:pPr>
        <w:rPr>
          <w:del w:id="9169" w:author="AbbVie19" w:date="2025-04-17T11:02:00Z"/>
        </w:rPr>
      </w:pPr>
    </w:p>
    <w:p w14:paraId="4770D1F6"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170" w:author="AbbVie19" w:date="2025-04-17T11:02:00Z"/>
          <w:b/>
          <w:caps/>
          <w:szCs w:val="20"/>
        </w:rPr>
      </w:pPr>
      <w:del w:id="9171" w:author="AbbVie19" w:date="2025-04-17T11:02:00Z">
        <w:r w:rsidRPr="00BC0E7E">
          <w:rPr>
            <w:b/>
            <w:caps/>
            <w:szCs w:val="20"/>
          </w:rPr>
          <w:delText>4.</w:delText>
        </w:r>
        <w:r w:rsidRPr="00BC0E7E">
          <w:rPr>
            <w:b/>
            <w:caps/>
            <w:szCs w:val="20"/>
          </w:rPr>
          <w:tab/>
          <w:delText>PHARMACEUTICAL FORM AND CONTENTS</w:delText>
        </w:r>
      </w:del>
    </w:p>
    <w:p w14:paraId="4E33A88D" w14:textId="77777777" w:rsidR="00BC0E7E" w:rsidRPr="00BC0E7E" w:rsidRDefault="00BC0E7E" w:rsidP="00762FA7">
      <w:pPr>
        <w:ind w:left="540" w:hanging="540"/>
        <w:rPr>
          <w:del w:id="9172" w:author="AbbVie19" w:date="2025-04-17T11:02:00Z"/>
        </w:rPr>
      </w:pPr>
    </w:p>
    <w:p w14:paraId="2ED60F6D" w14:textId="77777777" w:rsidR="00DC6624" w:rsidRDefault="00944B8F" w:rsidP="00762FA7">
      <w:pPr>
        <w:autoSpaceDE w:val="0"/>
        <w:autoSpaceDN w:val="0"/>
        <w:adjustRightInd w:val="0"/>
        <w:rPr>
          <w:del w:id="9173" w:author="AbbVie19" w:date="2025-04-17T11:02:00Z"/>
        </w:rPr>
      </w:pPr>
      <w:del w:id="9174" w:author="AbbVie19" w:date="2025-04-17T11:02:00Z">
        <w:r w:rsidRPr="00925C36">
          <w:rPr>
            <w:highlight w:val="lightGray"/>
          </w:rPr>
          <w:delText>Solution for injection</w:delText>
        </w:r>
      </w:del>
    </w:p>
    <w:p w14:paraId="651A9925" w14:textId="77777777" w:rsidR="00BC0E7E" w:rsidRPr="00BC0E7E" w:rsidRDefault="00944B8F" w:rsidP="00762FA7">
      <w:pPr>
        <w:ind w:left="540" w:hanging="540"/>
        <w:rPr>
          <w:del w:id="9175" w:author="AbbVie19" w:date="2025-04-17T11:02:00Z"/>
        </w:rPr>
      </w:pPr>
      <w:del w:id="9176" w:author="AbbVie19" w:date="2025-04-17T11:02:00Z">
        <w:r w:rsidRPr="00BC0E7E">
          <w:delText>1 pre-filled syringe</w:delText>
        </w:r>
      </w:del>
    </w:p>
    <w:p w14:paraId="48720465" w14:textId="77777777" w:rsidR="00BC0E7E" w:rsidRPr="00BC0E7E" w:rsidRDefault="00944B8F" w:rsidP="00762FA7">
      <w:pPr>
        <w:ind w:left="540" w:hanging="540"/>
        <w:rPr>
          <w:del w:id="9177" w:author="AbbVie19" w:date="2025-04-17T11:02:00Z"/>
        </w:rPr>
      </w:pPr>
      <w:del w:id="9178" w:author="AbbVie19" w:date="2025-04-17T11:02:00Z">
        <w:r w:rsidRPr="00BC0E7E">
          <w:delText>1 alcohol pad</w:delText>
        </w:r>
      </w:del>
    </w:p>
    <w:p w14:paraId="591F7C5E" w14:textId="77777777" w:rsidR="00BC0E7E" w:rsidRPr="00BC0E7E" w:rsidRDefault="00BC0E7E" w:rsidP="00762FA7">
      <w:pPr>
        <w:ind w:left="540" w:hanging="540"/>
        <w:rPr>
          <w:del w:id="9179" w:author="AbbVie19" w:date="2025-04-17T11:02:00Z"/>
        </w:rPr>
      </w:pPr>
    </w:p>
    <w:p w14:paraId="27F30EA5" w14:textId="77777777" w:rsidR="00BC0E7E" w:rsidRPr="00BC0E7E" w:rsidRDefault="00BC0E7E" w:rsidP="00762FA7">
      <w:pPr>
        <w:ind w:left="540" w:hanging="540"/>
        <w:rPr>
          <w:del w:id="9180" w:author="AbbVie19" w:date="2025-04-17T11:02:00Z"/>
        </w:rPr>
      </w:pPr>
    </w:p>
    <w:p w14:paraId="3285AA62"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181" w:author="AbbVie19" w:date="2025-04-17T11:02:00Z"/>
          <w:b/>
          <w:caps/>
          <w:szCs w:val="20"/>
        </w:rPr>
      </w:pPr>
      <w:del w:id="9182" w:author="AbbVie19" w:date="2025-04-17T11:02:00Z">
        <w:r w:rsidRPr="00BC0E7E">
          <w:rPr>
            <w:b/>
            <w:caps/>
            <w:szCs w:val="20"/>
          </w:rPr>
          <w:delText>5.</w:delText>
        </w:r>
        <w:r w:rsidRPr="00BC0E7E">
          <w:rPr>
            <w:b/>
            <w:caps/>
            <w:szCs w:val="20"/>
          </w:rPr>
          <w:tab/>
          <w:delText>METHOD AND ROUTE OF ADMINISTRATION</w:delText>
        </w:r>
      </w:del>
    </w:p>
    <w:p w14:paraId="4CE62E4B" w14:textId="77777777" w:rsidR="00BC0E7E" w:rsidRPr="00BC0E7E" w:rsidRDefault="00BC0E7E" w:rsidP="00762FA7">
      <w:pPr>
        <w:ind w:left="540" w:hanging="540"/>
        <w:rPr>
          <w:del w:id="9183" w:author="AbbVie19" w:date="2025-04-17T11:02:00Z"/>
        </w:rPr>
      </w:pPr>
    </w:p>
    <w:p w14:paraId="358AD208" w14:textId="77777777" w:rsidR="00BC0E7E" w:rsidRPr="00BC0E7E" w:rsidRDefault="00944B8F" w:rsidP="00762FA7">
      <w:pPr>
        <w:ind w:left="540" w:hanging="540"/>
        <w:rPr>
          <w:del w:id="9184" w:author="AbbVie19" w:date="2025-04-17T11:02:00Z"/>
        </w:rPr>
      </w:pPr>
      <w:del w:id="9185" w:author="AbbVie19" w:date="2025-04-17T11:02:00Z">
        <w:r w:rsidRPr="00BC0E7E">
          <w:delText>Subcutaneous use</w:delText>
        </w:r>
      </w:del>
    </w:p>
    <w:p w14:paraId="29A84E21" w14:textId="77777777" w:rsidR="00BC0E7E" w:rsidRPr="00BC0E7E" w:rsidRDefault="00BC0E7E" w:rsidP="00762FA7">
      <w:pPr>
        <w:ind w:left="540" w:hanging="540"/>
        <w:rPr>
          <w:del w:id="9186" w:author="AbbVie19" w:date="2025-04-17T11:02:00Z"/>
        </w:rPr>
      </w:pPr>
    </w:p>
    <w:p w14:paraId="38CA1DEF" w14:textId="77777777" w:rsidR="00BC0E7E" w:rsidRPr="00BC0E7E" w:rsidRDefault="00944B8F" w:rsidP="00762FA7">
      <w:pPr>
        <w:ind w:left="540" w:hanging="540"/>
        <w:rPr>
          <w:del w:id="9187" w:author="AbbVie19" w:date="2025-04-17T11:02:00Z"/>
        </w:rPr>
      </w:pPr>
      <w:del w:id="9188" w:author="AbbVie19" w:date="2025-04-17T11:02:00Z">
        <w:r w:rsidRPr="00BC0E7E">
          <w:delText>Read the package leaflet before use.</w:delText>
        </w:r>
      </w:del>
    </w:p>
    <w:p w14:paraId="3CEB1A6A" w14:textId="77777777" w:rsidR="00BC0E7E" w:rsidRPr="00BC0E7E" w:rsidRDefault="00BC0E7E" w:rsidP="00762FA7">
      <w:pPr>
        <w:ind w:left="540" w:hanging="540"/>
        <w:rPr>
          <w:del w:id="9189" w:author="AbbVie19" w:date="2025-04-17T11:02:00Z"/>
        </w:rPr>
      </w:pPr>
    </w:p>
    <w:p w14:paraId="22611E04" w14:textId="77777777" w:rsidR="00DC6624" w:rsidRDefault="00944B8F" w:rsidP="00762FA7">
      <w:pPr>
        <w:ind w:left="540" w:hanging="540"/>
        <w:rPr>
          <w:del w:id="9190" w:author="AbbVie19" w:date="2025-04-17T11:02:00Z"/>
        </w:rPr>
      </w:pPr>
      <w:del w:id="9191" w:author="AbbVie19" w:date="2025-04-17T11:02:00Z">
        <w:r w:rsidRPr="002A3533">
          <w:delText>For single use only</w:delText>
        </w:r>
        <w:r w:rsidR="001A243F">
          <w:delText>.</w:delText>
        </w:r>
      </w:del>
    </w:p>
    <w:p w14:paraId="02C93A33" w14:textId="77777777" w:rsidR="00DC6624" w:rsidRDefault="00DC6624" w:rsidP="00762FA7">
      <w:pPr>
        <w:ind w:left="540" w:hanging="540"/>
        <w:rPr>
          <w:del w:id="9192" w:author="AbbVie19" w:date="2025-04-17T11:02:00Z"/>
        </w:rPr>
      </w:pPr>
    </w:p>
    <w:p w14:paraId="7CCA7996" w14:textId="77777777" w:rsidR="00DC6624" w:rsidRDefault="00944B8F" w:rsidP="00762FA7">
      <w:pPr>
        <w:ind w:left="540" w:hanging="540"/>
        <w:rPr>
          <w:del w:id="9193" w:author="AbbVie19" w:date="2025-04-17T11:02:00Z"/>
        </w:rPr>
      </w:pPr>
      <w:del w:id="9194" w:author="AbbVie19" w:date="2025-04-17T11:02:00Z">
        <w:r>
          <w:delText>With needle</w:delText>
        </w:r>
        <w:r w:rsidR="00A62F16">
          <w:delText xml:space="preserve"> </w:delText>
        </w:r>
        <w:r>
          <w:delText>guard</w:delText>
        </w:r>
        <w:r w:rsidR="00A62F16">
          <w:delText>.</w:delText>
        </w:r>
      </w:del>
    </w:p>
    <w:p w14:paraId="7EA75F22" w14:textId="77777777" w:rsidR="00DC6624" w:rsidRDefault="00DC6624" w:rsidP="00762FA7">
      <w:pPr>
        <w:ind w:left="540" w:hanging="540"/>
        <w:rPr>
          <w:del w:id="9195" w:author="AbbVie19" w:date="2025-04-17T11:02:00Z"/>
        </w:rPr>
      </w:pPr>
    </w:p>
    <w:p w14:paraId="75F9A4FE" w14:textId="77777777" w:rsidR="00BC0E7E" w:rsidRPr="00BC0E7E" w:rsidRDefault="00BC0E7E" w:rsidP="00762FA7">
      <w:pPr>
        <w:ind w:left="540" w:hanging="540"/>
        <w:rPr>
          <w:del w:id="9196" w:author="AbbVie19" w:date="2025-04-17T11:02:00Z"/>
        </w:rPr>
      </w:pPr>
    </w:p>
    <w:p w14:paraId="053B980B"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50" w:hanging="550"/>
        <w:rPr>
          <w:del w:id="9197" w:author="AbbVie19" w:date="2025-04-17T11:02:00Z"/>
          <w:b/>
          <w:caps/>
          <w:szCs w:val="20"/>
        </w:rPr>
      </w:pPr>
      <w:del w:id="9198" w:author="AbbVie19" w:date="2025-04-17T11:02:00Z">
        <w:r w:rsidRPr="00BC0E7E">
          <w:rPr>
            <w:b/>
            <w:caps/>
            <w:szCs w:val="20"/>
          </w:rPr>
          <w:delText>6.</w:delText>
        </w:r>
        <w:r w:rsidRPr="00BC0E7E">
          <w:rPr>
            <w:b/>
            <w:caps/>
            <w:szCs w:val="20"/>
          </w:rPr>
          <w:tab/>
          <w:delText>SPECIAL WARNING THAT THE MEDICINAL PRODUCT MUST BE STORED OUT OF THE SIGHT AND REACH OF CHILDREN</w:delText>
        </w:r>
      </w:del>
    </w:p>
    <w:p w14:paraId="5A448389" w14:textId="77777777" w:rsidR="00BC0E7E" w:rsidRPr="00BC0E7E" w:rsidRDefault="00BC0E7E" w:rsidP="00762FA7">
      <w:pPr>
        <w:ind w:left="540" w:hanging="540"/>
        <w:rPr>
          <w:del w:id="9199" w:author="AbbVie19" w:date="2025-04-17T11:02:00Z"/>
        </w:rPr>
      </w:pPr>
    </w:p>
    <w:p w14:paraId="1176F8B0" w14:textId="77777777" w:rsidR="00BC0E7E" w:rsidRPr="00BC0E7E" w:rsidRDefault="00944B8F" w:rsidP="00762FA7">
      <w:pPr>
        <w:ind w:left="540" w:hanging="540"/>
        <w:rPr>
          <w:del w:id="9200" w:author="AbbVie19" w:date="2025-04-17T11:02:00Z"/>
        </w:rPr>
      </w:pPr>
      <w:del w:id="9201" w:author="AbbVie19" w:date="2025-04-17T11:02:00Z">
        <w:r w:rsidRPr="00BC0E7E">
          <w:delText>Keep out of the sight and reach of children.</w:delText>
        </w:r>
      </w:del>
    </w:p>
    <w:p w14:paraId="1C2F2A38" w14:textId="77777777" w:rsidR="00BC0E7E" w:rsidRPr="00BC0E7E" w:rsidRDefault="00BC0E7E" w:rsidP="00762FA7">
      <w:pPr>
        <w:ind w:left="540" w:hanging="540"/>
        <w:rPr>
          <w:del w:id="9202" w:author="AbbVie19" w:date="2025-04-17T11:02:00Z"/>
        </w:rPr>
      </w:pPr>
    </w:p>
    <w:p w14:paraId="5873553F" w14:textId="77777777" w:rsidR="00BC0E7E" w:rsidRPr="00BC0E7E" w:rsidRDefault="00BC0E7E" w:rsidP="00762FA7">
      <w:pPr>
        <w:ind w:left="540" w:hanging="540"/>
        <w:rPr>
          <w:del w:id="9203" w:author="AbbVie19" w:date="2025-04-17T11:02:00Z"/>
        </w:rPr>
      </w:pPr>
    </w:p>
    <w:p w14:paraId="5B9A46D9"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204" w:author="AbbVie19" w:date="2025-04-17T11:02:00Z"/>
          <w:b/>
          <w:caps/>
          <w:szCs w:val="20"/>
        </w:rPr>
      </w:pPr>
      <w:del w:id="9205" w:author="AbbVie19" w:date="2025-04-17T11:02:00Z">
        <w:r w:rsidRPr="00BC0E7E">
          <w:rPr>
            <w:b/>
            <w:caps/>
            <w:szCs w:val="20"/>
          </w:rPr>
          <w:delText>7.</w:delText>
        </w:r>
        <w:r w:rsidRPr="00BC0E7E">
          <w:rPr>
            <w:b/>
            <w:caps/>
            <w:szCs w:val="20"/>
          </w:rPr>
          <w:tab/>
          <w:delText>OTHER SPECIAL WARNING, IF NECESSARY</w:delText>
        </w:r>
      </w:del>
    </w:p>
    <w:p w14:paraId="489CE16D" w14:textId="77777777" w:rsidR="00BC0E7E" w:rsidRPr="00BC0E7E" w:rsidRDefault="00BC0E7E" w:rsidP="00762FA7">
      <w:pPr>
        <w:ind w:left="540" w:hanging="540"/>
        <w:rPr>
          <w:del w:id="9206" w:author="AbbVie19" w:date="2025-04-17T11:02:00Z"/>
        </w:rPr>
      </w:pPr>
    </w:p>
    <w:p w14:paraId="4580F055" w14:textId="77777777" w:rsidR="00BC0E7E" w:rsidRPr="00BC0E7E" w:rsidRDefault="00BC0E7E" w:rsidP="00762FA7">
      <w:pPr>
        <w:ind w:left="540" w:hanging="540"/>
        <w:rPr>
          <w:del w:id="9207" w:author="AbbVie19" w:date="2025-04-17T11:02:00Z"/>
        </w:rPr>
      </w:pPr>
    </w:p>
    <w:p w14:paraId="7E90CFA2" w14:textId="77777777" w:rsidR="00BC0E7E" w:rsidRPr="00BC0E7E" w:rsidRDefault="00944B8F" w:rsidP="005C0D2E">
      <w:pPr>
        <w:pBdr>
          <w:top w:val="single" w:sz="4" w:space="1" w:color="auto"/>
          <w:left w:val="single" w:sz="4" w:space="4" w:color="auto"/>
          <w:bottom w:val="single" w:sz="4" w:space="1" w:color="auto"/>
          <w:right w:val="single" w:sz="4" w:space="4" w:color="auto"/>
        </w:pBdr>
        <w:ind w:left="561" w:hanging="561"/>
        <w:rPr>
          <w:del w:id="9208" w:author="AbbVie19" w:date="2025-04-17T11:02:00Z"/>
          <w:b/>
          <w:caps/>
          <w:szCs w:val="20"/>
        </w:rPr>
      </w:pPr>
      <w:del w:id="9209" w:author="AbbVie19" w:date="2025-04-17T11:02:00Z">
        <w:r w:rsidRPr="00BC0E7E">
          <w:rPr>
            <w:b/>
            <w:caps/>
            <w:szCs w:val="20"/>
          </w:rPr>
          <w:lastRenderedPageBreak/>
          <w:delText>8.</w:delText>
        </w:r>
        <w:r w:rsidRPr="00BC0E7E">
          <w:rPr>
            <w:b/>
            <w:caps/>
            <w:szCs w:val="20"/>
          </w:rPr>
          <w:tab/>
          <w:delText>EXPIRY DATE</w:delText>
        </w:r>
      </w:del>
    </w:p>
    <w:p w14:paraId="147A6321" w14:textId="77777777" w:rsidR="00BC0E7E" w:rsidRPr="00BC0E7E" w:rsidRDefault="00BC0E7E" w:rsidP="00762FA7">
      <w:pPr>
        <w:ind w:left="540" w:hanging="540"/>
        <w:rPr>
          <w:del w:id="9210" w:author="AbbVie19" w:date="2025-04-17T11:02:00Z"/>
        </w:rPr>
      </w:pPr>
    </w:p>
    <w:p w14:paraId="3639A468" w14:textId="77777777" w:rsidR="00BC0E7E" w:rsidRPr="00BC0E7E" w:rsidRDefault="00944B8F" w:rsidP="00762FA7">
      <w:pPr>
        <w:ind w:left="540" w:hanging="540"/>
        <w:rPr>
          <w:del w:id="9211" w:author="AbbVie19" w:date="2025-04-17T11:02:00Z"/>
        </w:rPr>
      </w:pPr>
      <w:del w:id="9212" w:author="AbbVie19" w:date="2025-04-17T11:02:00Z">
        <w:r w:rsidRPr="00BC0E7E">
          <w:delText>EXP</w:delText>
        </w:r>
      </w:del>
    </w:p>
    <w:p w14:paraId="5C650531" w14:textId="77777777" w:rsidR="00BC0E7E" w:rsidRPr="00BC0E7E" w:rsidRDefault="00BC0E7E" w:rsidP="00762FA7">
      <w:pPr>
        <w:ind w:left="540" w:hanging="540"/>
        <w:rPr>
          <w:del w:id="9213" w:author="AbbVie19" w:date="2025-04-17T11:02:00Z"/>
        </w:rPr>
      </w:pPr>
    </w:p>
    <w:p w14:paraId="2A8519B8" w14:textId="77777777" w:rsidR="00BC0E7E" w:rsidRPr="00BC0E7E" w:rsidRDefault="00BC0E7E" w:rsidP="00762FA7">
      <w:pPr>
        <w:ind w:left="540" w:hanging="540"/>
        <w:rPr>
          <w:del w:id="9214" w:author="AbbVie19" w:date="2025-04-17T11:02:00Z"/>
        </w:rPr>
      </w:pPr>
    </w:p>
    <w:p w14:paraId="4F38776B" w14:textId="77777777" w:rsidR="00BC0E7E" w:rsidRPr="00BC0E7E" w:rsidRDefault="00944B8F" w:rsidP="00762FA7">
      <w:pPr>
        <w:keepNext/>
        <w:pBdr>
          <w:top w:val="single" w:sz="4" w:space="1" w:color="auto"/>
          <w:left w:val="single" w:sz="4" w:space="4" w:color="auto"/>
          <w:bottom w:val="single" w:sz="4" w:space="1" w:color="auto"/>
          <w:right w:val="single" w:sz="4" w:space="4" w:color="auto"/>
        </w:pBdr>
        <w:ind w:left="562" w:hanging="562"/>
        <w:rPr>
          <w:del w:id="9215" w:author="AbbVie19" w:date="2025-04-17T11:02:00Z"/>
          <w:b/>
          <w:caps/>
          <w:szCs w:val="20"/>
        </w:rPr>
      </w:pPr>
      <w:del w:id="9216" w:author="AbbVie19" w:date="2025-04-17T11:02:00Z">
        <w:r w:rsidRPr="00BC0E7E">
          <w:rPr>
            <w:b/>
            <w:caps/>
            <w:szCs w:val="20"/>
          </w:rPr>
          <w:delText>9.</w:delText>
        </w:r>
        <w:r w:rsidRPr="00BC0E7E">
          <w:rPr>
            <w:b/>
            <w:caps/>
            <w:szCs w:val="20"/>
          </w:rPr>
          <w:tab/>
          <w:delText>SPECIAL STORAGE CONDITIONS</w:delText>
        </w:r>
      </w:del>
    </w:p>
    <w:p w14:paraId="444A19F7" w14:textId="77777777" w:rsidR="00BC0E7E" w:rsidRPr="00BC0E7E" w:rsidRDefault="00BC0E7E" w:rsidP="00762FA7">
      <w:pPr>
        <w:keepNext/>
        <w:ind w:left="540" w:hanging="540"/>
        <w:rPr>
          <w:del w:id="9217" w:author="AbbVie19" w:date="2025-04-17T11:02:00Z"/>
        </w:rPr>
      </w:pPr>
    </w:p>
    <w:p w14:paraId="69D2E741" w14:textId="77777777" w:rsidR="00BC0E7E" w:rsidRPr="00BC0E7E" w:rsidRDefault="00944B8F" w:rsidP="00762FA7">
      <w:pPr>
        <w:keepNext/>
        <w:ind w:left="540" w:hanging="540"/>
        <w:rPr>
          <w:del w:id="9218" w:author="AbbVie19" w:date="2025-04-17T11:02:00Z"/>
        </w:rPr>
      </w:pPr>
      <w:del w:id="9219" w:author="AbbVie19" w:date="2025-04-17T11:02:00Z">
        <w:r w:rsidRPr="00BC0E7E">
          <w:delText xml:space="preserve">Store in a refrigerator. Do not freeze. </w:delText>
        </w:r>
      </w:del>
    </w:p>
    <w:p w14:paraId="5AFE903D" w14:textId="77777777" w:rsidR="00BC0E7E" w:rsidRPr="00BC0E7E" w:rsidRDefault="00944B8F" w:rsidP="00762FA7">
      <w:pPr>
        <w:keepNext/>
        <w:rPr>
          <w:del w:id="9220" w:author="AbbVie19" w:date="2025-04-17T11:02:00Z"/>
        </w:rPr>
      </w:pPr>
      <w:del w:id="9221" w:author="AbbVie19" w:date="2025-04-17T11:02:00Z">
        <w:r w:rsidRPr="00BC0E7E">
          <w:rPr>
            <w:rFonts w:eastAsia="MS Mincho"/>
          </w:rPr>
          <w:delText>Refer to package leaflet for alternative storage details.</w:delText>
        </w:r>
      </w:del>
    </w:p>
    <w:p w14:paraId="72F05604" w14:textId="77777777" w:rsidR="00BC0E7E" w:rsidRPr="00BC0E7E" w:rsidRDefault="00BC0E7E" w:rsidP="00762FA7">
      <w:pPr>
        <w:keepNext/>
        <w:ind w:left="540" w:hanging="540"/>
        <w:rPr>
          <w:del w:id="9222" w:author="AbbVie19" w:date="2025-04-17T11:02:00Z"/>
        </w:rPr>
      </w:pPr>
    </w:p>
    <w:p w14:paraId="0920B9D6" w14:textId="77777777" w:rsidR="00BC0E7E" w:rsidRPr="00BC0E7E" w:rsidRDefault="00944B8F" w:rsidP="00762FA7">
      <w:pPr>
        <w:keepNext/>
        <w:ind w:left="540" w:hanging="540"/>
        <w:rPr>
          <w:del w:id="9223" w:author="AbbVie19" w:date="2025-04-17T11:02:00Z"/>
        </w:rPr>
      </w:pPr>
      <w:del w:id="9224" w:author="AbbVie19" w:date="2025-04-17T11:02:00Z">
        <w:r w:rsidRPr="00BC0E7E">
          <w:delText>Keep the syringe in the outer carton in order to protect from light.</w:delText>
        </w:r>
      </w:del>
    </w:p>
    <w:p w14:paraId="47860D40" w14:textId="77777777" w:rsidR="00BC0E7E" w:rsidRPr="00BC0E7E" w:rsidRDefault="00BC0E7E" w:rsidP="00762FA7">
      <w:pPr>
        <w:ind w:left="540" w:hanging="540"/>
        <w:rPr>
          <w:del w:id="9225" w:author="AbbVie19" w:date="2025-04-17T11:02:00Z"/>
        </w:rPr>
      </w:pPr>
    </w:p>
    <w:p w14:paraId="7CB7272A" w14:textId="77777777" w:rsidR="00BC0E7E" w:rsidRPr="00BC0E7E" w:rsidRDefault="00BC0E7E" w:rsidP="00762FA7">
      <w:pPr>
        <w:ind w:left="540" w:hanging="540"/>
        <w:rPr>
          <w:del w:id="9226" w:author="AbbVie19" w:date="2025-04-17T11:02:00Z"/>
        </w:rPr>
      </w:pPr>
    </w:p>
    <w:p w14:paraId="19666B13"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227" w:author="AbbVie19" w:date="2025-04-17T11:02:00Z"/>
          <w:b/>
          <w:caps/>
          <w:szCs w:val="20"/>
        </w:rPr>
      </w:pPr>
      <w:del w:id="9228" w:author="AbbVie19" w:date="2025-04-17T11:02:00Z">
        <w:r w:rsidRPr="00BC0E7E">
          <w:rPr>
            <w:b/>
            <w:caps/>
            <w:szCs w:val="20"/>
          </w:rPr>
          <w:delText>10.</w:delText>
        </w:r>
        <w:r w:rsidRPr="00BC0E7E">
          <w:rPr>
            <w:b/>
            <w:caps/>
            <w:szCs w:val="20"/>
          </w:rPr>
          <w:tab/>
          <w:delText>SPECIAL PRECAUTIONS FOR DISPOSAL OF UNUSED MEDICINAL PRODUCTS OR WASTE MATERIALS DERIVED FROM SUCH MEDICINAL PRODUCTS, IF APPROPRIATE</w:delText>
        </w:r>
      </w:del>
    </w:p>
    <w:p w14:paraId="09267246" w14:textId="77777777" w:rsidR="00BC0E7E" w:rsidRPr="00BC0E7E" w:rsidRDefault="00BC0E7E" w:rsidP="00762FA7">
      <w:pPr>
        <w:ind w:left="540" w:hanging="540"/>
        <w:rPr>
          <w:del w:id="9229" w:author="AbbVie19" w:date="2025-04-17T11:02:00Z"/>
        </w:rPr>
      </w:pPr>
    </w:p>
    <w:p w14:paraId="22FAAE04" w14:textId="77777777" w:rsidR="00BC0E7E" w:rsidRPr="00BC0E7E" w:rsidRDefault="00BC0E7E" w:rsidP="00762FA7">
      <w:pPr>
        <w:ind w:left="540" w:hanging="540"/>
        <w:rPr>
          <w:del w:id="9230" w:author="AbbVie19" w:date="2025-04-17T11:02:00Z"/>
        </w:rPr>
      </w:pPr>
    </w:p>
    <w:p w14:paraId="05F286FB" w14:textId="77777777" w:rsidR="00BC0E7E" w:rsidRPr="00BC0E7E" w:rsidRDefault="00944B8F" w:rsidP="005C0D2E">
      <w:pPr>
        <w:pBdr>
          <w:top w:val="single" w:sz="4" w:space="1" w:color="auto"/>
          <w:left w:val="single" w:sz="4" w:space="4" w:color="auto"/>
          <w:bottom w:val="single" w:sz="4" w:space="1" w:color="auto"/>
          <w:right w:val="single" w:sz="4" w:space="4" w:color="auto"/>
        </w:pBdr>
        <w:ind w:left="561" w:hanging="561"/>
        <w:rPr>
          <w:del w:id="9231" w:author="AbbVie19" w:date="2025-04-17T11:02:00Z"/>
          <w:b/>
          <w:caps/>
          <w:szCs w:val="20"/>
        </w:rPr>
      </w:pPr>
      <w:del w:id="9232" w:author="AbbVie19" w:date="2025-04-17T11:02:00Z">
        <w:r w:rsidRPr="00BC0E7E">
          <w:rPr>
            <w:b/>
            <w:caps/>
            <w:szCs w:val="20"/>
          </w:rPr>
          <w:delText>11.</w:delText>
        </w:r>
        <w:r w:rsidRPr="00BC0E7E">
          <w:rPr>
            <w:b/>
            <w:caps/>
            <w:szCs w:val="20"/>
          </w:rPr>
          <w:tab/>
          <w:delText>NAME AND ADDRESS OF THE MARKETING AUTHORISATION HOLDER</w:delText>
        </w:r>
      </w:del>
    </w:p>
    <w:p w14:paraId="4430EF26" w14:textId="77777777" w:rsidR="00BC0E7E" w:rsidRPr="00BC0E7E" w:rsidRDefault="00BC0E7E" w:rsidP="00762FA7">
      <w:pPr>
        <w:keepNext/>
        <w:tabs>
          <w:tab w:val="clear" w:pos="562"/>
        </w:tabs>
        <w:suppressAutoHyphens w:val="0"/>
        <w:autoSpaceDE w:val="0"/>
        <w:autoSpaceDN w:val="0"/>
        <w:adjustRightInd w:val="0"/>
        <w:spacing w:line="240" w:lineRule="atLeast"/>
        <w:rPr>
          <w:del w:id="9233" w:author="AbbVie19" w:date="2025-04-17T11:02:00Z"/>
          <w:szCs w:val="22"/>
          <w:lang w:eastAsia="en-GB"/>
        </w:rPr>
      </w:pPr>
    </w:p>
    <w:p w14:paraId="245365D7" w14:textId="77777777" w:rsidR="006A01D2" w:rsidRPr="00EB4204" w:rsidRDefault="00944B8F" w:rsidP="00762FA7">
      <w:pPr>
        <w:keepNext/>
        <w:tabs>
          <w:tab w:val="clear" w:pos="562"/>
        </w:tabs>
        <w:suppressAutoHyphens w:val="0"/>
        <w:autoSpaceDE w:val="0"/>
        <w:autoSpaceDN w:val="0"/>
        <w:adjustRightInd w:val="0"/>
        <w:spacing w:line="240" w:lineRule="atLeast"/>
        <w:rPr>
          <w:del w:id="9234" w:author="AbbVie19" w:date="2025-04-17T11:02:00Z"/>
          <w:szCs w:val="22"/>
          <w:lang w:eastAsia="en-GB"/>
        </w:rPr>
      </w:pPr>
      <w:del w:id="9235" w:author="AbbVie19" w:date="2025-04-17T11:02:00Z">
        <w:r w:rsidRPr="00EB4204">
          <w:rPr>
            <w:szCs w:val="22"/>
            <w:lang w:eastAsia="en-GB"/>
          </w:rPr>
          <w:delText>AbbVie Deutschland GmbH &amp; Co. KG</w:delText>
        </w:r>
      </w:del>
    </w:p>
    <w:p w14:paraId="2E76A533" w14:textId="77777777" w:rsidR="006A01D2" w:rsidRPr="00EB4204" w:rsidRDefault="00944B8F" w:rsidP="00762FA7">
      <w:pPr>
        <w:keepNext/>
        <w:tabs>
          <w:tab w:val="clear" w:pos="562"/>
        </w:tabs>
        <w:suppressAutoHyphens w:val="0"/>
        <w:autoSpaceDE w:val="0"/>
        <w:autoSpaceDN w:val="0"/>
        <w:adjustRightInd w:val="0"/>
        <w:spacing w:line="240" w:lineRule="atLeast"/>
        <w:rPr>
          <w:del w:id="9236" w:author="AbbVie19" w:date="2025-04-17T11:02:00Z"/>
          <w:szCs w:val="22"/>
          <w:lang w:eastAsia="en-GB"/>
        </w:rPr>
      </w:pPr>
      <w:del w:id="9237" w:author="AbbVie19" w:date="2025-04-17T11:02:00Z">
        <w:r w:rsidRPr="00EB4204">
          <w:rPr>
            <w:szCs w:val="22"/>
            <w:lang w:eastAsia="en-GB"/>
          </w:rPr>
          <w:delText>Knollstrasse</w:delText>
        </w:r>
      </w:del>
    </w:p>
    <w:p w14:paraId="18AC62EE" w14:textId="77777777" w:rsidR="006A01D2" w:rsidRPr="00EB4204" w:rsidRDefault="00944B8F" w:rsidP="00762FA7">
      <w:pPr>
        <w:keepNext/>
        <w:tabs>
          <w:tab w:val="clear" w:pos="562"/>
        </w:tabs>
        <w:suppressAutoHyphens w:val="0"/>
        <w:autoSpaceDE w:val="0"/>
        <w:autoSpaceDN w:val="0"/>
        <w:adjustRightInd w:val="0"/>
        <w:spacing w:line="240" w:lineRule="atLeast"/>
        <w:rPr>
          <w:del w:id="9238" w:author="AbbVie19" w:date="2025-04-17T11:02:00Z"/>
          <w:szCs w:val="22"/>
          <w:lang w:eastAsia="en-GB"/>
        </w:rPr>
      </w:pPr>
      <w:del w:id="9239" w:author="AbbVie19" w:date="2025-04-17T11:02:00Z">
        <w:r w:rsidRPr="00EB4204">
          <w:rPr>
            <w:szCs w:val="22"/>
            <w:lang w:eastAsia="en-GB"/>
          </w:rPr>
          <w:delText>67061 Ludwigshafen</w:delText>
        </w:r>
      </w:del>
    </w:p>
    <w:p w14:paraId="285C104A" w14:textId="77777777" w:rsidR="006A01D2" w:rsidRDefault="00944B8F" w:rsidP="00762FA7">
      <w:pPr>
        <w:keepNext/>
        <w:tabs>
          <w:tab w:val="clear" w:pos="562"/>
          <w:tab w:val="left" w:pos="720"/>
        </w:tabs>
        <w:suppressAutoHyphens w:val="0"/>
        <w:autoSpaceDE w:val="0"/>
        <w:autoSpaceDN w:val="0"/>
        <w:adjustRightInd w:val="0"/>
        <w:spacing w:line="240" w:lineRule="atLeast"/>
        <w:rPr>
          <w:del w:id="9240" w:author="AbbVie19" w:date="2025-04-17T11:02:00Z"/>
          <w:szCs w:val="22"/>
          <w:lang w:eastAsia="en-GB"/>
        </w:rPr>
      </w:pPr>
      <w:del w:id="9241" w:author="AbbVie19" w:date="2025-04-17T11:02:00Z">
        <w:r w:rsidRPr="00EB4204">
          <w:rPr>
            <w:szCs w:val="22"/>
            <w:lang w:eastAsia="en-GB"/>
          </w:rPr>
          <w:delText>Germany</w:delText>
        </w:r>
        <w:r>
          <w:rPr>
            <w:szCs w:val="22"/>
            <w:lang w:eastAsia="en-GB"/>
          </w:rPr>
          <w:delText xml:space="preserve"> </w:delText>
        </w:r>
      </w:del>
    </w:p>
    <w:p w14:paraId="6EE9B9D3" w14:textId="77777777" w:rsidR="00BC0E7E" w:rsidRPr="00BC0E7E" w:rsidRDefault="00BC0E7E" w:rsidP="00762FA7">
      <w:pPr>
        <w:keepNext/>
        <w:tabs>
          <w:tab w:val="clear" w:pos="562"/>
        </w:tabs>
        <w:suppressAutoHyphens w:val="0"/>
        <w:autoSpaceDE w:val="0"/>
        <w:autoSpaceDN w:val="0"/>
        <w:adjustRightInd w:val="0"/>
        <w:spacing w:line="240" w:lineRule="atLeast"/>
        <w:rPr>
          <w:del w:id="9242" w:author="AbbVie19" w:date="2025-04-17T11:02:00Z"/>
          <w:szCs w:val="22"/>
          <w:lang w:eastAsia="en-GB"/>
        </w:rPr>
      </w:pPr>
    </w:p>
    <w:p w14:paraId="178AD6C8" w14:textId="77777777" w:rsidR="00BC0E7E" w:rsidRPr="00BC0E7E" w:rsidRDefault="00BC0E7E" w:rsidP="00762FA7">
      <w:pPr>
        <w:keepNext/>
        <w:tabs>
          <w:tab w:val="clear" w:pos="562"/>
        </w:tabs>
        <w:suppressAutoHyphens w:val="0"/>
        <w:autoSpaceDE w:val="0"/>
        <w:autoSpaceDN w:val="0"/>
        <w:adjustRightInd w:val="0"/>
        <w:spacing w:line="240" w:lineRule="atLeast"/>
        <w:rPr>
          <w:del w:id="9243" w:author="AbbVie19" w:date="2025-04-17T11:02:00Z"/>
          <w:szCs w:val="22"/>
          <w:lang w:eastAsia="en-GB"/>
        </w:rPr>
      </w:pPr>
    </w:p>
    <w:p w14:paraId="445E6556"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244" w:author="AbbVie19" w:date="2025-04-17T11:02:00Z"/>
          <w:b/>
          <w:caps/>
          <w:szCs w:val="20"/>
        </w:rPr>
      </w:pPr>
      <w:del w:id="9245" w:author="AbbVie19" w:date="2025-04-17T11:02:00Z">
        <w:r w:rsidRPr="00BC0E7E">
          <w:rPr>
            <w:b/>
            <w:caps/>
            <w:szCs w:val="20"/>
          </w:rPr>
          <w:delText>12.</w:delText>
        </w:r>
        <w:r w:rsidRPr="00BC0E7E">
          <w:rPr>
            <w:b/>
            <w:caps/>
            <w:szCs w:val="20"/>
          </w:rPr>
          <w:tab/>
          <w:delText>MARKETING AUTHORISATION NUMBER</w:delText>
        </w:r>
      </w:del>
    </w:p>
    <w:p w14:paraId="7462744C" w14:textId="77777777" w:rsidR="00BC0E7E" w:rsidRPr="00BC0E7E" w:rsidRDefault="00BC0E7E" w:rsidP="00762FA7">
      <w:pPr>
        <w:ind w:left="540" w:hanging="540"/>
        <w:rPr>
          <w:del w:id="9246" w:author="AbbVie19" w:date="2025-04-17T11:02:00Z"/>
        </w:rPr>
      </w:pPr>
    </w:p>
    <w:p w14:paraId="00148292" w14:textId="77777777" w:rsidR="00BC0E7E" w:rsidRPr="00BC0E7E" w:rsidRDefault="00944B8F" w:rsidP="00762FA7">
      <w:pPr>
        <w:ind w:left="540" w:hanging="540"/>
        <w:rPr>
          <w:del w:id="9247" w:author="AbbVie19" w:date="2025-04-17T11:02:00Z"/>
        </w:rPr>
      </w:pPr>
      <w:del w:id="9248" w:author="AbbVie19" w:date="2025-04-17T11:02:00Z">
        <w:r w:rsidRPr="00BC0E7E">
          <w:delText>EU/1/03/256/006</w:delText>
        </w:r>
      </w:del>
    </w:p>
    <w:p w14:paraId="2DE1D15D" w14:textId="77777777" w:rsidR="00BC0E7E" w:rsidRPr="00BC0E7E" w:rsidRDefault="00BC0E7E" w:rsidP="00762FA7">
      <w:pPr>
        <w:ind w:left="540" w:hanging="540"/>
        <w:rPr>
          <w:del w:id="9249" w:author="AbbVie19" w:date="2025-04-17T11:02:00Z"/>
        </w:rPr>
      </w:pPr>
    </w:p>
    <w:p w14:paraId="4B29AAB6" w14:textId="77777777" w:rsidR="00BC0E7E" w:rsidRPr="00BC0E7E" w:rsidRDefault="00BC0E7E" w:rsidP="00762FA7">
      <w:pPr>
        <w:ind w:left="540" w:hanging="540"/>
        <w:rPr>
          <w:del w:id="9250" w:author="AbbVie19" w:date="2025-04-17T11:02:00Z"/>
        </w:rPr>
      </w:pPr>
    </w:p>
    <w:p w14:paraId="1886EC00"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251" w:author="AbbVie19" w:date="2025-04-17T11:02:00Z"/>
          <w:b/>
          <w:caps/>
          <w:szCs w:val="20"/>
        </w:rPr>
      </w:pPr>
      <w:del w:id="9252" w:author="AbbVie19" w:date="2025-04-17T11:02:00Z">
        <w:r w:rsidRPr="00BC0E7E">
          <w:rPr>
            <w:b/>
            <w:caps/>
            <w:szCs w:val="20"/>
          </w:rPr>
          <w:delText>13.</w:delText>
        </w:r>
        <w:r w:rsidRPr="00BC0E7E">
          <w:rPr>
            <w:b/>
            <w:caps/>
            <w:szCs w:val="20"/>
          </w:rPr>
          <w:tab/>
          <w:delText>BATCH NUMBER</w:delText>
        </w:r>
      </w:del>
    </w:p>
    <w:p w14:paraId="0B18745A" w14:textId="77777777" w:rsidR="00BC0E7E" w:rsidRPr="00BC0E7E" w:rsidRDefault="00BC0E7E" w:rsidP="00762FA7">
      <w:pPr>
        <w:ind w:left="540" w:hanging="540"/>
        <w:rPr>
          <w:del w:id="9253" w:author="AbbVie19" w:date="2025-04-17T11:02:00Z"/>
        </w:rPr>
      </w:pPr>
    </w:p>
    <w:p w14:paraId="44344496" w14:textId="77777777" w:rsidR="00BC0E7E" w:rsidRPr="00BC0E7E" w:rsidRDefault="00944B8F" w:rsidP="00762FA7">
      <w:pPr>
        <w:ind w:left="540" w:hanging="540"/>
        <w:rPr>
          <w:del w:id="9254" w:author="AbbVie19" w:date="2025-04-17T11:02:00Z"/>
        </w:rPr>
      </w:pPr>
      <w:del w:id="9255" w:author="AbbVie19" w:date="2025-04-17T11:02:00Z">
        <w:r w:rsidRPr="00BC0E7E">
          <w:delText xml:space="preserve">Lot </w:delText>
        </w:r>
      </w:del>
    </w:p>
    <w:p w14:paraId="2438088F" w14:textId="77777777" w:rsidR="00BC0E7E" w:rsidRPr="00BC0E7E" w:rsidRDefault="00BC0E7E" w:rsidP="00762FA7">
      <w:pPr>
        <w:ind w:left="540" w:hanging="540"/>
        <w:rPr>
          <w:del w:id="9256" w:author="AbbVie19" w:date="2025-04-17T11:02:00Z"/>
        </w:rPr>
      </w:pPr>
    </w:p>
    <w:p w14:paraId="14AD162A" w14:textId="77777777" w:rsidR="00BC0E7E" w:rsidRPr="00BC0E7E" w:rsidRDefault="00BC0E7E" w:rsidP="00762FA7">
      <w:pPr>
        <w:ind w:left="540" w:hanging="540"/>
        <w:rPr>
          <w:del w:id="9257" w:author="AbbVie19" w:date="2025-04-17T11:02:00Z"/>
        </w:rPr>
      </w:pPr>
    </w:p>
    <w:p w14:paraId="4F381649"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258" w:author="AbbVie19" w:date="2025-04-17T11:02:00Z"/>
          <w:b/>
          <w:caps/>
          <w:szCs w:val="20"/>
        </w:rPr>
      </w:pPr>
      <w:del w:id="9259" w:author="AbbVie19" w:date="2025-04-17T11:02:00Z">
        <w:r w:rsidRPr="00BC0E7E">
          <w:rPr>
            <w:b/>
            <w:caps/>
            <w:szCs w:val="20"/>
          </w:rPr>
          <w:delText>14.</w:delText>
        </w:r>
        <w:r w:rsidRPr="00BC0E7E">
          <w:rPr>
            <w:b/>
            <w:caps/>
            <w:szCs w:val="20"/>
          </w:rPr>
          <w:tab/>
          <w:delText>GENERAL CLASSIFICATION FOR SUPPLY</w:delText>
        </w:r>
      </w:del>
    </w:p>
    <w:p w14:paraId="35BBBDDF" w14:textId="77777777" w:rsidR="00BC0E7E" w:rsidRPr="00BC0E7E" w:rsidRDefault="00BC0E7E" w:rsidP="00762FA7">
      <w:pPr>
        <w:ind w:left="540" w:hanging="540"/>
        <w:rPr>
          <w:del w:id="9260" w:author="AbbVie19" w:date="2025-04-17T11:02:00Z"/>
        </w:rPr>
      </w:pPr>
    </w:p>
    <w:p w14:paraId="7E6FD532" w14:textId="77777777" w:rsidR="00BC0E7E" w:rsidRPr="00BC0E7E" w:rsidRDefault="00BC0E7E" w:rsidP="00762FA7">
      <w:pPr>
        <w:ind w:left="540" w:hanging="540"/>
        <w:rPr>
          <w:del w:id="9261" w:author="AbbVie19" w:date="2025-04-17T11:02:00Z"/>
        </w:rPr>
      </w:pPr>
    </w:p>
    <w:p w14:paraId="2352E06B"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262" w:author="AbbVie19" w:date="2025-04-17T11:02:00Z"/>
          <w:b/>
          <w:caps/>
          <w:szCs w:val="20"/>
        </w:rPr>
      </w:pPr>
      <w:del w:id="9263" w:author="AbbVie19" w:date="2025-04-17T11:02:00Z">
        <w:r w:rsidRPr="00BC0E7E">
          <w:rPr>
            <w:b/>
            <w:caps/>
            <w:szCs w:val="20"/>
          </w:rPr>
          <w:delText>15.</w:delText>
        </w:r>
        <w:r w:rsidRPr="00BC0E7E">
          <w:rPr>
            <w:b/>
            <w:caps/>
            <w:szCs w:val="20"/>
          </w:rPr>
          <w:tab/>
          <w:delText>INSTRUCTIONS ON USE</w:delText>
        </w:r>
      </w:del>
    </w:p>
    <w:p w14:paraId="3D782916" w14:textId="77777777" w:rsidR="00BC0E7E" w:rsidRPr="00BC0E7E" w:rsidRDefault="00BC0E7E" w:rsidP="00762FA7">
      <w:pPr>
        <w:rPr>
          <w:del w:id="9264" w:author="AbbVie19" w:date="2025-04-17T11:02:00Z"/>
          <w:szCs w:val="20"/>
        </w:rPr>
      </w:pPr>
    </w:p>
    <w:p w14:paraId="45CCFE05" w14:textId="77777777" w:rsidR="00BC0E7E" w:rsidRPr="00BC0E7E" w:rsidRDefault="00BC0E7E" w:rsidP="00762FA7">
      <w:pPr>
        <w:rPr>
          <w:del w:id="9265" w:author="AbbVie19" w:date="2025-04-17T11:02:00Z"/>
          <w:szCs w:val="20"/>
        </w:rPr>
      </w:pPr>
    </w:p>
    <w:p w14:paraId="6439D52A" w14:textId="77777777" w:rsidR="00BC0E7E" w:rsidRPr="00083C28" w:rsidRDefault="00944B8F" w:rsidP="00762FA7">
      <w:pPr>
        <w:pBdr>
          <w:top w:val="single" w:sz="4" w:space="1" w:color="auto"/>
          <w:left w:val="single" w:sz="4" w:space="4" w:color="auto"/>
          <w:bottom w:val="single" w:sz="4" w:space="1" w:color="auto"/>
          <w:right w:val="single" w:sz="4" w:space="4" w:color="auto"/>
        </w:pBdr>
        <w:rPr>
          <w:del w:id="9266" w:author="AbbVie19" w:date="2025-04-17T11:02:00Z"/>
          <w:b/>
          <w:bCs/>
          <w:caps/>
          <w:szCs w:val="20"/>
        </w:rPr>
      </w:pPr>
      <w:del w:id="9267" w:author="AbbVie19" w:date="2025-04-17T11:02:00Z">
        <w:r w:rsidRPr="00083C28">
          <w:rPr>
            <w:b/>
            <w:bCs/>
            <w:caps/>
            <w:szCs w:val="20"/>
          </w:rPr>
          <w:delText>16.</w:delText>
        </w:r>
        <w:r w:rsidRPr="00083C28">
          <w:rPr>
            <w:b/>
            <w:bCs/>
            <w:caps/>
            <w:szCs w:val="20"/>
          </w:rPr>
          <w:tab/>
          <w:delText>Information in braille</w:delText>
        </w:r>
      </w:del>
    </w:p>
    <w:p w14:paraId="19B393D0" w14:textId="77777777" w:rsidR="00BC0E7E" w:rsidRPr="00083C28" w:rsidRDefault="00BC0E7E" w:rsidP="00762FA7">
      <w:pPr>
        <w:ind w:left="540" w:hanging="540"/>
        <w:rPr>
          <w:del w:id="9268" w:author="AbbVie19" w:date="2025-04-17T11:02:00Z"/>
        </w:rPr>
      </w:pPr>
    </w:p>
    <w:p w14:paraId="193A4717" w14:textId="77777777" w:rsidR="00BC0E7E" w:rsidRPr="00491143" w:rsidRDefault="00944B8F" w:rsidP="00762FA7">
      <w:pPr>
        <w:ind w:left="540" w:hanging="540"/>
        <w:rPr>
          <w:del w:id="9269" w:author="AbbVie19" w:date="2025-04-17T11:02:00Z"/>
          <w:lang w:val="es-ES"/>
        </w:rPr>
      </w:pPr>
      <w:del w:id="9270" w:author="AbbVie19" w:date="2025-04-17T11:02:00Z">
        <w:r w:rsidRPr="00491143">
          <w:rPr>
            <w:lang w:val="es-ES"/>
          </w:rPr>
          <w:delText>Humira 40 mg</w:delText>
        </w:r>
      </w:del>
    </w:p>
    <w:p w14:paraId="6BC5FD7E" w14:textId="77777777" w:rsidR="00BC0E7E" w:rsidRPr="00491143" w:rsidRDefault="00BC0E7E" w:rsidP="00762FA7">
      <w:pPr>
        <w:ind w:left="540" w:hanging="540"/>
        <w:rPr>
          <w:del w:id="9271" w:author="AbbVie19" w:date="2025-04-17T11:02:00Z"/>
          <w:lang w:val="es-ES"/>
        </w:rPr>
      </w:pPr>
    </w:p>
    <w:p w14:paraId="259AB732" w14:textId="77777777" w:rsidR="00BC0E7E" w:rsidRPr="00491143" w:rsidRDefault="00BC0E7E" w:rsidP="00762FA7">
      <w:pPr>
        <w:ind w:left="540" w:hanging="540"/>
        <w:rPr>
          <w:del w:id="9272" w:author="AbbVie19" w:date="2025-04-17T11:02:00Z"/>
          <w:lang w:val="es-ES"/>
        </w:rPr>
      </w:pPr>
    </w:p>
    <w:p w14:paraId="3B72CCB6" w14:textId="77777777" w:rsidR="00BC0E7E" w:rsidRPr="00433FAD" w:rsidRDefault="00944B8F" w:rsidP="00762FA7">
      <w:pPr>
        <w:pBdr>
          <w:top w:val="single" w:sz="4" w:space="1" w:color="auto"/>
          <w:left w:val="single" w:sz="4" w:space="4" w:color="auto"/>
          <w:bottom w:val="single" w:sz="4" w:space="1" w:color="auto"/>
          <w:right w:val="single" w:sz="4" w:space="4" w:color="auto"/>
        </w:pBdr>
        <w:rPr>
          <w:del w:id="9273" w:author="AbbVie19" w:date="2025-04-17T11:02:00Z"/>
          <w:b/>
          <w:bCs/>
          <w:caps/>
          <w:szCs w:val="20"/>
          <w:lang w:val="es-MX"/>
        </w:rPr>
      </w:pPr>
      <w:del w:id="9274" w:author="AbbVie19" w:date="2025-04-17T11:02:00Z">
        <w:r w:rsidRPr="00491143">
          <w:rPr>
            <w:b/>
            <w:bCs/>
            <w:caps/>
            <w:szCs w:val="20"/>
            <w:lang w:val="es-ES"/>
          </w:rPr>
          <w:delText xml:space="preserve">17. </w:delText>
        </w:r>
        <w:r w:rsidRPr="00491143">
          <w:rPr>
            <w:b/>
            <w:bCs/>
            <w:caps/>
            <w:szCs w:val="20"/>
            <w:lang w:val="es-ES"/>
          </w:rPr>
          <w:tab/>
        </w:r>
        <w:r w:rsidRPr="00433FAD">
          <w:rPr>
            <w:b/>
            <w:bCs/>
            <w:caps/>
            <w:szCs w:val="20"/>
            <w:lang w:val="es-MX"/>
          </w:rPr>
          <w:delText>UNIQUE INDENTIFIER – 2D BARCODE</w:delText>
        </w:r>
      </w:del>
    </w:p>
    <w:p w14:paraId="3E2429E6" w14:textId="77777777" w:rsidR="00BC0E7E" w:rsidRPr="00433FAD" w:rsidRDefault="00BC0E7E" w:rsidP="00762FA7">
      <w:pPr>
        <w:rPr>
          <w:del w:id="9275" w:author="AbbVie19" w:date="2025-04-17T11:02:00Z"/>
          <w:lang w:val="es-MX"/>
        </w:rPr>
      </w:pPr>
    </w:p>
    <w:p w14:paraId="0C6836D9" w14:textId="77777777" w:rsidR="00BC0E7E" w:rsidRPr="00BC0E7E" w:rsidRDefault="00944B8F" w:rsidP="00762FA7">
      <w:pPr>
        <w:rPr>
          <w:del w:id="9276" w:author="AbbVie19" w:date="2025-04-17T11:02:00Z"/>
          <w:shd w:val="clear" w:color="auto" w:fill="BFBFBF"/>
        </w:rPr>
      </w:pPr>
      <w:del w:id="9277" w:author="AbbVie19" w:date="2025-04-17T11:02:00Z">
        <w:r w:rsidRPr="00BC0E7E">
          <w:rPr>
            <w:shd w:val="clear" w:color="auto" w:fill="BFBFBF"/>
          </w:rPr>
          <w:delText>2D barcode carrying the unique identifier included.</w:delText>
        </w:r>
      </w:del>
    </w:p>
    <w:p w14:paraId="150CD197" w14:textId="77777777" w:rsidR="00BC0E7E" w:rsidRPr="00BC0E7E" w:rsidRDefault="00BC0E7E" w:rsidP="00762FA7">
      <w:pPr>
        <w:rPr>
          <w:del w:id="9278" w:author="AbbVie19" w:date="2025-04-17T11:02:00Z"/>
          <w:shd w:val="clear" w:color="auto" w:fill="BFBFBF"/>
        </w:rPr>
      </w:pPr>
    </w:p>
    <w:p w14:paraId="27D14E85" w14:textId="77777777" w:rsidR="00BC0E7E" w:rsidRPr="00BC0E7E" w:rsidRDefault="00BC0E7E" w:rsidP="00762FA7">
      <w:pPr>
        <w:rPr>
          <w:del w:id="9279" w:author="AbbVie19" w:date="2025-04-17T11:02:00Z"/>
          <w:shd w:val="clear" w:color="auto" w:fill="BFBFBF"/>
        </w:rPr>
      </w:pPr>
    </w:p>
    <w:p w14:paraId="23BE14CB" w14:textId="77777777" w:rsidR="00BC0E7E" w:rsidRPr="00BC0E7E" w:rsidRDefault="00944B8F" w:rsidP="00762FA7">
      <w:pPr>
        <w:keepNext/>
        <w:pBdr>
          <w:top w:val="single" w:sz="4" w:space="1" w:color="auto"/>
          <w:left w:val="single" w:sz="4" w:space="4" w:color="auto"/>
          <w:bottom w:val="single" w:sz="4" w:space="1" w:color="auto"/>
          <w:right w:val="single" w:sz="4" w:space="4" w:color="auto"/>
        </w:pBdr>
        <w:rPr>
          <w:del w:id="9280" w:author="AbbVie19" w:date="2025-04-17T11:02:00Z"/>
          <w:rFonts w:ascii="Times New Roman Bold" w:hAnsi="Times New Roman Bold"/>
          <w:caps/>
          <w:szCs w:val="20"/>
        </w:rPr>
      </w:pPr>
      <w:del w:id="9281" w:author="AbbVie19" w:date="2025-04-17T11:02:00Z">
        <w:r w:rsidRPr="00BC0E7E">
          <w:rPr>
            <w:b/>
            <w:bCs/>
            <w:caps/>
            <w:szCs w:val="20"/>
          </w:rPr>
          <w:delText xml:space="preserve">18. </w:delText>
        </w:r>
        <w:r w:rsidRPr="00BC0E7E">
          <w:rPr>
            <w:b/>
            <w:bCs/>
            <w:caps/>
            <w:szCs w:val="20"/>
          </w:rPr>
          <w:tab/>
          <w:delText>UNIQUE INDENTIFIER – HUMAN READABLE DATA</w:delText>
        </w:r>
      </w:del>
    </w:p>
    <w:p w14:paraId="4E30665E" w14:textId="77777777" w:rsidR="00BC0E7E" w:rsidRPr="00BC0E7E" w:rsidRDefault="00BC0E7E" w:rsidP="00762FA7">
      <w:pPr>
        <w:keepNext/>
        <w:ind w:left="540" w:hanging="540"/>
        <w:rPr>
          <w:del w:id="9282" w:author="AbbVie19" w:date="2025-04-17T11:02:00Z"/>
        </w:rPr>
      </w:pPr>
    </w:p>
    <w:p w14:paraId="31D40DF3" w14:textId="77777777" w:rsidR="00BC0E7E" w:rsidRPr="00BC0E7E" w:rsidRDefault="00944B8F" w:rsidP="00762FA7">
      <w:pPr>
        <w:keepNext/>
        <w:ind w:left="540" w:hanging="540"/>
        <w:rPr>
          <w:del w:id="9283" w:author="AbbVie19" w:date="2025-04-17T11:02:00Z"/>
        </w:rPr>
      </w:pPr>
      <w:del w:id="9284" w:author="AbbVie19" w:date="2025-04-17T11:02:00Z">
        <w:r w:rsidRPr="00BC0E7E">
          <w:delText>PC</w:delText>
        </w:r>
      </w:del>
    </w:p>
    <w:p w14:paraId="2F27E909" w14:textId="77777777" w:rsidR="00BC0E7E" w:rsidRPr="00BC0E7E" w:rsidRDefault="00944B8F" w:rsidP="00762FA7">
      <w:pPr>
        <w:keepNext/>
        <w:ind w:left="540" w:hanging="540"/>
      </w:pPr>
      <w:del w:id="9285" w:author="AbbVie19" w:date="2025-04-17T11:02:00Z">
        <w:r w:rsidRPr="00BC0E7E">
          <w:delText>SN</w:delText>
        </w:r>
      </w:del>
    </w:p>
    <w:p w14:paraId="2923DC3B" w14:textId="77777777" w:rsidR="00BC0E7E" w:rsidRPr="00BC0E7E" w:rsidRDefault="00944B8F" w:rsidP="00BC0E7E">
      <w:pPr>
        <w:keepNext/>
        <w:ind w:left="540" w:hanging="540"/>
      </w:pPr>
      <w:r w:rsidRPr="001B6DEE">
        <w:rPr>
          <w:highlight w:val="darkGray"/>
        </w:rPr>
        <w:t>NN</w:t>
      </w:r>
    </w:p>
    <w:p w14:paraId="5FC494BB" w14:textId="77777777" w:rsidR="00BC0E7E" w:rsidRPr="00BC0E7E" w:rsidRDefault="00BC0E7E" w:rsidP="00BC0E7E">
      <w:pPr>
        <w:keepNext/>
        <w:ind w:left="540" w:hanging="540"/>
        <w:rPr>
          <w:b/>
        </w:rPr>
      </w:pPr>
    </w:p>
    <w:p w14:paraId="138AA6D9" w14:textId="77777777" w:rsidR="00BC0E7E" w:rsidRPr="00BC0E7E" w:rsidRDefault="00944B8F" w:rsidP="005C0D2E">
      <w:pPr>
        <w:pBdr>
          <w:top w:val="single" w:sz="4" w:space="1" w:color="auto"/>
          <w:left w:val="single" w:sz="4" w:space="4" w:color="auto"/>
          <w:bottom w:val="single" w:sz="4" w:space="1" w:color="auto"/>
          <w:right w:val="single" w:sz="4" w:space="4" w:color="auto"/>
        </w:pBdr>
        <w:ind w:left="561" w:hanging="561"/>
        <w:rPr>
          <w:del w:id="9286" w:author="AbbVie19" w:date="2025-04-17T11:02:00Z"/>
          <w:b/>
          <w:bCs/>
          <w:caps/>
          <w:szCs w:val="20"/>
        </w:rPr>
      </w:pPr>
      <w:r w:rsidRPr="00BC0E7E">
        <w:rPr>
          <w:caps/>
          <w:szCs w:val="20"/>
        </w:rPr>
        <w:br w:type="page"/>
      </w:r>
      <w:del w:id="9287" w:author="AbbVie19" w:date="2025-04-17T11:02:00Z">
        <w:r w:rsidRPr="00BC0E7E">
          <w:rPr>
            <w:b/>
            <w:bCs/>
            <w:caps/>
            <w:szCs w:val="20"/>
          </w:rPr>
          <w:lastRenderedPageBreak/>
          <w:delText>MINIMUM PARTICULARS TO APPEAR ON BLISTERS OR STRIPS</w:delText>
        </w:r>
      </w:del>
    </w:p>
    <w:p w14:paraId="492F8F4D" w14:textId="77777777" w:rsidR="00BC0E7E" w:rsidRPr="00BC0E7E" w:rsidRDefault="00BC0E7E" w:rsidP="005C0D2E">
      <w:pPr>
        <w:pBdr>
          <w:top w:val="single" w:sz="4" w:space="1" w:color="auto"/>
          <w:left w:val="single" w:sz="4" w:space="4" w:color="auto"/>
          <w:bottom w:val="single" w:sz="4" w:space="1" w:color="auto"/>
          <w:right w:val="single" w:sz="4" w:space="4" w:color="auto"/>
        </w:pBdr>
        <w:ind w:left="561" w:hanging="561"/>
        <w:rPr>
          <w:del w:id="9288" w:author="AbbVie19" w:date="2025-04-17T11:02:00Z"/>
          <w:caps/>
          <w:szCs w:val="20"/>
        </w:rPr>
      </w:pPr>
    </w:p>
    <w:p w14:paraId="409946DA" w14:textId="77777777" w:rsidR="00BC0E7E" w:rsidRPr="00BC0E7E" w:rsidRDefault="00944B8F" w:rsidP="00762FA7">
      <w:pPr>
        <w:keepLines/>
        <w:pBdr>
          <w:top w:val="single" w:sz="4" w:space="1" w:color="auto"/>
          <w:left w:val="single" w:sz="4" w:space="4" w:color="auto"/>
          <w:bottom w:val="single" w:sz="4" w:space="1" w:color="auto"/>
          <w:right w:val="single" w:sz="4" w:space="4" w:color="auto"/>
        </w:pBdr>
        <w:ind w:left="540" w:hanging="540"/>
        <w:outlineLvl w:val="2"/>
        <w:rPr>
          <w:del w:id="9289" w:author="AbbVie19" w:date="2025-04-17T11:02:00Z"/>
          <w:b/>
          <w:bCs/>
          <w:szCs w:val="26"/>
        </w:rPr>
      </w:pPr>
      <w:del w:id="9290" w:author="AbbVie19" w:date="2025-04-17T11:02:00Z">
        <w:r w:rsidRPr="00BC0E7E">
          <w:rPr>
            <w:b/>
            <w:bCs/>
            <w:szCs w:val="26"/>
          </w:rPr>
          <w:delText>TRAY BACKING TEXT</w:delText>
        </w:r>
      </w:del>
    </w:p>
    <w:p w14:paraId="533FF6C8" w14:textId="77777777" w:rsidR="00BC0E7E" w:rsidRPr="00BC0E7E" w:rsidRDefault="00BC0E7E" w:rsidP="00762FA7">
      <w:pPr>
        <w:ind w:left="540" w:hanging="540"/>
        <w:rPr>
          <w:del w:id="9291" w:author="AbbVie19" w:date="2025-04-17T11:02:00Z"/>
        </w:rPr>
      </w:pPr>
    </w:p>
    <w:p w14:paraId="57EB2B79" w14:textId="77777777" w:rsidR="00BC0E7E" w:rsidRPr="00BC0E7E" w:rsidRDefault="00BC0E7E" w:rsidP="00762FA7">
      <w:pPr>
        <w:ind w:left="540" w:hanging="540"/>
        <w:rPr>
          <w:del w:id="9292" w:author="AbbVie19" w:date="2025-04-17T11:02:00Z"/>
        </w:rPr>
      </w:pPr>
    </w:p>
    <w:p w14:paraId="73EFB278" w14:textId="77777777" w:rsidR="00BC0E7E" w:rsidRPr="00BC0E7E" w:rsidRDefault="00944B8F" w:rsidP="005C0D2E">
      <w:pPr>
        <w:pBdr>
          <w:top w:val="single" w:sz="4" w:space="1" w:color="auto"/>
          <w:left w:val="single" w:sz="4" w:space="4" w:color="auto"/>
          <w:bottom w:val="single" w:sz="4" w:space="1" w:color="auto"/>
          <w:right w:val="single" w:sz="4" w:space="4" w:color="auto"/>
        </w:pBdr>
        <w:ind w:left="561" w:hanging="561"/>
        <w:rPr>
          <w:del w:id="9293" w:author="AbbVie19" w:date="2025-04-17T11:02:00Z"/>
          <w:b/>
          <w:caps/>
          <w:szCs w:val="20"/>
        </w:rPr>
      </w:pPr>
      <w:del w:id="9294" w:author="AbbVie19" w:date="2025-04-17T11:02:00Z">
        <w:r w:rsidRPr="00BC0E7E">
          <w:rPr>
            <w:b/>
            <w:caps/>
            <w:szCs w:val="20"/>
          </w:rPr>
          <w:delText>1.</w:delText>
        </w:r>
        <w:r w:rsidRPr="00BC0E7E">
          <w:rPr>
            <w:b/>
            <w:caps/>
            <w:szCs w:val="20"/>
          </w:rPr>
          <w:tab/>
          <w:delText>NAME OF THE MEDICINAL PRODUCT</w:delText>
        </w:r>
      </w:del>
    </w:p>
    <w:p w14:paraId="4D9EACEA" w14:textId="77777777" w:rsidR="00BC0E7E" w:rsidRPr="00BC0E7E" w:rsidRDefault="00BC0E7E" w:rsidP="00762FA7">
      <w:pPr>
        <w:ind w:left="540" w:hanging="540"/>
        <w:rPr>
          <w:del w:id="9295" w:author="AbbVie19" w:date="2025-04-17T11:02:00Z"/>
        </w:rPr>
      </w:pPr>
    </w:p>
    <w:p w14:paraId="5B5C68A5" w14:textId="77777777" w:rsidR="00BC0E7E" w:rsidRPr="00BC0E7E" w:rsidRDefault="00944B8F" w:rsidP="00762FA7">
      <w:pPr>
        <w:ind w:left="540" w:hanging="540"/>
        <w:rPr>
          <w:del w:id="9296" w:author="AbbVie19" w:date="2025-04-17T11:02:00Z"/>
        </w:rPr>
      </w:pPr>
      <w:del w:id="9297" w:author="AbbVie19" w:date="2025-04-17T11:02:00Z">
        <w:r w:rsidRPr="00BC0E7E">
          <w:delText>Humira 40 mg solution for injection in pre-filled syringe</w:delText>
        </w:r>
      </w:del>
    </w:p>
    <w:p w14:paraId="03276167" w14:textId="77777777" w:rsidR="00BC0E7E" w:rsidRPr="00BC0E7E" w:rsidRDefault="00944B8F" w:rsidP="00762FA7">
      <w:pPr>
        <w:ind w:left="540" w:hanging="540"/>
        <w:rPr>
          <w:del w:id="9298" w:author="AbbVie19" w:date="2025-04-17T11:02:00Z"/>
        </w:rPr>
      </w:pPr>
      <w:del w:id="9299" w:author="AbbVie19" w:date="2025-04-17T11:02:00Z">
        <w:r w:rsidRPr="00BC0E7E">
          <w:delText>adalimumab</w:delText>
        </w:r>
      </w:del>
    </w:p>
    <w:p w14:paraId="18D06FA2" w14:textId="77777777" w:rsidR="00BC0E7E" w:rsidRPr="00BC0E7E" w:rsidRDefault="00BC0E7E" w:rsidP="00762FA7">
      <w:pPr>
        <w:ind w:left="540" w:hanging="540"/>
        <w:rPr>
          <w:del w:id="9300" w:author="AbbVie19" w:date="2025-04-17T11:02:00Z"/>
        </w:rPr>
      </w:pPr>
    </w:p>
    <w:p w14:paraId="0F574AB6" w14:textId="77777777" w:rsidR="00BC0E7E" w:rsidRPr="00BC0E7E" w:rsidRDefault="00BC0E7E" w:rsidP="00762FA7">
      <w:pPr>
        <w:ind w:left="540" w:hanging="540"/>
        <w:rPr>
          <w:del w:id="9301" w:author="AbbVie19" w:date="2025-04-17T11:02:00Z"/>
        </w:rPr>
      </w:pPr>
    </w:p>
    <w:p w14:paraId="22D9DCB8"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302" w:author="AbbVie19" w:date="2025-04-17T11:02:00Z"/>
          <w:b/>
          <w:caps/>
          <w:szCs w:val="20"/>
        </w:rPr>
      </w:pPr>
      <w:del w:id="9303" w:author="AbbVie19" w:date="2025-04-17T11:02:00Z">
        <w:r w:rsidRPr="00BC0E7E">
          <w:rPr>
            <w:b/>
            <w:caps/>
            <w:szCs w:val="20"/>
          </w:rPr>
          <w:delText>2.</w:delText>
        </w:r>
        <w:r w:rsidRPr="00BC0E7E">
          <w:rPr>
            <w:b/>
            <w:caps/>
            <w:szCs w:val="20"/>
          </w:rPr>
          <w:tab/>
          <w:delText>NAME OF THE MARKETING AUTHORISATION HOLDER</w:delText>
        </w:r>
      </w:del>
    </w:p>
    <w:p w14:paraId="1AF545F4" w14:textId="77777777" w:rsidR="00BC0E7E" w:rsidRPr="00BC0E7E" w:rsidRDefault="00BC0E7E" w:rsidP="00762FA7">
      <w:pPr>
        <w:ind w:left="540" w:hanging="540"/>
        <w:rPr>
          <w:del w:id="9304" w:author="AbbVie19" w:date="2025-04-17T11:02:00Z"/>
        </w:rPr>
      </w:pPr>
    </w:p>
    <w:p w14:paraId="4E896394" w14:textId="77777777" w:rsidR="006A01D2" w:rsidRDefault="00944B8F" w:rsidP="00762FA7">
      <w:pPr>
        <w:keepNext/>
        <w:tabs>
          <w:tab w:val="clear" w:pos="562"/>
        </w:tabs>
        <w:suppressAutoHyphens w:val="0"/>
        <w:autoSpaceDE w:val="0"/>
        <w:autoSpaceDN w:val="0"/>
        <w:adjustRightInd w:val="0"/>
        <w:spacing w:line="240" w:lineRule="atLeast"/>
        <w:rPr>
          <w:del w:id="9305" w:author="AbbVie19" w:date="2025-04-17T11:02:00Z"/>
        </w:rPr>
      </w:pPr>
      <w:del w:id="9306" w:author="AbbVie19" w:date="2025-04-17T11:02:00Z">
        <w:r>
          <w:delText xml:space="preserve">AbbVie </w:delText>
        </w:r>
        <w:r w:rsidRPr="00D32313">
          <w:rPr>
            <w:szCs w:val="22"/>
            <w:highlight w:val="lightGray"/>
            <w:lang w:eastAsia="en-GB"/>
          </w:rPr>
          <w:delText>(as logo)</w:delText>
        </w:r>
      </w:del>
    </w:p>
    <w:p w14:paraId="07BDF89D" w14:textId="77777777" w:rsidR="00BC0E7E" w:rsidRPr="00BC0E7E" w:rsidRDefault="00BC0E7E" w:rsidP="00762FA7">
      <w:pPr>
        <w:ind w:left="540" w:hanging="540"/>
        <w:rPr>
          <w:del w:id="9307" w:author="AbbVie19" w:date="2025-04-17T11:02:00Z"/>
        </w:rPr>
      </w:pPr>
    </w:p>
    <w:p w14:paraId="1DF75C54" w14:textId="77777777" w:rsidR="00BC0E7E" w:rsidRPr="00BC0E7E" w:rsidRDefault="00BC0E7E" w:rsidP="00762FA7">
      <w:pPr>
        <w:ind w:left="540" w:hanging="540"/>
        <w:rPr>
          <w:del w:id="9308" w:author="AbbVie19" w:date="2025-04-17T11:02:00Z"/>
        </w:rPr>
      </w:pPr>
    </w:p>
    <w:p w14:paraId="359DCC52"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309" w:author="AbbVie19" w:date="2025-04-17T11:02:00Z"/>
          <w:b/>
          <w:caps/>
          <w:szCs w:val="20"/>
        </w:rPr>
      </w:pPr>
      <w:del w:id="9310" w:author="AbbVie19" w:date="2025-04-17T11:02:00Z">
        <w:r w:rsidRPr="00BC0E7E">
          <w:rPr>
            <w:b/>
            <w:caps/>
            <w:szCs w:val="20"/>
          </w:rPr>
          <w:delText>3.</w:delText>
        </w:r>
        <w:r w:rsidRPr="00BC0E7E">
          <w:rPr>
            <w:b/>
            <w:caps/>
            <w:szCs w:val="20"/>
          </w:rPr>
          <w:tab/>
          <w:delText>EXPIRY DATE</w:delText>
        </w:r>
      </w:del>
    </w:p>
    <w:p w14:paraId="01B43C69" w14:textId="77777777" w:rsidR="00BC0E7E" w:rsidRPr="00BC0E7E" w:rsidRDefault="00BC0E7E" w:rsidP="00762FA7">
      <w:pPr>
        <w:ind w:left="540" w:hanging="540"/>
        <w:rPr>
          <w:del w:id="9311" w:author="AbbVie19" w:date="2025-04-17T11:02:00Z"/>
        </w:rPr>
      </w:pPr>
    </w:p>
    <w:p w14:paraId="7A7E3AB8" w14:textId="77777777" w:rsidR="00BC0E7E" w:rsidRPr="00BC0E7E" w:rsidRDefault="00944B8F" w:rsidP="00762FA7">
      <w:pPr>
        <w:ind w:left="540" w:hanging="540"/>
        <w:rPr>
          <w:del w:id="9312" w:author="AbbVie19" w:date="2025-04-17T11:02:00Z"/>
        </w:rPr>
      </w:pPr>
      <w:del w:id="9313" w:author="AbbVie19" w:date="2025-04-17T11:02:00Z">
        <w:r w:rsidRPr="00BC0E7E">
          <w:delText>EXP</w:delText>
        </w:r>
      </w:del>
    </w:p>
    <w:p w14:paraId="579F95FD" w14:textId="77777777" w:rsidR="00BC0E7E" w:rsidRPr="00BC0E7E" w:rsidRDefault="00BC0E7E" w:rsidP="00762FA7">
      <w:pPr>
        <w:ind w:left="540" w:hanging="540"/>
        <w:rPr>
          <w:del w:id="9314" w:author="AbbVie19" w:date="2025-04-17T11:02:00Z"/>
        </w:rPr>
      </w:pPr>
    </w:p>
    <w:p w14:paraId="2049E01B" w14:textId="77777777" w:rsidR="00BC0E7E" w:rsidRPr="00BC0E7E" w:rsidRDefault="00BC0E7E" w:rsidP="00762FA7">
      <w:pPr>
        <w:ind w:left="540" w:hanging="540"/>
        <w:rPr>
          <w:del w:id="9315" w:author="AbbVie19" w:date="2025-04-17T11:02:00Z"/>
        </w:rPr>
      </w:pPr>
    </w:p>
    <w:p w14:paraId="4D273371"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316" w:author="AbbVie19" w:date="2025-04-17T11:02:00Z"/>
          <w:b/>
          <w:caps/>
          <w:szCs w:val="20"/>
        </w:rPr>
      </w:pPr>
      <w:del w:id="9317" w:author="AbbVie19" w:date="2025-04-17T11:02:00Z">
        <w:r w:rsidRPr="00BC0E7E">
          <w:rPr>
            <w:b/>
            <w:caps/>
            <w:szCs w:val="20"/>
          </w:rPr>
          <w:delText>4.</w:delText>
        </w:r>
        <w:r w:rsidRPr="00BC0E7E">
          <w:rPr>
            <w:b/>
            <w:caps/>
            <w:szCs w:val="20"/>
          </w:rPr>
          <w:tab/>
          <w:delText>BATCH NUMBER</w:delText>
        </w:r>
      </w:del>
    </w:p>
    <w:p w14:paraId="73ED4266" w14:textId="77777777" w:rsidR="00BC0E7E" w:rsidRPr="00BC0E7E" w:rsidRDefault="00BC0E7E" w:rsidP="00762FA7">
      <w:pPr>
        <w:ind w:left="540" w:hanging="540"/>
        <w:rPr>
          <w:del w:id="9318" w:author="AbbVie19" w:date="2025-04-17T11:02:00Z"/>
        </w:rPr>
      </w:pPr>
    </w:p>
    <w:p w14:paraId="701946C7" w14:textId="77777777" w:rsidR="00BC0E7E" w:rsidRPr="00BC0E7E" w:rsidRDefault="00944B8F" w:rsidP="00762FA7">
      <w:pPr>
        <w:ind w:left="540" w:hanging="540"/>
        <w:rPr>
          <w:del w:id="9319" w:author="AbbVie19" w:date="2025-04-17T11:02:00Z"/>
        </w:rPr>
      </w:pPr>
      <w:del w:id="9320" w:author="AbbVie19" w:date="2025-04-17T11:02:00Z">
        <w:r w:rsidRPr="00BC0E7E">
          <w:delText xml:space="preserve">Lot </w:delText>
        </w:r>
      </w:del>
    </w:p>
    <w:p w14:paraId="14BD26B9" w14:textId="77777777" w:rsidR="00BC0E7E" w:rsidRPr="00BC0E7E" w:rsidRDefault="00BC0E7E" w:rsidP="00762FA7">
      <w:pPr>
        <w:ind w:left="540" w:hanging="540"/>
        <w:rPr>
          <w:del w:id="9321" w:author="AbbVie19" w:date="2025-04-17T11:02:00Z"/>
        </w:rPr>
      </w:pPr>
    </w:p>
    <w:p w14:paraId="3783465F" w14:textId="77777777" w:rsidR="00BC0E7E" w:rsidRPr="00BC0E7E" w:rsidRDefault="00BC0E7E" w:rsidP="00762FA7">
      <w:pPr>
        <w:ind w:left="540" w:hanging="540"/>
        <w:rPr>
          <w:del w:id="9322" w:author="AbbVie19" w:date="2025-04-17T11:02:00Z"/>
        </w:rPr>
      </w:pPr>
    </w:p>
    <w:p w14:paraId="422F8912" w14:textId="77777777" w:rsidR="00BC0E7E" w:rsidRPr="00BC0E7E" w:rsidRDefault="00944B8F" w:rsidP="00762FA7">
      <w:pPr>
        <w:pBdr>
          <w:top w:val="single" w:sz="4" w:space="1" w:color="auto"/>
          <w:left w:val="single" w:sz="4" w:space="4" w:color="auto"/>
          <w:bottom w:val="single" w:sz="4" w:space="1" w:color="auto"/>
          <w:right w:val="single" w:sz="4" w:space="4" w:color="auto"/>
        </w:pBdr>
        <w:rPr>
          <w:del w:id="9323" w:author="AbbVie19" w:date="2025-04-17T11:02:00Z"/>
          <w:b/>
          <w:caps/>
          <w:szCs w:val="20"/>
        </w:rPr>
      </w:pPr>
      <w:del w:id="9324" w:author="AbbVie19" w:date="2025-04-17T11:02:00Z">
        <w:r w:rsidRPr="00BC0E7E">
          <w:rPr>
            <w:b/>
            <w:caps/>
            <w:szCs w:val="20"/>
          </w:rPr>
          <w:delText>5.</w:delText>
        </w:r>
        <w:r w:rsidRPr="00BC0E7E">
          <w:rPr>
            <w:b/>
            <w:caps/>
            <w:szCs w:val="20"/>
          </w:rPr>
          <w:tab/>
          <w:delText>OTHER</w:delText>
        </w:r>
      </w:del>
    </w:p>
    <w:p w14:paraId="34AA5A38" w14:textId="77777777" w:rsidR="00BC0E7E" w:rsidRPr="00BC0E7E" w:rsidRDefault="00BC0E7E" w:rsidP="00762FA7">
      <w:pPr>
        <w:ind w:left="540" w:hanging="540"/>
        <w:rPr>
          <w:del w:id="9325" w:author="AbbVie19" w:date="2025-04-17T11:02:00Z"/>
        </w:rPr>
      </w:pPr>
    </w:p>
    <w:p w14:paraId="0653F8A7" w14:textId="77777777" w:rsidR="00BC0E7E" w:rsidRDefault="00944B8F" w:rsidP="00762FA7">
      <w:pPr>
        <w:ind w:left="540" w:hanging="540"/>
        <w:rPr>
          <w:del w:id="9326" w:author="AbbVie19" w:date="2025-04-17T11:02:00Z"/>
        </w:rPr>
      </w:pPr>
      <w:del w:id="9327" w:author="AbbVie19" w:date="2025-04-17T11:02:00Z">
        <w:r w:rsidRPr="00BC0E7E">
          <w:delText>For storage information, see package leaflet.</w:delText>
        </w:r>
      </w:del>
    </w:p>
    <w:p w14:paraId="5E76DE21" w14:textId="77777777" w:rsidR="00DC6624" w:rsidRPr="00BC0E7E" w:rsidRDefault="00DC6624" w:rsidP="00762FA7">
      <w:pPr>
        <w:ind w:left="540" w:hanging="540"/>
        <w:rPr>
          <w:del w:id="9328" w:author="AbbVie19" w:date="2025-04-17T11:02:00Z"/>
        </w:rPr>
      </w:pPr>
    </w:p>
    <w:p w14:paraId="1134926D" w14:textId="77777777" w:rsidR="00BC0E7E" w:rsidRPr="00BC0E7E" w:rsidRDefault="00944B8F" w:rsidP="00762FA7">
      <w:pPr>
        <w:ind w:left="540" w:hanging="540"/>
        <w:rPr>
          <w:del w:id="9329" w:author="AbbVie19" w:date="2025-04-17T11:02:00Z"/>
        </w:rPr>
      </w:pPr>
      <w:del w:id="9330" w:author="AbbVie19" w:date="2025-04-17T11:02:00Z">
        <w:r w:rsidRPr="00BC0E7E">
          <w:delText>For single use only</w:delText>
        </w:r>
        <w:r w:rsidR="00590224">
          <w:delText>.</w:delText>
        </w:r>
      </w:del>
    </w:p>
    <w:p w14:paraId="28E20B6F" w14:textId="77777777" w:rsidR="00DC6624" w:rsidRDefault="00DC6624" w:rsidP="00762FA7">
      <w:pPr>
        <w:ind w:left="540" w:hanging="540"/>
        <w:rPr>
          <w:del w:id="9331" w:author="AbbVie19" w:date="2025-04-17T11:02:00Z"/>
        </w:rPr>
      </w:pPr>
    </w:p>
    <w:p w14:paraId="02DD5EC5" w14:textId="77777777" w:rsidR="00BC0E7E" w:rsidRPr="00BC0E7E" w:rsidRDefault="00944B8F" w:rsidP="00762FA7">
      <w:pPr>
        <w:ind w:left="540" w:hanging="540"/>
        <w:rPr>
          <w:del w:id="9332" w:author="AbbVie19" w:date="2025-04-17T11:02:00Z"/>
        </w:rPr>
      </w:pPr>
      <w:del w:id="9333" w:author="AbbVie19" w:date="2025-04-17T11:02:00Z">
        <w:r>
          <w:delText>With needle</w:delText>
        </w:r>
        <w:r w:rsidR="00A62F16">
          <w:delText xml:space="preserve"> </w:delText>
        </w:r>
        <w:r>
          <w:delText>guard</w:delText>
        </w:r>
        <w:r w:rsidR="00A62F16">
          <w:delText>.</w:delText>
        </w:r>
      </w:del>
    </w:p>
    <w:p w14:paraId="01895CF3" w14:textId="77777777" w:rsidR="00BC0E7E" w:rsidRPr="00BC0E7E" w:rsidRDefault="00944B8F" w:rsidP="005C0D2E">
      <w:pPr>
        <w:pBdr>
          <w:top w:val="single" w:sz="4" w:space="1" w:color="auto"/>
          <w:left w:val="single" w:sz="4" w:space="4" w:color="auto"/>
          <w:bottom w:val="single" w:sz="4" w:space="1" w:color="auto"/>
          <w:right w:val="single" w:sz="4" w:space="4" w:color="auto"/>
        </w:pBdr>
        <w:ind w:left="561" w:hanging="561"/>
        <w:rPr>
          <w:del w:id="9334" w:author="AbbVie19" w:date="2025-04-17T11:02:00Z"/>
          <w:b/>
          <w:bCs/>
          <w:caps/>
          <w:szCs w:val="20"/>
        </w:rPr>
      </w:pPr>
      <w:del w:id="9335" w:author="AbbVie19" w:date="2025-04-17T11:02:00Z">
        <w:r w:rsidRPr="00BC0E7E">
          <w:rPr>
            <w:caps/>
            <w:szCs w:val="20"/>
          </w:rPr>
          <w:br w:type="page"/>
        </w:r>
        <w:r w:rsidRPr="00BC0E7E">
          <w:rPr>
            <w:b/>
            <w:bCs/>
            <w:caps/>
            <w:szCs w:val="20"/>
          </w:rPr>
          <w:lastRenderedPageBreak/>
          <w:delText>MINIMUM PARTICULARS TO APPEAR ON SMALL IMMEDIATE PACKAGING UNITS</w:delText>
        </w:r>
      </w:del>
    </w:p>
    <w:p w14:paraId="0DBF7E4B" w14:textId="77777777" w:rsidR="00BC0E7E" w:rsidRPr="00BC0E7E" w:rsidRDefault="00BC0E7E" w:rsidP="005C0D2E">
      <w:pPr>
        <w:pBdr>
          <w:top w:val="single" w:sz="4" w:space="1" w:color="auto"/>
          <w:left w:val="single" w:sz="4" w:space="4" w:color="auto"/>
          <w:bottom w:val="single" w:sz="4" w:space="1" w:color="auto"/>
          <w:right w:val="single" w:sz="4" w:space="4" w:color="auto"/>
        </w:pBdr>
        <w:ind w:left="561" w:hanging="561"/>
        <w:rPr>
          <w:del w:id="9336" w:author="AbbVie19" w:date="2025-04-17T11:02:00Z"/>
          <w:rFonts w:ascii="Times New Roman Bold" w:hAnsi="Times New Roman Bold"/>
          <w:caps/>
          <w:szCs w:val="20"/>
        </w:rPr>
      </w:pPr>
    </w:p>
    <w:p w14:paraId="065CCD93" w14:textId="77777777" w:rsidR="00BC0E7E" w:rsidRPr="00BC0E7E" w:rsidRDefault="00944B8F" w:rsidP="00762FA7">
      <w:pPr>
        <w:keepLines/>
        <w:pBdr>
          <w:top w:val="single" w:sz="4" w:space="1" w:color="auto"/>
          <w:left w:val="single" w:sz="4" w:space="4" w:color="auto"/>
          <w:bottom w:val="single" w:sz="4" w:space="1" w:color="auto"/>
          <w:right w:val="single" w:sz="4" w:space="4" w:color="auto"/>
        </w:pBdr>
        <w:ind w:left="540" w:hanging="540"/>
        <w:outlineLvl w:val="2"/>
        <w:rPr>
          <w:del w:id="9337" w:author="AbbVie19" w:date="2025-04-17T11:02:00Z"/>
          <w:b/>
          <w:bCs/>
          <w:i/>
          <w:szCs w:val="26"/>
        </w:rPr>
      </w:pPr>
      <w:del w:id="9338" w:author="AbbVie19" w:date="2025-04-17T11:02:00Z">
        <w:r w:rsidRPr="00BC0E7E">
          <w:rPr>
            <w:b/>
            <w:bCs/>
            <w:szCs w:val="26"/>
          </w:rPr>
          <w:delText>SYRINGE LABEL</w:delText>
        </w:r>
      </w:del>
    </w:p>
    <w:p w14:paraId="314727F2" w14:textId="77777777" w:rsidR="00BC0E7E" w:rsidRPr="00BC0E7E" w:rsidRDefault="00BC0E7E" w:rsidP="00762FA7">
      <w:pPr>
        <w:ind w:left="540" w:hanging="540"/>
        <w:rPr>
          <w:del w:id="9339" w:author="AbbVie19" w:date="2025-04-17T11:02:00Z"/>
          <w:b/>
        </w:rPr>
      </w:pPr>
    </w:p>
    <w:p w14:paraId="11D44D02" w14:textId="77777777" w:rsidR="00BC0E7E" w:rsidRPr="00BC0E7E" w:rsidRDefault="00BC0E7E" w:rsidP="00762FA7">
      <w:pPr>
        <w:ind w:left="540" w:hanging="540"/>
        <w:rPr>
          <w:del w:id="9340" w:author="AbbVie19" w:date="2025-04-17T11:02:00Z"/>
          <w:b/>
        </w:rPr>
      </w:pPr>
    </w:p>
    <w:p w14:paraId="189B0678" w14:textId="77777777" w:rsidR="00BC0E7E" w:rsidRPr="00BC0E7E" w:rsidRDefault="00944B8F" w:rsidP="005C0D2E">
      <w:pPr>
        <w:pBdr>
          <w:top w:val="single" w:sz="4" w:space="1" w:color="auto"/>
          <w:left w:val="single" w:sz="4" w:space="4" w:color="auto"/>
          <w:bottom w:val="single" w:sz="4" w:space="1" w:color="auto"/>
          <w:right w:val="single" w:sz="4" w:space="4" w:color="auto"/>
        </w:pBdr>
        <w:ind w:left="561" w:hanging="561"/>
        <w:rPr>
          <w:del w:id="9341" w:author="AbbVie19" w:date="2025-04-17T11:02:00Z"/>
          <w:b/>
          <w:caps/>
          <w:szCs w:val="20"/>
        </w:rPr>
      </w:pPr>
      <w:del w:id="9342" w:author="AbbVie19" w:date="2025-04-17T11:02:00Z">
        <w:r w:rsidRPr="00BC0E7E">
          <w:rPr>
            <w:b/>
            <w:caps/>
            <w:szCs w:val="20"/>
          </w:rPr>
          <w:delText>1.</w:delText>
        </w:r>
        <w:r w:rsidRPr="00BC0E7E">
          <w:rPr>
            <w:b/>
            <w:caps/>
            <w:szCs w:val="20"/>
          </w:rPr>
          <w:tab/>
          <w:delText>NAME OF THE MEDICINAL PRODUCT AND ROUTE OF ADMINISTRATION</w:delText>
        </w:r>
      </w:del>
    </w:p>
    <w:p w14:paraId="0E53DAAD" w14:textId="77777777" w:rsidR="00BC0E7E" w:rsidRPr="00BC0E7E" w:rsidRDefault="00BC0E7E" w:rsidP="00762FA7">
      <w:pPr>
        <w:ind w:left="540" w:hanging="540"/>
        <w:rPr>
          <w:del w:id="9343" w:author="AbbVie19" w:date="2025-04-17T11:02:00Z"/>
        </w:rPr>
      </w:pPr>
    </w:p>
    <w:p w14:paraId="41F8D159" w14:textId="77777777" w:rsidR="00BC0E7E" w:rsidRPr="00BC0E7E" w:rsidRDefault="00944B8F" w:rsidP="00762FA7">
      <w:pPr>
        <w:ind w:left="540" w:hanging="540"/>
        <w:rPr>
          <w:del w:id="9344" w:author="AbbVie19" w:date="2025-04-17T11:02:00Z"/>
        </w:rPr>
      </w:pPr>
      <w:del w:id="9345" w:author="AbbVie19" w:date="2025-04-17T11:02:00Z">
        <w:r w:rsidRPr="00BC0E7E">
          <w:delText xml:space="preserve">Humira 40 mg injection </w:delText>
        </w:r>
      </w:del>
    </w:p>
    <w:p w14:paraId="01842D82" w14:textId="77777777" w:rsidR="00BC0E7E" w:rsidRPr="00BC0E7E" w:rsidRDefault="00944B8F" w:rsidP="00762FA7">
      <w:pPr>
        <w:ind w:left="540" w:hanging="540"/>
        <w:rPr>
          <w:del w:id="9346" w:author="AbbVie19" w:date="2025-04-17T11:02:00Z"/>
        </w:rPr>
      </w:pPr>
      <w:del w:id="9347" w:author="AbbVie19" w:date="2025-04-17T11:02:00Z">
        <w:r w:rsidRPr="00BC0E7E">
          <w:delText>adalimumab</w:delText>
        </w:r>
      </w:del>
    </w:p>
    <w:p w14:paraId="46D29677" w14:textId="77777777" w:rsidR="00BC0E7E" w:rsidRPr="00BC0E7E" w:rsidRDefault="00944B8F" w:rsidP="00762FA7">
      <w:pPr>
        <w:ind w:left="540" w:hanging="540"/>
        <w:rPr>
          <w:del w:id="9348" w:author="AbbVie19" w:date="2025-04-17T11:02:00Z"/>
        </w:rPr>
      </w:pPr>
      <w:del w:id="9349" w:author="AbbVie19" w:date="2025-04-17T11:02:00Z">
        <w:r>
          <w:delText>SC</w:delText>
        </w:r>
      </w:del>
    </w:p>
    <w:p w14:paraId="17E31C97" w14:textId="77777777" w:rsidR="00BC0E7E" w:rsidRPr="00BC0E7E" w:rsidRDefault="00BC0E7E" w:rsidP="00762FA7">
      <w:pPr>
        <w:ind w:left="540" w:hanging="540"/>
        <w:rPr>
          <w:del w:id="9350" w:author="AbbVie19" w:date="2025-04-17T11:02:00Z"/>
        </w:rPr>
      </w:pPr>
    </w:p>
    <w:p w14:paraId="7ECC8520" w14:textId="77777777" w:rsidR="00BC0E7E" w:rsidRPr="00BC0E7E" w:rsidRDefault="00BC0E7E" w:rsidP="00762FA7">
      <w:pPr>
        <w:ind w:left="540" w:hanging="540"/>
        <w:rPr>
          <w:del w:id="9351" w:author="AbbVie19" w:date="2025-04-17T11:02:00Z"/>
          <w:b/>
        </w:rPr>
      </w:pPr>
    </w:p>
    <w:p w14:paraId="071C0647"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352" w:author="AbbVie19" w:date="2025-04-17T11:02:00Z"/>
          <w:b/>
          <w:caps/>
          <w:szCs w:val="20"/>
        </w:rPr>
      </w:pPr>
      <w:del w:id="9353" w:author="AbbVie19" w:date="2025-04-17T11:02:00Z">
        <w:r w:rsidRPr="00BC0E7E">
          <w:rPr>
            <w:b/>
            <w:caps/>
            <w:szCs w:val="20"/>
          </w:rPr>
          <w:delText>2.</w:delText>
        </w:r>
        <w:r w:rsidRPr="00BC0E7E">
          <w:rPr>
            <w:b/>
            <w:caps/>
            <w:szCs w:val="20"/>
          </w:rPr>
          <w:tab/>
          <w:delText>METHOD OF ADMINISTRATION</w:delText>
        </w:r>
      </w:del>
    </w:p>
    <w:p w14:paraId="592989C3" w14:textId="77777777" w:rsidR="00BC0E7E" w:rsidRPr="00BC0E7E" w:rsidRDefault="00BC0E7E" w:rsidP="00762FA7">
      <w:pPr>
        <w:ind w:left="540" w:hanging="540"/>
        <w:rPr>
          <w:del w:id="9354" w:author="AbbVie19" w:date="2025-04-17T11:02:00Z"/>
          <w:b/>
        </w:rPr>
      </w:pPr>
    </w:p>
    <w:p w14:paraId="2996F1FB" w14:textId="77777777" w:rsidR="00BC0E7E" w:rsidRPr="00BC0E7E" w:rsidRDefault="00BC0E7E" w:rsidP="00762FA7">
      <w:pPr>
        <w:ind w:left="540" w:hanging="540"/>
        <w:rPr>
          <w:del w:id="9355" w:author="AbbVie19" w:date="2025-04-17T11:02:00Z"/>
          <w:b/>
        </w:rPr>
      </w:pPr>
    </w:p>
    <w:p w14:paraId="1ECDF27E" w14:textId="77777777" w:rsidR="00BC0E7E" w:rsidRPr="00BC0E7E" w:rsidRDefault="00944B8F" w:rsidP="005C0D2E">
      <w:pPr>
        <w:pBdr>
          <w:top w:val="single" w:sz="4" w:space="1" w:color="auto"/>
          <w:left w:val="single" w:sz="4" w:space="4" w:color="auto"/>
          <w:bottom w:val="single" w:sz="4" w:space="1" w:color="auto"/>
          <w:right w:val="single" w:sz="4" w:space="4" w:color="auto"/>
        </w:pBdr>
        <w:ind w:left="561" w:hanging="561"/>
        <w:rPr>
          <w:del w:id="9356" w:author="AbbVie19" w:date="2025-04-17T11:02:00Z"/>
          <w:b/>
          <w:caps/>
          <w:szCs w:val="20"/>
        </w:rPr>
      </w:pPr>
      <w:del w:id="9357" w:author="AbbVie19" w:date="2025-04-17T11:02:00Z">
        <w:r w:rsidRPr="00BC0E7E">
          <w:rPr>
            <w:b/>
            <w:caps/>
            <w:szCs w:val="20"/>
          </w:rPr>
          <w:delText>3.</w:delText>
        </w:r>
        <w:r w:rsidRPr="00BC0E7E">
          <w:rPr>
            <w:b/>
            <w:caps/>
            <w:szCs w:val="20"/>
          </w:rPr>
          <w:tab/>
          <w:delText>EXPIRY DATE</w:delText>
        </w:r>
      </w:del>
    </w:p>
    <w:p w14:paraId="5DDC8A1D" w14:textId="77777777" w:rsidR="00BC0E7E" w:rsidRPr="00BC0E7E" w:rsidRDefault="00BC0E7E" w:rsidP="00762FA7">
      <w:pPr>
        <w:ind w:left="540" w:hanging="540"/>
        <w:rPr>
          <w:del w:id="9358" w:author="AbbVie19" w:date="2025-04-17T11:02:00Z"/>
        </w:rPr>
      </w:pPr>
    </w:p>
    <w:p w14:paraId="70AB592B" w14:textId="77777777" w:rsidR="00BC0E7E" w:rsidRPr="00BC0E7E" w:rsidRDefault="00944B8F" w:rsidP="00762FA7">
      <w:pPr>
        <w:ind w:left="540" w:hanging="540"/>
        <w:rPr>
          <w:del w:id="9359" w:author="AbbVie19" w:date="2025-04-17T11:02:00Z"/>
        </w:rPr>
      </w:pPr>
      <w:del w:id="9360" w:author="AbbVie19" w:date="2025-04-17T11:02:00Z">
        <w:r w:rsidRPr="00BC0E7E">
          <w:delText>EXP</w:delText>
        </w:r>
      </w:del>
    </w:p>
    <w:p w14:paraId="7888B044" w14:textId="77777777" w:rsidR="00BC0E7E" w:rsidRPr="00BC0E7E" w:rsidRDefault="00BC0E7E" w:rsidP="00762FA7">
      <w:pPr>
        <w:ind w:left="540" w:hanging="540"/>
        <w:rPr>
          <w:del w:id="9361" w:author="AbbVie19" w:date="2025-04-17T11:02:00Z"/>
        </w:rPr>
      </w:pPr>
    </w:p>
    <w:p w14:paraId="2EDF2567" w14:textId="77777777" w:rsidR="00BC0E7E" w:rsidRPr="00BC0E7E" w:rsidRDefault="00BC0E7E" w:rsidP="00762FA7">
      <w:pPr>
        <w:ind w:left="540" w:hanging="540"/>
        <w:rPr>
          <w:del w:id="9362" w:author="AbbVie19" w:date="2025-04-17T11:02:00Z"/>
        </w:rPr>
      </w:pPr>
    </w:p>
    <w:p w14:paraId="41AAAE45"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363" w:author="AbbVie19" w:date="2025-04-17T11:02:00Z"/>
          <w:b/>
          <w:caps/>
          <w:szCs w:val="20"/>
        </w:rPr>
      </w:pPr>
      <w:del w:id="9364" w:author="AbbVie19" w:date="2025-04-17T11:02:00Z">
        <w:r w:rsidRPr="00BC0E7E">
          <w:rPr>
            <w:b/>
            <w:caps/>
            <w:szCs w:val="20"/>
          </w:rPr>
          <w:delText>4.</w:delText>
        </w:r>
        <w:r w:rsidRPr="00BC0E7E">
          <w:rPr>
            <w:b/>
            <w:caps/>
            <w:szCs w:val="20"/>
          </w:rPr>
          <w:tab/>
          <w:delText>BATCH NUMBER</w:delText>
        </w:r>
      </w:del>
    </w:p>
    <w:p w14:paraId="4BEC5C57" w14:textId="77777777" w:rsidR="00BC0E7E" w:rsidRPr="00BC0E7E" w:rsidRDefault="00BC0E7E" w:rsidP="00762FA7">
      <w:pPr>
        <w:ind w:left="540" w:hanging="540"/>
        <w:rPr>
          <w:del w:id="9365" w:author="AbbVie19" w:date="2025-04-17T11:02:00Z"/>
        </w:rPr>
      </w:pPr>
    </w:p>
    <w:p w14:paraId="459F5630" w14:textId="77777777" w:rsidR="00BC0E7E" w:rsidRPr="00BC0E7E" w:rsidRDefault="00944B8F" w:rsidP="00762FA7">
      <w:pPr>
        <w:ind w:left="540" w:hanging="540"/>
        <w:rPr>
          <w:del w:id="9366" w:author="AbbVie19" w:date="2025-04-17T11:02:00Z"/>
        </w:rPr>
      </w:pPr>
      <w:del w:id="9367" w:author="AbbVie19" w:date="2025-04-17T11:02:00Z">
        <w:r w:rsidRPr="00BC0E7E">
          <w:delText xml:space="preserve">Lot </w:delText>
        </w:r>
      </w:del>
    </w:p>
    <w:p w14:paraId="0CBA4E73" w14:textId="77777777" w:rsidR="00BC0E7E" w:rsidRPr="00BC0E7E" w:rsidRDefault="00BC0E7E" w:rsidP="00762FA7">
      <w:pPr>
        <w:ind w:left="540" w:hanging="540"/>
        <w:rPr>
          <w:del w:id="9368" w:author="AbbVie19" w:date="2025-04-17T11:02:00Z"/>
        </w:rPr>
      </w:pPr>
    </w:p>
    <w:p w14:paraId="6260518A" w14:textId="77777777" w:rsidR="00BC0E7E" w:rsidRPr="00BC0E7E" w:rsidRDefault="00BC0E7E" w:rsidP="00762FA7">
      <w:pPr>
        <w:ind w:left="540" w:hanging="540"/>
        <w:rPr>
          <w:del w:id="9369" w:author="AbbVie19" w:date="2025-04-17T11:02:00Z"/>
        </w:rPr>
      </w:pPr>
    </w:p>
    <w:p w14:paraId="24250B14"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370" w:author="AbbVie19" w:date="2025-04-17T11:02:00Z"/>
          <w:b/>
          <w:caps/>
          <w:szCs w:val="20"/>
        </w:rPr>
      </w:pPr>
      <w:del w:id="9371" w:author="AbbVie19" w:date="2025-04-17T11:02:00Z">
        <w:r w:rsidRPr="00BC0E7E">
          <w:rPr>
            <w:b/>
            <w:caps/>
            <w:szCs w:val="20"/>
          </w:rPr>
          <w:delText>5.</w:delText>
        </w:r>
        <w:r w:rsidRPr="00BC0E7E">
          <w:rPr>
            <w:b/>
            <w:caps/>
            <w:szCs w:val="20"/>
          </w:rPr>
          <w:tab/>
          <w:delText>CONTENTS BY WEIGHT, BY VOLUME OR BY UNIT</w:delText>
        </w:r>
      </w:del>
    </w:p>
    <w:p w14:paraId="3C26BFFA" w14:textId="77777777" w:rsidR="00BC0E7E" w:rsidRPr="00BC0E7E" w:rsidRDefault="00BC0E7E" w:rsidP="00762FA7">
      <w:pPr>
        <w:ind w:left="540" w:hanging="540"/>
        <w:rPr>
          <w:del w:id="9372" w:author="AbbVie19" w:date="2025-04-17T11:02:00Z"/>
        </w:rPr>
      </w:pPr>
    </w:p>
    <w:p w14:paraId="359FBF20" w14:textId="77777777" w:rsidR="00BC0E7E" w:rsidRPr="00BC0E7E" w:rsidRDefault="00944B8F" w:rsidP="00762FA7">
      <w:pPr>
        <w:ind w:left="540" w:hanging="540"/>
        <w:rPr>
          <w:del w:id="9373" w:author="AbbVie19" w:date="2025-04-17T11:02:00Z"/>
        </w:rPr>
      </w:pPr>
      <w:del w:id="9374" w:author="AbbVie19" w:date="2025-04-17T11:02:00Z">
        <w:r w:rsidRPr="00BC0E7E">
          <w:delText>40 mg/0.8 ml</w:delText>
        </w:r>
      </w:del>
    </w:p>
    <w:p w14:paraId="4C73F847" w14:textId="77777777" w:rsidR="00BC0E7E" w:rsidRPr="00BC0E7E" w:rsidRDefault="00BC0E7E" w:rsidP="00762FA7">
      <w:pPr>
        <w:ind w:left="540" w:hanging="540"/>
        <w:rPr>
          <w:del w:id="9375" w:author="AbbVie19" w:date="2025-04-17T11:02:00Z"/>
        </w:rPr>
      </w:pPr>
    </w:p>
    <w:p w14:paraId="1808AAD7" w14:textId="77777777" w:rsidR="00BC0E7E" w:rsidRPr="00BC0E7E" w:rsidRDefault="00BC0E7E" w:rsidP="00762FA7">
      <w:pPr>
        <w:ind w:left="540" w:hanging="540"/>
        <w:rPr>
          <w:del w:id="9376" w:author="AbbVie19" w:date="2025-04-17T11:02:00Z"/>
        </w:rPr>
      </w:pPr>
    </w:p>
    <w:p w14:paraId="1F8EB4ED" w14:textId="77777777" w:rsidR="00BC0E7E" w:rsidRPr="00BC0E7E" w:rsidRDefault="00944B8F" w:rsidP="00762FA7">
      <w:pPr>
        <w:pBdr>
          <w:top w:val="single" w:sz="4" w:space="1" w:color="auto"/>
          <w:left w:val="single" w:sz="4" w:space="4" w:color="auto"/>
          <w:bottom w:val="single" w:sz="4" w:space="1" w:color="auto"/>
          <w:right w:val="single" w:sz="4" w:space="4" w:color="auto"/>
        </w:pBdr>
        <w:rPr>
          <w:del w:id="9377" w:author="AbbVie19" w:date="2025-04-17T11:02:00Z"/>
          <w:b/>
          <w:caps/>
          <w:szCs w:val="20"/>
        </w:rPr>
      </w:pPr>
      <w:del w:id="9378" w:author="AbbVie19" w:date="2025-04-17T11:02:00Z">
        <w:r w:rsidRPr="00BC0E7E">
          <w:rPr>
            <w:b/>
            <w:caps/>
            <w:szCs w:val="20"/>
          </w:rPr>
          <w:delText>6.</w:delText>
        </w:r>
        <w:r w:rsidRPr="00BC0E7E">
          <w:rPr>
            <w:b/>
            <w:caps/>
            <w:szCs w:val="20"/>
          </w:rPr>
          <w:tab/>
          <w:delText>OTHER</w:delText>
        </w:r>
      </w:del>
    </w:p>
    <w:p w14:paraId="40BFB221" w14:textId="77777777" w:rsidR="00BC0E7E" w:rsidRPr="00BC0E7E" w:rsidRDefault="00BC0E7E" w:rsidP="00762FA7">
      <w:pPr>
        <w:ind w:left="540" w:hanging="540"/>
        <w:rPr>
          <w:del w:id="9379" w:author="AbbVie19" w:date="2025-04-17T11:02:00Z"/>
        </w:rPr>
      </w:pPr>
    </w:p>
    <w:p w14:paraId="15216126" w14:textId="77777777" w:rsidR="00BC0E7E" w:rsidRPr="00BC0E7E" w:rsidRDefault="00BC0E7E" w:rsidP="00BC0E7E">
      <w:pPr>
        <w:ind w:left="540" w:hanging="540"/>
      </w:pPr>
    </w:p>
    <w:p w14:paraId="3C98BB62" w14:textId="77777777" w:rsidR="00BC0E7E" w:rsidRPr="00BC0E7E" w:rsidRDefault="00944B8F" w:rsidP="005C0D2E">
      <w:pPr>
        <w:pBdr>
          <w:top w:val="single" w:sz="4" w:space="1" w:color="auto"/>
          <w:left w:val="single" w:sz="4" w:space="4" w:color="auto"/>
          <w:bottom w:val="single" w:sz="4" w:space="1" w:color="auto"/>
          <w:right w:val="single" w:sz="4" w:space="4" w:color="auto"/>
        </w:pBdr>
        <w:tabs>
          <w:tab w:val="clear" w:pos="562"/>
        </w:tabs>
        <w:rPr>
          <w:del w:id="9380" w:author="AbbVie19" w:date="2025-04-17T11:03:00Z"/>
          <w:b/>
          <w:bCs/>
          <w:caps/>
          <w:szCs w:val="20"/>
        </w:rPr>
      </w:pPr>
      <w:r w:rsidRPr="00BC0E7E">
        <w:rPr>
          <w:caps/>
          <w:szCs w:val="20"/>
        </w:rPr>
        <w:br w:type="page"/>
      </w:r>
      <w:del w:id="9381" w:author="AbbVie19" w:date="2025-04-17T11:03:00Z">
        <w:r w:rsidRPr="00BC0E7E">
          <w:rPr>
            <w:b/>
            <w:bCs/>
            <w:caps/>
            <w:szCs w:val="20"/>
          </w:rPr>
          <w:lastRenderedPageBreak/>
          <w:delText xml:space="preserve">PARTICULARS TO APPEAR ON THE OUTER PACKAGING </w:delText>
        </w:r>
      </w:del>
    </w:p>
    <w:p w14:paraId="4A596A81" w14:textId="77777777" w:rsidR="00BC0E7E" w:rsidRPr="00BC0E7E" w:rsidRDefault="00BC0E7E" w:rsidP="00762FA7">
      <w:pPr>
        <w:pBdr>
          <w:top w:val="single" w:sz="4" w:space="1" w:color="auto"/>
          <w:left w:val="single" w:sz="4" w:space="4" w:color="auto"/>
          <w:bottom w:val="single" w:sz="4" w:space="1" w:color="auto"/>
          <w:right w:val="single" w:sz="4" w:space="4" w:color="auto"/>
        </w:pBdr>
        <w:ind w:left="561" w:hanging="561"/>
        <w:rPr>
          <w:del w:id="9382" w:author="AbbVie19" w:date="2025-04-17T11:03:00Z"/>
          <w:caps/>
          <w:szCs w:val="20"/>
        </w:rPr>
      </w:pPr>
    </w:p>
    <w:p w14:paraId="6357B0C7" w14:textId="77777777" w:rsidR="00BC0E7E" w:rsidRPr="00BC0E7E" w:rsidRDefault="00944B8F" w:rsidP="00762FA7">
      <w:pPr>
        <w:keepLines/>
        <w:pBdr>
          <w:top w:val="single" w:sz="4" w:space="1" w:color="auto"/>
          <w:left w:val="single" w:sz="4" w:space="4" w:color="auto"/>
          <w:bottom w:val="single" w:sz="4" w:space="1" w:color="auto"/>
          <w:right w:val="single" w:sz="4" w:space="4" w:color="auto"/>
        </w:pBdr>
        <w:ind w:left="540" w:hanging="540"/>
        <w:outlineLvl w:val="2"/>
        <w:rPr>
          <w:del w:id="9383" w:author="AbbVie19" w:date="2025-04-17T11:03:00Z"/>
          <w:bCs/>
          <w:sz w:val="26"/>
          <w:szCs w:val="26"/>
        </w:rPr>
      </w:pPr>
      <w:del w:id="9384" w:author="AbbVie19" w:date="2025-04-17T11:03:00Z">
        <w:r w:rsidRPr="00BC0E7E">
          <w:rPr>
            <w:b/>
            <w:bCs/>
            <w:szCs w:val="26"/>
          </w:rPr>
          <w:delText>OUTER CARTON</w:delText>
        </w:r>
      </w:del>
    </w:p>
    <w:p w14:paraId="36259AEF" w14:textId="77777777" w:rsidR="00BC0E7E" w:rsidRPr="00BC0E7E" w:rsidRDefault="00BC0E7E" w:rsidP="00762FA7">
      <w:pPr>
        <w:ind w:left="540" w:hanging="540"/>
        <w:rPr>
          <w:del w:id="9385" w:author="AbbVie19" w:date="2025-04-17T11:03:00Z"/>
          <w:b/>
        </w:rPr>
      </w:pPr>
    </w:p>
    <w:p w14:paraId="5BB59817" w14:textId="77777777" w:rsidR="00BC0E7E" w:rsidRPr="00BC0E7E" w:rsidRDefault="00BC0E7E" w:rsidP="00762FA7">
      <w:pPr>
        <w:ind w:left="540" w:hanging="540"/>
        <w:rPr>
          <w:del w:id="9386" w:author="AbbVie19" w:date="2025-04-17T11:03:00Z"/>
          <w:b/>
        </w:rPr>
      </w:pPr>
    </w:p>
    <w:p w14:paraId="60989F51"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1" w:hanging="561"/>
        <w:rPr>
          <w:del w:id="9387" w:author="AbbVie19" w:date="2025-04-17T11:03:00Z"/>
          <w:b/>
          <w:caps/>
          <w:szCs w:val="20"/>
        </w:rPr>
      </w:pPr>
      <w:del w:id="9388" w:author="AbbVie19" w:date="2025-04-17T11:03:00Z">
        <w:r w:rsidRPr="00BC0E7E">
          <w:rPr>
            <w:b/>
            <w:caps/>
            <w:szCs w:val="20"/>
          </w:rPr>
          <w:delText>1.</w:delText>
        </w:r>
        <w:r w:rsidRPr="00BC0E7E">
          <w:rPr>
            <w:b/>
            <w:caps/>
            <w:szCs w:val="20"/>
          </w:rPr>
          <w:tab/>
          <w:delText>NAME OF THE MEDICINAL PRODUCT</w:delText>
        </w:r>
      </w:del>
    </w:p>
    <w:p w14:paraId="5A24D505" w14:textId="77777777" w:rsidR="00BC0E7E" w:rsidRPr="00BC0E7E" w:rsidRDefault="00BC0E7E" w:rsidP="00762FA7">
      <w:pPr>
        <w:ind w:left="540" w:hanging="540"/>
        <w:rPr>
          <w:del w:id="9389" w:author="AbbVie19" w:date="2025-04-17T11:03:00Z"/>
        </w:rPr>
      </w:pPr>
    </w:p>
    <w:p w14:paraId="520CFE8D" w14:textId="77777777" w:rsidR="00BC0E7E" w:rsidRPr="00BC0E7E" w:rsidRDefault="00944B8F" w:rsidP="00762FA7">
      <w:pPr>
        <w:ind w:left="540" w:hanging="540"/>
        <w:rPr>
          <w:del w:id="9390" w:author="AbbVie19" w:date="2025-04-17T11:03:00Z"/>
        </w:rPr>
      </w:pPr>
      <w:del w:id="9391" w:author="AbbVie19" w:date="2025-04-17T11:03:00Z">
        <w:r w:rsidRPr="00BC0E7E">
          <w:delText>Humira 40 mg solution for injection in pre-filled pen</w:delText>
        </w:r>
      </w:del>
    </w:p>
    <w:p w14:paraId="578E49FA" w14:textId="77777777" w:rsidR="00BC0E7E" w:rsidRPr="00BC0E7E" w:rsidRDefault="00944B8F" w:rsidP="00762FA7">
      <w:pPr>
        <w:tabs>
          <w:tab w:val="clear" w:pos="562"/>
        </w:tabs>
        <w:ind w:left="540" w:hanging="540"/>
        <w:rPr>
          <w:del w:id="9392" w:author="AbbVie19" w:date="2025-04-17T11:03:00Z"/>
          <w:szCs w:val="22"/>
        </w:rPr>
      </w:pPr>
      <w:del w:id="9393" w:author="AbbVie19" w:date="2025-04-17T11:03:00Z">
        <w:r w:rsidRPr="00BC0E7E">
          <w:rPr>
            <w:szCs w:val="22"/>
          </w:rPr>
          <w:delText>adalimumab</w:delText>
        </w:r>
      </w:del>
    </w:p>
    <w:p w14:paraId="08B8E519" w14:textId="77777777" w:rsidR="00BC0E7E" w:rsidRPr="00BC0E7E" w:rsidRDefault="00BC0E7E" w:rsidP="00762FA7">
      <w:pPr>
        <w:rPr>
          <w:del w:id="9394" w:author="AbbVie19" w:date="2025-04-17T11:03:00Z"/>
        </w:rPr>
      </w:pPr>
    </w:p>
    <w:p w14:paraId="3839AB6D" w14:textId="77777777" w:rsidR="00BC0E7E" w:rsidRPr="00BC0E7E" w:rsidRDefault="00BC0E7E" w:rsidP="00762FA7">
      <w:pPr>
        <w:rPr>
          <w:del w:id="9395" w:author="AbbVie19" w:date="2025-04-17T11:03:00Z"/>
        </w:rPr>
      </w:pPr>
    </w:p>
    <w:p w14:paraId="1772490B"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396" w:author="AbbVie19" w:date="2025-04-17T11:03:00Z"/>
          <w:b/>
          <w:caps/>
          <w:szCs w:val="20"/>
        </w:rPr>
      </w:pPr>
      <w:del w:id="9397" w:author="AbbVie19" w:date="2025-04-17T11:03:00Z">
        <w:r w:rsidRPr="00BC0E7E">
          <w:rPr>
            <w:b/>
            <w:caps/>
            <w:szCs w:val="20"/>
          </w:rPr>
          <w:delText>2.</w:delText>
        </w:r>
        <w:r w:rsidRPr="00BC0E7E">
          <w:rPr>
            <w:b/>
            <w:caps/>
            <w:szCs w:val="20"/>
          </w:rPr>
          <w:tab/>
          <w:delText>STATEMENT OF ACTIVE SUBSTANCE</w:delText>
        </w:r>
      </w:del>
    </w:p>
    <w:p w14:paraId="1668F9AC" w14:textId="77777777" w:rsidR="00BC0E7E" w:rsidRPr="00BC0E7E" w:rsidRDefault="00BC0E7E" w:rsidP="00762FA7">
      <w:pPr>
        <w:ind w:left="540" w:hanging="540"/>
        <w:rPr>
          <w:del w:id="9398" w:author="AbbVie19" w:date="2025-04-17T11:03:00Z"/>
        </w:rPr>
      </w:pPr>
    </w:p>
    <w:p w14:paraId="543F0AAF" w14:textId="77777777" w:rsidR="00BC0E7E" w:rsidRPr="00BC0E7E" w:rsidRDefault="00944B8F" w:rsidP="00762FA7">
      <w:pPr>
        <w:ind w:left="540" w:hanging="540"/>
        <w:rPr>
          <w:del w:id="9399" w:author="AbbVie19" w:date="2025-04-17T11:03:00Z"/>
        </w:rPr>
      </w:pPr>
      <w:del w:id="9400" w:author="AbbVie19" w:date="2025-04-17T11:03:00Z">
        <w:r w:rsidRPr="00BC0E7E">
          <w:delText>One 0.8 ml pre-fille</w:delText>
        </w:r>
        <w:r w:rsidR="007746CB">
          <w:delText>d pen contains 40 mg adalimumab.</w:delText>
        </w:r>
      </w:del>
    </w:p>
    <w:p w14:paraId="1189B531" w14:textId="77777777" w:rsidR="00BC0E7E" w:rsidRPr="00BC0E7E" w:rsidRDefault="00BC0E7E" w:rsidP="00762FA7">
      <w:pPr>
        <w:ind w:left="540" w:hanging="540"/>
        <w:rPr>
          <w:del w:id="9401" w:author="AbbVie19" w:date="2025-04-17T11:03:00Z"/>
        </w:rPr>
      </w:pPr>
    </w:p>
    <w:p w14:paraId="6AF8D591" w14:textId="77777777" w:rsidR="00BC0E7E" w:rsidRPr="00BC0E7E" w:rsidRDefault="00BC0E7E" w:rsidP="00762FA7">
      <w:pPr>
        <w:ind w:left="540" w:hanging="540"/>
        <w:rPr>
          <w:del w:id="9402" w:author="AbbVie19" w:date="2025-04-17T11:03:00Z"/>
        </w:rPr>
      </w:pPr>
    </w:p>
    <w:p w14:paraId="6726016D"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403" w:author="AbbVie19" w:date="2025-04-17T11:03:00Z"/>
          <w:b/>
          <w:caps/>
          <w:szCs w:val="20"/>
        </w:rPr>
      </w:pPr>
      <w:del w:id="9404" w:author="AbbVie19" w:date="2025-04-17T11:03:00Z">
        <w:r w:rsidRPr="00BC0E7E">
          <w:rPr>
            <w:b/>
            <w:caps/>
            <w:szCs w:val="20"/>
          </w:rPr>
          <w:delText>3.</w:delText>
        </w:r>
        <w:r w:rsidRPr="00BC0E7E">
          <w:rPr>
            <w:b/>
            <w:caps/>
            <w:szCs w:val="20"/>
          </w:rPr>
          <w:tab/>
          <w:delText>LIST OF EXCIPIENTS</w:delText>
        </w:r>
      </w:del>
    </w:p>
    <w:p w14:paraId="3811A636" w14:textId="77777777" w:rsidR="00BC0E7E" w:rsidRPr="00BC0E7E" w:rsidRDefault="00BC0E7E" w:rsidP="00762FA7">
      <w:pPr>
        <w:rPr>
          <w:del w:id="9405" w:author="AbbVie19" w:date="2025-04-17T11:03:00Z"/>
        </w:rPr>
      </w:pPr>
    </w:p>
    <w:p w14:paraId="182249E0" w14:textId="77777777" w:rsidR="00BC0E7E" w:rsidRPr="00BC0E7E" w:rsidRDefault="00944B8F" w:rsidP="00762FA7">
      <w:pPr>
        <w:rPr>
          <w:del w:id="9406" w:author="AbbVie19" w:date="2025-04-17T11:03:00Z"/>
        </w:rPr>
      </w:pPr>
      <w:del w:id="9407" w:author="AbbVie19" w:date="2025-04-17T11:03:00Z">
        <w:r w:rsidRPr="00BC0E7E">
          <w:delText>Excipients: mannitol, citric acid monohydrate, sodium citrate, sodium dihydrogen phosphate dihydrate, disodium phosphate dihydrate, sodium chloride, polysorbate 80, sodium hydroxide and water for injections. See leaflet for further information.</w:delText>
        </w:r>
      </w:del>
    </w:p>
    <w:p w14:paraId="7678CB32" w14:textId="77777777" w:rsidR="00BC0E7E" w:rsidRPr="00BC0E7E" w:rsidRDefault="00BC0E7E" w:rsidP="00762FA7">
      <w:pPr>
        <w:rPr>
          <w:del w:id="9408" w:author="AbbVie19" w:date="2025-04-17T11:03:00Z"/>
        </w:rPr>
      </w:pPr>
    </w:p>
    <w:p w14:paraId="13183F8B" w14:textId="77777777" w:rsidR="00BC0E7E" w:rsidRPr="00BC0E7E" w:rsidRDefault="00BC0E7E" w:rsidP="00762FA7">
      <w:pPr>
        <w:rPr>
          <w:del w:id="9409" w:author="AbbVie19" w:date="2025-04-17T11:03:00Z"/>
        </w:rPr>
      </w:pPr>
    </w:p>
    <w:p w14:paraId="244A6D12"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410" w:author="AbbVie19" w:date="2025-04-17T11:03:00Z"/>
          <w:b/>
          <w:caps/>
          <w:szCs w:val="20"/>
        </w:rPr>
      </w:pPr>
      <w:del w:id="9411" w:author="AbbVie19" w:date="2025-04-17T11:03:00Z">
        <w:r w:rsidRPr="00BC0E7E">
          <w:rPr>
            <w:b/>
            <w:caps/>
            <w:szCs w:val="20"/>
          </w:rPr>
          <w:delText>4.</w:delText>
        </w:r>
        <w:r w:rsidRPr="00BC0E7E">
          <w:rPr>
            <w:b/>
            <w:caps/>
            <w:szCs w:val="20"/>
          </w:rPr>
          <w:tab/>
          <w:delText>PHARMACEUTICAL FORM AND CONTENTS</w:delText>
        </w:r>
      </w:del>
    </w:p>
    <w:p w14:paraId="56472082" w14:textId="77777777" w:rsidR="00BC0E7E" w:rsidRPr="00BC0E7E" w:rsidRDefault="00BC0E7E" w:rsidP="00762FA7">
      <w:pPr>
        <w:tabs>
          <w:tab w:val="clear" w:pos="562"/>
        </w:tabs>
        <w:ind w:left="540" w:hanging="540"/>
        <w:rPr>
          <w:del w:id="9412" w:author="AbbVie19" w:date="2025-04-17T11:03:00Z"/>
          <w:sz w:val="20"/>
          <w:szCs w:val="20"/>
        </w:rPr>
      </w:pPr>
    </w:p>
    <w:p w14:paraId="01B6F452" w14:textId="77777777" w:rsidR="00DC6624" w:rsidRDefault="00944B8F" w:rsidP="00762FA7">
      <w:pPr>
        <w:autoSpaceDE w:val="0"/>
        <w:autoSpaceDN w:val="0"/>
        <w:adjustRightInd w:val="0"/>
        <w:rPr>
          <w:del w:id="9413" w:author="AbbVie19" w:date="2025-04-17T11:03:00Z"/>
        </w:rPr>
      </w:pPr>
      <w:del w:id="9414" w:author="AbbVie19" w:date="2025-04-17T11:03:00Z">
        <w:r w:rsidRPr="00925C36">
          <w:rPr>
            <w:highlight w:val="lightGray"/>
          </w:rPr>
          <w:delText>Solution for injection</w:delText>
        </w:r>
      </w:del>
    </w:p>
    <w:p w14:paraId="62C7A024" w14:textId="77777777" w:rsidR="00BC0E7E" w:rsidRPr="00BC0E7E" w:rsidRDefault="00944B8F" w:rsidP="00762FA7">
      <w:pPr>
        <w:tabs>
          <w:tab w:val="clear" w:pos="562"/>
        </w:tabs>
        <w:ind w:left="540" w:hanging="540"/>
        <w:rPr>
          <w:del w:id="9415" w:author="AbbVie19" w:date="2025-04-17T11:03:00Z"/>
          <w:szCs w:val="22"/>
        </w:rPr>
      </w:pPr>
      <w:del w:id="9416" w:author="AbbVie19" w:date="2025-04-17T11:03:00Z">
        <w:r w:rsidRPr="00BC0E7E">
          <w:rPr>
            <w:szCs w:val="22"/>
          </w:rPr>
          <w:delText>1 pre-filled pen</w:delText>
        </w:r>
      </w:del>
    </w:p>
    <w:p w14:paraId="1F576152" w14:textId="77777777" w:rsidR="00BC0E7E" w:rsidRDefault="00944B8F" w:rsidP="00762FA7">
      <w:pPr>
        <w:ind w:left="540" w:hanging="540"/>
        <w:rPr>
          <w:del w:id="9417" w:author="AbbVie19" w:date="2025-04-17T11:03:00Z"/>
        </w:rPr>
      </w:pPr>
      <w:del w:id="9418" w:author="AbbVie19" w:date="2025-04-17T11:03:00Z">
        <w:r w:rsidRPr="00BC0E7E">
          <w:delText xml:space="preserve">2 alcohol pads </w:delText>
        </w:r>
      </w:del>
    </w:p>
    <w:p w14:paraId="763D41E8" w14:textId="77777777" w:rsidR="00A01295" w:rsidRDefault="00A01295" w:rsidP="00762FA7">
      <w:pPr>
        <w:tabs>
          <w:tab w:val="clear" w:pos="562"/>
        </w:tabs>
        <w:ind w:left="540" w:hanging="540"/>
        <w:rPr>
          <w:del w:id="9419" w:author="AbbVie19" w:date="2025-04-17T11:03:00Z"/>
          <w:szCs w:val="22"/>
        </w:rPr>
      </w:pPr>
    </w:p>
    <w:p w14:paraId="27164730" w14:textId="77777777" w:rsidR="00A01295" w:rsidRPr="000244DF" w:rsidRDefault="00944B8F" w:rsidP="00762FA7">
      <w:pPr>
        <w:tabs>
          <w:tab w:val="clear" w:pos="562"/>
        </w:tabs>
        <w:ind w:left="540" w:hanging="540"/>
        <w:rPr>
          <w:del w:id="9420" w:author="AbbVie19" w:date="2025-04-17T11:03:00Z"/>
          <w:szCs w:val="22"/>
          <w:highlight w:val="lightGray"/>
        </w:rPr>
      </w:pPr>
      <w:del w:id="9421" w:author="AbbVie19" w:date="2025-04-17T11:03:00Z">
        <w:r w:rsidRPr="000244DF">
          <w:rPr>
            <w:szCs w:val="22"/>
            <w:highlight w:val="lightGray"/>
          </w:rPr>
          <w:delText>2 pre-filled pens</w:delText>
        </w:r>
      </w:del>
    </w:p>
    <w:p w14:paraId="1CB5B11D" w14:textId="77777777" w:rsidR="00A01295" w:rsidRPr="000244DF" w:rsidRDefault="00944B8F" w:rsidP="00762FA7">
      <w:pPr>
        <w:ind w:left="540" w:hanging="540"/>
        <w:rPr>
          <w:del w:id="9422" w:author="AbbVie19" w:date="2025-04-17T11:03:00Z"/>
          <w:highlight w:val="lightGray"/>
        </w:rPr>
      </w:pPr>
      <w:del w:id="9423" w:author="AbbVie19" w:date="2025-04-17T11:03:00Z">
        <w:r w:rsidRPr="000244DF">
          <w:rPr>
            <w:highlight w:val="lightGray"/>
          </w:rPr>
          <w:delText xml:space="preserve">2 alcohol pads </w:delText>
        </w:r>
      </w:del>
    </w:p>
    <w:p w14:paraId="0158739D" w14:textId="77777777" w:rsidR="00A01295" w:rsidRPr="000244DF" w:rsidRDefault="00A01295" w:rsidP="00762FA7">
      <w:pPr>
        <w:ind w:left="540" w:hanging="540"/>
        <w:rPr>
          <w:del w:id="9424" w:author="AbbVie19" w:date="2025-04-17T11:03:00Z"/>
          <w:highlight w:val="lightGray"/>
        </w:rPr>
      </w:pPr>
    </w:p>
    <w:p w14:paraId="39580BDA" w14:textId="77777777" w:rsidR="00A01295" w:rsidRPr="000244DF" w:rsidRDefault="00944B8F" w:rsidP="00762FA7">
      <w:pPr>
        <w:tabs>
          <w:tab w:val="clear" w:pos="562"/>
        </w:tabs>
        <w:ind w:left="540" w:hanging="540"/>
        <w:rPr>
          <w:del w:id="9425" w:author="AbbVie19" w:date="2025-04-17T11:03:00Z"/>
          <w:szCs w:val="22"/>
          <w:highlight w:val="lightGray"/>
        </w:rPr>
      </w:pPr>
      <w:del w:id="9426" w:author="AbbVie19" w:date="2025-04-17T11:03:00Z">
        <w:r w:rsidRPr="000244DF">
          <w:rPr>
            <w:szCs w:val="22"/>
            <w:highlight w:val="lightGray"/>
          </w:rPr>
          <w:delText>4 pre-filled pens</w:delText>
        </w:r>
      </w:del>
    </w:p>
    <w:p w14:paraId="01CB7E6C" w14:textId="77777777" w:rsidR="00A01295" w:rsidRPr="000244DF" w:rsidRDefault="00944B8F" w:rsidP="00762FA7">
      <w:pPr>
        <w:ind w:left="540" w:hanging="540"/>
        <w:rPr>
          <w:del w:id="9427" w:author="AbbVie19" w:date="2025-04-17T11:03:00Z"/>
          <w:highlight w:val="lightGray"/>
        </w:rPr>
      </w:pPr>
      <w:del w:id="9428" w:author="AbbVie19" w:date="2025-04-17T11:03:00Z">
        <w:r w:rsidRPr="000244DF">
          <w:rPr>
            <w:highlight w:val="lightGray"/>
          </w:rPr>
          <w:delText xml:space="preserve">4 alcohol pads </w:delText>
        </w:r>
      </w:del>
    </w:p>
    <w:p w14:paraId="76BD941A" w14:textId="77777777" w:rsidR="00A01295" w:rsidRPr="000244DF" w:rsidRDefault="00A01295" w:rsidP="00762FA7">
      <w:pPr>
        <w:ind w:left="540" w:hanging="540"/>
        <w:rPr>
          <w:del w:id="9429" w:author="AbbVie19" w:date="2025-04-17T11:03:00Z"/>
          <w:highlight w:val="lightGray"/>
        </w:rPr>
      </w:pPr>
    </w:p>
    <w:p w14:paraId="61E7A35B" w14:textId="77777777" w:rsidR="00A01295" w:rsidRPr="000244DF" w:rsidRDefault="00944B8F" w:rsidP="00762FA7">
      <w:pPr>
        <w:tabs>
          <w:tab w:val="clear" w:pos="562"/>
        </w:tabs>
        <w:ind w:left="540" w:hanging="540"/>
        <w:rPr>
          <w:del w:id="9430" w:author="AbbVie19" w:date="2025-04-17T11:03:00Z"/>
          <w:szCs w:val="22"/>
          <w:highlight w:val="lightGray"/>
        </w:rPr>
      </w:pPr>
      <w:del w:id="9431" w:author="AbbVie19" w:date="2025-04-17T11:03:00Z">
        <w:r w:rsidRPr="000244DF">
          <w:rPr>
            <w:szCs w:val="22"/>
            <w:highlight w:val="lightGray"/>
          </w:rPr>
          <w:delText>6 pre-filled pens</w:delText>
        </w:r>
      </w:del>
    </w:p>
    <w:p w14:paraId="0E72B8D9" w14:textId="77777777" w:rsidR="00A01295" w:rsidRPr="00BC0E7E" w:rsidRDefault="00944B8F" w:rsidP="00762FA7">
      <w:pPr>
        <w:ind w:left="540" w:hanging="540"/>
        <w:rPr>
          <w:del w:id="9432" w:author="AbbVie19" w:date="2025-04-17T11:03:00Z"/>
        </w:rPr>
      </w:pPr>
      <w:del w:id="9433" w:author="AbbVie19" w:date="2025-04-17T11:03:00Z">
        <w:r w:rsidRPr="000244DF">
          <w:rPr>
            <w:highlight w:val="lightGray"/>
          </w:rPr>
          <w:delText>6 alcohol pads</w:delText>
        </w:r>
        <w:r w:rsidRPr="00BC0E7E">
          <w:delText xml:space="preserve"> </w:delText>
        </w:r>
      </w:del>
    </w:p>
    <w:p w14:paraId="622A07B0" w14:textId="77777777" w:rsidR="00BC0E7E" w:rsidRPr="00BC0E7E" w:rsidRDefault="00BC0E7E" w:rsidP="00762FA7">
      <w:pPr>
        <w:rPr>
          <w:del w:id="9434" w:author="AbbVie19" w:date="2025-04-17T11:03:00Z"/>
        </w:rPr>
      </w:pPr>
    </w:p>
    <w:p w14:paraId="0175E73F" w14:textId="77777777" w:rsidR="00BC0E7E" w:rsidRPr="00BC0E7E" w:rsidRDefault="00BC0E7E" w:rsidP="00762FA7">
      <w:pPr>
        <w:ind w:left="540" w:hanging="540"/>
        <w:rPr>
          <w:del w:id="9435" w:author="AbbVie19" w:date="2025-04-17T11:03:00Z"/>
        </w:rPr>
      </w:pPr>
    </w:p>
    <w:p w14:paraId="23351C7A"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436" w:author="AbbVie19" w:date="2025-04-17T11:03:00Z"/>
          <w:b/>
          <w:caps/>
          <w:szCs w:val="20"/>
        </w:rPr>
      </w:pPr>
      <w:del w:id="9437" w:author="AbbVie19" w:date="2025-04-17T11:03:00Z">
        <w:r w:rsidRPr="00BC0E7E">
          <w:rPr>
            <w:b/>
            <w:caps/>
            <w:szCs w:val="20"/>
          </w:rPr>
          <w:delText>5.</w:delText>
        </w:r>
        <w:r w:rsidRPr="00BC0E7E">
          <w:rPr>
            <w:b/>
            <w:caps/>
            <w:szCs w:val="20"/>
          </w:rPr>
          <w:tab/>
          <w:delText>METHOD AND ROUTE OF ADMINISTRATION</w:delText>
        </w:r>
      </w:del>
    </w:p>
    <w:p w14:paraId="47923DD3" w14:textId="77777777" w:rsidR="00BC0E7E" w:rsidRPr="00BC0E7E" w:rsidRDefault="00BC0E7E" w:rsidP="00762FA7">
      <w:pPr>
        <w:ind w:left="540" w:hanging="540"/>
        <w:rPr>
          <w:del w:id="9438" w:author="AbbVie19" w:date="2025-04-17T11:03:00Z"/>
        </w:rPr>
      </w:pPr>
    </w:p>
    <w:p w14:paraId="505AB443" w14:textId="77777777" w:rsidR="00BC0E7E" w:rsidRPr="00BC0E7E" w:rsidRDefault="00944B8F" w:rsidP="00762FA7">
      <w:pPr>
        <w:ind w:left="540" w:hanging="540"/>
        <w:rPr>
          <w:del w:id="9439" w:author="AbbVie19" w:date="2025-04-17T11:03:00Z"/>
        </w:rPr>
      </w:pPr>
      <w:del w:id="9440" w:author="AbbVie19" w:date="2025-04-17T11:03:00Z">
        <w:r w:rsidRPr="00BC0E7E">
          <w:delText>Subcutaneous use</w:delText>
        </w:r>
      </w:del>
    </w:p>
    <w:p w14:paraId="42C24003" w14:textId="77777777" w:rsidR="00BC0E7E" w:rsidRPr="00BC0E7E" w:rsidRDefault="00BC0E7E" w:rsidP="00762FA7">
      <w:pPr>
        <w:ind w:left="540" w:hanging="540"/>
        <w:rPr>
          <w:del w:id="9441" w:author="AbbVie19" w:date="2025-04-17T11:03:00Z"/>
        </w:rPr>
      </w:pPr>
    </w:p>
    <w:p w14:paraId="311E8C7B" w14:textId="77777777" w:rsidR="00BC0E7E" w:rsidRPr="00BC0E7E" w:rsidRDefault="00944B8F" w:rsidP="00762FA7">
      <w:pPr>
        <w:ind w:left="540" w:hanging="540"/>
        <w:rPr>
          <w:del w:id="9442" w:author="AbbVie19" w:date="2025-04-17T11:03:00Z"/>
        </w:rPr>
      </w:pPr>
      <w:del w:id="9443" w:author="AbbVie19" w:date="2025-04-17T11:03:00Z">
        <w:r w:rsidRPr="00BC0E7E">
          <w:delText>Read the package leaflet before use.</w:delText>
        </w:r>
      </w:del>
    </w:p>
    <w:p w14:paraId="7C0018E8" w14:textId="77777777" w:rsidR="00BC0E7E" w:rsidRPr="00BC0E7E" w:rsidRDefault="00BC0E7E" w:rsidP="00762FA7">
      <w:pPr>
        <w:ind w:left="540" w:hanging="540"/>
        <w:rPr>
          <w:del w:id="9444" w:author="AbbVie19" w:date="2025-04-17T11:03:00Z"/>
        </w:rPr>
      </w:pPr>
    </w:p>
    <w:p w14:paraId="2AC86E66" w14:textId="77777777" w:rsidR="00DC6624" w:rsidRDefault="00944B8F" w:rsidP="00762FA7">
      <w:pPr>
        <w:ind w:left="540" w:hanging="540"/>
        <w:rPr>
          <w:del w:id="9445" w:author="AbbVie19" w:date="2025-04-17T11:03:00Z"/>
        </w:rPr>
      </w:pPr>
      <w:del w:id="9446" w:author="AbbVie19" w:date="2025-04-17T11:03:00Z">
        <w:r w:rsidRPr="002A3533">
          <w:delText>For single use only</w:delText>
        </w:r>
        <w:r w:rsidR="006E5817">
          <w:delText>.</w:delText>
        </w:r>
      </w:del>
    </w:p>
    <w:p w14:paraId="66400B1B" w14:textId="77777777" w:rsidR="00DC6624" w:rsidRDefault="00DC6624" w:rsidP="00762FA7">
      <w:pPr>
        <w:ind w:left="540" w:hanging="540"/>
        <w:rPr>
          <w:del w:id="9447" w:author="AbbVie19" w:date="2025-04-17T11:03:00Z"/>
        </w:rPr>
      </w:pPr>
    </w:p>
    <w:p w14:paraId="41F6F2A9" w14:textId="77777777" w:rsidR="00BC0E7E" w:rsidRPr="00BC0E7E" w:rsidRDefault="00BC0E7E" w:rsidP="00762FA7">
      <w:pPr>
        <w:ind w:left="540" w:hanging="540"/>
        <w:rPr>
          <w:del w:id="9448" w:author="AbbVie19" w:date="2025-04-17T11:03:00Z"/>
        </w:rPr>
      </w:pPr>
    </w:p>
    <w:p w14:paraId="39C80DCB"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50" w:hanging="550"/>
        <w:rPr>
          <w:del w:id="9449" w:author="AbbVie19" w:date="2025-04-17T11:03:00Z"/>
          <w:b/>
          <w:caps/>
          <w:szCs w:val="20"/>
        </w:rPr>
      </w:pPr>
      <w:del w:id="9450" w:author="AbbVie19" w:date="2025-04-17T11:03:00Z">
        <w:r w:rsidRPr="00BC0E7E">
          <w:rPr>
            <w:b/>
            <w:caps/>
            <w:szCs w:val="20"/>
          </w:rPr>
          <w:delText>6.</w:delText>
        </w:r>
        <w:r w:rsidRPr="00BC0E7E">
          <w:rPr>
            <w:b/>
            <w:caps/>
            <w:szCs w:val="20"/>
          </w:rPr>
          <w:tab/>
          <w:delText>SPECIAL WARNING THAT THE MEDICINAL PRODUCT MUST BE STORED OUT OF THE SIGHT AND REACH OF CHILDREN</w:delText>
        </w:r>
      </w:del>
    </w:p>
    <w:p w14:paraId="4AC5FAC3" w14:textId="77777777" w:rsidR="00BC0E7E" w:rsidRPr="00BC0E7E" w:rsidRDefault="00BC0E7E" w:rsidP="00762FA7">
      <w:pPr>
        <w:ind w:left="540" w:hanging="540"/>
        <w:rPr>
          <w:del w:id="9451" w:author="AbbVie19" w:date="2025-04-17T11:03:00Z"/>
        </w:rPr>
      </w:pPr>
    </w:p>
    <w:p w14:paraId="2831F8C3" w14:textId="77777777" w:rsidR="00BC0E7E" w:rsidRPr="00BC0E7E" w:rsidRDefault="00944B8F" w:rsidP="00762FA7">
      <w:pPr>
        <w:ind w:left="540" w:hanging="540"/>
        <w:rPr>
          <w:del w:id="9452" w:author="AbbVie19" w:date="2025-04-17T11:03:00Z"/>
        </w:rPr>
      </w:pPr>
      <w:del w:id="9453" w:author="AbbVie19" w:date="2025-04-17T11:03:00Z">
        <w:r w:rsidRPr="00BC0E7E">
          <w:delText>Keep out of the sight and reach of children.</w:delText>
        </w:r>
      </w:del>
    </w:p>
    <w:p w14:paraId="2021163A" w14:textId="77777777" w:rsidR="00BC0E7E" w:rsidRPr="00BC0E7E" w:rsidRDefault="00BC0E7E" w:rsidP="00762FA7">
      <w:pPr>
        <w:ind w:left="540" w:hanging="540"/>
        <w:rPr>
          <w:del w:id="9454" w:author="AbbVie19" w:date="2025-04-17T11:03:00Z"/>
        </w:rPr>
      </w:pPr>
    </w:p>
    <w:p w14:paraId="305E6A31" w14:textId="77777777" w:rsidR="00BC0E7E" w:rsidRPr="00BC0E7E" w:rsidRDefault="00BC0E7E" w:rsidP="00762FA7">
      <w:pPr>
        <w:ind w:left="540" w:hanging="540"/>
        <w:rPr>
          <w:del w:id="9455" w:author="AbbVie19" w:date="2025-04-17T11:03:00Z"/>
        </w:rPr>
      </w:pPr>
    </w:p>
    <w:p w14:paraId="311C9957"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456" w:author="AbbVie19" w:date="2025-04-17T11:03:00Z"/>
          <w:b/>
          <w:caps/>
          <w:szCs w:val="20"/>
        </w:rPr>
      </w:pPr>
      <w:del w:id="9457" w:author="AbbVie19" w:date="2025-04-17T11:03:00Z">
        <w:r w:rsidRPr="00BC0E7E">
          <w:rPr>
            <w:b/>
            <w:caps/>
            <w:szCs w:val="20"/>
          </w:rPr>
          <w:delText>7.</w:delText>
        </w:r>
        <w:r w:rsidRPr="00BC0E7E">
          <w:rPr>
            <w:b/>
            <w:caps/>
            <w:szCs w:val="20"/>
          </w:rPr>
          <w:tab/>
          <w:delText>OTHER SPECIAL WARNING, IF NECESSARY</w:delText>
        </w:r>
      </w:del>
    </w:p>
    <w:p w14:paraId="313379A5" w14:textId="77777777" w:rsidR="00BC0E7E" w:rsidRPr="00BC0E7E" w:rsidRDefault="00BC0E7E" w:rsidP="00762FA7">
      <w:pPr>
        <w:ind w:left="540" w:hanging="540"/>
        <w:rPr>
          <w:del w:id="9458" w:author="AbbVie19" w:date="2025-04-17T11:03:00Z"/>
        </w:rPr>
      </w:pPr>
    </w:p>
    <w:p w14:paraId="1ECE7D05" w14:textId="77777777" w:rsidR="00BC0E7E" w:rsidRPr="00BC0E7E" w:rsidRDefault="00BC0E7E" w:rsidP="00762FA7">
      <w:pPr>
        <w:ind w:left="540" w:hanging="540"/>
        <w:rPr>
          <w:del w:id="9459" w:author="AbbVie19" w:date="2025-04-17T11:03:00Z"/>
        </w:rPr>
      </w:pPr>
    </w:p>
    <w:p w14:paraId="729EE6A1"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1" w:hanging="561"/>
        <w:rPr>
          <w:del w:id="9460" w:author="AbbVie19" w:date="2025-04-17T11:03:00Z"/>
          <w:b/>
          <w:caps/>
          <w:szCs w:val="20"/>
        </w:rPr>
      </w:pPr>
      <w:del w:id="9461" w:author="AbbVie19" w:date="2025-04-17T11:03:00Z">
        <w:r w:rsidRPr="00BC0E7E">
          <w:rPr>
            <w:b/>
            <w:caps/>
            <w:szCs w:val="20"/>
          </w:rPr>
          <w:delText>8.</w:delText>
        </w:r>
        <w:r w:rsidRPr="00BC0E7E">
          <w:rPr>
            <w:b/>
            <w:caps/>
            <w:szCs w:val="20"/>
          </w:rPr>
          <w:tab/>
          <w:delText>EXPIRY DATE</w:delText>
        </w:r>
      </w:del>
    </w:p>
    <w:p w14:paraId="5502A912" w14:textId="77777777" w:rsidR="00BC0E7E" w:rsidRPr="00BC0E7E" w:rsidRDefault="00BC0E7E" w:rsidP="00762FA7">
      <w:pPr>
        <w:ind w:left="540" w:hanging="540"/>
        <w:rPr>
          <w:del w:id="9462" w:author="AbbVie19" w:date="2025-04-17T11:03:00Z"/>
        </w:rPr>
      </w:pPr>
    </w:p>
    <w:p w14:paraId="621CF7AC" w14:textId="77777777" w:rsidR="00BC0E7E" w:rsidRPr="00BC0E7E" w:rsidRDefault="00944B8F" w:rsidP="00762FA7">
      <w:pPr>
        <w:ind w:left="540" w:hanging="540"/>
        <w:rPr>
          <w:del w:id="9463" w:author="AbbVie19" w:date="2025-04-17T11:03:00Z"/>
        </w:rPr>
      </w:pPr>
      <w:del w:id="9464" w:author="AbbVie19" w:date="2025-04-17T11:03:00Z">
        <w:r w:rsidRPr="00BC0E7E">
          <w:delText>EXP</w:delText>
        </w:r>
      </w:del>
    </w:p>
    <w:p w14:paraId="0C565D0D" w14:textId="77777777" w:rsidR="00BC0E7E" w:rsidRPr="00BC0E7E" w:rsidRDefault="00BC0E7E" w:rsidP="00762FA7">
      <w:pPr>
        <w:ind w:left="540" w:hanging="540"/>
        <w:rPr>
          <w:del w:id="9465" w:author="AbbVie19" w:date="2025-04-17T11:03:00Z"/>
        </w:rPr>
      </w:pPr>
    </w:p>
    <w:p w14:paraId="683C6DD9" w14:textId="77777777" w:rsidR="00BC0E7E" w:rsidRPr="00BC0E7E" w:rsidRDefault="00BC0E7E" w:rsidP="00762FA7">
      <w:pPr>
        <w:ind w:left="540" w:hanging="540"/>
        <w:rPr>
          <w:del w:id="9466" w:author="AbbVie19" w:date="2025-04-17T11:03:00Z"/>
        </w:rPr>
      </w:pPr>
    </w:p>
    <w:p w14:paraId="714F0B86" w14:textId="77777777" w:rsidR="00BC0E7E" w:rsidRPr="00BC0E7E" w:rsidRDefault="00944B8F" w:rsidP="00762FA7">
      <w:pPr>
        <w:keepNext/>
        <w:pBdr>
          <w:top w:val="single" w:sz="4" w:space="1" w:color="auto"/>
          <w:left w:val="single" w:sz="4" w:space="4" w:color="auto"/>
          <w:bottom w:val="single" w:sz="4" w:space="1" w:color="auto"/>
          <w:right w:val="single" w:sz="4" w:space="4" w:color="auto"/>
        </w:pBdr>
        <w:ind w:left="562" w:hanging="562"/>
        <w:rPr>
          <w:del w:id="9467" w:author="AbbVie19" w:date="2025-04-17T11:03:00Z"/>
          <w:b/>
          <w:caps/>
          <w:szCs w:val="20"/>
        </w:rPr>
      </w:pPr>
      <w:del w:id="9468" w:author="AbbVie19" w:date="2025-04-17T11:03:00Z">
        <w:r w:rsidRPr="00BC0E7E">
          <w:rPr>
            <w:b/>
            <w:caps/>
            <w:szCs w:val="20"/>
          </w:rPr>
          <w:delText>9.</w:delText>
        </w:r>
        <w:r w:rsidRPr="00BC0E7E">
          <w:rPr>
            <w:b/>
            <w:caps/>
            <w:szCs w:val="20"/>
          </w:rPr>
          <w:tab/>
          <w:delText>SPECIAL STORAGE CONDITIONS</w:delText>
        </w:r>
      </w:del>
    </w:p>
    <w:p w14:paraId="007A10E4" w14:textId="77777777" w:rsidR="00BC0E7E" w:rsidRPr="00BC0E7E" w:rsidRDefault="00BC0E7E" w:rsidP="00762FA7">
      <w:pPr>
        <w:keepNext/>
        <w:ind w:left="540" w:hanging="540"/>
        <w:rPr>
          <w:del w:id="9469" w:author="AbbVie19" w:date="2025-04-17T11:03:00Z"/>
        </w:rPr>
      </w:pPr>
    </w:p>
    <w:p w14:paraId="65E69C05" w14:textId="77777777" w:rsidR="00BC0E7E" w:rsidRPr="00BC0E7E" w:rsidRDefault="00944B8F" w:rsidP="00762FA7">
      <w:pPr>
        <w:keepNext/>
        <w:ind w:left="540" w:hanging="540"/>
        <w:rPr>
          <w:del w:id="9470" w:author="AbbVie19" w:date="2025-04-17T11:03:00Z"/>
        </w:rPr>
      </w:pPr>
      <w:del w:id="9471" w:author="AbbVie19" w:date="2025-04-17T11:03:00Z">
        <w:r w:rsidRPr="00BC0E7E">
          <w:delText xml:space="preserve">Store in a refrigerator. Do not freeze. </w:delText>
        </w:r>
      </w:del>
    </w:p>
    <w:p w14:paraId="5AFC5790" w14:textId="77777777" w:rsidR="00BC0E7E" w:rsidRPr="00BC0E7E" w:rsidRDefault="00944B8F" w:rsidP="00762FA7">
      <w:pPr>
        <w:keepNext/>
        <w:rPr>
          <w:del w:id="9472" w:author="AbbVie19" w:date="2025-04-17T11:03:00Z"/>
        </w:rPr>
      </w:pPr>
      <w:del w:id="9473" w:author="AbbVie19" w:date="2025-04-17T11:03:00Z">
        <w:r w:rsidRPr="00BC0E7E">
          <w:rPr>
            <w:rFonts w:eastAsia="MS Mincho"/>
          </w:rPr>
          <w:delText>Refer to package leaflet for alternative storage details.</w:delText>
        </w:r>
      </w:del>
    </w:p>
    <w:p w14:paraId="1DB81C43" w14:textId="77777777" w:rsidR="00BC0E7E" w:rsidRPr="00BC0E7E" w:rsidRDefault="00BC0E7E" w:rsidP="00762FA7">
      <w:pPr>
        <w:keepNext/>
        <w:ind w:left="540" w:hanging="540"/>
        <w:rPr>
          <w:del w:id="9474" w:author="AbbVie19" w:date="2025-04-17T11:03:00Z"/>
        </w:rPr>
      </w:pPr>
    </w:p>
    <w:p w14:paraId="3B20EDDD" w14:textId="77777777" w:rsidR="00BC0E7E" w:rsidRPr="00BC0E7E" w:rsidRDefault="00944B8F" w:rsidP="00762FA7">
      <w:pPr>
        <w:keepNext/>
        <w:ind w:left="540" w:hanging="540"/>
        <w:rPr>
          <w:del w:id="9475" w:author="AbbVie19" w:date="2025-04-17T11:03:00Z"/>
        </w:rPr>
      </w:pPr>
      <w:del w:id="9476" w:author="AbbVie19" w:date="2025-04-17T11:03:00Z">
        <w:r w:rsidRPr="00BC0E7E">
          <w:delText>Keep the pre-filled pen in the outer carton in order to protect from light.</w:delText>
        </w:r>
      </w:del>
    </w:p>
    <w:p w14:paraId="7952019C" w14:textId="77777777" w:rsidR="00BC0E7E" w:rsidRPr="00BC0E7E" w:rsidRDefault="00BC0E7E" w:rsidP="00762FA7">
      <w:pPr>
        <w:ind w:left="540" w:hanging="540"/>
        <w:rPr>
          <w:del w:id="9477" w:author="AbbVie19" w:date="2025-04-17T11:03:00Z"/>
        </w:rPr>
      </w:pPr>
    </w:p>
    <w:p w14:paraId="5A14C511" w14:textId="77777777" w:rsidR="00BC0E7E" w:rsidRPr="00BC0E7E" w:rsidRDefault="00BC0E7E" w:rsidP="00762FA7">
      <w:pPr>
        <w:ind w:left="540" w:hanging="540"/>
        <w:rPr>
          <w:del w:id="9478" w:author="AbbVie19" w:date="2025-04-17T11:03:00Z"/>
        </w:rPr>
      </w:pPr>
    </w:p>
    <w:p w14:paraId="69D8FFB4"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479" w:author="AbbVie19" w:date="2025-04-17T11:03:00Z"/>
          <w:b/>
          <w:caps/>
          <w:szCs w:val="20"/>
        </w:rPr>
      </w:pPr>
      <w:del w:id="9480" w:author="AbbVie19" w:date="2025-04-17T11:03:00Z">
        <w:r w:rsidRPr="00BC0E7E">
          <w:rPr>
            <w:b/>
            <w:caps/>
            <w:szCs w:val="20"/>
          </w:rPr>
          <w:delText>10.</w:delText>
        </w:r>
        <w:r w:rsidRPr="00BC0E7E">
          <w:rPr>
            <w:b/>
            <w:caps/>
            <w:szCs w:val="20"/>
          </w:rPr>
          <w:tab/>
          <w:delText>SPECIAL PRECAUTIONS FOR DISPOSAL OF UNUSED MEDICINAL PRODUCTS OR WASTE MATERIALS DERIVED FROM SUCH MEDICINAL PRODUCTS, IF APPROPRIATE</w:delText>
        </w:r>
      </w:del>
    </w:p>
    <w:p w14:paraId="44D69720" w14:textId="77777777" w:rsidR="00BC0E7E" w:rsidRPr="00BC0E7E" w:rsidRDefault="00BC0E7E" w:rsidP="00762FA7">
      <w:pPr>
        <w:ind w:left="540" w:hanging="540"/>
        <w:rPr>
          <w:del w:id="9481" w:author="AbbVie19" w:date="2025-04-17T11:03:00Z"/>
        </w:rPr>
      </w:pPr>
    </w:p>
    <w:p w14:paraId="77706E54" w14:textId="77777777" w:rsidR="00BC0E7E" w:rsidRPr="00BC0E7E" w:rsidRDefault="00BC0E7E" w:rsidP="00762FA7">
      <w:pPr>
        <w:ind w:left="540" w:hanging="540"/>
        <w:rPr>
          <w:del w:id="9482" w:author="AbbVie19" w:date="2025-04-17T11:03:00Z"/>
        </w:rPr>
      </w:pPr>
    </w:p>
    <w:p w14:paraId="2F458633"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1" w:hanging="561"/>
        <w:rPr>
          <w:del w:id="9483" w:author="AbbVie19" w:date="2025-04-17T11:03:00Z"/>
          <w:b/>
          <w:caps/>
          <w:szCs w:val="20"/>
        </w:rPr>
      </w:pPr>
      <w:del w:id="9484" w:author="AbbVie19" w:date="2025-04-17T11:03:00Z">
        <w:r w:rsidRPr="00BC0E7E">
          <w:rPr>
            <w:b/>
            <w:caps/>
            <w:szCs w:val="20"/>
          </w:rPr>
          <w:delText>11.</w:delText>
        </w:r>
        <w:r w:rsidRPr="00BC0E7E">
          <w:rPr>
            <w:b/>
            <w:caps/>
            <w:szCs w:val="20"/>
          </w:rPr>
          <w:tab/>
          <w:delText>NAME AND ADDRESS OF THE MARKETING AUTHORISATION HOLDER</w:delText>
        </w:r>
      </w:del>
    </w:p>
    <w:p w14:paraId="193A2BC5" w14:textId="77777777" w:rsidR="00BC0E7E" w:rsidRPr="00BC0E7E" w:rsidRDefault="00BC0E7E" w:rsidP="00762FA7">
      <w:pPr>
        <w:keepNext/>
        <w:tabs>
          <w:tab w:val="clear" w:pos="562"/>
        </w:tabs>
        <w:suppressAutoHyphens w:val="0"/>
        <w:autoSpaceDE w:val="0"/>
        <w:autoSpaceDN w:val="0"/>
        <w:adjustRightInd w:val="0"/>
        <w:spacing w:line="240" w:lineRule="atLeast"/>
        <w:rPr>
          <w:del w:id="9485" w:author="AbbVie19" w:date="2025-04-17T11:03:00Z"/>
          <w:szCs w:val="22"/>
          <w:lang w:eastAsia="en-GB"/>
        </w:rPr>
      </w:pPr>
    </w:p>
    <w:p w14:paraId="67ADE4DA" w14:textId="77777777" w:rsidR="006A01D2" w:rsidRPr="00EB4204" w:rsidRDefault="00944B8F" w:rsidP="00762FA7">
      <w:pPr>
        <w:keepNext/>
        <w:tabs>
          <w:tab w:val="clear" w:pos="562"/>
        </w:tabs>
        <w:suppressAutoHyphens w:val="0"/>
        <w:autoSpaceDE w:val="0"/>
        <w:autoSpaceDN w:val="0"/>
        <w:adjustRightInd w:val="0"/>
        <w:spacing w:line="240" w:lineRule="atLeast"/>
        <w:rPr>
          <w:del w:id="9486" w:author="AbbVie19" w:date="2025-04-17T11:03:00Z"/>
          <w:szCs w:val="22"/>
          <w:lang w:eastAsia="en-GB"/>
        </w:rPr>
      </w:pPr>
      <w:del w:id="9487" w:author="AbbVie19" w:date="2025-04-17T11:03:00Z">
        <w:r w:rsidRPr="00EB4204">
          <w:rPr>
            <w:szCs w:val="22"/>
            <w:lang w:eastAsia="en-GB"/>
          </w:rPr>
          <w:delText>AbbVie Deutschland GmbH &amp; Co. KG</w:delText>
        </w:r>
      </w:del>
    </w:p>
    <w:p w14:paraId="1531798E" w14:textId="77777777" w:rsidR="006A01D2" w:rsidRPr="00F011FF" w:rsidRDefault="00944B8F" w:rsidP="00762FA7">
      <w:pPr>
        <w:keepNext/>
        <w:tabs>
          <w:tab w:val="clear" w:pos="562"/>
        </w:tabs>
        <w:suppressAutoHyphens w:val="0"/>
        <w:autoSpaceDE w:val="0"/>
        <w:autoSpaceDN w:val="0"/>
        <w:adjustRightInd w:val="0"/>
        <w:spacing w:line="240" w:lineRule="atLeast"/>
        <w:rPr>
          <w:del w:id="9488" w:author="AbbVie19" w:date="2025-04-17T11:03:00Z"/>
          <w:szCs w:val="22"/>
          <w:lang w:eastAsia="en-GB"/>
        </w:rPr>
      </w:pPr>
      <w:del w:id="9489" w:author="AbbVie19" w:date="2025-04-17T11:03:00Z">
        <w:r w:rsidRPr="00F011FF">
          <w:rPr>
            <w:szCs w:val="22"/>
            <w:lang w:eastAsia="en-GB"/>
          </w:rPr>
          <w:delText>Knollstrasse</w:delText>
        </w:r>
      </w:del>
    </w:p>
    <w:p w14:paraId="261107D1" w14:textId="77777777" w:rsidR="006A01D2" w:rsidRPr="00F011FF" w:rsidRDefault="00944B8F" w:rsidP="00762FA7">
      <w:pPr>
        <w:keepNext/>
        <w:tabs>
          <w:tab w:val="clear" w:pos="562"/>
        </w:tabs>
        <w:suppressAutoHyphens w:val="0"/>
        <w:autoSpaceDE w:val="0"/>
        <w:autoSpaceDN w:val="0"/>
        <w:adjustRightInd w:val="0"/>
        <w:spacing w:line="240" w:lineRule="atLeast"/>
        <w:rPr>
          <w:del w:id="9490" w:author="AbbVie19" w:date="2025-04-17T11:03:00Z"/>
          <w:szCs w:val="22"/>
          <w:lang w:eastAsia="en-GB"/>
        </w:rPr>
      </w:pPr>
      <w:del w:id="9491" w:author="AbbVie19" w:date="2025-04-17T11:03:00Z">
        <w:r w:rsidRPr="00F011FF">
          <w:rPr>
            <w:szCs w:val="22"/>
            <w:lang w:eastAsia="en-GB"/>
          </w:rPr>
          <w:delText>67061 Ludwigshafen</w:delText>
        </w:r>
      </w:del>
    </w:p>
    <w:p w14:paraId="76659E7C" w14:textId="77777777" w:rsidR="006A01D2" w:rsidRPr="00F011FF" w:rsidRDefault="00944B8F" w:rsidP="00762FA7">
      <w:pPr>
        <w:keepNext/>
        <w:tabs>
          <w:tab w:val="clear" w:pos="562"/>
          <w:tab w:val="left" w:pos="720"/>
        </w:tabs>
        <w:suppressAutoHyphens w:val="0"/>
        <w:autoSpaceDE w:val="0"/>
        <w:autoSpaceDN w:val="0"/>
        <w:adjustRightInd w:val="0"/>
        <w:spacing w:line="240" w:lineRule="atLeast"/>
        <w:rPr>
          <w:del w:id="9492" w:author="AbbVie19" w:date="2025-04-17T11:03:00Z"/>
          <w:szCs w:val="22"/>
          <w:lang w:eastAsia="en-GB"/>
        </w:rPr>
      </w:pPr>
      <w:del w:id="9493" w:author="AbbVie19" w:date="2025-04-17T11:03:00Z">
        <w:r w:rsidRPr="00F011FF">
          <w:rPr>
            <w:szCs w:val="22"/>
            <w:lang w:eastAsia="en-GB"/>
          </w:rPr>
          <w:delText xml:space="preserve">Germany </w:delText>
        </w:r>
      </w:del>
    </w:p>
    <w:p w14:paraId="337DF8C7" w14:textId="77777777" w:rsidR="00BC0E7E" w:rsidRPr="00F011FF" w:rsidRDefault="00BC0E7E" w:rsidP="00762FA7">
      <w:pPr>
        <w:keepNext/>
        <w:tabs>
          <w:tab w:val="clear" w:pos="562"/>
        </w:tabs>
        <w:suppressAutoHyphens w:val="0"/>
        <w:autoSpaceDE w:val="0"/>
        <w:autoSpaceDN w:val="0"/>
        <w:adjustRightInd w:val="0"/>
        <w:spacing w:line="240" w:lineRule="atLeast"/>
        <w:rPr>
          <w:del w:id="9494" w:author="AbbVie19" w:date="2025-04-17T11:03:00Z"/>
          <w:szCs w:val="22"/>
          <w:lang w:eastAsia="en-GB"/>
        </w:rPr>
      </w:pPr>
    </w:p>
    <w:p w14:paraId="02BDBC58" w14:textId="77777777" w:rsidR="00BC0E7E" w:rsidRPr="00F011FF" w:rsidRDefault="00BC0E7E" w:rsidP="00762FA7">
      <w:pPr>
        <w:keepNext/>
        <w:tabs>
          <w:tab w:val="clear" w:pos="562"/>
        </w:tabs>
        <w:suppressAutoHyphens w:val="0"/>
        <w:autoSpaceDE w:val="0"/>
        <w:autoSpaceDN w:val="0"/>
        <w:adjustRightInd w:val="0"/>
        <w:spacing w:line="240" w:lineRule="atLeast"/>
        <w:rPr>
          <w:del w:id="9495" w:author="AbbVie19" w:date="2025-04-17T11:03:00Z"/>
          <w:szCs w:val="22"/>
          <w:lang w:eastAsia="en-GB"/>
        </w:rPr>
      </w:pPr>
    </w:p>
    <w:p w14:paraId="43EF2B79" w14:textId="77777777" w:rsidR="00BC0E7E" w:rsidRPr="00F011FF" w:rsidRDefault="00944B8F" w:rsidP="00762FA7">
      <w:pPr>
        <w:pBdr>
          <w:top w:val="single" w:sz="4" w:space="1" w:color="auto"/>
          <w:left w:val="single" w:sz="4" w:space="4" w:color="auto"/>
          <w:bottom w:val="single" w:sz="4" w:space="1" w:color="auto"/>
          <w:right w:val="single" w:sz="4" w:space="4" w:color="auto"/>
        </w:pBdr>
        <w:ind w:left="562" w:hanging="562"/>
        <w:rPr>
          <w:del w:id="9496" w:author="AbbVie19" w:date="2025-04-17T11:03:00Z"/>
          <w:b/>
          <w:caps/>
          <w:szCs w:val="20"/>
        </w:rPr>
      </w:pPr>
      <w:del w:id="9497" w:author="AbbVie19" w:date="2025-04-17T11:03:00Z">
        <w:r w:rsidRPr="00F011FF">
          <w:rPr>
            <w:b/>
            <w:caps/>
            <w:szCs w:val="20"/>
          </w:rPr>
          <w:delText>12.</w:delText>
        </w:r>
        <w:r w:rsidRPr="00F011FF">
          <w:rPr>
            <w:b/>
            <w:caps/>
            <w:szCs w:val="20"/>
          </w:rPr>
          <w:tab/>
          <w:delText>MARKETING AUTHORISATION NUMBER</w:delText>
        </w:r>
      </w:del>
    </w:p>
    <w:p w14:paraId="4963A0F1" w14:textId="77777777" w:rsidR="00BC0E7E" w:rsidRPr="00F011FF" w:rsidRDefault="00BC0E7E" w:rsidP="00762FA7">
      <w:pPr>
        <w:ind w:left="540" w:hanging="540"/>
        <w:rPr>
          <w:del w:id="9498" w:author="AbbVie19" w:date="2025-04-17T11:03:00Z"/>
        </w:rPr>
      </w:pPr>
    </w:p>
    <w:p w14:paraId="0E22222F" w14:textId="77777777" w:rsidR="00BC0E7E" w:rsidRPr="002F270B" w:rsidRDefault="00944B8F" w:rsidP="00762FA7">
      <w:pPr>
        <w:ind w:left="540" w:hanging="540"/>
        <w:rPr>
          <w:del w:id="9499" w:author="AbbVie19" w:date="2025-04-17T11:03:00Z"/>
          <w:lang w:val="sv-SE"/>
        </w:rPr>
      </w:pPr>
      <w:del w:id="9500" w:author="AbbVie19" w:date="2025-04-17T11:03:00Z">
        <w:r w:rsidRPr="002F270B">
          <w:rPr>
            <w:lang w:val="sv-SE"/>
          </w:rPr>
          <w:delText>EU/1/03/256/007</w:delText>
        </w:r>
      </w:del>
    </w:p>
    <w:p w14:paraId="4E861660" w14:textId="77777777" w:rsidR="00A01295" w:rsidRPr="00491143" w:rsidRDefault="00944B8F" w:rsidP="00762FA7">
      <w:pPr>
        <w:ind w:left="540" w:hanging="540"/>
        <w:rPr>
          <w:del w:id="9501" w:author="AbbVie19" w:date="2025-04-17T11:03:00Z"/>
          <w:highlight w:val="lightGray"/>
          <w:lang w:val="sv-SE"/>
        </w:rPr>
      </w:pPr>
      <w:del w:id="9502" w:author="AbbVie19" w:date="2025-04-17T11:03:00Z">
        <w:r w:rsidRPr="00491143">
          <w:rPr>
            <w:highlight w:val="lightGray"/>
            <w:lang w:val="sv-SE"/>
          </w:rPr>
          <w:delText>EU/1/03/256/008</w:delText>
        </w:r>
      </w:del>
    </w:p>
    <w:p w14:paraId="09154EA6" w14:textId="77777777" w:rsidR="00A01295" w:rsidRPr="00491143" w:rsidRDefault="00944B8F" w:rsidP="00762FA7">
      <w:pPr>
        <w:ind w:left="540" w:hanging="540"/>
        <w:rPr>
          <w:del w:id="9503" w:author="AbbVie19" w:date="2025-04-17T11:03:00Z"/>
          <w:highlight w:val="lightGray"/>
          <w:lang w:val="sv-SE"/>
        </w:rPr>
      </w:pPr>
      <w:del w:id="9504" w:author="AbbVie19" w:date="2025-04-17T11:03:00Z">
        <w:r w:rsidRPr="00491143">
          <w:rPr>
            <w:highlight w:val="lightGray"/>
            <w:lang w:val="sv-SE"/>
          </w:rPr>
          <w:delText>EU/1/03/256/009</w:delText>
        </w:r>
      </w:del>
    </w:p>
    <w:p w14:paraId="1176EDC1" w14:textId="77777777" w:rsidR="00A01295" w:rsidRPr="00491143" w:rsidRDefault="00944B8F" w:rsidP="00762FA7">
      <w:pPr>
        <w:ind w:left="540" w:hanging="540"/>
        <w:rPr>
          <w:del w:id="9505" w:author="AbbVie19" w:date="2025-04-17T11:03:00Z"/>
          <w:lang w:val="sv-SE"/>
        </w:rPr>
      </w:pPr>
      <w:del w:id="9506" w:author="AbbVie19" w:date="2025-04-17T11:03:00Z">
        <w:r w:rsidRPr="00491143">
          <w:rPr>
            <w:highlight w:val="lightGray"/>
            <w:lang w:val="sv-SE"/>
          </w:rPr>
          <w:delText>EU/1/03/256/010</w:delText>
        </w:r>
      </w:del>
    </w:p>
    <w:p w14:paraId="1A8BC87A" w14:textId="77777777" w:rsidR="00BC0E7E" w:rsidRPr="00491143" w:rsidRDefault="00BC0E7E" w:rsidP="00762FA7">
      <w:pPr>
        <w:ind w:left="540" w:hanging="540"/>
        <w:rPr>
          <w:del w:id="9507" w:author="AbbVie19" w:date="2025-04-17T11:03:00Z"/>
          <w:lang w:val="sv-SE"/>
        </w:rPr>
      </w:pPr>
    </w:p>
    <w:p w14:paraId="7F96AF1B" w14:textId="77777777" w:rsidR="00BC0E7E" w:rsidRPr="00491143" w:rsidRDefault="00BC0E7E" w:rsidP="00762FA7">
      <w:pPr>
        <w:ind w:left="540" w:hanging="540"/>
        <w:rPr>
          <w:del w:id="9508" w:author="AbbVie19" w:date="2025-04-17T11:03:00Z"/>
          <w:lang w:val="sv-SE"/>
        </w:rPr>
      </w:pPr>
    </w:p>
    <w:p w14:paraId="52C8A741" w14:textId="77777777" w:rsidR="00BC0E7E" w:rsidRPr="00491143" w:rsidRDefault="00944B8F" w:rsidP="00762FA7">
      <w:pPr>
        <w:pBdr>
          <w:top w:val="single" w:sz="4" w:space="1" w:color="auto"/>
          <w:left w:val="single" w:sz="4" w:space="4" w:color="auto"/>
          <w:bottom w:val="single" w:sz="4" w:space="1" w:color="auto"/>
          <w:right w:val="single" w:sz="4" w:space="4" w:color="auto"/>
        </w:pBdr>
        <w:ind w:left="562" w:hanging="562"/>
        <w:rPr>
          <w:del w:id="9509" w:author="AbbVie19" w:date="2025-04-17T11:03:00Z"/>
          <w:b/>
          <w:caps/>
          <w:szCs w:val="20"/>
          <w:lang w:val="sv-SE"/>
        </w:rPr>
      </w:pPr>
      <w:del w:id="9510" w:author="AbbVie19" w:date="2025-04-17T11:03:00Z">
        <w:r w:rsidRPr="00491143">
          <w:rPr>
            <w:b/>
            <w:caps/>
            <w:szCs w:val="20"/>
            <w:lang w:val="sv-SE"/>
          </w:rPr>
          <w:delText>13.</w:delText>
        </w:r>
        <w:r w:rsidRPr="00491143">
          <w:rPr>
            <w:b/>
            <w:caps/>
            <w:szCs w:val="20"/>
            <w:lang w:val="sv-SE"/>
          </w:rPr>
          <w:tab/>
          <w:delText>BATCH NUMBER</w:delText>
        </w:r>
      </w:del>
    </w:p>
    <w:p w14:paraId="76C5399C" w14:textId="77777777" w:rsidR="00BC0E7E" w:rsidRPr="00491143" w:rsidRDefault="00BC0E7E" w:rsidP="00762FA7">
      <w:pPr>
        <w:ind w:left="540" w:hanging="540"/>
        <w:rPr>
          <w:del w:id="9511" w:author="AbbVie19" w:date="2025-04-17T11:03:00Z"/>
          <w:lang w:val="sv-SE"/>
        </w:rPr>
      </w:pPr>
    </w:p>
    <w:p w14:paraId="073FFD14" w14:textId="77777777" w:rsidR="00BC0E7E" w:rsidRPr="00FB06D0" w:rsidRDefault="00944B8F" w:rsidP="00762FA7">
      <w:pPr>
        <w:ind w:left="540" w:hanging="540"/>
        <w:rPr>
          <w:del w:id="9512" w:author="AbbVie19" w:date="2025-04-17T11:03:00Z"/>
          <w:lang w:val="nb-NO"/>
        </w:rPr>
      </w:pPr>
      <w:del w:id="9513" w:author="AbbVie19" w:date="2025-04-17T11:03:00Z">
        <w:r w:rsidRPr="00FB06D0">
          <w:rPr>
            <w:lang w:val="nb-NO"/>
          </w:rPr>
          <w:delText xml:space="preserve">Lot </w:delText>
        </w:r>
      </w:del>
    </w:p>
    <w:p w14:paraId="3CDC8EDB" w14:textId="77777777" w:rsidR="00BC0E7E" w:rsidRPr="00FB06D0" w:rsidRDefault="00BC0E7E" w:rsidP="00762FA7">
      <w:pPr>
        <w:ind w:left="540" w:hanging="540"/>
        <w:rPr>
          <w:del w:id="9514" w:author="AbbVie19" w:date="2025-04-17T11:03:00Z"/>
          <w:lang w:val="nb-NO"/>
        </w:rPr>
      </w:pPr>
    </w:p>
    <w:p w14:paraId="74612FF0" w14:textId="77777777" w:rsidR="00BC0E7E" w:rsidRPr="00FB06D0" w:rsidRDefault="00BC0E7E" w:rsidP="00762FA7">
      <w:pPr>
        <w:ind w:left="540" w:hanging="540"/>
        <w:rPr>
          <w:del w:id="9515" w:author="AbbVie19" w:date="2025-04-17T11:03:00Z"/>
          <w:lang w:val="nb-NO"/>
        </w:rPr>
      </w:pPr>
    </w:p>
    <w:p w14:paraId="4F78F5DC"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516" w:author="AbbVie19" w:date="2025-04-17T11:03:00Z"/>
          <w:b/>
          <w:caps/>
          <w:szCs w:val="20"/>
        </w:rPr>
      </w:pPr>
      <w:del w:id="9517" w:author="AbbVie19" w:date="2025-04-17T11:03:00Z">
        <w:r w:rsidRPr="00BC0E7E">
          <w:rPr>
            <w:b/>
            <w:caps/>
            <w:szCs w:val="20"/>
          </w:rPr>
          <w:delText>14.</w:delText>
        </w:r>
        <w:r w:rsidRPr="00BC0E7E">
          <w:rPr>
            <w:b/>
            <w:caps/>
            <w:szCs w:val="20"/>
          </w:rPr>
          <w:tab/>
          <w:delText>GENERAL CLASSIFICATION FOR SUPPLY</w:delText>
        </w:r>
      </w:del>
    </w:p>
    <w:p w14:paraId="6E7CD382" w14:textId="77777777" w:rsidR="00BC0E7E" w:rsidRPr="00BC0E7E" w:rsidRDefault="00BC0E7E" w:rsidP="00762FA7">
      <w:pPr>
        <w:ind w:left="540" w:hanging="540"/>
        <w:rPr>
          <w:del w:id="9518" w:author="AbbVie19" w:date="2025-04-17T11:03:00Z"/>
        </w:rPr>
      </w:pPr>
    </w:p>
    <w:p w14:paraId="45CB1338" w14:textId="77777777" w:rsidR="00BC0E7E" w:rsidRPr="00BC0E7E" w:rsidRDefault="00BC0E7E" w:rsidP="00762FA7">
      <w:pPr>
        <w:ind w:left="540" w:hanging="540"/>
        <w:rPr>
          <w:del w:id="9519" w:author="AbbVie19" w:date="2025-04-17T11:03:00Z"/>
        </w:rPr>
      </w:pPr>
    </w:p>
    <w:p w14:paraId="1AAD21E3"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520" w:author="AbbVie19" w:date="2025-04-17T11:03:00Z"/>
          <w:b/>
          <w:caps/>
          <w:szCs w:val="20"/>
        </w:rPr>
      </w:pPr>
      <w:del w:id="9521" w:author="AbbVie19" w:date="2025-04-17T11:03:00Z">
        <w:r w:rsidRPr="00BC0E7E">
          <w:rPr>
            <w:b/>
            <w:caps/>
            <w:szCs w:val="20"/>
          </w:rPr>
          <w:delText>15.</w:delText>
        </w:r>
        <w:r w:rsidRPr="00BC0E7E">
          <w:rPr>
            <w:b/>
            <w:caps/>
            <w:szCs w:val="20"/>
          </w:rPr>
          <w:tab/>
          <w:delText>INSTRUCTIONS ON USE</w:delText>
        </w:r>
      </w:del>
    </w:p>
    <w:p w14:paraId="7EF9D36F" w14:textId="77777777" w:rsidR="00BC0E7E" w:rsidRPr="00BC0E7E" w:rsidRDefault="00BC0E7E" w:rsidP="00762FA7">
      <w:pPr>
        <w:rPr>
          <w:del w:id="9522" w:author="AbbVie19" w:date="2025-04-17T11:03:00Z"/>
          <w:szCs w:val="20"/>
        </w:rPr>
      </w:pPr>
    </w:p>
    <w:p w14:paraId="51313E96" w14:textId="77777777" w:rsidR="00BC0E7E" w:rsidRPr="00BC0E7E" w:rsidRDefault="00BC0E7E" w:rsidP="00762FA7">
      <w:pPr>
        <w:rPr>
          <w:del w:id="9523" w:author="AbbVie19" w:date="2025-04-17T11:03:00Z"/>
          <w:szCs w:val="20"/>
        </w:rPr>
      </w:pPr>
    </w:p>
    <w:p w14:paraId="693AE4AB" w14:textId="77777777" w:rsidR="00BC0E7E" w:rsidRPr="00F011FF" w:rsidRDefault="00944B8F" w:rsidP="00762FA7">
      <w:pPr>
        <w:keepNext/>
        <w:pBdr>
          <w:top w:val="single" w:sz="4" w:space="1" w:color="auto"/>
          <w:left w:val="single" w:sz="4" w:space="4" w:color="auto"/>
          <w:bottom w:val="single" w:sz="4" w:space="1" w:color="auto"/>
          <w:right w:val="single" w:sz="4" w:space="4" w:color="auto"/>
        </w:pBdr>
        <w:rPr>
          <w:del w:id="9524" w:author="AbbVie19" w:date="2025-04-17T11:03:00Z"/>
          <w:b/>
          <w:bCs/>
          <w:caps/>
          <w:szCs w:val="20"/>
          <w:lang w:val="sv-SE"/>
        </w:rPr>
      </w:pPr>
      <w:del w:id="9525" w:author="AbbVie19" w:date="2025-04-17T11:03:00Z">
        <w:r w:rsidRPr="00F011FF">
          <w:rPr>
            <w:b/>
            <w:bCs/>
            <w:caps/>
            <w:szCs w:val="20"/>
            <w:lang w:val="sv-SE"/>
          </w:rPr>
          <w:lastRenderedPageBreak/>
          <w:delText>16.</w:delText>
        </w:r>
        <w:r w:rsidRPr="00F011FF">
          <w:rPr>
            <w:b/>
            <w:bCs/>
            <w:caps/>
            <w:szCs w:val="20"/>
            <w:lang w:val="sv-SE"/>
          </w:rPr>
          <w:tab/>
          <w:delText>Information in braille</w:delText>
        </w:r>
      </w:del>
    </w:p>
    <w:p w14:paraId="13636EB5" w14:textId="77777777" w:rsidR="00BC0E7E" w:rsidRPr="00F011FF" w:rsidRDefault="00BC0E7E" w:rsidP="00762FA7">
      <w:pPr>
        <w:keepNext/>
        <w:ind w:left="540" w:hanging="540"/>
        <w:rPr>
          <w:del w:id="9526" w:author="AbbVie19" w:date="2025-04-17T11:03:00Z"/>
          <w:lang w:val="sv-SE"/>
        </w:rPr>
      </w:pPr>
    </w:p>
    <w:p w14:paraId="689ACF85" w14:textId="77777777" w:rsidR="00BC0E7E" w:rsidRPr="00F011FF" w:rsidRDefault="00944B8F" w:rsidP="00762FA7">
      <w:pPr>
        <w:keepNext/>
        <w:ind w:left="540" w:hanging="540"/>
        <w:rPr>
          <w:del w:id="9527" w:author="AbbVie19" w:date="2025-04-17T11:03:00Z"/>
          <w:lang w:val="sv-SE"/>
        </w:rPr>
      </w:pPr>
      <w:del w:id="9528" w:author="AbbVie19" w:date="2025-04-17T11:03:00Z">
        <w:r w:rsidRPr="00F011FF">
          <w:rPr>
            <w:lang w:val="sv-SE"/>
          </w:rPr>
          <w:delText>Humira 40 mg</w:delText>
        </w:r>
      </w:del>
    </w:p>
    <w:p w14:paraId="1618233F" w14:textId="77777777" w:rsidR="00BC0E7E" w:rsidRPr="00F011FF" w:rsidRDefault="00BC0E7E" w:rsidP="00762FA7">
      <w:pPr>
        <w:ind w:left="540" w:hanging="540"/>
        <w:rPr>
          <w:del w:id="9529" w:author="AbbVie19" w:date="2025-04-17T11:03:00Z"/>
          <w:lang w:val="sv-SE"/>
        </w:rPr>
      </w:pPr>
    </w:p>
    <w:p w14:paraId="370CDA04" w14:textId="77777777" w:rsidR="00BC0E7E" w:rsidRPr="00F011FF" w:rsidRDefault="00BC0E7E" w:rsidP="00762FA7">
      <w:pPr>
        <w:ind w:left="540" w:hanging="540"/>
        <w:rPr>
          <w:del w:id="9530" w:author="AbbVie19" w:date="2025-04-17T11:03:00Z"/>
          <w:lang w:val="sv-SE"/>
        </w:rPr>
      </w:pPr>
    </w:p>
    <w:p w14:paraId="031492CA" w14:textId="77777777" w:rsidR="00BC0E7E" w:rsidRPr="00BC0E7E" w:rsidRDefault="00944B8F" w:rsidP="00762FA7">
      <w:pPr>
        <w:pBdr>
          <w:top w:val="single" w:sz="4" w:space="1" w:color="auto"/>
          <w:left w:val="single" w:sz="4" w:space="4" w:color="auto"/>
          <w:bottom w:val="single" w:sz="4" w:space="1" w:color="auto"/>
          <w:right w:val="single" w:sz="4" w:space="4" w:color="auto"/>
        </w:pBdr>
        <w:rPr>
          <w:del w:id="9531" w:author="AbbVie19" w:date="2025-04-17T11:03:00Z"/>
          <w:b/>
          <w:bCs/>
          <w:caps/>
          <w:szCs w:val="20"/>
        </w:rPr>
      </w:pPr>
      <w:del w:id="9532" w:author="AbbVie19" w:date="2025-04-17T11:03:00Z">
        <w:r w:rsidRPr="00F011FF">
          <w:rPr>
            <w:b/>
            <w:bCs/>
            <w:caps/>
            <w:szCs w:val="20"/>
            <w:lang w:val="sv-SE"/>
          </w:rPr>
          <w:delText xml:space="preserve">17. </w:delText>
        </w:r>
        <w:r w:rsidRPr="00F011FF">
          <w:rPr>
            <w:b/>
            <w:bCs/>
            <w:caps/>
            <w:szCs w:val="20"/>
            <w:lang w:val="sv-SE"/>
          </w:rPr>
          <w:tab/>
        </w:r>
        <w:r w:rsidRPr="00BC0E7E">
          <w:rPr>
            <w:b/>
            <w:bCs/>
            <w:caps/>
            <w:szCs w:val="20"/>
          </w:rPr>
          <w:delText>UNIQUE INDENTIFIER – 2D BARCODE</w:delText>
        </w:r>
      </w:del>
    </w:p>
    <w:p w14:paraId="474FFFDC" w14:textId="77777777" w:rsidR="00BC0E7E" w:rsidRPr="00BC0E7E" w:rsidRDefault="00BC0E7E" w:rsidP="00762FA7">
      <w:pPr>
        <w:rPr>
          <w:del w:id="9533" w:author="AbbVie19" w:date="2025-04-17T11:03:00Z"/>
        </w:rPr>
      </w:pPr>
    </w:p>
    <w:p w14:paraId="631788C4" w14:textId="77777777" w:rsidR="00BC0E7E" w:rsidRPr="00BC0E7E" w:rsidRDefault="00944B8F" w:rsidP="00762FA7">
      <w:pPr>
        <w:rPr>
          <w:del w:id="9534" w:author="AbbVie19" w:date="2025-04-17T11:03:00Z"/>
          <w:shd w:val="clear" w:color="auto" w:fill="BFBFBF"/>
        </w:rPr>
      </w:pPr>
      <w:del w:id="9535" w:author="AbbVie19" w:date="2025-04-17T11:03:00Z">
        <w:r w:rsidRPr="00BC0E7E">
          <w:rPr>
            <w:shd w:val="clear" w:color="auto" w:fill="BFBFBF"/>
          </w:rPr>
          <w:delText>2D barcode carrying the unique identifier included.</w:delText>
        </w:r>
      </w:del>
    </w:p>
    <w:p w14:paraId="18E6C2FD" w14:textId="77777777" w:rsidR="00BC0E7E" w:rsidRPr="00BC0E7E" w:rsidRDefault="00BC0E7E" w:rsidP="00762FA7">
      <w:pPr>
        <w:rPr>
          <w:del w:id="9536" w:author="AbbVie19" w:date="2025-04-17T11:03:00Z"/>
          <w:shd w:val="clear" w:color="auto" w:fill="BFBFBF"/>
        </w:rPr>
      </w:pPr>
    </w:p>
    <w:p w14:paraId="67D31A15" w14:textId="77777777" w:rsidR="00BC0E7E" w:rsidRPr="00BC0E7E" w:rsidRDefault="00BC0E7E" w:rsidP="00762FA7">
      <w:pPr>
        <w:rPr>
          <w:del w:id="9537" w:author="AbbVie19" w:date="2025-04-17T11:03:00Z"/>
          <w:shd w:val="clear" w:color="auto" w:fill="BFBFBF"/>
        </w:rPr>
      </w:pPr>
    </w:p>
    <w:p w14:paraId="289C7DFC" w14:textId="77777777" w:rsidR="00BC0E7E" w:rsidRPr="00BC0E7E" w:rsidRDefault="00944B8F" w:rsidP="00762FA7">
      <w:pPr>
        <w:keepNext/>
        <w:pBdr>
          <w:top w:val="single" w:sz="4" w:space="1" w:color="auto"/>
          <w:left w:val="single" w:sz="4" w:space="4" w:color="auto"/>
          <w:bottom w:val="single" w:sz="4" w:space="1" w:color="auto"/>
          <w:right w:val="single" w:sz="4" w:space="4" w:color="auto"/>
        </w:pBdr>
        <w:rPr>
          <w:del w:id="9538" w:author="AbbVie19" w:date="2025-04-17T11:03:00Z"/>
          <w:rFonts w:ascii="Times New Roman Bold" w:hAnsi="Times New Roman Bold"/>
          <w:caps/>
          <w:szCs w:val="20"/>
        </w:rPr>
      </w:pPr>
      <w:del w:id="9539" w:author="AbbVie19" w:date="2025-04-17T11:03:00Z">
        <w:r w:rsidRPr="00BC0E7E">
          <w:rPr>
            <w:b/>
            <w:bCs/>
            <w:caps/>
            <w:szCs w:val="20"/>
          </w:rPr>
          <w:delText xml:space="preserve">18. </w:delText>
        </w:r>
        <w:r w:rsidRPr="00BC0E7E">
          <w:rPr>
            <w:b/>
            <w:bCs/>
            <w:caps/>
            <w:szCs w:val="20"/>
          </w:rPr>
          <w:tab/>
          <w:delText>UNIQUE INDENTIFIER – HUMAN READABLE DATA</w:delText>
        </w:r>
      </w:del>
    </w:p>
    <w:p w14:paraId="1699E4AC" w14:textId="77777777" w:rsidR="00BC0E7E" w:rsidRPr="00BC0E7E" w:rsidRDefault="00BC0E7E" w:rsidP="00762FA7">
      <w:pPr>
        <w:keepNext/>
        <w:ind w:left="540" w:hanging="540"/>
        <w:rPr>
          <w:del w:id="9540" w:author="AbbVie19" w:date="2025-04-17T11:03:00Z"/>
        </w:rPr>
      </w:pPr>
    </w:p>
    <w:p w14:paraId="28E64FD6" w14:textId="77777777" w:rsidR="00BC0E7E" w:rsidRPr="00BC0E7E" w:rsidRDefault="00944B8F" w:rsidP="00762FA7">
      <w:pPr>
        <w:keepNext/>
        <w:ind w:left="540" w:hanging="540"/>
        <w:rPr>
          <w:del w:id="9541" w:author="AbbVie19" w:date="2025-04-17T11:03:00Z"/>
        </w:rPr>
      </w:pPr>
      <w:del w:id="9542" w:author="AbbVie19" w:date="2025-04-17T11:03:00Z">
        <w:r w:rsidRPr="00BC0E7E">
          <w:delText>PC</w:delText>
        </w:r>
      </w:del>
    </w:p>
    <w:p w14:paraId="269184CF" w14:textId="77777777" w:rsidR="00BC0E7E" w:rsidRPr="00BC0E7E" w:rsidRDefault="00944B8F" w:rsidP="00762FA7">
      <w:pPr>
        <w:keepNext/>
        <w:ind w:left="540" w:hanging="540"/>
        <w:rPr>
          <w:del w:id="9543" w:author="AbbVie19" w:date="2025-04-17T11:03:00Z"/>
        </w:rPr>
      </w:pPr>
      <w:del w:id="9544" w:author="AbbVie19" w:date="2025-04-17T11:03:00Z">
        <w:r w:rsidRPr="00BC0E7E">
          <w:delText>SN</w:delText>
        </w:r>
      </w:del>
    </w:p>
    <w:p w14:paraId="37A0B84A" w14:textId="77777777" w:rsidR="00BC0E7E" w:rsidRPr="00BC0E7E" w:rsidRDefault="00944B8F" w:rsidP="00762FA7">
      <w:pPr>
        <w:keepNext/>
        <w:ind w:left="540" w:hanging="540"/>
        <w:rPr>
          <w:del w:id="9545" w:author="AbbVie19" w:date="2025-04-17T11:03:00Z"/>
        </w:rPr>
      </w:pPr>
      <w:del w:id="9546" w:author="AbbVie19" w:date="2025-04-17T11:03:00Z">
        <w:r w:rsidRPr="001B6DEE">
          <w:rPr>
            <w:highlight w:val="darkGray"/>
          </w:rPr>
          <w:delText>NN</w:delText>
        </w:r>
      </w:del>
    </w:p>
    <w:p w14:paraId="2BCAC67A" w14:textId="77777777" w:rsidR="00BC0E7E" w:rsidRPr="00BC0E7E" w:rsidRDefault="00BC0E7E" w:rsidP="00762FA7">
      <w:pPr>
        <w:keepNext/>
        <w:ind w:left="540" w:hanging="540"/>
        <w:rPr>
          <w:del w:id="9547" w:author="AbbVie19" w:date="2025-04-17T11:03:00Z"/>
        </w:rPr>
      </w:pPr>
    </w:p>
    <w:p w14:paraId="1D2CF6C3" w14:textId="77777777" w:rsidR="00BC0E7E" w:rsidRPr="00BC0E7E" w:rsidRDefault="00944B8F" w:rsidP="00762FA7">
      <w:pPr>
        <w:keepNext/>
        <w:ind w:left="540" w:hanging="540"/>
        <w:rPr>
          <w:del w:id="9548" w:author="AbbVie19" w:date="2025-04-17T11:03:00Z"/>
        </w:rPr>
      </w:pPr>
      <w:del w:id="9549" w:author="AbbVie19" w:date="2025-04-17T11:03:00Z">
        <w:r w:rsidRPr="00BC0E7E">
          <w:rPr>
            <w:b/>
            <w:caps/>
            <w:szCs w:val="20"/>
          </w:rPr>
          <w:br w:type="page"/>
        </w:r>
      </w:del>
    </w:p>
    <w:p w14:paraId="61035268" w14:textId="77777777" w:rsidR="00BC0E7E" w:rsidRPr="00BC0E7E" w:rsidRDefault="00BC0E7E" w:rsidP="00762FA7">
      <w:pPr>
        <w:keepNext/>
        <w:ind w:left="540" w:hanging="540"/>
        <w:rPr>
          <w:del w:id="9550" w:author="AbbVie19" w:date="2025-04-17T11:03:00Z"/>
        </w:rPr>
      </w:pPr>
    </w:p>
    <w:p w14:paraId="577D4921" w14:textId="77777777" w:rsidR="00BC0E7E" w:rsidRPr="00BC0E7E" w:rsidRDefault="00944B8F" w:rsidP="00762FA7">
      <w:pPr>
        <w:keepNext/>
        <w:pBdr>
          <w:top w:val="single" w:sz="4" w:space="1" w:color="auto"/>
          <w:left w:val="single" w:sz="4" w:space="4" w:color="auto"/>
          <w:bottom w:val="single" w:sz="4" w:space="1" w:color="auto"/>
          <w:right w:val="single" w:sz="4" w:space="4" w:color="auto"/>
        </w:pBdr>
        <w:tabs>
          <w:tab w:val="clear" w:pos="562"/>
        </w:tabs>
        <w:rPr>
          <w:del w:id="9551" w:author="AbbVie19" w:date="2025-04-17T11:03:00Z"/>
          <w:b/>
        </w:rPr>
      </w:pPr>
      <w:del w:id="9552" w:author="AbbVie19" w:date="2025-04-17T11:03:00Z">
        <w:r w:rsidRPr="00BC0E7E">
          <w:rPr>
            <w:b/>
          </w:rPr>
          <w:delText>MINIMUM PARTICULARS TO APPEAR ON BLISTERS OR STRIPS</w:delText>
        </w:r>
      </w:del>
    </w:p>
    <w:p w14:paraId="7C6B5FA9" w14:textId="77777777" w:rsidR="00BC0E7E" w:rsidRPr="00BC0E7E" w:rsidRDefault="00BC0E7E" w:rsidP="00762FA7">
      <w:pPr>
        <w:pBdr>
          <w:top w:val="single" w:sz="4" w:space="1" w:color="auto"/>
          <w:left w:val="single" w:sz="4" w:space="4" w:color="auto"/>
          <w:bottom w:val="single" w:sz="4" w:space="1" w:color="auto"/>
          <w:right w:val="single" w:sz="4" w:space="4" w:color="auto"/>
        </w:pBdr>
        <w:ind w:left="540" w:hanging="540"/>
        <w:rPr>
          <w:del w:id="9553" w:author="AbbVie19" w:date="2025-04-17T11:03:00Z"/>
          <w:b/>
        </w:rPr>
      </w:pPr>
    </w:p>
    <w:p w14:paraId="3E41CD15" w14:textId="77777777" w:rsidR="00BC0E7E" w:rsidRPr="00BC0E7E" w:rsidRDefault="00944B8F" w:rsidP="00762FA7">
      <w:pPr>
        <w:keepLines/>
        <w:pBdr>
          <w:top w:val="single" w:sz="4" w:space="1" w:color="auto"/>
          <w:left w:val="single" w:sz="4" w:space="4" w:color="auto"/>
          <w:bottom w:val="single" w:sz="4" w:space="1" w:color="auto"/>
          <w:right w:val="single" w:sz="4" w:space="4" w:color="auto"/>
        </w:pBdr>
        <w:ind w:left="540" w:hanging="540"/>
        <w:outlineLvl w:val="2"/>
        <w:rPr>
          <w:del w:id="9554" w:author="AbbVie19" w:date="2025-04-17T11:03:00Z"/>
          <w:b/>
          <w:bCs/>
          <w:szCs w:val="26"/>
        </w:rPr>
      </w:pPr>
      <w:del w:id="9555" w:author="AbbVie19" w:date="2025-04-17T11:03:00Z">
        <w:r w:rsidRPr="00BC0E7E">
          <w:rPr>
            <w:b/>
            <w:bCs/>
            <w:szCs w:val="26"/>
          </w:rPr>
          <w:delText>TRAY BACKING TEXT</w:delText>
        </w:r>
      </w:del>
    </w:p>
    <w:p w14:paraId="7D656DAD" w14:textId="77777777" w:rsidR="00BC0E7E" w:rsidRPr="00BC0E7E" w:rsidRDefault="00BC0E7E" w:rsidP="00762FA7">
      <w:pPr>
        <w:ind w:left="540" w:hanging="540"/>
        <w:rPr>
          <w:del w:id="9556" w:author="AbbVie19" w:date="2025-04-17T11:03:00Z"/>
        </w:rPr>
      </w:pPr>
    </w:p>
    <w:p w14:paraId="372D77E4" w14:textId="77777777" w:rsidR="00BC0E7E" w:rsidRPr="00BC0E7E" w:rsidRDefault="00BC0E7E" w:rsidP="00762FA7">
      <w:pPr>
        <w:ind w:left="540" w:hanging="540"/>
        <w:rPr>
          <w:del w:id="9557" w:author="AbbVie19" w:date="2025-04-17T11:03:00Z"/>
        </w:rPr>
      </w:pPr>
    </w:p>
    <w:p w14:paraId="665D2AFC"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1" w:hanging="561"/>
        <w:rPr>
          <w:del w:id="9558" w:author="AbbVie19" w:date="2025-04-17T11:03:00Z"/>
          <w:b/>
          <w:caps/>
          <w:szCs w:val="20"/>
        </w:rPr>
      </w:pPr>
      <w:del w:id="9559" w:author="AbbVie19" w:date="2025-04-17T11:03:00Z">
        <w:r w:rsidRPr="00BC0E7E">
          <w:rPr>
            <w:b/>
            <w:caps/>
            <w:szCs w:val="20"/>
          </w:rPr>
          <w:delText>1.</w:delText>
        </w:r>
        <w:r w:rsidRPr="00BC0E7E">
          <w:rPr>
            <w:b/>
            <w:caps/>
            <w:szCs w:val="20"/>
          </w:rPr>
          <w:tab/>
          <w:delText>NAME OF THE MEDICINAL PRODUCT</w:delText>
        </w:r>
      </w:del>
    </w:p>
    <w:p w14:paraId="1F46F87D" w14:textId="77777777" w:rsidR="00BC0E7E" w:rsidRPr="00BC0E7E" w:rsidRDefault="00BC0E7E" w:rsidP="00762FA7">
      <w:pPr>
        <w:ind w:left="540" w:hanging="540"/>
        <w:rPr>
          <w:del w:id="9560" w:author="AbbVie19" w:date="2025-04-17T11:03:00Z"/>
        </w:rPr>
      </w:pPr>
    </w:p>
    <w:p w14:paraId="00B79F51" w14:textId="77777777" w:rsidR="00BC0E7E" w:rsidRPr="00BC0E7E" w:rsidRDefault="00944B8F" w:rsidP="00762FA7">
      <w:pPr>
        <w:ind w:left="540" w:hanging="540"/>
        <w:rPr>
          <w:del w:id="9561" w:author="AbbVie19" w:date="2025-04-17T11:03:00Z"/>
        </w:rPr>
      </w:pPr>
      <w:del w:id="9562" w:author="AbbVie19" w:date="2025-04-17T11:03:00Z">
        <w:r w:rsidRPr="00BC0E7E">
          <w:delText>Humira 40 mg solution for injection in pre-filled pen</w:delText>
        </w:r>
      </w:del>
    </w:p>
    <w:p w14:paraId="1F6799FB" w14:textId="77777777" w:rsidR="00BC0E7E" w:rsidRPr="00BC0E7E" w:rsidRDefault="00944B8F" w:rsidP="00762FA7">
      <w:pPr>
        <w:ind w:left="540" w:hanging="540"/>
        <w:rPr>
          <w:del w:id="9563" w:author="AbbVie19" w:date="2025-04-17T11:03:00Z"/>
        </w:rPr>
      </w:pPr>
      <w:del w:id="9564" w:author="AbbVie19" w:date="2025-04-17T11:03:00Z">
        <w:r w:rsidRPr="00BC0E7E">
          <w:delText>adalimumab</w:delText>
        </w:r>
      </w:del>
    </w:p>
    <w:p w14:paraId="648AE476" w14:textId="77777777" w:rsidR="00BC0E7E" w:rsidRPr="00BC0E7E" w:rsidRDefault="00BC0E7E" w:rsidP="00762FA7">
      <w:pPr>
        <w:ind w:left="540" w:hanging="540"/>
        <w:rPr>
          <w:del w:id="9565" w:author="AbbVie19" w:date="2025-04-17T11:03:00Z"/>
        </w:rPr>
      </w:pPr>
    </w:p>
    <w:p w14:paraId="3F6B63A3" w14:textId="77777777" w:rsidR="00BC0E7E" w:rsidRPr="00BC0E7E" w:rsidRDefault="00BC0E7E" w:rsidP="00762FA7">
      <w:pPr>
        <w:ind w:left="540" w:hanging="540"/>
        <w:rPr>
          <w:del w:id="9566" w:author="AbbVie19" w:date="2025-04-17T11:03:00Z"/>
        </w:rPr>
      </w:pPr>
    </w:p>
    <w:p w14:paraId="15DA416E"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567" w:author="AbbVie19" w:date="2025-04-17T11:03:00Z"/>
          <w:b/>
          <w:caps/>
          <w:szCs w:val="20"/>
        </w:rPr>
      </w:pPr>
      <w:del w:id="9568" w:author="AbbVie19" w:date="2025-04-17T11:03:00Z">
        <w:r w:rsidRPr="00BC0E7E">
          <w:rPr>
            <w:b/>
            <w:caps/>
            <w:szCs w:val="20"/>
          </w:rPr>
          <w:delText>2.</w:delText>
        </w:r>
        <w:r w:rsidRPr="00BC0E7E">
          <w:rPr>
            <w:b/>
            <w:caps/>
            <w:szCs w:val="20"/>
          </w:rPr>
          <w:tab/>
          <w:delText>NAME OF THE MARKETING AUTHORISATION HOLDER</w:delText>
        </w:r>
      </w:del>
    </w:p>
    <w:p w14:paraId="710CCAEF" w14:textId="77777777" w:rsidR="00BC0E7E" w:rsidRPr="00BC0E7E" w:rsidRDefault="00BC0E7E" w:rsidP="00762FA7">
      <w:pPr>
        <w:ind w:left="540" w:hanging="540"/>
        <w:rPr>
          <w:del w:id="9569" w:author="AbbVie19" w:date="2025-04-17T11:03:00Z"/>
        </w:rPr>
      </w:pPr>
    </w:p>
    <w:p w14:paraId="12D238F3" w14:textId="77777777" w:rsidR="006A01D2" w:rsidRDefault="00944B8F" w:rsidP="00762FA7">
      <w:pPr>
        <w:keepNext/>
        <w:tabs>
          <w:tab w:val="clear" w:pos="562"/>
        </w:tabs>
        <w:suppressAutoHyphens w:val="0"/>
        <w:autoSpaceDE w:val="0"/>
        <w:autoSpaceDN w:val="0"/>
        <w:adjustRightInd w:val="0"/>
        <w:spacing w:line="240" w:lineRule="atLeast"/>
        <w:rPr>
          <w:del w:id="9570" w:author="AbbVie19" w:date="2025-04-17T11:03:00Z"/>
        </w:rPr>
      </w:pPr>
      <w:del w:id="9571" w:author="AbbVie19" w:date="2025-04-17T11:03:00Z">
        <w:r>
          <w:delText xml:space="preserve">AbbVie </w:delText>
        </w:r>
        <w:r w:rsidRPr="00D32313">
          <w:rPr>
            <w:szCs w:val="22"/>
            <w:highlight w:val="lightGray"/>
            <w:lang w:eastAsia="en-GB"/>
          </w:rPr>
          <w:delText>(as logo)</w:delText>
        </w:r>
      </w:del>
    </w:p>
    <w:p w14:paraId="25DF7B26" w14:textId="77777777" w:rsidR="00BC0E7E" w:rsidRPr="00BC0E7E" w:rsidRDefault="00BC0E7E" w:rsidP="00762FA7">
      <w:pPr>
        <w:ind w:left="540" w:hanging="540"/>
        <w:rPr>
          <w:del w:id="9572" w:author="AbbVie19" w:date="2025-04-17T11:03:00Z"/>
        </w:rPr>
      </w:pPr>
    </w:p>
    <w:p w14:paraId="0984357A" w14:textId="77777777" w:rsidR="00BC0E7E" w:rsidRPr="00BC0E7E" w:rsidRDefault="00BC0E7E" w:rsidP="00762FA7">
      <w:pPr>
        <w:ind w:left="540" w:hanging="540"/>
        <w:rPr>
          <w:del w:id="9573" w:author="AbbVie19" w:date="2025-04-17T11:03:00Z"/>
        </w:rPr>
      </w:pPr>
    </w:p>
    <w:p w14:paraId="3004468A"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574" w:author="AbbVie19" w:date="2025-04-17T11:03:00Z"/>
          <w:b/>
          <w:caps/>
          <w:szCs w:val="20"/>
        </w:rPr>
      </w:pPr>
      <w:del w:id="9575" w:author="AbbVie19" w:date="2025-04-17T11:03:00Z">
        <w:r w:rsidRPr="00BC0E7E">
          <w:rPr>
            <w:b/>
            <w:caps/>
            <w:szCs w:val="20"/>
          </w:rPr>
          <w:delText>3.</w:delText>
        </w:r>
        <w:r w:rsidRPr="00BC0E7E">
          <w:rPr>
            <w:b/>
            <w:caps/>
            <w:szCs w:val="20"/>
          </w:rPr>
          <w:tab/>
          <w:delText>EXPIRY DATE</w:delText>
        </w:r>
      </w:del>
    </w:p>
    <w:p w14:paraId="2F12DEF8" w14:textId="77777777" w:rsidR="00BC0E7E" w:rsidRPr="00BC0E7E" w:rsidRDefault="00BC0E7E" w:rsidP="00762FA7">
      <w:pPr>
        <w:ind w:left="540" w:hanging="540"/>
        <w:rPr>
          <w:del w:id="9576" w:author="AbbVie19" w:date="2025-04-17T11:03:00Z"/>
        </w:rPr>
      </w:pPr>
    </w:p>
    <w:p w14:paraId="0200AAD6" w14:textId="77777777" w:rsidR="00BC0E7E" w:rsidRPr="00BC0E7E" w:rsidRDefault="00944B8F" w:rsidP="00762FA7">
      <w:pPr>
        <w:ind w:left="540" w:hanging="540"/>
        <w:rPr>
          <w:del w:id="9577" w:author="AbbVie19" w:date="2025-04-17T11:03:00Z"/>
        </w:rPr>
      </w:pPr>
      <w:del w:id="9578" w:author="AbbVie19" w:date="2025-04-17T11:03:00Z">
        <w:r w:rsidRPr="00BC0E7E">
          <w:delText>EXP</w:delText>
        </w:r>
      </w:del>
    </w:p>
    <w:p w14:paraId="6EA685F1" w14:textId="77777777" w:rsidR="00BC0E7E" w:rsidRPr="00BC0E7E" w:rsidRDefault="00BC0E7E" w:rsidP="00762FA7">
      <w:pPr>
        <w:ind w:left="540" w:hanging="540"/>
        <w:rPr>
          <w:del w:id="9579" w:author="AbbVie19" w:date="2025-04-17T11:03:00Z"/>
        </w:rPr>
      </w:pPr>
    </w:p>
    <w:p w14:paraId="056D6338" w14:textId="77777777" w:rsidR="00BC0E7E" w:rsidRPr="00BC0E7E" w:rsidRDefault="00BC0E7E" w:rsidP="00762FA7">
      <w:pPr>
        <w:ind w:left="540" w:hanging="540"/>
        <w:rPr>
          <w:del w:id="9580" w:author="AbbVie19" w:date="2025-04-17T11:03:00Z"/>
        </w:rPr>
      </w:pPr>
    </w:p>
    <w:p w14:paraId="50841EB4"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581" w:author="AbbVie19" w:date="2025-04-17T11:03:00Z"/>
          <w:b/>
          <w:caps/>
          <w:szCs w:val="20"/>
        </w:rPr>
      </w:pPr>
      <w:del w:id="9582" w:author="AbbVie19" w:date="2025-04-17T11:03:00Z">
        <w:r w:rsidRPr="00BC0E7E">
          <w:rPr>
            <w:b/>
            <w:caps/>
            <w:szCs w:val="20"/>
          </w:rPr>
          <w:delText>4.</w:delText>
        </w:r>
        <w:r w:rsidRPr="00BC0E7E">
          <w:rPr>
            <w:b/>
            <w:caps/>
            <w:szCs w:val="20"/>
          </w:rPr>
          <w:tab/>
          <w:delText>BATCH NUMBER</w:delText>
        </w:r>
      </w:del>
    </w:p>
    <w:p w14:paraId="779AC48A" w14:textId="77777777" w:rsidR="00BC0E7E" w:rsidRPr="00BC0E7E" w:rsidRDefault="00BC0E7E" w:rsidP="00762FA7">
      <w:pPr>
        <w:ind w:left="540" w:hanging="540"/>
        <w:rPr>
          <w:del w:id="9583" w:author="AbbVie19" w:date="2025-04-17T11:03:00Z"/>
        </w:rPr>
      </w:pPr>
    </w:p>
    <w:p w14:paraId="0772EA95" w14:textId="77777777" w:rsidR="00BC0E7E" w:rsidRPr="00BC0E7E" w:rsidRDefault="00944B8F" w:rsidP="00762FA7">
      <w:pPr>
        <w:ind w:left="540" w:hanging="540"/>
        <w:rPr>
          <w:del w:id="9584" w:author="AbbVie19" w:date="2025-04-17T11:03:00Z"/>
        </w:rPr>
      </w:pPr>
      <w:del w:id="9585" w:author="AbbVie19" w:date="2025-04-17T11:03:00Z">
        <w:r w:rsidRPr="00BC0E7E">
          <w:delText xml:space="preserve">Lot </w:delText>
        </w:r>
      </w:del>
    </w:p>
    <w:p w14:paraId="5E9E00C3" w14:textId="77777777" w:rsidR="00BC0E7E" w:rsidRPr="00BC0E7E" w:rsidRDefault="00BC0E7E" w:rsidP="00762FA7">
      <w:pPr>
        <w:ind w:left="540" w:hanging="540"/>
        <w:rPr>
          <w:del w:id="9586" w:author="AbbVie19" w:date="2025-04-17T11:03:00Z"/>
        </w:rPr>
      </w:pPr>
    </w:p>
    <w:p w14:paraId="6E90203D" w14:textId="77777777" w:rsidR="00BC0E7E" w:rsidRPr="00BC0E7E" w:rsidRDefault="00BC0E7E" w:rsidP="00762FA7">
      <w:pPr>
        <w:ind w:left="540" w:hanging="540"/>
        <w:rPr>
          <w:del w:id="9587" w:author="AbbVie19" w:date="2025-04-17T11:03:00Z"/>
        </w:rPr>
      </w:pPr>
    </w:p>
    <w:p w14:paraId="2A31B77A" w14:textId="77777777" w:rsidR="00BC0E7E" w:rsidRPr="00BC0E7E" w:rsidRDefault="00944B8F" w:rsidP="00762FA7">
      <w:pPr>
        <w:pBdr>
          <w:top w:val="single" w:sz="4" w:space="1" w:color="auto"/>
          <w:left w:val="single" w:sz="4" w:space="4" w:color="auto"/>
          <w:bottom w:val="single" w:sz="4" w:space="1" w:color="auto"/>
          <w:right w:val="single" w:sz="4" w:space="4" w:color="auto"/>
        </w:pBdr>
        <w:rPr>
          <w:del w:id="9588" w:author="AbbVie19" w:date="2025-04-17T11:03:00Z"/>
          <w:b/>
          <w:caps/>
          <w:szCs w:val="20"/>
        </w:rPr>
      </w:pPr>
      <w:del w:id="9589" w:author="AbbVie19" w:date="2025-04-17T11:03:00Z">
        <w:r w:rsidRPr="00BC0E7E">
          <w:rPr>
            <w:b/>
            <w:caps/>
            <w:szCs w:val="20"/>
          </w:rPr>
          <w:delText>5.</w:delText>
        </w:r>
        <w:r w:rsidRPr="00BC0E7E">
          <w:rPr>
            <w:b/>
            <w:caps/>
            <w:szCs w:val="20"/>
          </w:rPr>
          <w:tab/>
          <w:delText>OTHER</w:delText>
        </w:r>
      </w:del>
    </w:p>
    <w:p w14:paraId="50588BC6" w14:textId="77777777" w:rsidR="00BC0E7E" w:rsidRPr="00BC0E7E" w:rsidRDefault="00BC0E7E" w:rsidP="00762FA7">
      <w:pPr>
        <w:ind w:left="540" w:hanging="540"/>
        <w:rPr>
          <w:del w:id="9590" w:author="AbbVie19" w:date="2025-04-17T11:03:00Z"/>
        </w:rPr>
      </w:pPr>
    </w:p>
    <w:p w14:paraId="6FF71D91" w14:textId="77777777" w:rsidR="00BC0E7E" w:rsidRDefault="00944B8F" w:rsidP="00762FA7">
      <w:pPr>
        <w:ind w:left="540" w:hanging="540"/>
        <w:rPr>
          <w:del w:id="9591" w:author="AbbVie19" w:date="2025-04-17T11:03:00Z"/>
        </w:rPr>
      </w:pPr>
      <w:del w:id="9592" w:author="AbbVie19" w:date="2025-04-17T11:03:00Z">
        <w:r w:rsidRPr="00BC0E7E">
          <w:delText>For storage information, see package leaflet.</w:delText>
        </w:r>
      </w:del>
    </w:p>
    <w:p w14:paraId="7636406E" w14:textId="77777777" w:rsidR="00774177" w:rsidRPr="00BC0E7E" w:rsidRDefault="00774177" w:rsidP="00762FA7">
      <w:pPr>
        <w:ind w:left="540" w:hanging="540"/>
        <w:rPr>
          <w:del w:id="9593" w:author="AbbVie19" w:date="2025-04-17T11:03:00Z"/>
        </w:rPr>
      </w:pPr>
    </w:p>
    <w:p w14:paraId="1A52A670" w14:textId="77777777" w:rsidR="00BC0E7E" w:rsidRPr="00BC0E7E" w:rsidRDefault="00944B8F" w:rsidP="00762FA7">
      <w:pPr>
        <w:ind w:left="540" w:hanging="540"/>
      </w:pPr>
      <w:del w:id="9594" w:author="AbbVie19" w:date="2025-04-17T11:03:00Z">
        <w:r w:rsidRPr="00BC0E7E">
          <w:delText>For single use only</w:delText>
        </w:r>
        <w:r w:rsidR="006E5817">
          <w:delText>.</w:delText>
        </w:r>
      </w:del>
    </w:p>
    <w:p w14:paraId="6FC7CE82" w14:textId="77777777" w:rsidR="00BC0E7E" w:rsidRPr="00BC0E7E" w:rsidRDefault="00BC0E7E" w:rsidP="00BC0E7E"/>
    <w:p w14:paraId="5F4A376D" w14:textId="77777777" w:rsidR="00BC0E7E" w:rsidRPr="00BC0E7E" w:rsidRDefault="00944B8F" w:rsidP="005C0D2E">
      <w:pPr>
        <w:pBdr>
          <w:top w:val="single" w:sz="4" w:space="1" w:color="auto"/>
          <w:left w:val="single" w:sz="4" w:space="4" w:color="auto"/>
          <w:bottom w:val="single" w:sz="4" w:space="1" w:color="auto"/>
          <w:right w:val="single" w:sz="4" w:space="4" w:color="auto"/>
        </w:pBdr>
        <w:ind w:left="561" w:hanging="561"/>
        <w:rPr>
          <w:del w:id="9595" w:author="AbbVie19" w:date="2025-04-17T11:03:00Z"/>
          <w:b/>
          <w:bCs/>
          <w:caps/>
          <w:szCs w:val="20"/>
        </w:rPr>
      </w:pPr>
      <w:r w:rsidRPr="00BC0E7E">
        <w:rPr>
          <w:b/>
          <w:bCs/>
          <w:caps/>
          <w:szCs w:val="20"/>
        </w:rPr>
        <w:br w:type="page"/>
      </w:r>
      <w:ins w:id="9596" w:author="AbbVie19" w:date="2025-04-17T11:03:00Z">
        <w:r w:rsidR="005C0D2E" w:rsidRPr="00BC0E7E">
          <w:rPr>
            <w:b/>
            <w:bCs/>
            <w:caps/>
            <w:szCs w:val="20"/>
          </w:rPr>
          <w:lastRenderedPageBreak/>
          <w:t xml:space="preserve"> </w:t>
        </w:r>
      </w:ins>
      <w:del w:id="9597" w:author="AbbVie19" w:date="2025-04-17T11:03:00Z">
        <w:r w:rsidRPr="00BC0E7E">
          <w:rPr>
            <w:b/>
            <w:bCs/>
            <w:caps/>
            <w:szCs w:val="20"/>
          </w:rPr>
          <w:delText>MINIMUM PARTICULARS TO APPEAR ON SMALL IMMEDIATE PACKAGING UNITS</w:delText>
        </w:r>
      </w:del>
    </w:p>
    <w:p w14:paraId="3D3D4782" w14:textId="77777777" w:rsidR="00BC0E7E" w:rsidRPr="00BC0E7E" w:rsidRDefault="00BC0E7E" w:rsidP="005C0D2E">
      <w:pPr>
        <w:pBdr>
          <w:top w:val="single" w:sz="4" w:space="1" w:color="auto"/>
          <w:left w:val="single" w:sz="4" w:space="4" w:color="auto"/>
          <w:bottom w:val="single" w:sz="4" w:space="1" w:color="auto"/>
          <w:right w:val="single" w:sz="4" w:space="4" w:color="auto"/>
        </w:pBdr>
        <w:ind w:left="561" w:hanging="561"/>
        <w:rPr>
          <w:del w:id="9598" w:author="AbbVie19" w:date="2025-04-17T11:03:00Z"/>
          <w:b/>
          <w:bCs/>
          <w:caps/>
          <w:szCs w:val="20"/>
        </w:rPr>
      </w:pPr>
    </w:p>
    <w:p w14:paraId="72ED2A2E" w14:textId="77777777" w:rsidR="00BC0E7E" w:rsidRPr="00BC0E7E" w:rsidRDefault="00944B8F" w:rsidP="00762FA7">
      <w:pPr>
        <w:keepLines/>
        <w:pBdr>
          <w:top w:val="single" w:sz="4" w:space="1" w:color="auto"/>
          <w:left w:val="single" w:sz="4" w:space="4" w:color="auto"/>
          <w:bottom w:val="single" w:sz="4" w:space="1" w:color="auto"/>
          <w:right w:val="single" w:sz="4" w:space="4" w:color="auto"/>
        </w:pBdr>
        <w:ind w:left="540" w:hanging="540"/>
        <w:outlineLvl w:val="2"/>
        <w:rPr>
          <w:del w:id="9599" w:author="AbbVie19" w:date="2025-04-17T11:03:00Z"/>
          <w:sz w:val="26"/>
          <w:szCs w:val="26"/>
        </w:rPr>
      </w:pPr>
      <w:del w:id="9600" w:author="AbbVie19" w:date="2025-04-17T11:03:00Z">
        <w:r w:rsidRPr="00BC0E7E">
          <w:rPr>
            <w:b/>
            <w:bCs/>
            <w:szCs w:val="26"/>
          </w:rPr>
          <w:delText>PEN LABEL</w:delText>
        </w:r>
      </w:del>
    </w:p>
    <w:p w14:paraId="0F780C64" w14:textId="77777777" w:rsidR="00BC0E7E" w:rsidRPr="00BC0E7E" w:rsidRDefault="00BC0E7E" w:rsidP="00762FA7">
      <w:pPr>
        <w:rPr>
          <w:del w:id="9601" w:author="AbbVie19" w:date="2025-04-17T11:03:00Z"/>
          <w:szCs w:val="20"/>
        </w:rPr>
      </w:pPr>
    </w:p>
    <w:p w14:paraId="0B801E8A" w14:textId="77777777" w:rsidR="00BC0E7E" w:rsidRPr="00BC0E7E" w:rsidRDefault="00BC0E7E" w:rsidP="00762FA7">
      <w:pPr>
        <w:rPr>
          <w:del w:id="9602" w:author="AbbVie19" w:date="2025-04-17T11:03:00Z"/>
          <w:szCs w:val="20"/>
        </w:rPr>
      </w:pPr>
    </w:p>
    <w:p w14:paraId="4D204F2D" w14:textId="77777777" w:rsidR="00BC0E7E" w:rsidRPr="00BC0E7E" w:rsidRDefault="00944B8F" w:rsidP="005C0D2E">
      <w:pPr>
        <w:pBdr>
          <w:top w:val="single" w:sz="4" w:space="1" w:color="auto"/>
          <w:left w:val="single" w:sz="4" w:space="4" w:color="auto"/>
          <w:bottom w:val="single" w:sz="4" w:space="1" w:color="auto"/>
          <w:right w:val="single" w:sz="4" w:space="4" w:color="auto"/>
        </w:pBdr>
        <w:ind w:left="561" w:hanging="561"/>
        <w:rPr>
          <w:del w:id="9603" w:author="AbbVie19" w:date="2025-04-17T11:03:00Z"/>
          <w:b/>
          <w:caps/>
          <w:szCs w:val="20"/>
        </w:rPr>
      </w:pPr>
      <w:del w:id="9604" w:author="AbbVie19" w:date="2025-04-17T11:03:00Z">
        <w:r w:rsidRPr="00BC0E7E">
          <w:rPr>
            <w:b/>
            <w:caps/>
            <w:szCs w:val="20"/>
          </w:rPr>
          <w:delText>1.</w:delText>
        </w:r>
        <w:r w:rsidRPr="00BC0E7E">
          <w:rPr>
            <w:b/>
            <w:caps/>
            <w:szCs w:val="20"/>
          </w:rPr>
          <w:tab/>
          <w:delText>NAME OF THE MEDICINAL PRODUCT AND ROUTE OF ADMINISTRATION</w:delText>
        </w:r>
      </w:del>
    </w:p>
    <w:p w14:paraId="6B8A5048" w14:textId="77777777" w:rsidR="00BC0E7E" w:rsidRPr="00BC0E7E" w:rsidRDefault="00BC0E7E" w:rsidP="00762FA7">
      <w:pPr>
        <w:ind w:left="540" w:hanging="540"/>
        <w:rPr>
          <w:del w:id="9605" w:author="AbbVie19" w:date="2025-04-17T11:03:00Z"/>
        </w:rPr>
      </w:pPr>
    </w:p>
    <w:p w14:paraId="3436B951" w14:textId="77777777" w:rsidR="00BC0E7E" w:rsidRPr="00BC0E7E" w:rsidRDefault="00944B8F" w:rsidP="00762FA7">
      <w:pPr>
        <w:ind w:left="540" w:hanging="540"/>
        <w:rPr>
          <w:del w:id="9606" w:author="AbbVie19" w:date="2025-04-17T11:03:00Z"/>
        </w:rPr>
      </w:pPr>
      <w:del w:id="9607" w:author="AbbVie19" w:date="2025-04-17T11:03:00Z">
        <w:r w:rsidRPr="00BC0E7E">
          <w:delText>Humira 40 mg injection</w:delText>
        </w:r>
      </w:del>
    </w:p>
    <w:p w14:paraId="32702647" w14:textId="77777777" w:rsidR="00BC0E7E" w:rsidRPr="00BC0E7E" w:rsidRDefault="00944B8F" w:rsidP="00762FA7">
      <w:pPr>
        <w:ind w:left="540" w:hanging="540"/>
        <w:rPr>
          <w:del w:id="9608" w:author="AbbVie19" w:date="2025-04-17T11:03:00Z"/>
          <w:szCs w:val="22"/>
        </w:rPr>
      </w:pPr>
      <w:del w:id="9609" w:author="AbbVie19" w:date="2025-04-17T11:03:00Z">
        <w:r w:rsidRPr="00BC0E7E">
          <w:rPr>
            <w:szCs w:val="22"/>
          </w:rPr>
          <w:delText>adalimumab</w:delText>
        </w:r>
      </w:del>
    </w:p>
    <w:p w14:paraId="13794112" w14:textId="77777777" w:rsidR="00BC0E7E" w:rsidRPr="00BC0E7E" w:rsidRDefault="00944B8F" w:rsidP="00762FA7">
      <w:pPr>
        <w:tabs>
          <w:tab w:val="clear" w:pos="562"/>
        </w:tabs>
        <w:ind w:left="540" w:hanging="540"/>
        <w:rPr>
          <w:del w:id="9610" w:author="AbbVie19" w:date="2025-04-17T11:03:00Z"/>
          <w:szCs w:val="22"/>
        </w:rPr>
      </w:pPr>
      <w:del w:id="9611" w:author="AbbVie19" w:date="2025-04-17T11:03:00Z">
        <w:r>
          <w:rPr>
            <w:szCs w:val="22"/>
          </w:rPr>
          <w:delText>SC</w:delText>
        </w:r>
      </w:del>
    </w:p>
    <w:p w14:paraId="2DC209C3" w14:textId="77777777" w:rsidR="00BC0E7E" w:rsidRPr="00BC0E7E" w:rsidRDefault="00BC0E7E" w:rsidP="00762FA7">
      <w:pPr>
        <w:rPr>
          <w:del w:id="9612" w:author="AbbVie19" w:date="2025-04-17T11:03:00Z"/>
        </w:rPr>
      </w:pPr>
    </w:p>
    <w:p w14:paraId="07FD367D" w14:textId="77777777" w:rsidR="00BC0E7E" w:rsidRPr="00BC0E7E" w:rsidRDefault="00BC0E7E" w:rsidP="00762FA7">
      <w:pPr>
        <w:rPr>
          <w:del w:id="9613" w:author="AbbVie19" w:date="2025-04-17T11:03:00Z"/>
        </w:rPr>
      </w:pPr>
    </w:p>
    <w:p w14:paraId="1820192D"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614" w:author="AbbVie19" w:date="2025-04-17T11:03:00Z"/>
          <w:b/>
          <w:caps/>
          <w:szCs w:val="20"/>
        </w:rPr>
      </w:pPr>
      <w:del w:id="9615" w:author="AbbVie19" w:date="2025-04-17T11:03:00Z">
        <w:r w:rsidRPr="00BC0E7E">
          <w:rPr>
            <w:b/>
            <w:caps/>
            <w:szCs w:val="20"/>
          </w:rPr>
          <w:delText>2.</w:delText>
        </w:r>
        <w:r w:rsidRPr="00BC0E7E">
          <w:rPr>
            <w:b/>
            <w:caps/>
            <w:szCs w:val="20"/>
          </w:rPr>
          <w:tab/>
          <w:delText>METHOD OF ADMINISTRATION</w:delText>
        </w:r>
      </w:del>
    </w:p>
    <w:p w14:paraId="22729CEE" w14:textId="77777777" w:rsidR="00BC0E7E" w:rsidRPr="00BC0E7E" w:rsidRDefault="00BC0E7E" w:rsidP="00762FA7">
      <w:pPr>
        <w:ind w:left="540" w:hanging="540"/>
        <w:rPr>
          <w:del w:id="9616" w:author="AbbVie19" w:date="2025-04-17T11:03:00Z"/>
          <w:b/>
        </w:rPr>
      </w:pPr>
    </w:p>
    <w:p w14:paraId="21FB182D" w14:textId="77777777" w:rsidR="00BC0E7E" w:rsidRPr="00BC0E7E" w:rsidRDefault="00BC0E7E" w:rsidP="00762FA7">
      <w:pPr>
        <w:ind w:left="540" w:hanging="540"/>
        <w:rPr>
          <w:del w:id="9617" w:author="AbbVie19" w:date="2025-04-17T11:03:00Z"/>
          <w:b/>
        </w:rPr>
      </w:pPr>
    </w:p>
    <w:p w14:paraId="38DB354A" w14:textId="77777777" w:rsidR="00BC0E7E" w:rsidRPr="00BC0E7E" w:rsidRDefault="00944B8F" w:rsidP="005C0D2E">
      <w:pPr>
        <w:pBdr>
          <w:top w:val="single" w:sz="4" w:space="1" w:color="auto"/>
          <w:left w:val="single" w:sz="4" w:space="4" w:color="auto"/>
          <w:bottom w:val="single" w:sz="4" w:space="1" w:color="auto"/>
          <w:right w:val="single" w:sz="4" w:space="4" w:color="auto"/>
        </w:pBdr>
        <w:ind w:left="561" w:hanging="561"/>
        <w:rPr>
          <w:del w:id="9618" w:author="AbbVie19" w:date="2025-04-17T11:03:00Z"/>
          <w:b/>
          <w:caps/>
          <w:szCs w:val="20"/>
        </w:rPr>
      </w:pPr>
      <w:del w:id="9619" w:author="AbbVie19" w:date="2025-04-17T11:03:00Z">
        <w:r w:rsidRPr="00BC0E7E">
          <w:rPr>
            <w:b/>
            <w:caps/>
            <w:szCs w:val="20"/>
          </w:rPr>
          <w:delText>3.</w:delText>
        </w:r>
        <w:r w:rsidRPr="00BC0E7E">
          <w:rPr>
            <w:b/>
            <w:caps/>
            <w:szCs w:val="20"/>
          </w:rPr>
          <w:tab/>
          <w:delText>EXPIRY DATE</w:delText>
        </w:r>
      </w:del>
    </w:p>
    <w:p w14:paraId="4C982189" w14:textId="77777777" w:rsidR="00BC0E7E" w:rsidRPr="00BC0E7E" w:rsidRDefault="00BC0E7E" w:rsidP="00762FA7">
      <w:pPr>
        <w:ind w:left="540" w:hanging="540"/>
        <w:rPr>
          <w:del w:id="9620" w:author="AbbVie19" w:date="2025-04-17T11:03:00Z"/>
        </w:rPr>
      </w:pPr>
    </w:p>
    <w:p w14:paraId="034B73D1" w14:textId="77777777" w:rsidR="00BC0E7E" w:rsidRPr="00BC0E7E" w:rsidRDefault="00944B8F" w:rsidP="00762FA7">
      <w:pPr>
        <w:ind w:left="540" w:hanging="540"/>
        <w:rPr>
          <w:del w:id="9621" w:author="AbbVie19" w:date="2025-04-17T11:03:00Z"/>
        </w:rPr>
      </w:pPr>
      <w:del w:id="9622" w:author="AbbVie19" w:date="2025-04-17T11:03:00Z">
        <w:r w:rsidRPr="00BC0E7E">
          <w:delText>EXP</w:delText>
        </w:r>
      </w:del>
    </w:p>
    <w:p w14:paraId="00A6D3C0" w14:textId="77777777" w:rsidR="00BC0E7E" w:rsidRPr="00BC0E7E" w:rsidRDefault="00BC0E7E" w:rsidP="00762FA7">
      <w:pPr>
        <w:ind w:left="540" w:hanging="540"/>
        <w:rPr>
          <w:del w:id="9623" w:author="AbbVie19" w:date="2025-04-17T11:03:00Z"/>
        </w:rPr>
      </w:pPr>
    </w:p>
    <w:p w14:paraId="1B16106C" w14:textId="77777777" w:rsidR="00BC0E7E" w:rsidRPr="00BC0E7E" w:rsidRDefault="00BC0E7E" w:rsidP="00762FA7">
      <w:pPr>
        <w:ind w:left="540" w:hanging="540"/>
        <w:rPr>
          <w:del w:id="9624" w:author="AbbVie19" w:date="2025-04-17T11:03:00Z"/>
        </w:rPr>
      </w:pPr>
    </w:p>
    <w:p w14:paraId="3880B507"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625" w:author="AbbVie19" w:date="2025-04-17T11:03:00Z"/>
          <w:b/>
          <w:caps/>
          <w:szCs w:val="20"/>
        </w:rPr>
      </w:pPr>
      <w:del w:id="9626" w:author="AbbVie19" w:date="2025-04-17T11:03:00Z">
        <w:r w:rsidRPr="00BC0E7E">
          <w:rPr>
            <w:b/>
            <w:caps/>
            <w:szCs w:val="20"/>
          </w:rPr>
          <w:delText>4.</w:delText>
        </w:r>
        <w:r w:rsidRPr="00BC0E7E">
          <w:rPr>
            <w:b/>
            <w:caps/>
            <w:szCs w:val="20"/>
          </w:rPr>
          <w:tab/>
          <w:delText>BATCH NUMBER</w:delText>
        </w:r>
      </w:del>
    </w:p>
    <w:p w14:paraId="3CADA446" w14:textId="77777777" w:rsidR="00BC0E7E" w:rsidRPr="00BC0E7E" w:rsidRDefault="00BC0E7E" w:rsidP="00762FA7">
      <w:pPr>
        <w:ind w:left="540" w:hanging="540"/>
        <w:rPr>
          <w:del w:id="9627" w:author="AbbVie19" w:date="2025-04-17T11:03:00Z"/>
        </w:rPr>
      </w:pPr>
    </w:p>
    <w:p w14:paraId="6C83E19A" w14:textId="77777777" w:rsidR="00BC0E7E" w:rsidRPr="00BC0E7E" w:rsidRDefault="00944B8F" w:rsidP="00762FA7">
      <w:pPr>
        <w:ind w:left="540" w:hanging="540"/>
        <w:rPr>
          <w:del w:id="9628" w:author="AbbVie19" w:date="2025-04-17T11:03:00Z"/>
        </w:rPr>
      </w:pPr>
      <w:del w:id="9629" w:author="AbbVie19" w:date="2025-04-17T11:03:00Z">
        <w:r w:rsidRPr="00BC0E7E">
          <w:delText xml:space="preserve">Lot </w:delText>
        </w:r>
      </w:del>
    </w:p>
    <w:p w14:paraId="1A72B86D" w14:textId="77777777" w:rsidR="00BC0E7E" w:rsidRPr="00BC0E7E" w:rsidRDefault="00BC0E7E" w:rsidP="00762FA7">
      <w:pPr>
        <w:ind w:left="540" w:hanging="540"/>
        <w:rPr>
          <w:del w:id="9630" w:author="AbbVie19" w:date="2025-04-17T11:03:00Z"/>
        </w:rPr>
      </w:pPr>
    </w:p>
    <w:p w14:paraId="3E19DB3B" w14:textId="77777777" w:rsidR="00BC0E7E" w:rsidRPr="00BC0E7E" w:rsidRDefault="00BC0E7E" w:rsidP="00762FA7">
      <w:pPr>
        <w:ind w:left="540" w:hanging="540"/>
        <w:rPr>
          <w:del w:id="9631" w:author="AbbVie19" w:date="2025-04-17T11:03:00Z"/>
        </w:rPr>
      </w:pPr>
    </w:p>
    <w:p w14:paraId="00FC31AA" w14:textId="77777777" w:rsidR="00BC0E7E" w:rsidRPr="00BC0E7E" w:rsidRDefault="00944B8F" w:rsidP="00762FA7">
      <w:pPr>
        <w:pBdr>
          <w:top w:val="single" w:sz="4" w:space="1" w:color="auto"/>
          <w:left w:val="single" w:sz="4" w:space="4" w:color="auto"/>
          <w:bottom w:val="single" w:sz="4" w:space="1" w:color="auto"/>
          <w:right w:val="single" w:sz="4" w:space="4" w:color="auto"/>
        </w:pBdr>
        <w:ind w:left="562" w:hanging="562"/>
        <w:rPr>
          <w:del w:id="9632" w:author="AbbVie19" w:date="2025-04-17T11:03:00Z"/>
          <w:b/>
          <w:caps/>
          <w:szCs w:val="20"/>
        </w:rPr>
      </w:pPr>
      <w:del w:id="9633" w:author="AbbVie19" w:date="2025-04-17T11:03:00Z">
        <w:r w:rsidRPr="00BC0E7E">
          <w:rPr>
            <w:b/>
            <w:caps/>
            <w:szCs w:val="20"/>
          </w:rPr>
          <w:delText>5.</w:delText>
        </w:r>
        <w:r w:rsidRPr="00BC0E7E">
          <w:rPr>
            <w:b/>
            <w:caps/>
            <w:szCs w:val="20"/>
          </w:rPr>
          <w:tab/>
          <w:delText>CONTENTS BY WEIGHT, BY VOLUME OR BY UNIT</w:delText>
        </w:r>
      </w:del>
    </w:p>
    <w:p w14:paraId="660A0851" w14:textId="77777777" w:rsidR="00BC0E7E" w:rsidRPr="00BC0E7E" w:rsidRDefault="00BC0E7E" w:rsidP="00762FA7">
      <w:pPr>
        <w:ind w:left="540" w:hanging="540"/>
        <w:rPr>
          <w:del w:id="9634" w:author="AbbVie19" w:date="2025-04-17T11:03:00Z"/>
        </w:rPr>
      </w:pPr>
    </w:p>
    <w:p w14:paraId="29EE0929" w14:textId="77777777" w:rsidR="00BC0E7E" w:rsidRPr="00BC0E7E" w:rsidRDefault="00944B8F" w:rsidP="00762FA7">
      <w:pPr>
        <w:ind w:left="540" w:hanging="540"/>
        <w:rPr>
          <w:del w:id="9635" w:author="AbbVie19" w:date="2025-04-17T11:03:00Z"/>
        </w:rPr>
      </w:pPr>
      <w:del w:id="9636" w:author="AbbVie19" w:date="2025-04-17T11:03:00Z">
        <w:r w:rsidRPr="00BC0E7E">
          <w:delText>40 mg/0.8 ml</w:delText>
        </w:r>
      </w:del>
    </w:p>
    <w:p w14:paraId="2BE220E5" w14:textId="77777777" w:rsidR="00BC0E7E" w:rsidRPr="00BC0E7E" w:rsidRDefault="00BC0E7E" w:rsidP="00762FA7">
      <w:pPr>
        <w:ind w:left="540" w:hanging="540"/>
        <w:rPr>
          <w:del w:id="9637" w:author="AbbVie19" w:date="2025-04-17T11:03:00Z"/>
        </w:rPr>
      </w:pPr>
    </w:p>
    <w:p w14:paraId="1D14B11C" w14:textId="77777777" w:rsidR="00BC0E7E" w:rsidRPr="00BC0E7E" w:rsidRDefault="00BC0E7E" w:rsidP="00762FA7">
      <w:pPr>
        <w:ind w:left="540" w:hanging="540"/>
        <w:rPr>
          <w:del w:id="9638" w:author="AbbVie19" w:date="2025-04-17T11:03:00Z"/>
        </w:rPr>
      </w:pPr>
    </w:p>
    <w:p w14:paraId="3DDB3053" w14:textId="77777777" w:rsidR="00BC0E7E" w:rsidRPr="00BC0E7E" w:rsidRDefault="00944B8F" w:rsidP="00762FA7">
      <w:pPr>
        <w:pBdr>
          <w:top w:val="single" w:sz="4" w:space="1" w:color="auto"/>
          <w:left w:val="single" w:sz="4" w:space="4" w:color="auto"/>
          <w:bottom w:val="single" w:sz="4" w:space="1" w:color="auto"/>
          <w:right w:val="single" w:sz="4" w:space="4" w:color="auto"/>
        </w:pBdr>
        <w:rPr>
          <w:del w:id="9639" w:author="AbbVie19" w:date="2025-04-17T11:03:00Z"/>
          <w:b/>
          <w:caps/>
          <w:szCs w:val="20"/>
        </w:rPr>
      </w:pPr>
      <w:del w:id="9640" w:author="AbbVie19" w:date="2025-04-17T11:03:00Z">
        <w:r w:rsidRPr="00BC0E7E">
          <w:rPr>
            <w:b/>
            <w:caps/>
            <w:szCs w:val="20"/>
          </w:rPr>
          <w:delText>6.</w:delText>
        </w:r>
        <w:r w:rsidRPr="00BC0E7E">
          <w:rPr>
            <w:b/>
            <w:caps/>
            <w:szCs w:val="20"/>
          </w:rPr>
          <w:tab/>
          <w:delText>OTHER</w:delText>
        </w:r>
      </w:del>
    </w:p>
    <w:p w14:paraId="1CD9BFFD" w14:textId="77777777" w:rsidR="00BC0E7E" w:rsidRPr="00BC0E7E" w:rsidRDefault="00BC0E7E" w:rsidP="00762FA7">
      <w:pPr>
        <w:ind w:left="540" w:hanging="540"/>
        <w:rPr>
          <w:del w:id="9641" w:author="AbbVie19" w:date="2025-04-17T11:03:00Z"/>
        </w:rPr>
      </w:pPr>
    </w:p>
    <w:p w14:paraId="68A70C99" w14:textId="77777777" w:rsidR="00BC0E7E" w:rsidRPr="00BC0E7E" w:rsidRDefault="00BC0E7E" w:rsidP="00762FA7">
      <w:pPr>
        <w:rPr>
          <w:del w:id="9642" w:author="AbbVie19" w:date="2025-04-17T11:03:00Z"/>
        </w:rPr>
      </w:pPr>
    </w:p>
    <w:p w14:paraId="6B9B328E" w14:textId="77777777" w:rsidR="00BC0E7E" w:rsidRPr="00BC0E7E" w:rsidRDefault="00944B8F" w:rsidP="005C0D2E">
      <w:pPr>
        <w:pBdr>
          <w:top w:val="single" w:sz="4" w:space="1" w:color="auto"/>
          <w:left w:val="single" w:sz="4" w:space="4" w:color="auto"/>
          <w:bottom w:val="single" w:sz="4" w:space="1" w:color="auto"/>
          <w:right w:val="single" w:sz="4" w:space="4" w:color="auto"/>
        </w:pBdr>
        <w:ind w:left="561" w:hanging="561"/>
        <w:rPr>
          <w:b/>
          <w:bCs/>
          <w:caps/>
          <w:szCs w:val="20"/>
        </w:rPr>
      </w:pPr>
      <w:del w:id="9643" w:author="AbbVie19" w:date="2025-04-17T11:03:00Z">
        <w:r w:rsidRPr="00BC0E7E">
          <w:rPr>
            <w:b/>
            <w:bCs/>
            <w:caps/>
            <w:szCs w:val="20"/>
          </w:rPr>
          <w:br w:type="page"/>
        </w:r>
      </w:del>
      <w:r w:rsidRPr="00BC0E7E">
        <w:rPr>
          <w:b/>
          <w:bCs/>
          <w:caps/>
          <w:szCs w:val="20"/>
        </w:rPr>
        <w:lastRenderedPageBreak/>
        <w:t xml:space="preserve">PARTICULARS TO APPEAR ON THE OUTER PACKAGING </w:t>
      </w:r>
    </w:p>
    <w:p w14:paraId="3BEF5DC8" w14:textId="77777777" w:rsidR="00BC0E7E" w:rsidRPr="00BC0E7E" w:rsidRDefault="00BC0E7E" w:rsidP="00BC0E7E">
      <w:pPr>
        <w:pBdr>
          <w:top w:val="single" w:sz="4" w:space="1" w:color="auto"/>
          <w:left w:val="single" w:sz="4" w:space="4" w:color="auto"/>
          <w:bottom w:val="single" w:sz="4" w:space="1" w:color="auto"/>
          <w:right w:val="single" w:sz="4" w:space="4" w:color="auto"/>
        </w:pBdr>
        <w:ind w:left="561" w:hanging="561"/>
        <w:rPr>
          <w:b/>
          <w:bCs/>
          <w:caps/>
          <w:szCs w:val="20"/>
        </w:rPr>
      </w:pPr>
    </w:p>
    <w:p w14:paraId="68EDA695" w14:textId="77777777" w:rsidR="00BC0E7E" w:rsidRPr="00BC0E7E" w:rsidRDefault="00944B8F" w:rsidP="00BC0E7E">
      <w:pPr>
        <w:keepLines/>
        <w:pBdr>
          <w:top w:val="single" w:sz="4" w:space="1" w:color="auto"/>
          <w:left w:val="single" w:sz="4" w:space="4" w:color="auto"/>
          <w:bottom w:val="single" w:sz="4" w:space="1" w:color="auto"/>
          <w:right w:val="single" w:sz="4" w:space="4" w:color="auto"/>
        </w:pBdr>
        <w:ind w:left="540" w:hanging="540"/>
        <w:outlineLvl w:val="2"/>
        <w:rPr>
          <w:sz w:val="26"/>
          <w:szCs w:val="26"/>
        </w:rPr>
      </w:pPr>
      <w:r w:rsidRPr="00BC0E7E">
        <w:rPr>
          <w:b/>
          <w:bCs/>
          <w:szCs w:val="26"/>
        </w:rPr>
        <w:t>OUTER CARTON</w:t>
      </w:r>
    </w:p>
    <w:p w14:paraId="001C95AC" w14:textId="77777777" w:rsidR="00BC0E7E" w:rsidRPr="00BC0E7E" w:rsidRDefault="00BC0E7E" w:rsidP="00BC0E7E">
      <w:pPr>
        <w:rPr>
          <w:b/>
        </w:rPr>
      </w:pPr>
    </w:p>
    <w:p w14:paraId="63A69E68" w14:textId="77777777" w:rsidR="00BC0E7E" w:rsidRPr="00BC0E7E" w:rsidRDefault="00BC0E7E" w:rsidP="00BC0E7E">
      <w:pPr>
        <w:rPr>
          <w:b/>
        </w:rPr>
      </w:pPr>
    </w:p>
    <w:p w14:paraId="0A17DB18"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1.</w:t>
      </w:r>
      <w:r w:rsidRPr="00BC0E7E">
        <w:rPr>
          <w:b/>
          <w:caps/>
          <w:szCs w:val="20"/>
        </w:rPr>
        <w:tab/>
        <w:t>NAME OF THE MEDICINAL PRODUCT</w:t>
      </w:r>
    </w:p>
    <w:p w14:paraId="503CEB61" w14:textId="77777777" w:rsidR="00BC0E7E" w:rsidRPr="00BC0E7E" w:rsidRDefault="00BC0E7E" w:rsidP="00BC0E7E">
      <w:pPr>
        <w:ind w:left="540" w:hanging="540"/>
        <w:rPr>
          <w:szCs w:val="22"/>
        </w:rPr>
      </w:pPr>
    </w:p>
    <w:p w14:paraId="4C1EC2E7" w14:textId="77777777" w:rsidR="00BC0E7E" w:rsidRPr="00BC0E7E" w:rsidRDefault="00944B8F" w:rsidP="00BC0E7E">
      <w:pPr>
        <w:ind w:left="540" w:hanging="540"/>
        <w:rPr>
          <w:szCs w:val="22"/>
        </w:rPr>
      </w:pPr>
      <w:r w:rsidRPr="00BC0E7E">
        <w:rPr>
          <w:szCs w:val="22"/>
        </w:rPr>
        <w:t xml:space="preserve">Humira 40 mg solution for injection in pre-filled syringe </w:t>
      </w:r>
    </w:p>
    <w:p w14:paraId="5327E984" w14:textId="77777777" w:rsidR="00BC0E7E" w:rsidRPr="00BC0E7E" w:rsidRDefault="00944B8F" w:rsidP="00BC0E7E">
      <w:pPr>
        <w:tabs>
          <w:tab w:val="clear" w:pos="562"/>
        </w:tabs>
        <w:ind w:left="540" w:hanging="540"/>
        <w:rPr>
          <w:szCs w:val="22"/>
        </w:rPr>
      </w:pPr>
      <w:r w:rsidRPr="00BC0E7E">
        <w:rPr>
          <w:szCs w:val="22"/>
        </w:rPr>
        <w:t>adalimumab</w:t>
      </w:r>
    </w:p>
    <w:p w14:paraId="3D363F60" w14:textId="77777777" w:rsidR="00BC0E7E" w:rsidRPr="00BC0E7E" w:rsidRDefault="00BC0E7E" w:rsidP="00BC0E7E"/>
    <w:p w14:paraId="652A1838" w14:textId="77777777" w:rsidR="00BC0E7E" w:rsidRPr="00BC0E7E" w:rsidRDefault="00BC0E7E" w:rsidP="00BC0E7E"/>
    <w:p w14:paraId="1AF00E16"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2"/>
        </w:rPr>
      </w:pPr>
      <w:r w:rsidRPr="00BC0E7E">
        <w:rPr>
          <w:b/>
          <w:caps/>
          <w:szCs w:val="22"/>
        </w:rPr>
        <w:t>2.</w:t>
      </w:r>
      <w:r w:rsidRPr="00BC0E7E">
        <w:rPr>
          <w:b/>
          <w:caps/>
          <w:szCs w:val="22"/>
        </w:rPr>
        <w:tab/>
        <w:t>STATEMENT OF ACTIVE SUBSTANCE</w:t>
      </w:r>
    </w:p>
    <w:p w14:paraId="0659317F" w14:textId="77777777" w:rsidR="00BC0E7E" w:rsidRPr="00BC0E7E" w:rsidRDefault="00BC0E7E" w:rsidP="00BC0E7E">
      <w:pPr>
        <w:ind w:left="540" w:hanging="540"/>
        <w:rPr>
          <w:szCs w:val="22"/>
        </w:rPr>
      </w:pPr>
    </w:p>
    <w:p w14:paraId="26CC7DE6" w14:textId="77777777" w:rsidR="00BC0E7E" w:rsidRPr="00BC0E7E" w:rsidRDefault="00944B8F" w:rsidP="00BC0E7E">
      <w:pPr>
        <w:ind w:left="540" w:hanging="540"/>
        <w:rPr>
          <w:szCs w:val="22"/>
        </w:rPr>
      </w:pPr>
      <w:r w:rsidRPr="00BC0E7E">
        <w:rPr>
          <w:szCs w:val="22"/>
        </w:rPr>
        <w:t>One 0.4 ml pre-filled sy</w:t>
      </w:r>
      <w:r w:rsidR="007746CB">
        <w:rPr>
          <w:szCs w:val="22"/>
        </w:rPr>
        <w:t>ringe contains 40 mg adalimumab.</w:t>
      </w:r>
    </w:p>
    <w:p w14:paraId="0E06B334" w14:textId="77777777" w:rsidR="00BC0E7E" w:rsidRPr="00BC0E7E" w:rsidRDefault="00BC0E7E" w:rsidP="00BC0E7E">
      <w:pPr>
        <w:ind w:left="540" w:hanging="540"/>
        <w:rPr>
          <w:szCs w:val="22"/>
        </w:rPr>
      </w:pPr>
    </w:p>
    <w:p w14:paraId="321592C8" w14:textId="77777777" w:rsidR="00BC0E7E" w:rsidRPr="00BC0E7E" w:rsidRDefault="00BC0E7E" w:rsidP="00BC0E7E">
      <w:pPr>
        <w:ind w:left="540" w:hanging="540"/>
        <w:rPr>
          <w:szCs w:val="22"/>
        </w:rPr>
      </w:pPr>
    </w:p>
    <w:p w14:paraId="00ACC1AD"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2"/>
        </w:rPr>
        <w:t>3.</w:t>
      </w:r>
      <w:r w:rsidRPr="00BC0E7E">
        <w:rPr>
          <w:b/>
          <w:caps/>
          <w:szCs w:val="22"/>
        </w:rPr>
        <w:tab/>
        <w:t>LIST OF</w:t>
      </w:r>
      <w:r w:rsidRPr="00BC0E7E">
        <w:rPr>
          <w:b/>
          <w:caps/>
          <w:szCs w:val="20"/>
        </w:rPr>
        <w:t xml:space="preserve"> EXCIPIENTS</w:t>
      </w:r>
    </w:p>
    <w:p w14:paraId="7E8EB41B" w14:textId="77777777" w:rsidR="00BC0E7E" w:rsidRPr="00BC0E7E" w:rsidRDefault="00BC0E7E" w:rsidP="00BC0E7E"/>
    <w:p w14:paraId="43A05ABC" w14:textId="77777777" w:rsidR="00BC0E7E" w:rsidRPr="00BC0E7E" w:rsidRDefault="00944B8F" w:rsidP="00BC0E7E">
      <w:r w:rsidRPr="00BC0E7E">
        <w:t>Excipients: mannitol, polysorbate 80, and water for injections. See leaflet for further information.</w:t>
      </w:r>
    </w:p>
    <w:p w14:paraId="79C5A51A" w14:textId="77777777" w:rsidR="00BC0E7E" w:rsidRPr="00BC0E7E" w:rsidRDefault="00BC0E7E" w:rsidP="00BC0E7E"/>
    <w:p w14:paraId="2E5BC93D" w14:textId="77777777" w:rsidR="00BC0E7E" w:rsidRPr="00BC0E7E" w:rsidRDefault="00BC0E7E" w:rsidP="00BC0E7E"/>
    <w:p w14:paraId="1243E721"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4.</w:t>
      </w:r>
      <w:r w:rsidRPr="00BC0E7E">
        <w:rPr>
          <w:b/>
          <w:caps/>
          <w:szCs w:val="20"/>
        </w:rPr>
        <w:tab/>
        <w:t>PHARMACEUTICAL FORM AND CONTENTS</w:t>
      </w:r>
    </w:p>
    <w:p w14:paraId="520698C8" w14:textId="77777777" w:rsidR="00BC0E7E" w:rsidRDefault="00BC0E7E" w:rsidP="00BC0E7E">
      <w:pPr>
        <w:ind w:left="540" w:hanging="540"/>
      </w:pPr>
    </w:p>
    <w:p w14:paraId="6220088C" w14:textId="77777777" w:rsidR="00C463B4" w:rsidRPr="00647F5F" w:rsidRDefault="00944B8F" w:rsidP="00BC0E7E">
      <w:pPr>
        <w:ind w:left="540" w:hanging="540"/>
      </w:pPr>
      <w:r w:rsidRPr="000244DF">
        <w:rPr>
          <w:highlight w:val="lightGray"/>
        </w:rPr>
        <w:t>Solution for injection</w:t>
      </w:r>
    </w:p>
    <w:p w14:paraId="01F4BF2D" w14:textId="77777777" w:rsidR="00BC0E7E" w:rsidRPr="00BC0E7E" w:rsidRDefault="00944B8F" w:rsidP="00BC0E7E">
      <w:pPr>
        <w:ind w:left="540" w:hanging="540"/>
      </w:pPr>
      <w:r w:rsidRPr="00BC0E7E">
        <w:t>1 pre-filled syringe</w:t>
      </w:r>
    </w:p>
    <w:p w14:paraId="2556CC6F" w14:textId="77777777" w:rsidR="00BC0E7E" w:rsidRPr="00BC0E7E" w:rsidRDefault="00944B8F" w:rsidP="00BC0E7E">
      <w:pPr>
        <w:ind w:left="540" w:hanging="540"/>
      </w:pPr>
      <w:r w:rsidRPr="00BC0E7E">
        <w:t>1 alcohol pad</w:t>
      </w:r>
    </w:p>
    <w:p w14:paraId="0DED82D0" w14:textId="77777777" w:rsidR="00BC0E7E" w:rsidRDefault="00BC0E7E" w:rsidP="00BC0E7E">
      <w:pPr>
        <w:ind w:left="540" w:hanging="540"/>
      </w:pPr>
    </w:p>
    <w:p w14:paraId="6BC030CA" w14:textId="77777777" w:rsidR="00C463B4" w:rsidRPr="000244DF" w:rsidRDefault="00944B8F" w:rsidP="00C463B4">
      <w:pPr>
        <w:tabs>
          <w:tab w:val="clear" w:pos="562"/>
        </w:tabs>
        <w:ind w:left="540" w:hanging="540"/>
        <w:rPr>
          <w:szCs w:val="22"/>
          <w:highlight w:val="lightGray"/>
        </w:rPr>
      </w:pPr>
      <w:r w:rsidRPr="000244DF">
        <w:rPr>
          <w:szCs w:val="22"/>
          <w:highlight w:val="lightGray"/>
        </w:rPr>
        <w:t>2 pre-filled syringes</w:t>
      </w:r>
    </w:p>
    <w:p w14:paraId="471C9D4F" w14:textId="77777777" w:rsidR="00C463B4" w:rsidRPr="000244DF" w:rsidRDefault="00944B8F" w:rsidP="00C463B4">
      <w:pPr>
        <w:ind w:left="540" w:hanging="540"/>
        <w:rPr>
          <w:szCs w:val="22"/>
          <w:highlight w:val="lightGray"/>
        </w:rPr>
      </w:pPr>
      <w:r w:rsidRPr="000244DF">
        <w:rPr>
          <w:szCs w:val="22"/>
          <w:highlight w:val="lightGray"/>
        </w:rPr>
        <w:t xml:space="preserve">2 alcohol pads </w:t>
      </w:r>
    </w:p>
    <w:p w14:paraId="2FCBB724" w14:textId="77777777" w:rsidR="00C463B4" w:rsidRPr="000244DF" w:rsidRDefault="00C463B4" w:rsidP="00BC0E7E">
      <w:pPr>
        <w:ind w:left="540" w:hanging="540"/>
        <w:rPr>
          <w:highlight w:val="lightGray"/>
        </w:rPr>
      </w:pPr>
    </w:p>
    <w:p w14:paraId="353DB8F2" w14:textId="77777777" w:rsidR="00C463B4" w:rsidRPr="000244DF" w:rsidRDefault="00944B8F" w:rsidP="00C463B4">
      <w:pPr>
        <w:ind w:left="540" w:hanging="540"/>
        <w:rPr>
          <w:highlight w:val="lightGray"/>
        </w:rPr>
      </w:pPr>
      <w:r w:rsidRPr="000244DF">
        <w:rPr>
          <w:highlight w:val="lightGray"/>
        </w:rPr>
        <w:t>4 pre-filled syringes</w:t>
      </w:r>
    </w:p>
    <w:p w14:paraId="1BECDFBA" w14:textId="77777777" w:rsidR="00C463B4" w:rsidRPr="000244DF" w:rsidRDefault="00944B8F" w:rsidP="00C463B4">
      <w:pPr>
        <w:ind w:left="540" w:hanging="540"/>
        <w:rPr>
          <w:highlight w:val="lightGray"/>
        </w:rPr>
      </w:pPr>
      <w:r w:rsidRPr="000244DF">
        <w:rPr>
          <w:highlight w:val="lightGray"/>
        </w:rPr>
        <w:t>4 alcohol pads</w:t>
      </w:r>
    </w:p>
    <w:p w14:paraId="694FA4CE" w14:textId="77777777" w:rsidR="00C463B4" w:rsidRPr="000244DF" w:rsidRDefault="00C463B4" w:rsidP="00C463B4">
      <w:pPr>
        <w:ind w:left="540" w:hanging="540"/>
        <w:rPr>
          <w:highlight w:val="lightGray"/>
        </w:rPr>
      </w:pPr>
    </w:p>
    <w:p w14:paraId="2F72628E" w14:textId="77777777" w:rsidR="00C463B4" w:rsidRPr="000244DF" w:rsidRDefault="00944B8F" w:rsidP="00C463B4">
      <w:pPr>
        <w:tabs>
          <w:tab w:val="clear" w:pos="562"/>
        </w:tabs>
        <w:ind w:left="540" w:hanging="540"/>
        <w:rPr>
          <w:szCs w:val="22"/>
          <w:highlight w:val="lightGray"/>
        </w:rPr>
      </w:pPr>
      <w:r w:rsidRPr="000244DF">
        <w:rPr>
          <w:szCs w:val="22"/>
          <w:highlight w:val="lightGray"/>
        </w:rPr>
        <w:t>6 pre-filled syringes</w:t>
      </w:r>
    </w:p>
    <w:p w14:paraId="523BB4C1" w14:textId="77777777" w:rsidR="00C463B4" w:rsidRPr="00BC0E7E" w:rsidRDefault="00944B8F" w:rsidP="00C463B4">
      <w:pPr>
        <w:ind w:left="540" w:hanging="540"/>
        <w:rPr>
          <w:szCs w:val="22"/>
        </w:rPr>
      </w:pPr>
      <w:r w:rsidRPr="000244DF">
        <w:rPr>
          <w:szCs w:val="22"/>
          <w:highlight w:val="lightGray"/>
        </w:rPr>
        <w:t>6 alcohol pads</w:t>
      </w:r>
      <w:r w:rsidRPr="00BC0E7E">
        <w:rPr>
          <w:szCs w:val="22"/>
        </w:rPr>
        <w:t xml:space="preserve"> </w:t>
      </w:r>
    </w:p>
    <w:p w14:paraId="579241C7" w14:textId="77777777" w:rsidR="00C463B4" w:rsidRPr="00BC0E7E" w:rsidRDefault="00C463B4" w:rsidP="00BC0E7E">
      <w:pPr>
        <w:ind w:left="540" w:hanging="540"/>
      </w:pPr>
    </w:p>
    <w:p w14:paraId="20F25E30" w14:textId="77777777" w:rsidR="00BC0E7E" w:rsidRPr="000244DF" w:rsidRDefault="00BC0E7E" w:rsidP="00BC0E7E">
      <w:pPr>
        <w:ind w:left="540" w:hanging="540"/>
      </w:pPr>
    </w:p>
    <w:p w14:paraId="0D142AB0"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5.</w:t>
      </w:r>
      <w:r w:rsidRPr="00BC0E7E">
        <w:rPr>
          <w:b/>
          <w:caps/>
          <w:szCs w:val="20"/>
        </w:rPr>
        <w:tab/>
        <w:t>METHOD AND ROUTE OF ADMINISTRATION</w:t>
      </w:r>
    </w:p>
    <w:p w14:paraId="59B64DD8" w14:textId="77777777" w:rsidR="00BC0E7E" w:rsidRPr="00BC0E7E" w:rsidRDefault="00BC0E7E" w:rsidP="00BC0E7E">
      <w:pPr>
        <w:ind w:left="540" w:hanging="540"/>
      </w:pPr>
    </w:p>
    <w:p w14:paraId="41D5423E" w14:textId="77777777" w:rsidR="00BC0E7E" w:rsidRPr="00BC0E7E" w:rsidRDefault="00944B8F" w:rsidP="00BC0E7E">
      <w:pPr>
        <w:ind w:left="540" w:hanging="540"/>
      </w:pPr>
      <w:r w:rsidRPr="00BC0E7E">
        <w:t>Subcutaneous use</w:t>
      </w:r>
    </w:p>
    <w:p w14:paraId="2D5B1825" w14:textId="77777777" w:rsidR="00BC0E7E" w:rsidRPr="00BC0E7E" w:rsidRDefault="00BC0E7E" w:rsidP="00BC0E7E">
      <w:pPr>
        <w:ind w:left="540" w:hanging="540"/>
      </w:pPr>
    </w:p>
    <w:p w14:paraId="1ABA1232" w14:textId="77777777" w:rsidR="00BC0E7E" w:rsidRPr="00BC0E7E" w:rsidRDefault="00944B8F" w:rsidP="00BC0E7E">
      <w:pPr>
        <w:ind w:left="540" w:hanging="540"/>
      </w:pPr>
      <w:r w:rsidRPr="00BC0E7E">
        <w:t>Read the package leaflet before use.</w:t>
      </w:r>
    </w:p>
    <w:p w14:paraId="6F58B7F7" w14:textId="77777777" w:rsidR="00BC0E7E" w:rsidRPr="00BC0E7E" w:rsidRDefault="00BC0E7E" w:rsidP="00BC0E7E">
      <w:pPr>
        <w:ind w:left="540" w:hanging="540"/>
      </w:pPr>
    </w:p>
    <w:p w14:paraId="39967A96" w14:textId="77777777" w:rsidR="00774177" w:rsidRDefault="00944B8F" w:rsidP="00774177">
      <w:pPr>
        <w:ind w:left="540" w:hanging="540"/>
      </w:pPr>
      <w:r w:rsidRPr="002A3533">
        <w:t>For single use only</w:t>
      </w:r>
      <w:r w:rsidR="006E5817">
        <w:t>.</w:t>
      </w:r>
    </w:p>
    <w:p w14:paraId="5CE9B012" w14:textId="77777777" w:rsidR="00774177" w:rsidRDefault="00774177" w:rsidP="00774177">
      <w:pPr>
        <w:ind w:left="540" w:hanging="540"/>
      </w:pPr>
    </w:p>
    <w:p w14:paraId="0C148BBE" w14:textId="77777777" w:rsidR="00BC0E7E" w:rsidRPr="00BC0E7E" w:rsidRDefault="00BC0E7E" w:rsidP="00BC0E7E">
      <w:pPr>
        <w:ind w:left="540" w:hanging="540"/>
      </w:pPr>
    </w:p>
    <w:p w14:paraId="0B41AC67"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50" w:hanging="550"/>
        <w:rPr>
          <w:b/>
          <w:caps/>
          <w:szCs w:val="20"/>
        </w:rPr>
      </w:pPr>
      <w:r w:rsidRPr="00BC0E7E">
        <w:rPr>
          <w:b/>
          <w:caps/>
          <w:szCs w:val="20"/>
        </w:rPr>
        <w:t>6.</w:t>
      </w:r>
      <w:r w:rsidRPr="00BC0E7E">
        <w:rPr>
          <w:b/>
          <w:caps/>
          <w:szCs w:val="20"/>
        </w:rPr>
        <w:tab/>
        <w:t>SPECIAL WARNING THAT THE MEDICINAL PRODUCT MUST BE STORED OUT OF THE SIGHT AND REACH OF CHILDREN</w:t>
      </w:r>
    </w:p>
    <w:p w14:paraId="717F9D9E" w14:textId="77777777" w:rsidR="00BC0E7E" w:rsidRPr="00BC0E7E" w:rsidRDefault="00BC0E7E" w:rsidP="00BC0E7E">
      <w:pPr>
        <w:ind w:left="540" w:hanging="540"/>
      </w:pPr>
    </w:p>
    <w:p w14:paraId="47CEAB10" w14:textId="77777777" w:rsidR="00BC0E7E" w:rsidRPr="00BC0E7E" w:rsidRDefault="00944B8F" w:rsidP="00BC0E7E">
      <w:pPr>
        <w:ind w:left="540" w:hanging="540"/>
      </w:pPr>
      <w:r w:rsidRPr="00BC0E7E">
        <w:t>Keep out of the sight and reach of children.</w:t>
      </w:r>
    </w:p>
    <w:p w14:paraId="5E85579B" w14:textId="77777777" w:rsidR="00BC0E7E" w:rsidRPr="00BC0E7E" w:rsidRDefault="00BC0E7E" w:rsidP="00BC0E7E">
      <w:pPr>
        <w:ind w:left="540" w:hanging="540"/>
      </w:pPr>
    </w:p>
    <w:p w14:paraId="3C7ECA7F" w14:textId="77777777" w:rsidR="00BC0E7E" w:rsidRPr="00BC0E7E" w:rsidRDefault="00BC0E7E" w:rsidP="00BC0E7E">
      <w:pPr>
        <w:ind w:left="540" w:hanging="540"/>
      </w:pPr>
    </w:p>
    <w:p w14:paraId="672B4745"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7.</w:t>
      </w:r>
      <w:r w:rsidRPr="00BC0E7E">
        <w:rPr>
          <w:b/>
          <w:caps/>
          <w:szCs w:val="20"/>
        </w:rPr>
        <w:tab/>
        <w:t>OTHER SPECIAL WARNING, IF NECESSARY</w:t>
      </w:r>
    </w:p>
    <w:p w14:paraId="025A19CE" w14:textId="77777777" w:rsidR="00BC0E7E" w:rsidRPr="00BC0E7E" w:rsidRDefault="00BC0E7E" w:rsidP="00BC0E7E">
      <w:pPr>
        <w:ind w:left="540" w:hanging="540"/>
      </w:pPr>
    </w:p>
    <w:p w14:paraId="559CB15A" w14:textId="77777777" w:rsidR="00BC0E7E" w:rsidRPr="00BC0E7E" w:rsidRDefault="00BC0E7E" w:rsidP="00BC0E7E">
      <w:pPr>
        <w:ind w:left="540" w:hanging="540"/>
      </w:pPr>
    </w:p>
    <w:p w14:paraId="774CA867"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8.</w:t>
      </w:r>
      <w:r w:rsidRPr="00BC0E7E">
        <w:rPr>
          <w:b/>
          <w:caps/>
          <w:szCs w:val="20"/>
        </w:rPr>
        <w:tab/>
        <w:t>EXPIRY DATE</w:t>
      </w:r>
    </w:p>
    <w:p w14:paraId="52E57F0A" w14:textId="77777777" w:rsidR="00BC0E7E" w:rsidRPr="00BC0E7E" w:rsidRDefault="00BC0E7E" w:rsidP="00BC0E7E">
      <w:pPr>
        <w:ind w:left="540" w:hanging="540"/>
      </w:pPr>
    </w:p>
    <w:p w14:paraId="494773C8" w14:textId="77777777" w:rsidR="00BC0E7E" w:rsidRPr="00BC0E7E" w:rsidRDefault="00944B8F" w:rsidP="00BC0E7E">
      <w:pPr>
        <w:ind w:left="540" w:hanging="540"/>
      </w:pPr>
      <w:r w:rsidRPr="00BC0E7E">
        <w:t>EXP</w:t>
      </w:r>
    </w:p>
    <w:p w14:paraId="55318EA1" w14:textId="77777777" w:rsidR="00BC0E7E" w:rsidRPr="00BC0E7E" w:rsidRDefault="00BC0E7E" w:rsidP="00BC0E7E">
      <w:pPr>
        <w:ind w:left="540" w:hanging="540"/>
      </w:pPr>
    </w:p>
    <w:p w14:paraId="6939A18F" w14:textId="77777777" w:rsidR="00BC0E7E" w:rsidRPr="00BC0E7E" w:rsidRDefault="00BC0E7E" w:rsidP="00BC0E7E">
      <w:pPr>
        <w:ind w:left="540" w:hanging="540"/>
      </w:pPr>
    </w:p>
    <w:p w14:paraId="62F7DA71" w14:textId="77777777" w:rsidR="00BC0E7E" w:rsidRPr="00BC0E7E" w:rsidRDefault="00944B8F" w:rsidP="00BC0E7E">
      <w:pPr>
        <w:keepNext/>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9.</w:t>
      </w:r>
      <w:r w:rsidRPr="00BC0E7E">
        <w:rPr>
          <w:b/>
          <w:caps/>
          <w:szCs w:val="20"/>
        </w:rPr>
        <w:tab/>
        <w:t>SPECIAL STORAGE CONDITIONS</w:t>
      </w:r>
    </w:p>
    <w:p w14:paraId="598405AE" w14:textId="77777777" w:rsidR="00BC0E7E" w:rsidRPr="00BC0E7E" w:rsidRDefault="00BC0E7E" w:rsidP="00BC0E7E">
      <w:pPr>
        <w:keepNext/>
        <w:ind w:left="540" w:hanging="540"/>
      </w:pPr>
    </w:p>
    <w:p w14:paraId="38DABBE1" w14:textId="77777777" w:rsidR="00BC0E7E" w:rsidRPr="00BC0E7E" w:rsidRDefault="00944B8F" w:rsidP="00BC0E7E">
      <w:pPr>
        <w:keepNext/>
        <w:ind w:left="540" w:hanging="540"/>
      </w:pPr>
      <w:r w:rsidRPr="00BC0E7E">
        <w:t>Store in a refrigerator. Do not freeze.</w:t>
      </w:r>
    </w:p>
    <w:p w14:paraId="3A666E25" w14:textId="77777777" w:rsidR="00BC0E7E" w:rsidRPr="00BC0E7E" w:rsidRDefault="00944B8F" w:rsidP="00BC0E7E">
      <w:pPr>
        <w:keepNext/>
      </w:pPr>
      <w:r w:rsidRPr="00BC0E7E">
        <w:rPr>
          <w:rFonts w:eastAsia="MS Mincho"/>
        </w:rPr>
        <w:t>Refer to package leaflet for alternative storage details.</w:t>
      </w:r>
    </w:p>
    <w:p w14:paraId="069C5F41" w14:textId="77777777" w:rsidR="00BC0E7E" w:rsidRPr="00BC0E7E" w:rsidRDefault="00BC0E7E" w:rsidP="00BC0E7E">
      <w:pPr>
        <w:keepNext/>
        <w:ind w:left="540" w:hanging="540"/>
      </w:pPr>
    </w:p>
    <w:p w14:paraId="37FF03FA" w14:textId="77777777" w:rsidR="00BC0E7E" w:rsidRPr="00BC0E7E" w:rsidRDefault="00944B8F" w:rsidP="00BC0E7E">
      <w:pPr>
        <w:keepNext/>
        <w:ind w:left="540" w:hanging="540"/>
      </w:pPr>
      <w:r w:rsidRPr="00BC0E7E">
        <w:t>Keep the syringe in the outer carton in order to protect from light.</w:t>
      </w:r>
    </w:p>
    <w:p w14:paraId="4D484C9C" w14:textId="77777777" w:rsidR="00BC0E7E" w:rsidRPr="00BC0E7E" w:rsidRDefault="00BC0E7E" w:rsidP="00BC0E7E">
      <w:pPr>
        <w:ind w:left="540" w:hanging="540"/>
      </w:pPr>
    </w:p>
    <w:p w14:paraId="69AFDEC0" w14:textId="77777777" w:rsidR="00BC0E7E" w:rsidRPr="00BC0E7E" w:rsidRDefault="00BC0E7E" w:rsidP="00BC0E7E">
      <w:pPr>
        <w:ind w:left="540" w:hanging="540"/>
      </w:pPr>
    </w:p>
    <w:p w14:paraId="1B01630A"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10.</w:t>
      </w:r>
      <w:r w:rsidRPr="00BC0E7E">
        <w:rPr>
          <w:b/>
          <w:caps/>
          <w:szCs w:val="20"/>
        </w:rPr>
        <w:tab/>
        <w:t>SPECIAL PRECAUTIONS FOR DISPOSAL OF UNUSED MEDICINAL PRODUCTS OR WASTE MATERIALS DERIVED FROM SUCH MEDICINAL PRODUCTS, IF APPROPRIATE</w:t>
      </w:r>
    </w:p>
    <w:p w14:paraId="1F4130B4" w14:textId="77777777" w:rsidR="00BC0E7E" w:rsidRPr="00BC0E7E" w:rsidRDefault="00BC0E7E" w:rsidP="00BC0E7E">
      <w:pPr>
        <w:ind w:left="540" w:hanging="540"/>
      </w:pPr>
    </w:p>
    <w:p w14:paraId="22F63A77" w14:textId="77777777" w:rsidR="00BC0E7E" w:rsidRPr="00BC0E7E" w:rsidRDefault="00BC0E7E" w:rsidP="00BC0E7E">
      <w:pPr>
        <w:ind w:left="540" w:hanging="540"/>
      </w:pPr>
    </w:p>
    <w:p w14:paraId="5B2DAF3C"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11.</w:t>
      </w:r>
      <w:r w:rsidRPr="00BC0E7E">
        <w:rPr>
          <w:b/>
          <w:caps/>
          <w:szCs w:val="20"/>
        </w:rPr>
        <w:tab/>
        <w:t>NAME AND ADDRESS OF THE MARKETING AUTHORISATION HOLDER</w:t>
      </w:r>
    </w:p>
    <w:p w14:paraId="02A87FFF" w14:textId="77777777" w:rsidR="00BC0E7E" w:rsidRPr="00BC0E7E" w:rsidRDefault="00BC0E7E" w:rsidP="00BC0E7E">
      <w:pPr>
        <w:keepNext/>
        <w:tabs>
          <w:tab w:val="clear" w:pos="562"/>
        </w:tabs>
        <w:suppressAutoHyphens w:val="0"/>
        <w:autoSpaceDE w:val="0"/>
        <w:autoSpaceDN w:val="0"/>
        <w:adjustRightInd w:val="0"/>
        <w:spacing w:line="240" w:lineRule="atLeast"/>
        <w:rPr>
          <w:szCs w:val="22"/>
          <w:lang w:eastAsia="en-GB"/>
        </w:rPr>
      </w:pPr>
    </w:p>
    <w:p w14:paraId="1542FC08"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AbbVie Deutschland GmbH &amp; Co. KG</w:t>
      </w:r>
    </w:p>
    <w:p w14:paraId="45CB80B2" w14:textId="77777777" w:rsidR="006A01D2" w:rsidRPr="00F011FF" w:rsidRDefault="00944B8F" w:rsidP="006A01D2">
      <w:pPr>
        <w:keepNext/>
        <w:tabs>
          <w:tab w:val="clear" w:pos="562"/>
        </w:tabs>
        <w:suppressAutoHyphens w:val="0"/>
        <w:autoSpaceDE w:val="0"/>
        <w:autoSpaceDN w:val="0"/>
        <w:adjustRightInd w:val="0"/>
        <w:spacing w:line="240" w:lineRule="atLeast"/>
        <w:rPr>
          <w:szCs w:val="22"/>
          <w:lang w:eastAsia="en-GB"/>
        </w:rPr>
      </w:pPr>
      <w:r w:rsidRPr="00F011FF">
        <w:rPr>
          <w:szCs w:val="22"/>
          <w:lang w:eastAsia="en-GB"/>
        </w:rPr>
        <w:t>Knollstrasse</w:t>
      </w:r>
    </w:p>
    <w:p w14:paraId="2B150994" w14:textId="77777777" w:rsidR="006A01D2" w:rsidRPr="00F011FF" w:rsidRDefault="00944B8F" w:rsidP="006A01D2">
      <w:pPr>
        <w:keepNext/>
        <w:tabs>
          <w:tab w:val="clear" w:pos="562"/>
        </w:tabs>
        <w:suppressAutoHyphens w:val="0"/>
        <w:autoSpaceDE w:val="0"/>
        <w:autoSpaceDN w:val="0"/>
        <w:adjustRightInd w:val="0"/>
        <w:spacing w:line="240" w:lineRule="atLeast"/>
        <w:rPr>
          <w:szCs w:val="22"/>
          <w:lang w:eastAsia="en-GB"/>
        </w:rPr>
      </w:pPr>
      <w:r w:rsidRPr="00F011FF">
        <w:rPr>
          <w:szCs w:val="22"/>
          <w:lang w:eastAsia="en-GB"/>
        </w:rPr>
        <w:t>67061 Ludwigshafen</w:t>
      </w:r>
    </w:p>
    <w:p w14:paraId="611D2F3B" w14:textId="77777777" w:rsidR="006A01D2" w:rsidRPr="00F011FF" w:rsidRDefault="00944B8F" w:rsidP="006A01D2">
      <w:pPr>
        <w:keepNext/>
        <w:tabs>
          <w:tab w:val="clear" w:pos="562"/>
          <w:tab w:val="left" w:pos="720"/>
        </w:tabs>
        <w:suppressAutoHyphens w:val="0"/>
        <w:autoSpaceDE w:val="0"/>
        <w:autoSpaceDN w:val="0"/>
        <w:adjustRightInd w:val="0"/>
        <w:spacing w:line="240" w:lineRule="atLeast"/>
        <w:rPr>
          <w:szCs w:val="22"/>
          <w:lang w:eastAsia="en-GB"/>
        </w:rPr>
      </w:pPr>
      <w:r w:rsidRPr="00F011FF">
        <w:rPr>
          <w:szCs w:val="22"/>
          <w:lang w:eastAsia="en-GB"/>
        </w:rPr>
        <w:t xml:space="preserve">Germany </w:t>
      </w:r>
    </w:p>
    <w:p w14:paraId="37A9DAAD" w14:textId="77777777" w:rsidR="00BC0E7E" w:rsidRPr="00F011FF" w:rsidRDefault="00BC0E7E" w:rsidP="00BC0E7E">
      <w:pPr>
        <w:keepNext/>
        <w:tabs>
          <w:tab w:val="clear" w:pos="562"/>
        </w:tabs>
        <w:suppressAutoHyphens w:val="0"/>
        <w:autoSpaceDE w:val="0"/>
        <w:autoSpaceDN w:val="0"/>
        <w:adjustRightInd w:val="0"/>
        <w:spacing w:line="240" w:lineRule="atLeast"/>
        <w:rPr>
          <w:szCs w:val="22"/>
          <w:lang w:eastAsia="en-GB"/>
        </w:rPr>
      </w:pPr>
    </w:p>
    <w:p w14:paraId="0A36FC70" w14:textId="77777777" w:rsidR="00BC0E7E" w:rsidRPr="00F011FF" w:rsidRDefault="00BC0E7E" w:rsidP="00BC0E7E">
      <w:pPr>
        <w:keepNext/>
        <w:tabs>
          <w:tab w:val="clear" w:pos="562"/>
        </w:tabs>
        <w:suppressAutoHyphens w:val="0"/>
        <w:autoSpaceDE w:val="0"/>
        <w:autoSpaceDN w:val="0"/>
        <w:adjustRightInd w:val="0"/>
        <w:spacing w:line="240" w:lineRule="atLeast"/>
        <w:rPr>
          <w:szCs w:val="22"/>
          <w:lang w:eastAsia="en-GB"/>
        </w:rPr>
      </w:pPr>
    </w:p>
    <w:p w14:paraId="7A7F0324" w14:textId="77777777" w:rsidR="00BC0E7E" w:rsidRPr="00F011FF"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F011FF">
        <w:rPr>
          <w:b/>
          <w:caps/>
          <w:szCs w:val="20"/>
        </w:rPr>
        <w:t>12.</w:t>
      </w:r>
      <w:r w:rsidRPr="00F011FF">
        <w:rPr>
          <w:b/>
          <w:caps/>
          <w:szCs w:val="20"/>
        </w:rPr>
        <w:tab/>
        <w:t>MARKETING AUTHORISATION NUMBER</w:t>
      </w:r>
    </w:p>
    <w:p w14:paraId="75A86D97" w14:textId="77777777" w:rsidR="00BC0E7E" w:rsidRPr="00F011FF" w:rsidRDefault="00BC0E7E" w:rsidP="00BC0E7E">
      <w:pPr>
        <w:ind w:left="540" w:hanging="540"/>
      </w:pPr>
    </w:p>
    <w:p w14:paraId="59814140" w14:textId="77777777" w:rsidR="00BC0E7E" w:rsidRPr="002F270B" w:rsidRDefault="00944B8F" w:rsidP="00BC0E7E">
      <w:pPr>
        <w:ind w:left="540" w:hanging="540"/>
        <w:rPr>
          <w:lang w:val="sv-SE"/>
        </w:rPr>
      </w:pPr>
      <w:r w:rsidRPr="002F270B">
        <w:rPr>
          <w:lang w:val="sv-SE"/>
        </w:rPr>
        <w:t>EU/1/03/256/012</w:t>
      </w:r>
    </w:p>
    <w:p w14:paraId="4EB116C8" w14:textId="77777777" w:rsidR="00C463B4" w:rsidRPr="00491143" w:rsidRDefault="00944B8F" w:rsidP="00C463B4">
      <w:pPr>
        <w:ind w:left="540" w:hanging="540"/>
        <w:rPr>
          <w:highlight w:val="lightGray"/>
          <w:lang w:val="sv-SE"/>
        </w:rPr>
      </w:pPr>
      <w:r w:rsidRPr="00491143">
        <w:rPr>
          <w:highlight w:val="lightGray"/>
          <w:lang w:val="sv-SE"/>
        </w:rPr>
        <w:t>EU/1/03/256/013</w:t>
      </w:r>
    </w:p>
    <w:p w14:paraId="7AC3CB06" w14:textId="77777777" w:rsidR="00C463B4" w:rsidRPr="00491143" w:rsidRDefault="00944B8F" w:rsidP="00C463B4">
      <w:pPr>
        <w:ind w:left="540" w:hanging="540"/>
        <w:rPr>
          <w:highlight w:val="lightGray"/>
          <w:lang w:val="sv-SE"/>
        </w:rPr>
      </w:pPr>
      <w:r w:rsidRPr="00491143">
        <w:rPr>
          <w:highlight w:val="lightGray"/>
          <w:lang w:val="sv-SE"/>
        </w:rPr>
        <w:t>EU/1/03/256/014</w:t>
      </w:r>
    </w:p>
    <w:p w14:paraId="44509340" w14:textId="77777777" w:rsidR="00C463B4" w:rsidRPr="00491143" w:rsidRDefault="00944B8F" w:rsidP="00C463B4">
      <w:pPr>
        <w:ind w:left="540" w:hanging="540"/>
        <w:rPr>
          <w:lang w:val="sv-SE"/>
        </w:rPr>
      </w:pPr>
      <w:r w:rsidRPr="00491143">
        <w:rPr>
          <w:highlight w:val="lightGray"/>
          <w:lang w:val="sv-SE"/>
        </w:rPr>
        <w:t>EU/1/03/256/015</w:t>
      </w:r>
    </w:p>
    <w:p w14:paraId="622DD1A5" w14:textId="77777777" w:rsidR="00BC0E7E" w:rsidRPr="00491143" w:rsidRDefault="00BC0E7E" w:rsidP="00BC0E7E">
      <w:pPr>
        <w:ind w:left="540" w:hanging="540"/>
        <w:rPr>
          <w:lang w:val="sv-SE"/>
        </w:rPr>
      </w:pPr>
    </w:p>
    <w:p w14:paraId="12D08727" w14:textId="77777777" w:rsidR="00BC0E7E" w:rsidRPr="00491143" w:rsidRDefault="00BC0E7E" w:rsidP="00BC0E7E">
      <w:pPr>
        <w:ind w:left="540" w:hanging="540"/>
        <w:rPr>
          <w:lang w:val="sv-SE"/>
        </w:rPr>
      </w:pPr>
    </w:p>
    <w:p w14:paraId="64DD9F55" w14:textId="77777777" w:rsidR="00BC0E7E" w:rsidRPr="00491143" w:rsidRDefault="00944B8F" w:rsidP="00BC0E7E">
      <w:pPr>
        <w:pBdr>
          <w:top w:val="single" w:sz="4" w:space="1" w:color="auto"/>
          <w:left w:val="single" w:sz="4" w:space="4" w:color="auto"/>
          <w:bottom w:val="single" w:sz="4" w:space="1" w:color="auto"/>
          <w:right w:val="single" w:sz="4" w:space="4" w:color="auto"/>
        </w:pBdr>
        <w:ind w:left="562" w:hanging="562"/>
        <w:rPr>
          <w:b/>
          <w:caps/>
          <w:szCs w:val="20"/>
          <w:lang w:val="sv-SE"/>
        </w:rPr>
      </w:pPr>
      <w:r w:rsidRPr="00491143">
        <w:rPr>
          <w:b/>
          <w:caps/>
          <w:szCs w:val="20"/>
          <w:lang w:val="sv-SE"/>
        </w:rPr>
        <w:t>13.</w:t>
      </w:r>
      <w:r w:rsidRPr="00491143">
        <w:rPr>
          <w:b/>
          <w:caps/>
          <w:szCs w:val="20"/>
          <w:lang w:val="sv-SE"/>
        </w:rPr>
        <w:tab/>
        <w:t>BATCH NUMBER</w:t>
      </w:r>
    </w:p>
    <w:p w14:paraId="25367A9D" w14:textId="77777777" w:rsidR="00BC0E7E" w:rsidRPr="00491143" w:rsidRDefault="00BC0E7E" w:rsidP="00BC0E7E">
      <w:pPr>
        <w:ind w:left="540" w:hanging="540"/>
        <w:rPr>
          <w:lang w:val="sv-SE"/>
        </w:rPr>
      </w:pPr>
    </w:p>
    <w:p w14:paraId="360AA0BE" w14:textId="77777777" w:rsidR="00BC0E7E" w:rsidRPr="00FB06D0" w:rsidRDefault="00944B8F" w:rsidP="00BC0E7E">
      <w:pPr>
        <w:ind w:left="540" w:hanging="540"/>
        <w:rPr>
          <w:lang w:val="nb-NO"/>
        </w:rPr>
      </w:pPr>
      <w:r w:rsidRPr="00FB06D0">
        <w:rPr>
          <w:lang w:val="nb-NO"/>
        </w:rPr>
        <w:t>Lot</w:t>
      </w:r>
    </w:p>
    <w:p w14:paraId="50C56C58" w14:textId="77777777" w:rsidR="00BC0E7E" w:rsidRPr="00FB06D0" w:rsidRDefault="00BC0E7E" w:rsidP="00BC0E7E">
      <w:pPr>
        <w:ind w:left="540" w:hanging="540"/>
        <w:rPr>
          <w:lang w:val="nb-NO"/>
        </w:rPr>
      </w:pPr>
    </w:p>
    <w:p w14:paraId="40DA4535" w14:textId="77777777" w:rsidR="00BC0E7E" w:rsidRPr="00FB06D0" w:rsidRDefault="00BC0E7E" w:rsidP="00BC0E7E">
      <w:pPr>
        <w:ind w:left="540" w:hanging="540"/>
        <w:rPr>
          <w:lang w:val="nb-NO"/>
        </w:rPr>
      </w:pPr>
    </w:p>
    <w:p w14:paraId="109DE8E9"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14.</w:t>
      </w:r>
      <w:r w:rsidRPr="00BC0E7E">
        <w:rPr>
          <w:b/>
          <w:caps/>
          <w:szCs w:val="20"/>
        </w:rPr>
        <w:tab/>
        <w:t>GENERAL CLASSIFICATION FOR SUPPLY</w:t>
      </w:r>
    </w:p>
    <w:p w14:paraId="14FCE047" w14:textId="77777777" w:rsidR="00BC0E7E" w:rsidRPr="00BC0E7E" w:rsidRDefault="00BC0E7E" w:rsidP="00BC0E7E">
      <w:pPr>
        <w:ind w:left="540" w:hanging="540"/>
      </w:pPr>
    </w:p>
    <w:p w14:paraId="4434CF05" w14:textId="77777777" w:rsidR="00BC0E7E" w:rsidRPr="00BC0E7E" w:rsidRDefault="00BC0E7E" w:rsidP="00BC0E7E">
      <w:pPr>
        <w:ind w:left="540" w:hanging="540"/>
      </w:pPr>
    </w:p>
    <w:p w14:paraId="38F6DABE"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15.</w:t>
      </w:r>
      <w:r w:rsidRPr="00BC0E7E">
        <w:rPr>
          <w:b/>
          <w:caps/>
          <w:szCs w:val="20"/>
        </w:rPr>
        <w:tab/>
        <w:t>INSTRUCTIONS ON USE</w:t>
      </w:r>
    </w:p>
    <w:p w14:paraId="71328263" w14:textId="77777777" w:rsidR="00BC0E7E" w:rsidRPr="00BC0E7E" w:rsidRDefault="00BC0E7E" w:rsidP="00BC0E7E">
      <w:pPr>
        <w:rPr>
          <w:szCs w:val="20"/>
        </w:rPr>
      </w:pPr>
    </w:p>
    <w:p w14:paraId="39C1083A" w14:textId="77777777" w:rsidR="00BC0E7E" w:rsidRPr="00BC0E7E" w:rsidRDefault="00BC0E7E" w:rsidP="00BC0E7E">
      <w:pPr>
        <w:rPr>
          <w:szCs w:val="20"/>
        </w:rPr>
      </w:pPr>
    </w:p>
    <w:p w14:paraId="3D656114" w14:textId="77777777" w:rsidR="00BC0E7E" w:rsidRPr="00F011FF" w:rsidRDefault="00944B8F" w:rsidP="00AE43B4">
      <w:pPr>
        <w:keepNext/>
        <w:pBdr>
          <w:top w:val="single" w:sz="4" w:space="1" w:color="auto"/>
          <w:left w:val="single" w:sz="4" w:space="4" w:color="auto"/>
          <w:bottom w:val="single" w:sz="4" w:space="1" w:color="auto"/>
          <w:right w:val="single" w:sz="4" w:space="4" w:color="auto"/>
        </w:pBdr>
        <w:rPr>
          <w:b/>
          <w:bCs/>
          <w:caps/>
          <w:szCs w:val="20"/>
          <w:lang w:val="sv-SE"/>
        </w:rPr>
      </w:pPr>
      <w:r w:rsidRPr="00F011FF">
        <w:rPr>
          <w:b/>
          <w:bCs/>
          <w:caps/>
          <w:szCs w:val="20"/>
          <w:lang w:val="sv-SE"/>
        </w:rPr>
        <w:lastRenderedPageBreak/>
        <w:t>16.</w:t>
      </w:r>
      <w:r w:rsidRPr="00F011FF">
        <w:rPr>
          <w:b/>
          <w:bCs/>
          <w:caps/>
          <w:szCs w:val="20"/>
          <w:lang w:val="sv-SE"/>
        </w:rPr>
        <w:tab/>
        <w:t>Information in braille</w:t>
      </w:r>
    </w:p>
    <w:p w14:paraId="754A0518" w14:textId="77777777" w:rsidR="00BC0E7E" w:rsidRPr="00F011FF" w:rsidRDefault="00BC0E7E" w:rsidP="00AE43B4">
      <w:pPr>
        <w:keepNext/>
        <w:ind w:left="540" w:hanging="540"/>
        <w:rPr>
          <w:lang w:val="sv-SE"/>
        </w:rPr>
      </w:pPr>
    </w:p>
    <w:p w14:paraId="33B258D7" w14:textId="77777777" w:rsidR="00BC0E7E" w:rsidRPr="00F011FF" w:rsidRDefault="00944B8F" w:rsidP="00AE43B4">
      <w:pPr>
        <w:keepNext/>
        <w:ind w:left="540" w:hanging="540"/>
        <w:rPr>
          <w:lang w:val="sv-SE"/>
        </w:rPr>
      </w:pPr>
      <w:r w:rsidRPr="00F011FF">
        <w:rPr>
          <w:lang w:val="sv-SE"/>
        </w:rPr>
        <w:t>Humira 40 mg</w:t>
      </w:r>
    </w:p>
    <w:p w14:paraId="5C06F1F7" w14:textId="77777777" w:rsidR="00BC0E7E" w:rsidRPr="00F011FF" w:rsidRDefault="00BC0E7E" w:rsidP="00BC0E7E">
      <w:pPr>
        <w:ind w:left="540" w:hanging="540"/>
        <w:rPr>
          <w:lang w:val="sv-SE"/>
        </w:rPr>
      </w:pPr>
    </w:p>
    <w:p w14:paraId="117D83F9" w14:textId="77777777" w:rsidR="00BC0E7E" w:rsidRPr="00F011FF" w:rsidRDefault="00BC0E7E" w:rsidP="00BC0E7E">
      <w:pPr>
        <w:ind w:left="540" w:hanging="540"/>
        <w:rPr>
          <w:lang w:val="sv-SE"/>
        </w:rPr>
      </w:pPr>
    </w:p>
    <w:p w14:paraId="173CA8DF" w14:textId="77777777" w:rsidR="00BC0E7E" w:rsidRPr="00452C41" w:rsidRDefault="00944B8F" w:rsidP="00BC0E7E">
      <w:pPr>
        <w:pBdr>
          <w:top w:val="single" w:sz="4" w:space="1" w:color="auto"/>
          <w:left w:val="single" w:sz="4" w:space="4" w:color="auto"/>
          <w:bottom w:val="single" w:sz="4" w:space="1" w:color="auto"/>
          <w:right w:val="single" w:sz="4" w:space="4" w:color="auto"/>
        </w:pBdr>
        <w:rPr>
          <w:b/>
          <w:bCs/>
          <w:caps/>
          <w:szCs w:val="20"/>
        </w:rPr>
      </w:pPr>
      <w:r w:rsidRPr="00F011FF">
        <w:rPr>
          <w:b/>
          <w:bCs/>
          <w:caps/>
          <w:szCs w:val="20"/>
          <w:lang w:val="sv-SE"/>
        </w:rPr>
        <w:t xml:space="preserve">17. </w:t>
      </w:r>
      <w:r w:rsidRPr="00F011FF">
        <w:rPr>
          <w:b/>
          <w:bCs/>
          <w:caps/>
          <w:szCs w:val="20"/>
          <w:lang w:val="sv-SE"/>
        </w:rPr>
        <w:tab/>
      </w:r>
      <w:r w:rsidRPr="00452C41">
        <w:rPr>
          <w:b/>
          <w:bCs/>
          <w:caps/>
          <w:szCs w:val="20"/>
        </w:rPr>
        <w:t>UNIQUE INDENTIFIER – 2D BARCODE</w:t>
      </w:r>
    </w:p>
    <w:p w14:paraId="0D273C72" w14:textId="77777777" w:rsidR="00BC0E7E" w:rsidRPr="00452C41" w:rsidRDefault="00BC0E7E" w:rsidP="00BC0E7E"/>
    <w:p w14:paraId="35469531" w14:textId="77777777" w:rsidR="00BC0E7E" w:rsidRPr="00BC0E7E" w:rsidRDefault="00944B8F" w:rsidP="00BC0E7E">
      <w:pPr>
        <w:rPr>
          <w:shd w:val="clear" w:color="auto" w:fill="BFBFBF"/>
        </w:rPr>
      </w:pPr>
      <w:r w:rsidRPr="00BC0E7E">
        <w:rPr>
          <w:shd w:val="clear" w:color="auto" w:fill="BFBFBF"/>
        </w:rPr>
        <w:t>2D barcode carrying the unique identifier included.</w:t>
      </w:r>
    </w:p>
    <w:p w14:paraId="6FD63FFB" w14:textId="77777777" w:rsidR="00BC0E7E" w:rsidRPr="00BC0E7E" w:rsidRDefault="00BC0E7E" w:rsidP="00BC0E7E">
      <w:pPr>
        <w:rPr>
          <w:shd w:val="clear" w:color="auto" w:fill="BFBFBF"/>
        </w:rPr>
      </w:pPr>
    </w:p>
    <w:p w14:paraId="09616F75" w14:textId="77777777" w:rsidR="00BC0E7E" w:rsidRPr="00BC0E7E" w:rsidRDefault="00BC0E7E" w:rsidP="00BC0E7E">
      <w:pPr>
        <w:rPr>
          <w:shd w:val="clear" w:color="auto" w:fill="BFBFBF"/>
        </w:rPr>
      </w:pPr>
    </w:p>
    <w:p w14:paraId="79FD84F0" w14:textId="77777777" w:rsidR="00BC0E7E" w:rsidRPr="00BC0E7E" w:rsidRDefault="00944B8F" w:rsidP="00BC0E7E">
      <w:pPr>
        <w:keepNext/>
        <w:pBdr>
          <w:top w:val="single" w:sz="4" w:space="1" w:color="auto"/>
          <w:left w:val="single" w:sz="4" w:space="4" w:color="auto"/>
          <w:bottom w:val="single" w:sz="4" w:space="1" w:color="auto"/>
          <w:right w:val="single" w:sz="4" w:space="4" w:color="auto"/>
        </w:pBdr>
        <w:rPr>
          <w:rFonts w:ascii="Times New Roman Bold" w:hAnsi="Times New Roman Bold"/>
          <w:caps/>
          <w:szCs w:val="20"/>
        </w:rPr>
      </w:pPr>
      <w:r w:rsidRPr="00BC0E7E">
        <w:rPr>
          <w:b/>
          <w:bCs/>
          <w:caps/>
          <w:szCs w:val="20"/>
        </w:rPr>
        <w:t xml:space="preserve">18. </w:t>
      </w:r>
      <w:r w:rsidRPr="00BC0E7E">
        <w:rPr>
          <w:b/>
          <w:bCs/>
          <w:caps/>
          <w:szCs w:val="20"/>
        </w:rPr>
        <w:tab/>
        <w:t>UNIQUE INDENTIFIER – HUMAN READABLE DATA</w:t>
      </w:r>
    </w:p>
    <w:p w14:paraId="0DE1D630" w14:textId="77777777" w:rsidR="00BC0E7E" w:rsidRPr="00BC0E7E" w:rsidRDefault="00BC0E7E" w:rsidP="00BC0E7E">
      <w:pPr>
        <w:keepNext/>
        <w:ind w:left="540" w:hanging="540"/>
      </w:pPr>
    </w:p>
    <w:p w14:paraId="2BE2B19A" w14:textId="77777777" w:rsidR="00BC0E7E" w:rsidRPr="00BC0E7E" w:rsidRDefault="00944B8F" w:rsidP="00BC0E7E">
      <w:pPr>
        <w:keepNext/>
        <w:ind w:left="540" w:hanging="540"/>
      </w:pPr>
      <w:r w:rsidRPr="00BC0E7E">
        <w:t>PC</w:t>
      </w:r>
    </w:p>
    <w:p w14:paraId="32C42355" w14:textId="77777777" w:rsidR="00BC0E7E" w:rsidRPr="00BC0E7E" w:rsidRDefault="00944B8F" w:rsidP="00BC0E7E">
      <w:pPr>
        <w:keepNext/>
        <w:ind w:left="540" w:hanging="540"/>
      </w:pPr>
      <w:r w:rsidRPr="00BC0E7E">
        <w:t>SN</w:t>
      </w:r>
    </w:p>
    <w:p w14:paraId="298C4B2C" w14:textId="77777777" w:rsidR="00BC0E7E" w:rsidRPr="00BC0E7E" w:rsidRDefault="00944B8F" w:rsidP="00BC0E7E">
      <w:pPr>
        <w:keepNext/>
        <w:ind w:left="540" w:hanging="540"/>
      </w:pPr>
      <w:r w:rsidRPr="001B6DEE">
        <w:rPr>
          <w:highlight w:val="darkGray"/>
        </w:rPr>
        <w:t>NN</w:t>
      </w:r>
    </w:p>
    <w:p w14:paraId="062CA1EB" w14:textId="77777777" w:rsidR="00BC0E7E" w:rsidRPr="00BC0E7E" w:rsidRDefault="00BC0E7E" w:rsidP="00BC0E7E">
      <w:pPr>
        <w:keepNext/>
        <w:ind w:left="540" w:hanging="540"/>
      </w:pPr>
    </w:p>
    <w:p w14:paraId="794C5A0F" w14:textId="77777777" w:rsidR="00BC0E7E" w:rsidRPr="00BC0E7E" w:rsidRDefault="00944B8F" w:rsidP="00FE40CA">
      <w:pPr>
        <w:keepNext/>
        <w:ind w:left="540" w:hanging="540"/>
      </w:pPr>
      <w:r w:rsidRPr="00BC0E7E">
        <w:rPr>
          <w:caps/>
          <w:szCs w:val="20"/>
        </w:rPr>
        <w:br w:type="page"/>
      </w:r>
      <w:r w:rsidR="00C463B4" w:rsidRPr="00BC0E7E">
        <w:rPr>
          <w:b/>
          <w:bCs/>
          <w:caps/>
          <w:szCs w:val="20"/>
        </w:rPr>
        <w:lastRenderedPageBreak/>
        <w:t xml:space="preserve"> </w:t>
      </w:r>
    </w:p>
    <w:p w14:paraId="0127D94E" w14:textId="77777777" w:rsidR="00BC0E7E" w:rsidRPr="00BC0E7E" w:rsidRDefault="00944B8F" w:rsidP="00BC0E7E">
      <w:pPr>
        <w:pBdr>
          <w:top w:val="single" w:sz="4" w:space="1" w:color="auto"/>
          <w:left w:val="single" w:sz="4" w:space="4" w:color="auto"/>
          <w:bottom w:val="single" w:sz="4" w:space="1" w:color="auto"/>
          <w:right w:val="single" w:sz="4" w:space="4" w:color="auto"/>
        </w:pBdr>
        <w:tabs>
          <w:tab w:val="clear" w:pos="562"/>
        </w:tabs>
        <w:rPr>
          <w:b/>
        </w:rPr>
      </w:pPr>
      <w:r w:rsidRPr="00BC0E7E">
        <w:rPr>
          <w:b/>
        </w:rPr>
        <w:t>MINIMUM PARTICULARS TO APPEAR ON BLISTERS OR STRIPS</w:t>
      </w:r>
    </w:p>
    <w:p w14:paraId="70C82F85" w14:textId="77777777" w:rsidR="00BC0E7E" w:rsidRPr="00BC0E7E" w:rsidRDefault="00BC0E7E" w:rsidP="00BC0E7E">
      <w:pPr>
        <w:pBdr>
          <w:top w:val="single" w:sz="4" w:space="1" w:color="auto"/>
          <w:left w:val="single" w:sz="4" w:space="4" w:color="auto"/>
          <w:bottom w:val="single" w:sz="4" w:space="1" w:color="auto"/>
          <w:right w:val="single" w:sz="4" w:space="4" w:color="auto"/>
        </w:pBdr>
        <w:ind w:left="540" w:hanging="540"/>
        <w:rPr>
          <w:b/>
        </w:rPr>
      </w:pPr>
    </w:p>
    <w:p w14:paraId="4AD3E546" w14:textId="77777777" w:rsidR="00BC0E7E" w:rsidRPr="00BC0E7E" w:rsidRDefault="00944B8F" w:rsidP="00BC0E7E">
      <w:pPr>
        <w:keepLines/>
        <w:pBdr>
          <w:top w:val="single" w:sz="4" w:space="1" w:color="auto"/>
          <w:left w:val="single" w:sz="4" w:space="4" w:color="auto"/>
          <w:bottom w:val="single" w:sz="4" w:space="1" w:color="auto"/>
          <w:right w:val="single" w:sz="4" w:space="4" w:color="auto"/>
        </w:pBdr>
        <w:ind w:left="540" w:hanging="540"/>
        <w:outlineLvl w:val="2"/>
        <w:rPr>
          <w:b/>
          <w:bCs/>
          <w:szCs w:val="26"/>
        </w:rPr>
      </w:pPr>
      <w:r w:rsidRPr="00BC0E7E">
        <w:rPr>
          <w:b/>
          <w:bCs/>
          <w:szCs w:val="26"/>
        </w:rPr>
        <w:t>TRAY BACKING TEXT</w:t>
      </w:r>
    </w:p>
    <w:p w14:paraId="3E0F7949" w14:textId="77777777" w:rsidR="00BC0E7E" w:rsidRPr="00BC0E7E" w:rsidRDefault="00BC0E7E" w:rsidP="00BC0E7E">
      <w:pPr>
        <w:ind w:left="540" w:hanging="540"/>
      </w:pPr>
    </w:p>
    <w:p w14:paraId="72ACAA9A" w14:textId="77777777" w:rsidR="00BC0E7E" w:rsidRPr="00BC0E7E" w:rsidRDefault="00BC0E7E" w:rsidP="00BC0E7E">
      <w:pPr>
        <w:ind w:left="540" w:hanging="540"/>
      </w:pPr>
    </w:p>
    <w:p w14:paraId="6519C1EA"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1.</w:t>
      </w:r>
      <w:r w:rsidRPr="00BC0E7E">
        <w:rPr>
          <w:b/>
          <w:caps/>
          <w:szCs w:val="20"/>
        </w:rPr>
        <w:tab/>
        <w:t>NAME OF THE MEDICINAL PRODUCT</w:t>
      </w:r>
    </w:p>
    <w:p w14:paraId="28312479" w14:textId="77777777" w:rsidR="00BC0E7E" w:rsidRPr="00BC0E7E" w:rsidRDefault="00BC0E7E" w:rsidP="00BC0E7E">
      <w:pPr>
        <w:ind w:left="540" w:hanging="540"/>
      </w:pPr>
    </w:p>
    <w:p w14:paraId="0050F01B" w14:textId="77777777" w:rsidR="00BC0E7E" w:rsidRPr="00BC0E7E" w:rsidRDefault="00944B8F" w:rsidP="00BC0E7E">
      <w:pPr>
        <w:ind w:left="540" w:hanging="540"/>
      </w:pPr>
      <w:r w:rsidRPr="00BC0E7E">
        <w:t>Humira 40 mg solution for injection in pre-filled syringe</w:t>
      </w:r>
    </w:p>
    <w:p w14:paraId="3C17ED7D" w14:textId="77777777" w:rsidR="00BC0E7E" w:rsidRPr="00BC0E7E" w:rsidRDefault="00944B8F" w:rsidP="00BC0E7E">
      <w:pPr>
        <w:ind w:left="540" w:hanging="540"/>
      </w:pPr>
      <w:r w:rsidRPr="00BC0E7E">
        <w:t>adalimumab</w:t>
      </w:r>
    </w:p>
    <w:p w14:paraId="7CFE984B" w14:textId="77777777" w:rsidR="00BC0E7E" w:rsidRPr="00BC0E7E" w:rsidRDefault="00BC0E7E" w:rsidP="00BC0E7E">
      <w:pPr>
        <w:ind w:left="540" w:hanging="540"/>
      </w:pPr>
    </w:p>
    <w:p w14:paraId="4E257333" w14:textId="77777777" w:rsidR="00BC0E7E" w:rsidRPr="00BC0E7E" w:rsidRDefault="00BC0E7E" w:rsidP="00BC0E7E">
      <w:pPr>
        <w:ind w:left="540" w:hanging="540"/>
      </w:pPr>
    </w:p>
    <w:p w14:paraId="0DC15268" w14:textId="77777777" w:rsidR="00BC0E7E" w:rsidRPr="00BC0E7E" w:rsidRDefault="00944B8F" w:rsidP="00BC0E7E">
      <w:pPr>
        <w:pBdr>
          <w:top w:val="single" w:sz="4" w:space="1" w:color="auto"/>
          <w:left w:val="single" w:sz="4" w:space="4" w:color="auto"/>
          <w:bottom w:val="single" w:sz="4" w:space="1" w:color="auto"/>
          <w:right w:val="single" w:sz="4" w:space="4" w:color="auto"/>
        </w:pBdr>
        <w:tabs>
          <w:tab w:val="left" w:pos="-3300"/>
        </w:tabs>
        <w:ind w:left="562" w:hanging="562"/>
        <w:rPr>
          <w:b/>
          <w:caps/>
          <w:szCs w:val="20"/>
        </w:rPr>
      </w:pPr>
      <w:r w:rsidRPr="00BC0E7E">
        <w:rPr>
          <w:b/>
          <w:caps/>
          <w:szCs w:val="20"/>
        </w:rPr>
        <w:t>2.</w:t>
      </w:r>
      <w:r w:rsidRPr="00BC0E7E">
        <w:rPr>
          <w:b/>
          <w:caps/>
          <w:szCs w:val="20"/>
        </w:rPr>
        <w:tab/>
        <w:t>NAME OF THE MARKETING AUTHORISATION HOLDER</w:t>
      </w:r>
    </w:p>
    <w:p w14:paraId="4C832251" w14:textId="77777777" w:rsidR="00BC0E7E" w:rsidRPr="00BC0E7E" w:rsidRDefault="00BC0E7E" w:rsidP="00BC0E7E">
      <w:pPr>
        <w:ind w:left="540" w:hanging="540"/>
      </w:pPr>
    </w:p>
    <w:p w14:paraId="5DC862A7" w14:textId="77777777" w:rsidR="006A01D2" w:rsidRDefault="00944B8F" w:rsidP="006A01D2">
      <w:pPr>
        <w:keepNext/>
        <w:tabs>
          <w:tab w:val="clear" w:pos="562"/>
        </w:tabs>
        <w:suppressAutoHyphens w:val="0"/>
        <w:autoSpaceDE w:val="0"/>
        <w:autoSpaceDN w:val="0"/>
        <w:adjustRightInd w:val="0"/>
        <w:spacing w:line="240" w:lineRule="atLeast"/>
      </w:pPr>
      <w:r>
        <w:t xml:space="preserve">AbbVie </w:t>
      </w:r>
      <w:r w:rsidRPr="00D32313">
        <w:rPr>
          <w:szCs w:val="22"/>
          <w:highlight w:val="lightGray"/>
          <w:lang w:eastAsia="en-GB"/>
        </w:rPr>
        <w:t>(as logo)</w:t>
      </w:r>
    </w:p>
    <w:p w14:paraId="6B7D89B7" w14:textId="77777777" w:rsidR="00BC0E7E" w:rsidRPr="00BC0E7E" w:rsidRDefault="00BC0E7E" w:rsidP="00BC0E7E">
      <w:pPr>
        <w:ind w:left="540" w:hanging="540"/>
      </w:pPr>
    </w:p>
    <w:p w14:paraId="4A1924A5" w14:textId="77777777" w:rsidR="00BC0E7E" w:rsidRPr="00BC0E7E" w:rsidRDefault="00BC0E7E" w:rsidP="00BC0E7E">
      <w:pPr>
        <w:ind w:left="540" w:hanging="540"/>
      </w:pPr>
    </w:p>
    <w:p w14:paraId="419FAED3"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3.</w:t>
      </w:r>
      <w:r w:rsidRPr="00BC0E7E">
        <w:rPr>
          <w:b/>
          <w:caps/>
          <w:szCs w:val="20"/>
        </w:rPr>
        <w:tab/>
        <w:t>EXPIRY DATE</w:t>
      </w:r>
    </w:p>
    <w:p w14:paraId="2602A92C" w14:textId="77777777" w:rsidR="00BC0E7E" w:rsidRPr="00BC0E7E" w:rsidRDefault="00BC0E7E" w:rsidP="00BC0E7E">
      <w:pPr>
        <w:ind w:left="540" w:hanging="540"/>
      </w:pPr>
    </w:p>
    <w:p w14:paraId="4F20D2A0" w14:textId="77777777" w:rsidR="00BC0E7E" w:rsidRPr="00BC0E7E" w:rsidRDefault="00944B8F" w:rsidP="00BC0E7E">
      <w:pPr>
        <w:ind w:left="540" w:hanging="540"/>
      </w:pPr>
      <w:r w:rsidRPr="00BC0E7E">
        <w:t>EXP</w:t>
      </w:r>
    </w:p>
    <w:p w14:paraId="393D3591" w14:textId="77777777" w:rsidR="00BC0E7E" w:rsidRPr="00BC0E7E" w:rsidRDefault="00BC0E7E" w:rsidP="00BC0E7E">
      <w:pPr>
        <w:ind w:left="540" w:hanging="540"/>
      </w:pPr>
    </w:p>
    <w:p w14:paraId="7C3CD5A9" w14:textId="77777777" w:rsidR="00BC0E7E" w:rsidRPr="00BC0E7E" w:rsidRDefault="00BC0E7E" w:rsidP="00BC0E7E">
      <w:pPr>
        <w:ind w:left="540" w:hanging="540"/>
      </w:pPr>
    </w:p>
    <w:p w14:paraId="44DDBA5E"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4.</w:t>
      </w:r>
      <w:r w:rsidRPr="00BC0E7E">
        <w:rPr>
          <w:b/>
          <w:caps/>
          <w:szCs w:val="20"/>
        </w:rPr>
        <w:tab/>
        <w:t>BATCH NUMBER</w:t>
      </w:r>
    </w:p>
    <w:p w14:paraId="0943794D" w14:textId="77777777" w:rsidR="00BC0E7E" w:rsidRPr="00BC0E7E" w:rsidRDefault="00BC0E7E" w:rsidP="00BC0E7E">
      <w:pPr>
        <w:ind w:left="540" w:hanging="540"/>
      </w:pPr>
    </w:p>
    <w:p w14:paraId="7C912795" w14:textId="77777777" w:rsidR="00BC0E7E" w:rsidRPr="00BC0E7E" w:rsidRDefault="00944B8F" w:rsidP="00BC0E7E">
      <w:pPr>
        <w:ind w:left="540" w:hanging="540"/>
      </w:pPr>
      <w:r w:rsidRPr="00BC0E7E">
        <w:t>Lot</w:t>
      </w:r>
    </w:p>
    <w:p w14:paraId="67A86A33" w14:textId="77777777" w:rsidR="00BC0E7E" w:rsidRPr="00BC0E7E" w:rsidRDefault="00BC0E7E" w:rsidP="00BC0E7E">
      <w:pPr>
        <w:ind w:left="540" w:hanging="540"/>
      </w:pPr>
    </w:p>
    <w:p w14:paraId="42FF1619" w14:textId="77777777" w:rsidR="00BC0E7E" w:rsidRPr="00BC0E7E" w:rsidRDefault="00BC0E7E" w:rsidP="00BC0E7E">
      <w:pPr>
        <w:ind w:left="540" w:hanging="540"/>
      </w:pPr>
    </w:p>
    <w:p w14:paraId="4EFF8251" w14:textId="77777777" w:rsidR="00BC0E7E" w:rsidRPr="00BC0E7E" w:rsidRDefault="00944B8F" w:rsidP="00BC0E7E">
      <w:pPr>
        <w:pBdr>
          <w:top w:val="single" w:sz="4" w:space="1" w:color="auto"/>
          <w:left w:val="single" w:sz="4" w:space="4" w:color="auto"/>
          <w:bottom w:val="single" w:sz="4" w:space="1" w:color="auto"/>
          <w:right w:val="single" w:sz="4" w:space="4" w:color="auto"/>
        </w:pBdr>
        <w:rPr>
          <w:b/>
          <w:caps/>
          <w:szCs w:val="20"/>
        </w:rPr>
      </w:pPr>
      <w:r w:rsidRPr="00BC0E7E">
        <w:rPr>
          <w:b/>
          <w:caps/>
          <w:szCs w:val="20"/>
        </w:rPr>
        <w:t>5.</w:t>
      </w:r>
      <w:r w:rsidRPr="00BC0E7E">
        <w:rPr>
          <w:b/>
          <w:caps/>
          <w:szCs w:val="20"/>
        </w:rPr>
        <w:tab/>
        <w:t>OTHER</w:t>
      </w:r>
    </w:p>
    <w:p w14:paraId="3B3730F9" w14:textId="77777777" w:rsidR="00BC0E7E" w:rsidRPr="00BC0E7E" w:rsidRDefault="00BC0E7E" w:rsidP="00BC0E7E">
      <w:pPr>
        <w:ind w:left="540" w:hanging="540"/>
      </w:pPr>
    </w:p>
    <w:p w14:paraId="4F5E883D" w14:textId="77777777" w:rsidR="00BC0E7E" w:rsidRPr="00BC0E7E" w:rsidRDefault="00944B8F" w:rsidP="00BC0E7E">
      <w:pPr>
        <w:ind w:left="540" w:hanging="540"/>
      </w:pPr>
      <w:r w:rsidRPr="00BC0E7E">
        <w:t>For storage information, see package leaflet.</w:t>
      </w:r>
    </w:p>
    <w:p w14:paraId="789D6672" w14:textId="77777777" w:rsidR="00BC0E7E" w:rsidRPr="00BC0E7E" w:rsidRDefault="00BC0E7E" w:rsidP="00BC0E7E">
      <w:pPr>
        <w:ind w:left="540" w:hanging="540"/>
      </w:pPr>
    </w:p>
    <w:p w14:paraId="49701EE5" w14:textId="77777777" w:rsidR="00BC0E7E" w:rsidRDefault="00944B8F" w:rsidP="00BC0E7E">
      <w:pPr>
        <w:ind w:left="540" w:hanging="540"/>
      </w:pPr>
      <w:r w:rsidRPr="00BC0E7E">
        <w:t>For single use only</w:t>
      </w:r>
      <w:r w:rsidR="006E5817">
        <w:t>.</w:t>
      </w:r>
    </w:p>
    <w:p w14:paraId="6D5E1E37" w14:textId="77777777" w:rsidR="001A4F98" w:rsidRDefault="001A4F98" w:rsidP="001A4F98">
      <w:pPr>
        <w:ind w:left="540" w:hanging="540"/>
      </w:pPr>
    </w:p>
    <w:p w14:paraId="4EBA1AD1" w14:textId="77777777" w:rsidR="001A4F98" w:rsidRPr="00BC0E7E" w:rsidRDefault="00944B8F" w:rsidP="001A4F98">
      <w:pPr>
        <w:ind w:left="540" w:hanging="540"/>
      </w:pPr>
      <w:r w:rsidRPr="00BC0E7E">
        <w:t>40 mg/0.4 ml</w:t>
      </w:r>
    </w:p>
    <w:p w14:paraId="54A3A110" w14:textId="77777777" w:rsidR="00A62F16" w:rsidRDefault="00A62F16" w:rsidP="00A62F16">
      <w:pPr>
        <w:ind w:left="540" w:hanging="540"/>
      </w:pPr>
    </w:p>
    <w:p w14:paraId="2466B430" w14:textId="77777777" w:rsidR="00A62F16" w:rsidRDefault="00A62F16" w:rsidP="00A62F16"/>
    <w:p w14:paraId="131B52F5" w14:textId="77777777" w:rsidR="00A62F16" w:rsidRPr="00893C35" w:rsidRDefault="00A62F16" w:rsidP="00A62F16"/>
    <w:p w14:paraId="1A4A395A" w14:textId="77777777" w:rsidR="00A62F16" w:rsidRDefault="00A62F16" w:rsidP="00A62F16"/>
    <w:p w14:paraId="2C86FBF3" w14:textId="77777777" w:rsidR="001A4F98" w:rsidRPr="00BC0E7E" w:rsidRDefault="001A4F98" w:rsidP="00BC0E7E">
      <w:pPr>
        <w:ind w:left="540" w:hanging="540"/>
      </w:pPr>
    </w:p>
    <w:p w14:paraId="517C7357" w14:textId="77777777" w:rsidR="00BC0E7E" w:rsidRPr="00BC0E7E" w:rsidRDefault="00BC0E7E" w:rsidP="00BC0E7E"/>
    <w:p w14:paraId="2E61B72F"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br w:type="page"/>
      </w:r>
      <w:r w:rsidRPr="00BC0E7E">
        <w:rPr>
          <w:b/>
          <w:caps/>
          <w:szCs w:val="20"/>
        </w:rPr>
        <w:lastRenderedPageBreak/>
        <w:t>MINIMUM PARTICULARS TO APPEAR ON SMALL IMMEDIATE PACKAGING UNITS</w:t>
      </w:r>
    </w:p>
    <w:p w14:paraId="75BD5319" w14:textId="77777777" w:rsidR="00BC0E7E" w:rsidRPr="00BC0E7E" w:rsidRDefault="00BC0E7E" w:rsidP="00BC0E7E">
      <w:pPr>
        <w:pBdr>
          <w:top w:val="single" w:sz="4" w:space="1" w:color="auto"/>
          <w:left w:val="single" w:sz="4" w:space="4" w:color="auto"/>
          <w:bottom w:val="single" w:sz="4" w:space="1" w:color="auto"/>
          <w:right w:val="single" w:sz="4" w:space="4" w:color="auto"/>
        </w:pBdr>
        <w:ind w:left="561" w:hanging="561"/>
        <w:rPr>
          <w:b/>
          <w:bCs/>
          <w:caps/>
          <w:szCs w:val="20"/>
        </w:rPr>
      </w:pPr>
    </w:p>
    <w:p w14:paraId="7B29DBCB" w14:textId="77777777" w:rsidR="00BC0E7E" w:rsidRPr="00BC0E7E" w:rsidRDefault="00944B8F" w:rsidP="00BC0E7E">
      <w:pPr>
        <w:keepLines/>
        <w:pBdr>
          <w:top w:val="single" w:sz="4" w:space="1" w:color="auto"/>
          <w:left w:val="single" w:sz="4" w:space="4" w:color="auto"/>
          <w:bottom w:val="single" w:sz="4" w:space="1" w:color="auto"/>
          <w:right w:val="single" w:sz="4" w:space="4" w:color="auto"/>
        </w:pBdr>
        <w:ind w:left="540" w:hanging="540"/>
        <w:outlineLvl w:val="2"/>
        <w:rPr>
          <w:sz w:val="26"/>
          <w:szCs w:val="26"/>
        </w:rPr>
      </w:pPr>
      <w:r w:rsidRPr="00BC0E7E">
        <w:rPr>
          <w:b/>
          <w:bCs/>
          <w:szCs w:val="26"/>
        </w:rPr>
        <w:t>SYRINGE LABEL</w:t>
      </w:r>
    </w:p>
    <w:p w14:paraId="0FE1E260" w14:textId="77777777" w:rsidR="00BC0E7E" w:rsidRPr="00BC0E7E" w:rsidRDefault="00BC0E7E" w:rsidP="00BC0E7E">
      <w:pPr>
        <w:rPr>
          <w:szCs w:val="20"/>
        </w:rPr>
      </w:pPr>
    </w:p>
    <w:p w14:paraId="67B63871" w14:textId="77777777" w:rsidR="00BC0E7E" w:rsidRPr="00BC0E7E" w:rsidRDefault="00BC0E7E" w:rsidP="00BC0E7E">
      <w:pPr>
        <w:rPr>
          <w:szCs w:val="20"/>
        </w:rPr>
      </w:pPr>
    </w:p>
    <w:p w14:paraId="54A03066"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1.</w:t>
      </w:r>
      <w:r w:rsidRPr="00BC0E7E">
        <w:rPr>
          <w:b/>
          <w:caps/>
          <w:szCs w:val="20"/>
        </w:rPr>
        <w:tab/>
        <w:t>NAME OF THE MEDICINAL PRODUCT AND ROUTE OF ADMINISTRATION</w:t>
      </w:r>
    </w:p>
    <w:p w14:paraId="206DA1BB" w14:textId="77777777" w:rsidR="00BC0E7E" w:rsidRPr="00BC0E7E" w:rsidRDefault="00BC0E7E" w:rsidP="00BC0E7E">
      <w:pPr>
        <w:ind w:left="540" w:hanging="540"/>
      </w:pPr>
    </w:p>
    <w:p w14:paraId="28E25342" w14:textId="77777777" w:rsidR="00BC0E7E" w:rsidRPr="00BC0E7E" w:rsidRDefault="00944B8F" w:rsidP="00BC0E7E">
      <w:pPr>
        <w:ind w:left="540" w:hanging="540"/>
      </w:pPr>
      <w:r w:rsidRPr="00BC0E7E">
        <w:t>Humira 40 mg injection</w:t>
      </w:r>
    </w:p>
    <w:p w14:paraId="0DA0DA08" w14:textId="77777777" w:rsidR="00BC0E7E" w:rsidRPr="00BC0E7E" w:rsidRDefault="00944B8F" w:rsidP="00BC0E7E">
      <w:pPr>
        <w:ind w:left="540" w:hanging="540"/>
      </w:pPr>
      <w:r w:rsidRPr="00BC0E7E">
        <w:t>adalimumab</w:t>
      </w:r>
    </w:p>
    <w:p w14:paraId="6ED90A38" w14:textId="77777777" w:rsidR="00BC0E7E" w:rsidRPr="00BC0E7E" w:rsidRDefault="00944B8F" w:rsidP="00BC0E7E">
      <w:pPr>
        <w:tabs>
          <w:tab w:val="clear" w:pos="562"/>
        </w:tabs>
        <w:ind w:left="540" w:hanging="540"/>
        <w:rPr>
          <w:szCs w:val="22"/>
        </w:rPr>
      </w:pPr>
      <w:r w:rsidRPr="00BC0E7E">
        <w:rPr>
          <w:szCs w:val="22"/>
        </w:rPr>
        <w:t>SC</w:t>
      </w:r>
    </w:p>
    <w:p w14:paraId="1769F1B8" w14:textId="77777777" w:rsidR="00BC0E7E" w:rsidRPr="00BC0E7E" w:rsidRDefault="00BC0E7E" w:rsidP="00BC0E7E"/>
    <w:p w14:paraId="566ADE8F" w14:textId="77777777" w:rsidR="00BC0E7E" w:rsidRPr="00BC0E7E" w:rsidRDefault="00BC0E7E" w:rsidP="00BC0E7E"/>
    <w:p w14:paraId="5CE8EF10"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2.</w:t>
      </w:r>
      <w:r w:rsidRPr="00BC0E7E">
        <w:rPr>
          <w:b/>
          <w:caps/>
          <w:szCs w:val="20"/>
        </w:rPr>
        <w:tab/>
        <w:t>METHOD OF ADMINISTRATION</w:t>
      </w:r>
    </w:p>
    <w:p w14:paraId="6F280DDB" w14:textId="77777777" w:rsidR="00BC0E7E" w:rsidRPr="00BC0E7E" w:rsidRDefault="00BC0E7E" w:rsidP="00BC0E7E">
      <w:pPr>
        <w:ind w:left="540" w:hanging="540"/>
        <w:rPr>
          <w:b/>
        </w:rPr>
      </w:pPr>
    </w:p>
    <w:p w14:paraId="6EA86A9D" w14:textId="77777777" w:rsidR="00BC0E7E" w:rsidRPr="00BC0E7E" w:rsidRDefault="00BC0E7E" w:rsidP="00BC0E7E">
      <w:pPr>
        <w:ind w:left="540" w:hanging="540"/>
        <w:rPr>
          <w:b/>
        </w:rPr>
      </w:pPr>
    </w:p>
    <w:p w14:paraId="4E0F0424"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3.</w:t>
      </w:r>
      <w:r w:rsidRPr="00BC0E7E">
        <w:rPr>
          <w:b/>
          <w:caps/>
          <w:szCs w:val="20"/>
        </w:rPr>
        <w:tab/>
        <w:t>EXPIRY DATE</w:t>
      </w:r>
    </w:p>
    <w:p w14:paraId="311EC3B4" w14:textId="77777777" w:rsidR="00BC0E7E" w:rsidRPr="00BC0E7E" w:rsidRDefault="00BC0E7E" w:rsidP="00BC0E7E">
      <w:pPr>
        <w:ind w:left="540" w:hanging="540"/>
      </w:pPr>
    </w:p>
    <w:p w14:paraId="04469614" w14:textId="77777777" w:rsidR="00BC0E7E" w:rsidRPr="00BC0E7E" w:rsidRDefault="00944B8F" w:rsidP="00BC0E7E">
      <w:pPr>
        <w:ind w:left="540" w:hanging="540"/>
      </w:pPr>
      <w:r w:rsidRPr="00BC0E7E">
        <w:t>EXP</w:t>
      </w:r>
    </w:p>
    <w:p w14:paraId="22F82DE5" w14:textId="77777777" w:rsidR="00BC0E7E" w:rsidRPr="00BC0E7E" w:rsidRDefault="00BC0E7E" w:rsidP="00BC0E7E">
      <w:pPr>
        <w:ind w:left="540" w:hanging="540"/>
      </w:pPr>
    </w:p>
    <w:p w14:paraId="26057F9D" w14:textId="77777777" w:rsidR="00BC0E7E" w:rsidRPr="00BC0E7E" w:rsidRDefault="00BC0E7E" w:rsidP="00BC0E7E">
      <w:pPr>
        <w:ind w:left="540" w:hanging="540"/>
      </w:pPr>
    </w:p>
    <w:p w14:paraId="3BFD6035"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4.</w:t>
      </w:r>
      <w:r w:rsidRPr="00BC0E7E">
        <w:rPr>
          <w:b/>
          <w:caps/>
          <w:szCs w:val="20"/>
        </w:rPr>
        <w:tab/>
        <w:t>BATCH NUMBER</w:t>
      </w:r>
    </w:p>
    <w:p w14:paraId="0260B79C" w14:textId="77777777" w:rsidR="00BC0E7E" w:rsidRPr="00BC0E7E" w:rsidRDefault="00BC0E7E" w:rsidP="00BC0E7E">
      <w:pPr>
        <w:ind w:left="540" w:hanging="540"/>
      </w:pPr>
    </w:p>
    <w:p w14:paraId="537093CB" w14:textId="77777777" w:rsidR="00BC0E7E" w:rsidRPr="00BC0E7E" w:rsidRDefault="00944B8F" w:rsidP="00BC0E7E">
      <w:pPr>
        <w:ind w:left="540" w:hanging="540"/>
      </w:pPr>
      <w:r w:rsidRPr="00BC0E7E">
        <w:t>Lot</w:t>
      </w:r>
    </w:p>
    <w:p w14:paraId="20E2AE76" w14:textId="77777777" w:rsidR="00BC0E7E" w:rsidRPr="00BC0E7E" w:rsidRDefault="00BC0E7E" w:rsidP="00BC0E7E">
      <w:pPr>
        <w:ind w:left="540" w:hanging="540"/>
      </w:pPr>
    </w:p>
    <w:p w14:paraId="334BBBEF" w14:textId="77777777" w:rsidR="00BC0E7E" w:rsidRPr="00BC0E7E" w:rsidRDefault="00BC0E7E" w:rsidP="00BC0E7E">
      <w:pPr>
        <w:ind w:left="540" w:hanging="540"/>
      </w:pPr>
    </w:p>
    <w:p w14:paraId="7B759C35"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5.</w:t>
      </w:r>
      <w:r w:rsidRPr="00BC0E7E">
        <w:rPr>
          <w:b/>
          <w:caps/>
          <w:szCs w:val="20"/>
        </w:rPr>
        <w:tab/>
        <w:t>CONTENTS BY WEIGHT, BY VOLUME OR BY UNIT</w:t>
      </w:r>
    </w:p>
    <w:p w14:paraId="69F69C08" w14:textId="77777777" w:rsidR="00BC0E7E" w:rsidRPr="00BC0E7E" w:rsidRDefault="00BC0E7E" w:rsidP="00BC0E7E">
      <w:pPr>
        <w:ind w:left="540" w:hanging="540"/>
      </w:pPr>
    </w:p>
    <w:p w14:paraId="34CCC5A2" w14:textId="77777777" w:rsidR="00BC0E7E" w:rsidRPr="00BC0E7E" w:rsidRDefault="00944B8F" w:rsidP="00BC0E7E">
      <w:pPr>
        <w:ind w:left="540" w:hanging="540"/>
      </w:pPr>
      <w:r w:rsidRPr="00BC0E7E">
        <w:t>40 mg/0.4 ml</w:t>
      </w:r>
    </w:p>
    <w:p w14:paraId="2EC6B2D1" w14:textId="77777777" w:rsidR="00BC0E7E" w:rsidRPr="00BC0E7E" w:rsidRDefault="00BC0E7E" w:rsidP="00BC0E7E">
      <w:pPr>
        <w:ind w:left="540" w:hanging="540"/>
      </w:pPr>
    </w:p>
    <w:p w14:paraId="17C6C309" w14:textId="77777777" w:rsidR="00BC0E7E" w:rsidRPr="00BC0E7E" w:rsidRDefault="00BC0E7E" w:rsidP="00BC0E7E">
      <w:pPr>
        <w:ind w:left="540" w:hanging="540"/>
      </w:pPr>
    </w:p>
    <w:p w14:paraId="3F34F235" w14:textId="77777777" w:rsidR="00BC0E7E" w:rsidRPr="00BC0E7E" w:rsidRDefault="00944B8F" w:rsidP="00BC0E7E">
      <w:pPr>
        <w:pBdr>
          <w:top w:val="single" w:sz="4" w:space="1" w:color="auto"/>
          <w:left w:val="single" w:sz="4" w:space="4" w:color="auto"/>
          <w:bottom w:val="single" w:sz="4" w:space="1" w:color="auto"/>
          <w:right w:val="single" w:sz="4" w:space="4" w:color="auto"/>
        </w:pBdr>
        <w:rPr>
          <w:b/>
          <w:caps/>
          <w:szCs w:val="20"/>
        </w:rPr>
      </w:pPr>
      <w:r w:rsidRPr="00BC0E7E">
        <w:rPr>
          <w:b/>
          <w:caps/>
          <w:szCs w:val="20"/>
        </w:rPr>
        <w:t>6.</w:t>
      </w:r>
      <w:r w:rsidRPr="00BC0E7E">
        <w:rPr>
          <w:b/>
          <w:caps/>
          <w:szCs w:val="20"/>
        </w:rPr>
        <w:tab/>
        <w:t>OTHER</w:t>
      </w:r>
    </w:p>
    <w:p w14:paraId="6D3CAF19" w14:textId="77777777" w:rsidR="00BC0E7E" w:rsidRPr="00BC0E7E" w:rsidRDefault="00BC0E7E" w:rsidP="00BC0E7E">
      <w:pPr>
        <w:ind w:left="540" w:hanging="540"/>
      </w:pPr>
    </w:p>
    <w:p w14:paraId="4C1635BC" w14:textId="77777777" w:rsidR="00BC0E7E" w:rsidRPr="00BC0E7E" w:rsidRDefault="00BC0E7E" w:rsidP="00BC0E7E"/>
    <w:p w14:paraId="0B185D9E" w14:textId="77777777" w:rsidR="009D6985" w:rsidRDefault="00944B8F" w:rsidP="009D6985">
      <w:pPr>
        <w:tabs>
          <w:tab w:val="clear" w:pos="562"/>
        </w:tabs>
        <w:suppressAutoHyphens w:val="0"/>
        <w:spacing w:after="200" w:line="276" w:lineRule="auto"/>
        <w:rPr>
          <w:b/>
          <w:bCs/>
          <w:caps/>
          <w:szCs w:val="20"/>
        </w:rPr>
      </w:pPr>
      <w:r>
        <w:rPr>
          <w:b/>
          <w:bCs/>
          <w:caps/>
          <w:szCs w:val="20"/>
        </w:rPr>
        <w:br w:type="page"/>
      </w:r>
    </w:p>
    <w:p w14:paraId="40CC3497" w14:textId="77777777" w:rsidR="00BC0E7E" w:rsidRPr="00BC0E7E" w:rsidRDefault="00944B8F" w:rsidP="004A2F39">
      <w:pPr>
        <w:pBdr>
          <w:top w:val="single" w:sz="4" w:space="1" w:color="auto"/>
          <w:left w:val="single" w:sz="4" w:space="4" w:color="auto"/>
          <w:bottom w:val="single" w:sz="4" w:space="1" w:color="auto"/>
          <w:right w:val="single" w:sz="4" w:space="4" w:color="auto"/>
        </w:pBdr>
        <w:tabs>
          <w:tab w:val="clear" w:pos="562"/>
        </w:tabs>
        <w:rPr>
          <w:b/>
          <w:bCs/>
          <w:caps/>
          <w:szCs w:val="20"/>
        </w:rPr>
      </w:pPr>
      <w:r w:rsidRPr="00BC0E7E">
        <w:rPr>
          <w:b/>
          <w:bCs/>
          <w:caps/>
          <w:szCs w:val="20"/>
        </w:rPr>
        <w:lastRenderedPageBreak/>
        <w:t xml:space="preserve"> PARTICULARS TO APPEAR ON THE OUTER PACKAGING </w:t>
      </w:r>
    </w:p>
    <w:p w14:paraId="750A558D" w14:textId="77777777" w:rsidR="00BC0E7E" w:rsidRPr="00BC0E7E" w:rsidRDefault="00BC0E7E" w:rsidP="00BC0E7E">
      <w:pPr>
        <w:pBdr>
          <w:top w:val="single" w:sz="4" w:space="1" w:color="auto"/>
          <w:left w:val="single" w:sz="4" w:space="4" w:color="auto"/>
          <w:bottom w:val="single" w:sz="4" w:space="1" w:color="auto"/>
          <w:right w:val="single" w:sz="4" w:space="4" w:color="auto"/>
        </w:pBdr>
        <w:ind w:left="561" w:hanging="561"/>
        <w:rPr>
          <w:caps/>
          <w:szCs w:val="20"/>
        </w:rPr>
      </w:pPr>
    </w:p>
    <w:p w14:paraId="2880F41E" w14:textId="77777777" w:rsidR="00BC0E7E" w:rsidRPr="00BC0E7E" w:rsidRDefault="00944B8F" w:rsidP="00BC0E7E">
      <w:pPr>
        <w:keepLines/>
        <w:pBdr>
          <w:top w:val="single" w:sz="4" w:space="1" w:color="auto"/>
          <w:left w:val="single" w:sz="4" w:space="4" w:color="auto"/>
          <w:bottom w:val="single" w:sz="4" w:space="1" w:color="auto"/>
          <w:right w:val="single" w:sz="4" w:space="4" w:color="auto"/>
        </w:pBdr>
        <w:ind w:left="540" w:hanging="540"/>
        <w:outlineLvl w:val="2"/>
        <w:rPr>
          <w:bCs/>
          <w:sz w:val="26"/>
          <w:szCs w:val="26"/>
        </w:rPr>
      </w:pPr>
      <w:r w:rsidRPr="00BC0E7E">
        <w:rPr>
          <w:b/>
          <w:bCs/>
          <w:szCs w:val="26"/>
        </w:rPr>
        <w:t>OUTER CARTON</w:t>
      </w:r>
    </w:p>
    <w:p w14:paraId="7621D9F8" w14:textId="77777777" w:rsidR="00BC0E7E" w:rsidRPr="00BC0E7E" w:rsidRDefault="00BC0E7E" w:rsidP="00BC0E7E">
      <w:pPr>
        <w:ind w:left="540" w:hanging="540"/>
        <w:rPr>
          <w:b/>
        </w:rPr>
      </w:pPr>
    </w:p>
    <w:p w14:paraId="0BB3EC58" w14:textId="77777777" w:rsidR="00BC0E7E" w:rsidRPr="00BC0E7E" w:rsidRDefault="00BC0E7E" w:rsidP="00BC0E7E">
      <w:pPr>
        <w:ind w:left="540" w:hanging="540"/>
        <w:rPr>
          <w:b/>
        </w:rPr>
      </w:pPr>
    </w:p>
    <w:p w14:paraId="107E9927"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1.</w:t>
      </w:r>
      <w:r w:rsidRPr="00BC0E7E">
        <w:rPr>
          <w:b/>
          <w:caps/>
          <w:szCs w:val="20"/>
        </w:rPr>
        <w:tab/>
        <w:t>NAME OF THE MEDICINAL PRODUCT</w:t>
      </w:r>
    </w:p>
    <w:p w14:paraId="63C634F3" w14:textId="77777777" w:rsidR="00BC0E7E" w:rsidRPr="00BC0E7E" w:rsidRDefault="00BC0E7E" w:rsidP="00BC0E7E">
      <w:pPr>
        <w:ind w:left="540" w:hanging="540"/>
      </w:pPr>
    </w:p>
    <w:p w14:paraId="45EA2891" w14:textId="77777777" w:rsidR="00BC0E7E" w:rsidRPr="00BC0E7E" w:rsidRDefault="00944B8F" w:rsidP="00BC0E7E">
      <w:pPr>
        <w:ind w:left="540" w:hanging="540"/>
      </w:pPr>
      <w:r w:rsidRPr="00BC0E7E">
        <w:t>Humira 40 mg solution for injection in pre-filled pen</w:t>
      </w:r>
    </w:p>
    <w:p w14:paraId="432317CB" w14:textId="77777777" w:rsidR="00BC0E7E" w:rsidRPr="00BC0E7E" w:rsidRDefault="00944B8F" w:rsidP="00BC0E7E">
      <w:pPr>
        <w:tabs>
          <w:tab w:val="clear" w:pos="562"/>
        </w:tabs>
        <w:ind w:left="540" w:hanging="540"/>
        <w:rPr>
          <w:szCs w:val="22"/>
        </w:rPr>
      </w:pPr>
      <w:r w:rsidRPr="00BC0E7E">
        <w:rPr>
          <w:szCs w:val="22"/>
        </w:rPr>
        <w:t>adalimumab</w:t>
      </w:r>
    </w:p>
    <w:p w14:paraId="3454ADC6" w14:textId="77777777" w:rsidR="00BC0E7E" w:rsidRPr="00BC0E7E" w:rsidRDefault="00BC0E7E" w:rsidP="00BC0E7E"/>
    <w:p w14:paraId="2F9B5567" w14:textId="77777777" w:rsidR="00BC0E7E" w:rsidRPr="00BC0E7E" w:rsidRDefault="00BC0E7E" w:rsidP="00BC0E7E"/>
    <w:p w14:paraId="75282D67"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2.</w:t>
      </w:r>
      <w:r w:rsidRPr="00BC0E7E">
        <w:rPr>
          <w:b/>
          <w:caps/>
          <w:szCs w:val="20"/>
        </w:rPr>
        <w:tab/>
        <w:t>STATEMENT OF ACTIVE SUBSTANCE</w:t>
      </w:r>
    </w:p>
    <w:p w14:paraId="2162B238" w14:textId="77777777" w:rsidR="00BC0E7E" w:rsidRPr="00BC0E7E" w:rsidRDefault="00BC0E7E" w:rsidP="00BC0E7E">
      <w:pPr>
        <w:ind w:left="540" w:hanging="540"/>
      </w:pPr>
    </w:p>
    <w:p w14:paraId="625BD41A" w14:textId="77777777" w:rsidR="00BC0E7E" w:rsidRPr="00BC0E7E" w:rsidRDefault="00944B8F" w:rsidP="00BC0E7E">
      <w:pPr>
        <w:ind w:left="540" w:hanging="540"/>
      </w:pPr>
      <w:r w:rsidRPr="00BC0E7E">
        <w:t>One 0.4 ml pre-fille</w:t>
      </w:r>
      <w:r w:rsidR="007746CB">
        <w:t>d pen contains 40 mg adalimumab.</w:t>
      </w:r>
    </w:p>
    <w:p w14:paraId="77E4C767" w14:textId="77777777" w:rsidR="00BC0E7E" w:rsidRPr="00BC0E7E" w:rsidRDefault="00BC0E7E" w:rsidP="00BC0E7E">
      <w:pPr>
        <w:ind w:left="540" w:hanging="540"/>
      </w:pPr>
    </w:p>
    <w:p w14:paraId="1EC2B215" w14:textId="77777777" w:rsidR="00BC0E7E" w:rsidRPr="00BC0E7E" w:rsidRDefault="00BC0E7E" w:rsidP="00BC0E7E">
      <w:pPr>
        <w:ind w:left="540" w:hanging="540"/>
      </w:pPr>
    </w:p>
    <w:p w14:paraId="2E368641"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3.</w:t>
      </w:r>
      <w:r w:rsidRPr="00BC0E7E">
        <w:rPr>
          <w:b/>
          <w:caps/>
          <w:szCs w:val="20"/>
        </w:rPr>
        <w:tab/>
        <w:t>LIST OF EXCIPIENTS</w:t>
      </w:r>
    </w:p>
    <w:p w14:paraId="7CC92F0C" w14:textId="77777777" w:rsidR="00BC0E7E" w:rsidRPr="00BC0E7E" w:rsidRDefault="00BC0E7E" w:rsidP="00BC0E7E"/>
    <w:p w14:paraId="4D1ECB7B" w14:textId="77777777" w:rsidR="00BC0E7E" w:rsidRPr="00BC0E7E" w:rsidRDefault="00944B8F" w:rsidP="00BC0E7E">
      <w:r w:rsidRPr="00BC0E7E">
        <w:t>Excipients: mannitol, polysorbate 80 and water for injections. See leaflet for further information.</w:t>
      </w:r>
    </w:p>
    <w:p w14:paraId="31710BB8" w14:textId="77777777" w:rsidR="00BC0E7E" w:rsidRPr="00BC0E7E" w:rsidRDefault="00BC0E7E" w:rsidP="00BC0E7E"/>
    <w:p w14:paraId="58DB6A1C" w14:textId="77777777" w:rsidR="00BC0E7E" w:rsidRPr="00BC0E7E" w:rsidRDefault="00BC0E7E" w:rsidP="00BC0E7E"/>
    <w:p w14:paraId="74828CF6"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4.</w:t>
      </w:r>
      <w:r w:rsidRPr="00BC0E7E">
        <w:rPr>
          <w:b/>
          <w:caps/>
          <w:szCs w:val="20"/>
        </w:rPr>
        <w:tab/>
        <w:t>PHARMACEUTICAL FORM AND CONTENTS</w:t>
      </w:r>
    </w:p>
    <w:p w14:paraId="4F669C92" w14:textId="77777777" w:rsidR="00BC0E7E" w:rsidRPr="00BC0E7E" w:rsidRDefault="00BC0E7E" w:rsidP="00BC0E7E">
      <w:pPr>
        <w:tabs>
          <w:tab w:val="clear" w:pos="562"/>
        </w:tabs>
        <w:ind w:left="540" w:hanging="540"/>
        <w:rPr>
          <w:szCs w:val="22"/>
        </w:rPr>
      </w:pPr>
    </w:p>
    <w:p w14:paraId="2E9179C3" w14:textId="77777777" w:rsidR="00774177" w:rsidRDefault="00944B8F" w:rsidP="00774177">
      <w:pPr>
        <w:autoSpaceDE w:val="0"/>
        <w:autoSpaceDN w:val="0"/>
        <w:adjustRightInd w:val="0"/>
      </w:pPr>
      <w:r w:rsidRPr="00925C36">
        <w:rPr>
          <w:highlight w:val="lightGray"/>
        </w:rPr>
        <w:t>Solution for injection</w:t>
      </w:r>
    </w:p>
    <w:p w14:paraId="1DF8F6D3" w14:textId="77777777" w:rsidR="00BC0E7E" w:rsidRPr="00BC0E7E" w:rsidRDefault="00944B8F" w:rsidP="00BC0E7E">
      <w:pPr>
        <w:tabs>
          <w:tab w:val="clear" w:pos="562"/>
        </w:tabs>
        <w:ind w:left="540" w:hanging="540"/>
        <w:rPr>
          <w:szCs w:val="22"/>
        </w:rPr>
      </w:pPr>
      <w:r w:rsidRPr="00BC0E7E">
        <w:rPr>
          <w:szCs w:val="22"/>
        </w:rPr>
        <w:t>1 pre-filled pen</w:t>
      </w:r>
    </w:p>
    <w:p w14:paraId="7321ACFA" w14:textId="77777777" w:rsidR="00BC0E7E" w:rsidRPr="00BC0E7E" w:rsidRDefault="00944B8F" w:rsidP="00BC0E7E">
      <w:pPr>
        <w:ind w:left="540" w:hanging="540"/>
        <w:rPr>
          <w:szCs w:val="22"/>
        </w:rPr>
      </w:pPr>
      <w:r w:rsidRPr="00BC0E7E">
        <w:rPr>
          <w:szCs w:val="22"/>
        </w:rPr>
        <w:t>2 alcohol pads</w:t>
      </w:r>
    </w:p>
    <w:p w14:paraId="6DF5F917" w14:textId="77777777" w:rsidR="00BC0E7E" w:rsidRDefault="00BC0E7E" w:rsidP="00BC0E7E">
      <w:pPr>
        <w:ind w:left="540" w:hanging="540"/>
        <w:rPr>
          <w:szCs w:val="22"/>
        </w:rPr>
      </w:pPr>
    </w:p>
    <w:p w14:paraId="1061D461" w14:textId="77777777" w:rsidR="00C463B4" w:rsidRPr="000244DF" w:rsidRDefault="00944B8F" w:rsidP="00C463B4">
      <w:pPr>
        <w:tabs>
          <w:tab w:val="clear" w:pos="562"/>
        </w:tabs>
        <w:ind w:left="540" w:hanging="540"/>
        <w:rPr>
          <w:szCs w:val="22"/>
          <w:highlight w:val="lightGray"/>
        </w:rPr>
      </w:pPr>
      <w:r w:rsidRPr="000244DF">
        <w:rPr>
          <w:szCs w:val="22"/>
          <w:highlight w:val="lightGray"/>
        </w:rPr>
        <w:t>2 pre-filled pens</w:t>
      </w:r>
    </w:p>
    <w:p w14:paraId="141D4BCE" w14:textId="77777777" w:rsidR="00C463B4" w:rsidRPr="000244DF" w:rsidRDefault="00944B8F" w:rsidP="00C463B4">
      <w:pPr>
        <w:ind w:left="540" w:hanging="540"/>
        <w:rPr>
          <w:szCs w:val="22"/>
          <w:highlight w:val="lightGray"/>
        </w:rPr>
      </w:pPr>
      <w:r w:rsidRPr="000244DF">
        <w:rPr>
          <w:szCs w:val="22"/>
          <w:highlight w:val="lightGray"/>
        </w:rPr>
        <w:t xml:space="preserve">2 alcohol pads </w:t>
      </w:r>
    </w:p>
    <w:p w14:paraId="42F1EB03" w14:textId="77777777" w:rsidR="00C463B4" w:rsidRPr="000244DF" w:rsidRDefault="00C463B4" w:rsidP="00C463B4">
      <w:pPr>
        <w:tabs>
          <w:tab w:val="clear" w:pos="562"/>
        </w:tabs>
        <w:ind w:left="540" w:hanging="540"/>
        <w:rPr>
          <w:szCs w:val="22"/>
          <w:highlight w:val="lightGray"/>
        </w:rPr>
      </w:pPr>
    </w:p>
    <w:p w14:paraId="55D1AF60" w14:textId="77777777" w:rsidR="00C463B4" w:rsidRPr="000244DF" w:rsidRDefault="00944B8F" w:rsidP="00C463B4">
      <w:pPr>
        <w:tabs>
          <w:tab w:val="clear" w:pos="562"/>
        </w:tabs>
        <w:ind w:left="540" w:hanging="540"/>
        <w:rPr>
          <w:szCs w:val="22"/>
          <w:highlight w:val="lightGray"/>
        </w:rPr>
      </w:pPr>
      <w:r w:rsidRPr="000244DF">
        <w:rPr>
          <w:szCs w:val="22"/>
          <w:highlight w:val="lightGray"/>
        </w:rPr>
        <w:t>4 pre-filled pens</w:t>
      </w:r>
    </w:p>
    <w:p w14:paraId="6841D52F" w14:textId="77777777" w:rsidR="00C463B4" w:rsidRPr="000244DF" w:rsidRDefault="00944B8F" w:rsidP="00C463B4">
      <w:pPr>
        <w:ind w:left="540" w:hanging="540"/>
        <w:rPr>
          <w:szCs w:val="22"/>
          <w:highlight w:val="lightGray"/>
        </w:rPr>
      </w:pPr>
      <w:r w:rsidRPr="000244DF">
        <w:rPr>
          <w:szCs w:val="22"/>
          <w:highlight w:val="lightGray"/>
        </w:rPr>
        <w:t xml:space="preserve">4 alcohol pads </w:t>
      </w:r>
    </w:p>
    <w:p w14:paraId="409C47B6" w14:textId="77777777" w:rsidR="00C463B4" w:rsidRPr="000244DF" w:rsidRDefault="00C463B4" w:rsidP="00C463B4">
      <w:pPr>
        <w:ind w:left="540" w:hanging="540"/>
        <w:rPr>
          <w:szCs w:val="22"/>
          <w:highlight w:val="lightGray"/>
        </w:rPr>
      </w:pPr>
    </w:p>
    <w:p w14:paraId="4677F093" w14:textId="77777777" w:rsidR="00C463B4" w:rsidRPr="000244DF" w:rsidRDefault="00944B8F" w:rsidP="00C463B4">
      <w:pPr>
        <w:tabs>
          <w:tab w:val="clear" w:pos="562"/>
        </w:tabs>
        <w:ind w:left="540" w:hanging="540"/>
        <w:rPr>
          <w:szCs w:val="22"/>
          <w:highlight w:val="lightGray"/>
        </w:rPr>
      </w:pPr>
      <w:r w:rsidRPr="000244DF">
        <w:rPr>
          <w:szCs w:val="22"/>
          <w:highlight w:val="lightGray"/>
        </w:rPr>
        <w:t>6 pre-filled pens</w:t>
      </w:r>
    </w:p>
    <w:p w14:paraId="025520FB" w14:textId="77777777" w:rsidR="00C463B4" w:rsidRPr="00BC0E7E" w:rsidRDefault="00944B8F" w:rsidP="00C463B4">
      <w:pPr>
        <w:ind w:left="540" w:hanging="540"/>
        <w:rPr>
          <w:szCs w:val="22"/>
        </w:rPr>
      </w:pPr>
      <w:r w:rsidRPr="000244DF">
        <w:rPr>
          <w:szCs w:val="22"/>
          <w:highlight w:val="lightGray"/>
        </w:rPr>
        <w:t>6 alcohol pads</w:t>
      </w:r>
      <w:r w:rsidRPr="00BC0E7E">
        <w:rPr>
          <w:szCs w:val="22"/>
        </w:rPr>
        <w:t xml:space="preserve"> </w:t>
      </w:r>
    </w:p>
    <w:p w14:paraId="16DEEE0A" w14:textId="77777777" w:rsidR="00C463B4" w:rsidRPr="00BC0E7E" w:rsidRDefault="00C463B4" w:rsidP="00BC0E7E">
      <w:pPr>
        <w:ind w:left="540" w:hanging="540"/>
        <w:rPr>
          <w:szCs w:val="22"/>
        </w:rPr>
      </w:pPr>
    </w:p>
    <w:p w14:paraId="015EB999" w14:textId="77777777" w:rsidR="00BC0E7E" w:rsidRPr="00BC0E7E" w:rsidRDefault="00BC0E7E" w:rsidP="00BC0E7E">
      <w:pPr>
        <w:ind w:left="540" w:hanging="540"/>
        <w:rPr>
          <w:szCs w:val="22"/>
        </w:rPr>
      </w:pPr>
    </w:p>
    <w:p w14:paraId="2A02E366"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5.</w:t>
      </w:r>
      <w:r w:rsidRPr="00BC0E7E">
        <w:rPr>
          <w:b/>
          <w:caps/>
          <w:szCs w:val="20"/>
        </w:rPr>
        <w:tab/>
        <w:t>METHOD AND ROUTE OF ADMINISTRATION</w:t>
      </w:r>
    </w:p>
    <w:p w14:paraId="4BDA781A" w14:textId="77777777" w:rsidR="00BC0E7E" w:rsidRPr="00BC0E7E" w:rsidRDefault="00BC0E7E" w:rsidP="00BC0E7E">
      <w:pPr>
        <w:ind w:left="540" w:hanging="540"/>
      </w:pPr>
    </w:p>
    <w:p w14:paraId="173E5DB2" w14:textId="77777777" w:rsidR="00BC0E7E" w:rsidRPr="00BC0E7E" w:rsidRDefault="00944B8F" w:rsidP="00BC0E7E">
      <w:pPr>
        <w:ind w:left="540" w:hanging="540"/>
      </w:pPr>
      <w:r w:rsidRPr="00BC0E7E">
        <w:t>Subcutaneous use</w:t>
      </w:r>
    </w:p>
    <w:p w14:paraId="4E9D222C" w14:textId="77777777" w:rsidR="00BC0E7E" w:rsidRPr="00BC0E7E" w:rsidRDefault="00BC0E7E" w:rsidP="00BC0E7E">
      <w:pPr>
        <w:ind w:left="540" w:hanging="540"/>
      </w:pPr>
    </w:p>
    <w:p w14:paraId="7D34C7C6" w14:textId="77777777" w:rsidR="00BC0E7E" w:rsidRPr="00BC0E7E" w:rsidRDefault="00944B8F" w:rsidP="00BC0E7E">
      <w:pPr>
        <w:ind w:left="540" w:hanging="540"/>
      </w:pPr>
      <w:r w:rsidRPr="00BC0E7E">
        <w:t>Read the package leaflet before use.</w:t>
      </w:r>
    </w:p>
    <w:p w14:paraId="6CE0F64E" w14:textId="77777777" w:rsidR="00774177" w:rsidRDefault="00774177" w:rsidP="00774177">
      <w:pPr>
        <w:ind w:left="540" w:hanging="540"/>
      </w:pPr>
    </w:p>
    <w:p w14:paraId="0D560673" w14:textId="77777777" w:rsidR="00774177" w:rsidRDefault="00944B8F" w:rsidP="00774177">
      <w:pPr>
        <w:ind w:left="540" w:hanging="540"/>
      </w:pPr>
      <w:r w:rsidRPr="002A3533">
        <w:t>For single use only</w:t>
      </w:r>
      <w:r w:rsidR="006E5817">
        <w:t>.</w:t>
      </w:r>
    </w:p>
    <w:p w14:paraId="384223D9" w14:textId="77777777" w:rsidR="00BC0E7E" w:rsidRPr="00BC0E7E" w:rsidRDefault="00BC0E7E" w:rsidP="00BC0E7E">
      <w:pPr>
        <w:ind w:left="540" w:hanging="540"/>
      </w:pPr>
    </w:p>
    <w:p w14:paraId="5C660CE7" w14:textId="77777777" w:rsidR="00BC0E7E" w:rsidRPr="00BC0E7E" w:rsidRDefault="00BC0E7E" w:rsidP="00BC0E7E">
      <w:pPr>
        <w:ind w:left="540" w:hanging="540"/>
      </w:pPr>
    </w:p>
    <w:p w14:paraId="5209E849"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50" w:hanging="550"/>
        <w:rPr>
          <w:b/>
          <w:caps/>
          <w:szCs w:val="20"/>
        </w:rPr>
      </w:pPr>
      <w:r w:rsidRPr="00BC0E7E">
        <w:rPr>
          <w:b/>
          <w:caps/>
          <w:szCs w:val="20"/>
        </w:rPr>
        <w:t>6.</w:t>
      </w:r>
      <w:r w:rsidRPr="00BC0E7E">
        <w:rPr>
          <w:b/>
          <w:caps/>
          <w:szCs w:val="20"/>
        </w:rPr>
        <w:tab/>
        <w:t>SPECIAL WARNING THAT THE MEDICINAL PRODUCT MUST BE STORED OUT OF THE SIGHT AND REACH OF CHILDREN</w:t>
      </w:r>
    </w:p>
    <w:p w14:paraId="612127B6" w14:textId="77777777" w:rsidR="00BC0E7E" w:rsidRPr="00BC0E7E" w:rsidRDefault="00BC0E7E" w:rsidP="00BC0E7E">
      <w:pPr>
        <w:ind w:left="540" w:hanging="540"/>
      </w:pPr>
    </w:p>
    <w:p w14:paraId="4FFD603C" w14:textId="77777777" w:rsidR="00BC0E7E" w:rsidRPr="00BC0E7E" w:rsidRDefault="00944B8F" w:rsidP="00BC0E7E">
      <w:pPr>
        <w:ind w:left="540" w:hanging="540"/>
      </w:pPr>
      <w:r w:rsidRPr="00BC0E7E">
        <w:t>Keep out of the sight and reach of children.</w:t>
      </w:r>
    </w:p>
    <w:p w14:paraId="4661C5F2" w14:textId="77777777" w:rsidR="00BC0E7E" w:rsidRPr="00BC0E7E" w:rsidRDefault="00BC0E7E" w:rsidP="00BC0E7E">
      <w:pPr>
        <w:ind w:left="540" w:hanging="540"/>
      </w:pPr>
    </w:p>
    <w:p w14:paraId="2FF3C130" w14:textId="77777777" w:rsidR="00BC0E7E" w:rsidRPr="00BC0E7E" w:rsidRDefault="00BC0E7E" w:rsidP="00BC0E7E">
      <w:pPr>
        <w:ind w:left="540" w:hanging="540"/>
      </w:pPr>
    </w:p>
    <w:p w14:paraId="354713F9"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7.</w:t>
      </w:r>
      <w:r w:rsidRPr="00BC0E7E">
        <w:rPr>
          <w:b/>
          <w:caps/>
          <w:szCs w:val="20"/>
        </w:rPr>
        <w:tab/>
        <w:t>OTHER SPECIAL WARNING, IF NECESSARY</w:t>
      </w:r>
    </w:p>
    <w:p w14:paraId="02D60084" w14:textId="77777777" w:rsidR="00BC0E7E" w:rsidRPr="00BC0E7E" w:rsidRDefault="00BC0E7E" w:rsidP="00BC0E7E">
      <w:pPr>
        <w:ind w:left="540" w:hanging="540"/>
      </w:pPr>
    </w:p>
    <w:p w14:paraId="66DE7F40" w14:textId="77777777" w:rsidR="00BC0E7E" w:rsidRPr="00BC0E7E" w:rsidRDefault="00BC0E7E" w:rsidP="00BC0E7E">
      <w:pPr>
        <w:ind w:left="540" w:hanging="540"/>
      </w:pPr>
    </w:p>
    <w:p w14:paraId="00C4960B"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8.</w:t>
      </w:r>
      <w:r w:rsidRPr="00BC0E7E">
        <w:rPr>
          <w:b/>
          <w:caps/>
          <w:szCs w:val="20"/>
        </w:rPr>
        <w:tab/>
        <w:t>EXPIRY DATE</w:t>
      </w:r>
    </w:p>
    <w:p w14:paraId="10BCDBAC" w14:textId="77777777" w:rsidR="00BC0E7E" w:rsidRPr="00BC0E7E" w:rsidRDefault="00BC0E7E" w:rsidP="00BC0E7E">
      <w:pPr>
        <w:ind w:left="540" w:hanging="540"/>
      </w:pPr>
    </w:p>
    <w:p w14:paraId="38440763" w14:textId="77777777" w:rsidR="00BC0E7E" w:rsidRPr="00BC0E7E" w:rsidRDefault="00944B8F" w:rsidP="00BC0E7E">
      <w:pPr>
        <w:ind w:left="540" w:hanging="540"/>
      </w:pPr>
      <w:r w:rsidRPr="00BC0E7E">
        <w:t>EXP</w:t>
      </w:r>
    </w:p>
    <w:p w14:paraId="24DC4542" w14:textId="77777777" w:rsidR="00BC0E7E" w:rsidRPr="00BC0E7E" w:rsidRDefault="00BC0E7E" w:rsidP="00BC0E7E">
      <w:pPr>
        <w:ind w:left="540" w:hanging="540"/>
      </w:pPr>
    </w:p>
    <w:p w14:paraId="3159C081" w14:textId="77777777" w:rsidR="00BC0E7E" w:rsidRPr="00BC0E7E" w:rsidRDefault="00BC0E7E" w:rsidP="00BC0E7E">
      <w:pPr>
        <w:ind w:left="540" w:hanging="540"/>
      </w:pPr>
    </w:p>
    <w:p w14:paraId="5B3AF24C" w14:textId="77777777" w:rsidR="00BC0E7E" w:rsidRPr="00BC0E7E" w:rsidRDefault="00944B8F" w:rsidP="00BC0E7E">
      <w:pPr>
        <w:keepNext/>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9.</w:t>
      </w:r>
      <w:r w:rsidRPr="00BC0E7E">
        <w:rPr>
          <w:b/>
          <w:caps/>
          <w:szCs w:val="20"/>
        </w:rPr>
        <w:tab/>
        <w:t>SPECIAL STORAGE CONDITIONS</w:t>
      </w:r>
    </w:p>
    <w:p w14:paraId="7F6E3ADA" w14:textId="77777777" w:rsidR="00BC0E7E" w:rsidRPr="00BC0E7E" w:rsidRDefault="00BC0E7E" w:rsidP="00BC0E7E">
      <w:pPr>
        <w:keepNext/>
        <w:ind w:left="540" w:hanging="540"/>
      </w:pPr>
    </w:p>
    <w:p w14:paraId="42D4B6F4" w14:textId="77777777" w:rsidR="00BC0E7E" w:rsidRPr="00BC0E7E" w:rsidRDefault="00944B8F" w:rsidP="00BC0E7E">
      <w:pPr>
        <w:keepNext/>
        <w:ind w:left="540" w:hanging="540"/>
      </w:pPr>
      <w:r w:rsidRPr="00BC0E7E">
        <w:t xml:space="preserve">Store in a refrigerator. Do not freeze. </w:t>
      </w:r>
    </w:p>
    <w:p w14:paraId="757B8EEC" w14:textId="77777777" w:rsidR="00BC0E7E" w:rsidRPr="00BC0E7E" w:rsidRDefault="00944B8F" w:rsidP="00BC0E7E">
      <w:pPr>
        <w:keepNext/>
      </w:pPr>
      <w:r w:rsidRPr="00BC0E7E">
        <w:rPr>
          <w:rFonts w:eastAsia="MS Mincho"/>
        </w:rPr>
        <w:t>Refer to package leaflet for alternative storage details.</w:t>
      </w:r>
    </w:p>
    <w:p w14:paraId="2026DD3C" w14:textId="77777777" w:rsidR="00BC0E7E" w:rsidRPr="00BC0E7E" w:rsidRDefault="00BC0E7E" w:rsidP="00BC0E7E">
      <w:pPr>
        <w:keepNext/>
        <w:ind w:left="540" w:hanging="540"/>
      </w:pPr>
    </w:p>
    <w:p w14:paraId="0E02170C" w14:textId="77777777" w:rsidR="00BC0E7E" w:rsidRPr="00BC0E7E" w:rsidRDefault="00944B8F" w:rsidP="00BC0E7E">
      <w:pPr>
        <w:keepNext/>
        <w:ind w:left="540" w:hanging="540"/>
      </w:pPr>
      <w:r w:rsidRPr="00BC0E7E">
        <w:t>Keep the pre-filled pen in the outer carton in order to protect from light.</w:t>
      </w:r>
    </w:p>
    <w:p w14:paraId="013AEF72" w14:textId="77777777" w:rsidR="00BC0E7E" w:rsidRPr="00BC0E7E" w:rsidRDefault="00BC0E7E" w:rsidP="00BC0E7E">
      <w:pPr>
        <w:ind w:left="540" w:hanging="540"/>
      </w:pPr>
    </w:p>
    <w:p w14:paraId="4D0091D9" w14:textId="77777777" w:rsidR="00BC0E7E" w:rsidRPr="00BC0E7E" w:rsidRDefault="00BC0E7E" w:rsidP="00BC0E7E">
      <w:pPr>
        <w:ind w:left="540" w:hanging="540"/>
      </w:pPr>
    </w:p>
    <w:p w14:paraId="29E81CD5"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10.</w:t>
      </w:r>
      <w:r w:rsidRPr="00BC0E7E">
        <w:rPr>
          <w:b/>
          <w:caps/>
          <w:szCs w:val="20"/>
        </w:rPr>
        <w:tab/>
        <w:t>SPECIAL PRECAUTIONS FOR DISPOSAL OF UNUSED MEDICINAL PRODUCTS OR WASTE MATERIALS DERIVED FROM SUCH MEDICINAL PRODUCTS, IF APPROPRIATE</w:t>
      </w:r>
    </w:p>
    <w:p w14:paraId="48A6E501" w14:textId="77777777" w:rsidR="00BC0E7E" w:rsidRPr="00BC0E7E" w:rsidRDefault="00BC0E7E" w:rsidP="00BC0E7E">
      <w:pPr>
        <w:ind w:left="540" w:hanging="540"/>
      </w:pPr>
    </w:p>
    <w:p w14:paraId="45AC3818" w14:textId="77777777" w:rsidR="00BC0E7E" w:rsidRPr="00BC0E7E" w:rsidRDefault="00BC0E7E" w:rsidP="00BC0E7E">
      <w:pPr>
        <w:ind w:left="540" w:hanging="540"/>
      </w:pPr>
    </w:p>
    <w:p w14:paraId="7AF0DDA9"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11.</w:t>
      </w:r>
      <w:r w:rsidRPr="00BC0E7E">
        <w:rPr>
          <w:b/>
          <w:caps/>
          <w:szCs w:val="20"/>
        </w:rPr>
        <w:tab/>
        <w:t>NAME AND ADDRESS OF THE MARKETING AUTHORISATION HOLDER</w:t>
      </w:r>
    </w:p>
    <w:p w14:paraId="0574A0A6" w14:textId="77777777" w:rsidR="00BC0E7E" w:rsidRPr="00BC0E7E" w:rsidRDefault="00BC0E7E" w:rsidP="00BC0E7E">
      <w:pPr>
        <w:keepNext/>
        <w:tabs>
          <w:tab w:val="clear" w:pos="562"/>
        </w:tabs>
        <w:suppressAutoHyphens w:val="0"/>
        <w:autoSpaceDE w:val="0"/>
        <w:autoSpaceDN w:val="0"/>
        <w:adjustRightInd w:val="0"/>
        <w:spacing w:line="240" w:lineRule="atLeast"/>
        <w:rPr>
          <w:szCs w:val="22"/>
          <w:lang w:eastAsia="en-GB"/>
        </w:rPr>
      </w:pPr>
    </w:p>
    <w:p w14:paraId="6643A458"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AbbVie Deutschland GmbH &amp; Co. KG</w:t>
      </w:r>
    </w:p>
    <w:p w14:paraId="4C04ABF8"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Knollstrasse</w:t>
      </w:r>
    </w:p>
    <w:p w14:paraId="6A46276D"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67061 Ludwigshafen</w:t>
      </w:r>
    </w:p>
    <w:p w14:paraId="206374BD" w14:textId="77777777" w:rsidR="006A01D2" w:rsidRDefault="00944B8F" w:rsidP="006A01D2">
      <w:pPr>
        <w:keepNext/>
        <w:tabs>
          <w:tab w:val="clear" w:pos="562"/>
          <w:tab w:val="left" w:pos="720"/>
        </w:tabs>
        <w:suppressAutoHyphens w:val="0"/>
        <w:autoSpaceDE w:val="0"/>
        <w:autoSpaceDN w:val="0"/>
        <w:adjustRightInd w:val="0"/>
        <w:spacing w:line="240" w:lineRule="atLeast"/>
        <w:rPr>
          <w:szCs w:val="22"/>
          <w:lang w:eastAsia="en-GB"/>
        </w:rPr>
      </w:pPr>
      <w:r w:rsidRPr="00EB4204">
        <w:rPr>
          <w:szCs w:val="22"/>
          <w:lang w:eastAsia="en-GB"/>
        </w:rPr>
        <w:t>Germany</w:t>
      </w:r>
      <w:r>
        <w:rPr>
          <w:szCs w:val="22"/>
          <w:lang w:eastAsia="en-GB"/>
        </w:rPr>
        <w:t xml:space="preserve"> </w:t>
      </w:r>
    </w:p>
    <w:p w14:paraId="22823EF8" w14:textId="77777777" w:rsidR="00BC0E7E" w:rsidRPr="00BC0E7E" w:rsidRDefault="00BC0E7E" w:rsidP="00BC0E7E">
      <w:pPr>
        <w:keepNext/>
        <w:tabs>
          <w:tab w:val="clear" w:pos="562"/>
        </w:tabs>
        <w:suppressAutoHyphens w:val="0"/>
        <w:autoSpaceDE w:val="0"/>
        <w:autoSpaceDN w:val="0"/>
        <w:adjustRightInd w:val="0"/>
        <w:spacing w:line="240" w:lineRule="atLeast"/>
        <w:rPr>
          <w:szCs w:val="22"/>
          <w:lang w:eastAsia="en-GB"/>
        </w:rPr>
      </w:pPr>
    </w:p>
    <w:p w14:paraId="79B66E6E" w14:textId="77777777" w:rsidR="00BC0E7E" w:rsidRPr="00BC0E7E" w:rsidRDefault="00BC0E7E" w:rsidP="00BC0E7E">
      <w:pPr>
        <w:keepNext/>
        <w:tabs>
          <w:tab w:val="clear" w:pos="562"/>
        </w:tabs>
        <w:suppressAutoHyphens w:val="0"/>
        <w:autoSpaceDE w:val="0"/>
        <w:autoSpaceDN w:val="0"/>
        <w:adjustRightInd w:val="0"/>
        <w:spacing w:line="240" w:lineRule="atLeast"/>
        <w:rPr>
          <w:szCs w:val="22"/>
          <w:lang w:eastAsia="en-GB"/>
        </w:rPr>
      </w:pPr>
    </w:p>
    <w:p w14:paraId="66B776F5" w14:textId="77777777" w:rsidR="00BC0E7E" w:rsidRPr="00A06B15" w:rsidRDefault="00944B8F" w:rsidP="00BC0E7E">
      <w:pPr>
        <w:pBdr>
          <w:top w:val="single" w:sz="4" w:space="1" w:color="auto"/>
          <w:left w:val="single" w:sz="4" w:space="4" w:color="auto"/>
          <w:bottom w:val="single" w:sz="4" w:space="1" w:color="auto"/>
          <w:right w:val="single" w:sz="4" w:space="4" w:color="auto"/>
        </w:pBdr>
        <w:ind w:left="562" w:hanging="562"/>
        <w:rPr>
          <w:b/>
          <w:caps/>
          <w:szCs w:val="20"/>
          <w:lang w:val="de-DE"/>
        </w:rPr>
      </w:pPr>
      <w:r w:rsidRPr="00A06B15">
        <w:rPr>
          <w:b/>
          <w:caps/>
          <w:szCs w:val="20"/>
          <w:lang w:val="de-DE"/>
        </w:rPr>
        <w:t>12.</w:t>
      </w:r>
      <w:r w:rsidRPr="00A06B15">
        <w:rPr>
          <w:b/>
          <w:caps/>
          <w:szCs w:val="20"/>
          <w:lang w:val="de-DE"/>
        </w:rPr>
        <w:tab/>
        <w:t>MARKETING AUTHORISATION NUMBER</w:t>
      </w:r>
    </w:p>
    <w:p w14:paraId="275B7EBB" w14:textId="77777777" w:rsidR="00BC0E7E" w:rsidRPr="00A06B15" w:rsidRDefault="00BC0E7E" w:rsidP="00BC0E7E">
      <w:pPr>
        <w:ind w:left="540" w:hanging="540"/>
        <w:rPr>
          <w:lang w:val="de-DE"/>
        </w:rPr>
      </w:pPr>
    </w:p>
    <w:p w14:paraId="7C198AB8" w14:textId="77777777" w:rsidR="00BC0E7E" w:rsidRPr="00A06B15" w:rsidRDefault="00944B8F" w:rsidP="00BC0E7E">
      <w:pPr>
        <w:ind w:left="540" w:hanging="540"/>
        <w:rPr>
          <w:lang w:val="de-DE"/>
        </w:rPr>
      </w:pPr>
      <w:r w:rsidRPr="00A06B15">
        <w:rPr>
          <w:lang w:val="de-DE"/>
        </w:rPr>
        <w:t>EU/1/03/256/016</w:t>
      </w:r>
    </w:p>
    <w:p w14:paraId="7AEBBD49" w14:textId="77777777" w:rsidR="00C463B4" w:rsidRPr="00A06B15" w:rsidRDefault="00944B8F" w:rsidP="00C463B4">
      <w:pPr>
        <w:ind w:left="540" w:hanging="540"/>
        <w:rPr>
          <w:highlight w:val="lightGray"/>
          <w:lang w:val="de-DE"/>
        </w:rPr>
      </w:pPr>
      <w:r w:rsidRPr="00A06B15">
        <w:rPr>
          <w:highlight w:val="lightGray"/>
          <w:lang w:val="de-DE"/>
        </w:rPr>
        <w:t>EU/1/03/256/017</w:t>
      </w:r>
    </w:p>
    <w:p w14:paraId="40C990E1" w14:textId="77777777" w:rsidR="00C463B4" w:rsidRPr="00A06B15" w:rsidRDefault="00944B8F" w:rsidP="00C463B4">
      <w:pPr>
        <w:ind w:left="540" w:hanging="540"/>
        <w:rPr>
          <w:highlight w:val="lightGray"/>
          <w:lang w:val="de-DE"/>
        </w:rPr>
      </w:pPr>
      <w:r w:rsidRPr="00A06B15">
        <w:rPr>
          <w:highlight w:val="lightGray"/>
          <w:lang w:val="de-DE"/>
        </w:rPr>
        <w:t>EU/1/03/256/018</w:t>
      </w:r>
    </w:p>
    <w:p w14:paraId="0FC7EF38" w14:textId="77777777" w:rsidR="00C463B4" w:rsidRPr="00491143" w:rsidRDefault="00944B8F" w:rsidP="00C463B4">
      <w:pPr>
        <w:ind w:left="540" w:hanging="540"/>
        <w:rPr>
          <w:lang w:val="sv-SE"/>
        </w:rPr>
      </w:pPr>
      <w:r w:rsidRPr="00491143">
        <w:rPr>
          <w:highlight w:val="lightGray"/>
          <w:lang w:val="sv-SE"/>
        </w:rPr>
        <w:t>EU/1/03/256/019</w:t>
      </w:r>
    </w:p>
    <w:p w14:paraId="0430E4E7" w14:textId="77777777" w:rsidR="00BC0E7E" w:rsidRPr="00491143" w:rsidRDefault="00BC0E7E" w:rsidP="00BC0E7E">
      <w:pPr>
        <w:ind w:left="540" w:hanging="540"/>
        <w:rPr>
          <w:lang w:val="sv-SE"/>
        </w:rPr>
      </w:pPr>
    </w:p>
    <w:p w14:paraId="62CA362D" w14:textId="77777777" w:rsidR="00BC0E7E" w:rsidRPr="00491143" w:rsidRDefault="00BC0E7E" w:rsidP="00BC0E7E">
      <w:pPr>
        <w:ind w:left="540" w:hanging="540"/>
        <w:rPr>
          <w:lang w:val="sv-SE"/>
        </w:rPr>
      </w:pPr>
    </w:p>
    <w:p w14:paraId="028D4866" w14:textId="77777777" w:rsidR="00BC0E7E" w:rsidRPr="00491143" w:rsidRDefault="00944B8F" w:rsidP="00BC0E7E">
      <w:pPr>
        <w:pBdr>
          <w:top w:val="single" w:sz="4" w:space="1" w:color="auto"/>
          <w:left w:val="single" w:sz="4" w:space="4" w:color="auto"/>
          <w:bottom w:val="single" w:sz="4" w:space="1" w:color="auto"/>
          <w:right w:val="single" w:sz="4" w:space="4" w:color="auto"/>
        </w:pBdr>
        <w:ind w:left="562" w:hanging="562"/>
        <w:rPr>
          <w:b/>
          <w:caps/>
          <w:szCs w:val="20"/>
          <w:lang w:val="sv-SE"/>
        </w:rPr>
      </w:pPr>
      <w:r w:rsidRPr="00491143">
        <w:rPr>
          <w:b/>
          <w:caps/>
          <w:szCs w:val="20"/>
          <w:lang w:val="sv-SE"/>
        </w:rPr>
        <w:t>13.</w:t>
      </w:r>
      <w:r w:rsidRPr="00491143">
        <w:rPr>
          <w:b/>
          <w:caps/>
          <w:szCs w:val="20"/>
          <w:lang w:val="sv-SE"/>
        </w:rPr>
        <w:tab/>
        <w:t>BATCH NUMBER</w:t>
      </w:r>
    </w:p>
    <w:p w14:paraId="011F21B0" w14:textId="77777777" w:rsidR="00BC0E7E" w:rsidRPr="00491143" w:rsidRDefault="00BC0E7E" w:rsidP="00BC0E7E">
      <w:pPr>
        <w:ind w:left="540" w:hanging="540"/>
        <w:rPr>
          <w:lang w:val="sv-SE"/>
        </w:rPr>
      </w:pPr>
    </w:p>
    <w:p w14:paraId="225C0BFF" w14:textId="77777777" w:rsidR="00BC0E7E" w:rsidRPr="00FB06D0" w:rsidRDefault="00944B8F" w:rsidP="00BC0E7E">
      <w:pPr>
        <w:ind w:left="540" w:hanging="540"/>
        <w:rPr>
          <w:lang w:val="nb-NO"/>
        </w:rPr>
      </w:pPr>
      <w:r w:rsidRPr="00FB06D0">
        <w:rPr>
          <w:lang w:val="nb-NO"/>
        </w:rPr>
        <w:t xml:space="preserve">Lot </w:t>
      </w:r>
    </w:p>
    <w:p w14:paraId="404502CF" w14:textId="77777777" w:rsidR="00BC0E7E" w:rsidRPr="00FB06D0" w:rsidRDefault="00BC0E7E" w:rsidP="00BC0E7E">
      <w:pPr>
        <w:ind w:left="540" w:hanging="540"/>
        <w:rPr>
          <w:lang w:val="nb-NO"/>
        </w:rPr>
      </w:pPr>
    </w:p>
    <w:p w14:paraId="32898958" w14:textId="77777777" w:rsidR="00BC0E7E" w:rsidRPr="00FB06D0" w:rsidRDefault="00BC0E7E" w:rsidP="00BC0E7E">
      <w:pPr>
        <w:ind w:left="540" w:hanging="540"/>
        <w:rPr>
          <w:lang w:val="nb-NO"/>
        </w:rPr>
      </w:pPr>
    </w:p>
    <w:p w14:paraId="6166B15C"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14.</w:t>
      </w:r>
      <w:r w:rsidRPr="00BC0E7E">
        <w:rPr>
          <w:b/>
          <w:caps/>
          <w:szCs w:val="20"/>
        </w:rPr>
        <w:tab/>
        <w:t>GENERAL CLASSIFICATION FOR SUPPLY</w:t>
      </w:r>
    </w:p>
    <w:p w14:paraId="3BAEFFB2" w14:textId="77777777" w:rsidR="00BC0E7E" w:rsidRPr="00BC0E7E" w:rsidRDefault="00BC0E7E" w:rsidP="00BC0E7E">
      <w:pPr>
        <w:ind w:left="540" w:hanging="540"/>
      </w:pPr>
    </w:p>
    <w:p w14:paraId="4394315F" w14:textId="77777777" w:rsidR="00BC0E7E" w:rsidRPr="00BC0E7E" w:rsidRDefault="00BC0E7E" w:rsidP="00BC0E7E">
      <w:pPr>
        <w:ind w:left="540" w:hanging="540"/>
      </w:pPr>
    </w:p>
    <w:p w14:paraId="2736DDF5"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15.</w:t>
      </w:r>
      <w:r w:rsidRPr="00BC0E7E">
        <w:rPr>
          <w:b/>
          <w:caps/>
          <w:szCs w:val="20"/>
        </w:rPr>
        <w:tab/>
        <w:t>INSTRUCTIONS ON USE</w:t>
      </w:r>
    </w:p>
    <w:p w14:paraId="7EEDCEAD" w14:textId="77777777" w:rsidR="00BC0E7E" w:rsidRPr="00BC0E7E" w:rsidRDefault="00BC0E7E" w:rsidP="00BC0E7E">
      <w:pPr>
        <w:rPr>
          <w:szCs w:val="20"/>
        </w:rPr>
      </w:pPr>
    </w:p>
    <w:p w14:paraId="041EB86A" w14:textId="77777777" w:rsidR="00BC0E7E" w:rsidRPr="00BC0E7E" w:rsidRDefault="00BC0E7E" w:rsidP="00BC0E7E">
      <w:pPr>
        <w:rPr>
          <w:szCs w:val="20"/>
        </w:rPr>
      </w:pPr>
    </w:p>
    <w:p w14:paraId="29956DD6" w14:textId="77777777" w:rsidR="00BC0E7E" w:rsidRPr="00BC0E7E" w:rsidRDefault="00944B8F" w:rsidP="00C568D0">
      <w:pPr>
        <w:keepNext/>
        <w:pBdr>
          <w:top w:val="single" w:sz="4" w:space="1" w:color="auto"/>
          <w:left w:val="single" w:sz="4" w:space="4" w:color="auto"/>
          <w:bottom w:val="single" w:sz="4" w:space="1" w:color="auto"/>
          <w:right w:val="single" w:sz="4" w:space="4" w:color="auto"/>
        </w:pBdr>
        <w:rPr>
          <w:b/>
          <w:bCs/>
          <w:caps/>
          <w:szCs w:val="20"/>
          <w:lang w:val="sv-SE"/>
        </w:rPr>
      </w:pPr>
      <w:r w:rsidRPr="00BC0E7E">
        <w:rPr>
          <w:b/>
          <w:bCs/>
          <w:caps/>
          <w:szCs w:val="20"/>
          <w:lang w:val="sv-SE"/>
        </w:rPr>
        <w:lastRenderedPageBreak/>
        <w:t>16.</w:t>
      </w:r>
      <w:r w:rsidRPr="00BC0E7E">
        <w:rPr>
          <w:b/>
          <w:bCs/>
          <w:caps/>
          <w:szCs w:val="20"/>
          <w:lang w:val="sv-SE"/>
        </w:rPr>
        <w:tab/>
        <w:t>Information in braille</w:t>
      </w:r>
    </w:p>
    <w:p w14:paraId="64A36E7A" w14:textId="77777777" w:rsidR="00BC0E7E" w:rsidRPr="00BC0E7E" w:rsidRDefault="00BC0E7E" w:rsidP="00C568D0">
      <w:pPr>
        <w:keepNext/>
        <w:ind w:left="540" w:hanging="540"/>
        <w:rPr>
          <w:lang w:val="sv-SE"/>
        </w:rPr>
      </w:pPr>
    </w:p>
    <w:p w14:paraId="6CD21FF3" w14:textId="77777777" w:rsidR="00BC0E7E" w:rsidRPr="00BC0E7E" w:rsidRDefault="00944B8F" w:rsidP="00C568D0">
      <w:pPr>
        <w:keepNext/>
        <w:ind w:left="540" w:hanging="540"/>
        <w:rPr>
          <w:lang w:val="sv-SE"/>
        </w:rPr>
      </w:pPr>
      <w:r w:rsidRPr="00BC0E7E">
        <w:rPr>
          <w:lang w:val="sv-SE"/>
        </w:rPr>
        <w:t>Humira 40 mg</w:t>
      </w:r>
    </w:p>
    <w:p w14:paraId="5420A11E" w14:textId="77777777" w:rsidR="00BC0E7E" w:rsidRPr="00BC0E7E" w:rsidRDefault="00BC0E7E" w:rsidP="00BC0E7E">
      <w:pPr>
        <w:ind w:left="540" w:hanging="540"/>
        <w:rPr>
          <w:lang w:val="sv-SE"/>
        </w:rPr>
      </w:pPr>
    </w:p>
    <w:p w14:paraId="02D1CED9" w14:textId="77777777" w:rsidR="00BC0E7E" w:rsidRPr="00BC0E7E" w:rsidRDefault="00BC0E7E" w:rsidP="00BC0E7E">
      <w:pPr>
        <w:ind w:left="540" w:hanging="540"/>
        <w:rPr>
          <w:lang w:val="sv-SE"/>
        </w:rPr>
      </w:pPr>
    </w:p>
    <w:p w14:paraId="45F9113B" w14:textId="77777777" w:rsidR="00BC0E7E" w:rsidRPr="00452C41" w:rsidRDefault="00944B8F" w:rsidP="00BC0E7E">
      <w:pPr>
        <w:pBdr>
          <w:top w:val="single" w:sz="4" w:space="1" w:color="auto"/>
          <w:left w:val="single" w:sz="4" w:space="4" w:color="auto"/>
          <w:bottom w:val="single" w:sz="4" w:space="1" w:color="auto"/>
          <w:right w:val="single" w:sz="4" w:space="4" w:color="auto"/>
        </w:pBdr>
        <w:rPr>
          <w:b/>
          <w:bCs/>
          <w:caps/>
          <w:szCs w:val="20"/>
        </w:rPr>
      </w:pPr>
      <w:r w:rsidRPr="00BC0E7E">
        <w:rPr>
          <w:b/>
          <w:bCs/>
          <w:caps/>
          <w:szCs w:val="20"/>
          <w:lang w:val="sv-SE"/>
        </w:rPr>
        <w:t xml:space="preserve">17. </w:t>
      </w:r>
      <w:r w:rsidRPr="00BC0E7E">
        <w:rPr>
          <w:b/>
          <w:bCs/>
          <w:caps/>
          <w:szCs w:val="20"/>
          <w:lang w:val="sv-SE"/>
        </w:rPr>
        <w:tab/>
      </w:r>
      <w:r w:rsidRPr="00452C41">
        <w:rPr>
          <w:b/>
          <w:bCs/>
          <w:caps/>
          <w:szCs w:val="20"/>
        </w:rPr>
        <w:t>UNIQUE INDENTIFIER – 2D BARCODE</w:t>
      </w:r>
    </w:p>
    <w:p w14:paraId="7F16D953" w14:textId="77777777" w:rsidR="00BC0E7E" w:rsidRPr="00452C41" w:rsidRDefault="00BC0E7E" w:rsidP="00BC0E7E"/>
    <w:p w14:paraId="2A9C54A4" w14:textId="77777777" w:rsidR="00BC0E7E" w:rsidRPr="00BC0E7E" w:rsidRDefault="00944B8F" w:rsidP="00BC0E7E">
      <w:pPr>
        <w:rPr>
          <w:shd w:val="clear" w:color="auto" w:fill="BFBFBF"/>
        </w:rPr>
      </w:pPr>
      <w:r w:rsidRPr="00BC0E7E">
        <w:rPr>
          <w:shd w:val="clear" w:color="auto" w:fill="BFBFBF"/>
        </w:rPr>
        <w:t>2D barcode carrying the unique identifier included.</w:t>
      </w:r>
    </w:p>
    <w:p w14:paraId="4A67EB6C" w14:textId="77777777" w:rsidR="00BC0E7E" w:rsidRPr="00BC0E7E" w:rsidRDefault="00BC0E7E" w:rsidP="00BC0E7E">
      <w:pPr>
        <w:rPr>
          <w:shd w:val="clear" w:color="auto" w:fill="BFBFBF"/>
        </w:rPr>
      </w:pPr>
    </w:p>
    <w:p w14:paraId="0FBF71E4" w14:textId="77777777" w:rsidR="00BC0E7E" w:rsidRPr="00BC0E7E" w:rsidRDefault="00BC0E7E" w:rsidP="00BC0E7E">
      <w:pPr>
        <w:rPr>
          <w:shd w:val="clear" w:color="auto" w:fill="BFBFBF"/>
        </w:rPr>
      </w:pPr>
    </w:p>
    <w:p w14:paraId="3E8101A2" w14:textId="77777777" w:rsidR="00BC0E7E" w:rsidRPr="00BC0E7E" w:rsidRDefault="00944B8F" w:rsidP="00BC0E7E">
      <w:pPr>
        <w:keepNext/>
        <w:pBdr>
          <w:top w:val="single" w:sz="4" w:space="1" w:color="auto"/>
          <w:left w:val="single" w:sz="4" w:space="4" w:color="auto"/>
          <w:bottom w:val="single" w:sz="4" w:space="1" w:color="auto"/>
          <w:right w:val="single" w:sz="4" w:space="4" w:color="auto"/>
        </w:pBdr>
        <w:rPr>
          <w:rFonts w:ascii="Times New Roman Bold" w:hAnsi="Times New Roman Bold"/>
          <w:caps/>
          <w:szCs w:val="20"/>
        </w:rPr>
      </w:pPr>
      <w:r w:rsidRPr="00BC0E7E">
        <w:rPr>
          <w:b/>
          <w:bCs/>
          <w:caps/>
          <w:szCs w:val="20"/>
        </w:rPr>
        <w:t xml:space="preserve">18. </w:t>
      </w:r>
      <w:r w:rsidRPr="00BC0E7E">
        <w:rPr>
          <w:b/>
          <w:bCs/>
          <w:caps/>
          <w:szCs w:val="20"/>
        </w:rPr>
        <w:tab/>
        <w:t>UNIQUE INDENTIFIER – HUMAN READABLE DATA</w:t>
      </w:r>
    </w:p>
    <w:p w14:paraId="76287A77" w14:textId="77777777" w:rsidR="00BC0E7E" w:rsidRPr="00BC0E7E" w:rsidRDefault="00BC0E7E" w:rsidP="00BC0E7E">
      <w:pPr>
        <w:keepNext/>
        <w:ind w:left="540" w:hanging="540"/>
      </w:pPr>
    </w:p>
    <w:p w14:paraId="09EF268A" w14:textId="77777777" w:rsidR="00BC0E7E" w:rsidRPr="00BC0E7E" w:rsidRDefault="00944B8F" w:rsidP="00BC0E7E">
      <w:pPr>
        <w:keepNext/>
        <w:ind w:left="540" w:hanging="540"/>
      </w:pPr>
      <w:r w:rsidRPr="00BC0E7E">
        <w:t>PC</w:t>
      </w:r>
    </w:p>
    <w:p w14:paraId="36A620A0" w14:textId="77777777" w:rsidR="00BC0E7E" w:rsidRPr="00BC0E7E" w:rsidRDefault="00944B8F" w:rsidP="00BC0E7E">
      <w:pPr>
        <w:keepNext/>
        <w:ind w:left="540" w:hanging="540"/>
      </w:pPr>
      <w:r w:rsidRPr="00BC0E7E">
        <w:t>SN</w:t>
      </w:r>
    </w:p>
    <w:p w14:paraId="1E3E5F36" w14:textId="77777777" w:rsidR="00BC0E7E" w:rsidRPr="00BC0E7E" w:rsidRDefault="00944B8F" w:rsidP="00BC0E7E">
      <w:pPr>
        <w:keepNext/>
        <w:ind w:left="540" w:hanging="540"/>
      </w:pPr>
      <w:r w:rsidRPr="001B6DEE">
        <w:rPr>
          <w:highlight w:val="darkGray"/>
        </w:rPr>
        <w:t>NN</w:t>
      </w:r>
    </w:p>
    <w:p w14:paraId="59D76039" w14:textId="77777777" w:rsidR="00BC0E7E" w:rsidRPr="00BC0E7E" w:rsidRDefault="00BC0E7E" w:rsidP="00BC0E7E">
      <w:pPr>
        <w:ind w:left="540" w:hanging="540"/>
      </w:pPr>
    </w:p>
    <w:p w14:paraId="36936118" w14:textId="77777777" w:rsidR="00BC0E7E" w:rsidRPr="00BC0E7E" w:rsidRDefault="00944B8F" w:rsidP="00FE40CA">
      <w:pPr>
        <w:keepNext/>
        <w:ind w:left="540" w:hanging="540"/>
      </w:pPr>
      <w:r w:rsidRPr="00BC0E7E">
        <w:rPr>
          <w:b/>
          <w:caps/>
          <w:szCs w:val="20"/>
        </w:rPr>
        <w:br w:type="page"/>
      </w:r>
    </w:p>
    <w:p w14:paraId="4F00AF42" w14:textId="77777777" w:rsidR="00BC0E7E" w:rsidRPr="00BC0E7E" w:rsidRDefault="00BC0E7E" w:rsidP="00BC0E7E">
      <w:pPr>
        <w:keepNext/>
        <w:ind w:left="540" w:hanging="540"/>
      </w:pPr>
    </w:p>
    <w:p w14:paraId="68505323" w14:textId="77777777" w:rsidR="00BC0E7E" w:rsidRPr="00BC0E7E" w:rsidRDefault="00944B8F" w:rsidP="00BC0E7E">
      <w:pPr>
        <w:pBdr>
          <w:top w:val="single" w:sz="4" w:space="1" w:color="auto"/>
          <w:left w:val="single" w:sz="4" w:space="4" w:color="auto"/>
          <w:bottom w:val="single" w:sz="4" w:space="1" w:color="auto"/>
          <w:right w:val="single" w:sz="4" w:space="4" w:color="auto"/>
        </w:pBdr>
        <w:tabs>
          <w:tab w:val="clear" w:pos="562"/>
        </w:tabs>
        <w:rPr>
          <w:b/>
        </w:rPr>
      </w:pPr>
      <w:r w:rsidRPr="00BC0E7E">
        <w:rPr>
          <w:b/>
        </w:rPr>
        <w:t>MINIMUM PARTICULARS TO APPEAR ON BLISTERS OR STRIPS</w:t>
      </w:r>
    </w:p>
    <w:p w14:paraId="6C924F96" w14:textId="77777777" w:rsidR="00BC0E7E" w:rsidRPr="00BC0E7E" w:rsidRDefault="00BC0E7E" w:rsidP="00BC0E7E">
      <w:pPr>
        <w:pBdr>
          <w:top w:val="single" w:sz="4" w:space="1" w:color="auto"/>
          <w:left w:val="single" w:sz="4" w:space="4" w:color="auto"/>
          <w:bottom w:val="single" w:sz="4" w:space="1" w:color="auto"/>
          <w:right w:val="single" w:sz="4" w:space="4" w:color="auto"/>
        </w:pBdr>
        <w:ind w:left="540" w:hanging="540"/>
        <w:rPr>
          <w:b/>
        </w:rPr>
      </w:pPr>
    </w:p>
    <w:p w14:paraId="44042095" w14:textId="77777777" w:rsidR="00BC0E7E" w:rsidRPr="00BC0E7E" w:rsidRDefault="00944B8F" w:rsidP="00BC0E7E">
      <w:pPr>
        <w:keepLines/>
        <w:pBdr>
          <w:top w:val="single" w:sz="4" w:space="1" w:color="auto"/>
          <w:left w:val="single" w:sz="4" w:space="4" w:color="auto"/>
          <w:bottom w:val="single" w:sz="4" w:space="1" w:color="auto"/>
          <w:right w:val="single" w:sz="4" w:space="4" w:color="auto"/>
        </w:pBdr>
        <w:ind w:left="540" w:hanging="540"/>
        <w:outlineLvl w:val="2"/>
        <w:rPr>
          <w:b/>
          <w:bCs/>
          <w:szCs w:val="26"/>
        </w:rPr>
      </w:pPr>
      <w:r w:rsidRPr="00BC0E7E">
        <w:rPr>
          <w:b/>
          <w:bCs/>
          <w:szCs w:val="26"/>
        </w:rPr>
        <w:t>TRAY BACKING TEXT</w:t>
      </w:r>
    </w:p>
    <w:p w14:paraId="6D62CDF7" w14:textId="77777777" w:rsidR="00BC0E7E" w:rsidRPr="00BC0E7E" w:rsidRDefault="00BC0E7E" w:rsidP="00BC0E7E">
      <w:pPr>
        <w:ind w:left="540" w:hanging="540"/>
      </w:pPr>
    </w:p>
    <w:p w14:paraId="028474C5" w14:textId="77777777" w:rsidR="00BC0E7E" w:rsidRPr="00BC0E7E" w:rsidRDefault="00BC0E7E" w:rsidP="00BC0E7E">
      <w:pPr>
        <w:ind w:left="540" w:hanging="540"/>
      </w:pPr>
    </w:p>
    <w:p w14:paraId="2E805CBE"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1.</w:t>
      </w:r>
      <w:r w:rsidRPr="00BC0E7E">
        <w:rPr>
          <w:b/>
          <w:caps/>
          <w:szCs w:val="20"/>
        </w:rPr>
        <w:tab/>
        <w:t>NAME OF THE MEDICINAL PRODUCT</w:t>
      </w:r>
    </w:p>
    <w:p w14:paraId="0D72C131" w14:textId="77777777" w:rsidR="00BC0E7E" w:rsidRPr="00BC0E7E" w:rsidRDefault="00BC0E7E" w:rsidP="00BC0E7E">
      <w:pPr>
        <w:ind w:left="540" w:hanging="540"/>
      </w:pPr>
    </w:p>
    <w:p w14:paraId="066A28F4" w14:textId="77777777" w:rsidR="00BC0E7E" w:rsidRPr="00BC0E7E" w:rsidRDefault="00944B8F" w:rsidP="00BC0E7E">
      <w:pPr>
        <w:ind w:left="540" w:hanging="540"/>
      </w:pPr>
      <w:r w:rsidRPr="00BC0E7E">
        <w:t>Humira 40 mg solution for injection in pre-filled pen</w:t>
      </w:r>
    </w:p>
    <w:p w14:paraId="31B1DC4D" w14:textId="77777777" w:rsidR="00BC0E7E" w:rsidRPr="00BC0E7E" w:rsidRDefault="00944B8F" w:rsidP="00BC0E7E">
      <w:pPr>
        <w:ind w:left="540" w:hanging="540"/>
      </w:pPr>
      <w:r w:rsidRPr="00BC0E7E">
        <w:t>adalimumab</w:t>
      </w:r>
    </w:p>
    <w:p w14:paraId="0F5D50A4" w14:textId="77777777" w:rsidR="00BC0E7E" w:rsidRPr="00BC0E7E" w:rsidRDefault="00BC0E7E" w:rsidP="00BC0E7E">
      <w:pPr>
        <w:ind w:left="540" w:hanging="540"/>
      </w:pPr>
    </w:p>
    <w:p w14:paraId="09EB4ED1" w14:textId="77777777" w:rsidR="00BC0E7E" w:rsidRPr="00BC0E7E" w:rsidRDefault="00BC0E7E" w:rsidP="00BC0E7E">
      <w:pPr>
        <w:ind w:left="540" w:hanging="540"/>
      </w:pPr>
    </w:p>
    <w:p w14:paraId="233B53FC"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2.</w:t>
      </w:r>
      <w:r w:rsidRPr="00BC0E7E">
        <w:rPr>
          <w:b/>
          <w:caps/>
          <w:szCs w:val="20"/>
        </w:rPr>
        <w:tab/>
        <w:t>NAME OF THE MARKETING AUTHORISATION HOLDER</w:t>
      </w:r>
    </w:p>
    <w:p w14:paraId="3611BCE5" w14:textId="77777777" w:rsidR="00BC0E7E" w:rsidRPr="00BC0E7E" w:rsidRDefault="00BC0E7E" w:rsidP="00BC0E7E">
      <w:pPr>
        <w:ind w:left="540" w:hanging="540"/>
      </w:pPr>
    </w:p>
    <w:p w14:paraId="61886891" w14:textId="77777777" w:rsidR="006A01D2" w:rsidRDefault="00944B8F" w:rsidP="006A01D2">
      <w:pPr>
        <w:keepNext/>
        <w:tabs>
          <w:tab w:val="clear" w:pos="562"/>
        </w:tabs>
        <w:suppressAutoHyphens w:val="0"/>
        <w:autoSpaceDE w:val="0"/>
        <w:autoSpaceDN w:val="0"/>
        <w:adjustRightInd w:val="0"/>
        <w:spacing w:line="240" w:lineRule="atLeast"/>
      </w:pPr>
      <w:r>
        <w:t xml:space="preserve">AbbVie </w:t>
      </w:r>
      <w:r w:rsidRPr="00D32313">
        <w:rPr>
          <w:szCs w:val="22"/>
          <w:highlight w:val="lightGray"/>
          <w:lang w:eastAsia="en-GB"/>
        </w:rPr>
        <w:t>(as logo)</w:t>
      </w:r>
    </w:p>
    <w:p w14:paraId="4920788A" w14:textId="77777777" w:rsidR="00BC0E7E" w:rsidRPr="00BC0E7E" w:rsidRDefault="00BC0E7E" w:rsidP="00BC0E7E">
      <w:pPr>
        <w:ind w:left="540" w:hanging="540"/>
      </w:pPr>
    </w:p>
    <w:p w14:paraId="7DBD1541" w14:textId="77777777" w:rsidR="00BC0E7E" w:rsidRPr="00BC0E7E" w:rsidRDefault="00BC0E7E" w:rsidP="00BC0E7E">
      <w:pPr>
        <w:ind w:left="540" w:hanging="540"/>
      </w:pPr>
    </w:p>
    <w:p w14:paraId="59E5579F"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3.</w:t>
      </w:r>
      <w:r w:rsidRPr="00BC0E7E">
        <w:rPr>
          <w:b/>
          <w:caps/>
          <w:szCs w:val="20"/>
        </w:rPr>
        <w:tab/>
        <w:t>EXPIRY DATE</w:t>
      </w:r>
    </w:p>
    <w:p w14:paraId="4E5F5616" w14:textId="77777777" w:rsidR="00BC0E7E" w:rsidRPr="00BC0E7E" w:rsidRDefault="00BC0E7E" w:rsidP="00BC0E7E">
      <w:pPr>
        <w:ind w:left="540" w:hanging="540"/>
      </w:pPr>
    </w:p>
    <w:p w14:paraId="3A767657" w14:textId="77777777" w:rsidR="00BC0E7E" w:rsidRPr="00BC0E7E" w:rsidRDefault="00944B8F" w:rsidP="00BC0E7E">
      <w:pPr>
        <w:ind w:left="540" w:hanging="540"/>
      </w:pPr>
      <w:r w:rsidRPr="00BC0E7E">
        <w:t>EXP</w:t>
      </w:r>
    </w:p>
    <w:p w14:paraId="6DA6B41B" w14:textId="77777777" w:rsidR="00BC0E7E" w:rsidRPr="00BC0E7E" w:rsidRDefault="00BC0E7E" w:rsidP="00BC0E7E">
      <w:pPr>
        <w:ind w:left="540" w:hanging="540"/>
      </w:pPr>
    </w:p>
    <w:p w14:paraId="2F585B1B" w14:textId="77777777" w:rsidR="00BC0E7E" w:rsidRPr="00BC0E7E" w:rsidRDefault="00BC0E7E" w:rsidP="00BC0E7E">
      <w:pPr>
        <w:ind w:left="540" w:hanging="540"/>
      </w:pPr>
    </w:p>
    <w:p w14:paraId="6BABF8D7"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4.</w:t>
      </w:r>
      <w:r w:rsidRPr="00BC0E7E">
        <w:rPr>
          <w:b/>
          <w:caps/>
          <w:szCs w:val="20"/>
        </w:rPr>
        <w:tab/>
        <w:t>BATCH NUMBER</w:t>
      </w:r>
    </w:p>
    <w:p w14:paraId="3F764EBC" w14:textId="77777777" w:rsidR="00BC0E7E" w:rsidRPr="00BC0E7E" w:rsidRDefault="00BC0E7E" w:rsidP="00BC0E7E">
      <w:pPr>
        <w:ind w:left="540" w:hanging="540"/>
      </w:pPr>
    </w:p>
    <w:p w14:paraId="38B75B3D" w14:textId="77777777" w:rsidR="00BC0E7E" w:rsidRPr="00BC0E7E" w:rsidRDefault="00944B8F" w:rsidP="00BC0E7E">
      <w:pPr>
        <w:ind w:left="540" w:hanging="540"/>
      </w:pPr>
      <w:r w:rsidRPr="00BC0E7E">
        <w:t xml:space="preserve">Lot </w:t>
      </w:r>
    </w:p>
    <w:p w14:paraId="6D33FDF0" w14:textId="77777777" w:rsidR="00BC0E7E" w:rsidRPr="00BC0E7E" w:rsidRDefault="00BC0E7E" w:rsidP="00BC0E7E">
      <w:pPr>
        <w:ind w:left="540" w:hanging="540"/>
      </w:pPr>
    </w:p>
    <w:p w14:paraId="7EA1C4AA" w14:textId="77777777" w:rsidR="00BC0E7E" w:rsidRPr="00BC0E7E" w:rsidRDefault="00BC0E7E" w:rsidP="00BC0E7E">
      <w:pPr>
        <w:ind w:left="540" w:hanging="540"/>
      </w:pPr>
    </w:p>
    <w:p w14:paraId="1F029DEE" w14:textId="77777777" w:rsidR="00BC0E7E" w:rsidRPr="00BC0E7E" w:rsidRDefault="00944B8F" w:rsidP="00BC0E7E">
      <w:pPr>
        <w:pBdr>
          <w:top w:val="single" w:sz="4" w:space="1" w:color="auto"/>
          <w:left w:val="single" w:sz="4" w:space="4" w:color="auto"/>
          <w:bottom w:val="single" w:sz="4" w:space="1" w:color="auto"/>
          <w:right w:val="single" w:sz="4" w:space="4" w:color="auto"/>
        </w:pBdr>
        <w:rPr>
          <w:b/>
          <w:caps/>
          <w:szCs w:val="20"/>
        </w:rPr>
      </w:pPr>
      <w:r w:rsidRPr="00BC0E7E">
        <w:rPr>
          <w:b/>
          <w:caps/>
          <w:szCs w:val="20"/>
        </w:rPr>
        <w:t>5.</w:t>
      </w:r>
      <w:r w:rsidRPr="00BC0E7E">
        <w:rPr>
          <w:b/>
          <w:caps/>
          <w:szCs w:val="20"/>
        </w:rPr>
        <w:tab/>
        <w:t>OTHER</w:t>
      </w:r>
    </w:p>
    <w:p w14:paraId="427163CA" w14:textId="77777777" w:rsidR="00BC0E7E" w:rsidRPr="00BC0E7E" w:rsidRDefault="00BC0E7E" w:rsidP="00BC0E7E">
      <w:pPr>
        <w:ind w:left="540" w:hanging="540"/>
      </w:pPr>
    </w:p>
    <w:p w14:paraId="130E1C4B" w14:textId="77777777" w:rsidR="00BC0E7E" w:rsidRDefault="00944B8F" w:rsidP="00BC0E7E">
      <w:pPr>
        <w:ind w:left="540" w:hanging="540"/>
      </w:pPr>
      <w:r w:rsidRPr="00BC0E7E">
        <w:t>For storage information, see package leaflet.</w:t>
      </w:r>
    </w:p>
    <w:p w14:paraId="1F602FE8" w14:textId="77777777" w:rsidR="00774177" w:rsidRPr="00BC0E7E" w:rsidRDefault="00774177" w:rsidP="00BC0E7E">
      <w:pPr>
        <w:ind w:left="540" w:hanging="540"/>
      </w:pPr>
    </w:p>
    <w:p w14:paraId="481A95C5" w14:textId="77777777" w:rsidR="00BC0E7E" w:rsidRPr="00BC0E7E" w:rsidRDefault="00944B8F" w:rsidP="00BC0E7E">
      <w:pPr>
        <w:ind w:left="540" w:hanging="540"/>
      </w:pPr>
      <w:r w:rsidRPr="00BC0E7E">
        <w:t>For single use only</w:t>
      </w:r>
      <w:r w:rsidR="006E5817">
        <w:t>.</w:t>
      </w:r>
    </w:p>
    <w:p w14:paraId="3EF09323" w14:textId="77777777" w:rsidR="00774177" w:rsidRDefault="00774177" w:rsidP="00BC0E7E">
      <w:pPr>
        <w:ind w:left="540" w:hanging="540"/>
      </w:pPr>
    </w:p>
    <w:p w14:paraId="2E49871F" w14:textId="77777777" w:rsidR="00BC0E7E" w:rsidRDefault="00944B8F" w:rsidP="00BC0E7E">
      <w:pPr>
        <w:ind w:left="540" w:hanging="540"/>
      </w:pPr>
      <w:r w:rsidRPr="00BC0E7E">
        <w:t>40 mg/0.4 ml</w:t>
      </w:r>
    </w:p>
    <w:p w14:paraId="55D18F32" w14:textId="77777777" w:rsidR="009D6985" w:rsidRDefault="009D6985" w:rsidP="009D6985">
      <w:pPr>
        <w:ind w:left="540" w:hanging="540"/>
      </w:pPr>
    </w:p>
    <w:p w14:paraId="636F5052" w14:textId="77777777" w:rsidR="009D6985" w:rsidRDefault="009D6985" w:rsidP="009D6985"/>
    <w:p w14:paraId="40694DDA" w14:textId="77777777" w:rsidR="009D6985" w:rsidRPr="00893C35" w:rsidRDefault="009D6985" w:rsidP="009D6985"/>
    <w:p w14:paraId="22DC8BE6" w14:textId="77777777" w:rsidR="009D6985" w:rsidRPr="00BC0E7E" w:rsidRDefault="009D6985" w:rsidP="00BC0E7E">
      <w:pPr>
        <w:ind w:left="540" w:hanging="540"/>
      </w:pPr>
    </w:p>
    <w:p w14:paraId="01EFB905" w14:textId="77777777" w:rsidR="00BC0E7E" w:rsidRPr="00BC0E7E" w:rsidRDefault="00BC0E7E" w:rsidP="00BC0E7E"/>
    <w:p w14:paraId="6499ACB6"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bCs/>
          <w:caps/>
          <w:szCs w:val="20"/>
        </w:rPr>
      </w:pPr>
      <w:r w:rsidRPr="00BC0E7E">
        <w:rPr>
          <w:b/>
          <w:bCs/>
          <w:caps/>
          <w:szCs w:val="20"/>
        </w:rPr>
        <w:br w:type="page"/>
      </w:r>
      <w:r w:rsidRPr="00BC0E7E">
        <w:rPr>
          <w:b/>
          <w:bCs/>
          <w:caps/>
          <w:szCs w:val="20"/>
        </w:rPr>
        <w:lastRenderedPageBreak/>
        <w:t>MINIMUM PARTICULARS TO APPEAR ON SMALL IMMEDIATE PACKAGING UNITS</w:t>
      </w:r>
    </w:p>
    <w:p w14:paraId="7683AF49" w14:textId="77777777" w:rsidR="00BC0E7E" w:rsidRPr="00BC0E7E" w:rsidRDefault="00BC0E7E" w:rsidP="00BC0E7E">
      <w:pPr>
        <w:pBdr>
          <w:top w:val="single" w:sz="4" w:space="1" w:color="auto"/>
          <w:left w:val="single" w:sz="4" w:space="4" w:color="auto"/>
          <w:bottom w:val="single" w:sz="4" w:space="1" w:color="auto"/>
          <w:right w:val="single" w:sz="4" w:space="4" w:color="auto"/>
        </w:pBdr>
        <w:ind w:left="561" w:hanging="561"/>
        <w:rPr>
          <w:b/>
          <w:bCs/>
          <w:caps/>
          <w:szCs w:val="20"/>
        </w:rPr>
      </w:pPr>
    </w:p>
    <w:p w14:paraId="34E88D50" w14:textId="77777777" w:rsidR="00BC0E7E" w:rsidRPr="00BC0E7E" w:rsidRDefault="00944B8F" w:rsidP="00BC0E7E">
      <w:pPr>
        <w:keepLines/>
        <w:pBdr>
          <w:top w:val="single" w:sz="4" w:space="1" w:color="auto"/>
          <w:left w:val="single" w:sz="4" w:space="4" w:color="auto"/>
          <w:bottom w:val="single" w:sz="4" w:space="1" w:color="auto"/>
          <w:right w:val="single" w:sz="4" w:space="4" w:color="auto"/>
        </w:pBdr>
        <w:ind w:left="540" w:hanging="540"/>
        <w:outlineLvl w:val="2"/>
        <w:rPr>
          <w:sz w:val="26"/>
          <w:szCs w:val="26"/>
        </w:rPr>
      </w:pPr>
      <w:r w:rsidRPr="00BC0E7E">
        <w:rPr>
          <w:b/>
          <w:bCs/>
          <w:szCs w:val="26"/>
        </w:rPr>
        <w:t>PEN LABEL</w:t>
      </w:r>
    </w:p>
    <w:p w14:paraId="58821166" w14:textId="77777777" w:rsidR="00BC0E7E" w:rsidRPr="00BC0E7E" w:rsidRDefault="00BC0E7E" w:rsidP="00BC0E7E">
      <w:pPr>
        <w:rPr>
          <w:szCs w:val="20"/>
        </w:rPr>
      </w:pPr>
    </w:p>
    <w:p w14:paraId="10E26002" w14:textId="77777777" w:rsidR="00BC0E7E" w:rsidRPr="00BC0E7E" w:rsidRDefault="00BC0E7E" w:rsidP="00BC0E7E">
      <w:pPr>
        <w:rPr>
          <w:szCs w:val="20"/>
        </w:rPr>
      </w:pPr>
    </w:p>
    <w:p w14:paraId="5789DA0F"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1.</w:t>
      </w:r>
      <w:r w:rsidRPr="00BC0E7E">
        <w:rPr>
          <w:b/>
          <w:caps/>
          <w:szCs w:val="20"/>
        </w:rPr>
        <w:tab/>
        <w:t>NAME OF THE MEDICINAL PRODUCT AND ROUTE OF ADMINISTRATION</w:t>
      </w:r>
    </w:p>
    <w:p w14:paraId="5E7F472A" w14:textId="77777777" w:rsidR="00BC0E7E" w:rsidRPr="00BC0E7E" w:rsidRDefault="00BC0E7E" w:rsidP="00BC0E7E">
      <w:pPr>
        <w:ind w:left="540" w:hanging="540"/>
        <w:rPr>
          <w:szCs w:val="22"/>
        </w:rPr>
      </w:pPr>
    </w:p>
    <w:p w14:paraId="53DA0EAB" w14:textId="77777777" w:rsidR="00BC0E7E" w:rsidRPr="00BC0E7E" w:rsidRDefault="00944B8F" w:rsidP="00BC0E7E">
      <w:pPr>
        <w:ind w:left="540" w:hanging="540"/>
        <w:rPr>
          <w:szCs w:val="22"/>
        </w:rPr>
      </w:pPr>
      <w:r w:rsidRPr="00BC0E7E">
        <w:rPr>
          <w:szCs w:val="22"/>
        </w:rPr>
        <w:t>Humira 40 mg injection</w:t>
      </w:r>
    </w:p>
    <w:p w14:paraId="6F718BFD" w14:textId="77777777" w:rsidR="00BC0E7E" w:rsidRPr="00BC0E7E" w:rsidRDefault="00944B8F" w:rsidP="00BC0E7E">
      <w:pPr>
        <w:ind w:left="540" w:hanging="540"/>
        <w:rPr>
          <w:szCs w:val="22"/>
        </w:rPr>
      </w:pPr>
      <w:r w:rsidRPr="00BC0E7E">
        <w:rPr>
          <w:szCs w:val="22"/>
        </w:rPr>
        <w:t>adalimumab</w:t>
      </w:r>
    </w:p>
    <w:p w14:paraId="721448E4" w14:textId="77777777" w:rsidR="00BC0E7E" w:rsidRPr="00BC0E7E" w:rsidRDefault="00944B8F" w:rsidP="00BC0E7E">
      <w:pPr>
        <w:tabs>
          <w:tab w:val="clear" w:pos="562"/>
        </w:tabs>
        <w:ind w:left="540" w:hanging="540"/>
        <w:rPr>
          <w:szCs w:val="22"/>
        </w:rPr>
      </w:pPr>
      <w:r w:rsidRPr="00BC0E7E">
        <w:rPr>
          <w:szCs w:val="22"/>
        </w:rPr>
        <w:t>SC</w:t>
      </w:r>
    </w:p>
    <w:p w14:paraId="0F3D46E5" w14:textId="77777777" w:rsidR="00BC0E7E" w:rsidRPr="00BC0E7E" w:rsidRDefault="00BC0E7E" w:rsidP="00BC0E7E"/>
    <w:p w14:paraId="3CD5809B" w14:textId="77777777" w:rsidR="00BC0E7E" w:rsidRPr="00BC0E7E" w:rsidRDefault="00BC0E7E" w:rsidP="00BC0E7E"/>
    <w:p w14:paraId="65B383BD"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2.</w:t>
      </w:r>
      <w:r w:rsidRPr="00BC0E7E">
        <w:rPr>
          <w:b/>
          <w:caps/>
          <w:szCs w:val="20"/>
        </w:rPr>
        <w:tab/>
        <w:t>METHOD OF ADMINISTRATION</w:t>
      </w:r>
    </w:p>
    <w:p w14:paraId="32D1C3CD" w14:textId="77777777" w:rsidR="00BC0E7E" w:rsidRPr="00BC0E7E" w:rsidRDefault="00BC0E7E" w:rsidP="00BC0E7E">
      <w:pPr>
        <w:ind w:left="540" w:hanging="540"/>
        <w:rPr>
          <w:b/>
        </w:rPr>
      </w:pPr>
    </w:p>
    <w:p w14:paraId="345156A8" w14:textId="77777777" w:rsidR="00BC0E7E" w:rsidRPr="00BC0E7E" w:rsidRDefault="00BC0E7E" w:rsidP="00BC0E7E">
      <w:pPr>
        <w:ind w:left="540" w:hanging="540"/>
        <w:rPr>
          <w:b/>
        </w:rPr>
      </w:pPr>
    </w:p>
    <w:p w14:paraId="2F7633F0"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3.</w:t>
      </w:r>
      <w:r w:rsidRPr="00BC0E7E">
        <w:rPr>
          <w:b/>
          <w:caps/>
          <w:szCs w:val="20"/>
        </w:rPr>
        <w:tab/>
        <w:t>EXPIRY DATE</w:t>
      </w:r>
    </w:p>
    <w:p w14:paraId="64B34DE9" w14:textId="77777777" w:rsidR="00BC0E7E" w:rsidRPr="00BC0E7E" w:rsidRDefault="00BC0E7E" w:rsidP="00BC0E7E">
      <w:pPr>
        <w:ind w:left="540" w:hanging="540"/>
      </w:pPr>
    </w:p>
    <w:p w14:paraId="4DC0C7AC" w14:textId="77777777" w:rsidR="00BC0E7E" w:rsidRPr="00BC0E7E" w:rsidRDefault="00944B8F" w:rsidP="00BC0E7E">
      <w:pPr>
        <w:ind w:left="540" w:hanging="540"/>
      </w:pPr>
      <w:r w:rsidRPr="00BC0E7E">
        <w:t>EXP</w:t>
      </w:r>
    </w:p>
    <w:p w14:paraId="77B8FE21" w14:textId="77777777" w:rsidR="00BC0E7E" w:rsidRPr="00BC0E7E" w:rsidRDefault="00BC0E7E" w:rsidP="00BC0E7E">
      <w:pPr>
        <w:ind w:left="540" w:hanging="540"/>
      </w:pPr>
    </w:p>
    <w:p w14:paraId="0EFA205E" w14:textId="77777777" w:rsidR="00BC0E7E" w:rsidRPr="00BC0E7E" w:rsidRDefault="00BC0E7E" w:rsidP="00BC0E7E">
      <w:pPr>
        <w:ind w:left="540" w:hanging="540"/>
      </w:pPr>
    </w:p>
    <w:p w14:paraId="2CB86AAD"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4.</w:t>
      </w:r>
      <w:r w:rsidRPr="00BC0E7E">
        <w:rPr>
          <w:b/>
          <w:caps/>
          <w:szCs w:val="20"/>
        </w:rPr>
        <w:tab/>
        <w:t>BATCH NUMBER</w:t>
      </w:r>
    </w:p>
    <w:p w14:paraId="39E12EFD" w14:textId="77777777" w:rsidR="00BC0E7E" w:rsidRPr="00BC0E7E" w:rsidRDefault="00BC0E7E" w:rsidP="00BC0E7E">
      <w:pPr>
        <w:ind w:left="540" w:hanging="540"/>
      </w:pPr>
    </w:p>
    <w:p w14:paraId="0ED465F9" w14:textId="77777777" w:rsidR="00BC0E7E" w:rsidRPr="00BC0E7E" w:rsidRDefault="00944B8F" w:rsidP="00BC0E7E">
      <w:pPr>
        <w:ind w:left="540" w:hanging="540"/>
      </w:pPr>
      <w:r w:rsidRPr="00BC0E7E">
        <w:t xml:space="preserve">Lot </w:t>
      </w:r>
    </w:p>
    <w:p w14:paraId="0558AE91" w14:textId="77777777" w:rsidR="00BC0E7E" w:rsidRPr="00BC0E7E" w:rsidRDefault="00BC0E7E" w:rsidP="00BC0E7E">
      <w:pPr>
        <w:ind w:left="540" w:hanging="540"/>
      </w:pPr>
    </w:p>
    <w:p w14:paraId="362DB17D" w14:textId="77777777" w:rsidR="00BC0E7E" w:rsidRPr="00BC0E7E" w:rsidRDefault="00BC0E7E" w:rsidP="00BC0E7E">
      <w:pPr>
        <w:ind w:left="540" w:hanging="540"/>
      </w:pPr>
    </w:p>
    <w:p w14:paraId="11FEE6D3"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5.</w:t>
      </w:r>
      <w:r w:rsidRPr="00BC0E7E">
        <w:rPr>
          <w:b/>
          <w:caps/>
          <w:szCs w:val="20"/>
        </w:rPr>
        <w:tab/>
        <w:t>CONTENTS BY WEIGHT, BY VOLUME OR BY UNIT</w:t>
      </w:r>
    </w:p>
    <w:p w14:paraId="7AE9DB08" w14:textId="77777777" w:rsidR="00BC0E7E" w:rsidRPr="00BC0E7E" w:rsidRDefault="00BC0E7E" w:rsidP="00BC0E7E">
      <w:pPr>
        <w:ind w:left="540" w:hanging="540"/>
      </w:pPr>
    </w:p>
    <w:p w14:paraId="7884AC73" w14:textId="77777777" w:rsidR="00BC0E7E" w:rsidRPr="00BC0E7E" w:rsidRDefault="00944B8F" w:rsidP="00BC0E7E">
      <w:pPr>
        <w:ind w:left="540" w:hanging="540"/>
      </w:pPr>
      <w:r w:rsidRPr="00BC0E7E">
        <w:t>40 mg/0.4 ml</w:t>
      </w:r>
    </w:p>
    <w:p w14:paraId="14D8C35F" w14:textId="77777777" w:rsidR="00BC0E7E" w:rsidRPr="00BC0E7E" w:rsidRDefault="00BC0E7E" w:rsidP="00BC0E7E">
      <w:pPr>
        <w:ind w:left="540" w:hanging="540"/>
      </w:pPr>
    </w:p>
    <w:p w14:paraId="5ACBD646" w14:textId="77777777" w:rsidR="00BC0E7E" w:rsidRPr="00BC0E7E" w:rsidRDefault="00BC0E7E" w:rsidP="00BC0E7E">
      <w:pPr>
        <w:ind w:left="540" w:hanging="540"/>
      </w:pPr>
    </w:p>
    <w:p w14:paraId="58E80F33" w14:textId="77777777" w:rsidR="00BC0E7E" w:rsidRPr="00BC0E7E" w:rsidRDefault="00944B8F" w:rsidP="00BC0E7E">
      <w:pPr>
        <w:pBdr>
          <w:top w:val="single" w:sz="4" w:space="1" w:color="auto"/>
          <w:left w:val="single" w:sz="4" w:space="4" w:color="auto"/>
          <w:bottom w:val="single" w:sz="4" w:space="1" w:color="auto"/>
          <w:right w:val="single" w:sz="4" w:space="4" w:color="auto"/>
        </w:pBdr>
        <w:rPr>
          <w:b/>
          <w:caps/>
          <w:szCs w:val="20"/>
        </w:rPr>
      </w:pPr>
      <w:r w:rsidRPr="00BC0E7E">
        <w:rPr>
          <w:b/>
          <w:caps/>
          <w:szCs w:val="20"/>
        </w:rPr>
        <w:t>6.</w:t>
      </w:r>
      <w:r w:rsidRPr="00BC0E7E">
        <w:rPr>
          <w:b/>
          <w:caps/>
          <w:szCs w:val="20"/>
        </w:rPr>
        <w:tab/>
        <w:t>OTHER</w:t>
      </w:r>
    </w:p>
    <w:p w14:paraId="599BF436" w14:textId="77777777" w:rsidR="00BC0E7E" w:rsidRPr="00BC0E7E" w:rsidRDefault="00BC0E7E" w:rsidP="00BC0E7E">
      <w:pPr>
        <w:ind w:left="540" w:hanging="540"/>
      </w:pPr>
    </w:p>
    <w:p w14:paraId="4EF4AFE8" w14:textId="77777777" w:rsidR="00BC0E7E" w:rsidRPr="00BC0E7E" w:rsidRDefault="00BC0E7E" w:rsidP="00BC0E7E">
      <w:pPr>
        <w:ind w:left="540" w:hanging="540"/>
      </w:pPr>
    </w:p>
    <w:p w14:paraId="1C0D2D87" w14:textId="77777777" w:rsidR="00BC0E7E" w:rsidRPr="00BC0E7E" w:rsidRDefault="00944B8F" w:rsidP="00BC0E7E">
      <w:pPr>
        <w:pBdr>
          <w:top w:val="single" w:sz="4" w:space="1" w:color="auto"/>
          <w:left w:val="single" w:sz="4" w:space="4" w:color="auto"/>
          <w:bottom w:val="single" w:sz="4" w:space="1" w:color="auto"/>
          <w:right w:val="single" w:sz="4" w:space="4" w:color="auto"/>
        </w:pBdr>
        <w:tabs>
          <w:tab w:val="clear" w:pos="562"/>
        </w:tabs>
        <w:rPr>
          <w:b/>
          <w:bCs/>
          <w:caps/>
          <w:szCs w:val="20"/>
        </w:rPr>
      </w:pPr>
      <w:r w:rsidRPr="00BC0E7E">
        <w:rPr>
          <w:rFonts w:ascii="Times New Roman Bold" w:hAnsi="Times New Roman Bold"/>
          <w:caps/>
          <w:szCs w:val="20"/>
        </w:rPr>
        <w:br w:type="page"/>
      </w:r>
      <w:r w:rsidRPr="00BC0E7E">
        <w:rPr>
          <w:b/>
          <w:bCs/>
          <w:caps/>
          <w:szCs w:val="20"/>
        </w:rPr>
        <w:lastRenderedPageBreak/>
        <w:t xml:space="preserve">PARTICULARS TO APPEAR ON THE OUTER PACKAGING </w:t>
      </w:r>
    </w:p>
    <w:p w14:paraId="40984A24" w14:textId="77777777" w:rsidR="00BC0E7E" w:rsidRPr="00BC0E7E" w:rsidRDefault="00BC0E7E" w:rsidP="00BC0E7E">
      <w:pPr>
        <w:pBdr>
          <w:top w:val="single" w:sz="4" w:space="1" w:color="auto"/>
          <w:left w:val="single" w:sz="4" w:space="4" w:color="auto"/>
          <w:bottom w:val="single" w:sz="4" w:space="1" w:color="auto"/>
          <w:right w:val="single" w:sz="4" w:space="4" w:color="auto"/>
        </w:pBdr>
        <w:tabs>
          <w:tab w:val="clear" w:pos="562"/>
        </w:tabs>
        <w:rPr>
          <w:b/>
          <w:bCs/>
          <w:caps/>
          <w:szCs w:val="20"/>
        </w:rPr>
      </w:pPr>
    </w:p>
    <w:p w14:paraId="2D612677" w14:textId="77777777" w:rsidR="00BC0E7E" w:rsidRPr="00BC0E7E" w:rsidRDefault="00944B8F" w:rsidP="00BC0E7E">
      <w:pPr>
        <w:keepLines/>
        <w:pBdr>
          <w:top w:val="single" w:sz="4" w:space="1" w:color="auto"/>
          <w:left w:val="single" w:sz="4" w:space="4" w:color="auto"/>
          <w:bottom w:val="single" w:sz="4" w:space="1" w:color="auto"/>
          <w:right w:val="single" w:sz="4" w:space="4" w:color="auto"/>
        </w:pBdr>
        <w:ind w:left="540" w:hanging="540"/>
        <w:outlineLvl w:val="2"/>
        <w:rPr>
          <w:b/>
          <w:bCs/>
          <w:szCs w:val="26"/>
        </w:rPr>
      </w:pPr>
      <w:r w:rsidRPr="00BC0E7E">
        <w:rPr>
          <w:b/>
          <w:bCs/>
          <w:szCs w:val="26"/>
        </w:rPr>
        <w:t>OUTER CARTON</w:t>
      </w:r>
      <w:r w:rsidRPr="00BC0E7E">
        <w:rPr>
          <w:sz w:val="26"/>
          <w:szCs w:val="26"/>
        </w:rPr>
        <w:t xml:space="preserve"> </w:t>
      </w:r>
    </w:p>
    <w:p w14:paraId="030D5F7A" w14:textId="77777777" w:rsidR="00BC0E7E" w:rsidRPr="00BC0E7E" w:rsidRDefault="00BC0E7E" w:rsidP="00BC0E7E">
      <w:pPr>
        <w:rPr>
          <w:b/>
          <w:szCs w:val="20"/>
        </w:rPr>
      </w:pPr>
    </w:p>
    <w:p w14:paraId="3314804C" w14:textId="77777777" w:rsidR="00BC0E7E" w:rsidRPr="00BC0E7E" w:rsidRDefault="00BC0E7E" w:rsidP="00BC0E7E">
      <w:pPr>
        <w:rPr>
          <w:b/>
          <w:szCs w:val="20"/>
        </w:rPr>
      </w:pPr>
    </w:p>
    <w:p w14:paraId="348AA733"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1.</w:t>
      </w:r>
      <w:r w:rsidRPr="00BC0E7E">
        <w:rPr>
          <w:b/>
          <w:caps/>
          <w:szCs w:val="20"/>
        </w:rPr>
        <w:tab/>
        <w:t>NAME OF THE MEDICINAL PRODUCT</w:t>
      </w:r>
    </w:p>
    <w:p w14:paraId="463D13DD" w14:textId="77777777" w:rsidR="00BC0E7E" w:rsidRPr="00BC0E7E" w:rsidRDefault="00BC0E7E" w:rsidP="00BC0E7E">
      <w:pPr>
        <w:ind w:left="540" w:hanging="540"/>
        <w:rPr>
          <w:szCs w:val="22"/>
        </w:rPr>
      </w:pPr>
    </w:p>
    <w:p w14:paraId="302FD1F0" w14:textId="77777777" w:rsidR="00BC0E7E" w:rsidRPr="00BC0E7E" w:rsidRDefault="00944B8F" w:rsidP="00BC0E7E">
      <w:pPr>
        <w:ind w:left="540" w:hanging="540"/>
        <w:rPr>
          <w:szCs w:val="22"/>
        </w:rPr>
      </w:pPr>
      <w:r w:rsidRPr="00BC0E7E">
        <w:rPr>
          <w:szCs w:val="22"/>
        </w:rPr>
        <w:t xml:space="preserve">Humira 80 mg solution for injection in pre-filled syringe </w:t>
      </w:r>
    </w:p>
    <w:p w14:paraId="3595B70F" w14:textId="77777777" w:rsidR="00BC0E7E" w:rsidRPr="00BC0E7E" w:rsidRDefault="00944B8F" w:rsidP="00BC0E7E">
      <w:pPr>
        <w:tabs>
          <w:tab w:val="clear" w:pos="562"/>
        </w:tabs>
        <w:ind w:left="540" w:hanging="540"/>
        <w:rPr>
          <w:szCs w:val="22"/>
        </w:rPr>
      </w:pPr>
      <w:r w:rsidRPr="00BC0E7E">
        <w:rPr>
          <w:szCs w:val="22"/>
        </w:rPr>
        <w:t>adalimumab</w:t>
      </w:r>
    </w:p>
    <w:p w14:paraId="4B9C903E" w14:textId="77777777" w:rsidR="00BC0E7E" w:rsidRPr="00BC0E7E" w:rsidRDefault="00BC0E7E" w:rsidP="00BC0E7E"/>
    <w:p w14:paraId="5056738A" w14:textId="77777777" w:rsidR="00BC0E7E" w:rsidRPr="00BC0E7E" w:rsidRDefault="00BC0E7E" w:rsidP="00BC0E7E"/>
    <w:p w14:paraId="1F9B46E2"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2"/>
        </w:rPr>
      </w:pPr>
      <w:r w:rsidRPr="00BC0E7E">
        <w:rPr>
          <w:b/>
          <w:caps/>
          <w:szCs w:val="22"/>
        </w:rPr>
        <w:t>2.</w:t>
      </w:r>
      <w:r w:rsidRPr="00BC0E7E">
        <w:rPr>
          <w:b/>
          <w:caps/>
          <w:szCs w:val="22"/>
        </w:rPr>
        <w:tab/>
        <w:t>STATEMENT OF ACTIVE SUBSTANCE</w:t>
      </w:r>
    </w:p>
    <w:p w14:paraId="22FB0619" w14:textId="77777777" w:rsidR="00BC0E7E" w:rsidRPr="00BC0E7E" w:rsidRDefault="00BC0E7E" w:rsidP="00BC0E7E">
      <w:pPr>
        <w:ind w:left="540" w:hanging="540"/>
        <w:rPr>
          <w:szCs w:val="22"/>
        </w:rPr>
      </w:pPr>
    </w:p>
    <w:p w14:paraId="1325B730" w14:textId="77777777" w:rsidR="00BC0E7E" w:rsidRPr="00BC0E7E" w:rsidRDefault="00944B8F" w:rsidP="00BC0E7E">
      <w:pPr>
        <w:ind w:left="540" w:hanging="540"/>
        <w:rPr>
          <w:szCs w:val="22"/>
        </w:rPr>
      </w:pPr>
      <w:r w:rsidRPr="00BC0E7E">
        <w:rPr>
          <w:szCs w:val="22"/>
        </w:rPr>
        <w:t>One 0.8 ml pre-filled sy</w:t>
      </w:r>
      <w:r w:rsidR="007746CB">
        <w:rPr>
          <w:szCs w:val="22"/>
        </w:rPr>
        <w:t>ringe contains 80 mg adalimumab.</w:t>
      </w:r>
    </w:p>
    <w:p w14:paraId="28F17891" w14:textId="77777777" w:rsidR="00BC0E7E" w:rsidRPr="00BC0E7E" w:rsidRDefault="00BC0E7E" w:rsidP="00BC0E7E">
      <w:pPr>
        <w:ind w:left="540" w:hanging="540"/>
        <w:rPr>
          <w:szCs w:val="22"/>
        </w:rPr>
      </w:pPr>
    </w:p>
    <w:p w14:paraId="52AB1B21" w14:textId="77777777" w:rsidR="00BC0E7E" w:rsidRPr="00BC0E7E" w:rsidRDefault="00BC0E7E" w:rsidP="00BC0E7E">
      <w:pPr>
        <w:ind w:left="540" w:hanging="540"/>
        <w:rPr>
          <w:szCs w:val="22"/>
        </w:rPr>
      </w:pPr>
    </w:p>
    <w:p w14:paraId="093CB3A2"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2"/>
        </w:rPr>
        <w:t>3.</w:t>
      </w:r>
      <w:r w:rsidRPr="00BC0E7E">
        <w:rPr>
          <w:b/>
          <w:caps/>
          <w:szCs w:val="22"/>
        </w:rPr>
        <w:tab/>
        <w:t>LIST OF</w:t>
      </w:r>
      <w:r w:rsidRPr="00BC0E7E">
        <w:rPr>
          <w:b/>
          <w:caps/>
          <w:szCs w:val="20"/>
        </w:rPr>
        <w:t xml:space="preserve"> EXCIPIENTS</w:t>
      </w:r>
    </w:p>
    <w:p w14:paraId="78C3FDE1" w14:textId="77777777" w:rsidR="00BC0E7E" w:rsidRPr="00BC0E7E" w:rsidRDefault="00BC0E7E" w:rsidP="00BC0E7E"/>
    <w:p w14:paraId="11EF8B24" w14:textId="77777777" w:rsidR="00BC0E7E" w:rsidRPr="00BC0E7E" w:rsidRDefault="00944B8F" w:rsidP="00BC0E7E">
      <w:r w:rsidRPr="00BC0E7E">
        <w:t>Excipients: mannitol, polysorbate 80, and water for injections. See leaflet for further information.</w:t>
      </w:r>
    </w:p>
    <w:p w14:paraId="2DB994DC" w14:textId="77777777" w:rsidR="00BC0E7E" w:rsidRPr="00BC0E7E" w:rsidRDefault="00BC0E7E" w:rsidP="00BC0E7E"/>
    <w:p w14:paraId="439078EA" w14:textId="77777777" w:rsidR="00BC0E7E" w:rsidRPr="00BC0E7E" w:rsidRDefault="00BC0E7E" w:rsidP="00BC0E7E"/>
    <w:p w14:paraId="187B7D4E"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4.</w:t>
      </w:r>
      <w:r w:rsidRPr="00BC0E7E">
        <w:rPr>
          <w:b/>
          <w:caps/>
          <w:szCs w:val="20"/>
        </w:rPr>
        <w:tab/>
        <w:t>PHARMACEUTICAL FORM AND CONTENTS</w:t>
      </w:r>
    </w:p>
    <w:p w14:paraId="5482DA13" w14:textId="77777777" w:rsidR="00BC0E7E" w:rsidRPr="00BC0E7E" w:rsidRDefault="00BC0E7E" w:rsidP="00BC0E7E">
      <w:pPr>
        <w:ind w:left="540" w:hanging="540"/>
      </w:pPr>
    </w:p>
    <w:p w14:paraId="3AF4E258" w14:textId="77777777" w:rsidR="00590224" w:rsidRDefault="00944B8F" w:rsidP="00590224">
      <w:pPr>
        <w:autoSpaceDE w:val="0"/>
        <w:autoSpaceDN w:val="0"/>
        <w:adjustRightInd w:val="0"/>
      </w:pPr>
      <w:r w:rsidRPr="00925C36">
        <w:rPr>
          <w:highlight w:val="lightGray"/>
        </w:rPr>
        <w:t>Solution for injection</w:t>
      </w:r>
    </w:p>
    <w:p w14:paraId="5F9C22D5" w14:textId="77777777" w:rsidR="00BC0E7E" w:rsidRPr="00BC0E7E" w:rsidRDefault="00944B8F" w:rsidP="00BC0E7E">
      <w:pPr>
        <w:ind w:left="540" w:hanging="540"/>
      </w:pPr>
      <w:r w:rsidRPr="00BC0E7E">
        <w:t>1 pre-filled syringe</w:t>
      </w:r>
    </w:p>
    <w:p w14:paraId="03F12F8E" w14:textId="77777777" w:rsidR="00BC0E7E" w:rsidRPr="00BC0E7E" w:rsidRDefault="00944B8F" w:rsidP="00BC0E7E">
      <w:pPr>
        <w:ind w:left="540" w:hanging="540"/>
      </w:pPr>
      <w:r w:rsidRPr="00BC0E7E">
        <w:t>1 alcohol pad</w:t>
      </w:r>
    </w:p>
    <w:p w14:paraId="56BA1CD2" w14:textId="77777777" w:rsidR="00BC0E7E" w:rsidRPr="00BC0E7E" w:rsidRDefault="00BC0E7E" w:rsidP="00BC0E7E">
      <w:pPr>
        <w:ind w:left="540" w:hanging="540"/>
      </w:pPr>
    </w:p>
    <w:p w14:paraId="3CF09402" w14:textId="77777777" w:rsidR="00BC0E7E" w:rsidRPr="00BC0E7E" w:rsidRDefault="00BC0E7E" w:rsidP="00BC0E7E">
      <w:pPr>
        <w:ind w:left="540" w:hanging="540"/>
        <w:rPr>
          <w:i/>
        </w:rPr>
      </w:pPr>
    </w:p>
    <w:p w14:paraId="746AE3E5"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5.</w:t>
      </w:r>
      <w:r w:rsidRPr="00BC0E7E">
        <w:rPr>
          <w:b/>
          <w:caps/>
          <w:szCs w:val="20"/>
        </w:rPr>
        <w:tab/>
        <w:t>METHOD AND ROUTE OF ADMINISTRATION</w:t>
      </w:r>
    </w:p>
    <w:p w14:paraId="43B5B9DC" w14:textId="77777777" w:rsidR="00BC0E7E" w:rsidRPr="00BC0E7E" w:rsidRDefault="00BC0E7E" w:rsidP="00BC0E7E">
      <w:pPr>
        <w:ind w:left="540" w:hanging="540"/>
      </w:pPr>
    </w:p>
    <w:p w14:paraId="2DA7F587" w14:textId="77777777" w:rsidR="00BC0E7E" w:rsidRPr="00BC0E7E" w:rsidRDefault="00944B8F" w:rsidP="00BC0E7E">
      <w:pPr>
        <w:ind w:left="540" w:hanging="540"/>
      </w:pPr>
      <w:r w:rsidRPr="00BC0E7E">
        <w:t>Subcutaneous use</w:t>
      </w:r>
    </w:p>
    <w:p w14:paraId="1F831642" w14:textId="77777777" w:rsidR="00BC0E7E" w:rsidRPr="00BC0E7E" w:rsidRDefault="00BC0E7E" w:rsidP="00BC0E7E">
      <w:pPr>
        <w:ind w:left="540" w:hanging="540"/>
      </w:pPr>
    </w:p>
    <w:p w14:paraId="02F9B021" w14:textId="77777777" w:rsidR="00BC0E7E" w:rsidRPr="00BC0E7E" w:rsidRDefault="00944B8F" w:rsidP="00BC0E7E">
      <w:pPr>
        <w:ind w:left="540" w:hanging="540"/>
      </w:pPr>
      <w:r w:rsidRPr="00BC0E7E">
        <w:t>Read the package leaflet before use.</w:t>
      </w:r>
    </w:p>
    <w:p w14:paraId="3FE6A6C6" w14:textId="77777777" w:rsidR="00774177" w:rsidRDefault="00774177" w:rsidP="00774177">
      <w:pPr>
        <w:ind w:left="540" w:hanging="540"/>
      </w:pPr>
    </w:p>
    <w:p w14:paraId="0E98CA09" w14:textId="77777777" w:rsidR="00774177" w:rsidRDefault="00944B8F" w:rsidP="00774177">
      <w:pPr>
        <w:ind w:left="540" w:hanging="540"/>
      </w:pPr>
      <w:r w:rsidRPr="002A3533">
        <w:t>For single use only</w:t>
      </w:r>
      <w:r w:rsidR="006E5817">
        <w:t>.</w:t>
      </w:r>
    </w:p>
    <w:p w14:paraId="168B660E" w14:textId="77777777" w:rsidR="00BC0E7E" w:rsidRPr="00BC0E7E" w:rsidRDefault="00BC0E7E" w:rsidP="00BC0E7E">
      <w:pPr>
        <w:ind w:left="540" w:hanging="540"/>
      </w:pPr>
    </w:p>
    <w:p w14:paraId="7CD6F60F" w14:textId="77777777" w:rsidR="00BC0E7E" w:rsidRPr="00BC0E7E" w:rsidRDefault="00BC0E7E" w:rsidP="00BC0E7E">
      <w:pPr>
        <w:ind w:left="540" w:hanging="540"/>
      </w:pPr>
    </w:p>
    <w:p w14:paraId="5DAA8885"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50" w:hanging="550"/>
        <w:rPr>
          <w:b/>
          <w:caps/>
          <w:szCs w:val="20"/>
        </w:rPr>
      </w:pPr>
      <w:r w:rsidRPr="00BC0E7E">
        <w:rPr>
          <w:b/>
          <w:caps/>
          <w:szCs w:val="20"/>
        </w:rPr>
        <w:t>6.</w:t>
      </w:r>
      <w:r w:rsidRPr="00BC0E7E">
        <w:rPr>
          <w:b/>
          <w:caps/>
          <w:szCs w:val="20"/>
        </w:rPr>
        <w:tab/>
        <w:t>SPECIAL WARNING THAT THE MEDICINAL PRODUCT MUST BE STORED OUT OF THE SIGHT AND REACH OF CHILDREN</w:t>
      </w:r>
    </w:p>
    <w:p w14:paraId="724445E2" w14:textId="77777777" w:rsidR="00BC0E7E" w:rsidRPr="00BC0E7E" w:rsidRDefault="00BC0E7E" w:rsidP="00BC0E7E">
      <w:pPr>
        <w:ind w:left="540" w:hanging="540"/>
      </w:pPr>
    </w:p>
    <w:p w14:paraId="4039DAB3" w14:textId="77777777" w:rsidR="00BC0E7E" w:rsidRPr="00BC0E7E" w:rsidRDefault="00944B8F" w:rsidP="00BC0E7E">
      <w:pPr>
        <w:ind w:left="540" w:hanging="540"/>
      </w:pPr>
      <w:r w:rsidRPr="00BC0E7E">
        <w:t>Keep out of the sight and reach of children.</w:t>
      </w:r>
    </w:p>
    <w:p w14:paraId="0687D894" w14:textId="77777777" w:rsidR="00BC0E7E" w:rsidRPr="00BC0E7E" w:rsidRDefault="00BC0E7E" w:rsidP="00BC0E7E">
      <w:pPr>
        <w:ind w:left="540" w:hanging="540"/>
      </w:pPr>
    </w:p>
    <w:p w14:paraId="248C4730" w14:textId="77777777" w:rsidR="00BC0E7E" w:rsidRPr="00BC0E7E" w:rsidRDefault="00BC0E7E" w:rsidP="00BC0E7E">
      <w:pPr>
        <w:ind w:left="540" w:hanging="540"/>
      </w:pPr>
    </w:p>
    <w:p w14:paraId="3493B05D"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7.</w:t>
      </w:r>
      <w:r w:rsidRPr="00BC0E7E">
        <w:rPr>
          <w:b/>
          <w:caps/>
          <w:szCs w:val="20"/>
        </w:rPr>
        <w:tab/>
        <w:t>OTHER SPECIAL WARNING, IF NECESSARY</w:t>
      </w:r>
    </w:p>
    <w:p w14:paraId="20E1B4E8" w14:textId="77777777" w:rsidR="00BC0E7E" w:rsidRPr="00BC0E7E" w:rsidRDefault="00BC0E7E" w:rsidP="00BC0E7E">
      <w:pPr>
        <w:ind w:left="540" w:hanging="540"/>
      </w:pPr>
    </w:p>
    <w:p w14:paraId="0DE5E8F3" w14:textId="77777777" w:rsidR="00BC0E7E" w:rsidRPr="00BC0E7E" w:rsidRDefault="00BC0E7E" w:rsidP="00BC0E7E">
      <w:pPr>
        <w:ind w:left="540" w:hanging="540"/>
      </w:pPr>
    </w:p>
    <w:p w14:paraId="48265C63"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8.</w:t>
      </w:r>
      <w:r w:rsidRPr="00BC0E7E">
        <w:rPr>
          <w:b/>
          <w:caps/>
          <w:szCs w:val="20"/>
        </w:rPr>
        <w:tab/>
        <w:t>EXPIRY DATE</w:t>
      </w:r>
    </w:p>
    <w:p w14:paraId="02B31EF4" w14:textId="77777777" w:rsidR="00BC0E7E" w:rsidRPr="00BC0E7E" w:rsidRDefault="00BC0E7E" w:rsidP="00BC0E7E">
      <w:pPr>
        <w:ind w:left="540" w:hanging="540"/>
      </w:pPr>
    </w:p>
    <w:p w14:paraId="2CB73A14" w14:textId="77777777" w:rsidR="00BC0E7E" w:rsidRPr="00BC0E7E" w:rsidRDefault="00944B8F" w:rsidP="00BC0E7E">
      <w:pPr>
        <w:ind w:left="540" w:hanging="540"/>
      </w:pPr>
      <w:r w:rsidRPr="00BC0E7E">
        <w:t>EXP</w:t>
      </w:r>
    </w:p>
    <w:p w14:paraId="0C3BD708" w14:textId="77777777" w:rsidR="00BC0E7E" w:rsidRPr="00BC0E7E" w:rsidRDefault="00BC0E7E" w:rsidP="00BC0E7E">
      <w:pPr>
        <w:ind w:left="540" w:hanging="540"/>
      </w:pPr>
    </w:p>
    <w:p w14:paraId="6EB4F624" w14:textId="77777777" w:rsidR="00BC0E7E" w:rsidRPr="00BC0E7E" w:rsidRDefault="00BC0E7E" w:rsidP="00BC0E7E">
      <w:pPr>
        <w:ind w:left="540" w:hanging="540"/>
      </w:pPr>
    </w:p>
    <w:p w14:paraId="2F53B1AC" w14:textId="77777777" w:rsidR="00BC0E7E" w:rsidRPr="00BC0E7E" w:rsidRDefault="00944B8F" w:rsidP="00BC0E7E">
      <w:pPr>
        <w:keepNext/>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lastRenderedPageBreak/>
        <w:t>9.</w:t>
      </w:r>
      <w:r w:rsidRPr="00BC0E7E">
        <w:rPr>
          <w:b/>
          <w:caps/>
          <w:szCs w:val="20"/>
        </w:rPr>
        <w:tab/>
        <w:t>SPECIAL STORAGE CONDITIONS</w:t>
      </w:r>
    </w:p>
    <w:p w14:paraId="38D3F138" w14:textId="77777777" w:rsidR="00BC0E7E" w:rsidRPr="00BC0E7E" w:rsidRDefault="00BC0E7E" w:rsidP="00BC0E7E">
      <w:pPr>
        <w:keepNext/>
        <w:ind w:left="540" w:hanging="540"/>
      </w:pPr>
    </w:p>
    <w:p w14:paraId="35D9D41A" w14:textId="77777777" w:rsidR="00BC0E7E" w:rsidRPr="00BC0E7E" w:rsidRDefault="00944B8F" w:rsidP="00BC0E7E">
      <w:pPr>
        <w:keepNext/>
        <w:ind w:left="540" w:hanging="540"/>
      </w:pPr>
      <w:r w:rsidRPr="00BC0E7E">
        <w:t>Store in a refrigerator. Do not freeze.</w:t>
      </w:r>
    </w:p>
    <w:p w14:paraId="00AAAC5C" w14:textId="77777777" w:rsidR="00BC0E7E" w:rsidRPr="00BC0E7E" w:rsidRDefault="00944B8F" w:rsidP="00BC0E7E">
      <w:pPr>
        <w:keepNext/>
      </w:pPr>
      <w:r w:rsidRPr="00BC0E7E">
        <w:rPr>
          <w:rFonts w:eastAsia="MS Mincho"/>
        </w:rPr>
        <w:t>Refer to package leaflet for alternative storage details.</w:t>
      </w:r>
    </w:p>
    <w:p w14:paraId="2EA300C4" w14:textId="77777777" w:rsidR="00BC0E7E" w:rsidRPr="00BC0E7E" w:rsidRDefault="00BC0E7E" w:rsidP="00BC0E7E">
      <w:pPr>
        <w:keepNext/>
        <w:ind w:left="540" w:hanging="540"/>
      </w:pPr>
    </w:p>
    <w:p w14:paraId="3E6133A6" w14:textId="77777777" w:rsidR="00BC0E7E" w:rsidRPr="00BC0E7E" w:rsidRDefault="00944B8F" w:rsidP="00BC0E7E">
      <w:pPr>
        <w:keepNext/>
        <w:ind w:left="540" w:hanging="540"/>
      </w:pPr>
      <w:r w:rsidRPr="00BC0E7E">
        <w:t>Keep the syringe in the outer carton in order to protect from light.</w:t>
      </w:r>
    </w:p>
    <w:p w14:paraId="3207417B" w14:textId="77777777" w:rsidR="00BC0E7E" w:rsidRPr="00BC0E7E" w:rsidRDefault="00BC0E7E" w:rsidP="00BC0E7E">
      <w:pPr>
        <w:ind w:left="540" w:hanging="540"/>
      </w:pPr>
    </w:p>
    <w:p w14:paraId="5B67E97E" w14:textId="77777777" w:rsidR="00BC0E7E" w:rsidRPr="00BC0E7E" w:rsidRDefault="00BC0E7E" w:rsidP="00BC0E7E">
      <w:pPr>
        <w:ind w:left="540" w:hanging="540"/>
      </w:pPr>
    </w:p>
    <w:p w14:paraId="3C75707F"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10.</w:t>
      </w:r>
      <w:r w:rsidRPr="00BC0E7E">
        <w:rPr>
          <w:b/>
          <w:caps/>
          <w:szCs w:val="20"/>
        </w:rPr>
        <w:tab/>
        <w:t>SPECIAL PRECAUTIONS FOR DISPOSAL OF UNUSED MEDICINAL PRODUCTS OR WASTE MATERIALS DERIVED FROM SUCH MEDICINAL PRODUCTS, IF APPROPRIATE</w:t>
      </w:r>
    </w:p>
    <w:p w14:paraId="00699D4B" w14:textId="77777777" w:rsidR="00BC0E7E" w:rsidRPr="00BC0E7E" w:rsidRDefault="00BC0E7E" w:rsidP="00BC0E7E">
      <w:pPr>
        <w:ind w:left="540" w:hanging="540"/>
      </w:pPr>
    </w:p>
    <w:p w14:paraId="6EC401F6" w14:textId="77777777" w:rsidR="00BC0E7E" w:rsidRPr="00BC0E7E" w:rsidRDefault="00BC0E7E" w:rsidP="00BC0E7E">
      <w:pPr>
        <w:ind w:left="540" w:hanging="540"/>
      </w:pPr>
    </w:p>
    <w:p w14:paraId="708C31A7"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11.</w:t>
      </w:r>
      <w:r w:rsidRPr="00BC0E7E">
        <w:rPr>
          <w:b/>
          <w:caps/>
          <w:szCs w:val="20"/>
        </w:rPr>
        <w:tab/>
        <w:t>NAME AND ADDRESS OF THE MARKETING AUTHORISATION HOLDER</w:t>
      </w:r>
    </w:p>
    <w:p w14:paraId="4D59C27D" w14:textId="77777777" w:rsidR="00BC0E7E" w:rsidRPr="00BC0E7E" w:rsidRDefault="00BC0E7E" w:rsidP="00BC0E7E">
      <w:pPr>
        <w:keepNext/>
        <w:tabs>
          <w:tab w:val="clear" w:pos="562"/>
        </w:tabs>
        <w:suppressAutoHyphens w:val="0"/>
        <w:autoSpaceDE w:val="0"/>
        <w:autoSpaceDN w:val="0"/>
        <w:adjustRightInd w:val="0"/>
        <w:spacing w:line="240" w:lineRule="atLeast"/>
        <w:rPr>
          <w:szCs w:val="22"/>
          <w:lang w:eastAsia="en-GB"/>
        </w:rPr>
      </w:pPr>
    </w:p>
    <w:p w14:paraId="078701C4"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AbbVie Deutschland GmbH &amp; Co. KG</w:t>
      </w:r>
    </w:p>
    <w:p w14:paraId="615B7333"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Knollstrasse</w:t>
      </w:r>
    </w:p>
    <w:p w14:paraId="0C5F51CF"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67061 Ludwigshafen</w:t>
      </w:r>
    </w:p>
    <w:p w14:paraId="3FD2235A" w14:textId="77777777" w:rsidR="006A01D2" w:rsidRDefault="00944B8F" w:rsidP="006A01D2">
      <w:pPr>
        <w:keepNext/>
        <w:tabs>
          <w:tab w:val="clear" w:pos="562"/>
          <w:tab w:val="left" w:pos="720"/>
        </w:tabs>
        <w:suppressAutoHyphens w:val="0"/>
        <w:autoSpaceDE w:val="0"/>
        <w:autoSpaceDN w:val="0"/>
        <w:adjustRightInd w:val="0"/>
        <w:spacing w:line="240" w:lineRule="atLeast"/>
        <w:rPr>
          <w:szCs w:val="22"/>
          <w:lang w:eastAsia="en-GB"/>
        </w:rPr>
      </w:pPr>
      <w:r w:rsidRPr="00EB4204">
        <w:rPr>
          <w:szCs w:val="22"/>
          <w:lang w:eastAsia="en-GB"/>
        </w:rPr>
        <w:t>Germany</w:t>
      </w:r>
      <w:r>
        <w:rPr>
          <w:szCs w:val="22"/>
          <w:lang w:eastAsia="en-GB"/>
        </w:rPr>
        <w:t xml:space="preserve"> </w:t>
      </w:r>
    </w:p>
    <w:p w14:paraId="7BA31386" w14:textId="77777777" w:rsidR="00BC0E7E" w:rsidRPr="00BC0E7E" w:rsidRDefault="00BC0E7E" w:rsidP="00BC0E7E">
      <w:pPr>
        <w:keepNext/>
        <w:tabs>
          <w:tab w:val="clear" w:pos="562"/>
        </w:tabs>
        <w:suppressAutoHyphens w:val="0"/>
        <w:autoSpaceDE w:val="0"/>
        <w:autoSpaceDN w:val="0"/>
        <w:adjustRightInd w:val="0"/>
        <w:spacing w:line="240" w:lineRule="atLeast"/>
        <w:rPr>
          <w:szCs w:val="22"/>
          <w:lang w:eastAsia="en-GB"/>
        </w:rPr>
      </w:pPr>
    </w:p>
    <w:p w14:paraId="3A310819" w14:textId="77777777" w:rsidR="00BC0E7E" w:rsidRPr="00BC0E7E" w:rsidRDefault="00BC0E7E" w:rsidP="00BC0E7E">
      <w:pPr>
        <w:keepNext/>
        <w:tabs>
          <w:tab w:val="clear" w:pos="562"/>
        </w:tabs>
        <w:suppressAutoHyphens w:val="0"/>
        <w:autoSpaceDE w:val="0"/>
        <w:autoSpaceDN w:val="0"/>
        <w:adjustRightInd w:val="0"/>
        <w:spacing w:line="240" w:lineRule="atLeast"/>
        <w:rPr>
          <w:szCs w:val="22"/>
          <w:lang w:eastAsia="en-GB"/>
        </w:rPr>
      </w:pPr>
    </w:p>
    <w:p w14:paraId="061069D9"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12.</w:t>
      </w:r>
      <w:r w:rsidRPr="00BC0E7E">
        <w:rPr>
          <w:b/>
          <w:caps/>
          <w:szCs w:val="20"/>
        </w:rPr>
        <w:tab/>
        <w:t>MARKETING AUTHORISATION NUMBER</w:t>
      </w:r>
    </w:p>
    <w:p w14:paraId="3EB9573D" w14:textId="77777777" w:rsidR="00BC0E7E" w:rsidRPr="00BC0E7E" w:rsidRDefault="00BC0E7E" w:rsidP="00BC0E7E">
      <w:pPr>
        <w:ind w:left="540" w:hanging="540"/>
      </w:pPr>
    </w:p>
    <w:p w14:paraId="67549BD8" w14:textId="77777777" w:rsidR="00BC0E7E" w:rsidRPr="00BC0E7E" w:rsidRDefault="00944B8F" w:rsidP="00BC0E7E">
      <w:pPr>
        <w:ind w:left="540" w:hanging="540"/>
      </w:pPr>
      <w:r w:rsidRPr="00BC0E7E">
        <w:t>EU/1/03/256/020</w:t>
      </w:r>
    </w:p>
    <w:p w14:paraId="33EBA1C2" w14:textId="77777777" w:rsidR="00BC0E7E" w:rsidRPr="00BC0E7E" w:rsidRDefault="00BC0E7E" w:rsidP="00BC0E7E">
      <w:pPr>
        <w:ind w:left="540" w:hanging="540"/>
      </w:pPr>
    </w:p>
    <w:p w14:paraId="71A965B7" w14:textId="77777777" w:rsidR="00BC0E7E" w:rsidRPr="00BC0E7E" w:rsidRDefault="00BC0E7E" w:rsidP="00BC0E7E">
      <w:pPr>
        <w:ind w:left="540" w:hanging="540"/>
      </w:pPr>
    </w:p>
    <w:p w14:paraId="0AB0204F"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13.</w:t>
      </w:r>
      <w:r w:rsidRPr="00BC0E7E">
        <w:rPr>
          <w:b/>
          <w:caps/>
          <w:szCs w:val="20"/>
        </w:rPr>
        <w:tab/>
        <w:t>BATCH NUMBER</w:t>
      </w:r>
    </w:p>
    <w:p w14:paraId="21D42FDF" w14:textId="77777777" w:rsidR="00BC0E7E" w:rsidRPr="00BC0E7E" w:rsidRDefault="00BC0E7E" w:rsidP="00BC0E7E">
      <w:pPr>
        <w:ind w:left="540" w:hanging="540"/>
      </w:pPr>
    </w:p>
    <w:p w14:paraId="643D4830" w14:textId="77777777" w:rsidR="00BC0E7E" w:rsidRPr="00BC0E7E" w:rsidRDefault="00944B8F" w:rsidP="00BC0E7E">
      <w:pPr>
        <w:ind w:left="540" w:hanging="540"/>
      </w:pPr>
      <w:r w:rsidRPr="00BC0E7E">
        <w:t>Lot</w:t>
      </w:r>
    </w:p>
    <w:p w14:paraId="1E0752E6" w14:textId="77777777" w:rsidR="00BC0E7E" w:rsidRPr="00BC0E7E" w:rsidRDefault="00BC0E7E" w:rsidP="00BC0E7E">
      <w:pPr>
        <w:ind w:left="540" w:hanging="540"/>
      </w:pPr>
    </w:p>
    <w:p w14:paraId="1A0405E4" w14:textId="77777777" w:rsidR="00BC0E7E" w:rsidRPr="00BC0E7E" w:rsidRDefault="00BC0E7E" w:rsidP="00BC0E7E">
      <w:pPr>
        <w:ind w:left="540" w:hanging="540"/>
      </w:pPr>
    </w:p>
    <w:p w14:paraId="2762C87B"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14.</w:t>
      </w:r>
      <w:r w:rsidRPr="00BC0E7E">
        <w:rPr>
          <w:b/>
          <w:caps/>
          <w:szCs w:val="20"/>
        </w:rPr>
        <w:tab/>
        <w:t>GENERAL CLASSIFICATION FOR SUPPLY</w:t>
      </w:r>
    </w:p>
    <w:p w14:paraId="13B1E98F" w14:textId="77777777" w:rsidR="00BC0E7E" w:rsidRPr="00BC0E7E" w:rsidRDefault="00BC0E7E" w:rsidP="00BC0E7E">
      <w:pPr>
        <w:ind w:left="540" w:hanging="540"/>
      </w:pPr>
    </w:p>
    <w:p w14:paraId="2B59C261" w14:textId="77777777" w:rsidR="00BC0E7E" w:rsidRPr="00BC0E7E" w:rsidRDefault="00BC0E7E" w:rsidP="00BC0E7E">
      <w:pPr>
        <w:ind w:left="540" w:hanging="540"/>
      </w:pPr>
    </w:p>
    <w:p w14:paraId="2D82DC41"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15.</w:t>
      </w:r>
      <w:r w:rsidRPr="00BC0E7E">
        <w:rPr>
          <w:b/>
          <w:caps/>
          <w:szCs w:val="20"/>
        </w:rPr>
        <w:tab/>
        <w:t>INSTRUCTIONS ON USE</w:t>
      </w:r>
    </w:p>
    <w:p w14:paraId="10487B5D" w14:textId="77777777" w:rsidR="00BC0E7E" w:rsidRPr="00BC0E7E" w:rsidRDefault="00BC0E7E" w:rsidP="00BC0E7E">
      <w:pPr>
        <w:rPr>
          <w:szCs w:val="20"/>
        </w:rPr>
      </w:pPr>
    </w:p>
    <w:p w14:paraId="47B158C8" w14:textId="77777777" w:rsidR="00BC0E7E" w:rsidRPr="00BC0E7E" w:rsidRDefault="00BC0E7E" w:rsidP="00BC0E7E">
      <w:pPr>
        <w:rPr>
          <w:szCs w:val="20"/>
        </w:rPr>
      </w:pPr>
    </w:p>
    <w:p w14:paraId="79A7BAC2" w14:textId="77777777" w:rsidR="00BC0E7E" w:rsidRPr="002F270B" w:rsidRDefault="00944B8F" w:rsidP="00BC0E7E">
      <w:pPr>
        <w:pBdr>
          <w:top w:val="single" w:sz="4" w:space="1" w:color="auto"/>
          <w:left w:val="single" w:sz="4" w:space="4" w:color="auto"/>
          <w:bottom w:val="single" w:sz="4" w:space="1" w:color="auto"/>
          <w:right w:val="single" w:sz="4" w:space="4" w:color="auto"/>
        </w:pBdr>
        <w:rPr>
          <w:b/>
          <w:bCs/>
          <w:caps/>
          <w:szCs w:val="20"/>
        </w:rPr>
      </w:pPr>
      <w:r w:rsidRPr="002F270B">
        <w:rPr>
          <w:b/>
          <w:bCs/>
          <w:caps/>
          <w:szCs w:val="20"/>
        </w:rPr>
        <w:t>16.</w:t>
      </w:r>
      <w:r w:rsidRPr="002F270B">
        <w:rPr>
          <w:b/>
          <w:bCs/>
          <w:caps/>
          <w:szCs w:val="20"/>
        </w:rPr>
        <w:tab/>
        <w:t>Information in braille</w:t>
      </w:r>
    </w:p>
    <w:p w14:paraId="32B496F8" w14:textId="77777777" w:rsidR="00BC0E7E" w:rsidRPr="002F270B" w:rsidRDefault="00BC0E7E" w:rsidP="00BC0E7E">
      <w:pPr>
        <w:ind w:left="540" w:hanging="540"/>
      </w:pPr>
    </w:p>
    <w:p w14:paraId="5510708C" w14:textId="77777777" w:rsidR="00BC0E7E" w:rsidRPr="00491143" w:rsidRDefault="00944B8F" w:rsidP="00BC0E7E">
      <w:pPr>
        <w:ind w:left="540" w:hanging="540"/>
        <w:rPr>
          <w:lang w:val="es-ES"/>
        </w:rPr>
      </w:pPr>
      <w:r w:rsidRPr="00491143">
        <w:rPr>
          <w:lang w:val="es-ES"/>
        </w:rPr>
        <w:t>Humira 80 mg</w:t>
      </w:r>
    </w:p>
    <w:p w14:paraId="72BA9D7F" w14:textId="77777777" w:rsidR="00BC0E7E" w:rsidRPr="00491143" w:rsidRDefault="00BC0E7E" w:rsidP="00BC0E7E">
      <w:pPr>
        <w:ind w:left="540" w:hanging="540"/>
        <w:rPr>
          <w:lang w:val="es-ES"/>
        </w:rPr>
      </w:pPr>
    </w:p>
    <w:p w14:paraId="7C390DE4" w14:textId="77777777" w:rsidR="00BC0E7E" w:rsidRPr="00491143" w:rsidRDefault="00BC0E7E" w:rsidP="00BC0E7E">
      <w:pPr>
        <w:ind w:left="540" w:hanging="540"/>
        <w:rPr>
          <w:lang w:val="es-ES"/>
        </w:rPr>
      </w:pPr>
    </w:p>
    <w:p w14:paraId="33D6CE4D" w14:textId="77777777" w:rsidR="00BC0E7E" w:rsidRPr="00433FAD" w:rsidRDefault="00944B8F" w:rsidP="00BC0E7E">
      <w:pPr>
        <w:pBdr>
          <w:top w:val="single" w:sz="4" w:space="1" w:color="auto"/>
          <w:left w:val="single" w:sz="4" w:space="4" w:color="auto"/>
          <w:bottom w:val="single" w:sz="4" w:space="1" w:color="auto"/>
          <w:right w:val="single" w:sz="4" w:space="4" w:color="auto"/>
        </w:pBdr>
        <w:rPr>
          <w:b/>
          <w:bCs/>
          <w:caps/>
          <w:szCs w:val="20"/>
          <w:lang w:val="es-MX"/>
        </w:rPr>
      </w:pPr>
      <w:r w:rsidRPr="00491143">
        <w:rPr>
          <w:b/>
          <w:bCs/>
          <w:caps/>
          <w:szCs w:val="20"/>
          <w:lang w:val="es-ES"/>
        </w:rPr>
        <w:t xml:space="preserve">17. </w:t>
      </w:r>
      <w:r w:rsidRPr="00491143">
        <w:rPr>
          <w:b/>
          <w:bCs/>
          <w:caps/>
          <w:szCs w:val="20"/>
          <w:lang w:val="es-ES"/>
        </w:rPr>
        <w:tab/>
      </w:r>
      <w:r w:rsidRPr="00433FAD">
        <w:rPr>
          <w:b/>
          <w:bCs/>
          <w:caps/>
          <w:szCs w:val="20"/>
          <w:lang w:val="es-MX"/>
        </w:rPr>
        <w:t>UNIQUE INDENTIFIER – 2D BARCODE</w:t>
      </w:r>
    </w:p>
    <w:p w14:paraId="52B53E28" w14:textId="77777777" w:rsidR="00BC0E7E" w:rsidRPr="00433FAD" w:rsidRDefault="00BC0E7E" w:rsidP="00BC0E7E">
      <w:pPr>
        <w:rPr>
          <w:lang w:val="es-MX"/>
        </w:rPr>
      </w:pPr>
    </w:p>
    <w:p w14:paraId="0E1E6ABD" w14:textId="77777777" w:rsidR="00BC0E7E" w:rsidRPr="00BC0E7E" w:rsidRDefault="00944B8F" w:rsidP="00BC0E7E">
      <w:pPr>
        <w:rPr>
          <w:shd w:val="clear" w:color="auto" w:fill="BFBFBF"/>
        </w:rPr>
      </w:pPr>
      <w:r w:rsidRPr="00BC0E7E">
        <w:rPr>
          <w:highlight w:val="lightGray"/>
          <w:shd w:val="clear" w:color="auto" w:fill="BFBFBF"/>
        </w:rPr>
        <w:t>2D barcode carrying the unique identifier included.</w:t>
      </w:r>
    </w:p>
    <w:p w14:paraId="3FF17ED8" w14:textId="77777777" w:rsidR="00BC0E7E" w:rsidRPr="00BC0E7E" w:rsidRDefault="00BC0E7E" w:rsidP="00BC0E7E">
      <w:pPr>
        <w:rPr>
          <w:shd w:val="clear" w:color="auto" w:fill="BFBFBF"/>
        </w:rPr>
      </w:pPr>
    </w:p>
    <w:p w14:paraId="2E9C086D" w14:textId="77777777" w:rsidR="00BC0E7E" w:rsidRPr="00BC0E7E" w:rsidRDefault="00BC0E7E" w:rsidP="00BC0E7E">
      <w:pPr>
        <w:rPr>
          <w:shd w:val="clear" w:color="auto" w:fill="BFBFBF"/>
        </w:rPr>
      </w:pPr>
    </w:p>
    <w:p w14:paraId="32FBFCEA" w14:textId="77777777" w:rsidR="00BC0E7E" w:rsidRPr="00BC0E7E" w:rsidRDefault="00944B8F" w:rsidP="00BC0E7E">
      <w:pPr>
        <w:pBdr>
          <w:top w:val="single" w:sz="4" w:space="1" w:color="auto"/>
          <w:left w:val="single" w:sz="4" w:space="4" w:color="auto"/>
          <w:bottom w:val="single" w:sz="4" w:space="1" w:color="auto"/>
          <w:right w:val="single" w:sz="4" w:space="4" w:color="auto"/>
        </w:pBdr>
        <w:rPr>
          <w:rFonts w:ascii="Times New Roman Bold" w:hAnsi="Times New Roman Bold"/>
          <w:caps/>
          <w:szCs w:val="20"/>
        </w:rPr>
      </w:pPr>
      <w:r w:rsidRPr="00BC0E7E">
        <w:rPr>
          <w:b/>
          <w:bCs/>
          <w:caps/>
          <w:szCs w:val="20"/>
        </w:rPr>
        <w:t xml:space="preserve">18. </w:t>
      </w:r>
      <w:r w:rsidRPr="00BC0E7E">
        <w:rPr>
          <w:b/>
          <w:bCs/>
          <w:caps/>
          <w:szCs w:val="20"/>
        </w:rPr>
        <w:tab/>
        <w:t>UNIQUE INDENTIFIER – HUMAN READABLE DATA</w:t>
      </w:r>
    </w:p>
    <w:p w14:paraId="08226325" w14:textId="77777777" w:rsidR="00BC0E7E" w:rsidRPr="00BC0E7E" w:rsidRDefault="00BC0E7E" w:rsidP="00BC0E7E">
      <w:pPr>
        <w:ind w:left="540" w:hanging="540"/>
      </w:pPr>
    </w:p>
    <w:p w14:paraId="2A423685" w14:textId="77777777" w:rsidR="00BC0E7E" w:rsidRPr="00BC0E7E" w:rsidRDefault="00944B8F" w:rsidP="00BC0E7E">
      <w:pPr>
        <w:ind w:left="540" w:hanging="540"/>
      </w:pPr>
      <w:r w:rsidRPr="00BC0E7E">
        <w:t>PC</w:t>
      </w:r>
    </w:p>
    <w:p w14:paraId="49324902" w14:textId="77777777" w:rsidR="00BC0E7E" w:rsidRPr="00BC0E7E" w:rsidRDefault="00944B8F" w:rsidP="00BC0E7E">
      <w:pPr>
        <w:ind w:left="540" w:hanging="540"/>
      </w:pPr>
      <w:r w:rsidRPr="00BC0E7E">
        <w:t>SN</w:t>
      </w:r>
    </w:p>
    <w:p w14:paraId="2927B083" w14:textId="77777777" w:rsidR="00BC0E7E" w:rsidRPr="00BC0E7E" w:rsidRDefault="00944B8F" w:rsidP="00BC0E7E">
      <w:pPr>
        <w:ind w:left="540" w:hanging="540"/>
      </w:pPr>
      <w:r w:rsidRPr="001B6DEE">
        <w:rPr>
          <w:highlight w:val="darkGray"/>
        </w:rPr>
        <w:lastRenderedPageBreak/>
        <w:t>NN</w:t>
      </w:r>
    </w:p>
    <w:p w14:paraId="72AB62CF" w14:textId="77777777" w:rsidR="00BC0E7E" w:rsidRPr="00BC0E7E" w:rsidRDefault="00BC0E7E" w:rsidP="00BC0E7E">
      <w:pPr>
        <w:ind w:left="540" w:hanging="540"/>
      </w:pPr>
    </w:p>
    <w:p w14:paraId="33FA9B82" w14:textId="77777777" w:rsidR="00BC0E7E" w:rsidRPr="00BC0E7E" w:rsidRDefault="00944B8F" w:rsidP="00BC0E7E">
      <w:pPr>
        <w:pBdr>
          <w:top w:val="single" w:sz="4" w:space="1" w:color="auto"/>
          <w:left w:val="single" w:sz="4" w:space="4" w:color="auto"/>
          <w:bottom w:val="single" w:sz="4" w:space="1" w:color="auto"/>
          <w:right w:val="single" w:sz="4" w:space="4" w:color="auto"/>
        </w:pBdr>
        <w:tabs>
          <w:tab w:val="clear" w:pos="562"/>
        </w:tabs>
        <w:rPr>
          <w:b/>
        </w:rPr>
      </w:pPr>
      <w:r w:rsidRPr="00BC0E7E">
        <w:br w:type="page"/>
      </w:r>
      <w:r w:rsidRPr="00BC0E7E">
        <w:rPr>
          <w:b/>
        </w:rPr>
        <w:lastRenderedPageBreak/>
        <w:t>MINIMUM PARTICULARS TO APPEAR ON BLISTERS OR STRIPS</w:t>
      </w:r>
    </w:p>
    <w:p w14:paraId="302C8AE4" w14:textId="77777777" w:rsidR="00BC0E7E" w:rsidRPr="00BC0E7E" w:rsidRDefault="00BC0E7E" w:rsidP="00BC0E7E">
      <w:pPr>
        <w:pBdr>
          <w:top w:val="single" w:sz="4" w:space="1" w:color="auto"/>
          <w:left w:val="single" w:sz="4" w:space="4" w:color="auto"/>
          <w:bottom w:val="single" w:sz="4" w:space="1" w:color="auto"/>
          <w:right w:val="single" w:sz="4" w:space="4" w:color="auto"/>
        </w:pBdr>
        <w:ind w:left="540" w:hanging="540"/>
        <w:rPr>
          <w:b/>
        </w:rPr>
      </w:pPr>
    </w:p>
    <w:p w14:paraId="37D91D4D" w14:textId="77777777" w:rsidR="00BC0E7E" w:rsidRPr="00BC0E7E" w:rsidRDefault="00944B8F" w:rsidP="00BC0E7E">
      <w:pPr>
        <w:keepLines/>
        <w:pBdr>
          <w:top w:val="single" w:sz="4" w:space="1" w:color="auto"/>
          <w:left w:val="single" w:sz="4" w:space="4" w:color="auto"/>
          <w:bottom w:val="single" w:sz="4" w:space="1" w:color="auto"/>
          <w:right w:val="single" w:sz="4" w:space="4" w:color="auto"/>
        </w:pBdr>
        <w:ind w:left="540" w:hanging="540"/>
        <w:outlineLvl w:val="2"/>
        <w:rPr>
          <w:b/>
          <w:bCs/>
          <w:szCs w:val="26"/>
        </w:rPr>
      </w:pPr>
      <w:r w:rsidRPr="00BC0E7E">
        <w:rPr>
          <w:b/>
          <w:bCs/>
          <w:szCs w:val="26"/>
        </w:rPr>
        <w:t>TRAY BACKING TEXT</w:t>
      </w:r>
    </w:p>
    <w:p w14:paraId="1F45EFF6" w14:textId="77777777" w:rsidR="00BC0E7E" w:rsidRPr="00BC0E7E" w:rsidRDefault="00BC0E7E" w:rsidP="00BC0E7E">
      <w:pPr>
        <w:ind w:left="540" w:hanging="540"/>
      </w:pPr>
    </w:p>
    <w:p w14:paraId="591373CD" w14:textId="77777777" w:rsidR="00BC0E7E" w:rsidRPr="00BC0E7E" w:rsidRDefault="00BC0E7E" w:rsidP="00BC0E7E">
      <w:pPr>
        <w:ind w:left="540" w:hanging="540"/>
      </w:pPr>
    </w:p>
    <w:p w14:paraId="5A4E6B98"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1.</w:t>
      </w:r>
      <w:r w:rsidRPr="00BC0E7E">
        <w:rPr>
          <w:b/>
          <w:caps/>
          <w:szCs w:val="20"/>
        </w:rPr>
        <w:tab/>
        <w:t>NAME OF THE MEDICINAL PRODUCT</w:t>
      </w:r>
    </w:p>
    <w:p w14:paraId="0D82842F" w14:textId="77777777" w:rsidR="00BC0E7E" w:rsidRPr="00BC0E7E" w:rsidRDefault="00BC0E7E" w:rsidP="00BC0E7E">
      <w:pPr>
        <w:ind w:left="540" w:hanging="540"/>
      </w:pPr>
    </w:p>
    <w:p w14:paraId="6315AA02" w14:textId="77777777" w:rsidR="00BC0E7E" w:rsidRPr="00BC0E7E" w:rsidRDefault="00944B8F" w:rsidP="00BC0E7E">
      <w:pPr>
        <w:ind w:left="540" w:hanging="540"/>
      </w:pPr>
      <w:r w:rsidRPr="00BC0E7E">
        <w:t>Humira 80 mg solution for injection in pre-filled syringe</w:t>
      </w:r>
    </w:p>
    <w:p w14:paraId="5127EBA3" w14:textId="77777777" w:rsidR="00BC0E7E" w:rsidRPr="00BC0E7E" w:rsidRDefault="00944B8F" w:rsidP="00BC0E7E">
      <w:pPr>
        <w:ind w:left="540" w:hanging="540"/>
      </w:pPr>
      <w:r w:rsidRPr="00BC0E7E">
        <w:t>adalimumab</w:t>
      </w:r>
    </w:p>
    <w:p w14:paraId="0387AF0D" w14:textId="77777777" w:rsidR="00BC0E7E" w:rsidRPr="00BC0E7E" w:rsidRDefault="00BC0E7E" w:rsidP="00BC0E7E">
      <w:pPr>
        <w:ind w:left="540" w:hanging="540"/>
      </w:pPr>
    </w:p>
    <w:p w14:paraId="0753293E" w14:textId="77777777" w:rsidR="00BC0E7E" w:rsidRPr="00BC0E7E" w:rsidRDefault="00BC0E7E" w:rsidP="00BC0E7E">
      <w:pPr>
        <w:ind w:left="540" w:hanging="540"/>
      </w:pPr>
    </w:p>
    <w:p w14:paraId="1C61E6C0" w14:textId="77777777" w:rsidR="00BC0E7E" w:rsidRPr="00BC0E7E" w:rsidRDefault="00944B8F" w:rsidP="00BC0E7E">
      <w:pPr>
        <w:pBdr>
          <w:top w:val="single" w:sz="4" w:space="1" w:color="auto"/>
          <w:left w:val="single" w:sz="4" w:space="4" w:color="auto"/>
          <w:bottom w:val="single" w:sz="4" w:space="1" w:color="auto"/>
          <w:right w:val="single" w:sz="4" w:space="4" w:color="auto"/>
        </w:pBdr>
        <w:tabs>
          <w:tab w:val="left" w:pos="-3300"/>
        </w:tabs>
        <w:ind w:left="562" w:hanging="562"/>
        <w:rPr>
          <w:b/>
          <w:caps/>
          <w:szCs w:val="20"/>
        </w:rPr>
      </w:pPr>
      <w:r w:rsidRPr="00BC0E7E">
        <w:rPr>
          <w:b/>
          <w:caps/>
          <w:szCs w:val="20"/>
        </w:rPr>
        <w:t>2.</w:t>
      </w:r>
      <w:r w:rsidRPr="00BC0E7E">
        <w:rPr>
          <w:b/>
          <w:caps/>
          <w:szCs w:val="20"/>
        </w:rPr>
        <w:tab/>
        <w:t>NAME OF THE MARKETING AUTHORISATION HOLDER</w:t>
      </w:r>
    </w:p>
    <w:p w14:paraId="72DE0234" w14:textId="77777777" w:rsidR="00BC0E7E" w:rsidRPr="00BC0E7E" w:rsidRDefault="00BC0E7E" w:rsidP="00BC0E7E">
      <w:pPr>
        <w:ind w:left="540" w:hanging="540"/>
      </w:pPr>
    </w:p>
    <w:p w14:paraId="4A077668" w14:textId="77777777" w:rsidR="006A01D2" w:rsidRDefault="00944B8F" w:rsidP="006A01D2">
      <w:pPr>
        <w:keepNext/>
        <w:tabs>
          <w:tab w:val="clear" w:pos="562"/>
        </w:tabs>
        <w:suppressAutoHyphens w:val="0"/>
        <w:autoSpaceDE w:val="0"/>
        <w:autoSpaceDN w:val="0"/>
        <w:adjustRightInd w:val="0"/>
        <w:spacing w:line="240" w:lineRule="atLeast"/>
      </w:pPr>
      <w:r>
        <w:t xml:space="preserve">AbbVie </w:t>
      </w:r>
      <w:r w:rsidRPr="00D32313">
        <w:rPr>
          <w:szCs w:val="22"/>
          <w:highlight w:val="lightGray"/>
          <w:lang w:eastAsia="en-GB"/>
        </w:rPr>
        <w:t>(as logo)</w:t>
      </w:r>
    </w:p>
    <w:p w14:paraId="1B5654D1" w14:textId="77777777" w:rsidR="00BC0E7E" w:rsidRPr="00BC0E7E" w:rsidRDefault="00BC0E7E" w:rsidP="00BC0E7E">
      <w:pPr>
        <w:ind w:left="540" w:hanging="540"/>
      </w:pPr>
    </w:p>
    <w:p w14:paraId="5A009204" w14:textId="77777777" w:rsidR="00BC0E7E" w:rsidRPr="00BC0E7E" w:rsidRDefault="00BC0E7E" w:rsidP="00BC0E7E">
      <w:pPr>
        <w:ind w:left="540" w:hanging="540"/>
      </w:pPr>
    </w:p>
    <w:p w14:paraId="62EE9737"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3.</w:t>
      </w:r>
      <w:r w:rsidRPr="00BC0E7E">
        <w:rPr>
          <w:b/>
          <w:caps/>
          <w:szCs w:val="20"/>
        </w:rPr>
        <w:tab/>
        <w:t>EXPIRY DATE</w:t>
      </w:r>
    </w:p>
    <w:p w14:paraId="762C0B2B" w14:textId="77777777" w:rsidR="00BC0E7E" w:rsidRPr="00BC0E7E" w:rsidRDefault="00BC0E7E" w:rsidP="00BC0E7E">
      <w:pPr>
        <w:ind w:left="540" w:hanging="540"/>
      </w:pPr>
    </w:p>
    <w:p w14:paraId="12B569EF" w14:textId="77777777" w:rsidR="00BC0E7E" w:rsidRPr="00BC0E7E" w:rsidRDefault="00944B8F" w:rsidP="00BC0E7E">
      <w:pPr>
        <w:ind w:left="540" w:hanging="540"/>
      </w:pPr>
      <w:r w:rsidRPr="00BC0E7E">
        <w:t>EXP</w:t>
      </w:r>
    </w:p>
    <w:p w14:paraId="54ADAC4C" w14:textId="77777777" w:rsidR="00BC0E7E" w:rsidRPr="00BC0E7E" w:rsidRDefault="00BC0E7E" w:rsidP="00BC0E7E">
      <w:pPr>
        <w:ind w:left="540" w:hanging="540"/>
      </w:pPr>
    </w:p>
    <w:p w14:paraId="25B7BB79" w14:textId="77777777" w:rsidR="00BC0E7E" w:rsidRPr="00BC0E7E" w:rsidRDefault="00BC0E7E" w:rsidP="00BC0E7E">
      <w:pPr>
        <w:ind w:left="540" w:hanging="540"/>
      </w:pPr>
    </w:p>
    <w:p w14:paraId="149FDEF6"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4.</w:t>
      </w:r>
      <w:r w:rsidRPr="00BC0E7E">
        <w:rPr>
          <w:b/>
          <w:caps/>
          <w:szCs w:val="20"/>
        </w:rPr>
        <w:tab/>
        <w:t>BATCH NUMBER</w:t>
      </w:r>
    </w:p>
    <w:p w14:paraId="54393A37" w14:textId="77777777" w:rsidR="00BC0E7E" w:rsidRPr="00BC0E7E" w:rsidRDefault="00BC0E7E" w:rsidP="00BC0E7E">
      <w:pPr>
        <w:ind w:left="540" w:hanging="540"/>
      </w:pPr>
    </w:p>
    <w:p w14:paraId="327B2852" w14:textId="77777777" w:rsidR="00BC0E7E" w:rsidRPr="00BC0E7E" w:rsidRDefault="00944B8F" w:rsidP="00BC0E7E">
      <w:pPr>
        <w:ind w:left="540" w:hanging="540"/>
      </w:pPr>
      <w:r w:rsidRPr="00BC0E7E">
        <w:t>Lot</w:t>
      </w:r>
    </w:p>
    <w:p w14:paraId="39C6B18C" w14:textId="77777777" w:rsidR="00BC0E7E" w:rsidRPr="00BC0E7E" w:rsidRDefault="00BC0E7E" w:rsidP="00BC0E7E">
      <w:pPr>
        <w:ind w:left="540" w:hanging="540"/>
      </w:pPr>
    </w:p>
    <w:p w14:paraId="169626F2" w14:textId="77777777" w:rsidR="00BC0E7E" w:rsidRPr="00BC0E7E" w:rsidRDefault="00BC0E7E" w:rsidP="00BC0E7E">
      <w:pPr>
        <w:ind w:left="540" w:hanging="540"/>
      </w:pPr>
    </w:p>
    <w:p w14:paraId="1960D8A6" w14:textId="77777777" w:rsidR="00BC0E7E" w:rsidRPr="00BC0E7E" w:rsidRDefault="00944B8F" w:rsidP="00BC0E7E">
      <w:pPr>
        <w:pBdr>
          <w:top w:val="single" w:sz="4" w:space="1" w:color="auto"/>
          <w:left w:val="single" w:sz="4" w:space="4" w:color="auto"/>
          <w:bottom w:val="single" w:sz="4" w:space="1" w:color="auto"/>
          <w:right w:val="single" w:sz="4" w:space="4" w:color="auto"/>
        </w:pBdr>
        <w:rPr>
          <w:b/>
          <w:caps/>
          <w:szCs w:val="20"/>
        </w:rPr>
      </w:pPr>
      <w:r w:rsidRPr="00BC0E7E">
        <w:rPr>
          <w:b/>
          <w:caps/>
          <w:szCs w:val="20"/>
        </w:rPr>
        <w:t>5.</w:t>
      </w:r>
      <w:r w:rsidRPr="00BC0E7E">
        <w:rPr>
          <w:b/>
          <w:caps/>
          <w:szCs w:val="20"/>
        </w:rPr>
        <w:tab/>
        <w:t>OTHER</w:t>
      </w:r>
    </w:p>
    <w:p w14:paraId="33641DC4" w14:textId="77777777" w:rsidR="00BC0E7E" w:rsidRPr="00BC0E7E" w:rsidRDefault="00BC0E7E" w:rsidP="00BC0E7E">
      <w:pPr>
        <w:ind w:left="540" w:hanging="540"/>
      </w:pPr>
    </w:p>
    <w:p w14:paraId="22D6AA4B" w14:textId="77777777" w:rsidR="00BC0E7E" w:rsidRPr="00BC0E7E" w:rsidRDefault="00944B8F" w:rsidP="00BC0E7E">
      <w:pPr>
        <w:ind w:left="540" w:hanging="540"/>
      </w:pPr>
      <w:r w:rsidRPr="00BC0E7E">
        <w:t>For storage information, see package leaflet.</w:t>
      </w:r>
    </w:p>
    <w:p w14:paraId="204FBAAB" w14:textId="77777777" w:rsidR="00BC0E7E" w:rsidRPr="00BC0E7E" w:rsidRDefault="00BC0E7E" w:rsidP="00BC0E7E">
      <w:pPr>
        <w:ind w:left="540" w:hanging="540"/>
      </w:pPr>
    </w:p>
    <w:p w14:paraId="2DB8E72C" w14:textId="77777777" w:rsidR="00BC0E7E" w:rsidRDefault="00944B8F" w:rsidP="00BC0E7E">
      <w:pPr>
        <w:ind w:left="540" w:hanging="540"/>
      </w:pPr>
      <w:r w:rsidRPr="00BC0E7E">
        <w:t>For single use only</w:t>
      </w:r>
      <w:r w:rsidR="006E5817">
        <w:t>.</w:t>
      </w:r>
    </w:p>
    <w:p w14:paraId="29894D8A" w14:textId="77777777" w:rsidR="0075615E" w:rsidRDefault="0075615E" w:rsidP="0075615E">
      <w:pPr>
        <w:ind w:left="540" w:hanging="540"/>
      </w:pPr>
    </w:p>
    <w:p w14:paraId="137076B6" w14:textId="77777777" w:rsidR="0075615E" w:rsidRDefault="0075615E" w:rsidP="0075615E"/>
    <w:p w14:paraId="5C86D3D8" w14:textId="77777777" w:rsidR="0075615E" w:rsidRPr="00893C35" w:rsidRDefault="0075615E" w:rsidP="0075615E"/>
    <w:p w14:paraId="3B79FA5C" w14:textId="77777777" w:rsidR="0075615E" w:rsidRPr="00BC0E7E" w:rsidRDefault="0075615E" w:rsidP="00BC0E7E">
      <w:pPr>
        <w:ind w:left="540" w:hanging="540"/>
      </w:pPr>
    </w:p>
    <w:p w14:paraId="51865CAF" w14:textId="77777777" w:rsidR="00BC0E7E" w:rsidRPr="00BC0E7E" w:rsidRDefault="00BC0E7E" w:rsidP="00BC0E7E"/>
    <w:p w14:paraId="2A9E876F"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br w:type="page"/>
      </w:r>
      <w:r w:rsidRPr="00BC0E7E">
        <w:rPr>
          <w:b/>
          <w:caps/>
          <w:szCs w:val="20"/>
        </w:rPr>
        <w:lastRenderedPageBreak/>
        <w:t>MINIMUM PARTICULARS TO APPEAR ON SMALL IMMEDIATE PACKAGING UNITS</w:t>
      </w:r>
    </w:p>
    <w:p w14:paraId="1EBE6958" w14:textId="77777777" w:rsidR="00BC0E7E" w:rsidRPr="00BC0E7E" w:rsidRDefault="00BC0E7E" w:rsidP="00BC0E7E">
      <w:pPr>
        <w:pBdr>
          <w:top w:val="single" w:sz="4" w:space="1" w:color="auto"/>
          <w:left w:val="single" w:sz="4" w:space="4" w:color="auto"/>
          <w:bottom w:val="single" w:sz="4" w:space="1" w:color="auto"/>
          <w:right w:val="single" w:sz="4" w:space="4" w:color="auto"/>
        </w:pBdr>
        <w:ind w:left="561" w:hanging="561"/>
        <w:rPr>
          <w:b/>
          <w:bCs/>
          <w:caps/>
          <w:szCs w:val="20"/>
        </w:rPr>
      </w:pPr>
    </w:p>
    <w:p w14:paraId="09DC1B68" w14:textId="77777777" w:rsidR="00BC0E7E" w:rsidRPr="00BC0E7E" w:rsidRDefault="00944B8F" w:rsidP="00BC0E7E">
      <w:pPr>
        <w:keepLines/>
        <w:pBdr>
          <w:top w:val="single" w:sz="4" w:space="1" w:color="auto"/>
          <w:left w:val="single" w:sz="4" w:space="4" w:color="auto"/>
          <w:bottom w:val="single" w:sz="4" w:space="1" w:color="auto"/>
          <w:right w:val="single" w:sz="4" w:space="4" w:color="auto"/>
        </w:pBdr>
        <w:ind w:left="540" w:hanging="540"/>
        <w:outlineLvl w:val="2"/>
        <w:rPr>
          <w:sz w:val="26"/>
          <w:szCs w:val="26"/>
        </w:rPr>
      </w:pPr>
      <w:r w:rsidRPr="00BC0E7E">
        <w:rPr>
          <w:b/>
          <w:bCs/>
          <w:szCs w:val="26"/>
        </w:rPr>
        <w:t>SYRINGE LABEL</w:t>
      </w:r>
    </w:p>
    <w:p w14:paraId="5C140E5D" w14:textId="77777777" w:rsidR="00BC0E7E" w:rsidRPr="00BC0E7E" w:rsidRDefault="00BC0E7E" w:rsidP="00BC0E7E">
      <w:pPr>
        <w:rPr>
          <w:szCs w:val="20"/>
        </w:rPr>
      </w:pPr>
    </w:p>
    <w:p w14:paraId="0877FEB9" w14:textId="77777777" w:rsidR="00BC0E7E" w:rsidRPr="00BC0E7E" w:rsidRDefault="00BC0E7E" w:rsidP="00BC0E7E">
      <w:pPr>
        <w:rPr>
          <w:szCs w:val="20"/>
        </w:rPr>
      </w:pPr>
    </w:p>
    <w:p w14:paraId="7E73B920"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1.</w:t>
      </w:r>
      <w:r w:rsidRPr="00BC0E7E">
        <w:rPr>
          <w:b/>
          <w:caps/>
          <w:szCs w:val="20"/>
        </w:rPr>
        <w:tab/>
        <w:t>NAME OF THE MEDICINAL PRODUCT AND ROUTE OF ADMINISTRATION</w:t>
      </w:r>
    </w:p>
    <w:p w14:paraId="3891EA20" w14:textId="77777777" w:rsidR="00BC0E7E" w:rsidRPr="00BC0E7E" w:rsidRDefault="00BC0E7E" w:rsidP="00BC0E7E">
      <w:pPr>
        <w:ind w:left="540" w:hanging="540"/>
      </w:pPr>
    </w:p>
    <w:p w14:paraId="50CF9DDF" w14:textId="77777777" w:rsidR="00BC0E7E" w:rsidRPr="00BC0E7E" w:rsidRDefault="00944B8F" w:rsidP="00BC0E7E">
      <w:pPr>
        <w:ind w:left="540" w:hanging="540"/>
      </w:pPr>
      <w:r w:rsidRPr="00BC0E7E">
        <w:t>Humira 80 mg injection</w:t>
      </w:r>
    </w:p>
    <w:p w14:paraId="47E86275" w14:textId="77777777" w:rsidR="00BC0E7E" w:rsidRPr="00BC0E7E" w:rsidRDefault="00944B8F" w:rsidP="00BC0E7E">
      <w:pPr>
        <w:ind w:left="540" w:hanging="540"/>
      </w:pPr>
      <w:r w:rsidRPr="00BC0E7E">
        <w:t>adalimumab</w:t>
      </w:r>
    </w:p>
    <w:p w14:paraId="3915F24E" w14:textId="77777777" w:rsidR="00BC0E7E" w:rsidRPr="00BC0E7E" w:rsidRDefault="00944B8F" w:rsidP="00BC0E7E">
      <w:pPr>
        <w:tabs>
          <w:tab w:val="clear" w:pos="562"/>
        </w:tabs>
        <w:ind w:left="540" w:hanging="540"/>
        <w:rPr>
          <w:szCs w:val="22"/>
        </w:rPr>
      </w:pPr>
      <w:r w:rsidRPr="00BC0E7E">
        <w:rPr>
          <w:szCs w:val="22"/>
        </w:rPr>
        <w:t>SC</w:t>
      </w:r>
    </w:p>
    <w:p w14:paraId="19FD5EF9" w14:textId="77777777" w:rsidR="00BC0E7E" w:rsidRPr="00BC0E7E" w:rsidRDefault="00BC0E7E" w:rsidP="00BC0E7E"/>
    <w:p w14:paraId="2831389F" w14:textId="77777777" w:rsidR="00BC0E7E" w:rsidRPr="00BC0E7E" w:rsidRDefault="00BC0E7E" w:rsidP="00BC0E7E"/>
    <w:p w14:paraId="0355EE27"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2.</w:t>
      </w:r>
      <w:r w:rsidRPr="00BC0E7E">
        <w:rPr>
          <w:b/>
          <w:caps/>
          <w:szCs w:val="20"/>
        </w:rPr>
        <w:tab/>
        <w:t>METHOD OF ADMINISTRATION</w:t>
      </w:r>
    </w:p>
    <w:p w14:paraId="129DFF19" w14:textId="77777777" w:rsidR="00BC0E7E" w:rsidRPr="00BC0E7E" w:rsidRDefault="00BC0E7E" w:rsidP="00BC0E7E">
      <w:pPr>
        <w:ind w:left="540" w:hanging="540"/>
        <w:rPr>
          <w:b/>
        </w:rPr>
      </w:pPr>
    </w:p>
    <w:p w14:paraId="52502D02" w14:textId="77777777" w:rsidR="00BC0E7E" w:rsidRPr="00BC0E7E" w:rsidRDefault="00BC0E7E" w:rsidP="00BC0E7E">
      <w:pPr>
        <w:ind w:left="540" w:hanging="540"/>
        <w:rPr>
          <w:b/>
        </w:rPr>
      </w:pPr>
    </w:p>
    <w:p w14:paraId="68DB9824"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3.</w:t>
      </w:r>
      <w:r w:rsidRPr="00BC0E7E">
        <w:rPr>
          <w:b/>
          <w:caps/>
          <w:szCs w:val="20"/>
        </w:rPr>
        <w:tab/>
        <w:t>EXPIRY DATE</w:t>
      </w:r>
    </w:p>
    <w:p w14:paraId="4B6884EE" w14:textId="77777777" w:rsidR="00BC0E7E" w:rsidRPr="00BC0E7E" w:rsidRDefault="00BC0E7E" w:rsidP="00BC0E7E">
      <w:pPr>
        <w:ind w:left="540" w:hanging="540"/>
      </w:pPr>
    </w:p>
    <w:p w14:paraId="03C06EDD" w14:textId="77777777" w:rsidR="00BC0E7E" w:rsidRPr="00BC0E7E" w:rsidRDefault="00944B8F" w:rsidP="00BC0E7E">
      <w:pPr>
        <w:ind w:left="540" w:hanging="540"/>
      </w:pPr>
      <w:r w:rsidRPr="00BC0E7E">
        <w:t>EXP</w:t>
      </w:r>
    </w:p>
    <w:p w14:paraId="0869C3F1" w14:textId="77777777" w:rsidR="00BC0E7E" w:rsidRPr="00BC0E7E" w:rsidRDefault="00BC0E7E" w:rsidP="00BC0E7E">
      <w:pPr>
        <w:ind w:left="540" w:hanging="540"/>
      </w:pPr>
    </w:p>
    <w:p w14:paraId="5C8EBC1B" w14:textId="77777777" w:rsidR="00BC0E7E" w:rsidRPr="00BC0E7E" w:rsidRDefault="00BC0E7E" w:rsidP="00BC0E7E">
      <w:pPr>
        <w:ind w:left="540" w:hanging="540"/>
      </w:pPr>
    </w:p>
    <w:p w14:paraId="6AD3438E"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4.</w:t>
      </w:r>
      <w:r w:rsidRPr="00BC0E7E">
        <w:rPr>
          <w:b/>
          <w:caps/>
          <w:szCs w:val="20"/>
        </w:rPr>
        <w:tab/>
        <w:t>BATCH NUMBER</w:t>
      </w:r>
    </w:p>
    <w:p w14:paraId="45D38011" w14:textId="77777777" w:rsidR="00BC0E7E" w:rsidRPr="00BC0E7E" w:rsidRDefault="00BC0E7E" w:rsidP="00BC0E7E">
      <w:pPr>
        <w:ind w:left="540" w:hanging="540"/>
      </w:pPr>
    </w:p>
    <w:p w14:paraId="5DE4F227" w14:textId="77777777" w:rsidR="00BC0E7E" w:rsidRPr="00BC0E7E" w:rsidRDefault="00944B8F" w:rsidP="00BC0E7E">
      <w:pPr>
        <w:ind w:left="540" w:hanging="540"/>
      </w:pPr>
      <w:r w:rsidRPr="00BC0E7E">
        <w:t>Lot</w:t>
      </w:r>
    </w:p>
    <w:p w14:paraId="332AA42D" w14:textId="77777777" w:rsidR="00BC0E7E" w:rsidRPr="00BC0E7E" w:rsidRDefault="00BC0E7E" w:rsidP="00BC0E7E">
      <w:pPr>
        <w:ind w:left="540" w:hanging="540"/>
      </w:pPr>
    </w:p>
    <w:p w14:paraId="05E91C4E" w14:textId="77777777" w:rsidR="00BC0E7E" w:rsidRPr="00BC0E7E" w:rsidRDefault="00BC0E7E" w:rsidP="00BC0E7E">
      <w:pPr>
        <w:ind w:left="540" w:hanging="540"/>
      </w:pPr>
    </w:p>
    <w:p w14:paraId="5AEF9A86"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5.</w:t>
      </w:r>
      <w:r w:rsidRPr="00BC0E7E">
        <w:rPr>
          <w:b/>
          <w:caps/>
          <w:szCs w:val="20"/>
        </w:rPr>
        <w:tab/>
        <w:t>CONTENTS BY WEIGHT, BY VOLUME OR BY UNIT</w:t>
      </w:r>
    </w:p>
    <w:p w14:paraId="3507FDBE" w14:textId="77777777" w:rsidR="00BC0E7E" w:rsidRPr="00BC0E7E" w:rsidRDefault="00BC0E7E" w:rsidP="00BC0E7E">
      <w:pPr>
        <w:ind w:left="540" w:hanging="540"/>
      </w:pPr>
    </w:p>
    <w:p w14:paraId="0E9E2D8E" w14:textId="77777777" w:rsidR="00BC0E7E" w:rsidRPr="00BC0E7E" w:rsidRDefault="00944B8F" w:rsidP="00BC0E7E">
      <w:pPr>
        <w:ind w:left="540" w:hanging="540"/>
      </w:pPr>
      <w:r w:rsidRPr="00BC0E7E">
        <w:t>80 mg</w:t>
      </w:r>
      <w:r w:rsidR="00774177" w:rsidRPr="0033160F">
        <w:rPr>
          <w:highlight w:val="lightGray"/>
        </w:rPr>
        <w:t>/0.8</w:t>
      </w:r>
      <w:r w:rsidR="00AA6375">
        <w:rPr>
          <w:highlight w:val="lightGray"/>
        </w:rPr>
        <w:t> </w:t>
      </w:r>
      <w:r w:rsidR="00774177" w:rsidRPr="0033160F">
        <w:rPr>
          <w:highlight w:val="lightGray"/>
        </w:rPr>
        <w:t>ml</w:t>
      </w:r>
    </w:p>
    <w:p w14:paraId="654657A8" w14:textId="77777777" w:rsidR="00BC0E7E" w:rsidRPr="00BC0E7E" w:rsidRDefault="00BC0E7E" w:rsidP="00BC0E7E">
      <w:pPr>
        <w:ind w:left="540" w:hanging="540"/>
      </w:pPr>
    </w:p>
    <w:p w14:paraId="569DB547" w14:textId="77777777" w:rsidR="00BC0E7E" w:rsidRPr="00BC0E7E" w:rsidRDefault="00BC0E7E" w:rsidP="00BC0E7E">
      <w:pPr>
        <w:ind w:left="540" w:hanging="540"/>
      </w:pPr>
    </w:p>
    <w:p w14:paraId="7B40382F" w14:textId="77777777" w:rsidR="00BC0E7E" w:rsidRPr="00BC0E7E" w:rsidRDefault="00944B8F" w:rsidP="00BC0E7E">
      <w:pPr>
        <w:pBdr>
          <w:top w:val="single" w:sz="4" w:space="1" w:color="auto"/>
          <w:left w:val="single" w:sz="4" w:space="4" w:color="auto"/>
          <w:bottom w:val="single" w:sz="4" w:space="1" w:color="auto"/>
          <w:right w:val="single" w:sz="4" w:space="4" w:color="auto"/>
        </w:pBdr>
        <w:rPr>
          <w:b/>
          <w:caps/>
          <w:szCs w:val="20"/>
        </w:rPr>
      </w:pPr>
      <w:r w:rsidRPr="00BC0E7E">
        <w:rPr>
          <w:b/>
          <w:caps/>
          <w:szCs w:val="20"/>
        </w:rPr>
        <w:t>6.</w:t>
      </w:r>
      <w:r w:rsidRPr="00BC0E7E">
        <w:rPr>
          <w:b/>
          <w:caps/>
          <w:szCs w:val="20"/>
        </w:rPr>
        <w:tab/>
        <w:t>OTHER</w:t>
      </w:r>
    </w:p>
    <w:p w14:paraId="69B869A5" w14:textId="77777777" w:rsidR="00BC0E7E" w:rsidRPr="00BC0E7E" w:rsidRDefault="00BC0E7E" w:rsidP="00BC0E7E">
      <w:pPr>
        <w:ind w:left="540" w:hanging="540"/>
      </w:pPr>
    </w:p>
    <w:p w14:paraId="62B9C178" w14:textId="77777777" w:rsidR="009D6985" w:rsidRDefault="00944B8F" w:rsidP="009D6985">
      <w:pPr>
        <w:tabs>
          <w:tab w:val="clear" w:pos="562"/>
        </w:tabs>
        <w:suppressAutoHyphens w:val="0"/>
        <w:spacing w:after="200" w:line="276" w:lineRule="auto"/>
      </w:pPr>
      <w:r>
        <w:br w:type="page"/>
      </w:r>
    </w:p>
    <w:p w14:paraId="0B401354" w14:textId="77777777" w:rsidR="00BC0E7E" w:rsidRPr="00BC0E7E" w:rsidRDefault="00944B8F" w:rsidP="009D6985">
      <w:pPr>
        <w:pBdr>
          <w:top w:val="single" w:sz="4" w:space="1" w:color="auto"/>
          <w:left w:val="single" w:sz="4" w:space="4" w:color="auto"/>
          <w:bottom w:val="single" w:sz="4" w:space="1" w:color="auto"/>
          <w:right w:val="single" w:sz="4" w:space="4" w:color="auto"/>
        </w:pBdr>
        <w:tabs>
          <w:tab w:val="clear" w:pos="562"/>
        </w:tabs>
        <w:rPr>
          <w:b/>
          <w:bCs/>
          <w:caps/>
          <w:szCs w:val="20"/>
        </w:rPr>
      </w:pPr>
      <w:r w:rsidRPr="00BC0E7E">
        <w:rPr>
          <w:b/>
        </w:rPr>
        <w:lastRenderedPageBreak/>
        <w:t xml:space="preserve"> </w:t>
      </w:r>
      <w:r w:rsidRPr="00BC0E7E">
        <w:rPr>
          <w:b/>
          <w:bCs/>
          <w:caps/>
          <w:szCs w:val="20"/>
        </w:rPr>
        <w:t xml:space="preserve">PARTICULARS TO APPEAR ON THE OUTER PACKAGING </w:t>
      </w:r>
    </w:p>
    <w:p w14:paraId="34324539" w14:textId="77777777" w:rsidR="00BC0E7E" w:rsidRPr="00BC0E7E" w:rsidRDefault="00BC0E7E" w:rsidP="00BC0E7E">
      <w:pPr>
        <w:pBdr>
          <w:top w:val="single" w:sz="4" w:space="1" w:color="auto"/>
          <w:left w:val="single" w:sz="4" w:space="4" w:color="auto"/>
          <w:bottom w:val="single" w:sz="4" w:space="1" w:color="auto"/>
          <w:right w:val="single" w:sz="4" w:space="4" w:color="auto"/>
        </w:pBdr>
        <w:ind w:left="561" w:hanging="561"/>
        <w:rPr>
          <w:caps/>
          <w:szCs w:val="20"/>
        </w:rPr>
      </w:pPr>
    </w:p>
    <w:p w14:paraId="07966F08" w14:textId="77777777" w:rsidR="00BC0E7E" w:rsidRPr="00BC0E7E" w:rsidRDefault="00944B8F" w:rsidP="00BC0E7E">
      <w:pPr>
        <w:keepLines/>
        <w:pBdr>
          <w:top w:val="single" w:sz="4" w:space="1" w:color="auto"/>
          <w:left w:val="single" w:sz="4" w:space="4" w:color="auto"/>
          <w:bottom w:val="single" w:sz="4" w:space="1" w:color="auto"/>
          <w:right w:val="single" w:sz="4" w:space="4" w:color="auto"/>
        </w:pBdr>
        <w:ind w:left="540" w:hanging="540"/>
        <w:outlineLvl w:val="2"/>
        <w:rPr>
          <w:bCs/>
          <w:sz w:val="26"/>
          <w:szCs w:val="26"/>
        </w:rPr>
      </w:pPr>
      <w:r w:rsidRPr="00BC0E7E">
        <w:rPr>
          <w:b/>
          <w:bCs/>
          <w:szCs w:val="26"/>
        </w:rPr>
        <w:t>OUTER CARTON</w:t>
      </w:r>
    </w:p>
    <w:p w14:paraId="312E38C9" w14:textId="77777777" w:rsidR="00BC0E7E" w:rsidRPr="00BC0E7E" w:rsidRDefault="00BC0E7E" w:rsidP="00BC0E7E">
      <w:pPr>
        <w:ind w:left="540" w:hanging="540"/>
        <w:rPr>
          <w:b/>
        </w:rPr>
      </w:pPr>
    </w:p>
    <w:p w14:paraId="5545374F" w14:textId="77777777" w:rsidR="00BC0E7E" w:rsidRPr="00BC0E7E" w:rsidRDefault="00BC0E7E" w:rsidP="00BC0E7E">
      <w:pPr>
        <w:ind w:left="540" w:hanging="540"/>
        <w:rPr>
          <w:b/>
        </w:rPr>
      </w:pPr>
    </w:p>
    <w:p w14:paraId="5B67A5B1"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1.</w:t>
      </w:r>
      <w:r w:rsidRPr="00BC0E7E">
        <w:rPr>
          <w:b/>
          <w:caps/>
          <w:szCs w:val="20"/>
        </w:rPr>
        <w:tab/>
        <w:t>NAME OF THE MEDICINAL PRODUCT</w:t>
      </w:r>
    </w:p>
    <w:p w14:paraId="324C68E5" w14:textId="77777777" w:rsidR="00BC0E7E" w:rsidRPr="00BC0E7E" w:rsidRDefault="00BC0E7E" w:rsidP="00BC0E7E">
      <w:pPr>
        <w:ind w:left="540" w:hanging="540"/>
      </w:pPr>
    </w:p>
    <w:p w14:paraId="3860DAC1" w14:textId="77777777" w:rsidR="00BC0E7E" w:rsidRPr="00BC0E7E" w:rsidRDefault="00944B8F" w:rsidP="00BC0E7E">
      <w:pPr>
        <w:ind w:left="540" w:hanging="540"/>
      </w:pPr>
      <w:r w:rsidRPr="00BC0E7E">
        <w:t>Humira 80 mg solution for injection in pre-filled pen</w:t>
      </w:r>
    </w:p>
    <w:p w14:paraId="76B4F57A" w14:textId="77777777" w:rsidR="00BC0E7E" w:rsidRPr="00BC0E7E" w:rsidRDefault="00944B8F" w:rsidP="00BC0E7E">
      <w:pPr>
        <w:tabs>
          <w:tab w:val="clear" w:pos="562"/>
        </w:tabs>
        <w:ind w:left="540" w:hanging="540"/>
        <w:rPr>
          <w:szCs w:val="22"/>
        </w:rPr>
      </w:pPr>
      <w:r w:rsidRPr="00BC0E7E">
        <w:rPr>
          <w:szCs w:val="22"/>
        </w:rPr>
        <w:t>adalimumab</w:t>
      </w:r>
    </w:p>
    <w:p w14:paraId="173A4195" w14:textId="77777777" w:rsidR="00BC0E7E" w:rsidRPr="00BC0E7E" w:rsidRDefault="00BC0E7E" w:rsidP="00BC0E7E"/>
    <w:p w14:paraId="30F2B923" w14:textId="77777777" w:rsidR="00BC0E7E" w:rsidRPr="00BC0E7E" w:rsidRDefault="00BC0E7E" w:rsidP="00BC0E7E"/>
    <w:p w14:paraId="6AB53C8B"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2.</w:t>
      </w:r>
      <w:r w:rsidRPr="00BC0E7E">
        <w:rPr>
          <w:b/>
          <w:caps/>
          <w:szCs w:val="20"/>
        </w:rPr>
        <w:tab/>
        <w:t>STATEMENT OF ACTIVE SUBSTANCE</w:t>
      </w:r>
    </w:p>
    <w:p w14:paraId="45E08F9D" w14:textId="77777777" w:rsidR="00BC0E7E" w:rsidRPr="00BC0E7E" w:rsidRDefault="00BC0E7E" w:rsidP="00BC0E7E">
      <w:pPr>
        <w:ind w:left="540" w:hanging="540"/>
      </w:pPr>
    </w:p>
    <w:p w14:paraId="52F2622F" w14:textId="77777777" w:rsidR="00BC0E7E" w:rsidRPr="00BC0E7E" w:rsidRDefault="00944B8F" w:rsidP="00BC0E7E">
      <w:pPr>
        <w:ind w:left="540" w:hanging="540"/>
      </w:pPr>
      <w:r w:rsidRPr="00BC0E7E">
        <w:t>One 0.8 ml pre-fille</w:t>
      </w:r>
      <w:r w:rsidR="007746CB">
        <w:t>d pen contains 80 mg adalimumab.</w:t>
      </w:r>
    </w:p>
    <w:p w14:paraId="37AD9159" w14:textId="77777777" w:rsidR="00BC0E7E" w:rsidRPr="00BC0E7E" w:rsidRDefault="00BC0E7E" w:rsidP="00BC0E7E">
      <w:pPr>
        <w:ind w:left="540" w:hanging="540"/>
      </w:pPr>
    </w:p>
    <w:p w14:paraId="18ADC8DE" w14:textId="77777777" w:rsidR="00BC0E7E" w:rsidRPr="00BC0E7E" w:rsidRDefault="00BC0E7E" w:rsidP="00BC0E7E">
      <w:pPr>
        <w:ind w:left="540" w:hanging="540"/>
      </w:pPr>
    </w:p>
    <w:p w14:paraId="5DFFB5B4"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3.</w:t>
      </w:r>
      <w:r w:rsidRPr="00BC0E7E">
        <w:rPr>
          <w:b/>
          <w:caps/>
          <w:szCs w:val="20"/>
        </w:rPr>
        <w:tab/>
        <w:t>LIST OF EXCIPIENTS</w:t>
      </w:r>
    </w:p>
    <w:p w14:paraId="35EA980D" w14:textId="77777777" w:rsidR="00BC0E7E" w:rsidRPr="00BC0E7E" w:rsidRDefault="00BC0E7E" w:rsidP="00BC0E7E"/>
    <w:p w14:paraId="03D80684" w14:textId="77777777" w:rsidR="00BC0E7E" w:rsidRPr="00BC0E7E" w:rsidRDefault="00944B8F" w:rsidP="00BC0E7E">
      <w:r w:rsidRPr="00BC0E7E">
        <w:t>Excipients: mannitol, polysorbate 80 and water for injections. See leaflet for further information.</w:t>
      </w:r>
    </w:p>
    <w:p w14:paraId="117E96A0" w14:textId="77777777" w:rsidR="00BC0E7E" w:rsidRPr="00BC0E7E" w:rsidRDefault="00BC0E7E" w:rsidP="00BC0E7E"/>
    <w:p w14:paraId="40653318" w14:textId="77777777" w:rsidR="00BC0E7E" w:rsidRPr="00BC0E7E" w:rsidRDefault="00BC0E7E" w:rsidP="00BC0E7E"/>
    <w:p w14:paraId="0565F7B0"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4.</w:t>
      </w:r>
      <w:r w:rsidRPr="00BC0E7E">
        <w:rPr>
          <w:b/>
          <w:caps/>
          <w:szCs w:val="20"/>
        </w:rPr>
        <w:tab/>
        <w:t>PHARMACEUTICAL FORM AND CONTENTS</w:t>
      </w:r>
    </w:p>
    <w:p w14:paraId="33DBD7DB" w14:textId="77777777" w:rsidR="00BC0E7E" w:rsidRPr="00BC0E7E" w:rsidRDefault="00BC0E7E" w:rsidP="00BC0E7E">
      <w:pPr>
        <w:tabs>
          <w:tab w:val="clear" w:pos="562"/>
        </w:tabs>
        <w:ind w:left="540" w:hanging="540"/>
        <w:rPr>
          <w:szCs w:val="22"/>
        </w:rPr>
      </w:pPr>
    </w:p>
    <w:p w14:paraId="13F4B9E3" w14:textId="77777777" w:rsidR="00464CEA" w:rsidRPr="000244DF" w:rsidRDefault="00944B8F" w:rsidP="00FE40CA">
      <w:pPr>
        <w:autoSpaceDE w:val="0"/>
        <w:autoSpaceDN w:val="0"/>
        <w:adjustRightInd w:val="0"/>
        <w:rPr>
          <w:u w:val="single"/>
        </w:rPr>
      </w:pPr>
      <w:r w:rsidRPr="00647F5F">
        <w:rPr>
          <w:highlight w:val="lightGray"/>
        </w:rPr>
        <w:t>Solution for injection</w:t>
      </w:r>
    </w:p>
    <w:p w14:paraId="2E8BFE53" w14:textId="77777777" w:rsidR="00BC0E7E" w:rsidRPr="00BC0E7E" w:rsidRDefault="00944B8F" w:rsidP="00BC0E7E">
      <w:pPr>
        <w:tabs>
          <w:tab w:val="clear" w:pos="562"/>
        </w:tabs>
        <w:ind w:left="540" w:hanging="540"/>
        <w:rPr>
          <w:szCs w:val="22"/>
        </w:rPr>
      </w:pPr>
      <w:r w:rsidRPr="00BC0E7E">
        <w:rPr>
          <w:szCs w:val="22"/>
        </w:rPr>
        <w:t>1 pre-filled pen</w:t>
      </w:r>
    </w:p>
    <w:p w14:paraId="4BA88D38" w14:textId="77777777" w:rsidR="00770928" w:rsidRPr="00BC0E7E" w:rsidRDefault="00944B8F" w:rsidP="00770928">
      <w:pPr>
        <w:ind w:left="540" w:hanging="540"/>
        <w:rPr>
          <w:szCs w:val="22"/>
        </w:rPr>
      </w:pPr>
      <w:r w:rsidRPr="00BC0E7E">
        <w:rPr>
          <w:szCs w:val="22"/>
        </w:rPr>
        <w:t>2 alcohol pads</w:t>
      </w:r>
    </w:p>
    <w:p w14:paraId="1C3E79BC" w14:textId="77777777" w:rsidR="00770928" w:rsidRPr="00BC0E7E" w:rsidRDefault="00770928" w:rsidP="00770928">
      <w:pPr>
        <w:ind w:left="540" w:hanging="540"/>
        <w:rPr>
          <w:szCs w:val="22"/>
        </w:rPr>
      </w:pPr>
    </w:p>
    <w:p w14:paraId="23D0D35A" w14:textId="77777777" w:rsidR="00770928" w:rsidRPr="00976124" w:rsidRDefault="00944B8F" w:rsidP="00770928">
      <w:pPr>
        <w:tabs>
          <w:tab w:val="clear" w:pos="562"/>
        </w:tabs>
        <w:ind w:left="540" w:hanging="540"/>
        <w:rPr>
          <w:szCs w:val="22"/>
          <w:highlight w:val="lightGray"/>
        </w:rPr>
      </w:pPr>
      <w:r w:rsidRPr="00976124">
        <w:rPr>
          <w:szCs w:val="22"/>
          <w:highlight w:val="lightGray"/>
        </w:rPr>
        <w:t>3 pre-filled pens</w:t>
      </w:r>
    </w:p>
    <w:p w14:paraId="1D48E410" w14:textId="77777777" w:rsidR="00770928" w:rsidRPr="00D857FB" w:rsidRDefault="00944B8F" w:rsidP="00770928">
      <w:pPr>
        <w:ind w:left="540" w:hanging="540"/>
        <w:rPr>
          <w:szCs w:val="22"/>
        </w:rPr>
      </w:pPr>
      <w:r>
        <w:rPr>
          <w:szCs w:val="22"/>
          <w:highlight w:val="lightGray"/>
        </w:rPr>
        <w:t xml:space="preserve">4 </w:t>
      </w:r>
      <w:r w:rsidRPr="00976124">
        <w:rPr>
          <w:szCs w:val="22"/>
          <w:highlight w:val="lightGray"/>
        </w:rPr>
        <w:t>alcohol pads</w:t>
      </w:r>
    </w:p>
    <w:p w14:paraId="1061EE6A" w14:textId="77777777" w:rsidR="00BC0E7E" w:rsidRPr="00BC0E7E" w:rsidRDefault="00BC0E7E" w:rsidP="00BC0E7E">
      <w:pPr>
        <w:ind w:left="540" w:hanging="540"/>
        <w:rPr>
          <w:szCs w:val="22"/>
        </w:rPr>
      </w:pPr>
    </w:p>
    <w:p w14:paraId="18041F9E" w14:textId="77777777" w:rsidR="00BC0E7E" w:rsidRPr="00BC0E7E" w:rsidRDefault="00BC0E7E" w:rsidP="00BC0E7E">
      <w:pPr>
        <w:ind w:left="540" w:hanging="540"/>
        <w:rPr>
          <w:szCs w:val="22"/>
        </w:rPr>
      </w:pPr>
    </w:p>
    <w:p w14:paraId="713DB255"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5.</w:t>
      </w:r>
      <w:r w:rsidRPr="00BC0E7E">
        <w:rPr>
          <w:b/>
          <w:caps/>
          <w:szCs w:val="20"/>
        </w:rPr>
        <w:tab/>
        <w:t>METHOD AND ROUTE OF ADMINISTRATION</w:t>
      </w:r>
    </w:p>
    <w:p w14:paraId="66EF6116" w14:textId="77777777" w:rsidR="00BC0E7E" w:rsidRPr="00BC0E7E" w:rsidRDefault="00BC0E7E" w:rsidP="00BC0E7E">
      <w:pPr>
        <w:ind w:left="540" w:hanging="540"/>
      </w:pPr>
    </w:p>
    <w:p w14:paraId="086C6CBA" w14:textId="77777777" w:rsidR="00BC0E7E" w:rsidRPr="00BC0E7E" w:rsidRDefault="00944B8F" w:rsidP="00BC0E7E">
      <w:pPr>
        <w:ind w:left="540" w:hanging="540"/>
      </w:pPr>
      <w:r w:rsidRPr="00BC0E7E">
        <w:t>Subcutaneous use</w:t>
      </w:r>
    </w:p>
    <w:p w14:paraId="4293C5FB" w14:textId="77777777" w:rsidR="00BC0E7E" w:rsidRPr="00BC0E7E" w:rsidRDefault="00BC0E7E" w:rsidP="00BC0E7E">
      <w:pPr>
        <w:ind w:left="540" w:hanging="540"/>
      </w:pPr>
    </w:p>
    <w:p w14:paraId="3A1F00AE" w14:textId="77777777" w:rsidR="00BC0E7E" w:rsidRPr="00BC0E7E" w:rsidRDefault="00944B8F" w:rsidP="00BC0E7E">
      <w:pPr>
        <w:ind w:left="540" w:hanging="540"/>
      </w:pPr>
      <w:r w:rsidRPr="00BC0E7E">
        <w:t>Read the package leaflet before use.</w:t>
      </w:r>
    </w:p>
    <w:p w14:paraId="5269EC86" w14:textId="77777777" w:rsidR="00464CEA" w:rsidRDefault="00464CEA" w:rsidP="00464CEA">
      <w:pPr>
        <w:ind w:left="540" w:hanging="540"/>
      </w:pPr>
    </w:p>
    <w:p w14:paraId="44A3BE4D" w14:textId="77777777" w:rsidR="00464CEA" w:rsidRPr="00BC0E7E" w:rsidRDefault="00944B8F" w:rsidP="00464CEA">
      <w:pPr>
        <w:ind w:left="540" w:hanging="540"/>
      </w:pPr>
      <w:r w:rsidRPr="00BC0E7E">
        <w:t>For single use only</w:t>
      </w:r>
      <w:r>
        <w:t>.</w:t>
      </w:r>
    </w:p>
    <w:p w14:paraId="58C85FD8" w14:textId="77777777" w:rsidR="00BC0E7E" w:rsidRPr="00BC0E7E" w:rsidRDefault="00BC0E7E" w:rsidP="00BC0E7E">
      <w:pPr>
        <w:ind w:left="540" w:hanging="540"/>
      </w:pPr>
    </w:p>
    <w:p w14:paraId="1A11D370" w14:textId="77777777" w:rsidR="00BC0E7E" w:rsidRPr="00BC0E7E" w:rsidRDefault="00BC0E7E" w:rsidP="00BC0E7E">
      <w:pPr>
        <w:ind w:left="540" w:hanging="540"/>
      </w:pPr>
    </w:p>
    <w:p w14:paraId="38E92DBB"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50" w:hanging="550"/>
        <w:rPr>
          <w:b/>
          <w:caps/>
          <w:szCs w:val="20"/>
        </w:rPr>
      </w:pPr>
      <w:r w:rsidRPr="00BC0E7E">
        <w:rPr>
          <w:b/>
          <w:caps/>
          <w:szCs w:val="20"/>
        </w:rPr>
        <w:t>6.</w:t>
      </w:r>
      <w:r w:rsidRPr="00BC0E7E">
        <w:rPr>
          <w:b/>
          <w:caps/>
          <w:szCs w:val="20"/>
        </w:rPr>
        <w:tab/>
        <w:t>SPECIAL WARNING THAT THE MEDICINAL PRODUCT MUST BE STORED OUT OF THE SIGHT AND REACH OF CHILDREN</w:t>
      </w:r>
    </w:p>
    <w:p w14:paraId="648C21B1" w14:textId="77777777" w:rsidR="00BC0E7E" w:rsidRPr="00BC0E7E" w:rsidRDefault="00BC0E7E" w:rsidP="00BC0E7E">
      <w:pPr>
        <w:ind w:left="540" w:hanging="540"/>
      </w:pPr>
    </w:p>
    <w:p w14:paraId="6EF57D6E" w14:textId="77777777" w:rsidR="00BC0E7E" w:rsidRPr="00BC0E7E" w:rsidRDefault="00944B8F" w:rsidP="00BC0E7E">
      <w:pPr>
        <w:ind w:left="540" w:hanging="540"/>
      </w:pPr>
      <w:r w:rsidRPr="00BC0E7E">
        <w:t>Keep out of the sight and reach of children.</w:t>
      </w:r>
    </w:p>
    <w:p w14:paraId="5AD9E802" w14:textId="77777777" w:rsidR="00BC0E7E" w:rsidRPr="00BC0E7E" w:rsidRDefault="00BC0E7E" w:rsidP="00BC0E7E">
      <w:pPr>
        <w:ind w:left="540" w:hanging="540"/>
      </w:pPr>
    </w:p>
    <w:p w14:paraId="74A68916" w14:textId="77777777" w:rsidR="00BC0E7E" w:rsidRPr="00BC0E7E" w:rsidRDefault="00BC0E7E" w:rsidP="00BC0E7E">
      <w:pPr>
        <w:ind w:left="540" w:hanging="540"/>
      </w:pPr>
    </w:p>
    <w:p w14:paraId="33E61491"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7.</w:t>
      </w:r>
      <w:r w:rsidRPr="00BC0E7E">
        <w:rPr>
          <w:b/>
          <w:caps/>
          <w:szCs w:val="20"/>
        </w:rPr>
        <w:tab/>
        <w:t>OTHER SPECIAL WARNING, IF NECESSARY</w:t>
      </w:r>
    </w:p>
    <w:p w14:paraId="1CAFD705" w14:textId="77777777" w:rsidR="00BC0E7E" w:rsidRPr="00BC0E7E" w:rsidRDefault="00BC0E7E" w:rsidP="00BC0E7E">
      <w:pPr>
        <w:ind w:left="540" w:hanging="540"/>
      </w:pPr>
    </w:p>
    <w:p w14:paraId="20D89437" w14:textId="77777777" w:rsidR="00BC0E7E" w:rsidRPr="00BC0E7E" w:rsidRDefault="00BC0E7E" w:rsidP="00BC0E7E">
      <w:pPr>
        <w:ind w:left="540" w:hanging="540"/>
      </w:pPr>
    </w:p>
    <w:p w14:paraId="2FBABAB4" w14:textId="77777777" w:rsidR="00BC0E7E" w:rsidRPr="00BC0E7E" w:rsidRDefault="00944B8F" w:rsidP="00217DCA">
      <w:pPr>
        <w:keepNext/>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lastRenderedPageBreak/>
        <w:t>8.</w:t>
      </w:r>
      <w:r w:rsidRPr="00BC0E7E">
        <w:rPr>
          <w:b/>
          <w:caps/>
          <w:szCs w:val="20"/>
        </w:rPr>
        <w:tab/>
        <w:t>EXPIRY DATE</w:t>
      </w:r>
    </w:p>
    <w:p w14:paraId="29995220" w14:textId="77777777" w:rsidR="00BC0E7E" w:rsidRPr="00BC0E7E" w:rsidRDefault="00BC0E7E" w:rsidP="00217DCA">
      <w:pPr>
        <w:keepNext/>
        <w:ind w:left="540" w:hanging="540"/>
      </w:pPr>
    </w:p>
    <w:p w14:paraId="79F05B15" w14:textId="77777777" w:rsidR="00BC0E7E" w:rsidRPr="00BC0E7E" w:rsidRDefault="00944B8F" w:rsidP="00217DCA">
      <w:pPr>
        <w:keepNext/>
        <w:ind w:left="540" w:hanging="540"/>
      </w:pPr>
      <w:r w:rsidRPr="00BC0E7E">
        <w:t>EXP</w:t>
      </w:r>
    </w:p>
    <w:p w14:paraId="14E31D15" w14:textId="77777777" w:rsidR="00BC0E7E" w:rsidRPr="00BC0E7E" w:rsidRDefault="00BC0E7E" w:rsidP="00BC0E7E">
      <w:pPr>
        <w:ind w:left="540" w:hanging="540"/>
      </w:pPr>
    </w:p>
    <w:p w14:paraId="67DF6A32" w14:textId="77777777" w:rsidR="00BC0E7E" w:rsidRPr="00BC0E7E" w:rsidRDefault="00BC0E7E" w:rsidP="00BC0E7E">
      <w:pPr>
        <w:ind w:left="540" w:hanging="540"/>
      </w:pPr>
    </w:p>
    <w:p w14:paraId="00F9E984" w14:textId="77777777" w:rsidR="00BC0E7E" w:rsidRPr="00BC0E7E" w:rsidRDefault="00944B8F" w:rsidP="00BC0E7E">
      <w:pPr>
        <w:keepNext/>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9.</w:t>
      </w:r>
      <w:r w:rsidRPr="00BC0E7E">
        <w:rPr>
          <w:b/>
          <w:caps/>
          <w:szCs w:val="20"/>
        </w:rPr>
        <w:tab/>
        <w:t>SPECIAL STORAGE CONDITIONS</w:t>
      </w:r>
    </w:p>
    <w:p w14:paraId="0E802F45" w14:textId="77777777" w:rsidR="00BC0E7E" w:rsidRPr="00BC0E7E" w:rsidRDefault="00BC0E7E" w:rsidP="00BC0E7E">
      <w:pPr>
        <w:keepNext/>
        <w:ind w:left="540" w:hanging="540"/>
      </w:pPr>
    </w:p>
    <w:p w14:paraId="66A21407" w14:textId="77777777" w:rsidR="00BC0E7E" w:rsidRPr="00BC0E7E" w:rsidRDefault="00944B8F" w:rsidP="00BC0E7E">
      <w:pPr>
        <w:keepNext/>
        <w:ind w:left="540" w:hanging="540"/>
      </w:pPr>
      <w:r w:rsidRPr="00BC0E7E">
        <w:t xml:space="preserve">Store in a refrigerator. Do not freeze. </w:t>
      </w:r>
    </w:p>
    <w:p w14:paraId="72E72B17" w14:textId="77777777" w:rsidR="00BC0E7E" w:rsidRPr="00BC0E7E" w:rsidRDefault="00944B8F" w:rsidP="00BC0E7E">
      <w:pPr>
        <w:keepNext/>
      </w:pPr>
      <w:r w:rsidRPr="00BC0E7E">
        <w:rPr>
          <w:rFonts w:eastAsia="MS Mincho"/>
        </w:rPr>
        <w:t>Refer to package leaflet for alternative storage details.</w:t>
      </w:r>
    </w:p>
    <w:p w14:paraId="296D1216" w14:textId="77777777" w:rsidR="00BC0E7E" w:rsidRPr="00BC0E7E" w:rsidRDefault="00BC0E7E" w:rsidP="00BC0E7E">
      <w:pPr>
        <w:keepNext/>
        <w:ind w:left="540" w:hanging="540"/>
      </w:pPr>
    </w:p>
    <w:p w14:paraId="585B8BDD" w14:textId="77777777" w:rsidR="00BC0E7E" w:rsidRPr="00BC0E7E" w:rsidRDefault="00944B8F" w:rsidP="00BC0E7E">
      <w:pPr>
        <w:keepNext/>
        <w:ind w:left="540" w:hanging="540"/>
      </w:pPr>
      <w:r w:rsidRPr="00BC0E7E">
        <w:t>Keep the pre-filled pen in the outer carton in order to protect from light.</w:t>
      </w:r>
    </w:p>
    <w:p w14:paraId="4B118E20" w14:textId="77777777" w:rsidR="00BC0E7E" w:rsidRPr="00BC0E7E" w:rsidRDefault="00BC0E7E" w:rsidP="00BC0E7E">
      <w:pPr>
        <w:ind w:left="540" w:hanging="540"/>
      </w:pPr>
    </w:p>
    <w:p w14:paraId="7B865097" w14:textId="77777777" w:rsidR="00BC0E7E" w:rsidRPr="00BC0E7E" w:rsidRDefault="00BC0E7E" w:rsidP="00BC0E7E">
      <w:pPr>
        <w:ind w:left="540" w:hanging="540"/>
      </w:pPr>
    </w:p>
    <w:p w14:paraId="6ACEB16E"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10.</w:t>
      </w:r>
      <w:r w:rsidRPr="00BC0E7E">
        <w:rPr>
          <w:b/>
          <w:caps/>
          <w:szCs w:val="20"/>
        </w:rPr>
        <w:tab/>
        <w:t>SPECIAL PRECAUTIONS FOR DISPOSAL OF UNUSED MEDICINAL PRODUCTS OR WASTE MATERIALS DERIVED FROM SUCH MEDICINAL PRODUCTS, IF APPROPRIATE</w:t>
      </w:r>
    </w:p>
    <w:p w14:paraId="1679BD7A" w14:textId="77777777" w:rsidR="00BC0E7E" w:rsidRPr="00BC0E7E" w:rsidRDefault="00BC0E7E" w:rsidP="00BC0E7E">
      <w:pPr>
        <w:ind w:left="540" w:hanging="540"/>
      </w:pPr>
    </w:p>
    <w:p w14:paraId="5766B62E" w14:textId="77777777" w:rsidR="00BC0E7E" w:rsidRPr="00BC0E7E" w:rsidRDefault="00BC0E7E" w:rsidP="00BC0E7E">
      <w:pPr>
        <w:ind w:left="540" w:hanging="540"/>
      </w:pPr>
    </w:p>
    <w:p w14:paraId="1A67D9C8"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11.</w:t>
      </w:r>
      <w:r w:rsidRPr="00BC0E7E">
        <w:rPr>
          <w:b/>
          <w:caps/>
          <w:szCs w:val="20"/>
        </w:rPr>
        <w:tab/>
        <w:t>NAME AND ADDRESS OF THE MARKETING AUTHORISATION HOLDER</w:t>
      </w:r>
    </w:p>
    <w:p w14:paraId="1D1A83AF" w14:textId="77777777" w:rsidR="00BC0E7E" w:rsidRPr="00BC0E7E" w:rsidRDefault="00BC0E7E" w:rsidP="00BC0E7E">
      <w:pPr>
        <w:keepNext/>
        <w:tabs>
          <w:tab w:val="clear" w:pos="562"/>
        </w:tabs>
        <w:suppressAutoHyphens w:val="0"/>
        <w:autoSpaceDE w:val="0"/>
        <w:autoSpaceDN w:val="0"/>
        <w:adjustRightInd w:val="0"/>
        <w:spacing w:line="240" w:lineRule="atLeast"/>
        <w:rPr>
          <w:szCs w:val="22"/>
          <w:lang w:eastAsia="en-GB"/>
        </w:rPr>
      </w:pPr>
    </w:p>
    <w:p w14:paraId="1D3A82A1"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AbbVie Deutschland GmbH &amp; Co. KG</w:t>
      </w:r>
    </w:p>
    <w:p w14:paraId="68B21AD9"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Knollstrasse</w:t>
      </w:r>
    </w:p>
    <w:p w14:paraId="13BCF829"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67061 Ludwigshafen</w:t>
      </w:r>
    </w:p>
    <w:p w14:paraId="53890400" w14:textId="77777777" w:rsidR="006A01D2" w:rsidRDefault="00944B8F" w:rsidP="006A01D2">
      <w:pPr>
        <w:keepNext/>
        <w:tabs>
          <w:tab w:val="clear" w:pos="562"/>
          <w:tab w:val="left" w:pos="720"/>
        </w:tabs>
        <w:suppressAutoHyphens w:val="0"/>
        <w:autoSpaceDE w:val="0"/>
        <w:autoSpaceDN w:val="0"/>
        <w:adjustRightInd w:val="0"/>
        <w:spacing w:line="240" w:lineRule="atLeast"/>
        <w:rPr>
          <w:szCs w:val="22"/>
          <w:lang w:eastAsia="en-GB"/>
        </w:rPr>
      </w:pPr>
      <w:r w:rsidRPr="00EB4204">
        <w:rPr>
          <w:szCs w:val="22"/>
          <w:lang w:eastAsia="en-GB"/>
        </w:rPr>
        <w:t>Germany</w:t>
      </w:r>
      <w:r>
        <w:rPr>
          <w:szCs w:val="22"/>
          <w:lang w:eastAsia="en-GB"/>
        </w:rPr>
        <w:t xml:space="preserve"> </w:t>
      </w:r>
    </w:p>
    <w:p w14:paraId="4A6B5C4D" w14:textId="77777777" w:rsidR="00BC0E7E" w:rsidRPr="00BC0E7E" w:rsidRDefault="00BC0E7E" w:rsidP="00BC0E7E">
      <w:pPr>
        <w:keepNext/>
        <w:tabs>
          <w:tab w:val="clear" w:pos="562"/>
        </w:tabs>
        <w:suppressAutoHyphens w:val="0"/>
        <w:autoSpaceDE w:val="0"/>
        <w:autoSpaceDN w:val="0"/>
        <w:adjustRightInd w:val="0"/>
        <w:spacing w:line="240" w:lineRule="atLeast"/>
        <w:rPr>
          <w:szCs w:val="22"/>
          <w:lang w:eastAsia="en-GB"/>
        </w:rPr>
      </w:pPr>
    </w:p>
    <w:p w14:paraId="13C0C9D2" w14:textId="77777777" w:rsidR="00BC0E7E" w:rsidRPr="00BC0E7E" w:rsidRDefault="00BC0E7E" w:rsidP="00BC0E7E">
      <w:pPr>
        <w:keepNext/>
        <w:tabs>
          <w:tab w:val="clear" w:pos="562"/>
        </w:tabs>
        <w:suppressAutoHyphens w:val="0"/>
        <w:autoSpaceDE w:val="0"/>
        <w:autoSpaceDN w:val="0"/>
        <w:adjustRightInd w:val="0"/>
        <w:spacing w:line="240" w:lineRule="atLeast"/>
        <w:rPr>
          <w:szCs w:val="22"/>
          <w:lang w:eastAsia="en-GB"/>
        </w:rPr>
      </w:pPr>
    </w:p>
    <w:p w14:paraId="660B3A94"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12.</w:t>
      </w:r>
      <w:r w:rsidRPr="00BC0E7E">
        <w:rPr>
          <w:b/>
          <w:caps/>
          <w:szCs w:val="20"/>
        </w:rPr>
        <w:tab/>
        <w:t>MARKETING AUTHORISATION NUMBER</w:t>
      </w:r>
    </w:p>
    <w:p w14:paraId="57D32FEF" w14:textId="77777777" w:rsidR="00BC0E7E" w:rsidRPr="00BC0E7E" w:rsidRDefault="00BC0E7E" w:rsidP="00BC0E7E">
      <w:pPr>
        <w:ind w:left="540" w:hanging="540"/>
      </w:pPr>
    </w:p>
    <w:p w14:paraId="5BE2BA71" w14:textId="77777777" w:rsidR="00BC0E7E" w:rsidRPr="00BC0E7E" w:rsidRDefault="00944B8F" w:rsidP="00BC0E7E">
      <w:pPr>
        <w:ind w:left="540" w:hanging="540"/>
      </w:pPr>
      <w:r w:rsidRPr="00BC0E7E">
        <w:t>EU/1/03/256/021</w:t>
      </w:r>
    </w:p>
    <w:p w14:paraId="241759FE" w14:textId="77777777" w:rsidR="00770928" w:rsidRDefault="00944B8F" w:rsidP="00770928">
      <w:pPr>
        <w:ind w:left="540" w:hanging="540"/>
      </w:pPr>
      <w:r w:rsidRPr="00976124">
        <w:rPr>
          <w:highlight w:val="lightGray"/>
        </w:rPr>
        <w:t>EU/1/03/256/</w:t>
      </w:r>
      <w:r w:rsidRPr="00B01763">
        <w:rPr>
          <w:highlight w:val="lightGray"/>
        </w:rPr>
        <w:t>027</w:t>
      </w:r>
    </w:p>
    <w:p w14:paraId="2EE4300E" w14:textId="77777777" w:rsidR="00BC0E7E" w:rsidRPr="00BC0E7E" w:rsidRDefault="00BC0E7E" w:rsidP="00BC0E7E">
      <w:pPr>
        <w:ind w:left="540" w:hanging="540"/>
      </w:pPr>
    </w:p>
    <w:p w14:paraId="03144735" w14:textId="77777777" w:rsidR="00BC0E7E" w:rsidRPr="00BC0E7E" w:rsidRDefault="00BC0E7E" w:rsidP="00BC0E7E">
      <w:pPr>
        <w:ind w:left="540" w:hanging="540"/>
      </w:pPr>
    </w:p>
    <w:p w14:paraId="3BFC5F9F"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13.</w:t>
      </w:r>
      <w:r w:rsidRPr="00BC0E7E">
        <w:rPr>
          <w:b/>
          <w:caps/>
          <w:szCs w:val="20"/>
        </w:rPr>
        <w:tab/>
        <w:t>BATCH NUMBER</w:t>
      </w:r>
    </w:p>
    <w:p w14:paraId="5BED2669" w14:textId="77777777" w:rsidR="00BC0E7E" w:rsidRPr="00BC0E7E" w:rsidRDefault="00BC0E7E" w:rsidP="00BC0E7E">
      <w:pPr>
        <w:ind w:left="540" w:hanging="540"/>
      </w:pPr>
    </w:p>
    <w:p w14:paraId="33E77E36" w14:textId="77777777" w:rsidR="00BC0E7E" w:rsidRPr="00BC0E7E" w:rsidRDefault="00944B8F" w:rsidP="00BC0E7E">
      <w:pPr>
        <w:ind w:left="540" w:hanging="540"/>
      </w:pPr>
      <w:r w:rsidRPr="00BC0E7E">
        <w:t xml:space="preserve">Lot </w:t>
      </w:r>
    </w:p>
    <w:p w14:paraId="52E19EF4" w14:textId="77777777" w:rsidR="00BC0E7E" w:rsidRPr="00BC0E7E" w:rsidRDefault="00BC0E7E" w:rsidP="00BC0E7E">
      <w:pPr>
        <w:ind w:left="540" w:hanging="540"/>
      </w:pPr>
    </w:p>
    <w:p w14:paraId="349BDF77" w14:textId="77777777" w:rsidR="00BC0E7E" w:rsidRPr="00BC0E7E" w:rsidRDefault="00BC0E7E" w:rsidP="00BC0E7E">
      <w:pPr>
        <w:ind w:left="540" w:hanging="540"/>
      </w:pPr>
    </w:p>
    <w:p w14:paraId="5AD8B67D"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14.</w:t>
      </w:r>
      <w:r w:rsidRPr="00BC0E7E">
        <w:rPr>
          <w:b/>
          <w:caps/>
          <w:szCs w:val="20"/>
        </w:rPr>
        <w:tab/>
        <w:t>GENERAL CLASSIFICATION FOR SUPPLY</w:t>
      </w:r>
    </w:p>
    <w:p w14:paraId="46DDC695" w14:textId="77777777" w:rsidR="00BC0E7E" w:rsidRPr="00BC0E7E" w:rsidRDefault="00BC0E7E" w:rsidP="00BC0E7E">
      <w:pPr>
        <w:ind w:left="540" w:hanging="540"/>
      </w:pPr>
    </w:p>
    <w:p w14:paraId="45180E8E" w14:textId="77777777" w:rsidR="00BC0E7E" w:rsidRPr="00BC0E7E" w:rsidRDefault="00BC0E7E" w:rsidP="00BC0E7E">
      <w:pPr>
        <w:ind w:left="540" w:hanging="540"/>
      </w:pPr>
    </w:p>
    <w:p w14:paraId="46F341EA"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15.</w:t>
      </w:r>
      <w:r w:rsidRPr="00BC0E7E">
        <w:rPr>
          <w:b/>
          <w:caps/>
          <w:szCs w:val="20"/>
        </w:rPr>
        <w:tab/>
        <w:t>INSTRUCTIONS ON USE</w:t>
      </w:r>
    </w:p>
    <w:p w14:paraId="7D349029" w14:textId="77777777" w:rsidR="00BC0E7E" w:rsidRPr="00BC0E7E" w:rsidRDefault="00BC0E7E" w:rsidP="00BC0E7E">
      <w:pPr>
        <w:rPr>
          <w:szCs w:val="20"/>
        </w:rPr>
      </w:pPr>
    </w:p>
    <w:p w14:paraId="648B7326" w14:textId="77777777" w:rsidR="00BC0E7E" w:rsidRPr="00BC0E7E" w:rsidRDefault="00BC0E7E" w:rsidP="00BC0E7E">
      <w:pPr>
        <w:rPr>
          <w:szCs w:val="20"/>
        </w:rPr>
      </w:pPr>
    </w:p>
    <w:p w14:paraId="54CD5531" w14:textId="77777777" w:rsidR="00BC0E7E" w:rsidRPr="002F270B" w:rsidRDefault="00944B8F" w:rsidP="00BC0E7E">
      <w:pPr>
        <w:pBdr>
          <w:top w:val="single" w:sz="4" w:space="1" w:color="auto"/>
          <w:left w:val="single" w:sz="4" w:space="4" w:color="auto"/>
          <w:bottom w:val="single" w:sz="4" w:space="1" w:color="auto"/>
          <w:right w:val="single" w:sz="4" w:space="4" w:color="auto"/>
        </w:pBdr>
        <w:rPr>
          <w:b/>
          <w:bCs/>
          <w:caps/>
          <w:szCs w:val="20"/>
        </w:rPr>
      </w:pPr>
      <w:r w:rsidRPr="002F270B">
        <w:rPr>
          <w:b/>
          <w:bCs/>
          <w:caps/>
          <w:szCs w:val="20"/>
        </w:rPr>
        <w:t>16.</w:t>
      </w:r>
      <w:r w:rsidRPr="002F270B">
        <w:rPr>
          <w:b/>
          <w:bCs/>
          <w:caps/>
          <w:szCs w:val="20"/>
        </w:rPr>
        <w:tab/>
        <w:t>Information in braille</w:t>
      </w:r>
    </w:p>
    <w:p w14:paraId="644A1137" w14:textId="77777777" w:rsidR="00BC0E7E" w:rsidRPr="002F270B" w:rsidRDefault="00BC0E7E" w:rsidP="00BC0E7E">
      <w:pPr>
        <w:ind w:left="540" w:hanging="540"/>
      </w:pPr>
    </w:p>
    <w:p w14:paraId="088351B6" w14:textId="77777777" w:rsidR="00BC0E7E" w:rsidRPr="00491143" w:rsidRDefault="00944B8F" w:rsidP="00BC0E7E">
      <w:pPr>
        <w:ind w:left="540" w:hanging="540"/>
        <w:rPr>
          <w:lang w:val="es-ES"/>
        </w:rPr>
      </w:pPr>
      <w:r w:rsidRPr="00491143">
        <w:rPr>
          <w:lang w:val="es-ES"/>
        </w:rPr>
        <w:t>Humira 80 mg</w:t>
      </w:r>
    </w:p>
    <w:p w14:paraId="30E267B8" w14:textId="77777777" w:rsidR="00BC0E7E" w:rsidRPr="00491143" w:rsidRDefault="00BC0E7E" w:rsidP="00BC0E7E">
      <w:pPr>
        <w:ind w:left="540" w:hanging="540"/>
        <w:rPr>
          <w:lang w:val="es-ES"/>
        </w:rPr>
      </w:pPr>
    </w:p>
    <w:p w14:paraId="78B1C4F3" w14:textId="77777777" w:rsidR="00BC0E7E" w:rsidRPr="00491143" w:rsidRDefault="00BC0E7E" w:rsidP="00BC0E7E">
      <w:pPr>
        <w:ind w:left="540" w:hanging="540"/>
        <w:rPr>
          <w:lang w:val="es-ES"/>
        </w:rPr>
      </w:pPr>
    </w:p>
    <w:p w14:paraId="56DD8694" w14:textId="77777777" w:rsidR="00BC0E7E" w:rsidRPr="00433FAD" w:rsidRDefault="00944B8F" w:rsidP="00BC0E7E">
      <w:pPr>
        <w:pBdr>
          <w:top w:val="single" w:sz="4" w:space="1" w:color="auto"/>
          <w:left w:val="single" w:sz="4" w:space="4" w:color="auto"/>
          <w:bottom w:val="single" w:sz="4" w:space="1" w:color="auto"/>
          <w:right w:val="single" w:sz="4" w:space="4" w:color="auto"/>
        </w:pBdr>
        <w:rPr>
          <w:b/>
          <w:bCs/>
          <w:caps/>
          <w:szCs w:val="20"/>
          <w:lang w:val="es-MX"/>
        </w:rPr>
      </w:pPr>
      <w:r w:rsidRPr="00491143">
        <w:rPr>
          <w:b/>
          <w:bCs/>
          <w:caps/>
          <w:szCs w:val="20"/>
          <w:lang w:val="es-ES"/>
        </w:rPr>
        <w:t xml:space="preserve">17. </w:t>
      </w:r>
      <w:r w:rsidRPr="00491143">
        <w:rPr>
          <w:b/>
          <w:bCs/>
          <w:caps/>
          <w:szCs w:val="20"/>
          <w:lang w:val="es-ES"/>
        </w:rPr>
        <w:tab/>
      </w:r>
      <w:r w:rsidRPr="00433FAD">
        <w:rPr>
          <w:b/>
          <w:bCs/>
          <w:caps/>
          <w:szCs w:val="20"/>
          <w:lang w:val="es-MX"/>
        </w:rPr>
        <w:t>UNIQUE INDENTIFIER – 2D BARCODE</w:t>
      </w:r>
    </w:p>
    <w:p w14:paraId="0B80AF9D" w14:textId="77777777" w:rsidR="00BC0E7E" w:rsidRPr="00433FAD" w:rsidRDefault="00BC0E7E" w:rsidP="00BC0E7E">
      <w:pPr>
        <w:rPr>
          <w:lang w:val="es-MX"/>
        </w:rPr>
      </w:pPr>
    </w:p>
    <w:p w14:paraId="62DDD753" w14:textId="77777777" w:rsidR="00BC0E7E" w:rsidRPr="00BC0E7E" w:rsidRDefault="00944B8F" w:rsidP="00BC0E7E">
      <w:pPr>
        <w:rPr>
          <w:shd w:val="clear" w:color="auto" w:fill="BFBFBF"/>
        </w:rPr>
      </w:pPr>
      <w:r w:rsidRPr="00BC0E7E">
        <w:rPr>
          <w:shd w:val="clear" w:color="auto" w:fill="BFBFBF"/>
        </w:rPr>
        <w:t>2D barcode carrying the unique identifier included.</w:t>
      </w:r>
    </w:p>
    <w:p w14:paraId="739A7B51" w14:textId="77777777" w:rsidR="00BC0E7E" w:rsidRPr="00BC0E7E" w:rsidRDefault="00BC0E7E" w:rsidP="00BC0E7E">
      <w:pPr>
        <w:rPr>
          <w:shd w:val="clear" w:color="auto" w:fill="BFBFBF"/>
        </w:rPr>
      </w:pPr>
    </w:p>
    <w:p w14:paraId="0879CF69" w14:textId="77777777" w:rsidR="00BC0E7E" w:rsidRPr="00BC0E7E" w:rsidRDefault="00BC0E7E" w:rsidP="00BC0E7E">
      <w:pPr>
        <w:rPr>
          <w:shd w:val="clear" w:color="auto" w:fill="BFBFBF"/>
        </w:rPr>
      </w:pPr>
    </w:p>
    <w:p w14:paraId="4416A1B9" w14:textId="77777777" w:rsidR="00BC0E7E" w:rsidRPr="00BC0E7E" w:rsidRDefault="00944B8F" w:rsidP="00BC0E7E">
      <w:pPr>
        <w:keepNext/>
        <w:pBdr>
          <w:top w:val="single" w:sz="4" w:space="1" w:color="auto"/>
          <w:left w:val="single" w:sz="4" w:space="4" w:color="auto"/>
          <w:bottom w:val="single" w:sz="4" w:space="1" w:color="auto"/>
          <w:right w:val="single" w:sz="4" w:space="4" w:color="auto"/>
        </w:pBdr>
        <w:rPr>
          <w:rFonts w:ascii="Times New Roman Bold" w:hAnsi="Times New Roman Bold"/>
          <w:caps/>
          <w:szCs w:val="20"/>
        </w:rPr>
      </w:pPr>
      <w:r w:rsidRPr="00BC0E7E">
        <w:rPr>
          <w:b/>
          <w:bCs/>
          <w:caps/>
          <w:szCs w:val="20"/>
        </w:rPr>
        <w:t xml:space="preserve">18. </w:t>
      </w:r>
      <w:r w:rsidRPr="00BC0E7E">
        <w:rPr>
          <w:b/>
          <w:bCs/>
          <w:caps/>
          <w:szCs w:val="20"/>
        </w:rPr>
        <w:tab/>
        <w:t>UNIQUE INDENTIFIER – HUMAN READABLE DATA</w:t>
      </w:r>
    </w:p>
    <w:p w14:paraId="334700FD" w14:textId="77777777" w:rsidR="00BC0E7E" w:rsidRPr="00BC0E7E" w:rsidRDefault="00BC0E7E" w:rsidP="00BC0E7E">
      <w:pPr>
        <w:keepNext/>
        <w:ind w:left="540" w:hanging="540"/>
      </w:pPr>
    </w:p>
    <w:p w14:paraId="45FDA807" w14:textId="77777777" w:rsidR="00BC0E7E" w:rsidRPr="00BC0E7E" w:rsidRDefault="00944B8F" w:rsidP="00BC0E7E">
      <w:pPr>
        <w:keepNext/>
        <w:ind w:left="540" w:hanging="540"/>
      </w:pPr>
      <w:r w:rsidRPr="00BC0E7E">
        <w:t>PC</w:t>
      </w:r>
    </w:p>
    <w:p w14:paraId="2F23DE46" w14:textId="77777777" w:rsidR="001A4F98" w:rsidRDefault="00944B8F" w:rsidP="00BC0E7E">
      <w:pPr>
        <w:keepNext/>
        <w:ind w:left="540" w:hanging="540"/>
      </w:pPr>
      <w:r w:rsidRPr="00BC0E7E">
        <w:t>SN</w:t>
      </w:r>
    </w:p>
    <w:p w14:paraId="0E12F315" w14:textId="77777777" w:rsidR="00BC0E7E" w:rsidRPr="00BC0E7E" w:rsidRDefault="00944B8F" w:rsidP="00BC0E7E">
      <w:pPr>
        <w:keepNext/>
        <w:ind w:left="540" w:hanging="540"/>
      </w:pPr>
      <w:r w:rsidRPr="001B6DEE">
        <w:rPr>
          <w:highlight w:val="darkGray"/>
        </w:rPr>
        <w:t>NN</w:t>
      </w:r>
    </w:p>
    <w:p w14:paraId="08042355" w14:textId="77777777" w:rsidR="00BC0E7E" w:rsidRPr="00BC0E7E" w:rsidRDefault="00BC0E7E" w:rsidP="00BC0E7E">
      <w:pPr>
        <w:ind w:left="540" w:hanging="540"/>
      </w:pPr>
    </w:p>
    <w:p w14:paraId="21CC17EC" w14:textId="77777777" w:rsidR="00BC0E7E" w:rsidRPr="00BC0E7E" w:rsidRDefault="00944B8F" w:rsidP="00BC0E7E">
      <w:pPr>
        <w:pBdr>
          <w:top w:val="single" w:sz="4" w:space="1" w:color="auto"/>
          <w:left w:val="single" w:sz="4" w:space="4" w:color="auto"/>
          <w:bottom w:val="single" w:sz="4" w:space="1" w:color="auto"/>
          <w:right w:val="single" w:sz="4" w:space="4" w:color="auto"/>
        </w:pBdr>
        <w:tabs>
          <w:tab w:val="clear" w:pos="562"/>
        </w:tabs>
        <w:rPr>
          <w:rFonts w:ascii="Times New Roman Bold" w:hAnsi="Times New Roman Bold"/>
          <w:b/>
          <w:caps/>
          <w:szCs w:val="20"/>
        </w:rPr>
      </w:pPr>
      <w:r w:rsidRPr="00BC0E7E">
        <w:rPr>
          <w:b/>
          <w:caps/>
          <w:szCs w:val="20"/>
        </w:rPr>
        <w:br w:type="page"/>
      </w:r>
      <w:r w:rsidRPr="00BC0E7E">
        <w:rPr>
          <w:rFonts w:ascii="Times New Roman Bold" w:hAnsi="Times New Roman Bold"/>
          <w:b/>
          <w:caps/>
          <w:szCs w:val="20"/>
        </w:rPr>
        <w:lastRenderedPageBreak/>
        <w:t>MINIMUM PARTICULARS TO APPEAR ON BLISTERS OR STRIPS</w:t>
      </w:r>
    </w:p>
    <w:p w14:paraId="2DBE7A5F" w14:textId="77777777" w:rsidR="00BC0E7E" w:rsidRPr="00BC0E7E" w:rsidRDefault="00BC0E7E" w:rsidP="00BC0E7E">
      <w:pPr>
        <w:pBdr>
          <w:top w:val="single" w:sz="4" w:space="1" w:color="auto"/>
          <w:left w:val="single" w:sz="4" w:space="4" w:color="auto"/>
          <w:bottom w:val="single" w:sz="4" w:space="1" w:color="auto"/>
          <w:right w:val="single" w:sz="4" w:space="4" w:color="auto"/>
        </w:pBdr>
        <w:ind w:left="540" w:hanging="540"/>
        <w:rPr>
          <w:b/>
        </w:rPr>
      </w:pPr>
    </w:p>
    <w:p w14:paraId="7F696CD8" w14:textId="77777777" w:rsidR="00BC0E7E" w:rsidRPr="00BC0E7E" w:rsidRDefault="00944B8F" w:rsidP="00BC0E7E">
      <w:pPr>
        <w:keepLines/>
        <w:pBdr>
          <w:top w:val="single" w:sz="4" w:space="1" w:color="auto"/>
          <w:left w:val="single" w:sz="4" w:space="4" w:color="auto"/>
          <w:bottom w:val="single" w:sz="4" w:space="1" w:color="auto"/>
          <w:right w:val="single" w:sz="4" w:space="4" w:color="auto"/>
        </w:pBdr>
        <w:ind w:left="540" w:hanging="540"/>
        <w:outlineLvl w:val="2"/>
        <w:rPr>
          <w:b/>
          <w:bCs/>
          <w:szCs w:val="26"/>
        </w:rPr>
      </w:pPr>
      <w:r w:rsidRPr="00BC0E7E">
        <w:rPr>
          <w:b/>
          <w:bCs/>
          <w:szCs w:val="26"/>
        </w:rPr>
        <w:t>TRAY BACKING TEXT</w:t>
      </w:r>
    </w:p>
    <w:p w14:paraId="0A818E9C" w14:textId="77777777" w:rsidR="00BC0E7E" w:rsidRPr="00BC0E7E" w:rsidRDefault="00BC0E7E" w:rsidP="00BC0E7E">
      <w:pPr>
        <w:ind w:left="540" w:hanging="540"/>
      </w:pPr>
    </w:p>
    <w:p w14:paraId="2748BF21" w14:textId="77777777" w:rsidR="00BC0E7E" w:rsidRPr="00BC0E7E" w:rsidRDefault="00BC0E7E" w:rsidP="00BC0E7E">
      <w:pPr>
        <w:ind w:left="540" w:hanging="540"/>
      </w:pPr>
    </w:p>
    <w:p w14:paraId="2CD92144"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1.</w:t>
      </w:r>
      <w:r w:rsidRPr="00BC0E7E">
        <w:rPr>
          <w:b/>
          <w:caps/>
          <w:szCs w:val="20"/>
        </w:rPr>
        <w:tab/>
        <w:t>NAME OF THE MEDICINAL PRODUCT</w:t>
      </w:r>
    </w:p>
    <w:p w14:paraId="20DE0419" w14:textId="77777777" w:rsidR="00BC0E7E" w:rsidRPr="00BC0E7E" w:rsidRDefault="00BC0E7E" w:rsidP="00BC0E7E">
      <w:pPr>
        <w:ind w:left="540" w:hanging="540"/>
      </w:pPr>
    </w:p>
    <w:p w14:paraId="004FF71F" w14:textId="77777777" w:rsidR="00BC0E7E" w:rsidRPr="00BC0E7E" w:rsidRDefault="00944B8F" w:rsidP="00BC0E7E">
      <w:pPr>
        <w:ind w:left="540" w:hanging="540"/>
      </w:pPr>
      <w:r w:rsidRPr="00BC0E7E">
        <w:t>Humira 80 mg solution for injection in pre-filled pen</w:t>
      </w:r>
    </w:p>
    <w:p w14:paraId="16C8110B" w14:textId="77777777" w:rsidR="00BC0E7E" w:rsidRPr="00BC0E7E" w:rsidRDefault="00944B8F" w:rsidP="00BC0E7E">
      <w:pPr>
        <w:ind w:left="540" w:hanging="540"/>
      </w:pPr>
      <w:r w:rsidRPr="00BC0E7E">
        <w:t>adalimumab</w:t>
      </w:r>
    </w:p>
    <w:p w14:paraId="14428FFE" w14:textId="77777777" w:rsidR="00BC0E7E" w:rsidRPr="00BC0E7E" w:rsidRDefault="00BC0E7E" w:rsidP="00BC0E7E">
      <w:pPr>
        <w:ind w:left="540" w:hanging="540"/>
      </w:pPr>
    </w:p>
    <w:p w14:paraId="589ABF92" w14:textId="77777777" w:rsidR="00BC0E7E" w:rsidRPr="00BC0E7E" w:rsidRDefault="00BC0E7E" w:rsidP="00BC0E7E">
      <w:pPr>
        <w:ind w:left="540" w:hanging="540"/>
      </w:pPr>
    </w:p>
    <w:p w14:paraId="43B42E32"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2.</w:t>
      </w:r>
      <w:r w:rsidRPr="00BC0E7E">
        <w:rPr>
          <w:b/>
          <w:caps/>
          <w:szCs w:val="20"/>
        </w:rPr>
        <w:tab/>
        <w:t>NAME OF THE MARKETING AUTHORISATION HOLDER</w:t>
      </w:r>
    </w:p>
    <w:p w14:paraId="725CFE44" w14:textId="77777777" w:rsidR="00BC0E7E" w:rsidRPr="00BC0E7E" w:rsidRDefault="00BC0E7E" w:rsidP="00BC0E7E">
      <w:pPr>
        <w:ind w:left="540" w:hanging="540"/>
      </w:pPr>
    </w:p>
    <w:p w14:paraId="74936931" w14:textId="77777777" w:rsidR="006A01D2" w:rsidRDefault="00944B8F" w:rsidP="006A01D2">
      <w:pPr>
        <w:keepNext/>
        <w:tabs>
          <w:tab w:val="clear" w:pos="562"/>
        </w:tabs>
        <w:suppressAutoHyphens w:val="0"/>
        <w:autoSpaceDE w:val="0"/>
        <w:autoSpaceDN w:val="0"/>
        <w:adjustRightInd w:val="0"/>
        <w:spacing w:line="240" w:lineRule="atLeast"/>
      </w:pPr>
      <w:r>
        <w:t xml:space="preserve">AbbVie </w:t>
      </w:r>
      <w:r w:rsidRPr="00D32313">
        <w:rPr>
          <w:szCs w:val="22"/>
          <w:highlight w:val="lightGray"/>
          <w:lang w:eastAsia="en-GB"/>
        </w:rPr>
        <w:t>(as logo)</w:t>
      </w:r>
    </w:p>
    <w:p w14:paraId="56376B9E" w14:textId="77777777" w:rsidR="00BC0E7E" w:rsidRPr="00BC0E7E" w:rsidRDefault="00BC0E7E" w:rsidP="00BC0E7E">
      <w:pPr>
        <w:ind w:left="540" w:hanging="540"/>
      </w:pPr>
    </w:p>
    <w:p w14:paraId="27287F1E" w14:textId="77777777" w:rsidR="00BC0E7E" w:rsidRPr="00BC0E7E" w:rsidRDefault="00BC0E7E" w:rsidP="00BC0E7E">
      <w:pPr>
        <w:ind w:left="540" w:hanging="540"/>
      </w:pPr>
    </w:p>
    <w:p w14:paraId="57A158E5"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3.</w:t>
      </w:r>
      <w:r w:rsidRPr="00BC0E7E">
        <w:rPr>
          <w:b/>
          <w:caps/>
          <w:szCs w:val="20"/>
        </w:rPr>
        <w:tab/>
        <w:t>EXPIRY DATE</w:t>
      </w:r>
    </w:p>
    <w:p w14:paraId="63DC2F77" w14:textId="77777777" w:rsidR="00BC0E7E" w:rsidRPr="00BC0E7E" w:rsidRDefault="00BC0E7E" w:rsidP="00BC0E7E">
      <w:pPr>
        <w:ind w:left="540" w:hanging="540"/>
      </w:pPr>
    </w:p>
    <w:p w14:paraId="1115E61D" w14:textId="77777777" w:rsidR="00BC0E7E" w:rsidRPr="00BC0E7E" w:rsidRDefault="00944B8F" w:rsidP="00BC0E7E">
      <w:pPr>
        <w:ind w:left="540" w:hanging="540"/>
      </w:pPr>
      <w:r w:rsidRPr="00BC0E7E">
        <w:t>EXP</w:t>
      </w:r>
    </w:p>
    <w:p w14:paraId="1029A002" w14:textId="77777777" w:rsidR="00BC0E7E" w:rsidRPr="00BC0E7E" w:rsidRDefault="00BC0E7E" w:rsidP="00BC0E7E">
      <w:pPr>
        <w:ind w:left="540" w:hanging="540"/>
      </w:pPr>
    </w:p>
    <w:p w14:paraId="27EC2C6B" w14:textId="77777777" w:rsidR="00BC0E7E" w:rsidRPr="00BC0E7E" w:rsidRDefault="00BC0E7E" w:rsidP="00BC0E7E">
      <w:pPr>
        <w:ind w:left="540" w:hanging="540"/>
      </w:pPr>
    </w:p>
    <w:p w14:paraId="2A70C77C"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4.</w:t>
      </w:r>
      <w:r w:rsidRPr="00BC0E7E">
        <w:rPr>
          <w:b/>
          <w:caps/>
          <w:szCs w:val="20"/>
        </w:rPr>
        <w:tab/>
        <w:t>BATCH NUMBER</w:t>
      </w:r>
    </w:p>
    <w:p w14:paraId="43A1A5E1" w14:textId="77777777" w:rsidR="00BC0E7E" w:rsidRPr="00BC0E7E" w:rsidRDefault="00BC0E7E" w:rsidP="00BC0E7E">
      <w:pPr>
        <w:ind w:left="540" w:hanging="540"/>
      </w:pPr>
    </w:p>
    <w:p w14:paraId="2B658DAB" w14:textId="77777777" w:rsidR="00BC0E7E" w:rsidRPr="00BC0E7E" w:rsidRDefault="00944B8F" w:rsidP="00BC0E7E">
      <w:pPr>
        <w:ind w:left="540" w:hanging="540"/>
      </w:pPr>
      <w:r w:rsidRPr="00BC0E7E">
        <w:t xml:space="preserve">Lot </w:t>
      </w:r>
    </w:p>
    <w:p w14:paraId="71F8A64B" w14:textId="77777777" w:rsidR="00BC0E7E" w:rsidRPr="00BC0E7E" w:rsidRDefault="00BC0E7E" w:rsidP="00BC0E7E">
      <w:pPr>
        <w:ind w:left="540" w:hanging="540"/>
      </w:pPr>
    </w:p>
    <w:p w14:paraId="6B108EE5" w14:textId="77777777" w:rsidR="00BC0E7E" w:rsidRPr="00BC0E7E" w:rsidRDefault="00BC0E7E" w:rsidP="00BC0E7E">
      <w:pPr>
        <w:ind w:left="540" w:hanging="540"/>
      </w:pPr>
    </w:p>
    <w:p w14:paraId="7546C692" w14:textId="77777777" w:rsidR="00BC0E7E" w:rsidRPr="00BC0E7E" w:rsidRDefault="00944B8F" w:rsidP="00BC0E7E">
      <w:pPr>
        <w:pBdr>
          <w:top w:val="single" w:sz="4" w:space="1" w:color="auto"/>
          <w:left w:val="single" w:sz="4" w:space="4" w:color="auto"/>
          <w:bottom w:val="single" w:sz="4" w:space="1" w:color="auto"/>
          <w:right w:val="single" w:sz="4" w:space="4" w:color="auto"/>
        </w:pBdr>
        <w:rPr>
          <w:b/>
          <w:caps/>
          <w:szCs w:val="20"/>
        </w:rPr>
      </w:pPr>
      <w:r w:rsidRPr="00BC0E7E">
        <w:rPr>
          <w:b/>
          <w:caps/>
          <w:szCs w:val="20"/>
        </w:rPr>
        <w:t>5.</w:t>
      </w:r>
      <w:r w:rsidRPr="00BC0E7E">
        <w:rPr>
          <w:b/>
          <w:caps/>
          <w:szCs w:val="20"/>
        </w:rPr>
        <w:tab/>
        <w:t>OTHER</w:t>
      </w:r>
    </w:p>
    <w:p w14:paraId="373CD815" w14:textId="77777777" w:rsidR="00BC0E7E" w:rsidRPr="00BC0E7E" w:rsidRDefault="00BC0E7E" w:rsidP="00BC0E7E">
      <w:pPr>
        <w:ind w:left="540" w:hanging="540"/>
      </w:pPr>
    </w:p>
    <w:p w14:paraId="343A8003" w14:textId="77777777" w:rsidR="00BC0E7E" w:rsidRDefault="00944B8F" w:rsidP="00BC0E7E">
      <w:pPr>
        <w:ind w:left="540" w:hanging="540"/>
      </w:pPr>
      <w:r w:rsidRPr="00BC0E7E">
        <w:t>For storage information, see package leaflet.</w:t>
      </w:r>
    </w:p>
    <w:p w14:paraId="434DB986" w14:textId="77777777" w:rsidR="00985B87" w:rsidRPr="00BC0E7E" w:rsidRDefault="00985B87" w:rsidP="00BC0E7E">
      <w:pPr>
        <w:ind w:left="540" w:hanging="540"/>
      </w:pPr>
    </w:p>
    <w:p w14:paraId="17D319A2" w14:textId="77777777" w:rsidR="00BC0E7E" w:rsidRDefault="00944B8F" w:rsidP="00BC0E7E">
      <w:pPr>
        <w:ind w:left="540" w:hanging="540"/>
      </w:pPr>
      <w:r w:rsidRPr="00BC0E7E">
        <w:t>For single use only</w:t>
      </w:r>
      <w:r w:rsidR="006E5817">
        <w:t>.</w:t>
      </w:r>
    </w:p>
    <w:p w14:paraId="188B0810" w14:textId="77777777" w:rsidR="00875364" w:rsidRDefault="00875364" w:rsidP="00875364">
      <w:pPr>
        <w:ind w:left="540" w:hanging="540"/>
      </w:pPr>
    </w:p>
    <w:p w14:paraId="28C107BC" w14:textId="77777777" w:rsidR="00875364" w:rsidRDefault="00875364" w:rsidP="00875364"/>
    <w:p w14:paraId="10527A70" w14:textId="77777777" w:rsidR="00875364" w:rsidRPr="00893C35" w:rsidRDefault="00875364" w:rsidP="00875364"/>
    <w:p w14:paraId="472FC493" w14:textId="77777777" w:rsidR="00875364" w:rsidRPr="00BC0E7E" w:rsidRDefault="00875364" w:rsidP="00BC0E7E">
      <w:pPr>
        <w:ind w:left="540" w:hanging="540"/>
      </w:pPr>
    </w:p>
    <w:p w14:paraId="0E95037D" w14:textId="77777777" w:rsidR="00BC0E7E" w:rsidRPr="00BC0E7E" w:rsidRDefault="00BC0E7E" w:rsidP="00BC0E7E"/>
    <w:p w14:paraId="05B37BD9"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bCs/>
          <w:caps/>
          <w:szCs w:val="20"/>
        </w:rPr>
      </w:pPr>
      <w:r w:rsidRPr="00BC0E7E">
        <w:rPr>
          <w:b/>
          <w:bCs/>
          <w:caps/>
          <w:szCs w:val="20"/>
        </w:rPr>
        <w:br w:type="page"/>
      </w:r>
      <w:r w:rsidRPr="00BC0E7E">
        <w:rPr>
          <w:b/>
          <w:bCs/>
          <w:caps/>
          <w:szCs w:val="20"/>
        </w:rPr>
        <w:lastRenderedPageBreak/>
        <w:t>MINIMUM PARTICULARS TO APPEAR ON SMALL IMMEDIATE PACKAGING UNITS</w:t>
      </w:r>
    </w:p>
    <w:p w14:paraId="51A2F877" w14:textId="77777777" w:rsidR="00BC0E7E" w:rsidRPr="00BC0E7E" w:rsidRDefault="00BC0E7E" w:rsidP="00BC0E7E">
      <w:pPr>
        <w:pBdr>
          <w:top w:val="single" w:sz="4" w:space="1" w:color="auto"/>
          <w:left w:val="single" w:sz="4" w:space="4" w:color="auto"/>
          <w:bottom w:val="single" w:sz="4" w:space="1" w:color="auto"/>
          <w:right w:val="single" w:sz="4" w:space="4" w:color="auto"/>
        </w:pBdr>
        <w:ind w:left="561" w:hanging="561"/>
        <w:rPr>
          <w:b/>
          <w:bCs/>
          <w:caps/>
          <w:szCs w:val="20"/>
        </w:rPr>
      </w:pPr>
    </w:p>
    <w:p w14:paraId="7422D5C1" w14:textId="77777777" w:rsidR="00BC0E7E" w:rsidRPr="00BC0E7E" w:rsidRDefault="00944B8F" w:rsidP="00BC0E7E">
      <w:pPr>
        <w:keepLines/>
        <w:pBdr>
          <w:top w:val="single" w:sz="4" w:space="1" w:color="auto"/>
          <w:left w:val="single" w:sz="4" w:space="4" w:color="auto"/>
          <w:bottom w:val="single" w:sz="4" w:space="1" w:color="auto"/>
          <w:right w:val="single" w:sz="4" w:space="4" w:color="auto"/>
        </w:pBdr>
        <w:ind w:left="540" w:hanging="540"/>
        <w:outlineLvl w:val="2"/>
        <w:rPr>
          <w:sz w:val="26"/>
          <w:szCs w:val="26"/>
        </w:rPr>
      </w:pPr>
      <w:r w:rsidRPr="00BC0E7E">
        <w:rPr>
          <w:b/>
          <w:bCs/>
          <w:szCs w:val="26"/>
        </w:rPr>
        <w:t>PEN LABEL</w:t>
      </w:r>
    </w:p>
    <w:p w14:paraId="776F35DC" w14:textId="77777777" w:rsidR="00BC0E7E" w:rsidRPr="00BC0E7E" w:rsidRDefault="00BC0E7E" w:rsidP="00BC0E7E">
      <w:pPr>
        <w:rPr>
          <w:szCs w:val="20"/>
        </w:rPr>
      </w:pPr>
    </w:p>
    <w:p w14:paraId="007236BB" w14:textId="77777777" w:rsidR="00BC0E7E" w:rsidRPr="00BC0E7E" w:rsidRDefault="00BC0E7E" w:rsidP="00BC0E7E">
      <w:pPr>
        <w:rPr>
          <w:szCs w:val="20"/>
        </w:rPr>
      </w:pPr>
    </w:p>
    <w:p w14:paraId="38AA5683"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1.</w:t>
      </w:r>
      <w:r w:rsidRPr="00BC0E7E">
        <w:rPr>
          <w:b/>
          <w:caps/>
          <w:szCs w:val="20"/>
        </w:rPr>
        <w:tab/>
        <w:t>NAME OF THE MEDICINAL PRODUCT AND ROUTE OF ADMINISTRATION</w:t>
      </w:r>
    </w:p>
    <w:p w14:paraId="79C5AA5E" w14:textId="77777777" w:rsidR="00BC0E7E" w:rsidRPr="00BC0E7E" w:rsidRDefault="00BC0E7E" w:rsidP="00BC0E7E">
      <w:pPr>
        <w:ind w:left="540" w:hanging="540"/>
        <w:rPr>
          <w:szCs w:val="22"/>
        </w:rPr>
      </w:pPr>
    </w:p>
    <w:p w14:paraId="2F25C818" w14:textId="77777777" w:rsidR="00BC0E7E" w:rsidRPr="00BC0E7E" w:rsidRDefault="00944B8F" w:rsidP="00BC0E7E">
      <w:pPr>
        <w:ind w:left="540" w:hanging="540"/>
        <w:rPr>
          <w:szCs w:val="22"/>
        </w:rPr>
      </w:pPr>
      <w:r w:rsidRPr="00BC0E7E">
        <w:rPr>
          <w:szCs w:val="22"/>
        </w:rPr>
        <w:t>Humira 80 mg injection</w:t>
      </w:r>
    </w:p>
    <w:p w14:paraId="577A0294" w14:textId="77777777" w:rsidR="00BC0E7E" w:rsidRPr="00BC0E7E" w:rsidRDefault="00944B8F" w:rsidP="00BC0E7E">
      <w:pPr>
        <w:ind w:left="540" w:hanging="540"/>
        <w:rPr>
          <w:szCs w:val="22"/>
        </w:rPr>
      </w:pPr>
      <w:r w:rsidRPr="00BC0E7E">
        <w:rPr>
          <w:szCs w:val="22"/>
        </w:rPr>
        <w:t>adalimumab</w:t>
      </w:r>
    </w:p>
    <w:p w14:paraId="7EC1DB00" w14:textId="77777777" w:rsidR="00BC0E7E" w:rsidRPr="00BC0E7E" w:rsidRDefault="00944B8F" w:rsidP="00BC0E7E">
      <w:pPr>
        <w:tabs>
          <w:tab w:val="clear" w:pos="562"/>
        </w:tabs>
        <w:ind w:left="540" w:hanging="540"/>
        <w:rPr>
          <w:szCs w:val="22"/>
        </w:rPr>
      </w:pPr>
      <w:r w:rsidRPr="00BC0E7E">
        <w:rPr>
          <w:szCs w:val="22"/>
        </w:rPr>
        <w:t>SC</w:t>
      </w:r>
    </w:p>
    <w:p w14:paraId="6DFB9D23" w14:textId="77777777" w:rsidR="00BC0E7E" w:rsidRPr="00BC0E7E" w:rsidRDefault="00BC0E7E" w:rsidP="00BC0E7E"/>
    <w:p w14:paraId="68C83795" w14:textId="77777777" w:rsidR="00BC0E7E" w:rsidRPr="00BC0E7E" w:rsidRDefault="00BC0E7E" w:rsidP="00BC0E7E"/>
    <w:p w14:paraId="6409304F"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2.</w:t>
      </w:r>
      <w:r w:rsidRPr="00BC0E7E">
        <w:rPr>
          <w:b/>
          <w:caps/>
          <w:szCs w:val="20"/>
        </w:rPr>
        <w:tab/>
        <w:t>METHOD OF ADMINISTRATION</w:t>
      </w:r>
    </w:p>
    <w:p w14:paraId="4F8F3717" w14:textId="77777777" w:rsidR="00BC0E7E" w:rsidRPr="00BC0E7E" w:rsidRDefault="00BC0E7E" w:rsidP="00BC0E7E">
      <w:pPr>
        <w:ind w:left="540" w:hanging="540"/>
        <w:rPr>
          <w:b/>
        </w:rPr>
      </w:pPr>
    </w:p>
    <w:p w14:paraId="444158E1" w14:textId="77777777" w:rsidR="00BC0E7E" w:rsidRPr="00BC0E7E" w:rsidRDefault="00BC0E7E" w:rsidP="00BC0E7E">
      <w:pPr>
        <w:ind w:left="540" w:hanging="540"/>
        <w:rPr>
          <w:b/>
        </w:rPr>
      </w:pPr>
    </w:p>
    <w:p w14:paraId="19FB7C51"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1" w:hanging="561"/>
        <w:rPr>
          <w:b/>
          <w:caps/>
          <w:szCs w:val="20"/>
        </w:rPr>
      </w:pPr>
      <w:r w:rsidRPr="00BC0E7E">
        <w:rPr>
          <w:b/>
          <w:caps/>
          <w:szCs w:val="20"/>
        </w:rPr>
        <w:t>3.</w:t>
      </w:r>
      <w:r w:rsidRPr="00BC0E7E">
        <w:rPr>
          <w:b/>
          <w:caps/>
          <w:szCs w:val="20"/>
        </w:rPr>
        <w:tab/>
        <w:t>EXPIRY DATE</w:t>
      </w:r>
    </w:p>
    <w:p w14:paraId="5FDCFB54" w14:textId="77777777" w:rsidR="00BC0E7E" w:rsidRPr="00BC0E7E" w:rsidRDefault="00BC0E7E" w:rsidP="00BC0E7E">
      <w:pPr>
        <w:ind w:left="540" w:hanging="540"/>
      </w:pPr>
    </w:p>
    <w:p w14:paraId="3BA29F6E" w14:textId="77777777" w:rsidR="00BC0E7E" w:rsidRPr="00BC0E7E" w:rsidRDefault="00944B8F" w:rsidP="00BC0E7E">
      <w:pPr>
        <w:ind w:left="540" w:hanging="540"/>
      </w:pPr>
      <w:r w:rsidRPr="00BC0E7E">
        <w:t>EXP</w:t>
      </w:r>
    </w:p>
    <w:p w14:paraId="68CB1799" w14:textId="77777777" w:rsidR="00BC0E7E" w:rsidRPr="00BC0E7E" w:rsidRDefault="00BC0E7E" w:rsidP="00BC0E7E">
      <w:pPr>
        <w:ind w:left="540" w:hanging="540"/>
      </w:pPr>
    </w:p>
    <w:p w14:paraId="52554437" w14:textId="77777777" w:rsidR="00BC0E7E" w:rsidRPr="00BC0E7E" w:rsidRDefault="00BC0E7E" w:rsidP="00BC0E7E">
      <w:pPr>
        <w:ind w:left="540" w:hanging="540"/>
      </w:pPr>
    </w:p>
    <w:p w14:paraId="2C26C095"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4.</w:t>
      </w:r>
      <w:r w:rsidRPr="00BC0E7E">
        <w:rPr>
          <w:b/>
          <w:caps/>
          <w:szCs w:val="20"/>
        </w:rPr>
        <w:tab/>
        <w:t>BATCH NUMBER</w:t>
      </w:r>
    </w:p>
    <w:p w14:paraId="65B6DC5C" w14:textId="77777777" w:rsidR="00BC0E7E" w:rsidRPr="00BC0E7E" w:rsidRDefault="00BC0E7E" w:rsidP="00BC0E7E">
      <w:pPr>
        <w:ind w:left="540" w:hanging="540"/>
      </w:pPr>
    </w:p>
    <w:p w14:paraId="33309329" w14:textId="77777777" w:rsidR="00BC0E7E" w:rsidRPr="00BC0E7E" w:rsidRDefault="00944B8F" w:rsidP="00BC0E7E">
      <w:pPr>
        <w:ind w:left="540" w:hanging="540"/>
      </w:pPr>
      <w:r w:rsidRPr="00BC0E7E">
        <w:t xml:space="preserve">Lot </w:t>
      </w:r>
    </w:p>
    <w:p w14:paraId="698A4849" w14:textId="77777777" w:rsidR="00BC0E7E" w:rsidRPr="00BC0E7E" w:rsidRDefault="00BC0E7E" w:rsidP="00BC0E7E">
      <w:pPr>
        <w:ind w:left="540" w:hanging="540"/>
      </w:pPr>
    </w:p>
    <w:p w14:paraId="790401CA" w14:textId="77777777" w:rsidR="00BC0E7E" w:rsidRPr="00BC0E7E" w:rsidRDefault="00BC0E7E" w:rsidP="00BC0E7E">
      <w:pPr>
        <w:ind w:left="540" w:hanging="540"/>
      </w:pPr>
    </w:p>
    <w:p w14:paraId="29C5AA74" w14:textId="77777777" w:rsidR="00BC0E7E" w:rsidRPr="00BC0E7E" w:rsidRDefault="00944B8F" w:rsidP="00BC0E7E">
      <w:pPr>
        <w:pBdr>
          <w:top w:val="single" w:sz="4" w:space="1" w:color="auto"/>
          <w:left w:val="single" w:sz="4" w:space="4" w:color="auto"/>
          <w:bottom w:val="single" w:sz="4" w:space="1" w:color="auto"/>
          <w:right w:val="single" w:sz="4" w:space="4" w:color="auto"/>
        </w:pBdr>
        <w:ind w:left="562" w:hanging="562"/>
        <w:rPr>
          <w:b/>
          <w:caps/>
          <w:szCs w:val="20"/>
        </w:rPr>
      </w:pPr>
      <w:r w:rsidRPr="00BC0E7E">
        <w:rPr>
          <w:b/>
          <w:caps/>
          <w:szCs w:val="20"/>
        </w:rPr>
        <w:t>5.</w:t>
      </w:r>
      <w:r w:rsidRPr="00BC0E7E">
        <w:rPr>
          <w:b/>
          <w:caps/>
          <w:szCs w:val="20"/>
        </w:rPr>
        <w:tab/>
        <w:t>CONTENTS BY WEIGHT, BY VOLUME OR BY UNIT</w:t>
      </w:r>
    </w:p>
    <w:p w14:paraId="1F28F896" w14:textId="77777777" w:rsidR="00BC0E7E" w:rsidRPr="00BC0E7E" w:rsidRDefault="00BC0E7E" w:rsidP="00BC0E7E">
      <w:pPr>
        <w:ind w:left="540" w:hanging="540"/>
      </w:pPr>
    </w:p>
    <w:p w14:paraId="01D5612C" w14:textId="77777777" w:rsidR="00BC0E7E" w:rsidRPr="00BC0E7E" w:rsidRDefault="00944B8F" w:rsidP="00BC0E7E">
      <w:pPr>
        <w:ind w:left="540" w:hanging="540"/>
      </w:pPr>
      <w:r w:rsidRPr="00BC0E7E">
        <w:t>80 mg</w:t>
      </w:r>
      <w:r w:rsidR="00985B87" w:rsidRPr="0033160F">
        <w:rPr>
          <w:highlight w:val="lightGray"/>
        </w:rPr>
        <w:t>/</w:t>
      </w:r>
      <w:r w:rsidR="00985B87" w:rsidRPr="00A86CEB">
        <w:rPr>
          <w:highlight w:val="lightGray"/>
        </w:rPr>
        <w:t>0.8 ml</w:t>
      </w:r>
    </w:p>
    <w:p w14:paraId="71FD7DD1" w14:textId="77777777" w:rsidR="00BC0E7E" w:rsidRPr="00BC0E7E" w:rsidRDefault="00BC0E7E" w:rsidP="00BC0E7E">
      <w:pPr>
        <w:ind w:left="540" w:hanging="540"/>
      </w:pPr>
    </w:p>
    <w:p w14:paraId="24D0BAE8" w14:textId="77777777" w:rsidR="00BC0E7E" w:rsidRPr="00BC0E7E" w:rsidRDefault="00BC0E7E" w:rsidP="00BC0E7E">
      <w:pPr>
        <w:ind w:left="540" w:hanging="540"/>
      </w:pPr>
    </w:p>
    <w:p w14:paraId="769F2A1F" w14:textId="77777777" w:rsidR="00BC0E7E" w:rsidRPr="00BC0E7E" w:rsidRDefault="00944B8F" w:rsidP="00BC0E7E">
      <w:pPr>
        <w:pBdr>
          <w:top w:val="single" w:sz="4" w:space="1" w:color="auto"/>
          <w:left w:val="single" w:sz="4" w:space="4" w:color="auto"/>
          <w:bottom w:val="single" w:sz="4" w:space="1" w:color="auto"/>
          <w:right w:val="single" w:sz="4" w:space="4" w:color="auto"/>
        </w:pBdr>
        <w:rPr>
          <w:b/>
          <w:caps/>
          <w:szCs w:val="20"/>
        </w:rPr>
      </w:pPr>
      <w:r w:rsidRPr="00BC0E7E">
        <w:rPr>
          <w:b/>
          <w:caps/>
          <w:szCs w:val="20"/>
        </w:rPr>
        <w:t>6.</w:t>
      </w:r>
      <w:r w:rsidRPr="00BC0E7E">
        <w:rPr>
          <w:b/>
          <w:caps/>
          <w:szCs w:val="20"/>
        </w:rPr>
        <w:tab/>
        <w:t>OTHER</w:t>
      </w:r>
    </w:p>
    <w:p w14:paraId="531FF147" w14:textId="77777777" w:rsidR="00BC0E7E" w:rsidRPr="00BC0E7E" w:rsidRDefault="00BC0E7E" w:rsidP="00BC0E7E">
      <w:pPr>
        <w:ind w:left="540" w:hanging="540"/>
      </w:pPr>
    </w:p>
    <w:p w14:paraId="0B78211D" w14:textId="77777777" w:rsidR="00BC0E7E" w:rsidRPr="00BC0E7E" w:rsidRDefault="00944B8F" w:rsidP="00BC0E7E">
      <w:pPr>
        <w:pBdr>
          <w:top w:val="single" w:sz="4" w:space="1" w:color="auto"/>
          <w:left w:val="single" w:sz="4" w:space="4" w:color="auto"/>
          <w:bottom w:val="single" w:sz="4" w:space="1" w:color="auto"/>
          <w:right w:val="single" w:sz="4" w:space="4" w:color="auto"/>
        </w:pBdr>
        <w:rPr>
          <w:b/>
          <w:bCs/>
        </w:rPr>
      </w:pPr>
      <w:r w:rsidRPr="00BC0E7E">
        <w:br w:type="page"/>
      </w:r>
      <w:r w:rsidRPr="00BC0E7E">
        <w:rPr>
          <w:b/>
          <w:bCs/>
        </w:rPr>
        <w:lastRenderedPageBreak/>
        <w:t>REMINDER STICKERS TEXT (included in pack)</w:t>
      </w:r>
    </w:p>
    <w:p w14:paraId="1A9B13BA" w14:textId="77777777" w:rsidR="00BC0E7E" w:rsidRPr="00BC0E7E" w:rsidRDefault="00BC0E7E" w:rsidP="00BC0E7E">
      <w:pPr>
        <w:pBdr>
          <w:top w:val="single" w:sz="4" w:space="1" w:color="auto"/>
          <w:left w:val="single" w:sz="4" w:space="4" w:color="auto"/>
          <w:bottom w:val="single" w:sz="4" w:space="1" w:color="auto"/>
          <w:right w:val="single" w:sz="4" w:space="4" w:color="auto"/>
        </w:pBdr>
        <w:ind w:left="540" w:hanging="540"/>
        <w:rPr>
          <w:b/>
          <w:bCs/>
        </w:rPr>
      </w:pPr>
    </w:p>
    <w:p w14:paraId="4A509745" w14:textId="77777777" w:rsidR="00BC0E7E" w:rsidRPr="00BC0E7E" w:rsidRDefault="00BC0E7E" w:rsidP="00BC0E7E">
      <w:pPr>
        <w:ind w:left="540" w:hanging="540"/>
      </w:pPr>
    </w:p>
    <w:p w14:paraId="10C7FD99" w14:textId="77777777" w:rsidR="00BC0E7E" w:rsidRPr="00BC0E7E" w:rsidRDefault="00944B8F" w:rsidP="00BC0E7E">
      <w:pPr>
        <w:ind w:left="540" w:hanging="540"/>
      </w:pPr>
      <w:r w:rsidRPr="00BC0E7E">
        <w:t xml:space="preserve">Humira </w:t>
      </w:r>
    </w:p>
    <w:p w14:paraId="63588DA7" w14:textId="77777777" w:rsidR="00BC0E7E" w:rsidRPr="00BC0E7E" w:rsidRDefault="00BC0E7E" w:rsidP="00BC0E7E">
      <w:pPr>
        <w:tabs>
          <w:tab w:val="left" w:pos="10080"/>
        </w:tabs>
        <w:ind w:left="540" w:hanging="540"/>
      </w:pPr>
    </w:p>
    <w:p w14:paraId="573F2CEA" w14:textId="77777777" w:rsidR="00BC0E7E" w:rsidRPr="00BC0E7E" w:rsidRDefault="00944B8F" w:rsidP="00BC0E7E">
      <w:pPr>
        <w:ind w:left="540" w:hanging="540"/>
      </w:pPr>
      <w:r w:rsidRPr="00BC0E7E">
        <w:t>Mark your calendar with the stickers provided to remind you of the date for your next dose.</w:t>
      </w:r>
    </w:p>
    <w:p w14:paraId="2DAAE068" w14:textId="77777777" w:rsidR="00BC0E7E" w:rsidRPr="00BC0E7E" w:rsidRDefault="00BC0E7E" w:rsidP="00BC0E7E">
      <w:pPr>
        <w:ind w:left="540" w:hanging="540"/>
      </w:pPr>
    </w:p>
    <w:p w14:paraId="0F6FAFA1" w14:textId="77777777" w:rsidR="00BC0E7E" w:rsidRPr="00BC0E7E" w:rsidRDefault="00944B8F" w:rsidP="00BC0E7E">
      <w:pPr>
        <w:rPr>
          <w:szCs w:val="20"/>
        </w:rPr>
      </w:pPr>
      <w:r w:rsidRPr="00BC0E7E">
        <w:rPr>
          <w:szCs w:val="20"/>
        </w:rPr>
        <w:br w:type="page"/>
      </w:r>
    </w:p>
    <w:p w14:paraId="4AB16FA8" w14:textId="77777777" w:rsidR="00BC0E7E" w:rsidRPr="00BC0E7E" w:rsidRDefault="00BC0E7E" w:rsidP="00BC0E7E">
      <w:pPr>
        <w:rPr>
          <w:szCs w:val="20"/>
        </w:rPr>
      </w:pPr>
    </w:p>
    <w:p w14:paraId="14155467" w14:textId="77777777" w:rsidR="00BC0E7E" w:rsidRPr="00BC0E7E" w:rsidRDefault="00BC0E7E" w:rsidP="00BC0E7E">
      <w:pPr>
        <w:rPr>
          <w:szCs w:val="20"/>
        </w:rPr>
      </w:pPr>
    </w:p>
    <w:p w14:paraId="1153BB21" w14:textId="77777777" w:rsidR="00BC0E7E" w:rsidRPr="00BC0E7E" w:rsidRDefault="00BC0E7E" w:rsidP="00BC0E7E">
      <w:pPr>
        <w:rPr>
          <w:szCs w:val="20"/>
        </w:rPr>
      </w:pPr>
    </w:p>
    <w:p w14:paraId="543E8DF2" w14:textId="77777777" w:rsidR="00BC0E7E" w:rsidRPr="00BC0E7E" w:rsidRDefault="00BC0E7E" w:rsidP="00BC0E7E">
      <w:pPr>
        <w:rPr>
          <w:szCs w:val="20"/>
        </w:rPr>
      </w:pPr>
    </w:p>
    <w:p w14:paraId="7ED85626" w14:textId="77777777" w:rsidR="00BC0E7E" w:rsidRPr="00BC0E7E" w:rsidRDefault="00BC0E7E" w:rsidP="00BC0E7E">
      <w:pPr>
        <w:rPr>
          <w:szCs w:val="20"/>
        </w:rPr>
      </w:pPr>
    </w:p>
    <w:p w14:paraId="4C6DFCD2" w14:textId="77777777" w:rsidR="00BC0E7E" w:rsidRPr="00BC0E7E" w:rsidRDefault="00BC0E7E" w:rsidP="00BC0E7E">
      <w:pPr>
        <w:rPr>
          <w:szCs w:val="20"/>
        </w:rPr>
      </w:pPr>
    </w:p>
    <w:p w14:paraId="3288D86F" w14:textId="77777777" w:rsidR="00BC0E7E" w:rsidRPr="00BC0E7E" w:rsidRDefault="00BC0E7E" w:rsidP="00BC0E7E">
      <w:pPr>
        <w:rPr>
          <w:szCs w:val="20"/>
        </w:rPr>
      </w:pPr>
    </w:p>
    <w:p w14:paraId="46E3F37D" w14:textId="77777777" w:rsidR="00BC0E7E" w:rsidRPr="00BC0E7E" w:rsidRDefault="00BC0E7E" w:rsidP="00BC0E7E">
      <w:pPr>
        <w:rPr>
          <w:szCs w:val="20"/>
        </w:rPr>
      </w:pPr>
    </w:p>
    <w:p w14:paraId="3200E218" w14:textId="77777777" w:rsidR="00BC0E7E" w:rsidRPr="00BC0E7E" w:rsidRDefault="00BC0E7E" w:rsidP="00BC0E7E">
      <w:pPr>
        <w:rPr>
          <w:szCs w:val="20"/>
        </w:rPr>
      </w:pPr>
    </w:p>
    <w:p w14:paraId="66EE8AD5" w14:textId="77777777" w:rsidR="00BC0E7E" w:rsidRPr="00BC0E7E" w:rsidRDefault="00BC0E7E" w:rsidP="00BC0E7E">
      <w:pPr>
        <w:rPr>
          <w:szCs w:val="20"/>
        </w:rPr>
      </w:pPr>
    </w:p>
    <w:p w14:paraId="6850FE98" w14:textId="77777777" w:rsidR="00BC0E7E" w:rsidRPr="00BC0E7E" w:rsidRDefault="00BC0E7E" w:rsidP="00BC0E7E">
      <w:pPr>
        <w:rPr>
          <w:szCs w:val="20"/>
        </w:rPr>
      </w:pPr>
    </w:p>
    <w:p w14:paraId="0643F8AB" w14:textId="77777777" w:rsidR="00BC0E7E" w:rsidRPr="00BC0E7E" w:rsidRDefault="00BC0E7E" w:rsidP="00BC0E7E">
      <w:pPr>
        <w:rPr>
          <w:szCs w:val="20"/>
        </w:rPr>
      </w:pPr>
    </w:p>
    <w:p w14:paraId="78A77DBA" w14:textId="77777777" w:rsidR="00BC0E7E" w:rsidRPr="00BC0E7E" w:rsidRDefault="00BC0E7E" w:rsidP="00BC0E7E">
      <w:pPr>
        <w:rPr>
          <w:szCs w:val="20"/>
        </w:rPr>
      </w:pPr>
    </w:p>
    <w:p w14:paraId="4C8F3EF5" w14:textId="77777777" w:rsidR="00BC0E7E" w:rsidRPr="00BC0E7E" w:rsidRDefault="00BC0E7E" w:rsidP="00BC0E7E">
      <w:pPr>
        <w:rPr>
          <w:szCs w:val="20"/>
        </w:rPr>
      </w:pPr>
    </w:p>
    <w:p w14:paraId="2E6F168B" w14:textId="77777777" w:rsidR="00BC0E7E" w:rsidRPr="00BC0E7E" w:rsidRDefault="00BC0E7E" w:rsidP="00BC0E7E">
      <w:pPr>
        <w:rPr>
          <w:szCs w:val="20"/>
        </w:rPr>
      </w:pPr>
    </w:p>
    <w:p w14:paraId="76C0AEA8" w14:textId="77777777" w:rsidR="00BC0E7E" w:rsidRPr="00BC0E7E" w:rsidRDefault="00BC0E7E" w:rsidP="00BC0E7E">
      <w:pPr>
        <w:rPr>
          <w:szCs w:val="20"/>
        </w:rPr>
      </w:pPr>
    </w:p>
    <w:p w14:paraId="58F94CE7" w14:textId="77777777" w:rsidR="00BC0E7E" w:rsidRDefault="00BC0E7E" w:rsidP="00BC0E7E">
      <w:pPr>
        <w:rPr>
          <w:szCs w:val="20"/>
        </w:rPr>
      </w:pPr>
    </w:p>
    <w:p w14:paraId="6F082D15" w14:textId="77777777" w:rsidR="00171601" w:rsidRPr="00BC0E7E" w:rsidRDefault="00171601" w:rsidP="00BC0E7E">
      <w:pPr>
        <w:rPr>
          <w:szCs w:val="20"/>
        </w:rPr>
      </w:pPr>
    </w:p>
    <w:p w14:paraId="27B65F70" w14:textId="77777777" w:rsidR="00BC0E7E" w:rsidRPr="00BC0E7E" w:rsidRDefault="00BC0E7E" w:rsidP="00BC0E7E">
      <w:pPr>
        <w:rPr>
          <w:szCs w:val="20"/>
        </w:rPr>
      </w:pPr>
    </w:p>
    <w:p w14:paraId="1A78193E" w14:textId="77777777" w:rsidR="00BC0E7E" w:rsidRPr="00BC0E7E" w:rsidRDefault="00BC0E7E" w:rsidP="00BC0E7E">
      <w:pPr>
        <w:rPr>
          <w:szCs w:val="20"/>
        </w:rPr>
      </w:pPr>
    </w:p>
    <w:p w14:paraId="0C6D12ED" w14:textId="77777777" w:rsidR="00BC0E7E" w:rsidRPr="00BC0E7E" w:rsidRDefault="00BC0E7E" w:rsidP="00BC0E7E">
      <w:pPr>
        <w:rPr>
          <w:szCs w:val="20"/>
        </w:rPr>
      </w:pPr>
    </w:p>
    <w:p w14:paraId="4F7BD8CD" w14:textId="77777777" w:rsidR="00BC0E7E" w:rsidRPr="00BC0E7E" w:rsidRDefault="00BC0E7E" w:rsidP="00BC0E7E">
      <w:pPr>
        <w:rPr>
          <w:szCs w:val="20"/>
        </w:rPr>
      </w:pPr>
    </w:p>
    <w:p w14:paraId="5D390DFB" w14:textId="77777777" w:rsidR="00BC0E7E" w:rsidRPr="00BC0E7E" w:rsidRDefault="00BC0E7E" w:rsidP="00BC0E7E">
      <w:pPr>
        <w:rPr>
          <w:szCs w:val="20"/>
        </w:rPr>
      </w:pPr>
    </w:p>
    <w:p w14:paraId="70DA4A65" w14:textId="77777777" w:rsidR="00BC0E7E" w:rsidRPr="00BC0E7E" w:rsidRDefault="00944B8F" w:rsidP="00171601">
      <w:pPr>
        <w:pStyle w:val="BMCENTRED"/>
        <w:rPr>
          <w:bCs/>
        </w:rPr>
      </w:pPr>
      <w:r w:rsidRPr="00BC0E7E">
        <w:t>B. PACKAGE LEAFLET</w:t>
      </w:r>
    </w:p>
    <w:p w14:paraId="0164FA55" w14:textId="77777777" w:rsidR="00BC0E7E" w:rsidRPr="00BC0E7E" w:rsidRDefault="00BC0E7E" w:rsidP="00BC0E7E">
      <w:pPr>
        <w:tabs>
          <w:tab w:val="clear" w:pos="562"/>
        </w:tabs>
        <w:rPr>
          <w:b/>
        </w:rPr>
      </w:pPr>
    </w:p>
    <w:p w14:paraId="19E44940" w14:textId="77777777" w:rsidR="00BC0E7E" w:rsidRPr="00BC0E7E" w:rsidRDefault="00BC0E7E" w:rsidP="00BC0E7E">
      <w:pPr>
        <w:tabs>
          <w:tab w:val="clear" w:pos="562"/>
        </w:tabs>
        <w:jc w:val="center"/>
      </w:pPr>
    </w:p>
    <w:p w14:paraId="65DAE2D5" w14:textId="77777777" w:rsidR="00BC0E7E" w:rsidRPr="00BC0E7E" w:rsidRDefault="00944B8F" w:rsidP="00BC0E7E">
      <w:pPr>
        <w:numPr>
          <w:ilvl w:val="12"/>
          <w:numId w:val="0"/>
        </w:numPr>
        <w:tabs>
          <w:tab w:val="clear" w:pos="562"/>
        </w:tabs>
        <w:ind w:left="110" w:right="-2"/>
        <w:jc w:val="center"/>
      </w:pPr>
      <w:r w:rsidRPr="00BC0E7E">
        <w:br w:type="page"/>
      </w:r>
      <w:r w:rsidRPr="00BC0E7E">
        <w:lastRenderedPageBreak/>
        <w:t xml:space="preserve"> </w:t>
      </w:r>
    </w:p>
    <w:p w14:paraId="193CEEC5" w14:textId="77777777" w:rsidR="00985B87" w:rsidRDefault="00944B8F" w:rsidP="00985B87">
      <w:pPr>
        <w:pStyle w:val="EMEANormal"/>
        <w:jc w:val="center"/>
        <w:rPr>
          <w:lang w:val="en-GB"/>
        </w:rPr>
      </w:pPr>
      <w:r>
        <w:rPr>
          <w:b/>
          <w:lang w:val="en-GB"/>
        </w:rPr>
        <w:t>Package leaflet: Information for the patient</w:t>
      </w:r>
    </w:p>
    <w:p w14:paraId="51A0AE38" w14:textId="77777777" w:rsidR="00985B87" w:rsidRDefault="00985B87" w:rsidP="00985B87">
      <w:pPr>
        <w:jc w:val="center"/>
      </w:pPr>
    </w:p>
    <w:p w14:paraId="1C486C18" w14:textId="77777777" w:rsidR="00985B87" w:rsidRDefault="00944B8F" w:rsidP="00985B87">
      <w:pPr>
        <w:numPr>
          <w:ilvl w:val="12"/>
          <w:numId w:val="0"/>
        </w:numPr>
        <w:jc w:val="center"/>
      </w:pPr>
      <w:r>
        <w:rPr>
          <w:b/>
          <w:bCs/>
        </w:rPr>
        <w:t xml:space="preserve">Humira </w:t>
      </w:r>
      <w:r>
        <w:rPr>
          <w:b/>
        </w:rPr>
        <w:t>20 mg solution for injection in pre-filled syringe</w:t>
      </w:r>
    </w:p>
    <w:p w14:paraId="21678EB7" w14:textId="77777777" w:rsidR="00985B87" w:rsidRDefault="00944B8F" w:rsidP="00985B87">
      <w:pPr>
        <w:pStyle w:val="EMEATitle"/>
        <w:rPr>
          <w:rFonts w:ascii="Times New Roman" w:hAnsi="Times New Roman"/>
          <w:bCs/>
          <w:caps w:val="0"/>
          <w:szCs w:val="24"/>
          <w:lang w:val="en-GB"/>
        </w:rPr>
      </w:pPr>
      <w:r>
        <w:rPr>
          <w:rFonts w:ascii="Times New Roman" w:hAnsi="Times New Roman"/>
          <w:b w:val="0"/>
          <w:caps w:val="0"/>
          <w:szCs w:val="24"/>
          <w:lang w:val="en-GB"/>
        </w:rPr>
        <w:t>adalimumab</w:t>
      </w:r>
    </w:p>
    <w:p w14:paraId="1CDACC96" w14:textId="77777777" w:rsidR="00985B87" w:rsidRDefault="00985B87" w:rsidP="00985B87">
      <w:pPr>
        <w:jc w:val="center"/>
      </w:pPr>
    </w:p>
    <w:p w14:paraId="10E7629F" w14:textId="77777777" w:rsidR="00985B87" w:rsidRDefault="00944B8F" w:rsidP="00985B87">
      <w:pPr>
        <w:tabs>
          <w:tab w:val="clear" w:pos="562"/>
          <w:tab w:val="left" w:pos="720"/>
        </w:tabs>
        <w:ind w:right="-2"/>
      </w:pPr>
      <w:r>
        <w:rPr>
          <w:b/>
        </w:rPr>
        <w:t>Read all of this leaflet carefully before your child starts using this medicine because it contains important information.</w:t>
      </w:r>
    </w:p>
    <w:p w14:paraId="17BF3638" w14:textId="77777777" w:rsidR="00985B87" w:rsidRDefault="00944B8F" w:rsidP="0076153E">
      <w:pPr>
        <w:pStyle w:val="EMEABullet"/>
        <w:numPr>
          <w:ilvl w:val="0"/>
          <w:numId w:val="96"/>
        </w:numPr>
        <w:rPr>
          <w:lang w:val="en-GB"/>
        </w:rPr>
      </w:pPr>
      <w:r>
        <w:rPr>
          <w:lang w:val="en-GB"/>
        </w:rPr>
        <w:t>Keep this leaflet. You may need to read it again.</w:t>
      </w:r>
    </w:p>
    <w:p w14:paraId="1D8FCEA0" w14:textId="77777777" w:rsidR="00985B87" w:rsidRDefault="00944B8F" w:rsidP="0076153E">
      <w:pPr>
        <w:pStyle w:val="EMEABullet"/>
        <w:numPr>
          <w:ilvl w:val="0"/>
          <w:numId w:val="96"/>
        </w:numPr>
        <w:rPr>
          <w:lang w:val="en-GB"/>
        </w:rPr>
      </w:pPr>
      <w:r>
        <w:rPr>
          <w:lang w:val="en-GB"/>
        </w:rPr>
        <w:t>Your doctor will also give you a</w:t>
      </w:r>
      <w:r w:rsidR="00AE43DC">
        <w:rPr>
          <w:lang w:val="en-GB"/>
        </w:rPr>
        <w:t xml:space="preserve"> </w:t>
      </w:r>
      <w:r w:rsidR="002179FE" w:rsidRPr="002179FE">
        <w:rPr>
          <w:b/>
          <w:lang w:val="en-GB"/>
        </w:rPr>
        <w:t>Patient Reminder Card</w:t>
      </w:r>
      <w:r>
        <w:rPr>
          <w:lang w:val="en-GB"/>
        </w:rPr>
        <w:t xml:space="preserve">, which contains important safety information that you need to be aware of before your child begins using Humira and during treatment with Humira. Keep this </w:t>
      </w:r>
      <w:r w:rsidR="002179FE" w:rsidRPr="002179FE">
        <w:rPr>
          <w:b/>
          <w:lang w:val="en-GB"/>
        </w:rPr>
        <w:t>Patient Reminder Card</w:t>
      </w:r>
      <w:r>
        <w:rPr>
          <w:lang w:val="en-GB"/>
        </w:rPr>
        <w:t xml:space="preserve"> with you or your child.</w:t>
      </w:r>
    </w:p>
    <w:p w14:paraId="30F68028" w14:textId="77777777" w:rsidR="00985B87" w:rsidRDefault="00944B8F" w:rsidP="0076153E">
      <w:pPr>
        <w:pStyle w:val="EMEABullet"/>
        <w:numPr>
          <w:ilvl w:val="0"/>
          <w:numId w:val="96"/>
        </w:numPr>
        <w:rPr>
          <w:lang w:val="en-GB"/>
        </w:rPr>
      </w:pPr>
      <w:r>
        <w:rPr>
          <w:lang w:val="en-GB"/>
        </w:rPr>
        <w:t>If you have any questions, ask your doctor or pharmacist.</w:t>
      </w:r>
    </w:p>
    <w:p w14:paraId="7B9F4290" w14:textId="77777777" w:rsidR="00985B87" w:rsidRDefault="00944B8F" w:rsidP="0076153E">
      <w:pPr>
        <w:pStyle w:val="EMEABullet"/>
        <w:numPr>
          <w:ilvl w:val="0"/>
          <w:numId w:val="96"/>
        </w:numPr>
        <w:rPr>
          <w:b/>
          <w:lang w:val="en-GB"/>
        </w:rPr>
      </w:pPr>
      <w:r>
        <w:rPr>
          <w:lang w:val="en-GB"/>
        </w:rPr>
        <w:t>This medicine has been prescribed for your child only. Do not pass it on to others. It may harm them, even if their signs of illness are the same as your child.</w:t>
      </w:r>
    </w:p>
    <w:p w14:paraId="27C98BD2" w14:textId="77777777" w:rsidR="00985B87" w:rsidRDefault="00944B8F" w:rsidP="0076153E">
      <w:pPr>
        <w:pStyle w:val="EMEABullet"/>
        <w:numPr>
          <w:ilvl w:val="0"/>
          <w:numId w:val="96"/>
        </w:numPr>
        <w:rPr>
          <w:b/>
          <w:lang w:val="en-GB"/>
        </w:rPr>
      </w:pPr>
      <w:r>
        <w:rPr>
          <w:lang w:val="en-GB"/>
        </w:rPr>
        <w:t>If your child gets any side effects, talk to your doctor or pharmacist. This includes any possible side effects not listed in this leaflet. See section 4.</w:t>
      </w:r>
    </w:p>
    <w:p w14:paraId="7A05B45A" w14:textId="77777777" w:rsidR="00985B87" w:rsidRDefault="00985B87" w:rsidP="00985B87">
      <w:pPr>
        <w:ind w:right="-2"/>
      </w:pPr>
    </w:p>
    <w:p w14:paraId="47E4E252" w14:textId="77777777" w:rsidR="00985B87" w:rsidRDefault="00944B8F" w:rsidP="00985B87">
      <w:pPr>
        <w:numPr>
          <w:ilvl w:val="12"/>
          <w:numId w:val="0"/>
        </w:numPr>
        <w:tabs>
          <w:tab w:val="clear" w:pos="562"/>
          <w:tab w:val="left" w:pos="720"/>
        </w:tabs>
        <w:ind w:right="-2"/>
      </w:pPr>
      <w:r>
        <w:rPr>
          <w:b/>
        </w:rPr>
        <w:t>What is in this leaflet</w:t>
      </w:r>
      <w:r>
        <w:t xml:space="preserve"> </w:t>
      </w:r>
    </w:p>
    <w:p w14:paraId="32CB46EC" w14:textId="77777777" w:rsidR="00985B87" w:rsidRDefault="00944B8F" w:rsidP="00985B87">
      <w:pPr>
        <w:tabs>
          <w:tab w:val="clear" w:pos="562"/>
          <w:tab w:val="left" w:pos="720"/>
        </w:tabs>
        <w:ind w:left="567" w:right="-29" w:hanging="567"/>
      </w:pPr>
      <w:r>
        <w:t>1.</w:t>
      </w:r>
      <w:r>
        <w:tab/>
        <w:t>What Humira is and what it is used for</w:t>
      </w:r>
    </w:p>
    <w:p w14:paraId="3B6C8B20" w14:textId="77777777" w:rsidR="00985B87" w:rsidRDefault="00944B8F" w:rsidP="00985B87">
      <w:pPr>
        <w:tabs>
          <w:tab w:val="clear" w:pos="562"/>
          <w:tab w:val="left" w:pos="720"/>
        </w:tabs>
        <w:ind w:left="567" w:right="-29" w:hanging="567"/>
      </w:pPr>
      <w:r>
        <w:t>2.</w:t>
      </w:r>
      <w:r>
        <w:tab/>
        <w:t>What you need to know before your child uses Humira</w:t>
      </w:r>
    </w:p>
    <w:p w14:paraId="4E2217BA" w14:textId="77777777" w:rsidR="00985B87" w:rsidRDefault="00944B8F" w:rsidP="00985B87">
      <w:pPr>
        <w:tabs>
          <w:tab w:val="clear" w:pos="562"/>
          <w:tab w:val="left" w:pos="720"/>
        </w:tabs>
        <w:ind w:left="567" w:right="-29" w:hanging="567"/>
      </w:pPr>
      <w:r>
        <w:t>3.</w:t>
      </w:r>
      <w:r>
        <w:tab/>
        <w:t>How to use Humira</w:t>
      </w:r>
    </w:p>
    <w:p w14:paraId="0CF510E4" w14:textId="77777777" w:rsidR="00985B87" w:rsidRDefault="00944B8F" w:rsidP="00985B87">
      <w:pPr>
        <w:tabs>
          <w:tab w:val="clear" w:pos="562"/>
          <w:tab w:val="left" w:pos="720"/>
        </w:tabs>
        <w:ind w:left="567" w:right="-29" w:hanging="567"/>
      </w:pPr>
      <w:r>
        <w:t>4.</w:t>
      </w:r>
      <w:r>
        <w:tab/>
        <w:t>Possible side effects</w:t>
      </w:r>
    </w:p>
    <w:p w14:paraId="3095B7E5" w14:textId="77777777" w:rsidR="00985B87" w:rsidRDefault="00944B8F" w:rsidP="00985B87">
      <w:pPr>
        <w:tabs>
          <w:tab w:val="clear" w:pos="562"/>
          <w:tab w:val="left" w:pos="720"/>
        </w:tabs>
        <w:ind w:left="567" w:right="-29" w:hanging="567"/>
      </w:pPr>
      <w:r>
        <w:t>5</w:t>
      </w:r>
      <w:r>
        <w:tab/>
        <w:t>How to store Humira</w:t>
      </w:r>
    </w:p>
    <w:p w14:paraId="7ABCA773" w14:textId="77777777" w:rsidR="00985B87" w:rsidRDefault="00944B8F" w:rsidP="00985B87">
      <w:pPr>
        <w:tabs>
          <w:tab w:val="clear" w:pos="562"/>
          <w:tab w:val="left" w:pos="720"/>
        </w:tabs>
        <w:ind w:left="567" w:right="-29" w:hanging="567"/>
      </w:pPr>
      <w:r>
        <w:t>6.</w:t>
      </w:r>
      <w:r>
        <w:tab/>
        <w:t>Contents of the pack and other information</w:t>
      </w:r>
    </w:p>
    <w:p w14:paraId="3270F01F" w14:textId="77777777" w:rsidR="00985B87" w:rsidRDefault="00944B8F" w:rsidP="00985B87">
      <w:pPr>
        <w:tabs>
          <w:tab w:val="clear" w:pos="562"/>
          <w:tab w:val="left" w:pos="720"/>
        </w:tabs>
        <w:ind w:left="567" w:right="-29" w:hanging="567"/>
      </w:pPr>
      <w:r>
        <w:t>7.</w:t>
      </w:r>
      <w:r>
        <w:tab/>
      </w:r>
      <w:r w:rsidR="00FE0618">
        <w:t>Injecting Humira</w:t>
      </w:r>
    </w:p>
    <w:p w14:paraId="31B8AD27" w14:textId="77777777" w:rsidR="00985B87" w:rsidRDefault="00985B87" w:rsidP="00985B87">
      <w:pPr>
        <w:tabs>
          <w:tab w:val="clear" w:pos="562"/>
          <w:tab w:val="left" w:pos="720"/>
        </w:tabs>
        <w:ind w:left="567" w:right="-29" w:hanging="567"/>
      </w:pPr>
    </w:p>
    <w:p w14:paraId="14D78D7C" w14:textId="77777777" w:rsidR="00985B87" w:rsidRDefault="00985B87" w:rsidP="00985B87">
      <w:pPr>
        <w:tabs>
          <w:tab w:val="clear" w:pos="562"/>
          <w:tab w:val="left" w:pos="720"/>
        </w:tabs>
        <w:ind w:left="567" w:right="-29" w:hanging="567"/>
      </w:pPr>
    </w:p>
    <w:p w14:paraId="2C5B7922" w14:textId="77777777" w:rsidR="00985B87" w:rsidRPr="00BE39FE" w:rsidRDefault="00944B8F" w:rsidP="00985B87">
      <w:pPr>
        <w:pStyle w:val="EMEAHeading1"/>
        <w:spacing w:beforeLines="0" w:afterLines="0"/>
        <w:rPr>
          <w:caps w:val="0"/>
          <w:lang w:val="en-GB"/>
        </w:rPr>
      </w:pPr>
      <w:r>
        <w:rPr>
          <w:rFonts w:ascii="Times New Roman" w:hAnsi="Times New Roman"/>
          <w:lang w:val="en-GB"/>
        </w:rPr>
        <w:t>1.</w:t>
      </w:r>
      <w:r>
        <w:rPr>
          <w:rFonts w:ascii="Times New Roman" w:hAnsi="Times New Roman"/>
          <w:lang w:val="en-GB"/>
        </w:rPr>
        <w:tab/>
        <w:t>W</w:t>
      </w:r>
      <w:r>
        <w:rPr>
          <w:caps w:val="0"/>
          <w:lang w:val="en-GB"/>
        </w:rPr>
        <w:t>hat Humira is and what it is used for</w:t>
      </w:r>
    </w:p>
    <w:p w14:paraId="4C42D1D6" w14:textId="77777777" w:rsidR="00985B87" w:rsidRDefault="00944B8F" w:rsidP="00985B87">
      <w:pPr>
        <w:pStyle w:val="EMEANormal"/>
        <w:rPr>
          <w:lang w:val="en-GB"/>
        </w:rPr>
      </w:pPr>
      <w:r>
        <w:rPr>
          <w:lang w:val="en-GB"/>
        </w:rPr>
        <w:t xml:space="preserve"> </w:t>
      </w:r>
    </w:p>
    <w:p w14:paraId="3A78D955" w14:textId="77777777" w:rsidR="00985B87" w:rsidRDefault="00944B8F" w:rsidP="00985B87">
      <w:r>
        <w:t>Humira contains t</w:t>
      </w:r>
      <w:r w:rsidR="00253961">
        <w:t>he active substance adalimumab.</w:t>
      </w:r>
    </w:p>
    <w:p w14:paraId="49365C82" w14:textId="77777777" w:rsidR="00253961" w:rsidRDefault="00253961" w:rsidP="00985B87"/>
    <w:p w14:paraId="4587BDC5" w14:textId="77777777" w:rsidR="00985B87" w:rsidRDefault="00944B8F" w:rsidP="00985B87">
      <w:r>
        <w:t xml:space="preserve">Humira is </w:t>
      </w:r>
      <w:r w:rsidR="00253961" w:rsidRPr="00ED237F">
        <w:rPr>
          <w:noProof/>
          <w:color w:val="000000"/>
          <w:szCs w:val="22"/>
        </w:rPr>
        <w:t xml:space="preserve">intended for </w:t>
      </w:r>
      <w:r w:rsidR="00253961">
        <w:rPr>
          <w:noProof/>
          <w:color w:val="000000"/>
          <w:szCs w:val="22"/>
        </w:rPr>
        <w:t xml:space="preserve">the </w:t>
      </w:r>
      <w:r w:rsidR="00253961" w:rsidRPr="00ED237F">
        <w:rPr>
          <w:noProof/>
          <w:color w:val="000000"/>
          <w:szCs w:val="22"/>
        </w:rPr>
        <w:t>treatment of</w:t>
      </w:r>
      <w:r w:rsidR="00253961">
        <w:rPr>
          <w:noProof/>
          <w:color w:val="000000"/>
          <w:szCs w:val="22"/>
        </w:rPr>
        <w:t xml:space="preserve"> the inflammatory diseases described below:</w:t>
      </w:r>
    </w:p>
    <w:p w14:paraId="0388008B" w14:textId="77777777" w:rsidR="00985B87" w:rsidRDefault="00944B8F" w:rsidP="0076153E">
      <w:pPr>
        <w:numPr>
          <w:ilvl w:val="0"/>
          <w:numId w:val="97"/>
        </w:numPr>
        <w:tabs>
          <w:tab w:val="clear" w:pos="562"/>
          <w:tab w:val="left" w:pos="720"/>
        </w:tabs>
      </w:pPr>
      <w:r>
        <w:t>Polyarticular juvenile idiopathic arthritis</w:t>
      </w:r>
    </w:p>
    <w:p w14:paraId="13897D09" w14:textId="77777777" w:rsidR="00985B87" w:rsidRDefault="00944B8F" w:rsidP="0076153E">
      <w:pPr>
        <w:numPr>
          <w:ilvl w:val="0"/>
          <w:numId w:val="97"/>
        </w:numPr>
        <w:tabs>
          <w:tab w:val="clear" w:pos="562"/>
          <w:tab w:val="left" w:pos="720"/>
        </w:tabs>
      </w:pPr>
      <w:r>
        <w:t>Enthesitis-related arthritis</w:t>
      </w:r>
    </w:p>
    <w:p w14:paraId="1C8E8003" w14:textId="77777777" w:rsidR="00985B87" w:rsidRDefault="00944B8F" w:rsidP="0076153E">
      <w:pPr>
        <w:numPr>
          <w:ilvl w:val="0"/>
          <w:numId w:val="97"/>
        </w:numPr>
        <w:tabs>
          <w:tab w:val="clear" w:pos="562"/>
          <w:tab w:val="left" w:pos="720"/>
        </w:tabs>
      </w:pPr>
      <w:r>
        <w:t>P</w:t>
      </w:r>
      <w:r w:rsidR="00253961">
        <w:t>aediatric p</w:t>
      </w:r>
      <w:r>
        <w:t>laque psoriasis</w:t>
      </w:r>
    </w:p>
    <w:p w14:paraId="21D1C058" w14:textId="77777777" w:rsidR="00985B87" w:rsidRDefault="00944B8F" w:rsidP="0076153E">
      <w:pPr>
        <w:numPr>
          <w:ilvl w:val="0"/>
          <w:numId w:val="97"/>
        </w:numPr>
        <w:tabs>
          <w:tab w:val="clear" w:pos="562"/>
          <w:tab w:val="left" w:pos="720"/>
        </w:tabs>
      </w:pPr>
      <w:r>
        <w:t>Paediatric Crohn’s disease</w:t>
      </w:r>
    </w:p>
    <w:p w14:paraId="06CCADDD" w14:textId="77777777" w:rsidR="00985B87" w:rsidRDefault="00944B8F" w:rsidP="0076153E">
      <w:pPr>
        <w:numPr>
          <w:ilvl w:val="0"/>
          <w:numId w:val="97"/>
        </w:numPr>
        <w:tabs>
          <w:tab w:val="clear" w:pos="562"/>
          <w:tab w:val="left" w:pos="720"/>
        </w:tabs>
      </w:pPr>
      <w:r>
        <w:t>Paediatric uveitis</w:t>
      </w:r>
    </w:p>
    <w:p w14:paraId="7536AC1B" w14:textId="77777777" w:rsidR="00985B87" w:rsidRDefault="00985B87" w:rsidP="00985B87">
      <w:pPr>
        <w:tabs>
          <w:tab w:val="clear" w:pos="562"/>
          <w:tab w:val="left" w:pos="720"/>
        </w:tabs>
        <w:ind w:left="720"/>
      </w:pPr>
    </w:p>
    <w:p w14:paraId="4D758A2F" w14:textId="77777777" w:rsidR="00A354EF" w:rsidRDefault="00944B8F" w:rsidP="00A354EF">
      <w:pPr>
        <w:keepLines/>
        <w:numPr>
          <w:ilvl w:val="12"/>
          <w:numId w:val="0"/>
        </w:numPr>
        <w:tabs>
          <w:tab w:val="clear" w:pos="562"/>
        </w:tabs>
        <w:ind w:right="-2"/>
        <w:rPr>
          <w:noProof/>
          <w:color w:val="000000"/>
          <w:szCs w:val="22"/>
        </w:rPr>
      </w:pPr>
      <w:r w:rsidRPr="00ED237F">
        <w:rPr>
          <w:noProof/>
          <w:color w:val="000000"/>
          <w:szCs w:val="22"/>
        </w:rPr>
        <w:t>The active ingredient</w:t>
      </w:r>
      <w:r>
        <w:rPr>
          <w:noProof/>
          <w:color w:val="000000"/>
          <w:szCs w:val="22"/>
        </w:rPr>
        <w:t xml:space="preserve"> in Humira</w:t>
      </w:r>
      <w:r w:rsidRPr="00ED237F">
        <w:rPr>
          <w:noProof/>
          <w:color w:val="000000"/>
          <w:szCs w:val="22"/>
        </w:rPr>
        <w:t>, adalimumab, is a</w:t>
      </w:r>
      <w:r>
        <w:rPr>
          <w:noProof/>
          <w:color w:val="000000"/>
          <w:szCs w:val="22"/>
        </w:rPr>
        <w:t xml:space="preserve"> human</w:t>
      </w:r>
      <w:r w:rsidRPr="00ED237F">
        <w:rPr>
          <w:noProof/>
          <w:color w:val="000000"/>
          <w:szCs w:val="22"/>
        </w:rPr>
        <w:t xml:space="preserve"> monoclonal antibody. Monoclonal antibodies are proteins that </w:t>
      </w:r>
      <w:r w:rsidRPr="00A7331B">
        <w:rPr>
          <w:noProof/>
          <w:color w:val="000000"/>
          <w:szCs w:val="22"/>
        </w:rPr>
        <w:t>attach to a specific target</w:t>
      </w:r>
      <w:r w:rsidRPr="00ED237F">
        <w:rPr>
          <w:noProof/>
          <w:color w:val="000000"/>
          <w:szCs w:val="22"/>
        </w:rPr>
        <w:t>.</w:t>
      </w:r>
    </w:p>
    <w:p w14:paraId="31430903" w14:textId="77777777" w:rsidR="00A354EF" w:rsidRDefault="00A354EF" w:rsidP="00A354EF">
      <w:pPr>
        <w:keepLines/>
        <w:numPr>
          <w:ilvl w:val="12"/>
          <w:numId w:val="0"/>
        </w:numPr>
        <w:tabs>
          <w:tab w:val="clear" w:pos="562"/>
        </w:tabs>
        <w:ind w:right="-2"/>
        <w:rPr>
          <w:noProof/>
          <w:color w:val="000000"/>
          <w:szCs w:val="22"/>
        </w:rPr>
      </w:pPr>
    </w:p>
    <w:p w14:paraId="73BD8D0E" w14:textId="77777777" w:rsidR="00A354EF" w:rsidRDefault="00944B8F" w:rsidP="00A354EF">
      <w:pPr>
        <w:rPr>
          <w:noProof/>
          <w:color w:val="000000"/>
          <w:szCs w:val="22"/>
        </w:rPr>
      </w:pPr>
      <w:r>
        <w:rPr>
          <w:noProof/>
          <w:color w:val="000000"/>
          <w:szCs w:val="22"/>
        </w:rPr>
        <w:t>The target of</w:t>
      </w:r>
      <w:r w:rsidRPr="00ED237F">
        <w:rPr>
          <w:noProof/>
          <w:color w:val="000000"/>
          <w:szCs w:val="22"/>
        </w:rPr>
        <w:t xml:space="preserve"> </w:t>
      </w:r>
      <w:r>
        <w:rPr>
          <w:noProof/>
          <w:color w:val="000000"/>
          <w:szCs w:val="22"/>
        </w:rPr>
        <w:t>a</w:t>
      </w:r>
      <w:r w:rsidRPr="00ED237F">
        <w:rPr>
          <w:noProof/>
          <w:color w:val="000000"/>
          <w:szCs w:val="22"/>
        </w:rPr>
        <w:t xml:space="preserve">dalimumab </w:t>
      </w:r>
      <w:r>
        <w:rPr>
          <w:noProof/>
          <w:color w:val="000000"/>
          <w:szCs w:val="22"/>
        </w:rPr>
        <w:t>is a</w:t>
      </w:r>
      <w:r w:rsidRPr="00ED237F">
        <w:rPr>
          <w:noProof/>
          <w:color w:val="000000"/>
          <w:szCs w:val="22"/>
        </w:rPr>
        <w:t xml:space="preserve"> protein </w:t>
      </w:r>
      <w:r>
        <w:rPr>
          <w:noProof/>
          <w:color w:val="000000"/>
          <w:szCs w:val="22"/>
        </w:rPr>
        <w:t xml:space="preserve">called </w:t>
      </w:r>
      <w:r w:rsidRPr="00ED237F">
        <w:rPr>
          <w:noProof/>
          <w:color w:val="000000"/>
          <w:szCs w:val="22"/>
        </w:rPr>
        <w:t xml:space="preserve">tumour necrosis factor </w:t>
      </w:r>
      <w:r>
        <w:rPr>
          <w:noProof/>
          <w:color w:val="000000"/>
          <w:szCs w:val="22"/>
        </w:rPr>
        <w:t>(</w:t>
      </w:r>
      <w:r w:rsidRPr="00ED237F">
        <w:rPr>
          <w:noProof/>
          <w:color w:val="000000"/>
          <w:szCs w:val="22"/>
        </w:rPr>
        <w:t xml:space="preserve">TNFα), which </w:t>
      </w:r>
      <w:r>
        <w:rPr>
          <w:noProof/>
          <w:color w:val="000000"/>
          <w:szCs w:val="22"/>
        </w:rPr>
        <w:t xml:space="preserve">is involved in the immune (defence) system and </w:t>
      </w:r>
      <w:r w:rsidRPr="00ED237F">
        <w:rPr>
          <w:noProof/>
          <w:color w:val="000000"/>
          <w:szCs w:val="22"/>
        </w:rPr>
        <w:t xml:space="preserve">is present at increased levels in </w:t>
      </w:r>
      <w:r>
        <w:rPr>
          <w:noProof/>
          <w:color w:val="000000"/>
          <w:szCs w:val="22"/>
        </w:rPr>
        <w:t xml:space="preserve">the </w:t>
      </w:r>
      <w:r w:rsidRPr="00ED237F">
        <w:rPr>
          <w:noProof/>
          <w:color w:val="000000"/>
          <w:szCs w:val="22"/>
        </w:rPr>
        <w:t xml:space="preserve">inflammatory diseases </w:t>
      </w:r>
      <w:r>
        <w:rPr>
          <w:noProof/>
          <w:color w:val="000000"/>
          <w:szCs w:val="22"/>
        </w:rPr>
        <w:t>listed above</w:t>
      </w:r>
      <w:r w:rsidRPr="00ED237F">
        <w:rPr>
          <w:noProof/>
          <w:color w:val="000000"/>
          <w:szCs w:val="22"/>
        </w:rPr>
        <w:t>.</w:t>
      </w:r>
      <w:r w:rsidRPr="00A7331B">
        <w:rPr>
          <w:noProof/>
          <w:color w:val="000000"/>
          <w:szCs w:val="22"/>
        </w:rPr>
        <w:t xml:space="preserve"> </w:t>
      </w:r>
      <w:r>
        <w:rPr>
          <w:noProof/>
          <w:color w:val="000000"/>
          <w:szCs w:val="22"/>
        </w:rPr>
        <w:t xml:space="preserve">By attaching to </w:t>
      </w:r>
      <w:r w:rsidRPr="00ED237F">
        <w:rPr>
          <w:noProof/>
          <w:color w:val="000000"/>
          <w:szCs w:val="22"/>
        </w:rPr>
        <w:t>TNFα</w:t>
      </w:r>
      <w:r>
        <w:rPr>
          <w:noProof/>
          <w:color w:val="000000"/>
          <w:szCs w:val="22"/>
        </w:rPr>
        <w:t>, Humira decreases the process of inflammation in these diseases.</w:t>
      </w:r>
    </w:p>
    <w:p w14:paraId="49D9518A" w14:textId="77777777" w:rsidR="00985B87" w:rsidRDefault="00985B87" w:rsidP="00985B87"/>
    <w:p w14:paraId="3119F3ED" w14:textId="77777777" w:rsidR="00985B87" w:rsidRPr="000244DF" w:rsidRDefault="00944B8F" w:rsidP="00985B87">
      <w:pPr>
        <w:pStyle w:val="EMEANormal"/>
        <w:rPr>
          <w:u w:val="single"/>
          <w:lang w:val="en-GB"/>
        </w:rPr>
      </w:pPr>
      <w:r w:rsidRPr="000244DF">
        <w:rPr>
          <w:u w:val="single"/>
          <w:lang w:val="en-GB"/>
        </w:rPr>
        <w:t>Polyarticular juvenile idiopathic arthritis</w:t>
      </w:r>
    </w:p>
    <w:p w14:paraId="4BAF87F0" w14:textId="77777777" w:rsidR="00985B87" w:rsidRDefault="00985B87" w:rsidP="00985B87">
      <w:pPr>
        <w:pStyle w:val="EMEANormal"/>
        <w:rPr>
          <w:lang w:val="en-GB"/>
        </w:rPr>
      </w:pPr>
    </w:p>
    <w:p w14:paraId="27FEEEE9" w14:textId="77777777" w:rsidR="00985B87" w:rsidRDefault="00944B8F" w:rsidP="00985B87">
      <w:pPr>
        <w:numPr>
          <w:ilvl w:val="12"/>
          <w:numId w:val="0"/>
        </w:numPr>
        <w:tabs>
          <w:tab w:val="clear" w:pos="562"/>
          <w:tab w:val="left" w:pos="720"/>
        </w:tabs>
        <w:ind w:right="-2"/>
      </w:pPr>
      <w:r>
        <w:t>Polyarticular juvenile idiopathic arthritis is an inflammatory disease of the joints</w:t>
      </w:r>
      <w:r w:rsidR="00A354EF" w:rsidRPr="00A354EF">
        <w:rPr>
          <w:rFonts w:eastAsia="Malgun Gothic"/>
          <w:noProof/>
          <w:lang w:eastAsia="ko-KR"/>
        </w:rPr>
        <w:t xml:space="preserve"> </w:t>
      </w:r>
      <w:r w:rsidR="00A354EF">
        <w:rPr>
          <w:rFonts w:eastAsia="Malgun Gothic"/>
          <w:noProof/>
          <w:lang w:eastAsia="ko-KR"/>
        </w:rPr>
        <w:t>that usually first appears in childhood</w:t>
      </w:r>
      <w:r>
        <w:t>.</w:t>
      </w:r>
    </w:p>
    <w:p w14:paraId="7A20299F" w14:textId="77777777" w:rsidR="00985B87" w:rsidRDefault="00985B87" w:rsidP="00985B87">
      <w:pPr>
        <w:numPr>
          <w:ilvl w:val="12"/>
          <w:numId w:val="0"/>
        </w:numPr>
        <w:tabs>
          <w:tab w:val="clear" w:pos="562"/>
          <w:tab w:val="left" w:pos="720"/>
        </w:tabs>
        <w:ind w:right="-2"/>
      </w:pPr>
    </w:p>
    <w:p w14:paraId="3EE9B5D1" w14:textId="77777777" w:rsidR="00985B87" w:rsidRDefault="00944B8F" w:rsidP="00985B87">
      <w:pPr>
        <w:numPr>
          <w:ilvl w:val="12"/>
          <w:numId w:val="0"/>
        </w:numPr>
        <w:tabs>
          <w:tab w:val="clear" w:pos="562"/>
          <w:tab w:val="left" w:pos="720"/>
        </w:tabs>
        <w:ind w:right="-2"/>
        <w:rPr>
          <w:noProof/>
          <w:color w:val="000000"/>
          <w:szCs w:val="22"/>
        </w:rPr>
      </w:pPr>
      <w:r>
        <w:lastRenderedPageBreak/>
        <w:t>Humira is used to treat polyarticular juvenile idiopathic arthritis in patients from 2</w:t>
      </w:r>
      <w:r w:rsidR="00AA6375">
        <w:t> </w:t>
      </w:r>
      <w:r>
        <w:t xml:space="preserve">years of age. </w:t>
      </w:r>
      <w:r w:rsidR="00F00A8F">
        <w:t xml:space="preserve">Your child </w:t>
      </w:r>
      <w:r>
        <w:t>may first be given other disease-modifying me</w:t>
      </w:r>
      <w:r w:rsidR="00A354EF">
        <w:t xml:space="preserve">dicines, such as methotrexate. </w:t>
      </w:r>
      <w:r w:rsidR="00A354EF" w:rsidRPr="00ED237F">
        <w:rPr>
          <w:noProof/>
          <w:color w:val="000000"/>
          <w:szCs w:val="22"/>
        </w:rPr>
        <w:t xml:space="preserve">If </w:t>
      </w:r>
      <w:r w:rsidR="00A354EF">
        <w:rPr>
          <w:noProof/>
          <w:color w:val="000000"/>
          <w:szCs w:val="22"/>
        </w:rPr>
        <w:t>these medicines</w:t>
      </w:r>
      <w:r w:rsidR="00A354EF" w:rsidRPr="00ED237F">
        <w:rPr>
          <w:noProof/>
          <w:color w:val="000000"/>
          <w:szCs w:val="22"/>
        </w:rPr>
        <w:t xml:space="preserve"> do not </w:t>
      </w:r>
      <w:r w:rsidR="00A354EF">
        <w:rPr>
          <w:noProof/>
          <w:color w:val="000000"/>
          <w:szCs w:val="22"/>
        </w:rPr>
        <w:t>work</w:t>
      </w:r>
      <w:r w:rsidR="00A354EF" w:rsidRPr="00ED237F">
        <w:rPr>
          <w:noProof/>
          <w:color w:val="000000"/>
          <w:szCs w:val="22"/>
        </w:rPr>
        <w:t xml:space="preserve"> well enough, </w:t>
      </w:r>
      <w:r w:rsidR="00F00A8F">
        <w:rPr>
          <w:noProof/>
          <w:color w:val="000000"/>
          <w:szCs w:val="22"/>
        </w:rPr>
        <w:t>y</w:t>
      </w:r>
      <w:r w:rsidR="00F00A8F">
        <w:t>our child</w:t>
      </w:r>
      <w:r w:rsidR="00F00A8F" w:rsidRPr="00ED237F">
        <w:rPr>
          <w:noProof/>
          <w:color w:val="000000"/>
          <w:szCs w:val="22"/>
        </w:rPr>
        <w:t xml:space="preserve"> </w:t>
      </w:r>
      <w:r w:rsidR="00A354EF" w:rsidRPr="00ED237F">
        <w:rPr>
          <w:noProof/>
          <w:color w:val="000000"/>
          <w:szCs w:val="22"/>
        </w:rPr>
        <w:t xml:space="preserve">will be given </w:t>
      </w:r>
      <w:r w:rsidR="00A354EF">
        <w:rPr>
          <w:noProof/>
          <w:color w:val="000000"/>
          <w:szCs w:val="22"/>
        </w:rPr>
        <w:t>Humira</w:t>
      </w:r>
      <w:r w:rsidR="00A354EF" w:rsidRPr="00ED237F">
        <w:rPr>
          <w:noProof/>
          <w:color w:val="000000"/>
          <w:szCs w:val="22"/>
        </w:rPr>
        <w:t xml:space="preserve"> to treat </w:t>
      </w:r>
      <w:r w:rsidR="00F00A8F">
        <w:rPr>
          <w:noProof/>
          <w:color w:val="000000"/>
          <w:szCs w:val="22"/>
        </w:rPr>
        <w:t>his/her</w:t>
      </w:r>
      <w:r w:rsidR="00F00A8F" w:rsidRPr="00ED237F">
        <w:rPr>
          <w:noProof/>
          <w:color w:val="000000"/>
          <w:szCs w:val="22"/>
        </w:rPr>
        <w:t xml:space="preserve"> </w:t>
      </w:r>
      <w:r w:rsidR="00A354EF" w:rsidRPr="00ED237F">
        <w:rPr>
          <w:noProof/>
          <w:color w:val="000000"/>
          <w:szCs w:val="22"/>
        </w:rPr>
        <w:t>polyarticular juvenile idiopathic arthritis.</w:t>
      </w:r>
    </w:p>
    <w:p w14:paraId="26F0F2E9" w14:textId="77777777" w:rsidR="00E66033" w:rsidRDefault="00E66033" w:rsidP="00985B87">
      <w:pPr>
        <w:numPr>
          <w:ilvl w:val="12"/>
          <w:numId w:val="0"/>
        </w:numPr>
        <w:tabs>
          <w:tab w:val="clear" w:pos="562"/>
          <w:tab w:val="left" w:pos="720"/>
        </w:tabs>
        <w:ind w:right="-2"/>
      </w:pPr>
    </w:p>
    <w:p w14:paraId="04A3A246" w14:textId="77777777" w:rsidR="00985B87" w:rsidRDefault="00944B8F" w:rsidP="00985B87">
      <w:pPr>
        <w:numPr>
          <w:ilvl w:val="12"/>
          <w:numId w:val="0"/>
        </w:numPr>
        <w:tabs>
          <w:tab w:val="clear" w:pos="562"/>
          <w:tab w:val="left" w:pos="720"/>
        </w:tabs>
        <w:ind w:right="-2"/>
      </w:pPr>
      <w:r>
        <w:t>Your doctor will decide if Humira should be used with methotrexate or alone.</w:t>
      </w:r>
    </w:p>
    <w:p w14:paraId="149511CD" w14:textId="77777777" w:rsidR="00985B87" w:rsidRDefault="00985B87" w:rsidP="00985B87">
      <w:pPr>
        <w:numPr>
          <w:ilvl w:val="12"/>
          <w:numId w:val="0"/>
        </w:numPr>
        <w:tabs>
          <w:tab w:val="clear" w:pos="562"/>
          <w:tab w:val="left" w:pos="720"/>
        </w:tabs>
        <w:ind w:right="-2"/>
      </w:pPr>
    </w:p>
    <w:p w14:paraId="35D8AC0E" w14:textId="77777777" w:rsidR="00985B87" w:rsidRPr="000244DF" w:rsidRDefault="00944B8F" w:rsidP="00985B87">
      <w:pPr>
        <w:keepNext/>
        <w:numPr>
          <w:ilvl w:val="12"/>
          <w:numId w:val="0"/>
        </w:numPr>
        <w:tabs>
          <w:tab w:val="clear" w:pos="562"/>
          <w:tab w:val="left" w:pos="720"/>
        </w:tabs>
        <w:ind w:right="-2"/>
        <w:rPr>
          <w:u w:val="single"/>
        </w:rPr>
      </w:pPr>
      <w:r w:rsidRPr="000244DF">
        <w:rPr>
          <w:u w:val="single"/>
        </w:rPr>
        <w:t>Enthesitis-related arthritis</w:t>
      </w:r>
    </w:p>
    <w:p w14:paraId="544D72F8" w14:textId="77777777" w:rsidR="00985B87" w:rsidRDefault="00985B87" w:rsidP="00985B87">
      <w:pPr>
        <w:keepNext/>
        <w:numPr>
          <w:ilvl w:val="12"/>
          <w:numId w:val="0"/>
        </w:numPr>
        <w:tabs>
          <w:tab w:val="clear" w:pos="562"/>
          <w:tab w:val="left" w:pos="720"/>
        </w:tabs>
        <w:ind w:right="-2"/>
      </w:pPr>
    </w:p>
    <w:p w14:paraId="3A4084C9" w14:textId="77777777" w:rsidR="00985B87" w:rsidRDefault="00944B8F" w:rsidP="00985B87">
      <w:pPr>
        <w:keepNext/>
        <w:numPr>
          <w:ilvl w:val="12"/>
          <w:numId w:val="0"/>
        </w:numPr>
        <w:tabs>
          <w:tab w:val="clear" w:pos="562"/>
          <w:tab w:val="left" w:pos="720"/>
        </w:tabs>
        <w:ind w:right="-2"/>
      </w:pPr>
      <w:r>
        <w:t>Enthesitis-related arthritis is an inflammatory disease of the joints and the places where tendons join the bone.</w:t>
      </w:r>
    </w:p>
    <w:p w14:paraId="5832F40D" w14:textId="77777777" w:rsidR="00985B87" w:rsidRDefault="00985B87" w:rsidP="00985B87">
      <w:pPr>
        <w:numPr>
          <w:ilvl w:val="12"/>
          <w:numId w:val="0"/>
        </w:numPr>
        <w:tabs>
          <w:tab w:val="clear" w:pos="562"/>
          <w:tab w:val="left" w:pos="720"/>
        </w:tabs>
        <w:ind w:right="-2"/>
      </w:pPr>
    </w:p>
    <w:p w14:paraId="35C9792E" w14:textId="77777777" w:rsidR="00A354EF" w:rsidRDefault="00944B8F" w:rsidP="00985B87">
      <w:pPr>
        <w:numPr>
          <w:ilvl w:val="12"/>
          <w:numId w:val="0"/>
        </w:numPr>
        <w:tabs>
          <w:tab w:val="clear" w:pos="562"/>
          <w:tab w:val="left" w:pos="720"/>
        </w:tabs>
        <w:ind w:right="-2"/>
      </w:pPr>
      <w:r>
        <w:t>Humira is used to treat enthesitis-related arthritis in patients from 6</w:t>
      </w:r>
      <w:r w:rsidR="00AA6375">
        <w:t> </w:t>
      </w:r>
      <w:r>
        <w:t xml:space="preserve">years of age. </w:t>
      </w:r>
      <w:r w:rsidR="00F00A8F">
        <w:t xml:space="preserve">Your child </w:t>
      </w:r>
      <w:r>
        <w:t xml:space="preserve">may first be given other disease-modifying medicines, such as methotrexate. </w:t>
      </w:r>
      <w:r w:rsidR="00E66033" w:rsidRPr="00ED237F">
        <w:rPr>
          <w:noProof/>
          <w:color w:val="000000"/>
          <w:szCs w:val="22"/>
        </w:rPr>
        <w:t xml:space="preserve">If </w:t>
      </w:r>
      <w:r w:rsidR="00E66033">
        <w:rPr>
          <w:noProof/>
          <w:color w:val="000000"/>
          <w:szCs w:val="22"/>
        </w:rPr>
        <w:t>these medicines</w:t>
      </w:r>
      <w:r w:rsidR="00E66033" w:rsidRPr="00ED237F">
        <w:rPr>
          <w:noProof/>
          <w:color w:val="000000"/>
          <w:szCs w:val="22"/>
        </w:rPr>
        <w:t xml:space="preserve"> do not </w:t>
      </w:r>
      <w:r w:rsidR="00E66033">
        <w:rPr>
          <w:noProof/>
          <w:color w:val="000000"/>
          <w:szCs w:val="22"/>
        </w:rPr>
        <w:t>work</w:t>
      </w:r>
      <w:r w:rsidR="00E66033" w:rsidRPr="00ED237F">
        <w:rPr>
          <w:noProof/>
          <w:color w:val="000000"/>
          <w:szCs w:val="22"/>
        </w:rPr>
        <w:t xml:space="preserve"> well enough, </w:t>
      </w:r>
      <w:r w:rsidR="00F00A8F">
        <w:t>your child</w:t>
      </w:r>
      <w:r w:rsidR="00F00A8F" w:rsidRPr="00ED237F">
        <w:rPr>
          <w:noProof/>
          <w:color w:val="000000"/>
          <w:szCs w:val="22"/>
        </w:rPr>
        <w:t xml:space="preserve"> </w:t>
      </w:r>
      <w:r w:rsidR="00E66033" w:rsidRPr="00ED237F">
        <w:rPr>
          <w:noProof/>
          <w:color w:val="000000"/>
          <w:szCs w:val="22"/>
        </w:rPr>
        <w:t xml:space="preserve">will be given </w:t>
      </w:r>
      <w:r w:rsidR="00E66033">
        <w:rPr>
          <w:noProof/>
          <w:color w:val="000000"/>
          <w:szCs w:val="22"/>
        </w:rPr>
        <w:t>Humira</w:t>
      </w:r>
      <w:r w:rsidR="00E66033" w:rsidRPr="00ED237F">
        <w:rPr>
          <w:noProof/>
          <w:color w:val="000000"/>
          <w:szCs w:val="22"/>
        </w:rPr>
        <w:t xml:space="preserve"> to treat </w:t>
      </w:r>
      <w:r w:rsidR="00F00A8F">
        <w:rPr>
          <w:noProof/>
          <w:color w:val="000000"/>
          <w:szCs w:val="22"/>
        </w:rPr>
        <w:t>his/her</w:t>
      </w:r>
      <w:r w:rsidR="00F00A8F" w:rsidRPr="00ED237F">
        <w:rPr>
          <w:noProof/>
          <w:color w:val="000000"/>
          <w:szCs w:val="22"/>
        </w:rPr>
        <w:t xml:space="preserve"> </w:t>
      </w:r>
      <w:r w:rsidR="00E66033" w:rsidRPr="00ED237F">
        <w:rPr>
          <w:noProof/>
          <w:color w:val="000000"/>
          <w:szCs w:val="22"/>
        </w:rPr>
        <w:t>enthesitis-related arthritis.</w:t>
      </w:r>
    </w:p>
    <w:p w14:paraId="0D3AA71E" w14:textId="77777777" w:rsidR="00985B87" w:rsidRDefault="00985B87" w:rsidP="00985B87">
      <w:pPr>
        <w:numPr>
          <w:ilvl w:val="12"/>
          <w:numId w:val="0"/>
        </w:numPr>
        <w:tabs>
          <w:tab w:val="clear" w:pos="562"/>
          <w:tab w:val="left" w:pos="720"/>
        </w:tabs>
        <w:ind w:right="-2"/>
      </w:pPr>
    </w:p>
    <w:p w14:paraId="1E29CF5D" w14:textId="77777777" w:rsidR="00985B87" w:rsidRPr="00E66033" w:rsidRDefault="00944B8F" w:rsidP="00985B87">
      <w:pPr>
        <w:pStyle w:val="DefaultText"/>
        <w:rPr>
          <w:rFonts w:ascii="Times New Roman" w:hAnsi="Times New Roman"/>
          <w:u w:val="single"/>
        </w:rPr>
      </w:pPr>
      <w:r w:rsidRPr="000244DF">
        <w:rPr>
          <w:rFonts w:ascii="Times New Roman" w:hAnsi="Times New Roman"/>
          <w:u w:val="single"/>
        </w:rPr>
        <w:t>P</w:t>
      </w:r>
      <w:r w:rsidR="00E66033" w:rsidRPr="000244DF">
        <w:rPr>
          <w:rFonts w:ascii="Times New Roman" w:hAnsi="Times New Roman"/>
          <w:u w:val="single"/>
        </w:rPr>
        <w:t>aediatric p</w:t>
      </w:r>
      <w:r w:rsidRPr="000244DF">
        <w:rPr>
          <w:rFonts w:ascii="Times New Roman" w:hAnsi="Times New Roman"/>
          <w:u w:val="single"/>
        </w:rPr>
        <w:t>laque psoriasis</w:t>
      </w:r>
      <w:r w:rsidRPr="00E66033">
        <w:rPr>
          <w:rFonts w:ascii="Times New Roman" w:hAnsi="Times New Roman"/>
          <w:u w:val="single"/>
        </w:rPr>
        <w:t xml:space="preserve"> </w:t>
      </w:r>
    </w:p>
    <w:p w14:paraId="4504F5BB" w14:textId="77777777" w:rsidR="00985B87" w:rsidRDefault="00985B87" w:rsidP="00985B87">
      <w:pPr>
        <w:pStyle w:val="EMEANormal"/>
        <w:rPr>
          <w:szCs w:val="21"/>
        </w:rPr>
      </w:pPr>
    </w:p>
    <w:p w14:paraId="6A53E3B1" w14:textId="77777777" w:rsidR="00985B87" w:rsidRDefault="00944B8F" w:rsidP="00985B87">
      <w:pPr>
        <w:numPr>
          <w:ilvl w:val="12"/>
          <w:numId w:val="0"/>
        </w:numPr>
        <w:tabs>
          <w:tab w:val="clear" w:pos="562"/>
          <w:tab w:val="left" w:pos="720"/>
        </w:tabs>
        <w:ind w:right="-2"/>
      </w:pPr>
      <w:r>
        <w:t xml:space="preserve">Plaque psoriasis is a skin condition that causes red, flaky, crusty patches of skin covered with silvery scales. </w:t>
      </w:r>
      <w:r w:rsidR="00E66033" w:rsidRPr="00E66033">
        <w:t>Plaque psoriasis can also affect the nails, causing them to crumble, become thickened and lift away from the nail bed which can be painful. Psoriasis is believed to be caused by a problem with the body’s immune system that leads to an increased production of skin cells.</w:t>
      </w:r>
    </w:p>
    <w:p w14:paraId="2F52F88F" w14:textId="77777777" w:rsidR="00985B87" w:rsidRDefault="00985B87" w:rsidP="00985B87">
      <w:pPr>
        <w:pStyle w:val="EMEANormal"/>
        <w:rPr>
          <w:szCs w:val="21"/>
        </w:rPr>
      </w:pPr>
    </w:p>
    <w:p w14:paraId="1D165813" w14:textId="77777777" w:rsidR="00985B87" w:rsidRDefault="00944B8F" w:rsidP="00985B87">
      <w:pPr>
        <w:pStyle w:val="EMEANormal"/>
        <w:tabs>
          <w:tab w:val="clear" w:pos="562"/>
          <w:tab w:val="left" w:pos="720"/>
        </w:tabs>
        <w:rPr>
          <w:szCs w:val="21"/>
        </w:rPr>
      </w:pPr>
      <w:r>
        <w:rPr>
          <w:szCs w:val="21"/>
        </w:rPr>
        <w:t>Humira is used to treat severe chronic plaque psoriasis in children and adolescents aged 4 to 17</w:t>
      </w:r>
      <w:r w:rsidR="00AA6375">
        <w:rPr>
          <w:szCs w:val="21"/>
        </w:rPr>
        <w:t> </w:t>
      </w:r>
      <w:r>
        <w:rPr>
          <w:szCs w:val="21"/>
        </w:rPr>
        <w:t>years for whom topical therapy and phototherapies have either not worked very well or are not suitable.</w:t>
      </w:r>
    </w:p>
    <w:p w14:paraId="7D3D875F" w14:textId="77777777" w:rsidR="00985B87" w:rsidRDefault="00985B87" w:rsidP="00985B87">
      <w:pPr>
        <w:pStyle w:val="EMEANormal"/>
        <w:ind w:left="58"/>
        <w:rPr>
          <w:szCs w:val="21"/>
        </w:rPr>
      </w:pPr>
    </w:p>
    <w:p w14:paraId="3C7F49BD" w14:textId="77777777" w:rsidR="00985B87" w:rsidRPr="000244DF" w:rsidRDefault="00944B8F" w:rsidP="00985B87">
      <w:pPr>
        <w:pStyle w:val="EMEANormal"/>
        <w:rPr>
          <w:u w:val="single"/>
          <w:lang w:val="en-GB"/>
        </w:rPr>
      </w:pPr>
      <w:r w:rsidRPr="000244DF">
        <w:rPr>
          <w:u w:val="single"/>
        </w:rPr>
        <w:t xml:space="preserve">Paediatric </w:t>
      </w:r>
      <w:r w:rsidRPr="000244DF">
        <w:rPr>
          <w:u w:val="single"/>
          <w:lang w:val="en-GB"/>
        </w:rPr>
        <w:t>Crohn’s disease</w:t>
      </w:r>
    </w:p>
    <w:p w14:paraId="7A3CA5CF" w14:textId="77777777" w:rsidR="00985B87" w:rsidRDefault="00985B87" w:rsidP="00985B87">
      <w:pPr>
        <w:pStyle w:val="EMEANormal"/>
        <w:rPr>
          <w:lang w:val="en-GB"/>
        </w:rPr>
      </w:pPr>
    </w:p>
    <w:p w14:paraId="03B1E15A" w14:textId="77777777" w:rsidR="00985B87" w:rsidRDefault="00944B8F" w:rsidP="00985B87">
      <w:pPr>
        <w:pStyle w:val="EMEANormal"/>
        <w:rPr>
          <w:szCs w:val="21"/>
          <w:lang w:val="en-GB"/>
        </w:rPr>
      </w:pPr>
      <w:r>
        <w:rPr>
          <w:lang w:val="en-GB"/>
        </w:rPr>
        <w:t>Crohn’s disease is an inflammatory disease of the digestive tract.</w:t>
      </w:r>
    </w:p>
    <w:p w14:paraId="5A1EE394" w14:textId="77777777" w:rsidR="00985B87" w:rsidRDefault="00985B87" w:rsidP="00985B87">
      <w:pPr>
        <w:pStyle w:val="EMEANormal"/>
        <w:rPr>
          <w:szCs w:val="21"/>
          <w:lang w:val="en-GB"/>
        </w:rPr>
      </w:pPr>
    </w:p>
    <w:p w14:paraId="6E0D9335" w14:textId="77777777" w:rsidR="00985B87" w:rsidRDefault="00944B8F" w:rsidP="00985B87">
      <w:pPr>
        <w:pStyle w:val="EMEANormal"/>
        <w:tabs>
          <w:tab w:val="clear" w:pos="562"/>
          <w:tab w:val="left" w:pos="720"/>
        </w:tabs>
        <w:rPr>
          <w:lang w:val="en-GB"/>
        </w:rPr>
      </w:pPr>
      <w:r>
        <w:rPr>
          <w:szCs w:val="21"/>
          <w:lang w:val="en-GB"/>
        </w:rPr>
        <w:t>Humira is used to treat moderate to severe Crohn’s disease in children and adolescents aged 6 to 17</w:t>
      </w:r>
      <w:r w:rsidR="00AA6375">
        <w:rPr>
          <w:szCs w:val="21"/>
          <w:lang w:val="en-GB"/>
        </w:rPr>
        <w:t> </w:t>
      </w:r>
      <w:r>
        <w:rPr>
          <w:szCs w:val="21"/>
          <w:lang w:val="en-GB"/>
        </w:rPr>
        <w:t>years.</w:t>
      </w:r>
    </w:p>
    <w:p w14:paraId="19D54E6B" w14:textId="77777777" w:rsidR="00985B87" w:rsidRDefault="00985B87" w:rsidP="001B6DEE">
      <w:pPr>
        <w:pStyle w:val="EMEANormal"/>
        <w:tabs>
          <w:tab w:val="clear" w:pos="562"/>
          <w:tab w:val="left" w:pos="720"/>
        </w:tabs>
        <w:rPr>
          <w:szCs w:val="21"/>
          <w:lang w:val="en-GB"/>
        </w:rPr>
      </w:pPr>
    </w:p>
    <w:p w14:paraId="272E2395" w14:textId="77777777" w:rsidR="00985B87" w:rsidRDefault="00944B8F" w:rsidP="00E66033">
      <w:pPr>
        <w:pStyle w:val="EMEANormal"/>
        <w:tabs>
          <w:tab w:val="clear" w:pos="562"/>
          <w:tab w:val="left" w:pos="720"/>
        </w:tabs>
        <w:rPr>
          <w:noProof/>
          <w:color w:val="000000"/>
          <w:szCs w:val="22"/>
        </w:rPr>
      </w:pPr>
      <w:r>
        <w:t>Your child may first be given other medicines</w:t>
      </w:r>
      <w:r w:rsidR="007746CB">
        <w:t>.</w:t>
      </w:r>
      <w:r w:rsidR="00E66033" w:rsidRPr="00E66033">
        <w:rPr>
          <w:noProof/>
          <w:color w:val="000000"/>
          <w:szCs w:val="22"/>
        </w:rPr>
        <w:t xml:space="preserve"> </w:t>
      </w:r>
      <w:r w:rsidR="00E66033" w:rsidRPr="00ED237F">
        <w:rPr>
          <w:noProof/>
          <w:color w:val="000000"/>
          <w:szCs w:val="22"/>
        </w:rPr>
        <w:t xml:space="preserve">If </w:t>
      </w:r>
      <w:r w:rsidR="00E66033">
        <w:rPr>
          <w:noProof/>
          <w:color w:val="000000"/>
          <w:szCs w:val="22"/>
        </w:rPr>
        <w:t>these medicines</w:t>
      </w:r>
      <w:r w:rsidR="00E66033" w:rsidRPr="00ED237F">
        <w:rPr>
          <w:noProof/>
          <w:color w:val="000000"/>
          <w:szCs w:val="22"/>
        </w:rPr>
        <w:t xml:space="preserve"> do not </w:t>
      </w:r>
      <w:r w:rsidR="00E66033">
        <w:rPr>
          <w:noProof/>
          <w:color w:val="000000"/>
          <w:szCs w:val="22"/>
        </w:rPr>
        <w:t>work</w:t>
      </w:r>
      <w:r w:rsidR="00E66033" w:rsidRPr="00ED237F">
        <w:rPr>
          <w:noProof/>
          <w:color w:val="000000"/>
          <w:szCs w:val="22"/>
        </w:rPr>
        <w:t xml:space="preserve"> well enough, </w:t>
      </w:r>
      <w:r>
        <w:rPr>
          <w:noProof/>
          <w:color w:val="000000"/>
          <w:szCs w:val="22"/>
        </w:rPr>
        <w:t>y</w:t>
      </w:r>
      <w:r>
        <w:t>our child</w:t>
      </w:r>
      <w:r w:rsidRPr="00ED237F">
        <w:rPr>
          <w:noProof/>
          <w:color w:val="000000"/>
          <w:szCs w:val="22"/>
        </w:rPr>
        <w:t xml:space="preserve"> </w:t>
      </w:r>
      <w:r w:rsidR="00E66033" w:rsidRPr="00ED237F">
        <w:rPr>
          <w:noProof/>
          <w:color w:val="000000"/>
          <w:szCs w:val="22"/>
        </w:rPr>
        <w:t xml:space="preserve">will be given </w:t>
      </w:r>
      <w:r w:rsidR="00E66033">
        <w:rPr>
          <w:noProof/>
          <w:color w:val="000000"/>
          <w:szCs w:val="22"/>
        </w:rPr>
        <w:t>Humira</w:t>
      </w:r>
      <w:r w:rsidR="00E66033" w:rsidRPr="00ED237F">
        <w:rPr>
          <w:noProof/>
          <w:color w:val="000000"/>
          <w:szCs w:val="22"/>
        </w:rPr>
        <w:t xml:space="preserve"> to reduce the signs and symptoms of </w:t>
      </w:r>
      <w:r w:rsidR="00F00A8F">
        <w:rPr>
          <w:noProof/>
          <w:color w:val="000000"/>
          <w:szCs w:val="22"/>
        </w:rPr>
        <w:t>his/her</w:t>
      </w:r>
      <w:r w:rsidR="00F00A8F" w:rsidRPr="00ED237F">
        <w:rPr>
          <w:noProof/>
          <w:color w:val="000000"/>
          <w:szCs w:val="22"/>
        </w:rPr>
        <w:t xml:space="preserve"> </w:t>
      </w:r>
      <w:r w:rsidR="00E66033" w:rsidRPr="00ED237F">
        <w:rPr>
          <w:noProof/>
          <w:color w:val="000000"/>
          <w:szCs w:val="22"/>
        </w:rPr>
        <w:t>disease.</w:t>
      </w:r>
    </w:p>
    <w:p w14:paraId="3017D443" w14:textId="77777777" w:rsidR="00E66033" w:rsidRDefault="00E66033" w:rsidP="00E66033">
      <w:pPr>
        <w:pStyle w:val="EMEANormal"/>
        <w:tabs>
          <w:tab w:val="clear" w:pos="562"/>
          <w:tab w:val="left" w:pos="720"/>
        </w:tabs>
        <w:rPr>
          <w:lang w:val="en-GB"/>
        </w:rPr>
      </w:pPr>
    </w:p>
    <w:p w14:paraId="1D36CC9C" w14:textId="77777777" w:rsidR="00985B87" w:rsidRPr="000244DF" w:rsidRDefault="00944B8F" w:rsidP="00985B87">
      <w:pPr>
        <w:pStyle w:val="EMEANormal"/>
        <w:rPr>
          <w:u w:val="single"/>
        </w:rPr>
      </w:pPr>
      <w:r w:rsidRPr="00700513">
        <w:rPr>
          <w:u w:val="single"/>
        </w:rPr>
        <w:t>Paediatric</w:t>
      </w:r>
      <w:r w:rsidRPr="000244DF">
        <w:rPr>
          <w:szCs w:val="21"/>
          <w:u w:val="single"/>
          <w:lang w:val="en-GB"/>
        </w:rPr>
        <w:t xml:space="preserve"> uveitis</w:t>
      </w:r>
    </w:p>
    <w:p w14:paraId="5A542DF9" w14:textId="77777777" w:rsidR="00985B87" w:rsidRDefault="00985B87" w:rsidP="00985B87">
      <w:pPr>
        <w:pStyle w:val="EMEANormal"/>
        <w:rPr>
          <w:b/>
          <w:i/>
          <w:u w:val="single"/>
        </w:rPr>
      </w:pPr>
    </w:p>
    <w:p w14:paraId="6A74973A" w14:textId="77777777" w:rsidR="00985B87" w:rsidRPr="00C0516A" w:rsidRDefault="00944B8F" w:rsidP="00985B87">
      <w:pPr>
        <w:pStyle w:val="EMEANormal"/>
        <w:rPr>
          <w:lang w:val="x-none"/>
        </w:rPr>
      </w:pPr>
      <w:r w:rsidRPr="00C0516A">
        <w:rPr>
          <w:lang w:val="x-none"/>
        </w:rPr>
        <w:t>Non-infectious uveitis is an inflammatory disease affecting certain parts of the eye.</w:t>
      </w:r>
    </w:p>
    <w:p w14:paraId="15DA69E2" w14:textId="77777777" w:rsidR="00985B87" w:rsidRDefault="00985B87" w:rsidP="00985B87">
      <w:pPr>
        <w:pStyle w:val="EMEANormal"/>
        <w:rPr>
          <w:b/>
          <w:u w:val="single"/>
        </w:rPr>
      </w:pPr>
    </w:p>
    <w:p w14:paraId="771CC676" w14:textId="77777777" w:rsidR="00985B87" w:rsidRDefault="00944B8F" w:rsidP="00EE732D">
      <w:pPr>
        <w:pStyle w:val="EMEANormal"/>
      </w:pPr>
      <w:r w:rsidRPr="0012284B">
        <w:t xml:space="preserve">Humira is used to treat </w:t>
      </w:r>
      <w:r w:rsidRPr="00F91508">
        <w:rPr>
          <w:szCs w:val="21"/>
          <w:lang w:val="en-GB"/>
        </w:rPr>
        <w:t>children</w:t>
      </w:r>
      <w:r w:rsidRPr="00472AD0">
        <w:rPr>
          <w:lang w:val="en-GB"/>
        </w:rPr>
        <w:t xml:space="preserve"> with chronic non-infectious uveitis from 2</w:t>
      </w:r>
      <w:r>
        <w:rPr>
          <w:lang w:val="en-GB"/>
        </w:rPr>
        <w:t> </w:t>
      </w:r>
      <w:r w:rsidRPr="00472AD0">
        <w:rPr>
          <w:lang w:val="en-GB"/>
        </w:rPr>
        <w:t>years of age with infla</w:t>
      </w:r>
      <w:r>
        <w:rPr>
          <w:lang w:val="en-GB"/>
        </w:rPr>
        <w:t xml:space="preserve">mmation affecting </w:t>
      </w:r>
      <w:r w:rsidRPr="00F91508">
        <w:rPr>
          <w:lang w:val="en-GB"/>
        </w:rPr>
        <w:t>the front of</w:t>
      </w:r>
      <w:r>
        <w:rPr>
          <w:lang w:val="en-GB"/>
        </w:rPr>
        <w:t xml:space="preserve"> the </w:t>
      </w:r>
      <w:r w:rsidRPr="00472AD0">
        <w:rPr>
          <w:lang w:val="en-GB"/>
        </w:rPr>
        <w:t>eye</w:t>
      </w:r>
      <w:r w:rsidRPr="0012284B">
        <w:t xml:space="preserve"> </w:t>
      </w:r>
    </w:p>
    <w:p w14:paraId="25F68206" w14:textId="77777777" w:rsidR="00985B87" w:rsidRDefault="00985B87" w:rsidP="00985B87">
      <w:pPr>
        <w:pStyle w:val="EMEANormal"/>
      </w:pPr>
    </w:p>
    <w:p w14:paraId="7CE6DC0B" w14:textId="77777777" w:rsidR="00985B87" w:rsidRPr="0012284B" w:rsidRDefault="00944B8F" w:rsidP="00985B87">
      <w:pPr>
        <w:pStyle w:val="EMEANormal"/>
      </w:pPr>
      <w:r w:rsidRPr="0012284B">
        <w:t xml:space="preserve">This inflammation </w:t>
      </w:r>
      <w:r>
        <w:t xml:space="preserve">may </w:t>
      </w:r>
      <w:r w:rsidRPr="0012284B">
        <w:t xml:space="preserve">lead to a decrease of vision and/or the presence of floaters in the </w:t>
      </w:r>
      <w:r>
        <w:t>eye</w:t>
      </w:r>
      <w:r w:rsidRPr="0012284B">
        <w:t xml:space="preserve"> (black dots or wispy lines that move across the field of vision). Humira works by reducing this inflammation.</w:t>
      </w:r>
    </w:p>
    <w:p w14:paraId="3F949738" w14:textId="77777777" w:rsidR="00985B87" w:rsidRDefault="00985B87" w:rsidP="00985B87">
      <w:pPr>
        <w:pStyle w:val="EMEANormal"/>
      </w:pPr>
    </w:p>
    <w:p w14:paraId="427A17AF" w14:textId="77777777" w:rsidR="00985B87" w:rsidRDefault="00944B8F" w:rsidP="00985B87">
      <w:pPr>
        <w:pStyle w:val="EMEANormal"/>
      </w:pPr>
      <w:r>
        <w:t>Your child may</w:t>
      </w:r>
      <w:r w:rsidRPr="00F91508">
        <w:t xml:space="preserve"> first be given other medicines</w:t>
      </w:r>
      <w:r w:rsidR="00E66033">
        <w:t>.</w:t>
      </w:r>
      <w:r w:rsidR="00E66033" w:rsidRPr="00E66033">
        <w:rPr>
          <w:noProof/>
          <w:color w:val="000000"/>
          <w:szCs w:val="22"/>
        </w:rPr>
        <w:t xml:space="preserve"> </w:t>
      </w:r>
      <w:r w:rsidR="00E66033" w:rsidRPr="00ED237F">
        <w:rPr>
          <w:noProof/>
          <w:color w:val="000000"/>
          <w:szCs w:val="22"/>
        </w:rPr>
        <w:t xml:space="preserve">If </w:t>
      </w:r>
      <w:r w:rsidR="00E66033">
        <w:rPr>
          <w:noProof/>
          <w:color w:val="000000"/>
          <w:szCs w:val="22"/>
        </w:rPr>
        <w:t>these medicines</w:t>
      </w:r>
      <w:r w:rsidR="00E66033" w:rsidRPr="00ED237F">
        <w:rPr>
          <w:noProof/>
          <w:color w:val="000000"/>
          <w:szCs w:val="22"/>
        </w:rPr>
        <w:t xml:space="preserve"> do not </w:t>
      </w:r>
      <w:r w:rsidR="00E66033">
        <w:rPr>
          <w:noProof/>
          <w:color w:val="000000"/>
          <w:szCs w:val="22"/>
        </w:rPr>
        <w:t>work</w:t>
      </w:r>
      <w:r w:rsidR="00E66033" w:rsidRPr="00ED237F">
        <w:rPr>
          <w:noProof/>
          <w:color w:val="000000"/>
          <w:szCs w:val="22"/>
        </w:rPr>
        <w:t xml:space="preserve"> well enough, </w:t>
      </w:r>
      <w:r>
        <w:rPr>
          <w:noProof/>
          <w:color w:val="000000"/>
          <w:szCs w:val="22"/>
        </w:rPr>
        <w:t>y</w:t>
      </w:r>
      <w:r>
        <w:t>our child</w:t>
      </w:r>
      <w:r w:rsidRPr="00ED237F">
        <w:rPr>
          <w:noProof/>
          <w:color w:val="000000"/>
          <w:szCs w:val="22"/>
        </w:rPr>
        <w:t xml:space="preserve"> </w:t>
      </w:r>
      <w:r w:rsidR="00E66033" w:rsidRPr="00ED237F">
        <w:rPr>
          <w:noProof/>
          <w:color w:val="000000"/>
          <w:szCs w:val="22"/>
        </w:rPr>
        <w:t xml:space="preserve">will be given </w:t>
      </w:r>
      <w:r w:rsidR="00E66033">
        <w:rPr>
          <w:noProof/>
          <w:color w:val="000000"/>
          <w:szCs w:val="22"/>
        </w:rPr>
        <w:t>Humira</w:t>
      </w:r>
      <w:r w:rsidR="00E66033" w:rsidRPr="00ED237F">
        <w:rPr>
          <w:noProof/>
          <w:color w:val="000000"/>
          <w:szCs w:val="22"/>
        </w:rPr>
        <w:t xml:space="preserve"> to reduce the signs and symptoms of </w:t>
      </w:r>
      <w:r>
        <w:rPr>
          <w:noProof/>
          <w:color w:val="000000"/>
          <w:szCs w:val="22"/>
        </w:rPr>
        <w:t xml:space="preserve">his/her </w:t>
      </w:r>
      <w:r w:rsidR="00E66033" w:rsidRPr="00ED237F">
        <w:rPr>
          <w:noProof/>
          <w:color w:val="000000"/>
          <w:szCs w:val="22"/>
        </w:rPr>
        <w:t>disease.</w:t>
      </w:r>
    </w:p>
    <w:p w14:paraId="60EB7455" w14:textId="77777777" w:rsidR="00985B87" w:rsidRDefault="00985B87" w:rsidP="00985B87">
      <w:pPr>
        <w:pStyle w:val="EMEANormal"/>
        <w:rPr>
          <w:szCs w:val="21"/>
          <w:lang w:val="en-GB"/>
        </w:rPr>
      </w:pPr>
    </w:p>
    <w:p w14:paraId="43DABFF7" w14:textId="77777777" w:rsidR="00985B87" w:rsidRDefault="00985B87" w:rsidP="00985B87">
      <w:pPr>
        <w:pStyle w:val="EMEANormal"/>
        <w:rPr>
          <w:szCs w:val="21"/>
          <w:lang w:val="en-GB"/>
        </w:rPr>
      </w:pPr>
    </w:p>
    <w:p w14:paraId="3A032D77" w14:textId="77777777" w:rsidR="00985B87" w:rsidRDefault="00944B8F" w:rsidP="00C568D0">
      <w:pPr>
        <w:pStyle w:val="EMEAHeading1"/>
        <w:keepNext/>
        <w:spacing w:beforeLines="0" w:afterLines="0"/>
        <w:rPr>
          <w:caps w:val="0"/>
          <w:lang w:val="en-GB"/>
        </w:rPr>
      </w:pPr>
      <w:r>
        <w:rPr>
          <w:rFonts w:ascii="Times New Roman" w:hAnsi="Times New Roman"/>
          <w:lang w:val="en-GB"/>
        </w:rPr>
        <w:lastRenderedPageBreak/>
        <w:t>2.</w:t>
      </w:r>
      <w:r>
        <w:rPr>
          <w:rFonts w:ascii="Times New Roman" w:hAnsi="Times New Roman"/>
          <w:lang w:val="en-GB"/>
        </w:rPr>
        <w:tab/>
        <w:t>W</w:t>
      </w:r>
      <w:r>
        <w:rPr>
          <w:caps w:val="0"/>
          <w:lang w:val="en-GB"/>
        </w:rPr>
        <w:t>hat you need to know before your child uses Humira</w:t>
      </w:r>
    </w:p>
    <w:p w14:paraId="26F3F3B1" w14:textId="77777777" w:rsidR="00985B87" w:rsidRDefault="00985B87" w:rsidP="00C568D0">
      <w:pPr>
        <w:pStyle w:val="EMEANormal"/>
        <w:keepNext/>
        <w:rPr>
          <w:lang w:val="en-GB"/>
        </w:rPr>
      </w:pPr>
    </w:p>
    <w:p w14:paraId="77D88F62" w14:textId="77777777" w:rsidR="00985B87" w:rsidRDefault="00944B8F" w:rsidP="00C568D0">
      <w:pPr>
        <w:pStyle w:val="EMEAHeading2SPC"/>
        <w:keepNext/>
        <w:spacing w:beforeLines="0" w:afterLines="0"/>
        <w:rPr>
          <w:rFonts w:ascii="Times New Roman" w:hAnsi="Times New Roman"/>
          <w:lang w:val="en-GB"/>
        </w:rPr>
      </w:pPr>
      <w:r>
        <w:rPr>
          <w:rFonts w:ascii="Times New Roman" w:hAnsi="Times New Roman"/>
          <w:lang w:val="en-GB"/>
        </w:rPr>
        <w:t>Do not use Humira:</w:t>
      </w:r>
    </w:p>
    <w:p w14:paraId="4A01AABF" w14:textId="77777777" w:rsidR="00985B87" w:rsidRDefault="00985B87" w:rsidP="00C568D0">
      <w:pPr>
        <w:pStyle w:val="EMEANormal"/>
        <w:keepNext/>
        <w:rPr>
          <w:lang w:val="en-GB"/>
        </w:rPr>
      </w:pPr>
    </w:p>
    <w:p w14:paraId="3D003CE0" w14:textId="77777777" w:rsidR="00985B87" w:rsidRDefault="00944B8F" w:rsidP="006D08D7">
      <w:pPr>
        <w:pStyle w:val="EMEABullet2"/>
        <w:keepNext/>
        <w:numPr>
          <w:ilvl w:val="0"/>
          <w:numId w:val="98"/>
        </w:numPr>
        <w:tabs>
          <w:tab w:val="clear" w:pos="567"/>
          <w:tab w:val="left" w:pos="720"/>
        </w:tabs>
        <w:rPr>
          <w:lang w:val="en-GB"/>
        </w:rPr>
      </w:pPr>
      <w:r>
        <w:rPr>
          <w:lang w:val="en-GB"/>
        </w:rPr>
        <w:t xml:space="preserve">If your child is allergic to adalimumab or any of the other ingredients of this medicine (listed in section 6). </w:t>
      </w:r>
    </w:p>
    <w:p w14:paraId="4D2C2EE6" w14:textId="77777777" w:rsidR="00985B87" w:rsidRDefault="00985B87" w:rsidP="00C568D0">
      <w:pPr>
        <w:pStyle w:val="EMEANormal"/>
        <w:keepNext/>
        <w:rPr>
          <w:lang w:val="en-GB"/>
        </w:rPr>
      </w:pPr>
    </w:p>
    <w:p w14:paraId="330FF902" w14:textId="77777777" w:rsidR="00985B87" w:rsidRDefault="00944B8F" w:rsidP="006D08D7">
      <w:pPr>
        <w:pStyle w:val="EMEABullet2"/>
        <w:numPr>
          <w:ilvl w:val="0"/>
          <w:numId w:val="98"/>
        </w:numPr>
        <w:tabs>
          <w:tab w:val="clear" w:pos="567"/>
          <w:tab w:val="left" w:pos="720"/>
        </w:tabs>
        <w:rPr>
          <w:lang w:val="en-GB"/>
        </w:rPr>
      </w:pPr>
      <w:r>
        <w:rPr>
          <w:lang w:val="en-GB"/>
        </w:rPr>
        <w:t>If your child has active tuberculosis or other severe infections (see “Warnings and precautions”). It is important that you tell your doctor if your child has symptoms of infections, for example, fever, wounds, feeling tired, dental problems.</w:t>
      </w:r>
    </w:p>
    <w:p w14:paraId="06D09833" w14:textId="77777777" w:rsidR="00985B87" w:rsidRDefault="00985B87" w:rsidP="00985B87">
      <w:pPr>
        <w:pStyle w:val="EMEANormal"/>
        <w:rPr>
          <w:lang w:val="en-GB"/>
        </w:rPr>
      </w:pPr>
    </w:p>
    <w:p w14:paraId="0B6B812C" w14:textId="77777777" w:rsidR="00985B87" w:rsidRDefault="00944B8F" w:rsidP="006D08D7">
      <w:pPr>
        <w:pStyle w:val="EMEABullet2"/>
        <w:numPr>
          <w:ilvl w:val="0"/>
          <w:numId w:val="98"/>
        </w:numPr>
        <w:tabs>
          <w:tab w:val="clear" w:pos="567"/>
          <w:tab w:val="left" w:pos="720"/>
        </w:tabs>
        <w:rPr>
          <w:lang w:val="en-GB"/>
        </w:rPr>
      </w:pPr>
      <w:r>
        <w:rPr>
          <w:lang w:val="en-GB"/>
        </w:rPr>
        <w:t>If your child has moderate or severe heart failure. It is important to tell your doctor if your child has had or has a serious heart condition (see “Warnings and precautions”).</w:t>
      </w:r>
    </w:p>
    <w:p w14:paraId="364721A4" w14:textId="77777777" w:rsidR="00985B87" w:rsidRDefault="00985B87" w:rsidP="00985B87">
      <w:pPr>
        <w:pStyle w:val="EMEANormal"/>
        <w:rPr>
          <w:lang w:val="en-GB"/>
        </w:rPr>
      </w:pPr>
    </w:p>
    <w:p w14:paraId="61E2744E" w14:textId="77777777" w:rsidR="00985B87" w:rsidRDefault="00944B8F" w:rsidP="00985B87">
      <w:pPr>
        <w:pStyle w:val="EMEANormal"/>
        <w:rPr>
          <w:b/>
          <w:bCs/>
          <w:lang w:val="en-GB"/>
        </w:rPr>
      </w:pPr>
      <w:r>
        <w:rPr>
          <w:b/>
          <w:bCs/>
          <w:lang w:val="en-GB"/>
        </w:rPr>
        <w:t>Warnings and precautions</w:t>
      </w:r>
    </w:p>
    <w:p w14:paraId="4794CB79" w14:textId="77777777" w:rsidR="00985B87" w:rsidRDefault="00985B87" w:rsidP="00985B87">
      <w:pPr>
        <w:pStyle w:val="EMEANormal"/>
        <w:rPr>
          <w:b/>
          <w:bCs/>
          <w:lang w:val="en-GB"/>
        </w:rPr>
      </w:pPr>
    </w:p>
    <w:p w14:paraId="324EB374" w14:textId="77777777" w:rsidR="00985B87" w:rsidRDefault="00944B8F" w:rsidP="00985B87">
      <w:pPr>
        <w:pStyle w:val="EMEANormal"/>
        <w:rPr>
          <w:lang w:val="en-GB"/>
        </w:rPr>
      </w:pPr>
      <w:r>
        <w:rPr>
          <w:lang w:val="en-GB"/>
        </w:rPr>
        <w:t>Talk to your doctor or pharmacist before using Humira.</w:t>
      </w:r>
    </w:p>
    <w:p w14:paraId="10474275" w14:textId="77777777" w:rsidR="00985B87" w:rsidRDefault="00985B87" w:rsidP="00985B87">
      <w:pPr>
        <w:pStyle w:val="EMEANormal"/>
        <w:rPr>
          <w:lang w:val="en-GB"/>
        </w:rPr>
      </w:pPr>
    </w:p>
    <w:p w14:paraId="18CD49C3" w14:textId="77777777" w:rsidR="00985B87" w:rsidRDefault="00944B8F" w:rsidP="00985B87">
      <w:pPr>
        <w:pStyle w:val="EMEANormal"/>
        <w:tabs>
          <w:tab w:val="left" w:pos="0"/>
        </w:tabs>
        <w:rPr>
          <w:u w:val="single"/>
          <w:lang w:val="en-GB"/>
        </w:rPr>
      </w:pPr>
      <w:r>
        <w:rPr>
          <w:u w:val="single"/>
          <w:lang w:val="en-GB"/>
        </w:rPr>
        <w:t>Allergic reactions</w:t>
      </w:r>
    </w:p>
    <w:p w14:paraId="16938DB7" w14:textId="77777777" w:rsidR="00985B87" w:rsidRDefault="00985B87" w:rsidP="00985B87">
      <w:pPr>
        <w:pStyle w:val="EMEANormal"/>
        <w:tabs>
          <w:tab w:val="left" w:pos="0"/>
        </w:tabs>
        <w:rPr>
          <w:u w:val="single"/>
          <w:lang w:val="en-GB"/>
        </w:rPr>
      </w:pPr>
    </w:p>
    <w:p w14:paraId="35B07116" w14:textId="77777777" w:rsidR="00985B87" w:rsidRDefault="00944B8F" w:rsidP="006D08D7">
      <w:pPr>
        <w:pStyle w:val="EMEABullet2"/>
        <w:numPr>
          <w:ilvl w:val="0"/>
          <w:numId w:val="98"/>
        </w:numPr>
        <w:tabs>
          <w:tab w:val="clear" w:pos="567"/>
        </w:tabs>
        <w:rPr>
          <w:lang w:val="en-GB"/>
        </w:rPr>
      </w:pPr>
      <w:r>
        <w:rPr>
          <w:lang w:val="en-GB"/>
        </w:rPr>
        <w:t>If your child gets allergic reactions with symptoms such as chest tightness, wheezing, dizziness, swelling or rash do not inject more Humira and contact your doctor immediately</w:t>
      </w:r>
      <w:r w:rsidR="00543D24">
        <w:rPr>
          <w:lang w:val="en-GB"/>
        </w:rPr>
        <w:t xml:space="preserve"> </w:t>
      </w:r>
      <w:r w:rsidR="00543D24" w:rsidRPr="00BC0E7E">
        <w:rPr>
          <w:lang w:val="en-GB"/>
        </w:rPr>
        <w:t>since, in rare cases, these reactions can be life threatening</w:t>
      </w:r>
      <w:r>
        <w:rPr>
          <w:lang w:val="en-GB"/>
        </w:rPr>
        <w:t>.</w:t>
      </w:r>
    </w:p>
    <w:p w14:paraId="4CEF1708" w14:textId="77777777" w:rsidR="00985B87" w:rsidRDefault="00985B87" w:rsidP="00985B87">
      <w:pPr>
        <w:pStyle w:val="EMEANormal"/>
        <w:rPr>
          <w:lang w:val="en-GB"/>
        </w:rPr>
      </w:pPr>
    </w:p>
    <w:p w14:paraId="0B537709" w14:textId="77777777" w:rsidR="00985B87" w:rsidRDefault="00944B8F" w:rsidP="00985B87">
      <w:pPr>
        <w:pStyle w:val="EMEABullet2"/>
        <w:keepNext/>
        <w:tabs>
          <w:tab w:val="num" w:pos="0"/>
        </w:tabs>
        <w:rPr>
          <w:u w:val="single"/>
          <w:lang w:val="en-GB"/>
        </w:rPr>
      </w:pPr>
      <w:r>
        <w:rPr>
          <w:u w:val="single"/>
          <w:lang w:val="en-GB"/>
        </w:rPr>
        <w:t>Infections</w:t>
      </w:r>
    </w:p>
    <w:p w14:paraId="1C0A41AE" w14:textId="77777777" w:rsidR="00985B87" w:rsidRDefault="00985B87" w:rsidP="00985B87">
      <w:pPr>
        <w:pStyle w:val="EMEANormal"/>
        <w:keepNext/>
        <w:rPr>
          <w:lang w:val="en-GB"/>
        </w:rPr>
      </w:pPr>
    </w:p>
    <w:p w14:paraId="50866689" w14:textId="77777777" w:rsidR="00985B87" w:rsidRDefault="00944B8F" w:rsidP="006D08D7">
      <w:pPr>
        <w:pStyle w:val="EMEABullet2"/>
        <w:keepNext/>
        <w:numPr>
          <w:ilvl w:val="0"/>
          <w:numId w:val="98"/>
        </w:numPr>
        <w:tabs>
          <w:tab w:val="clear" w:pos="567"/>
        </w:tabs>
        <w:rPr>
          <w:lang w:val="en-GB"/>
        </w:rPr>
      </w:pPr>
      <w:r>
        <w:rPr>
          <w:lang w:val="en-GB"/>
        </w:rPr>
        <w:t xml:space="preserve">If your child has an infection, including long-term infection or an infection in one part of the body (for example, leg ulcer) consult your doctor before starting Humira. If you are unsure, contact your doctor. </w:t>
      </w:r>
    </w:p>
    <w:p w14:paraId="4F1863B2" w14:textId="77777777" w:rsidR="00985B87" w:rsidRDefault="00985B87" w:rsidP="00985B87">
      <w:pPr>
        <w:pStyle w:val="EMEANormal"/>
        <w:rPr>
          <w:lang w:val="en-GB"/>
        </w:rPr>
      </w:pPr>
    </w:p>
    <w:p w14:paraId="75B579E7" w14:textId="77777777" w:rsidR="00985B87" w:rsidRDefault="00944B8F" w:rsidP="006D08D7">
      <w:pPr>
        <w:pStyle w:val="EMEABullet2"/>
        <w:numPr>
          <w:ilvl w:val="0"/>
          <w:numId w:val="98"/>
        </w:numPr>
        <w:tabs>
          <w:tab w:val="clear" w:pos="567"/>
        </w:tabs>
        <w:rPr>
          <w:lang w:val="en-GB"/>
        </w:rPr>
      </w:pPr>
      <w:r>
        <w:rPr>
          <w:lang w:val="en-GB"/>
        </w:rPr>
        <w:t xml:space="preserve">Your child might get infections more easily while he/she is receiving Humira treatment. This risk may increase if your child has problems with his/her lungs. These infections may be serious and include: </w:t>
      </w:r>
    </w:p>
    <w:p w14:paraId="4E1295BE" w14:textId="77777777" w:rsidR="00985B87" w:rsidRDefault="00944B8F" w:rsidP="006D08D7">
      <w:pPr>
        <w:pStyle w:val="EMEABullet2"/>
        <w:numPr>
          <w:ilvl w:val="1"/>
          <w:numId w:val="99"/>
        </w:numPr>
        <w:tabs>
          <w:tab w:val="clear" w:pos="567"/>
        </w:tabs>
        <w:rPr>
          <w:lang w:val="en-GB"/>
        </w:rPr>
      </w:pPr>
      <w:r>
        <w:rPr>
          <w:lang w:val="en-GB"/>
        </w:rPr>
        <w:t>tuberculosis</w:t>
      </w:r>
    </w:p>
    <w:p w14:paraId="3A07798F" w14:textId="77777777" w:rsidR="00985B87" w:rsidRDefault="00944B8F" w:rsidP="006D08D7">
      <w:pPr>
        <w:pStyle w:val="EMEABullet2"/>
        <w:numPr>
          <w:ilvl w:val="1"/>
          <w:numId w:val="99"/>
        </w:numPr>
        <w:tabs>
          <w:tab w:val="clear" w:pos="567"/>
        </w:tabs>
        <w:rPr>
          <w:lang w:val="en-GB"/>
        </w:rPr>
      </w:pPr>
      <w:r>
        <w:rPr>
          <w:lang w:val="en-GB"/>
        </w:rPr>
        <w:t>infections caused by viruses, fungi, parasites or bacteria</w:t>
      </w:r>
    </w:p>
    <w:p w14:paraId="4BCF2D21" w14:textId="77777777" w:rsidR="00985B87" w:rsidRDefault="00944B8F" w:rsidP="006D08D7">
      <w:pPr>
        <w:pStyle w:val="EMEABullet2"/>
        <w:numPr>
          <w:ilvl w:val="1"/>
          <w:numId w:val="99"/>
        </w:numPr>
        <w:tabs>
          <w:tab w:val="clear" w:pos="567"/>
        </w:tabs>
        <w:rPr>
          <w:lang w:val="en-GB"/>
        </w:rPr>
      </w:pPr>
      <w:r>
        <w:rPr>
          <w:lang w:val="en-GB"/>
        </w:rPr>
        <w:t>severe infection in the blood (sepsis)</w:t>
      </w:r>
    </w:p>
    <w:p w14:paraId="66031E15" w14:textId="77777777" w:rsidR="00985B87" w:rsidRDefault="00985B87" w:rsidP="00985B87">
      <w:pPr>
        <w:pStyle w:val="EMEANormal"/>
        <w:rPr>
          <w:lang w:val="en-GB"/>
        </w:rPr>
      </w:pPr>
    </w:p>
    <w:p w14:paraId="20A5F654" w14:textId="77777777" w:rsidR="00985B87" w:rsidRDefault="00944B8F" w:rsidP="00985B87">
      <w:pPr>
        <w:pStyle w:val="EMEANormal"/>
        <w:tabs>
          <w:tab w:val="clear" w:pos="562"/>
          <w:tab w:val="left" w:pos="720"/>
        </w:tabs>
        <w:ind w:left="720"/>
        <w:rPr>
          <w:lang w:val="en-GB"/>
        </w:rPr>
      </w:pPr>
      <w:r>
        <w:rPr>
          <w:lang w:val="en-GB"/>
        </w:rPr>
        <w:t>In rare cases, these infections can be life-threatening. It is important to tell your doctor if your child gets symptoms such as fever, wounds, feeling tired or dental problems. Your doctor may tell you to stop using Humira for some time.</w:t>
      </w:r>
    </w:p>
    <w:p w14:paraId="19E7C12B" w14:textId="77777777" w:rsidR="00985B87" w:rsidRDefault="00985B87" w:rsidP="00985B87">
      <w:pPr>
        <w:pStyle w:val="EMEANormal"/>
        <w:tabs>
          <w:tab w:val="clear" w:pos="562"/>
          <w:tab w:val="left" w:pos="720"/>
        </w:tabs>
        <w:ind w:left="720"/>
        <w:rPr>
          <w:lang w:val="en-GB"/>
        </w:rPr>
      </w:pPr>
    </w:p>
    <w:p w14:paraId="6AEA617D" w14:textId="77777777" w:rsidR="00985B87" w:rsidRDefault="00944B8F" w:rsidP="006D08D7">
      <w:pPr>
        <w:pStyle w:val="EMEABullet2"/>
        <w:numPr>
          <w:ilvl w:val="0"/>
          <w:numId w:val="98"/>
        </w:numPr>
        <w:tabs>
          <w:tab w:val="clear" w:pos="567"/>
        </w:tabs>
        <w:rPr>
          <w:lang w:val="en-GB"/>
        </w:rPr>
      </w:pPr>
      <w:r>
        <w:rPr>
          <w:lang w:val="en-GB"/>
        </w:rPr>
        <w:t>Tell your doctor if your child lives or travels in regions where fungal infections (for example, histoplasmosis, coccidioidomycosis or blastomycosis) are very common.</w:t>
      </w:r>
    </w:p>
    <w:p w14:paraId="3CAAF491" w14:textId="77777777" w:rsidR="00985B87" w:rsidRDefault="00985B87" w:rsidP="00985B87">
      <w:pPr>
        <w:pStyle w:val="EMEANormal"/>
        <w:rPr>
          <w:lang w:val="en-GB"/>
        </w:rPr>
      </w:pPr>
    </w:p>
    <w:p w14:paraId="057537C5" w14:textId="77777777" w:rsidR="00985B87" w:rsidRDefault="00944B8F" w:rsidP="006D08D7">
      <w:pPr>
        <w:pStyle w:val="EMEABullet2"/>
        <w:numPr>
          <w:ilvl w:val="0"/>
          <w:numId w:val="98"/>
        </w:numPr>
        <w:tabs>
          <w:tab w:val="clear" w:pos="567"/>
        </w:tabs>
        <w:rPr>
          <w:lang w:val="en-GB"/>
        </w:rPr>
      </w:pPr>
      <w:r>
        <w:rPr>
          <w:lang w:val="en-GB"/>
        </w:rPr>
        <w:t>Tell your doctor if your child has had infections which keep coming back or other conditions that increase the risk of infections.</w:t>
      </w:r>
    </w:p>
    <w:p w14:paraId="7CE932EA" w14:textId="77777777" w:rsidR="00985B87" w:rsidRDefault="00985B87" w:rsidP="00985B87">
      <w:pPr>
        <w:pStyle w:val="EMEANormal"/>
        <w:rPr>
          <w:lang w:val="en-GB"/>
        </w:rPr>
      </w:pPr>
    </w:p>
    <w:p w14:paraId="19533D9C" w14:textId="77777777" w:rsidR="00985B87" w:rsidRDefault="00944B8F" w:rsidP="006D08D7">
      <w:pPr>
        <w:pStyle w:val="EMEABullet2"/>
        <w:keepNext/>
        <w:numPr>
          <w:ilvl w:val="0"/>
          <w:numId w:val="98"/>
        </w:numPr>
        <w:tabs>
          <w:tab w:val="clear" w:pos="567"/>
        </w:tabs>
        <w:rPr>
          <w:lang w:val="en-GB"/>
        </w:rPr>
      </w:pPr>
      <w:r>
        <w:rPr>
          <w:lang w:val="en-GB"/>
        </w:rPr>
        <w:t>Your child and his/her doctor should pay special attention to signs of infection while your child is being treated with Humira. It is important to tell your doctor if your child gets symptoms of infections, such as fever, wounds, feeling tired or dental problems.</w:t>
      </w:r>
    </w:p>
    <w:p w14:paraId="296F543A" w14:textId="77777777" w:rsidR="00985B87" w:rsidRDefault="00985B87" w:rsidP="00985B87">
      <w:pPr>
        <w:pStyle w:val="EMEANormal"/>
        <w:rPr>
          <w:lang w:val="en-GB"/>
        </w:rPr>
      </w:pPr>
    </w:p>
    <w:p w14:paraId="2EFF04A5" w14:textId="77777777" w:rsidR="00985B87" w:rsidRDefault="00944B8F" w:rsidP="00C568D0">
      <w:pPr>
        <w:pStyle w:val="EMEABullet2"/>
        <w:keepNext/>
        <w:tabs>
          <w:tab w:val="left" w:pos="0"/>
        </w:tabs>
        <w:rPr>
          <w:u w:val="single"/>
          <w:lang w:val="en-GB"/>
        </w:rPr>
      </w:pPr>
      <w:r>
        <w:rPr>
          <w:u w:val="single"/>
          <w:lang w:val="en-GB"/>
        </w:rPr>
        <w:lastRenderedPageBreak/>
        <w:t>Tuberculosis</w:t>
      </w:r>
    </w:p>
    <w:p w14:paraId="0862040A" w14:textId="77777777" w:rsidR="00985B87" w:rsidRDefault="00985B87" w:rsidP="00C568D0">
      <w:pPr>
        <w:pStyle w:val="EMEANormal"/>
        <w:keepNext/>
        <w:rPr>
          <w:lang w:val="en-GB"/>
        </w:rPr>
      </w:pPr>
    </w:p>
    <w:p w14:paraId="33419BCC" w14:textId="77777777" w:rsidR="009643D6" w:rsidRDefault="00944B8F" w:rsidP="009643D6">
      <w:pPr>
        <w:pStyle w:val="EMEABullet2"/>
        <w:keepNext/>
        <w:numPr>
          <w:ilvl w:val="0"/>
          <w:numId w:val="99"/>
        </w:numPr>
        <w:tabs>
          <w:tab w:val="clear" w:pos="567"/>
        </w:tabs>
        <w:rPr>
          <w:lang w:val="en-GB"/>
        </w:rPr>
      </w:pPr>
      <w:r>
        <w:rPr>
          <w:lang w:val="en-GB"/>
        </w:rPr>
        <w:t xml:space="preserve">As cases of tuberculosis have been reported in patients treated with Humira, your doctor will check your child for signs and symptoms of tuberculosis before starting Humira. This will include a thorough medical evaluation including your child’s medical history and appropriate screening tests (for example, chest X-ray and a tuberculin test). The conduct and results of these tests should be recorded on your child’s </w:t>
      </w:r>
      <w:r w:rsidR="002179FE" w:rsidRPr="002179FE">
        <w:rPr>
          <w:b/>
          <w:lang w:val="en-GB"/>
        </w:rPr>
        <w:t>Patient Reminder Card</w:t>
      </w:r>
      <w:r>
        <w:rPr>
          <w:lang w:val="en-GB"/>
        </w:rPr>
        <w:t xml:space="preserve">. </w:t>
      </w:r>
    </w:p>
    <w:p w14:paraId="7702A25E" w14:textId="77777777" w:rsidR="009643D6" w:rsidRPr="009643D6" w:rsidRDefault="009643D6" w:rsidP="001B6DEE">
      <w:pPr>
        <w:pStyle w:val="EMEANormal"/>
        <w:rPr>
          <w:lang w:val="en-GB"/>
        </w:rPr>
      </w:pPr>
    </w:p>
    <w:p w14:paraId="3B1BF85E" w14:textId="77777777" w:rsidR="00CF4C8B" w:rsidRDefault="00944B8F" w:rsidP="00E06C1F">
      <w:pPr>
        <w:pStyle w:val="EMEABullet2"/>
        <w:keepNext/>
        <w:numPr>
          <w:ilvl w:val="0"/>
          <w:numId w:val="99"/>
        </w:numPr>
        <w:tabs>
          <w:tab w:val="clear" w:pos="567"/>
          <w:tab w:val="clear" w:pos="690"/>
          <w:tab w:val="num" w:pos="1418"/>
        </w:tabs>
        <w:ind w:left="1418" w:hanging="284"/>
        <w:rPr>
          <w:lang w:val="en-GB"/>
        </w:rPr>
      </w:pPr>
      <w:r>
        <w:rPr>
          <w:lang w:val="en-GB"/>
        </w:rPr>
        <w:t>It is very important that you tell your doctor if your child has ever had tuberculosis, or if your child has been in close contact with someone who has had tuberculosis. If your child has active tuberculosis, do not use Humira.</w:t>
      </w:r>
    </w:p>
    <w:p w14:paraId="3B1410AE" w14:textId="77777777" w:rsidR="00985B87" w:rsidRDefault="00944B8F" w:rsidP="00E06C1F">
      <w:pPr>
        <w:pStyle w:val="EMEABullet2"/>
        <w:keepNext/>
        <w:numPr>
          <w:ilvl w:val="0"/>
          <w:numId w:val="99"/>
        </w:numPr>
        <w:tabs>
          <w:tab w:val="clear" w:pos="567"/>
          <w:tab w:val="clear" w:pos="690"/>
          <w:tab w:val="num" w:pos="1418"/>
        </w:tabs>
        <w:ind w:left="1418" w:hanging="284"/>
        <w:rPr>
          <w:lang w:val="en-GB"/>
        </w:rPr>
      </w:pPr>
      <w:r>
        <w:rPr>
          <w:lang w:val="en-GB"/>
        </w:rPr>
        <w:t xml:space="preserve">Tuberculosis can develop during therapy even if your child has received treatment for the prevention of tuberculosis. </w:t>
      </w:r>
    </w:p>
    <w:p w14:paraId="0BD0B795" w14:textId="77777777" w:rsidR="00985B87" w:rsidRDefault="00944B8F" w:rsidP="001B6DEE">
      <w:pPr>
        <w:pStyle w:val="EMEANormal"/>
        <w:keepNext/>
        <w:numPr>
          <w:ilvl w:val="0"/>
          <w:numId w:val="99"/>
        </w:numPr>
        <w:tabs>
          <w:tab w:val="clear" w:pos="562"/>
          <w:tab w:val="clear" w:pos="690"/>
          <w:tab w:val="num" w:pos="1418"/>
        </w:tabs>
        <w:ind w:left="1418" w:hanging="284"/>
        <w:rPr>
          <w:lang w:val="en-GB"/>
        </w:rPr>
      </w:pPr>
      <w:r>
        <w:rPr>
          <w:lang w:val="en-GB"/>
        </w:rPr>
        <w:t>If symptoms of tuberculosis (for example, cough that does not go away, weight loss, lack of energy, mild fever), or any other infection appear during or after therapy tell your doctor immediately.</w:t>
      </w:r>
    </w:p>
    <w:p w14:paraId="611F96D5" w14:textId="77777777" w:rsidR="00985B87" w:rsidRDefault="00985B87" w:rsidP="00985B87">
      <w:pPr>
        <w:pStyle w:val="EMEANormal"/>
        <w:ind w:left="1440"/>
        <w:rPr>
          <w:lang w:val="en-GB"/>
        </w:rPr>
      </w:pPr>
    </w:p>
    <w:p w14:paraId="13EA6311" w14:textId="77777777" w:rsidR="00985B87" w:rsidRDefault="00944B8F" w:rsidP="00985B87">
      <w:pPr>
        <w:pStyle w:val="EMEANormal"/>
        <w:keepNext/>
        <w:tabs>
          <w:tab w:val="left" w:pos="0"/>
        </w:tabs>
        <w:rPr>
          <w:u w:val="single"/>
          <w:lang w:val="en-GB"/>
        </w:rPr>
      </w:pPr>
      <w:r>
        <w:rPr>
          <w:u w:val="single"/>
          <w:lang w:val="en-GB"/>
        </w:rPr>
        <w:t>Hepatitis B</w:t>
      </w:r>
    </w:p>
    <w:p w14:paraId="21E7360E" w14:textId="77777777" w:rsidR="00985B87" w:rsidRDefault="00985B87" w:rsidP="00985B87">
      <w:pPr>
        <w:pStyle w:val="EMEANormal"/>
        <w:keepNext/>
        <w:tabs>
          <w:tab w:val="left" w:pos="0"/>
        </w:tabs>
        <w:rPr>
          <w:lang w:val="en-GB"/>
        </w:rPr>
      </w:pPr>
    </w:p>
    <w:p w14:paraId="3E117760" w14:textId="77777777" w:rsidR="00985B87" w:rsidRDefault="00944B8F" w:rsidP="00F421D6">
      <w:pPr>
        <w:pStyle w:val="EMEABullet2"/>
        <w:keepNext/>
        <w:numPr>
          <w:ilvl w:val="0"/>
          <w:numId w:val="98"/>
        </w:numPr>
        <w:tabs>
          <w:tab w:val="clear" w:pos="567"/>
          <w:tab w:val="left" w:pos="720"/>
        </w:tabs>
        <w:rPr>
          <w:lang w:val="en-GB"/>
        </w:rPr>
      </w:pPr>
      <w:r>
        <w:rPr>
          <w:lang w:val="en-GB"/>
        </w:rPr>
        <w:t xml:space="preserve">Tell your doctor if your child is a carrier of the hepatitis B virus (HBV), if he/she has active HBV or if you think he/she might be at risk of getting HBV. </w:t>
      </w:r>
    </w:p>
    <w:p w14:paraId="3F1D71DF" w14:textId="77777777" w:rsidR="00985B87" w:rsidRDefault="00944B8F" w:rsidP="00F421D6">
      <w:pPr>
        <w:pStyle w:val="EMEABullet2"/>
        <w:keepNext/>
        <w:numPr>
          <w:ilvl w:val="1"/>
          <w:numId w:val="100"/>
        </w:numPr>
        <w:tabs>
          <w:tab w:val="clear" w:pos="567"/>
        </w:tabs>
        <w:rPr>
          <w:lang w:val="en-GB"/>
        </w:rPr>
      </w:pPr>
      <w:r>
        <w:rPr>
          <w:lang w:val="en-GB"/>
        </w:rPr>
        <w:t>Your doctor should test your child for HBV. In people who carry HBV, Humira can cause the virus to become active again.</w:t>
      </w:r>
    </w:p>
    <w:p w14:paraId="67A6433D" w14:textId="77777777" w:rsidR="00985B87" w:rsidRDefault="00944B8F" w:rsidP="00F421D6">
      <w:pPr>
        <w:pStyle w:val="EMEABullet2"/>
        <w:keepNext/>
        <w:numPr>
          <w:ilvl w:val="1"/>
          <w:numId w:val="100"/>
        </w:numPr>
        <w:tabs>
          <w:tab w:val="clear" w:pos="567"/>
        </w:tabs>
        <w:rPr>
          <w:lang w:val="en-GB"/>
        </w:rPr>
      </w:pPr>
      <w:r>
        <w:rPr>
          <w:lang w:val="en-GB"/>
        </w:rPr>
        <w:t xml:space="preserve">In some rare cases, especially if your child is taking other medicines that suppress the immune system, reactivation of HBV can be life-threatening.  </w:t>
      </w:r>
    </w:p>
    <w:p w14:paraId="706E6315" w14:textId="77777777" w:rsidR="00985B87" w:rsidRDefault="00985B87" w:rsidP="00985B87">
      <w:pPr>
        <w:pStyle w:val="EMEANormal"/>
        <w:rPr>
          <w:lang w:val="en-GB"/>
        </w:rPr>
      </w:pPr>
    </w:p>
    <w:p w14:paraId="55DC1A5C" w14:textId="77777777" w:rsidR="00985B87" w:rsidRDefault="00944B8F" w:rsidP="00985B87">
      <w:pPr>
        <w:pStyle w:val="EMEABullet2"/>
        <w:tabs>
          <w:tab w:val="clear" w:pos="567"/>
          <w:tab w:val="left" w:pos="720"/>
        </w:tabs>
        <w:rPr>
          <w:u w:val="single"/>
          <w:lang w:val="en-GB"/>
        </w:rPr>
      </w:pPr>
      <w:r>
        <w:rPr>
          <w:u w:val="single"/>
          <w:lang w:val="en-GB"/>
        </w:rPr>
        <w:t>Surgery</w:t>
      </w:r>
      <w:r w:rsidR="00126429">
        <w:rPr>
          <w:u w:val="single"/>
          <w:lang w:val="en-GB"/>
        </w:rPr>
        <w:t xml:space="preserve"> or dental procedure</w:t>
      </w:r>
    </w:p>
    <w:p w14:paraId="77EC0D77" w14:textId="77777777" w:rsidR="00985B87" w:rsidRDefault="00985B87" w:rsidP="00985B87">
      <w:pPr>
        <w:pStyle w:val="EMEANormal"/>
        <w:rPr>
          <w:lang w:val="en-GB"/>
        </w:rPr>
      </w:pPr>
    </w:p>
    <w:p w14:paraId="35CD8A76" w14:textId="77777777" w:rsidR="00985B87" w:rsidRDefault="00944B8F" w:rsidP="00F421D6">
      <w:pPr>
        <w:pStyle w:val="EMEABullet2"/>
        <w:numPr>
          <w:ilvl w:val="0"/>
          <w:numId w:val="98"/>
        </w:numPr>
        <w:tabs>
          <w:tab w:val="clear" w:pos="567"/>
        </w:tabs>
        <w:rPr>
          <w:lang w:val="en-GB"/>
        </w:rPr>
      </w:pPr>
      <w:r>
        <w:rPr>
          <w:lang w:val="en-GB"/>
        </w:rPr>
        <w:t xml:space="preserve">If your child is about to have surgery or dental procedures please inform your doctor that your child is taking Humira. Your doctor may recommend temporary discontinuation of Humira. </w:t>
      </w:r>
    </w:p>
    <w:p w14:paraId="2945B100" w14:textId="77777777" w:rsidR="00985B87" w:rsidRDefault="00985B87" w:rsidP="00985B87">
      <w:pPr>
        <w:pStyle w:val="EMEANormal"/>
        <w:rPr>
          <w:lang w:val="en-GB"/>
        </w:rPr>
      </w:pPr>
    </w:p>
    <w:p w14:paraId="71A4288F" w14:textId="77777777" w:rsidR="00985B87" w:rsidRDefault="00944B8F" w:rsidP="00985B87">
      <w:pPr>
        <w:pStyle w:val="EMEABullet2"/>
        <w:tabs>
          <w:tab w:val="clear" w:pos="567"/>
          <w:tab w:val="num" w:pos="720"/>
        </w:tabs>
        <w:ind w:left="360" w:hanging="360"/>
        <w:rPr>
          <w:u w:val="single"/>
          <w:lang w:val="en-GB"/>
        </w:rPr>
      </w:pPr>
      <w:r>
        <w:rPr>
          <w:u w:val="single"/>
          <w:lang w:val="en-GB"/>
        </w:rPr>
        <w:t>Demyelinating disease</w:t>
      </w:r>
    </w:p>
    <w:p w14:paraId="41B4F4CE" w14:textId="77777777" w:rsidR="00985B87" w:rsidRDefault="00985B87" w:rsidP="00985B87">
      <w:pPr>
        <w:pStyle w:val="EMEANormal"/>
        <w:rPr>
          <w:lang w:val="en-GB"/>
        </w:rPr>
      </w:pPr>
    </w:p>
    <w:p w14:paraId="56204A3E" w14:textId="77777777" w:rsidR="00985B87" w:rsidRDefault="00944B8F" w:rsidP="00F421D6">
      <w:pPr>
        <w:pStyle w:val="EMEABullet2"/>
        <w:numPr>
          <w:ilvl w:val="0"/>
          <w:numId w:val="101"/>
        </w:numPr>
        <w:tabs>
          <w:tab w:val="clear" w:pos="567"/>
          <w:tab w:val="left" w:pos="720"/>
        </w:tabs>
        <w:rPr>
          <w:lang w:val="en-GB"/>
        </w:rPr>
      </w:pPr>
      <w:r>
        <w:rPr>
          <w:lang w:val="en-GB"/>
        </w:rPr>
        <w:t xml:space="preserve">If your child has or develops </w:t>
      </w:r>
      <w:r w:rsidR="00126429">
        <w:rPr>
          <w:noProof/>
          <w:color w:val="000000"/>
          <w:szCs w:val="22"/>
        </w:rPr>
        <w:t xml:space="preserve">a </w:t>
      </w:r>
      <w:r w:rsidR="00126429" w:rsidRPr="00907CAC">
        <w:rPr>
          <w:noProof/>
          <w:color w:val="000000"/>
          <w:szCs w:val="22"/>
        </w:rPr>
        <w:t xml:space="preserve">demyelinating disease </w:t>
      </w:r>
      <w:r w:rsidR="00126429">
        <w:rPr>
          <w:rFonts w:eastAsia="Malgun Gothic"/>
          <w:noProof/>
          <w:szCs w:val="22"/>
          <w:lang w:eastAsia="ko-KR"/>
        </w:rPr>
        <w:t xml:space="preserve">(a disease that affects the insulating layer around the nerves, </w:t>
      </w:r>
      <w:r w:rsidR="00126429" w:rsidRPr="00E805ED">
        <w:rPr>
          <w:rFonts w:eastAsia="Malgun Gothic"/>
        </w:rPr>
        <w:t>such as multiple sclerosis</w:t>
      </w:r>
      <w:r w:rsidR="00126429">
        <w:rPr>
          <w:rFonts w:eastAsia="Malgun Gothic"/>
        </w:rPr>
        <w:t>)</w:t>
      </w:r>
      <w:r>
        <w:rPr>
          <w:lang w:val="en-GB"/>
        </w:rPr>
        <w:t>, your doctor will decide if he/she should receive or continue to receive Humira. Tell your doctor immediately if your child experiences symptoms like changes in vision, weakness in arms or legs or numbness or tingling in any part of the body.</w:t>
      </w:r>
    </w:p>
    <w:p w14:paraId="2FCD0A56" w14:textId="77777777" w:rsidR="00985B87" w:rsidRDefault="00985B87" w:rsidP="00985B87">
      <w:pPr>
        <w:pStyle w:val="EMEANormal"/>
        <w:rPr>
          <w:lang w:val="en-GB"/>
        </w:rPr>
      </w:pPr>
    </w:p>
    <w:p w14:paraId="6812489A" w14:textId="77777777" w:rsidR="00985B87" w:rsidRDefault="00944B8F" w:rsidP="00985B87">
      <w:pPr>
        <w:pStyle w:val="EMEANormal"/>
        <w:tabs>
          <w:tab w:val="clear" w:pos="562"/>
          <w:tab w:val="left" w:pos="360"/>
          <w:tab w:val="num" w:pos="720"/>
        </w:tabs>
        <w:ind w:left="360" w:hanging="360"/>
        <w:rPr>
          <w:u w:val="single"/>
          <w:lang w:val="en-GB"/>
        </w:rPr>
      </w:pPr>
      <w:r>
        <w:rPr>
          <w:u w:val="single"/>
          <w:lang w:val="en-GB"/>
        </w:rPr>
        <w:t>Vaccinations</w:t>
      </w:r>
    </w:p>
    <w:p w14:paraId="2078211A" w14:textId="77777777" w:rsidR="00985B87" w:rsidRDefault="00985B87" w:rsidP="00985B87">
      <w:pPr>
        <w:pStyle w:val="EMEANormal"/>
        <w:tabs>
          <w:tab w:val="clear" w:pos="562"/>
          <w:tab w:val="left" w:pos="360"/>
          <w:tab w:val="num" w:pos="720"/>
        </w:tabs>
        <w:ind w:left="360" w:hanging="360"/>
        <w:rPr>
          <w:u w:val="single"/>
          <w:lang w:val="en-GB"/>
        </w:rPr>
      </w:pPr>
    </w:p>
    <w:p w14:paraId="3B9A9E2A" w14:textId="77777777" w:rsidR="00985B87" w:rsidRDefault="00944B8F" w:rsidP="00F421D6">
      <w:pPr>
        <w:pStyle w:val="EMEABullet2"/>
        <w:numPr>
          <w:ilvl w:val="0"/>
          <w:numId w:val="98"/>
        </w:numPr>
        <w:tabs>
          <w:tab w:val="clear" w:pos="567"/>
        </w:tabs>
        <w:rPr>
          <w:lang w:val="en-GB"/>
        </w:rPr>
      </w:pPr>
      <w:r>
        <w:rPr>
          <w:lang w:val="en-GB"/>
        </w:rPr>
        <w:t xml:space="preserve">Certain vaccines may cause infections and should not be given while receiving Humira. </w:t>
      </w:r>
    </w:p>
    <w:p w14:paraId="35B2822E" w14:textId="77777777" w:rsidR="00985B87" w:rsidRDefault="00985B87" w:rsidP="00985B87">
      <w:pPr>
        <w:pStyle w:val="EMEANormal"/>
        <w:rPr>
          <w:lang w:val="en-GB"/>
        </w:rPr>
      </w:pPr>
    </w:p>
    <w:p w14:paraId="1C38FF25" w14:textId="77777777" w:rsidR="00985B87" w:rsidRDefault="00944B8F" w:rsidP="00F421D6">
      <w:pPr>
        <w:pStyle w:val="EMEABullet2"/>
        <w:numPr>
          <w:ilvl w:val="1"/>
          <w:numId w:val="102"/>
        </w:numPr>
        <w:tabs>
          <w:tab w:val="clear" w:pos="567"/>
        </w:tabs>
      </w:pPr>
      <w:r>
        <w:rPr>
          <w:lang w:val="en-GB"/>
        </w:rPr>
        <w:t xml:space="preserve">Check with your doctor before your child receives any vaccines. </w:t>
      </w:r>
    </w:p>
    <w:p w14:paraId="51A0FF83" w14:textId="77777777" w:rsidR="00126429" w:rsidRPr="00126429" w:rsidRDefault="00944B8F" w:rsidP="00F421D6">
      <w:pPr>
        <w:pStyle w:val="EMEABullet2"/>
        <w:numPr>
          <w:ilvl w:val="1"/>
          <w:numId w:val="102"/>
        </w:numPr>
        <w:tabs>
          <w:tab w:val="clear" w:pos="567"/>
        </w:tabs>
        <w:rPr>
          <w:lang w:val="en-GB" w:eastAsia="en-GB"/>
        </w:rPr>
      </w:pPr>
      <w:r w:rsidRPr="00ED237F">
        <w:rPr>
          <w:noProof/>
          <w:color w:val="000000"/>
          <w:szCs w:val="22"/>
        </w:rPr>
        <w:t xml:space="preserve">It is recommended that children, if possible, be </w:t>
      </w:r>
      <w:r>
        <w:rPr>
          <w:rFonts w:eastAsia="Malgun Gothic"/>
          <w:noProof/>
          <w:szCs w:val="22"/>
          <w:lang w:eastAsia="ko-KR"/>
        </w:rPr>
        <w:t>given all the scheduled vaccinations for their age before they start treatment</w:t>
      </w:r>
      <w:r w:rsidRPr="00E805ED">
        <w:rPr>
          <w:rFonts w:eastAsia="Malgun Gothic"/>
        </w:rPr>
        <w:t xml:space="preserve"> wit</w:t>
      </w:r>
      <w:r>
        <w:rPr>
          <w:rFonts w:eastAsia="Malgun Gothic"/>
        </w:rPr>
        <w:t>h Humira</w:t>
      </w:r>
      <w:r w:rsidRPr="00ED237F">
        <w:rPr>
          <w:noProof/>
          <w:color w:val="000000"/>
          <w:szCs w:val="22"/>
        </w:rPr>
        <w:t>.</w:t>
      </w:r>
    </w:p>
    <w:p w14:paraId="287732F6" w14:textId="77777777" w:rsidR="00985B87" w:rsidRDefault="00944B8F" w:rsidP="00F421D6">
      <w:pPr>
        <w:pStyle w:val="EMEABullet2"/>
        <w:numPr>
          <w:ilvl w:val="1"/>
          <w:numId w:val="102"/>
        </w:numPr>
        <w:tabs>
          <w:tab w:val="clear" w:pos="567"/>
        </w:tabs>
        <w:rPr>
          <w:lang w:val="en-GB" w:eastAsia="en-GB"/>
        </w:rPr>
      </w:pPr>
      <w:r>
        <w:t xml:space="preserve">If your child received Humira while she was pregnant, her baby may be at higher risk for getting such an infection for up to approximately five months after the last Humira dose she received during pregnancy. </w:t>
      </w:r>
      <w:r>
        <w:rPr>
          <w:szCs w:val="22"/>
          <w:lang w:val="en-GB" w:eastAsia="en-GB"/>
        </w:rPr>
        <w:t xml:space="preserve">It is </w:t>
      </w:r>
      <w:r>
        <w:rPr>
          <w:lang w:val="en-GB" w:eastAsia="en-GB"/>
        </w:rPr>
        <w:t>important that you tell her baby's doctors and other health care professionals about your child’s Humira use during her pregnancy so they can decide when her baby should receive any vaccine.</w:t>
      </w:r>
    </w:p>
    <w:p w14:paraId="7FEAD032" w14:textId="77777777" w:rsidR="00985B87" w:rsidRDefault="00985B87" w:rsidP="00985B87">
      <w:pPr>
        <w:pStyle w:val="EMEANormal"/>
        <w:rPr>
          <w:lang w:val="en-GB" w:eastAsia="en-GB"/>
        </w:rPr>
      </w:pPr>
    </w:p>
    <w:p w14:paraId="6E41FD48" w14:textId="77777777" w:rsidR="00985B87" w:rsidRDefault="00944B8F" w:rsidP="00C568D0">
      <w:pPr>
        <w:pStyle w:val="EMEABullet2"/>
        <w:keepNext/>
        <w:tabs>
          <w:tab w:val="clear" w:pos="567"/>
          <w:tab w:val="left" w:pos="720"/>
        </w:tabs>
        <w:rPr>
          <w:u w:val="single"/>
          <w:lang w:val="en-GB"/>
        </w:rPr>
      </w:pPr>
      <w:r>
        <w:rPr>
          <w:u w:val="single"/>
          <w:lang w:val="en-GB"/>
        </w:rPr>
        <w:lastRenderedPageBreak/>
        <w:t xml:space="preserve">Heart </w:t>
      </w:r>
      <w:r w:rsidR="00B8241A">
        <w:rPr>
          <w:u w:val="single"/>
          <w:lang w:val="en-GB"/>
        </w:rPr>
        <w:t>failure</w:t>
      </w:r>
    </w:p>
    <w:p w14:paraId="749E9B61" w14:textId="77777777" w:rsidR="00985B87" w:rsidRDefault="00985B87" w:rsidP="00C568D0">
      <w:pPr>
        <w:pStyle w:val="EMEANormal"/>
        <w:keepNext/>
        <w:rPr>
          <w:lang w:val="en-GB"/>
        </w:rPr>
      </w:pPr>
    </w:p>
    <w:p w14:paraId="03BBCB8F" w14:textId="77777777" w:rsidR="00B8241A" w:rsidRPr="00ED237F" w:rsidRDefault="00944B8F" w:rsidP="00F421D6">
      <w:pPr>
        <w:keepNext/>
        <w:numPr>
          <w:ilvl w:val="0"/>
          <w:numId w:val="103"/>
        </w:numPr>
        <w:tabs>
          <w:tab w:val="clear" w:pos="562"/>
        </w:tabs>
        <w:suppressAutoHyphens w:val="0"/>
        <w:autoSpaceDE w:val="0"/>
        <w:autoSpaceDN w:val="0"/>
        <w:adjustRightInd w:val="0"/>
        <w:rPr>
          <w:noProof/>
          <w:color w:val="000000"/>
          <w:szCs w:val="22"/>
        </w:rPr>
      </w:pPr>
      <w:r w:rsidRPr="00ED237F">
        <w:rPr>
          <w:noProof/>
          <w:color w:val="000000"/>
          <w:szCs w:val="22"/>
        </w:rPr>
        <w:t>If you</w:t>
      </w:r>
      <w:r>
        <w:rPr>
          <w:noProof/>
          <w:color w:val="000000"/>
          <w:szCs w:val="22"/>
        </w:rPr>
        <w:t xml:space="preserve">r child </w:t>
      </w:r>
      <w:r w:rsidRPr="00ED237F">
        <w:rPr>
          <w:noProof/>
          <w:color w:val="000000"/>
          <w:szCs w:val="22"/>
        </w:rPr>
        <w:t>ha</w:t>
      </w:r>
      <w:r>
        <w:rPr>
          <w:noProof/>
          <w:color w:val="000000"/>
          <w:szCs w:val="22"/>
        </w:rPr>
        <w:t>s</w:t>
      </w:r>
      <w:r w:rsidRPr="00ED237F">
        <w:rPr>
          <w:noProof/>
          <w:color w:val="000000"/>
          <w:szCs w:val="22"/>
        </w:rPr>
        <w:t xml:space="preserve"> mild heart failure and </w:t>
      </w:r>
      <w:r>
        <w:rPr>
          <w:noProof/>
          <w:color w:val="000000"/>
          <w:szCs w:val="22"/>
        </w:rPr>
        <w:t>is</w:t>
      </w:r>
      <w:r w:rsidRPr="00ED237F">
        <w:rPr>
          <w:noProof/>
          <w:color w:val="000000"/>
          <w:szCs w:val="22"/>
        </w:rPr>
        <w:t xml:space="preserve"> being treated with </w:t>
      </w:r>
      <w:r>
        <w:rPr>
          <w:noProof/>
          <w:color w:val="000000"/>
          <w:szCs w:val="22"/>
        </w:rPr>
        <w:t>Humira</w:t>
      </w:r>
      <w:r w:rsidRPr="00ED237F">
        <w:rPr>
          <w:noProof/>
          <w:color w:val="000000"/>
          <w:szCs w:val="22"/>
        </w:rPr>
        <w:t xml:space="preserve">, </w:t>
      </w:r>
      <w:r>
        <w:rPr>
          <w:noProof/>
          <w:color w:val="000000"/>
          <w:szCs w:val="22"/>
        </w:rPr>
        <w:t>his/her</w:t>
      </w:r>
      <w:r w:rsidRPr="00ED237F">
        <w:rPr>
          <w:noProof/>
          <w:color w:val="000000"/>
          <w:szCs w:val="22"/>
        </w:rPr>
        <w:t xml:space="preserve"> heart failure status must be closely monitored by your doctor. It is important to tell your doctor if you</w:t>
      </w:r>
      <w:r>
        <w:rPr>
          <w:noProof/>
          <w:color w:val="000000"/>
          <w:szCs w:val="22"/>
        </w:rPr>
        <w:t>r child</w:t>
      </w:r>
      <w:r w:rsidRPr="00ED237F">
        <w:rPr>
          <w:noProof/>
          <w:color w:val="000000"/>
          <w:szCs w:val="22"/>
        </w:rPr>
        <w:t xml:space="preserve"> ha</w:t>
      </w:r>
      <w:r>
        <w:rPr>
          <w:noProof/>
          <w:color w:val="000000"/>
          <w:szCs w:val="22"/>
        </w:rPr>
        <w:t>s</w:t>
      </w:r>
      <w:r w:rsidRPr="00ED237F">
        <w:rPr>
          <w:noProof/>
          <w:color w:val="000000"/>
          <w:szCs w:val="22"/>
        </w:rPr>
        <w:t xml:space="preserve"> had or ha</w:t>
      </w:r>
      <w:r>
        <w:rPr>
          <w:noProof/>
          <w:color w:val="000000"/>
          <w:szCs w:val="22"/>
        </w:rPr>
        <w:t>s</w:t>
      </w:r>
      <w:r w:rsidRPr="00ED237F">
        <w:rPr>
          <w:noProof/>
          <w:color w:val="000000"/>
          <w:szCs w:val="22"/>
        </w:rPr>
        <w:t xml:space="preserve"> a serious heart condition. If </w:t>
      </w:r>
      <w:r>
        <w:rPr>
          <w:noProof/>
          <w:color w:val="000000"/>
          <w:szCs w:val="22"/>
        </w:rPr>
        <w:t>he/she</w:t>
      </w:r>
      <w:r w:rsidRPr="00ED237F">
        <w:rPr>
          <w:noProof/>
          <w:color w:val="000000"/>
          <w:szCs w:val="22"/>
        </w:rPr>
        <w:t xml:space="preserve"> develop</w:t>
      </w:r>
      <w:r>
        <w:rPr>
          <w:noProof/>
          <w:color w:val="000000"/>
          <w:szCs w:val="22"/>
        </w:rPr>
        <w:t>s</w:t>
      </w:r>
      <w:r w:rsidRPr="00ED237F">
        <w:rPr>
          <w:noProof/>
          <w:color w:val="000000"/>
          <w:szCs w:val="22"/>
        </w:rPr>
        <w:t xml:space="preserve"> new or worsening symptoms of heart failure (e.g. shortness of breath, or swelling of your feet), you must contact your doctor immediately. Your doctor will decide if you</w:t>
      </w:r>
      <w:r>
        <w:rPr>
          <w:noProof/>
          <w:color w:val="000000"/>
          <w:szCs w:val="22"/>
        </w:rPr>
        <w:t>r child</w:t>
      </w:r>
      <w:r w:rsidRPr="00ED237F">
        <w:rPr>
          <w:noProof/>
          <w:color w:val="000000"/>
          <w:szCs w:val="22"/>
        </w:rPr>
        <w:t xml:space="preserve"> should receive </w:t>
      </w:r>
      <w:r>
        <w:rPr>
          <w:noProof/>
          <w:color w:val="000000"/>
          <w:szCs w:val="22"/>
        </w:rPr>
        <w:t>Humira</w:t>
      </w:r>
      <w:r w:rsidRPr="00ED237F">
        <w:rPr>
          <w:noProof/>
          <w:color w:val="000000"/>
          <w:szCs w:val="22"/>
        </w:rPr>
        <w:t>.</w:t>
      </w:r>
    </w:p>
    <w:p w14:paraId="567CCF0A" w14:textId="77777777" w:rsidR="00985B87" w:rsidRDefault="00985B87" w:rsidP="00C568D0">
      <w:pPr>
        <w:pStyle w:val="EMEANormal"/>
        <w:keepNext/>
        <w:rPr>
          <w:lang w:val="en-GB"/>
        </w:rPr>
      </w:pPr>
    </w:p>
    <w:p w14:paraId="0D1FA547" w14:textId="77777777" w:rsidR="00773528" w:rsidRDefault="00944B8F" w:rsidP="00773528">
      <w:pPr>
        <w:keepLines/>
        <w:numPr>
          <w:ilvl w:val="12"/>
          <w:numId w:val="0"/>
        </w:numPr>
        <w:tabs>
          <w:tab w:val="clear" w:pos="562"/>
        </w:tabs>
        <w:ind w:right="-2"/>
        <w:rPr>
          <w:rFonts w:eastAsia="Malgun Gothic"/>
          <w:szCs w:val="22"/>
          <w:u w:val="single"/>
          <w:lang w:eastAsia="ko-KR"/>
        </w:rPr>
      </w:pPr>
      <w:r w:rsidRPr="00C65788">
        <w:rPr>
          <w:rFonts w:eastAsia="Malgun Gothic"/>
          <w:szCs w:val="22"/>
          <w:u w:val="single"/>
          <w:lang w:eastAsia="ko-KR"/>
        </w:rPr>
        <w:t>Fever, bruis</w:t>
      </w:r>
      <w:r>
        <w:rPr>
          <w:rFonts w:eastAsia="Malgun Gothic"/>
          <w:szCs w:val="22"/>
          <w:u w:val="single"/>
          <w:lang w:eastAsia="ko-KR"/>
        </w:rPr>
        <w:t>ing</w:t>
      </w:r>
      <w:r w:rsidRPr="00C65788">
        <w:rPr>
          <w:rFonts w:eastAsia="Malgun Gothic"/>
          <w:szCs w:val="22"/>
          <w:u w:val="single"/>
          <w:lang w:eastAsia="ko-KR"/>
        </w:rPr>
        <w:t>, bleed</w:t>
      </w:r>
      <w:r>
        <w:rPr>
          <w:rFonts w:eastAsia="Malgun Gothic"/>
          <w:szCs w:val="22"/>
          <w:u w:val="single"/>
          <w:lang w:eastAsia="ko-KR"/>
        </w:rPr>
        <w:t>ing</w:t>
      </w:r>
      <w:r w:rsidRPr="00C65788">
        <w:rPr>
          <w:rFonts w:eastAsia="Malgun Gothic"/>
          <w:szCs w:val="22"/>
          <w:u w:val="single"/>
          <w:lang w:eastAsia="ko-KR"/>
        </w:rPr>
        <w:t xml:space="preserve"> or look</w:t>
      </w:r>
      <w:r>
        <w:rPr>
          <w:rFonts w:eastAsia="Malgun Gothic"/>
          <w:szCs w:val="22"/>
          <w:u w:val="single"/>
          <w:lang w:eastAsia="ko-KR"/>
        </w:rPr>
        <w:t>ing</w:t>
      </w:r>
      <w:r w:rsidRPr="00C65788">
        <w:rPr>
          <w:rFonts w:eastAsia="Malgun Gothic"/>
          <w:szCs w:val="22"/>
          <w:u w:val="single"/>
          <w:lang w:eastAsia="ko-KR"/>
        </w:rPr>
        <w:t xml:space="preserve"> pale</w:t>
      </w:r>
    </w:p>
    <w:p w14:paraId="121444D3" w14:textId="77777777" w:rsidR="00773528" w:rsidRPr="00700513" w:rsidRDefault="00773528" w:rsidP="00773528">
      <w:pPr>
        <w:keepLines/>
        <w:numPr>
          <w:ilvl w:val="12"/>
          <w:numId w:val="0"/>
        </w:numPr>
        <w:tabs>
          <w:tab w:val="clear" w:pos="562"/>
        </w:tabs>
        <w:ind w:right="-2"/>
        <w:rPr>
          <w:rFonts w:eastAsia="Malgun Gothic"/>
          <w:szCs w:val="22"/>
          <w:u w:val="single"/>
          <w:lang w:eastAsia="ko-KR"/>
        </w:rPr>
      </w:pPr>
    </w:p>
    <w:p w14:paraId="2EA116B0" w14:textId="77777777" w:rsidR="00773528" w:rsidRDefault="00944B8F" w:rsidP="00F421D6">
      <w:pPr>
        <w:pStyle w:val="EMEABullet2"/>
        <w:keepNext/>
        <w:numPr>
          <w:ilvl w:val="0"/>
          <w:numId w:val="101"/>
        </w:numPr>
        <w:tabs>
          <w:tab w:val="clear" w:pos="567"/>
          <w:tab w:val="left" w:pos="720"/>
        </w:tabs>
        <w:rPr>
          <w:u w:val="single"/>
          <w:lang w:val="en-GB"/>
        </w:rPr>
      </w:pPr>
      <w:r>
        <w:rPr>
          <w:lang w:val="en-GB"/>
        </w:rPr>
        <w:t xml:space="preserve">In some patients the body may fail to produce enough of the blood cells </w:t>
      </w:r>
      <w:r w:rsidR="00E529D3">
        <w:rPr>
          <w:lang w:val="en-GB"/>
        </w:rPr>
        <w:t>that</w:t>
      </w:r>
      <w:r>
        <w:rPr>
          <w:lang w:val="en-GB"/>
        </w:rPr>
        <w:t xml:space="preserve"> fight off infections or help your child to stop bleeding. Your doctor may decide to stop treatment. </w:t>
      </w:r>
      <w:r w:rsidRPr="00ED237F">
        <w:rPr>
          <w:noProof/>
          <w:color w:val="000000"/>
          <w:szCs w:val="22"/>
        </w:rPr>
        <w:t>If you</w:t>
      </w:r>
      <w:r>
        <w:rPr>
          <w:noProof/>
          <w:color w:val="000000"/>
          <w:szCs w:val="22"/>
        </w:rPr>
        <w:t>r child</w:t>
      </w:r>
      <w:r w:rsidRPr="00ED237F">
        <w:rPr>
          <w:noProof/>
          <w:color w:val="000000"/>
          <w:szCs w:val="22"/>
        </w:rPr>
        <w:t xml:space="preserve"> develop</w:t>
      </w:r>
      <w:r>
        <w:rPr>
          <w:noProof/>
          <w:color w:val="000000"/>
          <w:szCs w:val="22"/>
        </w:rPr>
        <w:t>s</w:t>
      </w:r>
      <w:r w:rsidRPr="00ED237F">
        <w:rPr>
          <w:noProof/>
          <w:color w:val="000000"/>
          <w:szCs w:val="22"/>
        </w:rPr>
        <w:t xml:space="preserve"> a fever that does not go away, </w:t>
      </w:r>
      <w:r>
        <w:rPr>
          <w:noProof/>
          <w:color w:val="000000"/>
          <w:szCs w:val="22"/>
        </w:rPr>
        <w:t xml:space="preserve">develops light </w:t>
      </w:r>
      <w:r w:rsidRPr="00ED237F">
        <w:rPr>
          <w:noProof/>
          <w:color w:val="000000"/>
          <w:szCs w:val="22"/>
        </w:rPr>
        <w:t>bruise</w:t>
      </w:r>
      <w:r>
        <w:rPr>
          <w:noProof/>
          <w:color w:val="000000"/>
          <w:szCs w:val="22"/>
        </w:rPr>
        <w:t>s</w:t>
      </w:r>
      <w:r w:rsidRPr="00ED237F">
        <w:rPr>
          <w:noProof/>
          <w:color w:val="000000"/>
          <w:szCs w:val="22"/>
        </w:rPr>
        <w:t xml:space="preserve"> or bleed</w:t>
      </w:r>
      <w:r>
        <w:rPr>
          <w:noProof/>
          <w:color w:val="000000"/>
          <w:szCs w:val="22"/>
        </w:rPr>
        <w:t>s</w:t>
      </w:r>
      <w:r w:rsidRPr="00ED237F">
        <w:rPr>
          <w:noProof/>
          <w:color w:val="000000"/>
          <w:szCs w:val="22"/>
        </w:rPr>
        <w:t xml:space="preserve"> very easily or look</w:t>
      </w:r>
      <w:r>
        <w:rPr>
          <w:noProof/>
          <w:color w:val="000000"/>
          <w:szCs w:val="22"/>
        </w:rPr>
        <w:t>s</w:t>
      </w:r>
      <w:r w:rsidRPr="00ED237F">
        <w:rPr>
          <w:noProof/>
          <w:color w:val="000000"/>
          <w:szCs w:val="22"/>
        </w:rPr>
        <w:t xml:space="preserve"> very pale, call your doctor right away.</w:t>
      </w:r>
    </w:p>
    <w:p w14:paraId="74F03514" w14:textId="77777777" w:rsidR="00773528" w:rsidRPr="00D601E7" w:rsidRDefault="00773528" w:rsidP="00D601E7">
      <w:pPr>
        <w:pStyle w:val="EMEANormal"/>
        <w:rPr>
          <w:lang w:val="en-GB"/>
        </w:rPr>
      </w:pPr>
    </w:p>
    <w:p w14:paraId="3E31239F" w14:textId="77777777" w:rsidR="00985B87" w:rsidRDefault="00944B8F" w:rsidP="00985B87">
      <w:pPr>
        <w:pStyle w:val="EMEABullet2"/>
        <w:keepNext/>
        <w:tabs>
          <w:tab w:val="clear" w:pos="567"/>
          <w:tab w:val="left" w:pos="720"/>
        </w:tabs>
        <w:rPr>
          <w:u w:val="single"/>
          <w:lang w:val="en-GB"/>
        </w:rPr>
      </w:pPr>
      <w:r>
        <w:rPr>
          <w:u w:val="single"/>
          <w:lang w:val="en-GB"/>
        </w:rPr>
        <w:t>Cancer</w:t>
      </w:r>
    </w:p>
    <w:p w14:paraId="7E305F34" w14:textId="77777777" w:rsidR="00985B87" w:rsidRDefault="00985B87" w:rsidP="00985B87">
      <w:pPr>
        <w:pStyle w:val="EMEANormal"/>
        <w:keepNext/>
        <w:rPr>
          <w:lang w:val="en-GB"/>
        </w:rPr>
      </w:pPr>
    </w:p>
    <w:p w14:paraId="20C142EE" w14:textId="77777777" w:rsidR="00985B87" w:rsidRDefault="00944B8F" w:rsidP="00F421D6">
      <w:pPr>
        <w:pStyle w:val="EMEABullet2"/>
        <w:keepNext/>
        <w:numPr>
          <w:ilvl w:val="0"/>
          <w:numId w:val="98"/>
        </w:numPr>
        <w:tabs>
          <w:tab w:val="clear" w:pos="567"/>
        </w:tabs>
        <w:rPr>
          <w:lang w:val="en-GB"/>
        </w:rPr>
      </w:pPr>
      <w:r>
        <w:rPr>
          <w:lang w:val="en-GB"/>
        </w:rPr>
        <w:t xml:space="preserve">There have been very rare cases of certain kinds of cancer in children and adult patients taking Humira or other TNF blockers.  </w:t>
      </w:r>
    </w:p>
    <w:p w14:paraId="313173D0" w14:textId="77777777" w:rsidR="00985B87" w:rsidRDefault="00985B87" w:rsidP="00985B87">
      <w:pPr>
        <w:pStyle w:val="EMEANormal"/>
        <w:keepNext/>
        <w:rPr>
          <w:lang w:val="en-GB"/>
        </w:rPr>
      </w:pPr>
    </w:p>
    <w:p w14:paraId="5134B3C0" w14:textId="77777777" w:rsidR="00985B87" w:rsidRDefault="00944B8F" w:rsidP="00F421D6">
      <w:pPr>
        <w:pStyle w:val="EMEABullet2"/>
        <w:numPr>
          <w:ilvl w:val="1"/>
          <w:numId w:val="104"/>
        </w:numPr>
        <w:tabs>
          <w:tab w:val="clear" w:pos="567"/>
        </w:tabs>
        <w:rPr>
          <w:lang w:val="en-GB"/>
        </w:rPr>
      </w:pPr>
      <w:r>
        <w:rPr>
          <w:lang w:val="en-GB"/>
        </w:rPr>
        <w:t xml:space="preserve">People with more serious rheumatoid arthritis that have had the disease for a long time may have a higher than average risk of getting lymphoma (a cancer </w:t>
      </w:r>
      <w:r w:rsidR="00943151">
        <w:rPr>
          <w:lang w:val="en-GB"/>
        </w:rPr>
        <w:t>that affects the lymph system)</w:t>
      </w:r>
      <w:r>
        <w:rPr>
          <w:lang w:val="en-GB"/>
        </w:rPr>
        <w:t xml:space="preserve"> and leukaemia (a cancer that affects the blood and bone marrow).</w:t>
      </w:r>
      <w:r>
        <w:rPr>
          <w:szCs w:val="22"/>
          <w:lang w:val="en-GB"/>
        </w:rPr>
        <w:t xml:space="preserve"> </w:t>
      </w:r>
    </w:p>
    <w:p w14:paraId="6DE0A7A3" w14:textId="77777777" w:rsidR="00985B87" w:rsidRDefault="00944B8F" w:rsidP="00F421D6">
      <w:pPr>
        <w:pStyle w:val="EMEABullet2"/>
        <w:numPr>
          <w:ilvl w:val="1"/>
          <w:numId w:val="104"/>
        </w:numPr>
        <w:tabs>
          <w:tab w:val="clear" w:pos="567"/>
        </w:tabs>
        <w:rPr>
          <w:lang w:val="en-GB"/>
        </w:rPr>
      </w:pPr>
      <w:r>
        <w:rPr>
          <w:lang w:val="en-GB"/>
        </w:rPr>
        <w:t>If your child takes Humira the risk of getting lymphoma, leukaemia, or other cancers may increase.</w:t>
      </w:r>
      <w:r>
        <w:rPr>
          <w:szCs w:val="22"/>
        </w:rPr>
        <w:t xml:space="preserve"> On rare occasions, an uncommon and severe type of lymphoma, has been seen in patients taking Humira. Some of those patients were also treated with azathioprine or 6-mercaptopurine.</w:t>
      </w:r>
      <w:r>
        <w:rPr>
          <w:lang w:val="en-GB"/>
        </w:rPr>
        <w:t xml:space="preserve"> </w:t>
      </w:r>
    </w:p>
    <w:p w14:paraId="5E8BFEB7" w14:textId="77777777" w:rsidR="00985B87" w:rsidRDefault="00944B8F" w:rsidP="00F421D6">
      <w:pPr>
        <w:pStyle w:val="EMEABullet2"/>
        <w:numPr>
          <w:ilvl w:val="1"/>
          <w:numId w:val="104"/>
        </w:numPr>
        <w:tabs>
          <w:tab w:val="clear" w:pos="567"/>
        </w:tabs>
        <w:rPr>
          <w:lang w:val="en-GB"/>
        </w:rPr>
      </w:pPr>
      <w:r>
        <w:t xml:space="preserve">Tell your doctor if your child is taking azathioprine or 6-mercaptopurine with Humira. </w:t>
      </w:r>
    </w:p>
    <w:p w14:paraId="3BB79EE7" w14:textId="77777777" w:rsidR="00985B87" w:rsidRDefault="00944B8F" w:rsidP="00F421D6">
      <w:pPr>
        <w:pStyle w:val="EMEABullet2"/>
        <w:numPr>
          <w:ilvl w:val="1"/>
          <w:numId w:val="104"/>
        </w:numPr>
        <w:tabs>
          <w:tab w:val="clear" w:pos="567"/>
        </w:tabs>
        <w:rPr>
          <w:lang w:val="en-GB"/>
        </w:rPr>
      </w:pPr>
      <w:r>
        <w:rPr>
          <w:lang w:val="en-GB"/>
        </w:rPr>
        <w:t xml:space="preserve">Cases of non-melanoma skin cancer have been observed in patients taking Humira. </w:t>
      </w:r>
    </w:p>
    <w:p w14:paraId="0E57D764" w14:textId="77777777" w:rsidR="00985B87" w:rsidRDefault="00944B8F" w:rsidP="00F421D6">
      <w:pPr>
        <w:pStyle w:val="EMEABullet2"/>
        <w:numPr>
          <w:ilvl w:val="1"/>
          <w:numId w:val="104"/>
        </w:numPr>
        <w:tabs>
          <w:tab w:val="clear" w:pos="567"/>
        </w:tabs>
      </w:pPr>
      <w:r>
        <w:t>If new skin lesions appear during or after therapy or if existing lesions change appearance, tell your doctor.</w:t>
      </w:r>
    </w:p>
    <w:p w14:paraId="5AEED824" w14:textId="77777777" w:rsidR="00985B87" w:rsidRDefault="00985B87" w:rsidP="00985B87">
      <w:pPr>
        <w:pStyle w:val="EMEANormal"/>
      </w:pPr>
    </w:p>
    <w:p w14:paraId="17E6BB7E" w14:textId="77777777" w:rsidR="00985B87" w:rsidRDefault="00944B8F" w:rsidP="00F421D6">
      <w:pPr>
        <w:pStyle w:val="EMEABullet2"/>
        <w:numPr>
          <w:ilvl w:val="0"/>
          <w:numId w:val="98"/>
        </w:numPr>
        <w:tabs>
          <w:tab w:val="clear" w:pos="567"/>
        </w:tabs>
        <w:rPr>
          <w:lang w:val="en-GB"/>
        </w:rPr>
      </w:pPr>
      <w:r>
        <w:rPr>
          <w:lang w:val="en-GB"/>
        </w:rPr>
        <w:t>There have been cases of cancers, other than lymphoma in patients with a specific type of lung disease called Chronic Obstructive Pulmonary Disease (COPD) treated with another TNF blocker. If your child has COPD, or is a heavy smoker, you should discuss with your doctor whether treatment with a TNF blocker is appropriate for your child.</w:t>
      </w:r>
    </w:p>
    <w:p w14:paraId="09B37F28" w14:textId="77777777" w:rsidR="003D1A8A" w:rsidRPr="003D1A8A" w:rsidRDefault="003D1A8A" w:rsidP="00561696">
      <w:pPr>
        <w:pStyle w:val="EMEANormal"/>
        <w:rPr>
          <w:lang w:val="en-GB"/>
        </w:rPr>
      </w:pPr>
    </w:p>
    <w:p w14:paraId="4621E5B7" w14:textId="77777777" w:rsidR="003D1A8A" w:rsidRDefault="00944B8F" w:rsidP="003D1A8A">
      <w:pPr>
        <w:pStyle w:val="EMEANormal"/>
        <w:rPr>
          <w:u w:val="single"/>
          <w:lang w:val="en-GB"/>
        </w:rPr>
      </w:pPr>
      <w:r w:rsidRPr="00D601E7">
        <w:rPr>
          <w:u w:val="single"/>
          <w:lang w:val="en-GB"/>
        </w:rPr>
        <w:t>Autoimmune disease</w:t>
      </w:r>
    </w:p>
    <w:p w14:paraId="1D768290" w14:textId="77777777" w:rsidR="003D1A8A" w:rsidRPr="00561696" w:rsidRDefault="003D1A8A" w:rsidP="003D1A8A">
      <w:pPr>
        <w:pStyle w:val="EMEANormal"/>
        <w:rPr>
          <w:lang w:val="en-GB"/>
        </w:rPr>
      </w:pPr>
    </w:p>
    <w:p w14:paraId="667B830F" w14:textId="77777777" w:rsidR="003D1A8A" w:rsidRPr="00404682" w:rsidRDefault="00944B8F" w:rsidP="00F421D6">
      <w:pPr>
        <w:pStyle w:val="EMEANormal"/>
        <w:numPr>
          <w:ilvl w:val="0"/>
          <w:numId w:val="101"/>
        </w:numPr>
        <w:tabs>
          <w:tab w:val="clear" w:pos="562"/>
          <w:tab w:val="left" w:pos="720"/>
        </w:tabs>
        <w:rPr>
          <w:lang w:val="en-GB"/>
        </w:rPr>
      </w:pPr>
      <w:r w:rsidRPr="003D1A8A">
        <w:rPr>
          <w:lang w:val="en-GB"/>
        </w:rPr>
        <w:t>On rare occasions, treatment with Humira could result in lupus-like syndrome. Contact your doctor if symptoms such as persistent unexplained rash, fever, joint pain or tiredness</w:t>
      </w:r>
      <w:r w:rsidR="00C25F57">
        <w:rPr>
          <w:lang w:val="en-GB"/>
        </w:rPr>
        <w:t xml:space="preserve"> occur</w:t>
      </w:r>
      <w:r>
        <w:rPr>
          <w:lang w:val="en-GB"/>
        </w:rPr>
        <w:t>.</w:t>
      </w:r>
    </w:p>
    <w:p w14:paraId="2B5FD1DC" w14:textId="77777777" w:rsidR="00985B87" w:rsidRDefault="00985B87" w:rsidP="00985B87">
      <w:pPr>
        <w:pStyle w:val="EMEANormal"/>
        <w:tabs>
          <w:tab w:val="clear" w:pos="562"/>
          <w:tab w:val="left" w:pos="720"/>
        </w:tabs>
        <w:ind w:left="720"/>
        <w:rPr>
          <w:b/>
          <w:lang w:val="en-GB"/>
        </w:rPr>
      </w:pPr>
    </w:p>
    <w:p w14:paraId="16029E9F" w14:textId="77777777" w:rsidR="00985B87" w:rsidRDefault="00944B8F" w:rsidP="00985B87">
      <w:pPr>
        <w:pStyle w:val="EMEAHeadingLeaflet"/>
        <w:spacing w:beforeLines="0" w:afterLines="0"/>
        <w:rPr>
          <w:rFonts w:ascii="Times New Roman" w:hAnsi="Times New Roman"/>
          <w:lang w:val="en-GB"/>
        </w:rPr>
      </w:pPr>
      <w:r>
        <w:rPr>
          <w:rFonts w:ascii="Times New Roman" w:hAnsi="Times New Roman"/>
          <w:lang w:val="en-GB"/>
        </w:rPr>
        <w:t>Other medicines and Humira</w:t>
      </w:r>
    </w:p>
    <w:p w14:paraId="7D8BE7FD" w14:textId="77777777" w:rsidR="00985B87" w:rsidRDefault="00985B87" w:rsidP="00985B87">
      <w:pPr>
        <w:pStyle w:val="EMEANormal"/>
        <w:rPr>
          <w:lang w:val="en-GB"/>
        </w:rPr>
      </w:pPr>
    </w:p>
    <w:p w14:paraId="7B4FD7E2" w14:textId="77777777" w:rsidR="00985B87" w:rsidRDefault="00944B8F" w:rsidP="00985B87">
      <w:pPr>
        <w:pStyle w:val="EMEANormal"/>
        <w:rPr>
          <w:lang w:val="en-GB"/>
        </w:rPr>
      </w:pPr>
      <w:r>
        <w:rPr>
          <w:lang w:val="en-GB"/>
        </w:rPr>
        <w:t>Tell your doctor or pharmacist if your child is taking, has recently taken or might take any other medicines.</w:t>
      </w:r>
    </w:p>
    <w:p w14:paraId="4119E66C" w14:textId="77777777" w:rsidR="00985B87" w:rsidRDefault="00985B87" w:rsidP="00985B87">
      <w:pPr>
        <w:pStyle w:val="EMEANormal"/>
        <w:rPr>
          <w:lang w:val="en-GB"/>
        </w:rPr>
      </w:pPr>
    </w:p>
    <w:p w14:paraId="19A997AD" w14:textId="77777777" w:rsidR="00985B87" w:rsidRDefault="00944B8F" w:rsidP="00985B87">
      <w:pPr>
        <w:pStyle w:val="EMEANormal"/>
        <w:tabs>
          <w:tab w:val="left" w:pos="0"/>
        </w:tabs>
        <w:rPr>
          <w:lang w:val="en-GB"/>
        </w:rPr>
      </w:pPr>
      <w:r>
        <w:rPr>
          <w:lang w:val="en-GB"/>
        </w:rPr>
        <w:t>Your child should not take Humira with medicines containing the following active substances due to increased risk of serious infection:</w:t>
      </w:r>
    </w:p>
    <w:p w14:paraId="1A2C848B" w14:textId="77777777" w:rsidR="00985B87" w:rsidRDefault="00944B8F" w:rsidP="00F421D6">
      <w:pPr>
        <w:pStyle w:val="EMEANormal"/>
        <w:numPr>
          <w:ilvl w:val="0"/>
          <w:numId w:val="105"/>
        </w:numPr>
        <w:tabs>
          <w:tab w:val="left" w:pos="0"/>
        </w:tabs>
        <w:rPr>
          <w:lang w:val="en-GB"/>
        </w:rPr>
      </w:pPr>
      <w:r>
        <w:rPr>
          <w:lang w:val="en-GB"/>
        </w:rPr>
        <w:t>anakinra</w:t>
      </w:r>
    </w:p>
    <w:p w14:paraId="38E580EB" w14:textId="77777777" w:rsidR="00985B87" w:rsidRDefault="00944B8F" w:rsidP="00F421D6">
      <w:pPr>
        <w:pStyle w:val="EMEANormal"/>
        <w:numPr>
          <w:ilvl w:val="0"/>
          <w:numId w:val="105"/>
        </w:numPr>
        <w:tabs>
          <w:tab w:val="left" w:pos="0"/>
        </w:tabs>
        <w:rPr>
          <w:b/>
          <w:bCs/>
          <w:lang w:val="en-GB"/>
        </w:rPr>
      </w:pPr>
      <w:r>
        <w:rPr>
          <w:lang w:val="en-GB"/>
        </w:rPr>
        <w:t>abatacept.</w:t>
      </w:r>
    </w:p>
    <w:p w14:paraId="578F8898" w14:textId="77777777" w:rsidR="00985B87" w:rsidRDefault="00985B87" w:rsidP="00985B87">
      <w:pPr>
        <w:pStyle w:val="EMEANormal"/>
        <w:rPr>
          <w:lang w:val="en-GB"/>
        </w:rPr>
      </w:pPr>
    </w:p>
    <w:p w14:paraId="3878052A" w14:textId="77777777" w:rsidR="00985B87" w:rsidRDefault="00944B8F" w:rsidP="00985B87">
      <w:pPr>
        <w:pStyle w:val="EMEANormal"/>
        <w:rPr>
          <w:lang w:val="en-GB"/>
        </w:rPr>
      </w:pPr>
      <w:r>
        <w:rPr>
          <w:lang w:val="en-GB"/>
        </w:rPr>
        <w:lastRenderedPageBreak/>
        <w:t>Humira can be taken together with:</w:t>
      </w:r>
    </w:p>
    <w:p w14:paraId="6F6ADCD8" w14:textId="77777777" w:rsidR="00985B87" w:rsidRDefault="00944B8F" w:rsidP="00F421D6">
      <w:pPr>
        <w:pStyle w:val="EMEANormal"/>
        <w:numPr>
          <w:ilvl w:val="0"/>
          <w:numId w:val="106"/>
        </w:numPr>
        <w:rPr>
          <w:lang w:val="en-GB"/>
        </w:rPr>
      </w:pPr>
      <w:r>
        <w:rPr>
          <w:lang w:val="en-GB"/>
        </w:rPr>
        <w:t>methotrexate</w:t>
      </w:r>
    </w:p>
    <w:p w14:paraId="71A73A56" w14:textId="77777777" w:rsidR="00985B87" w:rsidRDefault="00944B8F" w:rsidP="00F421D6">
      <w:pPr>
        <w:pStyle w:val="EMEANormal"/>
        <w:numPr>
          <w:ilvl w:val="0"/>
          <w:numId w:val="106"/>
        </w:numPr>
        <w:ind w:left="540" w:hanging="180"/>
        <w:rPr>
          <w:lang w:val="en-GB"/>
        </w:rPr>
      </w:pPr>
      <w:r>
        <w:rPr>
          <w:lang w:val="en-GB"/>
        </w:rPr>
        <w:t>certain disease-modifying anti-rheumatic agents (for example, sulfasalazine, hydroxychloroquine, leflunomide and injectable gold preparations)</w:t>
      </w:r>
    </w:p>
    <w:p w14:paraId="3775D66D" w14:textId="77777777" w:rsidR="00985B87" w:rsidRDefault="00944B8F" w:rsidP="00F421D6">
      <w:pPr>
        <w:pStyle w:val="EMEANormal"/>
        <w:numPr>
          <w:ilvl w:val="0"/>
          <w:numId w:val="106"/>
        </w:numPr>
        <w:rPr>
          <w:lang w:val="en-GB"/>
        </w:rPr>
      </w:pPr>
      <w:r>
        <w:rPr>
          <w:lang w:val="en-GB"/>
        </w:rPr>
        <w:t>steroids or pain medications including non-steroidal anti-inflammatory drugs (NSAIDs).</w:t>
      </w:r>
    </w:p>
    <w:p w14:paraId="3EAFDDB4" w14:textId="77777777" w:rsidR="00985B87" w:rsidRDefault="00985B87" w:rsidP="00985B87">
      <w:pPr>
        <w:pStyle w:val="EMEANormal"/>
        <w:rPr>
          <w:lang w:val="en-GB"/>
        </w:rPr>
      </w:pPr>
    </w:p>
    <w:p w14:paraId="7BD90E84" w14:textId="77777777" w:rsidR="00985B87" w:rsidRDefault="00944B8F" w:rsidP="00985B87">
      <w:pPr>
        <w:pStyle w:val="EMEANormal"/>
        <w:tabs>
          <w:tab w:val="left" w:pos="0"/>
        </w:tabs>
        <w:rPr>
          <w:lang w:val="en-GB"/>
        </w:rPr>
      </w:pPr>
      <w:r>
        <w:rPr>
          <w:lang w:val="en-GB"/>
        </w:rPr>
        <w:t>If you have questions, please ask your doctor.</w:t>
      </w:r>
    </w:p>
    <w:p w14:paraId="510ECCC5" w14:textId="77777777" w:rsidR="00985B87" w:rsidRPr="00C6283C" w:rsidRDefault="00985B87" w:rsidP="00985B87">
      <w:pPr>
        <w:pStyle w:val="EMEANormal"/>
        <w:rPr>
          <w:bCs/>
          <w:lang w:val="en-GB"/>
        </w:rPr>
      </w:pPr>
    </w:p>
    <w:p w14:paraId="3FD29448" w14:textId="77777777" w:rsidR="00985B87" w:rsidRPr="00C6283C" w:rsidRDefault="00944B8F" w:rsidP="00985B87">
      <w:pPr>
        <w:pStyle w:val="EMEAHeadingLeaflet"/>
        <w:spacing w:beforeLines="0" w:afterLines="0"/>
        <w:rPr>
          <w:rFonts w:ascii="Times New Roman" w:hAnsi="Times New Roman"/>
          <w:b w:val="0"/>
          <w:lang w:val="en-GB"/>
        </w:rPr>
      </w:pPr>
      <w:r>
        <w:rPr>
          <w:rFonts w:ascii="Times New Roman" w:hAnsi="Times New Roman"/>
          <w:lang w:val="en-GB"/>
        </w:rPr>
        <w:t>Pregnancy and breast-feeding</w:t>
      </w:r>
    </w:p>
    <w:p w14:paraId="0C8F6B85" w14:textId="77777777" w:rsidR="00985B87" w:rsidRDefault="00985B87" w:rsidP="00985B87">
      <w:pPr>
        <w:pStyle w:val="EMEANormal"/>
        <w:rPr>
          <w:lang w:val="en-GB"/>
        </w:rPr>
      </w:pPr>
    </w:p>
    <w:p w14:paraId="751C8D3A" w14:textId="77777777" w:rsidR="00985B87" w:rsidRDefault="00944B8F" w:rsidP="00F421D6">
      <w:pPr>
        <w:pStyle w:val="ListParagraph"/>
        <w:numPr>
          <w:ilvl w:val="0"/>
          <w:numId w:val="127"/>
        </w:numPr>
        <w:tabs>
          <w:tab w:val="clear" w:pos="562"/>
        </w:tabs>
        <w:suppressAutoHyphens w:val="0"/>
        <w:autoSpaceDE w:val="0"/>
        <w:autoSpaceDN w:val="0"/>
        <w:adjustRightInd w:val="0"/>
        <w:spacing w:after="200"/>
        <w:ind w:left="714" w:right="-2" w:hanging="357"/>
        <w:contextualSpacing/>
      </w:pPr>
      <w:r w:rsidRPr="001D3131">
        <w:t xml:space="preserve">Your child </w:t>
      </w:r>
      <w:r w:rsidR="001D3131">
        <w:t>should consider the</w:t>
      </w:r>
      <w:r w:rsidRPr="001D3131">
        <w:t xml:space="preserve"> use </w:t>
      </w:r>
      <w:r w:rsidR="00B408D4">
        <w:t xml:space="preserve">of </w:t>
      </w:r>
      <w:r w:rsidRPr="001D3131">
        <w:t xml:space="preserve">adequate contraception </w:t>
      </w:r>
      <w:r w:rsidR="001D3131">
        <w:t>to prevent pregnancy</w:t>
      </w:r>
      <w:r w:rsidRPr="001D3131">
        <w:t xml:space="preserve"> and </w:t>
      </w:r>
      <w:r w:rsidR="001D3131">
        <w:t xml:space="preserve">continue its use </w:t>
      </w:r>
      <w:r w:rsidRPr="001D3131">
        <w:t>for at least 5 months after the last Humira treatment.</w:t>
      </w:r>
    </w:p>
    <w:p w14:paraId="6362E7F3" w14:textId="77777777" w:rsidR="001D3131" w:rsidRPr="002B56F0" w:rsidRDefault="00944B8F" w:rsidP="00F421D6">
      <w:pPr>
        <w:pStyle w:val="ListParagraph"/>
        <w:numPr>
          <w:ilvl w:val="0"/>
          <w:numId w:val="127"/>
        </w:numPr>
        <w:tabs>
          <w:tab w:val="clear" w:pos="562"/>
        </w:tabs>
        <w:suppressAutoHyphens w:val="0"/>
        <w:autoSpaceDE w:val="0"/>
        <w:autoSpaceDN w:val="0"/>
        <w:adjustRightInd w:val="0"/>
        <w:spacing w:after="200"/>
        <w:ind w:left="714" w:right="-2" w:hanging="357"/>
        <w:contextualSpacing/>
      </w:pPr>
      <w:r w:rsidRPr="002B56F0">
        <w:t>If your child is pregnant, thinks she may be pregnant or is planning to have a baby, ask her doctor for advice about taking this medicine.</w:t>
      </w:r>
    </w:p>
    <w:p w14:paraId="6469351C" w14:textId="77777777" w:rsidR="001D3131" w:rsidRPr="002B56F0" w:rsidRDefault="00944B8F" w:rsidP="00F421D6">
      <w:pPr>
        <w:pStyle w:val="ListParagraph"/>
        <w:numPr>
          <w:ilvl w:val="0"/>
          <w:numId w:val="127"/>
        </w:numPr>
        <w:tabs>
          <w:tab w:val="clear" w:pos="562"/>
        </w:tabs>
        <w:suppressAutoHyphens w:val="0"/>
        <w:autoSpaceDE w:val="0"/>
        <w:autoSpaceDN w:val="0"/>
        <w:adjustRightInd w:val="0"/>
        <w:spacing w:after="200"/>
        <w:ind w:left="714" w:right="-2" w:hanging="357"/>
        <w:contextualSpacing/>
      </w:pPr>
      <w:r w:rsidRPr="002B56F0">
        <w:t>Humira should only be used during a pregnancy if needed.</w:t>
      </w:r>
    </w:p>
    <w:p w14:paraId="3327593A" w14:textId="77777777" w:rsidR="001D3131" w:rsidRDefault="00944B8F" w:rsidP="00F421D6">
      <w:pPr>
        <w:pStyle w:val="ListParagraph"/>
        <w:numPr>
          <w:ilvl w:val="0"/>
          <w:numId w:val="127"/>
        </w:numPr>
        <w:tabs>
          <w:tab w:val="clear" w:pos="562"/>
        </w:tabs>
        <w:suppressAutoHyphens w:val="0"/>
        <w:autoSpaceDE w:val="0"/>
        <w:autoSpaceDN w:val="0"/>
        <w:adjustRightInd w:val="0"/>
        <w:spacing w:after="200"/>
        <w:ind w:left="714" w:right="-2" w:hanging="357"/>
        <w:contextualSpacing/>
        <w:rPr>
          <w:rFonts w:eastAsia="TimesNewRomanPS-BoldMT" w:cs="Calibri"/>
        </w:rPr>
      </w:pPr>
      <w:r w:rsidRPr="002B56F0">
        <w:t>According to a pregnancy study, there was no higher risk of birth defects when the mother had received Humira during pregnancy compared</w:t>
      </w:r>
      <w:r w:rsidRPr="00CC65DC">
        <w:rPr>
          <w:rFonts w:eastAsia="TimesNewRomanPS-BoldMT" w:cs="Calibri"/>
        </w:rPr>
        <w:t xml:space="preserve"> with mothers with the same disease who did not receive Humira.</w:t>
      </w:r>
    </w:p>
    <w:p w14:paraId="0796C8AF" w14:textId="77777777" w:rsidR="00993490" w:rsidRDefault="00944B8F" w:rsidP="00F421D6">
      <w:pPr>
        <w:pStyle w:val="ListParagraph"/>
        <w:numPr>
          <w:ilvl w:val="0"/>
          <w:numId w:val="127"/>
        </w:numPr>
        <w:tabs>
          <w:tab w:val="clear" w:pos="562"/>
        </w:tabs>
        <w:suppressAutoHyphens w:val="0"/>
        <w:autoSpaceDE w:val="0"/>
        <w:autoSpaceDN w:val="0"/>
        <w:adjustRightInd w:val="0"/>
        <w:spacing w:after="200"/>
        <w:ind w:left="714" w:right="-2" w:hanging="357"/>
        <w:contextualSpacing/>
        <w:rPr>
          <w:rFonts w:eastAsia="TimesNewRomanPS-BoldMT" w:cs="Calibri"/>
        </w:rPr>
      </w:pPr>
      <w:r>
        <w:rPr>
          <w:rFonts w:eastAsia="TimesNewRomanPS-BoldMT" w:cs="Calibri"/>
        </w:rPr>
        <w:t>Humira can be used during breast</w:t>
      </w:r>
      <w:r w:rsidR="008B6BDD">
        <w:rPr>
          <w:rFonts w:eastAsia="TimesNewRomanPS-BoldMT" w:cs="Calibri"/>
        </w:rPr>
        <w:t>-</w:t>
      </w:r>
      <w:r>
        <w:rPr>
          <w:rFonts w:eastAsia="TimesNewRomanPS-BoldMT" w:cs="Calibri"/>
        </w:rPr>
        <w:t>feeding.</w:t>
      </w:r>
    </w:p>
    <w:p w14:paraId="3E9DA768" w14:textId="77777777" w:rsidR="00993490" w:rsidRDefault="00944B8F" w:rsidP="00F421D6">
      <w:pPr>
        <w:pStyle w:val="ListParagraph"/>
        <w:numPr>
          <w:ilvl w:val="0"/>
          <w:numId w:val="127"/>
        </w:numPr>
        <w:tabs>
          <w:tab w:val="clear" w:pos="562"/>
        </w:tabs>
        <w:suppressAutoHyphens w:val="0"/>
        <w:autoSpaceDE w:val="0"/>
        <w:autoSpaceDN w:val="0"/>
        <w:adjustRightInd w:val="0"/>
        <w:spacing w:after="200"/>
        <w:ind w:left="714" w:right="-2" w:hanging="357"/>
        <w:contextualSpacing/>
        <w:rPr>
          <w:rFonts w:eastAsia="TimesNewRomanPS-BoldMT" w:cs="Calibri"/>
        </w:rPr>
      </w:pPr>
      <w:r>
        <w:rPr>
          <w:rFonts w:eastAsia="TimesNewRomanPS-BoldMT" w:cs="Calibri"/>
        </w:rPr>
        <w:t>If your child receive</w:t>
      </w:r>
      <w:r w:rsidR="00577C77">
        <w:rPr>
          <w:rFonts w:eastAsia="TimesNewRomanPS-BoldMT" w:cs="Calibri"/>
        </w:rPr>
        <w:t>d</w:t>
      </w:r>
      <w:r>
        <w:rPr>
          <w:rFonts w:eastAsia="TimesNewRomanPS-BoldMT" w:cs="Calibri"/>
        </w:rPr>
        <w:t xml:space="preserve"> Humira during her pregnancy, her baby may have a higher risk for getting an infection.</w:t>
      </w:r>
    </w:p>
    <w:p w14:paraId="412C25B6" w14:textId="77777777" w:rsidR="00993490" w:rsidRDefault="00944B8F" w:rsidP="00816607">
      <w:pPr>
        <w:pStyle w:val="ListParagraph"/>
        <w:numPr>
          <w:ilvl w:val="0"/>
          <w:numId w:val="127"/>
        </w:numPr>
        <w:tabs>
          <w:tab w:val="clear" w:pos="562"/>
        </w:tabs>
        <w:suppressAutoHyphens w:val="0"/>
        <w:autoSpaceDE w:val="0"/>
        <w:autoSpaceDN w:val="0"/>
        <w:adjustRightInd w:val="0"/>
        <w:ind w:left="714" w:right="-2" w:hanging="357"/>
        <w:contextualSpacing/>
        <w:rPr>
          <w:rFonts w:eastAsia="TimesNewRomanPS-BoldMT" w:cs="Calibri"/>
        </w:rPr>
      </w:pPr>
      <w:r>
        <w:rPr>
          <w:rFonts w:eastAsia="TimesNewRomanPS-BoldMT" w:cs="Calibri"/>
        </w:rPr>
        <w:t>It is important that you tell her baby’s doctor and other health care professionals about her Humira use during her pregnancy before the baby receives any vaccine. For more information on vaccines see the “Warnings and precautions” section.</w:t>
      </w:r>
    </w:p>
    <w:p w14:paraId="55AF844B" w14:textId="77777777" w:rsidR="00816607" w:rsidRDefault="00816607" w:rsidP="00816607">
      <w:pPr>
        <w:pStyle w:val="ListParagraph"/>
        <w:tabs>
          <w:tab w:val="clear" w:pos="562"/>
        </w:tabs>
        <w:suppressAutoHyphens w:val="0"/>
        <w:autoSpaceDE w:val="0"/>
        <w:autoSpaceDN w:val="0"/>
        <w:adjustRightInd w:val="0"/>
        <w:ind w:left="714" w:right="-2"/>
        <w:contextualSpacing/>
        <w:rPr>
          <w:rFonts w:eastAsia="TimesNewRomanPS-BoldMT" w:cs="Calibri"/>
        </w:rPr>
      </w:pPr>
    </w:p>
    <w:p w14:paraId="49730E88" w14:textId="77777777" w:rsidR="00985B87" w:rsidRDefault="00944B8F" w:rsidP="00985B87">
      <w:pPr>
        <w:pStyle w:val="Heading5"/>
        <w:keepNext w:val="0"/>
        <w:rPr>
          <w:rFonts w:ascii="Times New Roman" w:hAnsi="Times New Roman"/>
          <w:bCs w:val="0"/>
          <w:i w:val="0"/>
          <w:sz w:val="22"/>
          <w:szCs w:val="22"/>
        </w:rPr>
      </w:pPr>
      <w:r>
        <w:rPr>
          <w:rFonts w:ascii="Times New Roman" w:hAnsi="Times New Roman"/>
          <w:bCs w:val="0"/>
          <w:i w:val="0"/>
          <w:sz w:val="22"/>
          <w:szCs w:val="22"/>
        </w:rPr>
        <w:t>Driving and using machines</w:t>
      </w:r>
    </w:p>
    <w:p w14:paraId="5E0156B7" w14:textId="77777777" w:rsidR="00985B87" w:rsidRDefault="00985B87" w:rsidP="00985B87"/>
    <w:p w14:paraId="0F5CE8C9" w14:textId="25745F36" w:rsidR="00804924" w:rsidRDefault="00944B8F" w:rsidP="00804924">
      <w:pPr>
        <w:numPr>
          <w:ilvl w:val="12"/>
          <w:numId w:val="0"/>
        </w:numPr>
        <w:tabs>
          <w:tab w:val="clear" w:pos="562"/>
        </w:tabs>
        <w:ind w:right="-2"/>
        <w:rPr>
          <w:ins w:id="9644" w:author="AbbVie19" w:date="2025-04-16T12:20:00Z"/>
          <w:b/>
          <w:bCs/>
          <w:szCs w:val="22"/>
        </w:rPr>
      </w:pPr>
      <w:r>
        <w:t>Humira may have a small effect on your child’s ability to drive, cycle or use machines. Room spinning sensation and vision disturbances may occur after taking Humira.</w:t>
      </w:r>
    </w:p>
    <w:p w14:paraId="7A5B25CE" w14:textId="77777777" w:rsidR="00804924" w:rsidRDefault="00804924" w:rsidP="00804924">
      <w:pPr>
        <w:numPr>
          <w:ilvl w:val="12"/>
          <w:numId w:val="0"/>
        </w:numPr>
        <w:tabs>
          <w:tab w:val="clear" w:pos="562"/>
        </w:tabs>
        <w:ind w:right="-2"/>
        <w:rPr>
          <w:ins w:id="9645" w:author="AbbVie15" w:date="2025-08-27T10:27:00Z"/>
          <w:b/>
          <w:bCs/>
          <w:szCs w:val="22"/>
        </w:rPr>
      </w:pPr>
    </w:p>
    <w:p w14:paraId="5012E4C1" w14:textId="42C31710" w:rsidR="00E416F1" w:rsidRDefault="00944B8F" w:rsidP="00804924">
      <w:pPr>
        <w:numPr>
          <w:ilvl w:val="12"/>
          <w:numId w:val="0"/>
        </w:numPr>
        <w:tabs>
          <w:tab w:val="clear" w:pos="562"/>
        </w:tabs>
        <w:ind w:right="-2"/>
        <w:rPr>
          <w:ins w:id="9646" w:author="AbbVie15" w:date="2025-08-27T10:27:00Z"/>
          <w:b/>
          <w:bCs/>
          <w:szCs w:val="22"/>
        </w:rPr>
      </w:pPr>
      <w:ins w:id="9647" w:author="AbbVie15" w:date="2025-08-27T10:27:00Z">
        <w:r>
          <w:rPr>
            <w:b/>
            <w:bCs/>
            <w:szCs w:val="22"/>
          </w:rPr>
          <w:t xml:space="preserve">Humira </w:t>
        </w:r>
        <w:r w:rsidRPr="00B364D7">
          <w:rPr>
            <w:b/>
            <w:bCs/>
            <w:szCs w:val="22"/>
          </w:rPr>
          <w:t>contains polysorbate</w:t>
        </w:r>
      </w:ins>
    </w:p>
    <w:p w14:paraId="4A9F6812" w14:textId="77777777" w:rsidR="00E416F1" w:rsidRPr="00B364D7" w:rsidRDefault="00E416F1" w:rsidP="00804924">
      <w:pPr>
        <w:numPr>
          <w:ilvl w:val="12"/>
          <w:numId w:val="0"/>
        </w:numPr>
        <w:tabs>
          <w:tab w:val="clear" w:pos="562"/>
        </w:tabs>
        <w:ind w:right="-2"/>
        <w:rPr>
          <w:ins w:id="9648" w:author="AbbVie19" w:date="2025-04-16T12:19:00Z"/>
          <w:b/>
          <w:bCs/>
          <w:szCs w:val="22"/>
        </w:rPr>
      </w:pPr>
    </w:p>
    <w:p w14:paraId="15C65849" w14:textId="77777777" w:rsidR="00804924" w:rsidRPr="00B364D7" w:rsidRDefault="00944B8F" w:rsidP="00804924">
      <w:pPr>
        <w:tabs>
          <w:tab w:val="clear" w:pos="562"/>
        </w:tabs>
        <w:ind w:right="-2"/>
        <w:rPr>
          <w:ins w:id="9649" w:author="AbbVie19" w:date="2025-04-16T12:19:00Z"/>
        </w:rPr>
      </w:pPr>
      <w:ins w:id="9650" w:author="AbbVie19" w:date="2025-04-16T12:19:00Z">
        <w:r w:rsidRPr="00B364D7">
          <w:t>This medicine contains</w:t>
        </w:r>
      </w:ins>
      <w:ins w:id="9651" w:author="AbbVie19" w:date="2025-05-06T09:12:00Z">
        <w:r w:rsidR="00452C41">
          <w:t xml:space="preserve"> 0.2</w:t>
        </w:r>
      </w:ins>
      <w:ins w:id="9652" w:author="AbbVie19" w:date="2025-04-16T12:19:00Z">
        <w:r w:rsidRPr="00B364D7">
          <w:rPr>
            <w:szCs w:val="22"/>
          </w:rPr>
          <w:t> </w:t>
        </w:r>
        <w:r w:rsidRPr="00B364D7">
          <w:t>mg of polysorbate </w:t>
        </w:r>
        <w:r>
          <w:t>8</w:t>
        </w:r>
        <w:r w:rsidRPr="00B364D7">
          <w:t xml:space="preserve">0 in each </w:t>
        </w:r>
      </w:ins>
      <w:ins w:id="9653" w:author="AbbVie19" w:date="2025-04-17T11:04:00Z">
        <w:r w:rsidR="00145827">
          <w:t>20</w:t>
        </w:r>
      </w:ins>
      <w:ins w:id="9654" w:author="AbbVie33" w:date="2025-05-02T12:15:00Z">
        <w:r w:rsidR="000B7DC1" w:rsidRPr="00B364D7">
          <w:rPr>
            <w:szCs w:val="22"/>
          </w:rPr>
          <w:t> </w:t>
        </w:r>
      </w:ins>
      <w:ins w:id="9655" w:author="AbbVie19" w:date="2025-04-17T11:04:00Z">
        <w:r w:rsidR="00145827">
          <w:t>mg dose</w:t>
        </w:r>
      </w:ins>
      <w:ins w:id="9656" w:author="AbbVie19" w:date="2025-04-16T12:19:00Z">
        <w:r w:rsidRPr="00B364D7">
          <w:t>. Polysorbates may cause allergic reactions. Tell your doctor if you</w:t>
        </w:r>
      </w:ins>
      <w:ins w:id="9657" w:author="AbbVie19" w:date="2025-04-16T12:20:00Z">
        <w:r>
          <w:t>r child</w:t>
        </w:r>
      </w:ins>
      <w:ins w:id="9658" w:author="AbbVie19" w:date="2025-04-16T12:19:00Z">
        <w:r w:rsidRPr="00B364D7">
          <w:t xml:space="preserve"> ha</w:t>
        </w:r>
      </w:ins>
      <w:ins w:id="9659" w:author="AbbVie19" w:date="2025-04-16T12:20:00Z">
        <w:r>
          <w:t>s</w:t>
        </w:r>
      </w:ins>
      <w:ins w:id="9660" w:author="AbbVie19" w:date="2025-04-16T12:19:00Z">
        <w:r w:rsidRPr="00B364D7">
          <w:t xml:space="preserve"> any known allergies.</w:t>
        </w:r>
      </w:ins>
    </w:p>
    <w:p w14:paraId="75359327" w14:textId="77777777" w:rsidR="00985B87" w:rsidRDefault="00985B87" w:rsidP="00985B87"/>
    <w:p w14:paraId="235B2692" w14:textId="77777777" w:rsidR="00985B87" w:rsidRDefault="00985B87" w:rsidP="00985B87"/>
    <w:p w14:paraId="7AE37BFD" w14:textId="77777777" w:rsidR="00985B87" w:rsidRDefault="00944B8F" w:rsidP="00985B87">
      <w:pPr>
        <w:pStyle w:val="EMEAHeading1"/>
        <w:spacing w:beforeLines="0" w:afterLines="0"/>
        <w:rPr>
          <w:caps w:val="0"/>
          <w:lang w:val="en-GB"/>
        </w:rPr>
      </w:pPr>
      <w:r>
        <w:rPr>
          <w:rFonts w:ascii="Times New Roman" w:hAnsi="Times New Roman"/>
          <w:lang w:val="en-GB"/>
        </w:rPr>
        <w:t>3.</w:t>
      </w:r>
      <w:r>
        <w:rPr>
          <w:rFonts w:ascii="Times New Roman" w:hAnsi="Times New Roman"/>
          <w:lang w:val="en-GB"/>
        </w:rPr>
        <w:tab/>
      </w:r>
      <w:r>
        <w:rPr>
          <w:caps w:val="0"/>
          <w:lang w:val="en-GB"/>
        </w:rPr>
        <w:t>How to use Humira</w:t>
      </w:r>
    </w:p>
    <w:p w14:paraId="041887A8" w14:textId="77777777" w:rsidR="00985B87" w:rsidRDefault="00985B87" w:rsidP="00985B87">
      <w:pPr>
        <w:numPr>
          <w:ilvl w:val="12"/>
          <w:numId w:val="0"/>
        </w:numPr>
        <w:tabs>
          <w:tab w:val="clear" w:pos="562"/>
          <w:tab w:val="left" w:pos="720"/>
        </w:tabs>
        <w:ind w:right="-2"/>
      </w:pPr>
    </w:p>
    <w:p w14:paraId="3C18FD7E" w14:textId="77777777" w:rsidR="00985B87" w:rsidRDefault="00944B8F" w:rsidP="00985B87">
      <w:pPr>
        <w:numPr>
          <w:ilvl w:val="12"/>
          <w:numId w:val="0"/>
        </w:numPr>
        <w:tabs>
          <w:tab w:val="clear" w:pos="562"/>
          <w:tab w:val="left" w:pos="720"/>
        </w:tabs>
        <w:ind w:right="-2"/>
      </w:pPr>
      <w:r>
        <w:t xml:space="preserve">Always use this medicine exactly as your doctor or pharmacist has told you. Check with your doctor or pharmacist if you are not sure. </w:t>
      </w:r>
    </w:p>
    <w:p w14:paraId="25C18CDD" w14:textId="77777777" w:rsidR="00985B87" w:rsidRDefault="00985B87" w:rsidP="00985B87">
      <w:pPr>
        <w:numPr>
          <w:ilvl w:val="12"/>
          <w:numId w:val="0"/>
        </w:numPr>
        <w:tabs>
          <w:tab w:val="clear" w:pos="562"/>
          <w:tab w:val="left" w:pos="720"/>
        </w:tabs>
        <w:ind w:right="-2"/>
      </w:pPr>
    </w:p>
    <w:p w14:paraId="0D45B5B5" w14:textId="77777777" w:rsidR="00985B87" w:rsidRDefault="00944B8F" w:rsidP="00985B87">
      <w:pPr>
        <w:numPr>
          <w:ilvl w:val="12"/>
          <w:numId w:val="0"/>
        </w:numPr>
        <w:tabs>
          <w:tab w:val="clear" w:pos="562"/>
          <w:tab w:val="left" w:pos="720"/>
        </w:tabs>
        <w:ind w:right="-2"/>
      </w:pPr>
      <w:r>
        <w:t>The recommended doses for Humira in each of the approved uses are shown in the following table. Your doctor may prescribe another strength of Humira if your child needs a different dose.</w:t>
      </w:r>
    </w:p>
    <w:p w14:paraId="465895CE" w14:textId="77777777" w:rsidR="00985B87" w:rsidRDefault="00985B87" w:rsidP="00985B87">
      <w:pPr>
        <w:numPr>
          <w:ilvl w:val="12"/>
          <w:numId w:val="0"/>
        </w:numPr>
        <w:tabs>
          <w:tab w:val="clear" w:pos="562"/>
          <w:tab w:val="left" w:pos="720"/>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419C2DE7" w14:textId="77777777" w:rsidTr="00701CAA">
        <w:tc>
          <w:tcPr>
            <w:tcW w:w="9287" w:type="dxa"/>
            <w:gridSpan w:val="3"/>
            <w:tcBorders>
              <w:top w:val="single" w:sz="4" w:space="0" w:color="auto"/>
              <w:left w:val="single" w:sz="4" w:space="0" w:color="auto"/>
              <w:bottom w:val="single" w:sz="4" w:space="0" w:color="auto"/>
              <w:right w:val="single" w:sz="4" w:space="0" w:color="auto"/>
            </w:tcBorders>
            <w:hideMark/>
          </w:tcPr>
          <w:p w14:paraId="4F77CA64" w14:textId="77777777" w:rsidR="00985B87" w:rsidRDefault="00944B8F" w:rsidP="00701CAA">
            <w:pPr>
              <w:numPr>
                <w:ilvl w:val="12"/>
                <w:numId w:val="0"/>
              </w:numPr>
              <w:tabs>
                <w:tab w:val="clear" w:pos="562"/>
                <w:tab w:val="left" w:pos="720"/>
              </w:tabs>
              <w:ind w:right="-2"/>
            </w:pPr>
            <w:r>
              <w:rPr>
                <w:b/>
              </w:rPr>
              <w:t>Polyarticular juvenile idiopathic arthritis</w:t>
            </w:r>
          </w:p>
        </w:tc>
      </w:tr>
      <w:tr w:rsidR="00C6578C" w14:paraId="22443541" w14:textId="77777777" w:rsidTr="00701CAA">
        <w:tc>
          <w:tcPr>
            <w:tcW w:w="3095" w:type="dxa"/>
            <w:tcBorders>
              <w:top w:val="single" w:sz="4" w:space="0" w:color="auto"/>
              <w:left w:val="single" w:sz="4" w:space="0" w:color="auto"/>
              <w:bottom w:val="single" w:sz="4" w:space="0" w:color="auto"/>
              <w:right w:val="single" w:sz="4" w:space="0" w:color="auto"/>
            </w:tcBorders>
            <w:hideMark/>
          </w:tcPr>
          <w:p w14:paraId="1F99CD03" w14:textId="77777777" w:rsidR="00985B87" w:rsidRDefault="00944B8F" w:rsidP="00701CAA">
            <w:pPr>
              <w:numPr>
                <w:ilvl w:val="12"/>
                <w:numId w:val="0"/>
              </w:numPr>
              <w:tabs>
                <w:tab w:val="clear" w:pos="562"/>
                <w:tab w:val="left" w:pos="720"/>
              </w:tabs>
              <w:ind w:right="-2"/>
            </w:pPr>
            <w:r>
              <w:rPr>
                <w:b/>
              </w:rPr>
              <w:t>Age or body weight</w:t>
            </w:r>
          </w:p>
        </w:tc>
        <w:tc>
          <w:tcPr>
            <w:tcW w:w="3096" w:type="dxa"/>
            <w:tcBorders>
              <w:top w:val="single" w:sz="4" w:space="0" w:color="auto"/>
              <w:left w:val="single" w:sz="4" w:space="0" w:color="auto"/>
              <w:bottom w:val="single" w:sz="4" w:space="0" w:color="auto"/>
              <w:right w:val="single" w:sz="4" w:space="0" w:color="auto"/>
            </w:tcBorders>
            <w:hideMark/>
          </w:tcPr>
          <w:p w14:paraId="6A5ABA9D" w14:textId="77777777" w:rsidR="00985B87" w:rsidRDefault="00944B8F" w:rsidP="00701CAA">
            <w:pPr>
              <w:numPr>
                <w:ilvl w:val="12"/>
                <w:numId w:val="0"/>
              </w:numPr>
              <w:tabs>
                <w:tab w:val="clear" w:pos="562"/>
                <w:tab w:val="left" w:pos="720"/>
              </w:tabs>
              <w:ind w:right="-2"/>
            </w:pPr>
            <w:r>
              <w:rPr>
                <w:b/>
              </w:rPr>
              <w:t>How much and how often to take?</w:t>
            </w:r>
          </w:p>
        </w:tc>
        <w:tc>
          <w:tcPr>
            <w:tcW w:w="3096" w:type="dxa"/>
            <w:tcBorders>
              <w:top w:val="single" w:sz="4" w:space="0" w:color="auto"/>
              <w:left w:val="single" w:sz="4" w:space="0" w:color="auto"/>
              <w:bottom w:val="single" w:sz="4" w:space="0" w:color="auto"/>
              <w:right w:val="single" w:sz="4" w:space="0" w:color="auto"/>
            </w:tcBorders>
            <w:hideMark/>
          </w:tcPr>
          <w:p w14:paraId="35B600A9" w14:textId="77777777" w:rsidR="00985B87" w:rsidRDefault="00944B8F" w:rsidP="00701CAA">
            <w:pPr>
              <w:numPr>
                <w:ilvl w:val="12"/>
                <w:numId w:val="0"/>
              </w:numPr>
              <w:tabs>
                <w:tab w:val="clear" w:pos="562"/>
                <w:tab w:val="left" w:pos="720"/>
              </w:tabs>
              <w:ind w:right="-2"/>
            </w:pPr>
            <w:r>
              <w:rPr>
                <w:b/>
              </w:rPr>
              <w:t>Notes</w:t>
            </w:r>
          </w:p>
        </w:tc>
      </w:tr>
      <w:tr w:rsidR="00C6578C" w14:paraId="32EA652A" w14:textId="77777777" w:rsidTr="00701CAA">
        <w:tc>
          <w:tcPr>
            <w:tcW w:w="3095" w:type="dxa"/>
            <w:tcBorders>
              <w:top w:val="single" w:sz="4" w:space="0" w:color="auto"/>
              <w:left w:val="single" w:sz="4" w:space="0" w:color="auto"/>
              <w:bottom w:val="single" w:sz="4" w:space="0" w:color="auto"/>
              <w:right w:val="single" w:sz="4" w:space="0" w:color="auto"/>
            </w:tcBorders>
            <w:hideMark/>
          </w:tcPr>
          <w:p w14:paraId="2DBBBAA2" w14:textId="77777777" w:rsidR="00985B87" w:rsidRDefault="00944B8F" w:rsidP="00701CAA">
            <w:pPr>
              <w:numPr>
                <w:ilvl w:val="12"/>
                <w:numId w:val="0"/>
              </w:numPr>
              <w:tabs>
                <w:tab w:val="clear" w:pos="562"/>
                <w:tab w:val="left" w:pos="720"/>
              </w:tabs>
              <w:ind w:right="-2"/>
            </w:pPr>
            <w:r>
              <w:t>Children, adolescents and adults from 2 years of age weighing 30 kg or more</w:t>
            </w:r>
          </w:p>
        </w:tc>
        <w:tc>
          <w:tcPr>
            <w:tcW w:w="3096" w:type="dxa"/>
            <w:tcBorders>
              <w:top w:val="single" w:sz="4" w:space="0" w:color="auto"/>
              <w:left w:val="single" w:sz="4" w:space="0" w:color="auto"/>
              <w:bottom w:val="single" w:sz="4" w:space="0" w:color="auto"/>
              <w:right w:val="single" w:sz="4" w:space="0" w:color="auto"/>
            </w:tcBorders>
            <w:hideMark/>
          </w:tcPr>
          <w:p w14:paraId="15F39F49" w14:textId="77777777" w:rsidR="00985B87" w:rsidRDefault="00944B8F" w:rsidP="00701CAA">
            <w:pPr>
              <w:numPr>
                <w:ilvl w:val="12"/>
                <w:numId w:val="0"/>
              </w:numPr>
              <w:tabs>
                <w:tab w:val="clear" w:pos="562"/>
                <w:tab w:val="left" w:pos="720"/>
              </w:tabs>
              <w:ind w:right="-2"/>
            </w:pPr>
            <w:r>
              <w:t>40 mg every other week</w:t>
            </w:r>
          </w:p>
        </w:tc>
        <w:tc>
          <w:tcPr>
            <w:tcW w:w="3096" w:type="dxa"/>
            <w:tcBorders>
              <w:top w:val="single" w:sz="4" w:space="0" w:color="auto"/>
              <w:left w:val="single" w:sz="4" w:space="0" w:color="auto"/>
              <w:bottom w:val="single" w:sz="4" w:space="0" w:color="auto"/>
              <w:right w:val="single" w:sz="4" w:space="0" w:color="auto"/>
            </w:tcBorders>
          </w:tcPr>
          <w:p w14:paraId="3E328378" w14:textId="77777777" w:rsidR="00985B87" w:rsidRDefault="00944B8F" w:rsidP="00701CAA">
            <w:pPr>
              <w:numPr>
                <w:ilvl w:val="12"/>
                <w:numId w:val="0"/>
              </w:numPr>
              <w:tabs>
                <w:tab w:val="clear" w:pos="562"/>
                <w:tab w:val="left" w:pos="720"/>
              </w:tabs>
              <w:ind w:right="-2"/>
            </w:pPr>
            <w:r>
              <w:t>Not applicable</w:t>
            </w:r>
          </w:p>
        </w:tc>
      </w:tr>
      <w:tr w:rsidR="00C6578C" w14:paraId="2DC5E387" w14:textId="77777777" w:rsidTr="00701CAA">
        <w:tc>
          <w:tcPr>
            <w:tcW w:w="3095" w:type="dxa"/>
            <w:tcBorders>
              <w:top w:val="single" w:sz="4" w:space="0" w:color="auto"/>
              <w:left w:val="single" w:sz="4" w:space="0" w:color="auto"/>
              <w:bottom w:val="single" w:sz="4" w:space="0" w:color="auto"/>
              <w:right w:val="single" w:sz="4" w:space="0" w:color="auto"/>
            </w:tcBorders>
            <w:hideMark/>
          </w:tcPr>
          <w:p w14:paraId="6537DC8A" w14:textId="77777777" w:rsidR="00985B87" w:rsidRDefault="00944B8F" w:rsidP="00701CAA">
            <w:pPr>
              <w:numPr>
                <w:ilvl w:val="12"/>
                <w:numId w:val="0"/>
              </w:numPr>
              <w:tabs>
                <w:tab w:val="clear" w:pos="562"/>
                <w:tab w:val="left" w:pos="720"/>
              </w:tabs>
              <w:ind w:right="-2"/>
            </w:pPr>
            <w:r>
              <w:lastRenderedPageBreak/>
              <w:t>Children and adolescents from 2 years of age weighing 10 kg to less than 30 kg</w:t>
            </w:r>
          </w:p>
        </w:tc>
        <w:tc>
          <w:tcPr>
            <w:tcW w:w="3096" w:type="dxa"/>
            <w:tcBorders>
              <w:top w:val="single" w:sz="4" w:space="0" w:color="auto"/>
              <w:left w:val="single" w:sz="4" w:space="0" w:color="auto"/>
              <w:bottom w:val="single" w:sz="4" w:space="0" w:color="auto"/>
              <w:right w:val="single" w:sz="4" w:space="0" w:color="auto"/>
            </w:tcBorders>
            <w:hideMark/>
          </w:tcPr>
          <w:p w14:paraId="2B1483A2" w14:textId="77777777" w:rsidR="00985B87" w:rsidRDefault="00944B8F" w:rsidP="00701CAA">
            <w:pPr>
              <w:numPr>
                <w:ilvl w:val="12"/>
                <w:numId w:val="0"/>
              </w:numPr>
              <w:tabs>
                <w:tab w:val="clear" w:pos="562"/>
                <w:tab w:val="left" w:pos="720"/>
              </w:tabs>
              <w:ind w:right="-2"/>
            </w:pPr>
            <w:r>
              <w:t>20 mg every other week</w:t>
            </w:r>
          </w:p>
        </w:tc>
        <w:tc>
          <w:tcPr>
            <w:tcW w:w="3096" w:type="dxa"/>
            <w:tcBorders>
              <w:top w:val="single" w:sz="4" w:space="0" w:color="auto"/>
              <w:left w:val="single" w:sz="4" w:space="0" w:color="auto"/>
              <w:bottom w:val="single" w:sz="4" w:space="0" w:color="auto"/>
              <w:right w:val="single" w:sz="4" w:space="0" w:color="auto"/>
            </w:tcBorders>
          </w:tcPr>
          <w:p w14:paraId="4D0AAE19" w14:textId="77777777" w:rsidR="00985B87" w:rsidRDefault="00944B8F" w:rsidP="00701CAA">
            <w:pPr>
              <w:numPr>
                <w:ilvl w:val="12"/>
                <w:numId w:val="0"/>
              </w:numPr>
              <w:tabs>
                <w:tab w:val="clear" w:pos="562"/>
                <w:tab w:val="left" w:pos="720"/>
              </w:tabs>
              <w:ind w:right="-2"/>
            </w:pPr>
            <w:r>
              <w:t>Not applicable</w:t>
            </w:r>
          </w:p>
        </w:tc>
      </w:tr>
    </w:tbl>
    <w:p w14:paraId="1BB681D8" w14:textId="77777777" w:rsidR="00985B87" w:rsidRDefault="00985B87" w:rsidP="00985B87">
      <w:pPr>
        <w:numPr>
          <w:ilvl w:val="12"/>
          <w:numId w:val="0"/>
        </w:numPr>
        <w:tabs>
          <w:tab w:val="clear" w:pos="562"/>
          <w:tab w:val="left" w:pos="720"/>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6C30CDF8" w14:textId="77777777" w:rsidTr="00701CAA">
        <w:tc>
          <w:tcPr>
            <w:tcW w:w="9287" w:type="dxa"/>
            <w:gridSpan w:val="3"/>
            <w:tcBorders>
              <w:top w:val="single" w:sz="4" w:space="0" w:color="auto"/>
              <w:left w:val="single" w:sz="4" w:space="0" w:color="auto"/>
              <w:bottom w:val="single" w:sz="4" w:space="0" w:color="auto"/>
              <w:right w:val="single" w:sz="4" w:space="0" w:color="auto"/>
            </w:tcBorders>
            <w:hideMark/>
          </w:tcPr>
          <w:p w14:paraId="43A0001A" w14:textId="77777777" w:rsidR="00985B87" w:rsidRDefault="00944B8F" w:rsidP="00C568D0">
            <w:pPr>
              <w:keepNext/>
              <w:numPr>
                <w:ilvl w:val="12"/>
                <w:numId w:val="0"/>
              </w:numPr>
              <w:tabs>
                <w:tab w:val="clear" w:pos="562"/>
                <w:tab w:val="left" w:pos="720"/>
              </w:tabs>
              <w:ind w:right="-2"/>
              <w:rPr>
                <w:b/>
              </w:rPr>
            </w:pPr>
            <w:r>
              <w:rPr>
                <w:b/>
              </w:rPr>
              <w:t>Enthesitis-related arthritis</w:t>
            </w:r>
          </w:p>
        </w:tc>
      </w:tr>
      <w:tr w:rsidR="00C6578C" w14:paraId="66689066" w14:textId="77777777" w:rsidTr="00701CAA">
        <w:tc>
          <w:tcPr>
            <w:tcW w:w="3095" w:type="dxa"/>
            <w:tcBorders>
              <w:top w:val="single" w:sz="4" w:space="0" w:color="auto"/>
              <w:left w:val="single" w:sz="4" w:space="0" w:color="auto"/>
              <w:bottom w:val="single" w:sz="4" w:space="0" w:color="auto"/>
              <w:right w:val="single" w:sz="4" w:space="0" w:color="auto"/>
            </w:tcBorders>
            <w:hideMark/>
          </w:tcPr>
          <w:p w14:paraId="275A8BD8" w14:textId="77777777" w:rsidR="00985B87" w:rsidRDefault="00944B8F" w:rsidP="00701CAA">
            <w:pPr>
              <w:numPr>
                <w:ilvl w:val="12"/>
                <w:numId w:val="0"/>
              </w:numPr>
              <w:tabs>
                <w:tab w:val="clear" w:pos="562"/>
                <w:tab w:val="left" w:pos="720"/>
              </w:tabs>
              <w:ind w:right="-2"/>
            </w:pPr>
            <w:r>
              <w:rPr>
                <w:b/>
              </w:rPr>
              <w:t>Age or body weight</w:t>
            </w:r>
          </w:p>
        </w:tc>
        <w:tc>
          <w:tcPr>
            <w:tcW w:w="3096" w:type="dxa"/>
            <w:tcBorders>
              <w:top w:val="single" w:sz="4" w:space="0" w:color="auto"/>
              <w:left w:val="single" w:sz="4" w:space="0" w:color="auto"/>
              <w:bottom w:val="single" w:sz="4" w:space="0" w:color="auto"/>
              <w:right w:val="single" w:sz="4" w:space="0" w:color="auto"/>
            </w:tcBorders>
            <w:hideMark/>
          </w:tcPr>
          <w:p w14:paraId="57B3B4E9" w14:textId="77777777" w:rsidR="00985B87" w:rsidRDefault="00944B8F" w:rsidP="00C568D0">
            <w:pPr>
              <w:keepNext/>
              <w:numPr>
                <w:ilvl w:val="12"/>
                <w:numId w:val="0"/>
              </w:numPr>
              <w:tabs>
                <w:tab w:val="clear" w:pos="562"/>
                <w:tab w:val="left" w:pos="720"/>
              </w:tabs>
              <w:ind w:right="-2"/>
            </w:pPr>
            <w:r>
              <w:rPr>
                <w:b/>
              </w:rPr>
              <w:t>How much and how often to take?</w:t>
            </w:r>
          </w:p>
        </w:tc>
        <w:tc>
          <w:tcPr>
            <w:tcW w:w="3096" w:type="dxa"/>
            <w:tcBorders>
              <w:top w:val="single" w:sz="4" w:space="0" w:color="auto"/>
              <w:left w:val="single" w:sz="4" w:space="0" w:color="auto"/>
              <w:bottom w:val="single" w:sz="4" w:space="0" w:color="auto"/>
              <w:right w:val="single" w:sz="4" w:space="0" w:color="auto"/>
            </w:tcBorders>
            <w:hideMark/>
          </w:tcPr>
          <w:p w14:paraId="24302783" w14:textId="77777777" w:rsidR="00985B87" w:rsidRDefault="00944B8F" w:rsidP="00C568D0">
            <w:pPr>
              <w:keepNext/>
              <w:numPr>
                <w:ilvl w:val="12"/>
                <w:numId w:val="0"/>
              </w:numPr>
              <w:tabs>
                <w:tab w:val="clear" w:pos="562"/>
                <w:tab w:val="left" w:pos="720"/>
              </w:tabs>
              <w:ind w:right="-2"/>
            </w:pPr>
            <w:r>
              <w:rPr>
                <w:b/>
              </w:rPr>
              <w:t>Notes</w:t>
            </w:r>
          </w:p>
        </w:tc>
      </w:tr>
      <w:tr w:rsidR="00C6578C" w14:paraId="0EC31A05" w14:textId="77777777" w:rsidTr="00701CAA">
        <w:tc>
          <w:tcPr>
            <w:tcW w:w="3095" w:type="dxa"/>
            <w:tcBorders>
              <w:top w:val="single" w:sz="4" w:space="0" w:color="auto"/>
              <w:left w:val="single" w:sz="4" w:space="0" w:color="auto"/>
              <w:bottom w:val="single" w:sz="4" w:space="0" w:color="auto"/>
              <w:right w:val="single" w:sz="4" w:space="0" w:color="auto"/>
            </w:tcBorders>
            <w:hideMark/>
          </w:tcPr>
          <w:p w14:paraId="547881A7" w14:textId="77777777" w:rsidR="00985B87" w:rsidRDefault="00944B8F" w:rsidP="00701CAA">
            <w:pPr>
              <w:numPr>
                <w:ilvl w:val="12"/>
                <w:numId w:val="0"/>
              </w:numPr>
              <w:tabs>
                <w:tab w:val="clear" w:pos="562"/>
                <w:tab w:val="left" w:pos="720"/>
              </w:tabs>
              <w:ind w:right="-2"/>
            </w:pPr>
            <w:r>
              <w:t>Children, adolescents and adults from 6 years of age weighing 30 kg or more</w:t>
            </w:r>
          </w:p>
        </w:tc>
        <w:tc>
          <w:tcPr>
            <w:tcW w:w="3096" w:type="dxa"/>
            <w:tcBorders>
              <w:top w:val="single" w:sz="4" w:space="0" w:color="auto"/>
              <w:left w:val="single" w:sz="4" w:space="0" w:color="auto"/>
              <w:bottom w:val="single" w:sz="4" w:space="0" w:color="auto"/>
              <w:right w:val="single" w:sz="4" w:space="0" w:color="auto"/>
            </w:tcBorders>
            <w:hideMark/>
          </w:tcPr>
          <w:p w14:paraId="2E12D363" w14:textId="77777777" w:rsidR="00985B87" w:rsidRDefault="00944B8F" w:rsidP="00C568D0">
            <w:pPr>
              <w:keepNext/>
              <w:numPr>
                <w:ilvl w:val="12"/>
                <w:numId w:val="0"/>
              </w:numPr>
              <w:tabs>
                <w:tab w:val="clear" w:pos="562"/>
                <w:tab w:val="left" w:pos="720"/>
              </w:tabs>
              <w:ind w:right="-2"/>
            </w:pPr>
            <w:r>
              <w:t>40 mg every other week</w:t>
            </w:r>
          </w:p>
        </w:tc>
        <w:tc>
          <w:tcPr>
            <w:tcW w:w="3096" w:type="dxa"/>
            <w:tcBorders>
              <w:top w:val="single" w:sz="4" w:space="0" w:color="auto"/>
              <w:left w:val="single" w:sz="4" w:space="0" w:color="auto"/>
              <w:bottom w:val="single" w:sz="4" w:space="0" w:color="auto"/>
              <w:right w:val="single" w:sz="4" w:space="0" w:color="auto"/>
            </w:tcBorders>
          </w:tcPr>
          <w:p w14:paraId="23445023" w14:textId="77777777" w:rsidR="00985B87" w:rsidRDefault="00944B8F" w:rsidP="00C568D0">
            <w:pPr>
              <w:keepNext/>
              <w:numPr>
                <w:ilvl w:val="12"/>
                <w:numId w:val="0"/>
              </w:numPr>
              <w:tabs>
                <w:tab w:val="clear" w:pos="562"/>
                <w:tab w:val="left" w:pos="720"/>
              </w:tabs>
              <w:ind w:right="-2"/>
            </w:pPr>
            <w:r>
              <w:t>Not applicable</w:t>
            </w:r>
          </w:p>
        </w:tc>
      </w:tr>
      <w:tr w:rsidR="00C6578C" w14:paraId="55D936FD" w14:textId="77777777" w:rsidTr="00701CAA">
        <w:tc>
          <w:tcPr>
            <w:tcW w:w="3095" w:type="dxa"/>
            <w:tcBorders>
              <w:top w:val="single" w:sz="4" w:space="0" w:color="auto"/>
              <w:left w:val="single" w:sz="4" w:space="0" w:color="auto"/>
              <w:bottom w:val="single" w:sz="4" w:space="0" w:color="auto"/>
              <w:right w:val="single" w:sz="4" w:space="0" w:color="auto"/>
            </w:tcBorders>
            <w:hideMark/>
          </w:tcPr>
          <w:p w14:paraId="6DC9FA58" w14:textId="77777777" w:rsidR="00985B87" w:rsidRDefault="00944B8F" w:rsidP="00701CAA">
            <w:pPr>
              <w:numPr>
                <w:ilvl w:val="12"/>
                <w:numId w:val="0"/>
              </w:numPr>
              <w:tabs>
                <w:tab w:val="clear" w:pos="562"/>
                <w:tab w:val="left" w:pos="720"/>
              </w:tabs>
              <w:ind w:right="-2"/>
            </w:pPr>
            <w:r>
              <w:t>Children and adolescents from 6 years of age weighing 15 kg to less than 30 kg</w:t>
            </w:r>
          </w:p>
        </w:tc>
        <w:tc>
          <w:tcPr>
            <w:tcW w:w="3096" w:type="dxa"/>
            <w:tcBorders>
              <w:top w:val="single" w:sz="4" w:space="0" w:color="auto"/>
              <w:left w:val="single" w:sz="4" w:space="0" w:color="auto"/>
              <w:bottom w:val="single" w:sz="4" w:space="0" w:color="auto"/>
              <w:right w:val="single" w:sz="4" w:space="0" w:color="auto"/>
            </w:tcBorders>
            <w:hideMark/>
          </w:tcPr>
          <w:p w14:paraId="7895FB93" w14:textId="77777777" w:rsidR="00985B87" w:rsidRDefault="00944B8F" w:rsidP="00C568D0">
            <w:pPr>
              <w:keepNext/>
              <w:numPr>
                <w:ilvl w:val="12"/>
                <w:numId w:val="0"/>
              </w:numPr>
              <w:tabs>
                <w:tab w:val="clear" w:pos="562"/>
                <w:tab w:val="left" w:pos="720"/>
              </w:tabs>
              <w:ind w:right="-2"/>
            </w:pPr>
            <w:r>
              <w:t>20 mg every other week</w:t>
            </w:r>
          </w:p>
        </w:tc>
        <w:tc>
          <w:tcPr>
            <w:tcW w:w="3096" w:type="dxa"/>
            <w:tcBorders>
              <w:top w:val="single" w:sz="4" w:space="0" w:color="auto"/>
              <w:left w:val="single" w:sz="4" w:space="0" w:color="auto"/>
              <w:bottom w:val="single" w:sz="4" w:space="0" w:color="auto"/>
              <w:right w:val="single" w:sz="4" w:space="0" w:color="auto"/>
            </w:tcBorders>
          </w:tcPr>
          <w:p w14:paraId="2CE12F1D" w14:textId="77777777" w:rsidR="00985B87" w:rsidRDefault="00944B8F" w:rsidP="00C568D0">
            <w:pPr>
              <w:keepNext/>
              <w:numPr>
                <w:ilvl w:val="12"/>
                <w:numId w:val="0"/>
              </w:numPr>
              <w:tabs>
                <w:tab w:val="clear" w:pos="562"/>
                <w:tab w:val="left" w:pos="720"/>
              </w:tabs>
              <w:ind w:right="-2"/>
            </w:pPr>
            <w:r>
              <w:t>Not applicable</w:t>
            </w:r>
          </w:p>
        </w:tc>
      </w:tr>
    </w:tbl>
    <w:p w14:paraId="091F5E62" w14:textId="77777777" w:rsidR="00985B87" w:rsidRDefault="00985B87" w:rsidP="00985B87">
      <w:pPr>
        <w:numPr>
          <w:ilvl w:val="12"/>
          <w:numId w:val="0"/>
        </w:numPr>
        <w:tabs>
          <w:tab w:val="clear" w:pos="562"/>
          <w:tab w:val="left" w:pos="720"/>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76826F8A" w14:textId="77777777" w:rsidTr="00701CAA">
        <w:tc>
          <w:tcPr>
            <w:tcW w:w="9287" w:type="dxa"/>
            <w:gridSpan w:val="3"/>
            <w:tcBorders>
              <w:top w:val="single" w:sz="4" w:space="0" w:color="auto"/>
              <w:left w:val="single" w:sz="4" w:space="0" w:color="auto"/>
              <w:bottom w:val="single" w:sz="4" w:space="0" w:color="auto"/>
              <w:right w:val="single" w:sz="4" w:space="0" w:color="auto"/>
            </w:tcBorders>
            <w:hideMark/>
          </w:tcPr>
          <w:p w14:paraId="13747A3F" w14:textId="77777777" w:rsidR="00985B87" w:rsidRDefault="00944B8F" w:rsidP="00701CAA">
            <w:pPr>
              <w:keepNext/>
              <w:numPr>
                <w:ilvl w:val="12"/>
                <w:numId w:val="0"/>
              </w:numPr>
              <w:tabs>
                <w:tab w:val="clear" w:pos="562"/>
                <w:tab w:val="left" w:pos="720"/>
              </w:tabs>
              <w:ind w:right="-2"/>
            </w:pPr>
            <w:r>
              <w:rPr>
                <w:b/>
              </w:rPr>
              <w:t>P</w:t>
            </w:r>
            <w:r w:rsidR="008929F0">
              <w:rPr>
                <w:b/>
              </w:rPr>
              <w:t>aediatric p</w:t>
            </w:r>
            <w:r>
              <w:rPr>
                <w:b/>
              </w:rPr>
              <w:t>laque psoriasis</w:t>
            </w:r>
          </w:p>
        </w:tc>
      </w:tr>
      <w:tr w:rsidR="00C6578C" w14:paraId="23B036F0" w14:textId="77777777" w:rsidTr="00701CAA">
        <w:tc>
          <w:tcPr>
            <w:tcW w:w="3095" w:type="dxa"/>
            <w:tcBorders>
              <w:top w:val="single" w:sz="4" w:space="0" w:color="auto"/>
              <w:left w:val="single" w:sz="4" w:space="0" w:color="auto"/>
              <w:bottom w:val="single" w:sz="4" w:space="0" w:color="auto"/>
              <w:right w:val="single" w:sz="4" w:space="0" w:color="auto"/>
            </w:tcBorders>
            <w:hideMark/>
          </w:tcPr>
          <w:p w14:paraId="04FE0B3B" w14:textId="77777777" w:rsidR="00985B87" w:rsidRDefault="00944B8F" w:rsidP="00701CAA">
            <w:pPr>
              <w:numPr>
                <w:ilvl w:val="12"/>
                <w:numId w:val="0"/>
              </w:numPr>
              <w:tabs>
                <w:tab w:val="clear" w:pos="562"/>
                <w:tab w:val="left" w:pos="720"/>
              </w:tabs>
              <w:ind w:right="-2"/>
            </w:pPr>
            <w:r>
              <w:rPr>
                <w:b/>
              </w:rPr>
              <w:t>Age or body weight</w:t>
            </w:r>
          </w:p>
        </w:tc>
        <w:tc>
          <w:tcPr>
            <w:tcW w:w="3096" w:type="dxa"/>
            <w:tcBorders>
              <w:top w:val="single" w:sz="4" w:space="0" w:color="auto"/>
              <w:left w:val="single" w:sz="4" w:space="0" w:color="auto"/>
              <w:bottom w:val="single" w:sz="4" w:space="0" w:color="auto"/>
              <w:right w:val="single" w:sz="4" w:space="0" w:color="auto"/>
            </w:tcBorders>
            <w:hideMark/>
          </w:tcPr>
          <w:p w14:paraId="210180EC" w14:textId="77777777" w:rsidR="00985B87" w:rsidRDefault="00944B8F" w:rsidP="00701CAA">
            <w:pPr>
              <w:numPr>
                <w:ilvl w:val="12"/>
                <w:numId w:val="0"/>
              </w:numPr>
              <w:tabs>
                <w:tab w:val="clear" w:pos="562"/>
                <w:tab w:val="left" w:pos="720"/>
              </w:tabs>
              <w:ind w:right="-2"/>
            </w:pPr>
            <w:r>
              <w:rPr>
                <w:b/>
              </w:rPr>
              <w:t>How much and how often to take?</w:t>
            </w:r>
          </w:p>
        </w:tc>
        <w:tc>
          <w:tcPr>
            <w:tcW w:w="3096" w:type="dxa"/>
            <w:tcBorders>
              <w:top w:val="single" w:sz="4" w:space="0" w:color="auto"/>
              <w:left w:val="single" w:sz="4" w:space="0" w:color="auto"/>
              <w:bottom w:val="single" w:sz="4" w:space="0" w:color="auto"/>
              <w:right w:val="single" w:sz="4" w:space="0" w:color="auto"/>
            </w:tcBorders>
            <w:hideMark/>
          </w:tcPr>
          <w:p w14:paraId="51BB90D6" w14:textId="77777777" w:rsidR="00985B87" w:rsidRDefault="00944B8F" w:rsidP="00701CAA">
            <w:pPr>
              <w:keepNext/>
              <w:numPr>
                <w:ilvl w:val="12"/>
                <w:numId w:val="0"/>
              </w:numPr>
              <w:tabs>
                <w:tab w:val="clear" w:pos="562"/>
                <w:tab w:val="left" w:pos="720"/>
              </w:tabs>
              <w:ind w:right="-2"/>
            </w:pPr>
            <w:r>
              <w:rPr>
                <w:b/>
              </w:rPr>
              <w:t>Notes</w:t>
            </w:r>
          </w:p>
        </w:tc>
      </w:tr>
      <w:tr w:rsidR="00C6578C" w14:paraId="39D47739" w14:textId="77777777" w:rsidTr="00701CAA">
        <w:tc>
          <w:tcPr>
            <w:tcW w:w="3095" w:type="dxa"/>
            <w:tcBorders>
              <w:top w:val="single" w:sz="4" w:space="0" w:color="auto"/>
              <w:left w:val="single" w:sz="4" w:space="0" w:color="auto"/>
              <w:bottom w:val="single" w:sz="4" w:space="0" w:color="auto"/>
              <w:right w:val="single" w:sz="4" w:space="0" w:color="auto"/>
            </w:tcBorders>
            <w:hideMark/>
          </w:tcPr>
          <w:p w14:paraId="3A385CD2" w14:textId="77777777" w:rsidR="00985B87" w:rsidRDefault="00944B8F" w:rsidP="00701CAA">
            <w:pPr>
              <w:numPr>
                <w:ilvl w:val="12"/>
                <w:numId w:val="0"/>
              </w:numPr>
              <w:tabs>
                <w:tab w:val="clear" w:pos="562"/>
                <w:tab w:val="left" w:pos="720"/>
              </w:tabs>
              <w:ind w:right="-2"/>
            </w:pPr>
            <w:r>
              <w:t>Children and adolescents from 4 to 17 years of age weighing 30 kg or more</w:t>
            </w:r>
          </w:p>
        </w:tc>
        <w:tc>
          <w:tcPr>
            <w:tcW w:w="3096" w:type="dxa"/>
            <w:tcBorders>
              <w:top w:val="single" w:sz="4" w:space="0" w:color="auto"/>
              <w:left w:val="single" w:sz="4" w:space="0" w:color="auto"/>
              <w:bottom w:val="single" w:sz="4" w:space="0" w:color="auto"/>
              <w:right w:val="single" w:sz="4" w:space="0" w:color="auto"/>
            </w:tcBorders>
          </w:tcPr>
          <w:p w14:paraId="1F4DB0A5" w14:textId="77777777" w:rsidR="00985B87" w:rsidRDefault="00944B8F" w:rsidP="00701CAA">
            <w:pPr>
              <w:numPr>
                <w:ilvl w:val="12"/>
                <w:numId w:val="0"/>
              </w:numPr>
              <w:tabs>
                <w:tab w:val="clear" w:pos="562"/>
                <w:tab w:val="left" w:pos="720"/>
              </w:tabs>
            </w:pPr>
            <w:r>
              <w:t>First dose of 40 mg, followed by 40 mg one week later.</w:t>
            </w:r>
          </w:p>
          <w:p w14:paraId="027E60F1" w14:textId="77777777" w:rsidR="00985B87" w:rsidRDefault="00985B87" w:rsidP="00701CAA">
            <w:pPr>
              <w:numPr>
                <w:ilvl w:val="12"/>
                <w:numId w:val="0"/>
              </w:numPr>
              <w:tabs>
                <w:tab w:val="clear" w:pos="562"/>
                <w:tab w:val="left" w:pos="720"/>
              </w:tabs>
            </w:pPr>
          </w:p>
          <w:p w14:paraId="4559BD77" w14:textId="77777777" w:rsidR="00985B87" w:rsidRDefault="00944B8F" w:rsidP="00701CAA">
            <w:pPr>
              <w:numPr>
                <w:ilvl w:val="12"/>
                <w:numId w:val="0"/>
              </w:numPr>
              <w:tabs>
                <w:tab w:val="clear" w:pos="562"/>
                <w:tab w:val="left" w:pos="720"/>
              </w:tabs>
            </w:pPr>
            <w:r>
              <w:t>Thereafter, the usual dose is 40 mg every other week.</w:t>
            </w:r>
          </w:p>
        </w:tc>
        <w:tc>
          <w:tcPr>
            <w:tcW w:w="3096" w:type="dxa"/>
            <w:tcBorders>
              <w:top w:val="single" w:sz="4" w:space="0" w:color="auto"/>
              <w:left w:val="single" w:sz="4" w:space="0" w:color="auto"/>
              <w:bottom w:val="single" w:sz="4" w:space="0" w:color="auto"/>
              <w:right w:val="single" w:sz="4" w:space="0" w:color="auto"/>
            </w:tcBorders>
          </w:tcPr>
          <w:p w14:paraId="1EC655C0" w14:textId="77777777" w:rsidR="00985B87" w:rsidRDefault="00944B8F" w:rsidP="00701CAA">
            <w:pPr>
              <w:numPr>
                <w:ilvl w:val="12"/>
                <w:numId w:val="0"/>
              </w:numPr>
              <w:tabs>
                <w:tab w:val="clear" w:pos="562"/>
                <w:tab w:val="left" w:pos="720"/>
              </w:tabs>
              <w:ind w:right="-2"/>
            </w:pPr>
            <w:r>
              <w:t>Not applicable</w:t>
            </w:r>
          </w:p>
        </w:tc>
      </w:tr>
      <w:tr w:rsidR="00C6578C" w14:paraId="0365336E" w14:textId="77777777" w:rsidTr="00701CAA">
        <w:tc>
          <w:tcPr>
            <w:tcW w:w="3095" w:type="dxa"/>
            <w:tcBorders>
              <w:top w:val="single" w:sz="4" w:space="0" w:color="auto"/>
              <w:left w:val="single" w:sz="4" w:space="0" w:color="auto"/>
              <w:bottom w:val="single" w:sz="4" w:space="0" w:color="auto"/>
              <w:right w:val="single" w:sz="4" w:space="0" w:color="auto"/>
            </w:tcBorders>
            <w:hideMark/>
          </w:tcPr>
          <w:p w14:paraId="26EEA2B2" w14:textId="77777777" w:rsidR="00985B87" w:rsidRDefault="00944B8F" w:rsidP="00701CAA">
            <w:pPr>
              <w:keepNext/>
              <w:numPr>
                <w:ilvl w:val="12"/>
                <w:numId w:val="0"/>
              </w:numPr>
              <w:tabs>
                <w:tab w:val="clear" w:pos="562"/>
                <w:tab w:val="left" w:pos="1935"/>
              </w:tabs>
              <w:ind w:right="-2"/>
            </w:pPr>
            <w:r>
              <w:t>Children and adolescents from 4 to 17 years of age weighing 15 kg to less than 30 kg</w:t>
            </w:r>
          </w:p>
        </w:tc>
        <w:tc>
          <w:tcPr>
            <w:tcW w:w="3096" w:type="dxa"/>
            <w:tcBorders>
              <w:top w:val="single" w:sz="4" w:space="0" w:color="auto"/>
              <w:left w:val="single" w:sz="4" w:space="0" w:color="auto"/>
              <w:bottom w:val="single" w:sz="4" w:space="0" w:color="auto"/>
              <w:right w:val="single" w:sz="4" w:space="0" w:color="auto"/>
            </w:tcBorders>
          </w:tcPr>
          <w:p w14:paraId="2BE44A1A" w14:textId="77777777" w:rsidR="00985B87" w:rsidRDefault="00944B8F" w:rsidP="00701CAA">
            <w:pPr>
              <w:keepNext/>
              <w:numPr>
                <w:ilvl w:val="12"/>
                <w:numId w:val="0"/>
              </w:numPr>
              <w:tabs>
                <w:tab w:val="clear" w:pos="562"/>
                <w:tab w:val="left" w:pos="720"/>
              </w:tabs>
            </w:pPr>
            <w:r>
              <w:t>First dose of 20 mg, followed by 20 mg one week later.</w:t>
            </w:r>
          </w:p>
          <w:p w14:paraId="6FFB8D33" w14:textId="77777777" w:rsidR="00985B87" w:rsidRDefault="00985B87" w:rsidP="00701CAA">
            <w:pPr>
              <w:keepNext/>
              <w:numPr>
                <w:ilvl w:val="12"/>
                <w:numId w:val="0"/>
              </w:numPr>
              <w:tabs>
                <w:tab w:val="clear" w:pos="562"/>
                <w:tab w:val="left" w:pos="720"/>
              </w:tabs>
            </w:pPr>
          </w:p>
          <w:p w14:paraId="2064E1DA" w14:textId="77777777" w:rsidR="00985B87" w:rsidRDefault="00944B8F" w:rsidP="00701CAA">
            <w:pPr>
              <w:keepNext/>
              <w:numPr>
                <w:ilvl w:val="12"/>
                <w:numId w:val="0"/>
              </w:numPr>
              <w:tabs>
                <w:tab w:val="clear" w:pos="562"/>
                <w:tab w:val="left" w:pos="720"/>
              </w:tabs>
            </w:pPr>
            <w:r>
              <w:t>Thereafter, the usual dose is 20 mg every other week.</w:t>
            </w:r>
          </w:p>
        </w:tc>
        <w:tc>
          <w:tcPr>
            <w:tcW w:w="3096" w:type="dxa"/>
            <w:tcBorders>
              <w:top w:val="single" w:sz="4" w:space="0" w:color="auto"/>
              <w:left w:val="single" w:sz="4" w:space="0" w:color="auto"/>
              <w:bottom w:val="single" w:sz="4" w:space="0" w:color="auto"/>
              <w:right w:val="single" w:sz="4" w:space="0" w:color="auto"/>
            </w:tcBorders>
          </w:tcPr>
          <w:p w14:paraId="593939A4" w14:textId="77777777" w:rsidR="00985B87" w:rsidRDefault="00944B8F" w:rsidP="00701CAA">
            <w:pPr>
              <w:keepNext/>
              <w:numPr>
                <w:ilvl w:val="12"/>
                <w:numId w:val="0"/>
              </w:numPr>
              <w:tabs>
                <w:tab w:val="clear" w:pos="562"/>
                <w:tab w:val="left" w:pos="720"/>
              </w:tabs>
              <w:ind w:right="-2"/>
            </w:pPr>
            <w:r>
              <w:t>Not applicable</w:t>
            </w:r>
          </w:p>
        </w:tc>
      </w:tr>
    </w:tbl>
    <w:p w14:paraId="5C72B72F" w14:textId="77777777" w:rsidR="00985B87" w:rsidRDefault="00985B87" w:rsidP="00985B87">
      <w:pPr>
        <w:numPr>
          <w:ilvl w:val="12"/>
          <w:numId w:val="0"/>
        </w:numPr>
        <w:tabs>
          <w:tab w:val="clear" w:pos="562"/>
          <w:tab w:val="left" w:pos="720"/>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38E69DB8" w14:textId="77777777" w:rsidTr="00701CAA">
        <w:tc>
          <w:tcPr>
            <w:tcW w:w="9287" w:type="dxa"/>
            <w:gridSpan w:val="3"/>
            <w:tcBorders>
              <w:top w:val="single" w:sz="4" w:space="0" w:color="auto"/>
              <w:left w:val="single" w:sz="4" w:space="0" w:color="auto"/>
              <w:bottom w:val="single" w:sz="4" w:space="0" w:color="auto"/>
              <w:right w:val="single" w:sz="4" w:space="0" w:color="auto"/>
            </w:tcBorders>
            <w:hideMark/>
          </w:tcPr>
          <w:p w14:paraId="37EA7711" w14:textId="77777777" w:rsidR="00985B87" w:rsidRDefault="00944B8F" w:rsidP="00701CAA">
            <w:pPr>
              <w:numPr>
                <w:ilvl w:val="12"/>
                <w:numId w:val="0"/>
              </w:numPr>
              <w:tabs>
                <w:tab w:val="clear" w:pos="562"/>
                <w:tab w:val="left" w:pos="720"/>
              </w:tabs>
              <w:ind w:right="-2"/>
            </w:pPr>
            <w:r>
              <w:rPr>
                <w:b/>
              </w:rPr>
              <w:t>Paediatric Crohn’s disease</w:t>
            </w:r>
          </w:p>
        </w:tc>
      </w:tr>
      <w:tr w:rsidR="00C6578C" w14:paraId="3E4171B9" w14:textId="77777777" w:rsidTr="00701CAA">
        <w:tc>
          <w:tcPr>
            <w:tcW w:w="3095" w:type="dxa"/>
            <w:tcBorders>
              <w:top w:val="single" w:sz="4" w:space="0" w:color="auto"/>
              <w:left w:val="single" w:sz="4" w:space="0" w:color="auto"/>
              <w:bottom w:val="single" w:sz="4" w:space="0" w:color="auto"/>
              <w:right w:val="single" w:sz="4" w:space="0" w:color="auto"/>
            </w:tcBorders>
            <w:hideMark/>
          </w:tcPr>
          <w:p w14:paraId="023D6DD2" w14:textId="77777777" w:rsidR="00985B87" w:rsidRDefault="00944B8F" w:rsidP="00701CAA">
            <w:pPr>
              <w:numPr>
                <w:ilvl w:val="12"/>
                <w:numId w:val="0"/>
              </w:numPr>
              <w:tabs>
                <w:tab w:val="clear" w:pos="562"/>
                <w:tab w:val="left" w:pos="720"/>
              </w:tabs>
              <w:ind w:right="-2"/>
            </w:pPr>
            <w:r>
              <w:rPr>
                <w:b/>
              </w:rPr>
              <w:t>Age or body weight</w:t>
            </w:r>
          </w:p>
        </w:tc>
        <w:tc>
          <w:tcPr>
            <w:tcW w:w="3096" w:type="dxa"/>
            <w:tcBorders>
              <w:top w:val="single" w:sz="4" w:space="0" w:color="auto"/>
              <w:left w:val="single" w:sz="4" w:space="0" w:color="auto"/>
              <w:bottom w:val="single" w:sz="4" w:space="0" w:color="auto"/>
              <w:right w:val="single" w:sz="4" w:space="0" w:color="auto"/>
            </w:tcBorders>
            <w:hideMark/>
          </w:tcPr>
          <w:p w14:paraId="09AAB9D4" w14:textId="77777777" w:rsidR="00985B87" w:rsidRDefault="00944B8F" w:rsidP="00701CAA">
            <w:pPr>
              <w:numPr>
                <w:ilvl w:val="12"/>
                <w:numId w:val="0"/>
              </w:numPr>
              <w:tabs>
                <w:tab w:val="clear" w:pos="562"/>
                <w:tab w:val="left" w:pos="720"/>
              </w:tabs>
              <w:ind w:right="-2"/>
            </w:pPr>
            <w:r>
              <w:rPr>
                <w:b/>
              </w:rPr>
              <w:t>How much and how often to take?</w:t>
            </w:r>
          </w:p>
        </w:tc>
        <w:tc>
          <w:tcPr>
            <w:tcW w:w="3096" w:type="dxa"/>
            <w:tcBorders>
              <w:top w:val="single" w:sz="4" w:space="0" w:color="auto"/>
              <w:left w:val="single" w:sz="4" w:space="0" w:color="auto"/>
              <w:bottom w:val="single" w:sz="4" w:space="0" w:color="auto"/>
              <w:right w:val="single" w:sz="4" w:space="0" w:color="auto"/>
            </w:tcBorders>
            <w:hideMark/>
          </w:tcPr>
          <w:p w14:paraId="75A7B7C2" w14:textId="77777777" w:rsidR="00985B87" w:rsidRDefault="00944B8F" w:rsidP="00701CAA">
            <w:pPr>
              <w:numPr>
                <w:ilvl w:val="12"/>
                <w:numId w:val="0"/>
              </w:numPr>
              <w:tabs>
                <w:tab w:val="clear" w:pos="562"/>
                <w:tab w:val="left" w:pos="720"/>
              </w:tabs>
              <w:ind w:right="-2"/>
            </w:pPr>
            <w:r>
              <w:rPr>
                <w:b/>
              </w:rPr>
              <w:t>Notes</w:t>
            </w:r>
          </w:p>
        </w:tc>
      </w:tr>
      <w:tr w:rsidR="00C6578C" w14:paraId="0BA5D327" w14:textId="77777777" w:rsidTr="00701CAA">
        <w:tc>
          <w:tcPr>
            <w:tcW w:w="3095" w:type="dxa"/>
            <w:tcBorders>
              <w:top w:val="single" w:sz="4" w:space="0" w:color="auto"/>
              <w:left w:val="single" w:sz="4" w:space="0" w:color="auto"/>
              <w:bottom w:val="single" w:sz="4" w:space="0" w:color="auto"/>
              <w:right w:val="single" w:sz="4" w:space="0" w:color="auto"/>
            </w:tcBorders>
          </w:tcPr>
          <w:p w14:paraId="6FB49242" w14:textId="77777777" w:rsidR="00985B87" w:rsidRDefault="00944B8F" w:rsidP="00701CAA">
            <w:pPr>
              <w:numPr>
                <w:ilvl w:val="12"/>
                <w:numId w:val="0"/>
              </w:numPr>
              <w:tabs>
                <w:tab w:val="clear" w:pos="562"/>
                <w:tab w:val="left" w:pos="720"/>
              </w:tabs>
              <w:ind w:right="-2"/>
            </w:pPr>
            <w:r>
              <w:t>Children and adolescents from 6 to 17 years of age weighing 40 kg or more</w:t>
            </w:r>
          </w:p>
          <w:p w14:paraId="7D5BD5D3" w14:textId="77777777" w:rsidR="00985B87" w:rsidRDefault="00985B87" w:rsidP="00701CAA">
            <w:pPr>
              <w:numPr>
                <w:ilvl w:val="12"/>
                <w:numId w:val="0"/>
              </w:numPr>
              <w:tabs>
                <w:tab w:val="clear" w:pos="562"/>
                <w:tab w:val="left" w:pos="720"/>
              </w:tabs>
              <w:ind w:right="-2"/>
            </w:pPr>
          </w:p>
          <w:p w14:paraId="4726F690" w14:textId="77777777" w:rsidR="00985B87" w:rsidRDefault="00985B87" w:rsidP="00701CAA">
            <w:pPr>
              <w:numPr>
                <w:ilvl w:val="12"/>
                <w:numId w:val="0"/>
              </w:numPr>
              <w:tabs>
                <w:tab w:val="clear" w:pos="562"/>
                <w:tab w:val="left" w:pos="720"/>
              </w:tabs>
              <w:ind w:right="-2"/>
            </w:pPr>
          </w:p>
        </w:tc>
        <w:tc>
          <w:tcPr>
            <w:tcW w:w="3096" w:type="dxa"/>
            <w:tcBorders>
              <w:top w:val="single" w:sz="4" w:space="0" w:color="auto"/>
              <w:left w:val="single" w:sz="4" w:space="0" w:color="auto"/>
              <w:bottom w:val="single" w:sz="4" w:space="0" w:color="auto"/>
              <w:right w:val="single" w:sz="4" w:space="0" w:color="auto"/>
            </w:tcBorders>
          </w:tcPr>
          <w:p w14:paraId="3CCDD658" w14:textId="77777777" w:rsidR="00985B87" w:rsidRDefault="00944B8F" w:rsidP="00701CAA">
            <w:r>
              <w:t>First dose of 80 mg, followed by 40 mg two weeks later.</w:t>
            </w:r>
          </w:p>
          <w:p w14:paraId="3FA4B440" w14:textId="77777777" w:rsidR="00985B87" w:rsidRDefault="00985B87" w:rsidP="00701CAA"/>
          <w:p w14:paraId="2CA3E3A0" w14:textId="77777777" w:rsidR="00985B87" w:rsidRDefault="00944B8F" w:rsidP="00701CAA">
            <w:r>
              <w:t>If a faster response is required, your child’s doctor may prescribe a first dose of 160 mg, followed by 80 mg two weeks later.</w:t>
            </w:r>
          </w:p>
          <w:p w14:paraId="26604BF1" w14:textId="77777777" w:rsidR="00985B87" w:rsidRDefault="00985B87" w:rsidP="00701CAA">
            <w:pPr>
              <w:numPr>
                <w:ilvl w:val="12"/>
                <w:numId w:val="0"/>
              </w:numPr>
              <w:tabs>
                <w:tab w:val="clear" w:pos="562"/>
                <w:tab w:val="left" w:pos="720"/>
              </w:tabs>
              <w:ind w:right="-2"/>
            </w:pPr>
          </w:p>
          <w:p w14:paraId="574E15B8" w14:textId="77777777" w:rsidR="00985B87" w:rsidRDefault="00944B8F" w:rsidP="00701CAA">
            <w:pPr>
              <w:numPr>
                <w:ilvl w:val="12"/>
                <w:numId w:val="0"/>
              </w:numPr>
              <w:tabs>
                <w:tab w:val="clear" w:pos="562"/>
                <w:tab w:val="left" w:pos="720"/>
              </w:tabs>
              <w:ind w:right="-2"/>
            </w:pPr>
            <w:r>
              <w:t>Thereafter, the usual dose is 40 mg every other week.</w:t>
            </w:r>
          </w:p>
        </w:tc>
        <w:tc>
          <w:tcPr>
            <w:tcW w:w="3096" w:type="dxa"/>
            <w:tcBorders>
              <w:top w:val="single" w:sz="4" w:space="0" w:color="auto"/>
              <w:left w:val="single" w:sz="4" w:space="0" w:color="auto"/>
              <w:bottom w:val="single" w:sz="4" w:space="0" w:color="auto"/>
              <w:right w:val="single" w:sz="4" w:space="0" w:color="auto"/>
            </w:tcBorders>
          </w:tcPr>
          <w:p w14:paraId="69A42462" w14:textId="77777777" w:rsidR="00985B87" w:rsidRDefault="00944B8F" w:rsidP="00701CAA">
            <w:r>
              <w:t>Your child’s doctor may increase the dos</w:t>
            </w:r>
            <w:r w:rsidR="00A60900">
              <w:t>ag</w:t>
            </w:r>
            <w:r>
              <w:t>e to 40 mg every week</w:t>
            </w:r>
            <w:r w:rsidR="00A60900">
              <w:t xml:space="preserve"> or 80 mg every other week</w:t>
            </w:r>
            <w:r>
              <w:t>.</w:t>
            </w:r>
          </w:p>
          <w:p w14:paraId="5914BD0F" w14:textId="77777777" w:rsidR="00985B87" w:rsidRDefault="00985B87" w:rsidP="00701CAA"/>
        </w:tc>
      </w:tr>
      <w:tr w:rsidR="00C6578C" w14:paraId="4E705A3C" w14:textId="77777777" w:rsidTr="00701CAA">
        <w:tc>
          <w:tcPr>
            <w:tcW w:w="3095" w:type="dxa"/>
            <w:tcBorders>
              <w:top w:val="single" w:sz="4" w:space="0" w:color="auto"/>
              <w:left w:val="single" w:sz="4" w:space="0" w:color="auto"/>
              <w:bottom w:val="single" w:sz="4" w:space="0" w:color="auto"/>
              <w:right w:val="single" w:sz="4" w:space="0" w:color="auto"/>
            </w:tcBorders>
            <w:hideMark/>
          </w:tcPr>
          <w:p w14:paraId="73A22574" w14:textId="77777777" w:rsidR="00985B87" w:rsidRDefault="00944B8F" w:rsidP="00701CAA">
            <w:pPr>
              <w:numPr>
                <w:ilvl w:val="12"/>
                <w:numId w:val="0"/>
              </w:numPr>
              <w:tabs>
                <w:tab w:val="clear" w:pos="562"/>
                <w:tab w:val="left" w:pos="720"/>
              </w:tabs>
              <w:ind w:right="-2"/>
            </w:pPr>
            <w:r>
              <w:t>Children and adolescents from 6 to 17 years of age weighing less than 40 kg</w:t>
            </w:r>
          </w:p>
        </w:tc>
        <w:tc>
          <w:tcPr>
            <w:tcW w:w="3096" w:type="dxa"/>
            <w:tcBorders>
              <w:top w:val="single" w:sz="4" w:space="0" w:color="auto"/>
              <w:left w:val="single" w:sz="4" w:space="0" w:color="auto"/>
              <w:bottom w:val="single" w:sz="4" w:space="0" w:color="auto"/>
              <w:right w:val="single" w:sz="4" w:space="0" w:color="auto"/>
            </w:tcBorders>
          </w:tcPr>
          <w:p w14:paraId="2E83CC60" w14:textId="77777777" w:rsidR="00985B87" w:rsidRDefault="00944B8F" w:rsidP="00701CAA">
            <w:r>
              <w:t xml:space="preserve">First dose of 40 mg, followed by 20 mg two weeks later. </w:t>
            </w:r>
          </w:p>
          <w:p w14:paraId="114454D2" w14:textId="77777777" w:rsidR="00985B87" w:rsidRDefault="00985B87" w:rsidP="00701CAA"/>
          <w:p w14:paraId="0576BCE2" w14:textId="77777777" w:rsidR="00985B87" w:rsidRDefault="00944B8F" w:rsidP="00701CAA">
            <w:r>
              <w:t>If a faster response is required, the doctor may prescribe a first dose of 80 mg, followed by 40 mg two weeks later.</w:t>
            </w:r>
          </w:p>
          <w:p w14:paraId="3738CD3E" w14:textId="77777777" w:rsidR="00985B87" w:rsidRDefault="00985B87" w:rsidP="00701CAA">
            <w:pPr>
              <w:numPr>
                <w:ilvl w:val="12"/>
                <w:numId w:val="0"/>
              </w:numPr>
              <w:tabs>
                <w:tab w:val="clear" w:pos="562"/>
                <w:tab w:val="left" w:pos="720"/>
              </w:tabs>
              <w:ind w:right="-2"/>
            </w:pPr>
          </w:p>
          <w:p w14:paraId="1926A4A2" w14:textId="77777777" w:rsidR="00985B87" w:rsidRDefault="00944B8F" w:rsidP="00701CAA">
            <w:pPr>
              <w:numPr>
                <w:ilvl w:val="12"/>
                <w:numId w:val="0"/>
              </w:numPr>
              <w:tabs>
                <w:tab w:val="clear" w:pos="562"/>
                <w:tab w:val="left" w:pos="720"/>
              </w:tabs>
              <w:ind w:right="-2"/>
            </w:pPr>
            <w:r>
              <w:t>Thereafter, the usual dose is 20 mg every other week.</w:t>
            </w:r>
          </w:p>
        </w:tc>
        <w:tc>
          <w:tcPr>
            <w:tcW w:w="3096" w:type="dxa"/>
            <w:tcBorders>
              <w:top w:val="single" w:sz="4" w:space="0" w:color="auto"/>
              <w:left w:val="single" w:sz="4" w:space="0" w:color="auto"/>
              <w:bottom w:val="single" w:sz="4" w:space="0" w:color="auto"/>
              <w:right w:val="single" w:sz="4" w:space="0" w:color="auto"/>
            </w:tcBorders>
          </w:tcPr>
          <w:p w14:paraId="7A869DE9" w14:textId="77777777" w:rsidR="00985B87" w:rsidRDefault="00944B8F" w:rsidP="00701CAA">
            <w:r>
              <w:t>Your child’s doctor may increase the dose frequency to 20 mg every week.</w:t>
            </w:r>
          </w:p>
          <w:p w14:paraId="1964E34A" w14:textId="77777777" w:rsidR="00985B87" w:rsidRDefault="00985B87" w:rsidP="00701CAA">
            <w:pPr>
              <w:numPr>
                <w:ilvl w:val="12"/>
                <w:numId w:val="0"/>
              </w:numPr>
              <w:tabs>
                <w:tab w:val="clear" w:pos="562"/>
                <w:tab w:val="left" w:pos="720"/>
              </w:tabs>
              <w:ind w:right="-2"/>
            </w:pPr>
          </w:p>
        </w:tc>
      </w:tr>
    </w:tbl>
    <w:p w14:paraId="47428D28" w14:textId="77777777" w:rsidR="00985B87" w:rsidRDefault="00985B87" w:rsidP="00985B87">
      <w:pPr>
        <w:numPr>
          <w:ilvl w:val="12"/>
          <w:numId w:val="0"/>
        </w:num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073A65B8" w14:textId="77777777" w:rsidTr="00701CAA">
        <w:tc>
          <w:tcPr>
            <w:tcW w:w="9287" w:type="dxa"/>
            <w:gridSpan w:val="3"/>
          </w:tcPr>
          <w:p w14:paraId="5F2E1DCF" w14:textId="77777777" w:rsidR="00985B87" w:rsidRPr="00181DCC" w:rsidRDefault="00944B8F" w:rsidP="00C568D0">
            <w:pPr>
              <w:keepNext/>
              <w:numPr>
                <w:ilvl w:val="12"/>
                <w:numId w:val="0"/>
              </w:numPr>
              <w:tabs>
                <w:tab w:val="clear" w:pos="562"/>
              </w:tabs>
              <w:ind w:right="-2"/>
              <w:rPr>
                <w:b/>
              </w:rPr>
            </w:pPr>
            <w:r>
              <w:rPr>
                <w:b/>
                <w:szCs w:val="22"/>
              </w:rPr>
              <w:t>Paediatric u</w:t>
            </w:r>
            <w:r w:rsidRPr="00181DCC">
              <w:rPr>
                <w:b/>
                <w:szCs w:val="22"/>
              </w:rPr>
              <w:t>veitis</w:t>
            </w:r>
          </w:p>
        </w:tc>
      </w:tr>
      <w:tr w:rsidR="00C6578C" w14:paraId="2FA5306D" w14:textId="77777777" w:rsidTr="00701CAA">
        <w:tc>
          <w:tcPr>
            <w:tcW w:w="3095" w:type="dxa"/>
          </w:tcPr>
          <w:p w14:paraId="665CFD50" w14:textId="77777777" w:rsidR="00985B87" w:rsidRDefault="00944B8F" w:rsidP="00C568D0">
            <w:pPr>
              <w:keepNext/>
              <w:numPr>
                <w:ilvl w:val="12"/>
                <w:numId w:val="0"/>
              </w:numPr>
              <w:tabs>
                <w:tab w:val="clear" w:pos="562"/>
              </w:tabs>
              <w:ind w:right="-2"/>
            </w:pPr>
            <w:r w:rsidRPr="00E679DA">
              <w:rPr>
                <w:b/>
              </w:rPr>
              <w:t>Age or body weight</w:t>
            </w:r>
          </w:p>
        </w:tc>
        <w:tc>
          <w:tcPr>
            <w:tcW w:w="3096" w:type="dxa"/>
          </w:tcPr>
          <w:p w14:paraId="186ECC1E" w14:textId="77777777" w:rsidR="00985B87" w:rsidRDefault="00944B8F" w:rsidP="00C568D0">
            <w:pPr>
              <w:keepNext/>
              <w:tabs>
                <w:tab w:val="clear" w:pos="562"/>
                <w:tab w:val="left" w:pos="0"/>
              </w:tabs>
            </w:pPr>
            <w:r w:rsidRPr="00E679DA">
              <w:rPr>
                <w:b/>
              </w:rPr>
              <w:t xml:space="preserve">How much </w:t>
            </w:r>
            <w:r>
              <w:rPr>
                <w:b/>
              </w:rPr>
              <w:t>and</w:t>
            </w:r>
            <w:r w:rsidRPr="00E679DA">
              <w:rPr>
                <w:b/>
              </w:rPr>
              <w:t xml:space="preserve"> how often to take?</w:t>
            </w:r>
          </w:p>
        </w:tc>
        <w:tc>
          <w:tcPr>
            <w:tcW w:w="3096" w:type="dxa"/>
          </w:tcPr>
          <w:p w14:paraId="6D995D82" w14:textId="77777777" w:rsidR="00985B87" w:rsidRDefault="00944B8F" w:rsidP="00C568D0">
            <w:pPr>
              <w:keepNext/>
              <w:numPr>
                <w:ilvl w:val="12"/>
                <w:numId w:val="0"/>
              </w:numPr>
              <w:tabs>
                <w:tab w:val="clear" w:pos="562"/>
              </w:tabs>
            </w:pPr>
            <w:r w:rsidRPr="00E679DA">
              <w:rPr>
                <w:b/>
              </w:rPr>
              <w:t>Notes</w:t>
            </w:r>
          </w:p>
        </w:tc>
      </w:tr>
      <w:tr w:rsidR="00C6578C" w14:paraId="2249028D" w14:textId="77777777" w:rsidTr="00701CAA">
        <w:tc>
          <w:tcPr>
            <w:tcW w:w="3095" w:type="dxa"/>
          </w:tcPr>
          <w:p w14:paraId="6F3F8429" w14:textId="77777777" w:rsidR="00985B87" w:rsidRDefault="00944B8F" w:rsidP="00C568D0">
            <w:pPr>
              <w:keepNext/>
              <w:numPr>
                <w:ilvl w:val="12"/>
                <w:numId w:val="0"/>
              </w:numPr>
              <w:tabs>
                <w:tab w:val="clear" w:pos="562"/>
              </w:tabs>
              <w:ind w:right="-2"/>
            </w:pPr>
            <w:r>
              <w:t>Children and adolescents from 2 years of age weighing less than 30 kg</w:t>
            </w:r>
          </w:p>
          <w:p w14:paraId="72BE0C6E" w14:textId="77777777" w:rsidR="00985B87" w:rsidRDefault="00985B87" w:rsidP="00C568D0">
            <w:pPr>
              <w:keepNext/>
              <w:numPr>
                <w:ilvl w:val="12"/>
                <w:numId w:val="0"/>
              </w:numPr>
              <w:tabs>
                <w:tab w:val="clear" w:pos="562"/>
              </w:tabs>
              <w:ind w:right="-2"/>
            </w:pPr>
          </w:p>
        </w:tc>
        <w:tc>
          <w:tcPr>
            <w:tcW w:w="3096" w:type="dxa"/>
          </w:tcPr>
          <w:p w14:paraId="7FEFDBC2" w14:textId="77777777" w:rsidR="00985B87" w:rsidRDefault="00944B8F" w:rsidP="00C568D0">
            <w:pPr>
              <w:keepNext/>
              <w:tabs>
                <w:tab w:val="clear" w:pos="562"/>
                <w:tab w:val="left" w:pos="0"/>
              </w:tabs>
            </w:pPr>
            <w:r>
              <w:t>20 mg every other week</w:t>
            </w:r>
          </w:p>
        </w:tc>
        <w:tc>
          <w:tcPr>
            <w:tcW w:w="3096" w:type="dxa"/>
          </w:tcPr>
          <w:p w14:paraId="2FCE8ECC" w14:textId="77777777" w:rsidR="00985B87" w:rsidRDefault="00944B8F" w:rsidP="00C568D0">
            <w:pPr>
              <w:keepNext/>
              <w:numPr>
                <w:ilvl w:val="12"/>
                <w:numId w:val="0"/>
              </w:numPr>
              <w:tabs>
                <w:tab w:val="clear" w:pos="562"/>
              </w:tabs>
            </w:pPr>
            <w:r>
              <w:t xml:space="preserve">Your doctor may prescribe an initial dose of 40 mg to be administered one week prior to the start of the usual dose of 20 mg every other week. </w:t>
            </w:r>
            <w:r w:rsidRPr="000E6891">
              <w:t>Humira</w:t>
            </w:r>
            <w:r>
              <w:t xml:space="preserve"> is</w:t>
            </w:r>
            <w:r w:rsidRPr="000E6891">
              <w:t xml:space="preserve"> </w:t>
            </w:r>
            <w:r w:rsidRPr="00DD265F">
              <w:t xml:space="preserve">recommended </w:t>
            </w:r>
            <w:r>
              <w:t>for</w:t>
            </w:r>
            <w:r w:rsidRPr="000E6891">
              <w:t xml:space="preserve"> use in combination with methotrexate.</w:t>
            </w:r>
          </w:p>
        </w:tc>
      </w:tr>
      <w:tr w:rsidR="00C6578C" w14:paraId="01BD4E3A" w14:textId="77777777" w:rsidTr="00701CAA">
        <w:tc>
          <w:tcPr>
            <w:tcW w:w="3095" w:type="dxa"/>
          </w:tcPr>
          <w:p w14:paraId="65F397EA" w14:textId="77777777" w:rsidR="00985B87" w:rsidRDefault="00944B8F" w:rsidP="00E425EA">
            <w:pPr>
              <w:keepNext/>
              <w:numPr>
                <w:ilvl w:val="12"/>
                <w:numId w:val="0"/>
              </w:numPr>
              <w:tabs>
                <w:tab w:val="clear" w:pos="562"/>
              </w:tabs>
              <w:ind w:right="-2"/>
            </w:pPr>
            <w:r>
              <w:t>Children and adolescents from 2 years of age weighing 30</w:t>
            </w:r>
            <w:r w:rsidRPr="000F4430">
              <w:t> </w:t>
            </w:r>
            <w:r>
              <w:t>kg or more</w:t>
            </w:r>
          </w:p>
          <w:p w14:paraId="4D17CACB" w14:textId="77777777" w:rsidR="00985B87" w:rsidRDefault="00985B87" w:rsidP="00E425EA">
            <w:pPr>
              <w:keepNext/>
              <w:numPr>
                <w:ilvl w:val="12"/>
                <w:numId w:val="0"/>
              </w:numPr>
              <w:tabs>
                <w:tab w:val="clear" w:pos="562"/>
              </w:tabs>
              <w:ind w:right="-2"/>
            </w:pPr>
          </w:p>
        </w:tc>
        <w:tc>
          <w:tcPr>
            <w:tcW w:w="3096" w:type="dxa"/>
          </w:tcPr>
          <w:p w14:paraId="24CB9EF8" w14:textId="77777777" w:rsidR="00985B87" w:rsidRDefault="00944B8F" w:rsidP="00E425EA">
            <w:pPr>
              <w:keepNext/>
              <w:tabs>
                <w:tab w:val="clear" w:pos="562"/>
                <w:tab w:val="left" w:pos="0"/>
              </w:tabs>
            </w:pPr>
            <w:r>
              <w:t xml:space="preserve">40 mg every other week </w:t>
            </w:r>
          </w:p>
        </w:tc>
        <w:tc>
          <w:tcPr>
            <w:tcW w:w="3096" w:type="dxa"/>
          </w:tcPr>
          <w:p w14:paraId="329E660A" w14:textId="77777777" w:rsidR="00985B87" w:rsidRDefault="00944B8F" w:rsidP="00E425EA">
            <w:pPr>
              <w:keepNext/>
              <w:numPr>
                <w:ilvl w:val="12"/>
                <w:numId w:val="0"/>
              </w:numPr>
              <w:tabs>
                <w:tab w:val="clear" w:pos="562"/>
              </w:tabs>
            </w:pPr>
            <w:r>
              <w:t>Your doctor may prescribe an initial dose of 80 mg to be administered one week prior to the start of the usual dose of 40 mg every other week.</w:t>
            </w:r>
            <w:r w:rsidRPr="000E6891">
              <w:t xml:space="preserve"> Humira</w:t>
            </w:r>
            <w:r>
              <w:t xml:space="preserve"> is</w:t>
            </w:r>
            <w:r w:rsidRPr="000E6891">
              <w:t xml:space="preserve"> </w:t>
            </w:r>
            <w:r w:rsidRPr="00DD265F">
              <w:t xml:space="preserve">recommended </w:t>
            </w:r>
            <w:r>
              <w:t>for</w:t>
            </w:r>
            <w:r w:rsidRPr="000E6891">
              <w:t xml:space="preserve"> use in combination with methotrexate.</w:t>
            </w:r>
          </w:p>
        </w:tc>
      </w:tr>
    </w:tbl>
    <w:p w14:paraId="566EAA36" w14:textId="77777777" w:rsidR="00985B87" w:rsidRDefault="00985B87" w:rsidP="00985B87">
      <w:pPr>
        <w:pStyle w:val="EMEAHeadingLeaflet"/>
        <w:spacing w:beforeLines="0" w:afterLines="0"/>
        <w:rPr>
          <w:rFonts w:ascii="Times New Roman" w:hAnsi="Times New Roman"/>
          <w:lang w:val="en-GB"/>
        </w:rPr>
      </w:pPr>
    </w:p>
    <w:p w14:paraId="6E84BAB9" w14:textId="77777777" w:rsidR="00985B87" w:rsidRDefault="00944B8F" w:rsidP="00985B87">
      <w:pPr>
        <w:pStyle w:val="EMEAHeadingLeaflet"/>
        <w:spacing w:beforeLines="0" w:afterLines="0"/>
        <w:rPr>
          <w:rFonts w:ascii="Times New Roman" w:hAnsi="Times New Roman"/>
          <w:lang w:val="en-GB"/>
        </w:rPr>
      </w:pPr>
      <w:r>
        <w:rPr>
          <w:rFonts w:ascii="Times New Roman" w:hAnsi="Times New Roman"/>
          <w:lang w:val="en-GB"/>
        </w:rPr>
        <w:t>Method and route of administration</w:t>
      </w:r>
    </w:p>
    <w:p w14:paraId="74FC4BA2" w14:textId="77777777" w:rsidR="00985B87" w:rsidRDefault="00985B87" w:rsidP="00985B87">
      <w:pPr>
        <w:pStyle w:val="EMEANormal"/>
        <w:rPr>
          <w:lang w:val="en-GB"/>
        </w:rPr>
      </w:pPr>
    </w:p>
    <w:p w14:paraId="0DEE6C95" w14:textId="77777777" w:rsidR="00985B87" w:rsidRDefault="00944B8F" w:rsidP="00985B87">
      <w:pPr>
        <w:pStyle w:val="EMEAHeadingLeaflet"/>
        <w:keepNext/>
        <w:spacing w:beforeLines="0" w:afterLines="0"/>
        <w:rPr>
          <w:rFonts w:ascii="Times New Roman" w:hAnsi="Times New Roman"/>
          <w:b w:val="0"/>
          <w:lang w:val="en-GB"/>
        </w:rPr>
      </w:pPr>
      <w:r>
        <w:rPr>
          <w:rFonts w:ascii="Times New Roman" w:hAnsi="Times New Roman"/>
          <w:b w:val="0"/>
          <w:bCs/>
          <w:lang w:val="en-GB"/>
        </w:rPr>
        <w:t>Humira is administered by injection under the skin (by subcutaneous injection).</w:t>
      </w:r>
    </w:p>
    <w:p w14:paraId="0EC844CF" w14:textId="77777777" w:rsidR="00985B87" w:rsidRDefault="00985B87" w:rsidP="00985B87">
      <w:pPr>
        <w:pStyle w:val="EMEANormal"/>
        <w:rPr>
          <w:lang w:val="en-GB"/>
        </w:rPr>
      </w:pPr>
    </w:p>
    <w:p w14:paraId="340460EA" w14:textId="77777777" w:rsidR="00985B87" w:rsidRDefault="00944B8F" w:rsidP="00985B87">
      <w:pPr>
        <w:pStyle w:val="EMEANormal"/>
        <w:rPr>
          <w:b/>
          <w:lang w:val="en-GB"/>
        </w:rPr>
      </w:pPr>
      <w:r>
        <w:rPr>
          <w:b/>
          <w:lang w:val="en-GB"/>
        </w:rPr>
        <w:t>Detailed instructions on how to inject Humira are provided in section 7 ‘</w:t>
      </w:r>
      <w:r w:rsidR="00E06C1F">
        <w:rPr>
          <w:b/>
          <w:lang w:val="en-GB"/>
        </w:rPr>
        <w:t>Injecting Humira</w:t>
      </w:r>
      <w:r>
        <w:rPr>
          <w:b/>
          <w:lang w:val="en-GB"/>
        </w:rPr>
        <w:t>’.</w:t>
      </w:r>
    </w:p>
    <w:p w14:paraId="2706AED3" w14:textId="77777777" w:rsidR="00985B87" w:rsidRDefault="00985B87" w:rsidP="00985B87">
      <w:pPr>
        <w:pStyle w:val="EMEANormal"/>
        <w:rPr>
          <w:b/>
          <w:lang w:val="en-GB"/>
        </w:rPr>
      </w:pPr>
    </w:p>
    <w:p w14:paraId="466DA8DF" w14:textId="77777777" w:rsidR="00985B87" w:rsidRDefault="00944B8F" w:rsidP="00985B87">
      <w:pPr>
        <w:pStyle w:val="EMEAHeadingLeaflet"/>
        <w:keepNext/>
        <w:spacing w:beforeLines="0" w:afterLines="0"/>
        <w:rPr>
          <w:rFonts w:ascii="Times New Roman" w:hAnsi="Times New Roman"/>
          <w:lang w:val="en-GB"/>
        </w:rPr>
      </w:pPr>
      <w:r>
        <w:rPr>
          <w:rFonts w:ascii="Times New Roman" w:hAnsi="Times New Roman"/>
          <w:lang w:val="en-GB"/>
        </w:rPr>
        <w:t>If you use more</w:t>
      </w:r>
      <w:r>
        <w:rPr>
          <w:rFonts w:ascii="Times New Roman" w:hAnsi="Times New Roman"/>
          <w:b w:val="0"/>
          <w:bCs/>
          <w:lang w:val="en-GB"/>
        </w:rPr>
        <w:t xml:space="preserve"> </w:t>
      </w:r>
      <w:r>
        <w:rPr>
          <w:rFonts w:ascii="Times New Roman" w:hAnsi="Times New Roman"/>
          <w:bCs/>
          <w:lang w:val="en-GB"/>
        </w:rPr>
        <w:t>Humira</w:t>
      </w:r>
      <w:r>
        <w:rPr>
          <w:rFonts w:ascii="Times New Roman" w:hAnsi="Times New Roman"/>
          <w:lang w:val="en-GB"/>
        </w:rPr>
        <w:t xml:space="preserve"> than you should</w:t>
      </w:r>
    </w:p>
    <w:p w14:paraId="77F45324" w14:textId="77777777" w:rsidR="00985B87" w:rsidRDefault="00985B87" w:rsidP="00985B87">
      <w:pPr>
        <w:pStyle w:val="EMEANormal"/>
        <w:rPr>
          <w:lang w:val="en-GB"/>
        </w:rPr>
      </w:pPr>
    </w:p>
    <w:p w14:paraId="73268E00" w14:textId="77777777" w:rsidR="00985B87" w:rsidRDefault="00944B8F" w:rsidP="00985B87">
      <w:pPr>
        <w:keepNext/>
      </w:pPr>
      <w:r>
        <w:t xml:space="preserve">If you accidentally inject Humira more frequently than told to by your doctor or pharmacist, call your doctor or pharmacist </w:t>
      </w:r>
      <w:r>
        <w:rPr>
          <w:szCs w:val="20"/>
        </w:rPr>
        <w:t>and tell them that your child has taken more</w:t>
      </w:r>
      <w:r>
        <w:t xml:space="preserve">. Always take the outer carton of the medicine with you, even if it is empty. </w:t>
      </w:r>
    </w:p>
    <w:p w14:paraId="29229501" w14:textId="77777777" w:rsidR="00985B87" w:rsidRDefault="00985B87" w:rsidP="00985B87"/>
    <w:p w14:paraId="2EBB1CB5" w14:textId="77777777" w:rsidR="00985B87" w:rsidRDefault="00944B8F" w:rsidP="00985B87">
      <w:pPr>
        <w:pStyle w:val="EMEAHeadingLeaflet"/>
        <w:spacing w:beforeLines="0" w:afterLines="0"/>
        <w:rPr>
          <w:rFonts w:ascii="Times New Roman" w:hAnsi="Times New Roman"/>
          <w:lang w:val="en-GB"/>
        </w:rPr>
      </w:pPr>
      <w:r>
        <w:rPr>
          <w:rFonts w:ascii="Times New Roman" w:hAnsi="Times New Roman"/>
          <w:lang w:val="en-GB"/>
        </w:rPr>
        <w:t>If you forget to use Humira</w:t>
      </w:r>
    </w:p>
    <w:p w14:paraId="5B492152" w14:textId="77777777" w:rsidR="00985B87" w:rsidRDefault="00985B87" w:rsidP="00985B87">
      <w:pPr>
        <w:pStyle w:val="EMEANormal"/>
        <w:rPr>
          <w:lang w:val="en-GB"/>
        </w:rPr>
      </w:pPr>
    </w:p>
    <w:p w14:paraId="1F903144" w14:textId="77777777" w:rsidR="00985B87" w:rsidRDefault="00944B8F" w:rsidP="00985B87">
      <w:r>
        <w:t xml:space="preserve">If you forget to give your child an injection, you should inject the next dose of Humira as soon as you remember. Then give your child’s next dose as you would have on the originally scheduled day, had you not forgotten a dose. </w:t>
      </w:r>
    </w:p>
    <w:p w14:paraId="79BEB572" w14:textId="77777777" w:rsidR="00985B87" w:rsidRDefault="00985B87" w:rsidP="00985B87"/>
    <w:p w14:paraId="2443DC03" w14:textId="77777777" w:rsidR="00985B87" w:rsidRDefault="00944B8F" w:rsidP="00985B87">
      <w:pPr>
        <w:rPr>
          <w:b/>
        </w:rPr>
      </w:pPr>
      <w:r>
        <w:rPr>
          <w:b/>
        </w:rPr>
        <w:t>If you stop using Humira</w:t>
      </w:r>
    </w:p>
    <w:p w14:paraId="5A5C33D5" w14:textId="77777777" w:rsidR="00985B87" w:rsidRDefault="00985B87" w:rsidP="00985B87"/>
    <w:p w14:paraId="1E3D5CEE" w14:textId="77777777" w:rsidR="00985B87" w:rsidRDefault="00944B8F" w:rsidP="00985B87">
      <w:r>
        <w:t>The decision to stop using Humira should be discussed with your doctor. Your child’s symptoms may return if you stop using Humira.</w:t>
      </w:r>
    </w:p>
    <w:p w14:paraId="3322D52D" w14:textId="77777777" w:rsidR="00985B87" w:rsidRDefault="00985B87" w:rsidP="00985B87"/>
    <w:p w14:paraId="5A58FA76" w14:textId="77777777" w:rsidR="00985B87" w:rsidRDefault="00944B8F" w:rsidP="00985B87">
      <w:r>
        <w:t>If you have any further questions on the use of this medicine, ask your doctor or pharmacist.</w:t>
      </w:r>
    </w:p>
    <w:p w14:paraId="228D55EA" w14:textId="77777777" w:rsidR="00985B87" w:rsidRDefault="00985B87" w:rsidP="00985B87"/>
    <w:p w14:paraId="2325ABB4" w14:textId="77777777" w:rsidR="00985B87" w:rsidRDefault="00985B87" w:rsidP="00985B87"/>
    <w:p w14:paraId="7738ECFB" w14:textId="77777777" w:rsidR="00985B87" w:rsidRDefault="00944B8F" w:rsidP="00985B87">
      <w:pPr>
        <w:pStyle w:val="EMEAHeading1"/>
        <w:keepNext/>
        <w:spacing w:beforeLines="0" w:afterLines="0"/>
        <w:rPr>
          <w:caps w:val="0"/>
          <w:lang w:val="en-GB"/>
        </w:rPr>
      </w:pPr>
      <w:r>
        <w:rPr>
          <w:rFonts w:ascii="Times New Roman" w:hAnsi="Times New Roman"/>
          <w:lang w:val="en-GB"/>
        </w:rPr>
        <w:t>4.</w:t>
      </w:r>
      <w:r>
        <w:rPr>
          <w:rFonts w:ascii="Times New Roman" w:hAnsi="Times New Roman"/>
          <w:lang w:val="en-GB"/>
        </w:rPr>
        <w:tab/>
      </w:r>
      <w:r>
        <w:rPr>
          <w:caps w:val="0"/>
          <w:lang w:val="en-GB"/>
        </w:rPr>
        <w:t>Possible side effects</w:t>
      </w:r>
    </w:p>
    <w:p w14:paraId="5DE85C28" w14:textId="77777777" w:rsidR="00985B87" w:rsidRDefault="00985B87" w:rsidP="00985B87">
      <w:pPr>
        <w:pStyle w:val="EMEANormal"/>
        <w:keepNext/>
        <w:rPr>
          <w:lang w:val="en-GB"/>
        </w:rPr>
      </w:pPr>
    </w:p>
    <w:p w14:paraId="362457DA" w14:textId="77777777" w:rsidR="00985B87" w:rsidRDefault="00944B8F" w:rsidP="00985B87">
      <w:pPr>
        <w:keepNext/>
      </w:pPr>
      <w:r>
        <w:t xml:space="preserve">Like all medicines, this medicine can cause side effects, although not everybody gets them. Most side effects are mild to moderate. However, some may be serious and require treatment. Side effects may occur at least up to 4 months after the last Humira injection. </w:t>
      </w:r>
    </w:p>
    <w:p w14:paraId="2B4B208F" w14:textId="77777777" w:rsidR="00985B87" w:rsidRDefault="00985B87" w:rsidP="00985B87"/>
    <w:p w14:paraId="7C2CEA08" w14:textId="77777777" w:rsidR="00985B87" w:rsidRDefault="00944B8F" w:rsidP="00C568D0">
      <w:pPr>
        <w:keepNext/>
        <w:rPr>
          <w:b/>
        </w:rPr>
      </w:pPr>
      <w:r>
        <w:rPr>
          <w:b/>
        </w:rPr>
        <w:lastRenderedPageBreak/>
        <w:t>Tell your doctor immediately if you notice any of the following</w:t>
      </w:r>
    </w:p>
    <w:p w14:paraId="621B3E2C" w14:textId="77777777" w:rsidR="00985B87" w:rsidRDefault="00985B87" w:rsidP="00C568D0">
      <w:pPr>
        <w:keepNext/>
      </w:pPr>
    </w:p>
    <w:p w14:paraId="4A2D1532" w14:textId="77777777" w:rsidR="00985B87" w:rsidRDefault="00944B8F" w:rsidP="00F421D6">
      <w:pPr>
        <w:pStyle w:val="EMEABullet2"/>
        <w:keepNext/>
        <w:numPr>
          <w:ilvl w:val="0"/>
          <w:numId w:val="98"/>
        </w:numPr>
        <w:tabs>
          <w:tab w:val="clear" w:pos="567"/>
          <w:tab w:val="num" w:pos="360"/>
          <w:tab w:val="num" w:pos="550"/>
        </w:tabs>
        <w:ind w:left="547" w:hanging="547"/>
        <w:rPr>
          <w:lang w:val="en-GB"/>
        </w:rPr>
      </w:pPr>
      <w:r>
        <w:rPr>
          <w:lang w:val="en-GB"/>
        </w:rPr>
        <w:t xml:space="preserve">severe rash, hives or other signs of allergic reaction </w:t>
      </w:r>
    </w:p>
    <w:p w14:paraId="3E92F8A1" w14:textId="77777777" w:rsidR="00985B87" w:rsidRDefault="00944B8F" w:rsidP="00F421D6">
      <w:pPr>
        <w:pStyle w:val="EMEABullet2"/>
        <w:keepNext/>
        <w:numPr>
          <w:ilvl w:val="0"/>
          <w:numId w:val="98"/>
        </w:numPr>
        <w:tabs>
          <w:tab w:val="clear" w:pos="567"/>
          <w:tab w:val="num" w:pos="360"/>
          <w:tab w:val="num" w:pos="550"/>
        </w:tabs>
        <w:ind w:left="547" w:hanging="547"/>
        <w:rPr>
          <w:lang w:val="en-GB"/>
        </w:rPr>
      </w:pPr>
      <w:r>
        <w:rPr>
          <w:lang w:val="en-GB"/>
        </w:rPr>
        <w:t>swollen face, hands, feet</w:t>
      </w:r>
    </w:p>
    <w:p w14:paraId="27590DAF" w14:textId="77777777" w:rsidR="00985B87" w:rsidRDefault="00944B8F" w:rsidP="00F421D6">
      <w:pPr>
        <w:pStyle w:val="EMEABullet2"/>
        <w:keepNext/>
        <w:numPr>
          <w:ilvl w:val="0"/>
          <w:numId w:val="98"/>
        </w:numPr>
        <w:tabs>
          <w:tab w:val="clear" w:pos="567"/>
          <w:tab w:val="num" w:pos="360"/>
          <w:tab w:val="num" w:pos="550"/>
        </w:tabs>
        <w:ind w:left="547" w:hanging="547"/>
        <w:rPr>
          <w:lang w:val="en-GB"/>
        </w:rPr>
      </w:pPr>
      <w:r>
        <w:rPr>
          <w:lang w:val="en-GB"/>
        </w:rPr>
        <w:t>trouble breathing, swallowing</w:t>
      </w:r>
    </w:p>
    <w:p w14:paraId="1E6EBA35" w14:textId="77777777" w:rsidR="00985B87" w:rsidRDefault="00944B8F" w:rsidP="00F421D6">
      <w:pPr>
        <w:pStyle w:val="EMEABullet2"/>
        <w:keepNext/>
        <w:numPr>
          <w:ilvl w:val="0"/>
          <w:numId w:val="98"/>
        </w:numPr>
        <w:tabs>
          <w:tab w:val="clear" w:pos="567"/>
          <w:tab w:val="num" w:pos="360"/>
          <w:tab w:val="num" w:pos="550"/>
        </w:tabs>
        <w:ind w:left="547" w:hanging="547"/>
        <w:rPr>
          <w:lang w:val="en-GB"/>
        </w:rPr>
      </w:pPr>
      <w:r>
        <w:rPr>
          <w:lang w:val="en-GB"/>
        </w:rPr>
        <w:t>shortness of breath with physical activity or upon lying down or swelling of the feet</w:t>
      </w:r>
    </w:p>
    <w:p w14:paraId="18EA4F9C" w14:textId="77777777" w:rsidR="00985B87" w:rsidRDefault="00985B87" w:rsidP="001B6DEE">
      <w:pPr>
        <w:pStyle w:val="EMEABullet2"/>
        <w:tabs>
          <w:tab w:val="clear" w:pos="567"/>
          <w:tab w:val="num" w:pos="690"/>
        </w:tabs>
        <w:rPr>
          <w:lang w:val="en-GB"/>
        </w:rPr>
      </w:pPr>
    </w:p>
    <w:p w14:paraId="6FFCCAAB" w14:textId="77777777" w:rsidR="00985B87" w:rsidRDefault="00944B8F" w:rsidP="00985B87">
      <w:pPr>
        <w:ind w:left="567" w:hanging="567"/>
        <w:rPr>
          <w:b/>
        </w:rPr>
      </w:pPr>
      <w:r>
        <w:rPr>
          <w:b/>
        </w:rPr>
        <w:t>Tell your doctor as soon as possible if you notice any of the following</w:t>
      </w:r>
    </w:p>
    <w:p w14:paraId="4FF7E866" w14:textId="77777777" w:rsidR="00985B87" w:rsidRDefault="00985B87" w:rsidP="00985B87">
      <w:pPr>
        <w:ind w:left="567" w:hanging="567"/>
      </w:pPr>
    </w:p>
    <w:p w14:paraId="749B68A5" w14:textId="77777777" w:rsidR="00985B87" w:rsidRDefault="00944B8F" w:rsidP="00F421D6">
      <w:pPr>
        <w:pStyle w:val="EMEABullet2"/>
        <w:numPr>
          <w:ilvl w:val="0"/>
          <w:numId w:val="98"/>
        </w:numPr>
        <w:tabs>
          <w:tab w:val="clear" w:pos="567"/>
          <w:tab w:val="num" w:pos="360"/>
        </w:tabs>
        <w:ind w:left="360"/>
        <w:rPr>
          <w:lang w:val="en-GB"/>
        </w:rPr>
      </w:pPr>
      <w:r>
        <w:rPr>
          <w:lang w:val="en-GB"/>
        </w:rPr>
        <w:t>signs of infection such as fever, feeling sick, wounds, dental problems, burning on urination</w:t>
      </w:r>
    </w:p>
    <w:p w14:paraId="090A68BF" w14:textId="77777777" w:rsidR="00985B87" w:rsidRDefault="00944B8F" w:rsidP="00F421D6">
      <w:pPr>
        <w:pStyle w:val="EMEABullet2"/>
        <w:numPr>
          <w:ilvl w:val="0"/>
          <w:numId w:val="98"/>
        </w:numPr>
        <w:tabs>
          <w:tab w:val="clear" w:pos="567"/>
          <w:tab w:val="num" w:pos="360"/>
        </w:tabs>
        <w:ind w:left="360"/>
        <w:rPr>
          <w:lang w:val="en-GB"/>
        </w:rPr>
      </w:pPr>
      <w:r>
        <w:rPr>
          <w:lang w:val="en-GB"/>
        </w:rPr>
        <w:t>feeling weak or tired</w:t>
      </w:r>
    </w:p>
    <w:p w14:paraId="6F6122F4" w14:textId="77777777" w:rsidR="00985B87" w:rsidRDefault="00944B8F" w:rsidP="00F421D6">
      <w:pPr>
        <w:pStyle w:val="EMEABullet2"/>
        <w:numPr>
          <w:ilvl w:val="0"/>
          <w:numId w:val="98"/>
        </w:numPr>
        <w:tabs>
          <w:tab w:val="clear" w:pos="567"/>
          <w:tab w:val="num" w:pos="360"/>
        </w:tabs>
        <w:ind w:left="360"/>
        <w:rPr>
          <w:lang w:val="en-GB"/>
        </w:rPr>
      </w:pPr>
      <w:r>
        <w:rPr>
          <w:lang w:val="en-GB"/>
        </w:rPr>
        <w:t>coughing</w:t>
      </w:r>
    </w:p>
    <w:p w14:paraId="7C86D3FD" w14:textId="77777777" w:rsidR="00985B87" w:rsidRDefault="00944B8F" w:rsidP="00F421D6">
      <w:pPr>
        <w:pStyle w:val="EMEABullet2"/>
        <w:numPr>
          <w:ilvl w:val="0"/>
          <w:numId w:val="98"/>
        </w:numPr>
        <w:tabs>
          <w:tab w:val="clear" w:pos="567"/>
          <w:tab w:val="num" w:pos="360"/>
        </w:tabs>
        <w:ind w:left="360"/>
        <w:rPr>
          <w:lang w:val="en-GB"/>
        </w:rPr>
      </w:pPr>
      <w:r>
        <w:rPr>
          <w:lang w:val="en-GB"/>
        </w:rPr>
        <w:t>tingling</w:t>
      </w:r>
    </w:p>
    <w:p w14:paraId="5B7F79BC" w14:textId="77777777" w:rsidR="00985B87" w:rsidRDefault="00944B8F" w:rsidP="00F421D6">
      <w:pPr>
        <w:pStyle w:val="EMEABullet2"/>
        <w:numPr>
          <w:ilvl w:val="0"/>
          <w:numId w:val="98"/>
        </w:numPr>
        <w:tabs>
          <w:tab w:val="clear" w:pos="567"/>
          <w:tab w:val="num" w:pos="360"/>
        </w:tabs>
        <w:ind w:left="360"/>
        <w:rPr>
          <w:lang w:val="en-GB"/>
        </w:rPr>
      </w:pPr>
      <w:r>
        <w:rPr>
          <w:lang w:val="en-GB"/>
        </w:rPr>
        <w:t>numbness</w:t>
      </w:r>
    </w:p>
    <w:p w14:paraId="446DFFA2" w14:textId="77777777" w:rsidR="00985B87" w:rsidRDefault="00944B8F" w:rsidP="00F421D6">
      <w:pPr>
        <w:pStyle w:val="EMEABullet2"/>
        <w:numPr>
          <w:ilvl w:val="0"/>
          <w:numId w:val="98"/>
        </w:numPr>
        <w:tabs>
          <w:tab w:val="clear" w:pos="567"/>
          <w:tab w:val="num" w:pos="360"/>
        </w:tabs>
        <w:ind w:left="360"/>
        <w:rPr>
          <w:lang w:val="en-GB"/>
        </w:rPr>
      </w:pPr>
      <w:r>
        <w:rPr>
          <w:lang w:val="en-GB"/>
        </w:rPr>
        <w:t>double vision</w:t>
      </w:r>
    </w:p>
    <w:p w14:paraId="4AF4B7A0" w14:textId="77777777" w:rsidR="00985B87" w:rsidRDefault="00944B8F" w:rsidP="00F421D6">
      <w:pPr>
        <w:pStyle w:val="EMEABullet2"/>
        <w:numPr>
          <w:ilvl w:val="0"/>
          <w:numId w:val="98"/>
        </w:numPr>
        <w:tabs>
          <w:tab w:val="clear" w:pos="567"/>
          <w:tab w:val="num" w:pos="360"/>
        </w:tabs>
        <w:ind w:left="360"/>
        <w:rPr>
          <w:lang w:val="en-GB"/>
        </w:rPr>
      </w:pPr>
      <w:r>
        <w:rPr>
          <w:lang w:val="en-GB"/>
        </w:rPr>
        <w:t>arm or leg weakness</w:t>
      </w:r>
    </w:p>
    <w:p w14:paraId="293563CC" w14:textId="77777777" w:rsidR="00985B87" w:rsidRDefault="00944B8F" w:rsidP="70D4D675">
      <w:pPr>
        <w:pStyle w:val="EMEABullet2"/>
        <w:tabs>
          <w:tab w:val="clear" w:pos="567"/>
          <w:tab w:val="num" w:pos="360"/>
        </w:tabs>
        <w:ind w:left="360"/>
      </w:pPr>
      <w:r w:rsidRPr="70D4D675">
        <w:rPr>
          <w:lang w:val="en-GB"/>
        </w:rPr>
        <w:t>a bump or open sore that doesn't heal</w:t>
      </w:r>
    </w:p>
    <w:p w14:paraId="00424774" w14:textId="77777777" w:rsidR="00985B87" w:rsidRDefault="00944B8F" w:rsidP="00F421D6">
      <w:pPr>
        <w:pStyle w:val="EMEABullet2"/>
        <w:numPr>
          <w:ilvl w:val="0"/>
          <w:numId w:val="98"/>
        </w:numPr>
        <w:tabs>
          <w:tab w:val="clear" w:pos="567"/>
          <w:tab w:val="num" w:pos="360"/>
        </w:tabs>
        <w:ind w:left="360"/>
      </w:pPr>
      <w:r>
        <w:t>signs and symptoms suggestive of blood disorders such as persistent fever, bruising, bleeding, paleness</w:t>
      </w:r>
    </w:p>
    <w:p w14:paraId="09BBE56A" w14:textId="77777777" w:rsidR="00985B87" w:rsidRDefault="00985B87" w:rsidP="00985B87"/>
    <w:p w14:paraId="085CD6CC" w14:textId="77777777" w:rsidR="00985B87" w:rsidRDefault="00944B8F" w:rsidP="00985B87">
      <w:r>
        <w:t>The symptoms described above can be signs of the below listed side effects, which have been observed with Humira.</w:t>
      </w:r>
    </w:p>
    <w:p w14:paraId="6CA9164E" w14:textId="77777777" w:rsidR="00985B87" w:rsidRDefault="00985B87" w:rsidP="00985B87"/>
    <w:p w14:paraId="2DC9A6DA" w14:textId="77777777" w:rsidR="00985B87" w:rsidRDefault="00944B8F" w:rsidP="00985B87">
      <w:pPr>
        <w:rPr>
          <w:i/>
          <w:iCs/>
        </w:rPr>
      </w:pPr>
      <w:r>
        <w:rPr>
          <w:b/>
        </w:rPr>
        <w:t>Very common</w:t>
      </w:r>
      <w:r>
        <w:t xml:space="preserve"> (may affect more than 1 in 10 people)</w:t>
      </w:r>
      <w:r>
        <w:rPr>
          <w:i/>
          <w:iCs/>
        </w:rPr>
        <w:t xml:space="preserve">  </w:t>
      </w:r>
    </w:p>
    <w:p w14:paraId="2C12B72A" w14:textId="77777777" w:rsidR="00985B87" w:rsidRDefault="00985B87" w:rsidP="00985B87">
      <w:pPr>
        <w:rPr>
          <w:i/>
          <w:iCs/>
        </w:rPr>
      </w:pPr>
    </w:p>
    <w:p w14:paraId="6509820C" w14:textId="77777777" w:rsidR="00985B87" w:rsidRDefault="00944B8F" w:rsidP="00F421D6">
      <w:pPr>
        <w:numPr>
          <w:ilvl w:val="0"/>
          <w:numId w:val="98"/>
        </w:numPr>
        <w:tabs>
          <w:tab w:val="clear" w:pos="562"/>
          <w:tab w:val="num" w:pos="540"/>
        </w:tabs>
        <w:ind w:left="540" w:hanging="540"/>
      </w:pPr>
      <w:r>
        <w:t>injection site reactions (including pain, swelling, redness or itching)</w:t>
      </w:r>
    </w:p>
    <w:p w14:paraId="38CF049D" w14:textId="77777777" w:rsidR="00985B87" w:rsidRDefault="00944B8F" w:rsidP="00F421D6">
      <w:pPr>
        <w:numPr>
          <w:ilvl w:val="0"/>
          <w:numId w:val="98"/>
        </w:numPr>
        <w:tabs>
          <w:tab w:val="clear" w:pos="562"/>
          <w:tab w:val="num" w:pos="540"/>
        </w:tabs>
        <w:ind w:left="540" w:hanging="540"/>
      </w:pPr>
      <w:r>
        <w:t>respiratory tract infections (including cold, runny nose, sinus infection, pneumonia)</w:t>
      </w:r>
    </w:p>
    <w:p w14:paraId="78F0D758" w14:textId="77777777" w:rsidR="00985B87" w:rsidRDefault="00944B8F" w:rsidP="00F421D6">
      <w:pPr>
        <w:numPr>
          <w:ilvl w:val="0"/>
          <w:numId w:val="98"/>
        </w:numPr>
        <w:tabs>
          <w:tab w:val="clear" w:pos="562"/>
          <w:tab w:val="num" w:pos="540"/>
        </w:tabs>
        <w:ind w:left="540" w:hanging="540"/>
      </w:pPr>
      <w:r>
        <w:t>headache</w:t>
      </w:r>
    </w:p>
    <w:p w14:paraId="4A8242C7" w14:textId="77777777" w:rsidR="00985B87" w:rsidRDefault="00944B8F" w:rsidP="00F421D6">
      <w:pPr>
        <w:numPr>
          <w:ilvl w:val="0"/>
          <w:numId w:val="98"/>
        </w:numPr>
        <w:tabs>
          <w:tab w:val="clear" w:pos="562"/>
          <w:tab w:val="num" w:pos="540"/>
        </w:tabs>
        <w:ind w:left="540" w:hanging="540"/>
      </w:pPr>
      <w:r>
        <w:t>abdominal pain</w:t>
      </w:r>
    </w:p>
    <w:p w14:paraId="0248B738" w14:textId="77777777" w:rsidR="00985B87" w:rsidRDefault="00944B8F" w:rsidP="00F421D6">
      <w:pPr>
        <w:numPr>
          <w:ilvl w:val="0"/>
          <w:numId w:val="98"/>
        </w:numPr>
        <w:tabs>
          <w:tab w:val="clear" w:pos="562"/>
          <w:tab w:val="num" w:pos="540"/>
        </w:tabs>
        <w:ind w:left="540" w:hanging="540"/>
      </w:pPr>
      <w:r>
        <w:t>nausea and vomiting</w:t>
      </w:r>
    </w:p>
    <w:p w14:paraId="3AA99A8A" w14:textId="77777777" w:rsidR="00985B87" w:rsidRDefault="00944B8F" w:rsidP="00F421D6">
      <w:pPr>
        <w:numPr>
          <w:ilvl w:val="0"/>
          <w:numId w:val="98"/>
        </w:numPr>
        <w:tabs>
          <w:tab w:val="clear" w:pos="562"/>
          <w:tab w:val="num" w:pos="540"/>
        </w:tabs>
        <w:ind w:left="540" w:hanging="540"/>
      </w:pPr>
      <w:r>
        <w:t>rash</w:t>
      </w:r>
    </w:p>
    <w:p w14:paraId="179A66A5" w14:textId="77777777" w:rsidR="00985B87" w:rsidRDefault="00944B8F" w:rsidP="00F421D6">
      <w:pPr>
        <w:numPr>
          <w:ilvl w:val="0"/>
          <w:numId w:val="98"/>
        </w:numPr>
        <w:tabs>
          <w:tab w:val="clear" w:pos="562"/>
          <w:tab w:val="num" w:pos="540"/>
        </w:tabs>
        <w:ind w:left="540" w:hanging="540"/>
      </w:pPr>
      <w:r>
        <w:t>musculoskeletal pain</w:t>
      </w:r>
    </w:p>
    <w:p w14:paraId="19608F80" w14:textId="77777777" w:rsidR="00985B87" w:rsidRDefault="00985B87" w:rsidP="00985B87"/>
    <w:p w14:paraId="286DE6E3" w14:textId="77777777" w:rsidR="00985B87" w:rsidRDefault="00944B8F" w:rsidP="00985B87">
      <w:pPr>
        <w:rPr>
          <w:i/>
          <w:iCs/>
        </w:rPr>
      </w:pPr>
      <w:r>
        <w:rPr>
          <w:b/>
        </w:rPr>
        <w:t>Common</w:t>
      </w:r>
      <w:r>
        <w:t xml:space="preserve"> (may affect up to 1 in 10 people)</w:t>
      </w:r>
      <w:r>
        <w:rPr>
          <w:i/>
          <w:iCs/>
        </w:rPr>
        <w:t xml:space="preserve"> </w:t>
      </w:r>
    </w:p>
    <w:p w14:paraId="1B3F4D96" w14:textId="77777777" w:rsidR="00985B87" w:rsidRDefault="00985B87" w:rsidP="00985B87">
      <w:pPr>
        <w:rPr>
          <w:i/>
          <w:iCs/>
        </w:rPr>
      </w:pPr>
    </w:p>
    <w:p w14:paraId="66903308" w14:textId="77777777" w:rsidR="00985B87" w:rsidRDefault="00944B8F" w:rsidP="00F421D6">
      <w:pPr>
        <w:numPr>
          <w:ilvl w:val="0"/>
          <w:numId w:val="98"/>
        </w:numPr>
        <w:ind w:left="540" w:hanging="540"/>
      </w:pPr>
      <w:r>
        <w:t>serious infections (including blood poisoning and influenza)</w:t>
      </w:r>
    </w:p>
    <w:p w14:paraId="450294F2" w14:textId="77777777" w:rsidR="003068F4" w:rsidRDefault="00944B8F" w:rsidP="00F421D6">
      <w:pPr>
        <w:numPr>
          <w:ilvl w:val="0"/>
          <w:numId w:val="98"/>
        </w:numPr>
        <w:ind w:left="540" w:hanging="540"/>
      </w:pPr>
      <w:r>
        <w:t>intestinal infections</w:t>
      </w:r>
      <w:r w:rsidR="00D74D73">
        <w:t xml:space="preserve"> (including gastroenteritis)</w:t>
      </w:r>
    </w:p>
    <w:p w14:paraId="0F18D5FE" w14:textId="77777777" w:rsidR="00985B87" w:rsidRDefault="00944B8F" w:rsidP="00F421D6">
      <w:pPr>
        <w:numPr>
          <w:ilvl w:val="0"/>
          <w:numId w:val="98"/>
        </w:numPr>
        <w:ind w:left="540" w:hanging="540"/>
      </w:pPr>
      <w:r>
        <w:t>skin infections (including cellulitis and shingles)</w:t>
      </w:r>
    </w:p>
    <w:p w14:paraId="46D62F17" w14:textId="77777777" w:rsidR="00985B87" w:rsidRDefault="00944B8F" w:rsidP="00F421D6">
      <w:pPr>
        <w:numPr>
          <w:ilvl w:val="0"/>
          <w:numId w:val="98"/>
        </w:numPr>
        <w:ind w:left="540" w:hanging="540"/>
      </w:pPr>
      <w:r>
        <w:t>ear infections</w:t>
      </w:r>
    </w:p>
    <w:p w14:paraId="21D95994" w14:textId="77777777" w:rsidR="00985B87" w:rsidRDefault="00944B8F" w:rsidP="00F421D6">
      <w:pPr>
        <w:numPr>
          <w:ilvl w:val="0"/>
          <w:numId w:val="98"/>
        </w:numPr>
        <w:ind w:left="540" w:hanging="540"/>
      </w:pPr>
      <w:r>
        <w:t>oral infections (including tooth infections and cold sores)</w:t>
      </w:r>
    </w:p>
    <w:p w14:paraId="2A4E3C89" w14:textId="77777777" w:rsidR="00985B87" w:rsidRDefault="00944B8F" w:rsidP="00F421D6">
      <w:pPr>
        <w:numPr>
          <w:ilvl w:val="0"/>
          <w:numId w:val="98"/>
        </w:numPr>
        <w:ind w:left="540" w:hanging="540"/>
      </w:pPr>
      <w:r>
        <w:t>reproductive tract infections</w:t>
      </w:r>
    </w:p>
    <w:p w14:paraId="16752F56" w14:textId="77777777" w:rsidR="00985B87" w:rsidRDefault="00944B8F" w:rsidP="00F421D6">
      <w:pPr>
        <w:numPr>
          <w:ilvl w:val="0"/>
          <w:numId w:val="98"/>
        </w:numPr>
        <w:ind w:left="540" w:hanging="540"/>
      </w:pPr>
      <w:r>
        <w:t>urinary tract infection</w:t>
      </w:r>
    </w:p>
    <w:p w14:paraId="28A5A85F" w14:textId="77777777" w:rsidR="00985B87" w:rsidRDefault="00944B8F" w:rsidP="00F421D6">
      <w:pPr>
        <w:numPr>
          <w:ilvl w:val="0"/>
          <w:numId w:val="98"/>
        </w:numPr>
        <w:ind w:left="540" w:hanging="540"/>
      </w:pPr>
      <w:r>
        <w:t>fungal infections</w:t>
      </w:r>
    </w:p>
    <w:p w14:paraId="76390BD7" w14:textId="77777777" w:rsidR="00985B87" w:rsidRDefault="00944B8F" w:rsidP="00F421D6">
      <w:pPr>
        <w:numPr>
          <w:ilvl w:val="0"/>
          <w:numId w:val="98"/>
        </w:numPr>
        <w:ind w:left="540" w:hanging="540"/>
      </w:pPr>
      <w:r>
        <w:t>joint infections</w:t>
      </w:r>
    </w:p>
    <w:p w14:paraId="05883451" w14:textId="77777777" w:rsidR="00985B87" w:rsidRDefault="00944B8F" w:rsidP="00F421D6">
      <w:pPr>
        <w:numPr>
          <w:ilvl w:val="0"/>
          <w:numId w:val="98"/>
        </w:numPr>
        <w:ind w:left="540" w:hanging="540"/>
      </w:pPr>
      <w:r>
        <w:t>benign tumours</w:t>
      </w:r>
    </w:p>
    <w:p w14:paraId="554BA89E" w14:textId="77777777" w:rsidR="00985B87" w:rsidRDefault="00944B8F" w:rsidP="00F421D6">
      <w:pPr>
        <w:numPr>
          <w:ilvl w:val="0"/>
          <w:numId w:val="98"/>
        </w:numPr>
        <w:ind w:left="540" w:hanging="540"/>
      </w:pPr>
      <w:r>
        <w:t>skin cancer</w:t>
      </w:r>
    </w:p>
    <w:p w14:paraId="5290A125" w14:textId="77777777" w:rsidR="00985B87" w:rsidRDefault="00944B8F" w:rsidP="00F421D6">
      <w:pPr>
        <w:numPr>
          <w:ilvl w:val="0"/>
          <w:numId w:val="98"/>
        </w:numPr>
        <w:ind w:left="540" w:hanging="540"/>
      </w:pPr>
      <w:r>
        <w:t>allergic reactions (including seasonal allergy)</w:t>
      </w:r>
    </w:p>
    <w:p w14:paraId="1182E9ED" w14:textId="77777777" w:rsidR="00985B87" w:rsidRDefault="00944B8F" w:rsidP="00F421D6">
      <w:pPr>
        <w:numPr>
          <w:ilvl w:val="0"/>
          <w:numId w:val="98"/>
        </w:numPr>
        <w:ind w:left="540" w:hanging="540"/>
      </w:pPr>
      <w:r>
        <w:t>dehydration</w:t>
      </w:r>
    </w:p>
    <w:p w14:paraId="6654E8A3" w14:textId="77777777" w:rsidR="00985B87" w:rsidRDefault="00944B8F" w:rsidP="00F421D6">
      <w:pPr>
        <w:numPr>
          <w:ilvl w:val="0"/>
          <w:numId w:val="98"/>
        </w:numPr>
        <w:ind w:left="540" w:hanging="540"/>
      </w:pPr>
      <w:r>
        <w:t>mood swings (including depression)</w:t>
      </w:r>
    </w:p>
    <w:p w14:paraId="626D9040" w14:textId="77777777" w:rsidR="00985B87" w:rsidRDefault="00944B8F" w:rsidP="00F421D6">
      <w:pPr>
        <w:numPr>
          <w:ilvl w:val="0"/>
          <w:numId w:val="98"/>
        </w:numPr>
        <w:ind w:left="540" w:hanging="540"/>
      </w:pPr>
      <w:r>
        <w:t>anxiety</w:t>
      </w:r>
    </w:p>
    <w:p w14:paraId="2043DBB1" w14:textId="77777777" w:rsidR="00985B87" w:rsidRDefault="00944B8F" w:rsidP="00F421D6">
      <w:pPr>
        <w:numPr>
          <w:ilvl w:val="0"/>
          <w:numId w:val="98"/>
        </w:numPr>
        <w:ind w:left="540" w:hanging="540"/>
      </w:pPr>
      <w:r>
        <w:t>difficulty sleeping</w:t>
      </w:r>
    </w:p>
    <w:p w14:paraId="664FD31D" w14:textId="77777777" w:rsidR="00985B87" w:rsidRDefault="00944B8F" w:rsidP="00F421D6">
      <w:pPr>
        <w:numPr>
          <w:ilvl w:val="0"/>
          <w:numId w:val="98"/>
        </w:numPr>
        <w:ind w:left="540" w:hanging="540"/>
      </w:pPr>
      <w:r>
        <w:lastRenderedPageBreak/>
        <w:t>sensation disorders such as tingling, prickling or numbness</w:t>
      </w:r>
    </w:p>
    <w:p w14:paraId="1F62FA1F" w14:textId="77777777" w:rsidR="00985B87" w:rsidRDefault="00944B8F" w:rsidP="00F421D6">
      <w:pPr>
        <w:numPr>
          <w:ilvl w:val="0"/>
          <w:numId w:val="98"/>
        </w:numPr>
        <w:ind w:left="540" w:hanging="540"/>
      </w:pPr>
      <w:r>
        <w:t>migraine</w:t>
      </w:r>
    </w:p>
    <w:p w14:paraId="33223108" w14:textId="77777777" w:rsidR="00985B87" w:rsidRDefault="00944B8F" w:rsidP="00F421D6">
      <w:pPr>
        <w:numPr>
          <w:ilvl w:val="0"/>
          <w:numId w:val="98"/>
        </w:numPr>
        <w:ind w:left="540" w:hanging="540"/>
      </w:pPr>
      <w:r>
        <w:t>nerve root compression (including low back pain and leg pain)</w:t>
      </w:r>
    </w:p>
    <w:p w14:paraId="41BFDB78" w14:textId="77777777" w:rsidR="00985B87" w:rsidRDefault="00944B8F" w:rsidP="00F421D6">
      <w:pPr>
        <w:numPr>
          <w:ilvl w:val="0"/>
          <w:numId w:val="98"/>
        </w:numPr>
        <w:ind w:left="540" w:hanging="540"/>
      </w:pPr>
      <w:r>
        <w:t>vision disturbances</w:t>
      </w:r>
    </w:p>
    <w:p w14:paraId="78536315" w14:textId="77777777" w:rsidR="00985B87" w:rsidRDefault="00944B8F" w:rsidP="00F421D6">
      <w:pPr>
        <w:numPr>
          <w:ilvl w:val="0"/>
          <w:numId w:val="98"/>
        </w:numPr>
        <w:ind w:left="540" w:hanging="540"/>
      </w:pPr>
      <w:r>
        <w:t>eye inflammation</w:t>
      </w:r>
    </w:p>
    <w:p w14:paraId="320D0A53" w14:textId="77777777" w:rsidR="00985B87" w:rsidRDefault="00944B8F" w:rsidP="00F421D6">
      <w:pPr>
        <w:numPr>
          <w:ilvl w:val="0"/>
          <w:numId w:val="98"/>
        </w:numPr>
        <w:ind w:left="540" w:hanging="540"/>
      </w:pPr>
      <w:r>
        <w:t>inflammation of the eye lid and eye swelling</w:t>
      </w:r>
    </w:p>
    <w:p w14:paraId="3951E8FF" w14:textId="77777777" w:rsidR="00985B87" w:rsidRDefault="00944B8F" w:rsidP="00F421D6">
      <w:pPr>
        <w:numPr>
          <w:ilvl w:val="0"/>
          <w:numId w:val="98"/>
        </w:numPr>
        <w:ind w:left="540" w:hanging="540"/>
      </w:pPr>
      <w:r>
        <w:t>vertigo (feeling of dizziness or spinning)</w:t>
      </w:r>
    </w:p>
    <w:p w14:paraId="1664461F" w14:textId="77777777" w:rsidR="00985B87" w:rsidRDefault="00944B8F" w:rsidP="00F421D6">
      <w:pPr>
        <w:numPr>
          <w:ilvl w:val="0"/>
          <w:numId w:val="98"/>
        </w:numPr>
        <w:ind w:left="540" w:hanging="540"/>
      </w:pPr>
      <w:r>
        <w:t>sensation of heart beating rapidly</w:t>
      </w:r>
    </w:p>
    <w:p w14:paraId="1FE2D1AE" w14:textId="77777777" w:rsidR="00985B87" w:rsidRDefault="00944B8F" w:rsidP="00F421D6">
      <w:pPr>
        <w:numPr>
          <w:ilvl w:val="0"/>
          <w:numId w:val="98"/>
        </w:numPr>
        <w:ind w:left="540" w:hanging="540"/>
      </w:pPr>
      <w:r>
        <w:t>high blood pressure</w:t>
      </w:r>
    </w:p>
    <w:p w14:paraId="5B92BF73" w14:textId="77777777" w:rsidR="00985B87" w:rsidRDefault="00944B8F" w:rsidP="00F421D6">
      <w:pPr>
        <w:numPr>
          <w:ilvl w:val="0"/>
          <w:numId w:val="98"/>
        </w:numPr>
        <w:ind w:left="540" w:hanging="540"/>
      </w:pPr>
      <w:r>
        <w:t>flushing</w:t>
      </w:r>
    </w:p>
    <w:p w14:paraId="27C7844F" w14:textId="77777777" w:rsidR="00985B87" w:rsidRDefault="00944B8F" w:rsidP="00F421D6">
      <w:pPr>
        <w:numPr>
          <w:ilvl w:val="0"/>
          <w:numId w:val="98"/>
        </w:numPr>
        <w:ind w:left="540" w:hanging="540"/>
      </w:pPr>
      <w:r>
        <w:t>haematoma (collection of blood outside of blood vessels)</w:t>
      </w:r>
    </w:p>
    <w:p w14:paraId="2C2B82E6" w14:textId="77777777" w:rsidR="00985B87" w:rsidRDefault="00944B8F" w:rsidP="00F421D6">
      <w:pPr>
        <w:numPr>
          <w:ilvl w:val="0"/>
          <w:numId w:val="98"/>
        </w:numPr>
        <w:ind w:left="540" w:hanging="540"/>
      </w:pPr>
      <w:r>
        <w:t>cough</w:t>
      </w:r>
    </w:p>
    <w:p w14:paraId="1C496DE0" w14:textId="77777777" w:rsidR="00985B87" w:rsidRDefault="00944B8F" w:rsidP="00F421D6">
      <w:pPr>
        <w:numPr>
          <w:ilvl w:val="0"/>
          <w:numId w:val="98"/>
        </w:numPr>
        <w:ind w:left="540" w:hanging="540"/>
      </w:pPr>
      <w:r>
        <w:t>asthma</w:t>
      </w:r>
    </w:p>
    <w:p w14:paraId="4808E651" w14:textId="77777777" w:rsidR="00985B87" w:rsidRDefault="00944B8F" w:rsidP="00F421D6">
      <w:pPr>
        <w:numPr>
          <w:ilvl w:val="0"/>
          <w:numId w:val="98"/>
        </w:numPr>
        <w:ind w:left="540" w:hanging="540"/>
      </w:pPr>
      <w:r>
        <w:t>shortness of breath</w:t>
      </w:r>
    </w:p>
    <w:p w14:paraId="18789742" w14:textId="77777777" w:rsidR="00985B87" w:rsidRDefault="00944B8F" w:rsidP="00F421D6">
      <w:pPr>
        <w:numPr>
          <w:ilvl w:val="0"/>
          <w:numId w:val="98"/>
        </w:numPr>
        <w:ind w:left="540" w:hanging="540"/>
      </w:pPr>
      <w:r>
        <w:t>gastrointestinal bleeding</w:t>
      </w:r>
    </w:p>
    <w:p w14:paraId="654F6CAE" w14:textId="77777777" w:rsidR="00985B87" w:rsidRDefault="00944B8F" w:rsidP="00F421D6">
      <w:pPr>
        <w:numPr>
          <w:ilvl w:val="0"/>
          <w:numId w:val="98"/>
        </w:numPr>
        <w:ind w:left="540" w:hanging="540"/>
      </w:pPr>
      <w:r>
        <w:t>dyspepsia (indigestion, bloating, heart burn)</w:t>
      </w:r>
    </w:p>
    <w:p w14:paraId="330947C6" w14:textId="77777777" w:rsidR="00985B87" w:rsidRDefault="00944B8F" w:rsidP="00F421D6">
      <w:pPr>
        <w:numPr>
          <w:ilvl w:val="0"/>
          <w:numId w:val="98"/>
        </w:numPr>
        <w:ind w:left="540" w:hanging="540"/>
      </w:pPr>
      <w:r>
        <w:t>acid reflux disease</w:t>
      </w:r>
    </w:p>
    <w:p w14:paraId="06133460" w14:textId="77777777" w:rsidR="00985B87" w:rsidRDefault="00944B8F" w:rsidP="00F421D6">
      <w:pPr>
        <w:numPr>
          <w:ilvl w:val="0"/>
          <w:numId w:val="98"/>
        </w:numPr>
        <w:ind w:left="540" w:hanging="540"/>
      </w:pPr>
      <w:r>
        <w:t>sicca syndrome (including dry eyes and dry mouth)</w:t>
      </w:r>
    </w:p>
    <w:p w14:paraId="29CCF841" w14:textId="77777777" w:rsidR="00985B87" w:rsidRDefault="00944B8F" w:rsidP="00F421D6">
      <w:pPr>
        <w:numPr>
          <w:ilvl w:val="0"/>
          <w:numId w:val="98"/>
        </w:numPr>
        <w:ind w:left="540" w:hanging="540"/>
      </w:pPr>
      <w:r>
        <w:t>itching</w:t>
      </w:r>
    </w:p>
    <w:p w14:paraId="375CA3FD" w14:textId="77777777" w:rsidR="00985B87" w:rsidRDefault="00944B8F" w:rsidP="00F421D6">
      <w:pPr>
        <w:pStyle w:val="EMEABullet2"/>
        <w:numPr>
          <w:ilvl w:val="0"/>
          <w:numId w:val="98"/>
        </w:numPr>
        <w:tabs>
          <w:tab w:val="left" w:pos="540"/>
        </w:tabs>
        <w:ind w:left="540" w:hanging="540"/>
        <w:rPr>
          <w:lang w:val="en-GB"/>
        </w:rPr>
      </w:pPr>
      <w:r>
        <w:rPr>
          <w:lang w:val="en-GB"/>
        </w:rPr>
        <w:t>itchy rash</w:t>
      </w:r>
    </w:p>
    <w:p w14:paraId="780BFA99" w14:textId="77777777" w:rsidR="00985B87" w:rsidRDefault="00944B8F" w:rsidP="00F421D6">
      <w:pPr>
        <w:pStyle w:val="EMEABullet2"/>
        <w:numPr>
          <w:ilvl w:val="0"/>
          <w:numId w:val="98"/>
        </w:numPr>
        <w:tabs>
          <w:tab w:val="left" w:pos="540"/>
        </w:tabs>
        <w:ind w:left="540" w:hanging="540"/>
        <w:rPr>
          <w:lang w:val="en-GB"/>
        </w:rPr>
      </w:pPr>
      <w:r>
        <w:rPr>
          <w:lang w:val="en-GB"/>
        </w:rPr>
        <w:t>bruising</w:t>
      </w:r>
    </w:p>
    <w:p w14:paraId="7E99A9AD" w14:textId="77777777" w:rsidR="00985B87" w:rsidRDefault="00944B8F" w:rsidP="00F421D6">
      <w:pPr>
        <w:pStyle w:val="EMEABullet2"/>
        <w:numPr>
          <w:ilvl w:val="0"/>
          <w:numId w:val="98"/>
        </w:numPr>
        <w:tabs>
          <w:tab w:val="left" w:pos="540"/>
        </w:tabs>
        <w:ind w:left="540" w:hanging="540"/>
        <w:rPr>
          <w:lang w:val="en-GB"/>
        </w:rPr>
      </w:pPr>
      <w:r>
        <w:rPr>
          <w:lang w:val="en-GB"/>
        </w:rPr>
        <w:t>inflammation of the skin (such as eczema)</w:t>
      </w:r>
    </w:p>
    <w:p w14:paraId="680F59D7" w14:textId="77777777" w:rsidR="00985B87" w:rsidRDefault="00944B8F" w:rsidP="00F421D6">
      <w:pPr>
        <w:pStyle w:val="EMEABullet2"/>
        <w:numPr>
          <w:ilvl w:val="0"/>
          <w:numId w:val="98"/>
        </w:numPr>
        <w:tabs>
          <w:tab w:val="left" w:pos="540"/>
        </w:tabs>
        <w:ind w:left="540" w:hanging="540"/>
        <w:rPr>
          <w:lang w:val="en-GB"/>
        </w:rPr>
      </w:pPr>
      <w:r>
        <w:rPr>
          <w:lang w:val="en-GB"/>
        </w:rPr>
        <w:t>breaking of finger nails and toe nails</w:t>
      </w:r>
    </w:p>
    <w:p w14:paraId="2FF68105" w14:textId="77777777" w:rsidR="00985B87" w:rsidRDefault="00944B8F" w:rsidP="00F421D6">
      <w:pPr>
        <w:pStyle w:val="EMEABullet2"/>
        <w:numPr>
          <w:ilvl w:val="0"/>
          <w:numId w:val="98"/>
        </w:numPr>
        <w:tabs>
          <w:tab w:val="left" w:pos="540"/>
        </w:tabs>
        <w:ind w:left="540" w:hanging="540"/>
        <w:rPr>
          <w:lang w:val="en-GB"/>
        </w:rPr>
      </w:pPr>
      <w:r>
        <w:rPr>
          <w:lang w:val="en-GB"/>
        </w:rPr>
        <w:t>increased sweating</w:t>
      </w:r>
    </w:p>
    <w:p w14:paraId="1EC07695" w14:textId="77777777" w:rsidR="00985B87" w:rsidRDefault="00944B8F" w:rsidP="00F421D6">
      <w:pPr>
        <w:pStyle w:val="EMEABullet2"/>
        <w:numPr>
          <w:ilvl w:val="0"/>
          <w:numId w:val="98"/>
        </w:numPr>
        <w:tabs>
          <w:tab w:val="left" w:pos="540"/>
        </w:tabs>
        <w:ind w:left="540" w:hanging="540"/>
        <w:rPr>
          <w:lang w:val="en-GB"/>
        </w:rPr>
      </w:pPr>
      <w:r>
        <w:rPr>
          <w:lang w:val="en-GB"/>
        </w:rPr>
        <w:t>hair loss</w:t>
      </w:r>
    </w:p>
    <w:p w14:paraId="5891FCD5" w14:textId="77777777" w:rsidR="00985B87" w:rsidRDefault="00944B8F" w:rsidP="00F421D6">
      <w:pPr>
        <w:pStyle w:val="EMEABullet2"/>
        <w:numPr>
          <w:ilvl w:val="0"/>
          <w:numId w:val="98"/>
        </w:numPr>
        <w:tabs>
          <w:tab w:val="left" w:pos="540"/>
        </w:tabs>
        <w:ind w:left="540" w:hanging="540"/>
        <w:rPr>
          <w:lang w:val="en-GB"/>
        </w:rPr>
      </w:pPr>
      <w:r>
        <w:rPr>
          <w:lang w:val="en-GB"/>
        </w:rPr>
        <w:t>new onset or worsening of psoriasis</w:t>
      </w:r>
    </w:p>
    <w:p w14:paraId="739D54E3" w14:textId="77777777" w:rsidR="00985B87" w:rsidRDefault="00944B8F" w:rsidP="00F421D6">
      <w:pPr>
        <w:pStyle w:val="EMEABullet2"/>
        <w:numPr>
          <w:ilvl w:val="0"/>
          <w:numId w:val="98"/>
        </w:numPr>
        <w:tabs>
          <w:tab w:val="left" w:pos="540"/>
        </w:tabs>
        <w:ind w:left="540" w:hanging="540"/>
        <w:rPr>
          <w:lang w:val="en-GB"/>
        </w:rPr>
      </w:pPr>
      <w:r>
        <w:rPr>
          <w:lang w:val="en-GB"/>
        </w:rPr>
        <w:t>muscle spasms</w:t>
      </w:r>
    </w:p>
    <w:p w14:paraId="75CE7CAD" w14:textId="77777777" w:rsidR="00985B87" w:rsidRDefault="00944B8F" w:rsidP="00F421D6">
      <w:pPr>
        <w:pStyle w:val="EMEABullet2"/>
        <w:numPr>
          <w:ilvl w:val="0"/>
          <w:numId w:val="98"/>
        </w:numPr>
        <w:tabs>
          <w:tab w:val="left" w:pos="540"/>
        </w:tabs>
        <w:ind w:left="540" w:hanging="540"/>
        <w:rPr>
          <w:lang w:val="en-GB"/>
        </w:rPr>
      </w:pPr>
      <w:r>
        <w:rPr>
          <w:lang w:val="en-GB"/>
        </w:rPr>
        <w:t>blood in urine</w:t>
      </w:r>
    </w:p>
    <w:p w14:paraId="0D91EE90" w14:textId="77777777" w:rsidR="00985B87" w:rsidRDefault="00944B8F" w:rsidP="00F421D6">
      <w:pPr>
        <w:pStyle w:val="EMEABullet2"/>
        <w:numPr>
          <w:ilvl w:val="0"/>
          <w:numId w:val="98"/>
        </w:numPr>
        <w:tabs>
          <w:tab w:val="left" w:pos="540"/>
        </w:tabs>
        <w:ind w:left="540" w:hanging="540"/>
        <w:rPr>
          <w:lang w:val="en-GB"/>
        </w:rPr>
      </w:pPr>
      <w:r>
        <w:rPr>
          <w:lang w:val="en-GB"/>
        </w:rPr>
        <w:t>kidney problems</w:t>
      </w:r>
    </w:p>
    <w:p w14:paraId="3279CB94" w14:textId="77777777" w:rsidR="00985B87" w:rsidRDefault="00944B8F" w:rsidP="00F421D6">
      <w:pPr>
        <w:pStyle w:val="EMEABullet2"/>
        <w:numPr>
          <w:ilvl w:val="0"/>
          <w:numId w:val="98"/>
        </w:numPr>
        <w:tabs>
          <w:tab w:val="left" w:pos="540"/>
        </w:tabs>
        <w:ind w:left="540" w:hanging="540"/>
        <w:rPr>
          <w:lang w:val="en-GB"/>
        </w:rPr>
      </w:pPr>
      <w:r>
        <w:rPr>
          <w:lang w:val="en-GB"/>
        </w:rPr>
        <w:t>chest pain</w:t>
      </w:r>
    </w:p>
    <w:p w14:paraId="0583A843" w14:textId="77777777" w:rsidR="00985B87" w:rsidRDefault="00944B8F" w:rsidP="00F421D6">
      <w:pPr>
        <w:pStyle w:val="EMEABullet2"/>
        <w:numPr>
          <w:ilvl w:val="0"/>
          <w:numId w:val="98"/>
        </w:numPr>
        <w:tabs>
          <w:tab w:val="left" w:pos="540"/>
        </w:tabs>
        <w:ind w:left="540" w:hanging="540"/>
        <w:rPr>
          <w:lang w:val="en-GB"/>
        </w:rPr>
      </w:pPr>
      <w:r>
        <w:rPr>
          <w:lang w:val="en-GB"/>
        </w:rPr>
        <w:t>oedema (swelling)</w:t>
      </w:r>
    </w:p>
    <w:p w14:paraId="26DACE5C" w14:textId="77777777" w:rsidR="00985B87" w:rsidRDefault="00944B8F" w:rsidP="00F421D6">
      <w:pPr>
        <w:pStyle w:val="EMEABullet2"/>
        <w:numPr>
          <w:ilvl w:val="0"/>
          <w:numId w:val="98"/>
        </w:numPr>
        <w:tabs>
          <w:tab w:val="left" w:pos="540"/>
        </w:tabs>
        <w:ind w:left="540" w:hanging="540"/>
        <w:rPr>
          <w:lang w:val="en-GB"/>
        </w:rPr>
      </w:pPr>
      <w:r>
        <w:rPr>
          <w:lang w:val="en-GB"/>
        </w:rPr>
        <w:t>fever</w:t>
      </w:r>
    </w:p>
    <w:p w14:paraId="332B65DB" w14:textId="77777777" w:rsidR="00985B87" w:rsidRDefault="00944B8F" w:rsidP="00F421D6">
      <w:pPr>
        <w:numPr>
          <w:ilvl w:val="0"/>
          <w:numId w:val="98"/>
        </w:numPr>
        <w:tabs>
          <w:tab w:val="clear" w:pos="562"/>
          <w:tab w:val="num" w:pos="540"/>
        </w:tabs>
        <w:ind w:left="540" w:hanging="540"/>
      </w:pPr>
      <w:r>
        <w:t>reduction in blood platelets which increases risk of bleeding or bruising</w:t>
      </w:r>
    </w:p>
    <w:p w14:paraId="22EF5282" w14:textId="77777777" w:rsidR="00985B87" w:rsidRDefault="00944B8F" w:rsidP="00F421D6">
      <w:pPr>
        <w:numPr>
          <w:ilvl w:val="0"/>
          <w:numId w:val="98"/>
        </w:numPr>
        <w:tabs>
          <w:tab w:val="clear" w:pos="562"/>
          <w:tab w:val="num" w:pos="540"/>
        </w:tabs>
        <w:ind w:left="540" w:hanging="540"/>
      </w:pPr>
      <w:r>
        <w:t>impaired healing</w:t>
      </w:r>
    </w:p>
    <w:p w14:paraId="523D17CC" w14:textId="77777777" w:rsidR="00985B87" w:rsidRDefault="00985B87" w:rsidP="00985B87"/>
    <w:p w14:paraId="0CC6CD65" w14:textId="77777777" w:rsidR="00985B87" w:rsidRDefault="00944B8F" w:rsidP="00985B87">
      <w:r>
        <w:rPr>
          <w:b/>
        </w:rPr>
        <w:t>Uncommon</w:t>
      </w:r>
      <w:r>
        <w:t xml:space="preserve"> (may affect up to 1 in 100 people)  </w:t>
      </w:r>
    </w:p>
    <w:p w14:paraId="41C25ED4" w14:textId="77777777" w:rsidR="00985B87" w:rsidRDefault="00985B87" w:rsidP="00985B87"/>
    <w:p w14:paraId="58BCBB43" w14:textId="77777777" w:rsidR="00985B87" w:rsidRDefault="00944B8F" w:rsidP="00F421D6">
      <w:pPr>
        <w:numPr>
          <w:ilvl w:val="0"/>
          <w:numId w:val="107"/>
        </w:numPr>
        <w:tabs>
          <w:tab w:val="clear" w:pos="562"/>
          <w:tab w:val="num" w:pos="540"/>
        </w:tabs>
        <w:ind w:left="540" w:hanging="540"/>
      </w:pPr>
      <w:r>
        <w:t>opportunistic infections (which include tuberculosis and other infections that occur when resistance to disease is lowered)</w:t>
      </w:r>
    </w:p>
    <w:p w14:paraId="5B68E7C8" w14:textId="77777777" w:rsidR="00985B87" w:rsidRDefault="00944B8F" w:rsidP="00F421D6">
      <w:pPr>
        <w:numPr>
          <w:ilvl w:val="0"/>
          <w:numId w:val="107"/>
        </w:numPr>
        <w:tabs>
          <w:tab w:val="clear" w:pos="562"/>
          <w:tab w:val="num" w:pos="540"/>
        </w:tabs>
        <w:ind w:left="540" w:hanging="540"/>
      </w:pPr>
      <w:r>
        <w:t>neurological infections (including viral meningitis)</w:t>
      </w:r>
    </w:p>
    <w:p w14:paraId="6290D9D1" w14:textId="77777777" w:rsidR="00985B87" w:rsidRDefault="00944B8F" w:rsidP="00F421D6">
      <w:pPr>
        <w:numPr>
          <w:ilvl w:val="0"/>
          <w:numId w:val="107"/>
        </w:numPr>
        <w:tabs>
          <w:tab w:val="clear" w:pos="562"/>
          <w:tab w:val="num" w:pos="540"/>
        </w:tabs>
        <w:ind w:left="540" w:hanging="540"/>
      </w:pPr>
      <w:r>
        <w:t>eye infections</w:t>
      </w:r>
    </w:p>
    <w:p w14:paraId="6A0111EC" w14:textId="77777777" w:rsidR="00985B87" w:rsidRDefault="00944B8F" w:rsidP="00F421D6">
      <w:pPr>
        <w:numPr>
          <w:ilvl w:val="0"/>
          <w:numId w:val="107"/>
        </w:numPr>
        <w:tabs>
          <w:tab w:val="clear" w:pos="562"/>
          <w:tab w:val="num" w:pos="540"/>
        </w:tabs>
        <w:ind w:left="540" w:hanging="540"/>
      </w:pPr>
      <w:r>
        <w:t>bacterial infections</w:t>
      </w:r>
    </w:p>
    <w:p w14:paraId="46197342" w14:textId="77777777" w:rsidR="00985B87" w:rsidRDefault="00944B8F" w:rsidP="00F421D6">
      <w:pPr>
        <w:numPr>
          <w:ilvl w:val="0"/>
          <w:numId w:val="107"/>
        </w:numPr>
        <w:tabs>
          <w:tab w:val="clear" w:pos="562"/>
          <w:tab w:val="num" w:pos="540"/>
        </w:tabs>
        <w:ind w:left="540" w:hanging="540"/>
      </w:pPr>
      <w:r>
        <w:t>diverticulitis (inflammation and infection of the large intestine)</w:t>
      </w:r>
    </w:p>
    <w:p w14:paraId="596793BA" w14:textId="77777777" w:rsidR="00985B87" w:rsidRDefault="00944B8F" w:rsidP="00F421D6">
      <w:pPr>
        <w:numPr>
          <w:ilvl w:val="0"/>
          <w:numId w:val="107"/>
        </w:numPr>
        <w:tabs>
          <w:tab w:val="clear" w:pos="562"/>
          <w:tab w:val="num" w:pos="540"/>
        </w:tabs>
        <w:ind w:left="540" w:hanging="540"/>
      </w:pPr>
      <w:r>
        <w:t>cancer</w:t>
      </w:r>
    </w:p>
    <w:p w14:paraId="759B1DDC" w14:textId="77777777" w:rsidR="00985B87" w:rsidRDefault="00944B8F" w:rsidP="00F421D6">
      <w:pPr>
        <w:numPr>
          <w:ilvl w:val="0"/>
          <w:numId w:val="107"/>
        </w:numPr>
        <w:tabs>
          <w:tab w:val="clear" w:pos="562"/>
          <w:tab w:val="num" w:pos="540"/>
        </w:tabs>
        <w:ind w:left="540" w:hanging="540"/>
      </w:pPr>
      <w:r>
        <w:t>cancer that affects the lymph system</w:t>
      </w:r>
    </w:p>
    <w:p w14:paraId="5AD57236" w14:textId="77777777" w:rsidR="00985B87" w:rsidRDefault="00944B8F" w:rsidP="00F421D6">
      <w:pPr>
        <w:numPr>
          <w:ilvl w:val="0"/>
          <w:numId w:val="107"/>
        </w:numPr>
        <w:tabs>
          <w:tab w:val="clear" w:pos="562"/>
          <w:tab w:val="num" w:pos="540"/>
        </w:tabs>
        <w:ind w:left="540" w:hanging="540"/>
      </w:pPr>
      <w:r>
        <w:t>melanoma</w:t>
      </w:r>
    </w:p>
    <w:p w14:paraId="498B7408" w14:textId="77777777" w:rsidR="00985B87" w:rsidRDefault="00944B8F" w:rsidP="00F421D6">
      <w:pPr>
        <w:numPr>
          <w:ilvl w:val="0"/>
          <w:numId w:val="107"/>
        </w:numPr>
        <w:tabs>
          <w:tab w:val="clear" w:pos="562"/>
          <w:tab w:val="num" w:pos="540"/>
        </w:tabs>
        <w:ind w:left="540" w:hanging="540"/>
      </w:pPr>
      <w:r>
        <w:t>immune disorders that could affect the lungs, skin and lymph nodes (most commonly presenting as sarcoidosis)</w:t>
      </w:r>
    </w:p>
    <w:p w14:paraId="05EF3EC3" w14:textId="77777777" w:rsidR="00985B87" w:rsidRDefault="00944B8F" w:rsidP="00F421D6">
      <w:pPr>
        <w:numPr>
          <w:ilvl w:val="0"/>
          <w:numId w:val="107"/>
        </w:numPr>
        <w:tabs>
          <w:tab w:val="clear" w:pos="562"/>
          <w:tab w:val="num" w:pos="540"/>
        </w:tabs>
        <w:ind w:left="540" w:hanging="540"/>
      </w:pPr>
      <w:r>
        <w:t>vasculitis (inflammation of blood vessels)</w:t>
      </w:r>
    </w:p>
    <w:p w14:paraId="464768E0" w14:textId="77777777" w:rsidR="00985B87" w:rsidRDefault="00944B8F" w:rsidP="00F421D6">
      <w:pPr>
        <w:numPr>
          <w:ilvl w:val="0"/>
          <w:numId w:val="107"/>
        </w:numPr>
        <w:tabs>
          <w:tab w:val="clear" w:pos="562"/>
          <w:tab w:val="num" w:pos="540"/>
        </w:tabs>
        <w:ind w:left="540" w:hanging="540"/>
      </w:pPr>
      <w:r>
        <w:t>tremor (shaking)</w:t>
      </w:r>
    </w:p>
    <w:p w14:paraId="3C8F2F65" w14:textId="77777777" w:rsidR="00985B87" w:rsidRDefault="00944B8F" w:rsidP="00F421D6">
      <w:pPr>
        <w:numPr>
          <w:ilvl w:val="0"/>
          <w:numId w:val="107"/>
        </w:numPr>
        <w:tabs>
          <w:tab w:val="clear" w:pos="562"/>
          <w:tab w:val="num" w:pos="540"/>
        </w:tabs>
        <w:ind w:left="540" w:hanging="540"/>
      </w:pPr>
      <w:r>
        <w:lastRenderedPageBreak/>
        <w:t>neuropathy (disorder of the nerves)</w:t>
      </w:r>
    </w:p>
    <w:p w14:paraId="5C19FD3F" w14:textId="77777777" w:rsidR="00985B87" w:rsidRPr="00086351" w:rsidRDefault="00944B8F" w:rsidP="00F421D6">
      <w:pPr>
        <w:numPr>
          <w:ilvl w:val="0"/>
          <w:numId w:val="107"/>
        </w:numPr>
        <w:tabs>
          <w:tab w:val="clear" w:pos="562"/>
          <w:tab w:val="num" w:pos="540"/>
        </w:tabs>
        <w:ind w:left="540" w:hanging="540"/>
      </w:pPr>
      <w:r>
        <w:t>stroke</w:t>
      </w:r>
    </w:p>
    <w:p w14:paraId="6C1545A2" w14:textId="77777777" w:rsidR="00985B87" w:rsidRDefault="00944B8F" w:rsidP="00F421D6">
      <w:pPr>
        <w:numPr>
          <w:ilvl w:val="0"/>
          <w:numId w:val="107"/>
        </w:numPr>
        <w:tabs>
          <w:tab w:val="clear" w:pos="562"/>
          <w:tab w:val="num" w:pos="540"/>
        </w:tabs>
        <w:ind w:left="540" w:hanging="540"/>
      </w:pPr>
      <w:r>
        <w:t>hearing loss, buzzing</w:t>
      </w:r>
    </w:p>
    <w:p w14:paraId="071D3956" w14:textId="77777777" w:rsidR="00985B87" w:rsidRDefault="00944B8F" w:rsidP="00F421D6">
      <w:pPr>
        <w:numPr>
          <w:ilvl w:val="0"/>
          <w:numId w:val="107"/>
        </w:numPr>
        <w:tabs>
          <w:tab w:val="clear" w:pos="562"/>
          <w:tab w:val="num" w:pos="540"/>
        </w:tabs>
        <w:ind w:left="540" w:hanging="540"/>
      </w:pPr>
      <w:r>
        <w:t>sensation of heart beating irregularly such as skipped beats</w:t>
      </w:r>
    </w:p>
    <w:p w14:paraId="072D57DC" w14:textId="77777777" w:rsidR="00985B87" w:rsidRDefault="00944B8F" w:rsidP="00F421D6">
      <w:pPr>
        <w:numPr>
          <w:ilvl w:val="0"/>
          <w:numId w:val="107"/>
        </w:numPr>
        <w:tabs>
          <w:tab w:val="clear" w:pos="562"/>
          <w:tab w:val="num" w:pos="540"/>
        </w:tabs>
        <w:ind w:left="540" w:hanging="540"/>
      </w:pPr>
      <w:r>
        <w:t>heart problems that can cause shortness of breath or ankle swelling</w:t>
      </w:r>
    </w:p>
    <w:p w14:paraId="71904E90" w14:textId="77777777" w:rsidR="00985B87" w:rsidRDefault="00944B8F" w:rsidP="00F421D6">
      <w:pPr>
        <w:numPr>
          <w:ilvl w:val="0"/>
          <w:numId w:val="107"/>
        </w:numPr>
        <w:tabs>
          <w:tab w:val="clear" w:pos="562"/>
          <w:tab w:val="num" w:pos="540"/>
        </w:tabs>
        <w:ind w:left="540" w:hanging="540"/>
      </w:pPr>
      <w:r>
        <w:t>heart attack</w:t>
      </w:r>
    </w:p>
    <w:p w14:paraId="4822DAA1" w14:textId="77777777" w:rsidR="00985B87" w:rsidRDefault="00944B8F" w:rsidP="00F421D6">
      <w:pPr>
        <w:numPr>
          <w:ilvl w:val="0"/>
          <w:numId w:val="107"/>
        </w:numPr>
        <w:tabs>
          <w:tab w:val="clear" w:pos="562"/>
          <w:tab w:val="num" w:pos="540"/>
        </w:tabs>
        <w:ind w:left="540" w:hanging="540"/>
      </w:pPr>
      <w:r>
        <w:t>a sac in the wall of a major artery, inflammation and clot of a vein, blockage of a blood vessel</w:t>
      </w:r>
    </w:p>
    <w:p w14:paraId="7C2A371D" w14:textId="77777777" w:rsidR="00985B87" w:rsidRDefault="00944B8F" w:rsidP="00F421D6">
      <w:pPr>
        <w:numPr>
          <w:ilvl w:val="0"/>
          <w:numId w:val="107"/>
        </w:numPr>
        <w:tabs>
          <w:tab w:val="clear" w:pos="562"/>
          <w:tab w:val="num" w:pos="540"/>
        </w:tabs>
        <w:ind w:left="540" w:hanging="540"/>
      </w:pPr>
      <w:r>
        <w:t>lung diseases causing shortness of breath (including inflammation)</w:t>
      </w:r>
    </w:p>
    <w:p w14:paraId="7A915190" w14:textId="77777777" w:rsidR="00985B87" w:rsidRDefault="00944B8F" w:rsidP="00F421D6">
      <w:pPr>
        <w:numPr>
          <w:ilvl w:val="0"/>
          <w:numId w:val="107"/>
        </w:numPr>
        <w:tabs>
          <w:tab w:val="clear" w:pos="562"/>
          <w:tab w:val="num" w:pos="540"/>
        </w:tabs>
        <w:ind w:left="540" w:hanging="540"/>
      </w:pPr>
      <w:r>
        <w:t>pulmonary embolism (blockage in an artery of the lung)</w:t>
      </w:r>
    </w:p>
    <w:p w14:paraId="33F2EF3C" w14:textId="77777777" w:rsidR="00985B87" w:rsidRDefault="00944B8F" w:rsidP="00F421D6">
      <w:pPr>
        <w:numPr>
          <w:ilvl w:val="0"/>
          <w:numId w:val="107"/>
        </w:numPr>
        <w:tabs>
          <w:tab w:val="clear" w:pos="562"/>
          <w:tab w:val="num" w:pos="540"/>
        </w:tabs>
        <w:ind w:left="540" w:hanging="540"/>
      </w:pPr>
      <w:r>
        <w:t>pleural effusion (abnormal collection of fluid in the pleural space)</w:t>
      </w:r>
    </w:p>
    <w:p w14:paraId="09D09642" w14:textId="77777777" w:rsidR="00985B87" w:rsidRDefault="00944B8F" w:rsidP="00F421D6">
      <w:pPr>
        <w:numPr>
          <w:ilvl w:val="0"/>
          <w:numId w:val="107"/>
        </w:numPr>
        <w:tabs>
          <w:tab w:val="clear" w:pos="562"/>
          <w:tab w:val="num" w:pos="540"/>
        </w:tabs>
        <w:ind w:left="540" w:hanging="540"/>
      </w:pPr>
      <w:r>
        <w:t>inflammation of the pancreas which causes severe pain in the abdomen and back</w:t>
      </w:r>
    </w:p>
    <w:p w14:paraId="22212411" w14:textId="77777777" w:rsidR="00985B87" w:rsidRDefault="00944B8F" w:rsidP="00F421D6">
      <w:pPr>
        <w:numPr>
          <w:ilvl w:val="0"/>
          <w:numId w:val="107"/>
        </w:numPr>
        <w:tabs>
          <w:tab w:val="clear" w:pos="562"/>
          <w:tab w:val="num" w:pos="540"/>
        </w:tabs>
        <w:ind w:left="540" w:hanging="540"/>
      </w:pPr>
      <w:r>
        <w:t>difficulty in swallowing</w:t>
      </w:r>
    </w:p>
    <w:p w14:paraId="6C715B97" w14:textId="77777777" w:rsidR="00985B87" w:rsidRDefault="00944B8F" w:rsidP="00F421D6">
      <w:pPr>
        <w:numPr>
          <w:ilvl w:val="0"/>
          <w:numId w:val="107"/>
        </w:numPr>
        <w:tabs>
          <w:tab w:val="clear" w:pos="562"/>
          <w:tab w:val="num" w:pos="540"/>
        </w:tabs>
        <w:ind w:left="540" w:hanging="540"/>
      </w:pPr>
      <w:r>
        <w:t>facial oedema (swelling of the face)</w:t>
      </w:r>
    </w:p>
    <w:p w14:paraId="53D3B1A1" w14:textId="77777777" w:rsidR="00985B87" w:rsidRDefault="00944B8F" w:rsidP="00F421D6">
      <w:pPr>
        <w:numPr>
          <w:ilvl w:val="0"/>
          <w:numId w:val="107"/>
        </w:numPr>
        <w:tabs>
          <w:tab w:val="clear" w:pos="562"/>
          <w:tab w:val="num" w:pos="540"/>
        </w:tabs>
        <w:ind w:left="540" w:hanging="540"/>
      </w:pPr>
      <w:r>
        <w:t>gallbladder inflammation, gallbladder stones</w:t>
      </w:r>
    </w:p>
    <w:p w14:paraId="7B525E67" w14:textId="77777777" w:rsidR="00985B87" w:rsidRDefault="00944B8F" w:rsidP="00F421D6">
      <w:pPr>
        <w:numPr>
          <w:ilvl w:val="0"/>
          <w:numId w:val="107"/>
        </w:numPr>
        <w:tabs>
          <w:tab w:val="clear" w:pos="562"/>
          <w:tab w:val="num" w:pos="540"/>
        </w:tabs>
        <w:ind w:left="540" w:hanging="540"/>
      </w:pPr>
      <w:r>
        <w:t>fatty liver</w:t>
      </w:r>
    </w:p>
    <w:p w14:paraId="21FC8B5B" w14:textId="77777777" w:rsidR="00985B87" w:rsidRDefault="00944B8F" w:rsidP="00F421D6">
      <w:pPr>
        <w:numPr>
          <w:ilvl w:val="0"/>
          <w:numId w:val="107"/>
        </w:numPr>
        <w:tabs>
          <w:tab w:val="clear" w:pos="562"/>
          <w:tab w:val="num" w:pos="540"/>
        </w:tabs>
        <w:ind w:left="540" w:hanging="540"/>
      </w:pPr>
      <w:r>
        <w:t>night sweats</w:t>
      </w:r>
    </w:p>
    <w:p w14:paraId="707AF84C" w14:textId="77777777" w:rsidR="00985B87" w:rsidRDefault="00944B8F" w:rsidP="00F421D6">
      <w:pPr>
        <w:numPr>
          <w:ilvl w:val="0"/>
          <w:numId w:val="107"/>
        </w:numPr>
        <w:tabs>
          <w:tab w:val="clear" w:pos="562"/>
          <w:tab w:val="num" w:pos="540"/>
        </w:tabs>
        <w:ind w:left="540" w:hanging="540"/>
      </w:pPr>
      <w:r>
        <w:t>scar</w:t>
      </w:r>
    </w:p>
    <w:p w14:paraId="38947E6F" w14:textId="77777777" w:rsidR="00985B87" w:rsidRDefault="00944B8F" w:rsidP="00F421D6">
      <w:pPr>
        <w:numPr>
          <w:ilvl w:val="0"/>
          <w:numId w:val="107"/>
        </w:numPr>
        <w:tabs>
          <w:tab w:val="clear" w:pos="562"/>
          <w:tab w:val="num" w:pos="540"/>
        </w:tabs>
        <w:ind w:left="540" w:hanging="540"/>
      </w:pPr>
      <w:r>
        <w:t>abnormal muscle breakdown</w:t>
      </w:r>
    </w:p>
    <w:p w14:paraId="33C347DC" w14:textId="77777777" w:rsidR="00985B87" w:rsidRDefault="00944B8F" w:rsidP="00F421D6">
      <w:pPr>
        <w:numPr>
          <w:ilvl w:val="0"/>
          <w:numId w:val="107"/>
        </w:numPr>
        <w:tabs>
          <w:tab w:val="clear" w:pos="562"/>
          <w:tab w:val="num" w:pos="540"/>
        </w:tabs>
        <w:ind w:left="540" w:hanging="540"/>
      </w:pPr>
      <w:r>
        <w:t>systemic lupus erythematosus (including inflammation of skin, heart, lung, joints and other organ systems)</w:t>
      </w:r>
    </w:p>
    <w:p w14:paraId="65A88D19" w14:textId="77777777" w:rsidR="00985B87" w:rsidRDefault="00944B8F" w:rsidP="00F421D6">
      <w:pPr>
        <w:numPr>
          <w:ilvl w:val="0"/>
          <w:numId w:val="107"/>
        </w:numPr>
        <w:tabs>
          <w:tab w:val="clear" w:pos="562"/>
          <w:tab w:val="num" w:pos="540"/>
        </w:tabs>
        <w:ind w:left="540" w:hanging="540"/>
      </w:pPr>
      <w:r>
        <w:t>sleep interruptions</w:t>
      </w:r>
    </w:p>
    <w:p w14:paraId="0E39F18B" w14:textId="77777777" w:rsidR="00985B87" w:rsidRDefault="00944B8F" w:rsidP="00F421D6">
      <w:pPr>
        <w:numPr>
          <w:ilvl w:val="0"/>
          <w:numId w:val="107"/>
        </w:numPr>
        <w:tabs>
          <w:tab w:val="clear" w:pos="562"/>
          <w:tab w:val="num" w:pos="540"/>
        </w:tabs>
        <w:ind w:left="540" w:hanging="540"/>
      </w:pPr>
      <w:r>
        <w:t>impotence</w:t>
      </w:r>
    </w:p>
    <w:p w14:paraId="5FF425D4" w14:textId="77777777" w:rsidR="00985B87" w:rsidRDefault="00944B8F" w:rsidP="00F421D6">
      <w:pPr>
        <w:numPr>
          <w:ilvl w:val="0"/>
          <w:numId w:val="107"/>
        </w:numPr>
        <w:tabs>
          <w:tab w:val="clear" w:pos="562"/>
          <w:tab w:val="num" w:pos="540"/>
        </w:tabs>
        <w:ind w:left="540" w:hanging="540"/>
      </w:pPr>
      <w:r>
        <w:t>inflammations</w:t>
      </w:r>
    </w:p>
    <w:p w14:paraId="345C2908" w14:textId="77777777" w:rsidR="00985B87" w:rsidRDefault="00985B87" w:rsidP="00985B87"/>
    <w:p w14:paraId="4E9EEAC7" w14:textId="77777777" w:rsidR="00985B87" w:rsidRDefault="00944B8F" w:rsidP="00985B87">
      <w:r>
        <w:rPr>
          <w:b/>
        </w:rPr>
        <w:t>Rare</w:t>
      </w:r>
      <w:r>
        <w:t xml:space="preserve"> (may affect up to 1 in 1,000 people)</w:t>
      </w:r>
    </w:p>
    <w:p w14:paraId="41A1AA16" w14:textId="77777777" w:rsidR="00985B87" w:rsidRDefault="00985B87" w:rsidP="00985B87"/>
    <w:p w14:paraId="7206E701" w14:textId="77777777" w:rsidR="00985B87" w:rsidRDefault="00944B8F" w:rsidP="00F421D6">
      <w:pPr>
        <w:numPr>
          <w:ilvl w:val="0"/>
          <w:numId w:val="108"/>
        </w:numPr>
        <w:ind w:left="550" w:hanging="550"/>
      </w:pPr>
      <w:r>
        <w:t>leukaemia (cancer affecting the blood and bone marrow)</w:t>
      </w:r>
    </w:p>
    <w:p w14:paraId="0DD9097A" w14:textId="77777777" w:rsidR="00985B87" w:rsidRDefault="00944B8F" w:rsidP="00F421D6">
      <w:pPr>
        <w:numPr>
          <w:ilvl w:val="0"/>
          <w:numId w:val="108"/>
        </w:numPr>
        <w:ind w:left="550" w:hanging="550"/>
      </w:pPr>
      <w:r>
        <w:t>severe allergic reaction with shock</w:t>
      </w:r>
    </w:p>
    <w:p w14:paraId="5A4D4763" w14:textId="77777777" w:rsidR="00985B87" w:rsidRDefault="00944B8F" w:rsidP="00F421D6">
      <w:pPr>
        <w:numPr>
          <w:ilvl w:val="0"/>
          <w:numId w:val="108"/>
        </w:numPr>
        <w:ind w:left="550" w:hanging="550"/>
      </w:pPr>
      <w:r>
        <w:t>multiple sclerosis</w:t>
      </w:r>
    </w:p>
    <w:p w14:paraId="61B89866" w14:textId="77777777" w:rsidR="00985B87" w:rsidRDefault="00944B8F" w:rsidP="00F421D6">
      <w:pPr>
        <w:numPr>
          <w:ilvl w:val="0"/>
          <w:numId w:val="108"/>
        </w:numPr>
        <w:ind w:left="550" w:hanging="550"/>
      </w:pPr>
      <w:r>
        <w:t>nerve disorders (such as eye nerve inflammation and Guillain-Barré syndrome that may cause muscle weakness, abnormal sensations, tingling in the arms and upper body)</w:t>
      </w:r>
    </w:p>
    <w:p w14:paraId="01BB6F6E" w14:textId="77777777" w:rsidR="00985B87" w:rsidRDefault="00944B8F" w:rsidP="00F421D6">
      <w:pPr>
        <w:pStyle w:val="EMEABullet2"/>
        <w:numPr>
          <w:ilvl w:val="0"/>
          <w:numId w:val="98"/>
        </w:numPr>
        <w:tabs>
          <w:tab w:val="clear" w:pos="567"/>
          <w:tab w:val="num" w:pos="550"/>
        </w:tabs>
        <w:ind w:left="550" w:hanging="550"/>
      </w:pPr>
      <w:r>
        <w:t>heart stops pumping</w:t>
      </w:r>
    </w:p>
    <w:p w14:paraId="0EAE716E" w14:textId="77777777" w:rsidR="00985B87" w:rsidRDefault="00944B8F" w:rsidP="00F421D6">
      <w:pPr>
        <w:pStyle w:val="EMEABullet2"/>
        <w:numPr>
          <w:ilvl w:val="0"/>
          <w:numId w:val="98"/>
        </w:numPr>
        <w:ind w:left="550" w:hanging="550"/>
        <w:rPr>
          <w:lang w:val="en-GB"/>
        </w:rPr>
      </w:pPr>
      <w:r>
        <w:rPr>
          <w:lang w:val="en-GB"/>
        </w:rPr>
        <w:t>pulmonary fibrosis (scarring of the lung)</w:t>
      </w:r>
    </w:p>
    <w:p w14:paraId="554251B8" w14:textId="77777777" w:rsidR="00985B87" w:rsidRDefault="00944B8F" w:rsidP="00F421D6">
      <w:pPr>
        <w:pStyle w:val="EMEABullet2"/>
        <w:numPr>
          <w:ilvl w:val="0"/>
          <w:numId w:val="98"/>
        </w:numPr>
        <w:ind w:left="550" w:hanging="550"/>
        <w:rPr>
          <w:lang w:val="en-GB"/>
        </w:rPr>
      </w:pPr>
      <w:r>
        <w:rPr>
          <w:lang w:val="en-GB"/>
        </w:rPr>
        <w:t>intestinal perforation (hole in the intestine)</w:t>
      </w:r>
    </w:p>
    <w:p w14:paraId="6C45D8A2" w14:textId="77777777" w:rsidR="00985B87" w:rsidRDefault="00944B8F" w:rsidP="00F421D6">
      <w:pPr>
        <w:pStyle w:val="EMEABullet2"/>
        <w:numPr>
          <w:ilvl w:val="0"/>
          <w:numId w:val="98"/>
        </w:numPr>
        <w:ind w:left="550" w:hanging="550"/>
        <w:rPr>
          <w:lang w:val="en-GB"/>
        </w:rPr>
      </w:pPr>
      <w:r>
        <w:rPr>
          <w:lang w:val="en-GB"/>
        </w:rPr>
        <w:t>hepatitis</w:t>
      </w:r>
    </w:p>
    <w:p w14:paraId="4E94A20E" w14:textId="77777777" w:rsidR="00985B87" w:rsidRDefault="00944B8F" w:rsidP="00F421D6">
      <w:pPr>
        <w:pStyle w:val="EMEABullet2"/>
        <w:numPr>
          <w:ilvl w:val="0"/>
          <w:numId w:val="98"/>
        </w:numPr>
        <w:ind w:left="550" w:hanging="550"/>
        <w:rPr>
          <w:lang w:val="en-GB"/>
        </w:rPr>
      </w:pPr>
      <w:r>
        <w:rPr>
          <w:lang w:val="en-GB"/>
        </w:rPr>
        <w:t>reactivation of hepatitis B</w:t>
      </w:r>
    </w:p>
    <w:p w14:paraId="3719DFCF" w14:textId="77777777" w:rsidR="00985B87" w:rsidRDefault="00944B8F" w:rsidP="00F421D6">
      <w:pPr>
        <w:pStyle w:val="EMEABullet2"/>
        <w:numPr>
          <w:ilvl w:val="0"/>
          <w:numId w:val="98"/>
        </w:numPr>
        <w:ind w:left="550" w:hanging="550"/>
        <w:rPr>
          <w:lang w:val="en-GB"/>
        </w:rPr>
      </w:pPr>
      <w:r>
        <w:rPr>
          <w:lang w:val="en-GB"/>
        </w:rPr>
        <w:t>autoimmune hepatitis (inflammation of the liver caused by the body's own immune system)</w:t>
      </w:r>
    </w:p>
    <w:p w14:paraId="76ABD12D" w14:textId="77777777" w:rsidR="00985B87" w:rsidRDefault="00944B8F" w:rsidP="00F421D6">
      <w:pPr>
        <w:pStyle w:val="EMEABullet2"/>
        <w:numPr>
          <w:ilvl w:val="0"/>
          <w:numId w:val="98"/>
        </w:numPr>
        <w:ind w:left="550" w:hanging="550"/>
        <w:rPr>
          <w:lang w:val="en-GB"/>
        </w:rPr>
      </w:pPr>
      <w:r>
        <w:rPr>
          <w:lang w:val="en-GB"/>
        </w:rPr>
        <w:t>cutaneous vasculitis (inflammation of blood vessels in the skin)</w:t>
      </w:r>
    </w:p>
    <w:p w14:paraId="3884A867" w14:textId="77777777" w:rsidR="00985B87" w:rsidRDefault="00944B8F" w:rsidP="00F421D6">
      <w:pPr>
        <w:pStyle w:val="EMEABullet2"/>
        <w:numPr>
          <w:ilvl w:val="0"/>
          <w:numId w:val="98"/>
        </w:numPr>
        <w:ind w:left="550" w:hanging="550"/>
        <w:rPr>
          <w:lang w:val="en-GB"/>
        </w:rPr>
      </w:pPr>
      <w:r>
        <w:rPr>
          <w:lang w:val="en-GB"/>
        </w:rPr>
        <w:t>Stevens-Johnson syndrome (early symptoms include malaise, fever, headache and rash)</w:t>
      </w:r>
    </w:p>
    <w:p w14:paraId="543D5766" w14:textId="77777777" w:rsidR="00985B87" w:rsidRDefault="00944B8F" w:rsidP="00F421D6">
      <w:pPr>
        <w:pStyle w:val="EMEABullet2"/>
        <w:numPr>
          <w:ilvl w:val="0"/>
          <w:numId w:val="98"/>
        </w:numPr>
        <w:ind w:left="550" w:hanging="550"/>
        <w:rPr>
          <w:lang w:val="en-GB"/>
        </w:rPr>
      </w:pPr>
      <w:r>
        <w:rPr>
          <w:lang w:val="en-GB"/>
        </w:rPr>
        <w:t>facial oedema (swelling of the face) associated with allergic reactions</w:t>
      </w:r>
    </w:p>
    <w:p w14:paraId="504ED80B" w14:textId="77777777" w:rsidR="00985B87" w:rsidRDefault="00944B8F" w:rsidP="00F421D6">
      <w:pPr>
        <w:pStyle w:val="EMEABullet2"/>
        <w:numPr>
          <w:ilvl w:val="0"/>
          <w:numId w:val="98"/>
        </w:numPr>
        <w:ind w:left="550" w:hanging="550"/>
      </w:pPr>
      <w:r>
        <w:t>erythema multiforme (inflammatory skin rash)</w:t>
      </w:r>
    </w:p>
    <w:p w14:paraId="7BC2FEBA" w14:textId="77777777" w:rsidR="00086351" w:rsidRDefault="00944B8F" w:rsidP="00F421D6">
      <w:pPr>
        <w:pStyle w:val="EMEABullet2"/>
        <w:numPr>
          <w:ilvl w:val="0"/>
          <w:numId w:val="98"/>
        </w:numPr>
        <w:ind w:left="550" w:hanging="550"/>
        <w:rPr>
          <w:lang w:val="en-GB"/>
        </w:rPr>
      </w:pPr>
      <w:r>
        <w:rPr>
          <w:lang w:val="en-GB"/>
        </w:rPr>
        <w:t>lupus-like syndrome</w:t>
      </w:r>
    </w:p>
    <w:p w14:paraId="02B31285" w14:textId="77777777" w:rsidR="00086351" w:rsidRDefault="00944B8F" w:rsidP="00F421D6">
      <w:pPr>
        <w:pStyle w:val="EMEABullet2"/>
        <w:numPr>
          <w:ilvl w:val="0"/>
          <w:numId w:val="98"/>
        </w:numPr>
        <w:ind w:left="550" w:hanging="550"/>
        <w:rPr>
          <w:lang w:val="en-GB"/>
        </w:rPr>
      </w:pPr>
      <w:r w:rsidRPr="00086351">
        <w:rPr>
          <w:lang w:val="en-GB"/>
        </w:rPr>
        <w:t>angioedema (localized swelling of the skin)</w:t>
      </w:r>
    </w:p>
    <w:p w14:paraId="2ADA2FFD" w14:textId="77777777" w:rsidR="00E06C1F" w:rsidRPr="00E06C1F" w:rsidRDefault="00944B8F" w:rsidP="001B6DEE">
      <w:pPr>
        <w:pStyle w:val="EMEANormal"/>
        <w:numPr>
          <w:ilvl w:val="0"/>
          <w:numId w:val="98"/>
        </w:numPr>
        <w:tabs>
          <w:tab w:val="clear" w:pos="562"/>
          <w:tab w:val="clear" w:pos="720"/>
          <w:tab w:val="num" w:pos="540"/>
        </w:tabs>
        <w:ind w:left="540" w:hanging="540"/>
        <w:rPr>
          <w:lang w:val="en-GB"/>
        </w:rPr>
      </w:pPr>
      <w:r>
        <w:rPr>
          <w:lang w:val="en-GB"/>
        </w:rPr>
        <w:t>lichenoid skin reaction (itchy reddish-purple skin rash)</w:t>
      </w:r>
    </w:p>
    <w:p w14:paraId="0F6FD52E" w14:textId="77777777" w:rsidR="00985B87" w:rsidRDefault="00985B87" w:rsidP="00985B87">
      <w:pPr>
        <w:tabs>
          <w:tab w:val="clear" w:pos="562"/>
          <w:tab w:val="left" w:pos="720"/>
        </w:tabs>
      </w:pPr>
    </w:p>
    <w:p w14:paraId="50520F24" w14:textId="77777777" w:rsidR="00985B87" w:rsidRDefault="00944B8F" w:rsidP="00985B87">
      <w:pPr>
        <w:rPr>
          <w:rFonts w:eastAsia="MS Mincho"/>
          <w:szCs w:val="20"/>
        </w:rPr>
      </w:pPr>
      <w:r>
        <w:rPr>
          <w:rFonts w:eastAsia="MS Mincho"/>
          <w:b/>
          <w:szCs w:val="20"/>
        </w:rPr>
        <w:t>Not known</w:t>
      </w:r>
      <w:r>
        <w:rPr>
          <w:rFonts w:eastAsia="MS Mincho"/>
          <w:szCs w:val="20"/>
        </w:rPr>
        <w:t xml:space="preserve"> (frequency cannot be estimated from the available data)</w:t>
      </w:r>
    </w:p>
    <w:p w14:paraId="771BB237" w14:textId="77777777" w:rsidR="00985B87" w:rsidRDefault="00985B87" w:rsidP="00985B87">
      <w:pPr>
        <w:rPr>
          <w:rFonts w:eastAsia="MS Mincho"/>
          <w:szCs w:val="20"/>
        </w:rPr>
      </w:pPr>
    </w:p>
    <w:p w14:paraId="7C90D586" w14:textId="77777777" w:rsidR="00985B87" w:rsidRDefault="00944B8F" w:rsidP="00F421D6">
      <w:pPr>
        <w:numPr>
          <w:ilvl w:val="0"/>
          <w:numId w:val="109"/>
        </w:numPr>
        <w:rPr>
          <w:rFonts w:eastAsia="MS Mincho"/>
          <w:szCs w:val="20"/>
        </w:rPr>
      </w:pPr>
      <w:r>
        <w:rPr>
          <w:rFonts w:eastAsia="MS Mincho"/>
          <w:szCs w:val="20"/>
        </w:rPr>
        <w:t>hepatosplenic T-cell lymphoma (a rare blood cancer that is often fatal)</w:t>
      </w:r>
    </w:p>
    <w:p w14:paraId="5B5C6519" w14:textId="77777777" w:rsidR="00985B87" w:rsidRDefault="00944B8F" w:rsidP="00F421D6">
      <w:pPr>
        <w:numPr>
          <w:ilvl w:val="0"/>
          <w:numId w:val="109"/>
        </w:numPr>
        <w:rPr>
          <w:rFonts w:eastAsia="MS Mincho"/>
          <w:szCs w:val="20"/>
        </w:rPr>
      </w:pPr>
      <w:r>
        <w:rPr>
          <w:rFonts w:eastAsia="MS Mincho"/>
          <w:szCs w:val="20"/>
        </w:rPr>
        <w:t>Merkel cell carcinoma (a type of skin cancer)</w:t>
      </w:r>
    </w:p>
    <w:p w14:paraId="029F4DD2" w14:textId="77777777" w:rsidR="00F9435E" w:rsidRDefault="00944B8F" w:rsidP="00F421D6">
      <w:pPr>
        <w:numPr>
          <w:ilvl w:val="0"/>
          <w:numId w:val="109"/>
        </w:numPr>
        <w:rPr>
          <w:rFonts w:eastAsia="MS Mincho"/>
          <w:szCs w:val="20"/>
        </w:rPr>
      </w:pPr>
      <w:r>
        <w:rPr>
          <w:rFonts w:eastAsia="MS Mincho"/>
          <w:szCs w:val="20"/>
        </w:rPr>
        <w:lastRenderedPageBreak/>
        <w:t>Kaposi’s sarcoma, a rare cancer related to infection with human herpes virus 8. Kaposi’s sarcoma most commonly appears as purple lesions on the skin</w:t>
      </w:r>
    </w:p>
    <w:p w14:paraId="34792DAF" w14:textId="77777777" w:rsidR="00985B87" w:rsidRDefault="00944B8F" w:rsidP="00F421D6">
      <w:pPr>
        <w:numPr>
          <w:ilvl w:val="0"/>
          <w:numId w:val="109"/>
        </w:numPr>
        <w:rPr>
          <w:rFonts w:eastAsia="MS Mincho"/>
          <w:szCs w:val="20"/>
        </w:rPr>
      </w:pPr>
      <w:r>
        <w:rPr>
          <w:rFonts w:eastAsia="MS Mincho"/>
          <w:szCs w:val="20"/>
        </w:rPr>
        <w:t>liver failure</w:t>
      </w:r>
    </w:p>
    <w:p w14:paraId="27DA557D" w14:textId="77777777" w:rsidR="00985B87" w:rsidRDefault="00944B8F" w:rsidP="00B87123">
      <w:pPr>
        <w:numPr>
          <w:ilvl w:val="0"/>
          <w:numId w:val="109"/>
        </w:numPr>
        <w:rPr>
          <w:rFonts w:eastAsia="MS Mincho"/>
          <w:szCs w:val="20"/>
        </w:rPr>
      </w:pPr>
      <w:r>
        <w:rPr>
          <w:rFonts w:eastAsia="MS Mincho"/>
          <w:szCs w:val="20"/>
        </w:rPr>
        <w:t>worsening of a condition called dermatomyositis (seen as a skin rash accompanying muscle weakness)</w:t>
      </w:r>
    </w:p>
    <w:p w14:paraId="7E0E6EC1" w14:textId="77777777" w:rsidR="0099199E" w:rsidRDefault="00944B8F" w:rsidP="00B87123">
      <w:pPr>
        <w:numPr>
          <w:ilvl w:val="0"/>
          <w:numId w:val="109"/>
        </w:numPr>
        <w:rPr>
          <w:rFonts w:eastAsia="MS Mincho"/>
          <w:szCs w:val="20"/>
        </w:rPr>
      </w:pPr>
      <w:r w:rsidRPr="00693052">
        <w:rPr>
          <w:szCs w:val="22"/>
          <w:lang w:val="en-US"/>
        </w:rPr>
        <w:t>weight gain (for most patients, the weight gain was small)</w:t>
      </w:r>
    </w:p>
    <w:p w14:paraId="0ABBD3DC" w14:textId="77777777" w:rsidR="00985B87" w:rsidRDefault="00985B87" w:rsidP="00985B87">
      <w:pPr>
        <w:autoSpaceDE w:val="0"/>
        <w:autoSpaceDN w:val="0"/>
        <w:adjustRightInd w:val="0"/>
        <w:spacing w:line="240" w:lineRule="atLeast"/>
        <w:rPr>
          <w:lang w:eastAsia="de-DE"/>
        </w:rPr>
      </w:pPr>
    </w:p>
    <w:p w14:paraId="62BB4835" w14:textId="77777777" w:rsidR="00985B87" w:rsidRDefault="00944B8F" w:rsidP="00985B87">
      <w:pPr>
        <w:autoSpaceDE w:val="0"/>
        <w:autoSpaceDN w:val="0"/>
        <w:adjustRightInd w:val="0"/>
        <w:spacing w:line="240" w:lineRule="atLeast"/>
        <w:rPr>
          <w:lang w:eastAsia="de-DE"/>
        </w:rPr>
      </w:pPr>
      <w:r>
        <w:rPr>
          <w:lang w:eastAsia="de-DE"/>
        </w:rPr>
        <w:t>Some side effects observed with Humira may not have symptoms and may only be discovered through blood tests. These include:</w:t>
      </w:r>
    </w:p>
    <w:p w14:paraId="45CDF651" w14:textId="77777777" w:rsidR="00985B87" w:rsidRDefault="00985B87" w:rsidP="00985B87">
      <w:pPr>
        <w:autoSpaceDE w:val="0"/>
        <w:autoSpaceDN w:val="0"/>
        <w:adjustRightInd w:val="0"/>
        <w:spacing w:line="240" w:lineRule="atLeast"/>
        <w:rPr>
          <w:lang w:eastAsia="de-DE"/>
        </w:rPr>
      </w:pPr>
    </w:p>
    <w:p w14:paraId="096F4BD5" w14:textId="77777777" w:rsidR="00985B87" w:rsidRDefault="00944B8F" w:rsidP="00985B87">
      <w:r>
        <w:rPr>
          <w:b/>
        </w:rPr>
        <w:t>Very common</w:t>
      </w:r>
      <w:r>
        <w:t xml:space="preserve"> (may affect more than 1 in 10 people)</w:t>
      </w:r>
    </w:p>
    <w:p w14:paraId="0DBCEC05" w14:textId="77777777" w:rsidR="00985B87" w:rsidRDefault="00985B87" w:rsidP="00985B87"/>
    <w:p w14:paraId="23B733CA" w14:textId="77777777" w:rsidR="00985B87" w:rsidRDefault="00944B8F" w:rsidP="00F421D6">
      <w:pPr>
        <w:numPr>
          <w:ilvl w:val="0"/>
          <w:numId w:val="110"/>
        </w:numPr>
        <w:tabs>
          <w:tab w:val="clear" w:pos="562"/>
          <w:tab w:val="num" w:pos="550"/>
        </w:tabs>
        <w:ind w:left="550" w:hanging="550"/>
      </w:pPr>
      <w:r>
        <w:t>low blood measurements for white blood cells</w:t>
      </w:r>
    </w:p>
    <w:p w14:paraId="464A9A29" w14:textId="77777777" w:rsidR="00985B87" w:rsidRDefault="00944B8F" w:rsidP="00F421D6">
      <w:pPr>
        <w:numPr>
          <w:ilvl w:val="0"/>
          <w:numId w:val="110"/>
        </w:numPr>
        <w:tabs>
          <w:tab w:val="clear" w:pos="562"/>
          <w:tab w:val="num" w:pos="550"/>
        </w:tabs>
        <w:ind w:left="550" w:hanging="550"/>
      </w:pPr>
      <w:r>
        <w:t>low blood measurements for red blood cells</w:t>
      </w:r>
    </w:p>
    <w:p w14:paraId="3708DF34" w14:textId="77777777" w:rsidR="00985B87" w:rsidRDefault="00944B8F" w:rsidP="00F421D6">
      <w:pPr>
        <w:numPr>
          <w:ilvl w:val="0"/>
          <w:numId w:val="110"/>
        </w:numPr>
        <w:tabs>
          <w:tab w:val="clear" w:pos="562"/>
          <w:tab w:val="num" w:pos="550"/>
        </w:tabs>
        <w:ind w:left="550" w:hanging="550"/>
      </w:pPr>
      <w:r>
        <w:t>increased lipids in the blood</w:t>
      </w:r>
    </w:p>
    <w:p w14:paraId="6A678C3B" w14:textId="77777777" w:rsidR="00985B87" w:rsidRDefault="00944B8F" w:rsidP="00F421D6">
      <w:pPr>
        <w:numPr>
          <w:ilvl w:val="0"/>
          <w:numId w:val="110"/>
        </w:numPr>
        <w:tabs>
          <w:tab w:val="clear" w:pos="562"/>
          <w:tab w:val="num" w:pos="550"/>
        </w:tabs>
        <w:ind w:left="550" w:hanging="550"/>
      </w:pPr>
      <w:r>
        <w:t>elevated liver enzymes</w:t>
      </w:r>
    </w:p>
    <w:p w14:paraId="217B9212" w14:textId="77777777" w:rsidR="00985B87" w:rsidRDefault="00985B87" w:rsidP="00985B87">
      <w:pPr>
        <w:tabs>
          <w:tab w:val="clear" w:pos="562"/>
          <w:tab w:val="left" w:pos="720"/>
        </w:tabs>
      </w:pPr>
    </w:p>
    <w:p w14:paraId="1C9F7FD4" w14:textId="77777777" w:rsidR="00985B87" w:rsidRDefault="00944B8F" w:rsidP="00E425EA">
      <w:pPr>
        <w:keepNext/>
        <w:tabs>
          <w:tab w:val="clear" w:pos="562"/>
          <w:tab w:val="left" w:pos="720"/>
        </w:tabs>
      </w:pPr>
      <w:r>
        <w:rPr>
          <w:b/>
        </w:rPr>
        <w:t>Common</w:t>
      </w:r>
      <w:r>
        <w:t xml:space="preserve"> (may affect up to 1 in 10 people)</w:t>
      </w:r>
    </w:p>
    <w:p w14:paraId="2DF79FD7" w14:textId="77777777" w:rsidR="00985B87" w:rsidRDefault="00985B87" w:rsidP="00E425EA">
      <w:pPr>
        <w:keepNext/>
        <w:tabs>
          <w:tab w:val="clear" w:pos="562"/>
          <w:tab w:val="left" w:pos="720"/>
        </w:tabs>
      </w:pPr>
    </w:p>
    <w:p w14:paraId="0FBBBAF3" w14:textId="77777777" w:rsidR="00985B87" w:rsidRDefault="00944B8F" w:rsidP="00F421D6">
      <w:pPr>
        <w:keepNext/>
        <w:numPr>
          <w:ilvl w:val="0"/>
          <w:numId w:val="110"/>
        </w:numPr>
        <w:tabs>
          <w:tab w:val="clear" w:pos="562"/>
          <w:tab w:val="num" w:pos="550"/>
        </w:tabs>
        <w:ind w:left="550" w:hanging="550"/>
      </w:pPr>
      <w:r>
        <w:t>high blood measurements for white blood cells</w:t>
      </w:r>
    </w:p>
    <w:p w14:paraId="2FFFA677" w14:textId="77777777" w:rsidR="00985B87" w:rsidRDefault="00944B8F" w:rsidP="00F421D6">
      <w:pPr>
        <w:keepNext/>
        <w:numPr>
          <w:ilvl w:val="0"/>
          <w:numId w:val="110"/>
        </w:numPr>
        <w:tabs>
          <w:tab w:val="clear" w:pos="562"/>
          <w:tab w:val="num" w:pos="550"/>
        </w:tabs>
        <w:ind w:left="550" w:hanging="550"/>
      </w:pPr>
      <w:r>
        <w:t>low blood measurements for platelets</w:t>
      </w:r>
    </w:p>
    <w:p w14:paraId="7DA1E0D1" w14:textId="77777777" w:rsidR="00985B87" w:rsidRDefault="00944B8F" w:rsidP="00F421D6">
      <w:pPr>
        <w:keepNext/>
        <w:numPr>
          <w:ilvl w:val="0"/>
          <w:numId w:val="110"/>
        </w:numPr>
        <w:tabs>
          <w:tab w:val="clear" w:pos="562"/>
          <w:tab w:val="num" w:pos="550"/>
        </w:tabs>
        <w:ind w:left="550" w:hanging="550"/>
      </w:pPr>
      <w:r>
        <w:t>increased uric acid in the blood</w:t>
      </w:r>
    </w:p>
    <w:p w14:paraId="463ABDF7" w14:textId="77777777" w:rsidR="00985B87" w:rsidRDefault="00944B8F" w:rsidP="00F421D6">
      <w:pPr>
        <w:keepNext/>
        <w:numPr>
          <w:ilvl w:val="0"/>
          <w:numId w:val="110"/>
        </w:numPr>
        <w:tabs>
          <w:tab w:val="clear" w:pos="562"/>
          <w:tab w:val="num" w:pos="550"/>
        </w:tabs>
        <w:ind w:left="550" w:hanging="550"/>
      </w:pPr>
      <w:r>
        <w:t>abnormal blood measurements for sodium</w:t>
      </w:r>
    </w:p>
    <w:p w14:paraId="5696994D" w14:textId="77777777" w:rsidR="00985B87" w:rsidRDefault="00944B8F" w:rsidP="00F421D6">
      <w:pPr>
        <w:keepNext/>
        <w:numPr>
          <w:ilvl w:val="0"/>
          <w:numId w:val="110"/>
        </w:numPr>
        <w:tabs>
          <w:tab w:val="clear" w:pos="562"/>
          <w:tab w:val="num" w:pos="550"/>
        </w:tabs>
        <w:ind w:left="550" w:hanging="550"/>
      </w:pPr>
      <w:r>
        <w:t>low blood measurements for calcium</w:t>
      </w:r>
    </w:p>
    <w:p w14:paraId="6A840061" w14:textId="77777777" w:rsidR="00985B87" w:rsidRDefault="00944B8F" w:rsidP="00F421D6">
      <w:pPr>
        <w:keepNext/>
        <w:numPr>
          <w:ilvl w:val="0"/>
          <w:numId w:val="110"/>
        </w:numPr>
        <w:tabs>
          <w:tab w:val="clear" w:pos="562"/>
          <w:tab w:val="num" w:pos="550"/>
        </w:tabs>
        <w:ind w:left="550" w:hanging="550"/>
      </w:pPr>
      <w:r>
        <w:t>low blood measurements for phosphate</w:t>
      </w:r>
    </w:p>
    <w:p w14:paraId="650F682C" w14:textId="77777777" w:rsidR="00985B87" w:rsidRDefault="00944B8F" w:rsidP="00F421D6">
      <w:pPr>
        <w:keepNext/>
        <w:numPr>
          <w:ilvl w:val="0"/>
          <w:numId w:val="110"/>
        </w:numPr>
        <w:tabs>
          <w:tab w:val="clear" w:pos="562"/>
          <w:tab w:val="num" w:pos="550"/>
        </w:tabs>
        <w:ind w:left="550" w:hanging="550"/>
      </w:pPr>
      <w:r>
        <w:t>high blood sugar</w:t>
      </w:r>
    </w:p>
    <w:p w14:paraId="1B1C3F25" w14:textId="77777777" w:rsidR="00985B87" w:rsidRDefault="00944B8F" w:rsidP="00F421D6">
      <w:pPr>
        <w:keepNext/>
        <w:numPr>
          <w:ilvl w:val="0"/>
          <w:numId w:val="110"/>
        </w:numPr>
        <w:tabs>
          <w:tab w:val="clear" w:pos="562"/>
          <w:tab w:val="num" w:pos="550"/>
        </w:tabs>
        <w:ind w:left="550" w:hanging="550"/>
      </w:pPr>
      <w:r>
        <w:t>high blood measurements for lactate dehydrogenase</w:t>
      </w:r>
    </w:p>
    <w:p w14:paraId="25AF3C25" w14:textId="77777777" w:rsidR="00D410D7" w:rsidRDefault="00944B8F" w:rsidP="00F421D6">
      <w:pPr>
        <w:keepNext/>
        <w:numPr>
          <w:ilvl w:val="0"/>
          <w:numId w:val="110"/>
        </w:numPr>
        <w:tabs>
          <w:tab w:val="clear" w:pos="562"/>
          <w:tab w:val="num" w:pos="550"/>
        </w:tabs>
        <w:ind w:left="550" w:hanging="550"/>
      </w:pPr>
      <w:r>
        <w:t>autoantibodies present in the blood</w:t>
      </w:r>
    </w:p>
    <w:p w14:paraId="4EA318C7" w14:textId="77777777" w:rsidR="00D410D7" w:rsidRPr="00D410D7" w:rsidRDefault="00944B8F" w:rsidP="00F421D6">
      <w:pPr>
        <w:keepNext/>
        <w:numPr>
          <w:ilvl w:val="0"/>
          <w:numId w:val="110"/>
        </w:numPr>
        <w:tabs>
          <w:tab w:val="clear" w:pos="562"/>
          <w:tab w:val="num" w:pos="550"/>
        </w:tabs>
        <w:ind w:left="550" w:hanging="550"/>
      </w:pPr>
      <w:r>
        <w:t>low blood potassium</w:t>
      </w:r>
    </w:p>
    <w:p w14:paraId="61FA731E" w14:textId="77777777" w:rsidR="00D410D7" w:rsidRDefault="00D410D7" w:rsidP="00D410D7">
      <w:pPr>
        <w:tabs>
          <w:tab w:val="clear" w:pos="562"/>
          <w:tab w:val="left" w:pos="720"/>
        </w:tabs>
      </w:pPr>
    </w:p>
    <w:p w14:paraId="601F2428" w14:textId="77777777" w:rsidR="00D410D7" w:rsidRDefault="00944B8F" w:rsidP="00D410D7">
      <w:r>
        <w:rPr>
          <w:b/>
        </w:rPr>
        <w:t>Uncommon</w:t>
      </w:r>
      <w:r>
        <w:t xml:space="preserve"> (may affect up to 1 in 100 people) </w:t>
      </w:r>
    </w:p>
    <w:p w14:paraId="25BAFFB4" w14:textId="77777777" w:rsidR="00D410D7" w:rsidRDefault="00D410D7" w:rsidP="00D410D7"/>
    <w:p w14:paraId="11F068D2" w14:textId="77777777" w:rsidR="00D410D7" w:rsidRPr="00D410D7" w:rsidRDefault="00944B8F" w:rsidP="00F421D6">
      <w:pPr>
        <w:pStyle w:val="ListParagraph"/>
        <w:numPr>
          <w:ilvl w:val="0"/>
          <w:numId w:val="124"/>
        </w:numPr>
        <w:tabs>
          <w:tab w:val="clear" w:pos="562"/>
          <w:tab w:val="left" w:pos="540"/>
        </w:tabs>
        <w:ind w:left="540" w:hanging="540"/>
      </w:pPr>
      <w:r>
        <w:t>e</w:t>
      </w:r>
      <w:r w:rsidRPr="00D410D7">
        <w:t>levated bilirubin measurement (liver blood test)</w:t>
      </w:r>
    </w:p>
    <w:p w14:paraId="4EF1FE41" w14:textId="77777777" w:rsidR="00985B87" w:rsidRDefault="00985B87" w:rsidP="00985B87">
      <w:pPr>
        <w:tabs>
          <w:tab w:val="clear" w:pos="562"/>
          <w:tab w:val="left" w:pos="720"/>
        </w:tabs>
      </w:pPr>
    </w:p>
    <w:p w14:paraId="34B3E5C5" w14:textId="77777777" w:rsidR="00985B87" w:rsidRDefault="00944B8F" w:rsidP="00985B87">
      <w:pPr>
        <w:tabs>
          <w:tab w:val="clear" w:pos="562"/>
          <w:tab w:val="num" w:pos="550"/>
        </w:tabs>
        <w:ind w:left="547" w:hanging="547"/>
      </w:pPr>
      <w:r>
        <w:rPr>
          <w:b/>
        </w:rPr>
        <w:t>Rare</w:t>
      </w:r>
      <w:r>
        <w:t xml:space="preserve"> (may affect up to 1 in 1,000 people)</w:t>
      </w:r>
    </w:p>
    <w:p w14:paraId="74828E74" w14:textId="77777777" w:rsidR="00985B87" w:rsidRDefault="00985B87" w:rsidP="00985B87">
      <w:pPr>
        <w:tabs>
          <w:tab w:val="clear" w:pos="562"/>
          <w:tab w:val="num" w:pos="550"/>
        </w:tabs>
        <w:ind w:left="547" w:hanging="547"/>
      </w:pPr>
    </w:p>
    <w:p w14:paraId="4F9FFAD1" w14:textId="77777777" w:rsidR="00985B87" w:rsidRDefault="00944B8F" w:rsidP="00F421D6">
      <w:pPr>
        <w:numPr>
          <w:ilvl w:val="0"/>
          <w:numId w:val="110"/>
        </w:numPr>
        <w:tabs>
          <w:tab w:val="clear" w:pos="562"/>
          <w:tab w:val="num" w:pos="550"/>
        </w:tabs>
        <w:ind w:left="550" w:hanging="550"/>
      </w:pPr>
      <w:r>
        <w:t>low blood measurements for white blood cells, red blood cells and platelet count</w:t>
      </w:r>
    </w:p>
    <w:p w14:paraId="4765F55F" w14:textId="77777777" w:rsidR="00985B87" w:rsidRDefault="00985B87" w:rsidP="00985B87">
      <w:pPr>
        <w:keepNext/>
        <w:tabs>
          <w:tab w:val="clear" w:pos="562"/>
          <w:tab w:val="left" w:pos="720"/>
        </w:tabs>
        <w:suppressAutoHyphens w:val="0"/>
        <w:autoSpaceDE w:val="0"/>
        <w:autoSpaceDN w:val="0"/>
        <w:adjustRightInd w:val="0"/>
        <w:spacing w:line="240" w:lineRule="atLeast"/>
        <w:rPr>
          <w:lang w:eastAsia="de-DE"/>
        </w:rPr>
      </w:pPr>
    </w:p>
    <w:p w14:paraId="2D83285C" w14:textId="77777777" w:rsidR="00985B87" w:rsidRDefault="00944B8F" w:rsidP="00985B87">
      <w:pPr>
        <w:numPr>
          <w:ilvl w:val="12"/>
          <w:numId w:val="0"/>
        </w:numPr>
        <w:tabs>
          <w:tab w:val="clear" w:pos="562"/>
          <w:tab w:val="left" w:pos="720"/>
        </w:tabs>
        <w:ind w:right="-2"/>
        <w:rPr>
          <w:b/>
        </w:rPr>
      </w:pPr>
      <w:r>
        <w:rPr>
          <w:b/>
        </w:rPr>
        <w:t>Reporting of side effects</w:t>
      </w:r>
    </w:p>
    <w:p w14:paraId="1BB02C03" w14:textId="77777777" w:rsidR="00985B87" w:rsidRDefault="00944B8F" w:rsidP="00985B87">
      <w:r>
        <w:rPr>
          <w:szCs w:val="22"/>
          <w:lang w:eastAsia="en-GB"/>
        </w:rPr>
        <w:t>If your child gets any side effects, talk to your doctor or pharmacist. This includes any possible side effects not listed in this leaflet.</w:t>
      </w:r>
      <w:r w:rsidR="00F96AB6">
        <w:t xml:space="preserve"> </w:t>
      </w:r>
      <w:r>
        <w:t xml:space="preserve">You can also report side effects directly via </w:t>
      </w:r>
      <w:r>
        <w:rPr>
          <w:highlight w:val="lightGray"/>
        </w:rPr>
        <w:t xml:space="preserve">the national reporting system listed in </w:t>
      </w:r>
      <w:hyperlink r:id="rId24" w:history="1">
        <w:hyperlink r:id="rId25" w:history="1">
          <w:r w:rsidR="00985B87">
            <w:rPr>
              <w:rStyle w:val="Hyperlink"/>
              <w:szCs w:val="22"/>
              <w:highlight w:val="lightGray"/>
            </w:rPr>
            <w:t>Appendix V</w:t>
          </w:r>
        </w:hyperlink>
      </w:hyperlink>
      <w:r>
        <w:rPr>
          <w:highlight w:val="lightGray"/>
        </w:rPr>
        <w:t>.</w:t>
      </w:r>
      <w:r>
        <w:t xml:space="preserve"> By reporting side effects, you can help provide more information on the safety of this medicine. </w:t>
      </w:r>
    </w:p>
    <w:p w14:paraId="509539B8" w14:textId="77777777" w:rsidR="00985B87" w:rsidRDefault="00985B87" w:rsidP="00985B87"/>
    <w:p w14:paraId="07D41E64" w14:textId="77777777" w:rsidR="00985B87" w:rsidRDefault="00985B87" w:rsidP="00985B87"/>
    <w:p w14:paraId="6F9E8DEF" w14:textId="77777777" w:rsidR="00985B87" w:rsidRDefault="00944B8F" w:rsidP="00985B87">
      <w:pPr>
        <w:pStyle w:val="EMEAHeading1"/>
        <w:spacing w:beforeLines="0" w:afterLines="0"/>
        <w:rPr>
          <w:caps w:val="0"/>
          <w:lang w:val="en-GB"/>
        </w:rPr>
      </w:pPr>
      <w:r>
        <w:rPr>
          <w:rFonts w:ascii="Times New Roman" w:hAnsi="Times New Roman"/>
          <w:lang w:val="en-GB"/>
        </w:rPr>
        <w:t>5.</w:t>
      </w:r>
      <w:r>
        <w:rPr>
          <w:rFonts w:ascii="Times New Roman" w:hAnsi="Times New Roman"/>
          <w:lang w:val="en-GB"/>
        </w:rPr>
        <w:tab/>
        <w:t>H</w:t>
      </w:r>
      <w:r>
        <w:rPr>
          <w:caps w:val="0"/>
          <w:lang w:val="en-GB"/>
        </w:rPr>
        <w:t>ow to store Humira</w:t>
      </w:r>
    </w:p>
    <w:p w14:paraId="30B7FF17" w14:textId="77777777" w:rsidR="00985B87" w:rsidRDefault="00985B87" w:rsidP="00985B87">
      <w:pPr>
        <w:pStyle w:val="EMEANormal"/>
        <w:rPr>
          <w:lang w:val="en-GB"/>
        </w:rPr>
      </w:pPr>
    </w:p>
    <w:p w14:paraId="1DC1D32C" w14:textId="77777777" w:rsidR="00985B87" w:rsidRDefault="00944B8F" w:rsidP="00985B87">
      <w:pPr>
        <w:numPr>
          <w:ilvl w:val="12"/>
          <w:numId w:val="0"/>
        </w:numPr>
        <w:tabs>
          <w:tab w:val="clear" w:pos="562"/>
          <w:tab w:val="left" w:pos="720"/>
        </w:tabs>
        <w:ind w:right="-2"/>
      </w:pPr>
      <w:r>
        <w:t xml:space="preserve">Keep this medicine out of the sight and reach of children. </w:t>
      </w:r>
    </w:p>
    <w:p w14:paraId="2FCF1335" w14:textId="77777777" w:rsidR="00985B87" w:rsidRDefault="00985B87" w:rsidP="00985B87">
      <w:pPr>
        <w:numPr>
          <w:ilvl w:val="12"/>
          <w:numId w:val="0"/>
        </w:numPr>
        <w:tabs>
          <w:tab w:val="clear" w:pos="562"/>
          <w:tab w:val="left" w:pos="720"/>
        </w:tabs>
        <w:ind w:right="-2"/>
      </w:pPr>
    </w:p>
    <w:p w14:paraId="36209206" w14:textId="77777777" w:rsidR="00985B87" w:rsidRDefault="00944B8F" w:rsidP="00985B87">
      <w:pPr>
        <w:numPr>
          <w:ilvl w:val="12"/>
          <w:numId w:val="0"/>
        </w:numPr>
        <w:tabs>
          <w:tab w:val="clear" w:pos="562"/>
          <w:tab w:val="left" w:pos="720"/>
        </w:tabs>
        <w:ind w:right="-2"/>
      </w:pPr>
      <w:r>
        <w:t xml:space="preserve">Do not use this medicine after the expiry date stated on the label/blister/carton after EXP. </w:t>
      </w:r>
    </w:p>
    <w:p w14:paraId="1A8ECBBF" w14:textId="77777777" w:rsidR="00985B87" w:rsidRDefault="00985B87" w:rsidP="00985B87">
      <w:pPr>
        <w:numPr>
          <w:ilvl w:val="12"/>
          <w:numId w:val="0"/>
        </w:numPr>
        <w:ind w:right="-2"/>
      </w:pPr>
    </w:p>
    <w:p w14:paraId="732B1083" w14:textId="77777777" w:rsidR="00985B87" w:rsidRDefault="00944B8F" w:rsidP="00985B87">
      <w:pPr>
        <w:numPr>
          <w:ilvl w:val="12"/>
          <w:numId w:val="0"/>
        </w:numPr>
        <w:ind w:right="-2"/>
      </w:pPr>
      <w:r>
        <w:t>Store in a refrigerator (2</w:t>
      </w:r>
      <w:r>
        <w:rPr>
          <w:rFonts w:ascii="Symbol" w:eastAsia="Symbol" w:hAnsi="Symbol" w:cs="Symbol"/>
          <w:szCs w:val="22"/>
        </w:rPr>
        <w:sym w:font="Symbol" w:char="F0B0"/>
      </w:r>
      <w:r>
        <w:t>C – 8</w:t>
      </w:r>
      <w:r>
        <w:rPr>
          <w:rFonts w:ascii="Symbol" w:eastAsia="Symbol" w:hAnsi="Symbol" w:cs="Symbol"/>
          <w:szCs w:val="22"/>
        </w:rPr>
        <w:sym w:font="Symbol" w:char="F0B0"/>
      </w:r>
      <w:r>
        <w:t xml:space="preserve">C). Do not freeze. </w:t>
      </w:r>
    </w:p>
    <w:p w14:paraId="56255F49" w14:textId="77777777" w:rsidR="00985B87" w:rsidRDefault="00985B87" w:rsidP="00985B87">
      <w:pPr>
        <w:numPr>
          <w:ilvl w:val="12"/>
          <w:numId w:val="0"/>
        </w:numPr>
        <w:ind w:right="-2"/>
      </w:pPr>
    </w:p>
    <w:p w14:paraId="72C54A5C" w14:textId="77777777" w:rsidR="00985B87" w:rsidRDefault="00944B8F" w:rsidP="00985B87">
      <w:pPr>
        <w:numPr>
          <w:ilvl w:val="12"/>
          <w:numId w:val="0"/>
        </w:numPr>
        <w:tabs>
          <w:tab w:val="clear" w:pos="562"/>
          <w:tab w:val="left" w:pos="720"/>
        </w:tabs>
        <w:ind w:right="-2"/>
      </w:pPr>
      <w:r>
        <w:lastRenderedPageBreak/>
        <w:t xml:space="preserve">Keep the pre-filled syringe in the outer carton in order to protect from light.  </w:t>
      </w:r>
    </w:p>
    <w:p w14:paraId="15C29945" w14:textId="77777777" w:rsidR="00985B87" w:rsidRDefault="00985B87" w:rsidP="00985B87">
      <w:pPr>
        <w:numPr>
          <w:ilvl w:val="12"/>
          <w:numId w:val="0"/>
        </w:numPr>
        <w:tabs>
          <w:tab w:val="clear" w:pos="562"/>
          <w:tab w:val="left" w:pos="720"/>
        </w:tabs>
        <w:ind w:right="-2"/>
      </w:pPr>
    </w:p>
    <w:p w14:paraId="657EAAA1" w14:textId="77777777" w:rsidR="00985B87" w:rsidRDefault="00944B8F" w:rsidP="00985B87">
      <w:pPr>
        <w:tabs>
          <w:tab w:val="clear" w:pos="562"/>
          <w:tab w:val="left" w:pos="720"/>
        </w:tabs>
        <w:suppressAutoHyphens w:val="0"/>
        <w:autoSpaceDE w:val="0"/>
        <w:autoSpaceDN w:val="0"/>
        <w:adjustRightInd w:val="0"/>
        <w:rPr>
          <w:szCs w:val="22"/>
          <w:lang w:eastAsia="en-GB"/>
        </w:rPr>
      </w:pPr>
      <w:r>
        <w:rPr>
          <w:szCs w:val="22"/>
          <w:lang w:eastAsia="en-GB"/>
        </w:rPr>
        <w:t>Alternative Storage:</w:t>
      </w:r>
    </w:p>
    <w:p w14:paraId="4764D607" w14:textId="77777777" w:rsidR="00985B87" w:rsidRDefault="00985B87" w:rsidP="00985B87">
      <w:pPr>
        <w:tabs>
          <w:tab w:val="clear" w:pos="562"/>
          <w:tab w:val="left" w:pos="720"/>
        </w:tabs>
        <w:suppressAutoHyphens w:val="0"/>
        <w:autoSpaceDE w:val="0"/>
        <w:autoSpaceDN w:val="0"/>
        <w:adjustRightInd w:val="0"/>
        <w:rPr>
          <w:szCs w:val="22"/>
          <w:lang w:eastAsia="en-GB"/>
        </w:rPr>
      </w:pPr>
    </w:p>
    <w:p w14:paraId="0273A7D5" w14:textId="77777777" w:rsidR="00985B87" w:rsidRDefault="00944B8F" w:rsidP="00985B87">
      <w:pPr>
        <w:tabs>
          <w:tab w:val="clear" w:pos="562"/>
          <w:tab w:val="left" w:pos="720"/>
        </w:tabs>
        <w:suppressAutoHyphens w:val="0"/>
        <w:autoSpaceDE w:val="0"/>
        <w:autoSpaceDN w:val="0"/>
        <w:adjustRightInd w:val="0"/>
        <w:rPr>
          <w:szCs w:val="22"/>
          <w:lang w:eastAsia="en-GB"/>
        </w:rPr>
      </w:pPr>
      <w:r>
        <w:rPr>
          <w:szCs w:val="22"/>
          <w:lang w:eastAsia="en-GB"/>
        </w:rPr>
        <w:t xml:space="preserve">When needed (for example, when you are travelling), a single Humira pre-filled syringe may be stored at room temperature (up to 25°C) for a maximum period of 14 days – be sure to protect it from light. Once removed from the refrigerator for room temperature storage, the syringe </w:t>
      </w:r>
      <w:r>
        <w:rPr>
          <w:b/>
          <w:szCs w:val="22"/>
          <w:lang w:eastAsia="en-GB"/>
        </w:rPr>
        <w:t>must be used within 14 days</w:t>
      </w:r>
      <w:r>
        <w:rPr>
          <w:szCs w:val="22"/>
          <w:lang w:eastAsia="en-GB"/>
        </w:rPr>
        <w:t xml:space="preserve"> </w:t>
      </w:r>
      <w:r>
        <w:rPr>
          <w:b/>
          <w:bCs/>
          <w:szCs w:val="22"/>
          <w:lang w:eastAsia="en-GB"/>
        </w:rPr>
        <w:t>or discarded</w:t>
      </w:r>
      <w:r>
        <w:rPr>
          <w:bCs/>
          <w:szCs w:val="22"/>
          <w:lang w:eastAsia="en-GB"/>
        </w:rPr>
        <w:t>, even if it is returned to the refrigerator</w:t>
      </w:r>
      <w:r>
        <w:rPr>
          <w:szCs w:val="22"/>
          <w:lang w:eastAsia="en-GB"/>
        </w:rPr>
        <w:t xml:space="preserve">.  </w:t>
      </w:r>
    </w:p>
    <w:p w14:paraId="29FA4F53" w14:textId="77777777" w:rsidR="00985B87" w:rsidRDefault="00985B87" w:rsidP="00985B87">
      <w:pPr>
        <w:tabs>
          <w:tab w:val="clear" w:pos="562"/>
          <w:tab w:val="left" w:pos="720"/>
        </w:tabs>
        <w:suppressAutoHyphens w:val="0"/>
        <w:autoSpaceDE w:val="0"/>
        <w:autoSpaceDN w:val="0"/>
        <w:adjustRightInd w:val="0"/>
        <w:rPr>
          <w:szCs w:val="22"/>
          <w:lang w:eastAsia="en-GB"/>
        </w:rPr>
      </w:pPr>
    </w:p>
    <w:p w14:paraId="02C1FECC" w14:textId="77777777" w:rsidR="00985B87" w:rsidRDefault="00944B8F" w:rsidP="00985B87">
      <w:pPr>
        <w:tabs>
          <w:tab w:val="clear" w:pos="562"/>
          <w:tab w:val="left" w:pos="720"/>
        </w:tabs>
        <w:suppressAutoHyphens w:val="0"/>
        <w:autoSpaceDE w:val="0"/>
        <w:autoSpaceDN w:val="0"/>
        <w:adjustRightInd w:val="0"/>
        <w:rPr>
          <w:szCs w:val="22"/>
          <w:lang w:eastAsia="en-GB"/>
        </w:rPr>
      </w:pPr>
      <w:r>
        <w:rPr>
          <w:szCs w:val="22"/>
          <w:lang w:eastAsia="en-GB"/>
        </w:rPr>
        <w:t>You should record the date when the syringe is first removed from refrigerator and the date after which it should be discarded.</w:t>
      </w:r>
    </w:p>
    <w:p w14:paraId="675881D8" w14:textId="77777777" w:rsidR="00985B87" w:rsidRDefault="00985B87" w:rsidP="00985B87">
      <w:pPr>
        <w:tabs>
          <w:tab w:val="clear" w:pos="562"/>
          <w:tab w:val="left" w:pos="720"/>
        </w:tabs>
        <w:suppressAutoHyphens w:val="0"/>
        <w:autoSpaceDE w:val="0"/>
        <w:autoSpaceDN w:val="0"/>
        <w:adjustRightInd w:val="0"/>
      </w:pPr>
    </w:p>
    <w:p w14:paraId="497A1BFA" w14:textId="77777777" w:rsidR="00985B87" w:rsidRDefault="00944B8F" w:rsidP="00985B87">
      <w:pPr>
        <w:pStyle w:val="EMEAHeading1"/>
        <w:spacing w:beforeLines="0" w:afterLines="0"/>
        <w:rPr>
          <w:rFonts w:ascii="Times New Roman" w:hAnsi="Times New Roman"/>
          <w:b w:val="0"/>
          <w:caps w:val="0"/>
          <w:lang w:val="en-GB"/>
        </w:rPr>
      </w:pPr>
      <w:r>
        <w:rPr>
          <w:rFonts w:ascii="Times New Roman" w:hAnsi="Times New Roman"/>
          <w:b w:val="0"/>
          <w:caps w:val="0"/>
          <w:lang w:val="en-GB"/>
        </w:rPr>
        <w:t>Do not throw away any medicines via wastewater or household waste. Ask your doctor or pharmacist how to throw away medicines you no longer use. These measures will help protect the environment.</w:t>
      </w:r>
    </w:p>
    <w:p w14:paraId="6C9034DD" w14:textId="77777777" w:rsidR="00985B87" w:rsidRDefault="00985B87" w:rsidP="00985B87">
      <w:pPr>
        <w:pStyle w:val="EMEANormal"/>
        <w:rPr>
          <w:lang w:val="en-GB"/>
        </w:rPr>
      </w:pPr>
    </w:p>
    <w:p w14:paraId="7348E377" w14:textId="77777777" w:rsidR="00985B87" w:rsidRDefault="00985B87" w:rsidP="00985B87">
      <w:pPr>
        <w:pStyle w:val="EMEANormal"/>
        <w:rPr>
          <w:lang w:val="en-GB"/>
        </w:rPr>
      </w:pPr>
    </w:p>
    <w:p w14:paraId="4E4B3CB3" w14:textId="77777777" w:rsidR="00985B87" w:rsidRDefault="00944B8F" w:rsidP="00985B87">
      <w:pPr>
        <w:pStyle w:val="EMEAHeading1"/>
        <w:spacing w:beforeLines="0" w:afterLines="0"/>
        <w:rPr>
          <w:caps w:val="0"/>
          <w:lang w:val="en-GB"/>
        </w:rPr>
      </w:pPr>
      <w:r>
        <w:rPr>
          <w:rFonts w:ascii="Times New Roman" w:hAnsi="Times New Roman"/>
          <w:lang w:val="en-GB"/>
        </w:rPr>
        <w:t>6.</w:t>
      </w:r>
      <w:r>
        <w:rPr>
          <w:rFonts w:ascii="Times New Roman" w:hAnsi="Times New Roman"/>
          <w:lang w:val="en-GB"/>
        </w:rPr>
        <w:tab/>
      </w:r>
      <w:r>
        <w:rPr>
          <w:caps w:val="0"/>
          <w:lang w:val="en-GB"/>
        </w:rPr>
        <w:t>Contents of the pack and other information</w:t>
      </w:r>
    </w:p>
    <w:p w14:paraId="37646B3B" w14:textId="77777777" w:rsidR="00985B87" w:rsidRDefault="00985B87" w:rsidP="00985B87"/>
    <w:p w14:paraId="227285DC" w14:textId="77777777" w:rsidR="00985B87" w:rsidRDefault="00944B8F" w:rsidP="00985B87">
      <w:pPr>
        <w:pStyle w:val="Heading4"/>
        <w:keepNext w:val="0"/>
        <w:rPr>
          <w:rFonts w:ascii="Times New Roman" w:hAnsi="Times New Roman"/>
          <w:sz w:val="22"/>
          <w:szCs w:val="22"/>
        </w:rPr>
      </w:pPr>
      <w:r>
        <w:rPr>
          <w:rFonts w:ascii="Times New Roman" w:hAnsi="Times New Roman"/>
          <w:sz w:val="22"/>
          <w:szCs w:val="22"/>
        </w:rPr>
        <w:t>What Humira contains</w:t>
      </w:r>
    </w:p>
    <w:p w14:paraId="1E861115" w14:textId="77777777" w:rsidR="00985B87" w:rsidRDefault="00985B87" w:rsidP="00985B87">
      <w:pPr>
        <w:rPr>
          <w:szCs w:val="22"/>
        </w:rPr>
      </w:pPr>
    </w:p>
    <w:p w14:paraId="184A0309" w14:textId="77777777" w:rsidR="00985B87" w:rsidRDefault="00944B8F" w:rsidP="00985B87">
      <w:pPr>
        <w:numPr>
          <w:ilvl w:val="12"/>
          <w:numId w:val="0"/>
        </w:numPr>
        <w:ind w:right="-2"/>
        <w:rPr>
          <w:szCs w:val="22"/>
        </w:rPr>
      </w:pPr>
      <w:r>
        <w:rPr>
          <w:szCs w:val="22"/>
        </w:rPr>
        <w:t>The active substance is adalimumab.</w:t>
      </w:r>
    </w:p>
    <w:p w14:paraId="6A6330C8" w14:textId="77777777" w:rsidR="00985B87" w:rsidRDefault="00944B8F" w:rsidP="00985B87">
      <w:pPr>
        <w:numPr>
          <w:ilvl w:val="12"/>
          <w:numId w:val="0"/>
        </w:numPr>
        <w:ind w:right="-2"/>
        <w:rPr>
          <w:szCs w:val="22"/>
        </w:rPr>
      </w:pPr>
      <w:r>
        <w:rPr>
          <w:szCs w:val="22"/>
        </w:rPr>
        <w:t>The other ingredients are mannitol, polysorbate 80 and water for injections.</w:t>
      </w:r>
    </w:p>
    <w:p w14:paraId="7A53518D" w14:textId="77777777" w:rsidR="00985B87" w:rsidRDefault="00985B87" w:rsidP="00985B87">
      <w:pPr>
        <w:numPr>
          <w:ilvl w:val="12"/>
          <w:numId w:val="0"/>
        </w:numPr>
        <w:ind w:right="-2"/>
        <w:rPr>
          <w:szCs w:val="22"/>
        </w:rPr>
      </w:pPr>
    </w:p>
    <w:p w14:paraId="696C99D0" w14:textId="77777777" w:rsidR="00985B87" w:rsidRDefault="00944B8F" w:rsidP="00985B87">
      <w:pPr>
        <w:pStyle w:val="Heading4"/>
        <w:keepNext w:val="0"/>
        <w:rPr>
          <w:rFonts w:ascii="Times New Roman" w:hAnsi="Times New Roman"/>
          <w:sz w:val="22"/>
          <w:szCs w:val="22"/>
        </w:rPr>
      </w:pPr>
      <w:r>
        <w:rPr>
          <w:rFonts w:ascii="Times New Roman" w:hAnsi="Times New Roman"/>
          <w:sz w:val="22"/>
          <w:szCs w:val="22"/>
        </w:rPr>
        <w:t>What the Humira</w:t>
      </w:r>
      <w:r>
        <w:rPr>
          <w:rFonts w:ascii="Times New Roman" w:hAnsi="Times New Roman"/>
          <w:b w:val="0"/>
          <w:bCs w:val="0"/>
          <w:sz w:val="22"/>
          <w:szCs w:val="22"/>
        </w:rPr>
        <w:t xml:space="preserve"> </w:t>
      </w:r>
      <w:r>
        <w:rPr>
          <w:rFonts w:ascii="Times New Roman" w:hAnsi="Times New Roman"/>
          <w:sz w:val="22"/>
          <w:szCs w:val="22"/>
        </w:rPr>
        <w:t>pre-filled syringe looks like and contents of the pack</w:t>
      </w:r>
    </w:p>
    <w:p w14:paraId="0655A9B1" w14:textId="77777777" w:rsidR="00985B87" w:rsidRDefault="00985B87" w:rsidP="00985B87">
      <w:pPr>
        <w:numPr>
          <w:ilvl w:val="12"/>
          <w:numId w:val="0"/>
        </w:numPr>
        <w:ind w:right="-2"/>
        <w:rPr>
          <w:szCs w:val="22"/>
        </w:rPr>
      </w:pPr>
    </w:p>
    <w:p w14:paraId="1F5B98B6" w14:textId="77777777" w:rsidR="00985B87" w:rsidRDefault="00944B8F" w:rsidP="00985B87">
      <w:pPr>
        <w:numPr>
          <w:ilvl w:val="12"/>
          <w:numId w:val="0"/>
        </w:numPr>
        <w:tabs>
          <w:tab w:val="clear" w:pos="562"/>
          <w:tab w:val="left" w:pos="720"/>
        </w:tabs>
        <w:ind w:right="-2"/>
        <w:rPr>
          <w:szCs w:val="22"/>
        </w:rPr>
      </w:pPr>
      <w:r>
        <w:rPr>
          <w:szCs w:val="22"/>
        </w:rPr>
        <w:t>Humira 20 mg solution for injection in pre-filled syringe for paediatric use is supplied as a sterile solution of 20 mg adalimumab dissolved in 0.2 ml solution.</w:t>
      </w:r>
    </w:p>
    <w:p w14:paraId="17FE3471" w14:textId="77777777" w:rsidR="00985B87" w:rsidRDefault="00985B87" w:rsidP="00985B87">
      <w:pPr>
        <w:numPr>
          <w:ilvl w:val="12"/>
          <w:numId w:val="0"/>
        </w:numPr>
        <w:ind w:right="-2"/>
        <w:rPr>
          <w:szCs w:val="22"/>
        </w:rPr>
      </w:pPr>
    </w:p>
    <w:p w14:paraId="0E2EA0FB" w14:textId="77777777" w:rsidR="00985B87" w:rsidRDefault="00944B8F" w:rsidP="00985B87">
      <w:pPr>
        <w:numPr>
          <w:ilvl w:val="12"/>
          <w:numId w:val="0"/>
        </w:numPr>
        <w:ind w:right="-2"/>
        <w:rPr>
          <w:szCs w:val="22"/>
        </w:rPr>
      </w:pPr>
      <w:r>
        <w:rPr>
          <w:szCs w:val="22"/>
        </w:rPr>
        <w:t xml:space="preserve">The Humira pre-filled syringe is a glass syringe containing a solution of adalimumab.  </w:t>
      </w:r>
    </w:p>
    <w:p w14:paraId="2DE26D10" w14:textId="77777777" w:rsidR="00985B87" w:rsidRDefault="00985B87" w:rsidP="00985B87">
      <w:pPr>
        <w:numPr>
          <w:ilvl w:val="12"/>
          <w:numId w:val="0"/>
        </w:numPr>
        <w:ind w:right="-2"/>
        <w:rPr>
          <w:szCs w:val="22"/>
        </w:rPr>
      </w:pPr>
    </w:p>
    <w:p w14:paraId="627EDB46" w14:textId="77777777" w:rsidR="00985B87" w:rsidRDefault="00944B8F" w:rsidP="00985B87">
      <w:pPr>
        <w:numPr>
          <w:ilvl w:val="12"/>
          <w:numId w:val="0"/>
        </w:numPr>
        <w:tabs>
          <w:tab w:val="left" w:pos="2530"/>
        </w:tabs>
        <w:ind w:right="-2"/>
        <w:rPr>
          <w:szCs w:val="22"/>
        </w:rPr>
      </w:pPr>
      <w:r>
        <w:rPr>
          <w:szCs w:val="22"/>
        </w:rPr>
        <w:t>The Humira pre-filled syringe is available in a pack containing 2 pre-filled syringes</w:t>
      </w:r>
      <w:r>
        <w:t xml:space="preserve"> with 2 alcohol pads.</w:t>
      </w:r>
      <w:r>
        <w:rPr>
          <w:szCs w:val="22"/>
        </w:rPr>
        <w:t xml:space="preserve">  </w:t>
      </w:r>
    </w:p>
    <w:p w14:paraId="37AEEBD0" w14:textId="77777777" w:rsidR="00985B87" w:rsidRDefault="00985B87" w:rsidP="00985B87">
      <w:pPr>
        <w:tabs>
          <w:tab w:val="clear" w:pos="562"/>
          <w:tab w:val="left" w:pos="720"/>
        </w:tabs>
        <w:rPr>
          <w:szCs w:val="22"/>
        </w:rPr>
      </w:pPr>
    </w:p>
    <w:p w14:paraId="4C996D2B" w14:textId="77777777" w:rsidR="00985B87" w:rsidRDefault="00944B8F" w:rsidP="00985B87">
      <w:pPr>
        <w:tabs>
          <w:tab w:val="clear" w:pos="562"/>
          <w:tab w:val="left" w:pos="720"/>
        </w:tabs>
        <w:rPr>
          <w:szCs w:val="22"/>
        </w:rPr>
      </w:pPr>
      <w:r>
        <w:rPr>
          <w:szCs w:val="22"/>
        </w:rPr>
        <w:t>Humira may be available as a vial, a pre-filled syringe and/or a pre-filled pen.</w:t>
      </w:r>
    </w:p>
    <w:p w14:paraId="34FDE5F6" w14:textId="77777777" w:rsidR="00985B87" w:rsidRDefault="00985B87" w:rsidP="00985B87">
      <w:pPr>
        <w:numPr>
          <w:ilvl w:val="12"/>
          <w:numId w:val="0"/>
        </w:numPr>
        <w:ind w:right="-2"/>
        <w:rPr>
          <w:iCs/>
          <w:szCs w:val="22"/>
        </w:rPr>
      </w:pPr>
    </w:p>
    <w:p w14:paraId="0B6BD1F5" w14:textId="77777777" w:rsidR="00985B87" w:rsidRDefault="00944B8F" w:rsidP="00985B87">
      <w:pPr>
        <w:pStyle w:val="Heading6"/>
        <w:rPr>
          <w:rFonts w:ascii="Times New Roman" w:hAnsi="Times New Roman"/>
          <w:bCs w:val="0"/>
          <w:iCs/>
        </w:rPr>
      </w:pPr>
      <w:r>
        <w:rPr>
          <w:rFonts w:ascii="Times New Roman" w:hAnsi="Times New Roman"/>
          <w:bCs w:val="0"/>
          <w:iCs/>
        </w:rPr>
        <w:t>Marketing Authorisation Holder</w:t>
      </w:r>
    </w:p>
    <w:p w14:paraId="42625156" w14:textId="77777777" w:rsidR="00985B87" w:rsidRDefault="00985B87" w:rsidP="00985B87">
      <w:pPr>
        <w:keepNext/>
        <w:numPr>
          <w:ilvl w:val="12"/>
          <w:numId w:val="0"/>
        </w:numPr>
        <w:ind w:right="-2"/>
      </w:pPr>
    </w:p>
    <w:p w14:paraId="50D725F6"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AbbVie Deutschland GmbH &amp; Co. KG</w:t>
      </w:r>
    </w:p>
    <w:p w14:paraId="68D82069"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Knollstrasse</w:t>
      </w:r>
    </w:p>
    <w:p w14:paraId="46605860"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67061 Ludwigshafen</w:t>
      </w:r>
    </w:p>
    <w:p w14:paraId="792B3ADB" w14:textId="77777777" w:rsidR="006A01D2" w:rsidRDefault="00944B8F" w:rsidP="006A01D2">
      <w:pPr>
        <w:keepNext/>
        <w:tabs>
          <w:tab w:val="clear" w:pos="562"/>
          <w:tab w:val="left" w:pos="720"/>
        </w:tabs>
        <w:suppressAutoHyphens w:val="0"/>
        <w:autoSpaceDE w:val="0"/>
        <w:autoSpaceDN w:val="0"/>
        <w:adjustRightInd w:val="0"/>
        <w:spacing w:line="240" w:lineRule="atLeast"/>
        <w:rPr>
          <w:szCs w:val="22"/>
          <w:lang w:eastAsia="en-GB"/>
        </w:rPr>
      </w:pPr>
      <w:r w:rsidRPr="00EB4204">
        <w:rPr>
          <w:szCs w:val="22"/>
          <w:lang w:eastAsia="en-GB"/>
        </w:rPr>
        <w:t>Germany</w:t>
      </w:r>
      <w:r>
        <w:rPr>
          <w:szCs w:val="22"/>
          <w:lang w:eastAsia="en-GB"/>
        </w:rPr>
        <w:t xml:space="preserve"> </w:t>
      </w:r>
    </w:p>
    <w:p w14:paraId="0A7DD78D" w14:textId="77777777" w:rsidR="00985B87" w:rsidRDefault="00985B87" w:rsidP="00985B87"/>
    <w:p w14:paraId="18C2F698" w14:textId="77777777" w:rsidR="00985B87" w:rsidRDefault="00944B8F" w:rsidP="00985B87">
      <w:pPr>
        <w:numPr>
          <w:ilvl w:val="12"/>
          <w:numId w:val="0"/>
        </w:numPr>
        <w:ind w:right="-2"/>
        <w:rPr>
          <w:b/>
        </w:rPr>
      </w:pPr>
      <w:r>
        <w:rPr>
          <w:b/>
        </w:rPr>
        <w:t xml:space="preserve">Manufacturer </w:t>
      </w:r>
    </w:p>
    <w:p w14:paraId="0A7AEBCE" w14:textId="77777777" w:rsidR="00985B87" w:rsidRDefault="00985B87" w:rsidP="00985B87">
      <w:pPr>
        <w:numPr>
          <w:ilvl w:val="12"/>
          <w:numId w:val="0"/>
        </w:numPr>
        <w:ind w:right="-2"/>
      </w:pPr>
    </w:p>
    <w:p w14:paraId="28B4F55C" w14:textId="77777777" w:rsidR="00985B87" w:rsidRDefault="00944B8F" w:rsidP="00985B87">
      <w:r>
        <w:t>AbbVie Biotechnology GmbH</w:t>
      </w:r>
    </w:p>
    <w:p w14:paraId="413594C0" w14:textId="77777777" w:rsidR="00985B87" w:rsidRDefault="00944B8F" w:rsidP="00985B87">
      <w:pPr>
        <w:numPr>
          <w:ilvl w:val="12"/>
          <w:numId w:val="0"/>
        </w:numPr>
        <w:tabs>
          <w:tab w:val="clear" w:pos="562"/>
          <w:tab w:val="left" w:pos="720"/>
        </w:tabs>
      </w:pPr>
      <w:r>
        <w:t>Knollstrasse</w:t>
      </w:r>
    </w:p>
    <w:p w14:paraId="3F986AC8" w14:textId="77777777" w:rsidR="00985B87" w:rsidRDefault="00944B8F" w:rsidP="00985B87">
      <w:pPr>
        <w:numPr>
          <w:ilvl w:val="12"/>
          <w:numId w:val="0"/>
        </w:numPr>
        <w:tabs>
          <w:tab w:val="clear" w:pos="562"/>
          <w:tab w:val="left" w:pos="720"/>
        </w:tabs>
      </w:pPr>
      <w:r>
        <w:t>67061 Ludwigshafen</w:t>
      </w:r>
    </w:p>
    <w:p w14:paraId="55455D1C" w14:textId="77777777" w:rsidR="00985B87" w:rsidRDefault="00944B8F" w:rsidP="00985B87">
      <w:pPr>
        <w:numPr>
          <w:ilvl w:val="12"/>
          <w:numId w:val="0"/>
        </w:numPr>
        <w:tabs>
          <w:tab w:val="clear" w:pos="562"/>
          <w:tab w:val="left" w:pos="720"/>
        </w:tabs>
      </w:pPr>
      <w:r>
        <w:t>Germany</w:t>
      </w:r>
    </w:p>
    <w:p w14:paraId="6111EEEF" w14:textId="77777777" w:rsidR="00985B87" w:rsidRPr="00A06B15" w:rsidRDefault="00985B87" w:rsidP="00985B87"/>
    <w:p w14:paraId="08083905" w14:textId="77777777" w:rsidR="00985B87" w:rsidRDefault="00944B8F" w:rsidP="00083C28">
      <w:pPr>
        <w:keepNext/>
        <w:numPr>
          <w:ilvl w:val="12"/>
          <w:numId w:val="0"/>
        </w:numPr>
        <w:tabs>
          <w:tab w:val="clear" w:pos="562"/>
          <w:tab w:val="left" w:pos="720"/>
        </w:tabs>
        <w:ind w:right="-2"/>
      </w:pPr>
      <w:r>
        <w:lastRenderedPageBreak/>
        <w:t>For any information about this medicine, please contact the local representative of the Marketing Authorisation Holder:</w:t>
      </w:r>
    </w:p>
    <w:p w14:paraId="3E802166" w14:textId="77777777" w:rsidR="00985B87" w:rsidRDefault="00985B87" w:rsidP="00083C28">
      <w:pPr>
        <w:keepNext/>
        <w:tabs>
          <w:tab w:val="clear" w:pos="562"/>
          <w:tab w:val="left" w:pos="720"/>
        </w:tabs>
        <w:suppressAutoHyphens w:val="0"/>
        <w:rPr>
          <w:sz w:val="24"/>
        </w:rPr>
      </w:pPr>
    </w:p>
    <w:tbl>
      <w:tblPr>
        <w:tblW w:w="9360" w:type="dxa"/>
        <w:tblInd w:w="-34" w:type="dxa"/>
        <w:tblLayout w:type="fixed"/>
        <w:tblLook w:val="04A0" w:firstRow="1" w:lastRow="0" w:firstColumn="1" w:lastColumn="0" w:noHBand="0" w:noVBand="1"/>
      </w:tblPr>
      <w:tblGrid>
        <w:gridCol w:w="34"/>
        <w:gridCol w:w="4646"/>
        <w:gridCol w:w="4680"/>
      </w:tblGrid>
      <w:tr w:rsidR="00C6578C" w14:paraId="0E1A0D90" w14:textId="77777777" w:rsidTr="00701CAA">
        <w:trPr>
          <w:gridBefore w:val="1"/>
          <w:wBefore w:w="34" w:type="dxa"/>
        </w:trPr>
        <w:tc>
          <w:tcPr>
            <w:tcW w:w="4644" w:type="dxa"/>
            <w:hideMark/>
          </w:tcPr>
          <w:p w14:paraId="548E22D1" w14:textId="77777777" w:rsidR="00985B87" w:rsidRDefault="00944B8F" w:rsidP="00083C28">
            <w:pPr>
              <w:keepNext/>
              <w:rPr>
                <w:b/>
                <w:bCs/>
                <w:szCs w:val="22"/>
                <w:lang w:val="fr-BE"/>
              </w:rPr>
            </w:pPr>
            <w:r>
              <w:rPr>
                <w:b/>
                <w:bCs/>
                <w:szCs w:val="22"/>
                <w:lang w:val="fr-BE"/>
              </w:rPr>
              <w:t>België/Belgique/Belgien</w:t>
            </w:r>
          </w:p>
          <w:p w14:paraId="6BDA80D1" w14:textId="77777777" w:rsidR="00985B87" w:rsidRDefault="00944B8F" w:rsidP="00083C28">
            <w:pPr>
              <w:keepNext/>
              <w:tabs>
                <w:tab w:val="center" w:pos="2214"/>
              </w:tabs>
              <w:rPr>
                <w:bCs/>
                <w:szCs w:val="22"/>
                <w:lang w:val="fr-FR"/>
              </w:rPr>
            </w:pPr>
            <w:r>
              <w:rPr>
                <w:bCs/>
                <w:szCs w:val="22"/>
                <w:lang w:val="fr-FR"/>
              </w:rPr>
              <w:t>AbbVie SA</w:t>
            </w:r>
          </w:p>
          <w:p w14:paraId="388CCA69" w14:textId="77777777" w:rsidR="00985B87" w:rsidRDefault="00944B8F" w:rsidP="00083C28">
            <w:pPr>
              <w:keepNext/>
              <w:spacing w:line="260" w:lineRule="exact"/>
              <w:rPr>
                <w:szCs w:val="22"/>
                <w:lang w:val="fr-FR"/>
              </w:rPr>
            </w:pPr>
            <w:r>
              <w:rPr>
                <w:bCs/>
                <w:szCs w:val="22"/>
                <w:lang w:val="fr-FR"/>
              </w:rPr>
              <w:t xml:space="preserve">Tél/Tel: +32 10 </w:t>
            </w:r>
            <w:r>
              <w:rPr>
                <w:szCs w:val="22"/>
                <w:lang w:val="fr-FR"/>
              </w:rPr>
              <w:t xml:space="preserve"> 477811</w:t>
            </w:r>
          </w:p>
          <w:p w14:paraId="0C3DFAFC" w14:textId="77777777" w:rsidR="00AB3B3F" w:rsidRDefault="00AB3B3F" w:rsidP="00083C28">
            <w:pPr>
              <w:keepNext/>
              <w:spacing w:line="260" w:lineRule="exact"/>
              <w:rPr>
                <w:bCs/>
                <w:szCs w:val="22"/>
                <w:lang w:val="fr-FR"/>
              </w:rPr>
            </w:pPr>
          </w:p>
        </w:tc>
        <w:tc>
          <w:tcPr>
            <w:tcW w:w="4678" w:type="dxa"/>
            <w:hideMark/>
          </w:tcPr>
          <w:p w14:paraId="40D24B0C" w14:textId="77777777" w:rsidR="00985B87" w:rsidRDefault="00944B8F" w:rsidP="00083C28">
            <w:pPr>
              <w:keepNext/>
              <w:rPr>
                <w:b/>
                <w:bCs/>
                <w:szCs w:val="22"/>
                <w:lang w:val="lt-LT"/>
              </w:rPr>
            </w:pPr>
            <w:r>
              <w:rPr>
                <w:b/>
                <w:bCs/>
                <w:szCs w:val="22"/>
                <w:lang w:val="lt-LT"/>
              </w:rPr>
              <w:t>Lietuva</w:t>
            </w:r>
          </w:p>
          <w:p w14:paraId="5E95D95C" w14:textId="77777777" w:rsidR="00985B87" w:rsidRDefault="00944B8F" w:rsidP="00083C28">
            <w:pPr>
              <w:keepNext/>
              <w:rPr>
                <w:bCs/>
                <w:szCs w:val="22"/>
                <w:lang w:val="lv-LV"/>
              </w:rPr>
            </w:pPr>
            <w:r>
              <w:rPr>
                <w:bCs/>
                <w:szCs w:val="22"/>
                <w:lang w:val="lv-LV"/>
              </w:rPr>
              <w:t xml:space="preserve">AbbVie UAB </w:t>
            </w:r>
          </w:p>
          <w:p w14:paraId="35C07BA2" w14:textId="77777777" w:rsidR="00985B87" w:rsidRDefault="00944B8F" w:rsidP="00083C28">
            <w:pPr>
              <w:keepNext/>
              <w:jc w:val="both"/>
              <w:rPr>
                <w:ins w:id="9661" w:author="AbbVie19" w:date="2025-04-30T14:09:00Z"/>
                <w:bCs/>
                <w:szCs w:val="22"/>
                <w:lang w:val="lv-LV"/>
              </w:rPr>
            </w:pPr>
            <w:r>
              <w:rPr>
                <w:bCs/>
                <w:szCs w:val="22"/>
                <w:lang w:val="lv-LV"/>
              </w:rPr>
              <w:t>Tel: +370 5 205 3023</w:t>
            </w:r>
          </w:p>
          <w:p w14:paraId="3453CE31" w14:textId="77777777" w:rsidR="00E8606E" w:rsidRDefault="00E8606E" w:rsidP="00083C28">
            <w:pPr>
              <w:keepNext/>
              <w:jc w:val="both"/>
              <w:rPr>
                <w:bCs/>
                <w:szCs w:val="22"/>
                <w:lang w:val="lv-LV"/>
              </w:rPr>
            </w:pPr>
          </w:p>
        </w:tc>
      </w:tr>
      <w:tr w:rsidR="00C6578C" w14:paraId="2329649A" w14:textId="77777777" w:rsidTr="00701CAA">
        <w:trPr>
          <w:gridBefore w:val="1"/>
          <w:wBefore w:w="34" w:type="dxa"/>
        </w:trPr>
        <w:tc>
          <w:tcPr>
            <w:tcW w:w="4644" w:type="dxa"/>
            <w:hideMark/>
          </w:tcPr>
          <w:p w14:paraId="18870609" w14:textId="77777777" w:rsidR="0000567B" w:rsidRDefault="0000567B" w:rsidP="00701CAA">
            <w:pPr>
              <w:keepNext/>
              <w:autoSpaceDE w:val="0"/>
              <w:autoSpaceDN w:val="0"/>
              <w:adjustRightInd w:val="0"/>
              <w:rPr>
                <w:ins w:id="9662" w:author="AbbVie19" w:date="2025-05-06T09:49:00Z"/>
                <w:b/>
                <w:bCs/>
                <w:szCs w:val="22"/>
                <w:lang w:val="et-EE"/>
              </w:rPr>
            </w:pPr>
          </w:p>
          <w:p w14:paraId="0EFF4E01" w14:textId="77777777" w:rsidR="00985B87" w:rsidRDefault="00944B8F" w:rsidP="00701CAA">
            <w:pPr>
              <w:keepNext/>
              <w:autoSpaceDE w:val="0"/>
              <w:autoSpaceDN w:val="0"/>
              <w:adjustRightInd w:val="0"/>
              <w:rPr>
                <w:b/>
                <w:bCs/>
                <w:szCs w:val="22"/>
                <w:lang w:val="bg-BG"/>
              </w:rPr>
            </w:pPr>
            <w:r>
              <w:rPr>
                <w:b/>
                <w:bCs/>
                <w:szCs w:val="22"/>
                <w:lang w:val="bg-BG"/>
              </w:rPr>
              <w:t>България</w:t>
            </w:r>
          </w:p>
          <w:p w14:paraId="736041D2" w14:textId="77777777" w:rsidR="00985B87" w:rsidRDefault="00944B8F" w:rsidP="00701CAA">
            <w:pPr>
              <w:keepNext/>
              <w:autoSpaceDE w:val="0"/>
              <w:autoSpaceDN w:val="0"/>
              <w:adjustRightInd w:val="0"/>
              <w:rPr>
                <w:szCs w:val="22"/>
                <w:lang w:val="da-DK"/>
              </w:rPr>
            </w:pPr>
            <w:r>
              <w:rPr>
                <w:rFonts w:eastAsia="MS Mincho"/>
                <w:color w:val="000000"/>
                <w:szCs w:val="22"/>
                <w:lang w:eastAsia="ja-JP"/>
              </w:rPr>
              <w:t>АбВи ЕООД</w:t>
            </w:r>
          </w:p>
          <w:p w14:paraId="4EC9FDBD" w14:textId="77777777" w:rsidR="00985B87" w:rsidRDefault="00944B8F" w:rsidP="00701CAA">
            <w:pPr>
              <w:keepNext/>
              <w:tabs>
                <w:tab w:val="left" w:pos="-720"/>
              </w:tabs>
              <w:rPr>
                <w:bCs/>
                <w:szCs w:val="22"/>
                <w:lang w:val="da-DK"/>
              </w:rPr>
            </w:pPr>
            <w:r>
              <w:rPr>
                <w:rFonts w:eastAsia="MS Mincho"/>
                <w:color w:val="000000"/>
                <w:szCs w:val="22"/>
                <w:lang w:eastAsia="ja-JP"/>
              </w:rPr>
              <w:t>Тел</w:t>
            </w:r>
            <w:r>
              <w:rPr>
                <w:rFonts w:eastAsia="MS Mincho"/>
                <w:color w:val="000000"/>
                <w:szCs w:val="22"/>
                <w:lang w:val="it-IT" w:eastAsia="ja-JP"/>
              </w:rPr>
              <w:t>.:+359 2 90 30</w:t>
            </w:r>
            <w:del w:id="9663" w:author="AbbVie19" w:date="2025-05-06T09:49:00Z">
              <w:r>
                <w:rPr>
                  <w:rFonts w:eastAsia="MS Mincho"/>
                  <w:color w:val="000000"/>
                  <w:szCs w:val="22"/>
                  <w:lang w:val="it-IT" w:eastAsia="ja-JP"/>
                </w:rPr>
                <w:delText xml:space="preserve"> </w:delText>
              </w:r>
            </w:del>
            <w:ins w:id="9664" w:author="AbbVie19" w:date="2025-05-06T09:49:00Z">
              <w:r w:rsidR="0000567B">
                <w:rPr>
                  <w:rFonts w:eastAsia="MS Mincho"/>
                  <w:color w:val="000000"/>
                  <w:szCs w:val="22"/>
                  <w:lang w:val="it-IT" w:eastAsia="ja-JP"/>
                </w:rPr>
                <w:t> </w:t>
              </w:r>
            </w:ins>
            <w:r>
              <w:rPr>
                <w:rFonts w:eastAsia="MS Mincho"/>
                <w:color w:val="000000"/>
                <w:szCs w:val="22"/>
                <w:lang w:val="it-IT" w:eastAsia="ja-JP"/>
              </w:rPr>
              <w:t>430</w:t>
            </w:r>
          </w:p>
        </w:tc>
        <w:tc>
          <w:tcPr>
            <w:tcW w:w="4678" w:type="dxa"/>
            <w:hideMark/>
          </w:tcPr>
          <w:p w14:paraId="36181D98" w14:textId="77777777" w:rsidR="0000567B" w:rsidRDefault="0000567B" w:rsidP="00701CAA">
            <w:pPr>
              <w:keepNext/>
              <w:rPr>
                <w:ins w:id="9665" w:author="AbbVie19" w:date="2025-05-06T09:49:00Z"/>
                <w:b/>
                <w:bCs/>
                <w:szCs w:val="22"/>
                <w:lang w:val="de-DE"/>
              </w:rPr>
            </w:pPr>
          </w:p>
          <w:p w14:paraId="56341334" w14:textId="77777777" w:rsidR="00985B87" w:rsidRDefault="00944B8F" w:rsidP="00701CAA">
            <w:pPr>
              <w:keepNext/>
              <w:rPr>
                <w:b/>
                <w:bCs/>
                <w:szCs w:val="22"/>
                <w:lang w:val="de-DE"/>
              </w:rPr>
            </w:pPr>
            <w:r>
              <w:rPr>
                <w:b/>
                <w:bCs/>
                <w:szCs w:val="22"/>
                <w:lang w:val="de-DE"/>
              </w:rPr>
              <w:t>Luxembourg/Luxemburg</w:t>
            </w:r>
          </w:p>
          <w:p w14:paraId="26D19A91" w14:textId="77777777" w:rsidR="00985B87" w:rsidRDefault="00944B8F" w:rsidP="00701CAA">
            <w:pPr>
              <w:keepNext/>
              <w:rPr>
                <w:bCs/>
                <w:szCs w:val="22"/>
                <w:lang w:val="de-DE"/>
              </w:rPr>
            </w:pPr>
            <w:r>
              <w:rPr>
                <w:bCs/>
                <w:szCs w:val="22"/>
                <w:lang w:val="de-DE"/>
              </w:rPr>
              <w:t>AbbVie SA</w:t>
            </w:r>
          </w:p>
          <w:p w14:paraId="52237D00" w14:textId="77777777" w:rsidR="00985B87" w:rsidRDefault="00944B8F" w:rsidP="00701CAA">
            <w:pPr>
              <w:keepNext/>
              <w:tabs>
                <w:tab w:val="center" w:pos="2231"/>
              </w:tabs>
              <w:rPr>
                <w:bCs/>
                <w:szCs w:val="22"/>
                <w:lang w:val="de-DE"/>
              </w:rPr>
            </w:pPr>
            <w:r>
              <w:rPr>
                <w:bCs/>
                <w:szCs w:val="22"/>
                <w:lang w:val="de-DE"/>
              </w:rPr>
              <w:t>Belgique/Belgien</w:t>
            </w:r>
          </w:p>
          <w:p w14:paraId="367F380D" w14:textId="77777777" w:rsidR="00985B87" w:rsidRDefault="00944B8F" w:rsidP="00701CAA">
            <w:pPr>
              <w:keepNext/>
              <w:rPr>
                <w:ins w:id="9666" w:author="AbbVie19" w:date="2025-04-30T14:09:00Z"/>
                <w:bCs/>
                <w:szCs w:val="22"/>
                <w:lang w:val="fr-FR"/>
              </w:rPr>
            </w:pPr>
            <w:r>
              <w:rPr>
                <w:bCs/>
                <w:szCs w:val="22"/>
                <w:lang w:val="fr-FR"/>
              </w:rPr>
              <w:t>Tél/Tel: +32 10 477811</w:t>
            </w:r>
          </w:p>
          <w:p w14:paraId="49961666" w14:textId="77777777" w:rsidR="00E8606E" w:rsidRDefault="00E8606E" w:rsidP="00701CAA">
            <w:pPr>
              <w:keepNext/>
              <w:rPr>
                <w:bCs/>
                <w:szCs w:val="22"/>
                <w:lang w:val="fr-FR"/>
              </w:rPr>
            </w:pPr>
          </w:p>
          <w:p w14:paraId="1DE6326E" w14:textId="77777777" w:rsidR="00AB3B3F" w:rsidRDefault="00AB3B3F" w:rsidP="00701CAA">
            <w:pPr>
              <w:keepNext/>
              <w:rPr>
                <w:bCs/>
                <w:szCs w:val="22"/>
                <w:lang w:val="fr-FR"/>
              </w:rPr>
            </w:pPr>
          </w:p>
        </w:tc>
      </w:tr>
      <w:tr w:rsidR="00C6578C" w14:paraId="21278334" w14:textId="77777777" w:rsidTr="00701CAA">
        <w:trPr>
          <w:gridBefore w:val="1"/>
          <w:wBefore w:w="34" w:type="dxa"/>
        </w:trPr>
        <w:tc>
          <w:tcPr>
            <w:tcW w:w="4644" w:type="dxa"/>
            <w:hideMark/>
          </w:tcPr>
          <w:p w14:paraId="06053C18" w14:textId="77777777" w:rsidR="00985B87" w:rsidRDefault="00944B8F" w:rsidP="00701CAA">
            <w:pPr>
              <w:rPr>
                <w:b/>
                <w:bCs/>
                <w:szCs w:val="22"/>
                <w:lang w:val="de-DE"/>
              </w:rPr>
            </w:pPr>
            <w:r>
              <w:rPr>
                <w:b/>
                <w:bCs/>
                <w:szCs w:val="22"/>
                <w:lang w:val="de-DE"/>
              </w:rPr>
              <w:t>Česká republika</w:t>
            </w:r>
          </w:p>
          <w:p w14:paraId="11DF1786" w14:textId="77777777" w:rsidR="00985B87" w:rsidRDefault="00944B8F" w:rsidP="00701CAA">
            <w:pPr>
              <w:rPr>
                <w:bCs/>
                <w:szCs w:val="22"/>
                <w:lang w:val="de-DE"/>
              </w:rPr>
            </w:pPr>
            <w:r>
              <w:rPr>
                <w:bCs/>
                <w:szCs w:val="22"/>
                <w:lang w:val="de-DE"/>
              </w:rPr>
              <w:t xml:space="preserve">AbbVie s.r.o. </w:t>
            </w:r>
          </w:p>
          <w:p w14:paraId="36962900" w14:textId="77777777" w:rsidR="00985B87" w:rsidRDefault="00944B8F" w:rsidP="00701CAA">
            <w:pPr>
              <w:rPr>
                <w:bCs/>
                <w:szCs w:val="22"/>
                <w:lang w:val="de-DE"/>
              </w:rPr>
            </w:pPr>
            <w:r>
              <w:rPr>
                <w:bCs/>
                <w:szCs w:val="22"/>
                <w:lang w:val="de-DE"/>
              </w:rPr>
              <w:t>Tel: +420 233 098 111</w:t>
            </w:r>
          </w:p>
          <w:p w14:paraId="39AFBD1E" w14:textId="77777777" w:rsidR="00AB3B3F" w:rsidRDefault="00AB3B3F" w:rsidP="00701CAA">
            <w:pPr>
              <w:rPr>
                <w:bCs/>
                <w:szCs w:val="22"/>
                <w:lang w:val="de-DE"/>
              </w:rPr>
            </w:pPr>
          </w:p>
        </w:tc>
        <w:tc>
          <w:tcPr>
            <w:tcW w:w="4678" w:type="dxa"/>
            <w:hideMark/>
          </w:tcPr>
          <w:p w14:paraId="25F6F2C1" w14:textId="77777777" w:rsidR="00985B87" w:rsidRDefault="00944B8F" w:rsidP="00701CAA">
            <w:pPr>
              <w:rPr>
                <w:b/>
                <w:bCs/>
                <w:szCs w:val="22"/>
                <w:lang w:val="hu-HU"/>
              </w:rPr>
            </w:pPr>
            <w:r>
              <w:rPr>
                <w:b/>
                <w:bCs/>
                <w:szCs w:val="22"/>
                <w:lang w:val="hu-HU"/>
              </w:rPr>
              <w:t>Magyarország</w:t>
            </w:r>
          </w:p>
          <w:p w14:paraId="0DCB9B33" w14:textId="77777777" w:rsidR="00985B87" w:rsidRDefault="00944B8F" w:rsidP="00701CAA">
            <w:pPr>
              <w:rPr>
                <w:bCs/>
                <w:szCs w:val="22"/>
                <w:lang w:val="hu-HU"/>
              </w:rPr>
            </w:pPr>
            <w:r>
              <w:rPr>
                <w:bCs/>
                <w:szCs w:val="22"/>
                <w:lang w:val="hu-HU"/>
              </w:rPr>
              <w:t>AbbVie Kft.</w:t>
            </w:r>
          </w:p>
          <w:p w14:paraId="570DB922" w14:textId="77777777" w:rsidR="00985B87" w:rsidRDefault="00944B8F" w:rsidP="00701CAA">
            <w:pPr>
              <w:tabs>
                <w:tab w:val="left" w:pos="2380"/>
              </w:tabs>
              <w:rPr>
                <w:ins w:id="9667" w:author="AbbVie19" w:date="2025-04-30T14:09:00Z"/>
                <w:bCs/>
                <w:szCs w:val="22"/>
                <w:lang w:val="hu-HU"/>
              </w:rPr>
            </w:pPr>
            <w:r>
              <w:rPr>
                <w:bCs/>
                <w:szCs w:val="22"/>
                <w:lang w:val="hu-HU"/>
              </w:rPr>
              <w:t>Tel.:+36 1 455 8600</w:t>
            </w:r>
          </w:p>
          <w:p w14:paraId="448443BD" w14:textId="77777777" w:rsidR="00E8606E" w:rsidRDefault="00E8606E" w:rsidP="00701CAA">
            <w:pPr>
              <w:tabs>
                <w:tab w:val="left" w:pos="2380"/>
              </w:tabs>
              <w:rPr>
                <w:bCs/>
                <w:szCs w:val="22"/>
                <w:lang w:val="hu-HU"/>
              </w:rPr>
            </w:pPr>
          </w:p>
        </w:tc>
      </w:tr>
      <w:tr w:rsidR="00C6578C" w14:paraId="3C4ACF53" w14:textId="77777777" w:rsidTr="00701CAA">
        <w:trPr>
          <w:gridBefore w:val="1"/>
          <w:wBefore w:w="34" w:type="dxa"/>
          <w:trHeight w:val="733"/>
        </w:trPr>
        <w:tc>
          <w:tcPr>
            <w:tcW w:w="4644" w:type="dxa"/>
            <w:hideMark/>
          </w:tcPr>
          <w:p w14:paraId="03E117B1" w14:textId="77777777" w:rsidR="0000567B" w:rsidRDefault="0000567B" w:rsidP="00701CAA">
            <w:pPr>
              <w:rPr>
                <w:ins w:id="9668" w:author="AbbVie19" w:date="2025-05-06T09:49:00Z"/>
                <w:b/>
                <w:bCs/>
                <w:szCs w:val="22"/>
              </w:rPr>
            </w:pPr>
          </w:p>
          <w:p w14:paraId="6D56A4CF" w14:textId="77777777" w:rsidR="00985B87" w:rsidRDefault="00944B8F" w:rsidP="00701CAA">
            <w:pPr>
              <w:rPr>
                <w:b/>
                <w:bCs/>
                <w:szCs w:val="22"/>
              </w:rPr>
            </w:pPr>
            <w:r>
              <w:rPr>
                <w:b/>
                <w:bCs/>
                <w:szCs w:val="22"/>
              </w:rPr>
              <w:t>Danmark</w:t>
            </w:r>
          </w:p>
          <w:p w14:paraId="2FFD8C4A" w14:textId="77777777" w:rsidR="00985B87" w:rsidRDefault="00944B8F" w:rsidP="00701CAA">
            <w:pPr>
              <w:rPr>
                <w:bCs/>
                <w:szCs w:val="22"/>
              </w:rPr>
            </w:pPr>
            <w:r>
              <w:rPr>
                <w:bCs/>
                <w:szCs w:val="22"/>
              </w:rPr>
              <w:t>AbbVie A/S</w:t>
            </w:r>
          </w:p>
          <w:p w14:paraId="2CFBCCB9" w14:textId="77777777" w:rsidR="00985B87" w:rsidRDefault="00944B8F" w:rsidP="00701CAA">
            <w:pPr>
              <w:rPr>
                <w:bCs/>
                <w:szCs w:val="22"/>
              </w:rPr>
            </w:pPr>
            <w:r>
              <w:rPr>
                <w:bCs/>
                <w:szCs w:val="22"/>
              </w:rPr>
              <w:t>Tlf</w:t>
            </w:r>
            <w:ins w:id="9669" w:author="AbbVie19" w:date="2025-05-06T09:49:00Z">
              <w:r w:rsidR="0000567B">
                <w:rPr>
                  <w:bCs/>
                  <w:szCs w:val="22"/>
                </w:rPr>
                <w:t>.</w:t>
              </w:r>
            </w:ins>
            <w:r>
              <w:rPr>
                <w:bCs/>
                <w:szCs w:val="22"/>
              </w:rPr>
              <w:t>: +45 72 30-20-28</w:t>
            </w:r>
          </w:p>
        </w:tc>
        <w:tc>
          <w:tcPr>
            <w:tcW w:w="4678" w:type="dxa"/>
            <w:hideMark/>
          </w:tcPr>
          <w:p w14:paraId="52E9A6E1" w14:textId="77777777" w:rsidR="0000567B" w:rsidRDefault="0000567B" w:rsidP="00701CAA">
            <w:pPr>
              <w:rPr>
                <w:ins w:id="9670" w:author="AbbVie19" w:date="2025-05-06T09:49:00Z"/>
                <w:b/>
                <w:bCs/>
                <w:szCs w:val="22"/>
                <w:lang w:val="mt-MT"/>
              </w:rPr>
            </w:pPr>
          </w:p>
          <w:p w14:paraId="68B3DF20" w14:textId="77777777" w:rsidR="00985B87" w:rsidRDefault="00944B8F" w:rsidP="00701CAA">
            <w:pPr>
              <w:rPr>
                <w:b/>
                <w:bCs/>
                <w:szCs w:val="22"/>
                <w:lang w:val="mt-MT"/>
              </w:rPr>
            </w:pPr>
            <w:r>
              <w:rPr>
                <w:b/>
                <w:bCs/>
                <w:szCs w:val="22"/>
                <w:lang w:val="mt-MT"/>
              </w:rPr>
              <w:t>Malta</w:t>
            </w:r>
          </w:p>
          <w:p w14:paraId="5783C336" w14:textId="77777777" w:rsidR="00985B87" w:rsidRDefault="00944B8F" w:rsidP="00701CAA">
            <w:pPr>
              <w:rPr>
                <w:bCs/>
                <w:szCs w:val="22"/>
                <w:lang w:val="sv-SE"/>
              </w:rPr>
            </w:pPr>
            <w:r>
              <w:rPr>
                <w:bCs/>
                <w:szCs w:val="22"/>
                <w:lang w:val="sv-SE"/>
              </w:rPr>
              <w:t xml:space="preserve">V.J.Salomone Pharma Limited </w:t>
            </w:r>
          </w:p>
          <w:p w14:paraId="74E4E0BB" w14:textId="77777777" w:rsidR="00985B87" w:rsidRDefault="00944B8F" w:rsidP="00701CAA">
            <w:pPr>
              <w:rPr>
                <w:ins w:id="9671" w:author="AbbVie19" w:date="2025-04-30T14:09:00Z"/>
                <w:bCs/>
                <w:szCs w:val="22"/>
              </w:rPr>
            </w:pPr>
            <w:r>
              <w:rPr>
                <w:bCs/>
                <w:szCs w:val="22"/>
              </w:rPr>
              <w:t xml:space="preserve">Tel: </w:t>
            </w:r>
            <w:r w:rsidR="00B745CF">
              <w:rPr>
                <w:bCs/>
                <w:szCs w:val="22"/>
              </w:rPr>
              <w:t>+356 21220174</w:t>
            </w:r>
          </w:p>
          <w:p w14:paraId="0B8E5847" w14:textId="77777777" w:rsidR="00E8606E" w:rsidRDefault="00E8606E" w:rsidP="00701CAA">
            <w:pPr>
              <w:rPr>
                <w:bCs/>
                <w:szCs w:val="22"/>
              </w:rPr>
            </w:pPr>
          </w:p>
          <w:p w14:paraId="6EDD5676" w14:textId="77777777" w:rsidR="00AB3B3F" w:rsidRDefault="00AB3B3F" w:rsidP="00701CAA">
            <w:pPr>
              <w:rPr>
                <w:bCs/>
                <w:szCs w:val="22"/>
              </w:rPr>
            </w:pPr>
          </w:p>
        </w:tc>
      </w:tr>
      <w:tr w:rsidR="00C6578C" w:rsidRPr="00173B45" w14:paraId="2F9A7953" w14:textId="77777777" w:rsidTr="00701CAA">
        <w:trPr>
          <w:gridBefore w:val="1"/>
          <w:wBefore w:w="34" w:type="dxa"/>
        </w:trPr>
        <w:tc>
          <w:tcPr>
            <w:tcW w:w="4644" w:type="dxa"/>
            <w:hideMark/>
          </w:tcPr>
          <w:p w14:paraId="1D0070B5" w14:textId="77777777" w:rsidR="00985B87" w:rsidRDefault="00944B8F" w:rsidP="00701CAA">
            <w:pPr>
              <w:rPr>
                <w:b/>
                <w:bCs/>
                <w:szCs w:val="22"/>
                <w:lang w:val="de-DE"/>
              </w:rPr>
            </w:pPr>
            <w:r>
              <w:rPr>
                <w:b/>
                <w:bCs/>
                <w:szCs w:val="22"/>
                <w:lang w:val="de-DE"/>
              </w:rPr>
              <w:t>Deutschland</w:t>
            </w:r>
          </w:p>
          <w:p w14:paraId="34F08328" w14:textId="77777777" w:rsidR="00985B87" w:rsidRDefault="00944B8F" w:rsidP="00701CAA">
            <w:pPr>
              <w:rPr>
                <w:bCs/>
                <w:szCs w:val="22"/>
                <w:lang w:val="de-DE"/>
              </w:rPr>
            </w:pPr>
            <w:r>
              <w:rPr>
                <w:szCs w:val="22"/>
                <w:lang w:val="de-DE"/>
              </w:rPr>
              <w:t xml:space="preserve">AbbVie Deutschland </w:t>
            </w:r>
            <w:r>
              <w:rPr>
                <w:bCs/>
                <w:szCs w:val="22"/>
                <w:lang w:val="de-DE"/>
              </w:rPr>
              <w:t>GmbH &amp; Co. KG</w:t>
            </w:r>
          </w:p>
          <w:p w14:paraId="09E4603D" w14:textId="77777777" w:rsidR="00985B87" w:rsidRDefault="00944B8F" w:rsidP="00701CAA">
            <w:pPr>
              <w:rPr>
                <w:szCs w:val="22"/>
                <w:lang w:val="de-DE"/>
              </w:rPr>
            </w:pPr>
            <w:r>
              <w:rPr>
                <w:szCs w:val="22"/>
                <w:lang w:val="de-DE"/>
              </w:rPr>
              <w:t>Tel: 00800 222843 33 (gebührenfrei)</w:t>
            </w:r>
          </w:p>
          <w:p w14:paraId="194CBB4F" w14:textId="77777777" w:rsidR="00985B87" w:rsidRDefault="00944B8F" w:rsidP="00701CAA">
            <w:pPr>
              <w:rPr>
                <w:szCs w:val="22"/>
                <w:lang w:val="de-DE"/>
              </w:rPr>
            </w:pPr>
            <w:r>
              <w:rPr>
                <w:szCs w:val="22"/>
                <w:lang w:val="de-DE"/>
              </w:rPr>
              <w:t>Tel: +49 (0) 611 / 1720-0</w:t>
            </w:r>
          </w:p>
          <w:p w14:paraId="2FBA938D" w14:textId="77777777" w:rsidR="00AB3B3F" w:rsidRDefault="00AB3B3F" w:rsidP="00701CAA">
            <w:pPr>
              <w:rPr>
                <w:szCs w:val="22"/>
                <w:lang w:val="de-DE"/>
              </w:rPr>
            </w:pPr>
          </w:p>
        </w:tc>
        <w:tc>
          <w:tcPr>
            <w:tcW w:w="4678" w:type="dxa"/>
            <w:hideMark/>
          </w:tcPr>
          <w:p w14:paraId="23BB5780" w14:textId="77777777" w:rsidR="00985B87" w:rsidRDefault="00944B8F" w:rsidP="00701CAA">
            <w:pPr>
              <w:rPr>
                <w:b/>
                <w:bCs/>
                <w:szCs w:val="22"/>
                <w:lang w:val="nl-NL"/>
              </w:rPr>
            </w:pPr>
            <w:r>
              <w:rPr>
                <w:b/>
                <w:bCs/>
                <w:szCs w:val="22"/>
                <w:lang w:val="nl-NL"/>
              </w:rPr>
              <w:t>Nederland</w:t>
            </w:r>
          </w:p>
          <w:p w14:paraId="651883B8" w14:textId="77777777" w:rsidR="00985B87" w:rsidRDefault="00944B8F" w:rsidP="00701CAA">
            <w:pPr>
              <w:rPr>
                <w:bCs/>
                <w:szCs w:val="22"/>
                <w:lang w:val="de-DE"/>
              </w:rPr>
            </w:pPr>
            <w:r>
              <w:rPr>
                <w:bCs/>
                <w:szCs w:val="22"/>
                <w:lang w:val="de-DE"/>
              </w:rPr>
              <w:t>AbbVie B.V.</w:t>
            </w:r>
          </w:p>
          <w:p w14:paraId="788208DA" w14:textId="77777777" w:rsidR="00985B87" w:rsidRDefault="00944B8F" w:rsidP="00701CAA">
            <w:pPr>
              <w:rPr>
                <w:bCs/>
                <w:szCs w:val="22"/>
                <w:lang w:val="de-DE"/>
              </w:rPr>
            </w:pPr>
            <w:r>
              <w:rPr>
                <w:bCs/>
                <w:szCs w:val="22"/>
                <w:lang w:val="de-DE"/>
              </w:rPr>
              <w:t>Tel:  +31 (0)88 322 2843</w:t>
            </w:r>
          </w:p>
        </w:tc>
      </w:tr>
      <w:tr w:rsidR="00C6578C" w14:paraId="2591CDD6" w14:textId="77777777" w:rsidTr="00701CAA">
        <w:trPr>
          <w:gridBefore w:val="1"/>
          <w:wBefore w:w="34" w:type="dxa"/>
        </w:trPr>
        <w:tc>
          <w:tcPr>
            <w:tcW w:w="4644" w:type="dxa"/>
            <w:hideMark/>
          </w:tcPr>
          <w:p w14:paraId="542D2ECE" w14:textId="77777777" w:rsidR="00E8606E" w:rsidRDefault="00E8606E" w:rsidP="00701CAA">
            <w:pPr>
              <w:rPr>
                <w:ins w:id="9672" w:author="AbbVie19" w:date="2025-04-30T14:09:00Z"/>
                <w:b/>
                <w:bCs/>
                <w:szCs w:val="22"/>
                <w:lang w:val="et-EE"/>
              </w:rPr>
            </w:pPr>
          </w:p>
          <w:p w14:paraId="646983E1" w14:textId="77777777" w:rsidR="00985B87" w:rsidRDefault="00944B8F" w:rsidP="00701CAA">
            <w:pPr>
              <w:rPr>
                <w:b/>
                <w:bCs/>
                <w:szCs w:val="22"/>
                <w:lang w:val="et-EE"/>
              </w:rPr>
            </w:pPr>
            <w:r>
              <w:rPr>
                <w:b/>
                <w:bCs/>
                <w:szCs w:val="22"/>
                <w:lang w:val="et-EE"/>
              </w:rPr>
              <w:t>Eesti</w:t>
            </w:r>
          </w:p>
          <w:p w14:paraId="3EF52FEC" w14:textId="77777777" w:rsidR="00985B87" w:rsidRDefault="00944B8F" w:rsidP="00701CAA">
            <w:pPr>
              <w:rPr>
                <w:bCs/>
                <w:szCs w:val="22"/>
                <w:lang w:val="et-EE"/>
              </w:rPr>
            </w:pPr>
            <w:r>
              <w:rPr>
                <w:bCs/>
                <w:szCs w:val="22"/>
                <w:lang w:val="et-EE"/>
              </w:rPr>
              <w:t xml:space="preserve">AbbVie </w:t>
            </w:r>
            <w:r w:rsidR="001B6F9C" w:rsidRPr="00F66039">
              <w:rPr>
                <w:bCs/>
                <w:szCs w:val="22"/>
              </w:rPr>
              <w:t>OÜ</w:t>
            </w:r>
          </w:p>
          <w:p w14:paraId="5F3C3AC3" w14:textId="77777777" w:rsidR="00985B87" w:rsidRDefault="00944B8F" w:rsidP="00701CAA">
            <w:pPr>
              <w:rPr>
                <w:bCs/>
                <w:szCs w:val="22"/>
                <w:lang w:val="et-EE"/>
              </w:rPr>
            </w:pPr>
            <w:r>
              <w:rPr>
                <w:bCs/>
                <w:szCs w:val="22"/>
                <w:lang w:val="et-EE"/>
              </w:rPr>
              <w:t>Tel: +372 623 1011</w:t>
            </w:r>
          </w:p>
          <w:p w14:paraId="24A7365D" w14:textId="77777777" w:rsidR="00AB3B3F" w:rsidRDefault="00AB3B3F" w:rsidP="00701CAA">
            <w:pPr>
              <w:rPr>
                <w:bCs/>
                <w:szCs w:val="22"/>
                <w:lang w:val="lv-LV"/>
              </w:rPr>
            </w:pPr>
          </w:p>
        </w:tc>
        <w:tc>
          <w:tcPr>
            <w:tcW w:w="4678" w:type="dxa"/>
            <w:hideMark/>
          </w:tcPr>
          <w:p w14:paraId="3DDD5A5D" w14:textId="77777777" w:rsidR="00985B87" w:rsidRDefault="00944B8F" w:rsidP="00701CAA">
            <w:pPr>
              <w:rPr>
                <w:b/>
                <w:bCs/>
                <w:szCs w:val="22"/>
                <w:lang w:val="nb-NO"/>
              </w:rPr>
            </w:pPr>
            <w:r>
              <w:rPr>
                <w:b/>
                <w:bCs/>
                <w:szCs w:val="22"/>
                <w:lang w:val="nb-NO"/>
              </w:rPr>
              <w:t>Norge</w:t>
            </w:r>
          </w:p>
          <w:p w14:paraId="6FE06DAF" w14:textId="77777777" w:rsidR="00985B87" w:rsidRDefault="00944B8F" w:rsidP="00701CAA">
            <w:pPr>
              <w:rPr>
                <w:bCs/>
                <w:szCs w:val="22"/>
              </w:rPr>
            </w:pPr>
            <w:r>
              <w:rPr>
                <w:bCs/>
                <w:szCs w:val="22"/>
              </w:rPr>
              <w:t>AbbVie AS</w:t>
            </w:r>
          </w:p>
          <w:p w14:paraId="0FDCD2DB" w14:textId="77777777" w:rsidR="00985B87" w:rsidRDefault="00944B8F" w:rsidP="00701CAA">
            <w:pPr>
              <w:rPr>
                <w:bCs/>
                <w:szCs w:val="22"/>
              </w:rPr>
            </w:pPr>
            <w:r>
              <w:rPr>
                <w:bCs/>
                <w:szCs w:val="22"/>
              </w:rPr>
              <w:t>Tlf: +47 67 81 80 00</w:t>
            </w:r>
          </w:p>
        </w:tc>
      </w:tr>
      <w:tr w:rsidR="00C6578C" w14:paraId="20C03452" w14:textId="77777777" w:rsidTr="00701CAA">
        <w:trPr>
          <w:gridBefore w:val="1"/>
          <w:wBefore w:w="34" w:type="dxa"/>
          <w:trHeight w:val="896"/>
        </w:trPr>
        <w:tc>
          <w:tcPr>
            <w:tcW w:w="4644" w:type="dxa"/>
            <w:hideMark/>
          </w:tcPr>
          <w:p w14:paraId="65926002" w14:textId="77777777" w:rsidR="00E8606E" w:rsidRDefault="00E8606E" w:rsidP="00701CAA">
            <w:pPr>
              <w:rPr>
                <w:ins w:id="9673" w:author="AbbVie19" w:date="2025-04-30T14:09:00Z"/>
                <w:b/>
                <w:bCs/>
                <w:szCs w:val="22"/>
                <w:lang w:val="et-EE"/>
              </w:rPr>
            </w:pPr>
          </w:p>
          <w:p w14:paraId="3B7A21B1" w14:textId="77777777" w:rsidR="00985B87" w:rsidRDefault="00944B8F" w:rsidP="00701CAA">
            <w:pPr>
              <w:rPr>
                <w:b/>
                <w:bCs/>
                <w:szCs w:val="22"/>
                <w:lang w:val="el-GR"/>
              </w:rPr>
            </w:pPr>
            <w:r>
              <w:rPr>
                <w:b/>
                <w:bCs/>
                <w:szCs w:val="22"/>
                <w:lang w:val="el-GR"/>
              </w:rPr>
              <w:t>Ελλάδα</w:t>
            </w:r>
          </w:p>
          <w:p w14:paraId="576B4B88" w14:textId="77777777" w:rsidR="00985B87" w:rsidRDefault="00944B8F" w:rsidP="00701CAA">
            <w:pPr>
              <w:rPr>
                <w:bCs/>
                <w:szCs w:val="22"/>
                <w:lang w:val="el-GR"/>
              </w:rPr>
            </w:pPr>
            <w:r>
              <w:rPr>
                <w:bCs/>
                <w:szCs w:val="22"/>
                <w:lang w:val="et-EE"/>
              </w:rPr>
              <w:t xml:space="preserve">AbbVie </w:t>
            </w:r>
            <w:r>
              <w:rPr>
                <w:szCs w:val="22"/>
                <w:lang w:val="el-GR"/>
              </w:rPr>
              <w:t>ΦΑΡΜΑΚΕΥΤΙΚΗ Α.Ε.</w:t>
            </w:r>
          </w:p>
          <w:p w14:paraId="4A3D7E24" w14:textId="77777777" w:rsidR="00985B87" w:rsidRDefault="00944B8F" w:rsidP="00701CAA">
            <w:pPr>
              <w:rPr>
                <w:bCs/>
                <w:szCs w:val="22"/>
              </w:rPr>
            </w:pPr>
            <w:r>
              <w:rPr>
                <w:bCs/>
                <w:szCs w:val="22"/>
                <w:lang w:val="el-GR"/>
              </w:rPr>
              <w:t xml:space="preserve">Τηλ: +30 </w:t>
            </w:r>
            <w:r>
              <w:rPr>
                <w:bCs/>
                <w:szCs w:val="22"/>
              </w:rPr>
              <w:t>214 4165 555</w:t>
            </w:r>
          </w:p>
        </w:tc>
        <w:tc>
          <w:tcPr>
            <w:tcW w:w="4678" w:type="dxa"/>
            <w:hideMark/>
          </w:tcPr>
          <w:p w14:paraId="341D0DD6" w14:textId="77777777" w:rsidR="00985B87" w:rsidRDefault="00944B8F" w:rsidP="00701CAA">
            <w:pPr>
              <w:rPr>
                <w:b/>
                <w:bCs/>
                <w:szCs w:val="22"/>
                <w:lang w:val="de-DE"/>
              </w:rPr>
            </w:pPr>
            <w:r>
              <w:rPr>
                <w:b/>
                <w:bCs/>
                <w:szCs w:val="22"/>
                <w:lang w:val="de-DE"/>
              </w:rPr>
              <w:t>Österreich</w:t>
            </w:r>
          </w:p>
          <w:p w14:paraId="59A88DA7" w14:textId="77777777" w:rsidR="00985B87" w:rsidRDefault="00944B8F" w:rsidP="00701CAA">
            <w:pPr>
              <w:rPr>
                <w:bCs/>
                <w:szCs w:val="22"/>
                <w:lang w:val="de-DE"/>
              </w:rPr>
            </w:pPr>
            <w:r>
              <w:rPr>
                <w:bCs/>
                <w:szCs w:val="22"/>
                <w:lang w:val="de-DE"/>
              </w:rPr>
              <w:t xml:space="preserve">AbbVie GmbH </w:t>
            </w:r>
          </w:p>
          <w:p w14:paraId="324F2160" w14:textId="77777777" w:rsidR="00985B87" w:rsidRDefault="00944B8F" w:rsidP="00701CAA">
            <w:pPr>
              <w:rPr>
                <w:bCs/>
                <w:szCs w:val="22"/>
                <w:lang w:val="de-DE"/>
              </w:rPr>
            </w:pPr>
            <w:r>
              <w:rPr>
                <w:bCs/>
                <w:szCs w:val="22"/>
                <w:lang w:val="de-DE"/>
              </w:rPr>
              <w:t>Tel: +43 1 20589-0</w:t>
            </w:r>
          </w:p>
        </w:tc>
      </w:tr>
      <w:tr w:rsidR="00C6578C" w14:paraId="3B8AA8CD" w14:textId="77777777" w:rsidTr="00701CAA">
        <w:trPr>
          <w:gridBefore w:val="1"/>
          <w:wBefore w:w="34" w:type="dxa"/>
        </w:trPr>
        <w:tc>
          <w:tcPr>
            <w:tcW w:w="4644" w:type="dxa"/>
            <w:hideMark/>
          </w:tcPr>
          <w:p w14:paraId="08A3FC78" w14:textId="77777777" w:rsidR="00E8606E" w:rsidRDefault="00E8606E" w:rsidP="00701CAA">
            <w:pPr>
              <w:rPr>
                <w:ins w:id="9674" w:author="AbbVie19" w:date="2025-04-30T14:09:00Z"/>
                <w:b/>
                <w:bCs/>
                <w:szCs w:val="22"/>
                <w:lang w:val="es-ES"/>
              </w:rPr>
            </w:pPr>
          </w:p>
          <w:p w14:paraId="1619306F" w14:textId="77777777" w:rsidR="00985B87" w:rsidRDefault="00944B8F" w:rsidP="00701CAA">
            <w:pPr>
              <w:rPr>
                <w:b/>
                <w:bCs/>
                <w:szCs w:val="22"/>
                <w:lang w:val="es-ES"/>
              </w:rPr>
            </w:pPr>
            <w:r>
              <w:rPr>
                <w:b/>
                <w:bCs/>
                <w:szCs w:val="22"/>
                <w:lang w:val="es-ES"/>
              </w:rPr>
              <w:t>España</w:t>
            </w:r>
          </w:p>
          <w:p w14:paraId="5F63C593" w14:textId="77777777" w:rsidR="00985B87" w:rsidRPr="00433FAD" w:rsidRDefault="00944B8F" w:rsidP="00701CAA">
            <w:pPr>
              <w:rPr>
                <w:szCs w:val="22"/>
                <w:lang w:val="es-MX"/>
              </w:rPr>
            </w:pPr>
            <w:r w:rsidRPr="00433FAD">
              <w:rPr>
                <w:bCs/>
                <w:szCs w:val="22"/>
                <w:lang w:val="es-MX"/>
              </w:rPr>
              <w:t>AbbVie Spain, S.L.U.</w:t>
            </w:r>
          </w:p>
          <w:p w14:paraId="119F7B89" w14:textId="77777777" w:rsidR="00985B87" w:rsidRDefault="00944B8F" w:rsidP="00701CAA">
            <w:pPr>
              <w:rPr>
                <w:bCs/>
                <w:szCs w:val="22"/>
                <w:lang w:val="pt-PT"/>
              </w:rPr>
            </w:pPr>
            <w:r>
              <w:rPr>
                <w:bCs/>
                <w:szCs w:val="22"/>
                <w:lang w:val="pt-PT"/>
              </w:rPr>
              <w:t>Tel:  +34 91 384 09 10</w:t>
            </w:r>
          </w:p>
          <w:p w14:paraId="2E52F629" w14:textId="77777777" w:rsidR="00AB3B3F" w:rsidRDefault="00AB3B3F" w:rsidP="00701CAA">
            <w:pPr>
              <w:rPr>
                <w:bCs/>
                <w:szCs w:val="22"/>
                <w:lang w:val="pl-PL"/>
              </w:rPr>
            </w:pPr>
          </w:p>
        </w:tc>
        <w:tc>
          <w:tcPr>
            <w:tcW w:w="4678" w:type="dxa"/>
            <w:hideMark/>
          </w:tcPr>
          <w:p w14:paraId="3FBA4FFF" w14:textId="77777777" w:rsidR="00985B87" w:rsidRDefault="00944B8F" w:rsidP="00701CAA">
            <w:pPr>
              <w:rPr>
                <w:b/>
                <w:bCs/>
                <w:iCs/>
                <w:szCs w:val="22"/>
                <w:lang w:val="pl-PL"/>
              </w:rPr>
            </w:pPr>
            <w:r>
              <w:rPr>
                <w:b/>
                <w:bCs/>
                <w:iCs/>
                <w:szCs w:val="22"/>
                <w:lang w:val="pl-PL"/>
              </w:rPr>
              <w:t>Polska</w:t>
            </w:r>
          </w:p>
          <w:p w14:paraId="699BBFF4" w14:textId="77777777" w:rsidR="00985B87" w:rsidRDefault="00944B8F" w:rsidP="00701CAA">
            <w:pPr>
              <w:rPr>
                <w:bCs/>
                <w:szCs w:val="22"/>
                <w:lang w:val="pl-PL"/>
              </w:rPr>
            </w:pPr>
            <w:r>
              <w:rPr>
                <w:bCs/>
                <w:szCs w:val="22"/>
                <w:lang w:val="pl-PL"/>
              </w:rPr>
              <w:t>AbbVie Sp. z o.o.</w:t>
            </w:r>
          </w:p>
          <w:p w14:paraId="171FD713" w14:textId="77777777" w:rsidR="00985B87" w:rsidRDefault="00944B8F" w:rsidP="00701CAA">
            <w:pPr>
              <w:tabs>
                <w:tab w:val="center" w:pos="4536"/>
                <w:tab w:val="center" w:pos="8930"/>
              </w:tabs>
              <w:rPr>
                <w:bCs/>
                <w:szCs w:val="22"/>
                <w:lang w:val="pl-PL"/>
              </w:rPr>
            </w:pPr>
            <w:r>
              <w:rPr>
                <w:szCs w:val="22"/>
                <w:lang w:val="es-ES"/>
              </w:rPr>
              <w:t xml:space="preserve">Tel.: +48 22 </w:t>
            </w:r>
            <w:r>
              <w:rPr>
                <w:bCs/>
                <w:szCs w:val="22"/>
                <w:lang w:val="pl-PL"/>
              </w:rPr>
              <w:t xml:space="preserve">372 78 00 </w:t>
            </w:r>
          </w:p>
        </w:tc>
      </w:tr>
      <w:tr w:rsidR="00C6578C" w14:paraId="106ED413" w14:textId="77777777" w:rsidTr="00701CAA">
        <w:trPr>
          <w:trHeight w:val="722"/>
        </w:trPr>
        <w:tc>
          <w:tcPr>
            <w:tcW w:w="4678" w:type="dxa"/>
            <w:gridSpan w:val="2"/>
            <w:hideMark/>
          </w:tcPr>
          <w:p w14:paraId="517AA374" w14:textId="77777777" w:rsidR="00E8606E" w:rsidRDefault="00E8606E" w:rsidP="00701CAA">
            <w:pPr>
              <w:ind w:firstLine="34"/>
              <w:rPr>
                <w:ins w:id="9675" w:author="AbbVie19" w:date="2025-04-30T14:09:00Z"/>
                <w:b/>
                <w:bCs/>
                <w:szCs w:val="22"/>
                <w:lang w:val="fr-FR"/>
              </w:rPr>
            </w:pPr>
          </w:p>
          <w:p w14:paraId="68DD70F4" w14:textId="77777777" w:rsidR="00985B87" w:rsidRDefault="00944B8F" w:rsidP="00701CAA">
            <w:pPr>
              <w:ind w:firstLine="34"/>
              <w:rPr>
                <w:b/>
                <w:bCs/>
                <w:szCs w:val="22"/>
                <w:lang w:val="fr-FR"/>
              </w:rPr>
            </w:pPr>
            <w:r>
              <w:rPr>
                <w:b/>
                <w:bCs/>
                <w:szCs w:val="22"/>
                <w:lang w:val="fr-FR"/>
              </w:rPr>
              <w:t>France</w:t>
            </w:r>
          </w:p>
          <w:p w14:paraId="12433C5A" w14:textId="77777777" w:rsidR="00985B87" w:rsidRDefault="00944B8F" w:rsidP="00701CAA">
            <w:pPr>
              <w:ind w:firstLine="34"/>
              <w:rPr>
                <w:bCs/>
                <w:szCs w:val="22"/>
                <w:lang w:val="fr-FR"/>
              </w:rPr>
            </w:pPr>
            <w:r>
              <w:rPr>
                <w:bCs/>
                <w:szCs w:val="22"/>
                <w:lang w:val="fr-FR"/>
              </w:rPr>
              <w:t>AbbVie</w:t>
            </w:r>
          </w:p>
          <w:p w14:paraId="386EF7E7" w14:textId="77777777" w:rsidR="00985B87" w:rsidRDefault="00944B8F" w:rsidP="00701CAA">
            <w:pPr>
              <w:ind w:firstLine="34"/>
              <w:rPr>
                <w:bCs/>
                <w:szCs w:val="22"/>
                <w:lang w:val="fr-FR"/>
              </w:rPr>
            </w:pPr>
            <w:r>
              <w:rPr>
                <w:bCs/>
                <w:szCs w:val="22"/>
                <w:lang w:val="fr-FR"/>
              </w:rPr>
              <w:t>Tél: +33 (0) 1 45 60 13 00</w:t>
            </w:r>
          </w:p>
          <w:p w14:paraId="14291D08" w14:textId="77777777" w:rsidR="00AB3B3F" w:rsidRDefault="00AB3B3F" w:rsidP="00701CAA">
            <w:pPr>
              <w:ind w:firstLine="34"/>
              <w:rPr>
                <w:bCs/>
                <w:szCs w:val="22"/>
                <w:lang w:val="fr-FR"/>
              </w:rPr>
            </w:pPr>
          </w:p>
        </w:tc>
        <w:tc>
          <w:tcPr>
            <w:tcW w:w="4678" w:type="dxa"/>
            <w:hideMark/>
          </w:tcPr>
          <w:p w14:paraId="084B73A8" w14:textId="77777777" w:rsidR="00985B87" w:rsidRDefault="00944B8F" w:rsidP="00701CAA">
            <w:pPr>
              <w:rPr>
                <w:b/>
                <w:bCs/>
                <w:szCs w:val="22"/>
                <w:lang w:val="pt-PT"/>
              </w:rPr>
            </w:pPr>
            <w:r>
              <w:rPr>
                <w:b/>
                <w:bCs/>
                <w:szCs w:val="22"/>
                <w:lang w:val="pt-PT"/>
              </w:rPr>
              <w:t>Portugal</w:t>
            </w:r>
          </w:p>
          <w:p w14:paraId="51A0ACE7" w14:textId="77777777" w:rsidR="00985B87" w:rsidRDefault="00944B8F" w:rsidP="00701CAA">
            <w:pPr>
              <w:tabs>
                <w:tab w:val="center" w:pos="4536"/>
                <w:tab w:val="center" w:pos="8930"/>
              </w:tabs>
              <w:rPr>
                <w:bCs/>
                <w:szCs w:val="22"/>
                <w:lang w:val="fr-FR"/>
              </w:rPr>
            </w:pPr>
            <w:r>
              <w:rPr>
                <w:bCs/>
                <w:szCs w:val="22"/>
                <w:lang w:val="fr-FR"/>
              </w:rPr>
              <w:t xml:space="preserve">AbbVie, Lda. </w:t>
            </w:r>
          </w:p>
          <w:p w14:paraId="1C15EE97" w14:textId="77777777" w:rsidR="00985B87" w:rsidRDefault="00944B8F" w:rsidP="00701CAA">
            <w:pPr>
              <w:tabs>
                <w:tab w:val="center" w:pos="4536"/>
                <w:tab w:val="center" w:pos="8930"/>
              </w:tabs>
              <w:rPr>
                <w:szCs w:val="22"/>
                <w:lang w:val="fr-FR"/>
              </w:rPr>
            </w:pPr>
            <w:r>
              <w:rPr>
                <w:szCs w:val="22"/>
                <w:lang w:val="fr-FR"/>
              </w:rPr>
              <w:t>Tel: +351 (0)21 1908400</w:t>
            </w:r>
          </w:p>
        </w:tc>
      </w:tr>
      <w:tr w:rsidR="00C6578C" w14:paraId="105E6DFC" w14:textId="77777777" w:rsidTr="00701CAA">
        <w:trPr>
          <w:trHeight w:val="743"/>
        </w:trPr>
        <w:tc>
          <w:tcPr>
            <w:tcW w:w="4678" w:type="dxa"/>
            <w:gridSpan w:val="2"/>
            <w:hideMark/>
          </w:tcPr>
          <w:p w14:paraId="06CA9FBE" w14:textId="77777777" w:rsidR="00E8606E" w:rsidRDefault="00E8606E" w:rsidP="00701CAA">
            <w:pPr>
              <w:tabs>
                <w:tab w:val="clear" w:pos="562"/>
                <w:tab w:val="left" w:pos="720"/>
              </w:tabs>
              <w:suppressAutoHyphens w:val="0"/>
              <w:autoSpaceDE w:val="0"/>
              <w:autoSpaceDN w:val="0"/>
              <w:adjustRightInd w:val="0"/>
              <w:ind w:firstLine="34"/>
              <w:rPr>
                <w:ins w:id="9676" w:author="AbbVie19" w:date="2025-04-30T14:09:00Z"/>
                <w:rFonts w:eastAsia="MS Mincho"/>
                <w:b/>
                <w:bCs/>
                <w:szCs w:val="22"/>
                <w:lang w:val="pt-PT" w:eastAsia="ja-JP"/>
              </w:rPr>
            </w:pPr>
          </w:p>
          <w:p w14:paraId="265EF066" w14:textId="77777777" w:rsidR="00985B87" w:rsidRDefault="00944B8F" w:rsidP="00701CAA">
            <w:pPr>
              <w:tabs>
                <w:tab w:val="clear" w:pos="562"/>
                <w:tab w:val="left" w:pos="720"/>
              </w:tabs>
              <w:suppressAutoHyphens w:val="0"/>
              <w:autoSpaceDE w:val="0"/>
              <w:autoSpaceDN w:val="0"/>
              <w:adjustRightInd w:val="0"/>
              <w:ind w:firstLine="34"/>
              <w:rPr>
                <w:rFonts w:eastAsia="MS Mincho"/>
                <w:szCs w:val="22"/>
                <w:lang w:val="pt-PT" w:eastAsia="ja-JP"/>
              </w:rPr>
            </w:pPr>
            <w:r>
              <w:rPr>
                <w:rFonts w:eastAsia="MS Mincho"/>
                <w:b/>
                <w:bCs/>
                <w:szCs w:val="22"/>
                <w:lang w:val="pt-PT" w:eastAsia="ja-JP"/>
              </w:rPr>
              <w:t xml:space="preserve">Hrvatska </w:t>
            </w:r>
          </w:p>
          <w:p w14:paraId="2339519F" w14:textId="77777777" w:rsidR="00985B87" w:rsidRDefault="00944B8F" w:rsidP="00701CAA">
            <w:pPr>
              <w:ind w:firstLine="34"/>
              <w:rPr>
                <w:szCs w:val="22"/>
                <w:lang w:val="hr-HR"/>
              </w:rPr>
            </w:pPr>
            <w:r>
              <w:rPr>
                <w:szCs w:val="22"/>
                <w:lang w:val="hr-HR"/>
              </w:rPr>
              <w:t>AbbVie d.o.o.</w:t>
            </w:r>
          </w:p>
          <w:p w14:paraId="68FD0F0F" w14:textId="77777777" w:rsidR="00985B87" w:rsidRDefault="00944B8F" w:rsidP="00701CAA">
            <w:pPr>
              <w:ind w:firstLine="34"/>
              <w:rPr>
                <w:szCs w:val="22"/>
              </w:rPr>
            </w:pPr>
            <w:r>
              <w:rPr>
                <w:szCs w:val="22"/>
                <w:lang w:val="hr-HR"/>
              </w:rPr>
              <w:t xml:space="preserve">Tel + 385 (0)1 </w:t>
            </w:r>
            <w:r>
              <w:rPr>
                <w:szCs w:val="22"/>
              </w:rPr>
              <w:t>5625 501</w:t>
            </w:r>
          </w:p>
          <w:p w14:paraId="4F37AB88" w14:textId="77777777" w:rsidR="00AB3B3F" w:rsidRDefault="00AB3B3F" w:rsidP="00701CAA">
            <w:pPr>
              <w:ind w:firstLine="34"/>
              <w:rPr>
                <w:color w:val="1F497D"/>
                <w:szCs w:val="22"/>
              </w:rPr>
            </w:pPr>
          </w:p>
        </w:tc>
        <w:tc>
          <w:tcPr>
            <w:tcW w:w="4678" w:type="dxa"/>
            <w:hideMark/>
          </w:tcPr>
          <w:p w14:paraId="25BC6EA1" w14:textId="77777777" w:rsidR="00985B87" w:rsidRPr="00433FAD" w:rsidRDefault="00944B8F" w:rsidP="00701CAA">
            <w:pPr>
              <w:rPr>
                <w:b/>
                <w:bCs/>
                <w:szCs w:val="22"/>
                <w:lang w:val="es-MX"/>
              </w:rPr>
            </w:pPr>
            <w:r w:rsidRPr="00433FAD">
              <w:rPr>
                <w:b/>
                <w:bCs/>
                <w:szCs w:val="22"/>
                <w:lang w:val="es-MX"/>
              </w:rPr>
              <w:t>România</w:t>
            </w:r>
          </w:p>
          <w:p w14:paraId="48ECD162" w14:textId="77777777" w:rsidR="00985B87" w:rsidRPr="00433FAD" w:rsidRDefault="00944B8F" w:rsidP="00701CAA">
            <w:pPr>
              <w:rPr>
                <w:rFonts w:eastAsia="MS Mincho"/>
                <w:color w:val="000000"/>
                <w:szCs w:val="22"/>
                <w:lang w:val="es-MX" w:eastAsia="ja-JP"/>
              </w:rPr>
            </w:pPr>
            <w:r w:rsidRPr="00433FAD">
              <w:rPr>
                <w:rFonts w:eastAsia="MS Mincho"/>
                <w:color w:val="000000"/>
                <w:szCs w:val="22"/>
                <w:lang w:val="es-MX" w:eastAsia="ja-JP"/>
              </w:rPr>
              <w:t>AbbVie S.R.L.</w:t>
            </w:r>
          </w:p>
          <w:p w14:paraId="40296D99" w14:textId="77777777" w:rsidR="00985B87" w:rsidRDefault="00944B8F" w:rsidP="00701CAA">
            <w:pPr>
              <w:rPr>
                <w:szCs w:val="22"/>
                <w:lang w:val="pl-PL"/>
              </w:rPr>
            </w:pPr>
            <w:r>
              <w:rPr>
                <w:szCs w:val="22"/>
                <w:lang w:val="pl-PL"/>
              </w:rPr>
              <w:t>Tel: +40 21 529 30 35</w:t>
            </w:r>
          </w:p>
        </w:tc>
      </w:tr>
      <w:tr w:rsidR="00C6578C" w14:paraId="6E0BEF3D" w14:textId="77777777" w:rsidTr="00701CAA">
        <w:trPr>
          <w:gridBefore w:val="1"/>
          <w:wBefore w:w="34" w:type="dxa"/>
        </w:trPr>
        <w:tc>
          <w:tcPr>
            <w:tcW w:w="4644" w:type="dxa"/>
            <w:hideMark/>
          </w:tcPr>
          <w:p w14:paraId="11AE2980" w14:textId="77777777" w:rsidR="00E8606E" w:rsidRDefault="00E8606E" w:rsidP="00701CAA">
            <w:pPr>
              <w:rPr>
                <w:ins w:id="9677" w:author="AbbVie19" w:date="2025-04-30T14:10:00Z"/>
                <w:b/>
                <w:bCs/>
                <w:szCs w:val="22"/>
              </w:rPr>
            </w:pPr>
          </w:p>
          <w:p w14:paraId="617ADBE1" w14:textId="77777777" w:rsidR="00985B87" w:rsidRDefault="00944B8F" w:rsidP="00701CAA">
            <w:pPr>
              <w:rPr>
                <w:b/>
                <w:bCs/>
                <w:szCs w:val="22"/>
              </w:rPr>
            </w:pPr>
            <w:r>
              <w:rPr>
                <w:b/>
                <w:bCs/>
                <w:szCs w:val="22"/>
              </w:rPr>
              <w:t>Ireland</w:t>
            </w:r>
          </w:p>
          <w:p w14:paraId="41523269" w14:textId="77777777" w:rsidR="00985B87" w:rsidRDefault="00944B8F" w:rsidP="00701CAA">
            <w:pPr>
              <w:rPr>
                <w:bCs/>
                <w:szCs w:val="22"/>
              </w:rPr>
            </w:pPr>
            <w:r>
              <w:rPr>
                <w:bCs/>
                <w:szCs w:val="22"/>
              </w:rPr>
              <w:t xml:space="preserve">AbbVie Limited </w:t>
            </w:r>
          </w:p>
          <w:p w14:paraId="0964C0A9" w14:textId="77777777" w:rsidR="00985B87" w:rsidRDefault="00944B8F" w:rsidP="00701CAA">
            <w:pPr>
              <w:rPr>
                <w:bCs/>
                <w:szCs w:val="22"/>
                <w:lang w:val="pt-PT"/>
              </w:rPr>
            </w:pPr>
            <w:r>
              <w:rPr>
                <w:bCs/>
                <w:szCs w:val="22"/>
                <w:lang w:val="pt-PT"/>
              </w:rPr>
              <w:t>Tel: +353 (0)1 4287900</w:t>
            </w:r>
          </w:p>
          <w:p w14:paraId="793FD70D" w14:textId="77777777" w:rsidR="00AB3B3F" w:rsidRDefault="00AB3B3F" w:rsidP="00701CAA">
            <w:pPr>
              <w:rPr>
                <w:bCs/>
                <w:szCs w:val="22"/>
                <w:lang w:val="it-IT"/>
              </w:rPr>
            </w:pPr>
          </w:p>
        </w:tc>
        <w:tc>
          <w:tcPr>
            <w:tcW w:w="4678" w:type="dxa"/>
            <w:hideMark/>
          </w:tcPr>
          <w:p w14:paraId="212A0EC0" w14:textId="77777777" w:rsidR="00985B87" w:rsidRDefault="00944B8F" w:rsidP="00701CAA">
            <w:pPr>
              <w:rPr>
                <w:b/>
                <w:bCs/>
                <w:szCs w:val="22"/>
                <w:lang w:val="sl-SI"/>
              </w:rPr>
            </w:pPr>
            <w:r>
              <w:rPr>
                <w:b/>
                <w:bCs/>
                <w:szCs w:val="22"/>
                <w:lang w:val="sl-SI"/>
              </w:rPr>
              <w:t>Slovenija</w:t>
            </w:r>
          </w:p>
          <w:p w14:paraId="6584AD7F" w14:textId="77777777" w:rsidR="00985B87" w:rsidRDefault="00944B8F" w:rsidP="00701CAA">
            <w:pPr>
              <w:rPr>
                <w:bCs/>
                <w:szCs w:val="22"/>
                <w:lang w:val="sl-SI"/>
              </w:rPr>
            </w:pPr>
            <w:r>
              <w:rPr>
                <w:bCs/>
                <w:szCs w:val="22"/>
                <w:lang w:val="sl-SI"/>
              </w:rPr>
              <w:t>AbbVie Biofarmacevtska družba d.o.o.</w:t>
            </w:r>
          </w:p>
          <w:p w14:paraId="2E00C17F" w14:textId="77777777" w:rsidR="00985B87" w:rsidRDefault="00944B8F" w:rsidP="00701CAA">
            <w:pPr>
              <w:rPr>
                <w:bCs/>
                <w:szCs w:val="22"/>
                <w:lang w:val="sl-SI"/>
              </w:rPr>
            </w:pPr>
            <w:r>
              <w:rPr>
                <w:bCs/>
                <w:szCs w:val="22"/>
                <w:lang w:val="sl-SI"/>
              </w:rPr>
              <w:t>Tel: +386 (1)32 08 060</w:t>
            </w:r>
          </w:p>
        </w:tc>
      </w:tr>
      <w:tr w:rsidR="00C6578C" w14:paraId="6794F2CC" w14:textId="77777777" w:rsidTr="00701CAA">
        <w:trPr>
          <w:gridBefore w:val="1"/>
          <w:wBefore w:w="34" w:type="dxa"/>
        </w:trPr>
        <w:tc>
          <w:tcPr>
            <w:tcW w:w="4644" w:type="dxa"/>
            <w:hideMark/>
          </w:tcPr>
          <w:p w14:paraId="5AE5E9A6" w14:textId="77777777" w:rsidR="00E8606E" w:rsidRDefault="00E8606E" w:rsidP="00701CAA">
            <w:pPr>
              <w:rPr>
                <w:ins w:id="9678" w:author="AbbVie19" w:date="2025-04-30T14:10:00Z"/>
                <w:b/>
                <w:bCs/>
                <w:szCs w:val="22"/>
                <w:lang w:val="is-IS"/>
              </w:rPr>
            </w:pPr>
          </w:p>
          <w:p w14:paraId="41417420" w14:textId="77777777" w:rsidR="00985B87" w:rsidRDefault="00944B8F" w:rsidP="00701CAA">
            <w:pPr>
              <w:rPr>
                <w:b/>
                <w:bCs/>
                <w:szCs w:val="22"/>
                <w:lang w:val="is-IS"/>
              </w:rPr>
            </w:pPr>
            <w:r>
              <w:rPr>
                <w:b/>
                <w:bCs/>
                <w:szCs w:val="22"/>
                <w:lang w:val="is-IS"/>
              </w:rPr>
              <w:t>Ísland</w:t>
            </w:r>
          </w:p>
          <w:p w14:paraId="0710BBE8" w14:textId="77777777" w:rsidR="00985B87" w:rsidRDefault="00944B8F" w:rsidP="00701CAA">
            <w:pPr>
              <w:rPr>
                <w:bCs/>
                <w:szCs w:val="22"/>
              </w:rPr>
            </w:pPr>
            <w:r>
              <w:rPr>
                <w:bCs/>
                <w:szCs w:val="22"/>
              </w:rPr>
              <w:t xml:space="preserve">Vistor </w:t>
            </w:r>
            <w:del w:id="9679" w:author="AbbVie19" w:date="2025-04-16T10:50:00Z">
              <w:r>
                <w:rPr>
                  <w:bCs/>
                  <w:szCs w:val="22"/>
                </w:rPr>
                <w:delText>hf.</w:delText>
              </w:r>
            </w:del>
          </w:p>
          <w:p w14:paraId="28056350" w14:textId="77777777" w:rsidR="00985B87" w:rsidRDefault="00944B8F" w:rsidP="00701CAA">
            <w:pPr>
              <w:rPr>
                <w:bCs/>
                <w:szCs w:val="22"/>
              </w:rPr>
            </w:pPr>
            <w:r>
              <w:rPr>
                <w:bCs/>
                <w:szCs w:val="22"/>
              </w:rPr>
              <w:t>Tel: +354 535 7000</w:t>
            </w:r>
          </w:p>
          <w:p w14:paraId="71BFB818" w14:textId="77777777" w:rsidR="00AB3B3F" w:rsidRDefault="00AB3B3F" w:rsidP="00701CAA">
            <w:pPr>
              <w:rPr>
                <w:bCs/>
                <w:szCs w:val="22"/>
              </w:rPr>
            </w:pPr>
          </w:p>
        </w:tc>
        <w:tc>
          <w:tcPr>
            <w:tcW w:w="4678" w:type="dxa"/>
            <w:hideMark/>
          </w:tcPr>
          <w:p w14:paraId="63066E39" w14:textId="77777777" w:rsidR="00985B87" w:rsidRDefault="00944B8F" w:rsidP="00701CAA">
            <w:pPr>
              <w:rPr>
                <w:b/>
                <w:bCs/>
                <w:szCs w:val="22"/>
                <w:lang w:val="sk-SK"/>
              </w:rPr>
            </w:pPr>
            <w:r>
              <w:rPr>
                <w:b/>
                <w:bCs/>
                <w:szCs w:val="22"/>
                <w:lang w:val="sk-SK"/>
              </w:rPr>
              <w:t>Slovenská republika</w:t>
            </w:r>
          </w:p>
          <w:p w14:paraId="08BF6424" w14:textId="77777777" w:rsidR="00985B87" w:rsidRDefault="00944B8F" w:rsidP="00701CAA">
            <w:pPr>
              <w:rPr>
                <w:bCs/>
                <w:szCs w:val="22"/>
                <w:lang w:val="sk-SK"/>
              </w:rPr>
            </w:pPr>
            <w:r>
              <w:rPr>
                <w:bCs/>
                <w:szCs w:val="22"/>
                <w:lang w:val="sk-SK"/>
              </w:rPr>
              <w:t>AbbVie s.r.o.</w:t>
            </w:r>
          </w:p>
          <w:p w14:paraId="31716DFB" w14:textId="77777777" w:rsidR="00985B87" w:rsidRDefault="00944B8F" w:rsidP="00701CAA">
            <w:pPr>
              <w:rPr>
                <w:bCs/>
                <w:szCs w:val="22"/>
                <w:lang w:val="sk-SK"/>
              </w:rPr>
            </w:pPr>
            <w:r>
              <w:rPr>
                <w:bCs/>
                <w:szCs w:val="22"/>
                <w:lang w:val="sk-SK"/>
              </w:rPr>
              <w:t>Tel: +421 2 5050 0777</w:t>
            </w:r>
          </w:p>
        </w:tc>
      </w:tr>
      <w:tr w:rsidR="00C6578C" w14:paraId="2D58F603" w14:textId="77777777" w:rsidTr="00701CAA">
        <w:trPr>
          <w:gridBefore w:val="1"/>
          <w:wBefore w:w="34" w:type="dxa"/>
        </w:trPr>
        <w:tc>
          <w:tcPr>
            <w:tcW w:w="4644" w:type="dxa"/>
            <w:hideMark/>
          </w:tcPr>
          <w:p w14:paraId="58337A4A" w14:textId="77777777" w:rsidR="00E8606E" w:rsidRDefault="00E8606E" w:rsidP="00E416F1">
            <w:pPr>
              <w:rPr>
                <w:ins w:id="9680" w:author="AbbVie19" w:date="2025-04-30T14:10:00Z"/>
                <w:b/>
                <w:bCs/>
                <w:szCs w:val="22"/>
                <w:lang w:val="it-IT"/>
              </w:rPr>
            </w:pPr>
          </w:p>
          <w:p w14:paraId="49E73E3A" w14:textId="77777777" w:rsidR="00985B87" w:rsidRDefault="00944B8F" w:rsidP="00E416F1">
            <w:pPr>
              <w:rPr>
                <w:b/>
                <w:bCs/>
                <w:szCs w:val="22"/>
                <w:lang w:val="it-IT"/>
              </w:rPr>
            </w:pPr>
            <w:r>
              <w:rPr>
                <w:b/>
                <w:bCs/>
                <w:szCs w:val="22"/>
                <w:lang w:val="it-IT"/>
              </w:rPr>
              <w:t>Italia</w:t>
            </w:r>
          </w:p>
          <w:p w14:paraId="474B0CA3" w14:textId="77777777" w:rsidR="00985B87" w:rsidRDefault="00944B8F" w:rsidP="00E416F1">
            <w:pPr>
              <w:spacing w:line="260" w:lineRule="exact"/>
              <w:rPr>
                <w:bCs/>
                <w:szCs w:val="22"/>
                <w:lang w:val="pt-PT"/>
              </w:rPr>
            </w:pPr>
            <w:r>
              <w:rPr>
                <w:bCs/>
                <w:szCs w:val="22"/>
                <w:lang w:val="pt-PT"/>
              </w:rPr>
              <w:t xml:space="preserve">AbbVie S.r.l. </w:t>
            </w:r>
          </w:p>
          <w:p w14:paraId="2530B3B1" w14:textId="77777777" w:rsidR="00985B87" w:rsidRDefault="00944B8F" w:rsidP="00E416F1">
            <w:pPr>
              <w:spacing w:line="260" w:lineRule="exact"/>
              <w:rPr>
                <w:bCs/>
                <w:szCs w:val="22"/>
                <w:lang w:val="fr-FR"/>
              </w:rPr>
            </w:pPr>
            <w:r>
              <w:rPr>
                <w:bCs/>
                <w:szCs w:val="22"/>
                <w:lang w:val="fr-FR"/>
              </w:rPr>
              <w:t>Tel: +39 06 928921</w:t>
            </w:r>
          </w:p>
          <w:p w14:paraId="586A450C" w14:textId="77777777" w:rsidR="00AB3B3F" w:rsidRDefault="00AB3B3F" w:rsidP="00E416F1">
            <w:pPr>
              <w:spacing w:line="260" w:lineRule="exact"/>
              <w:rPr>
                <w:bCs/>
                <w:szCs w:val="22"/>
              </w:rPr>
            </w:pPr>
          </w:p>
        </w:tc>
        <w:tc>
          <w:tcPr>
            <w:tcW w:w="4678" w:type="dxa"/>
            <w:hideMark/>
          </w:tcPr>
          <w:p w14:paraId="7FE7BC97" w14:textId="77777777" w:rsidR="00985B87" w:rsidRDefault="00944B8F" w:rsidP="00E416F1">
            <w:pPr>
              <w:rPr>
                <w:b/>
                <w:bCs/>
                <w:szCs w:val="22"/>
                <w:lang w:val="fi-FI"/>
              </w:rPr>
            </w:pPr>
            <w:r>
              <w:rPr>
                <w:b/>
                <w:bCs/>
                <w:szCs w:val="22"/>
                <w:lang w:val="fi-FI"/>
              </w:rPr>
              <w:t>Suomi/Finland</w:t>
            </w:r>
          </w:p>
          <w:p w14:paraId="783AE7E2" w14:textId="77777777" w:rsidR="00985B87" w:rsidRPr="00A06B15" w:rsidRDefault="00944B8F" w:rsidP="00E416F1">
            <w:pPr>
              <w:overflowPunct w:val="0"/>
              <w:autoSpaceDE w:val="0"/>
              <w:autoSpaceDN w:val="0"/>
              <w:adjustRightInd w:val="0"/>
              <w:textAlignment w:val="baseline"/>
              <w:rPr>
                <w:bCs/>
                <w:szCs w:val="22"/>
                <w:lang w:val="de-DE"/>
              </w:rPr>
            </w:pPr>
            <w:r w:rsidRPr="00A06B15">
              <w:rPr>
                <w:bCs/>
                <w:szCs w:val="22"/>
                <w:lang w:val="de-DE"/>
              </w:rPr>
              <w:t xml:space="preserve">AbbVie Oy </w:t>
            </w:r>
          </w:p>
          <w:p w14:paraId="06DED333" w14:textId="77777777" w:rsidR="00985B87" w:rsidRDefault="00944B8F" w:rsidP="00E416F1">
            <w:pPr>
              <w:rPr>
                <w:bCs/>
                <w:szCs w:val="22"/>
                <w:lang w:val="fi-FI"/>
              </w:rPr>
            </w:pPr>
            <w:r w:rsidRPr="00A06B15">
              <w:rPr>
                <w:bCs/>
                <w:szCs w:val="22"/>
                <w:lang w:val="de-DE"/>
              </w:rPr>
              <w:t>Puh/Tel:  +358 (0)10 2411 200</w:t>
            </w:r>
          </w:p>
        </w:tc>
      </w:tr>
      <w:tr w:rsidR="00C6578C" w14:paraId="50624E6E" w14:textId="77777777" w:rsidTr="00701CAA">
        <w:trPr>
          <w:gridBefore w:val="1"/>
          <w:wBefore w:w="34" w:type="dxa"/>
        </w:trPr>
        <w:tc>
          <w:tcPr>
            <w:tcW w:w="4644" w:type="dxa"/>
            <w:hideMark/>
          </w:tcPr>
          <w:p w14:paraId="48E2AA8E" w14:textId="77777777" w:rsidR="00E8606E" w:rsidRDefault="00E8606E" w:rsidP="00701CAA">
            <w:pPr>
              <w:rPr>
                <w:ins w:id="9681" w:author="AbbVie19" w:date="2025-04-30T14:10:00Z"/>
                <w:b/>
                <w:bCs/>
                <w:szCs w:val="22"/>
                <w:lang w:val="et-EE"/>
              </w:rPr>
            </w:pPr>
          </w:p>
          <w:p w14:paraId="3AB5DEC8" w14:textId="77777777" w:rsidR="00985B87" w:rsidRDefault="00944B8F" w:rsidP="00701CAA">
            <w:pPr>
              <w:rPr>
                <w:b/>
                <w:bCs/>
                <w:szCs w:val="22"/>
                <w:lang w:val="el-GR"/>
              </w:rPr>
            </w:pPr>
            <w:r>
              <w:rPr>
                <w:b/>
                <w:bCs/>
                <w:szCs w:val="22"/>
                <w:lang w:val="el-GR"/>
              </w:rPr>
              <w:t>Κύπρος</w:t>
            </w:r>
          </w:p>
          <w:p w14:paraId="6E306649" w14:textId="77777777" w:rsidR="00985B87" w:rsidRDefault="00944B8F" w:rsidP="00701CAA">
            <w:pPr>
              <w:rPr>
                <w:bCs/>
                <w:szCs w:val="22"/>
                <w:lang w:val="el-GR"/>
              </w:rPr>
            </w:pPr>
            <w:r>
              <w:rPr>
                <w:bCs/>
                <w:szCs w:val="22"/>
                <w:lang w:val="it-IT"/>
              </w:rPr>
              <w:t>Lifepharma (Z.A.M.) Ltd</w:t>
            </w:r>
          </w:p>
          <w:p w14:paraId="51D0F13C" w14:textId="77777777" w:rsidR="00985B87" w:rsidRDefault="00944B8F" w:rsidP="00701CAA">
            <w:pPr>
              <w:rPr>
                <w:bCs/>
                <w:szCs w:val="22"/>
                <w:lang w:val="el-GR"/>
              </w:rPr>
            </w:pPr>
            <w:r>
              <w:rPr>
                <w:bCs/>
                <w:szCs w:val="22"/>
                <w:lang w:val="el-GR"/>
              </w:rPr>
              <w:t>Τηλ.: +357 22 34 74 40</w:t>
            </w:r>
          </w:p>
          <w:p w14:paraId="57C3683B" w14:textId="77777777" w:rsidR="00AB3B3F" w:rsidRDefault="00AB3B3F" w:rsidP="00701CAA">
            <w:pPr>
              <w:rPr>
                <w:bCs/>
                <w:szCs w:val="22"/>
                <w:lang w:val="fi-FI"/>
              </w:rPr>
            </w:pPr>
          </w:p>
        </w:tc>
        <w:tc>
          <w:tcPr>
            <w:tcW w:w="4678" w:type="dxa"/>
            <w:hideMark/>
          </w:tcPr>
          <w:p w14:paraId="7E828CAD" w14:textId="77777777" w:rsidR="00985B87" w:rsidRDefault="00944B8F" w:rsidP="00701CAA">
            <w:pPr>
              <w:rPr>
                <w:b/>
                <w:bCs/>
                <w:szCs w:val="22"/>
                <w:lang w:val="sv-SE"/>
              </w:rPr>
            </w:pPr>
            <w:r>
              <w:rPr>
                <w:b/>
                <w:bCs/>
                <w:szCs w:val="22"/>
                <w:lang w:val="sv-SE"/>
              </w:rPr>
              <w:t>Sverige</w:t>
            </w:r>
          </w:p>
          <w:p w14:paraId="715BC29A" w14:textId="77777777" w:rsidR="00985B87" w:rsidRDefault="00944B8F" w:rsidP="00701CAA">
            <w:pPr>
              <w:rPr>
                <w:bCs/>
                <w:szCs w:val="22"/>
                <w:lang w:val="pt-PT"/>
              </w:rPr>
            </w:pPr>
            <w:r>
              <w:rPr>
                <w:bCs/>
                <w:szCs w:val="22"/>
                <w:lang w:val="pt-PT"/>
              </w:rPr>
              <w:t>AbbVie AB</w:t>
            </w:r>
          </w:p>
          <w:p w14:paraId="68459497" w14:textId="77777777" w:rsidR="00985B87" w:rsidRDefault="00944B8F" w:rsidP="00701CAA">
            <w:pPr>
              <w:rPr>
                <w:bCs/>
                <w:szCs w:val="22"/>
                <w:lang w:val="sv-SE"/>
              </w:rPr>
            </w:pPr>
            <w:r>
              <w:rPr>
                <w:bCs/>
                <w:szCs w:val="22"/>
                <w:lang w:val="da-DK"/>
              </w:rPr>
              <w:t>Tel:  +46 (0)8 684 44 600</w:t>
            </w:r>
          </w:p>
        </w:tc>
      </w:tr>
      <w:tr w:rsidR="00C6578C" w14:paraId="39DB6811" w14:textId="77777777" w:rsidTr="00C568D0">
        <w:trPr>
          <w:gridBefore w:val="1"/>
          <w:wBefore w:w="34" w:type="dxa"/>
          <w:cantSplit/>
          <w:trHeight w:val="683"/>
        </w:trPr>
        <w:tc>
          <w:tcPr>
            <w:tcW w:w="4644" w:type="dxa"/>
            <w:hideMark/>
          </w:tcPr>
          <w:p w14:paraId="6667A92D" w14:textId="77777777" w:rsidR="00E8606E" w:rsidRDefault="00E8606E" w:rsidP="00701CAA">
            <w:pPr>
              <w:rPr>
                <w:ins w:id="9682" w:author="AbbVie19" w:date="2025-04-30T14:10:00Z"/>
                <w:b/>
                <w:bCs/>
                <w:szCs w:val="22"/>
                <w:lang w:val="lv-LV"/>
              </w:rPr>
            </w:pPr>
          </w:p>
          <w:p w14:paraId="31D20DAC" w14:textId="77777777" w:rsidR="00985B87" w:rsidRDefault="00944B8F" w:rsidP="00701CAA">
            <w:pPr>
              <w:rPr>
                <w:b/>
                <w:bCs/>
                <w:szCs w:val="22"/>
                <w:lang w:val="lv-LV"/>
              </w:rPr>
            </w:pPr>
            <w:r>
              <w:rPr>
                <w:b/>
                <w:bCs/>
                <w:szCs w:val="22"/>
                <w:lang w:val="lv-LV"/>
              </w:rPr>
              <w:t>Latvija</w:t>
            </w:r>
          </w:p>
          <w:p w14:paraId="62634FA8" w14:textId="77777777" w:rsidR="00985B87" w:rsidRDefault="00944B8F" w:rsidP="00701CAA">
            <w:pPr>
              <w:rPr>
                <w:bCs/>
                <w:szCs w:val="22"/>
                <w:lang w:val="lv-LV"/>
              </w:rPr>
            </w:pPr>
            <w:r>
              <w:rPr>
                <w:bCs/>
                <w:szCs w:val="22"/>
                <w:lang w:val="lv-LV"/>
              </w:rPr>
              <w:t xml:space="preserve">AbbVie SIA </w:t>
            </w:r>
          </w:p>
          <w:p w14:paraId="16F3C783" w14:textId="77777777" w:rsidR="00985B87" w:rsidRDefault="00944B8F" w:rsidP="00701CAA">
            <w:pPr>
              <w:rPr>
                <w:bCs/>
                <w:szCs w:val="22"/>
                <w:lang w:val="lv-LV"/>
              </w:rPr>
            </w:pPr>
            <w:r>
              <w:rPr>
                <w:bCs/>
                <w:szCs w:val="22"/>
                <w:lang w:val="lv-LV"/>
              </w:rPr>
              <w:t>Tel: +371 67605000</w:t>
            </w:r>
          </w:p>
        </w:tc>
        <w:tc>
          <w:tcPr>
            <w:tcW w:w="4678" w:type="dxa"/>
            <w:hideMark/>
          </w:tcPr>
          <w:p w14:paraId="21399A26" w14:textId="77777777" w:rsidR="00985B87" w:rsidRDefault="00985B87" w:rsidP="00701CAA">
            <w:pPr>
              <w:rPr>
                <w:bCs/>
                <w:szCs w:val="22"/>
                <w:lang w:val="lv-LV"/>
              </w:rPr>
            </w:pPr>
          </w:p>
        </w:tc>
      </w:tr>
    </w:tbl>
    <w:p w14:paraId="313419DC" w14:textId="77777777" w:rsidR="00985B87" w:rsidRDefault="00985B87" w:rsidP="00985B87"/>
    <w:p w14:paraId="36D0E3EA" w14:textId="77777777" w:rsidR="00985B87" w:rsidRDefault="00944B8F" w:rsidP="00985B87">
      <w:pPr>
        <w:numPr>
          <w:ilvl w:val="12"/>
          <w:numId w:val="0"/>
        </w:numPr>
        <w:tabs>
          <w:tab w:val="clear" w:pos="562"/>
          <w:tab w:val="left" w:pos="720"/>
        </w:tabs>
        <w:ind w:right="-2"/>
        <w:rPr>
          <w:b/>
        </w:rPr>
      </w:pPr>
      <w:r>
        <w:rPr>
          <w:b/>
        </w:rPr>
        <w:t>This leaflet was last revised in</w:t>
      </w:r>
    </w:p>
    <w:p w14:paraId="06C45D6E" w14:textId="77777777" w:rsidR="00985B87" w:rsidRDefault="00985B87" w:rsidP="00985B87">
      <w:pPr>
        <w:ind w:right="-449"/>
      </w:pPr>
    </w:p>
    <w:p w14:paraId="3640FB23" w14:textId="77777777" w:rsidR="00985B87" w:rsidRDefault="00944B8F" w:rsidP="00985B87">
      <w:pPr>
        <w:ind w:right="-449"/>
        <w:rPr>
          <w:noProof/>
          <w:szCs w:val="22"/>
        </w:rPr>
      </w:pPr>
      <w:r>
        <w:rPr>
          <w:iCs/>
          <w:noProof/>
          <w:szCs w:val="22"/>
        </w:rPr>
        <w:t xml:space="preserve">Detailed information on this medicine is available on the European Medicines Agency web site: </w:t>
      </w:r>
      <w:ins w:id="9683" w:author="AbbVie19" w:date="2025-04-17T11:06:00Z">
        <w:r w:rsidR="0061701C">
          <w:rPr>
            <w:noProof/>
            <w:szCs w:val="22"/>
          </w:rPr>
          <w:fldChar w:fldCharType="begin"/>
        </w:r>
        <w:r w:rsidR="0061701C">
          <w:rPr>
            <w:noProof/>
            <w:szCs w:val="22"/>
          </w:rPr>
          <w:instrText>HYPERLINK "</w:instrText>
        </w:r>
      </w:ins>
      <w:r w:rsidR="0061701C" w:rsidRPr="0061701C">
        <w:rPr>
          <w:rStyle w:val="Hyperlink"/>
          <w:noProof/>
          <w:szCs w:val="22"/>
        </w:rPr>
        <w:instrText>http</w:instrText>
      </w:r>
      <w:ins w:id="9684" w:author="AbbVie19" w:date="2025-04-17T11:04:00Z">
        <w:r w:rsidR="0061701C" w:rsidRPr="0061701C">
          <w:rPr>
            <w:rStyle w:val="Hyperlink"/>
            <w:noProof/>
            <w:szCs w:val="22"/>
          </w:rPr>
          <w:instrText>s</w:instrText>
        </w:r>
      </w:ins>
      <w:r w:rsidR="0061701C" w:rsidRPr="0061701C">
        <w:rPr>
          <w:rStyle w:val="Hyperlink"/>
          <w:noProof/>
          <w:szCs w:val="22"/>
        </w:rPr>
        <w:instrText>://www.ema.europa.eu</w:instrText>
      </w:r>
      <w:ins w:id="9685" w:author="AbbVie19" w:date="2025-04-17T11:06:00Z">
        <w:r w:rsidR="0061701C">
          <w:rPr>
            <w:noProof/>
            <w:szCs w:val="22"/>
          </w:rPr>
          <w:instrText>"</w:instrText>
        </w:r>
        <w:r w:rsidR="0061701C">
          <w:rPr>
            <w:noProof/>
            <w:szCs w:val="22"/>
          </w:rPr>
        </w:r>
        <w:r w:rsidR="0061701C">
          <w:rPr>
            <w:noProof/>
            <w:szCs w:val="22"/>
          </w:rPr>
          <w:fldChar w:fldCharType="separate"/>
        </w:r>
      </w:ins>
      <w:r w:rsidR="0061701C" w:rsidRPr="0061701C">
        <w:rPr>
          <w:rStyle w:val="Hyperlink"/>
          <w:noProof/>
          <w:szCs w:val="22"/>
        </w:rPr>
        <w:t>http</w:t>
      </w:r>
      <w:ins w:id="9686" w:author="AbbVie19" w:date="2025-04-17T11:04:00Z">
        <w:r w:rsidR="0061701C" w:rsidRPr="0061701C">
          <w:rPr>
            <w:rStyle w:val="Hyperlink"/>
            <w:noProof/>
            <w:szCs w:val="22"/>
          </w:rPr>
          <w:t>s</w:t>
        </w:r>
      </w:ins>
      <w:r w:rsidR="0061701C" w:rsidRPr="0061701C">
        <w:rPr>
          <w:rStyle w:val="Hyperlink"/>
          <w:noProof/>
          <w:szCs w:val="22"/>
        </w:rPr>
        <w:t>://www.ema.europa.eu</w:t>
      </w:r>
      <w:ins w:id="9687" w:author="AbbVie19" w:date="2025-04-17T11:06:00Z">
        <w:r w:rsidR="0061701C">
          <w:rPr>
            <w:noProof/>
            <w:szCs w:val="22"/>
          </w:rPr>
          <w:fldChar w:fldCharType="end"/>
        </w:r>
      </w:ins>
      <w:r>
        <w:rPr>
          <w:noProof/>
          <w:szCs w:val="22"/>
        </w:rPr>
        <w:t>.</w:t>
      </w:r>
    </w:p>
    <w:p w14:paraId="75EF2DB3" w14:textId="77777777" w:rsidR="00985B87" w:rsidRDefault="00985B87" w:rsidP="00985B87">
      <w:pPr>
        <w:ind w:right="-449"/>
        <w:rPr>
          <w:noProof/>
          <w:szCs w:val="22"/>
        </w:rPr>
      </w:pPr>
    </w:p>
    <w:p w14:paraId="73B930DF" w14:textId="77777777" w:rsidR="00985B87" w:rsidRDefault="00944B8F" w:rsidP="00985B87">
      <w:pPr>
        <w:numPr>
          <w:ilvl w:val="12"/>
          <w:numId w:val="0"/>
        </w:numPr>
        <w:ind w:right="-2"/>
        <w:rPr>
          <w:b/>
          <w:color w:val="000000"/>
        </w:rPr>
      </w:pPr>
      <w:r>
        <w:rPr>
          <w:b/>
          <w:color w:val="000000"/>
        </w:rPr>
        <w:t xml:space="preserve">To listen to or request a copy of this leaflet in </w:t>
      </w:r>
      <w:r>
        <w:rPr>
          <w:b/>
          <w:color w:val="000000"/>
          <w:shd w:val="clear" w:color="auto" w:fill="A6A6A6"/>
        </w:rPr>
        <w:t>&lt;Braille&gt;, &lt;large print&gt; or &lt;audio&gt;</w:t>
      </w:r>
      <w:r>
        <w:rPr>
          <w:b/>
          <w:color w:val="000000"/>
        </w:rPr>
        <w:t>, please contact the local representative of the Marketing Authorisation Holder.</w:t>
      </w:r>
    </w:p>
    <w:p w14:paraId="2294DD2A" w14:textId="77777777" w:rsidR="00985B87" w:rsidRDefault="00985B87" w:rsidP="00985B87">
      <w:pPr>
        <w:ind w:right="-449"/>
        <w:rPr>
          <w:noProof/>
          <w:szCs w:val="22"/>
        </w:rPr>
      </w:pPr>
    </w:p>
    <w:p w14:paraId="43F55B5D" w14:textId="77777777" w:rsidR="00985B87" w:rsidRDefault="00985B87" w:rsidP="00985B87">
      <w:pPr>
        <w:ind w:right="-449"/>
        <w:rPr>
          <w:noProof/>
          <w:szCs w:val="22"/>
        </w:rPr>
      </w:pPr>
    </w:p>
    <w:p w14:paraId="36BEE716" w14:textId="77777777" w:rsidR="00985B87" w:rsidRDefault="00944B8F" w:rsidP="00985B87">
      <w:pPr>
        <w:pStyle w:val="EMEAHeadingLeaflet"/>
        <w:spacing w:beforeLines="0" w:afterLines="0"/>
        <w:rPr>
          <w:rFonts w:ascii="Times New Roman" w:hAnsi="Times New Roman"/>
          <w:lang w:val="en-GB"/>
        </w:rPr>
      </w:pPr>
      <w:r>
        <w:rPr>
          <w:rFonts w:ascii="Times New Roman" w:hAnsi="Times New Roman"/>
          <w:lang w:val="en-GB"/>
        </w:rPr>
        <w:t>7.</w:t>
      </w:r>
      <w:r>
        <w:rPr>
          <w:rFonts w:ascii="Times New Roman" w:hAnsi="Times New Roman"/>
          <w:lang w:val="en-GB"/>
        </w:rPr>
        <w:tab/>
      </w:r>
      <w:r w:rsidR="00AD410B">
        <w:rPr>
          <w:lang w:val="en-GB"/>
        </w:rPr>
        <w:t>Injecting Humira</w:t>
      </w:r>
    </w:p>
    <w:p w14:paraId="54B40AD6" w14:textId="77777777" w:rsidR="00985B87" w:rsidRDefault="00985B87" w:rsidP="00985B87">
      <w:pPr>
        <w:pStyle w:val="EMEANormal"/>
        <w:rPr>
          <w:lang w:val="en-GB"/>
        </w:rPr>
      </w:pPr>
    </w:p>
    <w:p w14:paraId="1A109766" w14:textId="77777777" w:rsidR="00985B87" w:rsidRDefault="00944B8F" w:rsidP="00F421D6">
      <w:pPr>
        <w:numPr>
          <w:ilvl w:val="0"/>
          <w:numId w:val="111"/>
        </w:numPr>
        <w:tabs>
          <w:tab w:val="clear" w:pos="562"/>
          <w:tab w:val="left" w:pos="720"/>
        </w:tabs>
      </w:pPr>
      <w:r>
        <w:t xml:space="preserve">The following instructions explain how to give your child a subcutaneous injection of Humira using the pre-filled syringe. First read all the instructions carefully and then follow them step by step. </w:t>
      </w:r>
    </w:p>
    <w:p w14:paraId="098CEDDD" w14:textId="77777777" w:rsidR="00985B87" w:rsidRDefault="00985B87" w:rsidP="00985B87">
      <w:pPr>
        <w:tabs>
          <w:tab w:val="clear" w:pos="562"/>
          <w:tab w:val="left" w:pos="720"/>
        </w:tabs>
        <w:ind w:left="720"/>
      </w:pPr>
    </w:p>
    <w:p w14:paraId="7E8DE789" w14:textId="77777777" w:rsidR="00985B87" w:rsidRDefault="00944B8F" w:rsidP="00F421D6">
      <w:pPr>
        <w:numPr>
          <w:ilvl w:val="0"/>
          <w:numId w:val="111"/>
        </w:numPr>
        <w:tabs>
          <w:tab w:val="clear" w:pos="562"/>
          <w:tab w:val="left" w:pos="720"/>
        </w:tabs>
      </w:pPr>
      <w:r>
        <w:t xml:space="preserve">You will be instructed by your doctor, nurse or pharmacist on the technique of injection. </w:t>
      </w:r>
    </w:p>
    <w:p w14:paraId="24F87213" w14:textId="77777777" w:rsidR="00985B87" w:rsidRDefault="00985B87" w:rsidP="00985B87">
      <w:pPr>
        <w:pStyle w:val="ListParagraph"/>
      </w:pPr>
    </w:p>
    <w:p w14:paraId="6A3D0DC1" w14:textId="77777777" w:rsidR="00985B87" w:rsidRDefault="00944B8F" w:rsidP="00F421D6">
      <w:pPr>
        <w:numPr>
          <w:ilvl w:val="0"/>
          <w:numId w:val="111"/>
        </w:numPr>
        <w:tabs>
          <w:tab w:val="clear" w:pos="562"/>
          <w:tab w:val="left" w:pos="720"/>
        </w:tabs>
      </w:pPr>
      <w:r>
        <w:t xml:space="preserve">Do not attempt to inject your child until you are sure that you understand how to prepare and give the injection. </w:t>
      </w:r>
    </w:p>
    <w:p w14:paraId="43459090" w14:textId="77777777" w:rsidR="00985B87" w:rsidRDefault="00985B87" w:rsidP="00985B87">
      <w:pPr>
        <w:pStyle w:val="ListParagraph"/>
      </w:pPr>
    </w:p>
    <w:p w14:paraId="5EC7A9EB" w14:textId="77777777" w:rsidR="00985B87" w:rsidRDefault="00944B8F" w:rsidP="00F421D6">
      <w:pPr>
        <w:numPr>
          <w:ilvl w:val="0"/>
          <w:numId w:val="111"/>
        </w:numPr>
        <w:tabs>
          <w:tab w:val="clear" w:pos="562"/>
          <w:tab w:val="left" w:pos="720"/>
        </w:tabs>
      </w:pPr>
      <w:r>
        <w:t xml:space="preserve">After proper training, the injection can be given by your child or given by another person, for example, a family member or friend.  </w:t>
      </w:r>
    </w:p>
    <w:p w14:paraId="2CCE92C2" w14:textId="77777777" w:rsidR="00985B87" w:rsidRDefault="00985B87" w:rsidP="00985B87">
      <w:pPr>
        <w:pStyle w:val="ListParagraph"/>
      </w:pPr>
    </w:p>
    <w:p w14:paraId="0BE0F605" w14:textId="77777777" w:rsidR="00985B87" w:rsidRDefault="00944B8F" w:rsidP="00F421D6">
      <w:pPr>
        <w:numPr>
          <w:ilvl w:val="0"/>
          <w:numId w:val="111"/>
        </w:numPr>
        <w:tabs>
          <w:tab w:val="clear" w:pos="562"/>
          <w:tab w:val="left" w:pos="720"/>
        </w:tabs>
      </w:pPr>
      <w:r>
        <w:t>Only use each pre-filled syringe for one injection.</w:t>
      </w:r>
    </w:p>
    <w:p w14:paraId="504AD39D" w14:textId="77777777" w:rsidR="00985B87" w:rsidRDefault="00985B87" w:rsidP="00985B87"/>
    <w:p w14:paraId="61A517E8" w14:textId="77777777" w:rsidR="00985B87" w:rsidRDefault="00944B8F" w:rsidP="00985B87">
      <w:pPr>
        <w:keepNext/>
        <w:rPr>
          <w:b/>
        </w:rPr>
      </w:pPr>
      <w:r>
        <w:rPr>
          <w:b/>
        </w:rPr>
        <w:lastRenderedPageBreak/>
        <w:t>Humira Pre-filled Syringe</w:t>
      </w:r>
    </w:p>
    <w:p w14:paraId="15931260" w14:textId="77777777" w:rsidR="00985B87" w:rsidRDefault="00985B87" w:rsidP="00985B87">
      <w:pPr>
        <w:keepNext/>
        <w:rPr>
          <w:b/>
        </w:rPr>
      </w:pPr>
    </w:p>
    <w:p w14:paraId="4634A05A" w14:textId="77777777" w:rsidR="00985B87" w:rsidRDefault="00944B8F" w:rsidP="00985B87">
      <w:pPr>
        <w:keepNext/>
        <w:rPr>
          <w:b/>
        </w:rPr>
      </w:pPr>
      <w:r>
        <w:rPr>
          <w:b/>
        </w:rPr>
        <w:tab/>
      </w:r>
      <w:r>
        <w:rPr>
          <w:b/>
        </w:rPr>
        <w:tab/>
      </w:r>
      <w:r>
        <w:rPr>
          <w:b/>
        </w:rPr>
        <w:tab/>
        <w:t xml:space="preserve">        Plunger</w:t>
      </w:r>
      <w:r>
        <w:rPr>
          <w:b/>
        </w:rPr>
        <w:tab/>
      </w:r>
      <w:r>
        <w:rPr>
          <w:b/>
        </w:rPr>
        <w:tab/>
        <w:t xml:space="preserve">           Finger Grip</w:t>
      </w:r>
      <w:r>
        <w:rPr>
          <w:b/>
        </w:rPr>
        <w:tab/>
        <w:t xml:space="preserve">        Needle Cover</w:t>
      </w:r>
    </w:p>
    <w:p w14:paraId="6BF86E5D" w14:textId="77777777" w:rsidR="00985B87" w:rsidRDefault="00944B8F" w:rsidP="00985B87">
      <w:pPr>
        <w:keepNext/>
        <w:jc w:val="center"/>
      </w:pPr>
      <w:r>
        <w:rPr>
          <w:noProof/>
          <w:lang w:val="en-US"/>
        </w:rPr>
        <w:drawing>
          <wp:inline distT="0" distB="0" distL="0" distR="0" wp14:anchorId="62A283C4" wp14:editId="0FA5E194">
            <wp:extent cx="3364992" cy="1478124"/>
            <wp:effectExtent l="0" t="0" r="6985"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Humira_Exploded_Syringe_Only_new grey.jpg"/>
                    <pic:cNvPicPr/>
                  </pic:nvPicPr>
                  <pic:blipFill>
                    <a:blip r:embed="rId26">
                      <a:extLst>
                        <a:ext uri="{28A0092B-C50C-407E-A947-70E740481C1C}">
                          <a14:useLocalDpi xmlns:a14="http://schemas.microsoft.com/office/drawing/2010/main" val="0"/>
                        </a:ext>
                      </a:extLst>
                    </a:blip>
                    <a:stretch>
                      <a:fillRect/>
                    </a:stretch>
                  </pic:blipFill>
                  <pic:spPr>
                    <a:xfrm>
                      <a:off x="0" y="0"/>
                      <a:ext cx="3364992" cy="1478124"/>
                    </a:xfrm>
                    <a:prstGeom prst="rect">
                      <a:avLst/>
                    </a:prstGeom>
                  </pic:spPr>
                </pic:pic>
              </a:graphicData>
            </a:graphic>
          </wp:inline>
        </w:drawing>
      </w:r>
    </w:p>
    <w:p w14:paraId="34AEE58A" w14:textId="77777777" w:rsidR="00985B87" w:rsidRDefault="00985B87" w:rsidP="00985B87"/>
    <w:p w14:paraId="34A8AD6F" w14:textId="77777777" w:rsidR="00985B87" w:rsidRDefault="00944B8F" w:rsidP="00217DCA">
      <w:pPr>
        <w:keepNext/>
        <w:numPr>
          <w:ilvl w:val="12"/>
          <w:numId w:val="0"/>
        </w:numPr>
        <w:tabs>
          <w:tab w:val="clear" w:pos="562"/>
        </w:tabs>
        <w:ind w:left="110" w:right="-2"/>
        <w:rPr>
          <w:b/>
        </w:rPr>
      </w:pPr>
      <w:r w:rsidRPr="00985B87">
        <w:rPr>
          <w:b/>
        </w:rPr>
        <w:t>Do not use the pre-filled syringe and call your doctor or pharmacist if the</w:t>
      </w:r>
    </w:p>
    <w:p w14:paraId="46124E0C" w14:textId="77777777" w:rsidR="00985B87" w:rsidRPr="00985B87" w:rsidRDefault="00985B87" w:rsidP="00217DCA">
      <w:pPr>
        <w:keepNext/>
        <w:numPr>
          <w:ilvl w:val="12"/>
          <w:numId w:val="0"/>
        </w:numPr>
        <w:tabs>
          <w:tab w:val="clear" w:pos="562"/>
        </w:tabs>
        <w:ind w:left="110" w:right="-2"/>
        <w:rPr>
          <w:b/>
        </w:rPr>
      </w:pPr>
    </w:p>
    <w:p w14:paraId="4748EA37" w14:textId="77777777" w:rsidR="00985B87" w:rsidRDefault="00944B8F" w:rsidP="00217DCA">
      <w:pPr>
        <w:pStyle w:val="EMEAHeadingLeaflet"/>
        <w:keepNext/>
        <w:numPr>
          <w:ilvl w:val="0"/>
          <w:numId w:val="112"/>
        </w:numPr>
        <w:tabs>
          <w:tab w:val="clear" w:pos="562"/>
          <w:tab w:val="left" w:pos="720"/>
        </w:tabs>
        <w:spacing w:beforeLines="0" w:afterLines="0"/>
        <w:rPr>
          <w:rFonts w:ascii="Times New Roman" w:hAnsi="Times New Roman"/>
          <w:b w:val="0"/>
          <w:lang w:val="en-GB"/>
        </w:rPr>
      </w:pPr>
      <w:r>
        <w:rPr>
          <w:rFonts w:ascii="Times New Roman" w:hAnsi="Times New Roman"/>
          <w:b w:val="0"/>
          <w:lang w:val="en-GB"/>
        </w:rPr>
        <w:t>liquid is cloudy, discoloured, or has flakes or particles in it</w:t>
      </w:r>
    </w:p>
    <w:p w14:paraId="534E213D" w14:textId="77777777" w:rsidR="00985B87" w:rsidRDefault="00944B8F" w:rsidP="00F421D6">
      <w:pPr>
        <w:pStyle w:val="EMEAHeadingLeaflet"/>
        <w:keepNext/>
        <w:numPr>
          <w:ilvl w:val="0"/>
          <w:numId w:val="112"/>
        </w:numPr>
        <w:tabs>
          <w:tab w:val="clear" w:pos="562"/>
          <w:tab w:val="left" w:pos="720"/>
        </w:tabs>
        <w:spacing w:beforeLines="0" w:afterLines="0"/>
        <w:rPr>
          <w:rFonts w:ascii="Times New Roman" w:hAnsi="Times New Roman"/>
          <w:b w:val="0"/>
          <w:lang w:val="en-GB"/>
        </w:rPr>
      </w:pPr>
      <w:r>
        <w:rPr>
          <w:rFonts w:ascii="Times New Roman" w:hAnsi="Times New Roman"/>
          <w:b w:val="0"/>
          <w:lang w:val="en-GB"/>
        </w:rPr>
        <w:t>expiry (EXP) date has passed</w:t>
      </w:r>
    </w:p>
    <w:p w14:paraId="775DF228" w14:textId="77777777" w:rsidR="00985B87" w:rsidRDefault="00944B8F" w:rsidP="00F421D6">
      <w:pPr>
        <w:pStyle w:val="EMEAHeadingLeaflet"/>
        <w:keepNext/>
        <w:numPr>
          <w:ilvl w:val="0"/>
          <w:numId w:val="112"/>
        </w:numPr>
        <w:tabs>
          <w:tab w:val="clear" w:pos="562"/>
          <w:tab w:val="left" w:pos="720"/>
        </w:tabs>
        <w:spacing w:beforeLines="0" w:afterLines="0"/>
        <w:rPr>
          <w:rFonts w:ascii="Times New Roman" w:hAnsi="Times New Roman"/>
          <w:b w:val="0"/>
          <w:lang w:val="en-GB"/>
        </w:rPr>
      </w:pPr>
      <w:r>
        <w:rPr>
          <w:rFonts w:ascii="Times New Roman" w:hAnsi="Times New Roman"/>
          <w:b w:val="0"/>
          <w:lang w:val="en-GB"/>
        </w:rPr>
        <w:t>liquid has been frozen or left in direct sunlight</w:t>
      </w:r>
    </w:p>
    <w:p w14:paraId="6A1FCFEE" w14:textId="77777777" w:rsidR="00985B87" w:rsidRDefault="00944B8F" w:rsidP="00F421D6">
      <w:pPr>
        <w:pStyle w:val="EMEAHeadingLeaflet"/>
        <w:keepNext/>
        <w:numPr>
          <w:ilvl w:val="0"/>
          <w:numId w:val="112"/>
        </w:numPr>
        <w:tabs>
          <w:tab w:val="clear" w:pos="562"/>
          <w:tab w:val="left" w:pos="720"/>
        </w:tabs>
        <w:spacing w:beforeLines="0" w:afterLines="0"/>
        <w:rPr>
          <w:rFonts w:ascii="Times New Roman" w:hAnsi="Times New Roman"/>
          <w:b w:val="0"/>
          <w:lang w:val="en-GB"/>
        </w:rPr>
      </w:pPr>
      <w:r>
        <w:rPr>
          <w:rFonts w:ascii="Times New Roman" w:hAnsi="Times New Roman"/>
          <w:b w:val="0"/>
          <w:lang w:val="en-GB"/>
        </w:rPr>
        <w:t>pre-filled syringe has been dropped or crushed</w:t>
      </w:r>
    </w:p>
    <w:p w14:paraId="6178D0C6" w14:textId="77777777" w:rsidR="00985B87" w:rsidRDefault="00985B87" w:rsidP="00985B87">
      <w:pPr>
        <w:pStyle w:val="EMEANormal"/>
        <w:keepNext/>
        <w:rPr>
          <w:lang w:val="en-GB"/>
        </w:rPr>
      </w:pPr>
    </w:p>
    <w:p w14:paraId="72EE2AAC" w14:textId="77777777" w:rsidR="00985B87" w:rsidRDefault="00944B8F" w:rsidP="00985B87">
      <w:pPr>
        <w:pStyle w:val="EMEAHeadingLeaflet"/>
        <w:keepNext/>
        <w:tabs>
          <w:tab w:val="left" w:pos="0"/>
        </w:tabs>
        <w:spacing w:beforeLines="0" w:afterLines="0"/>
        <w:rPr>
          <w:rFonts w:ascii="Times New Roman" w:hAnsi="Times New Roman"/>
          <w:lang w:val="en-GB"/>
        </w:rPr>
      </w:pPr>
      <w:r>
        <w:rPr>
          <w:rFonts w:ascii="Times New Roman" w:hAnsi="Times New Roman"/>
          <w:lang w:val="en-GB"/>
        </w:rPr>
        <w:t>Do not remove the needle cover until just before injection. Keep Humira out of the sight and reach of children.</w:t>
      </w:r>
    </w:p>
    <w:p w14:paraId="35E7F428" w14:textId="77777777" w:rsidR="00985B87" w:rsidRDefault="00985B87" w:rsidP="00985B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C6578C" w14:paraId="1D80CCE4" w14:textId="77777777" w:rsidTr="00701CAA">
        <w:tc>
          <w:tcPr>
            <w:tcW w:w="9287" w:type="dxa"/>
            <w:gridSpan w:val="2"/>
            <w:tcBorders>
              <w:top w:val="single" w:sz="4" w:space="0" w:color="auto"/>
              <w:left w:val="single" w:sz="4" w:space="0" w:color="auto"/>
              <w:bottom w:val="single" w:sz="4" w:space="0" w:color="auto"/>
              <w:right w:val="single" w:sz="4" w:space="0" w:color="auto"/>
            </w:tcBorders>
          </w:tcPr>
          <w:p w14:paraId="1E8E7D1F" w14:textId="77777777" w:rsidR="00985B87" w:rsidRDefault="00944B8F" w:rsidP="00701CAA">
            <w:pPr>
              <w:pStyle w:val="EMEAHeadingLeaflet"/>
              <w:spacing w:beforeLines="0" w:afterLines="0"/>
              <w:rPr>
                <w:rFonts w:ascii="Times New Roman" w:hAnsi="Times New Roman"/>
                <w:lang w:val="en-GB"/>
              </w:rPr>
            </w:pPr>
            <w:r>
              <w:rPr>
                <w:rFonts w:ascii="Times New Roman" w:hAnsi="Times New Roman"/>
                <w:lang w:val="en-GB"/>
              </w:rPr>
              <w:t>STEP 1</w:t>
            </w:r>
          </w:p>
          <w:p w14:paraId="5B62D8E4" w14:textId="77777777" w:rsidR="00985B87" w:rsidRDefault="00985B87" w:rsidP="00701CAA">
            <w:pPr>
              <w:pStyle w:val="EMEANormal"/>
              <w:rPr>
                <w:lang w:val="en-GB"/>
              </w:rPr>
            </w:pPr>
          </w:p>
          <w:p w14:paraId="7A27795E" w14:textId="77777777" w:rsidR="00985B87" w:rsidRDefault="00944B8F" w:rsidP="00701CAA">
            <w:pPr>
              <w:pStyle w:val="EMEAHeadingLeaflet"/>
              <w:spacing w:beforeLines="0" w:afterLines="0"/>
              <w:rPr>
                <w:rFonts w:ascii="Times New Roman" w:hAnsi="Times New Roman"/>
                <w:b w:val="0"/>
                <w:lang w:val="en-GB"/>
              </w:rPr>
            </w:pPr>
            <w:r>
              <w:rPr>
                <w:rFonts w:ascii="Times New Roman" w:hAnsi="Times New Roman"/>
                <w:b w:val="0"/>
                <w:lang w:val="en-GB"/>
              </w:rPr>
              <w:t>Take Humira out of the refrigerator.</w:t>
            </w:r>
          </w:p>
          <w:p w14:paraId="5768037B" w14:textId="77777777" w:rsidR="00985B87" w:rsidRDefault="00985B87" w:rsidP="00701CAA">
            <w:pPr>
              <w:pStyle w:val="EMEANormal"/>
              <w:rPr>
                <w:lang w:val="en-GB"/>
              </w:rPr>
            </w:pPr>
          </w:p>
          <w:p w14:paraId="4C5A7B19" w14:textId="77777777" w:rsidR="00985B87" w:rsidRDefault="00944B8F" w:rsidP="00701CAA">
            <w:pPr>
              <w:pStyle w:val="EMEAHeadingLeaflet"/>
              <w:spacing w:beforeLines="0" w:afterLines="0"/>
              <w:rPr>
                <w:rFonts w:ascii="Times New Roman" w:hAnsi="Times New Roman"/>
                <w:b w:val="0"/>
                <w:lang w:val="en-GB"/>
              </w:rPr>
            </w:pPr>
            <w:r>
              <w:rPr>
                <w:rFonts w:ascii="Times New Roman" w:hAnsi="Times New Roman"/>
                <w:b w:val="0"/>
                <w:lang w:val="en-GB"/>
              </w:rPr>
              <w:t xml:space="preserve">Leave Humira at room temperature for </w:t>
            </w:r>
            <w:r>
              <w:rPr>
                <w:rFonts w:ascii="Times New Roman" w:hAnsi="Times New Roman"/>
                <w:lang w:val="en-GB"/>
              </w:rPr>
              <w:t xml:space="preserve">15 to 30 minutes </w:t>
            </w:r>
            <w:r>
              <w:rPr>
                <w:rFonts w:ascii="Times New Roman" w:hAnsi="Times New Roman"/>
                <w:b w:val="0"/>
                <w:lang w:val="en-GB"/>
              </w:rPr>
              <w:t>before injecting.</w:t>
            </w:r>
          </w:p>
          <w:p w14:paraId="463139C2" w14:textId="77777777" w:rsidR="00985B87" w:rsidRDefault="00985B87" w:rsidP="00701CAA">
            <w:pPr>
              <w:pStyle w:val="EMEANormal"/>
              <w:rPr>
                <w:lang w:val="en-GB"/>
              </w:rPr>
            </w:pPr>
          </w:p>
          <w:p w14:paraId="6981B2D9" w14:textId="77777777" w:rsidR="00985B87" w:rsidRDefault="00944B8F" w:rsidP="00F421D6">
            <w:pPr>
              <w:pStyle w:val="EMEAHeadingLeaflet"/>
              <w:numPr>
                <w:ilvl w:val="0"/>
                <w:numId w:val="113"/>
              </w:numPr>
              <w:tabs>
                <w:tab w:val="clear" w:pos="562"/>
                <w:tab w:val="left" w:pos="720"/>
              </w:tabs>
              <w:spacing w:beforeLines="0" w:afterLines="0"/>
              <w:rPr>
                <w:rFonts w:ascii="Times New Roman" w:hAnsi="Times New Roman"/>
                <w:b w:val="0"/>
                <w:lang w:val="en-GB"/>
              </w:rPr>
            </w:pPr>
            <w:r>
              <w:rPr>
                <w:rFonts w:ascii="Times New Roman" w:hAnsi="Times New Roman"/>
                <w:lang w:val="en-GB"/>
              </w:rPr>
              <w:t>Do not</w:t>
            </w:r>
            <w:r>
              <w:rPr>
                <w:rFonts w:ascii="Times New Roman" w:hAnsi="Times New Roman"/>
                <w:b w:val="0"/>
                <w:lang w:val="en-GB"/>
              </w:rPr>
              <w:t xml:space="preserve"> remove the needle cover while allowing Humira to reach room temperature</w:t>
            </w:r>
          </w:p>
          <w:p w14:paraId="2FB713D6" w14:textId="77777777" w:rsidR="00985B87" w:rsidRDefault="00944B8F" w:rsidP="00F421D6">
            <w:pPr>
              <w:pStyle w:val="EMEANormal"/>
              <w:numPr>
                <w:ilvl w:val="0"/>
                <w:numId w:val="113"/>
              </w:numPr>
              <w:tabs>
                <w:tab w:val="clear" w:pos="562"/>
                <w:tab w:val="left" w:pos="720"/>
              </w:tabs>
              <w:rPr>
                <w:lang w:val="en-GB"/>
              </w:rPr>
            </w:pPr>
            <w:r>
              <w:rPr>
                <w:b/>
                <w:lang w:val="en-GB"/>
              </w:rPr>
              <w:t xml:space="preserve">Do not </w:t>
            </w:r>
            <w:r>
              <w:rPr>
                <w:lang w:val="en-GB"/>
              </w:rPr>
              <w:t xml:space="preserve">warm Humira in any other way. For example, </w:t>
            </w:r>
            <w:r>
              <w:rPr>
                <w:b/>
                <w:lang w:val="en-GB"/>
              </w:rPr>
              <w:t>do not</w:t>
            </w:r>
            <w:r>
              <w:rPr>
                <w:lang w:val="en-GB"/>
              </w:rPr>
              <w:t xml:space="preserve"> warm it in a microwave or in hot water</w:t>
            </w:r>
          </w:p>
        </w:tc>
      </w:tr>
      <w:tr w:rsidR="00C6578C" w14:paraId="04719631" w14:textId="77777777" w:rsidTr="00701CAA">
        <w:tc>
          <w:tcPr>
            <w:tcW w:w="3708" w:type="dxa"/>
            <w:tcBorders>
              <w:top w:val="single" w:sz="4" w:space="0" w:color="auto"/>
              <w:left w:val="single" w:sz="4" w:space="0" w:color="auto"/>
              <w:bottom w:val="single" w:sz="4" w:space="0" w:color="auto"/>
              <w:right w:val="nil"/>
            </w:tcBorders>
          </w:tcPr>
          <w:p w14:paraId="7140F9A0" w14:textId="77777777" w:rsidR="00985B87" w:rsidRDefault="00944B8F" w:rsidP="00E425EA">
            <w:pPr>
              <w:pStyle w:val="EMEANormal"/>
              <w:keepNext/>
              <w:rPr>
                <w:b/>
                <w:lang w:val="en-GB"/>
              </w:rPr>
            </w:pPr>
            <w:r>
              <w:rPr>
                <w:b/>
                <w:lang w:val="en-GB"/>
              </w:rPr>
              <w:t xml:space="preserve">STEP 2 </w:t>
            </w:r>
          </w:p>
          <w:p w14:paraId="64B5752B" w14:textId="77777777" w:rsidR="00985B87" w:rsidRDefault="00944B8F" w:rsidP="009217A8">
            <w:pPr>
              <w:pStyle w:val="EMEANormal"/>
              <w:keepNext/>
              <w:spacing w:before="100" w:beforeAutospacing="1"/>
              <w:rPr>
                <w:b/>
                <w:lang w:val="en-GB"/>
              </w:rPr>
            </w:pPr>
            <w:r>
              <w:rPr>
                <w:b/>
                <w:lang w:val="en-GB"/>
              </w:rPr>
              <w:t xml:space="preserve">           Syringe</w:t>
            </w:r>
          </w:p>
          <w:p w14:paraId="205CF12D" w14:textId="77777777" w:rsidR="00985B87" w:rsidRDefault="00944B8F" w:rsidP="00E425EA">
            <w:pPr>
              <w:pStyle w:val="EMEANormal"/>
              <w:keepNext/>
            </w:pPr>
            <w:r>
              <w:rPr>
                <w:noProof/>
              </w:rPr>
              <w:drawing>
                <wp:inline distT="0" distB="0" distL="0" distR="0" wp14:anchorId="69CBA967" wp14:editId="452ECEED">
                  <wp:extent cx="2217420" cy="2052320"/>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TEP_2_SYRINGE_IFU_SETUP_new grey.jpg"/>
                          <pic:cNvPicPr/>
                        </pic:nvPicPr>
                        <pic:blipFill>
                          <a:blip r:embed="rId27">
                            <a:extLst>
                              <a:ext uri="{28A0092B-C50C-407E-A947-70E740481C1C}">
                                <a14:useLocalDpi xmlns:a14="http://schemas.microsoft.com/office/drawing/2010/main" val="0"/>
                              </a:ext>
                            </a:extLst>
                          </a:blip>
                          <a:stretch>
                            <a:fillRect/>
                          </a:stretch>
                        </pic:blipFill>
                        <pic:spPr>
                          <a:xfrm>
                            <a:off x="0" y="0"/>
                            <a:ext cx="2217420" cy="2052320"/>
                          </a:xfrm>
                          <a:prstGeom prst="rect">
                            <a:avLst/>
                          </a:prstGeom>
                        </pic:spPr>
                      </pic:pic>
                    </a:graphicData>
                  </a:graphic>
                </wp:inline>
              </w:drawing>
            </w:r>
          </w:p>
          <w:p w14:paraId="289D1D2C" w14:textId="77777777" w:rsidR="00985B87" w:rsidRDefault="00944B8F" w:rsidP="00C568D0">
            <w:pPr>
              <w:pStyle w:val="EMEANormal"/>
              <w:keepNext/>
              <w:rPr>
                <w:b/>
                <w:lang w:val="en-GB"/>
              </w:rPr>
            </w:pPr>
            <w:r>
              <w:rPr>
                <w:b/>
              </w:rPr>
              <w:t xml:space="preserve">                 Pad</w:t>
            </w:r>
          </w:p>
        </w:tc>
        <w:tc>
          <w:tcPr>
            <w:tcW w:w="5579" w:type="dxa"/>
            <w:tcBorders>
              <w:top w:val="single" w:sz="4" w:space="0" w:color="auto"/>
              <w:left w:val="nil"/>
              <w:bottom w:val="single" w:sz="4" w:space="0" w:color="auto"/>
              <w:right w:val="single" w:sz="4" w:space="0" w:color="auto"/>
            </w:tcBorders>
          </w:tcPr>
          <w:p w14:paraId="2E74E1F3" w14:textId="77777777" w:rsidR="00985B87" w:rsidRDefault="00944B8F" w:rsidP="00E425EA">
            <w:pPr>
              <w:pStyle w:val="EMEAHeadingLeaflet"/>
              <w:keepNext/>
              <w:spacing w:beforeLines="0" w:afterLines="0"/>
              <w:rPr>
                <w:rFonts w:ascii="Times New Roman" w:hAnsi="Times New Roman"/>
                <w:b w:val="0"/>
                <w:lang w:val="en-GB"/>
              </w:rPr>
            </w:pPr>
            <w:r>
              <w:rPr>
                <w:rFonts w:ascii="Times New Roman" w:hAnsi="Times New Roman"/>
                <w:b w:val="0"/>
                <w:lang w:val="en-GB"/>
              </w:rPr>
              <w:t xml:space="preserve">Check the expiry (EXP) date. </w:t>
            </w:r>
            <w:r>
              <w:rPr>
                <w:rFonts w:ascii="Times New Roman" w:hAnsi="Times New Roman"/>
                <w:lang w:val="en-GB"/>
              </w:rPr>
              <w:t>Do not</w:t>
            </w:r>
            <w:r>
              <w:rPr>
                <w:rFonts w:ascii="Times New Roman" w:hAnsi="Times New Roman"/>
                <w:b w:val="0"/>
                <w:lang w:val="en-GB"/>
              </w:rPr>
              <w:t xml:space="preserve"> use the pre-filled syringe if expiry (EXP) date has passed.</w:t>
            </w:r>
          </w:p>
          <w:p w14:paraId="550CED42" w14:textId="77777777" w:rsidR="00985B87" w:rsidRDefault="00985B87" w:rsidP="00E425EA">
            <w:pPr>
              <w:pStyle w:val="EMEANormal"/>
              <w:keepNext/>
              <w:rPr>
                <w:lang w:val="en-GB"/>
              </w:rPr>
            </w:pPr>
          </w:p>
          <w:p w14:paraId="6BF6EFD7" w14:textId="77777777" w:rsidR="00985B87" w:rsidRDefault="00944B8F" w:rsidP="00E425EA">
            <w:pPr>
              <w:pStyle w:val="EMEAHeadingLeaflet"/>
              <w:keepNext/>
              <w:spacing w:beforeLines="0" w:afterLines="0"/>
              <w:rPr>
                <w:rFonts w:ascii="Times New Roman" w:hAnsi="Times New Roman"/>
                <w:b w:val="0"/>
                <w:lang w:val="en-GB"/>
              </w:rPr>
            </w:pPr>
            <w:r>
              <w:rPr>
                <w:rFonts w:ascii="Times New Roman" w:hAnsi="Times New Roman"/>
                <w:b w:val="0"/>
                <w:lang w:val="en-GB"/>
              </w:rPr>
              <w:t>Place the following on a clean, flat surface</w:t>
            </w:r>
          </w:p>
          <w:p w14:paraId="7B5BF666" w14:textId="77777777" w:rsidR="00985B87" w:rsidRDefault="00985B87" w:rsidP="00E425EA">
            <w:pPr>
              <w:pStyle w:val="EMEANormal"/>
              <w:keepNext/>
              <w:rPr>
                <w:lang w:val="en-GB"/>
              </w:rPr>
            </w:pPr>
          </w:p>
          <w:p w14:paraId="1208AB75" w14:textId="77777777" w:rsidR="00985B87" w:rsidRDefault="00944B8F" w:rsidP="00F421D6">
            <w:pPr>
              <w:pStyle w:val="EMEAHeadingLeaflet"/>
              <w:keepNext/>
              <w:numPr>
                <w:ilvl w:val="0"/>
                <w:numId w:val="114"/>
              </w:numPr>
              <w:tabs>
                <w:tab w:val="clear" w:pos="562"/>
                <w:tab w:val="left" w:pos="757"/>
              </w:tabs>
              <w:spacing w:beforeLines="0" w:afterLines="0"/>
              <w:ind w:left="757"/>
              <w:rPr>
                <w:rFonts w:ascii="Times New Roman" w:hAnsi="Times New Roman"/>
                <w:b w:val="0"/>
                <w:lang w:val="en-GB"/>
              </w:rPr>
            </w:pPr>
            <w:r>
              <w:rPr>
                <w:rFonts w:ascii="Times New Roman" w:hAnsi="Times New Roman"/>
                <w:b w:val="0"/>
                <w:lang w:val="en-GB"/>
              </w:rPr>
              <w:t xml:space="preserve">1 single-use pre-filled syringe and </w:t>
            </w:r>
          </w:p>
          <w:p w14:paraId="71A6597A" w14:textId="77777777" w:rsidR="00985B87" w:rsidRDefault="00944B8F" w:rsidP="00F421D6">
            <w:pPr>
              <w:pStyle w:val="EMEAHeadingLeaflet"/>
              <w:keepNext/>
              <w:numPr>
                <w:ilvl w:val="0"/>
                <w:numId w:val="114"/>
              </w:numPr>
              <w:tabs>
                <w:tab w:val="clear" w:pos="562"/>
                <w:tab w:val="left" w:pos="757"/>
              </w:tabs>
              <w:spacing w:beforeLines="0" w:afterLines="0"/>
              <w:ind w:left="757"/>
              <w:rPr>
                <w:rFonts w:ascii="Times New Roman" w:hAnsi="Times New Roman"/>
                <w:b w:val="0"/>
                <w:lang w:val="en-GB"/>
              </w:rPr>
            </w:pPr>
            <w:r>
              <w:rPr>
                <w:rFonts w:ascii="Times New Roman" w:hAnsi="Times New Roman"/>
                <w:b w:val="0"/>
                <w:lang w:val="en-GB"/>
              </w:rPr>
              <w:t>1 alcohol pad</w:t>
            </w:r>
          </w:p>
          <w:p w14:paraId="15C3A372" w14:textId="77777777" w:rsidR="00985B87" w:rsidRDefault="00985B87" w:rsidP="00E425EA">
            <w:pPr>
              <w:pStyle w:val="EMEANormal"/>
              <w:keepNext/>
              <w:rPr>
                <w:lang w:val="en-GB"/>
              </w:rPr>
            </w:pPr>
          </w:p>
          <w:p w14:paraId="0D62054A" w14:textId="77777777" w:rsidR="00985B87" w:rsidRDefault="00944B8F" w:rsidP="00E425EA">
            <w:pPr>
              <w:pStyle w:val="EMEANormal"/>
              <w:keepNext/>
              <w:rPr>
                <w:lang w:val="en-GB"/>
              </w:rPr>
            </w:pPr>
            <w:r>
              <w:rPr>
                <w:lang w:val="en-GB"/>
              </w:rPr>
              <w:t>Wash and dry your hands.</w:t>
            </w:r>
          </w:p>
        </w:tc>
      </w:tr>
      <w:tr w:rsidR="00C6578C" w14:paraId="1CEFC045" w14:textId="77777777" w:rsidTr="00701CAA">
        <w:tc>
          <w:tcPr>
            <w:tcW w:w="3708" w:type="dxa"/>
            <w:tcBorders>
              <w:top w:val="single" w:sz="4" w:space="0" w:color="auto"/>
              <w:left w:val="single" w:sz="4" w:space="0" w:color="auto"/>
              <w:bottom w:val="single" w:sz="4" w:space="0" w:color="auto"/>
              <w:right w:val="nil"/>
            </w:tcBorders>
          </w:tcPr>
          <w:p w14:paraId="149B9305" w14:textId="77777777" w:rsidR="00985B87" w:rsidRDefault="00944B8F" w:rsidP="00701CAA">
            <w:pPr>
              <w:pStyle w:val="EMEANormal"/>
              <w:rPr>
                <w:b/>
                <w:lang w:val="en-GB"/>
              </w:rPr>
            </w:pPr>
            <w:r>
              <w:rPr>
                <w:b/>
                <w:lang w:val="en-GB"/>
              </w:rPr>
              <w:t>STEP 3</w:t>
            </w:r>
          </w:p>
          <w:p w14:paraId="2F63E9A7" w14:textId="77777777" w:rsidR="00985B87" w:rsidRDefault="00985B87" w:rsidP="00701CAA">
            <w:pPr>
              <w:pStyle w:val="EMEANormal"/>
              <w:keepNext/>
              <w:rPr>
                <w:b/>
                <w:lang w:val="en-GB"/>
              </w:rPr>
            </w:pPr>
          </w:p>
          <w:p w14:paraId="27078668" w14:textId="77777777" w:rsidR="00985B87" w:rsidRDefault="00944B8F" w:rsidP="00701CAA">
            <w:pPr>
              <w:pStyle w:val="EMEANormal"/>
              <w:keepNext/>
              <w:rPr>
                <w:b/>
                <w:lang w:val="en-GB"/>
              </w:rPr>
            </w:pPr>
            <w:r>
              <w:rPr>
                <w:b/>
                <w:lang w:val="en-GB"/>
              </w:rPr>
              <w:t>Injectable Areas</w:t>
            </w:r>
          </w:p>
          <w:p w14:paraId="66BC1C58" w14:textId="77777777" w:rsidR="00985B87" w:rsidRDefault="00944B8F" w:rsidP="00701CAA">
            <w:pPr>
              <w:pStyle w:val="EMEANormal"/>
              <w:keepNext/>
              <w:rPr>
                <w:lang w:val="en-GB"/>
              </w:rPr>
            </w:pPr>
            <w:r>
              <w:rPr>
                <w:noProof/>
              </w:rPr>
              <w:drawing>
                <wp:inline distT="0" distB="0" distL="0" distR="0" wp14:anchorId="2FC53343" wp14:editId="3B4C7106">
                  <wp:extent cx="2280285" cy="2386965"/>
                  <wp:effectExtent l="0" t="0" r="5715" b="0"/>
                  <wp:docPr id="17" name="Picture 17"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5" descr="STEP3_grey"/>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280285" cy="2386965"/>
                          </a:xfrm>
                          <a:prstGeom prst="rect">
                            <a:avLst/>
                          </a:prstGeom>
                          <a:noFill/>
                          <a:ln>
                            <a:noFill/>
                          </a:ln>
                        </pic:spPr>
                      </pic:pic>
                    </a:graphicData>
                  </a:graphic>
                </wp:inline>
              </w:drawing>
            </w:r>
          </w:p>
          <w:p w14:paraId="599850A2" w14:textId="77777777" w:rsidR="00985B87" w:rsidRDefault="00944B8F" w:rsidP="00701CAA">
            <w:pPr>
              <w:pStyle w:val="EMEANormal"/>
              <w:keepNext/>
              <w:rPr>
                <w:b/>
                <w:lang w:val="en-GB"/>
              </w:rPr>
            </w:pPr>
            <w:r>
              <w:rPr>
                <w:lang w:val="en-GB"/>
              </w:rPr>
              <w:t xml:space="preserve">     </w:t>
            </w:r>
            <w:r>
              <w:rPr>
                <w:b/>
                <w:lang w:val="en-GB"/>
              </w:rPr>
              <w:t>Injectable Areas</w:t>
            </w:r>
          </w:p>
        </w:tc>
        <w:tc>
          <w:tcPr>
            <w:tcW w:w="5579" w:type="dxa"/>
            <w:tcBorders>
              <w:top w:val="single" w:sz="4" w:space="0" w:color="auto"/>
              <w:left w:val="nil"/>
              <w:bottom w:val="single" w:sz="4" w:space="0" w:color="auto"/>
              <w:right w:val="single" w:sz="4" w:space="0" w:color="auto"/>
            </w:tcBorders>
          </w:tcPr>
          <w:p w14:paraId="435A2993" w14:textId="77777777" w:rsidR="00985B87" w:rsidRDefault="00944B8F" w:rsidP="00701CAA">
            <w:pPr>
              <w:pStyle w:val="EMEAHeadingLeaflet"/>
              <w:keepNext/>
              <w:spacing w:beforeLines="0" w:afterLines="0"/>
              <w:rPr>
                <w:rFonts w:ascii="Times New Roman" w:hAnsi="Times New Roman"/>
                <w:b w:val="0"/>
                <w:lang w:val="en-GB"/>
              </w:rPr>
            </w:pPr>
            <w:r>
              <w:rPr>
                <w:rFonts w:ascii="Times New Roman" w:hAnsi="Times New Roman"/>
                <w:b w:val="0"/>
                <w:lang w:val="en-GB"/>
              </w:rPr>
              <w:lastRenderedPageBreak/>
              <w:t>Choose an injection site:</w:t>
            </w:r>
          </w:p>
          <w:p w14:paraId="74F9B441" w14:textId="77777777" w:rsidR="00985B87" w:rsidRDefault="00985B87" w:rsidP="00701CAA">
            <w:pPr>
              <w:pStyle w:val="EMEANormal"/>
              <w:rPr>
                <w:lang w:val="en-GB"/>
              </w:rPr>
            </w:pPr>
          </w:p>
          <w:p w14:paraId="2A85293C" w14:textId="77777777" w:rsidR="00985B87" w:rsidRDefault="00944B8F" w:rsidP="00F421D6">
            <w:pPr>
              <w:pStyle w:val="EMEAHeadingLeaflet"/>
              <w:keepNext/>
              <w:numPr>
                <w:ilvl w:val="0"/>
                <w:numId w:val="115"/>
              </w:numPr>
              <w:tabs>
                <w:tab w:val="clear" w:pos="562"/>
                <w:tab w:val="left" w:pos="757"/>
              </w:tabs>
              <w:spacing w:beforeLines="0" w:afterLines="0"/>
              <w:ind w:left="757"/>
              <w:rPr>
                <w:rFonts w:ascii="Times New Roman" w:hAnsi="Times New Roman"/>
                <w:b w:val="0"/>
                <w:lang w:val="en-GB"/>
              </w:rPr>
            </w:pPr>
            <w:r>
              <w:rPr>
                <w:rFonts w:ascii="Times New Roman" w:hAnsi="Times New Roman"/>
                <w:b w:val="0"/>
                <w:lang w:val="en-GB"/>
              </w:rPr>
              <w:lastRenderedPageBreak/>
              <w:t>On the front of your child’s thighs or</w:t>
            </w:r>
          </w:p>
          <w:p w14:paraId="518BB3F2" w14:textId="77777777" w:rsidR="00985B87" w:rsidRDefault="00944B8F" w:rsidP="00F421D6">
            <w:pPr>
              <w:pStyle w:val="EMEAHeadingLeaflet"/>
              <w:keepNext/>
              <w:numPr>
                <w:ilvl w:val="0"/>
                <w:numId w:val="115"/>
              </w:numPr>
              <w:tabs>
                <w:tab w:val="clear" w:pos="562"/>
                <w:tab w:val="left" w:pos="757"/>
              </w:tabs>
              <w:spacing w:beforeLines="0" w:afterLines="0"/>
              <w:ind w:left="757"/>
              <w:rPr>
                <w:rFonts w:ascii="Times New Roman" w:hAnsi="Times New Roman"/>
                <w:b w:val="0"/>
                <w:lang w:val="en-GB"/>
              </w:rPr>
            </w:pPr>
            <w:r>
              <w:rPr>
                <w:rFonts w:ascii="Times New Roman" w:hAnsi="Times New Roman"/>
                <w:b w:val="0"/>
                <w:lang w:val="en-GB"/>
              </w:rPr>
              <w:t>Your child’s belly (abdomen) at least 5</w:t>
            </w:r>
            <w:r w:rsidR="00AA6375">
              <w:rPr>
                <w:rFonts w:ascii="Times New Roman" w:hAnsi="Times New Roman"/>
                <w:b w:val="0"/>
                <w:lang w:val="en-GB"/>
              </w:rPr>
              <w:t> </w:t>
            </w:r>
            <w:r>
              <w:rPr>
                <w:rFonts w:ascii="Times New Roman" w:hAnsi="Times New Roman"/>
                <w:b w:val="0"/>
                <w:lang w:val="en-GB"/>
              </w:rPr>
              <w:t>cm from his/her belly button (navel)</w:t>
            </w:r>
          </w:p>
          <w:p w14:paraId="778319E3" w14:textId="77777777" w:rsidR="00985B87" w:rsidRDefault="00944B8F" w:rsidP="00F421D6">
            <w:pPr>
              <w:pStyle w:val="EMEAHeadingLeaflet"/>
              <w:keepNext/>
              <w:numPr>
                <w:ilvl w:val="0"/>
                <w:numId w:val="115"/>
              </w:numPr>
              <w:tabs>
                <w:tab w:val="clear" w:pos="562"/>
                <w:tab w:val="left" w:pos="757"/>
              </w:tabs>
              <w:spacing w:beforeLines="0" w:afterLines="0"/>
              <w:ind w:left="757"/>
              <w:rPr>
                <w:rFonts w:ascii="Times New Roman" w:hAnsi="Times New Roman"/>
                <w:b w:val="0"/>
                <w:lang w:val="en-GB"/>
              </w:rPr>
            </w:pPr>
            <w:r>
              <w:rPr>
                <w:rFonts w:ascii="Times New Roman" w:hAnsi="Times New Roman"/>
                <w:b w:val="0"/>
                <w:lang w:val="en-GB"/>
              </w:rPr>
              <w:t>At least 3</w:t>
            </w:r>
            <w:r w:rsidR="00AA6375">
              <w:rPr>
                <w:rFonts w:ascii="Times New Roman" w:hAnsi="Times New Roman"/>
                <w:b w:val="0"/>
                <w:lang w:val="en-GB"/>
              </w:rPr>
              <w:t> </w:t>
            </w:r>
            <w:r>
              <w:rPr>
                <w:rFonts w:ascii="Times New Roman" w:hAnsi="Times New Roman"/>
                <w:b w:val="0"/>
                <w:lang w:val="en-GB"/>
              </w:rPr>
              <w:t>cm from your child’s last injection site</w:t>
            </w:r>
          </w:p>
          <w:p w14:paraId="7B850489" w14:textId="77777777" w:rsidR="00985B87" w:rsidRDefault="00985B87" w:rsidP="00701CAA">
            <w:pPr>
              <w:pStyle w:val="EMEANormal"/>
              <w:rPr>
                <w:lang w:val="en-GB"/>
              </w:rPr>
            </w:pPr>
          </w:p>
          <w:p w14:paraId="390BEB57" w14:textId="77777777" w:rsidR="00985B87" w:rsidRDefault="00944B8F" w:rsidP="00701CAA">
            <w:pPr>
              <w:pStyle w:val="EMEAHeadingLeaflet"/>
              <w:keepNext/>
              <w:spacing w:beforeLines="0" w:afterLines="0"/>
              <w:rPr>
                <w:rFonts w:ascii="Times New Roman" w:hAnsi="Times New Roman"/>
                <w:b w:val="0"/>
                <w:lang w:val="en-GB"/>
              </w:rPr>
            </w:pPr>
            <w:r>
              <w:rPr>
                <w:rFonts w:ascii="Times New Roman" w:hAnsi="Times New Roman"/>
                <w:b w:val="0"/>
                <w:lang w:val="en-GB"/>
              </w:rPr>
              <w:t>Wipe the injection site in a circular motion with the alcohol pad.</w:t>
            </w:r>
          </w:p>
          <w:p w14:paraId="19502DEB" w14:textId="77777777" w:rsidR="00985B87" w:rsidRDefault="00985B87" w:rsidP="00701CAA">
            <w:pPr>
              <w:pStyle w:val="EMEANormal"/>
              <w:rPr>
                <w:lang w:val="en-GB"/>
              </w:rPr>
            </w:pPr>
          </w:p>
          <w:p w14:paraId="33FE4486" w14:textId="77777777" w:rsidR="00985B87" w:rsidRDefault="00944B8F" w:rsidP="00F421D6">
            <w:pPr>
              <w:pStyle w:val="EMEAHeadingLeaflet"/>
              <w:keepNext/>
              <w:numPr>
                <w:ilvl w:val="0"/>
                <w:numId w:val="116"/>
              </w:numPr>
              <w:tabs>
                <w:tab w:val="clear" w:pos="562"/>
                <w:tab w:val="left" w:pos="757"/>
              </w:tabs>
              <w:spacing w:beforeLines="0" w:afterLines="0"/>
              <w:ind w:left="757"/>
              <w:rPr>
                <w:rFonts w:ascii="Times New Roman" w:hAnsi="Times New Roman"/>
                <w:b w:val="0"/>
                <w:lang w:val="en-GB"/>
              </w:rPr>
            </w:pPr>
            <w:r>
              <w:rPr>
                <w:rFonts w:ascii="Times New Roman" w:hAnsi="Times New Roman"/>
                <w:lang w:val="en-GB"/>
              </w:rPr>
              <w:t>Do not</w:t>
            </w:r>
            <w:r>
              <w:rPr>
                <w:rFonts w:ascii="Times New Roman" w:hAnsi="Times New Roman"/>
                <w:b w:val="0"/>
                <w:lang w:val="en-GB"/>
              </w:rPr>
              <w:t xml:space="preserve"> inject through clothes</w:t>
            </w:r>
          </w:p>
          <w:p w14:paraId="3C978C57" w14:textId="77777777" w:rsidR="00985B87" w:rsidRDefault="00944B8F" w:rsidP="003123EE">
            <w:pPr>
              <w:pStyle w:val="EMEANormal"/>
              <w:keepNext/>
              <w:numPr>
                <w:ilvl w:val="0"/>
                <w:numId w:val="116"/>
              </w:numPr>
              <w:tabs>
                <w:tab w:val="clear" w:pos="562"/>
                <w:tab w:val="left" w:pos="757"/>
              </w:tabs>
              <w:ind w:left="757"/>
              <w:rPr>
                <w:lang w:val="en-GB"/>
              </w:rPr>
            </w:pPr>
            <w:r>
              <w:rPr>
                <w:b/>
                <w:lang w:val="en-GB"/>
              </w:rPr>
              <w:t xml:space="preserve">Do not </w:t>
            </w:r>
            <w:r>
              <w:rPr>
                <w:lang w:val="en-GB"/>
              </w:rPr>
              <w:t>inject into skin that is sore, bruised, red, hard, scarred, has stretch marks, or areas with psoriasis plaques</w:t>
            </w:r>
          </w:p>
        </w:tc>
      </w:tr>
      <w:tr w:rsidR="00C6578C" w14:paraId="2AAA4A7F" w14:textId="77777777" w:rsidTr="00701CAA">
        <w:tc>
          <w:tcPr>
            <w:tcW w:w="3708" w:type="dxa"/>
            <w:tcBorders>
              <w:top w:val="single" w:sz="4" w:space="0" w:color="auto"/>
              <w:left w:val="single" w:sz="4" w:space="0" w:color="auto"/>
              <w:bottom w:val="single" w:sz="4" w:space="0" w:color="auto"/>
              <w:right w:val="nil"/>
            </w:tcBorders>
            <w:hideMark/>
          </w:tcPr>
          <w:p w14:paraId="34AFE8AA" w14:textId="77777777" w:rsidR="00985B87" w:rsidRDefault="00944B8F" w:rsidP="00E425EA">
            <w:pPr>
              <w:pStyle w:val="EMEANormal"/>
              <w:keepNext/>
              <w:rPr>
                <w:b/>
                <w:lang w:val="en-GB"/>
              </w:rPr>
            </w:pPr>
            <w:r>
              <w:rPr>
                <w:b/>
                <w:lang w:val="en-GB"/>
              </w:rPr>
              <w:lastRenderedPageBreak/>
              <w:t>STEP 4</w:t>
            </w:r>
          </w:p>
          <w:p w14:paraId="5B7D942D" w14:textId="77777777" w:rsidR="00985B87" w:rsidRDefault="00944B8F" w:rsidP="00E425EA">
            <w:pPr>
              <w:pStyle w:val="EMEANormal"/>
              <w:keepNext/>
              <w:spacing w:before="100" w:beforeAutospacing="1" w:after="100" w:afterAutospacing="1"/>
              <w:rPr>
                <w:b/>
                <w:lang w:val="en-GB"/>
              </w:rPr>
            </w:pPr>
            <w:r>
              <w:rPr>
                <w:b/>
                <w:noProof/>
              </w:rPr>
              <w:drawing>
                <wp:inline distT="0" distB="0" distL="0" distR="0" wp14:anchorId="7E98CB4B" wp14:editId="46BBED76">
                  <wp:extent cx="2011680" cy="1563488"/>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TEP_4_SYRINGE_IFU_UNCAP_new grey.jpg"/>
                          <pic:cNvPicPr/>
                        </pic:nvPicPr>
                        <pic:blipFill>
                          <a:blip r:embed="rId29">
                            <a:extLst>
                              <a:ext uri="{28A0092B-C50C-407E-A947-70E740481C1C}">
                                <a14:useLocalDpi xmlns:a14="http://schemas.microsoft.com/office/drawing/2010/main" val="0"/>
                              </a:ext>
                            </a:extLst>
                          </a:blip>
                          <a:stretch>
                            <a:fillRect/>
                          </a:stretch>
                        </pic:blipFill>
                        <pic:spPr>
                          <a:xfrm>
                            <a:off x="0" y="0"/>
                            <a:ext cx="2011680" cy="1563488"/>
                          </a:xfrm>
                          <a:prstGeom prst="rect">
                            <a:avLst/>
                          </a:prstGeom>
                        </pic:spPr>
                      </pic:pic>
                    </a:graphicData>
                  </a:graphic>
                </wp:inline>
              </w:drawing>
            </w:r>
          </w:p>
        </w:tc>
        <w:tc>
          <w:tcPr>
            <w:tcW w:w="5579" w:type="dxa"/>
            <w:tcBorders>
              <w:top w:val="single" w:sz="4" w:space="0" w:color="auto"/>
              <w:left w:val="nil"/>
              <w:bottom w:val="single" w:sz="4" w:space="0" w:color="auto"/>
              <w:right w:val="single" w:sz="4" w:space="0" w:color="auto"/>
            </w:tcBorders>
          </w:tcPr>
          <w:p w14:paraId="7BAA7B0E" w14:textId="77777777" w:rsidR="00985B87" w:rsidRDefault="00944B8F" w:rsidP="00E425EA">
            <w:pPr>
              <w:pStyle w:val="EMEAHeadingLeaflet"/>
              <w:keepNext/>
              <w:spacing w:beforeLines="0" w:afterLines="0"/>
              <w:rPr>
                <w:rFonts w:ascii="Times New Roman" w:hAnsi="Times New Roman"/>
                <w:b w:val="0"/>
                <w:lang w:val="en-GB"/>
              </w:rPr>
            </w:pPr>
            <w:r>
              <w:rPr>
                <w:rFonts w:ascii="Times New Roman" w:hAnsi="Times New Roman"/>
                <w:b w:val="0"/>
                <w:lang w:val="en-GB"/>
              </w:rPr>
              <w:t>Hold the pre-filled syringe in one hand.</w:t>
            </w:r>
          </w:p>
          <w:p w14:paraId="563FB9D3" w14:textId="77777777" w:rsidR="00985B87" w:rsidRDefault="00985B87" w:rsidP="00E425EA">
            <w:pPr>
              <w:pStyle w:val="EMEANormal"/>
              <w:keepNext/>
              <w:rPr>
                <w:lang w:val="en-GB"/>
              </w:rPr>
            </w:pPr>
          </w:p>
          <w:p w14:paraId="65C8C9AA" w14:textId="77777777" w:rsidR="00985B87" w:rsidRDefault="00944B8F" w:rsidP="00E425EA">
            <w:pPr>
              <w:pStyle w:val="EMEAHeadingLeaflet"/>
              <w:keepNext/>
              <w:spacing w:beforeLines="0" w:afterLines="0"/>
              <w:rPr>
                <w:rFonts w:ascii="Times New Roman" w:hAnsi="Times New Roman"/>
                <w:b w:val="0"/>
                <w:lang w:val="en-GB"/>
              </w:rPr>
            </w:pPr>
            <w:r>
              <w:rPr>
                <w:rFonts w:ascii="Times New Roman" w:hAnsi="Times New Roman"/>
                <w:b w:val="0"/>
                <w:lang w:val="en-GB"/>
              </w:rPr>
              <w:t>Check the liquid in the pre-filled syringe.</w:t>
            </w:r>
          </w:p>
          <w:p w14:paraId="62ED5BD1" w14:textId="77777777" w:rsidR="00985B87" w:rsidRDefault="00985B87" w:rsidP="00E425EA">
            <w:pPr>
              <w:pStyle w:val="EMEANormal"/>
              <w:keepNext/>
              <w:rPr>
                <w:lang w:val="en-GB"/>
              </w:rPr>
            </w:pPr>
          </w:p>
          <w:p w14:paraId="46E851B1" w14:textId="77777777" w:rsidR="00985B87" w:rsidRDefault="00944B8F" w:rsidP="00F421D6">
            <w:pPr>
              <w:pStyle w:val="EMEAHeadingLeaflet"/>
              <w:keepNext/>
              <w:numPr>
                <w:ilvl w:val="0"/>
                <w:numId w:val="117"/>
              </w:numPr>
              <w:tabs>
                <w:tab w:val="clear" w:pos="562"/>
                <w:tab w:val="left" w:pos="792"/>
                <w:tab w:val="left" w:pos="1647"/>
              </w:tabs>
              <w:spacing w:beforeLines="0" w:afterLines="0"/>
              <w:ind w:left="792"/>
              <w:rPr>
                <w:rFonts w:ascii="Times New Roman" w:hAnsi="Times New Roman"/>
                <w:b w:val="0"/>
                <w:lang w:val="en-GB"/>
              </w:rPr>
            </w:pPr>
            <w:r>
              <w:rPr>
                <w:rFonts w:ascii="Times New Roman" w:hAnsi="Times New Roman"/>
                <w:b w:val="0"/>
                <w:lang w:val="en-GB"/>
              </w:rPr>
              <w:t>Make sure the liquid is clear and colourless</w:t>
            </w:r>
          </w:p>
          <w:p w14:paraId="5992DB4D" w14:textId="77777777" w:rsidR="00985B87" w:rsidRDefault="00944B8F" w:rsidP="00F421D6">
            <w:pPr>
              <w:pStyle w:val="EMEAHeadingLeaflet"/>
              <w:keepNext/>
              <w:numPr>
                <w:ilvl w:val="0"/>
                <w:numId w:val="117"/>
              </w:numPr>
              <w:tabs>
                <w:tab w:val="clear" w:pos="562"/>
                <w:tab w:val="left" w:pos="792"/>
                <w:tab w:val="left" w:pos="1647"/>
              </w:tabs>
              <w:spacing w:beforeLines="0" w:afterLines="0"/>
              <w:ind w:left="792"/>
              <w:rPr>
                <w:rFonts w:ascii="Times New Roman" w:hAnsi="Times New Roman"/>
                <w:b w:val="0"/>
                <w:lang w:val="en-GB"/>
              </w:rPr>
            </w:pPr>
            <w:r>
              <w:rPr>
                <w:rFonts w:ascii="Times New Roman" w:hAnsi="Times New Roman"/>
                <w:lang w:val="en-GB"/>
              </w:rPr>
              <w:t>Do not</w:t>
            </w:r>
            <w:r>
              <w:rPr>
                <w:rFonts w:ascii="Times New Roman" w:hAnsi="Times New Roman"/>
                <w:b w:val="0"/>
                <w:lang w:val="en-GB"/>
              </w:rPr>
              <w:t xml:space="preserve"> use the pre-filled syringe if the liquid is cloudy or has particles</w:t>
            </w:r>
          </w:p>
          <w:p w14:paraId="71F3F74E" w14:textId="77777777" w:rsidR="00985B87" w:rsidRDefault="00944B8F" w:rsidP="00F421D6">
            <w:pPr>
              <w:pStyle w:val="EMEANormal"/>
              <w:keepNext/>
              <w:numPr>
                <w:ilvl w:val="0"/>
                <w:numId w:val="117"/>
              </w:numPr>
              <w:tabs>
                <w:tab w:val="clear" w:pos="562"/>
                <w:tab w:val="left" w:pos="792"/>
                <w:tab w:val="left" w:pos="1647"/>
              </w:tabs>
              <w:ind w:left="792"/>
              <w:rPr>
                <w:lang w:val="en-GB"/>
              </w:rPr>
            </w:pPr>
            <w:r>
              <w:rPr>
                <w:b/>
                <w:lang w:val="en-GB"/>
              </w:rPr>
              <w:t xml:space="preserve">Do not </w:t>
            </w:r>
            <w:r>
              <w:rPr>
                <w:lang w:val="en-GB"/>
              </w:rPr>
              <w:t>use the pre-filled syringe if it has been dropped or crushed</w:t>
            </w:r>
          </w:p>
          <w:p w14:paraId="37635F7A" w14:textId="77777777" w:rsidR="00985B87" w:rsidRDefault="00985B87" w:rsidP="00E425EA">
            <w:pPr>
              <w:pStyle w:val="EMEANormal"/>
              <w:keepNext/>
              <w:tabs>
                <w:tab w:val="clear" w:pos="562"/>
                <w:tab w:val="left" w:pos="792"/>
                <w:tab w:val="left" w:pos="1647"/>
              </w:tabs>
              <w:ind w:left="792"/>
              <w:rPr>
                <w:lang w:val="en-GB"/>
              </w:rPr>
            </w:pPr>
          </w:p>
          <w:p w14:paraId="7A5293C6" w14:textId="77777777" w:rsidR="00985B87" w:rsidRDefault="00944B8F" w:rsidP="00E425EA">
            <w:pPr>
              <w:pStyle w:val="EMEAHeadingLeaflet"/>
              <w:keepNext/>
              <w:spacing w:beforeLines="0" w:afterLines="0"/>
              <w:rPr>
                <w:rFonts w:ascii="Times New Roman" w:hAnsi="Times New Roman"/>
                <w:b w:val="0"/>
                <w:lang w:val="en-GB"/>
              </w:rPr>
            </w:pPr>
            <w:r>
              <w:rPr>
                <w:rFonts w:ascii="Times New Roman" w:hAnsi="Times New Roman"/>
                <w:b w:val="0"/>
                <w:lang w:val="en-GB"/>
              </w:rPr>
              <w:t>Gently pull the needle cover straight off with the other hand. Throw the needle cover away. Do not recap.</w:t>
            </w:r>
          </w:p>
          <w:p w14:paraId="4CFC0592" w14:textId="77777777" w:rsidR="00985B87" w:rsidRDefault="00985B87" w:rsidP="00E425EA">
            <w:pPr>
              <w:pStyle w:val="EMEANormal"/>
              <w:keepNext/>
              <w:rPr>
                <w:lang w:val="en-GB"/>
              </w:rPr>
            </w:pPr>
          </w:p>
          <w:p w14:paraId="7B6E8894" w14:textId="77777777" w:rsidR="00985B87" w:rsidRDefault="00944B8F" w:rsidP="00F421D6">
            <w:pPr>
              <w:pStyle w:val="ListParagraph"/>
              <w:keepNext/>
              <w:numPr>
                <w:ilvl w:val="0"/>
                <w:numId w:val="118"/>
              </w:numPr>
              <w:tabs>
                <w:tab w:val="clear" w:pos="562"/>
                <w:tab w:val="left" w:pos="792"/>
              </w:tabs>
              <w:ind w:left="792"/>
              <w:contextualSpacing/>
            </w:pPr>
            <w:r>
              <w:rPr>
                <w:b/>
              </w:rPr>
              <w:t>Do not</w:t>
            </w:r>
            <w:r>
              <w:t xml:space="preserve"> touch the needle with your fingers or let the needle touch anything</w:t>
            </w:r>
          </w:p>
          <w:p w14:paraId="5A7A8E19" w14:textId="77777777" w:rsidR="00985B87" w:rsidRDefault="00985B87" w:rsidP="00E425EA">
            <w:pPr>
              <w:pStyle w:val="ListParagraph"/>
              <w:keepNext/>
              <w:tabs>
                <w:tab w:val="clear" w:pos="562"/>
                <w:tab w:val="left" w:pos="792"/>
              </w:tabs>
              <w:ind w:left="0"/>
              <w:contextualSpacing/>
            </w:pPr>
          </w:p>
        </w:tc>
      </w:tr>
      <w:tr w:rsidR="00C6578C" w14:paraId="4F394437" w14:textId="77777777" w:rsidTr="00701CAA">
        <w:tc>
          <w:tcPr>
            <w:tcW w:w="3708" w:type="dxa"/>
            <w:tcBorders>
              <w:top w:val="single" w:sz="4" w:space="0" w:color="auto"/>
              <w:left w:val="single" w:sz="4" w:space="0" w:color="auto"/>
              <w:bottom w:val="single" w:sz="4" w:space="0" w:color="auto"/>
              <w:right w:val="nil"/>
            </w:tcBorders>
            <w:hideMark/>
          </w:tcPr>
          <w:p w14:paraId="61F8B5D0" w14:textId="77777777" w:rsidR="00985B87" w:rsidRDefault="00944B8F" w:rsidP="009217A8">
            <w:pPr>
              <w:pStyle w:val="EMEANormal"/>
              <w:keepNext/>
              <w:rPr>
                <w:b/>
                <w:lang w:val="en-GB"/>
              </w:rPr>
            </w:pPr>
            <w:r>
              <w:rPr>
                <w:b/>
                <w:lang w:val="en-GB"/>
              </w:rPr>
              <w:t>STEP 5</w:t>
            </w:r>
          </w:p>
          <w:p w14:paraId="1D63D7F0" w14:textId="77777777" w:rsidR="00985B87" w:rsidRDefault="00944B8F" w:rsidP="009217A8">
            <w:pPr>
              <w:pStyle w:val="EMEANormal"/>
              <w:keepNext/>
              <w:rPr>
                <w:lang w:val="en-GB"/>
              </w:rPr>
            </w:pPr>
            <w:r>
              <w:rPr>
                <w:noProof/>
              </w:rPr>
              <w:drawing>
                <wp:inline distT="0" distB="0" distL="0" distR="0" wp14:anchorId="3291B364" wp14:editId="1A9BCFE8">
                  <wp:extent cx="1995170" cy="1971040"/>
                  <wp:effectExtent l="0" t="0" r="5080" b="0"/>
                  <wp:docPr id="15" name="Picture 15"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7" descr="STEP_5_SYRINGE_IFU_FILLING_grey"/>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995170" cy="1971040"/>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14:paraId="1A5FD0D5" w14:textId="77777777" w:rsidR="00985B87" w:rsidRDefault="00944B8F" w:rsidP="00701CAA">
            <w:pPr>
              <w:pStyle w:val="EMEANormal"/>
              <w:tabs>
                <w:tab w:val="left" w:pos="0"/>
              </w:tabs>
              <w:rPr>
                <w:szCs w:val="22"/>
                <w:lang w:val="en-GB"/>
              </w:rPr>
            </w:pPr>
            <w:r>
              <w:rPr>
                <w:lang w:val="en-GB"/>
              </w:rPr>
              <w:t xml:space="preserve">Hold the pre-filled syringe with the needle </w:t>
            </w:r>
            <w:r>
              <w:rPr>
                <w:szCs w:val="22"/>
                <w:lang w:val="en-GB"/>
              </w:rPr>
              <w:t>facing up.</w:t>
            </w:r>
          </w:p>
          <w:p w14:paraId="68DB2928" w14:textId="77777777" w:rsidR="00985B87" w:rsidRDefault="00985B87" w:rsidP="00701CAA">
            <w:pPr>
              <w:pStyle w:val="EMEANormal"/>
              <w:tabs>
                <w:tab w:val="left" w:pos="0"/>
              </w:tabs>
              <w:rPr>
                <w:szCs w:val="22"/>
                <w:lang w:val="en-GB"/>
              </w:rPr>
            </w:pPr>
          </w:p>
          <w:p w14:paraId="3AC6E30F" w14:textId="77777777" w:rsidR="00985B87" w:rsidRDefault="00944B8F" w:rsidP="00F421D6">
            <w:pPr>
              <w:pStyle w:val="EMEABullet2"/>
              <w:numPr>
                <w:ilvl w:val="0"/>
                <w:numId w:val="119"/>
              </w:numPr>
              <w:tabs>
                <w:tab w:val="clear" w:pos="567"/>
                <w:tab w:val="clear" w:pos="690"/>
                <w:tab w:val="num" w:pos="792"/>
              </w:tabs>
              <w:ind w:left="792"/>
              <w:rPr>
                <w:lang w:val="en-GB"/>
              </w:rPr>
            </w:pPr>
            <w:r>
              <w:rPr>
                <w:lang w:val="en-GB"/>
              </w:rPr>
              <w:t>Hold the pre-filled syringe at eye level with one hand so you can see the air in the pre-filled syringe</w:t>
            </w:r>
          </w:p>
          <w:p w14:paraId="7B019621" w14:textId="77777777" w:rsidR="00985B87" w:rsidRDefault="00985B87" w:rsidP="00701CAA">
            <w:pPr>
              <w:pStyle w:val="EMEANormal"/>
              <w:rPr>
                <w:lang w:val="en-GB"/>
              </w:rPr>
            </w:pPr>
          </w:p>
          <w:p w14:paraId="06E96E79" w14:textId="77777777" w:rsidR="00985B87" w:rsidRDefault="00944B8F" w:rsidP="00701CAA">
            <w:pPr>
              <w:pStyle w:val="EMEANormal"/>
              <w:rPr>
                <w:szCs w:val="22"/>
                <w:lang w:val="en-GB"/>
              </w:rPr>
            </w:pPr>
            <w:r>
              <w:rPr>
                <w:szCs w:val="22"/>
                <w:lang w:val="en-GB"/>
              </w:rPr>
              <w:t xml:space="preserve">Slowly push the plunger in to push the air out through the needle. </w:t>
            </w:r>
          </w:p>
          <w:p w14:paraId="443FBC72" w14:textId="77777777" w:rsidR="00985B87" w:rsidRDefault="00985B87" w:rsidP="00701CAA">
            <w:pPr>
              <w:pStyle w:val="EMEANormal"/>
              <w:rPr>
                <w:szCs w:val="22"/>
                <w:lang w:val="en-GB"/>
              </w:rPr>
            </w:pPr>
          </w:p>
          <w:p w14:paraId="5C2D4CDC" w14:textId="77777777" w:rsidR="00985B87" w:rsidRDefault="00944B8F" w:rsidP="00F421D6">
            <w:pPr>
              <w:pStyle w:val="EMEABullet2"/>
              <w:numPr>
                <w:ilvl w:val="0"/>
                <w:numId w:val="119"/>
              </w:numPr>
              <w:tabs>
                <w:tab w:val="clear" w:pos="567"/>
                <w:tab w:val="clear" w:pos="690"/>
                <w:tab w:val="num" w:pos="792"/>
              </w:tabs>
              <w:ind w:left="792"/>
              <w:rPr>
                <w:lang w:val="en-GB"/>
              </w:rPr>
            </w:pPr>
            <w:r>
              <w:rPr>
                <w:lang w:val="en-GB"/>
              </w:rPr>
              <w:t>It is normal to see a drop of liquid at the end of the needle</w:t>
            </w:r>
          </w:p>
          <w:p w14:paraId="50EA7FE5" w14:textId="77777777" w:rsidR="00985B87" w:rsidRDefault="00985B87" w:rsidP="00701CAA">
            <w:pPr>
              <w:pStyle w:val="EMEANormal"/>
              <w:rPr>
                <w:lang w:val="en-GB"/>
              </w:rPr>
            </w:pPr>
          </w:p>
        </w:tc>
      </w:tr>
      <w:tr w:rsidR="00C6578C" w14:paraId="6BB56F01" w14:textId="77777777" w:rsidTr="00701CAA">
        <w:tc>
          <w:tcPr>
            <w:tcW w:w="3708" w:type="dxa"/>
            <w:tcBorders>
              <w:top w:val="single" w:sz="4" w:space="0" w:color="auto"/>
              <w:left w:val="single" w:sz="4" w:space="0" w:color="auto"/>
              <w:bottom w:val="single" w:sz="4" w:space="0" w:color="auto"/>
              <w:right w:val="nil"/>
            </w:tcBorders>
            <w:hideMark/>
          </w:tcPr>
          <w:p w14:paraId="62FACB85" w14:textId="77777777" w:rsidR="00985B87" w:rsidRDefault="00944B8F" w:rsidP="00701CAA">
            <w:pPr>
              <w:pStyle w:val="EMEANormal"/>
              <w:rPr>
                <w:b/>
                <w:lang w:val="en-GB"/>
              </w:rPr>
            </w:pPr>
            <w:r>
              <w:br w:type="page"/>
            </w:r>
            <w:r>
              <w:rPr>
                <w:b/>
                <w:lang w:val="en-GB"/>
              </w:rPr>
              <w:t>STEP 6</w:t>
            </w:r>
          </w:p>
          <w:p w14:paraId="4A5E897A" w14:textId="77777777" w:rsidR="00985B87" w:rsidRDefault="00944B8F" w:rsidP="00701CAA">
            <w:pPr>
              <w:pStyle w:val="EMEANormal"/>
              <w:spacing w:before="100" w:beforeAutospacing="1" w:after="100" w:afterAutospacing="1"/>
              <w:rPr>
                <w:b/>
                <w:lang w:val="en-GB"/>
              </w:rPr>
            </w:pPr>
            <w:r>
              <w:rPr>
                <w:noProof/>
              </w:rPr>
              <w:lastRenderedPageBreak/>
              <w:drawing>
                <wp:inline distT="0" distB="0" distL="0" distR="0" wp14:anchorId="6683C32E" wp14:editId="67E3BBFC">
                  <wp:extent cx="2244725" cy="2137410"/>
                  <wp:effectExtent l="0" t="0" r="3175" b="0"/>
                  <wp:docPr id="14" name="Picture 14"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8" descr="STEP_6_SYRINGE_IFU_PRE-INJECTION_grey"/>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2244725" cy="2137410"/>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14:paraId="27CCF732" w14:textId="77777777" w:rsidR="00985B87" w:rsidRDefault="00944B8F" w:rsidP="00701CAA">
            <w:pPr>
              <w:rPr>
                <w:szCs w:val="22"/>
              </w:rPr>
            </w:pPr>
            <w:r>
              <w:rPr>
                <w:szCs w:val="22"/>
              </w:rPr>
              <w:lastRenderedPageBreak/>
              <w:t>Hold the body of the pre-filled syringe in one hand between the thumb and index fingers, like you would a pencil.</w:t>
            </w:r>
          </w:p>
          <w:p w14:paraId="7D3405E3" w14:textId="77777777" w:rsidR="00985B87" w:rsidRDefault="00985B87" w:rsidP="00701CAA">
            <w:pPr>
              <w:rPr>
                <w:szCs w:val="22"/>
              </w:rPr>
            </w:pPr>
          </w:p>
          <w:p w14:paraId="4FD2D5AB" w14:textId="77777777" w:rsidR="00985B87" w:rsidRDefault="00944B8F" w:rsidP="00701CAA">
            <w:pPr>
              <w:rPr>
                <w:szCs w:val="22"/>
              </w:rPr>
            </w:pPr>
            <w:r>
              <w:rPr>
                <w:szCs w:val="22"/>
              </w:rPr>
              <w:t>Squeeze the skin at your child’s injection site with your other hand to make a raised area and hold it firmly.</w:t>
            </w:r>
          </w:p>
          <w:p w14:paraId="665BD2DE" w14:textId="77777777" w:rsidR="00985B87" w:rsidRDefault="00985B87" w:rsidP="00701CAA">
            <w:pPr>
              <w:spacing w:before="100" w:beforeAutospacing="1" w:after="100" w:afterAutospacing="1"/>
            </w:pPr>
          </w:p>
        </w:tc>
      </w:tr>
      <w:tr w:rsidR="00C6578C" w14:paraId="269DBBFF" w14:textId="77777777" w:rsidTr="00701CAA">
        <w:tc>
          <w:tcPr>
            <w:tcW w:w="3708" w:type="dxa"/>
            <w:tcBorders>
              <w:top w:val="single" w:sz="4" w:space="0" w:color="auto"/>
              <w:left w:val="single" w:sz="4" w:space="0" w:color="auto"/>
              <w:bottom w:val="single" w:sz="4" w:space="0" w:color="auto"/>
              <w:right w:val="nil"/>
            </w:tcBorders>
            <w:hideMark/>
          </w:tcPr>
          <w:p w14:paraId="2A7069D5" w14:textId="77777777" w:rsidR="00985B87" w:rsidRDefault="00944B8F" w:rsidP="00701CAA">
            <w:pPr>
              <w:pStyle w:val="EMEANormal"/>
              <w:keepNext/>
              <w:rPr>
                <w:b/>
                <w:lang w:val="en-GB"/>
              </w:rPr>
            </w:pPr>
            <w:r>
              <w:rPr>
                <w:b/>
                <w:lang w:val="en-GB"/>
              </w:rPr>
              <w:lastRenderedPageBreak/>
              <w:t>STEP 7</w:t>
            </w:r>
          </w:p>
          <w:p w14:paraId="3598DC95" w14:textId="77777777" w:rsidR="00985B87" w:rsidRDefault="00944B8F" w:rsidP="00701CAA">
            <w:pPr>
              <w:pStyle w:val="EMEANormal"/>
              <w:keepNext/>
              <w:spacing w:before="100" w:beforeAutospacing="1" w:after="100" w:afterAutospacing="1"/>
              <w:ind w:left="-360"/>
              <w:rPr>
                <w:b/>
                <w:lang w:val="en-GB"/>
              </w:rPr>
            </w:pPr>
            <w:r>
              <w:rPr>
                <w:noProof/>
              </w:rPr>
              <w:drawing>
                <wp:inline distT="0" distB="0" distL="0" distR="0" wp14:anchorId="26AFB18D" wp14:editId="3D3B437E">
                  <wp:extent cx="2185035" cy="2672080"/>
                  <wp:effectExtent l="0" t="0" r="5715" b="0"/>
                  <wp:docPr id="13" name="Picture 13"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9" descr="STEP_7_SYRINGE_IFU_ABDOMEN-THIGH_grey"/>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2185035" cy="2672080"/>
                          </a:xfrm>
                          <a:prstGeom prst="rect">
                            <a:avLst/>
                          </a:prstGeom>
                          <a:noFill/>
                          <a:ln>
                            <a:noFill/>
                          </a:ln>
                        </pic:spPr>
                      </pic:pic>
                    </a:graphicData>
                  </a:graphic>
                </wp:inline>
              </w:drawing>
            </w:r>
          </w:p>
        </w:tc>
        <w:tc>
          <w:tcPr>
            <w:tcW w:w="5579" w:type="dxa"/>
            <w:tcBorders>
              <w:top w:val="single" w:sz="4" w:space="0" w:color="auto"/>
              <w:left w:val="nil"/>
              <w:bottom w:val="single" w:sz="4" w:space="0" w:color="auto"/>
              <w:right w:val="single" w:sz="4" w:space="0" w:color="auto"/>
            </w:tcBorders>
          </w:tcPr>
          <w:p w14:paraId="44530F8E" w14:textId="77777777" w:rsidR="00985B87" w:rsidRDefault="00944B8F" w:rsidP="00701CAA">
            <w:pPr>
              <w:keepNext/>
              <w:rPr>
                <w:szCs w:val="22"/>
              </w:rPr>
            </w:pPr>
            <w:r>
              <w:rPr>
                <w:szCs w:val="22"/>
              </w:rPr>
              <w:t>Insert the needle all the way into the skin at about a 45</w:t>
            </w:r>
            <w:r w:rsidR="00AA6375">
              <w:rPr>
                <w:szCs w:val="22"/>
              </w:rPr>
              <w:noBreakHyphen/>
            </w:r>
            <w:r>
              <w:rPr>
                <w:szCs w:val="22"/>
              </w:rPr>
              <w:t>degree angle with one quick, short motion.</w:t>
            </w:r>
          </w:p>
          <w:p w14:paraId="418882BE" w14:textId="77777777" w:rsidR="00985B87" w:rsidRDefault="00985B87" w:rsidP="00701CAA">
            <w:pPr>
              <w:keepNext/>
              <w:rPr>
                <w:szCs w:val="22"/>
              </w:rPr>
            </w:pPr>
          </w:p>
          <w:p w14:paraId="2D0C89CB" w14:textId="77777777" w:rsidR="00985B87" w:rsidRDefault="00944B8F" w:rsidP="00F421D6">
            <w:pPr>
              <w:keepNext/>
              <w:numPr>
                <w:ilvl w:val="0"/>
                <w:numId w:val="120"/>
              </w:numPr>
              <w:tabs>
                <w:tab w:val="clear" w:pos="562"/>
                <w:tab w:val="left" w:pos="792"/>
              </w:tabs>
              <w:ind w:left="792"/>
              <w:rPr>
                <w:szCs w:val="22"/>
              </w:rPr>
            </w:pPr>
            <w:r>
              <w:t>After the needle is in, let go of the skin you are holding</w:t>
            </w:r>
            <w:r>
              <w:rPr>
                <w:szCs w:val="22"/>
              </w:rPr>
              <w:t xml:space="preserve"> </w:t>
            </w:r>
          </w:p>
          <w:p w14:paraId="550EF142" w14:textId="77777777" w:rsidR="00985B87" w:rsidRDefault="00985B87" w:rsidP="00701CAA">
            <w:pPr>
              <w:keepNext/>
              <w:rPr>
                <w:szCs w:val="22"/>
              </w:rPr>
            </w:pPr>
          </w:p>
          <w:p w14:paraId="394A59E0" w14:textId="77777777" w:rsidR="00985B87" w:rsidRDefault="00944B8F" w:rsidP="00701CAA">
            <w:pPr>
              <w:keepNext/>
              <w:rPr>
                <w:szCs w:val="22"/>
              </w:rPr>
            </w:pPr>
            <w:r>
              <w:rPr>
                <w:szCs w:val="22"/>
              </w:rPr>
              <w:t>Slowly push the plunger all the way in until all of the liquid is injected and the pre-filled syringe is empty.</w:t>
            </w:r>
          </w:p>
          <w:p w14:paraId="7466CB9A" w14:textId="77777777" w:rsidR="00985B87" w:rsidRDefault="00985B87" w:rsidP="00701CAA">
            <w:pPr>
              <w:pStyle w:val="EMEANormal"/>
              <w:keepNext/>
              <w:rPr>
                <w:lang w:val="en-GB"/>
              </w:rPr>
            </w:pPr>
          </w:p>
        </w:tc>
      </w:tr>
      <w:tr w:rsidR="00C6578C" w14:paraId="192614D2" w14:textId="77777777" w:rsidTr="00701CAA">
        <w:tc>
          <w:tcPr>
            <w:tcW w:w="3708" w:type="dxa"/>
            <w:tcBorders>
              <w:top w:val="single" w:sz="4" w:space="0" w:color="auto"/>
              <w:left w:val="single" w:sz="4" w:space="0" w:color="auto"/>
              <w:bottom w:val="single" w:sz="4" w:space="0" w:color="auto"/>
              <w:right w:val="nil"/>
            </w:tcBorders>
            <w:hideMark/>
          </w:tcPr>
          <w:p w14:paraId="0C41F297" w14:textId="77777777" w:rsidR="00985B87" w:rsidRDefault="00944B8F" w:rsidP="00701CAA">
            <w:pPr>
              <w:pStyle w:val="EMEANormal"/>
              <w:rPr>
                <w:b/>
                <w:lang w:val="en-GB"/>
              </w:rPr>
            </w:pPr>
            <w:r>
              <w:rPr>
                <w:b/>
                <w:lang w:val="en-GB"/>
              </w:rPr>
              <w:t>STEP 8</w:t>
            </w:r>
          </w:p>
          <w:p w14:paraId="5904533C" w14:textId="77777777" w:rsidR="00A23F55" w:rsidRDefault="00944B8F" w:rsidP="009217A8">
            <w:pPr>
              <w:pStyle w:val="EMEANormal"/>
              <w:spacing w:before="100" w:beforeAutospacing="1"/>
              <w:rPr>
                <w:b/>
                <w:lang w:val="en-GB"/>
              </w:rPr>
            </w:pPr>
            <w:r>
              <w:rPr>
                <w:b/>
                <w:noProof/>
              </w:rPr>
              <w:drawing>
                <wp:inline distT="0" distB="0" distL="0" distR="0" wp14:anchorId="25990760" wp14:editId="7ABCB61A">
                  <wp:extent cx="1984248" cy="2093976"/>
                  <wp:effectExtent l="0" t="0" r="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TEP_8_SYRINGE_IFU_WITHDRAW_grey.REV 06Sep18.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84248" cy="2093976"/>
                          </a:xfrm>
                          <a:prstGeom prst="rect">
                            <a:avLst/>
                          </a:prstGeom>
                        </pic:spPr>
                      </pic:pic>
                    </a:graphicData>
                  </a:graphic>
                </wp:inline>
              </w:drawing>
            </w:r>
          </w:p>
          <w:p w14:paraId="15FA1079" w14:textId="77777777" w:rsidR="00A23F55" w:rsidRDefault="00944B8F" w:rsidP="009217A8">
            <w:pPr>
              <w:pStyle w:val="EMEANormal"/>
              <w:rPr>
                <w:b/>
                <w:lang w:val="en-GB"/>
              </w:rPr>
            </w:pPr>
            <w:r>
              <w:rPr>
                <w:b/>
                <w:lang w:val="en-GB"/>
              </w:rPr>
              <w:t xml:space="preserve">      </w:t>
            </w:r>
            <w:r w:rsidR="00B23E14">
              <w:rPr>
                <w:b/>
                <w:lang w:val="en-GB"/>
              </w:rPr>
              <w:t xml:space="preserve">        </w:t>
            </w:r>
            <w:r>
              <w:rPr>
                <w:b/>
                <w:lang w:val="en-GB"/>
              </w:rPr>
              <w:t>Cotton Ball</w:t>
            </w:r>
          </w:p>
        </w:tc>
        <w:tc>
          <w:tcPr>
            <w:tcW w:w="5579" w:type="dxa"/>
            <w:tcBorders>
              <w:top w:val="single" w:sz="4" w:space="0" w:color="auto"/>
              <w:left w:val="nil"/>
              <w:bottom w:val="single" w:sz="4" w:space="0" w:color="auto"/>
              <w:right w:val="single" w:sz="4" w:space="0" w:color="auto"/>
            </w:tcBorders>
          </w:tcPr>
          <w:p w14:paraId="3556A61C" w14:textId="77777777" w:rsidR="00985B87" w:rsidRDefault="00944B8F" w:rsidP="00701CAA">
            <w:pPr>
              <w:pStyle w:val="EMEANormal"/>
              <w:rPr>
                <w:lang w:val="en-GB"/>
              </w:rPr>
            </w:pPr>
            <w:r>
              <w:rPr>
                <w:lang w:val="en-GB"/>
              </w:rPr>
              <w:t>When the injection is completed, slowly pull the needle out of the skin while keeping the pre-filled syringe at the same angle.</w:t>
            </w:r>
          </w:p>
          <w:p w14:paraId="582F43D5" w14:textId="77777777" w:rsidR="00985B87" w:rsidRDefault="00985B87" w:rsidP="00701CAA">
            <w:pPr>
              <w:pStyle w:val="EMEANormal"/>
              <w:rPr>
                <w:lang w:val="en-GB"/>
              </w:rPr>
            </w:pPr>
          </w:p>
          <w:p w14:paraId="284A1D0B" w14:textId="77777777" w:rsidR="00985B87" w:rsidRDefault="00944B8F" w:rsidP="00701CAA">
            <w:pPr>
              <w:pStyle w:val="EMEANormal"/>
              <w:rPr>
                <w:lang w:val="en-GB"/>
              </w:rPr>
            </w:pPr>
            <w:r>
              <w:rPr>
                <w:lang w:val="en-GB"/>
              </w:rPr>
              <w:t>After completing the injection, place a cotton ball or gauze pad on the skin over the injection site.</w:t>
            </w:r>
          </w:p>
          <w:p w14:paraId="3E490098" w14:textId="77777777" w:rsidR="00985B87" w:rsidRDefault="00985B87" w:rsidP="00701CAA">
            <w:pPr>
              <w:pStyle w:val="EMEANormal"/>
              <w:rPr>
                <w:lang w:val="en-GB"/>
              </w:rPr>
            </w:pPr>
          </w:p>
          <w:p w14:paraId="11A899A5" w14:textId="77777777" w:rsidR="00985B87" w:rsidRDefault="00944B8F" w:rsidP="00F421D6">
            <w:pPr>
              <w:pStyle w:val="EMEABullet2"/>
              <w:numPr>
                <w:ilvl w:val="0"/>
                <w:numId w:val="119"/>
              </w:numPr>
              <w:tabs>
                <w:tab w:val="clear" w:pos="567"/>
                <w:tab w:val="clear" w:pos="690"/>
                <w:tab w:val="num" w:pos="900"/>
              </w:tabs>
              <w:ind w:left="900"/>
              <w:rPr>
                <w:lang w:val="en-GB"/>
              </w:rPr>
            </w:pPr>
            <w:r>
              <w:rPr>
                <w:b/>
                <w:lang w:val="en-GB"/>
              </w:rPr>
              <w:t>Do not</w:t>
            </w:r>
            <w:r>
              <w:rPr>
                <w:lang w:val="en-GB"/>
              </w:rPr>
              <w:t xml:space="preserve"> rub</w:t>
            </w:r>
          </w:p>
          <w:p w14:paraId="0C1AFAEE" w14:textId="77777777" w:rsidR="00985B87" w:rsidRDefault="00944B8F" w:rsidP="00F421D6">
            <w:pPr>
              <w:pStyle w:val="ListParagraph"/>
              <w:numPr>
                <w:ilvl w:val="0"/>
                <w:numId w:val="119"/>
              </w:numPr>
              <w:tabs>
                <w:tab w:val="clear" w:pos="562"/>
                <w:tab w:val="clear" w:pos="690"/>
                <w:tab w:val="num" w:pos="900"/>
              </w:tabs>
              <w:ind w:left="900"/>
              <w:contextualSpacing/>
            </w:pPr>
            <w:r>
              <w:t>Slight bleeding at the injection site is normal</w:t>
            </w:r>
          </w:p>
          <w:p w14:paraId="0219217B" w14:textId="77777777" w:rsidR="00985B87" w:rsidRDefault="00985B87" w:rsidP="00701CAA">
            <w:pPr>
              <w:pStyle w:val="EMEABullet2"/>
              <w:tabs>
                <w:tab w:val="clear" w:pos="567"/>
                <w:tab w:val="left" w:pos="720"/>
              </w:tabs>
              <w:rPr>
                <w:lang w:val="en-GB"/>
              </w:rPr>
            </w:pPr>
          </w:p>
        </w:tc>
      </w:tr>
    </w:tbl>
    <w:p w14:paraId="64F98B6A" w14:textId="77777777" w:rsidR="00985B87" w:rsidRDefault="00985B87" w:rsidP="00985B87">
      <w:pPr>
        <w:tabs>
          <w:tab w:val="clear" w:pos="562"/>
          <w:tab w:val="left" w:pos="742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6578C" w14:paraId="488C6E1C" w14:textId="77777777" w:rsidTr="00701CAA">
        <w:tc>
          <w:tcPr>
            <w:tcW w:w="9287" w:type="dxa"/>
            <w:tcBorders>
              <w:top w:val="single" w:sz="4" w:space="0" w:color="auto"/>
              <w:left w:val="single" w:sz="4" w:space="0" w:color="auto"/>
              <w:bottom w:val="single" w:sz="4" w:space="0" w:color="auto"/>
              <w:right w:val="single" w:sz="4" w:space="0" w:color="auto"/>
            </w:tcBorders>
          </w:tcPr>
          <w:p w14:paraId="54664B28" w14:textId="77777777" w:rsidR="00985B87" w:rsidRDefault="00944B8F" w:rsidP="00701CAA">
            <w:pPr>
              <w:keepNext/>
              <w:rPr>
                <w:b/>
              </w:rPr>
            </w:pPr>
            <w:r>
              <w:rPr>
                <w:b/>
              </w:rPr>
              <w:lastRenderedPageBreak/>
              <w:t>STEP 9</w:t>
            </w:r>
          </w:p>
          <w:p w14:paraId="735E1BB7" w14:textId="77777777" w:rsidR="00985B87" w:rsidRDefault="00985B87" w:rsidP="00701CAA">
            <w:pPr>
              <w:keepNext/>
              <w:rPr>
                <w:b/>
              </w:rPr>
            </w:pPr>
          </w:p>
          <w:p w14:paraId="7C5A21AE" w14:textId="77777777" w:rsidR="00985B87" w:rsidRDefault="00944B8F" w:rsidP="00701CAA">
            <w:pPr>
              <w:pStyle w:val="EMEAHeadingLeaflet"/>
              <w:keepNext/>
              <w:spacing w:beforeLines="0" w:afterLines="0"/>
              <w:rPr>
                <w:rFonts w:ascii="Times New Roman" w:hAnsi="Times New Roman"/>
                <w:b w:val="0"/>
                <w:lang w:val="en-GB"/>
              </w:rPr>
            </w:pPr>
            <w:r>
              <w:rPr>
                <w:rFonts w:ascii="Times New Roman" w:hAnsi="Times New Roman"/>
                <w:b w:val="0"/>
                <w:lang w:val="en-GB"/>
              </w:rPr>
              <w:t xml:space="preserve">Throw away the used pre-filled syringe in a special disposal container as instructed by your doctor, nurse or pharmacist. </w:t>
            </w:r>
            <w:r>
              <w:rPr>
                <w:rFonts w:ascii="Times New Roman" w:hAnsi="Times New Roman"/>
                <w:lang w:val="en-GB"/>
              </w:rPr>
              <w:t xml:space="preserve">Never </w:t>
            </w:r>
            <w:r>
              <w:rPr>
                <w:rFonts w:ascii="Times New Roman" w:hAnsi="Times New Roman"/>
                <w:b w:val="0"/>
                <w:lang w:val="en-GB"/>
              </w:rPr>
              <w:t>recap a needle.</w:t>
            </w:r>
          </w:p>
          <w:p w14:paraId="28CB0720" w14:textId="77777777" w:rsidR="00985B87" w:rsidRDefault="00985B87" w:rsidP="00701CAA">
            <w:pPr>
              <w:pStyle w:val="EMEANormal"/>
              <w:rPr>
                <w:lang w:val="en-GB"/>
              </w:rPr>
            </w:pPr>
          </w:p>
          <w:p w14:paraId="0FDD144B" w14:textId="77777777" w:rsidR="00985B87" w:rsidRDefault="00944B8F" w:rsidP="00F421D6">
            <w:pPr>
              <w:pStyle w:val="EMEAHeadingLeaflet"/>
              <w:keepNext/>
              <w:numPr>
                <w:ilvl w:val="0"/>
                <w:numId w:val="121"/>
              </w:numPr>
              <w:tabs>
                <w:tab w:val="clear" w:pos="562"/>
                <w:tab w:val="left" w:pos="720"/>
              </w:tabs>
              <w:spacing w:beforeLines="0" w:afterLines="0"/>
              <w:rPr>
                <w:rFonts w:ascii="Times New Roman" w:hAnsi="Times New Roman"/>
                <w:b w:val="0"/>
                <w:lang w:val="en-GB"/>
              </w:rPr>
            </w:pPr>
            <w:r>
              <w:rPr>
                <w:rFonts w:ascii="Times New Roman" w:hAnsi="Times New Roman"/>
                <w:lang w:val="en-GB"/>
              </w:rPr>
              <w:t>Do not</w:t>
            </w:r>
            <w:r>
              <w:rPr>
                <w:rFonts w:ascii="Times New Roman" w:hAnsi="Times New Roman"/>
                <w:b w:val="0"/>
                <w:lang w:val="en-GB"/>
              </w:rPr>
              <w:t xml:space="preserve"> recycle or throw the pre-filled syringe in the household waste</w:t>
            </w:r>
          </w:p>
          <w:p w14:paraId="2F604788" w14:textId="77777777" w:rsidR="00985B87" w:rsidRDefault="00944B8F" w:rsidP="00F421D6">
            <w:pPr>
              <w:pStyle w:val="EMEANormal"/>
              <w:keepNext/>
              <w:numPr>
                <w:ilvl w:val="0"/>
                <w:numId w:val="121"/>
              </w:numPr>
              <w:tabs>
                <w:tab w:val="clear" w:pos="562"/>
                <w:tab w:val="left" w:pos="720"/>
              </w:tabs>
              <w:rPr>
                <w:lang w:val="en-GB"/>
              </w:rPr>
            </w:pPr>
            <w:r>
              <w:rPr>
                <w:b/>
                <w:lang w:val="en-GB"/>
              </w:rPr>
              <w:t>Always</w:t>
            </w:r>
            <w:r>
              <w:rPr>
                <w:lang w:val="en-GB"/>
              </w:rPr>
              <w:t xml:space="preserve"> keep the pre-filled syringe and the special disposal container out of the sight and reach of children</w:t>
            </w:r>
          </w:p>
          <w:p w14:paraId="1BA4EE6C" w14:textId="77777777" w:rsidR="00985B87" w:rsidRDefault="00985B87" w:rsidP="00701CAA">
            <w:pPr>
              <w:pStyle w:val="EMEANormal"/>
              <w:keepNext/>
              <w:tabs>
                <w:tab w:val="clear" w:pos="562"/>
                <w:tab w:val="left" w:pos="720"/>
              </w:tabs>
              <w:ind w:left="720"/>
              <w:rPr>
                <w:lang w:val="en-GB"/>
              </w:rPr>
            </w:pPr>
          </w:p>
          <w:p w14:paraId="215B59B0" w14:textId="77777777" w:rsidR="00985B87" w:rsidRDefault="00944B8F" w:rsidP="00701CAA">
            <w:pPr>
              <w:pStyle w:val="EMEANormal"/>
              <w:keepNext/>
              <w:rPr>
                <w:lang w:val="en-GB"/>
              </w:rPr>
            </w:pPr>
            <w:r>
              <w:rPr>
                <w:szCs w:val="22"/>
                <w:lang w:val="en-GB"/>
              </w:rPr>
              <w:t>The needle cover, alcohol pad, cotton ball or gauze pad, blister and packaging may be put in your household waste.</w:t>
            </w:r>
          </w:p>
        </w:tc>
      </w:tr>
    </w:tbl>
    <w:p w14:paraId="4E68F25A" w14:textId="77777777" w:rsidR="00985B87" w:rsidRDefault="00944B8F">
      <w:pPr>
        <w:tabs>
          <w:tab w:val="clear" w:pos="562"/>
        </w:tabs>
        <w:suppressAutoHyphens w:val="0"/>
        <w:spacing w:after="200" w:line="276" w:lineRule="auto"/>
      </w:pPr>
      <w:r>
        <w:br w:type="page"/>
      </w:r>
    </w:p>
    <w:p w14:paraId="2B2639CB" w14:textId="77777777" w:rsidR="00BC0E7E" w:rsidRPr="00BC0E7E" w:rsidRDefault="00944B8F" w:rsidP="00985B87">
      <w:pPr>
        <w:numPr>
          <w:ilvl w:val="12"/>
          <w:numId w:val="0"/>
        </w:numPr>
        <w:tabs>
          <w:tab w:val="clear" w:pos="562"/>
        </w:tabs>
        <w:ind w:left="110" w:right="-2"/>
        <w:jc w:val="center"/>
        <w:rPr>
          <w:del w:id="9688" w:author="AbbVie19" w:date="2025-04-16T12:21:00Z"/>
          <w:b/>
        </w:rPr>
      </w:pPr>
      <w:del w:id="9689" w:author="AbbVie19" w:date="2025-04-16T12:21:00Z">
        <w:r w:rsidRPr="00BC0E7E">
          <w:rPr>
            <w:b/>
          </w:rPr>
          <w:lastRenderedPageBreak/>
          <w:delText>Package leaflet: Information for the patient</w:delText>
        </w:r>
      </w:del>
    </w:p>
    <w:p w14:paraId="7483E514" w14:textId="77777777" w:rsidR="00BC0E7E" w:rsidRPr="00BC0E7E" w:rsidRDefault="00BC0E7E" w:rsidP="00BC0E7E">
      <w:pPr>
        <w:tabs>
          <w:tab w:val="clear" w:pos="562"/>
        </w:tabs>
        <w:jc w:val="center"/>
        <w:rPr>
          <w:del w:id="9690" w:author="AbbVie19" w:date="2025-04-16T12:21:00Z"/>
        </w:rPr>
      </w:pPr>
    </w:p>
    <w:p w14:paraId="02F82349" w14:textId="77777777" w:rsidR="00BC0E7E" w:rsidRPr="00BC0E7E" w:rsidRDefault="00944B8F" w:rsidP="00BC0E7E">
      <w:pPr>
        <w:tabs>
          <w:tab w:val="clear" w:pos="562"/>
        </w:tabs>
        <w:jc w:val="center"/>
        <w:rPr>
          <w:del w:id="9691" w:author="AbbVie19" w:date="2025-04-16T12:21:00Z"/>
        </w:rPr>
      </w:pPr>
      <w:del w:id="9692" w:author="AbbVie19" w:date="2025-04-16T12:21:00Z">
        <w:r w:rsidRPr="00BC0E7E">
          <w:rPr>
            <w:b/>
            <w:bCs/>
          </w:rPr>
          <w:delText>Humira</w:delText>
        </w:r>
        <w:r w:rsidRPr="00BC0E7E">
          <w:rPr>
            <w:b/>
          </w:rPr>
          <w:delText xml:space="preserve"> 40 mg/0.8 ml solution for injection</w:delText>
        </w:r>
      </w:del>
    </w:p>
    <w:p w14:paraId="046E541B" w14:textId="77777777" w:rsidR="00BC0E7E" w:rsidRPr="00BC0E7E" w:rsidRDefault="00944B8F" w:rsidP="00BC0E7E">
      <w:pPr>
        <w:tabs>
          <w:tab w:val="clear" w:pos="562"/>
        </w:tabs>
        <w:jc w:val="center"/>
        <w:rPr>
          <w:del w:id="9693" w:author="AbbVie19" w:date="2025-04-16T12:21:00Z"/>
        </w:rPr>
      </w:pPr>
      <w:del w:id="9694" w:author="AbbVie19" w:date="2025-04-16T12:21:00Z">
        <w:r w:rsidRPr="00BC0E7E">
          <w:delText>adalimumab</w:delText>
        </w:r>
      </w:del>
    </w:p>
    <w:p w14:paraId="179D4636" w14:textId="77777777" w:rsidR="00BC0E7E" w:rsidRPr="00BC0E7E" w:rsidRDefault="00BC0E7E" w:rsidP="00BC0E7E">
      <w:pPr>
        <w:tabs>
          <w:tab w:val="clear" w:pos="562"/>
        </w:tabs>
        <w:jc w:val="center"/>
        <w:rPr>
          <w:del w:id="9695" w:author="AbbVie19" w:date="2025-04-16T12:21:00Z"/>
        </w:rPr>
      </w:pPr>
    </w:p>
    <w:p w14:paraId="079B4B25" w14:textId="77777777" w:rsidR="00BC0E7E" w:rsidRPr="00BC0E7E" w:rsidRDefault="00944B8F" w:rsidP="00BC0E7E">
      <w:pPr>
        <w:tabs>
          <w:tab w:val="clear" w:pos="562"/>
        </w:tabs>
        <w:ind w:right="-2"/>
        <w:rPr>
          <w:del w:id="9696" w:author="AbbVie19" w:date="2025-04-16T12:21:00Z"/>
        </w:rPr>
      </w:pPr>
      <w:del w:id="9697" w:author="AbbVie19" w:date="2025-04-16T12:21:00Z">
        <w:r w:rsidRPr="00BC0E7E">
          <w:rPr>
            <w:b/>
          </w:rPr>
          <w:delText>Read all of this leaflet carefully before your child starts using this medicine because it contains important information.</w:delText>
        </w:r>
      </w:del>
    </w:p>
    <w:p w14:paraId="6B9E843F" w14:textId="77777777" w:rsidR="00BC0E7E" w:rsidRPr="00BC0E7E" w:rsidRDefault="00944B8F" w:rsidP="00BC0E7E">
      <w:pPr>
        <w:numPr>
          <w:ilvl w:val="0"/>
          <w:numId w:val="15"/>
        </w:numPr>
        <w:rPr>
          <w:del w:id="9698" w:author="AbbVie19" w:date="2025-04-16T12:21:00Z"/>
          <w:szCs w:val="20"/>
        </w:rPr>
      </w:pPr>
      <w:del w:id="9699" w:author="AbbVie19" w:date="2025-04-16T12:21:00Z">
        <w:r w:rsidRPr="00BC0E7E">
          <w:rPr>
            <w:szCs w:val="20"/>
          </w:rPr>
          <w:delText>Keep this leaflet. You may need to read it again.</w:delText>
        </w:r>
      </w:del>
    </w:p>
    <w:p w14:paraId="3B44571E" w14:textId="77777777" w:rsidR="00BC0E7E" w:rsidRPr="00BC0E7E" w:rsidRDefault="00944B8F" w:rsidP="00BC0E7E">
      <w:pPr>
        <w:numPr>
          <w:ilvl w:val="0"/>
          <w:numId w:val="15"/>
        </w:numPr>
        <w:rPr>
          <w:del w:id="9700" w:author="AbbVie19" w:date="2025-04-16T12:21:00Z"/>
          <w:szCs w:val="20"/>
        </w:rPr>
      </w:pPr>
      <w:del w:id="9701" w:author="AbbVie19" w:date="2025-04-16T12:21:00Z">
        <w:r w:rsidRPr="00BC0E7E">
          <w:rPr>
            <w:szCs w:val="20"/>
          </w:rPr>
          <w:delText>Your doctor will also give you a</w:delText>
        </w:r>
        <w:r w:rsidR="00AE43DC">
          <w:rPr>
            <w:szCs w:val="20"/>
          </w:rPr>
          <w:delText xml:space="preserve"> </w:delText>
        </w:r>
        <w:r w:rsidR="002179FE" w:rsidRPr="002179FE">
          <w:rPr>
            <w:b/>
          </w:rPr>
          <w:delText>Patient Reminder Card</w:delText>
        </w:r>
        <w:r w:rsidRPr="00BC0E7E">
          <w:rPr>
            <w:szCs w:val="20"/>
          </w:rPr>
          <w:delText xml:space="preserve">, which contains important safety information that you need to be aware of before your child is given Humira and during treatment with Humira. Keep this </w:delText>
        </w:r>
        <w:r w:rsidR="00BF2AE5" w:rsidRPr="002179FE">
          <w:rPr>
            <w:b/>
          </w:rPr>
          <w:delText>Patient Reminder Card</w:delText>
        </w:r>
        <w:r w:rsidRPr="00BC0E7E">
          <w:rPr>
            <w:szCs w:val="20"/>
          </w:rPr>
          <w:delText xml:space="preserve"> with you or your child.</w:delText>
        </w:r>
      </w:del>
    </w:p>
    <w:p w14:paraId="47CEDD42" w14:textId="77777777" w:rsidR="00BC0E7E" w:rsidRPr="00BC0E7E" w:rsidRDefault="00944B8F" w:rsidP="00BC0E7E">
      <w:pPr>
        <w:numPr>
          <w:ilvl w:val="0"/>
          <w:numId w:val="15"/>
        </w:numPr>
        <w:rPr>
          <w:del w:id="9702" w:author="AbbVie19" w:date="2025-04-16T12:21:00Z"/>
          <w:szCs w:val="20"/>
        </w:rPr>
      </w:pPr>
      <w:del w:id="9703" w:author="AbbVie19" w:date="2025-04-16T12:21:00Z">
        <w:r w:rsidRPr="00BC0E7E">
          <w:rPr>
            <w:szCs w:val="20"/>
          </w:rPr>
          <w:delText>If you have any further questions, please ask your doctor or pharmacist.</w:delText>
        </w:r>
      </w:del>
    </w:p>
    <w:p w14:paraId="660B1221" w14:textId="77777777" w:rsidR="00BC0E7E" w:rsidRPr="00BC0E7E" w:rsidRDefault="00944B8F" w:rsidP="00BC0E7E">
      <w:pPr>
        <w:numPr>
          <w:ilvl w:val="0"/>
          <w:numId w:val="15"/>
        </w:numPr>
        <w:rPr>
          <w:del w:id="9704" w:author="AbbVie19" w:date="2025-04-16T12:21:00Z"/>
          <w:b/>
          <w:szCs w:val="20"/>
        </w:rPr>
      </w:pPr>
      <w:del w:id="9705" w:author="AbbVie19" w:date="2025-04-16T12:21:00Z">
        <w:r w:rsidRPr="00BC0E7E">
          <w:rPr>
            <w:szCs w:val="20"/>
          </w:rPr>
          <w:delText>This medicine has been prescribed for your child only. Do not pass it on to others. It may harm them, even if their signs of illness are the same as your child's.</w:delText>
        </w:r>
      </w:del>
    </w:p>
    <w:p w14:paraId="51C35E12" w14:textId="77777777" w:rsidR="00BC0E7E" w:rsidRPr="00BC0E7E" w:rsidRDefault="00944B8F" w:rsidP="00BC0E7E">
      <w:pPr>
        <w:numPr>
          <w:ilvl w:val="0"/>
          <w:numId w:val="15"/>
        </w:numPr>
        <w:rPr>
          <w:del w:id="9706" w:author="AbbVie19" w:date="2025-04-16T12:21:00Z"/>
          <w:b/>
          <w:szCs w:val="20"/>
        </w:rPr>
      </w:pPr>
      <w:del w:id="9707" w:author="AbbVie19" w:date="2025-04-16T12:21:00Z">
        <w:r w:rsidRPr="00BC0E7E">
          <w:rPr>
            <w:szCs w:val="20"/>
          </w:rPr>
          <w:delText>If your child gets any side effects, talk to your child’s doctor or pharmacist. This includes any possible side effects not listed in this leaflet (see section 4).</w:delText>
        </w:r>
      </w:del>
    </w:p>
    <w:p w14:paraId="4EFCA976" w14:textId="77777777" w:rsidR="00BC0E7E" w:rsidRPr="00BC0E7E" w:rsidRDefault="00BC0E7E" w:rsidP="00BC0E7E">
      <w:pPr>
        <w:numPr>
          <w:ilvl w:val="12"/>
          <w:numId w:val="0"/>
        </w:numPr>
        <w:tabs>
          <w:tab w:val="clear" w:pos="562"/>
        </w:tabs>
        <w:ind w:right="-2"/>
        <w:rPr>
          <w:del w:id="9708" w:author="AbbVie19" w:date="2025-04-16T12:21:00Z"/>
          <w:szCs w:val="20"/>
        </w:rPr>
      </w:pPr>
    </w:p>
    <w:p w14:paraId="4DFDF44D" w14:textId="77777777" w:rsidR="00BC0E7E" w:rsidRPr="00BC0E7E" w:rsidRDefault="00944B8F" w:rsidP="00BC0E7E">
      <w:pPr>
        <w:numPr>
          <w:ilvl w:val="12"/>
          <w:numId w:val="0"/>
        </w:numPr>
        <w:tabs>
          <w:tab w:val="clear" w:pos="562"/>
        </w:tabs>
        <w:ind w:right="-2"/>
        <w:rPr>
          <w:del w:id="9709" w:author="AbbVie19" w:date="2025-04-16T12:21:00Z"/>
        </w:rPr>
      </w:pPr>
      <w:del w:id="9710" w:author="AbbVie19" w:date="2025-04-16T12:21:00Z">
        <w:r w:rsidRPr="00BC0E7E">
          <w:rPr>
            <w:b/>
          </w:rPr>
          <w:delText>What is in this leaflet</w:delText>
        </w:r>
      </w:del>
    </w:p>
    <w:p w14:paraId="2291FF0C" w14:textId="77777777" w:rsidR="00BC0E7E" w:rsidRPr="00BC0E7E" w:rsidRDefault="00944B8F" w:rsidP="00BC0E7E">
      <w:pPr>
        <w:tabs>
          <w:tab w:val="clear" w:pos="562"/>
        </w:tabs>
        <w:ind w:left="567" w:right="-29" w:hanging="567"/>
        <w:rPr>
          <w:del w:id="9711" w:author="AbbVie19" w:date="2025-04-16T12:21:00Z"/>
        </w:rPr>
      </w:pPr>
      <w:del w:id="9712" w:author="AbbVie19" w:date="2025-04-16T12:21:00Z">
        <w:r w:rsidRPr="00BC0E7E">
          <w:delText>1.</w:delText>
        </w:r>
        <w:r w:rsidRPr="00BC0E7E">
          <w:tab/>
          <w:delText>What Humira is and what it is used for</w:delText>
        </w:r>
      </w:del>
    </w:p>
    <w:p w14:paraId="55F2375D" w14:textId="77777777" w:rsidR="00BC0E7E" w:rsidRPr="00BC0E7E" w:rsidRDefault="00944B8F" w:rsidP="00BC0E7E">
      <w:pPr>
        <w:tabs>
          <w:tab w:val="clear" w:pos="562"/>
        </w:tabs>
        <w:ind w:left="567" w:right="-29" w:hanging="567"/>
        <w:rPr>
          <w:del w:id="9713" w:author="AbbVie19" w:date="2025-04-16T12:21:00Z"/>
        </w:rPr>
      </w:pPr>
      <w:del w:id="9714" w:author="AbbVie19" w:date="2025-04-16T12:21:00Z">
        <w:r w:rsidRPr="00BC0E7E">
          <w:delText>2.</w:delText>
        </w:r>
        <w:r w:rsidRPr="00BC0E7E">
          <w:tab/>
          <w:delText>What you need to know before your child uses Humira</w:delText>
        </w:r>
      </w:del>
    </w:p>
    <w:p w14:paraId="4842D9FB" w14:textId="77777777" w:rsidR="00BC0E7E" w:rsidRPr="00BC0E7E" w:rsidRDefault="00944B8F" w:rsidP="00BC0E7E">
      <w:pPr>
        <w:tabs>
          <w:tab w:val="clear" w:pos="562"/>
        </w:tabs>
        <w:ind w:left="567" w:right="-29" w:hanging="567"/>
        <w:rPr>
          <w:del w:id="9715" w:author="AbbVie19" w:date="2025-04-16T12:21:00Z"/>
        </w:rPr>
      </w:pPr>
      <w:del w:id="9716" w:author="AbbVie19" w:date="2025-04-16T12:21:00Z">
        <w:r w:rsidRPr="00BC0E7E">
          <w:delText>3.</w:delText>
        </w:r>
        <w:r w:rsidRPr="00BC0E7E">
          <w:tab/>
          <w:delText>How to use Humira</w:delText>
        </w:r>
      </w:del>
    </w:p>
    <w:p w14:paraId="47B13AF0" w14:textId="77777777" w:rsidR="00BC0E7E" w:rsidRPr="00BC0E7E" w:rsidRDefault="00944B8F" w:rsidP="00BC0E7E">
      <w:pPr>
        <w:tabs>
          <w:tab w:val="clear" w:pos="562"/>
        </w:tabs>
        <w:ind w:left="567" w:right="-29" w:hanging="567"/>
        <w:rPr>
          <w:del w:id="9717" w:author="AbbVie19" w:date="2025-04-16T12:21:00Z"/>
        </w:rPr>
      </w:pPr>
      <w:del w:id="9718" w:author="AbbVie19" w:date="2025-04-16T12:21:00Z">
        <w:r w:rsidRPr="00BC0E7E">
          <w:delText>4.</w:delText>
        </w:r>
        <w:r w:rsidRPr="00BC0E7E">
          <w:tab/>
          <w:delText>Possible side effects</w:delText>
        </w:r>
      </w:del>
    </w:p>
    <w:p w14:paraId="752EF156" w14:textId="77777777" w:rsidR="00BC0E7E" w:rsidRPr="00BC0E7E" w:rsidRDefault="00944B8F" w:rsidP="00BC0E7E">
      <w:pPr>
        <w:tabs>
          <w:tab w:val="clear" w:pos="562"/>
        </w:tabs>
        <w:ind w:left="567" w:right="-29" w:hanging="567"/>
        <w:rPr>
          <w:del w:id="9719" w:author="AbbVie19" w:date="2025-04-16T12:21:00Z"/>
        </w:rPr>
      </w:pPr>
      <w:del w:id="9720" w:author="AbbVie19" w:date="2025-04-16T12:21:00Z">
        <w:r w:rsidRPr="00BC0E7E">
          <w:delText>5.</w:delText>
        </w:r>
        <w:r w:rsidRPr="00BC0E7E">
          <w:tab/>
          <w:delText>How to store Humira</w:delText>
        </w:r>
      </w:del>
    </w:p>
    <w:p w14:paraId="24ED5C84" w14:textId="77777777" w:rsidR="00BC0E7E" w:rsidRPr="00BC0E7E" w:rsidRDefault="00944B8F" w:rsidP="00BC0E7E">
      <w:pPr>
        <w:tabs>
          <w:tab w:val="clear" w:pos="562"/>
        </w:tabs>
        <w:ind w:left="567" w:right="-29" w:hanging="567"/>
        <w:rPr>
          <w:del w:id="9721" w:author="AbbVie19" w:date="2025-04-16T12:21:00Z"/>
        </w:rPr>
      </w:pPr>
      <w:del w:id="9722" w:author="AbbVie19" w:date="2025-04-16T12:21:00Z">
        <w:r w:rsidRPr="00BC0E7E">
          <w:delText>6.</w:delText>
        </w:r>
        <w:r w:rsidRPr="00BC0E7E">
          <w:tab/>
          <w:delText>Contents of the pack and other information</w:delText>
        </w:r>
      </w:del>
    </w:p>
    <w:p w14:paraId="4102F990" w14:textId="77777777" w:rsidR="00BC0E7E" w:rsidRPr="00BC0E7E" w:rsidRDefault="00BC0E7E" w:rsidP="00BC0E7E">
      <w:pPr>
        <w:tabs>
          <w:tab w:val="clear" w:pos="562"/>
        </w:tabs>
        <w:ind w:left="567" w:right="-29" w:hanging="567"/>
        <w:rPr>
          <w:del w:id="9723" w:author="AbbVie19" w:date="2025-04-16T12:21:00Z"/>
        </w:rPr>
      </w:pPr>
    </w:p>
    <w:p w14:paraId="2A2CD956" w14:textId="77777777" w:rsidR="00BC0E7E" w:rsidRPr="00BC0E7E" w:rsidRDefault="00BC0E7E" w:rsidP="00BC0E7E">
      <w:pPr>
        <w:tabs>
          <w:tab w:val="clear" w:pos="562"/>
        </w:tabs>
        <w:ind w:left="567" w:right="-29" w:hanging="567"/>
        <w:rPr>
          <w:del w:id="9724" w:author="AbbVie19" w:date="2025-04-16T12:21:00Z"/>
        </w:rPr>
      </w:pPr>
    </w:p>
    <w:p w14:paraId="159A91C9" w14:textId="77777777" w:rsidR="00BC0E7E" w:rsidRPr="00BC0E7E" w:rsidRDefault="00944B8F" w:rsidP="00BC0E7E">
      <w:pPr>
        <w:outlineLvl w:val="0"/>
        <w:rPr>
          <w:del w:id="9725" w:author="AbbVie19" w:date="2025-04-16T12:21:00Z"/>
          <w:rFonts w:ascii="Times New Roman Bold" w:hAnsi="Times New Roman Bold"/>
          <w:b/>
          <w:szCs w:val="20"/>
        </w:rPr>
      </w:pPr>
      <w:del w:id="9726" w:author="AbbVie19" w:date="2025-04-16T12:21:00Z">
        <w:r w:rsidRPr="00BC0E7E">
          <w:rPr>
            <w:b/>
            <w:caps/>
            <w:szCs w:val="20"/>
          </w:rPr>
          <w:delText>1.</w:delText>
        </w:r>
        <w:r w:rsidRPr="00BC0E7E">
          <w:rPr>
            <w:b/>
            <w:caps/>
            <w:szCs w:val="20"/>
          </w:rPr>
          <w:tab/>
          <w:delText>W</w:delText>
        </w:r>
        <w:r w:rsidRPr="00BC0E7E">
          <w:rPr>
            <w:rFonts w:ascii="Times New Roman Bold" w:hAnsi="Times New Roman Bold"/>
            <w:b/>
            <w:szCs w:val="20"/>
          </w:rPr>
          <w:delText>hat Humira is and what it is used for</w:delText>
        </w:r>
      </w:del>
    </w:p>
    <w:p w14:paraId="65D781D1" w14:textId="77777777" w:rsidR="00A354EF" w:rsidRDefault="00944B8F" w:rsidP="00A354EF">
      <w:pPr>
        <w:rPr>
          <w:del w:id="9727" w:author="AbbVie19" w:date="2025-04-16T12:21:00Z"/>
        </w:rPr>
      </w:pPr>
      <w:del w:id="9728" w:author="AbbVie19" w:date="2025-04-16T12:21:00Z">
        <w:r>
          <w:delText>Humira contains the active substance adalimumab.</w:delText>
        </w:r>
      </w:del>
    </w:p>
    <w:p w14:paraId="179C18CD" w14:textId="77777777" w:rsidR="00A354EF" w:rsidRDefault="00A354EF" w:rsidP="00A354EF">
      <w:pPr>
        <w:rPr>
          <w:del w:id="9729" w:author="AbbVie19" w:date="2025-04-16T12:21:00Z"/>
        </w:rPr>
      </w:pPr>
    </w:p>
    <w:p w14:paraId="5A703D33" w14:textId="77777777" w:rsidR="00A354EF" w:rsidRDefault="00944B8F" w:rsidP="00A354EF">
      <w:pPr>
        <w:rPr>
          <w:del w:id="9730" w:author="AbbVie19" w:date="2025-04-16T12:21:00Z"/>
        </w:rPr>
      </w:pPr>
      <w:del w:id="9731" w:author="AbbVie19" w:date="2025-04-16T12:21:00Z">
        <w:r>
          <w:delText xml:space="preserve">Humira is </w:delText>
        </w:r>
        <w:r w:rsidRPr="00ED237F">
          <w:rPr>
            <w:noProof/>
            <w:color w:val="000000"/>
            <w:szCs w:val="22"/>
          </w:rPr>
          <w:delText xml:space="preserve">intended for </w:delText>
        </w:r>
        <w:r>
          <w:rPr>
            <w:noProof/>
            <w:color w:val="000000"/>
            <w:szCs w:val="22"/>
          </w:rPr>
          <w:delText xml:space="preserve">the </w:delText>
        </w:r>
        <w:r w:rsidRPr="00ED237F">
          <w:rPr>
            <w:noProof/>
            <w:color w:val="000000"/>
            <w:szCs w:val="22"/>
          </w:rPr>
          <w:delText>treatment of</w:delText>
        </w:r>
        <w:r>
          <w:rPr>
            <w:noProof/>
            <w:color w:val="000000"/>
            <w:szCs w:val="22"/>
          </w:rPr>
          <w:delText xml:space="preserve"> the inflammatory diseases described below:</w:delText>
        </w:r>
      </w:del>
    </w:p>
    <w:p w14:paraId="1EE8A75E" w14:textId="77777777" w:rsidR="00A354EF" w:rsidRDefault="00944B8F" w:rsidP="00F421D6">
      <w:pPr>
        <w:numPr>
          <w:ilvl w:val="0"/>
          <w:numId w:val="97"/>
        </w:numPr>
        <w:tabs>
          <w:tab w:val="clear" w:pos="562"/>
          <w:tab w:val="left" w:pos="720"/>
        </w:tabs>
        <w:rPr>
          <w:del w:id="9732" w:author="AbbVie19" w:date="2025-04-16T12:21:00Z"/>
        </w:rPr>
      </w:pPr>
      <w:del w:id="9733" w:author="AbbVie19" w:date="2025-04-16T12:21:00Z">
        <w:r>
          <w:delText>Polyarticular juvenile idiopathic arthritis</w:delText>
        </w:r>
      </w:del>
    </w:p>
    <w:p w14:paraId="5E6992D2" w14:textId="77777777" w:rsidR="00A354EF" w:rsidRDefault="00944B8F" w:rsidP="00F421D6">
      <w:pPr>
        <w:numPr>
          <w:ilvl w:val="0"/>
          <w:numId w:val="97"/>
        </w:numPr>
        <w:tabs>
          <w:tab w:val="clear" w:pos="562"/>
          <w:tab w:val="left" w:pos="720"/>
        </w:tabs>
        <w:rPr>
          <w:del w:id="9734" w:author="AbbVie19" w:date="2025-04-16T12:21:00Z"/>
        </w:rPr>
      </w:pPr>
      <w:del w:id="9735" w:author="AbbVie19" w:date="2025-04-16T12:21:00Z">
        <w:r>
          <w:delText>Enthesitis-related arthritis</w:delText>
        </w:r>
      </w:del>
    </w:p>
    <w:p w14:paraId="13325BAE" w14:textId="77777777" w:rsidR="00A354EF" w:rsidRDefault="00944B8F" w:rsidP="00F421D6">
      <w:pPr>
        <w:numPr>
          <w:ilvl w:val="0"/>
          <w:numId w:val="97"/>
        </w:numPr>
        <w:tabs>
          <w:tab w:val="clear" w:pos="562"/>
          <w:tab w:val="left" w:pos="720"/>
        </w:tabs>
        <w:rPr>
          <w:del w:id="9736" w:author="AbbVie19" w:date="2025-04-16T12:21:00Z"/>
        </w:rPr>
      </w:pPr>
      <w:del w:id="9737" w:author="AbbVie19" w:date="2025-04-16T12:21:00Z">
        <w:r>
          <w:delText>Paediatric plaque psoriasis</w:delText>
        </w:r>
      </w:del>
    </w:p>
    <w:p w14:paraId="0DF3F071" w14:textId="77777777" w:rsidR="00A354EF" w:rsidRDefault="00944B8F" w:rsidP="00F421D6">
      <w:pPr>
        <w:numPr>
          <w:ilvl w:val="0"/>
          <w:numId w:val="97"/>
        </w:numPr>
        <w:tabs>
          <w:tab w:val="clear" w:pos="562"/>
          <w:tab w:val="left" w:pos="720"/>
        </w:tabs>
        <w:rPr>
          <w:del w:id="9738" w:author="AbbVie19" w:date="2025-04-16T12:21:00Z"/>
        </w:rPr>
      </w:pPr>
      <w:del w:id="9739" w:author="AbbVie19" w:date="2025-04-16T12:21:00Z">
        <w:r w:rsidRPr="00A354EF">
          <w:delText>Adolescent hidradenitis suppurativa</w:delText>
        </w:r>
      </w:del>
    </w:p>
    <w:p w14:paraId="625BC470" w14:textId="77777777" w:rsidR="00A354EF" w:rsidRDefault="00944B8F" w:rsidP="00F421D6">
      <w:pPr>
        <w:numPr>
          <w:ilvl w:val="0"/>
          <w:numId w:val="97"/>
        </w:numPr>
        <w:tabs>
          <w:tab w:val="clear" w:pos="562"/>
          <w:tab w:val="left" w:pos="720"/>
        </w:tabs>
        <w:rPr>
          <w:del w:id="9740" w:author="AbbVie19" w:date="2025-04-16T12:21:00Z"/>
        </w:rPr>
      </w:pPr>
      <w:del w:id="9741" w:author="AbbVie19" w:date="2025-04-16T12:21:00Z">
        <w:r>
          <w:delText>Paediatric Crohn’s disease</w:delText>
        </w:r>
      </w:del>
    </w:p>
    <w:p w14:paraId="758BEF06" w14:textId="77777777" w:rsidR="00E33755" w:rsidRDefault="00944B8F" w:rsidP="00E33755">
      <w:pPr>
        <w:numPr>
          <w:ilvl w:val="0"/>
          <w:numId w:val="97"/>
        </w:numPr>
        <w:tabs>
          <w:tab w:val="clear" w:pos="562"/>
          <w:tab w:val="left" w:pos="720"/>
        </w:tabs>
        <w:rPr>
          <w:del w:id="9742" w:author="AbbVie19" w:date="2025-04-16T12:21:00Z"/>
        </w:rPr>
      </w:pPr>
      <w:del w:id="9743" w:author="AbbVie19" w:date="2025-04-16T12:21:00Z">
        <w:r>
          <w:delText>Paediatric ulcerative coli</w:delText>
        </w:r>
        <w:r w:rsidR="008E0240">
          <w:delText>tis</w:delText>
        </w:r>
      </w:del>
    </w:p>
    <w:p w14:paraId="145DC06E" w14:textId="77777777" w:rsidR="00A354EF" w:rsidRDefault="00944B8F" w:rsidP="00F421D6">
      <w:pPr>
        <w:numPr>
          <w:ilvl w:val="0"/>
          <w:numId w:val="97"/>
        </w:numPr>
        <w:tabs>
          <w:tab w:val="clear" w:pos="562"/>
          <w:tab w:val="left" w:pos="720"/>
        </w:tabs>
        <w:rPr>
          <w:del w:id="9744" w:author="AbbVie19" w:date="2025-04-16T12:21:00Z"/>
        </w:rPr>
      </w:pPr>
      <w:del w:id="9745" w:author="AbbVie19" w:date="2025-04-16T12:21:00Z">
        <w:r>
          <w:delText>Paediatric uveitis</w:delText>
        </w:r>
      </w:del>
    </w:p>
    <w:p w14:paraId="6BABEA30" w14:textId="77777777" w:rsidR="00A354EF" w:rsidRDefault="00A354EF" w:rsidP="00A354EF">
      <w:pPr>
        <w:tabs>
          <w:tab w:val="clear" w:pos="562"/>
          <w:tab w:val="left" w:pos="720"/>
        </w:tabs>
        <w:ind w:left="720"/>
        <w:rPr>
          <w:del w:id="9746" w:author="AbbVie19" w:date="2025-04-16T12:21:00Z"/>
        </w:rPr>
      </w:pPr>
    </w:p>
    <w:p w14:paraId="3D44366A" w14:textId="77777777" w:rsidR="00A354EF" w:rsidRDefault="00944B8F" w:rsidP="00A354EF">
      <w:pPr>
        <w:keepLines/>
        <w:numPr>
          <w:ilvl w:val="12"/>
          <w:numId w:val="0"/>
        </w:numPr>
        <w:tabs>
          <w:tab w:val="clear" w:pos="562"/>
        </w:tabs>
        <w:ind w:right="-2"/>
        <w:rPr>
          <w:del w:id="9747" w:author="AbbVie19" w:date="2025-04-16T12:21:00Z"/>
          <w:noProof/>
          <w:color w:val="000000"/>
          <w:szCs w:val="22"/>
        </w:rPr>
      </w:pPr>
      <w:del w:id="9748" w:author="AbbVie19" w:date="2025-04-16T12:21:00Z">
        <w:r w:rsidRPr="00ED237F">
          <w:rPr>
            <w:noProof/>
            <w:color w:val="000000"/>
            <w:szCs w:val="22"/>
          </w:rPr>
          <w:delText>The active ingredient</w:delText>
        </w:r>
        <w:r>
          <w:rPr>
            <w:noProof/>
            <w:color w:val="000000"/>
            <w:szCs w:val="22"/>
          </w:rPr>
          <w:delText xml:space="preserve"> in Humira</w:delText>
        </w:r>
        <w:r w:rsidRPr="00ED237F">
          <w:rPr>
            <w:noProof/>
            <w:color w:val="000000"/>
            <w:szCs w:val="22"/>
          </w:rPr>
          <w:delText>, adalimumab, is a</w:delText>
        </w:r>
        <w:r>
          <w:rPr>
            <w:noProof/>
            <w:color w:val="000000"/>
            <w:szCs w:val="22"/>
          </w:rPr>
          <w:delText xml:space="preserve"> human</w:delText>
        </w:r>
        <w:r w:rsidRPr="00ED237F">
          <w:rPr>
            <w:noProof/>
            <w:color w:val="000000"/>
            <w:szCs w:val="22"/>
          </w:rPr>
          <w:delText xml:space="preserve"> monoclonal antibody. Monoclonal antibodies are proteins that </w:delText>
        </w:r>
        <w:r w:rsidRPr="00A7331B">
          <w:rPr>
            <w:noProof/>
            <w:color w:val="000000"/>
            <w:szCs w:val="22"/>
          </w:rPr>
          <w:delText>attach to a specific target</w:delText>
        </w:r>
        <w:r w:rsidRPr="00ED237F">
          <w:rPr>
            <w:noProof/>
            <w:color w:val="000000"/>
            <w:szCs w:val="22"/>
          </w:rPr>
          <w:delText>.</w:delText>
        </w:r>
      </w:del>
    </w:p>
    <w:p w14:paraId="7CE84776" w14:textId="77777777" w:rsidR="00A354EF" w:rsidRDefault="00A354EF" w:rsidP="00A354EF">
      <w:pPr>
        <w:keepLines/>
        <w:numPr>
          <w:ilvl w:val="12"/>
          <w:numId w:val="0"/>
        </w:numPr>
        <w:tabs>
          <w:tab w:val="clear" w:pos="562"/>
        </w:tabs>
        <w:ind w:right="-2"/>
        <w:rPr>
          <w:del w:id="9749" w:author="AbbVie19" w:date="2025-04-16T12:21:00Z"/>
          <w:noProof/>
          <w:color w:val="000000"/>
          <w:szCs w:val="22"/>
        </w:rPr>
      </w:pPr>
    </w:p>
    <w:p w14:paraId="760A7A97" w14:textId="77777777" w:rsidR="00A354EF" w:rsidRDefault="00944B8F" w:rsidP="00A354EF">
      <w:pPr>
        <w:rPr>
          <w:del w:id="9750" w:author="AbbVie19" w:date="2025-04-16T12:21:00Z"/>
          <w:noProof/>
          <w:color w:val="000000"/>
          <w:szCs w:val="22"/>
        </w:rPr>
      </w:pPr>
      <w:del w:id="9751" w:author="AbbVie19" w:date="2025-04-16T12:21:00Z">
        <w:r>
          <w:rPr>
            <w:noProof/>
            <w:color w:val="000000"/>
            <w:szCs w:val="22"/>
          </w:rPr>
          <w:delText>The target of</w:delText>
        </w:r>
        <w:r w:rsidRPr="00ED237F">
          <w:rPr>
            <w:noProof/>
            <w:color w:val="000000"/>
            <w:szCs w:val="22"/>
          </w:rPr>
          <w:delText xml:space="preserve"> </w:delText>
        </w:r>
        <w:r>
          <w:rPr>
            <w:noProof/>
            <w:color w:val="000000"/>
            <w:szCs w:val="22"/>
          </w:rPr>
          <w:delText>a</w:delText>
        </w:r>
        <w:r w:rsidRPr="00ED237F">
          <w:rPr>
            <w:noProof/>
            <w:color w:val="000000"/>
            <w:szCs w:val="22"/>
          </w:rPr>
          <w:delText xml:space="preserve">dalimumab </w:delText>
        </w:r>
        <w:r>
          <w:rPr>
            <w:noProof/>
            <w:color w:val="000000"/>
            <w:szCs w:val="22"/>
          </w:rPr>
          <w:delText>is a</w:delText>
        </w:r>
        <w:r w:rsidRPr="00ED237F">
          <w:rPr>
            <w:noProof/>
            <w:color w:val="000000"/>
            <w:szCs w:val="22"/>
          </w:rPr>
          <w:delText xml:space="preserve"> protein </w:delText>
        </w:r>
        <w:r>
          <w:rPr>
            <w:noProof/>
            <w:color w:val="000000"/>
            <w:szCs w:val="22"/>
          </w:rPr>
          <w:delText xml:space="preserve">called </w:delText>
        </w:r>
        <w:r w:rsidRPr="00ED237F">
          <w:rPr>
            <w:noProof/>
            <w:color w:val="000000"/>
            <w:szCs w:val="22"/>
          </w:rPr>
          <w:delText xml:space="preserve">tumour necrosis factor </w:delText>
        </w:r>
        <w:r>
          <w:rPr>
            <w:noProof/>
            <w:color w:val="000000"/>
            <w:szCs w:val="22"/>
          </w:rPr>
          <w:delText>(</w:delText>
        </w:r>
        <w:r w:rsidRPr="00ED237F">
          <w:rPr>
            <w:noProof/>
            <w:color w:val="000000"/>
            <w:szCs w:val="22"/>
          </w:rPr>
          <w:delText xml:space="preserve">TNFα), which </w:delText>
        </w:r>
        <w:r>
          <w:rPr>
            <w:noProof/>
            <w:color w:val="000000"/>
            <w:szCs w:val="22"/>
          </w:rPr>
          <w:delText xml:space="preserve">is involved in the immune (defence) system and </w:delText>
        </w:r>
        <w:r w:rsidRPr="00ED237F">
          <w:rPr>
            <w:noProof/>
            <w:color w:val="000000"/>
            <w:szCs w:val="22"/>
          </w:rPr>
          <w:delText xml:space="preserve">is present at increased levels in </w:delText>
        </w:r>
        <w:r>
          <w:rPr>
            <w:noProof/>
            <w:color w:val="000000"/>
            <w:szCs w:val="22"/>
          </w:rPr>
          <w:delText xml:space="preserve">the </w:delText>
        </w:r>
        <w:r w:rsidRPr="00ED237F">
          <w:rPr>
            <w:noProof/>
            <w:color w:val="000000"/>
            <w:szCs w:val="22"/>
          </w:rPr>
          <w:delText xml:space="preserve">inflammatory diseases </w:delText>
        </w:r>
        <w:r>
          <w:rPr>
            <w:noProof/>
            <w:color w:val="000000"/>
            <w:szCs w:val="22"/>
          </w:rPr>
          <w:delText>listed above</w:delText>
        </w:r>
        <w:r w:rsidRPr="00ED237F">
          <w:rPr>
            <w:noProof/>
            <w:color w:val="000000"/>
            <w:szCs w:val="22"/>
          </w:rPr>
          <w:delText>.</w:delText>
        </w:r>
        <w:r w:rsidRPr="00A7331B">
          <w:rPr>
            <w:noProof/>
            <w:color w:val="000000"/>
            <w:szCs w:val="22"/>
          </w:rPr>
          <w:delText xml:space="preserve"> </w:delText>
        </w:r>
        <w:r>
          <w:rPr>
            <w:noProof/>
            <w:color w:val="000000"/>
            <w:szCs w:val="22"/>
          </w:rPr>
          <w:delText xml:space="preserve">By attaching to </w:delText>
        </w:r>
        <w:r w:rsidRPr="00ED237F">
          <w:rPr>
            <w:noProof/>
            <w:color w:val="000000"/>
            <w:szCs w:val="22"/>
          </w:rPr>
          <w:delText>TNFα</w:delText>
        </w:r>
        <w:r>
          <w:rPr>
            <w:noProof/>
            <w:color w:val="000000"/>
            <w:szCs w:val="22"/>
          </w:rPr>
          <w:delText>, Humira decreases the process of inflammation in these diseases.</w:delText>
        </w:r>
      </w:del>
    </w:p>
    <w:p w14:paraId="0B0DF576" w14:textId="77777777" w:rsidR="00BC0E7E" w:rsidRPr="00BC0E7E" w:rsidRDefault="00BC0E7E" w:rsidP="00BC0E7E">
      <w:pPr>
        <w:numPr>
          <w:ilvl w:val="12"/>
          <w:numId w:val="0"/>
        </w:numPr>
        <w:tabs>
          <w:tab w:val="clear" w:pos="562"/>
        </w:tabs>
        <w:ind w:right="-2"/>
        <w:rPr>
          <w:del w:id="9752" w:author="AbbVie19" w:date="2025-04-16T12:21:00Z"/>
        </w:rPr>
      </w:pPr>
    </w:p>
    <w:p w14:paraId="318E540F" w14:textId="77777777" w:rsidR="00BC0E7E" w:rsidRPr="00BC0E7E" w:rsidRDefault="00944B8F" w:rsidP="00BC0E7E">
      <w:pPr>
        <w:rPr>
          <w:del w:id="9753" w:author="AbbVie19" w:date="2025-04-16T12:21:00Z"/>
          <w:szCs w:val="20"/>
          <w:u w:val="single"/>
        </w:rPr>
      </w:pPr>
      <w:del w:id="9754" w:author="AbbVie19" w:date="2025-04-16T12:21:00Z">
        <w:r w:rsidRPr="00BC0E7E">
          <w:rPr>
            <w:szCs w:val="20"/>
            <w:u w:val="single"/>
          </w:rPr>
          <w:delText>Polyarticular juvenile idiopathic arthritis and enthesitis-related arthritis</w:delText>
        </w:r>
      </w:del>
    </w:p>
    <w:p w14:paraId="3C3B9306" w14:textId="77777777" w:rsidR="00BC0E7E" w:rsidRPr="00BC0E7E" w:rsidRDefault="00BC0E7E" w:rsidP="00BC0E7E">
      <w:pPr>
        <w:rPr>
          <w:del w:id="9755" w:author="AbbVie19" w:date="2025-04-16T12:21:00Z"/>
          <w:szCs w:val="20"/>
        </w:rPr>
      </w:pPr>
    </w:p>
    <w:p w14:paraId="54842345" w14:textId="77777777" w:rsidR="00BC0E7E" w:rsidRPr="00BC0E7E" w:rsidRDefault="00944B8F" w:rsidP="00BC0E7E">
      <w:pPr>
        <w:rPr>
          <w:del w:id="9756" w:author="AbbVie19" w:date="2025-04-16T12:21:00Z"/>
          <w:szCs w:val="20"/>
        </w:rPr>
      </w:pPr>
      <w:del w:id="9757" w:author="AbbVie19" w:date="2025-04-16T12:21:00Z">
        <w:r w:rsidRPr="00BC0E7E">
          <w:rPr>
            <w:szCs w:val="20"/>
          </w:rPr>
          <w:delText>Polyarticular juvenile idiopathic arthritis and enthesitis-related arthritis are inflammatory diseases.</w:delText>
        </w:r>
      </w:del>
    </w:p>
    <w:p w14:paraId="6C4A02F4" w14:textId="77777777" w:rsidR="00BC0E7E" w:rsidRPr="00BC0E7E" w:rsidRDefault="00BC0E7E" w:rsidP="00BC0E7E">
      <w:pPr>
        <w:numPr>
          <w:ilvl w:val="12"/>
          <w:numId w:val="0"/>
        </w:numPr>
        <w:tabs>
          <w:tab w:val="clear" w:pos="562"/>
        </w:tabs>
        <w:ind w:right="-2"/>
        <w:rPr>
          <w:del w:id="9758" w:author="AbbVie19" w:date="2025-04-16T12:21:00Z"/>
        </w:rPr>
      </w:pPr>
    </w:p>
    <w:p w14:paraId="6E603244" w14:textId="77777777" w:rsidR="00BC0E7E" w:rsidRPr="00BC0E7E" w:rsidRDefault="00944B8F" w:rsidP="00BC0E7E">
      <w:pPr>
        <w:numPr>
          <w:ilvl w:val="12"/>
          <w:numId w:val="0"/>
        </w:numPr>
        <w:tabs>
          <w:tab w:val="clear" w:pos="562"/>
        </w:tabs>
        <w:ind w:right="-2"/>
        <w:rPr>
          <w:del w:id="9759" w:author="AbbVie19" w:date="2025-04-16T12:21:00Z"/>
        </w:rPr>
      </w:pPr>
      <w:del w:id="9760" w:author="AbbVie19" w:date="2025-04-16T12:21:00Z">
        <w:r w:rsidRPr="00BC0E7E">
          <w:delText xml:space="preserve">Humira is used to treat polyarticular juvenile idiopathic arthritis and enthesitis-related arthritis. </w:delText>
        </w:r>
        <w:r w:rsidR="00F96AB6">
          <w:delText>Your child</w:delText>
        </w:r>
        <w:r w:rsidR="00F96AB6" w:rsidRPr="00BC0E7E">
          <w:delText xml:space="preserve"> </w:delText>
        </w:r>
        <w:r w:rsidRPr="00BC0E7E">
          <w:delText xml:space="preserve">may first be given other disease-modifying medicines, such as methotrexate. </w:delText>
        </w:r>
        <w:r w:rsidR="000E128F" w:rsidRPr="00ED237F">
          <w:rPr>
            <w:noProof/>
            <w:color w:val="000000"/>
            <w:szCs w:val="22"/>
          </w:rPr>
          <w:delText xml:space="preserve">If </w:delText>
        </w:r>
        <w:r w:rsidR="000E128F">
          <w:rPr>
            <w:noProof/>
            <w:color w:val="000000"/>
            <w:szCs w:val="22"/>
          </w:rPr>
          <w:delText>these medicines</w:delText>
        </w:r>
        <w:r w:rsidR="000E128F" w:rsidRPr="00ED237F">
          <w:rPr>
            <w:noProof/>
            <w:color w:val="000000"/>
            <w:szCs w:val="22"/>
          </w:rPr>
          <w:delText xml:space="preserve"> do not </w:delText>
        </w:r>
        <w:r w:rsidR="000E128F">
          <w:rPr>
            <w:noProof/>
            <w:color w:val="000000"/>
            <w:szCs w:val="22"/>
          </w:rPr>
          <w:lastRenderedPageBreak/>
          <w:delText>work</w:delText>
        </w:r>
        <w:r w:rsidR="000E128F" w:rsidRPr="00ED237F">
          <w:rPr>
            <w:noProof/>
            <w:color w:val="000000"/>
            <w:szCs w:val="22"/>
          </w:rPr>
          <w:delText xml:space="preserve"> well enough, </w:delText>
        </w:r>
        <w:r w:rsidR="00F96AB6">
          <w:rPr>
            <w:noProof/>
            <w:color w:val="000000"/>
            <w:szCs w:val="22"/>
          </w:rPr>
          <w:delText>y</w:delText>
        </w:r>
        <w:r w:rsidR="00F96AB6">
          <w:delText>our child</w:delText>
        </w:r>
        <w:r w:rsidR="00F96AB6" w:rsidRPr="00ED237F">
          <w:rPr>
            <w:noProof/>
            <w:color w:val="000000"/>
            <w:szCs w:val="22"/>
          </w:rPr>
          <w:delText xml:space="preserve"> </w:delText>
        </w:r>
        <w:r w:rsidR="000E128F" w:rsidRPr="00ED237F">
          <w:rPr>
            <w:noProof/>
            <w:color w:val="000000"/>
            <w:szCs w:val="22"/>
          </w:rPr>
          <w:delText xml:space="preserve">will be given </w:delText>
        </w:r>
        <w:r w:rsidR="000E128F">
          <w:rPr>
            <w:noProof/>
            <w:color w:val="000000"/>
            <w:szCs w:val="22"/>
          </w:rPr>
          <w:delText>Humira</w:delText>
        </w:r>
        <w:r w:rsidR="000E128F" w:rsidRPr="00ED237F">
          <w:rPr>
            <w:noProof/>
            <w:color w:val="000000"/>
            <w:szCs w:val="22"/>
          </w:rPr>
          <w:delText xml:space="preserve"> to treat </w:delText>
        </w:r>
        <w:r w:rsidR="00F96AB6">
          <w:delText xml:space="preserve">his/her </w:delText>
        </w:r>
        <w:r w:rsidRPr="00BC0E7E">
          <w:delText>polyarticular juvenile idiopathic arthritis or enthesitis-related arthritis.</w:delText>
        </w:r>
      </w:del>
    </w:p>
    <w:p w14:paraId="7B753CA2" w14:textId="77777777" w:rsidR="00BC0E7E" w:rsidRPr="00BC0E7E" w:rsidRDefault="00BC0E7E" w:rsidP="00BC0E7E">
      <w:pPr>
        <w:numPr>
          <w:ilvl w:val="12"/>
          <w:numId w:val="0"/>
        </w:numPr>
        <w:tabs>
          <w:tab w:val="clear" w:pos="562"/>
        </w:tabs>
        <w:ind w:right="-2"/>
        <w:rPr>
          <w:del w:id="9761" w:author="AbbVie19" w:date="2025-04-16T12:21:00Z"/>
        </w:rPr>
      </w:pPr>
    </w:p>
    <w:p w14:paraId="5BA3FC46" w14:textId="77777777" w:rsidR="00BC0E7E" w:rsidRPr="00BC0E7E" w:rsidRDefault="00944B8F" w:rsidP="00BC0E7E">
      <w:pPr>
        <w:keepNext/>
        <w:numPr>
          <w:ilvl w:val="12"/>
          <w:numId w:val="0"/>
        </w:numPr>
        <w:tabs>
          <w:tab w:val="clear" w:pos="562"/>
        </w:tabs>
        <w:rPr>
          <w:del w:id="9762" w:author="AbbVie19" w:date="2025-04-16T12:21:00Z"/>
          <w:u w:val="single"/>
        </w:rPr>
      </w:pPr>
      <w:del w:id="9763" w:author="AbbVie19" w:date="2025-04-16T12:21:00Z">
        <w:r w:rsidRPr="00BC0E7E">
          <w:rPr>
            <w:u w:val="single"/>
          </w:rPr>
          <w:delText>Paediatric plaque psoriasis</w:delText>
        </w:r>
      </w:del>
    </w:p>
    <w:p w14:paraId="3D11F926" w14:textId="77777777" w:rsidR="00BC0E7E" w:rsidRPr="00BC0E7E" w:rsidRDefault="00BC0E7E" w:rsidP="00BC0E7E">
      <w:pPr>
        <w:keepNext/>
        <w:numPr>
          <w:ilvl w:val="12"/>
          <w:numId w:val="0"/>
        </w:numPr>
        <w:tabs>
          <w:tab w:val="clear" w:pos="562"/>
        </w:tabs>
        <w:rPr>
          <w:del w:id="9764" w:author="AbbVie19" w:date="2025-04-16T12:21:00Z"/>
        </w:rPr>
      </w:pPr>
    </w:p>
    <w:p w14:paraId="758FF9F9" w14:textId="77777777" w:rsidR="00BC0E7E" w:rsidRPr="00BC0E7E" w:rsidRDefault="00944B8F" w:rsidP="00BC0E7E">
      <w:pPr>
        <w:keepNext/>
        <w:numPr>
          <w:ilvl w:val="12"/>
          <w:numId w:val="0"/>
        </w:numPr>
        <w:tabs>
          <w:tab w:val="clear" w:pos="562"/>
        </w:tabs>
        <w:rPr>
          <w:del w:id="9765" w:author="AbbVie19" w:date="2025-04-16T12:21:00Z"/>
        </w:rPr>
      </w:pPr>
      <w:del w:id="9766" w:author="AbbVie19" w:date="2025-04-16T12:21:00Z">
        <w:r w:rsidRPr="00BC0E7E">
          <w:delText xml:space="preserve">Plaque psoriasis is a skin condition that causes red, flaky, crusty patches of skin covered with silvery scales. </w:delText>
        </w:r>
        <w:r w:rsidR="000E128F" w:rsidRPr="000E128F">
          <w:delText>Plaque psoriasis can also affect the nails, causing them to crumble, become thickened and lift away from the nail bed which can be painful. Psoriasis is believed to be caused by a problem with the body’s immune system that leads to an increased production of skin cells.</w:delText>
        </w:r>
      </w:del>
    </w:p>
    <w:p w14:paraId="2F75B720" w14:textId="77777777" w:rsidR="00BC0E7E" w:rsidRPr="00BC0E7E" w:rsidRDefault="00BC0E7E" w:rsidP="00BC0E7E">
      <w:pPr>
        <w:keepNext/>
        <w:numPr>
          <w:ilvl w:val="12"/>
          <w:numId w:val="0"/>
        </w:numPr>
        <w:tabs>
          <w:tab w:val="clear" w:pos="562"/>
        </w:tabs>
        <w:rPr>
          <w:del w:id="9767" w:author="AbbVie19" w:date="2025-04-16T12:21:00Z"/>
        </w:rPr>
      </w:pPr>
    </w:p>
    <w:p w14:paraId="51FF0F3B" w14:textId="77777777" w:rsidR="00BC0E7E" w:rsidRPr="00BC0E7E" w:rsidRDefault="00944B8F" w:rsidP="00BC0E7E">
      <w:pPr>
        <w:numPr>
          <w:ilvl w:val="12"/>
          <w:numId w:val="0"/>
        </w:numPr>
        <w:tabs>
          <w:tab w:val="clear" w:pos="562"/>
        </w:tabs>
        <w:ind w:right="-2"/>
        <w:rPr>
          <w:del w:id="9768" w:author="AbbVie19" w:date="2025-04-16T12:21:00Z"/>
        </w:rPr>
      </w:pPr>
      <w:del w:id="9769" w:author="AbbVie19" w:date="2025-04-16T12:21:00Z">
        <w:r w:rsidRPr="00BC0E7E">
          <w:delText xml:space="preserve">Humira is used to treat severe plaque psoriasis in children and adolescents aged 4 to 17 years in whom topical therapy and phototherapies have either not worked very well or are not suitable.  </w:delText>
        </w:r>
      </w:del>
    </w:p>
    <w:p w14:paraId="40F824A6" w14:textId="77777777" w:rsidR="00BC0E7E" w:rsidRPr="00BC0E7E" w:rsidRDefault="00BC0E7E" w:rsidP="00BC0E7E">
      <w:pPr>
        <w:numPr>
          <w:ilvl w:val="12"/>
          <w:numId w:val="0"/>
        </w:numPr>
        <w:tabs>
          <w:tab w:val="clear" w:pos="562"/>
        </w:tabs>
        <w:ind w:right="-2"/>
        <w:rPr>
          <w:del w:id="9770" w:author="AbbVie19" w:date="2025-04-16T12:21:00Z"/>
        </w:rPr>
      </w:pPr>
    </w:p>
    <w:p w14:paraId="0AA2C275" w14:textId="77777777" w:rsidR="00BC0E7E" w:rsidRPr="00BC0E7E" w:rsidRDefault="00944B8F" w:rsidP="00BC0E7E">
      <w:pPr>
        <w:numPr>
          <w:ilvl w:val="12"/>
          <w:numId w:val="0"/>
        </w:numPr>
        <w:tabs>
          <w:tab w:val="clear" w:pos="562"/>
        </w:tabs>
        <w:ind w:right="-2"/>
        <w:rPr>
          <w:del w:id="9771" w:author="AbbVie19" w:date="2025-04-16T12:21:00Z"/>
          <w:u w:val="single"/>
        </w:rPr>
      </w:pPr>
      <w:del w:id="9772" w:author="AbbVie19" w:date="2025-04-16T12:21:00Z">
        <w:r w:rsidRPr="00BC0E7E">
          <w:rPr>
            <w:u w:val="single"/>
          </w:rPr>
          <w:delText>Adolescent hidradenitis suppurativa</w:delText>
        </w:r>
      </w:del>
    </w:p>
    <w:p w14:paraId="210AC74A" w14:textId="77777777" w:rsidR="00BC0E7E" w:rsidRPr="00BC0E7E" w:rsidRDefault="00BC0E7E" w:rsidP="00BC0E7E">
      <w:pPr>
        <w:numPr>
          <w:ilvl w:val="12"/>
          <w:numId w:val="0"/>
        </w:numPr>
        <w:tabs>
          <w:tab w:val="clear" w:pos="562"/>
        </w:tabs>
        <w:ind w:right="-2"/>
        <w:rPr>
          <w:del w:id="9773" w:author="AbbVie19" w:date="2025-04-16T12:21:00Z"/>
        </w:rPr>
      </w:pPr>
    </w:p>
    <w:p w14:paraId="358C31FB" w14:textId="77777777" w:rsidR="00BC0E7E" w:rsidRPr="00BC0E7E" w:rsidRDefault="00944B8F" w:rsidP="00BC0E7E">
      <w:pPr>
        <w:numPr>
          <w:ilvl w:val="12"/>
          <w:numId w:val="0"/>
        </w:numPr>
        <w:tabs>
          <w:tab w:val="clear" w:pos="562"/>
        </w:tabs>
        <w:ind w:right="-2"/>
        <w:rPr>
          <w:del w:id="9774" w:author="AbbVie19" w:date="2025-04-16T12:21:00Z"/>
        </w:rPr>
      </w:pPr>
      <w:del w:id="9775" w:author="AbbVie19" w:date="2025-04-16T12:21:00Z">
        <w:r w:rsidRPr="00BC0E7E">
          <w:delText xml:space="preserve">Hidradenitis suppurativa (sometimes called acne inversa) is a chronic and often painful inflammatory skin disease. Symptoms may include tender nodules (lumps) and abscesses (boils) that may leak pus. It most commonly affects specific areas of the skin, such as </w:delText>
        </w:r>
        <w:r>
          <w:fldChar w:fldCharType="begin"/>
        </w:r>
        <w:r>
          <w:delInstrText>HYPERLINK "http://en.wikipedia.org/wiki/Inframammary_fold"</w:delInstrText>
        </w:r>
        <w:r>
          <w:fldChar w:fldCharType="separate"/>
        </w:r>
        <w:r w:rsidRPr="00BC0E7E">
          <w:delText>under the breasts</w:delText>
        </w:r>
        <w:r>
          <w:fldChar w:fldCharType="end"/>
        </w:r>
        <w:r w:rsidRPr="00BC0E7E">
          <w:delText>, the armpits, inner thighs, groin and buttocks. Scarring may also occur in affected areas.</w:delText>
        </w:r>
      </w:del>
    </w:p>
    <w:p w14:paraId="5E664AB1" w14:textId="77777777" w:rsidR="00BC0E7E" w:rsidRPr="00BC0E7E" w:rsidRDefault="00BC0E7E" w:rsidP="00BC0E7E">
      <w:pPr>
        <w:numPr>
          <w:ilvl w:val="12"/>
          <w:numId w:val="0"/>
        </w:numPr>
        <w:tabs>
          <w:tab w:val="clear" w:pos="562"/>
        </w:tabs>
        <w:ind w:right="-2"/>
        <w:rPr>
          <w:del w:id="9776" w:author="AbbVie19" w:date="2025-04-16T12:21:00Z"/>
        </w:rPr>
      </w:pPr>
    </w:p>
    <w:p w14:paraId="154C4058" w14:textId="77777777" w:rsidR="00BC0E7E" w:rsidRPr="00BC0E7E" w:rsidRDefault="00944B8F" w:rsidP="00BC0E7E">
      <w:pPr>
        <w:numPr>
          <w:ilvl w:val="12"/>
          <w:numId w:val="0"/>
        </w:numPr>
        <w:tabs>
          <w:tab w:val="clear" w:pos="562"/>
        </w:tabs>
        <w:ind w:right="-2"/>
        <w:rPr>
          <w:del w:id="9777" w:author="AbbVie19" w:date="2025-04-16T12:21:00Z"/>
        </w:rPr>
      </w:pPr>
      <w:del w:id="9778" w:author="AbbVie19" w:date="2025-04-16T12:21:00Z">
        <w:r w:rsidRPr="00BC0E7E">
          <w:delText>Humira is used to treat hidradenitis suppurativa in adolescents from 12 years of age. Humira can reduce the number of nodules and abscesses you have and the pain that is often associated with the disease. You may first be given other medicines. If you do not respond well enough to these medicines, you will be given Humira.</w:delText>
        </w:r>
      </w:del>
    </w:p>
    <w:p w14:paraId="294D33DB" w14:textId="77777777" w:rsidR="00D5393E" w:rsidRDefault="00D5393E" w:rsidP="00D5393E">
      <w:pPr>
        <w:numPr>
          <w:ilvl w:val="12"/>
          <w:numId w:val="0"/>
        </w:numPr>
        <w:tabs>
          <w:tab w:val="clear" w:pos="562"/>
        </w:tabs>
        <w:ind w:right="-2"/>
        <w:rPr>
          <w:del w:id="9779" w:author="AbbVie19" w:date="2025-04-16T12:21:00Z"/>
        </w:rPr>
      </w:pPr>
    </w:p>
    <w:p w14:paraId="11CB21C4" w14:textId="77777777" w:rsidR="00D5393E" w:rsidRPr="002A3533" w:rsidRDefault="00944B8F" w:rsidP="00D5393E">
      <w:pPr>
        <w:pStyle w:val="BodyText"/>
        <w:rPr>
          <w:del w:id="9780" w:author="AbbVie19" w:date="2025-04-16T12:21:00Z"/>
          <w:sz w:val="22"/>
          <w:szCs w:val="22"/>
          <w:u w:val="single"/>
        </w:rPr>
      </w:pPr>
      <w:del w:id="9781" w:author="AbbVie19" w:date="2025-04-16T12:21:00Z">
        <w:r w:rsidRPr="002A3533">
          <w:rPr>
            <w:sz w:val="22"/>
            <w:szCs w:val="22"/>
            <w:u w:val="single"/>
          </w:rPr>
          <w:delText xml:space="preserve">Paediatric Crohn's disease </w:delText>
        </w:r>
      </w:del>
    </w:p>
    <w:p w14:paraId="38DB2170" w14:textId="77777777" w:rsidR="00D5393E" w:rsidRPr="002A3533" w:rsidRDefault="00D5393E" w:rsidP="00D5393E">
      <w:pPr>
        <w:pStyle w:val="EMEANormal"/>
        <w:rPr>
          <w:del w:id="9782" w:author="AbbVie19" w:date="2025-04-16T12:21:00Z"/>
          <w:lang w:val="en-GB"/>
        </w:rPr>
      </w:pPr>
    </w:p>
    <w:p w14:paraId="499E993B" w14:textId="77777777" w:rsidR="00BC0E7E" w:rsidRDefault="00944B8F" w:rsidP="000E128F">
      <w:pPr>
        <w:numPr>
          <w:ilvl w:val="12"/>
          <w:numId w:val="0"/>
        </w:numPr>
        <w:tabs>
          <w:tab w:val="clear" w:pos="562"/>
        </w:tabs>
        <w:ind w:right="-2"/>
        <w:rPr>
          <w:del w:id="9783" w:author="AbbVie19" w:date="2025-04-16T12:21:00Z"/>
          <w:noProof/>
          <w:color w:val="000000"/>
          <w:szCs w:val="22"/>
        </w:rPr>
      </w:pPr>
      <w:del w:id="9784" w:author="AbbVie19" w:date="2025-04-16T12:21:00Z">
        <w:r w:rsidRPr="002A3533">
          <w:delText xml:space="preserve">Crohn’s disease is an inflammatory disease of </w:delText>
        </w:r>
        <w:r>
          <w:delText xml:space="preserve">the digestive tract. </w:delText>
        </w:r>
        <w:r w:rsidRPr="002A3533">
          <w:delText>Humira is indicated for the treatment of Crohn's disease in children aged 6 to 17</w:delText>
        </w:r>
        <w:r w:rsidR="00CB62F0">
          <w:delText> </w:delText>
        </w:r>
        <w:r w:rsidRPr="002A3533">
          <w:delText xml:space="preserve">years. </w:delText>
        </w:r>
        <w:r w:rsidR="00F96AB6">
          <w:delText xml:space="preserve">Your child </w:delText>
        </w:r>
        <w:r w:rsidR="000E128F">
          <w:delText>may</w:delText>
        </w:r>
        <w:r w:rsidRPr="002A3533">
          <w:delText xml:space="preserve"> f</w:delText>
        </w:r>
        <w:r>
          <w:delText xml:space="preserve">irst be given other medicines. </w:delText>
        </w:r>
        <w:r w:rsidR="000E128F" w:rsidRPr="00ED237F">
          <w:rPr>
            <w:noProof/>
            <w:color w:val="000000"/>
            <w:szCs w:val="22"/>
          </w:rPr>
          <w:delText xml:space="preserve">If </w:delText>
        </w:r>
        <w:r w:rsidR="000E128F">
          <w:rPr>
            <w:noProof/>
            <w:color w:val="000000"/>
            <w:szCs w:val="22"/>
          </w:rPr>
          <w:delText>these medicines</w:delText>
        </w:r>
        <w:r w:rsidR="000E128F" w:rsidRPr="00ED237F">
          <w:rPr>
            <w:noProof/>
            <w:color w:val="000000"/>
            <w:szCs w:val="22"/>
          </w:rPr>
          <w:delText xml:space="preserve"> do not </w:delText>
        </w:r>
        <w:r w:rsidR="000E128F">
          <w:rPr>
            <w:noProof/>
            <w:color w:val="000000"/>
            <w:szCs w:val="22"/>
          </w:rPr>
          <w:delText>work</w:delText>
        </w:r>
        <w:r w:rsidR="000E128F" w:rsidRPr="00ED237F">
          <w:rPr>
            <w:noProof/>
            <w:color w:val="000000"/>
            <w:szCs w:val="22"/>
          </w:rPr>
          <w:delText xml:space="preserve"> well enough, </w:delText>
        </w:r>
        <w:r w:rsidR="00F96AB6">
          <w:delText>your child</w:delText>
        </w:r>
        <w:r w:rsidR="00F96AB6" w:rsidRPr="00ED237F">
          <w:rPr>
            <w:noProof/>
            <w:color w:val="000000"/>
            <w:szCs w:val="22"/>
          </w:rPr>
          <w:delText xml:space="preserve"> </w:delText>
        </w:r>
        <w:r w:rsidR="000E128F" w:rsidRPr="00ED237F">
          <w:rPr>
            <w:noProof/>
            <w:color w:val="000000"/>
            <w:szCs w:val="22"/>
          </w:rPr>
          <w:delText xml:space="preserve">will be given </w:delText>
        </w:r>
        <w:r w:rsidR="000E128F">
          <w:rPr>
            <w:noProof/>
            <w:color w:val="000000"/>
            <w:szCs w:val="22"/>
          </w:rPr>
          <w:delText>Humira</w:delText>
        </w:r>
        <w:r w:rsidR="000E128F" w:rsidRPr="00ED237F">
          <w:rPr>
            <w:noProof/>
            <w:color w:val="000000"/>
            <w:szCs w:val="22"/>
          </w:rPr>
          <w:delText xml:space="preserve"> to reduce the signs and symptoms of </w:delText>
        </w:r>
        <w:r w:rsidR="00F96AB6">
          <w:rPr>
            <w:noProof/>
            <w:color w:val="000000"/>
            <w:szCs w:val="22"/>
          </w:rPr>
          <w:delText xml:space="preserve">his/her </w:delText>
        </w:r>
        <w:r w:rsidR="000E128F" w:rsidRPr="00ED237F">
          <w:rPr>
            <w:noProof/>
            <w:color w:val="000000"/>
            <w:szCs w:val="22"/>
          </w:rPr>
          <w:delText>disease.</w:delText>
        </w:r>
      </w:del>
    </w:p>
    <w:p w14:paraId="64695A94" w14:textId="77777777" w:rsidR="000E128F" w:rsidRPr="00BC0E7E" w:rsidRDefault="000E128F" w:rsidP="000E128F">
      <w:pPr>
        <w:numPr>
          <w:ilvl w:val="12"/>
          <w:numId w:val="0"/>
        </w:numPr>
        <w:tabs>
          <w:tab w:val="clear" w:pos="562"/>
        </w:tabs>
        <w:ind w:right="-2"/>
        <w:rPr>
          <w:del w:id="9785" w:author="AbbVie19" w:date="2025-04-16T12:21:00Z"/>
          <w:u w:val="single"/>
        </w:rPr>
      </w:pPr>
    </w:p>
    <w:p w14:paraId="38C4BA0E" w14:textId="77777777" w:rsidR="0021375F" w:rsidRPr="002A3533" w:rsidRDefault="00944B8F" w:rsidP="0021375F">
      <w:pPr>
        <w:pStyle w:val="BodyText"/>
        <w:rPr>
          <w:del w:id="9786" w:author="AbbVie19" w:date="2025-04-16T12:21:00Z"/>
          <w:sz w:val="22"/>
          <w:szCs w:val="22"/>
          <w:u w:val="single"/>
        </w:rPr>
      </w:pPr>
      <w:del w:id="9787" w:author="AbbVie19" w:date="2025-04-16T12:21:00Z">
        <w:r w:rsidRPr="002A3533">
          <w:rPr>
            <w:sz w:val="22"/>
            <w:szCs w:val="22"/>
            <w:u w:val="single"/>
          </w:rPr>
          <w:delText xml:space="preserve">Paediatric </w:delText>
        </w:r>
        <w:r>
          <w:rPr>
            <w:sz w:val="22"/>
            <w:szCs w:val="22"/>
            <w:u w:val="single"/>
          </w:rPr>
          <w:delText>ulcerative colitis</w:delText>
        </w:r>
        <w:r w:rsidRPr="002A3533">
          <w:rPr>
            <w:sz w:val="22"/>
            <w:szCs w:val="22"/>
            <w:u w:val="single"/>
          </w:rPr>
          <w:delText xml:space="preserve"> </w:delText>
        </w:r>
      </w:del>
    </w:p>
    <w:p w14:paraId="6E228034" w14:textId="77777777" w:rsidR="00E30CE7" w:rsidRPr="00BC0E7E" w:rsidRDefault="00E30CE7" w:rsidP="00E30CE7">
      <w:pPr>
        <w:keepNext/>
        <w:rPr>
          <w:del w:id="9788" w:author="AbbVie19" w:date="2025-04-16T12:21:00Z"/>
          <w:szCs w:val="21"/>
        </w:rPr>
      </w:pPr>
    </w:p>
    <w:p w14:paraId="3C9D31EB" w14:textId="77777777" w:rsidR="005832CD" w:rsidRPr="00BC0E7E" w:rsidRDefault="00944B8F" w:rsidP="005832CD">
      <w:pPr>
        <w:rPr>
          <w:del w:id="9789" w:author="AbbVie19" w:date="2025-04-16T12:21:00Z"/>
          <w:szCs w:val="21"/>
        </w:rPr>
      </w:pPr>
      <w:del w:id="9790" w:author="AbbVie19" w:date="2025-04-16T12:21:00Z">
        <w:r w:rsidRPr="00BC0E7E">
          <w:rPr>
            <w:szCs w:val="21"/>
          </w:rPr>
          <w:delText xml:space="preserve">Ulcerative colitis is an inflammatory disease of the </w:delText>
        </w:r>
        <w:r w:rsidR="00B87123">
          <w:rPr>
            <w:szCs w:val="21"/>
          </w:rPr>
          <w:delText>large intestine</w:delText>
        </w:r>
        <w:r w:rsidRPr="00BC0E7E">
          <w:rPr>
            <w:szCs w:val="21"/>
          </w:rPr>
          <w:delText>.</w:delText>
        </w:r>
        <w:r>
          <w:rPr>
            <w:szCs w:val="21"/>
          </w:rPr>
          <w:delText xml:space="preserve"> </w:delText>
        </w:r>
        <w:r w:rsidRPr="00BC0E7E">
          <w:rPr>
            <w:szCs w:val="21"/>
          </w:rPr>
          <w:delText>Humira is used to treat</w:delText>
        </w:r>
        <w:r>
          <w:rPr>
            <w:szCs w:val="21"/>
          </w:rPr>
          <w:delText xml:space="preserve"> moderate to severe</w:delText>
        </w:r>
        <w:r w:rsidRPr="00BC0E7E">
          <w:rPr>
            <w:szCs w:val="21"/>
          </w:rPr>
          <w:delText xml:space="preserve"> ulcerative colitis in</w:delText>
        </w:r>
        <w:r>
          <w:rPr>
            <w:szCs w:val="21"/>
          </w:rPr>
          <w:delText xml:space="preserve"> children aged 6 to 17 years</w:delText>
        </w:r>
        <w:r w:rsidRPr="00BC0E7E">
          <w:rPr>
            <w:szCs w:val="21"/>
          </w:rPr>
          <w:delText xml:space="preserve">. </w:delText>
        </w:r>
        <w:r>
          <w:rPr>
            <w:szCs w:val="21"/>
          </w:rPr>
          <w:delText xml:space="preserve">Your child may first be given </w:delText>
        </w:r>
        <w:r w:rsidRPr="00BC0E7E">
          <w:rPr>
            <w:szCs w:val="21"/>
          </w:rPr>
          <w:delText xml:space="preserve">other medicines. If </w:delText>
        </w:r>
        <w:r>
          <w:rPr>
            <w:szCs w:val="21"/>
          </w:rPr>
          <w:delText xml:space="preserve">these medicines do not work </w:delText>
        </w:r>
        <w:r w:rsidRPr="00BC0E7E">
          <w:rPr>
            <w:szCs w:val="21"/>
          </w:rPr>
          <w:delText>well enoug</w:delText>
        </w:r>
        <w:r>
          <w:rPr>
            <w:szCs w:val="21"/>
          </w:rPr>
          <w:delText>h</w:delText>
        </w:r>
        <w:r w:rsidRPr="00BC0E7E">
          <w:rPr>
            <w:szCs w:val="21"/>
          </w:rPr>
          <w:delText>, you</w:delText>
        </w:r>
        <w:r>
          <w:rPr>
            <w:szCs w:val="21"/>
          </w:rPr>
          <w:delText xml:space="preserve">r child </w:delText>
        </w:r>
        <w:r w:rsidRPr="00BC0E7E">
          <w:rPr>
            <w:szCs w:val="21"/>
          </w:rPr>
          <w:delText xml:space="preserve">will be given Humira to reduce the signs and symptoms of </w:delText>
        </w:r>
        <w:r>
          <w:rPr>
            <w:szCs w:val="21"/>
          </w:rPr>
          <w:delText>his/her</w:delText>
        </w:r>
        <w:r w:rsidRPr="00BC0E7E">
          <w:rPr>
            <w:szCs w:val="21"/>
          </w:rPr>
          <w:delText xml:space="preserve"> disease.</w:delText>
        </w:r>
      </w:del>
    </w:p>
    <w:p w14:paraId="7590D4EB" w14:textId="77777777" w:rsidR="00E30CE7" w:rsidRDefault="00E30CE7" w:rsidP="00BC0E7E">
      <w:pPr>
        <w:keepNext/>
        <w:numPr>
          <w:ilvl w:val="12"/>
          <w:numId w:val="0"/>
        </w:numPr>
        <w:tabs>
          <w:tab w:val="clear" w:pos="562"/>
        </w:tabs>
        <w:rPr>
          <w:del w:id="9791" w:author="AbbVie19" w:date="2025-04-16T12:21:00Z"/>
          <w:u w:val="single"/>
        </w:rPr>
      </w:pPr>
    </w:p>
    <w:p w14:paraId="50451F53" w14:textId="77777777" w:rsidR="00BC0E7E" w:rsidRPr="00BC0E7E" w:rsidRDefault="00944B8F" w:rsidP="00BC0E7E">
      <w:pPr>
        <w:keepNext/>
        <w:numPr>
          <w:ilvl w:val="12"/>
          <w:numId w:val="0"/>
        </w:numPr>
        <w:tabs>
          <w:tab w:val="clear" w:pos="562"/>
        </w:tabs>
        <w:rPr>
          <w:del w:id="9792" w:author="AbbVie19" w:date="2025-04-16T12:21:00Z"/>
          <w:u w:val="single"/>
        </w:rPr>
      </w:pPr>
      <w:del w:id="9793" w:author="AbbVie19" w:date="2025-04-16T12:21:00Z">
        <w:r>
          <w:rPr>
            <w:u w:val="single"/>
          </w:rPr>
          <w:delText>Paediatric</w:delText>
        </w:r>
        <w:r w:rsidRPr="00BC0E7E">
          <w:rPr>
            <w:u w:val="single"/>
          </w:rPr>
          <w:delText xml:space="preserve"> uveitis</w:delText>
        </w:r>
      </w:del>
    </w:p>
    <w:p w14:paraId="06CF98FC" w14:textId="77777777" w:rsidR="00BC0E7E" w:rsidRPr="00BC0E7E" w:rsidRDefault="00BC0E7E" w:rsidP="00BC0E7E">
      <w:pPr>
        <w:numPr>
          <w:ilvl w:val="12"/>
          <w:numId w:val="0"/>
        </w:numPr>
        <w:tabs>
          <w:tab w:val="clear" w:pos="562"/>
        </w:tabs>
        <w:ind w:right="-2"/>
        <w:rPr>
          <w:del w:id="9794" w:author="AbbVie19" w:date="2025-04-16T12:21:00Z"/>
        </w:rPr>
      </w:pPr>
    </w:p>
    <w:p w14:paraId="652CA940" w14:textId="77777777" w:rsidR="00BC0E7E" w:rsidRPr="00BC0E7E" w:rsidRDefault="00944B8F" w:rsidP="00BC0E7E">
      <w:pPr>
        <w:numPr>
          <w:ilvl w:val="12"/>
          <w:numId w:val="0"/>
        </w:numPr>
        <w:tabs>
          <w:tab w:val="clear" w:pos="562"/>
        </w:tabs>
        <w:ind w:right="-2"/>
        <w:rPr>
          <w:del w:id="9795" w:author="AbbVie19" w:date="2025-04-16T12:21:00Z"/>
        </w:rPr>
      </w:pPr>
      <w:del w:id="9796" w:author="AbbVie19" w:date="2025-04-16T12:21:00Z">
        <w:r w:rsidRPr="00BC0E7E">
          <w:delText>Non-infectious uveitis is an inflammatory disease affecting certain parts of the eye.</w:delText>
        </w:r>
      </w:del>
    </w:p>
    <w:p w14:paraId="7D65F4CE" w14:textId="77777777" w:rsidR="00BC0E7E" w:rsidRPr="00BC0E7E" w:rsidRDefault="00BC0E7E" w:rsidP="00BC0E7E">
      <w:pPr>
        <w:numPr>
          <w:ilvl w:val="12"/>
          <w:numId w:val="0"/>
        </w:numPr>
        <w:tabs>
          <w:tab w:val="clear" w:pos="562"/>
        </w:tabs>
        <w:ind w:right="-2"/>
        <w:rPr>
          <w:del w:id="9797" w:author="AbbVie19" w:date="2025-04-16T12:21:00Z"/>
        </w:rPr>
      </w:pPr>
    </w:p>
    <w:p w14:paraId="4B6D8D01" w14:textId="77777777" w:rsidR="00BC0E7E" w:rsidRPr="00BC0E7E" w:rsidRDefault="00944B8F" w:rsidP="00BC0E7E">
      <w:pPr>
        <w:numPr>
          <w:ilvl w:val="12"/>
          <w:numId w:val="0"/>
        </w:numPr>
        <w:tabs>
          <w:tab w:val="clear" w:pos="562"/>
        </w:tabs>
        <w:ind w:right="-2"/>
        <w:rPr>
          <w:del w:id="9798" w:author="AbbVie19" w:date="2025-04-16T12:21:00Z"/>
        </w:rPr>
      </w:pPr>
      <w:del w:id="9799" w:author="AbbVie19" w:date="2025-04-16T12:21:00Z">
        <w:r w:rsidRPr="00BC0E7E">
          <w:delText>Humira is used to treat children from 2 years of age with chronic non-infectious uveitis with inflammation affecting the front of the eye. This inflammation may lead to a decrease of vision and/or the presence of floaters in the eye (black dots or wispy lines that move across the field of vision). Humira works by reducing this inflammation.</w:delText>
        </w:r>
      </w:del>
    </w:p>
    <w:p w14:paraId="44C7371B" w14:textId="77777777" w:rsidR="00BC0E7E" w:rsidRPr="00BC0E7E" w:rsidRDefault="00BC0E7E" w:rsidP="00BC0E7E">
      <w:pPr>
        <w:numPr>
          <w:ilvl w:val="12"/>
          <w:numId w:val="0"/>
        </w:numPr>
        <w:tabs>
          <w:tab w:val="clear" w:pos="562"/>
        </w:tabs>
        <w:ind w:right="-2"/>
        <w:rPr>
          <w:del w:id="9800" w:author="AbbVie19" w:date="2025-04-16T12:21:00Z"/>
        </w:rPr>
      </w:pPr>
    </w:p>
    <w:p w14:paraId="2999D52F" w14:textId="77777777" w:rsidR="00BC0E7E" w:rsidRPr="00BC0E7E" w:rsidRDefault="00BC0E7E" w:rsidP="00BC0E7E">
      <w:pPr>
        <w:numPr>
          <w:ilvl w:val="12"/>
          <w:numId w:val="0"/>
        </w:numPr>
        <w:tabs>
          <w:tab w:val="clear" w:pos="562"/>
        </w:tabs>
        <w:ind w:right="-2"/>
        <w:rPr>
          <w:del w:id="9801" w:author="AbbVie19" w:date="2025-04-16T12:21:00Z"/>
        </w:rPr>
      </w:pPr>
    </w:p>
    <w:p w14:paraId="0D9445C4" w14:textId="77777777" w:rsidR="00BC0E7E" w:rsidRPr="00BC0E7E" w:rsidRDefault="00944B8F" w:rsidP="00217DCA">
      <w:pPr>
        <w:keepNext/>
        <w:outlineLvl w:val="0"/>
        <w:rPr>
          <w:del w:id="9802" w:author="AbbVie19" w:date="2025-04-16T12:21:00Z"/>
          <w:rFonts w:ascii="Times New Roman Bold" w:hAnsi="Times New Roman Bold"/>
          <w:b/>
          <w:szCs w:val="20"/>
        </w:rPr>
      </w:pPr>
      <w:del w:id="9803" w:author="AbbVie19" w:date="2025-04-16T12:21:00Z">
        <w:r w:rsidRPr="00BC0E7E">
          <w:rPr>
            <w:b/>
            <w:caps/>
            <w:szCs w:val="20"/>
          </w:rPr>
          <w:lastRenderedPageBreak/>
          <w:delText>2.</w:delText>
        </w:r>
        <w:r w:rsidRPr="00BC0E7E">
          <w:rPr>
            <w:b/>
            <w:caps/>
            <w:szCs w:val="20"/>
          </w:rPr>
          <w:tab/>
        </w:r>
        <w:r w:rsidRPr="00BC0E7E">
          <w:rPr>
            <w:rFonts w:ascii="Times New Roman Bold" w:hAnsi="Times New Roman Bold"/>
            <w:b/>
            <w:szCs w:val="20"/>
          </w:rPr>
          <w:delText>What you need to know before your child uses Humira</w:delText>
        </w:r>
      </w:del>
    </w:p>
    <w:p w14:paraId="0C4533F1" w14:textId="77777777" w:rsidR="00BC0E7E" w:rsidRPr="00BC0E7E" w:rsidRDefault="00BC0E7E" w:rsidP="00217DCA">
      <w:pPr>
        <w:keepNext/>
        <w:rPr>
          <w:del w:id="9804" w:author="AbbVie19" w:date="2025-04-16T12:21:00Z"/>
          <w:szCs w:val="20"/>
        </w:rPr>
      </w:pPr>
    </w:p>
    <w:p w14:paraId="55E65FD1" w14:textId="77777777" w:rsidR="00BC0E7E" w:rsidRPr="00BC0E7E" w:rsidRDefault="00944B8F" w:rsidP="00217DCA">
      <w:pPr>
        <w:keepNext/>
        <w:rPr>
          <w:del w:id="9805" w:author="AbbVie19" w:date="2025-04-16T12:21:00Z"/>
          <w:szCs w:val="20"/>
        </w:rPr>
      </w:pPr>
      <w:del w:id="9806" w:author="AbbVie19" w:date="2025-04-16T12:21:00Z">
        <w:r w:rsidRPr="00BC0E7E">
          <w:rPr>
            <w:b/>
            <w:szCs w:val="20"/>
          </w:rPr>
          <w:delText>Do not use</w:delText>
        </w:r>
        <w:r w:rsidRPr="00BC0E7E">
          <w:rPr>
            <w:szCs w:val="20"/>
          </w:rPr>
          <w:delText xml:space="preserve"> </w:delText>
        </w:r>
        <w:r w:rsidRPr="00BC0E7E">
          <w:rPr>
            <w:b/>
            <w:bCs/>
            <w:szCs w:val="20"/>
          </w:rPr>
          <w:delText>Humira</w:delText>
        </w:r>
        <w:r w:rsidRPr="00BC0E7E">
          <w:rPr>
            <w:szCs w:val="20"/>
          </w:rPr>
          <w:delText xml:space="preserve"> </w:delText>
        </w:r>
      </w:del>
    </w:p>
    <w:p w14:paraId="01F6C8C5" w14:textId="77777777" w:rsidR="00BC0E7E" w:rsidRPr="00BC0E7E" w:rsidRDefault="00BC0E7E" w:rsidP="00217DCA">
      <w:pPr>
        <w:keepNext/>
        <w:rPr>
          <w:del w:id="9807" w:author="AbbVie19" w:date="2025-04-16T12:21:00Z"/>
          <w:szCs w:val="20"/>
        </w:rPr>
      </w:pPr>
    </w:p>
    <w:p w14:paraId="7380D9FF" w14:textId="77777777" w:rsidR="00BC0E7E" w:rsidRPr="00BC0E7E" w:rsidRDefault="00944B8F" w:rsidP="00217DCA">
      <w:pPr>
        <w:keepNext/>
        <w:numPr>
          <w:ilvl w:val="0"/>
          <w:numId w:val="56"/>
        </w:numPr>
        <w:tabs>
          <w:tab w:val="clear" w:pos="562"/>
          <w:tab w:val="left" w:pos="720"/>
        </w:tabs>
        <w:rPr>
          <w:del w:id="9808" w:author="AbbVie19" w:date="2025-04-16T12:21:00Z"/>
          <w:szCs w:val="20"/>
        </w:rPr>
      </w:pPr>
      <w:del w:id="9809" w:author="AbbVie19" w:date="2025-04-16T12:21:00Z">
        <w:r w:rsidRPr="00BC0E7E">
          <w:rPr>
            <w:szCs w:val="20"/>
          </w:rPr>
          <w:delText xml:space="preserve">If your child is allergic to adalimumab or any of the other ingredients of this medicine (listed in section 6). </w:delText>
        </w:r>
      </w:del>
    </w:p>
    <w:p w14:paraId="313800D4" w14:textId="77777777" w:rsidR="00BC0E7E" w:rsidRPr="00BC0E7E" w:rsidRDefault="00BC0E7E" w:rsidP="00BC0E7E">
      <w:pPr>
        <w:tabs>
          <w:tab w:val="clear" w:pos="562"/>
          <w:tab w:val="num" w:pos="550"/>
        </w:tabs>
        <w:ind w:left="550" w:hanging="550"/>
        <w:rPr>
          <w:del w:id="9810" w:author="AbbVie19" w:date="2025-04-16T12:21:00Z"/>
          <w:szCs w:val="20"/>
        </w:rPr>
      </w:pPr>
    </w:p>
    <w:p w14:paraId="4C8492DE" w14:textId="77777777" w:rsidR="00BC0E7E" w:rsidRPr="00BC0E7E" w:rsidRDefault="00944B8F" w:rsidP="00F421D6">
      <w:pPr>
        <w:numPr>
          <w:ilvl w:val="0"/>
          <w:numId w:val="56"/>
        </w:numPr>
        <w:tabs>
          <w:tab w:val="clear" w:pos="562"/>
          <w:tab w:val="left" w:pos="720"/>
        </w:tabs>
        <w:rPr>
          <w:del w:id="9811" w:author="AbbVie19" w:date="2025-04-16T12:21:00Z"/>
          <w:szCs w:val="20"/>
        </w:rPr>
      </w:pPr>
      <w:del w:id="9812" w:author="AbbVie19" w:date="2025-04-16T12:21:00Z">
        <w:r w:rsidRPr="00BC0E7E">
          <w:rPr>
            <w:szCs w:val="20"/>
          </w:rPr>
          <w:delText>If your child has a severe infection, including active tuberculosis (see “Warnings and precautions”). It is important that you tell your doctor if your child has symptoms of infections, e.g. fever, wounds, feeling tired, dental problems.</w:delText>
        </w:r>
      </w:del>
    </w:p>
    <w:p w14:paraId="15031DED" w14:textId="77777777" w:rsidR="00BC0E7E" w:rsidRPr="00BC0E7E" w:rsidRDefault="00BC0E7E" w:rsidP="00BC0E7E">
      <w:pPr>
        <w:tabs>
          <w:tab w:val="clear" w:pos="562"/>
          <w:tab w:val="left" w:pos="720"/>
        </w:tabs>
        <w:ind w:left="720"/>
        <w:rPr>
          <w:del w:id="9813" w:author="AbbVie19" w:date="2025-04-16T12:21:00Z"/>
          <w:szCs w:val="20"/>
        </w:rPr>
      </w:pPr>
    </w:p>
    <w:p w14:paraId="339FC751" w14:textId="77777777" w:rsidR="00BC0E7E" w:rsidRPr="00BC0E7E" w:rsidRDefault="00944B8F" w:rsidP="00F421D6">
      <w:pPr>
        <w:numPr>
          <w:ilvl w:val="0"/>
          <w:numId w:val="56"/>
        </w:numPr>
        <w:tabs>
          <w:tab w:val="clear" w:pos="562"/>
          <w:tab w:val="left" w:pos="720"/>
        </w:tabs>
        <w:rPr>
          <w:del w:id="9814" w:author="AbbVie19" w:date="2025-04-16T12:21:00Z"/>
          <w:szCs w:val="20"/>
        </w:rPr>
      </w:pPr>
      <w:del w:id="9815" w:author="AbbVie19" w:date="2025-04-16T12:21:00Z">
        <w:r w:rsidRPr="00BC0E7E">
          <w:rPr>
            <w:szCs w:val="20"/>
          </w:rPr>
          <w:delText>If your child has moderate or severe heart failure. It is important to tell your doctor if your child has had or has a serious heart condition (see “Warnings and precautions”).</w:delText>
        </w:r>
      </w:del>
    </w:p>
    <w:p w14:paraId="13AE4D70" w14:textId="77777777" w:rsidR="00BC0E7E" w:rsidRPr="00BC0E7E" w:rsidRDefault="00BC0E7E" w:rsidP="00BC0E7E">
      <w:pPr>
        <w:rPr>
          <w:del w:id="9816" w:author="AbbVie19" w:date="2025-04-16T12:21:00Z"/>
          <w:szCs w:val="20"/>
        </w:rPr>
      </w:pPr>
    </w:p>
    <w:p w14:paraId="20DD8174" w14:textId="77777777" w:rsidR="00BC0E7E" w:rsidRPr="00BC0E7E" w:rsidRDefault="00944B8F" w:rsidP="00BC0E7E">
      <w:pPr>
        <w:rPr>
          <w:del w:id="9817" w:author="AbbVie19" w:date="2025-04-16T12:21:00Z"/>
          <w:b/>
          <w:bCs/>
          <w:szCs w:val="20"/>
        </w:rPr>
      </w:pPr>
      <w:del w:id="9818" w:author="AbbVie19" w:date="2025-04-16T12:21:00Z">
        <w:r w:rsidRPr="00BC0E7E">
          <w:rPr>
            <w:b/>
            <w:bCs/>
            <w:szCs w:val="20"/>
          </w:rPr>
          <w:delText>Warnings and precautions</w:delText>
        </w:r>
      </w:del>
    </w:p>
    <w:p w14:paraId="6CBC08B8" w14:textId="77777777" w:rsidR="00BC0E7E" w:rsidRPr="00BC0E7E" w:rsidRDefault="00BC0E7E" w:rsidP="00BC0E7E">
      <w:pPr>
        <w:rPr>
          <w:del w:id="9819" w:author="AbbVie19" w:date="2025-04-16T12:21:00Z"/>
          <w:szCs w:val="20"/>
        </w:rPr>
      </w:pPr>
    </w:p>
    <w:p w14:paraId="04A762EC" w14:textId="77777777" w:rsidR="00BC0E7E" w:rsidRPr="00BC0E7E" w:rsidRDefault="00944B8F" w:rsidP="00BC0E7E">
      <w:pPr>
        <w:tabs>
          <w:tab w:val="clear" w:pos="562"/>
          <w:tab w:val="left" w:pos="0"/>
        </w:tabs>
        <w:rPr>
          <w:del w:id="9820" w:author="AbbVie19" w:date="2025-04-16T12:21:00Z"/>
          <w:b/>
          <w:szCs w:val="20"/>
        </w:rPr>
      </w:pPr>
      <w:del w:id="9821" w:author="AbbVie19" w:date="2025-04-16T12:21:00Z">
        <w:r w:rsidRPr="00BC0E7E">
          <w:rPr>
            <w:szCs w:val="20"/>
          </w:rPr>
          <w:delText>Talk to your child’s doctor or pharmacist before using Humira</w:delText>
        </w:r>
      </w:del>
    </w:p>
    <w:p w14:paraId="248AB6C0" w14:textId="77777777" w:rsidR="00BC0E7E" w:rsidRPr="00BC0E7E" w:rsidRDefault="00BC0E7E" w:rsidP="00BC0E7E">
      <w:pPr>
        <w:tabs>
          <w:tab w:val="clear" w:pos="562"/>
          <w:tab w:val="num" w:pos="550"/>
        </w:tabs>
        <w:ind w:left="550" w:hanging="550"/>
        <w:rPr>
          <w:del w:id="9822" w:author="AbbVie19" w:date="2025-04-16T12:21:00Z"/>
          <w:szCs w:val="20"/>
        </w:rPr>
      </w:pPr>
    </w:p>
    <w:p w14:paraId="7891B45F" w14:textId="77777777" w:rsidR="00BC0E7E" w:rsidRPr="00BC0E7E" w:rsidRDefault="00944B8F" w:rsidP="00F421D6">
      <w:pPr>
        <w:numPr>
          <w:ilvl w:val="0"/>
          <w:numId w:val="56"/>
        </w:numPr>
        <w:tabs>
          <w:tab w:val="clear" w:pos="562"/>
        </w:tabs>
        <w:rPr>
          <w:del w:id="9823" w:author="AbbVie19" w:date="2025-04-16T12:21:00Z"/>
          <w:szCs w:val="20"/>
        </w:rPr>
      </w:pPr>
      <w:del w:id="9824" w:author="AbbVie19" w:date="2025-04-16T12:21:00Z">
        <w:r w:rsidRPr="00BC0E7E">
          <w:rPr>
            <w:szCs w:val="20"/>
          </w:rPr>
          <w:delText>If your child experiences allergic reactions with symptoms such as chest tightness, wheezing, dizziness, swelling or rash do not inject more Humira and contact your doctor immediately since, in rare cases, these reactions can be life threatening.</w:delText>
        </w:r>
        <w:r w:rsidRPr="00BC0E7E">
          <w:rPr>
            <w:szCs w:val="20"/>
          </w:rPr>
          <w:br/>
        </w:r>
      </w:del>
    </w:p>
    <w:p w14:paraId="08C18B70" w14:textId="77777777" w:rsidR="00BC0E7E" w:rsidRPr="00BC0E7E" w:rsidRDefault="00944B8F" w:rsidP="00F421D6">
      <w:pPr>
        <w:numPr>
          <w:ilvl w:val="0"/>
          <w:numId w:val="56"/>
        </w:numPr>
        <w:tabs>
          <w:tab w:val="clear" w:pos="562"/>
          <w:tab w:val="left" w:pos="720"/>
        </w:tabs>
        <w:rPr>
          <w:del w:id="9825" w:author="AbbVie19" w:date="2025-04-16T12:21:00Z"/>
          <w:szCs w:val="20"/>
        </w:rPr>
      </w:pPr>
      <w:del w:id="9826" w:author="AbbVie19" w:date="2025-04-16T12:21:00Z">
        <w:r w:rsidRPr="00BC0E7E">
          <w:rPr>
            <w:szCs w:val="20"/>
          </w:rPr>
          <w:delText xml:space="preserve">If your child has an infection, including long-term or localized infection (for example, leg ulcer) consult your doctor before starting Humira. If you are unsure, contact your doctor. </w:delText>
        </w:r>
      </w:del>
    </w:p>
    <w:p w14:paraId="040F02F6" w14:textId="77777777" w:rsidR="00BC0E7E" w:rsidRPr="00BC0E7E" w:rsidRDefault="00BC0E7E" w:rsidP="00BC0E7E">
      <w:pPr>
        <w:tabs>
          <w:tab w:val="clear" w:pos="562"/>
          <w:tab w:val="left" w:pos="720"/>
        </w:tabs>
        <w:ind w:left="720"/>
        <w:rPr>
          <w:del w:id="9827" w:author="AbbVie19" w:date="2025-04-16T12:21:00Z"/>
          <w:szCs w:val="20"/>
        </w:rPr>
      </w:pPr>
    </w:p>
    <w:p w14:paraId="4EF13E7B" w14:textId="77777777" w:rsidR="00BC0E7E" w:rsidRPr="00BC0E7E" w:rsidRDefault="00944B8F" w:rsidP="00F421D6">
      <w:pPr>
        <w:numPr>
          <w:ilvl w:val="0"/>
          <w:numId w:val="56"/>
        </w:numPr>
        <w:tabs>
          <w:tab w:val="clear" w:pos="562"/>
          <w:tab w:val="left" w:pos="720"/>
        </w:tabs>
        <w:rPr>
          <w:del w:id="9828" w:author="AbbVie19" w:date="2025-04-16T12:21:00Z"/>
          <w:szCs w:val="20"/>
        </w:rPr>
      </w:pPr>
      <w:del w:id="9829" w:author="AbbVie19" w:date="2025-04-16T12:21:00Z">
        <w:r w:rsidRPr="00BC0E7E">
          <w:rPr>
            <w:szCs w:val="20"/>
          </w:rPr>
          <w:delText>Your child might get infections more easily while receiving Humira treatment. This risk may increase if his/her lung function is impaired. These infections may be serious and include tuberculosis, infections caused by viruses, fungi, parasites or bacteria, or other opportunistic infections and sepsis that may, in rare cases, be life-threatening. It is important to tell your doctor if your child gets symptoms such as fever, wounds, feeling tired or dental problems. Your doctor may recommend temporary discontinuation of Humira.</w:delText>
        </w:r>
      </w:del>
    </w:p>
    <w:p w14:paraId="17F6C77B" w14:textId="77777777" w:rsidR="00BC0E7E" w:rsidRPr="00BC0E7E" w:rsidRDefault="00BC0E7E" w:rsidP="00BC0E7E">
      <w:pPr>
        <w:tabs>
          <w:tab w:val="clear" w:pos="562"/>
          <w:tab w:val="left" w:pos="720"/>
        </w:tabs>
        <w:ind w:left="720"/>
        <w:rPr>
          <w:del w:id="9830" w:author="AbbVie19" w:date="2025-04-16T12:21:00Z"/>
          <w:szCs w:val="20"/>
        </w:rPr>
      </w:pPr>
    </w:p>
    <w:p w14:paraId="714F8881" w14:textId="77777777" w:rsidR="00BC0E7E" w:rsidRPr="00BC0E7E" w:rsidRDefault="00944B8F" w:rsidP="00F421D6">
      <w:pPr>
        <w:numPr>
          <w:ilvl w:val="0"/>
          <w:numId w:val="56"/>
        </w:numPr>
        <w:tabs>
          <w:tab w:val="clear" w:pos="562"/>
          <w:tab w:val="left" w:pos="720"/>
        </w:tabs>
        <w:rPr>
          <w:del w:id="9831" w:author="AbbVie19" w:date="2025-04-16T12:21:00Z"/>
          <w:szCs w:val="20"/>
        </w:rPr>
      </w:pPr>
      <w:del w:id="9832" w:author="AbbVie19" w:date="2025-04-16T12:21:00Z">
        <w:r w:rsidRPr="00BC0E7E">
          <w:rPr>
            <w:szCs w:val="20"/>
          </w:rPr>
          <w:delText>As cases of tuberculosis have been reported in patients treated with Humira, your doctor will check your child for signs and symptoms of tuberculosis before starting Humira. This will include a thorough medical evaluation including your child’s medical history and appropriate screening tests (for example chest X-ray and a tuberculin test). The conduct and results of these tests should be recorded on your child's</w:delText>
        </w:r>
        <w:r w:rsidR="00AE43DC">
          <w:rPr>
            <w:szCs w:val="20"/>
          </w:rPr>
          <w:delText xml:space="preserve"> </w:delText>
        </w:r>
        <w:r w:rsidR="00BF2AE5" w:rsidRPr="002179FE">
          <w:rPr>
            <w:b/>
          </w:rPr>
          <w:delText>Patient Reminder Card</w:delText>
        </w:r>
        <w:r w:rsidRPr="00BC0E7E">
          <w:rPr>
            <w:szCs w:val="20"/>
          </w:rPr>
          <w:delText>. It is very important that you tell your doctor if your child has ever had tuberculosis, or if he/she has been in close contact with someone who has had tuberculosis. Tuberculosis can develop during therapy even if your child has received preventative treatment for tuberculosis. If symptoms of tuberculosis (persistent cough, weight loss, listlessness, mild fever), or any other infection appear during or after therapy tell your doctor immediately.</w:delText>
        </w:r>
      </w:del>
    </w:p>
    <w:p w14:paraId="1334C05E" w14:textId="77777777" w:rsidR="00BC0E7E" w:rsidRPr="00BC0E7E" w:rsidRDefault="00BC0E7E" w:rsidP="00BC0E7E">
      <w:pPr>
        <w:rPr>
          <w:del w:id="9833" w:author="AbbVie19" w:date="2025-04-16T12:21:00Z"/>
          <w:szCs w:val="20"/>
        </w:rPr>
      </w:pPr>
    </w:p>
    <w:p w14:paraId="69C4813B" w14:textId="77777777" w:rsidR="00BC0E7E" w:rsidRPr="00BC0E7E" w:rsidRDefault="00944B8F" w:rsidP="00F421D6">
      <w:pPr>
        <w:numPr>
          <w:ilvl w:val="0"/>
          <w:numId w:val="56"/>
        </w:numPr>
        <w:tabs>
          <w:tab w:val="clear" w:pos="562"/>
          <w:tab w:val="left" w:pos="720"/>
        </w:tabs>
        <w:rPr>
          <w:del w:id="9834" w:author="AbbVie19" w:date="2025-04-16T12:21:00Z"/>
          <w:szCs w:val="20"/>
        </w:rPr>
      </w:pPr>
      <w:del w:id="9835" w:author="AbbVie19" w:date="2025-04-16T12:21:00Z">
        <w:r w:rsidRPr="00BC0E7E">
          <w:rPr>
            <w:szCs w:val="20"/>
          </w:rPr>
          <w:delText>Advise your doctor if your child resides or travels in regions where fungal infections such as histoplasmosis, coccidioidomycosis or blastomycosis are endemic.</w:delText>
        </w:r>
      </w:del>
    </w:p>
    <w:p w14:paraId="329E9F48" w14:textId="77777777" w:rsidR="00BC0E7E" w:rsidRPr="00BC0E7E" w:rsidRDefault="00BC0E7E" w:rsidP="00BC0E7E">
      <w:pPr>
        <w:tabs>
          <w:tab w:val="clear" w:pos="562"/>
          <w:tab w:val="left" w:pos="720"/>
        </w:tabs>
        <w:ind w:left="720"/>
        <w:rPr>
          <w:del w:id="9836" w:author="AbbVie19" w:date="2025-04-16T12:21:00Z"/>
          <w:szCs w:val="20"/>
        </w:rPr>
      </w:pPr>
    </w:p>
    <w:p w14:paraId="0A5167C0" w14:textId="77777777" w:rsidR="00BC0E7E" w:rsidRPr="00BC0E7E" w:rsidRDefault="00944B8F" w:rsidP="00F421D6">
      <w:pPr>
        <w:numPr>
          <w:ilvl w:val="0"/>
          <w:numId w:val="56"/>
        </w:numPr>
        <w:tabs>
          <w:tab w:val="clear" w:pos="562"/>
          <w:tab w:val="left" w:pos="720"/>
        </w:tabs>
        <w:rPr>
          <w:del w:id="9837" w:author="AbbVie19" w:date="2025-04-16T12:21:00Z"/>
          <w:szCs w:val="20"/>
        </w:rPr>
      </w:pPr>
      <w:del w:id="9838" w:author="AbbVie19" w:date="2025-04-16T12:21:00Z">
        <w:r w:rsidRPr="00BC0E7E">
          <w:rPr>
            <w:szCs w:val="20"/>
          </w:rPr>
          <w:delText>Advise your doctor if your child has a history of recurrent infections or other conditions that increase the risk of infections.</w:delText>
        </w:r>
      </w:del>
    </w:p>
    <w:p w14:paraId="7005D503" w14:textId="77777777" w:rsidR="00BC0E7E" w:rsidRPr="00BC0E7E" w:rsidRDefault="00BC0E7E" w:rsidP="00BC0E7E">
      <w:pPr>
        <w:tabs>
          <w:tab w:val="clear" w:pos="562"/>
          <w:tab w:val="num" w:pos="550"/>
        </w:tabs>
        <w:ind w:left="550" w:hanging="550"/>
        <w:rPr>
          <w:del w:id="9839" w:author="AbbVie19" w:date="2025-04-16T12:21:00Z"/>
          <w:szCs w:val="20"/>
        </w:rPr>
      </w:pPr>
    </w:p>
    <w:p w14:paraId="2AC9D0FF" w14:textId="77777777" w:rsidR="00BC0E7E" w:rsidRPr="00BC0E7E" w:rsidRDefault="00944B8F" w:rsidP="00F421D6">
      <w:pPr>
        <w:numPr>
          <w:ilvl w:val="0"/>
          <w:numId w:val="56"/>
        </w:numPr>
        <w:tabs>
          <w:tab w:val="clear" w:pos="562"/>
          <w:tab w:val="left" w:pos="720"/>
        </w:tabs>
        <w:rPr>
          <w:del w:id="9840" w:author="AbbVie19" w:date="2025-04-16T12:21:00Z"/>
          <w:szCs w:val="20"/>
        </w:rPr>
      </w:pPr>
      <w:del w:id="9841" w:author="AbbVie19" w:date="2025-04-16T12:21:00Z">
        <w:r w:rsidRPr="00BC0E7E">
          <w:rPr>
            <w:szCs w:val="20"/>
          </w:rPr>
          <w:delText xml:space="preserve">Advise your doctor if your child is a carrier of the hepatitis B virus (HBV), if he/she has active HBV or if you think he/she might be at risk of contracting HBV. Your child’s doctor should test your child for HBV. Humira can cause reactivation of HBV in people who carry this virus. In </w:delText>
        </w:r>
        <w:r w:rsidRPr="00BC0E7E">
          <w:rPr>
            <w:szCs w:val="20"/>
          </w:rPr>
          <w:lastRenderedPageBreak/>
          <w:delText xml:space="preserve">some rare cases, especially if your child is taking other medicines that suppress the immune system, reactivation of HBV can be life-threatening. </w:delText>
        </w:r>
      </w:del>
    </w:p>
    <w:p w14:paraId="1B6398B0" w14:textId="77777777" w:rsidR="00BC0E7E" w:rsidRPr="00BC0E7E" w:rsidRDefault="00BC0E7E" w:rsidP="00BC0E7E">
      <w:pPr>
        <w:tabs>
          <w:tab w:val="clear" w:pos="562"/>
          <w:tab w:val="left" w:pos="720"/>
        </w:tabs>
        <w:ind w:left="720"/>
        <w:rPr>
          <w:del w:id="9842" w:author="AbbVie19" w:date="2025-04-16T12:21:00Z"/>
          <w:szCs w:val="20"/>
        </w:rPr>
      </w:pPr>
    </w:p>
    <w:p w14:paraId="56E54771" w14:textId="77777777" w:rsidR="00BC0E7E" w:rsidRPr="00BC0E7E" w:rsidRDefault="00944B8F" w:rsidP="00F421D6">
      <w:pPr>
        <w:numPr>
          <w:ilvl w:val="0"/>
          <w:numId w:val="56"/>
        </w:numPr>
        <w:tabs>
          <w:tab w:val="clear" w:pos="562"/>
          <w:tab w:val="left" w:pos="720"/>
        </w:tabs>
        <w:rPr>
          <w:del w:id="9843" w:author="AbbVie19" w:date="2025-04-16T12:21:00Z"/>
          <w:szCs w:val="20"/>
        </w:rPr>
      </w:pPr>
      <w:del w:id="9844" w:author="AbbVie19" w:date="2025-04-16T12:21:00Z">
        <w:r w:rsidRPr="00BC0E7E">
          <w:rPr>
            <w:szCs w:val="20"/>
          </w:rPr>
          <w:delText>It is important to tell your doctor if your child gets symptoms of infections, such as fever, wounds, feeling tired or dental problems.</w:delText>
        </w:r>
      </w:del>
    </w:p>
    <w:p w14:paraId="34F29A09" w14:textId="77777777" w:rsidR="00BC0E7E" w:rsidRPr="00BC0E7E" w:rsidRDefault="00BC0E7E" w:rsidP="00BC0E7E">
      <w:pPr>
        <w:tabs>
          <w:tab w:val="clear" w:pos="562"/>
          <w:tab w:val="left" w:pos="720"/>
        </w:tabs>
        <w:ind w:left="720"/>
        <w:rPr>
          <w:del w:id="9845" w:author="AbbVie19" w:date="2025-04-16T12:21:00Z"/>
          <w:szCs w:val="20"/>
        </w:rPr>
      </w:pPr>
    </w:p>
    <w:p w14:paraId="5A0C18E5" w14:textId="77777777" w:rsidR="00BC0E7E" w:rsidRPr="00BC0E7E" w:rsidRDefault="00944B8F" w:rsidP="00F421D6">
      <w:pPr>
        <w:numPr>
          <w:ilvl w:val="0"/>
          <w:numId w:val="56"/>
        </w:numPr>
        <w:tabs>
          <w:tab w:val="clear" w:pos="562"/>
          <w:tab w:val="left" w:pos="720"/>
        </w:tabs>
        <w:rPr>
          <w:del w:id="9846" w:author="AbbVie19" w:date="2025-04-16T12:21:00Z"/>
          <w:szCs w:val="20"/>
        </w:rPr>
      </w:pPr>
      <w:del w:id="9847" w:author="AbbVie19" w:date="2025-04-16T12:21:00Z">
        <w:r w:rsidRPr="00BC0E7E">
          <w:rPr>
            <w:szCs w:val="20"/>
          </w:rPr>
          <w:delText>If your child is about to undergo surgery or dental procedures please inform your doctor that he/she is taking Humira. Your doctor may recommend temporary discontinuation.</w:delText>
        </w:r>
      </w:del>
    </w:p>
    <w:p w14:paraId="1D23E9ED" w14:textId="77777777" w:rsidR="00BC0E7E" w:rsidRPr="00BC0E7E" w:rsidRDefault="00BC0E7E" w:rsidP="00BC0E7E">
      <w:pPr>
        <w:tabs>
          <w:tab w:val="clear" w:pos="562"/>
          <w:tab w:val="left" w:pos="720"/>
        </w:tabs>
        <w:ind w:left="720"/>
        <w:rPr>
          <w:del w:id="9848" w:author="AbbVie19" w:date="2025-04-16T12:21:00Z"/>
          <w:szCs w:val="20"/>
        </w:rPr>
      </w:pPr>
    </w:p>
    <w:p w14:paraId="05D1EFAF" w14:textId="77777777" w:rsidR="00BC0E7E" w:rsidRPr="00BC0E7E" w:rsidRDefault="00944B8F" w:rsidP="00F421D6">
      <w:pPr>
        <w:numPr>
          <w:ilvl w:val="0"/>
          <w:numId w:val="56"/>
        </w:numPr>
        <w:tabs>
          <w:tab w:val="clear" w:pos="562"/>
          <w:tab w:val="left" w:pos="720"/>
        </w:tabs>
        <w:rPr>
          <w:del w:id="9849" w:author="AbbVie19" w:date="2025-04-16T12:21:00Z"/>
          <w:szCs w:val="20"/>
        </w:rPr>
      </w:pPr>
      <w:del w:id="9850" w:author="AbbVie19" w:date="2025-04-16T12:21:00Z">
        <w:r w:rsidRPr="00BC0E7E">
          <w:rPr>
            <w:szCs w:val="20"/>
          </w:rPr>
          <w:delText>If your child has or develops a demyelinating disease such as multiple sclerosis, your doctor will decide if he/she should receive or continue to receive Humira. Tell your doctor immediately if your child experiences symptoms like changes in vision, weakness in arms or legs or numbness or tingling in any part of the body.</w:delText>
        </w:r>
      </w:del>
    </w:p>
    <w:p w14:paraId="61E4C418" w14:textId="77777777" w:rsidR="00BC0E7E" w:rsidRPr="00BC0E7E" w:rsidRDefault="00BC0E7E" w:rsidP="00BC0E7E">
      <w:pPr>
        <w:tabs>
          <w:tab w:val="clear" w:pos="562"/>
          <w:tab w:val="num" w:pos="550"/>
        </w:tabs>
        <w:ind w:left="550" w:hanging="550"/>
        <w:rPr>
          <w:del w:id="9851" w:author="AbbVie19" w:date="2025-04-16T12:21:00Z"/>
          <w:szCs w:val="20"/>
        </w:rPr>
      </w:pPr>
    </w:p>
    <w:p w14:paraId="2043BD6A" w14:textId="77777777" w:rsidR="00BC0E7E" w:rsidRPr="00BC0E7E" w:rsidRDefault="00944B8F" w:rsidP="00F421D6">
      <w:pPr>
        <w:numPr>
          <w:ilvl w:val="0"/>
          <w:numId w:val="56"/>
        </w:numPr>
        <w:tabs>
          <w:tab w:val="clear" w:pos="562"/>
          <w:tab w:val="left" w:pos="720"/>
        </w:tabs>
        <w:rPr>
          <w:del w:id="9852" w:author="AbbVie19" w:date="2025-04-16T12:21:00Z"/>
          <w:szCs w:val="20"/>
        </w:rPr>
      </w:pPr>
      <w:del w:id="9853" w:author="AbbVie19" w:date="2025-04-16T12:21:00Z">
        <w:r w:rsidRPr="00BC0E7E">
          <w:rPr>
            <w:szCs w:val="20"/>
          </w:rPr>
          <w:delText>Certain vaccines may cause infections and should not be given while receiving Humira.  Please check with your doctor before your child receives any vaccines. It is recommended that children, if possible, be brought up to date with all immunisations in agreement with current immunisation guidelines prior to initiating Humira therapy. If you received Humira while you were pregnant, your baby may be at higher risk for getting such an infection for up to approximately five months after the last dose you received during pregnancy. It is important that you tell your baby's doctors and other health care professionals about your Humira use during your pregnancy so they can decide when your baby should receive any vaccine.</w:delText>
        </w:r>
      </w:del>
    </w:p>
    <w:p w14:paraId="61C6462D" w14:textId="77777777" w:rsidR="00BC0E7E" w:rsidRPr="00BC0E7E" w:rsidRDefault="00BC0E7E" w:rsidP="00BC0E7E">
      <w:pPr>
        <w:tabs>
          <w:tab w:val="clear" w:pos="562"/>
          <w:tab w:val="left" w:pos="720"/>
        </w:tabs>
        <w:ind w:left="720"/>
        <w:rPr>
          <w:del w:id="9854" w:author="AbbVie19" w:date="2025-04-16T12:21:00Z"/>
          <w:szCs w:val="20"/>
        </w:rPr>
      </w:pPr>
    </w:p>
    <w:p w14:paraId="0E7F0ECF" w14:textId="77777777" w:rsidR="00BC0E7E" w:rsidRPr="00BC0E7E" w:rsidRDefault="00944B8F" w:rsidP="00F421D6">
      <w:pPr>
        <w:numPr>
          <w:ilvl w:val="0"/>
          <w:numId w:val="56"/>
        </w:numPr>
        <w:tabs>
          <w:tab w:val="clear" w:pos="562"/>
          <w:tab w:val="left" w:pos="720"/>
        </w:tabs>
        <w:rPr>
          <w:del w:id="9855" w:author="AbbVie19" w:date="2025-04-16T12:21:00Z"/>
          <w:szCs w:val="20"/>
        </w:rPr>
      </w:pPr>
      <w:del w:id="9856" w:author="AbbVie19" w:date="2025-04-16T12:21:00Z">
        <w:r w:rsidRPr="00BC0E7E">
          <w:rPr>
            <w:szCs w:val="20"/>
          </w:rPr>
          <w:delText xml:space="preserve">If your child has mild heart failure and is being treated with Humira, his/her heart failure status must be closely monitored by your doctor.  It is important to tell your doctor if your child has had or has a serious heart condition.  If he/she develops new or worsening symptoms of heart failure (e.g. shortness of breath, or swelling of his/her feet), you must contact your doctor immediately. Your doctor will decide if your child should receive Humira.  </w:delText>
        </w:r>
      </w:del>
    </w:p>
    <w:p w14:paraId="3B67C23D" w14:textId="77777777" w:rsidR="00BC0E7E" w:rsidRPr="00BC0E7E" w:rsidRDefault="00BC0E7E" w:rsidP="00BC0E7E">
      <w:pPr>
        <w:tabs>
          <w:tab w:val="clear" w:pos="562"/>
          <w:tab w:val="left" w:pos="720"/>
        </w:tabs>
        <w:ind w:left="720"/>
        <w:rPr>
          <w:del w:id="9857" w:author="AbbVie19" w:date="2025-04-16T12:21:00Z"/>
          <w:szCs w:val="20"/>
        </w:rPr>
      </w:pPr>
    </w:p>
    <w:p w14:paraId="169369FE" w14:textId="77777777" w:rsidR="00BC0E7E" w:rsidRPr="00BC0E7E" w:rsidRDefault="00944B8F" w:rsidP="00F421D6">
      <w:pPr>
        <w:numPr>
          <w:ilvl w:val="0"/>
          <w:numId w:val="56"/>
        </w:numPr>
        <w:tabs>
          <w:tab w:val="clear" w:pos="562"/>
          <w:tab w:val="left" w:pos="720"/>
        </w:tabs>
        <w:rPr>
          <w:del w:id="9858" w:author="AbbVie19" w:date="2025-04-16T12:21:00Z"/>
          <w:szCs w:val="20"/>
        </w:rPr>
      </w:pPr>
      <w:del w:id="9859" w:author="AbbVie19" w:date="2025-04-16T12:21:00Z">
        <w:r w:rsidRPr="00BC0E7E">
          <w:rPr>
            <w:szCs w:val="20"/>
          </w:rPr>
          <w:delText>In some patients the body may fail to produce enough of the blood cells that help your child's body fight infections or help him/her to stop bleeding.  If your child develops a fever that does not go away, bruises or bleeds very easily or looks very pale, call your doctor right away. Your doctor may decide to stop treatment.</w:delText>
        </w:r>
      </w:del>
    </w:p>
    <w:p w14:paraId="3055E1DB" w14:textId="77777777" w:rsidR="00BC0E7E" w:rsidRPr="00BC0E7E" w:rsidRDefault="00BC0E7E" w:rsidP="00BC0E7E">
      <w:pPr>
        <w:tabs>
          <w:tab w:val="clear" w:pos="562"/>
          <w:tab w:val="num" w:pos="550"/>
        </w:tabs>
        <w:ind w:left="550" w:hanging="550"/>
        <w:rPr>
          <w:del w:id="9860" w:author="AbbVie19" w:date="2025-04-16T12:21:00Z"/>
          <w:szCs w:val="20"/>
        </w:rPr>
      </w:pPr>
    </w:p>
    <w:p w14:paraId="69C66B51" w14:textId="77777777" w:rsidR="00BC0E7E" w:rsidRPr="00BC0E7E" w:rsidRDefault="00944B8F" w:rsidP="00F421D6">
      <w:pPr>
        <w:numPr>
          <w:ilvl w:val="0"/>
          <w:numId w:val="56"/>
        </w:numPr>
        <w:tabs>
          <w:tab w:val="clear" w:pos="562"/>
          <w:tab w:val="left" w:pos="720"/>
        </w:tabs>
        <w:rPr>
          <w:del w:id="9861" w:author="AbbVie19" w:date="2025-04-16T12:21:00Z"/>
          <w:szCs w:val="20"/>
        </w:rPr>
      </w:pPr>
      <w:del w:id="9862" w:author="AbbVie19" w:date="2025-04-16T12:21:00Z">
        <w:r w:rsidRPr="00BC0E7E">
          <w:rPr>
            <w:szCs w:val="20"/>
          </w:rPr>
          <w:delText>There have been very rare cases of certain kinds of cancer in children and adult patients taking Humira or other TNF blockers. People with more serious rheumatoid arthritis that have had the disease for a long time may have a higher than average risk of getting lymphoma (a cancer that affects the lymph system) and leukemia (a cancer that affects the blood and bone marrow). If your child takes Humira the risk of getting lymphoma, leukemia, or other cancers may increase. On rare occasions, a specific and severe type of lymphoma, has been observed in patients taking Humira. Some of those patients were also treated with azathioprine or 6- mercaptopurine. Tell your doctor if your child is taking azathioprine or 6-mercaptopurine with Humira. In addition cases of non-melanoma skin cancer have been observed in patients taking Humira. If new skin lesions appear during or after therapy or if existing lesions change appearance, tell your doctor.</w:delText>
        </w:r>
      </w:del>
    </w:p>
    <w:p w14:paraId="7C0FFDAE" w14:textId="77777777" w:rsidR="00BC0E7E" w:rsidRPr="00BC0E7E" w:rsidRDefault="00BC0E7E" w:rsidP="00BC0E7E">
      <w:pPr>
        <w:tabs>
          <w:tab w:val="clear" w:pos="562"/>
          <w:tab w:val="num" w:pos="550"/>
          <w:tab w:val="num" w:pos="1080"/>
        </w:tabs>
        <w:ind w:left="550" w:hanging="550"/>
        <w:rPr>
          <w:del w:id="9863" w:author="AbbVie19" w:date="2025-04-16T12:21:00Z"/>
          <w:sz w:val="20"/>
          <w:szCs w:val="20"/>
        </w:rPr>
      </w:pPr>
    </w:p>
    <w:p w14:paraId="0C83F4B3" w14:textId="77777777" w:rsidR="00BC0E7E" w:rsidRDefault="00944B8F" w:rsidP="00F421D6">
      <w:pPr>
        <w:numPr>
          <w:ilvl w:val="0"/>
          <w:numId w:val="56"/>
        </w:numPr>
        <w:tabs>
          <w:tab w:val="clear" w:pos="562"/>
          <w:tab w:val="left" w:pos="720"/>
        </w:tabs>
        <w:rPr>
          <w:del w:id="9864" w:author="AbbVie19" w:date="2025-04-16T12:21:00Z"/>
          <w:szCs w:val="20"/>
        </w:rPr>
      </w:pPr>
      <w:del w:id="9865" w:author="AbbVie19" w:date="2025-04-16T12:21:00Z">
        <w:r w:rsidRPr="00BC0E7E">
          <w:rPr>
            <w:szCs w:val="20"/>
          </w:rPr>
          <w:delText>There have been cases of cancers</w:delText>
        </w:r>
        <w:r w:rsidR="00F96AB6">
          <w:rPr>
            <w:szCs w:val="20"/>
          </w:rPr>
          <w:delText>,</w:delText>
        </w:r>
        <w:r w:rsidRPr="00BC0E7E">
          <w:rPr>
            <w:szCs w:val="20"/>
          </w:rPr>
          <w:delText xml:space="preserve"> other than lymphoma in patients with a specific type of lung disease called Chronic Obstructive Pulmonary Disease (COPD) treated with another TNF blocker. If your child has COPD, or is a heavy smoker, you should discuss with your doctor whether treatment with a TNF blocker is appropriate for your child.</w:delText>
        </w:r>
      </w:del>
    </w:p>
    <w:p w14:paraId="3D4F2D80" w14:textId="77777777" w:rsidR="00B92BA2" w:rsidRPr="00D92943" w:rsidRDefault="00B92BA2" w:rsidP="00B92BA2">
      <w:pPr>
        <w:tabs>
          <w:tab w:val="clear" w:pos="562"/>
        </w:tabs>
        <w:ind w:left="720"/>
        <w:rPr>
          <w:del w:id="9866" w:author="AbbVie19" w:date="2025-04-16T12:21:00Z"/>
          <w:szCs w:val="20"/>
        </w:rPr>
      </w:pPr>
    </w:p>
    <w:p w14:paraId="2191635D" w14:textId="77777777" w:rsidR="00D92943" w:rsidRPr="00D92943" w:rsidRDefault="00944B8F" w:rsidP="00F421D6">
      <w:pPr>
        <w:pStyle w:val="ListParagraph"/>
        <w:numPr>
          <w:ilvl w:val="0"/>
          <w:numId w:val="56"/>
        </w:numPr>
        <w:tabs>
          <w:tab w:val="clear" w:pos="562"/>
          <w:tab w:val="left" w:pos="720"/>
        </w:tabs>
        <w:rPr>
          <w:del w:id="9867" w:author="AbbVie19" w:date="2025-04-16T12:21:00Z"/>
          <w:szCs w:val="20"/>
        </w:rPr>
      </w:pPr>
      <w:del w:id="9868" w:author="AbbVie19" w:date="2025-04-16T12:21:00Z">
        <w:r w:rsidRPr="00D92943">
          <w:rPr>
            <w:szCs w:val="20"/>
          </w:rPr>
          <w:delText>On rare occasions, treatment with Humira could result in lupus-like syndrome. Contact your doctor if symptoms such as persistent unexplained rash, fever, joint pain or tiredness</w:delText>
        </w:r>
        <w:r w:rsidR="00E449B1">
          <w:rPr>
            <w:szCs w:val="20"/>
          </w:rPr>
          <w:delText xml:space="preserve"> occur</w:delText>
        </w:r>
        <w:r w:rsidRPr="00D92943">
          <w:rPr>
            <w:szCs w:val="20"/>
          </w:rPr>
          <w:delText>.</w:delText>
        </w:r>
      </w:del>
    </w:p>
    <w:p w14:paraId="619DB4C9" w14:textId="77777777" w:rsidR="00BC0E7E" w:rsidRPr="00BC0E7E" w:rsidRDefault="00BC0E7E" w:rsidP="00BC0E7E">
      <w:pPr>
        <w:rPr>
          <w:del w:id="9869" w:author="AbbVie19" w:date="2025-04-16T12:21:00Z"/>
          <w:szCs w:val="20"/>
        </w:rPr>
      </w:pPr>
    </w:p>
    <w:p w14:paraId="7A2D603A" w14:textId="77777777" w:rsidR="00BC0E7E" w:rsidRPr="00BC0E7E" w:rsidRDefault="00944B8F" w:rsidP="00AB3B3F">
      <w:pPr>
        <w:keepNext/>
        <w:rPr>
          <w:del w:id="9870" w:author="AbbVie19" w:date="2025-04-16T12:21:00Z"/>
          <w:b/>
          <w:szCs w:val="20"/>
        </w:rPr>
      </w:pPr>
      <w:del w:id="9871" w:author="AbbVie19" w:date="2025-04-16T12:21:00Z">
        <w:r w:rsidRPr="00BC0E7E">
          <w:rPr>
            <w:b/>
            <w:szCs w:val="20"/>
          </w:rPr>
          <w:lastRenderedPageBreak/>
          <w:delText>Other medicines and Humira</w:delText>
        </w:r>
      </w:del>
    </w:p>
    <w:p w14:paraId="39D18FC6" w14:textId="77777777" w:rsidR="00BC0E7E" w:rsidRPr="00BC0E7E" w:rsidRDefault="00BC0E7E" w:rsidP="00AB3B3F">
      <w:pPr>
        <w:keepNext/>
        <w:rPr>
          <w:del w:id="9872" w:author="AbbVie19" w:date="2025-04-16T12:21:00Z"/>
          <w:szCs w:val="20"/>
        </w:rPr>
      </w:pPr>
    </w:p>
    <w:p w14:paraId="37857EC4" w14:textId="77777777" w:rsidR="00BC0E7E" w:rsidRPr="00BC0E7E" w:rsidRDefault="00944B8F" w:rsidP="00AB3B3F">
      <w:pPr>
        <w:keepNext/>
        <w:rPr>
          <w:del w:id="9873" w:author="AbbVie19" w:date="2025-04-16T12:21:00Z"/>
          <w:szCs w:val="20"/>
        </w:rPr>
      </w:pPr>
      <w:del w:id="9874" w:author="AbbVie19" w:date="2025-04-16T12:21:00Z">
        <w:r w:rsidRPr="00BC0E7E">
          <w:rPr>
            <w:szCs w:val="20"/>
          </w:rPr>
          <w:delText>Tell your child’s doctor or pharmacist if your child is taking, has recently taken or might take any other medicines.</w:delText>
        </w:r>
      </w:del>
    </w:p>
    <w:p w14:paraId="175CE4E5" w14:textId="77777777" w:rsidR="00BC0E7E" w:rsidRPr="00BC0E7E" w:rsidRDefault="00BC0E7E" w:rsidP="00BC0E7E">
      <w:pPr>
        <w:rPr>
          <w:del w:id="9875" w:author="AbbVie19" w:date="2025-04-16T12:21:00Z"/>
          <w:szCs w:val="20"/>
        </w:rPr>
      </w:pPr>
    </w:p>
    <w:p w14:paraId="61C5E7CD" w14:textId="77777777" w:rsidR="00BC0E7E" w:rsidRPr="00BC0E7E" w:rsidRDefault="00944B8F" w:rsidP="00BC0E7E">
      <w:pPr>
        <w:rPr>
          <w:del w:id="9876" w:author="AbbVie19" w:date="2025-04-16T12:21:00Z"/>
          <w:szCs w:val="20"/>
        </w:rPr>
      </w:pPr>
      <w:del w:id="9877" w:author="AbbVie19" w:date="2025-04-16T12:21:00Z">
        <w:r w:rsidRPr="00BC0E7E">
          <w:rPr>
            <w:szCs w:val="20"/>
          </w:rPr>
          <w:delText>Humira can be taken together with methotrexate or certain disease-modifying anti-rheumatic agents (sulfasalazine, hydroxychloroquine, leflunomide and injectable gold preparations), steroids or pain medications including non-steroidal anti-inflammatory drugs (NSAIDs).</w:delText>
        </w:r>
      </w:del>
    </w:p>
    <w:p w14:paraId="005A8FAC" w14:textId="77777777" w:rsidR="00BC0E7E" w:rsidRPr="00BC0E7E" w:rsidRDefault="00BC0E7E" w:rsidP="00BC0E7E">
      <w:pPr>
        <w:rPr>
          <w:del w:id="9878" w:author="AbbVie19" w:date="2025-04-16T12:21:00Z"/>
          <w:szCs w:val="20"/>
        </w:rPr>
      </w:pPr>
    </w:p>
    <w:p w14:paraId="2D46780D" w14:textId="77777777" w:rsidR="00BC0E7E" w:rsidRPr="00BC0E7E" w:rsidRDefault="00944B8F" w:rsidP="00BC0E7E">
      <w:pPr>
        <w:rPr>
          <w:del w:id="9879" w:author="AbbVie19" w:date="2025-04-16T12:21:00Z"/>
          <w:szCs w:val="20"/>
        </w:rPr>
      </w:pPr>
      <w:del w:id="9880" w:author="AbbVie19" w:date="2025-04-16T12:21:00Z">
        <w:r w:rsidRPr="00BC0E7E">
          <w:rPr>
            <w:szCs w:val="20"/>
          </w:rPr>
          <w:delText>Your child should not take Humira with medicines containing the active substance</w:delText>
        </w:r>
        <w:r w:rsidR="00A34616">
          <w:rPr>
            <w:szCs w:val="20"/>
          </w:rPr>
          <w:delText>s</w:delText>
        </w:r>
        <w:r w:rsidRPr="00BC0E7E">
          <w:rPr>
            <w:szCs w:val="20"/>
          </w:rPr>
          <w:delText xml:space="preserve"> anakinra or abatacept</w:delText>
        </w:r>
        <w:r w:rsidR="00D5393E" w:rsidRPr="00FD27BB">
          <w:delText xml:space="preserve"> </w:delText>
        </w:r>
        <w:r w:rsidR="00D5393E">
          <w:delText>due to increased risk of serious infection</w:delText>
        </w:r>
        <w:r w:rsidRPr="00BC0E7E">
          <w:rPr>
            <w:szCs w:val="20"/>
          </w:rPr>
          <w:delText>. If you have questions, please ask your doctor.</w:delText>
        </w:r>
      </w:del>
    </w:p>
    <w:p w14:paraId="037857E7" w14:textId="77777777" w:rsidR="00BC0E7E" w:rsidRPr="00BC0E7E" w:rsidRDefault="00BC0E7E" w:rsidP="00BC0E7E">
      <w:pPr>
        <w:rPr>
          <w:del w:id="9881" w:author="AbbVie19" w:date="2025-04-16T12:21:00Z"/>
          <w:szCs w:val="20"/>
        </w:rPr>
      </w:pPr>
    </w:p>
    <w:p w14:paraId="3AD0FE3A" w14:textId="77777777" w:rsidR="00BC0E7E" w:rsidRPr="00BC0E7E" w:rsidRDefault="00944B8F" w:rsidP="00816607">
      <w:pPr>
        <w:keepNext/>
        <w:rPr>
          <w:del w:id="9882" w:author="AbbVie19" w:date="2025-04-16T12:21:00Z"/>
          <w:b/>
          <w:szCs w:val="20"/>
        </w:rPr>
      </w:pPr>
      <w:del w:id="9883" w:author="AbbVie19" w:date="2025-04-16T12:21:00Z">
        <w:r w:rsidRPr="00BC0E7E">
          <w:rPr>
            <w:b/>
            <w:szCs w:val="20"/>
          </w:rPr>
          <w:delText>Pregnancy and breast-feeding</w:delText>
        </w:r>
      </w:del>
    </w:p>
    <w:p w14:paraId="7EB5D195" w14:textId="77777777" w:rsidR="00BC0E7E" w:rsidRPr="00BC0E7E" w:rsidRDefault="00BC0E7E" w:rsidP="00816607">
      <w:pPr>
        <w:keepNext/>
        <w:rPr>
          <w:del w:id="9884" w:author="AbbVie19" w:date="2025-04-16T12:21:00Z"/>
          <w:szCs w:val="20"/>
        </w:rPr>
      </w:pPr>
    </w:p>
    <w:p w14:paraId="20362B28" w14:textId="77777777" w:rsidR="00BC0E7E" w:rsidRDefault="00944B8F" w:rsidP="00816607">
      <w:pPr>
        <w:pStyle w:val="ListParagraph"/>
        <w:keepNext/>
        <w:numPr>
          <w:ilvl w:val="0"/>
          <w:numId w:val="120"/>
        </w:numPr>
        <w:tabs>
          <w:tab w:val="clear" w:pos="562"/>
        </w:tabs>
        <w:ind w:right="-2"/>
        <w:rPr>
          <w:del w:id="9885" w:author="AbbVie19" w:date="2025-04-16T12:21:00Z"/>
        </w:rPr>
      </w:pPr>
      <w:del w:id="9886" w:author="AbbVie19" w:date="2025-04-16T12:21:00Z">
        <w:r w:rsidRPr="00E32011">
          <w:delText xml:space="preserve">Your child </w:delText>
        </w:r>
        <w:r w:rsidR="00E32011">
          <w:delText>should consider the</w:delText>
        </w:r>
        <w:r w:rsidRPr="00E32011">
          <w:delText xml:space="preserve"> use </w:delText>
        </w:r>
        <w:r w:rsidR="00E32011">
          <w:delText xml:space="preserve">of </w:delText>
        </w:r>
        <w:r w:rsidRPr="00E32011">
          <w:delText xml:space="preserve">adequate contraception </w:delText>
        </w:r>
        <w:r w:rsidR="00E32011">
          <w:delText>to prevent pregnancy</w:delText>
        </w:r>
        <w:r w:rsidRPr="00E32011">
          <w:delText xml:space="preserve"> and </w:delText>
        </w:r>
        <w:r w:rsidR="00E32011">
          <w:delText xml:space="preserve">continue its use </w:delText>
        </w:r>
        <w:r w:rsidRPr="00E32011">
          <w:delText>for at least 5 months a</w:delText>
        </w:r>
        <w:r w:rsidR="00C6283C">
          <w:delText>fter the last Humira treatment.</w:delText>
        </w:r>
      </w:del>
    </w:p>
    <w:p w14:paraId="592251E8" w14:textId="77777777" w:rsidR="001A0FB3" w:rsidRPr="00F2566E" w:rsidRDefault="00944B8F" w:rsidP="00816607">
      <w:pPr>
        <w:pStyle w:val="ListParagraph"/>
        <w:keepNext/>
        <w:numPr>
          <w:ilvl w:val="0"/>
          <w:numId w:val="144"/>
        </w:numPr>
        <w:tabs>
          <w:tab w:val="clear" w:pos="562"/>
        </w:tabs>
        <w:suppressAutoHyphens w:val="0"/>
        <w:autoSpaceDE w:val="0"/>
        <w:autoSpaceDN w:val="0"/>
        <w:adjustRightInd w:val="0"/>
        <w:spacing w:after="200"/>
        <w:ind w:left="714" w:hanging="357"/>
        <w:contextualSpacing/>
        <w:rPr>
          <w:del w:id="9887" w:author="AbbVie19" w:date="2025-04-16T12:21:00Z"/>
          <w:rFonts w:eastAsia="TimesNewRomanPS-BoldMT" w:cs="Calibri"/>
        </w:rPr>
      </w:pPr>
      <w:del w:id="9888" w:author="AbbVie19" w:date="2025-04-16T12:21:00Z">
        <w:r w:rsidRPr="00F2566E">
          <w:rPr>
            <w:rFonts w:cs="Calibri"/>
            <w:color w:val="1A1A1A"/>
          </w:rPr>
          <w:delText>If your child is pregnant, thinks she may be pregnant or is planning to have a baby, ask her doctor for advice about taking this medicine.</w:delText>
        </w:r>
      </w:del>
    </w:p>
    <w:p w14:paraId="14AD09D9" w14:textId="77777777" w:rsidR="001A0FB3" w:rsidRDefault="00944B8F" w:rsidP="00816607">
      <w:pPr>
        <w:pStyle w:val="ListParagraph"/>
        <w:keepNext/>
        <w:numPr>
          <w:ilvl w:val="0"/>
          <w:numId w:val="127"/>
        </w:numPr>
        <w:tabs>
          <w:tab w:val="clear" w:pos="562"/>
        </w:tabs>
        <w:suppressAutoHyphens w:val="0"/>
        <w:autoSpaceDE w:val="0"/>
        <w:autoSpaceDN w:val="0"/>
        <w:adjustRightInd w:val="0"/>
        <w:spacing w:after="200"/>
        <w:ind w:left="714" w:hanging="357"/>
        <w:contextualSpacing/>
        <w:rPr>
          <w:del w:id="9889" w:author="AbbVie19" w:date="2025-04-16T12:21:00Z"/>
          <w:rFonts w:eastAsia="TimesNewRomanPS-BoldMT" w:cs="Calibri"/>
        </w:rPr>
      </w:pPr>
      <w:del w:id="9890" w:author="AbbVie19" w:date="2025-04-16T12:21:00Z">
        <w:r>
          <w:rPr>
            <w:rFonts w:eastAsia="TimesNewRomanPS-BoldMT" w:cs="Calibri"/>
          </w:rPr>
          <w:delText xml:space="preserve">Humira should only </w:delText>
        </w:r>
        <w:r w:rsidRPr="00CC65DC">
          <w:rPr>
            <w:rFonts w:eastAsia="TimesNewRomanPS-BoldMT" w:cs="Calibri"/>
          </w:rPr>
          <w:delText>be used during a pregnancy if needed.</w:delText>
        </w:r>
      </w:del>
    </w:p>
    <w:p w14:paraId="4D5F9822" w14:textId="77777777" w:rsidR="001A0FB3" w:rsidRDefault="00944B8F" w:rsidP="00816607">
      <w:pPr>
        <w:pStyle w:val="ListParagraph"/>
        <w:keepNext/>
        <w:numPr>
          <w:ilvl w:val="0"/>
          <w:numId w:val="127"/>
        </w:numPr>
        <w:tabs>
          <w:tab w:val="clear" w:pos="562"/>
        </w:tabs>
        <w:suppressAutoHyphens w:val="0"/>
        <w:autoSpaceDE w:val="0"/>
        <w:autoSpaceDN w:val="0"/>
        <w:adjustRightInd w:val="0"/>
        <w:spacing w:after="200"/>
        <w:ind w:left="714" w:hanging="357"/>
        <w:contextualSpacing/>
        <w:rPr>
          <w:del w:id="9891" w:author="AbbVie19" w:date="2025-04-16T12:21:00Z"/>
          <w:rFonts w:eastAsia="TimesNewRomanPS-BoldMT" w:cs="Calibri"/>
        </w:rPr>
      </w:pPr>
      <w:del w:id="9892" w:author="AbbVie19" w:date="2025-04-16T12:21:00Z">
        <w:r w:rsidRPr="00CC65DC">
          <w:rPr>
            <w:rFonts w:eastAsia="TimesNewRomanPS-BoldMT" w:cs="Calibri"/>
          </w:rPr>
          <w:delText>According to a pregnancy study, there was no higher risk of birth defects when the mother had received Humira during pregnancy compared with mothers with the same disease who did not receive Humira.</w:delText>
        </w:r>
      </w:del>
    </w:p>
    <w:p w14:paraId="675C2312" w14:textId="77777777" w:rsidR="001A0FB3" w:rsidRPr="00CC65DC" w:rsidRDefault="00944B8F" w:rsidP="00816607">
      <w:pPr>
        <w:pStyle w:val="ListParagraph"/>
        <w:keepNext/>
        <w:numPr>
          <w:ilvl w:val="0"/>
          <w:numId w:val="127"/>
        </w:numPr>
        <w:tabs>
          <w:tab w:val="clear" w:pos="562"/>
        </w:tabs>
        <w:suppressAutoHyphens w:val="0"/>
        <w:autoSpaceDE w:val="0"/>
        <w:autoSpaceDN w:val="0"/>
        <w:adjustRightInd w:val="0"/>
        <w:spacing w:after="200"/>
        <w:ind w:left="714" w:hanging="357"/>
        <w:contextualSpacing/>
        <w:rPr>
          <w:del w:id="9893" w:author="AbbVie19" w:date="2025-04-16T12:21:00Z"/>
          <w:rFonts w:eastAsia="TimesNewRomanPS-BoldMT" w:cs="Calibri"/>
        </w:rPr>
      </w:pPr>
      <w:del w:id="9894" w:author="AbbVie19" w:date="2025-04-16T12:21:00Z">
        <w:r>
          <w:rPr>
            <w:rFonts w:eastAsia="TimesNewRomanPS-BoldMT" w:cs="Calibri"/>
          </w:rPr>
          <w:delText>Humira can be used during breast</w:delText>
        </w:r>
        <w:r w:rsidR="008B6BDD">
          <w:rPr>
            <w:rFonts w:eastAsia="TimesNewRomanPS-BoldMT" w:cs="Calibri"/>
          </w:rPr>
          <w:delText>-</w:delText>
        </w:r>
        <w:r>
          <w:rPr>
            <w:rFonts w:eastAsia="TimesNewRomanPS-BoldMT" w:cs="Calibri"/>
          </w:rPr>
          <w:delText>feeding.</w:delText>
        </w:r>
      </w:del>
    </w:p>
    <w:p w14:paraId="54BA57C2" w14:textId="77777777" w:rsidR="001A0FB3" w:rsidRPr="001A0FB3" w:rsidRDefault="00944B8F" w:rsidP="00816607">
      <w:pPr>
        <w:pStyle w:val="ListParagraph"/>
        <w:keepNext/>
        <w:numPr>
          <w:ilvl w:val="0"/>
          <w:numId w:val="145"/>
        </w:numPr>
        <w:tabs>
          <w:tab w:val="clear" w:pos="562"/>
        </w:tabs>
        <w:rPr>
          <w:del w:id="9895" w:author="AbbVie19" w:date="2025-04-16T12:21:00Z"/>
          <w:szCs w:val="22"/>
          <w:lang w:eastAsia="en-GB"/>
        </w:rPr>
      </w:pPr>
      <w:del w:id="9896" w:author="AbbVie19" w:date="2025-04-16T12:21:00Z">
        <w:r w:rsidRPr="001A0FB3">
          <w:delText>If you</w:delText>
        </w:r>
        <w:r>
          <w:delText>r child</w:delText>
        </w:r>
        <w:r w:rsidRPr="001A0FB3">
          <w:delText xml:space="preserve"> receive</w:delText>
        </w:r>
        <w:r w:rsidR="007556DF">
          <w:delText>s</w:delText>
        </w:r>
        <w:r w:rsidRPr="001A0FB3">
          <w:delText xml:space="preserve"> Humira during </w:delText>
        </w:r>
        <w:r>
          <w:delText>her</w:delText>
        </w:r>
        <w:r w:rsidRPr="001A0FB3">
          <w:delText xml:space="preserve"> pregnancy, </w:delText>
        </w:r>
        <w:r>
          <w:delText>her</w:delText>
        </w:r>
        <w:r w:rsidRPr="001A0FB3">
          <w:delText xml:space="preserve"> baby may have a higher</w:delText>
        </w:r>
        <w:r w:rsidR="00C6283C">
          <w:delText xml:space="preserve"> risk for getting an infection.</w:delText>
        </w:r>
      </w:del>
    </w:p>
    <w:p w14:paraId="0BC58EBD" w14:textId="77777777" w:rsidR="00BC0E7E" w:rsidRPr="001A0FB3" w:rsidRDefault="00944B8F" w:rsidP="00816607">
      <w:pPr>
        <w:pStyle w:val="ListParagraph"/>
        <w:keepNext/>
        <w:numPr>
          <w:ilvl w:val="0"/>
          <w:numId w:val="145"/>
        </w:numPr>
        <w:tabs>
          <w:tab w:val="clear" w:pos="562"/>
        </w:tabs>
        <w:rPr>
          <w:del w:id="9897" w:author="AbbVie19" w:date="2025-04-16T12:21:00Z"/>
          <w:szCs w:val="22"/>
          <w:lang w:eastAsia="en-GB"/>
        </w:rPr>
      </w:pPr>
      <w:del w:id="9898" w:author="AbbVie19" w:date="2025-04-16T12:21:00Z">
        <w:r w:rsidRPr="001A0FB3">
          <w:rPr>
            <w:szCs w:val="22"/>
            <w:lang w:eastAsia="en-GB"/>
          </w:rPr>
          <w:delText xml:space="preserve">It is important that you tell </w:delText>
        </w:r>
        <w:r w:rsidR="001A0FB3">
          <w:rPr>
            <w:szCs w:val="22"/>
            <w:lang w:eastAsia="en-GB"/>
          </w:rPr>
          <w:delText>her</w:delText>
        </w:r>
        <w:r w:rsidR="001A0FB3" w:rsidRPr="001A0FB3">
          <w:rPr>
            <w:szCs w:val="22"/>
            <w:lang w:eastAsia="en-GB"/>
          </w:rPr>
          <w:delText xml:space="preserve"> </w:delText>
        </w:r>
        <w:r w:rsidRPr="001A0FB3">
          <w:rPr>
            <w:szCs w:val="22"/>
            <w:lang w:eastAsia="en-GB"/>
          </w:rPr>
          <w:delText xml:space="preserve">baby’s doctor and other health care professionals about </w:delText>
        </w:r>
        <w:r w:rsidR="009547A5">
          <w:rPr>
            <w:szCs w:val="22"/>
            <w:lang w:eastAsia="en-GB"/>
          </w:rPr>
          <w:delText>her</w:delText>
        </w:r>
        <w:r w:rsidRPr="001A0FB3">
          <w:rPr>
            <w:szCs w:val="22"/>
            <w:lang w:eastAsia="en-GB"/>
          </w:rPr>
          <w:delText xml:space="preserve"> Humira use during </w:delText>
        </w:r>
        <w:r w:rsidR="001A0FB3">
          <w:rPr>
            <w:szCs w:val="22"/>
            <w:lang w:eastAsia="en-GB"/>
          </w:rPr>
          <w:delText>her</w:delText>
        </w:r>
        <w:r w:rsidR="001A0FB3" w:rsidRPr="001A0FB3">
          <w:rPr>
            <w:szCs w:val="22"/>
            <w:lang w:eastAsia="en-GB"/>
          </w:rPr>
          <w:delText xml:space="preserve"> </w:delText>
        </w:r>
        <w:r w:rsidRPr="001A0FB3">
          <w:rPr>
            <w:szCs w:val="22"/>
            <w:lang w:eastAsia="en-GB"/>
          </w:rPr>
          <w:delText>pregnancy before the baby receives any vaccine.</w:delText>
        </w:r>
        <w:r w:rsidR="001A0FB3">
          <w:rPr>
            <w:szCs w:val="22"/>
            <w:lang w:eastAsia="en-GB"/>
          </w:rPr>
          <w:delText xml:space="preserve"> For more information on vaccines, see the “Warnings and precautions” section.</w:delText>
        </w:r>
      </w:del>
    </w:p>
    <w:p w14:paraId="3501934C" w14:textId="77777777" w:rsidR="00BC0E7E" w:rsidRPr="00BC0E7E" w:rsidRDefault="00BC0E7E" w:rsidP="00BC0E7E">
      <w:pPr>
        <w:numPr>
          <w:ilvl w:val="12"/>
          <w:numId w:val="0"/>
        </w:numPr>
        <w:tabs>
          <w:tab w:val="clear" w:pos="562"/>
        </w:tabs>
        <w:ind w:right="-2"/>
        <w:rPr>
          <w:del w:id="9899" w:author="AbbVie19" w:date="2025-04-16T12:21:00Z"/>
        </w:rPr>
      </w:pPr>
    </w:p>
    <w:p w14:paraId="187C8BA6" w14:textId="77777777" w:rsidR="00BC0E7E" w:rsidRPr="00BC0E7E" w:rsidRDefault="00944B8F" w:rsidP="00BC0E7E">
      <w:pPr>
        <w:rPr>
          <w:del w:id="9900" w:author="AbbVie19" w:date="2025-04-16T12:21:00Z"/>
          <w:b/>
          <w:bCs/>
          <w:i/>
          <w:szCs w:val="22"/>
        </w:rPr>
      </w:pPr>
      <w:del w:id="9901" w:author="AbbVie19" w:date="2025-04-16T12:21:00Z">
        <w:r w:rsidRPr="00BC0E7E">
          <w:rPr>
            <w:b/>
            <w:szCs w:val="20"/>
          </w:rPr>
          <w:delText>Driving and using machines</w:delText>
        </w:r>
      </w:del>
    </w:p>
    <w:p w14:paraId="7D062C41" w14:textId="77777777" w:rsidR="00BC0E7E" w:rsidRPr="00BC0E7E" w:rsidRDefault="00BC0E7E" w:rsidP="00BC0E7E">
      <w:pPr>
        <w:keepNext/>
        <w:rPr>
          <w:del w:id="9902" w:author="AbbVie19" w:date="2025-04-16T12:21:00Z"/>
        </w:rPr>
      </w:pPr>
    </w:p>
    <w:p w14:paraId="70DCA85B" w14:textId="77777777" w:rsidR="00BC0E7E" w:rsidRPr="00BC0E7E" w:rsidRDefault="00944B8F" w:rsidP="00BC0E7E">
      <w:pPr>
        <w:keepNext/>
        <w:numPr>
          <w:ilvl w:val="12"/>
          <w:numId w:val="0"/>
        </w:numPr>
        <w:tabs>
          <w:tab w:val="clear" w:pos="562"/>
        </w:tabs>
        <w:ind w:right="-2"/>
        <w:rPr>
          <w:del w:id="9903" w:author="AbbVie19" w:date="2025-04-16T12:21:00Z"/>
        </w:rPr>
      </w:pPr>
      <w:del w:id="9904" w:author="AbbVie19" w:date="2025-04-16T12:21:00Z">
        <w:r w:rsidRPr="00BC0E7E">
          <w:delText>Humira may have a minor influence on the ability to drive, cycle or use machines. Room spinning sensation and vision disturbances may occur after taking Humira.</w:delText>
        </w:r>
      </w:del>
    </w:p>
    <w:p w14:paraId="5C3396E1" w14:textId="77777777" w:rsidR="00BC0E7E" w:rsidRDefault="00BC0E7E" w:rsidP="00BC0E7E">
      <w:pPr>
        <w:keepNext/>
        <w:numPr>
          <w:ilvl w:val="12"/>
          <w:numId w:val="0"/>
        </w:numPr>
        <w:tabs>
          <w:tab w:val="clear" w:pos="562"/>
        </w:tabs>
        <w:ind w:right="-2"/>
        <w:rPr>
          <w:del w:id="9905" w:author="AbbVie19" w:date="2025-04-16T12:21:00Z"/>
        </w:rPr>
      </w:pPr>
    </w:p>
    <w:p w14:paraId="42301E43" w14:textId="77777777" w:rsidR="00691AAC" w:rsidRPr="00691AAC" w:rsidRDefault="00944B8F" w:rsidP="00691AAC">
      <w:pPr>
        <w:rPr>
          <w:del w:id="9906" w:author="AbbVie19" w:date="2025-04-16T12:21:00Z"/>
          <w:b/>
          <w:szCs w:val="20"/>
        </w:rPr>
      </w:pPr>
      <w:del w:id="9907" w:author="AbbVie19" w:date="2025-04-16T12:21:00Z">
        <w:r w:rsidRPr="00691AAC">
          <w:rPr>
            <w:b/>
            <w:szCs w:val="20"/>
          </w:rPr>
          <w:delText>Humira contains sodium</w:delText>
        </w:r>
      </w:del>
    </w:p>
    <w:p w14:paraId="4B05D917" w14:textId="77777777" w:rsidR="00691AAC" w:rsidRDefault="00691AAC" w:rsidP="00691AAC">
      <w:pPr>
        <w:autoSpaceDE w:val="0"/>
        <w:autoSpaceDN w:val="0"/>
        <w:adjustRightInd w:val="0"/>
        <w:rPr>
          <w:del w:id="9908" w:author="AbbVie19" w:date="2025-04-16T12:21:00Z"/>
          <w:szCs w:val="22"/>
        </w:rPr>
      </w:pPr>
    </w:p>
    <w:p w14:paraId="3A661EA6" w14:textId="77777777" w:rsidR="00691AAC" w:rsidRDefault="00944B8F" w:rsidP="00691AAC">
      <w:pPr>
        <w:autoSpaceDE w:val="0"/>
        <w:autoSpaceDN w:val="0"/>
        <w:adjustRightInd w:val="0"/>
        <w:rPr>
          <w:del w:id="9909" w:author="AbbVie19" w:date="2025-04-16T12:21:00Z"/>
          <w:szCs w:val="22"/>
        </w:rPr>
      </w:pPr>
      <w:del w:id="9910" w:author="AbbVie19" w:date="2025-04-16T12:21:00Z">
        <w:r w:rsidRPr="004D066E">
          <w:rPr>
            <w:szCs w:val="22"/>
          </w:rPr>
          <w:delText>This medicinal product contains less than 1</w:delText>
        </w:r>
        <w:r w:rsidR="00CB62F0">
          <w:rPr>
            <w:szCs w:val="22"/>
          </w:rPr>
          <w:delText> </w:delText>
        </w:r>
        <w:r w:rsidRPr="004D066E">
          <w:rPr>
            <w:szCs w:val="22"/>
          </w:rPr>
          <w:delText>mmol of sodium (23</w:delText>
        </w:r>
        <w:r w:rsidR="00CB62F0">
          <w:rPr>
            <w:szCs w:val="22"/>
          </w:rPr>
          <w:delText> </w:delText>
        </w:r>
        <w:r w:rsidRPr="004D066E">
          <w:rPr>
            <w:szCs w:val="22"/>
          </w:rPr>
          <w:delText>mg) per 0.8</w:delText>
        </w:r>
        <w:r w:rsidR="00CB62F0">
          <w:rPr>
            <w:szCs w:val="22"/>
          </w:rPr>
          <w:delText> </w:delText>
        </w:r>
        <w:r w:rsidRPr="004D066E">
          <w:rPr>
            <w:szCs w:val="22"/>
          </w:rPr>
          <w:delText>ml dose, i.e. essentially ‘sodium-free’</w:delText>
        </w:r>
        <w:r w:rsidRPr="002A3533">
          <w:rPr>
            <w:szCs w:val="22"/>
          </w:rPr>
          <w:delText>.</w:delText>
        </w:r>
      </w:del>
    </w:p>
    <w:p w14:paraId="7AB2913B" w14:textId="77777777" w:rsidR="00691AAC" w:rsidRPr="00BC0E7E" w:rsidRDefault="00691AAC" w:rsidP="00BC0E7E">
      <w:pPr>
        <w:keepNext/>
        <w:numPr>
          <w:ilvl w:val="12"/>
          <w:numId w:val="0"/>
        </w:numPr>
        <w:tabs>
          <w:tab w:val="clear" w:pos="562"/>
        </w:tabs>
        <w:ind w:right="-2"/>
        <w:rPr>
          <w:del w:id="9911" w:author="AbbVie19" w:date="2025-04-16T12:21:00Z"/>
        </w:rPr>
      </w:pPr>
    </w:p>
    <w:p w14:paraId="2F7A76DA" w14:textId="77777777" w:rsidR="00BC0E7E" w:rsidRPr="00BC0E7E" w:rsidRDefault="00BC0E7E" w:rsidP="00BC0E7E">
      <w:pPr>
        <w:keepNext/>
        <w:numPr>
          <w:ilvl w:val="12"/>
          <w:numId w:val="0"/>
        </w:numPr>
        <w:tabs>
          <w:tab w:val="clear" w:pos="562"/>
        </w:tabs>
        <w:ind w:right="-2"/>
        <w:rPr>
          <w:del w:id="9912" w:author="AbbVie19" w:date="2025-04-16T12:21:00Z"/>
        </w:rPr>
      </w:pPr>
    </w:p>
    <w:p w14:paraId="082E4AC3" w14:textId="77777777" w:rsidR="00BC0E7E" w:rsidRPr="00BC0E7E" w:rsidRDefault="00944B8F" w:rsidP="00BC0E7E">
      <w:pPr>
        <w:outlineLvl w:val="0"/>
        <w:rPr>
          <w:del w:id="9913" w:author="AbbVie19" w:date="2025-04-16T12:21:00Z"/>
          <w:rFonts w:ascii="Times New Roman Bold" w:hAnsi="Times New Roman Bold"/>
          <w:b/>
          <w:szCs w:val="20"/>
        </w:rPr>
      </w:pPr>
      <w:del w:id="9914" w:author="AbbVie19" w:date="2025-04-16T12:21:00Z">
        <w:r w:rsidRPr="00BC0E7E">
          <w:rPr>
            <w:b/>
            <w:caps/>
            <w:szCs w:val="20"/>
          </w:rPr>
          <w:delText>3.</w:delText>
        </w:r>
        <w:r w:rsidRPr="00BC0E7E">
          <w:rPr>
            <w:b/>
            <w:caps/>
            <w:szCs w:val="20"/>
          </w:rPr>
          <w:tab/>
          <w:delText>H</w:delText>
        </w:r>
        <w:r w:rsidRPr="00BC0E7E">
          <w:rPr>
            <w:rFonts w:ascii="Times New Roman Bold" w:hAnsi="Times New Roman Bold"/>
            <w:b/>
            <w:szCs w:val="20"/>
          </w:rPr>
          <w:delText>ow to use Humira</w:delText>
        </w:r>
      </w:del>
    </w:p>
    <w:p w14:paraId="72F6CBD7" w14:textId="77777777" w:rsidR="00BC0E7E" w:rsidRPr="00BC0E7E" w:rsidRDefault="00BC0E7E" w:rsidP="00BC0E7E">
      <w:pPr>
        <w:rPr>
          <w:del w:id="9915" w:author="AbbVie19" w:date="2025-04-16T12:21:00Z"/>
          <w:szCs w:val="20"/>
        </w:rPr>
      </w:pPr>
    </w:p>
    <w:p w14:paraId="00F6EF5F" w14:textId="77777777" w:rsidR="00BC0E7E" w:rsidRPr="00BC0E7E" w:rsidRDefault="00944B8F" w:rsidP="00BC0E7E">
      <w:pPr>
        <w:numPr>
          <w:ilvl w:val="12"/>
          <w:numId w:val="0"/>
        </w:numPr>
        <w:tabs>
          <w:tab w:val="clear" w:pos="562"/>
        </w:tabs>
        <w:ind w:right="-2"/>
        <w:rPr>
          <w:del w:id="9916" w:author="AbbVie19" w:date="2025-04-16T12:21:00Z"/>
        </w:rPr>
      </w:pPr>
      <w:del w:id="9917" w:author="AbbVie19" w:date="2025-04-16T12:21:00Z">
        <w:r w:rsidRPr="00BC0E7E">
          <w:delText xml:space="preserve">Always use this medicine exactly as your child’s doctor or pharmacist has instructed. Check with your child’s doctor or pharmacist if you are not sure about any of the instructions or if you have any questions. </w:delText>
        </w:r>
        <w:r w:rsidR="00D5393E">
          <w:delText>Your doctor may prescribe another strength of Humira if your child needs a different dose.</w:delText>
        </w:r>
      </w:del>
    </w:p>
    <w:p w14:paraId="1C49B128" w14:textId="77777777" w:rsidR="00BC0E7E" w:rsidRPr="00BC0E7E" w:rsidRDefault="00BC0E7E" w:rsidP="00BC0E7E">
      <w:pPr>
        <w:numPr>
          <w:ilvl w:val="12"/>
          <w:numId w:val="0"/>
        </w:numPr>
        <w:tabs>
          <w:tab w:val="clear" w:pos="562"/>
        </w:tabs>
        <w:ind w:right="-2"/>
        <w:rPr>
          <w:del w:id="9918" w:author="AbbVie19" w:date="2025-04-16T12:21:00Z"/>
        </w:rPr>
      </w:pPr>
    </w:p>
    <w:p w14:paraId="521E145D" w14:textId="77777777" w:rsidR="00BC0E7E" w:rsidRPr="00BC0E7E" w:rsidRDefault="00944B8F" w:rsidP="00BC0E7E">
      <w:pPr>
        <w:keepNext/>
        <w:numPr>
          <w:ilvl w:val="12"/>
          <w:numId w:val="0"/>
        </w:numPr>
        <w:tabs>
          <w:tab w:val="clear" w:pos="562"/>
        </w:tabs>
        <w:rPr>
          <w:del w:id="9919" w:author="AbbVie19" w:date="2025-04-16T12:21:00Z"/>
          <w:u w:val="single"/>
        </w:rPr>
      </w:pPr>
      <w:del w:id="9920" w:author="AbbVie19" w:date="2025-04-16T12:21:00Z">
        <w:r w:rsidRPr="00BC0E7E">
          <w:rPr>
            <w:u w:val="single"/>
          </w:rPr>
          <w:lastRenderedPageBreak/>
          <w:delText xml:space="preserve">Children </w:delText>
        </w:r>
        <w:r w:rsidR="00D5393E">
          <w:rPr>
            <w:u w:val="single"/>
          </w:rPr>
          <w:delText xml:space="preserve">and adolescents </w:delText>
        </w:r>
        <w:r w:rsidRPr="00BC0E7E">
          <w:rPr>
            <w:u w:val="single"/>
          </w:rPr>
          <w:delText>with polyarticular juvenile idiopathic arthritis</w:delText>
        </w:r>
      </w:del>
    </w:p>
    <w:p w14:paraId="6700080A" w14:textId="77777777" w:rsidR="00D5393E" w:rsidRDefault="00D5393E" w:rsidP="00D5393E">
      <w:pPr>
        <w:keepNext/>
        <w:numPr>
          <w:ilvl w:val="12"/>
          <w:numId w:val="0"/>
        </w:numPr>
        <w:tabs>
          <w:tab w:val="clear" w:pos="562"/>
          <w:tab w:val="left" w:pos="720"/>
        </w:tabs>
        <w:rPr>
          <w:del w:id="9921" w:author="AbbVie19" w:date="2025-04-16T12:21:00Z"/>
          <w:i/>
        </w:rPr>
      </w:pPr>
    </w:p>
    <w:p w14:paraId="07415E79" w14:textId="77777777" w:rsidR="00D5393E" w:rsidRDefault="00944B8F" w:rsidP="00D5393E">
      <w:pPr>
        <w:keepNext/>
        <w:numPr>
          <w:ilvl w:val="12"/>
          <w:numId w:val="0"/>
        </w:numPr>
        <w:tabs>
          <w:tab w:val="clear" w:pos="562"/>
          <w:tab w:val="left" w:pos="720"/>
        </w:tabs>
        <w:rPr>
          <w:del w:id="9922" w:author="AbbVie19" w:date="2025-04-16T12:21:00Z"/>
          <w:i/>
        </w:rPr>
      </w:pPr>
      <w:del w:id="9923" w:author="AbbVie19" w:date="2025-04-16T12:21:00Z">
        <w:r>
          <w:rPr>
            <w:i/>
          </w:rPr>
          <w:delText>Children and adolescents from 2</w:delText>
        </w:r>
        <w:r w:rsidR="00CB62F0">
          <w:rPr>
            <w:i/>
          </w:rPr>
          <w:delText> </w:delText>
        </w:r>
        <w:r>
          <w:rPr>
            <w:i/>
          </w:rPr>
          <w:delText>years of age weighing 10</w:delText>
        </w:r>
        <w:r w:rsidR="00CB62F0">
          <w:rPr>
            <w:i/>
          </w:rPr>
          <w:delText> </w:delText>
        </w:r>
        <w:r>
          <w:rPr>
            <w:i/>
          </w:rPr>
          <w:delText>kg to less than 30</w:delText>
        </w:r>
        <w:r w:rsidR="00CB62F0">
          <w:rPr>
            <w:i/>
          </w:rPr>
          <w:delText> </w:delText>
        </w:r>
        <w:r>
          <w:rPr>
            <w:i/>
          </w:rPr>
          <w:delText>kg</w:delText>
        </w:r>
      </w:del>
    </w:p>
    <w:p w14:paraId="71D1FE94" w14:textId="77777777" w:rsidR="00D5393E" w:rsidRDefault="00D5393E" w:rsidP="00D5393E">
      <w:pPr>
        <w:keepNext/>
        <w:numPr>
          <w:ilvl w:val="12"/>
          <w:numId w:val="0"/>
        </w:numPr>
        <w:tabs>
          <w:tab w:val="clear" w:pos="562"/>
          <w:tab w:val="left" w:pos="720"/>
        </w:tabs>
        <w:rPr>
          <w:del w:id="9924" w:author="AbbVie19" w:date="2025-04-16T12:21:00Z"/>
          <w:u w:val="single"/>
        </w:rPr>
      </w:pPr>
    </w:p>
    <w:p w14:paraId="20205D91" w14:textId="77777777" w:rsidR="00D5393E" w:rsidRDefault="00944B8F" w:rsidP="00D5393E">
      <w:pPr>
        <w:keepNext/>
        <w:numPr>
          <w:ilvl w:val="12"/>
          <w:numId w:val="0"/>
        </w:numPr>
        <w:tabs>
          <w:tab w:val="clear" w:pos="562"/>
          <w:tab w:val="left" w:pos="720"/>
        </w:tabs>
        <w:rPr>
          <w:del w:id="9925" w:author="AbbVie19" w:date="2025-04-16T12:21:00Z"/>
          <w:u w:val="single"/>
        </w:rPr>
      </w:pPr>
      <w:del w:id="9926" w:author="AbbVie19" w:date="2025-04-16T12:21:00Z">
        <w:r>
          <w:delText>The recommended dose of Humira is 20</w:delText>
        </w:r>
        <w:r w:rsidR="00CB62F0">
          <w:delText> </w:delText>
        </w:r>
        <w:r>
          <w:delText>mg every other week.</w:delText>
        </w:r>
      </w:del>
    </w:p>
    <w:p w14:paraId="14B24970" w14:textId="77777777" w:rsidR="00D5393E" w:rsidRDefault="00D5393E" w:rsidP="00D5393E">
      <w:pPr>
        <w:keepNext/>
        <w:numPr>
          <w:ilvl w:val="12"/>
          <w:numId w:val="0"/>
        </w:numPr>
        <w:tabs>
          <w:tab w:val="clear" w:pos="562"/>
          <w:tab w:val="left" w:pos="720"/>
        </w:tabs>
        <w:rPr>
          <w:del w:id="9927" w:author="AbbVie19" w:date="2025-04-16T12:21:00Z"/>
          <w:u w:val="single"/>
        </w:rPr>
      </w:pPr>
    </w:p>
    <w:p w14:paraId="16B8054A" w14:textId="77777777" w:rsidR="00D5393E" w:rsidRPr="009915BD" w:rsidRDefault="00944B8F" w:rsidP="00D5393E">
      <w:pPr>
        <w:keepNext/>
        <w:numPr>
          <w:ilvl w:val="12"/>
          <w:numId w:val="0"/>
        </w:numPr>
        <w:tabs>
          <w:tab w:val="clear" w:pos="562"/>
          <w:tab w:val="left" w:pos="720"/>
        </w:tabs>
        <w:rPr>
          <w:del w:id="9928" w:author="AbbVie19" w:date="2025-04-16T12:21:00Z"/>
          <w:i/>
        </w:rPr>
      </w:pPr>
      <w:del w:id="9929" w:author="AbbVie19" w:date="2025-04-16T12:21:00Z">
        <w:r>
          <w:rPr>
            <w:i/>
          </w:rPr>
          <w:delText>Children and adolescents from 2</w:delText>
        </w:r>
        <w:r w:rsidR="00CB62F0">
          <w:rPr>
            <w:i/>
          </w:rPr>
          <w:delText> </w:delText>
        </w:r>
        <w:r>
          <w:rPr>
            <w:i/>
          </w:rPr>
          <w:delText>years of age weighing 30</w:delText>
        </w:r>
        <w:r w:rsidR="00CB62F0">
          <w:rPr>
            <w:i/>
          </w:rPr>
          <w:delText> </w:delText>
        </w:r>
        <w:r>
          <w:rPr>
            <w:i/>
          </w:rPr>
          <w:delText>kg or more</w:delText>
        </w:r>
      </w:del>
    </w:p>
    <w:p w14:paraId="2CAF92D1" w14:textId="77777777" w:rsidR="00BC0E7E" w:rsidRPr="00BC0E7E" w:rsidRDefault="00BC0E7E" w:rsidP="00BC0E7E">
      <w:pPr>
        <w:keepNext/>
        <w:numPr>
          <w:ilvl w:val="12"/>
          <w:numId w:val="0"/>
        </w:numPr>
        <w:tabs>
          <w:tab w:val="clear" w:pos="562"/>
        </w:tabs>
        <w:rPr>
          <w:del w:id="9930" w:author="AbbVie19" w:date="2025-04-16T12:21:00Z"/>
        </w:rPr>
      </w:pPr>
    </w:p>
    <w:p w14:paraId="66A038D6" w14:textId="77777777" w:rsidR="00BC0E7E" w:rsidRPr="00BC0E7E" w:rsidRDefault="00944B8F" w:rsidP="00C34015">
      <w:pPr>
        <w:numPr>
          <w:ilvl w:val="12"/>
          <w:numId w:val="0"/>
        </w:numPr>
        <w:tabs>
          <w:tab w:val="clear" w:pos="562"/>
        </w:tabs>
        <w:ind w:right="-2"/>
        <w:rPr>
          <w:del w:id="9931" w:author="AbbVie19" w:date="2025-04-16T12:21:00Z"/>
        </w:rPr>
      </w:pPr>
      <w:del w:id="9932" w:author="AbbVie19" w:date="2025-04-16T12:21:00Z">
        <w:r w:rsidRPr="00BC0E7E">
          <w:delText xml:space="preserve">The recommended dose of Humira </w:delText>
        </w:r>
        <w:r w:rsidR="00D5393E">
          <w:delText>is 40</w:delText>
        </w:r>
        <w:r w:rsidR="00CB62F0">
          <w:delText> </w:delText>
        </w:r>
        <w:r w:rsidR="00D5393E">
          <w:delText>mg every other week.</w:delText>
        </w:r>
      </w:del>
    </w:p>
    <w:p w14:paraId="2BB14C93" w14:textId="77777777" w:rsidR="00BC0E7E" w:rsidRPr="00BC0E7E" w:rsidRDefault="00BC0E7E" w:rsidP="00BC0E7E">
      <w:pPr>
        <w:numPr>
          <w:ilvl w:val="12"/>
          <w:numId w:val="0"/>
        </w:numPr>
        <w:tabs>
          <w:tab w:val="clear" w:pos="562"/>
        </w:tabs>
        <w:ind w:right="-2"/>
        <w:rPr>
          <w:del w:id="9933" w:author="AbbVie19" w:date="2025-04-16T12:21:00Z"/>
        </w:rPr>
      </w:pPr>
    </w:p>
    <w:p w14:paraId="4BD36D48" w14:textId="77777777" w:rsidR="00BC0E7E" w:rsidRPr="00BC0E7E" w:rsidRDefault="00944B8F" w:rsidP="00C568D0">
      <w:pPr>
        <w:keepNext/>
        <w:numPr>
          <w:ilvl w:val="12"/>
          <w:numId w:val="0"/>
        </w:numPr>
        <w:ind w:right="-2"/>
        <w:rPr>
          <w:del w:id="9934" w:author="AbbVie19" w:date="2025-04-16T12:21:00Z"/>
          <w:u w:val="single"/>
        </w:rPr>
      </w:pPr>
      <w:del w:id="9935" w:author="AbbVie19" w:date="2025-04-16T12:21:00Z">
        <w:r w:rsidRPr="00BC0E7E">
          <w:rPr>
            <w:u w:val="single"/>
          </w:rPr>
          <w:delText>Children</w:delText>
        </w:r>
        <w:r w:rsidR="00D5393E">
          <w:rPr>
            <w:u w:val="single"/>
          </w:rPr>
          <w:delText>,</w:delText>
        </w:r>
        <w:r w:rsidR="00D5393E" w:rsidRPr="002A3533">
          <w:rPr>
            <w:u w:val="single"/>
          </w:rPr>
          <w:delText xml:space="preserve"> </w:delText>
        </w:r>
        <w:r w:rsidR="00D5393E">
          <w:rPr>
            <w:u w:val="single"/>
          </w:rPr>
          <w:delText>adolescents and adults</w:delText>
        </w:r>
        <w:r w:rsidRPr="00BC0E7E">
          <w:rPr>
            <w:u w:val="single"/>
          </w:rPr>
          <w:delText xml:space="preserve"> with enthesitis-related arthritis</w:delText>
        </w:r>
      </w:del>
    </w:p>
    <w:p w14:paraId="091440BF" w14:textId="77777777" w:rsidR="00D5393E" w:rsidRDefault="00D5393E" w:rsidP="00C568D0">
      <w:pPr>
        <w:keepNext/>
        <w:numPr>
          <w:ilvl w:val="12"/>
          <w:numId w:val="0"/>
        </w:numPr>
        <w:tabs>
          <w:tab w:val="clear" w:pos="562"/>
          <w:tab w:val="left" w:pos="720"/>
        </w:tabs>
        <w:rPr>
          <w:del w:id="9936" w:author="AbbVie19" w:date="2025-04-16T12:21:00Z"/>
          <w:i/>
        </w:rPr>
      </w:pPr>
    </w:p>
    <w:p w14:paraId="69048DD7" w14:textId="77777777" w:rsidR="00D5393E" w:rsidRDefault="00944B8F" w:rsidP="00C568D0">
      <w:pPr>
        <w:keepNext/>
        <w:numPr>
          <w:ilvl w:val="12"/>
          <w:numId w:val="0"/>
        </w:numPr>
        <w:tabs>
          <w:tab w:val="clear" w:pos="562"/>
          <w:tab w:val="left" w:pos="720"/>
        </w:tabs>
        <w:rPr>
          <w:del w:id="9937" w:author="AbbVie19" w:date="2025-04-16T12:21:00Z"/>
          <w:i/>
        </w:rPr>
      </w:pPr>
      <w:del w:id="9938" w:author="AbbVie19" w:date="2025-04-16T12:21:00Z">
        <w:r>
          <w:rPr>
            <w:i/>
          </w:rPr>
          <w:delText>Children and adolescents from 6</w:delText>
        </w:r>
        <w:r w:rsidR="00CB62F0">
          <w:rPr>
            <w:i/>
          </w:rPr>
          <w:delText> </w:delText>
        </w:r>
        <w:r>
          <w:rPr>
            <w:i/>
          </w:rPr>
          <w:delText>years of age weighing 15</w:delText>
        </w:r>
        <w:r w:rsidR="00CB62F0">
          <w:rPr>
            <w:i/>
          </w:rPr>
          <w:delText> </w:delText>
        </w:r>
        <w:r>
          <w:rPr>
            <w:i/>
          </w:rPr>
          <w:delText>kg to less than 30</w:delText>
        </w:r>
        <w:r w:rsidR="00CB62F0">
          <w:rPr>
            <w:i/>
          </w:rPr>
          <w:delText> </w:delText>
        </w:r>
        <w:r>
          <w:rPr>
            <w:i/>
          </w:rPr>
          <w:delText>kg</w:delText>
        </w:r>
      </w:del>
    </w:p>
    <w:p w14:paraId="6EC2629F" w14:textId="77777777" w:rsidR="00D5393E" w:rsidRDefault="00D5393E" w:rsidP="00D5393E">
      <w:pPr>
        <w:keepNext/>
        <w:numPr>
          <w:ilvl w:val="12"/>
          <w:numId w:val="0"/>
        </w:numPr>
        <w:tabs>
          <w:tab w:val="clear" w:pos="562"/>
          <w:tab w:val="left" w:pos="720"/>
        </w:tabs>
        <w:rPr>
          <w:del w:id="9939" w:author="AbbVie19" w:date="2025-04-16T12:21:00Z"/>
          <w:u w:val="single"/>
        </w:rPr>
      </w:pPr>
    </w:p>
    <w:p w14:paraId="324E4EB8" w14:textId="77777777" w:rsidR="00D5393E" w:rsidRDefault="00944B8F" w:rsidP="00D5393E">
      <w:pPr>
        <w:keepNext/>
        <w:numPr>
          <w:ilvl w:val="12"/>
          <w:numId w:val="0"/>
        </w:numPr>
        <w:tabs>
          <w:tab w:val="clear" w:pos="562"/>
          <w:tab w:val="left" w:pos="720"/>
        </w:tabs>
        <w:rPr>
          <w:del w:id="9940" w:author="AbbVie19" w:date="2025-04-16T12:21:00Z"/>
          <w:u w:val="single"/>
        </w:rPr>
      </w:pPr>
      <w:del w:id="9941" w:author="AbbVie19" w:date="2025-04-16T12:21:00Z">
        <w:r>
          <w:delText>The recommended dose of Humira is 20</w:delText>
        </w:r>
        <w:r w:rsidR="00CB62F0">
          <w:delText> </w:delText>
        </w:r>
        <w:r>
          <w:delText>mg every other week.</w:delText>
        </w:r>
      </w:del>
    </w:p>
    <w:p w14:paraId="012EC47C" w14:textId="77777777" w:rsidR="00D5393E" w:rsidRDefault="00D5393E" w:rsidP="00D5393E">
      <w:pPr>
        <w:keepNext/>
        <w:numPr>
          <w:ilvl w:val="12"/>
          <w:numId w:val="0"/>
        </w:numPr>
        <w:tabs>
          <w:tab w:val="clear" w:pos="562"/>
          <w:tab w:val="left" w:pos="720"/>
        </w:tabs>
        <w:rPr>
          <w:del w:id="9942" w:author="AbbVie19" w:date="2025-04-16T12:21:00Z"/>
          <w:u w:val="single"/>
        </w:rPr>
      </w:pPr>
    </w:p>
    <w:p w14:paraId="7A348224" w14:textId="77777777" w:rsidR="00D5393E" w:rsidRDefault="00944B8F" w:rsidP="00D5393E">
      <w:pPr>
        <w:keepNext/>
        <w:numPr>
          <w:ilvl w:val="12"/>
          <w:numId w:val="0"/>
        </w:numPr>
        <w:tabs>
          <w:tab w:val="clear" w:pos="562"/>
          <w:tab w:val="left" w:pos="720"/>
        </w:tabs>
        <w:rPr>
          <w:del w:id="9943" w:author="AbbVie19" w:date="2025-04-16T12:21:00Z"/>
          <w:i/>
        </w:rPr>
      </w:pPr>
      <w:del w:id="9944" w:author="AbbVie19" w:date="2025-04-16T12:21:00Z">
        <w:r>
          <w:rPr>
            <w:i/>
          </w:rPr>
          <w:delText>Children, adolescents and adults from 6</w:delText>
        </w:r>
        <w:r w:rsidR="00CB62F0">
          <w:rPr>
            <w:i/>
          </w:rPr>
          <w:delText> </w:delText>
        </w:r>
        <w:r>
          <w:rPr>
            <w:i/>
          </w:rPr>
          <w:delText>years of age weighing 30</w:delText>
        </w:r>
        <w:r w:rsidR="00CB62F0">
          <w:rPr>
            <w:i/>
          </w:rPr>
          <w:delText> </w:delText>
        </w:r>
        <w:r>
          <w:rPr>
            <w:i/>
          </w:rPr>
          <w:delText>kg or more</w:delText>
        </w:r>
      </w:del>
    </w:p>
    <w:p w14:paraId="4B7188A7" w14:textId="77777777" w:rsidR="00D5393E" w:rsidRDefault="00D5393E" w:rsidP="00D5393E">
      <w:pPr>
        <w:keepNext/>
        <w:numPr>
          <w:ilvl w:val="12"/>
          <w:numId w:val="0"/>
        </w:numPr>
        <w:tabs>
          <w:tab w:val="clear" w:pos="562"/>
          <w:tab w:val="left" w:pos="720"/>
        </w:tabs>
        <w:rPr>
          <w:del w:id="9945" w:author="AbbVie19" w:date="2025-04-16T12:21:00Z"/>
        </w:rPr>
      </w:pPr>
    </w:p>
    <w:p w14:paraId="5D94517F" w14:textId="77777777" w:rsidR="00D5393E" w:rsidRDefault="00944B8F" w:rsidP="00D5393E">
      <w:pPr>
        <w:keepNext/>
        <w:numPr>
          <w:ilvl w:val="12"/>
          <w:numId w:val="0"/>
        </w:numPr>
        <w:tabs>
          <w:tab w:val="clear" w:pos="562"/>
          <w:tab w:val="left" w:pos="720"/>
        </w:tabs>
        <w:rPr>
          <w:del w:id="9946" w:author="AbbVie19" w:date="2025-04-16T12:21:00Z"/>
        </w:rPr>
      </w:pPr>
      <w:del w:id="9947" w:author="AbbVie19" w:date="2025-04-16T12:21:00Z">
        <w:r>
          <w:delText>The recommended dose of Humira is 40</w:delText>
        </w:r>
        <w:r w:rsidR="00CB62F0">
          <w:delText> </w:delText>
        </w:r>
        <w:r>
          <w:delText>mg every other week.</w:delText>
        </w:r>
      </w:del>
    </w:p>
    <w:p w14:paraId="1E076562" w14:textId="77777777" w:rsidR="00BC0E7E" w:rsidRPr="00BC0E7E" w:rsidRDefault="00BC0E7E" w:rsidP="00BC0E7E">
      <w:pPr>
        <w:numPr>
          <w:ilvl w:val="12"/>
          <w:numId w:val="0"/>
        </w:numPr>
        <w:ind w:right="-2"/>
        <w:rPr>
          <w:del w:id="9948" w:author="AbbVie19" w:date="2025-04-16T12:21:00Z"/>
        </w:rPr>
      </w:pPr>
    </w:p>
    <w:p w14:paraId="1CC917D4" w14:textId="77777777" w:rsidR="00BC0E7E" w:rsidRPr="00BC0E7E" w:rsidRDefault="00944B8F" w:rsidP="00BC0E7E">
      <w:pPr>
        <w:ind w:right="34"/>
        <w:rPr>
          <w:del w:id="9949" w:author="AbbVie19" w:date="2025-04-16T12:21:00Z"/>
          <w:u w:val="single"/>
        </w:rPr>
      </w:pPr>
      <w:del w:id="9950" w:author="AbbVie19" w:date="2025-04-16T12:21:00Z">
        <w:r w:rsidRPr="00BC0E7E">
          <w:rPr>
            <w:u w:val="single"/>
          </w:rPr>
          <w:delText xml:space="preserve">Children </w:delText>
        </w:r>
        <w:r w:rsidR="00782746">
          <w:rPr>
            <w:u w:val="single"/>
          </w:rPr>
          <w:delText>and</w:delText>
        </w:r>
        <w:r w:rsidR="00782746" w:rsidRPr="00BC0E7E">
          <w:rPr>
            <w:u w:val="single"/>
          </w:rPr>
          <w:delText xml:space="preserve"> </w:delText>
        </w:r>
        <w:r w:rsidRPr="00BC0E7E">
          <w:rPr>
            <w:u w:val="single"/>
          </w:rPr>
          <w:delText>adolescents with psoriasis</w:delText>
        </w:r>
      </w:del>
    </w:p>
    <w:p w14:paraId="69A3CE78" w14:textId="77777777" w:rsidR="00BC0E7E" w:rsidRPr="00BC0E7E" w:rsidRDefault="00BC0E7E" w:rsidP="00BC0E7E">
      <w:pPr>
        <w:numPr>
          <w:ilvl w:val="12"/>
          <w:numId w:val="0"/>
        </w:numPr>
        <w:tabs>
          <w:tab w:val="clear" w:pos="562"/>
        </w:tabs>
        <w:ind w:right="-2"/>
        <w:rPr>
          <w:del w:id="9951" w:author="AbbVie19" w:date="2025-04-16T12:21:00Z"/>
        </w:rPr>
      </w:pPr>
    </w:p>
    <w:p w14:paraId="4C34C31C" w14:textId="77777777" w:rsidR="00782746" w:rsidRPr="002A3533" w:rsidRDefault="00944B8F" w:rsidP="00782746">
      <w:pPr>
        <w:numPr>
          <w:ilvl w:val="12"/>
          <w:numId w:val="0"/>
        </w:numPr>
        <w:tabs>
          <w:tab w:val="clear" w:pos="562"/>
          <w:tab w:val="left" w:pos="1590"/>
        </w:tabs>
        <w:ind w:right="-2"/>
        <w:rPr>
          <w:del w:id="9952" w:author="AbbVie19" w:date="2025-04-16T12:21:00Z"/>
          <w:u w:val="single"/>
        </w:rPr>
      </w:pPr>
      <w:del w:id="9953" w:author="AbbVie19" w:date="2025-04-16T12:21:00Z">
        <w:r>
          <w:rPr>
            <w:i/>
          </w:rPr>
          <w:delText>Children and adolescents from 4 to 17</w:delText>
        </w:r>
        <w:r w:rsidR="00CB62F0">
          <w:rPr>
            <w:i/>
          </w:rPr>
          <w:delText> </w:delText>
        </w:r>
        <w:r>
          <w:rPr>
            <w:i/>
          </w:rPr>
          <w:delText>years of age weighing 15</w:delText>
        </w:r>
        <w:r w:rsidR="00CB62F0">
          <w:rPr>
            <w:i/>
          </w:rPr>
          <w:delText> </w:delText>
        </w:r>
        <w:r>
          <w:rPr>
            <w:i/>
          </w:rPr>
          <w:delText>kg to less than 30</w:delText>
        </w:r>
        <w:r w:rsidR="00CB62F0">
          <w:rPr>
            <w:i/>
          </w:rPr>
          <w:delText> </w:delText>
        </w:r>
        <w:r>
          <w:rPr>
            <w:i/>
          </w:rPr>
          <w:delText>kg</w:delText>
        </w:r>
      </w:del>
    </w:p>
    <w:p w14:paraId="1F2DEA22" w14:textId="77777777" w:rsidR="00782746" w:rsidRDefault="00782746" w:rsidP="00BC0E7E">
      <w:pPr>
        <w:numPr>
          <w:ilvl w:val="12"/>
          <w:numId w:val="0"/>
        </w:numPr>
        <w:tabs>
          <w:tab w:val="clear" w:pos="562"/>
        </w:tabs>
        <w:ind w:right="-2"/>
        <w:rPr>
          <w:del w:id="9954" w:author="AbbVie19" w:date="2025-04-16T12:21:00Z"/>
        </w:rPr>
      </w:pPr>
    </w:p>
    <w:p w14:paraId="3F7BCF7A" w14:textId="77777777" w:rsidR="00782746" w:rsidRDefault="00944B8F" w:rsidP="00782746">
      <w:pPr>
        <w:numPr>
          <w:ilvl w:val="12"/>
          <w:numId w:val="0"/>
        </w:numPr>
        <w:tabs>
          <w:tab w:val="clear" w:pos="562"/>
          <w:tab w:val="left" w:pos="720"/>
        </w:tabs>
        <w:ind w:right="-2"/>
        <w:rPr>
          <w:del w:id="9955" w:author="AbbVie19" w:date="2025-04-16T12:21:00Z"/>
        </w:rPr>
      </w:pPr>
      <w:del w:id="9956" w:author="AbbVie19" w:date="2025-04-16T12:21:00Z">
        <w:r w:rsidRPr="00BC0E7E">
          <w:delText>The recommended dose of Humira</w:delText>
        </w:r>
        <w:r w:rsidRPr="009915BD">
          <w:delText xml:space="preserve"> </w:delText>
        </w:r>
        <w:r>
          <w:delText>is an initial dose of 20</w:delText>
        </w:r>
        <w:r w:rsidR="00CB62F0">
          <w:delText> </w:delText>
        </w:r>
        <w:r>
          <w:delText>mg, followed by 20</w:delText>
        </w:r>
        <w:r w:rsidR="00CB62F0">
          <w:delText> </w:delText>
        </w:r>
        <w:r>
          <w:delText>mg one week later. Thereafter, the usual dose is 20</w:delText>
        </w:r>
        <w:r w:rsidR="00CB62F0">
          <w:delText> </w:delText>
        </w:r>
        <w:r>
          <w:delText>mg every other week.</w:delText>
        </w:r>
      </w:del>
    </w:p>
    <w:p w14:paraId="0BD34CD9" w14:textId="77777777" w:rsidR="00782746" w:rsidRDefault="00782746" w:rsidP="00782746">
      <w:pPr>
        <w:numPr>
          <w:ilvl w:val="12"/>
          <w:numId w:val="0"/>
        </w:numPr>
        <w:tabs>
          <w:tab w:val="clear" w:pos="562"/>
          <w:tab w:val="left" w:pos="720"/>
        </w:tabs>
        <w:ind w:right="-2"/>
        <w:rPr>
          <w:del w:id="9957" w:author="AbbVie19" w:date="2025-04-16T12:21:00Z"/>
        </w:rPr>
      </w:pPr>
    </w:p>
    <w:p w14:paraId="4437C5EC" w14:textId="77777777" w:rsidR="00782746" w:rsidRDefault="00944B8F" w:rsidP="00782746">
      <w:pPr>
        <w:numPr>
          <w:ilvl w:val="12"/>
          <w:numId w:val="0"/>
        </w:numPr>
        <w:tabs>
          <w:tab w:val="clear" w:pos="562"/>
          <w:tab w:val="left" w:pos="720"/>
        </w:tabs>
        <w:ind w:right="-2"/>
        <w:rPr>
          <w:del w:id="9958" w:author="AbbVie19" w:date="2025-04-16T12:21:00Z"/>
          <w:i/>
        </w:rPr>
      </w:pPr>
      <w:del w:id="9959" w:author="AbbVie19" w:date="2025-04-16T12:21:00Z">
        <w:r>
          <w:rPr>
            <w:i/>
          </w:rPr>
          <w:delText>Children and adolescents from 4 to 17</w:delText>
        </w:r>
        <w:r w:rsidR="00CB62F0">
          <w:rPr>
            <w:i/>
          </w:rPr>
          <w:delText> </w:delText>
        </w:r>
        <w:r>
          <w:rPr>
            <w:i/>
          </w:rPr>
          <w:delText>years of age weighing 30</w:delText>
        </w:r>
        <w:r w:rsidR="00CB62F0">
          <w:rPr>
            <w:i/>
          </w:rPr>
          <w:delText> </w:delText>
        </w:r>
        <w:r>
          <w:rPr>
            <w:i/>
          </w:rPr>
          <w:delText>kg or more</w:delText>
        </w:r>
      </w:del>
    </w:p>
    <w:p w14:paraId="2AB0C534" w14:textId="77777777" w:rsidR="00782746" w:rsidRDefault="00782746" w:rsidP="00782746">
      <w:pPr>
        <w:numPr>
          <w:ilvl w:val="12"/>
          <w:numId w:val="0"/>
        </w:numPr>
        <w:tabs>
          <w:tab w:val="clear" w:pos="562"/>
          <w:tab w:val="left" w:pos="720"/>
        </w:tabs>
        <w:ind w:right="-2"/>
        <w:rPr>
          <w:del w:id="9960" w:author="AbbVie19" w:date="2025-04-16T12:21:00Z"/>
        </w:rPr>
      </w:pPr>
    </w:p>
    <w:p w14:paraId="5A8A26E4" w14:textId="77777777" w:rsidR="00BC0E7E" w:rsidRPr="00BC0E7E" w:rsidRDefault="00944B8F" w:rsidP="00782746">
      <w:pPr>
        <w:numPr>
          <w:ilvl w:val="12"/>
          <w:numId w:val="0"/>
        </w:numPr>
        <w:tabs>
          <w:tab w:val="clear" w:pos="562"/>
        </w:tabs>
        <w:ind w:right="-2"/>
        <w:rPr>
          <w:del w:id="9961" w:author="AbbVie19" w:date="2025-04-16T12:21:00Z"/>
        </w:rPr>
      </w:pPr>
      <w:del w:id="9962" w:author="AbbVie19" w:date="2025-04-16T12:21:00Z">
        <w:r>
          <w:delText>The recommended dose of Humira is an initial dose of 40</w:delText>
        </w:r>
        <w:r w:rsidR="00CB62F0">
          <w:delText> </w:delText>
        </w:r>
        <w:r>
          <w:delText>mg, followed by 40</w:delText>
        </w:r>
        <w:r w:rsidR="00CB62F0">
          <w:delText> </w:delText>
        </w:r>
        <w:r>
          <w:delText>mg one week later. Thereafter, the usual dose is 40</w:delText>
        </w:r>
        <w:r w:rsidR="00CB62F0">
          <w:delText> </w:delText>
        </w:r>
        <w:r>
          <w:delText>mg every other week.</w:delText>
        </w:r>
      </w:del>
    </w:p>
    <w:p w14:paraId="0102F237" w14:textId="77777777" w:rsidR="00BC0E7E" w:rsidRPr="00BC0E7E" w:rsidRDefault="00BC0E7E" w:rsidP="00BC0E7E">
      <w:pPr>
        <w:numPr>
          <w:ilvl w:val="12"/>
          <w:numId w:val="0"/>
        </w:numPr>
        <w:tabs>
          <w:tab w:val="clear" w:pos="562"/>
        </w:tabs>
        <w:ind w:right="-2"/>
        <w:rPr>
          <w:del w:id="9963" w:author="AbbVie19" w:date="2025-04-16T12:21:00Z"/>
        </w:rPr>
      </w:pPr>
    </w:p>
    <w:p w14:paraId="6912E558" w14:textId="77777777" w:rsidR="00BC0E7E" w:rsidRPr="00BC0E7E" w:rsidRDefault="00944B8F" w:rsidP="00BC0E7E">
      <w:pPr>
        <w:numPr>
          <w:ilvl w:val="12"/>
          <w:numId w:val="0"/>
        </w:numPr>
        <w:tabs>
          <w:tab w:val="clear" w:pos="562"/>
        </w:tabs>
        <w:ind w:right="-2"/>
        <w:rPr>
          <w:del w:id="9964" w:author="AbbVie19" w:date="2025-04-16T12:21:00Z"/>
          <w:u w:val="single"/>
        </w:rPr>
      </w:pPr>
      <w:del w:id="9965" w:author="AbbVie19" w:date="2025-04-16T12:21:00Z">
        <w:r w:rsidRPr="00BC0E7E">
          <w:rPr>
            <w:u w:val="single"/>
          </w:rPr>
          <w:delText>Adolescents with hidradenitis suppurativa from 12</w:delText>
        </w:r>
        <w:r w:rsidR="00EF3F63">
          <w:rPr>
            <w:u w:val="single"/>
          </w:rPr>
          <w:delText xml:space="preserve"> </w:delText>
        </w:r>
        <w:r w:rsidR="00782746">
          <w:rPr>
            <w:u w:val="single"/>
          </w:rPr>
          <w:delText>to 17</w:delText>
        </w:r>
        <w:r w:rsidR="00CB62F0">
          <w:rPr>
            <w:u w:val="single"/>
          </w:rPr>
          <w:delText> </w:delText>
        </w:r>
        <w:r w:rsidRPr="00BC0E7E">
          <w:rPr>
            <w:u w:val="single"/>
          </w:rPr>
          <w:delText xml:space="preserve">years of age, weighing </w:delText>
        </w:r>
        <w:r w:rsidR="00CB62F0">
          <w:rPr>
            <w:u w:val="single"/>
          </w:rPr>
          <w:delText>30 </w:delText>
        </w:r>
        <w:r w:rsidRPr="00BC0E7E">
          <w:rPr>
            <w:u w:val="single"/>
          </w:rPr>
          <w:delText>kg</w:delText>
        </w:r>
        <w:r w:rsidR="00782746">
          <w:rPr>
            <w:u w:val="single"/>
          </w:rPr>
          <w:delText xml:space="preserve"> or more</w:delText>
        </w:r>
      </w:del>
    </w:p>
    <w:p w14:paraId="14F5581C" w14:textId="77777777" w:rsidR="00BC0E7E" w:rsidRPr="00BC0E7E" w:rsidRDefault="00BC0E7E" w:rsidP="00BC0E7E">
      <w:pPr>
        <w:numPr>
          <w:ilvl w:val="12"/>
          <w:numId w:val="0"/>
        </w:numPr>
        <w:tabs>
          <w:tab w:val="clear" w:pos="562"/>
        </w:tabs>
        <w:ind w:right="-2"/>
        <w:rPr>
          <w:del w:id="9966" w:author="AbbVie19" w:date="2025-04-16T12:21:00Z"/>
        </w:rPr>
      </w:pPr>
    </w:p>
    <w:p w14:paraId="2341E1C5" w14:textId="77777777" w:rsidR="00BC0E7E" w:rsidRPr="00BC0E7E" w:rsidRDefault="00944B8F" w:rsidP="00BC0E7E">
      <w:pPr>
        <w:numPr>
          <w:ilvl w:val="12"/>
          <w:numId w:val="0"/>
        </w:numPr>
        <w:tabs>
          <w:tab w:val="clear" w:pos="562"/>
        </w:tabs>
        <w:ind w:right="-2"/>
        <w:rPr>
          <w:del w:id="9967" w:author="AbbVie19" w:date="2025-04-16T12:21:00Z"/>
        </w:rPr>
      </w:pPr>
      <w:del w:id="9968" w:author="AbbVie19" w:date="2025-04-16T12:21:00Z">
        <w:r w:rsidRPr="00BC0E7E">
          <w:delText xml:space="preserve">The recommended dose of Humira is </w:delText>
        </w:r>
        <w:r w:rsidR="00CB62F0">
          <w:delText>an initial dose of 80 </w:delText>
        </w:r>
        <w:r w:rsidRPr="00BC0E7E">
          <w:delText xml:space="preserve">mg </w:delText>
        </w:r>
        <w:r w:rsidRPr="00BC0E7E">
          <w:rPr>
            <w:szCs w:val="22"/>
          </w:rPr>
          <w:delText>(</w:delText>
        </w:r>
        <w:r w:rsidR="00782746">
          <w:rPr>
            <w:szCs w:val="22"/>
          </w:rPr>
          <w:delText xml:space="preserve">as </w:delText>
        </w:r>
        <w:r w:rsidRPr="00BC0E7E">
          <w:rPr>
            <w:szCs w:val="22"/>
          </w:rPr>
          <w:delText>two</w:delText>
        </w:r>
        <w:r w:rsidR="00827D44">
          <w:rPr>
            <w:szCs w:val="22"/>
          </w:rPr>
          <w:delText xml:space="preserve"> 40</w:delText>
        </w:r>
        <w:r w:rsidR="002B1B68">
          <w:rPr>
            <w:szCs w:val="22"/>
          </w:rPr>
          <w:delText> </w:delText>
        </w:r>
        <w:r w:rsidR="00827D44">
          <w:rPr>
            <w:szCs w:val="22"/>
          </w:rPr>
          <w:delText>mg</w:delText>
        </w:r>
        <w:r w:rsidRPr="00BC0E7E">
          <w:rPr>
            <w:szCs w:val="22"/>
          </w:rPr>
          <w:delText xml:space="preserve"> injections in one day)</w:delText>
        </w:r>
        <w:r w:rsidR="00CB62F0">
          <w:delText>, followed by 40 </w:delText>
        </w:r>
        <w:r w:rsidRPr="00BC0E7E">
          <w:delText>mg every other week starting one week later. If you have an inadequate response</w:delText>
        </w:r>
        <w:r w:rsidR="00827D44">
          <w:delText xml:space="preserve"> to Humira 40</w:delText>
        </w:r>
        <w:r w:rsidR="002B1B68">
          <w:delText> </w:delText>
        </w:r>
        <w:r w:rsidR="00827D44">
          <w:delText>mg every other week</w:delText>
        </w:r>
        <w:r w:rsidRPr="00BC0E7E">
          <w:delText>, your doctor may in</w:delText>
        </w:r>
        <w:r w:rsidR="00CB62F0">
          <w:delText>crease the dos</w:delText>
        </w:r>
        <w:r w:rsidR="00827D44">
          <w:delText>ag</w:delText>
        </w:r>
        <w:r w:rsidR="00CB62F0">
          <w:delText>e to 40 </w:delText>
        </w:r>
        <w:r w:rsidRPr="00BC0E7E">
          <w:delText>mg every week</w:delText>
        </w:r>
        <w:r w:rsidR="00827D44">
          <w:delText xml:space="preserve"> or 80</w:delText>
        </w:r>
        <w:r w:rsidR="002B1B68">
          <w:delText> </w:delText>
        </w:r>
        <w:r w:rsidR="00827D44">
          <w:delText>mg every other week</w:delText>
        </w:r>
        <w:r w:rsidRPr="00BC0E7E">
          <w:delText>.</w:delText>
        </w:r>
      </w:del>
    </w:p>
    <w:p w14:paraId="317F13DD" w14:textId="77777777" w:rsidR="00BC0E7E" w:rsidRPr="00BC0E7E" w:rsidRDefault="00BC0E7E" w:rsidP="00BC0E7E">
      <w:pPr>
        <w:numPr>
          <w:ilvl w:val="12"/>
          <w:numId w:val="0"/>
        </w:numPr>
        <w:tabs>
          <w:tab w:val="clear" w:pos="562"/>
        </w:tabs>
        <w:ind w:right="-2"/>
        <w:rPr>
          <w:del w:id="9969" w:author="AbbVie19" w:date="2025-04-16T12:21:00Z"/>
        </w:rPr>
      </w:pPr>
    </w:p>
    <w:p w14:paraId="7329E232" w14:textId="77777777" w:rsidR="00BC0E7E" w:rsidRPr="00BC0E7E" w:rsidRDefault="00944B8F" w:rsidP="00BC0E7E">
      <w:pPr>
        <w:numPr>
          <w:ilvl w:val="12"/>
          <w:numId w:val="0"/>
        </w:numPr>
        <w:tabs>
          <w:tab w:val="clear" w:pos="562"/>
        </w:tabs>
        <w:ind w:right="-2"/>
        <w:rPr>
          <w:del w:id="9970" w:author="AbbVie19" w:date="2025-04-16T12:21:00Z"/>
        </w:rPr>
      </w:pPr>
      <w:del w:id="9971" w:author="AbbVie19" w:date="2025-04-16T12:21:00Z">
        <w:r w:rsidRPr="00BC0E7E">
          <w:delText>It is recommended that you use an antiseptic wash daily on the affected areas.</w:delText>
        </w:r>
      </w:del>
    </w:p>
    <w:p w14:paraId="28D77AFF" w14:textId="77777777" w:rsidR="00BC0E7E" w:rsidRPr="00BC0E7E" w:rsidRDefault="00BC0E7E" w:rsidP="00BC0E7E">
      <w:pPr>
        <w:numPr>
          <w:ilvl w:val="12"/>
          <w:numId w:val="0"/>
        </w:numPr>
        <w:tabs>
          <w:tab w:val="clear" w:pos="562"/>
        </w:tabs>
        <w:ind w:right="-2"/>
        <w:rPr>
          <w:del w:id="9972" w:author="AbbVie19" w:date="2025-04-16T12:21:00Z"/>
        </w:rPr>
      </w:pPr>
    </w:p>
    <w:p w14:paraId="6D965297" w14:textId="77777777" w:rsidR="00782746" w:rsidRDefault="00944B8F" w:rsidP="00782746">
      <w:pPr>
        <w:ind w:right="34"/>
        <w:rPr>
          <w:del w:id="9973" w:author="AbbVie19" w:date="2025-04-16T12:21:00Z"/>
          <w:u w:val="single"/>
        </w:rPr>
      </w:pPr>
      <w:del w:id="9974" w:author="AbbVie19" w:date="2025-04-16T12:21:00Z">
        <w:r>
          <w:rPr>
            <w:u w:val="single"/>
          </w:rPr>
          <w:delText>Children and adolescents with Crohn's disease</w:delText>
        </w:r>
      </w:del>
    </w:p>
    <w:p w14:paraId="3AEB4F69" w14:textId="77777777" w:rsidR="00782746" w:rsidRDefault="00782746" w:rsidP="00782746">
      <w:pPr>
        <w:ind w:right="34"/>
        <w:rPr>
          <w:del w:id="9975" w:author="AbbVie19" w:date="2025-04-16T12:21:00Z"/>
        </w:rPr>
      </w:pPr>
    </w:p>
    <w:p w14:paraId="70523FFD" w14:textId="77777777" w:rsidR="00782746" w:rsidRDefault="00944B8F" w:rsidP="00782746">
      <w:pPr>
        <w:ind w:right="34"/>
        <w:rPr>
          <w:del w:id="9976" w:author="AbbVie19" w:date="2025-04-16T12:21:00Z"/>
          <w:bCs/>
          <w:u w:val="single"/>
        </w:rPr>
      </w:pPr>
      <w:del w:id="9977" w:author="AbbVie19" w:date="2025-04-16T12:21:00Z">
        <w:r>
          <w:rPr>
            <w:bCs/>
            <w:i/>
          </w:rPr>
          <w:delText>Children and adolescents from 6 to 17</w:delText>
        </w:r>
        <w:r w:rsidR="00CB62F0">
          <w:rPr>
            <w:bCs/>
            <w:i/>
          </w:rPr>
          <w:delText> </w:delText>
        </w:r>
        <w:r>
          <w:rPr>
            <w:bCs/>
            <w:i/>
          </w:rPr>
          <w:delText>years of age weighing less than 40</w:delText>
        </w:r>
        <w:r w:rsidR="00CB62F0">
          <w:rPr>
            <w:bCs/>
            <w:i/>
          </w:rPr>
          <w:delText> </w:delText>
        </w:r>
        <w:r>
          <w:rPr>
            <w:bCs/>
            <w:i/>
          </w:rPr>
          <w:delText>kg</w:delText>
        </w:r>
        <w:r>
          <w:rPr>
            <w:bCs/>
            <w:u w:val="single"/>
          </w:rPr>
          <w:delText xml:space="preserve">  </w:delText>
        </w:r>
      </w:del>
    </w:p>
    <w:p w14:paraId="1E6DCCBD" w14:textId="77777777" w:rsidR="00782746" w:rsidRDefault="00782746" w:rsidP="00782746">
      <w:pPr>
        <w:ind w:right="34"/>
        <w:rPr>
          <w:del w:id="9978" w:author="AbbVie19" w:date="2025-04-16T12:21:00Z"/>
          <w:bCs/>
        </w:rPr>
      </w:pPr>
    </w:p>
    <w:p w14:paraId="75544400" w14:textId="77777777" w:rsidR="00782746" w:rsidRDefault="00944B8F" w:rsidP="00782746">
      <w:pPr>
        <w:ind w:right="34"/>
        <w:rPr>
          <w:del w:id="9979" w:author="AbbVie19" w:date="2025-04-16T12:21:00Z"/>
          <w:bCs/>
        </w:rPr>
      </w:pPr>
      <w:del w:id="9980" w:author="AbbVie19" w:date="2025-04-16T12:21:00Z">
        <w:r>
          <w:rPr>
            <w:bCs/>
          </w:rPr>
          <w:delText>The usual dose regimen is 40</w:delText>
        </w:r>
        <w:r w:rsidR="00CB62F0">
          <w:rPr>
            <w:bCs/>
          </w:rPr>
          <w:delText> </w:delText>
        </w:r>
        <w:r>
          <w:rPr>
            <w:bCs/>
          </w:rPr>
          <w:delText>mg initially followed by 20</w:delText>
        </w:r>
        <w:r w:rsidR="00CB62F0">
          <w:rPr>
            <w:bCs/>
          </w:rPr>
          <w:delText> </w:delText>
        </w:r>
        <w:r>
          <w:rPr>
            <w:bCs/>
          </w:rPr>
          <w:delText>mg two weeks later. If a faster response is required, your child’s doctor may prescribe an initial dose of 80</w:delText>
        </w:r>
        <w:r w:rsidR="00CB62F0">
          <w:rPr>
            <w:bCs/>
          </w:rPr>
          <w:delText> </w:delText>
        </w:r>
        <w:r>
          <w:rPr>
            <w:bCs/>
          </w:rPr>
          <w:delText xml:space="preserve">mg (as two </w:delText>
        </w:r>
        <w:r w:rsidR="00077065">
          <w:rPr>
            <w:bCs/>
          </w:rPr>
          <w:delText>40</w:delText>
        </w:r>
        <w:r w:rsidR="002B1B68">
          <w:rPr>
            <w:bCs/>
          </w:rPr>
          <w:delText> </w:delText>
        </w:r>
        <w:r w:rsidR="00077065">
          <w:rPr>
            <w:bCs/>
          </w:rPr>
          <w:delText xml:space="preserve">mg </w:delText>
        </w:r>
        <w:r>
          <w:rPr>
            <w:bCs/>
          </w:rPr>
          <w:delText>injections in one day) followed by 40</w:delText>
        </w:r>
        <w:r w:rsidR="00CB62F0">
          <w:rPr>
            <w:bCs/>
          </w:rPr>
          <w:delText> </w:delText>
        </w:r>
        <w:r>
          <w:rPr>
            <w:bCs/>
          </w:rPr>
          <w:delText>mg two weeks later.</w:delText>
        </w:r>
      </w:del>
    </w:p>
    <w:p w14:paraId="3CC1AFEF" w14:textId="77777777" w:rsidR="00782746" w:rsidRDefault="00782746" w:rsidP="00782746">
      <w:pPr>
        <w:ind w:right="34"/>
        <w:rPr>
          <w:del w:id="9981" w:author="AbbVie19" w:date="2025-04-16T12:21:00Z"/>
          <w:bCs/>
        </w:rPr>
      </w:pPr>
    </w:p>
    <w:p w14:paraId="6D872815" w14:textId="77777777" w:rsidR="00782746" w:rsidRDefault="00944B8F" w:rsidP="00782746">
      <w:pPr>
        <w:ind w:right="34"/>
        <w:rPr>
          <w:del w:id="9982" w:author="AbbVie19" w:date="2025-04-16T12:21:00Z"/>
          <w:bCs/>
        </w:rPr>
      </w:pPr>
      <w:del w:id="9983" w:author="AbbVie19" w:date="2025-04-16T12:21:00Z">
        <w:r>
          <w:rPr>
            <w:bCs/>
          </w:rPr>
          <w:delText>Thereafter, the usual dose is 20</w:delText>
        </w:r>
        <w:r w:rsidR="00CB62F0">
          <w:rPr>
            <w:bCs/>
          </w:rPr>
          <w:delText> </w:delText>
        </w:r>
        <w:r>
          <w:rPr>
            <w:bCs/>
          </w:rPr>
          <w:delText>mg every other week. Depending on your child’s response, your child’s doctor may increase the dose frequency to 20</w:delText>
        </w:r>
        <w:r w:rsidR="00CB62F0">
          <w:rPr>
            <w:bCs/>
          </w:rPr>
          <w:delText> </w:delText>
        </w:r>
        <w:r>
          <w:rPr>
            <w:bCs/>
          </w:rPr>
          <w:delText xml:space="preserve">mg every week.  </w:delText>
        </w:r>
      </w:del>
    </w:p>
    <w:p w14:paraId="751999AC" w14:textId="77777777" w:rsidR="00782746" w:rsidRDefault="00782746" w:rsidP="00782746">
      <w:pPr>
        <w:ind w:right="34"/>
        <w:rPr>
          <w:del w:id="9984" w:author="AbbVie19" w:date="2025-04-16T12:21:00Z"/>
          <w:bCs/>
        </w:rPr>
      </w:pPr>
    </w:p>
    <w:p w14:paraId="722958FD" w14:textId="77777777" w:rsidR="00782746" w:rsidRDefault="00944B8F" w:rsidP="00782746">
      <w:pPr>
        <w:ind w:right="34"/>
        <w:rPr>
          <w:del w:id="9985" w:author="AbbVie19" w:date="2025-04-16T12:21:00Z"/>
          <w:bCs/>
          <w:i/>
        </w:rPr>
      </w:pPr>
      <w:del w:id="9986" w:author="AbbVie19" w:date="2025-04-16T12:21:00Z">
        <w:r>
          <w:rPr>
            <w:bCs/>
            <w:i/>
          </w:rPr>
          <w:delText>Children and adolescents from 6 to 17</w:delText>
        </w:r>
        <w:r w:rsidR="00CB62F0">
          <w:rPr>
            <w:bCs/>
            <w:i/>
          </w:rPr>
          <w:delText> </w:delText>
        </w:r>
        <w:r>
          <w:rPr>
            <w:bCs/>
            <w:i/>
          </w:rPr>
          <w:delText>years of age weighing 40</w:delText>
        </w:r>
        <w:r w:rsidR="00CB62F0">
          <w:rPr>
            <w:bCs/>
            <w:i/>
          </w:rPr>
          <w:delText> </w:delText>
        </w:r>
        <w:r>
          <w:rPr>
            <w:bCs/>
            <w:i/>
          </w:rPr>
          <w:delText xml:space="preserve">kg or more </w:delText>
        </w:r>
      </w:del>
    </w:p>
    <w:p w14:paraId="3747C557" w14:textId="77777777" w:rsidR="00782746" w:rsidRDefault="00782746" w:rsidP="00782746">
      <w:pPr>
        <w:ind w:right="34"/>
        <w:rPr>
          <w:del w:id="9987" w:author="AbbVie19" w:date="2025-04-16T12:21:00Z"/>
          <w:bCs/>
        </w:rPr>
      </w:pPr>
    </w:p>
    <w:p w14:paraId="576A75F1" w14:textId="77777777" w:rsidR="00782746" w:rsidRDefault="00944B8F" w:rsidP="00782746">
      <w:pPr>
        <w:ind w:right="34"/>
        <w:rPr>
          <w:del w:id="9988" w:author="AbbVie19" w:date="2025-04-16T12:21:00Z"/>
          <w:bCs/>
        </w:rPr>
      </w:pPr>
      <w:del w:id="9989" w:author="AbbVie19" w:date="2025-04-16T12:21:00Z">
        <w:r>
          <w:rPr>
            <w:bCs/>
          </w:rPr>
          <w:delText>The usual dose regimen is 80</w:delText>
        </w:r>
        <w:r w:rsidR="00CB62F0">
          <w:rPr>
            <w:bCs/>
          </w:rPr>
          <w:delText> </w:delText>
        </w:r>
        <w:r>
          <w:rPr>
            <w:bCs/>
          </w:rPr>
          <w:delText xml:space="preserve">mg (as two </w:delText>
        </w:r>
        <w:r w:rsidR="00517AAF">
          <w:rPr>
            <w:bCs/>
          </w:rPr>
          <w:delText>40</w:delText>
        </w:r>
        <w:r w:rsidR="002B1B68">
          <w:rPr>
            <w:bCs/>
          </w:rPr>
          <w:delText> </w:delText>
        </w:r>
        <w:r w:rsidR="00517AAF">
          <w:rPr>
            <w:bCs/>
          </w:rPr>
          <w:delText xml:space="preserve">mg </w:delText>
        </w:r>
        <w:r>
          <w:rPr>
            <w:bCs/>
          </w:rPr>
          <w:delText>injections in one day) initially followed by 40</w:delText>
        </w:r>
        <w:r w:rsidR="00CB62F0">
          <w:rPr>
            <w:bCs/>
          </w:rPr>
          <w:delText> </w:delText>
        </w:r>
        <w:r>
          <w:rPr>
            <w:bCs/>
          </w:rPr>
          <w:delText>mg two weeks later. If a faster response is required, your child’s doctor may prescribe an initial dose of 160</w:delText>
        </w:r>
        <w:r w:rsidR="00CB62F0">
          <w:rPr>
            <w:bCs/>
          </w:rPr>
          <w:delText> </w:delText>
        </w:r>
        <w:r>
          <w:rPr>
            <w:bCs/>
          </w:rPr>
          <w:delText xml:space="preserve">mg initially (as four </w:delText>
        </w:r>
        <w:r w:rsidR="00517AAF">
          <w:rPr>
            <w:bCs/>
          </w:rPr>
          <w:delText>40</w:delText>
        </w:r>
        <w:r w:rsidR="002B1B68">
          <w:rPr>
            <w:bCs/>
          </w:rPr>
          <w:delText> </w:delText>
        </w:r>
        <w:r w:rsidR="00517AAF">
          <w:rPr>
            <w:bCs/>
          </w:rPr>
          <w:delText xml:space="preserve">mg </w:delText>
        </w:r>
        <w:r>
          <w:rPr>
            <w:bCs/>
          </w:rPr>
          <w:delText xml:space="preserve">injections in one day or two </w:delText>
        </w:r>
        <w:r w:rsidR="00517AAF">
          <w:rPr>
            <w:bCs/>
          </w:rPr>
          <w:delText>40</w:delText>
        </w:r>
        <w:r w:rsidR="002B1B68">
          <w:rPr>
            <w:bCs/>
          </w:rPr>
          <w:delText> </w:delText>
        </w:r>
        <w:r w:rsidR="00517AAF">
          <w:rPr>
            <w:bCs/>
          </w:rPr>
          <w:delText xml:space="preserve">mg </w:delText>
        </w:r>
        <w:r>
          <w:rPr>
            <w:bCs/>
          </w:rPr>
          <w:delText>injections per day for two consecutive days) followed by 80</w:delText>
        </w:r>
        <w:r w:rsidR="00CB62F0">
          <w:rPr>
            <w:bCs/>
          </w:rPr>
          <w:delText> </w:delText>
        </w:r>
        <w:r>
          <w:rPr>
            <w:bCs/>
          </w:rPr>
          <w:delText xml:space="preserve">mg (as two </w:delText>
        </w:r>
        <w:r w:rsidR="00517AAF">
          <w:rPr>
            <w:bCs/>
          </w:rPr>
          <w:delText>40</w:delText>
        </w:r>
        <w:r w:rsidR="002B1B68">
          <w:rPr>
            <w:bCs/>
          </w:rPr>
          <w:delText> </w:delText>
        </w:r>
        <w:r w:rsidR="00517AAF">
          <w:rPr>
            <w:bCs/>
          </w:rPr>
          <w:delText xml:space="preserve">mg </w:delText>
        </w:r>
        <w:r>
          <w:rPr>
            <w:bCs/>
          </w:rPr>
          <w:delText>injections in one day) two weeks later.</w:delText>
        </w:r>
      </w:del>
    </w:p>
    <w:p w14:paraId="2A3B8880" w14:textId="77777777" w:rsidR="00782746" w:rsidRDefault="00782746" w:rsidP="00782746">
      <w:pPr>
        <w:numPr>
          <w:ilvl w:val="12"/>
          <w:numId w:val="0"/>
        </w:numPr>
        <w:tabs>
          <w:tab w:val="clear" w:pos="562"/>
          <w:tab w:val="left" w:pos="720"/>
        </w:tabs>
        <w:ind w:right="-2"/>
        <w:rPr>
          <w:del w:id="9990" w:author="AbbVie19" w:date="2025-04-16T12:21:00Z"/>
          <w:bCs/>
        </w:rPr>
      </w:pPr>
    </w:p>
    <w:p w14:paraId="48F06A32" w14:textId="77777777" w:rsidR="00782746" w:rsidRDefault="00944B8F" w:rsidP="00782746">
      <w:pPr>
        <w:numPr>
          <w:ilvl w:val="12"/>
          <w:numId w:val="0"/>
        </w:numPr>
        <w:tabs>
          <w:tab w:val="clear" w:pos="562"/>
          <w:tab w:val="left" w:pos="720"/>
        </w:tabs>
        <w:ind w:right="-2"/>
        <w:rPr>
          <w:del w:id="9991" w:author="AbbVie19" w:date="2025-04-16T12:21:00Z"/>
          <w:bCs/>
        </w:rPr>
      </w:pPr>
      <w:del w:id="9992" w:author="AbbVie19" w:date="2025-04-16T12:21:00Z">
        <w:r>
          <w:rPr>
            <w:bCs/>
          </w:rPr>
          <w:delText>Thereafter, the usual dose is 40</w:delText>
        </w:r>
        <w:r w:rsidR="00CB62F0">
          <w:rPr>
            <w:bCs/>
          </w:rPr>
          <w:delText> </w:delText>
        </w:r>
        <w:r>
          <w:rPr>
            <w:bCs/>
          </w:rPr>
          <w:delText>mg every other week. Depending on your child’s response, your child’s doctor may increase the dos</w:delText>
        </w:r>
        <w:r w:rsidR="00517AAF">
          <w:rPr>
            <w:bCs/>
          </w:rPr>
          <w:delText>ag</w:delText>
        </w:r>
        <w:r>
          <w:rPr>
            <w:bCs/>
          </w:rPr>
          <w:delText>e to 40</w:delText>
        </w:r>
        <w:r w:rsidR="00CB62F0">
          <w:rPr>
            <w:bCs/>
          </w:rPr>
          <w:delText> </w:delText>
        </w:r>
        <w:r>
          <w:rPr>
            <w:bCs/>
          </w:rPr>
          <w:delText>mg every week</w:delText>
        </w:r>
        <w:r w:rsidR="00517AAF">
          <w:rPr>
            <w:bCs/>
          </w:rPr>
          <w:delText xml:space="preserve"> or 80</w:delText>
        </w:r>
        <w:r w:rsidR="002B1B68">
          <w:rPr>
            <w:bCs/>
          </w:rPr>
          <w:delText> </w:delText>
        </w:r>
        <w:r w:rsidR="00517AAF">
          <w:rPr>
            <w:bCs/>
          </w:rPr>
          <w:delText>mg every other week</w:delText>
        </w:r>
        <w:r>
          <w:rPr>
            <w:bCs/>
          </w:rPr>
          <w:delText>.</w:delText>
        </w:r>
      </w:del>
    </w:p>
    <w:p w14:paraId="4A26D5E2" w14:textId="77777777" w:rsidR="00BC0E7E" w:rsidRPr="00BC0E7E" w:rsidRDefault="00BC0E7E" w:rsidP="00BC0E7E">
      <w:pPr>
        <w:numPr>
          <w:ilvl w:val="12"/>
          <w:numId w:val="0"/>
        </w:numPr>
        <w:tabs>
          <w:tab w:val="clear" w:pos="562"/>
        </w:tabs>
        <w:ind w:right="-2"/>
        <w:rPr>
          <w:del w:id="9993" w:author="AbbVie19" w:date="2025-04-16T12:21:00Z"/>
        </w:rPr>
      </w:pPr>
    </w:p>
    <w:p w14:paraId="4EE81126" w14:textId="77777777" w:rsidR="00802D62" w:rsidRPr="00BC0E7E" w:rsidRDefault="00944B8F" w:rsidP="00802D62">
      <w:pPr>
        <w:numPr>
          <w:ilvl w:val="12"/>
          <w:numId w:val="0"/>
        </w:numPr>
        <w:tabs>
          <w:tab w:val="clear" w:pos="562"/>
        </w:tabs>
        <w:ind w:right="-2"/>
        <w:rPr>
          <w:del w:id="9994" w:author="AbbVie19" w:date="2025-04-16T12:21:00Z"/>
          <w:u w:val="single"/>
        </w:rPr>
      </w:pPr>
      <w:del w:id="9995" w:author="AbbVie19" w:date="2025-04-16T12:21:00Z">
        <w:r>
          <w:rPr>
            <w:u w:val="single"/>
          </w:rPr>
          <w:delText xml:space="preserve">Children and adolescents with </w:delText>
        </w:r>
        <w:r w:rsidRPr="00BC0E7E">
          <w:rPr>
            <w:u w:val="single"/>
          </w:rPr>
          <w:delText>ulcerative colitis</w:delText>
        </w:r>
      </w:del>
    </w:p>
    <w:p w14:paraId="37E6B4AC" w14:textId="77777777" w:rsidR="00802D62" w:rsidRDefault="00802D62" w:rsidP="00802D62">
      <w:pPr>
        <w:numPr>
          <w:ilvl w:val="12"/>
          <w:numId w:val="0"/>
        </w:numPr>
        <w:tabs>
          <w:tab w:val="clear" w:pos="562"/>
        </w:tabs>
        <w:ind w:right="-2"/>
        <w:rPr>
          <w:del w:id="9996" w:author="AbbVie19" w:date="2025-04-16T12:21:00Z"/>
          <w:i/>
          <w:iCs/>
        </w:rPr>
      </w:pPr>
    </w:p>
    <w:p w14:paraId="28AE0A78" w14:textId="77777777" w:rsidR="00802D62" w:rsidRPr="00DE4371" w:rsidRDefault="00944B8F" w:rsidP="00802D62">
      <w:pPr>
        <w:numPr>
          <w:ilvl w:val="12"/>
          <w:numId w:val="0"/>
        </w:numPr>
        <w:tabs>
          <w:tab w:val="clear" w:pos="562"/>
        </w:tabs>
        <w:ind w:right="-2"/>
        <w:rPr>
          <w:del w:id="9997" w:author="AbbVie19" w:date="2025-04-16T12:21:00Z"/>
          <w:i/>
          <w:iCs/>
        </w:rPr>
      </w:pPr>
      <w:del w:id="9998" w:author="AbbVie19" w:date="2025-04-16T12:21:00Z">
        <w:r>
          <w:rPr>
            <w:i/>
            <w:iCs/>
          </w:rPr>
          <w:delText>Children and adolescents from 6 years of age weighing less than 40 kg</w:delText>
        </w:r>
      </w:del>
    </w:p>
    <w:p w14:paraId="37D46B38" w14:textId="77777777" w:rsidR="00802D62" w:rsidRDefault="00802D62" w:rsidP="00802D62">
      <w:pPr>
        <w:numPr>
          <w:ilvl w:val="12"/>
          <w:numId w:val="0"/>
        </w:numPr>
        <w:tabs>
          <w:tab w:val="clear" w:pos="562"/>
        </w:tabs>
        <w:ind w:right="-2"/>
        <w:rPr>
          <w:del w:id="9999" w:author="AbbVie19" w:date="2025-04-16T12:21:00Z"/>
        </w:rPr>
      </w:pPr>
    </w:p>
    <w:p w14:paraId="6B222413" w14:textId="77777777" w:rsidR="00802D62" w:rsidRDefault="00944B8F" w:rsidP="00802D62">
      <w:pPr>
        <w:numPr>
          <w:ilvl w:val="12"/>
          <w:numId w:val="0"/>
        </w:numPr>
        <w:tabs>
          <w:tab w:val="clear" w:pos="562"/>
        </w:tabs>
        <w:ind w:right="-2"/>
        <w:rPr>
          <w:del w:id="10000" w:author="AbbVie19" w:date="2025-04-16T12:21:00Z"/>
        </w:rPr>
      </w:pPr>
      <w:del w:id="10001" w:author="AbbVie19" w:date="2025-04-16T12:21:00Z">
        <w:r>
          <w:delText xml:space="preserve">The usual Humira dose is 80 mg (as two 40 mg injections in one day) initially followed by 40 mg </w:delText>
        </w:r>
        <w:r w:rsidR="00AF71EF">
          <w:delText xml:space="preserve">(as one 40 mg injection) </w:delText>
        </w:r>
        <w:r>
          <w:delText xml:space="preserve">two weeks later. Thereafter, the usual dose is 40 mg every other week. </w:delText>
        </w:r>
      </w:del>
    </w:p>
    <w:p w14:paraId="17CED9DA" w14:textId="77777777" w:rsidR="00802D62" w:rsidRDefault="00802D62" w:rsidP="00802D62">
      <w:pPr>
        <w:numPr>
          <w:ilvl w:val="12"/>
          <w:numId w:val="0"/>
        </w:numPr>
        <w:tabs>
          <w:tab w:val="clear" w:pos="562"/>
        </w:tabs>
        <w:ind w:right="-2"/>
        <w:rPr>
          <w:del w:id="10002" w:author="AbbVie19" w:date="2025-04-16T12:21:00Z"/>
        </w:rPr>
      </w:pPr>
    </w:p>
    <w:p w14:paraId="758837DD" w14:textId="77777777" w:rsidR="00802D62" w:rsidRDefault="00944B8F" w:rsidP="00802D62">
      <w:pPr>
        <w:numPr>
          <w:ilvl w:val="12"/>
          <w:numId w:val="0"/>
        </w:numPr>
        <w:tabs>
          <w:tab w:val="clear" w:pos="562"/>
        </w:tabs>
        <w:ind w:right="-2"/>
        <w:rPr>
          <w:del w:id="10003" w:author="AbbVie19" w:date="2025-04-16T12:21:00Z"/>
        </w:rPr>
      </w:pPr>
      <w:del w:id="10004" w:author="AbbVie19" w:date="2025-04-16T12:21:00Z">
        <w:r w:rsidRPr="00AF74C0">
          <w:delText xml:space="preserve">Patients who turn 18 </w:delText>
        </w:r>
        <w:r>
          <w:delText xml:space="preserve">years of age </w:delText>
        </w:r>
        <w:r w:rsidRPr="00AF74C0">
          <w:delText xml:space="preserve">while on </w:delText>
        </w:r>
        <w:r>
          <w:delText xml:space="preserve">40 mg every other week, </w:delText>
        </w:r>
        <w:r w:rsidRPr="00AF74C0">
          <w:delText>should continue their prescribed dose.</w:delText>
        </w:r>
      </w:del>
    </w:p>
    <w:p w14:paraId="05D417EB" w14:textId="77777777" w:rsidR="00802D62" w:rsidRDefault="00802D62" w:rsidP="00802D62">
      <w:pPr>
        <w:numPr>
          <w:ilvl w:val="12"/>
          <w:numId w:val="0"/>
        </w:numPr>
        <w:tabs>
          <w:tab w:val="clear" w:pos="562"/>
        </w:tabs>
        <w:ind w:right="-2"/>
        <w:rPr>
          <w:del w:id="10005" w:author="AbbVie19" w:date="2025-04-16T12:21:00Z"/>
        </w:rPr>
      </w:pPr>
    </w:p>
    <w:p w14:paraId="34A644F3" w14:textId="77777777" w:rsidR="00802D62" w:rsidRDefault="00944B8F" w:rsidP="00802D62">
      <w:pPr>
        <w:numPr>
          <w:ilvl w:val="12"/>
          <w:numId w:val="0"/>
        </w:numPr>
        <w:tabs>
          <w:tab w:val="clear" w:pos="562"/>
        </w:tabs>
        <w:ind w:right="-2"/>
        <w:rPr>
          <w:del w:id="10006" w:author="AbbVie19" w:date="2025-04-16T12:21:00Z"/>
          <w:i/>
          <w:iCs/>
        </w:rPr>
      </w:pPr>
      <w:del w:id="10007" w:author="AbbVie19" w:date="2025-04-16T12:21:00Z">
        <w:r>
          <w:rPr>
            <w:i/>
            <w:iCs/>
          </w:rPr>
          <w:delText>Children and adolescents from 6 years of age weighing 40 kg or more</w:delText>
        </w:r>
      </w:del>
    </w:p>
    <w:p w14:paraId="69AFE90E" w14:textId="77777777" w:rsidR="00802D62" w:rsidRDefault="00802D62" w:rsidP="00802D62">
      <w:pPr>
        <w:numPr>
          <w:ilvl w:val="12"/>
          <w:numId w:val="0"/>
        </w:numPr>
        <w:tabs>
          <w:tab w:val="clear" w:pos="562"/>
        </w:tabs>
        <w:ind w:right="-2"/>
        <w:rPr>
          <w:del w:id="10008" w:author="AbbVie19" w:date="2025-04-16T12:21:00Z"/>
          <w:i/>
          <w:iCs/>
        </w:rPr>
      </w:pPr>
    </w:p>
    <w:p w14:paraId="1C8CA291" w14:textId="77777777" w:rsidR="00802D62" w:rsidRDefault="00944B8F" w:rsidP="00802D62">
      <w:pPr>
        <w:numPr>
          <w:ilvl w:val="12"/>
          <w:numId w:val="0"/>
        </w:numPr>
        <w:tabs>
          <w:tab w:val="clear" w:pos="562"/>
        </w:tabs>
        <w:ind w:right="-2"/>
        <w:rPr>
          <w:del w:id="10009" w:author="AbbVie19" w:date="2025-04-16T12:21:00Z"/>
        </w:rPr>
      </w:pPr>
      <w:del w:id="10010" w:author="AbbVie19" w:date="2025-04-16T12:21:00Z">
        <w:r>
          <w:delText xml:space="preserve">The usual Humira dose is 160 mg (as </w:delText>
        </w:r>
        <w:r w:rsidRPr="00D5591F">
          <w:delText>four 40 mg injections in one day or two 40 mg injections per day for two consecutive days</w:delText>
        </w:r>
        <w:r>
          <w:delText>) initially, followed by 80 mg (</w:delText>
        </w:r>
        <w:r w:rsidR="008B101F">
          <w:delText xml:space="preserve">as </w:delText>
        </w:r>
        <w:r>
          <w:delText xml:space="preserve">two 40 mg injections in one day) two weeks later. Thereafter the usual dose is 80 mg every other week. </w:delText>
        </w:r>
      </w:del>
    </w:p>
    <w:p w14:paraId="5A455E67" w14:textId="77777777" w:rsidR="00802D62" w:rsidRPr="00DA728B" w:rsidRDefault="00802D62" w:rsidP="00802D62">
      <w:pPr>
        <w:numPr>
          <w:ilvl w:val="12"/>
          <w:numId w:val="0"/>
        </w:numPr>
        <w:tabs>
          <w:tab w:val="clear" w:pos="562"/>
        </w:tabs>
        <w:ind w:right="-2"/>
        <w:rPr>
          <w:del w:id="10011" w:author="AbbVie19" w:date="2025-04-16T12:21:00Z"/>
        </w:rPr>
      </w:pPr>
    </w:p>
    <w:p w14:paraId="32438B6E" w14:textId="77777777" w:rsidR="00802D62" w:rsidRDefault="00944B8F" w:rsidP="00802D62">
      <w:pPr>
        <w:numPr>
          <w:ilvl w:val="12"/>
          <w:numId w:val="0"/>
        </w:numPr>
        <w:tabs>
          <w:tab w:val="clear" w:pos="562"/>
        </w:tabs>
        <w:ind w:right="-2"/>
        <w:rPr>
          <w:del w:id="10012" w:author="AbbVie19" w:date="2025-04-16T12:21:00Z"/>
        </w:rPr>
      </w:pPr>
      <w:del w:id="10013" w:author="AbbVie19" w:date="2025-04-16T12:21:00Z">
        <w:r w:rsidRPr="00AF74C0">
          <w:delText xml:space="preserve">Patients who turn 18 </w:delText>
        </w:r>
        <w:r>
          <w:delText xml:space="preserve">years of age </w:delText>
        </w:r>
        <w:r w:rsidRPr="00AF74C0">
          <w:delText xml:space="preserve">while on </w:delText>
        </w:r>
        <w:r>
          <w:delText xml:space="preserve">80 mg every other week, </w:delText>
        </w:r>
        <w:r w:rsidRPr="00AF74C0">
          <w:delText>should continue their prescribed dose.</w:delText>
        </w:r>
      </w:del>
    </w:p>
    <w:p w14:paraId="6448D805" w14:textId="77777777" w:rsidR="0087671B" w:rsidRDefault="0087671B" w:rsidP="00C568D0">
      <w:pPr>
        <w:keepNext/>
        <w:numPr>
          <w:ilvl w:val="12"/>
          <w:numId w:val="0"/>
        </w:numPr>
        <w:tabs>
          <w:tab w:val="clear" w:pos="562"/>
          <w:tab w:val="left" w:pos="708"/>
        </w:tabs>
        <w:ind w:right="-2"/>
        <w:rPr>
          <w:del w:id="10014" w:author="AbbVie19" w:date="2025-04-16T12:21:00Z"/>
          <w:u w:val="single"/>
        </w:rPr>
      </w:pPr>
    </w:p>
    <w:p w14:paraId="59942895" w14:textId="77777777" w:rsidR="00BC0E7E" w:rsidRPr="00BC0E7E" w:rsidRDefault="00944B8F" w:rsidP="00C568D0">
      <w:pPr>
        <w:keepNext/>
        <w:numPr>
          <w:ilvl w:val="12"/>
          <w:numId w:val="0"/>
        </w:numPr>
        <w:tabs>
          <w:tab w:val="clear" w:pos="562"/>
          <w:tab w:val="left" w:pos="708"/>
        </w:tabs>
        <w:ind w:right="-2"/>
        <w:rPr>
          <w:del w:id="10015" w:author="AbbVie19" w:date="2025-04-16T12:21:00Z"/>
          <w:u w:val="single"/>
        </w:rPr>
      </w:pPr>
      <w:del w:id="10016" w:author="AbbVie19" w:date="2025-04-16T12:21:00Z">
        <w:r w:rsidRPr="00BC0E7E">
          <w:rPr>
            <w:u w:val="single"/>
          </w:rPr>
          <w:delText xml:space="preserve">Children </w:delText>
        </w:r>
        <w:r w:rsidR="00782746">
          <w:rPr>
            <w:u w:val="single"/>
          </w:rPr>
          <w:delText xml:space="preserve">and adolescents </w:delText>
        </w:r>
        <w:r w:rsidRPr="00BC0E7E">
          <w:rPr>
            <w:u w:val="single"/>
          </w:rPr>
          <w:delText>with chronic non-infectious uveitis from 2 years of age</w:delText>
        </w:r>
      </w:del>
    </w:p>
    <w:p w14:paraId="23E5C422" w14:textId="77777777" w:rsidR="00BC0E7E" w:rsidRPr="00BC0E7E" w:rsidRDefault="00BC0E7E" w:rsidP="00C568D0">
      <w:pPr>
        <w:keepNext/>
        <w:numPr>
          <w:ilvl w:val="12"/>
          <w:numId w:val="0"/>
        </w:numPr>
        <w:tabs>
          <w:tab w:val="clear" w:pos="562"/>
          <w:tab w:val="left" w:pos="708"/>
        </w:tabs>
        <w:ind w:right="-2"/>
        <w:rPr>
          <w:del w:id="10017" w:author="AbbVie19" w:date="2025-04-16T12:21:00Z"/>
        </w:rPr>
      </w:pPr>
    </w:p>
    <w:p w14:paraId="40A20453" w14:textId="77777777" w:rsidR="00BC0E7E" w:rsidRPr="00BC0E7E" w:rsidRDefault="00944B8F" w:rsidP="00C568D0">
      <w:pPr>
        <w:keepNext/>
        <w:numPr>
          <w:ilvl w:val="12"/>
          <w:numId w:val="0"/>
        </w:numPr>
        <w:tabs>
          <w:tab w:val="clear" w:pos="562"/>
          <w:tab w:val="left" w:pos="708"/>
        </w:tabs>
        <w:ind w:right="-2"/>
        <w:rPr>
          <w:del w:id="10018" w:author="AbbVie19" w:date="2025-04-16T12:21:00Z"/>
        </w:rPr>
      </w:pPr>
      <w:del w:id="10019" w:author="AbbVie19" w:date="2025-04-16T12:21:00Z">
        <w:r>
          <w:rPr>
            <w:bCs/>
            <w:i/>
          </w:rPr>
          <w:delText>Children and adolescents from 2</w:delText>
        </w:r>
        <w:r w:rsidR="00CB62F0">
          <w:rPr>
            <w:bCs/>
            <w:i/>
          </w:rPr>
          <w:delText> </w:delText>
        </w:r>
        <w:r>
          <w:rPr>
            <w:bCs/>
            <w:i/>
          </w:rPr>
          <w:delText>years of age weighing less than 30</w:delText>
        </w:r>
        <w:r w:rsidR="00CB62F0">
          <w:rPr>
            <w:bCs/>
            <w:i/>
          </w:rPr>
          <w:delText> </w:delText>
        </w:r>
        <w:r>
          <w:rPr>
            <w:bCs/>
            <w:i/>
          </w:rPr>
          <w:delText>kg</w:delText>
        </w:r>
      </w:del>
    </w:p>
    <w:p w14:paraId="228CB1EE" w14:textId="77777777" w:rsidR="00BC0E7E" w:rsidRPr="00BC0E7E" w:rsidRDefault="00944B8F" w:rsidP="00C568D0">
      <w:pPr>
        <w:keepNext/>
        <w:rPr>
          <w:del w:id="10020" w:author="AbbVie19" w:date="2025-04-16T12:21:00Z"/>
        </w:rPr>
      </w:pPr>
      <w:del w:id="10021" w:author="AbbVie19" w:date="2025-04-16T12:21:00Z">
        <w:r w:rsidRPr="00BC0E7E">
          <w:delText>The usual dose of Humira is 20 mg every other week with methotrexate.</w:delText>
        </w:r>
      </w:del>
    </w:p>
    <w:p w14:paraId="0A92BFC5" w14:textId="77777777" w:rsidR="00BC0E7E" w:rsidRPr="00BC0E7E" w:rsidRDefault="00BC0E7E" w:rsidP="00BC0E7E">
      <w:pPr>
        <w:rPr>
          <w:del w:id="10022" w:author="AbbVie19" w:date="2025-04-16T12:21:00Z"/>
        </w:rPr>
      </w:pPr>
    </w:p>
    <w:p w14:paraId="3AD3A6E8" w14:textId="77777777" w:rsidR="00BC0E7E" w:rsidRPr="00BC0E7E" w:rsidRDefault="00944B8F" w:rsidP="00BC0E7E">
      <w:pPr>
        <w:rPr>
          <w:del w:id="10023" w:author="AbbVie19" w:date="2025-04-16T12:21:00Z"/>
          <w:strike/>
        </w:rPr>
      </w:pPr>
      <w:del w:id="10024" w:author="AbbVie19" w:date="2025-04-16T12:21:00Z">
        <w:r w:rsidRPr="00BC0E7E">
          <w:delText>Your child’s doctor may also prescribe an initial dose of 40 mg which may be administered one week prior to the start of the</w:delText>
        </w:r>
        <w:r w:rsidRPr="00BC0E7E">
          <w:rPr>
            <w:bCs/>
          </w:rPr>
          <w:delText xml:space="preserve"> usual dose.</w:delText>
        </w:r>
      </w:del>
    </w:p>
    <w:p w14:paraId="64B6F0EA" w14:textId="77777777" w:rsidR="00BC0E7E" w:rsidRPr="00BC0E7E" w:rsidRDefault="00BC0E7E" w:rsidP="00BC0E7E">
      <w:pPr>
        <w:rPr>
          <w:del w:id="10025" w:author="AbbVie19" w:date="2025-04-16T12:21:00Z"/>
        </w:rPr>
      </w:pPr>
    </w:p>
    <w:p w14:paraId="59452AA8" w14:textId="77777777" w:rsidR="00782746" w:rsidRDefault="00944B8F" w:rsidP="00782746">
      <w:pPr>
        <w:rPr>
          <w:del w:id="10026" w:author="AbbVie19" w:date="2025-04-16T12:21:00Z"/>
          <w:bCs/>
          <w:i/>
        </w:rPr>
      </w:pPr>
      <w:del w:id="10027" w:author="AbbVie19" w:date="2025-04-16T12:21:00Z">
        <w:r>
          <w:rPr>
            <w:bCs/>
            <w:i/>
          </w:rPr>
          <w:delText>Children and adolescents from 2</w:delText>
        </w:r>
        <w:r w:rsidR="00CB62F0">
          <w:rPr>
            <w:bCs/>
            <w:i/>
          </w:rPr>
          <w:delText> </w:delText>
        </w:r>
        <w:r>
          <w:rPr>
            <w:bCs/>
            <w:i/>
          </w:rPr>
          <w:delText>years of age weighing 30</w:delText>
        </w:r>
        <w:r w:rsidR="00CB62F0">
          <w:rPr>
            <w:bCs/>
            <w:i/>
          </w:rPr>
          <w:delText> </w:delText>
        </w:r>
        <w:r>
          <w:rPr>
            <w:bCs/>
            <w:i/>
          </w:rPr>
          <w:delText>kg or more</w:delText>
        </w:r>
      </w:del>
    </w:p>
    <w:p w14:paraId="4D824D37" w14:textId="77777777" w:rsidR="00BC0E7E" w:rsidRPr="00BC0E7E" w:rsidRDefault="00BC0E7E" w:rsidP="00BC0E7E">
      <w:pPr>
        <w:rPr>
          <w:del w:id="10028" w:author="AbbVie19" w:date="2025-04-16T12:21:00Z"/>
        </w:rPr>
      </w:pPr>
    </w:p>
    <w:p w14:paraId="1AD91D2F" w14:textId="77777777" w:rsidR="00BC0E7E" w:rsidRPr="00BC0E7E" w:rsidRDefault="00944B8F" w:rsidP="00BC0E7E">
      <w:pPr>
        <w:rPr>
          <w:del w:id="10029" w:author="AbbVie19" w:date="2025-04-16T12:21:00Z"/>
        </w:rPr>
      </w:pPr>
      <w:del w:id="10030" w:author="AbbVie19" w:date="2025-04-16T12:21:00Z">
        <w:r w:rsidRPr="00BC0E7E">
          <w:delText>The usual dose of Humira is 40 mg every other week with methotrexate.</w:delText>
        </w:r>
      </w:del>
    </w:p>
    <w:p w14:paraId="164164A0" w14:textId="77777777" w:rsidR="00BC0E7E" w:rsidRPr="00BC0E7E" w:rsidRDefault="00BC0E7E" w:rsidP="00BC0E7E">
      <w:pPr>
        <w:rPr>
          <w:del w:id="10031" w:author="AbbVie19" w:date="2025-04-16T12:21:00Z"/>
        </w:rPr>
      </w:pPr>
    </w:p>
    <w:p w14:paraId="65BE0BB7" w14:textId="77777777" w:rsidR="00BC0E7E" w:rsidRPr="00BC0E7E" w:rsidRDefault="00944B8F" w:rsidP="00BC0E7E">
      <w:pPr>
        <w:numPr>
          <w:ilvl w:val="12"/>
          <w:numId w:val="0"/>
        </w:numPr>
        <w:tabs>
          <w:tab w:val="clear" w:pos="562"/>
        </w:tabs>
        <w:ind w:right="-2"/>
        <w:rPr>
          <w:del w:id="10032" w:author="AbbVie19" w:date="2025-04-16T12:21:00Z"/>
          <w:bCs/>
        </w:rPr>
      </w:pPr>
      <w:del w:id="10033" w:author="AbbVie19" w:date="2025-04-16T12:21:00Z">
        <w:r w:rsidRPr="00BC0E7E">
          <w:delText>Your child’s doctor may also prescribe an initial dose of 80 mg which may be administered one week prior to the start of the</w:delText>
        </w:r>
        <w:r w:rsidRPr="00BC0E7E">
          <w:rPr>
            <w:bCs/>
          </w:rPr>
          <w:delText xml:space="preserve"> usual dose.</w:delText>
        </w:r>
      </w:del>
    </w:p>
    <w:p w14:paraId="46D45128" w14:textId="77777777" w:rsidR="00BC0E7E" w:rsidRPr="00BC0E7E" w:rsidRDefault="00BC0E7E" w:rsidP="00BC0E7E">
      <w:pPr>
        <w:numPr>
          <w:ilvl w:val="12"/>
          <w:numId w:val="0"/>
        </w:numPr>
        <w:tabs>
          <w:tab w:val="clear" w:pos="562"/>
        </w:tabs>
        <w:ind w:right="-2"/>
        <w:rPr>
          <w:del w:id="10034" w:author="AbbVie19" w:date="2025-04-16T12:21:00Z"/>
          <w:b/>
        </w:rPr>
      </w:pPr>
    </w:p>
    <w:p w14:paraId="5A3A5807" w14:textId="77777777" w:rsidR="00BC0E7E" w:rsidRPr="00BC0E7E" w:rsidRDefault="00944B8F" w:rsidP="00BC0E7E">
      <w:pPr>
        <w:numPr>
          <w:ilvl w:val="12"/>
          <w:numId w:val="0"/>
        </w:numPr>
        <w:tabs>
          <w:tab w:val="clear" w:pos="562"/>
        </w:tabs>
        <w:ind w:right="-2"/>
        <w:rPr>
          <w:del w:id="10035" w:author="AbbVie19" w:date="2025-04-16T12:21:00Z"/>
          <w:b/>
        </w:rPr>
      </w:pPr>
      <w:del w:id="10036" w:author="AbbVie19" w:date="2025-04-16T12:21:00Z">
        <w:r w:rsidRPr="00BC0E7E">
          <w:rPr>
            <w:b/>
          </w:rPr>
          <w:delText>Method and route of administration</w:delText>
        </w:r>
      </w:del>
    </w:p>
    <w:p w14:paraId="0B4FDEFC" w14:textId="77777777" w:rsidR="00BC0E7E" w:rsidRPr="00BC0E7E" w:rsidRDefault="00BC0E7E" w:rsidP="00BC0E7E">
      <w:pPr>
        <w:numPr>
          <w:ilvl w:val="12"/>
          <w:numId w:val="0"/>
        </w:numPr>
        <w:tabs>
          <w:tab w:val="clear" w:pos="562"/>
        </w:tabs>
        <w:ind w:right="-2"/>
        <w:rPr>
          <w:del w:id="10037" w:author="AbbVie19" w:date="2025-04-16T12:21:00Z"/>
        </w:rPr>
      </w:pPr>
    </w:p>
    <w:p w14:paraId="122A263E" w14:textId="77777777" w:rsidR="00BC0E7E" w:rsidRPr="00BC0E7E" w:rsidRDefault="00944B8F" w:rsidP="00BC0E7E">
      <w:pPr>
        <w:numPr>
          <w:ilvl w:val="12"/>
          <w:numId w:val="0"/>
        </w:numPr>
        <w:tabs>
          <w:tab w:val="clear" w:pos="562"/>
        </w:tabs>
        <w:ind w:right="-2"/>
        <w:rPr>
          <w:del w:id="10038" w:author="AbbVie19" w:date="2025-04-16T12:21:00Z"/>
        </w:rPr>
      </w:pPr>
      <w:del w:id="10039" w:author="AbbVie19" w:date="2025-04-16T12:21:00Z">
        <w:r w:rsidRPr="00BC0E7E">
          <w:delText>Humira is administered by injection under the skin (by subcutaneous injection).</w:delText>
        </w:r>
      </w:del>
    </w:p>
    <w:p w14:paraId="7609D0F1" w14:textId="77777777" w:rsidR="00BC0E7E" w:rsidRPr="00BC0E7E" w:rsidRDefault="00BC0E7E" w:rsidP="00BC0E7E">
      <w:pPr>
        <w:numPr>
          <w:ilvl w:val="12"/>
          <w:numId w:val="0"/>
        </w:numPr>
        <w:tabs>
          <w:tab w:val="clear" w:pos="562"/>
        </w:tabs>
        <w:ind w:right="-2"/>
        <w:rPr>
          <w:del w:id="10040" w:author="AbbVie19" w:date="2025-04-16T12:21:00Z"/>
        </w:rPr>
      </w:pPr>
    </w:p>
    <w:p w14:paraId="71A1A522" w14:textId="77777777" w:rsidR="00BC0E7E" w:rsidRPr="00BC0E7E" w:rsidRDefault="00944B8F" w:rsidP="00BC0E7E">
      <w:pPr>
        <w:rPr>
          <w:del w:id="10041" w:author="AbbVie19" w:date="2025-04-16T12:21:00Z"/>
          <w:b/>
          <w:szCs w:val="20"/>
        </w:rPr>
      </w:pPr>
      <w:del w:id="10042" w:author="AbbVie19" w:date="2025-04-16T12:21:00Z">
        <w:r w:rsidRPr="00BC0E7E">
          <w:rPr>
            <w:b/>
            <w:szCs w:val="20"/>
          </w:rPr>
          <w:delText>Instructions for preparing and giving an injection of Humira</w:delText>
        </w:r>
      </w:del>
    </w:p>
    <w:p w14:paraId="614905A8" w14:textId="77777777" w:rsidR="00BC0E7E" w:rsidRPr="00BC0E7E" w:rsidRDefault="00BC0E7E" w:rsidP="00BC0E7E">
      <w:pPr>
        <w:rPr>
          <w:del w:id="10043" w:author="AbbVie19" w:date="2025-04-16T12:21:00Z"/>
          <w:szCs w:val="20"/>
        </w:rPr>
      </w:pPr>
    </w:p>
    <w:p w14:paraId="496AE50F" w14:textId="77777777" w:rsidR="00BC0E7E" w:rsidRPr="00BC0E7E" w:rsidRDefault="00944B8F" w:rsidP="00BC0E7E">
      <w:pPr>
        <w:rPr>
          <w:del w:id="10044" w:author="AbbVie19" w:date="2025-04-16T12:21:00Z"/>
        </w:rPr>
      </w:pPr>
      <w:del w:id="10045" w:author="AbbVie19" w:date="2025-04-16T12:21:00Z">
        <w:r w:rsidRPr="00BC0E7E">
          <w:delText>The following instructions explain how to inject Humira. Please read the instructions carefully and follow them step by step. You will be instructed by your child's doctor or his/her assistant on the technique of injection and the amount to give to your child. Do not attempt to give your child an injection until you are sure that you understand how to prepare and give the injection. After proper training, the injection can be self-administered or given by another person, for example a family member or friend.</w:delText>
        </w:r>
      </w:del>
    </w:p>
    <w:p w14:paraId="24E240ED" w14:textId="77777777" w:rsidR="00BC0E7E" w:rsidRPr="00BC0E7E" w:rsidRDefault="00BC0E7E" w:rsidP="00BC0E7E">
      <w:pPr>
        <w:rPr>
          <w:del w:id="10046" w:author="AbbVie19" w:date="2025-04-16T12:21:00Z"/>
        </w:rPr>
      </w:pPr>
    </w:p>
    <w:p w14:paraId="16E17AB9" w14:textId="77777777" w:rsidR="00BC0E7E" w:rsidRPr="00BC0E7E" w:rsidRDefault="00944B8F" w:rsidP="00BC0E7E">
      <w:pPr>
        <w:rPr>
          <w:del w:id="10047" w:author="AbbVie19" w:date="2025-04-16T12:21:00Z"/>
        </w:rPr>
      </w:pPr>
      <w:del w:id="10048" w:author="AbbVie19" w:date="2025-04-16T12:21:00Z">
        <w:r w:rsidRPr="00BC0E7E">
          <w:lastRenderedPageBreak/>
          <w:delText>Failure to perform the following steps as described may cause contamination which may lead to infection of your child.</w:delText>
        </w:r>
      </w:del>
    </w:p>
    <w:p w14:paraId="632DCEA4" w14:textId="77777777" w:rsidR="00BC0E7E" w:rsidRPr="00BC0E7E" w:rsidRDefault="00BC0E7E" w:rsidP="00BC0E7E">
      <w:pPr>
        <w:rPr>
          <w:del w:id="10049" w:author="AbbVie19" w:date="2025-04-16T12:21:00Z"/>
        </w:rPr>
      </w:pPr>
    </w:p>
    <w:p w14:paraId="6F5D55B2" w14:textId="77777777" w:rsidR="00BC0E7E" w:rsidRPr="00BC0E7E" w:rsidRDefault="00944B8F" w:rsidP="00BC0E7E">
      <w:pPr>
        <w:rPr>
          <w:del w:id="10050" w:author="AbbVie19" w:date="2025-04-16T12:21:00Z"/>
        </w:rPr>
      </w:pPr>
      <w:del w:id="10051" w:author="AbbVie19" w:date="2025-04-16T12:21:00Z">
        <w:r w:rsidRPr="00BC0E7E">
          <w:delText>This injection should not be mixed in the same syringe or vial with any other medicine.</w:delText>
        </w:r>
      </w:del>
    </w:p>
    <w:p w14:paraId="6AAD91FC" w14:textId="77777777" w:rsidR="00BC0E7E" w:rsidRPr="00BC0E7E" w:rsidRDefault="00BC0E7E" w:rsidP="00BC0E7E">
      <w:pPr>
        <w:rPr>
          <w:del w:id="10052" w:author="AbbVie19" w:date="2025-04-16T12:21:00Z"/>
        </w:rPr>
      </w:pPr>
    </w:p>
    <w:p w14:paraId="1FC6685C" w14:textId="77777777" w:rsidR="00BC0E7E" w:rsidRPr="00BC0E7E" w:rsidRDefault="00944B8F" w:rsidP="00BC0E7E">
      <w:pPr>
        <w:suppressAutoHyphens w:val="0"/>
        <w:outlineLvl w:val="1"/>
        <w:rPr>
          <w:del w:id="10053" w:author="AbbVie19" w:date="2025-04-16T12:21:00Z"/>
          <w:b/>
          <w:szCs w:val="20"/>
        </w:rPr>
      </w:pPr>
      <w:del w:id="10054" w:author="AbbVie19" w:date="2025-04-16T12:21:00Z">
        <w:r w:rsidRPr="00BC0E7E">
          <w:rPr>
            <w:b/>
            <w:szCs w:val="20"/>
          </w:rPr>
          <w:delText xml:space="preserve">1) </w:delText>
        </w:r>
        <w:r w:rsidRPr="00BC0E7E">
          <w:rPr>
            <w:b/>
            <w:szCs w:val="20"/>
          </w:rPr>
          <w:tab/>
          <w:delText xml:space="preserve">Setting up </w:delText>
        </w:r>
      </w:del>
    </w:p>
    <w:p w14:paraId="199E55E9" w14:textId="77777777" w:rsidR="00BC0E7E" w:rsidRPr="00BC0E7E" w:rsidRDefault="00BC0E7E" w:rsidP="00BC0E7E">
      <w:pPr>
        <w:rPr>
          <w:del w:id="10055" w:author="AbbVie19" w:date="2025-04-16T12:21:00Z"/>
          <w:szCs w:val="20"/>
        </w:rPr>
      </w:pPr>
    </w:p>
    <w:p w14:paraId="6A527FDE" w14:textId="77777777" w:rsidR="00BC0E7E" w:rsidRPr="00BC0E7E" w:rsidRDefault="00944B8F" w:rsidP="00F421D6">
      <w:pPr>
        <w:numPr>
          <w:ilvl w:val="0"/>
          <w:numId w:val="34"/>
        </w:numPr>
        <w:tabs>
          <w:tab w:val="clear" w:pos="562"/>
        </w:tabs>
        <w:ind w:left="550" w:hanging="550"/>
        <w:rPr>
          <w:del w:id="10056" w:author="AbbVie19" w:date="2025-04-16T12:21:00Z"/>
          <w:szCs w:val="20"/>
        </w:rPr>
      </w:pPr>
      <w:del w:id="10057" w:author="AbbVie19" w:date="2025-04-16T12:21:00Z">
        <w:r w:rsidRPr="00BC0E7E">
          <w:rPr>
            <w:szCs w:val="20"/>
          </w:rPr>
          <w:delText xml:space="preserve">Make sure you know the proper amount (volume) needed for dosing. If you don’t know the amount, </w:delText>
        </w:r>
        <w:r w:rsidRPr="00BC0E7E">
          <w:rPr>
            <w:b/>
            <w:szCs w:val="20"/>
          </w:rPr>
          <w:delText>STOP HERE</w:delText>
        </w:r>
        <w:r w:rsidRPr="00BC0E7E">
          <w:rPr>
            <w:szCs w:val="20"/>
          </w:rPr>
          <w:delText xml:space="preserve"> and contact your doctor for further instruction.</w:delText>
        </w:r>
      </w:del>
    </w:p>
    <w:p w14:paraId="7A0058A3" w14:textId="77777777" w:rsidR="00BC0E7E" w:rsidRPr="00BC0E7E" w:rsidRDefault="00BC0E7E" w:rsidP="00BC0E7E">
      <w:pPr>
        <w:ind w:left="660" w:hanging="660"/>
        <w:rPr>
          <w:del w:id="10058" w:author="AbbVie19" w:date="2025-04-16T12:21:00Z"/>
          <w:szCs w:val="20"/>
        </w:rPr>
      </w:pPr>
    </w:p>
    <w:p w14:paraId="7A55621E" w14:textId="77777777" w:rsidR="00BC0E7E" w:rsidRPr="00BC0E7E" w:rsidRDefault="00944B8F" w:rsidP="00F421D6">
      <w:pPr>
        <w:numPr>
          <w:ilvl w:val="0"/>
          <w:numId w:val="34"/>
        </w:numPr>
        <w:tabs>
          <w:tab w:val="clear" w:pos="562"/>
        </w:tabs>
        <w:ind w:left="588" w:hanging="588"/>
        <w:rPr>
          <w:del w:id="10059" w:author="AbbVie19" w:date="2025-04-16T12:21:00Z"/>
          <w:szCs w:val="20"/>
        </w:rPr>
      </w:pPr>
      <w:del w:id="10060" w:author="AbbVie19" w:date="2025-04-16T12:21:00Z">
        <w:r w:rsidRPr="00BC0E7E">
          <w:rPr>
            <w:szCs w:val="20"/>
          </w:rPr>
          <w:delText>You will need a special container for waste, such as a sharps container or as instructed by your nurse, doctor or pharmacist. Place the container on your work surface.</w:delText>
        </w:r>
      </w:del>
    </w:p>
    <w:p w14:paraId="38A2114F" w14:textId="77777777" w:rsidR="00BC0E7E" w:rsidRPr="00BC0E7E" w:rsidRDefault="00BC0E7E" w:rsidP="00BC0E7E">
      <w:pPr>
        <w:rPr>
          <w:del w:id="10061" w:author="AbbVie19" w:date="2025-04-16T12:21:00Z"/>
          <w:szCs w:val="20"/>
        </w:rPr>
      </w:pPr>
    </w:p>
    <w:p w14:paraId="3C7ED9A4" w14:textId="77777777" w:rsidR="00BC0E7E" w:rsidRPr="00BC0E7E" w:rsidRDefault="00944B8F" w:rsidP="00F421D6">
      <w:pPr>
        <w:numPr>
          <w:ilvl w:val="0"/>
          <w:numId w:val="34"/>
        </w:numPr>
        <w:tabs>
          <w:tab w:val="clear" w:pos="562"/>
        </w:tabs>
        <w:ind w:left="588" w:hanging="588"/>
        <w:rPr>
          <w:del w:id="10062" w:author="AbbVie19" w:date="2025-04-16T12:21:00Z"/>
          <w:szCs w:val="20"/>
        </w:rPr>
      </w:pPr>
      <w:del w:id="10063" w:author="AbbVie19" w:date="2025-04-16T12:21:00Z">
        <w:r w:rsidRPr="00BC0E7E">
          <w:rPr>
            <w:szCs w:val="20"/>
          </w:rPr>
          <w:delText>Wash your hands thoroughly</w:delText>
        </w:r>
      </w:del>
    </w:p>
    <w:p w14:paraId="69704F87" w14:textId="77777777" w:rsidR="00BC0E7E" w:rsidRPr="00BC0E7E" w:rsidRDefault="00BC0E7E" w:rsidP="00BC0E7E">
      <w:pPr>
        <w:tabs>
          <w:tab w:val="clear" w:pos="562"/>
        </w:tabs>
        <w:ind w:left="588"/>
        <w:rPr>
          <w:del w:id="10064" w:author="AbbVie19" w:date="2025-04-16T12:21:00Z"/>
          <w:szCs w:val="20"/>
        </w:rPr>
      </w:pPr>
    </w:p>
    <w:p w14:paraId="14A7DDEA" w14:textId="77777777" w:rsidR="00BC0E7E" w:rsidRPr="00BC0E7E" w:rsidRDefault="00944B8F" w:rsidP="00F421D6">
      <w:pPr>
        <w:numPr>
          <w:ilvl w:val="0"/>
          <w:numId w:val="34"/>
        </w:numPr>
        <w:tabs>
          <w:tab w:val="clear" w:pos="562"/>
        </w:tabs>
        <w:ind w:left="588" w:hanging="588"/>
        <w:rPr>
          <w:del w:id="10065" w:author="AbbVie19" w:date="2025-04-16T12:21:00Z"/>
          <w:szCs w:val="20"/>
        </w:rPr>
      </w:pPr>
      <w:del w:id="10066" w:author="AbbVie19" w:date="2025-04-16T12:21:00Z">
        <w:r w:rsidRPr="00BC0E7E">
          <w:rPr>
            <w:szCs w:val="20"/>
          </w:rPr>
          <w:delText>Remove one box containing, one syringe, one vial adapter, one vial, two alcohol pads and one needle from the carton. If there is a second box in the carton for a future injection, place it back in the refrigerator immediately.</w:delText>
        </w:r>
      </w:del>
    </w:p>
    <w:p w14:paraId="06F914C1" w14:textId="77777777" w:rsidR="00BC0E7E" w:rsidRPr="00BC0E7E" w:rsidRDefault="00BC0E7E" w:rsidP="00BC0E7E">
      <w:pPr>
        <w:tabs>
          <w:tab w:val="clear" w:pos="562"/>
        </w:tabs>
        <w:ind w:left="588"/>
        <w:rPr>
          <w:del w:id="10067" w:author="AbbVie19" w:date="2025-04-16T12:21:00Z"/>
          <w:szCs w:val="20"/>
        </w:rPr>
      </w:pPr>
    </w:p>
    <w:p w14:paraId="1C9DF32D" w14:textId="77777777" w:rsidR="00BC0E7E" w:rsidRPr="00BC0E7E" w:rsidRDefault="00944B8F" w:rsidP="00F421D6">
      <w:pPr>
        <w:numPr>
          <w:ilvl w:val="0"/>
          <w:numId w:val="34"/>
        </w:numPr>
        <w:tabs>
          <w:tab w:val="clear" w:pos="562"/>
        </w:tabs>
        <w:ind w:left="588" w:hanging="588"/>
        <w:rPr>
          <w:del w:id="10068" w:author="AbbVie19" w:date="2025-04-16T12:21:00Z"/>
          <w:szCs w:val="20"/>
        </w:rPr>
      </w:pPr>
      <w:del w:id="10069" w:author="AbbVie19" w:date="2025-04-16T12:21:00Z">
        <w:r w:rsidRPr="00BC0E7E">
          <w:rPr>
            <w:szCs w:val="20"/>
          </w:rPr>
          <w:delText xml:space="preserve">Look at the expiry date on the box to be used. </w:delText>
        </w:r>
        <w:r w:rsidR="00AE2CFB">
          <w:rPr>
            <w:b/>
            <w:szCs w:val="20"/>
          </w:rPr>
          <w:delText xml:space="preserve">DO NOT </w:delText>
        </w:r>
        <w:r w:rsidRPr="00BC0E7E">
          <w:rPr>
            <w:szCs w:val="20"/>
          </w:rPr>
          <w:delText>use any item after the date shown on the box.</w:delText>
        </w:r>
        <w:r w:rsidRPr="00BC0E7E">
          <w:rPr>
            <w:szCs w:val="20"/>
          </w:rPr>
          <w:br/>
          <w:delText xml:space="preserve"> </w:delText>
        </w:r>
      </w:del>
    </w:p>
    <w:p w14:paraId="7286CEA0" w14:textId="77777777" w:rsidR="00BC0E7E" w:rsidRPr="00BC0E7E" w:rsidRDefault="00944B8F" w:rsidP="00F421D6">
      <w:pPr>
        <w:numPr>
          <w:ilvl w:val="0"/>
          <w:numId w:val="34"/>
        </w:numPr>
        <w:tabs>
          <w:tab w:val="clear" w:pos="562"/>
        </w:tabs>
        <w:ind w:left="588" w:hanging="588"/>
        <w:rPr>
          <w:del w:id="10070" w:author="AbbVie19" w:date="2025-04-16T12:21:00Z"/>
          <w:szCs w:val="20"/>
        </w:rPr>
      </w:pPr>
      <w:del w:id="10071" w:author="AbbVie19" w:date="2025-04-16T12:21:00Z">
        <w:r w:rsidRPr="00BC0E7E">
          <w:rPr>
            <w:szCs w:val="20"/>
          </w:rPr>
          <w:delText xml:space="preserve">Set up the following items on a clean surface, </w:delText>
        </w:r>
        <w:r w:rsidR="00AE2CFB">
          <w:rPr>
            <w:b/>
            <w:szCs w:val="20"/>
          </w:rPr>
          <w:delText>DO NOT</w:delText>
        </w:r>
        <w:r w:rsidR="00B21C8B">
          <w:rPr>
            <w:b/>
            <w:szCs w:val="20"/>
          </w:rPr>
          <w:delText xml:space="preserve"> </w:delText>
        </w:r>
        <w:r w:rsidRPr="00BC0E7E">
          <w:rPr>
            <w:szCs w:val="20"/>
          </w:rPr>
          <w:delText>take them out of their individual packaging yet.</w:delText>
        </w:r>
      </w:del>
    </w:p>
    <w:p w14:paraId="38B1C2B1" w14:textId="77777777" w:rsidR="00BC0E7E" w:rsidRPr="00BC0E7E" w:rsidRDefault="00BC0E7E" w:rsidP="00BC0E7E">
      <w:pPr>
        <w:ind w:left="2160"/>
        <w:rPr>
          <w:del w:id="10072" w:author="AbbVie19" w:date="2025-04-16T12:21:00Z"/>
        </w:rPr>
      </w:pPr>
    </w:p>
    <w:p w14:paraId="1686CFCD" w14:textId="77777777" w:rsidR="00BC0E7E" w:rsidRPr="00BC0E7E" w:rsidRDefault="00944B8F" w:rsidP="00BC0E7E">
      <w:pPr>
        <w:numPr>
          <w:ilvl w:val="1"/>
          <w:numId w:val="12"/>
        </w:numPr>
        <w:tabs>
          <w:tab w:val="clear" w:pos="562"/>
          <w:tab w:val="clear" w:pos="2520"/>
        </w:tabs>
        <w:ind w:left="1134" w:hanging="567"/>
        <w:rPr>
          <w:del w:id="10073" w:author="AbbVie19" w:date="2025-04-16T12:21:00Z"/>
        </w:rPr>
      </w:pPr>
      <w:del w:id="10074" w:author="AbbVie19" w:date="2025-04-16T12:21:00Z">
        <w:r w:rsidRPr="00BC0E7E">
          <w:delText xml:space="preserve">One 1 ml syringe (1) </w:delText>
        </w:r>
      </w:del>
    </w:p>
    <w:p w14:paraId="4CDEBA99" w14:textId="77777777" w:rsidR="00BC0E7E" w:rsidRPr="00BC0E7E" w:rsidRDefault="00944B8F" w:rsidP="00BC0E7E">
      <w:pPr>
        <w:numPr>
          <w:ilvl w:val="1"/>
          <w:numId w:val="12"/>
        </w:numPr>
        <w:tabs>
          <w:tab w:val="clear" w:pos="562"/>
          <w:tab w:val="clear" w:pos="2520"/>
        </w:tabs>
        <w:ind w:left="1134" w:hanging="567"/>
        <w:rPr>
          <w:del w:id="10075" w:author="AbbVie19" w:date="2025-04-16T12:21:00Z"/>
        </w:rPr>
      </w:pPr>
      <w:del w:id="10076" w:author="AbbVie19" w:date="2025-04-16T12:21:00Z">
        <w:r w:rsidRPr="00BC0E7E">
          <w:delText xml:space="preserve">One vial adapter (2) </w:delText>
        </w:r>
      </w:del>
    </w:p>
    <w:p w14:paraId="17A9523B" w14:textId="77777777" w:rsidR="00BC0E7E" w:rsidRPr="00BC0E7E" w:rsidRDefault="00944B8F" w:rsidP="00BC0E7E">
      <w:pPr>
        <w:numPr>
          <w:ilvl w:val="1"/>
          <w:numId w:val="12"/>
        </w:numPr>
        <w:tabs>
          <w:tab w:val="clear" w:pos="562"/>
          <w:tab w:val="clear" w:pos="2520"/>
        </w:tabs>
        <w:ind w:left="1134" w:hanging="567"/>
        <w:rPr>
          <w:del w:id="10077" w:author="AbbVie19" w:date="2025-04-16T12:21:00Z"/>
        </w:rPr>
      </w:pPr>
      <w:del w:id="10078" w:author="AbbVie19" w:date="2025-04-16T12:21:00Z">
        <w:r w:rsidRPr="00BC0E7E">
          <w:delText>One vial for paediatric use of Humira for injection (3)</w:delText>
        </w:r>
      </w:del>
    </w:p>
    <w:p w14:paraId="55C46252" w14:textId="77777777" w:rsidR="00BC0E7E" w:rsidRPr="00BC0E7E" w:rsidRDefault="00944B8F" w:rsidP="00BC0E7E">
      <w:pPr>
        <w:numPr>
          <w:ilvl w:val="1"/>
          <w:numId w:val="12"/>
        </w:numPr>
        <w:tabs>
          <w:tab w:val="clear" w:pos="562"/>
          <w:tab w:val="clear" w:pos="2520"/>
        </w:tabs>
        <w:ind w:left="1134" w:hanging="567"/>
        <w:rPr>
          <w:del w:id="10079" w:author="AbbVie19" w:date="2025-04-16T12:21:00Z"/>
        </w:rPr>
      </w:pPr>
      <w:del w:id="10080" w:author="AbbVie19" w:date="2025-04-16T12:21:00Z">
        <w:r w:rsidRPr="00BC0E7E">
          <w:delText>Two alcohol pads (4)</w:delText>
        </w:r>
      </w:del>
    </w:p>
    <w:p w14:paraId="69FCC92A" w14:textId="77777777" w:rsidR="00BC0E7E" w:rsidRPr="00BC0E7E" w:rsidRDefault="00944B8F" w:rsidP="00BC0E7E">
      <w:pPr>
        <w:numPr>
          <w:ilvl w:val="1"/>
          <w:numId w:val="12"/>
        </w:numPr>
        <w:tabs>
          <w:tab w:val="clear" w:pos="562"/>
          <w:tab w:val="clear" w:pos="2520"/>
        </w:tabs>
        <w:ind w:left="1134" w:hanging="567"/>
        <w:rPr>
          <w:del w:id="10081" w:author="AbbVie19" w:date="2025-04-16T12:21:00Z"/>
        </w:rPr>
      </w:pPr>
      <w:del w:id="10082" w:author="AbbVie19" w:date="2025-04-16T12:21:00Z">
        <w:r w:rsidRPr="00BC0E7E">
          <w:delText>One needle (5)</w:delText>
        </w:r>
      </w:del>
    </w:p>
    <w:p w14:paraId="21BE473F" w14:textId="77777777" w:rsidR="00BC0E7E" w:rsidRPr="00BC0E7E" w:rsidRDefault="00944B8F" w:rsidP="00BC0E7E">
      <w:pPr>
        <w:ind w:left="2160"/>
        <w:rPr>
          <w:del w:id="10083" w:author="AbbVie19" w:date="2025-04-16T12:21:00Z"/>
        </w:rPr>
      </w:pPr>
      <w:del w:id="10084" w:author="AbbVie19" w:date="2025-04-16T12:21:00Z">
        <w:r w:rsidRPr="00BC0E7E">
          <w:tab/>
        </w:r>
        <w:r w:rsidRPr="00BC0E7E">
          <w:tab/>
        </w:r>
      </w:del>
    </w:p>
    <w:p w14:paraId="1BC00073" w14:textId="77777777" w:rsidR="00BC0E7E" w:rsidRPr="00BC0E7E" w:rsidRDefault="00944B8F" w:rsidP="00BC0E7E">
      <w:pPr>
        <w:jc w:val="center"/>
        <w:rPr>
          <w:del w:id="10085" w:author="AbbVie19" w:date="2025-04-16T12:21:00Z"/>
        </w:rPr>
      </w:pPr>
      <w:del w:id="10086" w:author="AbbVie19" w:date="2025-04-16T12:21:00Z">
        <w:r>
          <w:rPr>
            <w:noProof/>
            <w:lang w:val="en-US"/>
          </w:rPr>
          <w:drawing>
            <wp:inline distT="0" distB="0" distL="0" distR="0" wp14:anchorId="34A3078B" wp14:editId="6D654253">
              <wp:extent cx="1924050" cy="183705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43"/>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1924050" cy="1837055"/>
                      </a:xfrm>
                      <a:prstGeom prst="rect">
                        <a:avLst/>
                      </a:prstGeom>
                      <a:noFill/>
                      <a:ln>
                        <a:noFill/>
                      </a:ln>
                    </pic:spPr>
                  </pic:pic>
                </a:graphicData>
              </a:graphic>
            </wp:inline>
          </w:drawing>
        </w:r>
      </w:del>
    </w:p>
    <w:p w14:paraId="2FDDF6F9" w14:textId="77777777" w:rsidR="00BC0E7E" w:rsidRPr="00BC0E7E" w:rsidRDefault="00BC0E7E" w:rsidP="00BC0E7E">
      <w:pPr>
        <w:tabs>
          <w:tab w:val="clear" w:pos="562"/>
        </w:tabs>
        <w:ind w:left="588"/>
        <w:rPr>
          <w:del w:id="10087" w:author="AbbVie19" w:date="2025-04-16T12:21:00Z"/>
          <w:szCs w:val="20"/>
        </w:rPr>
      </w:pPr>
    </w:p>
    <w:p w14:paraId="715874F6" w14:textId="77777777" w:rsidR="00BC0E7E" w:rsidRPr="00BC0E7E" w:rsidRDefault="00944B8F" w:rsidP="00F421D6">
      <w:pPr>
        <w:numPr>
          <w:ilvl w:val="0"/>
          <w:numId w:val="34"/>
        </w:numPr>
        <w:tabs>
          <w:tab w:val="clear" w:pos="562"/>
        </w:tabs>
        <w:ind w:left="588" w:hanging="588"/>
        <w:rPr>
          <w:del w:id="10088" w:author="AbbVie19" w:date="2025-04-16T12:21:00Z"/>
          <w:szCs w:val="20"/>
        </w:rPr>
      </w:pPr>
      <w:del w:id="10089" w:author="AbbVie19" w:date="2025-04-16T12:21:00Z">
        <w:r w:rsidRPr="00BC0E7E">
          <w:rPr>
            <w:szCs w:val="20"/>
          </w:rPr>
          <w:delText xml:space="preserve">Humira is a liquid that is clear and colourless. </w:delText>
        </w:r>
        <w:r w:rsidR="00AE2CFB">
          <w:rPr>
            <w:b/>
            <w:szCs w:val="20"/>
          </w:rPr>
          <w:delText>DO NOT</w:delText>
        </w:r>
        <w:r w:rsidRPr="00BC0E7E">
          <w:rPr>
            <w:szCs w:val="20"/>
          </w:rPr>
          <w:delText xml:space="preserve"> use if the liquid is cloudy, discoloured or has flakes or particles in it.</w:delText>
        </w:r>
      </w:del>
    </w:p>
    <w:p w14:paraId="698BFEA5" w14:textId="77777777" w:rsidR="00BC0E7E" w:rsidRPr="00BC0E7E" w:rsidRDefault="00BC0E7E" w:rsidP="00BC0E7E">
      <w:pPr>
        <w:rPr>
          <w:del w:id="10090" w:author="AbbVie19" w:date="2025-04-16T12:21:00Z"/>
          <w:szCs w:val="20"/>
        </w:rPr>
      </w:pPr>
    </w:p>
    <w:p w14:paraId="3AB4F4C1" w14:textId="77777777" w:rsidR="00BC0E7E" w:rsidRPr="00BC0E7E" w:rsidRDefault="00944B8F" w:rsidP="00BC0E7E">
      <w:pPr>
        <w:suppressAutoHyphens w:val="0"/>
        <w:outlineLvl w:val="1"/>
        <w:rPr>
          <w:del w:id="10091" w:author="AbbVie19" w:date="2025-04-16T12:21:00Z"/>
          <w:rFonts w:ascii="Times New Roman Bold" w:hAnsi="Times New Roman Bold"/>
          <w:b/>
          <w:szCs w:val="20"/>
        </w:rPr>
      </w:pPr>
      <w:del w:id="10092" w:author="AbbVie19" w:date="2025-04-16T12:21:00Z">
        <w:r w:rsidRPr="00BC0E7E">
          <w:rPr>
            <w:rFonts w:ascii="Times New Roman Bold" w:hAnsi="Times New Roman Bold"/>
            <w:b/>
            <w:szCs w:val="20"/>
          </w:rPr>
          <w:delText xml:space="preserve">2) </w:delText>
        </w:r>
        <w:r w:rsidRPr="00BC0E7E">
          <w:rPr>
            <w:rFonts w:ascii="Times New Roman Bold" w:hAnsi="Times New Roman Bold"/>
            <w:b/>
            <w:szCs w:val="20"/>
          </w:rPr>
          <w:tab/>
          <w:delText>Preparing the Humira dose for injection</w:delText>
        </w:r>
        <w:r w:rsidRPr="00BC0E7E">
          <w:rPr>
            <w:rFonts w:ascii="Times New Roman Bold" w:hAnsi="Times New Roman Bold"/>
            <w:b/>
            <w:szCs w:val="20"/>
          </w:rPr>
          <w:tab/>
        </w:r>
      </w:del>
    </w:p>
    <w:p w14:paraId="4B1E70C5" w14:textId="77777777" w:rsidR="00BC0E7E" w:rsidRPr="00BC0E7E" w:rsidRDefault="00BC0E7E" w:rsidP="00BC0E7E">
      <w:pPr>
        <w:rPr>
          <w:del w:id="10093" w:author="AbbVie19" w:date="2025-04-16T12:21:00Z"/>
          <w:szCs w:val="20"/>
        </w:rPr>
      </w:pPr>
    </w:p>
    <w:p w14:paraId="69D91B8B" w14:textId="77777777" w:rsidR="00BC0E7E" w:rsidRPr="00BC0E7E" w:rsidRDefault="00944B8F" w:rsidP="00BC0E7E">
      <w:pPr>
        <w:rPr>
          <w:del w:id="10094" w:author="AbbVie19" w:date="2025-04-16T12:21:00Z"/>
          <w:szCs w:val="20"/>
        </w:rPr>
      </w:pPr>
      <w:del w:id="10095" w:author="AbbVie19" w:date="2025-04-16T12:21:00Z">
        <w:r w:rsidRPr="00BC0E7E">
          <w:rPr>
            <w:szCs w:val="20"/>
          </w:rPr>
          <w:tab/>
          <w:delText xml:space="preserve">General handling: </w:delText>
        </w:r>
        <w:r w:rsidRPr="00BC0E7E">
          <w:rPr>
            <w:b/>
            <w:szCs w:val="20"/>
          </w:rPr>
          <w:delText>DO NOT</w:delText>
        </w:r>
        <w:r w:rsidRPr="00BC0E7E">
          <w:rPr>
            <w:szCs w:val="20"/>
          </w:rPr>
          <w:delText xml:space="preserve"> dispose of any waste items until after the injection is completed.</w:delText>
        </w:r>
      </w:del>
    </w:p>
    <w:p w14:paraId="49028581" w14:textId="77777777" w:rsidR="00BC0E7E" w:rsidRPr="00BC0E7E" w:rsidRDefault="00BC0E7E" w:rsidP="00BC0E7E">
      <w:pPr>
        <w:rPr>
          <w:del w:id="10096" w:author="AbbVie19" w:date="2025-04-16T12:21:00Z"/>
          <w:szCs w:val="20"/>
        </w:rPr>
      </w:pPr>
    </w:p>
    <w:p w14:paraId="00C86FD2" w14:textId="77777777" w:rsidR="00BC0E7E" w:rsidRPr="00BC0E7E" w:rsidRDefault="00944B8F" w:rsidP="00F421D6">
      <w:pPr>
        <w:numPr>
          <w:ilvl w:val="0"/>
          <w:numId w:val="36"/>
        </w:numPr>
        <w:tabs>
          <w:tab w:val="clear" w:pos="562"/>
        </w:tabs>
        <w:ind w:left="550" w:hanging="550"/>
        <w:rPr>
          <w:del w:id="10097" w:author="AbbVie19" w:date="2025-04-16T12:21:00Z"/>
          <w:szCs w:val="20"/>
        </w:rPr>
      </w:pPr>
      <w:del w:id="10098" w:author="AbbVie19" w:date="2025-04-16T12:21:00Z">
        <w:r w:rsidRPr="00BC0E7E">
          <w:rPr>
            <w:szCs w:val="20"/>
          </w:rPr>
          <w:lastRenderedPageBreak/>
          <w:delText xml:space="preserve">Prepare the needle by partially peeling the package open from the end closest to the yellow syringe connector. Peel the package just far enough to expose the yellow syringe connector. </w:delText>
        </w:r>
        <w:r w:rsidRPr="00BC0E7E">
          <w:rPr>
            <w:szCs w:val="20"/>
          </w:rPr>
          <w:br/>
          <w:delText>Set the package down with the clear side of the package facing up.</w:delText>
        </w:r>
      </w:del>
    </w:p>
    <w:p w14:paraId="2476897B" w14:textId="77777777" w:rsidR="00BC0E7E" w:rsidRPr="00BC0E7E" w:rsidRDefault="00BC0E7E" w:rsidP="00BC0E7E">
      <w:pPr>
        <w:rPr>
          <w:del w:id="10099" w:author="AbbVie19" w:date="2025-04-16T12:21:00Z"/>
          <w:szCs w:val="20"/>
        </w:rPr>
      </w:pPr>
    </w:p>
    <w:p w14:paraId="72850461" w14:textId="77777777" w:rsidR="00BC0E7E" w:rsidRPr="00BC0E7E" w:rsidRDefault="00944B8F" w:rsidP="00BC0E7E">
      <w:pPr>
        <w:jc w:val="center"/>
        <w:rPr>
          <w:del w:id="10100" w:author="AbbVie19" w:date="2025-04-16T12:21:00Z"/>
          <w:szCs w:val="20"/>
        </w:rPr>
      </w:pPr>
      <w:del w:id="10101" w:author="AbbVie19" w:date="2025-04-16T12:21:00Z">
        <w:r>
          <w:rPr>
            <w:noProof/>
            <w:szCs w:val="20"/>
            <w:lang w:val="en-US"/>
          </w:rPr>
          <w:drawing>
            <wp:inline distT="0" distB="0" distL="0" distR="0" wp14:anchorId="60AE5A65" wp14:editId="1BCEB26E">
              <wp:extent cx="1837055" cy="183705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44"/>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1837055" cy="1837055"/>
                      </a:xfrm>
                      <a:prstGeom prst="rect">
                        <a:avLst/>
                      </a:prstGeom>
                      <a:noFill/>
                      <a:ln>
                        <a:noFill/>
                      </a:ln>
                    </pic:spPr>
                  </pic:pic>
                </a:graphicData>
              </a:graphic>
            </wp:inline>
          </w:drawing>
        </w:r>
      </w:del>
    </w:p>
    <w:p w14:paraId="7405FAA1" w14:textId="77777777" w:rsidR="00BC0E7E" w:rsidRPr="00BC0E7E" w:rsidRDefault="00BC0E7E" w:rsidP="00BC0E7E">
      <w:pPr>
        <w:ind w:left="330"/>
        <w:rPr>
          <w:del w:id="10102" w:author="AbbVie19" w:date="2025-04-16T12:21:00Z"/>
          <w:szCs w:val="20"/>
        </w:rPr>
      </w:pPr>
    </w:p>
    <w:p w14:paraId="246CDE9D" w14:textId="77777777" w:rsidR="00BC0E7E" w:rsidRPr="00BC0E7E" w:rsidRDefault="00BC0E7E" w:rsidP="00BC0E7E">
      <w:pPr>
        <w:rPr>
          <w:del w:id="10103" w:author="AbbVie19" w:date="2025-04-16T12:21:00Z"/>
          <w:szCs w:val="20"/>
        </w:rPr>
      </w:pPr>
    </w:p>
    <w:p w14:paraId="7FA4E4B4" w14:textId="77777777" w:rsidR="00BC0E7E" w:rsidRPr="00BC0E7E" w:rsidRDefault="00944B8F" w:rsidP="00F421D6">
      <w:pPr>
        <w:numPr>
          <w:ilvl w:val="0"/>
          <w:numId w:val="35"/>
        </w:numPr>
        <w:tabs>
          <w:tab w:val="clear" w:pos="562"/>
          <w:tab w:val="num" w:pos="550"/>
        </w:tabs>
        <w:ind w:left="550" w:hanging="550"/>
        <w:rPr>
          <w:del w:id="10104" w:author="AbbVie19" w:date="2025-04-16T12:21:00Z"/>
          <w:szCs w:val="20"/>
        </w:rPr>
      </w:pPr>
      <w:del w:id="10105" w:author="AbbVie19" w:date="2025-04-16T12:21:00Z">
        <w:r w:rsidRPr="00BC0E7E">
          <w:rPr>
            <w:szCs w:val="20"/>
          </w:rPr>
          <w:delText>Pop off the white plastic cap from the vial to see the top of the vial stopper.</w:delText>
        </w:r>
      </w:del>
    </w:p>
    <w:p w14:paraId="73E6CC04" w14:textId="77777777" w:rsidR="00BC0E7E" w:rsidRPr="00BC0E7E" w:rsidRDefault="00BC0E7E" w:rsidP="00BC0E7E">
      <w:pPr>
        <w:tabs>
          <w:tab w:val="clear" w:pos="562"/>
        </w:tabs>
        <w:rPr>
          <w:del w:id="10106" w:author="AbbVie19" w:date="2025-04-16T12:21:00Z"/>
          <w:szCs w:val="20"/>
        </w:rPr>
      </w:pPr>
    </w:p>
    <w:p w14:paraId="782DB4C1" w14:textId="77777777" w:rsidR="00BC0E7E" w:rsidRPr="00BC0E7E" w:rsidRDefault="00944B8F" w:rsidP="00BC0E7E">
      <w:pPr>
        <w:tabs>
          <w:tab w:val="clear" w:pos="562"/>
        </w:tabs>
        <w:jc w:val="center"/>
        <w:rPr>
          <w:del w:id="10107" w:author="AbbVie19" w:date="2025-04-16T12:21:00Z"/>
          <w:szCs w:val="20"/>
        </w:rPr>
      </w:pPr>
      <w:del w:id="10108" w:author="AbbVie19" w:date="2025-04-16T12:21:00Z">
        <w:r>
          <w:rPr>
            <w:noProof/>
            <w:szCs w:val="20"/>
            <w:lang w:val="en-US"/>
          </w:rPr>
          <w:drawing>
            <wp:inline distT="0" distB="0" distL="0" distR="0" wp14:anchorId="639FE25A" wp14:editId="07BB7FF9">
              <wp:extent cx="1837055" cy="182880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45"/>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1837055" cy="1828800"/>
                      </a:xfrm>
                      <a:prstGeom prst="rect">
                        <a:avLst/>
                      </a:prstGeom>
                      <a:noFill/>
                      <a:ln>
                        <a:noFill/>
                      </a:ln>
                    </pic:spPr>
                  </pic:pic>
                </a:graphicData>
              </a:graphic>
            </wp:inline>
          </w:drawing>
        </w:r>
      </w:del>
    </w:p>
    <w:p w14:paraId="0C7C4155" w14:textId="77777777" w:rsidR="00BC0E7E" w:rsidRPr="00BC0E7E" w:rsidRDefault="00BC0E7E" w:rsidP="00BC0E7E">
      <w:pPr>
        <w:rPr>
          <w:del w:id="10109" w:author="AbbVie19" w:date="2025-04-16T12:21:00Z"/>
          <w:szCs w:val="20"/>
        </w:rPr>
      </w:pPr>
    </w:p>
    <w:p w14:paraId="15E31F0A" w14:textId="77777777" w:rsidR="00BC0E7E" w:rsidRPr="00BC0E7E" w:rsidRDefault="00944B8F" w:rsidP="00F421D6">
      <w:pPr>
        <w:numPr>
          <w:ilvl w:val="0"/>
          <w:numId w:val="35"/>
        </w:numPr>
        <w:tabs>
          <w:tab w:val="clear" w:pos="562"/>
          <w:tab w:val="num" w:pos="550"/>
        </w:tabs>
        <w:ind w:left="550" w:hanging="550"/>
        <w:rPr>
          <w:del w:id="10110" w:author="AbbVie19" w:date="2025-04-16T12:21:00Z"/>
          <w:szCs w:val="20"/>
        </w:rPr>
      </w:pPr>
      <w:del w:id="10111" w:author="AbbVie19" w:date="2025-04-16T12:21:00Z">
        <w:r w:rsidRPr="00BC0E7E">
          <w:rPr>
            <w:szCs w:val="20"/>
          </w:rPr>
          <w:delText>Use one of the alcohol pads to wipe the vial stopper. DO NOT touch the vial stopper after wiping with the alcohol pad.</w:delText>
        </w:r>
      </w:del>
    </w:p>
    <w:p w14:paraId="452A8F36" w14:textId="77777777" w:rsidR="00BC0E7E" w:rsidRPr="00BC0E7E" w:rsidRDefault="00BC0E7E" w:rsidP="00BC0E7E">
      <w:pPr>
        <w:rPr>
          <w:del w:id="10112" w:author="AbbVie19" w:date="2025-04-16T12:21:00Z"/>
          <w:szCs w:val="20"/>
        </w:rPr>
      </w:pPr>
    </w:p>
    <w:p w14:paraId="0CC4D686" w14:textId="77777777" w:rsidR="00BC0E7E" w:rsidRPr="00BC0E7E" w:rsidRDefault="00944B8F" w:rsidP="00F421D6">
      <w:pPr>
        <w:numPr>
          <w:ilvl w:val="0"/>
          <w:numId w:val="37"/>
        </w:numPr>
        <w:tabs>
          <w:tab w:val="clear" w:pos="562"/>
        </w:tabs>
        <w:ind w:left="550" w:hanging="550"/>
        <w:rPr>
          <w:del w:id="10113" w:author="AbbVie19" w:date="2025-04-16T12:21:00Z"/>
          <w:szCs w:val="20"/>
        </w:rPr>
      </w:pPr>
      <w:del w:id="10114" w:author="AbbVie19" w:date="2025-04-16T12:21:00Z">
        <w:r w:rsidRPr="00BC0E7E">
          <w:rPr>
            <w:szCs w:val="20"/>
          </w:rPr>
          <w:delText xml:space="preserve">Peel the cover off the vial adapter package but do not take out the vial adapter.   </w:delText>
        </w:r>
      </w:del>
    </w:p>
    <w:p w14:paraId="7666863A" w14:textId="77777777" w:rsidR="00BC0E7E" w:rsidRPr="00BC0E7E" w:rsidRDefault="00BC0E7E" w:rsidP="00BC0E7E">
      <w:pPr>
        <w:rPr>
          <w:del w:id="10115" w:author="AbbVie19" w:date="2025-04-16T12:21:00Z"/>
          <w:szCs w:val="20"/>
        </w:rPr>
      </w:pPr>
    </w:p>
    <w:p w14:paraId="56385E13" w14:textId="77777777" w:rsidR="00BC0E7E" w:rsidRPr="00BC0E7E" w:rsidRDefault="00944B8F" w:rsidP="00BC0E7E">
      <w:pPr>
        <w:jc w:val="center"/>
        <w:rPr>
          <w:del w:id="10116" w:author="AbbVie19" w:date="2025-04-16T12:21:00Z"/>
          <w:szCs w:val="20"/>
        </w:rPr>
      </w:pPr>
      <w:del w:id="10117" w:author="AbbVie19" w:date="2025-04-16T12:21:00Z">
        <w:r>
          <w:rPr>
            <w:noProof/>
            <w:szCs w:val="20"/>
            <w:lang w:val="en-US"/>
          </w:rPr>
          <w:drawing>
            <wp:inline distT="0" distB="0" distL="0" distR="0" wp14:anchorId="3F292ECD" wp14:editId="29F542EB">
              <wp:extent cx="1788795" cy="1797050"/>
              <wp:effectExtent l="0" t="0" r="1905"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46"/>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1788795" cy="1797050"/>
                      </a:xfrm>
                      <a:prstGeom prst="rect">
                        <a:avLst/>
                      </a:prstGeom>
                      <a:noFill/>
                      <a:ln>
                        <a:noFill/>
                      </a:ln>
                    </pic:spPr>
                  </pic:pic>
                </a:graphicData>
              </a:graphic>
            </wp:inline>
          </w:drawing>
        </w:r>
      </w:del>
    </w:p>
    <w:p w14:paraId="4B7DD43F" w14:textId="77777777" w:rsidR="00BC0E7E" w:rsidRPr="00BC0E7E" w:rsidRDefault="00BC0E7E" w:rsidP="00BC0E7E">
      <w:pPr>
        <w:rPr>
          <w:del w:id="10118" w:author="AbbVie19" w:date="2025-04-16T12:21:00Z"/>
          <w:szCs w:val="20"/>
        </w:rPr>
      </w:pPr>
    </w:p>
    <w:p w14:paraId="35444A75" w14:textId="77777777" w:rsidR="00BC0E7E" w:rsidRPr="00BC0E7E" w:rsidRDefault="00944B8F" w:rsidP="00F421D6">
      <w:pPr>
        <w:numPr>
          <w:ilvl w:val="0"/>
          <w:numId w:val="27"/>
        </w:numPr>
        <w:tabs>
          <w:tab w:val="clear" w:pos="562"/>
          <w:tab w:val="num" w:pos="550"/>
        </w:tabs>
        <w:ind w:left="550" w:hanging="550"/>
        <w:rPr>
          <w:del w:id="10119" w:author="AbbVie19" w:date="2025-04-16T12:21:00Z"/>
          <w:szCs w:val="20"/>
        </w:rPr>
      </w:pPr>
      <w:del w:id="10120" w:author="AbbVie19" w:date="2025-04-16T12:21:00Z">
        <w:r w:rsidRPr="00BC0E7E">
          <w:rPr>
            <w:szCs w:val="20"/>
          </w:rPr>
          <w:delText>Hold the vial with the vial stopper facing up.</w:delText>
        </w:r>
      </w:del>
    </w:p>
    <w:p w14:paraId="17E92E9E" w14:textId="77777777" w:rsidR="00BC0E7E" w:rsidRPr="00BC0E7E" w:rsidRDefault="00BC0E7E" w:rsidP="00BC0E7E">
      <w:pPr>
        <w:rPr>
          <w:del w:id="10121" w:author="AbbVie19" w:date="2025-04-16T12:21:00Z"/>
          <w:szCs w:val="20"/>
        </w:rPr>
      </w:pPr>
    </w:p>
    <w:p w14:paraId="67AE1B25" w14:textId="77777777" w:rsidR="00BC0E7E" w:rsidRPr="00BC0E7E" w:rsidRDefault="00944B8F" w:rsidP="00F421D6">
      <w:pPr>
        <w:numPr>
          <w:ilvl w:val="0"/>
          <w:numId w:val="27"/>
        </w:numPr>
        <w:tabs>
          <w:tab w:val="clear" w:pos="562"/>
          <w:tab w:val="num" w:pos="550"/>
        </w:tabs>
        <w:ind w:left="550" w:hanging="550"/>
        <w:rPr>
          <w:del w:id="10122" w:author="AbbVie19" w:date="2025-04-16T12:21:00Z"/>
          <w:szCs w:val="20"/>
        </w:rPr>
      </w:pPr>
      <w:del w:id="10123" w:author="AbbVie19" w:date="2025-04-16T12:21:00Z">
        <w:r w:rsidRPr="00BC0E7E">
          <w:rPr>
            <w:szCs w:val="20"/>
          </w:rPr>
          <w:delText xml:space="preserve">With the vial adapter still in the clear package, attach it to the vial stopper by pushing down until the vial adapter snaps in place.  </w:delText>
        </w:r>
      </w:del>
    </w:p>
    <w:p w14:paraId="1D5439AD" w14:textId="77777777" w:rsidR="00BC0E7E" w:rsidRPr="00BC0E7E" w:rsidRDefault="00BC0E7E" w:rsidP="00BC0E7E">
      <w:pPr>
        <w:tabs>
          <w:tab w:val="clear" w:pos="562"/>
          <w:tab w:val="num" w:pos="550"/>
        </w:tabs>
        <w:ind w:left="550" w:hanging="550"/>
        <w:rPr>
          <w:del w:id="10124" w:author="AbbVie19" w:date="2025-04-16T12:21:00Z"/>
          <w:szCs w:val="20"/>
        </w:rPr>
      </w:pPr>
    </w:p>
    <w:p w14:paraId="43357684" w14:textId="77777777" w:rsidR="00BC0E7E" w:rsidRPr="00BC0E7E" w:rsidRDefault="00944B8F" w:rsidP="00F421D6">
      <w:pPr>
        <w:numPr>
          <w:ilvl w:val="0"/>
          <w:numId w:val="27"/>
        </w:numPr>
        <w:tabs>
          <w:tab w:val="clear" w:pos="562"/>
          <w:tab w:val="num" w:pos="550"/>
        </w:tabs>
        <w:ind w:left="550" w:hanging="550"/>
        <w:rPr>
          <w:del w:id="10125" w:author="AbbVie19" w:date="2025-04-16T12:21:00Z"/>
          <w:szCs w:val="20"/>
        </w:rPr>
      </w:pPr>
      <w:del w:id="10126" w:author="AbbVie19" w:date="2025-04-16T12:21:00Z">
        <w:r w:rsidRPr="00BC0E7E">
          <w:rPr>
            <w:szCs w:val="20"/>
          </w:rPr>
          <w:delText xml:space="preserve">When you are sure the adapter is attached to the vial, lift off the package from the vial adapter. </w:delText>
        </w:r>
      </w:del>
    </w:p>
    <w:p w14:paraId="75108988" w14:textId="77777777" w:rsidR="00BC0E7E" w:rsidRPr="00BC0E7E" w:rsidRDefault="00BC0E7E" w:rsidP="00BC0E7E">
      <w:pPr>
        <w:tabs>
          <w:tab w:val="clear" w:pos="562"/>
          <w:tab w:val="num" w:pos="550"/>
        </w:tabs>
        <w:ind w:left="550" w:hanging="550"/>
        <w:rPr>
          <w:del w:id="10127" w:author="AbbVie19" w:date="2025-04-16T12:21:00Z"/>
          <w:szCs w:val="20"/>
        </w:rPr>
      </w:pPr>
    </w:p>
    <w:p w14:paraId="16790F9C" w14:textId="77777777" w:rsidR="00BC0E7E" w:rsidRPr="00BC0E7E" w:rsidRDefault="00944B8F" w:rsidP="00F421D6">
      <w:pPr>
        <w:numPr>
          <w:ilvl w:val="0"/>
          <w:numId w:val="27"/>
        </w:numPr>
        <w:tabs>
          <w:tab w:val="clear" w:pos="562"/>
          <w:tab w:val="num" w:pos="550"/>
        </w:tabs>
        <w:ind w:left="550" w:hanging="550"/>
        <w:rPr>
          <w:del w:id="10128" w:author="AbbVie19" w:date="2025-04-16T12:21:00Z"/>
          <w:szCs w:val="20"/>
        </w:rPr>
      </w:pPr>
      <w:del w:id="10129" w:author="AbbVie19" w:date="2025-04-16T12:21:00Z">
        <w:r w:rsidRPr="00BC0E7E">
          <w:rPr>
            <w:szCs w:val="20"/>
          </w:rPr>
          <w:delText xml:space="preserve">Gently set the vial with vial adapter down on your clean work surface. Be careful that it does not fall over. </w:delText>
        </w:r>
        <w:r w:rsidRPr="00BC0E7E">
          <w:rPr>
            <w:b/>
            <w:szCs w:val="20"/>
          </w:rPr>
          <w:delText>DO NOT</w:delText>
        </w:r>
        <w:r w:rsidRPr="00BC0E7E">
          <w:rPr>
            <w:szCs w:val="20"/>
          </w:rPr>
          <w:delText xml:space="preserve"> touch the vial adapter. </w:delText>
        </w:r>
      </w:del>
    </w:p>
    <w:p w14:paraId="3D58880C" w14:textId="77777777" w:rsidR="00BC0E7E" w:rsidRPr="00BC0E7E" w:rsidRDefault="00BC0E7E" w:rsidP="00BC0E7E">
      <w:pPr>
        <w:ind w:left="330"/>
        <w:rPr>
          <w:del w:id="10130" w:author="AbbVie19" w:date="2025-04-16T12:21:00Z"/>
          <w:szCs w:val="20"/>
        </w:rPr>
      </w:pPr>
    </w:p>
    <w:p w14:paraId="08680CEE" w14:textId="77777777" w:rsidR="00BC0E7E" w:rsidRPr="00BC0E7E" w:rsidRDefault="00944B8F" w:rsidP="00BC0E7E">
      <w:pPr>
        <w:jc w:val="center"/>
        <w:rPr>
          <w:del w:id="10131" w:author="AbbVie19" w:date="2025-04-16T12:21:00Z"/>
          <w:szCs w:val="20"/>
        </w:rPr>
      </w:pPr>
      <w:del w:id="10132" w:author="AbbVie19" w:date="2025-04-16T12:21:00Z">
        <w:r>
          <w:rPr>
            <w:noProof/>
            <w:szCs w:val="20"/>
            <w:lang w:val="en-US"/>
          </w:rPr>
          <w:drawing>
            <wp:inline distT="0" distB="0" distL="0" distR="0" wp14:anchorId="4115000C" wp14:editId="5DAF9B8F">
              <wp:extent cx="3975735" cy="1868805"/>
              <wp:effectExtent l="0" t="0" r="5715"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47"/>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3975735" cy="1868805"/>
                      </a:xfrm>
                      <a:prstGeom prst="rect">
                        <a:avLst/>
                      </a:prstGeom>
                      <a:noFill/>
                      <a:ln>
                        <a:noFill/>
                      </a:ln>
                    </pic:spPr>
                  </pic:pic>
                </a:graphicData>
              </a:graphic>
            </wp:inline>
          </w:drawing>
        </w:r>
      </w:del>
    </w:p>
    <w:p w14:paraId="1AC4AE66" w14:textId="77777777" w:rsidR="00BC0E7E" w:rsidRPr="00BC0E7E" w:rsidRDefault="00BC0E7E" w:rsidP="00BC0E7E">
      <w:pPr>
        <w:jc w:val="center"/>
        <w:rPr>
          <w:del w:id="10133" w:author="AbbVie19" w:date="2025-04-16T12:21:00Z"/>
          <w:szCs w:val="20"/>
        </w:rPr>
      </w:pPr>
    </w:p>
    <w:p w14:paraId="066351C8" w14:textId="77777777" w:rsidR="00BC0E7E" w:rsidRPr="00BC0E7E" w:rsidRDefault="00944B8F" w:rsidP="00F421D6">
      <w:pPr>
        <w:numPr>
          <w:ilvl w:val="0"/>
          <w:numId w:val="29"/>
        </w:numPr>
        <w:tabs>
          <w:tab w:val="clear" w:pos="720"/>
        </w:tabs>
        <w:ind w:left="550" w:hanging="550"/>
        <w:rPr>
          <w:del w:id="10134" w:author="AbbVie19" w:date="2025-04-16T12:21:00Z"/>
          <w:szCs w:val="20"/>
        </w:rPr>
      </w:pPr>
      <w:del w:id="10135" w:author="AbbVie19" w:date="2025-04-16T12:21:00Z">
        <w:r w:rsidRPr="00BC0E7E">
          <w:rPr>
            <w:szCs w:val="20"/>
          </w:rPr>
          <w:delText>Prepare the syringe by partially peeling the package open from the end closest to white plunger rod.</w:delText>
        </w:r>
      </w:del>
    </w:p>
    <w:p w14:paraId="2B450727" w14:textId="77777777" w:rsidR="00BC0E7E" w:rsidRPr="00BC0E7E" w:rsidRDefault="00BC0E7E" w:rsidP="00BC0E7E">
      <w:pPr>
        <w:ind w:hanging="720"/>
        <w:rPr>
          <w:del w:id="10136" w:author="AbbVie19" w:date="2025-04-16T12:21:00Z"/>
          <w:szCs w:val="20"/>
        </w:rPr>
      </w:pPr>
    </w:p>
    <w:p w14:paraId="12301E11" w14:textId="77777777" w:rsidR="00BC0E7E" w:rsidRPr="00BC0E7E" w:rsidRDefault="00944B8F" w:rsidP="00F421D6">
      <w:pPr>
        <w:numPr>
          <w:ilvl w:val="0"/>
          <w:numId w:val="28"/>
        </w:numPr>
        <w:tabs>
          <w:tab w:val="clear" w:pos="720"/>
        </w:tabs>
        <w:ind w:left="550" w:hanging="550"/>
        <w:rPr>
          <w:del w:id="10137" w:author="AbbVie19" w:date="2025-04-16T12:21:00Z"/>
          <w:szCs w:val="20"/>
        </w:rPr>
      </w:pPr>
      <w:del w:id="10138" w:author="AbbVie19" w:date="2025-04-16T12:21:00Z">
        <w:r w:rsidRPr="00BC0E7E">
          <w:rPr>
            <w:szCs w:val="20"/>
          </w:rPr>
          <w:delText xml:space="preserve">Peel the clear package just far enough to expose the white plunger rod, but do not take the syringe out of the package.  </w:delText>
        </w:r>
      </w:del>
    </w:p>
    <w:p w14:paraId="5AFE1CCF" w14:textId="77777777" w:rsidR="00BC0E7E" w:rsidRPr="00BC0E7E" w:rsidRDefault="00BC0E7E" w:rsidP="00BC0E7E">
      <w:pPr>
        <w:ind w:left="360" w:hanging="720"/>
        <w:rPr>
          <w:del w:id="10139" w:author="AbbVie19" w:date="2025-04-16T12:21:00Z"/>
          <w:szCs w:val="20"/>
        </w:rPr>
      </w:pPr>
    </w:p>
    <w:p w14:paraId="61A41899" w14:textId="77777777" w:rsidR="00BC0E7E" w:rsidRPr="00BC0E7E" w:rsidRDefault="00944B8F" w:rsidP="00F421D6">
      <w:pPr>
        <w:numPr>
          <w:ilvl w:val="0"/>
          <w:numId w:val="28"/>
        </w:numPr>
        <w:tabs>
          <w:tab w:val="clear" w:pos="720"/>
        </w:tabs>
        <w:ind w:left="550" w:hanging="550"/>
        <w:rPr>
          <w:del w:id="10140" w:author="AbbVie19" w:date="2025-04-16T12:21:00Z"/>
          <w:szCs w:val="20"/>
        </w:rPr>
      </w:pPr>
      <w:del w:id="10141" w:author="AbbVie19" w:date="2025-04-16T12:21:00Z">
        <w:r w:rsidRPr="00BC0E7E">
          <w:rPr>
            <w:szCs w:val="20"/>
          </w:rPr>
          <w:delText xml:space="preserve">Hold the syringe package and </w:delText>
        </w:r>
        <w:r w:rsidRPr="00BC0E7E">
          <w:rPr>
            <w:b/>
            <w:szCs w:val="20"/>
          </w:rPr>
          <w:delText xml:space="preserve">SLOWLY </w:delText>
        </w:r>
        <w:r w:rsidRPr="00BC0E7E">
          <w:rPr>
            <w:szCs w:val="20"/>
          </w:rPr>
          <w:delText xml:space="preserve">pull the white plunger rod out to 0.1 ml beyond the prescribed dose (For example, if the prescribed dose is 0.5 ml, pull the white plunger rod to 0.6 ml). </w:delText>
        </w:r>
        <w:r w:rsidRPr="00BC0E7E">
          <w:rPr>
            <w:b/>
            <w:szCs w:val="20"/>
          </w:rPr>
          <w:delText>NEVER</w:delText>
        </w:r>
        <w:r w:rsidRPr="00BC0E7E">
          <w:rPr>
            <w:szCs w:val="20"/>
          </w:rPr>
          <w:delText xml:space="preserve"> pull past the 0.9 ml position regardless of prescribed dose.</w:delText>
        </w:r>
      </w:del>
    </w:p>
    <w:p w14:paraId="6F5098E5" w14:textId="77777777" w:rsidR="00BC0E7E" w:rsidRPr="00BC0E7E" w:rsidRDefault="00BC0E7E" w:rsidP="00BC0E7E">
      <w:pPr>
        <w:ind w:left="562" w:hanging="720"/>
        <w:rPr>
          <w:del w:id="10142" w:author="AbbVie19" w:date="2025-04-16T12:21:00Z"/>
          <w:szCs w:val="20"/>
        </w:rPr>
      </w:pPr>
    </w:p>
    <w:p w14:paraId="020677F1" w14:textId="77777777" w:rsidR="00BC0E7E" w:rsidRPr="00BC0E7E" w:rsidRDefault="00944B8F" w:rsidP="00F421D6">
      <w:pPr>
        <w:numPr>
          <w:ilvl w:val="0"/>
          <w:numId w:val="28"/>
        </w:numPr>
        <w:tabs>
          <w:tab w:val="clear" w:pos="720"/>
        </w:tabs>
        <w:ind w:left="550" w:hanging="550"/>
        <w:rPr>
          <w:del w:id="10143" w:author="AbbVie19" w:date="2025-04-16T12:21:00Z"/>
          <w:szCs w:val="20"/>
        </w:rPr>
      </w:pPr>
      <w:del w:id="10144" w:author="AbbVie19" w:date="2025-04-16T12:21:00Z">
        <w:r w:rsidRPr="00BC0E7E">
          <w:rPr>
            <w:szCs w:val="20"/>
          </w:rPr>
          <w:delText>You will set the volume to the prescribed dose in a later step.</w:delText>
        </w:r>
      </w:del>
    </w:p>
    <w:p w14:paraId="4D33F7A5" w14:textId="77777777" w:rsidR="00BC0E7E" w:rsidRPr="00BC0E7E" w:rsidRDefault="00BC0E7E" w:rsidP="00BC0E7E">
      <w:pPr>
        <w:rPr>
          <w:del w:id="10145" w:author="AbbVie19" w:date="2025-04-16T12:21:00Z"/>
          <w:szCs w:val="20"/>
        </w:rPr>
      </w:pPr>
    </w:p>
    <w:p w14:paraId="5DB05D64" w14:textId="77777777" w:rsidR="00BC0E7E" w:rsidRPr="00BC0E7E" w:rsidRDefault="00944B8F" w:rsidP="00F421D6">
      <w:pPr>
        <w:numPr>
          <w:ilvl w:val="0"/>
          <w:numId w:val="28"/>
        </w:numPr>
        <w:tabs>
          <w:tab w:val="clear" w:pos="720"/>
        </w:tabs>
        <w:ind w:left="550" w:hanging="550"/>
        <w:rPr>
          <w:del w:id="10146" w:author="AbbVie19" w:date="2025-04-16T12:21:00Z"/>
          <w:szCs w:val="20"/>
        </w:rPr>
      </w:pPr>
      <w:del w:id="10147" w:author="AbbVie19" w:date="2025-04-16T12:21:00Z">
        <w:r w:rsidRPr="00BC0E7E">
          <w:rPr>
            <w:b/>
            <w:szCs w:val="20"/>
          </w:rPr>
          <w:delText>DO NOT</w:delText>
        </w:r>
        <w:r w:rsidRPr="00BC0E7E">
          <w:rPr>
            <w:szCs w:val="20"/>
          </w:rPr>
          <w:delText xml:space="preserve"> pull the white plunger rod completely out of the syringe.</w:delText>
        </w:r>
      </w:del>
    </w:p>
    <w:p w14:paraId="51FBBE1D" w14:textId="77777777" w:rsidR="00BC0E7E" w:rsidRPr="00BC0E7E" w:rsidRDefault="00BC0E7E" w:rsidP="00BC0E7E">
      <w:pPr>
        <w:rPr>
          <w:del w:id="10148" w:author="AbbVie19" w:date="2025-04-16T12:21:00Z"/>
          <w:szCs w:val="22"/>
        </w:rPr>
      </w:pPr>
    </w:p>
    <w:p w14:paraId="41B930E2" w14:textId="77777777" w:rsidR="00BC0E7E" w:rsidRPr="00BC0E7E" w:rsidRDefault="00944B8F" w:rsidP="00BC0E7E">
      <w:pPr>
        <w:rPr>
          <w:del w:id="10149" w:author="AbbVie19" w:date="2025-04-16T12:21:00Z"/>
          <w:szCs w:val="20"/>
        </w:rPr>
      </w:pPr>
      <w:del w:id="10150" w:author="AbbVie19" w:date="2025-04-16T12:21:00Z">
        <w:r w:rsidRPr="00BC0E7E">
          <w:rPr>
            <w:b/>
            <w:szCs w:val="20"/>
          </w:rPr>
          <w:delText>NOTE</w:delText>
        </w:r>
        <w:r w:rsidRPr="00BC0E7E">
          <w:rPr>
            <w:szCs w:val="20"/>
          </w:rPr>
          <w:delText xml:space="preserve">: </w:delText>
        </w:r>
      </w:del>
    </w:p>
    <w:p w14:paraId="7895197A" w14:textId="77777777" w:rsidR="00BC0E7E" w:rsidRPr="00BC0E7E" w:rsidRDefault="00BC0E7E" w:rsidP="00BC0E7E">
      <w:pPr>
        <w:rPr>
          <w:del w:id="10151" w:author="AbbVie19" w:date="2025-04-16T12:21:00Z"/>
          <w:szCs w:val="20"/>
        </w:rPr>
      </w:pPr>
    </w:p>
    <w:p w14:paraId="0AFF5330" w14:textId="77777777" w:rsidR="00BC0E7E" w:rsidRPr="00BC0E7E" w:rsidRDefault="00944B8F" w:rsidP="00BC0E7E">
      <w:pPr>
        <w:rPr>
          <w:del w:id="10152" w:author="AbbVie19" w:date="2025-04-16T12:21:00Z"/>
          <w:szCs w:val="20"/>
        </w:rPr>
      </w:pPr>
      <w:del w:id="10153" w:author="AbbVie19" w:date="2025-04-16T12:21:00Z">
        <w:r w:rsidRPr="00BC0E7E">
          <w:rPr>
            <w:szCs w:val="20"/>
          </w:rPr>
          <w:delText xml:space="preserve">If the white plunger rod is pulled completely out of the syringe, discard the syringe and contact your Humira provider for a replacement. </w:delText>
        </w:r>
        <w:r w:rsidRPr="00BC0E7E">
          <w:rPr>
            <w:b/>
            <w:szCs w:val="20"/>
          </w:rPr>
          <w:delText>DO NOT</w:delText>
        </w:r>
        <w:r w:rsidRPr="00BC0E7E">
          <w:rPr>
            <w:szCs w:val="20"/>
          </w:rPr>
          <w:delText xml:space="preserve"> try to reinsert the white plunger rod.</w:delText>
        </w:r>
      </w:del>
    </w:p>
    <w:p w14:paraId="00270147" w14:textId="77777777" w:rsidR="00BC0E7E" w:rsidRPr="00BC0E7E" w:rsidRDefault="00BC0E7E" w:rsidP="00BC0E7E">
      <w:pPr>
        <w:rPr>
          <w:del w:id="10154" w:author="AbbVie19" w:date="2025-04-16T12:21:00Z"/>
          <w:szCs w:val="20"/>
        </w:rPr>
      </w:pPr>
    </w:p>
    <w:tbl>
      <w:tblPr>
        <w:tblW w:w="0" w:type="auto"/>
        <w:tblLook w:val="01E0" w:firstRow="1" w:lastRow="1" w:firstColumn="1" w:lastColumn="1" w:noHBand="0" w:noVBand="0"/>
      </w:tblPr>
      <w:tblGrid>
        <w:gridCol w:w="4643"/>
        <w:gridCol w:w="4644"/>
      </w:tblGrid>
      <w:tr w:rsidR="00C6578C" w14:paraId="5A19EE19" w14:textId="77777777" w:rsidTr="00171601">
        <w:trPr>
          <w:del w:id="10155" w:author="AbbVie19" w:date="2025-04-16T12:21:00Z"/>
        </w:trPr>
        <w:tc>
          <w:tcPr>
            <w:tcW w:w="4643" w:type="dxa"/>
          </w:tcPr>
          <w:p w14:paraId="7368B40B" w14:textId="77777777" w:rsidR="00BC0E7E" w:rsidRPr="00BC0E7E" w:rsidRDefault="00944B8F" w:rsidP="00BC0E7E">
            <w:pPr>
              <w:jc w:val="right"/>
              <w:rPr>
                <w:del w:id="10156" w:author="AbbVie19" w:date="2025-04-16T12:21:00Z"/>
                <w:szCs w:val="20"/>
              </w:rPr>
            </w:pPr>
            <w:del w:id="10157" w:author="AbbVie19" w:date="2025-04-16T12:21:00Z">
              <w:r>
                <w:rPr>
                  <w:noProof/>
                  <w:szCs w:val="20"/>
                  <w:lang w:val="en-US"/>
                </w:rPr>
                <w:drawing>
                  <wp:inline distT="0" distB="0" distL="0" distR="0" wp14:anchorId="34EF9691" wp14:editId="666FF571">
                    <wp:extent cx="1892300" cy="18923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48"/>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1892300" cy="1892300"/>
                            </a:xfrm>
                            <a:prstGeom prst="rect">
                              <a:avLst/>
                            </a:prstGeom>
                            <a:noFill/>
                            <a:ln>
                              <a:noFill/>
                            </a:ln>
                          </pic:spPr>
                        </pic:pic>
                      </a:graphicData>
                    </a:graphic>
                  </wp:inline>
                </w:drawing>
              </w:r>
            </w:del>
          </w:p>
        </w:tc>
        <w:tc>
          <w:tcPr>
            <w:tcW w:w="4644" w:type="dxa"/>
          </w:tcPr>
          <w:p w14:paraId="12CFED21" w14:textId="77777777" w:rsidR="00BC0E7E" w:rsidRPr="00BC0E7E" w:rsidRDefault="00BC0E7E" w:rsidP="00BC0E7E">
            <w:pPr>
              <w:rPr>
                <w:del w:id="10158" w:author="AbbVie19" w:date="2025-04-16T12:21:00Z"/>
                <w:szCs w:val="20"/>
              </w:rPr>
            </w:pPr>
          </w:p>
          <w:p w14:paraId="4DC8D8D7" w14:textId="77777777" w:rsidR="00BC0E7E" w:rsidRPr="00BC0E7E" w:rsidRDefault="00BC0E7E" w:rsidP="00BC0E7E">
            <w:pPr>
              <w:rPr>
                <w:del w:id="10159" w:author="AbbVie19" w:date="2025-04-16T12:21:00Z"/>
                <w:szCs w:val="20"/>
              </w:rPr>
            </w:pPr>
          </w:p>
          <w:p w14:paraId="2D337F62" w14:textId="77777777" w:rsidR="00BC0E7E" w:rsidRPr="00BC0E7E" w:rsidRDefault="00BC0E7E" w:rsidP="00BC0E7E">
            <w:pPr>
              <w:rPr>
                <w:del w:id="10160" w:author="AbbVie19" w:date="2025-04-16T12:21:00Z"/>
                <w:szCs w:val="20"/>
              </w:rPr>
            </w:pPr>
          </w:p>
          <w:p w14:paraId="2BAA8CD3" w14:textId="77777777" w:rsidR="00BC0E7E" w:rsidRPr="00BC0E7E" w:rsidRDefault="00BC0E7E" w:rsidP="00BC0E7E">
            <w:pPr>
              <w:rPr>
                <w:del w:id="10161" w:author="AbbVie19" w:date="2025-04-16T12:21:00Z"/>
                <w:szCs w:val="20"/>
              </w:rPr>
            </w:pPr>
          </w:p>
          <w:p w14:paraId="48E9334C" w14:textId="77777777" w:rsidR="00BC0E7E" w:rsidRPr="00BC0E7E" w:rsidRDefault="00BC0E7E" w:rsidP="00BC0E7E">
            <w:pPr>
              <w:rPr>
                <w:del w:id="10162" w:author="AbbVie19" w:date="2025-04-16T12:21:00Z"/>
                <w:szCs w:val="20"/>
              </w:rPr>
            </w:pPr>
          </w:p>
          <w:p w14:paraId="3561D0BD" w14:textId="77777777" w:rsidR="00BC0E7E" w:rsidRPr="00BC0E7E" w:rsidRDefault="00BC0E7E" w:rsidP="00BC0E7E">
            <w:pPr>
              <w:rPr>
                <w:del w:id="10163" w:author="AbbVie19" w:date="2025-04-16T12:21:00Z"/>
                <w:szCs w:val="20"/>
              </w:rPr>
            </w:pPr>
          </w:p>
          <w:p w14:paraId="0491AC3E" w14:textId="77777777" w:rsidR="00BC0E7E" w:rsidRPr="00BC0E7E" w:rsidRDefault="00BC0E7E" w:rsidP="00BC0E7E">
            <w:pPr>
              <w:rPr>
                <w:del w:id="10164" w:author="AbbVie19" w:date="2025-04-16T12:21:00Z"/>
                <w:szCs w:val="20"/>
              </w:rPr>
            </w:pPr>
          </w:p>
          <w:p w14:paraId="6389883C" w14:textId="77777777" w:rsidR="00BC0E7E" w:rsidRPr="00BC0E7E" w:rsidRDefault="00BC0E7E" w:rsidP="00BC0E7E">
            <w:pPr>
              <w:rPr>
                <w:del w:id="10165" w:author="AbbVie19" w:date="2025-04-16T12:21:00Z"/>
                <w:szCs w:val="20"/>
              </w:rPr>
            </w:pPr>
          </w:p>
          <w:p w14:paraId="2E3C4B1A" w14:textId="77777777" w:rsidR="00BC0E7E" w:rsidRPr="00BC0E7E" w:rsidRDefault="00944B8F" w:rsidP="00BC0E7E">
            <w:pPr>
              <w:rPr>
                <w:del w:id="10166" w:author="AbbVie19" w:date="2025-04-16T12:21:00Z"/>
                <w:szCs w:val="20"/>
              </w:rPr>
            </w:pPr>
            <w:del w:id="10167" w:author="AbbVie19" w:date="2025-04-16T12:21:00Z">
              <w:r w:rsidRPr="00BC0E7E">
                <w:rPr>
                  <w:szCs w:val="20"/>
                </w:rPr>
                <w:delText>Dose + 0.1 ml</w:delText>
              </w:r>
            </w:del>
          </w:p>
        </w:tc>
      </w:tr>
    </w:tbl>
    <w:p w14:paraId="2FD02421" w14:textId="77777777" w:rsidR="00BC0E7E" w:rsidRPr="00BC0E7E" w:rsidRDefault="00BC0E7E" w:rsidP="00BC0E7E">
      <w:pPr>
        <w:rPr>
          <w:del w:id="10168" w:author="AbbVie19" w:date="2025-04-16T12:21:00Z"/>
          <w:szCs w:val="20"/>
        </w:rPr>
      </w:pPr>
    </w:p>
    <w:p w14:paraId="5F06C0CE" w14:textId="77777777" w:rsidR="00BC0E7E" w:rsidRPr="00BC0E7E" w:rsidRDefault="00944B8F" w:rsidP="00F421D6">
      <w:pPr>
        <w:numPr>
          <w:ilvl w:val="0"/>
          <w:numId w:val="31"/>
        </w:numPr>
        <w:tabs>
          <w:tab w:val="clear" w:pos="562"/>
        </w:tabs>
        <w:ind w:left="588" w:hanging="588"/>
        <w:rPr>
          <w:del w:id="10169" w:author="AbbVie19" w:date="2025-04-16T12:21:00Z"/>
          <w:szCs w:val="20"/>
        </w:rPr>
      </w:pPr>
      <w:del w:id="10170" w:author="AbbVie19" w:date="2025-04-16T12:21:00Z">
        <w:r w:rsidRPr="00BC0E7E">
          <w:rPr>
            <w:b/>
            <w:szCs w:val="20"/>
          </w:rPr>
          <w:delText>DO NOT</w:delText>
        </w:r>
        <w:r w:rsidRPr="00BC0E7E">
          <w:rPr>
            <w:szCs w:val="20"/>
          </w:rPr>
          <w:delText xml:space="preserve"> use the white plunger rod to remove the syringe from the package. Hold the syringe on the graduated area and pull the syringe from its package. </w:delText>
        </w:r>
        <w:r w:rsidRPr="00BC0E7E">
          <w:rPr>
            <w:b/>
            <w:szCs w:val="20"/>
          </w:rPr>
          <w:delText>DO NOT</w:delText>
        </w:r>
        <w:r w:rsidRPr="00BC0E7E">
          <w:rPr>
            <w:szCs w:val="20"/>
          </w:rPr>
          <w:delText xml:space="preserve"> set the syringe down at any time.</w:delText>
        </w:r>
      </w:del>
    </w:p>
    <w:p w14:paraId="211F8F3B" w14:textId="77777777" w:rsidR="00BC0E7E" w:rsidRPr="00BC0E7E" w:rsidRDefault="00BC0E7E" w:rsidP="00BC0E7E">
      <w:pPr>
        <w:tabs>
          <w:tab w:val="clear" w:pos="562"/>
        </w:tabs>
        <w:rPr>
          <w:del w:id="10171" w:author="AbbVie19" w:date="2025-04-16T12:21:00Z"/>
          <w:szCs w:val="20"/>
        </w:rPr>
      </w:pPr>
    </w:p>
    <w:p w14:paraId="52C68F97" w14:textId="77777777" w:rsidR="00BC0E7E" w:rsidRPr="00BC0E7E" w:rsidRDefault="00944B8F" w:rsidP="00F421D6">
      <w:pPr>
        <w:numPr>
          <w:ilvl w:val="0"/>
          <w:numId w:val="30"/>
        </w:numPr>
        <w:tabs>
          <w:tab w:val="clear" w:pos="562"/>
          <w:tab w:val="clear" w:pos="720"/>
        </w:tabs>
        <w:ind w:left="550" w:hanging="574"/>
        <w:rPr>
          <w:del w:id="10172" w:author="AbbVie19" w:date="2025-04-16T12:21:00Z"/>
          <w:szCs w:val="20"/>
        </w:rPr>
      </w:pPr>
      <w:del w:id="10173" w:author="AbbVie19" w:date="2025-04-16T12:21:00Z">
        <w:r w:rsidRPr="00BC0E7E">
          <w:rPr>
            <w:szCs w:val="20"/>
          </w:rPr>
          <w:delText xml:space="preserve">While holding the vial adapter firmly, insert the syringe tip into the vial adapter and twist the syringe clockwise with one hand until firm. </w:delText>
        </w:r>
        <w:r w:rsidRPr="00BC0E7E">
          <w:rPr>
            <w:b/>
            <w:szCs w:val="20"/>
          </w:rPr>
          <w:delText>DO NOT</w:delText>
        </w:r>
        <w:r w:rsidRPr="00BC0E7E">
          <w:rPr>
            <w:szCs w:val="20"/>
          </w:rPr>
          <w:delText xml:space="preserve"> over-tighten. </w:delText>
        </w:r>
      </w:del>
    </w:p>
    <w:p w14:paraId="267F86CC" w14:textId="77777777" w:rsidR="00BC0E7E" w:rsidRPr="00BC0E7E" w:rsidRDefault="00BC0E7E" w:rsidP="00BC0E7E">
      <w:pPr>
        <w:tabs>
          <w:tab w:val="clear" w:pos="562"/>
        </w:tabs>
        <w:ind w:left="672" w:hanging="696"/>
        <w:rPr>
          <w:del w:id="10174" w:author="AbbVie19" w:date="2025-04-16T12:21:00Z"/>
          <w:szCs w:val="20"/>
        </w:rPr>
      </w:pPr>
    </w:p>
    <w:p w14:paraId="05630C04" w14:textId="77777777" w:rsidR="00BC0E7E" w:rsidRPr="00BC0E7E" w:rsidRDefault="00944B8F" w:rsidP="00BC0E7E">
      <w:pPr>
        <w:jc w:val="center"/>
        <w:rPr>
          <w:del w:id="10175" w:author="AbbVie19" w:date="2025-04-16T12:21:00Z"/>
          <w:szCs w:val="20"/>
        </w:rPr>
      </w:pPr>
      <w:del w:id="10176" w:author="AbbVie19" w:date="2025-04-16T12:21:00Z">
        <w:r>
          <w:rPr>
            <w:noProof/>
            <w:szCs w:val="20"/>
            <w:lang w:val="en-US"/>
          </w:rPr>
          <w:drawing>
            <wp:inline distT="0" distB="0" distL="0" distR="0" wp14:anchorId="7027D5CD" wp14:editId="43420CF0">
              <wp:extent cx="1837055" cy="1788795"/>
              <wp:effectExtent l="0" t="0" r="0" b="190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49"/>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1837055" cy="1788795"/>
                      </a:xfrm>
                      <a:prstGeom prst="rect">
                        <a:avLst/>
                      </a:prstGeom>
                      <a:noFill/>
                      <a:ln>
                        <a:noFill/>
                      </a:ln>
                    </pic:spPr>
                  </pic:pic>
                </a:graphicData>
              </a:graphic>
            </wp:inline>
          </w:drawing>
        </w:r>
      </w:del>
    </w:p>
    <w:p w14:paraId="43D0A901" w14:textId="77777777" w:rsidR="00BC0E7E" w:rsidRPr="00BC0E7E" w:rsidRDefault="00BC0E7E" w:rsidP="00BC0E7E">
      <w:pPr>
        <w:rPr>
          <w:del w:id="10177" w:author="AbbVie19" w:date="2025-04-16T12:21:00Z"/>
          <w:szCs w:val="20"/>
        </w:rPr>
      </w:pPr>
    </w:p>
    <w:p w14:paraId="36F06401" w14:textId="77777777" w:rsidR="00BC0E7E" w:rsidRPr="00BC0E7E" w:rsidRDefault="00944B8F" w:rsidP="00F421D6">
      <w:pPr>
        <w:numPr>
          <w:ilvl w:val="0"/>
          <w:numId w:val="30"/>
        </w:numPr>
        <w:tabs>
          <w:tab w:val="clear" w:pos="562"/>
          <w:tab w:val="clear" w:pos="720"/>
          <w:tab w:val="num" w:pos="588"/>
        </w:tabs>
        <w:ind w:left="612" w:hanging="564"/>
        <w:rPr>
          <w:del w:id="10178" w:author="AbbVie19" w:date="2025-04-16T12:21:00Z"/>
          <w:szCs w:val="20"/>
        </w:rPr>
      </w:pPr>
      <w:del w:id="10179" w:author="AbbVie19" w:date="2025-04-16T12:21:00Z">
        <w:r w:rsidRPr="00BC0E7E">
          <w:rPr>
            <w:szCs w:val="20"/>
          </w:rPr>
          <w:delText>While holding the vial, push the white plunger rod all the way down. This step is important to get the proper dose. Hold the white plunger rod in and turn the vial and syringe upside down.</w:delText>
        </w:r>
      </w:del>
    </w:p>
    <w:p w14:paraId="3F394FA2" w14:textId="77777777" w:rsidR="00BC0E7E" w:rsidRPr="00BC0E7E" w:rsidRDefault="00BC0E7E" w:rsidP="00BC0E7E">
      <w:pPr>
        <w:rPr>
          <w:del w:id="10180" w:author="AbbVie19" w:date="2025-04-16T12:21:00Z"/>
          <w:szCs w:val="20"/>
        </w:rPr>
      </w:pPr>
    </w:p>
    <w:p w14:paraId="14B0C874" w14:textId="77777777" w:rsidR="00BC0E7E" w:rsidRPr="00BC0E7E" w:rsidRDefault="00944B8F" w:rsidP="00BC0E7E">
      <w:pPr>
        <w:jc w:val="center"/>
        <w:rPr>
          <w:del w:id="10181" w:author="AbbVie19" w:date="2025-04-16T12:21:00Z"/>
          <w:szCs w:val="20"/>
        </w:rPr>
      </w:pPr>
      <w:del w:id="10182" w:author="AbbVie19" w:date="2025-04-16T12:21:00Z">
        <w:r>
          <w:rPr>
            <w:noProof/>
            <w:szCs w:val="20"/>
            <w:lang w:val="en-US"/>
          </w:rPr>
          <w:drawing>
            <wp:inline distT="0" distB="0" distL="0" distR="0" wp14:anchorId="57F72994" wp14:editId="4002FD2A">
              <wp:extent cx="1788795" cy="1788795"/>
              <wp:effectExtent l="0" t="0" r="1905" b="190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50"/>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1788795" cy="1788795"/>
                      </a:xfrm>
                      <a:prstGeom prst="rect">
                        <a:avLst/>
                      </a:prstGeom>
                      <a:noFill/>
                      <a:ln>
                        <a:noFill/>
                      </a:ln>
                    </pic:spPr>
                  </pic:pic>
                </a:graphicData>
              </a:graphic>
            </wp:inline>
          </w:drawing>
        </w:r>
      </w:del>
    </w:p>
    <w:p w14:paraId="5D06D25F" w14:textId="77777777" w:rsidR="00BC0E7E" w:rsidRPr="00BC0E7E" w:rsidRDefault="00BC0E7E" w:rsidP="00BC0E7E">
      <w:pPr>
        <w:jc w:val="center"/>
        <w:rPr>
          <w:del w:id="10183" w:author="AbbVie19" w:date="2025-04-16T12:21:00Z"/>
          <w:szCs w:val="20"/>
        </w:rPr>
      </w:pPr>
    </w:p>
    <w:p w14:paraId="69C1643F" w14:textId="77777777" w:rsidR="00BC0E7E" w:rsidRPr="00BC0E7E" w:rsidRDefault="00944B8F" w:rsidP="00F421D6">
      <w:pPr>
        <w:numPr>
          <w:ilvl w:val="0"/>
          <w:numId w:val="30"/>
        </w:numPr>
        <w:tabs>
          <w:tab w:val="clear" w:pos="562"/>
          <w:tab w:val="clear" w:pos="720"/>
          <w:tab w:val="num" w:pos="588"/>
        </w:tabs>
        <w:ind w:left="612" w:hanging="564"/>
        <w:rPr>
          <w:del w:id="10184" w:author="AbbVie19" w:date="2025-04-16T12:21:00Z"/>
          <w:szCs w:val="20"/>
        </w:rPr>
      </w:pPr>
      <w:del w:id="10185" w:author="AbbVie19" w:date="2025-04-16T12:21:00Z">
        <w:r w:rsidRPr="00BC0E7E">
          <w:rPr>
            <w:b/>
            <w:szCs w:val="20"/>
          </w:rPr>
          <w:delText>SLOWLY</w:delText>
        </w:r>
        <w:r w:rsidRPr="00BC0E7E">
          <w:rPr>
            <w:szCs w:val="20"/>
          </w:rPr>
          <w:delText xml:space="preserve"> pull the white plunger rod out to 0.1 ml beyond the prescribed dose. This is important to get the proper dose. You will set the volume to the prescribed dose in step 4, Dose Preparation. If the prescribed dose is 0.5 ml, pull the white plunger rod out to 0.6 ml. You will see the liquid medication from the vial go into the syringe.</w:delText>
        </w:r>
      </w:del>
    </w:p>
    <w:p w14:paraId="3B2FA7A5" w14:textId="77777777" w:rsidR="00BC0E7E" w:rsidRPr="00BC0E7E" w:rsidRDefault="00BC0E7E" w:rsidP="00BC0E7E">
      <w:pPr>
        <w:rPr>
          <w:del w:id="10186" w:author="AbbVie19" w:date="2025-04-16T12:21:00Z"/>
          <w:szCs w:val="20"/>
        </w:rPr>
      </w:pPr>
    </w:p>
    <w:p w14:paraId="2E3F27DB" w14:textId="77777777" w:rsidR="00BC0E7E" w:rsidRPr="00BC0E7E" w:rsidRDefault="00944B8F" w:rsidP="00BC0E7E">
      <w:pPr>
        <w:jc w:val="center"/>
        <w:rPr>
          <w:del w:id="10187" w:author="AbbVie19" w:date="2025-04-16T12:21:00Z"/>
          <w:szCs w:val="20"/>
        </w:rPr>
      </w:pPr>
      <w:del w:id="10188" w:author="AbbVie19" w:date="2025-04-16T12:21:00Z">
        <w:r>
          <w:rPr>
            <w:noProof/>
            <w:szCs w:val="20"/>
            <w:lang w:val="en-US"/>
          </w:rPr>
          <w:drawing>
            <wp:inline distT="0" distB="0" distL="0" distR="0" wp14:anchorId="4DB70B66" wp14:editId="023D2B6A">
              <wp:extent cx="1788795" cy="1788795"/>
              <wp:effectExtent l="0" t="0" r="1905" b="190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51"/>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1788795" cy="1788795"/>
                      </a:xfrm>
                      <a:prstGeom prst="rect">
                        <a:avLst/>
                      </a:prstGeom>
                      <a:noFill/>
                      <a:ln>
                        <a:noFill/>
                      </a:ln>
                    </pic:spPr>
                  </pic:pic>
                </a:graphicData>
              </a:graphic>
            </wp:inline>
          </w:drawing>
        </w:r>
      </w:del>
    </w:p>
    <w:p w14:paraId="47E8B7E7" w14:textId="77777777" w:rsidR="00BC0E7E" w:rsidRPr="00BC0E7E" w:rsidRDefault="00BC0E7E" w:rsidP="00BC0E7E">
      <w:pPr>
        <w:jc w:val="center"/>
        <w:rPr>
          <w:del w:id="10189" w:author="AbbVie19" w:date="2025-04-16T12:21:00Z"/>
          <w:szCs w:val="20"/>
        </w:rPr>
      </w:pPr>
    </w:p>
    <w:p w14:paraId="45E3ED5D" w14:textId="77777777" w:rsidR="00BC0E7E" w:rsidRPr="00BC0E7E" w:rsidRDefault="00944B8F" w:rsidP="00F421D6">
      <w:pPr>
        <w:numPr>
          <w:ilvl w:val="0"/>
          <w:numId w:val="33"/>
        </w:numPr>
        <w:tabs>
          <w:tab w:val="clear" w:pos="562"/>
        </w:tabs>
        <w:ind w:left="588" w:hanging="660"/>
        <w:rPr>
          <w:del w:id="10190" w:author="AbbVie19" w:date="2025-04-16T12:21:00Z"/>
          <w:szCs w:val="20"/>
        </w:rPr>
      </w:pPr>
      <w:del w:id="10191" w:author="AbbVie19" w:date="2025-04-16T12:21:00Z">
        <w:r w:rsidRPr="00BC0E7E">
          <w:rPr>
            <w:szCs w:val="20"/>
          </w:rPr>
          <w:delText xml:space="preserve">Push the white plunger rod all the way back in to push the liquid medication back into the vial. Again, </w:delText>
        </w:r>
        <w:r w:rsidRPr="00BC0E7E">
          <w:rPr>
            <w:b/>
            <w:szCs w:val="20"/>
          </w:rPr>
          <w:delText xml:space="preserve">SLOWLY </w:delText>
        </w:r>
        <w:r w:rsidRPr="00BC0E7E">
          <w:rPr>
            <w:szCs w:val="20"/>
          </w:rPr>
          <w:delText>pull the white plunger rod out to 0.1 ml beyond the prescribed dose, this is important to get the proper dose and important in order to prevent air bubbles or air gaps in the liquid medication. You will set the volume to the prescribed dose in step 4, Dose Preparation.</w:delText>
        </w:r>
      </w:del>
    </w:p>
    <w:p w14:paraId="5415D775" w14:textId="77777777" w:rsidR="00BC0E7E" w:rsidRPr="00BC0E7E" w:rsidRDefault="00BC0E7E" w:rsidP="00BC0E7E">
      <w:pPr>
        <w:tabs>
          <w:tab w:val="clear" w:pos="562"/>
        </w:tabs>
        <w:ind w:left="-72"/>
        <w:rPr>
          <w:del w:id="10192" w:author="AbbVie19" w:date="2025-04-16T12:21:00Z"/>
          <w:szCs w:val="20"/>
        </w:rPr>
      </w:pPr>
    </w:p>
    <w:p w14:paraId="64F79911" w14:textId="77777777" w:rsidR="00BC0E7E" w:rsidRPr="00BC0E7E" w:rsidRDefault="00944B8F" w:rsidP="00BC0E7E">
      <w:pPr>
        <w:jc w:val="center"/>
        <w:rPr>
          <w:del w:id="10193" w:author="AbbVie19" w:date="2025-04-16T12:21:00Z"/>
          <w:szCs w:val="20"/>
        </w:rPr>
      </w:pPr>
      <w:del w:id="10194" w:author="AbbVie19" w:date="2025-04-16T12:21:00Z">
        <w:r>
          <w:rPr>
            <w:noProof/>
            <w:szCs w:val="20"/>
          </w:rPr>
          <w:drawing>
            <wp:inline distT="0" distB="0" distL="0" distR="0" wp14:anchorId="7FB72F6F" wp14:editId="13548460">
              <wp:extent cx="1860550" cy="1828800"/>
              <wp:effectExtent l="0" t="0" r="6350" b="0"/>
              <wp:docPr id="140" name="Picture 140" descr="cid:image002.png@01CE039B.D501E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 descr="cid:image002.png@01CE039B.D501EB10"/>
                      <pic:cNvPicPr>
                        <a:picLocks noChangeAspect="1" noChangeArrowheads="1"/>
                      </pic:cNvPicPr>
                    </pic:nvPicPr>
                    <pic:blipFill>
                      <a:blip r:embed="rId43" r:link="rId44" cstate="print">
                        <a:extLst>
                          <a:ext uri="{28A0092B-C50C-407E-A947-70E740481C1C}">
                            <a14:useLocalDpi xmlns:a14="http://schemas.microsoft.com/office/drawing/2010/main" val="0"/>
                          </a:ext>
                        </a:extLst>
                      </a:blip>
                      <a:stretch>
                        <a:fillRect/>
                      </a:stretch>
                    </pic:blipFill>
                    <pic:spPr bwMode="auto">
                      <a:xfrm>
                        <a:off x="0" y="0"/>
                        <a:ext cx="1860550" cy="1828800"/>
                      </a:xfrm>
                      <a:prstGeom prst="rect">
                        <a:avLst/>
                      </a:prstGeom>
                      <a:noFill/>
                      <a:ln>
                        <a:noFill/>
                      </a:ln>
                    </pic:spPr>
                  </pic:pic>
                </a:graphicData>
              </a:graphic>
            </wp:inline>
          </w:drawing>
        </w:r>
      </w:del>
    </w:p>
    <w:p w14:paraId="09B7FACB" w14:textId="77777777" w:rsidR="00BC0E7E" w:rsidRPr="00BC0E7E" w:rsidRDefault="00BC0E7E" w:rsidP="00BC0E7E">
      <w:pPr>
        <w:rPr>
          <w:del w:id="10195" w:author="AbbVie19" w:date="2025-04-16T12:21:00Z"/>
          <w:szCs w:val="20"/>
        </w:rPr>
      </w:pPr>
    </w:p>
    <w:p w14:paraId="721CFA83" w14:textId="77777777" w:rsidR="00BC0E7E" w:rsidRPr="00BC0E7E" w:rsidRDefault="00944B8F" w:rsidP="00F421D6">
      <w:pPr>
        <w:numPr>
          <w:ilvl w:val="0"/>
          <w:numId w:val="30"/>
        </w:numPr>
        <w:tabs>
          <w:tab w:val="clear" w:pos="720"/>
        </w:tabs>
        <w:ind w:left="550" w:hanging="538"/>
        <w:rPr>
          <w:del w:id="10196" w:author="AbbVie19" w:date="2025-04-16T12:21:00Z"/>
          <w:szCs w:val="20"/>
        </w:rPr>
      </w:pPr>
      <w:del w:id="10197" w:author="AbbVie19" w:date="2025-04-16T12:21:00Z">
        <w:r w:rsidRPr="00BC0E7E">
          <w:rPr>
            <w:szCs w:val="20"/>
          </w:rPr>
          <w:delText xml:space="preserve">If you see remaining air bubbles or air gaps in the liquid medication in the syringe, you may repeat this process up to 3 times. </w:delText>
        </w:r>
        <w:r w:rsidRPr="00BC0E7E">
          <w:rPr>
            <w:b/>
            <w:szCs w:val="20"/>
          </w:rPr>
          <w:delText>DO NOT</w:delText>
        </w:r>
        <w:r w:rsidRPr="00BC0E7E">
          <w:rPr>
            <w:szCs w:val="20"/>
          </w:rPr>
          <w:delText xml:space="preserve"> shake the syringe.</w:delText>
        </w:r>
      </w:del>
    </w:p>
    <w:p w14:paraId="5CC35957" w14:textId="77777777" w:rsidR="00BC0E7E" w:rsidRPr="00BC0E7E" w:rsidRDefault="00BC0E7E" w:rsidP="00BC0E7E">
      <w:pPr>
        <w:ind w:hanging="708"/>
        <w:rPr>
          <w:del w:id="10198" w:author="AbbVie19" w:date="2025-04-16T12:21:00Z"/>
          <w:szCs w:val="20"/>
        </w:rPr>
      </w:pPr>
    </w:p>
    <w:p w14:paraId="4D475238" w14:textId="77777777" w:rsidR="00BC0E7E" w:rsidRPr="00BC0E7E" w:rsidRDefault="00BC0E7E" w:rsidP="00BC0E7E">
      <w:pPr>
        <w:rPr>
          <w:del w:id="10199" w:author="AbbVie19" w:date="2025-04-16T12:21:00Z"/>
          <w:b/>
          <w:szCs w:val="20"/>
        </w:rPr>
      </w:pPr>
    </w:p>
    <w:p w14:paraId="442A1299" w14:textId="77777777" w:rsidR="00BC0E7E" w:rsidRPr="00BC0E7E" w:rsidRDefault="00944B8F" w:rsidP="00BC0E7E">
      <w:pPr>
        <w:rPr>
          <w:del w:id="10200" w:author="AbbVie19" w:date="2025-04-16T12:21:00Z"/>
          <w:szCs w:val="20"/>
        </w:rPr>
      </w:pPr>
      <w:del w:id="10201" w:author="AbbVie19" w:date="2025-04-16T12:21:00Z">
        <w:r w:rsidRPr="00BC0E7E">
          <w:rPr>
            <w:b/>
            <w:szCs w:val="20"/>
          </w:rPr>
          <w:delText>NOTE</w:delText>
        </w:r>
        <w:r w:rsidRPr="00BC0E7E">
          <w:rPr>
            <w:szCs w:val="20"/>
          </w:rPr>
          <w:delText xml:space="preserve">: </w:delText>
        </w:r>
      </w:del>
    </w:p>
    <w:p w14:paraId="1D1852C6" w14:textId="77777777" w:rsidR="00BC0E7E" w:rsidRPr="00BC0E7E" w:rsidRDefault="00BC0E7E" w:rsidP="00BC0E7E">
      <w:pPr>
        <w:rPr>
          <w:del w:id="10202" w:author="AbbVie19" w:date="2025-04-16T12:21:00Z"/>
          <w:szCs w:val="20"/>
        </w:rPr>
      </w:pPr>
    </w:p>
    <w:p w14:paraId="492C2B94" w14:textId="77777777" w:rsidR="00BC0E7E" w:rsidRPr="00BC0E7E" w:rsidRDefault="00944B8F" w:rsidP="00BC0E7E">
      <w:pPr>
        <w:rPr>
          <w:del w:id="10203" w:author="AbbVie19" w:date="2025-04-16T12:21:00Z"/>
          <w:szCs w:val="20"/>
        </w:rPr>
      </w:pPr>
      <w:del w:id="10204" w:author="AbbVie19" w:date="2025-04-16T12:21:00Z">
        <w:r w:rsidRPr="00BC0E7E">
          <w:rPr>
            <w:szCs w:val="20"/>
          </w:rPr>
          <w:delText xml:space="preserve">If the white plunger rod is pulled completely out of the syringe, discard the syringe and contact your Humira provider for a replacement. </w:delText>
        </w:r>
        <w:r w:rsidRPr="00BC0E7E">
          <w:rPr>
            <w:b/>
            <w:szCs w:val="20"/>
          </w:rPr>
          <w:delText>DO NOT</w:delText>
        </w:r>
        <w:r w:rsidRPr="00BC0E7E">
          <w:rPr>
            <w:szCs w:val="20"/>
          </w:rPr>
          <w:delText xml:space="preserve"> try to reinsert the white plunger rod.</w:delText>
        </w:r>
      </w:del>
    </w:p>
    <w:p w14:paraId="3E90A8B4" w14:textId="77777777" w:rsidR="00BC0E7E" w:rsidRPr="00BC0E7E" w:rsidRDefault="00BC0E7E" w:rsidP="00BC0E7E">
      <w:pPr>
        <w:rPr>
          <w:del w:id="10205" w:author="AbbVie19" w:date="2025-04-16T12:21:00Z"/>
          <w:szCs w:val="20"/>
        </w:rPr>
      </w:pPr>
    </w:p>
    <w:p w14:paraId="4EA4D65C" w14:textId="77777777" w:rsidR="00BC0E7E" w:rsidRPr="00BC0E7E" w:rsidRDefault="00944B8F" w:rsidP="00F421D6">
      <w:pPr>
        <w:numPr>
          <w:ilvl w:val="0"/>
          <w:numId w:val="30"/>
        </w:numPr>
        <w:tabs>
          <w:tab w:val="clear" w:pos="720"/>
          <w:tab w:val="num" w:pos="588"/>
        </w:tabs>
        <w:ind w:left="550" w:hanging="550"/>
        <w:rPr>
          <w:del w:id="10206" w:author="AbbVie19" w:date="2025-04-16T12:21:00Z"/>
          <w:szCs w:val="20"/>
        </w:rPr>
      </w:pPr>
      <w:del w:id="10207" w:author="AbbVie19" w:date="2025-04-16T12:21:00Z">
        <w:r w:rsidRPr="00BC0E7E">
          <w:rPr>
            <w:szCs w:val="20"/>
          </w:rPr>
          <w:delText xml:space="preserve">While still holding the syringe upright at the graduated area, remove the vial adapter with the vial by twisting the vial adapter off with the other hand. Be sure to remove the vial adapter with the vial from the syringe. </w:delText>
        </w:r>
        <w:r w:rsidRPr="00BC0E7E">
          <w:rPr>
            <w:b/>
            <w:szCs w:val="20"/>
          </w:rPr>
          <w:delText>DO NOT</w:delText>
        </w:r>
        <w:r w:rsidRPr="00BC0E7E">
          <w:rPr>
            <w:szCs w:val="20"/>
          </w:rPr>
          <w:delText xml:space="preserve"> touch the tip of the syringe.</w:delText>
        </w:r>
      </w:del>
    </w:p>
    <w:p w14:paraId="24C06083" w14:textId="77777777" w:rsidR="00BC0E7E" w:rsidRPr="00BC0E7E" w:rsidRDefault="00BC0E7E" w:rsidP="00BC0E7E">
      <w:pPr>
        <w:rPr>
          <w:del w:id="10208" w:author="AbbVie19" w:date="2025-04-16T12:21:00Z"/>
          <w:szCs w:val="20"/>
        </w:rPr>
      </w:pPr>
    </w:p>
    <w:p w14:paraId="03435A4F" w14:textId="77777777" w:rsidR="00BC0E7E" w:rsidRPr="00BC0E7E" w:rsidRDefault="00944B8F" w:rsidP="00BC0E7E">
      <w:pPr>
        <w:jc w:val="center"/>
        <w:rPr>
          <w:del w:id="10209" w:author="AbbVie19" w:date="2025-04-16T12:21:00Z"/>
          <w:szCs w:val="20"/>
        </w:rPr>
      </w:pPr>
      <w:del w:id="10210" w:author="AbbVie19" w:date="2025-04-16T12:21:00Z">
        <w:r>
          <w:rPr>
            <w:noProof/>
            <w:szCs w:val="20"/>
            <w:lang w:val="en-US"/>
          </w:rPr>
          <w:drawing>
            <wp:inline distT="0" distB="0" distL="0" distR="0" wp14:anchorId="7274ADE6" wp14:editId="01404DB0">
              <wp:extent cx="1837055" cy="18288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53"/>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1837055" cy="1828800"/>
                      </a:xfrm>
                      <a:prstGeom prst="rect">
                        <a:avLst/>
                      </a:prstGeom>
                      <a:noFill/>
                      <a:ln>
                        <a:noFill/>
                      </a:ln>
                    </pic:spPr>
                  </pic:pic>
                </a:graphicData>
              </a:graphic>
            </wp:inline>
          </w:drawing>
        </w:r>
      </w:del>
    </w:p>
    <w:p w14:paraId="49EC3E93" w14:textId="77777777" w:rsidR="00BC0E7E" w:rsidRPr="00BC0E7E" w:rsidRDefault="00BC0E7E" w:rsidP="00BC0E7E">
      <w:pPr>
        <w:rPr>
          <w:del w:id="10211" w:author="AbbVie19" w:date="2025-04-16T12:21:00Z"/>
          <w:szCs w:val="20"/>
        </w:rPr>
      </w:pPr>
    </w:p>
    <w:p w14:paraId="072957E3" w14:textId="77777777" w:rsidR="00BC0E7E" w:rsidRPr="00BC0E7E" w:rsidRDefault="00944B8F" w:rsidP="00D51999">
      <w:pPr>
        <w:numPr>
          <w:ilvl w:val="0"/>
          <w:numId w:val="32"/>
        </w:numPr>
        <w:tabs>
          <w:tab w:val="clear" w:pos="562"/>
          <w:tab w:val="num" w:pos="550"/>
        </w:tabs>
        <w:ind w:left="588" w:hanging="588"/>
        <w:rPr>
          <w:del w:id="10212" w:author="AbbVie19" w:date="2025-04-16T12:21:00Z"/>
          <w:szCs w:val="20"/>
        </w:rPr>
      </w:pPr>
      <w:del w:id="10213" w:author="AbbVie19" w:date="2025-04-16T12:21:00Z">
        <w:r w:rsidRPr="00BC0E7E">
          <w:rPr>
            <w:szCs w:val="20"/>
          </w:rPr>
          <w:delText xml:space="preserve">If a large air bubble or air gap can be seen near the syringe tip, </w:delText>
        </w:r>
        <w:r w:rsidRPr="00BC0E7E">
          <w:rPr>
            <w:b/>
            <w:szCs w:val="20"/>
          </w:rPr>
          <w:delText>SLOWLY</w:delText>
        </w:r>
        <w:r w:rsidRPr="00BC0E7E">
          <w:rPr>
            <w:szCs w:val="20"/>
          </w:rPr>
          <w:delText xml:space="preserve"> push the white plunger rod into</w:delText>
        </w:r>
        <w:r w:rsidRPr="00BC0E7E">
          <w:rPr>
            <w:szCs w:val="20"/>
          </w:rPr>
          <w:tab/>
          <w:delText xml:space="preserve">the syringe until fluid begins to enter the syringe tip. </w:delText>
        </w:r>
        <w:r w:rsidRPr="00BC0E7E">
          <w:rPr>
            <w:b/>
            <w:szCs w:val="20"/>
          </w:rPr>
          <w:delText>DO NOT</w:delText>
        </w:r>
        <w:r w:rsidRPr="00BC0E7E">
          <w:rPr>
            <w:szCs w:val="20"/>
          </w:rPr>
          <w:delText xml:space="preserve"> push the white plunger rod past the dose position.</w:delText>
        </w:r>
      </w:del>
    </w:p>
    <w:p w14:paraId="581D58B5" w14:textId="77777777" w:rsidR="00BC0E7E" w:rsidRPr="00BC0E7E" w:rsidRDefault="00BC0E7E" w:rsidP="00BC0E7E">
      <w:pPr>
        <w:tabs>
          <w:tab w:val="clear" w:pos="562"/>
        </w:tabs>
        <w:rPr>
          <w:del w:id="10214" w:author="AbbVie19" w:date="2025-04-16T12:21:00Z"/>
          <w:szCs w:val="20"/>
        </w:rPr>
      </w:pPr>
    </w:p>
    <w:p w14:paraId="78E10F43" w14:textId="77777777" w:rsidR="00BC0E7E" w:rsidRPr="00BC0E7E" w:rsidRDefault="00944B8F" w:rsidP="00D51999">
      <w:pPr>
        <w:numPr>
          <w:ilvl w:val="0"/>
          <w:numId w:val="32"/>
        </w:numPr>
        <w:tabs>
          <w:tab w:val="clear" w:pos="562"/>
          <w:tab w:val="num" w:pos="550"/>
        </w:tabs>
        <w:ind w:left="588" w:hanging="588"/>
        <w:rPr>
          <w:del w:id="10215" w:author="AbbVie19" w:date="2025-04-16T12:21:00Z"/>
          <w:szCs w:val="22"/>
        </w:rPr>
      </w:pPr>
      <w:del w:id="10216" w:author="AbbVie19" w:date="2025-04-16T12:21:00Z">
        <w:r w:rsidRPr="00BC0E7E">
          <w:rPr>
            <w:szCs w:val="22"/>
          </w:rPr>
          <w:delText xml:space="preserve">For example, if the prescribed dose is 0.5 ml, </w:delText>
        </w:r>
        <w:r w:rsidRPr="00BC0E7E">
          <w:rPr>
            <w:b/>
            <w:szCs w:val="20"/>
          </w:rPr>
          <w:delText>DO NOT</w:delText>
        </w:r>
        <w:r w:rsidRPr="00BC0E7E">
          <w:rPr>
            <w:szCs w:val="20"/>
          </w:rPr>
          <w:delText xml:space="preserve"> push the white plunger rod past the 0.5 ml</w:delText>
        </w:r>
        <w:r w:rsidRPr="00BC0E7E">
          <w:rPr>
            <w:szCs w:val="22"/>
          </w:rPr>
          <w:delText xml:space="preserve"> </w:delText>
        </w:r>
        <w:r w:rsidRPr="00BC0E7E">
          <w:rPr>
            <w:szCs w:val="20"/>
          </w:rPr>
          <w:delText>position.</w:delText>
        </w:r>
      </w:del>
    </w:p>
    <w:p w14:paraId="6D1372AD" w14:textId="77777777" w:rsidR="00BC0E7E" w:rsidRPr="00BC0E7E" w:rsidRDefault="00BC0E7E" w:rsidP="00BC0E7E">
      <w:pPr>
        <w:tabs>
          <w:tab w:val="clear" w:pos="562"/>
          <w:tab w:val="num" w:pos="550"/>
        </w:tabs>
        <w:ind w:left="588" w:hanging="588"/>
        <w:rPr>
          <w:del w:id="10217" w:author="AbbVie19" w:date="2025-04-16T12:21:00Z"/>
          <w:szCs w:val="20"/>
        </w:rPr>
      </w:pPr>
    </w:p>
    <w:p w14:paraId="1E234213" w14:textId="77777777" w:rsidR="00BC0E7E" w:rsidRPr="00BC0E7E" w:rsidRDefault="00944B8F" w:rsidP="00D51999">
      <w:pPr>
        <w:numPr>
          <w:ilvl w:val="0"/>
          <w:numId w:val="32"/>
        </w:numPr>
        <w:tabs>
          <w:tab w:val="clear" w:pos="562"/>
          <w:tab w:val="num" w:pos="550"/>
        </w:tabs>
        <w:ind w:left="588" w:hanging="588"/>
        <w:rPr>
          <w:del w:id="10218" w:author="AbbVie19" w:date="2025-04-16T12:21:00Z"/>
          <w:szCs w:val="22"/>
        </w:rPr>
      </w:pPr>
      <w:del w:id="10219" w:author="AbbVie19" w:date="2025-04-16T12:21:00Z">
        <w:r w:rsidRPr="00BC0E7E">
          <w:rPr>
            <w:szCs w:val="22"/>
          </w:rPr>
          <w:delText xml:space="preserve">Check to see that the fluid remaining in the syringe is at least the prescribed dose volume. If the remaining volume is less than the prescribed dose volume, </w:delText>
        </w:r>
        <w:r w:rsidR="00AE2CFB">
          <w:rPr>
            <w:b/>
            <w:szCs w:val="22"/>
          </w:rPr>
          <w:delText>DO NOT</w:delText>
        </w:r>
        <w:r w:rsidRPr="00BC0E7E">
          <w:rPr>
            <w:szCs w:val="22"/>
          </w:rPr>
          <w:delText xml:space="preserve"> use the syringe and contact your healthcare provider.</w:delText>
        </w:r>
      </w:del>
    </w:p>
    <w:p w14:paraId="49AA83AE" w14:textId="77777777" w:rsidR="00BC0E7E" w:rsidRPr="00BC0E7E" w:rsidRDefault="00BC0E7E" w:rsidP="00BC0E7E">
      <w:pPr>
        <w:tabs>
          <w:tab w:val="clear" w:pos="562"/>
          <w:tab w:val="num" w:pos="550"/>
        </w:tabs>
        <w:ind w:left="588" w:hanging="588"/>
        <w:rPr>
          <w:del w:id="10220" w:author="AbbVie19" w:date="2025-04-16T12:21:00Z"/>
          <w:szCs w:val="20"/>
        </w:rPr>
      </w:pPr>
    </w:p>
    <w:p w14:paraId="2D8A8D91" w14:textId="77777777" w:rsidR="00BC0E7E" w:rsidRPr="00BC0E7E" w:rsidRDefault="00944B8F" w:rsidP="00D51999">
      <w:pPr>
        <w:numPr>
          <w:ilvl w:val="0"/>
          <w:numId w:val="32"/>
        </w:numPr>
        <w:tabs>
          <w:tab w:val="clear" w:pos="562"/>
          <w:tab w:val="num" w:pos="550"/>
        </w:tabs>
        <w:ind w:left="588" w:hanging="588"/>
        <w:rPr>
          <w:del w:id="10221" w:author="AbbVie19" w:date="2025-04-16T12:21:00Z"/>
          <w:szCs w:val="20"/>
        </w:rPr>
      </w:pPr>
      <w:del w:id="10222" w:author="AbbVie19" w:date="2025-04-16T12:21:00Z">
        <w:r w:rsidRPr="00BC0E7E">
          <w:rPr>
            <w:szCs w:val="20"/>
          </w:rPr>
          <w:delText>With your free hand, pick up the needle package with the yellow syringe connector facing down.</w:delText>
        </w:r>
      </w:del>
    </w:p>
    <w:p w14:paraId="3765C7F9" w14:textId="77777777" w:rsidR="00BC0E7E" w:rsidRPr="00BC0E7E" w:rsidRDefault="00BC0E7E" w:rsidP="00BC0E7E">
      <w:pPr>
        <w:tabs>
          <w:tab w:val="clear" w:pos="562"/>
        </w:tabs>
        <w:rPr>
          <w:del w:id="10223" w:author="AbbVie19" w:date="2025-04-16T12:21:00Z"/>
          <w:szCs w:val="20"/>
        </w:rPr>
      </w:pPr>
    </w:p>
    <w:p w14:paraId="56B55C32" w14:textId="77777777" w:rsidR="00BC0E7E" w:rsidRPr="00BC0E7E" w:rsidRDefault="00944B8F" w:rsidP="00D51999">
      <w:pPr>
        <w:numPr>
          <w:ilvl w:val="0"/>
          <w:numId w:val="33"/>
        </w:numPr>
        <w:tabs>
          <w:tab w:val="clear" w:pos="562"/>
          <w:tab w:val="num" w:pos="550"/>
        </w:tabs>
        <w:ind w:left="588" w:hanging="588"/>
        <w:rPr>
          <w:del w:id="10224" w:author="AbbVie19" w:date="2025-04-16T12:21:00Z"/>
          <w:szCs w:val="20"/>
        </w:rPr>
      </w:pPr>
      <w:del w:id="10225" w:author="AbbVie19" w:date="2025-04-16T12:21:00Z">
        <w:r w:rsidRPr="00BC0E7E">
          <w:rPr>
            <w:szCs w:val="20"/>
          </w:rPr>
          <w:lastRenderedPageBreak/>
          <w:delText>Keeping the syringe up, insert the syringe tip into the yellow syringe connector and twist the syringe as indicated by the arrow in the picture until firm. The needle is now attached to the syringe.</w:delText>
        </w:r>
      </w:del>
    </w:p>
    <w:p w14:paraId="069EC19C" w14:textId="77777777" w:rsidR="00BC0E7E" w:rsidRPr="00BC0E7E" w:rsidRDefault="00BC0E7E" w:rsidP="00BC0E7E">
      <w:pPr>
        <w:tabs>
          <w:tab w:val="clear" w:pos="562"/>
        </w:tabs>
        <w:jc w:val="center"/>
        <w:rPr>
          <w:del w:id="10226" w:author="AbbVie19" w:date="2025-04-16T12:21:00Z"/>
          <w:szCs w:val="20"/>
        </w:rPr>
      </w:pPr>
    </w:p>
    <w:p w14:paraId="1376302D" w14:textId="77777777" w:rsidR="00BC0E7E" w:rsidRPr="00BC0E7E" w:rsidRDefault="00944B8F" w:rsidP="00BC0E7E">
      <w:pPr>
        <w:tabs>
          <w:tab w:val="clear" w:pos="562"/>
        </w:tabs>
        <w:jc w:val="center"/>
        <w:rPr>
          <w:del w:id="10227" w:author="AbbVie19" w:date="2025-04-16T12:21:00Z"/>
          <w:szCs w:val="20"/>
        </w:rPr>
      </w:pPr>
      <w:del w:id="10228" w:author="AbbVie19" w:date="2025-04-16T12:21:00Z">
        <w:r>
          <w:rPr>
            <w:noProof/>
            <w:szCs w:val="20"/>
            <w:lang w:val="en-US"/>
          </w:rPr>
          <w:drawing>
            <wp:inline distT="0" distB="0" distL="0" distR="0" wp14:anchorId="1AF1199A" wp14:editId="2E6FF96C">
              <wp:extent cx="1837055" cy="1804670"/>
              <wp:effectExtent l="0" t="0" r="0" b="508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54"/>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1837055" cy="1804670"/>
                      </a:xfrm>
                      <a:prstGeom prst="rect">
                        <a:avLst/>
                      </a:prstGeom>
                      <a:noFill/>
                      <a:ln>
                        <a:noFill/>
                      </a:ln>
                    </pic:spPr>
                  </pic:pic>
                </a:graphicData>
              </a:graphic>
            </wp:inline>
          </w:drawing>
        </w:r>
      </w:del>
    </w:p>
    <w:p w14:paraId="3822F229" w14:textId="77777777" w:rsidR="00BC0E7E" w:rsidRPr="00BC0E7E" w:rsidRDefault="00BC0E7E" w:rsidP="00BC0E7E">
      <w:pPr>
        <w:tabs>
          <w:tab w:val="clear" w:pos="562"/>
        </w:tabs>
        <w:jc w:val="center"/>
        <w:rPr>
          <w:del w:id="10229" w:author="AbbVie19" w:date="2025-04-16T12:21:00Z"/>
          <w:szCs w:val="20"/>
        </w:rPr>
      </w:pPr>
    </w:p>
    <w:p w14:paraId="2FB0D122" w14:textId="77777777" w:rsidR="00BC0E7E" w:rsidRPr="00BC0E7E" w:rsidRDefault="00944B8F" w:rsidP="00D51999">
      <w:pPr>
        <w:numPr>
          <w:ilvl w:val="0"/>
          <w:numId w:val="32"/>
        </w:numPr>
        <w:ind w:left="550" w:hanging="550"/>
        <w:rPr>
          <w:del w:id="10230" w:author="AbbVie19" w:date="2025-04-16T12:21:00Z"/>
          <w:szCs w:val="20"/>
        </w:rPr>
      </w:pPr>
      <w:del w:id="10231" w:author="AbbVie19" w:date="2025-04-16T12:21:00Z">
        <w:r w:rsidRPr="00BC0E7E">
          <w:rPr>
            <w:szCs w:val="20"/>
          </w:rPr>
          <w:delText xml:space="preserve">Pull the needle package off, but </w:delText>
        </w:r>
        <w:r w:rsidRPr="00BC0E7E">
          <w:rPr>
            <w:b/>
            <w:szCs w:val="20"/>
          </w:rPr>
          <w:delText>DO NOT</w:delText>
        </w:r>
        <w:r w:rsidRPr="00BC0E7E">
          <w:rPr>
            <w:szCs w:val="20"/>
          </w:rPr>
          <w:delText xml:space="preserve"> remove the clear needle cap.</w:delText>
        </w:r>
      </w:del>
    </w:p>
    <w:p w14:paraId="2D53CEB5" w14:textId="77777777" w:rsidR="00BC0E7E" w:rsidRPr="00BC0E7E" w:rsidRDefault="00BC0E7E" w:rsidP="00BC0E7E">
      <w:pPr>
        <w:tabs>
          <w:tab w:val="clear" w:pos="562"/>
          <w:tab w:val="left" w:pos="660"/>
        </w:tabs>
        <w:rPr>
          <w:del w:id="10232" w:author="AbbVie19" w:date="2025-04-16T12:21:00Z"/>
          <w:szCs w:val="20"/>
        </w:rPr>
      </w:pPr>
    </w:p>
    <w:p w14:paraId="032DC8EE" w14:textId="77777777" w:rsidR="00BC0E7E" w:rsidRPr="00BC0E7E" w:rsidRDefault="00944B8F" w:rsidP="00D51999">
      <w:pPr>
        <w:numPr>
          <w:ilvl w:val="0"/>
          <w:numId w:val="32"/>
        </w:numPr>
        <w:ind w:left="550" w:hanging="550"/>
        <w:rPr>
          <w:del w:id="10233" w:author="AbbVie19" w:date="2025-04-16T12:21:00Z"/>
          <w:szCs w:val="20"/>
        </w:rPr>
      </w:pPr>
      <w:del w:id="10234" w:author="AbbVie19" w:date="2025-04-16T12:21:00Z">
        <w:r w:rsidRPr="00BC0E7E">
          <w:rPr>
            <w:szCs w:val="20"/>
          </w:rPr>
          <w:delText>Place the syringe on your clean work surface. Continue with injection site and dose preparation immediately.</w:delText>
        </w:r>
        <w:r w:rsidRPr="00BC0E7E">
          <w:rPr>
            <w:szCs w:val="20"/>
          </w:rPr>
          <w:br/>
        </w:r>
      </w:del>
    </w:p>
    <w:p w14:paraId="0E81F767" w14:textId="77777777" w:rsidR="00BC0E7E" w:rsidRPr="00BC0E7E" w:rsidRDefault="00944B8F" w:rsidP="00BC0E7E">
      <w:pPr>
        <w:suppressAutoHyphens w:val="0"/>
        <w:outlineLvl w:val="1"/>
        <w:rPr>
          <w:del w:id="10235" w:author="AbbVie19" w:date="2025-04-16T12:21:00Z"/>
          <w:rFonts w:ascii="Times New Roman Bold" w:hAnsi="Times New Roman Bold"/>
          <w:szCs w:val="20"/>
        </w:rPr>
      </w:pPr>
      <w:del w:id="10236" w:author="AbbVie19" w:date="2025-04-16T12:21:00Z">
        <w:r w:rsidRPr="00BC0E7E">
          <w:rPr>
            <w:rFonts w:ascii="Times New Roman Bold" w:hAnsi="Times New Roman Bold"/>
            <w:b/>
            <w:szCs w:val="20"/>
          </w:rPr>
          <w:delText xml:space="preserve">3) </w:delText>
        </w:r>
        <w:r w:rsidR="00782746" w:rsidRPr="00BC0E7E">
          <w:rPr>
            <w:rFonts w:ascii="Times New Roman Bold" w:hAnsi="Times New Roman Bold"/>
            <w:b/>
            <w:szCs w:val="20"/>
          </w:rPr>
          <w:tab/>
        </w:r>
        <w:r w:rsidRPr="00BC0E7E">
          <w:rPr>
            <w:rFonts w:ascii="Times New Roman Bold" w:hAnsi="Times New Roman Bold"/>
            <w:b/>
            <w:szCs w:val="20"/>
          </w:rPr>
          <w:delText>Choosing and preparing an injection site</w:delText>
        </w:r>
      </w:del>
    </w:p>
    <w:p w14:paraId="2AFCF2F4" w14:textId="77777777" w:rsidR="00BC0E7E" w:rsidRPr="00BC0E7E" w:rsidRDefault="00BC0E7E" w:rsidP="00BC0E7E">
      <w:pPr>
        <w:rPr>
          <w:del w:id="10237" w:author="AbbVie19" w:date="2025-04-16T12:21:00Z"/>
          <w:szCs w:val="20"/>
        </w:rPr>
      </w:pPr>
    </w:p>
    <w:p w14:paraId="45013E87" w14:textId="77777777" w:rsidR="00BC0E7E" w:rsidRPr="00BC0E7E" w:rsidRDefault="00944B8F" w:rsidP="00D51999">
      <w:pPr>
        <w:numPr>
          <w:ilvl w:val="0"/>
          <w:numId w:val="32"/>
        </w:numPr>
        <w:ind w:left="550" w:hanging="550"/>
        <w:rPr>
          <w:del w:id="10238" w:author="AbbVie19" w:date="2025-04-16T12:21:00Z"/>
          <w:szCs w:val="20"/>
        </w:rPr>
      </w:pPr>
      <w:del w:id="10239" w:author="AbbVie19" w:date="2025-04-16T12:21:00Z">
        <w:r w:rsidRPr="00BC0E7E">
          <w:rPr>
            <w:szCs w:val="20"/>
          </w:rPr>
          <w:delText xml:space="preserve">Choose a site on your thigh or stomach. </w:delText>
        </w:r>
        <w:r w:rsidR="00AE2CFB">
          <w:rPr>
            <w:b/>
            <w:szCs w:val="20"/>
          </w:rPr>
          <w:delText>DO NOT</w:delText>
        </w:r>
        <w:r w:rsidRPr="00BC0E7E">
          <w:rPr>
            <w:szCs w:val="20"/>
          </w:rPr>
          <w:delText xml:space="preserve"> use the same site that was used for the last injection.</w:delText>
        </w:r>
      </w:del>
    </w:p>
    <w:p w14:paraId="5BC88A3F" w14:textId="77777777" w:rsidR="00BC0E7E" w:rsidRPr="00BC0E7E" w:rsidRDefault="00944B8F" w:rsidP="00D51999">
      <w:pPr>
        <w:numPr>
          <w:ilvl w:val="0"/>
          <w:numId w:val="32"/>
        </w:numPr>
        <w:ind w:left="550" w:hanging="550"/>
        <w:rPr>
          <w:del w:id="10240" w:author="AbbVie19" w:date="2025-04-16T12:21:00Z"/>
          <w:szCs w:val="20"/>
        </w:rPr>
      </w:pPr>
      <w:del w:id="10241" w:author="AbbVie19" w:date="2025-04-16T12:21:00Z">
        <w:r w:rsidRPr="00BC0E7E">
          <w:rPr>
            <w:szCs w:val="20"/>
          </w:rPr>
          <w:delText>The new injection site should be given at least 3 cm from the last injection site.</w:delText>
        </w:r>
      </w:del>
    </w:p>
    <w:p w14:paraId="376C7E7C" w14:textId="77777777" w:rsidR="00BC0E7E" w:rsidRPr="00BC0E7E" w:rsidRDefault="00BC0E7E" w:rsidP="00BC0E7E">
      <w:pPr>
        <w:rPr>
          <w:del w:id="10242" w:author="AbbVie19" w:date="2025-04-16T12:21:00Z"/>
          <w:szCs w:val="20"/>
        </w:rPr>
      </w:pPr>
    </w:p>
    <w:p w14:paraId="583D2E97" w14:textId="77777777" w:rsidR="00BC0E7E" w:rsidRPr="00BC0E7E" w:rsidRDefault="00944B8F" w:rsidP="00BC0E7E">
      <w:pPr>
        <w:jc w:val="center"/>
        <w:rPr>
          <w:del w:id="10243" w:author="AbbVie19" w:date="2025-04-16T12:21:00Z"/>
          <w:szCs w:val="20"/>
        </w:rPr>
      </w:pPr>
      <w:del w:id="10244" w:author="AbbVie19" w:date="2025-04-16T12:21:00Z">
        <w:r>
          <w:rPr>
            <w:noProof/>
            <w:szCs w:val="20"/>
            <w:lang w:val="en-US"/>
          </w:rPr>
          <w:drawing>
            <wp:inline distT="0" distB="0" distL="0" distR="0" wp14:anchorId="18C0665C" wp14:editId="2823A982">
              <wp:extent cx="1788795" cy="1788795"/>
              <wp:effectExtent l="0" t="0" r="1905" b="190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55"/>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1788795" cy="1788795"/>
                      </a:xfrm>
                      <a:prstGeom prst="rect">
                        <a:avLst/>
                      </a:prstGeom>
                      <a:noFill/>
                      <a:ln>
                        <a:noFill/>
                      </a:ln>
                    </pic:spPr>
                  </pic:pic>
                </a:graphicData>
              </a:graphic>
            </wp:inline>
          </w:drawing>
        </w:r>
      </w:del>
    </w:p>
    <w:p w14:paraId="3E314500" w14:textId="77777777" w:rsidR="00BC0E7E" w:rsidRPr="00BC0E7E" w:rsidRDefault="00BC0E7E" w:rsidP="00BC0E7E">
      <w:pPr>
        <w:jc w:val="center"/>
        <w:rPr>
          <w:del w:id="10245" w:author="AbbVie19" w:date="2025-04-16T12:21:00Z"/>
          <w:szCs w:val="20"/>
        </w:rPr>
      </w:pPr>
    </w:p>
    <w:p w14:paraId="0330EB4B" w14:textId="77777777" w:rsidR="00BC0E7E" w:rsidRPr="00BC0E7E" w:rsidRDefault="00944B8F" w:rsidP="00BC0E7E">
      <w:pPr>
        <w:numPr>
          <w:ilvl w:val="0"/>
          <w:numId w:val="12"/>
        </w:numPr>
        <w:tabs>
          <w:tab w:val="clear" w:pos="470"/>
          <w:tab w:val="clear" w:pos="562"/>
        </w:tabs>
        <w:ind w:left="550" w:hanging="550"/>
        <w:rPr>
          <w:del w:id="10246" w:author="AbbVie19" w:date="2025-04-16T12:21:00Z"/>
        </w:rPr>
      </w:pPr>
      <w:del w:id="10247" w:author="AbbVie19" w:date="2025-04-16T12:21:00Z">
        <w:r w:rsidRPr="00BC0E7E">
          <w:rPr>
            <w:b/>
          </w:rPr>
          <w:delText>DO NOT</w:delText>
        </w:r>
        <w:r w:rsidRPr="00BC0E7E">
          <w:delText xml:space="preserve"> inject in an area where the skin is reddened, bruised, or hard. This may mean there is an infection and therefore you should contact your doctor.</w:delText>
        </w:r>
      </w:del>
    </w:p>
    <w:p w14:paraId="06BF4B01" w14:textId="77777777" w:rsidR="00BC0E7E" w:rsidRPr="00BC0E7E" w:rsidRDefault="00944B8F" w:rsidP="00BC0E7E">
      <w:pPr>
        <w:numPr>
          <w:ilvl w:val="0"/>
          <w:numId w:val="12"/>
        </w:numPr>
        <w:tabs>
          <w:tab w:val="clear" w:pos="470"/>
          <w:tab w:val="clear" w:pos="562"/>
        </w:tabs>
        <w:ind w:left="550" w:hanging="550"/>
        <w:rPr>
          <w:del w:id="10248" w:author="AbbVie19" w:date="2025-04-16T12:21:00Z"/>
        </w:rPr>
      </w:pPr>
      <w:del w:id="10249" w:author="AbbVie19" w:date="2025-04-16T12:21:00Z">
        <w:r w:rsidRPr="00BC0E7E">
          <w:delText xml:space="preserve">To reduce the chance of infection, wipe the injection site with the other alcohol pad. </w:delText>
        </w:r>
        <w:r w:rsidRPr="00BC0E7E">
          <w:rPr>
            <w:b/>
          </w:rPr>
          <w:delText>DO</w:delText>
        </w:r>
        <w:r w:rsidRPr="00BC0E7E">
          <w:delText xml:space="preserve"> </w:delText>
        </w:r>
        <w:r w:rsidRPr="00BC0E7E">
          <w:rPr>
            <w:b/>
          </w:rPr>
          <w:delText>NOT</w:delText>
        </w:r>
        <w:r w:rsidRPr="00BC0E7E">
          <w:delText xml:space="preserve"> touch the area again before injecting.</w:delText>
        </w:r>
      </w:del>
    </w:p>
    <w:p w14:paraId="73AD2607" w14:textId="77777777" w:rsidR="00BC0E7E" w:rsidRPr="00BC0E7E" w:rsidRDefault="00BC0E7E" w:rsidP="00BC0E7E">
      <w:pPr>
        <w:tabs>
          <w:tab w:val="clear" w:pos="562"/>
        </w:tabs>
        <w:ind w:left="550"/>
        <w:rPr>
          <w:del w:id="10250" w:author="AbbVie19" w:date="2025-04-16T12:21:00Z"/>
        </w:rPr>
      </w:pPr>
    </w:p>
    <w:p w14:paraId="5498C202" w14:textId="77777777" w:rsidR="00BC0E7E" w:rsidRPr="00BC0E7E" w:rsidRDefault="00944B8F" w:rsidP="00BC0E7E">
      <w:pPr>
        <w:suppressAutoHyphens w:val="0"/>
        <w:spacing w:afterLines="50" w:after="120"/>
        <w:outlineLvl w:val="1"/>
        <w:rPr>
          <w:del w:id="10251" w:author="AbbVie19" w:date="2025-04-16T12:21:00Z"/>
          <w:b/>
          <w:szCs w:val="20"/>
        </w:rPr>
      </w:pPr>
      <w:del w:id="10252" w:author="AbbVie19" w:date="2025-04-16T12:21:00Z">
        <w:r w:rsidRPr="00BC0E7E">
          <w:rPr>
            <w:b/>
            <w:szCs w:val="20"/>
          </w:rPr>
          <w:delText xml:space="preserve">4) </w:delText>
        </w:r>
        <w:r w:rsidRPr="00BC0E7E">
          <w:rPr>
            <w:b/>
            <w:szCs w:val="20"/>
          </w:rPr>
          <w:tab/>
          <w:delText xml:space="preserve">Dose Preparation </w:delText>
        </w:r>
      </w:del>
    </w:p>
    <w:p w14:paraId="0357B1CE" w14:textId="77777777" w:rsidR="00BC0E7E" w:rsidRPr="00BC0E7E" w:rsidRDefault="00BC0E7E" w:rsidP="00BC0E7E">
      <w:pPr>
        <w:rPr>
          <w:del w:id="10253" w:author="AbbVie19" w:date="2025-04-16T12:21:00Z"/>
          <w:b/>
        </w:rPr>
      </w:pPr>
    </w:p>
    <w:p w14:paraId="564CCE9A" w14:textId="77777777" w:rsidR="00BC0E7E" w:rsidRPr="00BC0E7E" w:rsidRDefault="00944B8F" w:rsidP="00BC0E7E">
      <w:pPr>
        <w:numPr>
          <w:ilvl w:val="0"/>
          <w:numId w:val="12"/>
        </w:numPr>
        <w:tabs>
          <w:tab w:val="clear" w:pos="470"/>
          <w:tab w:val="clear" w:pos="562"/>
          <w:tab w:val="num" w:pos="0"/>
          <w:tab w:val="left" w:pos="660"/>
        </w:tabs>
        <w:ind w:left="550" w:hanging="550"/>
        <w:jc w:val="both"/>
        <w:rPr>
          <w:del w:id="10254" w:author="AbbVie19" w:date="2025-04-16T12:21:00Z"/>
          <w:b/>
        </w:rPr>
      </w:pPr>
      <w:del w:id="10255" w:author="AbbVie19" w:date="2025-04-16T12:21:00Z">
        <w:r w:rsidRPr="00BC0E7E">
          <w:delText>Pick up the syringe with the needle pointing up.</w:delText>
        </w:r>
      </w:del>
    </w:p>
    <w:p w14:paraId="5B9ECE93" w14:textId="77777777" w:rsidR="00BC0E7E" w:rsidRPr="00BC0E7E" w:rsidRDefault="00944B8F" w:rsidP="00BC0E7E">
      <w:pPr>
        <w:numPr>
          <w:ilvl w:val="0"/>
          <w:numId w:val="12"/>
        </w:numPr>
        <w:tabs>
          <w:tab w:val="clear" w:pos="470"/>
          <w:tab w:val="clear" w:pos="562"/>
          <w:tab w:val="num" w:pos="0"/>
          <w:tab w:val="left" w:pos="660"/>
        </w:tabs>
        <w:ind w:left="550" w:hanging="550"/>
        <w:jc w:val="both"/>
        <w:rPr>
          <w:del w:id="10256" w:author="AbbVie19" w:date="2025-04-16T12:21:00Z"/>
          <w:b/>
        </w:rPr>
      </w:pPr>
      <w:del w:id="10257" w:author="AbbVie19" w:date="2025-04-16T12:21:00Z">
        <w:r w:rsidRPr="00BC0E7E">
          <w:delText>Use your other hand to flip the pink needle cover down toward the syringe.</w:delText>
        </w:r>
      </w:del>
    </w:p>
    <w:p w14:paraId="7667B511" w14:textId="77777777" w:rsidR="00BC0E7E" w:rsidRPr="00BC0E7E" w:rsidRDefault="00944B8F" w:rsidP="00BC0E7E">
      <w:pPr>
        <w:tabs>
          <w:tab w:val="clear" w:pos="562"/>
          <w:tab w:val="left" w:pos="660"/>
        </w:tabs>
        <w:jc w:val="center"/>
        <w:rPr>
          <w:del w:id="10258" w:author="AbbVie19" w:date="2025-04-16T12:21:00Z"/>
        </w:rPr>
      </w:pPr>
      <w:del w:id="10259" w:author="AbbVie19" w:date="2025-04-16T12:21:00Z">
        <w:r w:rsidRPr="00BC0E7E">
          <w:lastRenderedPageBreak/>
          <w:br/>
          <w:delText xml:space="preserve"> </w:delText>
        </w:r>
        <w:r>
          <w:rPr>
            <w:noProof/>
            <w:lang w:val="en-US"/>
          </w:rPr>
          <w:drawing>
            <wp:inline distT="0" distB="0" distL="0" distR="0" wp14:anchorId="7B2AA665" wp14:editId="2E3E61CC">
              <wp:extent cx="1837055" cy="18288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56"/>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1837055" cy="1828800"/>
                      </a:xfrm>
                      <a:prstGeom prst="rect">
                        <a:avLst/>
                      </a:prstGeom>
                      <a:noFill/>
                      <a:ln>
                        <a:noFill/>
                      </a:ln>
                    </pic:spPr>
                  </pic:pic>
                </a:graphicData>
              </a:graphic>
            </wp:inline>
          </w:drawing>
        </w:r>
      </w:del>
    </w:p>
    <w:p w14:paraId="039A3AF3" w14:textId="77777777" w:rsidR="00BC0E7E" w:rsidRPr="00BC0E7E" w:rsidRDefault="00BC0E7E" w:rsidP="00BC0E7E">
      <w:pPr>
        <w:tabs>
          <w:tab w:val="clear" w:pos="562"/>
          <w:tab w:val="left" w:pos="660"/>
        </w:tabs>
        <w:jc w:val="center"/>
        <w:rPr>
          <w:del w:id="10260" w:author="AbbVie19" w:date="2025-04-16T12:21:00Z"/>
          <w:b/>
        </w:rPr>
      </w:pPr>
    </w:p>
    <w:p w14:paraId="4ED433CC" w14:textId="77777777" w:rsidR="00BC0E7E" w:rsidRPr="00BC0E7E" w:rsidRDefault="00944B8F" w:rsidP="00BC0E7E">
      <w:pPr>
        <w:numPr>
          <w:ilvl w:val="0"/>
          <w:numId w:val="12"/>
        </w:numPr>
        <w:tabs>
          <w:tab w:val="clear" w:pos="470"/>
          <w:tab w:val="num" w:pos="0"/>
        </w:tabs>
        <w:ind w:left="550" w:hanging="550"/>
        <w:jc w:val="both"/>
        <w:rPr>
          <w:del w:id="10261" w:author="AbbVie19" w:date="2025-04-16T12:21:00Z"/>
        </w:rPr>
      </w:pPr>
      <w:del w:id="10262" w:author="AbbVie19" w:date="2025-04-16T12:21:00Z">
        <w:r w:rsidRPr="00BC0E7E">
          <w:delText>Remove the clear needle cap by pulling it straight up with your other hand.</w:delText>
        </w:r>
      </w:del>
    </w:p>
    <w:p w14:paraId="3DD409CD" w14:textId="77777777" w:rsidR="00BC0E7E" w:rsidRPr="00BC0E7E" w:rsidRDefault="00BC0E7E" w:rsidP="00BC0E7E">
      <w:pPr>
        <w:jc w:val="both"/>
        <w:rPr>
          <w:del w:id="10263" w:author="AbbVie19" w:date="2025-04-16T12:21:00Z"/>
        </w:rPr>
      </w:pPr>
    </w:p>
    <w:p w14:paraId="0A88DE82" w14:textId="77777777" w:rsidR="00BC0E7E" w:rsidRPr="00BC0E7E" w:rsidRDefault="00944B8F" w:rsidP="00BC0E7E">
      <w:pPr>
        <w:jc w:val="center"/>
        <w:rPr>
          <w:del w:id="10264" w:author="AbbVie19" w:date="2025-04-16T12:21:00Z"/>
        </w:rPr>
      </w:pPr>
      <w:del w:id="10265" w:author="AbbVie19" w:date="2025-04-16T12:21:00Z">
        <w:r>
          <w:rPr>
            <w:noProof/>
            <w:lang w:val="en-US"/>
          </w:rPr>
          <w:drawing>
            <wp:inline distT="0" distB="0" distL="0" distR="0" wp14:anchorId="2A3A9CF6" wp14:editId="25A458A5">
              <wp:extent cx="1788795" cy="1804670"/>
              <wp:effectExtent l="0" t="0" r="1905" b="508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57"/>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1788795" cy="1804670"/>
                      </a:xfrm>
                      <a:prstGeom prst="rect">
                        <a:avLst/>
                      </a:prstGeom>
                      <a:noFill/>
                      <a:ln>
                        <a:noFill/>
                      </a:ln>
                    </pic:spPr>
                  </pic:pic>
                </a:graphicData>
              </a:graphic>
            </wp:inline>
          </w:drawing>
        </w:r>
      </w:del>
    </w:p>
    <w:p w14:paraId="3FCCDD52" w14:textId="77777777" w:rsidR="00BC0E7E" w:rsidRPr="00BC0E7E" w:rsidRDefault="00BC0E7E" w:rsidP="00BC0E7E">
      <w:pPr>
        <w:jc w:val="center"/>
        <w:rPr>
          <w:del w:id="10266" w:author="AbbVie19" w:date="2025-04-16T12:21:00Z"/>
        </w:rPr>
      </w:pPr>
    </w:p>
    <w:p w14:paraId="31536031" w14:textId="77777777" w:rsidR="00BC0E7E" w:rsidRPr="00BC0E7E" w:rsidRDefault="00944B8F" w:rsidP="00BC0E7E">
      <w:pPr>
        <w:numPr>
          <w:ilvl w:val="0"/>
          <w:numId w:val="12"/>
        </w:numPr>
        <w:tabs>
          <w:tab w:val="clear" w:pos="470"/>
          <w:tab w:val="num" w:pos="0"/>
        </w:tabs>
        <w:ind w:left="550" w:hanging="550"/>
        <w:jc w:val="both"/>
        <w:rPr>
          <w:del w:id="10267" w:author="AbbVie19" w:date="2025-04-16T12:21:00Z"/>
        </w:rPr>
      </w:pPr>
      <w:del w:id="10268" w:author="AbbVie19" w:date="2025-04-16T12:21:00Z">
        <w:r w:rsidRPr="00BC0E7E">
          <w:delText>The needle is clean.</w:delText>
        </w:r>
      </w:del>
    </w:p>
    <w:p w14:paraId="669E03A0" w14:textId="77777777" w:rsidR="00BC0E7E" w:rsidRPr="00BC0E7E" w:rsidRDefault="00944B8F" w:rsidP="00BC0E7E">
      <w:pPr>
        <w:numPr>
          <w:ilvl w:val="0"/>
          <w:numId w:val="12"/>
        </w:numPr>
        <w:tabs>
          <w:tab w:val="clear" w:pos="470"/>
          <w:tab w:val="num" w:pos="0"/>
        </w:tabs>
        <w:ind w:left="550" w:hanging="550"/>
        <w:jc w:val="both"/>
        <w:rPr>
          <w:del w:id="10269" w:author="AbbVie19" w:date="2025-04-16T12:21:00Z"/>
        </w:rPr>
      </w:pPr>
      <w:del w:id="10270" w:author="AbbVie19" w:date="2025-04-16T12:21:00Z">
        <w:r w:rsidRPr="00BC0E7E">
          <w:rPr>
            <w:b/>
          </w:rPr>
          <w:delText>DO NOT</w:delText>
        </w:r>
        <w:r w:rsidRPr="00BC0E7E">
          <w:delText xml:space="preserve"> touch the needle.</w:delText>
        </w:r>
      </w:del>
    </w:p>
    <w:p w14:paraId="56FE0A6F" w14:textId="77777777" w:rsidR="00BC0E7E" w:rsidRPr="00BC0E7E" w:rsidRDefault="00944B8F" w:rsidP="00BC0E7E">
      <w:pPr>
        <w:numPr>
          <w:ilvl w:val="0"/>
          <w:numId w:val="12"/>
        </w:numPr>
        <w:tabs>
          <w:tab w:val="clear" w:pos="470"/>
          <w:tab w:val="num" w:pos="0"/>
        </w:tabs>
        <w:ind w:left="550" w:hanging="550"/>
        <w:jc w:val="both"/>
        <w:rPr>
          <w:del w:id="10271" w:author="AbbVie19" w:date="2025-04-16T12:21:00Z"/>
        </w:rPr>
      </w:pPr>
      <w:del w:id="10272" w:author="AbbVie19" w:date="2025-04-16T12:21:00Z">
        <w:r w:rsidRPr="00BC0E7E">
          <w:rPr>
            <w:b/>
          </w:rPr>
          <w:delText>DO NOT</w:delText>
        </w:r>
        <w:r w:rsidRPr="00BC0E7E">
          <w:delText xml:space="preserve"> set the syringe down at any time after the clear needle cap is off.</w:delText>
        </w:r>
      </w:del>
    </w:p>
    <w:p w14:paraId="6AE32115" w14:textId="77777777" w:rsidR="00BC0E7E" w:rsidRPr="00BC0E7E" w:rsidRDefault="00944B8F" w:rsidP="00BC0E7E">
      <w:pPr>
        <w:numPr>
          <w:ilvl w:val="0"/>
          <w:numId w:val="12"/>
        </w:numPr>
        <w:tabs>
          <w:tab w:val="clear" w:pos="470"/>
        </w:tabs>
        <w:ind w:left="550" w:hanging="550"/>
        <w:jc w:val="both"/>
        <w:rPr>
          <w:del w:id="10273" w:author="AbbVie19" w:date="2025-04-16T12:21:00Z"/>
        </w:rPr>
      </w:pPr>
      <w:del w:id="10274" w:author="AbbVie19" w:date="2025-04-16T12:21:00Z">
        <w:r w:rsidRPr="00BC0E7E">
          <w:rPr>
            <w:b/>
          </w:rPr>
          <w:delText>DO NOT</w:delText>
        </w:r>
        <w:r w:rsidRPr="00BC0E7E">
          <w:delText xml:space="preserve"> try to put the clear needle cap back on the needle.</w:delText>
        </w:r>
      </w:del>
    </w:p>
    <w:p w14:paraId="26791DE3" w14:textId="77777777" w:rsidR="00BC0E7E" w:rsidRPr="00BC0E7E" w:rsidRDefault="00BC0E7E" w:rsidP="00BC0E7E">
      <w:pPr>
        <w:jc w:val="both"/>
        <w:rPr>
          <w:del w:id="10275" w:author="AbbVie19" w:date="2025-04-16T12:21:00Z"/>
        </w:rPr>
      </w:pPr>
    </w:p>
    <w:p w14:paraId="0F7C5FAA" w14:textId="77777777" w:rsidR="00BC0E7E" w:rsidRPr="00BC0E7E" w:rsidRDefault="00944B8F" w:rsidP="00BC0E7E">
      <w:pPr>
        <w:numPr>
          <w:ilvl w:val="0"/>
          <w:numId w:val="12"/>
        </w:numPr>
        <w:tabs>
          <w:tab w:val="clear" w:pos="470"/>
          <w:tab w:val="clear" w:pos="562"/>
          <w:tab w:val="left" w:pos="660"/>
        </w:tabs>
        <w:ind w:left="660" w:hanging="660"/>
        <w:jc w:val="both"/>
        <w:rPr>
          <w:del w:id="10276" w:author="AbbVie19" w:date="2025-04-16T12:21:00Z"/>
        </w:rPr>
      </w:pPr>
      <w:del w:id="10277" w:author="AbbVie19" w:date="2025-04-16T12:21:00Z">
        <w:r w:rsidRPr="00BC0E7E">
          <w:delText>Hold the syringe at eye-level with the needle pointing up to see the amount clearly. Be careful not to squirt the liquid medication into your eye.</w:delText>
        </w:r>
      </w:del>
    </w:p>
    <w:p w14:paraId="316EBA33" w14:textId="77777777" w:rsidR="00BC0E7E" w:rsidRPr="00BC0E7E" w:rsidRDefault="00944B8F" w:rsidP="00BC0E7E">
      <w:pPr>
        <w:numPr>
          <w:ilvl w:val="0"/>
          <w:numId w:val="12"/>
        </w:numPr>
        <w:tabs>
          <w:tab w:val="clear" w:pos="470"/>
          <w:tab w:val="clear" w:pos="562"/>
          <w:tab w:val="left" w:pos="660"/>
        </w:tabs>
        <w:ind w:left="660" w:hanging="660"/>
        <w:jc w:val="both"/>
        <w:rPr>
          <w:del w:id="10278" w:author="AbbVie19" w:date="2025-04-16T12:21:00Z"/>
        </w:rPr>
      </w:pPr>
      <w:del w:id="10279" w:author="AbbVie19" w:date="2025-04-16T12:21:00Z">
        <w:r w:rsidRPr="00BC0E7E">
          <w:delText>Recheck the prescribed medication amount.</w:delText>
        </w:r>
      </w:del>
    </w:p>
    <w:p w14:paraId="7FEA0E44" w14:textId="77777777" w:rsidR="00BC0E7E" w:rsidRPr="00BC0E7E" w:rsidRDefault="00944B8F" w:rsidP="00BC0E7E">
      <w:pPr>
        <w:numPr>
          <w:ilvl w:val="0"/>
          <w:numId w:val="12"/>
        </w:numPr>
        <w:tabs>
          <w:tab w:val="clear" w:pos="470"/>
          <w:tab w:val="clear" w:pos="562"/>
          <w:tab w:val="left" w:pos="660"/>
        </w:tabs>
        <w:ind w:left="660" w:hanging="660"/>
        <w:jc w:val="both"/>
        <w:rPr>
          <w:del w:id="10280" w:author="AbbVie19" w:date="2025-04-16T12:21:00Z"/>
        </w:rPr>
      </w:pPr>
      <w:del w:id="10281" w:author="AbbVie19" w:date="2025-04-16T12:21:00Z">
        <w:r w:rsidRPr="00BC0E7E">
          <w:delText xml:space="preserve">Push the white plunger rod gently into the syringe until the syringe contains the prescribed amount of liquid. Excess liquid may come out of the needle while the white plunger rod is being pushed. </w:delText>
        </w:r>
        <w:r w:rsidRPr="00BC0E7E">
          <w:rPr>
            <w:b/>
          </w:rPr>
          <w:delText>DO NOT</w:delText>
        </w:r>
        <w:r w:rsidRPr="00BC0E7E">
          <w:delText xml:space="preserve"> wipe off the needle or the syringe.</w:delText>
        </w:r>
      </w:del>
    </w:p>
    <w:p w14:paraId="51323B71" w14:textId="77777777" w:rsidR="00BC0E7E" w:rsidRPr="00BC0E7E" w:rsidRDefault="00BC0E7E" w:rsidP="00BC0E7E">
      <w:pPr>
        <w:ind w:left="567" w:hanging="567"/>
        <w:rPr>
          <w:del w:id="10282" w:author="AbbVie19" w:date="2025-04-16T12:21:00Z"/>
        </w:rPr>
      </w:pPr>
    </w:p>
    <w:p w14:paraId="0F1F37E5" w14:textId="77777777" w:rsidR="00BC0E7E" w:rsidRPr="00BC0E7E" w:rsidRDefault="00944B8F" w:rsidP="00BC0E7E">
      <w:pPr>
        <w:rPr>
          <w:del w:id="10283" w:author="AbbVie19" w:date="2025-04-16T12:21:00Z"/>
          <w:b/>
          <w:szCs w:val="20"/>
        </w:rPr>
      </w:pPr>
      <w:del w:id="10284" w:author="AbbVie19" w:date="2025-04-16T12:21:00Z">
        <w:r>
          <w:rPr>
            <w:b/>
            <w:szCs w:val="20"/>
          </w:rPr>
          <w:delText>5)</w:delText>
        </w:r>
        <w:r w:rsidRPr="00782746">
          <w:rPr>
            <w:rFonts w:ascii="Times New Roman Bold" w:hAnsi="Times New Roman Bold"/>
            <w:b/>
            <w:szCs w:val="20"/>
          </w:rPr>
          <w:delText xml:space="preserve"> </w:delText>
        </w:r>
        <w:r w:rsidRPr="00BC0E7E">
          <w:rPr>
            <w:rFonts w:ascii="Times New Roman Bold" w:hAnsi="Times New Roman Bold"/>
            <w:b/>
            <w:szCs w:val="20"/>
          </w:rPr>
          <w:tab/>
        </w:r>
        <w:r w:rsidRPr="00BC0E7E">
          <w:rPr>
            <w:b/>
            <w:szCs w:val="20"/>
          </w:rPr>
          <w:delText>Injecting Humira</w:delText>
        </w:r>
      </w:del>
    </w:p>
    <w:p w14:paraId="3BAFF780" w14:textId="77777777" w:rsidR="00BC0E7E" w:rsidRPr="00BC0E7E" w:rsidRDefault="00BC0E7E" w:rsidP="00BC0E7E">
      <w:pPr>
        <w:rPr>
          <w:del w:id="10285" w:author="AbbVie19" w:date="2025-04-16T12:21:00Z"/>
          <w:szCs w:val="20"/>
        </w:rPr>
      </w:pPr>
    </w:p>
    <w:p w14:paraId="68B6C2E3" w14:textId="77777777" w:rsidR="00BC0E7E" w:rsidRPr="00BC0E7E" w:rsidRDefault="00944B8F" w:rsidP="00BC0E7E">
      <w:pPr>
        <w:numPr>
          <w:ilvl w:val="0"/>
          <w:numId w:val="12"/>
        </w:numPr>
        <w:tabs>
          <w:tab w:val="clear" w:pos="470"/>
          <w:tab w:val="clear" w:pos="562"/>
          <w:tab w:val="left" w:pos="660"/>
        </w:tabs>
        <w:ind w:left="660" w:hanging="660"/>
        <w:jc w:val="both"/>
        <w:rPr>
          <w:del w:id="10286" w:author="AbbVie19" w:date="2025-04-16T12:21:00Z"/>
        </w:rPr>
      </w:pPr>
      <w:del w:id="10287" w:author="AbbVie19" w:date="2025-04-16T12:21:00Z">
        <w:r w:rsidRPr="00BC0E7E">
          <w:delText xml:space="preserve">With the free hand, gently grasp the cleaned area of skin and hold firmly. </w:delText>
        </w:r>
      </w:del>
    </w:p>
    <w:p w14:paraId="465F730E" w14:textId="77777777" w:rsidR="00BC0E7E" w:rsidRPr="00BC0E7E" w:rsidRDefault="00944B8F" w:rsidP="00BC0E7E">
      <w:pPr>
        <w:numPr>
          <w:ilvl w:val="0"/>
          <w:numId w:val="12"/>
        </w:numPr>
        <w:tabs>
          <w:tab w:val="clear" w:pos="470"/>
          <w:tab w:val="clear" w:pos="562"/>
          <w:tab w:val="left" w:pos="660"/>
        </w:tabs>
        <w:ind w:left="660" w:hanging="660"/>
        <w:jc w:val="both"/>
        <w:rPr>
          <w:del w:id="10288" w:author="AbbVie19" w:date="2025-04-16T12:21:00Z"/>
        </w:rPr>
      </w:pPr>
      <w:del w:id="10289" w:author="AbbVie19" w:date="2025-04-16T12:21:00Z">
        <w:r w:rsidRPr="00BC0E7E">
          <w:delText xml:space="preserve">With the other hand, hold syringe at 45-degree angle to skin. </w:delText>
        </w:r>
      </w:del>
    </w:p>
    <w:p w14:paraId="56CDABD6" w14:textId="77777777" w:rsidR="00BC0E7E" w:rsidRPr="00BC0E7E" w:rsidRDefault="00944B8F" w:rsidP="00BC0E7E">
      <w:pPr>
        <w:numPr>
          <w:ilvl w:val="0"/>
          <w:numId w:val="12"/>
        </w:numPr>
        <w:tabs>
          <w:tab w:val="clear" w:pos="470"/>
          <w:tab w:val="clear" w:pos="562"/>
          <w:tab w:val="left" w:pos="660"/>
        </w:tabs>
        <w:ind w:left="660" w:hanging="660"/>
        <w:jc w:val="both"/>
        <w:rPr>
          <w:del w:id="10290" w:author="AbbVie19" w:date="2025-04-16T12:21:00Z"/>
        </w:rPr>
      </w:pPr>
      <w:del w:id="10291" w:author="AbbVie19" w:date="2025-04-16T12:21:00Z">
        <w:r w:rsidRPr="00BC0E7E">
          <w:delText>With one quick, short motion, push needle all the way into skin.</w:delText>
        </w:r>
      </w:del>
    </w:p>
    <w:p w14:paraId="2B462316" w14:textId="77777777" w:rsidR="00BC0E7E" w:rsidRPr="00BC0E7E" w:rsidRDefault="00944B8F" w:rsidP="00BC0E7E">
      <w:pPr>
        <w:numPr>
          <w:ilvl w:val="0"/>
          <w:numId w:val="12"/>
        </w:numPr>
        <w:tabs>
          <w:tab w:val="clear" w:pos="470"/>
          <w:tab w:val="clear" w:pos="562"/>
          <w:tab w:val="left" w:pos="660"/>
        </w:tabs>
        <w:ind w:left="660" w:hanging="660"/>
        <w:jc w:val="both"/>
        <w:rPr>
          <w:del w:id="10292" w:author="AbbVie19" w:date="2025-04-16T12:21:00Z"/>
        </w:rPr>
      </w:pPr>
      <w:del w:id="10293" w:author="AbbVie19" w:date="2025-04-16T12:21:00Z">
        <w:r w:rsidRPr="00BC0E7E">
          <w:delText>Let go of the skin in your hand.</w:delText>
        </w:r>
      </w:del>
    </w:p>
    <w:p w14:paraId="3CBCBD83" w14:textId="77777777" w:rsidR="00BC0E7E" w:rsidRPr="00BC0E7E" w:rsidRDefault="00944B8F" w:rsidP="00BC0E7E">
      <w:pPr>
        <w:numPr>
          <w:ilvl w:val="0"/>
          <w:numId w:val="12"/>
        </w:numPr>
        <w:tabs>
          <w:tab w:val="clear" w:pos="470"/>
          <w:tab w:val="clear" w:pos="562"/>
          <w:tab w:val="left" w:pos="660"/>
        </w:tabs>
        <w:ind w:left="660" w:hanging="660"/>
        <w:jc w:val="both"/>
        <w:rPr>
          <w:del w:id="10294" w:author="AbbVie19" w:date="2025-04-16T12:21:00Z"/>
        </w:rPr>
      </w:pPr>
      <w:del w:id="10295" w:author="AbbVie19" w:date="2025-04-16T12:21:00Z">
        <w:r w:rsidRPr="00BC0E7E">
          <w:delText>Push the white plunger rod to inject the liquid medication until the syringe is empty.</w:delText>
        </w:r>
      </w:del>
    </w:p>
    <w:p w14:paraId="2FBF1F1C" w14:textId="77777777" w:rsidR="00BC0E7E" w:rsidRPr="00BC0E7E" w:rsidRDefault="00944B8F" w:rsidP="00BC0E7E">
      <w:pPr>
        <w:numPr>
          <w:ilvl w:val="0"/>
          <w:numId w:val="12"/>
        </w:numPr>
        <w:tabs>
          <w:tab w:val="clear" w:pos="470"/>
          <w:tab w:val="clear" w:pos="562"/>
          <w:tab w:val="left" w:pos="660"/>
        </w:tabs>
        <w:ind w:left="660" w:hanging="660"/>
        <w:jc w:val="both"/>
        <w:rPr>
          <w:del w:id="10296" w:author="AbbVie19" w:date="2025-04-16T12:21:00Z"/>
        </w:rPr>
      </w:pPr>
      <w:del w:id="10297" w:author="AbbVie19" w:date="2025-04-16T12:21:00Z">
        <w:r w:rsidRPr="00BC0E7E">
          <w:delText>When the syringe is empty, remove the needle from skin, being careful to pull it out at the same angle as when it was inserted.</w:delText>
        </w:r>
      </w:del>
    </w:p>
    <w:p w14:paraId="52194AD0" w14:textId="77777777" w:rsidR="00BC0E7E" w:rsidRPr="00BC0E7E" w:rsidRDefault="00944B8F" w:rsidP="00BC0E7E">
      <w:pPr>
        <w:jc w:val="center"/>
        <w:rPr>
          <w:del w:id="10298" w:author="AbbVie19" w:date="2025-04-16T12:21:00Z"/>
          <w:szCs w:val="20"/>
        </w:rPr>
      </w:pPr>
      <w:del w:id="10299" w:author="AbbVie19" w:date="2025-04-16T12:21:00Z">
        <w:r>
          <w:rPr>
            <w:noProof/>
            <w:szCs w:val="20"/>
            <w:lang w:val="en-US"/>
          </w:rPr>
          <w:lastRenderedPageBreak/>
          <w:drawing>
            <wp:inline distT="0" distB="0" distL="0" distR="0" wp14:anchorId="2CE96C2A" wp14:editId="11E73FE8">
              <wp:extent cx="1860550" cy="1837055"/>
              <wp:effectExtent l="0" t="0" r="635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58"/>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1860550" cy="1837055"/>
                      </a:xfrm>
                      <a:prstGeom prst="rect">
                        <a:avLst/>
                      </a:prstGeom>
                      <a:noFill/>
                      <a:ln>
                        <a:noFill/>
                      </a:ln>
                    </pic:spPr>
                  </pic:pic>
                </a:graphicData>
              </a:graphic>
            </wp:inline>
          </w:drawing>
        </w:r>
      </w:del>
    </w:p>
    <w:p w14:paraId="2F57FF01" w14:textId="77777777" w:rsidR="00BC0E7E" w:rsidRPr="00BC0E7E" w:rsidRDefault="00BC0E7E" w:rsidP="00BC0E7E">
      <w:pPr>
        <w:rPr>
          <w:del w:id="10300" w:author="AbbVie19" w:date="2025-04-16T12:21:00Z"/>
          <w:szCs w:val="20"/>
        </w:rPr>
      </w:pPr>
    </w:p>
    <w:p w14:paraId="5DDEA35A" w14:textId="77777777" w:rsidR="00BC0E7E" w:rsidRPr="00BC0E7E" w:rsidRDefault="00944B8F" w:rsidP="00BC0E7E">
      <w:pPr>
        <w:numPr>
          <w:ilvl w:val="0"/>
          <w:numId w:val="12"/>
        </w:numPr>
        <w:tabs>
          <w:tab w:val="clear" w:pos="470"/>
          <w:tab w:val="clear" w:pos="562"/>
          <w:tab w:val="left" w:pos="660"/>
        </w:tabs>
        <w:ind w:left="660" w:hanging="660"/>
        <w:jc w:val="both"/>
        <w:rPr>
          <w:del w:id="10301" w:author="AbbVie19" w:date="2025-04-16T12:21:00Z"/>
        </w:rPr>
      </w:pPr>
      <w:del w:id="10302" w:author="AbbVie19" w:date="2025-04-16T12:21:00Z">
        <w:r w:rsidRPr="00BC0E7E">
          <w:delText>Gently flip the pink needle cover up, over the needle and snap into place and set the syringe with needle on the work surface. DO NOT put the clear needle cap back on the needle.</w:delText>
        </w:r>
      </w:del>
    </w:p>
    <w:p w14:paraId="412D934E" w14:textId="77777777" w:rsidR="00BC0E7E" w:rsidRPr="00BC0E7E" w:rsidRDefault="00944B8F" w:rsidP="00BC0E7E">
      <w:pPr>
        <w:tabs>
          <w:tab w:val="clear" w:pos="562"/>
        </w:tabs>
        <w:ind w:left="648"/>
        <w:rPr>
          <w:del w:id="10303" w:author="AbbVie19" w:date="2025-04-16T12:21:00Z"/>
          <w:szCs w:val="20"/>
        </w:rPr>
      </w:pPr>
      <w:del w:id="10304" w:author="AbbVie19" w:date="2025-04-16T12:21:00Z">
        <w:r w:rsidRPr="00BC0E7E">
          <w:rPr>
            <w:szCs w:val="20"/>
          </w:rPr>
          <w:br/>
        </w:r>
        <w:r>
          <w:rPr>
            <w:noProof/>
            <w:szCs w:val="20"/>
            <w:lang w:val="en-US"/>
          </w:rPr>
          <w:drawing>
            <wp:inline distT="0" distB="0" distL="0" distR="0" wp14:anchorId="6F8B670B" wp14:editId="51FD00F0">
              <wp:extent cx="3896360" cy="1781175"/>
              <wp:effectExtent l="0" t="0" r="8890"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59"/>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3896360" cy="1781175"/>
                      </a:xfrm>
                      <a:prstGeom prst="rect">
                        <a:avLst/>
                      </a:prstGeom>
                      <a:noFill/>
                      <a:ln>
                        <a:noFill/>
                      </a:ln>
                    </pic:spPr>
                  </pic:pic>
                </a:graphicData>
              </a:graphic>
            </wp:inline>
          </w:drawing>
        </w:r>
      </w:del>
    </w:p>
    <w:p w14:paraId="0C78E87D" w14:textId="77777777" w:rsidR="00BC0E7E" w:rsidRPr="00BC0E7E" w:rsidRDefault="00BC0E7E" w:rsidP="00BC0E7E">
      <w:pPr>
        <w:rPr>
          <w:del w:id="10305" w:author="AbbVie19" w:date="2025-04-16T12:21:00Z"/>
          <w:szCs w:val="20"/>
        </w:rPr>
      </w:pPr>
    </w:p>
    <w:p w14:paraId="157BAC06" w14:textId="77777777" w:rsidR="00BC0E7E" w:rsidRPr="00BC0E7E" w:rsidRDefault="00944B8F" w:rsidP="00BC0E7E">
      <w:pPr>
        <w:numPr>
          <w:ilvl w:val="0"/>
          <w:numId w:val="12"/>
        </w:numPr>
        <w:tabs>
          <w:tab w:val="clear" w:pos="470"/>
          <w:tab w:val="clear" w:pos="562"/>
          <w:tab w:val="left" w:pos="660"/>
        </w:tabs>
        <w:ind w:left="660" w:hanging="660"/>
        <w:jc w:val="both"/>
        <w:rPr>
          <w:del w:id="10306" w:author="AbbVie19" w:date="2025-04-16T12:21:00Z"/>
        </w:rPr>
      </w:pPr>
      <w:del w:id="10307" w:author="AbbVie19" w:date="2025-04-16T12:21:00Z">
        <w:r w:rsidRPr="00BC0E7E">
          <w:delText xml:space="preserve">Using a piece of gauze, apply pressure over the injection site for 10 seconds. A little bleeding may occur. </w:delText>
        </w:r>
        <w:r w:rsidR="00AE2CFB">
          <w:rPr>
            <w:b/>
          </w:rPr>
          <w:delText>DO NOT</w:delText>
        </w:r>
        <w:r w:rsidRPr="00BC0E7E">
          <w:delText xml:space="preserve"> rub the injection site. Use a plaster if you want to. </w:delText>
        </w:r>
      </w:del>
    </w:p>
    <w:p w14:paraId="448326E4" w14:textId="77777777" w:rsidR="00BC0E7E" w:rsidRPr="00BC0E7E" w:rsidRDefault="00BC0E7E" w:rsidP="00BC0E7E">
      <w:pPr>
        <w:rPr>
          <w:del w:id="10308" w:author="AbbVie19" w:date="2025-04-16T12:21:00Z"/>
          <w:szCs w:val="20"/>
        </w:rPr>
      </w:pPr>
    </w:p>
    <w:p w14:paraId="7677C1F5" w14:textId="77777777" w:rsidR="00BC0E7E" w:rsidRPr="00BC0E7E" w:rsidRDefault="00944B8F" w:rsidP="00BC0E7E">
      <w:pPr>
        <w:rPr>
          <w:del w:id="10309" w:author="AbbVie19" w:date="2025-04-16T12:21:00Z"/>
          <w:b/>
          <w:szCs w:val="20"/>
        </w:rPr>
      </w:pPr>
      <w:del w:id="10310" w:author="AbbVie19" w:date="2025-04-16T12:21:00Z">
        <w:r>
          <w:rPr>
            <w:b/>
            <w:szCs w:val="20"/>
          </w:rPr>
          <w:delText>6)</w:delText>
        </w:r>
        <w:r w:rsidRPr="00782746">
          <w:rPr>
            <w:rFonts w:ascii="Times New Roman Bold" w:hAnsi="Times New Roman Bold"/>
            <w:b/>
            <w:szCs w:val="20"/>
          </w:rPr>
          <w:delText xml:space="preserve"> </w:delText>
        </w:r>
        <w:r w:rsidRPr="00BC0E7E">
          <w:rPr>
            <w:rFonts w:ascii="Times New Roman Bold" w:hAnsi="Times New Roman Bold"/>
            <w:b/>
            <w:szCs w:val="20"/>
          </w:rPr>
          <w:tab/>
        </w:r>
        <w:r w:rsidRPr="00BC0E7E">
          <w:rPr>
            <w:b/>
            <w:szCs w:val="20"/>
          </w:rPr>
          <w:delText>Throwing away supplies</w:delText>
        </w:r>
      </w:del>
    </w:p>
    <w:p w14:paraId="6B58B8A1" w14:textId="77777777" w:rsidR="00BC0E7E" w:rsidRPr="00BC0E7E" w:rsidRDefault="00BC0E7E" w:rsidP="00BC0E7E">
      <w:pPr>
        <w:tabs>
          <w:tab w:val="clear" w:pos="562"/>
          <w:tab w:val="left" w:pos="660"/>
        </w:tabs>
        <w:ind w:left="660"/>
        <w:jc w:val="both"/>
        <w:rPr>
          <w:del w:id="10311" w:author="AbbVie19" w:date="2025-04-16T12:21:00Z"/>
        </w:rPr>
      </w:pPr>
    </w:p>
    <w:p w14:paraId="45AFF698" w14:textId="77777777" w:rsidR="00BC0E7E" w:rsidRPr="00BC0E7E" w:rsidRDefault="00944B8F" w:rsidP="00BC0E7E">
      <w:pPr>
        <w:numPr>
          <w:ilvl w:val="0"/>
          <w:numId w:val="12"/>
        </w:numPr>
        <w:tabs>
          <w:tab w:val="clear" w:pos="470"/>
          <w:tab w:val="clear" w:pos="562"/>
          <w:tab w:val="left" w:pos="660"/>
        </w:tabs>
        <w:ind w:left="660" w:hanging="660"/>
        <w:jc w:val="both"/>
        <w:rPr>
          <w:del w:id="10312" w:author="AbbVie19" w:date="2025-04-16T12:21:00Z"/>
        </w:rPr>
      </w:pPr>
      <w:del w:id="10313" w:author="AbbVie19" w:date="2025-04-16T12:21:00Z">
        <w:r w:rsidRPr="00BC0E7E">
          <w:delText>You will need a special container for waste, such as a sharps container or as instructed by your nurse, doctor or pharmacist.</w:delText>
        </w:r>
      </w:del>
    </w:p>
    <w:p w14:paraId="0A93F3AC" w14:textId="77777777" w:rsidR="00BC0E7E" w:rsidRPr="00BC0E7E" w:rsidRDefault="00944B8F" w:rsidP="00BC0E7E">
      <w:pPr>
        <w:numPr>
          <w:ilvl w:val="0"/>
          <w:numId w:val="12"/>
        </w:numPr>
        <w:tabs>
          <w:tab w:val="clear" w:pos="470"/>
          <w:tab w:val="clear" w:pos="562"/>
          <w:tab w:val="left" w:pos="660"/>
        </w:tabs>
        <w:ind w:left="660" w:hanging="660"/>
        <w:jc w:val="both"/>
        <w:rPr>
          <w:del w:id="10314" w:author="AbbVie19" w:date="2025-04-16T12:21:00Z"/>
        </w:rPr>
      </w:pPr>
      <w:del w:id="10315" w:author="AbbVie19" w:date="2025-04-16T12:21:00Z">
        <w:r w:rsidRPr="00BC0E7E">
          <w:delText>Put the syringe with needle, vial and vial adapter into a special sharps container. DO NOT put these items into regular household waste.</w:delText>
        </w:r>
      </w:del>
    </w:p>
    <w:p w14:paraId="68F7C7C7" w14:textId="77777777" w:rsidR="00BC0E7E" w:rsidRPr="00BC0E7E" w:rsidRDefault="00944B8F" w:rsidP="00BC0E7E">
      <w:pPr>
        <w:numPr>
          <w:ilvl w:val="0"/>
          <w:numId w:val="12"/>
        </w:numPr>
        <w:tabs>
          <w:tab w:val="clear" w:pos="470"/>
          <w:tab w:val="clear" w:pos="562"/>
          <w:tab w:val="left" w:pos="660"/>
        </w:tabs>
        <w:ind w:left="660" w:hanging="660"/>
        <w:jc w:val="both"/>
        <w:rPr>
          <w:del w:id="10316" w:author="AbbVie19" w:date="2025-04-16T12:21:00Z"/>
        </w:rPr>
      </w:pPr>
      <w:del w:id="10317" w:author="AbbVie19" w:date="2025-04-16T12:21:00Z">
        <w:r w:rsidRPr="00BC0E7E">
          <w:delText>The syringe, needle, vial and vial adapter MUST NEVER be reused.</w:delText>
        </w:r>
      </w:del>
    </w:p>
    <w:p w14:paraId="04B80346" w14:textId="77777777" w:rsidR="00BC0E7E" w:rsidRPr="00BC0E7E" w:rsidRDefault="00944B8F" w:rsidP="00BC0E7E">
      <w:pPr>
        <w:numPr>
          <w:ilvl w:val="0"/>
          <w:numId w:val="12"/>
        </w:numPr>
        <w:tabs>
          <w:tab w:val="clear" w:pos="470"/>
          <w:tab w:val="clear" w:pos="562"/>
          <w:tab w:val="left" w:pos="660"/>
        </w:tabs>
        <w:ind w:left="660" w:hanging="660"/>
        <w:jc w:val="both"/>
        <w:rPr>
          <w:del w:id="10318" w:author="AbbVie19" w:date="2025-04-16T12:21:00Z"/>
        </w:rPr>
      </w:pPr>
      <w:del w:id="10319" w:author="AbbVie19" w:date="2025-04-16T12:21:00Z">
        <w:r w:rsidRPr="00BC0E7E">
          <w:delText>Keep the special container out of the sight and reach of children at all times.</w:delText>
        </w:r>
      </w:del>
    </w:p>
    <w:p w14:paraId="22625013" w14:textId="77777777" w:rsidR="00BC0E7E" w:rsidRPr="00BC0E7E" w:rsidRDefault="00944B8F" w:rsidP="00BC0E7E">
      <w:pPr>
        <w:numPr>
          <w:ilvl w:val="0"/>
          <w:numId w:val="12"/>
        </w:numPr>
        <w:tabs>
          <w:tab w:val="clear" w:pos="470"/>
          <w:tab w:val="clear" w:pos="562"/>
          <w:tab w:val="left" w:pos="660"/>
        </w:tabs>
        <w:ind w:left="660" w:hanging="660"/>
        <w:jc w:val="both"/>
        <w:rPr>
          <w:del w:id="10320" w:author="AbbVie19" w:date="2025-04-16T12:21:00Z"/>
        </w:rPr>
      </w:pPr>
      <w:del w:id="10321" w:author="AbbVie19" w:date="2025-04-16T12:21:00Z">
        <w:r w:rsidRPr="00BC0E7E">
          <w:delText>Throw away all other used items into your regular household waste.</w:delText>
        </w:r>
      </w:del>
    </w:p>
    <w:p w14:paraId="30A6B2DC" w14:textId="77777777" w:rsidR="00BC0E7E" w:rsidRPr="00BC0E7E" w:rsidRDefault="00BC0E7E" w:rsidP="00BC0E7E">
      <w:pPr>
        <w:rPr>
          <w:del w:id="10322" w:author="AbbVie19" w:date="2025-04-16T12:21:00Z"/>
          <w:szCs w:val="20"/>
        </w:rPr>
      </w:pPr>
    </w:p>
    <w:p w14:paraId="0628601E" w14:textId="77777777" w:rsidR="00BC0E7E" w:rsidRPr="00BC0E7E" w:rsidRDefault="00944B8F" w:rsidP="00BC0E7E">
      <w:pPr>
        <w:rPr>
          <w:del w:id="10323" w:author="AbbVie19" w:date="2025-04-16T12:21:00Z"/>
          <w:b/>
          <w:szCs w:val="20"/>
        </w:rPr>
      </w:pPr>
      <w:del w:id="10324" w:author="AbbVie19" w:date="2025-04-16T12:21:00Z">
        <w:r w:rsidRPr="00BC0E7E">
          <w:rPr>
            <w:b/>
            <w:szCs w:val="20"/>
          </w:rPr>
          <w:delText>If you use more Humira than you should</w:delText>
        </w:r>
      </w:del>
    </w:p>
    <w:p w14:paraId="55FC093B" w14:textId="77777777" w:rsidR="00BC0E7E" w:rsidRPr="00BC0E7E" w:rsidRDefault="00BC0E7E" w:rsidP="00BC0E7E">
      <w:pPr>
        <w:rPr>
          <w:del w:id="10325" w:author="AbbVie19" w:date="2025-04-16T12:21:00Z"/>
          <w:szCs w:val="20"/>
        </w:rPr>
      </w:pPr>
    </w:p>
    <w:p w14:paraId="40FB0E53" w14:textId="77777777" w:rsidR="00BC0E7E" w:rsidRPr="00BC0E7E" w:rsidRDefault="00944B8F" w:rsidP="00BC0E7E">
      <w:pPr>
        <w:rPr>
          <w:del w:id="10326" w:author="AbbVie19" w:date="2025-04-16T12:21:00Z"/>
          <w:b/>
        </w:rPr>
      </w:pPr>
      <w:del w:id="10327" w:author="AbbVie19" w:date="2025-04-16T12:21:00Z">
        <w:r w:rsidRPr="00BC0E7E">
          <w:delText xml:space="preserve">If you accidentally inject a larger amount of Humira liquid, or if you inject Humira more frequently than told to by your doctor, call your doctor </w:delText>
        </w:r>
        <w:r w:rsidRPr="00BC0E7E">
          <w:rPr>
            <w:szCs w:val="20"/>
          </w:rPr>
          <w:delText>and tell him/her that your child has taken more</w:delText>
        </w:r>
        <w:r w:rsidRPr="00BC0E7E">
          <w:delText xml:space="preserve">. Always take the outer carton or the vial of the medicine with you, even if it is empty. </w:delText>
        </w:r>
        <w:r w:rsidRPr="00BC0E7E">
          <w:br/>
        </w:r>
        <w:r w:rsidRPr="00BC0E7E">
          <w:br/>
        </w:r>
        <w:r w:rsidRPr="00BC0E7E">
          <w:rPr>
            <w:b/>
          </w:rPr>
          <w:delText>If you use less Humira than you should</w:delText>
        </w:r>
      </w:del>
    </w:p>
    <w:p w14:paraId="7A616396" w14:textId="77777777" w:rsidR="00BC0E7E" w:rsidRPr="00BC0E7E" w:rsidRDefault="00BC0E7E" w:rsidP="00BC0E7E">
      <w:pPr>
        <w:rPr>
          <w:del w:id="10328" w:author="AbbVie19" w:date="2025-04-16T12:21:00Z"/>
          <w:b/>
        </w:rPr>
      </w:pPr>
    </w:p>
    <w:p w14:paraId="05365EBE" w14:textId="77777777" w:rsidR="00BC0E7E" w:rsidRPr="00BC0E7E" w:rsidRDefault="00944B8F" w:rsidP="00BC0E7E">
      <w:pPr>
        <w:rPr>
          <w:del w:id="10329" w:author="AbbVie19" w:date="2025-04-16T12:21:00Z"/>
        </w:rPr>
      </w:pPr>
      <w:del w:id="10330" w:author="AbbVie19" w:date="2025-04-16T12:21:00Z">
        <w:r w:rsidRPr="00BC0E7E">
          <w:delText>If you accidentally inject a smaller amount of Humira liquid, or if you inject Humira less frequently than told to by your child’s doctor or pharmacist, you should call your child’s doctor or pharmacist and tell him/her that your child has taken less. Always take the outer carton or the vial of the medicine with you, even if it is empty.</w:delText>
        </w:r>
      </w:del>
    </w:p>
    <w:p w14:paraId="11DD4C35" w14:textId="77777777" w:rsidR="00BC0E7E" w:rsidRPr="00BC0E7E" w:rsidRDefault="00BC0E7E" w:rsidP="00BC0E7E">
      <w:pPr>
        <w:rPr>
          <w:del w:id="10331" w:author="AbbVie19" w:date="2025-04-16T12:21:00Z"/>
        </w:rPr>
      </w:pPr>
    </w:p>
    <w:p w14:paraId="71C15508" w14:textId="77777777" w:rsidR="00BC0E7E" w:rsidRPr="00BC0E7E" w:rsidRDefault="00944B8F" w:rsidP="00BC0E7E">
      <w:pPr>
        <w:keepNext/>
        <w:rPr>
          <w:del w:id="10332" w:author="AbbVie19" w:date="2025-04-16T12:21:00Z"/>
          <w:b/>
          <w:szCs w:val="20"/>
        </w:rPr>
      </w:pPr>
      <w:del w:id="10333" w:author="AbbVie19" w:date="2025-04-16T12:21:00Z">
        <w:r w:rsidRPr="00BC0E7E">
          <w:rPr>
            <w:b/>
            <w:szCs w:val="20"/>
          </w:rPr>
          <w:delText>If you forget to use Humira</w:delText>
        </w:r>
      </w:del>
    </w:p>
    <w:p w14:paraId="20E8148F" w14:textId="77777777" w:rsidR="00BC0E7E" w:rsidRPr="00BC0E7E" w:rsidRDefault="00BC0E7E" w:rsidP="00BC0E7E">
      <w:pPr>
        <w:keepNext/>
        <w:rPr>
          <w:del w:id="10334" w:author="AbbVie19" w:date="2025-04-16T12:21:00Z"/>
          <w:szCs w:val="20"/>
        </w:rPr>
      </w:pPr>
    </w:p>
    <w:p w14:paraId="02698726" w14:textId="77777777" w:rsidR="00BC0E7E" w:rsidRPr="00BC0E7E" w:rsidRDefault="00944B8F" w:rsidP="00BC0E7E">
      <w:pPr>
        <w:keepNext/>
        <w:rPr>
          <w:del w:id="10335" w:author="AbbVie19" w:date="2025-04-16T12:21:00Z"/>
        </w:rPr>
      </w:pPr>
      <w:del w:id="10336" w:author="AbbVie19" w:date="2025-04-16T12:21:00Z">
        <w:r w:rsidRPr="00BC0E7E">
          <w:delText xml:space="preserve">If you forget to give your child a Humira injection, you should inject the Humira dose as soon as you remember. Then administer your child's next dose as you would have on the originally scheduled day, had you not forgotten a dose. </w:delText>
        </w:r>
      </w:del>
    </w:p>
    <w:p w14:paraId="25725E13" w14:textId="77777777" w:rsidR="00BC0E7E" w:rsidRPr="00BC0E7E" w:rsidRDefault="00BC0E7E" w:rsidP="00BC0E7E">
      <w:pPr>
        <w:rPr>
          <w:del w:id="10337" w:author="AbbVie19" w:date="2025-04-16T12:21:00Z"/>
        </w:rPr>
      </w:pPr>
    </w:p>
    <w:p w14:paraId="2F8FCB42" w14:textId="77777777" w:rsidR="00BC0E7E" w:rsidRPr="00BC0E7E" w:rsidRDefault="00944B8F" w:rsidP="00BC0E7E">
      <w:pPr>
        <w:rPr>
          <w:del w:id="10338" w:author="AbbVie19" w:date="2025-04-16T12:21:00Z"/>
          <w:b/>
        </w:rPr>
      </w:pPr>
      <w:del w:id="10339" w:author="AbbVie19" w:date="2025-04-16T12:21:00Z">
        <w:r w:rsidRPr="00BC0E7E">
          <w:rPr>
            <w:b/>
          </w:rPr>
          <w:delText>If your child stops using Humira</w:delText>
        </w:r>
      </w:del>
    </w:p>
    <w:p w14:paraId="3A7570FA" w14:textId="77777777" w:rsidR="00BC0E7E" w:rsidRPr="00BC0E7E" w:rsidRDefault="00BC0E7E" w:rsidP="00BC0E7E">
      <w:pPr>
        <w:rPr>
          <w:del w:id="10340" w:author="AbbVie19" w:date="2025-04-16T12:21:00Z"/>
        </w:rPr>
      </w:pPr>
    </w:p>
    <w:p w14:paraId="467C0408" w14:textId="77777777" w:rsidR="00BC0E7E" w:rsidRPr="00BC0E7E" w:rsidRDefault="00944B8F" w:rsidP="00BC0E7E">
      <w:pPr>
        <w:rPr>
          <w:del w:id="10341" w:author="AbbVie19" w:date="2025-04-16T12:21:00Z"/>
        </w:rPr>
      </w:pPr>
      <w:del w:id="10342" w:author="AbbVie19" w:date="2025-04-16T12:21:00Z">
        <w:r w:rsidRPr="00BC0E7E">
          <w:delText>The decision to stop using Humira should be discussed with your child’s doctor. Your child’s symptoms may return upon discontinuation.</w:delText>
        </w:r>
      </w:del>
    </w:p>
    <w:p w14:paraId="1EB37F40" w14:textId="77777777" w:rsidR="00BC0E7E" w:rsidRPr="00BC0E7E" w:rsidRDefault="00BC0E7E" w:rsidP="00BC0E7E">
      <w:pPr>
        <w:rPr>
          <w:del w:id="10343" w:author="AbbVie19" w:date="2025-04-16T12:21:00Z"/>
          <w:sz w:val="20"/>
          <w:szCs w:val="20"/>
        </w:rPr>
      </w:pPr>
    </w:p>
    <w:p w14:paraId="672573A5" w14:textId="77777777" w:rsidR="00BC0E7E" w:rsidRPr="00BC0E7E" w:rsidRDefault="00944B8F" w:rsidP="00BC0E7E">
      <w:pPr>
        <w:rPr>
          <w:del w:id="10344" w:author="AbbVie19" w:date="2025-04-16T12:21:00Z"/>
        </w:rPr>
      </w:pPr>
      <w:del w:id="10345" w:author="AbbVie19" w:date="2025-04-16T12:21:00Z">
        <w:r w:rsidRPr="00BC0E7E">
          <w:delText>If you have any further questions on the use of this product, ask your doctor or pharmacist.</w:delText>
        </w:r>
      </w:del>
    </w:p>
    <w:p w14:paraId="22D26007" w14:textId="77777777" w:rsidR="00BC0E7E" w:rsidRPr="00BC0E7E" w:rsidRDefault="00BC0E7E" w:rsidP="00BC0E7E">
      <w:pPr>
        <w:rPr>
          <w:del w:id="10346" w:author="AbbVie19" w:date="2025-04-16T12:21:00Z"/>
        </w:rPr>
      </w:pPr>
    </w:p>
    <w:p w14:paraId="7BBAB346" w14:textId="77777777" w:rsidR="00BC0E7E" w:rsidRPr="00BC0E7E" w:rsidRDefault="00BC0E7E" w:rsidP="00BC0E7E">
      <w:pPr>
        <w:rPr>
          <w:del w:id="10347" w:author="AbbVie19" w:date="2025-04-16T12:21:00Z"/>
        </w:rPr>
      </w:pPr>
    </w:p>
    <w:p w14:paraId="447C7040" w14:textId="77777777" w:rsidR="00BC0E7E" w:rsidRPr="00BC0E7E" w:rsidRDefault="00944B8F" w:rsidP="00BC0E7E">
      <w:pPr>
        <w:outlineLvl w:val="0"/>
        <w:rPr>
          <w:del w:id="10348" w:author="AbbVie19" w:date="2025-04-16T12:21:00Z"/>
          <w:rFonts w:ascii="Times New Roman Bold" w:hAnsi="Times New Roman Bold"/>
          <w:b/>
          <w:szCs w:val="20"/>
        </w:rPr>
      </w:pPr>
      <w:del w:id="10349" w:author="AbbVie19" w:date="2025-04-16T12:21:00Z">
        <w:r w:rsidRPr="00BC0E7E">
          <w:rPr>
            <w:b/>
            <w:caps/>
            <w:szCs w:val="20"/>
          </w:rPr>
          <w:delText>4.</w:delText>
        </w:r>
        <w:r w:rsidRPr="00BC0E7E">
          <w:rPr>
            <w:b/>
            <w:caps/>
            <w:szCs w:val="20"/>
          </w:rPr>
          <w:tab/>
          <w:delText>P</w:delText>
        </w:r>
        <w:r w:rsidRPr="00BC0E7E">
          <w:rPr>
            <w:rFonts w:ascii="Times New Roman Bold" w:hAnsi="Times New Roman Bold"/>
            <w:b/>
            <w:szCs w:val="20"/>
          </w:rPr>
          <w:delText>ossible side effects</w:delText>
        </w:r>
      </w:del>
    </w:p>
    <w:p w14:paraId="74EB2FC6" w14:textId="77777777" w:rsidR="00BC0E7E" w:rsidRPr="00BC0E7E" w:rsidRDefault="00BC0E7E" w:rsidP="00BC0E7E">
      <w:pPr>
        <w:rPr>
          <w:del w:id="10350" w:author="AbbVie19" w:date="2025-04-16T12:21:00Z"/>
          <w:szCs w:val="20"/>
        </w:rPr>
      </w:pPr>
    </w:p>
    <w:p w14:paraId="7D94A7AD" w14:textId="77777777" w:rsidR="00BC0E7E" w:rsidRPr="00BC0E7E" w:rsidRDefault="00944B8F" w:rsidP="00BC0E7E">
      <w:pPr>
        <w:rPr>
          <w:del w:id="10351" w:author="AbbVie19" w:date="2025-04-16T12:21:00Z"/>
        </w:rPr>
      </w:pPr>
      <w:del w:id="10352" w:author="AbbVie19" w:date="2025-04-16T12:21:00Z">
        <w:r w:rsidRPr="00BC0E7E">
          <w:delText xml:space="preserve">Like all medicines, this medicine can cause side effects, although not everybody gets them. Most side effects are mild to moderate. However, some may be serious and require treatment. Side effects may occur at least up to 4 months after the last Humira injection.  </w:delText>
        </w:r>
      </w:del>
    </w:p>
    <w:p w14:paraId="4AF195A7" w14:textId="77777777" w:rsidR="00BC0E7E" w:rsidRPr="00BC0E7E" w:rsidRDefault="00BC0E7E" w:rsidP="00BC0E7E">
      <w:pPr>
        <w:rPr>
          <w:del w:id="10353" w:author="AbbVie19" w:date="2025-04-16T12:21:00Z"/>
        </w:rPr>
      </w:pPr>
    </w:p>
    <w:p w14:paraId="3107009C" w14:textId="77777777" w:rsidR="00BC0E7E" w:rsidRDefault="00944B8F" w:rsidP="00BC0E7E">
      <w:pPr>
        <w:rPr>
          <w:del w:id="10354" w:author="AbbVie19" w:date="2025-04-16T12:21:00Z"/>
        </w:rPr>
      </w:pPr>
      <w:del w:id="10355" w:author="AbbVie19" w:date="2025-04-16T12:21:00Z">
        <w:r w:rsidRPr="00BC0E7E">
          <w:delText>Tell your doctor immediately if you notice any of the following</w:delText>
        </w:r>
      </w:del>
    </w:p>
    <w:p w14:paraId="74AF2B73" w14:textId="77777777" w:rsidR="00F96AB6" w:rsidRPr="00BC0E7E" w:rsidRDefault="00F96AB6" w:rsidP="00BC0E7E">
      <w:pPr>
        <w:rPr>
          <w:del w:id="10356" w:author="AbbVie19" w:date="2025-04-16T12:21:00Z"/>
        </w:rPr>
      </w:pPr>
    </w:p>
    <w:p w14:paraId="7F22BF41" w14:textId="77777777" w:rsidR="00BC0E7E" w:rsidRPr="00BC0E7E" w:rsidRDefault="00944B8F" w:rsidP="00BC0E7E">
      <w:pPr>
        <w:numPr>
          <w:ilvl w:val="0"/>
          <w:numId w:val="17"/>
        </w:numPr>
        <w:tabs>
          <w:tab w:val="clear" w:pos="720"/>
        </w:tabs>
        <w:ind w:left="550" w:hanging="550"/>
        <w:rPr>
          <w:del w:id="10357" w:author="AbbVie19" w:date="2025-04-16T12:21:00Z"/>
        </w:rPr>
      </w:pPr>
      <w:del w:id="10358" w:author="AbbVie19" w:date="2025-04-16T12:21:00Z">
        <w:r>
          <w:delText>s</w:delText>
        </w:r>
        <w:r w:rsidRPr="00BC0E7E">
          <w:delText xml:space="preserve">evere rash, hives or other signs of allergic reaction; </w:delText>
        </w:r>
      </w:del>
    </w:p>
    <w:p w14:paraId="731010C7" w14:textId="77777777" w:rsidR="00BC0E7E" w:rsidRPr="00BC0E7E" w:rsidRDefault="00944B8F" w:rsidP="00BC0E7E">
      <w:pPr>
        <w:numPr>
          <w:ilvl w:val="0"/>
          <w:numId w:val="17"/>
        </w:numPr>
        <w:tabs>
          <w:tab w:val="clear" w:pos="720"/>
        </w:tabs>
        <w:ind w:left="550" w:hanging="550"/>
        <w:rPr>
          <w:del w:id="10359" w:author="AbbVie19" w:date="2025-04-16T12:21:00Z"/>
        </w:rPr>
      </w:pPr>
      <w:del w:id="10360" w:author="AbbVie19" w:date="2025-04-16T12:21:00Z">
        <w:r>
          <w:delText>s</w:delText>
        </w:r>
        <w:r w:rsidRPr="00BC0E7E">
          <w:delText>wollen face, hands, feet;</w:delText>
        </w:r>
      </w:del>
    </w:p>
    <w:p w14:paraId="4A609F59" w14:textId="77777777" w:rsidR="00BC0E7E" w:rsidRPr="00BC0E7E" w:rsidRDefault="00944B8F" w:rsidP="00BC0E7E">
      <w:pPr>
        <w:numPr>
          <w:ilvl w:val="0"/>
          <w:numId w:val="17"/>
        </w:numPr>
        <w:tabs>
          <w:tab w:val="clear" w:pos="720"/>
        </w:tabs>
        <w:ind w:left="550" w:hanging="550"/>
        <w:rPr>
          <w:del w:id="10361" w:author="AbbVie19" w:date="2025-04-16T12:21:00Z"/>
        </w:rPr>
      </w:pPr>
      <w:del w:id="10362" w:author="AbbVie19" w:date="2025-04-16T12:21:00Z">
        <w:r>
          <w:delText>t</w:delText>
        </w:r>
        <w:r w:rsidRPr="00BC0E7E">
          <w:delText>rouble breathing, swallowing;</w:delText>
        </w:r>
      </w:del>
    </w:p>
    <w:p w14:paraId="77CDF950" w14:textId="77777777" w:rsidR="00BC0E7E" w:rsidRPr="00BC0E7E" w:rsidRDefault="00944B8F" w:rsidP="00BC0E7E">
      <w:pPr>
        <w:numPr>
          <w:ilvl w:val="0"/>
          <w:numId w:val="17"/>
        </w:numPr>
        <w:tabs>
          <w:tab w:val="clear" w:pos="720"/>
        </w:tabs>
        <w:ind w:left="550" w:hanging="550"/>
        <w:rPr>
          <w:del w:id="10363" w:author="AbbVie19" w:date="2025-04-16T12:21:00Z"/>
        </w:rPr>
      </w:pPr>
      <w:del w:id="10364" w:author="AbbVie19" w:date="2025-04-16T12:21:00Z">
        <w:r>
          <w:delText>s</w:delText>
        </w:r>
        <w:r w:rsidRPr="00BC0E7E">
          <w:delText>hortness of breath with exertion or upon lying down or swelling of the feet.</w:delText>
        </w:r>
      </w:del>
    </w:p>
    <w:p w14:paraId="33E2660D" w14:textId="77777777" w:rsidR="00BC0E7E" w:rsidRPr="00BC0E7E" w:rsidRDefault="00BC0E7E" w:rsidP="00BC0E7E">
      <w:pPr>
        <w:tabs>
          <w:tab w:val="clear" w:pos="562"/>
          <w:tab w:val="left" w:pos="6225"/>
        </w:tabs>
        <w:ind w:left="567" w:hanging="567"/>
        <w:rPr>
          <w:del w:id="10365" w:author="AbbVie19" w:date="2025-04-16T12:21:00Z"/>
        </w:rPr>
      </w:pPr>
    </w:p>
    <w:p w14:paraId="0F71E175" w14:textId="77777777" w:rsidR="00BC0E7E" w:rsidRPr="00BC0E7E" w:rsidRDefault="00944B8F" w:rsidP="00BC0E7E">
      <w:pPr>
        <w:ind w:left="567" w:hanging="567"/>
        <w:rPr>
          <w:del w:id="10366" w:author="AbbVie19" w:date="2025-04-16T12:21:00Z"/>
        </w:rPr>
      </w:pPr>
      <w:del w:id="10367" w:author="AbbVie19" w:date="2025-04-16T12:21:00Z">
        <w:r w:rsidRPr="00BC0E7E">
          <w:delText>Tell your doctor as soon as possible if you notice any of the following</w:delText>
        </w:r>
      </w:del>
    </w:p>
    <w:p w14:paraId="1EE30C17" w14:textId="77777777" w:rsidR="00BC0E7E" w:rsidRPr="00BC0E7E" w:rsidRDefault="00BC0E7E" w:rsidP="00BC0E7E">
      <w:pPr>
        <w:ind w:left="567" w:hanging="567"/>
        <w:rPr>
          <w:del w:id="10368" w:author="AbbVie19" w:date="2025-04-16T12:21:00Z"/>
        </w:rPr>
      </w:pPr>
    </w:p>
    <w:p w14:paraId="075385E2" w14:textId="77777777" w:rsidR="00BC0E7E" w:rsidRPr="00F96AB6" w:rsidRDefault="00944B8F" w:rsidP="001B6DEE">
      <w:pPr>
        <w:pStyle w:val="ListParagraph"/>
        <w:numPr>
          <w:ilvl w:val="0"/>
          <w:numId w:val="151"/>
        </w:numPr>
        <w:tabs>
          <w:tab w:val="clear" w:pos="562"/>
        </w:tabs>
        <w:ind w:left="567" w:hanging="567"/>
        <w:rPr>
          <w:del w:id="10369" w:author="AbbVie19" w:date="2025-04-16T12:21:00Z"/>
          <w:szCs w:val="20"/>
        </w:rPr>
      </w:pPr>
      <w:del w:id="10370" w:author="AbbVie19" w:date="2025-04-16T12:21:00Z">
        <w:r>
          <w:rPr>
            <w:szCs w:val="20"/>
          </w:rPr>
          <w:delText>s</w:delText>
        </w:r>
        <w:r w:rsidRPr="00F96AB6">
          <w:rPr>
            <w:szCs w:val="20"/>
          </w:rPr>
          <w:delText>igns of infection such as fever, feeling sick, wounds, dental problems, burning on urination;</w:delText>
        </w:r>
      </w:del>
    </w:p>
    <w:p w14:paraId="2A43D312" w14:textId="77777777" w:rsidR="00BC0E7E" w:rsidRPr="00BC0E7E" w:rsidRDefault="00944B8F" w:rsidP="00BC0E7E">
      <w:pPr>
        <w:numPr>
          <w:ilvl w:val="0"/>
          <w:numId w:val="17"/>
        </w:numPr>
        <w:tabs>
          <w:tab w:val="clear" w:pos="720"/>
        </w:tabs>
        <w:ind w:left="550" w:hanging="550"/>
        <w:rPr>
          <w:del w:id="10371" w:author="AbbVie19" w:date="2025-04-16T12:21:00Z"/>
        </w:rPr>
      </w:pPr>
      <w:del w:id="10372" w:author="AbbVie19" w:date="2025-04-16T12:21:00Z">
        <w:r>
          <w:delText>f</w:delText>
        </w:r>
        <w:r w:rsidRPr="00BC0E7E">
          <w:delText>eeling weak or tired;</w:delText>
        </w:r>
      </w:del>
    </w:p>
    <w:p w14:paraId="07051436" w14:textId="77777777" w:rsidR="00BC0E7E" w:rsidRPr="00BC0E7E" w:rsidRDefault="00944B8F" w:rsidP="00BC0E7E">
      <w:pPr>
        <w:numPr>
          <w:ilvl w:val="0"/>
          <w:numId w:val="17"/>
        </w:numPr>
        <w:tabs>
          <w:tab w:val="clear" w:pos="720"/>
        </w:tabs>
        <w:ind w:left="550" w:hanging="550"/>
        <w:rPr>
          <w:del w:id="10373" w:author="AbbVie19" w:date="2025-04-16T12:21:00Z"/>
        </w:rPr>
      </w:pPr>
      <w:del w:id="10374" w:author="AbbVie19" w:date="2025-04-16T12:21:00Z">
        <w:r>
          <w:delText>c</w:delText>
        </w:r>
        <w:r w:rsidRPr="00BC0E7E">
          <w:delText>oughing;</w:delText>
        </w:r>
      </w:del>
    </w:p>
    <w:p w14:paraId="68E517B5" w14:textId="77777777" w:rsidR="00BC0E7E" w:rsidRPr="00BC0E7E" w:rsidRDefault="00944B8F" w:rsidP="00BC0E7E">
      <w:pPr>
        <w:numPr>
          <w:ilvl w:val="0"/>
          <w:numId w:val="17"/>
        </w:numPr>
        <w:tabs>
          <w:tab w:val="clear" w:pos="720"/>
        </w:tabs>
        <w:ind w:left="550" w:hanging="550"/>
        <w:rPr>
          <w:del w:id="10375" w:author="AbbVie19" w:date="2025-04-16T12:21:00Z"/>
        </w:rPr>
      </w:pPr>
      <w:del w:id="10376" w:author="AbbVie19" w:date="2025-04-16T12:21:00Z">
        <w:r>
          <w:delText>t</w:delText>
        </w:r>
        <w:r w:rsidRPr="00BC0E7E">
          <w:delText>ingling;</w:delText>
        </w:r>
      </w:del>
    </w:p>
    <w:p w14:paraId="37CB6E85" w14:textId="77777777" w:rsidR="00BC0E7E" w:rsidRPr="00BC0E7E" w:rsidRDefault="00944B8F" w:rsidP="00BC0E7E">
      <w:pPr>
        <w:numPr>
          <w:ilvl w:val="0"/>
          <w:numId w:val="17"/>
        </w:numPr>
        <w:tabs>
          <w:tab w:val="clear" w:pos="720"/>
        </w:tabs>
        <w:ind w:left="550" w:hanging="550"/>
        <w:rPr>
          <w:del w:id="10377" w:author="AbbVie19" w:date="2025-04-16T12:21:00Z"/>
        </w:rPr>
      </w:pPr>
      <w:del w:id="10378" w:author="AbbVie19" w:date="2025-04-16T12:21:00Z">
        <w:r>
          <w:delText>n</w:delText>
        </w:r>
        <w:r w:rsidRPr="00BC0E7E">
          <w:delText>umbness;</w:delText>
        </w:r>
      </w:del>
    </w:p>
    <w:p w14:paraId="125BB026" w14:textId="77777777" w:rsidR="00BC0E7E" w:rsidRPr="00BC0E7E" w:rsidRDefault="00944B8F" w:rsidP="00BC0E7E">
      <w:pPr>
        <w:numPr>
          <w:ilvl w:val="0"/>
          <w:numId w:val="17"/>
        </w:numPr>
        <w:tabs>
          <w:tab w:val="clear" w:pos="720"/>
        </w:tabs>
        <w:ind w:left="550" w:hanging="550"/>
        <w:rPr>
          <w:del w:id="10379" w:author="AbbVie19" w:date="2025-04-16T12:21:00Z"/>
        </w:rPr>
      </w:pPr>
      <w:del w:id="10380" w:author="AbbVie19" w:date="2025-04-16T12:21:00Z">
        <w:r>
          <w:delText>d</w:delText>
        </w:r>
        <w:r w:rsidRPr="00BC0E7E">
          <w:delText>ouble vision;</w:delText>
        </w:r>
      </w:del>
    </w:p>
    <w:p w14:paraId="62814E63" w14:textId="77777777" w:rsidR="00BC0E7E" w:rsidRPr="00BC0E7E" w:rsidRDefault="00944B8F" w:rsidP="00BC0E7E">
      <w:pPr>
        <w:numPr>
          <w:ilvl w:val="0"/>
          <w:numId w:val="17"/>
        </w:numPr>
        <w:tabs>
          <w:tab w:val="clear" w:pos="720"/>
        </w:tabs>
        <w:ind w:left="550" w:hanging="550"/>
        <w:rPr>
          <w:del w:id="10381" w:author="AbbVie19" w:date="2025-04-16T12:21:00Z"/>
        </w:rPr>
      </w:pPr>
      <w:del w:id="10382" w:author="AbbVie19" w:date="2025-04-16T12:21:00Z">
        <w:r>
          <w:delText>a</w:delText>
        </w:r>
        <w:r w:rsidRPr="00BC0E7E">
          <w:delText>rm or leg weakness;</w:delText>
        </w:r>
      </w:del>
    </w:p>
    <w:p w14:paraId="15A908BB" w14:textId="77777777" w:rsidR="00BC0E7E" w:rsidRPr="00BC0E7E" w:rsidRDefault="00944B8F" w:rsidP="00BC0E7E">
      <w:pPr>
        <w:numPr>
          <w:ilvl w:val="0"/>
          <w:numId w:val="17"/>
        </w:numPr>
        <w:tabs>
          <w:tab w:val="clear" w:pos="720"/>
        </w:tabs>
        <w:ind w:left="550" w:hanging="550"/>
        <w:rPr>
          <w:del w:id="10383" w:author="AbbVie19" w:date="2025-04-16T12:21:00Z"/>
        </w:rPr>
      </w:pPr>
      <w:del w:id="10384" w:author="AbbVie19" w:date="2025-04-16T12:21:00Z">
        <w:r>
          <w:delText>a</w:delText>
        </w:r>
        <w:r w:rsidRPr="00BC0E7E">
          <w:delText xml:space="preserve"> bump or open sore that doesn't heal;</w:delText>
        </w:r>
      </w:del>
    </w:p>
    <w:p w14:paraId="10C09C78" w14:textId="77777777" w:rsidR="00BC0E7E" w:rsidRPr="00BC0E7E" w:rsidRDefault="00944B8F" w:rsidP="00BC0E7E">
      <w:pPr>
        <w:numPr>
          <w:ilvl w:val="0"/>
          <w:numId w:val="17"/>
        </w:numPr>
        <w:tabs>
          <w:tab w:val="clear" w:pos="720"/>
        </w:tabs>
        <w:ind w:left="550" w:hanging="550"/>
        <w:rPr>
          <w:del w:id="10385" w:author="AbbVie19" w:date="2025-04-16T12:21:00Z"/>
        </w:rPr>
      </w:pPr>
      <w:del w:id="10386" w:author="AbbVie19" w:date="2025-04-16T12:21:00Z">
        <w:r>
          <w:delText>s</w:delText>
        </w:r>
        <w:r w:rsidRPr="00BC0E7E">
          <w:delText>igns and symptoms suggestive of blood disorders such as persistent fever, bruising, bleeding, paleness.</w:delText>
        </w:r>
      </w:del>
    </w:p>
    <w:p w14:paraId="483F535A" w14:textId="77777777" w:rsidR="00BC0E7E" w:rsidRPr="00BC0E7E" w:rsidRDefault="00BC0E7E" w:rsidP="00BC0E7E">
      <w:pPr>
        <w:rPr>
          <w:del w:id="10387" w:author="AbbVie19" w:date="2025-04-16T12:21:00Z"/>
          <w:szCs w:val="20"/>
        </w:rPr>
      </w:pPr>
    </w:p>
    <w:p w14:paraId="406D8088" w14:textId="77777777" w:rsidR="00BC0E7E" w:rsidRPr="00BC0E7E" w:rsidRDefault="00944B8F" w:rsidP="00BC0E7E">
      <w:pPr>
        <w:rPr>
          <w:del w:id="10388" w:author="AbbVie19" w:date="2025-04-16T12:21:00Z"/>
        </w:rPr>
      </w:pPr>
      <w:del w:id="10389" w:author="AbbVie19" w:date="2025-04-16T12:21:00Z">
        <w:r w:rsidRPr="00BC0E7E">
          <w:delText>The symptoms described above can be signs of the below listed side effects, which have been observed with Humira</w:delText>
        </w:r>
        <w:r w:rsidR="00782746">
          <w:delText>.</w:delText>
        </w:r>
      </w:del>
    </w:p>
    <w:p w14:paraId="43E8BD45" w14:textId="77777777" w:rsidR="00BC0E7E" w:rsidRPr="00BC0E7E" w:rsidRDefault="00BC0E7E" w:rsidP="00BC0E7E">
      <w:pPr>
        <w:rPr>
          <w:del w:id="10390" w:author="AbbVie19" w:date="2025-04-16T12:21:00Z"/>
        </w:rPr>
      </w:pPr>
    </w:p>
    <w:p w14:paraId="52B1CE11" w14:textId="77777777" w:rsidR="00BC0E7E" w:rsidRPr="00BC0E7E" w:rsidRDefault="00944B8F" w:rsidP="00BC0E7E">
      <w:pPr>
        <w:rPr>
          <w:del w:id="10391" w:author="AbbVie19" w:date="2025-04-16T12:21:00Z"/>
        </w:rPr>
      </w:pPr>
      <w:del w:id="10392" w:author="AbbVie19" w:date="2025-04-16T12:21:00Z">
        <w:r w:rsidRPr="00BC0E7E">
          <w:delText>Very common (may affect more than 1 in 10 people)</w:delText>
        </w:r>
      </w:del>
    </w:p>
    <w:p w14:paraId="0A3B3F64" w14:textId="77777777" w:rsidR="00BC0E7E" w:rsidRPr="00BC0E7E" w:rsidRDefault="00BC0E7E" w:rsidP="00BC0E7E">
      <w:pPr>
        <w:rPr>
          <w:del w:id="10393" w:author="AbbVie19" w:date="2025-04-16T12:21:00Z"/>
        </w:rPr>
      </w:pPr>
    </w:p>
    <w:p w14:paraId="1DFB914F" w14:textId="77777777" w:rsidR="00BC0E7E" w:rsidRPr="00BC0E7E" w:rsidRDefault="00944B8F" w:rsidP="00BC0E7E">
      <w:pPr>
        <w:numPr>
          <w:ilvl w:val="0"/>
          <w:numId w:val="17"/>
        </w:numPr>
        <w:tabs>
          <w:tab w:val="clear" w:pos="720"/>
        </w:tabs>
        <w:ind w:left="550" w:hanging="550"/>
        <w:rPr>
          <w:del w:id="10394" w:author="AbbVie19" w:date="2025-04-16T12:21:00Z"/>
        </w:rPr>
      </w:pPr>
      <w:del w:id="10395" w:author="AbbVie19" w:date="2025-04-16T12:21:00Z">
        <w:r w:rsidRPr="00BC0E7E">
          <w:delText>injection site reactions (including pain, swelling, redness or itching);</w:delText>
        </w:r>
      </w:del>
    </w:p>
    <w:p w14:paraId="57023D18" w14:textId="77777777" w:rsidR="00BC0E7E" w:rsidRPr="00BC0E7E" w:rsidRDefault="00944B8F" w:rsidP="00BC0E7E">
      <w:pPr>
        <w:numPr>
          <w:ilvl w:val="0"/>
          <w:numId w:val="17"/>
        </w:numPr>
        <w:tabs>
          <w:tab w:val="clear" w:pos="562"/>
          <w:tab w:val="clear" w:pos="720"/>
        </w:tabs>
        <w:ind w:left="588" w:hanging="602"/>
        <w:rPr>
          <w:del w:id="10396" w:author="AbbVie19" w:date="2025-04-16T12:21:00Z"/>
        </w:rPr>
      </w:pPr>
      <w:del w:id="10397" w:author="AbbVie19" w:date="2025-04-16T12:21:00Z">
        <w:r w:rsidRPr="00BC0E7E">
          <w:delText>respiratory tract infections (including cold, runny nose, sinus infection, pneumonia);</w:delText>
        </w:r>
      </w:del>
    </w:p>
    <w:p w14:paraId="0BEEA0CE" w14:textId="77777777" w:rsidR="00BC0E7E" w:rsidRPr="00BC0E7E" w:rsidRDefault="00944B8F" w:rsidP="00BC0E7E">
      <w:pPr>
        <w:numPr>
          <w:ilvl w:val="0"/>
          <w:numId w:val="17"/>
        </w:numPr>
        <w:tabs>
          <w:tab w:val="clear" w:pos="562"/>
          <w:tab w:val="clear" w:pos="720"/>
        </w:tabs>
        <w:ind w:left="588" w:hanging="602"/>
        <w:rPr>
          <w:del w:id="10398" w:author="AbbVie19" w:date="2025-04-16T12:21:00Z"/>
        </w:rPr>
      </w:pPr>
      <w:del w:id="10399" w:author="AbbVie19" w:date="2025-04-16T12:21:00Z">
        <w:r w:rsidRPr="00BC0E7E">
          <w:delText>headache;</w:delText>
        </w:r>
      </w:del>
    </w:p>
    <w:p w14:paraId="5C9BC591" w14:textId="77777777" w:rsidR="00BC0E7E" w:rsidRPr="00BC0E7E" w:rsidRDefault="00944B8F" w:rsidP="00BC0E7E">
      <w:pPr>
        <w:numPr>
          <w:ilvl w:val="0"/>
          <w:numId w:val="17"/>
        </w:numPr>
        <w:tabs>
          <w:tab w:val="clear" w:pos="562"/>
          <w:tab w:val="clear" w:pos="720"/>
        </w:tabs>
        <w:ind w:left="588" w:hanging="602"/>
        <w:rPr>
          <w:del w:id="10400" w:author="AbbVie19" w:date="2025-04-16T12:21:00Z"/>
        </w:rPr>
      </w:pPr>
      <w:del w:id="10401" w:author="AbbVie19" w:date="2025-04-16T12:21:00Z">
        <w:r w:rsidRPr="00BC0E7E">
          <w:delText>abdominal pain;</w:delText>
        </w:r>
      </w:del>
    </w:p>
    <w:p w14:paraId="5EF7377F" w14:textId="77777777" w:rsidR="00BC0E7E" w:rsidRPr="00BC0E7E" w:rsidRDefault="00944B8F" w:rsidP="00BC0E7E">
      <w:pPr>
        <w:numPr>
          <w:ilvl w:val="0"/>
          <w:numId w:val="17"/>
        </w:numPr>
        <w:tabs>
          <w:tab w:val="clear" w:pos="562"/>
          <w:tab w:val="clear" w:pos="720"/>
        </w:tabs>
        <w:ind w:left="588" w:hanging="602"/>
        <w:rPr>
          <w:del w:id="10402" w:author="AbbVie19" w:date="2025-04-16T12:21:00Z"/>
        </w:rPr>
      </w:pPr>
      <w:del w:id="10403" w:author="AbbVie19" w:date="2025-04-16T12:21:00Z">
        <w:r w:rsidRPr="00BC0E7E">
          <w:delText>nausea and vomiting;</w:delText>
        </w:r>
      </w:del>
    </w:p>
    <w:p w14:paraId="4D18EB96" w14:textId="77777777" w:rsidR="00BC0E7E" w:rsidRPr="00BC0E7E" w:rsidRDefault="00944B8F" w:rsidP="00BC0E7E">
      <w:pPr>
        <w:numPr>
          <w:ilvl w:val="0"/>
          <w:numId w:val="17"/>
        </w:numPr>
        <w:tabs>
          <w:tab w:val="clear" w:pos="562"/>
          <w:tab w:val="clear" w:pos="720"/>
        </w:tabs>
        <w:ind w:left="588" w:hanging="602"/>
        <w:rPr>
          <w:del w:id="10404" w:author="AbbVie19" w:date="2025-04-16T12:21:00Z"/>
        </w:rPr>
      </w:pPr>
      <w:del w:id="10405" w:author="AbbVie19" w:date="2025-04-16T12:21:00Z">
        <w:r w:rsidRPr="00BC0E7E">
          <w:delText>rash;</w:delText>
        </w:r>
      </w:del>
    </w:p>
    <w:p w14:paraId="5012BB46" w14:textId="77777777" w:rsidR="00BC0E7E" w:rsidRDefault="00944B8F" w:rsidP="00BC0E7E">
      <w:pPr>
        <w:numPr>
          <w:ilvl w:val="0"/>
          <w:numId w:val="17"/>
        </w:numPr>
        <w:tabs>
          <w:tab w:val="clear" w:pos="562"/>
          <w:tab w:val="clear" w:pos="720"/>
        </w:tabs>
        <w:ind w:left="588" w:hanging="602"/>
        <w:rPr>
          <w:del w:id="10406" w:author="AbbVie19" w:date="2025-04-16T12:21:00Z"/>
        </w:rPr>
      </w:pPr>
      <w:del w:id="10407" w:author="AbbVie19" w:date="2025-04-16T12:21:00Z">
        <w:r w:rsidRPr="00BC0E7E">
          <w:lastRenderedPageBreak/>
          <w:delText>musculoskeletal pain.</w:delText>
        </w:r>
      </w:del>
    </w:p>
    <w:p w14:paraId="79A747D7" w14:textId="77777777" w:rsidR="00C568D0" w:rsidRPr="00BC0E7E" w:rsidRDefault="00C568D0" w:rsidP="00C568D0">
      <w:pPr>
        <w:tabs>
          <w:tab w:val="clear" w:pos="562"/>
        </w:tabs>
        <w:ind w:left="588"/>
        <w:rPr>
          <w:del w:id="10408" w:author="AbbVie19" w:date="2025-04-16T12:21:00Z"/>
        </w:rPr>
      </w:pPr>
    </w:p>
    <w:p w14:paraId="217BF406" w14:textId="77777777" w:rsidR="00BC0E7E" w:rsidRPr="00BC0E7E" w:rsidRDefault="00944B8F" w:rsidP="00CF03F5">
      <w:pPr>
        <w:rPr>
          <w:del w:id="10409" w:author="AbbVie19" w:date="2025-04-16T12:21:00Z"/>
        </w:rPr>
      </w:pPr>
      <w:del w:id="10410" w:author="AbbVie19" w:date="2025-04-16T12:21:00Z">
        <w:r w:rsidRPr="00BC0E7E">
          <w:delText xml:space="preserve">Common (may affect up to 1 in 10 people) </w:delText>
        </w:r>
      </w:del>
    </w:p>
    <w:p w14:paraId="2B4D59D4" w14:textId="77777777" w:rsidR="00BC0E7E" w:rsidRPr="00BC0E7E" w:rsidRDefault="00BC0E7E" w:rsidP="00BC0E7E">
      <w:pPr>
        <w:keepNext/>
        <w:rPr>
          <w:del w:id="10411" w:author="AbbVie19" w:date="2025-04-16T12:21:00Z"/>
        </w:rPr>
      </w:pPr>
    </w:p>
    <w:p w14:paraId="517BF713" w14:textId="77777777" w:rsidR="00BC0E7E" w:rsidRPr="00BC0E7E" w:rsidRDefault="00944B8F" w:rsidP="00BC0E7E">
      <w:pPr>
        <w:keepNext/>
        <w:numPr>
          <w:ilvl w:val="0"/>
          <w:numId w:val="17"/>
        </w:numPr>
        <w:tabs>
          <w:tab w:val="clear" w:pos="562"/>
          <w:tab w:val="clear" w:pos="720"/>
        </w:tabs>
        <w:ind w:left="550" w:hanging="550"/>
        <w:rPr>
          <w:del w:id="10412" w:author="AbbVie19" w:date="2025-04-16T12:21:00Z"/>
        </w:rPr>
      </w:pPr>
      <w:del w:id="10413" w:author="AbbVie19" w:date="2025-04-16T12:21:00Z">
        <w:r>
          <w:delText xml:space="preserve">serious </w:delText>
        </w:r>
        <w:r w:rsidRPr="00BC0E7E">
          <w:delText>infections (including blood poisoning and influenza);</w:delText>
        </w:r>
      </w:del>
    </w:p>
    <w:p w14:paraId="1BC284AC" w14:textId="77777777" w:rsidR="003068F4" w:rsidRDefault="00944B8F" w:rsidP="00CF03F5">
      <w:pPr>
        <w:numPr>
          <w:ilvl w:val="0"/>
          <w:numId w:val="17"/>
        </w:numPr>
        <w:tabs>
          <w:tab w:val="clear" w:pos="562"/>
          <w:tab w:val="clear" w:pos="720"/>
        </w:tabs>
        <w:ind w:left="547" w:hanging="547"/>
        <w:rPr>
          <w:del w:id="10414" w:author="AbbVie19" w:date="2025-04-16T12:21:00Z"/>
        </w:rPr>
      </w:pPr>
      <w:del w:id="10415" w:author="AbbVie19" w:date="2025-04-16T12:21:00Z">
        <w:r>
          <w:delText>intestinal infections</w:delText>
        </w:r>
        <w:r w:rsidR="00D74D73">
          <w:delText xml:space="preserve"> (including gastroenteritis)</w:delText>
        </w:r>
        <w:r w:rsidR="007024DE">
          <w:delText>;</w:delText>
        </w:r>
      </w:del>
    </w:p>
    <w:p w14:paraId="10687C20" w14:textId="77777777" w:rsidR="00BC0E7E" w:rsidRPr="00BC0E7E" w:rsidRDefault="00944B8F" w:rsidP="00CF03F5">
      <w:pPr>
        <w:numPr>
          <w:ilvl w:val="0"/>
          <w:numId w:val="17"/>
        </w:numPr>
        <w:tabs>
          <w:tab w:val="clear" w:pos="562"/>
          <w:tab w:val="clear" w:pos="720"/>
        </w:tabs>
        <w:ind w:left="547" w:hanging="547"/>
        <w:rPr>
          <w:del w:id="10416" w:author="AbbVie19" w:date="2025-04-16T12:21:00Z"/>
        </w:rPr>
      </w:pPr>
      <w:del w:id="10417" w:author="AbbVie19" w:date="2025-04-16T12:21:00Z">
        <w:r w:rsidRPr="00BC0E7E">
          <w:delText>skin infections (including cellulitis and shingles);</w:delText>
        </w:r>
      </w:del>
    </w:p>
    <w:p w14:paraId="136E8F99" w14:textId="77777777" w:rsidR="00BC0E7E" w:rsidRPr="00BC0E7E" w:rsidRDefault="00944B8F" w:rsidP="00CF03F5">
      <w:pPr>
        <w:numPr>
          <w:ilvl w:val="0"/>
          <w:numId w:val="17"/>
        </w:numPr>
        <w:tabs>
          <w:tab w:val="clear" w:pos="562"/>
          <w:tab w:val="clear" w:pos="720"/>
        </w:tabs>
        <w:ind w:left="547" w:hanging="547"/>
        <w:rPr>
          <w:del w:id="10418" w:author="AbbVie19" w:date="2025-04-16T12:21:00Z"/>
        </w:rPr>
      </w:pPr>
      <w:del w:id="10419" w:author="AbbVie19" w:date="2025-04-16T12:21:00Z">
        <w:r w:rsidRPr="00BC0E7E">
          <w:delText>ear infections;</w:delText>
        </w:r>
      </w:del>
    </w:p>
    <w:p w14:paraId="1387AE5C" w14:textId="77777777" w:rsidR="00BC0E7E" w:rsidRPr="00BC0E7E" w:rsidRDefault="00944B8F" w:rsidP="00CF03F5">
      <w:pPr>
        <w:numPr>
          <w:ilvl w:val="0"/>
          <w:numId w:val="17"/>
        </w:numPr>
        <w:tabs>
          <w:tab w:val="clear" w:pos="562"/>
          <w:tab w:val="clear" w:pos="720"/>
        </w:tabs>
        <w:ind w:left="547" w:hanging="547"/>
        <w:rPr>
          <w:del w:id="10420" w:author="AbbVie19" w:date="2025-04-16T12:21:00Z"/>
        </w:rPr>
      </w:pPr>
      <w:del w:id="10421" w:author="AbbVie19" w:date="2025-04-16T12:21:00Z">
        <w:r w:rsidRPr="00BC0E7E">
          <w:delText>oral infections (including tooth infections and cold sores);</w:delText>
        </w:r>
      </w:del>
    </w:p>
    <w:p w14:paraId="5738C7BA" w14:textId="77777777" w:rsidR="00BC0E7E" w:rsidRPr="00BC0E7E" w:rsidRDefault="00944B8F" w:rsidP="00CF03F5">
      <w:pPr>
        <w:numPr>
          <w:ilvl w:val="0"/>
          <w:numId w:val="17"/>
        </w:numPr>
        <w:tabs>
          <w:tab w:val="clear" w:pos="562"/>
          <w:tab w:val="clear" w:pos="720"/>
        </w:tabs>
        <w:ind w:left="547" w:hanging="547"/>
        <w:rPr>
          <w:del w:id="10422" w:author="AbbVie19" w:date="2025-04-16T12:21:00Z"/>
        </w:rPr>
      </w:pPr>
      <w:del w:id="10423" w:author="AbbVie19" w:date="2025-04-16T12:21:00Z">
        <w:r w:rsidRPr="00BC0E7E">
          <w:delText>reproductive tract infections;</w:delText>
        </w:r>
      </w:del>
    </w:p>
    <w:p w14:paraId="38530F46" w14:textId="77777777" w:rsidR="00BC0E7E" w:rsidRPr="00BC0E7E" w:rsidRDefault="00944B8F" w:rsidP="00CF03F5">
      <w:pPr>
        <w:numPr>
          <w:ilvl w:val="0"/>
          <w:numId w:val="17"/>
        </w:numPr>
        <w:tabs>
          <w:tab w:val="clear" w:pos="562"/>
          <w:tab w:val="clear" w:pos="720"/>
          <w:tab w:val="num" w:pos="550"/>
        </w:tabs>
        <w:ind w:left="547" w:hanging="547"/>
        <w:rPr>
          <w:del w:id="10424" w:author="AbbVie19" w:date="2025-04-16T12:21:00Z"/>
        </w:rPr>
      </w:pPr>
      <w:del w:id="10425" w:author="AbbVie19" w:date="2025-04-16T12:21:00Z">
        <w:r w:rsidRPr="00BC0E7E">
          <w:delText>urinary tract infection;</w:delText>
        </w:r>
      </w:del>
    </w:p>
    <w:p w14:paraId="657DCF10" w14:textId="77777777" w:rsidR="00BC0E7E" w:rsidRPr="00BC0E7E" w:rsidRDefault="00944B8F" w:rsidP="00CF03F5">
      <w:pPr>
        <w:numPr>
          <w:ilvl w:val="0"/>
          <w:numId w:val="17"/>
        </w:numPr>
        <w:tabs>
          <w:tab w:val="clear" w:pos="562"/>
          <w:tab w:val="clear" w:pos="720"/>
          <w:tab w:val="num" w:pos="550"/>
        </w:tabs>
        <w:ind w:left="547" w:hanging="547"/>
        <w:rPr>
          <w:del w:id="10426" w:author="AbbVie19" w:date="2025-04-16T12:21:00Z"/>
        </w:rPr>
      </w:pPr>
      <w:del w:id="10427" w:author="AbbVie19" w:date="2025-04-16T12:21:00Z">
        <w:r w:rsidRPr="00BC0E7E">
          <w:delText>fungal infections;</w:delText>
        </w:r>
      </w:del>
    </w:p>
    <w:p w14:paraId="267D8277" w14:textId="77777777" w:rsidR="00BC0E7E" w:rsidRPr="00BC0E7E" w:rsidRDefault="00944B8F" w:rsidP="00CF03F5">
      <w:pPr>
        <w:numPr>
          <w:ilvl w:val="0"/>
          <w:numId w:val="17"/>
        </w:numPr>
        <w:tabs>
          <w:tab w:val="clear" w:pos="562"/>
          <w:tab w:val="clear" w:pos="720"/>
          <w:tab w:val="num" w:pos="550"/>
        </w:tabs>
        <w:ind w:left="547" w:hanging="547"/>
        <w:rPr>
          <w:del w:id="10428" w:author="AbbVie19" w:date="2025-04-16T12:21:00Z"/>
        </w:rPr>
      </w:pPr>
      <w:del w:id="10429" w:author="AbbVie19" w:date="2025-04-16T12:21:00Z">
        <w:r w:rsidRPr="00BC0E7E">
          <w:delText>joint infections,</w:delText>
        </w:r>
      </w:del>
    </w:p>
    <w:p w14:paraId="3802C70E" w14:textId="77777777" w:rsidR="00BC0E7E" w:rsidRPr="00BC0E7E" w:rsidRDefault="00944B8F" w:rsidP="00CF03F5">
      <w:pPr>
        <w:numPr>
          <w:ilvl w:val="0"/>
          <w:numId w:val="17"/>
        </w:numPr>
        <w:tabs>
          <w:tab w:val="clear" w:pos="562"/>
          <w:tab w:val="clear" w:pos="720"/>
        </w:tabs>
        <w:ind w:left="547" w:hanging="547"/>
        <w:rPr>
          <w:del w:id="10430" w:author="AbbVie19" w:date="2025-04-16T12:21:00Z"/>
        </w:rPr>
      </w:pPr>
      <w:del w:id="10431" w:author="AbbVie19" w:date="2025-04-16T12:21:00Z">
        <w:r w:rsidRPr="00BC0E7E">
          <w:delText>benign tumours;</w:delText>
        </w:r>
      </w:del>
    </w:p>
    <w:p w14:paraId="5D9B23EC" w14:textId="77777777" w:rsidR="00BC0E7E" w:rsidRPr="00BC0E7E" w:rsidRDefault="00944B8F" w:rsidP="00CF03F5">
      <w:pPr>
        <w:numPr>
          <w:ilvl w:val="0"/>
          <w:numId w:val="17"/>
        </w:numPr>
        <w:tabs>
          <w:tab w:val="clear" w:pos="562"/>
          <w:tab w:val="clear" w:pos="720"/>
        </w:tabs>
        <w:ind w:left="547" w:hanging="547"/>
        <w:rPr>
          <w:del w:id="10432" w:author="AbbVie19" w:date="2025-04-16T12:21:00Z"/>
        </w:rPr>
      </w:pPr>
      <w:del w:id="10433" w:author="AbbVie19" w:date="2025-04-16T12:21:00Z">
        <w:r w:rsidRPr="00BC0E7E">
          <w:delText>skin cancer;</w:delText>
        </w:r>
      </w:del>
    </w:p>
    <w:p w14:paraId="23BE0BA6" w14:textId="77777777" w:rsidR="00BC0E7E" w:rsidRPr="00BC0E7E" w:rsidRDefault="00944B8F" w:rsidP="00CF03F5">
      <w:pPr>
        <w:numPr>
          <w:ilvl w:val="0"/>
          <w:numId w:val="17"/>
        </w:numPr>
        <w:tabs>
          <w:tab w:val="clear" w:pos="562"/>
          <w:tab w:val="clear" w:pos="720"/>
        </w:tabs>
        <w:ind w:left="547" w:hanging="547"/>
        <w:rPr>
          <w:del w:id="10434" w:author="AbbVie19" w:date="2025-04-16T12:21:00Z"/>
        </w:rPr>
      </w:pPr>
      <w:del w:id="10435" w:author="AbbVie19" w:date="2025-04-16T12:21:00Z">
        <w:r w:rsidRPr="00BC0E7E">
          <w:delText>allergic reactions (including seasonal allergy);</w:delText>
        </w:r>
      </w:del>
    </w:p>
    <w:p w14:paraId="4CD19CE5" w14:textId="77777777" w:rsidR="00BC0E7E" w:rsidRPr="00BC0E7E" w:rsidRDefault="00944B8F" w:rsidP="00CF03F5">
      <w:pPr>
        <w:numPr>
          <w:ilvl w:val="0"/>
          <w:numId w:val="17"/>
        </w:numPr>
        <w:tabs>
          <w:tab w:val="clear" w:pos="562"/>
          <w:tab w:val="clear" w:pos="720"/>
        </w:tabs>
        <w:ind w:left="547" w:hanging="547"/>
        <w:rPr>
          <w:del w:id="10436" w:author="AbbVie19" w:date="2025-04-16T12:21:00Z"/>
        </w:rPr>
      </w:pPr>
      <w:del w:id="10437" w:author="AbbVie19" w:date="2025-04-16T12:21:00Z">
        <w:r w:rsidRPr="00BC0E7E">
          <w:delText>dehydration;</w:delText>
        </w:r>
      </w:del>
    </w:p>
    <w:p w14:paraId="207CE2DF" w14:textId="77777777" w:rsidR="00BC0E7E" w:rsidRPr="00BC0E7E" w:rsidRDefault="00944B8F" w:rsidP="00CF03F5">
      <w:pPr>
        <w:numPr>
          <w:ilvl w:val="0"/>
          <w:numId w:val="17"/>
        </w:numPr>
        <w:tabs>
          <w:tab w:val="clear" w:pos="562"/>
          <w:tab w:val="clear" w:pos="720"/>
        </w:tabs>
        <w:ind w:left="547" w:hanging="547"/>
        <w:rPr>
          <w:del w:id="10438" w:author="AbbVie19" w:date="2025-04-16T12:21:00Z"/>
        </w:rPr>
      </w:pPr>
      <w:del w:id="10439" w:author="AbbVie19" w:date="2025-04-16T12:21:00Z">
        <w:r w:rsidRPr="00BC0E7E">
          <w:delText>mood swings (including depression);</w:delText>
        </w:r>
      </w:del>
    </w:p>
    <w:p w14:paraId="72184B24" w14:textId="77777777" w:rsidR="00BC0E7E" w:rsidRPr="00BC0E7E" w:rsidRDefault="00944B8F" w:rsidP="00CF03F5">
      <w:pPr>
        <w:numPr>
          <w:ilvl w:val="0"/>
          <w:numId w:val="17"/>
        </w:numPr>
        <w:tabs>
          <w:tab w:val="clear" w:pos="562"/>
          <w:tab w:val="clear" w:pos="720"/>
        </w:tabs>
        <w:ind w:left="547" w:hanging="547"/>
        <w:rPr>
          <w:del w:id="10440" w:author="AbbVie19" w:date="2025-04-16T12:21:00Z"/>
        </w:rPr>
      </w:pPr>
      <w:del w:id="10441" w:author="AbbVie19" w:date="2025-04-16T12:21:00Z">
        <w:r w:rsidRPr="00BC0E7E">
          <w:delText>anxiety;</w:delText>
        </w:r>
      </w:del>
    </w:p>
    <w:p w14:paraId="2907A4E2" w14:textId="77777777" w:rsidR="00BC0E7E" w:rsidRPr="00BC0E7E" w:rsidRDefault="00944B8F" w:rsidP="00CF03F5">
      <w:pPr>
        <w:numPr>
          <w:ilvl w:val="0"/>
          <w:numId w:val="17"/>
        </w:numPr>
        <w:tabs>
          <w:tab w:val="clear" w:pos="562"/>
          <w:tab w:val="clear" w:pos="720"/>
        </w:tabs>
        <w:ind w:left="547" w:hanging="547"/>
        <w:rPr>
          <w:del w:id="10442" w:author="AbbVie19" w:date="2025-04-16T12:21:00Z"/>
        </w:rPr>
      </w:pPr>
      <w:del w:id="10443" w:author="AbbVie19" w:date="2025-04-16T12:21:00Z">
        <w:r w:rsidRPr="00BC0E7E">
          <w:delText>difficulty sleeping;</w:delText>
        </w:r>
      </w:del>
    </w:p>
    <w:p w14:paraId="254D2EDF" w14:textId="77777777" w:rsidR="00BC0E7E" w:rsidRPr="00BC0E7E" w:rsidRDefault="00944B8F" w:rsidP="00CF03F5">
      <w:pPr>
        <w:numPr>
          <w:ilvl w:val="0"/>
          <w:numId w:val="17"/>
        </w:numPr>
        <w:tabs>
          <w:tab w:val="clear" w:pos="562"/>
          <w:tab w:val="clear" w:pos="720"/>
        </w:tabs>
        <w:ind w:left="547" w:hanging="547"/>
        <w:rPr>
          <w:del w:id="10444" w:author="AbbVie19" w:date="2025-04-16T12:21:00Z"/>
        </w:rPr>
      </w:pPr>
      <w:del w:id="10445" w:author="AbbVie19" w:date="2025-04-16T12:21:00Z">
        <w:r w:rsidRPr="00BC0E7E">
          <w:delText>sensation disorders such as tingling, prickling or numbness;</w:delText>
        </w:r>
      </w:del>
    </w:p>
    <w:p w14:paraId="1D0BE067" w14:textId="77777777" w:rsidR="00BC0E7E" w:rsidRPr="00BC0E7E" w:rsidRDefault="00944B8F" w:rsidP="00CF03F5">
      <w:pPr>
        <w:numPr>
          <w:ilvl w:val="0"/>
          <w:numId w:val="17"/>
        </w:numPr>
        <w:tabs>
          <w:tab w:val="clear" w:pos="562"/>
          <w:tab w:val="clear" w:pos="720"/>
        </w:tabs>
        <w:ind w:left="547" w:hanging="547"/>
        <w:rPr>
          <w:del w:id="10446" w:author="AbbVie19" w:date="2025-04-16T12:21:00Z"/>
        </w:rPr>
      </w:pPr>
      <w:del w:id="10447" w:author="AbbVie19" w:date="2025-04-16T12:21:00Z">
        <w:r w:rsidRPr="00BC0E7E">
          <w:delText>migraine;</w:delText>
        </w:r>
      </w:del>
    </w:p>
    <w:p w14:paraId="6BAC9C84" w14:textId="77777777" w:rsidR="00BC0E7E" w:rsidRPr="00BC0E7E" w:rsidRDefault="00944B8F" w:rsidP="00CF03F5">
      <w:pPr>
        <w:numPr>
          <w:ilvl w:val="0"/>
          <w:numId w:val="17"/>
        </w:numPr>
        <w:tabs>
          <w:tab w:val="clear" w:pos="562"/>
          <w:tab w:val="clear" w:pos="720"/>
        </w:tabs>
        <w:ind w:left="547" w:hanging="547"/>
        <w:rPr>
          <w:del w:id="10448" w:author="AbbVie19" w:date="2025-04-16T12:21:00Z"/>
        </w:rPr>
      </w:pPr>
      <w:del w:id="10449" w:author="AbbVie19" w:date="2025-04-16T12:21:00Z">
        <w:r w:rsidRPr="00BC0E7E">
          <w:delText>nerve root compression (including low back pain and leg pain);</w:delText>
        </w:r>
      </w:del>
    </w:p>
    <w:p w14:paraId="57FD70A2" w14:textId="77777777" w:rsidR="00BC0E7E" w:rsidRPr="00BC0E7E" w:rsidRDefault="00944B8F" w:rsidP="00CF03F5">
      <w:pPr>
        <w:numPr>
          <w:ilvl w:val="0"/>
          <w:numId w:val="17"/>
        </w:numPr>
        <w:tabs>
          <w:tab w:val="clear" w:pos="562"/>
          <w:tab w:val="clear" w:pos="720"/>
        </w:tabs>
        <w:ind w:left="547" w:hanging="547"/>
        <w:rPr>
          <w:del w:id="10450" w:author="AbbVie19" w:date="2025-04-16T12:21:00Z"/>
        </w:rPr>
      </w:pPr>
      <w:del w:id="10451" w:author="AbbVie19" w:date="2025-04-16T12:21:00Z">
        <w:r w:rsidRPr="00BC0E7E">
          <w:delText xml:space="preserve">vision disturbances; </w:delText>
        </w:r>
      </w:del>
    </w:p>
    <w:p w14:paraId="30D6DA48" w14:textId="77777777" w:rsidR="00BC0E7E" w:rsidRPr="00BC0E7E" w:rsidRDefault="00944B8F" w:rsidP="00CF03F5">
      <w:pPr>
        <w:numPr>
          <w:ilvl w:val="0"/>
          <w:numId w:val="17"/>
        </w:numPr>
        <w:tabs>
          <w:tab w:val="clear" w:pos="562"/>
          <w:tab w:val="clear" w:pos="720"/>
        </w:tabs>
        <w:ind w:left="547" w:hanging="547"/>
        <w:rPr>
          <w:del w:id="10452" w:author="AbbVie19" w:date="2025-04-16T12:21:00Z"/>
        </w:rPr>
      </w:pPr>
      <w:del w:id="10453" w:author="AbbVie19" w:date="2025-04-16T12:21:00Z">
        <w:r w:rsidRPr="00BC0E7E">
          <w:delText>eye inflammation;</w:delText>
        </w:r>
      </w:del>
    </w:p>
    <w:p w14:paraId="3D80D76B" w14:textId="77777777" w:rsidR="00BC0E7E" w:rsidRPr="00BC0E7E" w:rsidRDefault="00944B8F" w:rsidP="00CF03F5">
      <w:pPr>
        <w:numPr>
          <w:ilvl w:val="0"/>
          <w:numId w:val="17"/>
        </w:numPr>
        <w:tabs>
          <w:tab w:val="clear" w:pos="562"/>
          <w:tab w:val="clear" w:pos="720"/>
        </w:tabs>
        <w:ind w:left="547" w:hanging="547"/>
        <w:rPr>
          <w:del w:id="10454" w:author="AbbVie19" w:date="2025-04-16T12:21:00Z"/>
        </w:rPr>
      </w:pPr>
      <w:del w:id="10455" w:author="AbbVie19" w:date="2025-04-16T12:21:00Z">
        <w:r w:rsidRPr="00BC0E7E">
          <w:delText>inflammation of the eye lid and eye swelling;</w:delText>
        </w:r>
      </w:del>
    </w:p>
    <w:p w14:paraId="12D506DB" w14:textId="77777777" w:rsidR="00BC0E7E" w:rsidRPr="00BC0E7E" w:rsidRDefault="00944B8F" w:rsidP="00FD7CC3">
      <w:pPr>
        <w:numPr>
          <w:ilvl w:val="0"/>
          <w:numId w:val="18"/>
        </w:numPr>
        <w:tabs>
          <w:tab w:val="clear" w:pos="562"/>
          <w:tab w:val="num" w:pos="550"/>
        </w:tabs>
        <w:ind w:left="547" w:hanging="547"/>
        <w:rPr>
          <w:del w:id="10456" w:author="AbbVie19" w:date="2025-04-16T12:21:00Z"/>
        </w:rPr>
      </w:pPr>
      <w:del w:id="10457" w:author="AbbVie19" w:date="2025-04-16T12:21:00Z">
        <w:r w:rsidRPr="00BC0E7E">
          <w:delText>vertigo;</w:delText>
        </w:r>
      </w:del>
    </w:p>
    <w:p w14:paraId="1174B104" w14:textId="77777777" w:rsidR="00BC0E7E" w:rsidRPr="00BC0E7E" w:rsidRDefault="00944B8F" w:rsidP="00FD7CC3">
      <w:pPr>
        <w:numPr>
          <w:ilvl w:val="0"/>
          <w:numId w:val="18"/>
        </w:numPr>
        <w:tabs>
          <w:tab w:val="clear" w:pos="562"/>
        </w:tabs>
        <w:ind w:left="547" w:hanging="547"/>
        <w:rPr>
          <w:del w:id="10458" w:author="AbbVie19" w:date="2025-04-16T12:21:00Z"/>
        </w:rPr>
      </w:pPr>
      <w:del w:id="10459" w:author="AbbVie19" w:date="2025-04-16T12:21:00Z">
        <w:r w:rsidRPr="00BC0E7E">
          <w:delText>sensation of heart beating rapidly;</w:delText>
        </w:r>
      </w:del>
    </w:p>
    <w:p w14:paraId="44B7956F" w14:textId="77777777" w:rsidR="00BC0E7E" w:rsidRPr="00BC0E7E" w:rsidRDefault="00944B8F" w:rsidP="00FD7CC3">
      <w:pPr>
        <w:numPr>
          <w:ilvl w:val="0"/>
          <w:numId w:val="18"/>
        </w:numPr>
        <w:tabs>
          <w:tab w:val="clear" w:pos="562"/>
        </w:tabs>
        <w:ind w:left="547" w:hanging="547"/>
        <w:rPr>
          <w:del w:id="10460" w:author="AbbVie19" w:date="2025-04-16T12:21:00Z"/>
        </w:rPr>
      </w:pPr>
      <w:del w:id="10461" w:author="AbbVie19" w:date="2025-04-16T12:21:00Z">
        <w:r w:rsidRPr="00BC0E7E">
          <w:delText>high blood pressure;</w:delText>
        </w:r>
      </w:del>
    </w:p>
    <w:p w14:paraId="51EC98E4" w14:textId="77777777" w:rsidR="00BC0E7E" w:rsidRPr="00BC0E7E" w:rsidRDefault="00944B8F" w:rsidP="00FD7CC3">
      <w:pPr>
        <w:numPr>
          <w:ilvl w:val="0"/>
          <w:numId w:val="18"/>
        </w:numPr>
        <w:tabs>
          <w:tab w:val="clear" w:pos="562"/>
        </w:tabs>
        <w:ind w:left="547" w:hanging="547"/>
        <w:rPr>
          <w:del w:id="10462" w:author="AbbVie19" w:date="2025-04-16T12:21:00Z"/>
        </w:rPr>
      </w:pPr>
      <w:del w:id="10463" w:author="AbbVie19" w:date="2025-04-16T12:21:00Z">
        <w:r w:rsidRPr="00BC0E7E">
          <w:delText>flushing;</w:delText>
        </w:r>
      </w:del>
    </w:p>
    <w:p w14:paraId="7CB24D4C" w14:textId="77777777" w:rsidR="00BC0E7E" w:rsidRPr="00BC0E7E" w:rsidRDefault="00944B8F" w:rsidP="00FD7CC3">
      <w:pPr>
        <w:numPr>
          <w:ilvl w:val="0"/>
          <w:numId w:val="18"/>
        </w:numPr>
        <w:tabs>
          <w:tab w:val="clear" w:pos="562"/>
        </w:tabs>
        <w:ind w:left="547" w:hanging="547"/>
        <w:rPr>
          <w:del w:id="10464" w:author="AbbVie19" w:date="2025-04-16T12:21:00Z"/>
        </w:rPr>
      </w:pPr>
      <w:del w:id="10465" w:author="AbbVie19" w:date="2025-04-16T12:21:00Z">
        <w:r w:rsidRPr="00BC0E7E">
          <w:delText>haematoma;</w:delText>
        </w:r>
      </w:del>
    </w:p>
    <w:p w14:paraId="5F4C6115" w14:textId="77777777" w:rsidR="00BC0E7E" w:rsidRPr="00BC0E7E" w:rsidRDefault="00944B8F" w:rsidP="00FD7CC3">
      <w:pPr>
        <w:numPr>
          <w:ilvl w:val="0"/>
          <w:numId w:val="19"/>
        </w:numPr>
        <w:tabs>
          <w:tab w:val="clear" w:pos="562"/>
          <w:tab w:val="num" w:pos="550"/>
        </w:tabs>
        <w:ind w:left="547" w:hanging="547"/>
        <w:rPr>
          <w:del w:id="10466" w:author="AbbVie19" w:date="2025-04-16T12:21:00Z"/>
        </w:rPr>
      </w:pPr>
      <w:del w:id="10467" w:author="AbbVie19" w:date="2025-04-16T12:21:00Z">
        <w:r w:rsidRPr="00BC0E7E">
          <w:delText>cough;</w:delText>
        </w:r>
      </w:del>
    </w:p>
    <w:p w14:paraId="103541DE" w14:textId="77777777" w:rsidR="00BC0E7E" w:rsidRPr="00BC0E7E" w:rsidRDefault="00944B8F" w:rsidP="00FD7CC3">
      <w:pPr>
        <w:numPr>
          <w:ilvl w:val="0"/>
          <w:numId w:val="24"/>
        </w:numPr>
        <w:tabs>
          <w:tab w:val="clear" w:pos="562"/>
          <w:tab w:val="clear" w:pos="720"/>
          <w:tab w:val="num" w:pos="550"/>
        </w:tabs>
        <w:ind w:left="547" w:hanging="547"/>
        <w:rPr>
          <w:del w:id="10468" w:author="AbbVie19" w:date="2025-04-16T12:21:00Z"/>
        </w:rPr>
      </w:pPr>
      <w:del w:id="10469" w:author="AbbVie19" w:date="2025-04-16T12:21:00Z">
        <w:r w:rsidRPr="00BC0E7E">
          <w:delText>asthma;</w:delText>
        </w:r>
      </w:del>
    </w:p>
    <w:p w14:paraId="662C8FF4" w14:textId="77777777" w:rsidR="00BC0E7E" w:rsidRPr="00BC0E7E" w:rsidRDefault="00944B8F" w:rsidP="00FD7CC3">
      <w:pPr>
        <w:numPr>
          <w:ilvl w:val="0"/>
          <w:numId w:val="24"/>
        </w:numPr>
        <w:tabs>
          <w:tab w:val="clear" w:pos="562"/>
          <w:tab w:val="clear" w:pos="720"/>
          <w:tab w:val="num" w:pos="550"/>
        </w:tabs>
        <w:ind w:left="547" w:hanging="547"/>
        <w:rPr>
          <w:del w:id="10470" w:author="AbbVie19" w:date="2025-04-16T12:21:00Z"/>
        </w:rPr>
      </w:pPr>
      <w:del w:id="10471" w:author="AbbVie19" w:date="2025-04-16T12:21:00Z">
        <w:r w:rsidRPr="00BC0E7E">
          <w:delText>shortness of breath;</w:delText>
        </w:r>
      </w:del>
    </w:p>
    <w:p w14:paraId="569B6738" w14:textId="77777777" w:rsidR="00BC0E7E" w:rsidRPr="00BC0E7E" w:rsidRDefault="00944B8F" w:rsidP="00FD7CC3">
      <w:pPr>
        <w:numPr>
          <w:ilvl w:val="0"/>
          <w:numId w:val="24"/>
        </w:numPr>
        <w:tabs>
          <w:tab w:val="clear" w:pos="562"/>
          <w:tab w:val="clear" w:pos="720"/>
          <w:tab w:val="num" w:pos="550"/>
        </w:tabs>
        <w:ind w:left="547" w:hanging="547"/>
        <w:rPr>
          <w:del w:id="10472" w:author="AbbVie19" w:date="2025-04-16T12:21:00Z"/>
        </w:rPr>
      </w:pPr>
      <w:del w:id="10473" w:author="AbbVie19" w:date="2025-04-16T12:21:00Z">
        <w:r w:rsidRPr="00BC0E7E">
          <w:delText>gastrointestinal bleeding;</w:delText>
        </w:r>
      </w:del>
    </w:p>
    <w:p w14:paraId="22D3B88C" w14:textId="77777777" w:rsidR="00BC0E7E" w:rsidRPr="00BC0E7E" w:rsidRDefault="00944B8F" w:rsidP="00FD7CC3">
      <w:pPr>
        <w:numPr>
          <w:ilvl w:val="0"/>
          <w:numId w:val="24"/>
        </w:numPr>
        <w:tabs>
          <w:tab w:val="clear" w:pos="562"/>
          <w:tab w:val="clear" w:pos="720"/>
          <w:tab w:val="num" w:pos="550"/>
        </w:tabs>
        <w:ind w:left="547" w:hanging="547"/>
        <w:rPr>
          <w:del w:id="10474" w:author="AbbVie19" w:date="2025-04-16T12:21:00Z"/>
        </w:rPr>
      </w:pPr>
      <w:del w:id="10475" w:author="AbbVie19" w:date="2025-04-16T12:21:00Z">
        <w:r w:rsidRPr="00BC0E7E">
          <w:delText>dyspepsia (indigestion, bloating, heart burn);</w:delText>
        </w:r>
      </w:del>
    </w:p>
    <w:p w14:paraId="2F5B873C" w14:textId="77777777" w:rsidR="00BC0E7E" w:rsidRPr="00BC0E7E" w:rsidRDefault="00944B8F" w:rsidP="00FD7CC3">
      <w:pPr>
        <w:numPr>
          <w:ilvl w:val="0"/>
          <w:numId w:val="24"/>
        </w:numPr>
        <w:tabs>
          <w:tab w:val="clear" w:pos="562"/>
          <w:tab w:val="clear" w:pos="720"/>
          <w:tab w:val="num" w:pos="550"/>
        </w:tabs>
        <w:ind w:left="547" w:hanging="547"/>
        <w:rPr>
          <w:del w:id="10476" w:author="AbbVie19" w:date="2025-04-16T12:21:00Z"/>
        </w:rPr>
      </w:pPr>
      <w:del w:id="10477" w:author="AbbVie19" w:date="2025-04-16T12:21:00Z">
        <w:r w:rsidRPr="00BC0E7E">
          <w:delText>acid reflux disease;</w:delText>
        </w:r>
      </w:del>
    </w:p>
    <w:p w14:paraId="655FE15C" w14:textId="77777777" w:rsidR="00BC0E7E" w:rsidRPr="00BC0E7E" w:rsidRDefault="00944B8F" w:rsidP="00FD7CC3">
      <w:pPr>
        <w:numPr>
          <w:ilvl w:val="0"/>
          <w:numId w:val="19"/>
        </w:numPr>
        <w:tabs>
          <w:tab w:val="clear" w:pos="562"/>
          <w:tab w:val="num" w:pos="550"/>
        </w:tabs>
        <w:ind w:left="547" w:hanging="547"/>
        <w:rPr>
          <w:del w:id="10478" w:author="AbbVie19" w:date="2025-04-16T12:21:00Z"/>
        </w:rPr>
      </w:pPr>
      <w:del w:id="10479" w:author="AbbVie19" w:date="2025-04-16T12:21:00Z">
        <w:r w:rsidRPr="00BC0E7E">
          <w:delText>sicca syndrome (including dry eyes and dry mouth);</w:delText>
        </w:r>
      </w:del>
    </w:p>
    <w:p w14:paraId="2A557B16" w14:textId="77777777" w:rsidR="00BC0E7E" w:rsidRPr="00BC0E7E" w:rsidRDefault="00944B8F" w:rsidP="00FD7CC3">
      <w:pPr>
        <w:numPr>
          <w:ilvl w:val="0"/>
          <w:numId w:val="19"/>
        </w:numPr>
        <w:tabs>
          <w:tab w:val="clear" w:pos="562"/>
          <w:tab w:val="num" w:pos="550"/>
        </w:tabs>
        <w:ind w:left="547" w:hanging="547"/>
        <w:rPr>
          <w:del w:id="10480" w:author="AbbVie19" w:date="2025-04-16T12:21:00Z"/>
        </w:rPr>
      </w:pPr>
      <w:del w:id="10481" w:author="AbbVie19" w:date="2025-04-16T12:21:00Z">
        <w:r w:rsidRPr="00BC0E7E">
          <w:delText>itching;</w:delText>
        </w:r>
      </w:del>
    </w:p>
    <w:p w14:paraId="2C5FCDB7" w14:textId="77777777" w:rsidR="00BC0E7E" w:rsidRPr="00BC0E7E" w:rsidRDefault="00944B8F" w:rsidP="00FD7CC3">
      <w:pPr>
        <w:numPr>
          <w:ilvl w:val="0"/>
          <w:numId w:val="24"/>
        </w:numPr>
        <w:tabs>
          <w:tab w:val="clear" w:pos="562"/>
          <w:tab w:val="clear" w:pos="720"/>
          <w:tab w:val="num" w:pos="550"/>
        </w:tabs>
        <w:ind w:left="547" w:hanging="547"/>
        <w:rPr>
          <w:del w:id="10482" w:author="AbbVie19" w:date="2025-04-16T12:21:00Z"/>
        </w:rPr>
      </w:pPr>
      <w:del w:id="10483" w:author="AbbVie19" w:date="2025-04-16T12:21:00Z">
        <w:r w:rsidRPr="00BC0E7E">
          <w:delText>itchy rash;</w:delText>
        </w:r>
      </w:del>
    </w:p>
    <w:p w14:paraId="7263AD55" w14:textId="77777777" w:rsidR="00BC0E7E" w:rsidRPr="00BC0E7E" w:rsidRDefault="00944B8F" w:rsidP="00FD7CC3">
      <w:pPr>
        <w:numPr>
          <w:ilvl w:val="0"/>
          <w:numId w:val="24"/>
        </w:numPr>
        <w:tabs>
          <w:tab w:val="clear" w:pos="562"/>
          <w:tab w:val="clear" w:pos="720"/>
          <w:tab w:val="num" w:pos="550"/>
        </w:tabs>
        <w:ind w:left="547" w:hanging="547"/>
        <w:rPr>
          <w:del w:id="10484" w:author="AbbVie19" w:date="2025-04-16T12:21:00Z"/>
        </w:rPr>
      </w:pPr>
      <w:del w:id="10485" w:author="AbbVie19" w:date="2025-04-16T12:21:00Z">
        <w:r w:rsidRPr="00BC0E7E">
          <w:delText>bruising;</w:delText>
        </w:r>
      </w:del>
    </w:p>
    <w:p w14:paraId="74FD9D7F" w14:textId="77777777" w:rsidR="00BC0E7E" w:rsidRPr="00BC0E7E" w:rsidRDefault="00944B8F" w:rsidP="00FD7CC3">
      <w:pPr>
        <w:numPr>
          <w:ilvl w:val="0"/>
          <w:numId w:val="24"/>
        </w:numPr>
        <w:tabs>
          <w:tab w:val="clear" w:pos="562"/>
          <w:tab w:val="clear" w:pos="720"/>
          <w:tab w:val="num" w:pos="550"/>
        </w:tabs>
        <w:ind w:left="547" w:hanging="547"/>
        <w:rPr>
          <w:del w:id="10486" w:author="AbbVie19" w:date="2025-04-16T12:21:00Z"/>
        </w:rPr>
      </w:pPr>
      <w:del w:id="10487" w:author="AbbVie19" w:date="2025-04-16T12:21:00Z">
        <w:r w:rsidRPr="00BC0E7E">
          <w:delText>inflammation of the skin (such as eczema);</w:delText>
        </w:r>
      </w:del>
    </w:p>
    <w:p w14:paraId="409008A6" w14:textId="77777777" w:rsidR="00BC0E7E" w:rsidRPr="00BC0E7E" w:rsidRDefault="00944B8F" w:rsidP="00FD7CC3">
      <w:pPr>
        <w:numPr>
          <w:ilvl w:val="0"/>
          <w:numId w:val="24"/>
        </w:numPr>
        <w:tabs>
          <w:tab w:val="clear" w:pos="562"/>
          <w:tab w:val="clear" w:pos="720"/>
          <w:tab w:val="num" w:pos="550"/>
        </w:tabs>
        <w:ind w:left="547" w:hanging="547"/>
        <w:rPr>
          <w:del w:id="10488" w:author="AbbVie19" w:date="2025-04-16T12:21:00Z"/>
        </w:rPr>
      </w:pPr>
      <w:del w:id="10489" w:author="AbbVie19" w:date="2025-04-16T12:21:00Z">
        <w:r w:rsidRPr="00BC0E7E">
          <w:delText>breaking of finger nails and toe nails;</w:delText>
        </w:r>
      </w:del>
    </w:p>
    <w:p w14:paraId="70A8975A" w14:textId="77777777" w:rsidR="00BC0E7E" w:rsidRPr="00BC0E7E" w:rsidRDefault="00944B8F" w:rsidP="00FD7CC3">
      <w:pPr>
        <w:numPr>
          <w:ilvl w:val="0"/>
          <w:numId w:val="24"/>
        </w:numPr>
        <w:tabs>
          <w:tab w:val="clear" w:pos="562"/>
          <w:tab w:val="clear" w:pos="720"/>
          <w:tab w:val="num" w:pos="550"/>
        </w:tabs>
        <w:ind w:left="547" w:hanging="547"/>
        <w:rPr>
          <w:del w:id="10490" w:author="AbbVie19" w:date="2025-04-16T12:21:00Z"/>
        </w:rPr>
      </w:pPr>
      <w:del w:id="10491" w:author="AbbVie19" w:date="2025-04-16T12:21:00Z">
        <w:r w:rsidRPr="00BC0E7E">
          <w:delText>increased sweating;</w:delText>
        </w:r>
      </w:del>
    </w:p>
    <w:p w14:paraId="0EC349BD" w14:textId="77777777" w:rsidR="00BC0E7E" w:rsidRPr="00BC0E7E" w:rsidRDefault="00944B8F" w:rsidP="00FD7CC3">
      <w:pPr>
        <w:numPr>
          <w:ilvl w:val="0"/>
          <w:numId w:val="24"/>
        </w:numPr>
        <w:tabs>
          <w:tab w:val="clear" w:pos="562"/>
          <w:tab w:val="clear" w:pos="720"/>
          <w:tab w:val="num" w:pos="550"/>
        </w:tabs>
        <w:ind w:left="547" w:hanging="547"/>
        <w:rPr>
          <w:del w:id="10492" w:author="AbbVie19" w:date="2025-04-16T12:21:00Z"/>
        </w:rPr>
      </w:pPr>
      <w:del w:id="10493" w:author="AbbVie19" w:date="2025-04-16T12:21:00Z">
        <w:r w:rsidRPr="00BC0E7E">
          <w:delText>hair loss;</w:delText>
        </w:r>
      </w:del>
    </w:p>
    <w:p w14:paraId="74F09CD1" w14:textId="77777777" w:rsidR="00BC0E7E" w:rsidRPr="00BC0E7E" w:rsidRDefault="00944B8F" w:rsidP="00FD7CC3">
      <w:pPr>
        <w:numPr>
          <w:ilvl w:val="0"/>
          <w:numId w:val="24"/>
        </w:numPr>
        <w:tabs>
          <w:tab w:val="clear" w:pos="562"/>
          <w:tab w:val="clear" w:pos="720"/>
          <w:tab w:val="num" w:pos="550"/>
        </w:tabs>
        <w:ind w:left="547" w:hanging="547"/>
        <w:rPr>
          <w:del w:id="10494" w:author="AbbVie19" w:date="2025-04-16T12:21:00Z"/>
        </w:rPr>
      </w:pPr>
      <w:del w:id="10495" w:author="AbbVie19" w:date="2025-04-16T12:21:00Z">
        <w:r w:rsidRPr="00BC0E7E">
          <w:delText>new onset or worsening of psoriasis;</w:delText>
        </w:r>
      </w:del>
    </w:p>
    <w:p w14:paraId="4DBCF0DE" w14:textId="77777777" w:rsidR="00BC0E7E" w:rsidRPr="00BC0E7E" w:rsidRDefault="00944B8F" w:rsidP="00FD7CC3">
      <w:pPr>
        <w:numPr>
          <w:ilvl w:val="0"/>
          <w:numId w:val="24"/>
        </w:numPr>
        <w:tabs>
          <w:tab w:val="clear" w:pos="562"/>
          <w:tab w:val="clear" w:pos="720"/>
          <w:tab w:val="num" w:pos="550"/>
        </w:tabs>
        <w:ind w:left="547" w:hanging="547"/>
        <w:rPr>
          <w:del w:id="10496" w:author="AbbVie19" w:date="2025-04-16T12:21:00Z"/>
        </w:rPr>
      </w:pPr>
      <w:del w:id="10497" w:author="AbbVie19" w:date="2025-04-16T12:21:00Z">
        <w:r w:rsidRPr="00BC0E7E">
          <w:delText>muscle spasms;</w:delText>
        </w:r>
      </w:del>
    </w:p>
    <w:p w14:paraId="647140B3" w14:textId="77777777" w:rsidR="00BC0E7E" w:rsidRPr="00BC0E7E" w:rsidRDefault="00944B8F" w:rsidP="00FD7CC3">
      <w:pPr>
        <w:numPr>
          <w:ilvl w:val="0"/>
          <w:numId w:val="24"/>
        </w:numPr>
        <w:tabs>
          <w:tab w:val="clear" w:pos="562"/>
          <w:tab w:val="clear" w:pos="720"/>
          <w:tab w:val="num" w:pos="550"/>
        </w:tabs>
        <w:ind w:left="547" w:hanging="547"/>
        <w:rPr>
          <w:del w:id="10498" w:author="AbbVie19" w:date="2025-04-16T12:21:00Z"/>
        </w:rPr>
      </w:pPr>
      <w:del w:id="10499" w:author="AbbVie19" w:date="2025-04-16T12:21:00Z">
        <w:r w:rsidRPr="00BC0E7E">
          <w:delText>blood in urine;</w:delText>
        </w:r>
      </w:del>
    </w:p>
    <w:p w14:paraId="67CBFAE0" w14:textId="77777777" w:rsidR="00BC0E7E" w:rsidRPr="00BC0E7E" w:rsidRDefault="00944B8F" w:rsidP="00FD7CC3">
      <w:pPr>
        <w:numPr>
          <w:ilvl w:val="0"/>
          <w:numId w:val="24"/>
        </w:numPr>
        <w:tabs>
          <w:tab w:val="clear" w:pos="562"/>
          <w:tab w:val="clear" w:pos="720"/>
          <w:tab w:val="num" w:pos="550"/>
        </w:tabs>
        <w:ind w:left="547" w:hanging="547"/>
        <w:rPr>
          <w:del w:id="10500" w:author="AbbVie19" w:date="2025-04-16T12:21:00Z"/>
        </w:rPr>
      </w:pPr>
      <w:del w:id="10501" w:author="AbbVie19" w:date="2025-04-16T12:21:00Z">
        <w:r w:rsidRPr="00BC0E7E">
          <w:delText>kidney problems;</w:delText>
        </w:r>
      </w:del>
    </w:p>
    <w:p w14:paraId="17645A24" w14:textId="77777777" w:rsidR="00BC0E7E" w:rsidRPr="00BC0E7E" w:rsidRDefault="00944B8F" w:rsidP="00FD7CC3">
      <w:pPr>
        <w:numPr>
          <w:ilvl w:val="0"/>
          <w:numId w:val="24"/>
        </w:numPr>
        <w:tabs>
          <w:tab w:val="clear" w:pos="562"/>
          <w:tab w:val="clear" w:pos="720"/>
          <w:tab w:val="num" w:pos="550"/>
        </w:tabs>
        <w:ind w:left="547" w:hanging="547"/>
        <w:rPr>
          <w:del w:id="10502" w:author="AbbVie19" w:date="2025-04-16T12:21:00Z"/>
        </w:rPr>
      </w:pPr>
      <w:del w:id="10503" w:author="AbbVie19" w:date="2025-04-16T12:21:00Z">
        <w:r w:rsidRPr="00BC0E7E">
          <w:delText>chest pain;</w:delText>
        </w:r>
      </w:del>
    </w:p>
    <w:p w14:paraId="7FE2C6BB" w14:textId="77777777" w:rsidR="00BC0E7E" w:rsidRPr="00BC0E7E" w:rsidRDefault="00944B8F" w:rsidP="00FD7CC3">
      <w:pPr>
        <w:numPr>
          <w:ilvl w:val="0"/>
          <w:numId w:val="24"/>
        </w:numPr>
        <w:tabs>
          <w:tab w:val="clear" w:pos="562"/>
          <w:tab w:val="clear" w:pos="720"/>
          <w:tab w:val="num" w:pos="550"/>
        </w:tabs>
        <w:ind w:left="547" w:hanging="547"/>
        <w:rPr>
          <w:del w:id="10504" w:author="AbbVie19" w:date="2025-04-16T12:21:00Z"/>
        </w:rPr>
      </w:pPr>
      <w:del w:id="10505" w:author="AbbVie19" w:date="2025-04-16T12:21:00Z">
        <w:r w:rsidRPr="00BC0E7E">
          <w:lastRenderedPageBreak/>
          <w:delText>oedema;</w:delText>
        </w:r>
      </w:del>
    </w:p>
    <w:p w14:paraId="39EEE1DB" w14:textId="77777777" w:rsidR="00BC0E7E" w:rsidRPr="00BC0E7E" w:rsidRDefault="00944B8F" w:rsidP="00FD7CC3">
      <w:pPr>
        <w:numPr>
          <w:ilvl w:val="0"/>
          <w:numId w:val="24"/>
        </w:numPr>
        <w:tabs>
          <w:tab w:val="clear" w:pos="562"/>
          <w:tab w:val="clear" w:pos="720"/>
          <w:tab w:val="num" w:pos="550"/>
        </w:tabs>
        <w:ind w:left="547" w:hanging="547"/>
        <w:rPr>
          <w:del w:id="10506" w:author="AbbVie19" w:date="2025-04-16T12:21:00Z"/>
        </w:rPr>
      </w:pPr>
      <w:del w:id="10507" w:author="AbbVie19" w:date="2025-04-16T12:21:00Z">
        <w:r w:rsidRPr="00BC0E7E">
          <w:delText>fever;</w:delText>
        </w:r>
      </w:del>
    </w:p>
    <w:p w14:paraId="1C5B5405" w14:textId="77777777" w:rsidR="00BC0E7E" w:rsidRPr="00BC0E7E" w:rsidRDefault="00944B8F" w:rsidP="00FD7CC3">
      <w:pPr>
        <w:numPr>
          <w:ilvl w:val="0"/>
          <w:numId w:val="19"/>
        </w:numPr>
        <w:tabs>
          <w:tab w:val="clear" w:pos="562"/>
          <w:tab w:val="num" w:pos="550"/>
        </w:tabs>
        <w:ind w:left="547" w:hanging="547"/>
        <w:rPr>
          <w:del w:id="10508" w:author="AbbVie19" w:date="2025-04-16T12:21:00Z"/>
        </w:rPr>
      </w:pPr>
      <w:del w:id="10509" w:author="AbbVie19" w:date="2025-04-16T12:21:00Z">
        <w:r w:rsidRPr="00BC0E7E">
          <w:delText>reduction in blood platelets which increases risk of bleeding or bruising;</w:delText>
        </w:r>
      </w:del>
    </w:p>
    <w:p w14:paraId="76B305E6" w14:textId="77777777" w:rsidR="00BC0E7E" w:rsidRPr="00BC0E7E" w:rsidRDefault="00944B8F" w:rsidP="00FD7CC3">
      <w:pPr>
        <w:numPr>
          <w:ilvl w:val="0"/>
          <w:numId w:val="19"/>
        </w:numPr>
        <w:tabs>
          <w:tab w:val="clear" w:pos="562"/>
          <w:tab w:val="num" w:pos="550"/>
        </w:tabs>
        <w:ind w:left="547" w:hanging="547"/>
        <w:rPr>
          <w:del w:id="10510" w:author="AbbVie19" w:date="2025-04-16T12:21:00Z"/>
        </w:rPr>
      </w:pPr>
      <w:del w:id="10511" w:author="AbbVie19" w:date="2025-04-16T12:21:00Z">
        <w:r w:rsidRPr="00BC0E7E">
          <w:delText>impaired healing.</w:delText>
        </w:r>
      </w:del>
    </w:p>
    <w:p w14:paraId="4CF650B3" w14:textId="77777777" w:rsidR="00BC0E7E" w:rsidRPr="00BC0E7E" w:rsidRDefault="00BC0E7E" w:rsidP="00BC0E7E">
      <w:pPr>
        <w:tabs>
          <w:tab w:val="clear" w:pos="562"/>
          <w:tab w:val="num" w:pos="550"/>
        </w:tabs>
        <w:ind w:left="550" w:hanging="550"/>
        <w:rPr>
          <w:del w:id="10512" w:author="AbbVie19" w:date="2025-04-16T12:21:00Z"/>
        </w:rPr>
      </w:pPr>
    </w:p>
    <w:p w14:paraId="2082BE84" w14:textId="77777777" w:rsidR="00BC0E7E" w:rsidRPr="00BC0E7E" w:rsidRDefault="00944B8F" w:rsidP="00BC0E7E">
      <w:pPr>
        <w:tabs>
          <w:tab w:val="clear" w:pos="562"/>
          <w:tab w:val="num" w:pos="550"/>
        </w:tabs>
        <w:ind w:left="550" w:hanging="550"/>
        <w:rPr>
          <w:del w:id="10513" w:author="AbbVie19" w:date="2025-04-16T12:21:00Z"/>
        </w:rPr>
      </w:pPr>
      <w:del w:id="10514" w:author="AbbVie19" w:date="2025-04-16T12:21:00Z">
        <w:r w:rsidRPr="00BC0E7E">
          <w:delText>Uncommon (may affect up to 1 in 100 people)</w:delText>
        </w:r>
      </w:del>
    </w:p>
    <w:p w14:paraId="52D39F79" w14:textId="77777777" w:rsidR="00BC0E7E" w:rsidRPr="00BC0E7E" w:rsidRDefault="00BC0E7E" w:rsidP="00BC0E7E">
      <w:pPr>
        <w:tabs>
          <w:tab w:val="clear" w:pos="562"/>
          <w:tab w:val="num" w:pos="550"/>
        </w:tabs>
        <w:ind w:left="550" w:hanging="550"/>
        <w:rPr>
          <w:del w:id="10515" w:author="AbbVie19" w:date="2025-04-16T12:21:00Z"/>
        </w:rPr>
      </w:pPr>
    </w:p>
    <w:p w14:paraId="1B99D6C7" w14:textId="77777777" w:rsidR="00BC0E7E" w:rsidRPr="00BC0E7E" w:rsidRDefault="00944B8F" w:rsidP="00BC0E7E">
      <w:pPr>
        <w:numPr>
          <w:ilvl w:val="0"/>
          <w:numId w:val="20"/>
        </w:numPr>
        <w:tabs>
          <w:tab w:val="clear" w:pos="562"/>
        </w:tabs>
        <w:ind w:left="550" w:hanging="550"/>
        <w:rPr>
          <w:del w:id="10516" w:author="AbbVie19" w:date="2025-04-16T12:21:00Z"/>
        </w:rPr>
      </w:pPr>
      <w:del w:id="10517" w:author="AbbVie19" w:date="2025-04-16T12:21:00Z">
        <w:r w:rsidRPr="00BC0E7E">
          <w:delText>opportunistic infections (which include tuberculosis and other infections that occur when resistance to disease is lowered);</w:delText>
        </w:r>
      </w:del>
    </w:p>
    <w:p w14:paraId="77D14065" w14:textId="77777777" w:rsidR="00BC0E7E" w:rsidRPr="00BC0E7E" w:rsidRDefault="00944B8F" w:rsidP="00BC0E7E">
      <w:pPr>
        <w:numPr>
          <w:ilvl w:val="0"/>
          <w:numId w:val="20"/>
        </w:numPr>
        <w:tabs>
          <w:tab w:val="clear" w:pos="562"/>
          <w:tab w:val="num" w:pos="-2090"/>
        </w:tabs>
        <w:ind w:left="550" w:hanging="550"/>
        <w:rPr>
          <w:del w:id="10518" w:author="AbbVie19" w:date="2025-04-16T12:21:00Z"/>
        </w:rPr>
      </w:pPr>
      <w:del w:id="10519" w:author="AbbVie19" w:date="2025-04-16T12:21:00Z">
        <w:r w:rsidRPr="00BC0E7E">
          <w:delText>neurological infections (including viral meningitis);</w:delText>
        </w:r>
      </w:del>
    </w:p>
    <w:p w14:paraId="31A0540F" w14:textId="77777777" w:rsidR="00BC0E7E" w:rsidRPr="00BC0E7E" w:rsidRDefault="00944B8F" w:rsidP="00BC0E7E">
      <w:pPr>
        <w:numPr>
          <w:ilvl w:val="0"/>
          <w:numId w:val="25"/>
        </w:numPr>
        <w:tabs>
          <w:tab w:val="clear" w:pos="562"/>
          <w:tab w:val="clear" w:pos="720"/>
          <w:tab w:val="num" w:pos="550"/>
        </w:tabs>
        <w:ind w:left="550" w:hanging="550"/>
        <w:rPr>
          <w:del w:id="10520" w:author="AbbVie19" w:date="2025-04-16T12:21:00Z"/>
        </w:rPr>
      </w:pPr>
      <w:del w:id="10521" w:author="AbbVie19" w:date="2025-04-16T12:21:00Z">
        <w:r w:rsidRPr="00BC0E7E">
          <w:delText>eye infections;</w:delText>
        </w:r>
      </w:del>
    </w:p>
    <w:p w14:paraId="6EC5968B" w14:textId="77777777" w:rsidR="00BC0E7E" w:rsidRPr="00BC0E7E" w:rsidRDefault="00944B8F" w:rsidP="00BC0E7E">
      <w:pPr>
        <w:numPr>
          <w:ilvl w:val="0"/>
          <w:numId w:val="25"/>
        </w:numPr>
        <w:tabs>
          <w:tab w:val="clear" w:pos="562"/>
          <w:tab w:val="clear" w:pos="720"/>
          <w:tab w:val="num" w:pos="550"/>
        </w:tabs>
        <w:ind w:left="550" w:hanging="550"/>
        <w:rPr>
          <w:del w:id="10522" w:author="AbbVie19" w:date="2025-04-16T12:21:00Z"/>
        </w:rPr>
      </w:pPr>
      <w:del w:id="10523" w:author="AbbVie19" w:date="2025-04-16T12:21:00Z">
        <w:r w:rsidRPr="00BC0E7E">
          <w:delText>bacterial infections;</w:delText>
        </w:r>
      </w:del>
    </w:p>
    <w:p w14:paraId="2D2D3D32" w14:textId="77777777" w:rsidR="00BC0E7E" w:rsidRPr="00BC0E7E" w:rsidRDefault="00944B8F" w:rsidP="00BC0E7E">
      <w:pPr>
        <w:numPr>
          <w:ilvl w:val="0"/>
          <w:numId w:val="25"/>
        </w:numPr>
        <w:tabs>
          <w:tab w:val="clear" w:pos="562"/>
          <w:tab w:val="clear" w:pos="720"/>
          <w:tab w:val="num" w:pos="550"/>
        </w:tabs>
        <w:ind w:left="550" w:hanging="550"/>
        <w:rPr>
          <w:del w:id="10524" w:author="AbbVie19" w:date="2025-04-16T12:21:00Z"/>
        </w:rPr>
      </w:pPr>
      <w:del w:id="10525" w:author="AbbVie19" w:date="2025-04-16T12:21:00Z">
        <w:r w:rsidRPr="00BC0E7E">
          <w:delText>diverticulitis (inflammation and infection of the large intestine);</w:delText>
        </w:r>
      </w:del>
    </w:p>
    <w:p w14:paraId="3B9173D1" w14:textId="77777777" w:rsidR="00BC0E7E" w:rsidRPr="00BC0E7E" w:rsidRDefault="00944B8F" w:rsidP="00BC0E7E">
      <w:pPr>
        <w:numPr>
          <w:ilvl w:val="0"/>
          <w:numId w:val="25"/>
        </w:numPr>
        <w:tabs>
          <w:tab w:val="clear" w:pos="562"/>
          <w:tab w:val="clear" w:pos="720"/>
          <w:tab w:val="num" w:pos="550"/>
        </w:tabs>
        <w:ind w:left="550" w:hanging="550"/>
        <w:rPr>
          <w:del w:id="10526" w:author="AbbVie19" w:date="2025-04-16T12:21:00Z"/>
        </w:rPr>
      </w:pPr>
      <w:del w:id="10527" w:author="AbbVie19" w:date="2025-04-16T12:21:00Z">
        <w:r w:rsidRPr="00BC0E7E">
          <w:delText xml:space="preserve">cancer; </w:delText>
        </w:r>
      </w:del>
    </w:p>
    <w:p w14:paraId="5614EBCC" w14:textId="77777777" w:rsidR="00BC0E7E" w:rsidRPr="00BC0E7E" w:rsidRDefault="00944B8F" w:rsidP="00BC0E7E">
      <w:pPr>
        <w:numPr>
          <w:ilvl w:val="0"/>
          <w:numId w:val="25"/>
        </w:numPr>
        <w:tabs>
          <w:tab w:val="clear" w:pos="562"/>
          <w:tab w:val="clear" w:pos="720"/>
          <w:tab w:val="num" w:pos="550"/>
        </w:tabs>
        <w:ind w:left="550" w:hanging="550"/>
        <w:rPr>
          <w:del w:id="10528" w:author="AbbVie19" w:date="2025-04-16T12:21:00Z"/>
        </w:rPr>
      </w:pPr>
      <w:del w:id="10529" w:author="AbbVie19" w:date="2025-04-16T12:21:00Z">
        <w:r w:rsidRPr="00BC0E7E">
          <w:delText>cancer that affects the lymph system;</w:delText>
        </w:r>
      </w:del>
    </w:p>
    <w:p w14:paraId="7BA6C6E6" w14:textId="77777777" w:rsidR="00BC0E7E" w:rsidRPr="00BC0E7E" w:rsidRDefault="00944B8F" w:rsidP="00BC0E7E">
      <w:pPr>
        <w:numPr>
          <w:ilvl w:val="0"/>
          <w:numId w:val="25"/>
        </w:numPr>
        <w:tabs>
          <w:tab w:val="clear" w:pos="562"/>
          <w:tab w:val="clear" w:pos="720"/>
          <w:tab w:val="num" w:pos="550"/>
        </w:tabs>
        <w:ind w:left="550" w:hanging="550"/>
        <w:rPr>
          <w:del w:id="10530" w:author="AbbVie19" w:date="2025-04-16T12:21:00Z"/>
        </w:rPr>
      </w:pPr>
      <w:del w:id="10531" w:author="AbbVie19" w:date="2025-04-16T12:21:00Z">
        <w:r w:rsidRPr="00BC0E7E">
          <w:delText>melanoma;</w:delText>
        </w:r>
      </w:del>
    </w:p>
    <w:p w14:paraId="482964EF" w14:textId="77777777" w:rsidR="00BC0E7E" w:rsidRPr="00BC0E7E" w:rsidRDefault="00944B8F" w:rsidP="00BC0E7E">
      <w:pPr>
        <w:numPr>
          <w:ilvl w:val="0"/>
          <w:numId w:val="25"/>
        </w:numPr>
        <w:tabs>
          <w:tab w:val="clear" w:pos="562"/>
          <w:tab w:val="clear" w:pos="720"/>
          <w:tab w:val="num" w:pos="550"/>
        </w:tabs>
        <w:ind w:left="550" w:hanging="550"/>
        <w:rPr>
          <w:del w:id="10532" w:author="AbbVie19" w:date="2025-04-16T12:21:00Z"/>
        </w:rPr>
      </w:pPr>
      <w:del w:id="10533" w:author="AbbVie19" w:date="2025-04-16T12:21:00Z">
        <w:r w:rsidRPr="00BC0E7E">
          <w:delText>immune disorders that could affect the lungs, skin and lymph nodes ( most commonly presenting as sarcoidosis);</w:delText>
        </w:r>
      </w:del>
    </w:p>
    <w:p w14:paraId="7711F691" w14:textId="77777777" w:rsidR="00BC0E7E" w:rsidRPr="00BC0E7E" w:rsidRDefault="00944B8F" w:rsidP="00BC0E7E">
      <w:pPr>
        <w:numPr>
          <w:ilvl w:val="0"/>
          <w:numId w:val="25"/>
        </w:numPr>
        <w:tabs>
          <w:tab w:val="clear" w:pos="562"/>
          <w:tab w:val="clear" w:pos="720"/>
          <w:tab w:val="num" w:pos="550"/>
        </w:tabs>
        <w:ind w:left="550" w:hanging="550"/>
        <w:rPr>
          <w:del w:id="10534" w:author="AbbVie19" w:date="2025-04-16T12:21:00Z"/>
        </w:rPr>
      </w:pPr>
      <w:del w:id="10535" w:author="AbbVie19" w:date="2025-04-16T12:21:00Z">
        <w:r w:rsidRPr="00BC0E7E">
          <w:delText>vasculitis (inflammation of blood vessels);</w:delText>
        </w:r>
      </w:del>
    </w:p>
    <w:p w14:paraId="072D1F67" w14:textId="77777777" w:rsidR="00BC0E7E" w:rsidRPr="00BC0E7E" w:rsidRDefault="00944B8F" w:rsidP="00BC0E7E">
      <w:pPr>
        <w:numPr>
          <w:ilvl w:val="0"/>
          <w:numId w:val="25"/>
        </w:numPr>
        <w:tabs>
          <w:tab w:val="clear" w:pos="562"/>
          <w:tab w:val="clear" w:pos="720"/>
          <w:tab w:val="num" w:pos="550"/>
        </w:tabs>
        <w:ind w:left="550" w:hanging="550"/>
        <w:rPr>
          <w:del w:id="10536" w:author="AbbVie19" w:date="2025-04-16T12:21:00Z"/>
        </w:rPr>
      </w:pPr>
      <w:del w:id="10537" w:author="AbbVie19" w:date="2025-04-16T12:21:00Z">
        <w:r w:rsidRPr="00BC0E7E">
          <w:delText>tremor;</w:delText>
        </w:r>
      </w:del>
    </w:p>
    <w:p w14:paraId="691A564E" w14:textId="77777777" w:rsidR="00BC0E7E" w:rsidRPr="00BC0E7E" w:rsidRDefault="00944B8F" w:rsidP="00BC0E7E">
      <w:pPr>
        <w:numPr>
          <w:ilvl w:val="0"/>
          <w:numId w:val="25"/>
        </w:numPr>
        <w:tabs>
          <w:tab w:val="clear" w:pos="562"/>
          <w:tab w:val="clear" w:pos="720"/>
          <w:tab w:val="num" w:pos="550"/>
        </w:tabs>
        <w:ind w:left="550" w:hanging="550"/>
        <w:rPr>
          <w:del w:id="10538" w:author="AbbVie19" w:date="2025-04-16T12:21:00Z"/>
        </w:rPr>
      </w:pPr>
      <w:del w:id="10539" w:author="AbbVie19" w:date="2025-04-16T12:21:00Z">
        <w:r w:rsidRPr="00BC0E7E">
          <w:delText>stroke;</w:delText>
        </w:r>
      </w:del>
    </w:p>
    <w:p w14:paraId="326DEEC4" w14:textId="77777777" w:rsidR="00BC0E7E" w:rsidRPr="00BC0E7E" w:rsidRDefault="00944B8F" w:rsidP="00BC0E7E">
      <w:pPr>
        <w:numPr>
          <w:ilvl w:val="0"/>
          <w:numId w:val="25"/>
        </w:numPr>
        <w:tabs>
          <w:tab w:val="clear" w:pos="562"/>
          <w:tab w:val="clear" w:pos="720"/>
          <w:tab w:val="num" w:pos="550"/>
        </w:tabs>
        <w:ind w:left="550" w:hanging="550"/>
        <w:rPr>
          <w:del w:id="10540" w:author="AbbVie19" w:date="2025-04-16T12:21:00Z"/>
        </w:rPr>
      </w:pPr>
      <w:del w:id="10541" w:author="AbbVie19" w:date="2025-04-16T12:21:00Z">
        <w:r w:rsidRPr="00BC0E7E">
          <w:delText>neuropathy;</w:delText>
        </w:r>
      </w:del>
    </w:p>
    <w:p w14:paraId="3E6D956B" w14:textId="77777777" w:rsidR="00BC0E7E" w:rsidRPr="00BC0E7E" w:rsidRDefault="00944B8F" w:rsidP="00BC0E7E">
      <w:pPr>
        <w:numPr>
          <w:ilvl w:val="0"/>
          <w:numId w:val="25"/>
        </w:numPr>
        <w:tabs>
          <w:tab w:val="clear" w:pos="562"/>
          <w:tab w:val="clear" w:pos="720"/>
          <w:tab w:val="num" w:pos="550"/>
        </w:tabs>
        <w:ind w:left="550" w:hanging="550"/>
        <w:rPr>
          <w:del w:id="10542" w:author="AbbVie19" w:date="2025-04-16T12:21:00Z"/>
        </w:rPr>
      </w:pPr>
      <w:del w:id="10543" w:author="AbbVie19" w:date="2025-04-16T12:21:00Z">
        <w:r w:rsidRPr="00BC0E7E">
          <w:delText>hearing loss, buzzing;</w:delText>
        </w:r>
      </w:del>
    </w:p>
    <w:p w14:paraId="0D09F6E7" w14:textId="77777777" w:rsidR="00BC0E7E" w:rsidRPr="00BC0E7E" w:rsidRDefault="00944B8F" w:rsidP="00BC0E7E">
      <w:pPr>
        <w:numPr>
          <w:ilvl w:val="0"/>
          <w:numId w:val="25"/>
        </w:numPr>
        <w:tabs>
          <w:tab w:val="clear" w:pos="562"/>
          <w:tab w:val="clear" w:pos="720"/>
          <w:tab w:val="num" w:pos="550"/>
        </w:tabs>
        <w:ind w:left="550" w:hanging="550"/>
        <w:rPr>
          <w:del w:id="10544" w:author="AbbVie19" w:date="2025-04-16T12:21:00Z"/>
        </w:rPr>
      </w:pPr>
      <w:del w:id="10545" w:author="AbbVie19" w:date="2025-04-16T12:21:00Z">
        <w:r w:rsidRPr="00BC0E7E">
          <w:delText>sensation of heart beating irregularly such as skipped beats;</w:delText>
        </w:r>
      </w:del>
    </w:p>
    <w:p w14:paraId="5251A4E7" w14:textId="77777777" w:rsidR="00BC0E7E" w:rsidRPr="00BC0E7E" w:rsidRDefault="00944B8F" w:rsidP="00BC0E7E">
      <w:pPr>
        <w:numPr>
          <w:ilvl w:val="0"/>
          <w:numId w:val="25"/>
        </w:numPr>
        <w:tabs>
          <w:tab w:val="clear" w:pos="562"/>
          <w:tab w:val="clear" w:pos="720"/>
          <w:tab w:val="num" w:pos="550"/>
        </w:tabs>
        <w:ind w:left="550" w:hanging="550"/>
        <w:rPr>
          <w:del w:id="10546" w:author="AbbVie19" w:date="2025-04-16T12:21:00Z"/>
        </w:rPr>
      </w:pPr>
      <w:del w:id="10547" w:author="AbbVie19" w:date="2025-04-16T12:21:00Z">
        <w:r w:rsidRPr="00BC0E7E">
          <w:delText>heart problems that can cause shortness of breath or ankle swelling;</w:delText>
        </w:r>
      </w:del>
    </w:p>
    <w:p w14:paraId="21301979" w14:textId="77777777" w:rsidR="00BC0E7E" w:rsidRPr="00BC0E7E" w:rsidRDefault="00944B8F" w:rsidP="00BC0E7E">
      <w:pPr>
        <w:numPr>
          <w:ilvl w:val="0"/>
          <w:numId w:val="25"/>
        </w:numPr>
        <w:tabs>
          <w:tab w:val="clear" w:pos="562"/>
          <w:tab w:val="clear" w:pos="720"/>
          <w:tab w:val="num" w:pos="550"/>
        </w:tabs>
        <w:ind w:left="550" w:hanging="550"/>
        <w:rPr>
          <w:del w:id="10548" w:author="AbbVie19" w:date="2025-04-16T12:21:00Z"/>
        </w:rPr>
      </w:pPr>
      <w:del w:id="10549" w:author="AbbVie19" w:date="2025-04-16T12:21:00Z">
        <w:r w:rsidRPr="00BC0E7E">
          <w:delText>heart attack;</w:delText>
        </w:r>
      </w:del>
    </w:p>
    <w:p w14:paraId="4D4DEB7B" w14:textId="77777777" w:rsidR="00BC0E7E" w:rsidRPr="00BC0E7E" w:rsidRDefault="00944B8F" w:rsidP="00BC0E7E">
      <w:pPr>
        <w:numPr>
          <w:ilvl w:val="0"/>
          <w:numId w:val="25"/>
        </w:numPr>
        <w:tabs>
          <w:tab w:val="clear" w:pos="562"/>
          <w:tab w:val="clear" w:pos="720"/>
          <w:tab w:val="num" w:pos="550"/>
        </w:tabs>
        <w:ind w:left="550" w:hanging="550"/>
        <w:rPr>
          <w:del w:id="10550" w:author="AbbVie19" w:date="2025-04-16T12:21:00Z"/>
        </w:rPr>
      </w:pPr>
      <w:del w:id="10551" w:author="AbbVie19" w:date="2025-04-16T12:21:00Z">
        <w:r w:rsidRPr="00BC0E7E">
          <w:delText>a sac in the wall of a major artery, inflammation and clot of a vein; blockage of a blood vessel;</w:delText>
        </w:r>
      </w:del>
    </w:p>
    <w:p w14:paraId="414FB430" w14:textId="77777777" w:rsidR="00BC0E7E" w:rsidRPr="00BC0E7E" w:rsidRDefault="00944B8F" w:rsidP="00BC0E7E">
      <w:pPr>
        <w:numPr>
          <w:ilvl w:val="0"/>
          <w:numId w:val="25"/>
        </w:numPr>
        <w:tabs>
          <w:tab w:val="clear" w:pos="562"/>
          <w:tab w:val="clear" w:pos="720"/>
          <w:tab w:val="num" w:pos="550"/>
        </w:tabs>
        <w:ind w:left="550" w:hanging="550"/>
        <w:rPr>
          <w:del w:id="10552" w:author="AbbVie19" w:date="2025-04-16T12:21:00Z"/>
        </w:rPr>
      </w:pPr>
      <w:del w:id="10553" w:author="AbbVie19" w:date="2025-04-16T12:21:00Z">
        <w:r w:rsidRPr="00BC0E7E">
          <w:delText>lung diseases causing shortness of breath (including inflammation);</w:delText>
        </w:r>
      </w:del>
    </w:p>
    <w:p w14:paraId="29C05B7F" w14:textId="77777777" w:rsidR="00BC0E7E" w:rsidRPr="00BC0E7E" w:rsidRDefault="00944B8F" w:rsidP="00BC0E7E">
      <w:pPr>
        <w:numPr>
          <w:ilvl w:val="0"/>
          <w:numId w:val="25"/>
        </w:numPr>
        <w:tabs>
          <w:tab w:val="clear" w:pos="562"/>
          <w:tab w:val="clear" w:pos="720"/>
          <w:tab w:val="num" w:pos="550"/>
        </w:tabs>
        <w:ind w:left="550" w:hanging="550"/>
        <w:rPr>
          <w:del w:id="10554" w:author="AbbVie19" w:date="2025-04-16T12:21:00Z"/>
        </w:rPr>
      </w:pPr>
      <w:del w:id="10555" w:author="AbbVie19" w:date="2025-04-16T12:21:00Z">
        <w:r w:rsidRPr="00BC0E7E">
          <w:delText>pulmonary embolism (blockage in an artery of the lung);</w:delText>
        </w:r>
      </w:del>
    </w:p>
    <w:p w14:paraId="5382EA9B" w14:textId="77777777" w:rsidR="00BC0E7E" w:rsidRPr="00BC0E7E" w:rsidRDefault="00944B8F" w:rsidP="00BC0E7E">
      <w:pPr>
        <w:numPr>
          <w:ilvl w:val="0"/>
          <w:numId w:val="25"/>
        </w:numPr>
        <w:tabs>
          <w:tab w:val="clear" w:pos="562"/>
          <w:tab w:val="clear" w:pos="720"/>
          <w:tab w:val="num" w:pos="550"/>
        </w:tabs>
        <w:ind w:left="550" w:hanging="550"/>
        <w:rPr>
          <w:del w:id="10556" w:author="AbbVie19" w:date="2025-04-16T12:21:00Z"/>
        </w:rPr>
      </w:pPr>
      <w:del w:id="10557" w:author="AbbVie19" w:date="2025-04-16T12:21:00Z">
        <w:r w:rsidRPr="00BC0E7E">
          <w:delText>pleural effusion (abnormal collection of fluid on the pleural space);</w:delText>
        </w:r>
      </w:del>
    </w:p>
    <w:p w14:paraId="606F237C" w14:textId="77777777" w:rsidR="00BC0E7E" w:rsidRPr="00BC0E7E" w:rsidRDefault="00944B8F" w:rsidP="00BC0E7E">
      <w:pPr>
        <w:numPr>
          <w:ilvl w:val="0"/>
          <w:numId w:val="25"/>
        </w:numPr>
        <w:tabs>
          <w:tab w:val="clear" w:pos="562"/>
          <w:tab w:val="clear" w:pos="720"/>
          <w:tab w:val="num" w:pos="550"/>
        </w:tabs>
        <w:ind w:left="550" w:hanging="550"/>
        <w:rPr>
          <w:del w:id="10558" w:author="AbbVie19" w:date="2025-04-16T12:21:00Z"/>
        </w:rPr>
      </w:pPr>
      <w:del w:id="10559" w:author="AbbVie19" w:date="2025-04-16T12:21:00Z">
        <w:r w:rsidRPr="00BC0E7E">
          <w:delText>inflammation of the pancreas which causes severe pain in the abdomen and back;</w:delText>
        </w:r>
      </w:del>
    </w:p>
    <w:p w14:paraId="22B12A75" w14:textId="77777777" w:rsidR="00BC0E7E" w:rsidRPr="00BC0E7E" w:rsidRDefault="00944B8F" w:rsidP="00BC0E7E">
      <w:pPr>
        <w:numPr>
          <w:ilvl w:val="0"/>
          <w:numId w:val="25"/>
        </w:numPr>
        <w:tabs>
          <w:tab w:val="clear" w:pos="562"/>
          <w:tab w:val="clear" w:pos="720"/>
          <w:tab w:val="num" w:pos="550"/>
        </w:tabs>
        <w:ind w:left="550" w:hanging="550"/>
        <w:rPr>
          <w:del w:id="10560" w:author="AbbVie19" w:date="2025-04-16T12:21:00Z"/>
        </w:rPr>
      </w:pPr>
      <w:del w:id="10561" w:author="AbbVie19" w:date="2025-04-16T12:21:00Z">
        <w:r w:rsidRPr="00BC0E7E">
          <w:delText>difficulty in swallowing;</w:delText>
        </w:r>
      </w:del>
    </w:p>
    <w:p w14:paraId="01B69F40" w14:textId="77777777" w:rsidR="00BC0E7E" w:rsidRPr="00BC0E7E" w:rsidRDefault="00944B8F" w:rsidP="00BC0E7E">
      <w:pPr>
        <w:numPr>
          <w:ilvl w:val="0"/>
          <w:numId w:val="25"/>
        </w:numPr>
        <w:tabs>
          <w:tab w:val="clear" w:pos="562"/>
          <w:tab w:val="clear" w:pos="720"/>
          <w:tab w:val="num" w:pos="550"/>
        </w:tabs>
        <w:ind w:left="550" w:hanging="550"/>
        <w:rPr>
          <w:del w:id="10562" w:author="AbbVie19" w:date="2025-04-16T12:21:00Z"/>
        </w:rPr>
      </w:pPr>
      <w:del w:id="10563" w:author="AbbVie19" w:date="2025-04-16T12:21:00Z">
        <w:r w:rsidRPr="00BC0E7E">
          <w:delText>facial oedema;</w:delText>
        </w:r>
      </w:del>
    </w:p>
    <w:p w14:paraId="56081E6F" w14:textId="77777777" w:rsidR="00BC0E7E" w:rsidRPr="00BC0E7E" w:rsidRDefault="00944B8F" w:rsidP="00BC0E7E">
      <w:pPr>
        <w:numPr>
          <w:ilvl w:val="0"/>
          <w:numId w:val="25"/>
        </w:numPr>
        <w:tabs>
          <w:tab w:val="clear" w:pos="562"/>
          <w:tab w:val="clear" w:pos="720"/>
          <w:tab w:val="num" w:pos="550"/>
        </w:tabs>
        <w:ind w:left="550" w:hanging="550"/>
        <w:rPr>
          <w:del w:id="10564" w:author="AbbVie19" w:date="2025-04-16T12:21:00Z"/>
        </w:rPr>
      </w:pPr>
      <w:del w:id="10565" w:author="AbbVie19" w:date="2025-04-16T12:21:00Z">
        <w:r w:rsidRPr="00BC0E7E">
          <w:delText>gallbladder inflammation, gallbladder stones;</w:delText>
        </w:r>
      </w:del>
    </w:p>
    <w:p w14:paraId="10846D68" w14:textId="77777777" w:rsidR="00BC0E7E" w:rsidRPr="00BC0E7E" w:rsidRDefault="00944B8F" w:rsidP="00BC0E7E">
      <w:pPr>
        <w:numPr>
          <w:ilvl w:val="0"/>
          <w:numId w:val="25"/>
        </w:numPr>
        <w:tabs>
          <w:tab w:val="clear" w:pos="562"/>
          <w:tab w:val="clear" w:pos="720"/>
          <w:tab w:val="num" w:pos="550"/>
        </w:tabs>
        <w:ind w:left="550" w:hanging="550"/>
        <w:rPr>
          <w:del w:id="10566" w:author="AbbVie19" w:date="2025-04-16T12:21:00Z"/>
        </w:rPr>
      </w:pPr>
      <w:del w:id="10567" w:author="AbbVie19" w:date="2025-04-16T12:21:00Z">
        <w:r w:rsidRPr="00BC0E7E">
          <w:delText>fatty liver;</w:delText>
        </w:r>
      </w:del>
    </w:p>
    <w:p w14:paraId="4365FA89" w14:textId="77777777" w:rsidR="00BC0E7E" w:rsidRPr="00BC0E7E" w:rsidRDefault="00944B8F" w:rsidP="00BC0E7E">
      <w:pPr>
        <w:numPr>
          <w:ilvl w:val="0"/>
          <w:numId w:val="25"/>
        </w:numPr>
        <w:tabs>
          <w:tab w:val="clear" w:pos="562"/>
          <w:tab w:val="clear" w:pos="720"/>
          <w:tab w:val="num" w:pos="550"/>
        </w:tabs>
        <w:ind w:left="550" w:hanging="550"/>
        <w:rPr>
          <w:del w:id="10568" w:author="AbbVie19" w:date="2025-04-16T12:21:00Z"/>
        </w:rPr>
      </w:pPr>
      <w:del w:id="10569" w:author="AbbVie19" w:date="2025-04-16T12:21:00Z">
        <w:r w:rsidRPr="00BC0E7E">
          <w:delText>night sweats;</w:delText>
        </w:r>
      </w:del>
    </w:p>
    <w:p w14:paraId="3A4925BF" w14:textId="77777777" w:rsidR="00BC0E7E" w:rsidRPr="00BC0E7E" w:rsidRDefault="00944B8F" w:rsidP="00BC0E7E">
      <w:pPr>
        <w:numPr>
          <w:ilvl w:val="0"/>
          <w:numId w:val="25"/>
        </w:numPr>
        <w:tabs>
          <w:tab w:val="clear" w:pos="562"/>
          <w:tab w:val="clear" w:pos="720"/>
          <w:tab w:val="num" w:pos="550"/>
        </w:tabs>
        <w:ind w:left="550" w:hanging="550"/>
        <w:rPr>
          <w:del w:id="10570" w:author="AbbVie19" w:date="2025-04-16T12:21:00Z"/>
        </w:rPr>
      </w:pPr>
      <w:del w:id="10571" w:author="AbbVie19" w:date="2025-04-16T12:21:00Z">
        <w:r w:rsidRPr="00BC0E7E">
          <w:delText>scar;</w:delText>
        </w:r>
      </w:del>
    </w:p>
    <w:p w14:paraId="2339F145" w14:textId="77777777" w:rsidR="00BC0E7E" w:rsidRPr="00BC0E7E" w:rsidRDefault="00944B8F" w:rsidP="00BC0E7E">
      <w:pPr>
        <w:numPr>
          <w:ilvl w:val="0"/>
          <w:numId w:val="25"/>
        </w:numPr>
        <w:tabs>
          <w:tab w:val="clear" w:pos="562"/>
          <w:tab w:val="clear" w:pos="720"/>
          <w:tab w:val="num" w:pos="550"/>
        </w:tabs>
        <w:ind w:left="550" w:hanging="550"/>
        <w:rPr>
          <w:del w:id="10572" w:author="AbbVie19" w:date="2025-04-16T12:21:00Z"/>
        </w:rPr>
      </w:pPr>
      <w:del w:id="10573" w:author="AbbVie19" w:date="2025-04-16T12:21:00Z">
        <w:r w:rsidRPr="00BC0E7E">
          <w:delText>abnormal muscle breakdown;</w:delText>
        </w:r>
      </w:del>
    </w:p>
    <w:p w14:paraId="00E9B897" w14:textId="77777777" w:rsidR="00BC0E7E" w:rsidRPr="00BC0E7E" w:rsidRDefault="00944B8F" w:rsidP="00BC0E7E">
      <w:pPr>
        <w:numPr>
          <w:ilvl w:val="0"/>
          <w:numId w:val="25"/>
        </w:numPr>
        <w:tabs>
          <w:tab w:val="clear" w:pos="562"/>
          <w:tab w:val="clear" w:pos="720"/>
          <w:tab w:val="num" w:pos="550"/>
        </w:tabs>
        <w:ind w:left="550" w:hanging="550"/>
        <w:rPr>
          <w:del w:id="10574" w:author="AbbVie19" w:date="2025-04-16T12:21:00Z"/>
        </w:rPr>
      </w:pPr>
      <w:del w:id="10575" w:author="AbbVie19" w:date="2025-04-16T12:21:00Z">
        <w:r w:rsidRPr="00BC0E7E">
          <w:delText>systemic lupus erythematosus (including inflammation of skin, heart, lung, joints and other organ systems);</w:delText>
        </w:r>
      </w:del>
    </w:p>
    <w:p w14:paraId="215B2823" w14:textId="77777777" w:rsidR="00BC0E7E" w:rsidRPr="00BC0E7E" w:rsidRDefault="00944B8F" w:rsidP="00BC0E7E">
      <w:pPr>
        <w:numPr>
          <w:ilvl w:val="0"/>
          <w:numId w:val="25"/>
        </w:numPr>
        <w:tabs>
          <w:tab w:val="clear" w:pos="562"/>
          <w:tab w:val="clear" w:pos="720"/>
          <w:tab w:val="num" w:pos="550"/>
        </w:tabs>
        <w:ind w:left="550" w:hanging="550"/>
        <w:rPr>
          <w:del w:id="10576" w:author="AbbVie19" w:date="2025-04-16T12:21:00Z"/>
        </w:rPr>
      </w:pPr>
      <w:del w:id="10577" w:author="AbbVie19" w:date="2025-04-16T12:21:00Z">
        <w:r w:rsidRPr="00BC0E7E">
          <w:delText>sleep interruptions;</w:delText>
        </w:r>
      </w:del>
    </w:p>
    <w:p w14:paraId="411F91CB" w14:textId="77777777" w:rsidR="00BC0E7E" w:rsidRPr="00BC0E7E" w:rsidRDefault="00944B8F" w:rsidP="00BC0E7E">
      <w:pPr>
        <w:numPr>
          <w:ilvl w:val="0"/>
          <w:numId w:val="25"/>
        </w:numPr>
        <w:tabs>
          <w:tab w:val="clear" w:pos="562"/>
          <w:tab w:val="clear" w:pos="720"/>
          <w:tab w:val="num" w:pos="550"/>
        </w:tabs>
        <w:ind w:left="550" w:hanging="550"/>
        <w:rPr>
          <w:del w:id="10578" w:author="AbbVie19" w:date="2025-04-16T12:21:00Z"/>
        </w:rPr>
      </w:pPr>
      <w:del w:id="10579" w:author="AbbVie19" w:date="2025-04-16T12:21:00Z">
        <w:r w:rsidRPr="00BC0E7E">
          <w:delText>impotence;</w:delText>
        </w:r>
      </w:del>
    </w:p>
    <w:p w14:paraId="7328FE3C" w14:textId="77777777" w:rsidR="00BC0E7E" w:rsidRPr="00BC0E7E" w:rsidRDefault="00944B8F" w:rsidP="00BC0E7E">
      <w:pPr>
        <w:numPr>
          <w:ilvl w:val="0"/>
          <w:numId w:val="25"/>
        </w:numPr>
        <w:tabs>
          <w:tab w:val="clear" w:pos="562"/>
          <w:tab w:val="clear" w:pos="720"/>
          <w:tab w:val="num" w:pos="550"/>
        </w:tabs>
        <w:ind w:left="550" w:hanging="550"/>
        <w:rPr>
          <w:del w:id="10580" w:author="AbbVie19" w:date="2025-04-16T12:21:00Z"/>
        </w:rPr>
      </w:pPr>
      <w:del w:id="10581" w:author="AbbVie19" w:date="2025-04-16T12:21:00Z">
        <w:r w:rsidRPr="00BC0E7E">
          <w:delText>inflammations.</w:delText>
        </w:r>
      </w:del>
    </w:p>
    <w:p w14:paraId="06AE3218" w14:textId="77777777" w:rsidR="00BC0E7E" w:rsidRPr="00BC0E7E" w:rsidRDefault="00BC0E7E" w:rsidP="00BC0E7E">
      <w:pPr>
        <w:rPr>
          <w:del w:id="10582" w:author="AbbVie19" w:date="2025-04-16T12:21:00Z"/>
        </w:rPr>
      </w:pPr>
    </w:p>
    <w:p w14:paraId="63C48494" w14:textId="77777777" w:rsidR="00BC0E7E" w:rsidRPr="00BC0E7E" w:rsidRDefault="00944B8F" w:rsidP="00BC0E7E">
      <w:pPr>
        <w:tabs>
          <w:tab w:val="clear" w:pos="562"/>
          <w:tab w:val="num" w:pos="550"/>
        </w:tabs>
        <w:ind w:left="550" w:hanging="550"/>
        <w:rPr>
          <w:del w:id="10583" w:author="AbbVie19" w:date="2025-04-16T12:21:00Z"/>
        </w:rPr>
      </w:pPr>
      <w:del w:id="10584" w:author="AbbVie19" w:date="2025-04-16T12:21:00Z">
        <w:r w:rsidRPr="00BC0E7E">
          <w:delText>Rare (may affect up to 1 in 1000 people)</w:delText>
        </w:r>
      </w:del>
    </w:p>
    <w:p w14:paraId="051F1502" w14:textId="77777777" w:rsidR="00BC0E7E" w:rsidRPr="00BC0E7E" w:rsidRDefault="00BC0E7E" w:rsidP="00BC0E7E">
      <w:pPr>
        <w:tabs>
          <w:tab w:val="clear" w:pos="562"/>
        </w:tabs>
        <w:rPr>
          <w:del w:id="10585" w:author="AbbVie19" w:date="2025-04-16T12:21:00Z"/>
        </w:rPr>
      </w:pPr>
    </w:p>
    <w:p w14:paraId="1475AF24" w14:textId="77777777" w:rsidR="00BC0E7E" w:rsidRPr="00BC0E7E" w:rsidRDefault="00944B8F" w:rsidP="00BC0E7E">
      <w:pPr>
        <w:numPr>
          <w:ilvl w:val="0"/>
          <w:numId w:val="21"/>
        </w:numPr>
        <w:tabs>
          <w:tab w:val="clear" w:pos="562"/>
          <w:tab w:val="clear" w:pos="720"/>
          <w:tab w:val="num" w:pos="550"/>
        </w:tabs>
        <w:ind w:left="550" w:hanging="550"/>
        <w:rPr>
          <w:del w:id="10586" w:author="AbbVie19" w:date="2025-04-16T12:21:00Z"/>
        </w:rPr>
      </w:pPr>
      <w:del w:id="10587" w:author="AbbVie19" w:date="2025-04-16T12:21:00Z">
        <w:r w:rsidRPr="00BC0E7E">
          <w:delText>leukemia (cancer affecting the blood and bone marrow);</w:delText>
        </w:r>
      </w:del>
    </w:p>
    <w:p w14:paraId="01CCC183" w14:textId="77777777" w:rsidR="00BC0E7E" w:rsidRPr="00BC0E7E" w:rsidRDefault="00944B8F" w:rsidP="00BC0E7E">
      <w:pPr>
        <w:numPr>
          <w:ilvl w:val="0"/>
          <w:numId w:val="21"/>
        </w:numPr>
        <w:tabs>
          <w:tab w:val="clear" w:pos="562"/>
          <w:tab w:val="clear" w:pos="720"/>
          <w:tab w:val="num" w:pos="550"/>
        </w:tabs>
        <w:ind w:left="550" w:hanging="550"/>
        <w:rPr>
          <w:del w:id="10588" w:author="AbbVie19" w:date="2025-04-16T12:21:00Z"/>
        </w:rPr>
      </w:pPr>
      <w:del w:id="10589" w:author="AbbVie19" w:date="2025-04-16T12:21:00Z">
        <w:r w:rsidRPr="00BC0E7E">
          <w:delText>severe allergic reaction with shock;</w:delText>
        </w:r>
      </w:del>
    </w:p>
    <w:p w14:paraId="2728725E" w14:textId="77777777" w:rsidR="00BC0E7E" w:rsidRPr="00BC0E7E" w:rsidRDefault="00944B8F" w:rsidP="00BC0E7E">
      <w:pPr>
        <w:numPr>
          <w:ilvl w:val="0"/>
          <w:numId w:val="21"/>
        </w:numPr>
        <w:tabs>
          <w:tab w:val="clear" w:pos="562"/>
          <w:tab w:val="clear" w:pos="720"/>
          <w:tab w:val="num" w:pos="550"/>
        </w:tabs>
        <w:ind w:left="550" w:hanging="550"/>
        <w:rPr>
          <w:del w:id="10590" w:author="AbbVie19" w:date="2025-04-16T12:21:00Z"/>
        </w:rPr>
      </w:pPr>
      <w:del w:id="10591" w:author="AbbVie19" w:date="2025-04-16T12:21:00Z">
        <w:r w:rsidRPr="00BC0E7E">
          <w:delText>multiple sclerosis;</w:delText>
        </w:r>
      </w:del>
    </w:p>
    <w:p w14:paraId="55B84755" w14:textId="77777777" w:rsidR="00BC0E7E" w:rsidRPr="00BC0E7E" w:rsidRDefault="00944B8F" w:rsidP="00BC0E7E">
      <w:pPr>
        <w:numPr>
          <w:ilvl w:val="0"/>
          <w:numId w:val="21"/>
        </w:numPr>
        <w:tabs>
          <w:tab w:val="clear" w:pos="562"/>
          <w:tab w:val="clear" w:pos="720"/>
          <w:tab w:val="num" w:pos="550"/>
        </w:tabs>
        <w:ind w:left="550" w:hanging="550"/>
        <w:rPr>
          <w:del w:id="10592" w:author="AbbVie19" w:date="2025-04-16T12:21:00Z"/>
        </w:rPr>
      </w:pPr>
      <w:del w:id="10593" w:author="AbbVie19" w:date="2025-04-16T12:21:00Z">
        <w:r w:rsidRPr="00BC0E7E">
          <w:delText>nerve disorders (such as eye nerve inflammation and Guillain-Barré syndrome that may cause muscle weakness, abnormal sensations, tingling in the arms and upper body);</w:delText>
        </w:r>
      </w:del>
    </w:p>
    <w:p w14:paraId="199567CA" w14:textId="77777777" w:rsidR="00BC0E7E" w:rsidRPr="00BC0E7E" w:rsidRDefault="00944B8F" w:rsidP="00BC0E7E">
      <w:pPr>
        <w:numPr>
          <w:ilvl w:val="0"/>
          <w:numId w:val="21"/>
        </w:numPr>
        <w:tabs>
          <w:tab w:val="clear" w:pos="562"/>
          <w:tab w:val="clear" w:pos="720"/>
          <w:tab w:val="num" w:pos="550"/>
        </w:tabs>
        <w:ind w:left="550" w:hanging="550"/>
        <w:rPr>
          <w:del w:id="10594" w:author="AbbVie19" w:date="2025-04-16T12:21:00Z"/>
        </w:rPr>
      </w:pPr>
      <w:del w:id="10595" w:author="AbbVie19" w:date="2025-04-16T12:21:00Z">
        <w:r w:rsidRPr="00BC0E7E">
          <w:lastRenderedPageBreak/>
          <w:delText>heart stops pumping;</w:delText>
        </w:r>
      </w:del>
    </w:p>
    <w:p w14:paraId="13BB770B" w14:textId="77777777" w:rsidR="00BC0E7E" w:rsidRPr="00BC0E7E" w:rsidRDefault="00944B8F" w:rsidP="00BC0E7E">
      <w:pPr>
        <w:numPr>
          <w:ilvl w:val="0"/>
          <w:numId w:val="21"/>
        </w:numPr>
        <w:tabs>
          <w:tab w:val="clear" w:pos="562"/>
          <w:tab w:val="clear" w:pos="720"/>
          <w:tab w:val="num" w:pos="550"/>
        </w:tabs>
        <w:ind w:left="550" w:hanging="550"/>
        <w:rPr>
          <w:del w:id="10596" w:author="AbbVie19" w:date="2025-04-16T12:21:00Z"/>
        </w:rPr>
      </w:pPr>
      <w:del w:id="10597" w:author="AbbVie19" w:date="2025-04-16T12:21:00Z">
        <w:r w:rsidRPr="00BC0E7E">
          <w:delText>pulmonary fibrosis (scarring of the lung);</w:delText>
        </w:r>
      </w:del>
    </w:p>
    <w:p w14:paraId="19D29F7D" w14:textId="77777777" w:rsidR="00BC0E7E" w:rsidRPr="00BC0E7E" w:rsidRDefault="00944B8F" w:rsidP="00BC0E7E">
      <w:pPr>
        <w:numPr>
          <w:ilvl w:val="0"/>
          <w:numId w:val="21"/>
        </w:numPr>
        <w:tabs>
          <w:tab w:val="clear" w:pos="562"/>
          <w:tab w:val="clear" w:pos="720"/>
          <w:tab w:val="num" w:pos="550"/>
        </w:tabs>
        <w:ind w:left="550" w:hanging="550"/>
        <w:rPr>
          <w:del w:id="10598" w:author="AbbVie19" w:date="2025-04-16T12:21:00Z"/>
        </w:rPr>
      </w:pPr>
      <w:del w:id="10599" w:author="AbbVie19" w:date="2025-04-16T12:21:00Z">
        <w:r w:rsidRPr="00BC0E7E">
          <w:delText>intestinal perforation;</w:delText>
        </w:r>
      </w:del>
    </w:p>
    <w:p w14:paraId="403D449E" w14:textId="77777777" w:rsidR="00BC0E7E" w:rsidRPr="00BC0E7E" w:rsidRDefault="00944B8F" w:rsidP="00BC0E7E">
      <w:pPr>
        <w:numPr>
          <w:ilvl w:val="0"/>
          <w:numId w:val="21"/>
        </w:numPr>
        <w:tabs>
          <w:tab w:val="clear" w:pos="562"/>
          <w:tab w:val="clear" w:pos="720"/>
          <w:tab w:val="num" w:pos="550"/>
        </w:tabs>
        <w:ind w:left="550" w:hanging="550"/>
        <w:rPr>
          <w:del w:id="10600" w:author="AbbVie19" w:date="2025-04-16T12:21:00Z"/>
        </w:rPr>
      </w:pPr>
      <w:del w:id="10601" w:author="AbbVie19" w:date="2025-04-16T12:21:00Z">
        <w:r w:rsidRPr="00BC0E7E">
          <w:delText>hepatitis;</w:delText>
        </w:r>
      </w:del>
    </w:p>
    <w:p w14:paraId="097E42CF" w14:textId="77777777" w:rsidR="00BC0E7E" w:rsidRPr="00BC0E7E" w:rsidRDefault="00944B8F" w:rsidP="00BC0E7E">
      <w:pPr>
        <w:numPr>
          <w:ilvl w:val="0"/>
          <w:numId w:val="21"/>
        </w:numPr>
        <w:tabs>
          <w:tab w:val="clear" w:pos="562"/>
          <w:tab w:val="clear" w:pos="720"/>
          <w:tab w:val="num" w:pos="550"/>
        </w:tabs>
        <w:ind w:left="550" w:hanging="550"/>
        <w:rPr>
          <w:del w:id="10602" w:author="AbbVie19" w:date="2025-04-16T12:21:00Z"/>
        </w:rPr>
      </w:pPr>
      <w:del w:id="10603" w:author="AbbVie19" w:date="2025-04-16T12:21:00Z">
        <w:r w:rsidRPr="00BC0E7E">
          <w:delText>reactivation of hepatitis B;</w:delText>
        </w:r>
      </w:del>
    </w:p>
    <w:p w14:paraId="4BD5B7C5" w14:textId="77777777" w:rsidR="00BC0E7E" w:rsidRPr="00BC0E7E" w:rsidRDefault="00944B8F" w:rsidP="00BC0E7E">
      <w:pPr>
        <w:numPr>
          <w:ilvl w:val="0"/>
          <w:numId w:val="21"/>
        </w:numPr>
        <w:tabs>
          <w:tab w:val="clear" w:pos="562"/>
          <w:tab w:val="clear" w:pos="720"/>
          <w:tab w:val="num" w:pos="550"/>
        </w:tabs>
        <w:ind w:left="550" w:hanging="550"/>
        <w:rPr>
          <w:del w:id="10604" w:author="AbbVie19" w:date="2025-04-16T12:21:00Z"/>
        </w:rPr>
      </w:pPr>
      <w:del w:id="10605" w:author="AbbVie19" w:date="2025-04-16T12:21:00Z">
        <w:r w:rsidRPr="00BC0E7E">
          <w:delText>autoimmune hepatitis (inflammation of the liver caused by the body's own immune system);</w:delText>
        </w:r>
      </w:del>
    </w:p>
    <w:p w14:paraId="60F7DFB9" w14:textId="77777777" w:rsidR="00BC0E7E" w:rsidRPr="00BC0E7E" w:rsidRDefault="00944B8F" w:rsidP="00BC0E7E">
      <w:pPr>
        <w:numPr>
          <w:ilvl w:val="0"/>
          <w:numId w:val="21"/>
        </w:numPr>
        <w:tabs>
          <w:tab w:val="clear" w:pos="562"/>
          <w:tab w:val="clear" w:pos="720"/>
          <w:tab w:val="num" w:pos="550"/>
        </w:tabs>
        <w:ind w:left="550" w:hanging="550"/>
        <w:rPr>
          <w:del w:id="10606" w:author="AbbVie19" w:date="2025-04-16T12:21:00Z"/>
        </w:rPr>
      </w:pPr>
      <w:del w:id="10607" w:author="AbbVie19" w:date="2025-04-16T12:21:00Z">
        <w:r w:rsidRPr="00BC0E7E">
          <w:delText>cutaneous vasculitis (inflammation of blood vessels in the skin);</w:delText>
        </w:r>
      </w:del>
    </w:p>
    <w:p w14:paraId="204EB046" w14:textId="77777777" w:rsidR="00BC0E7E" w:rsidRPr="00BC0E7E" w:rsidRDefault="00944B8F" w:rsidP="00BC0E7E">
      <w:pPr>
        <w:numPr>
          <w:ilvl w:val="0"/>
          <w:numId w:val="21"/>
        </w:numPr>
        <w:tabs>
          <w:tab w:val="clear" w:pos="562"/>
          <w:tab w:val="clear" w:pos="720"/>
          <w:tab w:val="num" w:pos="550"/>
        </w:tabs>
        <w:ind w:left="550" w:hanging="550"/>
        <w:rPr>
          <w:del w:id="10608" w:author="AbbVie19" w:date="2025-04-16T12:21:00Z"/>
        </w:rPr>
      </w:pPr>
      <w:del w:id="10609" w:author="AbbVie19" w:date="2025-04-16T12:21:00Z">
        <w:r w:rsidRPr="00BC0E7E">
          <w:delText>Stevens-Johnson syndrome (early symptoms include malaise, fever, headache and rash);</w:delText>
        </w:r>
      </w:del>
    </w:p>
    <w:p w14:paraId="05CD2EC5" w14:textId="77777777" w:rsidR="00BC0E7E" w:rsidRPr="00BC0E7E" w:rsidRDefault="00944B8F" w:rsidP="00BC0E7E">
      <w:pPr>
        <w:numPr>
          <w:ilvl w:val="0"/>
          <w:numId w:val="21"/>
        </w:numPr>
        <w:tabs>
          <w:tab w:val="clear" w:pos="562"/>
          <w:tab w:val="clear" w:pos="720"/>
          <w:tab w:val="num" w:pos="550"/>
        </w:tabs>
        <w:ind w:left="550" w:hanging="550"/>
        <w:rPr>
          <w:del w:id="10610" w:author="AbbVie19" w:date="2025-04-16T12:21:00Z"/>
        </w:rPr>
      </w:pPr>
      <w:del w:id="10611" w:author="AbbVie19" w:date="2025-04-16T12:21:00Z">
        <w:r w:rsidRPr="00BC0E7E">
          <w:delText>facial oedema associated with allergic reactions;</w:delText>
        </w:r>
      </w:del>
    </w:p>
    <w:p w14:paraId="2B87FE08" w14:textId="77777777" w:rsidR="00BC0E7E" w:rsidRPr="00BC0E7E" w:rsidRDefault="00944B8F" w:rsidP="00BC0E7E">
      <w:pPr>
        <w:numPr>
          <w:ilvl w:val="0"/>
          <w:numId w:val="21"/>
        </w:numPr>
        <w:tabs>
          <w:tab w:val="clear" w:pos="562"/>
          <w:tab w:val="clear" w:pos="720"/>
          <w:tab w:val="num" w:pos="550"/>
        </w:tabs>
        <w:ind w:left="550" w:hanging="550"/>
        <w:rPr>
          <w:del w:id="10612" w:author="AbbVie19" w:date="2025-04-16T12:21:00Z"/>
        </w:rPr>
      </w:pPr>
      <w:del w:id="10613" w:author="AbbVie19" w:date="2025-04-16T12:21:00Z">
        <w:r w:rsidRPr="00BC0E7E">
          <w:delText>erythema multiforme (inflammatory skin rash);</w:delText>
        </w:r>
      </w:del>
    </w:p>
    <w:p w14:paraId="1B2930CE" w14:textId="77777777" w:rsidR="00086351" w:rsidRDefault="00944B8F" w:rsidP="00086351">
      <w:pPr>
        <w:numPr>
          <w:ilvl w:val="0"/>
          <w:numId w:val="21"/>
        </w:numPr>
        <w:tabs>
          <w:tab w:val="clear" w:pos="562"/>
          <w:tab w:val="clear" w:pos="720"/>
          <w:tab w:val="num" w:pos="550"/>
        </w:tabs>
        <w:ind w:left="550" w:hanging="550"/>
        <w:rPr>
          <w:del w:id="10614" w:author="AbbVie19" w:date="2025-04-16T12:21:00Z"/>
        </w:rPr>
      </w:pPr>
      <w:del w:id="10615" w:author="AbbVie19" w:date="2025-04-16T12:21:00Z">
        <w:r w:rsidRPr="00BC0E7E">
          <w:delText>lupus-like syndrome</w:delText>
        </w:r>
        <w:r>
          <w:delText>;</w:delText>
        </w:r>
      </w:del>
    </w:p>
    <w:p w14:paraId="164215A5" w14:textId="77777777" w:rsidR="00BC0E7E" w:rsidRDefault="00944B8F" w:rsidP="00086351">
      <w:pPr>
        <w:numPr>
          <w:ilvl w:val="0"/>
          <w:numId w:val="21"/>
        </w:numPr>
        <w:tabs>
          <w:tab w:val="clear" w:pos="562"/>
          <w:tab w:val="clear" w:pos="720"/>
          <w:tab w:val="num" w:pos="550"/>
        </w:tabs>
        <w:ind w:left="550" w:hanging="550"/>
        <w:rPr>
          <w:del w:id="10616" w:author="AbbVie19" w:date="2025-04-16T12:21:00Z"/>
        </w:rPr>
      </w:pPr>
      <w:del w:id="10617" w:author="AbbVie19" w:date="2025-04-16T12:21:00Z">
        <w:r w:rsidRPr="00086351">
          <w:delText>angioedema (localized swelling of the skin)</w:delText>
        </w:r>
        <w:r w:rsidR="00F96AB6">
          <w:delText>;</w:delText>
        </w:r>
      </w:del>
    </w:p>
    <w:p w14:paraId="0045275F" w14:textId="77777777" w:rsidR="00F96AB6" w:rsidRPr="00086351" w:rsidRDefault="00944B8F" w:rsidP="00086351">
      <w:pPr>
        <w:numPr>
          <w:ilvl w:val="0"/>
          <w:numId w:val="21"/>
        </w:numPr>
        <w:tabs>
          <w:tab w:val="clear" w:pos="562"/>
          <w:tab w:val="clear" w:pos="720"/>
          <w:tab w:val="num" w:pos="550"/>
        </w:tabs>
        <w:ind w:left="550" w:hanging="550"/>
        <w:rPr>
          <w:del w:id="10618" w:author="AbbVie19" w:date="2025-04-16T12:21:00Z"/>
        </w:rPr>
      </w:pPr>
      <w:del w:id="10619" w:author="AbbVie19" w:date="2025-04-16T12:21:00Z">
        <w:r>
          <w:delText>lichenoid skin reaction (</w:delText>
        </w:r>
        <w:r w:rsidRPr="00747944">
          <w:delText>it</w:delText>
        </w:r>
        <w:r>
          <w:delText xml:space="preserve">chy reddish-purple skin </w:delText>
        </w:r>
        <w:r w:rsidRPr="00747944">
          <w:delText>rash</w:delText>
        </w:r>
        <w:r>
          <w:delText>).</w:delText>
        </w:r>
      </w:del>
    </w:p>
    <w:p w14:paraId="78042579" w14:textId="77777777" w:rsidR="00BC0E7E" w:rsidRPr="00BC0E7E" w:rsidRDefault="00BC0E7E" w:rsidP="00BC0E7E">
      <w:pPr>
        <w:rPr>
          <w:del w:id="10620" w:author="AbbVie19" w:date="2025-04-16T12:21:00Z"/>
          <w:szCs w:val="20"/>
        </w:rPr>
      </w:pPr>
    </w:p>
    <w:p w14:paraId="521E9B7A" w14:textId="77777777" w:rsidR="00BC0E7E" w:rsidRPr="00BC0E7E" w:rsidRDefault="00944B8F" w:rsidP="00C568D0">
      <w:pPr>
        <w:keepNext/>
        <w:rPr>
          <w:del w:id="10621" w:author="AbbVie19" w:date="2025-04-16T12:21:00Z"/>
          <w:rFonts w:eastAsia="MS Mincho"/>
          <w:szCs w:val="20"/>
        </w:rPr>
      </w:pPr>
      <w:del w:id="10622" w:author="AbbVie19" w:date="2025-04-16T12:21:00Z">
        <w:r w:rsidRPr="00BC0E7E">
          <w:rPr>
            <w:rFonts w:eastAsia="MS Mincho"/>
            <w:szCs w:val="20"/>
          </w:rPr>
          <w:delText>Not known (frequency cannot be estimated from available data)</w:delText>
        </w:r>
      </w:del>
    </w:p>
    <w:p w14:paraId="7B3F7D98" w14:textId="77777777" w:rsidR="00BC0E7E" w:rsidRPr="00BC0E7E" w:rsidRDefault="00BC0E7E" w:rsidP="00C568D0">
      <w:pPr>
        <w:keepNext/>
        <w:rPr>
          <w:del w:id="10623" w:author="AbbVie19" w:date="2025-04-16T12:21:00Z"/>
          <w:rFonts w:eastAsia="MS Mincho"/>
          <w:szCs w:val="20"/>
        </w:rPr>
      </w:pPr>
    </w:p>
    <w:p w14:paraId="4DC22E19" w14:textId="77777777" w:rsidR="00BC0E7E" w:rsidRPr="00BC0E7E" w:rsidRDefault="00944B8F" w:rsidP="00D51999">
      <w:pPr>
        <w:keepNext/>
        <w:numPr>
          <w:ilvl w:val="0"/>
          <w:numId w:val="43"/>
        </w:numPr>
        <w:rPr>
          <w:del w:id="10624" w:author="AbbVie19" w:date="2025-04-16T12:21:00Z"/>
          <w:rFonts w:eastAsia="MS Mincho"/>
          <w:szCs w:val="20"/>
        </w:rPr>
      </w:pPr>
      <w:del w:id="10625" w:author="AbbVie19" w:date="2025-04-16T12:21:00Z">
        <w:r w:rsidRPr="00BC0E7E">
          <w:rPr>
            <w:rFonts w:eastAsia="MS Mincho"/>
            <w:szCs w:val="20"/>
          </w:rPr>
          <w:delText>hepatosplenic T-cell lymphoma (a rare blood cancer that is often fatal);</w:delText>
        </w:r>
      </w:del>
    </w:p>
    <w:p w14:paraId="2D6F54EB" w14:textId="77777777" w:rsidR="00BC0E7E" w:rsidRDefault="00944B8F" w:rsidP="00D51999">
      <w:pPr>
        <w:keepNext/>
        <w:numPr>
          <w:ilvl w:val="0"/>
          <w:numId w:val="43"/>
        </w:numPr>
        <w:rPr>
          <w:del w:id="10626" w:author="AbbVie19" w:date="2025-04-16T12:21:00Z"/>
          <w:rFonts w:eastAsia="MS Mincho"/>
          <w:szCs w:val="20"/>
        </w:rPr>
      </w:pPr>
      <w:del w:id="10627" w:author="AbbVie19" w:date="2025-04-16T12:21:00Z">
        <w:r w:rsidRPr="00BC0E7E">
          <w:rPr>
            <w:rFonts w:eastAsia="MS Mincho"/>
            <w:szCs w:val="20"/>
          </w:rPr>
          <w:delText>Merkel cell carcinoma (a type of skin cancer);</w:delText>
        </w:r>
      </w:del>
    </w:p>
    <w:p w14:paraId="23197B10" w14:textId="77777777" w:rsidR="00F9435E" w:rsidRPr="00F9435E" w:rsidRDefault="00944B8F" w:rsidP="00F9435E">
      <w:pPr>
        <w:numPr>
          <w:ilvl w:val="0"/>
          <w:numId w:val="43"/>
        </w:numPr>
        <w:rPr>
          <w:del w:id="10628" w:author="AbbVie19" w:date="2025-04-16T12:21:00Z"/>
          <w:rFonts w:eastAsia="MS Mincho"/>
          <w:szCs w:val="20"/>
        </w:rPr>
      </w:pPr>
      <w:del w:id="10629" w:author="AbbVie19" w:date="2025-04-16T12:21:00Z">
        <w:r>
          <w:rPr>
            <w:rFonts w:eastAsia="MS Mincho"/>
            <w:szCs w:val="20"/>
          </w:rPr>
          <w:delText>Kaposi’s sarcoma, a rare cancer related to infection with human herpes virus 8. Kaposi’s sarcoma most commonly appears as purple lesions on the skin;</w:delText>
        </w:r>
      </w:del>
    </w:p>
    <w:p w14:paraId="2392D76D" w14:textId="77777777" w:rsidR="00BC0E7E" w:rsidRPr="00BC0E7E" w:rsidRDefault="00944B8F" w:rsidP="00D51999">
      <w:pPr>
        <w:keepNext/>
        <w:numPr>
          <w:ilvl w:val="0"/>
          <w:numId w:val="43"/>
        </w:numPr>
        <w:rPr>
          <w:del w:id="10630" w:author="AbbVie19" w:date="2025-04-16T12:21:00Z"/>
        </w:rPr>
      </w:pPr>
      <w:del w:id="10631" w:author="AbbVie19" w:date="2025-04-16T12:21:00Z">
        <w:r w:rsidRPr="00BC0E7E">
          <w:rPr>
            <w:rFonts w:eastAsia="MS Mincho"/>
            <w:szCs w:val="20"/>
          </w:rPr>
          <w:delText>liver failure;</w:delText>
        </w:r>
      </w:del>
    </w:p>
    <w:p w14:paraId="535F366E" w14:textId="77777777" w:rsidR="0099199E" w:rsidRDefault="00944B8F" w:rsidP="00B87123">
      <w:pPr>
        <w:keepNext/>
        <w:numPr>
          <w:ilvl w:val="0"/>
          <w:numId w:val="43"/>
        </w:numPr>
        <w:rPr>
          <w:del w:id="10632" w:author="AbbVie19" w:date="2025-04-16T12:21:00Z"/>
          <w:rFonts w:eastAsia="MS Mincho"/>
          <w:szCs w:val="20"/>
        </w:rPr>
      </w:pPr>
      <w:del w:id="10633" w:author="AbbVie19" w:date="2025-04-16T12:21:00Z">
        <w:r w:rsidRPr="00B87123">
          <w:rPr>
            <w:rFonts w:eastAsia="MS Mincho"/>
            <w:szCs w:val="20"/>
          </w:rPr>
          <w:delText>worsening of a condition called dermatomyositis (seen as a skin rash accompanying muscle weakness)</w:delText>
        </w:r>
        <w:r>
          <w:rPr>
            <w:rFonts w:eastAsia="MS Mincho"/>
            <w:szCs w:val="20"/>
          </w:rPr>
          <w:delText>;</w:delText>
        </w:r>
      </w:del>
    </w:p>
    <w:p w14:paraId="06B7FEE5" w14:textId="77777777" w:rsidR="0099199E" w:rsidRPr="00B87123" w:rsidRDefault="00944B8F" w:rsidP="00B87123">
      <w:pPr>
        <w:keepNext/>
        <w:numPr>
          <w:ilvl w:val="0"/>
          <w:numId w:val="43"/>
        </w:numPr>
        <w:rPr>
          <w:del w:id="10634" w:author="AbbVie19" w:date="2025-04-16T12:21:00Z"/>
          <w:rFonts w:eastAsia="MS Mincho"/>
          <w:szCs w:val="20"/>
        </w:rPr>
      </w:pPr>
      <w:del w:id="10635" w:author="AbbVie19" w:date="2025-04-16T12:21:00Z">
        <w:r w:rsidRPr="00693052">
          <w:rPr>
            <w:szCs w:val="22"/>
            <w:lang w:val="en-US"/>
          </w:rPr>
          <w:delText>weight gain (for most patients, the weight gain was small)</w:delText>
        </w:r>
        <w:r w:rsidR="00BC0E7E" w:rsidRPr="00B87123">
          <w:rPr>
            <w:rFonts w:eastAsia="MS Mincho"/>
            <w:szCs w:val="20"/>
          </w:rPr>
          <w:delText>.</w:delText>
        </w:r>
      </w:del>
    </w:p>
    <w:p w14:paraId="5BBA3E01" w14:textId="77777777" w:rsidR="00BC0E7E" w:rsidRPr="00BC0E7E" w:rsidRDefault="00BC0E7E" w:rsidP="00BC0E7E">
      <w:pPr>
        <w:rPr>
          <w:del w:id="10636" w:author="AbbVie19" w:date="2025-04-16T12:21:00Z"/>
        </w:rPr>
      </w:pPr>
    </w:p>
    <w:p w14:paraId="12E989A7" w14:textId="77777777" w:rsidR="00BC0E7E" w:rsidRPr="00BC0E7E" w:rsidRDefault="00944B8F" w:rsidP="00BC0E7E">
      <w:pPr>
        <w:autoSpaceDE w:val="0"/>
        <w:autoSpaceDN w:val="0"/>
        <w:adjustRightInd w:val="0"/>
        <w:spacing w:line="240" w:lineRule="atLeast"/>
        <w:rPr>
          <w:del w:id="10637" w:author="AbbVie19" w:date="2025-04-16T12:21:00Z"/>
          <w:lang w:eastAsia="de-DE"/>
        </w:rPr>
      </w:pPr>
      <w:del w:id="10638" w:author="AbbVie19" w:date="2025-04-16T12:21:00Z">
        <w:r w:rsidRPr="00BC0E7E">
          <w:rPr>
            <w:lang w:eastAsia="de-DE"/>
          </w:rPr>
          <w:delText>Some side effects observed with Humira may not have symptoms and may only be discovered through blood tests. These include:</w:delText>
        </w:r>
      </w:del>
    </w:p>
    <w:p w14:paraId="2452849E" w14:textId="77777777" w:rsidR="00BC0E7E" w:rsidRPr="00BC0E7E" w:rsidRDefault="00BC0E7E" w:rsidP="00BC0E7E">
      <w:pPr>
        <w:autoSpaceDE w:val="0"/>
        <w:autoSpaceDN w:val="0"/>
        <w:adjustRightInd w:val="0"/>
        <w:spacing w:line="240" w:lineRule="atLeast"/>
        <w:rPr>
          <w:del w:id="10639" w:author="AbbVie19" w:date="2025-04-16T12:21:00Z"/>
          <w:lang w:eastAsia="de-DE"/>
        </w:rPr>
      </w:pPr>
    </w:p>
    <w:p w14:paraId="0CB656AD" w14:textId="77777777" w:rsidR="00BC0E7E" w:rsidRPr="00BC0E7E" w:rsidRDefault="00944B8F" w:rsidP="00BC0E7E">
      <w:pPr>
        <w:rPr>
          <w:del w:id="10640" w:author="AbbVie19" w:date="2025-04-16T12:21:00Z"/>
        </w:rPr>
      </w:pPr>
      <w:del w:id="10641" w:author="AbbVie19" w:date="2025-04-16T12:21:00Z">
        <w:r w:rsidRPr="00BC0E7E">
          <w:delText>Very common (may affect more than 1 in 10 people)</w:delText>
        </w:r>
      </w:del>
    </w:p>
    <w:p w14:paraId="4A27E3F1" w14:textId="77777777" w:rsidR="00BC0E7E" w:rsidRPr="00BC0E7E" w:rsidRDefault="00BC0E7E" w:rsidP="00BC0E7E">
      <w:pPr>
        <w:rPr>
          <w:del w:id="10642" w:author="AbbVie19" w:date="2025-04-16T12:21:00Z"/>
        </w:rPr>
      </w:pPr>
    </w:p>
    <w:p w14:paraId="77607E1F" w14:textId="77777777" w:rsidR="00BC0E7E" w:rsidRPr="00BC0E7E" w:rsidRDefault="00944B8F" w:rsidP="00BC0E7E">
      <w:pPr>
        <w:numPr>
          <w:ilvl w:val="0"/>
          <w:numId w:val="22"/>
        </w:numPr>
        <w:tabs>
          <w:tab w:val="clear" w:pos="562"/>
          <w:tab w:val="clear" w:pos="720"/>
          <w:tab w:val="num" w:pos="550"/>
        </w:tabs>
        <w:ind w:left="550" w:hanging="550"/>
        <w:rPr>
          <w:del w:id="10643" w:author="AbbVie19" w:date="2025-04-16T12:21:00Z"/>
        </w:rPr>
      </w:pPr>
      <w:del w:id="10644" w:author="AbbVie19" w:date="2025-04-16T12:21:00Z">
        <w:r w:rsidRPr="00BC0E7E">
          <w:delText>low blood measurements for white blood cells;</w:delText>
        </w:r>
      </w:del>
    </w:p>
    <w:p w14:paraId="4BD368D7" w14:textId="77777777" w:rsidR="00BC0E7E" w:rsidRPr="00BC0E7E" w:rsidRDefault="00944B8F" w:rsidP="00BC0E7E">
      <w:pPr>
        <w:numPr>
          <w:ilvl w:val="0"/>
          <w:numId w:val="22"/>
        </w:numPr>
        <w:tabs>
          <w:tab w:val="clear" w:pos="562"/>
          <w:tab w:val="clear" w:pos="720"/>
          <w:tab w:val="num" w:pos="550"/>
        </w:tabs>
        <w:ind w:left="550" w:hanging="550"/>
        <w:rPr>
          <w:del w:id="10645" w:author="AbbVie19" w:date="2025-04-16T12:21:00Z"/>
        </w:rPr>
      </w:pPr>
      <w:del w:id="10646" w:author="AbbVie19" w:date="2025-04-16T12:21:00Z">
        <w:r w:rsidRPr="00BC0E7E">
          <w:delText>low blood measurements for red blood cells;</w:delText>
        </w:r>
      </w:del>
    </w:p>
    <w:p w14:paraId="0869EA6F" w14:textId="77777777" w:rsidR="00BC0E7E" w:rsidRPr="00BC0E7E" w:rsidRDefault="00944B8F" w:rsidP="00BC0E7E">
      <w:pPr>
        <w:numPr>
          <w:ilvl w:val="0"/>
          <w:numId w:val="22"/>
        </w:numPr>
        <w:tabs>
          <w:tab w:val="clear" w:pos="562"/>
          <w:tab w:val="clear" w:pos="720"/>
          <w:tab w:val="num" w:pos="550"/>
        </w:tabs>
        <w:ind w:left="550" w:hanging="550"/>
        <w:rPr>
          <w:del w:id="10647" w:author="AbbVie19" w:date="2025-04-16T12:21:00Z"/>
        </w:rPr>
      </w:pPr>
      <w:del w:id="10648" w:author="AbbVie19" w:date="2025-04-16T12:21:00Z">
        <w:r w:rsidRPr="00BC0E7E">
          <w:delText>increased lipids in the blood;</w:delText>
        </w:r>
      </w:del>
    </w:p>
    <w:p w14:paraId="62534E22" w14:textId="77777777" w:rsidR="00BC0E7E" w:rsidRPr="00BC0E7E" w:rsidRDefault="00944B8F" w:rsidP="00BC0E7E">
      <w:pPr>
        <w:numPr>
          <w:ilvl w:val="0"/>
          <w:numId w:val="22"/>
        </w:numPr>
        <w:tabs>
          <w:tab w:val="clear" w:pos="562"/>
          <w:tab w:val="clear" w:pos="720"/>
          <w:tab w:val="num" w:pos="550"/>
        </w:tabs>
        <w:ind w:left="550" w:hanging="550"/>
        <w:rPr>
          <w:del w:id="10649" w:author="AbbVie19" w:date="2025-04-16T12:21:00Z"/>
        </w:rPr>
      </w:pPr>
      <w:del w:id="10650" w:author="AbbVie19" w:date="2025-04-16T12:21:00Z">
        <w:r w:rsidRPr="00BC0E7E">
          <w:delText>elevated liver enzymes.</w:delText>
        </w:r>
      </w:del>
    </w:p>
    <w:p w14:paraId="30E955D4" w14:textId="77777777" w:rsidR="00BC0E7E" w:rsidRPr="00BC0E7E" w:rsidRDefault="00BC0E7E" w:rsidP="00BC0E7E">
      <w:pPr>
        <w:tabs>
          <w:tab w:val="clear" w:pos="562"/>
        </w:tabs>
        <w:rPr>
          <w:del w:id="10651" w:author="AbbVie19" w:date="2025-04-16T12:21:00Z"/>
        </w:rPr>
      </w:pPr>
    </w:p>
    <w:p w14:paraId="028E79F0" w14:textId="77777777" w:rsidR="00BC0E7E" w:rsidRPr="00BC0E7E" w:rsidRDefault="00944B8F" w:rsidP="00BC0E7E">
      <w:pPr>
        <w:tabs>
          <w:tab w:val="clear" w:pos="562"/>
        </w:tabs>
        <w:rPr>
          <w:del w:id="10652" w:author="AbbVie19" w:date="2025-04-16T12:21:00Z"/>
        </w:rPr>
      </w:pPr>
      <w:del w:id="10653" w:author="AbbVie19" w:date="2025-04-16T12:21:00Z">
        <w:r w:rsidRPr="00BC0E7E">
          <w:delText>Common (may affect up to 1 in 10 people)</w:delText>
        </w:r>
      </w:del>
    </w:p>
    <w:p w14:paraId="2EE8B073" w14:textId="77777777" w:rsidR="00BC0E7E" w:rsidRPr="00BC0E7E" w:rsidRDefault="00BC0E7E" w:rsidP="00BC0E7E">
      <w:pPr>
        <w:tabs>
          <w:tab w:val="clear" w:pos="562"/>
        </w:tabs>
        <w:rPr>
          <w:del w:id="10654" w:author="AbbVie19" w:date="2025-04-16T12:21:00Z"/>
        </w:rPr>
      </w:pPr>
    </w:p>
    <w:p w14:paraId="2FC5F177" w14:textId="77777777" w:rsidR="00BC0E7E" w:rsidRPr="00BC0E7E" w:rsidRDefault="00944B8F" w:rsidP="00BC0E7E">
      <w:pPr>
        <w:numPr>
          <w:ilvl w:val="0"/>
          <w:numId w:val="22"/>
        </w:numPr>
        <w:tabs>
          <w:tab w:val="clear" w:pos="562"/>
          <w:tab w:val="clear" w:pos="720"/>
          <w:tab w:val="num" w:pos="550"/>
        </w:tabs>
        <w:ind w:left="550" w:hanging="550"/>
        <w:rPr>
          <w:del w:id="10655" w:author="AbbVie19" w:date="2025-04-16T12:21:00Z"/>
        </w:rPr>
      </w:pPr>
      <w:del w:id="10656" w:author="AbbVie19" w:date="2025-04-16T12:21:00Z">
        <w:r w:rsidRPr="00BC0E7E">
          <w:delText xml:space="preserve">high blood measurements for white blood cells;  </w:delText>
        </w:r>
      </w:del>
    </w:p>
    <w:p w14:paraId="57CD29DC" w14:textId="77777777" w:rsidR="00BC0E7E" w:rsidRPr="00BC0E7E" w:rsidRDefault="00944B8F" w:rsidP="00BC0E7E">
      <w:pPr>
        <w:numPr>
          <w:ilvl w:val="0"/>
          <w:numId w:val="22"/>
        </w:numPr>
        <w:tabs>
          <w:tab w:val="clear" w:pos="562"/>
          <w:tab w:val="clear" w:pos="720"/>
          <w:tab w:val="num" w:pos="550"/>
        </w:tabs>
        <w:ind w:left="550" w:hanging="550"/>
        <w:rPr>
          <w:del w:id="10657" w:author="AbbVie19" w:date="2025-04-16T12:21:00Z"/>
        </w:rPr>
      </w:pPr>
      <w:del w:id="10658" w:author="AbbVie19" w:date="2025-04-16T12:21:00Z">
        <w:r w:rsidRPr="00BC0E7E">
          <w:delText>low blood measurements for platelets;</w:delText>
        </w:r>
      </w:del>
    </w:p>
    <w:p w14:paraId="74CBCFA2" w14:textId="77777777" w:rsidR="00BC0E7E" w:rsidRPr="00BC0E7E" w:rsidRDefault="00944B8F" w:rsidP="00BC0E7E">
      <w:pPr>
        <w:numPr>
          <w:ilvl w:val="0"/>
          <w:numId w:val="22"/>
        </w:numPr>
        <w:tabs>
          <w:tab w:val="clear" w:pos="562"/>
          <w:tab w:val="clear" w:pos="720"/>
          <w:tab w:val="num" w:pos="550"/>
        </w:tabs>
        <w:ind w:left="550" w:hanging="550"/>
        <w:rPr>
          <w:del w:id="10659" w:author="AbbVie19" w:date="2025-04-16T12:21:00Z"/>
        </w:rPr>
      </w:pPr>
      <w:del w:id="10660" w:author="AbbVie19" w:date="2025-04-16T12:21:00Z">
        <w:r w:rsidRPr="00BC0E7E">
          <w:delText>increased uric acid in the blood;</w:delText>
        </w:r>
      </w:del>
    </w:p>
    <w:p w14:paraId="49E97D93" w14:textId="77777777" w:rsidR="00BC0E7E" w:rsidRPr="00BC0E7E" w:rsidRDefault="00944B8F" w:rsidP="00BC0E7E">
      <w:pPr>
        <w:numPr>
          <w:ilvl w:val="0"/>
          <w:numId w:val="22"/>
        </w:numPr>
        <w:tabs>
          <w:tab w:val="clear" w:pos="562"/>
          <w:tab w:val="clear" w:pos="720"/>
          <w:tab w:val="num" w:pos="550"/>
        </w:tabs>
        <w:ind w:left="550" w:hanging="550"/>
        <w:rPr>
          <w:del w:id="10661" w:author="AbbVie19" w:date="2025-04-16T12:21:00Z"/>
        </w:rPr>
      </w:pPr>
      <w:del w:id="10662" w:author="AbbVie19" w:date="2025-04-16T12:21:00Z">
        <w:r w:rsidRPr="00BC0E7E">
          <w:delText>abnormal blood measurements for sodium;</w:delText>
        </w:r>
      </w:del>
    </w:p>
    <w:p w14:paraId="1D8356D5" w14:textId="77777777" w:rsidR="00BC0E7E" w:rsidRPr="00BC0E7E" w:rsidRDefault="00944B8F" w:rsidP="00BC0E7E">
      <w:pPr>
        <w:numPr>
          <w:ilvl w:val="0"/>
          <w:numId w:val="22"/>
        </w:numPr>
        <w:tabs>
          <w:tab w:val="clear" w:pos="562"/>
          <w:tab w:val="clear" w:pos="720"/>
          <w:tab w:val="num" w:pos="550"/>
        </w:tabs>
        <w:ind w:left="550" w:hanging="550"/>
        <w:rPr>
          <w:del w:id="10663" w:author="AbbVie19" w:date="2025-04-16T12:21:00Z"/>
        </w:rPr>
      </w:pPr>
      <w:del w:id="10664" w:author="AbbVie19" w:date="2025-04-16T12:21:00Z">
        <w:r w:rsidRPr="00BC0E7E">
          <w:delText>low blood measurements for calcium;</w:delText>
        </w:r>
      </w:del>
    </w:p>
    <w:p w14:paraId="52A6E878" w14:textId="77777777" w:rsidR="00BC0E7E" w:rsidRPr="00BC0E7E" w:rsidRDefault="00944B8F" w:rsidP="00BC0E7E">
      <w:pPr>
        <w:numPr>
          <w:ilvl w:val="0"/>
          <w:numId w:val="22"/>
        </w:numPr>
        <w:tabs>
          <w:tab w:val="clear" w:pos="562"/>
          <w:tab w:val="clear" w:pos="720"/>
          <w:tab w:val="num" w:pos="550"/>
        </w:tabs>
        <w:ind w:left="550" w:hanging="550"/>
        <w:rPr>
          <w:del w:id="10665" w:author="AbbVie19" w:date="2025-04-16T12:21:00Z"/>
        </w:rPr>
      </w:pPr>
      <w:del w:id="10666" w:author="AbbVie19" w:date="2025-04-16T12:21:00Z">
        <w:r w:rsidRPr="00BC0E7E">
          <w:delText>low blood measurements for phosphate;</w:delText>
        </w:r>
      </w:del>
    </w:p>
    <w:p w14:paraId="68311B2F" w14:textId="77777777" w:rsidR="00BC0E7E" w:rsidRPr="00BC0E7E" w:rsidRDefault="00944B8F" w:rsidP="00BC0E7E">
      <w:pPr>
        <w:numPr>
          <w:ilvl w:val="0"/>
          <w:numId w:val="22"/>
        </w:numPr>
        <w:tabs>
          <w:tab w:val="clear" w:pos="562"/>
          <w:tab w:val="clear" w:pos="720"/>
          <w:tab w:val="num" w:pos="550"/>
        </w:tabs>
        <w:ind w:left="550" w:hanging="550"/>
        <w:rPr>
          <w:del w:id="10667" w:author="AbbVie19" w:date="2025-04-16T12:21:00Z"/>
        </w:rPr>
      </w:pPr>
      <w:del w:id="10668" w:author="AbbVie19" w:date="2025-04-16T12:21:00Z">
        <w:r w:rsidRPr="00BC0E7E">
          <w:delText>high blood sugar;</w:delText>
        </w:r>
      </w:del>
    </w:p>
    <w:p w14:paraId="3EECC0E0" w14:textId="77777777" w:rsidR="00BC0E7E" w:rsidRPr="00BC0E7E" w:rsidRDefault="00944B8F" w:rsidP="00BC0E7E">
      <w:pPr>
        <w:numPr>
          <w:ilvl w:val="0"/>
          <w:numId w:val="22"/>
        </w:numPr>
        <w:tabs>
          <w:tab w:val="clear" w:pos="562"/>
          <w:tab w:val="clear" w:pos="720"/>
          <w:tab w:val="num" w:pos="550"/>
        </w:tabs>
        <w:ind w:left="550" w:hanging="550"/>
        <w:rPr>
          <w:del w:id="10669" w:author="AbbVie19" w:date="2025-04-16T12:21:00Z"/>
        </w:rPr>
      </w:pPr>
      <w:del w:id="10670" w:author="AbbVie19" w:date="2025-04-16T12:21:00Z">
        <w:r w:rsidRPr="00BC0E7E">
          <w:delText>high blood measurements for lactate dehydrogenase;</w:delText>
        </w:r>
      </w:del>
    </w:p>
    <w:p w14:paraId="1BB0334F" w14:textId="77777777" w:rsidR="00F70A8D" w:rsidRDefault="00944B8F" w:rsidP="00F70A8D">
      <w:pPr>
        <w:numPr>
          <w:ilvl w:val="0"/>
          <w:numId w:val="22"/>
        </w:numPr>
        <w:tabs>
          <w:tab w:val="clear" w:pos="562"/>
          <w:tab w:val="clear" w:pos="720"/>
          <w:tab w:val="num" w:pos="550"/>
        </w:tabs>
        <w:ind w:left="550" w:hanging="550"/>
        <w:rPr>
          <w:del w:id="10671" w:author="AbbVie19" w:date="2025-04-16T12:21:00Z"/>
        </w:rPr>
      </w:pPr>
      <w:del w:id="10672" w:author="AbbVie19" w:date="2025-04-16T12:21:00Z">
        <w:r w:rsidRPr="00BC0E7E">
          <w:delText>autoantibodies present in the blood</w:delText>
        </w:r>
        <w:r w:rsidR="00B60274">
          <w:delText>;</w:delText>
        </w:r>
      </w:del>
    </w:p>
    <w:p w14:paraId="51AD20AF" w14:textId="77777777" w:rsidR="00F70A8D" w:rsidRPr="00F70A8D" w:rsidRDefault="00944B8F" w:rsidP="00F70A8D">
      <w:pPr>
        <w:numPr>
          <w:ilvl w:val="0"/>
          <w:numId w:val="22"/>
        </w:numPr>
        <w:tabs>
          <w:tab w:val="clear" w:pos="562"/>
          <w:tab w:val="clear" w:pos="720"/>
          <w:tab w:val="num" w:pos="550"/>
        </w:tabs>
        <w:ind w:left="550" w:hanging="550"/>
        <w:rPr>
          <w:del w:id="10673" w:author="AbbVie19" w:date="2025-04-16T12:21:00Z"/>
        </w:rPr>
      </w:pPr>
      <w:del w:id="10674" w:author="AbbVie19" w:date="2025-04-16T12:21:00Z">
        <w:r>
          <w:delText>low blood potassium</w:delText>
        </w:r>
        <w:r w:rsidR="00B60274">
          <w:delText>.</w:delText>
        </w:r>
      </w:del>
    </w:p>
    <w:p w14:paraId="79CBC23F" w14:textId="77777777" w:rsidR="00F70A8D" w:rsidRDefault="00F70A8D" w:rsidP="00F70A8D">
      <w:pPr>
        <w:tabs>
          <w:tab w:val="clear" w:pos="562"/>
          <w:tab w:val="left" w:pos="720"/>
        </w:tabs>
        <w:rPr>
          <w:del w:id="10675" w:author="AbbVie19" w:date="2025-04-16T12:21:00Z"/>
        </w:rPr>
      </w:pPr>
    </w:p>
    <w:p w14:paraId="18E7E193" w14:textId="77777777" w:rsidR="00F70A8D" w:rsidRDefault="00944B8F" w:rsidP="00F70A8D">
      <w:pPr>
        <w:rPr>
          <w:del w:id="10676" w:author="AbbVie19" w:date="2025-04-16T12:21:00Z"/>
        </w:rPr>
      </w:pPr>
      <w:del w:id="10677" w:author="AbbVie19" w:date="2025-04-16T12:21:00Z">
        <w:r>
          <w:rPr>
            <w:b/>
          </w:rPr>
          <w:delText>Uncommon</w:delText>
        </w:r>
        <w:r>
          <w:delText xml:space="preserve"> (may affect up to 1 in 100 people) </w:delText>
        </w:r>
      </w:del>
    </w:p>
    <w:p w14:paraId="12C59374" w14:textId="77777777" w:rsidR="00F70A8D" w:rsidRDefault="00F70A8D" w:rsidP="00F70A8D">
      <w:pPr>
        <w:rPr>
          <w:del w:id="10678" w:author="AbbVie19" w:date="2025-04-16T12:21:00Z"/>
        </w:rPr>
      </w:pPr>
    </w:p>
    <w:p w14:paraId="40B694D2" w14:textId="77777777" w:rsidR="00F70A8D" w:rsidRPr="00F70A8D" w:rsidRDefault="00944B8F" w:rsidP="00C72AFA">
      <w:pPr>
        <w:pStyle w:val="ListParagraph"/>
        <w:numPr>
          <w:ilvl w:val="0"/>
          <w:numId w:val="22"/>
        </w:numPr>
        <w:tabs>
          <w:tab w:val="clear" w:pos="562"/>
          <w:tab w:val="left" w:pos="540"/>
        </w:tabs>
        <w:ind w:hanging="720"/>
        <w:rPr>
          <w:del w:id="10679" w:author="AbbVie19" w:date="2025-04-16T12:21:00Z"/>
        </w:rPr>
      </w:pPr>
      <w:del w:id="10680" w:author="AbbVie19" w:date="2025-04-16T12:21:00Z">
        <w:r>
          <w:delText>e</w:delText>
        </w:r>
        <w:r w:rsidRPr="00D410D7">
          <w:delText>levated bilirubin measurement (liver blood test)</w:delText>
        </w:r>
        <w:r w:rsidR="00B60274">
          <w:delText>.</w:delText>
        </w:r>
      </w:del>
    </w:p>
    <w:p w14:paraId="3778014D" w14:textId="77777777" w:rsidR="00BC0E7E" w:rsidRPr="00BC0E7E" w:rsidRDefault="00BC0E7E" w:rsidP="00BC0E7E">
      <w:pPr>
        <w:tabs>
          <w:tab w:val="clear" w:pos="562"/>
        </w:tabs>
        <w:rPr>
          <w:del w:id="10681" w:author="AbbVie19" w:date="2025-04-16T12:21:00Z"/>
        </w:rPr>
      </w:pPr>
    </w:p>
    <w:p w14:paraId="11D6A59E" w14:textId="77777777" w:rsidR="00BC0E7E" w:rsidRPr="00BC0E7E" w:rsidRDefault="00944B8F" w:rsidP="00BC0E7E">
      <w:pPr>
        <w:tabs>
          <w:tab w:val="clear" w:pos="562"/>
          <w:tab w:val="num" w:pos="550"/>
        </w:tabs>
        <w:ind w:left="550" w:hanging="550"/>
        <w:rPr>
          <w:del w:id="10682" w:author="AbbVie19" w:date="2025-04-16T12:21:00Z"/>
        </w:rPr>
      </w:pPr>
      <w:del w:id="10683" w:author="AbbVie19" w:date="2025-04-16T12:21:00Z">
        <w:r w:rsidRPr="00BC0E7E">
          <w:delText>Rare (may affect up to 1 in 1,000 people)</w:delText>
        </w:r>
      </w:del>
    </w:p>
    <w:p w14:paraId="729C4C2D" w14:textId="77777777" w:rsidR="00BC0E7E" w:rsidRPr="00BC0E7E" w:rsidRDefault="00BC0E7E" w:rsidP="00BC0E7E">
      <w:pPr>
        <w:tabs>
          <w:tab w:val="clear" w:pos="562"/>
        </w:tabs>
        <w:rPr>
          <w:del w:id="10684" w:author="AbbVie19" w:date="2025-04-16T12:21:00Z"/>
        </w:rPr>
      </w:pPr>
    </w:p>
    <w:p w14:paraId="712359DF" w14:textId="77777777" w:rsidR="00BC0E7E" w:rsidRPr="00BC0E7E" w:rsidRDefault="00944B8F" w:rsidP="00BC0E7E">
      <w:pPr>
        <w:numPr>
          <w:ilvl w:val="0"/>
          <w:numId w:val="22"/>
        </w:numPr>
        <w:tabs>
          <w:tab w:val="clear" w:pos="562"/>
          <w:tab w:val="clear" w:pos="720"/>
          <w:tab w:val="num" w:pos="550"/>
        </w:tabs>
        <w:ind w:left="550" w:hanging="550"/>
        <w:rPr>
          <w:del w:id="10685" w:author="AbbVie19" w:date="2025-04-16T12:21:00Z"/>
        </w:rPr>
      </w:pPr>
      <w:del w:id="10686" w:author="AbbVie19" w:date="2025-04-16T12:21:00Z">
        <w:r w:rsidRPr="00BC0E7E">
          <w:delText>low blood measurements for white blood cells, red blood cells and platelet count.</w:delText>
        </w:r>
      </w:del>
    </w:p>
    <w:p w14:paraId="743BC635" w14:textId="77777777" w:rsidR="00BC0E7E" w:rsidRPr="00BC0E7E" w:rsidRDefault="00BC0E7E" w:rsidP="00BC0E7E">
      <w:pPr>
        <w:tabs>
          <w:tab w:val="clear" w:pos="562"/>
        </w:tabs>
        <w:suppressAutoHyphens w:val="0"/>
        <w:autoSpaceDE w:val="0"/>
        <w:autoSpaceDN w:val="0"/>
        <w:adjustRightInd w:val="0"/>
        <w:spacing w:line="240" w:lineRule="atLeast"/>
        <w:ind w:left="550"/>
        <w:rPr>
          <w:del w:id="10687" w:author="AbbVie19" w:date="2025-04-16T12:21:00Z"/>
          <w:lang w:eastAsia="de-DE"/>
        </w:rPr>
      </w:pPr>
    </w:p>
    <w:p w14:paraId="342FC562" w14:textId="77777777" w:rsidR="00BC0E7E" w:rsidRPr="001B6DEE" w:rsidRDefault="00944B8F" w:rsidP="00171601">
      <w:pPr>
        <w:keepNext/>
        <w:numPr>
          <w:ilvl w:val="12"/>
          <w:numId w:val="0"/>
        </w:numPr>
        <w:tabs>
          <w:tab w:val="clear" w:pos="562"/>
        </w:tabs>
        <w:ind w:right="-2"/>
        <w:rPr>
          <w:del w:id="10688" w:author="AbbVie19" w:date="2025-04-16T12:21:00Z"/>
          <w:b/>
        </w:rPr>
      </w:pPr>
      <w:del w:id="10689" w:author="AbbVie19" w:date="2025-04-16T12:21:00Z">
        <w:r w:rsidRPr="001B6DEE">
          <w:rPr>
            <w:b/>
          </w:rPr>
          <w:delText>Reporting of side effects</w:delText>
        </w:r>
      </w:del>
    </w:p>
    <w:p w14:paraId="27B40A42" w14:textId="77777777" w:rsidR="00BC0E7E" w:rsidRPr="00BC0E7E" w:rsidRDefault="00944B8F" w:rsidP="00BC0E7E">
      <w:pPr>
        <w:rPr>
          <w:del w:id="10690" w:author="AbbVie19" w:date="2025-04-16T12:21:00Z"/>
        </w:rPr>
      </w:pPr>
      <w:del w:id="10691" w:author="AbbVie19" w:date="2025-04-16T12:21:00Z">
        <w:r w:rsidRPr="00BC0E7E">
          <w:delText>If your child gets any side effects, talk to your child’s doctor or pharmacist. This includes any possible side effects not listed in this leaflet.</w:delText>
        </w:r>
        <w:r w:rsidR="00287A7B">
          <w:delText xml:space="preserve"> </w:delText>
        </w:r>
        <w:r w:rsidRPr="00BC0E7E">
          <w:delText xml:space="preserve">You can also report side effects directly via </w:delText>
        </w:r>
        <w:r w:rsidRPr="00BC0E7E">
          <w:rPr>
            <w:highlight w:val="lightGray"/>
          </w:rPr>
          <w:delText xml:space="preserve">the national reporting system listed in </w:delText>
        </w:r>
        <w:r>
          <w:fldChar w:fldCharType="begin"/>
        </w:r>
        <w:r>
          <w:delInstrText>HYPERLINK "http://www.ema.europa.eu/docs/en_GB/document_library/Template_or_form/2013/03/WC500139752.doc"</w:delInstrText>
        </w:r>
        <w:r>
          <w:fldChar w:fldCharType="separate"/>
        </w:r>
        <w:r w:rsidRPr="00BC0E7E">
          <w:rPr>
            <w:color w:val="0000FF"/>
            <w:szCs w:val="22"/>
            <w:highlight w:val="lightGray"/>
            <w:u w:val="single"/>
          </w:rPr>
          <w:delText>Appendix V</w:delText>
        </w:r>
        <w:r>
          <w:fldChar w:fldCharType="end"/>
        </w:r>
        <w:r w:rsidRPr="00BC0E7E">
          <w:rPr>
            <w:highlight w:val="lightGray"/>
          </w:rPr>
          <w:delText>.</w:delText>
        </w:r>
        <w:r w:rsidRPr="00BC0E7E">
          <w:delText xml:space="preserve"> By reporting side effects, you can help provide more information </w:delText>
        </w:r>
        <w:r w:rsidR="005D3870">
          <w:delText>on the safety of this medicine.</w:delText>
        </w:r>
      </w:del>
    </w:p>
    <w:p w14:paraId="40FA4EA8" w14:textId="77777777" w:rsidR="00BC0E7E" w:rsidRPr="00BC0E7E" w:rsidRDefault="00BC0E7E" w:rsidP="00BC0E7E">
      <w:pPr>
        <w:rPr>
          <w:del w:id="10692" w:author="AbbVie19" w:date="2025-04-16T12:21:00Z"/>
        </w:rPr>
      </w:pPr>
    </w:p>
    <w:p w14:paraId="5DA86436" w14:textId="77777777" w:rsidR="00BC0E7E" w:rsidRPr="00BC0E7E" w:rsidRDefault="00BC0E7E" w:rsidP="00BC0E7E">
      <w:pPr>
        <w:rPr>
          <w:del w:id="10693" w:author="AbbVie19" w:date="2025-04-16T12:21:00Z"/>
        </w:rPr>
      </w:pPr>
    </w:p>
    <w:p w14:paraId="20195C03" w14:textId="77777777" w:rsidR="00BC0E7E" w:rsidRPr="00BC0E7E" w:rsidRDefault="00944B8F" w:rsidP="00BC0E7E">
      <w:pPr>
        <w:keepNext/>
        <w:outlineLvl w:val="0"/>
        <w:rPr>
          <w:del w:id="10694" w:author="AbbVie19" w:date="2025-04-16T12:21:00Z"/>
          <w:rFonts w:ascii="Times New Roman Bold" w:hAnsi="Times New Roman Bold"/>
          <w:b/>
          <w:szCs w:val="20"/>
        </w:rPr>
      </w:pPr>
      <w:del w:id="10695" w:author="AbbVie19" w:date="2025-04-16T12:21:00Z">
        <w:r w:rsidRPr="00BC0E7E">
          <w:rPr>
            <w:b/>
            <w:caps/>
            <w:szCs w:val="20"/>
          </w:rPr>
          <w:delText>5.</w:delText>
        </w:r>
        <w:r w:rsidRPr="00BC0E7E">
          <w:rPr>
            <w:b/>
            <w:caps/>
            <w:szCs w:val="20"/>
          </w:rPr>
          <w:tab/>
          <w:delText>H</w:delText>
        </w:r>
        <w:r w:rsidRPr="00BC0E7E">
          <w:rPr>
            <w:rFonts w:ascii="Times New Roman Bold" w:hAnsi="Times New Roman Bold"/>
            <w:b/>
            <w:szCs w:val="20"/>
          </w:rPr>
          <w:delText>ow to store Humira</w:delText>
        </w:r>
      </w:del>
    </w:p>
    <w:p w14:paraId="07EBA441" w14:textId="77777777" w:rsidR="00BC0E7E" w:rsidRPr="00BC0E7E" w:rsidRDefault="00BC0E7E" w:rsidP="00BC0E7E">
      <w:pPr>
        <w:keepNext/>
        <w:rPr>
          <w:del w:id="10696" w:author="AbbVie19" w:date="2025-04-16T12:21:00Z"/>
          <w:szCs w:val="20"/>
        </w:rPr>
      </w:pPr>
    </w:p>
    <w:p w14:paraId="7608F7D3" w14:textId="77777777" w:rsidR="00BC0E7E" w:rsidRPr="00BC0E7E" w:rsidRDefault="00944B8F" w:rsidP="00BC0E7E">
      <w:pPr>
        <w:keepNext/>
        <w:numPr>
          <w:ilvl w:val="12"/>
          <w:numId w:val="0"/>
        </w:numPr>
        <w:tabs>
          <w:tab w:val="clear" w:pos="562"/>
        </w:tabs>
        <w:ind w:right="-2"/>
        <w:rPr>
          <w:del w:id="10697" w:author="AbbVie19" w:date="2025-04-16T12:21:00Z"/>
        </w:rPr>
      </w:pPr>
      <w:del w:id="10698" w:author="AbbVie19" w:date="2025-04-16T12:21:00Z">
        <w:r w:rsidRPr="00BC0E7E">
          <w:delText xml:space="preserve">Keep this medicine out of the sight and reach of children. </w:delText>
        </w:r>
      </w:del>
    </w:p>
    <w:p w14:paraId="51184BEB" w14:textId="77777777" w:rsidR="00BC0E7E" w:rsidRPr="00BC0E7E" w:rsidRDefault="00BC0E7E" w:rsidP="00BC0E7E">
      <w:pPr>
        <w:numPr>
          <w:ilvl w:val="12"/>
          <w:numId w:val="0"/>
        </w:numPr>
        <w:tabs>
          <w:tab w:val="clear" w:pos="562"/>
        </w:tabs>
        <w:ind w:right="-2"/>
        <w:rPr>
          <w:del w:id="10699" w:author="AbbVie19" w:date="2025-04-16T12:21:00Z"/>
        </w:rPr>
      </w:pPr>
    </w:p>
    <w:p w14:paraId="2C25505D" w14:textId="77777777" w:rsidR="00BC0E7E" w:rsidRPr="00BC0E7E" w:rsidRDefault="00944B8F" w:rsidP="00BC0E7E">
      <w:pPr>
        <w:numPr>
          <w:ilvl w:val="12"/>
          <w:numId w:val="0"/>
        </w:numPr>
        <w:tabs>
          <w:tab w:val="clear" w:pos="562"/>
        </w:tabs>
        <w:ind w:right="-2"/>
        <w:rPr>
          <w:del w:id="10700" w:author="AbbVie19" w:date="2025-04-16T12:21:00Z"/>
        </w:rPr>
      </w:pPr>
      <w:del w:id="10701" w:author="AbbVie19" w:date="2025-04-16T12:21:00Z">
        <w:r w:rsidRPr="00BC0E7E">
          <w:delText xml:space="preserve">Do not use this medicine after the expiry date stated on the label/blister/carton after EXP. </w:delText>
        </w:r>
      </w:del>
    </w:p>
    <w:p w14:paraId="2E88B908" w14:textId="77777777" w:rsidR="00BC0E7E" w:rsidRPr="00BC0E7E" w:rsidRDefault="00BC0E7E" w:rsidP="00BC0E7E">
      <w:pPr>
        <w:numPr>
          <w:ilvl w:val="12"/>
          <w:numId w:val="0"/>
        </w:numPr>
        <w:tabs>
          <w:tab w:val="clear" w:pos="562"/>
        </w:tabs>
        <w:ind w:right="-2"/>
        <w:rPr>
          <w:del w:id="10702" w:author="AbbVie19" w:date="2025-04-16T12:21:00Z"/>
        </w:rPr>
      </w:pPr>
    </w:p>
    <w:p w14:paraId="4E2F390E" w14:textId="77777777" w:rsidR="00BC0E7E" w:rsidRPr="00BC0E7E" w:rsidRDefault="00944B8F" w:rsidP="00BC0E7E">
      <w:pPr>
        <w:numPr>
          <w:ilvl w:val="12"/>
          <w:numId w:val="0"/>
        </w:numPr>
        <w:tabs>
          <w:tab w:val="clear" w:pos="562"/>
        </w:tabs>
        <w:ind w:right="-2"/>
        <w:rPr>
          <w:del w:id="10703" w:author="AbbVie19" w:date="2025-04-16T12:21:00Z"/>
        </w:rPr>
      </w:pPr>
      <w:del w:id="10704" w:author="AbbVie19" w:date="2025-04-16T12:21:00Z">
        <w:r w:rsidRPr="00BC0E7E">
          <w:delText>Store in a refrigerator (2</w:delText>
        </w:r>
        <w:r w:rsidRPr="00BC0E7E">
          <w:rPr>
            <w:rFonts w:ascii="Symbol" w:eastAsia="Symbol" w:hAnsi="Symbol" w:cs="Symbol"/>
            <w:szCs w:val="22"/>
          </w:rPr>
          <w:sym w:font="Symbol" w:char="F0B0"/>
        </w:r>
        <w:r w:rsidRPr="00BC0E7E">
          <w:delText>C – 8</w:delText>
        </w:r>
        <w:r w:rsidRPr="00BC0E7E">
          <w:rPr>
            <w:rFonts w:ascii="Symbol" w:eastAsia="Symbol" w:hAnsi="Symbol" w:cs="Symbol"/>
            <w:szCs w:val="22"/>
          </w:rPr>
          <w:sym w:font="Symbol" w:char="F0B0"/>
        </w:r>
        <w:r w:rsidRPr="00BC0E7E">
          <w:delText xml:space="preserve">C). Do not freeze. </w:delText>
        </w:r>
      </w:del>
    </w:p>
    <w:p w14:paraId="04AC9D10" w14:textId="77777777" w:rsidR="00BC0E7E" w:rsidRPr="00BC0E7E" w:rsidRDefault="00BC0E7E" w:rsidP="00BC0E7E">
      <w:pPr>
        <w:numPr>
          <w:ilvl w:val="12"/>
          <w:numId w:val="0"/>
        </w:numPr>
        <w:tabs>
          <w:tab w:val="clear" w:pos="562"/>
        </w:tabs>
        <w:ind w:right="-2"/>
        <w:rPr>
          <w:del w:id="10705" w:author="AbbVie19" w:date="2025-04-16T12:21:00Z"/>
        </w:rPr>
      </w:pPr>
    </w:p>
    <w:p w14:paraId="6D123385" w14:textId="77777777" w:rsidR="00BC0E7E" w:rsidRPr="00BC0E7E" w:rsidRDefault="00944B8F" w:rsidP="00BC0E7E">
      <w:pPr>
        <w:numPr>
          <w:ilvl w:val="12"/>
          <w:numId w:val="0"/>
        </w:numPr>
        <w:tabs>
          <w:tab w:val="clear" w:pos="562"/>
        </w:tabs>
        <w:ind w:right="-2"/>
        <w:rPr>
          <w:del w:id="10706" w:author="AbbVie19" w:date="2025-04-16T12:21:00Z"/>
        </w:rPr>
      </w:pPr>
      <w:del w:id="10707" w:author="AbbVie19" w:date="2025-04-16T12:21:00Z">
        <w:r w:rsidRPr="00BC0E7E">
          <w:delText>Keep the vial in the outer carton in order to protect from light.</w:delText>
        </w:r>
      </w:del>
    </w:p>
    <w:p w14:paraId="6E4F64CF" w14:textId="77777777" w:rsidR="00BC0E7E" w:rsidRPr="00BC0E7E" w:rsidRDefault="00BC0E7E" w:rsidP="00BC0E7E">
      <w:pPr>
        <w:numPr>
          <w:ilvl w:val="12"/>
          <w:numId w:val="0"/>
        </w:numPr>
        <w:tabs>
          <w:tab w:val="clear" w:pos="562"/>
        </w:tabs>
        <w:ind w:right="-2"/>
        <w:rPr>
          <w:del w:id="10708" w:author="AbbVie19" w:date="2025-04-16T12:21:00Z"/>
        </w:rPr>
      </w:pPr>
    </w:p>
    <w:p w14:paraId="76DB3DD3" w14:textId="77777777" w:rsidR="00BC0E7E" w:rsidRPr="00BC0E7E" w:rsidRDefault="00944B8F" w:rsidP="00BC0E7E">
      <w:pPr>
        <w:numPr>
          <w:ilvl w:val="12"/>
          <w:numId w:val="0"/>
        </w:numPr>
        <w:tabs>
          <w:tab w:val="clear" w:pos="562"/>
        </w:tabs>
        <w:ind w:right="-2"/>
        <w:rPr>
          <w:del w:id="10709" w:author="AbbVie19" w:date="2025-04-16T12:21:00Z"/>
          <w:b/>
          <w:caps/>
        </w:rPr>
      </w:pPr>
      <w:del w:id="10710" w:author="AbbVie19" w:date="2025-04-16T12:21:00Z">
        <w:r w:rsidRPr="00BC0E7E">
          <w:delText>Do not throw away any medicines via wastewater or household waste. Ask your doctor or pharmacist how to throw away medicines you no longer use. These measures will help protect the environment.</w:delText>
        </w:r>
      </w:del>
    </w:p>
    <w:p w14:paraId="53DFC5C1" w14:textId="77777777" w:rsidR="00BC0E7E" w:rsidRPr="00BC0E7E" w:rsidRDefault="00BC0E7E" w:rsidP="00BC0E7E">
      <w:pPr>
        <w:rPr>
          <w:del w:id="10711" w:author="AbbVie19" w:date="2025-04-16T12:21:00Z"/>
          <w:szCs w:val="20"/>
        </w:rPr>
      </w:pPr>
    </w:p>
    <w:p w14:paraId="4AB271ED" w14:textId="77777777" w:rsidR="00BC0E7E" w:rsidRPr="00BC0E7E" w:rsidRDefault="00BC0E7E" w:rsidP="00BC0E7E">
      <w:pPr>
        <w:rPr>
          <w:del w:id="10712" w:author="AbbVie19" w:date="2025-04-16T12:21:00Z"/>
          <w:szCs w:val="20"/>
        </w:rPr>
      </w:pPr>
    </w:p>
    <w:p w14:paraId="3AC971C1" w14:textId="77777777" w:rsidR="00BC0E7E" w:rsidRPr="00BC0E7E" w:rsidRDefault="00944B8F" w:rsidP="00BC0E7E">
      <w:pPr>
        <w:outlineLvl w:val="0"/>
        <w:rPr>
          <w:del w:id="10713" w:author="AbbVie19" w:date="2025-04-16T12:21:00Z"/>
          <w:rFonts w:ascii="Times New Roman Bold" w:hAnsi="Times New Roman Bold"/>
          <w:b/>
          <w:szCs w:val="20"/>
        </w:rPr>
      </w:pPr>
      <w:del w:id="10714" w:author="AbbVie19" w:date="2025-04-16T12:21:00Z">
        <w:r w:rsidRPr="00BC0E7E">
          <w:rPr>
            <w:b/>
            <w:caps/>
            <w:szCs w:val="20"/>
          </w:rPr>
          <w:delText>6.</w:delText>
        </w:r>
        <w:r w:rsidRPr="00BC0E7E">
          <w:rPr>
            <w:b/>
            <w:caps/>
            <w:szCs w:val="20"/>
          </w:rPr>
          <w:tab/>
          <w:delText>C</w:delText>
        </w:r>
        <w:r w:rsidRPr="00BC0E7E">
          <w:rPr>
            <w:rFonts w:ascii="Times New Roman Bold" w:hAnsi="Times New Roman Bold"/>
            <w:b/>
            <w:szCs w:val="20"/>
          </w:rPr>
          <w:delText>ontents of the pack and other information</w:delText>
        </w:r>
      </w:del>
    </w:p>
    <w:p w14:paraId="5D1DDF17" w14:textId="77777777" w:rsidR="00BC0E7E" w:rsidRPr="00BC0E7E" w:rsidRDefault="00BC0E7E" w:rsidP="00BC0E7E">
      <w:pPr>
        <w:rPr>
          <w:del w:id="10715" w:author="AbbVie19" w:date="2025-04-16T12:21:00Z"/>
          <w:szCs w:val="20"/>
        </w:rPr>
      </w:pPr>
    </w:p>
    <w:p w14:paraId="5E04575C" w14:textId="77777777" w:rsidR="00BC0E7E" w:rsidRPr="00BC0E7E" w:rsidRDefault="00944B8F" w:rsidP="00BC0E7E">
      <w:pPr>
        <w:numPr>
          <w:ilvl w:val="12"/>
          <w:numId w:val="0"/>
        </w:numPr>
        <w:ind w:right="-2"/>
        <w:rPr>
          <w:del w:id="10716" w:author="AbbVie19" w:date="2025-04-16T12:21:00Z"/>
          <w:szCs w:val="22"/>
        </w:rPr>
      </w:pPr>
      <w:del w:id="10717" w:author="AbbVie19" w:date="2025-04-16T12:21:00Z">
        <w:r w:rsidRPr="00BC0E7E">
          <w:rPr>
            <w:b/>
          </w:rPr>
          <w:delText>What Humira contains</w:delText>
        </w:r>
      </w:del>
    </w:p>
    <w:p w14:paraId="679854BD" w14:textId="77777777" w:rsidR="00BC0E7E" w:rsidRPr="00BC0E7E" w:rsidRDefault="00BC0E7E" w:rsidP="00BC0E7E">
      <w:pPr>
        <w:rPr>
          <w:del w:id="10718" w:author="AbbVie19" w:date="2025-04-16T12:21:00Z"/>
          <w:szCs w:val="22"/>
        </w:rPr>
      </w:pPr>
    </w:p>
    <w:p w14:paraId="59F7BB36" w14:textId="77777777" w:rsidR="00BC0E7E" w:rsidRPr="00BC0E7E" w:rsidRDefault="00944B8F" w:rsidP="00BC0E7E">
      <w:pPr>
        <w:numPr>
          <w:ilvl w:val="12"/>
          <w:numId w:val="0"/>
        </w:numPr>
        <w:ind w:right="-2"/>
        <w:rPr>
          <w:del w:id="10719" w:author="AbbVie19" w:date="2025-04-16T12:21:00Z"/>
          <w:szCs w:val="22"/>
        </w:rPr>
      </w:pPr>
      <w:del w:id="10720" w:author="AbbVie19" w:date="2025-04-16T12:21:00Z">
        <w:r w:rsidRPr="00BC0E7E">
          <w:rPr>
            <w:szCs w:val="22"/>
          </w:rPr>
          <w:delText>The active substance is adalimumab.</w:delText>
        </w:r>
      </w:del>
    </w:p>
    <w:p w14:paraId="0FD5FDAE" w14:textId="77777777" w:rsidR="00BC0E7E" w:rsidRPr="00BC0E7E" w:rsidRDefault="00944B8F" w:rsidP="00BC0E7E">
      <w:pPr>
        <w:numPr>
          <w:ilvl w:val="12"/>
          <w:numId w:val="0"/>
        </w:numPr>
        <w:ind w:right="-2"/>
        <w:rPr>
          <w:del w:id="10721" w:author="AbbVie19" w:date="2025-04-16T12:21:00Z"/>
          <w:szCs w:val="22"/>
        </w:rPr>
      </w:pPr>
      <w:del w:id="10722" w:author="AbbVie19" w:date="2025-04-16T12:21:00Z">
        <w:r w:rsidRPr="00BC0E7E">
          <w:rPr>
            <w:szCs w:val="22"/>
          </w:rPr>
          <w:delText>The other ingredients are mannitol, citric acid monohydrate, sodium citrate, sodium dihydrogen phosphate dihydrate, disodium phosphate dihydrate, sodium chloride, polysorbate 80, sodium hydroxide and water for injections.</w:delText>
        </w:r>
      </w:del>
    </w:p>
    <w:p w14:paraId="1F71C7BE" w14:textId="77777777" w:rsidR="00BC0E7E" w:rsidRPr="00BC0E7E" w:rsidRDefault="00BC0E7E" w:rsidP="00BC0E7E">
      <w:pPr>
        <w:numPr>
          <w:ilvl w:val="12"/>
          <w:numId w:val="0"/>
        </w:numPr>
        <w:ind w:right="-2"/>
        <w:rPr>
          <w:del w:id="10723" w:author="AbbVie19" w:date="2025-04-16T12:21:00Z"/>
          <w:szCs w:val="22"/>
        </w:rPr>
      </w:pPr>
    </w:p>
    <w:p w14:paraId="6B087B18" w14:textId="77777777" w:rsidR="00BC0E7E" w:rsidRPr="00BC0E7E" w:rsidRDefault="00944B8F" w:rsidP="00BC0E7E">
      <w:pPr>
        <w:numPr>
          <w:ilvl w:val="12"/>
          <w:numId w:val="0"/>
        </w:numPr>
        <w:ind w:right="-2"/>
        <w:rPr>
          <w:del w:id="10724" w:author="AbbVie19" w:date="2025-04-16T12:21:00Z"/>
          <w:szCs w:val="22"/>
        </w:rPr>
      </w:pPr>
      <w:del w:id="10725" w:author="AbbVie19" w:date="2025-04-16T12:21:00Z">
        <w:r w:rsidRPr="00BC0E7E">
          <w:rPr>
            <w:b/>
          </w:rPr>
          <w:delText>What the Humira vial looks like and contents of the pack</w:delText>
        </w:r>
      </w:del>
    </w:p>
    <w:p w14:paraId="3F6734F7" w14:textId="77777777" w:rsidR="00BC0E7E" w:rsidRPr="00BC0E7E" w:rsidRDefault="00BC0E7E" w:rsidP="00BC0E7E">
      <w:pPr>
        <w:numPr>
          <w:ilvl w:val="12"/>
          <w:numId w:val="0"/>
        </w:numPr>
        <w:ind w:right="-2"/>
        <w:rPr>
          <w:del w:id="10726" w:author="AbbVie19" w:date="2025-04-16T12:21:00Z"/>
          <w:szCs w:val="22"/>
        </w:rPr>
      </w:pPr>
    </w:p>
    <w:p w14:paraId="7567BB46" w14:textId="77777777" w:rsidR="00BC0E7E" w:rsidRPr="00BC0E7E" w:rsidRDefault="00944B8F" w:rsidP="00BC0E7E">
      <w:pPr>
        <w:numPr>
          <w:ilvl w:val="12"/>
          <w:numId w:val="0"/>
        </w:numPr>
        <w:tabs>
          <w:tab w:val="clear" w:pos="562"/>
        </w:tabs>
        <w:ind w:right="-2"/>
        <w:rPr>
          <w:del w:id="10727" w:author="AbbVie19" w:date="2025-04-16T12:21:00Z"/>
          <w:szCs w:val="22"/>
        </w:rPr>
      </w:pPr>
      <w:del w:id="10728" w:author="AbbVie19" w:date="2025-04-16T12:21:00Z">
        <w:r w:rsidRPr="00BC0E7E">
          <w:rPr>
            <w:szCs w:val="22"/>
          </w:rPr>
          <w:delText>Humira 40 mg solution for injection in vials is supplied as a sterile solution of 40 mg adalimumab dissolved in 0.8 ml solution.</w:delText>
        </w:r>
      </w:del>
    </w:p>
    <w:p w14:paraId="27885A93" w14:textId="77777777" w:rsidR="00BC0E7E" w:rsidRPr="00BC0E7E" w:rsidRDefault="00BC0E7E" w:rsidP="00BC0E7E">
      <w:pPr>
        <w:numPr>
          <w:ilvl w:val="12"/>
          <w:numId w:val="0"/>
        </w:numPr>
        <w:ind w:right="-2"/>
        <w:rPr>
          <w:del w:id="10729" w:author="AbbVie19" w:date="2025-04-16T12:21:00Z"/>
          <w:szCs w:val="22"/>
        </w:rPr>
      </w:pPr>
    </w:p>
    <w:p w14:paraId="350793D7" w14:textId="77777777" w:rsidR="00BC0E7E" w:rsidRPr="00BC0E7E" w:rsidRDefault="00944B8F" w:rsidP="00BC0E7E">
      <w:pPr>
        <w:numPr>
          <w:ilvl w:val="12"/>
          <w:numId w:val="0"/>
        </w:numPr>
        <w:ind w:right="-2"/>
        <w:rPr>
          <w:del w:id="10730" w:author="AbbVie19" w:date="2025-04-16T12:21:00Z"/>
          <w:szCs w:val="22"/>
        </w:rPr>
      </w:pPr>
      <w:del w:id="10731" w:author="AbbVie19" w:date="2025-04-16T12:21:00Z">
        <w:r w:rsidRPr="00BC0E7E">
          <w:rPr>
            <w:szCs w:val="22"/>
          </w:rPr>
          <w:delText>The Humira vial is a glass vial containing a solution of adalimumab. One pack contains 2 boxes, each containing 1 vial, 1 empty sterile syringe, 1 needle, 1 vial adapter and 2 alcohol pads.</w:delText>
        </w:r>
      </w:del>
    </w:p>
    <w:p w14:paraId="7EBF8228" w14:textId="77777777" w:rsidR="00BC0E7E" w:rsidRPr="00BC0E7E" w:rsidRDefault="00BC0E7E" w:rsidP="00BC0E7E">
      <w:pPr>
        <w:numPr>
          <w:ilvl w:val="12"/>
          <w:numId w:val="0"/>
        </w:numPr>
        <w:ind w:right="-2"/>
        <w:rPr>
          <w:del w:id="10732" w:author="AbbVie19" w:date="2025-04-16T12:21:00Z"/>
          <w:szCs w:val="22"/>
        </w:rPr>
      </w:pPr>
    </w:p>
    <w:p w14:paraId="13F13DAF" w14:textId="77777777" w:rsidR="00BC0E7E" w:rsidRPr="00BC0E7E" w:rsidRDefault="00944B8F" w:rsidP="00BC0E7E">
      <w:pPr>
        <w:numPr>
          <w:ilvl w:val="12"/>
          <w:numId w:val="0"/>
        </w:numPr>
        <w:ind w:right="-2"/>
        <w:rPr>
          <w:del w:id="10733" w:author="AbbVie19" w:date="2025-04-16T12:21:00Z"/>
          <w:szCs w:val="22"/>
        </w:rPr>
      </w:pPr>
      <w:del w:id="10734" w:author="AbbVie19" w:date="2025-04-16T12:21:00Z">
        <w:r w:rsidRPr="00BC0E7E">
          <w:rPr>
            <w:szCs w:val="22"/>
          </w:rPr>
          <w:delText xml:space="preserve">Humira </w:delText>
        </w:r>
        <w:r w:rsidR="00AE18B6">
          <w:rPr>
            <w:szCs w:val="22"/>
          </w:rPr>
          <w:delText>may be</w:delText>
        </w:r>
        <w:r w:rsidRPr="00BC0E7E">
          <w:rPr>
            <w:szCs w:val="22"/>
          </w:rPr>
          <w:delText xml:space="preserve"> available as a </w:delText>
        </w:r>
        <w:r w:rsidR="00AE18B6">
          <w:rPr>
            <w:szCs w:val="22"/>
          </w:rPr>
          <w:delText xml:space="preserve">vial, a </w:delText>
        </w:r>
        <w:r w:rsidRPr="00BC0E7E">
          <w:rPr>
            <w:szCs w:val="22"/>
          </w:rPr>
          <w:delText xml:space="preserve">pre-filled syringe </w:delText>
        </w:r>
        <w:r w:rsidR="00AE18B6">
          <w:rPr>
            <w:szCs w:val="22"/>
          </w:rPr>
          <w:delText>and/</w:delText>
        </w:r>
        <w:r w:rsidRPr="00BC0E7E">
          <w:rPr>
            <w:szCs w:val="22"/>
          </w:rPr>
          <w:delText>or a pre-filled pen.</w:delText>
        </w:r>
      </w:del>
    </w:p>
    <w:p w14:paraId="28D80D83" w14:textId="77777777" w:rsidR="00BC0E7E" w:rsidRPr="00BC0E7E" w:rsidRDefault="00BC0E7E" w:rsidP="00BC0E7E">
      <w:pPr>
        <w:numPr>
          <w:ilvl w:val="12"/>
          <w:numId w:val="0"/>
        </w:numPr>
        <w:ind w:right="-2"/>
        <w:rPr>
          <w:del w:id="10735" w:author="AbbVie19" w:date="2025-04-16T12:21:00Z"/>
          <w:szCs w:val="22"/>
        </w:rPr>
      </w:pPr>
    </w:p>
    <w:p w14:paraId="038B1124" w14:textId="77777777" w:rsidR="00BC0E7E" w:rsidRPr="00BC0E7E" w:rsidRDefault="00944B8F" w:rsidP="00BC0E7E">
      <w:pPr>
        <w:numPr>
          <w:ilvl w:val="12"/>
          <w:numId w:val="0"/>
        </w:numPr>
        <w:ind w:right="-2"/>
        <w:rPr>
          <w:del w:id="10736" w:author="AbbVie19" w:date="2025-04-16T12:21:00Z"/>
          <w:bCs/>
          <w:iCs/>
        </w:rPr>
      </w:pPr>
      <w:del w:id="10737" w:author="AbbVie19" w:date="2025-04-16T12:21:00Z">
        <w:r w:rsidRPr="00BC0E7E">
          <w:rPr>
            <w:b/>
          </w:rPr>
          <w:delText>Marketing Authorisation Holder</w:delText>
        </w:r>
      </w:del>
    </w:p>
    <w:p w14:paraId="091D4E8D" w14:textId="77777777" w:rsidR="00BC0E7E" w:rsidRPr="00BC0E7E" w:rsidRDefault="00BC0E7E" w:rsidP="00BC0E7E">
      <w:pPr>
        <w:numPr>
          <w:ilvl w:val="12"/>
          <w:numId w:val="0"/>
        </w:numPr>
        <w:ind w:right="-2"/>
        <w:rPr>
          <w:del w:id="10738" w:author="AbbVie19" w:date="2025-04-16T12:21:00Z"/>
        </w:rPr>
      </w:pPr>
    </w:p>
    <w:p w14:paraId="445B1ABD" w14:textId="77777777" w:rsidR="006A01D2" w:rsidRPr="00EB4204" w:rsidRDefault="00944B8F" w:rsidP="006A01D2">
      <w:pPr>
        <w:keepNext/>
        <w:tabs>
          <w:tab w:val="clear" w:pos="562"/>
        </w:tabs>
        <w:suppressAutoHyphens w:val="0"/>
        <w:autoSpaceDE w:val="0"/>
        <w:autoSpaceDN w:val="0"/>
        <w:adjustRightInd w:val="0"/>
        <w:spacing w:line="240" w:lineRule="atLeast"/>
        <w:rPr>
          <w:del w:id="10739" w:author="AbbVie19" w:date="2025-04-16T12:21:00Z"/>
          <w:szCs w:val="22"/>
          <w:lang w:eastAsia="en-GB"/>
        </w:rPr>
      </w:pPr>
      <w:del w:id="10740" w:author="AbbVie19" w:date="2025-04-16T12:21:00Z">
        <w:r w:rsidRPr="00EB4204">
          <w:rPr>
            <w:szCs w:val="22"/>
            <w:lang w:eastAsia="en-GB"/>
          </w:rPr>
          <w:delText>AbbVie Deutschland GmbH &amp; Co. KG</w:delText>
        </w:r>
      </w:del>
    </w:p>
    <w:p w14:paraId="761DA23E" w14:textId="77777777" w:rsidR="006A01D2" w:rsidRPr="00EB4204" w:rsidRDefault="00944B8F" w:rsidP="006A01D2">
      <w:pPr>
        <w:keepNext/>
        <w:tabs>
          <w:tab w:val="clear" w:pos="562"/>
        </w:tabs>
        <w:suppressAutoHyphens w:val="0"/>
        <w:autoSpaceDE w:val="0"/>
        <w:autoSpaceDN w:val="0"/>
        <w:adjustRightInd w:val="0"/>
        <w:spacing w:line="240" w:lineRule="atLeast"/>
        <w:rPr>
          <w:del w:id="10741" w:author="AbbVie19" w:date="2025-04-16T12:21:00Z"/>
          <w:szCs w:val="22"/>
          <w:lang w:eastAsia="en-GB"/>
        </w:rPr>
      </w:pPr>
      <w:del w:id="10742" w:author="AbbVie19" w:date="2025-04-16T12:21:00Z">
        <w:r w:rsidRPr="00EB4204">
          <w:rPr>
            <w:szCs w:val="22"/>
            <w:lang w:eastAsia="en-GB"/>
          </w:rPr>
          <w:delText>Knollstrasse</w:delText>
        </w:r>
      </w:del>
    </w:p>
    <w:p w14:paraId="69E61FB4" w14:textId="77777777" w:rsidR="006A01D2" w:rsidRPr="00EB4204" w:rsidRDefault="00944B8F" w:rsidP="006A01D2">
      <w:pPr>
        <w:keepNext/>
        <w:tabs>
          <w:tab w:val="clear" w:pos="562"/>
        </w:tabs>
        <w:suppressAutoHyphens w:val="0"/>
        <w:autoSpaceDE w:val="0"/>
        <w:autoSpaceDN w:val="0"/>
        <w:adjustRightInd w:val="0"/>
        <w:spacing w:line="240" w:lineRule="atLeast"/>
        <w:rPr>
          <w:del w:id="10743" w:author="AbbVie19" w:date="2025-04-16T12:21:00Z"/>
          <w:szCs w:val="22"/>
          <w:lang w:eastAsia="en-GB"/>
        </w:rPr>
      </w:pPr>
      <w:del w:id="10744" w:author="AbbVie19" w:date="2025-04-16T12:21:00Z">
        <w:r w:rsidRPr="00EB4204">
          <w:rPr>
            <w:szCs w:val="22"/>
            <w:lang w:eastAsia="en-GB"/>
          </w:rPr>
          <w:delText>67061 Ludwigshafen</w:delText>
        </w:r>
      </w:del>
    </w:p>
    <w:p w14:paraId="3C5B2DE8" w14:textId="77777777" w:rsidR="006A01D2" w:rsidRDefault="00944B8F" w:rsidP="006A01D2">
      <w:pPr>
        <w:keepNext/>
        <w:tabs>
          <w:tab w:val="clear" w:pos="562"/>
          <w:tab w:val="left" w:pos="720"/>
        </w:tabs>
        <w:suppressAutoHyphens w:val="0"/>
        <w:autoSpaceDE w:val="0"/>
        <w:autoSpaceDN w:val="0"/>
        <w:adjustRightInd w:val="0"/>
        <w:spacing w:line="240" w:lineRule="atLeast"/>
        <w:rPr>
          <w:del w:id="10745" w:author="AbbVie19" w:date="2025-04-16T12:21:00Z"/>
          <w:szCs w:val="22"/>
          <w:lang w:eastAsia="en-GB"/>
        </w:rPr>
      </w:pPr>
      <w:del w:id="10746" w:author="AbbVie19" w:date="2025-04-16T12:21:00Z">
        <w:r w:rsidRPr="00EB4204">
          <w:rPr>
            <w:szCs w:val="22"/>
            <w:lang w:eastAsia="en-GB"/>
          </w:rPr>
          <w:delText>Germany</w:delText>
        </w:r>
        <w:r>
          <w:rPr>
            <w:szCs w:val="22"/>
            <w:lang w:eastAsia="en-GB"/>
          </w:rPr>
          <w:delText xml:space="preserve"> </w:delText>
        </w:r>
      </w:del>
    </w:p>
    <w:p w14:paraId="10FCFE3E" w14:textId="77777777" w:rsidR="00BC0E7E" w:rsidRPr="00BC0E7E" w:rsidRDefault="00BC0E7E" w:rsidP="00BC0E7E">
      <w:pPr>
        <w:rPr>
          <w:del w:id="10747" w:author="AbbVie19" w:date="2025-04-16T12:21:00Z"/>
        </w:rPr>
      </w:pPr>
    </w:p>
    <w:p w14:paraId="54B245A6" w14:textId="77777777" w:rsidR="00BC0E7E" w:rsidRPr="00BC0E7E" w:rsidRDefault="00944B8F" w:rsidP="00171601">
      <w:pPr>
        <w:keepNext/>
        <w:numPr>
          <w:ilvl w:val="12"/>
          <w:numId w:val="0"/>
        </w:numPr>
        <w:ind w:right="-2"/>
        <w:rPr>
          <w:del w:id="10748" w:author="AbbVie19" w:date="2025-04-16T12:21:00Z"/>
          <w:b/>
        </w:rPr>
      </w:pPr>
      <w:del w:id="10749" w:author="AbbVie19" w:date="2025-04-16T12:21:00Z">
        <w:r w:rsidRPr="00BC0E7E">
          <w:rPr>
            <w:b/>
          </w:rPr>
          <w:lastRenderedPageBreak/>
          <w:delText xml:space="preserve">Manufacturer </w:delText>
        </w:r>
      </w:del>
    </w:p>
    <w:p w14:paraId="5626C2D3" w14:textId="77777777" w:rsidR="00BC0E7E" w:rsidRPr="00BC0E7E" w:rsidRDefault="00BC0E7E" w:rsidP="00171601">
      <w:pPr>
        <w:keepNext/>
        <w:numPr>
          <w:ilvl w:val="12"/>
          <w:numId w:val="0"/>
        </w:numPr>
        <w:ind w:right="-2"/>
        <w:rPr>
          <w:del w:id="10750" w:author="AbbVie19" w:date="2025-04-16T12:21:00Z"/>
        </w:rPr>
      </w:pPr>
    </w:p>
    <w:p w14:paraId="280D0A78" w14:textId="77777777" w:rsidR="00BC0E7E" w:rsidRPr="00BC0E7E" w:rsidRDefault="00944B8F" w:rsidP="00BC0E7E">
      <w:pPr>
        <w:rPr>
          <w:del w:id="10751" w:author="AbbVie19" w:date="2025-04-16T12:21:00Z"/>
        </w:rPr>
      </w:pPr>
      <w:del w:id="10752" w:author="AbbVie19" w:date="2025-04-16T12:21:00Z">
        <w:r w:rsidRPr="00BC0E7E">
          <w:delText>AbbVie Biotechnology GmbH</w:delText>
        </w:r>
      </w:del>
    </w:p>
    <w:p w14:paraId="17577410" w14:textId="77777777" w:rsidR="00BC0E7E" w:rsidRPr="00BC0E7E" w:rsidRDefault="00944B8F" w:rsidP="00BC0E7E">
      <w:pPr>
        <w:numPr>
          <w:ilvl w:val="12"/>
          <w:numId w:val="0"/>
        </w:numPr>
        <w:tabs>
          <w:tab w:val="clear" w:pos="562"/>
          <w:tab w:val="left" w:pos="720"/>
        </w:tabs>
        <w:rPr>
          <w:del w:id="10753" w:author="AbbVie19" w:date="2025-04-16T12:21:00Z"/>
        </w:rPr>
      </w:pPr>
      <w:del w:id="10754" w:author="AbbVie19" w:date="2025-04-16T12:21:00Z">
        <w:r w:rsidRPr="00BC0E7E">
          <w:delText>Knollstrasse</w:delText>
        </w:r>
      </w:del>
    </w:p>
    <w:p w14:paraId="110C54D2" w14:textId="77777777" w:rsidR="00BC0E7E" w:rsidRPr="00BC0E7E" w:rsidRDefault="00944B8F" w:rsidP="00BC0E7E">
      <w:pPr>
        <w:numPr>
          <w:ilvl w:val="12"/>
          <w:numId w:val="0"/>
        </w:numPr>
        <w:tabs>
          <w:tab w:val="clear" w:pos="562"/>
          <w:tab w:val="left" w:pos="720"/>
        </w:tabs>
        <w:rPr>
          <w:del w:id="10755" w:author="AbbVie19" w:date="2025-04-16T12:21:00Z"/>
        </w:rPr>
      </w:pPr>
      <w:del w:id="10756" w:author="AbbVie19" w:date="2025-04-16T12:21:00Z">
        <w:r w:rsidRPr="00BC0E7E">
          <w:delText>67061 Ludwigshafen</w:delText>
        </w:r>
      </w:del>
    </w:p>
    <w:p w14:paraId="211EA8F3" w14:textId="77777777" w:rsidR="00BC0E7E" w:rsidRPr="00BC0E7E" w:rsidRDefault="00944B8F" w:rsidP="00BC0E7E">
      <w:pPr>
        <w:numPr>
          <w:ilvl w:val="12"/>
          <w:numId w:val="0"/>
        </w:numPr>
        <w:tabs>
          <w:tab w:val="clear" w:pos="562"/>
          <w:tab w:val="left" w:pos="720"/>
        </w:tabs>
        <w:rPr>
          <w:del w:id="10757" w:author="AbbVie19" w:date="2025-04-16T12:21:00Z"/>
        </w:rPr>
      </w:pPr>
      <w:del w:id="10758" w:author="AbbVie19" w:date="2025-04-16T12:21:00Z">
        <w:r w:rsidRPr="00BC0E7E">
          <w:delText>Germany</w:delText>
        </w:r>
      </w:del>
    </w:p>
    <w:p w14:paraId="30442FA5" w14:textId="77777777" w:rsidR="00BC0E7E" w:rsidRPr="00A06B15" w:rsidRDefault="00BC0E7E" w:rsidP="00BC0E7E">
      <w:pPr>
        <w:numPr>
          <w:ilvl w:val="12"/>
          <w:numId w:val="0"/>
        </w:numPr>
        <w:tabs>
          <w:tab w:val="clear" w:pos="562"/>
        </w:tabs>
        <w:ind w:right="-2"/>
        <w:rPr>
          <w:del w:id="10759" w:author="AbbVie19" w:date="2025-04-16T12:21:00Z"/>
        </w:rPr>
      </w:pPr>
    </w:p>
    <w:p w14:paraId="42E49DB7" w14:textId="77777777" w:rsidR="00BC0E7E" w:rsidRPr="00BC0E7E" w:rsidRDefault="00944B8F" w:rsidP="00BC0E7E">
      <w:pPr>
        <w:numPr>
          <w:ilvl w:val="12"/>
          <w:numId w:val="0"/>
        </w:numPr>
        <w:tabs>
          <w:tab w:val="clear" w:pos="562"/>
        </w:tabs>
        <w:ind w:right="-2"/>
        <w:rPr>
          <w:del w:id="10760" w:author="AbbVie19" w:date="2025-04-16T12:21:00Z"/>
        </w:rPr>
      </w:pPr>
      <w:del w:id="10761" w:author="AbbVie19" w:date="2025-04-16T12:21:00Z">
        <w:r w:rsidRPr="00BC0E7E">
          <w:delText>For any information about this medicine, please contact the local representative of the Marketing Authorisation Holder.</w:delText>
        </w:r>
      </w:del>
    </w:p>
    <w:p w14:paraId="578347FA" w14:textId="77777777" w:rsidR="00BC0E7E" w:rsidRPr="00BC0E7E" w:rsidRDefault="00BC0E7E" w:rsidP="00BC0E7E">
      <w:pPr>
        <w:numPr>
          <w:ilvl w:val="12"/>
          <w:numId w:val="0"/>
        </w:numPr>
        <w:tabs>
          <w:tab w:val="clear" w:pos="562"/>
        </w:tabs>
        <w:ind w:right="-2"/>
        <w:rPr>
          <w:del w:id="10762" w:author="AbbVie19" w:date="2025-04-16T12:21:00Z"/>
        </w:rPr>
      </w:pPr>
    </w:p>
    <w:tbl>
      <w:tblPr>
        <w:tblW w:w="9356" w:type="dxa"/>
        <w:tblInd w:w="-34" w:type="dxa"/>
        <w:tblLayout w:type="fixed"/>
        <w:tblLook w:val="0000" w:firstRow="0" w:lastRow="0" w:firstColumn="0" w:lastColumn="0" w:noHBand="0" w:noVBand="0"/>
      </w:tblPr>
      <w:tblGrid>
        <w:gridCol w:w="34"/>
        <w:gridCol w:w="4644"/>
        <w:gridCol w:w="4678"/>
      </w:tblGrid>
      <w:tr w:rsidR="00C6578C" w14:paraId="707EDECE" w14:textId="77777777" w:rsidTr="00171601">
        <w:trPr>
          <w:gridBefore w:val="1"/>
          <w:wBefore w:w="34" w:type="dxa"/>
          <w:del w:id="10763" w:author="AbbVie19" w:date="2025-04-16T12:21:00Z"/>
        </w:trPr>
        <w:tc>
          <w:tcPr>
            <w:tcW w:w="4644" w:type="dxa"/>
          </w:tcPr>
          <w:p w14:paraId="626D1B22" w14:textId="77777777" w:rsidR="00BC0E7E" w:rsidRPr="000B7DC1" w:rsidRDefault="00944B8F" w:rsidP="00BC0E7E">
            <w:pPr>
              <w:rPr>
                <w:del w:id="10764" w:author="AbbVie19" w:date="2025-04-16T12:21:00Z"/>
                <w:b/>
                <w:szCs w:val="22"/>
                <w:lang w:val="en-US"/>
                <w:rPrChange w:id="10765" w:author="AbbVie33" w:date="2025-05-05T10:55:00Z">
                  <w:rPr>
                    <w:del w:id="10766" w:author="AbbVie19" w:date="2025-04-16T12:21:00Z"/>
                    <w:b/>
                    <w:bCs/>
                    <w:szCs w:val="22"/>
                    <w:lang w:val="fr-BE"/>
                  </w:rPr>
                </w:rPrChange>
              </w:rPr>
            </w:pPr>
            <w:del w:id="10767" w:author="AbbVie19" w:date="2025-04-16T12:21:00Z">
              <w:r w:rsidRPr="000B7DC1">
                <w:rPr>
                  <w:b/>
                  <w:szCs w:val="22"/>
                  <w:lang w:val="en-US"/>
                  <w:rPrChange w:id="10768" w:author="AbbVie33" w:date="2025-05-05T10:55:00Z">
                    <w:rPr>
                      <w:b/>
                      <w:bCs/>
                      <w:szCs w:val="22"/>
                      <w:lang w:val="fr-BE"/>
                    </w:rPr>
                  </w:rPrChange>
                </w:rPr>
                <w:delText>België/Belgique/Belgien</w:delText>
              </w:r>
            </w:del>
          </w:p>
          <w:p w14:paraId="0EB6D4FA" w14:textId="77777777" w:rsidR="00BC0E7E" w:rsidRPr="000B7DC1" w:rsidRDefault="00944B8F" w:rsidP="00BC0E7E">
            <w:pPr>
              <w:tabs>
                <w:tab w:val="center" w:pos="2214"/>
              </w:tabs>
              <w:rPr>
                <w:del w:id="10769" w:author="AbbVie19" w:date="2025-04-16T12:21:00Z"/>
                <w:szCs w:val="22"/>
                <w:lang w:val="en-US"/>
                <w:rPrChange w:id="10770" w:author="AbbVie33" w:date="2025-05-05T10:55:00Z">
                  <w:rPr>
                    <w:del w:id="10771" w:author="AbbVie19" w:date="2025-04-16T12:21:00Z"/>
                    <w:bCs/>
                    <w:szCs w:val="22"/>
                    <w:lang w:val="fr-FR"/>
                  </w:rPr>
                </w:rPrChange>
              </w:rPr>
            </w:pPr>
            <w:del w:id="10772" w:author="AbbVie19" w:date="2025-04-16T12:21:00Z">
              <w:r w:rsidRPr="000B7DC1">
                <w:rPr>
                  <w:szCs w:val="22"/>
                  <w:lang w:val="en-US"/>
                  <w:rPrChange w:id="10773" w:author="AbbVie33" w:date="2025-05-05T10:55:00Z">
                    <w:rPr>
                      <w:bCs/>
                      <w:szCs w:val="22"/>
                      <w:lang w:val="fr-FR"/>
                    </w:rPr>
                  </w:rPrChange>
                </w:rPr>
                <w:delText>AbbVie SA</w:delText>
              </w:r>
            </w:del>
          </w:p>
          <w:p w14:paraId="17152455" w14:textId="77777777" w:rsidR="00BC0E7E" w:rsidRPr="000B7DC1" w:rsidRDefault="00944B8F" w:rsidP="00BC0E7E">
            <w:pPr>
              <w:spacing w:line="260" w:lineRule="exact"/>
              <w:rPr>
                <w:del w:id="10774" w:author="AbbVie19" w:date="2025-04-16T12:21:00Z"/>
                <w:szCs w:val="22"/>
                <w:lang w:val="en-US"/>
                <w:rPrChange w:id="10775" w:author="AbbVie33" w:date="2025-05-05T10:55:00Z">
                  <w:rPr>
                    <w:del w:id="10776" w:author="AbbVie19" w:date="2025-04-16T12:21:00Z"/>
                    <w:szCs w:val="22"/>
                    <w:lang w:val="fr-FR"/>
                  </w:rPr>
                </w:rPrChange>
              </w:rPr>
            </w:pPr>
            <w:del w:id="10777" w:author="AbbVie19" w:date="2025-04-16T12:21:00Z">
              <w:r w:rsidRPr="000B7DC1">
                <w:rPr>
                  <w:szCs w:val="22"/>
                  <w:lang w:val="en-US"/>
                  <w:rPrChange w:id="10778" w:author="AbbVie33" w:date="2025-05-05T10:55:00Z">
                    <w:rPr>
                      <w:bCs/>
                      <w:szCs w:val="22"/>
                      <w:lang w:val="fr-FR"/>
                    </w:rPr>
                  </w:rPrChange>
                </w:rPr>
                <w:delText xml:space="preserve">Tél/Tel: +32 10 </w:delText>
              </w:r>
              <w:r w:rsidRPr="000B7DC1">
                <w:rPr>
                  <w:szCs w:val="22"/>
                  <w:lang w:val="en-US"/>
                  <w:rPrChange w:id="10779" w:author="AbbVie33" w:date="2025-05-05T10:55:00Z">
                    <w:rPr>
                      <w:szCs w:val="22"/>
                      <w:lang w:val="fr-FR"/>
                    </w:rPr>
                  </w:rPrChange>
                </w:rPr>
                <w:delText xml:space="preserve"> 477811</w:delText>
              </w:r>
            </w:del>
          </w:p>
          <w:p w14:paraId="211F9C7C" w14:textId="77777777" w:rsidR="00385F6B" w:rsidRPr="000B7DC1" w:rsidRDefault="00385F6B" w:rsidP="00BC0E7E">
            <w:pPr>
              <w:spacing w:line="260" w:lineRule="exact"/>
              <w:rPr>
                <w:del w:id="10780" w:author="AbbVie19" w:date="2025-04-16T12:21:00Z"/>
                <w:szCs w:val="22"/>
                <w:lang w:val="en-US"/>
                <w:rPrChange w:id="10781" w:author="AbbVie33" w:date="2025-05-05T10:55:00Z">
                  <w:rPr>
                    <w:del w:id="10782" w:author="AbbVie19" w:date="2025-04-16T12:21:00Z"/>
                    <w:bCs/>
                    <w:szCs w:val="22"/>
                    <w:lang w:val="fr-FR"/>
                  </w:rPr>
                </w:rPrChange>
              </w:rPr>
            </w:pPr>
          </w:p>
        </w:tc>
        <w:tc>
          <w:tcPr>
            <w:tcW w:w="4678" w:type="dxa"/>
          </w:tcPr>
          <w:p w14:paraId="54C2FF16" w14:textId="77777777" w:rsidR="00BC0E7E" w:rsidRPr="00BC0E7E" w:rsidRDefault="00944B8F" w:rsidP="00BC0E7E">
            <w:pPr>
              <w:rPr>
                <w:del w:id="10783" w:author="AbbVie19" w:date="2025-04-16T12:21:00Z"/>
                <w:b/>
                <w:bCs/>
                <w:szCs w:val="22"/>
                <w:lang w:val="lt-LT"/>
              </w:rPr>
            </w:pPr>
            <w:del w:id="10784" w:author="AbbVie19" w:date="2025-04-16T12:21:00Z">
              <w:r w:rsidRPr="00BC0E7E">
                <w:rPr>
                  <w:b/>
                  <w:bCs/>
                  <w:szCs w:val="22"/>
                  <w:lang w:val="lt-LT"/>
                </w:rPr>
                <w:delText>Lietuva</w:delText>
              </w:r>
            </w:del>
          </w:p>
          <w:p w14:paraId="57C0D81E" w14:textId="77777777" w:rsidR="00BC0E7E" w:rsidRPr="00BC0E7E" w:rsidRDefault="00944B8F" w:rsidP="00BC0E7E">
            <w:pPr>
              <w:rPr>
                <w:del w:id="10785" w:author="AbbVie19" w:date="2025-04-16T12:21:00Z"/>
                <w:bCs/>
                <w:szCs w:val="22"/>
                <w:lang w:val="lv-LV"/>
              </w:rPr>
            </w:pPr>
            <w:del w:id="10786" w:author="AbbVie19" w:date="2025-04-16T12:21:00Z">
              <w:r w:rsidRPr="00BC0E7E">
                <w:rPr>
                  <w:bCs/>
                  <w:szCs w:val="22"/>
                  <w:lang w:val="lv-LV"/>
                </w:rPr>
                <w:delText xml:space="preserve">AbbVie UAB </w:delText>
              </w:r>
            </w:del>
          </w:p>
          <w:p w14:paraId="1C2FCAAC" w14:textId="77777777" w:rsidR="00BC0E7E" w:rsidRPr="00BC0E7E" w:rsidRDefault="00944B8F" w:rsidP="00BC0E7E">
            <w:pPr>
              <w:jc w:val="both"/>
              <w:rPr>
                <w:del w:id="10787" w:author="AbbVie19" w:date="2025-04-16T12:21:00Z"/>
                <w:bCs/>
                <w:szCs w:val="22"/>
                <w:lang w:val="lv-LV"/>
              </w:rPr>
            </w:pPr>
            <w:del w:id="10788" w:author="AbbVie19" w:date="2025-04-16T12:21:00Z">
              <w:r w:rsidRPr="00BC0E7E">
                <w:rPr>
                  <w:bCs/>
                  <w:szCs w:val="22"/>
                  <w:lang w:val="lv-LV"/>
                </w:rPr>
                <w:delText>Tel: +370 5 205 3023</w:delText>
              </w:r>
            </w:del>
          </w:p>
        </w:tc>
      </w:tr>
      <w:tr w:rsidR="00C6578C" w14:paraId="79FCFD39" w14:textId="77777777" w:rsidTr="00171601">
        <w:trPr>
          <w:gridBefore w:val="1"/>
          <w:wBefore w:w="34" w:type="dxa"/>
          <w:del w:id="10789" w:author="AbbVie19" w:date="2025-04-16T12:21:00Z"/>
        </w:trPr>
        <w:tc>
          <w:tcPr>
            <w:tcW w:w="4644" w:type="dxa"/>
          </w:tcPr>
          <w:p w14:paraId="4E367920" w14:textId="77777777" w:rsidR="00BC0E7E" w:rsidRPr="00BC0E7E" w:rsidRDefault="00944B8F" w:rsidP="00BC0E7E">
            <w:pPr>
              <w:autoSpaceDE w:val="0"/>
              <w:autoSpaceDN w:val="0"/>
              <w:adjustRightInd w:val="0"/>
              <w:rPr>
                <w:del w:id="10790" w:author="AbbVie19" w:date="2025-04-16T12:21:00Z"/>
                <w:b/>
                <w:bCs/>
                <w:szCs w:val="22"/>
                <w:lang w:val="bg-BG"/>
              </w:rPr>
            </w:pPr>
            <w:del w:id="10791" w:author="AbbVie19" w:date="2025-04-16T12:21:00Z">
              <w:r w:rsidRPr="00BC0E7E">
                <w:rPr>
                  <w:b/>
                  <w:bCs/>
                  <w:szCs w:val="22"/>
                  <w:lang w:val="bg-BG"/>
                </w:rPr>
                <w:delText>България</w:delText>
              </w:r>
            </w:del>
          </w:p>
          <w:p w14:paraId="1AD196DF" w14:textId="77777777" w:rsidR="00BC0E7E" w:rsidRPr="00BC0E7E" w:rsidRDefault="00944B8F" w:rsidP="00BC0E7E">
            <w:pPr>
              <w:autoSpaceDE w:val="0"/>
              <w:autoSpaceDN w:val="0"/>
              <w:adjustRightInd w:val="0"/>
              <w:rPr>
                <w:del w:id="10792" w:author="AbbVie19" w:date="2025-04-16T12:21:00Z"/>
                <w:szCs w:val="22"/>
                <w:lang w:val="da-DK"/>
              </w:rPr>
            </w:pPr>
            <w:del w:id="10793" w:author="AbbVie19" w:date="2025-04-16T12:21:00Z">
              <w:r w:rsidRPr="00BC0E7E">
                <w:rPr>
                  <w:rFonts w:eastAsia="MS Mincho"/>
                  <w:color w:val="000000"/>
                  <w:szCs w:val="22"/>
                  <w:lang w:eastAsia="ja-JP"/>
                </w:rPr>
                <w:delText>АбВи ЕООД</w:delText>
              </w:r>
            </w:del>
          </w:p>
          <w:p w14:paraId="75959F1B" w14:textId="77777777" w:rsidR="00BC0E7E" w:rsidRPr="00BC0E7E" w:rsidRDefault="00944B8F" w:rsidP="00BC0E7E">
            <w:pPr>
              <w:tabs>
                <w:tab w:val="left" w:pos="-720"/>
              </w:tabs>
              <w:rPr>
                <w:del w:id="10794" w:author="AbbVie19" w:date="2025-04-16T12:21:00Z"/>
                <w:bCs/>
                <w:szCs w:val="22"/>
                <w:lang w:val="da-DK"/>
              </w:rPr>
            </w:pPr>
            <w:del w:id="10795" w:author="AbbVie19" w:date="2025-04-16T12:21:00Z">
              <w:r w:rsidRPr="00BC0E7E">
                <w:rPr>
                  <w:rFonts w:eastAsia="MS Mincho"/>
                  <w:color w:val="000000"/>
                  <w:szCs w:val="22"/>
                  <w:lang w:eastAsia="ja-JP"/>
                </w:rPr>
                <w:delText>Тел</w:delText>
              </w:r>
              <w:r w:rsidRPr="00BC0E7E">
                <w:rPr>
                  <w:rFonts w:eastAsia="MS Mincho"/>
                  <w:color w:val="000000"/>
                  <w:szCs w:val="22"/>
                  <w:lang w:val="it-IT" w:eastAsia="ja-JP"/>
                </w:rPr>
                <w:delText>.:+359 2 90 30 430</w:delText>
              </w:r>
            </w:del>
          </w:p>
        </w:tc>
        <w:tc>
          <w:tcPr>
            <w:tcW w:w="4678" w:type="dxa"/>
          </w:tcPr>
          <w:p w14:paraId="0805D48F" w14:textId="77777777" w:rsidR="00BC0E7E" w:rsidRPr="00BC0E7E" w:rsidRDefault="00944B8F" w:rsidP="00BC0E7E">
            <w:pPr>
              <w:rPr>
                <w:del w:id="10796" w:author="AbbVie19" w:date="2025-04-16T12:21:00Z"/>
                <w:b/>
                <w:bCs/>
                <w:szCs w:val="22"/>
                <w:lang w:val="de-DE"/>
              </w:rPr>
            </w:pPr>
            <w:del w:id="10797" w:author="AbbVie19" w:date="2025-04-16T12:21:00Z">
              <w:r w:rsidRPr="00BC0E7E">
                <w:rPr>
                  <w:b/>
                  <w:bCs/>
                  <w:szCs w:val="22"/>
                  <w:lang w:val="de-DE"/>
                </w:rPr>
                <w:delText>Luxembourg/Luxemburg</w:delText>
              </w:r>
            </w:del>
          </w:p>
          <w:p w14:paraId="62B82E44" w14:textId="77777777" w:rsidR="00BC0E7E" w:rsidRPr="00BC0E7E" w:rsidRDefault="00944B8F" w:rsidP="00BC0E7E">
            <w:pPr>
              <w:rPr>
                <w:del w:id="10798" w:author="AbbVie19" w:date="2025-04-16T12:21:00Z"/>
                <w:bCs/>
                <w:szCs w:val="22"/>
                <w:lang w:val="de-DE"/>
              </w:rPr>
            </w:pPr>
            <w:del w:id="10799" w:author="AbbVie19" w:date="2025-04-16T12:21:00Z">
              <w:r w:rsidRPr="00BC0E7E">
                <w:rPr>
                  <w:bCs/>
                  <w:szCs w:val="22"/>
                  <w:lang w:val="de-DE"/>
                </w:rPr>
                <w:delText>AbbVie SA</w:delText>
              </w:r>
            </w:del>
          </w:p>
          <w:p w14:paraId="4ED3C902" w14:textId="77777777" w:rsidR="00BC0E7E" w:rsidRPr="00BC0E7E" w:rsidRDefault="00944B8F" w:rsidP="00BC0E7E">
            <w:pPr>
              <w:tabs>
                <w:tab w:val="center" w:pos="2231"/>
              </w:tabs>
              <w:rPr>
                <w:del w:id="10800" w:author="AbbVie19" w:date="2025-04-16T12:21:00Z"/>
                <w:bCs/>
                <w:szCs w:val="22"/>
                <w:lang w:val="de-DE"/>
              </w:rPr>
            </w:pPr>
            <w:del w:id="10801" w:author="AbbVie19" w:date="2025-04-16T12:21:00Z">
              <w:r w:rsidRPr="00BC0E7E">
                <w:rPr>
                  <w:bCs/>
                  <w:szCs w:val="22"/>
                  <w:lang w:val="de-DE"/>
                </w:rPr>
                <w:delText>Belgique/Belgien</w:delText>
              </w:r>
            </w:del>
          </w:p>
          <w:p w14:paraId="2DD3378E" w14:textId="77777777" w:rsidR="00BC0E7E" w:rsidRPr="000B7DC1" w:rsidRDefault="00944B8F" w:rsidP="00BC0E7E">
            <w:pPr>
              <w:rPr>
                <w:del w:id="10802" w:author="AbbVie19" w:date="2025-04-16T12:21:00Z"/>
                <w:szCs w:val="22"/>
                <w:lang w:val="en-US"/>
                <w:rPrChange w:id="10803" w:author="AbbVie33" w:date="2025-05-05T10:55:00Z">
                  <w:rPr>
                    <w:del w:id="10804" w:author="AbbVie19" w:date="2025-04-16T12:21:00Z"/>
                    <w:bCs/>
                    <w:szCs w:val="22"/>
                    <w:lang w:val="fr-FR"/>
                  </w:rPr>
                </w:rPrChange>
              </w:rPr>
            </w:pPr>
            <w:del w:id="10805" w:author="AbbVie19" w:date="2025-04-16T12:21:00Z">
              <w:r w:rsidRPr="000B7DC1">
                <w:rPr>
                  <w:szCs w:val="22"/>
                  <w:lang w:val="en-US"/>
                  <w:rPrChange w:id="10806" w:author="AbbVie33" w:date="2025-05-05T10:55:00Z">
                    <w:rPr>
                      <w:bCs/>
                      <w:szCs w:val="22"/>
                      <w:lang w:val="fr-FR"/>
                    </w:rPr>
                  </w:rPrChange>
                </w:rPr>
                <w:delText>Tél/Tel: +32 10 477811</w:delText>
              </w:r>
            </w:del>
          </w:p>
          <w:p w14:paraId="1B0716A8" w14:textId="77777777" w:rsidR="00385F6B" w:rsidRPr="000B7DC1" w:rsidRDefault="00385F6B" w:rsidP="00BC0E7E">
            <w:pPr>
              <w:rPr>
                <w:del w:id="10807" w:author="AbbVie19" w:date="2025-04-16T12:21:00Z"/>
                <w:szCs w:val="22"/>
                <w:lang w:val="en-US"/>
                <w:rPrChange w:id="10808" w:author="AbbVie33" w:date="2025-05-05T10:55:00Z">
                  <w:rPr>
                    <w:del w:id="10809" w:author="AbbVie19" w:date="2025-04-16T12:21:00Z"/>
                    <w:bCs/>
                    <w:szCs w:val="22"/>
                    <w:lang w:val="fr-FR"/>
                  </w:rPr>
                </w:rPrChange>
              </w:rPr>
            </w:pPr>
          </w:p>
        </w:tc>
      </w:tr>
      <w:tr w:rsidR="00C6578C" w14:paraId="6ED18791" w14:textId="77777777" w:rsidTr="00171601">
        <w:trPr>
          <w:gridBefore w:val="1"/>
          <w:wBefore w:w="34" w:type="dxa"/>
          <w:del w:id="10810" w:author="AbbVie19" w:date="2025-04-16T12:21:00Z"/>
        </w:trPr>
        <w:tc>
          <w:tcPr>
            <w:tcW w:w="4644" w:type="dxa"/>
          </w:tcPr>
          <w:p w14:paraId="798B7DDF" w14:textId="77777777" w:rsidR="00BC0E7E" w:rsidRPr="00BC0E7E" w:rsidRDefault="00944B8F" w:rsidP="00BC0E7E">
            <w:pPr>
              <w:rPr>
                <w:del w:id="10811" w:author="AbbVie19" w:date="2025-04-16T12:21:00Z"/>
                <w:b/>
                <w:bCs/>
                <w:szCs w:val="22"/>
                <w:lang w:val="de-DE"/>
              </w:rPr>
            </w:pPr>
            <w:del w:id="10812" w:author="AbbVie19" w:date="2025-04-16T12:21:00Z">
              <w:r w:rsidRPr="00BC0E7E">
                <w:rPr>
                  <w:b/>
                  <w:bCs/>
                  <w:szCs w:val="22"/>
                  <w:lang w:val="de-DE"/>
                </w:rPr>
                <w:delText>Česká republika</w:delText>
              </w:r>
            </w:del>
          </w:p>
          <w:p w14:paraId="7768D21D" w14:textId="77777777" w:rsidR="00BC0E7E" w:rsidRPr="00BC0E7E" w:rsidRDefault="00944B8F" w:rsidP="00BC0E7E">
            <w:pPr>
              <w:rPr>
                <w:del w:id="10813" w:author="AbbVie19" w:date="2025-04-16T12:21:00Z"/>
                <w:bCs/>
                <w:szCs w:val="22"/>
                <w:lang w:val="de-DE"/>
              </w:rPr>
            </w:pPr>
            <w:del w:id="10814" w:author="AbbVie19" w:date="2025-04-16T12:21:00Z">
              <w:r w:rsidRPr="00BC0E7E">
                <w:rPr>
                  <w:bCs/>
                  <w:szCs w:val="22"/>
                  <w:lang w:val="de-DE"/>
                </w:rPr>
                <w:delText xml:space="preserve">AbbVie s.r.o. </w:delText>
              </w:r>
            </w:del>
          </w:p>
          <w:p w14:paraId="0B51975A" w14:textId="77777777" w:rsidR="00BC0E7E" w:rsidRPr="00BC0E7E" w:rsidRDefault="00944B8F" w:rsidP="00BC0E7E">
            <w:pPr>
              <w:rPr>
                <w:del w:id="10815" w:author="AbbVie19" w:date="2025-04-16T12:21:00Z"/>
                <w:bCs/>
                <w:szCs w:val="22"/>
                <w:lang w:val="de-DE"/>
              </w:rPr>
            </w:pPr>
            <w:del w:id="10816" w:author="AbbVie19" w:date="2025-04-16T12:21:00Z">
              <w:r w:rsidRPr="00BC0E7E">
                <w:rPr>
                  <w:bCs/>
                  <w:szCs w:val="22"/>
                  <w:lang w:val="de-DE"/>
                </w:rPr>
                <w:delText>Tel: +420 233 098 111</w:delText>
              </w:r>
            </w:del>
          </w:p>
        </w:tc>
        <w:tc>
          <w:tcPr>
            <w:tcW w:w="4678" w:type="dxa"/>
          </w:tcPr>
          <w:p w14:paraId="54281210" w14:textId="77777777" w:rsidR="00BC0E7E" w:rsidRPr="00BC0E7E" w:rsidRDefault="00944B8F" w:rsidP="00BC0E7E">
            <w:pPr>
              <w:rPr>
                <w:del w:id="10817" w:author="AbbVie19" w:date="2025-04-16T12:21:00Z"/>
                <w:b/>
                <w:bCs/>
                <w:szCs w:val="22"/>
                <w:lang w:val="hu-HU"/>
              </w:rPr>
            </w:pPr>
            <w:del w:id="10818" w:author="AbbVie19" w:date="2025-04-16T12:21:00Z">
              <w:r w:rsidRPr="00BC0E7E">
                <w:rPr>
                  <w:b/>
                  <w:bCs/>
                  <w:szCs w:val="22"/>
                  <w:lang w:val="hu-HU"/>
                </w:rPr>
                <w:delText>Magyarország</w:delText>
              </w:r>
            </w:del>
          </w:p>
          <w:p w14:paraId="2049DCC3" w14:textId="77777777" w:rsidR="00BC0E7E" w:rsidRPr="00BC0E7E" w:rsidRDefault="00944B8F" w:rsidP="00BC0E7E">
            <w:pPr>
              <w:rPr>
                <w:del w:id="10819" w:author="AbbVie19" w:date="2025-04-16T12:21:00Z"/>
                <w:bCs/>
                <w:szCs w:val="22"/>
                <w:lang w:val="hu-HU"/>
              </w:rPr>
            </w:pPr>
            <w:del w:id="10820" w:author="AbbVie19" w:date="2025-04-16T12:21:00Z">
              <w:r w:rsidRPr="00BC0E7E">
                <w:rPr>
                  <w:bCs/>
                  <w:szCs w:val="22"/>
                  <w:lang w:val="hu-HU"/>
                </w:rPr>
                <w:delText>AbbVie Kft.</w:delText>
              </w:r>
            </w:del>
          </w:p>
          <w:p w14:paraId="4CA6DC5C" w14:textId="77777777" w:rsidR="00BC0E7E" w:rsidRDefault="00944B8F" w:rsidP="00BC0E7E">
            <w:pPr>
              <w:tabs>
                <w:tab w:val="left" w:pos="2380"/>
              </w:tabs>
              <w:rPr>
                <w:del w:id="10821" w:author="AbbVie19" w:date="2025-04-16T12:21:00Z"/>
                <w:bCs/>
                <w:szCs w:val="22"/>
                <w:lang w:val="hu-HU"/>
              </w:rPr>
            </w:pPr>
            <w:del w:id="10822" w:author="AbbVie19" w:date="2025-04-16T12:21:00Z">
              <w:r w:rsidRPr="00BC0E7E">
                <w:rPr>
                  <w:bCs/>
                  <w:szCs w:val="22"/>
                  <w:lang w:val="hu-HU"/>
                </w:rPr>
                <w:delText>Tel.:+36 1 455 8600</w:delText>
              </w:r>
            </w:del>
          </w:p>
          <w:p w14:paraId="3860A61D" w14:textId="77777777" w:rsidR="00385F6B" w:rsidRPr="00BC0E7E" w:rsidRDefault="00385F6B" w:rsidP="00BC0E7E">
            <w:pPr>
              <w:tabs>
                <w:tab w:val="left" w:pos="2380"/>
              </w:tabs>
              <w:rPr>
                <w:del w:id="10823" w:author="AbbVie19" w:date="2025-04-16T12:21:00Z"/>
                <w:bCs/>
                <w:szCs w:val="22"/>
                <w:lang w:val="hu-HU"/>
              </w:rPr>
            </w:pPr>
          </w:p>
        </w:tc>
      </w:tr>
      <w:tr w:rsidR="00C6578C" w14:paraId="7529DA7E" w14:textId="77777777" w:rsidTr="00171601">
        <w:trPr>
          <w:gridBefore w:val="1"/>
          <w:wBefore w:w="34" w:type="dxa"/>
          <w:trHeight w:val="738"/>
          <w:del w:id="10824" w:author="AbbVie19" w:date="2025-04-16T12:21:00Z"/>
        </w:trPr>
        <w:tc>
          <w:tcPr>
            <w:tcW w:w="4644" w:type="dxa"/>
          </w:tcPr>
          <w:p w14:paraId="774AA821" w14:textId="77777777" w:rsidR="00BC0E7E" w:rsidRPr="00BC0E7E" w:rsidRDefault="00944B8F" w:rsidP="00BC0E7E">
            <w:pPr>
              <w:rPr>
                <w:del w:id="10825" w:author="AbbVie19" w:date="2025-04-16T12:21:00Z"/>
                <w:b/>
                <w:bCs/>
                <w:szCs w:val="22"/>
              </w:rPr>
            </w:pPr>
            <w:del w:id="10826" w:author="AbbVie19" w:date="2025-04-16T12:21:00Z">
              <w:r w:rsidRPr="00BC0E7E">
                <w:rPr>
                  <w:b/>
                  <w:bCs/>
                  <w:szCs w:val="22"/>
                </w:rPr>
                <w:delText>Danmark</w:delText>
              </w:r>
            </w:del>
          </w:p>
          <w:p w14:paraId="0620EDE8" w14:textId="77777777" w:rsidR="00BC0E7E" w:rsidRPr="00BC0E7E" w:rsidRDefault="00944B8F" w:rsidP="00BC0E7E">
            <w:pPr>
              <w:rPr>
                <w:del w:id="10827" w:author="AbbVie19" w:date="2025-04-16T12:21:00Z"/>
                <w:bCs/>
                <w:szCs w:val="22"/>
              </w:rPr>
            </w:pPr>
            <w:del w:id="10828" w:author="AbbVie19" w:date="2025-04-16T12:21:00Z">
              <w:r w:rsidRPr="00BC0E7E">
                <w:rPr>
                  <w:bCs/>
                  <w:szCs w:val="22"/>
                </w:rPr>
                <w:delText>AbbVie A/S</w:delText>
              </w:r>
            </w:del>
          </w:p>
          <w:p w14:paraId="385390C2" w14:textId="77777777" w:rsidR="00BC0E7E" w:rsidRPr="00BC0E7E" w:rsidRDefault="00944B8F" w:rsidP="00BC0E7E">
            <w:pPr>
              <w:rPr>
                <w:del w:id="10829" w:author="AbbVie19" w:date="2025-04-16T12:21:00Z"/>
                <w:bCs/>
                <w:szCs w:val="22"/>
              </w:rPr>
            </w:pPr>
            <w:del w:id="10830" w:author="AbbVie19" w:date="2025-04-16T12:21:00Z">
              <w:r w:rsidRPr="00BC0E7E">
                <w:rPr>
                  <w:bCs/>
                  <w:szCs w:val="22"/>
                </w:rPr>
                <w:delText>Tlf: +45 72 30-20-28</w:delText>
              </w:r>
            </w:del>
          </w:p>
        </w:tc>
        <w:tc>
          <w:tcPr>
            <w:tcW w:w="4678" w:type="dxa"/>
          </w:tcPr>
          <w:p w14:paraId="78E53425" w14:textId="77777777" w:rsidR="00BC0E7E" w:rsidRPr="00BC0E7E" w:rsidRDefault="00944B8F" w:rsidP="00BC0E7E">
            <w:pPr>
              <w:rPr>
                <w:del w:id="10831" w:author="AbbVie19" w:date="2025-04-16T12:21:00Z"/>
                <w:b/>
                <w:bCs/>
                <w:szCs w:val="22"/>
                <w:lang w:val="mt-MT"/>
              </w:rPr>
            </w:pPr>
            <w:del w:id="10832" w:author="AbbVie19" w:date="2025-04-16T12:21:00Z">
              <w:r w:rsidRPr="00BC0E7E">
                <w:rPr>
                  <w:b/>
                  <w:bCs/>
                  <w:szCs w:val="22"/>
                  <w:lang w:val="mt-MT"/>
                </w:rPr>
                <w:delText>Malta</w:delText>
              </w:r>
            </w:del>
          </w:p>
          <w:p w14:paraId="0C0E6F33" w14:textId="77777777" w:rsidR="00BC0E7E" w:rsidRPr="00BC0E7E" w:rsidRDefault="00944B8F" w:rsidP="00BC0E7E">
            <w:pPr>
              <w:rPr>
                <w:del w:id="10833" w:author="AbbVie19" w:date="2025-04-16T12:21:00Z"/>
                <w:bCs/>
                <w:szCs w:val="22"/>
                <w:lang w:val="sv-SE"/>
              </w:rPr>
            </w:pPr>
            <w:del w:id="10834" w:author="AbbVie19" w:date="2025-04-16T12:21:00Z">
              <w:r w:rsidRPr="00BC0E7E">
                <w:rPr>
                  <w:bCs/>
                  <w:szCs w:val="22"/>
                  <w:lang w:val="sv-SE"/>
                </w:rPr>
                <w:delText xml:space="preserve">V.J.Salomone Pharma Limited </w:delText>
              </w:r>
            </w:del>
          </w:p>
          <w:p w14:paraId="20CC9F77" w14:textId="77777777" w:rsidR="00BC0E7E" w:rsidRDefault="00944B8F" w:rsidP="00BC0E7E">
            <w:pPr>
              <w:rPr>
                <w:del w:id="10835" w:author="AbbVie19" w:date="2025-04-16T12:21:00Z"/>
                <w:bCs/>
                <w:szCs w:val="22"/>
              </w:rPr>
            </w:pPr>
            <w:del w:id="10836" w:author="AbbVie19" w:date="2025-04-16T12:21:00Z">
              <w:r w:rsidRPr="00BC0E7E">
                <w:rPr>
                  <w:bCs/>
                  <w:szCs w:val="22"/>
                </w:rPr>
                <w:delText xml:space="preserve">Tel: </w:delText>
              </w:r>
              <w:r w:rsidR="00B745CF">
                <w:rPr>
                  <w:bCs/>
                  <w:szCs w:val="22"/>
                </w:rPr>
                <w:delText>+356 21220174</w:delText>
              </w:r>
            </w:del>
          </w:p>
          <w:p w14:paraId="650E6AF3" w14:textId="77777777" w:rsidR="00385F6B" w:rsidRPr="00BC0E7E" w:rsidRDefault="00385F6B" w:rsidP="00BC0E7E">
            <w:pPr>
              <w:rPr>
                <w:del w:id="10837" w:author="AbbVie19" w:date="2025-04-16T12:21:00Z"/>
                <w:bCs/>
                <w:szCs w:val="22"/>
              </w:rPr>
            </w:pPr>
          </w:p>
        </w:tc>
      </w:tr>
      <w:tr w:rsidR="00C6578C" w14:paraId="2F395401" w14:textId="77777777" w:rsidTr="00171601">
        <w:trPr>
          <w:gridBefore w:val="1"/>
          <w:wBefore w:w="34" w:type="dxa"/>
          <w:del w:id="10838" w:author="AbbVie19" w:date="2025-04-16T12:21:00Z"/>
        </w:trPr>
        <w:tc>
          <w:tcPr>
            <w:tcW w:w="4644" w:type="dxa"/>
          </w:tcPr>
          <w:p w14:paraId="61B01B64" w14:textId="77777777" w:rsidR="00BC0E7E" w:rsidRPr="00BC0E7E" w:rsidRDefault="00944B8F" w:rsidP="00BC0E7E">
            <w:pPr>
              <w:rPr>
                <w:del w:id="10839" w:author="AbbVie19" w:date="2025-04-16T12:21:00Z"/>
                <w:b/>
                <w:bCs/>
                <w:szCs w:val="22"/>
                <w:lang w:val="de-DE"/>
              </w:rPr>
            </w:pPr>
            <w:del w:id="10840" w:author="AbbVie19" w:date="2025-04-16T12:21:00Z">
              <w:r w:rsidRPr="00BC0E7E">
                <w:rPr>
                  <w:b/>
                  <w:bCs/>
                  <w:szCs w:val="22"/>
                  <w:lang w:val="de-DE"/>
                </w:rPr>
                <w:delText>Deutschland</w:delText>
              </w:r>
            </w:del>
          </w:p>
          <w:p w14:paraId="3C17C2D7" w14:textId="77777777" w:rsidR="00BC0E7E" w:rsidRPr="00BC0E7E" w:rsidRDefault="00944B8F" w:rsidP="00BC0E7E">
            <w:pPr>
              <w:rPr>
                <w:del w:id="10841" w:author="AbbVie19" w:date="2025-04-16T12:21:00Z"/>
                <w:bCs/>
                <w:szCs w:val="22"/>
                <w:lang w:val="de-DE"/>
              </w:rPr>
            </w:pPr>
            <w:del w:id="10842" w:author="AbbVie19" w:date="2025-04-16T12:21:00Z">
              <w:r w:rsidRPr="00BC0E7E">
                <w:rPr>
                  <w:szCs w:val="22"/>
                  <w:lang w:val="de-DE"/>
                </w:rPr>
                <w:delText xml:space="preserve">AbbVie Deutschland </w:delText>
              </w:r>
              <w:r w:rsidRPr="00BC0E7E">
                <w:rPr>
                  <w:bCs/>
                  <w:szCs w:val="22"/>
                  <w:lang w:val="de-DE"/>
                </w:rPr>
                <w:delText>GmbH &amp; Co. KG</w:delText>
              </w:r>
            </w:del>
          </w:p>
          <w:p w14:paraId="769A8114" w14:textId="77777777" w:rsidR="00BC0E7E" w:rsidRPr="00BC0E7E" w:rsidRDefault="00944B8F" w:rsidP="00BC0E7E">
            <w:pPr>
              <w:rPr>
                <w:del w:id="10843" w:author="AbbVie19" w:date="2025-04-16T12:21:00Z"/>
                <w:szCs w:val="22"/>
                <w:lang w:val="de-DE"/>
              </w:rPr>
            </w:pPr>
            <w:del w:id="10844" w:author="AbbVie19" w:date="2025-04-16T12:21:00Z">
              <w:r w:rsidRPr="00BC0E7E">
                <w:rPr>
                  <w:szCs w:val="22"/>
                  <w:lang w:val="de-DE"/>
                </w:rPr>
                <w:delText>Tel: 00800 222843 33 (gebührenfrei)</w:delText>
              </w:r>
            </w:del>
          </w:p>
          <w:p w14:paraId="2056C757" w14:textId="77777777" w:rsidR="00BC0E7E" w:rsidRDefault="00944B8F" w:rsidP="00BC0E7E">
            <w:pPr>
              <w:rPr>
                <w:del w:id="10845" w:author="AbbVie19" w:date="2025-04-16T12:21:00Z"/>
                <w:szCs w:val="22"/>
                <w:lang w:val="de-DE"/>
              </w:rPr>
            </w:pPr>
            <w:del w:id="10846" w:author="AbbVie19" w:date="2025-04-16T12:21:00Z">
              <w:r w:rsidRPr="00BC0E7E">
                <w:rPr>
                  <w:szCs w:val="22"/>
                  <w:lang w:val="de-DE"/>
                </w:rPr>
                <w:delText>Tel: +49 (0) 611 / 1720-0</w:delText>
              </w:r>
            </w:del>
          </w:p>
          <w:p w14:paraId="3C2A1DD0" w14:textId="77777777" w:rsidR="00385F6B" w:rsidRPr="00BC0E7E" w:rsidRDefault="00385F6B" w:rsidP="00BC0E7E">
            <w:pPr>
              <w:rPr>
                <w:del w:id="10847" w:author="AbbVie19" w:date="2025-04-16T12:21:00Z"/>
                <w:szCs w:val="22"/>
                <w:lang w:val="de-DE"/>
              </w:rPr>
            </w:pPr>
          </w:p>
        </w:tc>
        <w:tc>
          <w:tcPr>
            <w:tcW w:w="4678" w:type="dxa"/>
          </w:tcPr>
          <w:p w14:paraId="36C679CC" w14:textId="77777777" w:rsidR="00BC0E7E" w:rsidRPr="00BC0E7E" w:rsidRDefault="00944B8F" w:rsidP="00BC0E7E">
            <w:pPr>
              <w:rPr>
                <w:del w:id="10848" w:author="AbbVie19" w:date="2025-04-16T12:21:00Z"/>
                <w:b/>
                <w:bCs/>
                <w:szCs w:val="22"/>
                <w:lang w:val="nl-NL"/>
              </w:rPr>
            </w:pPr>
            <w:del w:id="10849" w:author="AbbVie19" w:date="2025-04-16T12:21:00Z">
              <w:r w:rsidRPr="00BC0E7E">
                <w:rPr>
                  <w:b/>
                  <w:bCs/>
                  <w:szCs w:val="22"/>
                  <w:lang w:val="nl-NL"/>
                </w:rPr>
                <w:delText>Nederland</w:delText>
              </w:r>
            </w:del>
          </w:p>
          <w:p w14:paraId="773B5AA7" w14:textId="77777777" w:rsidR="00BC0E7E" w:rsidRPr="00BC0E7E" w:rsidRDefault="00944B8F" w:rsidP="00BC0E7E">
            <w:pPr>
              <w:rPr>
                <w:del w:id="10850" w:author="AbbVie19" w:date="2025-04-16T12:21:00Z"/>
                <w:bCs/>
                <w:szCs w:val="22"/>
                <w:lang w:val="de-DE"/>
              </w:rPr>
            </w:pPr>
            <w:del w:id="10851" w:author="AbbVie19" w:date="2025-04-16T12:21:00Z">
              <w:r w:rsidRPr="00BC0E7E">
                <w:rPr>
                  <w:bCs/>
                  <w:szCs w:val="22"/>
                  <w:lang w:val="de-DE"/>
                </w:rPr>
                <w:delText>AbbVie B.V.</w:delText>
              </w:r>
            </w:del>
          </w:p>
          <w:p w14:paraId="3B11A6D0" w14:textId="77777777" w:rsidR="00BC0E7E" w:rsidRPr="00BC0E7E" w:rsidRDefault="00944B8F" w:rsidP="00BC0E7E">
            <w:pPr>
              <w:rPr>
                <w:del w:id="10852" w:author="AbbVie19" w:date="2025-04-16T12:21:00Z"/>
                <w:bCs/>
                <w:szCs w:val="22"/>
                <w:lang w:val="de-DE"/>
              </w:rPr>
            </w:pPr>
            <w:del w:id="10853" w:author="AbbVie19" w:date="2025-04-16T12:21:00Z">
              <w:r w:rsidRPr="00BC0E7E">
                <w:rPr>
                  <w:bCs/>
                  <w:szCs w:val="22"/>
                  <w:lang w:val="de-DE"/>
                </w:rPr>
                <w:delText>Tel:  +31 (0)88 322 2843</w:delText>
              </w:r>
            </w:del>
          </w:p>
        </w:tc>
      </w:tr>
      <w:tr w:rsidR="00C6578C" w14:paraId="3A2D4E96" w14:textId="77777777" w:rsidTr="00171601">
        <w:trPr>
          <w:gridBefore w:val="1"/>
          <w:wBefore w:w="34" w:type="dxa"/>
          <w:del w:id="10854" w:author="AbbVie19" w:date="2025-04-16T12:21:00Z"/>
        </w:trPr>
        <w:tc>
          <w:tcPr>
            <w:tcW w:w="4644" w:type="dxa"/>
          </w:tcPr>
          <w:p w14:paraId="4558670E" w14:textId="77777777" w:rsidR="00BC0E7E" w:rsidRPr="00BC0E7E" w:rsidRDefault="00944B8F" w:rsidP="00BC0E7E">
            <w:pPr>
              <w:rPr>
                <w:del w:id="10855" w:author="AbbVie19" w:date="2025-04-16T12:21:00Z"/>
                <w:b/>
                <w:bCs/>
                <w:szCs w:val="22"/>
                <w:lang w:val="et-EE"/>
              </w:rPr>
            </w:pPr>
            <w:del w:id="10856" w:author="AbbVie19" w:date="2025-04-16T12:21:00Z">
              <w:r w:rsidRPr="00BC0E7E">
                <w:rPr>
                  <w:b/>
                  <w:bCs/>
                  <w:szCs w:val="22"/>
                  <w:lang w:val="et-EE"/>
                </w:rPr>
                <w:delText>Eesti</w:delText>
              </w:r>
            </w:del>
          </w:p>
          <w:p w14:paraId="6B7662DE" w14:textId="77777777" w:rsidR="00BC0E7E" w:rsidRPr="00BC0E7E" w:rsidRDefault="00944B8F" w:rsidP="00BC0E7E">
            <w:pPr>
              <w:rPr>
                <w:del w:id="10857" w:author="AbbVie19" w:date="2025-04-16T12:21:00Z"/>
                <w:bCs/>
                <w:szCs w:val="22"/>
                <w:lang w:val="et-EE"/>
              </w:rPr>
            </w:pPr>
            <w:del w:id="10858" w:author="AbbVie19" w:date="2025-04-16T12:21:00Z">
              <w:r w:rsidRPr="00BC0E7E">
                <w:rPr>
                  <w:bCs/>
                  <w:szCs w:val="22"/>
                  <w:lang w:val="et-EE"/>
                </w:rPr>
                <w:delText xml:space="preserve">AbbVie </w:delText>
              </w:r>
              <w:r w:rsidR="001B6F9C" w:rsidRPr="00F66039">
                <w:rPr>
                  <w:bCs/>
                  <w:szCs w:val="22"/>
                </w:rPr>
                <w:delText>OÜ</w:delText>
              </w:r>
            </w:del>
          </w:p>
          <w:p w14:paraId="37BBD63C" w14:textId="77777777" w:rsidR="00BC0E7E" w:rsidRDefault="00944B8F" w:rsidP="00BC0E7E">
            <w:pPr>
              <w:rPr>
                <w:del w:id="10859" w:author="AbbVie19" w:date="2025-04-16T12:21:00Z"/>
                <w:bCs/>
                <w:szCs w:val="22"/>
                <w:lang w:val="et-EE"/>
              </w:rPr>
            </w:pPr>
            <w:del w:id="10860" w:author="AbbVie19" w:date="2025-04-16T12:21:00Z">
              <w:r w:rsidRPr="00BC0E7E">
                <w:rPr>
                  <w:bCs/>
                  <w:szCs w:val="22"/>
                  <w:lang w:val="et-EE"/>
                </w:rPr>
                <w:delText>Tel: +372 623 1011</w:delText>
              </w:r>
            </w:del>
          </w:p>
          <w:p w14:paraId="3C1691BD" w14:textId="77777777" w:rsidR="00385F6B" w:rsidRPr="00BC0E7E" w:rsidRDefault="00385F6B" w:rsidP="00BC0E7E">
            <w:pPr>
              <w:rPr>
                <w:del w:id="10861" w:author="AbbVie19" w:date="2025-04-16T12:21:00Z"/>
                <w:bCs/>
                <w:szCs w:val="22"/>
                <w:lang w:val="lv-LV"/>
              </w:rPr>
            </w:pPr>
          </w:p>
        </w:tc>
        <w:tc>
          <w:tcPr>
            <w:tcW w:w="4678" w:type="dxa"/>
          </w:tcPr>
          <w:p w14:paraId="48E1E69D" w14:textId="77777777" w:rsidR="00BC0E7E" w:rsidRPr="009C43CF" w:rsidRDefault="00944B8F" w:rsidP="00BC0E7E">
            <w:pPr>
              <w:rPr>
                <w:del w:id="10862" w:author="AbbVie19" w:date="2025-04-16T12:21:00Z"/>
                <w:b/>
                <w:bCs/>
                <w:szCs w:val="22"/>
                <w:lang w:val="en-US"/>
                <w:rPrChange w:id="10863" w:author="AbbVie19" w:date="2025-04-17T10:29:00Z">
                  <w:rPr>
                    <w:del w:id="10864" w:author="AbbVie19" w:date="2025-04-16T12:21:00Z"/>
                    <w:b/>
                    <w:bCs/>
                    <w:szCs w:val="22"/>
                    <w:lang w:val="nb-NO"/>
                  </w:rPr>
                </w:rPrChange>
              </w:rPr>
            </w:pPr>
            <w:del w:id="10865" w:author="AbbVie19" w:date="2025-04-16T12:21:00Z">
              <w:r w:rsidRPr="009C43CF">
                <w:rPr>
                  <w:b/>
                  <w:bCs/>
                  <w:szCs w:val="22"/>
                  <w:lang w:val="en-US"/>
                  <w:rPrChange w:id="10866" w:author="AbbVie19" w:date="2025-04-17T10:29:00Z">
                    <w:rPr>
                      <w:b/>
                      <w:bCs/>
                      <w:szCs w:val="22"/>
                      <w:lang w:val="nb-NO"/>
                    </w:rPr>
                  </w:rPrChange>
                </w:rPr>
                <w:delText>Norge</w:delText>
              </w:r>
            </w:del>
          </w:p>
          <w:p w14:paraId="1D58DE8B" w14:textId="77777777" w:rsidR="00BC0E7E" w:rsidRPr="00BC0E7E" w:rsidRDefault="00944B8F" w:rsidP="00BC0E7E">
            <w:pPr>
              <w:rPr>
                <w:del w:id="10867" w:author="AbbVie19" w:date="2025-04-16T12:21:00Z"/>
                <w:bCs/>
                <w:szCs w:val="22"/>
              </w:rPr>
            </w:pPr>
            <w:del w:id="10868" w:author="AbbVie19" w:date="2025-04-16T12:21:00Z">
              <w:r w:rsidRPr="00BC0E7E">
                <w:rPr>
                  <w:bCs/>
                  <w:szCs w:val="22"/>
                </w:rPr>
                <w:delText>AbbVie AS</w:delText>
              </w:r>
            </w:del>
          </w:p>
          <w:p w14:paraId="755E353D" w14:textId="77777777" w:rsidR="00BC0E7E" w:rsidRPr="00BC0E7E" w:rsidRDefault="00944B8F" w:rsidP="00BC0E7E">
            <w:pPr>
              <w:rPr>
                <w:del w:id="10869" w:author="AbbVie19" w:date="2025-04-16T12:21:00Z"/>
                <w:bCs/>
                <w:szCs w:val="22"/>
              </w:rPr>
            </w:pPr>
            <w:del w:id="10870" w:author="AbbVie19" w:date="2025-04-16T12:21:00Z">
              <w:r w:rsidRPr="00BC0E7E">
                <w:rPr>
                  <w:bCs/>
                  <w:szCs w:val="22"/>
                </w:rPr>
                <w:delText>Tlf: +47 67 81 80 00</w:delText>
              </w:r>
            </w:del>
          </w:p>
        </w:tc>
      </w:tr>
      <w:tr w:rsidR="00C6578C" w14:paraId="3FFE4C1C" w14:textId="77777777" w:rsidTr="00171601">
        <w:trPr>
          <w:gridBefore w:val="1"/>
          <w:wBefore w:w="34" w:type="dxa"/>
          <w:trHeight w:val="810"/>
          <w:del w:id="10871" w:author="AbbVie19" w:date="2025-04-16T12:21:00Z"/>
        </w:trPr>
        <w:tc>
          <w:tcPr>
            <w:tcW w:w="4644" w:type="dxa"/>
          </w:tcPr>
          <w:p w14:paraId="772C99D8" w14:textId="77777777" w:rsidR="00BC0E7E" w:rsidRPr="00BC0E7E" w:rsidRDefault="00944B8F" w:rsidP="00BC0E7E">
            <w:pPr>
              <w:rPr>
                <w:del w:id="10872" w:author="AbbVie19" w:date="2025-04-16T12:21:00Z"/>
                <w:b/>
                <w:bCs/>
                <w:szCs w:val="22"/>
                <w:lang w:val="el-GR"/>
              </w:rPr>
            </w:pPr>
            <w:del w:id="10873" w:author="AbbVie19" w:date="2025-04-16T12:21:00Z">
              <w:r w:rsidRPr="00BC0E7E">
                <w:rPr>
                  <w:b/>
                  <w:bCs/>
                  <w:szCs w:val="22"/>
                  <w:lang w:val="el-GR"/>
                </w:rPr>
                <w:delText>Ελλάδα</w:delText>
              </w:r>
            </w:del>
          </w:p>
          <w:p w14:paraId="0516ED02" w14:textId="77777777" w:rsidR="00BC0E7E" w:rsidRPr="00BC0E7E" w:rsidRDefault="00944B8F" w:rsidP="00BC0E7E">
            <w:pPr>
              <w:rPr>
                <w:del w:id="10874" w:author="AbbVie19" w:date="2025-04-16T12:21:00Z"/>
                <w:bCs/>
                <w:szCs w:val="22"/>
                <w:lang w:val="el-GR"/>
              </w:rPr>
            </w:pPr>
            <w:del w:id="10875" w:author="AbbVie19" w:date="2025-04-16T12:21:00Z">
              <w:r w:rsidRPr="00BC0E7E">
                <w:rPr>
                  <w:bCs/>
                  <w:szCs w:val="22"/>
                  <w:lang w:val="et-EE"/>
                </w:rPr>
                <w:delText xml:space="preserve">AbbVie </w:delText>
              </w:r>
              <w:r w:rsidRPr="00BC0E7E">
                <w:rPr>
                  <w:szCs w:val="22"/>
                  <w:lang w:val="el-GR"/>
                </w:rPr>
                <w:delText>ΦΑΡΜΑΚΕΥΤΙΚΗ Α.Ε.</w:delText>
              </w:r>
            </w:del>
          </w:p>
          <w:p w14:paraId="5B8F0AD1" w14:textId="77777777" w:rsidR="00BC0E7E" w:rsidRDefault="00944B8F" w:rsidP="00BC0E7E">
            <w:pPr>
              <w:rPr>
                <w:del w:id="10876" w:author="AbbVie19" w:date="2025-04-16T12:21:00Z"/>
                <w:bCs/>
                <w:szCs w:val="22"/>
              </w:rPr>
            </w:pPr>
            <w:del w:id="10877" w:author="AbbVie19" w:date="2025-04-16T12:21:00Z">
              <w:r w:rsidRPr="00BC0E7E">
                <w:rPr>
                  <w:bCs/>
                  <w:szCs w:val="22"/>
                  <w:lang w:val="el-GR"/>
                </w:rPr>
                <w:delText xml:space="preserve">Τηλ: +30 </w:delText>
              </w:r>
              <w:r w:rsidRPr="00BC0E7E">
                <w:rPr>
                  <w:bCs/>
                  <w:szCs w:val="22"/>
                </w:rPr>
                <w:delText>214 4165 555</w:delText>
              </w:r>
            </w:del>
          </w:p>
          <w:p w14:paraId="199ECA65" w14:textId="77777777" w:rsidR="00385F6B" w:rsidRPr="00BC0E7E" w:rsidRDefault="00385F6B" w:rsidP="00BC0E7E">
            <w:pPr>
              <w:rPr>
                <w:del w:id="10878" w:author="AbbVie19" w:date="2025-04-16T12:21:00Z"/>
                <w:bCs/>
                <w:szCs w:val="22"/>
              </w:rPr>
            </w:pPr>
          </w:p>
        </w:tc>
        <w:tc>
          <w:tcPr>
            <w:tcW w:w="4678" w:type="dxa"/>
          </w:tcPr>
          <w:p w14:paraId="7BC74FB1" w14:textId="77777777" w:rsidR="00BC0E7E" w:rsidRPr="00BC0E7E" w:rsidRDefault="00944B8F" w:rsidP="00BC0E7E">
            <w:pPr>
              <w:rPr>
                <w:del w:id="10879" w:author="AbbVie19" w:date="2025-04-16T12:21:00Z"/>
                <w:b/>
                <w:bCs/>
                <w:szCs w:val="22"/>
                <w:lang w:val="de-DE"/>
              </w:rPr>
            </w:pPr>
            <w:del w:id="10880" w:author="AbbVie19" w:date="2025-04-16T12:21:00Z">
              <w:r w:rsidRPr="00BC0E7E">
                <w:rPr>
                  <w:b/>
                  <w:bCs/>
                  <w:szCs w:val="22"/>
                  <w:lang w:val="de-DE"/>
                </w:rPr>
                <w:delText>Österreich</w:delText>
              </w:r>
            </w:del>
          </w:p>
          <w:p w14:paraId="284932B0" w14:textId="77777777" w:rsidR="00BC0E7E" w:rsidRPr="00BC0E7E" w:rsidRDefault="00944B8F" w:rsidP="00BC0E7E">
            <w:pPr>
              <w:rPr>
                <w:del w:id="10881" w:author="AbbVie19" w:date="2025-04-16T12:21:00Z"/>
                <w:bCs/>
                <w:szCs w:val="22"/>
                <w:lang w:val="de-DE"/>
              </w:rPr>
            </w:pPr>
            <w:del w:id="10882" w:author="AbbVie19" w:date="2025-04-16T12:21:00Z">
              <w:r w:rsidRPr="00BC0E7E">
                <w:rPr>
                  <w:bCs/>
                  <w:szCs w:val="22"/>
                  <w:lang w:val="de-DE"/>
                </w:rPr>
                <w:delText xml:space="preserve">AbbVie GmbH </w:delText>
              </w:r>
            </w:del>
          </w:p>
          <w:p w14:paraId="1B2A474E" w14:textId="77777777" w:rsidR="00BC0E7E" w:rsidRPr="00BC0E7E" w:rsidRDefault="00944B8F" w:rsidP="00BC0E7E">
            <w:pPr>
              <w:rPr>
                <w:del w:id="10883" w:author="AbbVie19" w:date="2025-04-16T12:21:00Z"/>
                <w:bCs/>
                <w:szCs w:val="22"/>
                <w:lang w:val="de-DE"/>
              </w:rPr>
            </w:pPr>
            <w:del w:id="10884" w:author="AbbVie19" w:date="2025-04-16T12:21:00Z">
              <w:r w:rsidRPr="00BC0E7E">
                <w:rPr>
                  <w:bCs/>
                  <w:szCs w:val="22"/>
                  <w:lang w:val="de-DE"/>
                </w:rPr>
                <w:delText>Tel: +43 1 20589-0</w:delText>
              </w:r>
            </w:del>
          </w:p>
        </w:tc>
      </w:tr>
      <w:tr w:rsidR="00C6578C" w14:paraId="5098B030" w14:textId="77777777" w:rsidTr="00171601">
        <w:trPr>
          <w:gridBefore w:val="1"/>
          <w:wBefore w:w="34" w:type="dxa"/>
          <w:del w:id="10885" w:author="AbbVie19" w:date="2025-04-16T12:21:00Z"/>
        </w:trPr>
        <w:tc>
          <w:tcPr>
            <w:tcW w:w="4644" w:type="dxa"/>
          </w:tcPr>
          <w:p w14:paraId="19BAA0AC" w14:textId="77777777" w:rsidR="00BC0E7E" w:rsidRPr="00BC0E7E" w:rsidRDefault="00944B8F" w:rsidP="00BC0E7E">
            <w:pPr>
              <w:rPr>
                <w:del w:id="10886" w:author="AbbVie19" w:date="2025-04-16T12:21:00Z"/>
                <w:b/>
                <w:bCs/>
                <w:szCs w:val="22"/>
                <w:lang w:val="es-ES"/>
              </w:rPr>
            </w:pPr>
            <w:del w:id="10887" w:author="AbbVie19" w:date="2025-04-16T12:21:00Z">
              <w:r w:rsidRPr="00BC0E7E">
                <w:rPr>
                  <w:b/>
                  <w:bCs/>
                  <w:szCs w:val="22"/>
                  <w:lang w:val="es-ES"/>
                </w:rPr>
                <w:delText>España</w:delText>
              </w:r>
            </w:del>
          </w:p>
          <w:p w14:paraId="27B29970" w14:textId="77777777" w:rsidR="00BC0E7E" w:rsidRPr="00433FAD" w:rsidRDefault="00944B8F" w:rsidP="00BC0E7E">
            <w:pPr>
              <w:rPr>
                <w:del w:id="10888" w:author="AbbVie19" w:date="2025-04-16T12:21:00Z"/>
                <w:szCs w:val="22"/>
                <w:lang w:val="es-MX"/>
              </w:rPr>
            </w:pPr>
            <w:del w:id="10889" w:author="AbbVie19" w:date="2025-04-16T12:21:00Z">
              <w:r w:rsidRPr="00433FAD">
                <w:rPr>
                  <w:bCs/>
                  <w:szCs w:val="22"/>
                  <w:lang w:val="es-MX"/>
                </w:rPr>
                <w:delText>AbbVie Spain, S.L.U.</w:delText>
              </w:r>
            </w:del>
          </w:p>
          <w:p w14:paraId="09B524F3" w14:textId="77777777" w:rsidR="00BC0E7E" w:rsidRDefault="00944B8F" w:rsidP="00BC0E7E">
            <w:pPr>
              <w:rPr>
                <w:del w:id="10890" w:author="AbbVie19" w:date="2025-04-16T12:21:00Z"/>
                <w:bCs/>
                <w:szCs w:val="22"/>
                <w:lang w:val="pt-PT"/>
              </w:rPr>
            </w:pPr>
            <w:del w:id="10891" w:author="AbbVie19" w:date="2025-04-16T12:21:00Z">
              <w:r w:rsidRPr="00BC0E7E">
                <w:rPr>
                  <w:bCs/>
                  <w:szCs w:val="22"/>
                  <w:lang w:val="pt-PT"/>
                </w:rPr>
                <w:delText>Tel:  +34 91 384 09 10</w:delText>
              </w:r>
            </w:del>
          </w:p>
          <w:p w14:paraId="055727CB" w14:textId="77777777" w:rsidR="00385F6B" w:rsidRPr="00BC0E7E" w:rsidRDefault="00385F6B" w:rsidP="00BC0E7E">
            <w:pPr>
              <w:rPr>
                <w:del w:id="10892" w:author="AbbVie19" w:date="2025-04-16T12:21:00Z"/>
                <w:bCs/>
                <w:szCs w:val="22"/>
                <w:lang w:val="pl-PL"/>
              </w:rPr>
            </w:pPr>
          </w:p>
        </w:tc>
        <w:tc>
          <w:tcPr>
            <w:tcW w:w="4678" w:type="dxa"/>
          </w:tcPr>
          <w:p w14:paraId="7B9E3BFB" w14:textId="77777777" w:rsidR="00BC0E7E" w:rsidRPr="00BC0E7E" w:rsidRDefault="00944B8F" w:rsidP="00BC0E7E">
            <w:pPr>
              <w:rPr>
                <w:del w:id="10893" w:author="AbbVie19" w:date="2025-04-16T12:21:00Z"/>
                <w:b/>
                <w:bCs/>
                <w:iCs/>
                <w:szCs w:val="22"/>
                <w:lang w:val="pl-PL"/>
              </w:rPr>
            </w:pPr>
            <w:del w:id="10894" w:author="AbbVie19" w:date="2025-04-16T12:21:00Z">
              <w:r w:rsidRPr="00BC0E7E">
                <w:rPr>
                  <w:b/>
                  <w:bCs/>
                  <w:iCs/>
                  <w:szCs w:val="22"/>
                  <w:lang w:val="pl-PL"/>
                </w:rPr>
                <w:delText>Polska</w:delText>
              </w:r>
            </w:del>
          </w:p>
          <w:p w14:paraId="007016F4" w14:textId="77777777" w:rsidR="00BC0E7E" w:rsidRPr="00BC0E7E" w:rsidRDefault="00944B8F" w:rsidP="00BC0E7E">
            <w:pPr>
              <w:rPr>
                <w:del w:id="10895" w:author="AbbVie19" w:date="2025-04-16T12:21:00Z"/>
                <w:bCs/>
                <w:szCs w:val="22"/>
                <w:lang w:val="pl-PL"/>
              </w:rPr>
            </w:pPr>
            <w:del w:id="10896" w:author="AbbVie19" w:date="2025-04-16T12:21:00Z">
              <w:r w:rsidRPr="00BC0E7E">
                <w:rPr>
                  <w:bCs/>
                  <w:szCs w:val="22"/>
                  <w:lang w:val="pl-PL"/>
                </w:rPr>
                <w:delText>AbbVie Sp. z o.o.</w:delText>
              </w:r>
            </w:del>
          </w:p>
          <w:p w14:paraId="672D5166" w14:textId="77777777" w:rsidR="00BC0E7E" w:rsidRPr="00BC0E7E" w:rsidRDefault="00944B8F" w:rsidP="00BC0E7E">
            <w:pPr>
              <w:tabs>
                <w:tab w:val="center" w:pos="4536"/>
                <w:tab w:val="center" w:pos="8930"/>
              </w:tabs>
              <w:rPr>
                <w:del w:id="10897" w:author="AbbVie19" w:date="2025-04-16T12:21:00Z"/>
                <w:bCs/>
                <w:szCs w:val="22"/>
                <w:lang w:val="pl-PL"/>
              </w:rPr>
            </w:pPr>
            <w:del w:id="10898" w:author="AbbVie19" w:date="2025-04-16T12:21:00Z">
              <w:r w:rsidRPr="00BC0E7E">
                <w:rPr>
                  <w:szCs w:val="22"/>
                  <w:lang w:val="es-ES"/>
                </w:rPr>
                <w:delText xml:space="preserve">Tel.: +48 22 </w:delText>
              </w:r>
              <w:r w:rsidRPr="00BC0E7E">
                <w:rPr>
                  <w:bCs/>
                  <w:szCs w:val="22"/>
                  <w:lang w:val="pl-PL"/>
                </w:rPr>
                <w:delText xml:space="preserve">372 78 00 </w:delText>
              </w:r>
            </w:del>
          </w:p>
        </w:tc>
      </w:tr>
      <w:tr w:rsidR="00C6578C" w14:paraId="79C8B78A" w14:textId="77777777" w:rsidTr="00171601">
        <w:trPr>
          <w:trHeight w:val="801"/>
          <w:del w:id="10899" w:author="AbbVie19" w:date="2025-04-16T12:21:00Z"/>
        </w:trPr>
        <w:tc>
          <w:tcPr>
            <w:tcW w:w="4678" w:type="dxa"/>
            <w:gridSpan w:val="2"/>
          </w:tcPr>
          <w:p w14:paraId="0CAC0997" w14:textId="77777777" w:rsidR="00BC0E7E" w:rsidRPr="000B7DC1" w:rsidRDefault="00944B8F" w:rsidP="00BC0E7E">
            <w:pPr>
              <w:ind w:firstLine="34"/>
              <w:rPr>
                <w:del w:id="10900" w:author="AbbVie19" w:date="2025-04-16T12:21:00Z"/>
                <w:b/>
                <w:szCs w:val="22"/>
                <w:lang w:val="en-US"/>
                <w:rPrChange w:id="10901" w:author="AbbVie33" w:date="2025-05-05T10:55:00Z">
                  <w:rPr>
                    <w:del w:id="10902" w:author="AbbVie19" w:date="2025-04-16T12:21:00Z"/>
                    <w:b/>
                    <w:bCs/>
                    <w:szCs w:val="22"/>
                    <w:lang w:val="fr-FR"/>
                  </w:rPr>
                </w:rPrChange>
              </w:rPr>
            </w:pPr>
            <w:del w:id="10903" w:author="AbbVie19" w:date="2025-04-16T12:21:00Z">
              <w:r w:rsidRPr="000B7DC1">
                <w:rPr>
                  <w:b/>
                  <w:szCs w:val="22"/>
                  <w:lang w:val="en-US"/>
                  <w:rPrChange w:id="10904" w:author="AbbVie33" w:date="2025-05-05T10:55:00Z">
                    <w:rPr>
                      <w:b/>
                      <w:bCs/>
                      <w:szCs w:val="22"/>
                      <w:lang w:val="fr-FR"/>
                    </w:rPr>
                  </w:rPrChange>
                </w:rPr>
                <w:delText>France</w:delText>
              </w:r>
            </w:del>
          </w:p>
          <w:p w14:paraId="3EF8ABC4" w14:textId="77777777" w:rsidR="00BC0E7E" w:rsidRPr="000B7DC1" w:rsidRDefault="00944B8F" w:rsidP="00BC0E7E">
            <w:pPr>
              <w:ind w:firstLine="34"/>
              <w:rPr>
                <w:del w:id="10905" w:author="AbbVie19" w:date="2025-04-16T12:21:00Z"/>
                <w:szCs w:val="22"/>
                <w:lang w:val="en-US"/>
                <w:rPrChange w:id="10906" w:author="AbbVie33" w:date="2025-05-05T10:55:00Z">
                  <w:rPr>
                    <w:del w:id="10907" w:author="AbbVie19" w:date="2025-04-16T12:21:00Z"/>
                    <w:bCs/>
                    <w:szCs w:val="22"/>
                    <w:lang w:val="fr-FR"/>
                  </w:rPr>
                </w:rPrChange>
              </w:rPr>
            </w:pPr>
            <w:del w:id="10908" w:author="AbbVie19" w:date="2025-04-16T12:21:00Z">
              <w:r w:rsidRPr="000B7DC1">
                <w:rPr>
                  <w:szCs w:val="22"/>
                  <w:lang w:val="en-US"/>
                  <w:rPrChange w:id="10909" w:author="AbbVie33" w:date="2025-05-05T10:55:00Z">
                    <w:rPr>
                      <w:bCs/>
                      <w:szCs w:val="22"/>
                      <w:lang w:val="fr-FR"/>
                    </w:rPr>
                  </w:rPrChange>
                </w:rPr>
                <w:delText>AbbVie</w:delText>
              </w:r>
            </w:del>
          </w:p>
          <w:p w14:paraId="64E243BC" w14:textId="77777777" w:rsidR="00BC0E7E" w:rsidRPr="000B7DC1" w:rsidRDefault="00944B8F" w:rsidP="00BC0E7E">
            <w:pPr>
              <w:ind w:firstLine="34"/>
              <w:rPr>
                <w:del w:id="10910" w:author="AbbVie19" w:date="2025-04-16T12:21:00Z"/>
                <w:szCs w:val="22"/>
                <w:lang w:val="en-US"/>
                <w:rPrChange w:id="10911" w:author="AbbVie33" w:date="2025-05-05T10:55:00Z">
                  <w:rPr>
                    <w:del w:id="10912" w:author="AbbVie19" w:date="2025-04-16T12:21:00Z"/>
                    <w:bCs/>
                    <w:szCs w:val="22"/>
                    <w:lang w:val="fr-FR"/>
                  </w:rPr>
                </w:rPrChange>
              </w:rPr>
            </w:pPr>
            <w:del w:id="10913" w:author="AbbVie19" w:date="2025-04-16T12:21:00Z">
              <w:r w:rsidRPr="000B7DC1">
                <w:rPr>
                  <w:szCs w:val="22"/>
                  <w:lang w:val="en-US"/>
                  <w:rPrChange w:id="10914" w:author="AbbVie33" w:date="2025-05-05T10:55:00Z">
                    <w:rPr>
                      <w:bCs/>
                      <w:szCs w:val="22"/>
                      <w:lang w:val="fr-FR"/>
                    </w:rPr>
                  </w:rPrChange>
                </w:rPr>
                <w:delText>Tél: +33 (0) 1 45 60 13 00</w:delText>
              </w:r>
            </w:del>
          </w:p>
          <w:p w14:paraId="574D72B7" w14:textId="77777777" w:rsidR="00385F6B" w:rsidRPr="000B7DC1" w:rsidRDefault="00385F6B" w:rsidP="00BC0E7E">
            <w:pPr>
              <w:ind w:firstLine="34"/>
              <w:rPr>
                <w:del w:id="10915" w:author="AbbVie19" w:date="2025-04-16T12:21:00Z"/>
                <w:szCs w:val="22"/>
                <w:lang w:val="en-US"/>
                <w:rPrChange w:id="10916" w:author="AbbVie33" w:date="2025-05-05T10:55:00Z">
                  <w:rPr>
                    <w:del w:id="10917" w:author="AbbVie19" w:date="2025-04-16T12:21:00Z"/>
                    <w:bCs/>
                    <w:szCs w:val="22"/>
                    <w:lang w:val="fr-FR"/>
                  </w:rPr>
                </w:rPrChange>
              </w:rPr>
            </w:pPr>
          </w:p>
        </w:tc>
        <w:tc>
          <w:tcPr>
            <w:tcW w:w="4678" w:type="dxa"/>
          </w:tcPr>
          <w:p w14:paraId="5136B424" w14:textId="77777777" w:rsidR="00BC0E7E" w:rsidRPr="00BC0E7E" w:rsidRDefault="00944B8F" w:rsidP="00BC0E7E">
            <w:pPr>
              <w:rPr>
                <w:del w:id="10918" w:author="AbbVie19" w:date="2025-04-16T12:21:00Z"/>
                <w:b/>
                <w:bCs/>
                <w:szCs w:val="22"/>
                <w:lang w:val="pt-PT"/>
              </w:rPr>
            </w:pPr>
            <w:del w:id="10919" w:author="AbbVie19" w:date="2025-04-16T12:21:00Z">
              <w:r w:rsidRPr="00BC0E7E">
                <w:rPr>
                  <w:b/>
                  <w:bCs/>
                  <w:szCs w:val="22"/>
                  <w:lang w:val="pt-PT"/>
                </w:rPr>
                <w:delText>Portugal</w:delText>
              </w:r>
            </w:del>
          </w:p>
          <w:p w14:paraId="3AA9A4DE" w14:textId="77777777" w:rsidR="00BC0E7E" w:rsidRPr="000B7DC1" w:rsidRDefault="00944B8F" w:rsidP="00BC0E7E">
            <w:pPr>
              <w:tabs>
                <w:tab w:val="center" w:pos="4536"/>
                <w:tab w:val="center" w:pos="8930"/>
              </w:tabs>
              <w:rPr>
                <w:del w:id="10920" w:author="AbbVie19" w:date="2025-04-16T12:21:00Z"/>
                <w:szCs w:val="22"/>
                <w:lang w:val="en-US"/>
                <w:rPrChange w:id="10921" w:author="AbbVie33" w:date="2025-05-05T10:55:00Z">
                  <w:rPr>
                    <w:del w:id="10922" w:author="AbbVie19" w:date="2025-04-16T12:21:00Z"/>
                    <w:bCs/>
                    <w:szCs w:val="22"/>
                    <w:lang w:val="fr-FR"/>
                  </w:rPr>
                </w:rPrChange>
              </w:rPr>
            </w:pPr>
            <w:del w:id="10923" w:author="AbbVie19" w:date="2025-04-16T12:21:00Z">
              <w:r w:rsidRPr="000B7DC1">
                <w:rPr>
                  <w:szCs w:val="22"/>
                  <w:lang w:val="en-US"/>
                  <w:rPrChange w:id="10924" w:author="AbbVie33" w:date="2025-05-05T10:55:00Z">
                    <w:rPr>
                      <w:bCs/>
                      <w:szCs w:val="22"/>
                      <w:lang w:val="fr-FR"/>
                    </w:rPr>
                  </w:rPrChange>
                </w:rPr>
                <w:delText xml:space="preserve">AbbVie, Lda. </w:delText>
              </w:r>
            </w:del>
          </w:p>
          <w:p w14:paraId="19269FAF" w14:textId="77777777" w:rsidR="00BC0E7E" w:rsidRPr="000B7DC1" w:rsidRDefault="00944B8F" w:rsidP="00BC0E7E">
            <w:pPr>
              <w:tabs>
                <w:tab w:val="center" w:pos="4536"/>
                <w:tab w:val="center" w:pos="8930"/>
              </w:tabs>
              <w:rPr>
                <w:del w:id="10925" w:author="AbbVie19" w:date="2025-04-16T12:21:00Z"/>
                <w:szCs w:val="22"/>
                <w:lang w:val="en-US"/>
                <w:rPrChange w:id="10926" w:author="AbbVie33" w:date="2025-05-05T10:55:00Z">
                  <w:rPr>
                    <w:del w:id="10927" w:author="AbbVie19" w:date="2025-04-16T12:21:00Z"/>
                    <w:szCs w:val="22"/>
                    <w:lang w:val="fr-FR"/>
                  </w:rPr>
                </w:rPrChange>
              </w:rPr>
            </w:pPr>
            <w:del w:id="10928" w:author="AbbVie19" w:date="2025-04-16T12:21:00Z">
              <w:r w:rsidRPr="000B7DC1">
                <w:rPr>
                  <w:szCs w:val="22"/>
                  <w:lang w:val="en-US"/>
                  <w:rPrChange w:id="10929" w:author="AbbVie33" w:date="2025-05-05T10:55:00Z">
                    <w:rPr>
                      <w:szCs w:val="22"/>
                      <w:lang w:val="fr-FR"/>
                    </w:rPr>
                  </w:rPrChange>
                </w:rPr>
                <w:delText>Tel: +351 (0)21 1908400</w:delText>
              </w:r>
            </w:del>
          </w:p>
        </w:tc>
      </w:tr>
      <w:tr w:rsidR="00C6578C" w14:paraId="72206BDA" w14:textId="77777777" w:rsidTr="00171601">
        <w:trPr>
          <w:trHeight w:val="756"/>
          <w:del w:id="10930" w:author="AbbVie19" w:date="2025-04-16T12:21:00Z"/>
        </w:trPr>
        <w:tc>
          <w:tcPr>
            <w:tcW w:w="4678" w:type="dxa"/>
            <w:gridSpan w:val="2"/>
          </w:tcPr>
          <w:p w14:paraId="24362777" w14:textId="77777777" w:rsidR="00BC0E7E" w:rsidRPr="00BC0E7E" w:rsidRDefault="00944B8F" w:rsidP="00BC0E7E">
            <w:pPr>
              <w:tabs>
                <w:tab w:val="clear" w:pos="562"/>
              </w:tabs>
              <w:suppressAutoHyphens w:val="0"/>
              <w:autoSpaceDE w:val="0"/>
              <w:autoSpaceDN w:val="0"/>
              <w:adjustRightInd w:val="0"/>
              <w:ind w:firstLine="34"/>
              <w:rPr>
                <w:del w:id="10931" w:author="AbbVie19" w:date="2025-04-16T12:21:00Z"/>
                <w:rFonts w:eastAsia="MS Mincho"/>
                <w:szCs w:val="22"/>
                <w:lang w:val="pt-PT" w:eastAsia="ja-JP"/>
              </w:rPr>
            </w:pPr>
            <w:del w:id="10932" w:author="AbbVie19" w:date="2025-04-16T12:21:00Z">
              <w:r w:rsidRPr="00BC0E7E">
                <w:rPr>
                  <w:rFonts w:eastAsia="MS Mincho"/>
                  <w:b/>
                  <w:bCs/>
                  <w:szCs w:val="22"/>
                  <w:lang w:val="pt-PT" w:eastAsia="ja-JP"/>
                </w:rPr>
                <w:delText xml:space="preserve">Hrvatska </w:delText>
              </w:r>
            </w:del>
          </w:p>
          <w:p w14:paraId="4C94BD4C" w14:textId="77777777" w:rsidR="00BC0E7E" w:rsidRPr="00BC0E7E" w:rsidRDefault="00944B8F" w:rsidP="00BC0E7E">
            <w:pPr>
              <w:ind w:firstLine="34"/>
              <w:rPr>
                <w:del w:id="10933" w:author="AbbVie19" w:date="2025-04-16T12:21:00Z"/>
                <w:szCs w:val="22"/>
                <w:lang w:val="hr-HR"/>
              </w:rPr>
            </w:pPr>
            <w:del w:id="10934" w:author="AbbVie19" w:date="2025-04-16T12:21:00Z">
              <w:r w:rsidRPr="00BC0E7E">
                <w:rPr>
                  <w:szCs w:val="22"/>
                  <w:lang w:val="hr-HR"/>
                </w:rPr>
                <w:delText>AbbVie d.o.o.</w:delText>
              </w:r>
            </w:del>
          </w:p>
          <w:p w14:paraId="012EE7E0" w14:textId="77777777" w:rsidR="00BC0E7E" w:rsidRDefault="00944B8F" w:rsidP="00BC0E7E">
            <w:pPr>
              <w:ind w:firstLine="34"/>
              <w:rPr>
                <w:del w:id="10935" w:author="AbbVie19" w:date="2025-04-16T12:21:00Z"/>
                <w:szCs w:val="22"/>
              </w:rPr>
            </w:pPr>
            <w:del w:id="10936" w:author="AbbVie19" w:date="2025-04-16T12:21:00Z">
              <w:r w:rsidRPr="00BC0E7E">
                <w:rPr>
                  <w:szCs w:val="22"/>
                  <w:lang w:val="hr-HR"/>
                </w:rPr>
                <w:delText xml:space="preserve">Tel + 385 (0)1 </w:delText>
              </w:r>
              <w:r w:rsidRPr="00BC0E7E">
                <w:rPr>
                  <w:szCs w:val="22"/>
                </w:rPr>
                <w:delText>5625 501</w:delText>
              </w:r>
            </w:del>
          </w:p>
          <w:p w14:paraId="7F8238FD" w14:textId="77777777" w:rsidR="00385F6B" w:rsidRPr="00BC0E7E" w:rsidRDefault="00385F6B" w:rsidP="00BC0E7E">
            <w:pPr>
              <w:ind w:firstLine="34"/>
              <w:rPr>
                <w:del w:id="10937" w:author="AbbVie19" w:date="2025-04-16T12:21:00Z"/>
                <w:color w:val="1F497D"/>
                <w:szCs w:val="22"/>
              </w:rPr>
            </w:pPr>
          </w:p>
        </w:tc>
        <w:tc>
          <w:tcPr>
            <w:tcW w:w="4678" w:type="dxa"/>
          </w:tcPr>
          <w:p w14:paraId="41D14017" w14:textId="77777777" w:rsidR="00BC0E7E" w:rsidRPr="00433FAD" w:rsidRDefault="00944B8F" w:rsidP="00BC0E7E">
            <w:pPr>
              <w:rPr>
                <w:del w:id="10938" w:author="AbbVie19" w:date="2025-04-16T12:21:00Z"/>
                <w:b/>
                <w:bCs/>
                <w:szCs w:val="22"/>
                <w:lang w:val="es-MX"/>
              </w:rPr>
            </w:pPr>
            <w:del w:id="10939" w:author="AbbVie19" w:date="2025-04-16T12:21:00Z">
              <w:r w:rsidRPr="00433FAD">
                <w:rPr>
                  <w:b/>
                  <w:bCs/>
                  <w:szCs w:val="22"/>
                  <w:lang w:val="es-MX"/>
                </w:rPr>
                <w:delText>România</w:delText>
              </w:r>
            </w:del>
          </w:p>
          <w:p w14:paraId="1394933E" w14:textId="77777777" w:rsidR="00BC0E7E" w:rsidRPr="00433FAD" w:rsidRDefault="00944B8F" w:rsidP="00BC0E7E">
            <w:pPr>
              <w:rPr>
                <w:del w:id="10940" w:author="AbbVie19" w:date="2025-04-16T12:21:00Z"/>
                <w:rFonts w:eastAsia="MS Mincho"/>
                <w:color w:val="000000"/>
                <w:szCs w:val="22"/>
                <w:lang w:val="es-MX" w:eastAsia="ja-JP"/>
              </w:rPr>
            </w:pPr>
            <w:del w:id="10941" w:author="AbbVie19" w:date="2025-04-16T12:21:00Z">
              <w:r w:rsidRPr="00433FAD">
                <w:rPr>
                  <w:rFonts w:eastAsia="MS Mincho"/>
                  <w:color w:val="000000"/>
                  <w:szCs w:val="22"/>
                  <w:lang w:val="es-MX" w:eastAsia="ja-JP"/>
                </w:rPr>
                <w:delText>AbbVie S.R.L.</w:delText>
              </w:r>
            </w:del>
          </w:p>
          <w:p w14:paraId="45E15FAE" w14:textId="77777777" w:rsidR="00BC0E7E" w:rsidRPr="00BC0E7E" w:rsidRDefault="00944B8F" w:rsidP="00BC0E7E">
            <w:pPr>
              <w:rPr>
                <w:del w:id="10942" w:author="AbbVie19" w:date="2025-04-16T12:21:00Z"/>
                <w:szCs w:val="22"/>
                <w:lang w:val="pl-PL"/>
              </w:rPr>
            </w:pPr>
            <w:del w:id="10943" w:author="AbbVie19" w:date="2025-04-16T12:21:00Z">
              <w:r w:rsidRPr="00BC0E7E">
                <w:rPr>
                  <w:szCs w:val="22"/>
                  <w:lang w:val="pl-PL"/>
                </w:rPr>
                <w:delText>Tel: +40 21 529 30 35</w:delText>
              </w:r>
            </w:del>
          </w:p>
        </w:tc>
      </w:tr>
      <w:tr w:rsidR="00C6578C" w14:paraId="3C5B501A" w14:textId="77777777" w:rsidTr="00171601">
        <w:trPr>
          <w:gridBefore w:val="1"/>
          <w:wBefore w:w="34" w:type="dxa"/>
          <w:del w:id="10944" w:author="AbbVie19" w:date="2025-04-16T12:21:00Z"/>
        </w:trPr>
        <w:tc>
          <w:tcPr>
            <w:tcW w:w="4644" w:type="dxa"/>
          </w:tcPr>
          <w:p w14:paraId="60D67BA3" w14:textId="77777777" w:rsidR="00BC0E7E" w:rsidRPr="00BC0E7E" w:rsidRDefault="00944B8F" w:rsidP="00385F6B">
            <w:pPr>
              <w:keepNext/>
              <w:rPr>
                <w:del w:id="10945" w:author="AbbVie19" w:date="2025-04-16T12:21:00Z"/>
                <w:b/>
                <w:bCs/>
                <w:szCs w:val="22"/>
              </w:rPr>
            </w:pPr>
            <w:del w:id="10946" w:author="AbbVie19" w:date="2025-04-16T12:21:00Z">
              <w:r w:rsidRPr="00BC0E7E">
                <w:rPr>
                  <w:b/>
                  <w:bCs/>
                  <w:szCs w:val="22"/>
                </w:rPr>
                <w:lastRenderedPageBreak/>
                <w:delText>Ireland</w:delText>
              </w:r>
            </w:del>
          </w:p>
          <w:p w14:paraId="1F51F65B" w14:textId="77777777" w:rsidR="00BC0E7E" w:rsidRPr="00BC0E7E" w:rsidRDefault="00944B8F" w:rsidP="00385F6B">
            <w:pPr>
              <w:keepNext/>
              <w:rPr>
                <w:del w:id="10947" w:author="AbbVie19" w:date="2025-04-16T12:21:00Z"/>
                <w:bCs/>
                <w:szCs w:val="22"/>
              </w:rPr>
            </w:pPr>
            <w:del w:id="10948" w:author="AbbVie19" w:date="2025-04-16T12:21:00Z">
              <w:r w:rsidRPr="00BC0E7E">
                <w:rPr>
                  <w:bCs/>
                  <w:szCs w:val="22"/>
                </w:rPr>
                <w:delText xml:space="preserve">AbbVie Limited </w:delText>
              </w:r>
            </w:del>
          </w:p>
          <w:p w14:paraId="2664C83E" w14:textId="77777777" w:rsidR="00BC0E7E" w:rsidRPr="00BC0E7E" w:rsidRDefault="00944B8F" w:rsidP="00385F6B">
            <w:pPr>
              <w:keepNext/>
              <w:rPr>
                <w:del w:id="10949" w:author="AbbVie19" w:date="2025-04-16T12:21:00Z"/>
                <w:bCs/>
                <w:szCs w:val="22"/>
                <w:lang w:val="it-IT"/>
              </w:rPr>
            </w:pPr>
            <w:del w:id="10950" w:author="AbbVie19" w:date="2025-04-16T12:21:00Z">
              <w:r w:rsidRPr="00BC0E7E">
                <w:rPr>
                  <w:bCs/>
                  <w:szCs w:val="22"/>
                  <w:lang w:val="pt-PT"/>
                </w:rPr>
                <w:delText>Tel: +353 (0)1 4287900</w:delText>
              </w:r>
            </w:del>
          </w:p>
        </w:tc>
        <w:tc>
          <w:tcPr>
            <w:tcW w:w="4678" w:type="dxa"/>
          </w:tcPr>
          <w:p w14:paraId="0362BB6F" w14:textId="77777777" w:rsidR="00BC0E7E" w:rsidRPr="00BC0E7E" w:rsidRDefault="00944B8F" w:rsidP="00385F6B">
            <w:pPr>
              <w:keepNext/>
              <w:rPr>
                <w:del w:id="10951" w:author="AbbVie19" w:date="2025-04-16T12:21:00Z"/>
                <w:b/>
                <w:bCs/>
                <w:szCs w:val="22"/>
                <w:lang w:val="sl-SI"/>
              </w:rPr>
            </w:pPr>
            <w:del w:id="10952" w:author="AbbVie19" w:date="2025-04-16T12:21:00Z">
              <w:r w:rsidRPr="00BC0E7E">
                <w:rPr>
                  <w:b/>
                  <w:bCs/>
                  <w:szCs w:val="22"/>
                  <w:lang w:val="sl-SI"/>
                </w:rPr>
                <w:delText>Slovenija</w:delText>
              </w:r>
            </w:del>
          </w:p>
          <w:p w14:paraId="7DBD3AAE" w14:textId="77777777" w:rsidR="00BC0E7E" w:rsidRPr="00BC0E7E" w:rsidRDefault="00944B8F" w:rsidP="00385F6B">
            <w:pPr>
              <w:keepNext/>
              <w:rPr>
                <w:del w:id="10953" w:author="AbbVie19" w:date="2025-04-16T12:21:00Z"/>
                <w:bCs/>
                <w:szCs w:val="22"/>
                <w:lang w:val="sl-SI"/>
              </w:rPr>
            </w:pPr>
            <w:del w:id="10954" w:author="AbbVie19" w:date="2025-04-16T12:21:00Z">
              <w:r w:rsidRPr="00BC0E7E">
                <w:rPr>
                  <w:bCs/>
                  <w:szCs w:val="22"/>
                  <w:lang w:val="sl-SI"/>
                </w:rPr>
                <w:delText>AbbVie Biofarmacevtska družba d.o.o.</w:delText>
              </w:r>
            </w:del>
          </w:p>
          <w:p w14:paraId="5F812F9A" w14:textId="77777777" w:rsidR="00BC0E7E" w:rsidRDefault="00944B8F" w:rsidP="00385F6B">
            <w:pPr>
              <w:keepNext/>
              <w:rPr>
                <w:del w:id="10955" w:author="AbbVie19" w:date="2025-04-16T12:21:00Z"/>
                <w:bCs/>
                <w:szCs w:val="22"/>
                <w:lang w:val="sl-SI"/>
              </w:rPr>
            </w:pPr>
            <w:del w:id="10956" w:author="AbbVie19" w:date="2025-04-16T12:21:00Z">
              <w:r w:rsidRPr="00BC0E7E">
                <w:rPr>
                  <w:bCs/>
                  <w:szCs w:val="22"/>
                  <w:lang w:val="sl-SI"/>
                </w:rPr>
                <w:delText>Tel: +386 (1)32 08 060</w:delText>
              </w:r>
            </w:del>
          </w:p>
          <w:p w14:paraId="7A0C13AA" w14:textId="77777777" w:rsidR="00385F6B" w:rsidRPr="00BC0E7E" w:rsidRDefault="00385F6B" w:rsidP="00385F6B">
            <w:pPr>
              <w:keepNext/>
              <w:rPr>
                <w:del w:id="10957" w:author="AbbVie19" w:date="2025-04-16T12:21:00Z"/>
                <w:bCs/>
                <w:szCs w:val="22"/>
                <w:lang w:val="sl-SI"/>
              </w:rPr>
            </w:pPr>
          </w:p>
        </w:tc>
      </w:tr>
      <w:tr w:rsidR="00C6578C" w14:paraId="2951B079" w14:textId="77777777" w:rsidTr="00171601">
        <w:trPr>
          <w:gridBefore w:val="1"/>
          <w:wBefore w:w="34" w:type="dxa"/>
          <w:del w:id="10958" w:author="AbbVie19" w:date="2025-04-16T12:21:00Z"/>
        </w:trPr>
        <w:tc>
          <w:tcPr>
            <w:tcW w:w="4644" w:type="dxa"/>
          </w:tcPr>
          <w:p w14:paraId="161CCC4A" w14:textId="77777777" w:rsidR="00BC0E7E" w:rsidRPr="00BC0E7E" w:rsidRDefault="00944B8F" w:rsidP="00171601">
            <w:pPr>
              <w:keepNext/>
              <w:rPr>
                <w:del w:id="10959" w:author="AbbVie19" w:date="2025-04-16T12:21:00Z"/>
                <w:b/>
                <w:bCs/>
                <w:szCs w:val="22"/>
                <w:lang w:val="is-IS"/>
              </w:rPr>
            </w:pPr>
            <w:del w:id="10960" w:author="AbbVie19" w:date="2025-04-16T12:21:00Z">
              <w:r w:rsidRPr="00BC0E7E">
                <w:rPr>
                  <w:b/>
                  <w:bCs/>
                  <w:szCs w:val="22"/>
                  <w:lang w:val="is-IS"/>
                </w:rPr>
                <w:delText>Ísland</w:delText>
              </w:r>
            </w:del>
          </w:p>
          <w:p w14:paraId="69D5FA5D" w14:textId="77777777" w:rsidR="00BC0E7E" w:rsidRPr="00BC0E7E" w:rsidRDefault="00944B8F" w:rsidP="00171601">
            <w:pPr>
              <w:keepNext/>
              <w:rPr>
                <w:del w:id="10961" w:author="AbbVie19" w:date="2025-04-16T12:21:00Z"/>
                <w:bCs/>
                <w:szCs w:val="22"/>
              </w:rPr>
            </w:pPr>
            <w:del w:id="10962" w:author="AbbVie19" w:date="2025-04-16T12:21:00Z">
              <w:r w:rsidRPr="00BC0E7E">
                <w:rPr>
                  <w:bCs/>
                  <w:szCs w:val="22"/>
                </w:rPr>
                <w:delText>Vistor hf.</w:delText>
              </w:r>
            </w:del>
          </w:p>
          <w:p w14:paraId="50F2A690" w14:textId="77777777" w:rsidR="00BC0E7E" w:rsidRPr="00BC0E7E" w:rsidRDefault="00944B8F" w:rsidP="00171601">
            <w:pPr>
              <w:keepNext/>
              <w:rPr>
                <w:del w:id="10963" w:author="AbbVie19" w:date="2025-04-16T12:21:00Z"/>
                <w:bCs/>
                <w:szCs w:val="22"/>
              </w:rPr>
            </w:pPr>
            <w:del w:id="10964" w:author="AbbVie19" w:date="2025-04-16T12:21:00Z">
              <w:r w:rsidRPr="00BC0E7E">
                <w:rPr>
                  <w:bCs/>
                  <w:szCs w:val="22"/>
                </w:rPr>
                <w:delText>Tel: +354 535 7000</w:delText>
              </w:r>
            </w:del>
          </w:p>
        </w:tc>
        <w:tc>
          <w:tcPr>
            <w:tcW w:w="4678" w:type="dxa"/>
          </w:tcPr>
          <w:p w14:paraId="07ECC7EB" w14:textId="77777777" w:rsidR="00BC0E7E" w:rsidRPr="00BC0E7E" w:rsidRDefault="00944B8F" w:rsidP="00171601">
            <w:pPr>
              <w:keepNext/>
              <w:rPr>
                <w:del w:id="10965" w:author="AbbVie19" w:date="2025-04-16T12:21:00Z"/>
                <w:b/>
                <w:bCs/>
                <w:szCs w:val="22"/>
                <w:lang w:val="sk-SK"/>
              </w:rPr>
            </w:pPr>
            <w:del w:id="10966" w:author="AbbVie19" w:date="2025-04-16T12:21:00Z">
              <w:r w:rsidRPr="00BC0E7E">
                <w:rPr>
                  <w:b/>
                  <w:bCs/>
                  <w:szCs w:val="22"/>
                  <w:lang w:val="sk-SK"/>
                </w:rPr>
                <w:delText>Slovenská republika</w:delText>
              </w:r>
            </w:del>
          </w:p>
          <w:p w14:paraId="21BE418A" w14:textId="77777777" w:rsidR="00BC0E7E" w:rsidRPr="00BC0E7E" w:rsidRDefault="00944B8F" w:rsidP="00171601">
            <w:pPr>
              <w:keepNext/>
              <w:rPr>
                <w:del w:id="10967" w:author="AbbVie19" w:date="2025-04-16T12:21:00Z"/>
                <w:bCs/>
                <w:szCs w:val="22"/>
                <w:lang w:val="sk-SK"/>
              </w:rPr>
            </w:pPr>
            <w:del w:id="10968" w:author="AbbVie19" w:date="2025-04-16T12:21:00Z">
              <w:r w:rsidRPr="00BC0E7E">
                <w:rPr>
                  <w:bCs/>
                  <w:szCs w:val="22"/>
                  <w:lang w:val="sk-SK"/>
                </w:rPr>
                <w:delText>AbbVie s.r.o.</w:delText>
              </w:r>
            </w:del>
          </w:p>
          <w:p w14:paraId="1AE50355" w14:textId="77777777" w:rsidR="00BC0E7E" w:rsidRDefault="00944B8F" w:rsidP="00171601">
            <w:pPr>
              <w:keepNext/>
              <w:rPr>
                <w:del w:id="10969" w:author="AbbVie19" w:date="2025-04-16T12:21:00Z"/>
                <w:bCs/>
                <w:szCs w:val="22"/>
                <w:lang w:val="sk-SK"/>
              </w:rPr>
            </w:pPr>
            <w:del w:id="10970" w:author="AbbVie19" w:date="2025-04-16T12:21:00Z">
              <w:r w:rsidRPr="00BC0E7E">
                <w:rPr>
                  <w:bCs/>
                  <w:szCs w:val="22"/>
                  <w:lang w:val="sk-SK"/>
                </w:rPr>
                <w:delText>Tel: +421 2 5050 0777</w:delText>
              </w:r>
            </w:del>
          </w:p>
          <w:p w14:paraId="5EBD9032" w14:textId="77777777" w:rsidR="00385F6B" w:rsidRPr="00BC0E7E" w:rsidRDefault="00385F6B" w:rsidP="00171601">
            <w:pPr>
              <w:keepNext/>
              <w:rPr>
                <w:del w:id="10971" w:author="AbbVie19" w:date="2025-04-16T12:21:00Z"/>
                <w:bCs/>
                <w:szCs w:val="22"/>
                <w:lang w:val="sk-SK"/>
              </w:rPr>
            </w:pPr>
          </w:p>
        </w:tc>
      </w:tr>
      <w:tr w:rsidR="00C6578C" w14:paraId="18867407" w14:textId="77777777" w:rsidTr="00171601">
        <w:trPr>
          <w:gridBefore w:val="1"/>
          <w:wBefore w:w="34" w:type="dxa"/>
          <w:del w:id="10972" w:author="AbbVie19" w:date="2025-04-16T12:21:00Z"/>
        </w:trPr>
        <w:tc>
          <w:tcPr>
            <w:tcW w:w="4644" w:type="dxa"/>
          </w:tcPr>
          <w:p w14:paraId="3DEBD16C" w14:textId="77777777" w:rsidR="00BC0E7E" w:rsidRPr="00BC0E7E" w:rsidRDefault="00944B8F" w:rsidP="00BC0E7E">
            <w:pPr>
              <w:rPr>
                <w:del w:id="10973" w:author="AbbVie19" w:date="2025-04-16T12:21:00Z"/>
                <w:b/>
                <w:bCs/>
                <w:szCs w:val="22"/>
                <w:lang w:val="it-IT"/>
              </w:rPr>
            </w:pPr>
            <w:del w:id="10974" w:author="AbbVie19" w:date="2025-04-16T12:21:00Z">
              <w:r w:rsidRPr="00BC0E7E">
                <w:rPr>
                  <w:b/>
                  <w:bCs/>
                  <w:szCs w:val="22"/>
                  <w:lang w:val="it-IT"/>
                </w:rPr>
                <w:delText>Italia</w:delText>
              </w:r>
            </w:del>
          </w:p>
          <w:p w14:paraId="1ACDF04E" w14:textId="77777777" w:rsidR="00BC0E7E" w:rsidRPr="00BC0E7E" w:rsidRDefault="00944B8F" w:rsidP="00BC0E7E">
            <w:pPr>
              <w:spacing w:line="260" w:lineRule="exact"/>
              <w:rPr>
                <w:del w:id="10975" w:author="AbbVie19" w:date="2025-04-16T12:21:00Z"/>
                <w:bCs/>
                <w:szCs w:val="22"/>
                <w:lang w:val="pt-PT"/>
              </w:rPr>
            </w:pPr>
            <w:del w:id="10976" w:author="AbbVie19" w:date="2025-04-16T12:21:00Z">
              <w:r w:rsidRPr="00BC0E7E">
                <w:rPr>
                  <w:bCs/>
                  <w:szCs w:val="22"/>
                  <w:lang w:val="pt-PT"/>
                </w:rPr>
                <w:delText xml:space="preserve">AbbVie S.r.l. </w:delText>
              </w:r>
            </w:del>
          </w:p>
          <w:p w14:paraId="6988B288" w14:textId="77777777" w:rsidR="00BC0E7E" w:rsidRPr="00BC0E7E" w:rsidRDefault="00944B8F" w:rsidP="00BC0E7E">
            <w:pPr>
              <w:spacing w:line="260" w:lineRule="exact"/>
              <w:rPr>
                <w:del w:id="10977" w:author="AbbVie19" w:date="2025-04-16T12:21:00Z"/>
                <w:bCs/>
                <w:szCs w:val="22"/>
              </w:rPr>
            </w:pPr>
            <w:del w:id="10978" w:author="AbbVie19" w:date="2025-04-16T12:21:00Z">
              <w:r w:rsidRPr="00E416F1">
                <w:rPr>
                  <w:bCs/>
                  <w:szCs w:val="22"/>
                  <w:lang w:val="fr-FR"/>
                </w:rPr>
                <w:delText>Tel: +39 06 928921</w:delText>
              </w:r>
            </w:del>
          </w:p>
        </w:tc>
        <w:tc>
          <w:tcPr>
            <w:tcW w:w="4678" w:type="dxa"/>
          </w:tcPr>
          <w:p w14:paraId="3C35EF36" w14:textId="77777777" w:rsidR="00BC0E7E" w:rsidRPr="00BC0E7E" w:rsidRDefault="00944B8F" w:rsidP="00BC0E7E">
            <w:pPr>
              <w:rPr>
                <w:del w:id="10979" w:author="AbbVie19" w:date="2025-04-16T12:21:00Z"/>
                <w:b/>
                <w:bCs/>
                <w:szCs w:val="22"/>
                <w:lang w:val="fi-FI"/>
              </w:rPr>
            </w:pPr>
            <w:del w:id="10980" w:author="AbbVie19" w:date="2025-04-16T12:21:00Z">
              <w:r w:rsidRPr="00BC0E7E">
                <w:rPr>
                  <w:b/>
                  <w:bCs/>
                  <w:szCs w:val="22"/>
                  <w:lang w:val="fi-FI"/>
                </w:rPr>
                <w:delText>Suomi/Finland</w:delText>
              </w:r>
            </w:del>
          </w:p>
          <w:p w14:paraId="7C26C25B" w14:textId="77777777" w:rsidR="00BC0E7E" w:rsidRPr="00A06B15" w:rsidRDefault="00944B8F" w:rsidP="00BC0E7E">
            <w:pPr>
              <w:overflowPunct w:val="0"/>
              <w:autoSpaceDE w:val="0"/>
              <w:autoSpaceDN w:val="0"/>
              <w:adjustRightInd w:val="0"/>
              <w:textAlignment w:val="baseline"/>
              <w:rPr>
                <w:del w:id="10981" w:author="AbbVie19" w:date="2025-04-16T12:21:00Z"/>
                <w:bCs/>
                <w:szCs w:val="22"/>
                <w:lang w:val="de-DE"/>
              </w:rPr>
            </w:pPr>
            <w:del w:id="10982" w:author="AbbVie19" w:date="2025-04-16T12:21:00Z">
              <w:r w:rsidRPr="00A06B15">
                <w:rPr>
                  <w:bCs/>
                  <w:szCs w:val="22"/>
                  <w:lang w:val="de-DE"/>
                </w:rPr>
                <w:delText xml:space="preserve">AbbVie Oy </w:delText>
              </w:r>
            </w:del>
          </w:p>
          <w:p w14:paraId="75FB11CB" w14:textId="77777777" w:rsidR="00BC0E7E" w:rsidRDefault="00944B8F" w:rsidP="00BC0E7E">
            <w:pPr>
              <w:rPr>
                <w:del w:id="10983" w:author="AbbVie19" w:date="2025-04-16T12:21:00Z"/>
                <w:bCs/>
                <w:szCs w:val="22"/>
                <w:lang w:val="de-DE"/>
              </w:rPr>
            </w:pPr>
            <w:del w:id="10984" w:author="AbbVie19" w:date="2025-04-16T12:21:00Z">
              <w:r w:rsidRPr="00A06B15">
                <w:rPr>
                  <w:bCs/>
                  <w:szCs w:val="22"/>
                  <w:lang w:val="de-DE"/>
                </w:rPr>
                <w:delText>Puh/Tel:  +358 (0)10 2411 200</w:delText>
              </w:r>
            </w:del>
          </w:p>
          <w:p w14:paraId="3BE698F3" w14:textId="77777777" w:rsidR="00385F6B" w:rsidRPr="00BC0E7E" w:rsidRDefault="00385F6B" w:rsidP="00BC0E7E">
            <w:pPr>
              <w:rPr>
                <w:del w:id="10985" w:author="AbbVie19" w:date="2025-04-16T12:21:00Z"/>
                <w:bCs/>
                <w:szCs w:val="22"/>
                <w:lang w:val="fi-FI"/>
              </w:rPr>
            </w:pPr>
          </w:p>
        </w:tc>
      </w:tr>
      <w:tr w:rsidR="00C6578C" w14:paraId="1CFB7409" w14:textId="77777777" w:rsidTr="00171601">
        <w:trPr>
          <w:gridBefore w:val="1"/>
          <w:wBefore w:w="34" w:type="dxa"/>
          <w:del w:id="10986" w:author="AbbVie19" w:date="2025-04-16T12:21:00Z"/>
        </w:trPr>
        <w:tc>
          <w:tcPr>
            <w:tcW w:w="4644" w:type="dxa"/>
          </w:tcPr>
          <w:p w14:paraId="791DEA89" w14:textId="77777777" w:rsidR="00BC0E7E" w:rsidRPr="00BC0E7E" w:rsidRDefault="00944B8F" w:rsidP="00083C28">
            <w:pPr>
              <w:keepNext/>
              <w:rPr>
                <w:del w:id="10987" w:author="AbbVie19" w:date="2025-04-16T12:21:00Z"/>
                <w:b/>
                <w:bCs/>
                <w:szCs w:val="22"/>
                <w:lang w:val="el-GR"/>
              </w:rPr>
            </w:pPr>
            <w:del w:id="10988" w:author="AbbVie19" w:date="2025-04-16T12:21:00Z">
              <w:r w:rsidRPr="00BC0E7E">
                <w:rPr>
                  <w:b/>
                  <w:bCs/>
                  <w:szCs w:val="22"/>
                  <w:lang w:val="el-GR"/>
                </w:rPr>
                <w:delText>Κύπρος</w:delText>
              </w:r>
            </w:del>
          </w:p>
          <w:p w14:paraId="0BBB7A3E" w14:textId="77777777" w:rsidR="00BC0E7E" w:rsidRPr="00BC0E7E" w:rsidRDefault="00944B8F" w:rsidP="00083C28">
            <w:pPr>
              <w:keepNext/>
              <w:rPr>
                <w:del w:id="10989" w:author="AbbVie19" w:date="2025-04-16T12:21:00Z"/>
                <w:bCs/>
                <w:szCs w:val="22"/>
                <w:lang w:val="el-GR"/>
              </w:rPr>
            </w:pPr>
            <w:del w:id="10990" w:author="AbbVie19" w:date="2025-04-16T12:21:00Z">
              <w:r w:rsidRPr="00BC0E7E">
                <w:rPr>
                  <w:bCs/>
                  <w:szCs w:val="22"/>
                  <w:lang w:val="it-IT"/>
                </w:rPr>
                <w:delText>Lifepharma (Z.A.M.) Ltd</w:delText>
              </w:r>
            </w:del>
          </w:p>
          <w:p w14:paraId="324D425D" w14:textId="77777777" w:rsidR="00BC0E7E" w:rsidRPr="00BC0E7E" w:rsidRDefault="00944B8F" w:rsidP="00083C28">
            <w:pPr>
              <w:keepNext/>
              <w:rPr>
                <w:del w:id="10991" w:author="AbbVie19" w:date="2025-04-16T12:21:00Z"/>
                <w:bCs/>
                <w:szCs w:val="22"/>
                <w:lang w:val="fi-FI"/>
              </w:rPr>
            </w:pPr>
            <w:del w:id="10992" w:author="AbbVie19" w:date="2025-04-16T12:21:00Z">
              <w:r w:rsidRPr="00BC0E7E">
                <w:rPr>
                  <w:bCs/>
                  <w:szCs w:val="22"/>
                  <w:lang w:val="el-GR"/>
                </w:rPr>
                <w:delText>Τηλ.: +357 22 34 74 40</w:delText>
              </w:r>
            </w:del>
          </w:p>
        </w:tc>
        <w:tc>
          <w:tcPr>
            <w:tcW w:w="4678" w:type="dxa"/>
          </w:tcPr>
          <w:p w14:paraId="58F7B935" w14:textId="77777777" w:rsidR="00BC0E7E" w:rsidRPr="00BC0E7E" w:rsidRDefault="00944B8F" w:rsidP="00083C28">
            <w:pPr>
              <w:keepNext/>
              <w:rPr>
                <w:del w:id="10993" w:author="AbbVie19" w:date="2025-04-16T12:21:00Z"/>
                <w:b/>
                <w:bCs/>
                <w:szCs w:val="22"/>
                <w:lang w:val="sv-SE"/>
              </w:rPr>
            </w:pPr>
            <w:del w:id="10994" w:author="AbbVie19" w:date="2025-04-16T12:21:00Z">
              <w:r w:rsidRPr="00BC0E7E">
                <w:rPr>
                  <w:b/>
                  <w:bCs/>
                  <w:szCs w:val="22"/>
                  <w:lang w:val="sv-SE"/>
                </w:rPr>
                <w:delText>Sverige</w:delText>
              </w:r>
            </w:del>
          </w:p>
          <w:p w14:paraId="328914C6" w14:textId="77777777" w:rsidR="00BC0E7E" w:rsidRPr="00BC0E7E" w:rsidRDefault="00944B8F" w:rsidP="00083C28">
            <w:pPr>
              <w:keepNext/>
              <w:rPr>
                <w:del w:id="10995" w:author="AbbVie19" w:date="2025-04-16T12:21:00Z"/>
                <w:bCs/>
                <w:szCs w:val="22"/>
                <w:lang w:val="pt-PT"/>
              </w:rPr>
            </w:pPr>
            <w:del w:id="10996" w:author="AbbVie19" w:date="2025-04-16T12:21:00Z">
              <w:r w:rsidRPr="00BC0E7E">
                <w:rPr>
                  <w:bCs/>
                  <w:szCs w:val="22"/>
                  <w:lang w:val="pt-PT"/>
                </w:rPr>
                <w:delText>AbbVie AB</w:delText>
              </w:r>
            </w:del>
          </w:p>
          <w:p w14:paraId="4FEEC6B2" w14:textId="77777777" w:rsidR="00BC0E7E" w:rsidRDefault="00944B8F" w:rsidP="00083C28">
            <w:pPr>
              <w:keepNext/>
              <w:rPr>
                <w:del w:id="10997" w:author="AbbVie19" w:date="2025-04-16T12:21:00Z"/>
                <w:bCs/>
                <w:szCs w:val="22"/>
                <w:lang w:val="da-DK"/>
              </w:rPr>
            </w:pPr>
            <w:del w:id="10998" w:author="AbbVie19" w:date="2025-04-16T12:21:00Z">
              <w:r w:rsidRPr="00BC0E7E">
                <w:rPr>
                  <w:bCs/>
                  <w:szCs w:val="22"/>
                  <w:lang w:val="da-DK"/>
                </w:rPr>
                <w:delText>Tel:  +46 (0)8 684 44 600</w:delText>
              </w:r>
            </w:del>
          </w:p>
          <w:p w14:paraId="1649818B" w14:textId="77777777" w:rsidR="00385F6B" w:rsidRPr="00BC0E7E" w:rsidRDefault="00385F6B" w:rsidP="00083C28">
            <w:pPr>
              <w:keepNext/>
              <w:rPr>
                <w:del w:id="10999" w:author="AbbVie19" w:date="2025-04-16T12:21:00Z"/>
                <w:bCs/>
                <w:szCs w:val="22"/>
                <w:lang w:val="sv-SE"/>
              </w:rPr>
            </w:pPr>
          </w:p>
        </w:tc>
      </w:tr>
      <w:tr w:rsidR="00C6578C" w14:paraId="5F57875F" w14:textId="77777777" w:rsidTr="00171601">
        <w:trPr>
          <w:gridBefore w:val="1"/>
          <w:wBefore w:w="34" w:type="dxa"/>
          <w:cantSplit/>
          <w:trHeight w:val="747"/>
          <w:del w:id="11000" w:author="AbbVie19" w:date="2025-04-16T12:21:00Z"/>
        </w:trPr>
        <w:tc>
          <w:tcPr>
            <w:tcW w:w="4644" w:type="dxa"/>
          </w:tcPr>
          <w:p w14:paraId="759F3C22" w14:textId="77777777" w:rsidR="00BC0E7E" w:rsidRPr="00BC0E7E" w:rsidRDefault="00944B8F" w:rsidP="00BC0E7E">
            <w:pPr>
              <w:rPr>
                <w:del w:id="11001" w:author="AbbVie19" w:date="2025-04-16T12:21:00Z"/>
                <w:b/>
                <w:bCs/>
                <w:szCs w:val="22"/>
                <w:lang w:val="lv-LV"/>
              </w:rPr>
            </w:pPr>
            <w:del w:id="11002" w:author="AbbVie19" w:date="2025-04-16T12:21:00Z">
              <w:r w:rsidRPr="00BC0E7E">
                <w:rPr>
                  <w:b/>
                  <w:bCs/>
                  <w:szCs w:val="22"/>
                  <w:lang w:val="lv-LV"/>
                </w:rPr>
                <w:delText>Latvija</w:delText>
              </w:r>
            </w:del>
          </w:p>
          <w:p w14:paraId="78D2CD66" w14:textId="77777777" w:rsidR="00BC0E7E" w:rsidRPr="00BC0E7E" w:rsidRDefault="00944B8F" w:rsidP="00BC0E7E">
            <w:pPr>
              <w:rPr>
                <w:del w:id="11003" w:author="AbbVie19" w:date="2025-04-16T12:21:00Z"/>
                <w:bCs/>
                <w:szCs w:val="22"/>
                <w:lang w:val="lv-LV"/>
              </w:rPr>
            </w:pPr>
            <w:del w:id="11004" w:author="AbbVie19" w:date="2025-04-16T12:21:00Z">
              <w:r w:rsidRPr="00BC0E7E">
                <w:rPr>
                  <w:bCs/>
                  <w:szCs w:val="22"/>
                  <w:lang w:val="lv-LV"/>
                </w:rPr>
                <w:delText xml:space="preserve">AbbVie SIA </w:delText>
              </w:r>
            </w:del>
          </w:p>
          <w:p w14:paraId="4A1EB55E" w14:textId="77777777" w:rsidR="00BC0E7E" w:rsidRPr="00BC0E7E" w:rsidRDefault="00944B8F" w:rsidP="00BC0E7E">
            <w:pPr>
              <w:rPr>
                <w:del w:id="11005" w:author="AbbVie19" w:date="2025-04-16T12:21:00Z"/>
                <w:bCs/>
                <w:szCs w:val="22"/>
                <w:lang w:val="lv-LV"/>
              </w:rPr>
            </w:pPr>
            <w:del w:id="11006" w:author="AbbVie19" w:date="2025-04-16T12:21:00Z">
              <w:r w:rsidRPr="00BC0E7E">
                <w:rPr>
                  <w:bCs/>
                  <w:szCs w:val="22"/>
                  <w:lang w:val="lv-LV"/>
                </w:rPr>
                <w:delText>Tel: +371 67605000</w:delText>
              </w:r>
            </w:del>
          </w:p>
        </w:tc>
        <w:tc>
          <w:tcPr>
            <w:tcW w:w="4678" w:type="dxa"/>
          </w:tcPr>
          <w:p w14:paraId="1720C5F8" w14:textId="77777777" w:rsidR="00BC0E7E" w:rsidRPr="00BC0E7E" w:rsidRDefault="00BC0E7E" w:rsidP="00BC0E7E">
            <w:pPr>
              <w:rPr>
                <w:del w:id="11007" w:author="AbbVie19" w:date="2025-04-16T12:21:00Z"/>
                <w:bCs/>
                <w:szCs w:val="22"/>
                <w:lang w:val="lv-LV"/>
              </w:rPr>
            </w:pPr>
          </w:p>
        </w:tc>
      </w:tr>
    </w:tbl>
    <w:p w14:paraId="3BF11DE8" w14:textId="77777777" w:rsidR="00BC0E7E" w:rsidRPr="00BC0E7E" w:rsidRDefault="00BC0E7E" w:rsidP="00BC0E7E">
      <w:pPr>
        <w:rPr>
          <w:del w:id="11008" w:author="AbbVie19" w:date="2025-04-16T12:21:00Z"/>
        </w:rPr>
      </w:pPr>
    </w:p>
    <w:p w14:paraId="2C151151" w14:textId="77777777" w:rsidR="00BC0E7E" w:rsidRPr="00BC0E7E" w:rsidRDefault="00944B8F" w:rsidP="00BC0E7E">
      <w:pPr>
        <w:keepNext/>
        <w:numPr>
          <w:ilvl w:val="12"/>
          <w:numId w:val="0"/>
        </w:numPr>
        <w:tabs>
          <w:tab w:val="clear" w:pos="562"/>
        </w:tabs>
        <w:ind w:right="-2"/>
        <w:rPr>
          <w:del w:id="11009" w:author="AbbVie19" w:date="2025-04-16T12:21:00Z"/>
        </w:rPr>
      </w:pPr>
      <w:del w:id="11010" w:author="AbbVie19" w:date="2025-04-16T12:21:00Z">
        <w:r w:rsidRPr="00BC0E7E">
          <w:rPr>
            <w:b/>
          </w:rPr>
          <w:delText xml:space="preserve">This leaflet was last revised in </w:delText>
        </w:r>
      </w:del>
    </w:p>
    <w:p w14:paraId="3F462791" w14:textId="77777777" w:rsidR="00BC0E7E" w:rsidRPr="00BC0E7E" w:rsidRDefault="00BC0E7E" w:rsidP="00BC0E7E">
      <w:pPr>
        <w:keepNext/>
        <w:tabs>
          <w:tab w:val="clear" w:pos="562"/>
        </w:tabs>
        <w:ind w:right="-449"/>
        <w:rPr>
          <w:del w:id="11011" w:author="AbbVie19" w:date="2025-04-16T12:21:00Z"/>
        </w:rPr>
      </w:pPr>
    </w:p>
    <w:p w14:paraId="0168C909" w14:textId="77777777" w:rsidR="00BC0E7E" w:rsidRPr="00BC0E7E" w:rsidRDefault="00944B8F" w:rsidP="00BC0E7E">
      <w:pPr>
        <w:keepNext/>
        <w:tabs>
          <w:tab w:val="clear" w:pos="562"/>
        </w:tabs>
        <w:ind w:right="-449"/>
        <w:rPr>
          <w:del w:id="11012" w:author="AbbVie19" w:date="2025-04-16T12:21:00Z"/>
        </w:rPr>
      </w:pPr>
      <w:del w:id="11013" w:author="AbbVie19" w:date="2025-04-16T12:21:00Z">
        <w:r w:rsidRPr="00BC0E7E">
          <w:rPr>
            <w:iCs/>
            <w:noProof/>
            <w:szCs w:val="22"/>
          </w:rPr>
          <w:delText xml:space="preserve">Detailed information on this medicine is available on the European Medicines Agency web site: </w:delText>
        </w:r>
        <w:r>
          <w:fldChar w:fldCharType="begin"/>
        </w:r>
        <w:r>
          <w:delInstrText>HYPERLINK "http://www.ema.europa.eu"</w:delInstrText>
        </w:r>
        <w:r>
          <w:fldChar w:fldCharType="separate"/>
        </w:r>
        <w:r w:rsidRPr="00AE18B6">
          <w:rPr>
            <w:rStyle w:val="Hyperlink"/>
            <w:noProof/>
            <w:szCs w:val="22"/>
          </w:rPr>
          <w:delText>http://www.ema.europa.eu</w:delText>
        </w:r>
        <w:r>
          <w:fldChar w:fldCharType="end"/>
        </w:r>
        <w:r w:rsidRPr="00BC0E7E">
          <w:rPr>
            <w:noProof/>
            <w:szCs w:val="22"/>
          </w:rPr>
          <w:delText>.</w:delText>
        </w:r>
      </w:del>
    </w:p>
    <w:p w14:paraId="2BF50C34" w14:textId="77777777" w:rsidR="00BC0E7E" w:rsidRPr="00BC0E7E" w:rsidRDefault="00BC0E7E" w:rsidP="00BC0E7E">
      <w:pPr>
        <w:tabs>
          <w:tab w:val="clear" w:pos="562"/>
        </w:tabs>
        <w:jc w:val="center"/>
        <w:rPr>
          <w:del w:id="11014" w:author="AbbVie19" w:date="2025-04-16T12:21:00Z"/>
        </w:rPr>
      </w:pPr>
    </w:p>
    <w:p w14:paraId="72E1E7A1" w14:textId="77777777" w:rsidR="00BC0E7E" w:rsidRPr="00BC0E7E" w:rsidRDefault="00944B8F" w:rsidP="00BC0E7E">
      <w:pPr>
        <w:numPr>
          <w:ilvl w:val="12"/>
          <w:numId w:val="0"/>
        </w:numPr>
        <w:ind w:right="-2"/>
        <w:rPr>
          <w:del w:id="11015" w:author="AbbVie19" w:date="2025-04-16T12:21:00Z"/>
          <w:b/>
          <w:color w:val="000000"/>
        </w:rPr>
      </w:pPr>
      <w:del w:id="11016" w:author="AbbVie19" w:date="2025-04-16T12:21:00Z">
        <w:r w:rsidRPr="00BC0E7E">
          <w:rPr>
            <w:b/>
            <w:color w:val="000000"/>
          </w:rPr>
          <w:delText xml:space="preserve">To listen to or request a copy of this leaflet in </w:delText>
        </w:r>
        <w:r w:rsidRPr="00BC0E7E">
          <w:rPr>
            <w:b/>
            <w:color w:val="000000"/>
            <w:shd w:val="clear" w:color="auto" w:fill="A6A6A6"/>
          </w:rPr>
          <w:delText>&lt;Braille&gt;, &lt;large print&gt; or &lt;audio&gt;</w:delText>
        </w:r>
        <w:r w:rsidRPr="00BC0E7E">
          <w:rPr>
            <w:b/>
            <w:color w:val="000000"/>
          </w:rPr>
          <w:delText>, please contact the local representative of the Marketing Authorisation Holder.</w:delText>
        </w:r>
      </w:del>
    </w:p>
    <w:p w14:paraId="5F7FEE6E" w14:textId="77777777" w:rsidR="00BC0E7E" w:rsidRPr="00BC0E7E" w:rsidRDefault="00944B8F" w:rsidP="00BC0E7E">
      <w:pPr>
        <w:tabs>
          <w:tab w:val="clear" w:pos="562"/>
        </w:tabs>
        <w:jc w:val="center"/>
      </w:pPr>
      <w:r w:rsidRPr="00BC0E7E">
        <w:br w:type="page"/>
      </w:r>
    </w:p>
    <w:p w14:paraId="49EAD996" w14:textId="77777777" w:rsidR="00BC0E7E" w:rsidRPr="00BC0E7E" w:rsidRDefault="00944B8F" w:rsidP="00BC0E7E">
      <w:pPr>
        <w:tabs>
          <w:tab w:val="clear" w:pos="562"/>
        </w:tabs>
        <w:jc w:val="center"/>
        <w:rPr>
          <w:del w:id="11017" w:author="AbbVie19" w:date="2025-04-16T12:22:00Z"/>
          <w:rFonts w:ascii="Times New Roman Bold" w:hAnsi="Times New Roman Bold"/>
          <w:b/>
        </w:rPr>
      </w:pPr>
      <w:del w:id="11018" w:author="AbbVie19" w:date="2025-04-16T12:22:00Z">
        <w:r w:rsidRPr="00BC0E7E">
          <w:rPr>
            <w:b/>
          </w:rPr>
          <w:lastRenderedPageBreak/>
          <w:delText>P</w:delText>
        </w:r>
        <w:r w:rsidRPr="00BC0E7E">
          <w:rPr>
            <w:rFonts w:ascii="Times New Roman Bold" w:hAnsi="Times New Roman Bold"/>
            <w:b/>
          </w:rPr>
          <w:delText>ackage leaflet: Information for the patient</w:delText>
        </w:r>
      </w:del>
    </w:p>
    <w:p w14:paraId="51AA3159" w14:textId="77777777" w:rsidR="00BC0E7E" w:rsidRPr="00BC0E7E" w:rsidRDefault="00BC0E7E" w:rsidP="00BC0E7E">
      <w:pPr>
        <w:tabs>
          <w:tab w:val="clear" w:pos="562"/>
        </w:tabs>
        <w:jc w:val="center"/>
        <w:rPr>
          <w:del w:id="11019" w:author="AbbVie19" w:date="2025-04-16T12:22:00Z"/>
          <w:b/>
        </w:rPr>
      </w:pPr>
    </w:p>
    <w:p w14:paraId="093405B7" w14:textId="77777777" w:rsidR="00BC0E7E" w:rsidRPr="00BC0E7E" w:rsidRDefault="00944B8F" w:rsidP="00BC0E7E">
      <w:pPr>
        <w:tabs>
          <w:tab w:val="clear" w:pos="562"/>
        </w:tabs>
        <w:jc w:val="center"/>
        <w:rPr>
          <w:del w:id="11020" w:author="AbbVie19" w:date="2025-04-16T12:22:00Z"/>
        </w:rPr>
      </w:pPr>
      <w:del w:id="11021" w:author="AbbVie19" w:date="2025-04-16T12:22:00Z">
        <w:r w:rsidRPr="00BC0E7E">
          <w:rPr>
            <w:b/>
            <w:bCs/>
          </w:rPr>
          <w:delText xml:space="preserve">Humira </w:delText>
        </w:r>
        <w:r w:rsidRPr="00BC0E7E">
          <w:rPr>
            <w:b/>
          </w:rPr>
          <w:delText>40 mg solution for injection in pre-filled syringe</w:delText>
        </w:r>
      </w:del>
    </w:p>
    <w:p w14:paraId="2BCC03EA" w14:textId="77777777" w:rsidR="00BC0E7E" w:rsidRPr="00BC0E7E" w:rsidRDefault="00944B8F" w:rsidP="00BC0E7E">
      <w:pPr>
        <w:tabs>
          <w:tab w:val="clear" w:pos="562"/>
        </w:tabs>
        <w:jc w:val="center"/>
        <w:rPr>
          <w:del w:id="11022" w:author="AbbVie19" w:date="2025-04-16T12:22:00Z"/>
          <w:b/>
        </w:rPr>
      </w:pPr>
      <w:del w:id="11023" w:author="AbbVie19" w:date="2025-04-16T12:22:00Z">
        <w:r w:rsidRPr="00BC0E7E">
          <w:delText>adalimumab</w:delText>
        </w:r>
      </w:del>
    </w:p>
    <w:p w14:paraId="4CBEF7F5" w14:textId="77777777" w:rsidR="00BC0E7E" w:rsidRPr="00BC0E7E" w:rsidRDefault="00BC0E7E" w:rsidP="00BC0E7E">
      <w:pPr>
        <w:tabs>
          <w:tab w:val="clear" w:pos="562"/>
        </w:tabs>
        <w:jc w:val="center"/>
        <w:rPr>
          <w:del w:id="11024" w:author="AbbVie19" w:date="2025-04-16T12:22:00Z"/>
          <w:b/>
        </w:rPr>
      </w:pPr>
    </w:p>
    <w:p w14:paraId="553B4493" w14:textId="77777777" w:rsidR="00BC0E7E" w:rsidRPr="00BC0E7E" w:rsidRDefault="00944B8F" w:rsidP="00BC0E7E">
      <w:pPr>
        <w:tabs>
          <w:tab w:val="clear" w:pos="562"/>
        </w:tabs>
        <w:ind w:right="-2"/>
        <w:rPr>
          <w:del w:id="11025" w:author="AbbVie19" w:date="2025-04-16T12:22:00Z"/>
        </w:rPr>
      </w:pPr>
      <w:del w:id="11026" w:author="AbbVie19" w:date="2025-04-16T12:22:00Z">
        <w:r w:rsidRPr="00BC0E7E">
          <w:rPr>
            <w:b/>
          </w:rPr>
          <w:delText>Read all of this leaflet carefully before you start using this medicine because it contains important information for you.</w:delText>
        </w:r>
      </w:del>
    </w:p>
    <w:p w14:paraId="5DC29BAF" w14:textId="77777777" w:rsidR="00BC0E7E" w:rsidRPr="00BC0E7E" w:rsidRDefault="00944B8F" w:rsidP="00BC0E7E">
      <w:pPr>
        <w:numPr>
          <w:ilvl w:val="0"/>
          <w:numId w:val="15"/>
        </w:numPr>
        <w:rPr>
          <w:del w:id="11027" w:author="AbbVie19" w:date="2025-04-16T12:22:00Z"/>
          <w:szCs w:val="20"/>
        </w:rPr>
      </w:pPr>
      <w:del w:id="11028" w:author="AbbVie19" w:date="2025-04-16T12:22:00Z">
        <w:r w:rsidRPr="00BC0E7E">
          <w:rPr>
            <w:szCs w:val="20"/>
          </w:rPr>
          <w:delText>Keep this leaflet. You may need to read it again.</w:delText>
        </w:r>
      </w:del>
    </w:p>
    <w:p w14:paraId="0DDB7214" w14:textId="77777777" w:rsidR="00BC0E7E" w:rsidRPr="00BC0E7E" w:rsidRDefault="00944B8F" w:rsidP="00BC0E7E">
      <w:pPr>
        <w:numPr>
          <w:ilvl w:val="0"/>
          <w:numId w:val="15"/>
        </w:numPr>
        <w:rPr>
          <w:del w:id="11029" w:author="AbbVie19" w:date="2025-04-16T12:22:00Z"/>
          <w:szCs w:val="20"/>
        </w:rPr>
      </w:pPr>
      <w:del w:id="11030" w:author="AbbVie19" w:date="2025-04-16T12:22:00Z">
        <w:r w:rsidRPr="00BC0E7E">
          <w:rPr>
            <w:szCs w:val="20"/>
          </w:rPr>
          <w:delText xml:space="preserve">Your doctor will also give you a </w:delText>
        </w:r>
        <w:r w:rsidR="00BF2AE5" w:rsidRPr="002179FE">
          <w:rPr>
            <w:b/>
          </w:rPr>
          <w:delText>Patient Reminder Card</w:delText>
        </w:r>
        <w:r w:rsidRPr="00BC0E7E">
          <w:rPr>
            <w:szCs w:val="20"/>
          </w:rPr>
          <w:delText xml:space="preserve">, which contains important safety information that you need to be aware of before you are given Humira and during treatment with Humira. Keep this </w:delText>
        </w:r>
        <w:r w:rsidR="00BF2AE5" w:rsidRPr="002179FE">
          <w:rPr>
            <w:b/>
          </w:rPr>
          <w:delText>Patient Reminder Card</w:delText>
        </w:r>
        <w:r w:rsidRPr="00BC0E7E">
          <w:rPr>
            <w:szCs w:val="20"/>
          </w:rPr>
          <w:delText xml:space="preserve"> with you. </w:delText>
        </w:r>
      </w:del>
    </w:p>
    <w:p w14:paraId="36B41327" w14:textId="77777777" w:rsidR="00BC0E7E" w:rsidRPr="00BC0E7E" w:rsidRDefault="00944B8F" w:rsidP="00BC0E7E">
      <w:pPr>
        <w:numPr>
          <w:ilvl w:val="0"/>
          <w:numId w:val="15"/>
        </w:numPr>
        <w:rPr>
          <w:del w:id="11031" w:author="AbbVie19" w:date="2025-04-16T12:22:00Z"/>
          <w:szCs w:val="20"/>
        </w:rPr>
      </w:pPr>
      <w:del w:id="11032" w:author="AbbVie19" w:date="2025-04-16T12:22:00Z">
        <w:r w:rsidRPr="00BC0E7E">
          <w:rPr>
            <w:szCs w:val="20"/>
          </w:rPr>
          <w:delText>If you have any further questions, please ask your doctor or pharmacist.</w:delText>
        </w:r>
      </w:del>
    </w:p>
    <w:p w14:paraId="354F8740" w14:textId="77777777" w:rsidR="00BC0E7E" w:rsidRPr="00BC0E7E" w:rsidRDefault="00944B8F" w:rsidP="00BC0E7E">
      <w:pPr>
        <w:numPr>
          <w:ilvl w:val="0"/>
          <w:numId w:val="15"/>
        </w:numPr>
        <w:rPr>
          <w:del w:id="11033" w:author="AbbVie19" w:date="2025-04-16T12:22:00Z"/>
          <w:b/>
          <w:szCs w:val="20"/>
        </w:rPr>
      </w:pPr>
      <w:del w:id="11034" w:author="AbbVie19" w:date="2025-04-16T12:22:00Z">
        <w:r w:rsidRPr="00BC0E7E">
          <w:rPr>
            <w:szCs w:val="20"/>
          </w:rPr>
          <w:delText>This medicine has been prescribed for you only. Do not pass it on to others. It may harm them, even if their signs of illness are the same as yours.</w:delText>
        </w:r>
      </w:del>
    </w:p>
    <w:p w14:paraId="4704720C" w14:textId="77777777" w:rsidR="00BC0E7E" w:rsidRPr="00BC0E7E" w:rsidRDefault="00944B8F" w:rsidP="00BC0E7E">
      <w:pPr>
        <w:numPr>
          <w:ilvl w:val="0"/>
          <w:numId w:val="15"/>
        </w:numPr>
        <w:rPr>
          <w:del w:id="11035" w:author="AbbVie19" w:date="2025-04-16T12:22:00Z"/>
          <w:b/>
          <w:szCs w:val="20"/>
        </w:rPr>
      </w:pPr>
      <w:del w:id="11036" w:author="AbbVie19" w:date="2025-04-16T12:22:00Z">
        <w:r w:rsidRPr="00BC0E7E">
          <w:rPr>
            <w:szCs w:val="20"/>
          </w:rPr>
          <w:delText>If you get any side effects, talk to your doctor or pharmacist. This includes any possible side effects not listed in this leaflet (see section 4).</w:delText>
        </w:r>
      </w:del>
    </w:p>
    <w:p w14:paraId="1098215C" w14:textId="77777777" w:rsidR="00BC0E7E" w:rsidRPr="00BC0E7E" w:rsidRDefault="00BC0E7E" w:rsidP="00BC0E7E">
      <w:pPr>
        <w:numPr>
          <w:ilvl w:val="12"/>
          <w:numId w:val="0"/>
        </w:numPr>
        <w:tabs>
          <w:tab w:val="clear" w:pos="562"/>
        </w:tabs>
        <w:ind w:right="-2"/>
        <w:rPr>
          <w:del w:id="11037" w:author="AbbVie19" w:date="2025-04-16T12:22:00Z"/>
          <w:b/>
        </w:rPr>
      </w:pPr>
    </w:p>
    <w:p w14:paraId="37448896" w14:textId="77777777" w:rsidR="00BC0E7E" w:rsidRPr="00BC0E7E" w:rsidRDefault="00944B8F" w:rsidP="00BC0E7E">
      <w:pPr>
        <w:numPr>
          <w:ilvl w:val="12"/>
          <w:numId w:val="0"/>
        </w:numPr>
        <w:tabs>
          <w:tab w:val="clear" w:pos="562"/>
        </w:tabs>
        <w:ind w:right="-2"/>
        <w:rPr>
          <w:del w:id="11038" w:author="AbbVie19" w:date="2025-04-16T12:22:00Z"/>
        </w:rPr>
      </w:pPr>
      <w:del w:id="11039" w:author="AbbVie19" w:date="2025-04-16T12:22:00Z">
        <w:r w:rsidRPr="00BC0E7E">
          <w:rPr>
            <w:b/>
          </w:rPr>
          <w:delText>What is in this leaflet</w:delText>
        </w:r>
        <w:r w:rsidRPr="00BC0E7E">
          <w:delText xml:space="preserve"> </w:delText>
        </w:r>
      </w:del>
    </w:p>
    <w:p w14:paraId="5B38A4E1" w14:textId="77777777" w:rsidR="00BC0E7E" w:rsidRPr="00BC0E7E" w:rsidRDefault="00944B8F" w:rsidP="00BC0E7E">
      <w:pPr>
        <w:tabs>
          <w:tab w:val="clear" w:pos="562"/>
        </w:tabs>
        <w:ind w:left="567" w:right="-29" w:hanging="567"/>
        <w:rPr>
          <w:del w:id="11040" w:author="AbbVie19" w:date="2025-04-16T12:22:00Z"/>
        </w:rPr>
      </w:pPr>
      <w:del w:id="11041" w:author="AbbVie19" w:date="2025-04-16T12:22:00Z">
        <w:r w:rsidRPr="00BC0E7E">
          <w:delText>1.</w:delText>
        </w:r>
        <w:r w:rsidRPr="00BC0E7E">
          <w:tab/>
          <w:delText>What Humira is and what it is used for</w:delText>
        </w:r>
      </w:del>
    </w:p>
    <w:p w14:paraId="271A2308" w14:textId="77777777" w:rsidR="00BC0E7E" w:rsidRPr="00BC0E7E" w:rsidRDefault="00944B8F" w:rsidP="00BC0E7E">
      <w:pPr>
        <w:tabs>
          <w:tab w:val="clear" w:pos="562"/>
        </w:tabs>
        <w:ind w:left="567" w:right="-29" w:hanging="567"/>
        <w:rPr>
          <w:del w:id="11042" w:author="AbbVie19" w:date="2025-04-16T12:22:00Z"/>
        </w:rPr>
      </w:pPr>
      <w:del w:id="11043" w:author="AbbVie19" w:date="2025-04-16T12:22:00Z">
        <w:r w:rsidRPr="00BC0E7E">
          <w:delText>2.</w:delText>
        </w:r>
        <w:r w:rsidRPr="00BC0E7E">
          <w:tab/>
          <w:delText>What you need to know before you use Humira</w:delText>
        </w:r>
      </w:del>
    </w:p>
    <w:p w14:paraId="30BEB4D6" w14:textId="77777777" w:rsidR="00BC0E7E" w:rsidRPr="00BC0E7E" w:rsidRDefault="00944B8F" w:rsidP="00BC0E7E">
      <w:pPr>
        <w:tabs>
          <w:tab w:val="clear" w:pos="562"/>
        </w:tabs>
        <w:ind w:left="567" w:right="-29" w:hanging="567"/>
        <w:rPr>
          <w:del w:id="11044" w:author="AbbVie19" w:date="2025-04-16T12:22:00Z"/>
        </w:rPr>
      </w:pPr>
      <w:del w:id="11045" w:author="AbbVie19" w:date="2025-04-16T12:22:00Z">
        <w:r w:rsidRPr="00BC0E7E">
          <w:delText>3.</w:delText>
        </w:r>
        <w:r w:rsidRPr="00BC0E7E">
          <w:tab/>
          <w:delText>How to use Humira</w:delText>
        </w:r>
      </w:del>
    </w:p>
    <w:p w14:paraId="1F2C41CC" w14:textId="77777777" w:rsidR="00BC0E7E" w:rsidRPr="00BC0E7E" w:rsidRDefault="00944B8F" w:rsidP="00BC0E7E">
      <w:pPr>
        <w:tabs>
          <w:tab w:val="clear" w:pos="562"/>
        </w:tabs>
        <w:ind w:left="567" w:right="-29" w:hanging="567"/>
        <w:rPr>
          <w:del w:id="11046" w:author="AbbVie19" w:date="2025-04-16T12:22:00Z"/>
        </w:rPr>
      </w:pPr>
      <w:del w:id="11047" w:author="AbbVie19" w:date="2025-04-16T12:22:00Z">
        <w:r w:rsidRPr="00BC0E7E">
          <w:delText>4.</w:delText>
        </w:r>
        <w:r w:rsidRPr="00BC0E7E">
          <w:tab/>
          <w:delText>Possible side effects</w:delText>
        </w:r>
      </w:del>
    </w:p>
    <w:p w14:paraId="7FE4F098" w14:textId="77777777" w:rsidR="00BC0E7E" w:rsidRPr="00BC0E7E" w:rsidRDefault="00944B8F" w:rsidP="00BC0E7E">
      <w:pPr>
        <w:tabs>
          <w:tab w:val="clear" w:pos="562"/>
        </w:tabs>
        <w:ind w:left="567" w:right="-29" w:hanging="567"/>
        <w:rPr>
          <w:del w:id="11048" w:author="AbbVie19" w:date="2025-04-16T12:22:00Z"/>
        </w:rPr>
      </w:pPr>
      <w:del w:id="11049" w:author="AbbVie19" w:date="2025-04-16T12:22:00Z">
        <w:r w:rsidRPr="00BC0E7E">
          <w:delText>5</w:delText>
        </w:r>
        <w:r w:rsidRPr="00BC0E7E">
          <w:tab/>
          <w:delText>How to store Humira</w:delText>
        </w:r>
      </w:del>
    </w:p>
    <w:p w14:paraId="0CEEEDFC" w14:textId="77777777" w:rsidR="00BC0E7E" w:rsidRPr="00BC0E7E" w:rsidRDefault="00944B8F" w:rsidP="00BC0E7E">
      <w:pPr>
        <w:tabs>
          <w:tab w:val="clear" w:pos="562"/>
        </w:tabs>
        <w:ind w:left="567" w:right="-29" w:hanging="567"/>
        <w:rPr>
          <w:del w:id="11050" w:author="AbbVie19" w:date="2025-04-16T12:22:00Z"/>
        </w:rPr>
      </w:pPr>
      <w:del w:id="11051" w:author="AbbVie19" w:date="2025-04-16T12:22:00Z">
        <w:r w:rsidRPr="00BC0E7E">
          <w:delText>6.</w:delText>
        </w:r>
        <w:r w:rsidRPr="00BC0E7E">
          <w:tab/>
          <w:delText>Contents of the pack and other information</w:delText>
        </w:r>
      </w:del>
    </w:p>
    <w:p w14:paraId="452C8C47" w14:textId="77777777" w:rsidR="00BC0E7E" w:rsidRPr="00BC0E7E" w:rsidRDefault="00BC0E7E" w:rsidP="00BC0E7E">
      <w:pPr>
        <w:tabs>
          <w:tab w:val="clear" w:pos="562"/>
        </w:tabs>
        <w:ind w:left="567" w:right="-29" w:hanging="567"/>
        <w:rPr>
          <w:del w:id="11052" w:author="AbbVie19" w:date="2025-04-16T12:22:00Z"/>
        </w:rPr>
      </w:pPr>
    </w:p>
    <w:p w14:paraId="590E4E51" w14:textId="77777777" w:rsidR="00BC0E7E" w:rsidRPr="00BC0E7E" w:rsidRDefault="00BC0E7E" w:rsidP="00BC0E7E">
      <w:pPr>
        <w:tabs>
          <w:tab w:val="clear" w:pos="562"/>
        </w:tabs>
        <w:ind w:left="567" w:right="-29" w:hanging="567"/>
        <w:rPr>
          <w:del w:id="11053" w:author="AbbVie19" w:date="2025-04-16T12:22:00Z"/>
        </w:rPr>
      </w:pPr>
    </w:p>
    <w:p w14:paraId="14DF610E" w14:textId="77777777" w:rsidR="00BC0E7E" w:rsidRPr="00BC0E7E" w:rsidRDefault="00944B8F" w:rsidP="00BC0E7E">
      <w:pPr>
        <w:outlineLvl w:val="0"/>
        <w:rPr>
          <w:del w:id="11054" w:author="AbbVie19" w:date="2025-04-16T12:22:00Z"/>
          <w:rFonts w:ascii="Times New Roman Bold" w:hAnsi="Times New Roman Bold"/>
          <w:b/>
          <w:szCs w:val="20"/>
        </w:rPr>
      </w:pPr>
      <w:del w:id="11055" w:author="AbbVie19" w:date="2025-04-16T12:22:00Z">
        <w:r w:rsidRPr="00BC0E7E">
          <w:rPr>
            <w:b/>
            <w:caps/>
            <w:szCs w:val="20"/>
          </w:rPr>
          <w:delText>1.</w:delText>
        </w:r>
        <w:r w:rsidRPr="00BC0E7E">
          <w:rPr>
            <w:b/>
            <w:caps/>
            <w:szCs w:val="20"/>
          </w:rPr>
          <w:tab/>
          <w:delText>W</w:delText>
        </w:r>
        <w:r w:rsidRPr="00BC0E7E">
          <w:rPr>
            <w:rFonts w:ascii="Times New Roman Bold" w:hAnsi="Times New Roman Bold"/>
            <w:b/>
            <w:szCs w:val="20"/>
          </w:rPr>
          <w:delText>hat Humira is and what it is used for</w:delText>
        </w:r>
      </w:del>
    </w:p>
    <w:p w14:paraId="589B1194" w14:textId="77777777" w:rsidR="00BC0E7E" w:rsidRPr="00BC0E7E" w:rsidRDefault="00BC0E7E" w:rsidP="00BC0E7E">
      <w:pPr>
        <w:rPr>
          <w:del w:id="11056" w:author="AbbVie19" w:date="2025-04-16T12:22:00Z"/>
          <w:szCs w:val="20"/>
        </w:rPr>
      </w:pPr>
    </w:p>
    <w:p w14:paraId="4FFE3D25" w14:textId="77777777" w:rsidR="00A354EF" w:rsidRDefault="00944B8F" w:rsidP="00A354EF">
      <w:pPr>
        <w:keepLines/>
        <w:numPr>
          <w:ilvl w:val="12"/>
          <w:numId w:val="0"/>
        </w:numPr>
        <w:tabs>
          <w:tab w:val="clear" w:pos="562"/>
        </w:tabs>
        <w:ind w:right="-2"/>
        <w:rPr>
          <w:del w:id="11057" w:author="AbbVie19" w:date="2025-04-16T12:22:00Z"/>
          <w:noProof/>
          <w:color w:val="000000"/>
          <w:szCs w:val="22"/>
        </w:rPr>
      </w:pPr>
      <w:del w:id="11058" w:author="AbbVie19" w:date="2025-04-16T12:22:00Z">
        <w:r>
          <w:rPr>
            <w:noProof/>
            <w:color w:val="000000"/>
            <w:szCs w:val="22"/>
          </w:rPr>
          <w:delText>Humira</w:delText>
        </w:r>
        <w:r w:rsidRPr="00ED237F">
          <w:rPr>
            <w:noProof/>
            <w:color w:val="000000"/>
            <w:szCs w:val="22"/>
          </w:rPr>
          <w:delText xml:space="preserve"> contains the active substance adalimumab. </w:delText>
        </w:r>
      </w:del>
    </w:p>
    <w:p w14:paraId="677CA13C" w14:textId="77777777" w:rsidR="00A354EF" w:rsidRDefault="00A354EF" w:rsidP="00A354EF">
      <w:pPr>
        <w:keepLines/>
        <w:numPr>
          <w:ilvl w:val="12"/>
          <w:numId w:val="0"/>
        </w:numPr>
        <w:tabs>
          <w:tab w:val="clear" w:pos="562"/>
        </w:tabs>
        <w:ind w:right="-2"/>
        <w:rPr>
          <w:del w:id="11059" w:author="AbbVie19" w:date="2025-04-16T12:22:00Z"/>
          <w:noProof/>
          <w:color w:val="000000"/>
          <w:szCs w:val="22"/>
        </w:rPr>
      </w:pPr>
    </w:p>
    <w:p w14:paraId="3342711C" w14:textId="77777777" w:rsidR="00A354EF" w:rsidRDefault="00944B8F" w:rsidP="00A354EF">
      <w:pPr>
        <w:keepLines/>
        <w:numPr>
          <w:ilvl w:val="12"/>
          <w:numId w:val="0"/>
        </w:numPr>
        <w:tabs>
          <w:tab w:val="clear" w:pos="562"/>
        </w:tabs>
        <w:ind w:right="-2"/>
        <w:rPr>
          <w:del w:id="11060" w:author="AbbVie19" w:date="2025-04-16T12:22:00Z"/>
          <w:noProof/>
          <w:color w:val="000000"/>
          <w:szCs w:val="22"/>
        </w:rPr>
      </w:pPr>
      <w:del w:id="11061" w:author="AbbVie19" w:date="2025-04-16T12:22:00Z">
        <w:r>
          <w:rPr>
            <w:noProof/>
            <w:color w:val="000000"/>
            <w:szCs w:val="22"/>
          </w:rPr>
          <w:delText>Humira</w:delText>
        </w:r>
        <w:r w:rsidRPr="00ED237F">
          <w:rPr>
            <w:noProof/>
            <w:color w:val="000000"/>
            <w:szCs w:val="22"/>
          </w:rPr>
          <w:delText xml:space="preserve"> is intended for </w:delText>
        </w:r>
        <w:r>
          <w:rPr>
            <w:noProof/>
            <w:color w:val="000000"/>
            <w:szCs w:val="22"/>
          </w:rPr>
          <w:delText xml:space="preserve">the </w:delText>
        </w:r>
        <w:r w:rsidRPr="00ED237F">
          <w:rPr>
            <w:noProof/>
            <w:color w:val="000000"/>
            <w:szCs w:val="22"/>
          </w:rPr>
          <w:delText>treatment of</w:delText>
        </w:r>
        <w:r>
          <w:rPr>
            <w:noProof/>
            <w:color w:val="000000"/>
            <w:szCs w:val="22"/>
          </w:rPr>
          <w:delText xml:space="preserve"> the inflammatory diseases described below:</w:delText>
        </w:r>
      </w:del>
    </w:p>
    <w:p w14:paraId="16FA11BF" w14:textId="77777777" w:rsidR="00A354EF" w:rsidRDefault="00944B8F" w:rsidP="00D51999">
      <w:pPr>
        <w:keepLines/>
        <w:numPr>
          <w:ilvl w:val="0"/>
          <w:numId w:val="123"/>
        </w:numPr>
        <w:tabs>
          <w:tab w:val="clear" w:pos="562"/>
        </w:tabs>
        <w:suppressAutoHyphens w:val="0"/>
        <w:ind w:left="284" w:right="-2" w:hanging="284"/>
        <w:rPr>
          <w:del w:id="11062" w:author="AbbVie19" w:date="2025-04-16T12:22:00Z"/>
          <w:noProof/>
          <w:color w:val="000000"/>
          <w:szCs w:val="22"/>
        </w:rPr>
      </w:pPr>
      <w:del w:id="11063" w:author="AbbVie19" w:date="2025-04-16T12:22:00Z">
        <w:r>
          <w:rPr>
            <w:noProof/>
            <w:color w:val="000000"/>
            <w:szCs w:val="22"/>
          </w:rPr>
          <w:delText>R</w:delText>
        </w:r>
        <w:r w:rsidRPr="00ED237F">
          <w:rPr>
            <w:noProof/>
            <w:color w:val="000000"/>
            <w:szCs w:val="22"/>
          </w:rPr>
          <w:delText xml:space="preserve">heumatoid arthritis, </w:delText>
        </w:r>
      </w:del>
    </w:p>
    <w:p w14:paraId="1287864F" w14:textId="77777777" w:rsidR="00A354EF" w:rsidRDefault="00944B8F" w:rsidP="00D51999">
      <w:pPr>
        <w:keepLines/>
        <w:numPr>
          <w:ilvl w:val="0"/>
          <w:numId w:val="123"/>
        </w:numPr>
        <w:tabs>
          <w:tab w:val="clear" w:pos="562"/>
        </w:tabs>
        <w:suppressAutoHyphens w:val="0"/>
        <w:ind w:left="284" w:right="-2" w:hanging="284"/>
        <w:rPr>
          <w:del w:id="11064" w:author="AbbVie19" w:date="2025-04-16T12:22:00Z"/>
          <w:noProof/>
          <w:color w:val="000000"/>
          <w:szCs w:val="22"/>
        </w:rPr>
      </w:pPr>
      <w:del w:id="11065" w:author="AbbVie19" w:date="2025-04-16T12:22:00Z">
        <w:r>
          <w:rPr>
            <w:noProof/>
            <w:color w:val="000000"/>
            <w:szCs w:val="22"/>
          </w:rPr>
          <w:delText>P</w:delText>
        </w:r>
        <w:r w:rsidRPr="00ED237F">
          <w:rPr>
            <w:noProof/>
            <w:color w:val="000000"/>
            <w:szCs w:val="22"/>
          </w:rPr>
          <w:delText xml:space="preserve">olyarticular juvenile idiopathic arthritis, </w:delText>
        </w:r>
      </w:del>
    </w:p>
    <w:p w14:paraId="743847D5" w14:textId="77777777" w:rsidR="00A354EF" w:rsidRDefault="00944B8F" w:rsidP="00D51999">
      <w:pPr>
        <w:keepLines/>
        <w:numPr>
          <w:ilvl w:val="0"/>
          <w:numId w:val="123"/>
        </w:numPr>
        <w:tabs>
          <w:tab w:val="clear" w:pos="562"/>
        </w:tabs>
        <w:suppressAutoHyphens w:val="0"/>
        <w:ind w:left="284" w:right="-2" w:hanging="284"/>
        <w:rPr>
          <w:del w:id="11066" w:author="AbbVie19" w:date="2025-04-16T12:22:00Z"/>
          <w:noProof/>
          <w:color w:val="000000"/>
          <w:szCs w:val="22"/>
        </w:rPr>
      </w:pPr>
      <w:del w:id="11067" w:author="AbbVie19" w:date="2025-04-16T12:22:00Z">
        <w:r>
          <w:rPr>
            <w:noProof/>
            <w:color w:val="000000"/>
            <w:szCs w:val="22"/>
          </w:rPr>
          <w:delText>E</w:delText>
        </w:r>
        <w:r w:rsidRPr="00ED237F">
          <w:rPr>
            <w:noProof/>
            <w:color w:val="000000"/>
            <w:szCs w:val="22"/>
          </w:rPr>
          <w:delText xml:space="preserve">nthesitis-related arthritis, </w:delText>
        </w:r>
      </w:del>
    </w:p>
    <w:p w14:paraId="2E28ACFE" w14:textId="77777777" w:rsidR="00A354EF" w:rsidRDefault="00944B8F" w:rsidP="00D51999">
      <w:pPr>
        <w:keepLines/>
        <w:numPr>
          <w:ilvl w:val="0"/>
          <w:numId w:val="123"/>
        </w:numPr>
        <w:tabs>
          <w:tab w:val="clear" w:pos="562"/>
        </w:tabs>
        <w:suppressAutoHyphens w:val="0"/>
        <w:ind w:left="284" w:right="-2" w:hanging="284"/>
        <w:rPr>
          <w:del w:id="11068" w:author="AbbVie19" w:date="2025-04-16T12:22:00Z"/>
          <w:noProof/>
          <w:color w:val="000000"/>
          <w:szCs w:val="22"/>
        </w:rPr>
      </w:pPr>
      <w:del w:id="11069" w:author="AbbVie19" w:date="2025-04-16T12:22:00Z">
        <w:r>
          <w:rPr>
            <w:noProof/>
            <w:color w:val="000000"/>
            <w:szCs w:val="22"/>
          </w:rPr>
          <w:delText>A</w:delText>
        </w:r>
        <w:r w:rsidRPr="00ED237F">
          <w:rPr>
            <w:noProof/>
            <w:color w:val="000000"/>
            <w:szCs w:val="22"/>
          </w:rPr>
          <w:delText xml:space="preserve">nkylosing spondylitis, </w:delText>
        </w:r>
      </w:del>
    </w:p>
    <w:p w14:paraId="6981546D" w14:textId="77777777" w:rsidR="00A354EF" w:rsidRDefault="00944B8F" w:rsidP="00D51999">
      <w:pPr>
        <w:keepLines/>
        <w:numPr>
          <w:ilvl w:val="0"/>
          <w:numId w:val="123"/>
        </w:numPr>
        <w:tabs>
          <w:tab w:val="clear" w:pos="562"/>
        </w:tabs>
        <w:suppressAutoHyphens w:val="0"/>
        <w:ind w:left="284" w:right="-2" w:hanging="284"/>
        <w:rPr>
          <w:del w:id="11070" w:author="AbbVie19" w:date="2025-04-16T12:22:00Z"/>
          <w:noProof/>
          <w:color w:val="000000"/>
          <w:szCs w:val="22"/>
        </w:rPr>
      </w:pPr>
      <w:del w:id="11071" w:author="AbbVie19" w:date="2025-04-16T12:22:00Z">
        <w:r>
          <w:rPr>
            <w:noProof/>
            <w:color w:val="000000"/>
            <w:szCs w:val="22"/>
          </w:rPr>
          <w:delText>A</w:delText>
        </w:r>
        <w:r w:rsidRPr="00ED237F">
          <w:rPr>
            <w:noProof/>
            <w:color w:val="000000"/>
            <w:szCs w:val="22"/>
          </w:rPr>
          <w:delText xml:space="preserve">xial spondyloarthritis without radiographic evidence of ankylosing spondylitis, </w:delText>
        </w:r>
      </w:del>
    </w:p>
    <w:p w14:paraId="2190D6BB" w14:textId="77777777" w:rsidR="00A354EF" w:rsidRDefault="00944B8F" w:rsidP="00D51999">
      <w:pPr>
        <w:keepLines/>
        <w:numPr>
          <w:ilvl w:val="0"/>
          <w:numId w:val="123"/>
        </w:numPr>
        <w:tabs>
          <w:tab w:val="clear" w:pos="562"/>
        </w:tabs>
        <w:suppressAutoHyphens w:val="0"/>
        <w:ind w:left="284" w:right="-2" w:hanging="284"/>
        <w:rPr>
          <w:del w:id="11072" w:author="AbbVie19" w:date="2025-04-16T12:22:00Z"/>
          <w:noProof/>
          <w:color w:val="000000"/>
          <w:szCs w:val="22"/>
        </w:rPr>
      </w:pPr>
      <w:del w:id="11073" w:author="AbbVie19" w:date="2025-04-16T12:22:00Z">
        <w:r>
          <w:rPr>
            <w:noProof/>
            <w:color w:val="000000"/>
            <w:szCs w:val="22"/>
          </w:rPr>
          <w:delText>P</w:delText>
        </w:r>
        <w:r w:rsidRPr="00ED237F">
          <w:rPr>
            <w:noProof/>
            <w:color w:val="000000"/>
            <w:szCs w:val="22"/>
          </w:rPr>
          <w:delText xml:space="preserve">soriatic arthritis, </w:delText>
        </w:r>
      </w:del>
    </w:p>
    <w:p w14:paraId="4C8A8472" w14:textId="77777777" w:rsidR="00A354EF" w:rsidRDefault="00944B8F" w:rsidP="00D51999">
      <w:pPr>
        <w:keepLines/>
        <w:numPr>
          <w:ilvl w:val="0"/>
          <w:numId w:val="123"/>
        </w:numPr>
        <w:tabs>
          <w:tab w:val="clear" w:pos="562"/>
        </w:tabs>
        <w:suppressAutoHyphens w:val="0"/>
        <w:ind w:left="284" w:right="-2" w:hanging="284"/>
        <w:rPr>
          <w:del w:id="11074" w:author="AbbVie19" w:date="2025-04-16T12:22:00Z"/>
          <w:noProof/>
          <w:color w:val="000000"/>
          <w:szCs w:val="22"/>
        </w:rPr>
      </w:pPr>
      <w:del w:id="11075" w:author="AbbVie19" w:date="2025-04-16T12:22:00Z">
        <w:r>
          <w:rPr>
            <w:noProof/>
            <w:color w:val="000000"/>
            <w:szCs w:val="22"/>
          </w:rPr>
          <w:delText>P</w:delText>
        </w:r>
        <w:r w:rsidRPr="00ED237F">
          <w:rPr>
            <w:noProof/>
            <w:color w:val="000000"/>
            <w:szCs w:val="22"/>
          </w:rPr>
          <w:delText>soriasis,</w:delText>
        </w:r>
      </w:del>
    </w:p>
    <w:p w14:paraId="7907F24F" w14:textId="77777777" w:rsidR="00A354EF" w:rsidRDefault="00944B8F" w:rsidP="00D51999">
      <w:pPr>
        <w:keepLines/>
        <w:numPr>
          <w:ilvl w:val="0"/>
          <w:numId w:val="123"/>
        </w:numPr>
        <w:tabs>
          <w:tab w:val="clear" w:pos="562"/>
        </w:tabs>
        <w:suppressAutoHyphens w:val="0"/>
        <w:ind w:left="284" w:right="-2" w:hanging="284"/>
        <w:rPr>
          <w:del w:id="11076" w:author="AbbVie19" w:date="2025-04-16T12:22:00Z"/>
          <w:noProof/>
          <w:color w:val="000000"/>
          <w:szCs w:val="22"/>
        </w:rPr>
      </w:pPr>
      <w:del w:id="11077" w:author="AbbVie19" w:date="2025-04-16T12:22:00Z">
        <w:r>
          <w:rPr>
            <w:noProof/>
            <w:color w:val="000000"/>
            <w:szCs w:val="22"/>
          </w:rPr>
          <w:delText>H</w:delText>
        </w:r>
        <w:r w:rsidRPr="00ED237F">
          <w:rPr>
            <w:noProof/>
            <w:color w:val="000000"/>
            <w:szCs w:val="22"/>
          </w:rPr>
          <w:delText xml:space="preserve">idradenitis suppurativa, </w:delText>
        </w:r>
      </w:del>
    </w:p>
    <w:p w14:paraId="40E7CC4A" w14:textId="77777777" w:rsidR="00A354EF" w:rsidRDefault="00944B8F" w:rsidP="00D51999">
      <w:pPr>
        <w:keepLines/>
        <w:numPr>
          <w:ilvl w:val="0"/>
          <w:numId w:val="123"/>
        </w:numPr>
        <w:tabs>
          <w:tab w:val="clear" w:pos="562"/>
        </w:tabs>
        <w:suppressAutoHyphens w:val="0"/>
        <w:ind w:left="284" w:right="-2" w:hanging="284"/>
        <w:rPr>
          <w:del w:id="11078" w:author="AbbVie19" w:date="2025-04-16T12:22:00Z"/>
          <w:noProof/>
          <w:color w:val="000000"/>
          <w:szCs w:val="22"/>
        </w:rPr>
      </w:pPr>
      <w:del w:id="11079" w:author="AbbVie19" w:date="2025-04-16T12:22:00Z">
        <w:r w:rsidRPr="00ED237F">
          <w:rPr>
            <w:noProof/>
            <w:color w:val="000000"/>
            <w:szCs w:val="22"/>
          </w:rPr>
          <w:delText>Crohn’s disease</w:delText>
        </w:r>
        <w:r>
          <w:rPr>
            <w:noProof/>
            <w:color w:val="000000"/>
            <w:szCs w:val="22"/>
          </w:rPr>
          <w:delText>,</w:delText>
        </w:r>
        <w:r w:rsidRPr="00ED237F">
          <w:rPr>
            <w:noProof/>
            <w:color w:val="000000"/>
            <w:szCs w:val="22"/>
          </w:rPr>
          <w:delText xml:space="preserve"> </w:delText>
        </w:r>
      </w:del>
    </w:p>
    <w:p w14:paraId="17951C03" w14:textId="77777777" w:rsidR="00A354EF" w:rsidRDefault="00944B8F" w:rsidP="00D51999">
      <w:pPr>
        <w:keepLines/>
        <w:numPr>
          <w:ilvl w:val="0"/>
          <w:numId w:val="123"/>
        </w:numPr>
        <w:tabs>
          <w:tab w:val="clear" w:pos="562"/>
        </w:tabs>
        <w:suppressAutoHyphens w:val="0"/>
        <w:ind w:left="284" w:right="-2" w:hanging="284"/>
        <w:rPr>
          <w:del w:id="11080" w:author="AbbVie19" w:date="2025-04-16T12:22:00Z"/>
          <w:noProof/>
          <w:color w:val="000000"/>
          <w:szCs w:val="22"/>
        </w:rPr>
      </w:pPr>
      <w:del w:id="11081" w:author="AbbVie19" w:date="2025-04-16T12:22:00Z">
        <w:r>
          <w:rPr>
            <w:noProof/>
            <w:color w:val="000000"/>
            <w:szCs w:val="22"/>
          </w:rPr>
          <w:delText>U</w:delText>
        </w:r>
        <w:r w:rsidRPr="00ED237F">
          <w:rPr>
            <w:noProof/>
            <w:color w:val="000000"/>
            <w:szCs w:val="22"/>
          </w:rPr>
          <w:delText>lcerative colitis</w:delText>
        </w:r>
        <w:r>
          <w:rPr>
            <w:noProof/>
            <w:color w:val="000000"/>
            <w:szCs w:val="22"/>
          </w:rPr>
          <w:delText xml:space="preserve"> </w:delText>
        </w:r>
        <w:r w:rsidRPr="00907CAC">
          <w:rPr>
            <w:noProof/>
            <w:color w:val="000000"/>
            <w:szCs w:val="22"/>
          </w:rPr>
          <w:delText xml:space="preserve">and </w:delText>
        </w:r>
      </w:del>
    </w:p>
    <w:p w14:paraId="4E604C7F" w14:textId="77777777" w:rsidR="00A354EF" w:rsidRDefault="00944B8F" w:rsidP="00D51999">
      <w:pPr>
        <w:keepLines/>
        <w:numPr>
          <w:ilvl w:val="0"/>
          <w:numId w:val="123"/>
        </w:numPr>
        <w:tabs>
          <w:tab w:val="clear" w:pos="562"/>
        </w:tabs>
        <w:suppressAutoHyphens w:val="0"/>
        <w:ind w:left="284" w:right="-2" w:hanging="284"/>
        <w:rPr>
          <w:del w:id="11082" w:author="AbbVie19" w:date="2025-04-16T12:22:00Z"/>
          <w:noProof/>
          <w:color w:val="000000"/>
          <w:szCs w:val="22"/>
        </w:rPr>
      </w:pPr>
      <w:del w:id="11083" w:author="AbbVie19" w:date="2025-04-16T12:22:00Z">
        <w:r>
          <w:rPr>
            <w:noProof/>
            <w:color w:val="000000"/>
            <w:szCs w:val="22"/>
          </w:rPr>
          <w:delText>N</w:delText>
        </w:r>
        <w:r w:rsidRPr="00907CAC">
          <w:rPr>
            <w:noProof/>
            <w:color w:val="000000"/>
            <w:szCs w:val="22"/>
          </w:rPr>
          <w:delText>on-infectious uveitis</w:delText>
        </w:r>
      </w:del>
    </w:p>
    <w:p w14:paraId="5F6380D2" w14:textId="77777777" w:rsidR="00A354EF" w:rsidRDefault="00A354EF" w:rsidP="00A354EF">
      <w:pPr>
        <w:keepLines/>
        <w:numPr>
          <w:ilvl w:val="12"/>
          <w:numId w:val="0"/>
        </w:numPr>
        <w:tabs>
          <w:tab w:val="clear" w:pos="562"/>
        </w:tabs>
        <w:ind w:right="-2"/>
        <w:rPr>
          <w:del w:id="11084" w:author="AbbVie19" w:date="2025-04-16T12:22:00Z"/>
          <w:noProof/>
          <w:color w:val="000000"/>
          <w:szCs w:val="22"/>
        </w:rPr>
      </w:pPr>
    </w:p>
    <w:p w14:paraId="0751EC95" w14:textId="77777777" w:rsidR="00A354EF" w:rsidRDefault="00944B8F" w:rsidP="00A354EF">
      <w:pPr>
        <w:keepLines/>
        <w:numPr>
          <w:ilvl w:val="12"/>
          <w:numId w:val="0"/>
        </w:numPr>
        <w:tabs>
          <w:tab w:val="clear" w:pos="562"/>
        </w:tabs>
        <w:ind w:right="-2"/>
        <w:rPr>
          <w:del w:id="11085" w:author="AbbVie19" w:date="2025-04-16T12:22:00Z"/>
          <w:noProof/>
          <w:color w:val="000000"/>
          <w:szCs w:val="22"/>
        </w:rPr>
      </w:pPr>
      <w:del w:id="11086" w:author="AbbVie19" w:date="2025-04-16T12:22:00Z">
        <w:r w:rsidRPr="00ED237F">
          <w:rPr>
            <w:noProof/>
            <w:color w:val="000000"/>
            <w:szCs w:val="22"/>
          </w:rPr>
          <w:delText>The active ingredient</w:delText>
        </w:r>
        <w:r>
          <w:rPr>
            <w:noProof/>
            <w:color w:val="000000"/>
            <w:szCs w:val="22"/>
          </w:rPr>
          <w:delText xml:space="preserve"> in Humira</w:delText>
        </w:r>
        <w:r w:rsidRPr="00ED237F">
          <w:rPr>
            <w:noProof/>
            <w:color w:val="000000"/>
            <w:szCs w:val="22"/>
          </w:rPr>
          <w:delText>, adalimumab, is a</w:delText>
        </w:r>
        <w:r>
          <w:rPr>
            <w:noProof/>
            <w:color w:val="000000"/>
            <w:szCs w:val="22"/>
          </w:rPr>
          <w:delText xml:space="preserve"> human</w:delText>
        </w:r>
        <w:r w:rsidRPr="00ED237F">
          <w:rPr>
            <w:noProof/>
            <w:color w:val="000000"/>
            <w:szCs w:val="22"/>
          </w:rPr>
          <w:delText xml:space="preserve"> monoclonal antibody. Monoclonal antibodies are proteins that </w:delText>
        </w:r>
        <w:r w:rsidRPr="00A7331B">
          <w:rPr>
            <w:noProof/>
            <w:color w:val="000000"/>
            <w:szCs w:val="22"/>
          </w:rPr>
          <w:delText>attach to a specific target</w:delText>
        </w:r>
        <w:r w:rsidRPr="00ED237F">
          <w:rPr>
            <w:noProof/>
            <w:color w:val="000000"/>
            <w:szCs w:val="22"/>
          </w:rPr>
          <w:delText>.</w:delText>
        </w:r>
      </w:del>
    </w:p>
    <w:p w14:paraId="6CEDC001" w14:textId="77777777" w:rsidR="00A354EF" w:rsidRDefault="00A354EF" w:rsidP="00A354EF">
      <w:pPr>
        <w:keepLines/>
        <w:numPr>
          <w:ilvl w:val="12"/>
          <w:numId w:val="0"/>
        </w:numPr>
        <w:tabs>
          <w:tab w:val="clear" w:pos="562"/>
        </w:tabs>
        <w:ind w:right="-2"/>
        <w:rPr>
          <w:del w:id="11087" w:author="AbbVie19" w:date="2025-04-16T12:22:00Z"/>
          <w:noProof/>
          <w:color w:val="000000"/>
          <w:szCs w:val="22"/>
        </w:rPr>
      </w:pPr>
    </w:p>
    <w:p w14:paraId="77EBE92F" w14:textId="77777777" w:rsidR="00A354EF" w:rsidRDefault="00944B8F" w:rsidP="00A354EF">
      <w:pPr>
        <w:rPr>
          <w:del w:id="11088" w:author="AbbVie19" w:date="2025-04-16T12:22:00Z"/>
          <w:noProof/>
          <w:color w:val="000000"/>
          <w:szCs w:val="22"/>
        </w:rPr>
      </w:pPr>
      <w:del w:id="11089" w:author="AbbVie19" w:date="2025-04-16T12:22:00Z">
        <w:r>
          <w:rPr>
            <w:noProof/>
            <w:color w:val="000000"/>
            <w:szCs w:val="22"/>
          </w:rPr>
          <w:delText>The target of</w:delText>
        </w:r>
        <w:r w:rsidRPr="00ED237F">
          <w:rPr>
            <w:noProof/>
            <w:color w:val="000000"/>
            <w:szCs w:val="22"/>
          </w:rPr>
          <w:delText xml:space="preserve"> </w:delText>
        </w:r>
        <w:r>
          <w:rPr>
            <w:noProof/>
            <w:color w:val="000000"/>
            <w:szCs w:val="22"/>
          </w:rPr>
          <w:delText>a</w:delText>
        </w:r>
        <w:r w:rsidRPr="00ED237F">
          <w:rPr>
            <w:noProof/>
            <w:color w:val="000000"/>
            <w:szCs w:val="22"/>
          </w:rPr>
          <w:delText xml:space="preserve">dalimumab </w:delText>
        </w:r>
        <w:r>
          <w:rPr>
            <w:noProof/>
            <w:color w:val="000000"/>
            <w:szCs w:val="22"/>
          </w:rPr>
          <w:delText>is a</w:delText>
        </w:r>
        <w:r w:rsidRPr="00ED237F">
          <w:rPr>
            <w:noProof/>
            <w:color w:val="000000"/>
            <w:szCs w:val="22"/>
          </w:rPr>
          <w:delText xml:space="preserve"> protein </w:delText>
        </w:r>
        <w:r>
          <w:rPr>
            <w:noProof/>
            <w:color w:val="000000"/>
            <w:szCs w:val="22"/>
          </w:rPr>
          <w:delText xml:space="preserve">called </w:delText>
        </w:r>
        <w:r w:rsidRPr="00ED237F">
          <w:rPr>
            <w:noProof/>
            <w:color w:val="000000"/>
            <w:szCs w:val="22"/>
          </w:rPr>
          <w:delText xml:space="preserve">tumour necrosis factor </w:delText>
        </w:r>
        <w:r>
          <w:rPr>
            <w:noProof/>
            <w:color w:val="000000"/>
            <w:szCs w:val="22"/>
          </w:rPr>
          <w:delText>(</w:delText>
        </w:r>
        <w:r w:rsidRPr="00ED237F">
          <w:rPr>
            <w:noProof/>
            <w:color w:val="000000"/>
            <w:szCs w:val="22"/>
          </w:rPr>
          <w:delText xml:space="preserve">TNFα), which </w:delText>
        </w:r>
        <w:r>
          <w:rPr>
            <w:noProof/>
            <w:color w:val="000000"/>
            <w:szCs w:val="22"/>
          </w:rPr>
          <w:delText xml:space="preserve">is involved in the immune (defence) system and </w:delText>
        </w:r>
        <w:r w:rsidRPr="00ED237F">
          <w:rPr>
            <w:noProof/>
            <w:color w:val="000000"/>
            <w:szCs w:val="22"/>
          </w:rPr>
          <w:delText xml:space="preserve">is present at increased levels in </w:delText>
        </w:r>
        <w:r>
          <w:rPr>
            <w:noProof/>
            <w:color w:val="000000"/>
            <w:szCs w:val="22"/>
          </w:rPr>
          <w:delText xml:space="preserve">the </w:delText>
        </w:r>
        <w:r w:rsidRPr="00ED237F">
          <w:rPr>
            <w:noProof/>
            <w:color w:val="000000"/>
            <w:szCs w:val="22"/>
          </w:rPr>
          <w:delText xml:space="preserve">inflammatory diseases </w:delText>
        </w:r>
        <w:r>
          <w:rPr>
            <w:noProof/>
            <w:color w:val="000000"/>
            <w:szCs w:val="22"/>
          </w:rPr>
          <w:delText>listed above</w:delText>
        </w:r>
        <w:r w:rsidRPr="00ED237F">
          <w:rPr>
            <w:noProof/>
            <w:color w:val="000000"/>
            <w:szCs w:val="22"/>
          </w:rPr>
          <w:delText>.</w:delText>
        </w:r>
        <w:r w:rsidRPr="00A7331B">
          <w:rPr>
            <w:noProof/>
            <w:color w:val="000000"/>
            <w:szCs w:val="22"/>
          </w:rPr>
          <w:delText xml:space="preserve"> </w:delText>
        </w:r>
        <w:r>
          <w:rPr>
            <w:noProof/>
            <w:color w:val="000000"/>
            <w:szCs w:val="22"/>
          </w:rPr>
          <w:delText xml:space="preserve">By attaching to </w:delText>
        </w:r>
        <w:r w:rsidRPr="00ED237F">
          <w:rPr>
            <w:noProof/>
            <w:color w:val="000000"/>
            <w:szCs w:val="22"/>
          </w:rPr>
          <w:delText>TNFα</w:delText>
        </w:r>
        <w:r>
          <w:rPr>
            <w:noProof/>
            <w:color w:val="000000"/>
            <w:szCs w:val="22"/>
          </w:rPr>
          <w:delText>, Humira decreases the process of inflammation in these diseases.</w:delText>
        </w:r>
      </w:del>
    </w:p>
    <w:p w14:paraId="305DB5F9" w14:textId="77777777" w:rsidR="00BC0E7E" w:rsidRPr="00BC0E7E" w:rsidRDefault="00BC0E7E" w:rsidP="00BC0E7E">
      <w:pPr>
        <w:rPr>
          <w:del w:id="11090" w:author="AbbVie19" w:date="2025-04-16T12:22:00Z"/>
        </w:rPr>
      </w:pPr>
    </w:p>
    <w:p w14:paraId="161ADBB7" w14:textId="77777777" w:rsidR="00BC0E7E" w:rsidRPr="00BC0E7E" w:rsidRDefault="00944B8F" w:rsidP="0097291B">
      <w:pPr>
        <w:keepNext/>
        <w:rPr>
          <w:del w:id="11091" w:author="AbbVie19" w:date="2025-04-16T12:22:00Z"/>
          <w:u w:val="single"/>
        </w:rPr>
      </w:pPr>
      <w:del w:id="11092" w:author="AbbVie19" w:date="2025-04-16T12:22:00Z">
        <w:r w:rsidRPr="00BC0E7E">
          <w:rPr>
            <w:u w:val="single"/>
          </w:rPr>
          <w:lastRenderedPageBreak/>
          <w:delText>Rheumatoid arthritis</w:delText>
        </w:r>
      </w:del>
    </w:p>
    <w:p w14:paraId="1F6BAF2F" w14:textId="77777777" w:rsidR="00BC0E7E" w:rsidRPr="00BC0E7E" w:rsidRDefault="00BC0E7E" w:rsidP="0097291B">
      <w:pPr>
        <w:keepNext/>
        <w:rPr>
          <w:del w:id="11093" w:author="AbbVie19" w:date="2025-04-16T12:22:00Z"/>
        </w:rPr>
      </w:pPr>
    </w:p>
    <w:p w14:paraId="012C5E4B" w14:textId="77777777" w:rsidR="00BC0E7E" w:rsidRPr="00BC0E7E" w:rsidRDefault="00944B8F" w:rsidP="0097291B">
      <w:pPr>
        <w:keepNext/>
        <w:rPr>
          <w:del w:id="11094" w:author="AbbVie19" w:date="2025-04-16T12:22:00Z"/>
        </w:rPr>
      </w:pPr>
      <w:del w:id="11095" w:author="AbbVie19" w:date="2025-04-16T12:22:00Z">
        <w:r w:rsidRPr="00BC0E7E">
          <w:delText>Rheumatoid arthritis is an inflammatory disease of the joints.</w:delText>
        </w:r>
      </w:del>
    </w:p>
    <w:p w14:paraId="1E2A09E9" w14:textId="77777777" w:rsidR="00BC0E7E" w:rsidRPr="00BC0E7E" w:rsidRDefault="00BC0E7E" w:rsidP="00BC0E7E">
      <w:pPr>
        <w:rPr>
          <w:del w:id="11096" w:author="AbbVie19" w:date="2025-04-16T12:22:00Z"/>
        </w:rPr>
      </w:pPr>
    </w:p>
    <w:p w14:paraId="4DCAFEFF" w14:textId="77777777" w:rsidR="00BC0E7E" w:rsidRPr="00BC0E7E" w:rsidRDefault="00944B8F" w:rsidP="00BC0E7E">
      <w:pPr>
        <w:rPr>
          <w:del w:id="11097" w:author="AbbVie19" w:date="2025-04-16T12:22:00Z"/>
        </w:rPr>
      </w:pPr>
      <w:del w:id="11098" w:author="AbbVie19" w:date="2025-04-16T12:22:00Z">
        <w:r w:rsidRPr="00BC0E7E">
          <w:delText xml:space="preserve">Humira is used to treat rheumatoid arthritis in adults. If you have moderate to severe active rheumatoid arthritis, you may first be given other disease-modifying medicines, such as methotrexate. If you do not respond well enough to these medicines, you will be given Humira to treat your rheumatoid arthritis.  </w:delText>
        </w:r>
      </w:del>
    </w:p>
    <w:p w14:paraId="7FA54952" w14:textId="77777777" w:rsidR="00BC0E7E" w:rsidRPr="00BC0E7E" w:rsidRDefault="00BC0E7E" w:rsidP="00BC0E7E">
      <w:pPr>
        <w:rPr>
          <w:del w:id="11099" w:author="AbbVie19" w:date="2025-04-16T12:22:00Z"/>
        </w:rPr>
      </w:pPr>
    </w:p>
    <w:p w14:paraId="02FADEA8" w14:textId="77777777" w:rsidR="00BC0E7E" w:rsidRPr="00BC0E7E" w:rsidRDefault="00944B8F" w:rsidP="00BC0E7E">
      <w:pPr>
        <w:rPr>
          <w:del w:id="11100" w:author="AbbVie19" w:date="2025-04-16T12:22:00Z"/>
        </w:rPr>
      </w:pPr>
      <w:del w:id="11101" w:author="AbbVie19" w:date="2025-04-16T12:22:00Z">
        <w:r w:rsidRPr="00BC0E7E">
          <w:delText>Humira can also be used to treat severe, active and progressive rheumatoid arthritis without previous methotrexate treatment.</w:delText>
        </w:r>
      </w:del>
    </w:p>
    <w:p w14:paraId="6D3C7CEA" w14:textId="77777777" w:rsidR="00BC0E7E" w:rsidRPr="00BC0E7E" w:rsidRDefault="00BC0E7E" w:rsidP="00BC0E7E">
      <w:pPr>
        <w:rPr>
          <w:del w:id="11102" w:author="AbbVie19" w:date="2025-04-16T12:22:00Z"/>
        </w:rPr>
      </w:pPr>
    </w:p>
    <w:p w14:paraId="44910B74" w14:textId="77777777" w:rsidR="00BC0E7E" w:rsidRPr="00BC0E7E" w:rsidRDefault="00944B8F" w:rsidP="00BC0E7E">
      <w:pPr>
        <w:rPr>
          <w:del w:id="11103" w:author="AbbVie19" w:date="2025-04-16T12:22:00Z"/>
        </w:rPr>
      </w:pPr>
      <w:del w:id="11104" w:author="AbbVie19" w:date="2025-04-16T12:22:00Z">
        <w:r w:rsidRPr="00BC0E7E">
          <w:delText>Humira has been shown to slow down the damage to the cartilage and bone of the joints caused by the disease and to improve physical function.</w:delText>
        </w:r>
      </w:del>
    </w:p>
    <w:p w14:paraId="0B714805" w14:textId="77777777" w:rsidR="00BC0E7E" w:rsidRPr="00BC0E7E" w:rsidRDefault="00BC0E7E" w:rsidP="00BC0E7E">
      <w:pPr>
        <w:rPr>
          <w:del w:id="11105" w:author="AbbVie19" w:date="2025-04-16T12:22:00Z"/>
        </w:rPr>
      </w:pPr>
    </w:p>
    <w:p w14:paraId="13E4AA5B" w14:textId="77777777" w:rsidR="00BC0E7E" w:rsidRPr="00BC0E7E" w:rsidRDefault="00944B8F" w:rsidP="00BC0E7E">
      <w:pPr>
        <w:numPr>
          <w:ilvl w:val="12"/>
          <w:numId w:val="0"/>
        </w:numPr>
        <w:tabs>
          <w:tab w:val="clear" w:pos="562"/>
        </w:tabs>
        <w:ind w:right="-2"/>
        <w:rPr>
          <w:del w:id="11106" w:author="AbbVie19" w:date="2025-04-16T12:22:00Z"/>
        </w:rPr>
      </w:pPr>
      <w:del w:id="11107" w:author="AbbVie19" w:date="2025-04-16T12:22:00Z">
        <w:r w:rsidRPr="00BC0E7E">
          <w:delText>Usually, Humira is used with methotrexate. If your doctor determines that methotrexate is inappropriate, Humira can be given alone.</w:delText>
        </w:r>
      </w:del>
    </w:p>
    <w:p w14:paraId="466823EC" w14:textId="77777777" w:rsidR="00BC0E7E" w:rsidRPr="00BC0E7E" w:rsidRDefault="00BC0E7E" w:rsidP="00BC0E7E">
      <w:pPr>
        <w:numPr>
          <w:ilvl w:val="12"/>
          <w:numId w:val="0"/>
        </w:numPr>
        <w:tabs>
          <w:tab w:val="clear" w:pos="562"/>
        </w:tabs>
        <w:ind w:right="-2"/>
        <w:rPr>
          <w:del w:id="11108" w:author="AbbVie19" w:date="2025-04-16T12:22:00Z"/>
        </w:rPr>
      </w:pPr>
    </w:p>
    <w:p w14:paraId="2436FDC9" w14:textId="77777777" w:rsidR="00BC0E7E" w:rsidRPr="00BC0E7E" w:rsidRDefault="00944B8F" w:rsidP="00BC0E7E">
      <w:pPr>
        <w:rPr>
          <w:del w:id="11109" w:author="AbbVie19" w:date="2025-04-16T12:22:00Z"/>
          <w:szCs w:val="20"/>
          <w:u w:val="single"/>
        </w:rPr>
      </w:pPr>
      <w:del w:id="11110" w:author="AbbVie19" w:date="2025-04-16T12:22:00Z">
        <w:r w:rsidRPr="00BC0E7E">
          <w:rPr>
            <w:szCs w:val="20"/>
            <w:u w:val="single"/>
          </w:rPr>
          <w:delText>Polyarticular juvenile idiopathic arthritis and enthesitis-related arthritis</w:delText>
        </w:r>
      </w:del>
    </w:p>
    <w:p w14:paraId="6CB2D4D2" w14:textId="77777777" w:rsidR="00BC0E7E" w:rsidRPr="00BC0E7E" w:rsidRDefault="00BC0E7E" w:rsidP="00BC0E7E">
      <w:pPr>
        <w:rPr>
          <w:del w:id="11111" w:author="AbbVie19" w:date="2025-04-16T12:22:00Z"/>
          <w:szCs w:val="20"/>
        </w:rPr>
      </w:pPr>
    </w:p>
    <w:p w14:paraId="239B5D19" w14:textId="77777777" w:rsidR="00BC0E7E" w:rsidRPr="00BC0E7E" w:rsidRDefault="00944B8F" w:rsidP="00BC0E7E">
      <w:pPr>
        <w:numPr>
          <w:ilvl w:val="12"/>
          <w:numId w:val="0"/>
        </w:numPr>
        <w:tabs>
          <w:tab w:val="clear" w:pos="562"/>
        </w:tabs>
        <w:ind w:right="-2"/>
        <w:rPr>
          <w:del w:id="11112" w:author="AbbVie19" w:date="2025-04-16T12:22:00Z"/>
        </w:rPr>
      </w:pPr>
      <w:del w:id="11113" w:author="AbbVie19" w:date="2025-04-16T12:22:00Z">
        <w:r w:rsidRPr="00BC0E7E">
          <w:delText>Polyarticular juvenile idiopathic arthritis and enthesitis-related arthritis are inflammatory diseases.</w:delText>
        </w:r>
      </w:del>
    </w:p>
    <w:p w14:paraId="1A4F55A3" w14:textId="77777777" w:rsidR="00BC0E7E" w:rsidRPr="00BC0E7E" w:rsidRDefault="00BC0E7E" w:rsidP="00BC0E7E">
      <w:pPr>
        <w:numPr>
          <w:ilvl w:val="12"/>
          <w:numId w:val="0"/>
        </w:numPr>
        <w:tabs>
          <w:tab w:val="clear" w:pos="562"/>
        </w:tabs>
        <w:ind w:right="-2"/>
        <w:rPr>
          <w:del w:id="11114" w:author="AbbVie19" w:date="2025-04-16T12:22:00Z"/>
        </w:rPr>
      </w:pPr>
    </w:p>
    <w:p w14:paraId="7095019D" w14:textId="77777777" w:rsidR="00BC0E7E" w:rsidRPr="00BC0E7E" w:rsidRDefault="00944B8F" w:rsidP="00BC0E7E">
      <w:pPr>
        <w:numPr>
          <w:ilvl w:val="12"/>
          <w:numId w:val="0"/>
        </w:numPr>
        <w:tabs>
          <w:tab w:val="clear" w:pos="562"/>
        </w:tabs>
        <w:ind w:right="-2"/>
        <w:rPr>
          <w:del w:id="11115" w:author="AbbVie19" w:date="2025-04-16T12:22:00Z"/>
        </w:rPr>
      </w:pPr>
      <w:del w:id="11116" w:author="AbbVie19" w:date="2025-04-16T12:22:00Z">
        <w:r w:rsidRPr="00BC0E7E">
          <w:delText>Humira is used to treat polyarticular juvenile idiopathic arthritis in children and adolescents aged 2 to 17 years and enthesitis-related arthritis in children and adolescents aged 6 to 17 years. You may first be given other disease-modifying medicines, such as methotrexate. If you do not respond well enough to these medicines, you will be given Humira to treat your polyarticular juvenile idiopathic arthritis or enthesitis-related arthritis.</w:delText>
        </w:r>
      </w:del>
    </w:p>
    <w:p w14:paraId="1F6BD51B" w14:textId="77777777" w:rsidR="00BC0E7E" w:rsidRPr="00BC0E7E" w:rsidRDefault="00BC0E7E" w:rsidP="00BC0E7E">
      <w:pPr>
        <w:numPr>
          <w:ilvl w:val="12"/>
          <w:numId w:val="0"/>
        </w:numPr>
        <w:tabs>
          <w:tab w:val="clear" w:pos="562"/>
        </w:tabs>
        <w:ind w:right="-2"/>
        <w:rPr>
          <w:del w:id="11117" w:author="AbbVie19" w:date="2025-04-16T12:22:00Z"/>
        </w:rPr>
      </w:pPr>
    </w:p>
    <w:p w14:paraId="06DB2409" w14:textId="77777777" w:rsidR="00BC0E7E" w:rsidRPr="00BC0E7E" w:rsidRDefault="00944B8F" w:rsidP="00BC0E7E">
      <w:pPr>
        <w:rPr>
          <w:del w:id="11118" w:author="AbbVie19" w:date="2025-04-16T12:22:00Z"/>
          <w:szCs w:val="20"/>
          <w:u w:val="single"/>
        </w:rPr>
      </w:pPr>
      <w:del w:id="11119" w:author="AbbVie19" w:date="2025-04-16T12:22:00Z">
        <w:r w:rsidRPr="00BC0E7E">
          <w:rPr>
            <w:szCs w:val="20"/>
            <w:u w:val="single"/>
          </w:rPr>
          <w:delText>Ankylosing spondylitis</w:delText>
        </w:r>
        <w:r w:rsidRPr="00BC0E7E">
          <w:rPr>
            <w:szCs w:val="20"/>
          </w:rPr>
          <w:delText xml:space="preserve"> </w:delText>
        </w:r>
        <w:r w:rsidRPr="00BC0E7E">
          <w:rPr>
            <w:szCs w:val="20"/>
            <w:u w:val="single"/>
          </w:rPr>
          <w:delText>and axial spondyloarthritis without radiographic evidence of ankylosing spondylitis</w:delText>
        </w:r>
      </w:del>
    </w:p>
    <w:p w14:paraId="20021BBA" w14:textId="77777777" w:rsidR="00BC0E7E" w:rsidRPr="00BC0E7E" w:rsidRDefault="00BC0E7E" w:rsidP="00BC0E7E">
      <w:pPr>
        <w:rPr>
          <w:del w:id="11120" w:author="AbbVie19" w:date="2025-04-16T12:22:00Z"/>
          <w:szCs w:val="20"/>
        </w:rPr>
      </w:pPr>
    </w:p>
    <w:p w14:paraId="0BEE79BA" w14:textId="77777777" w:rsidR="00BC0E7E" w:rsidRPr="00BC0E7E" w:rsidRDefault="00944B8F" w:rsidP="00BC0E7E">
      <w:pPr>
        <w:rPr>
          <w:del w:id="11121" w:author="AbbVie19" w:date="2025-04-16T12:22:00Z"/>
          <w:szCs w:val="20"/>
        </w:rPr>
      </w:pPr>
      <w:del w:id="11122" w:author="AbbVie19" w:date="2025-04-16T12:22:00Z">
        <w:r w:rsidRPr="00BC0E7E">
          <w:rPr>
            <w:szCs w:val="20"/>
          </w:rPr>
          <w:delText>Ankylosing spondylitis and axial spondyloarthritis without radiographic evidence of ankylosing spondylitis, are inflammatory diseases of the spine.</w:delText>
        </w:r>
      </w:del>
    </w:p>
    <w:p w14:paraId="56C08F2A" w14:textId="77777777" w:rsidR="00BC0E7E" w:rsidRPr="00BC0E7E" w:rsidRDefault="00BC0E7E" w:rsidP="00BC0E7E">
      <w:pPr>
        <w:rPr>
          <w:del w:id="11123" w:author="AbbVie19" w:date="2025-04-16T12:22:00Z"/>
          <w:szCs w:val="20"/>
        </w:rPr>
      </w:pPr>
    </w:p>
    <w:p w14:paraId="344119BF" w14:textId="77777777" w:rsidR="00BC0E7E" w:rsidRPr="00BC0E7E" w:rsidRDefault="00944B8F" w:rsidP="00BC0E7E">
      <w:pPr>
        <w:rPr>
          <w:del w:id="11124" w:author="AbbVie19" w:date="2025-04-16T12:22:00Z"/>
          <w:szCs w:val="20"/>
        </w:rPr>
      </w:pPr>
      <w:del w:id="11125" w:author="AbbVie19" w:date="2025-04-16T12:22:00Z">
        <w:r w:rsidRPr="00BC0E7E">
          <w:rPr>
            <w:szCs w:val="20"/>
          </w:rPr>
          <w:delText>Humira is used to treat ankylosing spondylitis and axial spondyloarthritis without radiographic evidence of ankylosing spondylitis in adults. If you have ankylosing spondylitis or axial spondyloarthritis without radiographic evidence of ankylosing spondylitis, you will first be given other medicines. If you do not respond well enough to these medicines, you will be given Humira to reduce the signs and symptoms of your disease.</w:delText>
        </w:r>
      </w:del>
    </w:p>
    <w:p w14:paraId="408585E9" w14:textId="77777777" w:rsidR="00BC0E7E" w:rsidRPr="00BC0E7E" w:rsidRDefault="00BC0E7E" w:rsidP="00BC0E7E">
      <w:pPr>
        <w:rPr>
          <w:del w:id="11126" w:author="AbbVie19" w:date="2025-04-16T12:22:00Z"/>
          <w:szCs w:val="20"/>
        </w:rPr>
      </w:pPr>
    </w:p>
    <w:p w14:paraId="5D6F0719" w14:textId="77777777" w:rsidR="00BC0E7E" w:rsidRPr="00BC0E7E" w:rsidRDefault="00944B8F" w:rsidP="00BC0E7E">
      <w:pPr>
        <w:rPr>
          <w:del w:id="11127" w:author="AbbVie19" w:date="2025-04-16T12:22:00Z"/>
          <w:szCs w:val="20"/>
          <w:u w:val="single"/>
        </w:rPr>
      </w:pPr>
      <w:del w:id="11128" w:author="AbbVie19" w:date="2025-04-16T12:22:00Z">
        <w:r w:rsidRPr="00BC0E7E">
          <w:rPr>
            <w:szCs w:val="20"/>
            <w:u w:val="single"/>
          </w:rPr>
          <w:delText>Psoriatic arthritis</w:delText>
        </w:r>
      </w:del>
    </w:p>
    <w:p w14:paraId="0770208E" w14:textId="77777777" w:rsidR="00BC0E7E" w:rsidRPr="00BC0E7E" w:rsidRDefault="00BC0E7E" w:rsidP="00BC0E7E">
      <w:pPr>
        <w:rPr>
          <w:del w:id="11129" w:author="AbbVie19" w:date="2025-04-16T12:22:00Z"/>
          <w:szCs w:val="20"/>
        </w:rPr>
      </w:pPr>
    </w:p>
    <w:p w14:paraId="739D8C39" w14:textId="77777777" w:rsidR="00BC0E7E" w:rsidRPr="00BC0E7E" w:rsidRDefault="00944B8F" w:rsidP="00BC0E7E">
      <w:pPr>
        <w:rPr>
          <w:del w:id="11130" w:author="AbbVie19" w:date="2025-04-16T12:22:00Z"/>
          <w:szCs w:val="20"/>
        </w:rPr>
      </w:pPr>
      <w:del w:id="11131" w:author="AbbVie19" w:date="2025-04-16T12:22:00Z">
        <w:r w:rsidRPr="00BC0E7E">
          <w:rPr>
            <w:szCs w:val="20"/>
          </w:rPr>
          <w:delText>Psoriatic arthritis is an inflammation of the joints associated with psoriasis.</w:delText>
        </w:r>
      </w:del>
    </w:p>
    <w:p w14:paraId="7E196016" w14:textId="77777777" w:rsidR="00BC0E7E" w:rsidRPr="00BC0E7E" w:rsidRDefault="00BC0E7E" w:rsidP="00BC0E7E">
      <w:pPr>
        <w:rPr>
          <w:del w:id="11132" w:author="AbbVie19" w:date="2025-04-16T12:22:00Z"/>
          <w:szCs w:val="20"/>
        </w:rPr>
      </w:pPr>
    </w:p>
    <w:p w14:paraId="2E883616" w14:textId="77777777" w:rsidR="00BC0E7E" w:rsidRPr="00BC0E7E" w:rsidRDefault="00944B8F" w:rsidP="00BC0E7E">
      <w:pPr>
        <w:rPr>
          <w:del w:id="11133" w:author="AbbVie19" w:date="2025-04-16T12:22:00Z"/>
          <w:szCs w:val="20"/>
        </w:rPr>
      </w:pPr>
      <w:del w:id="11134" w:author="AbbVie19" w:date="2025-04-16T12:22:00Z">
        <w:r w:rsidRPr="00BC0E7E">
          <w:rPr>
            <w:szCs w:val="20"/>
          </w:rPr>
          <w:delText>Humira is used to treat psoriatic arthritis in adults. Humira has been shown to slow down the damage to the cartilage and bone of the joints caused by the disease and to improve physical function.</w:delText>
        </w:r>
      </w:del>
    </w:p>
    <w:p w14:paraId="3A8FBAD7" w14:textId="77777777" w:rsidR="00BC0E7E" w:rsidRPr="00BC0E7E" w:rsidRDefault="00BC0E7E" w:rsidP="00BC0E7E">
      <w:pPr>
        <w:rPr>
          <w:del w:id="11135" w:author="AbbVie19" w:date="2025-04-16T12:22:00Z"/>
          <w:szCs w:val="20"/>
        </w:rPr>
      </w:pPr>
    </w:p>
    <w:p w14:paraId="36FFA392" w14:textId="77777777" w:rsidR="00BC0E7E" w:rsidRPr="00BC0E7E" w:rsidRDefault="00944B8F" w:rsidP="00BC0E7E">
      <w:pPr>
        <w:tabs>
          <w:tab w:val="clear" w:pos="562"/>
        </w:tabs>
        <w:suppressAutoHyphens w:val="0"/>
        <w:overflowPunct w:val="0"/>
        <w:autoSpaceDE w:val="0"/>
        <w:autoSpaceDN w:val="0"/>
        <w:adjustRightInd w:val="0"/>
        <w:textAlignment w:val="baseline"/>
        <w:rPr>
          <w:del w:id="11136" w:author="AbbVie19" w:date="2025-04-16T12:22:00Z"/>
          <w:bCs/>
          <w:iCs/>
          <w:szCs w:val="20"/>
          <w:u w:val="single"/>
        </w:rPr>
      </w:pPr>
      <w:del w:id="11137" w:author="AbbVie19" w:date="2025-04-16T12:22:00Z">
        <w:r w:rsidRPr="00BC0E7E">
          <w:rPr>
            <w:bCs/>
            <w:iCs/>
            <w:szCs w:val="20"/>
            <w:u w:val="single"/>
          </w:rPr>
          <w:delText xml:space="preserve">Plaque psoriasis in adults and children </w:delText>
        </w:r>
      </w:del>
    </w:p>
    <w:p w14:paraId="0832ED3C" w14:textId="77777777" w:rsidR="00BC0E7E" w:rsidRPr="00BC0E7E" w:rsidRDefault="00BC0E7E" w:rsidP="00BC0E7E">
      <w:pPr>
        <w:tabs>
          <w:tab w:val="clear" w:pos="562"/>
        </w:tabs>
        <w:suppressAutoHyphens w:val="0"/>
        <w:autoSpaceDE w:val="0"/>
        <w:autoSpaceDN w:val="0"/>
        <w:adjustRightInd w:val="0"/>
        <w:rPr>
          <w:del w:id="11138" w:author="AbbVie19" w:date="2025-04-16T12:22:00Z"/>
          <w:b/>
          <w:bCs/>
          <w:szCs w:val="21"/>
        </w:rPr>
      </w:pPr>
    </w:p>
    <w:p w14:paraId="24C3DE6E" w14:textId="77777777" w:rsidR="00BC0E7E" w:rsidRPr="00BC0E7E" w:rsidRDefault="00944B8F" w:rsidP="00BC0E7E">
      <w:pPr>
        <w:numPr>
          <w:ilvl w:val="12"/>
          <w:numId w:val="0"/>
        </w:numPr>
        <w:tabs>
          <w:tab w:val="clear" w:pos="562"/>
        </w:tabs>
        <w:ind w:right="-2"/>
        <w:rPr>
          <w:del w:id="11139" w:author="AbbVie19" w:date="2025-04-16T12:22:00Z"/>
        </w:rPr>
      </w:pPr>
      <w:del w:id="11140" w:author="AbbVie19" w:date="2025-04-16T12:22:00Z">
        <w:r w:rsidRPr="00BC0E7E">
          <w:delText>Plaque psoriasis is a skin condition that causes red, flaky, crusty patches of skin covered with silvery scales. Plaque psoriasis can also affect the nails, causing them to crumble, become thickened and lift away from the nail bed which can be painful. Psoriasis is believed to be caused by a problem with the body’s immune system that leads to an increased production of skin cells.</w:delText>
        </w:r>
      </w:del>
    </w:p>
    <w:p w14:paraId="0938EE51" w14:textId="77777777" w:rsidR="00BC0E7E" w:rsidRPr="00BC0E7E" w:rsidRDefault="00BC0E7E" w:rsidP="00BC0E7E">
      <w:pPr>
        <w:rPr>
          <w:del w:id="11141" w:author="AbbVie19" w:date="2025-04-16T12:22:00Z"/>
          <w:szCs w:val="21"/>
        </w:rPr>
      </w:pPr>
    </w:p>
    <w:p w14:paraId="681B506C" w14:textId="77777777" w:rsidR="00BC0E7E" w:rsidRPr="00BC0E7E" w:rsidRDefault="00944B8F" w:rsidP="00BC0E7E">
      <w:pPr>
        <w:rPr>
          <w:del w:id="11142" w:author="AbbVie19" w:date="2025-04-16T12:22:00Z"/>
          <w:szCs w:val="21"/>
        </w:rPr>
      </w:pPr>
      <w:del w:id="11143" w:author="AbbVie19" w:date="2025-04-16T12:22:00Z">
        <w:r w:rsidRPr="00BC0E7E">
          <w:rPr>
            <w:szCs w:val="21"/>
          </w:rPr>
          <w:lastRenderedPageBreak/>
          <w:delText xml:space="preserve">Humira is used to treat moderate to severe plaque psoriasis in adults. </w:delText>
        </w:r>
        <w:r w:rsidRPr="00BC0E7E">
          <w:rPr>
            <w:szCs w:val="20"/>
          </w:rPr>
          <w:delText>Humira is also used to treat severe plaque psoriasis in children and adolescents aged 4 to 17 years for whom topical therapy and phototherapies have either not worked very well or are not suitable.</w:delText>
        </w:r>
      </w:del>
    </w:p>
    <w:p w14:paraId="7AE92582" w14:textId="77777777" w:rsidR="00BC0E7E" w:rsidRPr="00BC0E7E" w:rsidRDefault="00BC0E7E" w:rsidP="00BC0E7E">
      <w:pPr>
        <w:numPr>
          <w:ilvl w:val="12"/>
          <w:numId w:val="0"/>
        </w:numPr>
        <w:tabs>
          <w:tab w:val="clear" w:pos="562"/>
        </w:tabs>
        <w:ind w:right="-2"/>
        <w:rPr>
          <w:del w:id="11144" w:author="AbbVie19" w:date="2025-04-16T12:22:00Z"/>
        </w:rPr>
      </w:pPr>
    </w:p>
    <w:p w14:paraId="5D50EA1B" w14:textId="77777777" w:rsidR="00BC0E7E" w:rsidRPr="00BC0E7E" w:rsidRDefault="00944B8F" w:rsidP="00BC0E7E">
      <w:pPr>
        <w:numPr>
          <w:ilvl w:val="12"/>
          <w:numId w:val="0"/>
        </w:numPr>
        <w:tabs>
          <w:tab w:val="clear" w:pos="562"/>
        </w:tabs>
        <w:ind w:right="-2"/>
        <w:rPr>
          <w:del w:id="11145" w:author="AbbVie19" w:date="2025-04-16T12:22:00Z"/>
          <w:u w:val="single"/>
        </w:rPr>
      </w:pPr>
      <w:del w:id="11146" w:author="AbbVie19" w:date="2025-04-16T12:22:00Z">
        <w:r w:rsidRPr="00BC0E7E">
          <w:rPr>
            <w:u w:val="single"/>
          </w:rPr>
          <w:delText xml:space="preserve">Hidradenitis suppurativa </w:delText>
        </w:r>
        <w:r w:rsidRPr="00BC0E7E">
          <w:rPr>
            <w:szCs w:val="21"/>
            <w:u w:val="single"/>
          </w:rPr>
          <w:delText>in adults and adolescents</w:delText>
        </w:r>
      </w:del>
    </w:p>
    <w:p w14:paraId="0431EDA5" w14:textId="77777777" w:rsidR="00BC0E7E" w:rsidRPr="00BC0E7E" w:rsidRDefault="00BC0E7E" w:rsidP="00BC0E7E">
      <w:pPr>
        <w:numPr>
          <w:ilvl w:val="12"/>
          <w:numId w:val="0"/>
        </w:numPr>
        <w:tabs>
          <w:tab w:val="clear" w:pos="562"/>
        </w:tabs>
        <w:ind w:right="-2"/>
        <w:rPr>
          <w:del w:id="11147" w:author="AbbVie19" w:date="2025-04-16T12:22:00Z"/>
        </w:rPr>
      </w:pPr>
    </w:p>
    <w:p w14:paraId="0A7692A2" w14:textId="77777777" w:rsidR="00BC0E7E" w:rsidRPr="00BC0E7E" w:rsidRDefault="00944B8F" w:rsidP="00BC0E7E">
      <w:pPr>
        <w:numPr>
          <w:ilvl w:val="12"/>
          <w:numId w:val="0"/>
        </w:numPr>
        <w:tabs>
          <w:tab w:val="clear" w:pos="562"/>
        </w:tabs>
        <w:ind w:right="-2"/>
        <w:rPr>
          <w:del w:id="11148" w:author="AbbVie19" w:date="2025-04-16T12:22:00Z"/>
        </w:rPr>
      </w:pPr>
      <w:del w:id="11149" w:author="AbbVie19" w:date="2025-04-16T12:22:00Z">
        <w:r w:rsidRPr="00BC0E7E">
          <w:delText xml:space="preserve">Hidradenitis suppurativa (sometimes called acne inversa) is a chronic and often painful inflammatory skin disease. Symptoms may include tender nodules (lumps) and abscesses (boils) that may leak pus. It most commonly affects specific areas of the skin, such as </w:delText>
        </w:r>
        <w:r>
          <w:fldChar w:fldCharType="begin"/>
        </w:r>
        <w:r>
          <w:delInstrText>HYPERLINK "http://en.wikipedia.org/wiki/Inframammary_fold"</w:delInstrText>
        </w:r>
        <w:r>
          <w:fldChar w:fldCharType="separate"/>
        </w:r>
        <w:r w:rsidRPr="00BC0E7E">
          <w:delText>under the breasts</w:delText>
        </w:r>
        <w:r>
          <w:fldChar w:fldCharType="end"/>
        </w:r>
        <w:r w:rsidRPr="00BC0E7E">
          <w:delText>, the armpits, inner thighs, groin and buttocks. Scarring may also occur in affected areas.</w:delText>
        </w:r>
      </w:del>
    </w:p>
    <w:p w14:paraId="01E41378" w14:textId="77777777" w:rsidR="00BC0E7E" w:rsidRPr="00BC0E7E" w:rsidRDefault="00BC0E7E" w:rsidP="00BC0E7E">
      <w:pPr>
        <w:numPr>
          <w:ilvl w:val="12"/>
          <w:numId w:val="0"/>
        </w:numPr>
        <w:tabs>
          <w:tab w:val="clear" w:pos="562"/>
        </w:tabs>
        <w:ind w:right="-2"/>
        <w:rPr>
          <w:del w:id="11150" w:author="AbbVie19" w:date="2025-04-16T12:22:00Z"/>
        </w:rPr>
      </w:pPr>
    </w:p>
    <w:p w14:paraId="25CB8211" w14:textId="77777777" w:rsidR="00BC0E7E" w:rsidRPr="00BC0E7E" w:rsidRDefault="00944B8F" w:rsidP="00BC0E7E">
      <w:pPr>
        <w:numPr>
          <w:ilvl w:val="12"/>
          <w:numId w:val="0"/>
        </w:numPr>
        <w:tabs>
          <w:tab w:val="clear" w:pos="562"/>
        </w:tabs>
        <w:ind w:right="-2"/>
        <w:rPr>
          <w:del w:id="11151" w:author="AbbVie19" w:date="2025-04-16T12:22:00Z"/>
        </w:rPr>
      </w:pPr>
      <w:del w:id="11152" w:author="AbbVie19" w:date="2025-04-16T12:22:00Z">
        <w:r w:rsidRPr="00BC0E7E">
          <w:delText xml:space="preserve">Humira is used to treat hidradenitis suppurativa in adults </w:delText>
        </w:r>
        <w:r w:rsidRPr="00BC0E7E">
          <w:rPr>
            <w:szCs w:val="22"/>
          </w:rPr>
          <w:delText>and adolescents from 12 years of age</w:delText>
        </w:r>
        <w:r w:rsidRPr="00BC0E7E">
          <w:delText>. Humira can reduce the number of nodules and abscesses you have and the pain that is often associated with the disease. You may first be given other medicines. If you do not respond well enough to these medicines, you will be given Humira.</w:delText>
        </w:r>
      </w:del>
    </w:p>
    <w:p w14:paraId="0B4984BF" w14:textId="77777777" w:rsidR="00BC0E7E" w:rsidRPr="00BC0E7E" w:rsidRDefault="00BC0E7E" w:rsidP="00BC0E7E">
      <w:pPr>
        <w:rPr>
          <w:del w:id="11153" w:author="AbbVie19" w:date="2025-04-16T12:22:00Z"/>
          <w:szCs w:val="20"/>
        </w:rPr>
      </w:pPr>
    </w:p>
    <w:p w14:paraId="1E765134" w14:textId="77777777" w:rsidR="00BC0E7E" w:rsidRPr="00BC0E7E" w:rsidRDefault="00944B8F" w:rsidP="00BC0E7E">
      <w:pPr>
        <w:keepNext/>
        <w:rPr>
          <w:del w:id="11154" w:author="AbbVie19" w:date="2025-04-16T12:22:00Z"/>
          <w:szCs w:val="20"/>
          <w:u w:val="single"/>
        </w:rPr>
      </w:pPr>
      <w:del w:id="11155" w:author="AbbVie19" w:date="2025-04-16T12:22:00Z">
        <w:r w:rsidRPr="00BC0E7E">
          <w:rPr>
            <w:szCs w:val="20"/>
            <w:u w:val="single"/>
          </w:rPr>
          <w:delText>Crohn’s disease in adults and children</w:delText>
        </w:r>
      </w:del>
    </w:p>
    <w:p w14:paraId="3C160C1C" w14:textId="77777777" w:rsidR="00BC0E7E" w:rsidRPr="00BC0E7E" w:rsidRDefault="00BC0E7E" w:rsidP="00BC0E7E">
      <w:pPr>
        <w:keepNext/>
        <w:rPr>
          <w:del w:id="11156" w:author="AbbVie19" w:date="2025-04-16T12:22:00Z"/>
          <w:szCs w:val="20"/>
        </w:rPr>
      </w:pPr>
    </w:p>
    <w:p w14:paraId="34DB6E4E" w14:textId="77777777" w:rsidR="00BC0E7E" w:rsidRPr="00BC0E7E" w:rsidRDefault="00944B8F" w:rsidP="00BC0E7E">
      <w:pPr>
        <w:keepNext/>
        <w:rPr>
          <w:del w:id="11157" w:author="AbbVie19" w:date="2025-04-16T12:22:00Z"/>
          <w:szCs w:val="20"/>
        </w:rPr>
      </w:pPr>
      <w:del w:id="11158" w:author="AbbVie19" w:date="2025-04-16T12:22:00Z">
        <w:r w:rsidRPr="00BC0E7E">
          <w:rPr>
            <w:szCs w:val="20"/>
          </w:rPr>
          <w:delText>Crohn’s disease is an inflammatory disease of the digestive tract.</w:delText>
        </w:r>
      </w:del>
    </w:p>
    <w:p w14:paraId="612381E6" w14:textId="77777777" w:rsidR="00BC0E7E" w:rsidRPr="00BC0E7E" w:rsidRDefault="00BC0E7E" w:rsidP="00BC0E7E">
      <w:pPr>
        <w:rPr>
          <w:del w:id="11159" w:author="AbbVie19" w:date="2025-04-16T12:22:00Z"/>
          <w:szCs w:val="20"/>
        </w:rPr>
      </w:pPr>
    </w:p>
    <w:p w14:paraId="2A3B2D0C" w14:textId="77777777" w:rsidR="00BC0E7E" w:rsidRPr="00BC0E7E" w:rsidRDefault="00944B8F" w:rsidP="00BC0E7E">
      <w:pPr>
        <w:rPr>
          <w:del w:id="11160" w:author="AbbVie19" w:date="2025-04-16T12:22:00Z"/>
          <w:szCs w:val="20"/>
        </w:rPr>
      </w:pPr>
      <w:del w:id="11161" w:author="AbbVie19" w:date="2025-04-16T12:22:00Z">
        <w:r w:rsidRPr="00BC0E7E">
          <w:rPr>
            <w:szCs w:val="20"/>
          </w:rPr>
          <w:delText>Humira is used to treat Crohn’s disease in adults</w:delText>
        </w:r>
        <w:r w:rsidRPr="00BC0E7E">
          <w:rPr>
            <w:szCs w:val="21"/>
          </w:rPr>
          <w:delText xml:space="preserve"> and children aged 6 to 17 years</w:delText>
        </w:r>
        <w:r w:rsidRPr="00BC0E7E">
          <w:rPr>
            <w:szCs w:val="20"/>
          </w:rPr>
          <w:delText>. If you have Crohn’s disease you will first be given other medicines. If you do not respond well enough to these medicines, you will be given Humira to reduce the signs and symptoms of your Crohn’s disease.</w:delText>
        </w:r>
      </w:del>
    </w:p>
    <w:p w14:paraId="3B3BECB1" w14:textId="77777777" w:rsidR="00BC0E7E" w:rsidRPr="00BC0E7E" w:rsidRDefault="00BC0E7E" w:rsidP="00BC0E7E">
      <w:pPr>
        <w:keepNext/>
        <w:rPr>
          <w:del w:id="11162" w:author="AbbVie19" w:date="2025-04-16T12:22:00Z"/>
          <w:szCs w:val="21"/>
          <w:u w:val="single"/>
        </w:rPr>
      </w:pPr>
    </w:p>
    <w:p w14:paraId="04F41926" w14:textId="77777777" w:rsidR="00BC0E7E" w:rsidRPr="00BC0E7E" w:rsidRDefault="00944B8F" w:rsidP="00BC0E7E">
      <w:pPr>
        <w:keepNext/>
        <w:rPr>
          <w:del w:id="11163" w:author="AbbVie19" w:date="2025-04-16T12:22:00Z"/>
          <w:szCs w:val="21"/>
          <w:u w:val="single"/>
        </w:rPr>
      </w:pPr>
      <w:del w:id="11164" w:author="AbbVie19" w:date="2025-04-16T12:22:00Z">
        <w:r w:rsidRPr="00BC0E7E">
          <w:rPr>
            <w:szCs w:val="21"/>
            <w:u w:val="single"/>
          </w:rPr>
          <w:delText>Ulcerative colitis</w:delText>
        </w:r>
        <w:r w:rsidR="00D6015D" w:rsidRPr="00D6015D">
          <w:rPr>
            <w:szCs w:val="21"/>
            <w:u w:val="single"/>
          </w:rPr>
          <w:delText xml:space="preserve"> </w:delText>
        </w:r>
        <w:r w:rsidR="00D6015D">
          <w:rPr>
            <w:szCs w:val="21"/>
            <w:u w:val="single"/>
          </w:rPr>
          <w:delText>in adults and children</w:delText>
        </w:r>
      </w:del>
    </w:p>
    <w:p w14:paraId="237567ED" w14:textId="77777777" w:rsidR="00BC0E7E" w:rsidRPr="00BC0E7E" w:rsidRDefault="00BC0E7E" w:rsidP="00BC0E7E">
      <w:pPr>
        <w:keepNext/>
        <w:rPr>
          <w:del w:id="11165" w:author="AbbVie19" w:date="2025-04-16T12:22:00Z"/>
          <w:szCs w:val="21"/>
        </w:rPr>
      </w:pPr>
    </w:p>
    <w:p w14:paraId="6A20AD83" w14:textId="77777777" w:rsidR="00BC0E7E" w:rsidRPr="00BC0E7E" w:rsidRDefault="00944B8F" w:rsidP="00BC0E7E">
      <w:pPr>
        <w:keepNext/>
        <w:rPr>
          <w:del w:id="11166" w:author="AbbVie19" w:date="2025-04-16T12:22:00Z"/>
          <w:szCs w:val="21"/>
        </w:rPr>
      </w:pPr>
      <w:del w:id="11167" w:author="AbbVie19" w:date="2025-04-16T12:22:00Z">
        <w:r w:rsidRPr="00BC0E7E">
          <w:rPr>
            <w:szCs w:val="21"/>
          </w:rPr>
          <w:delText xml:space="preserve">Ulcerative colitis is an inflammatory disease of the </w:delText>
        </w:r>
        <w:r w:rsidR="00B87123">
          <w:rPr>
            <w:szCs w:val="21"/>
          </w:rPr>
          <w:delText>large intestine</w:delText>
        </w:r>
        <w:r w:rsidRPr="00BC0E7E">
          <w:rPr>
            <w:szCs w:val="21"/>
          </w:rPr>
          <w:delText>.</w:delText>
        </w:r>
      </w:del>
    </w:p>
    <w:p w14:paraId="02AD6032" w14:textId="77777777" w:rsidR="00BC0E7E" w:rsidRPr="00BC0E7E" w:rsidRDefault="00BC0E7E" w:rsidP="00BC0E7E">
      <w:pPr>
        <w:rPr>
          <w:del w:id="11168" w:author="AbbVie19" w:date="2025-04-16T12:22:00Z"/>
          <w:szCs w:val="21"/>
        </w:rPr>
      </w:pPr>
    </w:p>
    <w:p w14:paraId="50501D54" w14:textId="77777777" w:rsidR="00BC0E7E" w:rsidRPr="00BC0E7E" w:rsidRDefault="00944B8F" w:rsidP="00BC0E7E">
      <w:pPr>
        <w:rPr>
          <w:del w:id="11169" w:author="AbbVie19" w:date="2025-04-16T12:22:00Z"/>
          <w:szCs w:val="21"/>
        </w:rPr>
      </w:pPr>
      <w:del w:id="11170" w:author="AbbVie19" w:date="2025-04-16T12:22:00Z">
        <w:r w:rsidRPr="00BC0E7E">
          <w:rPr>
            <w:szCs w:val="21"/>
          </w:rPr>
          <w:delText>Humira is used to treat</w:delText>
        </w:r>
        <w:r w:rsidR="002F4681">
          <w:rPr>
            <w:szCs w:val="21"/>
          </w:rPr>
          <w:delText xml:space="preserve"> moderate to severe</w:delText>
        </w:r>
        <w:r w:rsidRPr="00BC0E7E">
          <w:rPr>
            <w:szCs w:val="21"/>
          </w:rPr>
          <w:delText xml:space="preserve"> ulcerative colitis in adults</w:delText>
        </w:r>
        <w:r w:rsidR="003817E4" w:rsidRPr="003817E4">
          <w:rPr>
            <w:szCs w:val="21"/>
          </w:rPr>
          <w:delText xml:space="preserve"> </w:delText>
        </w:r>
        <w:r w:rsidR="003817E4">
          <w:rPr>
            <w:szCs w:val="21"/>
          </w:rPr>
          <w:delText>and children aged 6 to 17 years</w:delText>
        </w:r>
        <w:r w:rsidRPr="00BC0E7E">
          <w:rPr>
            <w:szCs w:val="21"/>
          </w:rPr>
          <w:delText xml:space="preserve">. If you have ulcerative colitis you </w:delText>
        </w:r>
        <w:r w:rsidR="00B87123">
          <w:rPr>
            <w:szCs w:val="21"/>
          </w:rPr>
          <w:delText>may</w:delText>
        </w:r>
        <w:r w:rsidRPr="00BC0E7E">
          <w:rPr>
            <w:szCs w:val="21"/>
          </w:rPr>
          <w:delText xml:space="preserve"> first be given other medicines. If you do not respond well enough to these medicines, you will be given Humira to reduce the signs and symptoms of your disease.</w:delText>
        </w:r>
      </w:del>
    </w:p>
    <w:p w14:paraId="2C81FE14" w14:textId="77777777" w:rsidR="00BC0E7E" w:rsidRPr="00BC0E7E" w:rsidRDefault="00BC0E7E" w:rsidP="00BC0E7E">
      <w:pPr>
        <w:rPr>
          <w:del w:id="11171" w:author="AbbVie19" w:date="2025-04-16T12:22:00Z"/>
          <w:szCs w:val="20"/>
        </w:rPr>
      </w:pPr>
    </w:p>
    <w:p w14:paraId="11FD1897" w14:textId="77777777" w:rsidR="00BC0E7E" w:rsidRPr="00BC0E7E" w:rsidRDefault="00944B8F" w:rsidP="00BC0E7E">
      <w:pPr>
        <w:rPr>
          <w:del w:id="11172" w:author="AbbVie19" w:date="2025-04-16T12:22:00Z"/>
          <w:szCs w:val="20"/>
          <w:u w:val="single"/>
        </w:rPr>
      </w:pPr>
      <w:del w:id="11173" w:author="AbbVie19" w:date="2025-04-16T12:22:00Z">
        <w:r w:rsidRPr="00BC0E7E">
          <w:rPr>
            <w:szCs w:val="21"/>
            <w:u w:val="single"/>
          </w:rPr>
          <w:delText xml:space="preserve">Non-infectious uveitis </w:delText>
        </w:r>
        <w:r w:rsidRPr="00BC0E7E">
          <w:rPr>
            <w:szCs w:val="20"/>
            <w:u w:val="single"/>
          </w:rPr>
          <w:delText>in adults and children</w:delText>
        </w:r>
      </w:del>
    </w:p>
    <w:p w14:paraId="35A50BBC" w14:textId="77777777" w:rsidR="00BC0E7E" w:rsidRPr="00BC0E7E" w:rsidRDefault="00BC0E7E" w:rsidP="00BC0E7E">
      <w:pPr>
        <w:rPr>
          <w:del w:id="11174" w:author="AbbVie19" w:date="2025-04-16T12:22:00Z"/>
          <w:b/>
          <w:i/>
          <w:szCs w:val="20"/>
          <w:u w:val="single"/>
        </w:rPr>
      </w:pPr>
    </w:p>
    <w:p w14:paraId="17BFEB97" w14:textId="77777777" w:rsidR="00BC0E7E" w:rsidRPr="00BC0E7E" w:rsidRDefault="00944B8F" w:rsidP="00BC0E7E">
      <w:pPr>
        <w:rPr>
          <w:del w:id="11175" w:author="AbbVie19" w:date="2025-04-16T12:22:00Z"/>
          <w:szCs w:val="20"/>
          <w:lang w:val="x-none"/>
        </w:rPr>
      </w:pPr>
      <w:del w:id="11176" w:author="AbbVie19" w:date="2025-04-16T12:22:00Z">
        <w:r w:rsidRPr="00BC0E7E">
          <w:rPr>
            <w:szCs w:val="20"/>
            <w:lang w:val="x-none"/>
          </w:rPr>
          <w:delText>Non-infectious uveitis is an inflammatory disease affecting certain parts of the eye.</w:delText>
        </w:r>
      </w:del>
    </w:p>
    <w:p w14:paraId="38BDAD7D" w14:textId="77777777" w:rsidR="00BC0E7E" w:rsidRPr="00BC0E7E" w:rsidRDefault="00BC0E7E" w:rsidP="00BC0E7E">
      <w:pPr>
        <w:rPr>
          <w:del w:id="11177" w:author="AbbVie19" w:date="2025-04-16T12:22:00Z"/>
          <w:b/>
          <w:szCs w:val="20"/>
          <w:u w:val="single"/>
        </w:rPr>
      </w:pPr>
    </w:p>
    <w:p w14:paraId="5FB55FA3" w14:textId="77777777" w:rsidR="00BC0E7E" w:rsidRPr="00BC0E7E" w:rsidRDefault="00944B8F" w:rsidP="00BC0E7E">
      <w:pPr>
        <w:rPr>
          <w:del w:id="11178" w:author="AbbVie19" w:date="2025-04-16T12:22:00Z"/>
          <w:szCs w:val="20"/>
        </w:rPr>
      </w:pPr>
      <w:del w:id="11179" w:author="AbbVie19" w:date="2025-04-16T12:22:00Z">
        <w:r w:rsidRPr="00BC0E7E">
          <w:rPr>
            <w:szCs w:val="20"/>
          </w:rPr>
          <w:delText xml:space="preserve">Humira is used to treat </w:delText>
        </w:r>
      </w:del>
    </w:p>
    <w:p w14:paraId="4C22D824" w14:textId="77777777" w:rsidR="00BC0E7E" w:rsidRPr="00BC0E7E" w:rsidRDefault="00944B8F" w:rsidP="00D51999">
      <w:pPr>
        <w:numPr>
          <w:ilvl w:val="0"/>
          <w:numId w:val="56"/>
        </w:numPr>
        <w:tabs>
          <w:tab w:val="clear" w:pos="562"/>
          <w:tab w:val="left" w:pos="720"/>
        </w:tabs>
        <w:rPr>
          <w:del w:id="11180" w:author="AbbVie19" w:date="2025-04-16T12:22:00Z"/>
          <w:szCs w:val="20"/>
        </w:rPr>
      </w:pPr>
      <w:del w:id="11181" w:author="AbbVie19" w:date="2025-04-16T12:22:00Z">
        <w:r w:rsidRPr="00BC0E7E">
          <w:rPr>
            <w:szCs w:val="20"/>
          </w:rPr>
          <w:delText>Adults with non-infectious uveitis with inflammation affecting the back of the eye</w:delText>
        </w:r>
      </w:del>
    </w:p>
    <w:p w14:paraId="6FCAB471" w14:textId="77777777" w:rsidR="00BC0E7E" w:rsidRPr="00BC0E7E" w:rsidRDefault="00944B8F" w:rsidP="00D51999">
      <w:pPr>
        <w:numPr>
          <w:ilvl w:val="0"/>
          <w:numId w:val="56"/>
        </w:numPr>
        <w:tabs>
          <w:tab w:val="clear" w:pos="562"/>
          <w:tab w:val="left" w:pos="720"/>
        </w:tabs>
        <w:rPr>
          <w:del w:id="11182" w:author="AbbVie19" w:date="2025-04-16T12:22:00Z"/>
          <w:szCs w:val="20"/>
        </w:rPr>
      </w:pPr>
      <w:del w:id="11183" w:author="AbbVie19" w:date="2025-04-16T12:22:00Z">
        <w:r w:rsidRPr="00BC0E7E">
          <w:rPr>
            <w:szCs w:val="20"/>
          </w:rPr>
          <w:delText xml:space="preserve">Children from 2 years of age with chronic non-infectious uveitis with inflammation affecting the front of the eye </w:delText>
        </w:r>
      </w:del>
    </w:p>
    <w:p w14:paraId="4E794B4F" w14:textId="77777777" w:rsidR="00BC0E7E" w:rsidRPr="00BC0E7E" w:rsidRDefault="00BC0E7E" w:rsidP="00BC0E7E">
      <w:pPr>
        <w:rPr>
          <w:del w:id="11184" w:author="AbbVie19" w:date="2025-04-16T12:22:00Z"/>
          <w:szCs w:val="20"/>
        </w:rPr>
      </w:pPr>
    </w:p>
    <w:p w14:paraId="1E4B0412" w14:textId="77777777" w:rsidR="00BC0E7E" w:rsidRPr="00BC0E7E" w:rsidRDefault="00944B8F" w:rsidP="00BC0E7E">
      <w:pPr>
        <w:rPr>
          <w:del w:id="11185" w:author="AbbVie19" w:date="2025-04-16T12:22:00Z"/>
          <w:szCs w:val="20"/>
        </w:rPr>
      </w:pPr>
      <w:del w:id="11186" w:author="AbbVie19" w:date="2025-04-16T12:22:00Z">
        <w:r w:rsidRPr="00BC0E7E">
          <w:rPr>
            <w:szCs w:val="20"/>
          </w:rPr>
          <w:delText>This inflammation may lead to a decrease of vision and/or the presence of floaters in the eye (black dots or wispy lines that move across the field of vision). Humira works by reducing this inflammation.</w:delText>
        </w:r>
      </w:del>
    </w:p>
    <w:p w14:paraId="3EE7EF5F" w14:textId="77777777" w:rsidR="00BC0E7E" w:rsidRPr="00BC0E7E" w:rsidRDefault="00BC0E7E" w:rsidP="00BC0E7E">
      <w:pPr>
        <w:rPr>
          <w:del w:id="11187" w:author="AbbVie19" w:date="2025-04-16T12:22:00Z"/>
          <w:szCs w:val="20"/>
        </w:rPr>
      </w:pPr>
    </w:p>
    <w:p w14:paraId="62D6D844" w14:textId="77777777" w:rsidR="00BC0E7E" w:rsidRPr="00BC0E7E" w:rsidRDefault="00BC0E7E" w:rsidP="00BC0E7E">
      <w:pPr>
        <w:rPr>
          <w:del w:id="11188" w:author="AbbVie19" w:date="2025-04-16T12:22:00Z"/>
          <w:szCs w:val="20"/>
        </w:rPr>
      </w:pPr>
    </w:p>
    <w:p w14:paraId="673390DA" w14:textId="77777777" w:rsidR="00BC0E7E" w:rsidRPr="00BC0E7E" w:rsidRDefault="00944B8F" w:rsidP="00BC0E7E">
      <w:pPr>
        <w:outlineLvl w:val="0"/>
        <w:rPr>
          <w:del w:id="11189" w:author="AbbVie19" w:date="2025-04-16T12:22:00Z"/>
          <w:b/>
          <w:caps/>
          <w:szCs w:val="20"/>
        </w:rPr>
      </w:pPr>
      <w:del w:id="11190" w:author="AbbVie19" w:date="2025-04-16T12:22:00Z">
        <w:r w:rsidRPr="00BC0E7E">
          <w:rPr>
            <w:b/>
            <w:caps/>
            <w:szCs w:val="20"/>
          </w:rPr>
          <w:delText>2.</w:delText>
        </w:r>
        <w:r w:rsidRPr="00BC0E7E">
          <w:rPr>
            <w:b/>
            <w:caps/>
            <w:szCs w:val="20"/>
          </w:rPr>
          <w:tab/>
        </w:r>
        <w:r w:rsidRPr="00BC0E7E">
          <w:rPr>
            <w:b/>
            <w:szCs w:val="20"/>
          </w:rPr>
          <w:delText xml:space="preserve">What you need to know before you use </w:delText>
        </w:r>
        <w:r w:rsidR="00B21C8B">
          <w:rPr>
            <w:b/>
            <w:szCs w:val="20"/>
          </w:rPr>
          <w:delText>H</w:delText>
        </w:r>
        <w:r w:rsidRPr="00BC0E7E">
          <w:rPr>
            <w:b/>
            <w:szCs w:val="20"/>
          </w:rPr>
          <w:delText>umira</w:delText>
        </w:r>
      </w:del>
    </w:p>
    <w:p w14:paraId="4048E778" w14:textId="77777777" w:rsidR="00BC0E7E" w:rsidRPr="00BC0E7E" w:rsidRDefault="00BC0E7E" w:rsidP="00BC0E7E">
      <w:pPr>
        <w:rPr>
          <w:del w:id="11191" w:author="AbbVie19" w:date="2025-04-16T12:22:00Z"/>
          <w:szCs w:val="20"/>
        </w:rPr>
      </w:pPr>
    </w:p>
    <w:p w14:paraId="47E4AC21" w14:textId="77777777" w:rsidR="00BC0E7E" w:rsidRPr="00BC0E7E" w:rsidRDefault="00944B8F" w:rsidP="00BC0E7E">
      <w:pPr>
        <w:rPr>
          <w:del w:id="11192" w:author="AbbVie19" w:date="2025-04-16T12:22:00Z"/>
          <w:szCs w:val="20"/>
        </w:rPr>
      </w:pPr>
      <w:del w:id="11193" w:author="AbbVie19" w:date="2025-04-16T12:22:00Z">
        <w:r w:rsidRPr="00BC0E7E">
          <w:rPr>
            <w:b/>
            <w:bCs/>
            <w:szCs w:val="20"/>
          </w:rPr>
          <w:delText>Do not use Humira</w:delText>
        </w:r>
      </w:del>
    </w:p>
    <w:p w14:paraId="2AAC370C" w14:textId="77777777" w:rsidR="00BC0E7E" w:rsidRPr="00BC0E7E" w:rsidRDefault="00BC0E7E" w:rsidP="00BC0E7E">
      <w:pPr>
        <w:tabs>
          <w:tab w:val="clear" w:pos="562"/>
          <w:tab w:val="num" w:pos="360"/>
          <w:tab w:val="num" w:pos="550"/>
        </w:tabs>
        <w:ind w:left="550" w:hanging="550"/>
        <w:rPr>
          <w:del w:id="11194" w:author="AbbVie19" w:date="2025-04-16T12:22:00Z"/>
          <w:szCs w:val="20"/>
        </w:rPr>
      </w:pPr>
    </w:p>
    <w:p w14:paraId="2BC87EA8" w14:textId="77777777" w:rsidR="00BC0E7E" w:rsidRPr="00BC0E7E" w:rsidRDefault="00944B8F" w:rsidP="00D51999">
      <w:pPr>
        <w:numPr>
          <w:ilvl w:val="0"/>
          <w:numId w:val="56"/>
        </w:numPr>
        <w:tabs>
          <w:tab w:val="clear" w:pos="562"/>
          <w:tab w:val="left" w:pos="720"/>
        </w:tabs>
        <w:rPr>
          <w:del w:id="11195" w:author="AbbVie19" w:date="2025-04-16T12:22:00Z"/>
          <w:szCs w:val="20"/>
        </w:rPr>
      </w:pPr>
      <w:del w:id="11196" w:author="AbbVie19" w:date="2025-04-16T12:22:00Z">
        <w:r w:rsidRPr="00BC0E7E">
          <w:rPr>
            <w:szCs w:val="20"/>
          </w:rPr>
          <w:delText xml:space="preserve">If you are allergic to adalimumab or any of the other ingredients of this medicine (listed in section 6). </w:delText>
        </w:r>
      </w:del>
    </w:p>
    <w:p w14:paraId="45AFCED2" w14:textId="77777777" w:rsidR="00BC0E7E" w:rsidRPr="00BC0E7E" w:rsidRDefault="00BC0E7E" w:rsidP="00BC0E7E">
      <w:pPr>
        <w:tabs>
          <w:tab w:val="clear" w:pos="562"/>
          <w:tab w:val="num" w:pos="360"/>
          <w:tab w:val="num" w:pos="550"/>
        </w:tabs>
        <w:ind w:left="550" w:hanging="550"/>
        <w:rPr>
          <w:del w:id="11197" w:author="AbbVie19" w:date="2025-04-16T12:22:00Z"/>
          <w:szCs w:val="20"/>
        </w:rPr>
      </w:pPr>
    </w:p>
    <w:p w14:paraId="049E1553" w14:textId="77777777" w:rsidR="00BC0E7E" w:rsidRPr="00BC0E7E" w:rsidRDefault="00944B8F" w:rsidP="00D51999">
      <w:pPr>
        <w:numPr>
          <w:ilvl w:val="0"/>
          <w:numId w:val="56"/>
        </w:numPr>
        <w:tabs>
          <w:tab w:val="clear" w:pos="562"/>
          <w:tab w:val="left" w:pos="720"/>
        </w:tabs>
        <w:rPr>
          <w:del w:id="11198" w:author="AbbVie19" w:date="2025-04-16T12:22:00Z"/>
          <w:szCs w:val="20"/>
        </w:rPr>
      </w:pPr>
      <w:del w:id="11199" w:author="AbbVie19" w:date="2025-04-16T12:22:00Z">
        <w:r w:rsidRPr="00BC0E7E">
          <w:rPr>
            <w:szCs w:val="20"/>
          </w:rPr>
          <w:lastRenderedPageBreak/>
          <w:delText>If you have a severe infection, including active tuberculosis (see Warnings and precautions”). It is important that you tell your doctor if you have symptoms of infections, e.g. fever, wounds, feeling tired, dental problems.</w:delText>
        </w:r>
      </w:del>
    </w:p>
    <w:p w14:paraId="3FA4CC1F" w14:textId="77777777" w:rsidR="00BC0E7E" w:rsidRPr="00BC0E7E" w:rsidRDefault="00BC0E7E" w:rsidP="00BC0E7E">
      <w:pPr>
        <w:rPr>
          <w:del w:id="11200" w:author="AbbVie19" w:date="2025-04-16T12:22:00Z"/>
          <w:szCs w:val="20"/>
        </w:rPr>
      </w:pPr>
    </w:p>
    <w:p w14:paraId="3037993B" w14:textId="77777777" w:rsidR="00BC0E7E" w:rsidRPr="00BC0E7E" w:rsidRDefault="00944B8F" w:rsidP="00D51999">
      <w:pPr>
        <w:numPr>
          <w:ilvl w:val="0"/>
          <w:numId w:val="56"/>
        </w:numPr>
        <w:tabs>
          <w:tab w:val="clear" w:pos="562"/>
          <w:tab w:val="left" w:pos="720"/>
        </w:tabs>
        <w:rPr>
          <w:del w:id="11201" w:author="AbbVie19" w:date="2025-04-16T12:22:00Z"/>
          <w:szCs w:val="20"/>
        </w:rPr>
      </w:pPr>
      <w:del w:id="11202" w:author="AbbVie19" w:date="2025-04-16T12:22:00Z">
        <w:r w:rsidRPr="00BC0E7E">
          <w:rPr>
            <w:szCs w:val="20"/>
          </w:rPr>
          <w:delText>If you have moderate or severe heart failure. It is important to tell your doctor if you have had or have a serious heart condition (see “Warnings and precautions”).</w:delText>
        </w:r>
      </w:del>
    </w:p>
    <w:p w14:paraId="5FFE2959" w14:textId="77777777" w:rsidR="00BC0E7E" w:rsidRPr="00BC0E7E" w:rsidRDefault="00BC0E7E" w:rsidP="00BC0E7E">
      <w:pPr>
        <w:rPr>
          <w:del w:id="11203" w:author="AbbVie19" w:date="2025-04-16T12:22:00Z"/>
          <w:szCs w:val="20"/>
        </w:rPr>
      </w:pPr>
    </w:p>
    <w:p w14:paraId="34852F06" w14:textId="77777777" w:rsidR="00BC0E7E" w:rsidRPr="00BC0E7E" w:rsidRDefault="00944B8F" w:rsidP="00BC0E7E">
      <w:pPr>
        <w:rPr>
          <w:del w:id="11204" w:author="AbbVie19" w:date="2025-04-16T12:22:00Z"/>
          <w:b/>
          <w:bCs/>
          <w:szCs w:val="20"/>
        </w:rPr>
      </w:pPr>
      <w:del w:id="11205" w:author="AbbVie19" w:date="2025-04-16T12:22:00Z">
        <w:r w:rsidRPr="00BC0E7E">
          <w:rPr>
            <w:b/>
            <w:bCs/>
            <w:szCs w:val="20"/>
          </w:rPr>
          <w:delText>Warnings and precautions</w:delText>
        </w:r>
      </w:del>
    </w:p>
    <w:p w14:paraId="7469BE09" w14:textId="77777777" w:rsidR="00BC0E7E" w:rsidRPr="00BC0E7E" w:rsidRDefault="00944B8F" w:rsidP="00BC0E7E">
      <w:pPr>
        <w:rPr>
          <w:del w:id="11206" w:author="AbbVie19" w:date="2025-04-16T12:22:00Z"/>
          <w:szCs w:val="20"/>
        </w:rPr>
      </w:pPr>
      <w:del w:id="11207" w:author="AbbVie19" w:date="2025-04-16T12:22:00Z">
        <w:r w:rsidRPr="00BC0E7E">
          <w:rPr>
            <w:b/>
            <w:bCs/>
            <w:szCs w:val="20"/>
          </w:rPr>
          <w:br/>
        </w:r>
        <w:r w:rsidRPr="00BC0E7E">
          <w:rPr>
            <w:szCs w:val="20"/>
          </w:rPr>
          <w:delText>Talk to your doctor or pharmacist before using Humira</w:delText>
        </w:r>
      </w:del>
    </w:p>
    <w:p w14:paraId="17AC5CB4" w14:textId="77777777" w:rsidR="00BC0E7E" w:rsidRPr="00BC0E7E" w:rsidRDefault="00BC0E7E" w:rsidP="00BC0E7E">
      <w:pPr>
        <w:tabs>
          <w:tab w:val="clear" w:pos="562"/>
          <w:tab w:val="num" w:pos="550"/>
        </w:tabs>
        <w:ind w:left="550" w:hanging="550"/>
        <w:rPr>
          <w:del w:id="11208" w:author="AbbVie19" w:date="2025-04-16T12:22:00Z"/>
          <w:szCs w:val="20"/>
        </w:rPr>
      </w:pPr>
    </w:p>
    <w:p w14:paraId="4A6D1B90" w14:textId="77777777" w:rsidR="00BC0E7E" w:rsidRPr="00BC0E7E" w:rsidRDefault="00944B8F" w:rsidP="00D51999">
      <w:pPr>
        <w:numPr>
          <w:ilvl w:val="0"/>
          <w:numId w:val="56"/>
        </w:numPr>
        <w:tabs>
          <w:tab w:val="clear" w:pos="562"/>
        </w:tabs>
        <w:rPr>
          <w:del w:id="11209" w:author="AbbVie19" w:date="2025-04-16T12:22:00Z"/>
          <w:szCs w:val="20"/>
        </w:rPr>
      </w:pPr>
      <w:del w:id="11210" w:author="AbbVie19" w:date="2025-04-16T12:22:00Z">
        <w:r w:rsidRPr="00BC0E7E">
          <w:rPr>
            <w:szCs w:val="20"/>
          </w:rPr>
          <w:delText xml:space="preserve">If you experience allergic reactions with symptoms such as chest tightness, wheezing, dizziness, swelling or rash do not inject more Humira and contact your doctor immediately since, in rare cases, these reactions can be life threatening. </w:delText>
        </w:r>
      </w:del>
    </w:p>
    <w:p w14:paraId="56C749AA" w14:textId="77777777" w:rsidR="00BC0E7E" w:rsidRPr="00BC0E7E" w:rsidRDefault="00BC0E7E" w:rsidP="00BC0E7E">
      <w:pPr>
        <w:tabs>
          <w:tab w:val="clear" w:pos="562"/>
          <w:tab w:val="left" w:pos="720"/>
        </w:tabs>
        <w:ind w:left="720"/>
        <w:rPr>
          <w:del w:id="11211" w:author="AbbVie19" w:date="2025-04-16T12:22:00Z"/>
          <w:szCs w:val="20"/>
        </w:rPr>
      </w:pPr>
    </w:p>
    <w:p w14:paraId="3661DD3E" w14:textId="77777777" w:rsidR="00BC0E7E" w:rsidRPr="00BC0E7E" w:rsidRDefault="00944B8F" w:rsidP="00D51999">
      <w:pPr>
        <w:numPr>
          <w:ilvl w:val="0"/>
          <w:numId w:val="56"/>
        </w:numPr>
        <w:tabs>
          <w:tab w:val="clear" w:pos="562"/>
          <w:tab w:val="left" w:pos="720"/>
        </w:tabs>
        <w:rPr>
          <w:del w:id="11212" w:author="AbbVie19" w:date="2025-04-16T12:22:00Z"/>
          <w:szCs w:val="20"/>
        </w:rPr>
      </w:pPr>
      <w:del w:id="11213" w:author="AbbVie19" w:date="2025-04-16T12:22:00Z">
        <w:r w:rsidRPr="00BC0E7E">
          <w:rPr>
            <w:szCs w:val="20"/>
          </w:rPr>
          <w:delText xml:space="preserve">If you have an infection, including long-term or localized infection (for example, leg ulcer) consult your doctor before starting Humira. If you are unsure, contact your doctor. </w:delText>
        </w:r>
      </w:del>
    </w:p>
    <w:p w14:paraId="63716F3C" w14:textId="77777777" w:rsidR="00BC0E7E" w:rsidRPr="00BC0E7E" w:rsidRDefault="00BC0E7E" w:rsidP="00BC0E7E">
      <w:pPr>
        <w:tabs>
          <w:tab w:val="clear" w:pos="562"/>
          <w:tab w:val="left" w:pos="720"/>
        </w:tabs>
        <w:ind w:left="720"/>
        <w:rPr>
          <w:del w:id="11214" w:author="AbbVie19" w:date="2025-04-16T12:22:00Z"/>
          <w:szCs w:val="20"/>
        </w:rPr>
      </w:pPr>
    </w:p>
    <w:p w14:paraId="11C5373A" w14:textId="77777777" w:rsidR="00BC0E7E" w:rsidRPr="00BC0E7E" w:rsidRDefault="00944B8F" w:rsidP="00D51999">
      <w:pPr>
        <w:numPr>
          <w:ilvl w:val="0"/>
          <w:numId w:val="56"/>
        </w:numPr>
        <w:tabs>
          <w:tab w:val="clear" w:pos="562"/>
          <w:tab w:val="left" w:pos="720"/>
        </w:tabs>
        <w:rPr>
          <w:del w:id="11215" w:author="AbbVie19" w:date="2025-04-16T12:22:00Z"/>
          <w:szCs w:val="20"/>
        </w:rPr>
      </w:pPr>
      <w:del w:id="11216" w:author="AbbVie19" w:date="2025-04-16T12:22:00Z">
        <w:r w:rsidRPr="00BC0E7E">
          <w:rPr>
            <w:szCs w:val="20"/>
          </w:rPr>
          <w:delText>You might get infections more easily while you are receiving Humira treatment. This risk may increase if your lung function is impaired. These infections may be serious and include tuberculosis, infections caused by viruses, fungi, parasites or bacteria, or other opportunistic infections and sepsis that may, in rare cases, be life-threatening. It is important to tell your doctor if you get symptoms such as fever, wounds, feeling tired or dental problems. Your doctor may recommend temporary discontinuation of Humira.</w:delText>
        </w:r>
      </w:del>
    </w:p>
    <w:p w14:paraId="55E46B29" w14:textId="77777777" w:rsidR="00BC0E7E" w:rsidRPr="00BC0E7E" w:rsidRDefault="00BC0E7E" w:rsidP="00BC0E7E">
      <w:pPr>
        <w:tabs>
          <w:tab w:val="clear" w:pos="562"/>
          <w:tab w:val="num" w:pos="550"/>
        </w:tabs>
        <w:ind w:left="550" w:hanging="550"/>
        <w:rPr>
          <w:del w:id="11217" w:author="AbbVie19" w:date="2025-04-16T12:22:00Z"/>
          <w:szCs w:val="20"/>
        </w:rPr>
      </w:pPr>
    </w:p>
    <w:p w14:paraId="36EFDB7D" w14:textId="77777777" w:rsidR="00BC0E7E" w:rsidRPr="00BC0E7E" w:rsidRDefault="00944B8F" w:rsidP="00D51999">
      <w:pPr>
        <w:numPr>
          <w:ilvl w:val="0"/>
          <w:numId w:val="56"/>
        </w:numPr>
        <w:tabs>
          <w:tab w:val="clear" w:pos="562"/>
          <w:tab w:val="left" w:pos="720"/>
        </w:tabs>
        <w:rPr>
          <w:del w:id="11218" w:author="AbbVie19" w:date="2025-04-16T12:22:00Z"/>
          <w:szCs w:val="20"/>
        </w:rPr>
      </w:pPr>
      <w:del w:id="11219" w:author="AbbVie19" w:date="2025-04-16T12:22:00Z">
        <w:r w:rsidRPr="00BC0E7E">
          <w:rPr>
            <w:szCs w:val="20"/>
          </w:rPr>
          <w:delText xml:space="preserve">As cases of tuberculosis have been reported in patients treated with Humira, your doctor will check you for signs and symptoms of tuberculosis before starting Humira. This will include a thorough medical evaluation including your medical history and appropriate screening tests (for example chest X-ray and a tuberculin test). The conduct and results of these tests should be recorded on your </w:delText>
        </w:r>
        <w:r w:rsidR="00BF2AE5" w:rsidRPr="002179FE">
          <w:rPr>
            <w:b/>
          </w:rPr>
          <w:delText>Patient Reminder Card</w:delText>
        </w:r>
        <w:r w:rsidRPr="00BC0E7E">
          <w:rPr>
            <w:szCs w:val="20"/>
          </w:rPr>
          <w:delText xml:space="preserve">. It is very important that you tell your doctor if you have ever had tuberculosis, or if you have been in close contact with someone who has had tuberculosis. Tuberculosis can develop during therapy even if you have received preventative treatment for tuberculosis. If symptoms of tuberculosis (persistent cough, weight loss, listlessness, mild fever), or any other infection appear during or after therapy tell your doctor immediately. </w:delText>
        </w:r>
      </w:del>
    </w:p>
    <w:p w14:paraId="2AC40ADA" w14:textId="77777777" w:rsidR="00BC0E7E" w:rsidRPr="00BC0E7E" w:rsidRDefault="00BC0E7E" w:rsidP="00BC0E7E">
      <w:pPr>
        <w:tabs>
          <w:tab w:val="clear" w:pos="562"/>
          <w:tab w:val="left" w:pos="720"/>
        </w:tabs>
        <w:ind w:left="720"/>
        <w:rPr>
          <w:del w:id="11220" w:author="AbbVie19" w:date="2025-04-16T12:22:00Z"/>
          <w:szCs w:val="20"/>
        </w:rPr>
      </w:pPr>
    </w:p>
    <w:p w14:paraId="3DE108C4" w14:textId="77777777" w:rsidR="00BC0E7E" w:rsidRPr="00BC0E7E" w:rsidRDefault="00944B8F" w:rsidP="00D51999">
      <w:pPr>
        <w:numPr>
          <w:ilvl w:val="0"/>
          <w:numId w:val="56"/>
        </w:numPr>
        <w:tabs>
          <w:tab w:val="clear" w:pos="562"/>
          <w:tab w:val="left" w:pos="720"/>
        </w:tabs>
        <w:rPr>
          <w:del w:id="11221" w:author="AbbVie19" w:date="2025-04-16T12:22:00Z"/>
          <w:szCs w:val="20"/>
        </w:rPr>
      </w:pPr>
      <w:del w:id="11222" w:author="AbbVie19" w:date="2025-04-16T12:22:00Z">
        <w:r w:rsidRPr="00BC0E7E">
          <w:rPr>
            <w:szCs w:val="20"/>
          </w:rPr>
          <w:delText>Advise your doctor if you reside or travel in regions where fungal infections such as histoplasmosis, coccidioidomycosis or blastomycosis are endemic.</w:delText>
        </w:r>
      </w:del>
    </w:p>
    <w:p w14:paraId="7D1A0A30" w14:textId="77777777" w:rsidR="00BC0E7E" w:rsidRPr="00BC0E7E" w:rsidRDefault="00BC0E7E" w:rsidP="00BC0E7E">
      <w:pPr>
        <w:tabs>
          <w:tab w:val="clear" w:pos="562"/>
          <w:tab w:val="num" w:pos="550"/>
        </w:tabs>
        <w:ind w:left="550" w:hanging="550"/>
        <w:rPr>
          <w:del w:id="11223" w:author="AbbVie19" w:date="2025-04-16T12:22:00Z"/>
          <w:szCs w:val="20"/>
        </w:rPr>
      </w:pPr>
    </w:p>
    <w:p w14:paraId="6B05BC1C" w14:textId="77777777" w:rsidR="00BC0E7E" w:rsidRPr="00BC0E7E" w:rsidRDefault="00944B8F" w:rsidP="00D51999">
      <w:pPr>
        <w:numPr>
          <w:ilvl w:val="0"/>
          <w:numId w:val="56"/>
        </w:numPr>
        <w:tabs>
          <w:tab w:val="clear" w:pos="562"/>
          <w:tab w:val="left" w:pos="720"/>
        </w:tabs>
        <w:rPr>
          <w:del w:id="11224" w:author="AbbVie19" w:date="2025-04-16T12:22:00Z"/>
          <w:szCs w:val="20"/>
        </w:rPr>
      </w:pPr>
      <w:del w:id="11225" w:author="AbbVie19" w:date="2025-04-16T12:22:00Z">
        <w:r w:rsidRPr="00BC0E7E">
          <w:rPr>
            <w:szCs w:val="20"/>
          </w:rPr>
          <w:delText>Advise your doctor if you have a history of recurrent infections or other conditions that increase the risk of infections.</w:delText>
        </w:r>
      </w:del>
    </w:p>
    <w:p w14:paraId="560E74EF" w14:textId="77777777" w:rsidR="00BC0E7E" w:rsidRPr="00BC0E7E" w:rsidRDefault="00BC0E7E" w:rsidP="00BC0E7E">
      <w:pPr>
        <w:tabs>
          <w:tab w:val="clear" w:pos="562"/>
          <w:tab w:val="num" w:pos="550"/>
        </w:tabs>
        <w:ind w:left="550" w:hanging="550"/>
        <w:rPr>
          <w:del w:id="11226" w:author="AbbVie19" w:date="2025-04-16T12:22:00Z"/>
          <w:szCs w:val="20"/>
        </w:rPr>
      </w:pPr>
    </w:p>
    <w:p w14:paraId="03A8CAEC" w14:textId="77777777" w:rsidR="00BC0E7E" w:rsidRPr="00BC0E7E" w:rsidRDefault="00944B8F" w:rsidP="00D51999">
      <w:pPr>
        <w:numPr>
          <w:ilvl w:val="0"/>
          <w:numId w:val="56"/>
        </w:numPr>
        <w:tabs>
          <w:tab w:val="clear" w:pos="562"/>
          <w:tab w:val="left" w:pos="720"/>
        </w:tabs>
        <w:rPr>
          <w:del w:id="11227" w:author="AbbVie19" w:date="2025-04-16T12:22:00Z"/>
          <w:szCs w:val="20"/>
        </w:rPr>
      </w:pPr>
      <w:del w:id="11228" w:author="AbbVie19" w:date="2025-04-16T12:22:00Z">
        <w:r w:rsidRPr="00BC0E7E">
          <w:rPr>
            <w:szCs w:val="20"/>
          </w:rPr>
          <w:delText xml:space="preserve">Advise your doctor if you are a carrier of the hepatitis B virus (HBV), if you have active HBV or if you think you might be at risk of contracting HBV. Your doctor should test you for HBV. Humira can cause reactivation of HBV in people who carry this virus. In some rare cases, especially if you are taking other medicines that suppress the immune system, reactivation of HBV can be life-threatening. </w:delText>
        </w:r>
      </w:del>
    </w:p>
    <w:p w14:paraId="7D7D67E4" w14:textId="77777777" w:rsidR="00BC0E7E" w:rsidRPr="00BC0E7E" w:rsidRDefault="00BC0E7E" w:rsidP="00BC0E7E">
      <w:pPr>
        <w:rPr>
          <w:del w:id="11229" w:author="AbbVie19" w:date="2025-04-16T12:22:00Z"/>
          <w:szCs w:val="20"/>
        </w:rPr>
      </w:pPr>
    </w:p>
    <w:p w14:paraId="4F07A3D1" w14:textId="77777777" w:rsidR="00BC0E7E" w:rsidRPr="00BC0E7E" w:rsidRDefault="00944B8F" w:rsidP="00D51999">
      <w:pPr>
        <w:numPr>
          <w:ilvl w:val="0"/>
          <w:numId w:val="56"/>
        </w:numPr>
        <w:tabs>
          <w:tab w:val="clear" w:pos="562"/>
          <w:tab w:val="left" w:pos="720"/>
        </w:tabs>
        <w:rPr>
          <w:del w:id="11230" w:author="AbbVie19" w:date="2025-04-16T12:22:00Z"/>
          <w:szCs w:val="20"/>
        </w:rPr>
      </w:pPr>
      <w:del w:id="11231" w:author="AbbVie19" w:date="2025-04-16T12:22:00Z">
        <w:r w:rsidRPr="00BC0E7E">
          <w:rPr>
            <w:szCs w:val="20"/>
          </w:rPr>
          <w:delText>If you are over 65 years you may be more susceptible to infections while taking Humira. You and your doctor should pay special attention to signs of infection while you are being treated with Humira. It is important to tell your doctor if you get symptoms of infections, such as fever, wounds, feeling tired or dental problems.</w:delText>
        </w:r>
      </w:del>
    </w:p>
    <w:p w14:paraId="73246ADB" w14:textId="77777777" w:rsidR="00BC0E7E" w:rsidRPr="00BC0E7E" w:rsidRDefault="00BC0E7E" w:rsidP="00BC0E7E">
      <w:pPr>
        <w:tabs>
          <w:tab w:val="clear" w:pos="562"/>
          <w:tab w:val="num" w:pos="550"/>
        </w:tabs>
        <w:ind w:left="550" w:hanging="550"/>
        <w:rPr>
          <w:del w:id="11232" w:author="AbbVie19" w:date="2025-04-16T12:22:00Z"/>
          <w:szCs w:val="20"/>
        </w:rPr>
      </w:pPr>
    </w:p>
    <w:p w14:paraId="57243CE8" w14:textId="77777777" w:rsidR="00BC0E7E" w:rsidRPr="00BC0E7E" w:rsidRDefault="00944B8F" w:rsidP="00D51999">
      <w:pPr>
        <w:numPr>
          <w:ilvl w:val="0"/>
          <w:numId w:val="56"/>
        </w:numPr>
        <w:tabs>
          <w:tab w:val="clear" w:pos="562"/>
          <w:tab w:val="left" w:pos="720"/>
        </w:tabs>
        <w:rPr>
          <w:del w:id="11233" w:author="AbbVie19" w:date="2025-04-16T12:22:00Z"/>
          <w:szCs w:val="20"/>
        </w:rPr>
      </w:pPr>
      <w:del w:id="11234" w:author="AbbVie19" w:date="2025-04-16T12:22:00Z">
        <w:r w:rsidRPr="00BC0E7E">
          <w:rPr>
            <w:szCs w:val="20"/>
          </w:rPr>
          <w:lastRenderedPageBreak/>
          <w:delText>If you are about to undergo surgery or dental procedures</w:delText>
        </w:r>
        <w:r w:rsidR="00D6015D">
          <w:rPr>
            <w:szCs w:val="20"/>
          </w:rPr>
          <w:delText>,</w:delText>
        </w:r>
        <w:r w:rsidRPr="00BC0E7E">
          <w:rPr>
            <w:szCs w:val="20"/>
          </w:rPr>
          <w:delText xml:space="preserve"> please inform your doctor that you are taking Humira. Your doctor may recommend temporary discontinuation of Humira.</w:delText>
        </w:r>
      </w:del>
    </w:p>
    <w:p w14:paraId="2441791C" w14:textId="77777777" w:rsidR="00BC0E7E" w:rsidRPr="00BC0E7E" w:rsidRDefault="00BC0E7E" w:rsidP="00BC0E7E">
      <w:pPr>
        <w:tabs>
          <w:tab w:val="clear" w:pos="562"/>
          <w:tab w:val="num" w:pos="550"/>
        </w:tabs>
        <w:ind w:left="550" w:hanging="550"/>
        <w:rPr>
          <w:del w:id="11235" w:author="AbbVie19" w:date="2025-04-16T12:22:00Z"/>
          <w:szCs w:val="20"/>
        </w:rPr>
      </w:pPr>
    </w:p>
    <w:p w14:paraId="7ECFDF11" w14:textId="77777777" w:rsidR="00BC0E7E" w:rsidRPr="00BC0E7E" w:rsidRDefault="00944B8F" w:rsidP="00D51999">
      <w:pPr>
        <w:numPr>
          <w:ilvl w:val="0"/>
          <w:numId w:val="56"/>
        </w:numPr>
        <w:tabs>
          <w:tab w:val="clear" w:pos="562"/>
          <w:tab w:val="left" w:pos="720"/>
        </w:tabs>
        <w:rPr>
          <w:del w:id="11236" w:author="AbbVie19" w:date="2025-04-16T12:22:00Z"/>
          <w:szCs w:val="20"/>
        </w:rPr>
      </w:pPr>
      <w:del w:id="11237" w:author="AbbVie19" w:date="2025-04-16T12:22:00Z">
        <w:r w:rsidRPr="00BC0E7E">
          <w:rPr>
            <w:szCs w:val="20"/>
          </w:rPr>
          <w:delText>If you have or develop demyelinating disease such as multiple sclerosis, your doctor will decide if you should receive or continue to receive Humira. Tell your doctor immediately if you experience symptoms like changes in your vision, weakness in your arms or legs or numbness or tingling in any part of your body.</w:delText>
        </w:r>
      </w:del>
    </w:p>
    <w:p w14:paraId="07AD7C5A" w14:textId="77777777" w:rsidR="00BC0E7E" w:rsidRPr="00BC0E7E" w:rsidRDefault="00BC0E7E" w:rsidP="00BC0E7E">
      <w:pPr>
        <w:tabs>
          <w:tab w:val="clear" w:pos="562"/>
          <w:tab w:val="num" w:pos="550"/>
        </w:tabs>
        <w:ind w:left="550" w:hanging="550"/>
        <w:rPr>
          <w:del w:id="11238" w:author="AbbVie19" w:date="2025-04-16T12:22:00Z"/>
          <w:szCs w:val="20"/>
        </w:rPr>
      </w:pPr>
    </w:p>
    <w:p w14:paraId="25882ED6" w14:textId="77777777" w:rsidR="00BC0E7E" w:rsidRPr="00BC0E7E" w:rsidRDefault="00944B8F" w:rsidP="00D51999">
      <w:pPr>
        <w:numPr>
          <w:ilvl w:val="0"/>
          <w:numId w:val="56"/>
        </w:numPr>
        <w:tabs>
          <w:tab w:val="clear" w:pos="562"/>
          <w:tab w:val="left" w:pos="720"/>
        </w:tabs>
        <w:rPr>
          <w:del w:id="11239" w:author="AbbVie19" w:date="2025-04-16T12:22:00Z"/>
          <w:szCs w:val="20"/>
        </w:rPr>
      </w:pPr>
      <w:del w:id="11240" w:author="AbbVie19" w:date="2025-04-16T12:22:00Z">
        <w:r w:rsidRPr="00BC0E7E">
          <w:rPr>
            <w:szCs w:val="20"/>
          </w:rPr>
          <w:delText>Certain vaccines may cause infections and should not be given while receiving Humira. Please check with your doctor before you receive any vaccines. It is recommended that children, if possible, be brought up to date with all immunisations in agreement with current immunisation guidelines prior to initiating Humira therapy. If you received Humira while you were pregnant, your baby may be at higher risk for getting such an infection for up to approximately five months after the last dose you received during pregnancy. It is important that you tell your baby's doctors and other health care professionals about your Humira use during your pregnancy so they can decide when your baby should receive any vaccine.</w:delText>
        </w:r>
      </w:del>
    </w:p>
    <w:p w14:paraId="74798CAC" w14:textId="77777777" w:rsidR="00BC0E7E" w:rsidRPr="00BC0E7E" w:rsidRDefault="00BC0E7E" w:rsidP="00BC0E7E">
      <w:pPr>
        <w:tabs>
          <w:tab w:val="clear" w:pos="562"/>
          <w:tab w:val="num" w:pos="550"/>
        </w:tabs>
        <w:ind w:left="550" w:hanging="550"/>
        <w:rPr>
          <w:del w:id="11241" w:author="AbbVie19" w:date="2025-04-16T12:22:00Z"/>
          <w:szCs w:val="20"/>
        </w:rPr>
      </w:pPr>
    </w:p>
    <w:p w14:paraId="7616A6E1" w14:textId="77777777" w:rsidR="00BC0E7E" w:rsidRPr="00BC0E7E" w:rsidRDefault="00944B8F" w:rsidP="00D51999">
      <w:pPr>
        <w:numPr>
          <w:ilvl w:val="0"/>
          <w:numId w:val="56"/>
        </w:numPr>
        <w:tabs>
          <w:tab w:val="clear" w:pos="562"/>
          <w:tab w:val="left" w:pos="720"/>
        </w:tabs>
        <w:rPr>
          <w:del w:id="11242" w:author="AbbVie19" w:date="2025-04-16T12:22:00Z"/>
          <w:szCs w:val="20"/>
        </w:rPr>
      </w:pPr>
      <w:del w:id="11243" w:author="AbbVie19" w:date="2025-04-16T12:22:00Z">
        <w:r w:rsidRPr="00BC0E7E">
          <w:rPr>
            <w:szCs w:val="20"/>
          </w:rPr>
          <w:delText>If you have mild heart failure and you are being treated with Humira, your heart failure status must be closely monitored by your doctor. It is important to tell your doctor if you have had or have a serious heart condition. If you develop new or worsening symptoms of heart failure (e.g. shortness of breath, or swelling of your feet), you must contact your doctor immediately. Your doctor will decide if you should receive Humira.</w:delText>
        </w:r>
      </w:del>
    </w:p>
    <w:p w14:paraId="5E0D0471" w14:textId="77777777" w:rsidR="00BC0E7E" w:rsidRPr="00BC0E7E" w:rsidRDefault="00BC0E7E" w:rsidP="00BC0E7E">
      <w:pPr>
        <w:tabs>
          <w:tab w:val="clear" w:pos="562"/>
          <w:tab w:val="num" w:pos="550"/>
        </w:tabs>
        <w:ind w:left="550" w:hanging="550"/>
        <w:rPr>
          <w:del w:id="11244" w:author="AbbVie19" w:date="2025-04-16T12:22:00Z"/>
          <w:szCs w:val="20"/>
        </w:rPr>
      </w:pPr>
    </w:p>
    <w:p w14:paraId="347042E3" w14:textId="77777777" w:rsidR="00BC0E7E" w:rsidRPr="00BC0E7E" w:rsidRDefault="00944B8F" w:rsidP="00D51999">
      <w:pPr>
        <w:numPr>
          <w:ilvl w:val="0"/>
          <w:numId w:val="56"/>
        </w:numPr>
        <w:tabs>
          <w:tab w:val="clear" w:pos="562"/>
          <w:tab w:val="left" w:pos="720"/>
        </w:tabs>
        <w:rPr>
          <w:del w:id="11245" w:author="AbbVie19" w:date="2025-04-16T12:22:00Z"/>
          <w:szCs w:val="20"/>
        </w:rPr>
      </w:pPr>
      <w:del w:id="11246" w:author="AbbVie19" w:date="2025-04-16T12:22:00Z">
        <w:r w:rsidRPr="00BC0E7E">
          <w:rPr>
            <w:szCs w:val="20"/>
          </w:rPr>
          <w:delText>In some patients the body may fail to produce enough of the blood cells that help your body fight infections or help you to stop bleeding. If you develop a fever that does not go away, bruise or bleed very easily or look very pale, call your doctor right away. Your doctor may decide to stop treatment.</w:delText>
        </w:r>
      </w:del>
    </w:p>
    <w:p w14:paraId="51C2BE27" w14:textId="77777777" w:rsidR="00BC0E7E" w:rsidRPr="00BC0E7E" w:rsidRDefault="00BC0E7E" w:rsidP="00BC0E7E">
      <w:pPr>
        <w:tabs>
          <w:tab w:val="clear" w:pos="562"/>
          <w:tab w:val="num" w:pos="550"/>
        </w:tabs>
        <w:ind w:left="550" w:hanging="550"/>
        <w:rPr>
          <w:del w:id="11247" w:author="AbbVie19" w:date="2025-04-16T12:22:00Z"/>
          <w:szCs w:val="20"/>
        </w:rPr>
      </w:pPr>
    </w:p>
    <w:p w14:paraId="3705C725" w14:textId="77777777" w:rsidR="00BC0E7E" w:rsidRPr="00BC0E7E" w:rsidRDefault="00944B8F" w:rsidP="00D51999">
      <w:pPr>
        <w:numPr>
          <w:ilvl w:val="0"/>
          <w:numId w:val="56"/>
        </w:numPr>
        <w:tabs>
          <w:tab w:val="clear" w:pos="562"/>
          <w:tab w:val="left" w:pos="720"/>
        </w:tabs>
        <w:rPr>
          <w:del w:id="11248" w:author="AbbVie19" w:date="2025-04-16T12:22:00Z"/>
          <w:szCs w:val="20"/>
        </w:rPr>
      </w:pPr>
      <w:del w:id="11249" w:author="AbbVie19" w:date="2025-04-16T12:22:00Z">
        <w:r w:rsidRPr="00BC0E7E">
          <w:rPr>
            <w:szCs w:val="20"/>
          </w:rPr>
          <w:delText>There have been very rare cases of certain kinds of cancer in children and adult patients taking Humira or other TNF blockers. People with more serious rheumatoid arthritis that have had the disease for a long time may have a higher than average risk of getting lymphoma (a cancer that affects the lymph system) and leukemia (a cancer that affects the blood and bone marrow). If you take Humira the risk of getting lymphoma, leukemia, or other cancers may increase. On rare occasions, a specific and severe type of lymphoma has been observed in patients taking Humira. Some of those patients were also treated with azathioprine or 6- mercaptopurine. Tell your doctor if you are taking azathioprine or 6-mercaptopurine with Humira. In addition</w:delText>
        </w:r>
        <w:r w:rsidR="00D6015D">
          <w:rPr>
            <w:szCs w:val="20"/>
          </w:rPr>
          <w:delText>,</w:delText>
        </w:r>
        <w:r w:rsidRPr="00BC0E7E">
          <w:rPr>
            <w:szCs w:val="20"/>
          </w:rPr>
          <w:delText xml:space="preserve"> cases of non-melanoma skin cancer have been observed in patients taking Humira. If new skin lesions appear during or after therapy or if existing lesions change appearance, tell your doctor.</w:delText>
        </w:r>
      </w:del>
    </w:p>
    <w:p w14:paraId="73B59C46" w14:textId="77777777" w:rsidR="00BC0E7E" w:rsidRPr="00BC0E7E" w:rsidRDefault="00BC0E7E" w:rsidP="00BC0E7E">
      <w:pPr>
        <w:tabs>
          <w:tab w:val="clear" w:pos="562"/>
          <w:tab w:val="num" w:pos="550"/>
          <w:tab w:val="num" w:pos="1080"/>
        </w:tabs>
        <w:ind w:left="550" w:hanging="550"/>
        <w:rPr>
          <w:del w:id="11250" w:author="AbbVie19" w:date="2025-04-16T12:22:00Z"/>
          <w:sz w:val="20"/>
          <w:szCs w:val="20"/>
        </w:rPr>
      </w:pPr>
    </w:p>
    <w:p w14:paraId="19390E5C" w14:textId="77777777" w:rsidR="00D92943" w:rsidRDefault="00944B8F" w:rsidP="00D51999">
      <w:pPr>
        <w:pStyle w:val="ListParagraph"/>
        <w:numPr>
          <w:ilvl w:val="0"/>
          <w:numId w:val="56"/>
        </w:numPr>
        <w:tabs>
          <w:tab w:val="clear" w:pos="562"/>
          <w:tab w:val="left" w:pos="720"/>
        </w:tabs>
        <w:rPr>
          <w:del w:id="11251" w:author="AbbVie19" w:date="2025-04-16T12:22:00Z"/>
          <w:szCs w:val="20"/>
        </w:rPr>
      </w:pPr>
      <w:del w:id="11252" w:author="AbbVie19" w:date="2025-04-16T12:22:00Z">
        <w:r w:rsidRPr="00BC0E7E">
          <w:rPr>
            <w:szCs w:val="20"/>
          </w:rPr>
          <w:delText>There have been cases of cancers</w:delText>
        </w:r>
        <w:r w:rsidR="00023339">
          <w:rPr>
            <w:szCs w:val="20"/>
          </w:rPr>
          <w:delText>,</w:delText>
        </w:r>
        <w:r w:rsidRPr="00BC0E7E">
          <w:rPr>
            <w:szCs w:val="20"/>
          </w:rPr>
          <w:delText xml:space="preserve"> other than lymphoma in patients with a specific type of lung disease called Chronic Obstructive Pulmonary Disease (COPD) treated with another TNF blocker. If you have COPD, or are a heavy smoker, you should discuss with your doctor whether treatment with a TNF blocker is appropriate for you.</w:delText>
        </w:r>
        <w:r w:rsidRPr="00D92943">
          <w:rPr>
            <w:szCs w:val="20"/>
          </w:rPr>
          <w:delText xml:space="preserve"> </w:delText>
        </w:r>
      </w:del>
    </w:p>
    <w:p w14:paraId="3CE8ACAC" w14:textId="77777777" w:rsidR="00B92BA2" w:rsidRDefault="00B92BA2" w:rsidP="00B92BA2">
      <w:pPr>
        <w:pStyle w:val="ListParagraph"/>
        <w:tabs>
          <w:tab w:val="clear" w:pos="562"/>
        </w:tabs>
        <w:rPr>
          <w:del w:id="11253" w:author="AbbVie19" w:date="2025-04-16T12:22:00Z"/>
          <w:szCs w:val="20"/>
        </w:rPr>
      </w:pPr>
    </w:p>
    <w:p w14:paraId="453526BD" w14:textId="77777777" w:rsidR="00BC0E7E" w:rsidRPr="00D92943" w:rsidRDefault="00944B8F" w:rsidP="00D51999">
      <w:pPr>
        <w:pStyle w:val="ListParagraph"/>
        <w:numPr>
          <w:ilvl w:val="0"/>
          <w:numId w:val="56"/>
        </w:numPr>
        <w:tabs>
          <w:tab w:val="clear" w:pos="562"/>
          <w:tab w:val="left" w:pos="720"/>
        </w:tabs>
        <w:rPr>
          <w:del w:id="11254" w:author="AbbVie19" w:date="2025-04-16T12:22:00Z"/>
          <w:szCs w:val="20"/>
        </w:rPr>
      </w:pPr>
      <w:del w:id="11255" w:author="AbbVie19" w:date="2025-04-16T12:22:00Z">
        <w:r w:rsidRPr="00D92943">
          <w:rPr>
            <w:szCs w:val="20"/>
          </w:rPr>
          <w:delText>On rare occasions, treatment with Humira could result in lupus-like syndrome. Contact your doctor if symptoms such as persistent unexplained rash, fever, joint pain or tiredness</w:delText>
        </w:r>
        <w:r w:rsidR="00E449B1">
          <w:rPr>
            <w:szCs w:val="20"/>
          </w:rPr>
          <w:delText xml:space="preserve"> occur</w:delText>
        </w:r>
        <w:r w:rsidRPr="00D92943">
          <w:rPr>
            <w:szCs w:val="20"/>
          </w:rPr>
          <w:delText>.</w:delText>
        </w:r>
      </w:del>
    </w:p>
    <w:p w14:paraId="231BFBDA" w14:textId="77777777" w:rsidR="00BC0E7E" w:rsidRPr="00BC0E7E" w:rsidRDefault="00BC0E7E" w:rsidP="00BC0E7E">
      <w:pPr>
        <w:rPr>
          <w:del w:id="11256" w:author="AbbVie19" w:date="2025-04-16T12:22:00Z"/>
          <w:szCs w:val="20"/>
        </w:rPr>
      </w:pPr>
    </w:p>
    <w:p w14:paraId="03998FD9" w14:textId="77777777" w:rsidR="00BC0E7E" w:rsidRPr="00BC0E7E" w:rsidRDefault="00944B8F" w:rsidP="00BC0E7E">
      <w:pPr>
        <w:rPr>
          <w:del w:id="11257" w:author="AbbVie19" w:date="2025-04-16T12:22:00Z"/>
          <w:b/>
          <w:szCs w:val="20"/>
        </w:rPr>
      </w:pPr>
      <w:del w:id="11258" w:author="AbbVie19" w:date="2025-04-16T12:22:00Z">
        <w:r w:rsidRPr="00BC0E7E">
          <w:rPr>
            <w:b/>
            <w:szCs w:val="20"/>
          </w:rPr>
          <w:delText>Children and adolescents</w:delText>
        </w:r>
      </w:del>
    </w:p>
    <w:p w14:paraId="35302D68" w14:textId="77777777" w:rsidR="00BC0E7E" w:rsidRPr="00BC0E7E" w:rsidRDefault="00BC0E7E" w:rsidP="00BC0E7E">
      <w:pPr>
        <w:rPr>
          <w:del w:id="11259" w:author="AbbVie19" w:date="2025-04-16T12:22:00Z"/>
          <w:szCs w:val="20"/>
        </w:rPr>
      </w:pPr>
    </w:p>
    <w:p w14:paraId="144AC3C1" w14:textId="77777777" w:rsidR="00BC0E7E" w:rsidRPr="00BC0E7E" w:rsidRDefault="00944B8F" w:rsidP="00D51999">
      <w:pPr>
        <w:numPr>
          <w:ilvl w:val="0"/>
          <w:numId w:val="56"/>
        </w:numPr>
        <w:tabs>
          <w:tab w:val="clear" w:pos="562"/>
          <w:tab w:val="left" w:pos="720"/>
        </w:tabs>
        <w:rPr>
          <w:del w:id="11260" w:author="AbbVie19" w:date="2025-04-16T12:22:00Z"/>
          <w:szCs w:val="20"/>
        </w:rPr>
      </w:pPr>
      <w:del w:id="11261" w:author="AbbVie19" w:date="2025-04-16T12:22:00Z">
        <w:r w:rsidRPr="00BC0E7E">
          <w:rPr>
            <w:szCs w:val="20"/>
          </w:rPr>
          <w:delText>Vaccinations: if possible</w:delText>
        </w:r>
        <w:r w:rsidR="00D6015D">
          <w:rPr>
            <w:szCs w:val="20"/>
          </w:rPr>
          <w:delText>,</w:delText>
        </w:r>
        <w:r w:rsidRPr="00BC0E7E">
          <w:rPr>
            <w:szCs w:val="20"/>
          </w:rPr>
          <w:delText xml:space="preserve"> children should be up to date with all vaccinations before using Humira.</w:delText>
        </w:r>
      </w:del>
    </w:p>
    <w:p w14:paraId="134475D8" w14:textId="77777777" w:rsidR="00BC0E7E" w:rsidRPr="00BC0E7E" w:rsidRDefault="00944B8F" w:rsidP="00D51999">
      <w:pPr>
        <w:numPr>
          <w:ilvl w:val="0"/>
          <w:numId w:val="56"/>
        </w:numPr>
        <w:tabs>
          <w:tab w:val="clear" w:pos="562"/>
          <w:tab w:val="left" w:pos="720"/>
        </w:tabs>
        <w:rPr>
          <w:del w:id="11262" w:author="AbbVie19" w:date="2025-04-16T12:22:00Z"/>
          <w:szCs w:val="20"/>
        </w:rPr>
      </w:pPr>
      <w:del w:id="11263" w:author="AbbVie19" w:date="2025-04-16T12:22:00Z">
        <w:r w:rsidRPr="00BC0E7E">
          <w:rPr>
            <w:szCs w:val="20"/>
          </w:rPr>
          <w:delText>Do not give Humira to children with polyarticular juvenile idiopathic arthritis below the age of 2 years.</w:delText>
        </w:r>
      </w:del>
    </w:p>
    <w:p w14:paraId="446991D2" w14:textId="77777777" w:rsidR="00BC0E7E" w:rsidRPr="00BC0E7E" w:rsidRDefault="00BC0E7E" w:rsidP="00BC0E7E">
      <w:pPr>
        <w:ind w:left="720"/>
        <w:rPr>
          <w:del w:id="11264" w:author="AbbVie19" w:date="2025-04-16T12:22:00Z"/>
          <w:szCs w:val="20"/>
        </w:rPr>
      </w:pPr>
    </w:p>
    <w:p w14:paraId="210C0187" w14:textId="77777777" w:rsidR="00BC0E7E" w:rsidRPr="00BC0E7E" w:rsidRDefault="00944B8F" w:rsidP="00BC0E7E">
      <w:pPr>
        <w:rPr>
          <w:del w:id="11265" w:author="AbbVie19" w:date="2025-04-16T12:22:00Z"/>
          <w:b/>
          <w:szCs w:val="20"/>
        </w:rPr>
      </w:pPr>
      <w:del w:id="11266" w:author="AbbVie19" w:date="2025-04-16T12:22:00Z">
        <w:r w:rsidRPr="00BC0E7E">
          <w:rPr>
            <w:b/>
            <w:szCs w:val="20"/>
          </w:rPr>
          <w:lastRenderedPageBreak/>
          <w:delText>Other medicines and Humira</w:delText>
        </w:r>
      </w:del>
    </w:p>
    <w:p w14:paraId="64A36285" w14:textId="77777777" w:rsidR="00BC0E7E" w:rsidRPr="00BC0E7E" w:rsidRDefault="00BC0E7E" w:rsidP="00BC0E7E">
      <w:pPr>
        <w:rPr>
          <w:del w:id="11267" w:author="AbbVie19" w:date="2025-04-16T12:22:00Z"/>
          <w:szCs w:val="20"/>
        </w:rPr>
      </w:pPr>
    </w:p>
    <w:p w14:paraId="6B077748" w14:textId="77777777" w:rsidR="00BC0E7E" w:rsidRPr="00BC0E7E" w:rsidRDefault="00944B8F" w:rsidP="00BC0E7E">
      <w:pPr>
        <w:rPr>
          <w:del w:id="11268" w:author="AbbVie19" w:date="2025-04-16T12:22:00Z"/>
          <w:szCs w:val="20"/>
        </w:rPr>
      </w:pPr>
      <w:del w:id="11269" w:author="AbbVie19" w:date="2025-04-16T12:22:00Z">
        <w:r w:rsidRPr="00BC0E7E">
          <w:rPr>
            <w:szCs w:val="20"/>
          </w:rPr>
          <w:delText>Tell your doctor or pharmacist if you are taking, have recently taken or might take any other medicines.</w:delText>
        </w:r>
      </w:del>
    </w:p>
    <w:p w14:paraId="187805BC" w14:textId="77777777" w:rsidR="00BC0E7E" w:rsidRPr="00BC0E7E" w:rsidRDefault="00BC0E7E" w:rsidP="00BC0E7E">
      <w:pPr>
        <w:rPr>
          <w:del w:id="11270" w:author="AbbVie19" w:date="2025-04-16T12:22:00Z"/>
          <w:szCs w:val="20"/>
        </w:rPr>
      </w:pPr>
    </w:p>
    <w:p w14:paraId="4F80CB72" w14:textId="77777777" w:rsidR="00BC0E7E" w:rsidRPr="00BC0E7E" w:rsidRDefault="00944B8F" w:rsidP="00BC0E7E">
      <w:pPr>
        <w:rPr>
          <w:del w:id="11271" w:author="AbbVie19" w:date="2025-04-16T12:22:00Z"/>
          <w:szCs w:val="20"/>
        </w:rPr>
      </w:pPr>
      <w:del w:id="11272" w:author="AbbVie19" w:date="2025-04-16T12:22:00Z">
        <w:r w:rsidRPr="00BC0E7E">
          <w:rPr>
            <w:szCs w:val="20"/>
          </w:rPr>
          <w:delText>Humira can be taken together with methotrexate or certain disease-modifying anti-rheumatic agents (sulfasalazine, hydroxychloroquine, leflunomide and injectable gold preparations), steroids or pain medications including non-steroidal anti-inflammatory drugs (NSAIDs).</w:delText>
        </w:r>
      </w:del>
    </w:p>
    <w:p w14:paraId="1B09BF90" w14:textId="77777777" w:rsidR="00BC0E7E" w:rsidRPr="00BC0E7E" w:rsidRDefault="00BC0E7E" w:rsidP="00BC0E7E">
      <w:pPr>
        <w:rPr>
          <w:del w:id="11273" w:author="AbbVie19" w:date="2025-04-16T12:22:00Z"/>
          <w:szCs w:val="20"/>
        </w:rPr>
      </w:pPr>
    </w:p>
    <w:p w14:paraId="6006C769" w14:textId="77777777" w:rsidR="00BC0E7E" w:rsidRPr="00BC0E7E" w:rsidRDefault="00944B8F" w:rsidP="00BC0E7E">
      <w:pPr>
        <w:rPr>
          <w:del w:id="11274" w:author="AbbVie19" w:date="2025-04-16T12:22:00Z"/>
          <w:szCs w:val="20"/>
        </w:rPr>
      </w:pPr>
      <w:del w:id="11275" w:author="AbbVie19" w:date="2025-04-16T12:22:00Z">
        <w:r w:rsidRPr="00BC0E7E">
          <w:rPr>
            <w:szCs w:val="20"/>
          </w:rPr>
          <w:delText>You should not take Humira with medicines containing the active substance</w:delText>
        </w:r>
        <w:r w:rsidR="00A34616">
          <w:rPr>
            <w:szCs w:val="20"/>
          </w:rPr>
          <w:delText>s</w:delText>
        </w:r>
        <w:r w:rsidRPr="00BC0E7E">
          <w:rPr>
            <w:szCs w:val="20"/>
          </w:rPr>
          <w:delText xml:space="preserve"> anakinra or abatacept</w:delText>
        </w:r>
        <w:r w:rsidR="00344063" w:rsidRPr="00FD27BB">
          <w:delText xml:space="preserve"> </w:delText>
        </w:r>
        <w:r w:rsidR="00344063">
          <w:delText>due to increased risk of serious infection</w:delText>
        </w:r>
        <w:r w:rsidRPr="00BC0E7E">
          <w:rPr>
            <w:szCs w:val="20"/>
          </w:rPr>
          <w:delText xml:space="preserve">. If you have questions, please ask your doctor. </w:delText>
        </w:r>
      </w:del>
    </w:p>
    <w:p w14:paraId="7F1CE7A6" w14:textId="77777777" w:rsidR="00BC0E7E" w:rsidRPr="00BC0E7E" w:rsidRDefault="00BC0E7E" w:rsidP="00BC0E7E">
      <w:pPr>
        <w:rPr>
          <w:del w:id="11276" w:author="AbbVie19" w:date="2025-04-16T12:22:00Z"/>
          <w:szCs w:val="20"/>
        </w:rPr>
      </w:pPr>
    </w:p>
    <w:p w14:paraId="12EFC9B6" w14:textId="77777777" w:rsidR="00BC0E7E" w:rsidRPr="00BC0E7E" w:rsidRDefault="00944B8F" w:rsidP="00BC0E7E">
      <w:pPr>
        <w:rPr>
          <w:del w:id="11277" w:author="AbbVie19" w:date="2025-04-16T12:22:00Z"/>
          <w:b/>
          <w:szCs w:val="20"/>
        </w:rPr>
      </w:pPr>
      <w:del w:id="11278" w:author="AbbVie19" w:date="2025-04-16T12:22:00Z">
        <w:r w:rsidRPr="00BC0E7E">
          <w:rPr>
            <w:b/>
            <w:szCs w:val="20"/>
          </w:rPr>
          <w:delText>Pregnancy and breast-feeding</w:delText>
        </w:r>
      </w:del>
    </w:p>
    <w:p w14:paraId="141A0F15" w14:textId="77777777" w:rsidR="00BC0E7E" w:rsidRPr="00BC0E7E" w:rsidRDefault="00BC0E7E" w:rsidP="00BC0E7E">
      <w:pPr>
        <w:rPr>
          <w:del w:id="11279" w:author="AbbVie19" w:date="2025-04-16T12:22:00Z"/>
          <w:szCs w:val="20"/>
        </w:rPr>
      </w:pPr>
    </w:p>
    <w:p w14:paraId="46C14270" w14:textId="77777777" w:rsidR="00BC0E7E" w:rsidRPr="0074056F" w:rsidRDefault="00944B8F" w:rsidP="0074056F">
      <w:pPr>
        <w:pStyle w:val="ListParagraph"/>
        <w:keepNext/>
        <w:numPr>
          <w:ilvl w:val="0"/>
          <w:numId w:val="22"/>
        </w:numPr>
        <w:tabs>
          <w:tab w:val="clear" w:pos="562"/>
        </w:tabs>
        <w:rPr>
          <w:del w:id="11280" w:author="AbbVie19" w:date="2025-04-16T12:22:00Z"/>
        </w:rPr>
      </w:pPr>
      <w:del w:id="11281" w:author="AbbVie19" w:date="2025-04-16T12:22:00Z">
        <w:r w:rsidRPr="0074056F">
          <w:delText xml:space="preserve">You </w:delText>
        </w:r>
        <w:r w:rsidR="00BE39FE" w:rsidRPr="0074056F">
          <w:delText>should consider the</w:delText>
        </w:r>
        <w:r w:rsidRPr="0074056F">
          <w:delText xml:space="preserve"> use </w:delText>
        </w:r>
        <w:r w:rsidR="00BE39FE" w:rsidRPr="0074056F">
          <w:delText xml:space="preserve">of </w:delText>
        </w:r>
        <w:r w:rsidRPr="0074056F">
          <w:delText xml:space="preserve">adequate contraception </w:delText>
        </w:r>
        <w:r w:rsidR="00BE39FE" w:rsidRPr="0074056F">
          <w:delText>to prevent pregnancy</w:delText>
        </w:r>
        <w:r w:rsidRPr="0074056F">
          <w:delText xml:space="preserve"> and </w:delText>
        </w:r>
        <w:r w:rsidR="00BE39FE" w:rsidRPr="0074056F">
          <w:delText xml:space="preserve">continue its use </w:delText>
        </w:r>
        <w:r w:rsidRPr="0074056F">
          <w:delText>for at least 5 months after the last Humira treatment.</w:delText>
        </w:r>
      </w:del>
    </w:p>
    <w:p w14:paraId="7F1EAA29" w14:textId="77777777" w:rsidR="00F00E3B" w:rsidRPr="0074056F" w:rsidRDefault="00944B8F" w:rsidP="0074056F">
      <w:pPr>
        <w:pStyle w:val="ListParagraph"/>
        <w:keepNext/>
        <w:numPr>
          <w:ilvl w:val="0"/>
          <w:numId w:val="22"/>
        </w:numPr>
        <w:tabs>
          <w:tab w:val="clear" w:pos="562"/>
        </w:tabs>
        <w:rPr>
          <w:del w:id="11282" w:author="AbbVie19" w:date="2025-04-16T12:22:00Z"/>
        </w:rPr>
      </w:pPr>
      <w:del w:id="11283" w:author="AbbVie19" w:date="2025-04-16T12:22:00Z">
        <w:r w:rsidRPr="0074056F">
          <w:delText>If you are pregnant, think you may be pregnant or are planning to have a baby, ask your doctor for advice about taking this medicine.</w:delText>
        </w:r>
      </w:del>
    </w:p>
    <w:p w14:paraId="5672E12D" w14:textId="77777777" w:rsidR="00F00E3B" w:rsidRPr="0074056F" w:rsidRDefault="00944B8F" w:rsidP="0074056F">
      <w:pPr>
        <w:pStyle w:val="ListParagraph"/>
        <w:keepNext/>
        <w:numPr>
          <w:ilvl w:val="0"/>
          <w:numId w:val="22"/>
        </w:numPr>
        <w:tabs>
          <w:tab w:val="clear" w:pos="562"/>
        </w:tabs>
        <w:rPr>
          <w:del w:id="11284" w:author="AbbVie19" w:date="2025-04-16T12:22:00Z"/>
        </w:rPr>
      </w:pPr>
      <w:del w:id="11285" w:author="AbbVie19" w:date="2025-04-16T12:22:00Z">
        <w:r w:rsidRPr="0074056F">
          <w:delText>Humira should only be used during a pregnancy if needed.</w:delText>
        </w:r>
      </w:del>
    </w:p>
    <w:p w14:paraId="103565F9" w14:textId="77777777" w:rsidR="00F30647" w:rsidRDefault="00944B8F" w:rsidP="0074056F">
      <w:pPr>
        <w:pStyle w:val="ListParagraph"/>
        <w:keepNext/>
        <w:numPr>
          <w:ilvl w:val="0"/>
          <w:numId w:val="22"/>
        </w:numPr>
        <w:tabs>
          <w:tab w:val="clear" w:pos="562"/>
        </w:tabs>
        <w:rPr>
          <w:del w:id="11286" w:author="AbbVie19" w:date="2025-04-16T12:22:00Z"/>
        </w:rPr>
      </w:pPr>
      <w:del w:id="11287" w:author="AbbVie19" w:date="2025-04-16T12:22:00Z">
        <w:r w:rsidRPr="0074056F">
          <w:delText>According to a pregnancy study, there was no higher risk of birth defects when the mother had received Humira during pregnancy compared with mothers with the same dise</w:delText>
        </w:r>
        <w:r w:rsidR="00C6283C">
          <w:delText>ase who did not receive Humira.</w:delText>
        </w:r>
      </w:del>
    </w:p>
    <w:p w14:paraId="6B95C723" w14:textId="77777777" w:rsidR="00212551" w:rsidRPr="0074056F" w:rsidRDefault="00944B8F" w:rsidP="0074056F">
      <w:pPr>
        <w:pStyle w:val="ListParagraph"/>
        <w:keepNext/>
        <w:numPr>
          <w:ilvl w:val="0"/>
          <w:numId w:val="22"/>
        </w:numPr>
        <w:tabs>
          <w:tab w:val="clear" w:pos="562"/>
        </w:tabs>
        <w:rPr>
          <w:del w:id="11288" w:author="AbbVie19" w:date="2025-04-16T12:22:00Z"/>
        </w:rPr>
      </w:pPr>
      <w:del w:id="11289" w:author="AbbVie19" w:date="2025-04-16T12:22:00Z">
        <w:r>
          <w:delText>Humira can be used during breast</w:delText>
        </w:r>
        <w:r w:rsidR="008B6BDD">
          <w:delText>-</w:delText>
        </w:r>
        <w:r>
          <w:delText>feeding</w:delText>
        </w:r>
      </w:del>
    </w:p>
    <w:p w14:paraId="6C058711" w14:textId="77777777" w:rsidR="00F30647" w:rsidRPr="0074056F" w:rsidRDefault="00944B8F" w:rsidP="0074056F">
      <w:pPr>
        <w:pStyle w:val="ListParagraph"/>
        <w:keepNext/>
        <w:numPr>
          <w:ilvl w:val="0"/>
          <w:numId w:val="22"/>
        </w:numPr>
        <w:tabs>
          <w:tab w:val="clear" w:pos="562"/>
        </w:tabs>
        <w:rPr>
          <w:del w:id="11290" w:author="AbbVie19" w:date="2025-04-16T12:22:00Z"/>
        </w:rPr>
      </w:pPr>
      <w:del w:id="11291" w:author="AbbVie19" w:date="2025-04-16T12:22:00Z">
        <w:r w:rsidRPr="0074056F">
          <w:delText xml:space="preserve">If you receive Humira during your pregnancy, your baby may have a higher risk </w:delText>
        </w:r>
        <w:r w:rsidR="00C6283C">
          <w:delText>for getting an infection.</w:delText>
        </w:r>
      </w:del>
    </w:p>
    <w:p w14:paraId="2B1B9309" w14:textId="77777777" w:rsidR="00BC0E7E" w:rsidRPr="0074056F" w:rsidRDefault="00944B8F" w:rsidP="0074056F">
      <w:pPr>
        <w:pStyle w:val="ListParagraph"/>
        <w:keepNext/>
        <w:numPr>
          <w:ilvl w:val="0"/>
          <w:numId w:val="22"/>
        </w:numPr>
        <w:tabs>
          <w:tab w:val="clear" w:pos="562"/>
        </w:tabs>
        <w:rPr>
          <w:del w:id="11292" w:author="AbbVie19" w:date="2025-04-16T12:22:00Z"/>
        </w:rPr>
      </w:pPr>
      <w:del w:id="11293" w:author="AbbVie19" w:date="2025-04-16T12:22:00Z">
        <w:r w:rsidRPr="0074056F">
          <w:delText xml:space="preserve">It is important that you tell your baby’s doctors and other health care professionals about your Humira use during your pregnancy before the baby receives any vaccine (for more information </w:delText>
        </w:r>
        <w:r w:rsidR="00F30647" w:rsidRPr="0074056F">
          <w:delText xml:space="preserve">on vaccines </w:delText>
        </w:r>
        <w:r w:rsidRPr="0074056F">
          <w:delText xml:space="preserve">see </w:delText>
        </w:r>
        <w:r w:rsidR="00F30647" w:rsidRPr="0074056F">
          <w:delText xml:space="preserve">the “Warnings and precautions” </w:delText>
        </w:r>
        <w:r w:rsidRPr="0074056F">
          <w:delText>section).</w:delText>
        </w:r>
      </w:del>
    </w:p>
    <w:p w14:paraId="5BE47D7C" w14:textId="77777777" w:rsidR="00BC0E7E" w:rsidRPr="00BC0E7E" w:rsidRDefault="00BC0E7E" w:rsidP="00BC0E7E">
      <w:pPr>
        <w:numPr>
          <w:ilvl w:val="12"/>
          <w:numId w:val="0"/>
        </w:numPr>
        <w:tabs>
          <w:tab w:val="clear" w:pos="562"/>
        </w:tabs>
        <w:rPr>
          <w:del w:id="11294" w:author="AbbVie19" w:date="2025-04-16T12:22:00Z"/>
          <w:szCs w:val="22"/>
          <w:lang w:eastAsia="en-GB"/>
        </w:rPr>
      </w:pPr>
    </w:p>
    <w:p w14:paraId="67AEE73E" w14:textId="77777777" w:rsidR="00BC0E7E" w:rsidRPr="00BC0E7E" w:rsidRDefault="00944B8F" w:rsidP="00BC0E7E">
      <w:pPr>
        <w:rPr>
          <w:del w:id="11295" w:author="AbbVie19" w:date="2025-04-16T12:22:00Z"/>
          <w:b/>
          <w:bCs/>
          <w:szCs w:val="20"/>
        </w:rPr>
      </w:pPr>
      <w:del w:id="11296" w:author="AbbVie19" w:date="2025-04-16T12:22:00Z">
        <w:r w:rsidRPr="00BC0E7E">
          <w:rPr>
            <w:b/>
            <w:bCs/>
            <w:szCs w:val="20"/>
          </w:rPr>
          <w:delText>Driving and using machines</w:delText>
        </w:r>
      </w:del>
    </w:p>
    <w:p w14:paraId="3BEA36A0" w14:textId="77777777" w:rsidR="00BC0E7E" w:rsidRPr="00BC0E7E" w:rsidRDefault="00BC0E7E" w:rsidP="00BC0E7E">
      <w:pPr>
        <w:keepNext/>
        <w:rPr>
          <w:del w:id="11297" w:author="AbbVie19" w:date="2025-04-16T12:22:00Z"/>
        </w:rPr>
      </w:pPr>
    </w:p>
    <w:p w14:paraId="233E70B1" w14:textId="77777777" w:rsidR="00BC0E7E" w:rsidRPr="00BC0E7E" w:rsidRDefault="00944B8F" w:rsidP="00BC0E7E">
      <w:pPr>
        <w:keepNext/>
        <w:numPr>
          <w:ilvl w:val="12"/>
          <w:numId w:val="0"/>
        </w:numPr>
        <w:tabs>
          <w:tab w:val="clear" w:pos="562"/>
        </w:tabs>
        <w:ind w:right="-2"/>
        <w:rPr>
          <w:del w:id="11298" w:author="AbbVie19" w:date="2025-04-16T12:22:00Z"/>
        </w:rPr>
      </w:pPr>
      <w:del w:id="11299" w:author="AbbVie19" w:date="2025-04-16T12:22:00Z">
        <w:r w:rsidRPr="00BC0E7E">
          <w:delText>Humira may have a minor influence on your ability to drive, cycle or use machines. Room spinning sensation and vision disturbances may occur after taking Humira.</w:delText>
        </w:r>
      </w:del>
    </w:p>
    <w:p w14:paraId="2D76049A" w14:textId="77777777" w:rsidR="00BC0E7E" w:rsidRPr="00BC0E7E" w:rsidRDefault="00BC0E7E" w:rsidP="00BC0E7E">
      <w:pPr>
        <w:keepNext/>
        <w:numPr>
          <w:ilvl w:val="12"/>
          <w:numId w:val="0"/>
        </w:numPr>
        <w:tabs>
          <w:tab w:val="clear" w:pos="562"/>
        </w:tabs>
        <w:ind w:right="-2"/>
        <w:rPr>
          <w:del w:id="11300" w:author="AbbVie19" w:date="2025-04-16T12:22:00Z"/>
        </w:rPr>
      </w:pPr>
    </w:p>
    <w:p w14:paraId="239B5AAB" w14:textId="77777777" w:rsidR="00691AAC" w:rsidRPr="00691AAC" w:rsidRDefault="00944B8F" w:rsidP="00691AAC">
      <w:pPr>
        <w:rPr>
          <w:del w:id="11301" w:author="AbbVie19" w:date="2025-04-16T12:22:00Z"/>
          <w:b/>
          <w:szCs w:val="20"/>
        </w:rPr>
      </w:pPr>
      <w:del w:id="11302" w:author="AbbVie19" w:date="2025-04-16T12:22:00Z">
        <w:r w:rsidRPr="00691AAC">
          <w:rPr>
            <w:b/>
            <w:szCs w:val="20"/>
          </w:rPr>
          <w:delText>Humira contains sodium</w:delText>
        </w:r>
      </w:del>
    </w:p>
    <w:p w14:paraId="19F219FB" w14:textId="77777777" w:rsidR="00691AAC" w:rsidRDefault="00691AAC" w:rsidP="00691AAC">
      <w:pPr>
        <w:autoSpaceDE w:val="0"/>
        <w:autoSpaceDN w:val="0"/>
        <w:adjustRightInd w:val="0"/>
        <w:rPr>
          <w:del w:id="11303" w:author="AbbVie19" w:date="2025-04-16T12:22:00Z"/>
          <w:szCs w:val="22"/>
        </w:rPr>
      </w:pPr>
    </w:p>
    <w:p w14:paraId="77DB6D13" w14:textId="77777777" w:rsidR="00691AAC" w:rsidRDefault="00944B8F" w:rsidP="00691AAC">
      <w:pPr>
        <w:autoSpaceDE w:val="0"/>
        <w:autoSpaceDN w:val="0"/>
        <w:adjustRightInd w:val="0"/>
        <w:rPr>
          <w:del w:id="11304" w:author="AbbVie19" w:date="2025-04-16T12:22:00Z"/>
          <w:szCs w:val="22"/>
        </w:rPr>
      </w:pPr>
      <w:del w:id="11305" w:author="AbbVie19" w:date="2025-04-16T12:22:00Z">
        <w:r w:rsidRPr="004D066E">
          <w:rPr>
            <w:szCs w:val="22"/>
          </w:rPr>
          <w:delText>This medicinal product contains less than 1</w:delText>
        </w:r>
        <w:r w:rsidR="00CB62F0">
          <w:rPr>
            <w:szCs w:val="22"/>
          </w:rPr>
          <w:delText> </w:delText>
        </w:r>
        <w:r w:rsidRPr="004D066E">
          <w:rPr>
            <w:szCs w:val="22"/>
          </w:rPr>
          <w:delText>mmol of sodium (23</w:delText>
        </w:r>
        <w:r w:rsidR="00CB62F0">
          <w:rPr>
            <w:szCs w:val="22"/>
          </w:rPr>
          <w:delText> </w:delText>
        </w:r>
        <w:r w:rsidRPr="004D066E">
          <w:rPr>
            <w:szCs w:val="22"/>
          </w:rPr>
          <w:delText>mg) per 0.8</w:delText>
        </w:r>
        <w:r w:rsidR="00CB62F0">
          <w:rPr>
            <w:szCs w:val="22"/>
          </w:rPr>
          <w:delText> </w:delText>
        </w:r>
        <w:r w:rsidRPr="004D066E">
          <w:rPr>
            <w:szCs w:val="22"/>
          </w:rPr>
          <w:delText>ml dose, i.e. essentially ‘sodium-free’</w:delText>
        </w:r>
        <w:r w:rsidRPr="002A3533">
          <w:rPr>
            <w:szCs w:val="22"/>
          </w:rPr>
          <w:delText>.</w:delText>
        </w:r>
      </w:del>
    </w:p>
    <w:p w14:paraId="37F46944" w14:textId="77777777" w:rsidR="00BC0E7E" w:rsidRDefault="00BC0E7E" w:rsidP="00BC0E7E">
      <w:pPr>
        <w:keepNext/>
        <w:numPr>
          <w:ilvl w:val="12"/>
          <w:numId w:val="0"/>
        </w:numPr>
        <w:tabs>
          <w:tab w:val="clear" w:pos="562"/>
        </w:tabs>
        <w:ind w:right="-2"/>
        <w:rPr>
          <w:del w:id="11306" w:author="AbbVie19" w:date="2025-04-16T12:22:00Z"/>
        </w:rPr>
      </w:pPr>
    </w:p>
    <w:p w14:paraId="367716D1" w14:textId="77777777" w:rsidR="00AF385B" w:rsidRPr="00BC0E7E" w:rsidRDefault="00AF385B" w:rsidP="00BC0E7E">
      <w:pPr>
        <w:keepNext/>
        <w:numPr>
          <w:ilvl w:val="12"/>
          <w:numId w:val="0"/>
        </w:numPr>
        <w:tabs>
          <w:tab w:val="clear" w:pos="562"/>
        </w:tabs>
        <w:ind w:right="-2"/>
        <w:rPr>
          <w:del w:id="11307" w:author="AbbVie19" w:date="2025-04-16T12:22:00Z"/>
        </w:rPr>
      </w:pPr>
    </w:p>
    <w:p w14:paraId="11B323D9" w14:textId="77777777" w:rsidR="00BC0E7E" w:rsidRPr="00BC0E7E" w:rsidRDefault="00944B8F" w:rsidP="00BC0E7E">
      <w:pPr>
        <w:outlineLvl w:val="0"/>
        <w:rPr>
          <w:del w:id="11308" w:author="AbbVie19" w:date="2025-04-16T12:22:00Z"/>
          <w:rFonts w:ascii="Times New Roman Bold" w:hAnsi="Times New Roman Bold"/>
          <w:b/>
          <w:szCs w:val="20"/>
        </w:rPr>
      </w:pPr>
      <w:del w:id="11309" w:author="AbbVie19" w:date="2025-04-16T12:22:00Z">
        <w:r w:rsidRPr="00BC0E7E">
          <w:rPr>
            <w:b/>
            <w:caps/>
            <w:szCs w:val="20"/>
          </w:rPr>
          <w:delText>3.</w:delText>
        </w:r>
        <w:r w:rsidRPr="00BC0E7E">
          <w:rPr>
            <w:b/>
            <w:caps/>
            <w:szCs w:val="20"/>
          </w:rPr>
          <w:tab/>
          <w:delText>H</w:delText>
        </w:r>
        <w:r w:rsidRPr="00BC0E7E">
          <w:rPr>
            <w:rFonts w:ascii="Times New Roman Bold" w:hAnsi="Times New Roman Bold"/>
            <w:b/>
            <w:szCs w:val="20"/>
          </w:rPr>
          <w:delText>ow to use Humira</w:delText>
        </w:r>
      </w:del>
    </w:p>
    <w:p w14:paraId="20730018" w14:textId="77777777" w:rsidR="00BC0E7E" w:rsidRPr="00BC0E7E" w:rsidRDefault="00BC0E7E" w:rsidP="00BC0E7E">
      <w:pPr>
        <w:rPr>
          <w:del w:id="11310" w:author="AbbVie19" w:date="2025-04-16T12:22:00Z"/>
          <w:szCs w:val="20"/>
        </w:rPr>
      </w:pPr>
    </w:p>
    <w:p w14:paraId="76D75E66" w14:textId="77777777" w:rsidR="00BC0E7E" w:rsidRPr="00BC0E7E" w:rsidRDefault="00944B8F" w:rsidP="00BC0E7E">
      <w:pPr>
        <w:numPr>
          <w:ilvl w:val="12"/>
          <w:numId w:val="0"/>
        </w:numPr>
        <w:tabs>
          <w:tab w:val="clear" w:pos="562"/>
        </w:tabs>
        <w:ind w:right="-2"/>
        <w:rPr>
          <w:del w:id="11311" w:author="AbbVie19" w:date="2025-04-16T12:22:00Z"/>
        </w:rPr>
      </w:pPr>
      <w:del w:id="11312" w:author="AbbVie19" w:date="2025-04-16T12:22:00Z">
        <w:r w:rsidRPr="00BC0E7E">
          <w:delText xml:space="preserve">Always use this medicine exactly as your doctor or pharmacist has told you. Check with your doctor or pharmacist if you are not sure. </w:delText>
        </w:r>
        <w:r w:rsidR="00344063">
          <w:rPr>
            <w:szCs w:val="22"/>
          </w:rPr>
          <w:delText>Your doctor may prescribe another strength of Humira if you need a different dose.</w:delText>
        </w:r>
      </w:del>
    </w:p>
    <w:p w14:paraId="3F4D6C69" w14:textId="77777777" w:rsidR="00BC0E7E" w:rsidRPr="00BC0E7E" w:rsidRDefault="00BC0E7E" w:rsidP="00BC0E7E">
      <w:pPr>
        <w:numPr>
          <w:ilvl w:val="12"/>
          <w:numId w:val="0"/>
        </w:numPr>
        <w:tabs>
          <w:tab w:val="clear" w:pos="562"/>
        </w:tabs>
        <w:ind w:right="-2"/>
        <w:rPr>
          <w:del w:id="11313" w:author="AbbVie19" w:date="2025-04-16T12:22:00Z"/>
        </w:rPr>
      </w:pPr>
    </w:p>
    <w:p w14:paraId="1844CDA4" w14:textId="77777777" w:rsidR="00BC0E7E" w:rsidRPr="00BC0E7E" w:rsidRDefault="00944B8F" w:rsidP="00BC0E7E">
      <w:pPr>
        <w:numPr>
          <w:ilvl w:val="12"/>
          <w:numId w:val="0"/>
        </w:numPr>
        <w:tabs>
          <w:tab w:val="clear" w:pos="562"/>
        </w:tabs>
        <w:ind w:right="-2"/>
        <w:rPr>
          <w:del w:id="11314" w:author="AbbVie19" w:date="2025-04-16T12:22:00Z"/>
          <w:u w:val="single"/>
        </w:rPr>
      </w:pPr>
      <w:del w:id="11315" w:author="AbbVie19" w:date="2025-04-16T12:22:00Z">
        <w:r w:rsidRPr="00BC0E7E">
          <w:rPr>
            <w:u w:val="single"/>
          </w:rPr>
          <w:delText>Adults with rheumatoid arthritis, psoriatic arthritis, ankylosing spondylitis or axial spondyloarthritis without radiographic evidence of ankylosing spondylitis</w:delText>
        </w:r>
      </w:del>
    </w:p>
    <w:p w14:paraId="2291C9B9" w14:textId="77777777" w:rsidR="00BC0E7E" w:rsidRPr="00BC0E7E" w:rsidRDefault="00BC0E7E" w:rsidP="00BC0E7E">
      <w:pPr>
        <w:numPr>
          <w:ilvl w:val="12"/>
          <w:numId w:val="0"/>
        </w:numPr>
        <w:tabs>
          <w:tab w:val="clear" w:pos="562"/>
        </w:tabs>
        <w:ind w:right="-2"/>
        <w:rPr>
          <w:del w:id="11316" w:author="AbbVie19" w:date="2025-04-16T12:22:00Z"/>
        </w:rPr>
      </w:pPr>
    </w:p>
    <w:p w14:paraId="4DF47A13" w14:textId="77777777" w:rsidR="00BC0E7E" w:rsidRPr="00BC0E7E" w:rsidRDefault="00944B8F" w:rsidP="00BC0E7E">
      <w:pPr>
        <w:numPr>
          <w:ilvl w:val="12"/>
          <w:numId w:val="0"/>
        </w:numPr>
        <w:tabs>
          <w:tab w:val="clear" w:pos="562"/>
        </w:tabs>
        <w:ind w:right="-2"/>
        <w:rPr>
          <w:del w:id="11317" w:author="AbbVie19" w:date="2025-04-16T12:22:00Z"/>
        </w:rPr>
      </w:pPr>
      <w:del w:id="11318" w:author="AbbVie19" w:date="2025-04-16T12:22:00Z">
        <w:r w:rsidRPr="00BC0E7E">
          <w:delText xml:space="preserve">Humira is injected under the skin (subcutaneous use). The usual dose for adults with rheumatoid arthritis, ankylosing spondylitis, axial spondyloarthritis without radiographic evidence of ankylosing spondylitis and for patients with psoriatic arthritis is 40 mg adalimumab given every other week as a single dose.  </w:delText>
        </w:r>
      </w:del>
    </w:p>
    <w:p w14:paraId="36FC09C3" w14:textId="77777777" w:rsidR="00BC0E7E" w:rsidRPr="00BC0E7E" w:rsidRDefault="00BC0E7E" w:rsidP="00BC0E7E">
      <w:pPr>
        <w:numPr>
          <w:ilvl w:val="12"/>
          <w:numId w:val="0"/>
        </w:numPr>
        <w:tabs>
          <w:tab w:val="clear" w:pos="562"/>
        </w:tabs>
        <w:ind w:right="-2"/>
        <w:rPr>
          <w:del w:id="11319" w:author="AbbVie19" w:date="2025-04-16T12:22:00Z"/>
        </w:rPr>
      </w:pPr>
    </w:p>
    <w:p w14:paraId="7E0F5607" w14:textId="77777777" w:rsidR="00BC0E7E" w:rsidRPr="00BC0E7E" w:rsidRDefault="00944B8F" w:rsidP="00BC0E7E">
      <w:pPr>
        <w:numPr>
          <w:ilvl w:val="12"/>
          <w:numId w:val="0"/>
        </w:numPr>
        <w:tabs>
          <w:tab w:val="clear" w:pos="562"/>
        </w:tabs>
        <w:ind w:right="-2"/>
        <w:rPr>
          <w:del w:id="11320" w:author="AbbVie19" w:date="2025-04-16T12:22:00Z"/>
        </w:rPr>
      </w:pPr>
      <w:del w:id="11321" w:author="AbbVie19" w:date="2025-04-16T12:22:00Z">
        <w:r w:rsidRPr="00BC0E7E">
          <w:lastRenderedPageBreak/>
          <w:delText xml:space="preserve">In rheumatoid arthritis, methotrexate is continued while using Humira. If your doctor determines that methotrexate is inappropriate, Humira can be given alone. </w:delText>
        </w:r>
      </w:del>
    </w:p>
    <w:p w14:paraId="2D6442BB" w14:textId="77777777" w:rsidR="00BC0E7E" w:rsidRPr="00BC0E7E" w:rsidRDefault="00BC0E7E" w:rsidP="00BC0E7E">
      <w:pPr>
        <w:numPr>
          <w:ilvl w:val="12"/>
          <w:numId w:val="0"/>
        </w:numPr>
        <w:tabs>
          <w:tab w:val="clear" w:pos="562"/>
        </w:tabs>
        <w:ind w:right="-2"/>
        <w:rPr>
          <w:del w:id="11322" w:author="AbbVie19" w:date="2025-04-16T12:22:00Z"/>
        </w:rPr>
      </w:pPr>
    </w:p>
    <w:p w14:paraId="7A60C0E5" w14:textId="77777777" w:rsidR="00BC0E7E" w:rsidRPr="00BC0E7E" w:rsidRDefault="00944B8F" w:rsidP="00BC0E7E">
      <w:pPr>
        <w:numPr>
          <w:ilvl w:val="12"/>
          <w:numId w:val="0"/>
        </w:numPr>
        <w:tabs>
          <w:tab w:val="clear" w:pos="562"/>
        </w:tabs>
        <w:ind w:right="-2"/>
        <w:rPr>
          <w:del w:id="11323" w:author="AbbVie19" w:date="2025-04-16T12:22:00Z"/>
        </w:rPr>
      </w:pPr>
      <w:del w:id="11324" w:author="AbbVie19" w:date="2025-04-16T12:22:00Z">
        <w:r w:rsidRPr="00BC0E7E">
          <w:delText>If you have rheumatoid arthritis and you do not receive methotrexate with your Humira therapy, your doctor may decide to give 40 mg adalimumab every week</w:delText>
        </w:r>
        <w:r w:rsidR="00414B71">
          <w:delText xml:space="preserve"> or 80</w:delText>
        </w:r>
        <w:r w:rsidR="005012D6">
          <w:delText> </w:delText>
        </w:r>
        <w:r w:rsidR="00414B71">
          <w:delText>mg every other week</w:delText>
        </w:r>
        <w:r w:rsidRPr="00BC0E7E">
          <w:delText>.</w:delText>
        </w:r>
      </w:del>
    </w:p>
    <w:p w14:paraId="6CD4FD89" w14:textId="77777777" w:rsidR="00BC0E7E" w:rsidRPr="00BC0E7E" w:rsidRDefault="00BC0E7E" w:rsidP="00BC0E7E">
      <w:pPr>
        <w:numPr>
          <w:ilvl w:val="12"/>
          <w:numId w:val="0"/>
        </w:numPr>
        <w:tabs>
          <w:tab w:val="clear" w:pos="562"/>
        </w:tabs>
        <w:ind w:right="-2"/>
        <w:rPr>
          <w:del w:id="11325" w:author="AbbVie19" w:date="2025-04-16T12:22:00Z"/>
        </w:rPr>
      </w:pPr>
    </w:p>
    <w:p w14:paraId="420F63C9" w14:textId="77777777" w:rsidR="00BC0E7E" w:rsidRPr="00BC0E7E" w:rsidRDefault="00944B8F" w:rsidP="00BC0E7E">
      <w:pPr>
        <w:numPr>
          <w:ilvl w:val="12"/>
          <w:numId w:val="0"/>
        </w:numPr>
        <w:tabs>
          <w:tab w:val="clear" w:pos="562"/>
        </w:tabs>
        <w:ind w:right="-2"/>
        <w:rPr>
          <w:del w:id="11326" w:author="AbbVie19" w:date="2025-04-16T12:22:00Z"/>
          <w:u w:val="single"/>
        </w:rPr>
      </w:pPr>
      <w:del w:id="11327" w:author="AbbVie19" w:date="2025-04-16T12:22:00Z">
        <w:r w:rsidRPr="00BC0E7E">
          <w:rPr>
            <w:u w:val="single"/>
          </w:rPr>
          <w:delText>Children</w:delText>
        </w:r>
        <w:r w:rsidR="0019735F">
          <w:rPr>
            <w:u w:val="single"/>
          </w:rPr>
          <w:delText>, adolescents and adults</w:delText>
        </w:r>
        <w:r w:rsidRPr="00BC0E7E">
          <w:rPr>
            <w:u w:val="single"/>
          </w:rPr>
          <w:delText xml:space="preserve"> with polyarticular juvenile idiopathic arthritis</w:delText>
        </w:r>
      </w:del>
    </w:p>
    <w:p w14:paraId="6373E8F7" w14:textId="77777777" w:rsidR="0019735F" w:rsidRDefault="0019735F" w:rsidP="0019735F">
      <w:pPr>
        <w:keepNext/>
        <w:numPr>
          <w:ilvl w:val="12"/>
          <w:numId w:val="0"/>
        </w:numPr>
        <w:tabs>
          <w:tab w:val="clear" w:pos="562"/>
          <w:tab w:val="left" w:pos="720"/>
        </w:tabs>
        <w:rPr>
          <w:del w:id="11328" w:author="AbbVie19" w:date="2025-04-16T12:22:00Z"/>
          <w:i/>
        </w:rPr>
      </w:pPr>
    </w:p>
    <w:p w14:paraId="70BD287D" w14:textId="77777777" w:rsidR="0019735F" w:rsidRDefault="00944B8F" w:rsidP="0019735F">
      <w:pPr>
        <w:keepNext/>
        <w:numPr>
          <w:ilvl w:val="12"/>
          <w:numId w:val="0"/>
        </w:numPr>
        <w:tabs>
          <w:tab w:val="clear" w:pos="562"/>
          <w:tab w:val="left" w:pos="720"/>
        </w:tabs>
        <w:rPr>
          <w:del w:id="11329" w:author="AbbVie19" w:date="2025-04-16T12:22:00Z"/>
          <w:i/>
        </w:rPr>
      </w:pPr>
      <w:del w:id="11330" w:author="AbbVie19" w:date="2025-04-16T12:22:00Z">
        <w:r>
          <w:rPr>
            <w:i/>
          </w:rPr>
          <w:delText>Children and adolescents from 2</w:delText>
        </w:r>
        <w:r w:rsidR="002D05CB">
          <w:rPr>
            <w:i/>
          </w:rPr>
          <w:delText> </w:delText>
        </w:r>
        <w:r>
          <w:rPr>
            <w:i/>
          </w:rPr>
          <w:delText>years of age weighing 10</w:delText>
        </w:r>
        <w:r w:rsidR="002D05CB">
          <w:rPr>
            <w:i/>
          </w:rPr>
          <w:delText> </w:delText>
        </w:r>
        <w:r>
          <w:rPr>
            <w:i/>
          </w:rPr>
          <w:delText>kg to less than 30</w:delText>
        </w:r>
        <w:r w:rsidR="002D05CB">
          <w:rPr>
            <w:i/>
          </w:rPr>
          <w:delText> </w:delText>
        </w:r>
        <w:r>
          <w:rPr>
            <w:i/>
          </w:rPr>
          <w:delText>kg</w:delText>
        </w:r>
      </w:del>
    </w:p>
    <w:p w14:paraId="23C73EAB" w14:textId="77777777" w:rsidR="0019735F" w:rsidRDefault="0019735F" w:rsidP="0019735F">
      <w:pPr>
        <w:keepNext/>
        <w:numPr>
          <w:ilvl w:val="12"/>
          <w:numId w:val="0"/>
        </w:numPr>
        <w:tabs>
          <w:tab w:val="clear" w:pos="562"/>
          <w:tab w:val="left" w:pos="720"/>
        </w:tabs>
        <w:rPr>
          <w:del w:id="11331" w:author="AbbVie19" w:date="2025-04-16T12:22:00Z"/>
          <w:u w:val="single"/>
        </w:rPr>
      </w:pPr>
    </w:p>
    <w:p w14:paraId="2DBBF852" w14:textId="77777777" w:rsidR="0019735F" w:rsidRDefault="00944B8F" w:rsidP="0019735F">
      <w:pPr>
        <w:keepNext/>
        <w:numPr>
          <w:ilvl w:val="12"/>
          <w:numId w:val="0"/>
        </w:numPr>
        <w:tabs>
          <w:tab w:val="clear" w:pos="562"/>
          <w:tab w:val="left" w:pos="720"/>
        </w:tabs>
        <w:rPr>
          <w:del w:id="11332" w:author="AbbVie19" w:date="2025-04-16T12:22:00Z"/>
          <w:u w:val="single"/>
        </w:rPr>
      </w:pPr>
      <w:del w:id="11333" w:author="AbbVie19" w:date="2025-04-16T12:22:00Z">
        <w:r>
          <w:delText>The recommended dose of Humira is 20</w:delText>
        </w:r>
        <w:r w:rsidR="002D05CB">
          <w:delText> </w:delText>
        </w:r>
        <w:r>
          <w:delText>mg every other week.</w:delText>
        </w:r>
      </w:del>
    </w:p>
    <w:p w14:paraId="1F321F3C" w14:textId="77777777" w:rsidR="0019735F" w:rsidRDefault="0019735F" w:rsidP="0019735F">
      <w:pPr>
        <w:keepNext/>
        <w:numPr>
          <w:ilvl w:val="12"/>
          <w:numId w:val="0"/>
        </w:numPr>
        <w:tabs>
          <w:tab w:val="clear" w:pos="562"/>
          <w:tab w:val="left" w:pos="720"/>
        </w:tabs>
        <w:rPr>
          <w:del w:id="11334" w:author="AbbVie19" w:date="2025-04-16T12:22:00Z"/>
          <w:u w:val="single"/>
        </w:rPr>
      </w:pPr>
    </w:p>
    <w:p w14:paraId="60E4F22C" w14:textId="77777777" w:rsidR="0019735F" w:rsidRDefault="00944B8F" w:rsidP="0019735F">
      <w:pPr>
        <w:keepNext/>
        <w:numPr>
          <w:ilvl w:val="12"/>
          <w:numId w:val="0"/>
        </w:numPr>
        <w:tabs>
          <w:tab w:val="clear" w:pos="562"/>
          <w:tab w:val="left" w:pos="720"/>
        </w:tabs>
        <w:rPr>
          <w:del w:id="11335" w:author="AbbVie19" w:date="2025-04-16T12:22:00Z"/>
          <w:i/>
        </w:rPr>
      </w:pPr>
      <w:del w:id="11336" w:author="AbbVie19" w:date="2025-04-16T12:22:00Z">
        <w:r>
          <w:rPr>
            <w:i/>
          </w:rPr>
          <w:delText>Children, adolescents and adults from 2</w:delText>
        </w:r>
        <w:r w:rsidR="002D05CB">
          <w:rPr>
            <w:i/>
          </w:rPr>
          <w:delText> </w:delText>
        </w:r>
        <w:r>
          <w:rPr>
            <w:i/>
          </w:rPr>
          <w:delText>years of age weighing 30</w:delText>
        </w:r>
        <w:r w:rsidR="002D05CB">
          <w:rPr>
            <w:i/>
          </w:rPr>
          <w:delText> </w:delText>
        </w:r>
        <w:r>
          <w:rPr>
            <w:i/>
          </w:rPr>
          <w:delText>kg or more</w:delText>
        </w:r>
      </w:del>
    </w:p>
    <w:p w14:paraId="4A2B76B9" w14:textId="77777777" w:rsidR="0019735F" w:rsidRDefault="0019735F" w:rsidP="0019735F">
      <w:pPr>
        <w:keepNext/>
        <w:numPr>
          <w:ilvl w:val="12"/>
          <w:numId w:val="0"/>
        </w:numPr>
        <w:tabs>
          <w:tab w:val="clear" w:pos="562"/>
          <w:tab w:val="left" w:pos="720"/>
        </w:tabs>
        <w:rPr>
          <w:del w:id="11337" w:author="AbbVie19" w:date="2025-04-16T12:22:00Z"/>
        </w:rPr>
      </w:pPr>
    </w:p>
    <w:p w14:paraId="007670E7" w14:textId="77777777" w:rsidR="0019735F" w:rsidRDefault="00944B8F" w:rsidP="0019735F">
      <w:pPr>
        <w:keepNext/>
        <w:numPr>
          <w:ilvl w:val="12"/>
          <w:numId w:val="0"/>
        </w:numPr>
        <w:tabs>
          <w:tab w:val="clear" w:pos="562"/>
          <w:tab w:val="left" w:pos="720"/>
        </w:tabs>
        <w:rPr>
          <w:del w:id="11338" w:author="AbbVie19" w:date="2025-04-16T12:22:00Z"/>
        </w:rPr>
      </w:pPr>
      <w:del w:id="11339" w:author="AbbVie19" w:date="2025-04-16T12:22:00Z">
        <w:r>
          <w:delText>The recommended dose of Humira is 40</w:delText>
        </w:r>
        <w:r w:rsidR="002D05CB">
          <w:delText> </w:delText>
        </w:r>
        <w:r>
          <w:delText>mg every other week.</w:delText>
        </w:r>
      </w:del>
    </w:p>
    <w:p w14:paraId="5AD5EB4A" w14:textId="77777777" w:rsidR="00BC0E7E" w:rsidRPr="00BC0E7E" w:rsidRDefault="00BC0E7E" w:rsidP="00BC0E7E">
      <w:pPr>
        <w:numPr>
          <w:ilvl w:val="12"/>
          <w:numId w:val="0"/>
        </w:numPr>
        <w:tabs>
          <w:tab w:val="clear" w:pos="562"/>
        </w:tabs>
        <w:ind w:right="-2"/>
        <w:rPr>
          <w:del w:id="11340" w:author="AbbVie19" w:date="2025-04-16T12:22:00Z"/>
        </w:rPr>
      </w:pPr>
    </w:p>
    <w:p w14:paraId="5BB05784" w14:textId="77777777" w:rsidR="00BC0E7E" w:rsidRPr="00BC0E7E" w:rsidRDefault="00944B8F" w:rsidP="00171601">
      <w:pPr>
        <w:keepNext/>
        <w:numPr>
          <w:ilvl w:val="12"/>
          <w:numId w:val="0"/>
        </w:numPr>
        <w:ind w:right="-2"/>
        <w:rPr>
          <w:del w:id="11341" w:author="AbbVie19" w:date="2025-04-16T12:22:00Z"/>
          <w:u w:val="single"/>
        </w:rPr>
      </w:pPr>
      <w:del w:id="11342" w:author="AbbVie19" w:date="2025-04-16T12:22:00Z">
        <w:r w:rsidRPr="00BC0E7E">
          <w:rPr>
            <w:u w:val="single"/>
          </w:rPr>
          <w:delText>Children</w:delText>
        </w:r>
        <w:r w:rsidR="0019735F">
          <w:rPr>
            <w:u w:val="single"/>
          </w:rPr>
          <w:delText>, adolescents and adults</w:delText>
        </w:r>
        <w:r w:rsidRPr="00BC0E7E">
          <w:rPr>
            <w:u w:val="single"/>
          </w:rPr>
          <w:delText xml:space="preserve"> with enthesitis-related arthritis</w:delText>
        </w:r>
      </w:del>
    </w:p>
    <w:p w14:paraId="171A3BE5" w14:textId="77777777" w:rsidR="00BC0E7E" w:rsidRPr="00BC0E7E" w:rsidRDefault="00BC0E7E" w:rsidP="00171601">
      <w:pPr>
        <w:keepNext/>
        <w:numPr>
          <w:ilvl w:val="12"/>
          <w:numId w:val="0"/>
        </w:numPr>
        <w:ind w:right="-2"/>
        <w:rPr>
          <w:del w:id="11343" w:author="AbbVie19" w:date="2025-04-16T12:22:00Z"/>
        </w:rPr>
      </w:pPr>
    </w:p>
    <w:p w14:paraId="64788AF8" w14:textId="77777777" w:rsidR="0019735F" w:rsidRDefault="00944B8F" w:rsidP="0019735F">
      <w:pPr>
        <w:numPr>
          <w:ilvl w:val="12"/>
          <w:numId w:val="0"/>
        </w:numPr>
        <w:tabs>
          <w:tab w:val="clear" w:pos="562"/>
          <w:tab w:val="left" w:pos="720"/>
        </w:tabs>
        <w:rPr>
          <w:del w:id="11344" w:author="AbbVie19" w:date="2025-04-16T12:22:00Z"/>
          <w:i/>
        </w:rPr>
      </w:pPr>
      <w:del w:id="11345" w:author="AbbVie19" w:date="2025-04-16T12:22:00Z">
        <w:r>
          <w:rPr>
            <w:i/>
          </w:rPr>
          <w:delText>Children and adolescents from 6</w:delText>
        </w:r>
        <w:r w:rsidR="002D05CB">
          <w:rPr>
            <w:i/>
          </w:rPr>
          <w:delText> </w:delText>
        </w:r>
        <w:r>
          <w:rPr>
            <w:i/>
          </w:rPr>
          <w:delText>years of age weighing 15</w:delText>
        </w:r>
        <w:r w:rsidR="002D05CB">
          <w:rPr>
            <w:i/>
          </w:rPr>
          <w:delText> </w:delText>
        </w:r>
        <w:r>
          <w:rPr>
            <w:i/>
          </w:rPr>
          <w:delText>kg to less than 30</w:delText>
        </w:r>
        <w:r w:rsidR="002D05CB">
          <w:rPr>
            <w:i/>
          </w:rPr>
          <w:delText> </w:delText>
        </w:r>
        <w:r>
          <w:rPr>
            <w:i/>
          </w:rPr>
          <w:delText>kg</w:delText>
        </w:r>
      </w:del>
    </w:p>
    <w:p w14:paraId="7F783092" w14:textId="77777777" w:rsidR="0019735F" w:rsidRDefault="0019735F" w:rsidP="0019735F">
      <w:pPr>
        <w:numPr>
          <w:ilvl w:val="12"/>
          <w:numId w:val="0"/>
        </w:numPr>
        <w:tabs>
          <w:tab w:val="clear" w:pos="562"/>
          <w:tab w:val="left" w:pos="720"/>
        </w:tabs>
        <w:rPr>
          <w:del w:id="11346" w:author="AbbVie19" w:date="2025-04-16T12:22:00Z"/>
          <w:u w:val="single"/>
        </w:rPr>
      </w:pPr>
    </w:p>
    <w:p w14:paraId="40EC4122" w14:textId="77777777" w:rsidR="0019735F" w:rsidRDefault="00944B8F" w:rsidP="0019735F">
      <w:pPr>
        <w:numPr>
          <w:ilvl w:val="12"/>
          <w:numId w:val="0"/>
        </w:numPr>
        <w:tabs>
          <w:tab w:val="clear" w:pos="562"/>
          <w:tab w:val="left" w:pos="720"/>
        </w:tabs>
        <w:rPr>
          <w:del w:id="11347" w:author="AbbVie19" w:date="2025-04-16T12:22:00Z"/>
          <w:u w:val="single"/>
        </w:rPr>
      </w:pPr>
      <w:del w:id="11348" w:author="AbbVie19" w:date="2025-04-16T12:22:00Z">
        <w:r>
          <w:delText>The recommended dose of Humira is 20</w:delText>
        </w:r>
        <w:r w:rsidR="002D05CB">
          <w:delText> </w:delText>
        </w:r>
        <w:r>
          <w:delText>mg every other week.</w:delText>
        </w:r>
      </w:del>
    </w:p>
    <w:p w14:paraId="428B8500" w14:textId="77777777" w:rsidR="0019735F" w:rsidRDefault="0019735F" w:rsidP="0019735F">
      <w:pPr>
        <w:numPr>
          <w:ilvl w:val="12"/>
          <w:numId w:val="0"/>
        </w:numPr>
        <w:tabs>
          <w:tab w:val="clear" w:pos="562"/>
          <w:tab w:val="left" w:pos="720"/>
        </w:tabs>
        <w:rPr>
          <w:del w:id="11349" w:author="AbbVie19" w:date="2025-04-16T12:22:00Z"/>
          <w:u w:val="single"/>
        </w:rPr>
      </w:pPr>
    </w:p>
    <w:p w14:paraId="7D7A2E0F" w14:textId="77777777" w:rsidR="0019735F" w:rsidRDefault="00944B8F" w:rsidP="0019735F">
      <w:pPr>
        <w:numPr>
          <w:ilvl w:val="12"/>
          <w:numId w:val="0"/>
        </w:numPr>
        <w:tabs>
          <w:tab w:val="clear" w:pos="562"/>
          <w:tab w:val="left" w:pos="720"/>
        </w:tabs>
        <w:rPr>
          <w:del w:id="11350" w:author="AbbVie19" w:date="2025-04-16T12:22:00Z"/>
          <w:i/>
        </w:rPr>
      </w:pPr>
      <w:del w:id="11351" w:author="AbbVie19" w:date="2025-04-16T12:22:00Z">
        <w:r>
          <w:rPr>
            <w:i/>
          </w:rPr>
          <w:delText>Children, adolescents and adults from 6</w:delText>
        </w:r>
        <w:r w:rsidR="002D05CB">
          <w:rPr>
            <w:i/>
          </w:rPr>
          <w:delText> </w:delText>
        </w:r>
        <w:r>
          <w:rPr>
            <w:i/>
          </w:rPr>
          <w:delText>years of age weighing 30</w:delText>
        </w:r>
        <w:r w:rsidR="002D05CB">
          <w:rPr>
            <w:i/>
          </w:rPr>
          <w:delText> </w:delText>
        </w:r>
        <w:r>
          <w:rPr>
            <w:i/>
          </w:rPr>
          <w:delText>kg or more</w:delText>
        </w:r>
      </w:del>
    </w:p>
    <w:p w14:paraId="5345E637" w14:textId="77777777" w:rsidR="0019735F" w:rsidRDefault="0019735F" w:rsidP="0019735F">
      <w:pPr>
        <w:numPr>
          <w:ilvl w:val="12"/>
          <w:numId w:val="0"/>
        </w:numPr>
        <w:tabs>
          <w:tab w:val="clear" w:pos="562"/>
          <w:tab w:val="left" w:pos="720"/>
        </w:tabs>
        <w:rPr>
          <w:del w:id="11352" w:author="AbbVie19" w:date="2025-04-16T12:22:00Z"/>
        </w:rPr>
      </w:pPr>
    </w:p>
    <w:p w14:paraId="3B9DB40E" w14:textId="77777777" w:rsidR="0019735F" w:rsidRDefault="00944B8F" w:rsidP="0019735F">
      <w:pPr>
        <w:numPr>
          <w:ilvl w:val="12"/>
          <w:numId w:val="0"/>
        </w:numPr>
        <w:tabs>
          <w:tab w:val="clear" w:pos="562"/>
          <w:tab w:val="left" w:pos="720"/>
        </w:tabs>
        <w:rPr>
          <w:del w:id="11353" w:author="AbbVie19" w:date="2025-04-16T12:22:00Z"/>
        </w:rPr>
      </w:pPr>
      <w:del w:id="11354" w:author="AbbVie19" w:date="2025-04-16T12:22:00Z">
        <w:r>
          <w:delText>The recommended dose of Humira is 40</w:delText>
        </w:r>
        <w:r w:rsidR="002D05CB">
          <w:delText> </w:delText>
        </w:r>
        <w:r>
          <w:delText>mg every other week.</w:delText>
        </w:r>
      </w:del>
    </w:p>
    <w:p w14:paraId="2C116264" w14:textId="77777777" w:rsidR="00BC0E7E" w:rsidRPr="00BC0E7E" w:rsidRDefault="00BC0E7E" w:rsidP="00BC0E7E">
      <w:pPr>
        <w:numPr>
          <w:ilvl w:val="12"/>
          <w:numId w:val="0"/>
        </w:numPr>
        <w:tabs>
          <w:tab w:val="clear" w:pos="562"/>
        </w:tabs>
        <w:ind w:right="-2"/>
        <w:rPr>
          <w:del w:id="11355" w:author="AbbVie19" w:date="2025-04-16T12:22:00Z"/>
        </w:rPr>
      </w:pPr>
    </w:p>
    <w:p w14:paraId="31F85FFC" w14:textId="77777777" w:rsidR="00BC0E7E" w:rsidRPr="00BC0E7E" w:rsidRDefault="00944B8F" w:rsidP="00BC0E7E">
      <w:pPr>
        <w:numPr>
          <w:ilvl w:val="12"/>
          <w:numId w:val="0"/>
        </w:numPr>
        <w:tabs>
          <w:tab w:val="clear" w:pos="562"/>
        </w:tabs>
        <w:ind w:right="-2"/>
        <w:rPr>
          <w:del w:id="11356" w:author="AbbVie19" w:date="2025-04-16T12:22:00Z"/>
          <w:u w:val="single"/>
        </w:rPr>
      </w:pPr>
      <w:del w:id="11357" w:author="AbbVie19" w:date="2025-04-16T12:22:00Z">
        <w:r w:rsidRPr="00BC0E7E">
          <w:rPr>
            <w:u w:val="single"/>
          </w:rPr>
          <w:delText>Adults with psoriasis</w:delText>
        </w:r>
      </w:del>
    </w:p>
    <w:p w14:paraId="20870F3B" w14:textId="77777777" w:rsidR="00BC0E7E" w:rsidRPr="00BC0E7E" w:rsidRDefault="00BC0E7E" w:rsidP="00BC0E7E">
      <w:pPr>
        <w:numPr>
          <w:ilvl w:val="12"/>
          <w:numId w:val="0"/>
        </w:numPr>
        <w:tabs>
          <w:tab w:val="clear" w:pos="562"/>
        </w:tabs>
        <w:ind w:right="-2"/>
        <w:rPr>
          <w:del w:id="11358" w:author="AbbVie19" w:date="2025-04-16T12:22:00Z"/>
        </w:rPr>
      </w:pPr>
    </w:p>
    <w:p w14:paraId="78600540" w14:textId="77777777" w:rsidR="00BC0E7E" w:rsidRDefault="00944B8F" w:rsidP="00BC0E7E">
      <w:pPr>
        <w:numPr>
          <w:ilvl w:val="12"/>
          <w:numId w:val="0"/>
        </w:numPr>
        <w:tabs>
          <w:tab w:val="clear" w:pos="562"/>
        </w:tabs>
        <w:ind w:right="-2"/>
        <w:rPr>
          <w:del w:id="11359" w:author="AbbVie19" w:date="2025-04-16T12:22:00Z"/>
        </w:rPr>
      </w:pPr>
      <w:del w:id="11360" w:author="AbbVie19" w:date="2025-04-16T12:22:00Z">
        <w:r w:rsidRPr="00BC0E7E">
          <w:delText xml:space="preserve">The usual dose for adults with psoriasis is an initial dose </w:delText>
        </w:r>
        <w:r w:rsidR="005012D6">
          <w:delText>of 80 </w:delText>
        </w:r>
        <w:r w:rsidRPr="00BC0E7E">
          <w:delText>mg</w:delText>
        </w:r>
        <w:r w:rsidR="0019735F">
          <w:delText xml:space="preserve"> (as two </w:delText>
        </w:r>
        <w:r w:rsidR="00117836">
          <w:delText>40</w:delText>
        </w:r>
        <w:r w:rsidR="005012D6">
          <w:delText> </w:delText>
        </w:r>
        <w:r w:rsidR="00117836">
          <w:delText xml:space="preserve">mg </w:delText>
        </w:r>
        <w:r w:rsidR="0019735F">
          <w:delText>injections in one day)</w:delText>
        </w:r>
        <w:r w:rsidR="005012D6">
          <w:delText>, followed by 40 </w:delText>
        </w:r>
        <w:r w:rsidRPr="00BC0E7E">
          <w:delText>mg given every other week starting one week after the initial dose. You should continue to inject Humira for as long as your doctor has told you. Depending on your response, your doctor may increase the dos</w:delText>
        </w:r>
        <w:r w:rsidR="00117836">
          <w:delText>ag</w:delText>
        </w:r>
        <w:r w:rsidRPr="00BC0E7E">
          <w:delText xml:space="preserve">e </w:delText>
        </w:r>
        <w:r w:rsidR="005012D6">
          <w:delText>to 40 </w:delText>
        </w:r>
        <w:r w:rsidRPr="00BC0E7E">
          <w:delText>mg every week</w:delText>
        </w:r>
        <w:r w:rsidR="00117836">
          <w:delText xml:space="preserve"> or 80</w:delText>
        </w:r>
        <w:r w:rsidR="005012D6">
          <w:delText> </w:delText>
        </w:r>
        <w:r w:rsidR="00117836">
          <w:delText>mg every other week</w:delText>
        </w:r>
        <w:r w:rsidRPr="00BC0E7E">
          <w:delText>.</w:delText>
        </w:r>
      </w:del>
    </w:p>
    <w:p w14:paraId="16B658A5" w14:textId="77777777" w:rsidR="0019735F" w:rsidRPr="00BC0E7E" w:rsidRDefault="0019735F" w:rsidP="00BC0E7E">
      <w:pPr>
        <w:numPr>
          <w:ilvl w:val="12"/>
          <w:numId w:val="0"/>
        </w:numPr>
        <w:tabs>
          <w:tab w:val="clear" w:pos="562"/>
        </w:tabs>
        <w:ind w:right="-2"/>
        <w:rPr>
          <w:del w:id="11361" w:author="AbbVie19" w:date="2025-04-16T12:22:00Z"/>
        </w:rPr>
      </w:pPr>
    </w:p>
    <w:p w14:paraId="6C737719" w14:textId="77777777" w:rsidR="00BC0E7E" w:rsidRPr="00BC0E7E" w:rsidRDefault="00944B8F" w:rsidP="00BC0E7E">
      <w:pPr>
        <w:keepNext/>
        <w:ind w:right="34"/>
        <w:rPr>
          <w:del w:id="11362" w:author="AbbVie19" w:date="2025-04-16T12:22:00Z"/>
          <w:u w:val="single"/>
        </w:rPr>
      </w:pPr>
      <w:del w:id="11363" w:author="AbbVie19" w:date="2025-04-16T12:22:00Z">
        <w:r w:rsidRPr="00BC0E7E">
          <w:rPr>
            <w:u w:val="single"/>
          </w:rPr>
          <w:delText xml:space="preserve">Children </w:delText>
        </w:r>
        <w:r w:rsidR="0019735F">
          <w:rPr>
            <w:u w:val="single"/>
          </w:rPr>
          <w:delText>and</w:delText>
        </w:r>
        <w:r w:rsidR="0019735F" w:rsidRPr="00BC0E7E">
          <w:rPr>
            <w:u w:val="single"/>
          </w:rPr>
          <w:delText xml:space="preserve"> </w:delText>
        </w:r>
        <w:r w:rsidRPr="00BC0E7E">
          <w:rPr>
            <w:u w:val="single"/>
          </w:rPr>
          <w:delText>adolescents with plaque psoriasis</w:delText>
        </w:r>
      </w:del>
    </w:p>
    <w:p w14:paraId="24ACED06" w14:textId="77777777" w:rsidR="00BC0E7E" w:rsidRPr="00BC0E7E" w:rsidRDefault="00BC0E7E" w:rsidP="00BC0E7E">
      <w:pPr>
        <w:keepNext/>
        <w:ind w:right="34"/>
        <w:rPr>
          <w:del w:id="11364" w:author="AbbVie19" w:date="2025-04-16T12:22:00Z"/>
          <w:u w:val="single"/>
        </w:rPr>
      </w:pPr>
    </w:p>
    <w:p w14:paraId="190DCB3C" w14:textId="77777777" w:rsidR="0019735F" w:rsidRDefault="00944B8F" w:rsidP="0019735F">
      <w:pPr>
        <w:numPr>
          <w:ilvl w:val="12"/>
          <w:numId w:val="0"/>
        </w:numPr>
        <w:tabs>
          <w:tab w:val="clear" w:pos="562"/>
          <w:tab w:val="left" w:pos="1590"/>
        </w:tabs>
        <w:ind w:right="-2"/>
        <w:rPr>
          <w:del w:id="11365" w:author="AbbVie19" w:date="2025-04-16T12:22:00Z"/>
          <w:i/>
        </w:rPr>
      </w:pPr>
      <w:del w:id="11366" w:author="AbbVie19" w:date="2025-04-16T12:22:00Z">
        <w:r>
          <w:rPr>
            <w:i/>
          </w:rPr>
          <w:delText>Children and adolescents from 4 to 17</w:delText>
        </w:r>
        <w:r w:rsidR="002D05CB">
          <w:rPr>
            <w:i/>
          </w:rPr>
          <w:delText> </w:delText>
        </w:r>
        <w:r>
          <w:rPr>
            <w:i/>
          </w:rPr>
          <w:delText>years of age weighing 15</w:delText>
        </w:r>
        <w:r w:rsidR="002D05CB">
          <w:rPr>
            <w:i/>
          </w:rPr>
          <w:delText> </w:delText>
        </w:r>
        <w:r>
          <w:rPr>
            <w:i/>
          </w:rPr>
          <w:delText>kg to less than 30</w:delText>
        </w:r>
        <w:r w:rsidR="002D05CB">
          <w:rPr>
            <w:i/>
          </w:rPr>
          <w:delText> </w:delText>
        </w:r>
        <w:r>
          <w:rPr>
            <w:i/>
          </w:rPr>
          <w:delText>kg</w:delText>
        </w:r>
      </w:del>
    </w:p>
    <w:p w14:paraId="413A7E49" w14:textId="77777777" w:rsidR="0019735F" w:rsidRDefault="0019735F" w:rsidP="0019735F">
      <w:pPr>
        <w:numPr>
          <w:ilvl w:val="12"/>
          <w:numId w:val="0"/>
        </w:numPr>
        <w:tabs>
          <w:tab w:val="clear" w:pos="562"/>
          <w:tab w:val="left" w:pos="1590"/>
        </w:tabs>
        <w:ind w:right="-2"/>
        <w:rPr>
          <w:del w:id="11367" w:author="AbbVie19" w:date="2025-04-16T12:22:00Z"/>
        </w:rPr>
      </w:pPr>
    </w:p>
    <w:p w14:paraId="7C0B86EA" w14:textId="77777777" w:rsidR="0019735F" w:rsidRDefault="00944B8F" w:rsidP="0019735F">
      <w:pPr>
        <w:numPr>
          <w:ilvl w:val="12"/>
          <w:numId w:val="0"/>
        </w:numPr>
        <w:tabs>
          <w:tab w:val="clear" w:pos="562"/>
          <w:tab w:val="left" w:pos="720"/>
        </w:tabs>
        <w:ind w:right="-2"/>
        <w:rPr>
          <w:del w:id="11368" w:author="AbbVie19" w:date="2025-04-16T12:22:00Z"/>
        </w:rPr>
      </w:pPr>
      <w:del w:id="11369" w:author="AbbVie19" w:date="2025-04-16T12:22:00Z">
        <w:r>
          <w:delText>The recommended dose of Humira is an initial dose of 20</w:delText>
        </w:r>
        <w:r w:rsidR="002D05CB">
          <w:delText> </w:delText>
        </w:r>
        <w:r>
          <w:delText>mg, followed by 20</w:delText>
        </w:r>
        <w:r w:rsidR="002D05CB">
          <w:delText> </w:delText>
        </w:r>
        <w:r>
          <w:delText>mg one week later. Thereafter, the usual dose is 20</w:delText>
        </w:r>
        <w:r w:rsidR="002D05CB">
          <w:delText> </w:delText>
        </w:r>
        <w:r>
          <w:delText>mg every other week.</w:delText>
        </w:r>
      </w:del>
    </w:p>
    <w:p w14:paraId="6143BB63" w14:textId="77777777" w:rsidR="0019735F" w:rsidRDefault="0019735F" w:rsidP="0019735F">
      <w:pPr>
        <w:numPr>
          <w:ilvl w:val="12"/>
          <w:numId w:val="0"/>
        </w:numPr>
        <w:tabs>
          <w:tab w:val="clear" w:pos="562"/>
          <w:tab w:val="left" w:pos="720"/>
        </w:tabs>
        <w:ind w:right="-2"/>
        <w:rPr>
          <w:del w:id="11370" w:author="AbbVie19" w:date="2025-04-16T12:22:00Z"/>
        </w:rPr>
      </w:pPr>
    </w:p>
    <w:p w14:paraId="7E78B2E2" w14:textId="77777777" w:rsidR="0019735F" w:rsidRDefault="00944B8F" w:rsidP="0019735F">
      <w:pPr>
        <w:numPr>
          <w:ilvl w:val="12"/>
          <w:numId w:val="0"/>
        </w:numPr>
        <w:tabs>
          <w:tab w:val="clear" w:pos="562"/>
          <w:tab w:val="left" w:pos="720"/>
        </w:tabs>
        <w:ind w:right="-2"/>
        <w:rPr>
          <w:del w:id="11371" w:author="AbbVie19" w:date="2025-04-16T12:22:00Z"/>
          <w:i/>
        </w:rPr>
      </w:pPr>
      <w:del w:id="11372" w:author="AbbVie19" w:date="2025-04-16T12:22:00Z">
        <w:r>
          <w:rPr>
            <w:i/>
          </w:rPr>
          <w:delText>Children and adolescents from 4 to 17</w:delText>
        </w:r>
        <w:r w:rsidR="002D05CB">
          <w:rPr>
            <w:i/>
          </w:rPr>
          <w:delText> </w:delText>
        </w:r>
        <w:r>
          <w:rPr>
            <w:i/>
          </w:rPr>
          <w:delText>years of age weighing 30</w:delText>
        </w:r>
        <w:r w:rsidR="002D05CB">
          <w:rPr>
            <w:i/>
          </w:rPr>
          <w:delText> </w:delText>
        </w:r>
        <w:r>
          <w:rPr>
            <w:i/>
          </w:rPr>
          <w:delText>kg or more</w:delText>
        </w:r>
      </w:del>
    </w:p>
    <w:p w14:paraId="777373D8" w14:textId="77777777" w:rsidR="0019735F" w:rsidRDefault="0019735F" w:rsidP="0019735F">
      <w:pPr>
        <w:numPr>
          <w:ilvl w:val="12"/>
          <w:numId w:val="0"/>
        </w:numPr>
        <w:tabs>
          <w:tab w:val="clear" w:pos="562"/>
          <w:tab w:val="left" w:pos="720"/>
        </w:tabs>
        <w:ind w:right="-2"/>
        <w:rPr>
          <w:del w:id="11373" w:author="AbbVie19" w:date="2025-04-16T12:22:00Z"/>
        </w:rPr>
      </w:pPr>
    </w:p>
    <w:p w14:paraId="23302D77" w14:textId="77777777" w:rsidR="0019735F" w:rsidRDefault="00944B8F" w:rsidP="0019735F">
      <w:pPr>
        <w:numPr>
          <w:ilvl w:val="12"/>
          <w:numId w:val="0"/>
        </w:numPr>
        <w:tabs>
          <w:tab w:val="clear" w:pos="562"/>
          <w:tab w:val="left" w:pos="720"/>
        </w:tabs>
        <w:ind w:right="-2"/>
        <w:rPr>
          <w:del w:id="11374" w:author="AbbVie19" w:date="2025-04-16T12:22:00Z"/>
        </w:rPr>
      </w:pPr>
      <w:del w:id="11375" w:author="AbbVie19" w:date="2025-04-16T12:22:00Z">
        <w:r>
          <w:delText>The recommended dose of Humira is an initial dose of 40</w:delText>
        </w:r>
        <w:r w:rsidR="002D05CB">
          <w:delText> </w:delText>
        </w:r>
        <w:r>
          <w:delText>mg, followed by 40</w:delText>
        </w:r>
        <w:r w:rsidR="002D05CB">
          <w:delText> </w:delText>
        </w:r>
        <w:r>
          <w:delText>mg one week later. Thereafter, the usual dose is 40</w:delText>
        </w:r>
        <w:r w:rsidR="002D05CB">
          <w:delText> </w:delText>
        </w:r>
        <w:r>
          <w:delText>mg every other week.</w:delText>
        </w:r>
      </w:del>
    </w:p>
    <w:p w14:paraId="0A4CFBC9" w14:textId="77777777" w:rsidR="00BC0E7E" w:rsidRPr="00BC0E7E" w:rsidRDefault="00BC0E7E" w:rsidP="00BC0E7E">
      <w:pPr>
        <w:numPr>
          <w:ilvl w:val="12"/>
          <w:numId w:val="0"/>
        </w:numPr>
        <w:tabs>
          <w:tab w:val="clear" w:pos="562"/>
        </w:tabs>
        <w:ind w:right="-2"/>
        <w:rPr>
          <w:del w:id="11376" w:author="AbbVie19" w:date="2025-04-16T12:22:00Z"/>
          <w:szCs w:val="22"/>
        </w:rPr>
      </w:pPr>
    </w:p>
    <w:p w14:paraId="4664016C" w14:textId="77777777" w:rsidR="00BC0E7E" w:rsidRPr="00BC0E7E" w:rsidRDefault="00944B8F" w:rsidP="00BC0E7E">
      <w:pPr>
        <w:keepNext/>
        <w:numPr>
          <w:ilvl w:val="12"/>
          <w:numId w:val="0"/>
        </w:numPr>
        <w:tabs>
          <w:tab w:val="clear" w:pos="562"/>
        </w:tabs>
        <w:ind w:right="-2"/>
        <w:rPr>
          <w:del w:id="11377" w:author="AbbVie19" w:date="2025-04-16T12:22:00Z"/>
          <w:szCs w:val="22"/>
          <w:u w:val="single"/>
        </w:rPr>
      </w:pPr>
      <w:del w:id="11378" w:author="AbbVie19" w:date="2025-04-16T12:22:00Z">
        <w:r w:rsidRPr="00BC0E7E">
          <w:rPr>
            <w:szCs w:val="22"/>
            <w:u w:val="single"/>
          </w:rPr>
          <w:delText>Adults with hidradenitis suppurativa</w:delText>
        </w:r>
      </w:del>
    </w:p>
    <w:p w14:paraId="059756F1" w14:textId="77777777" w:rsidR="00BC0E7E" w:rsidRPr="00BC0E7E" w:rsidRDefault="00BC0E7E" w:rsidP="00BC0E7E">
      <w:pPr>
        <w:keepNext/>
        <w:numPr>
          <w:ilvl w:val="12"/>
          <w:numId w:val="0"/>
        </w:numPr>
        <w:tabs>
          <w:tab w:val="clear" w:pos="562"/>
        </w:tabs>
        <w:ind w:right="-2"/>
        <w:rPr>
          <w:del w:id="11379" w:author="AbbVie19" w:date="2025-04-16T12:22:00Z"/>
          <w:szCs w:val="22"/>
        </w:rPr>
      </w:pPr>
    </w:p>
    <w:p w14:paraId="19EF12B3" w14:textId="77777777" w:rsidR="00BC0E7E" w:rsidRPr="00BC0E7E" w:rsidRDefault="00944B8F" w:rsidP="00BC0E7E">
      <w:pPr>
        <w:keepNext/>
        <w:tabs>
          <w:tab w:val="clear" w:pos="562"/>
        </w:tabs>
        <w:suppressAutoHyphens w:val="0"/>
        <w:rPr>
          <w:del w:id="11380" w:author="AbbVie19" w:date="2025-04-16T12:22:00Z"/>
          <w:szCs w:val="22"/>
        </w:rPr>
      </w:pPr>
      <w:del w:id="11381" w:author="AbbVie19" w:date="2025-04-16T12:22:00Z">
        <w:r w:rsidRPr="00BC0E7E">
          <w:rPr>
            <w:szCs w:val="22"/>
          </w:rPr>
          <w:delText xml:space="preserve">The usual dose regimen for hidradenitis suppurativa is an initial dose of 160 mg (as </w:delText>
        </w:r>
        <w:r w:rsidR="0019735F">
          <w:rPr>
            <w:szCs w:val="22"/>
          </w:rPr>
          <w:delText>four</w:delText>
        </w:r>
        <w:r w:rsidRPr="00BC0E7E">
          <w:rPr>
            <w:szCs w:val="22"/>
          </w:rPr>
          <w:delText xml:space="preserve"> </w:delText>
        </w:r>
        <w:r w:rsidR="00AB0725">
          <w:rPr>
            <w:szCs w:val="22"/>
          </w:rPr>
          <w:delText>40</w:delText>
        </w:r>
        <w:r w:rsidR="005012D6">
          <w:rPr>
            <w:szCs w:val="22"/>
          </w:rPr>
          <w:delText> </w:delText>
        </w:r>
        <w:r w:rsidR="00AB0725">
          <w:rPr>
            <w:szCs w:val="22"/>
          </w:rPr>
          <w:delText xml:space="preserve">mg </w:delText>
        </w:r>
        <w:r w:rsidRPr="00BC0E7E">
          <w:rPr>
            <w:szCs w:val="22"/>
          </w:rPr>
          <w:delText xml:space="preserve">injections in one day or </w:delText>
        </w:r>
        <w:r w:rsidR="0019735F">
          <w:rPr>
            <w:szCs w:val="22"/>
          </w:rPr>
          <w:delText>two</w:delText>
        </w:r>
        <w:r w:rsidRPr="00BC0E7E">
          <w:rPr>
            <w:szCs w:val="22"/>
          </w:rPr>
          <w:delText xml:space="preserve"> </w:delText>
        </w:r>
        <w:r w:rsidR="00AB0725">
          <w:rPr>
            <w:szCs w:val="22"/>
          </w:rPr>
          <w:delText>40</w:delText>
        </w:r>
        <w:r w:rsidR="005012D6">
          <w:rPr>
            <w:szCs w:val="22"/>
          </w:rPr>
          <w:delText> </w:delText>
        </w:r>
        <w:r w:rsidR="00AB0725">
          <w:rPr>
            <w:szCs w:val="22"/>
          </w:rPr>
          <w:delText xml:space="preserve">mg </w:delText>
        </w:r>
        <w:r w:rsidRPr="00BC0E7E">
          <w:rPr>
            <w:szCs w:val="22"/>
          </w:rPr>
          <w:delText xml:space="preserve">injections per day for two consecutive days), followed by an 80 mg dose (as </w:delText>
        </w:r>
        <w:r w:rsidR="0019735F">
          <w:rPr>
            <w:szCs w:val="22"/>
          </w:rPr>
          <w:delText>two</w:delText>
        </w:r>
        <w:r w:rsidRPr="00BC0E7E">
          <w:rPr>
            <w:szCs w:val="22"/>
          </w:rPr>
          <w:delText xml:space="preserve"> </w:delText>
        </w:r>
        <w:r w:rsidR="00AB0725">
          <w:rPr>
            <w:szCs w:val="22"/>
          </w:rPr>
          <w:delText>40</w:delText>
        </w:r>
        <w:r w:rsidR="005012D6">
          <w:rPr>
            <w:szCs w:val="22"/>
          </w:rPr>
          <w:delText> </w:delText>
        </w:r>
        <w:r w:rsidR="00AB0725">
          <w:rPr>
            <w:szCs w:val="22"/>
          </w:rPr>
          <w:delText xml:space="preserve">mg </w:delText>
        </w:r>
        <w:r w:rsidRPr="00BC0E7E">
          <w:rPr>
            <w:szCs w:val="22"/>
          </w:rPr>
          <w:delText xml:space="preserve">injections </w:delText>
        </w:r>
        <w:r w:rsidR="0019735F">
          <w:rPr>
            <w:szCs w:val="22"/>
          </w:rPr>
          <w:delText>in one</w:delText>
        </w:r>
        <w:r w:rsidRPr="00BC0E7E">
          <w:rPr>
            <w:szCs w:val="22"/>
          </w:rPr>
          <w:delText xml:space="preserve"> day) two weeks later. After two further we</w:delText>
        </w:r>
        <w:r w:rsidR="005012D6">
          <w:rPr>
            <w:szCs w:val="22"/>
          </w:rPr>
          <w:delText>eks, continue with a dose of 40 </w:delText>
        </w:r>
        <w:r w:rsidRPr="00BC0E7E">
          <w:rPr>
            <w:szCs w:val="22"/>
          </w:rPr>
          <w:delText>mg every week</w:delText>
        </w:r>
        <w:r w:rsidR="00AB0725">
          <w:rPr>
            <w:szCs w:val="22"/>
          </w:rPr>
          <w:delText xml:space="preserve"> or 80</w:delText>
        </w:r>
        <w:r w:rsidR="005012D6">
          <w:rPr>
            <w:szCs w:val="22"/>
          </w:rPr>
          <w:delText> </w:delText>
        </w:r>
        <w:r w:rsidR="00AB0725">
          <w:rPr>
            <w:szCs w:val="22"/>
          </w:rPr>
          <w:delText>mg every other week</w:delText>
        </w:r>
        <w:r w:rsidR="009641E8">
          <w:rPr>
            <w:szCs w:val="22"/>
          </w:rPr>
          <w:delText>,</w:delText>
        </w:r>
        <w:r w:rsidR="006F23F6">
          <w:rPr>
            <w:szCs w:val="22"/>
          </w:rPr>
          <w:delText xml:space="preserve"> as prescribed by your doctor</w:delText>
        </w:r>
        <w:r w:rsidRPr="00BC0E7E">
          <w:rPr>
            <w:szCs w:val="22"/>
          </w:rPr>
          <w:delText>. It is recommended that you use an antiseptic wash daily on the affected areas.</w:delText>
        </w:r>
      </w:del>
    </w:p>
    <w:p w14:paraId="03AD2AE2" w14:textId="77777777" w:rsidR="00BC0E7E" w:rsidRPr="00BC0E7E" w:rsidRDefault="00BC0E7E" w:rsidP="00BC0E7E">
      <w:pPr>
        <w:numPr>
          <w:ilvl w:val="12"/>
          <w:numId w:val="0"/>
        </w:numPr>
        <w:tabs>
          <w:tab w:val="clear" w:pos="562"/>
        </w:tabs>
        <w:ind w:right="-2"/>
        <w:rPr>
          <w:del w:id="11382" w:author="AbbVie19" w:date="2025-04-16T12:22:00Z"/>
        </w:rPr>
      </w:pPr>
    </w:p>
    <w:p w14:paraId="2552C904" w14:textId="77777777" w:rsidR="00BC0E7E" w:rsidRPr="00BC0E7E" w:rsidRDefault="00944B8F" w:rsidP="0097291B">
      <w:pPr>
        <w:keepNext/>
        <w:numPr>
          <w:ilvl w:val="12"/>
          <w:numId w:val="0"/>
        </w:numPr>
        <w:tabs>
          <w:tab w:val="clear" w:pos="562"/>
        </w:tabs>
        <w:ind w:right="-2"/>
        <w:rPr>
          <w:del w:id="11383" w:author="AbbVie19" w:date="2025-04-16T12:22:00Z"/>
          <w:u w:val="single"/>
        </w:rPr>
      </w:pPr>
      <w:del w:id="11384" w:author="AbbVie19" w:date="2025-04-16T12:22:00Z">
        <w:r w:rsidRPr="00BC0E7E">
          <w:rPr>
            <w:u w:val="single"/>
          </w:rPr>
          <w:lastRenderedPageBreak/>
          <w:delText xml:space="preserve">Adolescents with hidradenitis suppurativa from 12 </w:delText>
        </w:r>
        <w:r w:rsidR="0019735F" w:rsidRPr="0019735F">
          <w:rPr>
            <w:u w:val="single"/>
          </w:rPr>
          <w:delText>to 17</w:delText>
        </w:r>
        <w:r w:rsidR="002D05CB">
          <w:rPr>
            <w:u w:val="single"/>
          </w:rPr>
          <w:delText> </w:delText>
        </w:r>
        <w:r w:rsidRPr="00BC0E7E">
          <w:rPr>
            <w:u w:val="single"/>
          </w:rPr>
          <w:delText xml:space="preserve">years of age weighing </w:delText>
        </w:r>
        <w:r w:rsidR="002D05CB">
          <w:rPr>
            <w:u w:val="single"/>
          </w:rPr>
          <w:delText>30 </w:delText>
        </w:r>
        <w:r w:rsidRPr="00BC0E7E">
          <w:rPr>
            <w:u w:val="single"/>
          </w:rPr>
          <w:delText>kg</w:delText>
        </w:r>
        <w:r w:rsidR="0019735F">
          <w:rPr>
            <w:u w:val="single"/>
          </w:rPr>
          <w:delText xml:space="preserve"> or more</w:delText>
        </w:r>
      </w:del>
    </w:p>
    <w:p w14:paraId="73F658AB" w14:textId="77777777" w:rsidR="00BC0E7E" w:rsidRPr="00BC0E7E" w:rsidRDefault="00BC0E7E" w:rsidP="0097291B">
      <w:pPr>
        <w:keepNext/>
        <w:numPr>
          <w:ilvl w:val="12"/>
          <w:numId w:val="0"/>
        </w:numPr>
        <w:tabs>
          <w:tab w:val="clear" w:pos="562"/>
        </w:tabs>
        <w:ind w:right="-2"/>
        <w:rPr>
          <w:del w:id="11385" w:author="AbbVie19" w:date="2025-04-16T12:22:00Z"/>
        </w:rPr>
      </w:pPr>
    </w:p>
    <w:p w14:paraId="4CB49D7E" w14:textId="77777777" w:rsidR="00BC0E7E" w:rsidRPr="00BC0E7E" w:rsidRDefault="00944B8F" w:rsidP="0097291B">
      <w:pPr>
        <w:keepNext/>
        <w:numPr>
          <w:ilvl w:val="12"/>
          <w:numId w:val="0"/>
        </w:numPr>
        <w:tabs>
          <w:tab w:val="clear" w:pos="562"/>
        </w:tabs>
        <w:ind w:right="-2"/>
        <w:rPr>
          <w:del w:id="11386" w:author="AbbVie19" w:date="2025-04-16T12:22:00Z"/>
        </w:rPr>
      </w:pPr>
      <w:del w:id="11387" w:author="AbbVie19" w:date="2025-04-16T12:22:00Z">
        <w:r w:rsidRPr="00BC0E7E">
          <w:delText xml:space="preserve">The recommended dose of </w:delText>
        </w:r>
        <w:r w:rsidR="002D05CB">
          <w:delText>Humira is an initial dose of 80 </w:delText>
        </w:r>
        <w:r w:rsidRPr="00BC0E7E">
          <w:delText xml:space="preserve">mg </w:delText>
        </w:r>
        <w:r w:rsidRPr="00BC0E7E">
          <w:rPr>
            <w:szCs w:val="22"/>
          </w:rPr>
          <w:delText>(</w:delText>
        </w:r>
        <w:r w:rsidR="0019735F">
          <w:rPr>
            <w:szCs w:val="22"/>
          </w:rPr>
          <w:delText xml:space="preserve">as </w:delText>
        </w:r>
        <w:r w:rsidRPr="00BC0E7E">
          <w:rPr>
            <w:szCs w:val="22"/>
          </w:rPr>
          <w:delText xml:space="preserve">two </w:delText>
        </w:r>
        <w:r w:rsidR="00AB0725">
          <w:rPr>
            <w:szCs w:val="22"/>
          </w:rPr>
          <w:delText>40</w:delText>
        </w:r>
        <w:r w:rsidR="005012D6">
          <w:rPr>
            <w:szCs w:val="22"/>
          </w:rPr>
          <w:delText> </w:delText>
        </w:r>
        <w:r w:rsidR="00AB0725">
          <w:rPr>
            <w:szCs w:val="22"/>
          </w:rPr>
          <w:delText xml:space="preserve">mg </w:delText>
        </w:r>
        <w:r w:rsidRPr="00BC0E7E">
          <w:rPr>
            <w:szCs w:val="22"/>
          </w:rPr>
          <w:delText>injections in one day)</w:delText>
        </w:r>
        <w:r w:rsidR="002D05CB">
          <w:delText>, followed by 40 </w:delText>
        </w:r>
        <w:r w:rsidRPr="00BC0E7E">
          <w:delText>mg every other week starting one week later. If you have an inadequate response</w:delText>
        </w:r>
        <w:r w:rsidR="00AB0725">
          <w:delText xml:space="preserve"> to Humira 40</w:delText>
        </w:r>
        <w:r w:rsidR="005012D6">
          <w:delText> </w:delText>
        </w:r>
        <w:r w:rsidR="00AB0725">
          <w:delText>mg every other week</w:delText>
        </w:r>
        <w:r w:rsidRPr="00BC0E7E">
          <w:delText>, your doctor may in</w:delText>
        </w:r>
        <w:r w:rsidR="002D05CB">
          <w:delText>crease the dos</w:delText>
        </w:r>
        <w:r w:rsidR="00AB0725">
          <w:delText>ag</w:delText>
        </w:r>
        <w:r w:rsidR="002D05CB">
          <w:delText>e to 40 </w:delText>
        </w:r>
        <w:r w:rsidRPr="00BC0E7E">
          <w:delText>mg every week</w:delText>
        </w:r>
        <w:r w:rsidR="00E90AD2">
          <w:delText xml:space="preserve"> or 80</w:delText>
        </w:r>
        <w:r w:rsidR="005012D6">
          <w:delText> </w:delText>
        </w:r>
        <w:r w:rsidR="00E90AD2">
          <w:delText>mg every other week</w:delText>
        </w:r>
        <w:r w:rsidRPr="00BC0E7E">
          <w:delText>.</w:delText>
        </w:r>
      </w:del>
    </w:p>
    <w:p w14:paraId="480AD0E7" w14:textId="77777777" w:rsidR="00BC0E7E" w:rsidRPr="00BC0E7E" w:rsidRDefault="00BC0E7E" w:rsidP="00BC0E7E">
      <w:pPr>
        <w:numPr>
          <w:ilvl w:val="12"/>
          <w:numId w:val="0"/>
        </w:numPr>
        <w:tabs>
          <w:tab w:val="clear" w:pos="562"/>
        </w:tabs>
        <w:ind w:right="-2"/>
        <w:rPr>
          <w:del w:id="11388" w:author="AbbVie19" w:date="2025-04-16T12:22:00Z"/>
        </w:rPr>
      </w:pPr>
    </w:p>
    <w:p w14:paraId="61FCF77F" w14:textId="77777777" w:rsidR="00BC0E7E" w:rsidRPr="00BC0E7E" w:rsidRDefault="00944B8F" w:rsidP="00BC0E7E">
      <w:pPr>
        <w:numPr>
          <w:ilvl w:val="12"/>
          <w:numId w:val="0"/>
        </w:numPr>
        <w:tabs>
          <w:tab w:val="clear" w:pos="562"/>
        </w:tabs>
        <w:ind w:right="-2"/>
        <w:rPr>
          <w:del w:id="11389" w:author="AbbVie19" w:date="2025-04-16T12:22:00Z"/>
        </w:rPr>
      </w:pPr>
      <w:del w:id="11390" w:author="AbbVie19" w:date="2025-04-16T12:22:00Z">
        <w:r w:rsidRPr="00BC0E7E">
          <w:delText>It is recommended that you use an antiseptic wash daily on the affected areas.</w:delText>
        </w:r>
      </w:del>
    </w:p>
    <w:p w14:paraId="40AFAB36" w14:textId="77777777" w:rsidR="00BC0E7E" w:rsidRPr="00BC0E7E" w:rsidRDefault="00BC0E7E" w:rsidP="00BC0E7E">
      <w:pPr>
        <w:numPr>
          <w:ilvl w:val="12"/>
          <w:numId w:val="0"/>
        </w:numPr>
        <w:tabs>
          <w:tab w:val="clear" w:pos="562"/>
        </w:tabs>
        <w:ind w:right="-2"/>
        <w:rPr>
          <w:del w:id="11391" w:author="AbbVie19" w:date="2025-04-16T12:22:00Z"/>
        </w:rPr>
      </w:pPr>
    </w:p>
    <w:p w14:paraId="2E481BEC" w14:textId="77777777" w:rsidR="00BC0E7E" w:rsidRPr="00BC0E7E" w:rsidRDefault="00944B8F" w:rsidP="00BC0E7E">
      <w:pPr>
        <w:keepNext/>
        <w:numPr>
          <w:ilvl w:val="12"/>
          <w:numId w:val="0"/>
        </w:numPr>
        <w:tabs>
          <w:tab w:val="clear" w:pos="562"/>
        </w:tabs>
        <w:rPr>
          <w:del w:id="11392" w:author="AbbVie19" w:date="2025-04-16T12:22:00Z"/>
          <w:u w:val="single"/>
        </w:rPr>
      </w:pPr>
      <w:del w:id="11393" w:author="AbbVie19" w:date="2025-04-16T12:22:00Z">
        <w:r w:rsidRPr="00BC0E7E">
          <w:rPr>
            <w:u w:val="single"/>
          </w:rPr>
          <w:delText>Adults with Crohn’s disease</w:delText>
        </w:r>
      </w:del>
    </w:p>
    <w:p w14:paraId="1F63F664" w14:textId="77777777" w:rsidR="00BC0E7E" w:rsidRPr="00BC0E7E" w:rsidRDefault="00BC0E7E" w:rsidP="00BC0E7E">
      <w:pPr>
        <w:keepNext/>
        <w:numPr>
          <w:ilvl w:val="12"/>
          <w:numId w:val="0"/>
        </w:numPr>
        <w:tabs>
          <w:tab w:val="clear" w:pos="562"/>
        </w:tabs>
        <w:rPr>
          <w:del w:id="11394" w:author="AbbVie19" w:date="2025-04-16T12:22:00Z"/>
        </w:rPr>
      </w:pPr>
    </w:p>
    <w:p w14:paraId="58F02302" w14:textId="77777777" w:rsidR="00BC0E7E" w:rsidRPr="00BC0E7E" w:rsidRDefault="00944B8F" w:rsidP="00BC0E7E">
      <w:pPr>
        <w:keepNext/>
        <w:numPr>
          <w:ilvl w:val="12"/>
          <w:numId w:val="0"/>
        </w:numPr>
        <w:tabs>
          <w:tab w:val="clear" w:pos="562"/>
        </w:tabs>
        <w:rPr>
          <w:del w:id="11395" w:author="AbbVie19" w:date="2025-04-16T12:22:00Z"/>
        </w:rPr>
      </w:pPr>
      <w:del w:id="11396" w:author="AbbVie19" w:date="2025-04-16T12:22:00Z">
        <w:r w:rsidRPr="00BC0E7E">
          <w:delText xml:space="preserve">The usual dose regimen for Crohn’s disease is 80 mg </w:delText>
        </w:r>
        <w:r w:rsidR="0019735F">
          <w:rPr>
            <w:bCs/>
          </w:rPr>
          <w:delText>(as two</w:delText>
        </w:r>
        <w:r w:rsidR="000A6C9F">
          <w:rPr>
            <w:bCs/>
          </w:rPr>
          <w:delText xml:space="preserve"> 40</w:delText>
        </w:r>
        <w:r w:rsidR="005012D6">
          <w:rPr>
            <w:bCs/>
          </w:rPr>
          <w:delText> </w:delText>
        </w:r>
        <w:r w:rsidR="000A6C9F">
          <w:rPr>
            <w:bCs/>
          </w:rPr>
          <w:delText>mg</w:delText>
        </w:r>
        <w:r w:rsidR="0019735F">
          <w:rPr>
            <w:bCs/>
          </w:rPr>
          <w:delText xml:space="preserve"> injections in one day) </w:delText>
        </w:r>
        <w:r w:rsidRPr="00BC0E7E">
          <w:delText xml:space="preserve">initially followed by 40 mg every other week two weeks later. If  a faster response is required your doctor may prescribe an initial dose of 160 mg (as </w:delText>
        </w:r>
        <w:r w:rsidR="0019735F">
          <w:delText>four</w:delText>
        </w:r>
        <w:r w:rsidR="000A6C9F">
          <w:delText xml:space="preserve"> 40</w:delText>
        </w:r>
        <w:r w:rsidR="005012D6">
          <w:delText> </w:delText>
        </w:r>
        <w:r w:rsidR="000A6C9F">
          <w:delText>mg</w:delText>
        </w:r>
        <w:r w:rsidRPr="00BC0E7E">
          <w:delText xml:space="preserve"> injections in one day or </w:delText>
        </w:r>
        <w:r w:rsidR="0019735F">
          <w:delText>two</w:delText>
        </w:r>
        <w:r w:rsidR="000A6C9F">
          <w:delText xml:space="preserve"> 40</w:delText>
        </w:r>
        <w:r w:rsidR="005012D6">
          <w:delText> </w:delText>
        </w:r>
        <w:r w:rsidR="000A6C9F">
          <w:delText>mg</w:delText>
        </w:r>
        <w:r w:rsidRPr="00BC0E7E">
          <w:delText xml:space="preserve"> injections per day for two consecutive days), followed by 80 mg </w:delText>
        </w:r>
        <w:r w:rsidR="0019735F">
          <w:rPr>
            <w:bCs/>
          </w:rPr>
          <w:delText xml:space="preserve">(as two </w:delText>
        </w:r>
        <w:r w:rsidR="000A6C9F">
          <w:rPr>
            <w:bCs/>
          </w:rPr>
          <w:delText>40</w:delText>
        </w:r>
        <w:r w:rsidR="005012D6">
          <w:rPr>
            <w:bCs/>
          </w:rPr>
          <w:delText> </w:delText>
        </w:r>
        <w:r w:rsidR="000A6C9F">
          <w:rPr>
            <w:bCs/>
          </w:rPr>
          <w:delText xml:space="preserve">mg </w:delText>
        </w:r>
        <w:r w:rsidR="0019735F">
          <w:rPr>
            <w:bCs/>
          </w:rPr>
          <w:delText xml:space="preserve">injections in one day) </w:delText>
        </w:r>
        <w:r w:rsidRPr="00BC0E7E">
          <w:delText>two weeks later and thereafter as 40 mg every other week. Depending on your response, your doctor may increase the dos</w:delText>
        </w:r>
        <w:r w:rsidR="000A6C9F">
          <w:delText>ag</w:delText>
        </w:r>
        <w:r w:rsidRPr="00BC0E7E">
          <w:delText>e to 40 mg every week</w:delText>
        </w:r>
        <w:r w:rsidR="000A6C9F">
          <w:delText xml:space="preserve"> or 80</w:delText>
        </w:r>
        <w:r w:rsidR="005012D6">
          <w:delText> </w:delText>
        </w:r>
        <w:r w:rsidR="000A6C9F">
          <w:delText>mg every other week</w:delText>
        </w:r>
        <w:r w:rsidRPr="00BC0E7E">
          <w:delText>.</w:delText>
        </w:r>
      </w:del>
    </w:p>
    <w:p w14:paraId="0F7BE4E9" w14:textId="77777777" w:rsidR="00BC0E7E" w:rsidRPr="00BC0E7E" w:rsidRDefault="00BC0E7E" w:rsidP="00BC0E7E">
      <w:pPr>
        <w:numPr>
          <w:ilvl w:val="12"/>
          <w:numId w:val="0"/>
        </w:numPr>
        <w:tabs>
          <w:tab w:val="clear" w:pos="562"/>
        </w:tabs>
        <w:ind w:right="-2"/>
        <w:rPr>
          <w:del w:id="11397" w:author="AbbVie19" w:date="2025-04-16T12:22:00Z"/>
        </w:rPr>
      </w:pPr>
    </w:p>
    <w:p w14:paraId="1F0988AD" w14:textId="77777777" w:rsidR="00BC0E7E" w:rsidRPr="00BC0E7E" w:rsidRDefault="00944B8F" w:rsidP="00BC0E7E">
      <w:pPr>
        <w:ind w:right="34"/>
        <w:rPr>
          <w:del w:id="11398" w:author="AbbVie19" w:date="2025-04-16T12:22:00Z"/>
          <w:u w:val="single"/>
        </w:rPr>
      </w:pPr>
      <w:del w:id="11399" w:author="AbbVie19" w:date="2025-04-16T12:22:00Z">
        <w:r w:rsidRPr="00BC0E7E">
          <w:rPr>
            <w:u w:val="single"/>
          </w:rPr>
          <w:delText xml:space="preserve">Children </w:delText>
        </w:r>
        <w:r w:rsidR="0019735F">
          <w:rPr>
            <w:u w:val="single"/>
          </w:rPr>
          <w:delText>and</w:delText>
        </w:r>
        <w:r w:rsidR="0019735F" w:rsidRPr="00BC0E7E">
          <w:rPr>
            <w:u w:val="single"/>
          </w:rPr>
          <w:delText xml:space="preserve"> </w:delText>
        </w:r>
        <w:r w:rsidRPr="00BC0E7E">
          <w:rPr>
            <w:u w:val="single"/>
          </w:rPr>
          <w:delText>adolescents with Crohn's disease</w:delText>
        </w:r>
      </w:del>
    </w:p>
    <w:p w14:paraId="4BCD1A02" w14:textId="77777777" w:rsidR="00BC0E7E" w:rsidRPr="00BC0E7E" w:rsidRDefault="00BC0E7E" w:rsidP="00BC0E7E">
      <w:pPr>
        <w:ind w:right="34"/>
        <w:rPr>
          <w:del w:id="11400" w:author="AbbVie19" w:date="2025-04-16T12:22:00Z"/>
        </w:rPr>
      </w:pPr>
    </w:p>
    <w:p w14:paraId="166B8B4E" w14:textId="77777777" w:rsidR="0019735F" w:rsidRDefault="00944B8F" w:rsidP="0019735F">
      <w:pPr>
        <w:ind w:right="34"/>
        <w:rPr>
          <w:del w:id="11401" w:author="AbbVie19" w:date="2025-04-16T12:22:00Z"/>
          <w:bCs/>
          <w:i/>
        </w:rPr>
      </w:pPr>
      <w:del w:id="11402" w:author="AbbVie19" w:date="2025-04-16T12:22:00Z">
        <w:r>
          <w:rPr>
            <w:bCs/>
            <w:i/>
          </w:rPr>
          <w:delText>Children and adolescents from 6 to 17</w:delText>
        </w:r>
        <w:r w:rsidR="002D05CB">
          <w:rPr>
            <w:bCs/>
            <w:i/>
          </w:rPr>
          <w:delText> </w:delText>
        </w:r>
        <w:r>
          <w:rPr>
            <w:bCs/>
            <w:i/>
          </w:rPr>
          <w:delText>years of age weighing less than 40</w:delText>
        </w:r>
        <w:r w:rsidR="002D05CB">
          <w:rPr>
            <w:bCs/>
            <w:i/>
          </w:rPr>
          <w:delText> </w:delText>
        </w:r>
        <w:r>
          <w:rPr>
            <w:bCs/>
            <w:i/>
          </w:rPr>
          <w:delText xml:space="preserve">kg  </w:delText>
        </w:r>
      </w:del>
    </w:p>
    <w:p w14:paraId="36CBFB3D" w14:textId="77777777" w:rsidR="00BC0E7E" w:rsidRPr="00BC0E7E" w:rsidRDefault="00BC0E7E" w:rsidP="00BC0E7E">
      <w:pPr>
        <w:ind w:right="34"/>
        <w:rPr>
          <w:del w:id="11403" w:author="AbbVie19" w:date="2025-04-16T12:22:00Z"/>
          <w:bCs/>
        </w:rPr>
      </w:pPr>
    </w:p>
    <w:p w14:paraId="4A722D13" w14:textId="77777777" w:rsidR="00BC0E7E" w:rsidRPr="00BC0E7E" w:rsidRDefault="00944B8F" w:rsidP="00BC0E7E">
      <w:pPr>
        <w:ind w:right="34"/>
        <w:rPr>
          <w:del w:id="11404" w:author="AbbVie19" w:date="2025-04-16T12:22:00Z"/>
          <w:bCs/>
        </w:rPr>
      </w:pPr>
      <w:del w:id="11405" w:author="AbbVie19" w:date="2025-04-16T12:22:00Z">
        <w:r>
          <w:rPr>
            <w:bCs/>
          </w:rPr>
          <w:delText>The usual dose regimen is 40 </w:delText>
        </w:r>
        <w:r w:rsidRPr="00BC0E7E">
          <w:rPr>
            <w:bCs/>
          </w:rPr>
          <w:delText>mg initially followed by 20</w:delText>
        </w:r>
        <w:r>
          <w:rPr>
            <w:bCs/>
          </w:rPr>
          <w:delText> </w:delText>
        </w:r>
        <w:r w:rsidRPr="00BC0E7E">
          <w:rPr>
            <w:bCs/>
          </w:rPr>
          <w:delText xml:space="preserve">mg two weeks later. If a faster response is required, your doctor may </w:delText>
        </w:r>
        <w:r>
          <w:rPr>
            <w:bCs/>
          </w:rPr>
          <w:delText>prescribe an initial dose of 80 </w:delText>
        </w:r>
        <w:r w:rsidRPr="00BC0E7E">
          <w:rPr>
            <w:bCs/>
          </w:rPr>
          <w:delText xml:space="preserve">mg (as </w:delText>
        </w:r>
        <w:r w:rsidR="0019735F">
          <w:rPr>
            <w:bCs/>
          </w:rPr>
          <w:delText>two</w:delText>
        </w:r>
        <w:r w:rsidRPr="00BC0E7E">
          <w:rPr>
            <w:bCs/>
          </w:rPr>
          <w:delText xml:space="preserve"> </w:delText>
        </w:r>
        <w:r w:rsidR="00AA532D">
          <w:rPr>
            <w:bCs/>
          </w:rPr>
          <w:delText>40</w:delText>
        </w:r>
        <w:r>
          <w:rPr>
            <w:bCs/>
          </w:rPr>
          <w:delText> </w:delText>
        </w:r>
        <w:r w:rsidR="00AA532D">
          <w:rPr>
            <w:bCs/>
          </w:rPr>
          <w:delText xml:space="preserve">mg </w:delText>
        </w:r>
        <w:r w:rsidRPr="00BC0E7E">
          <w:rPr>
            <w:bCs/>
          </w:rPr>
          <w:delText xml:space="preserve">injections in </w:delText>
        </w:r>
        <w:r w:rsidR="0019735F">
          <w:rPr>
            <w:bCs/>
          </w:rPr>
          <w:delText>one</w:delText>
        </w:r>
        <w:r w:rsidRPr="00BC0E7E">
          <w:rPr>
            <w:bCs/>
          </w:rPr>
          <w:delText xml:space="preserve"> day) followed by 40 mg two weeks later.</w:delText>
        </w:r>
      </w:del>
    </w:p>
    <w:p w14:paraId="19380A8C" w14:textId="77777777" w:rsidR="00BC0E7E" w:rsidRPr="00BC0E7E" w:rsidRDefault="00BC0E7E" w:rsidP="00BC0E7E">
      <w:pPr>
        <w:ind w:right="34"/>
        <w:rPr>
          <w:del w:id="11406" w:author="AbbVie19" w:date="2025-04-16T12:22:00Z"/>
          <w:bCs/>
        </w:rPr>
      </w:pPr>
    </w:p>
    <w:p w14:paraId="15F94BC4" w14:textId="77777777" w:rsidR="00BC0E7E" w:rsidRPr="00BC0E7E" w:rsidRDefault="00944B8F" w:rsidP="00BC0E7E">
      <w:pPr>
        <w:ind w:right="34"/>
        <w:rPr>
          <w:del w:id="11407" w:author="AbbVie19" w:date="2025-04-16T12:22:00Z"/>
          <w:bCs/>
        </w:rPr>
      </w:pPr>
      <w:del w:id="11408" w:author="AbbVie19" w:date="2025-04-16T12:22:00Z">
        <w:r w:rsidRPr="00BC0E7E">
          <w:rPr>
            <w:bCs/>
          </w:rPr>
          <w:delText>T</w:delText>
        </w:r>
        <w:r w:rsidR="005012D6">
          <w:rPr>
            <w:bCs/>
          </w:rPr>
          <w:delText>hereafter, the usual dose is 20 </w:delText>
        </w:r>
        <w:r w:rsidRPr="00BC0E7E">
          <w:rPr>
            <w:bCs/>
          </w:rPr>
          <w:delText>mg every other week. Depending on your response, your doctor may in</w:delText>
        </w:r>
        <w:r w:rsidR="005012D6">
          <w:rPr>
            <w:bCs/>
          </w:rPr>
          <w:delText>crease the dose frequency to 20 </w:delText>
        </w:r>
        <w:r w:rsidRPr="00BC0E7E">
          <w:rPr>
            <w:bCs/>
          </w:rPr>
          <w:delText xml:space="preserve">mg every week.  </w:delText>
        </w:r>
      </w:del>
    </w:p>
    <w:p w14:paraId="17DC6CCE" w14:textId="77777777" w:rsidR="00BC0E7E" w:rsidRPr="00BC0E7E" w:rsidRDefault="00BC0E7E" w:rsidP="00BC0E7E">
      <w:pPr>
        <w:ind w:right="34"/>
        <w:rPr>
          <w:del w:id="11409" w:author="AbbVie19" w:date="2025-04-16T12:22:00Z"/>
          <w:bCs/>
        </w:rPr>
      </w:pPr>
    </w:p>
    <w:p w14:paraId="7E46E310" w14:textId="77777777" w:rsidR="00BC0E7E" w:rsidRPr="00BC0E7E" w:rsidRDefault="00944B8F" w:rsidP="00171601">
      <w:pPr>
        <w:keepNext/>
        <w:ind w:right="34"/>
        <w:rPr>
          <w:del w:id="11410" w:author="AbbVie19" w:date="2025-04-16T12:22:00Z"/>
          <w:bCs/>
        </w:rPr>
      </w:pPr>
      <w:del w:id="11411" w:author="AbbVie19" w:date="2025-04-16T12:22:00Z">
        <w:r>
          <w:rPr>
            <w:bCs/>
            <w:i/>
          </w:rPr>
          <w:delText>Children and adolescents from 6 to 17</w:delText>
        </w:r>
        <w:r w:rsidR="002D05CB">
          <w:rPr>
            <w:bCs/>
            <w:i/>
          </w:rPr>
          <w:delText> </w:delText>
        </w:r>
        <w:r>
          <w:rPr>
            <w:bCs/>
            <w:i/>
          </w:rPr>
          <w:delText>years of age weighing 40</w:delText>
        </w:r>
        <w:r w:rsidR="002D05CB">
          <w:rPr>
            <w:bCs/>
            <w:i/>
          </w:rPr>
          <w:delText> </w:delText>
        </w:r>
        <w:r>
          <w:rPr>
            <w:bCs/>
            <w:i/>
          </w:rPr>
          <w:delText>kg or more</w:delText>
        </w:r>
      </w:del>
    </w:p>
    <w:p w14:paraId="0081E0EA" w14:textId="77777777" w:rsidR="00BC0E7E" w:rsidRPr="00BC0E7E" w:rsidRDefault="00944B8F" w:rsidP="00171601">
      <w:pPr>
        <w:keepNext/>
        <w:ind w:right="34"/>
        <w:rPr>
          <w:del w:id="11412" w:author="AbbVie19" w:date="2025-04-16T12:22:00Z"/>
          <w:bCs/>
        </w:rPr>
      </w:pPr>
      <w:del w:id="11413" w:author="AbbVie19" w:date="2025-04-16T12:22:00Z">
        <w:r>
          <w:rPr>
            <w:bCs/>
          </w:rPr>
          <w:delText>The usual dose regimen is 80 </w:delText>
        </w:r>
        <w:r w:rsidRPr="00BC0E7E">
          <w:rPr>
            <w:bCs/>
          </w:rPr>
          <w:delText>mg</w:delText>
        </w:r>
        <w:r w:rsidR="008B7BCC">
          <w:rPr>
            <w:bCs/>
          </w:rPr>
          <w:delText xml:space="preserve"> </w:delText>
        </w:r>
        <w:r w:rsidR="008B7BCC">
          <w:delText xml:space="preserve">(as two </w:delText>
        </w:r>
        <w:r w:rsidR="00AA532D">
          <w:delText>40</w:delText>
        </w:r>
        <w:r>
          <w:delText> </w:delText>
        </w:r>
        <w:r w:rsidR="00AA532D">
          <w:delText xml:space="preserve">mg </w:delText>
        </w:r>
        <w:r w:rsidR="008B7BCC">
          <w:delText xml:space="preserve">injections in one day) </w:delText>
        </w:r>
        <w:r>
          <w:rPr>
            <w:bCs/>
          </w:rPr>
          <w:delText>initially followed by 40 </w:delText>
        </w:r>
        <w:r w:rsidRPr="00BC0E7E">
          <w:rPr>
            <w:bCs/>
          </w:rPr>
          <w:delText>mg two weeks later. If a faster response is required, your doctor may p</w:delText>
        </w:r>
        <w:r>
          <w:rPr>
            <w:bCs/>
          </w:rPr>
          <w:delText>rescribe an initial dose of 160 </w:delText>
        </w:r>
        <w:r w:rsidRPr="00BC0E7E">
          <w:rPr>
            <w:bCs/>
          </w:rPr>
          <w:delText xml:space="preserve">mg (as </w:delText>
        </w:r>
        <w:r w:rsidR="008B7BCC">
          <w:rPr>
            <w:bCs/>
          </w:rPr>
          <w:delText>four</w:delText>
        </w:r>
        <w:r w:rsidR="00AA532D">
          <w:rPr>
            <w:bCs/>
          </w:rPr>
          <w:delText xml:space="preserve"> 40</w:delText>
        </w:r>
        <w:r>
          <w:rPr>
            <w:bCs/>
          </w:rPr>
          <w:delText> </w:delText>
        </w:r>
        <w:r w:rsidR="00AA532D">
          <w:rPr>
            <w:bCs/>
          </w:rPr>
          <w:delText>mg</w:delText>
        </w:r>
        <w:r w:rsidRPr="00BC0E7E">
          <w:rPr>
            <w:bCs/>
          </w:rPr>
          <w:delText xml:space="preserve"> injections in </w:delText>
        </w:r>
        <w:r w:rsidR="008B7BCC">
          <w:rPr>
            <w:bCs/>
          </w:rPr>
          <w:delText>one</w:delText>
        </w:r>
        <w:r w:rsidRPr="00BC0E7E">
          <w:rPr>
            <w:bCs/>
          </w:rPr>
          <w:delText xml:space="preserve"> day or as </w:delText>
        </w:r>
        <w:r w:rsidR="008B7BCC">
          <w:rPr>
            <w:bCs/>
          </w:rPr>
          <w:delText>two</w:delText>
        </w:r>
        <w:r w:rsidRPr="00BC0E7E">
          <w:rPr>
            <w:bCs/>
          </w:rPr>
          <w:delText xml:space="preserve"> </w:delText>
        </w:r>
        <w:r w:rsidR="00AA532D">
          <w:rPr>
            <w:bCs/>
          </w:rPr>
          <w:delText>40</w:delText>
        </w:r>
        <w:r>
          <w:rPr>
            <w:bCs/>
          </w:rPr>
          <w:delText> </w:delText>
        </w:r>
        <w:r w:rsidR="00AA532D">
          <w:rPr>
            <w:bCs/>
          </w:rPr>
          <w:delText xml:space="preserve">mg </w:delText>
        </w:r>
        <w:r w:rsidRPr="00BC0E7E">
          <w:rPr>
            <w:bCs/>
          </w:rPr>
          <w:delText xml:space="preserve">injections per day for </w:delText>
        </w:r>
        <w:r w:rsidR="008B7BCC">
          <w:rPr>
            <w:bCs/>
          </w:rPr>
          <w:delText>two</w:delText>
        </w:r>
        <w:r w:rsidRPr="00BC0E7E">
          <w:rPr>
            <w:bCs/>
          </w:rPr>
          <w:delText xml:space="preserve"> c</w:delText>
        </w:r>
        <w:r>
          <w:rPr>
            <w:bCs/>
          </w:rPr>
          <w:delText>onsecutive days) followed by 80 </w:delText>
        </w:r>
        <w:r w:rsidRPr="00BC0E7E">
          <w:rPr>
            <w:bCs/>
          </w:rPr>
          <w:delText xml:space="preserve">mg </w:delText>
        </w:r>
        <w:r w:rsidR="008B7BCC">
          <w:rPr>
            <w:bCs/>
          </w:rPr>
          <w:delText xml:space="preserve">(as two </w:delText>
        </w:r>
        <w:r w:rsidR="00AA532D">
          <w:rPr>
            <w:bCs/>
          </w:rPr>
          <w:delText>40</w:delText>
        </w:r>
        <w:r>
          <w:rPr>
            <w:bCs/>
          </w:rPr>
          <w:delText> </w:delText>
        </w:r>
        <w:r w:rsidR="00AA532D">
          <w:rPr>
            <w:bCs/>
          </w:rPr>
          <w:delText xml:space="preserve">mg </w:delText>
        </w:r>
        <w:r w:rsidR="008B7BCC">
          <w:rPr>
            <w:bCs/>
          </w:rPr>
          <w:delText xml:space="preserve">injections in one day) </w:delText>
        </w:r>
        <w:r w:rsidRPr="00BC0E7E">
          <w:rPr>
            <w:bCs/>
          </w:rPr>
          <w:delText>two weeks later.</w:delText>
        </w:r>
      </w:del>
    </w:p>
    <w:p w14:paraId="119E2D7A" w14:textId="77777777" w:rsidR="00BC0E7E" w:rsidRPr="00BC0E7E" w:rsidRDefault="00BC0E7E" w:rsidP="00BC0E7E">
      <w:pPr>
        <w:ind w:right="34"/>
        <w:rPr>
          <w:del w:id="11414" w:author="AbbVie19" w:date="2025-04-16T12:22:00Z"/>
          <w:bCs/>
        </w:rPr>
      </w:pPr>
    </w:p>
    <w:p w14:paraId="7C436B33" w14:textId="77777777" w:rsidR="00BC0E7E" w:rsidRPr="00BC0E7E" w:rsidRDefault="00944B8F" w:rsidP="00BC0E7E">
      <w:pPr>
        <w:ind w:right="34"/>
        <w:rPr>
          <w:del w:id="11415" w:author="AbbVie19" w:date="2025-04-16T12:22:00Z"/>
          <w:bCs/>
        </w:rPr>
      </w:pPr>
      <w:del w:id="11416" w:author="AbbVie19" w:date="2025-04-16T12:22:00Z">
        <w:r w:rsidRPr="00BC0E7E">
          <w:rPr>
            <w:bCs/>
          </w:rPr>
          <w:delText>Thereafter, the usual dose is 40</w:delText>
        </w:r>
        <w:r w:rsidR="005012D6">
          <w:rPr>
            <w:bCs/>
          </w:rPr>
          <w:delText> </w:delText>
        </w:r>
        <w:r w:rsidRPr="00BC0E7E">
          <w:rPr>
            <w:bCs/>
          </w:rPr>
          <w:delText>mg every other week. Depending on your response, your doctor may increase the dos</w:delText>
        </w:r>
        <w:r w:rsidR="00AA532D">
          <w:rPr>
            <w:bCs/>
          </w:rPr>
          <w:delText>ag</w:delText>
        </w:r>
        <w:r w:rsidRPr="00BC0E7E">
          <w:rPr>
            <w:bCs/>
          </w:rPr>
          <w:delText>e</w:delText>
        </w:r>
        <w:r w:rsidR="005012D6">
          <w:rPr>
            <w:bCs/>
          </w:rPr>
          <w:delText xml:space="preserve"> to 40 </w:delText>
        </w:r>
        <w:r w:rsidRPr="00BC0E7E">
          <w:rPr>
            <w:bCs/>
          </w:rPr>
          <w:delText>mg every week</w:delText>
        </w:r>
        <w:r w:rsidR="00AA532D">
          <w:rPr>
            <w:bCs/>
          </w:rPr>
          <w:delText xml:space="preserve"> or 80</w:delText>
        </w:r>
        <w:r w:rsidR="005012D6">
          <w:rPr>
            <w:bCs/>
          </w:rPr>
          <w:delText> </w:delText>
        </w:r>
        <w:r w:rsidR="00AA532D">
          <w:rPr>
            <w:bCs/>
          </w:rPr>
          <w:delText>mg every other week</w:delText>
        </w:r>
        <w:r w:rsidRPr="00BC0E7E">
          <w:rPr>
            <w:bCs/>
          </w:rPr>
          <w:delText>.</w:delText>
        </w:r>
      </w:del>
    </w:p>
    <w:p w14:paraId="41746C9D" w14:textId="77777777" w:rsidR="00BC0E7E" w:rsidRPr="00BC0E7E" w:rsidRDefault="00BC0E7E" w:rsidP="00BC0E7E">
      <w:pPr>
        <w:suppressAutoHyphens w:val="0"/>
        <w:autoSpaceDE w:val="0"/>
        <w:autoSpaceDN w:val="0"/>
        <w:adjustRightInd w:val="0"/>
        <w:rPr>
          <w:del w:id="11417" w:author="AbbVie19" w:date="2025-04-16T12:22:00Z"/>
          <w:szCs w:val="22"/>
        </w:rPr>
      </w:pPr>
    </w:p>
    <w:p w14:paraId="2A77A69E" w14:textId="77777777" w:rsidR="00BC0E7E" w:rsidRPr="00BC0E7E" w:rsidRDefault="00944B8F" w:rsidP="00BC0E7E">
      <w:pPr>
        <w:numPr>
          <w:ilvl w:val="12"/>
          <w:numId w:val="0"/>
        </w:numPr>
        <w:tabs>
          <w:tab w:val="clear" w:pos="562"/>
        </w:tabs>
        <w:ind w:right="-2"/>
        <w:rPr>
          <w:del w:id="11418" w:author="AbbVie19" w:date="2025-04-16T12:22:00Z"/>
          <w:u w:val="single"/>
        </w:rPr>
      </w:pPr>
      <w:del w:id="11419" w:author="AbbVie19" w:date="2025-04-16T12:22:00Z">
        <w:r w:rsidRPr="00BC0E7E">
          <w:rPr>
            <w:u w:val="single"/>
          </w:rPr>
          <w:delText>Adults with ulcerative colitis</w:delText>
        </w:r>
      </w:del>
    </w:p>
    <w:p w14:paraId="4B3FBE3C" w14:textId="77777777" w:rsidR="00BC0E7E" w:rsidRPr="00BC0E7E" w:rsidRDefault="00BC0E7E" w:rsidP="00BC0E7E">
      <w:pPr>
        <w:numPr>
          <w:ilvl w:val="12"/>
          <w:numId w:val="0"/>
        </w:numPr>
        <w:tabs>
          <w:tab w:val="clear" w:pos="562"/>
        </w:tabs>
        <w:ind w:right="-2"/>
        <w:rPr>
          <w:del w:id="11420" w:author="AbbVie19" w:date="2025-04-16T12:22:00Z"/>
        </w:rPr>
      </w:pPr>
    </w:p>
    <w:p w14:paraId="6771DE88" w14:textId="77777777" w:rsidR="00BC0E7E" w:rsidRPr="00BC0E7E" w:rsidRDefault="00944B8F" w:rsidP="00BC0E7E">
      <w:pPr>
        <w:numPr>
          <w:ilvl w:val="12"/>
          <w:numId w:val="0"/>
        </w:numPr>
        <w:tabs>
          <w:tab w:val="clear" w:pos="562"/>
        </w:tabs>
        <w:ind w:right="-2"/>
        <w:rPr>
          <w:del w:id="11421" w:author="AbbVie19" w:date="2025-04-16T12:22:00Z"/>
        </w:rPr>
      </w:pPr>
      <w:del w:id="11422" w:author="AbbVie19" w:date="2025-04-16T12:22:00Z">
        <w:r w:rsidRPr="00BC0E7E">
          <w:delText xml:space="preserve">The usual Humira dose for adults with ulcerative colitis is 160 mg </w:delText>
        </w:r>
        <w:r w:rsidR="008B7BCC">
          <w:rPr>
            <w:bCs/>
          </w:rPr>
          <w:delText xml:space="preserve">(as four </w:delText>
        </w:r>
        <w:r w:rsidR="00190C6C">
          <w:rPr>
            <w:bCs/>
          </w:rPr>
          <w:delText>40</w:delText>
        </w:r>
        <w:r w:rsidR="005012D6">
          <w:rPr>
            <w:bCs/>
          </w:rPr>
          <w:delText> </w:delText>
        </w:r>
        <w:r w:rsidR="00190C6C">
          <w:rPr>
            <w:bCs/>
          </w:rPr>
          <w:delText xml:space="preserve">mg </w:delText>
        </w:r>
        <w:r w:rsidR="008B7BCC">
          <w:rPr>
            <w:bCs/>
          </w:rPr>
          <w:delText xml:space="preserve">injections in one day or two </w:delText>
        </w:r>
        <w:r w:rsidR="00190C6C">
          <w:rPr>
            <w:bCs/>
          </w:rPr>
          <w:delText>40</w:delText>
        </w:r>
        <w:r w:rsidR="005012D6">
          <w:rPr>
            <w:bCs/>
          </w:rPr>
          <w:delText> </w:delText>
        </w:r>
        <w:r w:rsidR="00190C6C">
          <w:rPr>
            <w:bCs/>
          </w:rPr>
          <w:delText xml:space="preserve">mg </w:delText>
        </w:r>
        <w:r w:rsidR="008B7BCC">
          <w:rPr>
            <w:bCs/>
          </w:rPr>
          <w:delText xml:space="preserve">injections per day for two consecutive days) </w:delText>
        </w:r>
        <w:r w:rsidRPr="00BC0E7E">
          <w:delText xml:space="preserve">at Week 0 and 80 mg </w:delText>
        </w:r>
        <w:r w:rsidR="008B7BCC">
          <w:rPr>
            <w:bCs/>
          </w:rPr>
          <w:delText xml:space="preserve">(as two </w:delText>
        </w:r>
        <w:r w:rsidR="00190C6C">
          <w:rPr>
            <w:bCs/>
          </w:rPr>
          <w:delText>40</w:delText>
        </w:r>
        <w:r w:rsidR="005012D6">
          <w:rPr>
            <w:bCs/>
          </w:rPr>
          <w:delText> </w:delText>
        </w:r>
        <w:r w:rsidR="00190C6C">
          <w:rPr>
            <w:bCs/>
          </w:rPr>
          <w:delText xml:space="preserve">mg </w:delText>
        </w:r>
        <w:r w:rsidR="008B7BCC">
          <w:rPr>
            <w:bCs/>
          </w:rPr>
          <w:delText xml:space="preserve">injections in one day) </w:delText>
        </w:r>
        <w:r w:rsidRPr="00BC0E7E">
          <w:delText>at Week 2 and thereafter 40 mg every other week. Depending on your response, your doctor may increase the dos</w:delText>
        </w:r>
        <w:r w:rsidR="00190C6C">
          <w:delText>ag</w:delText>
        </w:r>
        <w:r w:rsidRPr="00BC0E7E">
          <w:delText>e to 40 mg every week</w:delText>
        </w:r>
        <w:r w:rsidR="00190C6C">
          <w:delText xml:space="preserve"> or 80</w:delText>
        </w:r>
        <w:r w:rsidR="005012D6">
          <w:delText> </w:delText>
        </w:r>
        <w:r w:rsidR="00190C6C">
          <w:delText>mg every other week</w:delText>
        </w:r>
        <w:r w:rsidRPr="00BC0E7E">
          <w:delText xml:space="preserve">. </w:delText>
        </w:r>
      </w:del>
    </w:p>
    <w:p w14:paraId="16730656" w14:textId="77777777" w:rsidR="00BC0E7E" w:rsidRPr="00BC0E7E" w:rsidRDefault="00BC0E7E" w:rsidP="00BC0E7E">
      <w:pPr>
        <w:numPr>
          <w:ilvl w:val="12"/>
          <w:numId w:val="0"/>
        </w:numPr>
        <w:tabs>
          <w:tab w:val="clear" w:pos="562"/>
        </w:tabs>
        <w:ind w:right="-2"/>
        <w:rPr>
          <w:del w:id="11423" w:author="AbbVie19" w:date="2025-04-16T12:22:00Z"/>
        </w:rPr>
      </w:pPr>
    </w:p>
    <w:p w14:paraId="55C6DF8B" w14:textId="77777777" w:rsidR="000E79BD" w:rsidRPr="00DE4371" w:rsidRDefault="00944B8F" w:rsidP="000E79BD">
      <w:pPr>
        <w:numPr>
          <w:ilvl w:val="12"/>
          <w:numId w:val="0"/>
        </w:numPr>
        <w:tabs>
          <w:tab w:val="clear" w:pos="562"/>
        </w:tabs>
        <w:ind w:right="-2"/>
        <w:rPr>
          <w:del w:id="11424" w:author="AbbVie19" w:date="2025-04-16T12:22:00Z"/>
          <w:u w:val="single"/>
        </w:rPr>
      </w:pPr>
      <w:del w:id="11425" w:author="AbbVie19" w:date="2025-04-16T12:22:00Z">
        <w:r w:rsidRPr="00DE4371">
          <w:rPr>
            <w:u w:val="single"/>
          </w:rPr>
          <w:delText xml:space="preserve">Children and adolescents </w:delText>
        </w:r>
        <w:r>
          <w:rPr>
            <w:u w:val="single"/>
          </w:rPr>
          <w:delText>with ulcerative colitis</w:delText>
        </w:r>
      </w:del>
    </w:p>
    <w:p w14:paraId="497AAA37" w14:textId="77777777" w:rsidR="000E79BD" w:rsidRDefault="000E79BD" w:rsidP="000E79BD">
      <w:pPr>
        <w:numPr>
          <w:ilvl w:val="12"/>
          <w:numId w:val="0"/>
        </w:numPr>
        <w:tabs>
          <w:tab w:val="clear" w:pos="562"/>
        </w:tabs>
        <w:ind w:right="-2"/>
        <w:rPr>
          <w:del w:id="11426" w:author="AbbVie19" w:date="2025-04-16T12:22:00Z"/>
        </w:rPr>
      </w:pPr>
    </w:p>
    <w:p w14:paraId="01E0EE34" w14:textId="77777777" w:rsidR="000E79BD" w:rsidRPr="00DE4371" w:rsidRDefault="00944B8F" w:rsidP="000E79BD">
      <w:pPr>
        <w:numPr>
          <w:ilvl w:val="12"/>
          <w:numId w:val="0"/>
        </w:numPr>
        <w:tabs>
          <w:tab w:val="clear" w:pos="562"/>
        </w:tabs>
        <w:ind w:right="-2"/>
        <w:rPr>
          <w:del w:id="11427" w:author="AbbVie19" w:date="2025-04-16T12:22:00Z"/>
          <w:i/>
          <w:iCs/>
        </w:rPr>
      </w:pPr>
      <w:del w:id="11428" w:author="AbbVie19" w:date="2025-04-16T12:22:00Z">
        <w:r>
          <w:rPr>
            <w:i/>
            <w:iCs/>
          </w:rPr>
          <w:delText>Children and adolescents from 6 years of age weighing less than 40 kg</w:delText>
        </w:r>
      </w:del>
    </w:p>
    <w:p w14:paraId="2D1EFBC9" w14:textId="77777777" w:rsidR="000E79BD" w:rsidRDefault="000E79BD" w:rsidP="000E79BD">
      <w:pPr>
        <w:numPr>
          <w:ilvl w:val="12"/>
          <w:numId w:val="0"/>
        </w:numPr>
        <w:tabs>
          <w:tab w:val="clear" w:pos="562"/>
        </w:tabs>
        <w:ind w:right="-2"/>
        <w:rPr>
          <w:del w:id="11429" w:author="AbbVie19" w:date="2025-04-16T12:22:00Z"/>
        </w:rPr>
      </w:pPr>
    </w:p>
    <w:p w14:paraId="18AE1F06" w14:textId="77777777" w:rsidR="000E79BD" w:rsidRDefault="00944B8F" w:rsidP="000E79BD">
      <w:pPr>
        <w:numPr>
          <w:ilvl w:val="12"/>
          <w:numId w:val="0"/>
        </w:numPr>
        <w:tabs>
          <w:tab w:val="clear" w:pos="562"/>
        </w:tabs>
        <w:ind w:right="-2"/>
        <w:rPr>
          <w:del w:id="11430" w:author="AbbVie19" w:date="2025-04-16T12:22:00Z"/>
        </w:rPr>
      </w:pPr>
      <w:del w:id="11431" w:author="AbbVie19" w:date="2025-04-16T12:22:00Z">
        <w:r>
          <w:delText>The usual Humira dose is 80 mg (as two 40 mg injections in one day) initially followed by 40 mg</w:delText>
        </w:r>
        <w:r w:rsidR="00CC7138">
          <w:delText xml:space="preserve"> (as one 40 mg injection)</w:delText>
        </w:r>
        <w:r>
          <w:delText xml:space="preserve"> two weeks later. Thereafter, the usual dose is 40 mg every other week. </w:delText>
        </w:r>
      </w:del>
    </w:p>
    <w:p w14:paraId="6AE8DADB" w14:textId="77777777" w:rsidR="000E79BD" w:rsidRDefault="000E79BD" w:rsidP="000E79BD">
      <w:pPr>
        <w:numPr>
          <w:ilvl w:val="12"/>
          <w:numId w:val="0"/>
        </w:numPr>
        <w:tabs>
          <w:tab w:val="clear" w:pos="562"/>
        </w:tabs>
        <w:ind w:right="-2"/>
        <w:rPr>
          <w:del w:id="11432" w:author="AbbVie19" w:date="2025-04-16T12:22:00Z"/>
        </w:rPr>
      </w:pPr>
    </w:p>
    <w:p w14:paraId="0220EDD0" w14:textId="77777777" w:rsidR="000E79BD" w:rsidRDefault="00944B8F" w:rsidP="000E79BD">
      <w:pPr>
        <w:numPr>
          <w:ilvl w:val="12"/>
          <w:numId w:val="0"/>
        </w:numPr>
        <w:tabs>
          <w:tab w:val="clear" w:pos="562"/>
        </w:tabs>
        <w:ind w:right="-2"/>
        <w:rPr>
          <w:del w:id="11433" w:author="AbbVie19" w:date="2025-04-16T12:22:00Z"/>
        </w:rPr>
      </w:pPr>
      <w:del w:id="11434" w:author="AbbVie19" w:date="2025-04-16T12:22:00Z">
        <w:r w:rsidRPr="00AF74C0">
          <w:delText xml:space="preserve">Patients who turn 18 </w:delText>
        </w:r>
        <w:r>
          <w:delText xml:space="preserve">years of age </w:delText>
        </w:r>
        <w:r w:rsidRPr="00AF74C0">
          <w:delText xml:space="preserve">while on </w:delText>
        </w:r>
        <w:r>
          <w:delText xml:space="preserve">40 mg every other week, </w:delText>
        </w:r>
        <w:r w:rsidRPr="00AF74C0">
          <w:delText>should continue their prescribed dose.</w:delText>
        </w:r>
      </w:del>
    </w:p>
    <w:p w14:paraId="444FE78E" w14:textId="77777777" w:rsidR="000E79BD" w:rsidRDefault="000E79BD" w:rsidP="000E79BD">
      <w:pPr>
        <w:numPr>
          <w:ilvl w:val="12"/>
          <w:numId w:val="0"/>
        </w:numPr>
        <w:tabs>
          <w:tab w:val="clear" w:pos="562"/>
        </w:tabs>
        <w:ind w:right="-2"/>
        <w:rPr>
          <w:del w:id="11435" w:author="AbbVie19" w:date="2025-04-16T12:22:00Z"/>
        </w:rPr>
      </w:pPr>
    </w:p>
    <w:p w14:paraId="487305C2" w14:textId="77777777" w:rsidR="000E79BD" w:rsidRDefault="00944B8F" w:rsidP="000E79BD">
      <w:pPr>
        <w:numPr>
          <w:ilvl w:val="12"/>
          <w:numId w:val="0"/>
        </w:numPr>
        <w:tabs>
          <w:tab w:val="clear" w:pos="562"/>
        </w:tabs>
        <w:ind w:right="-2"/>
        <w:rPr>
          <w:del w:id="11436" w:author="AbbVie19" w:date="2025-04-16T12:22:00Z"/>
          <w:i/>
          <w:iCs/>
        </w:rPr>
      </w:pPr>
      <w:del w:id="11437" w:author="AbbVie19" w:date="2025-04-16T12:22:00Z">
        <w:r>
          <w:rPr>
            <w:i/>
            <w:iCs/>
          </w:rPr>
          <w:delText>Children and adolescents from 6 years of age weighing 40 kg or more</w:delText>
        </w:r>
      </w:del>
    </w:p>
    <w:p w14:paraId="7FB0C5C7" w14:textId="77777777" w:rsidR="000E79BD" w:rsidRDefault="000E79BD" w:rsidP="000E79BD">
      <w:pPr>
        <w:numPr>
          <w:ilvl w:val="12"/>
          <w:numId w:val="0"/>
        </w:numPr>
        <w:tabs>
          <w:tab w:val="clear" w:pos="562"/>
        </w:tabs>
        <w:ind w:right="-2"/>
        <w:rPr>
          <w:del w:id="11438" w:author="AbbVie19" w:date="2025-04-16T12:22:00Z"/>
          <w:i/>
          <w:iCs/>
        </w:rPr>
      </w:pPr>
    </w:p>
    <w:p w14:paraId="3BA06F7C" w14:textId="77777777" w:rsidR="000E79BD" w:rsidRDefault="00944B8F" w:rsidP="000E79BD">
      <w:pPr>
        <w:numPr>
          <w:ilvl w:val="12"/>
          <w:numId w:val="0"/>
        </w:numPr>
        <w:tabs>
          <w:tab w:val="clear" w:pos="562"/>
        </w:tabs>
        <w:ind w:right="-2"/>
        <w:rPr>
          <w:del w:id="11439" w:author="AbbVie19" w:date="2025-04-16T12:22:00Z"/>
        </w:rPr>
      </w:pPr>
      <w:del w:id="11440" w:author="AbbVie19" w:date="2025-04-16T12:22:00Z">
        <w:r>
          <w:delText xml:space="preserve">The usual Humira dose is 160 mg (as </w:delText>
        </w:r>
        <w:r w:rsidRPr="00D5591F">
          <w:delText>four 40 mg injections in one day or two 40 mg injections per day for two consecutive days</w:delText>
        </w:r>
        <w:r>
          <w:delText>) initially, followed by 80 mg (</w:delText>
        </w:r>
        <w:r w:rsidR="008B101F">
          <w:delText xml:space="preserve">as </w:delText>
        </w:r>
        <w:r>
          <w:delText xml:space="preserve">two 40 mg injections in one day) two weeks later. Thereafter the usual dose is 80 mg every other week. </w:delText>
        </w:r>
      </w:del>
    </w:p>
    <w:p w14:paraId="14E1BC32" w14:textId="77777777" w:rsidR="000E79BD" w:rsidRPr="00DA728B" w:rsidRDefault="000E79BD" w:rsidP="000E79BD">
      <w:pPr>
        <w:numPr>
          <w:ilvl w:val="12"/>
          <w:numId w:val="0"/>
        </w:numPr>
        <w:tabs>
          <w:tab w:val="clear" w:pos="562"/>
        </w:tabs>
        <w:ind w:right="-2"/>
        <w:rPr>
          <w:del w:id="11441" w:author="AbbVie19" w:date="2025-04-16T12:22:00Z"/>
        </w:rPr>
      </w:pPr>
    </w:p>
    <w:p w14:paraId="32FD7CF7" w14:textId="77777777" w:rsidR="000E79BD" w:rsidRDefault="00944B8F" w:rsidP="000E79BD">
      <w:pPr>
        <w:numPr>
          <w:ilvl w:val="12"/>
          <w:numId w:val="0"/>
        </w:numPr>
        <w:tabs>
          <w:tab w:val="clear" w:pos="562"/>
        </w:tabs>
        <w:ind w:right="-2"/>
        <w:rPr>
          <w:del w:id="11442" w:author="AbbVie19" w:date="2025-04-16T12:22:00Z"/>
        </w:rPr>
      </w:pPr>
      <w:del w:id="11443" w:author="AbbVie19" w:date="2025-04-16T12:22:00Z">
        <w:r w:rsidRPr="00AF74C0">
          <w:delText xml:space="preserve">Patients who turn 18 </w:delText>
        </w:r>
        <w:r>
          <w:delText xml:space="preserve">years of age </w:delText>
        </w:r>
        <w:r w:rsidRPr="00AF74C0">
          <w:delText xml:space="preserve">while on </w:delText>
        </w:r>
        <w:r>
          <w:delText xml:space="preserve">80 mg every other week, </w:delText>
        </w:r>
        <w:r w:rsidRPr="00AF74C0">
          <w:delText>should continue their prescribed dose.</w:delText>
        </w:r>
      </w:del>
    </w:p>
    <w:p w14:paraId="41AFEF6A" w14:textId="77777777" w:rsidR="00D6015D" w:rsidRDefault="00D6015D" w:rsidP="00BC0E7E">
      <w:pPr>
        <w:numPr>
          <w:ilvl w:val="12"/>
          <w:numId w:val="0"/>
        </w:numPr>
        <w:tabs>
          <w:tab w:val="clear" w:pos="562"/>
        </w:tabs>
        <w:ind w:right="-2"/>
        <w:rPr>
          <w:del w:id="11444" w:author="AbbVie19" w:date="2025-04-16T12:22:00Z"/>
          <w:u w:val="single"/>
        </w:rPr>
      </w:pPr>
    </w:p>
    <w:p w14:paraId="15808DA0" w14:textId="77777777" w:rsidR="00BC0E7E" w:rsidRPr="00BC0E7E" w:rsidRDefault="00944B8F" w:rsidP="00BC0E7E">
      <w:pPr>
        <w:numPr>
          <w:ilvl w:val="12"/>
          <w:numId w:val="0"/>
        </w:numPr>
        <w:tabs>
          <w:tab w:val="clear" w:pos="562"/>
        </w:tabs>
        <w:ind w:right="-2"/>
        <w:rPr>
          <w:del w:id="11445" w:author="AbbVie19" w:date="2025-04-16T12:22:00Z"/>
          <w:u w:val="single"/>
        </w:rPr>
      </w:pPr>
      <w:del w:id="11446" w:author="AbbVie19" w:date="2025-04-16T12:22:00Z">
        <w:r w:rsidRPr="00BC0E7E">
          <w:rPr>
            <w:u w:val="single"/>
          </w:rPr>
          <w:delText>Adults with non-infectious uveitis</w:delText>
        </w:r>
      </w:del>
    </w:p>
    <w:p w14:paraId="7FC5FDFA" w14:textId="77777777" w:rsidR="00BC0E7E" w:rsidRPr="00BC0E7E" w:rsidRDefault="00BC0E7E" w:rsidP="00BC0E7E">
      <w:pPr>
        <w:numPr>
          <w:ilvl w:val="12"/>
          <w:numId w:val="0"/>
        </w:numPr>
        <w:tabs>
          <w:tab w:val="clear" w:pos="562"/>
        </w:tabs>
        <w:ind w:right="-2"/>
        <w:rPr>
          <w:del w:id="11447" w:author="AbbVie19" w:date="2025-04-16T12:22:00Z"/>
        </w:rPr>
      </w:pPr>
    </w:p>
    <w:p w14:paraId="69AD4B44" w14:textId="77777777" w:rsidR="00BC0E7E" w:rsidRPr="00BC0E7E" w:rsidRDefault="00944B8F" w:rsidP="00BC0E7E">
      <w:pPr>
        <w:numPr>
          <w:ilvl w:val="12"/>
          <w:numId w:val="0"/>
        </w:numPr>
        <w:tabs>
          <w:tab w:val="clear" w:pos="562"/>
        </w:tabs>
        <w:ind w:right="-2"/>
        <w:rPr>
          <w:del w:id="11448" w:author="AbbVie19" w:date="2025-04-16T12:22:00Z"/>
        </w:rPr>
      </w:pPr>
      <w:del w:id="11449" w:author="AbbVie19" w:date="2025-04-16T12:22:00Z">
        <w:r w:rsidRPr="00BC0E7E">
          <w:delText>The usual dose for adults with non-infectious uveitis is an initial dose of 80 mg</w:delText>
        </w:r>
        <w:r w:rsidR="008B7BCC">
          <w:delText xml:space="preserve"> </w:delText>
        </w:r>
        <w:r w:rsidR="008B7BCC">
          <w:rPr>
            <w:bCs/>
          </w:rPr>
          <w:delText>(as two injections in one day)</w:delText>
        </w:r>
        <w:r w:rsidRPr="00BC0E7E">
          <w:delText>, followed by 40 mg given every other week starting one week after the initial dose. You should continue to inject Humira for as long as your doctor has told you.</w:delText>
        </w:r>
      </w:del>
    </w:p>
    <w:p w14:paraId="382D5BD3" w14:textId="77777777" w:rsidR="00BC0E7E" w:rsidRPr="00BC0E7E" w:rsidRDefault="00BC0E7E" w:rsidP="00BC0E7E">
      <w:pPr>
        <w:numPr>
          <w:ilvl w:val="12"/>
          <w:numId w:val="0"/>
        </w:numPr>
        <w:ind w:right="-2"/>
        <w:rPr>
          <w:del w:id="11450" w:author="AbbVie19" w:date="2025-04-16T12:22:00Z"/>
        </w:rPr>
      </w:pPr>
    </w:p>
    <w:p w14:paraId="3F288B9D" w14:textId="77777777" w:rsidR="00BC0E7E" w:rsidRPr="00BC0E7E" w:rsidRDefault="00944B8F" w:rsidP="00BC0E7E">
      <w:pPr>
        <w:numPr>
          <w:ilvl w:val="12"/>
          <w:numId w:val="0"/>
        </w:numPr>
        <w:tabs>
          <w:tab w:val="clear" w:pos="562"/>
        </w:tabs>
        <w:ind w:right="-2"/>
        <w:rPr>
          <w:del w:id="11451" w:author="AbbVie19" w:date="2025-04-16T12:22:00Z"/>
        </w:rPr>
      </w:pPr>
      <w:del w:id="11452" w:author="AbbVie19" w:date="2025-04-16T12:22:00Z">
        <w:r w:rsidRPr="00BC0E7E">
          <w:delText>In non-infectious uveitis, corticosteroids or other medicines that influence the immune system may be continued while using Humira. Humira can also be given alone.</w:delText>
        </w:r>
      </w:del>
    </w:p>
    <w:p w14:paraId="1180D756" w14:textId="77777777" w:rsidR="00BC0E7E" w:rsidRPr="00BC0E7E" w:rsidRDefault="00BC0E7E" w:rsidP="00BC0E7E">
      <w:pPr>
        <w:numPr>
          <w:ilvl w:val="12"/>
          <w:numId w:val="0"/>
        </w:numPr>
        <w:tabs>
          <w:tab w:val="clear" w:pos="562"/>
        </w:tabs>
        <w:ind w:right="-2"/>
        <w:rPr>
          <w:del w:id="11453" w:author="AbbVie19" w:date="2025-04-16T12:22:00Z"/>
        </w:rPr>
      </w:pPr>
    </w:p>
    <w:p w14:paraId="16D1B4CB" w14:textId="77777777" w:rsidR="00BC0E7E" w:rsidRPr="00BC0E7E" w:rsidRDefault="00944B8F" w:rsidP="0097291B">
      <w:pPr>
        <w:keepNext/>
        <w:numPr>
          <w:ilvl w:val="12"/>
          <w:numId w:val="0"/>
        </w:numPr>
        <w:tabs>
          <w:tab w:val="clear" w:pos="562"/>
          <w:tab w:val="left" w:pos="708"/>
        </w:tabs>
        <w:ind w:right="-2"/>
        <w:rPr>
          <w:del w:id="11454" w:author="AbbVie19" w:date="2025-04-16T12:22:00Z"/>
          <w:u w:val="single"/>
        </w:rPr>
      </w:pPr>
      <w:del w:id="11455" w:author="AbbVie19" w:date="2025-04-16T12:22:00Z">
        <w:r w:rsidRPr="00BC0E7E">
          <w:rPr>
            <w:u w:val="single"/>
          </w:rPr>
          <w:delText xml:space="preserve">Children </w:delText>
        </w:r>
        <w:r w:rsidR="008B7BCC">
          <w:rPr>
            <w:u w:val="single"/>
          </w:rPr>
          <w:delText xml:space="preserve">and adolescents </w:delText>
        </w:r>
        <w:r w:rsidRPr="00BC0E7E">
          <w:rPr>
            <w:u w:val="single"/>
          </w:rPr>
          <w:delText>with chronic non-infectious uveitis from 2 years of age</w:delText>
        </w:r>
      </w:del>
    </w:p>
    <w:p w14:paraId="06118C38" w14:textId="77777777" w:rsidR="00BC0E7E" w:rsidRPr="00BC0E7E" w:rsidRDefault="00BC0E7E" w:rsidP="0097291B">
      <w:pPr>
        <w:keepNext/>
        <w:numPr>
          <w:ilvl w:val="12"/>
          <w:numId w:val="0"/>
        </w:numPr>
        <w:tabs>
          <w:tab w:val="clear" w:pos="562"/>
          <w:tab w:val="left" w:pos="708"/>
        </w:tabs>
        <w:ind w:right="-2"/>
        <w:rPr>
          <w:del w:id="11456" w:author="AbbVie19" w:date="2025-04-16T12:22:00Z"/>
        </w:rPr>
      </w:pPr>
    </w:p>
    <w:p w14:paraId="6A3CE3DC" w14:textId="77777777" w:rsidR="008B7BCC" w:rsidRPr="00DF1592" w:rsidRDefault="00944B8F" w:rsidP="0097291B">
      <w:pPr>
        <w:keepNext/>
        <w:numPr>
          <w:ilvl w:val="12"/>
          <w:numId w:val="0"/>
        </w:numPr>
        <w:tabs>
          <w:tab w:val="clear" w:pos="562"/>
          <w:tab w:val="left" w:pos="708"/>
        </w:tabs>
        <w:ind w:right="-2"/>
        <w:rPr>
          <w:del w:id="11457" w:author="AbbVie19" w:date="2025-04-16T12:22:00Z"/>
        </w:rPr>
      </w:pPr>
      <w:del w:id="11458" w:author="AbbVie19" w:date="2025-04-16T12:22:00Z">
        <w:r>
          <w:rPr>
            <w:bCs/>
            <w:i/>
          </w:rPr>
          <w:delText>Children and adolescents from 2</w:delText>
        </w:r>
        <w:r w:rsidR="002D05CB">
          <w:rPr>
            <w:bCs/>
            <w:i/>
          </w:rPr>
          <w:delText> </w:delText>
        </w:r>
        <w:r>
          <w:rPr>
            <w:bCs/>
            <w:i/>
          </w:rPr>
          <w:delText>years of age weighing less than 30</w:delText>
        </w:r>
        <w:r w:rsidR="002D05CB">
          <w:rPr>
            <w:bCs/>
            <w:i/>
          </w:rPr>
          <w:delText> </w:delText>
        </w:r>
        <w:r>
          <w:rPr>
            <w:bCs/>
            <w:i/>
          </w:rPr>
          <w:delText>kg</w:delText>
        </w:r>
      </w:del>
    </w:p>
    <w:p w14:paraId="3CFE4C82" w14:textId="77777777" w:rsidR="00BC0E7E" w:rsidRPr="00BC0E7E" w:rsidRDefault="00BC0E7E" w:rsidP="00BC0E7E">
      <w:pPr>
        <w:numPr>
          <w:ilvl w:val="12"/>
          <w:numId w:val="0"/>
        </w:numPr>
        <w:tabs>
          <w:tab w:val="clear" w:pos="562"/>
          <w:tab w:val="left" w:pos="708"/>
        </w:tabs>
        <w:ind w:right="-2"/>
        <w:rPr>
          <w:del w:id="11459" w:author="AbbVie19" w:date="2025-04-16T12:22:00Z"/>
        </w:rPr>
      </w:pPr>
    </w:p>
    <w:p w14:paraId="02C9EC0D" w14:textId="77777777" w:rsidR="00BC0E7E" w:rsidRPr="00BC0E7E" w:rsidRDefault="00944B8F" w:rsidP="00BC0E7E">
      <w:pPr>
        <w:rPr>
          <w:del w:id="11460" w:author="AbbVie19" w:date="2025-04-16T12:22:00Z"/>
        </w:rPr>
      </w:pPr>
      <w:del w:id="11461" w:author="AbbVie19" w:date="2025-04-16T12:22:00Z">
        <w:r w:rsidRPr="00BC0E7E">
          <w:delText>The usual dose of Humira is 20 mg every other week with methotrexate.</w:delText>
        </w:r>
      </w:del>
    </w:p>
    <w:p w14:paraId="17715384" w14:textId="77777777" w:rsidR="00BC0E7E" w:rsidRPr="00BC0E7E" w:rsidRDefault="00BC0E7E" w:rsidP="00BC0E7E">
      <w:pPr>
        <w:rPr>
          <w:del w:id="11462" w:author="AbbVie19" w:date="2025-04-16T12:22:00Z"/>
        </w:rPr>
      </w:pPr>
    </w:p>
    <w:p w14:paraId="719DA98C" w14:textId="77777777" w:rsidR="00BC0E7E" w:rsidRPr="00BC0E7E" w:rsidRDefault="00944B8F" w:rsidP="00BC0E7E">
      <w:pPr>
        <w:rPr>
          <w:del w:id="11463" w:author="AbbVie19" w:date="2025-04-16T12:22:00Z"/>
          <w:strike/>
        </w:rPr>
      </w:pPr>
      <w:del w:id="11464" w:author="AbbVie19" w:date="2025-04-16T12:22:00Z">
        <w:r w:rsidRPr="00BC0E7E">
          <w:delText>Your doctor may also prescribe an initial dose of 40 mg which may be administered one week prior to the start of the</w:delText>
        </w:r>
        <w:r w:rsidRPr="00BC0E7E">
          <w:rPr>
            <w:bCs/>
          </w:rPr>
          <w:delText xml:space="preserve"> usual dose.</w:delText>
        </w:r>
      </w:del>
    </w:p>
    <w:p w14:paraId="487E525A" w14:textId="77777777" w:rsidR="00BC0E7E" w:rsidRPr="00BC0E7E" w:rsidRDefault="00BC0E7E" w:rsidP="00BC0E7E">
      <w:pPr>
        <w:rPr>
          <w:del w:id="11465" w:author="AbbVie19" w:date="2025-04-16T12:22:00Z"/>
        </w:rPr>
      </w:pPr>
    </w:p>
    <w:p w14:paraId="312A0F27" w14:textId="77777777" w:rsidR="008B7BCC" w:rsidRDefault="00944B8F" w:rsidP="008B7BCC">
      <w:pPr>
        <w:rPr>
          <w:del w:id="11466" w:author="AbbVie19" w:date="2025-04-16T12:22:00Z"/>
          <w:bCs/>
          <w:i/>
        </w:rPr>
      </w:pPr>
      <w:del w:id="11467" w:author="AbbVie19" w:date="2025-04-16T12:22:00Z">
        <w:r>
          <w:rPr>
            <w:bCs/>
            <w:i/>
          </w:rPr>
          <w:delText>Children and adolescents from 2</w:delText>
        </w:r>
        <w:r w:rsidR="002D05CB">
          <w:rPr>
            <w:bCs/>
            <w:i/>
          </w:rPr>
          <w:delText> </w:delText>
        </w:r>
        <w:r>
          <w:rPr>
            <w:bCs/>
            <w:i/>
          </w:rPr>
          <w:delText>years of age weighing 30</w:delText>
        </w:r>
        <w:r w:rsidR="002D05CB">
          <w:rPr>
            <w:bCs/>
            <w:i/>
          </w:rPr>
          <w:delText> </w:delText>
        </w:r>
        <w:r>
          <w:rPr>
            <w:bCs/>
            <w:i/>
          </w:rPr>
          <w:delText>kg or more</w:delText>
        </w:r>
      </w:del>
    </w:p>
    <w:p w14:paraId="35941772" w14:textId="77777777" w:rsidR="00BC0E7E" w:rsidRPr="00BC0E7E" w:rsidRDefault="00BC0E7E" w:rsidP="00BC0E7E">
      <w:pPr>
        <w:rPr>
          <w:del w:id="11468" w:author="AbbVie19" w:date="2025-04-16T12:22:00Z"/>
        </w:rPr>
      </w:pPr>
    </w:p>
    <w:p w14:paraId="0D5446CF" w14:textId="77777777" w:rsidR="00BC0E7E" w:rsidRPr="00BC0E7E" w:rsidRDefault="00944B8F" w:rsidP="00BC0E7E">
      <w:pPr>
        <w:rPr>
          <w:del w:id="11469" w:author="AbbVie19" w:date="2025-04-16T12:22:00Z"/>
        </w:rPr>
      </w:pPr>
      <w:del w:id="11470" w:author="AbbVie19" w:date="2025-04-16T12:22:00Z">
        <w:r w:rsidRPr="00BC0E7E">
          <w:delText>The usual dose of Humira is 40 mg every other week with methotrexate.</w:delText>
        </w:r>
      </w:del>
    </w:p>
    <w:p w14:paraId="752D373B" w14:textId="77777777" w:rsidR="00BC0E7E" w:rsidRPr="00BC0E7E" w:rsidRDefault="00BC0E7E" w:rsidP="00BC0E7E">
      <w:pPr>
        <w:rPr>
          <w:del w:id="11471" w:author="AbbVie19" w:date="2025-04-16T12:22:00Z"/>
        </w:rPr>
      </w:pPr>
    </w:p>
    <w:p w14:paraId="62ACCFF0" w14:textId="77777777" w:rsidR="00BC0E7E" w:rsidRPr="00BC0E7E" w:rsidRDefault="00944B8F" w:rsidP="00BC0E7E">
      <w:pPr>
        <w:numPr>
          <w:ilvl w:val="12"/>
          <w:numId w:val="0"/>
        </w:numPr>
        <w:tabs>
          <w:tab w:val="clear" w:pos="562"/>
        </w:tabs>
        <w:ind w:right="-2"/>
        <w:rPr>
          <w:del w:id="11472" w:author="AbbVie19" w:date="2025-04-16T12:22:00Z"/>
          <w:bCs/>
        </w:rPr>
      </w:pPr>
      <w:del w:id="11473" w:author="AbbVie19" w:date="2025-04-16T12:22:00Z">
        <w:r w:rsidRPr="00BC0E7E">
          <w:delText>Your doctor may also prescribe an initial dose of 80 mg which may be administered one week prior to the start of the</w:delText>
        </w:r>
        <w:r w:rsidRPr="00BC0E7E">
          <w:rPr>
            <w:bCs/>
          </w:rPr>
          <w:delText xml:space="preserve"> usual dose.</w:delText>
        </w:r>
      </w:del>
    </w:p>
    <w:p w14:paraId="1AB20D9F" w14:textId="77777777" w:rsidR="00BC0E7E" w:rsidRPr="00BC0E7E" w:rsidRDefault="00BC0E7E" w:rsidP="00BC0E7E">
      <w:pPr>
        <w:numPr>
          <w:ilvl w:val="12"/>
          <w:numId w:val="0"/>
        </w:numPr>
        <w:tabs>
          <w:tab w:val="clear" w:pos="562"/>
        </w:tabs>
        <w:ind w:right="-2"/>
        <w:rPr>
          <w:del w:id="11474" w:author="AbbVie19" w:date="2025-04-16T12:22:00Z"/>
        </w:rPr>
      </w:pPr>
    </w:p>
    <w:p w14:paraId="3BC141A9" w14:textId="77777777" w:rsidR="00BC0E7E" w:rsidRPr="00BC0E7E" w:rsidRDefault="00944B8F" w:rsidP="00BC0E7E">
      <w:pPr>
        <w:rPr>
          <w:del w:id="11475" w:author="AbbVie19" w:date="2025-04-16T12:22:00Z"/>
          <w:b/>
          <w:szCs w:val="20"/>
        </w:rPr>
      </w:pPr>
      <w:del w:id="11476" w:author="AbbVie19" w:date="2025-04-16T12:22:00Z">
        <w:r w:rsidRPr="00BC0E7E">
          <w:rPr>
            <w:b/>
            <w:szCs w:val="20"/>
          </w:rPr>
          <w:delText>Method and route of administration</w:delText>
        </w:r>
      </w:del>
    </w:p>
    <w:p w14:paraId="0000D361" w14:textId="77777777" w:rsidR="00BC0E7E" w:rsidRPr="00BC0E7E" w:rsidRDefault="00BC0E7E" w:rsidP="00BC0E7E">
      <w:pPr>
        <w:rPr>
          <w:del w:id="11477" w:author="AbbVie19" w:date="2025-04-16T12:22:00Z"/>
          <w:szCs w:val="20"/>
        </w:rPr>
      </w:pPr>
    </w:p>
    <w:p w14:paraId="3AB9E1B1" w14:textId="77777777" w:rsidR="00BC0E7E" w:rsidRPr="00BC0E7E" w:rsidRDefault="00944B8F" w:rsidP="00BC0E7E">
      <w:pPr>
        <w:rPr>
          <w:del w:id="11478" w:author="AbbVie19" w:date="2025-04-16T12:22:00Z"/>
          <w:szCs w:val="20"/>
        </w:rPr>
      </w:pPr>
      <w:del w:id="11479" w:author="AbbVie19" w:date="2025-04-16T12:22:00Z">
        <w:r w:rsidRPr="00BC0E7E">
          <w:rPr>
            <w:szCs w:val="20"/>
          </w:rPr>
          <w:delText>Humira is administered by injection under the skin (by subcutaneous injection).</w:delText>
        </w:r>
      </w:del>
    </w:p>
    <w:p w14:paraId="081418A6" w14:textId="77777777" w:rsidR="00BC0E7E" w:rsidRPr="00BC0E7E" w:rsidRDefault="00BC0E7E" w:rsidP="00BC0E7E">
      <w:pPr>
        <w:rPr>
          <w:del w:id="11480" w:author="AbbVie19" w:date="2025-04-16T12:22:00Z"/>
          <w:b/>
          <w:szCs w:val="20"/>
        </w:rPr>
      </w:pPr>
    </w:p>
    <w:p w14:paraId="0602554D" w14:textId="77777777" w:rsidR="00BC0E7E" w:rsidRPr="00BC0E7E" w:rsidRDefault="00944B8F" w:rsidP="00BC0E7E">
      <w:pPr>
        <w:rPr>
          <w:del w:id="11481" w:author="AbbVie19" w:date="2025-04-16T12:22:00Z"/>
          <w:b/>
          <w:szCs w:val="20"/>
        </w:rPr>
      </w:pPr>
      <w:del w:id="11482" w:author="AbbVie19" w:date="2025-04-16T12:22:00Z">
        <w:r w:rsidRPr="00BC0E7E">
          <w:rPr>
            <w:b/>
            <w:szCs w:val="20"/>
          </w:rPr>
          <w:delText>Instructions for preparing and giving an injection of Humira</w:delText>
        </w:r>
      </w:del>
    </w:p>
    <w:p w14:paraId="228F18E8" w14:textId="77777777" w:rsidR="00BC0E7E" w:rsidRPr="00BC0E7E" w:rsidRDefault="00BC0E7E" w:rsidP="00BC0E7E">
      <w:pPr>
        <w:rPr>
          <w:del w:id="11483" w:author="AbbVie19" w:date="2025-04-16T12:22:00Z"/>
          <w:szCs w:val="20"/>
        </w:rPr>
      </w:pPr>
    </w:p>
    <w:p w14:paraId="66BB3D04" w14:textId="77777777" w:rsidR="00BC0E7E" w:rsidRPr="00BC0E7E" w:rsidRDefault="00944B8F" w:rsidP="00BC0E7E">
      <w:pPr>
        <w:rPr>
          <w:del w:id="11484" w:author="AbbVie19" w:date="2025-04-16T12:22:00Z"/>
        </w:rPr>
      </w:pPr>
      <w:del w:id="11485" w:author="AbbVie19" w:date="2025-04-16T12:22:00Z">
        <w:r w:rsidRPr="00BC0E7E">
          <w:delText xml:space="preserve">The following instructions explain how to inject Humira. Please read the instructions carefully and follow them step by step. You will be instructed by your doctor or his/her assistant on the technique of self-injection. Do not attempt to self-inject until you are sure that you understand how to prepare and give the injection. After proper training, the injection can be self-administered or given by another person, for example a family member or friend.  </w:delText>
        </w:r>
      </w:del>
    </w:p>
    <w:p w14:paraId="3820C042" w14:textId="77777777" w:rsidR="00BC0E7E" w:rsidRPr="00BC0E7E" w:rsidRDefault="00BC0E7E" w:rsidP="00BC0E7E">
      <w:pPr>
        <w:rPr>
          <w:del w:id="11486" w:author="AbbVie19" w:date="2025-04-16T12:22:00Z"/>
        </w:rPr>
      </w:pPr>
    </w:p>
    <w:p w14:paraId="5B7C7CD7" w14:textId="77777777" w:rsidR="00BC0E7E" w:rsidRPr="00BC0E7E" w:rsidRDefault="00944B8F" w:rsidP="00BC0E7E">
      <w:pPr>
        <w:rPr>
          <w:del w:id="11487" w:author="AbbVie19" w:date="2025-04-16T12:22:00Z"/>
        </w:rPr>
      </w:pPr>
      <w:del w:id="11488" w:author="AbbVie19" w:date="2025-04-16T12:22:00Z">
        <w:r w:rsidRPr="00BC0E7E">
          <w:delText>This injection should not be mixed in the same syringe or vial with any other medicine.</w:delText>
        </w:r>
      </w:del>
    </w:p>
    <w:p w14:paraId="51CE2E47" w14:textId="77777777" w:rsidR="00BC0E7E" w:rsidRPr="00BC0E7E" w:rsidRDefault="00BC0E7E" w:rsidP="00BC0E7E">
      <w:pPr>
        <w:rPr>
          <w:del w:id="11489" w:author="AbbVie19" w:date="2025-04-16T12:22:00Z"/>
        </w:rPr>
      </w:pPr>
    </w:p>
    <w:p w14:paraId="6DD24264" w14:textId="77777777" w:rsidR="00BC0E7E" w:rsidRPr="00BC0E7E" w:rsidRDefault="00944B8F" w:rsidP="00BC0E7E">
      <w:pPr>
        <w:suppressAutoHyphens w:val="0"/>
        <w:outlineLvl w:val="1"/>
        <w:rPr>
          <w:del w:id="11490" w:author="AbbVie19" w:date="2025-04-16T12:22:00Z"/>
          <w:b/>
          <w:szCs w:val="20"/>
        </w:rPr>
      </w:pPr>
      <w:del w:id="11491" w:author="AbbVie19" w:date="2025-04-16T12:22:00Z">
        <w:r w:rsidRPr="00BC0E7E">
          <w:rPr>
            <w:b/>
            <w:szCs w:val="20"/>
          </w:rPr>
          <w:delText xml:space="preserve">1) </w:delText>
        </w:r>
        <w:r w:rsidRPr="00BC0E7E">
          <w:rPr>
            <w:b/>
            <w:szCs w:val="20"/>
          </w:rPr>
          <w:tab/>
          <w:delText>Setting up</w:delText>
        </w:r>
      </w:del>
    </w:p>
    <w:p w14:paraId="3649E60C" w14:textId="77777777" w:rsidR="00BC0E7E" w:rsidRPr="00BC0E7E" w:rsidRDefault="00BC0E7E" w:rsidP="00BC0E7E">
      <w:pPr>
        <w:rPr>
          <w:del w:id="11492" w:author="AbbVie19" w:date="2025-04-16T12:22:00Z"/>
          <w:szCs w:val="20"/>
        </w:rPr>
      </w:pPr>
    </w:p>
    <w:p w14:paraId="4C0B2D9B" w14:textId="77777777" w:rsidR="00BC0E7E" w:rsidRPr="00BC0E7E" w:rsidRDefault="00944B8F" w:rsidP="00BC0E7E">
      <w:pPr>
        <w:tabs>
          <w:tab w:val="clear" w:pos="562"/>
        </w:tabs>
        <w:ind w:left="660" w:hanging="660"/>
        <w:rPr>
          <w:del w:id="11493" w:author="AbbVie19" w:date="2025-04-16T12:22:00Z"/>
          <w:szCs w:val="20"/>
        </w:rPr>
      </w:pPr>
      <w:del w:id="11494" w:author="AbbVie19" w:date="2025-04-16T12:22:00Z">
        <w:r w:rsidRPr="00BC0E7E">
          <w:rPr>
            <w:szCs w:val="20"/>
          </w:rPr>
          <w:delText xml:space="preserve">Wash your hands thoroughly </w:delText>
        </w:r>
      </w:del>
    </w:p>
    <w:p w14:paraId="63E16594" w14:textId="77777777" w:rsidR="00BC0E7E" w:rsidRPr="00BC0E7E" w:rsidRDefault="00944B8F" w:rsidP="00BC0E7E">
      <w:pPr>
        <w:tabs>
          <w:tab w:val="clear" w:pos="562"/>
        </w:tabs>
        <w:ind w:left="660" w:hanging="660"/>
        <w:rPr>
          <w:del w:id="11495" w:author="AbbVie19" w:date="2025-04-16T12:22:00Z"/>
          <w:szCs w:val="20"/>
        </w:rPr>
      </w:pPr>
      <w:del w:id="11496" w:author="AbbVie19" w:date="2025-04-16T12:22:00Z">
        <w:r w:rsidRPr="00BC0E7E">
          <w:rPr>
            <w:szCs w:val="20"/>
          </w:rPr>
          <w:delText>Set up the following items on a clean surface</w:delText>
        </w:r>
      </w:del>
    </w:p>
    <w:p w14:paraId="5902C98A" w14:textId="77777777" w:rsidR="00BC0E7E" w:rsidRPr="00BC0E7E" w:rsidRDefault="00BC0E7E" w:rsidP="00BC0E7E">
      <w:pPr>
        <w:rPr>
          <w:del w:id="11497" w:author="AbbVie19" w:date="2025-04-16T12:22:00Z"/>
          <w:sz w:val="20"/>
          <w:szCs w:val="20"/>
        </w:rPr>
      </w:pPr>
    </w:p>
    <w:p w14:paraId="5AFA86C0" w14:textId="77777777" w:rsidR="00BC0E7E" w:rsidRPr="00BC0E7E" w:rsidRDefault="00944B8F" w:rsidP="00BC0E7E">
      <w:pPr>
        <w:numPr>
          <w:ilvl w:val="1"/>
          <w:numId w:val="12"/>
        </w:numPr>
        <w:tabs>
          <w:tab w:val="clear" w:pos="562"/>
          <w:tab w:val="left" w:pos="1134"/>
        </w:tabs>
        <w:ind w:left="1134" w:hanging="567"/>
        <w:rPr>
          <w:del w:id="11498" w:author="AbbVie19" w:date="2025-04-16T12:22:00Z"/>
        </w:rPr>
      </w:pPr>
      <w:del w:id="11499" w:author="AbbVie19" w:date="2025-04-16T12:22:00Z">
        <w:r w:rsidRPr="00BC0E7E">
          <w:lastRenderedPageBreak/>
          <w:delText xml:space="preserve">One pre-filled syringe of Humira for injection     </w:delText>
        </w:r>
      </w:del>
    </w:p>
    <w:p w14:paraId="581068DD" w14:textId="77777777" w:rsidR="00BC0E7E" w:rsidRPr="00BC0E7E" w:rsidRDefault="00944B8F" w:rsidP="00BC0E7E">
      <w:pPr>
        <w:numPr>
          <w:ilvl w:val="1"/>
          <w:numId w:val="12"/>
        </w:numPr>
        <w:tabs>
          <w:tab w:val="clear" w:pos="562"/>
          <w:tab w:val="left" w:pos="1134"/>
        </w:tabs>
        <w:ind w:left="1134" w:hanging="567"/>
        <w:rPr>
          <w:del w:id="11500" w:author="AbbVie19" w:date="2025-04-16T12:22:00Z"/>
        </w:rPr>
      </w:pPr>
      <w:del w:id="11501" w:author="AbbVie19" w:date="2025-04-16T12:22:00Z">
        <w:r w:rsidRPr="00BC0E7E">
          <w:delText>One alcohol pad</w:delText>
        </w:r>
      </w:del>
    </w:p>
    <w:p w14:paraId="0893BC75" w14:textId="77777777" w:rsidR="00BC0E7E" w:rsidRPr="00BC0E7E" w:rsidRDefault="00BC0E7E" w:rsidP="00BC0E7E">
      <w:pPr>
        <w:rPr>
          <w:del w:id="11502" w:author="AbbVie19" w:date="2025-04-16T12:22:00Z"/>
        </w:rPr>
      </w:pPr>
    </w:p>
    <w:p w14:paraId="26B183A3" w14:textId="77777777" w:rsidR="00BC0E7E" w:rsidRPr="00BC0E7E" w:rsidRDefault="00944B8F" w:rsidP="00BC0E7E">
      <w:pPr>
        <w:jc w:val="center"/>
        <w:rPr>
          <w:del w:id="11503" w:author="AbbVie19" w:date="2025-04-16T12:22:00Z"/>
        </w:rPr>
      </w:pPr>
      <w:del w:id="11504" w:author="AbbVie19" w:date="2025-04-16T12:22:00Z">
        <w:r>
          <w:rPr>
            <w:noProof/>
            <w:lang w:val="en-US"/>
          </w:rPr>
          <w:drawing>
            <wp:inline distT="0" distB="0" distL="0" distR="0" wp14:anchorId="7219DF69" wp14:editId="659CB262">
              <wp:extent cx="2011680" cy="2019935"/>
              <wp:effectExtent l="0" t="0" r="762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60"/>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2011680" cy="2019935"/>
                      </a:xfrm>
                      <a:prstGeom prst="rect">
                        <a:avLst/>
                      </a:prstGeom>
                      <a:noFill/>
                      <a:ln>
                        <a:noFill/>
                      </a:ln>
                    </pic:spPr>
                  </pic:pic>
                </a:graphicData>
              </a:graphic>
            </wp:inline>
          </w:drawing>
        </w:r>
      </w:del>
    </w:p>
    <w:p w14:paraId="0313C15C" w14:textId="77777777" w:rsidR="00BC0E7E" w:rsidRPr="00BC0E7E" w:rsidRDefault="00BC0E7E" w:rsidP="00BC0E7E">
      <w:pPr>
        <w:rPr>
          <w:del w:id="11505" w:author="AbbVie19" w:date="2025-04-16T12:22:00Z"/>
        </w:rPr>
      </w:pPr>
    </w:p>
    <w:p w14:paraId="27EDA24B" w14:textId="77777777" w:rsidR="00BC0E7E" w:rsidRPr="00BC0E7E" w:rsidRDefault="00944B8F" w:rsidP="00BC0E7E">
      <w:pPr>
        <w:tabs>
          <w:tab w:val="clear" w:pos="562"/>
          <w:tab w:val="num" w:pos="550"/>
        </w:tabs>
        <w:ind w:left="550" w:hanging="550"/>
        <w:rPr>
          <w:del w:id="11506" w:author="AbbVie19" w:date="2025-04-16T12:22:00Z"/>
          <w:szCs w:val="20"/>
        </w:rPr>
      </w:pPr>
      <w:del w:id="11507" w:author="AbbVie19" w:date="2025-04-16T12:22:00Z">
        <w:r w:rsidRPr="00BC0E7E">
          <w:rPr>
            <w:szCs w:val="20"/>
          </w:rPr>
          <w:delText>Look at the expiry date on the syringe. Do not use the product after the month and year shown.</w:delText>
        </w:r>
      </w:del>
    </w:p>
    <w:p w14:paraId="6277CFBE" w14:textId="77777777" w:rsidR="00BC0E7E" w:rsidRPr="00BC0E7E" w:rsidRDefault="00BC0E7E" w:rsidP="00BC0E7E">
      <w:pPr>
        <w:rPr>
          <w:del w:id="11508" w:author="AbbVie19" w:date="2025-04-16T12:22:00Z"/>
          <w:szCs w:val="20"/>
        </w:rPr>
      </w:pPr>
    </w:p>
    <w:p w14:paraId="29699B38" w14:textId="77777777" w:rsidR="00BC0E7E" w:rsidRPr="00BC0E7E" w:rsidRDefault="00944B8F" w:rsidP="00BC0E7E">
      <w:pPr>
        <w:suppressAutoHyphens w:val="0"/>
        <w:outlineLvl w:val="1"/>
        <w:rPr>
          <w:del w:id="11509" w:author="AbbVie19" w:date="2025-04-16T12:22:00Z"/>
          <w:b/>
          <w:szCs w:val="20"/>
        </w:rPr>
      </w:pPr>
      <w:del w:id="11510" w:author="AbbVie19" w:date="2025-04-16T12:22:00Z">
        <w:r w:rsidRPr="00BC0E7E">
          <w:rPr>
            <w:b/>
            <w:szCs w:val="20"/>
          </w:rPr>
          <w:delText>2)</w:delText>
        </w:r>
        <w:r w:rsidRPr="00BC0E7E">
          <w:rPr>
            <w:b/>
            <w:szCs w:val="20"/>
          </w:rPr>
          <w:tab/>
          <w:delText>Choosing and preparing an injection site</w:delText>
        </w:r>
        <w:r w:rsidRPr="00BC0E7E">
          <w:rPr>
            <w:b/>
            <w:szCs w:val="20"/>
          </w:rPr>
          <w:tab/>
        </w:r>
      </w:del>
    </w:p>
    <w:p w14:paraId="53747C19" w14:textId="77777777" w:rsidR="00BC0E7E" w:rsidRPr="00BC0E7E" w:rsidRDefault="00BC0E7E" w:rsidP="00BC0E7E">
      <w:pPr>
        <w:rPr>
          <w:del w:id="11511" w:author="AbbVie19" w:date="2025-04-16T12:22:00Z"/>
          <w:szCs w:val="20"/>
        </w:rPr>
      </w:pPr>
    </w:p>
    <w:p w14:paraId="36C9B33C" w14:textId="77777777" w:rsidR="00BC0E7E" w:rsidRPr="00BC0E7E" w:rsidRDefault="00944B8F" w:rsidP="00BC0E7E">
      <w:pPr>
        <w:tabs>
          <w:tab w:val="clear" w:pos="562"/>
          <w:tab w:val="num" w:pos="550"/>
        </w:tabs>
        <w:ind w:left="550" w:hanging="550"/>
        <w:rPr>
          <w:del w:id="11512" w:author="AbbVie19" w:date="2025-04-16T12:22:00Z"/>
          <w:szCs w:val="20"/>
        </w:rPr>
      </w:pPr>
      <w:del w:id="11513" w:author="AbbVie19" w:date="2025-04-16T12:22:00Z">
        <w:r w:rsidRPr="00BC0E7E">
          <w:rPr>
            <w:szCs w:val="20"/>
          </w:rPr>
          <w:delText>Choose a site on your thigh or stomach</w:delText>
        </w:r>
      </w:del>
    </w:p>
    <w:p w14:paraId="72EDCAB4" w14:textId="77777777" w:rsidR="00BC0E7E" w:rsidRPr="00BC0E7E" w:rsidRDefault="00BC0E7E" w:rsidP="00BC0E7E">
      <w:pPr>
        <w:rPr>
          <w:del w:id="11514" w:author="AbbVie19" w:date="2025-04-16T12:22:00Z"/>
          <w:szCs w:val="20"/>
        </w:rPr>
      </w:pPr>
    </w:p>
    <w:p w14:paraId="2786474A" w14:textId="77777777" w:rsidR="00BC0E7E" w:rsidRPr="00BC0E7E" w:rsidRDefault="00944B8F" w:rsidP="00BC0E7E">
      <w:pPr>
        <w:jc w:val="center"/>
        <w:rPr>
          <w:del w:id="11515" w:author="AbbVie19" w:date="2025-04-16T12:22:00Z"/>
        </w:rPr>
      </w:pPr>
      <w:del w:id="11516" w:author="AbbVie19" w:date="2025-04-16T12:22:00Z">
        <w:r>
          <w:rPr>
            <w:noProof/>
            <w:lang w:val="en-US"/>
          </w:rPr>
          <w:drawing>
            <wp:inline distT="0" distB="0" distL="0" distR="0" wp14:anchorId="47744187" wp14:editId="5202AF69">
              <wp:extent cx="2011680" cy="2027555"/>
              <wp:effectExtent l="0" t="0" r="762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61"/>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2011680" cy="2027555"/>
                      </a:xfrm>
                      <a:prstGeom prst="rect">
                        <a:avLst/>
                      </a:prstGeom>
                      <a:noFill/>
                      <a:ln>
                        <a:noFill/>
                      </a:ln>
                    </pic:spPr>
                  </pic:pic>
                </a:graphicData>
              </a:graphic>
            </wp:inline>
          </w:drawing>
        </w:r>
      </w:del>
    </w:p>
    <w:p w14:paraId="6569AAF0" w14:textId="77777777" w:rsidR="00BC0E7E" w:rsidRPr="00BC0E7E" w:rsidRDefault="00BC0E7E" w:rsidP="00BC0E7E">
      <w:pPr>
        <w:jc w:val="center"/>
        <w:rPr>
          <w:del w:id="11517" w:author="AbbVie19" w:date="2025-04-16T12:22:00Z"/>
        </w:rPr>
      </w:pPr>
    </w:p>
    <w:p w14:paraId="21CF96DA" w14:textId="77777777" w:rsidR="00BC0E7E" w:rsidRPr="00BC0E7E" w:rsidRDefault="00944B8F" w:rsidP="00BC0E7E">
      <w:pPr>
        <w:tabs>
          <w:tab w:val="clear" w:pos="562"/>
          <w:tab w:val="num" w:pos="550"/>
        </w:tabs>
        <w:ind w:left="550" w:hanging="550"/>
        <w:rPr>
          <w:del w:id="11518" w:author="AbbVie19" w:date="2025-04-16T12:22:00Z"/>
          <w:szCs w:val="20"/>
        </w:rPr>
      </w:pPr>
      <w:del w:id="11519" w:author="AbbVie19" w:date="2025-04-16T12:22:00Z">
        <w:r w:rsidRPr="00BC0E7E">
          <w:rPr>
            <w:szCs w:val="20"/>
          </w:rPr>
          <w:delText xml:space="preserve">Each new injection should be given at least 3 cm from the last injection site. </w:delText>
        </w:r>
      </w:del>
    </w:p>
    <w:p w14:paraId="33DADE9F" w14:textId="77777777" w:rsidR="00BC0E7E" w:rsidRPr="00BC0E7E" w:rsidRDefault="00944B8F" w:rsidP="00BC0E7E">
      <w:pPr>
        <w:numPr>
          <w:ilvl w:val="1"/>
          <w:numId w:val="12"/>
        </w:numPr>
        <w:tabs>
          <w:tab w:val="clear" w:pos="562"/>
          <w:tab w:val="left" w:pos="1134"/>
        </w:tabs>
        <w:ind w:left="1134" w:hanging="567"/>
        <w:rPr>
          <w:del w:id="11520" w:author="AbbVie19" w:date="2025-04-16T12:22:00Z"/>
        </w:rPr>
      </w:pPr>
      <w:del w:id="11521" w:author="AbbVie19" w:date="2025-04-16T12:22:00Z">
        <w:r w:rsidRPr="00BC0E7E">
          <w:delText>Do not inject in an area where the skin is reddened, bruised, or hard. This may mean there is an infection.</w:delText>
        </w:r>
      </w:del>
    </w:p>
    <w:p w14:paraId="6E9B40CB" w14:textId="77777777" w:rsidR="00BC0E7E" w:rsidRPr="00BC0E7E" w:rsidRDefault="00944B8F" w:rsidP="00BC0E7E">
      <w:pPr>
        <w:numPr>
          <w:ilvl w:val="1"/>
          <w:numId w:val="12"/>
        </w:numPr>
        <w:tabs>
          <w:tab w:val="clear" w:pos="562"/>
          <w:tab w:val="left" w:pos="1134"/>
        </w:tabs>
        <w:ind w:left="1134" w:hanging="567"/>
        <w:rPr>
          <w:del w:id="11522" w:author="AbbVie19" w:date="2025-04-16T12:22:00Z"/>
        </w:rPr>
      </w:pPr>
      <w:del w:id="11523" w:author="AbbVie19" w:date="2025-04-16T12:22:00Z">
        <w:r w:rsidRPr="00BC0E7E">
          <w:delText>Wipe the injection site with the enclosed alcohol pad, using a circular motion.</w:delText>
        </w:r>
      </w:del>
    </w:p>
    <w:p w14:paraId="55118D14" w14:textId="77777777" w:rsidR="00BC0E7E" w:rsidRPr="00BC0E7E" w:rsidRDefault="00944B8F" w:rsidP="00BC0E7E">
      <w:pPr>
        <w:numPr>
          <w:ilvl w:val="1"/>
          <w:numId w:val="12"/>
        </w:numPr>
        <w:tabs>
          <w:tab w:val="clear" w:pos="562"/>
          <w:tab w:val="left" w:pos="1134"/>
        </w:tabs>
        <w:ind w:left="1134" w:hanging="567"/>
        <w:rPr>
          <w:del w:id="11524" w:author="AbbVie19" w:date="2025-04-16T12:22:00Z"/>
        </w:rPr>
      </w:pPr>
      <w:del w:id="11525" w:author="AbbVie19" w:date="2025-04-16T12:22:00Z">
        <w:r w:rsidRPr="00BC0E7E">
          <w:delText>Do not touch the area again before injecting.</w:delText>
        </w:r>
      </w:del>
    </w:p>
    <w:p w14:paraId="1D5E104F" w14:textId="77777777" w:rsidR="00BC0E7E" w:rsidRPr="00BC0E7E" w:rsidRDefault="00BC0E7E" w:rsidP="00BC0E7E">
      <w:pPr>
        <w:tabs>
          <w:tab w:val="clear" w:pos="562"/>
          <w:tab w:val="left" w:pos="1134"/>
        </w:tabs>
        <w:ind w:left="1134"/>
        <w:rPr>
          <w:del w:id="11526" w:author="AbbVie19" w:date="2025-04-16T12:22:00Z"/>
        </w:rPr>
      </w:pPr>
    </w:p>
    <w:p w14:paraId="3CA46A96" w14:textId="77777777" w:rsidR="00BC0E7E" w:rsidRPr="00BC0E7E" w:rsidRDefault="00944B8F" w:rsidP="00171601">
      <w:pPr>
        <w:keepNext/>
        <w:suppressAutoHyphens w:val="0"/>
        <w:outlineLvl w:val="1"/>
        <w:rPr>
          <w:del w:id="11527" w:author="AbbVie19" w:date="2025-04-16T12:22:00Z"/>
          <w:b/>
          <w:szCs w:val="20"/>
        </w:rPr>
      </w:pPr>
      <w:del w:id="11528" w:author="AbbVie19" w:date="2025-04-16T12:22:00Z">
        <w:r w:rsidRPr="00BC0E7E">
          <w:rPr>
            <w:b/>
            <w:szCs w:val="20"/>
          </w:rPr>
          <w:delText xml:space="preserve">3) </w:delText>
        </w:r>
        <w:r w:rsidRPr="00BC0E7E">
          <w:rPr>
            <w:b/>
            <w:szCs w:val="20"/>
          </w:rPr>
          <w:tab/>
          <w:delText xml:space="preserve">Injecting Humira </w:delText>
        </w:r>
      </w:del>
    </w:p>
    <w:p w14:paraId="0A99C5B3" w14:textId="77777777" w:rsidR="00BC0E7E" w:rsidRPr="00BC0E7E" w:rsidRDefault="00BC0E7E" w:rsidP="00171601">
      <w:pPr>
        <w:keepNext/>
        <w:rPr>
          <w:del w:id="11529" w:author="AbbVie19" w:date="2025-04-16T12:22:00Z"/>
          <w:szCs w:val="20"/>
        </w:rPr>
      </w:pPr>
    </w:p>
    <w:p w14:paraId="48422943" w14:textId="77777777" w:rsidR="00BC0E7E" w:rsidRPr="00BC0E7E" w:rsidRDefault="00944B8F" w:rsidP="00171601">
      <w:pPr>
        <w:keepNext/>
        <w:tabs>
          <w:tab w:val="clear" w:pos="562"/>
          <w:tab w:val="num" w:pos="550"/>
        </w:tabs>
        <w:ind w:left="550" w:hanging="550"/>
        <w:rPr>
          <w:del w:id="11530" w:author="AbbVie19" w:date="2025-04-16T12:22:00Z"/>
          <w:szCs w:val="20"/>
        </w:rPr>
      </w:pPr>
      <w:del w:id="11531" w:author="AbbVie19" w:date="2025-04-16T12:22:00Z">
        <w:r w:rsidRPr="00BC0E7E">
          <w:rPr>
            <w:szCs w:val="20"/>
          </w:rPr>
          <w:delText>•</w:delText>
        </w:r>
        <w:r w:rsidRPr="00BC0E7E">
          <w:rPr>
            <w:szCs w:val="20"/>
          </w:rPr>
          <w:tab/>
          <w:delText>Do NOT shake the syringe.</w:delText>
        </w:r>
      </w:del>
    </w:p>
    <w:p w14:paraId="2D35C2E3" w14:textId="77777777" w:rsidR="00BC0E7E" w:rsidRPr="00BC0E7E" w:rsidRDefault="00944B8F" w:rsidP="00171601">
      <w:pPr>
        <w:keepNext/>
        <w:tabs>
          <w:tab w:val="clear" w:pos="562"/>
          <w:tab w:val="num" w:pos="550"/>
        </w:tabs>
        <w:ind w:left="550" w:hanging="550"/>
        <w:rPr>
          <w:del w:id="11532" w:author="AbbVie19" w:date="2025-04-16T12:22:00Z"/>
          <w:szCs w:val="20"/>
        </w:rPr>
      </w:pPr>
      <w:del w:id="11533" w:author="AbbVie19" w:date="2025-04-16T12:22:00Z">
        <w:r w:rsidRPr="00BC0E7E">
          <w:rPr>
            <w:szCs w:val="20"/>
          </w:rPr>
          <w:delText>•</w:delText>
        </w:r>
        <w:r w:rsidRPr="00BC0E7E">
          <w:rPr>
            <w:szCs w:val="20"/>
          </w:rPr>
          <w:tab/>
          <w:delText>Remove cap from needle syringe, being careful not to touch the needle or let it touch any surface.</w:delText>
        </w:r>
      </w:del>
    </w:p>
    <w:p w14:paraId="02824640" w14:textId="77777777" w:rsidR="00BC0E7E" w:rsidRPr="00BC0E7E" w:rsidRDefault="00944B8F" w:rsidP="00171601">
      <w:pPr>
        <w:keepNext/>
        <w:rPr>
          <w:del w:id="11534" w:author="AbbVie19" w:date="2025-04-16T12:22:00Z"/>
          <w:szCs w:val="20"/>
        </w:rPr>
      </w:pPr>
      <w:del w:id="11535" w:author="AbbVie19" w:date="2025-04-16T12:22:00Z">
        <w:r w:rsidRPr="00BC0E7E">
          <w:rPr>
            <w:szCs w:val="20"/>
          </w:rPr>
          <w:delText>•</w:delText>
        </w:r>
        <w:r w:rsidRPr="00BC0E7E">
          <w:rPr>
            <w:szCs w:val="20"/>
          </w:rPr>
          <w:tab/>
          <w:delText>With one hand, gently grasp the cleaned areas of skin and hold firmly</w:delText>
        </w:r>
      </w:del>
    </w:p>
    <w:p w14:paraId="5ACDB92D" w14:textId="77777777" w:rsidR="00BC0E7E" w:rsidRPr="00BC0E7E" w:rsidRDefault="00BC0E7E" w:rsidP="00BC0E7E">
      <w:pPr>
        <w:rPr>
          <w:del w:id="11536" w:author="AbbVie19" w:date="2025-04-16T12:22:00Z"/>
          <w:szCs w:val="20"/>
        </w:rPr>
      </w:pPr>
    </w:p>
    <w:p w14:paraId="2145C879" w14:textId="77777777" w:rsidR="00BC0E7E" w:rsidRPr="00BC0E7E" w:rsidRDefault="00944B8F" w:rsidP="00BC0E7E">
      <w:pPr>
        <w:ind w:left="360"/>
        <w:jc w:val="center"/>
        <w:rPr>
          <w:del w:id="11537" w:author="AbbVie19" w:date="2025-04-16T12:22:00Z"/>
        </w:rPr>
      </w:pPr>
      <w:del w:id="11538" w:author="AbbVie19" w:date="2025-04-16T12:22:00Z">
        <w:r>
          <w:rPr>
            <w:noProof/>
            <w:lang w:val="en-US"/>
          </w:rPr>
          <w:lastRenderedPageBreak/>
          <w:drawing>
            <wp:inline distT="0" distB="0" distL="0" distR="0" wp14:anchorId="4C10210A" wp14:editId="21D06AEE">
              <wp:extent cx="2003425" cy="196405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62"/>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bwMode="auto">
                      <a:xfrm>
                        <a:off x="0" y="0"/>
                        <a:ext cx="2003425" cy="1964055"/>
                      </a:xfrm>
                      <a:prstGeom prst="rect">
                        <a:avLst/>
                      </a:prstGeom>
                      <a:noFill/>
                      <a:ln>
                        <a:noFill/>
                      </a:ln>
                    </pic:spPr>
                  </pic:pic>
                </a:graphicData>
              </a:graphic>
            </wp:inline>
          </w:drawing>
        </w:r>
      </w:del>
    </w:p>
    <w:p w14:paraId="0D287B43" w14:textId="77777777" w:rsidR="00BC0E7E" w:rsidRPr="00BC0E7E" w:rsidRDefault="00BC0E7E" w:rsidP="00BC0E7E">
      <w:pPr>
        <w:rPr>
          <w:del w:id="11539" w:author="AbbVie19" w:date="2025-04-16T12:22:00Z"/>
        </w:rPr>
      </w:pPr>
    </w:p>
    <w:p w14:paraId="650D80BF" w14:textId="77777777" w:rsidR="00BC0E7E" w:rsidRPr="00BC0E7E" w:rsidRDefault="00944B8F" w:rsidP="00BC0E7E">
      <w:pPr>
        <w:numPr>
          <w:ilvl w:val="0"/>
          <w:numId w:val="13"/>
        </w:numPr>
        <w:tabs>
          <w:tab w:val="clear" w:pos="562"/>
          <w:tab w:val="num" w:pos="550"/>
        </w:tabs>
        <w:ind w:left="550" w:hanging="550"/>
        <w:rPr>
          <w:del w:id="11540" w:author="AbbVie19" w:date="2025-04-16T12:22:00Z"/>
          <w:szCs w:val="20"/>
        </w:rPr>
      </w:pPr>
      <w:del w:id="11541" w:author="AbbVie19" w:date="2025-04-16T12:22:00Z">
        <w:r w:rsidRPr="00BC0E7E">
          <w:rPr>
            <w:szCs w:val="20"/>
          </w:rPr>
          <w:delText>With the other hand, hold syringe at 45</w:delText>
        </w:r>
        <w:r w:rsidRPr="00BC0E7E">
          <w:rPr>
            <w:szCs w:val="20"/>
          </w:rPr>
          <w:noBreakHyphen/>
          <w:delText>degree angle to skin, with the grooved side up.</w:delText>
        </w:r>
      </w:del>
    </w:p>
    <w:p w14:paraId="5210FD32" w14:textId="77777777" w:rsidR="00BC0E7E" w:rsidRPr="00BC0E7E" w:rsidRDefault="00944B8F" w:rsidP="00BC0E7E">
      <w:pPr>
        <w:numPr>
          <w:ilvl w:val="0"/>
          <w:numId w:val="13"/>
        </w:numPr>
        <w:tabs>
          <w:tab w:val="clear" w:pos="562"/>
          <w:tab w:val="num" w:pos="550"/>
        </w:tabs>
        <w:ind w:left="550" w:hanging="550"/>
        <w:rPr>
          <w:del w:id="11542" w:author="AbbVie19" w:date="2025-04-16T12:22:00Z"/>
          <w:szCs w:val="20"/>
        </w:rPr>
      </w:pPr>
      <w:del w:id="11543" w:author="AbbVie19" w:date="2025-04-16T12:22:00Z">
        <w:r w:rsidRPr="00BC0E7E">
          <w:rPr>
            <w:szCs w:val="20"/>
          </w:rPr>
          <w:delText>With one quick, short motion, push needle all the way into skin</w:delText>
        </w:r>
      </w:del>
    </w:p>
    <w:p w14:paraId="70CE50E3" w14:textId="77777777" w:rsidR="00BC0E7E" w:rsidRPr="00BC0E7E" w:rsidRDefault="00944B8F" w:rsidP="00BC0E7E">
      <w:pPr>
        <w:numPr>
          <w:ilvl w:val="0"/>
          <w:numId w:val="13"/>
        </w:numPr>
        <w:tabs>
          <w:tab w:val="clear" w:pos="562"/>
          <w:tab w:val="num" w:pos="550"/>
        </w:tabs>
        <w:ind w:left="550" w:hanging="550"/>
        <w:rPr>
          <w:del w:id="11544" w:author="AbbVie19" w:date="2025-04-16T12:22:00Z"/>
          <w:szCs w:val="20"/>
        </w:rPr>
      </w:pPr>
      <w:del w:id="11545" w:author="AbbVie19" w:date="2025-04-16T12:22:00Z">
        <w:r w:rsidRPr="00BC0E7E">
          <w:rPr>
            <w:szCs w:val="20"/>
          </w:rPr>
          <w:delText>Release the skin with the first hand</w:delText>
        </w:r>
      </w:del>
    </w:p>
    <w:p w14:paraId="3601F99E" w14:textId="77777777" w:rsidR="00BC0E7E" w:rsidRPr="00BC0E7E" w:rsidRDefault="00944B8F" w:rsidP="00BC0E7E">
      <w:pPr>
        <w:numPr>
          <w:ilvl w:val="0"/>
          <w:numId w:val="13"/>
        </w:numPr>
        <w:tabs>
          <w:tab w:val="clear" w:pos="562"/>
          <w:tab w:val="num" w:pos="550"/>
        </w:tabs>
        <w:ind w:left="550" w:hanging="550"/>
        <w:rPr>
          <w:del w:id="11546" w:author="AbbVie19" w:date="2025-04-16T12:22:00Z"/>
          <w:szCs w:val="20"/>
        </w:rPr>
      </w:pPr>
      <w:del w:id="11547" w:author="AbbVie19" w:date="2025-04-16T12:22:00Z">
        <w:r w:rsidRPr="00BC0E7E">
          <w:rPr>
            <w:szCs w:val="20"/>
          </w:rPr>
          <w:delText>Push plunger to inject solution – it can take from 2 to 5 seconds to empty the syringe</w:delText>
        </w:r>
      </w:del>
    </w:p>
    <w:p w14:paraId="04D204A2" w14:textId="77777777" w:rsidR="00BC0E7E" w:rsidRPr="00BC0E7E" w:rsidRDefault="00944B8F" w:rsidP="00BC0E7E">
      <w:pPr>
        <w:numPr>
          <w:ilvl w:val="0"/>
          <w:numId w:val="13"/>
        </w:numPr>
        <w:tabs>
          <w:tab w:val="clear" w:pos="562"/>
          <w:tab w:val="num" w:pos="550"/>
        </w:tabs>
        <w:ind w:left="550" w:hanging="550"/>
        <w:rPr>
          <w:del w:id="11548" w:author="AbbVie19" w:date="2025-04-16T12:22:00Z"/>
          <w:szCs w:val="20"/>
        </w:rPr>
      </w:pPr>
      <w:del w:id="11549" w:author="AbbVie19" w:date="2025-04-16T12:22:00Z">
        <w:r w:rsidRPr="00BC0E7E">
          <w:rPr>
            <w:szCs w:val="20"/>
          </w:rPr>
          <w:delText>When the syringe is empty, remove the needle from skin, being careful to keep it at the same angle as when it was inserted</w:delText>
        </w:r>
      </w:del>
    </w:p>
    <w:p w14:paraId="0808735A" w14:textId="77777777" w:rsidR="00BC0E7E" w:rsidRPr="00BC0E7E" w:rsidRDefault="00944B8F" w:rsidP="00BC0E7E">
      <w:pPr>
        <w:numPr>
          <w:ilvl w:val="0"/>
          <w:numId w:val="13"/>
        </w:numPr>
        <w:tabs>
          <w:tab w:val="clear" w:pos="562"/>
          <w:tab w:val="num" w:pos="550"/>
        </w:tabs>
        <w:ind w:left="550" w:hanging="550"/>
        <w:rPr>
          <w:del w:id="11550" w:author="AbbVie19" w:date="2025-04-16T12:22:00Z"/>
          <w:szCs w:val="20"/>
        </w:rPr>
      </w:pPr>
      <w:del w:id="11551" w:author="AbbVie19" w:date="2025-04-16T12:22:00Z">
        <w:r w:rsidRPr="00BC0E7E">
          <w:rPr>
            <w:szCs w:val="20"/>
          </w:rPr>
          <w:delText>Using your thumb or a piece of gauze, apply pressure over the injection site for 10 seconds.  A little bleeding may occur. Do not rub the injection site. Use a plaster if you want to.</w:delText>
        </w:r>
      </w:del>
    </w:p>
    <w:p w14:paraId="473DF586" w14:textId="77777777" w:rsidR="00BC0E7E" w:rsidRPr="00BC0E7E" w:rsidRDefault="00BC0E7E" w:rsidP="00BC0E7E">
      <w:pPr>
        <w:rPr>
          <w:del w:id="11552" w:author="AbbVie19" w:date="2025-04-16T12:22:00Z"/>
          <w:szCs w:val="20"/>
        </w:rPr>
      </w:pPr>
    </w:p>
    <w:p w14:paraId="2F00E781" w14:textId="77777777" w:rsidR="00BC0E7E" w:rsidRPr="00BC0E7E" w:rsidRDefault="00944B8F" w:rsidP="0097291B">
      <w:pPr>
        <w:keepNext/>
        <w:suppressAutoHyphens w:val="0"/>
        <w:outlineLvl w:val="1"/>
        <w:rPr>
          <w:del w:id="11553" w:author="AbbVie19" w:date="2025-04-16T12:22:00Z"/>
          <w:b/>
          <w:szCs w:val="20"/>
        </w:rPr>
      </w:pPr>
      <w:del w:id="11554" w:author="AbbVie19" w:date="2025-04-16T12:22:00Z">
        <w:r w:rsidRPr="00BC0E7E">
          <w:rPr>
            <w:b/>
            <w:szCs w:val="20"/>
          </w:rPr>
          <w:delText xml:space="preserve">4) </w:delText>
        </w:r>
        <w:r w:rsidRPr="00BC0E7E">
          <w:rPr>
            <w:b/>
            <w:szCs w:val="20"/>
          </w:rPr>
          <w:tab/>
          <w:delText>Throwing away supplies</w:delText>
        </w:r>
      </w:del>
    </w:p>
    <w:p w14:paraId="50BE00D3" w14:textId="77777777" w:rsidR="00BC0E7E" w:rsidRPr="00BC0E7E" w:rsidRDefault="00BC0E7E" w:rsidP="0097291B">
      <w:pPr>
        <w:keepNext/>
        <w:rPr>
          <w:del w:id="11555" w:author="AbbVie19" w:date="2025-04-16T12:22:00Z"/>
          <w:szCs w:val="20"/>
        </w:rPr>
      </w:pPr>
    </w:p>
    <w:p w14:paraId="24328B00" w14:textId="77777777" w:rsidR="00BC0E7E" w:rsidRPr="00BC0E7E" w:rsidRDefault="00944B8F" w:rsidP="0097291B">
      <w:pPr>
        <w:keepNext/>
        <w:numPr>
          <w:ilvl w:val="0"/>
          <w:numId w:val="13"/>
        </w:numPr>
        <w:tabs>
          <w:tab w:val="clear" w:pos="562"/>
          <w:tab w:val="num" w:pos="550"/>
        </w:tabs>
        <w:ind w:left="550" w:hanging="550"/>
        <w:rPr>
          <w:del w:id="11556" w:author="AbbVie19" w:date="2025-04-16T12:22:00Z"/>
          <w:szCs w:val="20"/>
        </w:rPr>
      </w:pPr>
      <w:del w:id="11557" w:author="AbbVie19" w:date="2025-04-16T12:22:00Z">
        <w:r w:rsidRPr="00BC0E7E">
          <w:rPr>
            <w:szCs w:val="20"/>
          </w:rPr>
          <w:delText>The Humira syringe should NEVER be reused. NEVER recap a needle.</w:delText>
        </w:r>
      </w:del>
    </w:p>
    <w:p w14:paraId="420B4B81" w14:textId="77777777" w:rsidR="00BC0E7E" w:rsidRPr="00BC0E7E" w:rsidRDefault="00944B8F" w:rsidP="0097291B">
      <w:pPr>
        <w:keepNext/>
        <w:numPr>
          <w:ilvl w:val="0"/>
          <w:numId w:val="13"/>
        </w:numPr>
        <w:tabs>
          <w:tab w:val="clear" w:pos="562"/>
          <w:tab w:val="num" w:pos="550"/>
        </w:tabs>
        <w:ind w:left="550" w:hanging="550"/>
        <w:rPr>
          <w:del w:id="11558" w:author="AbbVie19" w:date="2025-04-16T12:22:00Z"/>
          <w:szCs w:val="20"/>
        </w:rPr>
      </w:pPr>
      <w:del w:id="11559" w:author="AbbVie19" w:date="2025-04-16T12:22:00Z">
        <w:r w:rsidRPr="00BC0E7E">
          <w:rPr>
            <w:szCs w:val="20"/>
          </w:rPr>
          <w:delText>After injecting Humira, immediately throw away the used syringe in a special container as instructed by your doctor, nurse or pharmacist.</w:delText>
        </w:r>
      </w:del>
    </w:p>
    <w:p w14:paraId="465C58CC" w14:textId="77777777" w:rsidR="00BC0E7E" w:rsidRPr="00BC0E7E" w:rsidRDefault="00944B8F" w:rsidP="0097291B">
      <w:pPr>
        <w:keepNext/>
        <w:numPr>
          <w:ilvl w:val="0"/>
          <w:numId w:val="13"/>
        </w:numPr>
        <w:tabs>
          <w:tab w:val="clear" w:pos="562"/>
          <w:tab w:val="num" w:pos="550"/>
        </w:tabs>
        <w:ind w:left="550" w:hanging="550"/>
        <w:rPr>
          <w:del w:id="11560" w:author="AbbVie19" w:date="2025-04-16T12:22:00Z"/>
          <w:szCs w:val="20"/>
        </w:rPr>
      </w:pPr>
      <w:del w:id="11561" w:author="AbbVie19" w:date="2025-04-16T12:22:00Z">
        <w:r w:rsidRPr="00BC0E7E">
          <w:rPr>
            <w:szCs w:val="20"/>
          </w:rPr>
          <w:delText>Keep this container out of the sight and reach of children</w:delText>
        </w:r>
      </w:del>
    </w:p>
    <w:p w14:paraId="5FC76825" w14:textId="77777777" w:rsidR="008B7BCC" w:rsidRDefault="008B7BCC" w:rsidP="008B7BCC">
      <w:pPr>
        <w:numPr>
          <w:ilvl w:val="12"/>
          <w:numId w:val="0"/>
        </w:numPr>
        <w:tabs>
          <w:tab w:val="clear" w:pos="562"/>
        </w:tabs>
        <w:ind w:right="-2"/>
        <w:rPr>
          <w:del w:id="11562" w:author="AbbVie19" w:date="2025-04-16T12:22:00Z"/>
          <w:b/>
        </w:rPr>
      </w:pPr>
    </w:p>
    <w:p w14:paraId="7FF32BB4" w14:textId="77777777" w:rsidR="008B7BCC" w:rsidRPr="00283A59" w:rsidRDefault="00944B8F" w:rsidP="008B7BCC">
      <w:pPr>
        <w:numPr>
          <w:ilvl w:val="12"/>
          <w:numId w:val="0"/>
        </w:numPr>
        <w:tabs>
          <w:tab w:val="clear" w:pos="562"/>
        </w:tabs>
        <w:ind w:right="-2"/>
        <w:rPr>
          <w:del w:id="11563" w:author="AbbVie19" w:date="2025-04-16T12:22:00Z"/>
          <w:highlight w:val="lightGray"/>
        </w:rPr>
      </w:pPr>
      <w:del w:id="11564" w:author="AbbVie19" w:date="2025-04-16T12:22:00Z">
        <w:r w:rsidRPr="00283A59">
          <w:rPr>
            <w:b/>
            <w:highlight w:val="lightGray"/>
          </w:rPr>
          <w:delText>Instructions for preparing and giving an injection of Humira</w:delText>
        </w:r>
      </w:del>
    </w:p>
    <w:p w14:paraId="2EE0978C" w14:textId="77777777" w:rsidR="008B7BCC" w:rsidRPr="00283A59" w:rsidRDefault="008B7BCC" w:rsidP="008B7BCC">
      <w:pPr>
        <w:numPr>
          <w:ilvl w:val="12"/>
          <w:numId w:val="0"/>
        </w:numPr>
        <w:tabs>
          <w:tab w:val="clear" w:pos="562"/>
        </w:tabs>
        <w:ind w:right="-2"/>
        <w:rPr>
          <w:del w:id="11565" w:author="AbbVie19" w:date="2025-04-16T12:22:00Z"/>
          <w:highlight w:val="lightGray"/>
        </w:rPr>
      </w:pPr>
    </w:p>
    <w:p w14:paraId="792292C6" w14:textId="77777777" w:rsidR="008B7BCC" w:rsidRPr="00283A59" w:rsidRDefault="00944B8F" w:rsidP="008B7BCC">
      <w:pPr>
        <w:rPr>
          <w:del w:id="11566" w:author="AbbVie19" w:date="2025-04-16T12:22:00Z"/>
          <w:highlight w:val="lightGray"/>
        </w:rPr>
      </w:pPr>
      <w:del w:id="11567" w:author="AbbVie19" w:date="2025-04-16T12:22:00Z">
        <w:r w:rsidRPr="00283A59">
          <w:rPr>
            <w:highlight w:val="lightGray"/>
          </w:rPr>
          <w:delText>The following instructions explain how to inject Humira. Please read the instructions carefully a</w:delText>
        </w:r>
        <w:r w:rsidRPr="007C065A">
          <w:rPr>
            <w:highlight w:val="lightGray"/>
          </w:rPr>
          <w:delText xml:space="preserve">nd follow them step by step. </w:delText>
        </w:r>
        <w:r w:rsidRPr="00283A59">
          <w:rPr>
            <w:highlight w:val="lightGray"/>
          </w:rPr>
          <w:delText>You will be instructed by your doctor or his/her assistant on th</w:delText>
        </w:r>
        <w:r w:rsidRPr="007C065A">
          <w:rPr>
            <w:highlight w:val="lightGray"/>
          </w:rPr>
          <w:delText xml:space="preserve">e technique of self-injection. </w:delText>
        </w:r>
        <w:r w:rsidRPr="00283A59">
          <w:rPr>
            <w:highlight w:val="lightGray"/>
          </w:rPr>
          <w:delText>Do not attempt to self-inject until you are sure that you understand how to p</w:delText>
        </w:r>
        <w:r w:rsidRPr="007C065A">
          <w:rPr>
            <w:highlight w:val="lightGray"/>
          </w:rPr>
          <w:delText xml:space="preserve">repare and give the injection. </w:delText>
        </w:r>
        <w:r w:rsidRPr="00283A59">
          <w:rPr>
            <w:highlight w:val="lightGray"/>
          </w:rPr>
          <w:delText>After proper training, the injection can be self-administered or given by another person, for example a family member or friend.</w:delText>
        </w:r>
      </w:del>
    </w:p>
    <w:p w14:paraId="3E65A99F" w14:textId="77777777" w:rsidR="008B7BCC" w:rsidRPr="00283A59" w:rsidRDefault="008B7BCC" w:rsidP="008B7BCC">
      <w:pPr>
        <w:rPr>
          <w:del w:id="11568" w:author="AbbVie19" w:date="2025-04-16T12:22:00Z"/>
          <w:highlight w:val="lightGray"/>
        </w:rPr>
      </w:pPr>
    </w:p>
    <w:p w14:paraId="5D28FD9F" w14:textId="77777777" w:rsidR="008B7BCC" w:rsidRPr="00283A59" w:rsidRDefault="00944B8F" w:rsidP="008B7BCC">
      <w:pPr>
        <w:rPr>
          <w:del w:id="11569" w:author="AbbVie19" w:date="2025-04-16T12:22:00Z"/>
          <w:highlight w:val="lightGray"/>
        </w:rPr>
      </w:pPr>
      <w:del w:id="11570" w:author="AbbVie19" w:date="2025-04-16T12:22:00Z">
        <w:r w:rsidRPr="00283A59">
          <w:rPr>
            <w:highlight w:val="lightGray"/>
          </w:rPr>
          <w:delText>This injection should not be mixed in the same syringe or vial with any other medicine.</w:delText>
        </w:r>
      </w:del>
    </w:p>
    <w:p w14:paraId="089693D5" w14:textId="77777777" w:rsidR="008B7BCC" w:rsidRPr="00283A59" w:rsidRDefault="008B7BCC" w:rsidP="008B7BCC">
      <w:pPr>
        <w:rPr>
          <w:del w:id="11571" w:author="AbbVie19" w:date="2025-04-16T12:22:00Z"/>
          <w:highlight w:val="lightGray"/>
        </w:rPr>
      </w:pPr>
    </w:p>
    <w:p w14:paraId="13B20868" w14:textId="77777777" w:rsidR="008B7BCC" w:rsidRPr="00283A59" w:rsidRDefault="00944B8F" w:rsidP="008B7BCC">
      <w:pPr>
        <w:pStyle w:val="EMEAHeading2SPC"/>
        <w:keepNext/>
        <w:spacing w:beforeLines="0" w:afterLines="0"/>
        <w:rPr>
          <w:del w:id="11572" w:author="AbbVie19" w:date="2025-04-16T12:22:00Z"/>
          <w:rFonts w:ascii="Times New Roman" w:hAnsi="Times New Roman"/>
          <w:highlight w:val="lightGray"/>
          <w:lang w:val="en-GB"/>
        </w:rPr>
      </w:pPr>
      <w:del w:id="11573" w:author="AbbVie19" w:date="2025-04-16T12:22:00Z">
        <w:r w:rsidRPr="00283A59">
          <w:rPr>
            <w:rFonts w:ascii="Times New Roman" w:hAnsi="Times New Roman"/>
            <w:highlight w:val="lightGray"/>
            <w:lang w:val="en-GB"/>
          </w:rPr>
          <w:delText xml:space="preserve">1) </w:delText>
        </w:r>
        <w:r w:rsidRPr="00283A59">
          <w:rPr>
            <w:rFonts w:ascii="Times New Roman" w:hAnsi="Times New Roman"/>
            <w:highlight w:val="lightGray"/>
            <w:lang w:val="en-GB"/>
          </w:rPr>
          <w:tab/>
          <w:delText>Setting up</w:delText>
        </w:r>
      </w:del>
    </w:p>
    <w:p w14:paraId="2FF92FD6" w14:textId="77777777" w:rsidR="008B7BCC" w:rsidRPr="00283A59" w:rsidRDefault="008B7BCC" w:rsidP="008B7BCC">
      <w:pPr>
        <w:pStyle w:val="EMEANormal"/>
        <w:rPr>
          <w:del w:id="11574" w:author="AbbVie19" w:date="2025-04-16T12:22:00Z"/>
          <w:highlight w:val="lightGray"/>
          <w:lang w:val="en-GB"/>
        </w:rPr>
      </w:pPr>
    </w:p>
    <w:p w14:paraId="05ACE51C" w14:textId="77777777" w:rsidR="008B7BCC" w:rsidRPr="00283A59" w:rsidRDefault="00944B8F" w:rsidP="008B7BCC">
      <w:pPr>
        <w:pStyle w:val="EMEABullet2"/>
        <w:keepNext/>
        <w:tabs>
          <w:tab w:val="clear" w:pos="567"/>
          <w:tab w:val="num" w:pos="550"/>
        </w:tabs>
        <w:ind w:left="550" w:hanging="550"/>
        <w:rPr>
          <w:del w:id="11575" w:author="AbbVie19" w:date="2025-04-16T12:22:00Z"/>
          <w:highlight w:val="lightGray"/>
          <w:lang w:val="en-GB"/>
        </w:rPr>
      </w:pPr>
      <w:del w:id="11576" w:author="AbbVie19" w:date="2025-04-16T12:22:00Z">
        <w:r w:rsidRPr="00283A59">
          <w:rPr>
            <w:highlight w:val="lightGray"/>
            <w:lang w:val="en-GB"/>
          </w:rPr>
          <w:delText xml:space="preserve">Wash your hands thoroughly </w:delText>
        </w:r>
      </w:del>
    </w:p>
    <w:p w14:paraId="54DE17C5" w14:textId="77777777" w:rsidR="008B7BCC" w:rsidRPr="00283A59" w:rsidRDefault="00944B8F" w:rsidP="008B7BCC">
      <w:pPr>
        <w:pStyle w:val="EMEABullet2"/>
        <w:keepNext/>
        <w:tabs>
          <w:tab w:val="clear" w:pos="567"/>
          <w:tab w:val="num" w:pos="550"/>
        </w:tabs>
        <w:ind w:left="550" w:hanging="550"/>
        <w:rPr>
          <w:del w:id="11577" w:author="AbbVie19" w:date="2025-04-16T12:22:00Z"/>
          <w:highlight w:val="lightGray"/>
          <w:lang w:val="en-GB"/>
        </w:rPr>
      </w:pPr>
      <w:del w:id="11578" w:author="AbbVie19" w:date="2025-04-16T12:22:00Z">
        <w:r w:rsidRPr="00283A59">
          <w:rPr>
            <w:highlight w:val="lightGray"/>
            <w:lang w:val="en-GB"/>
          </w:rPr>
          <w:delText>Set up the following items on a clean surface</w:delText>
        </w:r>
      </w:del>
    </w:p>
    <w:p w14:paraId="6742CE09" w14:textId="77777777" w:rsidR="008B7BCC" w:rsidRPr="00283A59" w:rsidRDefault="008B7BCC" w:rsidP="008B7BCC">
      <w:pPr>
        <w:pStyle w:val="EndnoteText"/>
        <w:keepNext/>
        <w:rPr>
          <w:del w:id="11579" w:author="AbbVie19" w:date="2025-04-16T12:22:00Z"/>
          <w:highlight w:val="lightGray"/>
        </w:rPr>
      </w:pPr>
    </w:p>
    <w:p w14:paraId="08E71793" w14:textId="77777777" w:rsidR="008B7BCC" w:rsidRPr="00283A59" w:rsidRDefault="00944B8F" w:rsidP="008B7BCC">
      <w:pPr>
        <w:keepNext/>
        <w:numPr>
          <w:ilvl w:val="1"/>
          <w:numId w:val="12"/>
        </w:numPr>
        <w:tabs>
          <w:tab w:val="clear" w:pos="562"/>
          <w:tab w:val="clear" w:pos="2520"/>
        </w:tabs>
        <w:ind w:left="1134" w:hanging="567"/>
        <w:rPr>
          <w:del w:id="11580" w:author="AbbVie19" w:date="2025-04-16T12:22:00Z"/>
          <w:highlight w:val="lightGray"/>
        </w:rPr>
      </w:pPr>
      <w:del w:id="11581" w:author="AbbVie19" w:date="2025-04-16T12:22:00Z">
        <w:r w:rsidRPr="00283A59">
          <w:rPr>
            <w:highlight w:val="lightGray"/>
          </w:rPr>
          <w:delText>One pre-filled syringe of Humira for injection</w:delText>
        </w:r>
      </w:del>
    </w:p>
    <w:p w14:paraId="24800FE3" w14:textId="77777777" w:rsidR="008B7BCC" w:rsidRPr="00283A59" w:rsidRDefault="00944B8F" w:rsidP="008B7BCC">
      <w:pPr>
        <w:keepNext/>
        <w:numPr>
          <w:ilvl w:val="1"/>
          <w:numId w:val="12"/>
        </w:numPr>
        <w:tabs>
          <w:tab w:val="clear" w:pos="562"/>
          <w:tab w:val="clear" w:pos="2520"/>
        </w:tabs>
        <w:ind w:left="1134" w:hanging="567"/>
        <w:rPr>
          <w:del w:id="11582" w:author="AbbVie19" w:date="2025-04-16T12:22:00Z"/>
          <w:highlight w:val="lightGray"/>
        </w:rPr>
      </w:pPr>
      <w:del w:id="11583" w:author="AbbVie19" w:date="2025-04-16T12:22:00Z">
        <w:r w:rsidRPr="00283A59">
          <w:rPr>
            <w:highlight w:val="lightGray"/>
          </w:rPr>
          <w:delText>One alcohol pad</w:delText>
        </w:r>
      </w:del>
    </w:p>
    <w:p w14:paraId="5FEE34C1" w14:textId="77777777" w:rsidR="008B7BCC" w:rsidRPr="00283A59" w:rsidRDefault="008B7BCC" w:rsidP="008B7BCC">
      <w:pPr>
        <w:ind w:left="2160"/>
        <w:rPr>
          <w:del w:id="11584" w:author="AbbVie19" w:date="2025-04-16T12:22:00Z"/>
          <w:highlight w:val="lightGray"/>
        </w:rPr>
      </w:pPr>
    </w:p>
    <w:p w14:paraId="506AC048" w14:textId="77777777" w:rsidR="008B7BCC" w:rsidRPr="00283A59" w:rsidRDefault="00860036" w:rsidP="008B7BCC">
      <w:pPr>
        <w:ind w:left="2160"/>
        <w:rPr>
          <w:del w:id="11585" w:author="AbbVie19" w:date="2025-04-16T12:22:00Z"/>
          <w:highlight w:val="lightGray"/>
        </w:rPr>
      </w:pPr>
      <w:del w:id="11586" w:author="AbbVie19" w:date="2025-04-16T12:22:00Z">
        <w:r>
          <w:rPr>
            <w:highlight w:val="lightGray"/>
          </w:rPr>
          <w:object w:dxaOrig="3585" w:dyaOrig="2696" w14:anchorId="392001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136.8pt" o:ole="">
              <v:imagedata r:id="rId55" o:title=""/>
            </v:shape>
            <o:OLEObject Type="Embed" ProgID="PBrush" ShapeID="_x0000_i1025" DrawAspect="Content" ObjectID="_1818836381" r:id="rId56"/>
          </w:object>
        </w:r>
      </w:del>
    </w:p>
    <w:p w14:paraId="2A5F60C6" w14:textId="77777777" w:rsidR="008B7BCC" w:rsidRPr="00283A59" w:rsidRDefault="008B7BCC" w:rsidP="008B7BCC">
      <w:pPr>
        <w:ind w:left="2160"/>
        <w:rPr>
          <w:del w:id="11587" w:author="AbbVie19" w:date="2025-04-16T12:22:00Z"/>
          <w:highlight w:val="lightGray"/>
        </w:rPr>
      </w:pPr>
    </w:p>
    <w:p w14:paraId="281064DF" w14:textId="77777777" w:rsidR="00AF385B" w:rsidRPr="00283A59" w:rsidRDefault="00944B8F" w:rsidP="00AF385B">
      <w:pPr>
        <w:pStyle w:val="EMEABullet2"/>
        <w:tabs>
          <w:tab w:val="clear" w:pos="567"/>
          <w:tab w:val="num" w:pos="550"/>
        </w:tabs>
        <w:ind w:left="720" w:hanging="720"/>
        <w:rPr>
          <w:del w:id="11588" w:author="AbbVie19" w:date="2025-04-16T12:22:00Z"/>
          <w:highlight w:val="lightGray"/>
          <w:lang w:val="en-GB"/>
        </w:rPr>
      </w:pPr>
      <w:del w:id="11589" w:author="AbbVie19" w:date="2025-04-16T12:22:00Z">
        <w:r w:rsidRPr="00283A59">
          <w:rPr>
            <w:highlight w:val="lightGray"/>
            <w:lang w:val="en-GB"/>
          </w:rPr>
          <w:delText>Look at t</w:delText>
        </w:r>
        <w:r w:rsidRPr="007C065A">
          <w:rPr>
            <w:highlight w:val="lightGray"/>
            <w:lang w:val="en-GB"/>
          </w:rPr>
          <w:delText xml:space="preserve">he expiry date on the syringe. </w:delText>
        </w:r>
        <w:r w:rsidRPr="00283A59">
          <w:rPr>
            <w:highlight w:val="lightGray"/>
            <w:lang w:val="en-GB"/>
          </w:rPr>
          <w:delText>Do not use the product after the month and year shown.</w:delText>
        </w:r>
        <w:r w:rsidRPr="00AF385B">
          <w:rPr>
            <w:highlight w:val="lightGray"/>
            <w:lang w:val="en-GB"/>
          </w:rPr>
          <w:delText xml:space="preserve"> </w:delText>
        </w:r>
      </w:del>
    </w:p>
    <w:p w14:paraId="17FA89CB" w14:textId="77777777" w:rsidR="008B7BCC" w:rsidRPr="00283A59" w:rsidRDefault="008B7BCC" w:rsidP="008B7BCC">
      <w:pPr>
        <w:pStyle w:val="EMEABullet2"/>
        <w:tabs>
          <w:tab w:val="clear" w:pos="567"/>
          <w:tab w:val="num" w:pos="550"/>
        </w:tabs>
        <w:ind w:left="720" w:hanging="720"/>
        <w:rPr>
          <w:del w:id="11590" w:author="AbbVie19" w:date="2025-04-16T12:22:00Z"/>
          <w:highlight w:val="lightGray"/>
          <w:lang w:val="en-GB"/>
        </w:rPr>
      </w:pPr>
    </w:p>
    <w:p w14:paraId="0184EEDE" w14:textId="77777777" w:rsidR="00AF385B" w:rsidRPr="00ED73DF" w:rsidRDefault="00944B8F" w:rsidP="00EA5EEF">
      <w:pPr>
        <w:pStyle w:val="EMEAHeading2SPC"/>
        <w:keepNext/>
        <w:spacing w:beforeLines="0" w:afterLines="0"/>
        <w:rPr>
          <w:del w:id="11591" w:author="AbbVie19" w:date="2025-04-16T12:22:00Z"/>
          <w:highlight w:val="lightGray"/>
          <w:lang w:val="en-GB"/>
        </w:rPr>
      </w:pPr>
      <w:del w:id="11592" w:author="AbbVie19" w:date="2025-04-16T12:22:00Z">
        <w:r w:rsidRPr="00D67BDC">
          <w:rPr>
            <w:rFonts w:ascii="Times New Roman" w:hAnsi="Times New Roman"/>
            <w:highlight w:val="lightGray"/>
            <w:lang w:val="en-GB"/>
          </w:rPr>
          <w:delText xml:space="preserve">2) </w:delText>
        </w:r>
        <w:r w:rsidRPr="00D67BDC">
          <w:rPr>
            <w:rFonts w:ascii="Times New Roman" w:hAnsi="Times New Roman"/>
            <w:highlight w:val="lightGray"/>
            <w:lang w:val="en-GB"/>
          </w:rPr>
          <w:tab/>
          <w:delText>Choosing and preparing an injection site</w:delText>
        </w:r>
        <w:r w:rsidRPr="00D67BDC">
          <w:rPr>
            <w:rFonts w:ascii="Times New Roman" w:hAnsi="Times New Roman"/>
            <w:highlight w:val="lightGray"/>
            <w:lang w:val="en-GB"/>
          </w:rPr>
          <w:tab/>
        </w:r>
      </w:del>
    </w:p>
    <w:p w14:paraId="63CC5E03" w14:textId="77777777" w:rsidR="008B7BCC" w:rsidRPr="00283A59" w:rsidRDefault="008B7BCC" w:rsidP="00AF385B">
      <w:pPr>
        <w:pStyle w:val="EMEAHeading2SPC"/>
        <w:spacing w:beforeLines="0" w:afterLines="0"/>
        <w:rPr>
          <w:del w:id="11593" w:author="AbbVie19" w:date="2025-04-16T12:22:00Z"/>
          <w:rFonts w:ascii="Times New Roman" w:hAnsi="Times New Roman"/>
          <w:highlight w:val="lightGray"/>
          <w:lang w:val="en-GB"/>
        </w:rPr>
      </w:pPr>
    </w:p>
    <w:p w14:paraId="323F8F1B" w14:textId="77777777" w:rsidR="008B7BCC" w:rsidRPr="00283A59" w:rsidRDefault="00944B8F" w:rsidP="008B7BCC">
      <w:pPr>
        <w:pStyle w:val="EMEABullet2"/>
        <w:tabs>
          <w:tab w:val="clear" w:pos="567"/>
          <w:tab w:val="num" w:pos="550"/>
        </w:tabs>
        <w:ind w:left="720" w:hanging="720"/>
        <w:rPr>
          <w:del w:id="11594" w:author="AbbVie19" w:date="2025-04-16T12:22:00Z"/>
          <w:highlight w:val="lightGray"/>
          <w:lang w:val="en-GB"/>
        </w:rPr>
      </w:pPr>
      <w:del w:id="11595" w:author="AbbVie19" w:date="2025-04-16T12:22:00Z">
        <w:r w:rsidRPr="00283A59">
          <w:rPr>
            <w:highlight w:val="lightGray"/>
            <w:lang w:val="en-GB"/>
          </w:rPr>
          <w:delText>Choose a site on your thigh or stomach</w:delText>
        </w:r>
      </w:del>
    </w:p>
    <w:p w14:paraId="4B61C0F8" w14:textId="77777777" w:rsidR="008B7BCC" w:rsidRPr="00283A59" w:rsidRDefault="008B7BCC" w:rsidP="008B7BCC">
      <w:pPr>
        <w:pStyle w:val="EMEANormal"/>
        <w:rPr>
          <w:del w:id="11596" w:author="AbbVie19" w:date="2025-04-16T12:22:00Z"/>
          <w:highlight w:val="lightGray"/>
          <w:lang w:val="en-GB"/>
        </w:rPr>
      </w:pPr>
    </w:p>
    <w:p w14:paraId="0034D2D9" w14:textId="77777777" w:rsidR="008B7BCC" w:rsidRPr="00283A59" w:rsidRDefault="00860036" w:rsidP="008B7BCC">
      <w:pPr>
        <w:jc w:val="center"/>
        <w:rPr>
          <w:del w:id="11597" w:author="AbbVie19" w:date="2025-04-16T12:22:00Z"/>
          <w:highlight w:val="lightGray"/>
        </w:rPr>
      </w:pPr>
      <w:del w:id="11598" w:author="AbbVie19" w:date="2025-04-16T12:22:00Z">
        <w:r>
          <w:rPr>
            <w:highlight w:val="lightGray"/>
          </w:rPr>
          <w:object w:dxaOrig="2584" w:dyaOrig="2022" w14:anchorId="57B0A3AD">
            <v:shape id="_x0000_i1026" type="#_x0000_t75" style="width:129.6pt;height:100.8pt" o:ole="">
              <v:imagedata r:id="rId57" o:title=""/>
            </v:shape>
            <o:OLEObject Type="Embed" ProgID="MSPhotoEd.3" ShapeID="_x0000_i1026" DrawAspect="Content" ObjectID="_1818836382" r:id="rId58"/>
          </w:object>
        </w:r>
      </w:del>
    </w:p>
    <w:p w14:paraId="05897FC4" w14:textId="77777777" w:rsidR="008B7BCC" w:rsidRPr="00283A59" w:rsidRDefault="008B7BCC" w:rsidP="008B7BCC">
      <w:pPr>
        <w:rPr>
          <w:del w:id="11599" w:author="AbbVie19" w:date="2025-04-16T12:22:00Z"/>
          <w:highlight w:val="lightGray"/>
        </w:rPr>
      </w:pPr>
    </w:p>
    <w:p w14:paraId="06F726C6" w14:textId="77777777" w:rsidR="008B7BCC" w:rsidRPr="00283A59" w:rsidRDefault="00944B8F" w:rsidP="008B7BCC">
      <w:pPr>
        <w:pStyle w:val="EMEABullet2"/>
        <w:tabs>
          <w:tab w:val="clear" w:pos="567"/>
          <w:tab w:val="num" w:pos="550"/>
        </w:tabs>
        <w:ind w:left="720" w:hanging="720"/>
        <w:rPr>
          <w:del w:id="11600" w:author="AbbVie19" w:date="2025-04-16T12:22:00Z"/>
          <w:highlight w:val="lightGray"/>
          <w:lang w:val="en-GB"/>
        </w:rPr>
      </w:pPr>
      <w:del w:id="11601" w:author="AbbVie19" w:date="2025-04-16T12:22:00Z">
        <w:r w:rsidRPr="00283A59">
          <w:rPr>
            <w:highlight w:val="lightGray"/>
            <w:lang w:val="en-GB"/>
          </w:rPr>
          <w:delText xml:space="preserve">Each new injection should be given at least 3 cm from the last injection site. </w:delText>
        </w:r>
      </w:del>
    </w:p>
    <w:p w14:paraId="52972DFD" w14:textId="77777777" w:rsidR="008B7BCC" w:rsidRPr="00283A59" w:rsidRDefault="00944B8F" w:rsidP="008B7BCC">
      <w:pPr>
        <w:numPr>
          <w:ilvl w:val="1"/>
          <w:numId w:val="12"/>
        </w:numPr>
        <w:tabs>
          <w:tab w:val="clear" w:pos="562"/>
          <w:tab w:val="left" w:pos="1134"/>
        </w:tabs>
        <w:ind w:left="1134" w:hanging="567"/>
        <w:rPr>
          <w:del w:id="11602" w:author="AbbVie19" w:date="2025-04-16T12:22:00Z"/>
          <w:highlight w:val="lightGray"/>
        </w:rPr>
      </w:pPr>
      <w:del w:id="11603" w:author="AbbVie19" w:date="2025-04-16T12:22:00Z">
        <w:r w:rsidRPr="00283A59">
          <w:rPr>
            <w:highlight w:val="lightGray"/>
          </w:rPr>
          <w:delText>Do not inject in an area where the skin is reddened, bruised, or hard. This may mean there is an infection.</w:delText>
        </w:r>
      </w:del>
    </w:p>
    <w:p w14:paraId="0CCC3571" w14:textId="77777777" w:rsidR="008B7BCC" w:rsidRPr="00283A59" w:rsidRDefault="00944B8F" w:rsidP="008B7BCC">
      <w:pPr>
        <w:numPr>
          <w:ilvl w:val="1"/>
          <w:numId w:val="12"/>
        </w:numPr>
        <w:tabs>
          <w:tab w:val="clear" w:pos="562"/>
          <w:tab w:val="left" w:pos="1134"/>
        </w:tabs>
        <w:ind w:left="1134" w:hanging="567"/>
        <w:rPr>
          <w:del w:id="11604" w:author="AbbVie19" w:date="2025-04-16T12:22:00Z"/>
          <w:highlight w:val="lightGray"/>
        </w:rPr>
      </w:pPr>
      <w:del w:id="11605" w:author="AbbVie19" w:date="2025-04-16T12:22:00Z">
        <w:r w:rsidRPr="00283A59">
          <w:rPr>
            <w:highlight w:val="lightGray"/>
          </w:rPr>
          <w:delText>Wipe the injection site with the enclosed alcohol pad, using a circular motion.</w:delText>
        </w:r>
      </w:del>
    </w:p>
    <w:p w14:paraId="112AE8DA" w14:textId="77777777" w:rsidR="008B7BCC" w:rsidRPr="00283A59" w:rsidRDefault="00944B8F" w:rsidP="008B7BCC">
      <w:pPr>
        <w:numPr>
          <w:ilvl w:val="1"/>
          <w:numId w:val="12"/>
        </w:numPr>
        <w:tabs>
          <w:tab w:val="clear" w:pos="562"/>
          <w:tab w:val="left" w:pos="1134"/>
        </w:tabs>
        <w:ind w:left="1134" w:hanging="567"/>
        <w:rPr>
          <w:del w:id="11606" w:author="AbbVie19" w:date="2025-04-16T12:22:00Z"/>
          <w:highlight w:val="lightGray"/>
        </w:rPr>
      </w:pPr>
      <w:del w:id="11607" w:author="AbbVie19" w:date="2025-04-16T12:22:00Z">
        <w:r w:rsidRPr="00283A59">
          <w:rPr>
            <w:highlight w:val="lightGray"/>
          </w:rPr>
          <w:delText>Do not touch the area again before injecting.</w:delText>
        </w:r>
      </w:del>
    </w:p>
    <w:p w14:paraId="36339A89" w14:textId="77777777" w:rsidR="008B7BCC" w:rsidRPr="00283A59" w:rsidRDefault="008B7BCC" w:rsidP="008B7BCC">
      <w:pPr>
        <w:tabs>
          <w:tab w:val="clear" w:pos="562"/>
          <w:tab w:val="left" w:pos="1134"/>
        </w:tabs>
        <w:ind w:left="1134"/>
        <w:rPr>
          <w:del w:id="11608" w:author="AbbVie19" w:date="2025-04-16T12:22:00Z"/>
          <w:highlight w:val="lightGray"/>
        </w:rPr>
      </w:pPr>
    </w:p>
    <w:p w14:paraId="74BC3B1B" w14:textId="77777777" w:rsidR="008B7BCC" w:rsidRPr="00283A59" w:rsidRDefault="00944B8F" w:rsidP="008B7BCC">
      <w:pPr>
        <w:pStyle w:val="EMEAHeading2SPC"/>
        <w:keepNext/>
        <w:spacing w:beforeLines="0" w:afterLines="0"/>
        <w:rPr>
          <w:del w:id="11609" w:author="AbbVie19" w:date="2025-04-16T12:22:00Z"/>
          <w:rFonts w:ascii="Times New Roman" w:hAnsi="Times New Roman"/>
          <w:highlight w:val="lightGray"/>
          <w:lang w:val="en-GB"/>
        </w:rPr>
      </w:pPr>
      <w:del w:id="11610" w:author="AbbVie19" w:date="2025-04-16T12:22:00Z">
        <w:r w:rsidRPr="00283A59">
          <w:rPr>
            <w:rFonts w:ascii="Times New Roman" w:hAnsi="Times New Roman"/>
            <w:highlight w:val="lightGray"/>
            <w:lang w:val="en-GB"/>
          </w:rPr>
          <w:delText xml:space="preserve">3) </w:delText>
        </w:r>
        <w:r w:rsidRPr="00283A59">
          <w:rPr>
            <w:rFonts w:ascii="Times New Roman" w:hAnsi="Times New Roman"/>
            <w:highlight w:val="lightGray"/>
            <w:lang w:val="en-GB"/>
          </w:rPr>
          <w:tab/>
          <w:delText xml:space="preserve">Injecting Humira </w:delText>
        </w:r>
      </w:del>
    </w:p>
    <w:p w14:paraId="743463A1" w14:textId="77777777" w:rsidR="008B7BCC" w:rsidRPr="00283A59" w:rsidRDefault="008B7BCC" w:rsidP="008B7BCC">
      <w:pPr>
        <w:pStyle w:val="EMEANormal"/>
        <w:keepNext/>
        <w:rPr>
          <w:del w:id="11611" w:author="AbbVie19" w:date="2025-04-16T12:22:00Z"/>
          <w:highlight w:val="lightGray"/>
          <w:lang w:val="en-GB"/>
        </w:rPr>
      </w:pPr>
    </w:p>
    <w:p w14:paraId="18DF1C30" w14:textId="77777777" w:rsidR="008B7BCC" w:rsidRPr="00283A59" w:rsidRDefault="00944B8F" w:rsidP="008B7BCC">
      <w:pPr>
        <w:pStyle w:val="EMEABullet2"/>
        <w:numPr>
          <w:ilvl w:val="0"/>
          <w:numId w:val="13"/>
        </w:numPr>
        <w:tabs>
          <w:tab w:val="clear" w:pos="567"/>
          <w:tab w:val="num" w:pos="550"/>
        </w:tabs>
        <w:ind w:left="550" w:hanging="550"/>
        <w:rPr>
          <w:del w:id="11612" w:author="AbbVie19" w:date="2025-04-16T12:22:00Z"/>
          <w:highlight w:val="lightGray"/>
          <w:lang w:val="en-GB"/>
        </w:rPr>
      </w:pPr>
      <w:del w:id="11613" w:author="AbbVie19" w:date="2025-04-16T12:22:00Z">
        <w:r w:rsidRPr="00283A59">
          <w:rPr>
            <w:highlight w:val="lightGray"/>
            <w:lang w:val="en-GB"/>
          </w:rPr>
          <w:delText>Do NOT shake the syringe.</w:delText>
        </w:r>
      </w:del>
    </w:p>
    <w:p w14:paraId="42492B4A" w14:textId="77777777" w:rsidR="008B7BCC" w:rsidRPr="00283A59" w:rsidRDefault="00944B8F" w:rsidP="008B7BCC">
      <w:pPr>
        <w:pStyle w:val="EMEABullet2"/>
        <w:numPr>
          <w:ilvl w:val="0"/>
          <w:numId w:val="13"/>
        </w:numPr>
        <w:tabs>
          <w:tab w:val="clear" w:pos="567"/>
          <w:tab w:val="num" w:pos="550"/>
        </w:tabs>
        <w:ind w:left="550" w:hanging="550"/>
        <w:rPr>
          <w:del w:id="11614" w:author="AbbVie19" w:date="2025-04-16T12:22:00Z"/>
          <w:highlight w:val="lightGray"/>
          <w:lang w:val="en-GB"/>
        </w:rPr>
      </w:pPr>
      <w:del w:id="11615" w:author="AbbVie19" w:date="2025-04-16T12:22:00Z">
        <w:r w:rsidRPr="00283A59">
          <w:rPr>
            <w:highlight w:val="lightGray"/>
            <w:lang w:val="en-GB"/>
          </w:rPr>
          <w:delText>Remove cap from needle syringe, being careful not to touch the needle or let it touch any surface.</w:delText>
        </w:r>
      </w:del>
    </w:p>
    <w:p w14:paraId="0C0E8529" w14:textId="77777777" w:rsidR="008B7BCC" w:rsidRPr="00283A59" w:rsidRDefault="00944B8F" w:rsidP="008B7BCC">
      <w:pPr>
        <w:pStyle w:val="EMEABullet2"/>
        <w:numPr>
          <w:ilvl w:val="0"/>
          <w:numId w:val="13"/>
        </w:numPr>
        <w:tabs>
          <w:tab w:val="clear" w:pos="567"/>
          <w:tab w:val="num" w:pos="550"/>
        </w:tabs>
        <w:ind w:left="550" w:hanging="550"/>
        <w:rPr>
          <w:del w:id="11616" w:author="AbbVie19" w:date="2025-04-16T12:22:00Z"/>
          <w:highlight w:val="lightGray"/>
          <w:lang w:val="en-GB"/>
        </w:rPr>
      </w:pPr>
      <w:del w:id="11617" w:author="AbbVie19" w:date="2025-04-16T12:22:00Z">
        <w:r w:rsidRPr="00283A59">
          <w:rPr>
            <w:highlight w:val="lightGray"/>
            <w:lang w:val="en-GB"/>
          </w:rPr>
          <w:delText>With one hand, gently grasp the cleaned areas of skin and hold firmly</w:delText>
        </w:r>
      </w:del>
    </w:p>
    <w:p w14:paraId="2417301E" w14:textId="77777777" w:rsidR="008B7BCC" w:rsidRPr="00283A59" w:rsidRDefault="008B7BCC" w:rsidP="008B7BCC">
      <w:pPr>
        <w:pStyle w:val="EMEANormal"/>
        <w:rPr>
          <w:del w:id="11618" w:author="AbbVie19" w:date="2025-04-16T12:22:00Z"/>
          <w:highlight w:val="lightGray"/>
          <w:lang w:val="en-GB"/>
        </w:rPr>
      </w:pPr>
    </w:p>
    <w:p w14:paraId="289DA78C" w14:textId="77777777" w:rsidR="008B7BCC" w:rsidRPr="00283A59" w:rsidRDefault="00860036" w:rsidP="008B7BCC">
      <w:pPr>
        <w:jc w:val="center"/>
        <w:rPr>
          <w:del w:id="11619" w:author="AbbVie19" w:date="2025-04-16T12:22:00Z"/>
          <w:highlight w:val="lightGray"/>
        </w:rPr>
      </w:pPr>
      <w:del w:id="11620" w:author="AbbVie19" w:date="2025-04-16T12:22:00Z">
        <w:r>
          <w:rPr>
            <w:highlight w:val="lightGray"/>
          </w:rPr>
          <w:object w:dxaOrig="2757" w:dyaOrig="2747" w14:anchorId="3C3907EF">
            <v:shape id="_x0000_i1027" type="#_x0000_t75" style="width:136.8pt;height:136.8pt" o:ole="" o:allowoverlap="f">
              <v:imagedata r:id="rId59" o:title=""/>
            </v:shape>
            <o:OLEObject Type="Embed" ProgID="PBrush" ShapeID="_x0000_i1027" DrawAspect="Content" ObjectID="_1818836383" r:id="rId60"/>
          </w:object>
        </w:r>
      </w:del>
    </w:p>
    <w:p w14:paraId="433165A0" w14:textId="77777777" w:rsidR="008B7BCC" w:rsidRPr="00283A59" w:rsidRDefault="008B7BCC" w:rsidP="008B7BCC">
      <w:pPr>
        <w:rPr>
          <w:del w:id="11621" w:author="AbbVie19" w:date="2025-04-16T12:22:00Z"/>
          <w:highlight w:val="lightGray"/>
        </w:rPr>
      </w:pPr>
    </w:p>
    <w:p w14:paraId="591474B4" w14:textId="77777777" w:rsidR="008B7BCC" w:rsidRPr="00283A59" w:rsidRDefault="00944B8F" w:rsidP="008B7BCC">
      <w:pPr>
        <w:pStyle w:val="EMEABullet2"/>
        <w:numPr>
          <w:ilvl w:val="0"/>
          <w:numId w:val="13"/>
        </w:numPr>
        <w:tabs>
          <w:tab w:val="clear" w:pos="567"/>
          <w:tab w:val="num" w:pos="550"/>
        </w:tabs>
        <w:ind w:left="550" w:hanging="550"/>
        <w:rPr>
          <w:del w:id="11622" w:author="AbbVie19" w:date="2025-04-16T12:22:00Z"/>
          <w:highlight w:val="lightGray"/>
          <w:lang w:val="en-GB"/>
        </w:rPr>
      </w:pPr>
      <w:del w:id="11623" w:author="AbbVie19" w:date="2025-04-16T12:22:00Z">
        <w:r w:rsidRPr="00283A59">
          <w:rPr>
            <w:highlight w:val="lightGray"/>
            <w:lang w:val="en-GB"/>
          </w:rPr>
          <w:delText>With the other hand, hold syringe at 45-degree angle to skin, with the grooved side up.</w:delText>
        </w:r>
      </w:del>
    </w:p>
    <w:p w14:paraId="00CE0578" w14:textId="77777777" w:rsidR="008B7BCC" w:rsidRPr="00283A59" w:rsidRDefault="00944B8F" w:rsidP="008B7BCC">
      <w:pPr>
        <w:pStyle w:val="EMEABullet2"/>
        <w:numPr>
          <w:ilvl w:val="0"/>
          <w:numId w:val="13"/>
        </w:numPr>
        <w:tabs>
          <w:tab w:val="clear" w:pos="567"/>
          <w:tab w:val="num" w:pos="550"/>
        </w:tabs>
        <w:ind w:left="550" w:hanging="550"/>
        <w:rPr>
          <w:del w:id="11624" w:author="AbbVie19" w:date="2025-04-16T12:22:00Z"/>
          <w:highlight w:val="lightGray"/>
          <w:lang w:val="en-GB"/>
        </w:rPr>
      </w:pPr>
      <w:del w:id="11625" w:author="AbbVie19" w:date="2025-04-16T12:22:00Z">
        <w:r w:rsidRPr="00283A59">
          <w:rPr>
            <w:highlight w:val="lightGray"/>
            <w:lang w:val="en-GB"/>
          </w:rPr>
          <w:delText>With one quick, short motion, push needle all the way into skin</w:delText>
        </w:r>
      </w:del>
    </w:p>
    <w:p w14:paraId="7AB48B88" w14:textId="77777777" w:rsidR="008B7BCC" w:rsidRPr="00283A59" w:rsidRDefault="00944B8F" w:rsidP="008B7BCC">
      <w:pPr>
        <w:pStyle w:val="EMEABullet2"/>
        <w:numPr>
          <w:ilvl w:val="0"/>
          <w:numId w:val="13"/>
        </w:numPr>
        <w:tabs>
          <w:tab w:val="clear" w:pos="567"/>
          <w:tab w:val="num" w:pos="550"/>
        </w:tabs>
        <w:ind w:left="550" w:hanging="550"/>
        <w:rPr>
          <w:del w:id="11626" w:author="AbbVie19" w:date="2025-04-16T12:22:00Z"/>
          <w:highlight w:val="lightGray"/>
          <w:lang w:val="en-GB"/>
        </w:rPr>
      </w:pPr>
      <w:del w:id="11627" w:author="AbbVie19" w:date="2025-04-16T12:22:00Z">
        <w:r w:rsidRPr="00283A59">
          <w:rPr>
            <w:highlight w:val="lightGray"/>
            <w:lang w:val="en-GB"/>
          </w:rPr>
          <w:lastRenderedPageBreak/>
          <w:delText>Release the skin with the first hand</w:delText>
        </w:r>
      </w:del>
    </w:p>
    <w:p w14:paraId="7B59D06C" w14:textId="77777777" w:rsidR="008B7BCC" w:rsidRPr="00283A59" w:rsidRDefault="00944B8F" w:rsidP="008B7BCC">
      <w:pPr>
        <w:pStyle w:val="EMEABullet2"/>
        <w:numPr>
          <w:ilvl w:val="0"/>
          <w:numId w:val="13"/>
        </w:numPr>
        <w:tabs>
          <w:tab w:val="clear" w:pos="567"/>
          <w:tab w:val="num" w:pos="550"/>
        </w:tabs>
        <w:ind w:left="550" w:hanging="550"/>
        <w:rPr>
          <w:del w:id="11628" w:author="AbbVie19" w:date="2025-04-16T12:22:00Z"/>
          <w:highlight w:val="lightGray"/>
          <w:lang w:val="en-GB"/>
        </w:rPr>
      </w:pPr>
      <w:del w:id="11629" w:author="AbbVie19" w:date="2025-04-16T12:22:00Z">
        <w:r w:rsidRPr="00283A59">
          <w:rPr>
            <w:highlight w:val="lightGray"/>
            <w:lang w:val="en-GB"/>
          </w:rPr>
          <w:delText>Push plunger to inject solution – it can take from 2 to 5 seconds to empty the syringe</w:delText>
        </w:r>
      </w:del>
    </w:p>
    <w:p w14:paraId="3F9DB9E4" w14:textId="77777777" w:rsidR="008B7BCC" w:rsidRPr="00283A59" w:rsidRDefault="00944B8F" w:rsidP="008B7BCC">
      <w:pPr>
        <w:pStyle w:val="EMEABullet2"/>
        <w:numPr>
          <w:ilvl w:val="0"/>
          <w:numId w:val="13"/>
        </w:numPr>
        <w:tabs>
          <w:tab w:val="clear" w:pos="567"/>
          <w:tab w:val="num" w:pos="550"/>
        </w:tabs>
        <w:ind w:left="550" w:hanging="550"/>
        <w:rPr>
          <w:del w:id="11630" w:author="AbbVie19" w:date="2025-04-16T12:22:00Z"/>
          <w:highlight w:val="lightGray"/>
          <w:lang w:val="en-GB"/>
        </w:rPr>
      </w:pPr>
      <w:del w:id="11631" w:author="AbbVie19" w:date="2025-04-16T12:22:00Z">
        <w:r w:rsidRPr="00283A59">
          <w:rPr>
            <w:highlight w:val="lightGray"/>
            <w:lang w:val="en-GB"/>
          </w:rPr>
          <w:delText>When the syringe is empty, remove the needle from skin, being careful to keep it at the same angle as when it was inserted</w:delText>
        </w:r>
      </w:del>
    </w:p>
    <w:p w14:paraId="20F14702" w14:textId="77777777" w:rsidR="008B7BCC" w:rsidRPr="00283A59" w:rsidRDefault="00944B8F" w:rsidP="008B7BCC">
      <w:pPr>
        <w:pStyle w:val="EMEABullet2"/>
        <w:numPr>
          <w:ilvl w:val="0"/>
          <w:numId w:val="13"/>
        </w:numPr>
        <w:tabs>
          <w:tab w:val="clear" w:pos="567"/>
          <w:tab w:val="num" w:pos="550"/>
        </w:tabs>
        <w:ind w:left="550" w:hanging="550"/>
        <w:rPr>
          <w:del w:id="11632" w:author="AbbVie19" w:date="2025-04-16T12:22:00Z"/>
          <w:highlight w:val="lightGray"/>
          <w:lang w:val="en-GB"/>
        </w:rPr>
      </w:pPr>
      <w:del w:id="11633" w:author="AbbVie19" w:date="2025-04-16T12:22:00Z">
        <w:r w:rsidRPr="00283A59">
          <w:rPr>
            <w:highlight w:val="lightGray"/>
            <w:lang w:val="en-GB"/>
          </w:rPr>
          <w:delText>Hold the syringe in one hand and with the other hand slide the outer protective shield over the exposed needle until it locks in place</w:delText>
        </w:r>
      </w:del>
    </w:p>
    <w:p w14:paraId="633DCFC5" w14:textId="77777777" w:rsidR="008B7BCC" w:rsidRPr="00283A59" w:rsidRDefault="00944B8F" w:rsidP="008B7BCC">
      <w:pPr>
        <w:pStyle w:val="EMEABullet2"/>
        <w:numPr>
          <w:ilvl w:val="0"/>
          <w:numId w:val="13"/>
        </w:numPr>
        <w:tabs>
          <w:tab w:val="clear" w:pos="567"/>
          <w:tab w:val="num" w:pos="550"/>
        </w:tabs>
        <w:ind w:left="550" w:hanging="550"/>
        <w:rPr>
          <w:del w:id="11634" w:author="AbbVie19" w:date="2025-04-16T12:22:00Z"/>
          <w:highlight w:val="lightGray"/>
          <w:lang w:val="en-GB"/>
        </w:rPr>
      </w:pPr>
      <w:del w:id="11635" w:author="AbbVie19" w:date="2025-04-16T12:22:00Z">
        <w:r w:rsidRPr="00283A59">
          <w:rPr>
            <w:highlight w:val="lightGray"/>
            <w:lang w:val="en-GB"/>
          </w:rPr>
          <w:delText>Using your thumb or a piece of gauze, apply pressure over the injection site for 10 seconds.</w:delText>
        </w:r>
        <w:r w:rsidRPr="007C065A">
          <w:rPr>
            <w:highlight w:val="lightGray"/>
            <w:lang w:val="en-GB"/>
          </w:rPr>
          <w:delText xml:space="preserve">  A little bleedi</w:delText>
        </w:r>
        <w:r w:rsidRPr="003E14CA">
          <w:rPr>
            <w:highlight w:val="lightGray"/>
            <w:lang w:val="en-GB"/>
          </w:rPr>
          <w:delText xml:space="preserve">ng may occur. </w:delText>
        </w:r>
        <w:r w:rsidRPr="00283A59">
          <w:rPr>
            <w:highlight w:val="lightGray"/>
            <w:lang w:val="en-GB"/>
          </w:rPr>
          <w:delText>Do not rub the injection site. Use a plaster if you want to.</w:delText>
        </w:r>
      </w:del>
    </w:p>
    <w:p w14:paraId="5558B3AC" w14:textId="77777777" w:rsidR="008B7BCC" w:rsidRPr="00283A59" w:rsidRDefault="008B7BCC" w:rsidP="008B7BCC">
      <w:pPr>
        <w:pStyle w:val="EMEANormal"/>
        <w:rPr>
          <w:del w:id="11636" w:author="AbbVie19" w:date="2025-04-16T12:22:00Z"/>
          <w:highlight w:val="lightGray"/>
          <w:lang w:val="en-GB"/>
        </w:rPr>
      </w:pPr>
    </w:p>
    <w:p w14:paraId="46F1B808" w14:textId="77777777" w:rsidR="008B7BCC" w:rsidRPr="00283A59" w:rsidRDefault="00944B8F" w:rsidP="008B7BCC">
      <w:pPr>
        <w:pStyle w:val="EMEAHeading2SPC"/>
        <w:spacing w:beforeLines="0" w:afterLines="0"/>
        <w:rPr>
          <w:del w:id="11637" w:author="AbbVie19" w:date="2025-04-16T12:22:00Z"/>
          <w:rFonts w:ascii="Times New Roman" w:hAnsi="Times New Roman"/>
          <w:highlight w:val="lightGray"/>
          <w:lang w:val="en-GB"/>
        </w:rPr>
      </w:pPr>
      <w:del w:id="11638" w:author="AbbVie19" w:date="2025-04-16T12:22:00Z">
        <w:r w:rsidRPr="00283A59">
          <w:rPr>
            <w:rFonts w:ascii="Times New Roman" w:hAnsi="Times New Roman"/>
            <w:highlight w:val="lightGray"/>
            <w:lang w:val="en-GB"/>
          </w:rPr>
          <w:delText>4)</w:delText>
        </w:r>
        <w:r w:rsidRPr="00283A59">
          <w:rPr>
            <w:rFonts w:ascii="Times New Roman" w:hAnsi="Times New Roman"/>
            <w:highlight w:val="lightGray"/>
            <w:lang w:val="en-GB"/>
          </w:rPr>
          <w:tab/>
          <w:delText>Throwing away supplies</w:delText>
        </w:r>
      </w:del>
    </w:p>
    <w:p w14:paraId="422DEFFC" w14:textId="77777777" w:rsidR="008B7BCC" w:rsidRPr="00283A59" w:rsidRDefault="008B7BCC" w:rsidP="008B7BCC">
      <w:pPr>
        <w:pStyle w:val="EMEANormal"/>
        <w:rPr>
          <w:del w:id="11639" w:author="AbbVie19" w:date="2025-04-16T12:22:00Z"/>
          <w:highlight w:val="lightGray"/>
          <w:lang w:val="en-GB"/>
        </w:rPr>
      </w:pPr>
    </w:p>
    <w:p w14:paraId="775C71A8" w14:textId="77777777" w:rsidR="008B7BCC" w:rsidRPr="00283A59" w:rsidRDefault="00944B8F" w:rsidP="008B7BCC">
      <w:pPr>
        <w:pStyle w:val="EMEABullet2"/>
        <w:numPr>
          <w:ilvl w:val="0"/>
          <w:numId w:val="13"/>
        </w:numPr>
        <w:tabs>
          <w:tab w:val="clear" w:pos="567"/>
          <w:tab w:val="num" w:pos="550"/>
        </w:tabs>
        <w:ind w:left="550" w:hanging="550"/>
        <w:rPr>
          <w:del w:id="11640" w:author="AbbVie19" w:date="2025-04-16T12:22:00Z"/>
          <w:highlight w:val="lightGray"/>
          <w:lang w:val="en-GB"/>
        </w:rPr>
      </w:pPr>
      <w:del w:id="11641" w:author="AbbVie19" w:date="2025-04-16T12:22:00Z">
        <w:r w:rsidRPr="00283A59">
          <w:rPr>
            <w:highlight w:val="lightGray"/>
            <w:lang w:val="en-GB"/>
          </w:rPr>
          <w:delText>The Humira syringe should NEVER be reused. NEVER recap a needle</w:delText>
        </w:r>
      </w:del>
    </w:p>
    <w:p w14:paraId="30813570" w14:textId="77777777" w:rsidR="008B7BCC" w:rsidRPr="00283A59" w:rsidRDefault="00944B8F" w:rsidP="008B7BCC">
      <w:pPr>
        <w:pStyle w:val="EMEABullet2"/>
        <w:numPr>
          <w:ilvl w:val="0"/>
          <w:numId w:val="13"/>
        </w:numPr>
        <w:tabs>
          <w:tab w:val="clear" w:pos="567"/>
          <w:tab w:val="num" w:pos="550"/>
        </w:tabs>
        <w:ind w:left="550" w:hanging="550"/>
        <w:rPr>
          <w:del w:id="11642" w:author="AbbVie19" w:date="2025-04-16T12:22:00Z"/>
          <w:highlight w:val="lightGray"/>
          <w:lang w:val="en-GB"/>
        </w:rPr>
      </w:pPr>
      <w:del w:id="11643" w:author="AbbVie19" w:date="2025-04-16T12:22:00Z">
        <w:r w:rsidRPr="00283A59">
          <w:rPr>
            <w:highlight w:val="lightGray"/>
            <w:lang w:val="en-GB"/>
          </w:rPr>
          <w:delText>After injecting Humira, immediately throw away the used syringe in a special container as instructed by your doctor, nurse or pharmacist.</w:delText>
        </w:r>
      </w:del>
    </w:p>
    <w:p w14:paraId="67EBE9D2" w14:textId="77777777" w:rsidR="008B7BCC" w:rsidRDefault="00944B8F" w:rsidP="008B7BCC">
      <w:pPr>
        <w:pStyle w:val="EMEANormal"/>
        <w:rPr>
          <w:del w:id="11644" w:author="AbbVie19" w:date="2025-04-16T12:22:00Z"/>
          <w:lang w:val="en-GB"/>
        </w:rPr>
      </w:pPr>
      <w:del w:id="11645" w:author="AbbVie19" w:date="2025-04-16T12:22:00Z">
        <w:r w:rsidRPr="00283A59">
          <w:rPr>
            <w:highlight w:val="lightGray"/>
            <w:lang w:val="en-GB"/>
          </w:rPr>
          <w:delText>Keep this container out of the sight and reach of children</w:delText>
        </w:r>
      </w:del>
    </w:p>
    <w:p w14:paraId="6075F8DA" w14:textId="77777777" w:rsidR="00BC0E7E" w:rsidRPr="00BC0E7E" w:rsidRDefault="00BC0E7E" w:rsidP="00BC0E7E">
      <w:pPr>
        <w:rPr>
          <w:del w:id="11646" w:author="AbbVie19" w:date="2025-04-16T12:22:00Z"/>
          <w:szCs w:val="20"/>
        </w:rPr>
      </w:pPr>
    </w:p>
    <w:p w14:paraId="28D89BB0" w14:textId="77777777" w:rsidR="00BC0E7E" w:rsidRPr="00BC0E7E" w:rsidRDefault="00944B8F" w:rsidP="00BC0E7E">
      <w:pPr>
        <w:rPr>
          <w:del w:id="11647" w:author="AbbVie19" w:date="2025-04-16T12:22:00Z"/>
          <w:b/>
          <w:szCs w:val="20"/>
        </w:rPr>
      </w:pPr>
      <w:del w:id="11648" w:author="AbbVie19" w:date="2025-04-16T12:22:00Z">
        <w:r w:rsidRPr="00BC0E7E">
          <w:rPr>
            <w:b/>
            <w:szCs w:val="20"/>
          </w:rPr>
          <w:delText>If you use more Humira than you should</w:delText>
        </w:r>
      </w:del>
    </w:p>
    <w:p w14:paraId="18D97646" w14:textId="77777777" w:rsidR="00BC0E7E" w:rsidRPr="00BC0E7E" w:rsidRDefault="00BC0E7E" w:rsidP="00BC0E7E">
      <w:pPr>
        <w:rPr>
          <w:del w:id="11649" w:author="AbbVie19" w:date="2025-04-16T12:22:00Z"/>
          <w:szCs w:val="20"/>
        </w:rPr>
      </w:pPr>
    </w:p>
    <w:p w14:paraId="699B0BE8" w14:textId="77777777" w:rsidR="00BC0E7E" w:rsidRPr="00BC0E7E" w:rsidRDefault="00944B8F" w:rsidP="00BC0E7E">
      <w:pPr>
        <w:rPr>
          <w:del w:id="11650" w:author="AbbVie19" w:date="2025-04-16T12:22:00Z"/>
        </w:rPr>
      </w:pPr>
      <w:del w:id="11651" w:author="AbbVie19" w:date="2025-04-16T12:22:00Z">
        <w:r w:rsidRPr="00BC0E7E">
          <w:delText>If you accidentally inject Humira more frequently than told to by your doctor or pharmacist, call your doctor or pharmacist</w:delText>
        </w:r>
        <w:r w:rsidRPr="00BC0E7E">
          <w:rPr>
            <w:szCs w:val="20"/>
          </w:rPr>
          <w:delText xml:space="preserve"> and tell him/her that you have taken more</w:delText>
        </w:r>
        <w:r w:rsidRPr="00BC0E7E">
          <w:delText xml:space="preserve">. Always take the outer carton of the medicine with you, even if it is empty. </w:delText>
        </w:r>
      </w:del>
    </w:p>
    <w:p w14:paraId="7C24B11F" w14:textId="77777777" w:rsidR="00BC0E7E" w:rsidRPr="00BC0E7E" w:rsidRDefault="00BC0E7E" w:rsidP="00BC0E7E">
      <w:pPr>
        <w:rPr>
          <w:del w:id="11652" w:author="AbbVie19" w:date="2025-04-16T12:22:00Z"/>
        </w:rPr>
      </w:pPr>
    </w:p>
    <w:p w14:paraId="26ABFD68" w14:textId="77777777" w:rsidR="00BC0E7E" w:rsidRPr="00BC0E7E" w:rsidRDefault="00944B8F" w:rsidP="00BC0E7E">
      <w:pPr>
        <w:rPr>
          <w:del w:id="11653" w:author="AbbVie19" w:date="2025-04-16T12:22:00Z"/>
          <w:b/>
          <w:szCs w:val="20"/>
        </w:rPr>
      </w:pPr>
      <w:del w:id="11654" w:author="AbbVie19" w:date="2025-04-16T12:22:00Z">
        <w:r w:rsidRPr="00BC0E7E">
          <w:rPr>
            <w:b/>
            <w:szCs w:val="20"/>
          </w:rPr>
          <w:delText>If you forget to use Humira</w:delText>
        </w:r>
      </w:del>
    </w:p>
    <w:p w14:paraId="2F253E19" w14:textId="77777777" w:rsidR="00BC0E7E" w:rsidRPr="00BC0E7E" w:rsidRDefault="00BC0E7E" w:rsidP="00BC0E7E">
      <w:pPr>
        <w:rPr>
          <w:del w:id="11655" w:author="AbbVie19" w:date="2025-04-16T12:22:00Z"/>
          <w:szCs w:val="20"/>
        </w:rPr>
      </w:pPr>
    </w:p>
    <w:p w14:paraId="42CC0B37" w14:textId="77777777" w:rsidR="00BC0E7E" w:rsidRPr="00BC0E7E" w:rsidRDefault="00944B8F" w:rsidP="00BC0E7E">
      <w:pPr>
        <w:rPr>
          <w:del w:id="11656" w:author="AbbVie19" w:date="2025-04-16T12:22:00Z"/>
        </w:rPr>
      </w:pPr>
      <w:del w:id="11657" w:author="AbbVie19" w:date="2025-04-16T12:22:00Z">
        <w:r w:rsidRPr="00BC0E7E">
          <w:delText xml:space="preserve">If you forget to give yourself an injection, you should inject the next dose of Humira as soon as you remember. Then take your next dose as you would have on your originally scheduled day, had you not forgotten a dose. </w:delText>
        </w:r>
      </w:del>
    </w:p>
    <w:p w14:paraId="28D7176C" w14:textId="77777777" w:rsidR="00BC0E7E" w:rsidRPr="00BC0E7E" w:rsidRDefault="00BC0E7E" w:rsidP="00BC0E7E">
      <w:pPr>
        <w:rPr>
          <w:del w:id="11658" w:author="AbbVie19" w:date="2025-04-16T12:22:00Z"/>
        </w:rPr>
      </w:pPr>
    </w:p>
    <w:p w14:paraId="5EAA46ED" w14:textId="77777777" w:rsidR="00BC0E7E" w:rsidRPr="00BC0E7E" w:rsidRDefault="00944B8F" w:rsidP="00BC0E7E">
      <w:pPr>
        <w:keepNext/>
        <w:rPr>
          <w:del w:id="11659" w:author="AbbVie19" w:date="2025-04-16T12:22:00Z"/>
          <w:b/>
        </w:rPr>
      </w:pPr>
      <w:del w:id="11660" w:author="AbbVie19" w:date="2025-04-16T12:22:00Z">
        <w:r w:rsidRPr="00BC0E7E">
          <w:rPr>
            <w:b/>
          </w:rPr>
          <w:delText>If you stop using Humira</w:delText>
        </w:r>
      </w:del>
    </w:p>
    <w:p w14:paraId="456FD0E2" w14:textId="77777777" w:rsidR="00BC0E7E" w:rsidRPr="00BC0E7E" w:rsidRDefault="00BC0E7E" w:rsidP="00BC0E7E">
      <w:pPr>
        <w:keepNext/>
        <w:rPr>
          <w:del w:id="11661" w:author="AbbVie19" w:date="2025-04-16T12:22:00Z"/>
        </w:rPr>
      </w:pPr>
    </w:p>
    <w:p w14:paraId="6DAD3F52" w14:textId="77777777" w:rsidR="00BC0E7E" w:rsidRPr="00BC0E7E" w:rsidRDefault="00944B8F" w:rsidP="00BC0E7E">
      <w:pPr>
        <w:keepNext/>
        <w:rPr>
          <w:del w:id="11662" w:author="AbbVie19" w:date="2025-04-16T12:22:00Z"/>
        </w:rPr>
      </w:pPr>
      <w:del w:id="11663" w:author="AbbVie19" w:date="2025-04-16T12:22:00Z">
        <w:r w:rsidRPr="00BC0E7E">
          <w:delText>The decision to stop using Humira should be discussed with your doctor. Your symptoms may return upon discontinuation.</w:delText>
        </w:r>
      </w:del>
    </w:p>
    <w:p w14:paraId="2A632919" w14:textId="77777777" w:rsidR="00BC0E7E" w:rsidRPr="00BC0E7E" w:rsidRDefault="00BC0E7E" w:rsidP="00BC0E7E">
      <w:pPr>
        <w:rPr>
          <w:del w:id="11664" w:author="AbbVie19" w:date="2025-04-16T12:22:00Z"/>
        </w:rPr>
      </w:pPr>
    </w:p>
    <w:p w14:paraId="392C64BF" w14:textId="77777777" w:rsidR="00BC0E7E" w:rsidRPr="00BC0E7E" w:rsidRDefault="00944B8F" w:rsidP="00BC0E7E">
      <w:pPr>
        <w:rPr>
          <w:del w:id="11665" w:author="AbbVie19" w:date="2025-04-16T12:22:00Z"/>
        </w:rPr>
      </w:pPr>
      <w:del w:id="11666" w:author="AbbVie19" w:date="2025-04-16T12:22:00Z">
        <w:r w:rsidRPr="00BC0E7E">
          <w:delText>If you have any further questions on the use of this product, ask your doctor or pharmacist.</w:delText>
        </w:r>
      </w:del>
    </w:p>
    <w:p w14:paraId="7721C3DB" w14:textId="77777777" w:rsidR="00BC0E7E" w:rsidRPr="00BC0E7E" w:rsidRDefault="00BC0E7E" w:rsidP="00BC0E7E">
      <w:pPr>
        <w:rPr>
          <w:del w:id="11667" w:author="AbbVie19" w:date="2025-04-16T12:22:00Z"/>
        </w:rPr>
      </w:pPr>
    </w:p>
    <w:p w14:paraId="6563ABE8" w14:textId="77777777" w:rsidR="00BC0E7E" w:rsidRPr="00BC0E7E" w:rsidRDefault="00BC0E7E" w:rsidP="00BC0E7E">
      <w:pPr>
        <w:rPr>
          <w:del w:id="11668" w:author="AbbVie19" w:date="2025-04-16T12:22:00Z"/>
        </w:rPr>
      </w:pPr>
    </w:p>
    <w:p w14:paraId="3BC6CD28" w14:textId="77777777" w:rsidR="00BC0E7E" w:rsidRPr="00BC0E7E" w:rsidRDefault="00944B8F" w:rsidP="00BC0E7E">
      <w:pPr>
        <w:outlineLvl w:val="0"/>
        <w:rPr>
          <w:del w:id="11669" w:author="AbbVie19" w:date="2025-04-16T12:22:00Z"/>
          <w:rFonts w:ascii="Times New Roman Bold" w:hAnsi="Times New Roman Bold"/>
          <w:b/>
          <w:szCs w:val="20"/>
        </w:rPr>
      </w:pPr>
      <w:del w:id="11670" w:author="AbbVie19" w:date="2025-04-16T12:22:00Z">
        <w:r w:rsidRPr="00BC0E7E">
          <w:rPr>
            <w:b/>
            <w:caps/>
            <w:szCs w:val="20"/>
          </w:rPr>
          <w:delText>4.</w:delText>
        </w:r>
        <w:r w:rsidRPr="00BC0E7E">
          <w:rPr>
            <w:b/>
            <w:caps/>
            <w:szCs w:val="20"/>
          </w:rPr>
          <w:tab/>
          <w:delText>P</w:delText>
        </w:r>
        <w:r w:rsidRPr="00BC0E7E">
          <w:rPr>
            <w:rFonts w:ascii="Times New Roman Bold" w:hAnsi="Times New Roman Bold"/>
            <w:b/>
            <w:szCs w:val="20"/>
          </w:rPr>
          <w:delText>ossible side effects</w:delText>
        </w:r>
      </w:del>
    </w:p>
    <w:p w14:paraId="54B94442" w14:textId="77777777" w:rsidR="00BC0E7E" w:rsidRPr="00BC0E7E" w:rsidRDefault="00BC0E7E" w:rsidP="00BC0E7E">
      <w:pPr>
        <w:rPr>
          <w:del w:id="11671" w:author="AbbVie19" w:date="2025-04-16T12:22:00Z"/>
          <w:szCs w:val="20"/>
        </w:rPr>
      </w:pPr>
    </w:p>
    <w:p w14:paraId="627C71D0" w14:textId="77777777" w:rsidR="00BC0E7E" w:rsidRPr="00BC0E7E" w:rsidRDefault="00944B8F" w:rsidP="00BC0E7E">
      <w:pPr>
        <w:rPr>
          <w:del w:id="11672" w:author="AbbVie19" w:date="2025-04-16T12:22:00Z"/>
        </w:rPr>
      </w:pPr>
      <w:del w:id="11673" w:author="AbbVie19" w:date="2025-04-16T12:22:00Z">
        <w:r w:rsidRPr="00BC0E7E">
          <w:delText xml:space="preserve">Like all medicines, this medicine can cause side effects, although not everybody gets them. Most side effects are mild to moderate. However, some may be serious and require treatment. Side effects may occur at least up to 4 months after the last Humira injection.  </w:delText>
        </w:r>
      </w:del>
    </w:p>
    <w:p w14:paraId="5B273099" w14:textId="77777777" w:rsidR="00BC0E7E" w:rsidRPr="00BC0E7E" w:rsidRDefault="00BC0E7E" w:rsidP="00BC0E7E">
      <w:pPr>
        <w:rPr>
          <w:del w:id="11674" w:author="AbbVie19" w:date="2025-04-16T12:22:00Z"/>
        </w:rPr>
      </w:pPr>
    </w:p>
    <w:p w14:paraId="098036FA" w14:textId="77777777" w:rsidR="00BC0E7E" w:rsidRPr="00BC0E7E" w:rsidRDefault="00944B8F" w:rsidP="00BC0E7E">
      <w:pPr>
        <w:rPr>
          <w:del w:id="11675" w:author="AbbVie19" w:date="2025-04-16T12:22:00Z"/>
        </w:rPr>
      </w:pPr>
      <w:del w:id="11676" w:author="AbbVie19" w:date="2025-04-16T12:22:00Z">
        <w:r w:rsidRPr="00BC0E7E">
          <w:delText xml:space="preserve">Tell your doctor immediately if you notice any of the following </w:delText>
        </w:r>
      </w:del>
    </w:p>
    <w:p w14:paraId="16C9BCAF" w14:textId="77777777" w:rsidR="00BC0E7E" w:rsidRPr="00BC0E7E" w:rsidRDefault="00944B8F" w:rsidP="00BC0E7E">
      <w:pPr>
        <w:numPr>
          <w:ilvl w:val="0"/>
          <w:numId w:val="22"/>
        </w:numPr>
        <w:tabs>
          <w:tab w:val="clear" w:pos="562"/>
          <w:tab w:val="clear" w:pos="720"/>
          <w:tab w:val="num" w:pos="550"/>
        </w:tabs>
        <w:ind w:left="550" w:hanging="550"/>
        <w:rPr>
          <w:del w:id="11677" w:author="AbbVie19" w:date="2025-04-16T12:22:00Z"/>
        </w:rPr>
      </w:pPr>
      <w:del w:id="11678" w:author="AbbVie19" w:date="2025-04-16T12:22:00Z">
        <w:r>
          <w:delText>s</w:delText>
        </w:r>
        <w:r w:rsidRPr="00BC0E7E">
          <w:delText xml:space="preserve">evere rash, hives or other signs of allergic reaction; </w:delText>
        </w:r>
      </w:del>
    </w:p>
    <w:p w14:paraId="54585153" w14:textId="77777777" w:rsidR="00BC0E7E" w:rsidRPr="00BC0E7E" w:rsidRDefault="00944B8F" w:rsidP="00BC0E7E">
      <w:pPr>
        <w:numPr>
          <w:ilvl w:val="0"/>
          <w:numId w:val="22"/>
        </w:numPr>
        <w:tabs>
          <w:tab w:val="clear" w:pos="562"/>
          <w:tab w:val="clear" w:pos="720"/>
          <w:tab w:val="num" w:pos="550"/>
        </w:tabs>
        <w:ind w:left="550" w:hanging="550"/>
        <w:rPr>
          <w:del w:id="11679" w:author="AbbVie19" w:date="2025-04-16T12:22:00Z"/>
        </w:rPr>
      </w:pPr>
      <w:del w:id="11680" w:author="AbbVie19" w:date="2025-04-16T12:22:00Z">
        <w:r>
          <w:delText>s</w:delText>
        </w:r>
        <w:r w:rsidRPr="00BC0E7E">
          <w:delText>wollen face, hands, feet;</w:delText>
        </w:r>
      </w:del>
    </w:p>
    <w:p w14:paraId="5B34CF7E" w14:textId="77777777" w:rsidR="00BC0E7E" w:rsidRPr="00BC0E7E" w:rsidRDefault="00944B8F" w:rsidP="00BC0E7E">
      <w:pPr>
        <w:numPr>
          <w:ilvl w:val="0"/>
          <w:numId w:val="22"/>
        </w:numPr>
        <w:tabs>
          <w:tab w:val="clear" w:pos="562"/>
          <w:tab w:val="clear" w:pos="720"/>
          <w:tab w:val="num" w:pos="550"/>
        </w:tabs>
        <w:ind w:left="550" w:hanging="550"/>
        <w:rPr>
          <w:del w:id="11681" w:author="AbbVie19" w:date="2025-04-16T12:22:00Z"/>
        </w:rPr>
      </w:pPr>
      <w:del w:id="11682" w:author="AbbVie19" w:date="2025-04-16T12:22:00Z">
        <w:r>
          <w:delText>t</w:delText>
        </w:r>
        <w:r w:rsidRPr="00BC0E7E">
          <w:delText>rouble breathing, swallowing;</w:delText>
        </w:r>
      </w:del>
    </w:p>
    <w:p w14:paraId="1408F5A9" w14:textId="77777777" w:rsidR="00BC0E7E" w:rsidRPr="00BC0E7E" w:rsidRDefault="00944B8F" w:rsidP="00BC0E7E">
      <w:pPr>
        <w:numPr>
          <w:ilvl w:val="0"/>
          <w:numId w:val="22"/>
        </w:numPr>
        <w:tabs>
          <w:tab w:val="clear" w:pos="562"/>
          <w:tab w:val="clear" w:pos="720"/>
          <w:tab w:val="num" w:pos="550"/>
        </w:tabs>
        <w:ind w:left="550" w:hanging="550"/>
        <w:rPr>
          <w:del w:id="11683" w:author="AbbVie19" w:date="2025-04-16T12:22:00Z"/>
        </w:rPr>
      </w:pPr>
      <w:del w:id="11684" w:author="AbbVie19" w:date="2025-04-16T12:22:00Z">
        <w:r>
          <w:delText>s</w:delText>
        </w:r>
        <w:r w:rsidRPr="00BC0E7E">
          <w:delText>hortness of breath with exertion or upon lying down or swelling of the feet.</w:delText>
        </w:r>
      </w:del>
    </w:p>
    <w:p w14:paraId="36C5028D" w14:textId="77777777" w:rsidR="00BC0E7E" w:rsidRPr="00BC0E7E" w:rsidRDefault="00BC0E7E" w:rsidP="00BC0E7E">
      <w:pPr>
        <w:rPr>
          <w:del w:id="11685" w:author="AbbVie19" w:date="2025-04-16T12:22:00Z"/>
          <w:szCs w:val="20"/>
        </w:rPr>
      </w:pPr>
    </w:p>
    <w:p w14:paraId="3EFFB0DE" w14:textId="77777777" w:rsidR="00BC0E7E" w:rsidRPr="00BC0E7E" w:rsidRDefault="00944B8F" w:rsidP="00BC0E7E">
      <w:pPr>
        <w:rPr>
          <w:del w:id="11686" w:author="AbbVie19" w:date="2025-04-16T12:22:00Z"/>
        </w:rPr>
      </w:pPr>
      <w:del w:id="11687" w:author="AbbVie19" w:date="2025-04-16T12:22:00Z">
        <w:r w:rsidRPr="00BC0E7E">
          <w:delText xml:space="preserve">Tell your doctor as soon as possible if you notice any of the following </w:delText>
        </w:r>
      </w:del>
    </w:p>
    <w:p w14:paraId="7230FFB9" w14:textId="77777777" w:rsidR="00BC0E7E" w:rsidRPr="00BC0E7E" w:rsidRDefault="00944B8F" w:rsidP="00BC0E7E">
      <w:pPr>
        <w:numPr>
          <w:ilvl w:val="0"/>
          <w:numId w:val="22"/>
        </w:numPr>
        <w:tabs>
          <w:tab w:val="clear" w:pos="562"/>
          <w:tab w:val="clear" w:pos="720"/>
          <w:tab w:val="num" w:pos="550"/>
        </w:tabs>
        <w:ind w:left="550" w:hanging="550"/>
        <w:rPr>
          <w:del w:id="11688" w:author="AbbVie19" w:date="2025-04-16T12:22:00Z"/>
        </w:rPr>
      </w:pPr>
      <w:del w:id="11689" w:author="AbbVie19" w:date="2025-04-16T12:22:00Z">
        <w:r>
          <w:delText>s</w:delText>
        </w:r>
        <w:r w:rsidRPr="00BC0E7E">
          <w:delText>igns of infection such as fever, feeling sick, wounds, dental problems, burning on urination;</w:delText>
        </w:r>
      </w:del>
    </w:p>
    <w:p w14:paraId="5CCF5C8F" w14:textId="77777777" w:rsidR="00BC0E7E" w:rsidRPr="00BC0E7E" w:rsidRDefault="00944B8F" w:rsidP="00BC0E7E">
      <w:pPr>
        <w:numPr>
          <w:ilvl w:val="0"/>
          <w:numId w:val="22"/>
        </w:numPr>
        <w:tabs>
          <w:tab w:val="clear" w:pos="562"/>
          <w:tab w:val="clear" w:pos="720"/>
          <w:tab w:val="num" w:pos="550"/>
        </w:tabs>
        <w:ind w:left="550" w:hanging="550"/>
        <w:rPr>
          <w:del w:id="11690" w:author="AbbVie19" w:date="2025-04-16T12:22:00Z"/>
        </w:rPr>
      </w:pPr>
      <w:del w:id="11691" w:author="AbbVie19" w:date="2025-04-16T12:22:00Z">
        <w:r>
          <w:delText>f</w:delText>
        </w:r>
        <w:r w:rsidRPr="00BC0E7E">
          <w:delText>eeling weak or tired;</w:delText>
        </w:r>
      </w:del>
    </w:p>
    <w:p w14:paraId="1A1EB9A3" w14:textId="77777777" w:rsidR="00BC0E7E" w:rsidRPr="00BC0E7E" w:rsidRDefault="00944B8F" w:rsidP="00BC0E7E">
      <w:pPr>
        <w:numPr>
          <w:ilvl w:val="0"/>
          <w:numId w:val="22"/>
        </w:numPr>
        <w:tabs>
          <w:tab w:val="clear" w:pos="562"/>
          <w:tab w:val="clear" w:pos="720"/>
          <w:tab w:val="num" w:pos="550"/>
        </w:tabs>
        <w:ind w:left="550" w:hanging="550"/>
        <w:rPr>
          <w:del w:id="11692" w:author="AbbVie19" w:date="2025-04-16T12:22:00Z"/>
        </w:rPr>
      </w:pPr>
      <w:del w:id="11693" w:author="AbbVie19" w:date="2025-04-16T12:22:00Z">
        <w:r>
          <w:delText>c</w:delText>
        </w:r>
        <w:r w:rsidRPr="00BC0E7E">
          <w:delText>oughing;</w:delText>
        </w:r>
      </w:del>
    </w:p>
    <w:p w14:paraId="27C453F8" w14:textId="77777777" w:rsidR="00BC0E7E" w:rsidRPr="00BC0E7E" w:rsidRDefault="00944B8F" w:rsidP="00BC0E7E">
      <w:pPr>
        <w:numPr>
          <w:ilvl w:val="0"/>
          <w:numId w:val="22"/>
        </w:numPr>
        <w:tabs>
          <w:tab w:val="clear" w:pos="562"/>
          <w:tab w:val="clear" w:pos="720"/>
          <w:tab w:val="num" w:pos="550"/>
        </w:tabs>
        <w:ind w:left="550" w:hanging="550"/>
        <w:rPr>
          <w:del w:id="11694" w:author="AbbVie19" w:date="2025-04-16T12:22:00Z"/>
        </w:rPr>
      </w:pPr>
      <w:del w:id="11695" w:author="AbbVie19" w:date="2025-04-16T12:22:00Z">
        <w:r>
          <w:lastRenderedPageBreak/>
          <w:delText>t</w:delText>
        </w:r>
        <w:r w:rsidRPr="00BC0E7E">
          <w:delText>ingling;</w:delText>
        </w:r>
      </w:del>
    </w:p>
    <w:p w14:paraId="31D61BF3" w14:textId="77777777" w:rsidR="00BC0E7E" w:rsidRPr="00BC0E7E" w:rsidRDefault="00944B8F" w:rsidP="00BC0E7E">
      <w:pPr>
        <w:numPr>
          <w:ilvl w:val="0"/>
          <w:numId w:val="22"/>
        </w:numPr>
        <w:tabs>
          <w:tab w:val="clear" w:pos="562"/>
          <w:tab w:val="clear" w:pos="720"/>
          <w:tab w:val="num" w:pos="550"/>
        </w:tabs>
        <w:ind w:left="550" w:hanging="550"/>
        <w:rPr>
          <w:del w:id="11696" w:author="AbbVie19" w:date="2025-04-16T12:22:00Z"/>
        </w:rPr>
      </w:pPr>
      <w:del w:id="11697" w:author="AbbVie19" w:date="2025-04-16T12:22:00Z">
        <w:r>
          <w:delText>n</w:delText>
        </w:r>
        <w:r w:rsidRPr="00BC0E7E">
          <w:delText>umbness;</w:delText>
        </w:r>
      </w:del>
    </w:p>
    <w:p w14:paraId="7DFAFE5C" w14:textId="77777777" w:rsidR="00BC0E7E" w:rsidRPr="00BC0E7E" w:rsidRDefault="00944B8F" w:rsidP="00BC0E7E">
      <w:pPr>
        <w:numPr>
          <w:ilvl w:val="0"/>
          <w:numId w:val="22"/>
        </w:numPr>
        <w:tabs>
          <w:tab w:val="clear" w:pos="562"/>
          <w:tab w:val="clear" w:pos="720"/>
          <w:tab w:val="num" w:pos="550"/>
        </w:tabs>
        <w:ind w:left="550" w:hanging="550"/>
        <w:rPr>
          <w:del w:id="11698" w:author="AbbVie19" w:date="2025-04-16T12:22:00Z"/>
        </w:rPr>
      </w:pPr>
      <w:del w:id="11699" w:author="AbbVie19" w:date="2025-04-16T12:22:00Z">
        <w:r>
          <w:delText>d</w:delText>
        </w:r>
        <w:r w:rsidRPr="00BC0E7E">
          <w:delText>ouble vision;</w:delText>
        </w:r>
      </w:del>
    </w:p>
    <w:p w14:paraId="20FCFB65" w14:textId="77777777" w:rsidR="00BC0E7E" w:rsidRPr="00BC0E7E" w:rsidRDefault="00944B8F" w:rsidP="00BC0E7E">
      <w:pPr>
        <w:numPr>
          <w:ilvl w:val="0"/>
          <w:numId w:val="22"/>
        </w:numPr>
        <w:tabs>
          <w:tab w:val="clear" w:pos="562"/>
          <w:tab w:val="clear" w:pos="720"/>
          <w:tab w:val="num" w:pos="550"/>
        </w:tabs>
        <w:ind w:left="550" w:hanging="550"/>
        <w:rPr>
          <w:del w:id="11700" w:author="AbbVie19" w:date="2025-04-16T12:22:00Z"/>
        </w:rPr>
      </w:pPr>
      <w:del w:id="11701" w:author="AbbVie19" w:date="2025-04-16T12:22:00Z">
        <w:r>
          <w:delText>a</w:delText>
        </w:r>
        <w:r w:rsidRPr="00BC0E7E">
          <w:delText>rm or leg weakness;</w:delText>
        </w:r>
      </w:del>
    </w:p>
    <w:p w14:paraId="244521CB" w14:textId="77777777" w:rsidR="00BC0E7E" w:rsidRPr="00BC0E7E" w:rsidRDefault="00944B8F" w:rsidP="00BC0E7E">
      <w:pPr>
        <w:numPr>
          <w:ilvl w:val="0"/>
          <w:numId w:val="22"/>
        </w:numPr>
        <w:tabs>
          <w:tab w:val="clear" w:pos="562"/>
          <w:tab w:val="clear" w:pos="720"/>
          <w:tab w:val="num" w:pos="550"/>
        </w:tabs>
        <w:ind w:left="550" w:hanging="550"/>
        <w:rPr>
          <w:del w:id="11702" w:author="AbbVie19" w:date="2025-04-16T12:22:00Z"/>
        </w:rPr>
      </w:pPr>
      <w:del w:id="11703" w:author="AbbVie19" w:date="2025-04-16T12:22:00Z">
        <w:r>
          <w:delText>a</w:delText>
        </w:r>
        <w:r w:rsidRPr="00BC0E7E">
          <w:delText xml:space="preserve"> bump or open sore that doesn't heal;</w:delText>
        </w:r>
      </w:del>
    </w:p>
    <w:p w14:paraId="0B2E22E5" w14:textId="77777777" w:rsidR="00BC0E7E" w:rsidRPr="00BC0E7E" w:rsidRDefault="00944B8F" w:rsidP="00BC0E7E">
      <w:pPr>
        <w:numPr>
          <w:ilvl w:val="0"/>
          <w:numId w:val="22"/>
        </w:numPr>
        <w:tabs>
          <w:tab w:val="clear" w:pos="562"/>
          <w:tab w:val="clear" w:pos="720"/>
          <w:tab w:val="num" w:pos="550"/>
        </w:tabs>
        <w:ind w:left="550" w:hanging="550"/>
        <w:rPr>
          <w:del w:id="11704" w:author="AbbVie19" w:date="2025-04-16T12:22:00Z"/>
        </w:rPr>
      </w:pPr>
      <w:del w:id="11705" w:author="AbbVie19" w:date="2025-04-16T12:22:00Z">
        <w:r>
          <w:delText>s</w:delText>
        </w:r>
        <w:r w:rsidRPr="00BC0E7E">
          <w:delText>igns and symptoms suggestive of blood disorders such as persistent fever, bruising, bleeding, paleness</w:delText>
        </w:r>
        <w:r w:rsidR="00BB36CE">
          <w:delText>.</w:delText>
        </w:r>
      </w:del>
    </w:p>
    <w:p w14:paraId="03FD5CDF" w14:textId="77777777" w:rsidR="00BC0E7E" w:rsidRPr="00BC0E7E" w:rsidRDefault="00BC0E7E" w:rsidP="00BC0E7E">
      <w:pPr>
        <w:rPr>
          <w:del w:id="11706" w:author="AbbVie19" w:date="2025-04-16T12:22:00Z"/>
          <w:szCs w:val="20"/>
        </w:rPr>
      </w:pPr>
    </w:p>
    <w:p w14:paraId="29E09AE6" w14:textId="77777777" w:rsidR="00BC0E7E" w:rsidRPr="00BC0E7E" w:rsidRDefault="00944B8F" w:rsidP="00BC0E7E">
      <w:pPr>
        <w:rPr>
          <w:del w:id="11707" w:author="AbbVie19" w:date="2025-04-16T12:22:00Z"/>
        </w:rPr>
      </w:pPr>
      <w:del w:id="11708" w:author="AbbVie19" w:date="2025-04-16T12:22:00Z">
        <w:r w:rsidRPr="00BC0E7E">
          <w:delText>The symptoms described above can be signs of the below listed side effects, which have been observed with Humira</w:delText>
        </w:r>
        <w:r w:rsidR="008B7BCC">
          <w:delText>.</w:delText>
        </w:r>
      </w:del>
    </w:p>
    <w:p w14:paraId="28A332C3" w14:textId="77777777" w:rsidR="00BC0E7E" w:rsidRPr="00BC0E7E" w:rsidRDefault="00BC0E7E" w:rsidP="00BC0E7E">
      <w:pPr>
        <w:rPr>
          <w:del w:id="11709" w:author="AbbVie19" w:date="2025-04-16T12:22:00Z"/>
        </w:rPr>
      </w:pPr>
    </w:p>
    <w:p w14:paraId="17DF2814" w14:textId="77777777" w:rsidR="00BC0E7E" w:rsidRPr="00BC0E7E" w:rsidRDefault="00944B8F" w:rsidP="00BC0E7E">
      <w:pPr>
        <w:rPr>
          <w:del w:id="11710" w:author="AbbVie19" w:date="2025-04-16T12:22:00Z"/>
        </w:rPr>
      </w:pPr>
      <w:del w:id="11711" w:author="AbbVie19" w:date="2025-04-16T12:22:00Z">
        <w:r w:rsidRPr="00BC0E7E">
          <w:delText xml:space="preserve">Very common (may affect more than 1 in 10 people)  </w:delText>
        </w:r>
      </w:del>
    </w:p>
    <w:p w14:paraId="67113472" w14:textId="77777777" w:rsidR="00BC0E7E" w:rsidRPr="00BC0E7E" w:rsidRDefault="00BC0E7E" w:rsidP="00BC0E7E">
      <w:pPr>
        <w:rPr>
          <w:del w:id="11712" w:author="AbbVie19" w:date="2025-04-16T12:22:00Z"/>
        </w:rPr>
      </w:pPr>
    </w:p>
    <w:p w14:paraId="1A15E790" w14:textId="77777777" w:rsidR="00BC0E7E" w:rsidRPr="00BC0E7E" w:rsidRDefault="00944B8F" w:rsidP="00BC0E7E">
      <w:pPr>
        <w:numPr>
          <w:ilvl w:val="0"/>
          <w:numId w:val="22"/>
        </w:numPr>
        <w:tabs>
          <w:tab w:val="clear" w:pos="562"/>
          <w:tab w:val="clear" w:pos="720"/>
          <w:tab w:val="num" w:pos="550"/>
        </w:tabs>
        <w:ind w:left="550" w:hanging="550"/>
        <w:rPr>
          <w:del w:id="11713" w:author="AbbVie19" w:date="2025-04-16T12:22:00Z"/>
        </w:rPr>
      </w:pPr>
      <w:del w:id="11714" w:author="AbbVie19" w:date="2025-04-16T12:22:00Z">
        <w:r w:rsidRPr="00BC0E7E">
          <w:delText>injection site reactions (including pain, swelling, redness or itching);</w:delText>
        </w:r>
      </w:del>
    </w:p>
    <w:p w14:paraId="5561333D" w14:textId="77777777" w:rsidR="00BC0E7E" w:rsidRPr="00BC0E7E" w:rsidRDefault="00944B8F" w:rsidP="00BC0E7E">
      <w:pPr>
        <w:numPr>
          <w:ilvl w:val="0"/>
          <w:numId w:val="22"/>
        </w:numPr>
        <w:tabs>
          <w:tab w:val="clear" w:pos="562"/>
          <w:tab w:val="clear" w:pos="720"/>
          <w:tab w:val="num" w:pos="-1870"/>
        </w:tabs>
        <w:ind w:left="550" w:hanging="550"/>
        <w:rPr>
          <w:del w:id="11715" w:author="AbbVie19" w:date="2025-04-16T12:22:00Z"/>
        </w:rPr>
      </w:pPr>
      <w:del w:id="11716" w:author="AbbVie19" w:date="2025-04-16T12:22:00Z">
        <w:r w:rsidRPr="00BC0E7E">
          <w:delText>respiratory tract infections (including cold, runny nose, sinus infection, pneumonia);</w:delText>
        </w:r>
      </w:del>
    </w:p>
    <w:p w14:paraId="0CF78048" w14:textId="77777777" w:rsidR="00BC0E7E" w:rsidRPr="00BC0E7E" w:rsidRDefault="00944B8F" w:rsidP="00BC0E7E">
      <w:pPr>
        <w:numPr>
          <w:ilvl w:val="0"/>
          <w:numId w:val="22"/>
        </w:numPr>
        <w:tabs>
          <w:tab w:val="clear" w:pos="562"/>
          <w:tab w:val="clear" w:pos="720"/>
          <w:tab w:val="num" w:pos="-1870"/>
        </w:tabs>
        <w:ind w:left="550" w:hanging="550"/>
        <w:rPr>
          <w:del w:id="11717" w:author="AbbVie19" w:date="2025-04-16T12:22:00Z"/>
        </w:rPr>
      </w:pPr>
      <w:del w:id="11718" w:author="AbbVie19" w:date="2025-04-16T12:22:00Z">
        <w:r w:rsidRPr="00BC0E7E">
          <w:delText>headache;</w:delText>
        </w:r>
      </w:del>
    </w:p>
    <w:p w14:paraId="0E010AD3" w14:textId="77777777" w:rsidR="00BC0E7E" w:rsidRPr="00BC0E7E" w:rsidRDefault="00944B8F" w:rsidP="00BC0E7E">
      <w:pPr>
        <w:numPr>
          <w:ilvl w:val="0"/>
          <w:numId w:val="22"/>
        </w:numPr>
        <w:tabs>
          <w:tab w:val="clear" w:pos="562"/>
          <w:tab w:val="clear" w:pos="720"/>
          <w:tab w:val="num" w:pos="-1870"/>
        </w:tabs>
        <w:ind w:left="550" w:hanging="550"/>
        <w:rPr>
          <w:del w:id="11719" w:author="AbbVie19" w:date="2025-04-16T12:22:00Z"/>
        </w:rPr>
      </w:pPr>
      <w:del w:id="11720" w:author="AbbVie19" w:date="2025-04-16T12:22:00Z">
        <w:r w:rsidRPr="00BC0E7E">
          <w:delText>abdominal pain;</w:delText>
        </w:r>
      </w:del>
    </w:p>
    <w:p w14:paraId="5908EAC3" w14:textId="77777777" w:rsidR="00BC0E7E" w:rsidRPr="00BC0E7E" w:rsidRDefault="00944B8F" w:rsidP="00BC0E7E">
      <w:pPr>
        <w:numPr>
          <w:ilvl w:val="0"/>
          <w:numId w:val="22"/>
        </w:numPr>
        <w:tabs>
          <w:tab w:val="clear" w:pos="562"/>
          <w:tab w:val="clear" w:pos="720"/>
          <w:tab w:val="num" w:pos="-1870"/>
        </w:tabs>
        <w:ind w:left="550" w:hanging="550"/>
        <w:rPr>
          <w:del w:id="11721" w:author="AbbVie19" w:date="2025-04-16T12:22:00Z"/>
        </w:rPr>
      </w:pPr>
      <w:del w:id="11722" w:author="AbbVie19" w:date="2025-04-16T12:22:00Z">
        <w:r w:rsidRPr="00BC0E7E">
          <w:delText>nausea and vomiting;</w:delText>
        </w:r>
      </w:del>
    </w:p>
    <w:p w14:paraId="462317D3" w14:textId="77777777" w:rsidR="00BC0E7E" w:rsidRPr="00BC0E7E" w:rsidRDefault="00944B8F" w:rsidP="00BC0E7E">
      <w:pPr>
        <w:numPr>
          <w:ilvl w:val="0"/>
          <w:numId w:val="22"/>
        </w:numPr>
        <w:tabs>
          <w:tab w:val="clear" w:pos="562"/>
          <w:tab w:val="clear" w:pos="720"/>
          <w:tab w:val="num" w:pos="-1870"/>
        </w:tabs>
        <w:ind w:left="550" w:hanging="550"/>
        <w:rPr>
          <w:del w:id="11723" w:author="AbbVie19" w:date="2025-04-16T12:22:00Z"/>
          <w:szCs w:val="22"/>
        </w:rPr>
      </w:pPr>
      <w:del w:id="11724" w:author="AbbVie19" w:date="2025-04-16T12:22:00Z">
        <w:r w:rsidRPr="00BC0E7E">
          <w:delText>rash;</w:delText>
        </w:r>
      </w:del>
    </w:p>
    <w:p w14:paraId="4B55E373" w14:textId="77777777" w:rsidR="00BC0E7E" w:rsidRPr="00BC0E7E" w:rsidRDefault="00944B8F" w:rsidP="00BC0E7E">
      <w:pPr>
        <w:numPr>
          <w:ilvl w:val="0"/>
          <w:numId w:val="22"/>
        </w:numPr>
        <w:tabs>
          <w:tab w:val="clear" w:pos="562"/>
          <w:tab w:val="clear" w:pos="720"/>
          <w:tab w:val="num" w:pos="-1870"/>
          <w:tab w:val="num" w:pos="-1760"/>
        </w:tabs>
        <w:ind w:left="550" w:hanging="550"/>
        <w:rPr>
          <w:del w:id="11725" w:author="AbbVie19" w:date="2025-04-16T12:22:00Z"/>
          <w:szCs w:val="22"/>
        </w:rPr>
      </w:pPr>
      <w:del w:id="11726" w:author="AbbVie19" w:date="2025-04-16T12:22:00Z">
        <w:r w:rsidRPr="00BC0E7E">
          <w:rPr>
            <w:szCs w:val="22"/>
          </w:rPr>
          <w:delText>musculoskeletal pain.</w:delText>
        </w:r>
      </w:del>
    </w:p>
    <w:p w14:paraId="39039EE6" w14:textId="77777777" w:rsidR="00BC0E7E" w:rsidRPr="00BC0E7E" w:rsidRDefault="00BC0E7E" w:rsidP="00BC0E7E">
      <w:pPr>
        <w:tabs>
          <w:tab w:val="clear" w:pos="562"/>
          <w:tab w:val="num" w:pos="550"/>
        </w:tabs>
        <w:ind w:left="550" w:hanging="550"/>
        <w:rPr>
          <w:del w:id="11727" w:author="AbbVie19" w:date="2025-04-16T12:22:00Z"/>
          <w:sz w:val="20"/>
          <w:szCs w:val="20"/>
        </w:rPr>
      </w:pPr>
    </w:p>
    <w:p w14:paraId="5AF3BB83" w14:textId="77777777" w:rsidR="00BC0E7E" w:rsidRPr="00BC0E7E" w:rsidRDefault="00944B8F" w:rsidP="00BC0E7E">
      <w:pPr>
        <w:tabs>
          <w:tab w:val="clear" w:pos="562"/>
          <w:tab w:val="num" w:pos="550"/>
        </w:tabs>
        <w:ind w:left="550" w:hanging="550"/>
        <w:rPr>
          <w:del w:id="11728" w:author="AbbVie19" w:date="2025-04-16T12:22:00Z"/>
        </w:rPr>
      </w:pPr>
      <w:del w:id="11729" w:author="AbbVie19" w:date="2025-04-16T12:22:00Z">
        <w:r w:rsidRPr="00BC0E7E">
          <w:delText>Common (may affect up to 1 in 10</w:delText>
        </w:r>
        <w:r w:rsidR="00BB36CE">
          <w:delText xml:space="preserve"> </w:delText>
        </w:r>
        <w:r w:rsidRPr="00BC0E7E">
          <w:delText>people)</w:delText>
        </w:r>
      </w:del>
    </w:p>
    <w:p w14:paraId="536D8840" w14:textId="77777777" w:rsidR="00BC0E7E" w:rsidRPr="00BC0E7E" w:rsidRDefault="00BC0E7E" w:rsidP="00BC0E7E">
      <w:pPr>
        <w:tabs>
          <w:tab w:val="clear" w:pos="562"/>
          <w:tab w:val="num" w:pos="550"/>
        </w:tabs>
        <w:ind w:left="550" w:hanging="550"/>
        <w:rPr>
          <w:del w:id="11730" w:author="AbbVie19" w:date="2025-04-16T12:22:00Z"/>
        </w:rPr>
      </w:pPr>
    </w:p>
    <w:p w14:paraId="2C10DC2A" w14:textId="77777777" w:rsidR="00BC0E7E" w:rsidRPr="00BC0E7E" w:rsidRDefault="00944B8F" w:rsidP="00BC0E7E">
      <w:pPr>
        <w:numPr>
          <w:ilvl w:val="0"/>
          <w:numId w:val="22"/>
        </w:numPr>
        <w:tabs>
          <w:tab w:val="clear" w:pos="562"/>
          <w:tab w:val="clear" w:pos="720"/>
          <w:tab w:val="num" w:pos="550"/>
        </w:tabs>
        <w:ind w:left="550" w:hanging="550"/>
        <w:rPr>
          <w:del w:id="11731" w:author="AbbVie19" w:date="2025-04-16T12:22:00Z"/>
        </w:rPr>
      </w:pPr>
      <w:del w:id="11732" w:author="AbbVie19" w:date="2025-04-16T12:22:00Z">
        <w:r>
          <w:delText xml:space="preserve">serious </w:delText>
        </w:r>
        <w:r w:rsidRPr="00BC0E7E">
          <w:delText>infections (including blood poisoning and influenza);</w:delText>
        </w:r>
      </w:del>
    </w:p>
    <w:p w14:paraId="1DDAF3BA" w14:textId="77777777" w:rsidR="003068F4" w:rsidRDefault="00944B8F" w:rsidP="00BC0E7E">
      <w:pPr>
        <w:numPr>
          <w:ilvl w:val="0"/>
          <w:numId w:val="22"/>
        </w:numPr>
        <w:tabs>
          <w:tab w:val="clear" w:pos="562"/>
          <w:tab w:val="clear" w:pos="720"/>
          <w:tab w:val="num" w:pos="550"/>
        </w:tabs>
        <w:ind w:left="550" w:hanging="550"/>
        <w:rPr>
          <w:del w:id="11733" w:author="AbbVie19" w:date="2025-04-16T12:22:00Z"/>
        </w:rPr>
      </w:pPr>
      <w:del w:id="11734" w:author="AbbVie19" w:date="2025-04-16T12:22:00Z">
        <w:r>
          <w:delText>intestinal infections</w:delText>
        </w:r>
        <w:r w:rsidR="00D74D73">
          <w:delText xml:space="preserve"> (including gastroenteritis)</w:delText>
        </w:r>
        <w:r w:rsidR="00B60274">
          <w:delText>;</w:delText>
        </w:r>
      </w:del>
    </w:p>
    <w:p w14:paraId="73C4F072" w14:textId="77777777" w:rsidR="00BC0E7E" w:rsidRPr="00BC0E7E" w:rsidRDefault="00944B8F" w:rsidP="00BC0E7E">
      <w:pPr>
        <w:numPr>
          <w:ilvl w:val="0"/>
          <w:numId w:val="22"/>
        </w:numPr>
        <w:tabs>
          <w:tab w:val="clear" w:pos="562"/>
          <w:tab w:val="clear" w:pos="720"/>
          <w:tab w:val="num" w:pos="550"/>
        </w:tabs>
        <w:ind w:left="550" w:hanging="550"/>
        <w:rPr>
          <w:del w:id="11735" w:author="AbbVie19" w:date="2025-04-16T12:22:00Z"/>
        </w:rPr>
      </w:pPr>
      <w:del w:id="11736" w:author="AbbVie19" w:date="2025-04-16T12:22:00Z">
        <w:r w:rsidRPr="00BC0E7E">
          <w:delText>skin infections (including cellulitis and shingles);</w:delText>
        </w:r>
      </w:del>
    </w:p>
    <w:p w14:paraId="6549495C" w14:textId="77777777" w:rsidR="00BC0E7E" w:rsidRPr="00BC0E7E" w:rsidRDefault="00944B8F" w:rsidP="00BC0E7E">
      <w:pPr>
        <w:numPr>
          <w:ilvl w:val="0"/>
          <w:numId w:val="22"/>
        </w:numPr>
        <w:tabs>
          <w:tab w:val="clear" w:pos="562"/>
          <w:tab w:val="clear" w:pos="720"/>
          <w:tab w:val="num" w:pos="550"/>
        </w:tabs>
        <w:ind w:left="550" w:hanging="550"/>
        <w:rPr>
          <w:del w:id="11737" w:author="AbbVie19" w:date="2025-04-16T12:22:00Z"/>
        </w:rPr>
      </w:pPr>
      <w:del w:id="11738" w:author="AbbVie19" w:date="2025-04-16T12:22:00Z">
        <w:r w:rsidRPr="00BC0E7E">
          <w:delText>ear infections;</w:delText>
        </w:r>
      </w:del>
    </w:p>
    <w:p w14:paraId="479049AE" w14:textId="77777777" w:rsidR="00BC0E7E" w:rsidRPr="00BC0E7E" w:rsidRDefault="00944B8F" w:rsidP="00BC0E7E">
      <w:pPr>
        <w:numPr>
          <w:ilvl w:val="0"/>
          <w:numId w:val="22"/>
        </w:numPr>
        <w:tabs>
          <w:tab w:val="clear" w:pos="562"/>
          <w:tab w:val="clear" w:pos="720"/>
          <w:tab w:val="num" w:pos="550"/>
        </w:tabs>
        <w:ind w:left="550" w:hanging="550"/>
        <w:rPr>
          <w:del w:id="11739" w:author="AbbVie19" w:date="2025-04-16T12:22:00Z"/>
        </w:rPr>
      </w:pPr>
      <w:del w:id="11740" w:author="AbbVie19" w:date="2025-04-16T12:22:00Z">
        <w:r w:rsidRPr="00BC0E7E">
          <w:delText>oral infections (including tooth infections and cold sores);</w:delText>
        </w:r>
      </w:del>
    </w:p>
    <w:p w14:paraId="05676A56" w14:textId="77777777" w:rsidR="00BC0E7E" w:rsidRPr="00BC0E7E" w:rsidRDefault="00944B8F" w:rsidP="00BC0E7E">
      <w:pPr>
        <w:numPr>
          <w:ilvl w:val="0"/>
          <w:numId w:val="22"/>
        </w:numPr>
        <w:tabs>
          <w:tab w:val="clear" w:pos="562"/>
          <w:tab w:val="clear" w:pos="720"/>
          <w:tab w:val="num" w:pos="550"/>
        </w:tabs>
        <w:ind w:left="550" w:hanging="550"/>
        <w:rPr>
          <w:del w:id="11741" w:author="AbbVie19" w:date="2025-04-16T12:22:00Z"/>
        </w:rPr>
      </w:pPr>
      <w:del w:id="11742" w:author="AbbVie19" w:date="2025-04-16T12:22:00Z">
        <w:r w:rsidRPr="00BC0E7E">
          <w:delText>reproductive tract infections;</w:delText>
        </w:r>
      </w:del>
    </w:p>
    <w:p w14:paraId="6B671BB6" w14:textId="77777777" w:rsidR="00BC0E7E" w:rsidRPr="00BC0E7E" w:rsidRDefault="00944B8F" w:rsidP="00BC0E7E">
      <w:pPr>
        <w:numPr>
          <w:ilvl w:val="0"/>
          <w:numId w:val="22"/>
        </w:numPr>
        <w:tabs>
          <w:tab w:val="clear" w:pos="562"/>
          <w:tab w:val="clear" w:pos="720"/>
          <w:tab w:val="num" w:pos="550"/>
        </w:tabs>
        <w:ind w:left="550" w:hanging="550"/>
        <w:rPr>
          <w:del w:id="11743" w:author="AbbVie19" w:date="2025-04-16T12:22:00Z"/>
        </w:rPr>
      </w:pPr>
      <w:del w:id="11744" w:author="AbbVie19" w:date="2025-04-16T12:22:00Z">
        <w:r w:rsidRPr="00BC0E7E">
          <w:delText>urinary tract infection;</w:delText>
        </w:r>
      </w:del>
    </w:p>
    <w:p w14:paraId="6D9F1757" w14:textId="77777777" w:rsidR="00BC0E7E" w:rsidRPr="00BC0E7E" w:rsidRDefault="00944B8F" w:rsidP="00BC0E7E">
      <w:pPr>
        <w:numPr>
          <w:ilvl w:val="0"/>
          <w:numId w:val="22"/>
        </w:numPr>
        <w:tabs>
          <w:tab w:val="clear" w:pos="562"/>
          <w:tab w:val="clear" w:pos="720"/>
          <w:tab w:val="num" w:pos="550"/>
        </w:tabs>
        <w:ind w:left="550" w:hanging="550"/>
        <w:rPr>
          <w:del w:id="11745" w:author="AbbVie19" w:date="2025-04-16T12:22:00Z"/>
        </w:rPr>
      </w:pPr>
      <w:del w:id="11746" w:author="AbbVie19" w:date="2025-04-16T12:22:00Z">
        <w:r w:rsidRPr="00BC0E7E">
          <w:delText>fungal infections;</w:delText>
        </w:r>
      </w:del>
    </w:p>
    <w:p w14:paraId="0B4F591F" w14:textId="77777777" w:rsidR="00BC0E7E" w:rsidRPr="00BC0E7E" w:rsidRDefault="00944B8F" w:rsidP="00BC0E7E">
      <w:pPr>
        <w:numPr>
          <w:ilvl w:val="0"/>
          <w:numId w:val="22"/>
        </w:numPr>
        <w:tabs>
          <w:tab w:val="clear" w:pos="562"/>
          <w:tab w:val="clear" w:pos="720"/>
          <w:tab w:val="num" w:pos="550"/>
        </w:tabs>
        <w:ind w:left="550" w:hanging="550"/>
        <w:rPr>
          <w:del w:id="11747" w:author="AbbVie19" w:date="2025-04-16T12:22:00Z"/>
        </w:rPr>
      </w:pPr>
      <w:del w:id="11748" w:author="AbbVie19" w:date="2025-04-16T12:22:00Z">
        <w:r w:rsidRPr="00BC0E7E">
          <w:delText>joint infections;</w:delText>
        </w:r>
      </w:del>
    </w:p>
    <w:p w14:paraId="7E1ABF1E" w14:textId="77777777" w:rsidR="00BC0E7E" w:rsidRPr="00BC0E7E" w:rsidRDefault="00944B8F" w:rsidP="00BC0E7E">
      <w:pPr>
        <w:numPr>
          <w:ilvl w:val="0"/>
          <w:numId w:val="22"/>
        </w:numPr>
        <w:tabs>
          <w:tab w:val="clear" w:pos="562"/>
          <w:tab w:val="clear" w:pos="720"/>
          <w:tab w:val="num" w:pos="550"/>
        </w:tabs>
        <w:ind w:left="550" w:hanging="550"/>
        <w:rPr>
          <w:del w:id="11749" w:author="AbbVie19" w:date="2025-04-16T12:22:00Z"/>
        </w:rPr>
      </w:pPr>
      <w:del w:id="11750" w:author="AbbVie19" w:date="2025-04-16T12:22:00Z">
        <w:r w:rsidRPr="00BC0E7E">
          <w:delText>benign tumours;</w:delText>
        </w:r>
      </w:del>
    </w:p>
    <w:p w14:paraId="6322DF54" w14:textId="77777777" w:rsidR="00BC0E7E" w:rsidRPr="00BC0E7E" w:rsidRDefault="00944B8F" w:rsidP="00BC0E7E">
      <w:pPr>
        <w:numPr>
          <w:ilvl w:val="0"/>
          <w:numId w:val="22"/>
        </w:numPr>
        <w:tabs>
          <w:tab w:val="clear" w:pos="562"/>
          <w:tab w:val="clear" w:pos="720"/>
          <w:tab w:val="num" w:pos="550"/>
        </w:tabs>
        <w:ind w:left="550" w:hanging="550"/>
        <w:rPr>
          <w:del w:id="11751" w:author="AbbVie19" w:date="2025-04-16T12:22:00Z"/>
        </w:rPr>
      </w:pPr>
      <w:del w:id="11752" w:author="AbbVie19" w:date="2025-04-16T12:22:00Z">
        <w:r w:rsidRPr="00BC0E7E">
          <w:delText>skin cancer;</w:delText>
        </w:r>
      </w:del>
    </w:p>
    <w:p w14:paraId="4BDE760D" w14:textId="77777777" w:rsidR="00BC0E7E" w:rsidRPr="00BC0E7E" w:rsidRDefault="00944B8F" w:rsidP="00BC0E7E">
      <w:pPr>
        <w:numPr>
          <w:ilvl w:val="0"/>
          <w:numId w:val="22"/>
        </w:numPr>
        <w:tabs>
          <w:tab w:val="clear" w:pos="562"/>
          <w:tab w:val="clear" w:pos="720"/>
          <w:tab w:val="num" w:pos="550"/>
        </w:tabs>
        <w:ind w:left="550" w:hanging="550"/>
        <w:rPr>
          <w:del w:id="11753" w:author="AbbVie19" w:date="2025-04-16T12:22:00Z"/>
        </w:rPr>
      </w:pPr>
      <w:del w:id="11754" w:author="AbbVie19" w:date="2025-04-16T12:22:00Z">
        <w:r w:rsidRPr="00BC0E7E">
          <w:delText>allergic reactions (including seasonal allergy);</w:delText>
        </w:r>
      </w:del>
    </w:p>
    <w:p w14:paraId="3063B713" w14:textId="77777777" w:rsidR="00BC0E7E" w:rsidRPr="00BC0E7E" w:rsidRDefault="00944B8F" w:rsidP="00BC0E7E">
      <w:pPr>
        <w:numPr>
          <w:ilvl w:val="0"/>
          <w:numId w:val="22"/>
        </w:numPr>
        <w:tabs>
          <w:tab w:val="clear" w:pos="562"/>
          <w:tab w:val="clear" w:pos="720"/>
          <w:tab w:val="num" w:pos="550"/>
        </w:tabs>
        <w:ind w:left="550" w:hanging="550"/>
        <w:rPr>
          <w:del w:id="11755" w:author="AbbVie19" w:date="2025-04-16T12:22:00Z"/>
        </w:rPr>
      </w:pPr>
      <w:del w:id="11756" w:author="AbbVie19" w:date="2025-04-16T12:22:00Z">
        <w:r w:rsidRPr="00BC0E7E">
          <w:delText>dehydration;</w:delText>
        </w:r>
      </w:del>
    </w:p>
    <w:p w14:paraId="7C733262" w14:textId="77777777" w:rsidR="00BC0E7E" w:rsidRPr="00BC0E7E" w:rsidRDefault="00944B8F" w:rsidP="00BC0E7E">
      <w:pPr>
        <w:numPr>
          <w:ilvl w:val="0"/>
          <w:numId w:val="22"/>
        </w:numPr>
        <w:tabs>
          <w:tab w:val="clear" w:pos="562"/>
          <w:tab w:val="clear" w:pos="720"/>
          <w:tab w:val="num" w:pos="550"/>
        </w:tabs>
        <w:ind w:left="550" w:hanging="550"/>
        <w:rPr>
          <w:del w:id="11757" w:author="AbbVie19" w:date="2025-04-16T12:22:00Z"/>
        </w:rPr>
      </w:pPr>
      <w:del w:id="11758" w:author="AbbVie19" w:date="2025-04-16T12:22:00Z">
        <w:r w:rsidRPr="00BC0E7E">
          <w:delText>mood swings (including depression);</w:delText>
        </w:r>
      </w:del>
    </w:p>
    <w:p w14:paraId="6A60DBAD" w14:textId="77777777" w:rsidR="00BC0E7E" w:rsidRPr="00BC0E7E" w:rsidRDefault="00944B8F" w:rsidP="00BC0E7E">
      <w:pPr>
        <w:numPr>
          <w:ilvl w:val="0"/>
          <w:numId w:val="22"/>
        </w:numPr>
        <w:tabs>
          <w:tab w:val="clear" w:pos="562"/>
          <w:tab w:val="clear" w:pos="720"/>
          <w:tab w:val="num" w:pos="550"/>
        </w:tabs>
        <w:ind w:left="550" w:hanging="550"/>
        <w:rPr>
          <w:del w:id="11759" w:author="AbbVie19" w:date="2025-04-16T12:22:00Z"/>
        </w:rPr>
      </w:pPr>
      <w:del w:id="11760" w:author="AbbVie19" w:date="2025-04-16T12:22:00Z">
        <w:r w:rsidRPr="00BC0E7E">
          <w:delText>anxiety;</w:delText>
        </w:r>
      </w:del>
    </w:p>
    <w:p w14:paraId="20D86247" w14:textId="77777777" w:rsidR="00BC0E7E" w:rsidRPr="00BC0E7E" w:rsidRDefault="00944B8F" w:rsidP="00BC0E7E">
      <w:pPr>
        <w:numPr>
          <w:ilvl w:val="0"/>
          <w:numId w:val="22"/>
        </w:numPr>
        <w:tabs>
          <w:tab w:val="clear" w:pos="562"/>
          <w:tab w:val="clear" w:pos="720"/>
          <w:tab w:val="num" w:pos="550"/>
        </w:tabs>
        <w:ind w:left="550" w:hanging="550"/>
        <w:rPr>
          <w:del w:id="11761" w:author="AbbVie19" w:date="2025-04-16T12:22:00Z"/>
        </w:rPr>
      </w:pPr>
      <w:del w:id="11762" w:author="AbbVie19" w:date="2025-04-16T12:22:00Z">
        <w:r w:rsidRPr="00BC0E7E">
          <w:delText>difficulty sleeping;</w:delText>
        </w:r>
      </w:del>
    </w:p>
    <w:p w14:paraId="283EFCE2" w14:textId="77777777" w:rsidR="00BC0E7E" w:rsidRPr="00BC0E7E" w:rsidRDefault="00944B8F" w:rsidP="00BC0E7E">
      <w:pPr>
        <w:numPr>
          <w:ilvl w:val="0"/>
          <w:numId w:val="22"/>
        </w:numPr>
        <w:tabs>
          <w:tab w:val="clear" w:pos="562"/>
          <w:tab w:val="clear" w:pos="720"/>
          <w:tab w:val="num" w:pos="550"/>
        </w:tabs>
        <w:ind w:left="550" w:hanging="550"/>
        <w:rPr>
          <w:del w:id="11763" w:author="AbbVie19" w:date="2025-04-16T12:22:00Z"/>
        </w:rPr>
      </w:pPr>
      <w:del w:id="11764" w:author="AbbVie19" w:date="2025-04-16T12:22:00Z">
        <w:r w:rsidRPr="00BC0E7E">
          <w:delText>sensation disorders such as tingling, prickling or numbness;</w:delText>
        </w:r>
      </w:del>
    </w:p>
    <w:p w14:paraId="137841B2" w14:textId="77777777" w:rsidR="00BC0E7E" w:rsidRPr="00BC0E7E" w:rsidRDefault="00944B8F" w:rsidP="00BC0E7E">
      <w:pPr>
        <w:numPr>
          <w:ilvl w:val="0"/>
          <w:numId w:val="22"/>
        </w:numPr>
        <w:tabs>
          <w:tab w:val="clear" w:pos="562"/>
          <w:tab w:val="clear" w:pos="720"/>
          <w:tab w:val="num" w:pos="550"/>
        </w:tabs>
        <w:ind w:left="550" w:hanging="550"/>
        <w:rPr>
          <w:del w:id="11765" w:author="AbbVie19" w:date="2025-04-16T12:22:00Z"/>
        </w:rPr>
      </w:pPr>
      <w:del w:id="11766" w:author="AbbVie19" w:date="2025-04-16T12:22:00Z">
        <w:r w:rsidRPr="00BC0E7E">
          <w:delText>migraine;</w:delText>
        </w:r>
      </w:del>
    </w:p>
    <w:p w14:paraId="077D0A1B" w14:textId="77777777" w:rsidR="00BC0E7E" w:rsidRPr="00BC0E7E" w:rsidRDefault="00944B8F" w:rsidP="00BC0E7E">
      <w:pPr>
        <w:numPr>
          <w:ilvl w:val="0"/>
          <w:numId w:val="22"/>
        </w:numPr>
        <w:tabs>
          <w:tab w:val="clear" w:pos="562"/>
          <w:tab w:val="clear" w:pos="720"/>
          <w:tab w:val="num" w:pos="550"/>
        </w:tabs>
        <w:ind w:left="550" w:hanging="550"/>
        <w:rPr>
          <w:del w:id="11767" w:author="AbbVie19" w:date="2025-04-16T12:22:00Z"/>
        </w:rPr>
      </w:pPr>
      <w:del w:id="11768" w:author="AbbVie19" w:date="2025-04-16T12:22:00Z">
        <w:r w:rsidRPr="00BC0E7E">
          <w:delText>nerve root compression (including low back pain and leg pain);</w:delText>
        </w:r>
      </w:del>
    </w:p>
    <w:p w14:paraId="62F96960" w14:textId="77777777" w:rsidR="00BC0E7E" w:rsidRPr="00BC0E7E" w:rsidRDefault="00944B8F" w:rsidP="00BC0E7E">
      <w:pPr>
        <w:numPr>
          <w:ilvl w:val="0"/>
          <w:numId w:val="22"/>
        </w:numPr>
        <w:tabs>
          <w:tab w:val="clear" w:pos="562"/>
          <w:tab w:val="clear" w:pos="720"/>
          <w:tab w:val="num" w:pos="550"/>
        </w:tabs>
        <w:ind w:left="550" w:hanging="550"/>
        <w:rPr>
          <w:del w:id="11769" w:author="AbbVie19" w:date="2025-04-16T12:22:00Z"/>
        </w:rPr>
      </w:pPr>
      <w:del w:id="11770" w:author="AbbVie19" w:date="2025-04-16T12:22:00Z">
        <w:r w:rsidRPr="00BC0E7E">
          <w:delText xml:space="preserve">vision disturbances; </w:delText>
        </w:r>
      </w:del>
    </w:p>
    <w:p w14:paraId="154C713A" w14:textId="77777777" w:rsidR="00BC0E7E" w:rsidRPr="00BC0E7E" w:rsidRDefault="00944B8F" w:rsidP="00BC0E7E">
      <w:pPr>
        <w:numPr>
          <w:ilvl w:val="0"/>
          <w:numId w:val="22"/>
        </w:numPr>
        <w:tabs>
          <w:tab w:val="clear" w:pos="562"/>
          <w:tab w:val="clear" w:pos="720"/>
          <w:tab w:val="num" w:pos="550"/>
        </w:tabs>
        <w:ind w:left="550" w:hanging="550"/>
        <w:rPr>
          <w:del w:id="11771" w:author="AbbVie19" w:date="2025-04-16T12:22:00Z"/>
        </w:rPr>
      </w:pPr>
      <w:del w:id="11772" w:author="AbbVie19" w:date="2025-04-16T12:22:00Z">
        <w:r w:rsidRPr="00BC0E7E">
          <w:delText>eye inflammation;</w:delText>
        </w:r>
      </w:del>
    </w:p>
    <w:p w14:paraId="30A08062" w14:textId="77777777" w:rsidR="00BC0E7E" w:rsidRPr="00BC0E7E" w:rsidRDefault="00944B8F" w:rsidP="00BC0E7E">
      <w:pPr>
        <w:numPr>
          <w:ilvl w:val="0"/>
          <w:numId w:val="22"/>
        </w:numPr>
        <w:tabs>
          <w:tab w:val="clear" w:pos="562"/>
          <w:tab w:val="clear" w:pos="720"/>
          <w:tab w:val="num" w:pos="550"/>
        </w:tabs>
        <w:ind w:left="550" w:hanging="550"/>
        <w:rPr>
          <w:del w:id="11773" w:author="AbbVie19" w:date="2025-04-16T12:22:00Z"/>
        </w:rPr>
      </w:pPr>
      <w:del w:id="11774" w:author="AbbVie19" w:date="2025-04-16T12:22:00Z">
        <w:r w:rsidRPr="00BC0E7E">
          <w:delText>inflammation of the eye lid and eye swelling;</w:delText>
        </w:r>
      </w:del>
    </w:p>
    <w:p w14:paraId="1869FFED" w14:textId="77777777" w:rsidR="00BC0E7E" w:rsidRPr="00BC0E7E" w:rsidRDefault="00944B8F" w:rsidP="00BC0E7E">
      <w:pPr>
        <w:numPr>
          <w:ilvl w:val="0"/>
          <w:numId w:val="23"/>
        </w:numPr>
        <w:tabs>
          <w:tab w:val="clear" w:pos="562"/>
          <w:tab w:val="clear" w:pos="720"/>
          <w:tab w:val="num" w:pos="550"/>
        </w:tabs>
        <w:ind w:left="550" w:hanging="550"/>
        <w:rPr>
          <w:del w:id="11775" w:author="AbbVie19" w:date="2025-04-16T12:22:00Z"/>
        </w:rPr>
      </w:pPr>
      <w:del w:id="11776" w:author="AbbVie19" w:date="2025-04-16T12:22:00Z">
        <w:r w:rsidRPr="00BC0E7E">
          <w:delText>vertigo;</w:delText>
        </w:r>
      </w:del>
    </w:p>
    <w:p w14:paraId="358BF626" w14:textId="77777777" w:rsidR="00BC0E7E" w:rsidRPr="00BC0E7E" w:rsidRDefault="00944B8F" w:rsidP="00BC0E7E">
      <w:pPr>
        <w:numPr>
          <w:ilvl w:val="0"/>
          <w:numId w:val="23"/>
        </w:numPr>
        <w:tabs>
          <w:tab w:val="clear" w:pos="562"/>
          <w:tab w:val="clear" w:pos="720"/>
          <w:tab w:val="num" w:pos="550"/>
        </w:tabs>
        <w:ind w:left="550" w:hanging="550"/>
        <w:rPr>
          <w:del w:id="11777" w:author="AbbVie19" w:date="2025-04-16T12:22:00Z"/>
        </w:rPr>
      </w:pPr>
      <w:del w:id="11778" w:author="AbbVie19" w:date="2025-04-16T12:22:00Z">
        <w:r w:rsidRPr="00BC0E7E">
          <w:delText>sensation of heart beating rapidly;</w:delText>
        </w:r>
      </w:del>
    </w:p>
    <w:p w14:paraId="556EDB7B" w14:textId="77777777" w:rsidR="00BC0E7E" w:rsidRPr="00BC0E7E" w:rsidRDefault="00944B8F" w:rsidP="00BC0E7E">
      <w:pPr>
        <w:numPr>
          <w:ilvl w:val="0"/>
          <w:numId w:val="23"/>
        </w:numPr>
        <w:tabs>
          <w:tab w:val="clear" w:pos="562"/>
          <w:tab w:val="clear" w:pos="720"/>
          <w:tab w:val="num" w:pos="550"/>
        </w:tabs>
        <w:ind w:left="550" w:hanging="550"/>
        <w:rPr>
          <w:del w:id="11779" w:author="AbbVie19" w:date="2025-04-16T12:22:00Z"/>
        </w:rPr>
      </w:pPr>
      <w:del w:id="11780" w:author="AbbVie19" w:date="2025-04-16T12:22:00Z">
        <w:r w:rsidRPr="00BC0E7E">
          <w:delText>high blood pressure;</w:delText>
        </w:r>
      </w:del>
    </w:p>
    <w:p w14:paraId="18E6E90F" w14:textId="77777777" w:rsidR="00BC0E7E" w:rsidRPr="00BC0E7E" w:rsidRDefault="00944B8F" w:rsidP="00BC0E7E">
      <w:pPr>
        <w:numPr>
          <w:ilvl w:val="0"/>
          <w:numId w:val="23"/>
        </w:numPr>
        <w:tabs>
          <w:tab w:val="clear" w:pos="562"/>
          <w:tab w:val="clear" w:pos="720"/>
          <w:tab w:val="num" w:pos="550"/>
        </w:tabs>
        <w:ind w:left="550" w:hanging="550"/>
        <w:rPr>
          <w:del w:id="11781" w:author="AbbVie19" w:date="2025-04-16T12:22:00Z"/>
        </w:rPr>
      </w:pPr>
      <w:del w:id="11782" w:author="AbbVie19" w:date="2025-04-16T12:22:00Z">
        <w:r w:rsidRPr="00BC0E7E">
          <w:delText>flushing;</w:delText>
        </w:r>
      </w:del>
    </w:p>
    <w:p w14:paraId="6D87A316" w14:textId="77777777" w:rsidR="00BC0E7E" w:rsidRPr="00BC0E7E" w:rsidRDefault="00944B8F" w:rsidP="00BC0E7E">
      <w:pPr>
        <w:numPr>
          <w:ilvl w:val="0"/>
          <w:numId w:val="23"/>
        </w:numPr>
        <w:tabs>
          <w:tab w:val="clear" w:pos="562"/>
          <w:tab w:val="clear" w:pos="720"/>
          <w:tab w:val="num" w:pos="550"/>
        </w:tabs>
        <w:ind w:left="550" w:hanging="550"/>
        <w:rPr>
          <w:del w:id="11783" w:author="AbbVie19" w:date="2025-04-16T12:22:00Z"/>
        </w:rPr>
      </w:pPr>
      <w:del w:id="11784" w:author="AbbVie19" w:date="2025-04-16T12:22:00Z">
        <w:r w:rsidRPr="00BC0E7E">
          <w:delText>haematoma;</w:delText>
        </w:r>
      </w:del>
    </w:p>
    <w:p w14:paraId="07887D81" w14:textId="77777777" w:rsidR="00BC0E7E" w:rsidRPr="00BC0E7E" w:rsidRDefault="00944B8F" w:rsidP="00BC0E7E">
      <w:pPr>
        <w:numPr>
          <w:ilvl w:val="0"/>
          <w:numId w:val="24"/>
        </w:numPr>
        <w:tabs>
          <w:tab w:val="clear" w:pos="562"/>
          <w:tab w:val="clear" w:pos="720"/>
          <w:tab w:val="num" w:pos="550"/>
        </w:tabs>
        <w:ind w:left="550" w:hanging="550"/>
        <w:rPr>
          <w:del w:id="11785" w:author="AbbVie19" w:date="2025-04-16T12:22:00Z"/>
        </w:rPr>
      </w:pPr>
      <w:del w:id="11786" w:author="AbbVie19" w:date="2025-04-16T12:22:00Z">
        <w:r w:rsidRPr="00BC0E7E">
          <w:delText>cough;</w:delText>
        </w:r>
      </w:del>
    </w:p>
    <w:p w14:paraId="1A4370BE" w14:textId="77777777" w:rsidR="00BC0E7E" w:rsidRPr="00BC0E7E" w:rsidRDefault="00944B8F" w:rsidP="00BC0E7E">
      <w:pPr>
        <w:numPr>
          <w:ilvl w:val="0"/>
          <w:numId w:val="24"/>
        </w:numPr>
        <w:tabs>
          <w:tab w:val="clear" w:pos="562"/>
          <w:tab w:val="clear" w:pos="720"/>
          <w:tab w:val="num" w:pos="550"/>
        </w:tabs>
        <w:ind w:left="550" w:hanging="550"/>
        <w:rPr>
          <w:del w:id="11787" w:author="AbbVie19" w:date="2025-04-16T12:22:00Z"/>
        </w:rPr>
      </w:pPr>
      <w:del w:id="11788" w:author="AbbVie19" w:date="2025-04-16T12:22:00Z">
        <w:r w:rsidRPr="00BC0E7E">
          <w:lastRenderedPageBreak/>
          <w:delText>asthma;</w:delText>
        </w:r>
      </w:del>
    </w:p>
    <w:p w14:paraId="2848E950" w14:textId="77777777" w:rsidR="00BC0E7E" w:rsidRPr="00BC0E7E" w:rsidRDefault="00944B8F" w:rsidP="00BC0E7E">
      <w:pPr>
        <w:numPr>
          <w:ilvl w:val="0"/>
          <w:numId w:val="24"/>
        </w:numPr>
        <w:tabs>
          <w:tab w:val="clear" w:pos="562"/>
          <w:tab w:val="clear" w:pos="720"/>
          <w:tab w:val="num" w:pos="550"/>
        </w:tabs>
        <w:ind w:left="550" w:hanging="550"/>
        <w:rPr>
          <w:del w:id="11789" w:author="AbbVie19" w:date="2025-04-16T12:22:00Z"/>
        </w:rPr>
      </w:pPr>
      <w:del w:id="11790" w:author="AbbVie19" w:date="2025-04-16T12:22:00Z">
        <w:r w:rsidRPr="00BC0E7E">
          <w:delText>shortness of breath;</w:delText>
        </w:r>
      </w:del>
    </w:p>
    <w:p w14:paraId="102B760F" w14:textId="77777777" w:rsidR="00BC0E7E" w:rsidRPr="00BC0E7E" w:rsidRDefault="00944B8F" w:rsidP="00BC0E7E">
      <w:pPr>
        <w:numPr>
          <w:ilvl w:val="0"/>
          <w:numId w:val="24"/>
        </w:numPr>
        <w:tabs>
          <w:tab w:val="clear" w:pos="562"/>
          <w:tab w:val="clear" w:pos="720"/>
          <w:tab w:val="num" w:pos="550"/>
        </w:tabs>
        <w:ind w:left="550" w:hanging="550"/>
        <w:rPr>
          <w:del w:id="11791" w:author="AbbVie19" w:date="2025-04-16T12:22:00Z"/>
        </w:rPr>
      </w:pPr>
      <w:del w:id="11792" w:author="AbbVie19" w:date="2025-04-16T12:22:00Z">
        <w:r w:rsidRPr="00BC0E7E">
          <w:delText>gastrointestinal bleeding;</w:delText>
        </w:r>
      </w:del>
    </w:p>
    <w:p w14:paraId="6E5CE8AD" w14:textId="77777777" w:rsidR="00BC0E7E" w:rsidRPr="00BC0E7E" w:rsidRDefault="00944B8F" w:rsidP="00BC0E7E">
      <w:pPr>
        <w:numPr>
          <w:ilvl w:val="0"/>
          <w:numId w:val="24"/>
        </w:numPr>
        <w:tabs>
          <w:tab w:val="clear" w:pos="562"/>
          <w:tab w:val="clear" w:pos="720"/>
          <w:tab w:val="num" w:pos="550"/>
        </w:tabs>
        <w:ind w:left="550" w:hanging="550"/>
        <w:rPr>
          <w:del w:id="11793" w:author="AbbVie19" w:date="2025-04-16T12:22:00Z"/>
        </w:rPr>
      </w:pPr>
      <w:del w:id="11794" w:author="AbbVie19" w:date="2025-04-16T12:22:00Z">
        <w:r w:rsidRPr="00BC0E7E">
          <w:delText>dyspepsia (indigestion, bloating, heart burn);</w:delText>
        </w:r>
      </w:del>
    </w:p>
    <w:p w14:paraId="7D571CC5" w14:textId="77777777" w:rsidR="00BC0E7E" w:rsidRPr="00BC0E7E" w:rsidRDefault="00944B8F" w:rsidP="00BC0E7E">
      <w:pPr>
        <w:numPr>
          <w:ilvl w:val="0"/>
          <w:numId w:val="24"/>
        </w:numPr>
        <w:tabs>
          <w:tab w:val="clear" w:pos="562"/>
          <w:tab w:val="clear" w:pos="720"/>
          <w:tab w:val="num" w:pos="550"/>
        </w:tabs>
        <w:ind w:left="550" w:hanging="550"/>
        <w:rPr>
          <w:del w:id="11795" w:author="AbbVie19" w:date="2025-04-16T12:22:00Z"/>
        </w:rPr>
      </w:pPr>
      <w:del w:id="11796" w:author="AbbVie19" w:date="2025-04-16T12:22:00Z">
        <w:r w:rsidRPr="00BC0E7E">
          <w:delText>acid reflux disease;</w:delText>
        </w:r>
      </w:del>
    </w:p>
    <w:p w14:paraId="11F7AF60" w14:textId="77777777" w:rsidR="00BC0E7E" w:rsidRPr="00BC0E7E" w:rsidRDefault="00944B8F" w:rsidP="00BC0E7E">
      <w:pPr>
        <w:numPr>
          <w:ilvl w:val="0"/>
          <w:numId w:val="24"/>
        </w:numPr>
        <w:tabs>
          <w:tab w:val="clear" w:pos="562"/>
          <w:tab w:val="clear" w:pos="720"/>
          <w:tab w:val="num" w:pos="550"/>
        </w:tabs>
        <w:ind w:left="550" w:hanging="550"/>
        <w:rPr>
          <w:del w:id="11797" w:author="AbbVie19" w:date="2025-04-16T12:22:00Z"/>
        </w:rPr>
      </w:pPr>
      <w:del w:id="11798" w:author="AbbVie19" w:date="2025-04-16T12:22:00Z">
        <w:r w:rsidRPr="00BC0E7E">
          <w:delText>sicca syndrome (including dry eyes and dry mouth);</w:delText>
        </w:r>
      </w:del>
    </w:p>
    <w:p w14:paraId="660FA873" w14:textId="77777777" w:rsidR="00BC0E7E" w:rsidRPr="00BC0E7E" w:rsidRDefault="00944B8F" w:rsidP="00BC0E7E">
      <w:pPr>
        <w:numPr>
          <w:ilvl w:val="0"/>
          <w:numId w:val="24"/>
        </w:numPr>
        <w:tabs>
          <w:tab w:val="clear" w:pos="562"/>
          <w:tab w:val="clear" w:pos="720"/>
          <w:tab w:val="num" w:pos="550"/>
        </w:tabs>
        <w:ind w:left="550" w:hanging="550"/>
        <w:rPr>
          <w:del w:id="11799" w:author="AbbVie19" w:date="2025-04-16T12:22:00Z"/>
        </w:rPr>
      </w:pPr>
      <w:del w:id="11800" w:author="AbbVie19" w:date="2025-04-16T12:22:00Z">
        <w:r w:rsidRPr="00BC0E7E">
          <w:delText>itching;</w:delText>
        </w:r>
      </w:del>
    </w:p>
    <w:p w14:paraId="01BE34EC" w14:textId="77777777" w:rsidR="00BC0E7E" w:rsidRPr="00BC0E7E" w:rsidRDefault="00944B8F" w:rsidP="00BC0E7E">
      <w:pPr>
        <w:numPr>
          <w:ilvl w:val="0"/>
          <w:numId w:val="24"/>
        </w:numPr>
        <w:tabs>
          <w:tab w:val="clear" w:pos="562"/>
          <w:tab w:val="clear" w:pos="720"/>
          <w:tab w:val="num" w:pos="550"/>
        </w:tabs>
        <w:ind w:left="550" w:hanging="550"/>
        <w:rPr>
          <w:del w:id="11801" w:author="AbbVie19" w:date="2025-04-16T12:22:00Z"/>
        </w:rPr>
      </w:pPr>
      <w:del w:id="11802" w:author="AbbVie19" w:date="2025-04-16T12:22:00Z">
        <w:r w:rsidRPr="00BC0E7E">
          <w:delText>itchy rash;</w:delText>
        </w:r>
      </w:del>
    </w:p>
    <w:p w14:paraId="7900FFD9" w14:textId="77777777" w:rsidR="00BC0E7E" w:rsidRPr="00BC0E7E" w:rsidRDefault="00944B8F" w:rsidP="00BC0E7E">
      <w:pPr>
        <w:numPr>
          <w:ilvl w:val="0"/>
          <w:numId w:val="24"/>
        </w:numPr>
        <w:tabs>
          <w:tab w:val="clear" w:pos="562"/>
          <w:tab w:val="clear" w:pos="720"/>
          <w:tab w:val="num" w:pos="550"/>
        </w:tabs>
        <w:ind w:left="550" w:hanging="550"/>
        <w:rPr>
          <w:del w:id="11803" w:author="AbbVie19" w:date="2025-04-16T12:22:00Z"/>
        </w:rPr>
      </w:pPr>
      <w:del w:id="11804" w:author="AbbVie19" w:date="2025-04-16T12:22:00Z">
        <w:r w:rsidRPr="00BC0E7E">
          <w:delText>bruising;</w:delText>
        </w:r>
      </w:del>
    </w:p>
    <w:p w14:paraId="366417EE" w14:textId="77777777" w:rsidR="00BC0E7E" w:rsidRPr="00BC0E7E" w:rsidRDefault="00944B8F" w:rsidP="00BC0E7E">
      <w:pPr>
        <w:numPr>
          <w:ilvl w:val="0"/>
          <w:numId w:val="24"/>
        </w:numPr>
        <w:tabs>
          <w:tab w:val="clear" w:pos="562"/>
          <w:tab w:val="clear" w:pos="720"/>
          <w:tab w:val="num" w:pos="550"/>
        </w:tabs>
        <w:ind w:left="550" w:hanging="550"/>
        <w:rPr>
          <w:del w:id="11805" w:author="AbbVie19" w:date="2025-04-16T12:22:00Z"/>
        </w:rPr>
      </w:pPr>
      <w:del w:id="11806" w:author="AbbVie19" w:date="2025-04-16T12:22:00Z">
        <w:r w:rsidRPr="00BC0E7E">
          <w:delText>inflammation of the skin (such as eczema);</w:delText>
        </w:r>
      </w:del>
    </w:p>
    <w:p w14:paraId="38F6C5D3" w14:textId="77777777" w:rsidR="00BC0E7E" w:rsidRPr="00BC0E7E" w:rsidRDefault="00944B8F" w:rsidP="00BC0E7E">
      <w:pPr>
        <w:numPr>
          <w:ilvl w:val="0"/>
          <w:numId w:val="24"/>
        </w:numPr>
        <w:tabs>
          <w:tab w:val="clear" w:pos="562"/>
          <w:tab w:val="clear" w:pos="720"/>
          <w:tab w:val="num" w:pos="550"/>
        </w:tabs>
        <w:ind w:left="550" w:hanging="550"/>
        <w:rPr>
          <w:del w:id="11807" w:author="AbbVie19" w:date="2025-04-16T12:22:00Z"/>
        </w:rPr>
      </w:pPr>
      <w:del w:id="11808" w:author="AbbVie19" w:date="2025-04-16T12:22:00Z">
        <w:r w:rsidRPr="00BC0E7E">
          <w:delText>breaking of finger nails and toe nails;</w:delText>
        </w:r>
      </w:del>
    </w:p>
    <w:p w14:paraId="6E100A9D" w14:textId="77777777" w:rsidR="00BC0E7E" w:rsidRPr="00BC0E7E" w:rsidRDefault="00944B8F" w:rsidP="00BC0E7E">
      <w:pPr>
        <w:numPr>
          <w:ilvl w:val="0"/>
          <w:numId w:val="24"/>
        </w:numPr>
        <w:tabs>
          <w:tab w:val="clear" w:pos="562"/>
          <w:tab w:val="clear" w:pos="720"/>
          <w:tab w:val="num" w:pos="550"/>
        </w:tabs>
        <w:ind w:left="550" w:hanging="550"/>
        <w:rPr>
          <w:del w:id="11809" w:author="AbbVie19" w:date="2025-04-16T12:22:00Z"/>
        </w:rPr>
      </w:pPr>
      <w:del w:id="11810" w:author="AbbVie19" w:date="2025-04-16T12:22:00Z">
        <w:r w:rsidRPr="00BC0E7E">
          <w:delText>increased sweating;</w:delText>
        </w:r>
      </w:del>
    </w:p>
    <w:p w14:paraId="78741681" w14:textId="77777777" w:rsidR="00BC0E7E" w:rsidRPr="00BC0E7E" w:rsidRDefault="00944B8F" w:rsidP="00BC0E7E">
      <w:pPr>
        <w:numPr>
          <w:ilvl w:val="0"/>
          <w:numId w:val="24"/>
        </w:numPr>
        <w:tabs>
          <w:tab w:val="clear" w:pos="562"/>
          <w:tab w:val="clear" w:pos="720"/>
          <w:tab w:val="num" w:pos="550"/>
        </w:tabs>
        <w:ind w:left="550" w:hanging="550"/>
        <w:rPr>
          <w:del w:id="11811" w:author="AbbVie19" w:date="2025-04-16T12:22:00Z"/>
        </w:rPr>
      </w:pPr>
      <w:del w:id="11812" w:author="AbbVie19" w:date="2025-04-16T12:22:00Z">
        <w:r w:rsidRPr="00BC0E7E">
          <w:delText>hair loss;</w:delText>
        </w:r>
      </w:del>
    </w:p>
    <w:p w14:paraId="18903B3E" w14:textId="77777777" w:rsidR="00BC0E7E" w:rsidRPr="00BC0E7E" w:rsidRDefault="00944B8F" w:rsidP="00BC0E7E">
      <w:pPr>
        <w:numPr>
          <w:ilvl w:val="0"/>
          <w:numId w:val="24"/>
        </w:numPr>
        <w:tabs>
          <w:tab w:val="clear" w:pos="562"/>
          <w:tab w:val="clear" w:pos="720"/>
          <w:tab w:val="num" w:pos="550"/>
        </w:tabs>
        <w:ind w:left="550" w:hanging="550"/>
        <w:rPr>
          <w:del w:id="11813" w:author="AbbVie19" w:date="2025-04-16T12:22:00Z"/>
        </w:rPr>
      </w:pPr>
      <w:del w:id="11814" w:author="AbbVie19" w:date="2025-04-16T12:22:00Z">
        <w:r w:rsidRPr="00BC0E7E">
          <w:delText>new onset or worsening of psoriasis;</w:delText>
        </w:r>
      </w:del>
    </w:p>
    <w:p w14:paraId="703D6E0C" w14:textId="77777777" w:rsidR="00BC0E7E" w:rsidRPr="00BC0E7E" w:rsidRDefault="00944B8F" w:rsidP="00BC0E7E">
      <w:pPr>
        <w:numPr>
          <w:ilvl w:val="0"/>
          <w:numId w:val="24"/>
        </w:numPr>
        <w:tabs>
          <w:tab w:val="clear" w:pos="562"/>
          <w:tab w:val="clear" w:pos="720"/>
          <w:tab w:val="num" w:pos="550"/>
        </w:tabs>
        <w:ind w:left="550" w:hanging="550"/>
        <w:rPr>
          <w:del w:id="11815" w:author="AbbVie19" w:date="2025-04-16T12:22:00Z"/>
        </w:rPr>
      </w:pPr>
      <w:del w:id="11816" w:author="AbbVie19" w:date="2025-04-16T12:22:00Z">
        <w:r w:rsidRPr="00BC0E7E">
          <w:delText>muscle spasms;</w:delText>
        </w:r>
      </w:del>
    </w:p>
    <w:p w14:paraId="7FB3A8DC" w14:textId="77777777" w:rsidR="00BC0E7E" w:rsidRPr="00BC0E7E" w:rsidRDefault="00944B8F" w:rsidP="00BC0E7E">
      <w:pPr>
        <w:numPr>
          <w:ilvl w:val="0"/>
          <w:numId w:val="24"/>
        </w:numPr>
        <w:tabs>
          <w:tab w:val="clear" w:pos="562"/>
          <w:tab w:val="clear" w:pos="720"/>
          <w:tab w:val="num" w:pos="550"/>
        </w:tabs>
        <w:ind w:left="550" w:hanging="550"/>
        <w:rPr>
          <w:del w:id="11817" w:author="AbbVie19" w:date="2025-04-16T12:22:00Z"/>
        </w:rPr>
      </w:pPr>
      <w:del w:id="11818" w:author="AbbVie19" w:date="2025-04-16T12:22:00Z">
        <w:r w:rsidRPr="00BC0E7E">
          <w:delText>blood in urine;</w:delText>
        </w:r>
      </w:del>
    </w:p>
    <w:p w14:paraId="2A61EC58" w14:textId="77777777" w:rsidR="00BC0E7E" w:rsidRPr="00BC0E7E" w:rsidRDefault="00944B8F" w:rsidP="00BC0E7E">
      <w:pPr>
        <w:numPr>
          <w:ilvl w:val="0"/>
          <w:numId w:val="24"/>
        </w:numPr>
        <w:tabs>
          <w:tab w:val="clear" w:pos="562"/>
          <w:tab w:val="clear" w:pos="720"/>
          <w:tab w:val="num" w:pos="550"/>
        </w:tabs>
        <w:ind w:left="550" w:hanging="550"/>
        <w:rPr>
          <w:del w:id="11819" w:author="AbbVie19" w:date="2025-04-16T12:22:00Z"/>
        </w:rPr>
      </w:pPr>
      <w:del w:id="11820" w:author="AbbVie19" w:date="2025-04-16T12:22:00Z">
        <w:r w:rsidRPr="00BC0E7E">
          <w:delText>kidney problems;</w:delText>
        </w:r>
      </w:del>
    </w:p>
    <w:p w14:paraId="09B4BF84" w14:textId="77777777" w:rsidR="00BC0E7E" w:rsidRPr="00BC0E7E" w:rsidRDefault="00944B8F" w:rsidP="00BC0E7E">
      <w:pPr>
        <w:numPr>
          <w:ilvl w:val="0"/>
          <w:numId w:val="24"/>
        </w:numPr>
        <w:tabs>
          <w:tab w:val="clear" w:pos="562"/>
          <w:tab w:val="clear" w:pos="720"/>
          <w:tab w:val="num" w:pos="550"/>
        </w:tabs>
        <w:ind w:left="550" w:hanging="550"/>
        <w:rPr>
          <w:del w:id="11821" w:author="AbbVie19" w:date="2025-04-16T12:22:00Z"/>
        </w:rPr>
      </w:pPr>
      <w:del w:id="11822" w:author="AbbVie19" w:date="2025-04-16T12:22:00Z">
        <w:r w:rsidRPr="00BC0E7E">
          <w:delText>chest pain;</w:delText>
        </w:r>
      </w:del>
    </w:p>
    <w:p w14:paraId="7623F2BB" w14:textId="77777777" w:rsidR="00BC0E7E" w:rsidRPr="00BC0E7E" w:rsidRDefault="00944B8F" w:rsidP="00BC0E7E">
      <w:pPr>
        <w:numPr>
          <w:ilvl w:val="0"/>
          <w:numId w:val="24"/>
        </w:numPr>
        <w:tabs>
          <w:tab w:val="clear" w:pos="562"/>
          <w:tab w:val="clear" w:pos="720"/>
          <w:tab w:val="num" w:pos="550"/>
        </w:tabs>
        <w:ind w:left="550" w:hanging="550"/>
        <w:rPr>
          <w:del w:id="11823" w:author="AbbVie19" w:date="2025-04-16T12:22:00Z"/>
        </w:rPr>
      </w:pPr>
      <w:del w:id="11824" w:author="AbbVie19" w:date="2025-04-16T12:22:00Z">
        <w:r w:rsidRPr="00BC0E7E">
          <w:delText>oedema;</w:delText>
        </w:r>
      </w:del>
    </w:p>
    <w:p w14:paraId="5C23F096" w14:textId="77777777" w:rsidR="00BC0E7E" w:rsidRPr="00BC0E7E" w:rsidRDefault="00944B8F" w:rsidP="00BC0E7E">
      <w:pPr>
        <w:numPr>
          <w:ilvl w:val="0"/>
          <w:numId w:val="24"/>
        </w:numPr>
        <w:tabs>
          <w:tab w:val="clear" w:pos="562"/>
          <w:tab w:val="clear" w:pos="720"/>
          <w:tab w:val="num" w:pos="550"/>
        </w:tabs>
        <w:ind w:left="550" w:hanging="550"/>
        <w:rPr>
          <w:del w:id="11825" w:author="AbbVie19" w:date="2025-04-16T12:22:00Z"/>
        </w:rPr>
      </w:pPr>
      <w:del w:id="11826" w:author="AbbVie19" w:date="2025-04-16T12:22:00Z">
        <w:r w:rsidRPr="00BC0E7E">
          <w:delText>fever;</w:delText>
        </w:r>
      </w:del>
    </w:p>
    <w:p w14:paraId="69D17FAF" w14:textId="77777777" w:rsidR="00BC0E7E" w:rsidRPr="00BC0E7E" w:rsidRDefault="00944B8F" w:rsidP="00BC0E7E">
      <w:pPr>
        <w:numPr>
          <w:ilvl w:val="0"/>
          <w:numId w:val="24"/>
        </w:numPr>
        <w:tabs>
          <w:tab w:val="clear" w:pos="562"/>
          <w:tab w:val="clear" w:pos="720"/>
          <w:tab w:val="num" w:pos="550"/>
        </w:tabs>
        <w:ind w:left="550" w:hanging="550"/>
        <w:rPr>
          <w:del w:id="11827" w:author="AbbVie19" w:date="2025-04-16T12:22:00Z"/>
        </w:rPr>
      </w:pPr>
      <w:del w:id="11828" w:author="AbbVie19" w:date="2025-04-16T12:22:00Z">
        <w:r w:rsidRPr="00BC0E7E">
          <w:delText>reduction in blood platelets which increases risk of bleeding or bruising;</w:delText>
        </w:r>
      </w:del>
    </w:p>
    <w:p w14:paraId="251C4A92" w14:textId="77777777" w:rsidR="00BC0E7E" w:rsidRPr="00BC0E7E" w:rsidRDefault="00944B8F" w:rsidP="00BC0E7E">
      <w:pPr>
        <w:numPr>
          <w:ilvl w:val="0"/>
          <w:numId w:val="24"/>
        </w:numPr>
        <w:tabs>
          <w:tab w:val="clear" w:pos="562"/>
          <w:tab w:val="clear" w:pos="720"/>
          <w:tab w:val="num" w:pos="550"/>
        </w:tabs>
        <w:ind w:left="550" w:hanging="550"/>
        <w:rPr>
          <w:del w:id="11829" w:author="AbbVie19" w:date="2025-04-16T12:22:00Z"/>
        </w:rPr>
      </w:pPr>
      <w:del w:id="11830" w:author="AbbVie19" w:date="2025-04-16T12:22:00Z">
        <w:r w:rsidRPr="00BC0E7E">
          <w:delText>impaired healing.</w:delText>
        </w:r>
      </w:del>
    </w:p>
    <w:p w14:paraId="49658F64" w14:textId="77777777" w:rsidR="00BC0E7E" w:rsidRPr="00BC0E7E" w:rsidRDefault="00BC0E7E" w:rsidP="00BC0E7E">
      <w:pPr>
        <w:tabs>
          <w:tab w:val="clear" w:pos="562"/>
          <w:tab w:val="num" w:pos="550"/>
        </w:tabs>
        <w:ind w:left="550" w:hanging="550"/>
        <w:rPr>
          <w:del w:id="11831" w:author="AbbVie19" w:date="2025-04-16T12:22:00Z"/>
        </w:rPr>
      </w:pPr>
    </w:p>
    <w:p w14:paraId="583ACCB0" w14:textId="77777777" w:rsidR="00BC0E7E" w:rsidRPr="00BC0E7E" w:rsidRDefault="00944B8F" w:rsidP="00BC0E7E">
      <w:pPr>
        <w:tabs>
          <w:tab w:val="clear" w:pos="562"/>
          <w:tab w:val="num" w:pos="550"/>
        </w:tabs>
        <w:ind w:left="550" w:hanging="550"/>
        <w:rPr>
          <w:del w:id="11832" w:author="AbbVie19" w:date="2025-04-16T12:22:00Z"/>
        </w:rPr>
      </w:pPr>
      <w:del w:id="11833" w:author="AbbVie19" w:date="2025-04-16T12:22:00Z">
        <w:r w:rsidRPr="00BC0E7E">
          <w:delText>Uncommon (may affect up to 1 in 100 people)</w:delText>
        </w:r>
      </w:del>
    </w:p>
    <w:p w14:paraId="62CB6236" w14:textId="77777777" w:rsidR="00BC0E7E" w:rsidRPr="00BC0E7E" w:rsidRDefault="00BC0E7E" w:rsidP="00BC0E7E">
      <w:pPr>
        <w:tabs>
          <w:tab w:val="clear" w:pos="562"/>
          <w:tab w:val="num" w:pos="550"/>
        </w:tabs>
        <w:ind w:left="550" w:hanging="550"/>
        <w:rPr>
          <w:del w:id="11834" w:author="AbbVie19" w:date="2025-04-16T12:22:00Z"/>
        </w:rPr>
      </w:pPr>
    </w:p>
    <w:p w14:paraId="2F83AF7F" w14:textId="77777777" w:rsidR="00BC0E7E" w:rsidRPr="00BC0E7E" w:rsidRDefault="00944B8F" w:rsidP="00BC0E7E">
      <w:pPr>
        <w:numPr>
          <w:ilvl w:val="0"/>
          <w:numId w:val="25"/>
        </w:numPr>
        <w:tabs>
          <w:tab w:val="clear" w:pos="562"/>
          <w:tab w:val="clear" w:pos="720"/>
          <w:tab w:val="num" w:pos="550"/>
        </w:tabs>
        <w:ind w:left="550" w:hanging="550"/>
        <w:rPr>
          <w:del w:id="11835" w:author="AbbVie19" w:date="2025-04-16T12:22:00Z"/>
        </w:rPr>
      </w:pPr>
      <w:del w:id="11836" w:author="AbbVie19" w:date="2025-04-16T12:22:00Z">
        <w:r w:rsidRPr="00BC0E7E">
          <w:delText>opportunistic infections (which include tuberculosis and other infections that occur when resistance to disease is lowered);</w:delText>
        </w:r>
      </w:del>
    </w:p>
    <w:p w14:paraId="69F07AF8" w14:textId="77777777" w:rsidR="00BC0E7E" w:rsidRPr="00BC0E7E" w:rsidRDefault="00944B8F" w:rsidP="00BC0E7E">
      <w:pPr>
        <w:numPr>
          <w:ilvl w:val="0"/>
          <w:numId w:val="25"/>
        </w:numPr>
        <w:tabs>
          <w:tab w:val="clear" w:pos="562"/>
          <w:tab w:val="clear" w:pos="720"/>
          <w:tab w:val="num" w:pos="550"/>
        </w:tabs>
        <w:ind w:left="550" w:hanging="550"/>
        <w:rPr>
          <w:del w:id="11837" w:author="AbbVie19" w:date="2025-04-16T12:22:00Z"/>
        </w:rPr>
      </w:pPr>
      <w:del w:id="11838" w:author="AbbVie19" w:date="2025-04-16T12:22:00Z">
        <w:r w:rsidRPr="00BC0E7E">
          <w:delText>neurological infections (including viral meningitis);</w:delText>
        </w:r>
      </w:del>
    </w:p>
    <w:p w14:paraId="49AA6225" w14:textId="77777777" w:rsidR="00BC0E7E" w:rsidRPr="00BC0E7E" w:rsidRDefault="00944B8F" w:rsidP="00BC0E7E">
      <w:pPr>
        <w:numPr>
          <w:ilvl w:val="0"/>
          <w:numId w:val="25"/>
        </w:numPr>
        <w:tabs>
          <w:tab w:val="clear" w:pos="562"/>
          <w:tab w:val="clear" w:pos="720"/>
          <w:tab w:val="num" w:pos="550"/>
        </w:tabs>
        <w:ind w:left="550" w:hanging="550"/>
        <w:rPr>
          <w:del w:id="11839" w:author="AbbVie19" w:date="2025-04-16T12:22:00Z"/>
        </w:rPr>
      </w:pPr>
      <w:del w:id="11840" w:author="AbbVie19" w:date="2025-04-16T12:22:00Z">
        <w:r w:rsidRPr="00BC0E7E">
          <w:delText>eye infections;</w:delText>
        </w:r>
      </w:del>
    </w:p>
    <w:p w14:paraId="28840E6B" w14:textId="77777777" w:rsidR="00BC0E7E" w:rsidRPr="00BC0E7E" w:rsidRDefault="00944B8F" w:rsidP="00BC0E7E">
      <w:pPr>
        <w:numPr>
          <w:ilvl w:val="0"/>
          <w:numId w:val="25"/>
        </w:numPr>
        <w:tabs>
          <w:tab w:val="clear" w:pos="562"/>
          <w:tab w:val="clear" w:pos="720"/>
          <w:tab w:val="num" w:pos="550"/>
        </w:tabs>
        <w:ind w:left="550" w:hanging="550"/>
        <w:rPr>
          <w:del w:id="11841" w:author="AbbVie19" w:date="2025-04-16T12:22:00Z"/>
        </w:rPr>
      </w:pPr>
      <w:del w:id="11842" w:author="AbbVie19" w:date="2025-04-16T12:22:00Z">
        <w:r w:rsidRPr="00BC0E7E">
          <w:delText>bacterial infections;</w:delText>
        </w:r>
      </w:del>
    </w:p>
    <w:p w14:paraId="6D29E4B4" w14:textId="77777777" w:rsidR="00BC0E7E" w:rsidRPr="00BC0E7E" w:rsidRDefault="00944B8F" w:rsidP="00BC0E7E">
      <w:pPr>
        <w:numPr>
          <w:ilvl w:val="0"/>
          <w:numId w:val="25"/>
        </w:numPr>
        <w:tabs>
          <w:tab w:val="clear" w:pos="562"/>
          <w:tab w:val="clear" w:pos="720"/>
          <w:tab w:val="num" w:pos="550"/>
        </w:tabs>
        <w:ind w:left="550" w:hanging="550"/>
        <w:rPr>
          <w:del w:id="11843" w:author="AbbVie19" w:date="2025-04-16T12:22:00Z"/>
        </w:rPr>
      </w:pPr>
      <w:del w:id="11844" w:author="AbbVie19" w:date="2025-04-16T12:22:00Z">
        <w:r w:rsidRPr="00BC0E7E">
          <w:delText>diverticulitis (inflammation and infection of the large intestine);</w:delText>
        </w:r>
      </w:del>
    </w:p>
    <w:p w14:paraId="7B37B251" w14:textId="77777777" w:rsidR="00BC0E7E" w:rsidRPr="00BC0E7E" w:rsidRDefault="00944B8F" w:rsidP="00BC0E7E">
      <w:pPr>
        <w:numPr>
          <w:ilvl w:val="0"/>
          <w:numId w:val="25"/>
        </w:numPr>
        <w:tabs>
          <w:tab w:val="clear" w:pos="562"/>
          <w:tab w:val="clear" w:pos="720"/>
          <w:tab w:val="num" w:pos="550"/>
        </w:tabs>
        <w:ind w:left="550" w:hanging="550"/>
        <w:rPr>
          <w:del w:id="11845" w:author="AbbVie19" w:date="2025-04-16T12:22:00Z"/>
        </w:rPr>
      </w:pPr>
      <w:del w:id="11846" w:author="AbbVie19" w:date="2025-04-16T12:22:00Z">
        <w:r w:rsidRPr="00BC0E7E">
          <w:delText>cancer;</w:delText>
        </w:r>
      </w:del>
    </w:p>
    <w:p w14:paraId="22C0C10B" w14:textId="77777777" w:rsidR="00BC0E7E" w:rsidRPr="00BC0E7E" w:rsidRDefault="00944B8F" w:rsidP="00BC0E7E">
      <w:pPr>
        <w:numPr>
          <w:ilvl w:val="0"/>
          <w:numId w:val="25"/>
        </w:numPr>
        <w:tabs>
          <w:tab w:val="clear" w:pos="562"/>
          <w:tab w:val="clear" w:pos="720"/>
          <w:tab w:val="num" w:pos="550"/>
        </w:tabs>
        <w:ind w:left="550" w:hanging="550"/>
        <w:rPr>
          <w:del w:id="11847" w:author="AbbVie19" w:date="2025-04-16T12:22:00Z"/>
        </w:rPr>
      </w:pPr>
      <w:del w:id="11848" w:author="AbbVie19" w:date="2025-04-16T12:22:00Z">
        <w:r w:rsidRPr="00BC0E7E">
          <w:delText>cancer that affects the lymph system;</w:delText>
        </w:r>
      </w:del>
    </w:p>
    <w:p w14:paraId="57BA80F6" w14:textId="77777777" w:rsidR="00BC0E7E" w:rsidRPr="00BC0E7E" w:rsidRDefault="00944B8F" w:rsidP="00BC0E7E">
      <w:pPr>
        <w:numPr>
          <w:ilvl w:val="0"/>
          <w:numId w:val="25"/>
        </w:numPr>
        <w:tabs>
          <w:tab w:val="clear" w:pos="562"/>
          <w:tab w:val="clear" w:pos="720"/>
          <w:tab w:val="num" w:pos="550"/>
        </w:tabs>
        <w:ind w:left="550" w:hanging="550"/>
        <w:rPr>
          <w:del w:id="11849" w:author="AbbVie19" w:date="2025-04-16T12:22:00Z"/>
        </w:rPr>
      </w:pPr>
      <w:del w:id="11850" w:author="AbbVie19" w:date="2025-04-16T12:22:00Z">
        <w:r w:rsidRPr="00BC0E7E">
          <w:delText>melanoma;</w:delText>
        </w:r>
      </w:del>
    </w:p>
    <w:p w14:paraId="28F23F86" w14:textId="77777777" w:rsidR="00BC0E7E" w:rsidRPr="00BC0E7E" w:rsidRDefault="00944B8F" w:rsidP="00BC0E7E">
      <w:pPr>
        <w:numPr>
          <w:ilvl w:val="0"/>
          <w:numId w:val="25"/>
        </w:numPr>
        <w:tabs>
          <w:tab w:val="clear" w:pos="562"/>
          <w:tab w:val="clear" w:pos="720"/>
          <w:tab w:val="num" w:pos="550"/>
        </w:tabs>
        <w:ind w:left="550" w:hanging="550"/>
        <w:rPr>
          <w:del w:id="11851" w:author="AbbVie19" w:date="2025-04-16T12:22:00Z"/>
        </w:rPr>
      </w:pPr>
      <w:del w:id="11852" w:author="AbbVie19" w:date="2025-04-16T12:22:00Z">
        <w:r w:rsidRPr="00BC0E7E">
          <w:delText>immune disorders that could affect the lungs, skin and lymph nodes (most commonly presenting as sarcoidosis);</w:delText>
        </w:r>
      </w:del>
    </w:p>
    <w:p w14:paraId="707BCF91" w14:textId="77777777" w:rsidR="00BC0E7E" w:rsidRPr="00BC0E7E" w:rsidRDefault="00944B8F" w:rsidP="00BC0E7E">
      <w:pPr>
        <w:numPr>
          <w:ilvl w:val="0"/>
          <w:numId w:val="25"/>
        </w:numPr>
        <w:tabs>
          <w:tab w:val="clear" w:pos="562"/>
          <w:tab w:val="clear" w:pos="720"/>
          <w:tab w:val="num" w:pos="550"/>
        </w:tabs>
        <w:ind w:left="550" w:hanging="550"/>
        <w:rPr>
          <w:del w:id="11853" w:author="AbbVie19" w:date="2025-04-16T12:22:00Z"/>
        </w:rPr>
      </w:pPr>
      <w:del w:id="11854" w:author="AbbVie19" w:date="2025-04-16T12:22:00Z">
        <w:r w:rsidRPr="00BC0E7E">
          <w:delText>vasculitis (inflammation of blood vessels);</w:delText>
        </w:r>
      </w:del>
    </w:p>
    <w:p w14:paraId="58D6F059" w14:textId="77777777" w:rsidR="00BC0E7E" w:rsidRPr="00BC0E7E" w:rsidRDefault="00944B8F" w:rsidP="00BC0E7E">
      <w:pPr>
        <w:numPr>
          <w:ilvl w:val="0"/>
          <w:numId w:val="25"/>
        </w:numPr>
        <w:tabs>
          <w:tab w:val="clear" w:pos="562"/>
          <w:tab w:val="clear" w:pos="720"/>
          <w:tab w:val="num" w:pos="550"/>
        </w:tabs>
        <w:ind w:left="550" w:hanging="550"/>
        <w:rPr>
          <w:del w:id="11855" w:author="AbbVie19" w:date="2025-04-16T12:22:00Z"/>
        </w:rPr>
      </w:pPr>
      <w:del w:id="11856" w:author="AbbVie19" w:date="2025-04-16T12:22:00Z">
        <w:r w:rsidRPr="00BC0E7E">
          <w:delText>tremor;</w:delText>
        </w:r>
      </w:del>
    </w:p>
    <w:p w14:paraId="48CF7E24" w14:textId="77777777" w:rsidR="00BC0E7E" w:rsidRPr="00BC0E7E" w:rsidRDefault="00944B8F" w:rsidP="00BC0E7E">
      <w:pPr>
        <w:numPr>
          <w:ilvl w:val="0"/>
          <w:numId w:val="25"/>
        </w:numPr>
        <w:tabs>
          <w:tab w:val="clear" w:pos="562"/>
          <w:tab w:val="clear" w:pos="720"/>
          <w:tab w:val="num" w:pos="550"/>
        </w:tabs>
        <w:ind w:left="550" w:hanging="550"/>
        <w:rPr>
          <w:del w:id="11857" w:author="AbbVie19" w:date="2025-04-16T12:22:00Z"/>
        </w:rPr>
      </w:pPr>
      <w:del w:id="11858" w:author="AbbVie19" w:date="2025-04-16T12:22:00Z">
        <w:r w:rsidRPr="00BC0E7E">
          <w:delText>neuropathy;</w:delText>
        </w:r>
      </w:del>
    </w:p>
    <w:p w14:paraId="5B2715ED" w14:textId="77777777" w:rsidR="00BC0E7E" w:rsidRPr="00BC0E7E" w:rsidRDefault="00944B8F" w:rsidP="00BC0E7E">
      <w:pPr>
        <w:numPr>
          <w:ilvl w:val="0"/>
          <w:numId w:val="25"/>
        </w:numPr>
        <w:tabs>
          <w:tab w:val="clear" w:pos="562"/>
          <w:tab w:val="clear" w:pos="720"/>
          <w:tab w:val="num" w:pos="550"/>
        </w:tabs>
        <w:ind w:left="550" w:hanging="550"/>
        <w:rPr>
          <w:del w:id="11859" w:author="AbbVie19" w:date="2025-04-16T12:22:00Z"/>
        </w:rPr>
      </w:pPr>
      <w:del w:id="11860" w:author="AbbVie19" w:date="2025-04-16T12:22:00Z">
        <w:r w:rsidRPr="00BC0E7E">
          <w:delText>stroke;</w:delText>
        </w:r>
      </w:del>
    </w:p>
    <w:p w14:paraId="0580FFB1" w14:textId="77777777" w:rsidR="00BC0E7E" w:rsidRPr="00BC0E7E" w:rsidRDefault="00944B8F" w:rsidP="00BC0E7E">
      <w:pPr>
        <w:numPr>
          <w:ilvl w:val="0"/>
          <w:numId w:val="25"/>
        </w:numPr>
        <w:tabs>
          <w:tab w:val="clear" w:pos="562"/>
          <w:tab w:val="clear" w:pos="720"/>
          <w:tab w:val="num" w:pos="550"/>
        </w:tabs>
        <w:ind w:left="550" w:hanging="550"/>
        <w:rPr>
          <w:del w:id="11861" w:author="AbbVie19" w:date="2025-04-16T12:22:00Z"/>
        </w:rPr>
      </w:pPr>
      <w:del w:id="11862" w:author="AbbVie19" w:date="2025-04-16T12:22:00Z">
        <w:r w:rsidRPr="00BC0E7E">
          <w:delText>hearing loss, buzzing;</w:delText>
        </w:r>
      </w:del>
    </w:p>
    <w:p w14:paraId="40DDCD91" w14:textId="77777777" w:rsidR="00BC0E7E" w:rsidRPr="00BC0E7E" w:rsidRDefault="00944B8F" w:rsidP="00BC0E7E">
      <w:pPr>
        <w:numPr>
          <w:ilvl w:val="0"/>
          <w:numId w:val="25"/>
        </w:numPr>
        <w:tabs>
          <w:tab w:val="clear" w:pos="562"/>
          <w:tab w:val="clear" w:pos="720"/>
          <w:tab w:val="num" w:pos="550"/>
        </w:tabs>
        <w:ind w:left="550" w:hanging="550"/>
        <w:rPr>
          <w:del w:id="11863" w:author="AbbVie19" w:date="2025-04-16T12:22:00Z"/>
        </w:rPr>
      </w:pPr>
      <w:del w:id="11864" w:author="AbbVie19" w:date="2025-04-16T12:22:00Z">
        <w:r w:rsidRPr="00BC0E7E">
          <w:delText>sensation of heart beating irregularly such as skipped beats;</w:delText>
        </w:r>
      </w:del>
    </w:p>
    <w:p w14:paraId="18240A39" w14:textId="77777777" w:rsidR="00BC0E7E" w:rsidRPr="00BC0E7E" w:rsidRDefault="00944B8F" w:rsidP="00BC0E7E">
      <w:pPr>
        <w:numPr>
          <w:ilvl w:val="0"/>
          <w:numId w:val="25"/>
        </w:numPr>
        <w:tabs>
          <w:tab w:val="clear" w:pos="562"/>
          <w:tab w:val="clear" w:pos="720"/>
          <w:tab w:val="num" w:pos="550"/>
        </w:tabs>
        <w:ind w:left="550" w:hanging="550"/>
        <w:rPr>
          <w:del w:id="11865" w:author="AbbVie19" w:date="2025-04-16T12:22:00Z"/>
        </w:rPr>
      </w:pPr>
      <w:del w:id="11866" w:author="AbbVie19" w:date="2025-04-16T12:22:00Z">
        <w:r w:rsidRPr="00BC0E7E">
          <w:delText>heart problems that can cause shortness of breath or ankle swelling;</w:delText>
        </w:r>
      </w:del>
    </w:p>
    <w:p w14:paraId="39A8D851" w14:textId="77777777" w:rsidR="00BC0E7E" w:rsidRPr="00BC0E7E" w:rsidRDefault="00944B8F" w:rsidP="00BC0E7E">
      <w:pPr>
        <w:numPr>
          <w:ilvl w:val="0"/>
          <w:numId w:val="25"/>
        </w:numPr>
        <w:tabs>
          <w:tab w:val="clear" w:pos="562"/>
          <w:tab w:val="clear" w:pos="720"/>
          <w:tab w:val="num" w:pos="550"/>
        </w:tabs>
        <w:ind w:left="550" w:hanging="550"/>
        <w:rPr>
          <w:del w:id="11867" w:author="AbbVie19" w:date="2025-04-16T12:22:00Z"/>
        </w:rPr>
      </w:pPr>
      <w:del w:id="11868" w:author="AbbVie19" w:date="2025-04-16T12:22:00Z">
        <w:r w:rsidRPr="00BC0E7E">
          <w:delText>heart attack;</w:delText>
        </w:r>
      </w:del>
    </w:p>
    <w:p w14:paraId="1D7F6A54" w14:textId="77777777" w:rsidR="00BC0E7E" w:rsidRPr="00BC0E7E" w:rsidRDefault="00944B8F" w:rsidP="00BC0E7E">
      <w:pPr>
        <w:numPr>
          <w:ilvl w:val="0"/>
          <w:numId w:val="25"/>
        </w:numPr>
        <w:tabs>
          <w:tab w:val="clear" w:pos="562"/>
          <w:tab w:val="clear" w:pos="720"/>
          <w:tab w:val="num" w:pos="550"/>
        </w:tabs>
        <w:ind w:left="550" w:hanging="550"/>
        <w:rPr>
          <w:del w:id="11869" w:author="AbbVie19" w:date="2025-04-16T12:22:00Z"/>
        </w:rPr>
      </w:pPr>
      <w:del w:id="11870" w:author="AbbVie19" w:date="2025-04-16T12:22:00Z">
        <w:r w:rsidRPr="00BC0E7E">
          <w:delText>a sac in the wall of a major artery, inflammation and clot of a vein; blockage of a blood vessel;</w:delText>
        </w:r>
      </w:del>
    </w:p>
    <w:p w14:paraId="3C1ED642" w14:textId="77777777" w:rsidR="00BC0E7E" w:rsidRPr="00BC0E7E" w:rsidRDefault="00944B8F" w:rsidP="00BC0E7E">
      <w:pPr>
        <w:numPr>
          <w:ilvl w:val="0"/>
          <w:numId w:val="25"/>
        </w:numPr>
        <w:tabs>
          <w:tab w:val="clear" w:pos="562"/>
          <w:tab w:val="clear" w:pos="720"/>
          <w:tab w:val="num" w:pos="550"/>
        </w:tabs>
        <w:ind w:left="550" w:hanging="550"/>
        <w:rPr>
          <w:del w:id="11871" w:author="AbbVie19" w:date="2025-04-16T12:22:00Z"/>
        </w:rPr>
      </w:pPr>
      <w:del w:id="11872" w:author="AbbVie19" w:date="2025-04-16T12:22:00Z">
        <w:r w:rsidRPr="00BC0E7E">
          <w:delText>lung diseases causing shortness of breath (including inflammation);</w:delText>
        </w:r>
      </w:del>
    </w:p>
    <w:p w14:paraId="060E6F3B" w14:textId="77777777" w:rsidR="00BC0E7E" w:rsidRPr="00BC0E7E" w:rsidRDefault="00944B8F" w:rsidP="00BC0E7E">
      <w:pPr>
        <w:numPr>
          <w:ilvl w:val="0"/>
          <w:numId w:val="25"/>
        </w:numPr>
        <w:tabs>
          <w:tab w:val="clear" w:pos="562"/>
          <w:tab w:val="clear" w:pos="720"/>
          <w:tab w:val="num" w:pos="550"/>
        </w:tabs>
        <w:ind w:left="550" w:hanging="550"/>
        <w:rPr>
          <w:del w:id="11873" w:author="AbbVie19" w:date="2025-04-16T12:22:00Z"/>
        </w:rPr>
      </w:pPr>
      <w:del w:id="11874" w:author="AbbVie19" w:date="2025-04-16T12:22:00Z">
        <w:r w:rsidRPr="00BC0E7E">
          <w:delText>pulmonary embolism (blockage in an artery of the lung);</w:delText>
        </w:r>
      </w:del>
    </w:p>
    <w:p w14:paraId="72CDE852" w14:textId="77777777" w:rsidR="00BC0E7E" w:rsidRPr="00BC0E7E" w:rsidRDefault="00944B8F" w:rsidP="00BC0E7E">
      <w:pPr>
        <w:numPr>
          <w:ilvl w:val="0"/>
          <w:numId w:val="25"/>
        </w:numPr>
        <w:tabs>
          <w:tab w:val="clear" w:pos="562"/>
          <w:tab w:val="clear" w:pos="720"/>
          <w:tab w:val="num" w:pos="550"/>
        </w:tabs>
        <w:ind w:left="550" w:hanging="550"/>
        <w:rPr>
          <w:del w:id="11875" w:author="AbbVie19" w:date="2025-04-16T12:22:00Z"/>
        </w:rPr>
      </w:pPr>
      <w:del w:id="11876" w:author="AbbVie19" w:date="2025-04-16T12:22:00Z">
        <w:r w:rsidRPr="00BC0E7E">
          <w:delText>pleural effusion (abnormal collection of fluid in the pleural space);</w:delText>
        </w:r>
      </w:del>
    </w:p>
    <w:p w14:paraId="60569357" w14:textId="77777777" w:rsidR="00BC0E7E" w:rsidRPr="00BC0E7E" w:rsidRDefault="00944B8F" w:rsidP="00BC0E7E">
      <w:pPr>
        <w:numPr>
          <w:ilvl w:val="0"/>
          <w:numId w:val="25"/>
        </w:numPr>
        <w:tabs>
          <w:tab w:val="clear" w:pos="562"/>
          <w:tab w:val="clear" w:pos="720"/>
          <w:tab w:val="num" w:pos="550"/>
        </w:tabs>
        <w:ind w:left="550" w:hanging="550"/>
        <w:rPr>
          <w:del w:id="11877" w:author="AbbVie19" w:date="2025-04-16T12:22:00Z"/>
        </w:rPr>
      </w:pPr>
      <w:del w:id="11878" w:author="AbbVie19" w:date="2025-04-16T12:22:00Z">
        <w:r w:rsidRPr="00BC0E7E">
          <w:delText>inflammation of the pancreas which causes severe pain in the abdomen and back;</w:delText>
        </w:r>
      </w:del>
    </w:p>
    <w:p w14:paraId="745F4CB1" w14:textId="77777777" w:rsidR="00BC0E7E" w:rsidRPr="00BC0E7E" w:rsidRDefault="00944B8F" w:rsidP="00BC0E7E">
      <w:pPr>
        <w:numPr>
          <w:ilvl w:val="0"/>
          <w:numId w:val="25"/>
        </w:numPr>
        <w:tabs>
          <w:tab w:val="clear" w:pos="562"/>
          <w:tab w:val="clear" w:pos="720"/>
          <w:tab w:val="num" w:pos="550"/>
        </w:tabs>
        <w:ind w:left="550" w:hanging="550"/>
        <w:rPr>
          <w:del w:id="11879" w:author="AbbVie19" w:date="2025-04-16T12:22:00Z"/>
        </w:rPr>
      </w:pPr>
      <w:del w:id="11880" w:author="AbbVie19" w:date="2025-04-16T12:22:00Z">
        <w:r w:rsidRPr="00BC0E7E">
          <w:delText>difficulty in swallowing;</w:delText>
        </w:r>
      </w:del>
    </w:p>
    <w:p w14:paraId="070E0536" w14:textId="77777777" w:rsidR="00BC0E7E" w:rsidRPr="00BC0E7E" w:rsidRDefault="00944B8F" w:rsidP="00BC0E7E">
      <w:pPr>
        <w:numPr>
          <w:ilvl w:val="0"/>
          <w:numId w:val="25"/>
        </w:numPr>
        <w:tabs>
          <w:tab w:val="clear" w:pos="562"/>
          <w:tab w:val="clear" w:pos="720"/>
          <w:tab w:val="num" w:pos="550"/>
        </w:tabs>
        <w:ind w:left="550" w:hanging="550"/>
        <w:rPr>
          <w:del w:id="11881" w:author="AbbVie19" w:date="2025-04-16T12:22:00Z"/>
        </w:rPr>
      </w:pPr>
      <w:del w:id="11882" w:author="AbbVie19" w:date="2025-04-16T12:22:00Z">
        <w:r w:rsidRPr="00BC0E7E">
          <w:lastRenderedPageBreak/>
          <w:delText>facial oedema;</w:delText>
        </w:r>
      </w:del>
    </w:p>
    <w:p w14:paraId="3FEA931A" w14:textId="77777777" w:rsidR="00BC0E7E" w:rsidRPr="00BC0E7E" w:rsidRDefault="00944B8F" w:rsidP="00BC0E7E">
      <w:pPr>
        <w:numPr>
          <w:ilvl w:val="0"/>
          <w:numId w:val="25"/>
        </w:numPr>
        <w:tabs>
          <w:tab w:val="clear" w:pos="562"/>
          <w:tab w:val="clear" w:pos="720"/>
          <w:tab w:val="num" w:pos="550"/>
        </w:tabs>
        <w:ind w:left="550" w:hanging="550"/>
        <w:rPr>
          <w:del w:id="11883" w:author="AbbVie19" w:date="2025-04-16T12:22:00Z"/>
        </w:rPr>
      </w:pPr>
      <w:del w:id="11884" w:author="AbbVie19" w:date="2025-04-16T12:22:00Z">
        <w:r w:rsidRPr="00BC0E7E">
          <w:delText>gallbladder inflammation, gallbladder stones;</w:delText>
        </w:r>
      </w:del>
    </w:p>
    <w:p w14:paraId="251A25E9" w14:textId="77777777" w:rsidR="00BC0E7E" w:rsidRPr="00BC0E7E" w:rsidRDefault="00944B8F" w:rsidP="00BC0E7E">
      <w:pPr>
        <w:numPr>
          <w:ilvl w:val="0"/>
          <w:numId w:val="25"/>
        </w:numPr>
        <w:tabs>
          <w:tab w:val="clear" w:pos="562"/>
          <w:tab w:val="clear" w:pos="720"/>
          <w:tab w:val="num" w:pos="550"/>
        </w:tabs>
        <w:ind w:left="550" w:hanging="550"/>
        <w:rPr>
          <w:del w:id="11885" w:author="AbbVie19" w:date="2025-04-16T12:22:00Z"/>
        </w:rPr>
      </w:pPr>
      <w:del w:id="11886" w:author="AbbVie19" w:date="2025-04-16T12:22:00Z">
        <w:r w:rsidRPr="00BC0E7E">
          <w:delText>fatty liver;</w:delText>
        </w:r>
      </w:del>
    </w:p>
    <w:p w14:paraId="772D30D6" w14:textId="77777777" w:rsidR="00BC0E7E" w:rsidRPr="00BC0E7E" w:rsidRDefault="00944B8F" w:rsidP="00BC0E7E">
      <w:pPr>
        <w:numPr>
          <w:ilvl w:val="0"/>
          <w:numId w:val="25"/>
        </w:numPr>
        <w:tabs>
          <w:tab w:val="clear" w:pos="562"/>
          <w:tab w:val="clear" w:pos="720"/>
          <w:tab w:val="num" w:pos="550"/>
        </w:tabs>
        <w:ind w:left="550" w:hanging="550"/>
        <w:rPr>
          <w:del w:id="11887" w:author="AbbVie19" w:date="2025-04-16T12:22:00Z"/>
        </w:rPr>
      </w:pPr>
      <w:del w:id="11888" w:author="AbbVie19" w:date="2025-04-16T12:22:00Z">
        <w:r w:rsidRPr="00BC0E7E">
          <w:delText>night sweats;</w:delText>
        </w:r>
      </w:del>
    </w:p>
    <w:p w14:paraId="1BB76FBD" w14:textId="77777777" w:rsidR="00BC0E7E" w:rsidRPr="00BC0E7E" w:rsidRDefault="00944B8F" w:rsidP="00BC0E7E">
      <w:pPr>
        <w:numPr>
          <w:ilvl w:val="0"/>
          <w:numId w:val="25"/>
        </w:numPr>
        <w:tabs>
          <w:tab w:val="clear" w:pos="562"/>
          <w:tab w:val="clear" w:pos="720"/>
          <w:tab w:val="num" w:pos="550"/>
        </w:tabs>
        <w:ind w:left="550" w:hanging="550"/>
        <w:rPr>
          <w:del w:id="11889" w:author="AbbVie19" w:date="2025-04-16T12:22:00Z"/>
        </w:rPr>
      </w:pPr>
      <w:del w:id="11890" w:author="AbbVie19" w:date="2025-04-16T12:22:00Z">
        <w:r w:rsidRPr="00BC0E7E">
          <w:delText>scar;</w:delText>
        </w:r>
      </w:del>
    </w:p>
    <w:p w14:paraId="67467203" w14:textId="77777777" w:rsidR="00BC0E7E" w:rsidRPr="00BC0E7E" w:rsidRDefault="00944B8F" w:rsidP="00BC0E7E">
      <w:pPr>
        <w:numPr>
          <w:ilvl w:val="0"/>
          <w:numId w:val="25"/>
        </w:numPr>
        <w:tabs>
          <w:tab w:val="clear" w:pos="562"/>
          <w:tab w:val="clear" w:pos="720"/>
          <w:tab w:val="num" w:pos="550"/>
        </w:tabs>
        <w:ind w:left="550" w:hanging="550"/>
        <w:rPr>
          <w:del w:id="11891" w:author="AbbVie19" w:date="2025-04-16T12:22:00Z"/>
        </w:rPr>
      </w:pPr>
      <w:del w:id="11892" w:author="AbbVie19" w:date="2025-04-16T12:22:00Z">
        <w:r w:rsidRPr="00BC0E7E">
          <w:delText>abnormal muscle breakdown;</w:delText>
        </w:r>
      </w:del>
    </w:p>
    <w:p w14:paraId="1490BA74" w14:textId="77777777" w:rsidR="00BC0E7E" w:rsidRPr="00BC0E7E" w:rsidRDefault="00944B8F" w:rsidP="00BC0E7E">
      <w:pPr>
        <w:numPr>
          <w:ilvl w:val="0"/>
          <w:numId w:val="25"/>
        </w:numPr>
        <w:tabs>
          <w:tab w:val="clear" w:pos="562"/>
          <w:tab w:val="clear" w:pos="720"/>
          <w:tab w:val="num" w:pos="550"/>
        </w:tabs>
        <w:ind w:left="550" w:hanging="550"/>
        <w:rPr>
          <w:del w:id="11893" w:author="AbbVie19" w:date="2025-04-16T12:22:00Z"/>
        </w:rPr>
      </w:pPr>
      <w:del w:id="11894" w:author="AbbVie19" w:date="2025-04-16T12:22:00Z">
        <w:r w:rsidRPr="00BC0E7E">
          <w:delText>systemic lupus erythematosus (including inflammation of skin, heart, lung, joints and other organ systems);</w:delText>
        </w:r>
      </w:del>
    </w:p>
    <w:p w14:paraId="0F4DB40F" w14:textId="77777777" w:rsidR="00BC0E7E" w:rsidRPr="00BC0E7E" w:rsidRDefault="00944B8F" w:rsidP="00BC0E7E">
      <w:pPr>
        <w:numPr>
          <w:ilvl w:val="0"/>
          <w:numId w:val="25"/>
        </w:numPr>
        <w:tabs>
          <w:tab w:val="clear" w:pos="562"/>
          <w:tab w:val="clear" w:pos="720"/>
          <w:tab w:val="num" w:pos="550"/>
        </w:tabs>
        <w:ind w:left="550" w:hanging="550"/>
        <w:rPr>
          <w:del w:id="11895" w:author="AbbVie19" w:date="2025-04-16T12:22:00Z"/>
        </w:rPr>
      </w:pPr>
      <w:del w:id="11896" w:author="AbbVie19" w:date="2025-04-16T12:22:00Z">
        <w:r w:rsidRPr="00BC0E7E">
          <w:delText>sleep interruptions;</w:delText>
        </w:r>
      </w:del>
    </w:p>
    <w:p w14:paraId="3301549A" w14:textId="77777777" w:rsidR="00BC0E7E" w:rsidRPr="00BC0E7E" w:rsidRDefault="00944B8F" w:rsidP="00BC0E7E">
      <w:pPr>
        <w:numPr>
          <w:ilvl w:val="0"/>
          <w:numId w:val="25"/>
        </w:numPr>
        <w:tabs>
          <w:tab w:val="clear" w:pos="562"/>
          <w:tab w:val="clear" w:pos="720"/>
          <w:tab w:val="num" w:pos="550"/>
        </w:tabs>
        <w:ind w:left="550" w:hanging="550"/>
        <w:rPr>
          <w:del w:id="11897" w:author="AbbVie19" w:date="2025-04-16T12:22:00Z"/>
        </w:rPr>
      </w:pPr>
      <w:del w:id="11898" w:author="AbbVie19" w:date="2025-04-16T12:22:00Z">
        <w:r w:rsidRPr="00BC0E7E">
          <w:delText>impotence;</w:delText>
        </w:r>
      </w:del>
    </w:p>
    <w:p w14:paraId="551777C7" w14:textId="77777777" w:rsidR="00BC0E7E" w:rsidRPr="00BC0E7E" w:rsidRDefault="00944B8F" w:rsidP="00BC0E7E">
      <w:pPr>
        <w:numPr>
          <w:ilvl w:val="0"/>
          <w:numId w:val="25"/>
        </w:numPr>
        <w:tabs>
          <w:tab w:val="clear" w:pos="562"/>
          <w:tab w:val="clear" w:pos="720"/>
          <w:tab w:val="num" w:pos="550"/>
        </w:tabs>
        <w:ind w:left="550" w:hanging="550"/>
        <w:rPr>
          <w:del w:id="11899" w:author="AbbVie19" w:date="2025-04-16T12:22:00Z"/>
        </w:rPr>
      </w:pPr>
      <w:del w:id="11900" w:author="AbbVie19" w:date="2025-04-16T12:22:00Z">
        <w:r w:rsidRPr="00BC0E7E">
          <w:delText>inflammations.</w:delText>
        </w:r>
      </w:del>
    </w:p>
    <w:p w14:paraId="005AF359" w14:textId="77777777" w:rsidR="00BC0E7E" w:rsidRPr="00BC0E7E" w:rsidRDefault="00BC0E7E" w:rsidP="00BC0E7E">
      <w:pPr>
        <w:tabs>
          <w:tab w:val="clear" w:pos="562"/>
          <w:tab w:val="num" w:pos="550"/>
        </w:tabs>
        <w:ind w:left="550" w:hanging="550"/>
        <w:rPr>
          <w:del w:id="11901" w:author="AbbVie19" w:date="2025-04-16T12:22:00Z"/>
        </w:rPr>
      </w:pPr>
    </w:p>
    <w:p w14:paraId="3C365FF2" w14:textId="77777777" w:rsidR="00BC0E7E" w:rsidRPr="00BC0E7E" w:rsidRDefault="00944B8F" w:rsidP="00BC0E7E">
      <w:pPr>
        <w:tabs>
          <w:tab w:val="clear" w:pos="562"/>
          <w:tab w:val="num" w:pos="550"/>
        </w:tabs>
        <w:ind w:left="550" w:hanging="550"/>
        <w:rPr>
          <w:del w:id="11902" w:author="AbbVie19" w:date="2025-04-16T12:22:00Z"/>
        </w:rPr>
      </w:pPr>
      <w:del w:id="11903" w:author="AbbVie19" w:date="2025-04-16T12:22:00Z">
        <w:r w:rsidRPr="00BC0E7E">
          <w:delText>Rare (may affect up to 1 in 1,000 people)</w:delText>
        </w:r>
      </w:del>
    </w:p>
    <w:p w14:paraId="0D0B8CC1" w14:textId="77777777" w:rsidR="00BC0E7E" w:rsidRPr="00BC0E7E" w:rsidRDefault="00BC0E7E" w:rsidP="00BC0E7E">
      <w:pPr>
        <w:tabs>
          <w:tab w:val="clear" w:pos="562"/>
          <w:tab w:val="num" w:pos="550"/>
        </w:tabs>
        <w:ind w:left="550" w:hanging="550"/>
        <w:rPr>
          <w:del w:id="11904" w:author="AbbVie19" w:date="2025-04-16T12:22:00Z"/>
        </w:rPr>
      </w:pPr>
    </w:p>
    <w:p w14:paraId="0F236EB4" w14:textId="77777777" w:rsidR="00BC0E7E" w:rsidRPr="00BC0E7E" w:rsidRDefault="00944B8F" w:rsidP="00BC0E7E">
      <w:pPr>
        <w:numPr>
          <w:ilvl w:val="0"/>
          <w:numId w:val="21"/>
        </w:numPr>
        <w:tabs>
          <w:tab w:val="clear" w:pos="562"/>
          <w:tab w:val="clear" w:pos="720"/>
          <w:tab w:val="num" w:pos="550"/>
        </w:tabs>
        <w:ind w:left="550" w:hanging="550"/>
        <w:rPr>
          <w:del w:id="11905" w:author="AbbVie19" w:date="2025-04-16T12:22:00Z"/>
        </w:rPr>
      </w:pPr>
      <w:del w:id="11906" w:author="AbbVie19" w:date="2025-04-16T12:22:00Z">
        <w:r w:rsidRPr="00BC0E7E">
          <w:delText>leukaemia (cancer affecting the blood and bone marrow);</w:delText>
        </w:r>
      </w:del>
    </w:p>
    <w:p w14:paraId="5D5AB7C5" w14:textId="77777777" w:rsidR="00BC0E7E" w:rsidRPr="00BC0E7E" w:rsidRDefault="00944B8F" w:rsidP="00BC0E7E">
      <w:pPr>
        <w:numPr>
          <w:ilvl w:val="0"/>
          <w:numId w:val="21"/>
        </w:numPr>
        <w:tabs>
          <w:tab w:val="clear" w:pos="562"/>
          <w:tab w:val="clear" w:pos="720"/>
          <w:tab w:val="num" w:pos="550"/>
        </w:tabs>
        <w:ind w:left="550" w:hanging="550"/>
        <w:rPr>
          <w:del w:id="11907" w:author="AbbVie19" w:date="2025-04-16T12:22:00Z"/>
        </w:rPr>
      </w:pPr>
      <w:del w:id="11908" w:author="AbbVie19" w:date="2025-04-16T12:22:00Z">
        <w:r w:rsidRPr="00BC0E7E">
          <w:delText>Severe allergic reaction with shock;</w:delText>
        </w:r>
      </w:del>
    </w:p>
    <w:p w14:paraId="7C48EC3C" w14:textId="77777777" w:rsidR="00BC0E7E" w:rsidRPr="00BC0E7E" w:rsidRDefault="00944B8F" w:rsidP="00BC0E7E">
      <w:pPr>
        <w:numPr>
          <w:ilvl w:val="0"/>
          <w:numId w:val="21"/>
        </w:numPr>
        <w:tabs>
          <w:tab w:val="clear" w:pos="562"/>
          <w:tab w:val="clear" w:pos="720"/>
          <w:tab w:val="num" w:pos="550"/>
        </w:tabs>
        <w:ind w:left="550" w:hanging="550"/>
        <w:rPr>
          <w:del w:id="11909" w:author="AbbVie19" w:date="2025-04-16T12:22:00Z"/>
        </w:rPr>
      </w:pPr>
      <w:del w:id="11910" w:author="AbbVie19" w:date="2025-04-16T12:22:00Z">
        <w:r w:rsidRPr="00BC0E7E">
          <w:delText>multiple sclerosis;</w:delText>
        </w:r>
      </w:del>
    </w:p>
    <w:p w14:paraId="149BBAAD" w14:textId="77777777" w:rsidR="00BC0E7E" w:rsidRPr="00BC0E7E" w:rsidRDefault="00944B8F" w:rsidP="00BC0E7E">
      <w:pPr>
        <w:numPr>
          <w:ilvl w:val="0"/>
          <w:numId w:val="21"/>
        </w:numPr>
        <w:tabs>
          <w:tab w:val="clear" w:pos="562"/>
          <w:tab w:val="clear" w:pos="720"/>
          <w:tab w:val="num" w:pos="550"/>
        </w:tabs>
        <w:ind w:left="550" w:hanging="550"/>
        <w:rPr>
          <w:del w:id="11911" w:author="AbbVie19" w:date="2025-04-16T12:22:00Z"/>
        </w:rPr>
      </w:pPr>
      <w:del w:id="11912" w:author="AbbVie19" w:date="2025-04-16T12:22:00Z">
        <w:r w:rsidRPr="00BC0E7E">
          <w:delText>nerve disorders (such as eye nerve inflammation and Guillain-Barré syndrome that may cause muscle weakness, abnormal sensations, tingling in the arms and upper body);</w:delText>
        </w:r>
      </w:del>
    </w:p>
    <w:p w14:paraId="35554282" w14:textId="77777777" w:rsidR="00BC0E7E" w:rsidRPr="00BC0E7E" w:rsidRDefault="00944B8F" w:rsidP="00BC0E7E">
      <w:pPr>
        <w:numPr>
          <w:ilvl w:val="0"/>
          <w:numId w:val="21"/>
        </w:numPr>
        <w:tabs>
          <w:tab w:val="clear" w:pos="562"/>
          <w:tab w:val="clear" w:pos="720"/>
          <w:tab w:val="num" w:pos="550"/>
        </w:tabs>
        <w:ind w:left="550" w:hanging="550"/>
        <w:rPr>
          <w:del w:id="11913" w:author="AbbVie19" w:date="2025-04-16T12:22:00Z"/>
        </w:rPr>
      </w:pPr>
      <w:del w:id="11914" w:author="AbbVie19" w:date="2025-04-16T12:22:00Z">
        <w:r w:rsidRPr="00BC0E7E">
          <w:delText xml:space="preserve">heart stops pumping; </w:delText>
        </w:r>
      </w:del>
    </w:p>
    <w:p w14:paraId="22E54FE4" w14:textId="77777777" w:rsidR="00BC0E7E" w:rsidRPr="00BC0E7E" w:rsidRDefault="00944B8F" w:rsidP="00BC0E7E">
      <w:pPr>
        <w:numPr>
          <w:ilvl w:val="0"/>
          <w:numId w:val="21"/>
        </w:numPr>
        <w:tabs>
          <w:tab w:val="clear" w:pos="562"/>
          <w:tab w:val="clear" w:pos="720"/>
          <w:tab w:val="num" w:pos="550"/>
        </w:tabs>
        <w:ind w:left="550" w:hanging="550"/>
        <w:rPr>
          <w:del w:id="11915" w:author="AbbVie19" w:date="2025-04-16T12:22:00Z"/>
        </w:rPr>
      </w:pPr>
      <w:del w:id="11916" w:author="AbbVie19" w:date="2025-04-16T12:22:00Z">
        <w:r w:rsidRPr="00BC0E7E">
          <w:delText>pulmonary fibrosis (scarring of the lung);</w:delText>
        </w:r>
      </w:del>
    </w:p>
    <w:p w14:paraId="5236AF6D" w14:textId="77777777" w:rsidR="00BC0E7E" w:rsidRPr="00BC0E7E" w:rsidRDefault="00944B8F" w:rsidP="00BC0E7E">
      <w:pPr>
        <w:numPr>
          <w:ilvl w:val="0"/>
          <w:numId w:val="21"/>
        </w:numPr>
        <w:tabs>
          <w:tab w:val="clear" w:pos="562"/>
          <w:tab w:val="clear" w:pos="720"/>
          <w:tab w:val="num" w:pos="550"/>
        </w:tabs>
        <w:ind w:left="550" w:hanging="550"/>
        <w:rPr>
          <w:del w:id="11917" w:author="AbbVie19" w:date="2025-04-16T12:22:00Z"/>
        </w:rPr>
      </w:pPr>
      <w:del w:id="11918" w:author="AbbVie19" w:date="2025-04-16T12:22:00Z">
        <w:r w:rsidRPr="00BC0E7E">
          <w:delText>intestinal perforation;</w:delText>
        </w:r>
      </w:del>
    </w:p>
    <w:p w14:paraId="16F4BB06" w14:textId="77777777" w:rsidR="00BC0E7E" w:rsidRPr="00BC0E7E" w:rsidRDefault="00944B8F" w:rsidP="00BC0E7E">
      <w:pPr>
        <w:numPr>
          <w:ilvl w:val="0"/>
          <w:numId w:val="21"/>
        </w:numPr>
        <w:tabs>
          <w:tab w:val="clear" w:pos="562"/>
          <w:tab w:val="clear" w:pos="720"/>
          <w:tab w:val="num" w:pos="550"/>
        </w:tabs>
        <w:ind w:left="550" w:hanging="550"/>
        <w:rPr>
          <w:del w:id="11919" w:author="AbbVie19" w:date="2025-04-16T12:22:00Z"/>
        </w:rPr>
      </w:pPr>
      <w:del w:id="11920" w:author="AbbVie19" w:date="2025-04-16T12:22:00Z">
        <w:r w:rsidRPr="00BC0E7E">
          <w:delText>hepatitis;</w:delText>
        </w:r>
      </w:del>
    </w:p>
    <w:p w14:paraId="45B7812A" w14:textId="77777777" w:rsidR="00BC0E7E" w:rsidRPr="00BC0E7E" w:rsidRDefault="00944B8F" w:rsidP="00BC0E7E">
      <w:pPr>
        <w:numPr>
          <w:ilvl w:val="0"/>
          <w:numId w:val="21"/>
        </w:numPr>
        <w:tabs>
          <w:tab w:val="clear" w:pos="562"/>
          <w:tab w:val="clear" w:pos="720"/>
          <w:tab w:val="num" w:pos="550"/>
        </w:tabs>
        <w:ind w:left="550" w:hanging="550"/>
        <w:rPr>
          <w:del w:id="11921" w:author="AbbVie19" w:date="2025-04-16T12:22:00Z"/>
        </w:rPr>
      </w:pPr>
      <w:del w:id="11922" w:author="AbbVie19" w:date="2025-04-16T12:22:00Z">
        <w:r w:rsidRPr="00BC0E7E">
          <w:delText>reactivation of hepatitis B;</w:delText>
        </w:r>
      </w:del>
    </w:p>
    <w:p w14:paraId="2BE2F3A3" w14:textId="77777777" w:rsidR="00BC0E7E" w:rsidRPr="00BC0E7E" w:rsidRDefault="00944B8F" w:rsidP="00BC0E7E">
      <w:pPr>
        <w:numPr>
          <w:ilvl w:val="0"/>
          <w:numId w:val="21"/>
        </w:numPr>
        <w:tabs>
          <w:tab w:val="clear" w:pos="562"/>
          <w:tab w:val="clear" w:pos="720"/>
          <w:tab w:val="num" w:pos="550"/>
        </w:tabs>
        <w:ind w:left="550" w:hanging="550"/>
        <w:rPr>
          <w:del w:id="11923" w:author="AbbVie19" w:date="2025-04-16T12:22:00Z"/>
        </w:rPr>
      </w:pPr>
      <w:del w:id="11924" w:author="AbbVie19" w:date="2025-04-16T12:22:00Z">
        <w:r w:rsidRPr="00BC0E7E">
          <w:delText>autoimmune hepatitis (inflammation of the liver caused by the body's own immune system);</w:delText>
        </w:r>
      </w:del>
    </w:p>
    <w:p w14:paraId="3CA983B7" w14:textId="77777777" w:rsidR="00BC0E7E" w:rsidRPr="00BC0E7E" w:rsidRDefault="00944B8F" w:rsidP="00BC0E7E">
      <w:pPr>
        <w:numPr>
          <w:ilvl w:val="0"/>
          <w:numId w:val="21"/>
        </w:numPr>
        <w:tabs>
          <w:tab w:val="clear" w:pos="562"/>
          <w:tab w:val="clear" w:pos="720"/>
          <w:tab w:val="num" w:pos="550"/>
        </w:tabs>
        <w:ind w:left="550" w:hanging="550"/>
        <w:rPr>
          <w:del w:id="11925" w:author="AbbVie19" w:date="2025-04-16T12:22:00Z"/>
        </w:rPr>
      </w:pPr>
      <w:del w:id="11926" w:author="AbbVie19" w:date="2025-04-16T12:22:00Z">
        <w:r w:rsidRPr="00BC0E7E">
          <w:delText>cutaneous vasculitis (inflammation of blood vessels in the skin);</w:delText>
        </w:r>
      </w:del>
    </w:p>
    <w:p w14:paraId="4E2ED29B" w14:textId="77777777" w:rsidR="00BC0E7E" w:rsidRPr="00BC0E7E" w:rsidRDefault="00944B8F" w:rsidP="00BC0E7E">
      <w:pPr>
        <w:numPr>
          <w:ilvl w:val="0"/>
          <w:numId w:val="21"/>
        </w:numPr>
        <w:tabs>
          <w:tab w:val="clear" w:pos="562"/>
          <w:tab w:val="clear" w:pos="720"/>
          <w:tab w:val="num" w:pos="550"/>
        </w:tabs>
        <w:ind w:left="550" w:hanging="550"/>
        <w:rPr>
          <w:del w:id="11927" w:author="AbbVie19" w:date="2025-04-16T12:22:00Z"/>
        </w:rPr>
      </w:pPr>
      <w:del w:id="11928" w:author="AbbVie19" w:date="2025-04-16T12:22:00Z">
        <w:r w:rsidRPr="00BC0E7E">
          <w:delText>Stevens-Johnson syndrome (early symptoms include malaise, fever, headache and rash);</w:delText>
        </w:r>
      </w:del>
    </w:p>
    <w:p w14:paraId="755256F4" w14:textId="77777777" w:rsidR="00BC0E7E" w:rsidRPr="00BC0E7E" w:rsidRDefault="00944B8F" w:rsidP="00BC0E7E">
      <w:pPr>
        <w:numPr>
          <w:ilvl w:val="0"/>
          <w:numId w:val="21"/>
        </w:numPr>
        <w:tabs>
          <w:tab w:val="clear" w:pos="562"/>
          <w:tab w:val="clear" w:pos="720"/>
          <w:tab w:val="num" w:pos="550"/>
        </w:tabs>
        <w:ind w:left="550" w:hanging="550"/>
        <w:rPr>
          <w:del w:id="11929" w:author="AbbVie19" w:date="2025-04-16T12:22:00Z"/>
        </w:rPr>
      </w:pPr>
      <w:del w:id="11930" w:author="AbbVie19" w:date="2025-04-16T12:22:00Z">
        <w:r w:rsidRPr="00BC0E7E">
          <w:delText>facial oedema associated with allergic reactions;</w:delText>
        </w:r>
      </w:del>
    </w:p>
    <w:p w14:paraId="72DEB5E4" w14:textId="77777777" w:rsidR="00BC0E7E" w:rsidRPr="00BC0E7E" w:rsidRDefault="00944B8F" w:rsidP="00BC0E7E">
      <w:pPr>
        <w:numPr>
          <w:ilvl w:val="0"/>
          <w:numId w:val="21"/>
        </w:numPr>
        <w:tabs>
          <w:tab w:val="clear" w:pos="562"/>
          <w:tab w:val="clear" w:pos="720"/>
          <w:tab w:val="num" w:pos="550"/>
        </w:tabs>
        <w:ind w:left="550" w:hanging="550"/>
        <w:rPr>
          <w:del w:id="11931" w:author="AbbVie19" w:date="2025-04-16T12:22:00Z"/>
        </w:rPr>
      </w:pPr>
      <w:del w:id="11932" w:author="AbbVie19" w:date="2025-04-16T12:22:00Z">
        <w:r w:rsidRPr="00BC0E7E">
          <w:delText>erythema multiforme (inflammatory skin rash);</w:delText>
        </w:r>
      </w:del>
    </w:p>
    <w:p w14:paraId="64F4D15B" w14:textId="77777777" w:rsidR="00086351" w:rsidRDefault="00944B8F" w:rsidP="00086351">
      <w:pPr>
        <w:numPr>
          <w:ilvl w:val="0"/>
          <w:numId w:val="21"/>
        </w:numPr>
        <w:tabs>
          <w:tab w:val="clear" w:pos="562"/>
          <w:tab w:val="clear" w:pos="720"/>
          <w:tab w:val="num" w:pos="550"/>
        </w:tabs>
        <w:ind w:left="550" w:hanging="550"/>
        <w:rPr>
          <w:del w:id="11933" w:author="AbbVie19" w:date="2025-04-16T12:22:00Z"/>
        </w:rPr>
      </w:pPr>
      <w:del w:id="11934" w:author="AbbVie19" w:date="2025-04-16T12:22:00Z">
        <w:r w:rsidRPr="00BC0E7E">
          <w:delText>lupus-like syndrome</w:delText>
        </w:r>
        <w:r>
          <w:delText>;</w:delText>
        </w:r>
      </w:del>
    </w:p>
    <w:p w14:paraId="1F106EB2" w14:textId="77777777" w:rsidR="00BC0E7E" w:rsidRDefault="00944B8F" w:rsidP="00086351">
      <w:pPr>
        <w:numPr>
          <w:ilvl w:val="0"/>
          <w:numId w:val="21"/>
        </w:numPr>
        <w:tabs>
          <w:tab w:val="clear" w:pos="562"/>
          <w:tab w:val="clear" w:pos="720"/>
          <w:tab w:val="num" w:pos="550"/>
        </w:tabs>
        <w:ind w:left="550" w:hanging="550"/>
        <w:rPr>
          <w:del w:id="11935" w:author="AbbVie19" w:date="2025-04-16T12:22:00Z"/>
        </w:rPr>
      </w:pPr>
      <w:del w:id="11936" w:author="AbbVie19" w:date="2025-04-16T12:22:00Z">
        <w:r w:rsidRPr="00086351">
          <w:delText>angioedema (localized swelling of the skin)</w:delText>
        </w:r>
        <w:r w:rsidR="00023339">
          <w:delText>;</w:delText>
        </w:r>
      </w:del>
    </w:p>
    <w:p w14:paraId="547365F3" w14:textId="77777777" w:rsidR="00023339" w:rsidRPr="00086351" w:rsidRDefault="00944B8F" w:rsidP="00086351">
      <w:pPr>
        <w:numPr>
          <w:ilvl w:val="0"/>
          <w:numId w:val="21"/>
        </w:numPr>
        <w:tabs>
          <w:tab w:val="clear" w:pos="562"/>
          <w:tab w:val="clear" w:pos="720"/>
          <w:tab w:val="num" w:pos="550"/>
        </w:tabs>
        <w:ind w:left="550" w:hanging="550"/>
        <w:rPr>
          <w:del w:id="11937" w:author="AbbVie19" w:date="2025-04-16T12:22:00Z"/>
        </w:rPr>
      </w:pPr>
      <w:del w:id="11938" w:author="AbbVie19" w:date="2025-04-16T12:22:00Z">
        <w:r>
          <w:delText>lichenoid skin reaction (</w:delText>
        </w:r>
        <w:r w:rsidRPr="00747944">
          <w:delText>it</w:delText>
        </w:r>
        <w:r>
          <w:delText xml:space="preserve">chy reddish-purple skin </w:delText>
        </w:r>
        <w:r w:rsidRPr="00747944">
          <w:delText>rash</w:delText>
        </w:r>
        <w:r>
          <w:delText>).</w:delText>
        </w:r>
      </w:del>
    </w:p>
    <w:p w14:paraId="6A1AF976" w14:textId="77777777" w:rsidR="00BC0E7E" w:rsidRPr="00BC0E7E" w:rsidRDefault="00BC0E7E" w:rsidP="00BC0E7E">
      <w:pPr>
        <w:rPr>
          <w:del w:id="11939" w:author="AbbVie19" w:date="2025-04-16T12:22:00Z"/>
          <w:szCs w:val="20"/>
        </w:rPr>
      </w:pPr>
    </w:p>
    <w:p w14:paraId="27E10A12" w14:textId="77777777" w:rsidR="00BC0E7E" w:rsidRPr="00BC0E7E" w:rsidRDefault="00944B8F" w:rsidP="00BC0E7E">
      <w:pPr>
        <w:rPr>
          <w:del w:id="11940" w:author="AbbVie19" w:date="2025-04-16T12:22:00Z"/>
          <w:rFonts w:eastAsia="MS Mincho"/>
          <w:szCs w:val="20"/>
        </w:rPr>
      </w:pPr>
      <w:del w:id="11941" w:author="AbbVie19" w:date="2025-04-16T12:22:00Z">
        <w:r w:rsidRPr="00BC0E7E">
          <w:rPr>
            <w:rFonts w:eastAsia="MS Mincho"/>
            <w:szCs w:val="20"/>
          </w:rPr>
          <w:delText>Not known (frequency cannot be estimated from available data)</w:delText>
        </w:r>
      </w:del>
    </w:p>
    <w:p w14:paraId="7F4C2515" w14:textId="77777777" w:rsidR="00BC0E7E" w:rsidRPr="00BC0E7E" w:rsidRDefault="00BC0E7E" w:rsidP="00BC0E7E">
      <w:pPr>
        <w:rPr>
          <w:del w:id="11942" w:author="AbbVie19" w:date="2025-04-16T12:22:00Z"/>
          <w:rFonts w:eastAsia="MS Mincho"/>
          <w:szCs w:val="20"/>
        </w:rPr>
      </w:pPr>
    </w:p>
    <w:p w14:paraId="2737A0F3" w14:textId="77777777" w:rsidR="00BC0E7E" w:rsidRPr="00BC0E7E" w:rsidRDefault="00944B8F" w:rsidP="00D51999">
      <w:pPr>
        <w:numPr>
          <w:ilvl w:val="0"/>
          <w:numId w:val="43"/>
        </w:numPr>
        <w:rPr>
          <w:del w:id="11943" w:author="AbbVie19" w:date="2025-04-16T12:22:00Z"/>
          <w:rFonts w:eastAsia="MS Mincho"/>
          <w:szCs w:val="20"/>
        </w:rPr>
      </w:pPr>
      <w:del w:id="11944" w:author="AbbVie19" w:date="2025-04-16T12:22:00Z">
        <w:r w:rsidRPr="00BC0E7E">
          <w:rPr>
            <w:rFonts w:eastAsia="MS Mincho"/>
            <w:szCs w:val="20"/>
          </w:rPr>
          <w:delText>hepatosplenic T-cell lymphoma (a rare blood cancer that is often fatal);</w:delText>
        </w:r>
      </w:del>
    </w:p>
    <w:p w14:paraId="1C2649BE" w14:textId="77777777" w:rsidR="00BC0E7E" w:rsidRDefault="00944B8F" w:rsidP="00D51999">
      <w:pPr>
        <w:numPr>
          <w:ilvl w:val="0"/>
          <w:numId w:val="43"/>
        </w:numPr>
        <w:rPr>
          <w:del w:id="11945" w:author="AbbVie19" w:date="2025-04-16T12:22:00Z"/>
          <w:rFonts w:eastAsia="MS Mincho"/>
          <w:szCs w:val="20"/>
        </w:rPr>
      </w:pPr>
      <w:del w:id="11946" w:author="AbbVie19" w:date="2025-04-16T12:22:00Z">
        <w:r w:rsidRPr="00BC0E7E">
          <w:rPr>
            <w:rFonts w:eastAsia="MS Mincho"/>
            <w:szCs w:val="20"/>
          </w:rPr>
          <w:delText>Merkel cell carcinoma (a type of skin cancer);</w:delText>
        </w:r>
      </w:del>
    </w:p>
    <w:p w14:paraId="03E7D219" w14:textId="77777777" w:rsidR="00F9435E" w:rsidRPr="00F9435E" w:rsidRDefault="00944B8F" w:rsidP="00F9435E">
      <w:pPr>
        <w:numPr>
          <w:ilvl w:val="0"/>
          <w:numId w:val="43"/>
        </w:numPr>
        <w:rPr>
          <w:del w:id="11947" w:author="AbbVie19" w:date="2025-04-16T12:22:00Z"/>
          <w:rFonts w:eastAsia="MS Mincho"/>
          <w:szCs w:val="20"/>
        </w:rPr>
      </w:pPr>
      <w:del w:id="11948" w:author="AbbVie19" w:date="2025-04-16T12:22:00Z">
        <w:r>
          <w:rPr>
            <w:rFonts w:eastAsia="MS Mincho"/>
            <w:szCs w:val="20"/>
          </w:rPr>
          <w:delText>Kaposi’s sarcoma, a rare cancer related to infection with human herpes virus 8. Kaposi’s sarcoma most commonly appears as purple lesions on the skin;</w:delText>
        </w:r>
      </w:del>
    </w:p>
    <w:p w14:paraId="6F73B4EA" w14:textId="77777777" w:rsidR="00BC0E7E" w:rsidRPr="00BC0E7E" w:rsidRDefault="00944B8F" w:rsidP="00D51999">
      <w:pPr>
        <w:numPr>
          <w:ilvl w:val="0"/>
          <w:numId w:val="43"/>
        </w:numPr>
        <w:rPr>
          <w:del w:id="11949" w:author="AbbVie19" w:date="2025-04-16T12:22:00Z"/>
          <w:rFonts w:eastAsia="MS Mincho"/>
          <w:szCs w:val="20"/>
        </w:rPr>
      </w:pPr>
      <w:del w:id="11950" w:author="AbbVie19" w:date="2025-04-16T12:22:00Z">
        <w:r w:rsidRPr="00BC0E7E">
          <w:rPr>
            <w:rFonts w:eastAsia="MS Mincho"/>
            <w:szCs w:val="20"/>
          </w:rPr>
          <w:delText>liver failure;</w:delText>
        </w:r>
      </w:del>
    </w:p>
    <w:p w14:paraId="44F058D0" w14:textId="77777777" w:rsidR="0099199E" w:rsidRDefault="00944B8F" w:rsidP="00D51999">
      <w:pPr>
        <w:numPr>
          <w:ilvl w:val="0"/>
          <w:numId w:val="43"/>
        </w:numPr>
        <w:tabs>
          <w:tab w:val="clear" w:pos="562"/>
          <w:tab w:val="left" w:pos="360"/>
        </w:tabs>
        <w:rPr>
          <w:del w:id="11951" w:author="AbbVie19" w:date="2025-04-16T12:22:00Z"/>
          <w:rFonts w:eastAsia="MS Mincho"/>
          <w:szCs w:val="20"/>
        </w:rPr>
      </w:pPr>
      <w:del w:id="11952" w:author="AbbVie19" w:date="2025-04-16T12:22:00Z">
        <w:r w:rsidRPr="00BC0E7E">
          <w:rPr>
            <w:rFonts w:eastAsia="MS Mincho"/>
            <w:szCs w:val="20"/>
          </w:rPr>
          <w:delText>worsening of a condition called dermatomyositis (seen as a skin rash accompanying muscle weakness)</w:delText>
        </w:r>
        <w:r>
          <w:rPr>
            <w:rFonts w:eastAsia="MS Mincho"/>
            <w:szCs w:val="20"/>
          </w:rPr>
          <w:delText>;</w:delText>
        </w:r>
      </w:del>
    </w:p>
    <w:p w14:paraId="538BFB4D" w14:textId="77777777" w:rsidR="00BC0E7E" w:rsidRPr="00BC0E7E" w:rsidRDefault="00944B8F" w:rsidP="00D51999">
      <w:pPr>
        <w:numPr>
          <w:ilvl w:val="0"/>
          <w:numId w:val="43"/>
        </w:numPr>
        <w:tabs>
          <w:tab w:val="clear" w:pos="562"/>
          <w:tab w:val="left" w:pos="360"/>
        </w:tabs>
        <w:rPr>
          <w:del w:id="11953" w:author="AbbVie19" w:date="2025-04-16T12:22:00Z"/>
          <w:rFonts w:eastAsia="MS Mincho"/>
          <w:szCs w:val="20"/>
        </w:rPr>
      </w:pPr>
      <w:del w:id="11954" w:author="AbbVie19" w:date="2025-04-16T12:22:00Z">
        <w:r w:rsidRPr="00693052">
          <w:rPr>
            <w:szCs w:val="22"/>
            <w:lang w:val="en-US"/>
          </w:rPr>
          <w:delText>weight gain (for most patients, the weight gain was small)</w:delText>
        </w:r>
        <w:r w:rsidRPr="00BC0E7E">
          <w:rPr>
            <w:rFonts w:eastAsia="MS Mincho"/>
            <w:szCs w:val="20"/>
          </w:rPr>
          <w:delText>.</w:delText>
        </w:r>
      </w:del>
    </w:p>
    <w:p w14:paraId="3C34ADB6" w14:textId="77777777" w:rsidR="00BC0E7E" w:rsidRPr="00BC0E7E" w:rsidRDefault="00BC0E7E" w:rsidP="00BC0E7E">
      <w:pPr>
        <w:autoSpaceDE w:val="0"/>
        <w:autoSpaceDN w:val="0"/>
        <w:adjustRightInd w:val="0"/>
        <w:spacing w:line="240" w:lineRule="atLeast"/>
        <w:rPr>
          <w:del w:id="11955" w:author="AbbVie19" w:date="2025-04-16T12:22:00Z"/>
          <w:lang w:eastAsia="de-DE"/>
        </w:rPr>
      </w:pPr>
    </w:p>
    <w:p w14:paraId="4BF8F8CE" w14:textId="77777777" w:rsidR="00BC0E7E" w:rsidRPr="00BC0E7E" w:rsidRDefault="00944B8F" w:rsidP="00BC0E7E">
      <w:pPr>
        <w:autoSpaceDE w:val="0"/>
        <w:autoSpaceDN w:val="0"/>
        <w:adjustRightInd w:val="0"/>
        <w:spacing w:line="240" w:lineRule="atLeast"/>
        <w:rPr>
          <w:del w:id="11956" w:author="AbbVie19" w:date="2025-04-16T12:22:00Z"/>
          <w:lang w:eastAsia="de-DE"/>
        </w:rPr>
      </w:pPr>
      <w:del w:id="11957" w:author="AbbVie19" w:date="2025-04-16T12:22:00Z">
        <w:r w:rsidRPr="00BC0E7E">
          <w:rPr>
            <w:lang w:eastAsia="de-DE"/>
          </w:rPr>
          <w:delText>Some side effects observed with Humira may not have symptoms and may only be discovered through blood tests. These include:</w:delText>
        </w:r>
      </w:del>
    </w:p>
    <w:p w14:paraId="296DE0F0" w14:textId="77777777" w:rsidR="00BC0E7E" w:rsidRPr="00BC0E7E" w:rsidRDefault="00BC0E7E" w:rsidP="00BC0E7E">
      <w:pPr>
        <w:autoSpaceDE w:val="0"/>
        <w:autoSpaceDN w:val="0"/>
        <w:adjustRightInd w:val="0"/>
        <w:spacing w:line="240" w:lineRule="atLeast"/>
        <w:rPr>
          <w:del w:id="11958" w:author="AbbVie19" w:date="2025-04-16T12:22:00Z"/>
          <w:lang w:eastAsia="de-DE"/>
        </w:rPr>
      </w:pPr>
    </w:p>
    <w:p w14:paraId="775B1274" w14:textId="77777777" w:rsidR="00BC0E7E" w:rsidRPr="00BC0E7E" w:rsidRDefault="00944B8F" w:rsidP="00BC0E7E">
      <w:pPr>
        <w:rPr>
          <w:del w:id="11959" w:author="AbbVie19" w:date="2025-04-16T12:22:00Z"/>
        </w:rPr>
      </w:pPr>
      <w:del w:id="11960" w:author="AbbVie19" w:date="2025-04-16T12:22:00Z">
        <w:r w:rsidRPr="00BC0E7E">
          <w:delText xml:space="preserve">Very common (may affect more than 1 in 10 people) </w:delText>
        </w:r>
      </w:del>
    </w:p>
    <w:p w14:paraId="7BDFDFFA" w14:textId="77777777" w:rsidR="00BC0E7E" w:rsidRPr="00BC0E7E" w:rsidRDefault="00BC0E7E" w:rsidP="00BC0E7E">
      <w:pPr>
        <w:rPr>
          <w:del w:id="11961" w:author="AbbVie19" w:date="2025-04-16T12:22:00Z"/>
        </w:rPr>
      </w:pPr>
    </w:p>
    <w:p w14:paraId="56A07321" w14:textId="77777777" w:rsidR="00BC0E7E" w:rsidRPr="00BC0E7E" w:rsidRDefault="00944B8F" w:rsidP="00BC0E7E">
      <w:pPr>
        <w:numPr>
          <w:ilvl w:val="0"/>
          <w:numId w:val="22"/>
        </w:numPr>
        <w:tabs>
          <w:tab w:val="clear" w:pos="562"/>
          <w:tab w:val="clear" w:pos="720"/>
          <w:tab w:val="num" w:pos="550"/>
        </w:tabs>
        <w:ind w:left="550" w:hanging="550"/>
        <w:rPr>
          <w:del w:id="11962" w:author="AbbVie19" w:date="2025-04-16T12:22:00Z"/>
        </w:rPr>
      </w:pPr>
      <w:del w:id="11963" w:author="AbbVie19" w:date="2025-04-16T12:22:00Z">
        <w:r w:rsidRPr="00BC0E7E">
          <w:delText>low blood measurements for white blood cells;</w:delText>
        </w:r>
      </w:del>
    </w:p>
    <w:p w14:paraId="646D95D3" w14:textId="77777777" w:rsidR="00BC0E7E" w:rsidRPr="00BC0E7E" w:rsidRDefault="00944B8F" w:rsidP="00BC0E7E">
      <w:pPr>
        <w:numPr>
          <w:ilvl w:val="0"/>
          <w:numId w:val="22"/>
        </w:numPr>
        <w:tabs>
          <w:tab w:val="clear" w:pos="562"/>
          <w:tab w:val="clear" w:pos="720"/>
          <w:tab w:val="num" w:pos="550"/>
        </w:tabs>
        <w:ind w:left="550" w:hanging="550"/>
        <w:rPr>
          <w:del w:id="11964" w:author="AbbVie19" w:date="2025-04-16T12:22:00Z"/>
        </w:rPr>
      </w:pPr>
      <w:del w:id="11965" w:author="AbbVie19" w:date="2025-04-16T12:22:00Z">
        <w:r w:rsidRPr="00BC0E7E">
          <w:delText>low blood measurements for red blood cells;</w:delText>
        </w:r>
      </w:del>
    </w:p>
    <w:p w14:paraId="5B199B83" w14:textId="77777777" w:rsidR="00BC0E7E" w:rsidRPr="00BC0E7E" w:rsidRDefault="00944B8F" w:rsidP="00BC0E7E">
      <w:pPr>
        <w:numPr>
          <w:ilvl w:val="0"/>
          <w:numId w:val="22"/>
        </w:numPr>
        <w:tabs>
          <w:tab w:val="clear" w:pos="562"/>
          <w:tab w:val="clear" w:pos="720"/>
          <w:tab w:val="num" w:pos="550"/>
        </w:tabs>
        <w:ind w:left="550" w:hanging="550"/>
        <w:rPr>
          <w:del w:id="11966" w:author="AbbVie19" w:date="2025-04-16T12:22:00Z"/>
        </w:rPr>
      </w:pPr>
      <w:del w:id="11967" w:author="AbbVie19" w:date="2025-04-16T12:22:00Z">
        <w:r w:rsidRPr="00BC0E7E">
          <w:lastRenderedPageBreak/>
          <w:delText>increased lipids in the blood;</w:delText>
        </w:r>
      </w:del>
    </w:p>
    <w:p w14:paraId="006FE4F5" w14:textId="77777777" w:rsidR="00BC0E7E" w:rsidRPr="00BC0E7E" w:rsidRDefault="00944B8F" w:rsidP="00BC0E7E">
      <w:pPr>
        <w:numPr>
          <w:ilvl w:val="0"/>
          <w:numId w:val="22"/>
        </w:numPr>
        <w:tabs>
          <w:tab w:val="clear" w:pos="562"/>
          <w:tab w:val="clear" w:pos="720"/>
          <w:tab w:val="num" w:pos="550"/>
        </w:tabs>
        <w:ind w:left="550" w:hanging="550"/>
        <w:rPr>
          <w:del w:id="11968" w:author="AbbVie19" w:date="2025-04-16T12:22:00Z"/>
        </w:rPr>
      </w:pPr>
      <w:del w:id="11969" w:author="AbbVie19" w:date="2025-04-16T12:22:00Z">
        <w:r w:rsidRPr="00BC0E7E">
          <w:delText>elevated liver enzymes.</w:delText>
        </w:r>
      </w:del>
    </w:p>
    <w:p w14:paraId="5FAF41DA" w14:textId="77777777" w:rsidR="00BC0E7E" w:rsidRPr="00BC0E7E" w:rsidRDefault="00BC0E7E" w:rsidP="00BC0E7E">
      <w:pPr>
        <w:tabs>
          <w:tab w:val="clear" w:pos="562"/>
        </w:tabs>
        <w:rPr>
          <w:del w:id="11970" w:author="AbbVie19" w:date="2025-04-16T12:22:00Z"/>
        </w:rPr>
      </w:pPr>
    </w:p>
    <w:p w14:paraId="617E2089" w14:textId="77777777" w:rsidR="00BC0E7E" w:rsidRPr="00BC0E7E" w:rsidRDefault="00944B8F" w:rsidP="00BC0E7E">
      <w:pPr>
        <w:keepNext/>
        <w:tabs>
          <w:tab w:val="clear" w:pos="562"/>
        </w:tabs>
        <w:rPr>
          <w:del w:id="11971" w:author="AbbVie19" w:date="2025-04-16T12:22:00Z"/>
        </w:rPr>
      </w:pPr>
      <w:del w:id="11972" w:author="AbbVie19" w:date="2025-04-16T12:22:00Z">
        <w:r w:rsidRPr="00BC0E7E">
          <w:delText>Common (may affect up to 1 in 10 people)</w:delText>
        </w:r>
      </w:del>
    </w:p>
    <w:p w14:paraId="3EB312FE" w14:textId="77777777" w:rsidR="00BC0E7E" w:rsidRPr="00BC0E7E" w:rsidRDefault="00BC0E7E" w:rsidP="00BC0E7E">
      <w:pPr>
        <w:keepNext/>
        <w:tabs>
          <w:tab w:val="clear" w:pos="562"/>
        </w:tabs>
        <w:rPr>
          <w:del w:id="11973" w:author="AbbVie19" w:date="2025-04-16T12:22:00Z"/>
        </w:rPr>
      </w:pPr>
    </w:p>
    <w:p w14:paraId="76EC7156" w14:textId="77777777" w:rsidR="00BC0E7E" w:rsidRPr="00BC0E7E" w:rsidRDefault="00944B8F" w:rsidP="00BC0E7E">
      <w:pPr>
        <w:keepNext/>
        <w:numPr>
          <w:ilvl w:val="0"/>
          <w:numId w:val="22"/>
        </w:numPr>
        <w:tabs>
          <w:tab w:val="clear" w:pos="562"/>
          <w:tab w:val="clear" w:pos="720"/>
          <w:tab w:val="num" w:pos="550"/>
        </w:tabs>
        <w:ind w:left="550" w:hanging="550"/>
        <w:rPr>
          <w:del w:id="11974" w:author="AbbVie19" w:date="2025-04-16T12:22:00Z"/>
        </w:rPr>
      </w:pPr>
      <w:del w:id="11975" w:author="AbbVie19" w:date="2025-04-16T12:22:00Z">
        <w:r w:rsidRPr="00BC0E7E">
          <w:delText xml:space="preserve">high blood measurements for white blood cells;  </w:delText>
        </w:r>
      </w:del>
    </w:p>
    <w:p w14:paraId="67C4F2FD" w14:textId="77777777" w:rsidR="00BC0E7E" w:rsidRPr="00BC0E7E" w:rsidRDefault="00944B8F" w:rsidP="00BC0E7E">
      <w:pPr>
        <w:keepNext/>
        <w:numPr>
          <w:ilvl w:val="0"/>
          <w:numId w:val="22"/>
        </w:numPr>
        <w:tabs>
          <w:tab w:val="clear" w:pos="562"/>
          <w:tab w:val="clear" w:pos="720"/>
          <w:tab w:val="num" w:pos="550"/>
        </w:tabs>
        <w:ind w:left="550" w:hanging="550"/>
        <w:rPr>
          <w:del w:id="11976" w:author="AbbVie19" w:date="2025-04-16T12:22:00Z"/>
        </w:rPr>
      </w:pPr>
      <w:del w:id="11977" w:author="AbbVie19" w:date="2025-04-16T12:22:00Z">
        <w:r w:rsidRPr="00BC0E7E">
          <w:delText>low blood measurements for platelets;</w:delText>
        </w:r>
      </w:del>
    </w:p>
    <w:p w14:paraId="09AAD2C4" w14:textId="77777777" w:rsidR="00BC0E7E" w:rsidRPr="00BC0E7E" w:rsidRDefault="00944B8F" w:rsidP="00BC0E7E">
      <w:pPr>
        <w:keepNext/>
        <w:numPr>
          <w:ilvl w:val="0"/>
          <w:numId w:val="22"/>
        </w:numPr>
        <w:tabs>
          <w:tab w:val="clear" w:pos="562"/>
          <w:tab w:val="clear" w:pos="720"/>
          <w:tab w:val="num" w:pos="550"/>
        </w:tabs>
        <w:ind w:left="550" w:hanging="550"/>
        <w:rPr>
          <w:del w:id="11978" w:author="AbbVie19" w:date="2025-04-16T12:22:00Z"/>
        </w:rPr>
      </w:pPr>
      <w:del w:id="11979" w:author="AbbVie19" w:date="2025-04-16T12:22:00Z">
        <w:r w:rsidRPr="00BC0E7E">
          <w:delText>increased uric acid in the blood;</w:delText>
        </w:r>
      </w:del>
    </w:p>
    <w:p w14:paraId="79647088" w14:textId="77777777" w:rsidR="00BC0E7E" w:rsidRPr="00BC0E7E" w:rsidRDefault="00944B8F" w:rsidP="00BC0E7E">
      <w:pPr>
        <w:keepNext/>
        <w:numPr>
          <w:ilvl w:val="0"/>
          <w:numId w:val="22"/>
        </w:numPr>
        <w:tabs>
          <w:tab w:val="clear" w:pos="562"/>
          <w:tab w:val="clear" w:pos="720"/>
          <w:tab w:val="num" w:pos="550"/>
        </w:tabs>
        <w:ind w:left="550" w:hanging="550"/>
        <w:rPr>
          <w:del w:id="11980" w:author="AbbVie19" w:date="2025-04-16T12:22:00Z"/>
        </w:rPr>
      </w:pPr>
      <w:del w:id="11981" w:author="AbbVie19" w:date="2025-04-16T12:22:00Z">
        <w:r w:rsidRPr="00BC0E7E">
          <w:delText>abnormal blood measurements for sodium;</w:delText>
        </w:r>
      </w:del>
    </w:p>
    <w:p w14:paraId="1D3E0E9D" w14:textId="77777777" w:rsidR="00BC0E7E" w:rsidRPr="00BC0E7E" w:rsidRDefault="00944B8F" w:rsidP="00BC0E7E">
      <w:pPr>
        <w:keepNext/>
        <w:numPr>
          <w:ilvl w:val="0"/>
          <w:numId w:val="22"/>
        </w:numPr>
        <w:tabs>
          <w:tab w:val="clear" w:pos="562"/>
          <w:tab w:val="clear" w:pos="720"/>
          <w:tab w:val="num" w:pos="550"/>
        </w:tabs>
        <w:ind w:left="550" w:hanging="550"/>
        <w:rPr>
          <w:del w:id="11982" w:author="AbbVie19" w:date="2025-04-16T12:22:00Z"/>
        </w:rPr>
      </w:pPr>
      <w:del w:id="11983" w:author="AbbVie19" w:date="2025-04-16T12:22:00Z">
        <w:r w:rsidRPr="00BC0E7E">
          <w:delText>low blood measurements for calcium;</w:delText>
        </w:r>
      </w:del>
    </w:p>
    <w:p w14:paraId="70C36497" w14:textId="77777777" w:rsidR="00BC0E7E" w:rsidRPr="00BC0E7E" w:rsidRDefault="00944B8F" w:rsidP="00BC0E7E">
      <w:pPr>
        <w:keepNext/>
        <w:numPr>
          <w:ilvl w:val="0"/>
          <w:numId w:val="22"/>
        </w:numPr>
        <w:tabs>
          <w:tab w:val="clear" w:pos="562"/>
          <w:tab w:val="clear" w:pos="720"/>
          <w:tab w:val="num" w:pos="550"/>
        </w:tabs>
        <w:ind w:left="550" w:hanging="550"/>
        <w:rPr>
          <w:del w:id="11984" w:author="AbbVie19" w:date="2025-04-16T12:22:00Z"/>
        </w:rPr>
      </w:pPr>
      <w:del w:id="11985" w:author="AbbVie19" w:date="2025-04-16T12:22:00Z">
        <w:r w:rsidRPr="00BC0E7E">
          <w:delText>low blood measurements for phosphate;</w:delText>
        </w:r>
      </w:del>
    </w:p>
    <w:p w14:paraId="12F6E09B" w14:textId="77777777" w:rsidR="00BC0E7E" w:rsidRPr="00BC0E7E" w:rsidRDefault="00944B8F" w:rsidP="00BC0E7E">
      <w:pPr>
        <w:keepNext/>
        <w:numPr>
          <w:ilvl w:val="0"/>
          <w:numId w:val="22"/>
        </w:numPr>
        <w:tabs>
          <w:tab w:val="clear" w:pos="562"/>
          <w:tab w:val="clear" w:pos="720"/>
          <w:tab w:val="num" w:pos="550"/>
        </w:tabs>
        <w:ind w:left="550" w:hanging="550"/>
        <w:rPr>
          <w:del w:id="11986" w:author="AbbVie19" w:date="2025-04-16T12:22:00Z"/>
        </w:rPr>
      </w:pPr>
      <w:del w:id="11987" w:author="AbbVie19" w:date="2025-04-16T12:22:00Z">
        <w:r w:rsidRPr="00BC0E7E">
          <w:delText>high blood sugar;</w:delText>
        </w:r>
      </w:del>
    </w:p>
    <w:p w14:paraId="24135594" w14:textId="77777777" w:rsidR="00BC0E7E" w:rsidRPr="00BC0E7E" w:rsidRDefault="00944B8F" w:rsidP="00BC0E7E">
      <w:pPr>
        <w:keepNext/>
        <w:numPr>
          <w:ilvl w:val="0"/>
          <w:numId w:val="22"/>
        </w:numPr>
        <w:tabs>
          <w:tab w:val="clear" w:pos="562"/>
          <w:tab w:val="clear" w:pos="720"/>
          <w:tab w:val="num" w:pos="550"/>
        </w:tabs>
        <w:ind w:left="550" w:hanging="550"/>
        <w:rPr>
          <w:del w:id="11988" w:author="AbbVie19" w:date="2025-04-16T12:22:00Z"/>
        </w:rPr>
      </w:pPr>
      <w:del w:id="11989" w:author="AbbVie19" w:date="2025-04-16T12:22:00Z">
        <w:r w:rsidRPr="00BC0E7E">
          <w:delText>high blood measurements for lactate dehydrogenase;</w:delText>
        </w:r>
      </w:del>
    </w:p>
    <w:p w14:paraId="14C6DC3F" w14:textId="77777777" w:rsidR="00F70A8D" w:rsidRDefault="00944B8F" w:rsidP="009748D4">
      <w:pPr>
        <w:keepNext/>
        <w:numPr>
          <w:ilvl w:val="0"/>
          <w:numId w:val="22"/>
        </w:numPr>
        <w:tabs>
          <w:tab w:val="clear" w:pos="562"/>
          <w:tab w:val="clear" w:pos="720"/>
          <w:tab w:val="num" w:pos="550"/>
        </w:tabs>
        <w:ind w:left="550" w:hanging="550"/>
        <w:rPr>
          <w:del w:id="11990" w:author="AbbVie19" w:date="2025-04-16T12:22:00Z"/>
        </w:rPr>
      </w:pPr>
      <w:del w:id="11991" w:author="AbbVie19" w:date="2025-04-16T12:22:00Z">
        <w:r w:rsidRPr="00BC0E7E">
          <w:delText>autoantibodies present in the blood</w:delText>
        </w:r>
        <w:r>
          <w:delText>;</w:delText>
        </w:r>
      </w:del>
    </w:p>
    <w:p w14:paraId="2BFC0952" w14:textId="77777777" w:rsidR="00BC0E7E" w:rsidRPr="00F70A8D" w:rsidRDefault="00944B8F" w:rsidP="009748D4">
      <w:pPr>
        <w:keepNext/>
        <w:numPr>
          <w:ilvl w:val="0"/>
          <w:numId w:val="22"/>
        </w:numPr>
        <w:tabs>
          <w:tab w:val="clear" w:pos="562"/>
          <w:tab w:val="clear" w:pos="720"/>
          <w:tab w:val="num" w:pos="550"/>
        </w:tabs>
        <w:ind w:left="550" w:hanging="550"/>
        <w:rPr>
          <w:del w:id="11992" w:author="AbbVie19" w:date="2025-04-16T12:22:00Z"/>
        </w:rPr>
      </w:pPr>
      <w:del w:id="11993" w:author="AbbVie19" w:date="2025-04-16T12:22:00Z">
        <w:r>
          <w:delText>low blood potassium</w:delText>
        </w:r>
        <w:r w:rsidRPr="00BC0E7E">
          <w:delText>.</w:delText>
        </w:r>
      </w:del>
    </w:p>
    <w:p w14:paraId="7EFE5D9C" w14:textId="77777777" w:rsidR="00BC0E7E" w:rsidRDefault="00BC0E7E" w:rsidP="00BC0E7E">
      <w:pPr>
        <w:rPr>
          <w:del w:id="11994" w:author="AbbVie19" w:date="2025-04-16T12:22:00Z"/>
        </w:rPr>
      </w:pPr>
    </w:p>
    <w:p w14:paraId="7F5A2D2B" w14:textId="77777777" w:rsidR="00F70A8D" w:rsidRDefault="00944B8F" w:rsidP="00F70A8D">
      <w:pPr>
        <w:rPr>
          <w:del w:id="11995" w:author="AbbVie19" w:date="2025-04-16T12:22:00Z"/>
        </w:rPr>
      </w:pPr>
      <w:del w:id="11996" w:author="AbbVie19" w:date="2025-04-16T12:22:00Z">
        <w:r w:rsidRPr="001B6DEE">
          <w:delText>Uncommon</w:delText>
        </w:r>
        <w:r>
          <w:delText xml:space="preserve"> (may affect up to 1 in 100 people) </w:delText>
        </w:r>
      </w:del>
    </w:p>
    <w:p w14:paraId="4183C26F" w14:textId="77777777" w:rsidR="00F70A8D" w:rsidRDefault="00944B8F" w:rsidP="00F70A8D">
      <w:pPr>
        <w:rPr>
          <w:del w:id="11997" w:author="AbbVie19" w:date="2025-04-16T12:22:00Z"/>
        </w:rPr>
      </w:pPr>
      <w:del w:id="11998" w:author="AbbVie19" w:date="2025-04-16T12:22:00Z">
        <w:r>
          <w:delText xml:space="preserve"> </w:delText>
        </w:r>
      </w:del>
    </w:p>
    <w:p w14:paraId="76C6E0E1" w14:textId="77777777" w:rsidR="00F70A8D" w:rsidRPr="00D410D7" w:rsidRDefault="00944B8F" w:rsidP="00C72AFA">
      <w:pPr>
        <w:pStyle w:val="ListParagraph"/>
        <w:numPr>
          <w:ilvl w:val="0"/>
          <w:numId w:val="22"/>
        </w:numPr>
        <w:tabs>
          <w:tab w:val="clear" w:pos="562"/>
          <w:tab w:val="left" w:pos="540"/>
        </w:tabs>
        <w:ind w:hanging="720"/>
        <w:rPr>
          <w:del w:id="11999" w:author="AbbVie19" w:date="2025-04-16T12:22:00Z"/>
        </w:rPr>
      </w:pPr>
      <w:del w:id="12000" w:author="AbbVie19" w:date="2025-04-16T12:22:00Z">
        <w:r>
          <w:delText>e</w:delText>
        </w:r>
        <w:r w:rsidRPr="00D410D7">
          <w:delText>levated bilirubin measurement (liver blood test)</w:delText>
        </w:r>
        <w:r w:rsidR="00B60274">
          <w:delText>.</w:delText>
        </w:r>
      </w:del>
    </w:p>
    <w:p w14:paraId="46AE1FA8" w14:textId="77777777" w:rsidR="00F70A8D" w:rsidRPr="00BC0E7E" w:rsidRDefault="00F70A8D" w:rsidP="00BC0E7E">
      <w:pPr>
        <w:rPr>
          <w:del w:id="12001" w:author="AbbVie19" w:date="2025-04-16T12:22:00Z"/>
        </w:rPr>
      </w:pPr>
    </w:p>
    <w:p w14:paraId="21015D0E" w14:textId="77777777" w:rsidR="00BC0E7E" w:rsidRPr="00BC0E7E" w:rsidRDefault="00944B8F" w:rsidP="00BC0E7E">
      <w:pPr>
        <w:tabs>
          <w:tab w:val="clear" w:pos="562"/>
          <w:tab w:val="num" w:pos="550"/>
        </w:tabs>
        <w:ind w:left="550" w:hanging="550"/>
        <w:rPr>
          <w:del w:id="12002" w:author="AbbVie19" w:date="2025-04-16T12:22:00Z"/>
        </w:rPr>
      </w:pPr>
      <w:del w:id="12003" w:author="AbbVie19" w:date="2025-04-16T12:22:00Z">
        <w:r w:rsidRPr="00BC0E7E">
          <w:delText>Rare (may affect up to 1 in 1,000 people)</w:delText>
        </w:r>
      </w:del>
    </w:p>
    <w:p w14:paraId="4C5BA093" w14:textId="77777777" w:rsidR="00BC0E7E" w:rsidRPr="00BC0E7E" w:rsidRDefault="00BC0E7E" w:rsidP="00BC0E7E">
      <w:pPr>
        <w:tabs>
          <w:tab w:val="clear" w:pos="562"/>
        </w:tabs>
        <w:rPr>
          <w:del w:id="12004" w:author="AbbVie19" w:date="2025-04-16T12:22:00Z"/>
        </w:rPr>
      </w:pPr>
    </w:p>
    <w:p w14:paraId="722C13F8" w14:textId="77777777" w:rsidR="00BC0E7E" w:rsidRPr="00BC0E7E" w:rsidRDefault="00944B8F" w:rsidP="00BC0E7E">
      <w:pPr>
        <w:numPr>
          <w:ilvl w:val="0"/>
          <w:numId w:val="22"/>
        </w:numPr>
        <w:tabs>
          <w:tab w:val="clear" w:pos="562"/>
          <w:tab w:val="clear" w:pos="720"/>
          <w:tab w:val="num" w:pos="550"/>
        </w:tabs>
        <w:ind w:left="550" w:hanging="550"/>
        <w:rPr>
          <w:del w:id="12005" w:author="AbbVie19" w:date="2025-04-16T12:22:00Z"/>
        </w:rPr>
      </w:pPr>
      <w:del w:id="12006" w:author="AbbVie19" w:date="2025-04-16T12:22:00Z">
        <w:r w:rsidRPr="00BC0E7E">
          <w:delText>low blood measurements for white blood cells, red blood cells and platelet count.</w:delText>
        </w:r>
      </w:del>
    </w:p>
    <w:p w14:paraId="200718DE" w14:textId="77777777" w:rsidR="00BC0E7E" w:rsidRPr="00BC0E7E" w:rsidRDefault="00BC0E7E" w:rsidP="00BC0E7E">
      <w:pPr>
        <w:rPr>
          <w:del w:id="12007" w:author="AbbVie19" w:date="2025-04-16T12:22:00Z"/>
        </w:rPr>
      </w:pPr>
    </w:p>
    <w:p w14:paraId="4B51B538" w14:textId="77777777" w:rsidR="00BC0E7E" w:rsidRPr="001B6DEE" w:rsidRDefault="00944B8F" w:rsidP="00BC0E7E">
      <w:pPr>
        <w:numPr>
          <w:ilvl w:val="12"/>
          <w:numId w:val="0"/>
        </w:numPr>
        <w:tabs>
          <w:tab w:val="clear" w:pos="562"/>
        </w:tabs>
        <w:ind w:right="-2"/>
        <w:rPr>
          <w:del w:id="12008" w:author="AbbVie19" w:date="2025-04-16T12:22:00Z"/>
          <w:b/>
        </w:rPr>
      </w:pPr>
      <w:del w:id="12009" w:author="AbbVie19" w:date="2025-04-16T12:22:00Z">
        <w:r w:rsidRPr="001B6DEE">
          <w:rPr>
            <w:b/>
          </w:rPr>
          <w:delText>Reporting of side effects</w:delText>
        </w:r>
      </w:del>
    </w:p>
    <w:p w14:paraId="18A20481" w14:textId="77777777" w:rsidR="00BC0E7E" w:rsidRPr="00BC0E7E" w:rsidRDefault="00944B8F" w:rsidP="00BC0E7E">
      <w:pPr>
        <w:rPr>
          <w:del w:id="12010" w:author="AbbVie19" w:date="2025-04-16T12:22:00Z"/>
        </w:rPr>
      </w:pPr>
      <w:del w:id="12011" w:author="AbbVie19" w:date="2025-04-16T12:22:00Z">
        <w:r w:rsidRPr="00BC0E7E">
          <w:delText xml:space="preserve">If you get any side effects, talk to your doctor or pharmacist. This includes any possible side effects not listed in this leaflet. You can also report side effects directly via </w:delText>
        </w:r>
        <w:r w:rsidRPr="00BC0E7E">
          <w:rPr>
            <w:highlight w:val="lightGray"/>
          </w:rPr>
          <w:delText xml:space="preserve">the national reporting system listed in </w:delText>
        </w:r>
        <w:r>
          <w:fldChar w:fldCharType="begin"/>
        </w:r>
        <w:r>
          <w:delInstrText>HYPERLINK "http://www.ema.europa.eu/docs/en_GB/document_library/Template_or_form/2013/03/WC500139752.doc"</w:delInstrText>
        </w:r>
        <w:r>
          <w:fldChar w:fldCharType="separate"/>
        </w:r>
        <w:r w:rsidRPr="00BC0E7E">
          <w:rPr>
            <w:color w:val="0000FF"/>
            <w:szCs w:val="22"/>
            <w:highlight w:val="lightGray"/>
            <w:u w:val="single"/>
          </w:rPr>
          <w:delText>Appendix V</w:delText>
        </w:r>
        <w:r>
          <w:fldChar w:fldCharType="end"/>
        </w:r>
        <w:r w:rsidRPr="00BC0E7E">
          <w:rPr>
            <w:highlight w:val="lightGray"/>
          </w:rPr>
          <w:delText>.</w:delText>
        </w:r>
        <w:r w:rsidRPr="00BC0E7E">
          <w:delText xml:space="preserve"> By reporting side effects, you can help provide more information </w:delText>
        </w:r>
        <w:r w:rsidR="005D3870">
          <w:delText>on the safety of this medicine.</w:delText>
        </w:r>
      </w:del>
    </w:p>
    <w:p w14:paraId="1A939691" w14:textId="77777777" w:rsidR="00BC0E7E" w:rsidRPr="00BC0E7E" w:rsidRDefault="00BC0E7E" w:rsidP="00BC0E7E">
      <w:pPr>
        <w:rPr>
          <w:del w:id="12012" w:author="AbbVie19" w:date="2025-04-16T12:22:00Z"/>
        </w:rPr>
      </w:pPr>
    </w:p>
    <w:p w14:paraId="2B03FA04" w14:textId="77777777" w:rsidR="00BC0E7E" w:rsidRPr="00BC0E7E" w:rsidRDefault="00BC0E7E" w:rsidP="00BC0E7E">
      <w:pPr>
        <w:rPr>
          <w:del w:id="12013" w:author="AbbVie19" w:date="2025-04-16T12:22:00Z"/>
        </w:rPr>
      </w:pPr>
    </w:p>
    <w:p w14:paraId="529B2DEA" w14:textId="77777777" w:rsidR="00BC0E7E" w:rsidRPr="00BC0E7E" w:rsidRDefault="00944B8F" w:rsidP="00BC0E7E">
      <w:pPr>
        <w:outlineLvl w:val="0"/>
        <w:rPr>
          <w:del w:id="12014" w:author="AbbVie19" w:date="2025-04-16T12:22:00Z"/>
          <w:rFonts w:ascii="Times New Roman Bold" w:hAnsi="Times New Roman Bold"/>
          <w:b/>
          <w:szCs w:val="20"/>
        </w:rPr>
      </w:pPr>
      <w:del w:id="12015" w:author="AbbVie19" w:date="2025-04-16T12:22:00Z">
        <w:r w:rsidRPr="00BC0E7E">
          <w:rPr>
            <w:b/>
            <w:caps/>
            <w:szCs w:val="20"/>
          </w:rPr>
          <w:delText>5.</w:delText>
        </w:r>
        <w:r w:rsidRPr="00BC0E7E">
          <w:rPr>
            <w:b/>
            <w:caps/>
            <w:szCs w:val="20"/>
          </w:rPr>
          <w:tab/>
          <w:delText>H</w:delText>
        </w:r>
        <w:r w:rsidRPr="00BC0E7E">
          <w:rPr>
            <w:rFonts w:ascii="Times New Roman Bold" w:hAnsi="Times New Roman Bold"/>
            <w:b/>
            <w:szCs w:val="20"/>
          </w:rPr>
          <w:delText>ow to store Humira</w:delText>
        </w:r>
      </w:del>
    </w:p>
    <w:p w14:paraId="263D4845" w14:textId="77777777" w:rsidR="00BC0E7E" w:rsidRPr="00BC0E7E" w:rsidRDefault="00BC0E7E" w:rsidP="00BC0E7E">
      <w:pPr>
        <w:rPr>
          <w:del w:id="12016" w:author="AbbVie19" w:date="2025-04-16T12:22:00Z"/>
          <w:szCs w:val="20"/>
        </w:rPr>
      </w:pPr>
    </w:p>
    <w:p w14:paraId="180A45E0" w14:textId="77777777" w:rsidR="00BC0E7E" w:rsidRPr="00BC0E7E" w:rsidRDefault="00944B8F" w:rsidP="00BC0E7E">
      <w:pPr>
        <w:numPr>
          <w:ilvl w:val="12"/>
          <w:numId w:val="0"/>
        </w:numPr>
        <w:tabs>
          <w:tab w:val="clear" w:pos="562"/>
        </w:tabs>
        <w:ind w:right="-2"/>
        <w:rPr>
          <w:del w:id="12017" w:author="AbbVie19" w:date="2025-04-16T12:22:00Z"/>
        </w:rPr>
      </w:pPr>
      <w:del w:id="12018" w:author="AbbVie19" w:date="2025-04-16T12:22:00Z">
        <w:r w:rsidRPr="00BC0E7E">
          <w:delText xml:space="preserve">Keep this medicine out of the sight and reach of children. </w:delText>
        </w:r>
      </w:del>
    </w:p>
    <w:p w14:paraId="5D276ECD" w14:textId="77777777" w:rsidR="00BC0E7E" w:rsidRPr="00BC0E7E" w:rsidRDefault="00BC0E7E" w:rsidP="00BC0E7E">
      <w:pPr>
        <w:numPr>
          <w:ilvl w:val="12"/>
          <w:numId w:val="0"/>
        </w:numPr>
        <w:tabs>
          <w:tab w:val="clear" w:pos="562"/>
        </w:tabs>
        <w:ind w:right="-2"/>
        <w:rPr>
          <w:del w:id="12019" w:author="AbbVie19" w:date="2025-04-16T12:22:00Z"/>
        </w:rPr>
      </w:pPr>
    </w:p>
    <w:p w14:paraId="4CD292CD" w14:textId="77777777" w:rsidR="00BC0E7E" w:rsidRPr="00BC0E7E" w:rsidRDefault="00944B8F" w:rsidP="00BC0E7E">
      <w:pPr>
        <w:numPr>
          <w:ilvl w:val="12"/>
          <w:numId w:val="0"/>
        </w:numPr>
        <w:tabs>
          <w:tab w:val="clear" w:pos="562"/>
        </w:tabs>
        <w:ind w:right="-2"/>
        <w:rPr>
          <w:del w:id="12020" w:author="AbbVie19" w:date="2025-04-16T12:22:00Z"/>
        </w:rPr>
      </w:pPr>
      <w:del w:id="12021" w:author="AbbVie19" w:date="2025-04-16T12:22:00Z">
        <w:r w:rsidRPr="00BC0E7E">
          <w:delText xml:space="preserve">Do not use this medicine after the expiry date stated on the label/blister/carton after EXP. </w:delText>
        </w:r>
      </w:del>
    </w:p>
    <w:p w14:paraId="4556A4A1" w14:textId="77777777" w:rsidR="00BC0E7E" w:rsidRPr="00BC0E7E" w:rsidRDefault="00BC0E7E" w:rsidP="00BC0E7E">
      <w:pPr>
        <w:numPr>
          <w:ilvl w:val="12"/>
          <w:numId w:val="0"/>
        </w:numPr>
        <w:tabs>
          <w:tab w:val="clear" w:pos="562"/>
        </w:tabs>
        <w:ind w:right="-2"/>
        <w:rPr>
          <w:del w:id="12022" w:author="AbbVie19" w:date="2025-04-16T12:22:00Z"/>
        </w:rPr>
      </w:pPr>
    </w:p>
    <w:p w14:paraId="27F68C62" w14:textId="77777777" w:rsidR="00BC0E7E" w:rsidRPr="00BC0E7E" w:rsidRDefault="00944B8F" w:rsidP="00BC0E7E">
      <w:pPr>
        <w:numPr>
          <w:ilvl w:val="12"/>
          <w:numId w:val="0"/>
        </w:numPr>
        <w:tabs>
          <w:tab w:val="clear" w:pos="562"/>
        </w:tabs>
        <w:ind w:right="-2"/>
        <w:rPr>
          <w:del w:id="12023" w:author="AbbVie19" w:date="2025-04-16T12:22:00Z"/>
        </w:rPr>
      </w:pPr>
      <w:del w:id="12024" w:author="AbbVie19" w:date="2025-04-16T12:22:00Z">
        <w:r w:rsidRPr="00BC0E7E">
          <w:delText>Store in a refrigerator (2</w:delText>
        </w:r>
        <w:r w:rsidRPr="00BC0E7E">
          <w:rPr>
            <w:rFonts w:ascii="Symbol" w:eastAsia="Symbol" w:hAnsi="Symbol" w:cs="Symbol"/>
            <w:szCs w:val="22"/>
          </w:rPr>
          <w:sym w:font="Symbol" w:char="F0B0"/>
        </w:r>
        <w:r w:rsidRPr="00BC0E7E">
          <w:delText>C – 8</w:delText>
        </w:r>
        <w:r w:rsidRPr="00BC0E7E">
          <w:rPr>
            <w:rFonts w:ascii="Symbol" w:eastAsia="Symbol" w:hAnsi="Symbol" w:cs="Symbol"/>
            <w:szCs w:val="22"/>
          </w:rPr>
          <w:sym w:font="Symbol" w:char="F0B0"/>
        </w:r>
        <w:r w:rsidRPr="00BC0E7E">
          <w:delText xml:space="preserve">C). Do not freeze. </w:delText>
        </w:r>
      </w:del>
    </w:p>
    <w:p w14:paraId="3874418D" w14:textId="77777777" w:rsidR="00BC0E7E" w:rsidRPr="00BC0E7E" w:rsidRDefault="00BC0E7E" w:rsidP="00BC0E7E">
      <w:pPr>
        <w:numPr>
          <w:ilvl w:val="12"/>
          <w:numId w:val="0"/>
        </w:numPr>
        <w:tabs>
          <w:tab w:val="clear" w:pos="562"/>
        </w:tabs>
        <w:ind w:right="-2"/>
        <w:rPr>
          <w:del w:id="12025" w:author="AbbVie19" w:date="2025-04-16T12:22:00Z"/>
        </w:rPr>
      </w:pPr>
    </w:p>
    <w:p w14:paraId="5F038FAB" w14:textId="77777777" w:rsidR="00BC0E7E" w:rsidRPr="00BC0E7E" w:rsidRDefault="00944B8F" w:rsidP="00BC0E7E">
      <w:pPr>
        <w:numPr>
          <w:ilvl w:val="12"/>
          <w:numId w:val="0"/>
        </w:numPr>
        <w:tabs>
          <w:tab w:val="clear" w:pos="562"/>
        </w:tabs>
        <w:ind w:right="-2"/>
        <w:rPr>
          <w:del w:id="12026" w:author="AbbVie19" w:date="2025-04-16T12:22:00Z"/>
        </w:rPr>
      </w:pPr>
      <w:del w:id="12027" w:author="AbbVie19" w:date="2025-04-16T12:22:00Z">
        <w:r w:rsidRPr="00BC0E7E">
          <w:delText xml:space="preserve">Keep the pre-filled syringe in the outer carton in order to protect from light.  </w:delText>
        </w:r>
      </w:del>
    </w:p>
    <w:p w14:paraId="26AB7DF9" w14:textId="77777777" w:rsidR="00BC0E7E" w:rsidRPr="00BC0E7E" w:rsidRDefault="00BC0E7E" w:rsidP="00BC0E7E">
      <w:pPr>
        <w:numPr>
          <w:ilvl w:val="12"/>
          <w:numId w:val="0"/>
        </w:numPr>
        <w:tabs>
          <w:tab w:val="clear" w:pos="562"/>
        </w:tabs>
        <w:ind w:right="-2"/>
        <w:rPr>
          <w:del w:id="12028" w:author="AbbVie19" w:date="2025-04-16T12:22:00Z"/>
        </w:rPr>
      </w:pPr>
    </w:p>
    <w:p w14:paraId="1C0C6DAF" w14:textId="77777777" w:rsidR="00BC0E7E" w:rsidRPr="00BC0E7E" w:rsidRDefault="00944B8F" w:rsidP="00BC0E7E">
      <w:pPr>
        <w:tabs>
          <w:tab w:val="clear" w:pos="562"/>
        </w:tabs>
        <w:suppressAutoHyphens w:val="0"/>
        <w:autoSpaceDE w:val="0"/>
        <w:autoSpaceDN w:val="0"/>
        <w:adjustRightInd w:val="0"/>
        <w:rPr>
          <w:del w:id="12029" w:author="AbbVie19" w:date="2025-04-16T12:22:00Z"/>
          <w:szCs w:val="22"/>
          <w:lang w:eastAsia="en-GB"/>
        </w:rPr>
      </w:pPr>
      <w:del w:id="12030" w:author="AbbVie19" w:date="2025-04-16T12:22:00Z">
        <w:r w:rsidRPr="00BC0E7E">
          <w:rPr>
            <w:szCs w:val="22"/>
            <w:lang w:eastAsia="en-GB"/>
          </w:rPr>
          <w:delText>Alternative Storage:</w:delText>
        </w:r>
      </w:del>
    </w:p>
    <w:p w14:paraId="23D89D34" w14:textId="77777777" w:rsidR="00BC0E7E" w:rsidRPr="00BC0E7E" w:rsidRDefault="00BC0E7E" w:rsidP="00BC0E7E">
      <w:pPr>
        <w:tabs>
          <w:tab w:val="clear" w:pos="562"/>
        </w:tabs>
        <w:suppressAutoHyphens w:val="0"/>
        <w:autoSpaceDE w:val="0"/>
        <w:autoSpaceDN w:val="0"/>
        <w:adjustRightInd w:val="0"/>
        <w:rPr>
          <w:del w:id="12031" w:author="AbbVie19" w:date="2025-04-16T12:22:00Z"/>
          <w:szCs w:val="22"/>
          <w:lang w:eastAsia="en-GB"/>
        </w:rPr>
      </w:pPr>
    </w:p>
    <w:p w14:paraId="4813AA6F" w14:textId="77777777" w:rsidR="00BC0E7E" w:rsidRPr="00BC0E7E" w:rsidRDefault="00944B8F" w:rsidP="00BC0E7E">
      <w:pPr>
        <w:tabs>
          <w:tab w:val="clear" w:pos="562"/>
        </w:tabs>
        <w:suppressAutoHyphens w:val="0"/>
        <w:autoSpaceDE w:val="0"/>
        <w:autoSpaceDN w:val="0"/>
        <w:adjustRightInd w:val="0"/>
        <w:rPr>
          <w:del w:id="12032" w:author="AbbVie19" w:date="2025-04-16T12:22:00Z"/>
          <w:szCs w:val="22"/>
          <w:lang w:eastAsia="en-GB"/>
        </w:rPr>
      </w:pPr>
      <w:del w:id="12033" w:author="AbbVie19" w:date="2025-04-16T12:22:00Z">
        <w:r w:rsidRPr="00BC0E7E">
          <w:rPr>
            <w:szCs w:val="22"/>
            <w:lang w:eastAsia="en-GB"/>
          </w:rPr>
          <w:delText xml:space="preserve">When needed (for example when you are travelling), a single Humira pre-filled syringe may be stored at room temperature (up to 25°C) for a maximum period of 14 days – be sure to protect it from light. Once removed from the refrigerator for room temperature storage, the syringe </w:delText>
        </w:r>
        <w:r w:rsidRPr="00BC0E7E">
          <w:rPr>
            <w:b/>
            <w:szCs w:val="22"/>
            <w:lang w:eastAsia="en-GB"/>
          </w:rPr>
          <w:delText>must be used within 14 days</w:delText>
        </w:r>
        <w:r w:rsidRPr="00BC0E7E">
          <w:rPr>
            <w:szCs w:val="22"/>
            <w:lang w:eastAsia="en-GB"/>
          </w:rPr>
          <w:delText xml:space="preserve"> </w:delText>
        </w:r>
        <w:r w:rsidRPr="00BC0E7E">
          <w:rPr>
            <w:b/>
            <w:bCs/>
            <w:szCs w:val="22"/>
            <w:lang w:eastAsia="en-GB"/>
          </w:rPr>
          <w:delText>or discarded</w:delText>
        </w:r>
        <w:r w:rsidRPr="00BC0E7E">
          <w:rPr>
            <w:bCs/>
            <w:szCs w:val="22"/>
            <w:lang w:eastAsia="en-GB"/>
          </w:rPr>
          <w:delText>, even if it is returned to the refrigerator</w:delText>
        </w:r>
        <w:r w:rsidRPr="00BC0E7E">
          <w:rPr>
            <w:szCs w:val="22"/>
            <w:lang w:eastAsia="en-GB"/>
          </w:rPr>
          <w:delText xml:space="preserve">.  </w:delText>
        </w:r>
      </w:del>
    </w:p>
    <w:p w14:paraId="357E364C" w14:textId="77777777" w:rsidR="00BC0E7E" w:rsidRPr="00BC0E7E" w:rsidRDefault="00BC0E7E" w:rsidP="00BC0E7E">
      <w:pPr>
        <w:tabs>
          <w:tab w:val="clear" w:pos="562"/>
        </w:tabs>
        <w:suppressAutoHyphens w:val="0"/>
        <w:autoSpaceDE w:val="0"/>
        <w:autoSpaceDN w:val="0"/>
        <w:adjustRightInd w:val="0"/>
        <w:rPr>
          <w:del w:id="12034" w:author="AbbVie19" w:date="2025-04-16T12:22:00Z"/>
          <w:szCs w:val="22"/>
          <w:lang w:eastAsia="en-GB"/>
        </w:rPr>
      </w:pPr>
    </w:p>
    <w:p w14:paraId="45F5D082" w14:textId="77777777" w:rsidR="00BC0E7E" w:rsidRPr="00BC0E7E" w:rsidRDefault="00944B8F" w:rsidP="00BC0E7E">
      <w:pPr>
        <w:tabs>
          <w:tab w:val="clear" w:pos="562"/>
        </w:tabs>
        <w:suppressAutoHyphens w:val="0"/>
        <w:autoSpaceDE w:val="0"/>
        <w:autoSpaceDN w:val="0"/>
        <w:adjustRightInd w:val="0"/>
        <w:rPr>
          <w:del w:id="12035" w:author="AbbVie19" w:date="2025-04-16T12:22:00Z"/>
        </w:rPr>
      </w:pPr>
      <w:del w:id="12036" w:author="AbbVie19" w:date="2025-04-16T12:22:00Z">
        <w:r w:rsidRPr="00BC0E7E">
          <w:rPr>
            <w:szCs w:val="22"/>
            <w:lang w:eastAsia="en-GB"/>
          </w:rPr>
          <w:delText>You should record the date when the syringe is first removed from refrigerator and the date after which it should be discarded</w:delText>
        </w:r>
        <w:r w:rsidRPr="00BC0E7E">
          <w:delText xml:space="preserve">.  </w:delText>
        </w:r>
      </w:del>
    </w:p>
    <w:p w14:paraId="024CEF56" w14:textId="77777777" w:rsidR="00BC0E7E" w:rsidRPr="00BC0E7E" w:rsidRDefault="00BC0E7E" w:rsidP="00BC0E7E">
      <w:pPr>
        <w:tabs>
          <w:tab w:val="clear" w:pos="562"/>
        </w:tabs>
        <w:suppressAutoHyphens w:val="0"/>
        <w:autoSpaceDE w:val="0"/>
        <w:autoSpaceDN w:val="0"/>
        <w:adjustRightInd w:val="0"/>
        <w:rPr>
          <w:del w:id="12037" w:author="AbbVie19" w:date="2025-04-16T12:22:00Z"/>
        </w:rPr>
      </w:pPr>
    </w:p>
    <w:p w14:paraId="5C865D21" w14:textId="77777777" w:rsidR="00BC0E7E" w:rsidRPr="00BC0E7E" w:rsidRDefault="00944B8F" w:rsidP="00BC0E7E">
      <w:pPr>
        <w:numPr>
          <w:ilvl w:val="12"/>
          <w:numId w:val="0"/>
        </w:numPr>
        <w:tabs>
          <w:tab w:val="clear" w:pos="562"/>
        </w:tabs>
        <w:ind w:right="-2"/>
        <w:rPr>
          <w:del w:id="12038" w:author="AbbVie19" w:date="2025-04-16T12:22:00Z"/>
        </w:rPr>
      </w:pPr>
      <w:del w:id="12039" w:author="AbbVie19" w:date="2025-04-16T12:22:00Z">
        <w:r w:rsidRPr="00BC0E7E">
          <w:lastRenderedPageBreak/>
          <w:delText>Do not throw away any medicines via wastewater or household waste. Ask your doctor or pharmacist how to throw away medicines you no longer use. These measures will help protect the environment.</w:delText>
        </w:r>
      </w:del>
    </w:p>
    <w:p w14:paraId="29AF9F3F" w14:textId="77777777" w:rsidR="00BC0E7E" w:rsidRPr="00BC0E7E" w:rsidRDefault="00BC0E7E" w:rsidP="00BC0E7E">
      <w:pPr>
        <w:numPr>
          <w:ilvl w:val="12"/>
          <w:numId w:val="0"/>
        </w:numPr>
        <w:tabs>
          <w:tab w:val="clear" w:pos="562"/>
        </w:tabs>
        <w:ind w:right="-2"/>
        <w:rPr>
          <w:del w:id="12040" w:author="AbbVie19" w:date="2025-04-16T12:22:00Z"/>
        </w:rPr>
      </w:pPr>
    </w:p>
    <w:p w14:paraId="517CFFB7" w14:textId="77777777" w:rsidR="00BC0E7E" w:rsidRPr="00BC0E7E" w:rsidRDefault="00BC0E7E" w:rsidP="00BC0E7E">
      <w:pPr>
        <w:numPr>
          <w:ilvl w:val="12"/>
          <w:numId w:val="0"/>
        </w:numPr>
        <w:tabs>
          <w:tab w:val="clear" w:pos="562"/>
        </w:tabs>
        <w:ind w:right="-2"/>
        <w:rPr>
          <w:del w:id="12041" w:author="AbbVie19" w:date="2025-04-16T12:22:00Z"/>
        </w:rPr>
      </w:pPr>
    </w:p>
    <w:p w14:paraId="436AE26D" w14:textId="77777777" w:rsidR="00BC0E7E" w:rsidRPr="00BC0E7E" w:rsidRDefault="00944B8F" w:rsidP="00BC0E7E">
      <w:pPr>
        <w:keepNext/>
        <w:outlineLvl w:val="0"/>
        <w:rPr>
          <w:del w:id="12042" w:author="AbbVie19" w:date="2025-04-16T12:22:00Z"/>
          <w:rFonts w:ascii="Times New Roman Bold" w:hAnsi="Times New Roman Bold"/>
          <w:b/>
          <w:szCs w:val="20"/>
        </w:rPr>
      </w:pPr>
      <w:del w:id="12043" w:author="AbbVie19" w:date="2025-04-16T12:22:00Z">
        <w:r w:rsidRPr="00BC0E7E">
          <w:rPr>
            <w:b/>
            <w:caps/>
            <w:szCs w:val="20"/>
          </w:rPr>
          <w:delText>6.</w:delText>
        </w:r>
        <w:r w:rsidRPr="00BC0E7E">
          <w:rPr>
            <w:b/>
            <w:caps/>
            <w:szCs w:val="20"/>
          </w:rPr>
          <w:tab/>
          <w:delText>C</w:delText>
        </w:r>
        <w:r w:rsidRPr="00BC0E7E">
          <w:rPr>
            <w:rFonts w:ascii="Times New Roman Bold" w:hAnsi="Times New Roman Bold"/>
            <w:b/>
            <w:szCs w:val="20"/>
          </w:rPr>
          <w:delText>ontents of the pack and other information</w:delText>
        </w:r>
      </w:del>
    </w:p>
    <w:p w14:paraId="767D4C5B" w14:textId="77777777" w:rsidR="00BC0E7E" w:rsidRPr="00BC0E7E" w:rsidRDefault="00BC0E7E" w:rsidP="00BC0E7E">
      <w:pPr>
        <w:keepNext/>
        <w:numPr>
          <w:ilvl w:val="12"/>
          <w:numId w:val="0"/>
        </w:numPr>
        <w:tabs>
          <w:tab w:val="clear" w:pos="562"/>
        </w:tabs>
        <w:ind w:right="-2"/>
        <w:rPr>
          <w:del w:id="12044" w:author="AbbVie19" w:date="2025-04-16T12:22:00Z"/>
        </w:rPr>
      </w:pPr>
    </w:p>
    <w:p w14:paraId="3FE73A51" w14:textId="77777777" w:rsidR="00BC0E7E" w:rsidRPr="00BC0E7E" w:rsidRDefault="00944B8F" w:rsidP="00BC0E7E">
      <w:pPr>
        <w:numPr>
          <w:ilvl w:val="12"/>
          <w:numId w:val="0"/>
        </w:numPr>
        <w:tabs>
          <w:tab w:val="clear" w:pos="562"/>
        </w:tabs>
        <w:ind w:right="-2"/>
        <w:rPr>
          <w:del w:id="12045" w:author="AbbVie19" w:date="2025-04-16T12:22:00Z"/>
          <w:szCs w:val="22"/>
        </w:rPr>
      </w:pPr>
      <w:del w:id="12046" w:author="AbbVie19" w:date="2025-04-16T12:22:00Z">
        <w:r w:rsidRPr="00BC0E7E">
          <w:rPr>
            <w:b/>
            <w:bCs/>
          </w:rPr>
          <w:delText>What Humira contains</w:delText>
        </w:r>
      </w:del>
    </w:p>
    <w:p w14:paraId="24B507A0" w14:textId="77777777" w:rsidR="00BC0E7E" w:rsidRPr="00BC0E7E" w:rsidRDefault="00BC0E7E" w:rsidP="00BC0E7E">
      <w:pPr>
        <w:keepNext/>
        <w:numPr>
          <w:ilvl w:val="12"/>
          <w:numId w:val="0"/>
        </w:numPr>
        <w:ind w:right="-2"/>
        <w:rPr>
          <w:del w:id="12047" w:author="AbbVie19" w:date="2025-04-16T12:22:00Z"/>
          <w:szCs w:val="22"/>
        </w:rPr>
      </w:pPr>
    </w:p>
    <w:p w14:paraId="4FF24291" w14:textId="77777777" w:rsidR="00BC0E7E" w:rsidRPr="00BC0E7E" w:rsidRDefault="00944B8F" w:rsidP="00BC0E7E">
      <w:pPr>
        <w:numPr>
          <w:ilvl w:val="12"/>
          <w:numId w:val="0"/>
        </w:numPr>
        <w:ind w:right="-2"/>
        <w:rPr>
          <w:del w:id="12048" w:author="AbbVie19" w:date="2025-04-16T12:22:00Z"/>
          <w:szCs w:val="22"/>
        </w:rPr>
      </w:pPr>
      <w:del w:id="12049" w:author="AbbVie19" w:date="2025-04-16T12:22:00Z">
        <w:r w:rsidRPr="00BC0E7E">
          <w:rPr>
            <w:szCs w:val="22"/>
          </w:rPr>
          <w:delText>The active substance is adalimumab.</w:delText>
        </w:r>
      </w:del>
    </w:p>
    <w:p w14:paraId="1BF08C6B" w14:textId="77777777" w:rsidR="00BC0E7E" w:rsidRPr="00BC0E7E" w:rsidRDefault="00944B8F" w:rsidP="00BC0E7E">
      <w:pPr>
        <w:numPr>
          <w:ilvl w:val="12"/>
          <w:numId w:val="0"/>
        </w:numPr>
        <w:tabs>
          <w:tab w:val="clear" w:pos="562"/>
        </w:tabs>
        <w:ind w:right="-2"/>
        <w:rPr>
          <w:del w:id="12050" w:author="AbbVie19" w:date="2025-04-16T12:22:00Z"/>
          <w:szCs w:val="22"/>
        </w:rPr>
      </w:pPr>
      <w:del w:id="12051" w:author="AbbVie19" w:date="2025-04-16T12:22:00Z">
        <w:r w:rsidRPr="00BC0E7E">
          <w:rPr>
            <w:szCs w:val="22"/>
          </w:rPr>
          <w:delText>The other ingredients are mannitol, citric acid monohydrate, sodium citrate, sodium dihydrogen phosphate dihydrate, disodium phosphate dihydrate, sodium chloride, polysorbate 80, sodium hydroxide and water for injections.</w:delText>
        </w:r>
      </w:del>
    </w:p>
    <w:p w14:paraId="7647B33E" w14:textId="77777777" w:rsidR="00BC0E7E" w:rsidRPr="00BC0E7E" w:rsidRDefault="00BC0E7E" w:rsidP="00BC0E7E">
      <w:pPr>
        <w:numPr>
          <w:ilvl w:val="12"/>
          <w:numId w:val="0"/>
        </w:numPr>
        <w:tabs>
          <w:tab w:val="clear" w:pos="562"/>
        </w:tabs>
        <w:ind w:right="-2"/>
        <w:rPr>
          <w:del w:id="12052" w:author="AbbVie19" w:date="2025-04-16T12:22:00Z"/>
          <w:szCs w:val="22"/>
        </w:rPr>
      </w:pPr>
    </w:p>
    <w:p w14:paraId="37B45194" w14:textId="77777777" w:rsidR="00BC0E7E" w:rsidRPr="00BC0E7E" w:rsidRDefault="00944B8F" w:rsidP="00BC0E7E">
      <w:pPr>
        <w:numPr>
          <w:ilvl w:val="12"/>
          <w:numId w:val="0"/>
        </w:numPr>
        <w:tabs>
          <w:tab w:val="clear" w:pos="562"/>
        </w:tabs>
        <w:ind w:right="-2"/>
        <w:rPr>
          <w:del w:id="12053" w:author="AbbVie19" w:date="2025-04-16T12:22:00Z"/>
          <w:b/>
          <w:bCs/>
        </w:rPr>
      </w:pPr>
      <w:del w:id="12054" w:author="AbbVie19" w:date="2025-04-16T12:22:00Z">
        <w:r w:rsidRPr="00BC0E7E">
          <w:rPr>
            <w:b/>
            <w:bCs/>
          </w:rPr>
          <w:delText>What the Humira pre-filled syringe looks like and contents of the pack</w:delText>
        </w:r>
      </w:del>
    </w:p>
    <w:p w14:paraId="1BAA5E94" w14:textId="77777777" w:rsidR="00BC0E7E" w:rsidRPr="00BC0E7E" w:rsidRDefault="00BC0E7E" w:rsidP="00BC0E7E">
      <w:pPr>
        <w:numPr>
          <w:ilvl w:val="12"/>
          <w:numId w:val="0"/>
        </w:numPr>
        <w:tabs>
          <w:tab w:val="clear" w:pos="562"/>
        </w:tabs>
        <w:ind w:right="-2"/>
        <w:rPr>
          <w:del w:id="12055" w:author="AbbVie19" w:date="2025-04-16T12:22:00Z"/>
          <w:b/>
          <w:bCs/>
        </w:rPr>
      </w:pPr>
    </w:p>
    <w:p w14:paraId="71FB1600" w14:textId="77777777" w:rsidR="00BC0E7E" w:rsidRPr="00BC0E7E" w:rsidRDefault="00944B8F" w:rsidP="00BC0E7E">
      <w:pPr>
        <w:numPr>
          <w:ilvl w:val="12"/>
          <w:numId w:val="0"/>
        </w:numPr>
        <w:tabs>
          <w:tab w:val="clear" w:pos="562"/>
        </w:tabs>
        <w:ind w:right="-2"/>
        <w:rPr>
          <w:del w:id="12056" w:author="AbbVie19" w:date="2025-04-16T12:22:00Z"/>
          <w:b/>
          <w:bCs/>
        </w:rPr>
      </w:pPr>
      <w:del w:id="12057" w:author="AbbVie19" w:date="2025-04-16T12:22:00Z">
        <w:r w:rsidRPr="00BC0E7E">
          <w:delText>Humira 40 mg solution for injection in pre-filled syringe is supplied as a sterile solution of 40 mg adalimumab dissolved in 0.8 ml solution.</w:delText>
        </w:r>
      </w:del>
    </w:p>
    <w:p w14:paraId="4887EDB8" w14:textId="77777777" w:rsidR="00BC0E7E" w:rsidRPr="00BC0E7E" w:rsidRDefault="00BC0E7E" w:rsidP="00BC0E7E">
      <w:pPr>
        <w:numPr>
          <w:ilvl w:val="12"/>
          <w:numId w:val="0"/>
        </w:numPr>
        <w:tabs>
          <w:tab w:val="clear" w:pos="562"/>
        </w:tabs>
        <w:ind w:right="-2"/>
        <w:rPr>
          <w:del w:id="12058" w:author="AbbVie19" w:date="2025-04-16T12:22:00Z"/>
        </w:rPr>
      </w:pPr>
    </w:p>
    <w:p w14:paraId="21B77F17" w14:textId="77777777" w:rsidR="008B7BCC" w:rsidRDefault="00944B8F" w:rsidP="00BC0E7E">
      <w:pPr>
        <w:numPr>
          <w:ilvl w:val="12"/>
          <w:numId w:val="0"/>
        </w:numPr>
        <w:tabs>
          <w:tab w:val="clear" w:pos="562"/>
        </w:tabs>
        <w:ind w:right="-2"/>
        <w:rPr>
          <w:del w:id="12059" w:author="AbbVie19" w:date="2025-04-16T12:22:00Z"/>
        </w:rPr>
      </w:pPr>
      <w:del w:id="12060" w:author="AbbVie19" w:date="2025-04-16T12:22:00Z">
        <w:r w:rsidRPr="00BC0E7E">
          <w:delText xml:space="preserve">The Humira pre-filled syringe is a glass syringe containing a solution of adalimumab. Each pack contains 1, 2, 4 or 6 pre-filled syringes for patient use with 1, 2, 4 or 6 alcohol pads, respectively.  </w:delText>
        </w:r>
      </w:del>
    </w:p>
    <w:p w14:paraId="179367A1" w14:textId="77777777" w:rsidR="008B7BCC" w:rsidRDefault="008B7BCC" w:rsidP="00BC0E7E">
      <w:pPr>
        <w:numPr>
          <w:ilvl w:val="12"/>
          <w:numId w:val="0"/>
        </w:numPr>
        <w:tabs>
          <w:tab w:val="clear" w:pos="562"/>
        </w:tabs>
        <w:ind w:right="-2"/>
        <w:rPr>
          <w:del w:id="12061" w:author="AbbVie19" w:date="2025-04-16T12:22:00Z"/>
        </w:rPr>
      </w:pPr>
    </w:p>
    <w:p w14:paraId="0CFB4FE7" w14:textId="77777777" w:rsidR="00BC0E7E" w:rsidRPr="00BC0E7E" w:rsidRDefault="00944B8F" w:rsidP="00BC0E7E">
      <w:pPr>
        <w:numPr>
          <w:ilvl w:val="12"/>
          <w:numId w:val="0"/>
        </w:numPr>
        <w:tabs>
          <w:tab w:val="clear" w:pos="562"/>
        </w:tabs>
        <w:ind w:right="-2"/>
        <w:rPr>
          <w:del w:id="12062" w:author="AbbVie19" w:date="2025-04-16T12:22:00Z"/>
        </w:rPr>
      </w:pPr>
      <w:del w:id="12063" w:author="AbbVie19" w:date="2025-04-16T12:22:00Z">
        <w:r w:rsidRPr="00BC0E7E">
          <w:delText>Not all pack sizes may be marketed.</w:delText>
        </w:r>
      </w:del>
    </w:p>
    <w:p w14:paraId="2034FE2D" w14:textId="77777777" w:rsidR="00BC0E7E" w:rsidRPr="00BC0E7E" w:rsidRDefault="00BC0E7E" w:rsidP="00BC0E7E">
      <w:pPr>
        <w:tabs>
          <w:tab w:val="clear" w:pos="562"/>
        </w:tabs>
        <w:ind w:right="-2"/>
        <w:rPr>
          <w:del w:id="12064" w:author="AbbVie19" w:date="2025-04-16T12:22:00Z"/>
        </w:rPr>
      </w:pPr>
    </w:p>
    <w:p w14:paraId="2C07D319" w14:textId="77777777" w:rsidR="00BC0E7E" w:rsidRPr="00BC0E7E" w:rsidRDefault="00944B8F" w:rsidP="00BC0E7E">
      <w:pPr>
        <w:numPr>
          <w:ilvl w:val="12"/>
          <w:numId w:val="0"/>
        </w:numPr>
        <w:tabs>
          <w:tab w:val="clear" w:pos="562"/>
        </w:tabs>
        <w:ind w:right="-2"/>
        <w:rPr>
          <w:del w:id="12065" w:author="AbbVie19" w:date="2025-04-16T12:22:00Z"/>
        </w:rPr>
      </w:pPr>
      <w:del w:id="12066" w:author="AbbVie19" w:date="2025-04-16T12:22:00Z">
        <w:r w:rsidRPr="00BC0E7E">
          <w:delText xml:space="preserve">Humira </w:delText>
        </w:r>
        <w:r w:rsidR="008B7BCC">
          <w:delText>may be</w:delText>
        </w:r>
        <w:r w:rsidRPr="00BC0E7E">
          <w:delText xml:space="preserve"> available as a vial, a pre-filled syringe and</w:delText>
        </w:r>
        <w:r w:rsidR="008B7BCC">
          <w:delText>/or</w:delText>
        </w:r>
        <w:r w:rsidRPr="00BC0E7E">
          <w:delText xml:space="preserve"> a pre-filled pen.</w:delText>
        </w:r>
      </w:del>
    </w:p>
    <w:p w14:paraId="433A3C40" w14:textId="77777777" w:rsidR="00BC0E7E" w:rsidRPr="00BC0E7E" w:rsidRDefault="00BC0E7E" w:rsidP="00BC0E7E">
      <w:pPr>
        <w:numPr>
          <w:ilvl w:val="12"/>
          <w:numId w:val="0"/>
        </w:numPr>
        <w:tabs>
          <w:tab w:val="clear" w:pos="562"/>
        </w:tabs>
        <w:ind w:right="-2"/>
        <w:rPr>
          <w:del w:id="12067" w:author="AbbVie19" w:date="2025-04-16T12:22:00Z"/>
        </w:rPr>
      </w:pPr>
    </w:p>
    <w:p w14:paraId="2C2638BF" w14:textId="77777777" w:rsidR="00BC0E7E" w:rsidRPr="00BC0E7E" w:rsidRDefault="00944B8F" w:rsidP="0097291B">
      <w:pPr>
        <w:keepNext/>
        <w:numPr>
          <w:ilvl w:val="12"/>
          <w:numId w:val="0"/>
        </w:numPr>
        <w:tabs>
          <w:tab w:val="clear" w:pos="562"/>
        </w:tabs>
        <w:ind w:right="-2"/>
        <w:rPr>
          <w:del w:id="12068" w:author="AbbVie19" w:date="2025-04-16T12:22:00Z"/>
          <w:b/>
        </w:rPr>
      </w:pPr>
      <w:del w:id="12069" w:author="AbbVie19" w:date="2025-04-16T12:22:00Z">
        <w:r w:rsidRPr="00BC0E7E">
          <w:rPr>
            <w:b/>
          </w:rPr>
          <w:delText>Marketing Authorisation Holder</w:delText>
        </w:r>
      </w:del>
    </w:p>
    <w:p w14:paraId="515BB487" w14:textId="77777777" w:rsidR="00BC0E7E" w:rsidRPr="00BC0E7E" w:rsidRDefault="00BC0E7E" w:rsidP="0097291B">
      <w:pPr>
        <w:keepNext/>
        <w:numPr>
          <w:ilvl w:val="12"/>
          <w:numId w:val="0"/>
        </w:numPr>
        <w:tabs>
          <w:tab w:val="clear" w:pos="562"/>
        </w:tabs>
        <w:ind w:right="-2"/>
        <w:rPr>
          <w:del w:id="12070" w:author="AbbVie19" w:date="2025-04-16T12:22:00Z"/>
        </w:rPr>
      </w:pPr>
    </w:p>
    <w:p w14:paraId="46298146" w14:textId="77777777" w:rsidR="006A01D2" w:rsidRPr="00EB4204" w:rsidRDefault="00944B8F" w:rsidP="006A01D2">
      <w:pPr>
        <w:keepNext/>
        <w:tabs>
          <w:tab w:val="clear" w:pos="562"/>
        </w:tabs>
        <w:suppressAutoHyphens w:val="0"/>
        <w:autoSpaceDE w:val="0"/>
        <w:autoSpaceDN w:val="0"/>
        <w:adjustRightInd w:val="0"/>
        <w:spacing w:line="240" w:lineRule="atLeast"/>
        <w:rPr>
          <w:del w:id="12071" w:author="AbbVie19" w:date="2025-04-16T12:22:00Z"/>
          <w:szCs w:val="22"/>
          <w:lang w:eastAsia="en-GB"/>
        </w:rPr>
      </w:pPr>
      <w:del w:id="12072" w:author="AbbVie19" w:date="2025-04-16T12:22:00Z">
        <w:r w:rsidRPr="00EB4204">
          <w:rPr>
            <w:szCs w:val="22"/>
            <w:lang w:eastAsia="en-GB"/>
          </w:rPr>
          <w:delText>AbbVie Deutschland GmbH &amp; Co. KG</w:delText>
        </w:r>
      </w:del>
    </w:p>
    <w:p w14:paraId="4151394A" w14:textId="77777777" w:rsidR="006A01D2" w:rsidRPr="00EB4204" w:rsidRDefault="00944B8F" w:rsidP="006A01D2">
      <w:pPr>
        <w:keepNext/>
        <w:tabs>
          <w:tab w:val="clear" w:pos="562"/>
        </w:tabs>
        <w:suppressAutoHyphens w:val="0"/>
        <w:autoSpaceDE w:val="0"/>
        <w:autoSpaceDN w:val="0"/>
        <w:adjustRightInd w:val="0"/>
        <w:spacing w:line="240" w:lineRule="atLeast"/>
        <w:rPr>
          <w:del w:id="12073" w:author="AbbVie19" w:date="2025-04-16T12:22:00Z"/>
          <w:szCs w:val="22"/>
          <w:lang w:eastAsia="en-GB"/>
        </w:rPr>
      </w:pPr>
      <w:del w:id="12074" w:author="AbbVie19" w:date="2025-04-16T12:22:00Z">
        <w:r w:rsidRPr="00EB4204">
          <w:rPr>
            <w:szCs w:val="22"/>
            <w:lang w:eastAsia="en-GB"/>
          </w:rPr>
          <w:delText>Knollstrasse</w:delText>
        </w:r>
      </w:del>
    </w:p>
    <w:p w14:paraId="640FA412" w14:textId="77777777" w:rsidR="006A01D2" w:rsidRPr="00EB4204" w:rsidRDefault="00944B8F" w:rsidP="006A01D2">
      <w:pPr>
        <w:keepNext/>
        <w:tabs>
          <w:tab w:val="clear" w:pos="562"/>
        </w:tabs>
        <w:suppressAutoHyphens w:val="0"/>
        <w:autoSpaceDE w:val="0"/>
        <w:autoSpaceDN w:val="0"/>
        <w:adjustRightInd w:val="0"/>
        <w:spacing w:line="240" w:lineRule="atLeast"/>
        <w:rPr>
          <w:del w:id="12075" w:author="AbbVie19" w:date="2025-04-16T12:22:00Z"/>
          <w:szCs w:val="22"/>
          <w:lang w:eastAsia="en-GB"/>
        </w:rPr>
      </w:pPr>
      <w:del w:id="12076" w:author="AbbVie19" w:date="2025-04-16T12:22:00Z">
        <w:r w:rsidRPr="00EB4204">
          <w:rPr>
            <w:szCs w:val="22"/>
            <w:lang w:eastAsia="en-GB"/>
          </w:rPr>
          <w:delText>67061 Ludwigshafen</w:delText>
        </w:r>
      </w:del>
    </w:p>
    <w:p w14:paraId="47163EB9" w14:textId="77777777" w:rsidR="006A01D2" w:rsidRDefault="00944B8F" w:rsidP="006A01D2">
      <w:pPr>
        <w:keepNext/>
        <w:tabs>
          <w:tab w:val="clear" w:pos="562"/>
          <w:tab w:val="left" w:pos="720"/>
        </w:tabs>
        <w:suppressAutoHyphens w:val="0"/>
        <w:autoSpaceDE w:val="0"/>
        <w:autoSpaceDN w:val="0"/>
        <w:adjustRightInd w:val="0"/>
        <w:spacing w:line="240" w:lineRule="atLeast"/>
        <w:rPr>
          <w:del w:id="12077" w:author="AbbVie19" w:date="2025-04-16T12:22:00Z"/>
          <w:szCs w:val="22"/>
          <w:lang w:eastAsia="en-GB"/>
        </w:rPr>
      </w:pPr>
      <w:del w:id="12078" w:author="AbbVie19" w:date="2025-04-16T12:22:00Z">
        <w:r w:rsidRPr="00EB4204">
          <w:rPr>
            <w:szCs w:val="22"/>
            <w:lang w:eastAsia="en-GB"/>
          </w:rPr>
          <w:delText>Germany</w:delText>
        </w:r>
        <w:r>
          <w:rPr>
            <w:szCs w:val="22"/>
            <w:lang w:eastAsia="en-GB"/>
          </w:rPr>
          <w:delText xml:space="preserve"> </w:delText>
        </w:r>
      </w:del>
    </w:p>
    <w:p w14:paraId="3B712689" w14:textId="77777777" w:rsidR="00BC0E7E" w:rsidRPr="00BC0E7E" w:rsidRDefault="00BC0E7E" w:rsidP="00BC0E7E">
      <w:pPr>
        <w:tabs>
          <w:tab w:val="clear" w:pos="562"/>
        </w:tabs>
        <w:rPr>
          <w:del w:id="12079" w:author="AbbVie19" w:date="2025-04-16T12:22:00Z"/>
        </w:rPr>
      </w:pPr>
    </w:p>
    <w:p w14:paraId="7EE01BC0" w14:textId="77777777" w:rsidR="00BC0E7E" w:rsidRPr="00BC0E7E" w:rsidRDefault="00944B8F" w:rsidP="00BC0E7E">
      <w:pPr>
        <w:keepNext/>
        <w:numPr>
          <w:ilvl w:val="12"/>
          <w:numId w:val="0"/>
        </w:numPr>
        <w:tabs>
          <w:tab w:val="clear" w:pos="562"/>
        </w:tabs>
        <w:ind w:right="-2"/>
        <w:rPr>
          <w:del w:id="12080" w:author="AbbVie19" w:date="2025-04-16T12:22:00Z"/>
          <w:b/>
        </w:rPr>
      </w:pPr>
      <w:del w:id="12081" w:author="AbbVie19" w:date="2025-04-16T12:22:00Z">
        <w:r w:rsidRPr="00BC0E7E">
          <w:rPr>
            <w:b/>
          </w:rPr>
          <w:delText>Manufacturer</w:delText>
        </w:r>
      </w:del>
    </w:p>
    <w:p w14:paraId="7695879D" w14:textId="77777777" w:rsidR="00BC0E7E" w:rsidRPr="00BC0E7E" w:rsidRDefault="00BC0E7E" w:rsidP="00BC0E7E">
      <w:pPr>
        <w:keepNext/>
        <w:numPr>
          <w:ilvl w:val="12"/>
          <w:numId w:val="0"/>
        </w:numPr>
        <w:tabs>
          <w:tab w:val="clear" w:pos="562"/>
        </w:tabs>
        <w:ind w:right="-2"/>
        <w:rPr>
          <w:del w:id="12082" w:author="AbbVie19" w:date="2025-04-16T12:22:00Z"/>
        </w:rPr>
      </w:pPr>
    </w:p>
    <w:p w14:paraId="61807D68" w14:textId="77777777" w:rsidR="00BC0E7E" w:rsidRPr="00BC0E7E" w:rsidRDefault="00944B8F" w:rsidP="00BC0E7E">
      <w:pPr>
        <w:rPr>
          <w:del w:id="12083" w:author="AbbVie19" w:date="2025-04-16T12:22:00Z"/>
        </w:rPr>
      </w:pPr>
      <w:del w:id="12084" w:author="AbbVie19" w:date="2025-04-16T12:22:00Z">
        <w:r w:rsidRPr="00BC0E7E">
          <w:delText>AbbVie Biotechnology GmbH</w:delText>
        </w:r>
      </w:del>
    </w:p>
    <w:p w14:paraId="1957E3DD" w14:textId="77777777" w:rsidR="00BC0E7E" w:rsidRPr="00BC0E7E" w:rsidRDefault="00944B8F" w:rsidP="00BC0E7E">
      <w:pPr>
        <w:numPr>
          <w:ilvl w:val="12"/>
          <w:numId w:val="0"/>
        </w:numPr>
        <w:tabs>
          <w:tab w:val="clear" w:pos="562"/>
          <w:tab w:val="left" w:pos="720"/>
        </w:tabs>
        <w:rPr>
          <w:del w:id="12085" w:author="AbbVie19" w:date="2025-04-16T12:22:00Z"/>
        </w:rPr>
      </w:pPr>
      <w:del w:id="12086" w:author="AbbVie19" w:date="2025-04-16T12:22:00Z">
        <w:r w:rsidRPr="00BC0E7E">
          <w:delText>Knollstrasse</w:delText>
        </w:r>
      </w:del>
    </w:p>
    <w:p w14:paraId="5BCD4A09" w14:textId="77777777" w:rsidR="00BC0E7E" w:rsidRPr="00BC0E7E" w:rsidRDefault="00944B8F" w:rsidP="00BC0E7E">
      <w:pPr>
        <w:numPr>
          <w:ilvl w:val="12"/>
          <w:numId w:val="0"/>
        </w:numPr>
        <w:tabs>
          <w:tab w:val="clear" w:pos="562"/>
          <w:tab w:val="left" w:pos="720"/>
        </w:tabs>
        <w:rPr>
          <w:del w:id="12087" w:author="AbbVie19" w:date="2025-04-16T12:22:00Z"/>
        </w:rPr>
      </w:pPr>
      <w:del w:id="12088" w:author="AbbVie19" w:date="2025-04-16T12:22:00Z">
        <w:r w:rsidRPr="00BC0E7E">
          <w:delText>67061 Ludwigshafen</w:delText>
        </w:r>
      </w:del>
    </w:p>
    <w:p w14:paraId="6D9E1050" w14:textId="77777777" w:rsidR="00BC0E7E" w:rsidRPr="00BC0E7E" w:rsidRDefault="00944B8F" w:rsidP="00BC0E7E">
      <w:pPr>
        <w:numPr>
          <w:ilvl w:val="12"/>
          <w:numId w:val="0"/>
        </w:numPr>
        <w:tabs>
          <w:tab w:val="clear" w:pos="562"/>
          <w:tab w:val="left" w:pos="720"/>
        </w:tabs>
        <w:rPr>
          <w:del w:id="12089" w:author="AbbVie19" w:date="2025-04-16T12:22:00Z"/>
        </w:rPr>
      </w:pPr>
      <w:del w:id="12090" w:author="AbbVie19" w:date="2025-04-16T12:22:00Z">
        <w:r w:rsidRPr="00BC0E7E">
          <w:delText>Germany</w:delText>
        </w:r>
      </w:del>
    </w:p>
    <w:p w14:paraId="63E4AD1E" w14:textId="77777777" w:rsidR="00BC0E7E" w:rsidRPr="00BC0E7E" w:rsidRDefault="00BC0E7E" w:rsidP="00BC0E7E">
      <w:pPr>
        <w:numPr>
          <w:ilvl w:val="12"/>
          <w:numId w:val="0"/>
        </w:numPr>
        <w:tabs>
          <w:tab w:val="clear" w:pos="562"/>
        </w:tabs>
        <w:ind w:right="-2"/>
        <w:rPr>
          <w:del w:id="12091" w:author="AbbVie19" w:date="2025-04-16T12:22:00Z"/>
        </w:rPr>
      </w:pPr>
    </w:p>
    <w:p w14:paraId="56D25301" w14:textId="77777777" w:rsidR="00BC0E7E" w:rsidRPr="00BC0E7E" w:rsidRDefault="00944B8F" w:rsidP="00BC0E7E">
      <w:pPr>
        <w:numPr>
          <w:ilvl w:val="12"/>
          <w:numId w:val="0"/>
        </w:numPr>
        <w:tabs>
          <w:tab w:val="clear" w:pos="562"/>
        </w:tabs>
        <w:ind w:right="-2"/>
        <w:rPr>
          <w:del w:id="12092" w:author="AbbVie19" w:date="2025-04-16T12:22:00Z"/>
        </w:rPr>
      </w:pPr>
      <w:del w:id="12093" w:author="AbbVie19" w:date="2025-04-16T12:22:00Z">
        <w:r w:rsidRPr="00BC0E7E">
          <w:delText>For any information about this medicine, please contact the local representative of the Marketing Authorisation Holder.</w:delText>
        </w:r>
      </w:del>
    </w:p>
    <w:p w14:paraId="5DC737E9" w14:textId="77777777" w:rsidR="00BC0E7E" w:rsidRPr="00BC0E7E" w:rsidRDefault="00BC0E7E" w:rsidP="00BC0E7E">
      <w:pPr>
        <w:tabs>
          <w:tab w:val="clear" w:pos="562"/>
        </w:tabs>
        <w:suppressAutoHyphens w:val="0"/>
        <w:rPr>
          <w:del w:id="12094" w:author="AbbVie19" w:date="2025-04-16T12:22:00Z"/>
          <w:sz w:val="24"/>
        </w:rPr>
      </w:pPr>
    </w:p>
    <w:tbl>
      <w:tblPr>
        <w:tblW w:w="9356" w:type="dxa"/>
        <w:tblInd w:w="-34" w:type="dxa"/>
        <w:tblLayout w:type="fixed"/>
        <w:tblLook w:val="0000" w:firstRow="0" w:lastRow="0" w:firstColumn="0" w:lastColumn="0" w:noHBand="0" w:noVBand="0"/>
      </w:tblPr>
      <w:tblGrid>
        <w:gridCol w:w="34"/>
        <w:gridCol w:w="4644"/>
        <w:gridCol w:w="4678"/>
      </w:tblGrid>
      <w:tr w:rsidR="00C6578C" w14:paraId="05A4E2F0" w14:textId="77777777" w:rsidTr="00171601">
        <w:trPr>
          <w:gridBefore w:val="1"/>
          <w:wBefore w:w="34" w:type="dxa"/>
          <w:del w:id="12095" w:author="AbbVie19" w:date="2025-04-16T12:22:00Z"/>
        </w:trPr>
        <w:tc>
          <w:tcPr>
            <w:tcW w:w="4644" w:type="dxa"/>
          </w:tcPr>
          <w:p w14:paraId="3EB8CAB9" w14:textId="77777777" w:rsidR="00BC0E7E" w:rsidRPr="000B7DC1" w:rsidRDefault="00944B8F" w:rsidP="00171601">
            <w:pPr>
              <w:rPr>
                <w:del w:id="12096" w:author="AbbVie19" w:date="2025-04-16T12:22:00Z"/>
                <w:b/>
                <w:szCs w:val="22"/>
                <w:lang w:val="en-US"/>
                <w:rPrChange w:id="12097" w:author="AbbVie33" w:date="2025-05-05T10:55:00Z">
                  <w:rPr>
                    <w:del w:id="12098" w:author="AbbVie19" w:date="2025-04-16T12:22:00Z"/>
                    <w:b/>
                    <w:bCs/>
                    <w:szCs w:val="22"/>
                    <w:lang w:val="fr-BE"/>
                  </w:rPr>
                </w:rPrChange>
              </w:rPr>
            </w:pPr>
            <w:del w:id="12099" w:author="AbbVie19" w:date="2025-04-16T12:22:00Z">
              <w:r w:rsidRPr="000B7DC1">
                <w:rPr>
                  <w:b/>
                  <w:szCs w:val="22"/>
                  <w:lang w:val="en-US"/>
                  <w:rPrChange w:id="12100" w:author="AbbVie33" w:date="2025-05-05T10:55:00Z">
                    <w:rPr>
                      <w:b/>
                      <w:bCs/>
                      <w:szCs w:val="22"/>
                      <w:lang w:val="fr-BE"/>
                    </w:rPr>
                  </w:rPrChange>
                </w:rPr>
                <w:delText>België/Belgique/Belgien</w:delText>
              </w:r>
            </w:del>
          </w:p>
          <w:p w14:paraId="5245F652" w14:textId="77777777" w:rsidR="00BC0E7E" w:rsidRPr="000B7DC1" w:rsidRDefault="00944B8F" w:rsidP="00171601">
            <w:pPr>
              <w:tabs>
                <w:tab w:val="center" w:pos="2214"/>
              </w:tabs>
              <w:rPr>
                <w:del w:id="12101" w:author="AbbVie19" w:date="2025-04-16T12:22:00Z"/>
                <w:szCs w:val="22"/>
                <w:lang w:val="en-US"/>
                <w:rPrChange w:id="12102" w:author="AbbVie33" w:date="2025-05-05T10:55:00Z">
                  <w:rPr>
                    <w:del w:id="12103" w:author="AbbVie19" w:date="2025-04-16T12:22:00Z"/>
                    <w:bCs/>
                    <w:szCs w:val="22"/>
                    <w:lang w:val="fr-FR"/>
                  </w:rPr>
                </w:rPrChange>
              </w:rPr>
            </w:pPr>
            <w:del w:id="12104" w:author="AbbVie19" w:date="2025-04-16T12:22:00Z">
              <w:r w:rsidRPr="000B7DC1">
                <w:rPr>
                  <w:szCs w:val="22"/>
                  <w:lang w:val="en-US"/>
                  <w:rPrChange w:id="12105" w:author="AbbVie33" w:date="2025-05-05T10:55:00Z">
                    <w:rPr>
                      <w:bCs/>
                      <w:szCs w:val="22"/>
                      <w:lang w:val="fr-FR"/>
                    </w:rPr>
                  </w:rPrChange>
                </w:rPr>
                <w:delText>AbbVie SA</w:delText>
              </w:r>
            </w:del>
          </w:p>
          <w:p w14:paraId="61077CD5" w14:textId="77777777" w:rsidR="00BC0E7E" w:rsidRPr="000B7DC1" w:rsidRDefault="00944B8F" w:rsidP="00171601">
            <w:pPr>
              <w:spacing w:line="260" w:lineRule="exact"/>
              <w:rPr>
                <w:del w:id="12106" w:author="AbbVie19" w:date="2025-04-16T12:22:00Z"/>
                <w:szCs w:val="22"/>
                <w:lang w:val="en-US"/>
                <w:rPrChange w:id="12107" w:author="AbbVie33" w:date="2025-05-05T10:55:00Z">
                  <w:rPr>
                    <w:del w:id="12108" w:author="AbbVie19" w:date="2025-04-16T12:22:00Z"/>
                    <w:szCs w:val="22"/>
                    <w:lang w:val="fr-FR"/>
                  </w:rPr>
                </w:rPrChange>
              </w:rPr>
            </w:pPr>
            <w:del w:id="12109" w:author="AbbVie19" w:date="2025-04-16T12:22:00Z">
              <w:r w:rsidRPr="000B7DC1">
                <w:rPr>
                  <w:szCs w:val="22"/>
                  <w:lang w:val="en-US"/>
                  <w:rPrChange w:id="12110" w:author="AbbVie33" w:date="2025-05-05T10:55:00Z">
                    <w:rPr>
                      <w:bCs/>
                      <w:szCs w:val="22"/>
                      <w:lang w:val="fr-FR"/>
                    </w:rPr>
                  </w:rPrChange>
                </w:rPr>
                <w:delText xml:space="preserve">Tél/Tel: +32 10 </w:delText>
              </w:r>
              <w:r w:rsidRPr="000B7DC1">
                <w:rPr>
                  <w:szCs w:val="22"/>
                  <w:lang w:val="en-US"/>
                  <w:rPrChange w:id="12111" w:author="AbbVie33" w:date="2025-05-05T10:55:00Z">
                    <w:rPr>
                      <w:szCs w:val="22"/>
                      <w:lang w:val="fr-FR"/>
                    </w:rPr>
                  </w:rPrChange>
                </w:rPr>
                <w:delText xml:space="preserve"> 477811</w:delText>
              </w:r>
            </w:del>
          </w:p>
          <w:p w14:paraId="774CD76F" w14:textId="77777777" w:rsidR="00504E25" w:rsidRPr="000B7DC1" w:rsidRDefault="00504E25" w:rsidP="00171601">
            <w:pPr>
              <w:spacing w:line="260" w:lineRule="exact"/>
              <w:rPr>
                <w:del w:id="12112" w:author="AbbVie19" w:date="2025-04-16T12:22:00Z"/>
                <w:szCs w:val="22"/>
                <w:lang w:val="en-US"/>
                <w:rPrChange w:id="12113" w:author="AbbVie33" w:date="2025-05-05T10:55:00Z">
                  <w:rPr>
                    <w:del w:id="12114" w:author="AbbVie19" w:date="2025-04-16T12:22:00Z"/>
                    <w:bCs/>
                    <w:szCs w:val="22"/>
                    <w:lang w:val="fr-FR"/>
                  </w:rPr>
                </w:rPrChange>
              </w:rPr>
            </w:pPr>
          </w:p>
        </w:tc>
        <w:tc>
          <w:tcPr>
            <w:tcW w:w="4678" w:type="dxa"/>
          </w:tcPr>
          <w:p w14:paraId="59F1B848" w14:textId="77777777" w:rsidR="00BC0E7E" w:rsidRPr="00BC0E7E" w:rsidRDefault="00944B8F" w:rsidP="00171601">
            <w:pPr>
              <w:rPr>
                <w:del w:id="12115" w:author="AbbVie19" w:date="2025-04-16T12:22:00Z"/>
                <w:b/>
                <w:bCs/>
                <w:szCs w:val="22"/>
                <w:lang w:val="lt-LT"/>
              </w:rPr>
            </w:pPr>
            <w:del w:id="12116" w:author="AbbVie19" w:date="2025-04-16T12:22:00Z">
              <w:r w:rsidRPr="00BC0E7E">
                <w:rPr>
                  <w:b/>
                  <w:bCs/>
                  <w:szCs w:val="22"/>
                  <w:lang w:val="lt-LT"/>
                </w:rPr>
                <w:delText>Lietuva</w:delText>
              </w:r>
            </w:del>
          </w:p>
          <w:p w14:paraId="29377ED8" w14:textId="77777777" w:rsidR="00BC0E7E" w:rsidRPr="00BC0E7E" w:rsidRDefault="00944B8F" w:rsidP="00171601">
            <w:pPr>
              <w:rPr>
                <w:del w:id="12117" w:author="AbbVie19" w:date="2025-04-16T12:22:00Z"/>
                <w:bCs/>
                <w:szCs w:val="22"/>
                <w:lang w:val="lv-LV"/>
              </w:rPr>
            </w:pPr>
            <w:del w:id="12118" w:author="AbbVie19" w:date="2025-04-16T12:22:00Z">
              <w:r w:rsidRPr="00BC0E7E">
                <w:rPr>
                  <w:bCs/>
                  <w:szCs w:val="22"/>
                  <w:lang w:val="lv-LV"/>
                </w:rPr>
                <w:delText xml:space="preserve">AbbVie UAB </w:delText>
              </w:r>
            </w:del>
          </w:p>
          <w:p w14:paraId="5109F265" w14:textId="77777777" w:rsidR="00BC0E7E" w:rsidRPr="00BC0E7E" w:rsidRDefault="00944B8F" w:rsidP="00171601">
            <w:pPr>
              <w:jc w:val="both"/>
              <w:rPr>
                <w:del w:id="12119" w:author="AbbVie19" w:date="2025-04-16T12:22:00Z"/>
                <w:bCs/>
                <w:szCs w:val="22"/>
                <w:lang w:val="lv-LV"/>
              </w:rPr>
            </w:pPr>
            <w:del w:id="12120" w:author="AbbVie19" w:date="2025-04-16T12:22:00Z">
              <w:r w:rsidRPr="00BC0E7E">
                <w:rPr>
                  <w:bCs/>
                  <w:szCs w:val="22"/>
                  <w:lang w:val="lv-LV"/>
                </w:rPr>
                <w:delText>Tel: +370 5 205 3023</w:delText>
              </w:r>
            </w:del>
          </w:p>
        </w:tc>
      </w:tr>
      <w:tr w:rsidR="00C6578C" w14:paraId="35254E43" w14:textId="77777777" w:rsidTr="00171601">
        <w:trPr>
          <w:gridBefore w:val="1"/>
          <w:wBefore w:w="34" w:type="dxa"/>
          <w:del w:id="12121" w:author="AbbVie19" w:date="2025-04-16T12:22:00Z"/>
        </w:trPr>
        <w:tc>
          <w:tcPr>
            <w:tcW w:w="4644" w:type="dxa"/>
          </w:tcPr>
          <w:p w14:paraId="21A2C74A" w14:textId="77777777" w:rsidR="00BC0E7E" w:rsidRPr="00BC0E7E" w:rsidRDefault="00944B8F" w:rsidP="00171601">
            <w:pPr>
              <w:autoSpaceDE w:val="0"/>
              <w:autoSpaceDN w:val="0"/>
              <w:adjustRightInd w:val="0"/>
              <w:rPr>
                <w:del w:id="12122" w:author="AbbVie19" w:date="2025-04-16T12:22:00Z"/>
                <w:b/>
                <w:bCs/>
                <w:szCs w:val="22"/>
                <w:lang w:val="bg-BG"/>
              </w:rPr>
            </w:pPr>
            <w:del w:id="12123" w:author="AbbVie19" w:date="2025-04-16T12:22:00Z">
              <w:r w:rsidRPr="00BC0E7E">
                <w:rPr>
                  <w:b/>
                  <w:bCs/>
                  <w:szCs w:val="22"/>
                  <w:lang w:val="bg-BG"/>
                </w:rPr>
                <w:delText>България</w:delText>
              </w:r>
            </w:del>
          </w:p>
          <w:p w14:paraId="7CC41AE6" w14:textId="77777777" w:rsidR="00BC0E7E" w:rsidRPr="00BC0E7E" w:rsidRDefault="00944B8F" w:rsidP="00171601">
            <w:pPr>
              <w:autoSpaceDE w:val="0"/>
              <w:autoSpaceDN w:val="0"/>
              <w:adjustRightInd w:val="0"/>
              <w:rPr>
                <w:del w:id="12124" w:author="AbbVie19" w:date="2025-04-16T12:22:00Z"/>
                <w:szCs w:val="22"/>
                <w:lang w:val="da-DK"/>
              </w:rPr>
            </w:pPr>
            <w:del w:id="12125" w:author="AbbVie19" w:date="2025-04-16T12:22:00Z">
              <w:r w:rsidRPr="00BC0E7E">
                <w:rPr>
                  <w:rFonts w:eastAsia="MS Mincho"/>
                  <w:color w:val="000000"/>
                  <w:szCs w:val="22"/>
                  <w:lang w:eastAsia="ja-JP"/>
                </w:rPr>
                <w:delText>АбВи ЕООД</w:delText>
              </w:r>
            </w:del>
          </w:p>
          <w:p w14:paraId="0A48F287" w14:textId="77777777" w:rsidR="00BC0E7E" w:rsidRPr="00BC0E7E" w:rsidRDefault="00944B8F" w:rsidP="00171601">
            <w:pPr>
              <w:tabs>
                <w:tab w:val="left" w:pos="-720"/>
              </w:tabs>
              <w:rPr>
                <w:del w:id="12126" w:author="AbbVie19" w:date="2025-04-16T12:22:00Z"/>
                <w:bCs/>
                <w:szCs w:val="22"/>
                <w:lang w:val="da-DK"/>
              </w:rPr>
            </w:pPr>
            <w:del w:id="12127" w:author="AbbVie19" w:date="2025-04-16T12:22:00Z">
              <w:r w:rsidRPr="00BC0E7E">
                <w:rPr>
                  <w:rFonts w:eastAsia="MS Mincho"/>
                  <w:color w:val="000000"/>
                  <w:szCs w:val="22"/>
                  <w:lang w:eastAsia="ja-JP"/>
                </w:rPr>
                <w:delText>Тел</w:delText>
              </w:r>
              <w:r w:rsidRPr="00BC0E7E">
                <w:rPr>
                  <w:rFonts w:eastAsia="MS Mincho"/>
                  <w:color w:val="000000"/>
                  <w:szCs w:val="22"/>
                  <w:lang w:val="it-IT" w:eastAsia="ja-JP"/>
                </w:rPr>
                <w:delText>.:+359 2 90 30 430</w:delText>
              </w:r>
            </w:del>
          </w:p>
        </w:tc>
        <w:tc>
          <w:tcPr>
            <w:tcW w:w="4678" w:type="dxa"/>
          </w:tcPr>
          <w:p w14:paraId="2B8CDA05" w14:textId="77777777" w:rsidR="00BC0E7E" w:rsidRPr="00BC0E7E" w:rsidRDefault="00944B8F" w:rsidP="00171601">
            <w:pPr>
              <w:rPr>
                <w:del w:id="12128" w:author="AbbVie19" w:date="2025-04-16T12:22:00Z"/>
                <w:b/>
                <w:bCs/>
                <w:szCs w:val="22"/>
                <w:lang w:val="de-DE"/>
              </w:rPr>
            </w:pPr>
            <w:del w:id="12129" w:author="AbbVie19" w:date="2025-04-16T12:22:00Z">
              <w:r w:rsidRPr="00BC0E7E">
                <w:rPr>
                  <w:b/>
                  <w:bCs/>
                  <w:szCs w:val="22"/>
                  <w:lang w:val="de-DE"/>
                </w:rPr>
                <w:delText>Luxembourg/Luxemburg</w:delText>
              </w:r>
            </w:del>
          </w:p>
          <w:p w14:paraId="5594B567" w14:textId="77777777" w:rsidR="00BC0E7E" w:rsidRPr="00BC0E7E" w:rsidRDefault="00944B8F" w:rsidP="00171601">
            <w:pPr>
              <w:rPr>
                <w:del w:id="12130" w:author="AbbVie19" w:date="2025-04-16T12:22:00Z"/>
                <w:bCs/>
                <w:szCs w:val="22"/>
                <w:lang w:val="de-DE"/>
              </w:rPr>
            </w:pPr>
            <w:del w:id="12131" w:author="AbbVie19" w:date="2025-04-16T12:22:00Z">
              <w:r w:rsidRPr="00BC0E7E">
                <w:rPr>
                  <w:bCs/>
                  <w:szCs w:val="22"/>
                  <w:lang w:val="de-DE"/>
                </w:rPr>
                <w:delText>AbbVie SA</w:delText>
              </w:r>
            </w:del>
          </w:p>
          <w:p w14:paraId="4500041D" w14:textId="77777777" w:rsidR="00BC0E7E" w:rsidRPr="00BC0E7E" w:rsidRDefault="00944B8F" w:rsidP="00171601">
            <w:pPr>
              <w:tabs>
                <w:tab w:val="center" w:pos="2231"/>
              </w:tabs>
              <w:rPr>
                <w:del w:id="12132" w:author="AbbVie19" w:date="2025-04-16T12:22:00Z"/>
                <w:bCs/>
                <w:szCs w:val="22"/>
                <w:lang w:val="de-DE"/>
              </w:rPr>
            </w:pPr>
            <w:del w:id="12133" w:author="AbbVie19" w:date="2025-04-16T12:22:00Z">
              <w:r w:rsidRPr="00BC0E7E">
                <w:rPr>
                  <w:bCs/>
                  <w:szCs w:val="22"/>
                  <w:lang w:val="de-DE"/>
                </w:rPr>
                <w:delText>Belgique/Belgien</w:delText>
              </w:r>
            </w:del>
          </w:p>
          <w:p w14:paraId="2CAAA241" w14:textId="77777777" w:rsidR="00BC0E7E" w:rsidRPr="000B7DC1" w:rsidRDefault="00944B8F" w:rsidP="00171601">
            <w:pPr>
              <w:rPr>
                <w:del w:id="12134" w:author="AbbVie19" w:date="2025-04-16T12:22:00Z"/>
                <w:szCs w:val="22"/>
                <w:lang w:val="en-US"/>
                <w:rPrChange w:id="12135" w:author="AbbVie33" w:date="2025-05-05T10:55:00Z">
                  <w:rPr>
                    <w:del w:id="12136" w:author="AbbVie19" w:date="2025-04-16T12:22:00Z"/>
                    <w:bCs/>
                    <w:szCs w:val="22"/>
                    <w:lang w:val="fr-FR"/>
                  </w:rPr>
                </w:rPrChange>
              </w:rPr>
            </w:pPr>
            <w:del w:id="12137" w:author="AbbVie19" w:date="2025-04-16T12:22:00Z">
              <w:r w:rsidRPr="000B7DC1">
                <w:rPr>
                  <w:szCs w:val="22"/>
                  <w:lang w:val="en-US"/>
                  <w:rPrChange w:id="12138" w:author="AbbVie33" w:date="2025-05-05T10:55:00Z">
                    <w:rPr>
                      <w:bCs/>
                      <w:szCs w:val="22"/>
                      <w:lang w:val="fr-FR"/>
                    </w:rPr>
                  </w:rPrChange>
                </w:rPr>
                <w:delText>Tél/Tel: +32 10 477811</w:delText>
              </w:r>
            </w:del>
          </w:p>
          <w:p w14:paraId="291F69A9" w14:textId="77777777" w:rsidR="00504E25" w:rsidRPr="000B7DC1" w:rsidRDefault="00504E25" w:rsidP="00171601">
            <w:pPr>
              <w:rPr>
                <w:del w:id="12139" w:author="AbbVie19" w:date="2025-04-16T12:22:00Z"/>
                <w:szCs w:val="22"/>
                <w:lang w:val="en-US"/>
                <w:rPrChange w:id="12140" w:author="AbbVie33" w:date="2025-05-05T10:55:00Z">
                  <w:rPr>
                    <w:del w:id="12141" w:author="AbbVie19" w:date="2025-04-16T12:22:00Z"/>
                    <w:bCs/>
                    <w:szCs w:val="22"/>
                    <w:lang w:val="fr-FR"/>
                  </w:rPr>
                </w:rPrChange>
              </w:rPr>
            </w:pPr>
          </w:p>
        </w:tc>
      </w:tr>
      <w:tr w:rsidR="00C6578C" w14:paraId="2E1F2948" w14:textId="77777777" w:rsidTr="00171601">
        <w:trPr>
          <w:gridBefore w:val="1"/>
          <w:wBefore w:w="34" w:type="dxa"/>
          <w:cantSplit/>
          <w:del w:id="12142" w:author="AbbVie19" w:date="2025-04-16T12:22:00Z"/>
        </w:trPr>
        <w:tc>
          <w:tcPr>
            <w:tcW w:w="4644" w:type="dxa"/>
          </w:tcPr>
          <w:p w14:paraId="73384052" w14:textId="77777777" w:rsidR="00BC0E7E" w:rsidRPr="00BC0E7E" w:rsidRDefault="00944B8F" w:rsidP="00171601">
            <w:pPr>
              <w:rPr>
                <w:del w:id="12143" w:author="AbbVie19" w:date="2025-04-16T12:22:00Z"/>
                <w:b/>
                <w:bCs/>
                <w:szCs w:val="22"/>
                <w:lang w:val="de-DE"/>
              </w:rPr>
            </w:pPr>
            <w:del w:id="12144" w:author="AbbVie19" w:date="2025-04-16T12:22:00Z">
              <w:r w:rsidRPr="00BC0E7E">
                <w:rPr>
                  <w:b/>
                  <w:bCs/>
                  <w:szCs w:val="22"/>
                  <w:lang w:val="de-DE"/>
                </w:rPr>
                <w:lastRenderedPageBreak/>
                <w:delText>Česká republika</w:delText>
              </w:r>
            </w:del>
          </w:p>
          <w:p w14:paraId="50087DC7" w14:textId="77777777" w:rsidR="00BC0E7E" w:rsidRPr="00BC0E7E" w:rsidRDefault="00944B8F" w:rsidP="00171601">
            <w:pPr>
              <w:rPr>
                <w:del w:id="12145" w:author="AbbVie19" w:date="2025-04-16T12:22:00Z"/>
                <w:bCs/>
                <w:szCs w:val="22"/>
                <w:lang w:val="de-DE"/>
              </w:rPr>
            </w:pPr>
            <w:del w:id="12146" w:author="AbbVie19" w:date="2025-04-16T12:22:00Z">
              <w:r w:rsidRPr="00BC0E7E">
                <w:rPr>
                  <w:bCs/>
                  <w:szCs w:val="22"/>
                  <w:lang w:val="de-DE"/>
                </w:rPr>
                <w:delText xml:space="preserve">AbbVie s.r.o. </w:delText>
              </w:r>
            </w:del>
          </w:p>
          <w:p w14:paraId="70CE1C06" w14:textId="77777777" w:rsidR="00BC0E7E" w:rsidRDefault="00944B8F" w:rsidP="00171601">
            <w:pPr>
              <w:rPr>
                <w:del w:id="12147" w:author="AbbVie19" w:date="2025-04-16T12:22:00Z"/>
                <w:bCs/>
                <w:szCs w:val="22"/>
                <w:lang w:val="de-DE"/>
              </w:rPr>
            </w:pPr>
            <w:del w:id="12148" w:author="AbbVie19" w:date="2025-04-16T12:22:00Z">
              <w:r w:rsidRPr="00BC0E7E">
                <w:rPr>
                  <w:bCs/>
                  <w:szCs w:val="22"/>
                  <w:lang w:val="de-DE"/>
                </w:rPr>
                <w:delText>Tel: +420 233 098 111</w:delText>
              </w:r>
            </w:del>
          </w:p>
          <w:p w14:paraId="2E15FF20" w14:textId="77777777" w:rsidR="00504E25" w:rsidRPr="00BC0E7E" w:rsidRDefault="00504E25" w:rsidP="00171601">
            <w:pPr>
              <w:rPr>
                <w:del w:id="12149" w:author="AbbVie19" w:date="2025-04-16T12:22:00Z"/>
                <w:bCs/>
                <w:szCs w:val="22"/>
                <w:lang w:val="de-DE"/>
              </w:rPr>
            </w:pPr>
          </w:p>
        </w:tc>
        <w:tc>
          <w:tcPr>
            <w:tcW w:w="4678" w:type="dxa"/>
          </w:tcPr>
          <w:p w14:paraId="1CE94CAA" w14:textId="77777777" w:rsidR="00BC0E7E" w:rsidRPr="00BC0E7E" w:rsidRDefault="00944B8F" w:rsidP="00171601">
            <w:pPr>
              <w:rPr>
                <w:del w:id="12150" w:author="AbbVie19" w:date="2025-04-16T12:22:00Z"/>
                <w:b/>
                <w:bCs/>
                <w:szCs w:val="22"/>
                <w:lang w:val="hu-HU"/>
              </w:rPr>
            </w:pPr>
            <w:del w:id="12151" w:author="AbbVie19" w:date="2025-04-16T12:22:00Z">
              <w:r w:rsidRPr="00BC0E7E">
                <w:rPr>
                  <w:b/>
                  <w:bCs/>
                  <w:szCs w:val="22"/>
                  <w:lang w:val="hu-HU"/>
                </w:rPr>
                <w:delText>Magyarország</w:delText>
              </w:r>
            </w:del>
          </w:p>
          <w:p w14:paraId="3D2EC7A9" w14:textId="77777777" w:rsidR="00BC0E7E" w:rsidRPr="00BC0E7E" w:rsidRDefault="00944B8F" w:rsidP="00171601">
            <w:pPr>
              <w:rPr>
                <w:del w:id="12152" w:author="AbbVie19" w:date="2025-04-16T12:22:00Z"/>
                <w:bCs/>
                <w:szCs w:val="22"/>
                <w:lang w:val="hu-HU"/>
              </w:rPr>
            </w:pPr>
            <w:del w:id="12153" w:author="AbbVie19" w:date="2025-04-16T12:22:00Z">
              <w:r w:rsidRPr="00BC0E7E">
                <w:rPr>
                  <w:bCs/>
                  <w:szCs w:val="22"/>
                  <w:lang w:val="hu-HU"/>
                </w:rPr>
                <w:delText>AbbVie Kft.</w:delText>
              </w:r>
            </w:del>
          </w:p>
          <w:p w14:paraId="46AE772F" w14:textId="77777777" w:rsidR="00BC0E7E" w:rsidRPr="00BC0E7E" w:rsidRDefault="00944B8F" w:rsidP="00171601">
            <w:pPr>
              <w:tabs>
                <w:tab w:val="left" w:pos="2380"/>
              </w:tabs>
              <w:rPr>
                <w:del w:id="12154" w:author="AbbVie19" w:date="2025-04-16T12:22:00Z"/>
                <w:bCs/>
                <w:szCs w:val="22"/>
                <w:lang w:val="hu-HU"/>
              </w:rPr>
            </w:pPr>
            <w:del w:id="12155" w:author="AbbVie19" w:date="2025-04-16T12:22:00Z">
              <w:r w:rsidRPr="00BC0E7E">
                <w:rPr>
                  <w:bCs/>
                  <w:szCs w:val="22"/>
                  <w:lang w:val="hu-HU"/>
                </w:rPr>
                <w:delText>Tel.:+36 1 455 8600</w:delText>
              </w:r>
            </w:del>
          </w:p>
        </w:tc>
      </w:tr>
      <w:tr w:rsidR="00C6578C" w14:paraId="0BED0B6E" w14:textId="77777777" w:rsidTr="00171601">
        <w:trPr>
          <w:gridBefore w:val="1"/>
          <w:wBefore w:w="34" w:type="dxa"/>
          <w:trHeight w:val="747"/>
          <w:del w:id="12156" w:author="AbbVie19" w:date="2025-04-16T12:22:00Z"/>
        </w:trPr>
        <w:tc>
          <w:tcPr>
            <w:tcW w:w="4644" w:type="dxa"/>
          </w:tcPr>
          <w:p w14:paraId="7C7F7583" w14:textId="77777777" w:rsidR="00BC0E7E" w:rsidRPr="00BC0E7E" w:rsidRDefault="00944B8F" w:rsidP="00171601">
            <w:pPr>
              <w:rPr>
                <w:del w:id="12157" w:author="AbbVie19" w:date="2025-04-16T12:22:00Z"/>
                <w:b/>
                <w:bCs/>
                <w:szCs w:val="22"/>
              </w:rPr>
            </w:pPr>
            <w:del w:id="12158" w:author="AbbVie19" w:date="2025-04-16T12:22:00Z">
              <w:r w:rsidRPr="00BC0E7E">
                <w:rPr>
                  <w:b/>
                  <w:bCs/>
                  <w:szCs w:val="22"/>
                </w:rPr>
                <w:delText>Danmark</w:delText>
              </w:r>
            </w:del>
          </w:p>
          <w:p w14:paraId="40CC11EF" w14:textId="77777777" w:rsidR="00BC0E7E" w:rsidRPr="00BC0E7E" w:rsidRDefault="00944B8F" w:rsidP="00171601">
            <w:pPr>
              <w:rPr>
                <w:del w:id="12159" w:author="AbbVie19" w:date="2025-04-16T12:22:00Z"/>
                <w:bCs/>
                <w:szCs w:val="22"/>
              </w:rPr>
            </w:pPr>
            <w:del w:id="12160" w:author="AbbVie19" w:date="2025-04-16T12:22:00Z">
              <w:r w:rsidRPr="00BC0E7E">
                <w:rPr>
                  <w:bCs/>
                  <w:szCs w:val="22"/>
                </w:rPr>
                <w:delText>AbbVie A/S</w:delText>
              </w:r>
            </w:del>
          </w:p>
          <w:p w14:paraId="6FD8D4AA" w14:textId="77777777" w:rsidR="00BC0E7E" w:rsidRDefault="00944B8F" w:rsidP="00171601">
            <w:pPr>
              <w:rPr>
                <w:del w:id="12161" w:author="AbbVie19" w:date="2025-04-16T12:22:00Z"/>
                <w:bCs/>
                <w:szCs w:val="22"/>
              </w:rPr>
            </w:pPr>
            <w:del w:id="12162" w:author="AbbVie19" w:date="2025-04-16T12:22:00Z">
              <w:r w:rsidRPr="00BC0E7E">
                <w:rPr>
                  <w:bCs/>
                  <w:szCs w:val="22"/>
                </w:rPr>
                <w:delText>Tlf: +45 72 30-20-28</w:delText>
              </w:r>
            </w:del>
          </w:p>
          <w:p w14:paraId="6C636B9A" w14:textId="77777777" w:rsidR="00504E25" w:rsidRPr="00BC0E7E" w:rsidRDefault="00504E25" w:rsidP="00171601">
            <w:pPr>
              <w:rPr>
                <w:del w:id="12163" w:author="AbbVie19" w:date="2025-04-16T12:22:00Z"/>
                <w:bCs/>
                <w:szCs w:val="22"/>
              </w:rPr>
            </w:pPr>
          </w:p>
        </w:tc>
        <w:tc>
          <w:tcPr>
            <w:tcW w:w="4678" w:type="dxa"/>
          </w:tcPr>
          <w:p w14:paraId="3D23D7E0" w14:textId="77777777" w:rsidR="00BC0E7E" w:rsidRPr="00BC0E7E" w:rsidRDefault="00944B8F" w:rsidP="00171601">
            <w:pPr>
              <w:rPr>
                <w:del w:id="12164" w:author="AbbVie19" w:date="2025-04-16T12:22:00Z"/>
                <w:b/>
                <w:bCs/>
                <w:szCs w:val="22"/>
                <w:lang w:val="mt-MT"/>
              </w:rPr>
            </w:pPr>
            <w:del w:id="12165" w:author="AbbVie19" w:date="2025-04-16T12:22:00Z">
              <w:r w:rsidRPr="00BC0E7E">
                <w:rPr>
                  <w:b/>
                  <w:bCs/>
                  <w:szCs w:val="22"/>
                  <w:lang w:val="mt-MT"/>
                </w:rPr>
                <w:delText>Malta</w:delText>
              </w:r>
            </w:del>
          </w:p>
          <w:p w14:paraId="231D79A1" w14:textId="77777777" w:rsidR="00BC0E7E" w:rsidRPr="00BC0E7E" w:rsidRDefault="00944B8F" w:rsidP="00171601">
            <w:pPr>
              <w:rPr>
                <w:del w:id="12166" w:author="AbbVie19" w:date="2025-04-16T12:22:00Z"/>
                <w:bCs/>
                <w:szCs w:val="22"/>
                <w:lang w:val="sv-SE"/>
              </w:rPr>
            </w:pPr>
            <w:del w:id="12167" w:author="AbbVie19" w:date="2025-04-16T12:22:00Z">
              <w:r w:rsidRPr="00BC0E7E">
                <w:rPr>
                  <w:bCs/>
                  <w:szCs w:val="22"/>
                  <w:lang w:val="sv-SE"/>
                </w:rPr>
                <w:delText xml:space="preserve">V.J.Salomone Pharma Limited </w:delText>
              </w:r>
            </w:del>
          </w:p>
          <w:p w14:paraId="3CCFD361" w14:textId="77777777" w:rsidR="00BC0E7E" w:rsidRPr="00BC0E7E" w:rsidRDefault="00944B8F" w:rsidP="00171601">
            <w:pPr>
              <w:rPr>
                <w:del w:id="12168" w:author="AbbVie19" w:date="2025-04-16T12:22:00Z"/>
                <w:bCs/>
                <w:szCs w:val="22"/>
              </w:rPr>
            </w:pPr>
            <w:del w:id="12169" w:author="AbbVie19" w:date="2025-04-16T12:22:00Z">
              <w:r w:rsidRPr="00BC0E7E">
                <w:rPr>
                  <w:bCs/>
                  <w:szCs w:val="22"/>
                </w:rPr>
                <w:delText xml:space="preserve">Tel: </w:delText>
              </w:r>
              <w:r w:rsidR="00B745CF">
                <w:rPr>
                  <w:bCs/>
                  <w:szCs w:val="22"/>
                </w:rPr>
                <w:delText>+356 21220174</w:delText>
              </w:r>
            </w:del>
          </w:p>
        </w:tc>
      </w:tr>
      <w:tr w:rsidR="00C6578C" w14:paraId="246EEB0B" w14:textId="77777777" w:rsidTr="00171601">
        <w:trPr>
          <w:gridBefore w:val="1"/>
          <w:wBefore w:w="34" w:type="dxa"/>
          <w:del w:id="12170" w:author="AbbVie19" w:date="2025-04-16T12:22:00Z"/>
        </w:trPr>
        <w:tc>
          <w:tcPr>
            <w:tcW w:w="4644" w:type="dxa"/>
          </w:tcPr>
          <w:p w14:paraId="1FDC309D" w14:textId="77777777" w:rsidR="00BC0E7E" w:rsidRPr="00BC0E7E" w:rsidRDefault="00944B8F" w:rsidP="00171601">
            <w:pPr>
              <w:rPr>
                <w:del w:id="12171" w:author="AbbVie19" w:date="2025-04-16T12:22:00Z"/>
                <w:b/>
                <w:bCs/>
                <w:szCs w:val="22"/>
                <w:lang w:val="de-DE"/>
              </w:rPr>
            </w:pPr>
            <w:del w:id="12172" w:author="AbbVie19" w:date="2025-04-16T12:22:00Z">
              <w:r w:rsidRPr="00BC0E7E">
                <w:rPr>
                  <w:b/>
                  <w:bCs/>
                  <w:szCs w:val="22"/>
                  <w:lang w:val="de-DE"/>
                </w:rPr>
                <w:delText>Deutschland</w:delText>
              </w:r>
            </w:del>
          </w:p>
          <w:p w14:paraId="5D41AC9C" w14:textId="77777777" w:rsidR="00BC0E7E" w:rsidRPr="00BC0E7E" w:rsidRDefault="00944B8F" w:rsidP="00171601">
            <w:pPr>
              <w:rPr>
                <w:del w:id="12173" w:author="AbbVie19" w:date="2025-04-16T12:22:00Z"/>
                <w:bCs/>
                <w:szCs w:val="22"/>
                <w:lang w:val="de-DE"/>
              </w:rPr>
            </w:pPr>
            <w:del w:id="12174" w:author="AbbVie19" w:date="2025-04-16T12:22:00Z">
              <w:r w:rsidRPr="00BC0E7E">
                <w:rPr>
                  <w:szCs w:val="22"/>
                  <w:lang w:val="de-DE"/>
                </w:rPr>
                <w:delText xml:space="preserve">AbbVie Deutschland </w:delText>
              </w:r>
              <w:r w:rsidRPr="00BC0E7E">
                <w:rPr>
                  <w:bCs/>
                  <w:szCs w:val="22"/>
                  <w:lang w:val="de-DE"/>
                </w:rPr>
                <w:delText>GmbH &amp; Co. KG</w:delText>
              </w:r>
            </w:del>
          </w:p>
          <w:p w14:paraId="3B87B1A4" w14:textId="77777777" w:rsidR="00BC0E7E" w:rsidRPr="00BC0E7E" w:rsidRDefault="00944B8F" w:rsidP="00171601">
            <w:pPr>
              <w:rPr>
                <w:del w:id="12175" w:author="AbbVie19" w:date="2025-04-16T12:22:00Z"/>
                <w:szCs w:val="22"/>
                <w:lang w:val="de-DE"/>
              </w:rPr>
            </w:pPr>
            <w:del w:id="12176" w:author="AbbVie19" w:date="2025-04-16T12:22:00Z">
              <w:r w:rsidRPr="00BC0E7E">
                <w:rPr>
                  <w:szCs w:val="22"/>
                  <w:lang w:val="de-DE"/>
                </w:rPr>
                <w:delText>Tel: 00800 222843 33 (gebührenfrei)</w:delText>
              </w:r>
            </w:del>
          </w:p>
          <w:p w14:paraId="5FB6B9AB" w14:textId="77777777" w:rsidR="00BC0E7E" w:rsidRDefault="00944B8F" w:rsidP="00171601">
            <w:pPr>
              <w:rPr>
                <w:del w:id="12177" w:author="AbbVie19" w:date="2025-04-16T12:22:00Z"/>
                <w:szCs w:val="22"/>
                <w:lang w:val="de-DE"/>
              </w:rPr>
            </w:pPr>
            <w:del w:id="12178" w:author="AbbVie19" w:date="2025-04-16T12:22:00Z">
              <w:r w:rsidRPr="00BC0E7E">
                <w:rPr>
                  <w:szCs w:val="22"/>
                  <w:lang w:val="de-DE"/>
                </w:rPr>
                <w:delText>Tel: +49 (0) 611 / 1720-0</w:delText>
              </w:r>
            </w:del>
          </w:p>
          <w:p w14:paraId="7FFDADD5" w14:textId="77777777" w:rsidR="00504E25" w:rsidRPr="00BC0E7E" w:rsidRDefault="00504E25" w:rsidP="00171601">
            <w:pPr>
              <w:rPr>
                <w:del w:id="12179" w:author="AbbVie19" w:date="2025-04-16T12:22:00Z"/>
                <w:szCs w:val="22"/>
                <w:lang w:val="de-DE"/>
              </w:rPr>
            </w:pPr>
          </w:p>
        </w:tc>
        <w:tc>
          <w:tcPr>
            <w:tcW w:w="4678" w:type="dxa"/>
          </w:tcPr>
          <w:p w14:paraId="4202C6FB" w14:textId="77777777" w:rsidR="00BC0E7E" w:rsidRPr="00BC0E7E" w:rsidRDefault="00944B8F" w:rsidP="00171601">
            <w:pPr>
              <w:rPr>
                <w:del w:id="12180" w:author="AbbVie19" w:date="2025-04-16T12:22:00Z"/>
                <w:b/>
                <w:bCs/>
                <w:szCs w:val="22"/>
                <w:lang w:val="nl-NL"/>
              </w:rPr>
            </w:pPr>
            <w:del w:id="12181" w:author="AbbVie19" w:date="2025-04-16T12:22:00Z">
              <w:r w:rsidRPr="00BC0E7E">
                <w:rPr>
                  <w:b/>
                  <w:bCs/>
                  <w:szCs w:val="22"/>
                  <w:lang w:val="nl-NL"/>
                </w:rPr>
                <w:delText>Nederland</w:delText>
              </w:r>
            </w:del>
          </w:p>
          <w:p w14:paraId="7F9855BC" w14:textId="77777777" w:rsidR="00BC0E7E" w:rsidRPr="00BC0E7E" w:rsidRDefault="00944B8F" w:rsidP="00171601">
            <w:pPr>
              <w:rPr>
                <w:del w:id="12182" w:author="AbbVie19" w:date="2025-04-16T12:22:00Z"/>
                <w:bCs/>
                <w:szCs w:val="22"/>
                <w:lang w:val="de-DE"/>
              </w:rPr>
            </w:pPr>
            <w:del w:id="12183" w:author="AbbVie19" w:date="2025-04-16T12:22:00Z">
              <w:r w:rsidRPr="00BC0E7E">
                <w:rPr>
                  <w:bCs/>
                  <w:szCs w:val="22"/>
                  <w:lang w:val="de-DE"/>
                </w:rPr>
                <w:delText>AbbVie B.V.</w:delText>
              </w:r>
            </w:del>
          </w:p>
          <w:p w14:paraId="121E033D" w14:textId="77777777" w:rsidR="00BC0E7E" w:rsidRPr="00BC0E7E" w:rsidRDefault="00944B8F" w:rsidP="00171601">
            <w:pPr>
              <w:rPr>
                <w:del w:id="12184" w:author="AbbVie19" w:date="2025-04-16T12:22:00Z"/>
                <w:bCs/>
                <w:szCs w:val="22"/>
                <w:lang w:val="de-DE"/>
              </w:rPr>
            </w:pPr>
            <w:del w:id="12185" w:author="AbbVie19" w:date="2025-04-16T12:22:00Z">
              <w:r w:rsidRPr="00BC0E7E">
                <w:rPr>
                  <w:bCs/>
                  <w:szCs w:val="22"/>
                  <w:lang w:val="de-DE"/>
                </w:rPr>
                <w:delText>Tel:  +31 (0)88 322 2843</w:delText>
              </w:r>
            </w:del>
          </w:p>
        </w:tc>
      </w:tr>
      <w:tr w:rsidR="00C6578C" w14:paraId="16B49AD9" w14:textId="77777777" w:rsidTr="00171601">
        <w:trPr>
          <w:gridBefore w:val="1"/>
          <w:wBefore w:w="34" w:type="dxa"/>
          <w:del w:id="12186" w:author="AbbVie19" w:date="2025-04-16T12:22:00Z"/>
        </w:trPr>
        <w:tc>
          <w:tcPr>
            <w:tcW w:w="4644" w:type="dxa"/>
          </w:tcPr>
          <w:p w14:paraId="4E3BBB18" w14:textId="77777777" w:rsidR="00BC0E7E" w:rsidRPr="00BC0E7E" w:rsidRDefault="00944B8F" w:rsidP="00171601">
            <w:pPr>
              <w:rPr>
                <w:del w:id="12187" w:author="AbbVie19" w:date="2025-04-16T12:22:00Z"/>
                <w:b/>
                <w:bCs/>
                <w:szCs w:val="22"/>
                <w:lang w:val="et-EE"/>
              </w:rPr>
            </w:pPr>
            <w:del w:id="12188" w:author="AbbVie19" w:date="2025-04-16T12:22:00Z">
              <w:r w:rsidRPr="00BC0E7E">
                <w:rPr>
                  <w:b/>
                  <w:bCs/>
                  <w:szCs w:val="22"/>
                  <w:lang w:val="et-EE"/>
                </w:rPr>
                <w:delText>Eesti</w:delText>
              </w:r>
            </w:del>
          </w:p>
          <w:p w14:paraId="6485671A" w14:textId="77777777" w:rsidR="00BC0E7E" w:rsidRPr="00BC0E7E" w:rsidRDefault="00944B8F" w:rsidP="00171601">
            <w:pPr>
              <w:rPr>
                <w:del w:id="12189" w:author="AbbVie19" w:date="2025-04-16T12:22:00Z"/>
                <w:bCs/>
                <w:szCs w:val="22"/>
                <w:lang w:val="et-EE"/>
              </w:rPr>
            </w:pPr>
            <w:del w:id="12190" w:author="AbbVie19" w:date="2025-04-16T12:22:00Z">
              <w:r w:rsidRPr="00BC0E7E">
                <w:rPr>
                  <w:bCs/>
                  <w:szCs w:val="22"/>
                  <w:lang w:val="et-EE"/>
                </w:rPr>
                <w:delText xml:space="preserve">AbbVie </w:delText>
              </w:r>
              <w:r w:rsidR="001B6F9C" w:rsidRPr="00F66039">
                <w:rPr>
                  <w:bCs/>
                  <w:szCs w:val="22"/>
                </w:rPr>
                <w:delText>OÜ</w:delText>
              </w:r>
            </w:del>
          </w:p>
          <w:p w14:paraId="6CD1330C" w14:textId="77777777" w:rsidR="00BC0E7E" w:rsidRDefault="00944B8F" w:rsidP="00171601">
            <w:pPr>
              <w:rPr>
                <w:del w:id="12191" w:author="AbbVie19" w:date="2025-04-16T12:22:00Z"/>
                <w:bCs/>
                <w:szCs w:val="22"/>
                <w:lang w:val="et-EE"/>
              </w:rPr>
            </w:pPr>
            <w:del w:id="12192" w:author="AbbVie19" w:date="2025-04-16T12:22:00Z">
              <w:r w:rsidRPr="00BC0E7E">
                <w:rPr>
                  <w:bCs/>
                  <w:szCs w:val="22"/>
                  <w:lang w:val="et-EE"/>
                </w:rPr>
                <w:delText>Tel: +372 623 1011</w:delText>
              </w:r>
            </w:del>
          </w:p>
          <w:p w14:paraId="30A05510" w14:textId="77777777" w:rsidR="00504E25" w:rsidRPr="00BC0E7E" w:rsidRDefault="00504E25" w:rsidP="00171601">
            <w:pPr>
              <w:rPr>
                <w:del w:id="12193" w:author="AbbVie19" w:date="2025-04-16T12:22:00Z"/>
                <w:bCs/>
                <w:szCs w:val="22"/>
                <w:lang w:val="lv-LV"/>
              </w:rPr>
            </w:pPr>
          </w:p>
        </w:tc>
        <w:tc>
          <w:tcPr>
            <w:tcW w:w="4678" w:type="dxa"/>
          </w:tcPr>
          <w:p w14:paraId="11EC0A7A" w14:textId="77777777" w:rsidR="00BC0E7E" w:rsidRPr="009C43CF" w:rsidRDefault="00944B8F" w:rsidP="00171601">
            <w:pPr>
              <w:rPr>
                <w:del w:id="12194" w:author="AbbVie19" w:date="2025-04-16T12:22:00Z"/>
                <w:b/>
                <w:bCs/>
                <w:szCs w:val="22"/>
                <w:lang w:val="en-US"/>
                <w:rPrChange w:id="12195" w:author="AbbVie19" w:date="2025-04-17T10:29:00Z">
                  <w:rPr>
                    <w:del w:id="12196" w:author="AbbVie19" w:date="2025-04-16T12:22:00Z"/>
                    <w:b/>
                    <w:bCs/>
                    <w:szCs w:val="22"/>
                    <w:lang w:val="nb-NO"/>
                  </w:rPr>
                </w:rPrChange>
              </w:rPr>
            </w:pPr>
            <w:del w:id="12197" w:author="AbbVie19" w:date="2025-04-16T12:22:00Z">
              <w:r w:rsidRPr="009C43CF">
                <w:rPr>
                  <w:b/>
                  <w:bCs/>
                  <w:szCs w:val="22"/>
                  <w:lang w:val="en-US"/>
                  <w:rPrChange w:id="12198" w:author="AbbVie19" w:date="2025-04-17T10:29:00Z">
                    <w:rPr>
                      <w:b/>
                      <w:bCs/>
                      <w:szCs w:val="22"/>
                      <w:lang w:val="nb-NO"/>
                    </w:rPr>
                  </w:rPrChange>
                </w:rPr>
                <w:delText>Norge</w:delText>
              </w:r>
            </w:del>
          </w:p>
          <w:p w14:paraId="275A9E9F" w14:textId="77777777" w:rsidR="00BC0E7E" w:rsidRPr="00BC0E7E" w:rsidRDefault="00944B8F" w:rsidP="00171601">
            <w:pPr>
              <w:rPr>
                <w:del w:id="12199" w:author="AbbVie19" w:date="2025-04-16T12:22:00Z"/>
                <w:bCs/>
                <w:szCs w:val="22"/>
              </w:rPr>
            </w:pPr>
            <w:del w:id="12200" w:author="AbbVie19" w:date="2025-04-16T12:22:00Z">
              <w:r w:rsidRPr="00BC0E7E">
                <w:rPr>
                  <w:bCs/>
                  <w:szCs w:val="22"/>
                </w:rPr>
                <w:delText>AbbVie AS</w:delText>
              </w:r>
            </w:del>
          </w:p>
          <w:p w14:paraId="5A840B5B" w14:textId="77777777" w:rsidR="00BC0E7E" w:rsidRPr="00BC0E7E" w:rsidRDefault="00944B8F" w:rsidP="00171601">
            <w:pPr>
              <w:rPr>
                <w:del w:id="12201" w:author="AbbVie19" w:date="2025-04-16T12:22:00Z"/>
                <w:bCs/>
                <w:szCs w:val="22"/>
              </w:rPr>
            </w:pPr>
            <w:del w:id="12202" w:author="AbbVie19" w:date="2025-04-16T12:22:00Z">
              <w:r w:rsidRPr="00BC0E7E">
                <w:rPr>
                  <w:bCs/>
                  <w:szCs w:val="22"/>
                </w:rPr>
                <w:delText>Tlf: +47 67 81 80 00</w:delText>
              </w:r>
            </w:del>
          </w:p>
        </w:tc>
      </w:tr>
      <w:tr w:rsidR="00C6578C" w14:paraId="7D8D97A0" w14:textId="77777777" w:rsidTr="00171601">
        <w:trPr>
          <w:gridBefore w:val="1"/>
          <w:wBefore w:w="34" w:type="dxa"/>
          <w:trHeight w:val="774"/>
          <w:del w:id="12203" w:author="AbbVie19" w:date="2025-04-16T12:22:00Z"/>
        </w:trPr>
        <w:tc>
          <w:tcPr>
            <w:tcW w:w="4644" w:type="dxa"/>
          </w:tcPr>
          <w:p w14:paraId="29A522D1" w14:textId="77777777" w:rsidR="00BC0E7E" w:rsidRPr="00BC0E7E" w:rsidRDefault="00944B8F" w:rsidP="00171601">
            <w:pPr>
              <w:rPr>
                <w:del w:id="12204" w:author="AbbVie19" w:date="2025-04-16T12:22:00Z"/>
                <w:b/>
                <w:bCs/>
                <w:szCs w:val="22"/>
                <w:lang w:val="el-GR"/>
              </w:rPr>
            </w:pPr>
            <w:del w:id="12205" w:author="AbbVie19" w:date="2025-04-16T12:22:00Z">
              <w:r w:rsidRPr="00BC0E7E">
                <w:rPr>
                  <w:b/>
                  <w:bCs/>
                  <w:szCs w:val="22"/>
                  <w:lang w:val="el-GR"/>
                </w:rPr>
                <w:delText>Ελλάδα</w:delText>
              </w:r>
            </w:del>
          </w:p>
          <w:p w14:paraId="3F35774E" w14:textId="77777777" w:rsidR="00BC0E7E" w:rsidRPr="00BC0E7E" w:rsidRDefault="00944B8F" w:rsidP="00171601">
            <w:pPr>
              <w:rPr>
                <w:del w:id="12206" w:author="AbbVie19" w:date="2025-04-16T12:22:00Z"/>
                <w:bCs/>
                <w:szCs w:val="22"/>
                <w:lang w:val="el-GR"/>
              </w:rPr>
            </w:pPr>
            <w:del w:id="12207" w:author="AbbVie19" w:date="2025-04-16T12:22:00Z">
              <w:r w:rsidRPr="00BC0E7E">
                <w:rPr>
                  <w:bCs/>
                  <w:szCs w:val="22"/>
                  <w:lang w:val="et-EE"/>
                </w:rPr>
                <w:delText xml:space="preserve">AbbVie </w:delText>
              </w:r>
              <w:r w:rsidRPr="00BC0E7E">
                <w:rPr>
                  <w:szCs w:val="22"/>
                  <w:lang w:val="el-GR"/>
                </w:rPr>
                <w:delText>ΦΑΡΜΑΚΕΥΤΙΚΗ Α.Ε.</w:delText>
              </w:r>
            </w:del>
          </w:p>
          <w:p w14:paraId="012EBAD7" w14:textId="77777777" w:rsidR="00BC0E7E" w:rsidRDefault="00944B8F" w:rsidP="00171601">
            <w:pPr>
              <w:rPr>
                <w:del w:id="12208" w:author="AbbVie19" w:date="2025-04-16T12:22:00Z"/>
                <w:bCs/>
                <w:szCs w:val="22"/>
              </w:rPr>
            </w:pPr>
            <w:del w:id="12209" w:author="AbbVie19" w:date="2025-04-16T12:22:00Z">
              <w:r w:rsidRPr="00BC0E7E">
                <w:rPr>
                  <w:bCs/>
                  <w:szCs w:val="22"/>
                  <w:lang w:val="el-GR"/>
                </w:rPr>
                <w:delText xml:space="preserve">Τηλ: +30 </w:delText>
              </w:r>
              <w:r w:rsidRPr="00BC0E7E">
                <w:rPr>
                  <w:bCs/>
                  <w:szCs w:val="22"/>
                </w:rPr>
                <w:delText>214 4165 555</w:delText>
              </w:r>
            </w:del>
          </w:p>
          <w:p w14:paraId="78C272DD" w14:textId="77777777" w:rsidR="00504E25" w:rsidRPr="00BC0E7E" w:rsidRDefault="00504E25" w:rsidP="00171601">
            <w:pPr>
              <w:rPr>
                <w:del w:id="12210" w:author="AbbVie19" w:date="2025-04-16T12:22:00Z"/>
                <w:bCs/>
                <w:szCs w:val="22"/>
              </w:rPr>
            </w:pPr>
          </w:p>
        </w:tc>
        <w:tc>
          <w:tcPr>
            <w:tcW w:w="4678" w:type="dxa"/>
          </w:tcPr>
          <w:p w14:paraId="56BD814B" w14:textId="77777777" w:rsidR="00BC0E7E" w:rsidRPr="00BC0E7E" w:rsidRDefault="00944B8F" w:rsidP="00171601">
            <w:pPr>
              <w:rPr>
                <w:del w:id="12211" w:author="AbbVie19" w:date="2025-04-16T12:22:00Z"/>
                <w:b/>
                <w:bCs/>
                <w:szCs w:val="22"/>
                <w:lang w:val="de-DE"/>
              </w:rPr>
            </w:pPr>
            <w:del w:id="12212" w:author="AbbVie19" w:date="2025-04-16T12:22:00Z">
              <w:r w:rsidRPr="00BC0E7E">
                <w:rPr>
                  <w:b/>
                  <w:bCs/>
                  <w:szCs w:val="22"/>
                  <w:lang w:val="de-DE"/>
                </w:rPr>
                <w:delText>Österreich</w:delText>
              </w:r>
            </w:del>
          </w:p>
          <w:p w14:paraId="3F160D1D" w14:textId="77777777" w:rsidR="00BC0E7E" w:rsidRPr="00BC0E7E" w:rsidRDefault="00944B8F" w:rsidP="00171601">
            <w:pPr>
              <w:rPr>
                <w:del w:id="12213" w:author="AbbVie19" w:date="2025-04-16T12:22:00Z"/>
                <w:bCs/>
                <w:szCs w:val="22"/>
                <w:lang w:val="de-DE"/>
              </w:rPr>
            </w:pPr>
            <w:del w:id="12214" w:author="AbbVie19" w:date="2025-04-16T12:22:00Z">
              <w:r w:rsidRPr="00BC0E7E">
                <w:rPr>
                  <w:bCs/>
                  <w:szCs w:val="22"/>
                  <w:lang w:val="de-DE"/>
                </w:rPr>
                <w:delText xml:space="preserve">AbbVie GmbH </w:delText>
              </w:r>
            </w:del>
          </w:p>
          <w:p w14:paraId="4C01D678" w14:textId="77777777" w:rsidR="00BC0E7E" w:rsidRPr="00BC0E7E" w:rsidRDefault="00944B8F" w:rsidP="00171601">
            <w:pPr>
              <w:rPr>
                <w:del w:id="12215" w:author="AbbVie19" w:date="2025-04-16T12:22:00Z"/>
                <w:bCs/>
                <w:szCs w:val="22"/>
                <w:lang w:val="de-DE"/>
              </w:rPr>
            </w:pPr>
            <w:del w:id="12216" w:author="AbbVie19" w:date="2025-04-16T12:22:00Z">
              <w:r w:rsidRPr="00BC0E7E">
                <w:rPr>
                  <w:bCs/>
                  <w:szCs w:val="22"/>
                  <w:lang w:val="de-DE"/>
                </w:rPr>
                <w:delText>Tel: +43 1 20589-0</w:delText>
              </w:r>
            </w:del>
          </w:p>
        </w:tc>
      </w:tr>
      <w:tr w:rsidR="00C6578C" w14:paraId="558CEA5E" w14:textId="77777777" w:rsidTr="00171601">
        <w:trPr>
          <w:gridBefore w:val="1"/>
          <w:wBefore w:w="34" w:type="dxa"/>
          <w:del w:id="12217" w:author="AbbVie19" w:date="2025-04-16T12:22:00Z"/>
        </w:trPr>
        <w:tc>
          <w:tcPr>
            <w:tcW w:w="4644" w:type="dxa"/>
          </w:tcPr>
          <w:p w14:paraId="3BFED3C1" w14:textId="77777777" w:rsidR="00BC0E7E" w:rsidRPr="00BC0E7E" w:rsidRDefault="00944B8F" w:rsidP="00171601">
            <w:pPr>
              <w:rPr>
                <w:del w:id="12218" w:author="AbbVie19" w:date="2025-04-16T12:22:00Z"/>
                <w:b/>
                <w:bCs/>
                <w:szCs w:val="22"/>
                <w:lang w:val="es-ES"/>
              </w:rPr>
            </w:pPr>
            <w:del w:id="12219" w:author="AbbVie19" w:date="2025-04-16T12:22:00Z">
              <w:r w:rsidRPr="00BC0E7E">
                <w:rPr>
                  <w:b/>
                  <w:bCs/>
                  <w:szCs w:val="22"/>
                  <w:lang w:val="es-ES"/>
                </w:rPr>
                <w:delText>España</w:delText>
              </w:r>
            </w:del>
          </w:p>
          <w:p w14:paraId="3A0E6C0E" w14:textId="77777777" w:rsidR="00BC0E7E" w:rsidRPr="00433FAD" w:rsidRDefault="00944B8F" w:rsidP="00171601">
            <w:pPr>
              <w:rPr>
                <w:del w:id="12220" w:author="AbbVie19" w:date="2025-04-16T12:22:00Z"/>
                <w:szCs w:val="22"/>
                <w:lang w:val="es-MX"/>
              </w:rPr>
            </w:pPr>
            <w:del w:id="12221" w:author="AbbVie19" w:date="2025-04-16T12:22:00Z">
              <w:r w:rsidRPr="00433FAD">
                <w:rPr>
                  <w:bCs/>
                  <w:szCs w:val="22"/>
                  <w:lang w:val="es-MX"/>
                </w:rPr>
                <w:delText>AbbVie Spain, S.L.U.</w:delText>
              </w:r>
            </w:del>
          </w:p>
          <w:p w14:paraId="56541FDD" w14:textId="77777777" w:rsidR="00BC0E7E" w:rsidRDefault="00944B8F" w:rsidP="00171601">
            <w:pPr>
              <w:rPr>
                <w:del w:id="12222" w:author="AbbVie19" w:date="2025-04-16T12:22:00Z"/>
                <w:bCs/>
                <w:szCs w:val="22"/>
                <w:lang w:val="pt-PT"/>
              </w:rPr>
            </w:pPr>
            <w:del w:id="12223" w:author="AbbVie19" w:date="2025-04-16T12:22:00Z">
              <w:r w:rsidRPr="00BC0E7E">
                <w:rPr>
                  <w:bCs/>
                  <w:szCs w:val="22"/>
                  <w:lang w:val="pt-PT"/>
                </w:rPr>
                <w:delText>Tel:  +34 91 384 09 10</w:delText>
              </w:r>
            </w:del>
          </w:p>
          <w:p w14:paraId="745745C3" w14:textId="77777777" w:rsidR="00504E25" w:rsidRPr="00BC0E7E" w:rsidRDefault="00504E25" w:rsidP="00171601">
            <w:pPr>
              <w:rPr>
                <w:del w:id="12224" w:author="AbbVie19" w:date="2025-04-16T12:22:00Z"/>
                <w:bCs/>
                <w:szCs w:val="22"/>
                <w:lang w:val="pl-PL"/>
              </w:rPr>
            </w:pPr>
          </w:p>
        </w:tc>
        <w:tc>
          <w:tcPr>
            <w:tcW w:w="4678" w:type="dxa"/>
          </w:tcPr>
          <w:p w14:paraId="531C39EF" w14:textId="77777777" w:rsidR="00BC0E7E" w:rsidRPr="00BC0E7E" w:rsidRDefault="00944B8F" w:rsidP="00171601">
            <w:pPr>
              <w:rPr>
                <w:del w:id="12225" w:author="AbbVie19" w:date="2025-04-16T12:22:00Z"/>
                <w:b/>
                <w:bCs/>
                <w:iCs/>
                <w:szCs w:val="22"/>
                <w:lang w:val="pl-PL"/>
              </w:rPr>
            </w:pPr>
            <w:del w:id="12226" w:author="AbbVie19" w:date="2025-04-16T12:22:00Z">
              <w:r w:rsidRPr="00BC0E7E">
                <w:rPr>
                  <w:b/>
                  <w:bCs/>
                  <w:iCs/>
                  <w:szCs w:val="22"/>
                  <w:lang w:val="pl-PL"/>
                </w:rPr>
                <w:delText>Polska</w:delText>
              </w:r>
            </w:del>
          </w:p>
          <w:p w14:paraId="7CE75578" w14:textId="77777777" w:rsidR="00BC0E7E" w:rsidRPr="00BC0E7E" w:rsidRDefault="00944B8F" w:rsidP="00171601">
            <w:pPr>
              <w:rPr>
                <w:del w:id="12227" w:author="AbbVie19" w:date="2025-04-16T12:22:00Z"/>
                <w:bCs/>
                <w:szCs w:val="22"/>
                <w:lang w:val="pl-PL"/>
              </w:rPr>
            </w:pPr>
            <w:del w:id="12228" w:author="AbbVie19" w:date="2025-04-16T12:22:00Z">
              <w:r w:rsidRPr="00BC0E7E">
                <w:rPr>
                  <w:bCs/>
                  <w:szCs w:val="22"/>
                  <w:lang w:val="pl-PL"/>
                </w:rPr>
                <w:delText>AbbVie Sp. z o.o.</w:delText>
              </w:r>
            </w:del>
          </w:p>
          <w:p w14:paraId="51C6E004" w14:textId="77777777" w:rsidR="00BC0E7E" w:rsidRPr="00BC0E7E" w:rsidRDefault="00944B8F" w:rsidP="00171601">
            <w:pPr>
              <w:tabs>
                <w:tab w:val="center" w:pos="4536"/>
                <w:tab w:val="center" w:pos="8930"/>
              </w:tabs>
              <w:rPr>
                <w:del w:id="12229" w:author="AbbVie19" w:date="2025-04-16T12:22:00Z"/>
                <w:bCs/>
                <w:szCs w:val="22"/>
                <w:lang w:val="pl-PL"/>
              </w:rPr>
            </w:pPr>
            <w:del w:id="12230" w:author="AbbVie19" w:date="2025-04-16T12:22:00Z">
              <w:r w:rsidRPr="00BC0E7E">
                <w:rPr>
                  <w:szCs w:val="22"/>
                  <w:lang w:val="es-ES"/>
                </w:rPr>
                <w:delText xml:space="preserve">Tel.: +48 22 </w:delText>
              </w:r>
              <w:r w:rsidRPr="00BC0E7E">
                <w:rPr>
                  <w:bCs/>
                  <w:szCs w:val="22"/>
                  <w:lang w:val="pl-PL"/>
                </w:rPr>
                <w:delText xml:space="preserve">372 78 00 </w:delText>
              </w:r>
            </w:del>
          </w:p>
        </w:tc>
      </w:tr>
      <w:tr w:rsidR="00C6578C" w14:paraId="67BA6852" w14:textId="77777777" w:rsidTr="00171601">
        <w:trPr>
          <w:trHeight w:val="747"/>
          <w:del w:id="12231" w:author="AbbVie19" w:date="2025-04-16T12:22:00Z"/>
        </w:trPr>
        <w:tc>
          <w:tcPr>
            <w:tcW w:w="4678" w:type="dxa"/>
            <w:gridSpan w:val="2"/>
          </w:tcPr>
          <w:p w14:paraId="1A080E17" w14:textId="77777777" w:rsidR="00BC0E7E" w:rsidRPr="000B7DC1" w:rsidRDefault="00944B8F" w:rsidP="00171601">
            <w:pPr>
              <w:ind w:firstLine="34"/>
              <w:rPr>
                <w:del w:id="12232" w:author="AbbVie19" w:date="2025-04-16T12:22:00Z"/>
                <w:b/>
                <w:szCs w:val="22"/>
                <w:lang w:val="en-US"/>
                <w:rPrChange w:id="12233" w:author="AbbVie33" w:date="2025-05-05T10:55:00Z">
                  <w:rPr>
                    <w:del w:id="12234" w:author="AbbVie19" w:date="2025-04-16T12:22:00Z"/>
                    <w:b/>
                    <w:bCs/>
                    <w:szCs w:val="22"/>
                    <w:lang w:val="fr-FR"/>
                  </w:rPr>
                </w:rPrChange>
              </w:rPr>
            </w:pPr>
            <w:del w:id="12235" w:author="AbbVie19" w:date="2025-04-16T12:22:00Z">
              <w:r w:rsidRPr="000B7DC1">
                <w:rPr>
                  <w:b/>
                  <w:szCs w:val="22"/>
                  <w:lang w:val="en-US"/>
                  <w:rPrChange w:id="12236" w:author="AbbVie33" w:date="2025-05-05T10:55:00Z">
                    <w:rPr>
                      <w:b/>
                      <w:bCs/>
                      <w:szCs w:val="22"/>
                      <w:lang w:val="fr-FR"/>
                    </w:rPr>
                  </w:rPrChange>
                </w:rPr>
                <w:delText>France</w:delText>
              </w:r>
            </w:del>
          </w:p>
          <w:p w14:paraId="42113816" w14:textId="77777777" w:rsidR="00BC0E7E" w:rsidRPr="000B7DC1" w:rsidRDefault="00944B8F" w:rsidP="00171601">
            <w:pPr>
              <w:ind w:firstLine="34"/>
              <w:rPr>
                <w:del w:id="12237" w:author="AbbVie19" w:date="2025-04-16T12:22:00Z"/>
                <w:szCs w:val="22"/>
                <w:lang w:val="en-US"/>
                <w:rPrChange w:id="12238" w:author="AbbVie33" w:date="2025-05-05T10:55:00Z">
                  <w:rPr>
                    <w:del w:id="12239" w:author="AbbVie19" w:date="2025-04-16T12:22:00Z"/>
                    <w:bCs/>
                    <w:szCs w:val="22"/>
                    <w:lang w:val="fr-FR"/>
                  </w:rPr>
                </w:rPrChange>
              </w:rPr>
            </w:pPr>
            <w:del w:id="12240" w:author="AbbVie19" w:date="2025-04-16T12:22:00Z">
              <w:r w:rsidRPr="000B7DC1">
                <w:rPr>
                  <w:szCs w:val="22"/>
                  <w:lang w:val="en-US"/>
                  <w:rPrChange w:id="12241" w:author="AbbVie33" w:date="2025-05-05T10:55:00Z">
                    <w:rPr>
                      <w:bCs/>
                      <w:szCs w:val="22"/>
                      <w:lang w:val="fr-FR"/>
                    </w:rPr>
                  </w:rPrChange>
                </w:rPr>
                <w:delText>AbbVie</w:delText>
              </w:r>
            </w:del>
          </w:p>
          <w:p w14:paraId="29A17285" w14:textId="77777777" w:rsidR="00BC0E7E" w:rsidRPr="000B7DC1" w:rsidRDefault="00944B8F" w:rsidP="00171601">
            <w:pPr>
              <w:ind w:firstLine="34"/>
              <w:rPr>
                <w:del w:id="12242" w:author="AbbVie19" w:date="2025-04-16T12:22:00Z"/>
                <w:szCs w:val="22"/>
                <w:lang w:val="en-US"/>
                <w:rPrChange w:id="12243" w:author="AbbVie33" w:date="2025-05-05T10:55:00Z">
                  <w:rPr>
                    <w:del w:id="12244" w:author="AbbVie19" w:date="2025-04-16T12:22:00Z"/>
                    <w:bCs/>
                    <w:szCs w:val="22"/>
                    <w:lang w:val="fr-FR"/>
                  </w:rPr>
                </w:rPrChange>
              </w:rPr>
            </w:pPr>
            <w:del w:id="12245" w:author="AbbVie19" w:date="2025-04-16T12:22:00Z">
              <w:r w:rsidRPr="000B7DC1">
                <w:rPr>
                  <w:szCs w:val="22"/>
                  <w:lang w:val="en-US"/>
                  <w:rPrChange w:id="12246" w:author="AbbVie33" w:date="2025-05-05T10:55:00Z">
                    <w:rPr>
                      <w:bCs/>
                      <w:szCs w:val="22"/>
                      <w:lang w:val="fr-FR"/>
                    </w:rPr>
                  </w:rPrChange>
                </w:rPr>
                <w:delText>Tél: +33 (0) 1 45 60 13 00</w:delText>
              </w:r>
            </w:del>
          </w:p>
          <w:p w14:paraId="31B31995" w14:textId="77777777" w:rsidR="00504E25" w:rsidRPr="000B7DC1" w:rsidRDefault="00504E25" w:rsidP="00171601">
            <w:pPr>
              <w:ind w:firstLine="34"/>
              <w:rPr>
                <w:del w:id="12247" w:author="AbbVie19" w:date="2025-04-16T12:22:00Z"/>
                <w:szCs w:val="22"/>
                <w:lang w:val="en-US"/>
                <w:rPrChange w:id="12248" w:author="AbbVie33" w:date="2025-05-05T10:55:00Z">
                  <w:rPr>
                    <w:del w:id="12249" w:author="AbbVie19" w:date="2025-04-16T12:22:00Z"/>
                    <w:bCs/>
                    <w:szCs w:val="22"/>
                    <w:lang w:val="fr-FR"/>
                  </w:rPr>
                </w:rPrChange>
              </w:rPr>
            </w:pPr>
          </w:p>
        </w:tc>
        <w:tc>
          <w:tcPr>
            <w:tcW w:w="4678" w:type="dxa"/>
          </w:tcPr>
          <w:p w14:paraId="3EE9249F" w14:textId="77777777" w:rsidR="00BC0E7E" w:rsidRPr="00BC0E7E" w:rsidRDefault="00944B8F" w:rsidP="00171601">
            <w:pPr>
              <w:rPr>
                <w:del w:id="12250" w:author="AbbVie19" w:date="2025-04-16T12:22:00Z"/>
                <w:b/>
                <w:bCs/>
                <w:szCs w:val="22"/>
                <w:lang w:val="pt-PT"/>
              </w:rPr>
            </w:pPr>
            <w:del w:id="12251" w:author="AbbVie19" w:date="2025-04-16T12:22:00Z">
              <w:r w:rsidRPr="00BC0E7E">
                <w:rPr>
                  <w:b/>
                  <w:bCs/>
                  <w:szCs w:val="22"/>
                  <w:lang w:val="pt-PT"/>
                </w:rPr>
                <w:delText>Portugal</w:delText>
              </w:r>
            </w:del>
          </w:p>
          <w:p w14:paraId="112ECA25" w14:textId="77777777" w:rsidR="00BC0E7E" w:rsidRPr="000B7DC1" w:rsidRDefault="00944B8F" w:rsidP="00171601">
            <w:pPr>
              <w:tabs>
                <w:tab w:val="center" w:pos="4536"/>
                <w:tab w:val="center" w:pos="8930"/>
              </w:tabs>
              <w:rPr>
                <w:del w:id="12252" w:author="AbbVie19" w:date="2025-04-16T12:22:00Z"/>
                <w:szCs w:val="22"/>
                <w:lang w:val="en-US"/>
                <w:rPrChange w:id="12253" w:author="AbbVie33" w:date="2025-05-05T10:55:00Z">
                  <w:rPr>
                    <w:del w:id="12254" w:author="AbbVie19" w:date="2025-04-16T12:22:00Z"/>
                    <w:bCs/>
                    <w:szCs w:val="22"/>
                    <w:lang w:val="fr-FR"/>
                  </w:rPr>
                </w:rPrChange>
              </w:rPr>
            </w:pPr>
            <w:del w:id="12255" w:author="AbbVie19" w:date="2025-04-16T12:22:00Z">
              <w:r w:rsidRPr="000B7DC1">
                <w:rPr>
                  <w:szCs w:val="22"/>
                  <w:lang w:val="en-US"/>
                  <w:rPrChange w:id="12256" w:author="AbbVie33" w:date="2025-05-05T10:55:00Z">
                    <w:rPr>
                      <w:bCs/>
                      <w:szCs w:val="22"/>
                      <w:lang w:val="fr-FR"/>
                    </w:rPr>
                  </w:rPrChange>
                </w:rPr>
                <w:delText xml:space="preserve">AbbVie, Lda. </w:delText>
              </w:r>
            </w:del>
          </w:p>
          <w:p w14:paraId="4B0DB3E0" w14:textId="77777777" w:rsidR="00BC0E7E" w:rsidRPr="000B7DC1" w:rsidRDefault="00944B8F" w:rsidP="00171601">
            <w:pPr>
              <w:tabs>
                <w:tab w:val="center" w:pos="4536"/>
                <w:tab w:val="center" w:pos="8930"/>
              </w:tabs>
              <w:rPr>
                <w:del w:id="12257" w:author="AbbVie19" w:date="2025-04-16T12:22:00Z"/>
                <w:szCs w:val="22"/>
                <w:lang w:val="en-US"/>
                <w:rPrChange w:id="12258" w:author="AbbVie33" w:date="2025-05-05T10:55:00Z">
                  <w:rPr>
                    <w:del w:id="12259" w:author="AbbVie19" w:date="2025-04-16T12:22:00Z"/>
                    <w:szCs w:val="22"/>
                    <w:lang w:val="fr-FR"/>
                  </w:rPr>
                </w:rPrChange>
              </w:rPr>
            </w:pPr>
            <w:del w:id="12260" w:author="AbbVie19" w:date="2025-04-16T12:22:00Z">
              <w:r w:rsidRPr="000B7DC1">
                <w:rPr>
                  <w:szCs w:val="22"/>
                  <w:lang w:val="en-US"/>
                  <w:rPrChange w:id="12261" w:author="AbbVie33" w:date="2025-05-05T10:55:00Z">
                    <w:rPr>
                      <w:szCs w:val="22"/>
                      <w:lang w:val="fr-FR"/>
                    </w:rPr>
                  </w:rPrChange>
                </w:rPr>
                <w:delText>Tel: +351 (0)21 1908400</w:delText>
              </w:r>
            </w:del>
          </w:p>
        </w:tc>
      </w:tr>
      <w:tr w:rsidR="00C6578C" w14:paraId="7F90477E" w14:textId="77777777" w:rsidTr="00171601">
        <w:trPr>
          <w:trHeight w:val="693"/>
          <w:del w:id="12262" w:author="AbbVie19" w:date="2025-04-16T12:22:00Z"/>
        </w:trPr>
        <w:tc>
          <w:tcPr>
            <w:tcW w:w="4678" w:type="dxa"/>
            <w:gridSpan w:val="2"/>
          </w:tcPr>
          <w:p w14:paraId="75410AB8" w14:textId="77777777" w:rsidR="00BC0E7E" w:rsidRPr="00BC0E7E" w:rsidRDefault="00944B8F" w:rsidP="00171601">
            <w:pPr>
              <w:tabs>
                <w:tab w:val="clear" w:pos="562"/>
              </w:tabs>
              <w:suppressAutoHyphens w:val="0"/>
              <w:autoSpaceDE w:val="0"/>
              <w:autoSpaceDN w:val="0"/>
              <w:adjustRightInd w:val="0"/>
              <w:ind w:firstLine="34"/>
              <w:rPr>
                <w:del w:id="12263" w:author="AbbVie19" w:date="2025-04-16T12:22:00Z"/>
                <w:rFonts w:eastAsia="MS Mincho"/>
                <w:szCs w:val="22"/>
                <w:lang w:val="pt-PT" w:eastAsia="ja-JP"/>
              </w:rPr>
            </w:pPr>
            <w:del w:id="12264" w:author="AbbVie19" w:date="2025-04-16T12:22:00Z">
              <w:r w:rsidRPr="00BC0E7E">
                <w:rPr>
                  <w:rFonts w:eastAsia="MS Mincho"/>
                  <w:b/>
                  <w:bCs/>
                  <w:szCs w:val="22"/>
                  <w:lang w:val="pt-PT" w:eastAsia="ja-JP"/>
                </w:rPr>
                <w:delText xml:space="preserve">Hrvatska </w:delText>
              </w:r>
            </w:del>
          </w:p>
          <w:p w14:paraId="5B453B7D" w14:textId="77777777" w:rsidR="00BC0E7E" w:rsidRPr="00BC0E7E" w:rsidRDefault="00944B8F" w:rsidP="00171601">
            <w:pPr>
              <w:ind w:firstLine="34"/>
              <w:rPr>
                <w:del w:id="12265" w:author="AbbVie19" w:date="2025-04-16T12:22:00Z"/>
                <w:szCs w:val="22"/>
                <w:lang w:val="hr-HR"/>
              </w:rPr>
            </w:pPr>
            <w:del w:id="12266" w:author="AbbVie19" w:date="2025-04-16T12:22:00Z">
              <w:r w:rsidRPr="00BC0E7E">
                <w:rPr>
                  <w:szCs w:val="22"/>
                  <w:lang w:val="hr-HR"/>
                </w:rPr>
                <w:delText>AbbVie d.o.o.</w:delText>
              </w:r>
            </w:del>
          </w:p>
          <w:p w14:paraId="0A0813FD" w14:textId="77777777" w:rsidR="00BC0E7E" w:rsidRDefault="00944B8F" w:rsidP="00171601">
            <w:pPr>
              <w:ind w:firstLine="34"/>
              <w:rPr>
                <w:del w:id="12267" w:author="AbbVie19" w:date="2025-04-16T12:22:00Z"/>
                <w:szCs w:val="22"/>
              </w:rPr>
            </w:pPr>
            <w:del w:id="12268" w:author="AbbVie19" w:date="2025-04-16T12:22:00Z">
              <w:r w:rsidRPr="00BC0E7E">
                <w:rPr>
                  <w:szCs w:val="22"/>
                  <w:lang w:val="hr-HR"/>
                </w:rPr>
                <w:delText xml:space="preserve">Tel + 385 (0)1 </w:delText>
              </w:r>
              <w:r w:rsidRPr="00BC0E7E">
                <w:rPr>
                  <w:szCs w:val="22"/>
                </w:rPr>
                <w:delText>5625 501</w:delText>
              </w:r>
            </w:del>
          </w:p>
          <w:p w14:paraId="72F381C3" w14:textId="77777777" w:rsidR="00504E25" w:rsidRPr="00BC0E7E" w:rsidRDefault="00504E25" w:rsidP="00171601">
            <w:pPr>
              <w:ind w:firstLine="34"/>
              <w:rPr>
                <w:del w:id="12269" w:author="AbbVie19" w:date="2025-04-16T12:22:00Z"/>
                <w:color w:val="1F497D"/>
                <w:szCs w:val="22"/>
              </w:rPr>
            </w:pPr>
          </w:p>
        </w:tc>
        <w:tc>
          <w:tcPr>
            <w:tcW w:w="4678" w:type="dxa"/>
          </w:tcPr>
          <w:p w14:paraId="02C6002B" w14:textId="77777777" w:rsidR="00BC0E7E" w:rsidRPr="00433FAD" w:rsidRDefault="00944B8F" w:rsidP="00171601">
            <w:pPr>
              <w:rPr>
                <w:del w:id="12270" w:author="AbbVie19" w:date="2025-04-16T12:22:00Z"/>
                <w:b/>
                <w:bCs/>
                <w:szCs w:val="22"/>
                <w:lang w:val="es-MX"/>
              </w:rPr>
            </w:pPr>
            <w:del w:id="12271" w:author="AbbVie19" w:date="2025-04-16T12:22:00Z">
              <w:r w:rsidRPr="00433FAD">
                <w:rPr>
                  <w:b/>
                  <w:bCs/>
                  <w:szCs w:val="22"/>
                  <w:lang w:val="es-MX"/>
                </w:rPr>
                <w:delText>România</w:delText>
              </w:r>
            </w:del>
          </w:p>
          <w:p w14:paraId="01011B83" w14:textId="77777777" w:rsidR="00BC0E7E" w:rsidRPr="00433FAD" w:rsidRDefault="00944B8F" w:rsidP="00171601">
            <w:pPr>
              <w:rPr>
                <w:del w:id="12272" w:author="AbbVie19" w:date="2025-04-16T12:22:00Z"/>
                <w:rFonts w:eastAsia="MS Mincho"/>
                <w:color w:val="000000"/>
                <w:szCs w:val="22"/>
                <w:lang w:val="es-MX" w:eastAsia="ja-JP"/>
              </w:rPr>
            </w:pPr>
            <w:del w:id="12273" w:author="AbbVie19" w:date="2025-04-16T12:22:00Z">
              <w:r w:rsidRPr="00433FAD">
                <w:rPr>
                  <w:rFonts w:eastAsia="MS Mincho"/>
                  <w:color w:val="000000"/>
                  <w:szCs w:val="22"/>
                  <w:lang w:val="es-MX" w:eastAsia="ja-JP"/>
                </w:rPr>
                <w:delText>AbbVie S.R.L.</w:delText>
              </w:r>
            </w:del>
          </w:p>
          <w:p w14:paraId="22891250" w14:textId="77777777" w:rsidR="00BC0E7E" w:rsidRPr="00BC0E7E" w:rsidRDefault="00944B8F" w:rsidP="00171601">
            <w:pPr>
              <w:rPr>
                <w:del w:id="12274" w:author="AbbVie19" w:date="2025-04-16T12:22:00Z"/>
                <w:szCs w:val="22"/>
                <w:lang w:val="pl-PL"/>
              </w:rPr>
            </w:pPr>
            <w:del w:id="12275" w:author="AbbVie19" w:date="2025-04-16T12:22:00Z">
              <w:r w:rsidRPr="00BC0E7E">
                <w:rPr>
                  <w:szCs w:val="22"/>
                  <w:lang w:val="pl-PL"/>
                </w:rPr>
                <w:delText>Tel: +40 21 529 30 35</w:delText>
              </w:r>
            </w:del>
          </w:p>
        </w:tc>
      </w:tr>
      <w:tr w:rsidR="00C6578C" w14:paraId="53F0C1D5" w14:textId="77777777" w:rsidTr="00171601">
        <w:trPr>
          <w:gridBefore w:val="1"/>
          <w:wBefore w:w="34" w:type="dxa"/>
          <w:del w:id="12276" w:author="AbbVie19" w:date="2025-04-16T12:22:00Z"/>
        </w:trPr>
        <w:tc>
          <w:tcPr>
            <w:tcW w:w="4644" w:type="dxa"/>
          </w:tcPr>
          <w:p w14:paraId="5D13A1EC" w14:textId="77777777" w:rsidR="00BC0E7E" w:rsidRPr="00BC0E7E" w:rsidRDefault="00944B8F" w:rsidP="00171601">
            <w:pPr>
              <w:rPr>
                <w:del w:id="12277" w:author="AbbVie19" w:date="2025-04-16T12:22:00Z"/>
                <w:b/>
                <w:bCs/>
                <w:szCs w:val="22"/>
              </w:rPr>
            </w:pPr>
            <w:del w:id="12278" w:author="AbbVie19" w:date="2025-04-16T12:22:00Z">
              <w:r w:rsidRPr="00BC0E7E">
                <w:rPr>
                  <w:b/>
                  <w:bCs/>
                  <w:szCs w:val="22"/>
                </w:rPr>
                <w:delText>Ireland</w:delText>
              </w:r>
            </w:del>
          </w:p>
          <w:p w14:paraId="5537C79B" w14:textId="77777777" w:rsidR="00BC0E7E" w:rsidRPr="00BC0E7E" w:rsidRDefault="00944B8F" w:rsidP="00171601">
            <w:pPr>
              <w:rPr>
                <w:del w:id="12279" w:author="AbbVie19" w:date="2025-04-16T12:22:00Z"/>
                <w:bCs/>
                <w:szCs w:val="22"/>
              </w:rPr>
            </w:pPr>
            <w:del w:id="12280" w:author="AbbVie19" w:date="2025-04-16T12:22:00Z">
              <w:r w:rsidRPr="00BC0E7E">
                <w:rPr>
                  <w:bCs/>
                  <w:szCs w:val="22"/>
                </w:rPr>
                <w:delText xml:space="preserve">AbbVie Limited </w:delText>
              </w:r>
            </w:del>
          </w:p>
          <w:p w14:paraId="57F15C39" w14:textId="77777777" w:rsidR="00BC0E7E" w:rsidRDefault="00944B8F" w:rsidP="00171601">
            <w:pPr>
              <w:rPr>
                <w:del w:id="12281" w:author="AbbVie19" w:date="2025-04-16T12:22:00Z"/>
                <w:bCs/>
                <w:szCs w:val="22"/>
                <w:lang w:val="pt-PT"/>
              </w:rPr>
            </w:pPr>
            <w:del w:id="12282" w:author="AbbVie19" w:date="2025-04-16T12:22:00Z">
              <w:r w:rsidRPr="00BC0E7E">
                <w:rPr>
                  <w:bCs/>
                  <w:szCs w:val="22"/>
                  <w:lang w:val="pt-PT"/>
                </w:rPr>
                <w:delText>Tel: +353 (0)1 4287900</w:delText>
              </w:r>
            </w:del>
          </w:p>
          <w:p w14:paraId="616BEB85" w14:textId="77777777" w:rsidR="00504E25" w:rsidRPr="00BC0E7E" w:rsidRDefault="00504E25" w:rsidP="00171601">
            <w:pPr>
              <w:rPr>
                <w:del w:id="12283" w:author="AbbVie19" w:date="2025-04-16T12:22:00Z"/>
                <w:bCs/>
                <w:szCs w:val="22"/>
                <w:lang w:val="it-IT"/>
              </w:rPr>
            </w:pPr>
          </w:p>
        </w:tc>
        <w:tc>
          <w:tcPr>
            <w:tcW w:w="4678" w:type="dxa"/>
          </w:tcPr>
          <w:p w14:paraId="04372DFA" w14:textId="77777777" w:rsidR="00BC0E7E" w:rsidRPr="00BC0E7E" w:rsidRDefault="00944B8F" w:rsidP="00171601">
            <w:pPr>
              <w:rPr>
                <w:del w:id="12284" w:author="AbbVie19" w:date="2025-04-16T12:22:00Z"/>
                <w:b/>
                <w:bCs/>
                <w:szCs w:val="22"/>
                <w:lang w:val="sl-SI"/>
              </w:rPr>
            </w:pPr>
            <w:del w:id="12285" w:author="AbbVie19" w:date="2025-04-16T12:22:00Z">
              <w:r w:rsidRPr="00BC0E7E">
                <w:rPr>
                  <w:b/>
                  <w:bCs/>
                  <w:szCs w:val="22"/>
                  <w:lang w:val="sl-SI"/>
                </w:rPr>
                <w:delText>Slovenija</w:delText>
              </w:r>
            </w:del>
          </w:p>
          <w:p w14:paraId="53EB8F6F" w14:textId="77777777" w:rsidR="00BC0E7E" w:rsidRPr="00BC0E7E" w:rsidRDefault="00944B8F" w:rsidP="00171601">
            <w:pPr>
              <w:rPr>
                <w:del w:id="12286" w:author="AbbVie19" w:date="2025-04-16T12:22:00Z"/>
                <w:bCs/>
                <w:szCs w:val="22"/>
                <w:lang w:val="sl-SI"/>
              </w:rPr>
            </w:pPr>
            <w:del w:id="12287" w:author="AbbVie19" w:date="2025-04-16T12:22:00Z">
              <w:r w:rsidRPr="00BC0E7E">
                <w:rPr>
                  <w:bCs/>
                  <w:szCs w:val="22"/>
                  <w:lang w:val="sl-SI"/>
                </w:rPr>
                <w:delText>AbbVie Biofarmacevtska družba d.o.o.</w:delText>
              </w:r>
            </w:del>
          </w:p>
          <w:p w14:paraId="0EEA7755" w14:textId="77777777" w:rsidR="00BC0E7E" w:rsidRPr="00BC0E7E" w:rsidRDefault="00944B8F" w:rsidP="00171601">
            <w:pPr>
              <w:rPr>
                <w:del w:id="12288" w:author="AbbVie19" w:date="2025-04-16T12:22:00Z"/>
                <w:bCs/>
                <w:szCs w:val="22"/>
                <w:lang w:val="sl-SI"/>
              </w:rPr>
            </w:pPr>
            <w:del w:id="12289" w:author="AbbVie19" w:date="2025-04-16T12:22:00Z">
              <w:r w:rsidRPr="00BC0E7E">
                <w:rPr>
                  <w:bCs/>
                  <w:szCs w:val="22"/>
                  <w:lang w:val="sl-SI"/>
                </w:rPr>
                <w:delText>Tel: +386 (1)32 08 060</w:delText>
              </w:r>
            </w:del>
          </w:p>
        </w:tc>
      </w:tr>
      <w:tr w:rsidR="00C6578C" w14:paraId="6D7B9C00" w14:textId="77777777" w:rsidTr="00171601">
        <w:trPr>
          <w:gridBefore w:val="1"/>
          <w:wBefore w:w="34" w:type="dxa"/>
          <w:del w:id="12290" w:author="AbbVie19" w:date="2025-04-16T12:22:00Z"/>
        </w:trPr>
        <w:tc>
          <w:tcPr>
            <w:tcW w:w="4644" w:type="dxa"/>
          </w:tcPr>
          <w:p w14:paraId="5648ECEE" w14:textId="77777777" w:rsidR="00BC0E7E" w:rsidRPr="00BC0E7E" w:rsidRDefault="00944B8F" w:rsidP="00171601">
            <w:pPr>
              <w:rPr>
                <w:del w:id="12291" w:author="AbbVie19" w:date="2025-04-16T12:22:00Z"/>
                <w:b/>
                <w:bCs/>
                <w:szCs w:val="22"/>
                <w:lang w:val="is-IS"/>
              </w:rPr>
            </w:pPr>
            <w:del w:id="12292" w:author="AbbVie19" w:date="2025-04-16T12:22:00Z">
              <w:r w:rsidRPr="00BC0E7E">
                <w:rPr>
                  <w:b/>
                  <w:bCs/>
                  <w:szCs w:val="22"/>
                  <w:lang w:val="is-IS"/>
                </w:rPr>
                <w:delText>Ísland</w:delText>
              </w:r>
            </w:del>
          </w:p>
          <w:p w14:paraId="46B65D86" w14:textId="77777777" w:rsidR="00BC0E7E" w:rsidRPr="00BC0E7E" w:rsidRDefault="00944B8F" w:rsidP="00171601">
            <w:pPr>
              <w:rPr>
                <w:del w:id="12293" w:author="AbbVie19" w:date="2025-04-16T12:22:00Z"/>
                <w:bCs/>
                <w:szCs w:val="22"/>
              </w:rPr>
            </w:pPr>
            <w:del w:id="12294" w:author="AbbVie19" w:date="2025-04-16T12:22:00Z">
              <w:r w:rsidRPr="00BC0E7E">
                <w:rPr>
                  <w:bCs/>
                  <w:szCs w:val="22"/>
                </w:rPr>
                <w:delText>Vistor hf.</w:delText>
              </w:r>
            </w:del>
          </w:p>
          <w:p w14:paraId="5D2EA935" w14:textId="77777777" w:rsidR="00BC0E7E" w:rsidRDefault="00944B8F" w:rsidP="00171601">
            <w:pPr>
              <w:rPr>
                <w:del w:id="12295" w:author="AbbVie19" w:date="2025-04-16T12:22:00Z"/>
                <w:bCs/>
                <w:szCs w:val="22"/>
              </w:rPr>
            </w:pPr>
            <w:del w:id="12296" w:author="AbbVie19" w:date="2025-04-16T12:22:00Z">
              <w:r w:rsidRPr="00BC0E7E">
                <w:rPr>
                  <w:bCs/>
                  <w:szCs w:val="22"/>
                </w:rPr>
                <w:delText>Tel: +354 535 7000</w:delText>
              </w:r>
            </w:del>
          </w:p>
          <w:p w14:paraId="621E33B0" w14:textId="77777777" w:rsidR="00504E25" w:rsidRPr="00BC0E7E" w:rsidRDefault="00504E25" w:rsidP="00171601">
            <w:pPr>
              <w:rPr>
                <w:del w:id="12297" w:author="AbbVie19" w:date="2025-04-16T12:22:00Z"/>
                <w:bCs/>
                <w:szCs w:val="22"/>
              </w:rPr>
            </w:pPr>
          </w:p>
        </w:tc>
        <w:tc>
          <w:tcPr>
            <w:tcW w:w="4678" w:type="dxa"/>
          </w:tcPr>
          <w:p w14:paraId="3BB1D42F" w14:textId="77777777" w:rsidR="00BC0E7E" w:rsidRPr="00BC0E7E" w:rsidRDefault="00944B8F" w:rsidP="00171601">
            <w:pPr>
              <w:rPr>
                <w:del w:id="12298" w:author="AbbVie19" w:date="2025-04-16T12:22:00Z"/>
                <w:b/>
                <w:bCs/>
                <w:szCs w:val="22"/>
                <w:lang w:val="sk-SK"/>
              </w:rPr>
            </w:pPr>
            <w:del w:id="12299" w:author="AbbVie19" w:date="2025-04-16T12:22:00Z">
              <w:r w:rsidRPr="00BC0E7E">
                <w:rPr>
                  <w:b/>
                  <w:bCs/>
                  <w:szCs w:val="22"/>
                  <w:lang w:val="sk-SK"/>
                </w:rPr>
                <w:delText>Slovenská republika</w:delText>
              </w:r>
            </w:del>
          </w:p>
          <w:p w14:paraId="3025E278" w14:textId="77777777" w:rsidR="00BC0E7E" w:rsidRPr="00BC0E7E" w:rsidRDefault="00944B8F" w:rsidP="00171601">
            <w:pPr>
              <w:rPr>
                <w:del w:id="12300" w:author="AbbVie19" w:date="2025-04-16T12:22:00Z"/>
                <w:bCs/>
                <w:szCs w:val="22"/>
                <w:lang w:val="sk-SK"/>
              </w:rPr>
            </w:pPr>
            <w:del w:id="12301" w:author="AbbVie19" w:date="2025-04-16T12:22:00Z">
              <w:r w:rsidRPr="00BC0E7E">
                <w:rPr>
                  <w:bCs/>
                  <w:szCs w:val="22"/>
                  <w:lang w:val="sk-SK"/>
                </w:rPr>
                <w:delText>AbbVie s.r.o.</w:delText>
              </w:r>
            </w:del>
          </w:p>
          <w:p w14:paraId="386DF5CD" w14:textId="77777777" w:rsidR="00BC0E7E" w:rsidRPr="00BC0E7E" w:rsidRDefault="00944B8F" w:rsidP="00171601">
            <w:pPr>
              <w:rPr>
                <w:del w:id="12302" w:author="AbbVie19" w:date="2025-04-16T12:22:00Z"/>
                <w:bCs/>
                <w:szCs w:val="22"/>
                <w:lang w:val="sk-SK"/>
              </w:rPr>
            </w:pPr>
            <w:del w:id="12303" w:author="AbbVie19" w:date="2025-04-16T12:22:00Z">
              <w:r w:rsidRPr="00BC0E7E">
                <w:rPr>
                  <w:bCs/>
                  <w:szCs w:val="22"/>
                  <w:lang w:val="sk-SK"/>
                </w:rPr>
                <w:delText>Tel: +421 2 5050 0777</w:delText>
              </w:r>
            </w:del>
          </w:p>
        </w:tc>
      </w:tr>
      <w:tr w:rsidR="00C6578C" w14:paraId="01613956" w14:textId="77777777" w:rsidTr="00171601">
        <w:trPr>
          <w:gridBefore w:val="1"/>
          <w:wBefore w:w="34" w:type="dxa"/>
          <w:del w:id="12304" w:author="AbbVie19" w:date="2025-04-16T12:22:00Z"/>
        </w:trPr>
        <w:tc>
          <w:tcPr>
            <w:tcW w:w="4644" w:type="dxa"/>
          </w:tcPr>
          <w:p w14:paraId="3A1CA6BC" w14:textId="77777777" w:rsidR="00BC0E7E" w:rsidRPr="00BC0E7E" w:rsidRDefault="00944B8F" w:rsidP="00171601">
            <w:pPr>
              <w:keepNext/>
              <w:rPr>
                <w:del w:id="12305" w:author="AbbVie19" w:date="2025-04-16T12:22:00Z"/>
                <w:b/>
                <w:bCs/>
                <w:szCs w:val="22"/>
                <w:lang w:val="it-IT"/>
              </w:rPr>
            </w:pPr>
            <w:del w:id="12306" w:author="AbbVie19" w:date="2025-04-16T12:22:00Z">
              <w:r w:rsidRPr="00BC0E7E">
                <w:rPr>
                  <w:b/>
                  <w:bCs/>
                  <w:szCs w:val="22"/>
                  <w:lang w:val="it-IT"/>
                </w:rPr>
                <w:delText>Italia</w:delText>
              </w:r>
            </w:del>
          </w:p>
          <w:p w14:paraId="78354226" w14:textId="77777777" w:rsidR="00BC0E7E" w:rsidRPr="00BC0E7E" w:rsidRDefault="00944B8F" w:rsidP="00171601">
            <w:pPr>
              <w:keepNext/>
              <w:spacing w:line="260" w:lineRule="exact"/>
              <w:rPr>
                <w:del w:id="12307" w:author="AbbVie19" w:date="2025-04-16T12:22:00Z"/>
                <w:bCs/>
                <w:szCs w:val="22"/>
                <w:lang w:val="pt-PT"/>
              </w:rPr>
            </w:pPr>
            <w:del w:id="12308" w:author="AbbVie19" w:date="2025-04-16T12:22:00Z">
              <w:r w:rsidRPr="00BC0E7E">
                <w:rPr>
                  <w:bCs/>
                  <w:szCs w:val="22"/>
                  <w:lang w:val="pt-PT"/>
                </w:rPr>
                <w:delText xml:space="preserve">AbbVie S.r.l. </w:delText>
              </w:r>
            </w:del>
          </w:p>
          <w:p w14:paraId="2E37B36D" w14:textId="77777777" w:rsidR="00BC0E7E" w:rsidRPr="00E416F1" w:rsidRDefault="00944B8F" w:rsidP="00171601">
            <w:pPr>
              <w:keepNext/>
              <w:spacing w:line="260" w:lineRule="exact"/>
              <w:rPr>
                <w:del w:id="12309" w:author="AbbVie19" w:date="2025-04-16T12:22:00Z"/>
                <w:bCs/>
                <w:szCs w:val="22"/>
                <w:lang w:val="fr-FR"/>
              </w:rPr>
            </w:pPr>
            <w:del w:id="12310" w:author="AbbVie19" w:date="2025-04-16T12:22:00Z">
              <w:r w:rsidRPr="00E416F1">
                <w:rPr>
                  <w:bCs/>
                  <w:szCs w:val="22"/>
                  <w:lang w:val="fr-FR"/>
                </w:rPr>
                <w:delText>Tel: +39 06 928921</w:delText>
              </w:r>
            </w:del>
          </w:p>
          <w:p w14:paraId="29EB2DBF" w14:textId="77777777" w:rsidR="00504E25" w:rsidRPr="00BC0E7E" w:rsidRDefault="00504E25" w:rsidP="00171601">
            <w:pPr>
              <w:keepNext/>
              <w:spacing w:line="260" w:lineRule="exact"/>
              <w:rPr>
                <w:del w:id="12311" w:author="AbbVie19" w:date="2025-04-16T12:22:00Z"/>
                <w:bCs/>
                <w:szCs w:val="22"/>
              </w:rPr>
            </w:pPr>
          </w:p>
        </w:tc>
        <w:tc>
          <w:tcPr>
            <w:tcW w:w="4678" w:type="dxa"/>
          </w:tcPr>
          <w:p w14:paraId="3E46C75D" w14:textId="77777777" w:rsidR="00BC0E7E" w:rsidRPr="00BC0E7E" w:rsidRDefault="00944B8F" w:rsidP="00171601">
            <w:pPr>
              <w:keepNext/>
              <w:rPr>
                <w:del w:id="12312" w:author="AbbVie19" w:date="2025-04-16T12:22:00Z"/>
                <w:b/>
                <w:bCs/>
                <w:szCs w:val="22"/>
                <w:lang w:val="fi-FI"/>
              </w:rPr>
            </w:pPr>
            <w:del w:id="12313" w:author="AbbVie19" w:date="2025-04-16T12:22:00Z">
              <w:r w:rsidRPr="00BC0E7E">
                <w:rPr>
                  <w:b/>
                  <w:bCs/>
                  <w:szCs w:val="22"/>
                  <w:lang w:val="fi-FI"/>
                </w:rPr>
                <w:delText>Suomi/Finland</w:delText>
              </w:r>
            </w:del>
          </w:p>
          <w:p w14:paraId="3C5AFF7F" w14:textId="77777777" w:rsidR="00BC0E7E" w:rsidRPr="00A06B15" w:rsidRDefault="00944B8F" w:rsidP="00171601">
            <w:pPr>
              <w:keepNext/>
              <w:overflowPunct w:val="0"/>
              <w:autoSpaceDE w:val="0"/>
              <w:autoSpaceDN w:val="0"/>
              <w:adjustRightInd w:val="0"/>
              <w:textAlignment w:val="baseline"/>
              <w:rPr>
                <w:del w:id="12314" w:author="AbbVie19" w:date="2025-04-16T12:22:00Z"/>
                <w:bCs/>
                <w:szCs w:val="22"/>
                <w:lang w:val="de-DE"/>
              </w:rPr>
            </w:pPr>
            <w:del w:id="12315" w:author="AbbVie19" w:date="2025-04-16T12:22:00Z">
              <w:r w:rsidRPr="00A06B15">
                <w:rPr>
                  <w:bCs/>
                  <w:szCs w:val="22"/>
                  <w:lang w:val="de-DE"/>
                </w:rPr>
                <w:delText xml:space="preserve">AbbVie Oy </w:delText>
              </w:r>
            </w:del>
          </w:p>
          <w:p w14:paraId="0A087445" w14:textId="77777777" w:rsidR="00BC0E7E" w:rsidRPr="00BC0E7E" w:rsidRDefault="00944B8F" w:rsidP="00171601">
            <w:pPr>
              <w:keepNext/>
              <w:rPr>
                <w:del w:id="12316" w:author="AbbVie19" w:date="2025-04-16T12:22:00Z"/>
                <w:bCs/>
                <w:szCs w:val="22"/>
                <w:lang w:val="fi-FI"/>
              </w:rPr>
            </w:pPr>
            <w:del w:id="12317" w:author="AbbVie19" w:date="2025-04-16T12:22:00Z">
              <w:r w:rsidRPr="00A06B15">
                <w:rPr>
                  <w:bCs/>
                  <w:szCs w:val="22"/>
                  <w:lang w:val="de-DE"/>
                </w:rPr>
                <w:delText>Puh/Tel:  +358 (0)10 2411 200</w:delText>
              </w:r>
            </w:del>
          </w:p>
        </w:tc>
      </w:tr>
      <w:tr w:rsidR="00C6578C" w14:paraId="35307DED" w14:textId="77777777" w:rsidTr="00171601">
        <w:trPr>
          <w:gridBefore w:val="1"/>
          <w:wBefore w:w="34" w:type="dxa"/>
          <w:del w:id="12318" w:author="AbbVie19" w:date="2025-04-16T12:22:00Z"/>
        </w:trPr>
        <w:tc>
          <w:tcPr>
            <w:tcW w:w="4644" w:type="dxa"/>
          </w:tcPr>
          <w:p w14:paraId="09E1498C" w14:textId="77777777" w:rsidR="00BC0E7E" w:rsidRPr="00BC0E7E" w:rsidRDefault="00944B8F" w:rsidP="00171601">
            <w:pPr>
              <w:keepNext/>
              <w:rPr>
                <w:del w:id="12319" w:author="AbbVie19" w:date="2025-04-16T12:22:00Z"/>
                <w:b/>
                <w:bCs/>
                <w:szCs w:val="22"/>
                <w:lang w:val="el-GR"/>
              </w:rPr>
            </w:pPr>
            <w:del w:id="12320" w:author="AbbVie19" w:date="2025-04-16T12:22:00Z">
              <w:r w:rsidRPr="00BC0E7E">
                <w:rPr>
                  <w:b/>
                  <w:bCs/>
                  <w:szCs w:val="22"/>
                  <w:lang w:val="el-GR"/>
                </w:rPr>
                <w:delText>Κύπρος</w:delText>
              </w:r>
            </w:del>
          </w:p>
          <w:p w14:paraId="22CF4745" w14:textId="77777777" w:rsidR="00BC0E7E" w:rsidRPr="00BC0E7E" w:rsidRDefault="00944B8F" w:rsidP="00171601">
            <w:pPr>
              <w:keepNext/>
              <w:rPr>
                <w:del w:id="12321" w:author="AbbVie19" w:date="2025-04-16T12:22:00Z"/>
                <w:bCs/>
                <w:szCs w:val="22"/>
                <w:lang w:val="el-GR"/>
              </w:rPr>
            </w:pPr>
            <w:del w:id="12322" w:author="AbbVie19" w:date="2025-04-16T12:22:00Z">
              <w:r w:rsidRPr="00BC0E7E">
                <w:rPr>
                  <w:bCs/>
                  <w:szCs w:val="22"/>
                  <w:lang w:val="it-IT"/>
                </w:rPr>
                <w:delText>Lifepharma (Z.A.M.) Ltd</w:delText>
              </w:r>
            </w:del>
          </w:p>
          <w:p w14:paraId="04EDE505" w14:textId="77777777" w:rsidR="00BC0E7E" w:rsidRDefault="00944B8F" w:rsidP="00171601">
            <w:pPr>
              <w:keepNext/>
              <w:rPr>
                <w:del w:id="12323" w:author="AbbVie19" w:date="2025-04-16T12:22:00Z"/>
                <w:bCs/>
                <w:szCs w:val="22"/>
                <w:lang w:val="el-GR"/>
              </w:rPr>
            </w:pPr>
            <w:del w:id="12324" w:author="AbbVie19" w:date="2025-04-16T12:22:00Z">
              <w:r w:rsidRPr="00BC0E7E">
                <w:rPr>
                  <w:bCs/>
                  <w:szCs w:val="22"/>
                  <w:lang w:val="el-GR"/>
                </w:rPr>
                <w:delText>Τηλ.: +357 22 34 74 40</w:delText>
              </w:r>
            </w:del>
          </w:p>
          <w:p w14:paraId="35779C77" w14:textId="77777777" w:rsidR="00504E25" w:rsidRPr="00BC0E7E" w:rsidRDefault="00504E25" w:rsidP="00171601">
            <w:pPr>
              <w:keepNext/>
              <w:rPr>
                <w:del w:id="12325" w:author="AbbVie19" w:date="2025-04-16T12:22:00Z"/>
                <w:bCs/>
                <w:szCs w:val="22"/>
                <w:lang w:val="fi-FI"/>
              </w:rPr>
            </w:pPr>
          </w:p>
        </w:tc>
        <w:tc>
          <w:tcPr>
            <w:tcW w:w="4678" w:type="dxa"/>
          </w:tcPr>
          <w:p w14:paraId="48BA406F" w14:textId="77777777" w:rsidR="00BC0E7E" w:rsidRPr="00BC0E7E" w:rsidRDefault="00944B8F" w:rsidP="00171601">
            <w:pPr>
              <w:keepNext/>
              <w:rPr>
                <w:del w:id="12326" w:author="AbbVie19" w:date="2025-04-16T12:22:00Z"/>
                <w:b/>
                <w:bCs/>
                <w:szCs w:val="22"/>
                <w:lang w:val="sv-SE"/>
              </w:rPr>
            </w:pPr>
            <w:del w:id="12327" w:author="AbbVie19" w:date="2025-04-16T12:22:00Z">
              <w:r w:rsidRPr="00BC0E7E">
                <w:rPr>
                  <w:b/>
                  <w:bCs/>
                  <w:szCs w:val="22"/>
                  <w:lang w:val="sv-SE"/>
                </w:rPr>
                <w:delText>Sverige</w:delText>
              </w:r>
            </w:del>
          </w:p>
          <w:p w14:paraId="2C46B126" w14:textId="77777777" w:rsidR="00BC0E7E" w:rsidRPr="00BC0E7E" w:rsidRDefault="00944B8F" w:rsidP="00171601">
            <w:pPr>
              <w:keepNext/>
              <w:rPr>
                <w:del w:id="12328" w:author="AbbVie19" w:date="2025-04-16T12:22:00Z"/>
                <w:bCs/>
                <w:szCs w:val="22"/>
                <w:lang w:val="pt-PT"/>
              </w:rPr>
            </w:pPr>
            <w:del w:id="12329" w:author="AbbVie19" w:date="2025-04-16T12:22:00Z">
              <w:r w:rsidRPr="00BC0E7E">
                <w:rPr>
                  <w:bCs/>
                  <w:szCs w:val="22"/>
                  <w:lang w:val="pt-PT"/>
                </w:rPr>
                <w:delText>AbbVie AB</w:delText>
              </w:r>
            </w:del>
          </w:p>
          <w:p w14:paraId="2F06DBF1" w14:textId="77777777" w:rsidR="00BC0E7E" w:rsidRPr="00BC0E7E" w:rsidRDefault="00944B8F" w:rsidP="00171601">
            <w:pPr>
              <w:keepNext/>
              <w:rPr>
                <w:del w:id="12330" w:author="AbbVie19" w:date="2025-04-16T12:22:00Z"/>
                <w:bCs/>
                <w:szCs w:val="22"/>
                <w:lang w:val="sv-SE"/>
              </w:rPr>
            </w:pPr>
            <w:del w:id="12331" w:author="AbbVie19" w:date="2025-04-16T12:22:00Z">
              <w:r w:rsidRPr="00BC0E7E">
                <w:rPr>
                  <w:bCs/>
                  <w:szCs w:val="22"/>
                  <w:lang w:val="da-DK"/>
                </w:rPr>
                <w:delText>Tel:  +46 (0)8 684 44 600</w:delText>
              </w:r>
            </w:del>
          </w:p>
        </w:tc>
      </w:tr>
      <w:tr w:rsidR="00C6578C" w14:paraId="04D12708" w14:textId="77777777" w:rsidTr="00171601">
        <w:trPr>
          <w:gridBefore w:val="1"/>
          <w:wBefore w:w="34" w:type="dxa"/>
          <w:cantSplit/>
          <w:trHeight w:val="756"/>
          <w:del w:id="12332" w:author="AbbVie19" w:date="2025-04-16T12:22:00Z"/>
        </w:trPr>
        <w:tc>
          <w:tcPr>
            <w:tcW w:w="4644" w:type="dxa"/>
          </w:tcPr>
          <w:p w14:paraId="205BAA9E" w14:textId="77777777" w:rsidR="00BC0E7E" w:rsidRPr="00BC0E7E" w:rsidRDefault="00944B8F" w:rsidP="00171601">
            <w:pPr>
              <w:keepNext/>
              <w:rPr>
                <w:del w:id="12333" w:author="AbbVie19" w:date="2025-04-16T12:22:00Z"/>
                <w:b/>
                <w:bCs/>
                <w:szCs w:val="22"/>
                <w:lang w:val="lv-LV"/>
              </w:rPr>
            </w:pPr>
            <w:del w:id="12334" w:author="AbbVie19" w:date="2025-04-16T12:22:00Z">
              <w:r w:rsidRPr="00BC0E7E">
                <w:rPr>
                  <w:b/>
                  <w:bCs/>
                  <w:szCs w:val="22"/>
                  <w:lang w:val="lv-LV"/>
                </w:rPr>
                <w:delText>Latvija</w:delText>
              </w:r>
            </w:del>
          </w:p>
          <w:p w14:paraId="77AD27BE" w14:textId="77777777" w:rsidR="00BC0E7E" w:rsidRPr="00BC0E7E" w:rsidRDefault="00944B8F" w:rsidP="00171601">
            <w:pPr>
              <w:keepNext/>
              <w:rPr>
                <w:del w:id="12335" w:author="AbbVie19" w:date="2025-04-16T12:22:00Z"/>
                <w:bCs/>
                <w:szCs w:val="22"/>
                <w:lang w:val="lv-LV"/>
              </w:rPr>
            </w:pPr>
            <w:del w:id="12336" w:author="AbbVie19" w:date="2025-04-16T12:22:00Z">
              <w:r w:rsidRPr="00BC0E7E">
                <w:rPr>
                  <w:bCs/>
                  <w:szCs w:val="22"/>
                  <w:lang w:val="lv-LV"/>
                </w:rPr>
                <w:delText xml:space="preserve">AbbVie SIA </w:delText>
              </w:r>
            </w:del>
          </w:p>
          <w:p w14:paraId="48DA94A4" w14:textId="77777777" w:rsidR="00BC0E7E" w:rsidRPr="00BC0E7E" w:rsidRDefault="00944B8F" w:rsidP="00171601">
            <w:pPr>
              <w:keepNext/>
              <w:rPr>
                <w:del w:id="12337" w:author="AbbVie19" w:date="2025-04-16T12:22:00Z"/>
                <w:bCs/>
                <w:szCs w:val="22"/>
                <w:lang w:val="lv-LV"/>
              </w:rPr>
            </w:pPr>
            <w:del w:id="12338" w:author="AbbVie19" w:date="2025-04-16T12:22:00Z">
              <w:r w:rsidRPr="00BC0E7E">
                <w:rPr>
                  <w:bCs/>
                  <w:szCs w:val="22"/>
                  <w:lang w:val="lv-LV"/>
                </w:rPr>
                <w:delText>Tel: +371 67605000</w:delText>
              </w:r>
            </w:del>
          </w:p>
        </w:tc>
        <w:tc>
          <w:tcPr>
            <w:tcW w:w="4678" w:type="dxa"/>
          </w:tcPr>
          <w:p w14:paraId="048531B9" w14:textId="77777777" w:rsidR="00BC0E7E" w:rsidRPr="00BC0E7E" w:rsidRDefault="00BC0E7E" w:rsidP="00171601">
            <w:pPr>
              <w:keepNext/>
              <w:rPr>
                <w:del w:id="12339" w:author="AbbVie19" w:date="2025-04-16T12:22:00Z"/>
                <w:bCs/>
                <w:szCs w:val="22"/>
                <w:lang w:val="lv-LV"/>
              </w:rPr>
            </w:pPr>
          </w:p>
        </w:tc>
      </w:tr>
    </w:tbl>
    <w:p w14:paraId="66D30072" w14:textId="77777777" w:rsidR="00BC0E7E" w:rsidRPr="00BC0E7E" w:rsidRDefault="00BC0E7E" w:rsidP="00BC0E7E">
      <w:pPr>
        <w:numPr>
          <w:ilvl w:val="12"/>
          <w:numId w:val="0"/>
        </w:numPr>
        <w:tabs>
          <w:tab w:val="clear" w:pos="562"/>
        </w:tabs>
        <w:ind w:right="-2"/>
        <w:rPr>
          <w:del w:id="12340" w:author="AbbVie19" w:date="2025-04-16T12:22:00Z"/>
          <w:b/>
        </w:rPr>
      </w:pPr>
    </w:p>
    <w:p w14:paraId="47C50B80" w14:textId="77777777" w:rsidR="00BC0E7E" w:rsidRPr="00BC0E7E" w:rsidRDefault="00944B8F" w:rsidP="00BC0E7E">
      <w:pPr>
        <w:numPr>
          <w:ilvl w:val="12"/>
          <w:numId w:val="0"/>
        </w:numPr>
        <w:tabs>
          <w:tab w:val="clear" w:pos="562"/>
        </w:tabs>
        <w:ind w:right="-2"/>
        <w:rPr>
          <w:del w:id="12341" w:author="AbbVie19" w:date="2025-04-16T12:22:00Z"/>
          <w:b/>
        </w:rPr>
      </w:pPr>
      <w:del w:id="12342" w:author="AbbVie19" w:date="2025-04-16T12:22:00Z">
        <w:r w:rsidRPr="00BC0E7E">
          <w:rPr>
            <w:b/>
          </w:rPr>
          <w:lastRenderedPageBreak/>
          <w:delText>This leaflet was last revised in</w:delText>
        </w:r>
      </w:del>
    </w:p>
    <w:p w14:paraId="6D571187" w14:textId="77777777" w:rsidR="00BC0E7E" w:rsidRPr="00BC0E7E" w:rsidRDefault="00BC0E7E" w:rsidP="00BC0E7E">
      <w:pPr>
        <w:numPr>
          <w:ilvl w:val="12"/>
          <w:numId w:val="0"/>
        </w:numPr>
        <w:tabs>
          <w:tab w:val="clear" w:pos="562"/>
        </w:tabs>
        <w:ind w:right="-2"/>
        <w:rPr>
          <w:del w:id="12343" w:author="AbbVie19" w:date="2025-04-16T12:22:00Z"/>
          <w:b/>
        </w:rPr>
      </w:pPr>
    </w:p>
    <w:p w14:paraId="404854B0" w14:textId="77777777" w:rsidR="00BC0E7E" w:rsidRPr="00BC0E7E" w:rsidRDefault="00944B8F" w:rsidP="00BC0E7E">
      <w:pPr>
        <w:numPr>
          <w:ilvl w:val="12"/>
          <w:numId w:val="0"/>
        </w:numPr>
        <w:tabs>
          <w:tab w:val="clear" w:pos="562"/>
        </w:tabs>
        <w:ind w:right="-2"/>
        <w:rPr>
          <w:del w:id="12344" w:author="AbbVie19" w:date="2025-04-16T12:22:00Z"/>
          <w:b/>
        </w:rPr>
      </w:pPr>
      <w:del w:id="12345" w:author="AbbVie19" w:date="2025-04-16T12:22:00Z">
        <w:r w:rsidRPr="00BC0E7E">
          <w:rPr>
            <w:iCs/>
            <w:noProof/>
            <w:szCs w:val="22"/>
          </w:rPr>
          <w:delText xml:space="preserve">Detailed information on this medicine is available on the European Medicines Agency web site: </w:delText>
        </w:r>
        <w:r>
          <w:fldChar w:fldCharType="begin"/>
        </w:r>
        <w:r>
          <w:delInstrText>HYPERLINK "http://www.ema.europa.eu"</w:delInstrText>
        </w:r>
        <w:r>
          <w:fldChar w:fldCharType="separate"/>
        </w:r>
        <w:r w:rsidRPr="008B7BCC">
          <w:rPr>
            <w:rStyle w:val="Hyperlink"/>
            <w:noProof/>
            <w:szCs w:val="22"/>
          </w:rPr>
          <w:delText>http://www.ema.europa.eu</w:delText>
        </w:r>
        <w:r>
          <w:fldChar w:fldCharType="end"/>
        </w:r>
        <w:r w:rsidRPr="00BC0E7E">
          <w:rPr>
            <w:noProof/>
            <w:szCs w:val="22"/>
          </w:rPr>
          <w:delText>.</w:delText>
        </w:r>
      </w:del>
    </w:p>
    <w:p w14:paraId="31E5CC77" w14:textId="77777777" w:rsidR="00BC0E7E" w:rsidRPr="00BC0E7E" w:rsidRDefault="00BC0E7E" w:rsidP="00BC0E7E">
      <w:pPr>
        <w:numPr>
          <w:ilvl w:val="12"/>
          <w:numId w:val="0"/>
        </w:numPr>
        <w:tabs>
          <w:tab w:val="clear" w:pos="562"/>
        </w:tabs>
        <w:ind w:right="-2"/>
        <w:rPr>
          <w:del w:id="12346" w:author="AbbVie19" w:date="2025-04-16T12:22:00Z"/>
          <w:b/>
        </w:rPr>
      </w:pPr>
    </w:p>
    <w:p w14:paraId="57E1B39E" w14:textId="77777777" w:rsidR="00FD46E0" w:rsidRDefault="00944B8F" w:rsidP="00BC0E7E">
      <w:pPr>
        <w:numPr>
          <w:ilvl w:val="12"/>
          <w:numId w:val="0"/>
        </w:numPr>
        <w:tabs>
          <w:tab w:val="clear" w:pos="562"/>
        </w:tabs>
        <w:ind w:right="-2"/>
        <w:rPr>
          <w:del w:id="12347" w:author="AbbVie19" w:date="2025-04-16T12:22:00Z"/>
          <w:b/>
          <w:color w:val="000000"/>
        </w:rPr>
      </w:pPr>
      <w:del w:id="12348" w:author="AbbVie19" w:date="2025-04-16T12:22:00Z">
        <w:r w:rsidRPr="00BC0E7E">
          <w:rPr>
            <w:b/>
            <w:color w:val="000000"/>
          </w:rPr>
          <w:delText xml:space="preserve">To listen to or request a copy of this leaflet in </w:delText>
        </w:r>
        <w:r w:rsidRPr="00BC0E7E">
          <w:rPr>
            <w:b/>
            <w:color w:val="000000"/>
            <w:shd w:val="clear" w:color="auto" w:fill="A6A6A6"/>
          </w:rPr>
          <w:delText>&lt;Braille&gt;, &lt;large print&gt; or &lt;audio&gt;</w:delText>
        </w:r>
        <w:r w:rsidRPr="00BC0E7E">
          <w:rPr>
            <w:b/>
            <w:color w:val="000000"/>
          </w:rPr>
          <w:delText>, please contact the local representative of the Marketing Authorisation Holder.</w:delText>
        </w:r>
      </w:del>
    </w:p>
    <w:p w14:paraId="08B48BB2" w14:textId="77777777" w:rsidR="00BC0E7E" w:rsidRPr="00BC0E7E" w:rsidRDefault="00944B8F" w:rsidP="00BC0E7E">
      <w:pPr>
        <w:numPr>
          <w:ilvl w:val="12"/>
          <w:numId w:val="0"/>
        </w:numPr>
        <w:tabs>
          <w:tab w:val="clear" w:pos="562"/>
        </w:tabs>
        <w:ind w:right="-2"/>
      </w:pPr>
      <w:r w:rsidRPr="00BC0E7E">
        <w:rPr>
          <w:b/>
        </w:rPr>
        <w:br w:type="page"/>
      </w:r>
    </w:p>
    <w:p w14:paraId="115FD03B" w14:textId="77777777" w:rsidR="00BC0E7E" w:rsidRPr="00BC0E7E" w:rsidRDefault="00944B8F" w:rsidP="00BC0E7E">
      <w:pPr>
        <w:tabs>
          <w:tab w:val="clear" w:pos="562"/>
        </w:tabs>
        <w:jc w:val="center"/>
        <w:rPr>
          <w:del w:id="12349" w:author="AbbVie19" w:date="2025-04-16T12:22:00Z"/>
          <w:rFonts w:ascii="Times New Roman Bold" w:hAnsi="Times New Roman Bold"/>
          <w:b/>
        </w:rPr>
      </w:pPr>
      <w:del w:id="12350" w:author="AbbVie19" w:date="2025-04-16T12:22:00Z">
        <w:r w:rsidRPr="00BC0E7E">
          <w:rPr>
            <w:b/>
          </w:rPr>
          <w:lastRenderedPageBreak/>
          <w:delText>Package leaflet: Information for the patient</w:delText>
        </w:r>
      </w:del>
    </w:p>
    <w:p w14:paraId="23C4337D" w14:textId="77777777" w:rsidR="00BC0E7E" w:rsidRPr="00BC0E7E" w:rsidRDefault="00BC0E7E" w:rsidP="00BC0E7E">
      <w:pPr>
        <w:jc w:val="center"/>
        <w:rPr>
          <w:del w:id="12351" w:author="AbbVie19" w:date="2025-04-16T12:22:00Z"/>
        </w:rPr>
      </w:pPr>
    </w:p>
    <w:p w14:paraId="38F803E6" w14:textId="77777777" w:rsidR="00BC0E7E" w:rsidRPr="00BC0E7E" w:rsidRDefault="00944B8F" w:rsidP="00BC0E7E">
      <w:pPr>
        <w:numPr>
          <w:ilvl w:val="12"/>
          <w:numId w:val="0"/>
        </w:numPr>
        <w:jc w:val="center"/>
        <w:rPr>
          <w:del w:id="12352" w:author="AbbVie19" w:date="2025-04-16T12:22:00Z"/>
        </w:rPr>
      </w:pPr>
      <w:del w:id="12353" w:author="AbbVie19" w:date="2025-04-16T12:22:00Z">
        <w:r w:rsidRPr="00BC0E7E">
          <w:rPr>
            <w:b/>
            <w:bCs/>
          </w:rPr>
          <w:delText xml:space="preserve">Humira </w:delText>
        </w:r>
        <w:r w:rsidRPr="00BC0E7E">
          <w:rPr>
            <w:b/>
          </w:rPr>
          <w:delText>40 mg solution for injection in pre-filled pen</w:delText>
        </w:r>
      </w:del>
    </w:p>
    <w:p w14:paraId="1DBA5EF5" w14:textId="77777777" w:rsidR="00BC0E7E" w:rsidRPr="00BC0E7E" w:rsidRDefault="00944B8F" w:rsidP="00BC0E7E">
      <w:pPr>
        <w:jc w:val="center"/>
        <w:rPr>
          <w:del w:id="12354" w:author="AbbVie19" w:date="2025-04-16T12:22:00Z"/>
          <w:b/>
          <w:bCs/>
        </w:rPr>
      </w:pPr>
      <w:del w:id="12355" w:author="AbbVie19" w:date="2025-04-16T12:22:00Z">
        <w:r w:rsidRPr="00BC0E7E">
          <w:delText>adalimumab</w:delText>
        </w:r>
      </w:del>
    </w:p>
    <w:p w14:paraId="11D98CA9" w14:textId="77777777" w:rsidR="00BC0E7E" w:rsidRPr="00BC0E7E" w:rsidRDefault="00BC0E7E" w:rsidP="00BC0E7E">
      <w:pPr>
        <w:jc w:val="center"/>
        <w:rPr>
          <w:del w:id="12356" w:author="AbbVie19" w:date="2025-04-16T12:22:00Z"/>
        </w:rPr>
      </w:pPr>
    </w:p>
    <w:p w14:paraId="61F5F6F3" w14:textId="77777777" w:rsidR="00BC0E7E" w:rsidRPr="00BC0E7E" w:rsidRDefault="00944B8F" w:rsidP="00BC0E7E">
      <w:pPr>
        <w:tabs>
          <w:tab w:val="clear" w:pos="562"/>
        </w:tabs>
        <w:ind w:right="-2"/>
        <w:rPr>
          <w:del w:id="12357" w:author="AbbVie19" w:date="2025-04-16T12:22:00Z"/>
        </w:rPr>
      </w:pPr>
      <w:del w:id="12358" w:author="AbbVie19" w:date="2025-04-16T12:22:00Z">
        <w:r w:rsidRPr="00BC0E7E">
          <w:rPr>
            <w:b/>
          </w:rPr>
          <w:delText>Read all of this leaflet carefully before you start using this medicine because it contains important information for you.</w:delText>
        </w:r>
      </w:del>
    </w:p>
    <w:p w14:paraId="340FB406" w14:textId="77777777" w:rsidR="00BC0E7E" w:rsidRPr="00BC0E7E" w:rsidRDefault="00944B8F" w:rsidP="00BC0E7E">
      <w:pPr>
        <w:numPr>
          <w:ilvl w:val="0"/>
          <w:numId w:val="15"/>
        </w:numPr>
        <w:rPr>
          <w:del w:id="12359" w:author="AbbVie19" w:date="2025-04-16T12:22:00Z"/>
          <w:szCs w:val="20"/>
        </w:rPr>
      </w:pPr>
      <w:del w:id="12360" w:author="AbbVie19" w:date="2025-04-16T12:22:00Z">
        <w:r w:rsidRPr="00BC0E7E">
          <w:rPr>
            <w:szCs w:val="20"/>
          </w:rPr>
          <w:delText>Keep this leaflet. You may need to read it again.</w:delText>
        </w:r>
      </w:del>
    </w:p>
    <w:p w14:paraId="597A2BA9" w14:textId="77777777" w:rsidR="00BC0E7E" w:rsidRPr="00BC0E7E" w:rsidRDefault="00944B8F" w:rsidP="00BC0E7E">
      <w:pPr>
        <w:numPr>
          <w:ilvl w:val="0"/>
          <w:numId w:val="15"/>
        </w:numPr>
        <w:rPr>
          <w:del w:id="12361" w:author="AbbVie19" w:date="2025-04-16T12:22:00Z"/>
          <w:szCs w:val="20"/>
        </w:rPr>
      </w:pPr>
      <w:del w:id="12362" w:author="AbbVie19" w:date="2025-04-16T12:22:00Z">
        <w:r w:rsidRPr="00BC0E7E">
          <w:rPr>
            <w:szCs w:val="20"/>
          </w:rPr>
          <w:delText xml:space="preserve">Your doctor will also give you a </w:delText>
        </w:r>
        <w:r w:rsidR="00BF2AE5" w:rsidRPr="002179FE">
          <w:rPr>
            <w:b/>
          </w:rPr>
          <w:delText>Patient Reminder Card</w:delText>
        </w:r>
        <w:r w:rsidRPr="00BC0E7E">
          <w:rPr>
            <w:szCs w:val="20"/>
          </w:rPr>
          <w:delText xml:space="preserve">, which contains important safety information that you need to be aware of before you are given Humira and during treatment with Humira. Keep this </w:delText>
        </w:r>
        <w:r w:rsidR="00BF2AE5" w:rsidRPr="002179FE">
          <w:rPr>
            <w:b/>
          </w:rPr>
          <w:delText>Patient Reminder Card</w:delText>
        </w:r>
        <w:r w:rsidRPr="00BC0E7E">
          <w:rPr>
            <w:szCs w:val="20"/>
          </w:rPr>
          <w:delText xml:space="preserve"> with you.</w:delText>
        </w:r>
      </w:del>
    </w:p>
    <w:p w14:paraId="3EE9D84C" w14:textId="77777777" w:rsidR="00BC0E7E" w:rsidRPr="00BC0E7E" w:rsidRDefault="00944B8F" w:rsidP="00BC0E7E">
      <w:pPr>
        <w:numPr>
          <w:ilvl w:val="0"/>
          <w:numId w:val="15"/>
        </w:numPr>
        <w:rPr>
          <w:del w:id="12363" w:author="AbbVie19" w:date="2025-04-16T12:22:00Z"/>
          <w:szCs w:val="20"/>
        </w:rPr>
      </w:pPr>
      <w:del w:id="12364" w:author="AbbVie19" w:date="2025-04-16T12:22:00Z">
        <w:r w:rsidRPr="00BC0E7E">
          <w:rPr>
            <w:szCs w:val="20"/>
          </w:rPr>
          <w:delText>If you have any further questions, ask your doctor or pharmacist.</w:delText>
        </w:r>
      </w:del>
    </w:p>
    <w:p w14:paraId="2C1BB6A6" w14:textId="77777777" w:rsidR="00BC0E7E" w:rsidRPr="00BC0E7E" w:rsidRDefault="00944B8F" w:rsidP="00BC0E7E">
      <w:pPr>
        <w:numPr>
          <w:ilvl w:val="0"/>
          <w:numId w:val="15"/>
        </w:numPr>
        <w:rPr>
          <w:del w:id="12365" w:author="AbbVie19" w:date="2025-04-16T12:22:00Z"/>
          <w:b/>
          <w:szCs w:val="20"/>
        </w:rPr>
      </w:pPr>
      <w:del w:id="12366" w:author="AbbVie19" w:date="2025-04-16T12:22:00Z">
        <w:r w:rsidRPr="00BC0E7E">
          <w:rPr>
            <w:szCs w:val="20"/>
          </w:rPr>
          <w:delText>This medicine has been prescribed for you only. Do not pass it on to others. It may harm them, even if their signs of illness are the same as yours.</w:delText>
        </w:r>
      </w:del>
    </w:p>
    <w:p w14:paraId="3E3ACC61" w14:textId="77777777" w:rsidR="00BC0E7E" w:rsidRPr="00BC0E7E" w:rsidRDefault="00944B8F" w:rsidP="00BC0E7E">
      <w:pPr>
        <w:numPr>
          <w:ilvl w:val="0"/>
          <w:numId w:val="15"/>
        </w:numPr>
        <w:rPr>
          <w:del w:id="12367" w:author="AbbVie19" w:date="2025-04-16T12:22:00Z"/>
          <w:b/>
          <w:szCs w:val="20"/>
        </w:rPr>
      </w:pPr>
      <w:del w:id="12368" w:author="AbbVie19" w:date="2025-04-16T12:22:00Z">
        <w:r w:rsidRPr="00BC0E7E">
          <w:rPr>
            <w:szCs w:val="20"/>
          </w:rPr>
          <w:delText>If you get any side effects, talk to your doctor or pharmacist. This includes any possible side effects not listed in this leaflet (see section 4).</w:delText>
        </w:r>
      </w:del>
    </w:p>
    <w:p w14:paraId="70BF896A" w14:textId="77777777" w:rsidR="00BC0E7E" w:rsidRPr="00BC0E7E" w:rsidRDefault="00BC0E7E" w:rsidP="00BC0E7E">
      <w:pPr>
        <w:numPr>
          <w:ilvl w:val="12"/>
          <w:numId w:val="0"/>
        </w:numPr>
        <w:ind w:right="-2"/>
        <w:rPr>
          <w:del w:id="12369" w:author="AbbVie19" w:date="2025-04-16T12:22:00Z"/>
        </w:rPr>
      </w:pPr>
    </w:p>
    <w:p w14:paraId="7F07A216" w14:textId="77777777" w:rsidR="00BC0E7E" w:rsidRPr="00BC0E7E" w:rsidRDefault="00944B8F" w:rsidP="00BC0E7E">
      <w:pPr>
        <w:numPr>
          <w:ilvl w:val="12"/>
          <w:numId w:val="0"/>
        </w:numPr>
        <w:tabs>
          <w:tab w:val="clear" w:pos="562"/>
        </w:tabs>
        <w:ind w:right="-2"/>
        <w:rPr>
          <w:del w:id="12370" w:author="AbbVie19" w:date="2025-04-16T12:22:00Z"/>
        </w:rPr>
      </w:pPr>
      <w:del w:id="12371" w:author="AbbVie19" w:date="2025-04-16T12:22:00Z">
        <w:r w:rsidRPr="00BC0E7E">
          <w:rPr>
            <w:b/>
          </w:rPr>
          <w:delText>What is in this leaflet</w:delText>
        </w:r>
        <w:r w:rsidRPr="00BC0E7E">
          <w:delText xml:space="preserve"> </w:delText>
        </w:r>
      </w:del>
    </w:p>
    <w:p w14:paraId="62E22C7D" w14:textId="77777777" w:rsidR="00BC0E7E" w:rsidRPr="00BC0E7E" w:rsidRDefault="00944B8F" w:rsidP="00BC0E7E">
      <w:pPr>
        <w:tabs>
          <w:tab w:val="clear" w:pos="562"/>
        </w:tabs>
        <w:ind w:left="567" w:right="-29" w:hanging="567"/>
        <w:rPr>
          <w:del w:id="12372" w:author="AbbVie19" w:date="2025-04-16T12:22:00Z"/>
        </w:rPr>
      </w:pPr>
      <w:del w:id="12373" w:author="AbbVie19" w:date="2025-04-16T12:22:00Z">
        <w:r w:rsidRPr="00BC0E7E">
          <w:delText>1.</w:delText>
        </w:r>
        <w:r w:rsidRPr="00BC0E7E">
          <w:tab/>
          <w:delText>What Humira is and what it is used for</w:delText>
        </w:r>
      </w:del>
    </w:p>
    <w:p w14:paraId="19D1930D" w14:textId="77777777" w:rsidR="00BC0E7E" w:rsidRPr="00BC0E7E" w:rsidRDefault="00944B8F" w:rsidP="00BC0E7E">
      <w:pPr>
        <w:tabs>
          <w:tab w:val="clear" w:pos="562"/>
        </w:tabs>
        <w:ind w:left="567" w:right="-29" w:hanging="567"/>
        <w:rPr>
          <w:del w:id="12374" w:author="AbbVie19" w:date="2025-04-16T12:22:00Z"/>
        </w:rPr>
      </w:pPr>
      <w:del w:id="12375" w:author="AbbVie19" w:date="2025-04-16T12:22:00Z">
        <w:r w:rsidRPr="00BC0E7E">
          <w:delText>2.</w:delText>
        </w:r>
        <w:r w:rsidRPr="00BC0E7E">
          <w:tab/>
          <w:delText>What you need to know before you use Humira</w:delText>
        </w:r>
      </w:del>
    </w:p>
    <w:p w14:paraId="180312D2" w14:textId="77777777" w:rsidR="00BC0E7E" w:rsidRPr="00BC0E7E" w:rsidRDefault="00944B8F" w:rsidP="00BC0E7E">
      <w:pPr>
        <w:tabs>
          <w:tab w:val="clear" w:pos="562"/>
        </w:tabs>
        <w:ind w:left="567" w:right="-29" w:hanging="567"/>
        <w:rPr>
          <w:del w:id="12376" w:author="AbbVie19" w:date="2025-04-16T12:22:00Z"/>
        </w:rPr>
      </w:pPr>
      <w:del w:id="12377" w:author="AbbVie19" w:date="2025-04-16T12:22:00Z">
        <w:r w:rsidRPr="00BC0E7E">
          <w:delText>3.</w:delText>
        </w:r>
        <w:r w:rsidRPr="00BC0E7E">
          <w:tab/>
          <w:delText>How to use Humira</w:delText>
        </w:r>
      </w:del>
    </w:p>
    <w:p w14:paraId="48F5C580" w14:textId="77777777" w:rsidR="00BC0E7E" w:rsidRPr="00BC0E7E" w:rsidRDefault="00944B8F" w:rsidP="00BC0E7E">
      <w:pPr>
        <w:tabs>
          <w:tab w:val="clear" w:pos="562"/>
        </w:tabs>
        <w:ind w:left="567" w:right="-29" w:hanging="567"/>
        <w:rPr>
          <w:del w:id="12378" w:author="AbbVie19" w:date="2025-04-16T12:22:00Z"/>
        </w:rPr>
      </w:pPr>
      <w:del w:id="12379" w:author="AbbVie19" w:date="2025-04-16T12:22:00Z">
        <w:r w:rsidRPr="00BC0E7E">
          <w:delText>4.</w:delText>
        </w:r>
        <w:r w:rsidRPr="00BC0E7E">
          <w:tab/>
          <w:delText>Possible side effects</w:delText>
        </w:r>
      </w:del>
    </w:p>
    <w:p w14:paraId="17A696B8" w14:textId="77777777" w:rsidR="00BC0E7E" w:rsidRPr="00BC0E7E" w:rsidRDefault="00944B8F" w:rsidP="00BC0E7E">
      <w:pPr>
        <w:tabs>
          <w:tab w:val="clear" w:pos="562"/>
        </w:tabs>
        <w:ind w:left="567" w:right="-29" w:hanging="567"/>
        <w:rPr>
          <w:del w:id="12380" w:author="AbbVie19" w:date="2025-04-16T12:22:00Z"/>
        </w:rPr>
      </w:pPr>
      <w:del w:id="12381" w:author="AbbVie19" w:date="2025-04-16T12:22:00Z">
        <w:r w:rsidRPr="00BC0E7E">
          <w:delText>5</w:delText>
        </w:r>
        <w:r w:rsidRPr="00BC0E7E">
          <w:tab/>
          <w:delText>How to store Humira</w:delText>
        </w:r>
      </w:del>
    </w:p>
    <w:p w14:paraId="6CF0D4CD" w14:textId="77777777" w:rsidR="00BC0E7E" w:rsidRPr="00BC0E7E" w:rsidRDefault="00944B8F" w:rsidP="00BC0E7E">
      <w:pPr>
        <w:tabs>
          <w:tab w:val="clear" w:pos="562"/>
        </w:tabs>
        <w:ind w:left="567" w:right="-29" w:hanging="567"/>
        <w:rPr>
          <w:del w:id="12382" w:author="AbbVie19" w:date="2025-04-16T12:22:00Z"/>
        </w:rPr>
      </w:pPr>
      <w:del w:id="12383" w:author="AbbVie19" w:date="2025-04-16T12:22:00Z">
        <w:r w:rsidRPr="00BC0E7E">
          <w:delText>6.</w:delText>
        </w:r>
        <w:r w:rsidRPr="00BC0E7E">
          <w:tab/>
          <w:delText>Contents of the pack and other information</w:delText>
        </w:r>
      </w:del>
    </w:p>
    <w:p w14:paraId="6E20B302" w14:textId="77777777" w:rsidR="00BC0E7E" w:rsidRPr="00BC0E7E" w:rsidRDefault="00BC0E7E" w:rsidP="00BC0E7E">
      <w:pPr>
        <w:tabs>
          <w:tab w:val="clear" w:pos="562"/>
        </w:tabs>
        <w:ind w:left="567" w:right="-29" w:hanging="567"/>
        <w:rPr>
          <w:del w:id="12384" w:author="AbbVie19" w:date="2025-04-16T12:22:00Z"/>
        </w:rPr>
      </w:pPr>
    </w:p>
    <w:p w14:paraId="77803B59" w14:textId="77777777" w:rsidR="00BC0E7E" w:rsidRPr="00BC0E7E" w:rsidRDefault="00BC0E7E" w:rsidP="00BC0E7E">
      <w:pPr>
        <w:tabs>
          <w:tab w:val="clear" w:pos="562"/>
        </w:tabs>
        <w:ind w:left="567" w:right="-29" w:hanging="567"/>
        <w:rPr>
          <w:del w:id="12385" w:author="AbbVie19" w:date="2025-04-16T12:22:00Z"/>
        </w:rPr>
      </w:pPr>
    </w:p>
    <w:p w14:paraId="0D71CDA1" w14:textId="77777777" w:rsidR="00BC0E7E" w:rsidRPr="00BC0E7E" w:rsidRDefault="00944B8F" w:rsidP="00BC0E7E">
      <w:pPr>
        <w:outlineLvl w:val="0"/>
        <w:rPr>
          <w:del w:id="12386" w:author="AbbVie19" w:date="2025-04-16T12:22:00Z"/>
          <w:rFonts w:ascii="Times New Roman Bold" w:hAnsi="Times New Roman Bold"/>
          <w:b/>
          <w:szCs w:val="20"/>
        </w:rPr>
      </w:pPr>
      <w:del w:id="12387" w:author="AbbVie19" w:date="2025-04-16T12:22:00Z">
        <w:r w:rsidRPr="00BC0E7E">
          <w:rPr>
            <w:b/>
            <w:caps/>
            <w:szCs w:val="20"/>
          </w:rPr>
          <w:delText>1.</w:delText>
        </w:r>
        <w:r w:rsidRPr="00BC0E7E">
          <w:rPr>
            <w:b/>
            <w:caps/>
            <w:szCs w:val="20"/>
          </w:rPr>
          <w:tab/>
          <w:delText>W</w:delText>
        </w:r>
        <w:r w:rsidRPr="00BC0E7E">
          <w:rPr>
            <w:rFonts w:ascii="Times New Roman Bold" w:hAnsi="Times New Roman Bold"/>
            <w:b/>
            <w:szCs w:val="20"/>
          </w:rPr>
          <w:delText>hat Humira is and what it is used for</w:delText>
        </w:r>
      </w:del>
    </w:p>
    <w:p w14:paraId="61EA5C8C" w14:textId="77777777" w:rsidR="00BC0E7E" w:rsidRPr="00BC0E7E" w:rsidRDefault="00BC0E7E" w:rsidP="00BC0E7E">
      <w:pPr>
        <w:rPr>
          <w:del w:id="12388" w:author="AbbVie19" w:date="2025-04-16T12:22:00Z"/>
          <w:szCs w:val="20"/>
        </w:rPr>
      </w:pPr>
    </w:p>
    <w:p w14:paraId="76ED5680" w14:textId="77777777" w:rsidR="00A354EF" w:rsidRDefault="00944B8F" w:rsidP="00A354EF">
      <w:pPr>
        <w:keepLines/>
        <w:numPr>
          <w:ilvl w:val="12"/>
          <w:numId w:val="0"/>
        </w:numPr>
        <w:tabs>
          <w:tab w:val="clear" w:pos="562"/>
        </w:tabs>
        <w:ind w:right="-2"/>
        <w:rPr>
          <w:del w:id="12389" w:author="AbbVie19" w:date="2025-04-16T12:22:00Z"/>
          <w:noProof/>
          <w:color w:val="000000"/>
          <w:szCs w:val="22"/>
        </w:rPr>
      </w:pPr>
      <w:del w:id="12390" w:author="AbbVie19" w:date="2025-04-16T12:22:00Z">
        <w:r>
          <w:rPr>
            <w:noProof/>
            <w:color w:val="000000"/>
            <w:szCs w:val="22"/>
          </w:rPr>
          <w:delText>Humira</w:delText>
        </w:r>
        <w:r w:rsidRPr="00ED237F">
          <w:rPr>
            <w:noProof/>
            <w:color w:val="000000"/>
            <w:szCs w:val="22"/>
          </w:rPr>
          <w:delText xml:space="preserve"> contains the active substance adalimumab. </w:delText>
        </w:r>
      </w:del>
    </w:p>
    <w:p w14:paraId="0A1C5F12" w14:textId="77777777" w:rsidR="00A354EF" w:rsidRDefault="00A354EF" w:rsidP="00A354EF">
      <w:pPr>
        <w:keepLines/>
        <w:numPr>
          <w:ilvl w:val="12"/>
          <w:numId w:val="0"/>
        </w:numPr>
        <w:tabs>
          <w:tab w:val="clear" w:pos="562"/>
        </w:tabs>
        <w:ind w:right="-2"/>
        <w:rPr>
          <w:del w:id="12391" w:author="AbbVie19" w:date="2025-04-16T12:22:00Z"/>
          <w:noProof/>
          <w:color w:val="000000"/>
          <w:szCs w:val="22"/>
        </w:rPr>
      </w:pPr>
    </w:p>
    <w:p w14:paraId="7D77DEAC" w14:textId="77777777" w:rsidR="00A354EF" w:rsidRDefault="00944B8F" w:rsidP="00A354EF">
      <w:pPr>
        <w:keepLines/>
        <w:numPr>
          <w:ilvl w:val="12"/>
          <w:numId w:val="0"/>
        </w:numPr>
        <w:tabs>
          <w:tab w:val="clear" w:pos="562"/>
        </w:tabs>
        <w:ind w:right="-2"/>
        <w:rPr>
          <w:del w:id="12392" w:author="AbbVie19" w:date="2025-04-16T12:22:00Z"/>
          <w:noProof/>
          <w:color w:val="000000"/>
          <w:szCs w:val="22"/>
        </w:rPr>
      </w:pPr>
      <w:del w:id="12393" w:author="AbbVie19" w:date="2025-04-16T12:22:00Z">
        <w:r>
          <w:rPr>
            <w:noProof/>
            <w:color w:val="000000"/>
            <w:szCs w:val="22"/>
          </w:rPr>
          <w:delText>Humira</w:delText>
        </w:r>
        <w:r w:rsidRPr="00ED237F">
          <w:rPr>
            <w:noProof/>
            <w:color w:val="000000"/>
            <w:szCs w:val="22"/>
          </w:rPr>
          <w:delText xml:space="preserve"> is intended for </w:delText>
        </w:r>
        <w:r>
          <w:rPr>
            <w:noProof/>
            <w:color w:val="000000"/>
            <w:szCs w:val="22"/>
          </w:rPr>
          <w:delText xml:space="preserve">the </w:delText>
        </w:r>
        <w:r w:rsidRPr="00ED237F">
          <w:rPr>
            <w:noProof/>
            <w:color w:val="000000"/>
            <w:szCs w:val="22"/>
          </w:rPr>
          <w:delText>treatment of</w:delText>
        </w:r>
        <w:r>
          <w:rPr>
            <w:noProof/>
            <w:color w:val="000000"/>
            <w:szCs w:val="22"/>
          </w:rPr>
          <w:delText xml:space="preserve"> the inflammatory diseases described below:</w:delText>
        </w:r>
      </w:del>
    </w:p>
    <w:p w14:paraId="7AA661F8" w14:textId="77777777" w:rsidR="00A354EF" w:rsidRDefault="00944B8F" w:rsidP="00D51999">
      <w:pPr>
        <w:keepLines/>
        <w:numPr>
          <w:ilvl w:val="0"/>
          <w:numId w:val="123"/>
        </w:numPr>
        <w:tabs>
          <w:tab w:val="clear" w:pos="562"/>
        </w:tabs>
        <w:suppressAutoHyphens w:val="0"/>
        <w:ind w:left="284" w:right="-2" w:hanging="284"/>
        <w:rPr>
          <w:del w:id="12394" w:author="AbbVie19" w:date="2025-04-16T12:22:00Z"/>
          <w:noProof/>
          <w:color w:val="000000"/>
          <w:szCs w:val="22"/>
        </w:rPr>
      </w:pPr>
      <w:del w:id="12395" w:author="AbbVie19" w:date="2025-04-16T12:22:00Z">
        <w:r>
          <w:rPr>
            <w:noProof/>
            <w:color w:val="000000"/>
            <w:szCs w:val="22"/>
          </w:rPr>
          <w:delText>R</w:delText>
        </w:r>
        <w:r w:rsidRPr="00ED237F">
          <w:rPr>
            <w:noProof/>
            <w:color w:val="000000"/>
            <w:szCs w:val="22"/>
          </w:rPr>
          <w:delText xml:space="preserve">heumatoid arthritis, </w:delText>
        </w:r>
      </w:del>
    </w:p>
    <w:p w14:paraId="5C09601A" w14:textId="77777777" w:rsidR="00A354EF" w:rsidRDefault="00944B8F" w:rsidP="00D51999">
      <w:pPr>
        <w:keepLines/>
        <w:numPr>
          <w:ilvl w:val="0"/>
          <w:numId w:val="123"/>
        </w:numPr>
        <w:tabs>
          <w:tab w:val="clear" w:pos="562"/>
        </w:tabs>
        <w:suppressAutoHyphens w:val="0"/>
        <w:ind w:left="284" w:right="-2" w:hanging="284"/>
        <w:rPr>
          <w:del w:id="12396" w:author="AbbVie19" w:date="2025-04-16T12:22:00Z"/>
          <w:noProof/>
          <w:color w:val="000000"/>
          <w:szCs w:val="22"/>
        </w:rPr>
      </w:pPr>
      <w:del w:id="12397" w:author="AbbVie19" w:date="2025-04-16T12:22:00Z">
        <w:r>
          <w:rPr>
            <w:noProof/>
            <w:color w:val="000000"/>
            <w:szCs w:val="22"/>
          </w:rPr>
          <w:delText>P</w:delText>
        </w:r>
        <w:r w:rsidRPr="00ED237F">
          <w:rPr>
            <w:noProof/>
            <w:color w:val="000000"/>
            <w:szCs w:val="22"/>
          </w:rPr>
          <w:delText xml:space="preserve">olyarticular juvenile idiopathic arthritis, </w:delText>
        </w:r>
      </w:del>
    </w:p>
    <w:p w14:paraId="6EB8ACC5" w14:textId="77777777" w:rsidR="00A354EF" w:rsidRDefault="00944B8F" w:rsidP="00D51999">
      <w:pPr>
        <w:keepLines/>
        <w:numPr>
          <w:ilvl w:val="0"/>
          <w:numId w:val="123"/>
        </w:numPr>
        <w:tabs>
          <w:tab w:val="clear" w:pos="562"/>
        </w:tabs>
        <w:suppressAutoHyphens w:val="0"/>
        <w:ind w:left="284" w:right="-2" w:hanging="284"/>
        <w:rPr>
          <w:del w:id="12398" w:author="AbbVie19" w:date="2025-04-16T12:22:00Z"/>
          <w:noProof/>
          <w:color w:val="000000"/>
          <w:szCs w:val="22"/>
        </w:rPr>
      </w:pPr>
      <w:del w:id="12399" w:author="AbbVie19" w:date="2025-04-16T12:22:00Z">
        <w:r>
          <w:rPr>
            <w:noProof/>
            <w:color w:val="000000"/>
            <w:szCs w:val="22"/>
          </w:rPr>
          <w:delText>E</w:delText>
        </w:r>
        <w:r w:rsidRPr="00ED237F">
          <w:rPr>
            <w:noProof/>
            <w:color w:val="000000"/>
            <w:szCs w:val="22"/>
          </w:rPr>
          <w:delText xml:space="preserve">nthesitis-related arthritis, </w:delText>
        </w:r>
      </w:del>
    </w:p>
    <w:p w14:paraId="3DC8EDEA" w14:textId="77777777" w:rsidR="00A354EF" w:rsidRDefault="00944B8F" w:rsidP="00D51999">
      <w:pPr>
        <w:keepLines/>
        <w:numPr>
          <w:ilvl w:val="0"/>
          <w:numId w:val="123"/>
        </w:numPr>
        <w:tabs>
          <w:tab w:val="clear" w:pos="562"/>
        </w:tabs>
        <w:suppressAutoHyphens w:val="0"/>
        <w:ind w:left="284" w:right="-2" w:hanging="284"/>
        <w:rPr>
          <w:del w:id="12400" w:author="AbbVie19" w:date="2025-04-16T12:22:00Z"/>
          <w:noProof/>
          <w:color w:val="000000"/>
          <w:szCs w:val="22"/>
        </w:rPr>
      </w:pPr>
      <w:del w:id="12401" w:author="AbbVie19" w:date="2025-04-16T12:22:00Z">
        <w:r>
          <w:rPr>
            <w:noProof/>
            <w:color w:val="000000"/>
            <w:szCs w:val="22"/>
          </w:rPr>
          <w:delText>A</w:delText>
        </w:r>
        <w:r w:rsidRPr="00ED237F">
          <w:rPr>
            <w:noProof/>
            <w:color w:val="000000"/>
            <w:szCs w:val="22"/>
          </w:rPr>
          <w:delText xml:space="preserve">nkylosing spondylitis, </w:delText>
        </w:r>
      </w:del>
    </w:p>
    <w:p w14:paraId="605BF6A8" w14:textId="77777777" w:rsidR="00A354EF" w:rsidRDefault="00944B8F" w:rsidP="00D51999">
      <w:pPr>
        <w:keepLines/>
        <w:numPr>
          <w:ilvl w:val="0"/>
          <w:numId w:val="123"/>
        </w:numPr>
        <w:tabs>
          <w:tab w:val="clear" w:pos="562"/>
        </w:tabs>
        <w:suppressAutoHyphens w:val="0"/>
        <w:ind w:left="284" w:right="-2" w:hanging="284"/>
        <w:rPr>
          <w:del w:id="12402" w:author="AbbVie19" w:date="2025-04-16T12:22:00Z"/>
          <w:noProof/>
          <w:color w:val="000000"/>
          <w:szCs w:val="22"/>
        </w:rPr>
      </w:pPr>
      <w:del w:id="12403" w:author="AbbVie19" w:date="2025-04-16T12:22:00Z">
        <w:r>
          <w:rPr>
            <w:noProof/>
            <w:color w:val="000000"/>
            <w:szCs w:val="22"/>
          </w:rPr>
          <w:delText>A</w:delText>
        </w:r>
        <w:r w:rsidRPr="00ED237F">
          <w:rPr>
            <w:noProof/>
            <w:color w:val="000000"/>
            <w:szCs w:val="22"/>
          </w:rPr>
          <w:delText xml:space="preserve">xial spondyloarthritis without radiographic evidence of ankylosing spondylitis, </w:delText>
        </w:r>
      </w:del>
    </w:p>
    <w:p w14:paraId="43128444" w14:textId="77777777" w:rsidR="00A354EF" w:rsidRDefault="00944B8F" w:rsidP="00D51999">
      <w:pPr>
        <w:keepLines/>
        <w:numPr>
          <w:ilvl w:val="0"/>
          <w:numId w:val="123"/>
        </w:numPr>
        <w:tabs>
          <w:tab w:val="clear" w:pos="562"/>
        </w:tabs>
        <w:suppressAutoHyphens w:val="0"/>
        <w:ind w:left="284" w:right="-2" w:hanging="284"/>
        <w:rPr>
          <w:del w:id="12404" w:author="AbbVie19" w:date="2025-04-16T12:22:00Z"/>
          <w:noProof/>
          <w:color w:val="000000"/>
          <w:szCs w:val="22"/>
        </w:rPr>
      </w:pPr>
      <w:del w:id="12405" w:author="AbbVie19" w:date="2025-04-16T12:22:00Z">
        <w:r>
          <w:rPr>
            <w:noProof/>
            <w:color w:val="000000"/>
            <w:szCs w:val="22"/>
          </w:rPr>
          <w:delText>P</w:delText>
        </w:r>
        <w:r w:rsidRPr="00ED237F">
          <w:rPr>
            <w:noProof/>
            <w:color w:val="000000"/>
            <w:szCs w:val="22"/>
          </w:rPr>
          <w:delText xml:space="preserve">soriatic arthritis, </w:delText>
        </w:r>
      </w:del>
    </w:p>
    <w:p w14:paraId="3868FA7F" w14:textId="77777777" w:rsidR="00A354EF" w:rsidRDefault="00944B8F" w:rsidP="00D51999">
      <w:pPr>
        <w:keepLines/>
        <w:numPr>
          <w:ilvl w:val="0"/>
          <w:numId w:val="123"/>
        </w:numPr>
        <w:tabs>
          <w:tab w:val="clear" w:pos="562"/>
        </w:tabs>
        <w:suppressAutoHyphens w:val="0"/>
        <w:ind w:left="284" w:right="-2" w:hanging="284"/>
        <w:rPr>
          <w:del w:id="12406" w:author="AbbVie19" w:date="2025-04-16T12:22:00Z"/>
          <w:noProof/>
          <w:color w:val="000000"/>
          <w:szCs w:val="22"/>
        </w:rPr>
      </w:pPr>
      <w:del w:id="12407" w:author="AbbVie19" w:date="2025-04-16T12:22:00Z">
        <w:r>
          <w:rPr>
            <w:noProof/>
            <w:color w:val="000000"/>
            <w:szCs w:val="22"/>
          </w:rPr>
          <w:delText>P</w:delText>
        </w:r>
        <w:r w:rsidRPr="00ED237F">
          <w:rPr>
            <w:noProof/>
            <w:color w:val="000000"/>
            <w:szCs w:val="22"/>
          </w:rPr>
          <w:delText>soriasis,</w:delText>
        </w:r>
      </w:del>
    </w:p>
    <w:p w14:paraId="2E5EB327" w14:textId="77777777" w:rsidR="00A354EF" w:rsidRDefault="00944B8F" w:rsidP="00D51999">
      <w:pPr>
        <w:keepLines/>
        <w:numPr>
          <w:ilvl w:val="0"/>
          <w:numId w:val="123"/>
        </w:numPr>
        <w:tabs>
          <w:tab w:val="clear" w:pos="562"/>
        </w:tabs>
        <w:suppressAutoHyphens w:val="0"/>
        <w:ind w:left="284" w:right="-2" w:hanging="284"/>
        <w:rPr>
          <w:del w:id="12408" w:author="AbbVie19" w:date="2025-04-16T12:22:00Z"/>
          <w:noProof/>
          <w:color w:val="000000"/>
          <w:szCs w:val="22"/>
        </w:rPr>
      </w:pPr>
      <w:del w:id="12409" w:author="AbbVie19" w:date="2025-04-16T12:22:00Z">
        <w:r>
          <w:rPr>
            <w:noProof/>
            <w:color w:val="000000"/>
            <w:szCs w:val="22"/>
          </w:rPr>
          <w:delText>H</w:delText>
        </w:r>
        <w:r w:rsidRPr="00ED237F">
          <w:rPr>
            <w:noProof/>
            <w:color w:val="000000"/>
            <w:szCs w:val="22"/>
          </w:rPr>
          <w:delText xml:space="preserve">idradenitis suppurativa, </w:delText>
        </w:r>
      </w:del>
    </w:p>
    <w:p w14:paraId="020BB0EB" w14:textId="77777777" w:rsidR="00A354EF" w:rsidRDefault="00944B8F" w:rsidP="00D51999">
      <w:pPr>
        <w:keepLines/>
        <w:numPr>
          <w:ilvl w:val="0"/>
          <w:numId w:val="123"/>
        </w:numPr>
        <w:tabs>
          <w:tab w:val="clear" w:pos="562"/>
        </w:tabs>
        <w:suppressAutoHyphens w:val="0"/>
        <w:ind w:left="284" w:right="-2" w:hanging="284"/>
        <w:rPr>
          <w:del w:id="12410" w:author="AbbVie19" w:date="2025-04-16T12:22:00Z"/>
          <w:noProof/>
          <w:color w:val="000000"/>
          <w:szCs w:val="22"/>
        </w:rPr>
      </w:pPr>
      <w:del w:id="12411" w:author="AbbVie19" w:date="2025-04-16T12:22:00Z">
        <w:r w:rsidRPr="00ED237F">
          <w:rPr>
            <w:noProof/>
            <w:color w:val="000000"/>
            <w:szCs w:val="22"/>
          </w:rPr>
          <w:delText>Crohn’s disease</w:delText>
        </w:r>
        <w:r>
          <w:rPr>
            <w:noProof/>
            <w:color w:val="000000"/>
            <w:szCs w:val="22"/>
          </w:rPr>
          <w:delText>,</w:delText>
        </w:r>
        <w:r w:rsidRPr="00ED237F">
          <w:rPr>
            <w:noProof/>
            <w:color w:val="000000"/>
            <w:szCs w:val="22"/>
          </w:rPr>
          <w:delText xml:space="preserve"> </w:delText>
        </w:r>
      </w:del>
    </w:p>
    <w:p w14:paraId="158EE15E" w14:textId="77777777" w:rsidR="00A354EF" w:rsidRDefault="00944B8F" w:rsidP="00D51999">
      <w:pPr>
        <w:keepLines/>
        <w:numPr>
          <w:ilvl w:val="0"/>
          <w:numId w:val="123"/>
        </w:numPr>
        <w:tabs>
          <w:tab w:val="clear" w:pos="562"/>
        </w:tabs>
        <w:suppressAutoHyphens w:val="0"/>
        <w:ind w:left="284" w:right="-2" w:hanging="284"/>
        <w:rPr>
          <w:del w:id="12412" w:author="AbbVie19" w:date="2025-04-16T12:22:00Z"/>
          <w:noProof/>
          <w:color w:val="000000"/>
          <w:szCs w:val="22"/>
        </w:rPr>
      </w:pPr>
      <w:del w:id="12413" w:author="AbbVie19" w:date="2025-04-16T12:22:00Z">
        <w:r>
          <w:rPr>
            <w:noProof/>
            <w:color w:val="000000"/>
            <w:szCs w:val="22"/>
          </w:rPr>
          <w:delText>U</w:delText>
        </w:r>
        <w:r w:rsidRPr="00ED237F">
          <w:rPr>
            <w:noProof/>
            <w:color w:val="000000"/>
            <w:szCs w:val="22"/>
          </w:rPr>
          <w:delText>lcerative colitis</w:delText>
        </w:r>
        <w:r>
          <w:rPr>
            <w:noProof/>
            <w:color w:val="000000"/>
            <w:szCs w:val="22"/>
          </w:rPr>
          <w:delText xml:space="preserve"> </w:delText>
        </w:r>
        <w:r w:rsidRPr="00907CAC">
          <w:rPr>
            <w:noProof/>
            <w:color w:val="000000"/>
            <w:szCs w:val="22"/>
          </w:rPr>
          <w:delText xml:space="preserve">and </w:delText>
        </w:r>
      </w:del>
    </w:p>
    <w:p w14:paraId="25689D42" w14:textId="77777777" w:rsidR="00A354EF" w:rsidRDefault="00944B8F" w:rsidP="00D51999">
      <w:pPr>
        <w:keepLines/>
        <w:numPr>
          <w:ilvl w:val="0"/>
          <w:numId w:val="123"/>
        </w:numPr>
        <w:tabs>
          <w:tab w:val="clear" w:pos="562"/>
        </w:tabs>
        <w:suppressAutoHyphens w:val="0"/>
        <w:ind w:left="284" w:right="-2" w:hanging="284"/>
        <w:rPr>
          <w:del w:id="12414" w:author="AbbVie19" w:date="2025-04-16T12:22:00Z"/>
          <w:noProof/>
          <w:color w:val="000000"/>
          <w:szCs w:val="22"/>
        </w:rPr>
      </w:pPr>
      <w:del w:id="12415" w:author="AbbVie19" w:date="2025-04-16T12:22:00Z">
        <w:r>
          <w:rPr>
            <w:noProof/>
            <w:color w:val="000000"/>
            <w:szCs w:val="22"/>
          </w:rPr>
          <w:delText>N</w:delText>
        </w:r>
        <w:r w:rsidRPr="00907CAC">
          <w:rPr>
            <w:noProof/>
            <w:color w:val="000000"/>
            <w:szCs w:val="22"/>
          </w:rPr>
          <w:delText>on-infectious uveitis</w:delText>
        </w:r>
      </w:del>
    </w:p>
    <w:p w14:paraId="3965A9BE" w14:textId="77777777" w:rsidR="00A354EF" w:rsidRDefault="00A354EF" w:rsidP="00A354EF">
      <w:pPr>
        <w:keepLines/>
        <w:numPr>
          <w:ilvl w:val="12"/>
          <w:numId w:val="0"/>
        </w:numPr>
        <w:tabs>
          <w:tab w:val="clear" w:pos="562"/>
        </w:tabs>
        <w:ind w:right="-2"/>
        <w:rPr>
          <w:del w:id="12416" w:author="AbbVie19" w:date="2025-04-16T12:22:00Z"/>
          <w:noProof/>
          <w:color w:val="000000"/>
          <w:szCs w:val="22"/>
        </w:rPr>
      </w:pPr>
    </w:p>
    <w:p w14:paraId="0C2DC3C8" w14:textId="77777777" w:rsidR="00A354EF" w:rsidRDefault="00944B8F" w:rsidP="00A354EF">
      <w:pPr>
        <w:keepLines/>
        <w:numPr>
          <w:ilvl w:val="12"/>
          <w:numId w:val="0"/>
        </w:numPr>
        <w:tabs>
          <w:tab w:val="clear" w:pos="562"/>
        </w:tabs>
        <w:ind w:right="-2"/>
        <w:rPr>
          <w:del w:id="12417" w:author="AbbVie19" w:date="2025-04-16T12:22:00Z"/>
          <w:noProof/>
          <w:color w:val="000000"/>
          <w:szCs w:val="22"/>
        </w:rPr>
      </w:pPr>
      <w:del w:id="12418" w:author="AbbVie19" w:date="2025-04-16T12:22:00Z">
        <w:r w:rsidRPr="00ED237F">
          <w:rPr>
            <w:noProof/>
            <w:color w:val="000000"/>
            <w:szCs w:val="22"/>
          </w:rPr>
          <w:delText>The active ingredient</w:delText>
        </w:r>
        <w:r>
          <w:rPr>
            <w:noProof/>
            <w:color w:val="000000"/>
            <w:szCs w:val="22"/>
          </w:rPr>
          <w:delText xml:space="preserve"> in Humira</w:delText>
        </w:r>
        <w:r w:rsidRPr="00ED237F">
          <w:rPr>
            <w:noProof/>
            <w:color w:val="000000"/>
            <w:szCs w:val="22"/>
          </w:rPr>
          <w:delText>, adalimumab, is a</w:delText>
        </w:r>
        <w:r>
          <w:rPr>
            <w:noProof/>
            <w:color w:val="000000"/>
            <w:szCs w:val="22"/>
          </w:rPr>
          <w:delText xml:space="preserve"> human</w:delText>
        </w:r>
        <w:r w:rsidRPr="00ED237F">
          <w:rPr>
            <w:noProof/>
            <w:color w:val="000000"/>
            <w:szCs w:val="22"/>
          </w:rPr>
          <w:delText xml:space="preserve"> monoclonal antibody. Monoclonal antibodies are proteins that </w:delText>
        </w:r>
        <w:r w:rsidRPr="00A7331B">
          <w:rPr>
            <w:noProof/>
            <w:color w:val="000000"/>
            <w:szCs w:val="22"/>
          </w:rPr>
          <w:delText>attach to a specific target</w:delText>
        </w:r>
        <w:r w:rsidRPr="00ED237F">
          <w:rPr>
            <w:noProof/>
            <w:color w:val="000000"/>
            <w:szCs w:val="22"/>
          </w:rPr>
          <w:delText>.</w:delText>
        </w:r>
      </w:del>
    </w:p>
    <w:p w14:paraId="52BC7665" w14:textId="77777777" w:rsidR="00A354EF" w:rsidRDefault="00A354EF" w:rsidP="00A354EF">
      <w:pPr>
        <w:keepLines/>
        <w:numPr>
          <w:ilvl w:val="12"/>
          <w:numId w:val="0"/>
        </w:numPr>
        <w:tabs>
          <w:tab w:val="clear" w:pos="562"/>
        </w:tabs>
        <w:ind w:right="-2"/>
        <w:rPr>
          <w:del w:id="12419" w:author="AbbVie19" w:date="2025-04-16T12:22:00Z"/>
          <w:noProof/>
          <w:color w:val="000000"/>
          <w:szCs w:val="22"/>
        </w:rPr>
      </w:pPr>
    </w:p>
    <w:p w14:paraId="2316D703" w14:textId="77777777" w:rsidR="00A354EF" w:rsidRDefault="00944B8F" w:rsidP="00A354EF">
      <w:pPr>
        <w:rPr>
          <w:del w:id="12420" w:author="AbbVie19" w:date="2025-04-16T12:22:00Z"/>
          <w:noProof/>
          <w:color w:val="000000"/>
          <w:szCs w:val="22"/>
        </w:rPr>
      </w:pPr>
      <w:del w:id="12421" w:author="AbbVie19" w:date="2025-04-16T12:22:00Z">
        <w:r>
          <w:rPr>
            <w:noProof/>
            <w:color w:val="000000"/>
            <w:szCs w:val="22"/>
          </w:rPr>
          <w:delText>The target of</w:delText>
        </w:r>
        <w:r w:rsidRPr="00ED237F">
          <w:rPr>
            <w:noProof/>
            <w:color w:val="000000"/>
            <w:szCs w:val="22"/>
          </w:rPr>
          <w:delText xml:space="preserve"> </w:delText>
        </w:r>
        <w:r>
          <w:rPr>
            <w:noProof/>
            <w:color w:val="000000"/>
            <w:szCs w:val="22"/>
          </w:rPr>
          <w:delText>a</w:delText>
        </w:r>
        <w:r w:rsidRPr="00ED237F">
          <w:rPr>
            <w:noProof/>
            <w:color w:val="000000"/>
            <w:szCs w:val="22"/>
          </w:rPr>
          <w:delText xml:space="preserve">dalimumab </w:delText>
        </w:r>
        <w:r>
          <w:rPr>
            <w:noProof/>
            <w:color w:val="000000"/>
            <w:szCs w:val="22"/>
          </w:rPr>
          <w:delText>is a</w:delText>
        </w:r>
        <w:r w:rsidRPr="00ED237F">
          <w:rPr>
            <w:noProof/>
            <w:color w:val="000000"/>
            <w:szCs w:val="22"/>
          </w:rPr>
          <w:delText xml:space="preserve"> protein </w:delText>
        </w:r>
        <w:r>
          <w:rPr>
            <w:noProof/>
            <w:color w:val="000000"/>
            <w:szCs w:val="22"/>
          </w:rPr>
          <w:delText xml:space="preserve">called </w:delText>
        </w:r>
        <w:r w:rsidRPr="00ED237F">
          <w:rPr>
            <w:noProof/>
            <w:color w:val="000000"/>
            <w:szCs w:val="22"/>
          </w:rPr>
          <w:delText xml:space="preserve">tumour necrosis factor </w:delText>
        </w:r>
        <w:r>
          <w:rPr>
            <w:noProof/>
            <w:color w:val="000000"/>
            <w:szCs w:val="22"/>
          </w:rPr>
          <w:delText>(</w:delText>
        </w:r>
        <w:r w:rsidRPr="00ED237F">
          <w:rPr>
            <w:noProof/>
            <w:color w:val="000000"/>
            <w:szCs w:val="22"/>
          </w:rPr>
          <w:delText xml:space="preserve">TNFα), which </w:delText>
        </w:r>
        <w:r>
          <w:rPr>
            <w:noProof/>
            <w:color w:val="000000"/>
            <w:szCs w:val="22"/>
          </w:rPr>
          <w:delText xml:space="preserve">is involved in the immune (defence) system and </w:delText>
        </w:r>
        <w:r w:rsidRPr="00ED237F">
          <w:rPr>
            <w:noProof/>
            <w:color w:val="000000"/>
            <w:szCs w:val="22"/>
          </w:rPr>
          <w:delText xml:space="preserve">is present at increased levels in </w:delText>
        </w:r>
        <w:r>
          <w:rPr>
            <w:noProof/>
            <w:color w:val="000000"/>
            <w:szCs w:val="22"/>
          </w:rPr>
          <w:delText xml:space="preserve">the </w:delText>
        </w:r>
        <w:r w:rsidRPr="00ED237F">
          <w:rPr>
            <w:noProof/>
            <w:color w:val="000000"/>
            <w:szCs w:val="22"/>
          </w:rPr>
          <w:delText xml:space="preserve">inflammatory diseases </w:delText>
        </w:r>
        <w:r>
          <w:rPr>
            <w:noProof/>
            <w:color w:val="000000"/>
            <w:szCs w:val="22"/>
          </w:rPr>
          <w:delText>listed above</w:delText>
        </w:r>
        <w:r w:rsidRPr="00ED237F">
          <w:rPr>
            <w:noProof/>
            <w:color w:val="000000"/>
            <w:szCs w:val="22"/>
          </w:rPr>
          <w:delText>.</w:delText>
        </w:r>
        <w:r w:rsidRPr="00A7331B">
          <w:rPr>
            <w:noProof/>
            <w:color w:val="000000"/>
            <w:szCs w:val="22"/>
          </w:rPr>
          <w:delText xml:space="preserve"> </w:delText>
        </w:r>
        <w:r>
          <w:rPr>
            <w:noProof/>
            <w:color w:val="000000"/>
            <w:szCs w:val="22"/>
          </w:rPr>
          <w:delText xml:space="preserve">By attaching to </w:delText>
        </w:r>
        <w:r w:rsidRPr="00ED237F">
          <w:rPr>
            <w:noProof/>
            <w:color w:val="000000"/>
            <w:szCs w:val="22"/>
          </w:rPr>
          <w:delText>TNFα</w:delText>
        </w:r>
        <w:r>
          <w:rPr>
            <w:noProof/>
            <w:color w:val="000000"/>
            <w:szCs w:val="22"/>
          </w:rPr>
          <w:delText>, Humira decreases the process of inflammation in these diseases.</w:delText>
        </w:r>
      </w:del>
    </w:p>
    <w:p w14:paraId="3E434B28" w14:textId="77777777" w:rsidR="00BC0E7E" w:rsidRPr="00BC0E7E" w:rsidRDefault="00BC0E7E" w:rsidP="00BC0E7E">
      <w:pPr>
        <w:rPr>
          <w:del w:id="12422" w:author="AbbVie19" w:date="2025-04-16T12:22:00Z"/>
        </w:rPr>
      </w:pPr>
    </w:p>
    <w:p w14:paraId="36A718CB" w14:textId="77777777" w:rsidR="00BC0E7E" w:rsidRPr="00BC0E7E" w:rsidRDefault="00944B8F" w:rsidP="0097291B">
      <w:pPr>
        <w:keepNext/>
        <w:rPr>
          <w:del w:id="12423" w:author="AbbVie19" w:date="2025-04-16T12:22:00Z"/>
          <w:szCs w:val="20"/>
          <w:u w:val="single"/>
        </w:rPr>
      </w:pPr>
      <w:del w:id="12424" w:author="AbbVie19" w:date="2025-04-16T12:22:00Z">
        <w:r w:rsidRPr="00BC0E7E">
          <w:rPr>
            <w:szCs w:val="20"/>
            <w:u w:val="single"/>
          </w:rPr>
          <w:lastRenderedPageBreak/>
          <w:delText>Rheumatoid arthritis</w:delText>
        </w:r>
      </w:del>
    </w:p>
    <w:p w14:paraId="436F06BA" w14:textId="77777777" w:rsidR="00BC0E7E" w:rsidRPr="00BC0E7E" w:rsidRDefault="00BC0E7E" w:rsidP="0097291B">
      <w:pPr>
        <w:keepNext/>
        <w:rPr>
          <w:del w:id="12425" w:author="AbbVie19" w:date="2025-04-16T12:22:00Z"/>
          <w:szCs w:val="20"/>
        </w:rPr>
      </w:pPr>
    </w:p>
    <w:p w14:paraId="1561E564" w14:textId="77777777" w:rsidR="00BC0E7E" w:rsidRPr="00BC0E7E" w:rsidRDefault="00944B8F" w:rsidP="0097291B">
      <w:pPr>
        <w:keepNext/>
        <w:rPr>
          <w:del w:id="12426" w:author="AbbVie19" w:date="2025-04-16T12:22:00Z"/>
        </w:rPr>
      </w:pPr>
      <w:del w:id="12427" w:author="AbbVie19" w:date="2025-04-16T12:22:00Z">
        <w:r w:rsidRPr="00BC0E7E">
          <w:delText>Rheumatoid arthritis is an inflammatory disease of the joints.</w:delText>
        </w:r>
      </w:del>
    </w:p>
    <w:p w14:paraId="67A9DC4E" w14:textId="77777777" w:rsidR="00BC0E7E" w:rsidRPr="00BC0E7E" w:rsidRDefault="00BC0E7E" w:rsidP="00BC0E7E">
      <w:pPr>
        <w:rPr>
          <w:del w:id="12428" w:author="AbbVie19" w:date="2025-04-16T12:22:00Z"/>
        </w:rPr>
      </w:pPr>
    </w:p>
    <w:p w14:paraId="7A759844" w14:textId="77777777" w:rsidR="00BC0E7E" w:rsidRPr="00BC0E7E" w:rsidRDefault="00944B8F" w:rsidP="00BC0E7E">
      <w:pPr>
        <w:rPr>
          <w:del w:id="12429" w:author="AbbVie19" w:date="2025-04-16T12:22:00Z"/>
        </w:rPr>
      </w:pPr>
      <w:del w:id="12430" w:author="AbbVie19" w:date="2025-04-16T12:22:00Z">
        <w:r w:rsidRPr="00BC0E7E">
          <w:delText xml:space="preserve">Humira is used to treat rheumatoid arthritis in adults. If you have moderate to severe active rheumatoid arthritis, you may first be given other disease-modifying medicines, such as methotrexate. If you do not respond well enough to these medicines, you will be given Humira to treat your rheumatoid arthritis.  </w:delText>
        </w:r>
      </w:del>
    </w:p>
    <w:p w14:paraId="0C5F532E" w14:textId="77777777" w:rsidR="00BC0E7E" w:rsidRPr="00BC0E7E" w:rsidRDefault="00BC0E7E" w:rsidP="00BC0E7E">
      <w:pPr>
        <w:rPr>
          <w:del w:id="12431" w:author="AbbVie19" w:date="2025-04-16T12:22:00Z"/>
        </w:rPr>
      </w:pPr>
    </w:p>
    <w:p w14:paraId="4006C388" w14:textId="77777777" w:rsidR="00BC0E7E" w:rsidRPr="00BC0E7E" w:rsidRDefault="00944B8F" w:rsidP="00BC0E7E">
      <w:pPr>
        <w:rPr>
          <w:del w:id="12432" w:author="AbbVie19" w:date="2025-04-16T12:22:00Z"/>
        </w:rPr>
      </w:pPr>
      <w:del w:id="12433" w:author="AbbVie19" w:date="2025-04-16T12:22:00Z">
        <w:r w:rsidRPr="00BC0E7E">
          <w:delText>Humira can also be used to treat severe, active and progressive rheumatoid arthritis without previous methotrexate treatment.</w:delText>
        </w:r>
      </w:del>
    </w:p>
    <w:p w14:paraId="5E881E9B" w14:textId="77777777" w:rsidR="00BC0E7E" w:rsidRPr="00BC0E7E" w:rsidRDefault="00BC0E7E" w:rsidP="00BC0E7E">
      <w:pPr>
        <w:rPr>
          <w:del w:id="12434" w:author="AbbVie19" w:date="2025-04-16T12:22:00Z"/>
        </w:rPr>
      </w:pPr>
    </w:p>
    <w:p w14:paraId="270B1739" w14:textId="77777777" w:rsidR="00BC0E7E" w:rsidRPr="00BC0E7E" w:rsidRDefault="00944B8F" w:rsidP="00BC0E7E">
      <w:pPr>
        <w:numPr>
          <w:ilvl w:val="12"/>
          <w:numId w:val="0"/>
        </w:numPr>
        <w:ind w:right="-2"/>
        <w:rPr>
          <w:del w:id="12435" w:author="AbbVie19" w:date="2025-04-16T12:22:00Z"/>
        </w:rPr>
      </w:pPr>
      <w:del w:id="12436" w:author="AbbVie19" w:date="2025-04-16T12:22:00Z">
        <w:r w:rsidRPr="00BC0E7E">
          <w:delText xml:space="preserve">Humira has been shown to slow down the damage to the cartilage and bone of the joints caused by the disease and to improve physical function. </w:delText>
        </w:r>
      </w:del>
    </w:p>
    <w:p w14:paraId="6F86A34C" w14:textId="77777777" w:rsidR="00BC0E7E" w:rsidRPr="00BC0E7E" w:rsidRDefault="00944B8F" w:rsidP="00BC0E7E">
      <w:pPr>
        <w:rPr>
          <w:del w:id="12437" w:author="AbbVie19" w:date="2025-04-16T12:22:00Z"/>
          <w:szCs w:val="20"/>
        </w:rPr>
      </w:pPr>
      <w:del w:id="12438" w:author="AbbVie19" w:date="2025-04-16T12:22:00Z">
        <w:r w:rsidRPr="00BC0E7E">
          <w:rPr>
            <w:szCs w:val="20"/>
          </w:rPr>
          <w:delText xml:space="preserve">Usually, Humira is used with methotrexate. If your doctor determines that methotrexate is inappropriate, Humira can be given alone. </w:delText>
        </w:r>
      </w:del>
    </w:p>
    <w:p w14:paraId="1B33804A" w14:textId="77777777" w:rsidR="00BC0E7E" w:rsidRPr="00BC0E7E" w:rsidRDefault="00BC0E7E" w:rsidP="00BC0E7E">
      <w:pPr>
        <w:rPr>
          <w:del w:id="12439" w:author="AbbVie19" w:date="2025-04-16T12:22:00Z"/>
          <w:szCs w:val="20"/>
        </w:rPr>
      </w:pPr>
    </w:p>
    <w:p w14:paraId="21CD5D18" w14:textId="77777777" w:rsidR="00BC0E7E" w:rsidRPr="00BC0E7E" w:rsidRDefault="00944B8F" w:rsidP="00BC0E7E">
      <w:pPr>
        <w:rPr>
          <w:del w:id="12440" w:author="AbbVie19" w:date="2025-04-16T12:22:00Z"/>
          <w:szCs w:val="20"/>
          <w:u w:val="single"/>
        </w:rPr>
      </w:pPr>
      <w:del w:id="12441" w:author="AbbVie19" w:date="2025-04-16T12:22:00Z">
        <w:r w:rsidRPr="00BC0E7E">
          <w:rPr>
            <w:szCs w:val="20"/>
            <w:u w:val="single"/>
          </w:rPr>
          <w:delText>Polyarticular juvenile idiopathic arthritis and enthesitis-related arthritis</w:delText>
        </w:r>
      </w:del>
    </w:p>
    <w:p w14:paraId="5E791CC3" w14:textId="77777777" w:rsidR="00BC0E7E" w:rsidRPr="00BC0E7E" w:rsidRDefault="00BC0E7E" w:rsidP="00BC0E7E">
      <w:pPr>
        <w:rPr>
          <w:del w:id="12442" w:author="AbbVie19" w:date="2025-04-16T12:22:00Z"/>
          <w:szCs w:val="20"/>
        </w:rPr>
      </w:pPr>
    </w:p>
    <w:p w14:paraId="675143C6" w14:textId="77777777" w:rsidR="00BC0E7E" w:rsidRPr="00BC0E7E" w:rsidRDefault="00944B8F" w:rsidP="00BC0E7E">
      <w:pPr>
        <w:numPr>
          <w:ilvl w:val="12"/>
          <w:numId w:val="0"/>
        </w:numPr>
        <w:tabs>
          <w:tab w:val="clear" w:pos="562"/>
        </w:tabs>
        <w:ind w:right="-2"/>
        <w:rPr>
          <w:del w:id="12443" w:author="AbbVie19" w:date="2025-04-16T12:22:00Z"/>
        </w:rPr>
      </w:pPr>
      <w:del w:id="12444" w:author="AbbVie19" w:date="2025-04-16T12:22:00Z">
        <w:r w:rsidRPr="00BC0E7E">
          <w:delText>Polyarticular juvenile idiopathic arthritis and enthesitis-related arthritis are inflammatory diseases.</w:delText>
        </w:r>
      </w:del>
    </w:p>
    <w:p w14:paraId="33A1E217" w14:textId="77777777" w:rsidR="00BC0E7E" w:rsidRPr="00BC0E7E" w:rsidRDefault="00BC0E7E" w:rsidP="00BC0E7E">
      <w:pPr>
        <w:numPr>
          <w:ilvl w:val="12"/>
          <w:numId w:val="0"/>
        </w:numPr>
        <w:tabs>
          <w:tab w:val="clear" w:pos="562"/>
        </w:tabs>
        <w:ind w:right="-2"/>
        <w:rPr>
          <w:del w:id="12445" w:author="AbbVie19" w:date="2025-04-16T12:22:00Z"/>
        </w:rPr>
      </w:pPr>
    </w:p>
    <w:p w14:paraId="646B5A0E" w14:textId="77777777" w:rsidR="00BC0E7E" w:rsidRPr="00BC0E7E" w:rsidRDefault="00944B8F" w:rsidP="00BC0E7E">
      <w:pPr>
        <w:numPr>
          <w:ilvl w:val="12"/>
          <w:numId w:val="0"/>
        </w:numPr>
        <w:tabs>
          <w:tab w:val="clear" w:pos="562"/>
        </w:tabs>
        <w:ind w:right="-2"/>
        <w:rPr>
          <w:del w:id="12446" w:author="AbbVie19" w:date="2025-04-16T12:22:00Z"/>
        </w:rPr>
      </w:pPr>
      <w:del w:id="12447" w:author="AbbVie19" w:date="2025-04-16T12:22:00Z">
        <w:r w:rsidRPr="00BC0E7E">
          <w:delText>Humira is used to treat polyarticular juvenile idiopathic arthritis in children and adolescents aged 2 to 17 years and enthesitis-related arthritis in children and adolescents aged 6 to 17 years. You may first be given other disease-modifying medicines, such as methotrexate. If you do not respond well enough to these medicines, you will be given Humira to treat your polyarticular juvenile idiopathic arthritis or enthesitis-related arthritis.</w:delText>
        </w:r>
      </w:del>
    </w:p>
    <w:p w14:paraId="056AB2CA" w14:textId="77777777" w:rsidR="00BC0E7E" w:rsidRPr="00BC0E7E" w:rsidRDefault="00BC0E7E" w:rsidP="00BC0E7E">
      <w:pPr>
        <w:numPr>
          <w:ilvl w:val="12"/>
          <w:numId w:val="0"/>
        </w:numPr>
        <w:tabs>
          <w:tab w:val="clear" w:pos="562"/>
        </w:tabs>
        <w:ind w:right="-2"/>
        <w:rPr>
          <w:del w:id="12448" w:author="AbbVie19" w:date="2025-04-16T12:22:00Z"/>
        </w:rPr>
      </w:pPr>
    </w:p>
    <w:p w14:paraId="6959B1D8" w14:textId="77777777" w:rsidR="00BC0E7E" w:rsidRPr="00BC0E7E" w:rsidRDefault="00944B8F" w:rsidP="00BC0E7E">
      <w:pPr>
        <w:rPr>
          <w:del w:id="12449" w:author="AbbVie19" w:date="2025-04-16T12:22:00Z"/>
          <w:szCs w:val="20"/>
          <w:u w:val="single"/>
        </w:rPr>
      </w:pPr>
      <w:del w:id="12450" w:author="AbbVie19" w:date="2025-04-16T12:22:00Z">
        <w:r w:rsidRPr="00BC0E7E">
          <w:rPr>
            <w:szCs w:val="20"/>
            <w:u w:val="single"/>
          </w:rPr>
          <w:delText>Ankylosing spondylitis</w:delText>
        </w:r>
        <w:r w:rsidRPr="00BC0E7E">
          <w:rPr>
            <w:szCs w:val="20"/>
          </w:rPr>
          <w:delText xml:space="preserve"> </w:delText>
        </w:r>
        <w:r w:rsidRPr="00BC0E7E">
          <w:rPr>
            <w:szCs w:val="20"/>
            <w:u w:val="single"/>
          </w:rPr>
          <w:delText>and axial spondyloarthritis without radiographic evidence of ankylosing spondylitis</w:delText>
        </w:r>
      </w:del>
    </w:p>
    <w:p w14:paraId="310889BB" w14:textId="77777777" w:rsidR="00BC0E7E" w:rsidRPr="00BC0E7E" w:rsidRDefault="00BC0E7E" w:rsidP="00BC0E7E">
      <w:pPr>
        <w:rPr>
          <w:del w:id="12451" w:author="AbbVie19" w:date="2025-04-16T12:22:00Z"/>
          <w:szCs w:val="20"/>
        </w:rPr>
      </w:pPr>
    </w:p>
    <w:p w14:paraId="2F9891BE" w14:textId="77777777" w:rsidR="00BC0E7E" w:rsidRPr="00BC0E7E" w:rsidRDefault="00944B8F" w:rsidP="00BC0E7E">
      <w:pPr>
        <w:rPr>
          <w:del w:id="12452" w:author="AbbVie19" w:date="2025-04-16T12:22:00Z"/>
          <w:szCs w:val="20"/>
        </w:rPr>
      </w:pPr>
      <w:del w:id="12453" w:author="AbbVie19" w:date="2025-04-16T12:22:00Z">
        <w:r w:rsidRPr="00BC0E7E">
          <w:rPr>
            <w:szCs w:val="20"/>
          </w:rPr>
          <w:delText>Ankylosing spondylitis and axial spondyloarthritis without radiographic evidence of ankylosing spondylitis, are inflammatory diseases of the spine.</w:delText>
        </w:r>
      </w:del>
    </w:p>
    <w:p w14:paraId="0B1BF274" w14:textId="77777777" w:rsidR="00BC0E7E" w:rsidRPr="00BC0E7E" w:rsidRDefault="00BC0E7E" w:rsidP="00BC0E7E">
      <w:pPr>
        <w:rPr>
          <w:del w:id="12454" w:author="AbbVie19" w:date="2025-04-16T12:22:00Z"/>
          <w:szCs w:val="20"/>
        </w:rPr>
      </w:pPr>
    </w:p>
    <w:p w14:paraId="4A310A1B" w14:textId="77777777" w:rsidR="00BC0E7E" w:rsidRPr="00BC0E7E" w:rsidRDefault="00944B8F" w:rsidP="00BC0E7E">
      <w:pPr>
        <w:rPr>
          <w:del w:id="12455" w:author="AbbVie19" w:date="2025-04-16T12:22:00Z"/>
          <w:szCs w:val="20"/>
        </w:rPr>
      </w:pPr>
      <w:del w:id="12456" w:author="AbbVie19" w:date="2025-04-16T12:22:00Z">
        <w:r w:rsidRPr="00BC0E7E">
          <w:rPr>
            <w:szCs w:val="20"/>
          </w:rPr>
          <w:delText>Humira is used to treat ankylosing spondylitis and axial spondyloarthritis without radiographic evidence of ankylosing spondylitis in adults. If you have ankylosing spondylitis or axial spondyloarthritis without radiographic evidence of ankylosing spondylitis, you will first be given other medicines. If you do not respond well enough to these medicines, you will be given Humira to reduce the signs and symptoms of your disease.</w:delText>
        </w:r>
      </w:del>
    </w:p>
    <w:p w14:paraId="565D8FF7" w14:textId="77777777" w:rsidR="00BC0E7E" w:rsidRPr="00BC0E7E" w:rsidRDefault="00BC0E7E" w:rsidP="00BC0E7E">
      <w:pPr>
        <w:rPr>
          <w:del w:id="12457" w:author="AbbVie19" w:date="2025-04-16T12:22:00Z"/>
          <w:szCs w:val="20"/>
        </w:rPr>
      </w:pPr>
    </w:p>
    <w:p w14:paraId="5E68CE9F" w14:textId="77777777" w:rsidR="00BC0E7E" w:rsidRPr="00BC0E7E" w:rsidRDefault="00944B8F" w:rsidP="00BC0E7E">
      <w:pPr>
        <w:rPr>
          <w:del w:id="12458" w:author="AbbVie19" w:date="2025-04-16T12:22:00Z"/>
          <w:szCs w:val="20"/>
          <w:u w:val="single"/>
        </w:rPr>
      </w:pPr>
      <w:del w:id="12459" w:author="AbbVie19" w:date="2025-04-16T12:22:00Z">
        <w:r w:rsidRPr="00BC0E7E">
          <w:rPr>
            <w:szCs w:val="20"/>
            <w:u w:val="single"/>
          </w:rPr>
          <w:delText>Psoriatic arthritis</w:delText>
        </w:r>
      </w:del>
    </w:p>
    <w:p w14:paraId="75CB8612" w14:textId="77777777" w:rsidR="00BC0E7E" w:rsidRPr="00BC0E7E" w:rsidRDefault="00BC0E7E" w:rsidP="00BC0E7E">
      <w:pPr>
        <w:rPr>
          <w:del w:id="12460" w:author="AbbVie19" w:date="2025-04-16T12:22:00Z"/>
          <w:szCs w:val="20"/>
        </w:rPr>
      </w:pPr>
    </w:p>
    <w:p w14:paraId="1BE3585A" w14:textId="77777777" w:rsidR="00BC0E7E" w:rsidRPr="00BC0E7E" w:rsidRDefault="00944B8F" w:rsidP="00BC0E7E">
      <w:pPr>
        <w:rPr>
          <w:del w:id="12461" w:author="AbbVie19" w:date="2025-04-16T12:22:00Z"/>
          <w:szCs w:val="20"/>
        </w:rPr>
      </w:pPr>
      <w:del w:id="12462" w:author="AbbVie19" w:date="2025-04-16T12:22:00Z">
        <w:r w:rsidRPr="00BC0E7E">
          <w:rPr>
            <w:szCs w:val="20"/>
          </w:rPr>
          <w:delText>Psoriatic arthritis is an inflammation of the joints associated with psoriasis.</w:delText>
        </w:r>
      </w:del>
    </w:p>
    <w:p w14:paraId="7BC13940" w14:textId="77777777" w:rsidR="00BC0E7E" w:rsidRPr="00BC0E7E" w:rsidRDefault="00BC0E7E" w:rsidP="00BC0E7E">
      <w:pPr>
        <w:rPr>
          <w:del w:id="12463" w:author="AbbVie19" w:date="2025-04-16T12:22:00Z"/>
          <w:szCs w:val="20"/>
        </w:rPr>
      </w:pPr>
    </w:p>
    <w:p w14:paraId="3EBE542C" w14:textId="77777777" w:rsidR="00BC0E7E" w:rsidRPr="00BC0E7E" w:rsidRDefault="00944B8F" w:rsidP="00BC0E7E">
      <w:pPr>
        <w:rPr>
          <w:del w:id="12464" w:author="AbbVie19" w:date="2025-04-16T12:22:00Z"/>
          <w:szCs w:val="20"/>
        </w:rPr>
      </w:pPr>
      <w:del w:id="12465" w:author="AbbVie19" w:date="2025-04-16T12:22:00Z">
        <w:r w:rsidRPr="00BC0E7E">
          <w:rPr>
            <w:szCs w:val="20"/>
          </w:rPr>
          <w:delText>Humira is used to treat psoriatic arthritis in adults. Humira has been shown to slow down the damage to the cartilage and bone of the joints caused by the disease and to improve physical function.</w:delText>
        </w:r>
      </w:del>
    </w:p>
    <w:p w14:paraId="26AFE2A5" w14:textId="77777777" w:rsidR="00BC0E7E" w:rsidRPr="00BC0E7E" w:rsidRDefault="00BC0E7E" w:rsidP="00BC0E7E">
      <w:pPr>
        <w:rPr>
          <w:del w:id="12466" w:author="AbbVie19" w:date="2025-04-16T12:22:00Z"/>
          <w:szCs w:val="20"/>
        </w:rPr>
      </w:pPr>
    </w:p>
    <w:p w14:paraId="4496926F" w14:textId="77777777" w:rsidR="00BC0E7E" w:rsidRPr="00BC0E7E" w:rsidRDefault="00944B8F" w:rsidP="00BC0E7E">
      <w:pPr>
        <w:tabs>
          <w:tab w:val="clear" w:pos="562"/>
        </w:tabs>
        <w:suppressAutoHyphens w:val="0"/>
        <w:overflowPunct w:val="0"/>
        <w:autoSpaceDE w:val="0"/>
        <w:autoSpaceDN w:val="0"/>
        <w:adjustRightInd w:val="0"/>
        <w:textAlignment w:val="baseline"/>
        <w:rPr>
          <w:del w:id="12467" w:author="AbbVie19" w:date="2025-04-16T12:22:00Z"/>
          <w:bCs/>
          <w:iCs/>
          <w:szCs w:val="20"/>
          <w:u w:val="single"/>
        </w:rPr>
      </w:pPr>
      <w:del w:id="12468" w:author="AbbVie19" w:date="2025-04-16T12:22:00Z">
        <w:r w:rsidRPr="00BC0E7E">
          <w:rPr>
            <w:bCs/>
            <w:iCs/>
            <w:szCs w:val="20"/>
            <w:u w:val="single"/>
          </w:rPr>
          <w:delText xml:space="preserve">Plaque psoriasis in adults and children </w:delText>
        </w:r>
      </w:del>
    </w:p>
    <w:p w14:paraId="5F7C7288" w14:textId="77777777" w:rsidR="00BC0E7E" w:rsidRPr="00BC0E7E" w:rsidRDefault="00BC0E7E" w:rsidP="00BC0E7E">
      <w:pPr>
        <w:rPr>
          <w:del w:id="12469" w:author="AbbVie19" w:date="2025-04-16T12:22:00Z"/>
          <w:szCs w:val="21"/>
        </w:rPr>
      </w:pPr>
    </w:p>
    <w:p w14:paraId="4442ACD0" w14:textId="77777777" w:rsidR="00BC0E7E" w:rsidRPr="00BC0E7E" w:rsidRDefault="00944B8F" w:rsidP="00BC0E7E">
      <w:pPr>
        <w:numPr>
          <w:ilvl w:val="12"/>
          <w:numId w:val="0"/>
        </w:numPr>
        <w:tabs>
          <w:tab w:val="clear" w:pos="562"/>
        </w:tabs>
        <w:ind w:right="-2"/>
        <w:rPr>
          <w:del w:id="12470" w:author="AbbVie19" w:date="2025-04-16T12:22:00Z"/>
        </w:rPr>
      </w:pPr>
      <w:del w:id="12471" w:author="AbbVie19" w:date="2025-04-16T12:22:00Z">
        <w:r w:rsidRPr="00BC0E7E">
          <w:delText>Plaque psoriasis is a skin condition that causes red, flaky, crusty patches of skin covered with silvery scales. Plaque psoriasis can also affect the nails, causing them to crumble, become thickened and lift away from the nail bed which can be painful. Psoriasis is believed to be caused by a problem with the body’s immune system that leads to an increased production of skin cells.</w:delText>
        </w:r>
      </w:del>
    </w:p>
    <w:p w14:paraId="4CEC867F" w14:textId="77777777" w:rsidR="00BC0E7E" w:rsidRPr="00BC0E7E" w:rsidRDefault="00BC0E7E" w:rsidP="00BC0E7E">
      <w:pPr>
        <w:rPr>
          <w:del w:id="12472" w:author="AbbVie19" w:date="2025-04-16T12:22:00Z"/>
          <w:szCs w:val="21"/>
        </w:rPr>
      </w:pPr>
    </w:p>
    <w:p w14:paraId="28F0954C" w14:textId="77777777" w:rsidR="00BC0E7E" w:rsidRPr="00BC0E7E" w:rsidRDefault="00944B8F" w:rsidP="00BC0E7E">
      <w:pPr>
        <w:rPr>
          <w:del w:id="12473" w:author="AbbVie19" w:date="2025-04-16T12:22:00Z"/>
          <w:szCs w:val="21"/>
        </w:rPr>
      </w:pPr>
      <w:del w:id="12474" w:author="AbbVie19" w:date="2025-04-16T12:22:00Z">
        <w:r w:rsidRPr="00BC0E7E">
          <w:rPr>
            <w:szCs w:val="21"/>
          </w:rPr>
          <w:lastRenderedPageBreak/>
          <w:delText xml:space="preserve">Humira is used to treat moderate to severe plaque psoriasis in adults. </w:delText>
        </w:r>
        <w:r w:rsidRPr="00BC0E7E">
          <w:rPr>
            <w:szCs w:val="20"/>
          </w:rPr>
          <w:delText>Humira is also used to treat severe plaque psoriasis in children and adolescents aged 4 to 17 years for whom topical therapy and phototherapies have either not worked very well or are not suitable.</w:delText>
        </w:r>
      </w:del>
    </w:p>
    <w:p w14:paraId="309C5250" w14:textId="77777777" w:rsidR="00BC0E7E" w:rsidRPr="00BC0E7E" w:rsidRDefault="00BC0E7E" w:rsidP="00BC0E7E">
      <w:pPr>
        <w:numPr>
          <w:ilvl w:val="12"/>
          <w:numId w:val="0"/>
        </w:numPr>
        <w:tabs>
          <w:tab w:val="clear" w:pos="562"/>
        </w:tabs>
        <w:ind w:right="-2"/>
        <w:rPr>
          <w:del w:id="12475" w:author="AbbVie19" w:date="2025-04-16T12:22:00Z"/>
        </w:rPr>
      </w:pPr>
    </w:p>
    <w:p w14:paraId="780E8866" w14:textId="77777777" w:rsidR="00BC0E7E" w:rsidRPr="00BC0E7E" w:rsidRDefault="00944B8F" w:rsidP="00BC0E7E">
      <w:pPr>
        <w:numPr>
          <w:ilvl w:val="12"/>
          <w:numId w:val="0"/>
        </w:numPr>
        <w:tabs>
          <w:tab w:val="clear" w:pos="562"/>
        </w:tabs>
        <w:ind w:right="-2"/>
        <w:rPr>
          <w:del w:id="12476" w:author="AbbVie19" w:date="2025-04-16T12:22:00Z"/>
          <w:u w:val="single"/>
        </w:rPr>
      </w:pPr>
      <w:del w:id="12477" w:author="AbbVie19" w:date="2025-04-16T12:22:00Z">
        <w:r w:rsidRPr="00BC0E7E">
          <w:rPr>
            <w:u w:val="single"/>
          </w:rPr>
          <w:delText xml:space="preserve">Hidradenitis suppurativa </w:delText>
        </w:r>
        <w:r w:rsidRPr="00BC0E7E">
          <w:rPr>
            <w:szCs w:val="21"/>
            <w:u w:val="single"/>
          </w:rPr>
          <w:delText>in adults and adolescents</w:delText>
        </w:r>
      </w:del>
    </w:p>
    <w:p w14:paraId="609399E1" w14:textId="77777777" w:rsidR="00BC0E7E" w:rsidRPr="00BC0E7E" w:rsidRDefault="00BC0E7E" w:rsidP="00BC0E7E">
      <w:pPr>
        <w:rPr>
          <w:del w:id="12478" w:author="AbbVie19" w:date="2025-04-16T12:22:00Z"/>
          <w:szCs w:val="21"/>
        </w:rPr>
      </w:pPr>
    </w:p>
    <w:p w14:paraId="19832B13" w14:textId="77777777" w:rsidR="00BC0E7E" w:rsidRPr="00BC0E7E" w:rsidRDefault="00944B8F" w:rsidP="00BC0E7E">
      <w:pPr>
        <w:rPr>
          <w:del w:id="12479" w:author="AbbVie19" w:date="2025-04-16T12:22:00Z"/>
          <w:szCs w:val="22"/>
        </w:rPr>
      </w:pPr>
      <w:del w:id="12480" w:author="AbbVie19" w:date="2025-04-16T12:22:00Z">
        <w:r w:rsidRPr="00BC0E7E">
          <w:rPr>
            <w:szCs w:val="22"/>
          </w:rPr>
          <w:delText xml:space="preserve">Hidradenitis suppurativa (sometimes called acne inversa) is a chronic and often painful inflammatory skin disease. Symptoms may include tender nodules (lumps) and abscesses (boils) that may leak pus. It most commonly affects specific areas of the skin, such as </w:delText>
        </w:r>
        <w:r>
          <w:fldChar w:fldCharType="begin"/>
        </w:r>
        <w:r>
          <w:delInstrText>HYPERLINK "http://en.wikipedia.org/wiki/Inframammary_fold"</w:delInstrText>
        </w:r>
        <w:r>
          <w:fldChar w:fldCharType="separate"/>
        </w:r>
        <w:r w:rsidRPr="00BC0E7E">
          <w:rPr>
            <w:szCs w:val="22"/>
          </w:rPr>
          <w:delText>under the breasts</w:delText>
        </w:r>
        <w:r>
          <w:fldChar w:fldCharType="end"/>
        </w:r>
        <w:r w:rsidRPr="00BC0E7E">
          <w:rPr>
            <w:szCs w:val="22"/>
          </w:rPr>
          <w:delText>, the armpits, inner thighs, groin and buttocks. Scarring may also occur in affected areas.</w:delText>
        </w:r>
      </w:del>
    </w:p>
    <w:p w14:paraId="581845AD" w14:textId="77777777" w:rsidR="00BC0E7E" w:rsidRPr="00BC0E7E" w:rsidRDefault="00BC0E7E" w:rsidP="00BC0E7E">
      <w:pPr>
        <w:rPr>
          <w:del w:id="12481" w:author="AbbVie19" w:date="2025-04-16T12:22:00Z"/>
          <w:szCs w:val="22"/>
        </w:rPr>
      </w:pPr>
    </w:p>
    <w:p w14:paraId="3635EC85" w14:textId="77777777" w:rsidR="00BC0E7E" w:rsidRPr="00BC0E7E" w:rsidRDefault="00944B8F" w:rsidP="00BC0E7E">
      <w:pPr>
        <w:numPr>
          <w:ilvl w:val="12"/>
          <w:numId w:val="0"/>
        </w:numPr>
        <w:tabs>
          <w:tab w:val="clear" w:pos="562"/>
        </w:tabs>
        <w:ind w:right="-2"/>
        <w:rPr>
          <w:del w:id="12482" w:author="AbbVie19" w:date="2025-04-16T12:22:00Z"/>
        </w:rPr>
      </w:pPr>
      <w:del w:id="12483" w:author="AbbVie19" w:date="2025-04-16T12:22:00Z">
        <w:r w:rsidRPr="00BC0E7E">
          <w:delText xml:space="preserve">Humira is used to treat hidradenitis suppurativa in adults </w:delText>
        </w:r>
        <w:r w:rsidRPr="00BC0E7E">
          <w:rPr>
            <w:szCs w:val="22"/>
          </w:rPr>
          <w:delText>and adolescents from 12 years of age</w:delText>
        </w:r>
        <w:r w:rsidRPr="00BC0E7E">
          <w:delText>.  Humira can reduce the number of nodules and abscesses you have and the pain that is often associated with the disease. You may first be given other medicines. If you do not respond well enough to these medicines, you will be given Humira.</w:delText>
        </w:r>
      </w:del>
    </w:p>
    <w:p w14:paraId="4DBF68A8" w14:textId="77777777" w:rsidR="00BC0E7E" w:rsidRPr="00BC0E7E" w:rsidRDefault="00BC0E7E" w:rsidP="00BC0E7E">
      <w:pPr>
        <w:rPr>
          <w:del w:id="12484" w:author="AbbVie19" w:date="2025-04-16T12:22:00Z"/>
          <w:szCs w:val="20"/>
        </w:rPr>
      </w:pPr>
    </w:p>
    <w:p w14:paraId="431ED3AA" w14:textId="77777777" w:rsidR="00BC0E7E" w:rsidRPr="00BC0E7E" w:rsidRDefault="00944B8F" w:rsidP="00BC0E7E">
      <w:pPr>
        <w:keepNext/>
        <w:rPr>
          <w:del w:id="12485" w:author="AbbVie19" w:date="2025-04-16T12:22:00Z"/>
          <w:szCs w:val="20"/>
          <w:u w:val="single"/>
        </w:rPr>
      </w:pPr>
      <w:del w:id="12486" w:author="AbbVie19" w:date="2025-04-16T12:22:00Z">
        <w:r w:rsidRPr="00BC0E7E">
          <w:rPr>
            <w:szCs w:val="20"/>
            <w:u w:val="single"/>
          </w:rPr>
          <w:delText>Crohn’s disease in adults and children</w:delText>
        </w:r>
      </w:del>
    </w:p>
    <w:p w14:paraId="10AB0A69" w14:textId="77777777" w:rsidR="00BC0E7E" w:rsidRPr="00BC0E7E" w:rsidRDefault="00BC0E7E" w:rsidP="00BC0E7E">
      <w:pPr>
        <w:keepNext/>
        <w:rPr>
          <w:del w:id="12487" w:author="AbbVie19" w:date="2025-04-16T12:22:00Z"/>
          <w:szCs w:val="20"/>
        </w:rPr>
      </w:pPr>
    </w:p>
    <w:p w14:paraId="0CBB15F8" w14:textId="77777777" w:rsidR="00BC0E7E" w:rsidRPr="00BC0E7E" w:rsidRDefault="00944B8F" w:rsidP="00BC0E7E">
      <w:pPr>
        <w:keepNext/>
        <w:rPr>
          <w:del w:id="12488" w:author="AbbVie19" w:date="2025-04-16T12:22:00Z"/>
          <w:szCs w:val="21"/>
        </w:rPr>
      </w:pPr>
      <w:del w:id="12489" w:author="AbbVie19" w:date="2025-04-16T12:22:00Z">
        <w:r w:rsidRPr="00BC0E7E">
          <w:rPr>
            <w:szCs w:val="20"/>
          </w:rPr>
          <w:delText>Crohn’s disease is an inflammatory disease of the digestive tract.</w:delText>
        </w:r>
      </w:del>
    </w:p>
    <w:p w14:paraId="00468AF0" w14:textId="77777777" w:rsidR="00BC0E7E" w:rsidRPr="00BC0E7E" w:rsidRDefault="00BC0E7E" w:rsidP="00BC0E7E">
      <w:pPr>
        <w:rPr>
          <w:del w:id="12490" w:author="AbbVie19" w:date="2025-04-16T12:22:00Z"/>
          <w:szCs w:val="21"/>
        </w:rPr>
      </w:pPr>
    </w:p>
    <w:p w14:paraId="2D4CC360" w14:textId="77777777" w:rsidR="00BC0E7E" w:rsidRPr="00BC0E7E" w:rsidRDefault="00944B8F" w:rsidP="00BC0E7E">
      <w:pPr>
        <w:rPr>
          <w:del w:id="12491" w:author="AbbVie19" w:date="2025-04-16T12:22:00Z"/>
          <w:szCs w:val="20"/>
        </w:rPr>
      </w:pPr>
      <w:del w:id="12492" w:author="AbbVie19" w:date="2025-04-16T12:22:00Z">
        <w:r w:rsidRPr="00BC0E7E">
          <w:rPr>
            <w:szCs w:val="21"/>
          </w:rPr>
          <w:delText xml:space="preserve">Humira is used to treat Crohn’s disease in adults and children aged 6 to 17 years. </w:delText>
        </w:r>
        <w:r w:rsidRPr="00BC0E7E">
          <w:rPr>
            <w:szCs w:val="20"/>
          </w:rPr>
          <w:delText>If you have Crohn’s disease you will first be given other medicines. If you do not respond well enough to these medicines, you will be given Humira to reduce the signs and symptoms of your Crohn’s disease.</w:delText>
        </w:r>
      </w:del>
    </w:p>
    <w:p w14:paraId="74EFF777" w14:textId="77777777" w:rsidR="00BC0E7E" w:rsidRPr="00BC0E7E" w:rsidRDefault="00BC0E7E" w:rsidP="00BC0E7E">
      <w:pPr>
        <w:keepNext/>
        <w:rPr>
          <w:del w:id="12493" w:author="AbbVie19" w:date="2025-04-16T12:22:00Z"/>
          <w:szCs w:val="21"/>
          <w:u w:val="single"/>
        </w:rPr>
      </w:pPr>
    </w:p>
    <w:p w14:paraId="34F5844C" w14:textId="77777777" w:rsidR="00BC0E7E" w:rsidRPr="00BC0E7E" w:rsidRDefault="00944B8F" w:rsidP="00BC0E7E">
      <w:pPr>
        <w:keepNext/>
        <w:rPr>
          <w:del w:id="12494" w:author="AbbVie19" w:date="2025-04-16T12:22:00Z"/>
          <w:szCs w:val="21"/>
          <w:u w:val="single"/>
        </w:rPr>
      </w:pPr>
      <w:del w:id="12495" w:author="AbbVie19" w:date="2025-04-16T12:22:00Z">
        <w:r w:rsidRPr="00BC0E7E">
          <w:rPr>
            <w:szCs w:val="21"/>
            <w:u w:val="single"/>
          </w:rPr>
          <w:delText>Ulcerative colitis</w:delText>
        </w:r>
        <w:r w:rsidR="009E177D">
          <w:rPr>
            <w:szCs w:val="21"/>
            <w:u w:val="single"/>
          </w:rPr>
          <w:delText xml:space="preserve"> in adults and children</w:delText>
        </w:r>
      </w:del>
    </w:p>
    <w:p w14:paraId="49E11906" w14:textId="77777777" w:rsidR="00BC0E7E" w:rsidRPr="00BC0E7E" w:rsidRDefault="00BC0E7E" w:rsidP="00BC0E7E">
      <w:pPr>
        <w:keepNext/>
        <w:rPr>
          <w:del w:id="12496" w:author="AbbVie19" w:date="2025-04-16T12:22:00Z"/>
          <w:szCs w:val="21"/>
        </w:rPr>
      </w:pPr>
    </w:p>
    <w:p w14:paraId="5B89C49C" w14:textId="77777777" w:rsidR="00BC0E7E" w:rsidRPr="00BC0E7E" w:rsidRDefault="00944B8F" w:rsidP="00BC0E7E">
      <w:pPr>
        <w:rPr>
          <w:del w:id="12497" w:author="AbbVie19" w:date="2025-04-16T12:22:00Z"/>
          <w:szCs w:val="21"/>
        </w:rPr>
      </w:pPr>
      <w:del w:id="12498" w:author="AbbVie19" w:date="2025-04-16T12:22:00Z">
        <w:r w:rsidRPr="00BC0E7E">
          <w:rPr>
            <w:szCs w:val="21"/>
          </w:rPr>
          <w:delText xml:space="preserve">Ulcerative colitis is an inflammatory disease of the </w:delText>
        </w:r>
        <w:r w:rsidR="00B87123">
          <w:rPr>
            <w:szCs w:val="21"/>
          </w:rPr>
          <w:delText>large intestine</w:delText>
        </w:r>
        <w:r w:rsidRPr="00BC0E7E">
          <w:rPr>
            <w:szCs w:val="21"/>
          </w:rPr>
          <w:delText>.</w:delText>
        </w:r>
      </w:del>
    </w:p>
    <w:p w14:paraId="4F486ECF" w14:textId="77777777" w:rsidR="00BC0E7E" w:rsidRPr="00BC0E7E" w:rsidRDefault="00BC0E7E" w:rsidP="00BC0E7E">
      <w:pPr>
        <w:rPr>
          <w:del w:id="12499" w:author="AbbVie19" w:date="2025-04-16T12:22:00Z"/>
          <w:szCs w:val="21"/>
        </w:rPr>
      </w:pPr>
    </w:p>
    <w:p w14:paraId="28CFE8BF" w14:textId="77777777" w:rsidR="00BC0E7E" w:rsidRPr="00BC0E7E" w:rsidRDefault="00944B8F" w:rsidP="00BC0E7E">
      <w:pPr>
        <w:rPr>
          <w:del w:id="12500" w:author="AbbVie19" w:date="2025-04-16T12:22:00Z"/>
          <w:szCs w:val="21"/>
        </w:rPr>
      </w:pPr>
      <w:del w:id="12501" w:author="AbbVie19" w:date="2025-04-16T12:22:00Z">
        <w:r w:rsidRPr="00BC0E7E">
          <w:rPr>
            <w:szCs w:val="21"/>
          </w:rPr>
          <w:delText>Humira is used to treat</w:delText>
        </w:r>
        <w:r w:rsidR="00C92A68">
          <w:rPr>
            <w:szCs w:val="21"/>
          </w:rPr>
          <w:delText xml:space="preserve"> moderate to severe</w:delText>
        </w:r>
        <w:r w:rsidRPr="00BC0E7E">
          <w:rPr>
            <w:szCs w:val="21"/>
          </w:rPr>
          <w:delText xml:space="preserve"> ulcerative colitis in adults</w:delText>
        </w:r>
        <w:r w:rsidR="00C92A68" w:rsidRPr="00C92A68">
          <w:rPr>
            <w:szCs w:val="21"/>
          </w:rPr>
          <w:delText xml:space="preserve"> </w:delText>
        </w:r>
        <w:r w:rsidR="00C92A68">
          <w:rPr>
            <w:szCs w:val="21"/>
          </w:rPr>
          <w:delText>and children aged 6 to 17 years</w:delText>
        </w:r>
        <w:r w:rsidRPr="00BC0E7E">
          <w:rPr>
            <w:szCs w:val="21"/>
          </w:rPr>
          <w:delText xml:space="preserve">. If you have ulcerative colitis you </w:delText>
        </w:r>
        <w:r w:rsidR="00B87123">
          <w:rPr>
            <w:szCs w:val="21"/>
          </w:rPr>
          <w:delText>may</w:delText>
        </w:r>
        <w:r w:rsidRPr="00BC0E7E">
          <w:rPr>
            <w:szCs w:val="21"/>
          </w:rPr>
          <w:delText xml:space="preserve"> first be given other medicines. If you do not respond well enough to these medicines, you will be given Humira to reduce the signs and symptoms of your disease.</w:delText>
        </w:r>
      </w:del>
    </w:p>
    <w:p w14:paraId="4B20B04B" w14:textId="77777777" w:rsidR="00BC0E7E" w:rsidRPr="00BC0E7E" w:rsidRDefault="00BC0E7E" w:rsidP="00BC0E7E">
      <w:pPr>
        <w:rPr>
          <w:del w:id="12502" w:author="AbbVie19" w:date="2025-04-16T12:22:00Z"/>
          <w:szCs w:val="21"/>
        </w:rPr>
      </w:pPr>
    </w:p>
    <w:p w14:paraId="4017FCF8" w14:textId="77777777" w:rsidR="00BC0E7E" w:rsidRPr="00BC0E7E" w:rsidRDefault="00944B8F" w:rsidP="00BC0E7E">
      <w:pPr>
        <w:rPr>
          <w:del w:id="12503" w:author="AbbVie19" w:date="2025-04-16T12:22:00Z"/>
          <w:szCs w:val="20"/>
          <w:u w:val="single"/>
        </w:rPr>
      </w:pPr>
      <w:del w:id="12504" w:author="AbbVie19" w:date="2025-04-16T12:22:00Z">
        <w:r w:rsidRPr="00BC0E7E">
          <w:rPr>
            <w:szCs w:val="21"/>
            <w:u w:val="single"/>
          </w:rPr>
          <w:delText xml:space="preserve">Non-infectious uveitis </w:delText>
        </w:r>
        <w:r w:rsidRPr="00BC0E7E">
          <w:rPr>
            <w:szCs w:val="20"/>
            <w:u w:val="single"/>
          </w:rPr>
          <w:delText>in adults and children</w:delText>
        </w:r>
      </w:del>
    </w:p>
    <w:p w14:paraId="73509A1F" w14:textId="77777777" w:rsidR="00BC0E7E" w:rsidRPr="00BC0E7E" w:rsidRDefault="00BC0E7E" w:rsidP="00BC0E7E">
      <w:pPr>
        <w:rPr>
          <w:del w:id="12505" w:author="AbbVie19" w:date="2025-04-16T12:22:00Z"/>
          <w:b/>
          <w:i/>
          <w:szCs w:val="20"/>
          <w:u w:val="single"/>
        </w:rPr>
      </w:pPr>
    </w:p>
    <w:p w14:paraId="763583E8" w14:textId="77777777" w:rsidR="00BC0E7E" w:rsidRPr="00BC0E7E" w:rsidRDefault="00944B8F" w:rsidP="00BC0E7E">
      <w:pPr>
        <w:rPr>
          <w:del w:id="12506" w:author="AbbVie19" w:date="2025-04-16T12:22:00Z"/>
          <w:szCs w:val="20"/>
          <w:lang w:val="x-none"/>
        </w:rPr>
      </w:pPr>
      <w:del w:id="12507" w:author="AbbVie19" w:date="2025-04-16T12:22:00Z">
        <w:r w:rsidRPr="00BC0E7E">
          <w:rPr>
            <w:szCs w:val="20"/>
            <w:lang w:val="x-none"/>
          </w:rPr>
          <w:delText>Non-infectious uveitis is an inflammatory disease affecting certain parts of the eye.</w:delText>
        </w:r>
      </w:del>
    </w:p>
    <w:p w14:paraId="7E1243CE" w14:textId="77777777" w:rsidR="00BC0E7E" w:rsidRPr="00BC0E7E" w:rsidRDefault="00BC0E7E" w:rsidP="00BC0E7E">
      <w:pPr>
        <w:rPr>
          <w:del w:id="12508" w:author="AbbVie19" w:date="2025-04-16T12:22:00Z"/>
          <w:b/>
          <w:szCs w:val="20"/>
          <w:u w:val="single"/>
        </w:rPr>
      </w:pPr>
    </w:p>
    <w:p w14:paraId="1DC01EAA" w14:textId="77777777" w:rsidR="00BC0E7E" w:rsidRPr="00BC0E7E" w:rsidRDefault="00944B8F" w:rsidP="00BC0E7E">
      <w:pPr>
        <w:rPr>
          <w:del w:id="12509" w:author="AbbVie19" w:date="2025-04-16T12:22:00Z"/>
          <w:szCs w:val="20"/>
        </w:rPr>
      </w:pPr>
      <w:del w:id="12510" w:author="AbbVie19" w:date="2025-04-16T12:22:00Z">
        <w:r w:rsidRPr="00BC0E7E">
          <w:rPr>
            <w:szCs w:val="20"/>
          </w:rPr>
          <w:delText xml:space="preserve">Humira is used to treat </w:delText>
        </w:r>
      </w:del>
    </w:p>
    <w:p w14:paraId="6E6517BA" w14:textId="77777777" w:rsidR="00BC0E7E" w:rsidRPr="00BC0E7E" w:rsidRDefault="00944B8F" w:rsidP="00D51999">
      <w:pPr>
        <w:numPr>
          <w:ilvl w:val="0"/>
          <w:numId w:val="56"/>
        </w:numPr>
        <w:tabs>
          <w:tab w:val="clear" w:pos="562"/>
          <w:tab w:val="left" w:pos="720"/>
        </w:tabs>
        <w:rPr>
          <w:del w:id="12511" w:author="AbbVie19" w:date="2025-04-16T12:22:00Z"/>
          <w:szCs w:val="20"/>
        </w:rPr>
      </w:pPr>
      <w:del w:id="12512" w:author="AbbVie19" w:date="2025-04-16T12:22:00Z">
        <w:r w:rsidRPr="00BC0E7E">
          <w:rPr>
            <w:szCs w:val="20"/>
          </w:rPr>
          <w:delText xml:space="preserve">Adults with non-infectious uveitis with inflammation affecting the back of the eye </w:delText>
        </w:r>
      </w:del>
    </w:p>
    <w:p w14:paraId="374C2EB6" w14:textId="77777777" w:rsidR="00BC0E7E" w:rsidRPr="00BC0E7E" w:rsidRDefault="00944B8F" w:rsidP="00D51999">
      <w:pPr>
        <w:numPr>
          <w:ilvl w:val="0"/>
          <w:numId w:val="56"/>
        </w:numPr>
        <w:tabs>
          <w:tab w:val="clear" w:pos="562"/>
          <w:tab w:val="left" w:pos="720"/>
        </w:tabs>
        <w:rPr>
          <w:del w:id="12513" w:author="AbbVie19" w:date="2025-04-16T12:22:00Z"/>
          <w:szCs w:val="20"/>
        </w:rPr>
      </w:pPr>
      <w:del w:id="12514" w:author="AbbVie19" w:date="2025-04-16T12:22:00Z">
        <w:r w:rsidRPr="00BC0E7E">
          <w:rPr>
            <w:szCs w:val="20"/>
          </w:rPr>
          <w:delText>Children from 2 years of age with chronic non-infectious uveitis with inflammation affecting the front of the eye</w:delText>
        </w:r>
      </w:del>
    </w:p>
    <w:p w14:paraId="00A8C494" w14:textId="77777777" w:rsidR="00BC0E7E" w:rsidRPr="00BC0E7E" w:rsidRDefault="00BC0E7E" w:rsidP="00BC0E7E">
      <w:pPr>
        <w:rPr>
          <w:del w:id="12515" w:author="AbbVie19" w:date="2025-04-16T12:22:00Z"/>
          <w:szCs w:val="20"/>
        </w:rPr>
      </w:pPr>
    </w:p>
    <w:p w14:paraId="658A07AD" w14:textId="77777777" w:rsidR="00BC0E7E" w:rsidRPr="00BC0E7E" w:rsidRDefault="00944B8F" w:rsidP="00BC0E7E">
      <w:pPr>
        <w:rPr>
          <w:del w:id="12516" w:author="AbbVie19" w:date="2025-04-16T12:22:00Z"/>
          <w:szCs w:val="20"/>
        </w:rPr>
      </w:pPr>
      <w:del w:id="12517" w:author="AbbVie19" w:date="2025-04-16T12:22:00Z">
        <w:r w:rsidRPr="00BC0E7E">
          <w:rPr>
            <w:szCs w:val="20"/>
          </w:rPr>
          <w:delText>This inflammation may lead to a decrease of vision and/or the presence of floaters in the eye (black dots or wispy lines that move across the field of vision). Humira works by reducing this inflammation.</w:delText>
        </w:r>
      </w:del>
    </w:p>
    <w:p w14:paraId="7B55749A" w14:textId="77777777" w:rsidR="00BC0E7E" w:rsidRPr="00BC0E7E" w:rsidRDefault="00BC0E7E" w:rsidP="00BC0E7E">
      <w:pPr>
        <w:rPr>
          <w:del w:id="12518" w:author="AbbVie19" w:date="2025-04-16T12:22:00Z"/>
          <w:szCs w:val="20"/>
        </w:rPr>
      </w:pPr>
    </w:p>
    <w:p w14:paraId="18672DCF" w14:textId="77777777" w:rsidR="00BC0E7E" w:rsidRPr="00BC0E7E" w:rsidRDefault="00BC0E7E" w:rsidP="00BC0E7E">
      <w:pPr>
        <w:rPr>
          <w:del w:id="12519" w:author="AbbVie19" w:date="2025-04-16T12:22:00Z"/>
          <w:szCs w:val="21"/>
        </w:rPr>
      </w:pPr>
    </w:p>
    <w:p w14:paraId="49552D66" w14:textId="77777777" w:rsidR="00BC0E7E" w:rsidRPr="00BC0E7E" w:rsidRDefault="00944B8F" w:rsidP="00BC0E7E">
      <w:pPr>
        <w:outlineLvl w:val="0"/>
        <w:rPr>
          <w:del w:id="12520" w:author="AbbVie19" w:date="2025-04-16T12:22:00Z"/>
          <w:rFonts w:ascii="Times New Roman Bold" w:hAnsi="Times New Roman Bold"/>
          <w:b/>
          <w:szCs w:val="20"/>
        </w:rPr>
      </w:pPr>
      <w:del w:id="12521" w:author="AbbVie19" w:date="2025-04-16T12:22:00Z">
        <w:r w:rsidRPr="00BC0E7E">
          <w:rPr>
            <w:b/>
            <w:caps/>
            <w:szCs w:val="20"/>
          </w:rPr>
          <w:delText>2.</w:delText>
        </w:r>
        <w:r w:rsidRPr="00BC0E7E">
          <w:rPr>
            <w:b/>
            <w:caps/>
            <w:szCs w:val="20"/>
          </w:rPr>
          <w:tab/>
          <w:delText>W</w:delText>
        </w:r>
        <w:r w:rsidRPr="00BC0E7E">
          <w:rPr>
            <w:rFonts w:ascii="Times New Roman Bold" w:hAnsi="Times New Roman Bold"/>
            <w:b/>
            <w:szCs w:val="20"/>
          </w:rPr>
          <w:delText>hat you need to know before you use Humira</w:delText>
        </w:r>
      </w:del>
    </w:p>
    <w:p w14:paraId="63BB7BAB" w14:textId="77777777" w:rsidR="00BC0E7E" w:rsidRPr="00BC0E7E" w:rsidRDefault="00BC0E7E" w:rsidP="00BC0E7E">
      <w:pPr>
        <w:rPr>
          <w:del w:id="12522" w:author="AbbVie19" w:date="2025-04-16T12:22:00Z"/>
          <w:szCs w:val="20"/>
        </w:rPr>
      </w:pPr>
    </w:p>
    <w:p w14:paraId="2A843241" w14:textId="77777777" w:rsidR="00BC0E7E" w:rsidRPr="00BC0E7E" w:rsidRDefault="00944B8F" w:rsidP="00BC0E7E">
      <w:pPr>
        <w:rPr>
          <w:del w:id="12523" w:author="AbbVie19" w:date="2025-04-16T12:22:00Z"/>
          <w:szCs w:val="20"/>
        </w:rPr>
      </w:pPr>
      <w:del w:id="12524" w:author="AbbVie19" w:date="2025-04-16T12:22:00Z">
        <w:r w:rsidRPr="00BC0E7E">
          <w:rPr>
            <w:b/>
            <w:bCs/>
            <w:szCs w:val="20"/>
          </w:rPr>
          <w:delText>Do not use Humira</w:delText>
        </w:r>
      </w:del>
    </w:p>
    <w:p w14:paraId="2C88A701" w14:textId="77777777" w:rsidR="00BC0E7E" w:rsidRPr="00BC0E7E" w:rsidRDefault="00BC0E7E" w:rsidP="00BC0E7E">
      <w:pPr>
        <w:rPr>
          <w:del w:id="12525" w:author="AbbVie19" w:date="2025-04-16T12:22:00Z"/>
          <w:szCs w:val="20"/>
        </w:rPr>
      </w:pPr>
    </w:p>
    <w:p w14:paraId="117B9E78" w14:textId="77777777" w:rsidR="00BC0E7E" w:rsidRPr="00BC0E7E" w:rsidRDefault="00944B8F" w:rsidP="00D51999">
      <w:pPr>
        <w:numPr>
          <w:ilvl w:val="0"/>
          <w:numId w:val="56"/>
        </w:numPr>
        <w:tabs>
          <w:tab w:val="clear" w:pos="562"/>
          <w:tab w:val="left" w:pos="720"/>
        </w:tabs>
        <w:rPr>
          <w:del w:id="12526" w:author="AbbVie19" w:date="2025-04-16T12:22:00Z"/>
          <w:szCs w:val="20"/>
        </w:rPr>
      </w:pPr>
      <w:del w:id="12527" w:author="AbbVie19" w:date="2025-04-16T12:22:00Z">
        <w:r w:rsidRPr="00BC0E7E">
          <w:rPr>
            <w:szCs w:val="20"/>
          </w:rPr>
          <w:delText xml:space="preserve">If you are allergic to adalimumab or any of the other ingredients of this medicine (listed in section 6). </w:delText>
        </w:r>
      </w:del>
    </w:p>
    <w:p w14:paraId="4E7B118C" w14:textId="77777777" w:rsidR="00BC0E7E" w:rsidRPr="00BC0E7E" w:rsidRDefault="00BC0E7E" w:rsidP="00BC0E7E">
      <w:pPr>
        <w:tabs>
          <w:tab w:val="clear" w:pos="562"/>
          <w:tab w:val="num" w:pos="550"/>
        </w:tabs>
        <w:ind w:left="550" w:hanging="550"/>
        <w:rPr>
          <w:del w:id="12528" w:author="AbbVie19" w:date="2025-04-16T12:22:00Z"/>
          <w:szCs w:val="20"/>
        </w:rPr>
      </w:pPr>
    </w:p>
    <w:p w14:paraId="625D0B4A" w14:textId="77777777" w:rsidR="00BC0E7E" w:rsidRPr="00BC0E7E" w:rsidRDefault="00944B8F" w:rsidP="00D51999">
      <w:pPr>
        <w:numPr>
          <w:ilvl w:val="0"/>
          <w:numId w:val="56"/>
        </w:numPr>
        <w:tabs>
          <w:tab w:val="clear" w:pos="562"/>
          <w:tab w:val="left" w:pos="720"/>
        </w:tabs>
        <w:rPr>
          <w:del w:id="12529" w:author="AbbVie19" w:date="2025-04-16T12:22:00Z"/>
          <w:szCs w:val="20"/>
        </w:rPr>
      </w:pPr>
      <w:del w:id="12530" w:author="AbbVie19" w:date="2025-04-16T12:22:00Z">
        <w:r w:rsidRPr="00BC0E7E">
          <w:rPr>
            <w:szCs w:val="20"/>
          </w:rPr>
          <w:lastRenderedPageBreak/>
          <w:delText>If you have a severe infection, including active tuberculosis (see “Warnings and precautions”). It is important that you tell your doctor if you have symptoms of infections, e.g. fever, wounds, feeling tired, dental problems.</w:delText>
        </w:r>
      </w:del>
    </w:p>
    <w:p w14:paraId="2686F126" w14:textId="77777777" w:rsidR="00BC0E7E" w:rsidRPr="00BC0E7E" w:rsidRDefault="00BC0E7E" w:rsidP="00BC0E7E">
      <w:pPr>
        <w:tabs>
          <w:tab w:val="clear" w:pos="562"/>
          <w:tab w:val="num" w:pos="550"/>
        </w:tabs>
        <w:ind w:left="550" w:hanging="550"/>
        <w:rPr>
          <w:del w:id="12531" w:author="AbbVie19" w:date="2025-04-16T12:22:00Z"/>
          <w:szCs w:val="20"/>
        </w:rPr>
      </w:pPr>
    </w:p>
    <w:p w14:paraId="21DDFB6D" w14:textId="77777777" w:rsidR="00BC0E7E" w:rsidRPr="00BC0E7E" w:rsidRDefault="00944B8F" w:rsidP="00D51999">
      <w:pPr>
        <w:numPr>
          <w:ilvl w:val="0"/>
          <w:numId w:val="56"/>
        </w:numPr>
        <w:tabs>
          <w:tab w:val="clear" w:pos="562"/>
          <w:tab w:val="left" w:pos="720"/>
        </w:tabs>
        <w:rPr>
          <w:del w:id="12532" w:author="AbbVie19" w:date="2025-04-16T12:22:00Z"/>
          <w:szCs w:val="20"/>
        </w:rPr>
      </w:pPr>
      <w:del w:id="12533" w:author="AbbVie19" w:date="2025-04-16T12:22:00Z">
        <w:r w:rsidRPr="00BC0E7E">
          <w:rPr>
            <w:szCs w:val="20"/>
          </w:rPr>
          <w:delText>If you have moderate or severe heart failure. It is important to tell your doctor if you have had or have a serious heart condition (see “Warnings and precautions”).</w:delText>
        </w:r>
      </w:del>
    </w:p>
    <w:p w14:paraId="5C03360D" w14:textId="77777777" w:rsidR="00BC0E7E" w:rsidRPr="00BC0E7E" w:rsidRDefault="00BC0E7E" w:rsidP="00BC0E7E">
      <w:pPr>
        <w:rPr>
          <w:del w:id="12534" w:author="AbbVie19" w:date="2025-04-16T12:22:00Z"/>
          <w:szCs w:val="20"/>
        </w:rPr>
      </w:pPr>
    </w:p>
    <w:p w14:paraId="023D6612" w14:textId="77777777" w:rsidR="00BC0E7E" w:rsidRPr="00BC0E7E" w:rsidRDefault="00944B8F" w:rsidP="00BC0E7E">
      <w:pPr>
        <w:rPr>
          <w:del w:id="12535" w:author="AbbVie19" w:date="2025-04-16T12:22:00Z"/>
          <w:b/>
          <w:bCs/>
          <w:szCs w:val="20"/>
        </w:rPr>
      </w:pPr>
      <w:del w:id="12536" w:author="AbbVie19" w:date="2025-04-16T12:22:00Z">
        <w:r w:rsidRPr="00BC0E7E">
          <w:rPr>
            <w:b/>
            <w:bCs/>
            <w:szCs w:val="20"/>
          </w:rPr>
          <w:delText>Warnings and precautions</w:delText>
        </w:r>
      </w:del>
    </w:p>
    <w:p w14:paraId="08816FBF" w14:textId="77777777" w:rsidR="00BC0E7E" w:rsidRPr="00BC0E7E" w:rsidRDefault="00BC0E7E" w:rsidP="00BC0E7E">
      <w:pPr>
        <w:rPr>
          <w:del w:id="12537" w:author="AbbVie19" w:date="2025-04-16T12:22:00Z"/>
          <w:szCs w:val="20"/>
        </w:rPr>
      </w:pPr>
    </w:p>
    <w:p w14:paraId="68A8B67F" w14:textId="77777777" w:rsidR="00BC0E7E" w:rsidRPr="00BC0E7E" w:rsidRDefault="00944B8F" w:rsidP="00BC0E7E">
      <w:pPr>
        <w:rPr>
          <w:del w:id="12538" w:author="AbbVie19" w:date="2025-04-16T12:22:00Z"/>
          <w:b/>
          <w:szCs w:val="20"/>
        </w:rPr>
      </w:pPr>
      <w:del w:id="12539" w:author="AbbVie19" w:date="2025-04-16T12:22:00Z">
        <w:r w:rsidRPr="00BC0E7E">
          <w:rPr>
            <w:szCs w:val="20"/>
          </w:rPr>
          <w:delText>Talk to your doctor or pharmacist before using Humira</w:delText>
        </w:r>
      </w:del>
    </w:p>
    <w:p w14:paraId="2B6E1B3E" w14:textId="77777777" w:rsidR="00BC0E7E" w:rsidRPr="00BC0E7E" w:rsidRDefault="00BC0E7E" w:rsidP="00BC0E7E">
      <w:pPr>
        <w:rPr>
          <w:del w:id="12540" w:author="AbbVie19" w:date="2025-04-16T12:22:00Z"/>
          <w:szCs w:val="21"/>
        </w:rPr>
      </w:pPr>
    </w:p>
    <w:p w14:paraId="3A17E068" w14:textId="77777777" w:rsidR="00BC0E7E" w:rsidRPr="00BC0E7E" w:rsidRDefault="00944B8F" w:rsidP="00D51999">
      <w:pPr>
        <w:numPr>
          <w:ilvl w:val="0"/>
          <w:numId w:val="56"/>
        </w:numPr>
        <w:tabs>
          <w:tab w:val="clear" w:pos="562"/>
        </w:tabs>
        <w:rPr>
          <w:del w:id="12541" w:author="AbbVie19" w:date="2025-04-16T12:22:00Z"/>
          <w:szCs w:val="20"/>
        </w:rPr>
      </w:pPr>
      <w:del w:id="12542" w:author="AbbVie19" w:date="2025-04-16T12:22:00Z">
        <w:r w:rsidRPr="00BC0E7E">
          <w:rPr>
            <w:szCs w:val="20"/>
          </w:rPr>
          <w:delText>If you experience allergic reactions with symptoms such as chest tightness, wheezing, dizziness, swelling or rash do not inject more Humira and contact your doctor immediately since, in rare cases, these reactions can be life threatening.</w:delText>
        </w:r>
      </w:del>
    </w:p>
    <w:p w14:paraId="4108C92D" w14:textId="77777777" w:rsidR="00BC0E7E" w:rsidRPr="00BC0E7E" w:rsidRDefault="00BC0E7E" w:rsidP="00BC0E7E">
      <w:pPr>
        <w:tabs>
          <w:tab w:val="clear" w:pos="562"/>
          <w:tab w:val="left" w:pos="720"/>
        </w:tabs>
        <w:ind w:left="720"/>
        <w:rPr>
          <w:del w:id="12543" w:author="AbbVie19" w:date="2025-04-16T12:22:00Z"/>
          <w:szCs w:val="20"/>
        </w:rPr>
      </w:pPr>
    </w:p>
    <w:p w14:paraId="091AA38F" w14:textId="77777777" w:rsidR="00BC0E7E" w:rsidRPr="00BC0E7E" w:rsidRDefault="00944B8F" w:rsidP="00D51999">
      <w:pPr>
        <w:numPr>
          <w:ilvl w:val="0"/>
          <w:numId w:val="56"/>
        </w:numPr>
        <w:tabs>
          <w:tab w:val="clear" w:pos="562"/>
          <w:tab w:val="left" w:pos="720"/>
        </w:tabs>
        <w:rPr>
          <w:del w:id="12544" w:author="AbbVie19" w:date="2025-04-16T12:22:00Z"/>
          <w:szCs w:val="20"/>
        </w:rPr>
      </w:pPr>
      <w:del w:id="12545" w:author="AbbVie19" w:date="2025-04-16T12:22:00Z">
        <w:r w:rsidRPr="00BC0E7E">
          <w:rPr>
            <w:szCs w:val="20"/>
          </w:rPr>
          <w:delText xml:space="preserve">If you have an infection, including long-term or localized infection (for example, leg ulcer) consult your doctor before starting Humira. If you are unsure, contact your doctor. </w:delText>
        </w:r>
      </w:del>
    </w:p>
    <w:p w14:paraId="5E01611D" w14:textId="77777777" w:rsidR="00BC0E7E" w:rsidRPr="00BC0E7E" w:rsidRDefault="00BC0E7E" w:rsidP="00BC0E7E">
      <w:pPr>
        <w:tabs>
          <w:tab w:val="clear" w:pos="562"/>
          <w:tab w:val="left" w:pos="720"/>
        </w:tabs>
        <w:ind w:left="720"/>
        <w:rPr>
          <w:del w:id="12546" w:author="AbbVie19" w:date="2025-04-16T12:22:00Z"/>
          <w:szCs w:val="20"/>
        </w:rPr>
      </w:pPr>
    </w:p>
    <w:p w14:paraId="75F79044" w14:textId="77777777" w:rsidR="00BC0E7E" w:rsidRPr="00BC0E7E" w:rsidRDefault="00944B8F" w:rsidP="00D51999">
      <w:pPr>
        <w:numPr>
          <w:ilvl w:val="0"/>
          <w:numId w:val="56"/>
        </w:numPr>
        <w:tabs>
          <w:tab w:val="clear" w:pos="562"/>
          <w:tab w:val="left" w:pos="720"/>
        </w:tabs>
        <w:rPr>
          <w:del w:id="12547" w:author="AbbVie19" w:date="2025-04-16T12:22:00Z"/>
          <w:szCs w:val="20"/>
        </w:rPr>
      </w:pPr>
      <w:del w:id="12548" w:author="AbbVie19" w:date="2025-04-16T12:22:00Z">
        <w:r w:rsidRPr="00BC0E7E">
          <w:rPr>
            <w:szCs w:val="20"/>
          </w:rPr>
          <w:delText>You might get infections more easily while you are receiving Humira treatment. This risk may increase if your lung function is impaired. These infections may be serious and include tuberculosis, infections caused by viruses, fungi, parasites or bacteria, or other opportunistic infections and sepsis that may, in rare cases, be life-threatening. It is important to tell your doctor if you get symptoms such as fever, wounds, feeling tired or dental problems. Your doctor may recommend temporary discontinuation of Humira.</w:delText>
        </w:r>
      </w:del>
    </w:p>
    <w:p w14:paraId="35666EC6" w14:textId="77777777" w:rsidR="00BC0E7E" w:rsidRPr="00BC0E7E" w:rsidRDefault="00BC0E7E" w:rsidP="00BC0E7E">
      <w:pPr>
        <w:tabs>
          <w:tab w:val="clear" w:pos="562"/>
          <w:tab w:val="num" w:pos="550"/>
        </w:tabs>
        <w:ind w:left="550" w:hanging="550"/>
        <w:rPr>
          <w:del w:id="12549" w:author="AbbVie19" w:date="2025-04-16T12:22:00Z"/>
          <w:szCs w:val="20"/>
        </w:rPr>
      </w:pPr>
    </w:p>
    <w:p w14:paraId="35B47553" w14:textId="77777777" w:rsidR="00BC0E7E" w:rsidRPr="00BC0E7E" w:rsidRDefault="00944B8F" w:rsidP="00D51999">
      <w:pPr>
        <w:numPr>
          <w:ilvl w:val="0"/>
          <w:numId w:val="56"/>
        </w:numPr>
        <w:tabs>
          <w:tab w:val="clear" w:pos="562"/>
          <w:tab w:val="left" w:pos="720"/>
        </w:tabs>
        <w:rPr>
          <w:del w:id="12550" w:author="AbbVie19" w:date="2025-04-16T12:22:00Z"/>
          <w:szCs w:val="20"/>
        </w:rPr>
      </w:pPr>
      <w:del w:id="12551" w:author="AbbVie19" w:date="2025-04-16T12:22:00Z">
        <w:r w:rsidRPr="00BC0E7E">
          <w:rPr>
            <w:szCs w:val="20"/>
          </w:rPr>
          <w:delText xml:space="preserve">As cases of tuberculosis have been reported in patients treated with Humira, your doctor will check you for signs and symptoms of tuberculosis before starting Humira. This will include a thorough medical evaluation including your medical history and appropriate screening tests (for example chest X-ray and a tuberculin test). The conduct and results of these tests should be recorded on your </w:delText>
        </w:r>
        <w:r w:rsidR="00BF2AE5" w:rsidRPr="002179FE">
          <w:rPr>
            <w:b/>
          </w:rPr>
          <w:delText>Patient Reminder Card</w:delText>
        </w:r>
        <w:r w:rsidRPr="00BC0E7E">
          <w:rPr>
            <w:szCs w:val="20"/>
          </w:rPr>
          <w:delText>. It is very important that you tell your doctor if you have ever had tuberculosis, or if you have been in close contact with someone who has had tuberculosis. Tuberculosis can develop during therapy even if you have received preventative treatment for tuberculosis. If symptoms of tuberculosis (persistent cough, weight loss, listlessness, mild fever), or any other infection appear during or after therapy tell your doctor immediately.</w:delText>
        </w:r>
      </w:del>
    </w:p>
    <w:p w14:paraId="6705D15C" w14:textId="77777777" w:rsidR="00BC0E7E" w:rsidRPr="00BC0E7E" w:rsidRDefault="00BC0E7E" w:rsidP="00BC0E7E">
      <w:pPr>
        <w:rPr>
          <w:del w:id="12552" w:author="AbbVie19" w:date="2025-04-16T12:22:00Z"/>
          <w:szCs w:val="20"/>
        </w:rPr>
      </w:pPr>
    </w:p>
    <w:p w14:paraId="653D98F3" w14:textId="77777777" w:rsidR="00BC0E7E" w:rsidRPr="00BC0E7E" w:rsidRDefault="00944B8F" w:rsidP="00D51999">
      <w:pPr>
        <w:numPr>
          <w:ilvl w:val="0"/>
          <w:numId w:val="56"/>
        </w:numPr>
        <w:tabs>
          <w:tab w:val="clear" w:pos="562"/>
          <w:tab w:val="left" w:pos="720"/>
        </w:tabs>
        <w:rPr>
          <w:del w:id="12553" w:author="AbbVie19" w:date="2025-04-16T12:22:00Z"/>
          <w:szCs w:val="20"/>
        </w:rPr>
      </w:pPr>
      <w:del w:id="12554" w:author="AbbVie19" w:date="2025-04-16T12:22:00Z">
        <w:r w:rsidRPr="00BC0E7E">
          <w:rPr>
            <w:szCs w:val="20"/>
          </w:rPr>
          <w:delText>Advise your doctor if you reside or travel in regions where fungal infections such as histoplasmosis, coccidioidomycosis or blastomycosis are endemic.</w:delText>
        </w:r>
      </w:del>
    </w:p>
    <w:p w14:paraId="07219D04" w14:textId="77777777" w:rsidR="00BC0E7E" w:rsidRPr="00BC0E7E" w:rsidRDefault="00BC0E7E" w:rsidP="00BC0E7E">
      <w:pPr>
        <w:tabs>
          <w:tab w:val="clear" w:pos="562"/>
          <w:tab w:val="left" w:pos="720"/>
        </w:tabs>
        <w:ind w:left="720"/>
        <w:rPr>
          <w:del w:id="12555" w:author="AbbVie19" w:date="2025-04-16T12:22:00Z"/>
          <w:szCs w:val="20"/>
        </w:rPr>
      </w:pPr>
    </w:p>
    <w:p w14:paraId="2F9143CC" w14:textId="77777777" w:rsidR="00BC0E7E" w:rsidRPr="00BC0E7E" w:rsidRDefault="00944B8F" w:rsidP="00D51999">
      <w:pPr>
        <w:numPr>
          <w:ilvl w:val="0"/>
          <w:numId w:val="56"/>
        </w:numPr>
        <w:tabs>
          <w:tab w:val="clear" w:pos="562"/>
          <w:tab w:val="left" w:pos="720"/>
        </w:tabs>
        <w:rPr>
          <w:del w:id="12556" w:author="AbbVie19" w:date="2025-04-16T12:22:00Z"/>
          <w:szCs w:val="20"/>
        </w:rPr>
      </w:pPr>
      <w:del w:id="12557" w:author="AbbVie19" w:date="2025-04-16T12:22:00Z">
        <w:r w:rsidRPr="00BC0E7E">
          <w:rPr>
            <w:szCs w:val="20"/>
          </w:rPr>
          <w:delText>Advise your doctor if you have a history of recurrent infections or other conditions that increase the risk of infections.</w:delText>
        </w:r>
      </w:del>
    </w:p>
    <w:p w14:paraId="72E2BC6D" w14:textId="77777777" w:rsidR="00BC0E7E" w:rsidRPr="00BC0E7E" w:rsidRDefault="00BC0E7E" w:rsidP="00BC0E7E">
      <w:pPr>
        <w:tabs>
          <w:tab w:val="clear" w:pos="562"/>
          <w:tab w:val="left" w:pos="720"/>
        </w:tabs>
        <w:ind w:left="720"/>
        <w:rPr>
          <w:del w:id="12558" w:author="AbbVie19" w:date="2025-04-16T12:22:00Z"/>
          <w:szCs w:val="20"/>
        </w:rPr>
      </w:pPr>
    </w:p>
    <w:p w14:paraId="7F63A132" w14:textId="77777777" w:rsidR="00BC0E7E" w:rsidRPr="00BC0E7E" w:rsidRDefault="00944B8F" w:rsidP="00D51999">
      <w:pPr>
        <w:numPr>
          <w:ilvl w:val="0"/>
          <w:numId w:val="56"/>
        </w:numPr>
        <w:tabs>
          <w:tab w:val="clear" w:pos="562"/>
          <w:tab w:val="left" w:pos="720"/>
        </w:tabs>
        <w:rPr>
          <w:del w:id="12559" w:author="AbbVie19" w:date="2025-04-16T12:22:00Z"/>
          <w:szCs w:val="20"/>
        </w:rPr>
      </w:pPr>
      <w:del w:id="12560" w:author="AbbVie19" w:date="2025-04-16T12:22:00Z">
        <w:r w:rsidRPr="00BC0E7E">
          <w:rPr>
            <w:szCs w:val="20"/>
          </w:rPr>
          <w:delText xml:space="preserve">Advise your doctor if you are a carrier of the hepatitis B virus (HBV), if you have active HBV or if you think you might be at risk of contracting HBV. Your doctor should test you for HBV. Humira can cause reactivation of HBV in people who carry this virus. In some rare cases, especially if you are taking other medicines that suppress the immune system, reactivation of HBV can be life-threatening.  </w:delText>
        </w:r>
      </w:del>
    </w:p>
    <w:p w14:paraId="2C2C0841" w14:textId="77777777" w:rsidR="00BC0E7E" w:rsidRPr="00BC0E7E" w:rsidRDefault="00BC0E7E" w:rsidP="00BC0E7E">
      <w:pPr>
        <w:rPr>
          <w:del w:id="12561" w:author="AbbVie19" w:date="2025-04-16T12:22:00Z"/>
          <w:szCs w:val="20"/>
        </w:rPr>
      </w:pPr>
    </w:p>
    <w:p w14:paraId="304580A7" w14:textId="77777777" w:rsidR="00BC0E7E" w:rsidRPr="00BC0E7E" w:rsidRDefault="00944B8F" w:rsidP="00D51999">
      <w:pPr>
        <w:numPr>
          <w:ilvl w:val="0"/>
          <w:numId w:val="56"/>
        </w:numPr>
        <w:tabs>
          <w:tab w:val="clear" w:pos="562"/>
          <w:tab w:val="left" w:pos="720"/>
        </w:tabs>
        <w:rPr>
          <w:del w:id="12562" w:author="AbbVie19" w:date="2025-04-16T12:22:00Z"/>
          <w:szCs w:val="20"/>
        </w:rPr>
      </w:pPr>
      <w:del w:id="12563" w:author="AbbVie19" w:date="2025-04-16T12:22:00Z">
        <w:r w:rsidRPr="00BC0E7E">
          <w:rPr>
            <w:szCs w:val="20"/>
          </w:rPr>
          <w:delText>If you are over 65 years you may be more susceptible to infections while taking Humira. You and your doctor should pay special attention to signs of infection while you are being treated with Humira. It is important to tell your doctor if you get symptoms of infections, such as fever, wounds, feeling tired or dental problems.</w:delText>
        </w:r>
      </w:del>
    </w:p>
    <w:p w14:paraId="756554BE" w14:textId="77777777" w:rsidR="00BC0E7E" w:rsidRPr="00BC0E7E" w:rsidRDefault="00BC0E7E" w:rsidP="00BC0E7E">
      <w:pPr>
        <w:tabs>
          <w:tab w:val="clear" w:pos="562"/>
          <w:tab w:val="left" w:pos="720"/>
        </w:tabs>
        <w:ind w:left="720"/>
        <w:rPr>
          <w:del w:id="12564" w:author="AbbVie19" w:date="2025-04-16T12:22:00Z"/>
          <w:szCs w:val="20"/>
        </w:rPr>
      </w:pPr>
    </w:p>
    <w:p w14:paraId="4B70E134" w14:textId="77777777" w:rsidR="00BC0E7E" w:rsidRPr="00BC0E7E" w:rsidRDefault="00944B8F" w:rsidP="00D51999">
      <w:pPr>
        <w:numPr>
          <w:ilvl w:val="0"/>
          <w:numId w:val="56"/>
        </w:numPr>
        <w:tabs>
          <w:tab w:val="clear" w:pos="562"/>
          <w:tab w:val="left" w:pos="720"/>
        </w:tabs>
        <w:rPr>
          <w:del w:id="12565" w:author="AbbVie19" w:date="2025-04-16T12:22:00Z"/>
          <w:szCs w:val="20"/>
        </w:rPr>
      </w:pPr>
      <w:del w:id="12566" w:author="AbbVie19" w:date="2025-04-16T12:22:00Z">
        <w:r w:rsidRPr="00BC0E7E">
          <w:rPr>
            <w:szCs w:val="20"/>
          </w:rPr>
          <w:lastRenderedPageBreak/>
          <w:delText>If you are about to undergo surgery or dental procedures</w:delText>
        </w:r>
        <w:r w:rsidR="009E177D">
          <w:rPr>
            <w:szCs w:val="20"/>
          </w:rPr>
          <w:delText>,</w:delText>
        </w:r>
        <w:r w:rsidRPr="00BC0E7E">
          <w:rPr>
            <w:szCs w:val="20"/>
          </w:rPr>
          <w:delText xml:space="preserve"> please inform your doctor that you are taking Humira. Your doctor may recommend temporary discontinuation of Humira. </w:delText>
        </w:r>
      </w:del>
    </w:p>
    <w:p w14:paraId="447C5C2F" w14:textId="77777777" w:rsidR="00BC0E7E" w:rsidRPr="00BC0E7E" w:rsidRDefault="00BC0E7E" w:rsidP="00BC0E7E">
      <w:pPr>
        <w:tabs>
          <w:tab w:val="clear" w:pos="562"/>
          <w:tab w:val="left" w:pos="720"/>
        </w:tabs>
        <w:ind w:left="720"/>
        <w:rPr>
          <w:del w:id="12567" w:author="AbbVie19" w:date="2025-04-16T12:22:00Z"/>
          <w:szCs w:val="20"/>
        </w:rPr>
      </w:pPr>
    </w:p>
    <w:p w14:paraId="71E95E2C" w14:textId="77777777" w:rsidR="00BC0E7E" w:rsidRPr="00BC0E7E" w:rsidRDefault="00944B8F" w:rsidP="00D51999">
      <w:pPr>
        <w:numPr>
          <w:ilvl w:val="0"/>
          <w:numId w:val="56"/>
        </w:numPr>
        <w:tabs>
          <w:tab w:val="clear" w:pos="562"/>
          <w:tab w:val="left" w:pos="720"/>
        </w:tabs>
        <w:rPr>
          <w:del w:id="12568" w:author="AbbVie19" w:date="2025-04-16T12:22:00Z"/>
          <w:szCs w:val="20"/>
        </w:rPr>
      </w:pPr>
      <w:del w:id="12569" w:author="AbbVie19" w:date="2025-04-16T12:22:00Z">
        <w:r w:rsidRPr="00BC0E7E">
          <w:rPr>
            <w:szCs w:val="20"/>
          </w:rPr>
          <w:delText>If you have or develop demyelinating disease such as multiple sclerosis, your doctor will decide if you should receive or continue to receive Humira. Tell your doctor immediately if you experience symptoms like changes in your vision, weakness in your arms or legs or numbness or tingling in any part of your body.</w:delText>
        </w:r>
      </w:del>
    </w:p>
    <w:p w14:paraId="20CEBBCB" w14:textId="77777777" w:rsidR="00BC0E7E" w:rsidRPr="00BC0E7E" w:rsidRDefault="00BC0E7E" w:rsidP="00BC0E7E">
      <w:pPr>
        <w:tabs>
          <w:tab w:val="clear" w:pos="562"/>
          <w:tab w:val="left" w:pos="720"/>
        </w:tabs>
        <w:ind w:left="720"/>
        <w:rPr>
          <w:del w:id="12570" w:author="AbbVie19" w:date="2025-04-16T12:22:00Z"/>
          <w:szCs w:val="20"/>
        </w:rPr>
      </w:pPr>
    </w:p>
    <w:p w14:paraId="36070D53" w14:textId="77777777" w:rsidR="00BC0E7E" w:rsidRPr="00BC0E7E" w:rsidRDefault="00944B8F" w:rsidP="00D51999">
      <w:pPr>
        <w:numPr>
          <w:ilvl w:val="0"/>
          <w:numId w:val="56"/>
        </w:numPr>
        <w:tabs>
          <w:tab w:val="clear" w:pos="562"/>
          <w:tab w:val="left" w:pos="720"/>
        </w:tabs>
        <w:rPr>
          <w:del w:id="12571" w:author="AbbVie19" w:date="2025-04-16T12:22:00Z"/>
          <w:szCs w:val="20"/>
        </w:rPr>
      </w:pPr>
      <w:del w:id="12572" w:author="AbbVie19" w:date="2025-04-16T12:22:00Z">
        <w:r w:rsidRPr="00BC0E7E">
          <w:rPr>
            <w:szCs w:val="20"/>
          </w:rPr>
          <w:delText>Certain vaccines may cause infections and should not be given while receiving Humira. Please check with your doctor before you receive any vaccines. It is recommended that children, if possible, be brought up to date with all immunisations in agreement with current immunisation guidelines prior to initiating Humira therapy. If you received Humira while you were pregnant, your baby may be at higher risk for getting such an infection for up to approximately five months after the last dose you received during pregnancy. It is important that you tell your baby's doctors and other health care professionals about your Humira use during your pregnancy so they can decide when your baby should receive any vaccine.</w:delText>
        </w:r>
      </w:del>
    </w:p>
    <w:p w14:paraId="4796F3EE" w14:textId="77777777" w:rsidR="00BC0E7E" w:rsidRPr="00BC0E7E" w:rsidRDefault="00BC0E7E" w:rsidP="00BC0E7E">
      <w:pPr>
        <w:tabs>
          <w:tab w:val="clear" w:pos="562"/>
          <w:tab w:val="left" w:pos="720"/>
        </w:tabs>
        <w:ind w:left="720"/>
        <w:rPr>
          <w:del w:id="12573" w:author="AbbVie19" w:date="2025-04-16T12:22:00Z"/>
          <w:szCs w:val="20"/>
        </w:rPr>
      </w:pPr>
    </w:p>
    <w:p w14:paraId="0518D5F2" w14:textId="77777777" w:rsidR="00BC0E7E" w:rsidRDefault="00944B8F" w:rsidP="00D51999">
      <w:pPr>
        <w:numPr>
          <w:ilvl w:val="0"/>
          <w:numId w:val="56"/>
        </w:numPr>
        <w:tabs>
          <w:tab w:val="clear" w:pos="562"/>
          <w:tab w:val="left" w:pos="720"/>
        </w:tabs>
        <w:rPr>
          <w:del w:id="12574" w:author="AbbVie19" w:date="2025-04-16T12:22:00Z"/>
          <w:szCs w:val="20"/>
        </w:rPr>
      </w:pPr>
      <w:del w:id="12575" w:author="AbbVie19" w:date="2025-04-16T12:22:00Z">
        <w:r w:rsidRPr="00BC0E7E">
          <w:rPr>
            <w:szCs w:val="20"/>
          </w:rPr>
          <w:delText>If you have mild heart failure and you are being treated with Humira, your heart failure status must be closely monitored by your doctor. It is important to tell your doctor if you have had or have a serious heart condition. If you develop new or worsening symptoms of heart failure (e.g. shortness of breath, or swelling of your feet), you must contact your doctor immediately. Your doctor will decide if you should receive Humira.</w:delText>
        </w:r>
      </w:del>
    </w:p>
    <w:p w14:paraId="24D44848" w14:textId="77777777" w:rsidR="008163BD" w:rsidRPr="00BC0E7E" w:rsidRDefault="008163BD" w:rsidP="008163BD">
      <w:pPr>
        <w:tabs>
          <w:tab w:val="clear" w:pos="562"/>
        </w:tabs>
        <w:ind w:left="720"/>
        <w:rPr>
          <w:del w:id="12576" w:author="AbbVie19" w:date="2025-04-16T12:22:00Z"/>
          <w:szCs w:val="20"/>
        </w:rPr>
      </w:pPr>
    </w:p>
    <w:p w14:paraId="7EE5C1CD" w14:textId="77777777" w:rsidR="00BC0E7E" w:rsidRPr="00BC0E7E" w:rsidRDefault="00944B8F" w:rsidP="00D51999">
      <w:pPr>
        <w:numPr>
          <w:ilvl w:val="0"/>
          <w:numId w:val="56"/>
        </w:numPr>
        <w:tabs>
          <w:tab w:val="clear" w:pos="562"/>
          <w:tab w:val="left" w:pos="720"/>
        </w:tabs>
        <w:rPr>
          <w:del w:id="12577" w:author="AbbVie19" w:date="2025-04-16T12:22:00Z"/>
          <w:szCs w:val="20"/>
        </w:rPr>
      </w:pPr>
      <w:del w:id="12578" w:author="AbbVie19" w:date="2025-04-16T12:22:00Z">
        <w:r w:rsidRPr="00BC0E7E">
          <w:rPr>
            <w:szCs w:val="20"/>
          </w:rPr>
          <w:delText>In some patients the body may fail to produce enough of the blood cells that help your body fight infections or help you to stop bleeding. If you develop a fever that does not go away, bruise or bleed very easily or look very pale, call your doctor right away. Your doctor may decide to stop treatment.</w:delText>
        </w:r>
      </w:del>
    </w:p>
    <w:p w14:paraId="4F48D8E5" w14:textId="77777777" w:rsidR="00BC0E7E" w:rsidRPr="00BC0E7E" w:rsidRDefault="00BC0E7E" w:rsidP="00BC0E7E">
      <w:pPr>
        <w:tabs>
          <w:tab w:val="clear" w:pos="562"/>
          <w:tab w:val="left" w:pos="720"/>
        </w:tabs>
        <w:ind w:left="720"/>
        <w:rPr>
          <w:del w:id="12579" w:author="AbbVie19" w:date="2025-04-16T12:22:00Z"/>
          <w:szCs w:val="20"/>
        </w:rPr>
      </w:pPr>
    </w:p>
    <w:p w14:paraId="38B5BA1C" w14:textId="77777777" w:rsidR="00BC0E7E" w:rsidRPr="00BC0E7E" w:rsidRDefault="00944B8F" w:rsidP="00D51999">
      <w:pPr>
        <w:numPr>
          <w:ilvl w:val="0"/>
          <w:numId w:val="56"/>
        </w:numPr>
        <w:tabs>
          <w:tab w:val="clear" w:pos="562"/>
          <w:tab w:val="left" w:pos="720"/>
        </w:tabs>
        <w:rPr>
          <w:del w:id="12580" w:author="AbbVie19" w:date="2025-04-16T12:22:00Z"/>
          <w:szCs w:val="20"/>
        </w:rPr>
      </w:pPr>
      <w:del w:id="12581" w:author="AbbVie19" w:date="2025-04-16T12:22:00Z">
        <w:r w:rsidRPr="00BC0E7E">
          <w:rPr>
            <w:szCs w:val="20"/>
          </w:rPr>
          <w:delText>There have been very rare cases of certain kinds of cancer in children and adult patients taking Humira or other TNF blockers. People with more serious rheumatoid arthritis that have had the disease for a long time may have a higher than average risk of getting lymphoma (a cancer that affects the lymph system) and leukemia (a cancer that affects the blood and bone marrow). If you take Humira the risk of getting lymphoma, leukemia, or other cancers may increase. On rare occasions, a specific and severe type of lymphoma has been observed in patients taking Humira. Some of those patients were also treated with azathioprine or 6- mercaptopurine. Tell your doctor if you are taking azathioprine or 6-mercaptopurine with Humira. In addition</w:delText>
        </w:r>
        <w:r w:rsidR="009E177D">
          <w:rPr>
            <w:szCs w:val="20"/>
          </w:rPr>
          <w:delText>,</w:delText>
        </w:r>
        <w:r w:rsidRPr="00BC0E7E">
          <w:rPr>
            <w:szCs w:val="20"/>
          </w:rPr>
          <w:delText xml:space="preserve"> cases of non-melanoma skin cancer have been observed in patients taking Humira. If new skin lesions appear during or after therapy or if existing lesions change appearance, tell your doctor.</w:delText>
        </w:r>
      </w:del>
    </w:p>
    <w:p w14:paraId="2EB193BF" w14:textId="77777777" w:rsidR="00BC0E7E" w:rsidRPr="00BC0E7E" w:rsidRDefault="00BC0E7E" w:rsidP="00BC0E7E">
      <w:pPr>
        <w:tabs>
          <w:tab w:val="clear" w:pos="562"/>
          <w:tab w:val="left" w:pos="720"/>
        </w:tabs>
        <w:ind w:left="720"/>
        <w:rPr>
          <w:del w:id="12582" w:author="AbbVie19" w:date="2025-04-16T12:22:00Z"/>
          <w:szCs w:val="20"/>
        </w:rPr>
      </w:pPr>
    </w:p>
    <w:p w14:paraId="6D7DDC7A" w14:textId="77777777" w:rsidR="00BC0E7E" w:rsidRDefault="00944B8F" w:rsidP="00D51999">
      <w:pPr>
        <w:numPr>
          <w:ilvl w:val="0"/>
          <w:numId w:val="56"/>
        </w:numPr>
        <w:tabs>
          <w:tab w:val="clear" w:pos="562"/>
          <w:tab w:val="left" w:pos="720"/>
        </w:tabs>
        <w:rPr>
          <w:del w:id="12583" w:author="AbbVie19" w:date="2025-04-16T12:22:00Z"/>
          <w:szCs w:val="20"/>
        </w:rPr>
      </w:pPr>
      <w:del w:id="12584" w:author="AbbVie19" w:date="2025-04-16T12:22:00Z">
        <w:r w:rsidRPr="00BC0E7E">
          <w:rPr>
            <w:szCs w:val="20"/>
          </w:rPr>
          <w:delText>There have been cases of cancers, other than lymphoma in patients with a specific type of lung disease called Chronic Obstructive Pulmonary Disease (COPD) treated with another TNF blocker. If you have COPD, or are a heavy smoker, you should discuss with your doctor whether treatment with a TNF blocker is appropriate for you.</w:delText>
        </w:r>
      </w:del>
    </w:p>
    <w:p w14:paraId="10802936" w14:textId="77777777" w:rsidR="00B92BA2" w:rsidRDefault="00B92BA2" w:rsidP="00B92BA2">
      <w:pPr>
        <w:tabs>
          <w:tab w:val="clear" w:pos="562"/>
        </w:tabs>
        <w:ind w:left="720"/>
        <w:rPr>
          <w:del w:id="12585" w:author="AbbVie19" w:date="2025-04-16T12:22:00Z"/>
          <w:szCs w:val="20"/>
        </w:rPr>
      </w:pPr>
    </w:p>
    <w:p w14:paraId="1FB9BDE2" w14:textId="77777777" w:rsidR="00D92943" w:rsidRPr="00D92943" w:rsidRDefault="00944B8F" w:rsidP="00D51999">
      <w:pPr>
        <w:numPr>
          <w:ilvl w:val="0"/>
          <w:numId w:val="56"/>
        </w:numPr>
        <w:tabs>
          <w:tab w:val="clear" w:pos="562"/>
          <w:tab w:val="left" w:pos="720"/>
        </w:tabs>
        <w:rPr>
          <w:del w:id="12586" w:author="AbbVie19" w:date="2025-04-16T12:22:00Z"/>
          <w:szCs w:val="20"/>
        </w:rPr>
      </w:pPr>
      <w:del w:id="12587" w:author="AbbVie19" w:date="2025-04-16T12:22:00Z">
        <w:r w:rsidRPr="00D92943">
          <w:rPr>
            <w:szCs w:val="20"/>
          </w:rPr>
          <w:delText>On rare occasions, treatment with Humira could result in lupus-like syndrome. Contact your doctor if symptoms such as persistent unexplained rash, fever, joint pain or tiredness</w:delText>
        </w:r>
        <w:r w:rsidR="00E449B1">
          <w:rPr>
            <w:szCs w:val="20"/>
          </w:rPr>
          <w:delText xml:space="preserve"> occur</w:delText>
        </w:r>
        <w:r w:rsidRPr="00D92943">
          <w:rPr>
            <w:szCs w:val="20"/>
          </w:rPr>
          <w:delText>.</w:delText>
        </w:r>
      </w:del>
    </w:p>
    <w:p w14:paraId="33B64299" w14:textId="77777777" w:rsidR="00BC0E7E" w:rsidRPr="00BC0E7E" w:rsidRDefault="00BC0E7E" w:rsidP="00BC0E7E">
      <w:pPr>
        <w:rPr>
          <w:del w:id="12588" w:author="AbbVie19" w:date="2025-04-16T12:22:00Z"/>
          <w:szCs w:val="20"/>
        </w:rPr>
      </w:pPr>
    </w:p>
    <w:p w14:paraId="7225A399" w14:textId="77777777" w:rsidR="00BC0E7E" w:rsidRPr="00BC0E7E" w:rsidRDefault="00944B8F" w:rsidP="00BC0E7E">
      <w:pPr>
        <w:rPr>
          <w:del w:id="12589" w:author="AbbVie19" w:date="2025-04-16T12:22:00Z"/>
          <w:b/>
          <w:szCs w:val="20"/>
        </w:rPr>
      </w:pPr>
      <w:del w:id="12590" w:author="AbbVie19" w:date="2025-04-16T12:22:00Z">
        <w:r w:rsidRPr="00BC0E7E">
          <w:rPr>
            <w:b/>
            <w:szCs w:val="20"/>
          </w:rPr>
          <w:delText>Children and adolescents</w:delText>
        </w:r>
      </w:del>
    </w:p>
    <w:p w14:paraId="29021161" w14:textId="77777777" w:rsidR="00BC0E7E" w:rsidRPr="00BC0E7E" w:rsidRDefault="00BC0E7E" w:rsidP="00BC0E7E">
      <w:pPr>
        <w:rPr>
          <w:del w:id="12591" w:author="AbbVie19" w:date="2025-04-16T12:22:00Z"/>
          <w:szCs w:val="20"/>
        </w:rPr>
      </w:pPr>
    </w:p>
    <w:p w14:paraId="4F618630" w14:textId="77777777" w:rsidR="00BC0E7E" w:rsidRPr="00BC0E7E" w:rsidRDefault="00944B8F" w:rsidP="00D51999">
      <w:pPr>
        <w:numPr>
          <w:ilvl w:val="0"/>
          <w:numId w:val="56"/>
        </w:numPr>
        <w:tabs>
          <w:tab w:val="clear" w:pos="562"/>
          <w:tab w:val="left" w:pos="720"/>
        </w:tabs>
        <w:rPr>
          <w:del w:id="12592" w:author="AbbVie19" w:date="2025-04-16T12:22:00Z"/>
          <w:szCs w:val="20"/>
        </w:rPr>
      </w:pPr>
      <w:del w:id="12593" w:author="AbbVie19" w:date="2025-04-16T12:22:00Z">
        <w:r w:rsidRPr="00BC0E7E">
          <w:rPr>
            <w:szCs w:val="20"/>
          </w:rPr>
          <w:delText>Vaccinations: if possible</w:delText>
        </w:r>
        <w:r w:rsidR="009E177D">
          <w:rPr>
            <w:szCs w:val="20"/>
          </w:rPr>
          <w:delText>,</w:delText>
        </w:r>
        <w:r w:rsidRPr="00BC0E7E">
          <w:rPr>
            <w:szCs w:val="20"/>
          </w:rPr>
          <w:delText xml:space="preserve"> children should be up to date with all vaccinations before using Humira.</w:delText>
        </w:r>
      </w:del>
    </w:p>
    <w:p w14:paraId="6B65B202" w14:textId="77777777" w:rsidR="00BC0E7E" w:rsidRPr="00BC0E7E" w:rsidRDefault="00944B8F" w:rsidP="00D51999">
      <w:pPr>
        <w:numPr>
          <w:ilvl w:val="0"/>
          <w:numId w:val="56"/>
        </w:numPr>
        <w:tabs>
          <w:tab w:val="clear" w:pos="562"/>
          <w:tab w:val="left" w:pos="720"/>
        </w:tabs>
        <w:rPr>
          <w:del w:id="12594" w:author="AbbVie19" w:date="2025-04-16T12:22:00Z"/>
          <w:szCs w:val="20"/>
        </w:rPr>
      </w:pPr>
      <w:del w:id="12595" w:author="AbbVie19" w:date="2025-04-16T12:22:00Z">
        <w:r w:rsidRPr="00BC0E7E">
          <w:rPr>
            <w:szCs w:val="20"/>
          </w:rPr>
          <w:delText>Do not give Humira to children with polyarticular juvenile idiopathic arthritis below the age of 2 years.</w:delText>
        </w:r>
      </w:del>
    </w:p>
    <w:p w14:paraId="376AD703" w14:textId="77777777" w:rsidR="00BC0E7E" w:rsidRPr="00BC0E7E" w:rsidRDefault="00BC0E7E" w:rsidP="00BC0E7E">
      <w:pPr>
        <w:rPr>
          <w:del w:id="12596" w:author="AbbVie19" w:date="2025-04-16T12:22:00Z"/>
          <w:szCs w:val="20"/>
        </w:rPr>
      </w:pPr>
    </w:p>
    <w:p w14:paraId="18C7514E" w14:textId="77777777" w:rsidR="00BC0E7E" w:rsidRPr="00BC0E7E" w:rsidRDefault="00944B8F" w:rsidP="00BC0E7E">
      <w:pPr>
        <w:rPr>
          <w:del w:id="12597" w:author="AbbVie19" w:date="2025-04-16T12:22:00Z"/>
          <w:b/>
          <w:szCs w:val="20"/>
        </w:rPr>
      </w:pPr>
      <w:del w:id="12598" w:author="AbbVie19" w:date="2025-04-16T12:22:00Z">
        <w:r w:rsidRPr="00BC0E7E">
          <w:rPr>
            <w:b/>
            <w:szCs w:val="20"/>
          </w:rPr>
          <w:delText>Other medicines and Humira</w:delText>
        </w:r>
      </w:del>
    </w:p>
    <w:p w14:paraId="3186CE31" w14:textId="77777777" w:rsidR="00BC0E7E" w:rsidRPr="00BC0E7E" w:rsidRDefault="00BC0E7E" w:rsidP="00BC0E7E">
      <w:pPr>
        <w:rPr>
          <w:del w:id="12599" w:author="AbbVie19" w:date="2025-04-16T12:22:00Z"/>
          <w:szCs w:val="20"/>
        </w:rPr>
      </w:pPr>
    </w:p>
    <w:p w14:paraId="1BA0F1C3" w14:textId="77777777" w:rsidR="00BC0E7E" w:rsidRPr="00BC0E7E" w:rsidRDefault="00944B8F" w:rsidP="00BC0E7E">
      <w:pPr>
        <w:rPr>
          <w:del w:id="12600" w:author="AbbVie19" w:date="2025-04-16T12:22:00Z"/>
          <w:szCs w:val="20"/>
        </w:rPr>
      </w:pPr>
      <w:del w:id="12601" w:author="AbbVie19" w:date="2025-04-16T12:22:00Z">
        <w:r w:rsidRPr="00BC0E7E">
          <w:rPr>
            <w:szCs w:val="20"/>
          </w:rPr>
          <w:delText>Tell your doctor or pharmacist if you are taking, have recently taken or might take any other medicines.</w:delText>
        </w:r>
      </w:del>
    </w:p>
    <w:p w14:paraId="08679604" w14:textId="77777777" w:rsidR="00BC0E7E" w:rsidRPr="00BC0E7E" w:rsidRDefault="00BC0E7E" w:rsidP="00BC0E7E">
      <w:pPr>
        <w:rPr>
          <w:del w:id="12602" w:author="AbbVie19" w:date="2025-04-16T12:22:00Z"/>
          <w:szCs w:val="20"/>
        </w:rPr>
      </w:pPr>
    </w:p>
    <w:p w14:paraId="08F2D892" w14:textId="77777777" w:rsidR="00BC0E7E" w:rsidRPr="00BC0E7E" w:rsidRDefault="00944B8F" w:rsidP="00BC0E7E">
      <w:pPr>
        <w:rPr>
          <w:del w:id="12603" w:author="AbbVie19" w:date="2025-04-16T12:22:00Z"/>
          <w:szCs w:val="20"/>
        </w:rPr>
      </w:pPr>
      <w:del w:id="12604" w:author="AbbVie19" w:date="2025-04-16T12:22:00Z">
        <w:r w:rsidRPr="00BC0E7E">
          <w:rPr>
            <w:szCs w:val="20"/>
          </w:rPr>
          <w:delText>Humira can be taken together with methotrexate or certain disease-modifying anti-rheumatic agents (sulfasalazine, hydroxychloroquine, leflunomide and injectable gold preparations), steroids or pain medications including non-steroidal anti-inflammatory drugs (NSAIDs).</w:delText>
        </w:r>
      </w:del>
    </w:p>
    <w:p w14:paraId="676B0698" w14:textId="77777777" w:rsidR="00BC0E7E" w:rsidRPr="00BC0E7E" w:rsidRDefault="00BC0E7E" w:rsidP="00BC0E7E">
      <w:pPr>
        <w:rPr>
          <w:del w:id="12605" w:author="AbbVie19" w:date="2025-04-16T12:22:00Z"/>
          <w:szCs w:val="20"/>
        </w:rPr>
      </w:pPr>
    </w:p>
    <w:p w14:paraId="0FE8DFD8" w14:textId="77777777" w:rsidR="00BC0E7E" w:rsidRPr="00BC0E7E" w:rsidRDefault="00944B8F" w:rsidP="00BC0E7E">
      <w:pPr>
        <w:tabs>
          <w:tab w:val="clear" w:pos="562"/>
          <w:tab w:val="left" w:pos="0"/>
        </w:tabs>
        <w:rPr>
          <w:del w:id="12606" w:author="AbbVie19" w:date="2025-04-16T12:22:00Z"/>
          <w:b/>
          <w:bCs/>
          <w:szCs w:val="20"/>
        </w:rPr>
      </w:pPr>
      <w:del w:id="12607" w:author="AbbVie19" w:date="2025-04-16T12:22:00Z">
        <w:r w:rsidRPr="00BC0E7E">
          <w:rPr>
            <w:szCs w:val="20"/>
          </w:rPr>
          <w:delText>You should not take Humira with medicines containing the active substance</w:delText>
        </w:r>
        <w:r w:rsidR="00A34616">
          <w:rPr>
            <w:szCs w:val="20"/>
          </w:rPr>
          <w:delText>s</w:delText>
        </w:r>
        <w:r w:rsidRPr="00BC0E7E">
          <w:rPr>
            <w:szCs w:val="20"/>
          </w:rPr>
          <w:delText xml:space="preserve"> anakinra or abatacept</w:delText>
        </w:r>
        <w:r w:rsidR="008163BD" w:rsidRPr="00FD27BB">
          <w:delText xml:space="preserve"> </w:delText>
        </w:r>
        <w:r w:rsidR="008163BD">
          <w:delText>due to increased risk of serious infection</w:delText>
        </w:r>
        <w:r w:rsidRPr="00BC0E7E">
          <w:rPr>
            <w:szCs w:val="20"/>
          </w:rPr>
          <w:delText>. If you have questions, please ask your doctor.</w:delText>
        </w:r>
      </w:del>
    </w:p>
    <w:p w14:paraId="73E02726" w14:textId="77777777" w:rsidR="00BC0E7E" w:rsidRPr="00BC0E7E" w:rsidRDefault="00BC0E7E" w:rsidP="00BC0E7E">
      <w:pPr>
        <w:rPr>
          <w:del w:id="12608" w:author="AbbVie19" w:date="2025-04-16T12:22:00Z"/>
          <w:szCs w:val="20"/>
        </w:rPr>
      </w:pPr>
    </w:p>
    <w:p w14:paraId="794ADA28" w14:textId="77777777" w:rsidR="00BC0E7E" w:rsidRPr="00BC0E7E" w:rsidRDefault="00944B8F" w:rsidP="00BC0E7E">
      <w:pPr>
        <w:rPr>
          <w:del w:id="12609" w:author="AbbVie19" w:date="2025-04-16T12:22:00Z"/>
          <w:b/>
          <w:szCs w:val="20"/>
        </w:rPr>
      </w:pPr>
      <w:del w:id="12610" w:author="AbbVie19" w:date="2025-04-16T12:22:00Z">
        <w:r w:rsidRPr="00BC0E7E">
          <w:rPr>
            <w:b/>
            <w:szCs w:val="20"/>
          </w:rPr>
          <w:delText>Pregnancy and breast-feeding</w:delText>
        </w:r>
      </w:del>
    </w:p>
    <w:p w14:paraId="47A02C63" w14:textId="77777777" w:rsidR="00BC0E7E" w:rsidRPr="00BC0E7E" w:rsidRDefault="00BC0E7E" w:rsidP="00BC0E7E">
      <w:pPr>
        <w:rPr>
          <w:del w:id="12611" w:author="AbbVie19" w:date="2025-04-16T12:22:00Z"/>
          <w:szCs w:val="20"/>
        </w:rPr>
      </w:pPr>
    </w:p>
    <w:p w14:paraId="66D3B58B" w14:textId="77777777" w:rsidR="00BC0E7E" w:rsidRPr="00B1385B" w:rsidRDefault="00944B8F" w:rsidP="00D51999">
      <w:pPr>
        <w:numPr>
          <w:ilvl w:val="0"/>
          <w:numId w:val="56"/>
        </w:numPr>
        <w:tabs>
          <w:tab w:val="clear" w:pos="562"/>
          <w:tab w:val="left" w:pos="720"/>
        </w:tabs>
        <w:rPr>
          <w:del w:id="12612" w:author="AbbVie19" w:date="2025-04-16T12:22:00Z"/>
          <w:szCs w:val="20"/>
        </w:rPr>
      </w:pPr>
      <w:del w:id="12613" w:author="AbbVie19" w:date="2025-04-16T12:22:00Z">
        <w:r w:rsidRPr="00B1385B">
          <w:rPr>
            <w:szCs w:val="20"/>
          </w:rPr>
          <w:delText xml:space="preserve">You </w:delText>
        </w:r>
        <w:r w:rsidR="008D1428" w:rsidRPr="00B1385B">
          <w:rPr>
            <w:szCs w:val="20"/>
          </w:rPr>
          <w:delText>should consider the</w:delText>
        </w:r>
        <w:r w:rsidRPr="00B1385B">
          <w:rPr>
            <w:szCs w:val="20"/>
          </w:rPr>
          <w:delText xml:space="preserve"> use</w:delText>
        </w:r>
        <w:r w:rsidR="008D1428" w:rsidRPr="00B1385B">
          <w:rPr>
            <w:szCs w:val="20"/>
          </w:rPr>
          <w:delText xml:space="preserve"> of</w:delText>
        </w:r>
        <w:r w:rsidRPr="00B1385B">
          <w:rPr>
            <w:szCs w:val="20"/>
          </w:rPr>
          <w:delText xml:space="preserve"> adequate contraception </w:delText>
        </w:r>
        <w:r w:rsidR="008D1428" w:rsidRPr="00B1385B">
          <w:rPr>
            <w:szCs w:val="20"/>
          </w:rPr>
          <w:delText>to prevent pregnancy</w:delText>
        </w:r>
        <w:r w:rsidRPr="00B1385B">
          <w:rPr>
            <w:szCs w:val="20"/>
          </w:rPr>
          <w:delText xml:space="preserve"> and </w:delText>
        </w:r>
        <w:r w:rsidR="008D1428" w:rsidRPr="00B1385B">
          <w:rPr>
            <w:szCs w:val="20"/>
          </w:rPr>
          <w:delText xml:space="preserve">continue its use </w:delText>
        </w:r>
        <w:r w:rsidRPr="00B1385B">
          <w:rPr>
            <w:szCs w:val="20"/>
          </w:rPr>
          <w:delText>for at least 5 months a</w:delText>
        </w:r>
        <w:r w:rsidR="00816607">
          <w:rPr>
            <w:szCs w:val="20"/>
          </w:rPr>
          <w:delText>fter the last Humira treatment.</w:delText>
        </w:r>
      </w:del>
    </w:p>
    <w:p w14:paraId="62E87EB2" w14:textId="77777777" w:rsidR="008D1428" w:rsidRPr="00B1385B" w:rsidRDefault="00944B8F" w:rsidP="00D51999">
      <w:pPr>
        <w:numPr>
          <w:ilvl w:val="0"/>
          <w:numId w:val="56"/>
        </w:numPr>
        <w:tabs>
          <w:tab w:val="clear" w:pos="562"/>
          <w:tab w:val="left" w:pos="720"/>
        </w:tabs>
        <w:rPr>
          <w:del w:id="12614" w:author="AbbVie19" w:date="2025-04-16T12:22:00Z"/>
          <w:szCs w:val="20"/>
        </w:rPr>
      </w:pPr>
      <w:del w:id="12615" w:author="AbbVie19" w:date="2025-04-16T12:22:00Z">
        <w:r w:rsidRPr="00B1385B">
          <w:rPr>
            <w:szCs w:val="20"/>
          </w:rPr>
          <w:delText>If you are pregnant, think you may be pregnant or are planning to have a baby, ask your doctor for advice about taking this medicine.</w:delText>
        </w:r>
      </w:del>
    </w:p>
    <w:p w14:paraId="0C514D68" w14:textId="77777777" w:rsidR="008D1428" w:rsidRPr="00B1385B" w:rsidRDefault="00944B8F" w:rsidP="00D51999">
      <w:pPr>
        <w:numPr>
          <w:ilvl w:val="0"/>
          <w:numId w:val="56"/>
        </w:numPr>
        <w:tabs>
          <w:tab w:val="clear" w:pos="562"/>
          <w:tab w:val="left" w:pos="720"/>
        </w:tabs>
        <w:rPr>
          <w:del w:id="12616" w:author="AbbVie19" w:date="2025-04-16T12:22:00Z"/>
          <w:szCs w:val="20"/>
        </w:rPr>
      </w:pPr>
      <w:del w:id="12617" w:author="AbbVie19" w:date="2025-04-16T12:22:00Z">
        <w:r w:rsidRPr="00B1385B">
          <w:rPr>
            <w:szCs w:val="20"/>
          </w:rPr>
          <w:delText>Humira should only be used during a pregnancy if needed.</w:delText>
        </w:r>
      </w:del>
    </w:p>
    <w:p w14:paraId="261340FC" w14:textId="77777777" w:rsidR="008D1428" w:rsidRDefault="00944B8F" w:rsidP="00D51999">
      <w:pPr>
        <w:numPr>
          <w:ilvl w:val="0"/>
          <w:numId w:val="56"/>
        </w:numPr>
        <w:tabs>
          <w:tab w:val="clear" w:pos="562"/>
          <w:tab w:val="left" w:pos="720"/>
        </w:tabs>
        <w:rPr>
          <w:del w:id="12618" w:author="AbbVie19" w:date="2025-04-16T12:22:00Z"/>
          <w:szCs w:val="20"/>
        </w:rPr>
      </w:pPr>
      <w:del w:id="12619" w:author="AbbVie19" w:date="2025-04-16T12:22:00Z">
        <w:r w:rsidRPr="00B1385B">
          <w:rPr>
            <w:szCs w:val="20"/>
          </w:rPr>
          <w:delText>According to a pregnancy study, there was no higher risk of birth defects when the mother had received Humira during pregnancy compared with mothers with the same disease who did not receive Humira.</w:delText>
        </w:r>
      </w:del>
    </w:p>
    <w:p w14:paraId="4BB0D1D9" w14:textId="77777777" w:rsidR="00E163C8" w:rsidRPr="00B1385B" w:rsidRDefault="00944B8F" w:rsidP="00D51999">
      <w:pPr>
        <w:numPr>
          <w:ilvl w:val="0"/>
          <w:numId w:val="56"/>
        </w:numPr>
        <w:tabs>
          <w:tab w:val="clear" w:pos="562"/>
          <w:tab w:val="left" w:pos="720"/>
        </w:tabs>
        <w:rPr>
          <w:del w:id="12620" w:author="AbbVie19" w:date="2025-04-16T12:22:00Z"/>
          <w:szCs w:val="20"/>
        </w:rPr>
      </w:pPr>
      <w:del w:id="12621" w:author="AbbVie19" w:date="2025-04-16T12:22:00Z">
        <w:r>
          <w:rPr>
            <w:szCs w:val="20"/>
          </w:rPr>
          <w:delText>Humira can be used during breast</w:delText>
        </w:r>
        <w:r w:rsidR="008B6BDD">
          <w:rPr>
            <w:szCs w:val="20"/>
          </w:rPr>
          <w:delText>-</w:delText>
        </w:r>
        <w:r>
          <w:rPr>
            <w:szCs w:val="20"/>
          </w:rPr>
          <w:delText>feeding.</w:delText>
        </w:r>
      </w:del>
    </w:p>
    <w:p w14:paraId="596F448D" w14:textId="77777777" w:rsidR="008D1428" w:rsidRPr="00486065" w:rsidRDefault="00944B8F" w:rsidP="00D51999">
      <w:pPr>
        <w:numPr>
          <w:ilvl w:val="0"/>
          <w:numId w:val="56"/>
        </w:numPr>
        <w:tabs>
          <w:tab w:val="clear" w:pos="562"/>
          <w:tab w:val="left" w:pos="720"/>
        </w:tabs>
        <w:rPr>
          <w:del w:id="12622" w:author="AbbVie19" w:date="2025-04-16T12:22:00Z"/>
          <w:szCs w:val="20"/>
        </w:rPr>
      </w:pPr>
      <w:del w:id="12623" w:author="AbbVie19" w:date="2025-04-16T12:22:00Z">
        <w:r w:rsidRPr="00486065">
          <w:rPr>
            <w:szCs w:val="20"/>
          </w:rPr>
          <w:delText>If you receive Humira during your pregnancy, your baby may have a higher risk for getting an infection.</w:delText>
        </w:r>
      </w:del>
    </w:p>
    <w:p w14:paraId="1CA5C372" w14:textId="77777777" w:rsidR="00BC0E7E" w:rsidRPr="00B84C12" w:rsidRDefault="00944B8F" w:rsidP="00D51999">
      <w:pPr>
        <w:numPr>
          <w:ilvl w:val="0"/>
          <w:numId w:val="56"/>
        </w:numPr>
        <w:tabs>
          <w:tab w:val="clear" w:pos="562"/>
          <w:tab w:val="left" w:pos="720"/>
        </w:tabs>
        <w:rPr>
          <w:del w:id="12624" w:author="AbbVie19" w:date="2025-04-16T12:22:00Z"/>
          <w:szCs w:val="20"/>
        </w:rPr>
      </w:pPr>
      <w:del w:id="12625" w:author="AbbVie19" w:date="2025-04-16T12:22:00Z">
        <w:r w:rsidRPr="00B84C12">
          <w:rPr>
            <w:szCs w:val="20"/>
          </w:rPr>
          <w:delText>It is important that you tell your baby’s doctors and other health care professionals about your Humira use during your pregnancy before the baby receives any vaccine</w:delText>
        </w:r>
        <w:r w:rsidR="009B5AB4">
          <w:rPr>
            <w:szCs w:val="20"/>
          </w:rPr>
          <w:delText xml:space="preserve">. </w:delText>
        </w:r>
        <w:r w:rsidRPr="00B84C12">
          <w:rPr>
            <w:szCs w:val="20"/>
          </w:rPr>
          <w:delText xml:space="preserve"> </w:delText>
        </w:r>
        <w:r w:rsidR="009B5AB4">
          <w:rPr>
            <w:szCs w:val="20"/>
          </w:rPr>
          <w:delText>F</w:delText>
        </w:r>
        <w:r w:rsidRPr="00B84C12">
          <w:rPr>
            <w:szCs w:val="20"/>
          </w:rPr>
          <w:delText xml:space="preserve">or more information </w:delText>
        </w:r>
        <w:r w:rsidR="00120056" w:rsidRPr="00B84C12">
          <w:rPr>
            <w:szCs w:val="20"/>
          </w:rPr>
          <w:delText xml:space="preserve">on vaccines </w:delText>
        </w:r>
        <w:r w:rsidRPr="00B84C12">
          <w:rPr>
            <w:szCs w:val="20"/>
          </w:rPr>
          <w:delText xml:space="preserve">see </w:delText>
        </w:r>
        <w:r w:rsidR="00120056" w:rsidRPr="00B84C12">
          <w:rPr>
            <w:szCs w:val="20"/>
          </w:rPr>
          <w:delText xml:space="preserve">the “Warnings and precautions” </w:delText>
        </w:r>
        <w:r w:rsidRPr="00B84C12">
          <w:rPr>
            <w:szCs w:val="20"/>
          </w:rPr>
          <w:delText>section).</w:delText>
        </w:r>
      </w:del>
    </w:p>
    <w:p w14:paraId="1E47A74F" w14:textId="77777777" w:rsidR="00BC0E7E" w:rsidRPr="00BC0E7E" w:rsidRDefault="00BC0E7E" w:rsidP="00BC0E7E">
      <w:pPr>
        <w:numPr>
          <w:ilvl w:val="12"/>
          <w:numId w:val="0"/>
        </w:numPr>
        <w:rPr>
          <w:del w:id="12626" w:author="AbbVie19" w:date="2025-04-16T12:22:00Z"/>
        </w:rPr>
      </w:pPr>
    </w:p>
    <w:p w14:paraId="3DEA52B2" w14:textId="77777777" w:rsidR="00BC0E7E" w:rsidRPr="00BC0E7E" w:rsidRDefault="00944B8F" w:rsidP="00BC0E7E">
      <w:pPr>
        <w:rPr>
          <w:del w:id="12627" w:author="AbbVie19" w:date="2025-04-16T12:22:00Z"/>
          <w:b/>
          <w:bCs/>
          <w:i/>
          <w:szCs w:val="22"/>
        </w:rPr>
      </w:pPr>
      <w:del w:id="12628" w:author="AbbVie19" w:date="2025-04-16T12:22:00Z">
        <w:r w:rsidRPr="00BC0E7E">
          <w:rPr>
            <w:b/>
            <w:szCs w:val="20"/>
          </w:rPr>
          <w:delText>Driving and using machines</w:delText>
        </w:r>
      </w:del>
    </w:p>
    <w:p w14:paraId="61735E10" w14:textId="77777777" w:rsidR="00BC0E7E" w:rsidRPr="00BC0E7E" w:rsidRDefault="00BC0E7E" w:rsidP="00BC0E7E">
      <w:pPr>
        <w:rPr>
          <w:del w:id="12629" w:author="AbbVie19" w:date="2025-04-16T12:22:00Z"/>
        </w:rPr>
      </w:pPr>
    </w:p>
    <w:p w14:paraId="21EC7F21" w14:textId="77777777" w:rsidR="00BC0E7E" w:rsidRPr="00BC0E7E" w:rsidRDefault="00944B8F" w:rsidP="00BC0E7E">
      <w:pPr>
        <w:rPr>
          <w:del w:id="12630" w:author="AbbVie19" w:date="2025-04-16T12:22:00Z"/>
        </w:rPr>
      </w:pPr>
      <w:del w:id="12631" w:author="AbbVie19" w:date="2025-04-16T12:22:00Z">
        <w:r w:rsidRPr="00BC0E7E">
          <w:delText>Humira may have a minor influence on your ability to drive, cycle or use machines. Room spinning sensation and vision disturbances may occur after taking Humira.</w:delText>
        </w:r>
      </w:del>
    </w:p>
    <w:p w14:paraId="08D5DD5F" w14:textId="77777777" w:rsidR="00BC0E7E" w:rsidRPr="00BC0E7E" w:rsidRDefault="00BC0E7E" w:rsidP="00BC0E7E">
      <w:pPr>
        <w:rPr>
          <w:del w:id="12632" w:author="AbbVie19" w:date="2025-04-16T12:22:00Z"/>
        </w:rPr>
      </w:pPr>
    </w:p>
    <w:p w14:paraId="0F9A4AD3" w14:textId="77777777" w:rsidR="002D4537" w:rsidRPr="00691AAC" w:rsidRDefault="00944B8F" w:rsidP="002D4537">
      <w:pPr>
        <w:rPr>
          <w:del w:id="12633" w:author="AbbVie19" w:date="2025-04-16T12:22:00Z"/>
          <w:b/>
          <w:szCs w:val="20"/>
        </w:rPr>
      </w:pPr>
      <w:del w:id="12634" w:author="AbbVie19" w:date="2025-04-16T12:22:00Z">
        <w:r w:rsidRPr="00691AAC">
          <w:rPr>
            <w:b/>
            <w:szCs w:val="20"/>
          </w:rPr>
          <w:delText>Humira contains sodium</w:delText>
        </w:r>
      </w:del>
    </w:p>
    <w:p w14:paraId="2D3534CE" w14:textId="77777777" w:rsidR="002D4537" w:rsidRDefault="002D4537" w:rsidP="002D4537">
      <w:pPr>
        <w:autoSpaceDE w:val="0"/>
        <w:autoSpaceDN w:val="0"/>
        <w:adjustRightInd w:val="0"/>
        <w:rPr>
          <w:del w:id="12635" w:author="AbbVie19" w:date="2025-04-16T12:22:00Z"/>
          <w:szCs w:val="22"/>
        </w:rPr>
      </w:pPr>
    </w:p>
    <w:p w14:paraId="6D37867E" w14:textId="77777777" w:rsidR="002D4537" w:rsidRDefault="00944B8F" w:rsidP="002D4537">
      <w:pPr>
        <w:autoSpaceDE w:val="0"/>
        <w:autoSpaceDN w:val="0"/>
        <w:adjustRightInd w:val="0"/>
        <w:rPr>
          <w:del w:id="12636" w:author="AbbVie19" w:date="2025-04-16T12:22:00Z"/>
          <w:szCs w:val="22"/>
        </w:rPr>
      </w:pPr>
      <w:del w:id="12637" w:author="AbbVie19" w:date="2025-04-16T12:22:00Z">
        <w:r w:rsidRPr="004D066E">
          <w:rPr>
            <w:szCs w:val="22"/>
          </w:rPr>
          <w:delText>This medicinal product contains less than 1</w:delText>
        </w:r>
        <w:r w:rsidR="002D05CB">
          <w:rPr>
            <w:szCs w:val="22"/>
          </w:rPr>
          <w:delText> </w:delText>
        </w:r>
        <w:r w:rsidRPr="004D066E">
          <w:rPr>
            <w:szCs w:val="22"/>
          </w:rPr>
          <w:delText>mmol of sodium (23</w:delText>
        </w:r>
        <w:r w:rsidR="002D05CB">
          <w:rPr>
            <w:szCs w:val="22"/>
          </w:rPr>
          <w:delText> </w:delText>
        </w:r>
        <w:r w:rsidRPr="004D066E">
          <w:rPr>
            <w:szCs w:val="22"/>
          </w:rPr>
          <w:delText>mg) per 0.8</w:delText>
        </w:r>
        <w:r w:rsidR="002D05CB">
          <w:rPr>
            <w:szCs w:val="22"/>
          </w:rPr>
          <w:delText> </w:delText>
        </w:r>
        <w:r w:rsidRPr="004D066E">
          <w:rPr>
            <w:szCs w:val="22"/>
          </w:rPr>
          <w:delText>ml dose, i.e. essentially ‘sodium-free’</w:delText>
        </w:r>
        <w:r w:rsidRPr="002A3533">
          <w:rPr>
            <w:szCs w:val="22"/>
          </w:rPr>
          <w:delText>.</w:delText>
        </w:r>
      </w:del>
    </w:p>
    <w:p w14:paraId="062F90CE" w14:textId="77777777" w:rsidR="00BC0E7E" w:rsidRDefault="00BC0E7E" w:rsidP="00BC0E7E">
      <w:pPr>
        <w:rPr>
          <w:del w:id="12638" w:author="AbbVie19" w:date="2025-04-16T12:22:00Z"/>
        </w:rPr>
      </w:pPr>
    </w:p>
    <w:p w14:paraId="69D2DA38" w14:textId="77777777" w:rsidR="002D05CB" w:rsidRPr="00BC0E7E" w:rsidRDefault="002D05CB" w:rsidP="00BC0E7E">
      <w:pPr>
        <w:rPr>
          <w:del w:id="12639" w:author="AbbVie19" w:date="2025-04-16T12:22:00Z"/>
        </w:rPr>
      </w:pPr>
    </w:p>
    <w:p w14:paraId="590A76B3" w14:textId="77777777" w:rsidR="00BC0E7E" w:rsidRPr="00BC0E7E" w:rsidRDefault="00944B8F" w:rsidP="00BC0E7E">
      <w:pPr>
        <w:outlineLvl w:val="0"/>
        <w:rPr>
          <w:del w:id="12640" w:author="AbbVie19" w:date="2025-04-16T12:22:00Z"/>
          <w:rFonts w:ascii="Times New Roman Bold" w:hAnsi="Times New Roman Bold"/>
          <w:b/>
          <w:szCs w:val="20"/>
        </w:rPr>
      </w:pPr>
      <w:del w:id="12641" w:author="AbbVie19" w:date="2025-04-16T12:22:00Z">
        <w:r w:rsidRPr="00BC0E7E">
          <w:rPr>
            <w:b/>
            <w:caps/>
            <w:szCs w:val="20"/>
          </w:rPr>
          <w:delText>3.</w:delText>
        </w:r>
        <w:r w:rsidRPr="00BC0E7E">
          <w:rPr>
            <w:b/>
            <w:caps/>
            <w:szCs w:val="20"/>
          </w:rPr>
          <w:tab/>
        </w:r>
        <w:r w:rsidRPr="00BC0E7E">
          <w:rPr>
            <w:rFonts w:ascii="Times New Roman Bold" w:hAnsi="Times New Roman Bold"/>
            <w:b/>
            <w:szCs w:val="20"/>
          </w:rPr>
          <w:delText>How to use Humira</w:delText>
        </w:r>
      </w:del>
    </w:p>
    <w:p w14:paraId="0178A180" w14:textId="77777777" w:rsidR="00BC0E7E" w:rsidRPr="00BC0E7E" w:rsidRDefault="00BC0E7E" w:rsidP="00BC0E7E">
      <w:pPr>
        <w:rPr>
          <w:del w:id="12642" w:author="AbbVie19" w:date="2025-04-16T12:22:00Z"/>
          <w:szCs w:val="20"/>
        </w:rPr>
      </w:pPr>
    </w:p>
    <w:p w14:paraId="0BD85144" w14:textId="77777777" w:rsidR="00BC0E7E" w:rsidRPr="00BC0E7E" w:rsidRDefault="00944B8F" w:rsidP="00BC0E7E">
      <w:pPr>
        <w:numPr>
          <w:ilvl w:val="12"/>
          <w:numId w:val="0"/>
        </w:numPr>
        <w:tabs>
          <w:tab w:val="clear" w:pos="562"/>
        </w:tabs>
        <w:ind w:right="-2"/>
        <w:rPr>
          <w:del w:id="12643" w:author="AbbVie19" w:date="2025-04-16T12:22:00Z"/>
        </w:rPr>
      </w:pPr>
      <w:del w:id="12644" w:author="AbbVie19" w:date="2025-04-16T12:22:00Z">
        <w:r w:rsidRPr="00BC0E7E">
          <w:delText xml:space="preserve">Always use this medicine exactly as your doctor or pharmacist has told you. Check with your doctor or pharmacist if you are not sure. </w:delText>
        </w:r>
        <w:r w:rsidR="008163BD">
          <w:rPr>
            <w:szCs w:val="22"/>
          </w:rPr>
          <w:delText>Your doctor may prescribe another strength of Humira if you need a different dose.</w:delText>
        </w:r>
      </w:del>
    </w:p>
    <w:p w14:paraId="04B2662A" w14:textId="77777777" w:rsidR="00BC0E7E" w:rsidRPr="00BC0E7E" w:rsidRDefault="00BC0E7E" w:rsidP="00BC0E7E">
      <w:pPr>
        <w:numPr>
          <w:ilvl w:val="12"/>
          <w:numId w:val="0"/>
        </w:numPr>
        <w:tabs>
          <w:tab w:val="clear" w:pos="562"/>
        </w:tabs>
        <w:ind w:right="-2"/>
        <w:rPr>
          <w:del w:id="12645" w:author="AbbVie19" w:date="2025-04-16T12:22:00Z"/>
        </w:rPr>
      </w:pPr>
    </w:p>
    <w:p w14:paraId="4B060AAC" w14:textId="77777777" w:rsidR="00BC0E7E" w:rsidRPr="00BC0E7E" w:rsidRDefault="00944B8F" w:rsidP="00BC0E7E">
      <w:pPr>
        <w:numPr>
          <w:ilvl w:val="12"/>
          <w:numId w:val="0"/>
        </w:numPr>
        <w:ind w:right="-2"/>
        <w:rPr>
          <w:del w:id="12646" w:author="AbbVie19" w:date="2025-04-16T12:22:00Z"/>
          <w:u w:val="single"/>
        </w:rPr>
      </w:pPr>
      <w:del w:id="12647" w:author="AbbVie19" w:date="2025-04-16T12:22:00Z">
        <w:r w:rsidRPr="00BC0E7E">
          <w:rPr>
            <w:u w:val="single"/>
          </w:rPr>
          <w:delText>Adults with rheumatoid arthritis, psoriatic arthritis, ankylosing spondylitis or axial spondyloarthritis without radiographic evidence of ankylosing spondylitis</w:delText>
        </w:r>
      </w:del>
    </w:p>
    <w:p w14:paraId="41D44D87" w14:textId="77777777" w:rsidR="00BC0E7E" w:rsidRPr="00BC0E7E" w:rsidRDefault="00BC0E7E" w:rsidP="00BC0E7E">
      <w:pPr>
        <w:numPr>
          <w:ilvl w:val="12"/>
          <w:numId w:val="0"/>
        </w:numPr>
        <w:ind w:right="-2"/>
        <w:rPr>
          <w:del w:id="12648" w:author="AbbVie19" w:date="2025-04-16T12:22:00Z"/>
        </w:rPr>
      </w:pPr>
    </w:p>
    <w:p w14:paraId="08AEF888" w14:textId="77777777" w:rsidR="00BC0E7E" w:rsidRPr="00BC0E7E" w:rsidRDefault="00944B8F" w:rsidP="00BC0E7E">
      <w:pPr>
        <w:numPr>
          <w:ilvl w:val="12"/>
          <w:numId w:val="0"/>
        </w:numPr>
        <w:tabs>
          <w:tab w:val="clear" w:pos="562"/>
        </w:tabs>
        <w:ind w:right="-2"/>
        <w:rPr>
          <w:del w:id="12649" w:author="AbbVie19" w:date="2025-04-16T12:22:00Z"/>
        </w:rPr>
      </w:pPr>
      <w:del w:id="12650" w:author="AbbVie19" w:date="2025-04-16T12:22:00Z">
        <w:r w:rsidRPr="00BC0E7E">
          <w:delText xml:space="preserve">Humira is injected under the skin (subcutaneous use). The usual dose for adults with rheumatoid arthritis, ankylosing spondylitis, axial spondyloarthritis without radiographic evidence of ankylosing spondylitis and for patients with psoriatic arthritis is 40 mg adalimumab given every other week as a single dose.  </w:delText>
        </w:r>
      </w:del>
    </w:p>
    <w:p w14:paraId="3B812DA2" w14:textId="77777777" w:rsidR="00BC0E7E" w:rsidRPr="00BC0E7E" w:rsidRDefault="00BC0E7E" w:rsidP="00BC0E7E">
      <w:pPr>
        <w:numPr>
          <w:ilvl w:val="12"/>
          <w:numId w:val="0"/>
        </w:numPr>
        <w:ind w:right="-2"/>
        <w:rPr>
          <w:del w:id="12651" w:author="AbbVie19" w:date="2025-04-16T12:22:00Z"/>
        </w:rPr>
      </w:pPr>
    </w:p>
    <w:p w14:paraId="65C06A7A" w14:textId="77777777" w:rsidR="00BC0E7E" w:rsidRPr="00BC0E7E" w:rsidRDefault="00944B8F" w:rsidP="00BC0E7E">
      <w:pPr>
        <w:numPr>
          <w:ilvl w:val="12"/>
          <w:numId w:val="0"/>
        </w:numPr>
        <w:tabs>
          <w:tab w:val="clear" w:pos="562"/>
        </w:tabs>
        <w:ind w:right="-2"/>
        <w:rPr>
          <w:del w:id="12652" w:author="AbbVie19" w:date="2025-04-16T12:22:00Z"/>
        </w:rPr>
      </w:pPr>
      <w:del w:id="12653" w:author="AbbVie19" w:date="2025-04-16T12:22:00Z">
        <w:r w:rsidRPr="00BC0E7E">
          <w:lastRenderedPageBreak/>
          <w:delText xml:space="preserve">In rheumatoid arthritis, methotrexate is continued while using Humira. If your doctor determines that methotrexate is inappropriate, Humira can be given alone. </w:delText>
        </w:r>
      </w:del>
    </w:p>
    <w:p w14:paraId="21C1C73A" w14:textId="77777777" w:rsidR="00BC0E7E" w:rsidRPr="00BC0E7E" w:rsidRDefault="00BC0E7E" w:rsidP="00BC0E7E">
      <w:pPr>
        <w:numPr>
          <w:ilvl w:val="12"/>
          <w:numId w:val="0"/>
        </w:numPr>
        <w:tabs>
          <w:tab w:val="clear" w:pos="562"/>
        </w:tabs>
        <w:ind w:right="-2"/>
        <w:rPr>
          <w:del w:id="12654" w:author="AbbVie19" w:date="2025-04-16T12:22:00Z"/>
        </w:rPr>
      </w:pPr>
    </w:p>
    <w:p w14:paraId="2204CE0B" w14:textId="77777777" w:rsidR="00BC0E7E" w:rsidRPr="00BC0E7E" w:rsidRDefault="00944B8F" w:rsidP="00BC0E7E">
      <w:pPr>
        <w:numPr>
          <w:ilvl w:val="12"/>
          <w:numId w:val="0"/>
        </w:numPr>
        <w:ind w:right="-2"/>
        <w:rPr>
          <w:del w:id="12655" w:author="AbbVie19" w:date="2025-04-16T12:22:00Z"/>
        </w:rPr>
      </w:pPr>
      <w:del w:id="12656" w:author="AbbVie19" w:date="2025-04-16T12:22:00Z">
        <w:r w:rsidRPr="00BC0E7E">
          <w:delText>If you have rheumatoid arthritis and you do not receive methotrexate with your Humira therapy, your doctor may decide to give 40 mg adalimumab every week</w:delText>
        </w:r>
        <w:r w:rsidR="005E2CA5">
          <w:delText xml:space="preserve"> or 80</w:delText>
        </w:r>
        <w:r w:rsidR="005012D6">
          <w:delText> </w:delText>
        </w:r>
        <w:r w:rsidR="005E2CA5">
          <w:delText>mg every other week</w:delText>
        </w:r>
        <w:r w:rsidRPr="00BC0E7E">
          <w:delText>.</w:delText>
        </w:r>
      </w:del>
    </w:p>
    <w:p w14:paraId="2D614AE6" w14:textId="77777777" w:rsidR="00BC0E7E" w:rsidRPr="00BC0E7E" w:rsidRDefault="00BC0E7E" w:rsidP="00BC0E7E">
      <w:pPr>
        <w:numPr>
          <w:ilvl w:val="12"/>
          <w:numId w:val="0"/>
        </w:numPr>
        <w:ind w:right="-2"/>
        <w:rPr>
          <w:del w:id="12657" w:author="AbbVie19" w:date="2025-04-16T12:22:00Z"/>
          <w:u w:val="single"/>
        </w:rPr>
      </w:pPr>
    </w:p>
    <w:p w14:paraId="0883174D" w14:textId="77777777" w:rsidR="00BC0E7E" w:rsidRPr="00BC0E7E" w:rsidRDefault="00944B8F" w:rsidP="00AF385B">
      <w:pPr>
        <w:keepNext/>
        <w:numPr>
          <w:ilvl w:val="12"/>
          <w:numId w:val="0"/>
        </w:numPr>
        <w:ind w:right="-2"/>
        <w:rPr>
          <w:del w:id="12658" w:author="AbbVie19" w:date="2025-04-16T12:22:00Z"/>
          <w:u w:val="single"/>
        </w:rPr>
      </w:pPr>
      <w:del w:id="12659" w:author="AbbVie19" w:date="2025-04-16T12:22:00Z">
        <w:r w:rsidRPr="00BC0E7E">
          <w:rPr>
            <w:u w:val="single"/>
          </w:rPr>
          <w:delText>Children</w:delText>
        </w:r>
        <w:r w:rsidR="008163BD">
          <w:rPr>
            <w:u w:val="single"/>
          </w:rPr>
          <w:delText>, adolescents and adults</w:delText>
        </w:r>
        <w:r w:rsidRPr="00BC0E7E">
          <w:rPr>
            <w:u w:val="single"/>
          </w:rPr>
          <w:delText xml:space="preserve"> with polyarticular juvenile idiopathic arthritis</w:delText>
        </w:r>
      </w:del>
    </w:p>
    <w:p w14:paraId="28218BDD" w14:textId="77777777" w:rsidR="00BC0E7E" w:rsidRPr="00BC0E7E" w:rsidRDefault="00BC0E7E" w:rsidP="00AF385B">
      <w:pPr>
        <w:keepNext/>
        <w:numPr>
          <w:ilvl w:val="12"/>
          <w:numId w:val="0"/>
        </w:numPr>
        <w:ind w:right="-2"/>
        <w:rPr>
          <w:del w:id="12660" w:author="AbbVie19" w:date="2025-04-16T12:22:00Z"/>
        </w:rPr>
      </w:pPr>
    </w:p>
    <w:p w14:paraId="29FF5B2D" w14:textId="77777777" w:rsidR="008163BD" w:rsidRDefault="00944B8F" w:rsidP="00AF385B">
      <w:pPr>
        <w:keepNext/>
        <w:numPr>
          <w:ilvl w:val="12"/>
          <w:numId w:val="0"/>
        </w:numPr>
        <w:tabs>
          <w:tab w:val="clear" w:pos="562"/>
          <w:tab w:val="left" w:pos="720"/>
        </w:tabs>
        <w:rPr>
          <w:del w:id="12661" w:author="AbbVie19" w:date="2025-04-16T12:22:00Z"/>
          <w:i/>
        </w:rPr>
      </w:pPr>
      <w:del w:id="12662" w:author="AbbVie19" w:date="2025-04-16T12:22:00Z">
        <w:r>
          <w:rPr>
            <w:i/>
          </w:rPr>
          <w:delText>Children and adolescents from 2</w:delText>
        </w:r>
        <w:r w:rsidR="002D05CB">
          <w:rPr>
            <w:i/>
          </w:rPr>
          <w:delText> </w:delText>
        </w:r>
        <w:r>
          <w:rPr>
            <w:i/>
          </w:rPr>
          <w:delText>years of age weighing 10</w:delText>
        </w:r>
        <w:r w:rsidR="002D05CB">
          <w:rPr>
            <w:i/>
          </w:rPr>
          <w:delText> </w:delText>
        </w:r>
        <w:r>
          <w:rPr>
            <w:i/>
          </w:rPr>
          <w:delText>kg to less than 30</w:delText>
        </w:r>
        <w:r w:rsidR="002D05CB">
          <w:rPr>
            <w:i/>
          </w:rPr>
          <w:delText> </w:delText>
        </w:r>
        <w:r>
          <w:rPr>
            <w:i/>
          </w:rPr>
          <w:delText>kg</w:delText>
        </w:r>
      </w:del>
    </w:p>
    <w:p w14:paraId="4459A889" w14:textId="77777777" w:rsidR="008163BD" w:rsidRDefault="008163BD" w:rsidP="008163BD">
      <w:pPr>
        <w:keepNext/>
        <w:numPr>
          <w:ilvl w:val="12"/>
          <w:numId w:val="0"/>
        </w:numPr>
        <w:tabs>
          <w:tab w:val="clear" w:pos="562"/>
          <w:tab w:val="left" w:pos="720"/>
        </w:tabs>
        <w:rPr>
          <w:del w:id="12663" w:author="AbbVie19" w:date="2025-04-16T12:22:00Z"/>
          <w:u w:val="single"/>
        </w:rPr>
      </w:pPr>
    </w:p>
    <w:p w14:paraId="3EA36BC8" w14:textId="77777777" w:rsidR="008163BD" w:rsidRDefault="00944B8F" w:rsidP="008163BD">
      <w:pPr>
        <w:keepNext/>
        <w:numPr>
          <w:ilvl w:val="12"/>
          <w:numId w:val="0"/>
        </w:numPr>
        <w:tabs>
          <w:tab w:val="clear" w:pos="562"/>
          <w:tab w:val="left" w:pos="720"/>
        </w:tabs>
        <w:rPr>
          <w:del w:id="12664" w:author="AbbVie19" w:date="2025-04-16T12:22:00Z"/>
          <w:u w:val="single"/>
        </w:rPr>
      </w:pPr>
      <w:del w:id="12665" w:author="AbbVie19" w:date="2025-04-16T12:22:00Z">
        <w:r>
          <w:delText>The recommended dose of Humira is 20</w:delText>
        </w:r>
        <w:r w:rsidR="002D05CB">
          <w:delText> </w:delText>
        </w:r>
        <w:r>
          <w:delText>mg every other week.</w:delText>
        </w:r>
      </w:del>
    </w:p>
    <w:p w14:paraId="1E6AB398" w14:textId="77777777" w:rsidR="008163BD" w:rsidRDefault="008163BD" w:rsidP="008163BD">
      <w:pPr>
        <w:keepNext/>
        <w:numPr>
          <w:ilvl w:val="12"/>
          <w:numId w:val="0"/>
        </w:numPr>
        <w:tabs>
          <w:tab w:val="clear" w:pos="562"/>
          <w:tab w:val="left" w:pos="720"/>
        </w:tabs>
        <w:rPr>
          <w:del w:id="12666" w:author="AbbVie19" w:date="2025-04-16T12:22:00Z"/>
          <w:u w:val="single"/>
        </w:rPr>
      </w:pPr>
    </w:p>
    <w:p w14:paraId="7E78A32F" w14:textId="77777777" w:rsidR="008163BD" w:rsidRDefault="00944B8F" w:rsidP="008163BD">
      <w:pPr>
        <w:keepNext/>
        <w:numPr>
          <w:ilvl w:val="12"/>
          <w:numId w:val="0"/>
        </w:numPr>
        <w:tabs>
          <w:tab w:val="clear" w:pos="562"/>
          <w:tab w:val="left" w:pos="720"/>
        </w:tabs>
        <w:rPr>
          <w:del w:id="12667" w:author="AbbVie19" w:date="2025-04-16T12:22:00Z"/>
          <w:i/>
        </w:rPr>
      </w:pPr>
      <w:del w:id="12668" w:author="AbbVie19" w:date="2025-04-16T12:22:00Z">
        <w:r>
          <w:rPr>
            <w:i/>
          </w:rPr>
          <w:delText>Children, adolescents and adults from 2</w:delText>
        </w:r>
        <w:r w:rsidR="002D05CB">
          <w:rPr>
            <w:i/>
          </w:rPr>
          <w:delText> </w:delText>
        </w:r>
        <w:r>
          <w:rPr>
            <w:i/>
          </w:rPr>
          <w:delText>years of age weighing 30</w:delText>
        </w:r>
        <w:r w:rsidR="002D05CB">
          <w:rPr>
            <w:i/>
          </w:rPr>
          <w:delText> </w:delText>
        </w:r>
        <w:r>
          <w:rPr>
            <w:i/>
          </w:rPr>
          <w:delText>kg or more</w:delText>
        </w:r>
      </w:del>
    </w:p>
    <w:p w14:paraId="75194186" w14:textId="77777777" w:rsidR="008163BD" w:rsidRDefault="008163BD" w:rsidP="008163BD">
      <w:pPr>
        <w:keepNext/>
        <w:numPr>
          <w:ilvl w:val="12"/>
          <w:numId w:val="0"/>
        </w:numPr>
        <w:tabs>
          <w:tab w:val="clear" w:pos="562"/>
          <w:tab w:val="left" w:pos="720"/>
        </w:tabs>
        <w:rPr>
          <w:del w:id="12669" w:author="AbbVie19" w:date="2025-04-16T12:22:00Z"/>
        </w:rPr>
      </w:pPr>
    </w:p>
    <w:p w14:paraId="64F3B0D5" w14:textId="77777777" w:rsidR="008163BD" w:rsidRDefault="00944B8F" w:rsidP="008163BD">
      <w:pPr>
        <w:keepNext/>
        <w:numPr>
          <w:ilvl w:val="12"/>
          <w:numId w:val="0"/>
        </w:numPr>
        <w:tabs>
          <w:tab w:val="clear" w:pos="562"/>
          <w:tab w:val="left" w:pos="720"/>
        </w:tabs>
        <w:rPr>
          <w:del w:id="12670" w:author="AbbVie19" w:date="2025-04-16T12:22:00Z"/>
        </w:rPr>
      </w:pPr>
      <w:del w:id="12671" w:author="AbbVie19" w:date="2025-04-16T12:22:00Z">
        <w:r>
          <w:delText>The recommended dose of Humira is 40</w:delText>
        </w:r>
        <w:r w:rsidR="002D05CB">
          <w:delText> </w:delText>
        </w:r>
        <w:r>
          <w:delText>mg every other week.</w:delText>
        </w:r>
      </w:del>
    </w:p>
    <w:p w14:paraId="73D3BEA8" w14:textId="77777777" w:rsidR="00BC0E7E" w:rsidRPr="00BC0E7E" w:rsidRDefault="00BC0E7E" w:rsidP="00BC0E7E">
      <w:pPr>
        <w:numPr>
          <w:ilvl w:val="12"/>
          <w:numId w:val="0"/>
        </w:numPr>
        <w:ind w:right="-2"/>
        <w:rPr>
          <w:del w:id="12672" w:author="AbbVie19" w:date="2025-04-16T12:22:00Z"/>
        </w:rPr>
      </w:pPr>
    </w:p>
    <w:p w14:paraId="1D4626B9" w14:textId="77777777" w:rsidR="00BC0E7E" w:rsidRPr="00BC0E7E" w:rsidRDefault="00944B8F" w:rsidP="00171601">
      <w:pPr>
        <w:keepNext/>
        <w:numPr>
          <w:ilvl w:val="12"/>
          <w:numId w:val="0"/>
        </w:numPr>
        <w:ind w:right="-2"/>
        <w:rPr>
          <w:del w:id="12673" w:author="AbbVie19" w:date="2025-04-16T12:22:00Z"/>
          <w:u w:val="single"/>
        </w:rPr>
      </w:pPr>
      <w:del w:id="12674" w:author="AbbVie19" w:date="2025-04-16T12:22:00Z">
        <w:r w:rsidRPr="00BC0E7E">
          <w:rPr>
            <w:u w:val="single"/>
          </w:rPr>
          <w:delText>Children</w:delText>
        </w:r>
        <w:r w:rsidR="008163BD">
          <w:rPr>
            <w:u w:val="single"/>
          </w:rPr>
          <w:delText>, adolescents and adults</w:delText>
        </w:r>
        <w:r w:rsidRPr="00BC0E7E">
          <w:rPr>
            <w:u w:val="single"/>
          </w:rPr>
          <w:delText xml:space="preserve"> with enthesitis-related arthritis</w:delText>
        </w:r>
      </w:del>
    </w:p>
    <w:p w14:paraId="27484C11" w14:textId="77777777" w:rsidR="00BC0E7E" w:rsidRPr="00BC0E7E" w:rsidRDefault="00BC0E7E" w:rsidP="00171601">
      <w:pPr>
        <w:keepNext/>
        <w:numPr>
          <w:ilvl w:val="12"/>
          <w:numId w:val="0"/>
        </w:numPr>
        <w:ind w:right="-2"/>
        <w:rPr>
          <w:del w:id="12675" w:author="AbbVie19" w:date="2025-04-16T12:22:00Z"/>
        </w:rPr>
      </w:pPr>
    </w:p>
    <w:p w14:paraId="1B9AFF3F" w14:textId="77777777" w:rsidR="008163BD" w:rsidRDefault="00944B8F" w:rsidP="008163BD">
      <w:pPr>
        <w:numPr>
          <w:ilvl w:val="12"/>
          <w:numId w:val="0"/>
        </w:numPr>
        <w:tabs>
          <w:tab w:val="clear" w:pos="562"/>
          <w:tab w:val="left" w:pos="720"/>
        </w:tabs>
        <w:rPr>
          <w:del w:id="12676" w:author="AbbVie19" w:date="2025-04-16T12:22:00Z"/>
          <w:i/>
        </w:rPr>
      </w:pPr>
      <w:del w:id="12677" w:author="AbbVie19" w:date="2025-04-16T12:22:00Z">
        <w:r>
          <w:rPr>
            <w:i/>
          </w:rPr>
          <w:delText>Children and adolescents from 6</w:delText>
        </w:r>
        <w:r w:rsidR="002D05CB">
          <w:rPr>
            <w:i/>
          </w:rPr>
          <w:delText> </w:delText>
        </w:r>
        <w:r>
          <w:rPr>
            <w:i/>
          </w:rPr>
          <w:delText>years of age weighing 15</w:delText>
        </w:r>
        <w:r w:rsidR="002D05CB">
          <w:rPr>
            <w:i/>
          </w:rPr>
          <w:delText> </w:delText>
        </w:r>
        <w:r>
          <w:rPr>
            <w:i/>
          </w:rPr>
          <w:delText>kg to less than 30</w:delText>
        </w:r>
        <w:r w:rsidR="002D05CB">
          <w:rPr>
            <w:i/>
          </w:rPr>
          <w:delText> </w:delText>
        </w:r>
        <w:r>
          <w:rPr>
            <w:i/>
          </w:rPr>
          <w:delText>kg</w:delText>
        </w:r>
      </w:del>
    </w:p>
    <w:p w14:paraId="243EC9E9" w14:textId="77777777" w:rsidR="008163BD" w:rsidRDefault="008163BD" w:rsidP="008163BD">
      <w:pPr>
        <w:numPr>
          <w:ilvl w:val="12"/>
          <w:numId w:val="0"/>
        </w:numPr>
        <w:tabs>
          <w:tab w:val="clear" w:pos="562"/>
          <w:tab w:val="left" w:pos="720"/>
        </w:tabs>
        <w:rPr>
          <w:del w:id="12678" w:author="AbbVie19" w:date="2025-04-16T12:22:00Z"/>
          <w:u w:val="single"/>
        </w:rPr>
      </w:pPr>
    </w:p>
    <w:p w14:paraId="17D4C810" w14:textId="77777777" w:rsidR="008163BD" w:rsidRDefault="00944B8F" w:rsidP="008163BD">
      <w:pPr>
        <w:numPr>
          <w:ilvl w:val="12"/>
          <w:numId w:val="0"/>
        </w:numPr>
        <w:tabs>
          <w:tab w:val="clear" w:pos="562"/>
          <w:tab w:val="left" w:pos="720"/>
        </w:tabs>
        <w:rPr>
          <w:del w:id="12679" w:author="AbbVie19" w:date="2025-04-16T12:22:00Z"/>
          <w:u w:val="single"/>
        </w:rPr>
      </w:pPr>
      <w:del w:id="12680" w:author="AbbVie19" w:date="2025-04-16T12:22:00Z">
        <w:r>
          <w:delText>The recommended dose of Humira is 20</w:delText>
        </w:r>
        <w:r w:rsidR="002D05CB">
          <w:delText> </w:delText>
        </w:r>
        <w:r>
          <w:delText>mg every other week.</w:delText>
        </w:r>
      </w:del>
    </w:p>
    <w:p w14:paraId="590BCE2D" w14:textId="77777777" w:rsidR="008163BD" w:rsidRDefault="008163BD" w:rsidP="008163BD">
      <w:pPr>
        <w:numPr>
          <w:ilvl w:val="12"/>
          <w:numId w:val="0"/>
        </w:numPr>
        <w:tabs>
          <w:tab w:val="clear" w:pos="562"/>
          <w:tab w:val="left" w:pos="720"/>
        </w:tabs>
        <w:rPr>
          <w:del w:id="12681" w:author="AbbVie19" w:date="2025-04-16T12:22:00Z"/>
          <w:u w:val="single"/>
        </w:rPr>
      </w:pPr>
    </w:p>
    <w:p w14:paraId="34F16F50" w14:textId="77777777" w:rsidR="008163BD" w:rsidRDefault="00944B8F" w:rsidP="008163BD">
      <w:pPr>
        <w:numPr>
          <w:ilvl w:val="12"/>
          <w:numId w:val="0"/>
        </w:numPr>
        <w:tabs>
          <w:tab w:val="clear" w:pos="562"/>
          <w:tab w:val="left" w:pos="720"/>
        </w:tabs>
        <w:rPr>
          <w:del w:id="12682" w:author="AbbVie19" w:date="2025-04-16T12:22:00Z"/>
          <w:i/>
        </w:rPr>
      </w:pPr>
      <w:del w:id="12683" w:author="AbbVie19" w:date="2025-04-16T12:22:00Z">
        <w:r>
          <w:rPr>
            <w:i/>
          </w:rPr>
          <w:delText>Children, adolescents and adults from 6years of age weighing 30</w:delText>
        </w:r>
        <w:r w:rsidR="002D05CB">
          <w:rPr>
            <w:i/>
          </w:rPr>
          <w:delText> </w:delText>
        </w:r>
        <w:r>
          <w:rPr>
            <w:i/>
          </w:rPr>
          <w:delText>kg or more</w:delText>
        </w:r>
      </w:del>
    </w:p>
    <w:p w14:paraId="2D48172C" w14:textId="77777777" w:rsidR="008163BD" w:rsidRDefault="008163BD" w:rsidP="008163BD">
      <w:pPr>
        <w:numPr>
          <w:ilvl w:val="12"/>
          <w:numId w:val="0"/>
        </w:numPr>
        <w:tabs>
          <w:tab w:val="clear" w:pos="562"/>
          <w:tab w:val="left" w:pos="720"/>
        </w:tabs>
        <w:rPr>
          <w:del w:id="12684" w:author="AbbVie19" w:date="2025-04-16T12:22:00Z"/>
        </w:rPr>
      </w:pPr>
    </w:p>
    <w:p w14:paraId="41ADB4EC" w14:textId="77777777" w:rsidR="008163BD" w:rsidRDefault="00944B8F" w:rsidP="008163BD">
      <w:pPr>
        <w:numPr>
          <w:ilvl w:val="12"/>
          <w:numId w:val="0"/>
        </w:numPr>
        <w:tabs>
          <w:tab w:val="clear" w:pos="562"/>
          <w:tab w:val="left" w:pos="720"/>
        </w:tabs>
        <w:rPr>
          <w:del w:id="12685" w:author="AbbVie19" w:date="2025-04-16T12:22:00Z"/>
        </w:rPr>
      </w:pPr>
      <w:del w:id="12686" w:author="AbbVie19" w:date="2025-04-16T12:22:00Z">
        <w:r>
          <w:delText>The recommended dose of Humira is 40</w:delText>
        </w:r>
        <w:r w:rsidR="002D05CB">
          <w:delText> </w:delText>
        </w:r>
        <w:r>
          <w:delText>mg every other week.</w:delText>
        </w:r>
      </w:del>
    </w:p>
    <w:p w14:paraId="40029594" w14:textId="77777777" w:rsidR="00BC0E7E" w:rsidRPr="00BC0E7E" w:rsidRDefault="00BC0E7E" w:rsidP="00BC0E7E">
      <w:pPr>
        <w:numPr>
          <w:ilvl w:val="12"/>
          <w:numId w:val="0"/>
        </w:numPr>
        <w:ind w:right="-2"/>
        <w:rPr>
          <w:del w:id="12687" w:author="AbbVie19" w:date="2025-04-16T12:22:00Z"/>
        </w:rPr>
      </w:pPr>
    </w:p>
    <w:p w14:paraId="3E31326C" w14:textId="77777777" w:rsidR="00BC0E7E" w:rsidRPr="00BC0E7E" w:rsidRDefault="00944B8F" w:rsidP="00BC0E7E">
      <w:pPr>
        <w:numPr>
          <w:ilvl w:val="12"/>
          <w:numId w:val="0"/>
        </w:numPr>
        <w:ind w:right="-2"/>
        <w:rPr>
          <w:del w:id="12688" w:author="AbbVie19" w:date="2025-04-16T12:22:00Z"/>
          <w:u w:val="single"/>
        </w:rPr>
      </w:pPr>
      <w:del w:id="12689" w:author="AbbVie19" w:date="2025-04-16T12:22:00Z">
        <w:r w:rsidRPr="00BC0E7E">
          <w:rPr>
            <w:u w:val="single"/>
          </w:rPr>
          <w:delText>Adults with psoriasis</w:delText>
        </w:r>
      </w:del>
    </w:p>
    <w:p w14:paraId="0068230B" w14:textId="77777777" w:rsidR="00BC0E7E" w:rsidRPr="00BC0E7E" w:rsidRDefault="00BC0E7E" w:rsidP="00BC0E7E">
      <w:pPr>
        <w:numPr>
          <w:ilvl w:val="12"/>
          <w:numId w:val="0"/>
        </w:numPr>
        <w:ind w:right="-2"/>
        <w:rPr>
          <w:del w:id="12690" w:author="AbbVie19" w:date="2025-04-16T12:22:00Z"/>
        </w:rPr>
      </w:pPr>
    </w:p>
    <w:p w14:paraId="36150D40" w14:textId="77777777" w:rsidR="00BC0E7E" w:rsidRPr="00BC0E7E" w:rsidRDefault="00944B8F" w:rsidP="00BC0E7E">
      <w:pPr>
        <w:numPr>
          <w:ilvl w:val="12"/>
          <w:numId w:val="0"/>
        </w:numPr>
        <w:ind w:right="-2"/>
        <w:rPr>
          <w:del w:id="12691" w:author="AbbVie19" w:date="2025-04-16T12:22:00Z"/>
        </w:rPr>
      </w:pPr>
      <w:del w:id="12692" w:author="AbbVie19" w:date="2025-04-16T12:22:00Z">
        <w:r w:rsidRPr="00BC0E7E">
          <w:delText xml:space="preserve">The usual dose for adults with psoriasis is an initial dose </w:delText>
        </w:r>
        <w:r w:rsidR="005012D6">
          <w:delText>of 80 </w:delText>
        </w:r>
        <w:r w:rsidRPr="00BC0E7E">
          <w:delText>mg</w:delText>
        </w:r>
        <w:r w:rsidR="008163BD">
          <w:delText xml:space="preserve"> (as two </w:delText>
        </w:r>
        <w:r w:rsidR="00E95BF2">
          <w:delText>40</w:delText>
        </w:r>
        <w:r w:rsidR="005012D6">
          <w:delText> </w:delText>
        </w:r>
        <w:r w:rsidR="00E95BF2">
          <w:delText xml:space="preserve">mg </w:delText>
        </w:r>
        <w:r w:rsidR="008163BD">
          <w:delText>injections in one day)</w:delText>
        </w:r>
        <w:r w:rsidR="005012D6">
          <w:delText>, followed by 40 </w:delText>
        </w:r>
        <w:r w:rsidRPr="00BC0E7E">
          <w:delText>mg given every other week starting one week after the initial dose. You should continue to inject Humira for as long as your doctor has told you. Depending on your response, your doctor may increase the dos</w:delText>
        </w:r>
        <w:r w:rsidR="00E95BF2">
          <w:delText>ag</w:delText>
        </w:r>
        <w:r w:rsidRPr="00BC0E7E">
          <w:delText>e</w:delText>
        </w:r>
        <w:r w:rsidR="005012D6">
          <w:delText xml:space="preserve"> to 40 </w:delText>
        </w:r>
        <w:r w:rsidRPr="00BC0E7E">
          <w:delText>mg every week</w:delText>
        </w:r>
        <w:r w:rsidR="00E95BF2">
          <w:delText xml:space="preserve"> or 80</w:delText>
        </w:r>
        <w:r w:rsidR="005012D6">
          <w:delText> </w:delText>
        </w:r>
        <w:r w:rsidR="00E95BF2">
          <w:delText>mg every other week</w:delText>
        </w:r>
        <w:r w:rsidRPr="00BC0E7E">
          <w:delText>.</w:delText>
        </w:r>
      </w:del>
    </w:p>
    <w:p w14:paraId="60AA2931" w14:textId="77777777" w:rsidR="00BC0E7E" w:rsidRPr="00BC0E7E" w:rsidRDefault="00BC0E7E" w:rsidP="00BC0E7E">
      <w:pPr>
        <w:numPr>
          <w:ilvl w:val="12"/>
          <w:numId w:val="0"/>
        </w:numPr>
        <w:ind w:right="-2"/>
        <w:rPr>
          <w:del w:id="12693" w:author="AbbVie19" w:date="2025-04-16T12:22:00Z"/>
        </w:rPr>
      </w:pPr>
    </w:p>
    <w:p w14:paraId="7AFB15F6" w14:textId="77777777" w:rsidR="00BC0E7E" w:rsidRPr="00BC0E7E" w:rsidRDefault="00944B8F" w:rsidP="00BC0E7E">
      <w:pPr>
        <w:keepNext/>
        <w:ind w:right="34"/>
        <w:rPr>
          <w:del w:id="12694" w:author="AbbVie19" w:date="2025-04-16T12:22:00Z"/>
          <w:u w:val="single"/>
        </w:rPr>
      </w:pPr>
      <w:del w:id="12695" w:author="AbbVie19" w:date="2025-04-16T12:22:00Z">
        <w:r w:rsidRPr="00BC0E7E">
          <w:rPr>
            <w:u w:val="single"/>
          </w:rPr>
          <w:delText xml:space="preserve">Children </w:delText>
        </w:r>
        <w:r w:rsidR="008163BD">
          <w:rPr>
            <w:u w:val="single"/>
          </w:rPr>
          <w:delText>and</w:delText>
        </w:r>
        <w:r w:rsidR="008163BD" w:rsidRPr="00BC0E7E">
          <w:rPr>
            <w:u w:val="single"/>
          </w:rPr>
          <w:delText xml:space="preserve"> </w:delText>
        </w:r>
        <w:r w:rsidRPr="00BC0E7E">
          <w:rPr>
            <w:u w:val="single"/>
          </w:rPr>
          <w:delText>adolescents with plaque psoriasis</w:delText>
        </w:r>
      </w:del>
    </w:p>
    <w:p w14:paraId="0D86846B" w14:textId="77777777" w:rsidR="00BC0E7E" w:rsidRPr="00BC0E7E" w:rsidRDefault="00BC0E7E" w:rsidP="00BC0E7E">
      <w:pPr>
        <w:keepNext/>
        <w:ind w:right="34"/>
        <w:rPr>
          <w:del w:id="12696" w:author="AbbVie19" w:date="2025-04-16T12:22:00Z"/>
          <w:u w:val="single"/>
        </w:rPr>
      </w:pPr>
    </w:p>
    <w:p w14:paraId="7C92AEB2" w14:textId="77777777" w:rsidR="008163BD" w:rsidRDefault="00944B8F" w:rsidP="008163BD">
      <w:pPr>
        <w:numPr>
          <w:ilvl w:val="12"/>
          <w:numId w:val="0"/>
        </w:numPr>
        <w:tabs>
          <w:tab w:val="clear" w:pos="562"/>
          <w:tab w:val="left" w:pos="1590"/>
        </w:tabs>
        <w:ind w:right="-2"/>
        <w:rPr>
          <w:del w:id="12697" w:author="AbbVie19" w:date="2025-04-16T12:22:00Z"/>
          <w:u w:val="single"/>
        </w:rPr>
      </w:pPr>
      <w:del w:id="12698" w:author="AbbVie19" w:date="2025-04-16T12:22:00Z">
        <w:r>
          <w:rPr>
            <w:i/>
          </w:rPr>
          <w:delText>Children and adolescents from 4 to 17</w:delText>
        </w:r>
        <w:r w:rsidR="002D05CB">
          <w:rPr>
            <w:i/>
          </w:rPr>
          <w:delText> </w:delText>
        </w:r>
        <w:r>
          <w:rPr>
            <w:i/>
          </w:rPr>
          <w:delText>years of age weighing 15</w:delText>
        </w:r>
        <w:r w:rsidR="002D05CB">
          <w:rPr>
            <w:i/>
          </w:rPr>
          <w:delText> </w:delText>
        </w:r>
        <w:r>
          <w:rPr>
            <w:i/>
          </w:rPr>
          <w:delText>kg to less than 30</w:delText>
        </w:r>
        <w:r w:rsidR="002D05CB">
          <w:rPr>
            <w:i/>
          </w:rPr>
          <w:delText> </w:delText>
        </w:r>
        <w:r>
          <w:rPr>
            <w:i/>
          </w:rPr>
          <w:delText>kg</w:delText>
        </w:r>
      </w:del>
    </w:p>
    <w:p w14:paraId="2244DADA" w14:textId="77777777" w:rsidR="008163BD" w:rsidRDefault="008163BD" w:rsidP="008163BD">
      <w:pPr>
        <w:numPr>
          <w:ilvl w:val="12"/>
          <w:numId w:val="0"/>
        </w:numPr>
        <w:tabs>
          <w:tab w:val="clear" w:pos="562"/>
          <w:tab w:val="left" w:pos="1590"/>
        </w:tabs>
        <w:ind w:right="-2"/>
        <w:rPr>
          <w:del w:id="12699" w:author="AbbVie19" w:date="2025-04-16T12:22:00Z"/>
        </w:rPr>
      </w:pPr>
    </w:p>
    <w:p w14:paraId="468C9E28" w14:textId="77777777" w:rsidR="008163BD" w:rsidRDefault="00944B8F" w:rsidP="008163BD">
      <w:pPr>
        <w:numPr>
          <w:ilvl w:val="12"/>
          <w:numId w:val="0"/>
        </w:numPr>
        <w:tabs>
          <w:tab w:val="clear" w:pos="562"/>
          <w:tab w:val="left" w:pos="720"/>
        </w:tabs>
        <w:ind w:right="-2"/>
        <w:rPr>
          <w:del w:id="12700" w:author="AbbVie19" w:date="2025-04-16T12:22:00Z"/>
        </w:rPr>
      </w:pPr>
      <w:del w:id="12701" w:author="AbbVie19" w:date="2025-04-16T12:22:00Z">
        <w:r>
          <w:delText>The recommended dose of Humira is an initial dose of 20</w:delText>
        </w:r>
        <w:r w:rsidR="002D05CB">
          <w:delText> </w:delText>
        </w:r>
        <w:r>
          <w:delText>mg, followed by 20</w:delText>
        </w:r>
        <w:r w:rsidR="002D05CB">
          <w:delText> </w:delText>
        </w:r>
        <w:r>
          <w:delText>mg one week later. Thereafter, the usual dose is 20</w:delText>
        </w:r>
        <w:r w:rsidR="002D05CB">
          <w:delText> </w:delText>
        </w:r>
        <w:r>
          <w:delText>mg every other week.</w:delText>
        </w:r>
      </w:del>
    </w:p>
    <w:p w14:paraId="1B9C50E1" w14:textId="77777777" w:rsidR="008163BD" w:rsidRDefault="008163BD" w:rsidP="008163BD">
      <w:pPr>
        <w:numPr>
          <w:ilvl w:val="12"/>
          <w:numId w:val="0"/>
        </w:numPr>
        <w:tabs>
          <w:tab w:val="clear" w:pos="562"/>
          <w:tab w:val="left" w:pos="720"/>
        </w:tabs>
        <w:ind w:right="-2"/>
        <w:rPr>
          <w:del w:id="12702" w:author="AbbVie19" w:date="2025-04-16T12:22:00Z"/>
        </w:rPr>
      </w:pPr>
    </w:p>
    <w:p w14:paraId="56D7943D" w14:textId="77777777" w:rsidR="008163BD" w:rsidRDefault="00944B8F" w:rsidP="008163BD">
      <w:pPr>
        <w:numPr>
          <w:ilvl w:val="12"/>
          <w:numId w:val="0"/>
        </w:numPr>
        <w:tabs>
          <w:tab w:val="clear" w:pos="562"/>
          <w:tab w:val="left" w:pos="720"/>
        </w:tabs>
        <w:ind w:right="-2"/>
        <w:rPr>
          <w:del w:id="12703" w:author="AbbVie19" w:date="2025-04-16T12:22:00Z"/>
          <w:i/>
        </w:rPr>
      </w:pPr>
      <w:del w:id="12704" w:author="AbbVie19" w:date="2025-04-16T12:22:00Z">
        <w:r>
          <w:rPr>
            <w:i/>
          </w:rPr>
          <w:delText>Children and adolescents from 4 to 17</w:delText>
        </w:r>
        <w:r w:rsidR="002D05CB">
          <w:rPr>
            <w:i/>
          </w:rPr>
          <w:delText> </w:delText>
        </w:r>
        <w:r>
          <w:rPr>
            <w:i/>
          </w:rPr>
          <w:delText>years of age weighing 30</w:delText>
        </w:r>
        <w:r w:rsidR="002D05CB">
          <w:rPr>
            <w:i/>
          </w:rPr>
          <w:delText> </w:delText>
        </w:r>
        <w:r>
          <w:rPr>
            <w:i/>
          </w:rPr>
          <w:delText>kg or more</w:delText>
        </w:r>
      </w:del>
    </w:p>
    <w:p w14:paraId="275ED376" w14:textId="77777777" w:rsidR="008163BD" w:rsidRDefault="008163BD" w:rsidP="008163BD">
      <w:pPr>
        <w:numPr>
          <w:ilvl w:val="12"/>
          <w:numId w:val="0"/>
        </w:numPr>
        <w:tabs>
          <w:tab w:val="clear" w:pos="562"/>
          <w:tab w:val="left" w:pos="720"/>
        </w:tabs>
        <w:ind w:right="-2"/>
        <w:rPr>
          <w:del w:id="12705" w:author="AbbVie19" w:date="2025-04-16T12:22:00Z"/>
        </w:rPr>
      </w:pPr>
    </w:p>
    <w:p w14:paraId="7BE30D89" w14:textId="77777777" w:rsidR="008163BD" w:rsidRDefault="00944B8F" w:rsidP="008163BD">
      <w:pPr>
        <w:numPr>
          <w:ilvl w:val="12"/>
          <w:numId w:val="0"/>
        </w:numPr>
        <w:tabs>
          <w:tab w:val="clear" w:pos="562"/>
          <w:tab w:val="left" w:pos="720"/>
        </w:tabs>
        <w:ind w:right="-2"/>
        <w:rPr>
          <w:del w:id="12706" w:author="AbbVie19" w:date="2025-04-16T12:22:00Z"/>
        </w:rPr>
      </w:pPr>
      <w:del w:id="12707" w:author="AbbVie19" w:date="2025-04-16T12:22:00Z">
        <w:r>
          <w:delText>The recommended dose of Humira is an initial dose of 40</w:delText>
        </w:r>
        <w:r w:rsidR="002D05CB">
          <w:delText> </w:delText>
        </w:r>
        <w:r>
          <w:delText>mg, followed by 40</w:delText>
        </w:r>
        <w:r w:rsidR="002D05CB">
          <w:delText> </w:delText>
        </w:r>
        <w:r>
          <w:delText>mg one week later. Thereafter, the usual dose is 40</w:delText>
        </w:r>
        <w:r w:rsidR="002D05CB">
          <w:delText> </w:delText>
        </w:r>
        <w:r>
          <w:delText>mg every other week.</w:delText>
        </w:r>
      </w:del>
    </w:p>
    <w:p w14:paraId="508B3F66" w14:textId="77777777" w:rsidR="00BC0E7E" w:rsidRPr="00BC0E7E" w:rsidRDefault="00BC0E7E" w:rsidP="00BC0E7E">
      <w:pPr>
        <w:numPr>
          <w:ilvl w:val="12"/>
          <w:numId w:val="0"/>
        </w:numPr>
        <w:ind w:right="-2"/>
        <w:rPr>
          <w:del w:id="12708" w:author="AbbVie19" w:date="2025-04-16T12:22:00Z"/>
        </w:rPr>
      </w:pPr>
    </w:p>
    <w:p w14:paraId="090C0500" w14:textId="77777777" w:rsidR="00BC0E7E" w:rsidRPr="00BC0E7E" w:rsidRDefault="00944B8F" w:rsidP="00BC0E7E">
      <w:pPr>
        <w:numPr>
          <w:ilvl w:val="12"/>
          <w:numId w:val="0"/>
        </w:numPr>
        <w:tabs>
          <w:tab w:val="clear" w:pos="562"/>
        </w:tabs>
        <w:ind w:right="-2"/>
        <w:rPr>
          <w:del w:id="12709" w:author="AbbVie19" w:date="2025-04-16T12:22:00Z"/>
          <w:szCs w:val="22"/>
          <w:u w:val="single"/>
        </w:rPr>
      </w:pPr>
      <w:del w:id="12710" w:author="AbbVie19" w:date="2025-04-16T12:22:00Z">
        <w:r w:rsidRPr="00BC0E7E">
          <w:rPr>
            <w:szCs w:val="22"/>
            <w:u w:val="single"/>
          </w:rPr>
          <w:delText>Adults with hidradenitis suppurativa</w:delText>
        </w:r>
      </w:del>
    </w:p>
    <w:p w14:paraId="2D28756B" w14:textId="77777777" w:rsidR="00BC0E7E" w:rsidRPr="00BC0E7E" w:rsidRDefault="00BC0E7E" w:rsidP="00BC0E7E">
      <w:pPr>
        <w:numPr>
          <w:ilvl w:val="12"/>
          <w:numId w:val="0"/>
        </w:numPr>
        <w:tabs>
          <w:tab w:val="clear" w:pos="562"/>
        </w:tabs>
        <w:ind w:right="-2"/>
        <w:rPr>
          <w:del w:id="12711" w:author="AbbVie19" w:date="2025-04-16T12:22:00Z"/>
          <w:szCs w:val="22"/>
        </w:rPr>
      </w:pPr>
    </w:p>
    <w:p w14:paraId="042D47FE" w14:textId="77777777" w:rsidR="00BC0E7E" w:rsidRPr="00BC0E7E" w:rsidRDefault="00944B8F" w:rsidP="00BC0E7E">
      <w:pPr>
        <w:tabs>
          <w:tab w:val="clear" w:pos="562"/>
        </w:tabs>
        <w:suppressAutoHyphens w:val="0"/>
        <w:rPr>
          <w:del w:id="12712" w:author="AbbVie19" w:date="2025-04-16T12:22:00Z"/>
          <w:szCs w:val="22"/>
        </w:rPr>
      </w:pPr>
      <w:del w:id="12713" w:author="AbbVie19" w:date="2025-04-16T12:22:00Z">
        <w:r w:rsidRPr="00BC0E7E">
          <w:rPr>
            <w:szCs w:val="22"/>
          </w:rPr>
          <w:delText xml:space="preserve">The usual dose regimen for hidradenitis suppurativa is an initial dose of 160 mg (as </w:delText>
        </w:r>
        <w:r w:rsidR="008163BD">
          <w:rPr>
            <w:szCs w:val="22"/>
          </w:rPr>
          <w:delText>four</w:delText>
        </w:r>
        <w:r w:rsidR="002F0B58">
          <w:rPr>
            <w:szCs w:val="22"/>
          </w:rPr>
          <w:delText xml:space="preserve"> 40</w:delText>
        </w:r>
        <w:r w:rsidR="005012D6">
          <w:rPr>
            <w:szCs w:val="22"/>
          </w:rPr>
          <w:delText> </w:delText>
        </w:r>
        <w:r w:rsidR="002F0B58">
          <w:rPr>
            <w:szCs w:val="22"/>
          </w:rPr>
          <w:delText>mg</w:delText>
        </w:r>
        <w:r w:rsidRPr="00BC0E7E">
          <w:rPr>
            <w:szCs w:val="22"/>
          </w:rPr>
          <w:delText xml:space="preserve"> injections in one day or </w:delText>
        </w:r>
        <w:r w:rsidR="008163BD">
          <w:rPr>
            <w:szCs w:val="22"/>
          </w:rPr>
          <w:delText>two</w:delText>
        </w:r>
        <w:r w:rsidRPr="00BC0E7E">
          <w:rPr>
            <w:szCs w:val="22"/>
          </w:rPr>
          <w:delText xml:space="preserve"> </w:delText>
        </w:r>
        <w:r w:rsidR="002F0B58">
          <w:rPr>
            <w:szCs w:val="22"/>
          </w:rPr>
          <w:delText>40</w:delText>
        </w:r>
        <w:r w:rsidR="005012D6">
          <w:rPr>
            <w:szCs w:val="22"/>
          </w:rPr>
          <w:delText> </w:delText>
        </w:r>
        <w:r w:rsidR="002F0B58">
          <w:rPr>
            <w:szCs w:val="22"/>
          </w:rPr>
          <w:delText xml:space="preserve">mg </w:delText>
        </w:r>
        <w:r w:rsidRPr="00BC0E7E">
          <w:rPr>
            <w:szCs w:val="22"/>
          </w:rPr>
          <w:delText xml:space="preserve">injections per day for two consecutive days), followed by an 80 mg dose (as </w:delText>
        </w:r>
        <w:r w:rsidR="00AC7D89">
          <w:rPr>
            <w:szCs w:val="22"/>
          </w:rPr>
          <w:delText>two</w:delText>
        </w:r>
        <w:r w:rsidRPr="00BC0E7E">
          <w:rPr>
            <w:szCs w:val="22"/>
          </w:rPr>
          <w:delText xml:space="preserve"> </w:delText>
        </w:r>
        <w:r w:rsidR="002F0B58">
          <w:rPr>
            <w:szCs w:val="22"/>
          </w:rPr>
          <w:delText>40</w:delText>
        </w:r>
        <w:r w:rsidR="005012D6">
          <w:rPr>
            <w:szCs w:val="22"/>
          </w:rPr>
          <w:delText> </w:delText>
        </w:r>
        <w:r w:rsidR="002F0B58">
          <w:rPr>
            <w:szCs w:val="22"/>
          </w:rPr>
          <w:delText xml:space="preserve">mg </w:delText>
        </w:r>
        <w:r w:rsidRPr="00BC0E7E">
          <w:rPr>
            <w:szCs w:val="22"/>
          </w:rPr>
          <w:delText xml:space="preserve">injections </w:delText>
        </w:r>
        <w:r w:rsidR="00AC7D89">
          <w:rPr>
            <w:szCs w:val="22"/>
          </w:rPr>
          <w:delText>in one</w:delText>
        </w:r>
        <w:r w:rsidRPr="00BC0E7E">
          <w:rPr>
            <w:szCs w:val="22"/>
          </w:rPr>
          <w:delText xml:space="preserve"> day) two weeks later. After two further weeks, continue with a dos</w:delText>
        </w:r>
        <w:r w:rsidR="002F0B58">
          <w:rPr>
            <w:szCs w:val="22"/>
          </w:rPr>
          <w:delText>ag</w:delText>
        </w:r>
        <w:r w:rsidR="005012D6">
          <w:rPr>
            <w:szCs w:val="22"/>
          </w:rPr>
          <w:delText>e of 40 </w:delText>
        </w:r>
        <w:r w:rsidRPr="00BC0E7E">
          <w:rPr>
            <w:szCs w:val="22"/>
          </w:rPr>
          <w:delText>mg every week</w:delText>
        </w:r>
        <w:r w:rsidR="002F0B58">
          <w:rPr>
            <w:szCs w:val="22"/>
          </w:rPr>
          <w:delText xml:space="preserve"> or 80</w:delText>
        </w:r>
        <w:r w:rsidR="005012D6">
          <w:rPr>
            <w:szCs w:val="22"/>
          </w:rPr>
          <w:delText> </w:delText>
        </w:r>
        <w:r w:rsidR="002F0B58">
          <w:rPr>
            <w:szCs w:val="22"/>
          </w:rPr>
          <w:delText>mg every other week</w:delText>
        </w:r>
        <w:r w:rsidR="009641E8">
          <w:rPr>
            <w:szCs w:val="22"/>
          </w:rPr>
          <w:delText>,</w:delText>
        </w:r>
        <w:r w:rsidR="006F23F6">
          <w:rPr>
            <w:szCs w:val="22"/>
          </w:rPr>
          <w:delText xml:space="preserve"> as prescribed by your doctor</w:delText>
        </w:r>
        <w:r w:rsidRPr="00BC0E7E">
          <w:rPr>
            <w:szCs w:val="22"/>
          </w:rPr>
          <w:delText>. It is recommended that you use an antiseptic wash daily on the affected areas.</w:delText>
        </w:r>
      </w:del>
    </w:p>
    <w:p w14:paraId="582F7EA3" w14:textId="77777777" w:rsidR="00BC0E7E" w:rsidRPr="00BC0E7E" w:rsidRDefault="00BC0E7E" w:rsidP="00BC0E7E">
      <w:pPr>
        <w:tabs>
          <w:tab w:val="clear" w:pos="562"/>
        </w:tabs>
        <w:suppressAutoHyphens w:val="0"/>
        <w:rPr>
          <w:del w:id="12714" w:author="AbbVie19" w:date="2025-04-16T12:22:00Z"/>
          <w:szCs w:val="22"/>
        </w:rPr>
      </w:pPr>
    </w:p>
    <w:p w14:paraId="311A293A" w14:textId="77777777" w:rsidR="00BC0E7E" w:rsidRPr="00BC0E7E" w:rsidRDefault="00944B8F" w:rsidP="00BC0E7E">
      <w:pPr>
        <w:numPr>
          <w:ilvl w:val="12"/>
          <w:numId w:val="0"/>
        </w:numPr>
        <w:tabs>
          <w:tab w:val="clear" w:pos="562"/>
        </w:tabs>
        <w:ind w:right="-2"/>
        <w:rPr>
          <w:del w:id="12715" w:author="AbbVie19" w:date="2025-04-16T12:22:00Z"/>
          <w:u w:val="single"/>
        </w:rPr>
      </w:pPr>
      <w:del w:id="12716" w:author="AbbVie19" w:date="2025-04-16T12:22:00Z">
        <w:r w:rsidRPr="00BC0E7E">
          <w:rPr>
            <w:u w:val="single"/>
          </w:rPr>
          <w:lastRenderedPageBreak/>
          <w:delText xml:space="preserve">Adolescents with hidradenitis suppurativa from 12 </w:delText>
        </w:r>
        <w:r w:rsidR="00AC7D89">
          <w:rPr>
            <w:u w:val="single"/>
          </w:rPr>
          <w:delText>to 17</w:delText>
        </w:r>
        <w:r w:rsidR="002D05CB">
          <w:rPr>
            <w:u w:val="single"/>
          </w:rPr>
          <w:delText> </w:delText>
        </w:r>
        <w:r w:rsidR="005012D6">
          <w:rPr>
            <w:u w:val="single"/>
          </w:rPr>
          <w:delText>years of age weighing 30 </w:delText>
        </w:r>
        <w:r w:rsidRPr="00BC0E7E">
          <w:rPr>
            <w:u w:val="single"/>
          </w:rPr>
          <w:delText>kg</w:delText>
        </w:r>
        <w:r w:rsidR="00AC7D89">
          <w:rPr>
            <w:u w:val="single"/>
          </w:rPr>
          <w:delText xml:space="preserve"> or more</w:delText>
        </w:r>
      </w:del>
    </w:p>
    <w:p w14:paraId="53AC7321" w14:textId="77777777" w:rsidR="00BC0E7E" w:rsidRPr="00BC0E7E" w:rsidRDefault="00BC0E7E" w:rsidP="00BC0E7E">
      <w:pPr>
        <w:numPr>
          <w:ilvl w:val="12"/>
          <w:numId w:val="0"/>
        </w:numPr>
        <w:tabs>
          <w:tab w:val="clear" w:pos="562"/>
        </w:tabs>
        <w:ind w:right="-2"/>
        <w:rPr>
          <w:del w:id="12717" w:author="AbbVie19" w:date="2025-04-16T12:22:00Z"/>
        </w:rPr>
      </w:pPr>
    </w:p>
    <w:p w14:paraId="19C9A9C2" w14:textId="77777777" w:rsidR="00BC0E7E" w:rsidRPr="00BC0E7E" w:rsidRDefault="00944B8F" w:rsidP="00BC0E7E">
      <w:pPr>
        <w:numPr>
          <w:ilvl w:val="12"/>
          <w:numId w:val="0"/>
        </w:numPr>
        <w:tabs>
          <w:tab w:val="clear" w:pos="562"/>
        </w:tabs>
        <w:ind w:right="-2"/>
        <w:rPr>
          <w:del w:id="12718" w:author="AbbVie19" w:date="2025-04-16T12:22:00Z"/>
        </w:rPr>
      </w:pPr>
      <w:del w:id="12719" w:author="AbbVie19" w:date="2025-04-16T12:22:00Z">
        <w:r w:rsidRPr="00BC0E7E">
          <w:delText xml:space="preserve">The recommended dose of </w:delText>
        </w:r>
        <w:r w:rsidR="005012D6">
          <w:delText>Humira is an initial dose of 80 </w:delText>
        </w:r>
        <w:r w:rsidRPr="00BC0E7E">
          <w:delText xml:space="preserve">mg </w:delText>
        </w:r>
        <w:r w:rsidRPr="00BC0E7E">
          <w:rPr>
            <w:szCs w:val="22"/>
          </w:rPr>
          <w:delText>(</w:delText>
        </w:r>
        <w:r w:rsidR="00AC7D89">
          <w:rPr>
            <w:szCs w:val="22"/>
          </w:rPr>
          <w:delText xml:space="preserve">as </w:delText>
        </w:r>
        <w:r w:rsidRPr="00BC0E7E">
          <w:rPr>
            <w:szCs w:val="22"/>
          </w:rPr>
          <w:delText xml:space="preserve">two </w:delText>
        </w:r>
        <w:r w:rsidR="002F0B58">
          <w:rPr>
            <w:szCs w:val="22"/>
          </w:rPr>
          <w:delText>40</w:delText>
        </w:r>
        <w:r w:rsidR="000916F3">
          <w:rPr>
            <w:szCs w:val="22"/>
          </w:rPr>
          <w:delText> </w:delText>
        </w:r>
        <w:r w:rsidR="002F0B58">
          <w:rPr>
            <w:szCs w:val="22"/>
          </w:rPr>
          <w:delText xml:space="preserve">mg </w:delText>
        </w:r>
        <w:r w:rsidRPr="00BC0E7E">
          <w:rPr>
            <w:szCs w:val="22"/>
          </w:rPr>
          <w:delText>injections in one day)</w:delText>
        </w:r>
        <w:r w:rsidR="005012D6">
          <w:delText>, followed by 40 </w:delText>
        </w:r>
        <w:r w:rsidRPr="00BC0E7E">
          <w:delText>mg every other week starting one week later. If you have an inadequate response</w:delText>
        </w:r>
        <w:r w:rsidR="002F0B58">
          <w:delText xml:space="preserve"> to Humira 40</w:delText>
        </w:r>
        <w:r w:rsidR="000916F3">
          <w:delText> </w:delText>
        </w:r>
        <w:r w:rsidR="002F0B58">
          <w:delText>mg every other week</w:delText>
        </w:r>
        <w:r w:rsidRPr="00BC0E7E">
          <w:delText>, your doctor may increase the dos</w:delText>
        </w:r>
        <w:r w:rsidR="002F0B58">
          <w:delText>ag</w:delText>
        </w:r>
        <w:r w:rsidRPr="00BC0E7E">
          <w:delText>e</w:delText>
        </w:r>
        <w:r w:rsidR="005012D6">
          <w:delText xml:space="preserve"> to 40 </w:delText>
        </w:r>
        <w:r w:rsidRPr="00BC0E7E">
          <w:delText>mg every week</w:delText>
        </w:r>
        <w:r w:rsidR="002F0B58">
          <w:delText xml:space="preserve"> or 80</w:delText>
        </w:r>
        <w:r w:rsidR="000916F3">
          <w:delText> </w:delText>
        </w:r>
        <w:r w:rsidR="002F0B58">
          <w:delText>mg every other week</w:delText>
        </w:r>
        <w:r w:rsidRPr="00BC0E7E">
          <w:delText>.</w:delText>
        </w:r>
      </w:del>
    </w:p>
    <w:p w14:paraId="6882391D" w14:textId="77777777" w:rsidR="00BC0E7E" w:rsidRPr="00BC0E7E" w:rsidRDefault="00BC0E7E" w:rsidP="00BC0E7E">
      <w:pPr>
        <w:numPr>
          <w:ilvl w:val="12"/>
          <w:numId w:val="0"/>
        </w:numPr>
        <w:tabs>
          <w:tab w:val="clear" w:pos="562"/>
        </w:tabs>
        <w:ind w:right="-2"/>
        <w:rPr>
          <w:del w:id="12720" w:author="AbbVie19" w:date="2025-04-16T12:22:00Z"/>
        </w:rPr>
      </w:pPr>
    </w:p>
    <w:p w14:paraId="66D5EBDE" w14:textId="77777777" w:rsidR="00BC0E7E" w:rsidRPr="00BC0E7E" w:rsidRDefault="00944B8F" w:rsidP="00BC0E7E">
      <w:pPr>
        <w:numPr>
          <w:ilvl w:val="12"/>
          <w:numId w:val="0"/>
        </w:numPr>
        <w:tabs>
          <w:tab w:val="clear" w:pos="562"/>
        </w:tabs>
        <w:ind w:right="-2"/>
        <w:rPr>
          <w:del w:id="12721" w:author="AbbVie19" w:date="2025-04-16T12:22:00Z"/>
        </w:rPr>
      </w:pPr>
      <w:del w:id="12722" w:author="AbbVie19" w:date="2025-04-16T12:22:00Z">
        <w:r w:rsidRPr="00BC0E7E">
          <w:delText>It is recommended that you use an antiseptic wash daily on the affected areas.</w:delText>
        </w:r>
      </w:del>
    </w:p>
    <w:p w14:paraId="37C697CA" w14:textId="77777777" w:rsidR="00BC0E7E" w:rsidRPr="00BC0E7E" w:rsidRDefault="00BC0E7E" w:rsidP="00BC0E7E">
      <w:pPr>
        <w:numPr>
          <w:ilvl w:val="12"/>
          <w:numId w:val="0"/>
        </w:numPr>
        <w:ind w:right="-2"/>
        <w:rPr>
          <w:del w:id="12723" w:author="AbbVie19" w:date="2025-04-16T12:22:00Z"/>
        </w:rPr>
      </w:pPr>
    </w:p>
    <w:p w14:paraId="58B9E8B0" w14:textId="77777777" w:rsidR="00BC0E7E" w:rsidRPr="00BC0E7E" w:rsidRDefault="00944B8F" w:rsidP="00BC0E7E">
      <w:pPr>
        <w:keepNext/>
        <w:numPr>
          <w:ilvl w:val="12"/>
          <w:numId w:val="0"/>
        </w:numPr>
        <w:tabs>
          <w:tab w:val="clear" w:pos="562"/>
        </w:tabs>
        <w:rPr>
          <w:del w:id="12724" w:author="AbbVie19" w:date="2025-04-16T12:22:00Z"/>
          <w:u w:val="single"/>
        </w:rPr>
      </w:pPr>
      <w:del w:id="12725" w:author="AbbVie19" w:date="2025-04-16T12:22:00Z">
        <w:r w:rsidRPr="00BC0E7E">
          <w:rPr>
            <w:u w:val="single"/>
          </w:rPr>
          <w:delText>Adults with Crohn’s disease</w:delText>
        </w:r>
      </w:del>
    </w:p>
    <w:p w14:paraId="6F208CA3" w14:textId="77777777" w:rsidR="00BC0E7E" w:rsidRPr="00BC0E7E" w:rsidRDefault="00BC0E7E" w:rsidP="00BC0E7E">
      <w:pPr>
        <w:keepNext/>
        <w:numPr>
          <w:ilvl w:val="12"/>
          <w:numId w:val="0"/>
        </w:numPr>
        <w:rPr>
          <w:del w:id="12726" w:author="AbbVie19" w:date="2025-04-16T12:22:00Z"/>
        </w:rPr>
      </w:pPr>
    </w:p>
    <w:p w14:paraId="4EC04E36" w14:textId="77777777" w:rsidR="00BC0E7E" w:rsidRPr="00BC0E7E" w:rsidRDefault="00944B8F" w:rsidP="00BC0E7E">
      <w:pPr>
        <w:keepNext/>
        <w:numPr>
          <w:ilvl w:val="12"/>
          <w:numId w:val="0"/>
        </w:numPr>
        <w:rPr>
          <w:del w:id="12727" w:author="AbbVie19" w:date="2025-04-16T12:22:00Z"/>
        </w:rPr>
      </w:pPr>
      <w:del w:id="12728" w:author="AbbVie19" w:date="2025-04-16T12:22:00Z">
        <w:r w:rsidRPr="00BC0E7E">
          <w:delText xml:space="preserve">The usual dose regimen for Crohn’s disease is 80 mg </w:delText>
        </w:r>
        <w:r w:rsidR="00AC7D89">
          <w:delText xml:space="preserve">(as two </w:delText>
        </w:r>
        <w:r w:rsidR="00714E29">
          <w:delText>40</w:delText>
        </w:r>
        <w:r w:rsidR="000916F3">
          <w:delText> </w:delText>
        </w:r>
        <w:r w:rsidR="00714E29">
          <w:delText xml:space="preserve">mg </w:delText>
        </w:r>
        <w:r w:rsidR="00AC7D89">
          <w:delText>injections in one day)</w:delText>
        </w:r>
        <w:r w:rsidR="00AC7D89" w:rsidRPr="002A3533">
          <w:delText xml:space="preserve"> </w:delText>
        </w:r>
        <w:r w:rsidRPr="00BC0E7E">
          <w:delText xml:space="preserve">initially followed by 40 mg every other week two weeks later. If a faster response is required your doctor may prescribe an initial dose of 160 mg (as </w:delText>
        </w:r>
        <w:r w:rsidR="00AC7D89">
          <w:delText>four</w:delText>
        </w:r>
        <w:r w:rsidRPr="00BC0E7E">
          <w:delText xml:space="preserve"> </w:delText>
        </w:r>
        <w:r w:rsidR="00714E29">
          <w:delText>40</w:delText>
        </w:r>
        <w:r w:rsidR="000916F3">
          <w:delText> </w:delText>
        </w:r>
        <w:r w:rsidR="00714E29">
          <w:delText xml:space="preserve">mg </w:delText>
        </w:r>
        <w:r w:rsidRPr="00BC0E7E">
          <w:delText xml:space="preserve">injections in one day or </w:delText>
        </w:r>
        <w:r w:rsidR="00AC7D89">
          <w:delText>two</w:delText>
        </w:r>
        <w:r w:rsidRPr="00BC0E7E">
          <w:delText xml:space="preserve"> </w:delText>
        </w:r>
        <w:r w:rsidR="00714E29">
          <w:delText xml:space="preserve">40mg </w:delText>
        </w:r>
        <w:r w:rsidRPr="00BC0E7E">
          <w:delText xml:space="preserve">injections per day for two consecutive days), followed by 80 mg </w:delText>
        </w:r>
        <w:r w:rsidR="00AC7D89">
          <w:delText xml:space="preserve">(as two </w:delText>
        </w:r>
        <w:r w:rsidR="00714E29">
          <w:delText>40</w:delText>
        </w:r>
        <w:r w:rsidR="000916F3">
          <w:delText> </w:delText>
        </w:r>
        <w:r w:rsidR="00714E29">
          <w:delText xml:space="preserve">mg </w:delText>
        </w:r>
        <w:r w:rsidR="00AC7D89">
          <w:delText xml:space="preserve">injections in one day) </w:delText>
        </w:r>
        <w:r w:rsidRPr="00BC0E7E">
          <w:delText>two weeks later and thereafter as 40 mg every other week. Depending on your response, your doctor may increase the dos</w:delText>
        </w:r>
        <w:r w:rsidR="00714E29">
          <w:delText>ag</w:delText>
        </w:r>
        <w:r w:rsidRPr="00BC0E7E">
          <w:delText>e to 40 mg every week</w:delText>
        </w:r>
        <w:r w:rsidR="00714E29">
          <w:delText xml:space="preserve"> or 80</w:delText>
        </w:r>
        <w:r w:rsidR="000916F3">
          <w:delText> </w:delText>
        </w:r>
        <w:r w:rsidR="00714E29">
          <w:delText>mg every other week</w:delText>
        </w:r>
        <w:r w:rsidRPr="00BC0E7E">
          <w:delText>.</w:delText>
        </w:r>
      </w:del>
    </w:p>
    <w:p w14:paraId="42855757" w14:textId="77777777" w:rsidR="00BC0E7E" w:rsidRPr="00BC0E7E" w:rsidRDefault="00BC0E7E" w:rsidP="00BC0E7E">
      <w:pPr>
        <w:numPr>
          <w:ilvl w:val="12"/>
          <w:numId w:val="0"/>
        </w:numPr>
        <w:tabs>
          <w:tab w:val="clear" w:pos="562"/>
        </w:tabs>
        <w:ind w:right="-2"/>
        <w:rPr>
          <w:del w:id="12729" w:author="AbbVie19" w:date="2025-04-16T12:22:00Z"/>
        </w:rPr>
      </w:pPr>
    </w:p>
    <w:p w14:paraId="107489C3" w14:textId="77777777" w:rsidR="00BC0E7E" w:rsidRPr="00BC0E7E" w:rsidRDefault="00944B8F" w:rsidP="00BC0E7E">
      <w:pPr>
        <w:ind w:right="34"/>
        <w:rPr>
          <w:del w:id="12730" w:author="AbbVie19" w:date="2025-04-16T12:22:00Z"/>
          <w:u w:val="single"/>
        </w:rPr>
      </w:pPr>
      <w:del w:id="12731" w:author="AbbVie19" w:date="2025-04-16T12:22:00Z">
        <w:r w:rsidRPr="00BC0E7E">
          <w:rPr>
            <w:u w:val="single"/>
          </w:rPr>
          <w:delText xml:space="preserve">Children </w:delText>
        </w:r>
        <w:r w:rsidR="00AC7D89">
          <w:rPr>
            <w:u w:val="single"/>
          </w:rPr>
          <w:delText>and</w:delText>
        </w:r>
        <w:r w:rsidR="002B35C5">
          <w:rPr>
            <w:u w:val="single"/>
          </w:rPr>
          <w:delText xml:space="preserve"> </w:delText>
        </w:r>
        <w:r w:rsidRPr="00BC0E7E">
          <w:rPr>
            <w:u w:val="single"/>
          </w:rPr>
          <w:delText>adolescents with Crohn's disease</w:delText>
        </w:r>
      </w:del>
    </w:p>
    <w:p w14:paraId="61D5B98E" w14:textId="77777777" w:rsidR="00BC0E7E" w:rsidRPr="00BC0E7E" w:rsidRDefault="00BC0E7E" w:rsidP="00BC0E7E">
      <w:pPr>
        <w:ind w:right="34"/>
        <w:rPr>
          <w:del w:id="12732" w:author="AbbVie19" w:date="2025-04-16T12:22:00Z"/>
        </w:rPr>
      </w:pPr>
    </w:p>
    <w:p w14:paraId="5F3C73DF" w14:textId="77777777" w:rsidR="00AC7D89" w:rsidRDefault="00944B8F" w:rsidP="00AC7D89">
      <w:pPr>
        <w:ind w:right="34"/>
        <w:rPr>
          <w:del w:id="12733" w:author="AbbVie19" w:date="2025-04-16T12:22:00Z"/>
          <w:bCs/>
          <w:i/>
        </w:rPr>
      </w:pPr>
      <w:del w:id="12734" w:author="AbbVie19" w:date="2025-04-16T12:22:00Z">
        <w:r>
          <w:rPr>
            <w:bCs/>
            <w:i/>
          </w:rPr>
          <w:delText>Children and adolescents from 6 to 17</w:delText>
        </w:r>
        <w:r w:rsidR="002D05CB">
          <w:rPr>
            <w:bCs/>
            <w:i/>
          </w:rPr>
          <w:delText> </w:delText>
        </w:r>
        <w:r>
          <w:rPr>
            <w:bCs/>
            <w:i/>
          </w:rPr>
          <w:delText>years of age weighing less than 40</w:delText>
        </w:r>
        <w:r w:rsidR="002D05CB">
          <w:rPr>
            <w:bCs/>
            <w:i/>
          </w:rPr>
          <w:delText> </w:delText>
        </w:r>
        <w:r>
          <w:rPr>
            <w:bCs/>
            <w:i/>
          </w:rPr>
          <w:delText>kg</w:delText>
        </w:r>
        <w:r>
          <w:rPr>
            <w:bCs/>
            <w:u w:val="single"/>
          </w:rPr>
          <w:delText xml:space="preserve">  </w:delText>
        </w:r>
      </w:del>
    </w:p>
    <w:p w14:paraId="2D361272" w14:textId="77777777" w:rsidR="00BC0E7E" w:rsidRPr="00BC0E7E" w:rsidRDefault="00BC0E7E" w:rsidP="00BC0E7E">
      <w:pPr>
        <w:ind w:right="34"/>
        <w:rPr>
          <w:del w:id="12735" w:author="AbbVie19" w:date="2025-04-16T12:22:00Z"/>
          <w:bCs/>
        </w:rPr>
      </w:pPr>
    </w:p>
    <w:p w14:paraId="0E6E707D" w14:textId="77777777" w:rsidR="00BC0E7E" w:rsidRPr="00BC0E7E" w:rsidRDefault="00944B8F" w:rsidP="00BC0E7E">
      <w:pPr>
        <w:ind w:right="34"/>
        <w:rPr>
          <w:del w:id="12736" w:author="AbbVie19" w:date="2025-04-16T12:22:00Z"/>
          <w:bCs/>
        </w:rPr>
      </w:pPr>
      <w:del w:id="12737" w:author="AbbVie19" w:date="2025-04-16T12:22:00Z">
        <w:r>
          <w:rPr>
            <w:bCs/>
          </w:rPr>
          <w:delText>The usual dose regimen is 40 </w:delText>
        </w:r>
        <w:r w:rsidRPr="00BC0E7E">
          <w:rPr>
            <w:bCs/>
          </w:rPr>
          <w:delText>mg initially foll</w:delText>
        </w:r>
        <w:r>
          <w:rPr>
            <w:bCs/>
          </w:rPr>
          <w:delText>owed by 20 </w:delText>
        </w:r>
        <w:r w:rsidRPr="00BC0E7E">
          <w:rPr>
            <w:bCs/>
          </w:rPr>
          <w:delText xml:space="preserve">mg two weeks later. If a faster response is required, your doctor may </w:delText>
        </w:r>
        <w:r>
          <w:rPr>
            <w:bCs/>
          </w:rPr>
          <w:delText>prescribe an initial dose of 80 </w:delText>
        </w:r>
        <w:r w:rsidRPr="00BC0E7E">
          <w:rPr>
            <w:bCs/>
          </w:rPr>
          <w:delText xml:space="preserve">mg (as </w:delText>
        </w:r>
        <w:r w:rsidR="00AC7D89">
          <w:rPr>
            <w:bCs/>
          </w:rPr>
          <w:delText>two</w:delText>
        </w:r>
        <w:r w:rsidRPr="00BC0E7E">
          <w:rPr>
            <w:bCs/>
          </w:rPr>
          <w:delText xml:space="preserve"> </w:delText>
        </w:r>
        <w:r w:rsidR="0078479D">
          <w:rPr>
            <w:bCs/>
          </w:rPr>
          <w:delText>40</w:delText>
        </w:r>
        <w:r w:rsidR="000916F3">
          <w:rPr>
            <w:bCs/>
          </w:rPr>
          <w:delText> </w:delText>
        </w:r>
        <w:r w:rsidR="0078479D">
          <w:rPr>
            <w:bCs/>
          </w:rPr>
          <w:delText xml:space="preserve">mg </w:delText>
        </w:r>
        <w:r w:rsidRPr="00BC0E7E">
          <w:rPr>
            <w:bCs/>
          </w:rPr>
          <w:delText xml:space="preserve">injections in </w:delText>
        </w:r>
        <w:r w:rsidR="00AC7D89">
          <w:rPr>
            <w:bCs/>
          </w:rPr>
          <w:delText>one</w:delText>
        </w:r>
        <w:r w:rsidRPr="00BC0E7E">
          <w:rPr>
            <w:bCs/>
          </w:rPr>
          <w:delText xml:space="preserve"> day) followed by 40 mg two weeks later.</w:delText>
        </w:r>
      </w:del>
    </w:p>
    <w:p w14:paraId="3DDE336B" w14:textId="77777777" w:rsidR="00BC0E7E" w:rsidRPr="00BC0E7E" w:rsidRDefault="00BC0E7E" w:rsidP="00BC0E7E">
      <w:pPr>
        <w:ind w:right="34"/>
        <w:rPr>
          <w:del w:id="12738" w:author="AbbVie19" w:date="2025-04-16T12:22:00Z"/>
          <w:bCs/>
        </w:rPr>
      </w:pPr>
    </w:p>
    <w:p w14:paraId="106758B4" w14:textId="77777777" w:rsidR="00BC0E7E" w:rsidRPr="00BC0E7E" w:rsidRDefault="00944B8F" w:rsidP="00BC0E7E">
      <w:pPr>
        <w:ind w:right="34"/>
        <w:rPr>
          <w:del w:id="12739" w:author="AbbVie19" w:date="2025-04-16T12:22:00Z"/>
          <w:bCs/>
        </w:rPr>
      </w:pPr>
      <w:del w:id="12740" w:author="AbbVie19" w:date="2025-04-16T12:22:00Z">
        <w:r w:rsidRPr="00BC0E7E">
          <w:rPr>
            <w:bCs/>
          </w:rPr>
          <w:delText>T</w:delText>
        </w:r>
        <w:r w:rsidR="005012D6">
          <w:rPr>
            <w:bCs/>
          </w:rPr>
          <w:delText>hereafter, the usual dose is 20 </w:delText>
        </w:r>
        <w:r w:rsidRPr="00BC0E7E">
          <w:rPr>
            <w:bCs/>
          </w:rPr>
          <w:delText>mg every other week. Depending on your response, your doctor may in</w:delText>
        </w:r>
        <w:r w:rsidR="005012D6">
          <w:rPr>
            <w:bCs/>
          </w:rPr>
          <w:delText>crease the dose frequency to 20 </w:delText>
        </w:r>
        <w:r w:rsidRPr="00BC0E7E">
          <w:rPr>
            <w:bCs/>
          </w:rPr>
          <w:delText xml:space="preserve">mg every week.  </w:delText>
        </w:r>
      </w:del>
    </w:p>
    <w:p w14:paraId="67C2BA25" w14:textId="77777777" w:rsidR="00BC0E7E" w:rsidRPr="00BC0E7E" w:rsidRDefault="00BC0E7E" w:rsidP="00BC0E7E">
      <w:pPr>
        <w:ind w:right="34"/>
        <w:rPr>
          <w:del w:id="12741" w:author="AbbVie19" w:date="2025-04-16T12:22:00Z"/>
          <w:bCs/>
        </w:rPr>
      </w:pPr>
    </w:p>
    <w:p w14:paraId="346C0598" w14:textId="77777777" w:rsidR="00AC7D89" w:rsidRDefault="00944B8F" w:rsidP="00AC7D89">
      <w:pPr>
        <w:ind w:right="34"/>
        <w:rPr>
          <w:del w:id="12742" w:author="AbbVie19" w:date="2025-04-16T12:22:00Z"/>
          <w:bCs/>
          <w:u w:val="single"/>
        </w:rPr>
      </w:pPr>
      <w:del w:id="12743" w:author="AbbVie19" w:date="2025-04-16T12:22:00Z">
        <w:r>
          <w:rPr>
            <w:bCs/>
            <w:i/>
          </w:rPr>
          <w:delText>Children and adolescents from 6 to 17</w:delText>
        </w:r>
        <w:r w:rsidR="002D05CB">
          <w:rPr>
            <w:bCs/>
            <w:i/>
          </w:rPr>
          <w:delText> </w:delText>
        </w:r>
        <w:r>
          <w:rPr>
            <w:bCs/>
            <w:i/>
          </w:rPr>
          <w:delText>years of age weighing 40</w:delText>
        </w:r>
        <w:r w:rsidR="002D05CB">
          <w:rPr>
            <w:bCs/>
            <w:i/>
          </w:rPr>
          <w:delText> </w:delText>
        </w:r>
        <w:r>
          <w:rPr>
            <w:bCs/>
            <w:i/>
          </w:rPr>
          <w:delText>kg or more</w:delText>
        </w:r>
        <w:r>
          <w:rPr>
            <w:bCs/>
            <w:u w:val="single"/>
          </w:rPr>
          <w:delText xml:space="preserve"> </w:delText>
        </w:r>
      </w:del>
    </w:p>
    <w:p w14:paraId="2F1F5E21" w14:textId="77777777" w:rsidR="00BC0E7E" w:rsidRPr="00BC0E7E" w:rsidRDefault="00BC0E7E" w:rsidP="00BC0E7E">
      <w:pPr>
        <w:ind w:right="34"/>
        <w:rPr>
          <w:del w:id="12744" w:author="AbbVie19" w:date="2025-04-16T12:22:00Z"/>
          <w:bCs/>
        </w:rPr>
      </w:pPr>
    </w:p>
    <w:p w14:paraId="616ADD85" w14:textId="77777777" w:rsidR="00BC0E7E" w:rsidRPr="00BC0E7E" w:rsidRDefault="00944B8F" w:rsidP="00BC0E7E">
      <w:pPr>
        <w:ind w:right="34"/>
        <w:rPr>
          <w:del w:id="12745" w:author="AbbVie19" w:date="2025-04-16T12:22:00Z"/>
          <w:bCs/>
        </w:rPr>
      </w:pPr>
      <w:del w:id="12746" w:author="AbbVie19" w:date="2025-04-16T12:22:00Z">
        <w:r>
          <w:rPr>
            <w:bCs/>
          </w:rPr>
          <w:delText>The usual dose regimen is 80 </w:delText>
        </w:r>
        <w:r w:rsidRPr="00BC0E7E">
          <w:rPr>
            <w:bCs/>
          </w:rPr>
          <w:delText xml:space="preserve">mg </w:delText>
        </w:r>
        <w:r w:rsidR="00AC7D89">
          <w:rPr>
            <w:bCs/>
          </w:rPr>
          <w:delText xml:space="preserve">(as two </w:delText>
        </w:r>
        <w:r w:rsidR="0078479D">
          <w:rPr>
            <w:bCs/>
          </w:rPr>
          <w:delText>40</w:delText>
        </w:r>
        <w:r w:rsidR="000916F3">
          <w:rPr>
            <w:bCs/>
          </w:rPr>
          <w:delText> </w:delText>
        </w:r>
        <w:r w:rsidR="0078479D">
          <w:rPr>
            <w:bCs/>
          </w:rPr>
          <w:delText xml:space="preserve">mg </w:delText>
        </w:r>
        <w:r w:rsidR="00AC7D89">
          <w:rPr>
            <w:bCs/>
          </w:rPr>
          <w:delText xml:space="preserve">injections in one day) </w:delText>
        </w:r>
        <w:r>
          <w:rPr>
            <w:bCs/>
          </w:rPr>
          <w:delText>initially followed by 40 </w:delText>
        </w:r>
        <w:r w:rsidRPr="00BC0E7E">
          <w:rPr>
            <w:bCs/>
          </w:rPr>
          <w:delText>mg two weeks later.  If a faster response is required, your doctor may p</w:delText>
        </w:r>
        <w:r>
          <w:rPr>
            <w:bCs/>
          </w:rPr>
          <w:delText>rescribe an initial dose of 160 </w:delText>
        </w:r>
        <w:r w:rsidRPr="00BC0E7E">
          <w:rPr>
            <w:bCs/>
          </w:rPr>
          <w:delText xml:space="preserve">mg (as </w:delText>
        </w:r>
        <w:r w:rsidR="00AC7D89">
          <w:rPr>
            <w:bCs/>
          </w:rPr>
          <w:delText>four</w:delText>
        </w:r>
        <w:r w:rsidRPr="00BC0E7E">
          <w:rPr>
            <w:bCs/>
          </w:rPr>
          <w:delText xml:space="preserve"> </w:delText>
        </w:r>
        <w:r w:rsidR="0078479D">
          <w:rPr>
            <w:bCs/>
          </w:rPr>
          <w:delText>40</w:delText>
        </w:r>
        <w:r w:rsidR="000916F3">
          <w:rPr>
            <w:bCs/>
          </w:rPr>
          <w:delText> </w:delText>
        </w:r>
        <w:r w:rsidR="0078479D">
          <w:rPr>
            <w:bCs/>
          </w:rPr>
          <w:delText xml:space="preserve">mg </w:delText>
        </w:r>
        <w:r w:rsidRPr="00BC0E7E">
          <w:rPr>
            <w:bCs/>
          </w:rPr>
          <w:delText xml:space="preserve">injections in </w:delText>
        </w:r>
        <w:r w:rsidR="00AC7D89">
          <w:rPr>
            <w:bCs/>
          </w:rPr>
          <w:delText>one</w:delText>
        </w:r>
        <w:r w:rsidRPr="00BC0E7E">
          <w:rPr>
            <w:bCs/>
          </w:rPr>
          <w:delText xml:space="preserve"> day or as </w:delText>
        </w:r>
        <w:r w:rsidR="00AC7D89">
          <w:rPr>
            <w:bCs/>
          </w:rPr>
          <w:delText>two</w:delText>
        </w:r>
        <w:r w:rsidR="0078479D">
          <w:rPr>
            <w:bCs/>
          </w:rPr>
          <w:delText xml:space="preserve"> 40</w:delText>
        </w:r>
        <w:r w:rsidR="000916F3">
          <w:rPr>
            <w:bCs/>
          </w:rPr>
          <w:delText> </w:delText>
        </w:r>
        <w:r w:rsidR="0078479D">
          <w:rPr>
            <w:bCs/>
          </w:rPr>
          <w:delText>mg</w:delText>
        </w:r>
        <w:r w:rsidRPr="00BC0E7E">
          <w:rPr>
            <w:bCs/>
          </w:rPr>
          <w:delText xml:space="preserve"> injections per day for </w:delText>
        </w:r>
        <w:r w:rsidR="00AC7D89">
          <w:rPr>
            <w:bCs/>
          </w:rPr>
          <w:delText>two</w:delText>
        </w:r>
        <w:r w:rsidRPr="00BC0E7E">
          <w:rPr>
            <w:bCs/>
          </w:rPr>
          <w:delText xml:space="preserve"> c</w:delText>
        </w:r>
        <w:r>
          <w:rPr>
            <w:bCs/>
          </w:rPr>
          <w:delText>onsecutive days) followed by 80 </w:delText>
        </w:r>
        <w:r w:rsidRPr="00BC0E7E">
          <w:rPr>
            <w:bCs/>
          </w:rPr>
          <w:delText xml:space="preserve">mg </w:delText>
        </w:r>
        <w:r w:rsidR="00AC7D89">
          <w:rPr>
            <w:bCs/>
          </w:rPr>
          <w:delText xml:space="preserve">(as two </w:delText>
        </w:r>
        <w:r w:rsidR="0078479D">
          <w:rPr>
            <w:bCs/>
          </w:rPr>
          <w:delText>40</w:delText>
        </w:r>
        <w:r w:rsidR="000916F3">
          <w:rPr>
            <w:bCs/>
          </w:rPr>
          <w:delText> </w:delText>
        </w:r>
        <w:r w:rsidR="0078479D">
          <w:rPr>
            <w:bCs/>
          </w:rPr>
          <w:delText xml:space="preserve">mg </w:delText>
        </w:r>
        <w:r w:rsidR="00AC7D89">
          <w:rPr>
            <w:bCs/>
          </w:rPr>
          <w:delText xml:space="preserve">injections in one day) </w:delText>
        </w:r>
        <w:r w:rsidRPr="00BC0E7E">
          <w:rPr>
            <w:bCs/>
          </w:rPr>
          <w:delText>two weeks later.</w:delText>
        </w:r>
      </w:del>
    </w:p>
    <w:p w14:paraId="5BC126BC" w14:textId="77777777" w:rsidR="00BC0E7E" w:rsidRPr="00BC0E7E" w:rsidRDefault="00BC0E7E" w:rsidP="00BC0E7E">
      <w:pPr>
        <w:ind w:right="34"/>
        <w:rPr>
          <w:del w:id="12747" w:author="AbbVie19" w:date="2025-04-16T12:22:00Z"/>
          <w:bCs/>
        </w:rPr>
      </w:pPr>
    </w:p>
    <w:p w14:paraId="1BF7D7F6" w14:textId="77777777" w:rsidR="00BC0E7E" w:rsidRPr="00BC0E7E" w:rsidRDefault="00944B8F" w:rsidP="00BC0E7E">
      <w:pPr>
        <w:ind w:right="34"/>
        <w:rPr>
          <w:del w:id="12748" w:author="AbbVie19" w:date="2025-04-16T12:22:00Z"/>
          <w:bCs/>
        </w:rPr>
      </w:pPr>
      <w:del w:id="12749" w:author="AbbVie19" w:date="2025-04-16T12:22:00Z">
        <w:r w:rsidRPr="00BC0E7E">
          <w:rPr>
            <w:bCs/>
          </w:rPr>
          <w:delText>Thereafter, the usual dose is 40</w:delText>
        </w:r>
        <w:r w:rsidR="005012D6">
          <w:rPr>
            <w:bCs/>
          </w:rPr>
          <w:delText> </w:delText>
        </w:r>
        <w:r w:rsidRPr="00BC0E7E">
          <w:rPr>
            <w:bCs/>
          </w:rPr>
          <w:delText>mg every other week.  Depending on your response, your doctor may increase the dos</w:delText>
        </w:r>
        <w:r w:rsidR="00491A26">
          <w:rPr>
            <w:bCs/>
          </w:rPr>
          <w:delText>ag</w:delText>
        </w:r>
        <w:r w:rsidR="005012D6">
          <w:rPr>
            <w:bCs/>
          </w:rPr>
          <w:delText>e to 40 </w:delText>
        </w:r>
        <w:r w:rsidRPr="00BC0E7E">
          <w:rPr>
            <w:bCs/>
          </w:rPr>
          <w:delText>mg every week</w:delText>
        </w:r>
        <w:r w:rsidR="00491A26">
          <w:rPr>
            <w:bCs/>
          </w:rPr>
          <w:delText xml:space="preserve"> or 80</w:delText>
        </w:r>
        <w:r w:rsidR="000916F3">
          <w:rPr>
            <w:bCs/>
          </w:rPr>
          <w:delText> </w:delText>
        </w:r>
        <w:r w:rsidR="00491A26">
          <w:rPr>
            <w:bCs/>
          </w:rPr>
          <w:delText>mg every other week</w:delText>
        </w:r>
        <w:r w:rsidRPr="00BC0E7E">
          <w:rPr>
            <w:bCs/>
          </w:rPr>
          <w:delText>.</w:delText>
        </w:r>
      </w:del>
    </w:p>
    <w:p w14:paraId="0E24ADCB" w14:textId="77777777" w:rsidR="00BC0E7E" w:rsidRPr="00BC0E7E" w:rsidRDefault="00BC0E7E" w:rsidP="00BC0E7E">
      <w:pPr>
        <w:suppressAutoHyphens w:val="0"/>
        <w:autoSpaceDE w:val="0"/>
        <w:autoSpaceDN w:val="0"/>
        <w:adjustRightInd w:val="0"/>
        <w:rPr>
          <w:del w:id="12750" w:author="AbbVie19" w:date="2025-04-16T12:22:00Z"/>
          <w:szCs w:val="22"/>
        </w:rPr>
      </w:pPr>
    </w:p>
    <w:p w14:paraId="302C0BC8" w14:textId="77777777" w:rsidR="00BC0E7E" w:rsidRPr="00BC0E7E" w:rsidRDefault="00944B8F" w:rsidP="00BC0E7E">
      <w:pPr>
        <w:numPr>
          <w:ilvl w:val="12"/>
          <w:numId w:val="0"/>
        </w:numPr>
        <w:ind w:right="-2"/>
        <w:rPr>
          <w:del w:id="12751" w:author="AbbVie19" w:date="2025-04-16T12:22:00Z"/>
        </w:rPr>
      </w:pPr>
      <w:del w:id="12752" w:author="AbbVie19" w:date="2025-04-16T12:22:00Z">
        <w:r w:rsidRPr="00BC0E7E">
          <w:rPr>
            <w:u w:val="single"/>
          </w:rPr>
          <w:delText>Adults with ulcerative colitis</w:delText>
        </w:r>
      </w:del>
    </w:p>
    <w:p w14:paraId="24CCB2A0" w14:textId="77777777" w:rsidR="00BC0E7E" w:rsidRPr="00BC0E7E" w:rsidRDefault="00BC0E7E" w:rsidP="00BC0E7E">
      <w:pPr>
        <w:numPr>
          <w:ilvl w:val="12"/>
          <w:numId w:val="0"/>
        </w:numPr>
        <w:ind w:right="-2"/>
        <w:rPr>
          <w:del w:id="12753" w:author="AbbVie19" w:date="2025-04-16T12:22:00Z"/>
        </w:rPr>
      </w:pPr>
    </w:p>
    <w:p w14:paraId="5BED7C17" w14:textId="77777777" w:rsidR="00BC0E7E" w:rsidRPr="00BC0E7E" w:rsidRDefault="00944B8F" w:rsidP="00BC0E7E">
      <w:pPr>
        <w:numPr>
          <w:ilvl w:val="12"/>
          <w:numId w:val="0"/>
        </w:numPr>
        <w:tabs>
          <w:tab w:val="clear" w:pos="562"/>
        </w:tabs>
        <w:ind w:right="-2"/>
        <w:rPr>
          <w:del w:id="12754" w:author="AbbVie19" w:date="2025-04-16T12:22:00Z"/>
        </w:rPr>
      </w:pPr>
      <w:del w:id="12755" w:author="AbbVie19" w:date="2025-04-16T12:22:00Z">
        <w:r w:rsidRPr="00BC0E7E">
          <w:delText xml:space="preserve">The usual Humira dose for adults with ulcerative colitis is 160 mg </w:delText>
        </w:r>
        <w:r w:rsidR="00AC7D89">
          <w:delText>(</w:delText>
        </w:r>
        <w:r w:rsidR="00AC7D89">
          <w:rPr>
            <w:szCs w:val="22"/>
          </w:rPr>
          <w:delText xml:space="preserve">as four </w:delText>
        </w:r>
        <w:r w:rsidR="005E609A">
          <w:rPr>
            <w:szCs w:val="22"/>
          </w:rPr>
          <w:delText>40</w:delText>
        </w:r>
        <w:r w:rsidR="000916F3">
          <w:rPr>
            <w:szCs w:val="22"/>
          </w:rPr>
          <w:delText> </w:delText>
        </w:r>
        <w:r w:rsidR="005E609A">
          <w:rPr>
            <w:szCs w:val="22"/>
          </w:rPr>
          <w:delText xml:space="preserve">mg </w:delText>
        </w:r>
        <w:r w:rsidR="00AC7D89">
          <w:rPr>
            <w:szCs w:val="22"/>
          </w:rPr>
          <w:delText xml:space="preserve">injections in one day or two </w:delText>
        </w:r>
        <w:r w:rsidR="005E609A">
          <w:rPr>
            <w:szCs w:val="22"/>
          </w:rPr>
          <w:delText>40</w:delText>
        </w:r>
        <w:r w:rsidR="000916F3">
          <w:rPr>
            <w:szCs w:val="22"/>
          </w:rPr>
          <w:delText> </w:delText>
        </w:r>
        <w:r w:rsidR="005E609A">
          <w:rPr>
            <w:szCs w:val="22"/>
          </w:rPr>
          <w:delText xml:space="preserve">mg </w:delText>
        </w:r>
        <w:r w:rsidR="00AC7D89">
          <w:rPr>
            <w:szCs w:val="22"/>
          </w:rPr>
          <w:delText>injections per day for two consecutive days</w:delText>
        </w:r>
        <w:r w:rsidR="00AC7D89">
          <w:delText>)</w:delText>
        </w:r>
        <w:r w:rsidR="003866C0">
          <w:delText xml:space="preserve"> </w:delText>
        </w:r>
        <w:r w:rsidRPr="00BC0E7E">
          <w:delText xml:space="preserve">at Week 0 and 80 mg </w:delText>
        </w:r>
        <w:r w:rsidR="00AC7D89">
          <w:delText xml:space="preserve">(as two </w:delText>
        </w:r>
        <w:r w:rsidR="005E609A">
          <w:delText>40</w:delText>
        </w:r>
        <w:r w:rsidR="000916F3">
          <w:delText> </w:delText>
        </w:r>
        <w:r w:rsidR="005E609A">
          <w:delText xml:space="preserve">mg </w:delText>
        </w:r>
        <w:r w:rsidR="00AC7D89">
          <w:delText>injections in one day)</w:delText>
        </w:r>
        <w:r w:rsidR="00AC7D89" w:rsidRPr="002A3533">
          <w:delText xml:space="preserve"> </w:delText>
        </w:r>
        <w:r w:rsidRPr="00BC0E7E">
          <w:delText>at Week 2 and thereafter 40 mg every other week. Depending on your response, your doctor may increase the dos</w:delText>
        </w:r>
        <w:r w:rsidR="005E609A">
          <w:delText>ag</w:delText>
        </w:r>
        <w:r w:rsidRPr="00BC0E7E">
          <w:delText>e to 40 mg every week</w:delText>
        </w:r>
        <w:r w:rsidR="005E609A">
          <w:delText xml:space="preserve"> or 80</w:delText>
        </w:r>
        <w:r w:rsidR="000916F3">
          <w:delText> </w:delText>
        </w:r>
        <w:r w:rsidR="005E609A">
          <w:delText>mg every other week</w:delText>
        </w:r>
        <w:r w:rsidRPr="00BC0E7E">
          <w:delText xml:space="preserve">.    </w:delText>
        </w:r>
      </w:del>
    </w:p>
    <w:p w14:paraId="40BE61A3" w14:textId="77777777" w:rsidR="00BC0E7E" w:rsidRPr="00BC0E7E" w:rsidRDefault="00BC0E7E" w:rsidP="00BC0E7E">
      <w:pPr>
        <w:numPr>
          <w:ilvl w:val="12"/>
          <w:numId w:val="0"/>
        </w:numPr>
        <w:tabs>
          <w:tab w:val="clear" w:pos="562"/>
        </w:tabs>
        <w:ind w:right="-2"/>
        <w:rPr>
          <w:del w:id="12756" w:author="AbbVie19" w:date="2025-04-16T12:22:00Z"/>
        </w:rPr>
      </w:pPr>
    </w:p>
    <w:p w14:paraId="62B4778A" w14:textId="77777777" w:rsidR="00C53F7F" w:rsidRPr="00DE4371" w:rsidRDefault="00944B8F" w:rsidP="00C53F7F">
      <w:pPr>
        <w:numPr>
          <w:ilvl w:val="12"/>
          <w:numId w:val="0"/>
        </w:numPr>
        <w:tabs>
          <w:tab w:val="clear" w:pos="562"/>
        </w:tabs>
        <w:ind w:right="-2"/>
        <w:rPr>
          <w:del w:id="12757" w:author="AbbVie19" w:date="2025-04-16T12:22:00Z"/>
          <w:u w:val="single"/>
        </w:rPr>
      </w:pPr>
      <w:del w:id="12758" w:author="AbbVie19" w:date="2025-04-16T12:22:00Z">
        <w:r w:rsidRPr="00DE4371">
          <w:rPr>
            <w:u w:val="single"/>
          </w:rPr>
          <w:delText xml:space="preserve">Children and adolescents </w:delText>
        </w:r>
        <w:r>
          <w:rPr>
            <w:u w:val="single"/>
          </w:rPr>
          <w:delText>with ulcerative colitis</w:delText>
        </w:r>
      </w:del>
    </w:p>
    <w:p w14:paraId="405AD45B" w14:textId="77777777" w:rsidR="00C53F7F" w:rsidRDefault="00C53F7F" w:rsidP="00C53F7F">
      <w:pPr>
        <w:numPr>
          <w:ilvl w:val="12"/>
          <w:numId w:val="0"/>
        </w:numPr>
        <w:tabs>
          <w:tab w:val="clear" w:pos="562"/>
        </w:tabs>
        <w:ind w:right="-2"/>
        <w:rPr>
          <w:del w:id="12759" w:author="AbbVie19" w:date="2025-04-16T12:22:00Z"/>
        </w:rPr>
      </w:pPr>
    </w:p>
    <w:p w14:paraId="77917E1F" w14:textId="77777777" w:rsidR="00C53F7F" w:rsidRPr="00DE4371" w:rsidRDefault="00944B8F" w:rsidP="00C53F7F">
      <w:pPr>
        <w:numPr>
          <w:ilvl w:val="12"/>
          <w:numId w:val="0"/>
        </w:numPr>
        <w:tabs>
          <w:tab w:val="clear" w:pos="562"/>
        </w:tabs>
        <w:ind w:right="-2"/>
        <w:rPr>
          <w:del w:id="12760" w:author="AbbVie19" w:date="2025-04-16T12:22:00Z"/>
          <w:i/>
          <w:iCs/>
        </w:rPr>
      </w:pPr>
      <w:del w:id="12761" w:author="AbbVie19" w:date="2025-04-16T12:22:00Z">
        <w:r>
          <w:rPr>
            <w:i/>
            <w:iCs/>
          </w:rPr>
          <w:delText>Children and adolescents from 6 years of age weighing less than 40 kg</w:delText>
        </w:r>
      </w:del>
    </w:p>
    <w:p w14:paraId="23A06E03" w14:textId="77777777" w:rsidR="00C53F7F" w:rsidRDefault="00C53F7F" w:rsidP="00C53F7F">
      <w:pPr>
        <w:numPr>
          <w:ilvl w:val="12"/>
          <w:numId w:val="0"/>
        </w:numPr>
        <w:tabs>
          <w:tab w:val="clear" w:pos="562"/>
        </w:tabs>
        <w:ind w:right="-2"/>
        <w:rPr>
          <w:del w:id="12762" w:author="AbbVie19" w:date="2025-04-16T12:22:00Z"/>
        </w:rPr>
      </w:pPr>
    </w:p>
    <w:p w14:paraId="5CA94194" w14:textId="77777777" w:rsidR="00C53F7F" w:rsidRDefault="00944B8F" w:rsidP="00C53F7F">
      <w:pPr>
        <w:numPr>
          <w:ilvl w:val="12"/>
          <w:numId w:val="0"/>
        </w:numPr>
        <w:tabs>
          <w:tab w:val="clear" w:pos="562"/>
        </w:tabs>
        <w:ind w:right="-2"/>
        <w:rPr>
          <w:del w:id="12763" w:author="AbbVie19" w:date="2025-04-16T12:22:00Z"/>
        </w:rPr>
      </w:pPr>
      <w:del w:id="12764" w:author="AbbVie19" w:date="2025-04-16T12:22:00Z">
        <w:r>
          <w:delText>The usual Humira dose is 80 mg (as two 40 mg injections in one day) initially followed by 40 mg</w:delText>
        </w:r>
        <w:r w:rsidR="00CC7138">
          <w:delText xml:space="preserve"> (as one 40 mg injection)</w:delText>
        </w:r>
        <w:r>
          <w:delText xml:space="preserve"> two weeks later. Thereafter, the usual dose is 40 mg every other week. </w:delText>
        </w:r>
      </w:del>
    </w:p>
    <w:p w14:paraId="6445B875" w14:textId="77777777" w:rsidR="00C53F7F" w:rsidRDefault="00C53F7F" w:rsidP="00C53F7F">
      <w:pPr>
        <w:numPr>
          <w:ilvl w:val="12"/>
          <w:numId w:val="0"/>
        </w:numPr>
        <w:tabs>
          <w:tab w:val="clear" w:pos="562"/>
        </w:tabs>
        <w:ind w:right="-2"/>
        <w:rPr>
          <w:del w:id="12765" w:author="AbbVie19" w:date="2025-04-16T12:22:00Z"/>
        </w:rPr>
      </w:pPr>
    </w:p>
    <w:p w14:paraId="61C25DB5" w14:textId="77777777" w:rsidR="00C53F7F" w:rsidRDefault="00944B8F" w:rsidP="00C53F7F">
      <w:pPr>
        <w:numPr>
          <w:ilvl w:val="12"/>
          <w:numId w:val="0"/>
        </w:numPr>
        <w:tabs>
          <w:tab w:val="clear" w:pos="562"/>
        </w:tabs>
        <w:ind w:right="-2"/>
        <w:rPr>
          <w:del w:id="12766" w:author="AbbVie19" w:date="2025-04-16T12:22:00Z"/>
        </w:rPr>
      </w:pPr>
      <w:del w:id="12767" w:author="AbbVie19" w:date="2025-04-16T12:22:00Z">
        <w:r w:rsidRPr="00AF74C0">
          <w:lastRenderedPageBreak/>
          <w:delText xml:space="preserve">Patients who turn 18 </w:delText>
        </w:r>
        <w:r>
          <w:delText xml:space="preserve">years of age </w:delText>
        </w:r>
        <w:r w:rsidRPr="00AF74C0">
          <w:delText xml:space="preserve">while on </w:delText>
        </w:r>
        <w:r>
          <w:delText xml:space="preserve">40 mg every other week, </w:delText>
        </w:r>
        <w:r w:rsidRPr="00AF74C0">
          <w:delText>should continue their prescribed dose.</w:delText>
        </w:r>
      </w:del>
    </w:p>
    <w:p w14:paraId="7891D698" w14:textId="77777777" w:rsidR="00C53F7F" w:rsidRDefault="00C53F7F" w:rsidP="00C53F7F">
      <w:pPr>
        <w:numPr>
          <w:ilvl w:val="12"/>
          <w:numId w:val="0"/>
        </w:numPr>
        <w:tabs>
          <w:tab w:val="clear" w:pos="562"/>
        </w:tabs>
        <w:ind w:right="-2"/>
        <w:rPr>
          <w:del w:id="12768" w:author="AbbVie19" w:date="2025-04-16T12:22:00Z"/>
        </w:rPr>
      </w:pPr>
    </w:p>
    <w:p w14:paraId="0DE2905D" w14:textId="77777777" w:rsidR="00C53F7F" w:rsidRDefault="00944B8F" w:rsidP="00C53F7F">
      <w:pPr>
        <w:numPr>
          <w:ilvl w:val="12"/>
          <w:numId w:val="0"/>
        </w:numPr>
        <w:tabs>
          <w:tab w:val="clear" w:pos="562"/>
        </w:tabs>
        <w:ind w:right="-2"/>
        <w:rPr>
          <w:del w:id="12769" w:author="AbbVie19" w:date="2025-04-16T12:22:00Z"/>
          <w:i/>
          <w:iCs/>
        </w:rPr>
      </w:pPr>
      <w:del w:id="12770" w:author="AbbVie19" w:date="2025-04-16T12:22:00Z">
        <w:r>
          <w:rPr>
            <w:i/>
            <w:iCs/>
          </w:rPr>
          <w:delText>Children and adolescents from 6 years of age weighing 40 kg or more</w:delText>
        </w:r>
      </w:del>
    </w:p>
    <w:p w14:paraId="47C8FF19" w14:textId="77777777" w:rsidR="00C53F7F" w:rsidRDefault="00C53F7F" w:rsidP="00C53F7F">
      <w:pPr>
        <w:numPr>
          <w:ilvl w:val="12"/>
          <w:numId w:val="0"/>
        </w:numPr>
        <w:tabs>
          <w:tab w:val="clear" w:pos="562"/>
        </w:tabs>
        <w:ind w:right="-2"/>
        <w:rPr>
          <w:del w:id="12771" w:author="AbbVie19" w:date="2025-04-16T12:22:00Z"/>
          <w:i/>
          <w:iCs/>
        </w:rPr>
      </w:pPr>
    </w:p>
    <w:p w14:paraId="04EF4E95" w14:textId="77777777" w:rsidR="00C53F7F" w:rsidRDefault="00944B8F" w:rsidP="00C53F7F">
      <w:pPr>
        <w:numPr>
          <w:ilvl w:val="12"/>
          <w:numId w:val="0"/>
        </w:numPr>
        <w:tabs>
          <w:tab w:val="clear" w:pos="562"/>
        </w:tabs>
        <w:ind w:right="-2"/>
        <w:rPr>
          <w:del w:id="12772" w:author="AbbVie19" w:date="2025-04-16T12:22:00Z"/>
        </w:rPr>
      </w:pPr>
      <w:del w:id="12773" w:author="AbbVie19" w:date="2025-04-16T12:22:00Z">
        <w:r>
          <w:delText xml:space="preserve">The usual Humira dose is 160 mg (as </w:delText>
        </w:r>
        <w:r w:rsidRPr="00D5591F">
          <w:delText>four 40 mg injections in one day or two 40 mg injections per day for two consecutive days</w:delText>
        </w:r>
        <w:r>
          <w:delText>) initially, followed by 80 mg (</w:delText>
        </w:r>
        <w:r w:rsidR="002F1A1F">
          <w:delText xml:space="preserve">as </w:delText>
        </w:r>
        <w:r>
          <w:delText xml:space="preserve">two 40 mg injections in one day) two weeks later. Thereafter the usual dose is 80 mg every other week. </w:delText>
        </w:r>
      </w:del>
    </w:p>
    <w:p w14:paraId="6BA65E34" w14:textId="77777777" w:rsidR="00C53F7F" w:rsidRPr="00DA728B" w:rsidRDefault="00C53F7F" w:rsidP="00C53F7F">
      <w:pPr>
        <w:numPr>
          <w:ilvl w:val="12"/>
          <w:numId w:val="0"/>
        </w:numPr>
        <w:tabs>
          <w:tab w:val="clear" w:pos="562"/>
        </w:tabs>
        <w:ind w:right="-2"/>
        <w:rPr>
          <w:del w:id="12774" w:author="AbbVie19" w:date="2025-04-16T12:22:00Z"/>
        </w:rPr>
      </w:pPr>
    </w:p>
    <w:p w14:paraId="6878D3F2" w14:textId="77777777" w:rsidR="00C53F7F" w:rsidRDefault="00944B8F" w:rsidP="00C53F7F">
      <w:pPr>
        <w:numPr>
          <w:ilvl w:val="12"/>
          <w:numId w:val="0"/>
        </w:numPr>
        <w:tabs>
          <w:tab w:val="clear" w:pos="562"/>
        </w:tabs>
        <w:ind w:right="-2"/>
        <w:rPr>
          <w:del w:id="12775" w:author="AbbVie19" w:date="2025-04-16T12:22:00Z"/>
        </w:rPr>
      </w:pPr>
      <w:del w:id="12776" w:author="AbbVie19" w:date="2025-04-16T12:22:00Z">
        <w:r w:rsidRPr="00AF74C0">
          <w:delText xml:space="preserve">Patients who turn 18 </w:delText>
        </w:r>
        <w:r>
          <w:delText xml:space="preserve">years of age </w:delText>
        </w:r>
        <w:r w:rsidRPr="00AF74C0">
          <w:delText xml:space="preserve">while on </w:delText>
        </w:r>
        <w:r>
          <w:delText xml:space="preserve">80 mg every other week, </w:delText>
        </w:r>
        <w:r w:rsidRPr="00AF74C0">
          <w:delText>should continue their prescribed dose.</w:delText>
        </w:r>
      </w:del>
    </w:p>
    <w:p w14:paraId="7E67C9D8" w14:textId="77777777" w:rsidR="009E177D" w:rsidRDefault="009E177D" w:rsidP="00BC0E7E">
      <w:pPr>
        <w:numPr>
          <w:ilvl w:val="12"/>
          <w:numId w:val="0"/>
        </w:numPr>
        <w:tabs>
          <w:tab w:val="clear" w:pos="562"/>
        </w:tabs>
        <w:ind w:right="-2"/>
        <w:rPr>
          <w:del w:id="12777" w:author="AbbVie19" w:date="2025-04-16T12:22:00Z"/>
          <w:u w:val="single"/>
        </w:rPr>
      </w:pPr>
    </w:p>
    <w:p w14:paraId="6EB768FD" w14:textId="77777777" w:rsidR="00BC0E7E" w:rsidRPr="00BC0E7E" w:rsidRDefault="00944B8F" w:rsidP="00BC0E7E">
      <w:pPr>
        <w:numPr>
          <w:ilvl w:val="12"/>
          <w:numId w:val="0"/>
        </w:numPr>
        <w:tabs>
          <w:tab w:val="clear" w:pos="562"/>
        </w:tabs>
        <w:ind w:right="-2"/>
        <w:rPr>
          <w:del w:id="12778" w:author="AbbVie19" w:date="2025-04-16T12:22:00Z"/>
          <w:u w:val="single"/>
        </w:rPr>
      </w:pPr>
      <w:del w:id="12779" w:author="AbbVie19" w:date="2025-04-16T12:22:00Z">
        <w:r w:rsidRPr="00BC0E7E">
          <w:rPr>
            <w:u w:val="single"/>
          </w:rPr>
          <w:delText>Adults with non-infectious uveitis</w:delText>
        </w:r>
      </w:del>
    </w:p>
    <w:p w14:paraId="0D43A621" w14:textId="77777777" w:rsidR="00BC0E7E" w:rsidRPr="00BC0E7E" w:rsidRDefault="00BC0E7E" w:rsidP="00BC0E7E">
      <w:pPr>
        <w:numPr>
          <w:ilvl w:val="12"/>
          <w:numId w:val="0"/>
        </w:numPr>
        <w:tabs>
          <w:tab w:val="clear" w:pos="562"/>
        </w:tabs>
        <w:ind w:right="-2"/>
        <w:rPr>
          <w:del w:id="12780" w:author="AbbVie19" w:date="2025-04-16T12:22:00Z"/>
        </w:rPr>
      </w:pPr>
    </w:p>
    <w:p w14:paraId="7748E8F9" w14:textId="77777777" w:rsidR="00BC0E7E" w:rsidRPr="00BC0E7E" w:rsidRDefault="00944B8F" w:rsidP="00BC0E7E">
      <w:pPr>
        <w:numPr>
          <w:ilvl w:val="12"/>
          <w:numId w:val="0"/>
        </w:numPr>
        <w:tabs>
          <w:tab w:val="clear" w:pos="562"/>
        </w:tabs>
        <w:ind w:right="-2"/>
        <w:rPr>
          <w:del w:id="12781" w:author="AbbVie19" w:date="2025-04-16T12:22:00Z"/>
        </w:rPr>
      </w:pPr>
      <w:del w:id="12782" w:author="AbbVie19" w:date="2025-04-16T12:22:00Z">
        <w:r w:rsidRPr="00BC0E7E">
          <w:delText>The usual dose for adults with non-infectious uveitis is an initial dose of 80 mg</w:delText>
        </w:r>
        <w:r w:rsidR="00AC7D89">
          <w:delText xml:space="preserve"> (as two injections in one day)</w:delText>
        </w:r>
        <w:r w:rsidRPr="00BC0E7E">
          <w:delText>, followed by 40 mg given every other week starting one week after the initial dose. You should continue to inject Humira for as long as your doctor has told you.</w:delText>
        </w:r>
      </w:del>
    </w:p>
    <w:p w14:paraId="431E8002" w14:textId="77777777" w:rsidR="00BC0E7E" w:rsidRPr="00BC0E7E" w:rsidRDefault="00BC0E7E" w:rsidP="00BC0E7E">
      <w:pPr>
        <w:numPr>
          <w:ilvl w:val="12"/>
          <w:numId w:val="0"/>
        </w:numPr>
        <w:ind w:right="-2"/>
        <w:rPr>
          <w:del w:id="12783" w:author="AbbVie19" w:date="2025-04-16T12:22:00Z"/>
        </w:rPr>
      </w:pPr>
    </w:p>
    <w:p w14:paraId="0421A7C5" w14:textId="77777777" w:rsidR="00BC0E7E" w:rsidRPr="00BC0E7E" w:rsidRDefault="00944B8F" w:rsidP="00BC0E7E">
      <w:pPr>
        <w:numPr>
          <w:ilvl w:val="12"/>
          <w:numId w:val="0"/>
        </w:numPr>
        <w:tabs>
          <w:tab w:val="clear" w:pos="562"/>
        </w:tabs>
        <w:ind w:right="-2"/>
        <w:rPr>
          <w:del w:id="12784" w:author="AbbVie19" w:date="2025-04-16T12:22:00Z"/>
        </w:rPr>
      </w:pPr>
      <w:del w:id="12785" w:author="AbbVie19" w:date="2025-04-16T12:22:00Z">
        <w:r w:rsidRPr="00BC0E7E">
          <w:delText>In non-infectious uveitis, corticosteroids or other medicines that influence the immune system may be continued while using Humira. Humira can also be given alone.</w:delText>
        </w:r>
      </w:del>
    </w:p>
    <w:p w14:paraId="1A2DD848" w14:textId="77777777" w:rsidR="00BC0E7E" w:rsidRPr="00BC0E7E" w:rsidRDefault="00BC0E7E" w:rsidP="00BC0E7E">
      <w:pPr>
        <w:numPr>
          <w:ilvl w:val="12"/>
          <w:numId w:val="0"/>
        </w:numPr>
        <w:ind w:right="-2"/>
        <w:rPr>
          <w:del w:id="12786" w:author="AbbVie19" w:date="2025-04-16T12:22:00Z"/>
        </w:rPr>
      </w:pPr>
    </w:p>
    <w:p w14:paraId="6BCEFFF8" w14:textId="77777777" w:rsidR="00BC0E7E" w:rsidRPr="00BC0E7E" w:rsidRDefault="00944B8F" w:rsidP="00BC0E7E">
      <w:pPr>
        <w:numPr>
          <w:ilvl w:val="12"/>
          <w:numId w:val="0"/>
        </w:numPr>
        <w:tabs>
          <w:tab w:val="clear" w:pos="562"/>
          <w:tab w:val="left" w:pos="708"/>
        </w:tabs>
        <w:ind w:right="-2"/>
        <w:rPr>
          <w:del w:id="12787" w:author="AbbVie19" w:date="2025-04-16T12:22:00Z"/>
          <w:u w:val="single"/>
        </w:rPr>
      </w:pPr>
      <w:del w:id="12788" w:author="AbbVie19" w:date="2025-04-16T12:22:00Z">
        <w:r w:rsidRPr="00BC0E7E">
          <w:rPr>
            <w:u w:val="single"/>
          </w:rPr>
          <w:delText xml:space="preserve">Children </w:delText>
        </w:r>
        <w:r w:rsidR="00AC7D89">
          <w:rPr>
            <w:u w:val="single"/>
          </w:rPr>
          <w:delText xml:space="preserve">and adolescents </w:delText>
        </w:r>
        <w:r w:rsidRPr="00BC0E7E">
          <w:rPr>
            <w:u w:val="single"/>
          </w:rPr>
          <w:delText>with chronic non-infectious uveitis from 2 years of age</w:delText>
        </w:r>
      </w:del>
    </w:p>
    <w:p w14:paraId="7F3EC7AC" w14:textId="77777777" w:rsidR="00BC0E7E" w:rsidRPr="00BC0E7E" w:rsidRDefault="00BC0E7E" w:rsidP="00BC0E7E">
      <w:pPr>
        <w:numPr>
          <w:ilvl w:val="12"/>
          <w:numId w:val="0"/>
        </w:numPr>
        <w:tabs>
          <w:tab w:val="clear" w:pos="562"/>
          <w:tab w:val="left" w:pos="708"/>
        </w:tabs>
        <w:ind w:right="-2"/>
        <w:rPr>
          <w:del w:id="12789" w:author="AbbVie19" w:date="2025-04-16T12:22:00Z"/>
        </w:rPr>
      </w:pPr>
    </w:p>
    <w:p w14:paraId="267F17FC" w14:textId="77777777" w:rsidR="00AC7D89" w:rsidRPr="00DF1592" w:rsidRDefault="00944B8F" w:rsidP="00AC7D89">
      <w:pPr>
        <w:numPr>
          <w:ilvl w:val="12"/>
          <w:numId w:val="0"/>
        </w:numPr>
        <w:tabs>
          <w:tab w:val="clear" w:pos="562"/>
          <w:tab w:val="left" w:pos="708"/>
        </w:tabs>
        <w:ind w:right="-2"/>
        <w:rPr>
          <w:del w:id="12790" w:author="AbbVie19" w:date="2025-04-16T12:22:00Z"/>
        </w:rPr>
      </w:pPr>
      <w:del w:id="12791" w:author="AbbVie19" w:date="2025-04-16T12:22:00Z">
        <w:r>
          <w:rPr>
            <w:bCs/>
            <w:i/>
          </w:rPr>
          <w:delText>Children and adolescents from 2</w:delText>
        </w:r>
        <w:r w:rsidR="002D05CB">
          <w:rPr>
            <w:bCs/>
            <w:i/>
          </w:rPr>
          <w:delText> </w:delText>
        </w:r>
        <w:r>
          <w:rPr>
            <w:bCs/>
            <w:i/>
          </w:rPr>
          <w:delText>years of age weighing less than 30</w:delText>
        </w:r>
        <w:r w:rsidR="002D05CB">
          <w:rPr>
            <w:bCs/>
            <w:i/>
          </w:rPr>
          <w:delText> </w:delText>
        </w:r>
        <w:r>
          <w:rPr>
            <w:bCs/>
            <w:i/>
          </w:rPr>
          <w:delText>kg</w:delText>
        </w:r>
      </w:del>
    </w:p>
    <w:p w14:paraId="74C7D3D1" w14:textId="77777777" w:rsidR="00BC0E7E" w:rsidRPr="00BC0E7E" w:rsidRDefault="00BC0E7E" w:rsidP="00BC0E7E">
      <w:pPr>
        <w:numPr>
          <w:ilvl w:val="12"/>
          <w:numId w:val="0"/>
        </w:numPr>
        <w:tabs>
          <w:tab w:val="clear" w:pos="562"/>
          <w:tab w:val="left" w:pos="708"/>
        </w:tabs>
        <w:ind w:right="-2"/>
        <w:rPr>
          <w:del w:id="12792" w:author="AbbVie19" w:date="2025-04-16T12:22:00Z"/>
        </w:rPr>
      </w:pPr>
    </w:p>
    <w:p w14:paraId="3115FEC0" w14:textId="77777777" w:rsidR="00BC0E7E" w:rsidRPr="00BC0E7E" w:rsidRDefault="00944B8F" w:rsidP="00BC0E7E">
      <w:pPr>
        <w:rPr>
          <w:del w:id="12793" w:author="AbbVie19" w:date="2025-04-16T12:22:00Z"/>
        </w:rPr>
      </w:pPr>
      <w:del w:id="12794" w:author="AbbVie19" w:date="2025-04-16T12:22:00Z">
        <w:r w:rsidRPr="00BC0E7E">
          <w:delText>The usual dose of Humira is 20 mg every other week with methotrexate.</w:delText>
        </w:r>
      </w:del>
    </w:p>
    <w:p w14:paraId="33DACF1D" w14:textId="77777777" w:rsidR="00BC0E7E" w:rsidRPr="00BC0E7E" w:rsidRDefault="00BC0E7E" w:rsidP="00BC0E7E">
      <w:pPr>
        <w:rPr>
          <w:del w:id="12795" w:author="AbbVie19" w:date="2025-04-16T12:22:00Z"/>
        </w:rPr>
      </w:pPr>
    </w:p>
    <w:p w14:paraId="6C484A53" w14:textId="77777777" w:rsidR="00BC0E7E" w:rsidRPr="00BC0E7E" w:rsidRDefault="00944B8F" w:rsidP="00BC0E7E">
      <w:pPr>
        <w:rPr>
          <w:del w:id="12796" w:author="AbbVie19" w:date="2025-04-16T12:22:00Z"/>
          <w:strike/>
        </w:rPr>
      </w:pPr>
      <w:del w:id="12797" w:author="AbbVie19" w:date="2025-04-16T12:22:00Z">
        <w:r w:rsidRPr="00BC0E7E">
          <w:delText>Your doctor may also prescribe an initial dose of 40 mg which may be administered one week prior to the start of the</w:delText>
        </w:r>
        <w:r w:rsidRPr="00BC0E7E">
          <w:rPr>
            <w:bCs/>
          </w:rPr>
          <w:delText xml:space="preserve"> usual dose.</w:delText>
        </w:r>
      </w:del>
    </w:p>
    <w:p w14:paraId="2C58343C" w14:textId="77777777" w:rsidR="00BC0E7E" w:rsidRPr="00BC0E7E" w:rsidRDefault="00BC0E7E" w:rsidP="00BC0E7E">
      <w:pPr>
        <w:rPr>
          <w:del w:id="12798" w:author="AbbVie19" w:date="2025-04-16T12:22:00Z"/>
        </w:rPr>
      </w:pPr>
    </w:p>
    <w:p w14:paraId="4ED8B2CB" w14:textId="77777777" w:rsidR="00AC7D89" w:rsidRDefault="00944B8F" w:rsidP="00AC7D89">
      <w:pPr>
        <w:rPr>
          <w:del w:id="12799" w:author="AbbVie19" w:date="2025-04-16T12:22:00Z"/>
          <w:bCs/>
          <w:i/>
        </w:rPr>
      </w:pPr>
      <w:del w:id="12800" w:author="AbbVie19" w:date="2025-04-16T12:22:00Z">
        <w:r>
          <w:rPr>
            <w:bCs/>
            <w:i/>
          </w:rPr>
          <w:delText>Children and adolescents from 2</w:delText>
        </w:r>
        <w:r w:rsidR="002D05CB">
          <w:rPr>
            <w:bCs/>
            <w:i/>
          </w:rPr>
          <w:delText> </w:delText>
        </w:r>
        <w:r>
          <w:rPr>
            <w:bCs/>
            <w:i/>
          </w:rPr>
          <w:delText>years of age weighing 30</w:delText>
        </w:r>
        <w:r w:rsidR="002D05CB">
          <w:rPr>
            <w:bCs/>
            <w:i/>
          </w:rPr>
          <w:delText> </w:delText>
        </w:r>
        <w:r>
          <w:rPr>
            <w:bCs/>
            <w:i/>
          </w:rPr>
          <w:delText>kg or more</w:delText>
        </w:r>
      </w:del>
    </w:p>
    <w:p w14:paraId="6A4FFD25" w14:textId="77777777" w:rsidR="00BC0E7E" w:rsidRPr="00BC0E7E" w:rsidRDefault="00BC0E7E" w:rsidP="00BC0E7E">
      <w:pPr>
        <w:rPr>
          <w:del w:id="12801" w:author="AbbVie19" w:date="2025-04-16T12:22:00Z"/>
        </w:rPr>
      </w:pPr>
    </w:p>
    <w:p w14:paraId="19AF67C2" w14:textId="77777777" w:rsidR="00BC0E7E" w:rsidRPr="00BC0E7E" w:rsidRDefault="00944B8F" w:rsidP="00BC0E7E">
      <w:pPr>
        <w:rPr>
          <w:del w:id="12802" w:author="AbbVie19" w:date="2025-04-16T12:22:00Z"/>
        </w:rPr>
      </w:pPr>
      <w:del w:id="12803" w:author="AbbVie19" w:date="2025-04-16T12:22:00Z">
        <w:r w:rsidRPr="00BC0E7E">
          <w:delText>The usual dose of Humira is 40 mg every other week with methotrexate.</w:delText>
        </w:r>
      </w:del>
    </w:p>
    <w:p w14:paraId="792C45DB" w14:textId="77777777" w:rsidR="00BC0E7E" w:rsidRPr="00BC0E7E" w:rsidRDefault="00BC0E7E" w:rsidP="00BC0E7E">
      <w:pPr>
        <w:rPr>
          <w:del w:id="12804" w:author="AbbVie19" w:date="2025-04-16T12:22:00Z"/>
        </w:rPr>
      </w:pPr>
    </w:p>
    <w:p w14:paraId="3280CE3B" w14:textId="77777777" w:rsidR="00BC0E7E" w:rsidRPr="00BC0E7E" w:rsidRDefault="00944B8F" w:rsidP="00BC0E7E">
      <w:pPr>
        <w:numPr>
          <w:ilvl w:val="12"/>
          <w:numId w:val="0"/>
        </w:numPr>
        <w:ind w:right="-2"/>
        <w:rPr>
          <w:del w:id="12805" w:author="AbbVie19" w:date="2025-04-16T12:22:00Z"/>
          <w:bCs/>
        </w:rPr>
      </w:pPr>
      <w:del w:id="12806" w:author="AbbVie19" w:date="2025-04-16T12:22:00Z">
        <w:r w:rsidRPr="00BC0E7E">
          <w:delText>Your doctor may also prescribe an initial dose of 80 mg which may be administered one week prior to the start of the</w:delText>
        </w:r>
        <w:r w:rsidRPr="00BC0E7E">
          <w:rPr>
            <w:bCs/>
          </w:rPr>
          <w:delText xml:space="preserve"> usual dose.</w:delText>
        </w:r>
      </w:del>
    </w:p>
    <w:p w14:paraId="12748806" w14:textId="77777777" w:rsidR="00BC0E7E" w:rsidRPr="00BC0E7E" w:rsidRDefault="00BC0E7E" w:rsidP="00BC0E7E">
      <w:pPr>
        <w:numPr>
          <w:ilvl w:val="12"/>
          <w:numId w:val="0"/>
        </w:numPr>
        <w:ind w:right="-2"/>
        <w:rPr>
          <w:del w:id="12807" w:author="AbbVie19" w:date="2025-04-16T12:22:00Z"/>
        </w:rPr>
      </w:pPr>
    </w:p>
    <w:p w14:paraId="1B9318D0" w14:textId="77777777" w:rsidR="00BC0E7E" w:rsidRPr="00BC0E7E" w:rsidRDefault="00944B8F" w:rsidP="00BC0E7E">
      <w:pPr>
        <w:keepNext/>
        <w:rPr>
          <w:del w:id="12808" w:author="AbbVie19" w:date="2025-04-16T12:22:00Z"/>
          <w:b/>
          <w:szCs w:val="20"/>
        </w:rPr>
      </w:pPr>
      <w:del w:id="12809" w:author="AbbVie19" w:date="2025-04-16T12:22:00Z">
        <w:r w:rsidRPr="00BC0E7E">
          <w:rPr>
            <w:b/>
            <w:szCs w:val="20"/>
          </w:rPr>
          <w:delText>Method and route of administration</w:delText>
        </w:r>
      </w:del>
    </w:p>
    <w:p w14:paraId="752B93BD" w14:textId="77777777" w:rsidR="00BC0E7E" w:rsidRPr="00BC0E7E" w:rsidRDefault="00BC0E7E" w:rsidP="00BC0E7E">
      <w:pPr>
        <w:keepNext/>
        <w:rPr>
          <w:del w:id="12810" w:author="AbbVie19" w:date="2025-04-16T12:22:00Z"/>
          <w:szCs w:val="20"/>
        </w:rPr>
      </w:pPr>
    </w:p>
    <w:p w14:paraId="23CFB1FF" w14:textId="77777777" w:rsidR="00BC0E7E" w:rsidRPr="00BC0E7E" w:rsidRDefault="00944B8F" w:rsidP="00BC0E7E">
      <w:pPr>
        <w:keepNext/>
        <w:rPr>
          <w:del w:id="12811" w:author="AbbVie19" w:date="2025-04-16T12:22:00Z"/>
          <w:bCs/>
          <w:szCs w:val="20"/>
        </w:rPr>
      </w:pPr>
      <w:del w:id="12812" w:author="AbbVie19" w:date="2025-04-16T12:22:00Z">
        <w:r w:rsidRPr="00BC0E7E">
          <w:rPr>
            <w:bCs/>
            <w:szCs w:val="20"/>
          </w:rPr>
          <w:delText>Humira is administered by injection under the skin (by subcutaneous injection).</w:delText>
        </w:r>
      </w:del>
    </w:p>
    <w:p w14:paraId="71EC52AF" w14:textId="77777777" w:rsidR="00BC0E7E" w:rsidRPr="00BC0E7E" w:rsidRDefault="00BC0E7E" w:rsidP="00BC0E7E">
      <w:pPr>
        <w:rPr>
          <w:del w:id="12813" w:author="AbbVie19" w:date="2025-04-16T12:22:00Z"/>
          <w:szCs w:val="20"/>
        </w:rPr>
      </w:pPr>
    </w:p>
    <w:p w14:paraId="122CF59E" w14:textId="77777777" w:rsidR="00BC0E7E" w:rsidRPr="00BC0E7E" w:rsidRDefault="00944B8F" w:rsidP="00BC0E7E">
      <w:pPr>
        <w:rPr>
          <w:del w:id="12814" w:author="AbbVie19" w:date="2025-04-16T12:22:00Z"/>
          <w:b/>
          <w:szCs w:val="20"/>
        </w:rPr>
      </w:pPr>
      <w:del w:id="12815" w:author="AbbVie19" w:date="2025-04-16T12:22:00Z">
        <w:r w:rsidRPr="00BC0E7E">
          <w:rPr>
            <w:b/>
            <w:szCs w:val="20"/>
          </w:rPr>
          <w:delText>Injecting Humira yourself</w:delText>
        </w:r>
      </w:del>
    </w:p>
    <w:p w14:paraId="61D7738E" w14:textId="77777777" w:rsidR="00BC0E7E" w:rsidRPr="00BC0E7E" w:rsidRDefault="00BC0E7E" w:rsidP="00BC0E7E">
      <w:pPr>
        <w:rPr>
          <w:del w:id="12816" w:author="AbbVie19" w:date="2025-04-16T12:22:00Z"/>
          <w:szCs w:val="20"/>
        </w:rPr>
      </w:pPr>
    </w:p>
    <w:p w14:paraId="21790187" w14:textId="77777777" w:rsidR="00BC0E7E" w:rsidRPr="00BC0E7E" w:rsidRDefault="00944B8F" w:rsidP="00BC0E7E">
      <w:pPr>
        <w:rPr>
          <w:del w:id="12817" w:author="AbbVie19" w:date="2025-04-16T12:22:00Z"/>
        </w:rPr>
      </w:pPr>
      <w:del w:id="12818" w:author="AbbVie19" w:date="2025-04-16T12:22:00Z">
        <w:r w:rsidRPr="00BC0E7E">
          <w:delText>The following instructions explain how to give yourself an injection of Humira using the pre-filled pen. Please read the instructions carefully and follow them step by step. You will be instructed by your doctor or his/her assistant on the technique of self-injection. Do not attempt to self-inject until you are sure that you understand how to prepare and give the injection. After proper training, the injection can be self-administered or given by another person, for example a family member or friend.</w:delText>
        </w:r>
      </w:del>
    </w:p>
    <w:p w14:paraId="3A3C63F2" w14:textId="77777777" w:rsidR="00BC0E7E" w:rsidRPr="00BC0E7E" w:rsidRDefault="00BC0E7E" w:rsidP="00BC0E7E">
      <w:pPr>
        <w:rPr>
          <w:del w:id="12819" w:author="AbbVie19" w:date="2025-04-16T12:22:00Z"/>
        </w:rPr>
      </w:pPr>
    </w:p>
    <w:p w14:paraId="39D314D4" w14:textId="77777777" w:rsidR="00BC0E7E" w:rsidRPr="00BC0E7E" w:rsidRDefault="00944B8F" w:rsidP="00217DCA">
      <w:pPr>
        <w:keepNext/>
        <w:rPr>
          <w:del w:id="12820" w:author="AbbVie19" w:date="2025-04-16T12:22:00Z"/>
          <w:b/>
          <w:szCs w:val="20"/>
        </w:rPr>
      </w:pPr>
      <w:del w:id="12821" w:author="AbbVie19" w:date="2025-04-16T12:22:00Z">
        <w:r w:rsidRPr="00BC0E7E">
          <w:rPr>
            <w:b/>
            <w:szCs w:val="20"/>
          </w:rPr>
          <w:lastRenderedPageBreak/>
          <w:delText>What should I do before I give myself a subcutaneous injection of Humira?</w:delText>
        </w:r>
      </w:del>
    </w:p>
    <w:p w14:paraId="71D2E1A7" w14:textId="77777777" w:rsidR="00BC0E7E" w:rsidRPr="00BC0E7E" w:rsidRDefault="00BC0E7E" w:rsidP="00217DCA">
      <w:pPr>
        <w:keepNext/>
        <w:rPr>
          <w:del w:id="12822" w:author="AbbVie19" w:date="2025-04-16T12:22:00Z"/>
          <w:b/>
          <w:szCs w:val="20"/>
        </w:rPr>
      </w:pPr>
    </w:p>
    <w:p w14:paraId="4227BF4D" w14:textId="77777777" w:rsidR="00BC0E7E" w:rsidRPr="00BC0E7E" w:rsidRDefault="00944B8F" w:rsidP="00217DCA">
      <w:pPr>
        <w:keepNext/>
        <w:ind w:left="550" w:hanging="550"/>
        <w:rPr>
          <w:del w:id="12823" w:author="AbbVie19" w:date="2025-04-16T12:22:00Z"/>
          <w:szCs w:val="20"/>
        </w:rPr>
      </w:pPr>
      <w:del w:id="12824" w:author="AbbVie19" w:date="2025-04-16T12:22:00Z">
        <w:r w:rsidRPr="00BC0E7E">
          <w:rPr>
            <w:szCs w:val="20"/>
          </w:rPr>
          <w:delText>1.</w:delText>
        </w:r>
        <w:r w:rsidRPr="00BC0E7E">
          <w:rPr>
            <w:szCs w:val="20"/>
          </w:rPr>
          <w:tab/>
          <w:delText xml:space="preserve">Wash your hands thoroughly. </w:delText>
        </w:r>
      </w:del>
    </w:p>
    <w:p w14:paraId="09E2BBBA" w14:textId="77777777" w:rsidR="00BC0E7E" w:rsidRPr="00BC0E7E" w:rsidRDefault="00944B8F" w:rsidP="00BC0E7E">
      <w:pPr>
        <w:keepNext/>
        <w:ind w:left="550" w:hanging="550"/>
        <w:rPr>
          <w:del w:id="12825" w:author="AbbVie19" w:date="2025-04-16T12:22:00Z"/>
          <w:szCs w:val="20"/>
        </w:rPr>
      </w:pPr>
      <w:del w:id="12826" w:author="AbbVie19" w:date="2025-04-16T12:22:00Z">
        <w:r w:rsidRPr="00BC0E7E">
          <w:rPr>
            <w:szCs w:val="20"/>
          </w:rPr>
          <w:delText xml:space="preserve">2. </w:delText>
        </w:r>
        <w:r w:rsidRPr="00BC0E7E">
          <w:rPr>
            <w:szCs w:val="20"/>
          </w:rPr>
          <w:tab/>
          <w:delText xml:space="preserve">Take one dose tray containing a pre-filled pen of Humira from the refrigerator. </w:delText>
        </w:r>
      </w:del>
    </w:p>
    <w:p w14:paraId="5A487E60" w14:textId="77777777" w:rsidR="00BC0E7E" w:rsidRPr="00BC0E7E" w:rsidRDefault="00944B8F" w:rsidP="00BC0E7E">
      <w:pPr>
        <w:keepNext/>
        <w:ind w:left="550" w:hanging="550"/>
        <w:rPr>
          <w:del w:id="12827" w:author="AbbVie19" w:date="2025-04-16T12:22:00Z"/>
          <w:szCs w:val="20"/>
        </w:rPr>
      </w:pPr>
      <w:del w:id="12828" w:author="AbbVie19" w:date="2025-04-16T12:22:00Z">
        <w:r w:rsidRPr="00BC0E7E">
          <w:rPr>
            <w:szCs w:val="20"/>
          </w:rPr>
          <w:delText xml:space="preserve">3. </w:delText>
        </w:r>
        <w:r w:rsidRPr="00BC0E7E">
          <w:rPr>
            <w:szCs w:val="20"/>
          </w:rPr>
          <w:tab/>
          <w:delText>Do not shake or drop the pre-filled pen.</w:delText>
        </w:r>
      </w:del>
    </w:p>
    <w:p w14:paraId="2A24FE5F" w14:textId="77777777" w:rsidR="00BC0E7E" w:rsidRPr="00BC0E7E" w:rsidRDefault="00944B8F" w:rsidP="00BC0E7E">
      <w:pPr>
        <w:keepNext/>
        <w:ind w:left="550" w:hanging="550"/>
        <w:rPr>
          <w:del w:id="12829" w:author="AbbVie19" w:date="2025-04-16T12:22:00Z"/>
          <w:szCs w:val="20"/>
        </w:rPr>
      </w:pPr>
      <w:del w:id="12830" w:author="AbbVie19" w:date="2025-04-16T12:22:00Z">
        <w:r w:rsidRPr="00BC0E7E">
          <w:rPr>
            <w:szCs w:val="20"/>
          </w:rPr>
          <w:delText xml:space="preserve">4. </w:delText>
        </w:r>
        <w:r w:rsidRPr="00BC0E7E">
          <w:rPr>
            <w:szCs w:val="20"/>
          </w:rPr>
          <w:tab/>
          <w:delText>Set up the following items on a clean surface.</w:delText>
        </w:r>
      </w:del>
    </w:p>
    <w:p w14:paraId="683F3FA7" w14:textId="77777777" w:rsidR="00BC0E7E" w:rsidRPr="00BC0E7E" w:rsidRDefault="00BC0E7E" w:rsidP="00BC0E7E">
      <w:pPr>
        <w:ind w:left="550" w:hanging="550"/>
        <w:rPr>
          <w:del w:id="12831" w:author="AbbVie19" w:date="2025-04-16T12:22:00Z"/>
        </w:rPr>
      </w:pPr>
    </w:p>
    <w:p w14:paraId="5D79CBE6" w14:textId="77777777" w:rsidR="00BC0E7E" w:rsidRPr="00BC0E7E" w:rsidRDefault="00944B8F" w:rsidP="00BC0E7E">
      <w:pPr>
        <w:tabs>
          <w:tab w:val="clear" w:pos="562"/>
        </w:tabs>
        <w:ind w:left="1100" w:hanging="550"/>
        <w:rPr>
          <w:del w:id="12832" w:author="AbbVie19" w:date="2025-04-16T12:22:00Z"/>
          <w:szCs w:val="20"/>
        </w:rPr>
      </w:pPr>
      <w:del w:id="12833" w:author="AbbVie19" w:date="2025-04-16T12:22:00Z">
        <w:r w:rsidRPr="00BC0E7E">
          <w:rPr>
            <w:szCs w:val="20"/>
          </w:rPr>
          <w:delText>One pre-filled pen of Humira</w:delText>
        </w:r>
        <w:r w:rsidRPr="00BC0E7E">
          <w:rPr>
            <w:szCs w:val="20"/>
          </w:rPr>
          <w:tab/>
        </w:r>
      </w:del>
    </w:p>
    <w:p w14:paraId="2490156A" w14:textId="77777777" w:rsidR="00BC0E7E" w:rsidRPr="00BC0E7E" w:rsidRDefault="00944B8F" w:rsidP="00BC0E7E">
      <w:pPr>
        <w:tabs>
          <w:tab w:val="clear" w:pos="562"/>
        </w:tabs>
        <w:ind w:left="1100" w:hanging="550"/>
        <w:rPr>
          <w:del w:id="12834" w:author="AbbVie19" w:date="2025-04-16T12:22:00Z"/>
          <w:szCs w:val="20"/>
        </w:rPr>
      </w:pPr>
      <w:del w:id="12835" w:author="AbbVie19" w:date="2025-04-16T12:22:00Z">
        <w:r w:rsidRPr="00BC0E7E">
          <w:rPr>
            <w:szCs w:val="20"/>
          </w:rPr>
          <w:delText>One alcohol pad</w:delText>
        </w:r>
      </w:del>
    </w:p>
    <w:p w14:paraId="46925BB3" w14:textId="77777777" w:rsidR="00BC0E7E" w:rsidRPr="00BC0E7E" w:rsidRDefault="00BC0E7E" w:rsidP="00BC0E7E">
      <w:pPr>
        <w:tabs>
          <w:tab w:val="clear" w:pos="562"/>
        </w:tabs>
        <w:ind w:left="1210" w:hanging="660"/>
        <w:rPr>
          <w:del w:id="12836" w:author="AbbVie19" w:date="2025-04-16T12:22:00Z"/>
        </w:rPr>
      </w:pPr>
    </w:p>
    <w:tbl>
      <w:tblPr>
        <w:tblW w:w="0" w:type="auto"/>
        <w:jc w:val="center"/>
        <w:tblLook w:val="01E0" w:firstRow="1" w:lastRow="1" w:firstColumn="1" w:lastColumn="1" w:noHBand="0" w:noVBand="0"/>
      </w:tblPr>
      <w:tblGrid>
        <w:gridCol w:w="4643"/>
        <w:gridCol w:w="4644"/>
      </w:tblGrid>
      <w:tr w:rsidR="00C6578C" w14:paraId="3A3614C0" w14:textId="77777777" w:rsidTr="00171601">
        <w:trPr>
          <w:jc w:val="center"/>
          <w:del w:id="12837" w:author="AbbVie19" w:date="2025-04-16T12:22:00Z"/>
        </w:trPr>
        <w:tc>
          <w:tcPr>
            <w:tcW w:w="4643" w:type="dxa"/>
          </w:tcPr>
          <w:p w14:paraId="77D4B3D9" w14:textId="77777777" w:rsidR="00BC0E7E" w:rsidRPr="00BC0E7E" w:rsidRDefault="00944B8F" w:rsidP="00BC0E7E">
            <w:pPr>
              <w:jc w:val="right"/>
              <w:rPr>
                <w:del w:id="12838" w:author="AbbVie19" w:date="2025-04-16T12:22:00Z"/>
                <w:i/>
                <w:iCs/>
              </w:rPr>
            </w:pPr>
            <w:del w:id="12839" w:author="AbbVie19" w:date="2025-04-16T12:22:00Z">
              <w:r>
                <w:rPr>
                  <w:i/>
                  <w:iCs/>
                  <w:noProof/>
                  <w:lang w:val="en-US"/>
                </w:rPr>
                <w:drawing>
                  <wp:inline distT="0" distB="0" distL="0" distR="0" wp14:anchorId="53A2EE52" wp14:editId="2C9DB308">
                    <wp:extent cx="1670050" cy="1605915"/>
                    <wp:effectExtent l="0" t="0" r="635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66"/>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1670050" cy="1605915"/>
                            </a:xfrm>
                            <a:prstGeom prst="rect">
                              <a:avLst/>
                            </a:prstGeom>
                            <a:noFill/>
                            <a:ln>
                              <a:noFill/>
                            </a:ln>
                          </pic:spPr>
                        </pic:pic>
                      </a:graphicData>
                    </a:graphic>
                  </wp:inline>
                </w:drawing>
              </w:r>
            </w:del>
          </w:p>
        </w:tc>
        <w:tc>
          <w:tcPr>
            <w:tcW w:w="4644" w:type="dxa"/>
          </w:tcPr>
          <w:p w14:paraId="36047329" w14:textId="77777777" w:rsidR="00BC0E7E" w:rsidRPr="00BC0E7E" w:rsidRDefault="00BC0E7E" w:rsidP="00BC0E7E">
            <w:pPr>
              <w:rPr>
                <w:del w:id="12840" w:author="AbbVie19" w:date="2025-04-16T12:22:00Z"/>
                <w:iCs/>
              </w:rPr>
            </w:pPr>
          </w:p>
          <w:p w14:paraId="63C2B1F3" w14:textId="77777777" w:rsidR="00BC0E7E" w:rsidRPr="00BC0E7E" w:rsidRDefault="00BC0E7E" w:rsidP="00BC0E7E">
            <w:pPr>
              <w:rPr>
                <w:del w:id="12841" w:author="AbbVie19" w:date="2025-04-16T12:22:00Z"/>
                <w:iCs/>
              </w:rPr>
            </w:pPr>
          </w:p>
          <w:p w14:paraId="3F31B11C" w14:textId="77777777" w:rsidR="00BC0E7E" w:rsidRPr="00BC0E7E" w:rsidRDefault="00944B8F" w:rsidP="00BC0E7E">
            <w:pPr>
              <w:rPr>
                <w:del w:id="12842" w:author="AbbVie19" w:date="2025-04-16T12:22:00Z"/>
              </w:rPr>
            </w:pPr>
            <w:del w:id="12843" w:author="AbbVie19" w:date="2025-04-16T12:22:00Z">
              <w:r w:rsidRPr="00BC0E7E">
                <w:delText>Pad</w:delText>
              </w:r>
            </w:del>
          </w:p>
          <w:p w14:paraId="70646658" w14:textId="77777777" w:rsidR="00BC0E7E" w:rsidRPr="00BC0E7E" w:rsidRDefault="00BC0E7E" w:rsidP="00BC0E7E">
            <w:pPr>
              <w:rPr>
                <w:del w:id="12844" w:author="AbbVie19" w:date="2025-04-16T12:22:00Z"/>
              </w:rPr>
            </w:pPr>
          </w:p>
          <w:p w14:paraId="56B742BE" w14:textId="77777777" w:rsidR="00BC0E7E" w:rsidRPr="00BC0E7E" w:rsidRDefault="00BC0E7E" w:rsidP="00BC0E7E">
            <w:pPr>
              <w:rPr>
                <w:del w:id="12845" w:author="AbbVie19" w:date="2025-04-16T12:22:00Z"/>
              </w:rPr>
            </w:pPr>
          </w:p>
          <w:p w14:paraId="4F8847C4" w14:textId="77777777" w:rsidR="00BC0E7E" w:rsidRPr="00BC0E7E" w:rsidRDefault="00944B8F" w:rsidP="00BC0E7E">
            <w:pPr>
              <w:rPr>
                <w:del w:id="12846" w:author="AbbVie19" w:date="2025-04-16T12:22:00Z"/>
                <w:iCs/>
              </w:rPr>
            </w:pPr>
            <w:del w:id="12847" w:author="AbbVie19" w:date="2025-04-16T12:22:00Z">
              <w:r w:rsidRPr="00BC0E7E">
                <w:delText>Window</w:delText>
              </w:r>
            </w:del>
          </w:p>
        </w:tc>
      </w:tr>
    </w:tbl>
    <w:p w14:paraId="47C6EED4" w14:textId="77777777" w:rsidR="00BC0E7E" w:rsidRPr="00BC0E7E" w:rsidRDefault="00BC0E7E" w:rsidP="00BC0E7E">
      <w:pPr>
        <w:rPr>
          <w:del w:id="12848" w:author="AbbVie19" w:date="2025-04-16T12:22:00Z"/>
          <w:iCs/>
        </w:rPr>
      </w:pPr>
    </w:p>
    <w:p w14:paraId="35C51621" w14:textId="77777777" w:rsidR="00BC0E7E" w:rsidRPr="00BC0E7E" w:rsidRDefault="00944B8F" w:rsidP="00BC0E7E">
      <w:pPr>
        <w:ind w:left="550" w:hanging="550"/>
        <w:rPr>
          <w:del w:id="12849" w:author="AbbVie19" w:date="2025-04-16T12:22:00Z"/>
        </w:rPr>
      </w:pPr>
      <w:del w:id="12850" w:author="AbbVie19" w:date="2025-04-16T12:22:00Z">
        <w:r w:rsidRPr="00BC0E7E">
          <w:delText xml:space="preserve">5. </w:delText>
        </w:r>
        <w:r w:rsidRPr="00BC0E7E">
          <w:tab/>
          <w:delText xml:space="preserve">Check the expiry date on the pre-filled pen label </w:delText>
        </w:r>
        <w:r w:rsidRPr="00BC0E7E">
          <w:rPr>
            <w:szCs w:val="21"/>
          </w:rPr>
          <w:delText>(EXP:)</w:delText>
        </w:r>
        <w:r w:rsidRPr="00BC0E7E">
          <w:delText xml:space="preserve"> Do not use the product if the date has passed the month and year shown.</w:delText>
        </w:r>
      </w:del>
    </w:p>
    <w:p w14:paraId="64EEC508" w14:textId="77777777" w:rsidR="00BC0E7E" w:rsidRPr="00BC0E7E" w:rsidRDefault="00BC0E7E" w:rsidP="00BC0E7E">
      <w:pPr>
        <w:ind w:left="550" w:hanging="550"/>
        <w:rPr>
          <w:del w:id="12851" w:author="AbbVie19" w:date="2025-04-16T12:22:00Z"/>
        </w:rPr>
      </w:pPr>
    </w:p>
    <w:p w14:paraId="3709A3F7" w14:textId="77777777" w:rsidR="00BC0E7E" w:rsidRPr="00BC0E7E" w:rsidRDefault="00944B8F" w:rsidP="00BC0E7E">
      <w:pPr>
        <w:ind w:left="550" w:hanging="550"/>
        <w:rPr>
          <w:del w:id="12852" w:author="AbbVie19" w:date="2025-04-16T12:22:00Z"/>
        </w:rPr>
      </w:pPr>
      <w:del w:id="12853" w:author="AbbVie19" w:date="2025-04-16T12:22:00Z">
        <w:r w:rsidRPr="00BC0E7E">
          <w:delText xml:space="preserve">6. </w:delText>
        </w:r>
        <w:r w:rsidRPr="00BC0E7E">
          <w:tab/>
          <w:delText>Hold the pre-filled pen with the grey cap (labelled ‘1’) pointing up. Check the appearance of the Humira solution through the window on the sides of the pre-filled pen. It must be clear and colourless. If it is cloudy or discoloured or has flakes or particles in it, you must not use it. Do not use a pre-filled pen that is frozen or if it has been left in direct sunlight. Only remove</w:delText>
        </w:r>
        <w:bookmarkStart w:id="12854" w:name="OLE_LINK2"/>
        <w:r w:rsidRPr="00BC0E7E">
          <w:delText xml:space="preserve"> both the grey cap and the plum cap</w:delText>
        </w:r>
        <w:bookmarkEnd w:id="12854"/>
        <w:r w:rsidRPr="00BC0E7E">
          <w:delText xml:space="preserve"> </w:delText>
        </w:r>
        <w:r w:rsidRPr="00BC0E7E">
          <w:rPr>
            <w:b/>
          </w:rPr>
          <w:delText>immediately</w:delText>
        </w:r>
        <w:r w:rsidRPr="00BC0E7E">
          <w:delText xml:space="preserve"> before injection</w:delText>
        </w:r>
      </w:del>
    </w:p>
    <w:p w14:paraId="07E40F54" w14:textId="77777777" w:rsidR="00BC0E7E" w:rsidRPr="00BC0E7E" w:rsidRDefault="00BC0E7E" w:rsidP="00BC0E7E">
      <w:pPr>
        <w:ind w:left="550" w:hanging="550"/>
        <w:rPr>
          <w:del w:id="12855" w:author="AbbVie19" w:date="2025-04-16T12:22:00Z"/>
        </w:rPr>
      </w:pPr>
    </w:p>
    <w:tbl>
      <w:tblPr>
        <w:tblW w:w="0" w:type="auto"/>
        <w:tblLook w:val="01E0" w:firstRow="1" w:lastRow="1" w:firstColumn="1" w:lastColumn="1" w:noHBand="0" w:noVBand="0"/>
      </w:tblPr>
      <w:tblGrid>
        <w:gridCol w:w="4643"/>
        <w:gridCol w:w="4644"/>
      </w:tblGrid>
      <w:tr w:rsidR="00C6578C" w14:paraId="0E769D15" w14:textId="77777777" w:rsidTr="00171601">
        <w:trPr>
          <w:del w:id="12856" w:author="AbbVie19" w:date="2025-04-16T12:22:00Z"/>
        </w:trPr>
        <w:tc>
          <w:tcPr>
            <w:tcW w:w="4643" w:type="dxa"/>
          </w:tcPr>
          <w:p w14:paraId="532CBFC3" w14:textId="77777777" w:rsidR="00BC0E7E" w:rsidRPr="00BC0E7E" w:rsidRDefault="00944B8F" w:rsidP="00BC0E7E">
            <w:pPr>
              <w:tabs>
                <w:tab w:val="clear" w:pos="562"/>
              </w:tabs>
              <w:jc w:val="right"/>
              <w:rPr>
                <w:del w:id="12857" w:author="AbbVie19" w:date="2025-04-16T12:22:00Z"/>
              </w:rPr>
            </w:pPr>
            <w:del w:id="12858" w:author="AbbVie19" w:date="2025-04-16T12:22:00Z">
              <w:r>
                <w:rPr>
                  <w:noProof/>
                  <w:lang w:val="en-US"/>
                </w:rPr>
                <w:drawing>
                  <wp:inline distT="0" distB="0" distL="0" distR="0" wp14:anchorId="38E9FB52" wp14:editId="035B4239">
                    <wp:extent cx="1741170" cy="1781175"/>
                    <wp:effectExtent l="0" t="0" r="0"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67"/>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1741170" cy="1781175"/>
                            </a:xfrm>
                            <a:prstGeom prst="rect">
                              <a:avLst/>
                            </a:prstGeom>
                            <a:noFill/>
                            <a:ln>
                              <a:noFill/>
                            </a:ln>
                          </pic:spPr>
                        </pic:pic>
                      </a:graphicData>
                    </a:graphic>
                  </wp:inline>
                </w:drawing>
              </w:r>
            </w:del>
          </w:p>
        </w:tc>
        <w:tc>
          <w:tcPr>
            <w:tcW w:w="4644" w:type="dxa"/>
          </w:tcPr>
          <w:p w14:paraId="76C58928" w14:textId="77777777" w:rsidR="00BC0E7E" w:rsidRPr="00BC0E7E" w:rsidRDefault="00BC0E7E" w:rsidP="00BC0E7E">
            <w:pPr>
              <w:tabs>
                <w:tab w:val="clear" w:pos="562"/>
              </w:tabs>
              <w:rPr>
                <w:del w:id="12859" w:author="AbbVie19" w:date="2025-04-16T12:22:00Z"/>
              </w:rPr>
            </w:pPr>
          </w:p>
          <w:p w14:paraId="132BC443" w14:textId="77777777" w:rsidR="00BC0E7E" w:rsidRPr="00BC0E7E" w:rsidRDefault="00BC0E7E" w:rsidP="00BC0E7E">
            <w:pPr>
              <w:tabs>
                <w:tab w:val="clear" w:pos="562"/>
              </w:tabs>
              <w:rPr>
                <w:del w:id="12860" w:author="AbbVie19" w:date="2025-04-16T12:22:00Z"/>
              </w:rPr>
            </w:pPr>
          </w:p>
          <w:p w14:paraId="1114F437" w14:textId="77777777" w:rsidR="00BC0E7E" w:rsidRPr="00BC0E7E" w:rsidRDefault="00BC0E7E" w:rsidP="00BC0E7E">
            <w:pPr>
              <w:tabs>
                <w:tab w:val="clear" w:pos="562"/>
              </w:tabs>
              <w:rPr>
                <w:del w:id="12861" w:author="AbbVie19" w:date="2025-04-16T12:22:00Z"/>
              </w:rPr>
            </w:pPr>
          </w:p>
          <w:p w14:paraId="6BE9AC75" w14:textId="77777777" w:rsidR="00BC0E7E" w:rsidRPr="00BC0E7E" w:rsidRDefault="00944B8F" w:rsidP="00BC0E7E">
            <w:pPr>
              <w:tabs>
                <w:tab w:val="clear" w:pos="562"/>
              </w:tabs>
              <w:rPr>
                <w:del w:id="12862" w:author="AbbVie19" w:date="2025-04-16T12:22:00Z"/>
              </w:rPr>
            </w:pPr>
            <w:del w:id="12863" w:author="AbbVie19" w:date="2025-04-16T12:22:00Z">
              <w:r w:rsidRPr="00BC0E7E">
                <w:delText>Window</w:delText>
              </w:r>
            </w:del>
          </w:p>
          <w:p w14:paraId="7E89F378" w14:textId="77777777" w:rsidR="00BC0E7E" w:rsidRPr="00BC0E7E" w:rsidRDefault="00BC0E7E" w:rsidP="00BC0E7E">
            <w:pPr>
              <w:tabs>
                <w:tab w:val="clear" w:pos="562"/>
              </w:tabs>
              <w:rPr>
                <w:del w:id="12864" w:author="AbbVie19" w:date="2025-04-16T12:22:00Z"/>
              </w:rPr>
            </w:pPr>
          </w:p>
          <w:p w14:paraId="0D4E4340" w14:textId="77777777" w:rsidR="00BC0E7E" w:rsidRPr="00BC0E7E" w:rsidRDefault="00944B8F" w:rsidP="00BC0E7E">
            <w:pPr>
              <w:tabs>
                <w:tab w:val="clear" w:pos="562"/>
              </w:tabs>
              <w:rPr>
                <w:del w:id="12865" w:author="AbbVie19" w:date="2025-04-16T12:22:00Z"/>
              </w:rPr>
            </w:pPr>
            <w:del w:id="12866" w:author="AbbVie19" w:date="2025-04-16T12:22:00Z">
              <w:r w:rsidRPr="00BC0E7E">
                <w:delText>Clear Liquid in Syringe</w:delText>
              </w:r>
            </w:del>
          </w:p>
        </w:tc>
      </w:tr>
    </w:tbl>
    <w:p w14:paraId="7774F642" w14:textId="77777777" w:rsidR="00BC0E7E" w:rsidRPr="00BC0E7E" w:rsidRDefault="00BC0E7E" w:rsidP="00BC0E7E">
      <w:pPr>
        <w:rPr>
          <w:del w:id="12867" w:author="AbbVie19" w:date="2025-04-16T12:22:00Z"/>
        </w:rPr>
      </w:pPr>
    </w:p>
    <w:p w14:paraId="5D1834B1" w14:textId="77777777" w:rsidR="00BC0E7E" w:rsidRPr="00BC0E7E" w:rsidRDefault="00944B8F" w:rsidP="00BC0E7E">
      <w:pPr>
        <w:rPr>
          <w:del w:id="12868" w:author="AbbVie19" w:date="2025-04-16T12:22:00Z"/>
          <w:b/>
          <w:szCs w:val="20"/>
        </w:rPr>
      </w:pPr>
      <w:del w:id="12869" w:author="AbbVie19" w:date="2025-04-16T12:22:00Z">
        <w:r w:rsidRPr="00BC0E7E">
          <w:rPr>
            <w:b/>
            <w:szCs w:val="20"/>
          </w:rPr>
          <w:delText xml:space="preserve">Where should I give my injection? </w:delText>
        </w:r>
        <w:r w:rsidRPr="00BC0E7E">
          <w:rPr>
            <w:b/>
            <w:szCs w:val="20"/>
          </w:rPr>
          <w:tab/>
        </w:r>
      </w:del>
    </w:p>
    <w:p w14:paraId="04AA47BE" w14:textId="77777777" w:rsidR="00BC0E7E" w:rsidRPr="00BC0E7E" w:rsidRDefault="00BC0E7E" w:rsidP="00171601">
      <w:pPr>
        <w:rPr>
          <w:del w:id="12870" w:author="AbbVie19" w:date="2025-04-16T12:22:00Z"/>
          <w:szCs w:val="20"/>
        </w:rPr>
      </w:pPr>
    </w:p>
    <w:p w14:paraId="138EE48C" w14:textId="77777777" w:rsidR="00BC0E7E" w:rsidRPr="00BC0E7E" w:rsidRDefault="00944B8F" w:rsidP="00171601">
      <w:pPr>
        <w:ind w:left="550" w:hanging="550"/>
        <w:rPr>
          <w:del w:id="12871" w:author="AbbVie19" w:date="2025-04-16T12:22:00Z"/>
          <w:bCs/>
          <w:iCs/>
          <w:szCs w:val="22"/>
        </w:rPr>
      </w:pPr>
      <w:del w:id="12872" w:author="AbbVie19" w:date="2025-04-16T12:22:00Z">
        <w:r w:rsidRPr="00BC0E7E">
          <w:rPr>
            <w:bCs/>
            <w:iCs/>
            <w:szCs w:val="22"/>
          </w:rPr>
          <w:delText xml:space="preserve">1. </w:delText>
        </w:r>
        <w:r w:rsidRPr="00BC0E7E">
          <w:rPr>
            <w:b/>
            <w:bCs/>
            <w:iCs/>
            <w:szCs w:val="22"/>
          </w:rPr>
          <w:tab/>
        </w:r>
        <w:r w:rsidRPr="00BC0E7E">
          <w:rPr>
            <w:bCs/>
            <w:iCs/>
            <w:szCs w:val="22"/>
          </w:rPr>
          <w:delText>Choose a site on the top of your thigh or stomach (except the area around the navel).</w:delText>
        </w:r>
      </w:del>
    </w:p>
    <w:p w14:paraId="6BE27BE4" w14:textId="77777777" w:rsidR="00BC0E7E" w:rsidRPr="00BC0E7E" w:rsidRDefault="00BC0E7E" w:rsidP="00BC0E7E">
      <w:pPr>
        <w:keepNext/>
        <w:ind w:left="550" w:hanging="550"/>
        <w:rPr>
          <w:del w:id="12873" w:author="AbbVie19" w:date="2025-04-16T12:22:00Z"/>
          <w:bCs/>
          <w:iCs/>
          <w:szCs w:val="22"/>
        </w:rPr>
      </w:pPr>
    </w:p>
    <w:p w14:paraId="6AB7BA09" w14:textId="77777777" w:rsidR="00BC0E7E" w:rsidRPr="00BC0E7E" w:rsidRDefault="00944B8F" w:rsidP="00BC0E7E">
      <w:pPr>
        <w:ind w:left="550" w:hanging="550"/>
        <w:jc w:val="center"/>
        <w:rPr>
          <w:del w:id="12874" w:author="AbbVie19" w:date="2025-04-16T12:22:00Z"/>
          <w:szCs w:val="20"/>
        </w:rPr>
      </w:pPr>
      <w:del w:id="12875" w:author="AbbVie19" w:date="2025-04-16T12:22:00Z">
        <w:r>
          <w:rPr>
            <w:noProof/>
            <w:szCs w:val="20"/>
            <w:lang w:val="en-US"/>
          </w:rPr>
          <w:drawing>
            <wp:inline distT="0" distB="0" distL="0" distR="0" wp14:anchorId="5F08387B" wp14:editId="596BB43A">
              <wp:extent cx="1637665" cy="1637665"/>
              <wp:effectExtent l="0" t="0" r="635" b="63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68"/>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1637665" cy="1637665"/>
                      </a:xfrm>
                      <a:prstGeom prst="rect">
                        <a:avLst/>
                      </a:prstGeom>
                      <a:noFill/>
                      <a:ln>
                        <a:noFill/>
                      </a:ln>
                    </pic:spPr>
                  </pic:pic>
                </a:graphicData>
              </a:graphic>
            </wp:inline>
          </w:drawing>
        </w:r>
      </w:del>
    </w:p>
    <w:p w14:paraId="2568CDCD" w14:textId="77777777" w:rsidR="00BC0E7E" w:rsidRPr="00BC0E7E" w:rsidRDefault="00BC0E7E" w:rsidP="00BC0E7E">
      <w:pPr>
        <w:ind w:left="550" w:hanging="550"/>
        <w:rPr>
          <w:del w:id="12876" w:author="AbbVie19" w:date="2025-04-16T12:22:00Z"/>
          <w:szCs w:val="20"/>
        </w:rPr>
      </w:pPr>
    </w:p>
    <w:p w14:paraId="40AC05D8" w14:textId="77777777" w:rsidR="00BC0E7E" w:rsidRPr="00BC0E7E" w:rsidRDefault="00944B8F" w:rsidP="00BC0E7E">
      <w:pPr>
        <w:tabs>
          <w:tab w:val="left" w:pos="720"/>
        </w:tabs>
        <w:ind w:left="550" w:hanging="550"/>
        <w:rPr>
          <w:del w:id="12877" w:author="AbbVie19" w:date="2025-04-16T12:22:00Z"/>
          <w:szCs w:val="20"/>
        </w:rPr>
      </w:pPr>
      <w:del w:id="12878" w:author="AbbVie19" w:date="2025-04-16T12:22:00Z">
        <w:r w:rsidRPr="00BC0E7E">
          <w:rPr>
            <w:szCs w:val="20"/>
          </w:rPr>
          <w:delText xml:space="preserve">2. </w:delText>
        </w:r>
        <w:r w:rsidRPr="00BC0E7E">
          <w:rPr>
            <w:szCs w:val="20"/>
          </w:rPr>
          <w:tab/>
          <w:delText xml:space="preserve">Change the place that you inject each time so that you do not become sore in one area. Each new injection should be given at least 3 cm from the last injection site. </w:delText>
        </w:r>
      </w:del>
    </w:p>
    <w:p w14:paraId="2268F72D" w14:textId="77777777" w:rsidR="00BC0E7E" w:rsidRPr="00BC0E7E" w:rsidRDefault="00BC0E7E" w:rsidP="00BC0E7E">
      <w:pPr>
        <w:tabs>
          <w:tab w:val="left" w:pos="720"/>
        </w:tabs>
        <w:ind w:left="550" w:hanging="550"/>
        <w:rPr>
          <w:del w:id="12879" w:author="AbbVie19" w:date="2025-04-16T12:22:00Z"/>
          <w:szCs w:val="20"/>
        </w:rPr>
      </w:pPr>
    </w:p>
    <w:p w14:paraId="2FDF4CAB" w14:textId="77777777" w:rsidR="00BC0E7E" w:rsidRPr="00BC0E7E" w:rsidRDefault="00944B8F" w:rsidP="00BC0E7E">
      <w:pPr>
        <w:tabs>
          <w:tab w:val="left" w:pos="720"/>
        </w:tabs>
        <w:ind w:left="550" w:hanging="550"/>
        <w:rPr>
          <w:del w:id="12880" w:author="AbbVie19" w:date="2025-04-16T12:22:00Z"/>
          <w:szCs w:val="20"/>
        </w:rPr>
      </w:pPr>
      <w:del w:id="12881" w:author="AbbVie19" w:date="2025-04-16T12:22:00Z">
        <w:r w:rsidRPr="00BC0E7E">
          <w:rPr>
            <w:szCs w:val="20"/>
          </w:rPr>
          <w:delText xml:space="preserve">3. </w:delText>
        </w:r>
        <w:r w:rsidRPr="00BC0E7E">
          <w:rPr>
            <w:szCs w:val="20"/>
          </w:rPr>
          <w:tab/>
          <w:delText xml:space="preserve">Do not inject in an area where the skin is reddened, bruised, or hard. This may mean there is an infection.  </w:delText>
        </w:r>
      </w:del>
    </w:p>
    <w:p w14:paraId="248D155D" w14:textId="77777777" w:rsidR="00BC0E7E" w:rsidRPr="00BC0E7E" w:rsidRDefault="00BC0E7E" w:rsidP="00BC0E7E">
      <w:pPr>
        <w:tabs>
          <w:tab w:val="left" w:pos="720"/>
        </w:tabs>
        <w:ind w:left="567" w:hanging="720"/>
        <w:rPr>
          <w:del w:id="12882" w:author="AbbVie19" w:date="2025-04-16T12:22:00Z"/>
          <w:b/>
          <w:bCs/>
        </w:rPr>
      </w:pPr>
    </w:p>
    <w:p w14:paraId="53795113" w14:textId="77777777" w:rsidR="00BC0E7E" w:rsidRPr="00BC0E7E" w:rsidRDefault="00944B8F" w:rsidP="00BC0E7E">
      <w:pPr>
        <w:keepNext/>
        <w:tabs>
          <w:tab w:val="left" w:pos="720"/>
        </w:tabs>
        <w:ind w:left="720" w:hanging="720"/>
        <w:rPr>
          <w:del w:id="12883" w:author="AbbVie19" w:date="2025-04-16T12:22:00Z"/>
          <w:b/>
          <w:bCs/>
        </w:rPr>
      </w:pPr>
      <w:del w:id="12884" w:author="AbbVie19" w:date="2025-04-16T12:22:00Z">
        <w:r w:rsidRPr="00BC0E7E">
          <w:rPr>
            <w:b/>
            <w:bCs/>
          </w:rPr>
          <w:delText>How do I give my injection?</w:delText>
        </w:r>
      </w:del>
    </w:p>
    <w:p w14:paraId="702819E5" w14:textId="77777777" w:rsidR="00BC0E7E" w:rsidRPr="00BC0E7E" w:rsidRDefault="00BC0E7E" w:rsidP="00BC0E7E">
      <w:pPr>
        <w:keepNext/>
        <w:tabs>
          <w:tab w:val="left" w:pos="720"/>
        </w:tabs>
        <w:ind w:left="720" w:hanging="720"/>
        <w:rPr>
          <w:del w:id="12885" w:author="AbbVie19" w:date="2025-04-16T12:22:00Z"/>
          <w:b/>
          <w:bCs/>
        </w:rPr>
      </w:pPr>
    </w:p>
    <w:p w14:paraId="4D7657C8" w14:textId="77777777" w:rsidR="00BC0E7E" w:rsidRPr="00BC0E7E" w:rsidRDefault="00944B8F" w:rsidP="00BC0E7E">
      <w:pPr>
        <w:keepNext/>
        <w:ind w:left="550" w:hanging="550"/>
        <w:rPr>
          <w:del w:id="12886" w:author="AbbVie19" w:date="2025-04-16T12:22:00Z"/>
          <w:szCs w:val="20"/>
        </w:rPr>
      </w:pPr>
      <w:del w:id="12887" w:author="AbbVie19" w:date="2025-04-16T12:22:00Z">
        <w:r w:rsidRPr="00BC0E7E">
          <w:rPr>
            <w:szCs w:val="20"/>
          </w:rPr>
          <w:delText xml:space="preserve">1. </w:delText>
        </w:r>
        <w:r w:rsidRPr="00BC0E7E">
          <w:rPr>
            <w:szCs w:val="20"/>
          </w:rPr>
          <w:tab/>
          <w:delText xml:space="preserve">Wipe your skin by using the enclosed alcohol pad, using a circular motion. Do not touch the area again before injecting.  </w:delText>
        </w:r>
        <w:r w:rsidRPr="00BC0E7E">
          <w:rPr>
            <w:szCs w:val="20"/>
          </w:rPr>
          <w:tab/>
          <w:delText xml:space="preserve"> </w:delText>
        </w:r>
      </w:del>
    </w:p>
    <w:p w14:paraId="50127B95" w14:textId="77777777" w:rsidR="00BC0E7E" w:rsidRPr="00BC0E7E" w:rsidRDefault="00BC0E7E" w:rsidP="00BC0E7E">
      <w:pPr>
        <w:ind w:left="550" w:hanging="550"/>
        <w:rPr>
          <w:del w:id="12888" w:author="AbbVie19" w:date="2025-04-16T12:22:00Z"/>
        </w:rPr>
      </w:pPr>
    </w:p>
    <w:p w14:paraId="701BDA7E" w14:textId="77777777" w:rsidR="00BC0E7E" w:rsidRPr="00BC0E7E" w:rsidRDefault="00944B8F" w:rsidP="00BC0E7E">
      <w:pPr>
        <w:ind w:left="550" w:hanging="550"/>
        <w:rPr>
          <w:del w:id="12889" w:author="AbbVie19" w:date="2025-04-16T12:22:00Z"/>
          <w:szCs w:val="20"/>
        </w:rPr>
      </w:pPr>
      <w:del w:id="12890" w:author="AbbVie19" w:date="2025-04-16T12:22:00Z">
        <w:r w:rsidRPr="00BC0E7E">
          <w:rPr>
            <w:szCs w:val="20"/>
          </w:rPr>
          <w:delText>2.</w:delText>
        </w:r>
        <w:r w:rsidRPr="00BC0E7E">
          <w:rPr>
            <w:szCs w:val="20"/>
          </w:rPr>
          <w:tab/>
          <w:delText xml:space="preserve">Only remove both the grey cap and the plum cap </w:delText>
        </w:r>
        <w:r w:rsidRPr="00BC0E7E">
          <w:rPr>
            <w:b/>
            <w:szCs w:val="20"/>
          </w:rPr>
          <w:delText>immediately</w:delText>
        </w:r>
        <w:r w:rsidRPr="00BC0E7E">
          <w:rPr>
            <w:szCs w:val="20"/>
          </w:rPr>
          <w:delText xml:space="preserve"> before injection. Hold the grey body of the pre-filled pen with one hand. Place hand on the middle of the pen so that neither the grey cap (1) nor the plum cap (2) is covered. Hold the pre-filled pen with the grey cap (1) pointing up. With your other hand, pull the grey cap (1) straight off, check that the small black needle cover of the syringe has been removed with the cap, then discard cap. If a few small drops of liquid come out of the needle, that is okay. The white needle sleeve will now be exposed. Do not try to touch the needle housed in the barrel. </w:delText>
        </w:r>
        <w:r w:rsidRPr="00BC0E7E">
          <w:rPr>
            <w:b/>
            <w:bCs/>
            <w:szCs w:val="20"/>
          </w:rPr>
          <w:delText>DO NOT RECAP</w:delText>
        </w:r>
        <w:r w:rsidRPr="00BC0E7E">
          <w:rPr>
            <w:szCs w:val="20"/>
          </w:rPr>
          <w:delText xml:space="preserve"> as you may damage the needle inside. </w:delText>
        </w:r>
      </w:del>
    </w:p>
    <w:p w14:paraId="779A0C08" w14:textId="77777777" w:rsidR="00BC0E7E" w:rsidRPr="00BC0E7E" w:rsidRDefault="00BC0E7E" w:rsidP="00BC0E7E">
      <w:pPr>
        <w:ind w:left="547" w:hanging="547"/>
        <w:rPr>
          <w:del w:id="12891" w:author="AbbVie19" w:date="2025-04-16T12:22:00Z"/>
          <w:szCs w:val="20"/>
        </w:rPr>
      </w:pPr>
    </w:p>
    <w:p w14:paraId="6BCC7D46" w14:textId="77777777" w:rsidR="00BC0E7E" w:rsidRPr="00BC0E7E" w:rsidRDefault="00944B8F" w:rsidP="00BC0E7E">
      <w:pPr>
        <w:ind w:left="547" w:hanging="547"/>
        <w:jc w:val="center"/>
        <w:rPr>
          <w:del w:id="12892" w:author="AbbVie19" w:date="2025-04-16T12:22:00Z"/>
          <w:szCs w:val="20"/>
        </w:rPr>
      </w:pPr>
      <w:del w:id="12893" w:author="AbbVie19" w:date="2025-04-16T12:22:00Z">
        <w:r>
          <w:rPr>
            <w:noProof/>
            <w:szCs w:val="20"/>
            <w:lang w:val="en-US"/>
          </w:rPr>
          <w:drawing>
            <wp:inline distT="0" distB="0" distL="0" distR="0" wp14:anchorId="13EE0458" wp14:editId="2D294D55">
              <wp:extent cx="1987550" cy="201993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69"/>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1987550" cy="2019935"/>
                      </a:xfrm>
                      <a:prstGeom prst="rect">
                        <a:avLst/>
                      </a:prstGeom>
                      <a:noFill/>
                      <a:ln>
                        <a:noFill/>
                      </a:ln>
                    </pic:spPr>
                  </pic:pic>
                </a:graphicData>
              </a:graphic>
            </wp:inline>
          </w:drawing>
        </w:r>
      </w:del>
    </w:p>
    <w:p w14:paraId="1EEED5B3" w14:textId="77777777" w:rsidR="00BC0E7E" w:rsidRPr="00BC0E7E" w:rsidRDefault="00BC0E7E" w:rsidP="00BC0E7E">
      <w:pPr>
        <w:ind w:left="547" w:hanging="547"/>
        <w:rPr>
          <w:del w:id="12894" w:author="AbbVie19" w:date="2025-04-16T12:22:00Z"/>
          <w:szCs w:val="20"/>
        </w:rPr>
      </w:pPr>
    </w:p>
    <w:p w14:paraId="4B8903D3" w14:textId="77777777" w:rsidR="00BC0E7E" w:rsidRPr="00BC0E7E" w:rsidRDefault="00944B8F" w:rsidP="00BC0E7E">
      <w:pPr>
        <w:ind w:left="550" w:hanging="550"/>
        <w:rPr>
          <w:del w:id="12895" w:author="AbbVie19" w:date="2025-04-16T12:22:00Z"/>
          <w:b/>
          <w:bCs/>
          <w:szCs w:val="20"/>
        </w:rPr>
      </w:pPr>
      <w:del w:id="12896" w:author="AbbVie19" w:date="2025-04-16T12:22:00Z">
        <w:r w:rsidRPr="00BC0E7E">
          <w:rPr>
            <w:szCs w:val="20"/>
          </w:rPr>
          <w:delText xml:space="preserve">3. </w:delText>
        </w:r>
        <w:r w:rsidRPr="00BC0E7E">
          <w:rPr>
            <w:szCs w:val="20"/>
          </w:rPr>
          <w:tab/>
          <w:delText xml:space="preserve">Pull the plum safety cap (labelled ‘2’) straight off to expose the plum coloured activation button. The pre-filled pen is now ready to use. Do not press the plum activation button until properly positioned as this will result in discharge of medication. </w:delText>
        </w:r>
        <w:r w:rsidRPr="00BC0E7E">
          <w:rPr>
            <w:b/>
            <w:bCs/>
            <w:szCs w:val="20"/>
          </w:rPr>
          <w:delText>DO NOT RECAP as this could cause the unit to discharge.</w:delText>
        </w:r>
      </w:del>
    </w:p>
    <w:p w14:paraId="6264A0A6" w14:textId="77777777" w:rsidR="00BC0E7E" w:rsidRPr="00BC0E7E" w:rsidRDefault="00BC0E7E" w:rsidP="00BC0E7E">
      <w:pPr>
        <w:tabs>
          <w:tab w:val="clear" w:pos="562"/>
          <w:tab w:val="left" w:pos="720"/>
        </w:tabs>
        <w:suppressAutoHyphens w:val="0"/>
        <w:ind w:left="720" w:hanging="720"/>
        <w:rPr>
          <w:del w:id="12897" w:author="AbbVie19" w:date="2025-04-16T12:22:00Z"/>
        </w:rPr>
      </w:pPr>
    </w:p>
    <w:p w14:paraId="4973E8D4" w14:textId="77777777" w:rsidR="00BC0E7E" w:rsidRPr="00BC0E7E" w:rsidRDefault="00944B8F" w:rsidP="00BC0E7E">
      <w:pPr>
        <w:keepNext/>
        <w:tabs>
          <w:tab w:val="left" w:pos="720"/>
        </w:tabs>
        <w:ind w:left="720" w:hanging="720"/>
        <w:rPr>
          <w:del w:id="12898" w:author="AbbVie19" w:date="2025-04-16T12:22:00Z"/>
        </w:rPr>
      </w:pPr>
      <w:del w:id="12899" w:author="AbbVie19" w:date="2025-04-16T12:22:00Z">
        <w:r w:rsidRPr="00BC0E7E">
          <w:rPr>
            <w:b/>
            <w:bCs/>
          </w:rPr>
          <w:lastRenderedPageBreak/>
          <w:delText>Giving the injection</w:delText>
        </w:r>
      </w:del>
    </w:p>
    <w:p w14:paraId="7EB7F5C3" w14:textId="77777777" w:rsidR="00BC0E7E" w:rsidRPr="00BC0E7E" w:rsidRDefault="00BC0E7E" w:rsidP="00BC0E7E">
      <w:pPr>
        <w:keepNext/>
        <w:tabs>
          <w:tab w:val="left" w:pos="720"/>
        </w:tabs>
        <w:ind w:left="720" w:hanging="720"/>
        <w:rPr>
          <w:del w:id="12900" w:author="AbbVie19" w:date="2025-04-16T12:22:00Z"/>
        </w:rPr>
      </w:pPr>
    </w:p>
    <w:p w14:paraId="725C377E" w14:textId="77777777" w:rsidR="00BC0E7E" w:rsidRPr="00BC0E7E" w:rsidRDefault="00944B8F" w:rsidP="00BC0E7E">
      <w:pPr>
        <w:keepNext/>
        <w:ind w:left="550" w:hanging="550"/>
        <w:rPr>
          <w:del w:id="12901" w:author="AbbVie19" w:date="2025-04-16T12:22:00Z"/>
          <w:szCs w:val="20"/>
        </w:rPr>
      </w:pPr>
      <w:del w:id="12902" w:author="AbbVie19" w:date="2025-04-16T12:22:00Z">
        <w:r w:rsidRPr="00BC0E7E">
          <w:rPr>
            <w:szCs w:val="20"/>
          </w:rPr>
          <w:delText xml:space="preserve">1. </w:delText>
        </w:r>
        <w:r w:rsidRPr="00BC0E7E">
          <w:rPr>
            <w:szCs w:val="20"/>
          </w:rPr>
          <w:tab/>
          <w:delText xml:space="preserve">With your free hand, gently grasp a sizable area of the cleaned skin at the injection site and hold firmly (see below).  </w:delText>
        </w:r>
      </w:del>
    </w:p>
    <w:p w14:paraId="56C9CE24" w14:textId="77777777" w:rsidR="00BC0E7E" w:rsidRPr="00BC0E7E" w:rsidRDefault="00944B8F" w:rsidP="00BC0E7E">
      <w:pPr>
        <w:ind w:left="550" w:hanging="550"/>
        <w:rPr>
          <w:del w:id="12903" w:author="AbbVie19" w:date="2025-04-16T12:22:00Z"/>
          <w:szCs w:val="20"/>
        </w:rPr>
      </w:pPr>
      <w:del w:id="12904" w:author="AbbVie19" w:date="2025-04-16T12:22:00Z">
        <w:r w:rsidRPr="00BC0E7E">
          <w:rPr>
            <w:szCs w:val="20"/>
          </w:rPr>
          <w:delText xml:space="preserve">2.  </w:delText>
        </w:r>
        <w:r w:rsidRPr="00BC0E7E">
          <w:rPr>
            <w:szCs w:val="20"/>
          </w:rPr>
          <w:tab/>
          <w:delText>Place the white end of the pre-filled pen at a right angle (90 degrees) to the skin, so that you can see the window. The presence of one or more bubbles in the window is normal.</w:delText>
        </w:r>
      </w:del>
    </w:p>
    <w:p w14:paraId="16F60E2D" w14:textId="77777777" w:rsidR="00BC0E7E" w:rsidRPr="00BC0E7E" w:rsidRDefault="00944B8F" w:rsidP="00BC0E7E">
      <w:pPr>
        <w:ind w:left="550" w:hanging="550"/>
        <w:rPr>
          <w:del w:id="12905" w:author="AbbVie19" w:date="2025-04-16T12:22:00Z"/>
          <w:szCs w:val="20"/>
        </w:rPr>
      </w:pPr>
      <w:del w:id="12906" w:author="AbbVie19" w:date="2025-04-16T12:22:00Z">
        <w:r w:rsidRPr="00BC0E7E">
          <w:rPr>
            <w:szCs w:val="20"/>
          </w:rPr>
          <w:delText xml:space="preserve">3. </w:delText>
        </w:r>
        <w:r w:rsidRPr="00BC0E7E">
          <w:rPr>
            <w:szCs w:val="20"/>
          </w:rPr>
          <w:tab/>
          <w:delText xml:space="preserve">Holding the barrel of the pre-filled pen, press down slightly onto the injection site (holding in place without moving). </w:delText>
        </w:r>
      </w:del>
    </w:p>
    <w:p w14:paraId="788A98AE" w14:textId="77777777" w:rsidR="00BC0E7E" w:rsidRPr="00BC0E7E" w:rsidRDefault="00944B8F" w:rsidP="00BC0E7E">
      <w:pPr>
        <w:ind w:left="550" w:hanging="550"/>
        <w:rPr>
          <w:del w:id="12907" w:author="AbbVie19" w:date="2025-04-16T12:22:00Z"/>
          <w:szCs w:val="20"/>
        </w:rPr>
      </w:pPr>
      <w:del w:id="12908" w:author="AbbVie19" w:date="2025-04-16T12:22:00Z">
        <w:r w:rsidRPr="00BC0E7E">
          <w:rPr>
            <w:szCs w:val="20"/>
          </w:rPr>
          <w:delText xml:space="preserve">4. </w:delText>
        </w:r>
        <w:r w:rsidRPr="00BC0E7E">
          <w:rPr>
            <w:szCs w:val="20"/>
          </w:rPr>
          <w:tab/>
          <w:delText xml:space="preserve">With your index finger or your thumb, press the plum coloured button on top once you are ready to begin the injection (see below). You will then hear a loud ‘click’ as the needle is released and you will feel a small prick as the needle advances. </w:delText>
        </w:r>
      </w:del>
    </w:p>
    <w:p w14:paraId="78103E39" w14:textId="77777777" w:rsidR="00BC0E7E" w:rsidRPr="00BC0E7E" w:rsidRDefault="00944B8F" w:rsidP="00BC0E7E">
      <w:pPr>
        <w:ind w:left="550" w:hanging="550"/>
        <w:rPr>
          <w:del w:id="12909" w:author="AbbVie19" w:date="2025-04-16T12:22:00Z"/>
          <w:szCs w:val="20"/>
        </w:rPr>
      </w:pPr>
      <w:del w:id="12910" w:author="AbbVie19" w:date="2025-04-16T12:22:00Z">
        <w:r w:rsidRPr="00BC0E7E">
          <w:rPr>
            <w:szCs w:val="20"/>
          </w:rPr>
          <w:delText xml:space="preserve">5. </w:delText>
        </w:r>
        <w:r w:rsidRPr="00BC0E7E">
          <w:rPr>
            <w:szCs w:val="20"/>
          </w:rPr>
          <w:tab/>
          <w:delText xml:space="preserve">Keep pressing and continue to hold the pre-filled pen with steady pressure in place for about </w:delText>
        </w:r>
        <w:r w:rsidRPr="00BC0E7E">
          <w:rPr>
            <w:b/>
            <w:bCs/>
            <w:szCs w:val="20"/>
          </w:rPr>
          <w:delText>10 seconds to ensure a complete i</w:delText>
        </w:r>
        <w:r w:rsidRPr="00BC0E7E">
          <w:rPr>
            <w:b/>
            <w:szCs w:val="20"/>
          </w:rPr>
          <w:delText xml:space="preserve">njection. </w:delText>
        </w:r>
        <w:r w:rsidRPr="00BC0E7E">
          <w:rPr>
            <w:szCs w:val="20"/>
          </w:rPr>
          <w:delText xml:space="preserve">Do not remove the pre-filled pen while the injection is being given. </w:delText>
        </w:r>
      </w:del>
    </w:p>
    <w:p w14:paraId="22300A05" w14:textId="77777777" w:rsidR="00BC0E7E" w:rsidRPr="00BC0E7E" w:rsidRDefault="00BC0E7E" w:rsidP="00BC0E7E">
      <w:pPr>
        <w:ind w:left="550" w:hanging="550"/>
        <w:rPr>
          <w:del w:id="12911" w:author="AbbVie19" w:date="2025-04-16T12:22:00Z"/>
          <w:szCs w:val="20"/>
        </w:rPr>
      </w:pPr>
    </w:p>
    <w:tbl>
      <w:tblPr>
        <w:tblW w:w="0" w:type="auto"/>
        <w:jc w:val="center"/>
        <w:tblLook w:val="01E0" w:firstRow="1" w:lastRow="1" w:firstColumn="1" w:lastColumn="1" w:noHBand="0" w:noVBand="0"/>
      </w:tblPr>
      <w:tblGrid>
        <w:gridCol w:w="4643"/>
        <w:gridCol w:w="4644"/>
      </w:tblGrid>
      <w:tr w:rsidR="00C6578C" w14:paraId="29382F64" w14:textId="77777777" w:rsidTr="00171601">
        <w:trPr>
          <w:jc w:val="center"/>
          <w:del w:id="12912" w:author="AbbVie19" w:date="2025-04-16T12:22:00Z"/>
        </w:trPr>
        <w:tc>
          <w:tcPr>
            <w:tcW w:w="4643" w:type="dxa"/>
          </w:tcPr>
          <w:p w14:paraId="27FD184B" w14:textId="77777777" w:rsidR="00BC0E7E" w:rsidRPr="00BC0E7E" w:rsidRDefault="00944B8F" w:rsidP="00BC0E7E">
            <w:pPr>
              <w:jc w:val="center"/>
              <w:rPr>
                <w:del w:id="12913" w:author="AbbVie19" w:date="2025-04-16T12:22:00Z"/>
              </w:rPr>
            </w:pPr>
            <w:del w:id="12914" w:author="AbbVie19" w:date="2025-04-16T12:22:00Z">
              <w:r>
                <w:rPr>
                  <w:noProof/>
                  <w:lang w:val="en-US"/>
                </w:rPr>
                <w:drawing>
                  <wp:inline distT="0" distB="0" distL="0" distR="0" wp14:anchorId="2488738C" wp14:editId="21C58825">
                    <wp:extent cx="1725295" cy="1645920"/>
                    <wp:effectExtent l="0" t="0" r="825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70"/>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1725295" cy="1645920"/>
                            </a:xfrm>
                            <a:prstGeom prst="rect">
                              <a:avLst/>
                            </a:prstGeom>
                            <a:noFill/>
                            <a:ln>
                              <a:noFill/>
                            </a:ln>
                          </pic:spPr>
                        </pic:pic>
                      </a:graphicData>
                    </a:graphic>
                  </wp:inline>
                </w:drawing>
              </w:r>
            </w:del>
          </w:p>
        </w:tc>
        <w:tc>
          <w:tcPr>
            <w:tcW w:w="4644" w:type="dxa"/>
          </w:tcPr>
          <w:p w14:paraId="3399AABF" w14:textId="77777777" w:rsidR="00BC0E7E" w:rsidRPr="00BC0E7E" w:rsidRDefault="00944B8F" w:rsidP="00BC0E7E">
            <w:pPr>
              <w:jc w:val="center"/>
              <w:rPr>
                <w:del w:id="12915" w:author="AbbVie19" w:date="2025-04-16T12:22:00Z"/>
              </w:rPr>
            </w:pPr>
            <w:del w:id="12916" w:author="AbbVie19" w:date="2025-04-16T12:22:00Z">
              <w:r>
                <w:rPr>
                  <w:noProof/>
                  <w:lang w:val="en-US"/>
                </w:rPr>
                <w:drawing>
                  <wp:inline distT="0" distB="0" distL="0" distR="0" wp14:anchorId="3204B574" wp14:editId="79B1FDF3">
                    <wp:extent cx="1637665" cy="1645920"/>
                    <wp:effectExtent l="0" t="0" r="63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71"/>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1637665" cy="1645920"/>
                            </a:xfrm>
                            <a:prstGeom prst="rect">
                              <a:avLst/>
                            </a:prstGeom>
                            <a:noFill/>
                            <a:ln>
                              <a:noFill/>
                            </a:ln>
                          </pic:spPr>
                        </pic:pic>
                      </a:graphicData>
                    </a:graphic>
                  </wp:inline>
                </w:drawing>
              </w:r>
            </w:del>
          </w:p>
        </w:tc>
      </w:tr>
    </w:tbl>
    <w:p w14:paraId="6B7EC62C" w14:textId="77777777" w:rsidR="00BC0E7E" w:rsidRPr="00BC0E7E" w:rsidRDefault="00BC0E7E" w:rsidP="00BC0E7E">
      <w:pPr>
        <w:rPr>
          <w:del w:id="12917" w:author="AbbVie19" w:date="2025-04-16T12:22:00Z"/>
        </w:rPr>
      </w:pPr>
    </w:p>
    <w:p w14:paraId="798584AF" w14:textId="77777777" w:rsidR="00BC0E7E" w:rsidRPr="00BC0E7E" w:rsidRDefault="00944B8F" w:rsidP="00BC0E7E">
      <w:pPr>
        <w:ind w:left="567" w:hanging="567"/>
        <w:rPr>
          <w:del w:id="12918" w:author="AbbVie19" w:date="2025-04-16T12:22:00Z"/>
        </w:rPr>
      </w:pPr>
      <w:del w:id="12919" w:author="AbbVie19" w:date="2025-04-16T12:22:00Z">
        <w:r w:rsidRPr="00BC0E7E">
          <w:delText xml:space="preserve">6. </w:delText>
        </w:r>
        <w:r w:rsidRPr="00BC0E7E">
          <w:tab/>
          <w:delText xml:space="preserve">You will see a yellow indicator move into the window during the injection. The injection is complete when the yellow indicator stops moving. The yellow indicator is part of the plunger of the pre-filled pen. If the yellow indicator is not shown in the window, the plunger has not advanced adequately and the injection is not complete.  </w:delText>
        </w:r>
      </w:del>
    </w:p>
    <w:p w14:paraId="124033C6" w14:textId="77777777" w:rsidR="00BC0E7E" w:rsidRPr="00BC0E7E" w:rsidRDefault="00BC0E7E" w:rsidP="00BC0E7E">
      <w:pPr>
        <w:ind w:left="550" w:hanging="550"/>
        <w:rPr>
          <w:del w:id="12920" w:author="AbbVie19" w:date="2025-04-16T12:22:00Z"/>
        </w:rPr>
      </w:pPr>
    </w:p>
    <w:p w14:paraId="440EF2B2" w14:textId="77777777" w:rsidR="00BC0E7E" w:rsidRPr="00BC0E7E" w:rsidRDefault="00944B8F" w:rsidP="00BC0E7E">
      <w:pPr>
        <w:tabs>
          <w:tab w:val="left" w:pos="720"/>
        </w:tabs>
        <w:ind w:left="550" w:hanging="550"/>
        <w:rPr>
          <w:del w:id="12921" w:author="AbbVie19" w:date="2025-04-16T12:22:00Z"/>
          <w:szCs w:val="20"/>
        </w:rPr>
      </w:pPr>
      <w:del w:id="12922" w:author="AbbVie19" w:date="2025-04-16T12:22:00Z">
        <w:r w:rsidRPr="00BC0E7E">
          <w:rPr>
            <w:szCs w:val="20"/>
          </w:rPr>
          <w:delText xml:space="preserve">7. </w:delText>
        </w:r>
        <w:r w:rsidRPr="00BC0E7E">
          <w:rPr>
            <w:szCs w:val="20"/>
          </w:rPr>
          <w:tab/>
          <w:delText xml:space="preserve">Lift the pre-filled pen straight up from the injection site. The white needle sleeve will move down over the needle and lock into place over the needle tip. Do not try to touch the needle. The white needle sleeve is there to protect you from touching the needle.   </w:delText>
        </w:r>
      </w:del>
    </w:p>
    <w:p w14:paraId="0C81603F" w14:textId="77777777" w:rsidR="00BC0E7E" w:rsidRPr="00BC0E7E" w:rsidRDefault="00BC0E7E" w:rsidP="00BC0E7E">
      <w:pPr>
        <w:rPr>
          <w:del w:id="12923" w:author="AbbVie19" w:date="2025-04-16T12:22:00Z"/>
        </w:rPr>
      </w:pPr>
    </w:p>
    <w:tbl>
      <w:tblPr>
        <w:tblW w:w="0" w:type="auto"/>
        <w:jc w:val="center"/>
        <w:tblLook w:val="01E0" w:firstRow="1" w:lastRow="1" w:firstColumn="1" w:lastColumn="1" w:noHBand="0" w:noVBand="0"/>
      </w:tblPr>
      <w:tblGrid>
        <w:gridCol w:w="2856"/>
        <w:gridCol w:w="1856"/>
        <w:gridCol w:w="2796"/>
        <w:gridCol w:w="1910"/>
      </w:tblGrid>
      <w:tr w:rsidR="00C6578C" w14:paraId="0C48F869" w14:textId="77777777" w:rsidTr="00171601">
        <w:trPr>
          <w:jc w:val="center"/>
          <w:del w:id="12924" w:author="AbbVie19" w:date="2025-04-16T12:22:00Z"/>
        </w:trPr>
        <w:tc>
          <w:tcPr>
            <w:tcW w:w="2321" w:type="dxa"/>
          </w:tcPr>
          <w:p w14:paraId="5A561299" w14:textId="77777777" w:rsidR="00BC0E7E" w:rsidRPr="00BC0E7E" w:rsidRDefault="00944B8F" w:rsidP="00BC0E7E">
            <w:pPr>
              <w:rPr>
                <w:del w:id="12925" w:author="AbbVie19" w:date="2025-04-16T12:22:00Z"/>
                <w:szCs w:val="20"/>
              </w:rPr>
            </w:pPr>
            <w:del w:id="12926" w:author="AbbVie19" w:date="2025-04-16T12:22:00Z">
              <w:r>
                <w:rPr>
                  <w:noProof/>
                  <w:szCs w:val="20"/>
                  <w:lang w:val="en-US"/>
                </w:rPr>
                <w:drawing>
                  <wp:inline distT="0" distB="0" distL="0" distR="0" wp14:anchorId="3C68592D" wp14:editId="0A31DD9B">
                    <wp:extent cx="1670050" cy="1654175"/>
                    <wp:effectExtent l="0" t="0" r="6350" b="317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72"/>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1670050" cy="1654175"/>
                            </a:xfrm>
                            <a:prstGeom prst="rect">
                              <a:avLst/>
                            </a:prstGeom>
                            <a:noFill/>
                            <a:ln>
                              <a:noFill/>
                            </a:ln>
                          </pic:spPr>
                        </pic:pic>
                      </a:graphicData>
                    </a:graphic>
                  </wp:inline>
                </w:drawing>
              </w:r>
            </w:del>
          </w:p>
        </w:tc>
        <w:tc>
          <w:tcPr>
            <w:tcW w:w="2322" w:type="dxa"/>
          </w:tcPr>
          <w:p w14:paraId="33145CE3" w14:textId="77777777" w:rsidR="00BC0E7E" w:rsidRPr="00BC0E7E" w:rsidRDefault="00BC0E7E" w:rsidP="00BC0E7E">
            <w:pPr>
              <w:rPr>
                <w:del w:id="12927" w:author="AbbVie19" w:date="2025-04-16T12:22:00Z"/>
                <w:szCs w:val="20"/>
              </w:rPr>
            </w:pPr>
          </w:p>
          <w:p w14:paraId="2F3C3A1F" w14:textId="77777777" w:rsidR="00BC0E7E" w:rsidRPr="00BC0E7E" w:rsidRDefault="00944B8F" w:rsidP="00BC0E7E">
            <w:pPr>
              <w:tabs>
                <w:tab w:val="clear" w:pos="562"/>
                <w:tab w:val="left" w:pos="3190"/>
              </w:tabs>
              <w:rPr>
                <w:del w:id="12928" w:author="AbbVie19" w:date="2025-04-16T12:22:00Z"/>
              </w:rPr>
            </w:pPr>
            <w:del w:id="12929" w:author="AbbVie19" w:date="2025-04-16T12:22:00Z">
              <w:r w:rsidRPr="00BC0E7E">
                <w:delText>White Needle</w:delText>
              </w:r>
            </w:del>
          </w:p>
          <w:p w14:paraId="348E7FF1" w14:textId="77777777" w:rsidR="00BC0E7E" w:rsidRPr="00BC0E7E" w:rsidRDefault="00944B8F" w:rsidP="00BC0E7E">
            <w:pPr>
              <w:rPr>
                <w:del w:id="12930" w:author="AbbVie19" w:date="2025-04-16T12:22:00Z"/>
                <w:szCs w:val="20"/>
              </w:rPr>
            </w:pPr>
            <w:del w:id="12931" w:author="AbbVie19" w:date="2025-04-16T12:22:00Z">
              <w:r w:rsidRPr="00BC0E7E">
                <w:delText>Sleeve</w:delText>
              </w:r>
            </w:del>
          </w:p>
        </w:tc>
        <w:tc>
          <w:tcPr>
            <w:tcW w:w="2322" w:type="dxa"/>
          </w:tcPr>
          <w:p w14:paraId="59CF21BB" w14:textId="77777777" w:rsidR="00BC0E7E" w:rsidRPr="00BC0E7E" w:rsidRDefault="00944B8F" w:rsidP="00BC0E7E">
            <w:pPr>
              <w:rPr>
                <w:del w:id="12932" w:author="AbbVie19" w:date="2025-04-16T12:22:00Z"/>
                <w:szCs w:val="20"/>
              </w:rPr>
            </w:pPr>
            <w:del w:id="12933" w:author="AbbVie19" w:date="2025-04-16T12:22:00Z">
              <w:r>
                <w:rPr>
                  <w:noProof/>
                  <w:szCs w:val="20"/>
                  <w:lang w:val="en-US"/>
                </w:rPr>
                <w:drawing>
                  <wp:inline distT="0" distB="0" distL="0" distR="0" wp14:anchorId="360F3703" wp14:editId="00BE2E4F">
                    <wp:extent cx="1630045" cy="1654175"/>
                    <wp:effectExtent l="0" t="0" r="8255" b="317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73"/>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1630045" cy="1654175"/>
                            </a:xfrm>
                            <a:prstGeom prst="rect">
                              <a:avLst/>
                            </a:prstGeom>
                            <a:noFill/>
                            <a:ln>
                              <a:noFill/>
                            </a:ln>
                          </pic:spPr>
                        </pic:pic>
                      </a:graphicData>
                    </a:graphic>
                  </wp:inline>
                </w:drawing>
              </w:r>
            </w:del>
          </w:p>
        </w:tc>
        <w:tc>
          <w:tcPr>
            <w:tcW w:w="2322" w:type="dxa"/>
          </w:tcPr>
          <w:p w14:paraId="7A4DF353" w14:textId="77777777" w:rsidR="00BC0E7E" w:rsidRPr="00BC0E7E" w:rsidRDefault="00BC0E7E" w:rsidP="00BC0E7E">
            <w:pPr>
              <w:rPr>
                <w:del w:id="12934" w:author="AbbVie19" w:date="2025-04-16T12:22:00Z"/>
                <w:szCs w:val="20"/>
              </w:rPr>
            </w:pPr>
          </w:p>
          <w:p w14:paraId="1B7CA2AD" w14:textId="77777777" w:rsidR="00BC0E7E" w:rsidRPr="00BC0E7E" w:rsidRDefault="00BC0E7E" w:rsidP="00BC0E7E">
            <w:pPr>
              <w:rPr>
                <w:del w:id="12935" w:author="AbbVie19" w:date="2025-04-16T12:22:00Z"/>
                <w:szCs w:val="20"/>
              </w:rPr>
            </w:pPr>
          </w:p>
          <w:p w14:paraId="17799381" w14:textId="77777777" w:rsidR="00BC0E7E" w:rsidRPr="00BC0E7E" w:rsidRDefault="00BC0E7E" w:rsidP="00BC0E7E">
            <w:pPr>
              <w:rPr>
                <w:del w:id="12936" w:author="AbbVie19" w:date="2025-04-16T12:22:00Z"/>
                <w:szCs w:val="20"/>
              </w:rPr>
            </w:pPr>
          </w:p>
          <w:p w14:paraId="2E1C685F" w14:textId="77777777" w:rsidR="00BC0E7E" w:rsidRPr="00BC0E7E" w:rsidRDefault="00944B8F" w:rsidP="00BC0E7E">
            <w:pPr>
              <w:rPr>
                <w:del w:id="12937" w:author="AbbVie19" w:date="2025-04-16T12:22:00Z"/>
                <w:szCs w:val="20"/>
              </w:rPr>
            </w:pPr>
            <w:del w:id="12938" w:author="AbbVie19" w:date="2025-04-16T12:22:00Z">
              <w:r w:rsidRPr="00BC0E7E">
                <w:rPr>
                  <w:szCs w:val="20"/>
                </w:rPr>
                <w:delText>Window</w:delText>
              </w:r>
            </w:del>
          </w:p>
          <w:p w14:paraId="12DCDA4F" w14:textId="77777777" w:rsidR="00BC0E7E" w:rsidRPr="00BC0E7E" w:rsidRDefault="00BC0E7E" w:rsidP="00BC0E7E">
            <w:pPr>
              <w:rPr>
                <w:del w:id="12939" w:author="AbbVie19" w:date="2025-04-16T12:22:00Z"/>
                <w:szCs w:val="20"/>
              </w:rPr>
            </w:pPr>
          </w:p>
          <w:p w14:paraId="3DAFBB5A" w14:textId="77777777" w:rsidR="00BC0E7E" w:rsidRPr="00BC0E7E" w:rsidRDefault="00944B8F" w:rsidP="00BC0E7E">
            <w:pPr>
              <w:tabs>
                <w:tab w:val="clear" w:pos="562"/>
                <w:tab w:val="left" w:pos="7370"/>
              </w:tabs>
              <w:rPr>
                <w:del w:id="12940" w:author="AbbVie19" w:date="2025-04-16T12:22:00Z"/>
              </w:rPr>
            </w:pPr>
            <w:del w:id="12941" w:author="AbbVie19" w:date="2025-04-16T12:22:00Z">
              <w:r w:rsidRPr="00BC0E7E">
                <w:delText>Yellow Indicator Visible</w:delText>
              </w:r>
            </w:del>
          </w:p>
          <w:p w14:paraId="19B33D72" w14:textId="77777777" w:rsidR="00BC0E7E" w:rsidRPr="00BC0E7E" w:rsidRDefault="00BC0E7E" w:rsidP="00BC0E7E">
            <w:pPr>
              <w:rPr>
                <w:del w:id="12942" w:author="AbbVie19" w:date="2025-04-16T12:22:00Z"/>
                <w:szCs w:val="20"/>
              </w:rPr>
            </w:pPr>
          </w:p>
        </w:tc>
      </w:tr>
    </w:tbl>
    <w:p w14:paraId="666E9E3F" w14:textId="77777777" w:rsidR="00BC0E7E" w:rsidRPr="00BC0E7E" w:rsidRDefault="00BC0E7E" w:rsidP="00BC0E7E">
      <w:pPr>
        <w:rPr>
          <w:del w:id="12943" w:author="AbbVie19" w:date="2025-04-16T12:22:00Z"/>
          <w:szCs w:val="20"/>
        </w:rPr>
      </w:pPr>
    </w:p>
    <w:p w14:paraId="3CB9C961" w14:textId="77777777" w:rsidR="00BC0E7E" w:rsidRPr="00BC0E7E" w:rsidRDefault="00944B8F" w:rsidP="00BC0E7E">
      <w:pPr>
        <w:ind w:left="550" w:hanging="550"/>
        <w:rPr>
          <w:del w:id="12944" w:author="AbbVie19" w:date="2025-04-16T12:22:00Z"/>
          <w:szCs w:val="20"/>
        </w:rPr>
      </w:pPr>
      <w:del w:id="12945" w:author="AbbVie19" w:date="2025-04-16T12:22:00Z">
        <w:r w:rsidRPr="00BC0E7E">
          <w:rPr>
            <w:szCs w:val="20"/>
          </w:rPr>
          <w:delText xml:space="preserve">8. </w:delText>
        </w:r>
        <w:r w:rsidRPr="00BC0E7E">
          <w:rPr>
            <w:szCs w:val="20"/>
          </w:rPr>
          <w:tab/>
          <w:delText>You may notice a spot of blood at the injection site. You can press a cotton ball or a piece of gauze over the injection site for 10 seconds. Do not rub the injection site. Use a plaster if you want to.</w:delText>
        </w:r>
      </w:del>
    </w:p>
    <w:p w14:paraId="3E6F56B2" w14:textId="77777777" w:rsidR="00BC0E7E" w:rsidRPr="00BC0E7E" w:rsidRDefault="00BC0E7E" w:rsidP="00BC0E7E">
      <w:pPr>
        <w:ind w:left="550" w:hanging="550"/>
        <w:rPr>
          <w:del w:id="12946" w:author="AbbVie19" w:date="2025-04-16T12:22:00Z"/>
          <w:szCs w:val="20"/>
        </w:rPr>
      </w:pPr>
    </w:p>
    <w:p w14:paraId="505DB6F1" w14:textId="77777777" w:rsidR="00BC0E7E" w:rsidRPr="00BC0E7E" w:rsidRDefault="00944B8F" w:rsidP="00BC0E7E">
      <w:pPr>
        <w:rPr>
          <w:del w:id="12947" w:author="AbbVie19" w:date="2025-04-16T12:22:00Z"/>
          <w:b/>
          <w:szCs w:val="20"/>
        </w:rPr>
      </w:pPr>
      <w:del w:id="12948" w:author="AbbVie19" w:date="2025-04-16T12:22:00Z">
        <w:r w:rsidRPr="00BC0E7E">
          <w:rPr>
            <w:b/>
            <w:szCs w:val="20"/>
          </w:rPr>
          <w:delText>Throwing away supplies</w:delText>
        </w:r>
      </w:del>
    </w:p>
    <w:p w14:paraId="364011F2" w14:textId="77777777" w:rsidR="00BC0E7E" w:rsidRPr="00BC0E7E" w:rsidRDefault="00BC0E7E" w:rsidP="00BC0E7E">
      <w:pPr>
        <w:rPr>
          <w:del w:id="12949" w:author="AbbVie19" w:date="2025-04-16T12:22:00Z"/>
          <w:szCs w:val="20"/>
        </w:rPr>
      </w:pPr>
    </w:p>
    <w:p w14:paraId="52FD34F3" w14:textId="77777777" w:rsidR="00BC0E7E" w:rsidRPr="00BC0E7E" w:rsidRDefault="00944B8F" w:rsidP="00BC0E7E">
      <w:pPr>
        <w:rPr>
          <w:del w:id="12950" w:author="AbbVie19" w:date="2025-04-16T12:22:00Z"/>
          <w:szCs w:val="20"/>
        </w:rPr>
      </w:pPr>
      <w:del w:id="12951" w:author="AbbVie19" w:date="2025-04-16T12:22:00Z">
        <w:r w:rsidRPr="00BC0E7E">
          <w:rPr>
            <w:szCs w:val="20"/>
          </w:rPr>
          <w:delText>Only use each pre-filled pen for one injection. Do not put either of the caps back on the pre-filled pen</w:delText>
        </w:r>
        <w:r w:rsidR="00FF7875">
          <w:rPr>
            <w:szCs w:val="20"/>
          </w:rPr>
          <w:delText>.</w:delText>
        </w:r>
      </w:del>
    </w:p>
    <w:p w14:paraId="56E5256B" w14:textId="77777777" w:rsidR="00BC0E7E" w:rsidRPr="00BC0E7E" w:rsidRDefault="00944B8F" w:rsidP="00BC0E7E">
      <w:pPr>
        <w:rPr>
          <w:del w:id="12952" w:author="AbbVie19" w:date="2025-04-16T12:22:00Z"/>
          <w:szCs w:val="20"/>
        </w:rPr>
      </w:pPr>
      <w:del w:id="12953" w:author="AbbVie19" w:date="2025-04-16T12:22:00Z">
        <w:r w:rsidRPr="00BC0E7E">
          <w:rPr>
            <w:szCs w:val="20"/>
          </w:rPr>
          <w:lastRenderedPageBreak/>
          <w:delText>After injecting Humira, immediately throw away the used pre-filled pen in a special container as instructed by your doctor, nurse or pharmacist</w:delText>
        </w:r>
      </w:del>
    </w:p>
    <w:p w14:paraId="2FD95D3A" w14:textId="77777777" w:rsidR="00BC0E7E" w:rsidRPr="00BC0E7E" w:rsidRDefault="00944B8F" w:rsidP="00BC0E7E">
      <w:pPr>
        <w:rPr>
          <w:del w:id="12954" w:author="AbbVie19" w:date="2025-04-16T12:22:00Z"/>
          <w:szCs w:val="20"/>
        </w:rPr>
      </w:pPr>
      <w:del w:id="12955" w:author="AbbVie19" w:date="2025-04-16T12:22:00Z">
        <w:r w:rsidRPr="00BC0E7E">
          <w:rPr>
            <w:szCs w:val="20"/>
          </w:rPr>
          <w:delText>Keep this container out of the sight and reach of children</w:delText>
        </w:r>
      </w:del>
    </w:p>
    <w:p w14:paraId="40DA4E5D" w14:textId="77777777" w:rsidR="00BC0E7E" w:rsidRPr="00BC0E7E" w:rsidRDefault="00BC0E7E" w:rsidP="00BC0E7E">
      <w:pPr>
        <w:rPr>
          <w:del w:id="12956" w:author="AbbVie19" w:date="2025-04-16T12:22:00Z"/>
          <w:szCs w:val="20"/>
        </w:rPr>
      </w:pPr>
    </w:p>
    <w:p w14:paraId="11FD2CE4" w14:textId="77777777" w:rsidR="00BC0E7E" w:rsidRPr="00BC0E7E" w:rsidRDefault="00944B8F" w:rsidP="00BC0E7E">
      <w:pPr>
        <w:keepNext/>
        <w:rPr>
          <w:del w:id="12957" w:author="AbbVie19" w:date="2025-04-16T12:22:00Z"/>
          <w:b/>
          <w:szCs w:val="20"/>
        </w:rPr>
      </w:pPr>
      <w:del w:id="12958" w:author="AbbVie19" w:date="2025-04-16T12:22:00Z">
        <w:r w:rsidRPr="00BC0E7E">
          <w:rPr>
            <w:b/>
            <w:szCs w:val="20"/>
          </w:rPr>
          <w:delText>If you use more</w:delText>
        </w:r>
        <w:r w:rsidRPr="00BC0E7E">
          <w:rPr>
            <w:bCs/>
            <w:szCs w:val="20"/>
          </w:rPr>
          <w:delText xml:space="preserve"> </w:delText>
        </w:r>
        <w:r w:rsidRPr="00BC0E7E">
          <w:rPr>
            <w:b/>
            <w:bCs/>
            <w:szCs w:val="20"/>
          </w:rPr>
          <w:delText>Humira</w:delText>
        </w:r>
        <w:r w:rsidRPr="00BC0E7E">
          <w:rPr>
            <w:b/>
            <w:szCs w:val="20"/>
          </w:rPr>
          <w:delText xml:space="preserve"> than you should</w:delText>
        </w:r>
      </w:del>
    </w:p>
    <w:p w14:paraId="38AFD7E8" w14:textId="77777777" w:rsidR="00BC0E7E" w:rsidRPr="00BC0E7E" w:rsidRDefault="00BC0E7E" w:rsidP="00BC0E7E">
      <w:pPr>
        <w:rPr>
          <w:del w:id="12959" w:author="AbbVie19" w:date="2025-04-16T12:22:00Z"/>
          <w:szCs w:val="20"/>
        </w:rPr>
      </w:pPr>
    </w:p>
    <w:p w14:paraId="4CFAB825" w14:textId="77777777" w:rsidR="00BC0E7E" w:rsidRPr="00BC0E7E" w:rsidRDefault="00944B8F" w:rsidP="00BC0E7E">
      <w:pPr>
        <w:keepNext/>
        <w:rPr>
          <w:del w:id="12960" w:author="AbbVie19" w:date="2025-04-16T12:22:00Z"/>
        </w:rPr>
      </w:pPr>
      <w:del w:id="12961" w:author="AbbVie19" w:date="2025-04-16T12:22:00Z">
        <w:r w:rsidRPr="00BC0E7E">
          <w:delText xml:space="preserve">If you accidentally inject Humira more frequently than told to by your doctor or pharmacist, call your doctor or pharmacist </w:delText>
        </w:r>
        <w:r w:rsidRPr="00BC0E7E">
          <w:rPr>
            <w:szCs w:val="20"/>
          </w:rPr>
          <w:delText>and tell him/her that you have taken more</w:delText>
        </w:r>
        <w:r w:rsidRPr="00BC0E7E">
          <w:delText xml:space="preserve">. Always take the outer carton of the medicine with you, even if it is empty. </w:delText>
        </w:r>
      </w:del>
    </w:p>
    <w:p w14:paraId="49774D9D" w14:textId="77777777" w:rsidR="00BC0E7E" w:rsidRPr="00BC0E7E" w:rsidRDefault="00BC0E7E" w:rsidP="00BC0E7E">
      <w:pPr>
        <w:rPr>
          <w:del w:id="12962" w:author="AbbVie19" w:date="2025-04-16T12:22:00Z"/>
        </w:rPr>
      </w:pPr>
    </w:p>
    <w:p w14:paraId="00E968A4" w14:textId="77777777" w:rsidR="00BC0E7E" w:rsidRPr="00BC0E7E" w:rsidRDefault="00944B8F" w:rsidP="00BC0E7E">
      <w:pPr>
        <w:rPr>
          <w:del w:id="12963" w:author="AbbVie19" w:date="2025-04-16T12:22:00Z"/>
          <w:b/>
          <w:szCs w:val="20"/>
        </w:rPr>
      </w:pPr>
      <w:del w:id="12964" w:author="AbbVie19" w:date="2025-04-16T12:22:00Z">
        <w:r w:rsidRPr="00BC0E7E">
          <w:rPr>
            <w:b/>
            <w:szCs w:val="20"/>
          </w:rPr>
          <w:delText>If you forget to use Humira</w:delText>
        </w:r>
      </w:del>
    </w:p>
    <w:p w14:paraId="155FFE93" w14:textId="77777777" w:rsidR="00BC0E7E" w:rsidRPr="00BC0E7E" w:rsidRDefault="00BC0E7E" w:rsidP="00BC0E7E">
      <w:pPr>
        <w:rPr>
          <w:del w:id="12965" w:author="AbbVie19" w:date="2025-04-16T12:22:00Z"/>
          <w:szCs w:val="20"/>
        </w:rPr>
      </w:pPr>
    </w:p>
    <w:p w14:paraId="1EB5FA37" w14:textId="77777777" w:rsidR="00BC0E7E" w:rsidRPr="00BC0E7E" w:rsidRDefault="00944B8F" w:rsidP="00BC0E7E">
      <w:pPr>
        <w:rPr>
          <w:del w:id="12966" w:author="AbbVie19" w:date="2025-04-16T12:22:00Z"/>
        </w:rPr>
      </w:pPr>
      <w:del w:id="12967" w:author="AbbVie19" w:date="2025-04-16T12:22:00Z">
        <w:r w:rsidRPr="00BC0E7E">
          <w:delText xml:space="preserve">If you forget to give yourself an injection, you should inject the next dose of Humira as soon as you remember. Then take your next dose as you would have on your originally scheduled day, had you not forgotten a dose. </w:delText>
        </w:r>
      </w:del>
    </w:p>
    <w:p w14:paraId="464CC06C" w14:textId="77777777" w:rsidR="00BC0E7E" w:rsidRPr="00BC0E7E" w:rsidRDefault="00BC0E7E" w:rsidP="00BC0E7E">
      <w:pPr>
        <w:rPr>
          <w:del w:id="12968" w:author="AbbVie19" w:date="2025-04-16T12:22:00Z"/>
        </w:rPr>
      </w:pPr>
    </w:p>
    <w:p w14:paraId="097EC66B" w14:textId="77777777" w:rsidR="00BC0E7E" w:rsidRPr="00BC0E7E" w:rsidRDefault="00944B8F" w:rsidP="00BC0E7E">
      <w:pPr>
        <w:keepNext/>
        <w:rPr>
          <w:del w:id="12969" w:author="AbbVie19" w:date="2025-04-16T12:22:00Z"/>
          <w:b/>
        </w:rPr>
      </w:pPr>
      <w:del w:id="12970" w:author="AbbVie19" w:date="2025-04-16T12:22:00Z">
        <w:r w:rsidRPr="00BC0E7E">
          <w:rPr>
            <w:b/>
          </w:rPr>
          <w:delText>If you stop using Humira</w:delText>
        </w:r>
      </w:del>
    </w:p>
    <w:p w14:paraId="5F8EA420" w14:textId="77777777" w:rsidR="00BC0E7E" w:rsidRPr="00BC0E7E" w:rsidRDefault="00BC0E7E" w:rsidP="00BC0E7E">
      <w:pPr>
        <w:keepNext/>
        <w:rPr>
          <w:del w:id="12971" w:author="AbbVie19" w:date="2025-04-16T12:22:00Z"/>
        </w:rPr>
      </w:pPr>
    </w:p>
    <w:p w14:paraId="7E3B54BC" w14:textId="77777777" w:rsidR="00BC0E7E" w:rsidRPr="00BC0E7E" w:rsidRDefault="00944B8F" w:rsidP="00BC0E7E">
      <w:pPr>
        <w:keepNext/>
        <w:rPr>
          <w:del w:id="12972" w:author="AbbVie19" w:date="2025-04-16T12:22:00Z"/>
        </w:rPr>
      </w:pPr>
      <w:del w:id="12973" w:author="AbbVie19" w:date="2025-04-16T12:22:00Z">
        <w:r w:rsidRPr="00BC0E7E">
          <w:delText>The decision to stop using Humira should be discussed with your doctor. Your symptoms may return upon discontinuation.</w:delText>
        </w:r>
      </w:del>
    </w:p>
    <w:p w14:paraId="452EACD4" w14:textId="77777777" w:rsidR="00BC0E7E" w:rsidRPr="00BC0E7E" w:rsidRDefault="00BC0E7E" w:rsidP="00BC0E7E">
      <w:pPr>
        <w:rPr>
          <w:del w:id="12974" w:author="AbbVie19" w:date="2025-04-16T12:22:00Z"/>
        </w:rPr>
      </w:pPr>
    </w:p>
    <w:p w14:paraId="2AA916A9" w14:textId="77777777" w:rsidR="00BC0E7E" w:rsidRPr="00BC0E7E" w:rsidRDefault="00944B8F" w:rsidP="00BC0E7E">
      <w:pPr>
        <w:rPr>
          <w:del w:id="12975" w:author="AbbVie19" w:date="2025-04-16T12:22:00Z"/>
        </w:rPr>
      </w:pPr>
      <w:del w:id="12976" w:author="AbbVie19" w:date="2025-04-16T12:22:00Z">
        <w:r w:rsidRPr="00BC0E7E">
          <w:delText>If you have any further questions on the use of this product, ask your doctor or pharmacist.</w:delText>
        </w:r>
      </w:del>
    </w:p>
    <w:p w14:paraId="33D71C79" w14:textId="77777777" w:rsidR="00BC0E7E" w:rsidRPr="00BC0E7E" w:rsidRDefault="00BC0E7E" w:rsidP="00BC0E7E">
      <w:pPr>
        <w:rPr>
          <w:del w:id="12977" w:author="AbbVie19" w:date="2025-04-16T12:22:00Z"/>
        </w:rPr>
      </w:pPr>
    </w:p>
    <w:p w14:paraId="5E6C27F2" w14:textId="77777777" w:rsidR="00BC0E7E" w:rsidRPr="00BC0E7E" w:rsidRDefault="00BC0E7E" w:rsidP="00BC0E7E">
      <w:pPr>
        <w:rPr>
          <w:del w:id="12978" w:author="AbbVie19" w:date="2025-04-16T12:22:00Z"/>
        </w:rPr>
      </w:pPr>
    </w:p>
    <w:p w14:paraId="76454E85" w14:textId="77777777" w:rsidR="00BC0E7E" w:rsidRPr="00BC0E7E" w:rsidRDefault="00944B8F" w:rsidP="00BC0E7E">
      <w:pPr>
        <w:outlineLvl w:val="0"/>
        <w:rPr>
          <w:del w:id="12979" w:author="AbbVie19" w:date="2025-04-16T12:22:00Z"/>
          <w:rFonts w:ascii="Times New Roman Bold" w:hAnsi="Times New Roman Bold"/>
          <w:b/>
          <w:szCs w:val="20"/>
        </w:rPr>
      </w:pPr>
      <w:del w:id="12980" w:author="AbbVie19" w:date="2025-04-16T12:22:00Z">
        <w:r w:rsidRPr="00BC0E7E">
          <w:rPr>
            <w:b/>
            <w:caps/>
            <w:szCs w:val="20"/>
          </w:rPr>
          <w:delText>4.</w:delText>
        </w:r>
        <w:r w:rsidRPr="00BC0E7E">
          <w:rPr>
            <w:b/>
            <w:caps/>
            <w:szCs w:val="20"/>
          </w:rPr>
          <w:tab/>
        </w:r>
        <w:r w:rsidRPr="00BC0E7E">
          <w:rPr>
            <w:rFonts w:ascii="Times New Roman Bold" w:hAnsi="Times New Roman Bold"/>
            <w:b/>
            <w:szCs w:val="20"/>
          </w:rPr>
          <w:delText>Possible side effects</w:delText>
        </w:r>
      </w:del>
    </w:p>
    <w:p w14:paraId="5BE23BD3" w14:textId="77777777" w:rsidR="00BC0E7E" w:rsidRPr="00BC0E7E" w:rsidRDefault="00BC0E7E" w:rsidP="00BC0E7E">
      <w:pPr>
        <w:rPr>
          <w:del w:id="12981" w:author="AbbVie19" w:date="2025-04-16T12:22:00Z"/>
          <w:szCs w:val="20"/>
        </w:rPr>
      </w:pPr>
    </w:p>
    <w:p w14:paraId="111E0311" w14:textId="77777777" w:rsidR="00BC0E7E" w:rsidRPr="00BC0E7E" w:rsidRDefault="00944B8F" w:rsidP="00BC0E7E">
      <w:pPr>
        <w:rPr>
          <w:del w:id="12982" w:author="AbbVie19" w:date="2025-04-16T12:22:00Z"/>
        </w:rPr>
      </w:pPr>
      <w:del w:id="12983" w:author="AbbVie19" w:date="2025-04-16T12:22:00Z">
        <w:r w:rsidRPr="00BC0E7E">
          <w:delText>Like all medicines, this medicine can cause side effects, although not everybody gets them. Most side effects are mild to moderate. However, some may be serious and require treatment. Side effects may occur at least up to 4 months after the last Humira injection.</w:delText>
        </w:r>
      </w:del>
    </w:p>
    <w:p w14:paraId="47686EDA" w14:textId="77777777" w:rsidR="00BC0E7E" w:rsidRPr="00BC0E7E" w:rsidRDefault="00BC0E7E" w:rsidP="00BC0E7E">
      <w:pPr>
        <w:rPr>
          <w:del w:id="12984" w:author="AbbVie19" w:date="2025-04-16T12:22:00Z"/>
        </w:rPr>
      </w:pPr>
    </w:p>
    <w:p w14:paraId="0C718C92" w14:textId="77777777" w:rsidR="00BC0E7E" w:rsidRPr="00BC0E7E" w:rsidRDefault="00944B8F" w:rsidP="00BC0E7E">
      <w:pPr>
        <w:rPr>
          <w:del w:id="12985" w:author="AbbVie19" w:date="2025-04-16T12:22:00Z"/>
        </w:rPr>
      </w:pPr>
      <w:del w:id="12986" w:author="AbbVie19" w:date="2025-04-16T12:22:00Z">
        <w:r w:rsidRPr="00BC0E7E">
          <w:delText xml:space="preserve">Tell your doctor immediately if you notice any of the following </w:delText>
        </w:r>
      </w:del>
    </w:p>
    <w:p w14:paraId="7B2A7BAD" w14:textId="77777777" w:rsidR="00BC0E7E" w:rsidRPr="00BC0E7E" w:rsidRDefault="00944B8F" w:rsidP="00BC0E7E">
      <w:pPr>
        <w:numPr>
          <w:ilvl w:val="0"/>
          <w:numId w:val="22"/>
        </w:numPr>
        <w:tabs>
          <w:tab w:val="clear" w:pos="562"/>
          <w:tab w:val="clear" w:pos="720"/>
          <w:tab w:val="num" w:pos="550"/>
        </w:tabs>
        <w:ind w:left="550" w:hanging="550"/>
        <w:rPr>
          <w:del w:id="12987" w:author="AbbVie19" w:date="2025-04-16T12:22:00Z"/>
        </w:rPr>
      </w:pPr>
      <w:del w:id="12988" w:author="AbbVie19" w:date="2025-04-16T12:22:00Z">
        <w:r>
          <w:delText>s</w:delText>
        </w:r>
        <w:r w:rsidRPr="00BC0E7E">
          <w:delText xml:space="preserve">evere rash, hives or other signs of allergic reaction; </w:delText>
        </w:r>
      </w:del>
    </w:p>
    <w:p w14:paraId="27D7965B" w14:textId="77777777" w:rsidR="00BC0E7E" w:rsidRPr="00BC0E7E" w:rsidRDefault="00944B8F" w:rsidP="00BC0E7E">
      <w:pPr>
        <w:numPr>
          <w:ilvl w:val="0"/>
          <w:numId w:val="22"/>
        </w:numPr>
        <w:tabs>
          <w:tab w:val="clear" w:pos="562"/>
          <w:tab w:val="clear" w:pos="720"/>
          <w:tab w:val="num" w:pos="550"/>
        </w:tabs>
        <w:ind w:left="550" w:hanging="550"/>
        <w:rPr>
          <w:del w:id="12989" w:author="AbbVie19" w:date="2025-04-16T12:22:00Z"/>
        </w:rPr>
      </w:pPr>
      <w:del w:id="12990" w:author="AbbVie19" w:date="2025-04-16T12:22:00Z">
        <w:r>
          <w:delText>s</w:delText>
        </w:r>
        <w:r w:rsidRPr="00BC0E7E">
          <w:delText>wollen face, hands, feet;</w:delText>
        </w:r>
      </w:del>
    </w:p>
    <w:p w14:paraId="14AFFA4D" w14:textId="77777777" w:rsidR="00BC0E7E" w:rsidRPr="00BC0E7E" w:rsidRDefault="00944B8F" w:rsidP="00BC0E7E">
      <w:pPr>
        <w:numPr>
          <w:ilvl w:val="0"/>
          <w:numId w:val="22"/>
        </w:numPr>
        <w:tabs>
          <w:tab w:val="clear" w:pos="562"/>
          <w:tab w:val="clear" w:pos="720"/>
          <w:tab w:val="num" w:pos="550"/>
        </w:tabs>
        <w:ind w:left="550" w:hanging="550"/>
        <w:rPr>
          <w:del w:id="12991" w:author="AbbVie19" w:date="2025-04-16T12:22:00Z"/>
        </w:rPr>
      </w:pPr>
      <w:del w:id="12992" w:author="AbbVie19" w:date="2025-04-16T12:22:00Z">
        <w:r>
          <w:delText>t</w:delText>
        </w:r>
        <w:r w:rsidRPr="00BC0E7E">
          <w:delText>rouble breathing, swallowing;</w:delText>
        </w:r>
      </w:del>
    </w:p>
    <w:p w14:paraId="3E221C43" w14:textId="77777777" w:rsidR="00BC0E7E" w:rsidRPr="00BC0E7E" w:rsidRDefault="00944B8F" w:rsidP="00BC0E7E">
      <w:pPr>
        <w:numPr>
          <w:ilvl w:val="0"/>
          <w:numId w:val="22"/>
        </w:numPr>
        <w:tabs>
          <w:tab w:val="clear" w:pos="562"/>
          <w:tab w:val="clear" w:pos="720"/>
          <w:tab w:val="num" w:pos="550"/>
        </w:tabs>
        <w:ind w:left="550" w:hanging="550"/>
        <w:rPr>
          <w:del w:id="12993" w:author="AbbVie19" w:date="2025-04-16T12:22:00Z"/>
        </w:rPr>
      </w:pPr>
      <w:del w:id="12994" w:author="AbbVie19" w:date="2025-04-16T12:22:00Z">
        <w:r>
          <w:delText>s</w:delText>
        </w:r>
        <w:r w:rsidRPr="00BC0E7E">
          <w:delText>hortness of breath with exertion or upon lying down or swelling of the feet.</w:delText>
        </w:r>
      </w:del>
    </w:p>
    <w:p w14:paraId="3DA30A56" w14:textId="77777777" w:rsidR="00BC0E7E" w:rsidRPr="00BC0E7E" w:rsidRDefault="00BC0E7E" w:rsidP="00BC0E7E">
      <w:pPr>
        <w:tabs>
          <w:tab w:val="clear" w:pos="562"/>
          <w:tab w:val="num" w:pos="690"/>
        </w:tabs>
        <w:ind w:left="550"/>
        <w:rPr>
          <w:del w:id="12995" w:author="AbbVie19" w:date="2025-04-16T12:22:00Z"/>
          <w:szCs w:val="20"/>
        </w:rPr>
      </w:pPr>
    </w:p>
    <w:p w14:paraId="32D05079" w14:textId="77777777" w:rsidR="00BC0E7E" w:rsidRPr="00BC0E7E" w:rsidRDefault="00944B8F" w:rsidP="00BC0E7E">
      <w:pPr>
        <w:ind w:left="567" w:hanging="567"/>
        <w:rPr>
          <w:del w:id="12996" w:author="AbbVie19" w:date="2025-04-16T12:22:00Z"/>
        </w:rPr>
      </w:pPr>
      <w:del w:id="12997" w:author="AbbVie19" w:date="2025-04-16T12:22:00Z">
        <w:r w:rsidRPr="00BC0E7E">
          <w:delText>Tell your doctor as soon as possible if you notice any of the following</w:delText>
        </w:r>
      </w:del>
    </w:p>
    <w:p w14:paraId="7CABF384" w14:textId="77777777" w:rsidR="00BC0E7E" w:rsidRPr="00BC0E7E" w:rsidRDefault="00944B8F" w:rsidP="00BC0E7E">
      <w:pPr>
        <w:numPr>
          <w:ilvl w:val="0"/>
          <w:numId w:val="22"/>
        </w:numPr>
        <w:tabs>
          <w:tab w:val="clear" w:pos="562"/>
          <w:tab w:val="clear" w:pos="720"/>
          <w:tab w:val="num" w:pos="550"/>
        </w:tabs>
        <w:ind w:left="550" w:hanging="550"/>
        <w:rPr>
          <w:del w:id="12998" w:author="AbbVie19" w:date="2025-04-16T12:22:00Z"/>
        </w:rPr>
      </w:pPr>
      <w:del w:id="12999" w:author="AbbVie19" w:date="2025-04-16T12:22:00Z">
        <w:r>
          <w:delText>s</w:delText>
        </w:r>
        <w:r w:rsidRPr="00BC0E7E">
          <w:delText>igns of infection such as fever, feeling sick, wounds, dental problems, burning on urination;</w:delText>
        </w:r>
      </w:del>
    </w:p>
    <w:p w14:paraId="6BAA0CAE" w14:textId="77777777" w:rsidR="00BC0E7E" w:rsidRPr="00BC0E7E" w:rsidRDefault="00944B8F" w:rsidP="00BC0E7E">
      <w:pPr>
        <w:numPr>
          <w:ilvl w:val="0"/>
          <w:numId w:val="22"/>
        </w:numPr>
        <w:tabs>
          <w:tab w:val="clear" w:pos="562"/>
          <w:tab w:val="clear" w:pos="720"/>
          <w:tab w:val="num" w:pos="550"/>
        </w:tabs>
        <w:ind w:left="550" w:hanging="550"/>
        <w:rPr>
          <w:del w:id="13000" w:author="AbbVie19" w:date="2025-04-16T12:22:00Z"/>
        </w:rPr>
      </w:pPr>
      <w:del w:id="13001" w:author="AbbVie19" w:date="2025-04-16T12:22:00Z">
        <w:r>
          <w:delText>f</w:delText>
        </w:r>
        <w:r w:rsidRPr="00BC0E7E">
          <w:delText>eeling weak or tired;</w:delText>
        </w:r>
      </w:del>
    </w:p>
    <w:p w14:paraId="75B5679E" w14:textId="77777777" w:rsidR="00BC0E7E" w:rsidRPr="00BC0E7E" w:rsidRDefault="00944B8F" w:rsidP="00BC0E7E">
      <w:pPr>
        <w:numPr>
          <w:ilvl w:val="0"/>
          <w:numId w:val="22"/>
        </w:numPr>
        <w:tabs>
          <w:tab w:val="clear" w:pos="562"/>
          <w:tab w:val="clear" w:pos="720"/>
          <w:tab w:val="num" w:pos="550"/>
        </w:tabs>
        <w:ind w:left="550" w:hanging="550"/>
        <w:rPr>
          <w:del w:id="13002" w:author="AbbVie19" w:date="2025-04-16T12:22:00Z"/>
        </w:rPr>
      </w:pPr>
      <w:del w:id="13003" w:author="AbbVie19" w:date="2025-04-16T12:22:00Z">
        <w:r>
          <w:delText>c</w:delText>
        </w:r>
        <w:r w:rsidRPr="00BC0E7E">
          <w:delText>oughing;</w:delText>
        </w:r>
      </w:del>
    </w:p>
    <w:p w14:paraId="4B5514B4" w14:textId="77777777" w:rsidR="00BC0E7E" w:rsidRPr="00BC0E7E" w:rsidRDefault="00944B8F" w:rsidP="00BC0E7E">
      <w:pPr>
        <w:numPr>
          <w:ilvl w:val="0"/>
          <w:numId w:val="22"/>
        </w:numPr>
        <w:tabs>
          <w:tab w:val="clear" w:pos="562"/>
          <w:tab w:val="clear" w:pos="720"/>
          <w:tab w:val="num" w:pos="550"/>
        </w:tabs>
        <w:ind w:left="550" w:hanging="550"/>
        <w:rPr>
          <w:del w:id="13004" w:author="AbbVie19" w:date="2025-04-16T12:22:00Z"/>
        </w:rPr>
      </w:pPr>
      <w:del w:id="13005" w:author="AbbVie19" w:date="2025-04-16T12:22:00Z">
        <w:r>
          <w:delText>t</w:delText>
        </w:r>
        <w:r w:rsidRPr="00BC0E7E">
          <w:delText>ingling;</w:delText>
        </w:r>
      </w:del>
    </w:p>
    <w:p w14:paraId="1A08246B" w14:textId="77777777" w:rsidR="00BC0E7E" w:rsidRPr="00BC0E7E" w:rsidRDefault="00944B8F" w:rsidP="00BC0E7E">
      <w:pPr>
        <w:numPr>
          <w:ilvl w:val="0"/>
          <w:numId w:val="22"/>
        </w:numPr>
        <w:tabs>
          <w:tab w:val="clear" w:pos="562"/>
          <w:tab w:val="clear" w:pos="720"/>
          <w:tab w:val="num" w:pos="550"/>
        </w:tabs>
        <w:ind w:left="550" w:hanging="550"/>
        <w:rPr>
          <w:del w:id="13006" w:author="AbbVie19" w:date="2025-04-16T12:22:00Z"/>
        </w:rPr>
      </w:pPr>
      <w:del w:id="13007" w:author="AbbVie19" w:date="2025-04-16T12:22:00Z">
        <w:r>
          <w:delText>n</w:delText>
        </w:r>
        <w:r w:rsidRPr="00BC0E7E">
          <w:delText>umbness;</w:delText>
        </w:r>
      </w:del>
    </w:p>
    <w:p w14:paraId="4569ED58" w14:textId="77777777" w:rsidR="00BC0E7E" w:rsidRPr="00BC0E7E" w:rsidRDefault="00944B8F" w:rsidP="00BC0E7E">
      <w:pPr>
        <w:numPr>
          <w:ilvl w:val="0"/>
          <w:numId w:val="22"/>
        </w:numPr>
        <w:tabs>
          <w:tab w:val="clear" w:pos="562"/>
          <w:tab w:val="clear" w:pos="720"/>
          <w:tab w:val="num" w:pos="550"/>
        </w:tabs>
        <w:ind w:left="550" w:hanging="550"/>
        <w:rPr>
          <w:del w:id="13008" w:author="AbbVie19" w:date="2025-04-16T12:22:00Z"/>
        </w:rPr>
      </w:pPr>
      <w:del w:id="13009" w:author="AbbVie19" w:date="2025-04-16T12:22:00Z">
        <w:r>
          <w:delText>d</w:delText>
        </w:r>
        <w:r w:rsidRPr="00BC0E7E">
          <w:delText>ouble vision;</w:delText>
        </w:r>
      </w:del>
    </w:p>
    <w:p w14:paraId="0BC325F5" w14:textId="77777777" w:rsidR="00BC0E7E" w:rsidRPr="00BC0E7E" w:rsidRDefault="00944B8F" w:rsidP="00BC0E7E">
      <w:pPr>
        <w:numPr>
          <w:ilvl w:val="0"/>
          <w:numId w:val="22"/>
        </w:numPr>
        <w:tabs>
          <w:tab w:val="clear" w:pos="562"/>
          <w:tab w:val="clear" w:pos="720"/>
          <w:tab w:val="num" w:pos="550"/>
        </w:tabs>
        <w:ind w:left="550" w:hanging="550"/>
        <w:rPr>
          <w:del w:id="13010" w:author="AbbVie19" w:date="2025-04-16T12:22:00Z"/>
        </w:rPr>
      </w:pPr>
      <w:del w:id="13011" w:author="AbbVie19" w:date="2025-04-16T12:22:00Z">
        <w:r>
          <w:delText>a</w:delText>
        </w:r>
        <w:r w:rsidRPr="00BC0E7E">
          <w:delText>rm or leg weakness;</w:delText>
        </w:r>
      </w:del>
    </w:p>
    <w:p w14:paraId="5893EB70" w14:textId="77777777" w:rsidR="00BC0E7E" w:rsidRPr="00BC0E7E" w:rsidRDefault="00944B8F" w:rsidP="00BC0E7E">
      <w:pPr>
        <w:numPr>
          <w:ilvl w:val="0"/>
          <w:numId w:val="22"/>
        </w:numPr>
        <w:tabs>
          <w:tab w:val="clear" w:pos="562"/>
          <w:tab w:val="clear" w:pos="720"/>
          <w:tab w:val="num" w:pos="550"/>
        </w:tabs>
        <w:ind w:left="550" w:hanging="550"/>
        <w:rPr>
          <w:del w:id="13012" w:author="AbbVie19" w:date="2025-04-16T12:22:00Z"/>
        </w:rPr>
      </w:pPr>
      <w:del w:id="13013" w:author="AbbVie19" w:date="2025-04-16T12:22:00Z">
        <w:r>
          <w:delText>a</w:delText>
        </w:r>
        <w:r w:rsidRPr="00BC0E7E">
          <w:delText xml:space="preserve"> bump or open sore that doesn't heal;</w:delText>
        </w:r>
      </w:del>
    </w:p>
    <w:p w14:paraId="3DBC13CF" w14:textId="77777777" w:rsidR="00BC0E7E" w:rsidRPr="00BC0E7E" w:rsidRDefault="00944B8F" w:rsidP="00BC0E7E">
      <w:pPr>
        <w:numPr>
          <w:ilvl w:val="0"/>
          <w:numId w:val="22"/>
        </w:numPr>
        <w:tabs>
          <w:tab w:val="clear" w:pos="562"/>
          <w:tab w:val="clear" w:pos="720"/>
          <w:tab w:val="num" w:pos="550"/>
        </w:tabs>
        <w:ind w:left="550" w:hanging="550"/>
        <w:rPr>
          <w:del w:id="13014" w:author="AbbVie19" w:date="2025-04-16T12:22:00Z"/>
        </w:rPr>
      </w:pPr>
      <w:del w:id="13015" w:author="AbbVie19" w:date="2025-04-16T12:22:00Z">
        <w:r>
          <w:delText>s</w:delText>
        </w:r>
        <w:r w:rsidRPr="00BC0E7E">
          <w:delText>igns and symptoms suggestive of blood disorders such as persistent fever, bruising, bleeding, paleness.</w:delText>
        </w:r>
      </w:del>
    </w:p>
    <w:p w14:paraId="7350CA28" w14:textId="77777777" w:rsidR="00BC0E7E" w:rsidRPr="00BC0E7E" w:rsidRDefault="00BC0E7E" w:rsidP="00BC0E7E">
      <w:pPr>
        <w:rPr>
          <w:del w:id="13016" w:author="AbbVie19" w:date="2025-04-16T12:22:00Z"/>
        </w:rPr>
      </w:pPr>
    </w:p>
    <w:p w14:paraId="7D685830" w14:textId="77777777" w:rsidR="00BC0E7E" w:rsidRPr="00BC0E7E" w:rsidRDefault="00944B8F" w:rsidP="00BC0E7E">
      <w:pPr>
        <w:rPr>
          <w:del w:id="13017" w:author="AbbVie19" w:date="2025-04-16T12:22:00Z"/>
        </w:rPr>
      </w:pPr>
      <w:del w:id="13018" w:author="AbbVie19" w:date="2025-04-16T12:22:00Z">
        <w:r w:rsidRPr="00BC0E7E">
          <w:delText>The symptoms described above can be signs of the below listed side effects, which have been observed with Humira</w:delText>
        </w:r>
        <w:r w:rsidR="00FF7875">
          <w:delText>.</w:delText>
        </w:r>
      </w:del>
    </w:p>
    <w:p w14:paraId="270C2CCA" w14:textId="77777777" w:rsidR="00BC0E7E" w:rsidRPr="00BC0E7E" w:rsidRDefault="00BC0E7E" w:rsidP="00BC0E7E">
      <w:pPr>
        <w:rPr>
          <w:del w:id="13019" w:author="AbbVie19" w:date="2025-04-16T12:22:00Z"/>
        </w:rPr>
      </w:pPr>
    </w:p>
    <w:p w14:paraId="191F04E5" w14:textId="77777777" w:rsidR="00BC0E7E" w:rsidRPr="00BC0E7E" w:rsidRDefault="00944B8F" w:rsidP="00171601">
      <w:pPr>
        <w:keepNext/>
        <w:rPr>
          <w:del w:id="13020" w:author="AbbVie19" w:date="2025-04-16T12:22:00Z"/>
          <w:i/>
          <w:iCs/>
        </w:rPr>
      </w:pPr>
      <w:del w:id="13021" w:author="AbbVie19" w:date="2025-04-16T12:22:00Z">
        <w:r w:rsidRPr="00BC0E7E">
          <w:lastRenderedPageBreak/>
          <w:delText>Very common (may affect more than 1 in 10 people)</w:delText>
        </w:r>
      </w:del>
    </w:p>
    <w:p w14:paraId="560B91EB" w14:textId="77777777" w:rsidR="00BC0E7E" w:rsidRPr="00BC0E7E" w:rsidRDefault="00BC0E7E" w:rsidP="00171601">
      <w:pPr>
        <w:keepNext/>
        <w:rPr>
          <w:del w:id="13022" w:author="AbbVie19" w:date="2025-04-16T12:22:00Z"/>
          <w:i/>
          <w:iCs/>
        </w:rPr>
      </w:pPr>
    </w:p>
    <w:p w14:paraId="14E9BE37" w14:textId="77777777" w:rsidR="00BC0E7E" w:rsidRPr="00BC0E7E" w:rsidRDefault="00944B8F" w:rsidP="00171601">
      <w:pPr>
        <w:keepNext/>
        <w:numPr>
          <w:ilvl w:val="0"/>
          <w:numId w:val="22"/>
        </w:numPr>
        <w:tabs>
          <w:tab w:val="clear" w:pos="562"/>
          <w:tab w:val="clear" w:pos="720"/>
          <w:tab w:val="num" w:pos="550"/>
        </w:tabs>
        <w:ind w:left="550" w:hanging="550"/>
        <w:rPr>
          <w:del w:id="13023" w:author="AbbVie19" w:date="2025-04-16T12:22:00Z"/>
        </w:rPr>
      </w:pPr>
      <w:del w:id="13024" w:author="AbbVie19" w:date="2025-04-16T12:22:00Z">
        <w:r w:rsidRPr="00BC0E7E">
          <w:delText>injection site reactions (including pain, swelling, redness or itching);</w:delText>
        </w:r>
      </w:del>
    </w:p>
    <w:p w14:paraId="6632EF49" w14:textId="77777777" w:rsidR="00BC0E7E" w:rsidRPr="00BC0E7E" w:rsidRDefault="00944B8F" w:rsidP="00171601">
      <w:pPr>
        <w:keepNext/>
        <w:numPr>
          <w:ilvl w:val="0"/>
          <w:numId w:val="22"/>
        </w:numPr>
        <w:tabs>
          <w:tab w:val="clear" w:pos="562"/>
          <w:tab w:val="clear" w:pos="720"/>
          <w:tab w:val="num" w:pos="550"/>
        </w:tabs>
        <w:ind w:left="550" w:hanging="550"/>
        <w:rPr>
          <w:del w:id="13025" w:author="AbbVie19" w:date="2025-04-16T12:22:00Z"/>
        </w:rPr>
      </w:pPr>
      <w:del w:id="13026" w:author="AbbVie19" w:date="2025-04-16T12:22:00Z">
        <w:r w:rsidRPr="00BC0E7E">
          <w:delText>respiratory tract infections (including cold, runny nose, sinus infection, pneumonia);</w:delText>
        </w:r>
      </w:del>
    </w:p>
    <w:p w14:paraId="4B12C346" w14:textId="77777777" w:rsidR="00BC0E7E" w:rsidRPr="00BC0E7E" w:rsidRDefault="00944B8F" w:rsidP="00171601">
      <w:pPr>
        <w:keepNext/>
        <w:numPr>
          <w:ilvl w:val="0"/>
          <w:numId w:val="22"/>
        </w:numPr>
        <w:tabs>
          <w:tab w:val="clear" w:pos="562"/>
          <w:tab w:val="clear" w:pos="720"/>
          <w:tab w:val="num" w:pos="550"/>
        </w:tabs>
        <w:ind w:left="550" w:hanging="550"/>
        <w:rPr>
          <w:del w:id="13027" w:author="AbbVie19" w:date="2025-04-16T12:22:00Z"/>
        </w:rPr>
      </w:pPr>
      <w:del w:id="13028" w:author="AbbVie19" w:date="2025-04-16T12:22:00Z">
        <w:r w:rsidRPr="00BC0E7E">
          <w:delText>headache;</w:delText>
        </w:r>
      </w:del>
    </w:p>
    <w:p w14:paraId="29DA22A8" w14:textId="77777777" w:rsidR="00BC0E7E" w:rsidRPr="00BC0E7E" w:rsidRDefault="00944B8F" w:rsidP="00171601">
      <w:pPr>
        <w:keepNext/>
        <w:numPr>
          <w:ilvl w:val="0"/>
          <w:numId w:val="22"/>
        </w:numPr>
        <w:tabs>
          <w:tab w:val="clear" w:pos="562"/>
          <w:tab w:val="clear" w:pos="720"/>
          <w:tab w:val="num" w:pos="550"/>
        </w:tabs>
        <w:ind w:left="550" w:hanging="550"/>
        <w:rPr>
          <w:del w:id="13029" w:author="AbbVie19" w:date="2025-04-16T12:22:00Z"/>
        </w:rPr>
      </w:pPr>
      <w:del w:id="13030" w:author="AbbVie19" w:date="2025-04-16T12:22:00Z">
        <w:r w:rsidRPr="00BC0E7E">
          <w:delText>abdominal pain;</w:delText>
        </w:r>
      </w:del>
    </w:p>
    <w:p w14:paraId="307052C9" w14:textId="77777777" w:rsidR="00BC0E7E" w:rsidRPr="00BC0E7E" w:rsidRDefault="00944B8F" w:rsidP="00171601">
      <w:pPr>
        <w:keepNext/>
        <w:numPr>
          <w:ilvl w:val="0"/>
          <w:numId w:val="22"/>
        </w:numPr>
        <w:tabs>
          <w:tab w:val="clear" w:pos="562"/>
          <w:tab w:val="clear" w:pos="720"/>
          <w:tab w:val="num" w:pos="550"/>
        </w:tabs>
        <w:ind w:left="550" w:hanging="550"/>
        <w:rPr>
          <w:del w:id="13031" w:author="AbbVie19" w:date="2025-04-16T12:22:00Z"/>
        </w:rPr>
      </w:pPr>
      <w:del w:id="13032" w:author="AbbVie19" w:date="2025-04-16T12:22:00Z">
        <w:r w:rsidRPr="00BC0E7E">
          <w:delText>nausea and vomiting;</w:delText>
        </w:r>
      </w:del>
    </w:p>
    <w:p w14:paraId="6024B4FF" w14:textId="77777777" w:rsidR="00BC0E7E" w:rsidRPr="00BC0E7E" w:rsidRDefault="00944B8F" w:rsidP="00171601">
      <w:pPr>
        <w:keepNext/>
        <w:numPr>
          <w:ilvl w:val="0"/>
          <w:numId w:val="22"/>
        </w:numPr>
        <w:tabs>
          <w:tab w:val="clear" w:pos="562"/>
          <w:tab w:val="clear" w:pos="720"/>
          <w:tab w:val="num" w:pos="550"/>
        </w:tabs>
        <w:ind w:left="550" w:hanging="550"/>
        <w:rPr>
          <w:del w:id="13033" w:author="AbbVie19" w:date="2025-04-16T12:22:00Z"/>
        </w:rPr>
      </w:pPr>
      <w:del w:id="13034" w:author="AbbVie19" w:date="2025-04-16T12:22:00Z">
        <w:r w:rsidRPr="00BC0E7E">
          <w:delText>rash;</w:delText>
        </w:r>
      </w:del>
    </w:p>
    <w:p w14:paraId="7B407B84" w14:textId="77777777" w:rsidR="00BC0E7E" w:rsidRPr="00BC0E7E" w:rsidRDefault="00944B8F" w:rsidP="00171601">
      <w:pPr>
        <w:keepNext/>
        <w:numPr>
          <w:ilvl w:val="0"/>
          <w:numId w:val="22"/>
        </w:numPr>
        <w:tabs>
          <w:tab w:val="clear" w:pos="562"/>
          <w:tab w:val="clear" w:pos="720"/>
          <w:tab w:val="num" w:pos="550"/>
        </w:tabs>
        <w:ind w:left="550" w:hanging="550"/>
        <w:rPr>
          <w:del w:id="13035" w:author="AbbVie19" w:date="2025-04-16T12:22:00Z"/>
        </w:rPr>
      </w:pPr>
      <w:del w:id="13036" w:author="AbbVie19" w:date="2025-04-16T12:22:00Z">
        <w:r w:rsidRPr="00BC0E7E">
          <w:delText>musculoskeletal pain.</w:delText>
        </w:r>
      </w:del>
    </w:p>
    <w:p w14:paraId="73CF71D5" w14:textId="77777777" w:rsidR="00BC0E7E" w:rsidRPr="00BC0E7E" w:rsidRDefault="00BC0E7E" w:rsidP="00BC0E7E">
      <w:pPr>
        <w:rPr>
          <w:del w:id="13037" w:author="AbbVie19" w:date="2025-04-16T12:22:00Z"/>
        </w:rPr>
      </w:pPr>
    </w:p>
    <w:p w14:paraId="784EF462" w14:textId="77777777" w:rsidR="00BC0E7E" w:rsidRPr="00BC0E7E" w:rsidRDefault="00944B8F" w:rsidP="00BC0E7E">
      <w:pPr>
        <w:rPr>
          <w:del w:id="13038" w:author="AbbVie19" w:date="2025-04-16T12:22:00Z"/>
          <w:i/>
          <w:iCs/>
        </w:rPr>
      </w:pPr>
      <w:del w:id="13039" w:author="AbbVie19" w:date="2025-04-16T12:22:00Z">
        <w:r w:rsidRPr="00BC0E7E">
          <w:delText>Common (may affect up to 1 in 10 people)</w:delText>
        </w:r>
        <w:r w:rsidRPr="00BC0E7E">
          <w:rPr>
            <w:i/>
            <w:iCs/>
          </w:rPr>
          <w:delText xml:space="preserve"> </w:delText>
        </w:r>
      </w:del>
    </w:p>
    <w:p w14:paraId="0802451F" w14:textId="77777777" w:rsidR="00BC0E7E" w:rsidRPr="00BC0E7E" w:rsidRDefault="00BC0E7E" w:rsidP="00BC0E7E">
      <w:pPr>
        <w:rPr>
          <w:del w:id="13040" w:author="AbbVie19" w:date="2025-04-16T12:22:00Z"/>
          <w:iCs/>
        </w:rPr>
      </w:pPr>
    </w:p>
    <w:p w14:paraId="5A2270EE" w14:textId="77777777" w:rsidR="00BC0E7E" w:rsidRPr="00BC0E7E" w:rsidRDefault="00944B8F" w:rsidP="00BC0E7E">
      <w:pPr>
        <w:numPr>
          <w:ilvl w:val="0"/>
          <w:numId w:val="22"/>
        </w:numPr>
        <w:tabs>
          <w:tab w:val="clear" w:pos="562"/>
          <w:tab w:val="clear" w:pos="720"/>
          <w:tab w:val="num" w:pos="550"/>
        </w:tabs>
        <w:ind w:left="550" w:hanging="550"/>
        <w:rPr>
          <w:del w:id="13041" w:author="AbbVie19" w:date="2025-04-16T12:22:00Z"/>
        </w:rPr>
      </w:pPr>
      <w:del w:id="13042" w:author="AbbVie19" w:date="2025-04-16T12:22:00Z">
        <w:r>
          <w:delText xml:space="preserve">serious </w:delText>
        </w:r>
        <w:r w:rsidRPr="00BC0E7E">
          <w:delText>infections (including blood poisoning and influenza);</w:delText>
        </w:r>
      </w:del>
    </w:p>
    <w:p w14:paraId="76533CEA" w14:textId="77777777" w:rsidR="003068F4" w:rsidRDefault="00944B8F" w:rsidP="00BC0E7E">
      <w:pPr>
        <w:numPr>
          <w:ilvl w:val="0"/>
          <w:numId w:val="22"/>
        </w:numPr>
        <w:tabs>
          <w:tab w:val="clear" w:pos="562"/>
          <w:tab w:val="clear" w:pos="720"/>
          <w:tab w:val="num" w:pos="550"/>
        </w:tabs>
        <w:ind w:left="550" w:hanging="550"/>
        <w:rPr>
          <w:del w:id="13043" w:author="AbbVie19" w:date="2025-04-16T12:22:00Z"/>
        </w:rPr>
      </w:pPr>
      <w:del w:id="13044" w:author="AbbVie19" w:date="2025-04-16T12:22:00Z">
        <w:r>
          <w:delText>intestinal infections (including gastroenteritis)</w:delText>
        </w:r>
        <w:r w:rsidR="00B60274">
          <w:delText>;</w:delText>
        </w:r>
      </w:del>
    </w:p>
    <w:p w14:paraId="7254D0C5" w14:textId="77777777" w:rsidR="00BC0E7E" w:rsidRPr="00BC0E7E" w:rsidRDefault="00944B8F" w:rsidP="00BC0E7E">
      <w:pPr>
        <w:numPr>
          <w:ilvl w:val="0"/>
          <w:numId w:val="22"/>
        </w:numPr>
        <w:tabs>
          <w:tab w:val="clear" w:pos="562"/>
          <w:tab w:val="clear" w:pos="720"/>
          <w:tab w:val="num" w:pos="550"/>
        </w:tabs>
        <w:ind w:left="550" w:hanging="550"/>
        <w:rPr>
          <w:del w:id="13045" w:author="AbbVie19" w:date="2025-04-16T12:22:00Z"/>
        </w:rPr>
      </w:pPr>
      <w:del w:id="13046" w:author="AbbVie19" w:date="2025-04-16T12:22:00Z">
        <w:r w:rsidRPr="00BC0E7E">
          <w:delText>skin infections (including cellulitis and shingles);</w:delText>
        </w:r>
      </w:del>
    </w:p>
    <w:p w14:paraId="3ADA07D5" w14:textId="77777777" w:rsidR="00BC0E7E" w:rsidRPr="00BC0E7E" w:rsidRDefault="00944B8F" w:rsidP="00BC0E7E">
      <w:pPr>
        <w:numPr>
          <w:ilvl w:val="0"/>
          <w:numId w:val="22"/>
        </w:numPr>
        <w:tabs>
          <w:tab w:val="clear" w:pos="562"/>
          <w:tab w:val="clear" w:pos="720"/>
          <w:tab w:val="num" w:pos="550"/>
        </w:tabs>
        <w:ind w:left="550" w:hanging="550"/>
        <w:rPr>
          <w:del w:id="13047" w:author="AbbVie19" w:date="2025-04-16T12:22:00Z"/>
        </w:rPr>
      </w:pPr>
      <w:del w:id="13048" w:author="AbbVie19" w:date="2025-04-16T12:22:00Z">
        <w:r w:rsidRPr="00BC0E7E">
          <w:delText>ear infections;</w:delText>
        </w:r>
      </w:del>
    </w:p>
    <w:p w14:paraId="596B505E" w14:textId="77777777" w:rsidR="00BC0E7E" w:rsidRPr="00BC0E7E" w:rsidRDefault="00944B8F" w:rsidP="00BC0E7E">
      <w:pPr>
        <w:numPr>
          <w:ilvl w:val="0"/>
          <w:numId w:val="22"/>
        </w:numPr>
        <w:tabs>
          <w:tab w:val="clear" w:pos="562"/>
          <w:tab w:val="clear" w:pos="720"/>
          <w:tab w:val="num" w:pos="550"/>
        </w:tabs>
        <w:ind w:left="550" w:hanging="550"/>
        <w:rPr>
          <w:del w:id="13049" w:author="AbbVie19" w:date="2025-04-16T12:22:00Z"/>
        </w:rPr>
      </w:pPr>
      <w:del w:id="13050" w:author="AbbVie19" w:date="2025-04-16T12:22:00Z">
        <w:r w:rsidRPr="00BC0E7E">
          <w:delText>oral infections (including tooth infections and cold sores);</w:delText>
        </w:r>
      </w:del>
    </w:p>
    <w:p w14:paraId="04F705C3" w14:textId="77777777" w:rsidR="00BC0E7E" w:rsidRPr="00BC0E7E" w:rsidRDefault="00944B8F" w:rsidP="00BC0E7E">
      <w:pPr>
        <w:numPr>
          <w:ilvl w:val="0"/>
          <w:numId w:val="22"/>
        </w:numPr>
        <w:tabs>
          <w:tab w:val="clear" w:pos="562"/>
          <w:tab w:val="clear" w:pos="720"/>
          <w:tab w:val="num" w:pos="550"/>
        </w:tabs>
        <w:ind w:left="550" w:hanging="550"/>
        <w:rPr>
          <w:del w:id="13051" w:author="AbbVie19" w:date="2025-04-16T12:22:00Z"/>
        </w:rPr>
      </w:pPr>
      <w:del w:id="13052" w:author="AbbVie19" w:date="2025-04-16T12:22:00Z">
        <w:r w:rsidRPr="00BC0E7E">
          <w:delText>reproductive tract infections;</w:delText>
        </w:r>
      </w:del>
    </w:p>
    <w:p w14:paraId="13A4B4A0" w14:textId="77777777" w:rsidR="00BC0E7E" w:rsidRPr="00BC0E7E" w:rsidRDefault="00944B8F" w:rsidP="00BC0E7E">
      <w:pPr>
        <w:numPr>
          <w:ilvl w:val="0"/>
          <w:numId w:val="22"/>
        </w:numPr>
        <w:tabs>
          <w:tab w:val="clear" w:pos="562"/>
          <w:tab w:val="clear" w:pos="720"/>
          <w:tab w:val="num" w:pos="550"/>
        </w:tabs>
        <w:ind w:left="550" w:hanging="550"/>
        <w:rPr>
          <w:del w:id="13053" w:author="AbbVie19" w:date="2025-04-16T12:22:00Z"/>
        </w:rPr>
      </w:pPr>
      <w:del w:id="13054" w:author="AbbVie19" w:date="2025-04-16T12:22:00Z">
        <w:r w:rsidRPr="00BC0E7E">
          <w:delText>urinary tract infection;</w:delText>
        </w:r>
      </w:del>
    </w:p>
    <w:p w14:paraId="30B22D1A" w14:textId="77777777" w:rsidR="00BC0E7E" w:rsidRPr="00BC0E7E" w:rsidRDefault="00944B8F" w:rsidP="00BC0E7E">
      <w:pPr>
        <w:numPr>
          <w:ilvl w:val="0"/>
          <w:numId w:val="22"/>
        </w:numPr>
        <w:tabs>
          <w:tab w:val="clear" w:pos="562"/>
          <w:tab w:val="clear" w:pos="720"/>
          <w:tab w:val="num" w:pos="550"/>
        </w:tabs>
        <w:ind w:left="550" w:hanging="550"/>
        <w:rPr>
          <w:del w:id="13055" w:author="AbbVie19" w:date="2025-04-16T12:22:00Z"/>
        </w:rPr>
      </w:pPr>
      <w:del w:id="13056" w:author="AbbVie19" w:date="2025-04-16T12:22:00Z">
        <w:r w:rsidRPr="00BC0E7E">
          <w:delText>fungal infections;</w:delText>
        </w:r>
      </w:del>
    </w:p>
    <w:p w14:paraId="3E790328" w14:textId="77777777" w:rsidR="00BC0E7E" w:rsidRPr="00BC0E7E" w:rsidRDefault="00944B8F" w:rsidP="00BC0E7E">
      <w:pPr>
        <w:numPr>
          <w:ilvl w:val="0"/>
          <w:numId w:val="22"/>
        </w:numPr>
        <w:tabs>
          <w:tab w:val="clear" w:pos="562"/>
          <w:tab w:val="clear" w:pos="720"/>
          <w:tab w:val="num" w:pos="550"/>
        </w:tabs>
        <w:ind w:left="550" w:hanging="550"/>
        <w:rPr>
          <w:del w:id="13057" w:author="AbbVie19" w:date="2025-04-16T12:22:00Z"/>
        </w:rPr>
      </w:pPr>
      <w:del w:id="13058" w:author="AbbVie19" w:date="2025-04-16T12:22:00Z">
        <w:r w:rsidRPr="00BC0E7E">
          <w:delText>joint infections;</w:delText>
        </w:r>
      </w:del>
    </w:p>
    <w:p w14:paraId="437ADEA9" w14:textId="77777777" w:rsidR="00BC0E7E" w:rsidRPr="00BC0E7E" w:rsidRDefault="00944B8F" w:rsidP="00BC0E7E">
      <w:pPr>
        <w:numPr>
          <w:ilvl w:val="0"/>
          <w:numId w:val="22"/>
        </w:numPr>
        <w:tabs>
          <w:tab w:val="clear" w:pos="562"/>
          <w:tab w:val="clear" w:pos="720"/>
          <w:tab w:val="num" w:pos="550"/>
        </w:tabs>
        <w:ind w:left="550" w:hanging="550"/>
        <w:rPr>
          <w:del w:id="13059" w:author="AbbVie19" w:date="2025-04-16T12:22:00Z"/>
        </w:rPr>
      </w:pPr>
      <w:del w:id="13060" w:author="AbbVie19" w:date="2025-04-16T12:22:00Z">
        <w:r w:rsidRPr="00BC0E7E">
          <w:delText>benign tumours;</w:delText>
        </w:r>
      </w:del>
    </w:p>
    <w:p w14:paraId="5BBCDE06" w14:textId="77777777" w:rsidR="00BC0E7E" w:rsidRPr="00BC0E7E" w:rsidRDefault="00944B8F" w:rsidP="00BC0E7E">
      <w:pPr>
        <w:numPr>
          <w:ilvl w:val="0"/>
          <w:numId w:val="22"/>
        </w:numPr>
        <w:tabs>
          <w:tab w:val="clear" w:pos="562"/>
          <w:tab w:val="clear" w:pos="720"/>
          <w:tab w:val="num" w:pos="550"/>
        </w:tabs>
        <w:ind w:left="550" w:hanging="550"/>
        <w:rPr>
          <w:del w:id="13061" w:author="AbbVie19" w:date="2025-04-16T12:22:00Z"/>
        </w:rPr>
      </w:pPr>
      <w:del w:id="13062" w:author="AbbVie19" w:date="2025-04-16T12:22:00Z">
        <w:r w:rsidRPr="00BC0E7E">
          <w:delText>skin cancer;</w:delText>
        </w:r>
      </w:del>
    </w:p>
    <w:p w14:paraId="779E63D8" w14:textId="77777777" w:rsidR="00BC0E7E" w:rsidRPr="00BC0E7E" w:rsidRDefault="00944B8F" w:rsidP="00BC0E7E">
      <w:pPr>
        <w:numPr>
          <w:ilvl w:val="0"/>
          <w:numId w:val="22"/>
        </w:numPr>
        <w:tabs>
          <w:tab w:val="clear" w:pos="562"/>
          <w:tab w:val="clear" w:pos="720"/>
          <w:tab w:val="num" w:pos="550"/>
        </w:tabs>
        <w:ind w:left="550" w:hanging="550"/>
        <w:rPr>
          <w:del w:id="13063" w:author="AbbVie19" w:date="2025-04-16T12:22:00Z"/>
        </w:rPr>
      </w:pPr>
      <w:del w:id="13064" w:author="AbbVie19" w:date="2025-04-16T12:22:00Z">
        <w:r w:rsidRPr="00BC0E7E">
          <w:delText>allergic reactions (including seasonal allergy);</w:delText>
        </w:r>
      </w:del>
    </w:p>
    <w:p w14:paraId="1269433E" w14:textId="77777777" w:rsidR="00BC0E7E" w:rsidRPr="00BC0E7E" w:rsidRDefault="00944B8F" w:rsidP="00BC0E7E">
      <w:pPr>
        <w:numPr>
          <w:ilvl w:val="0"/>
          <w:numId w:val="22"/>
        </w:numPr>
        <w:tabs>
          <w:tab w:val="clear" w:pos="562"/>
          <w:tab w:val="clear" w:pos="720"/>
          <w:tab w:val="num" w:pos="550"/>
        </w:tabs>
        <w:ind w:left="550" w:hanging="550"/>
        <w:rPr>
          <w:del w:id="13065" w:author="AbbVie19" w:date="2025-04-16T12:22:00Z"/>
        </w:rPr>
      </w:pPr>
      <w:del w:id="13066" w:author="AbbVie19" w:date="2025-04-16T12:22:00Z">
        <w:r w:rsidRPr="00BC0E7E">
          <w:delText>dehydration;</w:delText>
        </w:r>
      </w:del>
    </w:p>
    <w:p w14:paraId="6B45590B" w14:textId="77777777" w:rsidR="00BC0E7E" w:rsidRPr="00BC0E7E" w:rsidRDefault="00944B8F" w:rsidP="00BC0E7E">
      <w:pPr>
        <w:numPr>
          <w:ilvl w:val="0"/>
          <w:numId w:val="22"/>
        </w:numPr>
        <w:tabs>
          <w:tab w:val="clear" w:pos="562"/>
          <w:tab w:val="clear" w:pos="720"/>
          <w:tab w:val="num" w:pos="550"/>
        </w:tabs>
        <w:ind w:left="550" w:hanging="550"/>
        <w:rPr>
          <w:del w:id="13067" w:author="AbbVie19" w:date="2025-04-16T12:22:00Z"/>
        </w:rPr>
      </w:pPr>
      <w:del w:id="13068" w:author="AbbVie19" w:date="2025-04-16T12:22:00Z">
        <w:r w:rsidRPr="00BC0E7E">
          <w:delText>mood swings (including depression);</w:delText>
        </w:r>
      </w:del>
    </w:p>
    <w:p w14:paraId="5E75EBB0" w14:textId="77777777" w:rsidR="00BC0E7E" w:rsidRPr="00BC0E7E" w:rsidRDefault="00944B8F" w:rsidP="00BC0E7E">
      <w:pPr>
        <w:numPr>
          <w:ilvl w:val="0"/>
          <w:numId w:val="22"/>
        </w:numPr>
        <w:tabs>
          <w:tab w:val="clear" w:pos="562"/>
          <w:tab w:val="clear" w:pos="720"/>
          <w:tab w:val="num" w:pos="550"/>
        </w:tabs>
        <w:ind w:left="550" w:hanging="550"/>
        <w:rPr>
          <w:del w:id="13069" w:author="AbbVie19" w:date="2025-04-16T12:22:00Z"/>
        </w:rPr>
      </w:pPr>
      <w:del w:id="13070" w:author="AbbVie19" w:date="2025-04-16T12:22:00Z">
        <w:r w:rsidRPr="00BC0E7E">
          <w:delText>anxiety;</w:delText>
        </w:r>
      </w:del>
    </w:p>
    <w:p w14:paraId="6CDF9FF8" w14:textId="77777777" w:rsidR="00BC0E7E" w:rsidRPr="00BC0E7E" w:rsidRDefault="00944B8F" w:rsidP="00BC0E7E">
      <w:pPr>
        <w:numPr>
          <w:ilvl w:val="0"/>
          <w:numId w:val="22"/>
        </w:numPr>
        <w:tabs>
          <w:tab w:val="clear" w:pos="562"/>
          <w:tab w:val="clear" w:pos="720"/>
          <w:tab w:val="num" w:pos="550"/>
        </w:tabs>
        <w:ind w:left="550" w:hanging="550"/>
        <w:rPr>
          <w:del w:id="13071" w:author="AbbVie19" w:date="2025-04-16T12:22:00Z"/>
        </w:rPr>
      </w:pPr>
      <w:del w:id="13072" w:author="AbbVie19" w:date="2025-04-16T12:22:00Z">
        <w:r w:rsidRPr="00BC0E7E">
          <w:delText>difficulty sleeping;</w:delText>
        </w:r>
      </w:del>
    </w:p>
    <w:p w14:paraId="5A08CF8C" w14:textId="77777777" w:rsidR="00BC0E7E" w:rsidRPr="00BC0E7E" w:rsidRDefault="00944B8F" w:rsidP="00BC0E7E">
      <w:pPr>
        <w:numPr>
          <w:ilvl w:val="0"/>
          <w:numId w:val="22"/>
        </w:numPr>
        <w:tabs>
          <w:tab w:val="clear" w:pos="562"/>
          <w:tab w:val="clear" w:pos="720"/>
          <w:tab w:val="num" w:pos="550"/>
        </w:tabs>
        <w:ind w:left="550" w:hanging="550"/>
        <w:rPr>
          <w:del w:id="13073" w:author="AbbVie19" w:date="2025-04-16T12:22:00Z"/>
        </w:rPr>
      </w:pPr>
      <w:del w:id="13074" w:author="AbbVie19" w:date="2025-04-16T12:22:00Z">
        <w:r w:rsidRPr="00BC0E7E">
          <w:delText>sensation disorders such as tingling, prickling or numbness;</w:delText>
        </w:r>
      </w:del>
    </w:p>
    <w:p w14:paraId="1F0F21C7" w14:textId="77777777" w:rsidR="00BC0E7E" w:rsidRPr="00BC0E7E" w:rsidRDefault="00944B8F" w:rsidP="00BC0E7E">
      <w:pPr>
        <w:numPr>
          <w:ilvl w:val="0"/>
          <w:numId w:val="22"/>
        </w:numPr>
        <w:tabs>
          <w:tab w:val="clear" w:pos="562"/>
          <w:tab w:val="clear" w:pos="720"/>
          <w:tab w:val="num" w:pos="550"/>
        </w:tabs>
        <w:ind w:left="550" w:hanging="550"/>
        <w:rPr>
          <w:del w:id="13075" w:author="AbbVie19" w:date="2025-04-16T12:22:00Z"/>
        </w:rPr>
      </w:pPr>
      <w:del w:id="13076" w:author="AbbVie19" w:date="2025-04-16T12:22:00Z">
        <w:r w:rsidRPr="00BC0E7E">
          <w:delText>migraine;</w:delText>
        </w:r>
      </w:del>
    </w:p>
    <w:p w14:paraId="228F82B2" w14:textId="77777777" w:rsidR="00BC0E7E" w:rsidRPr="00BC0E7E" w:rsidRDefault="00944B8F" w:rsidP="00BC0E7E">
      <w:pPr>
        <w:numPr>
          <w:ilvl w:val="0"/>
          <w:numId w:val="22"/>
        </w:numPr>
        <w:tabs>
          <w:tab w:val="clear" w:pos="562"/>
          <w:tab w:val="clear" w:pos="720"/>
          <w:tab w:val="num" w:pos="550"/>
        </w:tabs>
        <w:ind w:left="550" w:hanging="550"/>
        <w:rPr>
          <w:del w:id="13077" w:author="AbbVie19" w:date="2025-04-16T12:22:00Z"/>
        </w:rPr>
      </w:pPr>
      <w:del w:id="13078" w:author="AbbVie19" w:date="2025-04-16T12:22:00Z">
        <w:r w:rsidRPr="00BC0E7E">
          <w:delText>nerve root compression (including low back pain and leg pain);</w:delText>
        </w:r>
      </w:del>
    </w:p>
    <w:p w14:paraId="7695B15D" w14:textId="77777777" w:rsidR="00BC0E7E" w:rsidRPr="00BC0E7E" w:rsidRDefault="00944B8F" w:rsidP="00BC0E7E">
      <w:pPr>
        <w:numPr>
          <w:ilvl w:val="0"/>
          <w:numId w:val="22"/>
        </w:numPr>
        <w:tabs>
          <w:tab w:val="clear" w:pos="562"/>
          <w:tab w:val="clear" w:pos="720"/>
          <w:tab w:val="num" w:pos="550"/>
        </w:tabs>
        <w:ind w:left="550" w:hanging="550"/>
        <w:rPr>
          <w:del w:id="13079" w:author="AbbVie19" w:date="2025-04-16T12:22:00Z"/>
        </w:rPr>
      </w:pPr>
      <w:del w:id="13080" w:author="AbbVie19" w:date="2025-04-16T12:22:00Z">
        <w:r w:rsidRPr="00BC0E7E">
          <w:delText xml:space="preserve">vision disturbances; </w:delText>
        </w:r>
      </w:del>
    </w:p>
    <w:p w14:paraId="67C240A8" w14:textId="77777777" w:rsidR="00BC0E7E" w:rsidRPr="00BC0E7E" w:rsidRDefault="00944B8F" w:rsidP="00BC0E7E">
      <w:pPr>
        <w:numPr>
          <w:ilvl w:val="0"/>
          <w:numId w:val="22"/>
        </w:numPr>
        <w:tabs>
          <w:tab w:val="clear" w:pos="562"/>
          <w:tab w:val="clear" w:pos="720"/>
          <w:tab w:val="num" w:pos="550"/>
        </w:tabs>
        <w:ind w:left="550" w:hanging="550"/>
        <w:rPr>
          <w:del w:id="13081" w:author="AbbVie19" w:date="2025-04-16T12:22:00Z"/>
        </w:rPr>
      </w:pPr>
      <w:del w:id="13082" w:author="AbbVie19" w:date="2025-04-16T12:22:00Z">
        <w:r w:rsidRPr="00BC0E7E">
          <w:delText>eye inflammation;</w:delText>
        </w:r>
      </w:del>
    </w:p>
    <w:p w14:paraId="2237613F" w14:textId="77777777" w:rsidR="00BC0E7E" w:rsidRPr="00BC0E7E" w:rsidRDefault="00944B8F" w:rsidP="00BC0E7E">
      <w:pPr>
        <w:numPr>
          <w:ilvl w:val="0"/>
          <w:numId w:val="22"/>
        </w:numPr>
        <w:tabs>
          <w:tab w:val="clear" w:pos="562"/>
          <w:tab w:val="clear" w:pos="720"/>
          <w:tab w:val="num" w:pos="550"/>
        </w:tabs>
        <w:ind w:left="550" w:hanging="550"/>
        <w:rPr>
          <w:del w:id="13083" w:author="AbbVie19" w:date="2025-04-16T12:22:00Z"/>
        </w:rPr>
      </w:pPr>
      <w:del w:id="13084" w:author="AbbVie19" w:date="2025-04-16T12:22:00Z">
        <w:r w:rsidRPr="00BC0E7E">
          <w:delText>inflammation of the eye lid and eye swelling;</w:delText>
        </w:r>
      </w:del>
    </w:p>
    <w:p w14:paraId="419A7D29" w14:textId="77777777" w:rsidR="00BC0E7E" w:rsidRPr="00BC0E7E" w:rsidRDefault="00944B8F" w:rsidP="00BC0E7E">
      <w:pPr>
        <w:numPr>
          <w:ilvl w:val="0"/>
          <w:numId w:val="22"/>
        </w:numPr>
        <w:tabs>
          <w:tab w:val="clear" w:pos="562"/>
          <w:tab w:val="clear" w:pos="720"/>
          <w:tab w:val="num" w:pos="550"/>
        </w:tabs>
        <w:ind w:left="550" w:hanging="550"/>
        <w:rPr>
          <w:del w:id="13085" w:author="AbbVie19" w:date="2025-04-16T12:22:00Z"/>
        </w:rPr>
      </w:pPr>
      <w:del w:id="13086" w:author="AbbVie19" w:date="2025-04-16T12:22:00Z">
        <w:r w:rsidRPr="00BC0E7E">
          <w:delText>vertigo;</w:delText>
        </w:r>
      </w:del>
    </w:p>
    <w:p w14:paraId="5EC06E7A" w14:textId="77777777" w:rsidR="00BC0E7E" w:rsidRPr="00BC0E7E" w:rsidRDefault="00944B8F" w:rsidP="00BC0E7E">
      <w:pPr>
        <w:numPr>
          <w:ilvl w:val="0"/>
          <w:numId w:val="22"/>
        </w:numPr>
        <w:tabs>
          <w:tab w:val="clear" w:pos="562"/>
          <w:tab w:val="clear" w:pos="720"/>
          <w:tab w:val="num" w:pos="550"/>
        </w:tabs>
        <w:ind w:left="550" w:hanging="550"/>
        <w:rPr>
          <w:del w:id="13087" w:author="AbbVie19" w:date="2025-04-16T12:22:00Z"/>
        </w:rPr>
      </w:pPr>
      <w:del w:id="13088" w:author="AbbVie19" w:date="2025-04-16T12:22:00Z">
        <w:r w:rsidRPr="00BC0E7E">
          <w:delText>sensation of heart beating rapidly;</w:delText>
        </w:r>
      </w:del>
    </w:p>
    <w:p w14:paraId="175B1D55" w14:textId="77777777" w:rsidR="00BC0E7E" w:rsidRPr="00BC0E7E" w:rsidRDefault="00944B8F" w:rsidP="00BC0E7E">
      <w:pPr>
        <w:numPr>
          <w:ilvl w:val="0"/>
          <w:numId w:val="22"/>
        </w:numPr>
        <w:tabs>
          <w:tab w:val="clear" w:pos="562"/>
          <w:tab w:val="clear" w:pos="720"/>
          <w:tab w:val="num" w:pos="550"/>
        </w:tabs>
        <w:ind w:left="550" w:hanging="550"/>
        <w:rPr>
          <w:del w:id="13089" w:author="AbbVie19" w:date="2025-04-16T12:22:00Z"/>
        </w:rPr>
      </w:pPr>
      <w:del w:id="13090" w:author="AbbVie19" w:date="2025-04-16T12:22:00Z">
        <w:r w:rsidRPr="00BC0E7E">
          <w:delText>high blood pressure;</w:delText>
        </w:r>
      </w:del>
    </w:p>
    <w:p w14:paraId="1D8105A5" w14:textId="77777777" w:rsidR="00BC0E7E" w:rsidRPr="00BC0E7E" w:rsidRDefault="00944B8F" w:rsidP="00BC0E7E">
      <w:pPr>
        <w:numPr>
          <w:ilvl w:val="0"/>
          <w:numId w:val="22"/>
        </w:numPr>
        <w:tabs>
          <w:tab w:val="clear" w:pos="562"/>
          <w:tab w:val="clear" w:pos="720"/>
          <w:tab w:val="num" w:pos="550"/>
        </w:tabs>
        <w:ind w:left="550" w:hanging="550"/>
        <w:rPr>
          <w:del w:id="13091" w:author="AbbVie19" w:date="2025-04-16T12:22:00Z"/>
        </w:rPr>
      </w:pPr>
      <w:del w:id="13092" w:author="AbbVie19" w:date="2025-04-16T12:22:00Z">
        <w:r w:rsidRPr="00BC0E7E">
          <w:delText>flushing;</w:delText>
        </w:r>
      </w:del>
    </w:p>
    <w:p w14:paraId="79C25485" w14:textId="77777777" w:rsidR="00BC0E7E" w:rsidRPr="00BC0E7E" w:rsidRDefault="00944B8F" w:rsidP="00BC0E7E">
      <w:pPr>
        <w:numPr>
          <w:ilvl w:val="0"/>
          <w:numId w:val="22"/>
        </w:numPr>
        <w:tabs>
          <w:tab w:val="clear" w:pos="562"/>
          <w:tab w:val="clear" w:pos="720"/>
          <w:tab w:val="num" w:pos="550"/>
        </w:tabs>
        <w:ind w:left="550" w:hanging="550"/>
        <w:rPr>
          <w:del w:id="13093" w:author="AbbVie19" w:date="2025-04-16T12:22:00Z"/>
        </w:rPr>
      </w:pPr>
      <w:del w:id="13094" w:author="AbbVie19" w:date="2025-04-16T12:22:00Z">
        <w:r w:rsidRPr="00BC0E7E">
          <w:delText>haematoma;</w:delText>
        </w:r>
      </w:del>
    </w:p>
    <w:p w14:paraId="2F315A65" w14:textId="77777777" w:rsidR="00BC0E7E" w:rsidRPr="00BC0E7E" w:rsidRDefault="00944B8F" w:rsidP="00BC0E7E">
      <w:pPr>
        <w:numPr>
          <w:ilvl w:val="0"/>
          <w:numId w:val="22"/>
        </w:numPr>
        <w:tabs>
          <w:tab w:val="clear" w:pos="562"/>
          <w:tab w:val="clear" w:pos="720"/>
          <w:tab w:val="num" w:pos="550"/>
        </w:tabs>
        <w:ind w:left="550" w:hanging="550"/>
        <w:rPr>
          <w:del w:id="13095" w:author="AbbVie19" w:date="2025-04-16T12:22:00Z"/>
        </w:rPr>
      </w:pPr>
      <w:del w:id="13096" w:author="AbbVie19" w:date="2025-04-16T12:22:00Z">
        <w:r w:rsidRPr="00BC0E7E">
          <w:delText>cough;</w:delText>
        </w:r>
      </w:del>
    </w:p>
    <w:p w14:paraId="136593B6" w14:textId="77777777" w:rsidR="00BC0E7E" w:rsidRPr="00BC0E7E" w:rsidRDefault="00944B8F" w:rsidP="00BC0E7E">
      <w:pPr>
        <w:numPr>
          <w:ilvl w:val="0"/>
          <w:numId w:val="22"/>
        </w:numPr>
        <w:tabs>
          <w:tab w:val="clear" w:pos="562"/>
          <w:tab w:val="clear" w:pos="720"/>
          <w:tab w:val="num" w:pos="550"/>
        </w:tabs>
        <w:ind w:left="550" w:hanging="550"/>
        <w:rPr>
          <w:del w:id="13097" w:author="AbbVie19" w:date="2025-04-16T12:22:00Z"/>
        </w:rPr>
      </w:pPr>
      <w:del w:id="13098" w:author="AbbVie19" w:date="2025-04-16T12:22:00Z">
        <w:r w:rsidRPr="00BC0E7E">
          <w:delText>asthma;</w:delText>
        </w:r>
      </w:del>
    </w:p>
    <w:p w14:paraId="3AE05761" w14:textId="77777777" w:rsidR="00BC0E7E" w:rsidRPr="00BC0E7E" w:rsidRDefault="00944B8F" w:rsidP="00BC0E7E">
      <w:pPr>
        <w:numPr>
          <w:ilvl w:val="0"/>
          <w:numId w:val="22"/>
        </w:numPr>
        <w:tabs>
          <w:tab w:val="clear" w:pos="562"/>
          <w:tab w:val="clear" w:pos="720"/>
          <w:tab w:val="num" w:pos="550"/>
        </w:tabs>
        <w:ind w:left="550" w:hanging="550"/>
        <w:rPr>
          <w:del w:id="13099" w:author="AbbVie19" w:date="2025-04-16T12:22:00Z"/>
        </w:rPr>
      </w:pPr>
      <w:del w:id="13100" w:author="AbbVie19" w:date="2025-04-16T12:22:00Z">
        <w:r w:rsidRPr="00BC0E7E">
          <w:delText>shortness of breath;</w:delText>
        </w:r>
      </w:del>
    </w:p>
    <w:p w14:paraId="4B84E8CC" w14:textId="77777777" w:rsidR="00BC0E7E" w:rsidRPr="00BC0E7E" w:rsidRDefault="00944B8F" w:rsidP="00BC0E7E">
      <w:pPr>
        <w:numPr>
          <w:ilvl w:val="0"/>
          <w:numId w:val="22"/>
        </w:numPr>
        <w:tabs>
          <w:tab w:val="clear" w:pos="562"/>
          <w:tab w:val="clear" w:pos="720"/>
          <w:tab w:val="num" w:pos="550"/>
        </w:tabs>
        <w:ind w:left="550" w:hanging="550"/>
        <w:rPr>
          <w:del w:id="13101" w:author="AbbVie19" w:date="2025-04-16T12:22:00Z"/>
        </w:rPr>
      </w:pPr>
      <w:del w:id="13102" w:author="AbbVie19" w:date="2025-04-16T12:22:00Z">
        <w:r w:rsidRPr="00BC0E7E">
          <w:delText>gastrointestinal bleeding;</w:delText>
        </w:r>
      </w:del>
    </w:p>
    <w:p w14:paraId="44E3BBAB" w14:textId="77777777" w:rsidR="00BC0E7E" w:rsidRPr="00BC0E7E" w:rsidRDefault="00944B8F" w:rsidP="00BC0E7E">
      <w:pPr>
        <w:numPr>
          <w:ilvl w:val="0"/>
          <w:numId w:val="22"/>
        </w:numPr>
        <w:tabs>
          <w:tab w:val="clear" w:pos="562"/>
          <w:tab w:val="clear" w:pos="720"/>
          <w:tab w:val="num" w:pos="550"/>
        </w:tabs>
        <w:ind w:left="550" w:hanging="550"/>
        <w:rPr>
          <w:del w:id="13103" w:author="AbbVie19" w:date="2025-04-16T12:22:00Z"/>
        </w:rPr>
      </w:pPr>
      <w:del w:id="13104" w:author="AbbVie19" w:date="2025-04-16T12:22:00Z">
        <w:r w:rsidRPr="00BC0E7E">
          <w:delText>dyspepsia (indigestion, bloating, heart burn);</w:delText>
        </w:r>
      </w:del>
    </w:p>
    <w:p w14:paraId="6FA355A0" w14:textId="77777777" w:rsidR="00BC0E7E" w:rsidRPr="00BC0E7E" w:rsidRDefault="00944B8F" w:rsidP="00BC0E7E">
      <w:pPr>
        <w:numPr>
          <w:ilvl w:val="0"/>
          <w:numId w:val="22"/>
        </w:numPr>
        <w:tabs>
          <w:tab w:val="clear" w:pos="562"/>
          <w:tab w:val="clear" w:pos="720"/>
          <w:tab w:val="num" w:pos="550"/>
        </w:tabs>
        <w:ind w:left="550" w:hanging="550"/>
        <w:rPr>
          <w:del w:id="13105" w:author="AbbVie19" w:date="2025-04-16T12:22:00Z"/>
        </w:rPr>
      </w:pPr>
      <w:del w:id="13106" w:author="AbbVie19" w:date="2025-04-16T12:22:00Z">
        <w:r w:rsidRPr="00BC0E7E">
          <w:delText>acid reflux disease;</w:delText>
        </w:r>
      </w:del>
    </w:p>
    <w:p w14:paraId="6818D867" w14:textId="77777777" w:rsidR="00BC0E7E" w:rsidRPr="00BC0E7E" w:rsidRDefault="00944B8F" w:rsidP="00BC0E7E">
      <w:pPr>
        <w:numPr>
          <w:ilvl w:val="0"/>
          <w:numId w:val="22"/>
        </w:numPr>
        <w:tabs>
          <w:tab w:val="clear" w:pos="562"/>
          <w:tab w:val="clear" w:pos="720"/>
          <w:tab w:val="num" w:pos="550"/>
        </w:tabs>
        <w:ind w:left="550" w:hanging="550"/>
        <w:rPr>
          <w:del w:id="13107" w:author="AbbVie19" w:date="2025-04-16T12:22:00Z"/>
        </w:rPr>
      </w:pPr>
      <w:del w:id="13108" w:author="AbbVie19" w:date="2025-04-16T12:22:00Z">
        <w:r w:rsidRPr="00BC0E7E">
          <w:delText>sicca syndrome (including dry eyes and dry mouth);</w:delText>
        </w:r>
      </w:del>
    </w:p>
    <w:p w14:paraId="1C32DC3C" w14:textId="77777777" w:rsidR="00BC0E7E" w:rsidRPr="00BC0E7E" w:rsidRDefault="00944B8F" w:rsidP="00BC0E7E">
      <w:pPr>
        <w:numPr>
          <w:ilvl w:val="0"/>
          <w:numId w:val="22"/>
        </w:numPr>
        <w:tabs>
          <w:tab w:val="clear" w:pos="562"/>
          <w:tab w:val="clear" w:pos="720"/>
          <w:tab w:val="num" w:pos="550"/>
        </w:tabs>
        <w:ind w:left="550" w:hanging="550"/>
        <w:rPr>
          <w:del w:id="13109" w:author="AbbVie19" w:date="2025-04-16T12:22:00Z"/>
        </w:rPr>
      </w:pPr>
      <w:del w:id="13110" w:author="AbbVie19" w:date="2025-04-16T12:22:00Z">
        <w:r w:rsidRPr="00BC0E7E">
          <w:delText>itching;</w:delText>
        </w:r>
      </w:del>
    </w:p>
    <w:p w14:paraId="6637A417" w14:textId="77777777" w:rsidR="00BC0E7E" w:rsidRPr="00BC0E7E" w:rsidRDefault="00944B8F" w:rsidP="00BC0E7E">
      <w:pPr>
        <w:numPr>
          <w:ilvl w:val="0"/>
          <w:numId w:val="22"/>
        </w:numPr>
        <w:tabs>
          <w:tab w:val="clear" w:pos="562"/>
          <w:tab w:val="clear" w:pos="720"/>
          <w:tab w:val="num" w:pos="550"/>
        </w:tabs>
        <w:ind w:left="550" w:hanging="550"/>
        <w:rPr>
          <w:del w:id="13111" w:author="AbbVie19" w:date="2025-04-16T12:22:00Z"/>
        </w:rPr>
      </w:pPr>
      <w:del w:id="13112" w:author="AbbVie19" w:date="2025-04-16T12:22:00Z">
        <w:r w:rsidRPr="00BC0E7E">
          <w:delText>itchy rash;</w:delText>
        </w:r>
      </w:del>
    </w:p>
    <w:p w14:paraId="7F9EEC54" w14:textId="77777777" w:rsidR="00BC0E7E" w:rsidRPr="00BC0E7E" w:rsidRDefault="00944B8F" w:rsidP="00BC0E7E">
      <w:pPr>
        <w:numPr>
          <w:ilvl w:val="0"/>
          <w:numId w:val="22"/>
        </w:numPr>
        <w:tabs>
          <w:tab w:val="clear" w:pos="562"/>
          <w:tab w:val="clear" w:pos="720"/>
          <w:tab w:val="num" w:pos="550"/>
        </w:tabs>
        <w:ind w:left="550" w:hanging="550"/>
        <w:rPr>
          <w:del w:id="13113" w:author="AbbVie19" w:date="2025-04-16T12:22:00Z"/>
        </w:rPr>
      </w:pPr>
      <w:del w:id="13114" w:author="AbbVie19" w:date="2025-04-16T12:22:00Z">
        <w:r w:rsidRPr="00BC0E7E">
          <w:delText>bruising;</w:delText>
        </w:r>
      </w:del>
    </w:p>
    <w:p w14:paraId="0EDD5AE3" w14:textId="77777777" w:rsidR="00BC0E7E" w:rsidRPr="00BC0E7E" w:rsidRDefault="00944B8F" w:rsidP="00BC0E7E">
      <w:pPr>
        <w:numPr>
          <w:ilvl w:val="0"/>
          <w:numId w:val="22"/>
        </w:numPr>
        <w:tabs>
          <w:tab w:val="clear" w:pos="562"/>
          <w:tab w:val="clear" w:pos="720"/>
          <w:tab w:val="num" w:pos="550"/>
        </w:tabs>
        <w:ind w:left="550" w:hanging="550"/>
        <w:rPr>
          <w:del w:id="13115" w:author="AbbVie19" w:date="2025-04-16T12:22:00Z"/>
        </w:rPr>
      </w:pPr>
      <w:del w:id="13116" w:author="AbbVie19" w:date="2025-04-16T12:22:00Z">
        <w:r w:rsidRPr="00BC0E7E">
          <w:delText>inflammation of the skin (such as eczema);</w:delText>
        </w:r>
      </w:del>
    </w:p>
    <w:p w14:paraId="5CF4806B" w14:textId="77777777" w:rsidR="00BC0E7E" w:rsidRPr="00BC0E7E" w:rsidRDefault="00944B8F" w:rsidP="00BC0E7E">
      <w:pPr>
        <w:numPr>
          <w:ilvl w:val="0"/>
          <w:numId w:val="22"/>
        </w:numPr>
        <w:tabs>
          <w:tab w:val="clear" w:pos="562"/>
          <w:tab w:val="clear" w:pos="720"/>
          <w:tab w:val="num" w:pos="550"/>
        </w:tabs>
        <w:ind w:left="550" w:hanging="550"/>
        <w:rPr>
          <w:del w:id="13117" w:author="AbbVie19" w:date="2025-04-16T12:22:00Z"/>
        </w:rPr>
      </w:pPr>
      <w:del w:id="13118" w:author="AbbVie19" w:date="2025-04-16T12:22:00Z">
        <w:r w:rsidRPr="00BC0E7E">
          <w:lastRenderedPageBreak/>
          <w:delText>breaking of finger nails and toe nails;</w:delText>
        </w:r>
      </w:del>
    </w:p>
    <w:p w14:paraId="2AEF6D6D" w14:textId="77777777" w:rsidR="00BC0E7E" w:rsidRPr="00BC0E7E" w:rsidRDefault="00944B8F" w:rsidP="00BC0E7E">
      <w:pPr>
        <w:numPr>
          <w:ilvl w:val="0"/>
          <w:numId w:val="22"/>
        </w:numPr>
        <w:tabs>
          <w:tab w:val="clear" w:pos="562"/>
          <w:tab w:val="clear" w:pos="720"/>
          <w:tab w:val="num" w:pos="550"/>
        </w:tabs>
        <w:ind w:left="550" w:hanging="550"/>
        <w:rPr>
          <w:del w:id="13119" w:author="AbbVie19" w:date="2025-04-16T12:22:00Z"/>
        </w:rPr>
      </w:pPr>
      <w:del w:id="13120" w:author="AbbVie19" w:date="2025-04-16T12:22:00Z">
        <w:r w:rsidRPr="00BC0E7E">
          <w:delText>increased sweating;</w:delText>
        </w:r>
      </w:del>
    </w:p>
    <w:p w14:paraId="3E45BF4C" w14:textId="77777777" w:rsidR="00BC0E7E" w:rsidRPr="00BC0E7E" w:rsidRDefault="00944B8F" w:rsidP="00BC0E7E">
      <w:pPr>
        <w:numPr>
          <w:ilvl w:val="0"/>
          <w:numId w:val="22"/>
        </w:numPr>
        <w:tabs>
          <w:tab w:val="clear" w:pos="562"/>
          <w:tab w:val="clear" w:pos="720"/>
          <w:tab w:val="num" w:pos="550"/>
        </w:tabs>
        <w:ind w:left="550" w:hanging="550"/>
        <w:rPr>
          <w:del w:id="13121" w:author="AbbVie19" w:date="2025-04-16T12:22:00Z"/>
        </w:rPr>
      </w:pPr>
      <w:del w:id="13122" w:author="AbbVie19" w:date="2025-04-16T12:22:00Z">
        <w:r w:rsidRPr="00BC0E7E">
          <w:delText>hair loss;</w:delText>
        </w:r>
      </w:del>
    </w:p>
    <w:p w14:paraId="14C89224" w14:textId="77777777" w:rsidR="00BC0E7E" w:rsidRPr="00BC0E7E" w:rsidRDefault="00944B8F" w:rsidP="00BC0E7E">
      <w:pPr>
        <w:numPr>
          <w:ilvl w:val="0"/>
          <w:numId w:val="22"/>
        </w:numPr>
        <w:tabs>
          <w:tab w:val="clear" w:pos="562"/>
          <w:tab w:val="clear" w:pos="720"/>
          <w:tab w:val="num" w:pos="550"/>
        </w:tabs>
        <w:ind w:left="550" w:hanging="550"/>
        <w:rPr>
          <w:del w:id="13123" w:author="AbbVie19" w:date="2025-04-16T12:22:00Z"/>
        </w:rPr>
      </w:pPr>
      <w:del w:id="13124" w:author="AbbVie19" w:date="2025-04-16T12:22:00Z">
        <w:r w:rsidRPr="00BC0E7E">
          <w:delText>new onset or worsening of psoriasis;</w:delText>
        </w:r>
      </w:del>
    </w:p>
    <w:p w14:paraId="6D9B2626" w14:textId="77777777" w:rsidR="00BC0E7E" w:rsidRPr="00BC0E7E" w:rsidRDefault="00944B8F" w:rsidP="00BC0E7E">
      <w:pPr>
        <w:numPr>
          <w:ilvl w:val="0"/>
          <w:numId w:val="22"/>
        </w:numPr>
        <w:tabs>
          <w:tab w:val="clear" w:pos="562"/>
          <w:tab w:val="clear" w:pos="720"/>
          <w:tab w:val="num" w:pos="550"/>
        </w:tabs>
        <w:ind w:left="550" w:hanging="550"/>
        <w:rPr>
          <w:del w:id="13125" w:author="AbbVie19" w:date="2025-04-16T12:22:00Z"/>
        </w:rPr>
      </w:pPr>
      <w:del w:id="13126" w:author="AbbVie19" w:date="2025-04-16T12:22:00Z">
        <w:r w:rsidRPr="00BC0E7E">
          <w:delText>muscle spasms;</w:delText>
        </w:r>
      </w:del>
    </w:p>
    <w:p w14:paraId="74136D0C" w14:textId="77777777" w:rsidR="00BC0E7E" w:rsidRPr="00BC0E7E" w:rsidRDefault="00944B8F" w:rsidP="00BC0E7E">
      <w:pPr>
        <w:numPr>
          <w:ilvl w:val="0"/>
          <w:numId w:val="22"/>
        </w:numPr>
        <w:tabs>
          <w:tab w:val="clear" w:pos="562"/>
          <w:tab w:val="clear" w:pos="720"/>
          <w:tab w:val="num" w:pos="550"/>
        </w:tabs>
        <w:ind w:left="550" w:hanging="550"/>
        <w:rPr>
          <w:del w:id="13127" w:author="AbbVie19" w:date="2025-04-16T12:22:00Z"/>
        </w:rPr>
      </w:pPr>
      <w:del w:id="13128" w:author="AbbVie19" w:date="2025-04-16T12:22:00Z">
        <w:r w:rsidRPr="00BC0E7E">
          <w:delText>blood in urine;</w:delText>
        </w:r>
      </w:del>
    </w:p>
    <w:p w14:paraId="284B5F45" w14:textId="77777777" w:rsidR="00BC0E7E" w:rsidRPr="00BC0E7E" w:rsidRDefault="00944B8F" w:rsidP="00BC0E7E">
      <w:pPr>
        <w:numPr>
          <w:ilvl w:val="0"/>
          <w:numId w:val="22"/>
        </w:numPr>
        <w:tabs>
          <w:tab w:val="clear" w:pos="562"/>
          <w:tab w:val="clear" w:pos="720"/>
          <w:tab w:val="num" w:pos="550"/>
        </w:tabs>
        <w:ind w:left="550" w:hanging="550"/>
        <w:rPr>
          <w:del w:id="13129" w:author="AbbVie19" w:date="2025-04-16T12:22:00Z"/>
        </w:rPr>
      </w:pPr>
      <w:del w:id="13130" w:author="AbbVie19" w:date="2025-04-16T12:22:00Z">
        <w:r w:rsidRPr="00BC0E7E">
          <w:delText>kidney problems;</w:delText>
        </w:r>
      </w:del>
    </w:p>
    <w:p w14:paraId="6E92A1EC" w14:textId="77777777" w:rsidR="00BC0E7E" w:rsidRPr="00BC0E7E" w:rsidRDefault="00944B8F" w:rsidP="00BC0E7E">
      <w:pPr>
        <w:numPr>
          <w:ilvl w:val="0"/>
          <w:numId w:val="22"/>
        </w:numPr>
        <w:tabs>
          <w:tab w:val="clear" w:pos="562"/>
          <w:tab w:val="clear" w:pos="720"/>
          <w:tab w:val="num" w:pos="550"/>
        </w:tabs>
        <w:ind w:left="550" w:hanging="550"/>
        <w:rPr>
          <w:del w:id="13131" w:author="AbbVie19" w:date="2025-04-16T12:22:00Z"/>
        </w:rPr>
      </w:pPr>
      <w:del w:id="13132" w:author="AbbVie19" w:date="2025-04-16T12:22:00Z">
        <w:r w:rsidRPr="00BC0E7E">
          <w:delText>chest pain;</w:delText>
        </w:r>
      </w:del>
    </w:p>
    <w:p w14:paraId="0A5ABBFF" w14:textId="77777777" w:rsidR="00BC0E7E" w:rsidRPr="00BC0E7E" w:rsidRDefault="00944B8F" w:rsidP="00BC0E7E">
      <w:pPr>
        <w:numPr>
          <w:ilvl w:val="0"/>
          <w:numId w:val="22"/>
        </w:numPr>
        <w:tabs>
          <w:tab w:val="clear" w:pos="562"/>
          <w:tab w:val="clear" w:pos="720"/>
          <w:tab w:val="num" w:pos="550"/>
        </w:tabs>
        <w:ind w:left="550" w:hanging="550"/>
        <w:rPr>
          <w:del w:id="13133" w:author="AbbVie19" w:date="2025-04-16T12:22:00Z"/>
        </w:rPr>
      </w:pPr>
      <w:del w:id="13134" w:author="AbbVie19" w:date="2025-04-16T12:22:00Z">
        <w:r w:rsidRPr="00BC0E7E">
          <w:delText>oedema;</w:delText>
        </w:r>
      </w:del>
    </w:p>
    <w:p w14:paraId="55EAD06B" w14:textId="77777777" w:rsidR="00BC0E7E" w:rsidRPr="00BC0E7E" w:rsidRDefault="00944B8F" w:rsidP="00BC0E7E">
      <w:pPr>
        <w:numPr>
          <w:ilvl w:val="0"/>
          <w:numId w:val="22"/>
        </w:numPr>
        <w:tabs>
          <w:tab w:val="clear" w:pos="562"/>
          <w:tab w:val="clear" w:pos="720"/>
          <w:tab w:val="num" w:pos="550"/>
        </w:tabs>
        <w:ind w:left="550" w:hanging="550"/>
        <w:rPr>
          <w:del w:id="13135" w:author="AbbVie19" w:date="2025-04-16T12:22:00Z"/>
        </w:rPr>
      </w:pPr>
      <w:del w:id="13136" w:author="AbbVie19" w:date="2025-04-16T12:22:00Z">
        <w:r w:rsidRPr="00BC0E7E">
          <w:delText>fever;</w:delText>
        </w:r>
      </w:del>
    </w:p>
    <w:p w14:paraId="2C4A8E36" w14:textId="77777777" w:rsidR="00BC0E7E" w:rsidRPr="00BC0E7E" w:rsidRDefault="00944B8F" w:rsidP="00BC0E7E">
      <w:pPr>
        <w:numPr>
          <w:ilvl w:val="0"/>
          <w:numId w:val="22"/>
        </w:numPr>
        <w:tabs>
          <w:tab w:val="clear" w:pos="562"/>
          <w:tab w:val="clear" w:pos="720"/>
          <w:tab w:val="num" w:pos="550"/>
        </w:tabs>
        <w:ind w:left="550" w:hanging="550"/>
        <w:rPr>
          <w:del w:id="13137" w:author="AbbVie19" w:date="2025-04-16T12:22:00Z"/>
        </w:rPr>
      </w:pPr>
      <w:del w:id="13138" w:author="AbbVie19" w:date="2025-04-16T12:22:00Z">
        <w:r w:rsidRPr="00BC0E7E">
          <w:delText>reduction in blood platelets which increases risk of bleeding or bruising;</w:delText>
        </w:r>
      </w:del>
    </w:p>
    <w:p w14:paraId="433E7254" w14:textId="77777777" w:rsidR="00BC0E7E" w:rsidRPr="00BC0E7E" w:rsidRDefault="00944B8F" w:rsidP="00BC0E7E">
      <w:pPr>
        <w:numPr>
          <w:ilvl w:val="0"/>
          <w:numId w:val="22"/>
        </w:numPr>
        <w:tabs>
          <w:tab w:val="clear" w:pos="562"/>
          <w:tab w:val="clear" w:pos="720"/>
          <w:tab w:val="num" w:pos="550"/>
        </w:tabs>
        <w:ind w:left="550" w:hanging="550"/>
        <w:rPr>
          <w:del w:id="13139" w:author="AbbVie19" w:date="2025-04-16T12:22:00Z"/>
        </w:rPr>
      </w:pPr>
      <w:del w:id="13140" w:author="AbbVie19" w:date="2025-04-16T12:22:00Z">
        <w:r w:rsidRPr="00BC0E7E">
          <w:delText>impaired healing.</w:delText>
        </w:r>
      </w:del>
    </w:p>
    <w:p w14:paraId="4DB4C9A5" w14:textId="77777777" w:rsidR="00BC0E7E" w:rsidRPr="00BC0E7E" w:rsidRDefault="00BC0E7E" w:rsidP="00BC0E7E">
      <w:pPr>
        <w:rPr>
          <w:del w:id="13141" w:author="AbbVie19" w:date="2025-04-16T12:22:00Z"/>
        </w:rPr>
      </w:pPr>
    </w:p>
    <w:p w14:paraId="2BA8A392" w14:textId="77777777" w:rsidR="00BC0E7E" w:rsidRPr="00BC0E7E" w:rsidRDefault="00944B8F" w:rsidP="00BC0E7E">
      <w:pPr>
        <w:rPr>
          <w:del w:id="13142" w:author="AbbVie19" w:date="2025-04-16T12:22:00Z"/>
        </w:rPr>
      </w:pPr>
      <w:del w:id="13143" w:author="AbbVie19" w:date="2025-04-16T12:22:00Z">
        <w:r w:rsidRPr="00BC0E7E">
          <w:delText xml:space="preserve">Uncommon (may affect up to 1 in 100 people) </w:delText>
        </w:r>
      </w:del>
    </w:p>
    <w:p w14:paraId="7F97EFB4" w14:textId="77777777" w:rsidR="00BC0E7E" w:rsidRPr="00BC0E7E" w:rsidRDefault="00BC0E7E" w:rsidP="00BC0E7E">
      <w:pPr>
        <w:rPr>
          <w:del w:id="13144" w:author="AbbVie19" w:date="2025-04-16T12:22:00Z"/>
        </w:rPr>
      </w:pPr>
    </w:p>
    <w:p w14:paraId="02D3BA2A" w14:textId="77777777" w:rsidR="00BC0E7E" w:rsidRPr="00BC0E7E" w:rsidRDefault="00944B8F" w:rsidP="00BC0E7E">
      <w:pPr>
        <w:numPr>
          <w:ilvl w:val="0"/>
          <w:numId w:val="22"/>
        </w:numPr>
        <w:tabs>
          <w:tab w:val="clear" w:pos="562"/>
          <w:tab w:val="clear" w:pos="720"/>
          <w:tab w:val="num" w:pos="550"/>
        </w:tabs>
        <w:ind w:left="550" w:hanging="550"/>
        <w:rPr>
          <w:del w:id="13145" w:author="AbbVie19" w:date="2025-04-16T12:22:00Z"/>
        </w:rPr>
      </w:pPr>
      <w:del w:id="13146" w:author="AbbVie19" w:date="2025-04-16T12:22:00Z">
        <w:r w:rsidRPr="00BC0E7E">
          <w:delText>opportunistic infections (which include tuberculosis and other infections that occur when resistance to disease is lowered);</w:delText>
        </w:r>
      </w:del>
    </w:p>
    <w:p w14:paraId="0F9994C8" w14:textId="77777777" w:rsidR="00BC0E7E" w:rsidRPr="00BC0E7E" w:rsidRDefault="00944B8F" w:rsidP="00BC0E7E">
      <w:pPr>
        <w:numPr>
          <w:ilvl w:val="0"/>
          <w:numId w:val="22"/>
        </w:numPr>
        <w:tabs>
          <w:tab w:val="clear" w:pos="562"/>
          <w:tab w:val="clear" w:pos="720"/>
          <w:tab w:val="num" w:pos="550"/>
        </w:tabs>
        <w:ind w:left="550" w:hanging="550"/>
        <w:rPr>
          <w:del w:id="13147" w:author="AbbVie19" w:date="2025-04-16T12:22:00Z"/>
        </w:rPr>
      </w:pPr>
      <w:del w:id="13148" w:author="AbbVie19" w:date="2025-04-16T12:22:00Z">
        <w:r w:rsidRPr="00BC0E7E">
          <w:delText>neurological infections (including viral meningitis);</w:delText>
        </w:r>
      </w:del>
    </w:p>
    <w:p w14:paraId="11ED86FE" w14:textId="77777777" w:rsidR="00BC0E7E" w:rsidRPr="00BC0E7E" w:rsidRDefault="00944B8F" w:rsidP="00BC0E7E">
      <w:pPr>
        <w:numPr>
          <w:ilvl w:val="0"/>
          <w:numId w:val="22"/>
        </w:numPr>
        <w:tabs>
          <w:tab w:val="clear" w:pos="562"/>
          <w:tab w:val="clear" w:pos="720"/>
          <w:tab w:val="num" w:pos="550"/>
        </w:tabs>
        <w:ind w:left="550" w:hanging="550"/>
        <w:rPr>
          <w:del w:id="13149" w:author="AbbVie19" w:date="2025-04-16T12:22:00Z"/>
        </w:rPr>
      </w:pPr>
      <w:del w:id="13150" w:author="AbbVie19" w:date="2025-04-16T12:22:00Z">
        <w:r w:rsidRPr="00BC0E7E">
          <w:delText>eye infections;</w:delText>
        </w:r>
      </w:del>
    </w:p>
    <w:p w14:paraId="60606995" w14:textId="77777777" w:rsidR="00BC0E7E" w:rsidRPr="00BC0E7E" w:rsidRDefault="00944B8F" w:rsidP="00BC0E7E">
      <w:pPr>
        <w:numPr>
          <w:ilvl w:val="0"/>
          <w:numId w:val="22"/>
        </w:numPr>
        <w:tabs>
          <w:tab w:val="clear" w:pos="562"/>
          <w:tab w:val="clear" w:pos="720"/>
          <w:tab w:val="num" w:pos="550"/>
        </w:tabs>
        <w:ind w:left="550" w:hanging="550"/>
        <w:rPr>
          <w:del w:id="13151" w:author="AbbVie19" w:date="2025-04-16T12:22:00Z"/>
        </w:rPr>
      </w:pPr>
      <w:del w:id="13152" w:author="AbbVie19" w:date="2025-04-16T12:22:00Z">
        <w:r w:rsidRPr="00BC0E7E">
          <w:delText>bacterial infections;</w:delText>
        </w:r>
      </w:del>
    </w:p>
    <w:p w14:paraId="6DBF5284" w14:textId="77777777" w:rsidR="00BC0E7E" w:rsidRPr="00BC0E7E" w:rsidRDefault="00944B8F" w:rsidP="00BC0E7E">
      <w:pPr>
        <w:numPr>
          <w:ilvl w:val="0"/>
          <w:numId w:val="22"/>
        </w:numPr>
        <w:tabs>
          <w:tab w:val="clear" w:pos="562"/>
          <w:tab w:val="clear" w:pos="720"/>
          <w:tab w:val="num" w:pos="550"/>
        </w:tabs>
        <w:ind w:left="550" w:hanging="550"/>
        <w:rPr>
          <w:del w:id="13153" w:author="AbbVie19" w:date="2025-04-16T12:22:00Z"/>
        </w:rPr>
      </w:pPr>
      <w:del w:id="13154" w:author="AbbVie19" w:date="2025-04-16T12:22:00Z">
        <w:r w:rsidRPr="00BC0E7E">
          <w:delText>diverticulitis (inflammation and infection of the large intestine);</w:delText>
        </w:r>
      </w:del>
    </w:p>
    <w:p w14:paraId="5FCD868A" w14:textId="77777777" w:rsidR="00BC0E7E" w:rsidRPr="00BC0E7E" w:rsidRDefault="00944B8F" w:rsidP="00BC0E7E">
      <w:pPr>
        <w:numPr>
          <w:ilvl w:val="0"/>
          <w:numId w:val="22"/>
        </w:numPr>
        <w:tabs>
          <w:tab w:val="clear" w:pos="562"/>
          <w:tab w:val="clear" w:pos="720"/>
          <w:tab w:val="num" w:pos="550"/>
        </w:tabs>
        <w:ind w:left="550" w:hanging="550"/>
        <w:rPr>
          <w:del w:id="13155" w:author="AbbVie19" w:date="2025-04-16T12:22:00Z"/>
        </w:rPr>
      </w:pPr>
      <w:del w:id="13156" w:author="AbbVie19" w:date="2025-04-16T12:22:00Z">
        <w:r w:rsidRPr="00BC0E7E">
          <w:delText>cancer;</w:delText>
        </w:r>
      </w:del>
    </w:p>
    <w:p w14:paraId="6AAF4E3F" w14:textId="77777777" w:rsidR="00BC0E7E" w:rsidRPr="00BC0E7E" w:rsidRDefault="00944B8F" w:rsidP="00BC0E7E">
      <w:pPr>
        <w:numPr>
          <w:ilvl w:val="0"/>
          <w:numId w:val="22"/>
        </w:numPr>
        <w:tabs>
          <w:tab w:val="clear" w:pos="562"/>
          <w:tab w:val="clear" w:pos="720"/>
          <w:tab w:val="num" w:pos="550"/>
        </w:tabs>
        <w:ind w:left="550" w:hanging="550"/>
        <w:rPr>
          <w:del w:id="13157" w:author="AbbVie19" w:date="2025-04-16T12:22:00Z"/>
        </w:rPr>
      </w:pPr>
      <w:del w:id="13158" w:author="AbbVie19" w:date="2025-04-16T12:22:00Z">
        <w:r w:rsidRPr="00BC0E7E">
          <w:delText>cancer that affects the lymph system;</w:delText>
        </w:r>
      </w:del>
    </w:p>
    <w:p w14:paraId="6259B93A" w14:textId="77777777" w:rsidR="00BC0E7E" w:rsidRPr="00BC0E7E" w:rsidRDefault="00944B8F" w:rsidP="00BC0E7E">
      <w:pPr>
        <w:numPr>
          <w:ilvl w:val="0"/>
          <w:numId w:val="22"/>
        </w:numPr>
        <w:tabs>
          <w:tab w:val="clear" w:pos="562"/>
          <w:tab w:val="clear" w:pos="720"/>
          <w:tab w:val="num" w:pos="550"/>
        </w:tabs>
        <w:ind w:left="550" w:hanging="550"/>
        <w:rPr>
          <w:del w:id="13159" w:author="AbbVie19" w:date="2025-04-16T12:22:00Z"/>
        </w:rPr>
      </w:pPr>
      <w:del w:id="13160" w:author="AbbVie19" w:date="2025-04-16T12:22:00Z">
        <w:r w:rsidRPr="00BC0E7E">
          <w:delText>melanoma;</w:delText>
        </w:r>
      </w:del>
    </w:p>
    <w:p w14:paraId="2723C6F4" w14:textId="77777777" w:rsidR="00BC0E7E" w:rsidRPr="00BC0E7E" w:rsidRDefault="00944B8F" w:rsidP="00BC0E7E">
      <w:pPr>
        <w:numPr>
          <w:ilvl w:val="0"/>
          <w:numId w:val="22"/>
        </w:numPr>
        <w:tabs>
          <w:tab w:val="clear" w:pos="562"/>
          <w:tab w:val="clear" w:pos="720"/>
          <w:tab w:val="num" w:pos="550"/>
        </w:tabs>
        <w:ind w:left="550" w:hanging="550"/>
        <w:rPr>
          <w:del w:id="13161" w:author="AbbVie19" w:date="2025-04-16T12:22:00Z"/>
        </w:rPr>
      </w:pPr>
      <w:del w:id="13162" w:author="AbbVie19" w:date="2025-04-16T12:22:00Z">
        <w:r w:rsidRPr="00BC0E7E">
          <w:delText>immune disorders that could affect the lungs, skin and lymph nodes (most commonly presenting as sarcoidosis);</w:delText>
        </w:r>
      </w:del>
    </w:p>
    <w:p w14:paraId="22945329" w14:textId="77777777" w:rsidR="00BC0E7E" w:rsidRPr="00BC0E7E" w:rsidRDefault="00944B8F" w:rsidP="00BC0E7E">
      <w:pPr>
        <w:numPr>
          <w:ilvl w:val="0"/>
          <w:numId w:val="22"/>
        </w:numPr>
        <w:tabs>
          <w:tab w:val="clear" w:pos="562"/>
          <w:tab w:val="clear" w:pos="720"/>
          <w:tab w:val="num" w:pos="550"/>
        </w:tabs>
        <w:ind w:left="550" w:hanging="550"/>
        <w:rPr>
          <w:del w:id="13163" w:author="AbbVie19" w:date="2025-04-16T12:22:00Z"/>
        </w:rPr>
      </w:pPr>
      <w:del w:id="13164" w:author="AbbVie19" w:date="2025-04-16T12:22:00Z">
        <w:r w:rsidRPr="00BC0E7E">
          <w:delText>vasculitis (inflammation of blood vessels);</w:delText>
        </w:r>
      </w:del>
    </w:p>
    <w:p w14:paraId="2F47218A" w14:textId="77777777" w:rsidR="00BC0E7E" w:rsidRPr="00BC0E7E" w:rsidRDefault="00944B8F" w:rsidP="00BC0E7E">
      <w:pPr>
        <w:numPr>
          <w:ilvl w:val="0"/>
          <w:numId w:val="22"/>
        </w:numPr>
        <w:tabs>
          <w:tab w:val="clear" w:pos="562"/>
          <w:tab w:val="clear" w:pos="720"/>
          <w:tab w:val="num" w:pos="550"/>
        </w:tabs>
        <w:ind w:left="550" w:hanging="550"/>
        <w:rPr>
          <w:del w:id="13165" w:author="AbbVie19" w:date="2025-04-16T12:22:00Z"/>
        </w:rPr>
      </w:pPr>
      <w:del w:id="13166" w:author="AbbVie19" w:date="2025-04-16T12:22:00Z">
        <w:r w:rsidRPr="00BC0E7E">
          <w:delText>tremor;</w:delText>
        </w:r>
      </w:del>
    </w:p>
    <w:p w14:paraId="56DE7636" w14:textId="77777777" w:rsidR="00BC0E7E" w:rsidRPr="00BC0E7E" w:rsidRDefault="00944B8F" w:rsidP="00BC0E7E">
      <w:pPr>
        <w:numPr>
          <w:ilvl w:val="0"/>
          <w:numId w:val="22"/>
        </w:numPr>
        <w:tabs>
          <w:tab w:val="clear" w:pos="562"/>
          <w:tab w:val="clear" w:pos="720"/>
          <w:tab w:val="num" w:pos="550"/>
        </w:tabs>
        <w:ind w:left="550" w:hanging="550"/>
        <w:rPr>
          <w:del w:id="13167" w:author="AbbVie19" w:date="2025-04-16T12:22:00Z"/>
        </w:rPr>
      </w:pPr>
      <w:del w:id="13168" w:author="AbbVie19" w:date="2025-04-16T12:22:00Z">
        <w:r w:rsidRPr="00BC0E7E">
          <w:delText>neuropathy;</w:delText>
        </w:r>
      </w:del>
    </w:p>
    <w:p w14:paraId="2F69CF9B" w14:textId="77777777" w:rsidR="00BC0E7E" w:rsidRPr="00BC0E7E" w:rsidRDefault="00944B8F" w:rsidP="00BC0E7E">
      <w:pPr>
        <w:numPr>
          <w:ilvl w:val="0"/>
          <w:numId w:val="22"/>
        </w:numPr>
        <w:tabs>
          <w:tab w:val="clear" w:pos="562"/>
          <w:tab w:val="clear" w:pos="720"/>
          <w:tab w:val="num" w:pos="550"/>
        </w:tabs>
        <w:ind w:left="550" w:hanging="550"/>
        <w:rPr>
          <w:del w:id="13169" w:author="AbbVie19" w:date="2025-04-16T12:22:00Z"/>
        </w:rPr>
      </w:pPr>
      <w:del w:id="13170" w:author="AbbVie19" w:date="2025-04-16T12:22:00Z">
        <w:r w:rsidRPr="00BC0E7E">
          <w:delText>stroke;</w:delText>
        </w:r>
      </w:del>
    </w:p>
    <w:p w14:paraId="094E4CEC" w14:textId="77777777" w:rsidR="00BC0E7E" w:rsidRPr="00BC0E7E" w:rsidRDefault="00944B8F" w:rsidP="00BC0E7E">
      <w:pPr>
        <w:numPr>
          <w:ilvl w:val="0"/>
          <w:numId w:val="22"/>
        </w:numPr>
        <w:tabs>
          <w:tab w:val="clear" w:pos="562"/>
          <w:tab w:val="clear" w:pos="720"/>
          <w:tab w:val="num" w:pos="550"/>
        </w:tabs>
        <w:ind w:left="550" w:hanging="550"/>
        <w:rPr>
          <w:del w:id="13171" w:author="AbbVie19" w:date="2025-04-16T12:22:00Z"/>
        </w:rPr>
      </w:pPr>
      <w:del w:id="13172" w:author="AbbVie19" w:date="2025-04-16T12:22:00Z">
        <w:r w:rsidRPr="00BC0E7E">
          <w:delText>hearing loss, buzzing;</w:delText>
        </w:r>
      </w:del>
    </w:p>
    <w:p w14:paraId="1BE9A485" w14:textId="77777777" w:rsidR="00BC0E7E" w:rsidRPr="00BC0E7E" w:rsidRDefault="00944B8F" w:rsidP="00BC0E7E">
      <w:pPr>
        <w:numPr>
          <w:ilvl w:val="0"/>
          <w:numId w:val="22"/>
        </w:numPr>
        <w:tabs>
          <w:tab w:val="clear" w:pos="562"/>
          <w:tab w:val="clear" w:pos="720"/>
          <w:tab w:val="num" w:pos="550"/>
        </w:tabs>
        <w:ind w:left="550" w:hanging="550"/>
        <w:rPr>
          <w:del w:id="13173" w:author="AbbVie19" w:date="2025-04-16T12:22:00Z"/>
        </w:rPr>
      </w:pPr>
      <w:del w:id="13174" w:author="AbbVie19" w:date="2025-04-16T12:22:00Z">
        <w:r w:rsidRPr="00BC0E7E">
          <w:delText>sensation of heart beating irregularly such as skipped beats;</w:delText>
        </w:r>
      </w:del>
    </w:p>
    <w:p w14:paraId="6D59514A" w14:textId="77777777" w:rsidR="00BC0E7E" w:rsidRPr="00BC0E7E" w:rsidRDefault="00944B8F" w:rsidP="00BC0E7E">
      <w:pPr>
        <w:numPr>
          <w:ilvl w:val="0"/>
          <w:numId w:val="22"/>
        </w:numPr>
        <w:tabs>
          <w:tab w:val="clear" w:pos="562"/>
          <w:tab w:val="clear" w:pos="720"/>
          <w:tab w:val="num" w:pos="550"/>
        </w:tabs>
        <w:ind w:left="550" w:hanging="550"/>
        <w:rPr>
          <w:del w:id="13175" w:author="AbbVie19" w:date="2025-04-16T12:22:00Z"/>
        </w:rPr>
      </w:pPr>
      <w:del w:id="13176" w:author="AbbVie19" w:date="2025-04-16T12:22:00Z">
        <w:r w:rsidRPr="00BC0E7E">
          <w:delText>heart problems that can cause shortness of breath or ankle swelling;</w:delText>
        </w:r>
      </w:del>
    </w:p>
    <w:p w14:paraId="16906EF5" w14:textId="77777777" w:rsidR="00BC0E7E" w:rsidRPr="00BC0E7E" w:rsidRDefault="00944B8F" w:rsidP="00BC0E7E">
      <w:pPr>
        <w:numPr>
          <w:ilvl w:val="0"/>
          <w:numId w:val="22"/>
        </w:numPr>
        <w:tabs>
          <w:tab w:val="clear" w:pos="562"/>
          <w:tab w:val="clear" w:pos="720"/>
          <w:tab w:val="num" w:pos="550"/>
        </w:tabs>
        <w:ind w:left="550" w:hanging="550"/>
        <w:rPr>
          <w:del w:id="13177" w:author="AbbVie19" w:date="2025-04-16T12:22:00Z"/>
        </w:rPr>
      </w:pPr>
      <w:del w:id="13178" w:author="AbbVie19" w:date="2025-04-16T12:22:00Z">
        <w:r w:rsidRPr="00BC0E7E">
          <w:delText>heart attack;</w:delText>
        </w:r>
      </w:del>
    </w:p>
    <w:p w14:paraId="3DFD7636" w14:textId="77777777" w:rsidR="00BC0E7E" w:rsidRPr="00BC0E7E" w:rsidRDefault="00944B8F" w:rsidP="00BC0E7E">
      <w:pPr>
        <w:numPr>
          <w:ilvl w:val="0"/>
          <w:numId w:val="22"/>
        </w:numPr>
        <w:tabs>
          <w:tab w:val="clear" w:pos="562"/>
          <w:tab w:val="clear" w:pos="720"/>
          <w:tab w:val="num" w:pos="550"/>
        </w:tabs>
        <w:ind w:left="550" w:hanging="550"/>
        <w:rPr>
          <w:del w:id="13179" w:author="AbbVie19" w:date="2025-04-16T12:22:00Z"/>
        </w:rPr>
      </w:pPr>
      <w:del w:id="13180" w:author="AbbVie19" w:date="2025-04-16T12:22:00Z">
        <w:r w:rsidRPr="00BC0E7E">
          <w:delText>a sac in the wall of a major artery, inflammation and clot of a vein, blockage of a blood vessel;</w:delText>
        </w:r>
      </w:del>
    </w:p>
    <w:p w14:paraId="3FACBADA" w14:textId="77777777" w:rsidR="00BC0E7E" w:rsidRPr="00BC0E7E" w:rsidRDefault="00944B8F" w:rsidP="00BC0E7E">
      <w:pPr>
        <w:numPr>
          <w:ilvl w:val="0"/>
          <w:numId w:val="22"/>
        </w:numPr>
        <w:tabs>
          <w:tab w:val="clear" w:pos="562"/>
          <w:tab w:val="clear" w:pos="720"/>
          <w:tab w:val="num" w:pos="550"/>
        </w:tabs>
        <w:ind w:left="550" w:hanging="550"/>
        <w:rPr>
          <w:del w:id="13181" w:author="AbbVie19" w:date="2025-04-16T12:22:00Z"/>
        </w:rPr>
      </w:pPr>
      <w:del w:id="13182" w:author="AbbVie19" w:date="2025-04-16T12:22:00Z">
        <w:r w:rsidRPr="00BC0E7E">
          <w:delText>lung diseases causing shortness of breath (including inflammation);</w:delText>
        </w:r>
      </w:del>
    </w:p>
    <w:p w14:paraId="608910BD" w14:textId="77777777" w:rsidR="00BC0E7E" w:rsidRPr="00BC0E7E" w:rsidRDefault="00944B8F" w:rsidP="00BC0E7E">
      <w:pPr>
        <w:numPr>
          <w:ilvl w:val="0"/>
          <w:numId w:val="22"/>
        </w:numPr>
        <w:tabs>
          <w:tab w:val="clear" w:pos="562"/>
          <w:tab w:val="clear" w:pos="720"/>
          <w:tab w:val="num" w:pos="550"/>
        </w:tabs>
        <w:ind w:left="550" w:hanging="550"/>
        <w:rPr>
          <w:del w:id="13183" w:author="AbbVie19" w:date="2025-04-16T12:22:00Z"/>
        </w:rPr>
      </w:pPr>
      <w:del w:id="13184" w:author="AbbVie19" w:date="2025-04-16T12:22:00Z">
        <w:r w:rsidRPr="00BC0E7E">
          <w:delText>pulmonary embolism (blockage in an artery of the lung);</w:delText>
        </w:r>
      </w:del>
    </w:p>
    <w:p w14:paraId="055410CF" w14:textId="77777777" w:rsidR="00BC0E7E" w:rsidRPr="00BC0E7E" w:rsidRDefault="00944B8F" w:rsidP="00BC0E7E">
      <w:pPr>
        <w:numPr>
          <w:ilvl w:val="0"/>
          <w:numId w:val="22"/>
        </w:numPr>
        <w:tabs>
          <w:tab w:val="clear" w:pos="562"/>
          <w:tab w:val="clear" w:pos="720"/>
          <w:tab w:val="num" w:pos="550"/>
        </w:tabs>
        <w:ind w:left="550" w:hanging="550"/>
        <w:rPr>
          <w:del w:id="13185" w:author="AbbVie19" w:date="2025-04-16T12:22:00Z"/>
        </w:rPr>
      </w:pPr>
      <w:del w:id="13186" w:author="AbbVie19" w:date="2025-04-16T12:22:00Z">
        <w:r w:rsidRPr="00BC0E7E">
          <w:delText>pleural effusion (abnormal collection of fluid in the pleural space);</w:delText>
        </w:r>
      </w:del>
    </w:p>
    <w:p w14:paraId="05158921" w14:textId="77777777" w:rsidR="00BC0E7E" w:rsidRPr="00BC0E7E" w:rsidRDefault="00944B8F" w:rsidP="00BC0E7E">
      <w:pPr>
        <w:numPr>
          <w:ilvl w:val="0"/>
          <w:numId w:val="22"/>
        </w:numPr>
        <w:tabs>
          <w:tab w:val="clear" w:pos="562"/>
          <w:tab w:val="clear" w:pos="720"/>
          <w:tab w:val="num" w:pos="550"/>
        </w:tabs>
        <w:ind w:left="550" w:hanging="550"/>
        <w:rPr>
          <w:del w:id="13187" w:author="AbbVie19" w:date="2025-04-16T12:22:00Z"/>
        </w:rPr>
      </w:pPr>
      <w:del w:id="13188" w:author="AbbVie19" w:date="2025-04-16T12:22:00Z">
        <w:r w:rsidRPr="00BC0E7E">
          <w:delText>inflammation of the pancreas which causes severe pain in the abdomen and back;</w:delText>
        </w:r>
      </w:del>
    </w:p>
    <w:p w14:paraId="263A65BF" w14:textId="77777777" w:rsidR="00BC0E7E" w:rsidRPr="00BC0E7E" w:rsidRDefault="00944B8F" w:rsidP="00BC0E7E">
      <w:pPr>
        <w:numPr>
          <w:ilvl w:val="0"/>
          <w:numId w:val="22"/>
        </w:numPr>
        <w:tabs>
          <w:tab w:val="clear" w:pos="562"/>
          <w:tab w:val="clear" w:pos="720"/>
          <w:tab w:val="num" w:pos="550"/>
        </w:tabs>
        <w:ind w:left="550" w:hanging="550"/>
        <w:rPr>
          <w:del w:id="13189" w:author="AbbVie19" w:date="2025-04-16T12:22:00Z"/>
        </w:rPr>
      </w:pPr>
      <w:del w:id="13190" w:author="AbbVie19" w:date="2025-04-16T12:22:00Z">
        <w:r w:rsidRPr="00BC0E7E">
          <w:delText>difficulty in swallowing;</w:delText>
        </w:r>
      </w:del>
    </w:p>
    <w:p w14:paraId="295E110D" w14:textId="77777777" w:rsidR="00BC0E7E" w:rsidRPr="00BC0E7E" w:rsidRDefault="00944B8F" w:rsidP="00BC0E7E">
      <w:pPr>
        <w:numPr>
          <w:ilvl w:val="0"/>
          <w:numId w:val="22"/>
        </w:numPr>
        <w:tabs>
          <w:tab w:val="clear" w:pos="562"/>
          <w:tab w:val="clear" w:pos="720"/>
          <w:tab w:val="num" w:pos="550"/>
        </w:tabs>
        <w:ind w:left="550" w:hanging="550"/>
        <w:rPr>
          <w:del w:id="13191" w:author="AbbVie19" w:date="2025-04-16T12:22:00Z"/>
        </w:rPr>
      </w:pPr>
      <w:del w:id="13192" w:author="AbbVie19" w:date="2025-04-16T12:22:00Z">
        <w:r w:rsidRPr="00BC0E7E">
          <w:delText>facial oedema;</w:delText>
        </w:r>
      </w:del>
    </w:p>
    <w:p w14:paraId="18C0F033" w14:textId="77777777" w:rsidR="00BC0E7E" w:rsidRPr="00BC0E7E" w:rsidRDefault="00944B8F" w:rsidP="00BC0E7E">
      <w:pPr>
        <w:numPr>
          <w:ilvl w:val="0"/>
          <w:numId w:val="22"/>
        </w:numPr>
        <w:tabs>
          <w:tab w:val="clear" w:pos="562"/>
          <w:tab w:val="clear" w:pos="720"/>
          <w:tab w:val="num" w:pos="550"/>
        </w:tabs>
        <w:ind w:left="550" w:hanging="550"/>
        <w:rPr>
          <w:del w:id="13193" w:author="AbbVie19" w:date="2025-04-16T12:22:00Z"/>
        </w:rPr>
      </w:pPr>
      <w:del w:id="13194" w:author="AbbVie19" w:date="2025-04-16T12:22:00Z">
        <w:r w:rsidRPr="00BC0E7E">
          <w:delText>gallbladder inflammation, gallbladder stones;</w:delText>
        </w:r>
      </w:del>
    </w:p>
    <w:p w14:paraId="3CCB8B27" w14:textId="77777777" w:rsidR="00BC0E7E" w:rsidRPr="00BC0E7E" w:rsidRDefault="00944B8F" w:rsidP="00BC0E7E">
      <w:pPr>
        <w:numPr>
          <w:ilvl w:val="0"/>
          <w:numId w:val="22"/>
        </w:numPr>
        <w:tabs>
          <w:tab w:val="clear" w:pos="562"/>
          <w:tab w:val="clear" w:pos="720"/>
          <w:tab w:val="num" w:pos="550"/>
        </w:tabs>
        <w:ind w:left="550" w:hanging="550"/>
        <w:rPr>
          <w:del w:id="13195" w:author="AbbVie19" w:date="2025-04-16T12:22:00Z"/>
        </w:rPr>
      </w:pPr>
      <w:del w:id="13196" w:author="AbbVie19" w:date="2025-04-16T12:22:00Z">
        <w:r w:rsidRPr="00BC0E7E">
          <w:delText>fatty liver;</w:delText>
        </w:r>
      </w:del>
    </w:p>
    <w:p w14:paraId="67A61A9A" w14:textId="77777777" w:rsidR="00BC0E7E" w:rsidRPr="00BC0E7E" w:rsidRDefault="00944B8F" w:rsidP="00BC0E7E">
      <w:pPr>
        <w:numPr>
          <w:ilvl w:val="0"/>
          <w:numId w:val="22"/>
        </w:numPr>
        <w:tabs>
          <w:tab w:val="clear" w:pos="562"/>
          <w:tab w:val="clear" w:pos="720"/>
          <w:tab w:val="num" w:pos="550"/>
        </w:tabs>
        <w:ind w:left="550" w:hanging="550"/>
        <w:rPr>
          <w:del w:id="13197" w:author="AbbVie19" w:date="2025-04-16T12:22:00Z"/>
        </w:rPr>
      </w:pPr>
      <w:del w:id="13198" w:author="AbbVie19" w:date="2025-04-16T12:22:00Z">
        <w:r w:rsidRPr="00BC0E7E">
          <w:delText>night sweats;</w:delText>
        </w:r>
      </w:del>
    </w:p>
    <w:p w14:paraId="6A577211" w14:textId="77777777" w:rsidR="00BC0E7E" w:rsidRPr="00BC0E7E" w:rsidRDefault="00944B8F" w:rsidP="00BC0E7E">
      <w:pPr>
        <w:numPr>
          <w:ilvl w:val="0"/>
          <w:numId w:val="22"/>
        </w:numPr>
        <w:tabs>
          <w:tab w:val="clear" w:pos="562"/>
          <w:tab w:val="clear" w:pos="720"/>
          <w:tab w:val="num" w:pos="550"/>
        </w:tabs>
        <w:ind w:left="550" w:hanging="550"/>
        <w:rPr>
          <w:del w:id="13199" w:author="AbbVie19" w:date="2025-04-16T12:22:00Z"/>
        </w:rPr>
      </w:pPr>
      <w:del w:id="13200" w:author="AbbVie19" w:date="2025-04-16T12:22:00Z">
        <w:r w:rsidRPr="00BC0E7E">
          <w:delText>scar;</w:delText>
        </w:r>
      </w:del>
    </w:p>
    <w:p w14:paraId="37BFD423" w14:textId="77777777" w:rsidR="00BC0E7E" w:rsidRPr="00BC0E7E" w:rsidRDefault="00944B8F" w:rsidP="00BC0E7E">
      <w:pPr>
        <w:numPr>
          <w:ilvl w:val="0"/>
          <w:numId w:val="22"/>
        </w:numPr>
        <w:tabs>
          <w:tab w:val="clear" w:pos="562"/>
          <w:tab w:val="clear" w:pos="720"/>
          <w:tab w:val="num" w:pos="550"/>
        </w:tabs>
        <w:ind w:left="550" w:hanging="550"/>
        <w:rPr>
          <w:del w:id="13201" w:author="AbbVie19" w:date="2025-04-16T12:22:00Z"/>
        </w:rPr>
      </w:pPr>
      <w:del w:id="13202" w:author="AbbVie19" w:date="2025-04-16T12:22:00Z">
        <w:r w:rsidRPr="00BC0E7E">
          <w:delText>abnormal muscle breakdown;</w:delText>
        </w:r>
      </w:del>
    </w:p>
    <w:p w14:paraId="553A1403" w14:textId="77777777" w:rsidR="00BC0E7E" w:rsidRPr="00BC0E7E" w:rsidRDefault="00944B8F" w:rsidP="00BC0E7E">
      <w:pPr>
        <w:numPr>
          <w:ilvl w:val="0"/>
          <w:numId w:val="22"/>
        </w:numPr>
        <w:tabs>
          <w:tab w:val="clear" w:pos="562"/>
          <w:tab w:val="clear" w:pos="720"/>
          <w:tab w:val="num" w:pos="550"/>
        </w:tabs>
        <w:ind w:left="550" w:hanging="550"/>
        <w:rPr>
          <w:del w:id="13203" w:author="AbbVie19" w:date="2025-04-16T12:22:00Z"/>
        </w:rPr>
      </w:pPr>
      <w:del w:id="13204" w:author="AbbVie19" w:date="2025-04-16T12:22:00Z">
        <w:r w:rsidRPr="00BC0E7E">
          <w:delText>systemic lupus erythematosus (including inflammation of skin, heart, lung, joints and other organ systems);</w:delText>
        </w:r>
      </w:del>
    </w:p>
    <w:p w14:paraId="301E9401" w14:textId="77777777" w:rsidR="00BC0E7E" w:rsidRPr="00BC0E7E" w:rsidRDefault="00944B8F" w:rsidP="00BC0E7E">
      <w:pPr>
        <w:numPr>
          <w:ilvl w:val="0"/>
          <w:numId w:val="22"/>
        </w:numPr>
        <w:tabs>
          <w:tab w:val="clear" w:pos="562"/>
          <w:tab w:val="clear" w:pos="720"/>
          <w:tab w:val="num" w:pos="550"/>
        </w:tabs>
        <w:ind w:left="550" w:hanging="550"/>
        <w:rPr>
          <w:del w:id="13205" w:author="AbbVie19" w:date="2025-04-16T12:22:00Z"/>
        </w:rPr>
      </w:pPr>
      <w:del w:id="13206" w:author="AbbVie19" w:date="2025-04-16T12:22:00Z">
        <w:r w:rsidRPr="00BC0E7E">
          <w:delText>sleep interruptions;</w:delText>
        </w:r>
      </w:del>
    </w:p>
    <w:p w14:paraId="2020A6D5" w14:textId="77777777" w:rsidR="00BC0E7E" w:rsidRPr="00BC0E7E" w:rsidRDefault="00944B8F" w:rsidP="00BC0E7E">
      <w:pPr>
        <w:numPr>
          <w:ilvl w:val="0"/>
          <w:numId w:val="22"/>
        </w:numPr>
        <w:tabs>
          <w:tab w:val="clear" w:pos="562"/>
          <w:tab w:val="clear" w:pos="720"/>
          <w:tab w:val="num" w:pos="550"/>
        </w:tabs>
        <w:ind w:left="550" w:hanging="550"/>
        <w:rPr>
          <w:del w:id="13207" w:author="AbbVie19" w:date="2025-04-16T12:22:00Z"/>
        </w:rPr>
      </w:pPr>
      <w:del w:id="13208" w:author="AbbVie19" w:date="2025-04-16T12:22:00Z">
        <w:r w:rsidRPr="00BC0E7E">
          <w:delText>impotence;</w:delText>
        </w:r>
      </w:del>
    </w:p>
    <w:p w14:paraId="1FAD0343" w14:textId="77777777" w:rsidR="00BC0E7E" w:rsidRPr="00BC0E7E" w:rsidRDefault="00944B8F" w:rsidP="00BC0E7E">
      <w:pPr>
        <w:numPr>
          <w:ilvl w:val="0"/>
          <w:numId w:val="22"/>
        </w:numPr>
        <w:tabs>
          <w:tab w:val="clear" w:pos="562"/>
          <w:tab w:val="clear" w:pos="720"/>
          <w:tab w:val="num" w:pos="550"/>
        </w:tabs>
        <w:ind w:left="550" w:hanging="550"/>
        <w:rPr>
          <w:del w:id="13209" w:author="AbbVie19" w:date="2025-04-16T12:22:00Z"/>
        </w:rPr>
      </w:pPr>
      <w:del w:id="13210" w:author="AbbVie19" w:date="2025-04-16T12:22:00Z">
        <w:r w:rsidRPr="00BC0E7E">
          <w:lastRenderedPageBreak/>
          <w:delText>inflammations.</w:delText>
        </w:r>
      </w:del>
    </w:p>
    <w:p w14:paraId="4B62D890" w14:textId="77777777" w:rsidR="00BC0E7E" w:rsidRPr="00BC0E7E" w:rsidRDefault="00BC0E7E" w:rsidP="00BC0E7E">
      <w:pPr>
        <w:rPr>
          <w:del w:id="13211" w:author="AbbVie19" w:date="2025-04-16T12:22:00Z"/>
        </w:rPr>
      </w:pPr>
    </w:p>
    <w:p w14:paraId="2A1AE122" w14:textId="77777777" w:rsidR="00BC0E7E" w:rsidRPr="00BC0E7E" w:rsidRDefault="00944B8F" w:rsidP="00BC0E7E">
      <w:pPr>
        <w:rPr>
          <w:del w:id="13212" w:author="AbbVie19" w:date="2025-04-16T12:22:00Z"/>
        </w:rPr>
      </w:pPr>
      <w:del w:id="13213" w:author="AbbVie19" w:date="2025-04-16T12:22:00Z">
        <w:r w:rsidRPr="00BC0E7E">
          <w:delText>Rare (may affect up to 1 in 1,000 people)</w:delText>
        </w:r>
      </w:del>
    </w:p>
    <w:p w14:paraId="643BA081" w14:textId="77777777" w:rsidR="00BC0E7E" w:rsidRPr="00BC0E7E" w:rsidRDefault="00BC0E7E" w:rsidP="00BC0E7E">
      <w:pPr>
        <w:rPr>
          <w:del w:id="13214" w:author="AbbVie19" w:date="2025-04-16T12:22:00Z"/>
        </w:rPr>
      </w:pPr>
    </w:p>
    <w:p w14:paraId="5E8955D2" w14:textId="77777777" w:rsidR="00BC0E7E" w:rsidRPr="00BC0E7E" w:rsidRDefault="00944B8F" w:rsidP="00BC0E7E">
      <w:pPr>
        <w:numPr>
          <w:ilvl w:val="0"/>
          <w:numId w:val="22"/>
        </w:numPr>
        <w:tabs>
          <w:tab w:val="clear" w:pos="562"/>
          <w:tab w:val="clear" w:pos="720"/>
          <w:tab w:val="num" w:pos="550"/>
        </w:tabs>
        <w:ind w:left="550" w:hanging="550"/>
        <w:rPr>
          <w:del w:id="13215" w:author="AbbVie19" w:date="2025-04-16T12:22:00Z"/>
        </w:rPr>
      </w:pPr>
      <w:del w:id="13216" w:author="AbbVie19" w:date="2025-04-16T12:22:00Z">
        <w:r w:rsidRPr="00BC0E7E">
          <w:delText>leukemia (cancer affecting the blood and bone marrow);</w:delText>
        </w:r>
      </w:del>
    </w:p>
    <w:p w14:paraId="55AE34C7" w14:textId="77777777" w:rsidR="00BC0E7E" w:rsidRPr="00BC0E7E" w:rsidRDefault="00944B8F" w:rsidP="00BC0E7E">
      <w:pPr>
        <w:numPr>
          <w:ilvl w:val="0"/>
          <w:numId w:val="22"/>
        </w:numPr>
        <w:tabs>
          <w:tab w:val="clear" w:pos="562"/>
          <w:tab w:val="clear" w:pos="720"/>
          <w:tab w:val="num" w:pos="550"/>
        </w:tabs>
        <w:ind w:left="550" w:hanging="550"/>
        <w:rPr>
          <w:del w:id="13217" w:author="AbbVie19" w:date="2025-04-16T12:22:00Z"/>
        </w:rPr>
      </w:pPr>
      <w:del w:id="13218" w:author="AbbVie19" w:date="2025-04-16T12:22:00Z">
        <w:r w:rsidRPr="00BC0E7E">
          <w:delText>severe allergic reaction with shock;</w:delText>
        </w:r>
      </w:del>
    </w:p>
    <w:p w14:paraId="172B87D1" w14:textId="77777777" w:rsidR="00BC0E7E" w:rsidRPr="00BC0E7E" w:rsidRDefault="00944B8F" w:rsidP="00BC0E7E">
      <w:pPr>
        <w:numPr>
          <w:ilvl w:val="0"/>
          <w:numId w:val="22"/>
        </w:numPr>
        <w:tabs>
          <w:tab w:val="clear" w:pos="562"/>
          <w:tab w:val="clear" w:pos="720"/>
          <w:tab w:val="num" w:pos="550"/>
        </w:tabs>
        <w:ind w:left="550" w:hanging="550"/>
        <w:rPr>
          <w:del w:id="13219" w:author="AbbVie19" w:date="2025-04-16T12:22:00Z"/>
        </w:rPr>
      </w:pPr>
      <w:del w:id="13220" w:author="AbbVie19" w:date="2025-04-16T12:22:00Z">
        <w:r w:rsidRPr="00BC0E7E">
          <w:delText>multiple sclerosis;</w:delText>
        </w:r>
      </w:del>
    </w:p>
    <w:p w14:paraId="7C062860" w14:textId="77777777" w:rsidR="00BC0E7E" w:rsidRPr="00BC0E7E" w:rsidRDefault="00944B8F" w:rsidP="00BC0E7E">
      <w:pPr>
        <w:numPr>
          <w:ilvl w:val="0"/>
          <w:numId w:val="22"/>
        </w:numPr>
        <w:tabs>
          <w:tab w:val="clear" w:pos="562"/>
          <w:tab w:val="clear" w:pos="720"/>
          <w:tab w:val="num" w:pos="550"/>
        </w:tabs>
        <w:ind w:left="550" w:hanging="550"/>
        <w:rPr>
          <w:del w:id="13221" w:author="AbbVie19" w:date="2025-04-16T12:22:00Z"/>
        </w:rPr>
      </w:pPr>
      <w:del w:id="13222" w:author="AbbVie19" w:date="2025-04-16T12:22:00Z">
        <w:r w:rsidRPr="00BC0E7E">
          <w:delText>nerve disorders (such as eye nerve inflammation and Guillain-Barré syndrome that may cause muscle weakness, abnormal sensations, tingling in the arms and upper body);</w:delText>
        </w:r>
      </w:del>
    </w:p>
    <w:p w14:paraId="1347E7B5" w14:textId="77777777" w:rsidR="00BC0E7E" w:rsidRPr="00BC0E7E" w:rsidRDefault="00944B8F" w:rsidP="00BC0E7E">
      <w:pPr>
        <w:numPr>
          <w:ilvl w:val="0"/>
          <w:numId w:val="22"/>
        </w:numPr>
        <w:tabs>
          <w:tab w:val="clear" w:pos="562"/>
          <w:tab w:val="clear" w:pos="720"/>
          <w:tab w:val="num" w:pos="550"/>
        </w:tabs>
        <w:ind w:left="550" w:hanging="550"/>
        <w:rPr>
          <w:del w:id="13223" w:author="AbbVie19" w:date="2025-04-16T12:22:00Z"/>
        </w:rPr>
      </w:pPr>
      <w:del w:id="13224" w:author="AbbVie19" w:date="2025-04-16T12:22:00Z">
        <w:r w:rsidRPr="00BC0E7E">
          <w:delText>heart stops pumping;</w:delText>
        </w:r>
      </w:del>
    </w:p>
    <w:p w14:paraId="4890D5E8" w14:textId="77777777" w:rsidR="00BC0E7E" w:rsidRPr="00BC0E7E" w:rsidRDefault="00944B8F" w:rsidP="00BC0E7E">
      <w:pPr>
        <w:numPr>
          <w:ilvl w:val="0"/>
          <w:numId w:val="22"/>
        </w:numPr>
        <w:tabs>
          <w:tab w:val="clear" w:pos="562"/>
          <w:tab w:val="clear" w:pos="720"/>
          <w:tab w:val="num" w:pos="550"/>
        </w:tabs>
        <w:ind w:left="550" w:hanging="550"/>
        <w:rPr>
          <w:del w:id="13225" w:author="AbbVie19" w:date="2025-04-16T12:22:00Z"/>
        </w:rPr>
      </w:pPr>
      <w:del w:id="13226" w:author="AbbVie19" w:date="2025-04-16T12:22:00Z">
        <w:r w:rsidRPr="00BC0E7E">
          <w:delText>pulmonary fibrosis (scarring of the lung);</w:delText>
        </w:r>
      </w:del>
    </w:p>
    <w:p w14:paraId="776B063C" w14:textId="77777777" w:rsidR="00BC0E7E" w:rsidRPr="00BC0E7E" w:rsidRDefault="00944B8F" w:rsidP="00BC0E7E">
      <w:pPr>
        <w:numPr>
          <w:ilvl w:val="0"/>
          <w:numId w:val="22"/>
        </w:numPr>
        <w:tabs>
          <w:tab w:val="clear" w:pos="562"/>
          <w:tab w:val="clear" w:pos="720"/>
          <w:tab w:val="num" w:pos="550"/>
        </w:tabs>
        <w:ind w:left="550" w:hanging="550"/>
        <w:rPr>
          <w:del w:id="13227" w:author="AbbVie19" w:date="2025-04-16T12:22:00Z"/>
        </w:rPr>
      </w:pPr>
      <w:del w:id="13228" w:author="AbbVie19" w:date="2025-04-16T12:22:00Z">
        <w:r w:rsidRPr="00BC0E7E">
          <w:delText>intestinal perforation;</w:delText>
        </w:r>
      </w:del>
    </w:p>
    <w:p w14:paraId="5FDB2DA5" w14:textId="77777777" w:rsidR="00BC0E7E" w:rsidRPr="00BC0E7E" w:rsidRDefault="00944B8F" w:rsidP="00BC0E7E">
      <w:pPr>
        <w:numPr>
          <w:ilvl w:val="0"/>
          <w:numId w:val="22"/>
        </w:numPr>
        <w:tabs>
          <w:tab w:val="clear" w:pos="562"/>
          <w:tab w:val="clear" w:pos="720"/>
          <w:tab w:val="num" w:pos="550"/>
        </w:tabs>
        <w:ind w:left="550" w:hanging="550"/>
        <w:rPr>
          <w:del w:id="13229" w:author="AbbVie19" w:date="2025-04-16T12:22:00Z"/>
        </w:rPr>
      </w:pPr>
      <w:del w:id="13230" w:author="AbbVie19" w:date="2025-04-16T12:22:00Z">
        <w:r w:rsidRPr="00BC0E7E">
          <w:delText>hepatitis;</w:delText>
        </w:r>
      </w:del>
    </w:p>
    <w:p w14:paraId="76730AE6" w14:textId="77777777" w:rsidR="00BC0E7E" w:rsidRPr="00BC0E7E" w:rsidRDefault="00944B8F" w:rsidP="00BC0E7E">
      <w:pPr>
        <w:numPr>
          <w:ilvl w:val="0"/>
          <w:numId w:val="22"/>
        </w:numPr>
        <w:tabs>
          <w:tab w:val="clear" w:pos="562"/>
          <w:tab w:val="clear" w:pos="720"/>
          <w:tab w:val="num" w:pos="550"/>
        </w:tabs>
        <w:ind w:left="550" w:hanging="550"/>
        <w:rPr>
          <w:del w:id="13231" w:author="AbbVie19" w:date="2025-04-16T12:22:00Z"/>
        </w:rPr>
      </w:pPr>
      <w:del w:id="13232" w:author="AbbVie19" w:date="2025-04-16T12:22:00Z">
        <w:r w:rsidRPr="00BC0E7E">
          <w:delText>reactivation of hepatitis B;</w:delText>
        </w:r>
      </w:del>
    </w:p>
    <w:p w14:paraId="36761257" w14:textId="77777777" w:rsidR="00BC0E7E" w:rsidRPr="00BC0E7E" w:rsidRDefault="00944B8F" w:rsidP="00BC0E7E">
      <w:pPr>
        <w:numPr>
          <w:ilvl w:val="0"/>
          <w:numId w:val="22"/>
        </w:numPr>
        <w:tabs>
          <w:tab w:val="clear" w:pos="562"/>
          <w:tab w:val="clear" w:pos="720"/>
          <w:tab w:val="num" w:pos="550"/>
        </w:tabs>
        <w:ind w:left="550" w:hanging="550"/>
        <w:rPr>
          <w:del w:id="13233" w:author="AbbVie19" w:date="2025-04-16T12:22:00Z"/>
        </w:rPr>
      </w:pPr>
      <w:del w:id="13234" w:author="AbbVie19" w:date="2025-04-16T12:22:00Z">
        <w:r w:rsidRPr="00BC0E7E">
          <w:delText>autoimmune hepatitis (inflammation of the liver caused by the body's own immune system);</w:delText>
        </w:r>
      </w:del>
    </w:p>
    <w:p w14:paraId="6AAA65F3" w14:textId="77777777" w:rsidR="00BC0E7E" w:rsidRPr="00BC0E7E" w:rsidRDefault="00944B8F" w:rsidP="00BC0E7E">
      <w:pPr>
        <w:numPr>
          <w:ilvl w:val="0"/>
          <w:numId w:val="22"/>
        </w:numPr>
        <w:tabs>
          <w:tab w:val="clear" w:pos="562"/>
          <w:tab w:val="clear" w:pos="720"/>
          <w:tab w:val="num" w:pos="550"/>
        </w:tabs>
        <w:ind w:left="550" w:hanging="550"/>
        <w:rPr>
          <w:del w:id="13235" w:author="AbbVie19" w:date="2025-04-16T12:22:00Z"/>
        </w:rPr>
      </w:pPr>
      <w:del w:id="13236" w:author="AbbVie19" w:date="2025-04-16T12:22:00Z">
        <w:r w:rsidRPr="00BC0E7E">
          <w:delText>cutaneous vasculitis (inflammation of blood vessels in the skin);</w:delText>
        </w:r>
      </w:del>
    </w:p>
    <w:p w14:paraId="26160D05" w14:textId="77777777" w:rsidR="00BC0E7E" w:rsidRPr="00BC0E7E" w:rsidRDefault="00944B8F" w:rsidP="00BC0E7E">
      <w:pPr>
        <w:numPr>
          <w:ilvl w:val="0"/>
          <w:numId w:val="22"/>
        </w:numPr>
        <w:tabs>
          <w:tab w:val="clear" w:pos="562"/>
          <w:tab w:val="clear" w:pos="720"/>
          <w:tab w:val="num" w:pos="550"/>
        </w:tabs>
        <w:ind w:left="550" w:hanging="550"/>
        <w:rPr>
          <w:del w:id="13237" w:author="AbbVie19" w:date="2025-04-16T12:22:00Z"/>
        </w:rPr>
      </w:pPr>
      <w:del w:id="13238" w:author="AbbVie19" w:date="2025-04-16T12:22:00Z">
        <w:r w:rsidRPr="00BC0E7E">
          <w:delText>Stevens-Johnson syndrome (early symptoms include malaise, fever, headache and rash);</w:delText>
        </w:r>
      </w:del>
    </w:p>
    <w:p w14:paraId="36FE4851" w14:textId="77777777" w:rsidR="00BC0E7E" w:rsidRPr="00BC0E7E" w:rsidRDefault="00944B8F" w:rsidP="00BC0E7E">
      <w:pPr>
        <w:numPr>
          <w:ilvl w:val="0"/>
          <w:numId w:val="22"/>
        </w:numPr>
        <w:tabs>
          <w:tab w:val="clear" w:pos="562"/>
          <w:tab w:val="clear" w:pos="720"/>
          <w:tab w:val="num" w:pos="550"/>
        </w:tabs>
        <w:ind w:left="550" w:hanging="550"/>
        <w:rPr>
          <w:del w:id="13239" w:author="AbbVie19" w:date="2025-04-16T12:22:00Z"/>
        </w:rPr>
      </w:pPr>
      <w:del w:id="13240" w:author="AbbVie19" w:date="2025-04-16T12:22:00Z">
        <w:r w:rsidRPr="00BC0E7E">
          <w:delText>facial oedema associated with allergic reactions;</w:delText>
        </w:r>
      </w:del>
    </w:p>
    <w:p w14:paraId="54291A8D" w14:textId="77777777" w:rsidR="00BC0E7E" w:rsidRPr="00BC0E7E" w:rsidRDefault="00944B8F" w:rsidP="00BC0E7E">
      <w:pPr>
        <w:numPr>
          <w:ilvl w:val="0"/>
          <w:numId w:val="22"/>
        </w:numPr>
        <w:tabs>
          <w:tab w:val="clear" w:pos="562"/>
          <w:tab w:val="clear" w:pos="720"/>
          <w:tab w:val="num" w:pos="550"/>
        </w:tabs>
        <w:ind w:left="550" w:hanging="550"/>
        <w:rPr>
          <w:del w:id="13241" w:author="AbbVie19" w:date="2025-04-16T12:22:00Z"/>
        </w:rPr>
      </w:pPr>
      <w:del w:id="13242" w:author="AbbVie19" w:date="2025-04-16T12:22:00Z">
        <w:r w:rsidRPr="00BC0E7E">
          <w:delText>erythema multiforme (inflammatory skin rash);</w:delText>
        </w:r>
      </w:del>
    </w:p>
    <w:p w14:paraId="47EC65DE" w14:textId="77777777" w:rsidR="00086351" w:rsidRDefault="00944B8F" w:rsidP="00086351">
      <w:pPr>
        <w:numPr>
          <w:ilvl w:val="0"/>
          <w:numId w:val="22"/>
        </w:numPr>
        <w:tabs>
          <w:tab w:val="clear" w:pos="562"/>
          <w:tab w:val="clear" w:pos="720"/>
          <w:tab w:val="num" w:pos="550"/>
        </w:tabs>
        <w:ind w:left="550" w:hanging="550"/>
        <w:rPr>
          <w:del w:id="13243" w:author="AbbVie19" w:date="2025-04-16T12:22:00Z"/>
        </w:rPr>
      </w:pPr>
      <w:del w:id="13244" w:author="AbbVie19" w:date="2025-04-16T12:22:00Z">
        <w:r w:rsidRPr="00BC0E7E">
          <w:delText>lupus-like syndrome</w:delText>
        </w:r>
        <w:r>
          <w:delText>;</w:delText>
        </w:r>
      </w:del>
    </w:p>
    <w:p w14:paraId="530CDCE6" w14:textId="77777777" w:rsidR="00BC0E7E" w:rsidRDefault="00944B8F" w:rsidP="00086351">
      <w:pPr>
        <w:numPr>
          <w:ilvl w:val="0"/>
          <w:numId w:val="22"/>
        </w:numPr>
        <w:tabs>
          <w:tab w:val="clear" w:pos="562"/>
          <w:tab w:val="clear" w:pos="720"/>
          <w:tab w:val="num" w:pos="550"/>
        </w:tabs>
        <w:ind w:left="550" w:hanging="550"/>
        <w:rPr>
          <w:del w:id="13245" w:author="AbbVie19" w:date="2025-04-16T12:22:00Z"/>
        </w:rPr>
      </w:pPr>
      <w:del w:id="13246" w:author="AbbVie19" w:date="2025-04-16T12:22:00Z">
        <w:r w:rsidRPr="00086351">
          <w:delText>angioedema (localized swelling of the skin)</w:delText>
        </w:r>
        <w:r w:rsidR="003A386F">
          <w:delText>;</w:delText>
        </w:r>
      </w:del>
    </w:p>
    <w:p w14:paraId="2F8348EF" w14:textId="77777777" w:rsidR="003A386F" w:rsidRPr="00086351" w:rsidRDefault="00944B8F" w:rsidP="00086351">
      <w:pPr>
        <w:numPr>
          <w:ilvl w:val="0"/>
          <w:numId w:val="22"/>
        </w:numPr>
        <w:tabs>
          <w:tab w:val="clear" w:pos="562"/>
          <w:tab w:val="clear" w:pos="720"/>
          <w:tab w:val="num" w:pos="550"/>
        </w:tabs>
        <w:ind w:left="550" w:hanging="550"/>
        <w:rPr>
          <w:del w:id="13247" w:author="AbbVie19" w:date="2025-04-16T12:22:00Z"/>
        </w:rPr>
      </w:pPr>
      <w:del w:id="13248" w:author="AbbVie19" w:date="2025-04-16T12:22:00Z">
        <w:r>
          <w:delText>lichenoid skin reaction (</w:delText>
        </w:r>
        <w:r w:rsidRPr="00747944">
          <w:delText>it</w:delText>
        </w:r>
        <w:r>
          <w:delText xml:space="preserve">chy reddish-purple skin </w:delText>
        </w:r>
        <w:r w:rsidRPr="00747944">
          <w:delText>rash</w:delText>
        </w:r>
        <w:r>
          <w:delText>).</w:delText>
        </w:r>
      </w:del>
    </w:p>
    <w:p w14:paraId="5A91C972" w14:textId="77777777" w:rsidR="00BC0E7E" w:rsidRPr="00BC0E7E" w:rsidRDefault="00BC0E7E" w:rsidP="00BC0E7E">
      <w:pPr>
        <w:tabs>
          <w:tab w:val="clear" w:pos="562"/>
        </w:tabs>
        <w:rPr>
          <w:del w:id="13249" w:author="AbbVie19" w:date="2025-04-16T12:22:00Z"/>
        </w:rPr>
      </w:pPr>
    </w:p>
    <w:p w14:paraId="25EA0557" w14:textId="77777777" w:rsidR="00BC0E7E" w:rsidRPr="00BC0E7E" w:rsidRDefault="00944B8F" w:rsidP="00BC0E7E">
      <w:pPr>
        <w:rPr>
          <w:del w:id="13250" w:author="AbbVie19" w:date="2025-04-16T12:22:00Z"/>
          <w:rFonts w:eastAsia="MS Mincho"/>
          <w:szCs w:val="20"/>
        </w:rPr>
      </w:pPr>
      <w:del w:id="13251" w:author="AbbVie19" w:date="2025-04-16T12:22:00Z">
        <w:r w:rsidRPr="00BC0E7E">
          <w:rPr>
            <w:rFonts w:eastAsia="MS Mincho"/>
            <w:szCs w:val="20"/>
          </w:rPr>
          <w:delText>Not known (frequency cannot be estimated from available data)</w:delText>
        </w:r>
      </w:del>
    </w:p>
    <w:p w14:paraId="1DDB95CD" w14:textId="77777777" w:rsidR="00BC0E7E" w:rsidRPr="00BC0E7E" w:rsidRDefault="00BC0E7E" w:rsidP="00BC0E7E">
      <w:pPr>
        <w:rPr>
          <w:del w:id="13252" w:author="AbbVie19" w:date="2025-04-16T12:22:00Z"/>
          <w:rFonts w:eastAsia="MS Mincho"/>
          <w:szCs w:val="20"/>
        </w:rPr>
      </w:pPr>
    </w:p>
    <w:p w14:paraId="0C0E9FFC" w14:textId="77777777" w:rsidR="00BC0E7E" w:rsidRPr="00BC0E7E" w:rsidRDefault="00944B8F" w:rsidP="00BC0E7E">
      <w:pPr>
        <w:numPr>
          <w:ilvl w:val="0"/>
          <w:numId w:val="22"/>
        </w:numPr>
        <w:tabs>
          <w:tab w:val="clear" w:pos="562"/>
          <w:tab w:val="clear" w:pos="720"/>
          <w:tab w:val="num" w:pos="550"/>
        </w:tabs>
        <w:ind w:left="550" w:hanging="550"/>
        <w:rPr>
          <w:del w:id="13253" w:author="AbbVie19" w:date="2025-04-16T12:22:00Z"/>
        </w:rPr>
      </w:pPr>
      <w:del w:id="13254" w:author="AbbVie19" w:date="2025-04-16T12:22:00Z">
        <w:r w:rsidRPr="00BC0E7E">
          <w:rPr>
            <w:szCs w:val="20"/>
          </w:rPr>
          <w:delText>h</w:delText>
        </w:r>
        <w:r w:rsidRPr="00BC0E7E">
          <w:delText>epatosplenic T-cell lymphoma (a rare blood cancer that is often fatal);</w:delText>
        </w:r>
      </w:del>
    </w:p>
    <w:p w14:paraId="281C371A" w14:textId="77777777" w:rsidR="00BC0E7E" w:rsidRDefault="00944B8F" w:rsidP="00BC0E7E">
      <w:pPr>
        <w:numPr>
          <w:ilvl w:val="0"/>
          <w:numId w:val="22"/>
        </w:numPr>
        <w:tabs>
          <w:tab w:val="clear" w:pos="562"/>
          <w:tab w:val="clear" w:pos="720"/>
          <w:tab w:val="num" w:pos="550"/>
        </w:tabs>
        <w:ind w:left="550" w:hanging="550"/>
        <w:rPr>
          <w:del w:id="13255" w:author="AbbVie19" w:date="2025-04-16T12:22:00Z"/>
        </w:rPr>
      </w:pPr>
      <w:del w:id="13256" w:author="AbbVie19" w:date="2025-04-16T12:22:00Z">
        <w:r w:rsidRPr="00BC0E7E">
          <w:delText>Merkel cell carcinoma (a type of skin cancer);</w:delText>
        </w:r>
      </w:del>
    </w:p>
    <w:p w14:paraId="5D7AAEE5" w14:textId="77777777" w:rsidR="00F9435E" w:rsidRPr="00F9435E" w:rsidRDefault="00944B8F" w:rsidP="00F9435E">
      <w:pPr>
        <w:numPr>
          <w:ilvl w:val="0"/>
          <w:numId w:val="22"/>
        </w:numPr>
        <w:tabs>
          <w:tab w:val="clear" w:pos="562"/>
          <w:tab w:val="clear" w:pos="720"/>
          <w:tab w:val="num" w:pos="540"/>
        </w:tabs>
        <w:ind w:left="540" w:hanging="540"/>
        <w:rPr>
          <w:del w:id="13257" w:author="AbbVie19" w:date="2025-04-16T12:22:00Z"/>
          <w:rFonts w:eastAsia="MS Mincho"/>
          <w:szCs w:val="20"/>
        </w:rPr>
      </w:pPr>
      <w:del w:id="13258" w:author="AbbVie19" w:date="2025-04-16T12:22:00Z">
        <w:r>
          <w:rPr>
            <w:rFonts w:eastAsia="MS Mincho"/>
            <w:szCs w:val="20"/>
          </w:rPr>
          <w:delText>Kaposi’s sarcoma, a rare cancer related to infection with human herpes virus 8. Kaposi’s sarcoma most commonly appears as purple lesions on the skin;</w:delText>
        </w:r>
      </w:del>
    </w:p>
    <w:p w14:paraId="469467D9" w14:textId="77777777" w:rsidR="00BC0E7E" w:rsidRPr="00BC0E7E" w:rsidRDefault="00944B8F" w:rsidP="00BC0E7E">
      <w:pPr>
        <w:numPr>
          <w:ilvl w:val="0"/>
          <w:numId w:val="22"/>
        </w:numPr>
        <w:tabs>
          <w:tab w:val="clear" w:pos="562"/>
          <w:tab w:val="clear" w:pos="720"/>
          <w:tab w:val="num" w:pos="550"/>
        </w:tabs>
        <w:ind w:left="550" w:hanging="550"/>
        <w:rPr>
          <w:del w:id="13259" w:author="AbbVie19" w:date="2025-04-16T12:22:00Z"/>
        </w:rPr>
      </w:pPr>
      <w:del w:id="13260" w:author="AbbVie19" w:date="2025-04-16T12:22:00Z">
        <w:r w:rsidRPr="00BC0E7E">
          <w:delText>liver failure;</w:delText>
        </w:r>
      </w:del>
    </w:p>
    <w:p w14:paraId="4660D5CF" w14:textId="77777777" w:rsidR="0099199E" w:rsidRPr="00746EB0" w:rsidRDefault="00944B8F" w:rsidP="00BC0E7E">
      <w:pPr>
        <w:numPr>
          <w:ilvl w:val="0"/>
          <w:numId w:val="22"/>
        </w:numPr>
        <w:tabs>
          <w:tab w:val="clear" w:pos="562"/>
          <w:tab w:val="clear" w:pos="720"/>
          <w:tab w:val="num" w:pos="550"/>
        </w:tabs>
        <w:ind w:left="550" w:hanging="550"/>
        <w:rPr>
          <w:del w:id="13261" w:author="AbbVie19" w:date="2025-04-16T12:22:00Z"/>
          <w:rFonts w:eastAsia="MS Mincho"/>
          <w:szCs w:val="20"/>
        </w:rPr>
      </w:pPr>
      <w:del w:id="13262" w:author="AbbVie19" w:date="2025-04-16T12:22:00Z">
        <w:r w:rsidRPr="00BC0E7E">
          <w:delText>worsening of a condition called dermatomyositis (seen as a skin rash accompanying muscle weakness)</w:delText>
        </w:r>
        <w:r>
          <w:delText>;</w:delText>
        </w:r>
      </w:del>
    </w:p>
    <w:p w14:paraId="0BF74835" w14:textId="77777777" w:rsidR="00BC0E7E" w:rsidRPr="00BC0E7E" w:rsidRDefault="00944B8F" w:rsidP="00BC0E7E">
      <w:pPr>
        <w:numPr>
          <w:ilvl w:val="0"/>
          <w:numId w:val="22"/>
        </w:numPr>
        <w:tabs>
          <w:tab w:val="clear" w:pos="562"/>
          <w:tab w:val="clear" w:pos="720"/>
          <w:tab w:val="num" w:pos="550"/>
        </w:tabs>
        <w:ind w:left="550" w:hanging="550"/>
        <w:rPr>
          <w:del w:id="13263" w:author="AbbVie19" w:date="2025-04-16T12:22:00Z"/>
          <w:rFonts w:eastAsia="MS Mincho"/>
          <w:szCs w:val="20"/>
        </w:rPr>
      </w:pPr>
      <w:del w:id="13264" w:author="AbbVie19" w:date="2025-04-16T12:22:00Z">
        <w:r w:rsidRPr="00693052">
          <w:rPr>
            <w:szCs w:val="22"/>
            <w:lang w:val="en-US"/>
          </w:rPr>
          <w:delText>weight gain (for most patients, the weight gain was small)</w:delText>
        </w:r>
        <w:r w:rsidRPr="00BC0E7E">
          <w:delText>.</w:delText>
        </w:r>
      </w:del>
    </w:p>
    <w:p w14:paraId="2899E336" w14:textId="77777777" w:rsidR="00BC0E7E" w:rsidRPr="00BC0E7E" w:rsidRDefault="00BC0E7E" w:rsidP="00BC0E7E">
      <w:pPr>
        <w:autoSpaceDE w:val="0"/>
        <w:autoSpaceDN w:val="0"/>
        <w:adjustRightInd w:val="0"/>
        <w:spacing w:line="240" w:lineRule="atLeast"/>
        <w:rPr>
          <w:del w:id="13265" w:author="AbbVie19" w:date="2025-04-16T12:22:00Z"/>
          <w:lang w:eastAsia="de-DE"/>
        </w:rPr>
      </w:pPr>
    </w:p>
    <w:p w14:paraId="32AE4CCF" w14:textId="77777777" w:rsidR="00BC0E7E" w:rsidRPr="00BC0E7E" w:rsidRDefault="00944B8F" w:rsidP="00BC0E7E">
      <w:pPr>
        <w:autoSpaceDE w:val="0"/>
        <w:autoSpaceDN w:val="0"/>
        <w:adjustRightInd w:val="0"/>
        <w:spacing w:line="240" w:lineRule="atLeast"/>
        <w:rPr>
          <w:del w:id="13266" w:author="AbbVie19" w:date="2025-04-16T12:22:00Z"/>
          <w:lang w:eastAsia="de-DE"/>
        </w:rPr>
      </w:pPr>
      <w:del w:id="13267" w:author="AbbVie19" w:date="2025-04-16T12:22:00Z">
        <w:r w:rsidRPr="00BC0E7E">
          <w:rPr>
            <w:lang w:eastAsia="de-DE"/>
          </w:rPr>
          <w:delText>Some side effects observed with Humira may not have symptoms and may only be discovered through blood tests. These include:</w:delText>
        </w:r>
      </w:del>
    </w:p>
    <w:p w14:paraId="63C571E5" w14:textId="77777777" w:rsidR="00BC0E7E" w:rsidRPr="00BC0E7E" w:rsidRDefault="00BC0E7E" w:rsidP="00BC0E7E">
      <w:pPr>
        <w:autoSpaceDE w:val="0"/>
        <w:autoSpaceDN w:val="0"/>
        <w:adjustRightInd w:val="0"/>
        <w:spacing w:line="240" w:lineRule="atLeast"/>
        <w:rPr>
          <w:del w:id="13268" w:author="AbbVie19" w:date="2025-04-16T12:22:00Z"/>
          <w:lang w:eastAsia="de-DE"/>
        </w:rPr>
      </w:pPr>
    </w:p>
    <w:p w14:paraId="28AF5016" w14:textId="77777777" w:rsidR="00BC0E7E" w:rsidRPr="00BC0E7E" w:rsidRDefault="00944B8F" w:rsidP="00BC0E7E">
      <w:pPr>
        <w:rPr>
          <w:del w:id="13269" w:author="AbbVie19" w:date="2025-04-16T12:22:00Z"/>
        </w:rPr>
      </w:pPr>
      <w:del w:id="13270" w:author="AbbVie19" w:date="2025-04-16T12:22:00Z">
        <w:r w:rsidRPr="00BC0E7E">
          <w:delText>Very common (may affect more than 1 in 10 people)</w:delText>
        </w:r>
      </w:del>
    </w:p>
    <w:p w14:paraId="68A01310" w14:textId="77777777" w:rsidR="00BC0E7E" w:rsidRPr="00BC0E7E" w:rsidRDefault="00BC0E7E" w:rsidP="00BC0E7E">
      <w:pPr>
        <w:rPr>
          <w:del w:id="13271" w:author="AbbVie19" w:date="2025-04-16T12:22:00Z"/>
        </w:rPr>
      </w:pPr>
    </w:p>
    <w:p w14:paraId="60083A0E" w14:textId="77777777" w:rsidR="00BC0E7E" w:rsidRPr="00BC0E7E" w:rsidRDefault="00944B8F" w:rsidP="00BC0E7E">
      <w:pPr>
        <w:numPr>
          <w:ilvl w:val="0"/>
          <w:numId w:val="22"/>
        </w:numPr>
        <w:tabs>
          <w:tab w:val="clear" w:pos="562"/>
          <w:tab w:val="clear" w:pos="720"/>
          <w:tab w:val="num" w:pos="550"/>
        </w:tabs>
        <w:ind w:left="550" w:hanging="550"/>
        <w:rPr>
          <w:del w:id="13272" w:author="AbbVie19" w:date="2025-04-16T12:22:00Z"/>
        </w:rPr>
      </w:pPr>
      <w:del w:id="13273" w:author="AbbVie19" w:date="2025-04-16T12:22:00Z">
        <w:r w:rsidRPr="00BC0E7E">
          <w:delText>low blood measurements for white blood cells;</w:delText>
        </w:r>
      </w:del>
    </w:p>
    <w:p w14:paraId="36A824D8" w14:textId="77777777" w:rsidR="00BC0E7E" w:rsidRPr="00BC0E7E" w:rsidRDefault="00944B8F" w:rsidP="00BC0E7E">
      <w:pPr>
        <w:numPr>
          <w:ilvl w:val="0"/>
          <w:numId w:val="22"/>
        </w:numPr>
        <w:tabs>
          <w:tab w:val="clear" w:pos="562"/>
          <w:tab w:val="clear" w:pos="720"/>
          <w:tab w:val="num" w:pos="550"/>
        </w:tabs>
        <w:ind w:left="550" w:hanging="550"/>
        <w:rPr>
          <w:del w:id="13274" w:author="AbbVie19" w:date="2025-04-16T12:22:00Z"/>
        </w:rPr>
      </w:pPr>
      <w:del w:id="13275" w:author="AbbVie19" w:date="2025-04-16T12:22:00Z">
        <w:r w:rsidRPr="00BC0E7E">
          <w:delText>low blood measurements for red blood cells;</w:delText>
        </w:r>
      </w:del>
    </w:p>
    <w:p w14:paraId="6B9A52AD" w14:textId="77777777" w:rsidR="00BC0E7E" w:rsidRPr="00BC0E7E" w:rsidRDefault="00944B8F" w:rsidP="00BC0E7E">
      <w:pPr>
        <w:numPr>
          <w:ilvl w:val="0"/>
          <w:numId w:val="22"/>
        </w:numPr>
        <w:tabs>
          <w:tab w:val="clear" w:pos="562"/>
          <w:tab w:val="clear" w:pos="720"/>
          <w:tab w:val="num" w:pos="550"/>
        </w:tabs>
        <w:ind w:left="550" w:hanging="550"/>
        <w:rPr>
          <w:del w:id="13276" w:author="AbbVie19" w:date="2025-04-16T12:22:00Z"/>
        </w:rPr>
      </w:pPr>
      <w:del w:id="13277" w:author="AbbVie19" w:date="2025-04-16T12:22:00Z">
        <w:r w:rsidRPr="00BC0E7E">
          <w:delText>increased lipids in the blood;</w:delText>
        </w:r>
      </w:del>
    </w:p>
    <w:p w14:paraId="1A629962" w14:textId="77777777" w:rsidR="00BC0E7E" w:rsidRPr="00BC0E7E" w:rsidRDefault="00944B8F" w:rsidP="00BC0E7E">
      <w:pPr>
        <w:numPr>
          <w:ilvl w:val="0"/>
          <w:numId w:val="22"/>
        </w:numPr>
        <w:tabs>
          <w:tab w:val="clear" w:pos="562"/>
          <w:tab w:val="clear" w:pos="720"/>
          <w:tab w:val="num" w:pos="550"/>
        </w:tabs>
        <w:ind w:left="550" w:hanging="550"/>
        <w:rPr>
          <w:del w:id="13278" w:author="AbbVie19" w:date="2025-04-16T12:22:00Z"/>
        </w:rPr>
      </w:pPr>
      <w:del w:id="13279" w:author="AbbVie19" w:date="2025-04-16T12:22:00Z">
        <w:r w:rsidRPr="00BC0E7E">
          <w:delText>elevated liver enzymes.</w:delText>
        </w:r>
      </w:del>
    </w:p>
    <w:p w14:paraId="53A2F2AE" w14:textId="77777777" w:rsidR="00BC0E7E" w:rsidRPr="00BC0E7E" w:rsidRDefault="00BC0E7E" w:rsidP="00BC0E7E">
      <w:pPr>
        <w:tabs>
          <w:tab w:val="clear" w:pos="562"/>
        </w:tabs>
        <w:rPr>
          <w:del w:id="13280" w:author="AbbVie19" w:date="2025-04-16T12:22:00Z"/>
        </w:rPr>
      </w:pPr>
    </w:p>
    <w:p w14:paraId="2D44F240" w14:textId="77777777" w:rsidR="00BC0E7E" w:rsidRPr="00BC0E7E" w:rsidRDefault="00944B8F" w:rsidP="00BC0E7E">
      <w:pPr>
        <w:tabs>
          <w:tab w:val="clear" w:pos="562"/>
        </w:tabs>
        <w:rPr>
          <w:del w:id="13281" w:author="AbbVie19" w:date="2025-04-16T12:22:00Z"/>
        </w:rPr>
      </w:pPr>
      <w:del w:id="13282" w:author="AbbVie19" w:date="2025-04-16T12:22:00Z">
        <w:r w:rsidRPr="00BC0E7E">
          <w:delText>Common (may affect up to 1 in 10 people)</w:delText>
        </w:r>
      </w:del>
    </w:p>
    <w:p w14:paraId="490E5073" w14:textId="77777777" w:rsidR="00BC0E7E" w:rsidRPr="00BC0E7E" w:rsidRDefault="00BC0E7E" w:rsidP="00BC0E7E">
      <w:pPr>
        <w:tabs>
          <w:tab w:val="clear" w:pos="562"/>
        </w:tabs>
        <w:rPr>
          <w:del w:id="13283" w:author="AbbVie19" w:date="2025-04-16T12:22:00Z"/>
        </w:rPr>
      </w:pPr>
    </w:p>
    <w:p w14:paraId="45312564" w14:textId="77777777" w:rsidR="00BC0E7E" w:rsidRPr="00BC0E7E" w:rsidRDefault="00944B8F" w:rsidP="00BC0E7E">
      <w:pPr>
        <w:numPr>
          <w:ilvl w:val="0"/>
          <w:numId w:val="22"/>
        </w:numPr>
        <w:tabs>
          <w:tab w:val="clear" w:pos="562"/>
          <w:tab w:val="clear" w:pos="720"/>
          <w:tab w:val="num" w:pos="550"/>
        </w:tabs>
        <w:ind w:left="550" w:hanging="550"/>
        <w:rPr>
          <w:del w:id="13284" w:author="AbbVie19" w:date="2025-04-16T12:22:00Z"/>
        </w:rPr>
      </w:pPr>
      <w:del w:id="13285" w:author="AbbVie19" w:date="2025-04-16T12:22:00Z">
        <w:r w:rsidRPr="00BC0E7E">
          <w:delText xml:space="preserve">high blood measurements for white blood cells;  </w:delText>
        </w:r>
      </w:del>
    </w:p>
    <w:p w14:paraId="09745076" w14:textId="77777777" w:rsidR="00BC0E7E" w:rsidRPr="00BC0E7E" w:rsidRDefault="00944B8F" w:rsidP="00BC0E7E">
      <w:pPr>
        <w:numPr>
          <w:ilvl w:val="0"/>
          <w:numId w:val="22"/>
        </w:numPr>
        <w:tabs>
          <w:tab w:val="clear" w:pos="562"/>
          <w:tab w:val="clear" w:pos="720"/>
          <w:tab w:val="num" w:pos="550"/>
        </w:tabs>
        <w:ind w:left="550" w:hanging="550"/>
        <w:rPr>
          <w:del w:id="13286" w:author="AbbVie19" w:date="2025-04-16T12:22:00Z"/>
        </w:rPr>
      </w:pPr>
      <w:del w:id="13287" w:author="AbbVie19" w:date="2025-04-16T12:22:00Z">
        <w:r w:rsidRPr="00BC0E7E">
          <w:delText>low blood measurements for platelets;</w:delText>
        </w:r>
      </w:del>
    </w:p>
    <w:p w14:paraId="4E3F7E42" w14:textId="77777777" w:rsidR="00BC0E7E" w:rsidRPr="00BC0E7E" w:rsidRDefault="00944B8F" w:rsidP="00BC0E7E">
      <w:pPr>
        <w:numPr>
          <w:ilvl w:val="0"/>
          <w:numId w:val="22"/>
        </w:numPr>
        <w:tabs>
          <w:tab w:val="clear" w:pos="562"/>
          <w:tab w:val="clear" w:pos="720"/>
          <w:tab w:val="num" w:pos="550"/>
        </w:tabs>
        <w:ind w:left="550" w:hanging="550"/>
        <w:rPr>
          <w:del w:id="13288" w:author="AbbVie19" w:date="2025-04-16T12:22:00Z"/>
        </w:rPr>
      </w:pPr>
      <w:del w:id="13289" w:author="AbbVie19" w:date="2025-04-16T12:22:00Z">
        <w:r w:rsidRPr="00BC0E7E">
          <w:delText>increased uric acid in the blood;</w:delText>
        </w:r>
      </w:del>
    </w:p>
    <w:p w14:paraId="74DB7713" w14:textId="77777777" w:rsidR="00BC0E7E" w:rsidRPr="00BC0E7E" w:rsidRDefault="00944B8F" w:rsidP="00BC0E7E">
      <w:pPr>
        <w:numPr>
          <w:ilvl w:val="0"/>
          <w:numId w:val="22"/>
        </w:numPr>
        <w:tabs>
          <w:tab w:val="clear" w:pos="562"/>
          <w:tab w:val="clear" w:pos="720"/>
          <w:tab w:val="num" w:pos="550"/>
        </w:tabs>
        <w:ind w:left="550" w:hanging="550"/>
        <w:rPr>
          <w:del w:id="13290" w:author="AbbVie19" w:date="2025-04-16T12:22:00Z"/>
        </w:rPr>
      </w:pPr>
      <w:del w:id="13291" w:author="AbbVie19" w:date="2025-04-16T12:22:00Z">
        <w:r w:rsidRPr="00BC0E7E">
          <w:delText>abnormal blood measurements for sodium;</w:delText>
        </w:r>
      </w:del>
    </w:p>
    <w:p w14:paraId="22741096" w14:textId="77777777" w:rsidR="00BC0E7E" w:rsidRPr="00BC0E7E" w:rsidRDefault="00944B8F" w:rsidP="00BC0E7E">
      <w:pPr>
        <w:numPr>
          <w:ilvl w:val="0"/>
          <w:numId w:val="22"/>
        </w:numPr>
        <w:tabs>
          <w:tab w:val="clear" w:pos="562"/>
          <w:tab w:val="clear" w:pos="720"/>
          <w:tab w:val="num" w:pos="550"/>
        </w:tabs>
        <w:ind w:left="550" w:hanging="550"/>
        <w:rPr>
          <w:del w:id="13292" w:author="AbbVie19" w:date="2025-04-16T12:22:00Z"/>
        </w:rPr>
      </w:pPr>
      <w:del w:id="13293" w:author="AbbVie19" w:date="2025-04-16T12:22:00Z">
        <w:r w:rsidRPr="00BC0E7E">
          <w:delText>low blood measurements for calcium;</w:delText>
        </w:r>
      </w:del>
    </w:p>
    <w:p w14:paraId="59AD078F" w14:textId="77777777" w:rsidR="00BC0E7E" w:rsidRPr="00BC0E7E" w:rsidRDefault="00944B8F" w:rsidP="00BC0E7E">
      <w:pPr>
        <w:numPr>
          <w:ilvl w:val="0"/>
          <w:numId w:val="22"/>
        </w:numPr>
        <w:tabs>
          <w:tab w:val="clear" w:pos="562"/>
          <w:tab w:val="clear" w:pos="720"/>
          <w:tab w:val="num" w:pos="550"/>
        </w:tabs>
        <w:ind w:left="550" w:hanging="550"/>
        <w:rPr>
          <w:del w:id="13294" w:author="AbbVie19" w:date="2025-04-16T12:22:00Z"/>
        </w:rPr>
      </w:pPr>
      <w:del w:id="13295" w:author="AbbVie19" w:date="2025-04-16T12:22:00Z">
        <w:r w:rsidRPr="00BC0E7E">
          <w:lastRenderedPageBreak/>
          <w:delText>low blood measurements for phosphate;</w:delText>
        </w:r>
      </w:del>
    </w:p>
    <w:p w14:paraId="5E07D436" w14:textId="77777777" w:rsidR="00BC0E7E" w:rsidRPr="00BC0E7E" w:rsidRDefault="00944B8F" w:rsidP="00BC0E7E">
      <w:pPr>
        <w:numPr>
          <w:ilvl w:val="0"/>
          <w:numId w:val="22"/>
        </w:numPr>
        <w:tabs>
          <w:tab w:val="clear" w:pos="562"/>
          <w:tab w:val="clear" w:pos="720"/>
          <w:tab w:val="num" w:pos="550"/>
        </w:tabs>
        <w:ind w:left="550" w:hanging="550"/>
        <w:rPr>
          <w:del w:id="13296" w:author="AbbVie19" w:date="2025-04-16T12:22:00Z"/>
        </w:rPr>
      </w:pPr>
      <w:del w:id="13297" w:author="AbbVie19" w:date="2025-04-16T12:22:00Z">
        <w:r w:rsidRPr="00BC0E7E">
          <w:delText>high blood sugar;</w:delText>
        </w:r>
      </w:del>
    </w:p>
    <w:p w14:paraId="6D64FE98" w14:textId="77777777" w:rsidR="00BC0E7E" w:rsidRPr="00BC0E7E" w:rsidRDefault="00944B8F" w:rsidP="00BC0E7E">
      <w:pPr>
        <w:numPr>
          <w:ilvl w:val="0"/>
          <w:numId w:val="22"/>
        </w:numPr>
        <w:tabs>
          <w:tab w:val="clear" w:pos="562"/>
          <w:tab w:val="clear" w:pos="720"/>
          <w:tab w:val="num" w:pos="550"/>
        </w:tabs>
        <w:ind w:left="550" w:hanging="550"/>
        <w:rPr>
          <w:del w:id="13298" w:author="AbbVie19" w:date="2025-04-16T12:22:00Z"/>
        </w:rPr>
      </w:pPr>
      <w:del w:id="13299" w:author="AbbVie19" w:date="2025-04-16T12:22:00Z">
        <w:r w:rsidRPr="00BC0E7E">
          <w:delText>high blood measurements for lactate dehydrogenase;</w:delText>
        </w:r>
      </w:del>
    </w:p>
    <w:p w14:paraId="56880B66" w14:textId="77777777" w:rsidR="00F70A8D" w:rsidRDefault="00944B8F" w:rsidP="00BC0E7E">
      <w:pPr>
        <w:numPr>
          <w:ilvl w:val="0"/>
          <w:numId w:val="22"/>
        </w:numPr>
        <w:tabs>
          <w:tab w:val="clear" w:pos="562"/>
          <w:tab w:val="clear" w:pos="720"/>
          <w:tab w:val="num" w:pos="550"/>
        </w:tabs>
        <w:ind w:left="550" w:hanging="550"/>
        <w:rPr>
          <w:del w:id="13300" w:author="AbbVie19" w:date="2025-04-16T12:22:00Z"/>
        </w:rPr>
      </w:pPr>
      <w:del w:id="13301" w:author="AbbVie19" w:date="2025-04-16T12:22:00Z">
        <w:r w:rsidRPr="00BC0E7E">
          <w:delText>autoantibodies present in the blood</w:delText>
        </w:r>
        <w:r>
          <w:delText>;</w:delText>
        </w:r>
      </w:del>
    </w:p>
    <w:p w14:paraId="3C2A1D66" w14:textId="77777777" w:rsidR="00BC0E7E" w:rsidRPr="00BC0E7E" w:rsidRDefault="00944B8F" w:rsidP="00BC0E7E">
      <w:pPr>
        <w:numPr>
          <w:ilvl w:val="0"/>
          <w:numId w:val="22"/>
        </w:numPr>
        <w:tabs>
          <w:tab w:val="clear" w:pos="562"/>
          <w:tab w:val="clear" w:pos="720"/>
          <w:tab w:val="num" w:pos="550"/>
        </w:tabs>
        <w:ind w:left="550" w:hanging="550"/>
        <w:rPr>
          <w:del w:id="13302" w:author="AbbVie19" w:date="2025-04-16T12:22:00Z"/>
        </w:rPr>
      </w:pPr>
      <w:del w:id="13303" w:author="AbbVie19" w:date="2025-04-16T12:22:00Z">
        <w:r>
          <w:delText>low blood potassium</w:delText>
        </w:r>
        <w:r w:rsidRPr="00BC0E7E">
          <w:delText>.</w:delText>
        </w:r>
      </w:del>
    </w:p>
    <w:p w14:paraId="36B6A7A0" w14:textId="77777777" w:rsidR="00BC0E7E" w:rsidRDefault="00BC0E7E" w:rsidP="00BC0E7E">
      <w:pPr>
        <w:tabs>
          <w:tab w:val="clear" w:pos="562"/>
        </w:tabs>
        <w:rPr>
          <w:del w:id="13304" w:author="AbbVie19" w:date="2025-04-16T12:22:00Z"/>
        </w:rPr>
      </w:pPr>
    </w:p>
    <w:p w14:paraId="1849693D" w14:textId="77777777" w:rsidR="00F70A8D" w:rsidRDefault="00944B8F" w:rsidP="00F70A8D">
      <w:pPr>
        <w:rPr>
          <w:del w:id="13305" w:author="AbbVie19" w:date="2025-04-16T12:22:00Z"/>
        </w:rPr>
      </w:pPr>
      <w:del w:id="13306" w:author="AbbVie19" w:date="2025-04-16T12:22:00Z">
        <w:r w:rsidRPr="001B6DEE">
          <w:delText>Uncommon</w:delText>
        </w:r>
        <w:r>
          <w:delText xml:space="preserve"> (ma</w:delText>
        </w:r>
        <w:r w:rsidR="001C5296">
          <w:delText>y affect up to 1 in 100 people)</w:delText>
        </w:r>
      </w:del>
    </w:p>
    <w:p w14:paraId="535700E8" w14:textId="77777777" w:rsidR="00F70A8D" w:rsidRDefault="00F70A8D" w:rsidP="00F70A8D">
      <w:pPr>
        <w:rPr>
          <w:del w:id="13307" w:author="AbbVie19" w:date="2025-04-16T12:22:00Z"/>
        </w:rPr>
      </w:pPr>
    </w:p>
    <w:p w14:paraId="4BCAA384" w14:textId="77777777" w:rsidR="00F70A8D" w:rsidRPr="00D410D7" w:rsidRDefault="00944B8F" w:rsidP="000244DF">
      <w:pPr>
        <w:pStyle w:val="ListParagraph"/>
        <w:numPr>
          <w:ilvl w:val="0"/>
          <w:numId w:val="22"/>
        </w:numPr>
        <w:tabs>
          <w:tab w:val="clear" w:pos="562"/>
          <w:tab w:val="left" w:pos="540"/>
        </w:tabs>
        <w:ind w:hanging="720"/>
        <w:rPr>
          <w:del w:id="13308" w:author="AbbVie19" w:date="2025-04-16T12:22:00Z"/>
        </w:rPr>
      </w:pPr>
      <w:del w:id="13309" w:author="AbbVie19" w:date="2025-04-16T12:22:00Z">
        <w:r>
          <w:delText>e</w:delText>
        </w:r>
        <w:r w:rsidRPr="00D410D7">
          <w:delText>levated bilirubin measurement (liver blood test)</w:delText>
        </w:r>
        <w:r>
          <w:delText>.</w:delText>
        </w:r>
      </w:del>
    </w:p>
    <w:p w14:paraId="37EFD39F" w14:textId="77777777" w:rsidR="00F70A8D" w:rsidRPr="00BC0E7E" w:rsidRDefault="00F70A8D" w:rsidP="00BC0E7E">
      <w:pPr>
        <w:tabs>
          <w:tab w:val="clear" w:pos="562"/>
        </w:tabs>
        <w:rPr>
          <w:del w:id="13310" w:author="AbbVie19" w:date="2025-04-16T12:22:00Z"/>
        </w:rPr>
      </w:pPr>
    </w:p>
    <w:p w14:paraId="06965E58" w14:textId="77777777" w:rsidR="00BC0E7E" w:rsidRPr="00BC0E7E" w:rsidRDefault="00944B8F" w:rsidP="00BC0E7E">
      <w:pPr>
        <w:tabs>
          <w:tab w:val="clear" w:pos="562"/>
          <w:tab w:val="num" w:pos="550"/>
        </w:tabs>
        <w:ind w:left="550" w:hanging="550"/>
        <w:rPr>
          <w:del w:id="13311" w:author="AbbVie19" w:date="2025-04-16T12:22:00Z"/>
        </w:rPr>
      </w:pPr>
      <w:del w:id="13312" w:author="AbbVie19" w:date="2025-04-16T12:22:00Z">
        <w:r w:rsidRPr="00BC0E7E">
          <w:delText>Rare (may affect up to 1 in 1,000 people)</w:delText>
        </w:r>
      </w:del>
    </w:p>
    <w:p w14:paraId="51AE18CE" w14:textId="77777777" w:rsidR="00BC0E7E" w:rsidRPr="00BC0E7E" w:rsidRDefault="00BC0E7E" w:rsidP="00BC0E7E">
      <w:pPr>
        <w:tabs>
          <w:tab w:val="clear" w:pos="562"/>
        </w:tabs>
        <w:rPr>
          <w:del w:id="13313" w:author="AbbVie19" w:date="2025-04-16T12:22:00Z"/>
        </w:rPr>
      </w:pPr>
    </w:p>
    <w:p w14:paraId="1EFA7194" w14:textId="77777777" w:rsidR="00BC0E7E" w:rsidRPr="00BC0E7E" w:rsidRDefault="00944B8F" w:rsidP="00BC0E7E">
      <w:pPr>
        <w:numPr>
          <w:ilvl w:val="0"/>
          <w:numId w:val="22"/>
        </w:numPr>
        <w:tabs>
          <w:tab w:val="clear" w:pos="562"/>
          <w:tab w:val="clear" w:pos="720"/>
          <w:tab w:val="num" w:pos="550"/>
        </w:tabs>
        <w:ind w:left="550" w:hanging="550"/>
        <w:rPr>
          <w:del w:id="13314" w:author="AbbVie19" w:date="2025-04-16T12:22:00Z"/>
        </w:rPr>
      </w:pPr>
      <w:del w:id="13315" w:author="AbbVie19" w:date="2025-04-16T12:22:00Z">
        <w:r w:rsidRPr="00BC0E7E">
          <w:delText>low blood measurements for white blood cells, red blood cells and platelet count.</w:delText>
        </w:r>
      </w:del>
    </w:p>
    <w:p w14:paraId="08E3ECF9" w14:textId="77777777" w:rsidR="00BC0E7E" w:rsidRPr="00BC0E7E" w:rsidRDefault="00BC0E7E" w:rsidP="00BC0E7E">
      <w:pPr>
        <w:keepNext/>
        <w:tabs>
          <w:tab w:val="clear" w:pos="562"/>
        </w:tabs>
        <w:suppressAutoHyphens w:val="0"/>
        <w:autoSpaceDE w:val="0"/>
        <w:autoSpaceDN w:val="0"/>
        <w:adjustRightInd w:val="0"/>
        <w:spacing w:line="240" w:lineRule="atLeast"/>
        <w:rPr>
          <w:del w:id="13316" w:author="AbbVie19" w:date="2025-04-16T12:22:00Z"/>
          <w:lang w:eastAsia="de-DE"/>
        </w:rPr>
      </w:pPr>
    </w:p>
    <w:p w14:paraId="2B06B465" w14:textId="77777777" w:rsidR="00BC0E7E" w:rsidRPr="001B6DEE" w:rsidRDefault="00944B8F" w:rsidP="00BC0E7E">
      <w:pPr>
        <w:numPr>
          <w:ilvl w:val="12"/>
          <w:numId w:val="0"/>
        </w:numPr>
        <w:tabs>
          <w:tab w:val="clear" w:pos="562"/>
        </w:tabs>
        <w:ind w:right="-2"/>
        <w:rPr>
          <w:del w:id="13317" w:author="AbbVie19" w:date="2025-04-16T12:22:00Z"/>
          <w:b/>
        </w:rPr>
      </w:pPr>
      <w:del w:id="13318" w:author="AbbVie19" w:date="2025-04-16T12:22:00Z">
        <w:r w:rsidRPr="001B6DEE">
          <w:rPr>
            <w:b/>
          </w:rPr>
          <w:delText>Reporting of side effects</w:delText>
        </w:r>
      </w:del>
    </w:p>
    <w:p w14:paraId="3B43596A" w14:textId="77777777" w:rsidR="00BC0E7E" w:rsidRPr="00BC0E7E" w:rsidRDefault="00944B8F" w:rsidP="00BC0E7E">
      <w:pPr>
        <w:rPr>
          <w:del w:id="13319" w:author="AbbVie19" w:date="2025-04-16T12:22:00Z"/>
        </w:rPr>
      </w:pPr>
      <w:del w:id="13320" w:author="AbbVie19" w:date="2025-04-16T12:22:00Z">
        <w:r w:rsidRPr="00BC0E7E">
          <w:rPr>
            <w:szCs w:val="22"/>
            <w:lang w:eastAsia="en-GB"/>
          </w:rPr>
          <w:delText>If you get any side effects, talk to your doctor or pharmacist. This includes any possible side effects not listed in this leaflet.</w:delText>
        </w:r>
        <w:r w:rsidR="00287A7B">
          <w:rPr>
            <w:szCs w:val="22"/>
            <w:lang w:eastAsia="en-GB"/>
          </w:rPr>
          <w:delText xml:space="preserve"> </w:delText>
        </w:r>
        <w:r w:rsidRPr="00BC0E7E">
          <w:delText xml:space="preserve">You can also report side effects directly via </w:delText>
        </w:r>
        <w:r w:rsidRPr="00BC0E7E">
          <w:rPr>
            <w:highlight w:val="lightGray"/>
          </w:rPr>
          <w:delText xml:space="preserve">the national reporting system listed in </w:delText>
        </w:r>
        <w:r>
          <w:fldChar w:fldCharType="begin"/>
        </w:r>
        <w:r>
          <w:delInstrText>HYPERLINK "http://www.ema.europa.eu/docs/en_GB/document_library/Template_or_form/2013/03/WC500139752.doc"</w:delInstrText>
        </w:r>
        <w:r>
          <w:fldChar w:fldCharType="separate"/>
        </w:r>
        <w:r>
          <w:fldChar w:fldCharType="begin"/>
        </w:r>
        <w:r>
          <w:delInstrText>HYPERLINK "http://www.ema.europa.eu/docs/en_GB/document_library/Template_or_form/2013/03/WC500139752.doc"</w:delInstrText>
        </w:r>
        <w:r>
          <w:fldChar w:fldCharType="separate"/>
        </w:r>
        <w:r w:rsidRPr="00BC0E7E">
          <w:rPr>
            <w:color w:val="0000FF"/>
            <w:szCs w:val="22"/>
            <w:highlight w:val="lightGray"/>
            <w:u w:val="single"/>
          </w:rPr>
          <w:delText>Appendix V</w:delText>
        </w:r>
        <w:r>
          <w:fldChar w:fldCharType="end"/>
        </w:r>
        <w:r>
          <w:fldChar w:fldCharType="end"/>
        </w:r>
        <w:r w:rsidRPr="00BC0E7E">
          <w:rPr>
            <w:highlight w:val="lightGray"/>
          </w:rPr>
          <w:delText>.</w:delText>
        </w:r>
        <w:r w:rsidRPr="00BC0E7E">
          <w:delText xml:space="preserve"> By reporting side effects, you can help provide more information on the safety of this medicine. </w:delText>
        </w:r>
      </w:del>
    </w:p>
    <w:p w14:paraId="21C9FF5E" w14:textId="77777777" w:rsidR="00BC0E7E" w:rsidRPr="00BC0E7E" w:rsidRDefault="00BC0E7E" w:rsidP="00BC0E7E">
      <w:pPr>
        <w:rPr>
          <w:del w:id="13321" w:author="AbbVie19" w:date="2025-04-16T12:22:00Z"/>
        </w:rPr>
      </w:pPr>
    </w:p>
    <w:p w14:paraId="5D56740A" w14:textId="77777777" w:rsidR="00BC0E7E" w:rsidRPr="00BC0E7E" w:rsidRDefault="00BC0E7E" w:rsidP="00BC0E7E">
      <w:pPr>
        <w:rPr>
          <w:del w:id="13322" w:author="AbbVie19" w:date="2025-04-16T12:22:00Z"/>
        </w:rPr>
      </w:pPr>
    </w:p>
    <w:p w14:paraId="58AE9AFE" w14:textId="77777777" w:rsidR="00BC0E7E" w:rsidRPr="001C5296" w:rsidRDefault="00944B8F" w:rsidP="00BC0E7E">
      <w:pPr>
        <w:outlineLvl w:val="0"/>
        <w:rPr>
          <w:del w:id="13323" w:author="AbbVie19" w:date="2025-04-16T12:22:00Z"/>
          <w:rFonts w:ascii="Times New Roman Bold" w:hAnsi="Times New Roman Bold"/>
          <w:szCs w:val="20"/>
        </w:rPr>
      </w:pPr>
      <w:del w:id="13324" w:author="AbbVie19" w:date="2025-04-16T12:22:00Z">
        <w:r w:rsidRPr="00BC0E7E">
          <w:rPr>
            <w:b/>
            <w:caps/>
            <w:szCs w:val="20"/>
          </w:rPr>
          <w:delText>5.</w:delText>
        </w:r>
        <w:r w:rsidRPr="00BC0E7E">
          <w:rPr>
            <w:b/>
            <w:caps/>
            <w:szCs w:val="20"/>
          </w:rPr>
          <w:tab/>
          <w:delText>H</w:delText>
        </w:r>
        <w:r w:rsidRPr="00BC0E7E">
          <w:rPr>
            <w:rFonts w:ascii="Times New Roman Bold" w:hAnsi="Times New Roman Bold"/>
            <w:b/>
            <w:szCs w:val="20"/>
          </w:rPr>
          <w:delText>ow to store Humira</w:delText>
        </w:r>
      </w:del>
    </w:p>
    <w:p w14:paraId="3D7CE9AD" w14:textId="77777777" w:rsidR="00BC0E7E" w:rsidRPr="00BC0E7E" w:rsidRDefault="00BC0E7E" w:rsidP="00BC0E7E">
      <w:pPr>
        <w:rPr>
          <w:del w:id="13325" w:author="AbbVie19" w:date="2025-04-16T12:22:00Z"/>
          <w:szCs w:val="20"/>
        </w:rPr>
      </w:pPr>
    </w:p>
    <w:p w14:paraId="7C1D5ECC" w14:textId="77777777" w:rsidR="00BC0E7E" w:rsidRPr="00BC0E7E" w:rsidRDefault="00944B8F" w:rsidP="00BC0E7E">
      <w:pPr>
        <w:numPr>
          <w:ilvl w:val="12"/>
          <w:numId w:val="0"/>
        </w:numPr>
        <w:tabs>
          <w:tab w:val="clear" w:pos="562"/>
        </w:tabs>
        <w:ind w:right="-2"/>
        <w:rPr>
          <w:del w:id="13326" w:author="AbbVie19" w:date="2025-04-16T12:22:00Z"/>
        </w:rPr>
      </w:pPr>
      <w:del w:id="13327" w:author="AbbVie19" w:date="2025-04-16T12:22:00Z">
        <w:r w:rsidRPr="00BC0E7E">
          <w:delText>Keep this medicine out of t</w:delText>
        </w:r>
        <w:r w:rsidR="001C5296">
          <w:delText>he sight and reach of children.</w:delText>
        </w:r>
      </w:del>
    </w:p>
    <w:p w14:paraId="0DCAA6DB" w14:textId="77777777" w:rsidR="00BC0E7E" w:rsidRPr="00BC0E7E" w:rsidRDefault="00BC0E7E" w:rsidP="00BC0E7E">
      <w:pPr>
        <w:numPr>
          <w:ilvl w:val="12"/>
          <w:numId w:val="0"/>
        </w:numPr>
        <w:tabs>
          <w:tab w:val="clear" w:pos="562"/>
        </w:tabs>
        <w:ind w:right="-2"/>
        <w:rPr>
          <w:del w:id="13328" w:author="AbbVie19" w:date="2025-04-16T12:22:00Z"/>
        </w:rPr>
      </w:pPr>
    </w:p>
    <w:p w14:paraId="326FE505" w14:textId="77777777" w:rsidR="00BC0E7E" w:rsidRPr="00BC0E7E" w:rsidRDefault="00944B8F" w:rsidP="00BC0E7E">
      <w:pPr>
        <w:numPr>
          <w:ilvl w:val="12"/>
          <w:numId w:val="0"/>
        </w:numPr>
        <w:tabs>
          <w:tab w:val="clear" w:pos="562"/>
        </w:tabs>
        <w:ind w:right="-2"/>
        <w:rPr>
          <w:del w:id="13329" w:author="AbbVie19" w:date="2025-04-16T12:22:00Z"/>
        </w:rPr>
      </w:pPr>
      <w:del w:id="13330" w:author="AbbVie19" w:date="2025-04-16T12:22:00Z">
        <w:r w:rsidRPr="00BC0E7E">
          <w:delText xml:space="preserve">Do not use this medicine after the expiry date stated on the </w:delText>
        </w:r>
        <w:r w:rsidR="001C5296">
          <w:delText>label/blister/carton after EXP.</w:delText>
        </w:r>
      </w:del>
    </w:p>
    <w:p w14:paraId="09B1B2E8" w14:textId="77777777" w:rsidR="00BC0E7E" w:rsidRPr="00BC0E7E" w:rsidRDefault="00BC0E7E" w:rsidP="00BC0E7E">
      <w:pPr>
        <w:numPr>
          <w:ilvl w:val="12"/>
          <w:numId w:val="0"/>
        </w:numPr>
        <w:ind w:right="-2"/>
        <w:rPr>
          <w:del w:id="13331" w:author="AbbVie19" w:date="2025-04-16T12:22:00Z"/>
        </w:rPr>
      </w:pPr>
    </w:p>
    <w:p w14:paraId="012929B4" w14:textId="77777777" w:rsidR="00BC0E7E" w:rsidRPr="00BC0E7E" w:rsidRDefault="00944B8F" w:rsidP="00BC0E7E">
      <w:pPr>
        <w:numPr>
          <w:ilvl w:val="12"/>
          <w:numId w:val="0"/>
        </w:numPr>
        <w:ind w:right="-2"/>
        <w:rPr>
          <w:del w:id="13332" w:author="AbbVie19" w:date="2025-04-16T12:22:00Z"/>
        </w:rPr>
      </w:pPr>
      <w:del w:id="13333" w:author="AbbVie19" w:date="2025-04-16T12:22:00Z">
        <w:r w:rsidRPr="00BC0E7E">
          <w:delText>Store in a refrigerator (2</w:delText>
        </w:r>
        <w:r w:rsidRPr="00BC0E7E">
          <w:rPr>
            <w:rFonts w:ascii="Symbol" w:eastAsia="Symbol" w:hAnsi="Symbol" w:cs="Symbol"/>
            <w:szCs w:val="22"/>
          </w:rPr>
          <w:sym w:font="Symbol" w:char="F0B0"/>
        </w:r>
        <w:r w:rsidRPr="00BC0E7E">
          <w:delText>C – 8</w:delText>
        </w:r>
        <w:r w:rsidRPr="00BC0E7E">
          <w:rPr>
            <w:rFonts w:ascii="Symbol" w:eastAsia="Symbol" w:hAnsi="Symbol" w:cs="Symbol"/>
            <w:szCs w:val="22"/>
          </w:rPr>
          <w:sym w:font="Symbol" w:char="F0B0"/>
        </w:r>
        <w:r w:rsidR="001C5296">
          <w:delText>C). Do not freeze.</w:delText>
        </w:r>
      </w:del>
    </w:p>
    <w:p w14:paraId="23319371" w14:textId="77777777" w:rsidR="00BC0E7E" w:rsidRPr="00BC0E7E" w:rsidRDefault="00BC0E7E" w:rsidP="00BC0E7E">
      <w:pPr>
        <w:numPr>
          <w:ilvl w:val="12"/>
          <w:numId w:val="0"/>
        </w:numPr>
        <w:ind w:right="-2"/>
        <w:rPr>
          <w:del w:id="13334" w:author="AbbVie19" w:date="2025-04-16T12:22:00Z"/>
        </w:rPr>
      </w:pPr>
    </w:p>
    <w:p w14:paraId="3FF2209B" w14:textId="77777777" w:rsidR="00BC0E7E" w:rsidRPr="00BC0E7E" w:rsidRDefault="00944B8F" w:rsidP="00BC0E7E">
      <w:pPr>
        <w:numPr>
          <w:ilvl w:val="12"/>
          <w:numId w:val="0"/>
        </w:numPr>
        <w:tabs>
          <w:tab w:val="clear" w:pos="562"/>
        </w:tabs>
        <w:ind w:right="-2"/>
        <w:rPr>
          <w:del w:id="13335" w:author="AbbVie19" w:date="2025-04-16T12:22:00Z"/>
        </w:rPr>
      </w:pPr>
      <w:del w:id="13336" w:author="AbbVie19" w:date="2025-04-16T12:22:00Z">
        <w:r w:rsidRPr="00BC0E7E">
          <w:delText>Keep the pre-filled pen in the outer carton i</w:delText>
        </w:r>
        <w:r w:rsidR="001C5296">
          <w:delText>n order to protect from light.</w:delText>
        </w:r>
      </w:del>
    </w:p>
    <w:p w14:paraId="46D9B562" w14:textId="77777777" w:rsidR="00BC0E7E" w:rsidRPr="00BC0E7E" w:rsidRDefault="00BC0E7E" w:rsidP="00BC0E7E">
      <w:pPr>
        <w:numPr>
          <w:ilvl w:val="12"/>
          <w:numId w:val="0"/>
        </w:numPr>
        <w:tabs>
          <w:tab w:val="clear" w:pos="562"/>
        </w:tabs>
        <w:ind w:right="-2"/>
        <w:rPr>
          <w:del w:id="13337" w:author="AbbVie19" w:date="2025-04-16T12:22:00Z"/>
        </w:rPr>
      </w:pPr>
    </w:p>
    <w:p w14:paraId="2910554F" w14:textId="77777777" w:rsidR="00BC0E7E" w:rsidRPr="00BC0E7E" w:rsidRDefault="00944B8F" w:rsidP="00BC0E7E">
      <w:pPr>
        <w:keepNext/>
        <w:tabs>
          <w:tab w:val="clear" w:pos="562"/>
        </w:tabs>
        <w:suppressAutoHyphens w:val="0"/>
        <w:autoSpaceDE w:val="0"/>
        <w:autoSpaceDN w:val="0"/>
        <w:adjustRightInd w:val="0"/>
        <w:rPr>
          <w:del w:id="13338" w:author="AbbVie19" w:date="2025-04-16T12:22:00Z"/>
          <w:szCs w:val="22"/>
          <w:lang w:eastAsia="en-GB"/>
        </w:rPr>
      </w:pPr>
      <w:del w:id="13339" w:author="AbbVie19" w:date="2025-04-16T12:22:00Z">
        <w:r w:rsidRPr="00BC0E7E">
          <w:rPr>
            <w:szCs w:val="22"/>
            <w:lang w:eastAsia="en-GB"/>
          </w:rPr>
          <w:delText>Alternative Storage:</w:delText>
        </w:r>
      </w:del>
    </w:p>
    <w:p w14:paraId="72A56FF8" w14:textId="77777777" w:rsidR="00BC0E7E" w:rsidRPr="00BC0E7E" w:rsidRDefault="00BC0E7E" w:rsidP="00BC0E7E">
      <w:pPr>
        <w:keepNext/>
        <w:tabs>
          <w:tab w:val="clear" w:pos="562"/>
        </w:tabs>
        <w:suppressAutoHyphens w:val="0"/>
        <w:autoSpaceDE w:val="0"/>
        <w:autoSpaceDN w:val="0"/>
        <w:adjustRightInd w:val="0"/>
        <w:rPr>
          <w:del w:id="13340" w:author="AbbVie19" w:date="2025-04-16T12:22:00Z"/>
          <w:szCs w:val="22"/>
          <w:lang w:eastAsia="en-GB"/>
        </w:rPr>
      </w:pPr>
    </w:p>
    <w:p w14:paraId="4FC566BE" w14:textId="77777777" w:rsidR="00BC0E7E" w:rsidRPr="00BC0E7E" w:rsidRDefault="00944B8F" w:rsidP="00BC0E7E">
      <w:pPr>
        <w:keepNext/>
        <w:tabs>
          <w:tab w:val="clear" w:pos="562"/>
        </w:tabs>
        <w:suppressAutoHyphens w:val="0"/>
        <w:autoSpaceDE w:val="0"/>
        <w:autoSpaceDN w:val="0"/>
        <w:adjustRightInd w:val="0"/>
        <w:rPr>
          <w:del w:id="13341" w:author="AbbVie19" w:date="2025-04-16T12:22:00Z"/>
          <w:szCs w:val="22"/>
          <w:lang w:eastAsia="en-GB"/>
        </w:rPr>
      </w:pPr>
      <w:del w:id="13342" w:author="AbbVie19" w:date="2025-04-16T12:22:00Z">
        <w:r w:rsidRPr="00BC0E7E">
          <w:rPr>
            <w:szCs w:val="22"/>
            <w:lang w:eastAsia="en-GB"/>
          </w:rPr>
          <w:delText xml:space="preserve">When needed (for example when you are travelling), a single Humira pre-filled pen may be stored at room temperature (up to 25°C) for a maximum period of 14 days – be sure to protect it from light. Once removed from the refrigerator for room temperature storage, the pen </w:delText>
        </w:r>
        <w:r w:rsidRPr="00BC0E7E">
          <w:rPr>
            <w:b/>
            <w:szCs w:val="22"/>
            <w:lang w:eastAsia="en-GB"/>
          </w:rPr>
          <w:delText>must be used within 14 days</w:delText>
        </w:r>
        <w:r w:rsidRPr="00BC0E7E">
          <w:rPr>
            <w:szCs w:val="22"/>
            <w:lang w:eastAsia="en-GB"/>
          </w:rPr>
          <w:delText xml:space="preserve"> </w:delText>
        </w:r>
        <w:r w:rsidRPr="00BC0E7E">
          <w:rPr>
            <w:b/>
            <w:bCs/>
            <w:szCs w:val="22"/>
            <w:lang w:eastAsia="en-GB"/>
          </w:rPr>
          <w:delText>or discarded</w:delText>
        </w:r>
        <w:r w:rsidRPr="00BC0E7E">
          <w:rPr>
            <w:bCs/>
            <w:szCs w:val="22"/>
            <w:lang w:eastAsia="en-GB"/>
          </w:rPr>
          <w:delText>, even if it is returned to the refrigerator</w:delText>
        </w:r>
        <w:r w:rsidRPr="00BC0E7E">
          <w:rPr>
            <w:szCs w:val="22"/>
            <w:lang w:eastAsia="en-GB"/>
          </w:rPr>
          <w:delText xml:space="preserve">.  </w:delText>
        </w:r>
      </w:del>
    </w:p>
    <w:p w14:paraId="6303655B" w14:textId="77777777" w:rsidR="00BC0E7E" w:rsidRPr="00BC0E7E" w:rsidRDefault="00BC0E7E" w:rsidP="00BC0E7E">
      <w:pPr>
        <w:tabs>
          <w:tab w:val="clear" w:pos="562"/>
        </w:tabs>
        <w:suppressAutoHyphens w:val="0"/>
        <w:autoSpaceDE w:val="0"/>
        <w:autoSpaceDN w:val="0"/>
        <w:adjustRightInd w:val="0"/>
        <w:rPr>
          <w:del w:id="13343" w:author="AbbVie19" w:date="2025-04-16T12:22:00Z"/>
          <w:szCs w:val="22"/>
          <w:lang w:eastAsia="en-GB"/>
        </w:rPr>
      </w:pPr>
    </w:p>
    <w:p w14:paraId="14544833" w14:textId="77777777" w:rsidR="00BC0E7E" w:rsidRPr="00BC0E7E" w:rsidRDefault="00944B8F" w:rsidP="00BC0E7E">
      <w:pPr>
        <w:tabs>
          <w:tab w:val="clear" w:pos="562"/>
        </w:tabs>
        <w:suppressAutoHyphens w:val="0"/>
        <w:autoSpaceDE w:val="0"/>
        <w:autoSpaceDN w:val="0"/>
        <w:adjustRightInd w:val="0"/>
        <w:rPr>
          <w:del w:id="13344" w:author="AbbVie19" w:date="2025-04-16T12:22:00Z"/>
          <w:szCs w:val="22"/>
          <w:lang w:eastAsia="en-GB"/>
        </w:rPr>
      </w:pPr>
      <w:del w:id="13345" w:author="AbbVie19" w:date="2025-04-16T12:22:00Z">
        <w:r w:rsidRPr="00BC0E7E">
          <w:rPr>
            <w:szCs w:val="22"/>
            <w:lang w:eastAsia="en-GB"/>
          </w:rPr>
          <w:delText>You should record the date when the pen is first removed from refrigerator and the date after which it should be discarded.</w:delText>
        </w:r>
      </w:del>
    </w:p>
    <w:p w14:paraId="006294D6" w14:textId="77777777" w:rsidR="00BC0E7E" w:rsidRPr="00BC0E7E" w:rsidRDefault="00BC0E7E" w:rsidP="00BC0E7E">
      <w:pPr>
        <w:tabs>
          <w:tab w:val="clear" w:pos="562"/>
        </w:tabs>
        <w:suppressAutoHyphens w:val="0"/>
        <w:autoSpaceDE w:val="0"/>
        <w:autoSpaceDN w:val="0"/>
        <w:adjustRightInd w:val="0"/>
        <w:rPr>
          <w:del w:id="13346" w:author="AbbVie19" w:date="2025-04-16T12:22:00Z"/>
        </w:rPr>
      </w:pPr>
    </w:p>
    <w:p w14:paraId="60F49415" w14:textId="77777777" w:rsidR="00BC0E7E" w:rsidRPr="00BC0E7E" w:rsidRDefault="00944B8F" w:rsidP="00BC0E7E">
      <w:pPr>
        <w:tabs>
          <w:tab w:val="clear" w:pos="562"/>
        </w:tabs>
        <w:suppressAutoHyphens w:val="0"/>
        <w:autoSpaceDE w:val="0"/>
        <w:autoSpaceDN w:val="0"/>
        <w:adjustRightInd w:val="0"/>
        <w:rPr>
          <w:del w:id="13347" w:author="AbbVie19" w:date="2025-04-16T12:22:00Z"/>
          <w:b/>
          <w:caps/>
        </w:rPr>
      </w:pPr>
      <w:del w:id="13348" w:author="AbbVie19" w:date="2025-04-16T12:22:00Z">
        <w:r w:rsidRPr="00BC0E7E">
          <w:rPr>
            <w:szCs w:val="22"/>
            <w:lang w:eastAsia="en-GB"/>
          </w:rPr>
          <w:delText>Do not throw away any medicines via wastewater or household waste. Ask your doctor or pharmacist how to throw away medicines you no longer use. These measures will help protect the environment.</w:delText>
        </w:r>
      </w:del>
    </w:p>
    <w:p w14:paraId="21E1C844" w14:textId="77777777" w:rsidR="00BC0E7E" w:rsidRPr="00BC0E7E" w:rsidRDefault="00BC0E7E" w:rsidP="00BC0E7E">
      <w:pPr>
        <w:rPr>
          <w:del w:id="13349" w:author="AbbVie19" w:date="2025-04-16T12:22:00Z"/>
          <w:szCs w:val="20"/>
        </w:rPr>
      </w:pPr>
    </w:p>
    <w:p w14:paraId="6DCCAA5F" w14:textId="77777777" w:rsidR="00BC0E7E" w:rsidRPr="00BC0E7E" w:rsidRDefault="00BC0E7E" w:rsidP="00BC0E7E">
      <w:pPr>
        <w:rPr>
          <w:del w:id="13350" w:author="AbbVie19" w:date="2025-04-16T12:22:00Z"/>
          <w:szCs w:val="20"/>
        </w:rPr>
      </w:pPr>
    </w:p>
    <w:p w14:paraId="5FB0FE43" w14:textId="77777777" w:rsidR="00BC0E7E" w:rsidRPr="00BC0E7E" w:rsidRDefault="00944B8F" w:rsidP="00BC0E7E">
      <w:pPr>
        <w:outlineLvl w:val="0"/>
        <w:rPr>
          <w:del w:id="13351" w:author="AbbVie19" w:date="2025-04-16T12:22:00Z"/>
          <w:rFonts w:ascii="Times New Roman Bold" w:hAnsi="Times New Roman Bold"/>
          <w:b/>
          <w:szCs w:val="20"/>
        </w:rPr>
      </w:pPr>
      <w:del w:id="13352" w:author="AbbVie19" w:date="2025-04-16T12:22:00Z">
        <w:r w:rsidRPr="00BC0E7E">
          <w:rPr>
            <w:b/>
            <w:caps/>
            <w:szCs w:val="20"/>
          </w:rPr>
          <w:delText>6.</w:delText>
        </w:r>
        <w:r w:rsidRPr="00BC0E7E">
          <w:rPr>
            <w:b/>
            <w:caps/>
            <w:szCs w:val="20"/>
          </w:rPr>
          <w:tab/>
        </w:r>
        <w:r w:rsidRPr="00BC0E7E">
          <w:rPr>
            <w:rFonts w:ascii="Times New Roman Bold" w:hAnsi="Times New Roman Bold"/>
            <w:b/>
            <w:szCs w:val="20"/>
          </w:rPr>
          <w:delText>Contents of the pack and other information</w:delText>
        </w:r>
      </w:del>
    </w:p>
    <w:p w14:paraId="24174501" w14:textId="77777777" w:rsidR="00BC0E7E" w:rsidRPr="00BC0E7E" w:rsidRDefault="00BC0E7E" w:rsidP="00BC0E7E">
      <w:pPr>
        <w:rPr>
          <w:del w:id="13353" w:author="AbbVie19" w:date="2025-04-16T12:22:00Z"/>
        </w:rPr>
      </w:pPr>
    </w:p>
    <w:p w14:paraId="2BBF0A16" w14:textId="77777777" w:rsidR="00BC0E7E" w:rsidRPr="00BC0E7E" w:rsidRDefault="00944B8F" w:rsidP="00BC0E7E">
      <w:pPr>
        <w:numPr>
          <w:ilvl w:val="12"/>
          <w:numId w:val="0"/>
        </w:numPr>
        <w:ind w:right="-2"/>
        <w:rPr>
          <w:del w:id="13354" w:author="AbbVie19" w:date="2025-04-16T12:22:00Z"/>
          <w:szCs w:val="22"/>
        </w:rPr>
      </w:pPr>
      <w:del w:id="13355" w:author="AbbVie19" w:date="2025-04-16T12:22:00Z">
        <w:r w:rsidRPr="00BC0E7E">
          <w:rPr>
            <w:b/>
          </w:rPr>
          <w:delText>What Humira contains</w:delText>
        </w:r>
      </w:del>
    </w:p>
    <w:p w14:paraId="5AF2B5D9" w14:textId="77777777" w:rsidR="00BC0E7E" w:rsidRPr="00BC0E7E" w:rsidRDefault="00BC0E7E" w:rsidP="00BC0E7E">
      <w:pPr>
        <w:rPr>
          <w:del w:id="13356" w:author="AbbVie19" w:date="2025-04-16T12:22:00Z"/>
          <w:szCs w:val="22"/>
        </w:rPr>
      </w:pPr>
    </w:p>
    <w:p w14:paraId="2C372717" w14:textId="77777777" w:rsidR="00BC0E7E" w:rsidRPr="00BC0E7E" w:rsidRDefault="00944B8F" w:rsidP="00BC0E7E">
      <w:pPr>
        <w:numPr>
          <w:ilvl w:val="12"/>
          <w:numId w:val="0"/>
        </w:numPr>
        <w:ind w:right="-2"/>
        <w:rPr>
          <w:del w:id="13357" w:author="AbbVie19" w:date="2025-04-16T12:22:00Z"/>
          <w:szCs w:val="22"/>
        </w:rPr>
      </w:pPr>
      <w:del w:id="13358" w:author="AbbVie19" w:date="2025-04-16T12:22:00Z">
        <w:r w:rsidRPr="00BC0E7E">
          <w:rPr>
            <w:szCs w:val="22"/>
          </w:rPr>
          <w:delText>The active substance is adalimumab.</w:delText>
        </w:r>
      </w:del>
    </w:p>
    <w:p w14:paraId="5AE36E5A" w14:textId="77777777" w:rsidR="00BC0E7E" w:rsidRPr="00BC0E7E" w:rsidRDefault="00944B8F" w:rsidP="00BC0E7E">
      <w:pPr>
        <w:numPr>
          <w:ilvl w:val="12"/>
          <w:numId w:val="0"/>
        </w:numPr>
        <w:ind w:right="-2"/>
        <w:rPr>
          <w:del w:id="13359" w:author="AbbVie19" w:date="2025-04-16T12:22:00Z"/>
          <w:szCs w:val="22"/>
        </w:rPr>
      </w:pPr>
      <w:del w:id="13360" w:author="AbbVie19" w:date="2025-04-16T12:22:00Z">
        <w:r w:rsidRPr="00BC0E7E">
          <w:rPr>
            <w:szCs w:val="22"/>
          </w:rPr>
          <w:delText>The other ingredients are mannitol, citric acid monohydrate, sodium citrate, sodium dihydrogen phosphate dihydrate, disodium phosphate dihydrate, sodium chloride, polysorbate 80, sodium hydroxide and water for injections.</w:delText>
        </w:r>
      </w:del>
    </w:p>
    <w:p w14:paraId="620D5A18" w14:textId="77777777" w:rsidR="00BC0E7E" w:rsidRPr="00BC0E7E" w:rsidRDefault="00BC0E7E" w:rsidP="00BC0E7E">
      <w:pPr>
        <w:numPr>
          <w:ilvl w:val="12"/>
          <w:numId w:val="0"/>
        </w:numPr>
        <w:ind w:right="-2"/>
        <w:rPr>
          <w:del w:id="13361" w:author="AbbVie19" w:date="2025-04-16T12:22:00Z"/>
          <w:szCs w:val="22"/>
        </w:rPr>
      </w:pPr>
    </w:p>
    <w:p w14:paraId="35463E09" w14:textId="77777777" w:rsidR="00BC0E7E" w:rsidRPr="00BC0E7E" w:rsidRDefault="00944B8F" w:rsidP="00BC0E7E">
      <w:pPr>
        <w:numPr>
          <w:ilvl w:val="12"/>
          <w:numId w:val="0"/>
        </w:numPr>
        <w:ind w:right="-2"/>
        <w:rPr>
          <w:del w:id="13362" w:author="AbbVie19" w:date="2025-04-16T12:22:00Z"/>
          <w:szCs w:val="22"/>
        </w:rPr>
      </w:pPr>
      <w:del w:id="13363" w:author="AbbVie19" w:date="2025-04-16T12:22:00Z">
        <w:r w:rsidRPr="00BC0E7E">
          <w:rPr>
            <w:b/>
          </w:rPr>
          <w:delText>What the Humira pre-filled pen looks like and contents of the pack</w:delText>
        </w:r>
      </w:del>
    </w:p>
    <w:p w14:paraId="62C6A7A6" w14:textId="77777777" w:rsidR="00BC0E7E" w:rsidRPr="00BC0E7E" w:rsidRDefault="00BC0E7E" w:rsidP="00BC0E7E">
      <w:pPr>
        <w:keepNext/>
        <w:numPr>
          <w:ilvl w:val="12"/>
          <w:numId w:val="0"/>
        </w:numPr>
        <w:ind w:right="-2"/>
        <w:rPr>
          <w:del w:id="13364" w:author="AbbVie19" w:date="2025-04-16T12:22:00Z"/>
          <w:szCs w:val="22"/>
        </w:rPr>
      </w:pPr>
    </w:p>
    <w:p w14:paraId="7A1A76F9" w14:textId="77777777" w:rsidR="00BC0E7E" w:rsidRPr="00BC0E7E" w:rsidRDefault="00944B8F" w:rsidP="00BC0E7E">
      <w:pPr>
        <w:keepNext/>
        <w:numPr>
          <w:ilvl w:val="12"/>
          <w:numId w:val="0"/>
        </w:numPr>
        <w:tabs>
          <w:tab w:val="clear" w:pos="562"/>
        </w:tabs>
        <w:ind w:right="-2"/>
        <w:rPr>
          <w:del w:id="13365" w:author="AbbVie19" w:date="2025-04-16T12:22:00Z"/>
          <w:szCs w:val="22"/>
        </w:rPr>
      </w:pPr>
      <w:del w:id="13366" w:author="AbbVie19" w:date="2025-04-16T12:22:00Z">
        <w:r w:rsidRPr="00BC0E7E">
          <w:rPr>
            <w:szCs w:val="22"/>
          </w:rPr>
          <w:delText>Humira 40 mg solution for injection in pre-filled pen is supplied as a sterile solution of 40 mg adalimumab dissolved in 0.8 ml solution.</w:delText>
        </w:r>
      </w:del>
    </w:p>
    <w:p w14:paraId="64532F55" w14:textId="77777777" w:rsidR="00BC0E7E" w:rsidRPr="00BC0E7E" w:rsidRDefault="00BC0E7E" w:rsidP="00BC0E7E">
      <w:pPr>
        <w:numPr>
          <w:ilvl w:val="12"/>
          <w:numId w:val="0"/>
        </w:numPr>
        <w:ind w:right="-2"/>
        <w:rPr>
          <w:del w:id="13367" w:author="AbbVie19" w:date="2025-04-16T12:22:00Z"/>
          <w:szCs w:val="22"/>
        </w:rPr>
      </w:pPr>
    </w:p>
    <w:p w14:paraId="664BB9E7" w14:textId="77777777" w:rsidR="00BC0E7E" w:rsidRPr="00BC0E7E" w:rsidRDefault="00944B8F" w:rsidP="00BC0E7E">
      <w:pPr>
        <w:numPr>
          <w:ilvl w:val="12"/>
          <w:numId w:val="0"/>
        </w:numPr>
        <w:ind w:right="-2"/>
        <w:rPr>
          <w:del w:id="13368" w:author="AbbVie19" w:date="2025-04-16T12:22:00Z"/>
          <w:szCs w:val="22"/>
        </w:rPr>
      </w:pPr>
      <w:del w:id="13369" w:author="AbbVie19" w:date="2025-04-16T12:22:00Z">
        <w:r w:rsidRPr="00BC0E7E">
          <w:rPr>
            <w:szCs w:val="22"/>
          </w:rPr>
          <w:delText xml:space="preserve">The Humira pre-filled pen is a single-use grey and plum-coloured pen which contains a glass syringe with Humira. There are two caps – one is grey and labelled ‘1’ and the other is plum and labelled ‘2’. There is a window on each side of the pen through which you can see the Humira solution inside the syringe.  </w:delText>
        </w:r>
      </w:del>
    </w:p>
    <w:p w14:paraId="0227AD96" w14:textId="77777777" w:rsidR="00BC0E7E" w:rsidRPr="00BC0E7E" w:rsidRDefault="00BC0E7E" w:rsidP="00BC0E7E">
      <w:pPr>
        <w:numPr>
          <w:ilvl w:val="12"/>
          <w:numId w:val="0"/>
        </w:numPr>
        <w:ind w:right="-2"/>
        <w:rPr>
          <w:del w:id="13370" w:author="AbbVie19" w:date="2025-04-16T12:22:00Z"/>
          <w:szCs w:val="22"/>
        </w:rPr>
      </w:pPr>
    </w:p>
    <w:p w14:paraId="473AFEBA" w14:textId="77777777" w:rsidR="00FF7875" w:rsidRDefault="00944B8F" w:rsidP="00BC0E7E">
      <w:pPr>
        <w:numPr>
          <w:ilvl w:val="12"/>
          <w:numId w:val="0"/>
        </w:numPr>
        <w:tabs>
          <w:tab w:val="left" w:pos="2530"/>
        </w:tabs>
        <w:ind w:right="-2"/>
        <w:rPr>
          <w:del w:id="13371" w:author="AbbVie19" w:date="2025-04-16T12:22:00Z"/>
          <w:szCs w:val="22"/>
        </w:rPr>
      </w:pPr>
      <w:del w:id="13372" w:author="AbbVie19" w:date="2025-04-16T12:22:00Z">
        <w:r w:rsidRPr="00BC0E7E">
          <w:rPr>
            <w:szCs w:val="22"/>
          </w:rPr>
          <w:delText xml:space="preserve">The Humira pre-filled pen is available in packs containing 1, 2, 4 and 6 pre-filled pens. </w:delText>
        </w:r>
        <w:r w:rsidRPr="00BC0E7E">
          <w:delText>The 1 pre-filled pen pack comes with 2 alcohol pads (1 spare). For the 2, 4 and 6 pre-filled pen packs, each pre-filled pen comes with 1 alcohol pad.</w:delText>
        </w:r>
        <w:r w:rsidRPr="00BC0E7E">
          <w:rPr>
            <w:szCs w:val="22"/>
          </w:rPr>
          <w:delText xml:space="preserve">  </w:delText>
        </w:r>
      </w:del>
    </w:p>
    <w:p w14:paraId="3D4AF7FF" w14:textId="77777777" w:rsidR="00FF7875" w:rsidRDefault="00FF7875" w:rsidP="00BC0E7E">
      <w:pPr>
        <w:numPr>
          <w:ilvl w:val="12"/>
          <w:numId w:val="0"/>
        </w:numPr>
        <w:tabs>
          <w:tab w:val="left" w:pos="2530"/>
        </w:tabs>
        <w:ind w:right="-2"/>
        <w:rPr>
          <w:del w:id="13373" w:author="AbbVie19" w:date="2025-04-16T12:22:00Z"/>
          <w:szCs w:val="22"/>
        </w:rPr>
      </w:pPr>
    </w:p>
    <w:p w14:paraId="0018B4A0" w14:textId="77777777" w:rsidR="00BC0E7E" w:rsidRPr="00BC0E7E" w:rsidRDefault="00944B8F" w:rsidP="00BC0E7E">
      <w:pPr>
        <w:numPr>
          <w:ilvl w:val="12"/>
          <w:numId w:val="0"/>
        </w:numPr>
        <w:tabs>
          <w:tab w:val="left" w:pos="2530"/>
        </w:tabs>
        <w:ind w:right="-2"/>
        <w:rPr>
          <w:del w:id="13374" w:author="AbbVie19" w:date="2025-04-16T12:22:00Z"/>
          <w:szCs w:val="22"/>
        </w:rPr>
      </w:pPr>
      <w:del w:id="13375" w:author="AbbVie19" w:date="2025-04-16T12:22:00Z">
        <w:r w:rsidRPr="00BC0E7E">
          <w:rPr>
            <w:szCs w:val="22"/>
          </w:rPr>
          <w:delText xml:space="preserve">Not all pack sizes may be marketed.  </w:delText>
        </w:r>
      </w:del>
    </w:p>
    <w:p w14:paraId="4ED62070" w14:textId="77777777" w:rsidR="00BC0E7E" w:rsidRPr="00BC0E7E" w:rsidRDefault="00BC0E7E" w:rsidP="00BC0E7E">
      <w:pPr>
        <w:tabs>
          <w:tab w:val="clear" w:pos="562"/>
        </w:tabs>
        <w:rPr>
          <w:del w:id="13376" w:author="AbbVie19" w:date="2025-04-16T12:22:00Z"/>
          <w:szCs w:val="22"/>
        </w:rPr>
      </w:pPr>
    </w:p>
    <w:p w14:paraId="07A73904" w14:textId="77777777" w:rsidR="00BC0E7E" w:rsidRPr="00BC0E7E" w:rsidRDefault="00944B8F" w:rsidP="00BC0E7E">
      <w:pPr>
        <w:tabs>
          <w:tab w:val="clear" w:pos="562"/>
        </w:tabs>
        <w:rPr>
          <w:del w:id="13377" w:author="AbbVie19" w:date="2025-04-16T12:22:00Z"/>
          <w:szCs w:val="22"/>
        </w:rPr>
      </w:pPr>
      <w:del w:id="13378" w:author="AbbVie19" w:date="2025-04-16T12:22:00Z">
        <w:r w:rsidRPr="00BC0E7E">
          <w:rPr>
            <w:szCs w:val="22"/>
          </w:rPr>
          <w:delText xml:space="preserve">Humira </w:delText>
        </w:r>
        <w:r w:rsidR="00FF7875">
          <w:rPr>
            <w:szCs w:val="22"/>
          </w:rPr>
          <w:delText>may be</w:delText>
        </w:r>
        <w:r w:rsidRPr="00BC0E7E">
          <w:rPr>
            <w:szCs w:val="22"/>
          </w:rPr>
          <w:delText xml:space="preserve"> available as a vial, a pre-filled syringe and</w:delText>
        </w:r>
        <w:r w:rsidR="00FF7875">
          <w:rPr>
            <w:szCs w:val="22"/>
          </w:rPr>
          <w:delText>/or</w:delText>
        </w:r>
        <w:r w:rsidRPr="00BC0E7E">
          <w:rPr>
            <w:szCs w:val="22"/>
          </w:rPr>
          <w:delText xml:space="preserve"> a pre-filled pen.</w:delText>
        </w:r>
      </w:del>
    </w:p>
    <w:p w14:paraId="354304C7" w14:textId="77777777" w:rsidR="00BC0E7E" w:rsidRPr="00BC0E7E" w:rsidRDefault="00BC0E7E" w:rsidP="00BC0E7E">
      <w:pPr>
        <w:numPr>
          <w:ilvl w:val="12"/>
          <w:numId w:val="0"/>
        </w:numPr>
        <w:ind w:right="-2"/>
        <w:rPr>
          <w:del w:id="13379" w:author="AbbVie19" w:date="2025-04-16T12:22:00Z"/>
          <w:iCs/>
          <w:szCs w:val="22"/>
        </w:rPr>
      </w:pPr>
    </w:p>
    <w:p w14:paraId="671B1437" w14:textId="77777777" w:rsidR="00BC0E7E" w:rsidRPr="00BC0E7E" w:rsidRDefault="00944B8F" w:rsidP="00BC0E7E">
      <w:pPr>
        <w:numPr>
          <w:ilvl w:val="12"/>
          <w:numId w:val="0"/>
        </w:numPr>
        <w:ind w:right="-2"/>
        <w:rPr>
          <w:del w:id="13380" w:author="AbbVie19" w:date="2025-04-16T12:22:00Z"/>
          <w:bCs/>
          <w:iCs/>
        </w:rPr>
      </w:pPr>
      <w:del w:id="13381" w:author="AbbVie19" w:date="2025-04-16T12:22:00Z">
        <w:r w:rsidRPr="00BC0E7E">
          <w:rPr>
            <w:b/>
          </w:rPr>
          <w:delText>Marketing Authorisation Holder</w:delText>
        </w:r>
      </w:del>
    </w:p>
    <w:p w14:paraId="14E37E97" w14:textId="77777777" w:rsidR="00BC0E7E" w:rsidRPr="00BC0E7E" w:rsidRDefault="00BC0E7E" w:rsidP="00BC0E7E">
      <w:pPr>
        <w:keepNext/>
        <w:numPr>
          <w:ilvl w:val="12"/>
          <w:numId w:val="0"/>
        </w:numPr>
        <w:ind w:right="-2"/>
        <w:rPr>
          <w:del w:id="13382" w:author="AbbVie19" w:date="2025-04-16T12:22:00Z"/>
        </w:rPr>
      </w:pPr>
    </w:p>
    <w:p w14:paraId="767C1CF3" w14:textId="77777777" w:rsidR="006A01D2" w:rsidRPr="00EB4204" w:rsidRDefault="00944B8F" w:rsidP="006A01D2">
      <w:pPr>
        <w:keepNext/>
        <w:tabs>
          <w:tab w:val="clear" w:pos="562"/>
        </w:tabs>
        <w:suppressAutoHyphens w:val="0"/>
        <w:autoSpaceDE w:val="0"/>
        <w:autoSpaceDN w:val="0"/>
        <w:adjustRightInd w:val="0"/>
        <w:spacing w:line="240" w:lineRule="atLeast"/>
        <w:rPr>
          <w:del w:id="13383" w:author="AbbVie19" w:date="2025-04-16T12:22:00Z"/>
          <w:szCs w:val="22"/>
          <w:lang w:eastAsia="en-GB"/>
        </w:rPr>
      </w:pPr>
      <w:del w:id="13384" w:author="AbbVie19" w:date="2025-04-16T12:22:00Z">
        <w:r w:rsidRPr="00EB4204">
          <w:rPr>
            <w:szCs w:val="22"/>
            <w:lang w:eastAsia="en-GB"/>
          </w:rPr>
          <w:delText>AbbVie Deutschland GmbH &amp; Co. KG</w:delText>
        </w:r>
      </w:del>
    </w:p>
    <w:p w14:paraId="126F9C07" w14:textId="77777777" w:rsidR="006A01D2" w:rsidRPr="00EB4204" w:rsidRDefault="00944B8F" w:rsidP="006A01D2">
      <w:pPr>
        <w:keepNext/>
        <w:tabs>
          <w:tab w:val="clear" w:pos="562"/>
        </w:tabs>
        <w:suppressAutoHyphens w:val="0"/>
        <w:autoSpaceDE w:val="0"/>
        <w:autoSpaceDN w:val="0"/>
        <w:adjustRightInd w:val="0"/>
        <w:spacing w:line="240" w:lineRule="atLeast"/>
        <w:rPr>
          <w:del w:id="13385" w:author="AbbVie19" w:date="2025-04-16T12:22:00Z"/>
          <w:szCs w:val="22"/>
          <w:lang w:eastAsia="en-GB"/>
        </w:rPr>
      </w:pPr>
      <w:del w:id="13386" w:author="AbbVie19" w:date="2025-04-16T12:22:00Z">
        <w:r w:rsidRPr="00EB4204">
          <w:rPr>
            <w:szCs w:val="22"/>
            <w:lang w:eastAsia="en-GB"/>
          </w:rPr>
          <w:delText>Knollstrasse</w:delText>
        </w:r>
      </w:del>
    </w:p>
    <w:p w14:paraId="5EC174DC" w14:textId="77777777" w:rsidR="006A01D2" w:rsidRPr="00EB4204" w:rsidRDefault="00944B8F" w:rsidP="006A01D2">
      <w:pPr>
        <w:keepNext/>
        <w:tabs>
          <w:tab w:val="clear" w:pos="562"/>
        </w:tabs>
        <w:suppressAutoHyphens w:val="0"/>
        <w:autoSpaceDE w:val="0"/>
        <w:autoSpaceDN w:val="0"/>
        <w:adjustRightInd w:val="0"/>
        <w:spacing w:line="240" w:lineRule="atLeast"/>
        <w:rPr>
          <w:del w:id="13387" w:author="AbbVie19" w:date="2025-04-16T12:22:00Z"/>
          <w:szCs w:val="22"/>
          <w:lang w:eastAsia="en-GB"/>
        </w:rPr>
      </w:pPr>
      <w:del w:id="13388" w:author="AbbVie19" w:date="2025-04-16T12:22:00Z">
        <w:r w:rsidRPr="00EB4204">
          <w:rPr>
            <w:szCs w:val="22"/>
            <w:lang w:eastAsia="en-GB"/>
          </w:rPr>
          <w:delText>67061 Ludwigshafen</w:delText>
        </w:r>
      </w:del>
    </w:p>
    <w:p w14:paraId="3EACFE3A" w14:textId="77777777" w:rsidR="006A01D2" w:rsidRDefault="00944B8F" w:rsidP="006A01D2">
      <w:pPr>
        <w:keepNext/>
        <w:tabs>
          <w:tab w:val="clear" w:pos="562"/>
          <w:tab w:val="left" w:pos="720"/>
        </w:tabs>
        <w:suppressAutoHyphens w:val="0"/>
        <w:autoSpaceDE w:val="0"/>
        <w:autoSpaceDN w:val="0"/>
        <w:adjustRightInd w:val="0"/>
        <w:spacing w:line="240" w:lineRule="atLeast"/>
        <w:rPr>
          <w:del w:id="13389" w:author="AbbVie19" w:date="2025-04-16T12:22:00Z"/>
          <w:szCs w:val="22"/>
          <w:lang w:eastAsia="en-GB"/>
        </w:rPr>
      </w:pPr>
      <w:del w:id="13390" w:author="AbbVie19" w:date="2025-04-16T12:22:00Z">
        <w:r w:rsidRPr="00EB4204">
          <w:rPr>
            <w:szCs w:val="22"/>
            <w:lang w:eastAsia="en-GB"/>
          </w:rPr>
          <w:delText>Germany</w:delText>
        </w:r>
        <w:r>
          <w:rPr>
            <w:szCs w:val="22"/>
            <w:lang w:eastAsia="en-GB"/>
          </w:rPr>
          <w:delText xml:space="preserve"> </w:delText>
        </w:r>
      </w:del>
    </w:p>
    <w:p w14:paraId="0DA1DCE7" w14:textId="77777777" w:rsidR="00BC0E7E" w:rsidRPr="00BC0E7E" w:rsidRDefault="00BC0E7E" w:rsidP="00BC0E7E">
      <w:pPr>
        <w:rPr>
          <w:del w:id="13391" w:author="AbbVie19" w:date="2025-04-16T12:22:00Z"/>
        </w:rPr>
      </w:pPr>
    </w:p>
    <w:p w14:paraId="15A437A1" w14:textId="77777777" w:rsidR="00BC0E7E" w:rsidRPr="00BC0E7E" w:rsidRDefault="00944B8F" w:rsidP="00BC0E7E">
      <w:pPr>
        <w:numPr>
          <w:ilvl w:val="12"/>
          <w:numId w:val="0"/>
        </w:numPr>
        <w:ind w:right="-2"/>
        <w:rPr>
          <w:del w:id="13392" w:author="AbbVie19" w:date="2025-04-16T12:22:00Z"/>
          <w:b/>
        </w:rPr>
      </w:pPr>
      <w:del w:id="13393" w:author="AbbVie19" w:date="2025-04-16T12:22:00Z">
        <w:r w:rsidRPr="00BC0E7E">
          <w:rPr>
            <w:b/>
          </w:rPr>
          <w:delText xml:space="preserve">Manufacturer </w:delText>
        </w:r>
      </w:del>
    </w:p>
    <w:p w14:paraId="57F6C752" w14:textId="77777777" w:rsidR="00BC0E7E" w:rsidRPr="00BC0E7E" w:rsidRDefault="00BC0E7E" w:rsidP="00BC0E7E">
      <w:pPr>
        <w:numPr>
          <w:ilvl w:val="12"/>
          <w:numId w:val="0"/>
        </w:numPr>
        <w:ind w:right="-2"/>
        <w:rPr>
          <w:del w:id="13394" w:author="AbbVie19" w:date="2025-04-16T12:22:00Z"/>
        </w:rPr>
      </w:pPr>
    </w:p>
    <w:p w14:paraId="31497898" w14:textId="77777777" w:rsidR="00BC0E7E" w:rsidRPr="00BC0E7E" w:rsidRDefault="00944B8F" w:rsidP="00BC0E7E">
      <w:pPr>
        <w:rPr>
          <w:del w:id="13395" w:author="AbbVie19" w:date="2025-04-16T12:22:00Z"/>
        </w:rPr>
      </w:pPr>
      <w:del w:id="13396" w:author="AbbVie19" w:date="2025-04-16T12:22:00Z">
        <w:r w:rsidRPr="00BC0E7E">
          <w:delText>AbbVie Biotechnology GmbH</w:delText>
        </w:r>
      </w:del>
    </w:p>
    <w:p w14:paraId="6AA436F5" w14:textId="77777777" w:rsidR="00BC0E7E" w:rsidRPr="00BC0E7E" w:rsidRDefault="00944B8F" w:rsidP="00BC0E7E">
      <w:pPr>
        <w:numPr>
          <w:ilvl w:val="12"/>
          <w:numId w:val="0"/>
        </w:numPr>
        <w:tabs>
          <w:tab w:val="clear" w:pos="562"/>
          <w:tab w:val="left" w:pos="720"/>
        </w:tabs>
        <w:rPr>
          <w:del w:id="13397" w:author="AbbVie19" w:date="2025-04-16T12:22:00Z"/>
        </w:rPr>
      </w:pPr>
      <w:del w:id="13398" w:author="AbbVie19" w:date="2025-04-16T12:22:00Z">
        <w:r w:rsidRPr="00BC0E7E">
          <w:delText>Knollstrasse</w:delText>
        </w:r>
      </w:del>
    </w:p>
    <w:p w14:paraId="38DD49BE" w14:textId="77777777" w:rsidR="00BC0E7E" w:rsidRPr="00BC0E7E" w:rsidRDefault="00944B8F" w:rsidP="00BC0E7E">
      <w:pPr>
        <w:numPr>
          <w:ilvl w:val="12"/>
          <w:numId w:val="0"/>
        </w:numPr>
        <w:tabs>
          <w:tab w:val="clear" w:pos="562"/>
          <w:tab w:val="left" w:pos="720"/>
        </w:tabs>
        <w:rPr>
          <w:del w:id="13399" w:author="AbbVie19" w:date="2025-04-16T12:22:00Z"/>
        </w:rPr>
      </w:pPr>
      <w:del w:id="13400" w:author="AbbVie19" w:date="2025-04-16T12:22:00Z">
        <w:r w:rsidRPr="00BC0E7E">
          <w:delText>67061 Ludwigshafen</w:delText>
        </w:r>
      </w:del>
    </w:p>
    <w:p w14:paraId="1C62D7B7" w14:textId="77777777" w:rsidR="00BC0E7E" w:rsidRPr="00BC0E7E" w:rsidRDefault="00944B8F" w:rsidP="00BC0E7E">
      <w:pPr>
        <w:numPr>
          <w:ilvl w:val="12"/>
          <w:numId w:val="0"/>
        </w:numPr>
        <w:tabs>
          <w:tab w:val="clear" w:pos="562"/>
          <w:tab w:val="left" w:pos="720"/>
        </w:tabs>
        <w:rPr>
          <w:del w:id="13401" w:author="AbbVie19" w:date="2025-04-16T12:22:00Z"/>
        </w:rPr>
      </w:pPr>
      <w:del w:id="13402" w:author="AbbVie19" w:date="2025-04-16T12:22:00Z">
        <w:r w:rsidRPr="00BC0E7E">
          <w:delText>Germany</w:delText>
        </w:r>
      </w:del>
    </w:p>
    <w:p w14:paraId="16FA4B38" w14:textId="77777777" w:rsidR="00BC0E7E" w:rsidRPr="00EC44BE" w:rsidRDefault="00BC0E7E" w:rsidP="00BC0E7E">
      <w:pPr>
        <w:rPr>
          <w:del w:id="13403" w:author="AbbVie19" w:date="2025-04-16T12:22:00Z"/>
        </w:rPr>
      </w:pPr>
    </w:p>
    <w:p w14:paraId="1B245E9D" w14:textId="77777777" w:rsidR="00BC0E7E" w:rsidRPr="00BC0E7E" w:rsidRDefault="00944B8F" w:rsidP="00BC0E7E">
      <w:pPr>
        <w:numPr>
          <w:ilvl w:val="12"/>
          <w:numId w:val="0"/>
        </w:numPr>
        <w:tabs>
          <w:tab w:val="clear" w:pos="562"/>
        </w:tabs>
        <w:ind w:right="-2"/>
        <w:rPr>
          <w:del w:id="13404" w:author="AbbVie19" w:date="2025-04-16T12:22:00Z"/>
        </w:rPr>
      </w:pPr>
      <w:del w:id="13405" w:author="AbbVie19" w:date="2025-04-16T12:22:00Z">
        <w:r w:rsidRPr="00BC0E7E">
          <w:delText>For any information about this medicine, please contact the local representative of the Marketing Authorisation Holder.</w:delText>
        </w:r>
      </w:del>
    </w:p>
    <w:p w14:paraId="5D4E7A82" w14:textId="77777777" w:rsidR="00BC0E7E" w:rsidRPr="00BC0E7E" w:rsidRDefault="00BC0E7E" w:rsidP="00BC0E7E">
      <w:pPr>
        <w:tabs>
          <w:tab w:val="clear" w:pos="562"/>
        </w:tabs>
        <w:suppressAutoHyphens w:val="0"/>
        <w:rPr>
          <w:del w:id="13406" w:author="AbbVie19" w:date="2025-04-16T12:22:00Z"/>
          <w:sz w:val="24"/>
        </w:rPr>
      </w:pPr>
    </w:p>
    <w:tbl>
      <w:tblPr>
        <w:tblW w:w="9356" w:type="dxa"/>
        <w:tblInd w:w="-34" w:type="dxa"/>
        <w:tblLayout w:type="fixed"/>
        <w:tblLook w:val="0000" w:firstRow="0" w:lastRow="0" w:firstColumn="0" w:lastColumn="0" w:noHBand="0" w:noVBand="0"/>
      </w:tblPr>
      <w:tblGrid>
        <w:gridCol w:w="34"/>
        <w:gridCol w:w="4644"/>
        <w:gridCol w:w="4678"/>
      </w:tblGrid>
      <w:tr w:rsidR="00C6578C" w14:paraId="116825D0" w14:textId="77777777" w:rsidTr="00171601">
        <w:trPr>
          <w:gridBefore w:val="1"/>
          <w:wBefore w:w="34" w:type="dxa"/>
          <w:del w:id="13407" w:author="AbbVie19" w:date="2025-04-16T12:22:00Z"/>
        </w:trPr>
        <w:tc>
          <w:tcPr>
            <w:tcW w:w="4644" w:type="dxa"/>
          </w:tcPr>
          <w:p w14:paraId="26BEC663" w14:textId="77777777" w:rsidR="00BC0E7E" w:rsidRPr="000B7DC1" w:rsidRDefault="00944B8F" w:rsidP="00BC0E7E">
            <w:pPr>
              <w:rPr>
                <w:del w:id="13408" w:author="AbbVie19" w:date="2025-04-16T12:22:00Z"/>
                <w:b/>
                <w:szCs w:val="22"/>
                <w:lang w:val="en-US"/>
                <w:rPrChange w:id="13409" w:author="AbbVie33" w:date="2025-05-05T10:55:00Z">
                  <w:rPr>
                    <w:del w:id="13410" w:author="AbbVie19" w:date="2025-04-16T12:22:00Z"/>
                    <w:b/>
                    <w:bCs/>
                    <w:szCs w:val="22"/>
                    <w:lang w:val="fr-BE"/>
                  </w:rPr>
                </w:rPrChange>
              </w:rPr>
            </w:pPr>
            <w:del w:id="13411" w:author="AbbVie19" w:date="2025-04-16T12:22:00Z">
              <w:r w:rsidRPr="000B7DC1">
                <w:rPr>
                  <w:b/>
                  <w:szCs w:val="22"/>
                  <w:lang w:val="en-US"/>
                  <w:rPrChange w:id="13412" w:author="AbbVie33" w:date="2025-05-05T10:55:00Z">
                    <w:rPr>
                      <w:b/>
                      <w:bCs/>
                      <w:szCs w:val="22"/>
                      <w:lang w:val="fr-BE"/>
                    </w:rPr>
                  </w:rPrChange>
                </w:rPr>
                <w:delText>België/Belgique/Belgien</w:delText>
              </w:r>
            </w:del>
          </w:p>
          <w:p w14:paraId="7FCD92C9" w14:textId="77777777" w:rsidR="00BC0E7E" w:rsidRPr="000B7DC1" w:rsidRDefault="00944B8F" w:rsidP="00BC0E7E">
            <w:pPr>
              <w:tabs>
                <w:tab w:val="center" w:pos="2214"/>
              </w:tabs>
              <w:rPr>
                <w:del w:id="13413" w:author="AbbVie19" w:date="2025-04-16T12:22:00Z"/>
                <w:szCs w:val="22"/>
                <w:lang w:val="en-US"/>
                <w:rPrChange w:id="13414" w:author="AbbVie33" w:date="2025-05-05T10:55:00Z">
                  <w:rPr>
                    <w:del w:id="13415" w:author="AbbVie19" w:date="2025-04-16T12:22:00Z"/>
                    <w:bCs/>
                    <w:szCs w:val="22"/>
                    <w:lang w:val="fr-FR"/>
                  </w:rPr>
                </w:rPrChange>
              </w:rPr>
            </w:pPr>
            <w:del w:id="13416" w:author="AbbVie19" w:date="2025-04-16T12:22:00Z">
              <w:r w:rsidRPr="000B7DC1">
                <w:rPr>
                  <w:szCs w:val="22"/>
                  <w:lang w:val="en-US"/>
                  <w:rPrChange w:id="13417" w:author="AbbVie33" w:date="2025-05-05T10:55:00Z">
                    <w:rPr>
                      <w:bCs/>
                      <w:szCs w:val="22"/>
                      <w:lang w:val="fr-FR"/>
                    </w:rPr>
                  </w:rPrChange>
                </w:rPr>
                <w:delText>AbbVie SA</w:delText>
              </w:r>
            </w:del>
          </w:p>
          <w:p w14:paraId="0C852C86" w14:textId="77777777" w:rsidR="00BC0E7E" w:rsidRPr="000B7DC1" w:rsidRDefault="00944B8F" w:rsidP="00BC0E7E">
            <w:pPr>
              <w:spacing w:line="260" w:lineRule="exact"/>
              <w:rPr>
                <w:del w:id="13418" w:author="AbbVie19" w:date="2025-04-16T12:22:00Z"/>
                <w:szCs w:val="22"/>
                <w:lang w:val="en-US"/>
                <w:rPrChange w:id="13419" w:author="AbbVie33" w:date="2025-05-05T10:55:00Z">
                  <w:rPr>
                    <w:del w:id="13420" w:author="AbbVie19" w:date="2025-04-16T12:22:00Z"/>
                    <w:szCs w:val="22"/>
                    <w:lang w:val="fr-FR"/>
                  </w:rPr>
                </w:rPrChange>
              </w:rPr>
            </w:pPr>
            <w:del w:id="13421" w:author="AbbVie19" w:date="2025-04-16T12:22:00Z">
              <w:r w:rsidRPr="000B7DC1">
                <w:rPr>
                  <w:szCs w:val="22"/>
                  <w:lang w:val="en-US"/>
                  <w:rPrChange w:id="13422" w:author="AbbVie33" w:date="2025-05-05T10:55:00Z">
                    <w:rPr>
                      <w:bCs/>
                      <w:szCs w:val="22"/>
                      <w:lang w:val="fr-FR"/>
                    </w:rPr>
                  </w:rPrChange>
                </w:rPr>
                <w:delText xml:space="preserve">Tél/Tel: +32 10 </w:delText>
              </w:r>
              <w:r w:rsidRPr="000B7DC1">
                <w:rPr>
                  <w:szCs w:val="22"/>
                  <w:lang w:val="en-US"/>
                  <w:rPrChange w:id="13423" w:author="AbbVie33" w:date="2025-05-05T10:55:00Z">
                    <w:rPr>
                      <w:szCs w:val="22"/>
                      <w:lang w:val="fr-FR"/>
                    </w:rPr>
                  </w:rPrChange>
                </w:rPr>
                <w:delText xml:space="preserve"> 477811</w:delText>
              </w:r>
            </w:del>
          </w:p>
          <w:p w14:paraId="6C09BBC3" w14:textId="77777777" w:rsidR="00504E25" w:rsidRPr="000B7DC1" w:rsidRDefault="00504E25" w:rsidP="00BC0E7E">
            <w:pPr>
              <w:spacing w:line="260" w:lineRule="exact"/>
              <w:rPr>
                <w:del w:id="13424" w:author="AbbVie19" w:date="2025-04-16T12:22:00Z"/>
                <w:szCs w:val="22"/>
                <w:lang w:val="en-US"/>
                <w:rPrChange w:id="13425" w:author="AbbVie33" w:date="2025-05-05T10:55:00Z">
                  <w:rPr>
                    <w:del w:id="13426" w:author="AbbVie19" w:date="2025-04-16T12:22:00Z"/>
                    <w:bCs/>
                    <w:szCs w:val="22"/>
                    <w:lang w:val="fr-FR"/>
                  </w:rPr>
                </w:rPrChange>
              </w:rPr>
            </w:pPr>
          </w:p>
        </w:tc>
        <w:tc>
          <w:tcPr>
            <w:tcW w:w="4678" w:type="dxa"/>
          </w:tcPr>
          <w:p w14:paraId="4C7512B0" w14:textId="77777777" w:rsidR="00BC0E7E" w:rsidRPr="00BC0E7E" w:rsidRDefault="00944B8F" w:rsidP="00BC0E7E">
            <w:pPr>
              <w:rPr>
                <w:del w:id="13427" w:author="AbbVie19" w:date="2025-04-16T12:22:00Z"/>
                <w:b/>
                <w:bCs/>
                <w:szCs w:val="22"/>
                <w:lang w:val="lt-LT"/>
              </w:rPr>
            </w:pPr>
            <w:del w:id="13428" w:author="AbbVie19" w:date="2025-04-16T12:22:00Z">
              <w:r w:rsidRPr="00BC0E7E">
                <w:rPr>
                  <w:b/>
                  <w:bCs/>
                  <w:szCs w:val="22"/>
                  <w:lang w:val="lt-LT"/>
                </w:rPr>
                <w:delText>Lietuva</w:delText>
              </w:r>
            </w:del>
          </w:p>
          <w:p w14:paraId="425AC4AD" w14:textId="77777777" w:rsidR="00BC0E7E" w:rsidRPr="00BC0E7E" w:rsidRDefault="00944B8F" w:rsidP="00BC0E7E">
            <w:pPr>
              <w:rPr>
                <w:del w:id="13429" w:author="AbbVie19" w:date="2025-04-16T12:22:00Z"/>
                <w:bCs/>
                <w:szCs w:val="22"/>
                <w:lang w:val="lv-LV"/>
              </w:rPr>
            </w:pPr>
            <w:del w:id="13430" w:author="AbbVie19" w:date="2025-04-16T12:22:00Z">
              <w:r w:rsidRPr="00BC0E7E">
                <w:rPr>
                  <w:bCs/>
                  <w:szCs w:val="22"/>
                  <w:lang w:val="lv-LV"/>
                </w:rPr>
                <w:delText xml:space="preserve">AbbVie UAB </w:delText>
              </w:r>
            </w:del>
          </w:p>
          <w:p w14:paraId="2F37F96A" w14:textId="77777777" w:rsidR="00BC0E7E" w:rsidRPr="00BC0E7E" w:rsidRDefault="00944B8F" w:rsidP="00BC0E7E">
            <w:pPr>
              <w:jc w:val="both"/>
              <w:rPr>
                <w:del w:id="13431" w:author="AbbVie19" w:date="2025-04-16T12:22:00Z"/>
                <w:bCs/>
                <w:szCs w:val="22"/>
                <w:lang w:val="lv-LV"/>
              </w:rPr>
            </w:pPr>
            <w:del w:id="13432" w:author="AbbVie19" w:date="2025-04-16T12:22:00Z">
              <w:r w:rsidRPr="00BC0E7E">
                <w:rPr>
                  <w:bCs/>
                  <w:szCs w:val="22"/>
                  <w:lang w:val="lv-LV"/>
                </w:rPr>
                <w:delText>Tel: +370 5 205 3023</w:delText>
              </w:r>
            </w:del>
          </w:p>
        </w:tc>
      </w:tr>
      <w:tr w:rsidR="00C6578C" w14:paraId="75926B7D" w14:textId="77777777" w:rsidTr="00171601">
        <w:trPr>
          <w:gridBefore w:val="1"/>
          <w:wBefore w:w="34" w:type="dxa"/>
          <w:del w:id="13433" w:author="AbbVie19" w:date="2025-04-16T12:22:00Z"/>
        </w:trPr>
        <w:tc>
          <w:tcPr>
            <w:tcW w:w="4644" w:type="dxa"/>
          </w:tcPr>
          <w:p w14:paraId="637F48EB" w14:textId="77777777" w:rsidR="00BC0E7E" w:rsidRPr="00BC0E7E" w:rsidRDefault="00944B8F" w:rsidP="00BC0E7E">
            <w:pPr>
              <w:autoSpaceDE w:val="0"/>
              <w:autoSpaceDN w:val="0"/>
              <w:adjustRightInd w:val="0"/>
              <w:rPr>
                <w:del w:id="13434" w:author="AbbVie19" w:date="2025-04-16T12:22:00Z"/>
                <w:b/>
                <w:bCs/>
                <w:szCs w:val="22"/>
                <w:lang w:val="bg-BG"/>
              </w:rPr>
            </w:pPr>
            <w:del w:id="13435" w:author="AbbVie19" w:date="2025-04-16T12:22:00Z">
              <w:r w:rsidRPr="00BC0E7E">
                <w:rPr>
                  <w:b/>
                  <w:bCs/>
                  <w:szCs w:val="22"/>
                  <w:lang w:val="bg-BG"/>
                </w:rPr>
                <w:delText>България</w:delText>
              </w:r>
            </w:del>
          </w:p>
          <w:p w14:paraId="251D4D98" w14:textId="77777777" w:rsidR="00BC0E7E" w:rsidRPr="00BC0E7E" w:rsidRDefault="00944B8F" w:rsidP="00BC0E7E">
            <w:pPr>
              <w:autoSpaceDE w:val="0"/>
              <w:autoSpaceDN w:val="0"/>
              <w:adjustRightInd w:val="0"/>
              <w:rPr>
                <w:del w:id="13436" w:author="AbbVie19" w:date="2025-04-16T12:22:00Z"/>
                <w:szCs w:val="22"/>
                <w:lang w:val="da-DK"/>
              </w:rPr>
            </w:pPr>
            <w:del w:id="13437" w:author="AbbVie19" w:date="2025-04-16T12:22:00Z">
              <w:r w:rsidRPr="00BC0E7E">
                <w:rPr>
                  <w:rFonts w:eastAsia="MS Mincho"/>
                  <w:color w:val="000000"/>
                  <w:szCs w:val="22"/>
                  <w:lang w:eastAsia="ja-JP"/>
                </w:rPr>
                <w:delText>АбВи ЕООД</w:delText>
              </w:r>
            </w:del>
          </w:p>
          <w:p w14:paraId="70367B1C" w14:textId="77777777" w:rsidR="00BC0E7E" w:rsidRPr="00BC0E7E" w:rsidRDefault="00944B8F" w:rsidP="00BC0E7E">
            <w:pPr>
              <w:tabs>
                <w:tab w:val="left" w:pos="-720"/>
              </w:tabs>
              <w:rPr>
                <w:del w:id="13438" w:author="AbbVie19" w:date="2025-04-16T12:22:00Z"/>
                <w:bCs/>
                <w:szCs w:val="22"/>
                <w:lang w:val="da-DK"/>
              </w:rPr>
            </w:pPr>
            <w:del w:id="13439" w:author="AbbVie19" w:date="2025-04-16T12:22:00Z">
              <w:r w:rsidRPr="00BC0E7E">
                <w:rPr>
                  <w:rFonts w:eastAsia="MS Mincho"/>
                  <w:color w:val="000000"/>
                  <w:szCs w:val="22"/>
                  <w:lang w:eastAsia="ja-JP"/>
                </w:rPr>
                <w:delText>Тел</w:delText>
              </w:r>
              <w:r w:rsidRPr="00BC0E7E">
                <w:rPr>
                  <w:rFonts w:eastAsia="MS Mincho"/>
                  <w:color w:val="000000"/>
                  <w:szCs w:val="22"/>
                  <w:lang w:val="it-IT" w:eastAsia="ja-JP"/>
                </w:rPr>
                <w:delText>.:+359 2 90 30 430</w:delText>
              </w:r>
            </w:del>
          </w:p>
        </w:tc>
        <w:tc>
          <w:tcPr>
            <w:tcW w:w="4678" w:type="dxa"/>
          </w:tcPr>
          <w:p w14:paraId="751DD888" w14:textId="77777777" w:rsidR="00BC0E7E" w:rsidRPr="00BC0E7E" w:rsidRDefault="00944B8F" w:rsidP="00BC0E7E">
            <w:pPr>
              <w:rPr>
                <w:del w:id="13440" w:author="AbbVie19" w:date="2025-04-16T12:22:00Z"/>
                <w:b/>
                <w:bCs/>
                <w:szCs w:val="22"/>
                <w:lang w:val="de-DE"/>
              </w:rPr>
            </w:pPr>
            <w:del w:id="13441" w:author="AbbVie19" w:date="2025-04-16T12:22:00Z">
              <w:r w:rsidRPr="00BC0E7E">
                <w:rPr>
                  <w:b/>
                  <w:bCs/>
                  <w:szCs w:val="22"/>
                  <w:lang w:val="de-DE"/>
                </w:rPr>
                <w:delText>Luxembourg/Luxemburg</w:delText>
              </w:r>
            </w:del>
          </w:p>
          <w:p w14:paraId="1508C0E3" w14:textId="77777777" w:rsidR="00BC0E7E" w:rsidRPr="00BC0E7E" w:rsidRDefault="00944B8F" w:rsidP="00BC0E7E">
            <w:pPr>
              <w:rPr>
                <w:del w:id="13442" w:author="AbbVie19" w:date="2025-04-16T12:22:00Z"/>
                <w:bCs/>
                <w:szCs w:val="22"/>
                <w:lang w:val="de-DE"/>
              </w:rPr>
            </w:pPr>
            <w:del w:id="13443" w:author="AbbVie19" w:date="2025-04-16T12:22:00Z">
              <w:r w:rsidRPr="00BC0E7E">
                <w:rPr>
                  <w:bCs/>
                  <w:szCs w:val="22"/>
                  <w:lang w:val="de-DE"/>
                </w:rPr>
                <w:delText>AbbVie SA</w:delText>
              </w:r>
            </w:del>
          </w:p>
          <w:p w14:paraId="0BDC721A" w14:textId="77777777" w:rsidR="00BC0E7E" w:rsidRPr="00BC0E7E" w:rsidRDefault="00944B8F" w:rsidP="00BC0E7E">
            <w:pPr>
              <w:tabs>
                <w:tab w:val="center" w:pos="2231"/>
              </w:tabs>
              <w:rPr>
                <w:del w:id="13444" w:author="AbbVie19" w:date="2025-04-16T12:22:00Z"/>
                <w:bCs/>
                <w:szCs w:val="22"/>
                <w:lang w:val="de-DE"/>
              </w:rPr>
            </w:pPr>
            <w:del w:id="13445" w:author="AbbVie19" w:date="2025-04-16T12:22:00Z">
              <w:r w:rsidRPr="00BC0E7E">
                <w:rPr>
                  <w:bCs/>
                  <w:szCs w:val="22"/>
                  <w:lang w:val="de-DE"/>
                </w:rPr>
                <w:delText>Belgique/Belgien</w:delText>
              </w:r>
            </w:del>
          </w:p>
          <w:p w14:paraId="2311F450" w14:textId="77777777" w:rsidR="00BC0E7E" w:rsidRPr="000B7DC1" w:rsidRDefault="00944B8F" w:rsidP="00BC0E7E">
            <w:pPr>
              <w:rPr>
                <w:del w:id="13446" w:author="AbbVie19" w:date="2025-04-16T12:22:00Z"/>
                <w:szCs w:val="22"/>
                <w:lang w:val="en-US"/>
                <w:rPrChange w:id="13447" w:author="AbbVie33" w:date="2025-05-05T10:55:00Z">
                  <w:rPr>
                    <w:del w:id="13448" w:author="AbbVie19" w:date="2025-04-16T12:22:00Z"/>
                    <w:bCs/>
                    <w:szCs w:val="22"/>
                    <w:lang w:val="fr-FR"/>
                  </w:rPr>
                </w:rPrChange>
              </w:rPr>
            </w:pPr>
            <w:del w:id="13449" w:author="AbbVie19" w:date="2025-04-16T12:22:00Z">
              <w:r w:rsidRPr="000B7DC1">
                <w:rPr>
                  <w:szCs w:val="22"/>
                  <w:lang w:val="en-US"/>
                  <w:rPrChange w:id="13450" w:author="AbbVie33" w:date="2025-05-05T10:55:00Z">
                    <w:rPr>
                      <w:bCs/>
                      <w:szCs w:val="22"/>
                      <w:lang w:val="fr-FR"/>
                    </w:rPr>
                  </w:rPrChange>
                </w:rPr>
                <w:delText>Tél/Tel: +32 10 477811</w:delText>
              </w:r>
            </w:del>
          </w:p>
          <w:p w14:paraId="02D662A1" w14:textId="77777777" w:rsidR="00504E25" w:rsidRPr="000B7DC1" w:rsidRDefault="00504E25" w:rsidP="00BC0E7E">
            <w:pPr>
              <w:rPr>
                <w:del w:id="13451" w:author="AbbVie19" w:date="2025-04-16T12:22:00Z"/>
                <w:szCs w:val="22"/>
                <w:lang w:val="en-US"/>
                <w:rPrChange w:id="13452" w:author="AbbVie33" w:date="2025-05-05T10:55:00Z">
                  <w:rPr>
                    <w:del w:id="13453" w:author="AbbVie19" w:date="2025-04-16T12:22:00Z"/>
                    <w:bCs/>
                    <w:szCs w:val="22"/>
                    <w:lang w:val="fr-FR"/>
                  </w:rPr>
                </w:rPrChange>
              </w:rPr>
            </w:pPr>
          </w:p>
        </w:tc>
      </w:tr>
      <w:tr w:rsidR="00C6578C" w14:paraId="05B224DC" w14:textId="77777777" w:rsidTr="00171601">
        <w:trPr>
          <w:gridBefore w:val="1"/>
          <w:wBefore w:w="34" w:type="dxa"/>
          <w:del w:id="13454" w:author="AbbVie19" w:date="2025-04-16T12:22:00Z"/>
        </w:trPr>
        <w:tc>
          <w:tcPr>
            <w:tcW w:w="4644" w:type="dxa"/>
          </w:tcPr>
          <w:p w14:paraId="0D3292AD" w14:textId="77777777" w:rsidR="00BC0E7E" w:rsidRPr="00BC0E7E" w:rsidRDefault="00944B8F" w:rsidP="00BC0E7E">
            <w:pPr>
              <w:rPr>
                <w:del w:id="13455" w:author="AbbVie19" w:date="2025-04-16T12:22:00Z"/>
                <w:b/>
                <w:bCs/>
                <w:szCs w:val="22"/>
                <w:lang w:val="de-DE"/>
              </w:rPr>
            </w:pPr>
            <w:del w:id="13456" w:author="AbbVie19" w:date="2025-04-16T12:22:00Z">
              <w:r w:rsidRPr="00BC0E7E">
                <w:rPr>
                  <w:b/>
                  <w:bCs/>
                  <w:szCs w:val="22"/>
                  <w:lang w:val="de-DE"/>
                </w:rPr>
                <w:delText>Česká republika</w:delText>
              </w:r>
            </w:del>
          </w:p>
          <w:p w14:paraId="6831AF6B" w14:textId="77777777" w:rsidR="00BC0E7E" w:rsidRPr="00BC0E7E" w:rsidRDefault="00944B8F" w:rsidP="00BC0E7E">
            <w:pPr>
              <w:rPr>
                <w:del w:id="13457" w:author="AbbVie19" w:date="2025-04-16T12:22:00Z"/>
                <w:bCs/>
                <w:szCs w:val="22"/>
                <w:lang w:val="de-DE"/>
              </w:rPr>
            </w:pPr>
            <w:del w:id="13458" w:author="AbbVie19" w:date="2025-04-16T12:22:00Z">
              <w:r w:rsidRPr="00BC0E7E">
                <w:rPr>
                  <w:bCs/>
                  <w:szCs w:val="22"/>
                  <w:lang w:val="de-DE"/>
                </w:rPr>
                <w:delText xml:space="preserve">AbbVie s.r.o. </w:delText>
              </w:r>
            </w:del>
          </w:p>
          <w:p w14:paraId="55237B07" w14:textId="77777777" w:rsidR="00BC0E7E" w:rsidRDefault="00944B8F" w:rsidP="00BC0E7E">
            <w:pPr>
              <w:rPr>
                <w:del w:id="13459" w:author="AbbVie19" w:date="2025-04-16T12:22:00Z"/>
                <w:bCs/>
                <w:szCs w:val="22"/>
                <w:lang w:val="de-DE"/>
              </w:rPr>
            </w:pPr>
            <w:del w:id="13460" w:author="AbbVie19" w:date="2025-04-16T12:22:00Z">
              <w:r w:rsidRPr="00BC0E7E">
                <w:rPr>
                  <w:bCs/>
                  <w:szCs w:val="22"/>
                  <w:lang w:val="de-DE"/>
                </w:rPr>
                <w:delText>Tel: +420 233 098 111</w:delText>
              </w:r>
            </w:del>
          </w:p>
          <w:p w14:paraId="4D33AF9B" w14:textId="77777777" w:rsidR="00504E25" w:rsidRPr="00BC0E7E" w:rsidRDefault="00504E25" w:rsidP="00BC0E7E">
            <w:pPr>
              <w:rPr>
                <w:del w:id="13461" w:author="AbbVie19" w:date="2025-04-16T12:22:00Z"/>
                <w:bCs/>
                <w:szCs w:val="22"/>
                <w:lang w:val="de-DE"/>
              </w:rPr>
            </w:pPr>
          </w:p>
        </w:tc>
        <w:tc>
          <w:tcPr>
            <w:tcW w:w="4678" w:type="dxa"/>
          </w:tcPr>
          <w:p w14:paraId="52E4B502" w14:textId="77777777" w:rsidR="00BC0E7E" w:rsidRPr="00BC0E7E" w:rsidRDefault="00944B8F" w:rsidP="00BC0E7E">
            <w:pPr>
              <w:rPr>
                <w:del w:id="13462" w:author="AbbVie19" w:date="2025-04-16T12:22:00Z"/>
                <w:b/>
                <w:bCs/>
                <w:szCs w:val="22"/>
                <w:lang w:val="hu-HU"/>
              </w:rPr>
            </w:pPr>
            <w:del w:id="13463" w:author="AbbVie19" w:date="2025-04-16T12:22:00Z">
              <w:r w:rsidRPr="00BC0E7E">
                <w:rPr>
                  <w:b/>
                  <w:bCs/>
                  <w:szCs w:val="22"/>
                  <w:lang w:val="hu-HU"/>
                </w:rPr>
                <w:delText>Magyarország</w:delText>
              </w:r>
            </w:del>
          </w:p>
          <w:p w14:paraId="2B00F68E" w14:textId="77777777" w:rsidR="00BC0E7E" w:rsidRPr="00BC0E7E" w:rsidRDefault="00944B8F" w:rsidP="00BC0E7E">
            <w:pPr>
              <w:rPr>
                <w:del w:id="13464" w:author="AbbVie19" w:date="2025-04-16T12:22:00Z"/>
                <w:bCs/>
                <w:szCs w:val="22"/>
                <w:lang w:val="hu-HU"/>
              </w:rPr>
            </w:pPr>
            <w:del w:id="13465" w:author="AbbVie19" w:date="2025-04-16T12:22:00Z">
              <w:r w:rsidRPr="00BC0E7E">
                <w:rPr>
                  <w:bCs/>
                  <w:szCs w:val="22"/>
                  <w:lang w:val="hu-HU"/>
                </w:rPr>
                <w:delText>AbbVie Kft.</w:delText>
              </w:r>
            </w:del>
          </w:p>
          <w:p w14:paraId="5EFF5D7B" w14:textId="77777777" w:rsidR="00BC0E7E" w:rsidRPr="00BC0E7E" w:rsidRDefault="00944B8F" w:rsidP="00BC0E7E">
            <w:pPr>
              <w:tabs>
                <w:tab w:val="left" w:pos="2380"/>
              </w:tabs>
              <w:rPr>
                <w:del w:id="13466" w:author="AbbVie19" w:date="2025-04-16T12:22:00Z"/>
                <w:bCs/>
                <w:szCs w:val="22"/>
                <w:lang w:val="hu-HU"/>
              </w:rPr>
            </w:pPr>
            <w:del w:id="13467" w:author="AbbVie19" w:date="2025-04-16T12:22:00Z">
              <w:r w:rsidRPr="00BC0E7E">
                <w:rPr>
                  <w:bCs/>
                  <w:szCs w:val="22"/>
                  <w:lang w:val="hu-HU"/>
                </w:rPr>
                <w:delText>Tel.:+36 1 455 8600</w:delText>
              </w:r>
            </w:del>
          </w:p>
        </w:tc>
      </w:tr>
      <w:tr w:rsidR="00C6578C" w14:paraId="2106718A" w14:textId="77777777" w:rsidTr="00171601">
        <w:trPr>
          <w:gridBefore w:val="1"/>
          <w:wBefore w:w="34" w:type="dxa"/>
          <w:trHeight w:val="702"/>
          <w:del w:id="13468" w:author="AbbVie19" w:date="2025-04-16T12:22:00Z"/>
        </w:trPr>
        <w:tc>
          <w:tcPr>
            <w:tcW w:w="4644" w:type="dxa"/>
          </w:tcPr>
          <w:p w14:paraId="1E3CB1FD" w14:textId="77777777" w:rsidR="00BC0E7E" w:rsidRPr="00BC0E7E" w:rsidRDefault="00944B8F" w:rsidP="00BC0E7E">
            <w:pPr>
              <w:rPr>
                <w:del w:id="13469" w:author="AbbVie19" w:date="2025-04-16T12:22:00Z"/>
                <w:b/>
                <w:bCs/>
                <w:szCs w:val="22"/>
              </w:rPr>
            </w:pPr>
            <w:del w:id="13470" w:author="AbbVie19" w:date="2025-04-16T12:22:00Z">
              <w:r w:rsidRPr="00BC0E7E">
                <w:rPr>
                  <w:b/>
                  <w:bCs/>
                  <w:szCs w:val="22"/>
                </w:rPr>
                <w:delText>Danmark</w:delText>
              </w:r>
            </w:del>
          </w:p>
          <w:p w14:paraId="1984F4E1" w14:textId="77777777" w:rsidR="00BC0E7E" w:rsidRPr="00BC0E7E" w:rsidRDefault="00944B8F" w:rsidP="00BC0E7E">
            <w:pPr>
              <w:rPr>
                <w:del w:id="13471" w:author="AbbVie19" w:date="2025-04-16T12:22:00Z"/>
                <w:bCs/>
                <w:szCs w:val="22"/>
              </w:rPr>
            </w:pPr>
            <w:del w:id="13472" w:author="AbbVie19" w:date="2025-04-16T12:22:00Z">
              <w:r w:rsidRPr="00BC0E7E">
                <w:rPr>
                  <w:bCs/>
                  <w:szCs w:val="22"/>
                </w:rPr>
                <w:delText>AbbVie A/S</w:delText>
              </w:r>
            </w:del>
          </w:p>
          <w:p w14:paraId="1CB31789" w14:textId="77777777" w:rsidR="00BC0E7E" w:rsidRDefault="00944B8F" w:rsidP="00BC0E7E">
            <w:pPr>
              <w:rPr>
                <w:del w:id="13473" w:author="AbbVie19" w:date="2025-04-16T12:22:00Z"/>
                <w:bCs/>
                <w:szCs w:val="22"/>
              </w:rPr>
            </w:pPr>
            <w:del w:id="13474" w:author="AbbVie19" w:date="2025-04-16T12:22:00Z">
              <w:r w:rsidRPr="00BC0E7E">
                <w:rPr>
                  <w:bCs/>
                  <w:szCs w:val="22"/>
                </w:rPr>
                <w:delText>Tlf: +45 72 30-20-28</w:delText>
              </w:r>
            </w:del>
          </w:p>
          <w:p w14:paraId="1D9A944D" w14:textId="77777777" w:rsidR="00504E25" w:rsidRPr="00BC0E7E" w:rsidRDefault="00504E25" w:rsidP="00BC0E7E">
            <w:pPr>
              <w:rPr>
                <w:del w:id="13475" w:author="AbbVie19" w:date="2025-04-16T12:22:00Z"/>
                <w:bCs/>
                <w:szCs w:val="22"/>
              </w:rPr>
            </w:pPr>
          </w:p>
        </w:tc>
        <w:tc>
          <w:tcPr>
            <w:tcW w:w="4678" w:type="dxa"/>
          </w:tcPr>
          <w:p w14:paraId="4E3803EC" w14:textId="77777777" w:rsidR="00BC0E7E" w:rsidRPr="00BC0E7E" w:rsidRDefault="00944B8F" w:rsidP="00BC0E7E">
            <w:pPr>
              <w:rPr>
                <w:del w:id="13476" w:author="AbbVie19" w:date="2025-04-16T12:22:00Z"/>
                <w:b/>
                <w:bCs/>
                <w:szCs w:val="22"/>
                <w:lang w:val="mt-MT"/>
              </w:rPr>
            </w:pPr>
            <w:del w:id="13477" w:author="AbbVie19" w:date="2025-04-16T12:22:00Z">
              <w:r w:rsidRPr="00BC0E7E">
                <w:rPr>
                  <w:b/>
                  <w:bCs/>
                  <w:szCs w:val="22"/>
                  <w:lang w:val="mt-MT"/>
                </w:rPr>
                <w:delText>Malta</w:delText>
              </w:r>
            </w:del>
          </w:p>
          <w:p w14:paraId="55FB462E" w14:textId="77777777" w:rsidR="00BC0E7E" w:rsidRPr="00BC0E7E" w:rsidRDefault="00944B8F" w:rsidP="00BC0E7E">
            <w:pPr>
              <w:rPr>
                <w:del w:id="13478" w:author="AbbVie19" w:date="2025-04-16T12:22:00Z"/>
                <w:bCs/>
                <w:szCs w:val="22"/>
                <w:lang w:val="sv-SE"/>
              </w:rPr>
            </w:pPr>
            <w:del w:id="13479" w:author="AbbVie19" w:date="2025-04-16T12:22:00Z">
              <w:r w:rsidRPr="00BC0E7E">
                <w:rPr>
                  <w:bCs/>
                  <w:szCs w:val="22"/>
                  <w:lang w:val="sv-SE"/>
                </w:rPr>
                <w:delText xml:space="preserve">V.J.Salomone Pharma Limited </w:delText>
              </w:r>
            </w:del>
          </w:p>
          <w:p w14:paraId="23C03D90" w14:textId="77777777" w:rsidR="00BC0E7E" w:rsidRPr="00BC0E7E" w:rsidRDefault="00944B8F" w:rsidP="00BC0E7E">
            <w:pPr>
              <w:rPr>
                <w:del w:id="13480" w:author="AbbVie19" w:date="2025-04-16T12:22:00Z"/>
                <w:bCs/>
                <w:szCs w:val="22"/>
              </w:rPr>
            </w:pPr>
            <w:del w:id="13481" w:author="AbbVie19" w:date="2025-04-16T12:22:00Z">
              <w:r w:rsidRPr="00BC0E7E">
                <w:rPr>
                  <w:bCs/>
                  <w:szCs w:val="22"/>
                </w:rPr>
                <w:delText xml:space="preserve">Tel: </w:delText>
              </w:r>
              <w:r w:rsidR="00B745CF">
                <w:rPr>
                  <w:bCs/>
                  <w:szCs w:val="22"/>
                </w:rPr>
                <w:delText>+356 21220174</w:delText>
              </w:r>
            </w:del>
          </w:p>
        </w:tc>
      </w:tr>
      <w:tr w:rsidR="00C6578C" w14:paraId="711243C3" w14:textId="77777777" w:rsidTr="00171601">
        <w:trPr>
          <w:gridBefore w:val="1"/>
          <w:wBefore w:w="34" w:type="dxa"/>
          <w:del w:id="13482" w:author="AbbVie19" w:date="2025-04-16T12:22:00Z"/>
        </w:trPr>
        <w:tc>
          <w:tcPr>
            <w:tcW w:w="4644" w:type="dxa"/>
          </w:tcPr>
          <w:p w14:paraId="0F3E85C4" w14:textId="77777777" w:rsidR="00BC0E7E" w:rsidRPr="00BC0E7E" w:rsidRDefault="00944B8F" w:rsidP="00171601">
            <w:pPr>
              <w:keepNext/>
              <w:rPr>
                <w:del w:id="13483" w:author="AbbVie19" w:date="2025-04-16T12:22:00Z"/>
                <w:b/>
                <w:bCs/>
                <w:szCs w:val="22"/>
                <w:lang w:val="de-DE"/>
              </w:rPr>
            </w:pPr>
            <w:del w:id="13484" w:author="AbbVie19" w:date="2025-04-16T12:22:00Z">
              <w:r w:rsidRPr="00BC0E7E">
                <w:rPr>
                  <w:b/>
                  <w:bCs/>
                  <w:szCs w:val="22"/>
                  <w:lang w:val="de-DE"/>
                </w:rPr>
                <w:lastRenderedPageBreak/>
                <w:delText>Deutschland</w:delText>
              </w:r>
            </w:del>
          </w:p>
          <w:p w14:paraId="6C9E6061" w14:textId="77777777" w:rsidR="00BC0E7E" w:rsidRPr="00BC0E7E" w:rsidRDefault="00944B8F" w:rsidP="00171601">
            <w:pPr>
              <w:keepNext/>
              <w:rPr>
                <w:del w:id="13485" w:author="AbbVie19" w:date="2025-04-16T12:22:00Z"/>
                <w:bCs/>
                <w:szCs w:val="22"/>
                <w:lang w:val="de-DE"/>
              </w:rPr>
            </w:pPr>
            <w:del w:id="13486" w:author="AbbVie19" w:date="2025-04-16T12:22:00Z">
              <w:r w:rsidRPr="00BC0E7E">
                <w:rPr>
                  <w:szCs w:val="22"/>
                  <w:lang w:val="de-DE"/>
                </w:rPr>
                <w:delText xml:space="preserve">AbbVie Deutschland </w:delText>
              </w:r>
              <w:r w:rsidRPr="00BC0E7E">
                <w:rPr>
                  <w:bCs/>
                  <w:szCs w:val="22"/>
                  <w:lang w:val="de-DE"/>
                </w:rPr>
                <w:delText>GmbH &amp; Co. KG</w:delText>
              </w:r>
            </w:del>
          </w:p>
          <w:p w14:paraId="12E46194" w14:textId="77777777" w:rsidR="00BC0E7E" w:rsidRPr="00BC0E7E" w:rsidRDefault="00944B8F" w:rsidP="00171601">
            <w:pPr>
              <w:keepNext/>
              <w:rPr>
                <w:del w:id="13487" w:author="AbbVie19" w:date="2025-04-16T12:22:00Z"/>
                <w:szCs w:val="22"/>
                <w:lang w:val="de-DE"/>
              </w:rPr>
            </w:pPr>
            <w:del w:id="13488" w:author="AbbVie19" w:date="2025-04-16T12:22:00Z">
              <w:r w:rsidRPr="00BC0E7E">
                <w:rPr>
                  <w:szCs w:val="22"/>
                  <w:lang w:val="de-DE"/>
                </w:rPr>
                <w:delText>Tel: 00800 222843 33 (gebührenfrei)</w:delText>
              </w:r>
            </w:del>
          </w:p>
          <w:p w14:paraId="5E801373" w14:textId="77777777" w:rsidR="00BC0E7E" w:rsidRDefault="00944B8F" w:rsidP="00171601">
            <w:pPr>
              <w:keepNext/>
              <w:rPr>
                <w:del w:id="13489" w:author="AbbVie19" w:date="2025-04-16T12:22:00Z"/>
                <w:szCs w:val="22"/>
                <w:lang w:val="de-DE"/>
              </w:rPr>
            </w:pPr>
            <w:del w:id="13490" w:author="AbbVie19" w:date="2025-04-16T12:22:00Z">
              <w:r w:rsidRPr="00BC0E7E">
                <w:rPr>
                  <w:szCs w:val="22"/>
                  <w:lang w:val="de-DE"/>
                </w:rPr>
                <w:delText>Tel: +49 (0) 611 / 1720-0</w:delText>
              </w:r>
            </w:del>
          </w:p>
          <w:p w14:paraId="727714D1" w14:textId="77777777" w:rsidR="00504E25" w:rsidRPr="00BC0E7E" w:rsidRDefault="00504E25" w:rsidP="00171601">
            <w:pPr>
              <w:keepNext/>
              <w:rPr>
                <w:del w:id="13491" w:author="AbbVie19" w:date="2025-04-16T12:22:00Z"/>
                <w:szCs w:val="22"/>
                <w:lang w:val="de-DE"/>
              </w:rPr>
            </w:pPr>
          </w:p>
        </w:tc>
        <w:tc>
          <w:tcPr>
            <w:tcW w:w="4678" w:type="dxa"/>
          </w:tcPr>
          <w:p w14:paraId="5D66814C" w14:textId="77777777" w:rsidR="00BC0E7E" w:rsidRPr="00BC0E7E" w:rsidRDefault="00944B8F" w:rsidP="00171601">
            <w:pPr>
              <w:keepNext/>
              <w:rPr>
                <w:del w:id="13492" w:author="AbbVie19" w:date="2025-04-16T12:22:00Z"/>
                <w:b/>
                <w:bCs/>
                <w:szCs w:val="22"/>
                <w:lang w:val="nl-NL"/>
              </w:rPr>
            </w:pPr>
            <w:del w:id="13493" w:author="AbbVie19" w:date="2025-04-16T12:22:00Z">
              <w:r w:rsidRPr="00BC0E7E">
                <w:rPr>
                  <w:b/>
                  <w:bCs/>
                  <w:szCs w:val="22"/>
                  <w:lang w:val="nl-NL"/>
                </w:rPr>
                <w:delText>Nederland</w:delText>
              </w:r>
            </w:del>
          </w:p>
          <w:p w14:paraId="407B25B0" w14:textId="77777777" w:rsidR="00BC0E7E" w:rsidRPr="00BC0E7E" w:rsidRDefault="00944B8F" w:rsidP="00171601">
            <w:pPr>
              <w:keepNext/>
              <w:rPr>
                <w:del w:id="13494" w:author="AbbVie19" w:date="2025-04-16T12:22:00Z"/>
                <w:bCs/>
                <w:szCs w:val="22"/>
                <w:lang w:val="de-DE"/>
              </w:rPr>
            </w:pPr>
            <w:del w:id="13495" w:author="AbbVie19" w:date="2025-04-16T12:22:00Z">
              <w:r w:rsidRPr="00BC0E7E">
                <w:rPr>
                  <w:bCs/>
                  <w:szCs w:val="22"/>
                  <w:lang w:val="de-DE"/>
                </w:rPr>
                <w:delText>AbbVie B.V.</w:delText>
              </w:r>
            </w:del>
          </w:p>
          <w:p w14:paraId="4F61AC0D" w14:textId="77777777" w:rsidR="00BC0E7E" w:rsidRPr="00BC0E7E" w:rsidRDefault="00944B8F" w:rsidP="00171601">
            <w:pPr>
              <w:keepNext/>
              <w:rPr>
                <w:del w:id="13496" w:author="AbbVie19" w:date="2025-04-16T12:22:00Z"/>
                <w:bCs/>
                <w:szCs w:val="22"/>
                <w:lang w:val="de-DE"/>
              </w:rPr>
            </w:pPr>
            <w:del w:id="13497" w:author="AbbVie19" w:date="2025-04-16T12:22:00Z">
              <w:r w:rsidRPr="00BC0E7E">
                <w:rPr>
                  <w:bCs/>
                  <w:szCs w:val="22"/>
                  <w:lang w:val="de-DE"/>
                </w:rPr>
                <w:delText>Tel:  +31 (0)88 322 2843</w:delText>
              </w:r>
            </w:del>
          </w:p>
        </w:tc>
      </w:tr>
      <w:tr w:rsidR="00C6578C" w14:paraId="0E05A2FA" w14:textId="77777777" w:rsidTr="00171601">
        <w:trPr>
          <w:gridBefore w:val="1"/>
          <w:wBefore w:w="34" w:type="dxa"/>
          <w:del w:id="13498" w:author="AbbVie19" w:date="2025-04-16T12:22:00Z"/>
        </w:trPr>
        <w:tc>
          <w:tcPr>
            <w:tcW w:w="4644" w:type="dxa"/>
          </w:tcPr>
          <w:p w14:paraId="64BE9642" w14:textId="77777777" w:rsidR="00BC0E7E" w:rsidRPr="00BC0E7E" w:rsidRDefault="00944B8F" w:rsidP="00083C28">
            <w:pPr>
              <w:keepNext/>
              <w:rPr>
                <w:del w:id="13499" w:author="AbbVie19" w:date="2025-04-16T12:22:00Z"/>
                <w:b/>
                <w:bCs/>
                <w:szCs w:val="22"/>
                <w:lang w:val="et-EE"/>
              </w:rPr>
            </w:pPr>
            <w:del w:id="13500" w:author="AbbVie19" w:date="2025-04-16T12:22:00Z">
              <w:r w:rsidRPr="00BC0E7E">
                <w:rPr>
                  <w:b/>
                  <w:bCs/>
                  <w:szCs w:val="22"/>
                  <w:lang w:val="et-EE"/>
                </w:rPr>
                <w:delText>Eesti</w:delText>
              </w:r>
            </w:del>
          </w:p>
          <w:p w14:paraId="7E975D15" w14:textId="77777777" w:rsidR="00BC0E7E" w:rsidRPr="00BC0E7E" w:rsidRDefault="00944B8F" w:rsidP="00083C28">
            <w:pPr>
              <w:keepNext/>
              <w:rPr>
                <w:del w:id="13501" w:author="AbbVie19" w:date="2025-04-16T12:22:00Z"/>
                <w:bCs/>
                <w:szCs w:val="22"/>
                <w:lang w:val="et-EE"/>
              </w:rPr>
            </w:pPr>
            <w:del w:id="13502" w:author="AbbVie19" w:date="2025-04-16T12:22:00Z">
              <w:r w:rsidRPr="00BC0E7E">
                <w:rPr>
                  <w:bCs/>
                  <w:szCs w:val="22"/>
                  <w:lang w:val="et-EE"/>
                </w:rPr>
                <w:delText xml:space="preserve">AbbVie </w:delText>
              </w:r>
              <w:r w:rsidR="001B6F9C" w:rsidRPr="00F66039">
                <w:rPr>
                  <w:bCs/>
                  <w:szCs w:val="22"/>
                </w:rPr>
                <w:delText>OÜ</w:delText>
              </w:r>
            </w:del>
          </w:p>
          <w:p w14:paraId="0FDAD92E" w14:textId="77777777" w:rsidR="00BC0E7E" w:rsidRDefault="00944B8F" w:rsidP="00083C28">
            <w:pPr>
              <w:keepNext/>
              <w:rPr>
                <w:del w:id="13503" w:author="AbbVie19" w:date="2025-04-16T12:22:00Z"/>
                <w:bCs/>
                <w:szCs w:val="22"/>
                <w:lang w:val="et-EE"/>
              </w:rPr>
            </w:pPr>
            <w:del w:id="13504" w:author="AbbVie19" w:date="2025-04-16T12:22:00Z">
              <w:r w:rsidRPr="00BC0E7E">
                <w:rPr>
                  <w:bCs/>
                  <w:szCs w:val="22"/>
                  <w:lang w:val="et-EE"/>
                </w:rPr>
                <w:delText>Tel: +372 623 1011</w:delText>
              </w:r>
            </w:del>
          </w:p>
          <w:p w14:paraId="59CA7893" w14:textId="77777777" w:rsidR="00504E25" w:rsidRPr="00BC0E7E" w:rsidRDefault="00504E25" w:rsidP="00083C28">
            <w:pPr>
              <w:keepNext/>
              <w:rPr>
                <w:del w:id="13505" w:author="AbbVie19" w:date="2025-04-16T12:22:00Z"/>
                <w:bCs/>
                <w:szCs w:val="22"/>
                <w:lang w:val="lv-LV"/>
              </w:rPr>
            </w:pPr>
          </w:p>
        </w:tc>
        <w:tc>
          <w:tcPr>
            <w:tcW w:w="4678" w:type="dxa"/>
          </w:tcPr>
          <w:p w14:paraId="47808874" w14:textId="77777777" w:rsidR="00BC0E7E" w:rsidRPr="009C43CF" w:rsidRDefault="00944B8F" w:rsidP="00BC0E7E">
            <w:pPr>
              <w:rPr>
                <w:del w:id="13506" w:author="AbbVie19" w:date="2025-04-16T12:22:00Z"/>
                <w:b/>
                <w:bCs/>
                <w:szCs w:val="22"/>
                <w:lang w:val="en-US"/>
                <w:rPrChange w:id="13507" w:author="AbbVie19" w:date="2025-04-17T10:29:00Z">
                  <w:rPr>
                    <w:del w:id="13508" w:author="AbbVie19" w:date="2025-04-16T12:22:00Z"/>
                    <w:b/>
                    <w:bCs/>
                    <w:szCs w:val="22"/>
                    <w:lang w:val="nb-NO"/>
                  </w:rPr>
                </w:rPrChange>
              </w:rPr>
            </w:pPr>
            <w:del w:id="13509" w:author="AbbVie19" w:date="2025-04-16T12:22:00Z">
              <w:r w:rsidRPr="009C43CF">
                <w:rPr>
                  <w:b/>
                  <w:bCs/>
                  <w:szCs w:val="22"/>
                  <w:lang w:val="en-US"/>
                  <w:rPrChange w:id="13510" w:author="AbbVie19" w:date="2025-04-17T10:29:00Z">
                    <w:rPr>
                      <w:b/>
                      <w:bCs/>
                      <w:szCs w:val="22"/>
                      <w:lang w:val="nb-NO"/>
                    </w:rPr>
                  </w:rPrChange>
                </w:rPr>
                <w:delText>Norge</w:delText>
              </w:r>
            </w:del>
          </w:p>
          <w:p w14:paraId="28FF96F2" w14:textId="77777777" w:rsidR="00BC0E7E" w:rsidRPr="00BC0E7E" w:rsidRDefault="00944B8F" w:rsidP="00BC0E7E">
            <w:pPr>
              <w:rPr>
                <w:del w:id="13511" w:author="AbbVie19" w:date="2025-04-16T12:22:00Z"/>
                <w:bCs/>
                <w:szCs w:val="22"/>
              </w:rPr>
            </w:pPr>
            <w:del w:id="13512" w:author="AbbVie19" w:date="2025-04-16T12:22:00Z">
              <w:r w:rsidRPr="00BC0E7E">
                <w:rPr>
                  <w:bCs/>
                  <w:szCs w:val="22"/>
                </w:rPr>
                <w:delText>AbbVie AS</w:delText>
              </w:r>
            </w:del>
          </w:p>
          <w:p w14:paraId="704E7C5B" w14:textId="77777777" w:rsidR="00BC0E7E" w:rsidRPr="00BC0E7E" w:rsidRDefault="00944B8F" w:rsidP="00BC0E7E">
            <w:pPr>
              <w:rPr>
                <w:del w:id="13513" w:author="AbbVie19" w:date="2025-04-16T12:22:00Z"/>
                <w:bCs/>
                <w:szCs w:val="22"/>
              </w:rPr>
            </w:pPr>
            <w:del w:id="13514" w:author="AbbVie19" w:date="2025-04-16T12:22:00Z">
              <w:r w:rsidRPr="00BC0E7E">
                <w:rPr>
                  <w:bCs/>
                  <w:szCs w:val="22"/>
                </w:rPr>
                <w:delText>Tlf: +47 67 81 80 00</w:delText>
              </w:r>
            </w:del>
          </w:p>
        </w:tc>
      </w:tr>
      <w:tr w:rsidR="00C6578C" w14:paraId="749CCDA1" w14:textId="77777777" w:rsidTr="00171601">
        <w:trPr>
          <w:gridBefore w:val="1"/>
          <w:wBefore w:w="34" w:type="dxa"/>
          <w:trHeight w:val="896"/>
          <w:del w:id="13515" w:author="AbbVie19" w:date="2025-04-16T12:22:00Z"/>
        </w:trPr>
        <w:tc>
          <w:tcPr>
            <w:tcW w:w="4644" w:type="dxa"/>
          </w:tcPr>
          <w:p w14:paraId="094A044D" w14:textId="77777777" w:rsidR="00BC0E7E" w:rsidRPr="00BC0E7E" w:rsidRDefault="00944B8F" w:rsidP="00BC0E7E">
            <w:pPr>
              <w:rPr>
                <w:del w:id="13516" w:author="AbbVie19" w:date="2025-04-16T12:22:00Z"/>
                <w:b/>
                <w:bCs/>
                <w:szCs w:val="22"/>
                <w:lang w:val="el-GR"/>
              </w:rPr>
            </w:pPr>
            <w:del w:id="13517" w:author="AbbVie19" w:date="2025-04-16T12:22:00Z">
              <w:r w:rsidRPr="00BC0E7E">
                <w:rPr>
                  <w:b/>
                  <w:bCs/>
                  <w:szCs w:val="22"/>
                  <w:lang w:val="el-GR"/>
                </w:rPr>
                <w:delText>Ελλάδα</w:delText>
              </w:r>
            </w:del>
          </w:p>
          <w:p w14:paraId="7793A947" w14:textId="77777777" w:rsidR="00BC0E7E" w:rsidRPr="00BC0E7E" w:rsidRDefault="00944B8F" w:rsidP="00BC0E7E">
            <w:pPr>
              <w:rPr>
                <w:del w:id="13518" w:author="AbbVie19" w:date="2025-04-16T12:22:00Z"/>
                <w:bCs/>
                <w:szCs w:val="22"/>
                <w:lang w:val="el-GR"/>
              </w:rPr>
            </w:pPr>
            <w:del w:id="13519" w:author="AbbVie19" w:date="2025-04-16T12:22:00Z">
              <w:r w:rsidRPr="00BC0E7E">
                <w:rPr>
                  <w:bCs/>
                  <w:szCs w:val="22"/>
                  <w:lang w:val="et-EE"/>
                </w:rPr>
                <w:delText xml:space="preserve">AbbVie </w:delText>
              </w:r>
              <w:r w:rsidRPr="00BC0E7E">
                <w:rPr>
                  <w:szCs w:val="22"/>
                  <w:lang w:val="el-GR"/>
                </w:rPr>
                <w:delText>ΦΑΡΜΑΚΕΥΤΙΚΗ Α.Ε.</w:delText>
              </w:r>
            </w:del>
          </w:p>
          <w:p w14:paraId="76D2088B" w14:textId="77777777" w:rsidR="00BC0E7E" w:rsidRPr="00BC0E7E" w:rsidRDefault="00944B8F" w:rsidP="00BC0E7E">
            <w:pPr>
              <w:rPr>
                <w:del w:id="13520" w:author="AbbVie19" w:date="2025-04-16T12:22:00Z"/>
                <w:bCs/>
                <w:szCs w:val="22"/>
              </w:rPr>
            </w:pPr>
            <w:del w:id="13521" w:author="AbbVie19" w:date="2025-04-16T12:22:00Z">
              <w:r w:rsidRPr="00BC0E7E">
                <w:rPr>
                  <w:bCs/>
                  <w:szCs w:val="22"/>
                  <w:lang w:val="el-GR"/>
                </w:rPr>
                <w:delText xml:space="preserve">Τηλ: +30 </w:delText>
              </w:r>
              <w:r w:rsidRPr="00BC0E7E">
                <w:rPr>
                  <w:bCs/>
                  <w:szCs w:val="22"/>
                </w:rPr>
                <w:delText>214 4165 555</w:delText>
              </w:r>
            </w:del>
          </w:p>
        </w:tc>
        <w:tc>
          <w:tcPr>
            <w:tcW w:w="4678" w:type="dxa"/>
          </w:tcPr>
          <w:p w14:paraId="729EB128" w14:textId="77777777" w:rsidR="00BC0E7E" w:rsidRPr="00BC0E7E" w:rsidRDefault="00944B8F" w:rsidP="00BC0E7E">
            <w:pPr>
              <w:rPr>
                <w:del w:id="13522" w:author="AbbVie19" w:date="2025-04-16T12:22:00Z"/>
                <w:b/>
                <w:bCs/>
                <w:szCs w:val="22"/>
                <w:lang w:val="de-DE"/>
              </w:rPr>
            </w:pPr>
            <w:del w:id="13523" w:author="AbbVie19" w:date="2025-04-16T12:22:00Z">
              <w:r w:rsidRPr="00BC0E7E">
                <w:rPr>
                  <w:b/>
                  <w:bCs/>
                  <w:szCs w:val="22"/>
                  <w:lang w:val="de-DE"/>
                </w:rPr>
                <w:delText>Österreich</w:delText>
              </w:r>
            </w:del>
          </w:p>
          <w:p w14:paraId="4CFF44B1" w14:textId="77777777" w:rsidR="00BC0E7E" w:rsidRPr="00BC0E7E" w:rsidRDefault="00944B8F" w:rsidP="00BC0E7E">
            <w:pPr>
              <w:rPr>
                <w:del w:id="13524" w:author="AbbVie19" w:date="2025-04-16T12:22:00Z"/>
                <w:bCs/>
                <w:szCs w:val="22"/>
                <w:lang w:val="de-DE"/>
              </w:rPr>
            </w:pPr>
            <w:del w:id="13525" w:author="AbbVie19" w:date="2025-04-16T12:22:00Z">
              <w:r w:rsidRPr="00BC0E7E">
                <w:rPr>
                  <w:bCs/>
                  <w:szCs w:val="22"/>
                  <w:lang w:val="de-DE"/>
                </w:rPr>
                <w:delText xml:space="preserve">AbbVie GmbH </w:delText>
              </w:r>
            </w:del>
          </w:p>
          <w:p w14:paraId="77FB0932" w14:textId="77777777" w:rsidR="00BC0E7E" w:rsidRPr="00BC0E7E" w:rsidRDefault="00944B8F" w:rsidP="00BC0E7E">
            <w:pPr>
              <w:rPr>
                <w:del w:id="13526" w:author="AbbVie19" w:date="2025-04-16T12:22:00Z"/>
                <w:bCs/>
                <w:szCs w:val="22"/>
                <w:lang w:val="de-DE"/>
              </w:rPr>
            </w:pPr>
            <w:del w:id="13527" w:author="AbbVie19" w:date="2025-04-16T12:22:00Z">
              <w:r w:rsidRPr="00BC0E7E">
                <w:rPr>
                  <w:bCs/>
                  <w:szCs w:val="22"/>
                  <w:lang w:val="de-DE"/>
                </w:rPr>
                <w:delText>Tel: +43 1 20589-0</w:delText>
              </w:r>
            </w:del>
          </w:p>
        </w:tc>
      </w:tr>
      <w:tr w:rsidR="00C6578C" w14:paraId="5BF2ACFF" w14:textId="77777777" w:rsidTr="00171601">
        <w:trPr>
          <w:gridBefore w:val="1"/>
          <w:wBefore w:w="34" w:type="dxa"/>
          <w:del w:id="13528" w:author="AbbVie19" w:date="2025-04-16T12:22:00Z"/>
        </w:trPr>
        <w:tc>
          <w:tcPr>
            <w:tcW w:w="4644" w:type="dxa"/>
          </w:tcPr>
          <w:p w14:paraId="3E898D1A" w14:textId="77777777" w:rsidR="00BC0E7E" w:rsidRPr="00BC0E7E" w:rsidRDefault="00944B8F" w:rsidP="00BC0E7E">
            <w:pPr>
              <w:rPr>
                <w:del w:id="13529" w:author="AbbVie19" w:date="2025-04-16T12:22:00Z"/>
                <w:b/>
                <w:bCs/>
                <w:szCs w:val="22"/>
                <w:lang w:val="es-ES"/>
              </w:rPr>
            </w:pPr>
            <w:del w:id="13530" w:author="AbbVie19" w:date="2025-04-16T12:22:00Z">
              <w:r w:rsidRPr="00BC0E7E">
                <w:rPr>
                  <w:b/>
                  <w:bCs/>
                  <w:szCs w:val="22"/>
                  <w:lang w:val="es-ES"/>
                </w:rPr>
                <w:delText>España</w:delText>
              </w:r>
            </w:del>
          </w:p>
          <w:p w14:paraId="3DF702C6" w14:textId="77777777" w:rsidR="00BC0E7E" w:rsidRPr="00433FAD" w:rsidRDefault="00944B8F" w:rsidP="00BC0E7E">
            <w:pPr>
              <w:rPr>
                <w:del w:id="13531" w:author="AbbVie19" w:date="2025-04-16T12:22:00Z"/>
                <w:szCs w:val="22"/>
                <w:lang w:val="es-MX"/>
              </w:rPr>
            </w:pPr>
            <w:del w:id="13532" w:author="AbbVie19" w:date="2025-04-16T12:22:00Z">
              <w:r w:rsidRPr="00433FAD">
                <w:rPr>
                  <w:bCs/>
                  <w:szCs w:val="22"/>
                  <w:lang w:val="es-MX"/>
                </w:rPr>
                <w:delText>AbbVie Spain, S.L.U.</w:delText>
              </w:r>
            </w:del>
          </w:p>
          <w:p w14:paraId="48324816" w14:textId="77777777" w:rsidR="00BC0E7E" w:rsidRDefault="00944B8F" w:rsidP="00BC0E7E">
            <w:pPr>
              <w:rPr>
                <w:del w:id="13533" w:author="AbbVie19" w:date="2025-04-16T12:22:00Z"/>
                <w:bCs/>
                <w:szCs w:val="22"/>
                <w:lang w:val="pt-PT"/>
              </w:rPr>
            </w:pPr>
            <w:del w:id="13534" w:author="AbbVie19" w:date="2025-04-16T12:22:00Z">
              <w:r w:rsidRPr="00BC0E7E">
                <w:rPr>
                  <w:bCs/>
                  <w:szCs w:val="22"/>
                  <w:lang w:val="pt-PT"/>
                </w:rPr>
                <w:delText>Tel:  +34 91 384 09 10</w:delText>
              </w:r>
            </w:del>
          </w:p>
          <w:p w14:paraId="4C044BE2" w14:textId="77777777" w:rsidR="00504E25" w:rsidRPr="00BC0E7E" w:rsidRDefault="00504E25" w:rsidP="00BC0E7E">
            <w:pPr>
              <w:rPr>
                <w:del w:id="13535" w:author="AbbVie19" w:date="2025-04-16T12:22:00Z"/>
                <w:bCs/>
                <w:szCs w:val="22"/>
                <w:lang w:val="pl-PL"/>
              </w:rPr>
            </w:pPr>
          </w:p>
        </w:tc>
        <w:tc>
          <w:tcPr>
            <w:tcW w:w="4678" w:type="dxa"/>
          </w:tcPr>
          <w:p w14:paraId="5BDFF969" w14:textId="77777777" w:rsidR="00BC0E7E" w:rsidRPr="00BC0E7E" w:rsidRDefault="00944B8F" w:rsidP="00BC0E7E">
            <w:pPr>
              <w:rPr>
                <w:del w:id="13536" w:author="AbbVie19" w:date="2025-04-16T12:22:00Z"/>
                <w:b/>
                <w:bCs/>
                <w:iCs/>
                <w:szCs w:val="22"/>
                <w:lang w:val="pl-PL"/>
              </w:rPr>
            </w:pPr>
            <w:del w:id="13537" w:author="AbbVie19" w:date="2025-04-16T12:22:00Z">
              <w:r w:rsidRPr="00BC0E7E">
                <w:rPr>
                  <w:b/>
                  <w:bCs/>
                  <w:iCs/>
                  <w:szCs w:val="22"/>
                  <w:lang w:val="pl-PL"/>
                </w:rPr>
                <w:delText>Polska</w:delText>
              </w:r>
            </w:del>
          </w:p>
          <w:p w14:paraId="3A7028F5" w14:textId="77777777" w:rsidR="00BC0E7E" w:rsidRPr="00BC0E7E" w:rsidRDefault="00944B8F" w:rsidP="00BC0E7E">
            <w:pPr>
              <w:rPr>
                <w:del w:id="13538" w:author="AbbVie19" w:date="2025-04-16T12:22:00Z"/>
                <w:bCs/>
                <w:szCs w:val="22"/>
                <w:lang w:val="pl-PL"/>
              </w:rPr>
            </w:pPr>
            <w:del w:id="13539" w:author="AbbVie19" w:date="2025-04-16T12:22:00Z">
              <w:r w:rsidRPr="00BC0E7E">
                <w:rPr>
                  <w:bCs/>
                  <w:szCs w:val="22"/>
                  <w:lang w:val="pl-PL"/>
                </w:rPr>
                <w:delText>AbbVie Sp. z o.o.</w:delText>
              </w:r>
            </w:del>
          </w:p>
          <w:p w14:paraId="7BE0037C" w14:textId="77777777" w:rsidR="00BC0E7E" w:rsidRPr="00BC0E7E" w:rsidRDefault="00944B8F" w:rsidP="00BC0E7E">
            <w:pPr>
              <w:tabs>
                <w:tab w:val="center" w:pos="4536"/>
                <w:tab w:val="center" w:pos="8930"/>
              </w:tabs>
              <w:rPr>
                <w:del w:id="13540" w:author="AbbVie19" w:date="2025-04-16T12:22:00Z"/>
                <w:bCs/>
                <w:szCs w:val="22"/>
                <w:lang w:val="pl-PL"/>
              </w:rPr>
            </w:pPr>
            <w:del w:id="13541" w:author="AbbVie19" w:date="2025-04-16T12:22:00Z">
              <w:r w:rsidRPr="00BC0E7E">
                <w:rPr>
                  <w:szCs w:val="22"/>
                  <w:lang w:val="es-ES"/>
                </w:rPr>
                <w:delText xml:space="preserve">Tel.: +48 22 </w:delText>
              </w:r>
              <w:r w:rsidRPr="00BC0E7E">
                <w:rPr>
                  <w:bCs/>
                  <w:szCs w:val="22"/>
                  <w:lang w:val="pl-PL"/>
                </w:rPr>
                <w:delText xml:space="preserve">372 78 00 </w:delText>
              </w:r>
            </w:del>
          </w:p>
        </w:tc>
      </w:tr>
      <w:tr w:rsidR="00C6578C" w14:paraId="11B1900B" w14:textId="77777777" w:rsidTr="00171601">
        <w:trPr>
          <w:trHeight w:val="989"/>
          <w:del w:id="13542" w:author="AbbVie19" w:date="2025-04-16T12:22:00Z"/>
        </w:trPr>
        <w:tc>
          <w:tcPr>
            <w:tcW w:w="4678" w:type="dxa"/>
            <w:gridSpan w:val="2"/>
          </w:tcPr>
          <w:p w14:paraId="07E3A3B5" w14:textId="77777777" w:rsidR="00BC0E7E" w:rsidRPr="000B7DC1" w:rsidRDefault="00944B8F" w:rsidP="00BC0E7E">
            <w:pPr>
              <w:ind w:firstLine="34"/>
              <w:rPr>
                <w:del w:id="13543" w:author="AbbVie19" w:date="2025-04-16T12:22:00Z"/>
                <w:b/>
                <w:szCs w:val="22"/>
                <w:lang w:val="en-US"/>
                <w:rPrChange w:id="13544" w:author="AbbVie33" w:date="2025-05-05T10:55:00Z">
                  <w:rPr>
                    <w:del w:id="13545" w:author="AbbVie19" w:date="2025-04-16T12:22:00Z"/>
                    <w:b/>
                    <w:bCs/>
                    <w:szCs w:val="22"/>
                    <w:lang w:val="fr-FR"/>
                  </w:rPr>
                </w:rPrChange>
              </w:rPr>
            </w:pPr>
            <w:del w:id="13546" w:author="AbbVie19" w:date="2025-04-16T12:22:00Z">
              <w:r w:rsidRPr="000B7DC1">
                <w:rPr>
                  <w:b/>
                  <w:szCs w:val="22"/>
                  <w:lang w:val="en-US"/>
                  <w:rPrChange w:id="13547" w:author="AbbVie33" w:date="2025-05-05T10:55:00Z">
                    <w:rPr>
                      <w:b/>
                      <w:bCs/>
                      <w:szCs w:val="22"/>
                      <w:lang w:val="fr-FR"/>
                    </w:rPr>
                  </w:rPrChange>
                </w:rPr>
                <w:delText>France</w:delText>
              </w:r>
            </w:del>
          </w:p>
          <w:p w14:paraId="430C0DE7" w14:textId="77777777" w:rsidR="00BC0E7E" w:rsidRPr="000B7DC1" w:rsidRDefault="00944B8F" w:rsidP="00BC0E7E">
            <w:pPr>
              <w:ind w:firstLine="34"/>
              <w:rPr>
                <w:del w:id="13548" w:author="AbbVie19" w:date="2025-04-16T12:22:00Z"/>
                <w:szCs w:val="22"/>
                <w:lang w:val="en-US"/>
                <w:rPrChange w:id="13549" w:author="AbbVie33" w:date="2025-05-05T10:55:00Z">
                  <w:rPr>
                    <w:del w:id="13550" w:author="AbbVie19" w:date="2025-04-16T12:22:00Z"/>
                    <w:bCs/>
                    <w:szCs w:val="22"/>
                    <w:lang w:val="fr-FR"/>
                  </w:rPr>
                </w:rPrChange>
              </w:rPr>
            </w:pPr>
            <w:del w:id="13551" w:author="AbbVie19" w:date="2025-04-16T12:22:00Z">
              <w:r w:rsidRPr="000B7DC1">
                <w:rPr>
                  <w:szCs w:val="22"/>
                  <w:lang w:val="en-US"/>
                  <w:rPrChange w:id="13552" w:author="AbbVie33" w:date="2025-05-05T10:55:00Z">
                    <w:rPr>
                      <w:bCs/>
                      <w:szCs w:val="22"/>
                      <w:lang w:val="fr-FR"/>
                    </w:rPr>
                  </w:rPrChange>
                </w:rPr>
                <w:delText>AbbVie</w:delText>
              </w:r>
            </w:del>
          </w:p>
          <w:p w14:paraId="407E24C5" w14:textId="77777777" w:rsidR="00BC0E7E" w:rsidRPr="000B7DC1" w:rsidRDefault="00944B8F" w:rsidP="00BC0E7E">
            <w:pPr>
              <w:ind w:firstLine="34"/>
              <w:rPr>
                <w:del w:id="13553" w:author="AbbVie19" w:date="2025-04-16T12:22:00Z"/>
                <w:szCs w:val="22"/>
                <w:lang w:val="en-US"/>
                <w:rPrChange w:id="13554" w:author="AbbVie33" w:date="2025-05-05T10:55:00Z">
                  <w:rPr>
                    <w:del w:id="13555" w:author="AbbVie19" w:date="2025-04-16T12:22:00Z"/>
                    <w:bCs/>
                    <w:szCs w:val="22"/>
                    <w:lang w:val="fr-FR"/>
                  </w:rPr>
                </w:rPrChange>
              </w:rPr>
            </w:pPr>
            <w:del w:id="13556" w:author="AbbVie19" w:date="2025-04-16T12:22:00Z">
              <w:r w:rsidRPr="000B7DC1">
                <w:rPr>
                  <w:szCs w:val="22"/>
                  <w:lang w:val="en-US"/>
                  <w:rPrChange w:id="13557" w:author="AbbVie33" w:date="2025-05-05T10:55:00Z">
                    <w:rPr>
                      <w:bCs/>
                      <w:szCs w:val="22"/>
                      <w:lang w:val="fr-FR"/>
                    </w:rPr>
                  </w:rPrChange>
                </w:rPr>
                <w:delText>Tél: +33 (0) 1 45 60 13 00</w:delText>
              </w:r>
            </w:del>
          </w:p>
        </w:tc>
        <w:tc>
          <w:tcPr>
            <w:tcW w:w="4678" w:type="dxa"/>
          </w:tcPr>
          <w:p w14:paraId="425568D7" w14:textId="77777777" w:rsidR="00BC0E7E" w:rsidRPr="00BC0E7E" w:rsidRDefault="00944B8F" w:rsidP="00BC0E7E">
            <w:pPr>
              <w:rPr>
                <w:del w:id="13558" w:author="AbbVie19" w:date="2025-04-16T12:22:00Z"/>
                <w:b/>
                <w:bCs/>
                <w:szCs w:val="22"/>
                <w:lang w:val="pt-PT"/>
              </w:rPr>
            </w:pPr>
            <w:del w:id="13559" w:author="AbbVie19" w:date="2025-04-16T12:22:00Z">
              <w:r w:rsidRPr="00BC0E7E">
                <w:rPr>
                  <w:b/>
                  <w:bCs/>
                  <w:szCs w:val="22"/>
                  <w:lang w:val="pt-PT"/>
                </w:rPr>
                <w:delText>Portugal</w:delText>
              </w:r>
            </w:del>
          </w:p>
          <w:p w14:paraId="61A3E0B0" w14:textId="77777777" w:rsidR="00BC0E7E" w:rsidRPr="000B7DC1" w:rsidRDefault="00944B8F" w:rsidP="00BC0E7E">
            <w:pPr>
              <w:tabs>
                <w:tab w:val="center" w:pos="4536"/>
                <w:tab w:val="center" w:pos="8930"/>
              </w:tabs>
              <w:rPr>
                <w:del w:id="13560" w:author="AbbVie19" w:date="2025-04-16T12:22:00Z"/>
                <w:szCs w:val="22"/>
                <w:lang w:val="en-US"/>
                <w:rPrChange w:id="13561" w:author="AbbVie33" w:date="2025-05-05T10:55:00Z">
                  <w:rPr>
                    <w:del w:id="13562" w:author="AbbVie19" w:date="2025-04-16T12:22:00Z"/>
                    <w:bCs/>
                    <w:szCs w:val="22"/>
                    <w:lang w:val="fr-FR"/>
                  </w:rPr>
                </w:rPrChange>
              </w:rPr>
            </w:pPr>
            <w:del w:id="13563" w:author="AbbVie19" w:date="2025-04-16T12:22:00Z">
              <w:r w:rsidRPr="000B7DC1">
                <w:rPr>
                  <w:szCs w:val="22"/>
                  <w:lang w:val="en-US"/>
                  <w:rPrChange w:id="13564" w:author="AbbVie33" w:date="2025-05-05T10:55:00Z">
                    <w:rPr>
                      <w:bCs/>
                      <w:szCs w:val="22"/>
                      <w:lang w:val="fr-FR"/>
                    </w:rPr>
                  </w:rPrChange>
                </w:rPr>
                <w:delText xml:space="preserve">AbbVie, Lda. </w:delText>
              </w:r>
            </w:del>
          </w:p>
          <w:p w14:paraId="66EF9EF2" w14:textId="77777777" w:rsidR="00BC0E7E" w:rsidRPr="000B7DC1" w:rsidRDefault="00944B8F" w:rsidP="00BC0E7E">
            <w:pPr>
              <w:tabs>
                <w:tab w:val="center" w:pos="4536"/>
                <w:tab w:val="center" w:pos="8930"/>
              </w:tabs>
              <w:rPr>
                <w:del w:id="13565" w:author="AbbVie19" w:date="2025-04-16T12:22:00Z"/>
                <w:szCs w:val="22"/>
                <w:lang w:val="en-US"/>
                <w:rPrChange w:id="13566" w:author="AbbVie33" w:date="2025-05-05T10:55:00Z">
                  <w:rPr>
                    <w:del w:id="13567" w:author="AbbVie19" w:date="2025-04-16T12:22:00Z"/>
                    <w:szCs w:val="22"/>
                    <w:lang w:val="fr-FR"/>
                  </w:rPr>
                </w:rPrChange>
              </w:rPr>
            </w:pPr>
            <w:del w:id="13568" w:author="AbbVie19" w:date="2025-04-16T12:22:00Z">
              <w:r w:rsidRPr="000B7DC1">
                <w:rPr>
                  <w:szCs w:val="22"/>
                  <w:lang w:val="en-US"/>
                  <w:rPrChange w:id="13569" w:author="AbbVie33" w:date="2025-05-05T10:55:00Z">
                    <w:rPr>
                      <w:szCs w:val="22"/>
                      <w:lang w:val="fr-FR"/>
                    </w:rPr>
                  </w:rPrChange>
                </w:rPr>
                <w:delText>Tel: +351 (0)21 1908400</w:delText>
              </w:r>
            </w:del>
          </w:p>
        </w:tc>
      </w:tr>
      <w:tr w:rsidR="00C6578C" w14:paraId="1E75AFA6" w14:textId="77777777" w:rsidTr="00171601">
        <w:trPr>
          <w:trHeight w:val="711"/>
          <w:del w:id="13570" w:author="AbbVie19" w:date="2025-04-16T12:22:00Z"/>
        </w:trPr>
        <w:tc>
          <w:tcPr>
            <w:tcW w:w="4678" w:type="dxa"/>
            <w:gridSpan w:val="2"/>
          </w:tcPr>
          <w:p w14:paraId="63EFBF93" w14:textId="77777777" w:rsidR="00BC0E7E" w:rsidRPr="00BC0E7E" w:rsidRDefault="00944B8F" w:rsidP="00BC0E7E">
            <w:pPr>
              <w:tabs>
                <w:tab w:val="clear" w:pos="562"/>
              </w:tabs>
              <w:suppressAutoHyphens w:val="0"/>
              <w:autoSpaceDE w:val="0"/>
              <w:autoSpaceDN w:val="0"/>
              <w:adjustRightInd w:val="0"/>
              <w:ind w:firstLine="34"/>
              <w:rPr>
                <w:del w:id="13571" w:author="AbbVie19" w:date="2025-04-16T12:22:00Z"/>
                <w:rFonts w:eastAsia="MS Mincho"/>
                <w:szCs w:val="22"/>
                <w:lang w:val="pt-PT" w:eastAsia="ja-JP"/>
              </w:rPr>
            </w:pPr>
            <w:del w:id="13572" w:author="AbbVie19" w:date="2025-04-16T12:22:00Z">
              <w:r w:rsidRPr="00BC0E7E">
                <w:rPr>
                  <w:rFonts w:eastAsia="MS Mincho"/>
                  <w:b/>
                  <w:bCs/>
                  <w:szCs w:val="22"/>
                  <w:lang w:val="pt-PT" w:eastAsia="ja-JP"/>
                </w:rPr>
                <w:delText xml:space="preserve">Hrvatska </w:delText>
              </w:r>
            </w:del>
          </w:p>
          <w:p w14:paraId="7F955279" w14:textId="77777777" w:rsidR="00BC0E7E" w:rsidRPr="00BC0E7E" w:rsidRDefault="00944B8F" w:rsidP="00BC0E7E">
            <w:pPr>
              <w:ind w:firstLine="34"/>
              <w:rPr>
                <w:del w:id="13573" w:author="AbbVie19" w:date="2025-04-16T12:22:00Z"/>
                <w:szCs w:val="22"/>
                <w:lang w:val="hr-HR"/>
              </w:rPr>
            </w:pPr>
            <w:del w:id="13574" w:author="AbbVie19" w:date="2025-04-16T12:22:00Z">
              <w:r w:rsidRPr="00BC0E7E">
                <w:rPr>
                  <w:szCs w:val="22"/>
                  <w:lang w:val="hr-HR"/>
                </w:rPr>
                <w:delText>AbbVie d.o.o.</w:delText>
              </w:r>
            </w:del>
          </w:p>
          <w:p w14:paraId="1E89F7A0" w14:textId="77777777" w:rsidR="00BC0E7E" w:rsidRDefault="00944B8F" w:rsidP="00BC0E7E">
            <w:pPr>
              <w:ind w:firstLine="34"/>
              <w:rPr>
                <w:del w:id="13575" w:author="AbbVie19" w:date="2025-04-16T12:22:00Z"/>
                <w:szCs w:val="22"/>
              </w:rPr>
            </w:pPr>
            <w:del w:id="13576" w:author="AbbVie19" w:date="2025-04-16T12:22:00Z">
              <w:r w:rsidRPr="00BC0E7E">
                <w:rPr>
                  <w:szCs w:val="22"/>
                  <w:lang w:val="hr-HR"/>
                </w:rPr>
                <w:delText xml:space="preserve">Tel + 385 (0)1 </w:delText>
              </w:r>
              <w:r w:rsidRPr="00BC0E7E">
                <w:rPr>
                  <w:szCs w:val="22"/>
                </w:rPr>
                <w:delText>5625 501</w:delText>
              </w:r>
            </w:del>
          </w:p>
          <w:p w14:paraId="2DED7EC8" w14:textId="77777777" w:rsidR="00504E25" w:rsidRPr="00BC0E7E" w:rsidRDefault="00504E25" w:rsidP="00BC0E7E">
            <w:pPr>
              <w:ind w:firstLine="34"/>
              <w:rPr>
                <w:del w:id="13577" w:author="AbbVie19" w:date="2025-04-16T12:22:00Z"/>
                <w:color w:val="1F497D"/>
                <w:szCs w:val="22"/>
              </w:rPr>
            </w:pPr>
          </w:p>
        </w:tc>
        <w:tc>
          <w:tcPr>
            <w:tcW w:w="4678" w:type="dxa"/>
          </w:tcPr>
          <w:p w14:paraId="0B258757" w14:textId="77777777" w:rsidR="00BC0E7E" w:rsidRPr="00433FAD" w:rsidRDefault="00944B8F" w:rsidP="00BC0E7E">
            <w:pPr>
              <w:rPr>
                <w:del w:id="13578" w:author="AbbVie19" w:date="2025-04-16T12:22:00Z"/>
                <w:b/>
                <w:bCs/>
                <w:szCs w:val="22"/>
                <w:lang w:val="es-MX"/>
              </w:rPr>
            </w:pPr>
            <w:del w:id="13579" w:author="AbbVie19" w:date="2025-04-16T12:22:00Z">
              <w:r w:rsidRPr="00433FAD">
                <w:rPr>
                  <w:b/>
                  <w:bCs/>
                  <w:szCs w:val="22"/>
                  <w:lang w:val="es-MX"/>
                </w:rPr>
                <w:delText>România</w:delText>
              </w:r>
            </w:del>
          </w:p>
          <w:p w14:paraId="39C5CF6D" w14:textId="77777777" w:rsidR="00BC0E7E" w:rsidRPr="00433FAD" w:rsidRDefault="00944B8F" w:rsidP="00BC0E7E">
            <w:pPr>
              <w:rPr>
                <w:del w:id="13580" w:author="AbbVie19" w:date="2025-04-16T12:22:00Z"/>
                <w:rFonts w:eastAsia="MS Mincho"/>
                <w:color w:val="000000"/>
                <w:szCs w:val="22"/>
                <w:lang w:val="es-MX" w:eastAsia="ja-JP"/>
              </w:rPr>
            </w:pPr>
            <w:del w:id="13581" w:author="AbbVie19" w:date="2025-04-16T12:22:00Z">
              <w:r w:rsidRPr="00433FAD">
                <w:rPr>
                  <w:rFonts w:eastAsia="MS Mincho"/>
                  <w:color w:val="000000"/>
                  <w:szCs w:val="22"/>
                  <w:lang w:val="es-MX" w:eastAsia="ja-JP"/>
                </w:rPr>
                <w:delText>AbbVie S.R.L.</w:delText>
              </w:r>
            </w:del>
          </w:p>
          <w:p w14:paraId="74B352A0" w14:textId="77777777" w:rsidR="00BC0E7E" w:rsidRPr="00BC0E7E" w:rsidRDefault="00944B8F" w:rsidP="00BC0E7E">
            <w:pPr>
              <w:rPr>
                <w:del w:id="13582" w:author="AbbVie19" w:date="2025-04-16T12:22:00Z"/>
                <w:szCs w:val="22"/>
                <w:lang w:val="pl-PL"/>
              </w:rPr>
            </w:pPr>
            <w:del w:id="13583" w:author="AbbVie19" w:date="2025-04-16T12:22:00Z">
              <w:r w:rsidRPr="00BC0E7E">
                <w:rPr>
                  <w:szCs w:val="22"/>
                  <w:lang w:val="pl-PL"/>
                </w:rPr>
                <w:delText>Tel: +40 21 529 30 35</w:delText>
              </w:r>
            </w:del>
          </w:p>
        </w:tc>
      </w:tr>
      <w:tr w:rsidR="00C6578C" w14:paraId="6E7EE157" w14:textId="77777777" w:rsidTr="00171601">
        <w:trPr>
          <w:gridBefore w:val="1"/>
          <w:wBefore w:w="34" w:type="dxa"/>
          <w:del w:id="13584" w:author="AbbVie19" w:date="2025-04-16T12:22:00Z"/>
        </w:trPr>
        <w:tc>
          <w:tcPr>
            <w:tcW w:w="4644" w:type="dxa"/>
          </w:tcPr>
          <w:p w14:paraId="23E03FF5" w14:textId="77777777" w:rsidR="00BC0E7E" w:rsidRPr="00BC0E7E" w:rsidRDefault="00944B8F" w:rsidP="00BC0E7E">
            <w:pPr>
              <w:rPr>
                <w:del w:id="13585" w:author="AbbVie19" w:date="2025-04-16T12:22:00Z"/>
                <w:b/>
                <w:bCs/>
                <w:szCs w:val="22"/>
              </w:rPr>
            </w:pPr>
            <w:del w:id="13586" w:author="AbbVie19" w:date="2025-04-16T12:22:00Z">
              <w:r w:rsidRPr="00BC0E7E">
                <w:rPr>
                  <w:b/>
                  <w:bCs/>
                  <w:szCs w:val="22"/>
                </w:rPr>
                <w:delText>Ireland</w:delText>
              </w:r>
            </w:del>
          </w:p>
          <w:p w14:paraId="6D026CDF" w14:textId="77777777" w:rsidR="00BC0E7E" w:rsidRPr="00BC0E7E" w:rsidRDefault="00944B8F" w:rsidP="00BC0E7E">
            <w:pPr>
              <w:rPr>
                <w:del w:id="13587" w:author="AbbVie19" w:date="2025-04-16T12:22:00Z"/>
                <w:bCs/>
                <w:szCs w:val="22"/>
              </w:rPr>
            </w:pPr>
            <w:del w:id="13588" w:author="AbbVie19" w:date="2025-04-16T12:22:00Z">
              <w:r w:rsidRPr="00BC0E7E">
                <w:rPr>
                  <w:bCs/>
                  <w:szCs w:val="22"/>
                </w:rPr>
                <w:delText xml:space="preserve">AbbVie Limited </w:delText>
              </w:r>
            </w:del>
          </w:p>
          <w:p w14:paraId="1117A32C" w14:textId="77777777" w:rsidR="00BC0E7E" w:rsidRDefault="00944B8F" w:rsidP="00BC0E7E">
            <w:pPr>
              <w:rPr>
                <w:del w:id="13589" w:author="AbbVie19" w:date="2025-04-16T12:22:00Z"/>
                <w:bCs/>
                <w:szCs w:val="22"/>
                <w:lang w:val="pt-PT"/>
              </w:rPr>
            </w:pPr>
            <w:del w:id="13590" w:author="AbbVie19" w:date="2025-04-16T12:22:00Z">
              <w:r w:rsidRPr="00BC0E7E">
                <w:rPr>
                  <w:bCs/>
                  <w:szCs w:val="22"/>
                  <w:lang w:val="pt-PT"/>
                </w:rPr>
                <w:delText>Tel: +353 (0)1 4287900</w:delText>
              </w:r>
            </w:del>
          </w:p>
          <w:p w14:paraId="52DB81B6" w14:textId="77777777" w:rsidR="00504E25" w:rsidRPr="00BC0E7E" w:rsidRDefault="00504E25" w:rsidP="00BC0E7E">
            <w:pPr>
              <w:rPr>
                <w:del w:id="13591" w:author="AbbVie19" w:date="2025-04-16T12:22:00Z"/>
                <w:bCs/>
                <w:szCs w:val="22"/>
                <w:lang w:val="it-IT"/>
              </w:rPr>
            </w:pPr>
          </w:p>
        </w:tc>
        <w:tc>
          <w:tcPr>
            <w:tcW w:w="4678" w:type="dxa"/>
          </w:tcPr>
          <w:p w14:paraId="4A0BFBD5" w14:textId="77777777" w:rsidR="00BC0E7E" w:rsidRPr="00BC0E7E" w:rsidRDefault="00944B8F" w:rsidP="00BC0E7E">
            <w:pPr>
              <w:rPr>
                <w:del w:id="13592" w:author="AbbVie19" w:date="2025-04-16T12:22:00Z"/>
                <w:b/>
                <w:bCs/>
                <w:szCs w:val="22"/>
                <w:lang w:val="sl-SI"/>
              </w:rPr>
            </w:pPr>
            <w:del w:id="13593" w:author="AbbVie19" w:date="2025-04-16T12:22:00Z">
              <w:r w:rsidRPr="00BC0E7E">
                <w:rPr>
                  <w:b/>
                  <w:bCs/>
                  <w:szCs w:val="22"/>
                  <w:lang w:val="sl-SI"/>
                </w:rPr>
                <w:delText>Slovenija</w:delText>
              </w:r>
            </w:del>
          </w:p>
          <w:p w14:paraId="48C8F69E" w14:textId="77777777" w:rsidR="00BC0E7E" w:rsidRPr="00BC0E7E" w:rsidRDefault="00944B8F" w:rsidP="00BC0E7E">
            <w:pPr>
              <w:rPr>
                <w:del w:id="13594" w:author="AbbVie19" w:date="2025-04-16T12:22:00Z"/>
                <w:bCs/>
                <w:szCs w:val="22"/>
                <w:lang w:val="sl-SI"/>
              </w:rPr>
            </w:pPr>
            <w:del w:id="13595" w:author="AbbVie19" w:date="2025-04-16T12:22:00Z">
              <w:r w:rsidRPr="00BC0E7E">
                <w:rPr>
                  <w:bCs/>
                  <w:szCs w:val="22"/>
                  <w:lang w:val="sl-SI"/>
                </w:rPr>
                <w:delText>AbbVie Biofarmacevtska družba d.o.o.</w:delText>
              </w:r>
            </w:del>
          </w:p>
          <w:p w14:paraId="60A9D5E0" w14:textId="77777777" w:rsidR="00BC0E7E" w:rsidRPr="00BC0E7E" w:rsidRDefault="00944B8F" w:rsidP="00BC0E7E">
            <w:pPr>
              <w:rPr>
                <w:del w:id="13596" w:author="AbbVie19" w:date="2025-04-16T12:22:00Z"/>
                <w:bCs/>
                <w:szCs w:val="22"/>
                <w:lang w:val="sl-SI"/>
              </w:rPr>
            </w:pPr>
            <w:del w:id="13597" w:author="AbbVie19" w:date="2025-04-16T12:22:00Z">
              <w:r w:rsidRPr="00BC0E7E">
                <w:rPr>
                  <w:bCs/>
                  <w:szCs w:val="22"/>
                  <w:lang w:val="sl-SI"/>
                </w:rPr>
                <w:delText>Tel: +386 (1)32 08 060</w:delText>
              </w:r>
            </w:del>
          </w:p>
        </w:tc>
      </w:tr>
      <w:tr w:rsidR="00C6578C" w14:paraId="668BBE26" w14:textId="77777777" w:rsidTr="00171601">
        <w:trPr>
          <w:gridBefore w:val="1"/>
          <w:wBefore w:w="34" w:type="dxa"/>
          <w:del w:id="13598" w:author="AbbVie19" w:date="2025-04-16T12:22:00Z"/>
        </w:trPr>
        <w:tc>
          <w:tcPr>
            <w:tcW w:w="4644" w:type="dxa"/>
          </w:tcPr>
          <w:p w14:paraId="1497C72F" w14:textId="77777777" w:rsidR="00BC0E7E" w:rsidRPr="00BC0E7E" w:rsidRDefault="00944B8F" w:rsidP="00BC0E7E">
            <w:pPr>
              <w:keepNext/>
              <w:rPr>
                <w:del w:id="13599" w:author="AbbVie19" w:date="2025-04-16T12:22:00Z"/>
                <w:b/>
                <w:bCs/>
                <w:szCs w:val="22"/>
                <w:lang w:val="is-IS"/>
              </w:rPr>
            </w:pPr>
            <w:del w:id="13600" w:author="AbbVie19" w:date="2025-04-16T12:22:00Z">
              <w:r w:rsidRPr="00BC0E7E">
                <w:rPr>
                  <w:b/>
                  <w:bCs/>
                  <w:szCs w:val="22"/>
                  <w:lang w:val="is-IS"/>
                </w:rPr>
                <w:delText>Ísland</w:delText>
              </w:r>
            </w:del>
          </w:p>
          <w:p w14:paraId="1DC1243A" w14:textId="77777777" w:rsidR="00BC0E7E" w:rsidRPr="00BC0E7E" w:rsidRDefault="00944B8F" w:rsidP="00BC0E7E">
            <w:pPr>
              <w:keepNext/>
              <w:rPr>
                <w:del w:id="13601" w:author="AbbVie19" w:date="2025-04-16T12:22:00Z"/>
                <w:bCs/>
                <w:szCs w:val="22"/>
              </w:rPr>
            </w:pPr>
            <w:del w:id="13602" w:author="AbbVie19" w:date="2025-04-16T12:22:00Z">
              <w:r w:rsidRPr="00BC0E7E">
                <w:rPr>
                  <w:bCs/>
                  <w:szCs w:val="22"/>
                </w:rPr>
                <w:delText>Vistor hf.</w:delText>
              </w:r>
            </w:del>
          </w:p>
          <w:p w14:paraId="159789DB" w14:textId="77777777" w:rsidR="00BC0E7E" w:rsidRDefault="00944B8F" w:rsidP="00BC0E7E">
            <w:pPr>
              <w:keepNext/>
              <w:rPr>
                <w:del w:id="13603" w:author="AbbVie19" w:date="2025-04-16T12:22:00Z"/>
                <w:bCs/>
                <w:szCs w:val="22"/>
              </w:rPr>
            </w:pPr>
            <w:del w:id="13604" w:author="AbbVie19" w:date="2025-04-16T12:22:00Z">
              <w:r w:rsidRPr="00BC0E7E">
                <w:rPr>
                  <w:bCs/>
                  <w:szCs w:val="22"/>
                </w:rPr>
                <w:delText>Tel: +354 535 7000</w:delText>
              </w:r>
            </w:del>
          </w:p>
          <w:p w14:paraId="719066A7" w14:textId="77777777" w:rsidR="0099655D" w:rsidRPr="00BC0E7E" w:rsidRDefault="0099655D" w:rsidP="00BC0E7E">
            <w:pPr>
              <w:keepNext/>
              <w:rPr>
                <w:del w:id="13605" w:author="AbbVie19" w:date="2025-04-16T12:22:00Z"/>
                <w:bCs/>
                <w:szCs w:val="22"/>
              </w:rPr>
            </w:pPr>
          </w:p>
        </w:tc>
        <w:tc>
          <w:tcPr>
            <w:tcW w:w="4678" w:type="dxa"/>
          </w:tcPr>
          <w:p w14:paraId="4BBF1B8A" w14:textId="77777777" w:rsidR="00BC0E7E" w:rsidRPr="00BC0E7E" w:rsidRDefault="00944B8F" w:rsidP="00BC0E7E">
            <w:pPr>
              <w:keepNext/>
              <w:rPr>
                <w:del w:id="13606" w:author="AbbVie19" w:date="2025-04-16T12:22:00Z"/>
                <w:b/>
                <w:bCs/>
                <w:szCs w:val="22"/>
                <w:lang w:val="sk-SK"/>
              </w:rPr>
            </w:pPr>
            <w:del w:id="13607" w:author="AbbVie19" w:date="2025-04-16T12:22:00Z">
              <w:r w:rsidRPr="00BC0E7E">
                <w:rPr>
                  <w:b/>
                  <w:bCs/>
                  <w:szCs w:val="22"/>
                  <w:lang w:val="sk-SK"/>
                </w:rPr>
                <w:delText>Slovenská republika</w:delText>
              </w:r>
            </w:del>
          </w:p>
          <w:p w14:paraId="7D90552C" w14:textId="77777777" w:rsidR="00BC0E7E" w:rsidRPr="00BC0E7E" w:rsidRDefault="00944B8F" w:rsidP="00BC0E7E">
            <w:pPr>
              <w:keepNext/>
              <w:rPr>
                <w:del w:id="13608" w:author="AbbVie19" w:date="2025-04-16T12:22:00Z"/>
                <w:bCs/>
                <w:szCs w:val="22"/>
                <w:lang w:val="sk-SK"/>
              </w:rPr>
            </w:pPr>
            <w:del w:id="13609" w:author="AbbVie19" w:date="2025-04-16T12:22:00Z">
              <w:r w:rsidRPr="00BC0E7E">
                <w:rPr>
                  <w:bCs/>
                  <w:szCs w:val="22"/>
                  <w:lang w:val="sk-SK"/>
                </w:rPr>
                <w:delText>AbbVie s.r.o.</w:delText>
              </w:r>
            </w:del>
          </w:p>
          <w:p w14:paraId="2520633C" w14:textId="77777777" w:rsidR="00BC0E7E" w:rsidRPr="00BC0E7E" w:rsidRDefault="00944B8F" w:rsidP="00BC0E7E">
            <w:pPr>
              <w:keepNext/>
              <w:rPr>
                <w:del w:id="13610" w:author="AbbVie19" w:date="2025-04-16T12:22:00Z"/>
                <w:bCs/>
                <w:szCs w:val="22"/>
                <w:lang w:val="sk-SK"/>
              </w:rPr>
            </w:pPr>
            <w:del w:id="13611" w:author="AbbVie19" w:date="2025-04-16T12:22:00Z">
              <w:r w:rsidRPr="00BC0E7E">
                <w:rPr>
                  <w:bCs/>
                  <w:szCs w:val="22"/>
                  <w:lang w:val="sk-SK"/>
                </w:rPr>
                <w:delText>Tel: +421 2 5050 0777</w:delText>
              </w:r>
            </w:del>
          </w:p>
        </w:tc>
      </w:tr>
      <w:tr w:rsidR="00C6578C" w14:paraId="0626C56B" w14:textId="77777777" w:rsidTr="00171601">
        <w:trPr>
          <w:gridBefore w:val="1"/>
          <w:wBefore w:w="34" w:type="dxa"/>
          <w:del w:id="13612" w:author="AbbVie19" w:date="2025-04-16T12:22:00Z"/>
        </w:trPr>
        <w:tc>
          <w:tcPr>
            <w:tcW w:w="4644" w:type="dxa"/>
          </w:tcPr>
          <w:p w14:paraId="1A0AB157" w14:textId="77777777" w:rsidR="00BC0E7E" w:rsidRPr="00BC0E7E" w:rsidRDefault="00944B8F" w:rsidP="00BC0E7E">
            <w:pPr>
              <w:rPr>
                <w:del w:id="13613" w:author="AbbVie19" w:date="2025-04-16T12:22:00Z"/>
                <w:b/>
                <w:bCs/>
                <w:szCs w:val="22"/>
                <w:lang w:val="it-IT"/>
              </w:rPr>
            </w:pPr>
            <w:del w:id="13614" w:author="AbbVie19" w:date="2025-04-16T12:22:00Z">
              <w:r w:rsidRPr="00BC0E7E">
                <w:rPr>
                  <w:b/>
                  <w:bCs/>
                  <w:szCs w:val="22"/>
                  <w:lang w:val="it-IT"/>
                </w:rPr>
                <w:delText>Italia</w:delText>
              </w:r>
            </w:del>
          </w:p>
          <w:p w14:paraId="274221E9" w14:textId="77777777" w:rsidR="00BC0E7E" w:rsidRPr="00BC0E7E" w:rsidRDefault="00944B8F" w:rsidP="00BC0E7E">
            <w:pPr>
              <w:spacing w:line="260" w:lineRule="exact"/>
              <w:rPr>
                <w:del w:id="13615" w:author="AbbVie19" w:date="2025-04-16T12:22:00Z"/>
                <w:bCs/>
                <w:szCs w:val="22"/>
                <w:lang w:val="pt-PT"/>
              </w:rPr>
            </w:pPr>
            <w:del w:id="13616" w:author="AbbVie19" w:date="2025-04-16T12:22:00Z">
              <w:r w:rsidRPr="00BC0E7E">
                <w:rPr>
                  <w:bCs/>
                  <w:szCs w:val="22"/>
                  <w:lang w:val="pt-PT"/>
                </w:rPr>
                <w:delText xml:space="preserve">AbbVie S.r.l. </w:delText>
              </w:r>
            </w:del>
          </w:p>
          <w:p w14:paraId="2F1BB02D" w14:textId="77777777" w:rsidR="00BC0E7E" w:rsidRPr="00E416F1" w:rsidRDefault="00944B8F" w:rsidP="00BC0E7E">
            <w:pPr>
              <w:spacing w:line="260" w:lineRule="exact"/>
              <w:rPr>
                <w:del w:id="13617" w:author="AbbVie19" w:date="2025-04-16T12:22:00Z"/>
                <w:bCs/>
                <w:szCs w:val="22"/>
                <w:lang w:val="fr-FR"/>
              </w:rPr>
            </w:pPr>
            <w:del w:id="13618" w:author="AbbVie19" w:date="2025-04-16T12:22:00Z">
              <w:r w:rsidRPr="00E416F1">
                <w:rPr>
                  <w:bCs/>
                  <w:szCs w:val="22"/>
                  <w:lang w:val="fr-FR"/>
                </w:rPr>
                <w:delText>Tel: +39 06 928921</w:delText>
              </w:r>
            </w:del>
          </w:p>
          <w:p w14:paraId="54428198" w14:textId="77777777" w:rsidR="0099655D" w:rsidRPr="00BC0E7E" w:rsidRDefault="0099655D" w:rsidP="00BC0E7E">
            <w:pPr>
              <w:spacing w:line="260" w:lineRule="exact"/>
              <w:rPr>
                <w:del w:id="13619" w:author="AbbVie19" w:date="2025-04-16T12:22:00Z"/>
                <w:bCs/>
                <w:szCs w:val="22"/>
              </w:rPr>
            </w:pPr>
          </w:p>
        </w:tc>
        <w:tc>
          <w:tcPr>
            <w:tcW w:w="4678" w:type="dxa"/>
          </w:tcPr>
          <w:p w14:paraId="1672767E" w14:textId="77777777" w:rsidR="00BC0E7E" w:rsidRPr="00BC0E7E" w:rsidRDefault="00944B8F" w:rsidP="00BC0E7E">
            <w:pPr>
              <w:rPr>
                <w:del w:id="13620" w:author="AbbVie19" w:date="2025-04-16T12:22:00Z"/>
                <w:b/>
                <w:bCs/>
                <w:szCs w:val="22"/>
                <w:lang w:val="fi-FI"/>
              </w:rPr>
            </w:pPr>
            <w:del w:id="13621" w:author="AbbVie19" w:date="2025-04-16T12:22:00Z">
              <w:r w:rsidRPr="00BC0E7E">
                <w:rPr>
                  <w:b/>
                  <w:bCs/>
                  <w:szCs w:val="22"/>
                  <w:lang w:val="fi-FI"/>
                </w:rPr>
                <w:delText>Suomi/Finland</w:delText>
              </w:r>
            </w:del>
          </w:p>
          <w:p w14:paraId="4038842F" w14:textId="77777777" w:rsidR="00BC0E7E" w:rsidRPr="00A06B15" w:rsidRDefault="00944B8F" w:rsidP="00BC0E7E">
            <w:pPr>
              <w:overflowPunct w:val="0"/>
              <w:autoSpaceDE w:val="0"/>
              <w:autoSpaceDN w:val="0"/>
              <w:adjustRightInd w:val="0"/>
              <w:textAlignment w:val="baseline"/>
              <w:rPr>
                <w:del w:id="13622" w:author="AbbVie19" w:date="2025-04-16T12:22:00Z"/>
                <w:bCs/>
                <w:szCs w:val="22"/>
                <w:lang w:val="de-DE"/>
              </w:rPr>
            </w:pPr>
            <w:del w:id="13623" w:author="AbbVie19" w:date="2025-04-16T12:22:00Z">
              <w:r w:rsidRPr="00A06B15">
                <w:rPr>
                  <w:bCs/>
                  <w:szCs w:val="22"/>
                  <w:lang w:val="de-DE"/>
                </w:rPr>
                <w:delText xml:space="preserve">AbbVie Oy </w:delText>
              </w:r>
            </w:del>
          </w:p>
          <w:p w14:paraId="5333D2B1" w14:textId="77777777" w:rsidR="00BC0E7E" w:rsidRPr="00BC0E7E" w:rsidRDefault="00944B8F" w:rsidP="00BC0E7E">
            <w:pPr>
              <w:rPr>
                <w:del w:id="13624" w:author="AbbVie19" w:date="2025-04-16T12:22:00Z"/>
                <w:bCs/>
                <w:szCs w:val="22"/>
                <w:lang w:val="fi-FI"/>
              </w:rPr>
            </w:pPr>
            <w:del w:id="13625" w:author="AbbVie19" w:date="2025-04-16T12:22:00Z">
              <w:r w:rsidRPr="00A06B15">
                <w:rPr>
                  <w:bCs/>
                  <w:szCs w:val="22"/>
                  <w:lang w:val="de-DE"/>
                </w:rPr>
                <w:delText>Puh/Tel:  +358 (0)10 2411 200</w:delText>
              </w:r>
            </w:del>
          </w:p>
        </w:tc>
      </w:tr>
      <w:tr w:rsidR="00C6578C" w14:paraId="1284E37A" w14:textId="77777777" w:rsidTr="00171601">
        <w:trPr>
          <w:gridBefore w:val="1"/>
          <w:wBefore w:w="34" w:type="dxa"/>
          <w:del w:id="13626" w:author="AbbVie19" w:date="2025-04-16T12:22:00Z"/>
        </w:trPr>
        <w:tc>
          <w:tcPr>
            <w:tcW w:w="4644" w:type="dxa"/>
          </w:tcPr>
          <w:p w14:paraId="187049AE" w14:textId="77777777" w:rsidR="00BC0E7E" w:rsidRPr="00BC0E7E" w:rsidRDefault="00944B8F" w:rsidP="00BC0E7E">
            <w:pPr>
              <w:rPr>
                <w:del w:id="13627" w:author="AbbVie19" w:date="2025-04-16T12:22:00Z"/>
                <w:b/>
                <w:bCs/>
                <w:szCs w:val="22"/>
                <w:lang w:val="el-GR"/>
              </w:rPr>
            </w:pPr>
            <w:del w:id="13628" w:author="AbbVie19" w:date="2025-04-16T12:22:00Z">
              <w:r w:rsidRPr="00BC0E7E">
                <w:rPr>
                  <w:b/>
                  <w:bCs/>
                  <w:szCs w:val="22"/>
                  <w:lang w:val="el-GR"/>
                </w:rPr>
                <w:delText>Κύπρος</w:delText>
              </w:r>
            </w:del>
          </w:p>
          <w:p w14:paraId="26C74758" w14:textId="77777777" w:rsidR="00BC0E7E" w:rsidRPr="00BC0E7E" w:rsidRDefault="00944B8F" w:rsidP="00BC0E7E">
            <w:pPr>
              <w:rPr>
                <w:del w:id="13629" w:author="AbbVie19" w:date="2025-04-16T12:22:00Z"/>
                <w:bCs/>
                <w:szCs w:val="22"/>
                <w:lang w:val="el-GR"/>
              </w:rPr>
            </w:pPr>
            <w:del w:id="13630" w:author="AbbVie19" w:date="2025-04-16T12:22:00Z">
              <w:r w:rsidRPr="00BC0E7E">
                <w:rPr>
                  <w:bCs/>
                  <w:szCs w:val="22"/>
                  <w:lang w:val="it-IT"/>
                </w:rPr>
                <w:delText>Lifepharma (Z.A.M.) Ltd</w:delText>
              </w:r>
            </w:del>
          </w:p>
          <w:p w14:paraId="4608B81C" w14:textId="77777777" w:rsidR="00BC0E7E" w:rsidRDefault="00944B8F" w:rsidP="00BC0E7E">
            <w:pPr>
              <w:rPr>
                <w:del w:id="13631" w:author="AbbVie19" w:date="2025-04-16T12:22:00Z"/>
                <w:bCs/>
                <w:szCs w:val="22"/>
                <w:lang w:val="el-GR"/>
              </w:rPr>
            </w:pPr>
            <w:del w:id="13632" w:author="AbbVie19" w:date="2025-04-16T12:22:00Z">
              <w:r w:rsidRPr="00BC0E7E">
                <w:rPr>
                  <w:bCs/>
                  <w:szCs w:val="22"/>
                  <w:lang w:val="el-GR"/>
                </w:rPr>
                <w:delText>Τηλ.: +357 22 34 74 40</w:delText>
              </w:r>
            </w:del>
          </w:p>
          <w:p w14:paraId="578BEC67" w14:textId="77777777" w:rsidR="0099655D" w:rsidRPr="00BC0E7E" w:rsidRDefault="0099655D" w:rsidP="00BC0E7E">
            <w:pPr>
              <w:rPr>
                <w:del w:id="13633" w:author="AbbVie19" w:date="2025-04-16T12:22:00Z"/>
                <w:bCs/>
                <w:szCs w:val="22"/>
                <w:lang w:val="fi-FI"/>
              </w:rPr>
            </w:pPr>
          </w:p>
        </w:tc>
        <w:tc>
          <w:tcPr>
            <w:tcW w:w="4678" w:type="dxa"/>
          </w:tcPr>
          <w:p w14:paraId="2DF90A47" w14:textId="77777777" w:rsidR="00BC0E7E" w:rsidRPr="00BC0E7E" w:rsidRDefault="00944B8F" w:rsidP="00BC0E7E">
            <w:pPr>
              <w:rPr>
                <w:del w:id="13634" w:author="AbbVie19" w:date="2025-04-16T12:22:00Z"/>
                <w:b/>
                <w:bCs/>
                <w:szCs w:val="22"/>
                <w:lang w:val="sv-SE"/>
              </w:rPr>
            </w:pPr>
            <w:del w:id="13635" w:author="AbbVie19" w:date="2025-04-16T12:22:00Z">
              <w:r w:rsidRPr="00BC0E7E">
                <w:rPr>
                  <w:b/>
                  <w:bCs/>
                  <w:szCs w:val="22"/>
                  <w:lang w:val="sv-SE"/>
                </w:rPr>
                <w:delText>Sverige</w:delText>
              </w:r>
            </w:del>
          </w:p>
          <w:p w14:paraId="460C1DFC" w14:textId="77777777" w:rsidR="00BC0E7E" w:rsidRPr="00BC0E7E" w:rsidRDefault="00944B8F" w:rsidP="00BC0E7E">
            <w:pPr>
              <w:rPr>
                <w:del w:id="13636" w:author="AbbVie19" w:date="2025-04-16T12:22:00Z"/>
                <w:bCs/>
                <w:szCs w:val="22"/>
                <w:lang w:val="pt-PT"/>
              </w:rPr>
            </w:pPr>
            <w:del w:id="13637" w:author="AbbVie19" w:date="2025-04-16T12:22:00Z">
              <w:r w:rsidRPr="00BC0E7E">
                <w:rPr>
                  <w:bCs/>
                  <w:szCs w:val="22"/>
                  <w:lang w:val="pt-PT"/>
                </w:rPr>
                <w:delText>AbbVie AB</w:delText>
              </w:r>
            </w:del>
          </w:p>
          <w:p w14:paraId="59E71E5E" w14:textId="77777777" w:rsidR="00BC0E7E" w:rsidRPr="00BC0E7E" w:rsidRDefault="00944B8F" w:rsidP="00BC0E7E">
            <w:pPr>
              <w:rPr>
                <w:del w:id="13638" w:author="AbbVie19" w:date="2025-04-16T12:22:00Z"/>
                <w:bCs/>
                <w:szCs w:val="22"/>
                <w:lang w:val="sv-SE"/>
              </w:rPr>
            </w:pPr>
            <w:del w:id="13639" w:author="AbbVie19" w:date="2025-04-16T12:22:00Z">
              <w:r w:rsidRPr="00BC0E7E">
                <w:rPr>
                  <w:bCs/>
                  <w:szCs w:val="22"/>
                  <w:lang w:val="da-DK"/>
                </w:rPr>
                <w:delText>Tel:  +46 (0)8 684 44 600</w:delText>
              </w:r>
            </w:del>
          </w:p>
        </w:tc>
      </w:tr>
      <w:tr w:rsidR="00C6578C" w14:paraId="2658E763" w14:textId="77777777" w:rsidTr="00171601">
        <w:trPr>
          <w:gridBefore w:val="1"/>
          <w:wBefore w:w="34" w:type="dxa"/>
          <w:cantSplit/>
          <w:trHeight w:val="702"/>
          <w:del w:id="13640" w:author="AbbVie19" w:date="2025-04-16T12:22:00Z"/>
        </w:trPr>
        <w:tc>
          <w:tcPr>
            <w:tcW w:w="4644" w:type="dxa"/>
          </w:tcPr>
          <w:p w14:paraId="0F17854F" w14:textId="77777777" w:rsidR="00BC0E7E" w:rsidRPr="00BC0E7E" w:rsidRDefault="00944B8F" w:rsidP="00BC0E7E">
            <w:pPr>
              <w:rPr>
                <w:del w:id="13641" w:author="AbbVie19" w:date="2025-04-16T12:22:00Z"/>
                <w:b/>
                <w:bCs/>
                <w:szCs w:val="22"/>
                <w:lang w:val="lv-LV"/>
              </w:rPr>
            </w:pPr>
            <w:del w:id="13642" w:author="AbbVie19" w:date="2025-04-16T12:22:00Z">
              <w:r w:rsidRPr="00BC0E7E">
                <w:rPr>
                  <w:b/>
                  <w:bCs/>
                  <w:szCs w:val="22"/>
                  <w:lang w:val="lv-LV"/>
                </w:rPr>
                <w:delText>Latvija</w:delText>
              </w:r>
            </w:del>
          </w:p>
          <w:p w14:paraId="1461CDD7" w14:textId="77777777" w:rsidR="00BC0E7E" w:rsidRPr="00BC0E7E" w:rsidRDefault="00944B8F" w:rsidP="00BC0E7E">
            <w:pPr>
              <w:rPr>
                <w:del w:id="13643" w:author="AbbVie19" w:date="2025-04-16T12:22:00Z"/>
                <w:bCs/>
                <w:szCs w:val="22"/>
                <w:lang w:val="lv-LV"/>
              </w:rPr>
            </w:pPr>
            <w:del w:id="13644" w:author="AbbVie19" w:date="2025-04-16T12:22:00Z">
              <w:r w:rsidRPr="00BC0E7E">
                <w:rPr>
                  <w:bCs/>
                  <w:szCs w:val="22"/>
                  <w:lang w:val="lv-LV"/>
                </w:rPr>
                <w:delText xml:space="preserve">AbbVie SIA </w:delText>
              </w:r>
            </w:del>
          </w:p>
          <w:p w14:paraId="0722760B" w14:textId="77777777" w:rsidR="00BC0E7E" w:rsidRPr="00BC0E7E" w:rsidRDefault="00944B8F" w:rsidP="00BC0E7E">
            <w:pPr>
              <w:rPr>
                <w:del w:id="13645" w:author="AbbVie19" w:date="2025-04-16T12:22:00Z"/>
                <w:bCs/>
                <w:szCs w:val="22"/>
                <w:lang w:val="lv-LV"/>
              </w:rPr>
            </w:pPr>
            <w:del w:id="13646" w:author="AbbVie19" w:date="2025-04-16T12:22:00Z">
              <w:r w:rsidRPr="00BC0E7E">
                <w:rPr>
                  <w:bCs/>
                  <w:szCs w:val="22"/>
                  <w:lang w:val="lv-LV"/>
                </w:rPr>
                <w:delText>Tel: +371 67605000</w:delText>
              </w:r>
            </w:del>
          </w:p>
        </w:tc>
        <w:tc>
          <w:tcPr>
            <w:tcW w:w="4678" w:type="dxa"/>
          </w:tcPr>
          <w:p w14:paraId="50173BAB" w14:textId="77777777" w:rsidR="00BC0E7E" w:rsidRPr="00BC0E7E" w:rsidRDefault="00BC0E7E" w:rsidP="00BC0E7E">
            <w:pPr>
              <w:rPr>
                <w:del w:id="13647" w:author="AbbVie19" w:date="2025-04-16T12:22:00Z"/>
                <w:bCs/>
                <w:szCs w:val="22"/>
                <w:lang w:val="lv-LV"/>
              </w:rPr>
            </w:pPr>
          </w:p>
        </w:tc>
      </w:tr>
    </w:tbl>
    <w:p w14:paraId="3BB199C1" w14:textId="77777777" w:rsidR="00BC0E7E" w:rsidRPr="00BC0E7E" w:rsidRDefault="00BC0E7E" w:rsidP="00BC0E7E">
      <w:pPr>
        <w:rPr>
          <w:del w:id="13648" w:author="AbbVie19" w:date="2025-04-16T12:22:00Z"/>
        </w:rPr>
      </w:pPr>
    </w:p>
    <w:p w14:paraId="27646452" w14:textId="77777777" w:rsidR="00BC0E7E" w:rsidRPr="00BC0E7E" w:rsidRDefault="00944B8F" w:rsidP="00BC0E7E">
      <w:pPr>
        <w:numPr>
          <w:ilvl w:val="12"/>
          <w:numId w:val="0"/>
        </w:numPr>
        <w:tabs>
          <w:tab w:val="clear" w:pos="562"/>
        </w:tabs>
        <w:ind w:right="-2"/>
        <w:rPr>
          <w:del w:id="13649" w:author="AbbVie19" w:date="2025-04-16T12:22:00Z"/>
          <w:b/>
        </w:rPr>
      </w:pPr>
      <w:del w:id="13650" w:author="AbbVie19" w:date="2025-04-16T12:22:00Z">
        <w:r w:rsidRPr="00BC0E7E">
          <w:rPr>
            <w:b/>
          </w:rPr>
          <w:delText>This leaflet was last revised in</w:delText>
        </w:r>
      </w:del>
    </w:p>
    <w:p w14:paraId="51696425" w14:textId="77777777" w:rsidR="00BC0E7E" w:rsidRPr="00BC0E7E" w:rsidRDefault="00BC0E7E" w:rsidP="00BC0E7E">
      <w:pPr>
        <w:ind w:right="-449"/>
        <w:rPr>
          <w:del w:id="13651" w:author="AbbVie19" w:date="2025-04-16T12:22:00Z"/>
        </w:rPr>
      </w:pPr>
    </w:p>
    <w:p w14:paraId="5333CEC9" w14:textId="77777777" w:rsidR="00BC0E7E" w:rsidRPr="00BC0E7E" w:rsidRDefault="00944B8F" w:rsidP="00BC0E7E">
      <w:pPr>
        <w:ind w:right="-449"/>
        <w:rPr>
          <w:del w:id="13652" w:author="AbbVie19" w:date="2025-04-16T12:22:00Z"/>
          <w:noProof/>
          <w:szCs w:val="22"/>
        </w:rPr>
      </w:pPr>
      <w:del w:id="13653" w:author="AbbVie19" w:date="2025-04-16T12:22:00Z">
        <w:r w:rsidRPr="00BC0E7E">
          <w:rPr>
            <w:iCs/>
            <w:noProof/>
            <w:szCs w:val="22"/>
          </w:rPr>
          <w:delText xml:space="preserve">Detailed information on this medicine is available on the European Medicines Agency web site: </w:delText>
        </w:r>
        <w:r>
          <w:fldChar w:fldCharType="begin"/>
        </w:r>
        <w:r>
          <w:delInstrText>HYPERLINK "http://www.ema.europa.eu."</w:delInstrText>
        </w:r>
        <w:r>
          <w:fldChar w:fldCharType="separate"/>
        </w:r>
        <w:r w:rsidRPr="00BC0E7E">
          <w:rPr>
            <w:noProof/>
            <w:color w:val="0000FF"/>
            <w:szCs w:val="22"/>
            <w:u w:val="single"/>
          </w:rPr>
          <w:delText>http://www.ema.europa.eu.</w:delText>
        </w:r>
        <w:r>
          <w:fldChar w:fldCharType="end"/>
        </w:r>
      </w:del>
    </w:p>
    <w:p w14:paraId="0590CBB7" w14:textId="77777777" w:rsidR="00BC0E7E" w:rsidRPr="00BC0E7E" w:rsidRDefault="00BC0E7E" w:rsidP="00BC0E7E">
      <w:pPr>
        <w:ind w:right="-449"/>
        <w:rPr>
          <w:del w:id="13654" w:author="AbbVie19" w:date="2025-04-16T12:22:00Z"/>
          <w:noProof/>
          <w:szCs w:val="22"/>
        </w:rPr>
      </w:pPr>
    </w:p>
    <w:p w14:paraId="1EE3E507" w14:textId="77777777" w:rsidR="00BC0E7E" w:rsidRPr="00BC0E7E" w:rsidRDefault="00944B8F" w:rsidP="00BC0E7E">
      <w:pPr>
        <w:ind w:right="-449"/>
        <w:rPr>
          <w:noProof/>
          <w:szCs w:val="22"/>
        </w:rPr>
      </w:pPr>
      <w:del w:id="13655" w:author="AbbVie19" w:date="2025-04-16T12:22:00Z">
        <w:r w:rsidRPr="00BC0E7E">
          <w:rPr>
            <w:b/>
            <w:color w:val="000000"/>
          </w:rPr>
          <w:delText xml:space="preserve">To listen to or request a copy of this leaflet in </w:delText>
        </w:r>
        <w:r w:rsidRPr="00BC0E7E">
          <w:rPr>
            <w:b/>
            <w:color w:val="000000"/>
            <w:shd w:val="clear" w:color="auto" w:fill="A6A6A6"/>
          </w:rPr>
          <w:delText>&lt;Braille&gt;, &lt;large print&gt; or &lt;audio&gt;</w:delText>
        </w:r>
        <w:r w:rsidRPr="00BC0E7E">
          <w:rPr>
            <w:b/>
            <w:color w:val="000000"/>
          </w:rPr>
          <w:delText>, please contact the local representative of the Marketing Authorisation Holder.</w:delText>
        </w:r>
      </w:del>
      <w:r w:rsidRPr="00BC0E7E">
        <w:rPr>
          <w:noProof/>
          <w:szCs w:val="22"/>
        </w:rPr>
        <w:br w:type="page"/>
      </w:r>
    </w:p>
    <w:p w14:paraId="27D60434" w14:textId="77777777" w:rsidR="00B05E81" w:rsidRPr="00FE21CF" w:rsidRDefault="00944B8F" w:rsidP="00B05E81">
      <w:pPr>
        <w:jc w:val="center"/>
      </w:pPr>
      <w:r w:rsidRPr="00FE21CF">
        <w:rPr>
          <w:b/>
        </w:rPr>
        <w:lastRenderedPageBreak/>
        <w:t>Package leaflet: Information for the patient</w:t>
      </w:r>
    </w:p>
    <w:p w14:paraId="586BFD61" w14:textId="77777777" w:rsidR="00B05E81" w:rsidRPr="00FE21CF" w:rsidRDefault="00B05E81" w:rsidP="00B05E81">
      <w:pPr>
        <w:jc w:val="center"/>
      </w:pPr>
    </w:p>
    <w:p w14:paraId="41E45ECF" w14:textId="77777777" w:rsidR="00B05E81" w:rsidRPr="00FE21CF" w:rsidRDefault="00944B8F" w:rsidP="00B05E81">
      <w:pPr>
        <w:tabs>
          <w:tab w:val="clear" w:pos="562"/>
        </w:tabs>
        <w:jc w:val="center"/>
      </w:pPr>
      <w:r w:rsidRPr="00FE21CF">
        <w:rPr>
          <w:b/>
        </w:rPr>
        <w:t>Humira 40 mg solution for injection in pre-filled syringe</w:t>
      </w:r>
    </w:p>
    <w:p w14:paraId="71160C9A" w14:textId="77777777" w:rsidR="00B05E81" w:rsidRPr="001E71EE" w:rsidRDefault="00944B8F" w:rsidP="00B05E81">
      <w:pPr>
        <w:jc w:val="center"/>
        <w:rPr>
          <w:b/>
          <w:bCs/>
        </w:rPr>
      </w:pPr>
      <w:r w:rsidRPr="00FE21CF">
        <w:t>adalimumab</w:t>
      </w:r>
    </w:p>
    <w:p w14:paraId="75EE753D" w14:textId="77777777" w:rsidR="00B05E81" w:rsidRPr="00FE21CF" w:rsidRDefault="00B05E81" w:rsidP="00B05E81">
      <w:pPr>
        <w:jc w:val="center"/>
      </w:pPr>
    </w:p>
    <w:p w14:paraId="5814AAC2" w14:textId="77777777" w:rsidR="00B05E81" w:rsidRPr="001E71EE" w:rsidRDefault="00944B8F" w:rsidP="00B05E81">
      <w:pPr>
        <w:tabs>
          <w:tab w:val="clear" w:pos="562"/>
        </w:tabs>
        <w:ind w:right="-2"/>
      </w:pPr>
      <w:r w:rsidRPr="001E71EE">
        <w:rPr>
          <w:b/>
        </w:rPr>
        <w:t>Read all of this leaflet carefully before you start using this medicine because it contains important information for you.</w:t>
      </w:r>
    </w:p>
    <w:p w14:paraId="2BE7A939" w14:textId="77777777" w:rsidR="00B05E81" w:rsidRPr="001E71EE" w:rsidRDefault="00944B8F" w:rsidP="00B05E81">
      <w:pPr>
        <w:numPr>
          <w:ilvl w:val="0"/>
          <w:numId w:val="15"/>
        </w:numPr>
        <w:rPr>
          <w:szCs w:val="20"/>
        </w:rPr>
      </w:pPr>
      <w:r w:rsidRPr="001E71EE">
        <w:rPr>
          <w:szCs w:val="20"/>
        </w:rPr>
        <w:t>Keep this leaflet. You may need to read it again.</w:t>
      </w:r>
    </w:p>
    <w:p w14:paraId="7153B3E4" w14:textId="77777777" w:rsidR="00B05E81" w:rsidRPr="001E71EE" w:rsidRDefault="00944B8F" w:rsidP="00B05E81">
      <w:pPr>
        <w:numPr>
          <w:ilvl w:val="0"/>
          <w:numId w:val="15"/>
        </w:numPr>
        <w:rPr>
          <w:szCs w:val="20"/>
        </w:rPr>
      </w:pPr>
      <w:r w:rsidRPr="001E71EE">
        <w:rPr>
          <w:szCs w:val="20"/>
        </w:rPr>
        <w:t>Your doctor will also give you a</w:t>
      </w:r>
      <w:r w:rsidR="00AE43DC">
        <w:rPr>
          <w:szCs w:val="20"/>
        </w:rPr>
        <w:t xml:space="preserve"> </w:t>
      </w:r>
      <w:r w:rsidR="00BF2AE5" w:rsidRPr="002179FE">
        <w:rPr>
          <w:b/>
        </w:rPr>
        <w:t>Patient Reminder Card</w:t>
      </w:r>
      <w:r w:rsidRPr="001E71EE">
        <w:rPr>
          <w:szCs w:val="20"/>
        </w:rPr>
        <w:t xml:space="preserve">, which contains important safety information that you need to be aware of before you begin using Humira and during treatment with Humira. Keep this </w:t>
      </w:r>
      <w:r w:rsidR="00BF2AE5" w:rsidRPr="002179FE">
        <w:rPr>
          <w:b/>
        </w:rPr>
        <w:t>Patient Reminder Card</w:t>
      </w:r>
      <w:r w:rsidRPr="001E71EE">
        <w:rPr>
          <w:szCs w:val="20"/>
        </w:rPr>
        <w:t xml:space="preserve"> with you.</w:t>
      </w:r>
    </w:p>
    <w:p w14:paraId="332916E8" w14:textId="77777777" w:rsidR="00B05E81" w:rsidRPr="001E71EE" w:rsidRDefault="00944B8F" w:rsidP="00B05E81">
      <w:pPr>
        <w:numPr>
          <w:ilvl w:val="0"/>
          <w:numId w:val="15"/>
        </w:numPr>
        <w:rPr>
          <w:szCs w:val="20"/>
        </w:rPr>
      </w:pPr>
      <w:r w:rsidRPr="001E71EE">
        <w:rPr>
          <w:szCs w:val="20"/>
        </w:rPr>
        <w:t>If you have any questions, ask your doctor or pharmacist.</w:t>
      </w:r>
    </w:p>
    <w:p w14:paraId="4A609D78" w14:textId="77777777" w:rsidR="00B05E81" w:rsidRPr="001E71EE" w:rsidRDefault="00944B8F" w:rsidP="00B05E81">
      <w:pPr>
        <w:numPr>
          <w:ilvl w:val="0"/>
          <w:numId w:val="15"/>
        </w:numPr>
        <w:rPr>
          <w:b/>
          <w:szCs w:val="20"/>
        </w:rPr>
      </w:pPr>
      <w:r w:rsidRPr="001E71EE">
        <w:rPr>
          <w:szCs w:val="20"/>
        </w:rPr>
        <w:t>This medicine has been prescribed for you only. Do not pass it on to others. It may harm them, even if their signs of illness are the same as yours.</w:t>
      </w:r>
    </w:p>
    <w:p w14:paraId="7785E09A" w14:textId="77777777" w:rsidR="00B05E81" w:rsidRPr="001E71EE" w:rsidRDefault="00944B8F" w:rsidP="00B05E81">
      <w:pPr>
        <w:numPr>
          <w:ilvl w:val="0"/>
          <w:numId w:val="15"/>
        </w:numPr>
        <w:rPr>
          <w:b/>
          <w:szCs w:val="20"/>
        </w:rPr>
      </w:pPr>
      <w:r w:rsidRPr="001E71EE">
        <w:rPr>
          <w:szCs w:val="20"/>
        </w:rPr>
        <w:t>If you get any side effects, talk to your doctor or pharmacist. This includes any possible side effects not listed in this leaflet. See section 4.</w:t>
      </w:r>
    </w:p>
    <w:p w14:paraId="6606763E" w14:textId="77777777" w:rsidR="00B05E81" w:rsidRPr="00FE21CF" w:rsidRDefault="00B05E81" w:rsidP="00B05E81">
      <w:pPr>
        <w:numPr>
          <w:ilvl w:val="12"/>
          <w:numId w:val="0"/>
        </w:numPr>
        <w:ind w:right="-2"/>
      </w:pPr>
    </w:p>
    <w:p w14:paraId="20F323EF" w14:textId="77777777" w:rsidR="00B05E81" w:rsidRPr="001E71EE" w:rsidRDefault="00944B8F" w:rsidP="00B05E81">
      <w:pPr>
        <w:numPr>
          <w:ilvl w:val="12"/>
          <w:numId w:val="0"/>
        </w:numPr>
        <w:tabs>
          <w:tab w:val="clear" w:pos="562"/>
        </w:tabs>
        <w:ind w:right="-2"/>
      </w:pPr>
      <w:r w:rsidRPr="001E71EE">
        <w:rPr>
          <w:b/>
        </w:rPr>
        <w:t>What is in this leaflet</w:t>
      </w:r>
      <w:r w:rsidRPr="001E71EE">
        <w:t xml:space="preserve"> </w:t>
      </w:r>
    </w:p>
    <w:p w14:paraId="2AB64185" w14:textId="77777777" w:rsidR="00B05E81" w:rsidRPr="001E71EE" w:rsidRDefault="00944B8F" w:rsidP="00B05E81">
      <w:pPr>
        <w:tabs>
          <w:tab w:val="clear" w:pos="562"/>
        </w:tabs>
        <w:ind w:left="567" w:right="-29" w:hanging="567"/>
      </w:pPr>
      <w:r w:rsidRPr="001E71EE">
        <w:t>1.</w:t>
      </w:r>
      <w:r w:rsidRPr="001E71EE">
        <w:tab/>
        <w:t>What Humira is and what it is used for</w:t>
      </w:r>
    </w:p>
    <w:p w14:paraId="2CFC5FE9" w14:textId="77777777" w:rsidR="00B05E81" w:rsidRPr="001E71EE" w:rsidRDefault="00944B8F" w:rsidP="00B05E81">
      <w:pPr>
        <w:tabs>
          <w:tab w:val="clear" w:pos="562"/>
        </w:tabs>
        <w:ind w:left="567" w:right="-29" w:hanging="567"/>
      </w:pPr>
      <w:r w:rsidRPr="001E71EE">
        <w:t>2.</w:t>
      </w:r>
      <w:r w:rsidRPr="001E71EE">
        <w:tab/>
        <w:t>What you need to know before you use Humira</w:t>
      </w:r>
    </w:p>
    <w:p w14:paraId="68F84A41" w14:textId="77777777" w:rsidR="00B05E81" w:rsidRPr="001E71EE" w:rsidRDefault="00944B8F" w:rsidP="00B05E81">
      <w:pPr>
        <w:tabs>
          <w:tab w:val="clear" w:pos="562"/>
        </w:tabs>
        <w:ind w:left="567" w:right="-29" w:hanging="567"/>
      </w:pPr>
      <w:r w:rsidRPr="001E71EE">
        <w:t>3.</w:t>
      </w:r>
      <w:r w:rsidRPr="001E71EE">
        <w:tab/>
        <w:t>How to use Humira</w:t>
      </w:r>
    </w:p>
    <w:p w14:paraId="18458CF0" w14:textId="77777777" w:rsidR="00B05E81" w:rsidRPr="001E71EE" w:rsidRDefault="00944B8F" w:rsidP="00B05E81">
      <w:pPr>
        <w:tabs>
          <w:tab w:val="clear" w:pos="562"/>
        </w:tabs>
        <w:ind w:left="567" w:right="-29" w:hanging="567"/>
      </w:pPr>
      <w:r w:rsidRPr="001E71EE">
        <w:t>4.</w:t>
      </w:r>
      <w:r w:rsidRPr="001E71EE">
        <w:tab/>
        <w:t>Possible side effects</w:t>
      </w:r>
    </w:p>
    <w:p w14:paraId="3F3C8730" w14:textId="77777777" w:rsidR="00B05E81" w:rsidRPr="001E71EE" w:rsidRDefault="00944B8F" w:rsidP="00B05E81">
      <w:pPr>
        <w:tabs>
          <w:tab w:val="clear" w:pos="562"/>
        </w:tabs>
        <w:ind w:left="567" w:right="-29" w:hanging="567"/>
      </w:pPr>
      <w:r w:rsidRPr="001E71EE">
        <w:t>5</w:t>
      </w:r>
      <w:r w:rsidRPr="001E71EE">
        <w:tab/>
        <w:t>How to store Humira</w:t>
      </w:r>
    </w:p>
    <w:p w14:paraId="101B1887" w14:textId="77777777" w:rsidR="00B05E81" w:rsidRPr="001E71EE" w:rsidRDefault="00944B8F" w:rsidP="00B05E81">
      <w:pPr>
        <w:tabs>
          <w:tab w:val="clear" w:pos="562"/>
        </w:tabs>
        <w:ind w:left="567" w:right="-29" w:hanging="567"/>
      </w:pPr>
      <w:r w:rsidRPr="001E71EE">
        <w:t>6.</w:t>
      </w:r>
      <w:r w:rsidRPr="001E71EE">
        <w:tab/>
        <w:t>Contents of the pack and other information</w:t>
      </w:r>
    </w:p>
    <w:p w14:paraId="7A88AF95" w14:textId="77777777" w:rsidR="00B05E81" w:rsidRPr="001E71EE" w:rsidRDefault="00944B8F" w:rsidP="00B05E81">
      <w:pPr>
        <w:tabs>
          <w:tab w:val="clear" w:pos="562"/>
        </w:tabs>
        <w:ind w:left="567" w:right="-29" w:hanging="567"/>
      </w:pPr>
      <w:r w:rsidRPr="001E71EE">
        <w:t>7.</w:t>
      </w:r>
      <w:r w:rsidRPr="001E71EE">
        <w:tab/>
      </w:r>
      <w:r w:rsidR="00B417AB">
        <w:t>Injecting Humira</w:t>
      </w:r>
    </w:p>
    <w:p w14:paraId="68C4DE56" w14:textId="77777777" w:rsidR="00B05E81" w:rsidRPr="001E71EE" w:rsidRDefault="00B05E81" w:rsidP="00B05E81">
      <w:pPr>
        <w:tabs>
          <w:tab w:val="clear" w:pos="562"/>
        </w:tabs>
        <w:ind w:left="567" w:right="-29" w:hanging="567"/>
      </w:pPr>
    </w:p>
    <w:p w14:paraId="63928925" w14:textId="77777777" w:rsidR="00B05E81" w:rsidRPr="001E71EE" w:rsidRDefault="00B05E81" w:rsidP="00B05E81">
      <w:pPr>
        <w:tabs>
          <w:tab w:val="clear" w:pos="562"/>
        </w:tabs>
        <w:ind w:left="567" w:right="-29" w:hanging="567"/>
      </w:pPr>
    </w:p>
    <w:p w14:paraId="07A42C9B" w14:textId="77777777" w:rsidR="00B05E81" w:rsidRPr="001E71EE" w:rsidRDefault="00944B8F" w:rsidP="00B05E81">
      <w:pPr>
        <w:outlineLvl w:val="0"/>
        <w:rPr>
          <w:rFonts w:ascii="Times New Roman Bold" w:hAnsi="Times New Roman Bold"/>
          <w:b/>
          <w:szCs w:val="20"/>
        </w:rPr>
      </w:pPr>
      <w:r w:rsidRPr="001E71EE">
        <w:rPr>
          <w:b/>
          <w:caps/>
          <w:szCs w:val="20"/>
        </w:rPr>
        <w:t>1.</w:t>
      </w:r>
      <w:r w:rsidRPr="001E71EE">
        <w:rPr>
          <w:b/>
          <w:caps/>
          <w:szCs w:val="20"/>
        </w:rPr>
        <w:tab/>
        <w:t>W</w:t>
      </w:r>
      <w:r w:rsidRPr="001E71EE">
        <w:rPr>
          <w:rFonts w:ascii="Times New Roman Bold" w:hAnsi="Times New Roman Bold"/>
          <w:b/>
          <w:szCs w:val="20"/>
        </w:rPr>
        <w:t>hat Humira is and what it is used for</w:t>
      </w:r>
    </w:p>
    <w:p w14:paraId="404FF9D2" w14:textId="77777777" w:rsidR="00B05E81" w:rsidRPr="001E71EE" w:rsidRDefault="00B05E81" w:rsidP="00B05E81">
      <w:pPr>
        <w:rPr>
          <w:szCs w:val="20"/>
        </w:rPr>
      </w:pPr>
    </w:p>
    <w:p w14:paraId="572FBA04" w14:textId="77777777" w:rsidR="00B05E81" w:rsidRPr="001E71EE" w:rsidRDefault="00944B8F" w:rsidP="00B05E81">
      <w:r w:rsidRPr="001E71EE">
        <w:t>Humira contains the active substance adalimumab.</w:t>
      </w:r>
    </w:p>
    <w:p w14:paraId="5D00054A" w14:textId="77777777" w:rsidR="00B05E81" w:rsidRPr="001E71EE" w:rsidRDefault="00B05E81" w:rsidP="00B05E81"/>
    <w:p w14:paraId="64D7DFEA" w14:textId="77777777" w:rsidR="00B05E81" w:rsidRPr="001E71EE" w:rsidRDefault="00944B8F" w:rsidP="00B05E81">
      <w:r w:rsidRPr="001E71EE">
        <w:t>Humira is used to treat</w:t>
      </w:r>
    </w:p>
    <w:p w14:paraId="48B613C3" w14:textId="77777777" w:rsidR="00B05E81" w:rsidRPr="00FE21CF" w:rsidRDefault="00944B8F" w:rsidP="00D51999">
      <w:pPr>
        <w:numPr>
          <w:ilvl w:val="0"/>
          <w:numId w:val="54"/>
        </w:numPr>
        <w:tabs>
          <w:tab w:val="clear" w:pos="562"/>
          <w:tab w:val="left" w:pos="720"/>
        </w:tabs>
      </w:pPr>
      <w:r w:rsidRPr="00FE21CF">
        <w:t>Rheumatoid arthritis</w:t>
      </w:r>
    </w:p>
    <w:p w14:paraId="0C20EE12" w14:textId="77777777" w:rsidR="00B05E81" w:rsidRPr="00FE21CF" w:rsidRDefault="00944B8F" w:rsidP="00D51999">
      <w:pPr>
        <w:numPr>
          <w:ilvl w:val="0"/>
          <w:numId w:val="54"/>
        </w:numPr>
        <w:tabs>
          <w:tab w:val="clear" w:pos="562"/>
          <w:tab w:val="left" w:pos="720"/>
        </w:tabs>
      </w:pPr>
      <w:r w:rsidRPr="00FE21CF">
        <w:t>Polyarticular juvenile idiopathic arthritis</w:t>
      </w:r>
    </w:p>
    <w:p w14:paraId="6659CDED" w14:textId="77777777" w:rsidR="00B05E81" w:rsidRPr="00FE21CF" w:rsidRDefault="00944B8F" w:rsidP="00D51999">
      <w:pPr>
        <w:numPr>
          <w:ilvl w:val="0"/>
          <w:numId w:val="54"/>
        </w:numPr>
        <w:tabs>
          <w:tab w:val="clear" w:pos="562"/>
          <w:tab w:val="left" w:pos="720"/>
        </w:tabs>
      </w:pPr>
      <w:r w:rsidRPr="00FE21CF">
        <w:t>Enthesitis-related arthritis</w:t>
      </w:r>
    </w:p>
    <w:p w14:paraId="1E3DEF71" w14:textId="77777777" w:rsidR="00B05E81" w:rsidRPr="00C270A1" w:rsidRDefault="00944B8F" w:rsidP="00D51999">
      <w:pPr>
        <w:numPr>
          <w:ilvl w:val="0"/>
          <w:numId w:val="54"/>
        </w:numPr>
        <w:tabs>
          <w:tab w:val="clear" w:pos="562"/>
          <w:tab w:val="left" w:pos="720"/>
        </w:tabs>
      </w:pPr>
      <w:r w:rsidRPr="00FE21CF">
        <w:t>Ankylosing spondylitis</w:t>
      </w:r>
    </w:p>
    <w:p w14:paraId="49177C92" w14:textId="77777777" w:rsidR="00B05E81" w:rsidRPr="00FE21CF" w:rsidRDefault="00944B8F" w:rsidP="00D51999">
      <w:pPr>
        <w:numPr>
          <w:ilvl w:val="0"/>
          <w:numId w:val="54"/>
        </w:numPr>
        <w:tabs>
          <w:tab w:val="clear" w:pos="562"/>
          <w:tab w:val="left" w:pos="720"/>
        </w:tabs>
      </w:pPr>
      <w:r w:rsidRPr="00C270A1">
        <w:t>Axial spondyloarthritis without radiographic evidence of ankylosing spondylitis</w:t>
      </w:r>
    </w:p>
    <w:p w14:paraId="2512C18F" w14:textId="77777777" w:rsidR="00B05E81" w:rsidRPr="00C270A1" w:rsidRDefault="00944B8F" w:rsidP="00D51999">
      <w:pPr>
        <w:numPr>
          <w:ilvl w:val="0"/>
          <w:numId w:val="54"/>
        </w:numPr>
        <w:tabs>
          <w:tab w:val="clear" w:pos="562"/>
          <w:tab w:val="left" w:pos="720"/>
        </w:tabs>
      </w:pPr>
      <w:r w:rsidRPr="00FE21CF">
        <w:t>Psoriatic arthritis</w:t>
      </w:r>
    </w:p>
    <w:p w14:paraId="5B986097" w14:textId="77777777" w:rsidR="00B05E81" w:rsidRPr="001E71EE" w:rsidRDefault="00944B8F" w:rsidP="00D51999">
      <w:pPr>
        <w:numPr>
          <w:ilvl w:val="0"/>
          <w:numId w:val="54"/>
        </w:numPr>
        <w:tabs>
          <w:tab w:val="clear" w:pos="562"/>
          <w:tab w:val="left" w:pos="720"/>
        </w:tabs>
      </w:pPr>
      <w:r w:rsidRPr="001E71EE">
        <w:t>Plaque psoriasis</w:t>
      </w:r>
    </w:p>
    <w:p w14:paraId="7FBE724B" w14:textId="77777777" w:rsidR="00B05E81" w:rsidRPr="00C270A1" w:rsidRDefault="00944B8F" w:rsidP="00D51999">
      <w:pPr>
        <w:numPr>
          <w:ilvl w:val="0"/>
          <w:numId w:val="54"/>
        </w:numPr>
        <w:tabs>
          <w:tab w:val="clear" w:pos="562"/>
          <w:tab w:val="left" w:pos="720"/>
        </w:tabs>
      </w:pPr>
      <w:r w:rsidRPr="00C270A1">
        <w:t>Hidradenitis suppurativa</w:t>
      </w:r>
    </w:p>
    <w:p w14:paraId="4833A799" w14:textId="77777777" w:rsidR="00B05E81" w:rsidRPr="00C270A1" w:rsidRDefault="00944B8F" w:rsidP="00D51999">
      <w:pPr>
        <w:numPr>
          <w:ilvl w:val="0"/>
          <w:numId w:val="54"/>
        </w:numPr>
        <w:tabs>
          <w:tab w:val="clear" w:pos="562"/>
          <w:tab w:val="left" w:pos="720"/>
        </w:tabs>
      </w:pPr>
      <w:r w:rsidRPr="00C270A1">
        <w:t>Crohn’s disease</w:t>
      </w:r>
    </w:p>
    <w:p w14:paraId="00B17845" w14:textId="77777777" w:rsidR="00B05E81" w:rsidRPr="00C270A1" w:rsidRDefault="00944B8F" w:rsidP="00D51999">
      <w:pPr>
        <w:numPr>
          <w:ilvl w:val="0"/>
          <w:numId w:val="54"/>
        </w:numPr>
        <w:tabs>
          <w:tab w:val="clear" w:pos="562"/>
          <w:tab w:val="left" w:pos="720"/>
        </w:tabs>
      </w:pPr>
      <w:r w:rsidRPr="00C270A1">
        <w:t>Ulcerative colitis</w:t>
      </w:r>
    </w:p>
    <w:p w14:paraId="335FA0D2" w14:textId="77777777" w:rsidR="00B05E81" w:rsidRPr="00C270A1" w:rsidRDefault="00944B8F" w:rsidP="00D51999">
      <w:pPr>
        <w:numPr>
          <w:ilvl w:val="0"/>
          <w:numId w:val="54"/>
        </w:numPr>
        <w:tabs>
          <w:tab w:val="clear" w:pos="562"/>
          <w:tab w:val="left" w:pos="720"/>
        </w:tabs>
      </w:pPr>
      <w:r w:rsidRPr="00C270A1">
        <w:t>Non-infectious uveitis</w:t>
      </w:r>
    </w:p>
    <w:p w14:paraId="76A96324" w14:textId="77777777" w:rsidR="00B05E81" w:rsidRPr="00C270A1" w:rsidRDefault="00B05E81" w:rsidP="00B05E81">
      <w:pPr>
        <w:tabs>
          <w:tab w:val="clear" w:pos="562"/>
          <w:tab w:val="left" w:pos="720"/>
        </w:tabs>
        <w:ind w:left="720"/>
      </w:pPr>
    </w:p>
    <w:p w14:paraId="5B4D5307" w14:textId="77777777" w:rsidR="00B05E81" w:rsidRPr="00C270A1" w:rsidRDefault="00944B8F" w:rsidP="00B05E81">
      <w:pPr>
        <w:keepLines/>
        <w:numPr>
          <w:ilvl w:val="12"/>
          <w:numId w:val="0"/>
        </w:numPr>
        <w:tabs>
          <w:tab w:val="clear" w:pos="562"/>
        </w:tabs>
        <w:ind w:right="-2"/>
        <w:rPr>
          <w:color w:val="000000"/>
          <w:szCs w:val="22"/>
        </w:rPr>
      </w:pPr>
      <w:r w:rsidRPr="00C270A1">
        <w:rPr>
          <w:color w:val="000000"/>
          <w:szCs w:val="22"/>
        </w:rPr>
        <w:t>The active ingredient in Humira, adalimumab, is a human monoclonal antibody. Monoclonal antibodies are proteins that attach to a specific target.</w:t>
      </w:r>
    </w:p>
    <w:p w14:paraId="407707D6" w14:textId="77777777" w:rsidR="00B05E81" w:rsidRPr="00C270A1" w:rsidRDefault="00B05E81" w:rsidP="00B05E81">
      <w:pPr>
        <w:keepLines/>
        <w:numPr>
          <w:ilvl w:val="12"/>
          <w:numId w:val="0"/>
        </w:numPr>
        <w:tabs>
          <w:tab w:val="clear" w:pos="562"/>
        </w:tabs>
        <w:ind w:right="-2"/>
        <w:rPr>
          <w:color w:val="000000"/>
          <w:szCs w:val="22"/>
        </w:rPr>
      </w:pPr>
    </w:p>
    <w:p w14:paraId="317483D8" w14:textId="77777777" w:rsidR="00B05E81" w:rsidRPr="00C270A1" w:rsidRDefault="00944B8F" w:rsidP="00B05E81">
      <w:pPr>
        <w:rPr>
          <w:color w:val="000000"/>
          <w:szCs w:val="22"/>
        </w:rPr>
      </w:pPr>
      <w:r w:rsidRPr="00C270A1">
        <w:rPr>
          <w:color w:val="000000"/>
          <w:szCs w:val="22"/>
        </w:rPr>
        <w:t>The target of adalimumab is a protein called tumour necrosis factor (TNFα), which is involved in the immune (defence) system and is present at increased levels in the inflammatory diseases listed above. By attaching to TNFα, Humira decreases the process of inflammation in these diseases.</w:t>
      </w:r>
    </w:p>
    <w:p w14:paraId="5DF2CCE9" w14:textId="77777777" w:rsidR="00B05E81" w:rsidRPr="001E71EE" w:rsidRDefault="00B05E81" w:rsidP="00B05E81"/>
    <w:p w14:paraId="46ABDF82" w14:textId="77777777" w:rsidR="00B05E81" w:rsidRPr="001E71EE" w:rsidRDefault="00944B8F" w:rsidP="00B05E81">
      <w:pPr>
        <w:keepNext/>
        <w:rPr>
          <w:szCs w:val="20"/>
        </w:rPr>
      </w:pPr>
      <w:r w:rsidRPr="00C270A1">
        <w:rPr>
          <w:b/>
        </w:rPr>
        <w:lastRenderedPageBreak/>
        <w:t>Rheumatoid arthritis</w:t>
      </w:r>
    </w:p>
    <w:p w14:paraId="4AAA6866" w14:textId="77777777" w:rsidR="00811F5F" w:rsidRDefault="00811F5F" w:rsidP="00B05E81">
      <w:pPr>
        <w:keepNext/>
      </w:pPr>
    </w:p>
    <w:p w14:paraId="0673F9A9" w14:textId="77777777" w:rsidR="00B05E81" w:rsidRPr="001E71EE" w:rsidRDefault="00944B8F" w:rsidP="00B05E81">
      <w:pPr>
        <w:keepNext/>
      </w:pPr>
      <w:r w:rsidRPr="001E71EE">
        <w:t>Rheumatoid arthritis is an inflammatory disease of the joints.</w:t>
      </w:r>
    </w:p>
    <w:p w14:paraId="2A3D6B63" w14:textId="77777777" w:rsidR="00B05E81" w:rsidRPr="001E71EE" w:rsidRDefault="00B05E81" w:rsidP="00B05E81"/>
    <w:p w14:paraId="114D8823" w14:textId="77777777" w:rsidR="00B05E81" w:rsidRPr="001E71EE" w:rsidRDefault="00944B8F" w:rsidP="00B05E81">
      <w:r w:rsidRPr="001E71EE">
        <w:t>Humira is used to treat moderate to severe rheumatoid arthritis in adults. You may first be given other disease-modifying medicines, such as methotrexate. If you do not respond well enough to these medicines, you will be given Humira.</w:t>
      </w:r>
    </w:p>
    <w:p w14:paraId="666C7204" w14:textId="77777777" w:rsidR="00B05E81" w:rsidRPr="001E71EE" w:rsidRDefault="00B05E81" w:rsidP="00B05E81"/>
    <w:p w14:paraId="695EF258" w14:textId="77777777" w:rsidR="00B05E81" w:rsidRPr="001E71EE" w:rsidRDefault="00944B8F" w:rsidP="00B05E81">
      <w:r w:rsidRPr="001E71EE">
        <w:t>Humira can also be used to treat severe, active and progressive rheumatoid arthritis without previous methotrexate treatment.</w:t>
      </w:r>
    </w:p>
    <w:p w14:paraId="7A841393" w14:textId="77777777" w:rsidR="00B05E81" w:rsidRPr="001E71EE" w:rsidRDefault="00B05E81" w:rsidP="00B05E81"/>
    <w:p w14:paraId="37EFE70A" w14:textId="77777777" w:rsidR="00B05E81" w:rsidRPr="001E71EE" w:rsidRDefault="00944B8F" w:rsidP="00B05E81">
      <w:pPr>
        <w:numPr>
          <w:ilvl w:val="12"/>
          <w:numId w:val="0"/>
        </w:numPr>
        <w:ind w:right="-2"/>
      </w:pPr>
      <w:r w:rsidRPr="001E71EE">
        <w:t xml:space="preserve">Humira can slow down the damage to the joints caused by the inflammatory disease and can help them move more freely. </w:t>
      </w:r>
    </w:p>
    <w:p w14:paraId="097F2F32" w14:textId="77777777" w:rsidR="00B05E81" w:rsidRPr="001E71EE" w:rsidRDefault="00B05E81" w:rsidP="00B05E81">
      <w:pPr>
        <w:numPr>
          <w:ilvl w:val="12"/>
          <w:numId w:val="0"/>
        </w:numPr>
        <w:ind w:right="-2"/>
      </w:pPr>
    </w:p>
    <w:p w14:paraId="6F424C5B" w14:textId="77777777" w:rsidR="00B05E81" w:rsidRPr="001E71EE" w:rsidRDefault="00944B8F" w:rsidP="00B05E81">
      <w:pPr>
        <w:rPr>
          <w:szCs w:val="20"/>
        </w:rPr>
      </w:pPr>
      <w:r w:rsidRPr="001E71EE">
        <w:rPr>
          <w:szCs w:val="20"/>
        </w:rPr>
        <w:t>Your doctor will decide if</w:t>
      </w:r>
      <w:r w:rsidRPr="001E71EE">
        <w:t xml:space="preserve"> Humira </w:t>
      </w:r>
      <w:r w:rsidRPr="001E71EE">
        <w:rPr>
          <w:szCs w:val="20"/>
        </w:rPr>
        <w:t>should be</w:t>
      </w:r>
      <w:r w:rsidRPr="001E71EE">
        <w:t xml:space="preserve"> used with methotrexate</w:t>
      </w:r>
      <w:r w:rsidRPr="001E71EE">
        <w:rPr>
          <w:szCs w:val="20"/>
        </w:rPr>
        <w:t xml:space="preserve"> or</w:t>
      </w:r>
      <w:r w:rsidRPr="001E71EE">
        <w:t xml:space="preserve"> alone.</w:t>
      </w:r>
      <w:r w:rsidRPr="001E71EE">
        <w:rPr>
          <w:szCs w:val="20"/>
        </w:rPr>
        <w:t xml:space="preserve"> </w:t>
      </w:r>
    </w:p>
    <w:p w14:paraId="5D782BEE" w14:textId="77777777" w:rsidR="00B05E81" w:rsidRPr="001E71EE" w:rsidRDefault="00B05E81" w:rsidP="00B05E81">
      <w:pPr>
        <w:rPr>
          <w:szCs w:val="20"/>
        </w:rPr>
      </w:pPr>
    </w:p>
    <w:p w14:paraId="663A2073" w14:textId="77777777" w:rsidR="00B05E81" w:rsidRPr="00C270A1" w:rsidRDefault="00944B8F" w:rsidP="00B05E81">
      <w:pPr>
        <w:rPr>
          <w:b/>
        </w:rPr>
      </w:pPr>
      <w:r w:rsidRPr="00C270A1">
        <w:rPr>
          <w:b/>
        </w:rPr>
        <w:t>Polyarticular juvenile idiopathic arthritis</w:t>
      </w:r>
      <w:r w:rsidRPr="00C270A1">
        <w:rPr>
          <w:u w:val="single"/>
        </w:rPr>
        <w:t xml:space="preserve"> </w:t>
      </w:r>
    </w:p>
    <w:p w14:paraId="5EFBD78F" w14:textId="77777777" w:rsidR="00B05E81" w:rsidRPr="001E71EE" w:rsidRDefault="00B05E81" w:rsidP="00B05E81">
      <w:pPr>
        <w:rPr>
          <w:szCs w:val="20"/>
        </w:rPr>
      </w:pPr>
    </w:p>
    <w:p w14:paraId="7E89657B" w14:textId="77777777" w:rsidR="00B05E81" w:rsidRPr="001E71EE" w:rsidRDefault="00944B8F" w:rsidP="00B05E81">
      <w:pPr>
        <w:numPr>
          <w:ilvl w:val="12"/>
          <w:numId w:val="0"/>
        </w:numPr>
        <w:tabs>
          <w:tab w:val="clear" w:pos="562"/>
        </w:tabs>
        <w:ind w:right="-2"/>
      </w:pPr>
      <w:r w:rsidRPr="001E71EE">
        <w:t>Polyarticular juvenile idiopathic arthritis is an inflammatory disease of the joints.</w:t>
      </w:r>
    </w:p>
    <w:p w14:paraId="78072C65" w14:textId="77777777" w:rsidR="00B05E81" w:rsidRPr="001E71EE" w:rsidRDefault="00B05E81" w:rsidP="00B05E81">
      <w:pPr>
        <w:numPr>
          <w:ilvl w:val="12"/>
          <w:numId w:val="0"/>
        </w:numPr>
        <w:tabs>
          <w:tab w:val="clear" w:pos="562"/>
        </w:tabs>
        <w:ind w:right="-2"/>
      </w:pPr>
    </w:p>
    <w:p w14:paraId="463F23B0" w14:textId="77777777" w:rsidR="00B05E81" w:rsidRPr="001E71EE" w:rsidRDefault="00944B8F" w:rsidP="00B05E81">
      <w:pPr>
        <w:numPr>
          <w:ilvl w:val="12"/>
          <w:numId w:val="0"/>
        </w:numPr>
        <w:tabs>
          <w:tab w:val="clear" w:pos="562"/>
        </w:tabs>
        <w:ind w:right="-2"/>
      </w:pPr>
      <w:r w:rsidRPr="001E71EE">
        <w:t>Humira is used to treat polyarticular juvenile idiopathic arthritis in patients from 2 years of age. You may first be given other disease-modifying medicines, such as methotrexate. If you do not respond well enough to these medicines, you will be given Humira.</w:t>
      </w:r>
    </w:p>
    <w:p w14:paraId="7F4900A8" w14:textId="77777777" w:rsidR="00B05E81" w:rsidRPr="001E71EE" w:rsidRDefault="00B05E81" w:rsidP="00B05E81">
      <w:pPr>
        <w:numPr>
          <w:ilvl w:val="12"/>
          <w:numId w:val="0"/>
        </w:numPr>
        <w:tabs>
          <w:tab w:val="clear" w:pos="562"/>
        </w:tabs>
        <w:ind w:right="-2"/>
      </w:pPr>
    </w:p>
    <w:p w14:paraId="2EAB388D" w14:textId="77777777" w:rsidR="00B05E81" w:rsidRPr="001E71EE" w:rsidRDefault="00944B8F" w:rsidP="00B05E81">
      <w:pPr>
        <w:numPr>
          <w:ilvl w:val="12"/>
          <w:numId w:val="0"/>
        </w:numPr>
        <w:tabs>
          <w:tab w:val="clear" w:pos="562"/>
        </w:tabs>
        <w:ind w:right="-2"/>
      </w:pPr>
      <w:r w:rsidRPr="001E71EE">
        <w:t>Your doctor will decide if Humira should be used with methotrexate or alone.</w:t>
      </w:r>
    </w:p>
    <w:p w14:paraId="79A53516" w14:textId="77777777" w:rsidR="00B05E81" w:rsidRPr="001E71EE" w:rsidRDefault="00B05E81" w:rsidP="00B05E81">
      <w:pPr>
        <w:numPr>
          <w:ilvl w:val="12"/>
          <w:numId w:val="0"/>
        </w:numPr>
        <w:tabs>
          <w:tab w:val="clear" w:pos="562"/>
        </w:tabs>
        <w:ind w:right="-2"/>
      </w:pPr>
    </w:p>
    <w:p w14:paraId="51F29237" w14:textId="77777777" w:rsidR="00B05E81" w:rsidRPr="001E71EE" w:rsidRDefault="00944B8F" w:rsidP="00B05E81">
      <w:pPr>
        <w:numPr>
          <w:ilvl w:val="12"/>
          <w:numId w:val="0"/>
        </w:numPr>
        <w:tabs>
          <w:tab w:val="clear" w:pos="562"/>
        </w:tabs>
        <w:ind w:right="-2"/>
        <w:rPr>
          <w:b/>
        </w:rPr>
      </w:pPr>
      <w:r w:rsidRPr="001E71EE">
        <w:rPr>
          <w:b/>
        </w:rPr>
        <w:t>Enthesitis-related arthritis</w:t>
      </w:r>
    </w:p>
    <w:p w14:paraId="61E02052" w14:textId="77777777" w:rsidR="00B05E81" w:rsidRPr="001E71EE" w:rsidRDefault="00B05E81" w:rsidP="00B05E81">
      <w:pPr>
        <w:numPr>
          <w:ilvl w:val="12"/>
          <w:numId w:val="0"/>
        </w:numPr>
        <w:tabs>
          <w:tab w:val="clear" w:pos="562"/>
        </w:tabs>
        <w:ind w:right="-2"/>
      </w:pPr>
    </w:p>
    <w:p w14:paraId="6E44C98B" w14:textId="77777777" w:rsidR="00B05E81" w:rsidRPr="001E71EE" w:rsidRDefault="00944B8F" w:rsidP="00B05E81">
      <w:pPr>
        <w:numPr>
          <w:ilvl w:val="12"/>
          <w:numId w:val="0"/>
        </w:numPr>
        <w:tabs>
          <w:tab w:val="clear" w:pos="562"/>
        </w:tabs>
        <w:ind w:right="-2"/>
      </w:pPr>
      <w:r w:rsidRPr="001E71EE">
        <w:t>Enthesitis-related arthritis is an inflammatory disease of the joints and the places where tendons join the bone.</w:t>
      </w:r>
    </w:p>
    <w:p w14:paraId="5FF4DEF1" w14:textId="77777777" w:rsidR="00B05E81" w:rsidRPr="001E71EE" w:rsidRDefault="00B05E81" w:rsidP="00B05E81">
      <w:pPr>
        <w:numPr>
          <w:ilvl w:val="12"/>
          <w:numId w:val="0"/>
        </w:numPr>
        <w:tabs>
          <w:tab w:val="clear" w:pos="562"/>
        </w:tabs>
        <w:ind w:right="-2"/>
      </w:pPr>
    </w:p>
    <w:p w14:paraId="5019B0B8" w14:textId="77777777" w:rsidR="00B05E81" w:rsidRPr="001E71EE" w:rsidRDefault="00944B8F" w:rsidP="00B05E81">
      <w:pPr>
        <w:numPr>
          <w:ilvl w:val="12"/>
          <w:numId w:val="0"/>
        </w:numPr>
        <w:tabs>
          <w:tab w:val="clear" w:pos="562"/>
        </w:tabs>
        <w:ind w:right="-2"/>
      </w:pPr>
      <w:r w:rsidRPr="001E71EE">
        <w:t>Humira is used to treat enthesitis-related arthritis in patients from 6 years of age. You may first be given other disease-modifying medicines, such as methotrexate. If you do not respond well enough to these medicines, you will be given Humira.</w:t>
      </w:r>
    </w:p>
    <w:p w14:paraId="049D75A3" w14:textId="77777777" w:rsidR="00B05E81" w:rsidRPr="001E71EE" w:rsidRDefault="00B05E81" w:rsidP="00B05E81">
      <w:pPr>
        <w:numPr>
          <w:ilvl w:val="12"/>
          <w:numId w:val="0"/>
        </w:numPr>
        <w:tabs>
          <w:tab w:val="clear" w:pos="562"/>
        </w:tabs>
        <w:ind w:right="-2"/>
      </w:pPr>
    </w:p>
    <w:p w14:paraId="27B6AC2F" w14:textId="77777777" w:rsidR="00B05E81" w:rsidRPr="00C270A1" w:rsidRDefault="00944B8F" w:rsidP="00B05E81">
      <w:pPr>
        <w:rPr>
          <w:u w:val="single"/>
        </w:rPr>
      </w:pPr>
      <w:r w:rsidRPr="00C270A1">
        <w:rPr>
          <w:b/>
        </w:rPr>
        <w:t xml:space="preserve">Ankylosing spondylitis and axial spondyloarthritis without radiographic evidence of ankylosing spondylitis </w:t>
      </w:r>
    </w:p>
    <w:p w14:paraId="25F842DE" w14:textId="77777777" w:rsidR="00B05E81" w:rsidRPr="001E71EE" w:rsidRDefault="00B05E81" w:rsidP="00B05E81">
      <w:pPr>
        <w:rPr>
          <w:szCs w:val="20"/>
        </w:rPr>
      </w:pPr>
    </w:p>
    <w:p w14:paraId="402A168A" w14:textId="77777777" w:rsidR="00B05E81" w:rsidRPr="001E71EE" w:rsidRDefault="00944B8F" w:rsidP="00B05E81">
      <w:pPr>
        <w:rPr>
          <w:szCs w:val="20"/>
        </w:rPr>
      </w:pPr>
      <w:r w:rsidRPr="001E71EE">
        <w:rPr>
          <w:szCs w:val="20"/>
        </w:rPr>
        <w:t>Ankylosing spondylitis and axial spondyloarthritis without radiographic evidence of ankylosing spondylitis are inflammatory diseases of the spine.</w:t>
      </w:r>
    </w:p>
    <w:p w14:paraId="29AF8872" w14:textId="77777777" w:rsidR="00B05E81" w:rsidRPr="001E71EE" w:rsidRDefault="00B05E81" w:rsidP="00B05E81">
      <w:pPr>
        <w:rPr>
          <w:szCs w:val="20"/>
        </w:rPr>
      </w:pPr>
    </w:p>
    <w:p w14:paraId="4E124EDC" w14:textId="77777777" w:rsidR="00B05E81" w:rsidRPr="001E71EE" w:rsidRDefault="00944B8F" w:rsidP="00B05E81">
      <w:pPr>
        <w:rPr>
          <w:szCs w:val="20"/>
        </w:rPr>
      </w:pPr>
      <w:r w:rsidRPr="001E71EE">
        <w:rPr>
          <w:szCs w:val="20"/>
        </w:rPr>
        <w:t>Humira is used to treat severe ankylosing spondylitis and axial spondyloarthritis without radiographic evidence of ankylosing spondylitis in adults. You may</w:t>
      </w:r>
      <w:r w:rsidRPr="001E71EE">
        <w:t xml:space="preserve"> first be given other medicines. If you do not respond well enough to these medicines, you will be given Humira.</w:t>
      </w:r>
    </w:p>
    <w:p w14:paraId="2F6838C5" w14:textId="77777777" w:rsidR="00B05E81" w:rsidRPr="001E71EE" w:rsidRDefault="00B05E81" w:rsidP="00B05E81">
      <w:pPr>
        <w:rPr>
          <w:szCs w:val="20"/>
        </w:rPr>
      </w:pPr>
    </w:p>
    <w:p w14:paraId="4C56B827" w14:textId="77777777" w:rsidR="00B05E81" w:rsidRPr="001E71EE" w:rsidRDefault="00944B8F" w:rsidP="00B05E81">
      <w:pPr>
        <w:rPr>
          <w:szCs w:val="20"/>
        </w:rPr>
      </w:pPr>
      <w:r w:rsidRPr="00C270A1">
        <w:rPr>
          <w:b/>
        </w:rPr>
        <w:t>Psoriatic arthritis</w:t>
      </w:r>
    </w:p>
    <w:p w14:paraId="35E3A129" w14:textId="77777777" w:rsidR="00811F5F" w:rsidRDefault="00811F5F" w:rsidP="00B05E81">
      <w:pPr>
        <w:rPr>
          <w:szCs w:val="20"/>
        </w:rPr>
      </w:pPr>
    </w:p>
    <w:p w14:paraId="78AA786F" w14:textId="77777777" w:rsidR="00B05E81" w:rsidRPr="001E71EE" w:rsidRDefault="00944B8F" w:rsidP="00B05E81">
      <w:pPr>
        <w:rPr>
          <w:szCs w:val="20"/>
        </w:rPr>
      </w:pPr>
      <w:r w:rsidRPr="001E71EE">
        <w:rPr>
          <w:szCs w:val="20"/>
        </w:rPr>
        <w:t>Psoriatic arthritis is an inflammatory disease of the joints that is usually associated with psoriasis.</w:t>
      </w:r>
    </w:p>
    <w:p w14:paraId="3EDB32A9" w14:textId="77777777" w:rsidR="00B05E81" w:rsidRPr="001E71EE" w:rsidRDefault="00B05E81" w:rsidP="00B05E81">
      <w:pPr>
        <w:rPr>
          <w:szCs w:val="20"/>
        </w:rPr>
      </w:pPr>
    </w:p>
    <w:p w14:paraId="7A334C71" w14:textId="77777777" w:rsidR="00B05E81" w:rsidRPr="001E71EE" w:rsidRDefault="00944B8F" w:rsidP="00B05E81">
      <w:pPr>
        <w:rPr>
          <w:szCs w:val="20"/>
        </w:rPr>
      </w:pPr>
      <w:r w:rsidRPr="001E71EE">
        <w:rPr>
          <w:szCs w:val="20"/>
        </w:rPr>
        <w:t>Humira is used to treat psoriatic arthritis in adults. Humira can slow down the damage to the joints caused by the disease and can help them move more freely. You may first be given other medicines. If you do not respond well enough to these medicines, you will be given Humira</w:t>
      </w:r>
      <w:r w:rsidRPr="001E71EE">
        <w:t>.</w:t>
      </w:r>
    </w:p>
    <w:p w14:paraId="1D087D18" w14:textId="77777777" w:rsidR="00B05E81" w:rsidRPr="001E71EE" w:rsidRDefault="00B05E81" w:rsidP="00B05E81">
      <w:pPr>
        <w:rPr>
          <w:szCs w:val="20"/>
        </w:rPr>
      </w:pPr>
    </w:p>
    <w:p w14:paraId="69B3C6E0" w14:textId="77777777" w:rsidR="00B05E81" w:rsidRPr="001E71EE" w:rsidRDefault="00944B8F" w:rsidP="00B05E81">
      <w:pPr>
        <w:keepNext/>
        <w:tabs>
          <w:tab w:val="clear" w:pos="562"/>
        </w:tabs>
        <w:suppressAutoHyphens w:val="0"/>
        <w:overflowPunct w:val="0"/>
        <w:autoSpaceDE w:val="0"/>
        <w:autoSpaceDN w:val="0"/>
        <w:adjustRightInd w:val="0"/>
        <w:textAlignment w:val="baseline"/>
        <w:rPr>
          <w:bCs/>
          <w:iCs/>
          <w:szCs w:val="20"/>
          <w:u w:val="single"/>
        </w:rPr>
      </w:pPr>
      <w:r w:rsidRPr="00C270A1">
        <w:rPr>
          <w:b/>
        </w:rPr>
        <w:lastRenderedPageBreak/>
        <w:t xml:space="preserve">Plaque psoriasis </w:t>
      </w:r>
    </w:p>
    <w:p w14:paraId="30E17251" w14:textId="77777777" w:rsidR="00B05E81" w:rsidRPr="00E36CD0" w:rsidRDefault="00B05E81" w:rsidP="00B05E81">
      <w:pPr>
        <w:keepNext/>
        <w:tabs>
          <w:tab w:val="clear" w:pos="562"/>
        </w:tabs>
        <w:suppressAutoHyphens w:val="0"/>
        <w:autoSpaceDE w:val="0"/>
        <w:autoSpaceDN w:val="0"/>
        <w:adjustRightInd w:val="0"/>
      </w:pPr>
    </w:p>
    <w:p w14:paraId="53EB5954" w14:textId="77777777" w:rsidR="00B05E81" w:rsidRPr="001E71EE" w:rsidRDefault="00944B8F" w:rsidP="00B05E81">
      <w:pPr>
        <w:keepNext/>
        <w:numPr>
          <w:ilvl w:val="12"/>
          <w:numId w:val="0"/>
        </w:numPr>
        <w:tabs>
          <w:tab w:val="clear" w:pos="562"/>
        </w:tabs>
        <w:ind w:right="-2"/>
      </w:pPr>
      <w:r w:rsidRPr="001E71EE">
        <w:t>Plaque psoriasis is a skin condition that causes red, flaky, crusty patches of skin covered with silvery scales. Plaque psoriasis can also affect the nails, causing them to crumble, become thickened and lift away from the</w:t>
      </w:r>
      <w:r>
        <w:t xml:space="preserve"> nail bed which can be painful.</w:t>
      </w:r>
    </w:p>
    <w:p w14:paraId="06CEC56F" w14:textId="77777777" w:rsidR="00B05E81" w:rsidRPr="00C270A1" w:rsidRDefault="00B05E81" w:rsidP="00B05E81">
      <w:pPr>
        <w:keepNext/>
      </w:pPr>
    </w:p>
    <w:p w14:paraId="4578E59A" w14:textId="77777777" w:rsidR="00B05E81" w:rsidRPr="001E71EE" w:rsidRDefault="00944B8F" w:rsidP="00B05E81">
      <w:pPr>
        <w:keepNext/>
        <w:rPr>
          <w:szCs w:val="21"/>
        </w:rPr>
      </w:pPr>
      <w:r w:rsidRPr="001E71EE">
        <w:rPr>
          <w:szCs w:val="21"/>
        </w:rPr>
        <w:t>Humira is used to treat</w:t>
      </w:r>
    </w:p>
    <w:p w14:paraId="4A0D1A37" w14:textId="77777777" w:rsidR="00B05E81" w:rsidRPr="001E71EE" w:rsidRDefault="00944B8F" w:rsidP="00D51999">
      <w:pPr>
        <w:keepNext/>
        <w:numPr>
          <w:ilvl w:val="0"/>
          <w:numId w:val="55"/>
        </w:numPr>
        <w:tabs>
          <w:tab w:val="clear" w:pos="562"/>
          <w:tab w:val="left" w:pos="720"/>
        </w:tabs>
        <w:rPr>
          <w:szCs w:val="21"/>
        </w:rPr>
      </w:pPr>
      <w:r w:rsidRPr="001E71EE">
        <w:rPr>
          <w:szCs w:val="21"/>
        </w:rPr>
        <w:t xml:space="preserve">moderate to severe chronic plaque psoriasis in adults and </w:t>
      </w:r>
    </w:p>
    <w:p w14:paraId="73B37E94" w14:textId="77777777" w:rsidR="00B05E81" w:rsidRPr="001E71EE" w:rsidRDefault="00944B8F" w:rsidP="00D51999">
      <w:pPr>
        <w:keepNext/>
        <w:numPr>
          <w:ilvl w:val="0"/>
          <w:numId w:val="55"/>
        </w:numPr>
        <w:tabs>
          <w:tab w:val="clear" w:pos="562"/>
          <w:tab w:val="left" w:pos="720"/>
        </w:tabs>
        <w:rPr>
          <w:szCs w:val="21"/>
        </w:rPr>
      </w:pPr>
      <w:r w:rsidRPr="001E71EE">
        <w:t>severe</w:t>
      </w:r>
      <w:r w:rsidRPr="001E71EE">
        <w:rPr>
          <w:szCs w:val="21"/>
        </w:rPr>
        <w:t xml:space="preserve"> chronic</w:t>
      </w:r>
      <w:r w:rsidRPr="001E71EE">
        <w:t xml:space="preserve"> plaque psoriasis in children and adolescents aged 4 to 17 years for whom topical therapy and phototherapies have either not worked very well or are not suitable.</w:t>
      </w:r>
    </w:p>
    <w:p w14:paraId="480BE25C" w14:textId="77777777" w:rsidR="00B05E81" w:rsidRPr="001E71EE" w:rsidRDefault="00B05E81" w:rsidP="00B05E81">
      <w:pPr>
        <w:numPr>
          <w:ilvl w:val="12"/>
          <w:numId w:val="0"/>
        </w:numPr>
        <w:tabs>
          <w:tab w:val="clear" w:pos="562"/>
        </w:tabs>
        <w:ind w:right="-2"/>
      </w:pPr>
    </w:p>
    <w:p w14:paraId="0AF7C129" w14:textId="77777777" w:rsidR="00B05E81" w:rsidRPr="00C270A1" w:rsidRDefault="00944B8F" w:rsidP="00B05E81">
      <w:pPr>
        <w:numPr>
          <w:ilvl w:val="12"/>
          <w:numId w:val="0"/>
        </w:numPr>
        <w:tabs>
          <w:tab w:val="clear" w:pos="562"/>
        </w:tabs>
        <w:ind w:right="-2"/>
        <w:rPr>
          <w:u w:val="single"/>
        </w:rPr>
      </w:pPr>
      <w:r w:rsidRPr="00C270A1">
        <w:rPr>
          <w:b/>
        </w:rPr>
        <w:t>Hidradenitis suppurativa</w:t>
      </w:r>
      <w:r w:rsidRPr="00C270A1">
        <w:rPr>
          <w:u w:val="single"/>
        </w:rPr>
        <w:t xml:space="preserve"> </w:t>
      </w:r>
    </w:p>
    <w:p w14:paraId="5DB9FE49" w14:textId="77777777" w:rsidR="00B05E81" w:rsidRPr="001E71EE" w:rsidRDefault="00B05E81" w:rsidP="00B05E81">
      <w:pPr>
        <w:keepNext/>
        <w:rPr>
          <w:szCs w:val="21"/>
        </w:rPr>
      </w:pPr>
    </w:p>
    <w:p w14:paraId="435D1FCB" w14:textId="77777777" w:rsidR="00B05E81" w:rsidRPr="001E71EE" w:rsidRDefault="00944B8F" w:rsidP="00B05E81">
      <w:pPr>
        <w:rPr>
          <w:szCs w:val="22"/>
        </w:rPr>
      </w:pPr>
      <w:r w:rsidRPr="001E71EE">
        <w:rPr>
          <w:szCs w:val="22"/>
        </w:rPr>
        <w:t xml:space="preserve">Hidradenitis suppurativa (sometimes called acne inversa) is a chronic and often painful inflammatory skin disease. Symptoms may include tender nodules (lumps) and abscesses (boils) that may leak pus. It most commonly affects specific areas of the skin, such as </w:t>
      </w:r>
      <w:hyperlink r:id="rId69" w:history="1">
        <w:r w:rsidR="00B05E81" w:rsidRPr="001E71EE">
          <w:rPr>
            <w:szCs w:val="22"/>
          </w:rPr>
          <w:t>under the breasts</w:t>
        </w:r>
      </w:hyperlink>
      <w:r w:rsidRPr="001E71EE">
        <w:rPr>
          <w:szCs w:val="22"/>
        </w:rPr>
        <w:t>, the armpits, inner thighs, groin and buttocks. Scarring may also occur in affected areas.</w:t>
      </w:r>
    </w:p>
    <w:p w14:paraId="66999073" w14:textId="77777777" w:rsidR="00B05E81" w:rsidRPr="001E71EE" w:rsidRDefault="00B05E81" w:rsidP="00B05E81">
      <w:pPr>
        <w:keepNext/>
        <w:rPr>
          <w:szCs w:val="22"/>
        </w:rPr>
      </w:pPr>
    </w:p>
    <w:p w14:paraId="2C478696" w14:textId="77777777" w:rsidR="00B05E81" w:rsidRPr="001E71EE" w:rsidRDefault="00944B8F" w:rsidP="00B05E81">
      <w:pPr>
        <w:rPr>
          <w:szCs w:val="22"/>
        </w:rPr>
      </w:pPr>
      <w:r w:rsidRPr="001E71EE">
        <w:rPr>
          <w:szCs w:val="22"/>
        </w:rPr>
        <w:t xml:space="preserve">Humira is used to treat </w:t>
      </w:r>
    </w:p>
    <w:p w14:paraId="4F02F72B" w14:textId="77777777" w:rsidR="00B05E81" w:rsidRPr="001E71EE" w:rsidRDefault="00944B8F" w:rsidP="00B05E81">
      <w:pPr>
        <w:numPr>
          <w:ilvl w:val="0"/>
          <w:numId w:val="22"/>
        </w:numPr>
        <w:rPr>
          <w:szCs w:val="22"/>
        </w:rPr>
      </w:pPr>
      <w:r w:rsidRPr="001E71EE">
        <w:rPr>
          <w:szCs w:val="22"/>
        </w:rPr>
        <w:t>moderate to severe hidradenitis suppurativa in adults and</w:t>
      </w:r>
    </w:p>
    <w:p w14:paraId="3FD0FBD2" w14:textId="77777777" w:rsidR="00B05E81" w:rsidRPr="001E71EE" w:rsidRDefault="00944B8F" w:rsidP="00B05E81">
      <w:pPr>
        <w:numPr>
          <w:ilvl w:val="0"/>
          <w:numId w:val="22"/>
        </w:numPr>
        <w:rPr>
          <w:szCs w:val="22"/>
        </w:rPr>
      </w:pPr>
      <w:r w:rsidRPr="001E71EE">
        <w:rPr>
          <w:szCs w:val="22"/>
        </w:rPr>
        <w:t>moderate to severe hidradenitis suppurativa in adolescents aged 12 to 17 years. </w:t>
      </w:r>
    </w:p>
    <w:p w14:paraId="4F5980E7" w14:textId="77777777" w:rsidR="00B05E81" w:rsidRPr="001E71EE" w:rsidRDefault="00B05E81" w:rsidP="00B05E81">
      <w:pPr>
        <w:ind w:left="720"/>
        <w:rPr>
          <w:szCs w:val="22"/>
        </w:rPr>
      </w:pPr>
    </w:p>
    <w:p w14:paraId="37B3010D" w14:textId="77777777" w:rsidR="00B05E81" w:rsidRPr="001E71EE" w:rsidRDefault="00944B8F" w:rsidP="00B05E81">
      <w:pPr>
        <w:rPr>
          <w:szCs w:val="22"/>
        </w:rPr>
      </w:pPr>
      <w:r w:rsidRPr="001E71EE">
        <w:rPr>
          <w:szCs w:val="22"/>
        </w:rPr>
        <w:t xml:space="preserve">Humira can reduce the number of nodules and abscesses caused by the disease and the pain that is often associated with the disease. </w:t>
      </w:r>
      <w:r w:rsidRPr="001E71EE">
        <w:t>You may first be given other medicines. If you do not respond well enough to these medicines, you will be given Humira.</w:t>
      </w:r>
    </w:p>
    <w:p w14:paraId="693C0F1C" w14:textId="77777777" w:rsidR="00B05E81" w:rsidRPr="001E71EE" w:rsidRDefault="00B05E81" w:rsidP="00B05E81">
      <w:pPr>
        <w:rPr>
          <w:szCs w:val="20"/>
        </w:rPr>
      </w:pPr>
    </w:p>
    <w:p w14:paraId="401C98A3" w14:textId="77777777" w:rsidR="00B05E81" w:rsidRPr="00C270A1" w:rsidRDefault="00944B8F" w:rsidP="00B05E81">
      <w:pPr>
        <w:rPr>
          <w:u w:val="single"/>
        </w:rPr>
      </w:pPr>
      <w:r w:rsidRPr="00C270A1">
        <w:rPr>
          <w:b/>
        </w:rPr>
        <w:t xml:space="preserve">Crohn’s disease </w:t>
      </w:r>
    </w:p>
    <w:p w14:paraId="24187B89" w14:textId="77777777" w:rsidR="00B05E81" w:rsidRPr="00C270A1" w:rsidRDefault="00B05E81" w:rsidP="00B05E81">
      <w:pPr>
        <w:rPr>
          <w:u w:val="single"/>
        </w:rPr>
      </w:pPr>
    </w:p>
    <w:p w14:paraId="5A47F3D6" w14:textId="77777777" w:rsidR="00B05E81" w:rsidRPr="001E71EE" w:rsidRDefault="00944B8F" w:rsidP="00B05E81">
      <w:pPr>
        <w:rPr>
          <w:szCs w:val="21"/>
        </w:rPr>
      </w:pPr>
      <w:r w:rsidRPr="001E71EE">
        <w:rPr>
          <w:szCs w:val="20"/>
        </w:rPr>
        <w:t>Crohn’s disease is an inflammatory disease of the digestive tract.</w:t>
      </w:r>
    </w:p>
    <w:p w14:paraId="15623402" w14:textId="77777777" w:rsidR="00B05E81" w:rsidRPr="001E71EE" w:rsidRDefault="00B05E81" w:rsidP="00B05E81">
      <w:pPr>
        <w:rPr>
          <w:szCs w:val="21"/>
        </w:rPr>
      </w:pPr>
    </w:p>
    <w:p w14:paraId="7371ED57" w14:textId="77777777" w:rsidR="00B05E81" w:rsidRPr="001E71EE" w:rsidRDefault="00944B8F" w:rsidP="00B05E81">
      <w:pPr>
        <w:rPr>
          <w:szCs w:val="21"/>
        </w:rPr>
      </w:pPr>
      <w:r w:rsidRPr="001E71EE">
        <w:rPr>
          <w:szCs w:val="21"/>
        </w:rPr>
        <w:t>Humira is used to treat</w:t>
      </w:r>
    </w:p>
    <w:p w14:paraId="74AB20C8" w14:textId="77777777" w:rsidR="00B05E81" w:rsidRPr="001E71EE" w:rsidRDefault="00944B8F" w:rsidP="00D51999">
      <w:pPr>
        <w:numPr>
          <w:ilvl w:val="0"/>
          <w:numId w:val="83"/>
        </w:numPr>
        <w:tabs>
          <w:tab w:val="clear" w:pos="562"/>
          <w:tab w:val="left" w:pos="720"/>
        </w:tabs>
        <w:rPr>
          <w:szCs w:val="21"/>
        </w:rPr>
      </w:pPr>
      <w:r w:rsidRPr="001E71EE">
        <w:rPr>
          <w:szCs w:val="21"/>
        </w:rPr>
        <w:t xml:space="preserve">moderate to severe Crohn’s disease in adults and </w:t>
      </w:r>
    </w:p>
    <w:p w14:paraId="6415945C" w14:textId="77777777" w:rsidR="00B05E81" w:rsidRPr="001E71EE" w:rsidRDefault="00944B8F" w:rsidP="00D51999">
      <w:pPr>
        <w:numPr>
          <w:ilvl w:val="0"/>
          <w:numId w:val="83"/>
        </w:numPr>
        <w:tabs>
          <w:tab w:val="clear" w:pos="562"/>
          <w:tab w:val="left" w:pos="720"/>
        </w:tabs>
        <w:rPr>
          <w:szCs w:val="21"/>
        </w:rPr>
      </w:pPr>
      <w:r w:rsidRPr="001E71EE">
        <w:rPr>
          <w:szCs w:val="21"/>
        </w:rPr>
        <w:t>moderate to severe Crohn’s disease in children and adolescents aged 6 to 17 years</w:t>
      </w:r>
    </w:p>
    <w:p w14:paraId="2AE9896E" w14:textId="77777777" w:rsidR="00B05E81" w:rsidRPr="001E71EE" w:rsidRDefault="00B05E81" w:rsidP="00B05E81">
      <w:pPr>
        <w:tabs>
          <w:tab w:val="clear" w:pos="562"/>
          <w:tab w:val="left" w:pos="720"/>
        </w:tabs>
        <w:ind w:left="360"/>
        <w:rPr>
          <w:szCs w:val="21"/>
        </w:rPr>
      </w:pPr>
    </w:p>
    <w:p w14:paraId="5C4A0C0A" w14:textId="77777777" w:rsidR="00B05E81" w:rsidRPr="001E71EE" w:rsidRDefault="00944B8F" w:rsidP="00B05E81">
      <w:pPr>
        <w:tabs>
          <w:tab w:val="clear" w:pos="562"/>
          <w:tab w:val="left" w:pos="720"/>
        </w:tabs>
      </w:pPr>
      <w:r w:rsidRPr="001E71EE">
        <w:rPr>
          <w:szCs w:val="20"/>
        </w:rPr>
        <w:t>You may</w:t>
      </w:r>
      <w:r w:rsidRPr="001E71EE">
        <w:t xml:space="preserve"> first be given other medicines. If you do not respond well enough to these medicines, you will be given Humira.</w:t>
      </w:r>
    </w:p>
    <w:p w14:paraId="1FBCB5A0" w14:textId="77777777" w:rsidR="00B05E81" w:rsidRPr="001E71EE" w:rsidRDefault="00B05E81" w:rsidP="00B05E81">
      <w:pPr>
        <w:keepNext/>
        <w:rPr>
          <w:szCs w:val="21"/>
          <w:u w:val="single"/>
        </w:rPr>
      </w:pPr>
    </w:p>
    <w:p w14:paraId="2590745F" w14:textId="77777777" w:rsidR="00B05E81" w:rsidRDefault="00944B8F" w:rsidP="00B05E81">
      <w:pPr>
        <w:keepNext/>
        <w:rPr>
          <w:b/>
        </w:rPr>
      </w:pPr>
      <w:r w:rsidRPr="00B15D94">
        <w:rPr>
          <w:b/>
        </w:rPr>
        <w:t>Ulcerative colitis</w:t>
      </w:r>
    </w:p>
    <w:p w14:paraId="31CD31A9" w14:textId="77777777" w:rsidR="003B669A" w:rsidRPr="001E71EE" w:rsidRDefault="003B669A" w:rsidP="00B05E81">
      <w:pPr>
        <w:keepNext/>
        <w:rPr>
          <w:szCs w:val="21"/>
        </w:rPr>
      </w:pPr>
    </w:p>
    <w:p w14:paraId="27F6EF5F" w14:textId="77777777" w:rsidR="00B05E81" w:rsidRPr="001E71EE" w:rsidRDefault="00944B8F" w:rsidP="00B05E81">
      <w:pPr>
        <w:rPr>
          <w:szCs w:val="21"/>
        </w:rPr>
      </w:pPr>
      <w:r w:rsidRPr="001E71EE">
        <w:rPr>
          <w:szCs w:val="21"/>
        </w:rPr>
        <w:t>Ulcerative colitis is an inflammatory disease of the large intestine.</w:t>
      </w:r>
    </w:p>
    <w:p w14:paraId="4749D439" w14:textId="77777777" w:rsidR="00B05E81" w:rsidRPr="001E71EE" w:rsidRDefault="00B05E81" w:rsidP="00B05E81">
      <w:pPr>
        <w:rPr>
          <w:szCs w:val="21"/>
        </w:rPr>
      </w:pPr>
    </w:p>
    <w:p w14:paraId="765F57D6" w14:textId="77777777" w:rsidR="008E09D2" w:rsidRDefault="00944B8F" w:rsidP="00B05E81">
      <w:pPr>
        <w:rPr>
          <w:szCs w:val="21"/>
        </w:rPr>
      </w:pPr>
      <w:r w:rsidRPr="001E71EE">
        <w:rPr>
          <w:szCs w:val="21"/>
        </w:rPr>
        <w:t xml:space="preserve">Humira is used to treat </w:t>
      </w:r>
    </w:p>
    <w:p w14:paraId="42B9915F" w14:textId="77777777" w:rsidR="008E09D2" w:rsidRDefault="00944B8F" w:rsidP="008E09D2">
      <w:pPr>
        <w:pStyle w:val="ListParagraph"/>
        <w:numPr>
          <w:ilvl w:val="0"/>
          <w:numId w:val="151"/>
        </w:numPr>
        <w:rPr>
          <w:szCs w:val="21"/>
        </w:rPr>
      </w:pPr>
      <w:r w:rsidRPr="008E09D2">
        <w:rPr>
          <w:szCs w:val="21"/>
        </w:rPr>
        <w:t>moderate to severe ulcerative colitis in adults</w:t>
      </w:r>
      <w:r w:rsidR="006B016C">
        <w:rPr>
          <w:szCs w:val="21"/>
        </w:rPr>
        <w:t xml:space="preserve"> and</w:t>
      </w:r>
    </w:p>
    <w:p w14:paraId="640AC140" w14:textId="77777777" w:rsidR="00C015AF" w:rsidRPr="008E09D2" w:rsidRDefault="00944B8F" w:rsidP="00C015AF">
      <w:pPr>
        <w:pStyle w:val="ListParagraph"/>
        <w:numPr>
          <w:ilvl w:val="0"/>
          <w:numId w:val="151"/>
        </w:numPr>
        <w:rPr>
          <w:szCs w:val="21"/>
        </w:rPr>
      </w:pPr>
      <w:r>
        <w:rPr>
          <w:szCs w:val="21"/>
        </w:rPr>
        <w:t>moderate to severe ulcerative colitis in children and adolescents aged 6 to 17 years</w:t>
      </w:r>
      <w:r w:rsidR="00BC32D5">
        <w:rPr>
          <w:szCs w:val="20"/>
        </w:rPr>
        <w:t>.</w:t>
      </w:r>
    </w:p>
    <w:p w14:paraId="0BA4A8FE" w14:textId="77777777" w:rsidR="008E09D2" w:rsidRDefault="008E09D2" w:rsidP="00B05E81">
      <w:pPr>
        <w:rPr>
          <w:szCs w:val="21"/>
        </w:rPr>
      </w:pPr>
    </w:p>
    <w:p w14:paraId="46F3CB99" w14:textId="77777777" w:rsidR="00B05E81" w:rsidRPr="001E71EE" w:rsidRDefault="00944B8F" w:rsidP="00B05E81">
      <w:pPr>
        <w:rPr>
          <w:szCs w:val="21"/>
        </w:rPr>
      </w:pPr>
      <w:r w:rsidRPr="001E71EE">
        <w:rPr>
          <w:szCs w:val="20"/>
        </w:rPr>
        <w:t>You may</w:t>
      </w:r>
      <w:r w:rsidRPr="001E71EE">
        <w:t xml:space="preserve"> first be given other medicines. If you do not respond well enough to these medicines, you will be given Humira.</w:t>
      </w:r>
    </w:p>
    <w:p w14:paraId="11D696AF" w14:textId="77777777" w:rsidR="00B05E81" w:rsidRPr="001E71EE" w:rsidRDefault="00B05E81" w:rsidP="00B05E81">
      <w:pPr>
        <w:rPr>
          <w:szCs w:val="21"/>
        </w:rPr>
      </w:pPr>
    </w:p>
    <w:p w14:paraId="705F72D7" w14:textId="77777777" w:rsidR="00B05E81" w:rsidRPr="00B15D94" w:rsidRDefault="00944B8F" w:rsidP="00B05E81">
      <w:pPr>
        <w:rPr>
          <w:b/>
        </w:rPr>
      </w:pPr>
      <w:r w:rsidRPr="00B15D94">
        <w:rPr>
          <w:b/>
        </w:rPr>
        <w:t>Non-infectious uveitis</w:t>
      </w:r>
    </w:p>
    <w:p w14:paraId="18C595F3" w14:textId="77777777" w:rsidR="00B05E81" w:rsidRPr="00E36CD0" w:rsidRDefault="00B05E81" w:rsidP="00B05E81">
      <w:pPr>
        <w:rPr>
          <w:szCs w:val="20"/>
        </w:rPr>
      </w:pPr>
    </w:p>
    <w:p w14:paraId="6F1637DB" w14:textId="77777777" w:rsidR="00B05E81" w:rsidRPr="00B15D94" w:rsidRDefault="00944B8F" w:rsidP="00B05E81">
      <w:pPr>
        <w:rPr>
          <w:szCs w:val="20"/>
        </w:rPr>
      </w:pPr>
      <w:r w:rsidRPr="00B15D94">
        <w:rPr>
          <w:szCs w:val="20"/>
        </w:rPr>
        <w:t>Non-infectious uveitis is an inflammatory disease affecting certain parts of the eye.</w:t>
      </w:r>
    </w:p>
    <w:p w14:paraId="4269CFAF" w14:textId="77777777" w:rsidR="00B05E81" w:rsidRPr="00E36CD0" w:rsidRDefault="00B05E81" w:rsidP="00B05E81">
      <w:pPr>
        <w:rPr>
          <w:szCs w:val="20"/>
        </w:rPr>
      </w:pPr>
    </w:p>
    <w:p w14:paraId="7051419D" w14:textId="77777777" w:rsidR="00B05E81" w:rsidRPr="001E71EE" w:rsidRDefault="00944B8F" w:rsidP="00217DCA">
      <w:pPr>
        <w:keepNext/>
        <w:rPr>
          <w:szCs w:val="20"/>
        </w:rPr>
      </w:pPr>
      <w:r w:rsidRPr="001E71EE">
        <w:rPr>
          <w:szCs w:val="20"/>
        </w:rPr>
        <w:lastRenderedPageBreak/>
        <w:t xml:space="preserve">Humira is used to treat </w:t>
      </w:r>
    </w:p>
    <w:p w14:paraId="784F2A74" w14:textId="77777777" w:rsidR="00B05E81" w:rsidRPr="001E71EE" w:rsidRDefault="00944B8F" w:rsidP="00217DCA">
      <w:pPr>
        <w:keepNext/>
        <w:numPr>
          <w:ilvl w:val="0"/>
          <w:numId w:val="83"/>
        </w:numPr>
        <w:tabs>
          <w:tab w:val="clear" w:pos="562"/>
          <w:tab w:val="left" w:pos="720"/>
        </w:tabs>
      </w:pPr>
      <w:r w:rsidRPr="001E71EE">
        <w:rPr>
          <w:szCs w:val="21"/>
        </w:rPr>
        <w:t>adults</w:t>
      </w:r>
      <w:r w:rsidRPr="001E71EE">
        <w:t xml:space="preserve"> with non-infectious uveitis with inflammation affecting the back of the eye</w:t>
      </w:r>
    </w:p>
    <w:p w14:paraId="101C9F40" w14:textId="77777777" w:rsidR="00B05E81" w:rsidRPr="001E71EE" w:rsidRDefault="00944B8F" w:rsidP="00D51999">
      <w:pPr>
        <w:numPr>
          <w:ilvl w:val="0"/>
          <w:numId w:val="83"/>
        </w:numPr>
        <w:tabs>
          <w:tab w:val="clear" w:pos="562"/>
          <w:tab w:val="left" w:pos="720"/>
        </w:tabs>
        <w:rPr>
          <w:szCs w:val="20"/>
        </w:rPr>
      </w:pPr>
      <w:r w:rsidRPr="001E71EE">
        <w:rPr>
          <w:szCs w:val="21"/>
        </w:rPr>
        <w:t>children</w:t>
      </w:r>
      <w:r w:rsidRPr="001E71EE">
        <w:t xml:space="preserve"> with chronic non-infectious uveitis</w:t>
      </w:r>
      <w:r w:rsidRPr="001E71EE">
        <w:rPr>
          <w:szCs w:val="20"/>
        </w:rPr>
        <w:t xml:space="preserve"> from 2 years of age</w:t>
      </w:r>
      <w:r w:rsidRPr="001E71EE">
        <w:t xml:space="preserve"> with inflammation affecting the front of the eye</w:t>
      </w:r>
      <w:r w:rsidRPr="001E71EE">
        <w:rPr>
          <w:szCs w:val="20"/>
        </w:rPr>
        <w:t xml:space="preserve"> </w:t>
      </w:r>
    </w:p>
    <w:p w14:paraId="35161E83" w14:textId="77777777" w:rsidR="00B05E81" w:rsidRPr="001E71EE" w:rsidRDefault="00B05E81" w:rsidP="00B05E81">
      <w:pPr>
        <w:rPr>
          <w:szCs w:val="20"/>
        </w:rPr>
      </w:pPr>
    </w:p>
    <w:p w14:paraId="2C9D4D46" w14:textId="77777777" w:rsidR="00B05E81" w:rsidRPr="001E71EE" w:rsidRDefault="00944B8F" w:rsidP="00B05E81">
      <w:pPr>
        <w:rPr>
          <w:szCs w:val="20"/>
        </w:rPr>
      </w:pPr>
      <w:r w:rsidRPr="001E71EE">
        <w:rPr>
          <w:szCs w:val="20"/>
        </w:rPr>
        <w:t>This inflammation may lead to a decrease of vision and/or the presence of floaters in the eye (black dots or wispy lines that move across the field of vision). Humira works by reducing this inflammation.</w:t>
      </w:r>
    </w:p>
    <w:p w14:paraId="29AA4D6C" w14:textId="77777777" w:rsidR="00B05E81" w:rsidRPr="001E71EE" w:rsidRDefault="00B05E81" w:rsidP="00B05E81"/>
    <w:p w14:paraId="0568FDA8" w14:textId="77777777" w:rsidR="00B05E81" w:rsidRPr="001E71EE" w:rsidRDefault="00944B8F" w:rsidP="00B05E81">
      <w:pPr>
        <w:rPr>
          <w:szCs w:val="20"/>
        </w:rPr>
      </w:pPr>
      <w:r w:rsidRPr="001E71EE">
        <w:rPr>
          <w:szCs w:val="20"/>
        </w:rPr>
        <w:t>You may first be given other medicines. If you do not respond well enough to these medicines, you will be given Humira.</w:t>
      </w:r>
    </w:p>
    <w:p w14:paraId="27D7CC35" w14:textId="77777777" w:rsidR="00B05E81" w:rsidRPr="001E71EE" w:rsidRDefault="00B05E81" w:rsidP="00B05E81">
      <w:pPr>
        <w:rPr>
          <w:szCs w:val="20"/>
        </w:rPr>
      </w:pPr>
    </w:p>
    <w:p w14:paraId="1CC1CD3F" w14:textId="77777777" w:rsidR="00B05E81" w:rsidRPr="001E71EE" w:rsidRDefault="00B05E81" w:rsidP="00B05E81"/>
    <w:p w14:paraId="51EBA202" w14:textId="77777777" w:rsidR="00B05E81" w:rsidRPr="00B15D94" w:rsidRDefault="00944B8F" w:rsidP="00B05E81">
      <w:pPr>
        <w:outlineLvl w:val="0"/>
        <w:rPr>
          <w:b/>
          <w:caps/>
        </w:rPr>
      </w:pPr>
      <w:r w:rsidRPr="00B15D94">
        <w:rPr>
          <w:b/>
        </w:rPr>
        <w:t>2.</w:t>
      </w:r>
      <w:r w:rsidRPr="00B15D94">
        <w:rPr>
          <w:b/>
        </w:rPr>
        <w:tab/>
        <w:t>What you need to know before you use Humira</w:t>
      </w:r>
    </w:p>
    <w:p w14:paraId="57B30270" w14:textId="77777777" w:rsidR="00B05E81" w:rsidRPr="001E71EE" w:rsidRDefault="00B05E81" w:rsidP="00B05E81">
      <w:pPr>
        <w:rPr>
          <w:szCs w:val="20"/>
        </w:rPr>
      </w:pPr>
    </w:p>
    <w:p w14:paraId="0971691E" w14:textId="77777777" w:rsidR="00B05E81" w:rsidRPr="001E71EE" w:rsidRDefault="00944B8F" w:rsidP="00B05E81">
      <w:pPr>
        <w:rPr>
          <w:szCs w:val="20"/>
        </w:rPr>
      </w:pPr>
      <w:r w:rsidRPr="001E71EE">
        <w:rPr>
          <w:b/>
          <w:bCs/>
          <w:szCs w:val="20"/>
        </w:rPr>
        <w:t>Do not use Humira:</w:t>
      </w:r>
    </w:p>
    <w:p w14:paraId="5EDA62FD" w14:textId="77777777" w:rsidR="00B05E81" w:rsidRPr="001E71EE" w:rsidRDefault="00B05E81" w:rsidP="00B05E81">
      <w:pPr>
        <w:rPr>
          <w:szCs w:val="20"/>
        </w:rPr>
      </w:pPr>
    </w:p>
    <w:p w14:paraId="7B145B80" w14:textId="77777777" w:rsidR="00B05E81" w:rsidRPr="001E71EE" w:rsidRDefault="00944B8F" w:rsidP="00D51999">
      <w:pPr>
        <w:numPr>
          <w:ilvl w:val="0"/>
          <w:numId w:val="56"/>
        </w:numPr>
        <w:tabs>
          <w:tab w:val="clear" w:pos="562"/>
          <w:tab w:val="left" w:pos="720"/>
        </w:tabs>
        <w:rPr>
          <w:szCs w:val="20"/>
        </w:rPr>
      </w:pPr>
      <w:r w:rsidRPr="001E71EE">
        <w:rPr>
          <w:szCs w:val="20"/>
        </w:rPr>
        <w:t xml:space="preserve">If you are allergic to adalimumab or any of the other ingredients of this medicine (listed in section 6). </w:t>
      </w:r>
    </w:p>
    <w:p w14:paraId="5707244D" w14:textId="77777777" w:rsidR="00B05E81" w:rsidRPr="001E71EE" w:rsidRDefault="00B05E81" w:rsidP="00B05E81">
      <w:pPr>
        <w:tabs>
          <w:tab w:val="clear" w:pos="562"/>
          <w:tab w:val="num" w:pos="284"/>
        </w:tabs>
        <w:ind w:left="284" w:hanging="284"/>
        <w:rPr>
          <w:szCs w:val="20"/>
        </w:rPr>
      </w:pPr>
    </w:p>
    <w:p w14:paraId="48087FE7" w14:textId="77777777" w:rsidR="00B05E81" w:rsidRPr="001E71EE" w:rsidRDefault="00944B8F" w:rsidP="00D51999">
      <w:pPr>
        <w:numPr>
          <w:ilvl w:val="0"/>
          <w:numId w:val="56"/>
        </w:numPr>
        <w:tabs>
          <w:tab w:val="clear" w:pos="562"/>
          <w:tab w:val="left" w:pos="720"/>
        </w:tabs>
        <w:rPr>
          <w:szCs w:val="20"/>
        </w:rPr>
      </w:pPr>
      <w:r w:rsidRPr="001E71EE">
        <w:rPr>
          <w:szCs w:val="20"/>
        </w:rPr>
        <w:t>If you have active tuberculosis or other severe infections (see “Warnings and precautions”). It is important that you tell your doctor if you have symptoms of infections, for example, fever, wounds, feeling tired, dental problems.</w:t>
      </w:r>
    </w:p>
    <w:p w14:paraId="091FAA45" w14:textId="77777777" w:rsidR="00B05E81" w:rsidRPr="001E71EE" w:rsidRDefault="00B05E81" w:rsidP="00B05E81">
      <w:pPr>
        <w:tabs>
          <w:tab w:val="clear" w:pos="562"/>
          <w:tab w:val="left" w:pos="720"/>
        </w:tabs>
        <w:ind w:left="720"/>
        <w:rPr>
          <w:szCs w:val="20"/>
        </w:rPr>
      </w:pPr>
    </w:p>
    <w:p w14:paraId="1ED3DB61" w14:textId="77777777" w:rsidR="00B05E81" w:rsidRPr="001E71EE" w:rsidRDefault="00944B8F" w:rsidP="00D51999">
      <w:pPr>
        <w:numPr>
          <w:ilvl w:val="0"/>
          <w:numId w:val="56"/>
        </w:numPr>
        <w:tabs>
          <w:tab w:val="clear" w:pos="562"/>
          <w:tab w:val="left" w:pos="720"/>
        </w:tabs>
        <w:rPr>
          <w:szCs w:val="20"/>
        </w:rPr>
      </w:pPr>
      <w:r w:rsidRPr="001E71EE">
        <w:rPr>
          <w:szCs w:val="20"/>
        </w:rPr>
        <w:t>If you have moderate or severe heart failure. It is important to tell your doctor if you have had or have a serious heart condition (see “Warnings and precautions”).</w:t>
      </w:r>
    </w:p>
    <w:p w14:paraId="4093E890" w14:textId="77777777" w:rsidR="00B05E81" w:rsidRPr="001E71EE" w:rsidRDefault="00B05E81" w:rsidP="00B05E81">
      <w:pPr>
        <w:rPr>
          <w:szCs w:val="20"/>
        </w:rPr>
      </w:pPr>
    </w:p>
    <w:p w14:paraId="054DAB5E" w14:textId="77777777" w:rsidR="00B05E81" w:rsidRPr="001E71EE" w:rsidRDefault="00944B8F" w:rsidP="00B05E81">
      <w:pPr>
        <w:rPr>
          <w:b/>
          <w:bCs/>
          <w:szCs w:val="20"/>
        </w:rPr>
      </w:pPr>
      <w:r w:rsidRPr="001E71EE">
        <w:rPr>
          <w:b/>
          <w:bCs/>
          <w:szCs w:val="20"/>
        </w:rPr>
        <w:t>Warnings and precautions</w:t>
      </w:r>
    </w:p>
    <w:p w14:paraId="0FB3DA77" w14:textId="77777777" w:rsidR="00B05E81" w:rsidRPr="00E36CD0" w:rsidRDefault="00B05E81" w:rsidP="00B05E81">
      <w:pPr>
        <w:rPr>
          <w:bCs/>
          <w:szCs w:val="20"/>
        </w:rPr>
      </w:pPr>
    </w:p>
    <w:p w14:paraId="01D0CC3E" w14:textId="77777777" w:rsidR="00B05E81" w:rsidRPr="001E71EE" w:rsidRDefault="00944B8F" w:rsidP="00B05E81">
      <w:pPr>
        <w:rPr>
          <w:szCs w:val="20"/>
        </w:rPr>
      </w:pPr>
      <w:r w:rsidRPr="001E71EE">
        <w:rPr>
          <w:szCs w:val="20"/>
        </w:rPr>
        <w:t>Talk to your doctor or pharmacist before using Humira.</w:t>
      </w:r>
    </w:p>
    <w:p w14:paraId="4238252A" w14:textId="77777777" w:rsidR="00B05E81" w:rsidRPr="001E71EE" w:rsidRDefault="00B05E81" w:rsidP="00B05E81">
      <w:pPr>
        <w:rPr>
          <w:szCs w:val="20"/>
        </w:rPr>
      </w:pPr>
    </w:p>
    <w:p w14:paraId="7EF69067" w14:textId="77777777" w:rsidR="00B05E81" w:rsidRPr="001E71EE" w:rsidRDefault="00944B8F" w:rsidP="00B05E81">
      <w:pPr>
        <w:tabs>
          <w:tab w:val="clear" w:pos="562"/>
          <w:tab w:val="left" w:pos="0"/>
        </w:tabs>
        <w:rPr>
          <w:szCs w:val="20"/>
          <w:u w:val="single"/>
        </w:rPr>
      </w:pPr>
      <w:r w:rsidRPr="001E71EE">
        <w:rPr>
          <w:szCs w:val="20"/>
          <w:u w:val="single"/>
        </w:rPr>
        <w:t>Allergic reactions</w:t>
      </w:r>
    </w:p>
    <w:p w14:paraId="540EAF96" w14:textId="77777777" w:rsidR="00B05E81" w:rsidRPr="00B15D94" w:rsidRDefault="00B05E81" w:rsidP="00B05E81">
      <w:pPr>
        <w:tabs>
          <w:tab w:val="clear" w:pos="562"/>
          <w:tab w:val="num" w:pos="550"/>
        </w:tabs>
        <w:ind w:left="550" w:hanging="550"/>
      </w:pPr>
    </w:p>
    <w:p w14:paraId="5272E42F" w14:textId="77777777" w:rsidR="00B05E81" w:rsidRPr="001E71EE" w:rsidRDefault="00944B8F" w:rsidP="00D51999">
      <w:pPr>
        <w:numPr>
          <w:ilvl w:val="0"/>
          <w:numId w:val="56"/>
        </w:numPr>
        <w:tabs>
          <w:tab w:val="clear" w:pos="562"/>
        </w:tabs>
        <w:rPr>
          <w:szCs w:val="20"/>
        </w:rPr>
      </w:pPr>
      <w:r w:rsidRPr="001E71EE">
        <w:rPr>
          <w:szCs w:val="20"/>
        </w:rPr>
        <w:t>If you get allergic reactions with symptoms such as chest tightness, wheezing, dizziness, swelling or rash do not inject more Humira and contact your doctor immediately since, in rare cases, these reactions can be life threatening.</w:t>
      </w:r>
    </w:p>
    <w:p w14:paraId="1CA8BEFC" w14:textId="77777777" w:rsidR="00B05E81" w:rsidRPr="001E71EE" w:rsidRDefault="00B05E81" w:rsidP="00B05E81">
      <w:pPr>
        <w:tabs>
          <w:tab w:val="clear" w:pos="562"/>
          <w:tab w:val="left" w:pos="720"/>
        </w:tabs>
        <w:ind w:left="720"/>
        <w:rPr>
          <w:szCs w:val="20"/>
        </w:rPr>
      </w:pPr>
    </w:p>
    <w:p w14:paraId="10B39035" w14:textId="77777777" w:rsidR="00B05E81" w:rsidRPr="001E71EE" w:rsidRDefault="00944B8F" w:rsidP="00B05E81">
      <w:pPr>
        <w:tabs>
          <w:tab w:val="clear" w:pos="562"/>
          <w:tab w:val="num" w:pos="0"/>
        </w:tabs>
        <w:rPr>
          <w:szCs w:val="20"/>
          <w:u w:val="single"/>
        </w:rPr>
      </w:pPr>
      <w:r w:rsidRPr="001E71EE">
        <w:rPr>
          <w:szCs w:val="20"/>
          <w:u w:val="single"/>
        </w:rPr>
        <w:t>Infections</w:t>
      </w:r>
    </w:p>
    <w:p w14:paraId="53AFFFBE" w14:textId="77777777" w:rsidR="00B05E81" w:rsidRPr="001E71EE" w:rsidRDefault="00B05E81" w:rsidP="00B05E81">
      <w:pPr>
        <w:rPr>
          <w:szCs w:val="20"/>
        </w:rPr>
      </w:pPr>
    </w:p>
    <w:p w14:paraId="21F30899" w14:textId="77777777" w:rsidR="00B05E81" w:rsidRPr="001E71EE" w:rsidRDefault="00944B8F" w:rsidP="00D51999">
      <w:pPr>
        <w:numPr>
          <w:ilvl w:val="0"/>
          <w:numId w:val="56"/>
        </w:numPr>
        <w:tabs>
          <w:tab w:val="clear" w:pos="562"/>
        </w:tabs>
        <w:rPr>
          <w:szCs w:val="20"/>
        </w:rPr>
      </w:pPr>
      <w:r w:rsidRPr="001E71EE">
        <w:rPr>
          <w:szCs w:val="20"/>
        </w:rPr>
        <w:t xml:space="preserve">If you have an infection, including long-term infection or an infection in one part of the body (for example, leg ulcer) consult your doctor before starting Humira. If you are unsure, contact your doctor. </w:t>
      </w:r>
    </w:p>
    <w:p w14:paraId="039D90A1" w14:textId="77777777" w:rsidR="00B05E81" w:rsidRPr="001E71EE" w:rsidRDefault="00B05E81" w:rsidP="00B05E81">
      <w:pPr>
        <w:rPr>
          <w:szCs w:val="20"/>
        </w:rPr>
      </w:pPr>
    </w:p>
    <w:p w14:paraId="4EC2290F" w14:textId="77777777" w:rsidR="00B05E81" w:rsidRPr="001E71EE" w:rsidRDefault="00944B8F" w:rsidP="00D51999">
      <w:pPr>
        <w:numPr>
          <w:ilvl w:val="0"/>
          <w:numId w:val="56"/>
        </w:numPr>
        <w:tabs>
          <w:tab w:val="clear" w:pos="562"/>
        </w:tabs>
        <w:rPr>
          <w:szCs w:val="20"/>
        </w:rPr>
      </w:pPr>
      <w:r w:rsidRPr="001E71EE">
        <w:rPr>
          <w:szCs w:val="20"/>
        </w:rPr>
        <w:t xml:space="preserve">You might get infections more easily while you are receiving Humira treatment. This risk may increase if you have problems with your lungs. These infections may be serious and include: </w:t>
      </w:r>
    </w:p>
    <w:p w14:paraId="09AE039D" w14:textId="77777777" w:rsidR="00B05E81" w:rsidRPr="001E71EE" w:rsidRDefault="00944B8F" w:rsidP="00D51999">
      <w:pPr>
        <w:numPr>
          <w:ilvl w:val="1"/>
          <w:numId w:val="52"/>
        </w:numPr>
        <w:tabs>
          <w:tab w:val="clear" w:pos="562"/>
        </w:tabs>
        <w:rPr>
          <w:szCs w:val="20"/>
        </w:rPr>
      </w:pPr>
      <w:r w:rsidRPr="001E71EE">
        <w:rPr>
          <w:szCs w:val="20"/>
        </w:rPr>
        <w:t>tuberculosis</w:t>
      </w:r>
    </w:p>
    <w:p w14:paraId="73CD455F" w14:textId="77777777" w:rsidR="00B05E81" w:rsidRPr="001E71EE" w:rsidRDefault="00944B8F" w:rsidP="00D51999">
      <w:pPr>
        <w:numPr>
          <w:ilvl w:val="1"/>
          <w:numId w:val="52"/>
        </w:numPr>
        <w:tabs>
          <w:tab w:val="clear" w:pos="562"/>
        </w:tabs>
        <w:rPr>
          <w:szCs w:val="20"/>
        </w:rPr>
      </w:pPr>
      <w:r w:rsidRPr="001E71EE">
        <w:rPr>
          <w:szCs w:val="20"/>
        </w:rPr>
        <w:t>infections caused by viruses, fungi, parasites or bacteria</w:t>
      </w:r>
    </w:p>
    <w:p w14:paraId="24EB3537" w14:textId="77777777" w:rsidR="00B05E81" w:rsidRPr="001E71EE" w:rsidRDefault="00944B8F" w:rsidP="00D51999">
      <w:pPr>
        <w:numPr>
          <w:ilvl w:val="1"/>
          <w:numId w:val="52"/>
        </w:numPr>
        <w:tabs>
          <w:tab w:val="clear" w:pos="562"/>
        </w:tabs>
        <w:rPr>
          <w:szCs w:val="20"/>
        </w:rPr>
      </w:pPr>
      <w:r w:rsidRPr="001E71EE">
        <w:rPr>
          <w:szCs w:val="20"/>
        </w:rPr>
        <w:t>severe infection in the blood (sepsis)</w:t>
      </w:r>
    </w:p>
    <w:p w14:paraId="6E654170" w14:textId="77777777" w:rsidR="00B05E81" w:rsidRPr="001E71EE" w:rsidRDefault="00B05E81" w:rsidP="00B05E81">
      <w:pPr>
        <w:rPr>
          <w:szCs w:val="20"/>
        </w:rPr>
      </w:pPr>
    </w:p>
    <w:p w14:paraId="3D8C6A50" w14:textId="77777777" w:rsidR="00B05E81" w:rsidRPr="001E71EE" w:rsidRDefault="00944B8F" w:rsidP="00B05E81">
      <w:pPr>
        <w:tabs>
          <w:tab w:val="clear" w:pos="562"/>
        </w:tabs>
        <w:ind w:left="720"/>
        <w:rPr>
          <w:szCs w:val="20"/>
        </w:rPr>
      </w:pPr>
      <w:r w:rsidRPr="001E71EE">
        <w:rPr>
          <w:szCs w:val="20"/>
        </w:rPr>
        <w:t>In rare cases, these infections can be life-threatening. It is important to tell your doctor if you get symptoms such as fever, wounds, feeling tired or dental problems. Your doctor may tell you to stop using Humira for some time.</w:t>
      </w:r>
    </w:p>
    <w:p w14:paraId="4ED74605" w14:textId="77777777" w:rsidR="00B05E81" w:rsidRPr="001E71EE" w:rsidRDefault="00B05E81" w:rsidP="00B05E81">
      <w:pPr>
        <w:tabs>
          <w:tab w:val="clear" w:pos="562"/>
          <w:tab w:val="left" w:pos="720"/>
        </w:tabs>
        <w:ind w:left="720"/>
        <w:rPr>
          <w:szCs w:val="20"/>
        </w:rPr>
      </w:pPr>
    </w:p>
    <w:p w14:paraId="33A6082E" w14:textId="77777777" w:rsidR="00B05E81" w:rsidRPr="001E71EE" w:rsidRDefault="00944B8F" w:rsidP="00D51999">
      <w:pPr>
        <w:numPr>
          <w:ilvl w:val="0"/>
          <w:numId w:val="56"/>
        </w:numPr>
        <w:tabs>
          <w:tab w:val="clear" w:pos="562"/>
        </w:tabs>
        <w:rPr>
          <w:szCs w:val="20"/>
        </w:rPr>
      </w:pPr>
      <w:r w:rsidRPr="001E71EE">
        <w:rPr>
          <w:szCs w:val="20"/>
        </w:rPr>
        <w:lastRenderedPageBreak/>
        <w:t xml:space="preserve">Tell your doctor if you live or travel in regions where </w:t>
      </w:r>
      <w:r w:rsidRPr="001E71EE">
        <w:rPr>
          <w:szCs w:val="20"/>
          <w:u w:color="0000FF"/>
        </w:rPr>
        <w:t>fungal infections</w:t>
      </w:r>
      <w:r w:rsidRPr="001E71EE">
        <w:rPr>
          <w:szCs w:val="20"/>
        </w:rPr>
        <w:t xml:space="preserve"> (for example, histoplasmosis, coccidioidomycosis or blastomycosis) are very common.</w:t>
      </w:r>
    </w:p>
    <w:p w14:paraId="0394A8CD" w14:textId="77777777" w:rsidR="00B05E81" w:rsidRPr="001E71EE" w:rsidRDefault="00B05E81" w:rsidP="00B05E81">
      <w:pPr>
        <w:rPr>
          <w:szCs w:val="20"/>
        </w:rPr>
      </w:pPr>
    </w:p>
    <w:p w14:paraId="791C7D03" w14:textId="77777777" w:rsidR="00B05E81" w:rsidRPr="001E71EE" w:rsidRDefault="00944B8F" w:rsidP="00D51999">
      <w:pPr>
        <w:numPr>
          <w:ilvl w:val="0"/>
          <w:numId w:val="56"/>
        </w:numPr>
        <w:tabs>
          <w:tab w:val="clear" w:pos="562"/>
        </w:tabs>
        <w:rPr>
          <w:szCs w:val="20"/>
        </w:rPr>
      </w:pPr>
      <w:r w:rsidRPr="001E71EE">
        <w:rPr>
          <w:szCs w:val="20"/>
        </w:rPr>
        <w:t>Tell your doctor if you have had infections which keep coming back or other conditions that increase the risk of infections.</w:t>
      </w:r>
    </w:p>
    <w:p w14:paraId="54F4D34D" w14:textId="77777777" w:rsidR="00B05E81" w:rsidRPr="001E71EE" w:rsidRDefault="00B05E81" w:rsidP="00B05E81">
      <w:pPr>
        <w:rPr>
          <w:szCs w:val="20"/>
        </w:rPr>
      </w:pPr>
    </w:p>
    <w:p w14:paraId="4F5B0A83" w14:textId="77777777" w:rsidR="00B05E81" w:rsidRPr="0076726A" w:rsidRDefault="00944B8F" w:rsidP="00D51999">
      <w:pPr>
        <w:numPr>
          <w:ilvl w:val="0"/>
          <w:numId w:val="56"/>
        </w:numPr>
        <w:tabs>
          <w:tab w:val="clear" w:pos="562"/>
        </w:tabs>
        <w:rPr>
          <w:szCs w:val="20"/>
        </w:rPr>
      </w:pPr>
      <w:r w:rsidRPr="001E71EE">
        <w:rPr>
          <w:szCs w:val="20"/>
        </w:rPr>
        <w:t>If you are over 65 years you may be more likely to get infections while taking Humira. You and your doctor should pay special attention to signs of infection while you are being treated with Humira. It is important to tell your doctor if you get symptoms of infections, such as fever, wounds, feeling tired or dental problems.</w:t>
      </w:r>
    </w:p>
    <w:p w14:paraId="72AF1FC0" w14:textId="77777777" w:rsidR="00B05E81" w:rsidRDefault="00B05E81" w:rsidP="00B05E81">
      <w:pPr>
        <w:keepNext/>
        <w:tabs>
          <w:tab w:val="clear" w:pos="562"/>
          <w:tab w:val="left" w:pos="0"/>
        </w:tabs>
        <w:rPr>
          <w:szCs w:val="20"/>
        </w:rPr>
      </w:pPr>
    </w:p>
    <w:p w14:paraId="4361F2A0" w14:textId="77777777" w:rsidR="00B05E81" w:rsidRPr="001E71EE" w:rsidRDefault="00944B8F" w:rsidP="00B05E81">
      <w:pPr>
        <w:keepNext/>
        <w:tabs>
          <w:tab w:val="clear" w:pos="562"/>
          <w:tab w:val="left" w:pos="0"/>
        </w:tabs>
        <w:rPr>
          <w:szCs w:val="20"/>
          <w:u w:val="single"/>
        </w:rPr>
      </w:pPr>
      <w:r w:rsidRPr="001E71EE">
        <w:rPr>
          <w:szCs w:val="20"/>
          <w:u w:val="single"/>
        </w:rPr>
        <w:t>Tuberculosis</w:t>
      </w:r>
    </w:p>
    <w:p w14:paraId="1FA5B0EE" w14:textId="77777777" w:rsidR="00B05E81" w:rsidRPr="001E71EE" w:rsidRDefault="00B05E81" w:rsidP="00B05E81">
      <w:pPr>
        <w:keepNext/>
        <w:rPr>
          <w:szCs w:val="20"/>
        </w:rPr>
      </w:pPr>
    </w:p>
    <w:p w14:paraId="328154E8" w14:textId="77777777" w:rsidR="00B05E81" w:rsidRPr="001E71EE" w:rsidRDefault="00944B8F" w:rsidP="00D51999">
      <w:pPr>
        <w:keepNext/>
        <w:numPr>
          <w:ilvl w:val="0"/>
          <w:numId w:val="56"/>
        </w:numPr>
        <w:tabs>
          <w:tab w:val="clear" w:pos="562"/>
        </w:tabs>
        <w:rPr>
          <w:szCs w:val="20"/>
        </w:rPr>
      </w:pPr>
      <w:r w:rsidRPr="001E71EE">
        <w:rPr>
          <w:szCs w:val="20"/>
        </w:rPr>
        <w:t>It is very important that you tell your doctor if you have ever had tuberculosis, or if you have been in close contact with someone who has had tuberculosis.</w:t>
      </w:r>
      <w:r>
        <w:rPr>
          <w:szCs w:val="20"/>
        </w:rPr>
        <w:t xml:space="preserve"> </w:t>
      </w:r>
      <w:r w:rsidRPr="001E71EE">
        <w:rPr>
          <w:szCs w:val="20"/>
        </w:rPr>
        <w:t>If you have active tuberculosis, do not use Humira.</w:t>
      </w:r>
    </w:p>
    <w:p w14:paraId="26A315D5" w14:textId="77777777" w:rsidR="00B05E81" w:rsidRPr="001E71EE" w:rsidRDefault="00B05E81" w:rsidP="00B05E81">
      <w:pPr>
        <w:tabs>
          <w:tab w:val="clear" w:pos="562"/>
          <w:tab w:val="num" w:pos="550"/>
        </w:tabs>
        <w:ind w:left="550" w:hanging="550"/>
        <w:rPr>
          <w:szCs w:val="20"/>
        </w:rPr>
      </w:pPr>
    </w:p>
    <w:p w14:paraId="59896624" w14:textId="77777777" w:rsidR="00B05E81" w:rsidRPr="001E71EE" w:rsidRDefault="00944B8F" w:rsidP="00D51999">
      <w:pPr>
        <w:keepNext/>
        <w:numPr>
          <w:ilvl w:val="1"/>
          <w:numId w:val="53"/>
        </w:numPr>
        <w:tabs>
          <w:tab w:val="clear" w:pos="562"/>
        </w:tabs>
        <w:rPr>
          <w:szCs w:val="20"/>
        </w:rPr>
      </w:pPr>
      <w:r w:rsidRPr="001E71EE">
        <w:rPr>
          <w:szCs w:val="20"/>
        </w:rPr>
        <w:t>As cases of tuberculosis have been reported in patients treated with Humira, your doctor will check you for signs and symptoms of tuberculosis before starting Humira. This will include a thorough medical evaluation including your medical history and appropriate screening tests (for example, chest X-ray and a tuberculin test). The conduct and results of these tests should be recorded on your</w:t>
      </w:r>
      <w:r w:rsidRPr="0083372F">
        <w:rPr>
          <w:szCs w:val="20"/>
        </w:rPr>
        <w:t xml:space="preserve"> </w:t>
      </w:r>
      <w:r w:rsidR="00BF2AE5" w:rsidRPr="002179FE">
        <w:rPr>
          <w:b/>
        </w:rPr>
        <w:t>Patient Reminder Card</w:t>
      </w:r>
      <w:r w:rsidRPr="001E71EE">
        <w:rPr>
          <w:szCs w:val="20"/>
        </w:rPr>
        <w:t xml:space="preserve">. </w:t>
      </w:r>
    </w:p>
    <w:p w14:paraId="07206426" w14:textId="77777777" w:rsidR="00B05E81" w:rsidRPr="001E71EE" w:rsidRDefault="00944B8F" w:rsidP="00D51999">
      <w:pPr>
        <w:keepNext/>
        <w:numPr>
          <w:ilvl w:val="1"/>
          <w:numId w:val="53"/>
        </w:numPr>
        <w:tabs>
          <w:tab w:val="clear" w:pos="562"/>
        </w:tabs>
        <w:rPr>
          <w:szCs w:val="20"/>
        </w:rPr>
      </w:pPr>
      <w:r w:rsidRPr="001E71EE">
        <w:rPr>
          <w:szCs w:val="20"/>
        </w:rPr>
        <w:t xml:space="preserve">Tuberculosis can develop during therapy even if you have received treatment for the prevention of tuberculosis. </w:t>
      </w:r>
    </w:p>
    <w:p w14:paraId="00AEBCF5" w14:textId="77777777" w:rsidR="00B05E81" w:rsidRPr="001E71EE" w:rsidRDefault="00944B8F" w:rsidP="00D51999">
      <w:pPr>
        <w:keepNext/>
        <w:numPr>
          <w:ilvl w:val="1"/>
          <w:numId w:val="53"/>
        </w:numPr>
        <w:tabs>
          <w:tab w:val="clear" w:pos="562"/>
        </w:tabs>
        <w:rPr>
          <w:szCs w:val="20"/>
        </w:rPr>
      </w:pPr>
      <w:r w:rsidRPr="001E71EE">
        <w:rPr>
          <w:szCs w:val="20"/>
        </w:rPr>
        <w:t xml:space="preserve">If symptoms of tuberculosis (for example, cough that does not go away, weight loss, lack of energy, mild fever), or any other infection appear during or after therapy tell your doctor immediately. </w:t>
      </w:r>
    </w:p>
    <w:p w14:paraId="4A93AA7E" w14:textId="77777777" w:rsidR="00B05E81" w:rsidRPr="001E71EE" w:rsidRDefault="00B05E81" w:rsidP="00B05E81">
      <w:pPr>
        <w:tabs>
          <w:tab w:val="clear" w:pos="562"/>
          <w:tab w:val="left" w:pos="720"/>
        </w:tabs>
        <w:ind w:left="720"/>
        <w:rPr>
          <w:szCs w:val="20"/>
        </w:rPr>
      </w:pPr>
    </w:p>
    <w:p w14:paraId="1E00730D" w14:textId="77777777" w:rsidR="00B05E81" w:rsidRPr="001E71EE" w:rsidRDefault="00944B8F" w:rsidP="00B05E81">
      <w:pPr>
        <w:keepNext/>
        <w:tabs>
          <w:tab w:val="clear" w:pos="562"/>
          <w:tab w:val="left" w:pos="0"/>
        </w:tabs>
        <w:rPr>
          <w:szCs w:val="20"/>
          <w:u w:val="single"/>
        </w:rPr>
      </w:pPr>
      <w:r w:rsidRPr="001E71EE">
        <w:rPr>
          <w:szCs w:val="20"/>
          <w:u w:val="single"/>
        </w:rPr>
        <w:t>Hepatitis B</w:t>
      </w:r>
    </w:p>
    <w:p w14:paraId="124A7F69" w14:textId="77777777" w:rsidR="00B05E81" w:rsidRPr="001E71EE" w:rsidRDefault="00B05E81" w:rsidP="00B05E81">
      <w:pPr>
        <w:keepNext/>
        <w:tabs>
          <w:tab w:val="clear" w:pos="562"/>
          <w:tab w:val="left" w:pos="0"/>
        </w:tabs>
        <w:rPr>
          <w:szCs w:val="20"/>
        </w:rPr>
      </w:pPr>
    </w:p>
    <w:p w14:paraId="4F068FC6" w14:textId="77777777" w:rsidR="00B05E81" w:rsidRPr="001E71EE" w:rsidRDefault="00944B8F" w:rsidP="00D51999">
      <w:pPr>
        <w:keepNext/>
        <w:numPr>
          <w:ilvl w:val="0"/>
          <w:numId w:val="56"/>
        </w:numPr>
        <w:tabs>
          <w:tab w:val="clear" w:pos="562"/>
          <w:tab w:val="left" w:pos="720"/>
        </w:tabs>
        <w:rPr>
          <w:szCs w:val="20"/>
        </w:rPr>
      </w:pPr>
      <w:r w:rsidRPr="001E71EE">
        <w:rPr>
          <w:szCs w:val="20"/>
        </w:rPr>
        <w:t xml:space="preserve">Tell your doctor if you are a carrier of the hepatitis B virus (HBV), if you have active HBV or if you think you might be at risk of getting HBV. </w:t>
      </w:r>
    </w:p>
    <w:p w14:paraId="49C67459" w14:textId="77777777" w:rsidR="00B05E81" w:rsidRPr="001E71EE" w:rsidRDefault="00944B8F" w:rsidP="00D51999">
      <w:pPr>
        <w:keepNext/>
        <w:numPr>
          <w:ilvl w:val="1"/>
          <w:numId w:val="53"/>
        </w:numPr>
        <w:tabs>
          <w:tab w:val="clear" w:pos="562"/>
        </w:tabs>
        <w:rPr>
          <w:szCs w:val="20"/>
        </w:rPr>
      </w:pPr>
      <w:r w:rsidRPr="001E71EE">
        <w:rPr>
          <w:szCs w:val="20"/>
        </w:rPr>
        <w:t>Your doctor should test you for HBV. In people who carry HBV, Humira can cause the virus to become active again.</w:t>
      </w:r>
    </w:p>
    <w:p w14:paraId="5D6A56DE" w14:textId="77777777" w:rsidR="00B05E81" w:rsidRPr="001E71EE" w:rsidRDefault="00944B8F" w:rsidP="00D51999">
      <w:pPr>
        <w:keepNext/>
        <w:numPr>
          <w:ilvl w:val="1"/>
          <w:numId w:val="53"/>
        </w:numPr>
        <w:tabs>
          <w:tab w:val="clear" w:pos="562"/>
        </w:tabs>
        <w:rPr>
          <w:szCs w:val="20"/>
        </w:rPr>
      </w:pPr>
      <w:r w:rsidRPr="001E71EE">
        <w:rPr>
          <w:szCs w:val="20"/>
        </w:rPr>
        <w:t xml:space="preserve">In some rare cases, especially if you are taking other medicines that suppress the immune system, reactivation of HBV can be life-threatening.  </w:t>
      </w:r>
    </w:p>
    <w:p w14:paraId="53936900" w14:textId="77777777" w:rsidR="00B05E81" w:rsidRPr="001E71EE" w:rsidRDefault="00B05E81" w:rsidP="00B05E81">
      <w:pPr>
        <w:tabs>
          <w:tab w:val="clear" w:pos="562"/>
          <w:tab w:val="left" w:pos="720"/>
        </w:tabs>
        <w:ind w:left="720"/>
        <w:rPr>
          <w:szCs w:val="20"/>
        </w:rPr>
      </w:pPr>
    </w:p>
    <w:p w14:paraId="5930037C" w14:textId="77777777" w:rsidR="00B05E81" w:rsidRPr="001E71EE" w:rsidRDefault="00944B8F" w:rsidP="00B05E81">
      <w:pPr>
        <w:tabs>
          <w:tab w:val="clear" w:pos="562"/>
        </w:tabs>
        <w:rPr>
          <w:szCs w:val="20"/>
          <w:u w:val="single"/>
        </w:rPr>
      </w:pPr>
      <w:r w:rsidRPr="001E71EE">
        <w:rPr>
          <w:szCs w:val="20"/>
          <w:u w:val="single"/>
        </w:rPr>
        <w:t>Surgery</w:t>
      </w:r>
      <w:r w:rsidRPr="001E71EE">
        <w:rPr>
          <w:u w:val="single"/>
        </w:rPr>
        <w:t xml:space="preserve"> or dental procedure</w:t>
      </w:r>
    </w:p>
    <w:p w14:paraId="220287C3" w14:textId="77777777" w:rsidR="00B05E81" w:rsidRPr="001E71EE" w:rsidRDefault="00B05E81" w:rsidP="00B05E81">
      <w:pPr>
        <w:rPr>
          <w:szCs w:val="20"/>
        </w:rPr>
      </w:pPr>
    </w:p>
    <w:p w14:paraId="561F03E7" w14:textId="77777777" w:rsidR="00B05E81" w:rsidRPr="001E71EE" w:rsidRDefault="00944B8F" w:rsidP="00D51999">
      <w:pPr>
        <w:numPr>
          <w:ilvl w:val="0"/>
          <w:numId w:val="56"/>
        </w:numPr>
        <w:tabs>
          <w:tab w:val="clear" w:pos="562"/>
          <w:tab w:val="left" w:pos="720"/>
        </w:tabs>
        <w:rPr>
          <w:szCs w:val="20"/>
        </w:rPr>
      </w:pPr>
      <w:r w:rsidRPr="001E71EE">
        <w:rPr>
          <w:szCs w:val="20"/>
        </w:rPr>
        <w:t>If you are about to have surgery or dental procedures</w:t>
      </w:r>
      <w:r w:rsidR="008E09D2">
        <w:rPr>
          <w:szCs w:val="20"/>
        </w:rPr>
        <w:t>,</w:t>
      </w:r>
      <w:r w:rsidRPr="001E71EE">
        <w:rPr>
          <w:szCs w:val="20"/>
        </w:rPr>
        <w:t xml:space="preserve"> please inform your doctor that you are taking Humira. Your doctor may recommend temporary discontinuation of Humira. </w:t>
      </w:r>
    </w:p>
    <w:p w14:paraId="7EE59A5E" w14:textId="77777777" w:rsidR="00B05E81" w:rsidRPr="001E71EE" w:rsidRDefault="00B05E81" w:rsidP="00B05E81">
      <w:pPr>
        <w:tabs>
          <w:tab w:val="clear" w:pos="562"/>
          <w:tab w:val="left" w:pos="720"/>
        </w:tabs>
        <w:ind w:left="720"/>
        <w:rPr>
          <w:szCs w:val="20"/>
        </w:rPr>
      </w:pPr>
    </w:p>
    <w:p w14:paraId="4960061A" w14:textId="77777777" w:rsidR="00B05E81" w:rsidRPr="001E71EE" w:rsidRDefault="00944B8F" w:rsidP="00B05E81">
      <w:pPr>
        <w:tabs>
          <w:tab w:val="clear" w:pos="562"/>
          <w:tab w:val="num" w:pos="720"/>
        </w:tabs>
        <w:ind w:left="360" w:hanging="360"/>
        <w:rPr>
          <w:szCs w:val="20"/>
          <w:u w:val="single"/>
        </w:rPr>
      </w:pPr>
      <w:r w:rsidRPr="001E71EE">
        <w:rPr>
          <w:szCs w:val="20"/>
          <w:u w:val="single"/>
        </w:rPr>
        <w:t>Demyelinating disease</w:t>
      </w:r>
    </w:p>
    <w:p w14:paraId="03D6FA53" w14:textId="77777777" w:rsidR="00B05E81" w:rsidRPr="001E71EE" w:rsidRDefault="00B05E81" w:rsidP="00B05E81">
      <w:pPr>
        <w:rPr>
          <w:szCs w:val="20"/>
        </w:rPr>
      </w:pPr>
    </w:p>
    <w:p w14:paraId="694E04B0" w14:textId="77777777" w:rsidR="00B05E81" w:rsidRPr="001E71EE" w:rsidRDefault="00944B8F" w:rsidP="00D51999">
      <w:pPr>
        <w:numPr>
          <w:ilvl w:val="0"/>
          <w:numId w:val="76"/>
        </w:numPr>
        <w:tabs>
          <w:tab w:val="clear" w:pos="562"/>
          <w:tab w:val="left" w:pos="720"/>
        </w:tabs>
        <w:rPr>
          <w:szCs w:val="20"/>
        </w:rPr>
      </w:pPr>
      <w:r w:rsidRPr="001E71EE">
        <w:rPr>
          <w:szCs w:val="20"/>
        </w:rPr>
        <w:t xml:space="preserve">If you have or develop </w:t>
      </w:r>
      <w:r w:rsidRPr="00325B65">
        <w:rPr>
          <w:color w:val="000000"/>
          <w:szCs w:val="22"/>
        </w:rPr>
        <w:t xml:space="preserve">a </w:t>
      </w:r>
      <w:r w:rsidRPr="007F2D9A">
        <w:rPr>
          <w:color w:val="000000"/>
        </w:rPr>
        <w:t xml:space="preserve">demyelinating disease </w:t>
      </w:r>
      <w:r w:rsidRPr="007F2D9A">
        <w:rPr>
          <w:rFonts w:eastAsia="Malgun Gothic"/>
          <w:szCs w:val="22"/>
          <w:lang w:eastAsia="ko-KR"/>
        </w:rPr>
        <w:t xml:space="preserve">(a disease that affects the insulating layer around the nerves, </w:t>
      </w:r>
      <w:r w:rsidRPr="001E71EE">
        <w:rPr>
          <w:rFonts w:eastAsia="Malgun Gothic"/>
        </w:rPr>
        <w:t>such as multiple sclerosis)</w:t>
      </w:r>
      <w:r w:rsidRPr="001E71EE">
        <w:rPr>
          <w:szCs w:val="20"/>
        </w:rPr>
        <w:t>, your doctor will decide if you should receive or continue to receive Humira. Tell your doctor immediately if you experience symptoms like changes in your vision, weakness in your arms or legs or numbness or tingling in any part of your body.</w:t>
      </w:r>
    </w:p>
    <w:p w14:paraId="7116B92A" w14:textId="77777777" w:rsidR="00B05E81" w:rsidRPr="001E71EE" w:rsidRDefault="00B05E81" w:rsidP="00B05E81">
      <w:pPr>
        <w:tabs>
          <w:tab w:val="clear" w:pos="562"/>
          <w:tab w:val="left" w:pos="720"/>
        </w:tabs>
        <w:ind w:left="720"/>
        <w:rPr>
          <w:szCs w:val="20"/>
        </w:rPr>
      </w:pPr>
    </w:p>
    <w:p w14:paraId="0FCA6950" w14:textId="77777777" w:rsidR="00B05E81" w:rsidRPr="001E71EE" w:rsidRDefault="00944B8F" w:rsidP="00B05E81">
      <w:pPr>
        <w:tabs>
          <w:tab w:val="clear" w:pos="562"/>
          <w:tab w:val="left" w:pos="360"/>
          <w:tab w:val="num" w:pos="720"/>
        </w:tabs>
        <w:ind w:left="360" w:hanging="360"/>
        <w:rPr>
          <w:szCs w:val="20"/>
          <w:u w:val="single"/>
        </w:rPr>
      </w:pPr>
      <w:r w:rsidRPr="001E71EE">
        <w:rPr>
          <w:szCs w:val="20"/>
          <w:u w:val="single"/>
        </w:rPr>
        <w:t>Vaccinations</w:t>
      </w:r>
    </w:p>
    <w:p w14:paraId="6336C8A6" w14:textId="77777777" w:rsidR="00B05E81" w:rsidRPr="001E71EE" w:rsidRDefault="00B05E81" w:rsidP="00B05E81">
      <w:pPr>
        <w:tabs>
          <w:tab w:val="clear" w:pos="562"/>
          <w:tab w:val="left" w:pos="360"/>
          <w:tab w:val="num" w:pos="720"/>
        </w:tabs>
        <w:ind w:left="360" w:hanging="360"/>
        <w:rPr>
          <w:szCs w:val="20"/>
          <w:u w:val="single"/>
        </w:rPr>
      </w:pPr>
    </w:p>
    <w:p w14:paraId="47BC770C" w14:textId="77777777" w:rsidR="00B05E81" w:rsidRPr="001E71EE" w:rsidRDefault="00944B8F" w:rsidP="00D51999">
      <w:pPr>
        <w:numPr>
          <w:ilvl w:val="0"/>
          <w:numId w:val="56"/>
        </w:numPr>
        <w:tabs>
          <w:tab w:val="clear" w:pos="562"/>
        </w:tabs>
        <w:rPr>
          <w:szCs w:val="20"/>
        </w:rPr>
      </w:pPr>
      <w:r w:rsidRPr="001E71EE">
        <w:rPr>
          <w:szCs w:val="20"/>
        </w:rPr>
        <w:t xml:space="preserve">Certain vaccines may cause infections and should not be given while receiving Humira. </w:t>
      </w:r>
    </w:p>
    <w:p w14:paraId="242FF309" w14:textId="77777777" w:rsidR="00B05E81" w:rsidRPr="001E71EE" w:rsidRDefault="00B05E81" w:rsidP="00B05E81">
      <w:pPr>
        <w:rPr>
          <w:szCs w:val="20"/>
        </w:rPr>
      </w:pPr>
    </w:p>
    <w:p w14:paraId="5E8B546B" w14:textId="77777777" w:rsidR="00B05E81" w:rsidRPr="001E71EE" w:rsidRDefault="00944B8F" w:rsidP="00D51999">
      <w:pPr>
        <w:numPr>
          <w:ilvl w:val="1"/>
          <w:numId w:val="57"/>
        </w:numPr>
        <w:tabs>
          <w:tab w:val="clear" w:pos="562"/>
        </w:tabs>
        <w:rPr>
          <w:szCs w:val="20"/>
        </w:rPr>
      </w:pPr>
      <w:r w:rsidRPr="001E71EE">
        <w:rPr>
          <w:szCs w:val="20"/>
        </w:rPr>
        <w:t>Check with your doctor before you receive any vaccines.</w:t>
      </w:r>
      <w:r w:rsidRPr="001E71EE">
        <w:t xml:space="preserve"> </w:t>
      </w:r>
    </w:p>
    <w:p w14:paraId="223276E6" w14:textId="77777777" w:rsidR="00B05E81" w:rsidRPr="001E71EE" w:rsidRDefault="00944B8F" w:rsidP="00D51999">
      <w:pPr>
        <w:numPr>
          <w:ilvl w:val="1"/>
          <w:numId w:val="57"/>
        </w:numPr>
        <w:tabs>
          <w:tab w:val="clear" w:pos="562"/>
        </w:tabs>
        <w:rPr>
          <w:szCs w:val="20"/>
        </w:rPr>
      </w:pPr>
      <w:r w:rsidRPr="007F2D9A">
        <w:rPr>
          <w:color w:val="000000"/>
        </w:rPr>
        <w:t xml:space="preserve">It is recommended that children, if possible, be </w:t>
      </w:r>
      <w:r w:rsidRPr="007F2D9A">
        <w:rPr>
          <w:rFonts w:eastAsia="Malgun Gothic"/>
          <w:szCs w:val="22"/>
          <w:lang w:eastAsia="ko-KR"/>
        </w:rPr>
        <w:t>given all the scheduled vaccinations for their age before they start treatment</w:t>
      </w:r>
      <w:r w:rsidRPr="001E71EE">
        <w:rPr>
          <w:szCs w:val="20"/>
        </w:rPr>
        <w:t xml:space="preserve"> </w:t>
      </w:r>
      <w:r w:rsidRPr="001E71EE">
        <w:rPr>
          <w:rFonts w:eastAsia="Malgun Gothic"/>
        </w:rPr>
        <w:t>with Humira</w:t>
      </w:r>
      <w:r w:rsidRPr="007F2D9A">
        <w:rPr>
          <w:color w:val="000000"/>
          <w:szCs w:val="22"/>
        </w:rPr>
        <w:t>.</w:t>
      </w:r>
    </w:p>
    <w:p w14:paraId="050809DC" w14:textId="77777777" w:rsidR="00B05E81" w:rsidRPr="001E71EE" w:rsidRDefault="00944B8F" w:rsidP="00D51999">
      <w:pPr>
        <w:numPr>
          <w:ilvl w:val="1"/>
          <w:numId w:val="57"/>
        </w:numPr>
        <w:tabs>
          <w:tab w:val="clear" w:pos="562"/>
        </w:tabs>
        <w:rPr>
          <w:szCs w:val="20"/>
          <w:lang w:eastAsia="en-GB"/>
        </w:rPr>
      </w:pPr>
      <w:r w:rsidRPr="001E71EE">
        <w:t xml:space="preserve">If you received Humira while you were pregnant, your baby may be at higher risk for getting such an infection for up to approximately five months after the last </w:t>
      </w:r>
      <w:r w:rsidRPr="001E71EE">
        <w:rPr>
          <w:szCs w:val="20"/>
        </w:rPr>
        <w:t xml:space="preserve">Humira </w:t>
      </w:r>
      <w:r w:rsidRPr="001E71EE">
        <w:t xml:space="preserve">dose you received during pregnancy. </w:t>
      </w:r>
      <w:r w:rsidRPr="001E71EE">
        <w:rPr>
          <w:szCs w:val="22"/>
          <w:lang w:eastAsia="en-GB"/>
        </w:rPr>
        <w:t xml:space="preserve">It is </w:t>
      </w:r>
      <w:r w:rsidRPr="001E71EE">
        <w:rPr>
          <w:szCs w:val="20"/>
          <w:lang w:eastAsia="en-GB"/>
        </w:rPr>
        <w:t>important that you tell your baby's doctors and other health care professionals about your Humira use during your pregnancy so they can decide when your baby should receive any vaccine.</w:t>
      </w:r>
    </w:p>
    <w:p w14:paraId="206EE828" w14:textId="77777777" w:rsidR="00B05E81" w:rsidRPr="001E71EE" w:rsidRDefault="00B05E81" w:rsidP="00B05E81">
      <w:pPr>
        <w:rPr>
          <w:szCs w:val="20"/>
          <w:lang w:eastAsia="en-GB"/>
        </w:rPr>
      </w:pPr>
    </w:p>
    <w:p w14:paraId="59CD18F3" w14:textId="77777777" w:rsidR="00B05E81" w:rsidRPr="001E71EE" w:rsidRDefault="00944B8F" w:rsidP="00B05E81">
      <w:pPr>
        <w:keepNext/>
        <w:tabs>
          <w:tab w:val="clear" w:pos="562"/>
        </w:tabs>
        <w:rPr>
          <w:szCs w:val="20"/>
          <w:u w:val="single"/>
        </w:rPr>
      </w:pPr>
      <w:r w:rsidRPr="001E71EE">
        <w:rPr>
          <w:szCs w:val="20"/>
          <w:u w:val="single"/>
        </w:rPr>
        <w:t>Heart failure</w:t>
      </w:r>
    </w:p>
    <w:p w14:paraId="2C431AFD" w14:textId="77777777" w:rsidR="00B05E81" w:rsidRPr="001E71EE" w:rsidRDefault="00B05E81" w:rsidP="00B05E81">
      <w:pPr>
        <w:keepNext/>
        <w:rPr>
          <w:szCs w:val="20"/>
        </w:rPr>
      </w:pPr>
    </w:p>
    <w:p w14:paraId="256F274A" w14:textId="77777777" w:rsidR="00B05E81" w:rsidRPr="007F2D9A" w:rsidRDefault="00944B8F" w:rsidP="00D51999">
      <w:pPr>
        <w:numPr>
          <w:ilvl w:val="0"/>
          <w:numId w:val="56"/>
        </w:numPr>
        <w:tabs>
          <w:tab w:val="clear" w:pos="562"/>
          <w:tab w:val="left" w:pos="720"/>
        </w:tabs>
        <w:rPr>
          <w:color w:val="000000"/>
        </w:rPr>
      </w:pPr>
      <w:r w:rsidRPr="007F2D9A">
        <w:rPr>
          <w:color w:val="000000"/>
        </w:rPr>
        <w:t>If you have mild heart failure and are being treated with Humira, your heart failure status must be closely monitored by your doctor. It is important to tell your doctor if you have had or have a serious heart condition. If you develop new or worsening symptoms of heart failure (e.g. shortness of breath, or swelling of your feet), you must contact your doctor immediately. Your doctor will decide if you should receive Humira.</w:t>
      </w:r>
    </w:p>
    <w:p w14:paraId="34431162" w14:textId="77777777" w:rsidR="00B05E81" w:rsidRPr="001E71EE" w:rsidRDefault="00B05E81" w:rsidP="00B05E81">
      <w:pPr>
        <w:tabs>
          <w:tab w:val="clear" w:pos="562"/>
          <w:tab w:val="num" w:pos="550"/>
        </w:tabs>
        <w:ind w:left="550" w:hanging="550"/>
        <w:rPr>
          <w:szCs w:val="20"/>
        </w:rPr>
      </w:pPr>
    </w:p>
    <w:p w14:paraId="0BFEABBB" w14:textId="77777777" w:rsidR="00B05E81" w:rsidRPr="001E71EE" w:rsidRDefault="00944B8F" w:rsidP="00B05E81">
      <w:pPr>
        <w:keepLines/>
        <w:numPr>
          <w:ilvl w:val="12"/>
          <w:numId w:val="0"/>
        </w:numPr>
        <w:tabs>
          <w:tab w:val="clear" w:pos="562"/>
        </w:tabs>
        <w:ind w:right="-2"/>
        <w:rPr>
          <w:rFonts w:eastAsia="Malgun Gothic"/>
          <w:szCs w:val="22"/>
          <w:u w:val="single"/>
          <w:lang w:eastAsia="ko-KR"/>
        </w:rPr>
      </w:pPr>
      <w:r w:rsidRPr="001E71EE">
        <w:rPr>
          <w:rFonts w:eastAsia="Malgun Gothic"/>
          <w:szCs w:val="22"/>
          <w:u w:val="single"/>
          <w:lang w:eastAsia="ko-KR"/>
        </w:rPr>
        <w:t>Fever, bruising, bleeding or looking pale</w:t>
      </w:r>
    </w:p>
    <w:p w14:paraId="440ED137" w14:textId="77777777" w:rsidR="00B05E81" w:rsidRPr="001E71EE" w:rsidRDefault="00B05E81" w:rsidP="00B05E81">
      <w:pPr>
        <w:keepNext/>
        <w:rPr>
          <w:szCs w:val="20"/>
        </w:rPr>
      </w:pPr>
    </w:p>
    <w:p w14:paraId="077D123C" w14:textId="77777777" w:rsidR="00B05E81" w:rsidRPr="001E71EE" w:rsidRDefault="00944B8F" w:rsidP="00D51999">
      <w:pPr>
        <w:numPr>
          <w:ilvl w:val="0"/>
          <w:numId w:val="56"/>
        </w:numPr>
        <w:tabs>
          <w:tab w:val="clear" w:pos="562"/>
          <w:tab w:val="left" w:pos="720"/>
        </w:tabs>
        <w:rPr>
          <w:szCs w:val="20"/>
        </w:rPr>
      </w:pPr>
      <w:r w:rsidRPr="001E71EE">
        <w:rPr>
          <w:szCs w:val="20"/>
        </w:rPr>
        <w:t>In some patients the body may fail to produce enough of the blood cells that fight off infections or help you to stop bleeding. Your doctor may decide to stop treatment.</w:t>
      </w:r>
      <w:r>
        <w:rPr>
          <w:szCs w:val="20"/>
        </w:rPr>
        <w:t xml:space="preserve"> </w:t>
      </w:r>
      <w:r w:rsidRPr="007F2D9A">
        <w:rPr>
          <w:color w:val="000000"/>
        </w:rPr>
        <w:t xml:space="preserve">If you develop a fever that does not go away, </w:t>
      </w:r>
      <w:r w:rsidRPr="007F2D9A">
        <w:rPr>
          <w:noProof/>
          <w:color w:val="000000"/>
          <w:szCs w:val="22"/>
        </w:rPr>
        <w:t>develop light bruises</w:t>
      </w:r>
      <w:r w:rsidRPr="007F2D9A">
        <w:rPr>
          <w:color w:val="000000"/>
        </w:rPr>
        <w:t xml:space="preserve"> or bleed very easily or look very pale, call your doctor right away.</w:t>
      </w:r>
      <w:r w:rsidRPr="001E71EE">
        <w:rPr>
          <w:szCs w:val="20"/>
        </w:rPr>
        <w:t xml:space="preserve"> </w:t>
      </w:r>
    </w:p>
    <w:p w14:paraId="643146CF" w14:textId="77777777" w:rsidR="00B05E81" w:rsidRPr="001E71EE" w:rsidRDefault="00B05E81" w:rsidP="00B05E81">
      <w:pPr>
        <w:rPr>
          <w:szCs w:val="20"/>
        </w:rPr>
      </w:pPr>
    </w:p>
    <w:p w14:paraId="51766A2F" w14:textId="77777777" w:rsidR="00B05E81" w:rsidRPr="001E71EE" w:rsidRDefault="00944B8F" w:rsidP="00B05E81">
      <w:pPr>
        <w:keepNext/>
        <w:tabs>
          <w:tab w:val="clear" w:pos="562"/>
        </w:tabs>
        <w:rPr>
          <w:szCs w:val="20"/>
          <w:u w:val="single"/>
        </w:rPr>
      </w:pPr>
      <w:r w:rsidRPr="001E71EE">
        <w:rPr>
          <w:szCs w:val="20"/>
          <w:u w:val="single"/>
        </w:rPr>
        <w:t>Cancer</w:t>
      </w:r>
    </w:p>
    <w:p w14:paraId="46D477FF" w14:textId="77777777" w:rsidR="00B05E81" w:rsidRPr="001E71EE" w:rsidRDefault="00B05E81" w:rsidP="001B6DEE">
      <w:pPr>
        <w:tabs>
          <w:tab w:val="clear" w:pos="562"/>
          <w:tab w:val="left" w:pos="720"/>
        </w:tabs>
        <w:rPr>
          <w:szCs w:val="20"/>
        </w:rPr>
      </w:pPr>
    </w:p>
    <w:p w14:paraId="600C5331" w14:textId="77777777" w:rsidR="00B05E81" w:rsidRPr="001E71EE" w:rsidRDefault="00944B8F" w:rsidP="00D51999">
      <w:pPr>
        <w:keepNext/>
        <w:numPr>
          <w:ilvl w:val="0"/>
          <w:numId w:val="56"/>
        </w:numPr>
        <w:tabs>
          <w:tab w:val="clear" w:pos="562"/>
        </w:tabs>
        <w:rPr>
          <w:szCs w:val="20"/>
        </w:rPr>
      </w:pPr>
      <w:r w:rsidRPr="001E71EE">
        <w:rPr>
          <w:szCs w:val="20"/>
        </w:rPr>
        <w:t xml:space="preserve">There have been very rare cases of certain kinds of cancer in children and adult patients taking Humira or other TNF blockers.  </w:t>
      </w:r>
    </w:p>
    <w:p w14:paraId="53E06BAC" w14:textId="77777777" w:rsidR="00B05E81" w:rsidRPr="001E71EE" w:rsidRDefault="00B05E81" w:rsidP="00B05E81">
      <w:pPr>
        <w:rPr>
          <w:szCs w:val="20"/>
        </w:rPr>
      </w:pPr>
    </w:p>
    <w:p w14:paraId="638F7C66" w14:textId="77777777" w:rsidR="00B05E81" w:rsidRPr="001E71EE" w:rsidRDefault="00944B8F" w:rsidP="00D51999">
      <w:pPr>
        <w:numPr>
          <w:ilvl w:val="1"/>
          <w:numId w:val="59"/>
        </w:numPr>
        <w:tabs>
          <w:tab w:val="clear" w:pos="562"/>
        </w:tabs>
        <w:rPr>
          <w:szCs w:val="20"/>
        </w:rPr>
      </w:pPr>
      <w:r w:rsidRPr="001E71EE">
        <w:rPr>
          <w:szCs w:val="20"/>
        </w:rPr>
        <w:t>People with more serious rheumatoid arthritis that have had the disease for a long time may have a higher than average risk of getting lymphoma (a cancer that affects the lymph system) and leukaemia (a cancer that affects the blood and bone marrow).</w:t>
      </w:r>
      <w:r w:rsidRPr="001E71EE">
        <w:t xml:space="preserve"> </w:t>
      </w:r>
    </w:p>
    <w:p w14:paraId="12A449DF" w14:textId="77777777" w:rsidR="00B05E81" w:rsidRPr="001E71EE" w:rsidRDefault="00944B8F" w:rsidP="00D51999">
      <w:pPr>
        <w:numPr>
          <w:ilvl w:val="1"/>
          <w:numId w:val="59"/>
        </w:numPr>
        <w:tabs>
          <w:tab w:val="clear" w:pos="562"/>
        </w:tabs>
        <w:rPr>
          <w:szCs w:val="20"/>
        </w:rPr>
      </w:pPr>
      <w:r w:rsidRPr="001E71EE">
        <w:rPr>
          <w:szCs w:val="20"/>
        </w:rPr>
        <w:t>If you take Humira the risk of getting lymphoma, leukaemia, or other cancers may increase.</w:t>
      </w:r>
      <w:r w:rsidRPr="001E71EE">
        <w:t xml:space="preserve"> On rare occasions, </w:t>
      </w:r>
      <w:r w:rsidRPr="001E71EE">
        <w:rPr>
          <w:szCs w:val="22"/>
        </w:rPr>
        <w:t>an uncommon</w:t>
      </w:r>
      <w:r w:rsidRPr="001E71EE">
        <w:t xml:space="preserve"> and severe type of lymphoma</w:t>
      </w:r>
      <w:r w:rsidRPr="001E71EE">
        <w:rPr>
          <w:szCs w:val="22"/>
        </w:rPr>
        <w:t>,</w:t>
      </w:r>
      <w:r w:rsidRPr="001E71EE">
        <w:t xml:space="preserve"> has been </w:t>
      </w:r>
      <w:r w:rsidRPr="001E71EE">
        <w:rPr>
          <w:szCs w:val="22"/>
        </w:rPr>
        <w:t>seen</w:t>
      </w:r>
      <w:r w:rsidRPr="001E71EE">
        <w:t xml:space="preserve"> in patients taking Humira. Some of those patients were also treated with azathioprine or 6-mercaptopurine.</w:t>
      </w:r>
      <w:r w:rsidRPr="001E71EE">
        <w:rPr>
          <w:szCs w:val="20"/>
        </w:rPr>
        <w:t xml:space="preserve"> </w:t>
      </w:r>
    </w:p>
    <w:p w14:paraId="43B2AA4E" w14:textId="77777777" w:rsidR="00B05E81" w:rsidRDefault="00944B8F" w:rsidP="00D51999">
      <w:pPr>
        <w:numPr>
          <w:ilvl w:val="1"/>
          <w:numId w:val="59"/>
        </w:numPr>
        <w:tabs>
          <w:tab w:val="clear" w:pos="562"/>
        </w:tabs>
        <w:rPr>
          <w:szCs w:val="20"/>
        </w:rPr>
      </w:pPr>
      <w:r w:rsidRPr="00325B65">
        <w:rPr>
          <w:szCs w:val="20"/>
        </w:rPr>
        <w:t xml:space="preserve">Tell your doctor if you are taking azathioprine or 6-mercaptopurine with Humira. </w:t>
      </w:r>
    </w:p>
    <w:p w14:paraId="383C5850" w14:textId="77777777" w:rsidR="00B05E81" w:rsidRPr="00325B65" w:rsidRDefault="00944B8F" w:rsidP="00D51999">
      <w:pPr>
        <w:numPr>
          <w:ilvl w:val="1"/>
          <w:numId w:val="59"/>
        </w:numPr>
        <w:tabs>
          <w:tab w:val="clear" w:pos="562"/>
        </w:tabs>
        <w:rPr>
          <w:szCs w:val="20"/>
        </w:rPr>
      </w:pPr>
      <w:r>
        <w:rPr>
          <w:szCs w:val="20"/>
        </w:rPr>
        <w:t>C</w:t>
      </w:r>
      <w:r w:rsidRPr="001E71EE">
        <w:rPr>
          <w:szCs w:val="20"/>
        </w:rPr>
        <w:t>ases</w:t>
      </w:r>
      <w:r w:rsidRPr="00325B65">
        <w:rPr>
          <w:szCs w:val="20"/>
        </w:rPr>
        <w:t xml:space="preserve"> of non-melanoma skin cancer have been observed in patients taking Humira.</w:t>
      </w:r>
    </w:p>
    <w:p w14:paraId="7E14D711" w14:textId="77777777" w:rsidR="00B05E81" w:rsidRPr="00325B65" w:rsidRDefault="00944B8F" w:rsidP="00D51999">
      <w:pPr>
        <w:numPr>
          <w:ilvl w:val="1"/>
          <w:numId w:val="59"/>
        </w:numPr>
        <w:tabs>
          <w:tab w:val="clear" w:pos="562"/>
        </w:tabs>
      </w:pPr>
      <w:r w:rsidRPr="00325B65">
        <w:t>If new skin lesions appear during or after therapy or if existing lesions change appearance, tell your doctor.</w:t>
      </w:r>
    </w:p>
    <w:p w14:paraId="008B977F" w14:textId="77777777" w:rsidR="00B05E81" w:rsidRPr="001E71EE" w:rsidRDefault="00B05E81" w:rsidP="001B6DEE">
      <w:pPr>
        <w:tabs>
          <w:tab w:val="clear" w:pos="562"/>
          <w:tab w:val="left" w:pos="720"/>
        </w:tabs>
      </w:pPr>
    </w:p>
    <w:p w14:paraId="063FA168" w14:textId="77777777" w:rsidR="00B05E81" w:rsidRPr="001E71EE" w:rsidRDefault="00944B8F" w:rsidP="00D51999">
      <w:pPr>
        <w:numPr>
          <w:ilvl w:val="0"/>
          <w:numId w:val="56"/>
        </w:numPr>
        <w:tabs>
          <w:tab w:val="clear" w:pos="562"/>
          <w:tab w:val="left" w:pos="720"/>
        </w:tabs>
        <w:rPr>
          <w:szCs w:val="20"/>
        </w:rPr>
      </w:pPr>
      <w:r w:rsidRPr="001E71EE">
        <w:rPr>
          <w:szCs w:val="20"/>
        </w:rPr>
        <w:t>There have been cases of cancers, other than lymphoma in patients with a specific type of lung disease called Chronic Obstructive Pulmonary Disease (COPD) treated with another TNF blocker. If you have COPD, or are a heavy smoker, you should discuss with your doctor whether treatment with a TNF blocker is appropriate for you.</w:t>
      </w:r>
    </w:p>
    <w:p w14:paraId="521FC416" w14:textId="77777777" w:rsidR="00B05E81" w:rsidRPr="00DA50C1" w:rsidRDefault="00B05E81" w:rsidP="00B05E81">
      <w:pPr>
        <w:tabs>
          <w:tab w:val="clear" w:pos="562"/>
        </w:tabs>
        <w:ind w:left="720"/>
      </w:pPr>
    </w:p>
    <w:p w14:paraId="27B252E6" w14:textId="77777777" w:rsidR="00B05E81" w:rsidRPr="001E71EE" w:rsidRDefault="00944B8F" w:rsidP="00B05E81">
      <w:pPr>
        <w:pStyle w:val="EMEANormal"/>
        <w:rPr>
          <w:u w:val="single"/>
          <w:lang w:val="en-GB"/>
        </w:rPr>
      </w:pPr>
      <w:r w:rsidRPr="001E71EE">
        <w:rPr>
          <w:u w:val="single"/>
          <w:lang w:val="en-GB"/>
        </w:rPr>
        <w:t>Autoimmune disease</w:t>
      </w:r>
    </w:p>
    <w:p w14:paraId="7F23000B" w14:textId="77777777" w:rsidR="00B05E81" w:rsidRPr="001E71EE" w:rsidRDefault="00B05E81" w:rsidP="00B05E81">
      <w:pPr>
        <w:pStyle w:val="EMEANormal"/>
        <w:rPr>
          <w:lang w:val="en-GB"/>
        </w:rPr>
      </w:pPr>
    </w:p>
    <w:p w14:paraId="7CC59290" w14:textId="77777777" w:rsidR="00B05E81" w:rsidRPr="0034274C" w:rsidRDefault="00944B8F" w:rsidP="00D51999">
      <w:pPr>
        <w:pStyle w:val="ListParagraph"/>
        <w:numPr>
          <w:ilvl w:val="0"/>
          <w:numId w:val="56"/>
        </w:numPr>
        <w:tabs>
          <w:tab w:val="clear" w:pos="562"/>
          <w:tab w:val="left" w:pos="720"/>
        </w:tabs>
      </w:pPr>
      <w:r w:rsidRPr="00DA50C1">
        <w:t>On rare occasions, treatment with Humira could result in lupus-like syndrome. Contact your doctor if symptoms such as persistent unexplained rash, fever, joint pain or tiredness</w:t>
      </w:r>
      <w:r w:rsidRPr="0034274C">
        <w:t xml:space="preserve"> occur.</w:t>
      </w:r>
    </w:p>
    <w:p w14:paraId="4294A628" w14:textId="77777777" w:rsidR="00B05E81" w:rsidRPr="001E71EE" w:rsidRDefault="00B05E81" w:rsidP="00B05E81">
      <w:pPr>
        <w:rPr>
          <w:szCs w:val="20"/>
        </w:rPr>
      </w:pPr>
    </w:p>
    <w:p w14:paraId="5BB73282" w14:textId="77777777" w:rsidR="00B05E81" w:rsidRPr="001E71EE" w:rsidRDefault="00944B8F" w:rsidP="00B05E81">
      <w:pPr>
        <w:rPr>
          <w:b/>
          <w:szCs w:val="20"/>
        </w:rPr>
      </w:pPr>
      <w:r w:rsidRPr="001E71EE">
        <w:rPr>
          <w:b/>
          <w:szCs w:val="20"/>
        </w:rPr>
        <w:lastRenderedPageBreak/>
        <w:t>Children and adolescents</w:t>
      </w:r>
    </w:p>
    <w:p w14:paraId="1E19873C" w14:textId="77777777" w:rsidR="00B05E81" w:rsidRPr="001E71EE" w:rsidRDefault="00B05E81" w:rsidP="00B05E81">
      <w:pPr>
        <w:rPr>
          <w:szCs w:val="20"/>
        </w:rPr>
      </w:pPr>
    </w:p>
    <w:p w14:paraId="5465D2C0" w14:textId="77777777" w:rsidR="00B05E81" w:rsidRPr="001E71EE" w:rsidRDefault="00944B8F" w:rsidP="00D51999">
      <w:pPr>
        <w:numPr>
          <w:ilvl w:val="0"/>
          <w:numId w:val="39"/>
        </w:numPr>
        <w:tabs>
          <w:tab w:val="clear" w:pos="562"/>
          <w:tab w:val="left" w:pos="720"/>
        </w:tabs>
        <w:rPr>
          <w:b/>
          <w:szCs w:val="20"/>
        </w:rPr>
      </w:pPr>
      <w:r w:rsidRPr="001E71EE">
        <w:rPr>
          <w:szCs w:val="20"/>
        </w:rPr>
        <w:t>Vaccinations: if possible</w:t>
      </w:r>
      <w:r w:rsidR="000B339E">
        <w:rPr>
          <w:szCs w:val="20"/>
        </w:rPr>
        <w:t>,</w:t>
      </w:r>
      <w:r w:rsidRPr="001E71EE">
        <w:rPr>
          <w:szCs w:val="20"/>
        </w:rPr>
        <w:t xml:space="preserve"> children should be up to date with all vaccinations before using Humira.</w:t>
      </w:r>
    </w:p>
    <w:p w14:paraId="6152F44D" w14:textId="77777777" w:rsidR="00B05E81" w:rsidRPr="00325B65" w:rsidRDefault="00B05E81" w:rsidP="00B05E81">
      <w:pPr>
        <w:ind w:left="720"/>
      </w:pPr>
    </w:p>
    <w:p w14:paraId="46732509" w14:textId="77777777" w:rsidR="00B05E81" w:rsidRPr="001E71EE" w:rsidRDefault="00944B8F" w:rsidP="00B05E81">
      <w:pPr>
        <w:rPr>
          <w:b/>
          <w:szCs w:val="20"/>
        </w:rPr>
      </w:pPr>
      <w:r w:rsidRPr="001E71EE">
        <w:rPr>
          <w:b/>
          <w:szCs w:val="20"/>
        </w:rPr>
        <w:t>Other medicines and Humira</w:t>
      </w:r>
    </w:p>
    <w:p w14:paraId="4A6095CC" w14:textId="77777777" w:rsidR="00B05E81" w:rsidRPr="001E71EE" w:rsidRDefault="00B05E81" w:rsidP="00B05E81">
      <w:pPr>
        <w:rPr>
          <w:szCs w:val="20"/>
        </w:rPr>
      </w:pPr>
    </w:p>
    <w:p w14:paraId="765F908B" w14:textId="77777777" w:rsidR="00B05E81" w:rsidRPr="001E71EE" w:rsidRDefault="00944B8F" w:rsidP="00B05E81">
      <w:pPr>
        <w:rPr>
          <w:szCs w:val="20"/>
        </w:rPr>
      </w:pPr>
      <w:r w:rsidRPr="001E71EE">
        <w:rPr>
          <w:szCs w:val="20"/>
        </w:rPr>
        <w:t>Tell your doctor or pharmacist if you are taking, have recently taken or might take any other medicines.</w:t>
      </w:r>
    </w:p>
    <w:p w14:paraId="4B3911BE" w14:textId="77777777" w:rsidR="00B05E81" w:rsidRPr="001E71EE" w:rsidRDefault="00B05E81" w:rsidP="00B05E81">
      <w:pPr>
        <w:rPr>
          <w:szCs w:val="20"/>
        </w:rPr>
      </w:pPr>
    </w:p>
    <w:p w14:paraId="676A7991" w14:textId="77777777" w:rsidR="00B05E81" w:rsidRPr="001E71EE" w:rsidRDefault="00944B8F" w:rsidP="00B05E81">
      <w:pPr>
        <w:tabs>
          <w:tab w:val="clear" w:pos="562"/>
          <w:tab w:val="left" w:pos="0"/>
        </w:tabs>
        <w:rPr>
          <w:szCs w:val="20"/>
        </w:rPr>
      </w:pPr>
      <w:r w:rsidRPr="001E71EE">
        <w:rPr>
          <w:szCs w:val="20"/>
        </w:rPr>
        <w:t>You should not take Humira with medicines containing the following active substances</w:t>
      </w:r>
      <w:r w:rsidRPr="001E71EE">
        <w:t xml:space="preserve"> due to increased risk of serious infection</w:t>
      </w:r>
      <w:r w:rsidRPr="001E71EE">
        <w:rPr>
          <w:szCs w:val="20"/>
        </w:rPr>
        <w:t>:</w:t>
      </w:r>
    </w:p>
    <w:p w14:paraId="7AC69DD1" w14:textId="77777777" w:rsidR="00B05E81" w:rsidRPr="001E71EE" w:rsidRDefault="00944B8F" w:rsidP="00D51999">
      <w:pPr>
        <w:numPr>
          <w:ilvl w:val="0"/>
          <w:numId w:val="72"/>
        </w:numPr>
        <w:tabs>
          <w:tab w:val="clear" w:pos="562"/>
          <w:tab w:val="left" w:pos="0"/>
        </w:tabs>
        <w:rPr>
          <w:szCs w:val="20"/>
        </w:rPr>
      </w:pPr>
      <w:r>
        <w:rPr>
          <w:szCs w:val="20"/>
        </w:rPr>
        <w:t>anakinra</w:t>
      </w:r>
    </w:p>
    <w:p w14:paraId="30A15B94" w14:textId="77777777" w:rsidR="00B05E81" w:rsidRPr="001E71EE" w:rsidRDefault="00944B8F" w:rsidP="00D51999">
      <w:pPr>
        <w:numPr>
          <w:ilvl w:val="0"/>
          <w:numId w:val="72"/>
        </w:numPr>
        <w:tabs>
          <w:tab w:val="clear" w:pos="562"/>
          <w:tab w:val="left" w:pos="0"/>
        </w:tabs>
        <w:rPr>
          <w:b/>
          <w:bCs/>
          <w:szCs w:val="20"/>
        </w:rPr>
      </w:pPr>
      <w:r w:rsidRPr="001E71EE">
        <w:rPr>
          <w:szCs w:val="20"/>
        </w:rPr>
        <w:t>abatacept.</w:t>
      </w:r>
    </w:p>
    <w:p w14:paraId="394311F6" w14:textId="77777777" w:rsidR="00B05E81" w:rsidRPr="001E71EE" w:rsidRDefault="00B05E81" w:rsidP="00B05E81">
      <w:pPr>
        <w:rPr>
          <w:szCs w:val="20"/>
        </w:rPr>
      </w:pPr>
    </w:p>
    <w:p w14:paraId="5D14D1FF" w14:textId="77777777" w:rsidR="00B05E81" w:rsidRPr="001E71EE" w:rsidRDefault="00944B8F" w:rsidP="00B05E81">
      <w:pPr>
        <w:rPr>
          <w:szCs w:val="20"/>
        </w:rPr>
      </w:pPr>
      <w:r w:rsidRPr="001E71EE">
        <w:rPr>
          <w:szCs w:val="20"/>
        </w:rPr>
        <w:t>Humira can be taken together with:</w:t>
      </w:r>
    </w:p>
    <w:p w14:paraId="02C9165B" w14:textId="77777777" w:rsidR="00B05E81" w:rsidRPr="001E71EE" w:rsidRDefault="00944B8F" w:rsidP="00D51999">
      <w:pPr>
        <w:numPr>
          <w:ilvl w:val="0"/>
          <w:numId w:val="73"/>
        </w:numPr>
        <w:rPr>
          <w:szCs w:val="20"/>
        </w:rPr>
      </w:pPr>
      <w:r w:rsidRPr="001E71EE">
        <w:rPr>
          <w:szCs w:val="20"/>
        </w:rPr>
        <w:t>methotrexate</w:t>
      </w:r>
    </w:p>
    <w:p w14:paraId="776B580E" w14:textId="77777777" w:rsidR="00B05E81" w:rsidRPr="001E71EE" w:rsidRDefault="00944B8F" w:rsidP="00D51999">
      <w:pPr>
        <w:numPr>
          <w:ilvl w:val="0"/>
          <w:numId w:val="73"/>
        </w:numPr>
        <w:ind w:left="540" w:hanging="180"/>
        <w:rPr>
          <w:szCs w:val="20"/>
        </w:rPr>
      </w:pPr>
      <w:r w:rsidRPr="001E71EE">
        <w:rPr>
          <w:szCs w:val="20"/>
        </w:rPr>
        <w:t>certain disease-modifying anti-rheumatic agents (for example, sulfasalazine, hydroxychloroquine, leflunomide and injectable gold preparations)</w:t>
      </w:r>
    </w:p>
    <w:p w14:paraId="6C1DF75D" w14:textId="77777777" w:rsidR="00B05E81" w:rsidRPr="00987B12" w:rsidRDefault="00944B8F" w:rsidP="00D51999">
      <w:pPr>
        <w:numPr>
          <w:ilvl w:val="0"/>
          <w:numId w:val="73"/>
        </w:numPr>
        <w:ind w:left="540" w:hanging="180"/>
        <w:rPr>
          <w:szCs w:val="20"/>
        </w:rPr>
      </w:pPr>
      <w:r w:rsidRPr="00987B12">
        <w:rPr>
          <w:szCs w:val="20"/>
        </w:rPr>
        <w:t>steroids or pain medications including non-steroidal anti-inflammatory drugs (NSAIDs).</w:t>
      </w:r>
    </w:p>
    <w:p w14:paraId="54A7994E" w14:textId="77777777" w:rsidR="00B05E81" w:rsidRPr="001E71EE" w:rsidRDefault="00B05E81" w:rsidP="00B05E81">
      <w:pPr>
        <w:rPr>
          <w:szCs w:val="20"/>
        </w:rPr>
      </w:pPr>
    </w:p>
    <w:p w14:paraId="3CB11C2E" w14:textId="77777777" w:rsidR="00B05E81" w:rsidRPr="001E71EE" w:rsidRDefault="00944B8F" w:rsidP="00B05E81">
      <w:pPr>
        <w:tabs>
          <w:tab w:val="clear" w:pos="562"/>
          <w:tab w:val="left" w:pos="0"/>
        </w:tabs>
        <w:rPr>
          <w:szCs w:val="20"/>
        </w:rPr>
      </w:pPr>
      <w:r w:rsidRPr="001E71EE">
        <w:rPr>
          <w:szCs w:val="20"/>
        </w:rPr>
        <w:t>If you have questions, please ask your doctor.</w:t>
      </w:r>
    </w:p>
    <w:p w14:paraId="7192D831" w14:textId="77777777" w:rsidR="00B05E81" w:rsidRPr="00EA5F9B" w:rsidRDefault="00B05E81" w:rsidP="00B05E81"/>
    <w:p w14:paraId="297CB495" w14:textId="77777777" w:rsidR="00B05E81" w:rsidRPr="00C6283C" w:rsidRDefault="00944B8F" w:rsidP="00B05E81">
      <w:pPr>
        <w:rPr>
          <w:szCs w:val="20"/>
        </w:rPr>
      </w:pPr>
      <w:r w:rsidRPr="00F73AED">
        <w:rPr>
          <w:b/>
          <w:szCs w:val="20"/>
        </w:rPr>
        <w:t>Pregnancy and breast-feeding</w:t>
      </w:r>
    </w:p>
    <w:p w14:paraId="30287772" w14:textId="77777777" w:rsidR="00B05E81" w:rsidRPr="001E71EE" w:rsidRDefault="00B05E81" w:rsidP="00B05E81">
      <w:pPr>
        <w:rPr>
          <w:szCs w:val="20"/>
        </w:rPr>
      </w:pPr>
    </w:p>
    <w:p w14:paraId="1B7B168D" w14:textId="77777777" w:rsidR="00B05E81" w:rsidRPr="00835E21" w:rsidRDefault="00944B8F" w:rsidP="00D51999">
      <w:pPr>
        <w:pStyle w:val="ListParagraph"/>
        <w:numPr>
          <w:ilvl w:val="0"/>
          <w:numId w:val="56"/>
        </w:numPr>
        <w:tabs>
          <w:tab w:val="clear" w:pos="562"/>
          <w:tab w:val="left" w:pos="720"/>
        </w:tabs>
      </w:pPr>
      <w:r w:rsidRPr="00B1385B">
        <w:t xml:space="preserve">You </w:t>
      </w:r>
      <w:r w:rsidR="00B1385B" w:rsidRPr="00835E21">
        <w:t xml:space="preserve">should consider the </w:t>
      </w:r>
      <w:r w:rsidRPr="00835E21">
        <w:t xml:space="preserve">use </w:t>
      </w:r>
      <w:r w:rsidR="00B1385B" w:rsidRPr="00835E21">
        <w:t xml:space="preserve">of </w:t>
      </w:r>
      <w:r w:rsidRPr="00835E21">
        <w:t xml:space="preserve">adequate contraception </w:t>
      </w:r>
      <w:r w:rsidR="00B1385B" w:rsidRPr="00835E21">
        <w:t>to prevent pregnancy</w:t>
      </w:r>
      <w:r w:rsidRPr="00486065">
        <w:t xml:space="preserve"> and </w:t>
      </w:r>
      <w:r w:rsidR="00B1385B" w:rsidRPr="00486065">
        <w:t xml:space="preserve">continue its use </w:t>
      </w:r>
      <w:r w:rsidRPr="00486065">
        <w:t>for at least 5 months after the last Humira treatment.</w:t>
      </w:r>
    </w:p>
    <w:p w14:paraId="5C1CD34C" w14:textId="77777777" w:rsidR="00B1385B" w:rsidRPr="00835E21" w:rsidRDefault="00944B8F" w:rsidP="00D51999">
      <w:pPr>
        <w:pStyle w:val="ListParagraph"/>
        <w:numPr>
          <w:ilvl w:val="0"/>
          <w:numId w:val="56"/>
        </w:numPr>
        <w:tabs>
          <w:tab w:val="clear" w:pos="562"/>
          <w:tab w:val="left" w:pos="720"/>
        </w:tabs>
      </w:pPr>
      <w:r w:rsidRPr="00835E21">
        <w:t>If you are pregnant, think you may be pregnant or are planning to have a baby, ask your doctor for advice about taking this medicine.</w:t>
      </w:r>
    </w:p>
    <w:p w14:paraId="58E2EDAA" w14:textId="77777777" w:rsidR="00B1385B" w:rsidRPr="00835E21" w:rsidRDefault="00944B8F" w:rsidP="00D51999">
      <w:pPr>
        <w:pStyle w:val="ListParagraph"/>
        <w:numPr>
          <w:ilvl w:val="0"/>
          <w:numId w:val="56"/>
        </w:numPr>
        <w:tabs>
          <w:tab w:val="clear" w:pos="562"/>
          <w:tab w:val="left" w:pos="720"/>
        </w:tabs>
      </w:pPr>
      <w:r w:rsidRPr="00835E21">
        <w:t>Humira should only be used during a pregnancy if needed.</w:t>
      </w:r>
    </w:p>
    <w:p w14:paraId="14C4718C" w14:textId="77777777" w:rsidR="00B1385B" w:rsidRDefault="00944B8F" w:rsidP="00D51999">
      <w:pPr>
        <w:pStyle w:val="ListParagraph"/>
        <w:numPr>
          <w:ilvl w:val="0"/>
          <w:numId w:val="56"/>
        </w:numPr>
        <w:tabs>
          <w:tab w:val="clear" w:pos="562"/>
          <w:tab w:val="left" w:pos="720"/>
        </w:tabs>
      </w:pPr>
      <w:r w:rsidRPr="00835E21">
        <w:t>According to a pregnancy study, there was no higher risk of birth defects when the mother had received Humira during pregnancy compared with mothers with the same dise</w:t>
      </w:r>
      <w:r w:rsidR="00C6283C">
        <w:t>ase who did not receive Humira.</w:t>
      </w:r>
    </w:p>
    <w:p w14:paraId="4F44B2B8" w14:textId="77777777" w:rsidR="00E163C8" w:rsidRPr="00835E21" w:rsidRDefault="00944B8F" w:rsidP="00D51999">
      <w:pPr>
        <w:pStyle w:val="ListParagraph"/>
        <w:numPr>
          <w:ilvl w:val="0"/>
          <w:numId w:val="56"/>
        </w:numPr>
        <w:tabs>
          <w:tab w:val="clear" w:pos="562"/>
          <w:tab w:val="left" w:pos="720"/>
        </w:tabs>
      </w:pPr>
      <w:r>
        <w:t>Humira can be used during breast</w:t>
      </w:r>
      <w:r w:rsidR="008B6BDD">
        <w:t>-</w:t>
      </w:r>
      <w:r>
        <w:t>feeding.</w:t>
      </w:r>
    </w:p>
    <w:p w14:paraId="198912CA" w14:textId="77777777" w:rsidR="00B1385B" w:rsidRDefault="00944B8F" w:rsidP="00D51999">
      <w:pPr>
        <w:pStyle w:val="ListParagraph"/>
        <w:numPr>
          <w:ilvl w:val="0"/>
          <w:numId w:val="56"/>
        </w:numPr>
        <w:tabs>
          <w:tab w:val="clear" w:pos="562"/>
          <w:tab w:val="left" w:pos="720"/>
        </w:tabs>
      </w:pPr>
      <w:r w:rsidRPr="001E71EE">
        <w:t>If you receive Humira during your pregnancy, your baby may have a higher</w:t>
      </w:r>
      <w:r w:rsidR="00C6283C">
        <w:t xml:space="preserve"> risk for getting an infection.</w:t>
      </w:r>
    </w:p>
    <w:p w14:paraId="3AA28FF9" w14:textId="77777777" w:rsidR="00B05E81" w:rsidRPr="00835E21" w:rsidRDefault="00944B8F" w:rsidP="00D51999">
      <w:pPr>
        <w:pStyle w:val="ListParagraph"/>
        <w:numPr>
          <w:ilvl w:val="0"/>
          <w:numId w:val="56"/>
        </w:numPr>
        <w:tabs>
          <w:tab w:val="clear" w:pos="562"/>
          <w:tab w:val="left" w:pos="720"/>
        </w:tabs>
      </w:pPr>
      <w:r w:rsidRPr="00835E21">
        <w:t xml:space="preserve">It is important that you tell your baby’s doctors and other health care professionals about your Humira use during your pregnancy before the baby receives any vaccine. For more information </w:t>
      </w:r>
      <w:r w:rsidR="00B1385B" w:rsidRPr="00835E21">
        <w:t xml:space="preserve">on vaccines </w:t>
      </w:r>
      <w:r w:rsidRPr="00835E21">
        <w:t xml:space="preserve">see </w:t>
      </w:r>
      <w:r w:rsidR="00B1385B" w:rsidRPr="00835E21">
        <w:t>the “Warnings and precautions”</w:t>
      </w:r>
      <w:r w:rsidR="00835E21" w:rsidRPr="00835E21">
        <w:t xml:space="preserve"> </w:t>
      </w:r>
      <w:r w:rsidRPr="00835E21">
        <w:t>section.</w:t>
      </w:r>
    </w:p>
    <w:p w14:paraId="097A0CF7" w14:textId="77777777" w:rsidR="00B05E81" w:rsidRPr="001E71EE" w:rsidRDefault="00B05E81" w:rsidP="00B05E81">
      <w:pPr>
        <w:numPr>
          <w:ilvl w:val="12"/>
          <w:numId w:val="0"/>
        </w:numPr>
        <w:tabs>
          <w:tab w:val="clear" w:pos="562"/>
        </w:tabs>
        <w:ind w:right="-2"/>
      </w:pPr>
    </w:p>
    <w:p w14:paraId="2A501A7A" w14:textId="77777777" w:rsidR="00B05E81" w:rsidRPr="00EA5F9B" w:rsidRDefault="00944B8F" w:rsidP="00B05E81">
      <w:pPr>
        <w:rPr>
          <w:i/>
        </w:rPr>
      </w:pPr>
      <w:r w:rsidRPr="001E71EE">
        <w:rPr>
          <w:b/>
          <w:szCs w:val="20"/>
        </w:rPr>
        <w:t>Driving and using machines</w:t>
      </w:r>
    </w:p>
    <w:p w14:paraId="5E147D61" w14:textId="77777777" w:rsidR="00B05E81" w:rsidRPr="001E71EE" w:rsidRDefault="00B05E81" w:rsidP="00B05E81"/>
    <w:p w14:paraId="531AE1E1" w14:textId="77777777" w:rsidR="00B05E81" w:rsidRDefault="00944B8F" w:rsidP="00B05E81">
      <w:pPr>
        <w:rPr>
          <w:ins w:id="13656" w:author="AbbVie19" w:date="2025-04-17T11:07:00Z"/>
        </w:rPr>
      </w:pPr>
      <w:r w:rsidRPr="001E71EE">
        <w:t>Humira may have a small effect on your ability to drive, cycle or use machines. Room spinning sensation and vision disturbances may occur after taking Humira.</w:t>
      </w:r>
    </w:p>
    <w:p w14:paraId="4958674E" w14:textId="77777777" w:rsidR="00E27926" w:rsidRDefault="00E27926" w:rsidP="00B05E81">
      <w:pPr>
        <w:rPr>
          <w:ins w:id="13657" w:author="AbbVie19" w:date="2025-04-17T11:07:00Z"/>
        </w:rPr>
      </w:pPr>
    </w:p>
    <w:p w14:paraId="5F7FEAC2" w14:textId="26F01134" w:rsidR="00E27926" w:rsidRDefault="00944B8F" w:rsidP="00E27926">
      <w:pPr>
        <w:numPr>
          <w:ilvl w:val="12"/>
          <w:numId w:val="0"/>
        </w:numPr>
        <w:tabs>
          <w:tab w:val="clear" w:pos="562"/>
        </w:tabs>
        <w:ind w:right="-2"/>
        <w:rPr>
          <w:ins w:id="13658" w:author="AbbVie19" w:date="2025-04-17T11:07:00Z"/>
          <w:b/>
          <w:bCs/>
          <w:szCs w:val="22"/>
        </w:rPr>
      </w:pPr>
      <w:ins w:id="13659" w:author="AbbVie19" w:date="2025-04-17T11:07:00Z">
        <w:r>
          <w:rPr>
            <w:b/>
            <w:bCs/>
            <w:szCs w:val="22"/>
          </w:rPr>
          <w:t xml:space="preserve">Humira </w:t>
        </w:r>
        <w:r w:rsidRPr="00B364D7">
          <w:rPr>
            <w:b/>
            <w:bCs/>
            <w:szCs w:val="22"/>
          </w:rPr>
          <w:t>contains polysorbate</w:t>
        </w:r>
      </w:ins>
    </w:p>
    <w:p w14:paraId="495E02FF" w14:textId="77777777" w:rsidR="00E27926" w:rsidRPr="00B364D7" w:rsidRDefault="00E27926" w:rsidP="00E27926">
      <w:pPr>
        <w:numPr>
          <w:ilvl w:val="12"/>
          <w:numId w:val="0"/>
        </w:numPr>
        <w:tabs>
          <w:tab w:val="clear" w:pos="562"/>
        </w:tabs>
        <w:ind w:right="-2"/>
        <w:rPr>
          <w:ins w:id="13660" w:author="AbbVie19" w:date="2025-04-17T11:07:00Z"/>
          <w:b/>
          <w:bCs/>
          <w:szCs w:val="22"/>
        </w:rPr>
      </w:pPr>
    </w:p>
    <w:p w14:paraId="36A5C768" w14:textId="6B696233" w:rsidR="00E27926" w:rsidRPr="00B364D7" w:rsidRDefault="00944B8F" w:rsidP="00E27926">
      <w:pPr>
        <w:tabs>
          <w:tab w:val="clear" w:pos="562"/>
        </w:tabs>
        <w:ind w:right="-2"/>
        <w:rPr>
          <w:ins w:id="13661" w:author="AbbVie19" w:date="2025-04-17T11:07:00Z"/>
        </w:rPr>
      </w:pPr>
      <w:ins w:id="13662" w:author="AbbVie19" w:date="2025-04-17T11:07:00Z">
        <w:r w:rsidRPr="00B364D7">
          <w:t>This medicine contains</w:t>
        </w:r>
      </w:ins>
      <w:ins w:id="13663" w:author="AbbVie19" w:date="2025-05-06T09:16:00Z">
        <w:r w:rsidR="005830F0">
          <w:t xml:space="preserve"> 0.4</w:t>
        </w:r>
      </w:ins>
      <w:ins w:id="13664" w:author="AbbVie15" w:date="2025-08-27T10:25:00Z">
        <w:r w:rsidR="00E416F1">
          <w:t> </w:t>
        </w:r>
      </w:ins>
      <w:ins w:id="13665" w:author="AbbVie19" w:date="2025-04-17T11:07:00Z">
        <w:r w:rsidRPr="00B364D7">
          <w:t>mg of polysorbate </w:t>
        </w:r>
        <w:r>
          <w:t>8</w:t>
        </w:r>
        <w:r w:rsidRPr="00B364D7">
          <w:t xml:space="preserve">0 in each </w:t>
        </w:r>
        <w:r>
          <w:t>40</w:t>
        </w:r>
      </w:ins>
      <w:ins w:id="13666" w:author="AbbVie33" w:date="2025-05-02T12:17:00Z">
        <w:r w:rsidR="00590856" w:rsidRPr="00B364D7">
          <w:rPr>
            <w:szCs w:val="22"/>
          </w:rPr>
          <w:t> </w:t>
        </w:r>
      </w:ins>
      <w:ins w:id="13667" w:author="AbbVie19" w:date="2025-04-17T11:07:00Z">
        <w:r>
          <w:t>mg dose</w:t>
        </w:r>
        <w:r w:rsidRPr="00B364D7">
          <w:t xml:space="preserve">. Polysorbates may cause allergic reactions. Tell your doctor if </w:t>
        </w:r>
      </w:ins>
      <w:ins w:id="13668" w:author="AbbVie19" w:date="2025-05-06T09:16:00Z">
        <w:r w:rsidR="005830F0">
          <w:t xml:space="preserve">you </w:t>
        </w:r>
      </w:ins>
      <w:ins w:id="13669" w:author="AbbVie19" w:date="2025-05-06T09:23:00Z">
        <w:r w:rsidR="008A2DA9">
          <w:t>have</w:t>
        </w:r>
      </w:ins>
      <w:ins w:id="13670" w:author="AbbVie19" w:date="2025-04-17T11:07:00Z">
        <w:r w:rsidRPr="00B364D7">
          <w:t xml:space="preserve"> any known allergies.</w:t>
        </w:r>
      </w:ins>
    </w:p>
    <w:p w14:paraId="10DFA14C" w14:textId="77777777" w:rsidR="00B05E81" w:rsidRPr="001E71EE" w:rsidRDefault="00B05E81" w:rsidP="005C3A86">
      <w:pPr>
        <w:keepNext/>
        <w:numPr>
          <w:ilvl w:val="12"/>
          <w:numId w:val="0"/>
        </w:numPr>
        <w:tabs>
          <w:tab w:val="clear" w:pos="562"/>
        </w:tabs>
        <w:ind w:right="-2"/>
      </w:pPr>
    </w:p>
    <w:p w14:paraId="6E3BA325" w14:textId="77777777" w:rsidR="00B05E81" w:rsidRPr="001E71EE" w:rsidRDefault="00B05E81" w:rsidP="005C3A86">
      <w:pPr>
        <w:keepNext/>
        <w:numPr>
          <w:ilvl w:val="12"/>
          <w:numId w:val="0"/>
        </w:numPr>
        <w:tabs>
          <w:tab w:val="clear" w:pos="562"/>
        </w:tabs>
        <w:ind w:right="-2"/>
      </w:pPr>
    </w:p>
    <w:p w14:paraId="00EEA7AC" w14:textId="77777777" w:rsidR="00B05E81" w:rsidRPr="001E71EE" w:rsidRDefault="00944B8F" w:rsidP="005C3A86">
      <w:pPr>
        <w:keepNext/>
        <w:outlineLvl w:val="0"/>
        <w:rPr>
          <w:rFonts w:ascii="Times New Roman Bold" w:hAnsi="Times New Roman Bold"/>
          <w:b/>
          <w:szCs w:val="20"/>
        </w:rPr>
      </w:pPr>
      <w:r w:rsidRPr="001E71EE">
        <w:rPr>
          <w:b/>
          <w:caps/>
          <w:szCs w:val="20"/>
        </w:rPr>
        <w:t>3.</w:t>
      </w:r>
      <w:r w:rsidRPr="001E71EE">
        <w:rPr>
          <w:b/>
          <w:caps/>
          <w:szCs w:val="20"/>
        </w:rPr>
        <w:tab/>
      </w:r>
      <w:r w:rsidRPr="00EA5F9B">
        <w:rPr>
          <w:b/>
          <w:caps/>
        </w:rPr>
        <w:t>H</w:t>
      </w:r>
      <w:r w:rsidRPr="001E71EE">
        <w:rPr>
          <w:rFonts w:ascii="Times New Roman Bold" w:hAnsi="Times New Roman Bold"/>
          <w:b/>
          <w:szCs w:val="20"/>
        </w:rPr>
        <w:t>ow to use Humira</w:t>
      </w:r>
    </w:p>
    <w:p w14:paraId="5EA3343E" w14:textId="77777777" w:rsidR="00B05E81" w:rsidRPr="001E71EE" w:rsidRDefault="00B05E81" w:rsidP="005C3A86">
      <w:pPr>
        <w:keepNext/>
      </w:pPr>
    </w:p>
    <w:p w14:paraId="361828A9" w14:textId="77777777" w:rsidR="00B05E81" w:rsidRDefault="00944B8F" w:rsidP="005C3A86">
      <w:pPr>
        <w:keepNext/>
        <w:numPr>
          <w:ilvl w:val="12"/>
          <w:numId w:val="0"/>
        </w:numPr>
        <w:tabs>
          <w:tab w:val="clear" w:pos="562"/>
        </w:tabs>
        <w:ind w:right="-2"/>
      </w:pPr>
      <w:r w:rsidRPr="001E71EE">
        <w:t xml:space="preserve">Always use this medicine exactly as your doctor or pharmacist has told you. Check with your doctor or pharmacist if you are not sure. </w:t>
      </w:r>
    </w:p>
    <w:p w14:paraId="57DC9D2E" w14:textId="77777777" w:rsidR="00B05E81" w:rsidRDefault="00B05E81" w:rsidP="005C3A86">
      <w:pPr>
        <w:keepNext/>
        <w:numPr>
          <w:ilvl w:val="12"/>
          <w:numId w:val="0"/>
        </w:numPr>
        <w:tabs>
          <w:tab w:val="clear" w:pos="562"/>
        </w:tabs>
        <w:ind w:right="-2"/>
      </w:pPr>
    </w:p>
    <w:p w14:paraId="4586D9FB" w14:textId="77777777" w:rsidR="00B05E81" w:rsidRPr="001E71EE" w:rsidRDefault="00944B8F" w:rsidP="00B05E81">
      <w:pPr>
        <w:numPr>
          <w:ilvl w:val="12"/>
          <w:numId w:val="0"/>
        </w:numPr>
        <w:tabs>
          <w:tab w:val="clear" w:pos="562"/>
        </w:tabs>
        <w:ind w:right="-2"/>
      </w:pPr>
      <w:r w:rsidRPr="00BC0E7E">
        <w:t>The recommended doses for Humira in each of the approved uses are shown in the following table.</w:t>
      </w:r>
      <w:r>
        <w:t xml:space="preserve"> </w:t>
      </w:r>
      <w:r w:rsidRPr="001E71EE">
        <w:t>Your doctor may prescribe another strength of Humira if you need a different dose.</w:t>
      </w:r>
    </w:p>
    <w:p w14:paraId="61655E14" w14:textId="77777777" w:rsidR="00B05E81" w:rsidRPr="001E71EE" w:rsidRDefault="00B05E81" w:rsidP="00B05E81">
      <w:pPr>
        <w:numPr>
          <w:ilvl w:val="12"/>
          <w:numId w:val="0"/>
        </w:numPr>
        <w:tabs>
          <w:tab w:val="clear" w:pos="562"/>
        </w:tabs>
        <w:ind w:right="-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3E415B3C" w14:textId="77777777" w:rsidTr="00740A74">
        <w:tc>
          <w:tcPr>
            <w:tcW w:w="9287" w:type="dxa"/>
            <w:gridSpan w:val="3"/>
          </w:tcPr>
          <w:p w14:paraId="08D714B0" w14:textId="77777777" w:rsidR="00B05E81" w:rsidRPr="001E71EE" w:rsidRDefault="00944B8F" w:rsidP="00740A74">
            <w:pPr>
              <w:keepNext/>
              <w:numPr>
                <w:ilvl w:val="12"/>
                <w:numId w:val="0"/>
              </w:numPr>
              <w:tabs>
                <w:tab w:val="clear" w:pos="562"/>
              </w:tabs>
              <w:ind w:right="-2"/>
              <w:rPr>
                <w:b/>
              </w:rPr>
            </w:pPr>
            <w:r w:rsidRPr="001E71EE">
              <w:rPr>
                <w:b/>
              </w:rPr>
              <w:t>Rheumatoid arthritis, psoriatic arthritis, ankylosing spondylitis or axial spondyloarthritis without radiographic evidence of ankylosing spondylitis</w:t>
            </w:r>
          </w:p>
        </w:tc>
      </w:tr>
      <w:tr w:rsidR="00C6578C" w14:paraId="22233A0F" w14:textId="77777777" w:rsidTr="00740A74">
        <w:tc>
          <w:tcPr>
            <w:tcW w:w="3095" w:type="dxa"/>
          </w:tcPr>
          <w:p w14:paraId="6C55E895" w14:textId="77777777" w:rsidR="00B05E81" w:rsidRPr="001E71EE" w:rsidRDefault="00944B8F" w:rsidP="00740A74">
            <w:pPr>
              <w:keepNext/>
              <w:numPr>
                <w:ilvl w:val="12"/>
                <w:numId w:val="0"/>
              </w:numPr>
              <w:tabs>
                <w:tab w:val="clear" w:pos="562"/>
              </w:tabs>
              <w:ind w:right="-2"/>
            </w:pPr>
            <w:r w:rsidRPr="001E71EE">
              <w:rPr>
                <w:b/>
              </w:rPr>
              <w:t>Age or body weight</w:t>
            </w:r>
          </w:p>
        </w:tc>
        <w:tc>
          <w:tcPr>
            <w:tcW w:w="3096" w:type="dxa"/>
          </w:tcPr>
          <w:p w14:paraId="36C88986" w14:textId="77777777" w:rsidR="00B05E81" w:rsidRPr="001E71EE" w:rsidRDefault="00944B8F" w:rsidP="00740A74">
            <w:pPr>
              <w:keepNext/>
              <w:numPr>
                <w:ilvl w:val="12"/>
                <w:numId w:val="0"/>
              </w:numPr>
              <w:tabs>
                <w:tab w:val="clear" w:pos="562"/>
              </w:tabs>
              <w:ind w:right="-2"/>
            </w:pPr>
            <w:r w:rsidRPr="001E71EE">
              <w:rPr>
                <w:b/>
              </w:rPr>
              <w:t>How much and how often to take?</w:t>
            </w:r>
          </w:p>
        </w:tc>
        <w:tc>
          <w:tcPr>
            <w:tcW w:w="3096" w:type="dxa"/>
          </w:tcPr>
          <w:p w14:paraId="4650BB03" w14:textId="77777777" w:rsidR="00B05E81" w:rsidRPr="001E71EE" w:rsidRDefault="00944B8F" w:rsidP="00740A74">
            <w:pPr>
              <w:keepNext/>
              <w:numPr>
                <w:ilvl w:val="12"/>
                <w:numId w:val="0"/>
              </w:numPr>
              <w:tabs>
                <w:tab w:val="clear" w:pos="562"/>
              </w:tabs>
              <w:ind w:right="-2"/>
            </w:pPr>
            <w:r w:rsidRPr="001E71EE">
              <w:rPr>
                <w:b/>
              </w:rPr>
              <w:t>Notes</w:t>
            </w:r>
          </w:p>
        </w:tc>
      </w:tr>
      <w:tr w:rsidR="00C6578C" w14:paraId="67947EA0" w14:textId="77777777" w:rsidTr="00740A74">
        <w:tc>
          <w:tcPr>
            <w:tcW w:w="3095" w:type="dxa"/>
          </w:tcPr>
          <w:p w14:paraId="3C770E5E" w14:textId="77777777" w:rsidR="00B05E81" w:rsidRPr="001E71EE" w:rsidRDefault="00944B8F" w:rsidP="00740A74">
            <w:pPr>
              <w:keepNext/>
              <w:numPr>
                <w:ilvl w:val="12"/>
                <w:numId w:val="0"/>
              </w:numPr>
              <w:tabs>
                <w:tab w:val="clear" w:pos="562"/>
              </w:tabs>
              <w:ind w:right="-2"/>
            </w:pPr>
            <w:r w:rsidRPr="001E71EE">
              <w:t xml:space="preserve">Adults </w:t>
            </w:r>
          </w:p>
        </w:tc>
        <w:tc>
          <w:tcPr>
            <w:tcW w:w="3096" w:type="dxa"/>
          </w:tcPr>
          <w:p w14:paraId="3E6EF97A" w14:textId="77777777" w:rsidR="00B05E81" w:rsidRPr="001E71EE" w:rsidRDefault="00944B8F" w:rsidP="00740A74">
            <w:pPr>
              <w:keepNext/>
              <w:numPr>
                <w:ilvl w:val="12"/>
                <w:numId w:val="0"/>
              </w:numPr>
              <w:tabs>
                <w:tab w:val="clear" w:pos="562"/>
              </w:tabs>
              <w:ind w:right="-2"/>
            </w:pPr>
            <w:r w:rsidRPr="001E71EE">
              <w:t>40 mg every other week</w:t>
            </w:r>
          </w:p>
        </w:tc>
        <w:tc>
          <w:tcPr>
            <w:tcW w:w="3096" w:type="dxa"/>
          </w:tcPr>
          <w:p w14:paraId="4265822E" w14:textId="77777777" w:rsidR="00B05E81" w:rsidRPr="001E71EE" w:rsidRDefault="00944B8F" w:rsidP="00740A74">
            <w:pPr>
              <w:keepNext/>
            </w:pPr>
            <w:r w:rsidRPr="001E71EE">
              <w:t>In rheumatoid arthritis, methotrexate is continued while using Humira. If your doctor decides that methotrexate is inappropriate, Humira can be given alone.</w:t>
            </w:r>
          </w:p>
          <w:p w14:paraId="4B3FF5C7" w14:textId="77777777" w:rsidR="00B05E81" w:rsidRPr="001E71EE" w:rsidRDefault="00B05E81" w:rsidP="00740A74">
            <w:pPr>
              <w:keepNext/>
            </w:pPr>
          </w:p>
          <w:p w14:paraId="6FC4AFAD" w14:textId="77777777" w:rsidR="00B05E81" w:rsidRPr="001E71EE" w:rsidRDefault="00944B8F" w:rsidP="00740A74">
            <w:pPr>
              <w:keepNext/>
              <w:numPr>
                <w:ilvl w:val="12"/>
                <w:numId w:val="0"/>
              </w:numPr>
              <w:tabs>
                <w:tab w:val="clear" w:pos="562"/>
              </w:tabs>
              <w:ind w:right="-2"/>
            </w:pPr>
            <w:r w:rsidRPr="001E71EE">
              <w:t>If you have rheumatoid arthritis and you do not receive methotrexate with your Humira therapy, your doctor may decide to give Humira 40 mg every week</w:t>
            </w:r>
            <w:r>
              <w:t xml:space="preserve"> or 80 mg every other week</w:t>
            </w:r>
            <w:r w:rsidRPr="001E71EE">
              <w:t xml:space="preserve">. </w:t>
            </w:r>
          </w:p>
        </w:tc>
      </w:tr>
    </w:tbl>
    <w:p w14:paraId="46CAA6DA" w14:textId="77777777" w:rsidR="00B05E81" w:rsidRPr="001E71EE" w:rsidRDefault="00B05E81" w:rsidP="00B05E81">
      <w:pPr>
        <w:numPr>
          <w:ilvl w:val="12"/>
          <w:numId w:val="0"/>
        </w:numPr>
        <w:tabs>
          <w:tab w:val="clear" w:pos="562"/>
        </w:tabs>
        <w:ind w:right="-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482AF000" w14:textId="77777777" w:rsidTr="00740A74">
        <w:tc>
          <w:tcPr>
            <w:tcW w:w="9287" w:type="dxa"/>
            <w:gridSpan w:val="3"/>
          </w:tcPr>
          <w:p w14:paraId="676FD428" w14:textId="77777777" w:rsidR="00B05E81" w:rsidRPr="001E71EE" w:rsidRDefault="00944B8F" w:rsidP="00740A74">
            <w:pPr>
              <w:keepNext/>
              <w:numPr>
                <w:ilvl w:val="12"/>
                <w:numId w:val="0"/>
              </w:numPr>
              <w:tabs>
                <w:tab w:val="clear" w:pos="562"/>
              </w:tabs>
            </w:pPr>
            <w:r w:rsidRPr="001E71EE">
              <w:rPr>
                <w:b/>
              </w:rPr>
              <w:t>Polyarticular juvenile idiopathic arthritis</w:t>
            </w:r>
          </w:p>
        </w:tc>
      </w:tr>
      <w:tr w:rsidR="00C6578C" w14:paraId="35F8DBEF" w14:textId="77777777" w:rsidTr="00740A74">
        <w:tc>
          <w:tcPr>
            <w:tcW w:w="3095" w:type="dxa"/>
          </w:tcPr>
          <w:p w14:paraId="3246184D" w14:textId="77777777" w:rsidR="00B05E81" w:rsidRPr="001E71EE" w:rsidRDefault="00944B8F" w:rsidP="00740A74">
            <w:pPr>
              <w:keepNext/>
              <w:numPr>
                <w:ilvl w:val="12"/>
                <w:numId w:val="0"/>
              </w:numPr>
              <w:tabs>
                <w:tab w:val="clear" w:pos="562"/>
              </w:tabs>
            </w:pPr>
            <w:r w:rsidRPr="001E71EE">
              <w:rPr>
                <w:b/>
              </w:rPr>
              <w:t>Age or body weight</w:t>
            </w:r>
          </w:p>
        </w:tc>
        <w:tc>
          <w:tcPr>
            <w:tcW w:w="3096" w:type="dxa"/>
          </w:tcPr>
          <w:p w14:paraId="461F15D1" w14:textId="77777777" w:rsidR="00B05E81" w:rsidRPr="001E71EE" w:rsidRDefault="00944B8F" w:rsidP="00740A74">
            <w:pPr>
              <w:keepNext/>
              <w:numPr>
                <w:ilvl w:val="12"/>
                <w:numId w:val="0"/>
              </w:numPr>
              <w:tabs>
                <w:tab w:val="clear" w:pos="562"/>
              </w:tabs>
            </w:pPr>
            <w:r w:rsidRPr="001E71EE">
              <w:rPr>
                <w:b/>
              </w:rPr>
              <w:t>How much and how often to take?</w:t>
            </w:r>
          </w:p>
        </w:tc>
        <w:tc>
          <w:tcPr>
            <w:tcW w:w="3096" w:type="dxa"/>
          </w:tcPr>
          <w:p w14:paraId="3194D695" w14:textId="77777777" w:rsidR="00B05E81" w:rsidRPr="001E71EE" w:rsidRDefault="00944B8F" w:rsidP="00740A74">
            <w:pPr>
              <w:keepNext/>
              <w:numPr>
                <w:ilvl w:val="12"/>
                <w:numId w:val="0"/>
              </w:numPr>
              <w:tabs>
                <w:tab w:val="clear" w:pos="562"/>
              </w:tabs>
            </w:pPr>
            <w:r w:rsidRPr="001E71EE">
              <w:rPr>
                <w:b/>
              </w:rPr>
              <w:t>Notes</w:t>
            </w:r>
          </w:p>
        </w:tc>
      </w:tr>
      <w:tr w:rsidR="00C6578C" w14:paraId="0809B335" w14:textId="77777777" w:rsidTr="00740A74">
        <w:tc>
          <w:tcPr>
            <w:tcW w:w="3095" w:type="dxa"/>
          </w:tcPr>
          <w:p w14:paraId="271A3671" w14:textId="77777777" w:rsidR="00B05E81" w:rsidRPr="001E71EE" w:rsidRDefault="00944B8F" w:rsidP="00740A74">
            <w:pPr>
              <w:keepNext/>
              <w:numPr>
                <w:ilvl w:val="12"/>
                <w:numId w:val="0"/>
              </w:numPr>
              <w:tabs>
                <w:tab w:val="clear" w:pos="562"/>
              </w:tabs>
            </w:pPr>
            <w:r w:rsidRPr="001E71EE">
              <w:t>Children, adolescents and adults from 2 years of age weighing 30 kg or more</w:t>
            </w:r>
          </w:p>
        </w:tc>
        <w:tc>
          <w:tcPr>
            <w:tcW w:w="3096" w:type="dxa"/>
          </w:tcPr>
          <w:p w14:paraId="33A765FE" w14:textId="77777777" w:rsidR="00B05E81" w:rsidRPr="001E71EE" w:rsidRDefault="00944B8F" w:rsidP="00740A74">
            <w:pPr>
              <w:keepNext/>
              <w:numPr>
                <w:ilvl w:val="12"/>
                <w:numId w:val="0"/>
              </w:numPr>
              <w:tabs>
                <w:tab w:val="clear" w:pos="562"/>
              </w:tabs>
            </w:pPr>
            <w:r w:rsidRPr="001E71EE">
              <w:t>40 mg every other week</w:t>
            </w:r>
          </w:p>
        </w:tc>
        <w:tc>
          <w:tcPr>
            <w:tcW w:w="3096" w:type="dxa"/>
          </w:tcPr>
          <w:p w14:paraId="38008C0D" w14:textId="77777777" w:rsidR="00B05E81" w:rsidRPr="001E71EE" w:rsidRDefault="00944B8F" w:rsidP="00740A74">
            <w:pPr>
              <w:keepNext/>
              <w:numPr>
                <w:ilvl w:val="12"/>
                <w:numId w:val="0"/>
              </w:numPr>
              <w:tabs>
                <w:tab w:val="clear" w:pos="562"/>
              </w:tabs>
            </w:pPr>
            <w:r w:rsidRPr="001E71EE">
              <w:t>Not applicable</w:t>
            </w:r>
          </w:p>
        </w:tc>
      </w:tr>
      <w:tr w:rsidR="00C6578C" w14:paraId="1A433288" w14:textId="77777777" w:rsidTr="00740A74">
        <w:tc>
          <w:tcPr>
            <w:tcW w:w="3095" w:type="dxa"/>
          </w:tcPr>
          <w:p w14:paraId="772C9B9E" w14:textId="77777777" w:rsidR="00B05E81" w:rsidRPr="001E71EE" w:rsidRDefault="00944B8F" w:rsidP="00740A74">
            <w:pPr>
              <w:keepNext/>
              <w:numPr>
                <w:ilvl w:val="12"/>
                <w:numId w:val="0"/>
              </w:numPr>
              <w:tabs>
                <w:tab w:val="clear" w:pos="562"/>
              </w:tabs>
            </w:pPr>
            <w:r w:rsidRPr="001E71EE">
              <w:t>Children and adolescents from 2 years of age weighing 10 kg to less than 30 kg</w:t>
            </w:r>
          </w:p>
        </w:tc>
        <w:tc>
          <w:tcPr>
            <w:tcW w:w="3096" w:type="dxa"/>
          </w:tcPr>
          <w:p w14:paraId="055AF26A" w14:textId="77777777" w:rsidR="00B05E81" w:rsidRPr="001E71EE" w:rsidRDefault="00944B8F" w:rsidP="00740A74">
            <w:pPr>
              <w:keepNext/>
              <w:numPr>
                <w:ilvl w:val="12"/>
                <w:numId w:val="0"/>
              </w:numPr>
              <w:tabs>
                <w:tab w:val="clear" w:pos="562"/>
              </w:tabs>
            </w:pPr>
            <w:r w:rsidRPr="001E71EE">
              <w:t xml:space="preserve">20 mg every other week </w:t>
            </w:r>
          </w:p>
        </w:tc>
        <w:tc>
          <w:tcPr>
            <w:tcW w:w="3096" w:type="dxa"/>
          </w:tcPr>
          <w:p w14:paraId="0D128349" w14:textId="77777777" w:rsidR="00B05E81" w:rsidRPr="001E71EE" w:rsidRDefault="00944B8F" w:rsidP="00740A74">
            <w:pPr>
              <w:keepNext/>
              <w:numPr>
                <w:ilvl w:val="12"/>
                <w:numId w:val="0"/>
              </w:numPr>
              <w:tabs>
                <w:tab w:val="clear" w:pos="562"/>
              </w:tabs>
            </w:pPr>
            <w:r w:rsidRPr="001E71EE">
              <w:t>Not applicable</w:t>
            </w:r>
          </w:p>
        </w:tc>
      </w:tr>
    </w:tbl>
    <w:p w14:paraId="1EF648ED" w14:textId="77777777" w:rsidR="00B05E81" w:rsidRPr="001E71EE" w:rsidRDefault="00B05E81" w:rsidP="00B05E81">
      <w:pPr>
        <w:numPr>
          <w:ilvl w:val="12"/>
          <w:numId w:val="0"/>
        </w:numPr>
        <w:tabs>
          <w:tab w:val="clear" w:pos="562"/>
        </w:tabs>
        <w:ind w:right="-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7F1233AA" w14:textId="77777777" w:rsidTr="00740A74">
        <w:tc>
          <w:tcPr>
            <w:tcW w:w="9287" w:type="dxa"/>
            <w:gridSpan w:val="3"/>
          </w:tcPr>
          <w:p w14:paraId="69586471" w14:textId="77777777" w:rsidR="00B05E81" w:rsidRPr="001E71EE" w:rsidRDefault="00944B8F" w:rsidP="00740A74">
            <w:pPr>
              <w:numPr>
                <w:ilvl w:val="12"/>
                <w:numId w:val="0"/>
              </w:numPr>
              <w:tabs>
                <w:tab w:val="clear" w:pos="562"/>
              </w:tabs>
              <w:ind w:right="-2"/>
              <w:rPr>
                <w:b/>
              </w:rPr>
            </w:pPr>
            <w:r w:rsidRPr="001E71EE">
              <w:rPr>
                <w:b/>
              </w:rPr>
              <w:t>Enthesitis-related arthritis</w:t>
            </w:r>
          </w:p>
        </w:tc>
      </w:tr>
      <w:tr w:rsidR="00C6578C" w14:paraId="51CD14BD" w14:textId="77777777" w:rsidTr="00740A74">
        <w:tc>
          <w:tcPr>
            <w:tcW w:w="3095" w:type="dxa"/>
          </w:tcPr>
          <w:p w14:paraId="7855012F" w14:textId="77777777" w:rsidR="00B05E81" w:rsidRPr="001E71EE" w:rsidRDefault="00944B8F" w:rsidP="00740A74">
            <w:pPr>
              <w:numPr>
                <w:ilvl w:val="12"/>
                <w:numId w:val="0"/>
              </w:numPr>
              <w:tabs>
                <w:tab w:val="clear" w:pos="562"/>
              </w:tabs>
              <w:ind w:right="-2"/>
            </w:pPr>
            <w:r w:rsidRPr="001E71EE">
              <w:rPr>
                <w:b/>
              </w:rPr>
              <w:t>Age or body weight</w:t>
            </w:r>
          </w:p>
        </w:tc>
        <w:tc>
          <w:tcPr>
            <w:tcW w:w="3096" w:type="dxa"/>
          </w:tcPr>
          <w:p w14:paraId="701B4ECC" w14:textId="77777777" w:rsidR="00B05E81" w:rsidRPr="001E71EE" w:rsidRDefault="00944B8F" w:rsidP="00740A74">
            <w:pPr>
              <w:numPr>
                <w:ilvl w:val="12"/>
                <w:numId w:val="0"/>
              </w:numPr>
              <w:tabs>
                <w:tab w:val="clear" w:pos="562"/>
              </w:tabs>
              <w:ind w:right="-2"/>
            </w:pPr>
            <w:r w:rsidRPr="001E71EE">
              <w:rPr>
                <w:b/>
              </w:rPr>
              <w:t>How much and how often to take?</w:t>
            </w:r>
          </w:p>
        </w:tc>
        <w:tc>
          <w:tcPr>
            <w:tcW w:w="3096" w:type="dxa"/>
          </w:tcPr>
          <w:p w14:paraId="62AAE982" w14:textId="77777777" w:rsidR="00B05E81" w:rsidRPr="001E71EE" w:rsidRDefault="00944B8F" w:rsidP="00740A74">
            <w:pPr>
              <w:numPr>
                <w:ilvl w:val="12"/>
                <w:numId w:val="0"/>
              </w:numPr>
              <w:tabs>
                <w:tab w:val="clear" w:pos="562"/>
              </w:tabs>
              <w:ind w:right="-2"/>
            </w:pPr>
            <w:r w:rsidRPr="001E71EE">
              <w:rPr>
                <w:b/>
              </w:rPr>
              <w:t>Notes</w:t>
            </w:r>
          </w:p>
        </w:tc>
      </w:tr>
      <w:tr w:rsidR="00C6578C" w14:paraId="7B94CCF0" w14:textId="77777777" w:rsidTr="00740A74">
        <w:tc>
          <w:tcPr>
            <w:tcW w:w="3095" w:type="dxa"/>
          </w:tcPr>
          <w:p w14:paraId="43A181CF" w14:textId="77777777" w:rsidR="00B05E81" w:rsidRPr="001E71EE" w:rsidRDefault="00944B8F" w:rsidP="00740A74">
            <w:pPr>
              <w:numPr>
                <w:ilvl w:val="12"/>
                <w:numId w:val="0"/>
              </w:numPr>
              <w:tabs>
                <w:tab w:val="clear" w:pos="562"/>
              </w:tabs>
              <w:ind w:right="-2"/>
            </w:pPr>
            <w:r w:rsidRPr="001E71EE">
              <w:t>Children, adolescents and adults from 6 years of age weighing 30 kg or more</w:t>
            </w:r>
          </w:p>
        </w:tc>
        <w:tc>
          <w:tcPr>
            <w:tcW w:w="3096" w:type="dxa"/>
          </w:tcPr>
          <w:p w14:paraId="25FDB24D" w14:textId="77777777" w:rsidR="00B05E81" w:rsidRPr="001E71EE" w:rsidRDefault="00944B8F" w:rsidP="00740A74">
            <w:pPr>
              <w:numPr>
                <w:ilvl w:val="12"/>
                <w:numId w:val="0"/>
              </w:numPr>
              <w:tabs>
                <w:tab w:val="clear" w:pos="562"/>
              </w:tabs>
              <w:ind w:right="-2"/>
            </w:pPr>
            <w:r w:rsidRPr="001E71EE">
              <w:t xml:space="preserve">40 mg every other week </w:t>
            </w:r>
          </w:p>
        </w:tc>
        <w:tc>
          <w:tcPr>
            <w:tcW w:w="3096" w:type="dxa"/>
          </w:tcPr>
          <w:p w14:paraId="10ADEE1F" w14:textId="77777777" w:rsidR="00B05E81" w:rsidRPr="001E71EE" w:rsidRDefault="00944B8F" w:rsidP="00740A74">
            <w:pPr>
              <w:numPr>
                <w:ilvl w:val="12"/>
                <w:numId w:val="0"/>
              </w:numPr>
              <w:tabs>
                <w:tab w:val="clear" w:pos="562"/>
              </w:tabs>
              <w:ind w:right="-2"/>
            </w:pPr>
            <w:r w:rsidRPr="001E71EE">
              <w:t>Not applicable</w:t>
            </w:r>
          </w:p>
        </w:tc>
      </w:tr>
      <w:tr w:rsidR="00C6578C" w14:paraId="0F97C4ED" w14:textId="77777777" w:rsidTr="00740A74">
        <w:tc>
          <w:tcPr>
            <w:tcW w:w="3095" w:type="dxa"/>
          </w:tcPr>
          <w:p w14:paraId="1686FD70" w14:textId="77777777" w:rsidR="00B05E81" w:rsidRPr="001E71EE" w:rsidRDefault="00944B8F" w:rsidP="00740A74">
            <w:pPr>
              <w:numPr>
                <w:ilvl w:val="12"/>
                <w:numId w:val="0"/>
              </w:numPr>
              <w:tabs>
                <w:tab w:val="clear" w:pos="562"/>
              </w:tabs>
              <w:ind w:right="-2"/>
            </w:pPr>
            <w:r w:rsidRPr="001E71EE">
              <w:t>Children and adolescents from 6 years of age weighing 15 kg to less than 30 kg</w:t>
            </w:r>
          </w:p>
        </w:tc>
        <w:tc>
          <w:tcPr>
            <w:tcW w:w="3096" w:type="dxa"/>
          </w:tcPr>
          <w:p w14:paraId="53B57B0B" w14:textId="77777777" w:rsidR="00B05E81" w:rsidRPr="001E71EE" w:rsidRDefault="00944B8F" w:rsidP="00740A74">
            <w:pPr>
              <w:numPr>
                <w:ilvl w:val="12"/>
                <w:numId w:val="0"/>
              </w:numPr>
              <w:tabs>
                <w:tab w:val="clear" w:pos="562"/>
              </w:tabs>
              <w:ind w:right="-2"/>
            </w:pPr>
            <w:r w:rsidRPr="001E71EE">
              <w:t>20 mg every other week</w:t>
            </w:r>
          </w:p>
        </w:tc>
        <w:tc>
          <w:tcPr>
            <w:tcW w:w="3096" w:type="dxa"/>
          </w:tcPr>
          <w:p w14:paraId="743E282A" w14:textId="77777777" w:rsidR="00B05E81" w:rsidRPr="001E71EE" w:rsidRDefault="00944B8F" w:rsidP="00740A74">
            <w:pPr>
              <w:numPr>
                <w:ilvl w:val="12"/>
                <w:numId w:val="0"/>
              </w:numPr>
              <w:tabs>
                <w:tab w:val="clear" w:pos="562"/>
              </w:tabs>
              <w:ind w:right="-2"/>
            </w:pPr>
            <w:r w:rsidRPr="001E71EE">
              <w:t>Not applicable</w:t>
            </w:r>
          </w:p>
        </w:tc>
      </w:tr>
    </w:tbl>
    <w:p w14:paraId="4C6A80B4" w14:textId="77777777" w:rsidR="00B05E81" w:rsidRPr="001E71EE" w:rsidRDefault="00B05E81" w:rsidP="00B05E81">
      <w:pPr>
        <w:numPr>
          <w:ilvl w:val="12"/>
          <w:numId w:val="0"/>
        </w:numPr>
        <w:tabs>
          <w:tab w:val="clear" w:pos="562"/>
        </w:tabs>
        <w:ind w:right="-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020C2F77" w14:textId="77777777" w:rsidTr="00740A74">
        <w:tc>
          <w:tcPr>
            <w:tcW w:w="9287" w:type="dxa"/>
            <w:gridSpan w:val="3"/>
          </w:tcPr>
          <w:p w14:paraId="2CD8539B" w14:textId="77777777" w:rsidR="00B05E81" w:rsidRPr="001E71EE" w:rsidRDefault="00944B8F" w:rsidP="00740A74">
            <w:pPr>
              <w:keepNext/>
              <w:numPr>
                <w:ilvl w:val="12"/>
                <w:numId w:val="0"/>
              </w:numPr>
              <w:tabs>
                <w:tab w:val="clear" w:pos="562"/>
              </w:tabs>
              <w:ind w:right="-2"/>
            </w:pPr>
            <w:r w:rsidRPr="001E71EE">
              <w:rPr>
                <w:b/>
              </w:rPr>
              <w:t>Plaque psoriasis</w:t>
            </w:r>
          </w:p>
        </w:tc>
      </w:tr>
      <w:tr w:rsidR="00C6578C" w14:paraId="394C1D75" w14:textId="77777777" w:rsidTr="00740A74">
        <w:tc>
          <w:tcPr>
            <w:tcW w:w="3095" w:type="dxa"/>
          </w:tcPr>
          <w:p w14:paraId="288586A7" w14:textId="77777777" w:rsidR="00B05E81" w:rsidRPr="001E71EE" w:rsidRDefault="00944B8F" w:rsidP="00740A74">
            <w:pPr>
              <w:numPr>
                <w:ilvl w:val="12"/>
                <w:numId w:val="0"/>
              </w:numPr>
              <w:tabs>
                <w:tab w:val="clear" w:pos="562"/>
              </w:tabs>
              <w:ind w:right="-2"/>
            </w:pPr>
            <w:r w:rsidRPr="001E71EE">
              <w:rPr>
                <w:b/>
              </w:rPr>
              <w:t>Age or body weight</w:t>
            </w:r>
          </w:p>
        </w:tc>
        <w:tc>
          <w:tcPr>
            <w:tcW w:w="3096" w:type="dxa"/>
          </w:tcPr>
          <w:p w14:paraId="258B84C5" w14:textId="77777777" w:rsidR="00B05E81" w:rsidRPr="001E71EE" w:rsidRDefault="00944B8F" w:rsidP="00740A74">
            <w:pPr>
              <w:numPr>
                <w:ilvl w:val="12"/>
                <w:numId w:val="0"/>
              </w:numPr>
              <w:tabs>
                <w:tab w:val="clear" w:pos="562"/>
              </w:tabs>
              <w:ind w:right="-2"/>
            </w:pPr>
            <w:r w:rsidRPr="001E71EE">
              <w:rPr>
                <w:b/>
              </w:rPr>
              <w:t>How much and how often to take?</w:t>
            </w:r>
          </w:p>
        </w:tc>
        <w:tc>
          <w:tcPr>
            <w:tcW w:w="3096" w:type="dxa"/>
          </w:tcPr>
          <w:p w14:paraId="74714AB6" w14:textId="77777777" w:rsidR="00B05E81" w:rsidRPr="001E71EE" w:rsidRDefault="00944B8F" w:rsidP="00740A74">
            <w:pPr>
              <w:keepNext/>
              <w:numPr>
                <w:ilvl w:val="12"/>
                <w:numId w:val="0"/>
              </w:numPr>
              <w:tabs>
                <w:tab w:val="clear" w:pos="562"/>
              </w:tabs>
              <w:ind w:right="-2"/>
            </w:pPr>
            <w:r w:rsidRPr="001E71EE">
              <w:rPr>
                <w:b/>
              </w:rPr>
              <w:t>Notes</w:t>
            </w:r>
          </w:p>
        </w:tc>
      </w:tr>
      <w:tr w:rsidR="00C6578C" w14:paraId="49AB47AB" w14:textId="77777777" w:rsidTr="00740A74">
        <w:tc>
          <w:tcPr>
            <w:tcW w:w="3095" w:type="dxa"/>
          </w:tcPr>
          <w:p w14:paraId="3812D65D" w14:textId="77777777" w:rsidR="00B05E81" w:rsidRPr="001E71EE" w:rsidRDefault="00944B8F" w:rsidP="00740A74">
            <w:pPr>
              <w:numPr>
                <w:ilvl w:val="12"/>
                <w:numId w:val="0"/>
              </w:numPr>
              <w:tabs>
                <w:tab w:val="clear" w:pos="562"/>
              </w:tabs>
              <w:ind w:right="-2"/>
            </w:pPr>
            <w:r w:rsidRPr="001E71EE">
              <w:lastRenderedPageBreak/>
              <w:t xml:space="preserve">Adults </w:t>
            </w:r>
          </w:p>
          <w:p w14:paraId="45B684DA" w14:textId="77777777" w:rsidR="00B05E81" w:rsidRPr="001E71EE" w:rsidRDefault="00B05E81" w:rsidP="00740A74">
            <w:pPr>
              <w:numPr>
                <w:ilvl w:val="12"/>
                <w:numId w:val="0"/>
              </w:numPr>
              <w:tabs>
                <w:tab w:val="clear" w:pos="562"/>
              </w:tabs>
              <w:ind w:right="-2"/>
            </w:pPr>
          </w:p>
        </w:tc>
        <w:tc>
          <w:tcPr>
            <w:tcW w:w="3096" w:type="dxa"/>
          </w:tcPr>
          <w:p w14:paraId="06137B96" w14:textId="77777777" w:rsidR="00B05E81" w:rsidRPr="001E71EE" w:rsidRDefault="00944B8F" w:rsidP="00740A74">
            <w:pPr>
              <w:numPr>
                <w:ilvl w:val="12"/>
                <w:numId w:val="0"/>
              </w:numPr>
              <w:tabs>
                <w:tab w:val="clear" w:pos="562"/>
              </w:tabs>
            </w:pPr>
            <w:r w:rsidRPr="001E71EE">
              <w:t>First dose of 80 mg (two 40 mg injections in one day), followed by 40 mg every other week starting one week after the first dose.</w:t>
            </w:r>
          </w:p>
        </w:tc>
        <w:tc>
          <w:tcPr>
            <w:tcW w:w="3096" w:type="dxa"/>
          </w:tcPr>
          <w:p w14:paraId="3478DB8C" w14:textId="77777777" w:rsidR="00B05E81" w:rsidRPr="001E71EE" w:rsidRDefault="00944B8F" w:rsidP="00740A74">
            <w:r w:rsidRPr="001E71EE">
              <w:t xml:space="preserve">If you have an inadequate response, your doctor may increase the </w:t>
            </w:r>
            <w:r>
              <w:t>dosage</w:t>
            </w:r>
            <w:r w:rsidR="00F337C0">
              <w:t xml:space="preserve"> </w:t>
            </w:r>
            <w:r w:rsidRPr="001E71EE">
              <w:t>to 40 mg every week</w:t>
            </w:r>
            <w:r>
              <w:t xml:space="preserve"> or 80 mg every other week</w:t>
            </w:r>
            <w:r w:rsidRPr="001E71EE">
              <w:t>.</w:t>
            </w:r>
          </w:p>
          <w:p w14:paraId="1B8B4A3A" w14:textId="77777777" w:rsidR="00B05E81" w:rsidRPr="001E71EE" w:rsidRDefault="00B05E81" w:rsidP="00740A74">
            <w:pPr>
              <w:numPr>
                <w:ilvl w:val="12"/>
                <w:numId w:val="0"/>
              </w:numPr>
              <w:tabs>
                <w:tab w:val="clear" w:pos="562"/>
              </w:tabs>
              <w:ind w:right="-2"/>
            </w:pPr>
          </w:p>
        </w:tc>
      </w:tr>
      <w:tr w:rsidR="00C6578C" w14:paraId="621B37FE" w14:textId="77777777" w:rsidTr="00740A74">
        <w:tc>
          <w:tcPr>
            <w:tcW w:w="3095" w:type="dxa"/>
          </w:tcPr>
          <w:p w14:paraId="4AE95897" w14:textId="77777777" w:rsidR="00B05E81" w:rsidRPr="001E71EE" w:rsidRDefault="00944B8F" w:rsidP="00740A74">
            <w:pPr>
              <w:numPr>
                <w:ilvl w:val="12"/>
                <w:numId w:val="0"/>
              </w:numPr>
              <w:tabs>
                <w:tab w:val="clear" w:pos="562"/>
              </w:tabs>
              <w:ind w:right="-2"/>
            </w:pPr>
            <w:r w:rsidRPr="001E71EE">
              <w:t>Children and adolescents from 4 to 17 years of age weighing 30 kg or more</w:t>
            </w:r>
          </w:p>
        </w:tc>
        <w:tc>
          <w:tcPr>
            <w:tcW w:w="3096" w:type="dxa"/>
          </w:tcPr>
          <w:p w14:paraId="74F88127" w14:textId="77777777" w:rsidR="00B05E81" w:rsidRPr="001E71EE" w:rsidRDefault="00944B8F" w:rsidP="00740A74">
            <w:pPr>
              <w:numPr>
                <w:ilvl w:val="12"/>
                <w:numId w:val="0"/>
              </w:numPr>
              <w:tabs>
                <w:tab w:val="clear" w:pos="562"/>
                <w:tab w:val="left" w:pos="720"/>
              </w:tabs>
            </w:pPr>
            <w:r w:rsidRPr="001E71EE">
              <w:t>First dose of 40 mg, followed by 40 mg one week later.</w:t>
            </w:r>
          </w:p>
          <w:p w14:paraId="7C7FAF5F" w14:textId="77777777" w:rsidR="00B05E81" w:rsidRPr="001E71EE" w:rsidRDefault="00B05E81" w:rsidP="00740A74">
            <w:pPr>
              <w:numPr>
                <w:ilvl w:val="12"/>
                <w:numId w:val="0"/>
              </w:numPr>
              <w:tabs>
                <w:tab w:val="clear" w:pos="562"/>
                <w:tab w:val="left" w:pos="720"/>
              </w:tabs>
            </w:pPr>
          </w:p>
          <w:p w14:paraId="4977D99B" w14:textId="77777777" w:rsidR="00B05E81" w:rsidRPr="001E71EE" w:rsidRDefault="00944B8F" w:rsidP="00740A74">
            <w:pPr>
              <w:numPr>
                <w:ilvl w:val="12"/>
                <w:numId w:val="0"/>
              </w:numPr>
              <w:tabs>
                <w:tab w:val="clear" w:pos="562"/>
              </w:tabs>
            </w:pPr>
            <w:r w:rsidRPr="001E71EE">
              <w:t>Thereafter, the usual dose is 40 mg every other week.</w:t>
            </w:r>
          </w:p>
        </w:tc>
        <w:tc>
          <w:tcPr>
            <w:tcW w:w="3096" w:type="dxa"/>
          </w:tcPr>
          <w:p w14:paraId="15E3E029" w14:textId="77777777" w:rsidR="00B05E81" w:rsidRPr="001E71EE" w:rsidRDefault="00944B8F" w:rsidP="00740A74">
            <w:pPr>
              <w:numPr>
                <w:ilvl w:val="12"/>
                <w:numId w:val="0"/>
              </w:numPr>
              <w:tabs>
                <w:tab w:val="clear" w:pos="562"/>
              </w:tabs>
              <w:ind w:right="-2"/>
            </w:pPr>
            <w:r w:rsidRPr="001E71EE">
              <w:t>Not applicable</w:t>
            </w:r>
          </w:p>
        </w:tc>
      </w:tr>
      <w:tr w:rsidR="00C6578C" w14:paraId="743BF8BF" w14:textId="77777777" w:rsidTr="00740A74">
        <w:tc>
          <w:tcPr>
            <w:tcW w:w="3095" w:type="dxa"/>
            <w:tcBorders>
              <w:top w:val="single" w:sz="4" w:space="0" w:color="auto"/>
              <w:left w:val="single" w:sz="4" w:space="0" w:color="auto"/>
              <w:bottom w:val="single" w:sz="4" w:space="0" w:color="auto"/>
              <w:right w:val="single" w:sz="4" w:space="0" w:color="auto"/>
            </w:tcBorders>
            <w:hideMark/>
          </w:tcPr>
          <w:p w14:paraId="494006D4" w14:textId="77777777" w:rsidR="00B05E81" w:rsidRPr="001E71EE" w:rsidRDefault="00944B8F" w:rsidP="00740A74">
            <w:pPr>
              <w:keepNext/>
              <w:numPr>
                <w:ilvl w:val="12"/>
                <w:numId w:val="0"/>
              </w:numPr>
              <w:tabs>
                <w:tab w:val="clear" w:pos="562"/>
                <w:tab w:val="left" w:pos="720"/>
              </w:tabs>
              <w:ind w:right="-2"/>
            </w:pPr>
            <w:r w:rsidRPr="001E71EE">
              <w:t>Children and adolescents from 4 to 17 years of age weighing 15 kg to less than 30 kg</w:t>
            </w:r>
          </w:p>
        </w:tc>
        <w:tc>
          <w:tcPr>
            <w:tcW w:w="3096" w:type="dxa"/>
            <w:tcBorders>
              <w:top w:val="single" w:sz="4" w:space="0" w:color="auto"/>
              <w:left w:val="single" w:sz="4" w:space="0" w:color="auto"/>
              <w:bottom w:val="single" w:sz="4" w:space="0" w:color="auto"/>
              <w:right w:val="single" w:sz="4" w:space="0" w:color="auto"/>
            </w:tcBorders>
          </w:tcPr>
          <w:p w14:paraId="3852E103" w14:textId="77777777" w:rsidR="00B05E81" w:rsidRPr="001E71EE" w:rsidRDefault="00944B8F" w:rsidP="00740A74">
            <w:pPr>
              <w:keepNext/>
              <w:numPr>
                <w:ilvl w:val="12"/>
                <w:numId w:val="0"/>
              </w:numPr>
              <w:tabs>
                <w:tab w:val="clear" w:pos="562"/>
                <w:tab w:val="left" w:pos="720"/>
              </w:tabs>
            </w:pPr>
            <w:r w:rsidRPr="001E71EE">
              <w:t>First dose of 20 mg, followed by 20 mg one week later.</w:t>
            </w:r>
          </w:p>
          <w:p w14:paraId="5E8EFC71" w14:textId="77777777" w:rsidR="00B05E81" w:rsidRPr="001E71EE" w:rsidRDefault="00B05E81" w:rsidP="00740A74">
            <w:pPr>
              <w:keepNext/>
              <w:numPr>
                <w:ilvl w:val="12"/>
                <w:numId w:val="0"/>
              </w:numPr>
              <w:tabs>
                <w:tab w:val="clear" w:pos="562"/>
                <w:tab w:val="left" w:pos="720"/>
              </w:tabs>
            </w:pPr>
          </w:p>
          <w:p w14:paraId="2E77586A" w14:textId="77777777" w:rsidR="00B05E81" w:rsidRPr="001E71EE" w:rsidRDefault="00944B8F" w:rsidP="00740A74">
            <w:pPr>
              <w:keepNext/>
              <w:numPr>
                <w:ilvl w:val="12"/>
                <w:numId w:val="0"/>
              </w:numPr>
              <w:tabs>
                <w:tab w:val="clear" w:pos="562"/>
                <w:tab w:val="left" w:pos="720"/>
              </w:tabs>
            </w:pPr>
            <w:r w:rsidRPr="001E71EE">
              <w:t>Thereafter, the usual dose is 20 mg every other week.</w:t>
            </w:r>
          </w:p>
        </w:tc>
        <w:tc>
          <w:tcPr>
            <w:tcW w:w="3096" w:type="dxa"/>
            <w:tcBorders>
              <w:top w:val="single" w:sz="4" w:space="0" w:color="auto"/>
              <w:left w:val="single" w:sz="4" w:space="0" w:color="auto"/>
              <w:bottom w:val="single" w:sz="4" w:space="0" w:color="auto"/>
              <w:right w:val="single" w:sz="4" w:space="0" w:color="auto"/>
            </w:tcBorders>
          </w:tcPr>
          <w:p w14:paraId="33879A6C" w14:textId="77777777" w:rsidR="00B05E81" w:rsidRPr="001E71EE" w:rsidRDefault="00944B8F" w:rsidP="00740A74">
            <w:pPr>
              <w:keepNext/>
              <w:numPr>
                <w:ilvl w:val="12"/>
                <w:numId w:val="0"/>
              </w:numPr>
              <w:tabs>
                <w:tab w:val="clear" w:pos="562"/>
                <w:tab w:val="left" w:pos="720"/>
              </w:tabs>
              <w:ind w:right="-2"/>
            </w:pPr>
            <w:r w:rsidRPr="001E71EE">
              <w:t>Not applicable</w:t>
            </w:r>
          </w:p>
        </w:tc>
      </w:tr>
    </w:tbl>
    <w:p w14:paraId="3BC2BD95" w14:textId="77777777" w:rsidR="00B05E81" w:rsidRPr="001E71EE" w:rsidRDefault="00B05E81" w:rsidP="00B05E81">
      <w:pPr>
        <w:numPr>
          <w:ilvl w:val="12"/>
          <w:numId w:val="0"/>
        </w:numPr>
        <w:tabs>
          <w:tab w:val="clear" w:pos="562"/>
        </w:tabs>
        <w:ind w:right="-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65EE248E" w14:textId="77777777" w:rsidTr="00740A74">
        <w:tc>
          <w:tcPr>
            <w:tcW w:w="9287" w:type="dxa"/>
            <w:gridSpan w:val="3"/>
          </w:tcPr>
          <w:p w14:paraId="38EFE342" w14:textId="77777777" w:rsidR="00B05E81" w:rsidRPr="001E71EE" w:rsidRDefault="00944B8F" w:rsidP="00740A74">
            <w:pPr>
              <w:keepNext/>
              <w:numPr>
                <w:ilvl w:val="12"/>
                <w:numId w:val="0"/>
              </w:numPr>
              <w:tabs>
                <w:tab w:val="clear" w:pos="562"/>
              </w:tabs>
              <w:ind w:right="-2"/>
              <w:rPr>
                <w:b/>
              </w:rPr>
            </w:pPr>
            <w:r w:rsidRPr="001E71EE">
              <w:rPr>
                <w:b/>
              </w:rPr>
              <w:t>Hidradenitis suppurativa</w:t>
            </w:r>
          </w:p>
        </w:tc>
      </w:tr>
      <w:tr w:rsidR="00C6578C" w14:paraId="2B56F542" w14:textId="77777777" w:rsidTr="00740A74">
        <w:tc>
          <w:tcPr>
            <w:tcW w:w="3095" w:type="dxa"/>
          </w:tcPr>
          <w:p w14:paraId="7BFD43A8" w14:textId="77777777" w:rsidR="00B05E81" w:rsidRPr="001E71EE" w:rsidRDefault="00944B8F" w:rsidP="00740A74">
            <w:pPr>
              <w:keepNext/>
              <w:numPr>
                <w:ilvl w:val="12"/>
                <w:numId w:val="0"/>
              </w:numPr>
              <w:tabs>
                <w:tab w:val="clear" w:pos="562"/>
              </w:tabs>
              <w:ind w:right="-2"/>
            </w:pPr>
            <w:r w:rsidRPr="001E71EE">
              <w:rPr>
                <w:b/>
              </w:rPr>
              <w:t>Age or body weight</w:t>
            </w:r>
          </w:p>
        </w:tc>
        <w:tc>
          <w:tcPr>
            <w:tcW w:w="3096" w:type="dxa"/>
          </w:tcPr>
          <w:p w14:paraId="3E198FB3" w14:textId="77777777" w:rsidR="00B05E81" w:rsidRPr="001E71EE" w:rsidRDefault="00944B8F" w:rsidP="00740A74">
            <w:pPr>
              <w:keepNext/>
              <w:numPr>
                <w:ilvl w:val="12"/>
                <w:numId w:val="0"/>
              </w:numPr>
              <w:tabs>
                <w:tab w:val="clear" w:pos="562"/>
              </w:tabs>
              <w:ind w:right="-2"/>
            </w:pPr>
            <w:r w:rsidRPr="001E71EE">
              <w:rPr>
                <w:b/>
              </w:rPr>
              <w:t>How much and how often to take?</w:t>
            </w:r>
          </w:p>
        </w:tc>
        <w:tc>
          <w:tcPr>
            <w:tcW w:w="3096" w:type="dxa"/>
          </w:tcPr>
          <w:p w14:paraId="75AA8FAE" w14:textId="77777777" w:rsidR="00B05E81" w:rsidRPr="001E71EE" w:rsidRDefault="00944B8F" w:rsidP="00740A74">
            <w:pPr>
              <w:keepNext/>
              <w:numPr>
                <w:ilvl w:val="12"/>
                <w:numId w:val="0"/>
              </w:numPr>
              <w:tabs>
                <w:tab w:val="clear" w:pos="562"/>
              </w:tabs>
              <w:ind w:right="-2"/>
            </w:pPr>
            <w:r w:rsidRPr="001E71EE">
              <w:rPr>
                <w:b/>
              </w:rPr>
              <w:t>Notes</w:t>
            </w:r>
          </w:p>
        </w:tc>
      </w:tr>
      <w:tr w:rsidR="00C6578C" w14:paraId="7576924C" w14:textId="77777777" w:rsidTr="00740A74">
        <w:tc>
          <w:tcPr>
            <w:tcW w:w="3095" w:type="dxa"/>
          </w:tcPr>
          <w:p w14:paraId="420B9FF2" w14:textId="77777777" w:rsidR="00B05E81" w:rsidRPr="001E71EE" w:rsidRDefault="00944B8F" w:rsidP="00740A74">
            <w:pPr>
              <w:keepNext/>
              <w:numPr>
                <w:ilvl w:val="12"/>
                <w:numId w:val="0"/>
              </w:numPr>
              <w:tabs>
                <w:tab w:val="clear" w:pos="562"/>
              </w:tabs>
              <w:ind w:right="-2"/>
            </w:pPr>
            <w:r w:rsidRPr="001E71EE">
              <w:t xml:space="preserve">Adults </w:t>
            </w:r>
          </w:p>
        </w:tc>
        <w:tc>
          <w:tcPr>
            <w:tcW w:w="3096" w:type="dxa"/>
          </w:tcPr>
          <w:p w14:paraId="5303DEE1" w14:textId="77777777" w:rsidR="00B05E81" w:rsidRPr="001E71EE" w:rsidRDefault="00944B8F" w:rsidP="00740A74">
            <w:pPr>
              <w:keepNext/>
              <w:numPr>
                <w:ilvl w:val="12"/>
                <w:numId w:val="0"/>
              </w:numPr>
              <w:tabs>
                <w:tab w:val="clear" w:pos="562"/>
              </w:tabs>
              <w:ind w:right="-2"/>
            </w:pPr>
            <w:r w:rsidRPr="001E71EE">
              <w:rPr>
                <w:szCs w:val="22"/>
              </w:rPr>
              <w:t>First dose of 160 mg (four 40 mg injections in one day or two 40 mg injections per day for two consecutive days), followed by an 80 mg dose (two 40 mg injections in one day) two weeks later. After two further weeks, continue with a dose of 40 mg every week</w:t>
            </w:r>
            <w:r>
              <w:rPr>
                <w:szCs w:val="22"/>
              </w:rPr>
              <w:t xml:space="preserve"> or 80 mg every other week, as prescribed by your doctor</w:t>
            </w:r>
            <w:r w:rsidRPr="001E71EE">
              <w:rPr>
                <w:szCs w:val="22"/>
              </w:rPr>
              <w:t xml:space="preserve">.  </w:t>
            </w:r>
          </w:p>
        </w:tc>
        <w:tc>
          <w:tcPr>
            <w:tcW w:w="3096" w:type="dxa"/>
          </w:tcPr>
          <w:p w14:paraId="568A4104" w14:textId="77777777" w:rsidR="00B05E81" w:rsidRPr="001E71EE" w:rsidRDefault="00944B8F" w:rsidP="00740A74">
            <w:pPr>
              <w:keepNext/>
              <w:tabs>
                <w:tab w:val="clear" w:pos="562"/>
              </w:tabs>
              <w:suppressAutoHyphens w:val="0"/>
              <w:rPr>
                <w:szCs w:val="22"/>
              </w:rPr>
            </w:pPr>
            <w:r w:rsidRPr="001E71EE">
              <w:rPr>
                <w:szCs w:val="22"/>
              </w:rPr>
              <w:t>It is recommended that you use an antiseptic wash daily on the affected areas.</w:t>
            </w:r>
          </w:p>
          <w:p w14:paraId="10ED2A25" w14:textId="77777777" w:rsidR="00B05E81" w:rsidRPr="001E71EE" w:rsidRDefault="00B05E81" w:rsidP="00740A74">
            <w:pPr>
              <w:keepNext/>
              <w:numPr>
                <w:ilvl w:val="12"/>
                <w:numId w:val="0"/>
              </w:numPr>
              <w:tabs>
                <w:tab w:val="clear" w:pos="562"/>
              </w:tabs>
              <w:ind w:right="-2"/>
            </w:pPr>
          </w:p>
        </w:tc>
      </w:tr>
      <w:tr w:rsidR="00C6578C" w14:paraId="434E41A3" w14:textId="77777777" w:rsidTr="00740A74">
        <w:tc>
          <w:tcPr>
            <w:tcW w:w="3095" w:type="dxa"/>
          </w:tcPr>
          <w:p w14:paraId="60D76B0A" w14:textId="77777777" w:rsidR="00B05E81" w:rsidRPr="001E71EE" w:rsidRDefault="00944B8F" w:rsidP="00740A74">
            <w:pPr>
              <w:numPr>
                <w:ilvl w:val="12"/>
                <w:numId w:val="0"/>
              </w:numPr>
              <w:tabs>
                <w:tab w:val="clear" w:pos="562"/>
              </w:tabs>
              <w:ind w:right="-2"/>
              <w:rPr>
                <w:b/>
              </w:rPr>
            </w:pPr>
            <w:r w:rsidRPr="001E71EE">
              <w:rPr>
                <w:szCs w:val="22"/>
              </w:rPr>
              <w:t>Adolescents from 12 to 17 years of age weighing 30 kg or more</w:t>
            </w:r>
          </w:p>
        </w:tc>
        <w:tc>
          <w:tcPr>
            <w:tcW w:w="3096" w:type="dxa"/>
          </w:tcPr>
          <w:p w14:paraId="43323B2B" w14:textId="77777777" w:rsidR="00B05E81" w:rsidRPr="001E71EE" w:rsidRDefault="00944B8F" w:rsidP="00740A74">
            <w:pPr>
              <w:numPr>
                <w:ilvl w:val="12"/>
                <w:numId w:val="0"/>
              </w:numPr>
              <w:tabs>
                <w:tab w:val="clear" w:pos="562"/>
              </w:tabs>
              <w:ind w:right="-2"/>
              <w:rPr>
                <w:szCs w:val="22"/>
              </w:rPr>
            </w:pPr>
            <w:r w:rsidRPr="001E71EE">
              <w:rPr>
                <w:szCs w:val="22"/>
              </w:rPr>
              <w:t xml:space="preserve">First dose of 80 mg (two 40 mg injections in one day), followed by 40 mg every other week starting one week later.  </w:t>
            </w:r>
          </w:p>
        </w:tc>
        <w:tc>
          <w:tcPr>
            <w:tcW w:w="3096" w:type="dxa"/>
          </w:tcPr>
          <w:p w14:paraId="7914C6F8" w14:textId="77777777" w:rsidR="00B05E81" w:rsidRPr="001E71EE" w:rsidRDefault="00944B8F" w:rsidP="00740A74">
            <w:pPr>
              <w:tabs>
                <w:tab w:val="clear" w:pos="562"/>
              </w:tabs>
              <w:suppressAutoHyphens w:val="0"/>
              <w:rPr>
                <w:szCs w:val="22"/>
              </w:rPr>
            </w:pPr>
            <w:r w:rsidRPr="001E71EE">
              <w:rPr>
                <w:szCs w:val="22"/>
              </w:rPr>
              <w:t>If you have an inadequate response</w:t>
            </w:r>
            <w:r>
              <w:rPr>
                <w:szCs w:val="22"/>
              </w:rPr>
              <w:t xml:space="preserve"> to Humira 40 mg every other week</w:t>
            </w:r>
            <w:r w:rsidRPr="001E71EE">
              <w:rPr>
                <w:szCs w:val="22"/>
              </w:rPr>
              <w:t xml:space="preserve">, your doctor may increase the </w:t>
            </w:r>
            <w:r>
              <w:rPr>
                <w:szCs w:val="22"/>
              </w:rPr>
              <w:t>dosage</w:t>
            </w:r>
            <w:r w:rsidRPr="001E71EE">
              <w:rPr>
                <w:szCs w:val="22"/>
              </w:rPr>
              <w:t xml:space="preserve"> to 40 mg every week </w:t>
            </w:r>
            <w:r>
              <w:rPr>
                <w:szCs w:val="22"/>
              </w:rPr>
              <w:t>or 80 mg every other week.</w:t>
            </w:r>
          </w:p>
          <w:p w14:paraId="2D221CF1" w14:textId="77777777" w:rsidR="00B05E81" w:rsidRPr="001E71EE" w:rsidRDefault="00944B8F" w:rsidP="00740A74">
            <w:pPr>
              <w:tabs>
                <w:tab w:val="clear" w:pos="562"/>
              </w:tabs>
              <w:suppressAutoHyphens w:val="0"/>
              <w:rPr>
                <w:szCs w:val="22"/>
              </w:rPr>
            </w:pPr>
            <w:r w:rsidRPr="001E71EE">
              <w:rPr>
                <w:szCs w:val="22"/>
              </w:rPr>
              <w:t>It is recommended that you use an antiseptic wash daily on the affected areas.</w:t>
            </w:r>
          </w:p>
          <w:p w14:paraId="10BD2557" w14:textId="77777777" w:rsidR="00B05E81" w:rsidRPr="001E71EE" w:rsidRDefault="00B05E81" w:rsidP="00740A74">
            <w:pPr>
              <w:tabs>
                <w:tab w:val="clear" w:pos="562"/>
              </w:tabs>
              <w:suppressAutoHyphens w:val="0"/>
              <w:rPr>
                <w:szCs w:val="22"/>
              </w:rPr>
            </w:pPr>
          </w:p>
        </w:tc>
      </w:tr>
    </w:tbl>
    <w:p w14:paraId="2C38EB8C" w14:textId="77777777" w:rsidR="00B05E81" w:rsidRPr="001E71EE" w:rsidRDefault="00B05E81" w:rsidP="00B05E81">
      <w:pPr>
        <w:numPr>
          <w:ilvl w:val="12"/>
          <w:numId w:val="0"/>
        </w:numPr>
        <w:tabs>
          <w:tab w:val="clear" w:pos="562"/>
        </w:tabs>
        <w:ind w:right="-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0ED14EF0" w14:textId="77777777" w:rsidTr="00740A74">
        <w:tc>
          <w:tcPr>
            <w:tcW w:w="9287" w:type="dxa"/>
            <w:gridSpan w:val="3"/>
          </w:tcPr>
          <w:p w14:paraId="1EB131D4" w14:textId="77777777" w:rsidR="00B05E81" w:rsidRPr="001E71EE" w:rsidRDefault="00944B8F" w:rsidP="00740A74">
            <w:pPr>
              <w:numPr>
                <w:ilvl w:val="12"/>
                <w:numId w:val="0"/>
              </w:numPr>
              <w:tabs>
                <w:tab w:val="clear" w:pos="562"/>
              </w:tabs>
              <w:ind w:right="-2"/>
            </w:pPr>
            <w:r w:rsidRPr="001E71EE">
              <w:rPr>
                <w:b/>
              </w:rPr>
              <w:t>Crohn’s disease</w:t>
            </w:r>
          </w:p>
        </w:tc>
      </w:tr>
      <w:tr w:rsidR="00C6578C" w14:paraId="6E0DBD0E" w14:textId="77777777" w:rsidTr="00740A74">
        <w:tc>
          <w:tcPr>
            <w:tcW w:w="3095" w:type="dxa"/>
          </w:tcPr>
          <w:p w14:paraId="0ECDF427" w14:textId="77777777" w:rsidR="00B05E81" w:rsidRPr="001E71EE" w:rsidRDefault="00944B8F" w:rsidP="00740A74">
            <w:pPr>
              <w:numPr>
                <w:ilvl w:val="12"/>
                <w:numId w:val="0"/>
              </w:numPr>
              <w:tabs>
                <w:tab w:val="clear" w:pos="562"/>
              </w:tabs>
              <w:ind w:right="-2"/>
            </w:pPr>
            <w:r w:rsidRPr="001E71EE">
              <w:rPr>
                <w:b/>
              </w:rPr>
              <w:t>Age or body weight</w:t>
            </w:r>
          </w:p>
        </w:tc>
        <w:tc>
          <w:tcPr>
            <w:tcW w:w="3096" w:type="dxa"/>
          </w:tcPr>
          <w:p w14:paraId="0E1C4108" w14:textId="77777777" w:rsidR="00B05E81" w:rsidRPr="001E71EE" w:rsidRDefault="00944B8F" w:rsidP="00740A74">
            <w:pPr>
              <w:numPr>
                <w:ilvl w:val="12"/>
                <w:numId w:val="0"/>
              </w:numPr>
              <w:tabs>
                <w:tab w:val="clear" w:pos="562"/>
              </w:tabs>
              <w:ind w:right="-2"/>
            </w:pPr>
            <w:r w:rsidRPr="001E71EE">
              <w:rPr>
                <w:b/>
              </w:rPr>
              <w:t>How much and how often to take?</w:t>
            </w:r>
          </w:p>
        </w:tc>
        <w:tc>
          <w:tcPr>
            <w:tcW w:w="3096" w:type="dxa"/>
          </w:tcPr>
          <w:p w14:paraId="6CF7809B" w14:textId="77777777" w:rsidR="00B05E81" w:rsidRPr="001E71EE" w:rsidRDefault="00944B8F" w:rsidP="00740A74">
            <w:pPr>
              <w:numPr>
                <w:ilvl w:val="12"/>
                <w:numId w:val="0"/>
              </w:numPr>
              <w:tabs>
                <w:tab w:val="clear" w:pos="562"/>
              </w:tabs>
              <w:ind w:right="-2"/>
            </w:pPr>
            <w:r w:rsidRPr="001E71EE">
              <w:rPr>
                <w:b/>
              </w:rPr>
              <w:t>Notes</w:t>
            </w:r>
          </w:p>
        </w:tc>
      </w:tr>
      <w:tr w:rsidR="00C6578C" w14:paraId="4FAFC0E5" w14:textId="77777777" w:rsidTr="00740A74">
        <w:tc>
          <w:tcPr>
            <w:tcW w:w="3095" w:type="dxa"/>
          </w:tcPr>
          <w:p w14:paraId="201AC0F1" w14:textId="77777777" w:rsidR="00B05E81" w:rsidRPr="001E71EE" w:rsidRDefault="00944B8F" w:rsidP="00740A74">
            <w:pPr>
              <w:numPr>
                <w:ilvl w:val="12"/>
                <w:numId w:val="0"/>
              </w:numPr>
              <w:tabs>
                <w:tab w:val="clear" w:pos="562"/>
              </w:tabs>
              <w:ind w:right="-2"/>
            </w:pPr>
            <w:r w:rsidRPr="001E71EE">
              <w:t>Children, adolescents and adults from 6 years of age weighing 40 kg or more</w:t>
            </w:r>
          </w:p>
        </w:tc>
        <w:tc>
          <w:tcPr>
            <w:tcW w:w="3096" w:type="dxa"/>
          </w:tcPr>
          <w:p w14:paraId="3D68A4F5" w14:textId="77777777" w:rsidR="00B05E81" w:rsidRPr="001E71EE" w:rsidRDefault="00944B8F" w:rsidP="00740A74">
            <w:r w:rsidRPr="001E71EE">
              <w:t>First dose of 80 mg (two 40 mg injections in one day), followed by 40 mg two weeks later.</w:t>
            </w:r>
          </w:p>
          <w:p w14:paraId="728D28D0" w14:textId="77777777" w:rsidR="00B05E81" w:rsidRPr="001E71EE" w:rsidRDefault="00B05E81" w:rsidP="00740A74"/>
          <w:p w14:paraId="2C639D4A" w14:textId="77777777" w:rsidR="00B05E81" w:rsidRPr="001E71EE" w:rsidRDefault="00944B8F" w:rsidP="00740A74">
            <w:r w:rsidRPr="001E71EE">
              <w:t xml:space="preserve">If a faster response is required, the doctor may prescribe a first dose of 160 mg (four 40 mg injections in one day or two 40 </w:t>
            </w:r>
            <w:r w:rsidRPr="001E71EE">
              <w:lastRenderedPageBreak/>
              <w:t>mg injections per day for two consecutive days), followed by 80 mg (two 40 mg injections in one day) two weeks later.</w:t>
            </w:r>
          </w:p>
          <w:p w14:paraId="0495DEC0" w14:textId="77777777" w:rsidR="00B05E81" w:rsidRPr="001E71EE" w:rsidRDefault="00B05E81" w:rsidP="00740A74"/>
          <w:p w14:paraId="048F2E71" w14:textId="77777777" w:rsidR="00B05E81" w:rsidRPr="001E71EE" w:rsidRDefault="00944B8F" w:rsidP="00740A74">
            <w:pPr>
              <w:numPr>
                <w:ilvl w:val="12"/>
                <w:numId w:val="0"/>
              </w:numPr>
              <w:tabs>
                <w:tab w:val="clear" w:pos="562"/>
              </w:tabs>
              <w:ind w:right="-2"/>
            </w:pPr>
            <w:r w:rsidRPr="001E71EE">
              <w:t>Thereafter, the usual dose is 40 mg every other week.</w:t>
            </w:r>
          </w:p>
        </w:tc>
        <w:tc>
          <w:tcPr>
            <w:tcW w:w="3096" w:type="dxa"/>
          </w:tcPr>
          <w:p w14:paraId="03F54B7E" w14:textId="77777777" w:rsidR="00B05E81" w:rsidRPr="001E71EE" w:rsidRDefault="00944B8F" w:rsidP="00740A74">
            <w:r w:rsidRPr="001E71EE">
              <w:lastRenderedPageBreak/>
              <w:t xml:space="preserve">Your doctor may increase the </w:t>
            </w:r>
            <w:r>
              <w:t>dosage</w:t>
            </w:r>
            <w:r w:rsidRPr="001E71EE">
              <w:t xml:space="preserve"> to 40 mg every week</w:t>
            </w:r>
            <w:r>
              <w:t xml:space="preserve"> or 80 mg every other week</w:t>
            </w:r>
            <w:r w:rsidRPr="001E71EE">
              <w:t>.</w:t>
            </w:r>
          </w:p>
          <w:p w14:paraId="745DDB37" w14:textId="77777777" w:rsidR="00B05E81" w:rsidRPr="001E71EE" w:rsidRDefault="00B05E81" w:rsidP="00740A74"/>
        </w:tc>
      </w:tr>
      <w:tr w:rsidR="00C6578C" w14:paraId="439C5475" w14:textId="77777777" w:rsidTr="00740A74">
        <w:tc>
          <w:tcPr>
            <w:tcW w:w="3095" w:type="dxa"/>
          </w:tcPr>
          <w:p w14:paraId="2487EB08" w14:textId="77777777" w:rsidR="00B05E81" w:rsidRPr="001E71EE" w:rsidRDefault="00944B8F" w:rsidP="00740A74">
            <w:pPr>
              <w:keepNext/>
              <w:numPr>
                <w:ilvl w:val="12"/>
                <w:numId w:val="0"/>
              </w:numPr>
              <w:tabs>
                <w:tab w:val="clear" w:pos="562"/>
              </w:tabs>
              <w:ind w:right="-2"/>
            </w:pPr>
            <w:r w:rsidRPr="001E71EE">
              <w:t>Children and adolescents from 6 to 17 years of age weighing less than 40 kg</w:t>
            </w:r>
          </w:p>
        </w:tc>
        <w:tc>
          <w:tcPr>
            <w:tcW w:w="3096" w:type="dxa"/>
          </w:tcPr>
          <w:p w14:paraId="0D506395" w14:textId="77777777" w:rsidR="00B05E81" w:rsidRPr="001E71EE" w:rsidRDefault="00944B8F" w:rsidP="00740A74">
            <w:pPr>
              <w:keepNext/>
            </w:pPr>
            <w:r w:rsidRPr="001E71EE">
              <w:t xml:space="preserve">First dose of 40 mg, followed by 20 mg two weeks later. </w:t>
            </w:r>
          </w:p>
          <w:p w14:paraId="6008FE27" w14:textId="77777777" w:rsidR="00B05E81" w:rsidRPr="001E71EE" w:rsidRDefault="00B05E81" w:rsidP="00740A74">
            <w:pPr>
              <w:keepNext/>
            </w:pPr>
          </w:p>
          <w:p w14:paraId="540B12C1" w14:textId="77777777" w:rsidR="00B05E81" w:rsidRPr="001E71EE" w:rsidRDefault="00944B8F" w:rsidP="00740A74">
            <w:pPr>
              <w:keepNext/>
            </w:pPr>
            <w:r w:rsidRPr="001E71EE">
              <w:t>If a faster response is required, the doctor may prescribe a first dose of 80 mg (two 40 mg injections in one day), followed by 40 mg two weeks later.</w:t>
            </w:r>
          </w:p>
          <w:p w14:paraId="47DB683B" w14:textId="77777777" w:rsidR="00B05E81" w:rsidRPr="001E71EE" w:rsidRDefault="00B05E81" w:rsidP="00740A74">
            <w:pPr>
              <w:keepNext/>
            </w:pPr>
          </w:p>
          <w:p w14:paraId="473A6B69" w14:textId="77777777" w:rsidR="00B05E81" w:rsidRPr="001E71EE" w:rsidRDefault="00944B8F" w:rsidP="00740A74">
            <w:pPr>
              <w:keepNext/>
              <w:numPr>
                <w:ilvl w:val="12"/>
                <w:numId w:val="0"/>
              </w:numPr>
              <w:tabs>
                <w:tab w:val="clear" w:pos="562"/>
              </w:tabs>
              <w:ind w:right="-2"/>
            </w:pPr>
            <w:r w:rsidRPr="001E71EE">
              <w:t>Thereafter, the usual dose is 20 mg every other week.</w:t>
            </w:r>
          </w:p>
        </w:tc>
        <w:tc>
          <w:tcPr>
            <w:tcW w:w="3096" w:type="dxa"/>
          </w:tcPr>
          <w:p w14:paraId="27377C07" w14:textId="77777777" w:rsidR="00B05E81" w:rsidRPr="001E71EE" w:rsidRDefault="00944B8F" w:rsidP="00740A74">
            <w:pPr>
              <w:keepNext/>
            </w:pPr>
            <w:r w:rsidRPr="001E71EE">
              <w:t>Your doctor may increase the dose frequency to 20 mg every week.</w:t>
            </w:r>
          </w:p>
          <w:p w14:paraId="169DED11" w14:textId="77777777" w:rsidR="00B05E81" w:rsidRPr="001E71EE" w:rsidRDefault="00B05E81" w:rsidP="00740A74">
            <w:pPr>
              <w:keepNext/>
              <w:numPr>
                <w:ilvl w:val="12"/>
                <w:numId w:val="0"/>
              </w:numPr>
              <w:tabs>
                <w:tab w:val="clear" w:pos="562"/>
              </w:tabs>
              <w:ind w:right="-2"/>
            </w:pPr>
          </w:p>
        </w:tc>
      </w:tr>
    </w:tbl>
    <w:p w14:paraId="5F60D795" w14:textId="77777777" w:rsidR="00B05E81" w:rsidRPr="001E71EE" w:rsidRDefault="00B05E81" w:rsidP="00B05E81">
      <w:pPr>
        <w:numPr>
          <w:ilvl w:val="12"/>
          <w:numId w:val="0"/>
        </w:numPr>
        <w:tabs>
          <w:tab w:val="clear" w:pos="562"/>
        </w:tabs>
        <w:ind w:right="-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7A70E381" w14:textId="77777777" w:rsidTr="00740A74">
        <w:tc>
          <w:tcPr>
            <w:tcW w:w="9287" w:type="dxa"/>
            <w:gridSpan w:val="3"/>
          </w:tcPr>
          <w:p w14:paraId="213B491F" w14:textId="77777777" w:rsidR="00B05E81" w:rsidRPr="001E71EE" w:rsidRDefault="00944B8F" w:rsidP="00740A74">
            <w:pPr>
              <w:numPr>
                <w:ilvl w:val="12"/>
                <w:numId w:val="0"/>
              </w:numPr>
              <w:tabs>
                <w:tab w:val="clear" w:pos="562"/>
              </w:tabs>
              <w:ind w:right="-2"/>
              <w:rPr>
                <w:b/>
              </w:rPr>
            </w:pPr>
            <w:r w:rsidRPr="001E71EE">
              <w:rPr>
                <w:b/>
                <w:szCs w:val="22"/>
              </w:rPr>
              <w:t>Ulcerative colitis</w:t>
            </w:r>
          </w:p>
        </w:tc>
      </w:tr>
      <w:tr w:rsidR="00C6578C" w14:paraId="3A77924D" w14:textId="77777777" w:rsidTr="00740A74">
        <w:tc>
          <w:tcPr>
            <w:tcW w:w="3095" w:type="dxa"/>
          </w:tcPr>
          <w:p w14:paraId="57D4C35F" w14:textId="77777777" w:rsidR="00B05E81" w:rsidRPr="001E71EE" w:rsidRDefault="00944B8F" w:rsidP="00740A74">
            <w:pPr>
              <w:numPr>
                <w:ilvl w:val="12"/>
                <w:numId w:val="0"/>
              </w:numPr>
              <w:tabs>
                <w:tab w:val="clear" w:pos="562"/>
              </w:tabs>
              <w:ind w:right="-2"/>
            </w:pPr>
            <w:r w:rsidRPr="001E71EE">
              <w:rPr>
                <w:b/>
              </w:rPr>
              <w:t>Age or body weight</w:t>
            </w:r>
          </w:p>
        </w:tc>
        <w:tc>
          <w:tcPr>
            <w:tcW w:w="3096" w:type="dxa"/>
          </w:tcPr>
          <w:p w14:paraId="185808ED" w14:textId="77777777" w:rsidR="00B05E81" w:rsidRPr="001E71EE" w:rsidRDefault="00944B8F" w:rsidP="00740A74">
            <w:pPr>
              <w:numPr>
                <w:ilvl w:val="12"/>
                <w:numId w:val="0"/>
              </w:numPr>
              <w:tabs>
                <w:tab w:val="clear" w:pos="562"/>
              </w:tabs>
              <w:ind w:right="-2"/>
            </w:pPr>
            <w:r w:rsidRPr="001E71EE">
              <w:rPr>
                <w:b/>
              </w:rPr>
              <w:t>How much and how often to take?</w:t>
            </w:r>
          </w:p>
        </w:tc>
        <w:tc>
          <w:tcPr>
            <w:tcW w:w="3096" w:type="dxa"/>
          </w:tcPr>
          <w:p w14:paraId="045B37C7" w14:textId="77777777" w:rsidR="00B05E81" w:rsidRPr="001E71EE" w:rsidRDefault="00944B8F" w:rsidP="00740A74">
            <w:pPr>
              <w:numPr>
                <w:ilvl w:val="12"/>
                <w:numId w:val="0"/>
              </w:numPr>
              <w:tabs>
                <w:tab w:val="clear" w:pos="562"/>
              </w:tabs>
              <w:ind w:right="-2"/>
            </w:pPr>
            <w:r w:rsidRPr="001E71EE">
              <w:rPr>
                <w:b/>
              </w:rPr>
              <w:t>Notes</w:t>
            </w:r>
          </w:p>
        </w:tc>
      </w:tr>
      <w:tr w:rsidR="00C6578C" w14:paraId="5D6F4FA0" w14:textId="77777777" w:rsidTr="00740A74">
        <w:tc>
          <w:tcPr>
            <w:tcW w:w="3095" w:type="dxa"/>
          </w:tcPr>
          <w:p w14:paraId="183478FB" w14:textId="77777777" w:rsidR="00B05E81" w:rsidRPr="001E71EE" w:rsidRDefault="00944B8F" w:rsidP="00740A74">
            <w:pPr>
              <w:numPr>
                <w:ilvl w:val="12"/>
                <w:numId w:val="0"/>
              </w:numPr>
              <w:tabs>
                <w:tab w:val="clear" w:pos="562"/>
              </w:tabs>
              <w:ind w:right="-2"/>
            </w:pPr>
            <w:r w:rsidRPr="001E71EE">
              <w:t>Adults</w:t>
            </w:r>
          </w:p>
        </w:tc>
        <w:tc>
          <w:tcPr>
            <w:tcW w:w="3096" w:type="dxa"/>
          </w:tcPr>
          <w:p w14:paraId="3011E2F7" w14:textId="77777777" w:rsidR="00B05E81" w:rsidRPr="001E71EE" w:rsidRDefault="00944B8F" w:rsidP="00740A74">
            <w:pPr>
              <w:numPr>
                <w:ilvl w:val="12"/>
                <w:numId w:val="0"/>
              </w:numPr>
              <w:tabs>
                <w:tab w:val="clear" w:pos="562"/>
              </w:tabs>
            </w:pPr>
            <w:r w:rsidRPr="001E71EE">
              <w:t>First dose of 160 mg (four 40 mg injections in one day or two 40 mg injections per day for two consecutive days), followed by 80 mg (two 40 mg injections in one day) two weeks later.</w:t>
            </w:r>
          </w:p>
          <w:p w14:paraId="393CF6E5" w14:textId="77777777" w:rsidR="00B05E81" w:rsidRPr="001E71EE" w:rsidRDefault="00B05E81" w:rsidP="00740A74">
            <w:pPr>
              <w:numPr>
                <w:ilvl w:val="12"/>
                <w:numId w:val="0"/>
              </w:numPr>
              <w:tabs>
                <w:tab w:val="clear" w:pos="562"/>
              </w:tabs>
            </w:pPr>
          </w:p>
          <w:p w14:paraId="72D88EDF" w14:textId="77777777" w:rsidR="00B05E81" w:rsidRPr="001E71EE" w:rsidRDefault="00944B8F" w:rsidP="00740A74">
            <w:pPr>
              <w:numPr>
                <w:ilvl w:val="12"/>
                <w:numId w:val="0"/>
              </w:numPr>
              <w:tabs>
                <w:tab w:val="clear" w:pos="562"/>
              </w:tabs>
            </w:pPr>
            <w:r w:rsidRPr="001E71EE">
              <w:t>Thereafter, the usual dose is 40 mg every other week.</w:t>
            </w:r>
          </w:p>
        </w:tc>
        <w:tc>
          <w:tcPr>
            <w:tcW w:w="3096" w:type="dxa"/>
          </w:tcPr>
          <w:p w14:paraId="78EDFF7D" w14:textId="77777777" w:rsidR="00B05E81" w:rsidRPr="001E71EE" w:rsidRDefault="00944B8F" w:rsidP="00740A74">
            <w:pPr>
              <w:numPr>
                <w:ilvl w:val="12"/>
                <w:numId w:val="0"/>
              </w:numPr>
              <w:tabs>
                <w:tab w:val="clear" w:pos="562"/>
              </w:tabs>
            </w:pPr>
            <w:r w:rsidRPr="001E71EE">
              <w:t xml:space="preserve">Your doctor may increase the </w:t>
            </w:r>
            <w:r>
              <w:t>dosage</w:t>
            </w:r>
            <w:r w:rsidRPr="001E71EE">
              <w:t xml:space="preserve"> to 40 mg every week</w:t>
            </w:r>
            <w:r>
              <w:t xml:space="preserve"> or 80 mg every other week</w:t>
            </w:r>
            <w:r w:rsidRPr="001E71EE">
              <w:t>.</w:t>
            </w:r>
          </w:p>
        </w:tc>
      </w:tr>
      <w:tr w:rsidR="00C6578C" w14:paraId="1A9A637C" w14:textId="77777777" w:rsidTr="00740A74">
        <w:tc>
          <w:tcPr>
            <w:tcW w:w="3095" w:type="dxa"/>
          </w:tcPr>
          <w:p w14:paraId="124E98A6" w14:textId="77777777" w:rsidR="000B339E" w:rsidRPr="001E71EE" w:rsidRDefault="00944B8F" w:rsidP="000B339E">
            <w:pPr>
              <w:numPr>
                <w:ilvl w:val="12"/>
                <w:numId w:val="0"/>
              </w:numPr>
              <w:tabs>
                <w:tab w:val="clear" w:pos="562"/>
              </w:tabs>
              <w:ind w:right="-2"/>
            </w:pPr>
            <w:r w:rsidRPr="005037B5">
              <w:t>Children</w:t>
            </w:r>
            <w:r w:rsidRPr="00BE5760">
              <w:t xml:space="preserve"> and adolescents from </w:t>
            </w:r>
            <w:r>
              <w:t>6</w:t>
            </w:r>
            <w:r w:rsidRPr="00BE5760">
              <w:t xml:space="preserve"> </w:t>
            </w:r>
            <w:r w:rsidRPr="006527B0">
              <w:t>years of age weighing less than 40 kg</w:t>
            </w:r>
          </w:p>
        </w:tc>
        <w:tc>
          <w:tcPr>
            <w:tcW w:w="3096" w:type="dxa"/>
          </w:tcPr>
          <w:p w14:paraId="6C42E4E1" w14:textId="77777777" w:rsidR="000B339E" w:rsidRPr="00BE5760" w:rsidRDefault="00944B8F" w:rsidP="000B339E">
            <w:pPr>
              <w:numPr>
                <w:ilvl w:val="12"/>
                <w:numId w:val="0"/>
              </w:numPr>
              <w:tabs>
                <w:tab w:val="clear" w:pos="562"/>
              </w:tabs>
            </w:pPr>
            <w:r w:rsidRPr="00DA728B">
              <w:t>First dose of 80 mg</w:t>
            </w:r>
            <w:r w:rsidRPr="005037B5">
              <w:t xml:space="preserve"> (</w:t>
            </w:r>
            <w:r>
              <w:t xml:space="preserve">two 40 mg injections </w:t>
            </w:r>
            <w:r w:rsidR="00BC576D">
              <w:t>in one</w:t>
            </w:r>
            <w:r>
              <w:t xml:space="preserve"> day</w:t>
            </w:r>
            <w:r w:rsidRPr="00BE5760">
              <w:t xml:space="preserve">), followed by 40 mg </w:t>
            </w:r>
            <w:r w:rsidR="00727BBA">
              <w:t xml:space="preserve">(one 40 mg injection) </w:t>
            </w:r>
            <w:r w:rsidRPr="00BE5760">
              <w:t>two weeks later.</w:t>
            </w:r>
          </w:p>
          <w:p w14:paraId="5D537E01" w14:textId="77777777" w:rsidR="000B339E" w:rsidRPr="00BE5760" w:rsidRDefault="000B339E" w:rsidP="000B339E">
            <w:pPr>
              <w:numPr>
                <w:ilvl w:val="12"/>
                <w:numId w:val="0"/>
              </w:numPr>
              <w:tabs>
                <w:tab w:val="clear" w:pos="562"/>
              </w:tabs>
            </w:pPr>
          </w:p>
          <w:p w14:paraId="6715C65A" w14:textId="77777777" w:rsidR="000B339E" w:rsidRPr="001E71EE" w:rsidRDefault="00944B8F" w:rsidP="000B339E">
            <w:pPr>
              <w:numPr>
                <w:ilvl w:val="12"/>
                <w:numId w:val="0"/>
              </w:numPr>
              <w:tabs>
                <w:tab w:val="clear" w:pos="562"/>
              </w:tabs>
            </w:pPr>
            <w:r w:rsidRPr="006527B0">
              <w:t>Thereafter, the usual dose is 40 mg ever</w:t>
            </w:r>
            <w:r>
              <w:t>y</w:t>
            </w:r>
            <w:r w:rsidRPr="006527B0">
              <w:t xml:space="preserve"> other week.</w:t>
            </w:r>
          </w:p>
        </w:tc>
        <w:tc>
          <w:tcPr>
            <w:tcW w:w="3096" w:type="dxa"/>
          </w:tcPr>
          <w:p w14:paraId="49674A4E" w14:textId="77777777" w:rsidR="000B339E" w:rsidRPr="001E71EE" w:rsidRDefault="00944B8F" w:rsidP="000B339E">
            <w:pPr>
              <w:numPr>
                <w:ilvl w:val="12"/>
                <w:numId w:val="0"/>
              </w:numPr>
              <w:tabs>
                <w:tab w:val="clear" w:pos="562"/>
              </w:tabs>
            </w:pPr>
            <w:r w:rsidRPr="00DF2EE5">
              <w:t>You should continue taking Humira at your usual dose, even after turning 18 years of age.</w:t>
            </w:r>
          </w:p>
        </w:tc>
      </w:tr>
      <w:tr w:rsidR="00C6578C" w14:paraId="06C616BA" w14:textId="77777777" w:rsidTr="00740A74">
        <w:tc>
          <w:tcPr>
            <w:tcW w:w="3095" w:type="dxa"/>
          </w:tcPr>
          <w:p w14:paraId="2FE75B06" w14:textId="77777777" w:rsidR="00C015AF" w:rsidRPr="005037B5" w:rsidRDefault="00944B8F" w:rsidP="00C015AF">
            <w:pPr>
              <w:numPr>
                <w:ilvl w:val="12"/>
                <w:numId w:val="0"/>
              </w:numPr>
              <w:tabs>
                <w:tab w:val="clear" w:pos="562"/>
              </w:tabs>
              <w:ind w:right="-2"/>
            </w:pPr>
            <w:r w:rsidRPr="005037B5">
              <w:t xml:space="preserve">Children and adolescents from </w:t>
            </w:r>
            <w:r>
              <w:t>6</w:t>
            </w:r>
            <w:r w:rsidRPr="005037B5">
              <w:t xml:space="preserve"> years of age weighing 40 kg or more</w:t>
            </w:r>
          </w:p>
        </w:tc>
        <w:tc>
          <w:tcPr>
            <w:tcW w:w="3096" w:type="dxa"/>
          </w:tcPr>
          <w:p w14:paraId="599BB9E3" w14:textId="77777777" w:rsidR="00C015AF" w:rsidRPr="006527B0" w:rsidRDefault="00944B8F" w:rsidP="00C015AF">
            <w:pPr>
              <w:numPr>
                <w:ilvl w:val="12"/>
                <w:numId w:val="0"/>
              </w:numPr>
              <w:tabs>
                <w:tab w:val="clear" w:pos="562"/>
              </w:tabs>
            </w:pPr>
            <w:r w:rsidRPr="005037B5">
              <w:t>First dose of 160 mg (</w:t>
            </w:r>
            <w:r w:rsidRPr="00D5591F">
              <w:t>four 40 mg injections in one day or two 40 mg injections per day for two consecutive days</w:t>
            </w:r>
            <w:r w:rsidRPr="00BE5760">
              <w:t>), followed by 80 mg (two 40 mg injections in one day) two weeks later.</w:t>
            </w:r>
          </w:p>
          <w:p w14:paraId="463728F5" w14:textId="77777777" w:rsidR="00C015AF" w:rsidRPr="006527B0" w:rsidRDefault="00C015AF" w:rsidP="00C015AF">
            <w:pPr>
              <w:numPr>
                <w:ilvl w:val="12"/>
                <w:numId w:val="0"/>
              </w:numPr>
              <w:tabs>
                <w:tab w:val="clear" w:pos="562"/>
              </w:tabs>
            </w:pPr>
          </w:p>
          <w:p w14:paraId="4D2B23A2" w14:textId="77777777" w:rsidR="00C015AF" w:rsidRPr="00DA728B" w:rsidRDefault="00944B8F" w:rsidP="00C015AF">
            <w:pPr>
              <w:numPr>
                <w:ilvl w:val="12"/>
                <w:numId w:val="0"/>
              </w:numPr>
              <w:tabs>
                <w:tab w:val="clear" w:pos="562"/>
              </w:tabs>
            </w:pPr>
            <w:r w:rsidRPr="00DA728B">
              <w:t>Thereafter, the usual dose is 80 m</w:t>
            </w:r>
            <w:r w:rsidRPr="005037B5">
              <w:t>g every other week.</w:t>
            </w:r>
          </w:p>
        </w:tc>
        <w:tc>
          <w:tcPr>
            <w:tcW w:w="3096" w:type="dxa"/>
          </w:tcPr>
          <w:p w14:paraId="0B02D585" w14:textId="77777777" w:rsidR="00C015AF" w:rsidRPr="00DF2EE5" w:rsidRDefault="00944B8F" w:rsidP="00C015AF">
            <w:pPr>
              <w:numPr>
                <w:ilvl w:val="12"/>
                <w:numId w:val="0"/>
              </w:numPr>
              <w:tabs>
                <w:tab w:val="clear" w:pos="562"/>
              </w:tabs>
            </w:pPr>
            <w:r w:rsidRPr="00DF2EE5">
              <w:t>You should continue taking Humira at your usual dose, even after turning 18 years of age.</w:t>
            </w:r>
          </w:p>
        </w:tc>
      </w:tr>
    </w:tbl>
    <w:p w14:paraId="78629504" w14:textId="77777777" w:rsidR="00B05E81" w:rsidRPr="001E71EE" w:rsidRDefault="00B05E81" w:rsidP="00B05E81">
      <w:pPr>
        <w:numPr>
          <w:ilvl w:val="12"/>
          <w:numId w:val="0"/>
        </w:numPr>
        <w:ind w:right="-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68D63793" w14:textId="77777777" w:rsidTr="00740A74">
        <w:tc>
          <w:tcPr>
            <w:tcW w:w="9287" w:type="dxa"/>
            <w:gridSpan w:val="3"/>
          </w:tcPr>
          <w:p w14:paraId="78FBA42C" w14:textId="77777777" w:rsidR="00B05E81" w:rsidRPr="001E71EE" w:rsidRDefault="00944B8F" w:rsidP="00740A74">
            <w:pPr>
              <w:keepNext/>
              <w:numPr>
                <w:ilvl w:val="12"/>
                <w:numId w:val="0"/>
              </w:numPr>
              <w:tabs>
                <w:tab w:val="clear" w:pos="562"/>
              </w:tabs>
              <w:ind w:right="-2"/>
              <w:rPr>
                <w:b/>
              </w:rPr>
            </w:pPr>
            <w:r w:rsidRPr="001E71EE">
              <w:rPr>
                <w:b/>
                <w:szCs w:val="22"/>
              </w:rPr>
              <w:lastRenderedPageBreak/>
              <w:t>Non-infectious uveitis</w:t>
            </w:r>
          </w:p>
        </w:tc>
      </w:tr>
      <w:tr w:rsidR="00C6578C" w14:paraId="73C7A1EA" w14:textId="77777777" w:rsidTr="00740A74">
        <w:tc>
          <w:tcPr>
            <w:tcW w:w="3095" w:type="dxa"/>
          </w:tcPr>
          <w:p w14:paraId="7D1EEB86" w14:textId="77777777" w:rsidR="00B05E81" w:rsidRPr="001E71EE" w:rsidRDefault="00944B8F" w:rsidP="00740A74">
            <w:pPr>
              <w:keepNext/>
              <w:numPr>
                <w:ilvl w:val="12"/>
                <w:numId w:val="0"/>
              </w:numPr>
              <w:tabs>
                <w:tab w:val="clear" w:pos="562"/>
              </w:tabs>
              <w:ind w:right="-2"/>
            </w:pPr>
            <w:r w:rsidRPr="001E71EE">
              <w:rPr>
                <w:b/>
              </w:rPr>
              <w:t>Age or body weight</w:t>
            </w:r>
          </w:p>
        </w:tc>
        <w:tc>
          <w:tcPr>
            <w:tcW w:w="3096" w:type="dxa"/>
          </w:tcPr>
          <w:p w14:paraId="263E6DD1" w14:textId="77777777" w:rsidR="00B05E81" w:rsidRPr="001E71EE" w:rsidRDefault="00944B8F" w:rsidP="00740A74">
            <w:pPr>
              <w:keepNext/>
              <w:tabs>
                <w:tab w:val="clear" w:pos="562"/>
                <w:tab w:val="left" w:pos="0"/>
              </w:tabs>
            </w:pPr>
            <w:r w:rsidRPr="001E71EE">
              <w:rPr>
                <w:b/>
              </w:rPr>
              <w:t>How much and how often to take?</w:t>
            </w:r>
          </w:p>
        </w:tc>
        <w:tc>
          <w:tcPr>
            <w:tcW w:w="3096" w:type="dxa"/>
          </w:tcPr>
          <w:p w14:paraId="4407A166" w14:textId="77777777" w:rsidR="00B05E81" w:rsidRPr="001E71EE" w:rsidRDefault="00944B8F" w:rsidP="00740A74">
            <w:pPr>
              <w:keepNext/>
              <w:numPr>
                <w:ilvl w:val="12"/>
                <w:numId w:val="0"/>
              </w:numPr>
              <w:tabs>
                <w:tab w:val="clear" w:pos="562"/>
              </w:tabs>
            </w:pPr>
            <w:r w:rsidRPr="001E71EE">
              <w:rPr>
                <w:b/>
              </w:rPr>
              <w:t>Notes</w:t>
            </w:r>
          </w:p>
        </w:tc>
      </w:tr>
      <w:tr w:rsidR="00C6578C" w14:paraId="00001C83" w14:textId="77777777" w:rsidTr="00740A74">
        <w:tc>
          <w:tcPr>
            <w:tcW w:w="3095" w:type="dxa"/>
          </w:tcPr>
          <w:p w14:paraId="4C9B825F" w14:textId="77777777" w:rsidR="00B05E81" w:rsidRPr="001E71EE" w:rsidRDefault="00944B8F" w:rsidP="00740A74">
            <w:pPr>
              <w:keepNext/>
              <w:numPr>
                <w:ilvl w:val="12"/>
                <w:numId w:val="0"/>
              </w:numPr>
              <w:tabs>
                <w:tab w:val="clear" w:pos="562"/>
              </w:tabs>
              <w:ind w:right="-2"/>
            </w:pPr>
            <w:r w:rsidRPr="001E71EE">
              <w:t>Adults</w:t>
            </w:r>
          </w:p>
        </w:tc>
        <w:tc>
          <w:tcPr>
            <w:tcW w:w="3096" w:type="dxa"/>
          </w:tcPr>
          <w:p w14:paraId="04E553CD" w14:textId="77777777" w:rsidR="00B05E81" w:rsidRPr="001E71EE" w:rsidRDefault="00944B8F" w:rsidP="00740A74">
            <w:pPr>
              <w:keepNext/>
              <w:tabs>
                <w:tab w:val="clear" w:pos="562"/>
                <w:tab w:val="left" w:pos="0"/>
              </w:tabs>
            </w:pPr>
            <w:r w:rsidRPr="001E71EE">
              <w:t>First dose of 80 mg (two 40 mg injections in one day), followed by 40 mg every other week starting one week after the first dose.</w:t>
            </w:r>
          </w:p>
        </w:tc>
        <w:tc>
          <w:tcPr>
            <w:tcW w:w="3096" w:type="dxa"/>
          </w:tcPr>
          <w:p w14:paraId="6CCC986A" w14:textId="77777777" w:rsidR="00B05E81" w:rsidRPr="001E71EE" w:rsidRDefault="00944B8F" w:rsidP="00740A74">
            <w:pPr>
              <w:keepNext/>
              <w:numPr>
                <w:ilvl w:val="12"/>
                <w:numId w:val="0"/>
              </w:numPr>
              <w:tabs>
                <w:tab w:val="clear" w:pos="562"/>
              </w:tabs>
            </w:pPr>
            <w:r w:rsidRPr="001E71EE">
              <w:t>Corticosteroids or other medicines that influence the immune system may be continued while using Humira. Humira can also be given alone.</w:t>
            </w:r>
          </w:p>
        </w:tc>
      </w:tr>
      <w:tr w:rsidR="00C6578C" w14:paraId="61999080" w14:textId="77777777" w:rsidTr="00740A74">
        <w:tc>
          <w:tcPr>
            <w:tcW w:w="3095" w:type="dxa"/>
          </w:tcPr>
          <w:p w14:paraId="1F5286C3" w14:textId="77777777" w:rsidR="00B05E81" w:rsidRPr="001E71EE" w:rsidRDefault="00944B8F" w:rsidP="00740A74">
            <w:pPr>
              <w:keepNext/>
              <w:numPr>
                <w:ilvl w:val="12"/>
                <w:numId w:val="0"/>
              </w:numPr>
              <w:tabs>
                <w:tab w:val="clear" w:pos="562"/>
              </w:tabs>
              <w:ind w:right="-2"/>
            </w:pPr>
            <w:r w:rsidRPr="001E71EE">
              <w:t>Children and adolescents from 2 years of age weighing less than 30 kg</w:t>
            </w:r>
          </w:p>
          <w:p w14:paraId="3C08B105" w14:textId="77777777" w:rsidR="00B05E81" w:rsidRPr="001E71EE" w:rsidRDefault="00B05E81" w:rsidP="00740A74">
            <w:pPr>
              <w:keepNext/>
              <w:numPr>
                <w:ilvl w:val="12"/>
                <w:numId w:val="0"/>
              </w:numPr>
              <w:tabs>
                <w:tab w:val="clear" w:pos="562"/>
              </w:tabs>
              <w:ind w:right="-2"/>
            </w:pPr>
          </w:p>
        </w:tc>
        <w:tc>
          <w:tcPr>
            <w:tcW w:w="3096" w:type="dxa"/>
          </w:tcPr>
          <w:p w14:paraId="347BEDB3" w14:textId="77777777" w:rsidR="00B05E81" w:rsidRPr="001E71EE" w:rsidRDefault="00944B8F" w:rsidP="00740A74">
            <w:pPr>
              <w:keepNext/>
              <w:tabs>
                <w:tab w:val="clear" w:pos="562"/>
                <w:tab w:val="left" w:pos="0"/>
              </w:tabs>
            </w:pPr>
            <w:r w:rsidRPr="001E71EE">
              <w:t>20 mg every other week</w:t>
            </w:r>
          </w:p>
        </w:tc>
        <w:tc>
          <w:tcPr>
            <w:tcW w:w="3096" w:type="dxa"/>
          </w:tcPr>
          <w:p w14:paraId="115AC08D" w14:textId="77777777" w:rsidR="00B05E81" w:rsidRPr="001E71EE" w:rsidRDefault="00944B8F" w:rsidP="00740A74">
            <w:pPr>
              <w:keepNext/>
              <w:numPr>
                <w:ilvl w:val="12"/>
                <w:numId w:val="0"/>
              </w:numPr>
              <w:tabs>
                <w:tab w:val="clear" w:pos="562"/>
              </w:tabs>
            </w:pPr>
            <w:r w:rsidRPr="001E71EE">
              <w:t>Your doctor may prescribe an initial dose of 40 mg to be administered one week prior to the start of the usual dose of 20 mg every other week. Humira is recommended for use in combination with methotrexate.</w:t>
            </w:r>
          </w:p>
        </w:tc>
      </w:tr>
      <w:tr w:rsidR="00C6578C" w14:paraId="30097009" w14:textId="77777777" w:rsidTr="00740A74">
        <w:tc>
          <w:tcPr>
            <w:tcW w:w="3095" w:type="dxa"/>
          </w:tcPr>
          <w:p w14:paraId="5B496FF1" w14:textId="77777777" w:rsidR="00B05E81" w:rsidRPr="001E71EE" w:rsidRDefault="00944B8F" w:rsidP="00740A74">
            <w:pPr>
              <w:keepNext/>
              <w:numPr>
                <w:ilvl w:val="12"/>
                <w:numId w:val="0"/>
              </w:numPr>
              <w:tabs>
                <w:tab w:val="clear" w:pos="562"/>
              </w:tabs>
              <w:ind w:right="-2"/>
            </w:pPr>
            <w:r w:rsidRPr="001E71EE">
              <w:t>Children and adolescents from 2 years of age weighing at least 30 kg</w:t>
            </w:r>
          </w:p>
          <w:p w14:paraId="2B584A8B" w14:textId="77777777" w:rsidR="00B05E81" w:rsidRPr="001E71EE" w:rsidRDefault="00B05E81" w:rsidP="00740A74">
            <w:pPr>
              <w:keepNext/>
              <w:numPr>
                <w:ilvl w:val="12"/>
                <w:numId w:val="0"/>
              </w:numPr>
              <w:tabs>
                <w:tab w:val="clear" w:pos="562"/>
              </w:tabs>
              <w:ind w:right="-2"/>
            </w:pPr>
          </w:p>
        </w:tc>
        <w:tc>
          <w:tcPr>
            <w:tcW w:w="3096" w:type="dxa"/>
          </w:tcPr>
          <w:p w14:paraId="75306FBD" w14:textId="77777777" w:rsidR="00B05E81" w:rsidRPr="001E71EE" w:rsidRDefault="00944B8F" w:rsidP="00740A74">
            <w:pPr>
              <w:keepNext/>
              <w:tabs>
                <w:tab w:val="clear" w:pos="562"/>
                <w:tab w:val="left" w:pos="0"/>
              </w:tabs>
            </w:pPr>
            <w:r w:rsidRPr="001E71EE">
              <w:t xml:space="preserve">40 mg every other week </w:t>
            </w:r>
          </w:p>
        </w:tc>
        <w:tc>
          <w:tcPr>
            <w:tcW w:w="3096" w:type="dxa"/>
          </w:tcPr>
          <w:p w14:paraId="5E3B9D2B" w14:textId="77777777" w:rsidR="00B05E81" w:rsidRPr="001E71EE" w:rsidRDefault="00944B8F" w:rsidP="00740A74">
            <w:pPr>
              <w:keepNext/>
              <w:numPr>
                <w:ilvl w:val="12"/>
                <w:numId w:val="0"/>
              </w:numPr>
              <w:tabs>
                <w:tab w:val="clear" w:pos="562"/>
              </w:tabs>
            </w:pPr>
            <w:r w:rsidRPr="001E71EE">
              <w:t>Your doctor may prescribe an initial dose of 80 mg to be administered one week prior to the start of the usual dose of 40 mg every other week. Humira is recommended for use in combination with methotrexate.</w:t>
            </w:r>
          </w:p>
        </w:tc>
      </w:tr>
    </w:tbl>
    <w:p w14:paraId="751BD4F2" w14:textId="77777777" w:rsidR="00B05E81" w:rsidRPr="001E71EE" w:rsidRDefault="00B05E81" w:rsidP="00B05E81">
      <w:pPr>
        <w:numPr>
          <w:ilvl w:val="12"/>
          <w:numId w:val="0"/>
        </w:numPr>
        <w:ind w:right="-2"/>
      </w:pPr>
    </w:p>
    <w:p w14:paraId="47C53349" w14:textId="77777777" w:rsidR="00B05E81" w:rsidRPr="001E71EE" w:rsidRDefault="00944B8F" w:rsidP="00B05E81">
      <w:pPr>
        <w:keepNext/>
        <w:rPr>
          <w:b/>
          <w:szCs w:val="20"/>
        </w:rPr>
      </w:pPr>
      <w:r w:rsidRPr="001E71EE">
        <w:rPr>
          <w:b/>
          <w:szCs w:val="20"/>
        </w:rPr>
        <w:t>Method and route of administration</w:t>
      </w:r>
    </w:p>
    <w:p w14:paraId="734D5C98" w14:textId="77777777" w:rsidR="00B05E81" w:rsidRPr="001E71EE" w:rsidRDefault="00B05E81" w:rsidP="00B05E81">
      <w:pPr>
        <w:keepNext/>
        <w:rPr>
          <w:szCs w:val="20"/>
        </w:rPr>
      </w:pPr>
    </w:p>
    <w:p w14:paraId="79E634B1" w14:textId="77777777" w:rsidR="00B05E81" w:rsidRPr="00EA5F9B" w:rsidRDefault="00944B8F" w:rsidP="00B05E81">
      <w:pPr>
        <w:keepNext/>
        <w:rPr>
          <w:b/>
        </w:rPr>
      </w:pPr>
      <w:r w:rsidRPr="001E71EE">
        <w:rPr>
          <w:bCs/>
          <w:szCs w:val="20"/>
        </w:rPr>
        <w:t>Humira is administered by injection under the skin (by subcutaneous injection).</w:t>
      </w:r>
    </w:p>
    <w:p w14:paraId="0F8065B6" w14:textId="77777777" w:rsidR="00B05E81" w:rsidRPr="001E71EE" w:rsidRDefault="00B05E81" w:rsidP="00B05E81">
      <w:pPr>
        <w:rPr>
          <w:szCs w:val="20"/>
        </w:rPr>
      </w:pPr>
    </w:p>
    <w:p w14:paraId="4BCAB0E3" w14:textId="77777777" w:rsidR="00B05E81" w:rsidRPr="001E71EE" w:rsidRDefault="00944B8F" w:rsidP="00B05E81">
      <w:pPr>
        <w:rPr>
          <w:b/>
          <w:szCs w:val="20"/>
        </w:rPr>
      </w:pPr>
      <w:r w:rsidRPr="001E71EE">
        <w:rPr>
          <w:b/>
          <w:szCs w:val="20"/>
        </w:rPr>
        <w:t>Detailed instructions on how to inject Humira are provided in section 7 ‘</w:t>
      </w:r>
      <w:r w:rsidR="00B417AB">
        <w:rPr>
          <w:b/>
        </w:rPr>
        <w:t>Injecting Humira</w:t>
      </w:r>
      <w:r w:rsidRPr="001E71EE">
        <w:rPr>
          <w:b/>
          <w:szCs w:val="20"/>
        </w:rPr>
        <w:t>’.</w:t>
      </w:r>
    </w:p>
    <w:p w14:paraId="39F0D007" w14:textId="77777777" w:rsidR="00B05E81" w:rsidRPr="00E36CD0" w:rsidRDefault="00B05E81" w:rsidP="00B05E81"/>
    <w:p w14:paraId="66697508" w14:textId="77777777" w:rsidR="00B05E81" w:rsidRPr="001E71EE" w:rsidRDefault="00944B8F" w:rsidP="00B05E81">
      <w:pPr>
        <w:keepNext/>
        <w:rPr>
          <w:b/>
          <w:szCs w:val="20"/>
        </w:rPr>
      </w:pPr>
      <w:r w:rsidRPr="00D342F4">
        <w:rPr>
          <w:b/>
          <w:szCs w:val="20"/>
        </w:rPr>
        <w:t>If you use more</w:t>
      </w:r>
      <w:r w:rsidRPr="00EA5F9B">
        <w:t xml:space="preserve"> </w:t>
      </w:r>
      <w:r w:rsidRPr="00D342F4">
        <w:rPr>
          <w:b/>
          <w:bCs/>
          <w:szCs w:val="20"/>
        </w:rPr>
        <w:t>Humira</w:t>
      </w:r>
      <w:r w:rsidRPr="00D342F4">
        <w:rPr>
          <w:b/>
          <w:szCs w:val="20"/>
        </w:rPr>
        <w:t xml:space="preserve"> than you should</w:t>
      </w:r>
    </w:p>
    <w:p w14:paraId="76BBA199" w14:textId="77777777" w:rsidR="00B05E81" w:rsidRPr="001E71EE" w:rsidRDefault="00B05E81" w:rsidP="00B05E81">
      <w:pPr>
        <w:rPr>
          <w:szCs w:val="20"/>
        </w:rPr>
      </w:pPr>
    </w:p>
    <w:p w14:paraId="173367CA" w14:textId="77777777" w:rsidR="00B05E81" w:rsidRPr="001E71EE" w:rsidRDefault="00944B8F" w:rsidP="00B05E81">
      <w:pPr>
        <w:keepNext/>
      </w:pPr>
      <w:r w:rsidRPr="001E71EE">
        <w:t xml:space="preserve">If you accidentally inject Humira more frequently than told to by your doctor or pharmacist, call your doctor or pharmacist </w:t>
      </w:r>
      <w:r w:rsidRPr="001E71EE">
        <w:rPr>
          <w:szCs w:val="20"/>
        </w:rPr>
        <w:t>and tell them that you have taken more</w:t>
      </w:r>
      <w:r w:rsidRPr="001E71EE">
        <w:t xml:space="preserve">. Always take the outer carton of the medicine with you, even if it is empty. </w:t>
      </w:r>
    </w:p>
    <w:p w14:paraId="2A2177F1" w14:textId="77777777" w:rsidR="00B05E81" w:rsidRPr="001E71EE" w:rsidRDefault="00B05E81" w:rsidP="00B05E81"/>
    <w:p w14:paraId="61031DEF" w14:textId="77777777" w:rsidR="00B05E81" w:rsidRPr="001E71EE" w:rsidRDefault="00944B8F" w:rsidP="00B05E81">
      <w:pPr>
        <w:rPr>
          <w:b/>
          <w:szCs w:val="20"/>
        </w:rPr>
      </w:pPr>
      <w:r w:rsidRPr="001E71EE">
        <w:rPr>
          <w:b/>
          <w:szCs w:val="20"/>
        </w:rPr>
        <w:t>If you forget to use Humira</w:t>
      </w:r>
    </w:p>
    <w:p w14:paraId="4FA03B4E" w14:textId="77777777" w:rsidR="00B05E81" w:rsidRPr="001E71EE" w:rsidRDefault="00B05E81" w:rsidP="00B05E81">
      <w:pPr>
        <w:rPr>
          <w:szCs w:val="20"/>
        </w:rPr>
      </w:pPr>
    </w:p>
    <w:p w14:paraId="5110053D" w14:textId="77777777" w:rsidR="00B05E81" w:rsidRPr="001E71EE" w:rsidRDefault="00944B8F" w:rsidP="00B05E81">
      <w:r w:rsidRPr="001E71EE">
        <w:t xml:space="preserve">If you forget to give yourself an injection, you should inject the next dose of Humira as soon as you remember. Then take your next dose as you would have on your originally scheduled day, had you not forgotten a dose. </w:t>
      </w:r>
    </w:p>
    <w:p w14:paraId="6EA5D032" w14:textId="77777777" w:rsidR="00B05E81" w:rsidRPr="001E71EE" w:rsidRDefault="00B05E81" w:rsidP="00B05E81"/>
    <w:p w14:paraId="6A31029A" w14:textId="77777777" w:rsidR="00B05E81" w:rsidRPr="001E71EE" w:rsidRDefault="00944B8F" w:rsidP="00B05E81">
      <w:pPr>
        <w:rPr>
          <w:b/>
        </w:rPr>
      </w:pPr>
      <w:r w:rsidRPr="001E71EE">
        <w:rPr>
          <w:b/>
        </w:rPr>
        <w:t>If you stop using Humira</w:t>
      </w:r>
    </w:p>
    <w:p w14:paraId="753DB245" w14:textId="77777777" w:rsidR="00B05E81" w:rsidRPr="001E71EE" w:rsidRDefault="00B05E81" w:rsidP="00B05E81"/>
    <w:p w14:paraId="5AED0996" w14:textId="77777777" w:rsidR="00B05E81" w:rsidRPr="001E71EE" w:rsidRDefault="00944B8F" w:rsidP="00B05E81">
      <w:r w:rsidRPr="001E71EE">
        <w:t>The decision to stop using Humira should be discussed with your doctor. Your symptoms may return if you stop using Humira.</w:t>
      </w:r>
    </w:p>
    <w:p w14:paraId="52959788" w14:textId="77777777" w:rsidR="00B05E81" w:rsidRPr="001E71EE" w:rsidRDefault="00B05E81" w:rsidP="00B05E81"/>
    <w:p w14:paraId="4FE326A7" w14:textId="77777777" w:rsidR="00B05E81" w:rsidRPr="001E71EE" w:rsidRDefault="00944B8F" w:rsidP="00B05E81">
      <w:r w:rsidRPr="001E71EE">
        <w:t>If you have any further questions on the use of this medicine, ask your doctor or pharmacist.</w:t>
      </w:r>
    </w:p>
    <w:p w14:paraId="584EC43C" w14:textId="77777777" w:rsidR="00B05E81" w:rsidRPr="001E71EE" w:rsidRDefault="00B05E81" w:rsidP="00B05E81"/>
    <w:p w14:paraId="60CB1D64" w14:textId="77777777" w:rsidR="00B05E81" w:rsidRPr="001E71EE" w:rsidRDefault="00B05E81" w:rsidP="00B05E81"/>
    <w:p w14:paraId="6B337F3C" w14:textId="77777777" w:rsidR="00B05E81" w:rsidRPr="001E71EE" w:rsidRDefault="00944B8F" w:rsidP="00B05E81">
      <w:pPr>
        <w:keepNext/>
        <w:outlineLvl w:val="0"/>
        <w:rPr>
          <w:rFonts w:ascii="Times New Roman Bold" w:hAnsi="Times New Roman Bold"/>
          <w:b/>
          <w:szCs w:val="20"/>
        </w:rPr>
      </w:pPr>
      <w:r w:rsidRPr="001E71EE">
        <w:rPr>
          <w:b/>
          <w:caps/>
          <w:szCs w:val="20"/>
        </w:rPr>
        <w:lastRenderedPageBreak/>
        <w:t>4.</w:t>
      </w:r>
      <w:r w:rsidRPr="001E71EE">
        <w:rPr>
          <w:b/>
          <w:caps/>
          <w:szCs w:val="20"/>
        </w:rPr>
        <w:tab/>
      </w:r>
      <w:r w:rsidRPr="00EA5F9B">
        <w:rPr>
          <w:b/>
          <w:caps/>
        </w:rPr>
        <w:t>P</w:t>
      </w:r>
      <w:r w:rsidRPr="001E71EE">
        <w:rPr>
          <w:rFonts w:ascii="Times New Roman Bold" w:hAnsi="Times New Roman Bold"/>
          <w:b/>
          <w:szCs w:val="20"/>
        </w:rPr>
        <w:t>ossible side effects</w:t>
      </w:r>
    </w:p>
    <w:p w14:paraId="31A50EF1" w14:textId="77777777" w:rsidR="00B05E81" w:rsidRPr="001E71EE" w:rsidRDefault="00B05E81" w:rsidP="00B05E81">
      <w:pPr>
        <w:keepNext/>
        <w:rPr>
          <w:szCs w:val="20"/>
        </w:rPr>
      </w:pPr>
    </w:p>
    <w:p w14:paraId="243B0DFE" w14:textId="77777777" w:rsidR="00B05E81" w:rsidRPr="001E71EE" w:rsidRDefault="00944B8F" w:rsidP="00B05E81">
      <w:pPr>
        <w:keepNext/>
      </w:pPr>
      <w:r w:rsidRPr="001E71EE">
        <w:t xml:space="preserve">Like all medicines, this medicine can cause side effects, although not everybody gets them. Most side effects are mild to moderate. However, some may be serious and require treatment. Side effects may occur at least up to 4 months after the last Humira injection. </w:t>
      </w:r>
    </w:p>
    <w:p w14:paraId="089485F8" w14:textId="77777777" w:rsidR="00B05E81" w:rsidRPr="001E71EE" w:rsidRDefault="00B05E81" w:rsidP="00B05E81"/>
    <w:p w14:paraId="44E43384" w14:textId="77777777" w:rsidR="00B05E81" w:rsidRPr="00EA5F9B" w:rsidRDefault="00944B8F" w:rsidP="00B05E81">
      <w:pPr>
        <w:rPr>
          <w:b/>
        </w:rPr>
      </w:pPr>
      <w:r w:rsidRPr="00EA5F9B">
        <w:rPr>
          <w:b/>
        </w:rPr>
        <w:t>Tell your doctor immediately if you notice any of the following</w:t>
      </w:r>
    </w:p>
    <w:p w14:paraId="0199202E" w14:textId="77777777" w:rsidR="00B05E81" w:rsidRPr="001E71EE" w:rsidRDefault="00B05E81" w:rsidP="00B05E81"/>
    <w:p w14:paraId="6A74344A" w14:textId="77777777" w:rsidR="00B05E81" w:rsidRPr="001E71EE" w:rsidRDefault="00944B8F" w:rsidP="00D51999">
      <w:pPr>
        <w:numPr>
          <w:ilvl w:val="0"/>
          <w:numId w:val="56"/>
        </w:numPr>
        <w:tabs>
          <w:tab w:val="clear" w:pos="562"/>
          <w:tab w:val="num" w:pos="360"/>
          <w:tab w:val="num" w:pos="550"/>
        </w:tabs>
        <w:ind w:left="547" w:hanging="547"/>
        <w:rPr>
          <w:szCs w:val="20"/>
        </w:rPr>
      </w:pPr>
      <w:r w:rsidRPr="001E71EE">
        <w:rPr>
          <w:szCs w:val="20"/>
        </w:rPr>
        <w:t xml:space="preserve">severe rash, hives or other signs of allergic reaction </w:t>
      </w:r>
    </w:p>
    <w:p w14:paraId="0706E1D7" w14:textId="77777777" w:rsidR="00B05E81" w:rsidRPr="001E71EE" w:rsidRDefault="00944B8F" w:rsidP="00D51999">
      <w:pPr>
        <w:numPr>
          <w:ilvl w:val="0"/>
          <w:numId w:val="56"/>
        </w:numPr>
        <w:tabs>
          <w:tab w:val="clear" w:pos="562"/>
          <w:tab w:val="num" w:pos="360"/>
          <w:tab w:val="num" w:pos="550"/>
        </w:tabs>
        <w:ind w:left="547" w:hanging="547"/>
        <w:rPr>
          <w:szCs w:val="20"/>
        </w:rPr>
      </w:pPr>
      <w:r w:rsidRPr="001E71EE">
        <w:rPr>
          <w:szCs w:val="20"/>
        </w:rPr>
        <w:t>swollen face, hands, feet</w:t>
      </w:r>
    </w:p>
    <w:p w14:paraId="2E12A3B6" w14:textId="77777777" w:rsidR="00B05E81" w:rsidRPr="001E71EE" w:rsidRDefault="00944B8F" w:rsidP="00D51999">
      <w:pPr>
        <w:numPr>
          <w:ilvl w:val="0"/>
          <w:numId w:val="56"/>
        </w:numPr>
        <w:tabs>
          <w:tab w:val="clear" w:pos="562"/>
          <w:tab w:val="num" w:pos="360"/>
          <w:tab w:val="num" w:pos="550"/>
        </w:tabs>
        <w:ind w:left="547" w:hanging="547"/>
        <w:rPr>
          <w:szCs w:val="20"/>
        </w:rPr>
      </w:pPr>
      <w:r w:rsidRPr="001E71EE">
        <w:rPr>
          <w:szCs w:val="20"/>
        </w:rPr>
        <w:t>trouble breathing, swallowing</w:t>
      </w:r>
    </w:p>
    <w:p w14:paraId="1C1F5636" w14:textId="77777777" w:rsidR="00B05E81" w:rsidRPr="001E71EE" w:rsidRDefault="00944B8F" w:rsidP="00D51999">
      <w:pPr>
        <w:numPr>
          <w:ilvl w:val="0"/>
          <w:numId w:val="56"/>
        </w:numPr>
        <w:tabs>
          <w:tab w:val="clear" w:pos="562"/>
          <w:tab w:val="num" w:pos="360"/>
          <w:tab w:val="num" w:pos="550"/>
        </w:tabs>
        <w:ind w:left="547" w:hanging="547"/>
        <w:rPr>
          <w:szCs w:val="20"/>
        </w:rPr>
      </w:pPr>
      <w:r w:rsidRPr="001E71EE">
        <w:rPr>
          <w:szCs w:val="20"/>
        </w:rPr>
        <w:t>shortness of breath with physical activity or upon lying down or swelling of the feet</w:t>
      </w:r>
    </w:p>
    <w:p w14:paraId="793B07F7" w14:textId="77777777" w:rsidR="00B05E81" w:rsidRPr="001E71EE" w:rsidRDefault="00B05E81" w:rsidP="00B05E81">
      <w:pPr>
        <w:rPr>
          <w:szCs w:val="20"/>
        </w:rPr>
      </w:pPr>
    </w:p>
    <w:p w14:paraId="68AD9154" w14:textId="77777777" w:rsidR="00B05E81" w:rsidRPr="00EA5F9B" w:rsidRDefault="00944B8F" w:rsidP="00B05E81">
      <w:pPr>
        <w:ind w:left="567" w:hanging="567"/>
        <w:rPr>
          <w:b/>
        </w:rPr>
      </w:pPr>
      <w:r w:rsidRPr="00EA5F9B">
        <w:rPr>
          <w:b/>
        </w:rPr>
        <w:t>Tell your doctor as soon as possible if you notice any of the following</w:t>
      </w:r>
      <w:r w:rsidRPr="00EA5F9B">
        <w:t xml:space="preserve"> </w:t>
      </w:r>
    </w:p>
    <w:p w14:paraId="65AD346E" w14:textId="77777777" w:rsidR="00B05E81" w:rsidRPr="001E71EE" w:rsidRDefault="00B05E81" w:rsidP="00B05E81">
      <w:pPr>
        <w:ind w:left="567" w:hanging="567"/>
      </w:pPr>
    </w:p>
    <w:p w14:paraId="40C155E6" w14:textId="77777777" w:rsidR="00B05E81" w:rsidRPr="001E71EE" w:rsidRDefault="00944B8F" w:rsidP="00D51999">
      <w:pPr>
        <w:numPr>
          <w:ilvl w:val="0"/>
          <w:numId w:val="56"/>
        </w:numPr>
        <w:tabs>
          <w:tab w:val="clear" w:pos="562"/>
          <w:tab w:val="num" w:pos="360"/>
        </w:tabs>
        <w:ind w:left="360"/>
        <w:rPr>
          <w:szCs w:val="20"/>
        </w:rPr>
      </w:pPr>
      <w:r w:rsidRPr="001E71EE">
        <w:rPr>
          <w:szCs w:val="20"/>
        </w:rPr>
        <w:t>signs of infection such as fever, feeling sick, wounds, dental problems, burning on urination</w:t>
      </w:r>
    </w:p>
    <w:p w14:paraId="54092EA5" w14:textId="77777777" w:rsidR="00B05E81" w:rsidRPr="001E71EE" w:rsidRDefault="00944B8F" w:rsidP="00D51999">
      <w:pPr>
        <w:numPr>
          <w:ilvl w:val="0"/>
          <w:numId w:val="56"/>
        </w:numPr>
        <w:tabs>
          <w:tab w:val="clear" w:pos="562"/>
          <w:tab w:val="num" w:pos="360"/>
        </w:tabs>
        <w:ind w:left="360"/>
        <w:rPr>
          <w:szCs w:val="20"/>
        </w:rPr>
      </w:pPr>
      <w:r w:rsidRPr="001E71EE">
        <w:rPr>
          <w:szCs w:val="20"/>
        </w:rPr>
        <w:t>feeling weak or tired</w:t>
      </w:r>
    </w:p>
    <w:p w14:paraId="7F4F64D3" w14:textId="77777777" w:rsidR="00B05E81" w:rsidRPr="001E71EE" w:rsidRDefault="00944B8F" w:rsidP="00D51999">
      <w:pPr>
        <w:numPr>
          <w:ilvl w:val="0"/>
          <w:numId w:val="56"/>
        </w:numPr>
        <w:tabs>
          <w:tab w:val="clear" w:pos="562"/>
          <w:tab w:val="num" w:pos="360"/>
        </w:tabs>
        <w:ind w:left="360"/>
        <w:rPr>
          <w:szCs w:val="20"/>
        </w:rPr>
      </w:pPr>
      <w:r w:rsidRPr="001E71EE">
        <w:rPr>
          <w:szCs w:val="20"/>
        </w:rPr>
        <w:t>coughing</w:t>
      </w:r>
    </w:p>
    <w:p w14:paraId="23DC00A5" w14:textId="77777777" w:rsidR="00B05E81" w:rsidRPr="001E71EE" w:rsidRDefault="00944B8F" w:rsidP="00D51999">
      <w:pPr>
        <w:numPr>
          <w:ilvl w:val="0"/>
          <w:numId w:val="56"/>
        </w:numPr>
        <w:tabs>
          <w:tab w:val="clear" w:pos="562"/>
          <w:tab w:val="num" w:pos="360"/>
        </w:tabs>
        <w:ind w:left="360"/>
        <w:rPr>
          <w:szCs w:val="20"/>
        </w:rPr>
      </w:pPr>
      <w:r w:rsidRPr="001E71EE">
        <w:rPr>
          <w:szCs w:val="20"/>
        </w:rPr>
        <w:t>tingling</w:t>
      </w:r>
    </w:p>
    <w:p w14:paraId="4A117582" w14:textId="77777777" w:rsidR="00B05E81" w:rsidRPr="001E71EE" w:rsidRDefault="00944B8F" w:rsidP="00D51999">
      <w:pPr>
        <w:numPr>
          <w:ilvl w:val="0"/>
          <w:numId w:val="56"/>
        </w:numPr>
        <w:tabs>
          <w:tab w:val="clear" w:pos="562"/>
          <w:tab w:val="num" w:pos="360"/>
        </w:tabs>
        <w:ind w:left="360"/>
        <w:rPr>
          <w:szCs w:val="20"/>
        </w:rPr>
      </w:pPr>
      <w:r w:rsidRPr="001E71EE">
        <w:rPr>
          <w:szCs w:val="20"/>
        </w:rPr>
        <w:t>numbness</w:t>
      </w:r>
    </w:p>
    <w:p w14:paraId="1AD5E594" w14:textId="77777777" w:rsidR="00B05E81" w:rsidRPr="001E71EE" w:rsidRDefault="00944B8F" w:rsidP="00D51999">
      <w:pPr>
        <w:numPr>
          <w:ilvl w:val="0"/>
          <w:numId w:val="56"/>
        </w:numPr>
        <w:tabs>
          <w:tab w:val="clear" w:pos="562"/>
          <w:tab w:val="num" w:pos="360"/>
        </w:tabs>
        <w:ind w:left="360"/>
        <w:rPr>
          <w:szCs w:val="20"/>
        </w:rPr>
      </w:pPr>
      <w:r w:rsidRPr="001E71EE">
        <w:rPr>
          <w:szCs w:val="20"/>
        </w:rPr>
        <w:t>double vision</w:t>
      </w:r>
    </w:p>
    <w:p w14:paraId="1AD52114" w14:textId="77777777" w:rsidR="00B05E81" w:rsidRPr="001E71EE" w:rsidRDefault="00944B8F" w:rsidP="00D51999">
      <w:pPr>
        <w:numPr>
          <w:ilvl w:val="0"/>
          <w:numId w:val="56"/>
        </w:numPr>
        <w:tabs>
          <w:tab w:val="clear" w:pos="562"/>
          <w:tab w:val="num" w:pos="360"/>
        </w:tabs>
        <w:ind w:left="360"/>
        <w:rPr>
          <w:szCs w:val="20"/>
        </w:rPr>
      </w:pPr>
      <w:r w:rsidRPr="001E71EE">
        <w:rPr>
          <w:szCs w:val="20"/>
        </w:rPr>
        <w:t>arm or leg weakness</w:t>
      </w:r>
    </w:p>
    <w:p w14:paraId="7D62CC96" w14:textId="77777777" w:rsidR="00B05E81" w:rsidRPr="001E71EE" w:rsidRDefault="00944B8F" w:rsidP="00D51999">
      <w:pPr>
        <w:numPr>
          <w:ilvl w:val="0"/>
          <w:numId w:val="56"/>
        </w:numPr>
        <w:tabs>
          <w:tab w:val="clear" w:pos="562"/>
          <w:tab w:val="num" w:pos="360"/>
        </w:tabs>
        <w:ind w:left="360"/>
      </w:pPr>
      <w:r w:rsidRPr="001E71EE">
        <w:t>a bump or open sore that doesn't heal</w:t>
      </w:r>
    </w:p>
    <w:p w14:paraId="524F8BE7" w14:textId="77777777" w:rsidR="00B05E81" w:rsidRPr="001E71EE" w:rsidRDefault="00944B8F" w:rsidP="00D51999">
      <w:pPr>
        <w:numPr>
          <w:ilvl w:val="0"/>
          <w:numId w:val="56"/>
        </w:numPr>
        <w:tabs>
          <w:tab w:val="clear" w:pos="562"/>
          <w:tab w:val="num" w:pos="360"/>
        </w:tabs>
        <w:ind w:left="360"/>
      </w:pPr>
      <w:r w:rsidRPr="001E71EE">
        <w:t>signs and symptoms suggestive of blood disorders such as persistent fever, bruising, bleeding, paleness</w:t>
      </w:r>
    </w:p>
    <w:p w14:paraId="50B70F08" w14:textId="77777777" w:rsidR="00B05E81" w:rsidRPr="001E71EE" w:rsidRDefault="00B05E81" w:rsidP="00B05E81"/>
    <w:p w14:paraId="19C89840" w14:textId="77777777" w:rsidR="00B05E81" w:rsidRPr="001E71EE" w:rsidRDefault="00944B8F" w:rsidP="00B05E81">
      <w:r w:rsidRPr="001E71EE">
        <w:t>The symptoms described above can be signs of the below listed side effects, which have been observed with Humira.</w:t>
      </w:r>
    </w:p>
    <w:p w14:paraId="3F8589C5" w14:textId="77777777" w:rsidR="00B05E81" w:rsidRPr="001E71EE" w:rsidRDefault="00B05E81" w:rsidP="00B05E81"/>
    <w:p w14:paraId="01031F17" w14:textId="77777777" w:rsidR="00B05E81" w:rsidRPr="00FA2E03" w:rsidRDefault="00944B8F" w:rsidP="00B05E81">
      <w:r w:rsidRPr="00FA2E03">
        <w:rPr>
          <w:b/>
        </w:rPr>
        <w:t xml:space="preserve">Very common </w:t>
      </w:r>
      <w:r w:rsidRPr="001E71EE">
        <w:t>(may affect more than 1 in 10 people)</w:t>
      </w:r>
      <w:r w:rsidRPr="001E71EE">
        <w:rPr>
          <w:i/>
          <w:iCs/>
        </w:rPr>
        <w:t xml:space="preserve">  </w:t>
      </w:r>
    </w:p>
    <w:p w14:paraId="6FCC64A2" w14:textId="77777777" w:rsidR="00B05E81" w:rsidRPr="00FA2E03" w:rsidRDefault="00B05E81" w:rsidP="00B05E81"/>
    <w:p w14:paraId="0F3D8C4C" w14:textId="77777777" w:rsidR="00B05E81" w:rsidRPr="00987B12" w:rsidRDefault="00944B8F" w:rsidP="00D51999">
      <w:pPr>
        <w:numPr>
          <w:ilvl w:val="0"/>
          <w:numId w:val="56"/>
        </w:numPr>
        <w:tabs>
          <w:tab w:val="clear" w:pos="562"/>
          <w:tab w:val="num" w:pos="360"/>
        </w:tabs>
        <w:ind w:left="360"/>
        <w:rPr>
          <w:szCs w:val="20"/>
        </w:rPr>
      </w:pPr>
      <w:r w:rsidRPr="00987B12">
        <w:rPr>
          <w:szCs w:val="20"/>
        </w:rPr>
        <w:t>injection site reactions (including pain, swelling, redness or itching)</w:t>
      </w:r>
    </w:p>
    <w:p w14:paraId="473BFEC6"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respiratory tract infections (including cold, runny nose, sinus infection, pneumonia)</w:t>
      </w:r>
    </w:p>
    <w:p w14:paraId="63A9D07D"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headache</w:t>
      </w:r>
    </w:p>
    <w:p w14:paraId="04B02E18"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abdominal pain</w:t>
      </w:r>
    </w:p>
    <w:p w14:paraId="75E50AA9"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nausea and vomiting</w:t>
      </w:r>
    </w:p>
    <w:p w14:paraId="6ED6DB38"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rash</w:t>
      </w:r>
    </w:p>
    <w:p w14:paraId="43A4EDDA"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musculoskeletal pain</w:t>
      </w:r>
    </w:p>
    <w:p w14:paraId="29459D70" w14:textId="77777777" w:rsidR="00B05E81" w:rsidRPr="00FA2E03" w:rsidRDefault="00B05E81" w:rsidP="00B05E81">
      <w:pPr>
        <w:tabs>
          <w:tab w:val="clear" w:pos="562"/>
          <w:tab w:val="num" w:pos="550"/>
        </w:tabs>
        <w:ind w:left="550" w:hanging="550"/>
        <w:rPr>
          <w:sz w:val="20"/>
        </w:rPr>
      </w:pPr>
    </w:p>
    <w:p w14:paraId="6EB591F9" w14:textId="77777777" w:rsidR="00B05E81" w:rsidRPr="00FA2E03" w:rsidRDefault="00944B8F" w:rsidP="00B05E81">
      <w:pPr>
        <w:tabs>
          <w:tab w:val="clear" w:pos="562"/>
          <w:tab w:val="num" w:pos="550"/>
        </w:tabs>
        <w:ind w:left="550" w:hanging="550"/>
      </w:pPr>
      <w:r w:rsidRPr="00FA2E03">
        <w:rPr>
          <w:b/>
        </w:rPr>
        <w:t>Common</w:t>
      </w:r>
      <w:r w:rsidRPr="00FA2E03">
        <w:t xml:space="preserve"> </w:t>
      </w:r>
      <w:r w:rsidRPr="001E71EE">
        <w:t xml:space="preserve">(may affect up to 1 in 10 people) </w:t>
      </w:r>
    </w:p>
    <w:p w14:paraId="46ADF7D1" w14:textId="77777777" w:rsidR="00B05E81" w:rsidRPr="00FA2E03" w:rsidRDefault="00B05E81" w:rsidP="00B05E81">
      <w:pPr>
        <w:tabs>
          <w:tab w:val="clear" w:pos="562"/>
          <w:tab w:val="num" w:pos="550"/>
        </w:tabs>
        <w:ind w:left="550" w:hanging="550"/>
      </w:pPr>
    </w:p>
    <w:p w14:paraId="1B08D83B" w14:textId="77777777" w:rsidR="00B05E81" w:rsidRPr="00987B12" w:rsidRDefault="00944B8F" w:rsidP="00D51999">
      <w:pPr>
        <w:numPr>
          <w:ilvl w:val="0"/>
          <w:numId w:val="56"/>
        </w:numPr>
        <w:tabs>
          <w:tab w:val="clear" w:pos="562"/>
          <w:tab w:val="num" w:pos="360"/>
        </w:tabs>
        <w:ind w:left="360"/>
        <w:rPr>
          <w:szCs w:val="20"/>
        </w:rPr>
      </w:pPr>
      <w:r>
        <w:rPr>
          <w:szCs w:val="20"/>
        </w:rPr>
        <w:t xml:space="preserve">serious </w:t>
      </w:r>
      <w:r w:rsidRPr="00987B12">
        <w:rPr>
          <w:szCs w:val="20"/>
        </w:rPr>
        <w:t>infections (including blood poisoning and influenza)</w:t>
      </w:r>
    </w:p>
    <w:p w14:paraId="3D5C17F7" w14:textId="77777777" w:rsidR="00B05E81" w:rsidRPr="00987B12" w:rsidRDefault="00944B8F" w:rsidP="00D51999">
      <w:pPr>
        <w:numPr>
          <w:ilvl w:val="0"/>
          <w:numId w:val="56"/>
        </w:numPr>
        <w:tabs>
          <w:tab w:val="clear" w:pos="562"/>
          <w:tab w:val="num" w:pos="360"/>
        </w:tabs>
        <w:ind w:left="360"/>
        <w:rPr>
          <w:szCs w:val="20"/>
        </w:rPr>
      </w:pPr>
      <w:r w:rsidRPr="00987B12">
        <w:rPr>
          <w:szCs w:val="20"/>
        </w:rPr>
        <w:t>intestinal infections (including gastroenteritis)</w:t>
      </w:r>
    </w:p>
    <w:p w14:paraId="111031FB" w14:textId="77777777" w:rsidR="00B05E81" w:rsidRPr="00987B12" w:rsidRDefault="00944B8F" w:rsidP="00D51999">
      <w:pPr>
        <w:numPr>
          <w:ilvl w:val="0"/>
          <w:numId w:val="56"/>
        </w:numPr>
        <w:tabs>
          <w:tab w:val="clear" w:pos="562"/>
          <w:tab w:val="num" w:pos="360"/>
        </w:tabs>
        <w:ind w:left="360"/>
        <w:rPr>
          <w:szCs w:val="20"/>
        </w:rPr>
      </w:pPr>
      <w:r w:rsidRPr="00987B12">
        <w:rPr>
          <w:szCs w:val="20"/>
        </w:rPr>
        <w:t>skin infections (including cellulitis and shingles)</w:t>
      </w:r>
    </w:p>
    <w:p w14:paraId="355A1618" w14:textId="77777777" w:rsidR="00B05E81" w:rsidRPr="00987B12" w:rsidRDefault="00944B8F" w:rsidP="00D51999">
      <w:pPr>
        <w:numPr>
          <w:ilvl w:val="0"/>
          <w:numId w:val="56"/>
        </w:numPr>
        <w:tabs>
          <w:tab w:val="clear" w:pos="562"/>
          <w:tab w:val="num" w:pos="360"/>
        </w:tabs>
        <w:ind w:left="360"/>
        <w:rPr>
          <w:szCs w:val="20"/>
        </w:rPr>
      </w:pPr>
      <w:r w:rsidRPr="00987B12">
        <w:rPr>
          <w:szCs w:val="20"/>
        </w:rPr>
        <w:t>ear infections</w:t>
      </w:r>
    </w:p>
    <w:p w14:paraId="5C0E5B20" w14:textId="77777777" w:rsidR="00B05E81" w:rsidRPr="00987B12" w:rsidRDefault="00944B8F" w:rsidP="00D51999">
      <w:pPr>
        <w:numPr>
          <w:ilvl w:val="0"/>
          <w:numId w:val="56"/>
        </w:numPr>
        <w:tabs>
          <w:tab w:val="clear" w:pos="562"/>
          <w:tab w:val="num" w:pos="360"/>
        </w:tabs>
        <w:ind w:left="360"/>
        <w:rPr>
          <w:szCs w:val="20"/>
        </w:rPr>
      </w:pPr>
      <w:r w:rsidRPr="00987B12">
        <w:rPr>
          <w:szCs w:val="20"/>
        </w:rPr>
        <w:t>oral infections (including tooth infections and cold sores)</w:t>
      </w:r>
    </w:p>
    <w:p w14:paraId="2DCAD49C" w14:textId="77777777" w:rsidR="00B05E81" w:rsidRPr="00987B12" w:rsidRDefault="00944B8F" w:rsidP="00D51999">
      <w:pPr>
        <w:numPr>
          <w:ilvl w:val="0"/>
          <w:numId w:val="56"/>
        </w:numPr>
        <w:tabs>
          <w:tab w:val="clear" w:pos="562"/>
          <w:tab w:val="num" w:pos="360"/>
        </w:tabs>
        <w:ind w:left="360"/>
        <w:rPr>
          <w:szCs w:val="20"/>
        </w:rPr>
      </w:pPr>
      <w:r w:rsidRPr="00987B12">
        <w:rPr>
          <w:szCs w:val="20"/>
        </w:rPr>
        <w:t>reproductive tract infections</w:t>
      </w:r>
    </w:p>
    <w:p w14:paraId="594B336C" w14:textId="77777777" w:rsidR="00B05E81" w:rsidRPr="00987B12" w:rsidRDefault="00944B8F" w:rsidP="00D51999">
      <w:pPr>
        <w:numPr>
          <w:ilvl w:val="0"/>
          <w:numId w:val="56"/>
        </w:numPr>
        <w:tabs>
          <w:tab w:val="clear" w:pos="562"/>
          <w:tab w:val="num" w:pos="360"/>
        </w:tabs>
        <w:ind w:left="360"/>
        <w:rPr>
          <w:szCs w:val="20"/>
        </w:rPr>
      </w:pPr>
      <w:r w:rsidRPr="00987B12">
        <w:rPr>
          <w:szCs w:val="20"/>
        </w:rPr>
        <w:t>urinary tract infection</w:t>
      </w:r>
    </w:p>
    <w:p w14:paraId="35008C67" w14:textId="77777777" w:rsidR="00B05E81" w:rsidRPr="00987B12" w:rsidRDefault="00944B8F" w:rsidP="00D51999">
      <w:pPr>
        <w:numPr>
          <w:ilvl w:val="0"/>
          <w:numId w:val="56"/>
        </w:numPr>
        <w:tabs>
          <w:tab w:val="clear" w:pos="562"/>
          <w:tab w:val="num" w:pos="360"/>
        </w:tabs>
        <w:ind w:left="360"/>
        <w:rPr>
          <w:szCs w:val="20"/>
        </w:rPr>
      </w:pPr>
      <w:r w:rsidRPr="00987B12">
        <w:rPr>
          <w:szCs w:val="20"/>
        </w:rPr>
        <w:t>fungal infections</w:t>
      </w:r>
    </w:p>
    <w:p w14:paraId="711720E9" w14:textId="77777777" w:rsidR="00B05E81" w:rsidRPr="00987B12" w:rsidRDefault="00944B8F" w:rsidP="00D51999">
      <w:pPr>
        <w:numPr>
          <w:ilvl w:val="0"/>
          <w:numId w:val="56"/>
        </w:numPr>
        <w:tabs>
          <w:tab w:val="clear" w:pos="562"/>
          <w:tab w:val="num" w:pos="360"/>
        </w:tabs>
        <w:ind w:left="360"/>
        <w:rPr>
          <w:szCs w:val="20"/>
        </w:rPr>
      </w:pPr>
      <w:r w:rsidRPr="00987B12">
        <w:rPr>
          <w:szCs w:val="20"/>
        </w:rPr>
        <w:t>joint infections</w:t>
      </w:r>
    </w:p>
    <w:p w14:paraId="1F566E27" w14:textId="77777777" w:rsidR="00B05E81" w:rsidRPr="00987B12" w:rsidRDefault="00944B8F" w:rsidP="00D51999">
      <w:pPr>
        <w:numPr>
          <w:ilvl w:val="0"/>
          <w:numId w:val="56"/>
        </w:numPr>
        <w:tabs>
          <w:tab w:val="clear" w:pos="562"/>
          <w:tab w:val="num" w:pos="360"/>
        </w:tabs>
        <w:ind w:left="360"/>
        <w:rPr>
          <w:szCs w:val="20"/>
        </w:rPr>
      </w:pPr>
      <w:r w:rsidRPr="00987B12">
        <w:rPr>
          <w:szCs w:val="20"/>
        </w:rPr>
        <w:t>benign tumours</w:t>
      </w:r>
    </w:p>
    <w:p w14:paraId="51CC8A09" w14:textId="77777777" w:rsidR="00B05E81" w:rsidRPr="00987B12" w:rsidRDefault="00944B8F" w:rsidP="00D51999">
      <w:pPr>
        <w:numPr>
          <w:ilvl w:val="0"/>
          <w:numId w:val="56"/>
        </w:numPr>
        <w:tabs>
          <w:tab w:val="clear" w:pos="562"/>
          <w:tab w:val="num" w:pos="360"/>
        </w:tabs>
        <w:ind w:left="360"/>
        <w:rPr>
          <w:szCs w:val="20"/>
        </w:rPr>
      </w:pPr>
      <w:r w:rsidRPr="00987B12">
        <w:rPr>
          <w:szCs w:val="20"/>
        </w:rPr>
        <w:lastRenderedPageBreak/>
        <w:t>skin cancer</w:t>
      </w:r>
    </w:p>
    <w:p w14:paraId="2ED85A21" w14:textId="77777777" w:rsidR="00B05E81" w:rsidRPr="00987B12" w:rsidRDefault="00944B8F" w:rsidP="00D51999">
      <w:pPr>
        <w:numPr>
          <w:ilvl w:val="0"/>
          <w:numId w:val="56"/>
        </w:numPr>
        <w:tabs>
          <w:tab w:val="clear" w:pos="562"/>
          <w:tab w:val="num" w:pos="360"/>
        </w:tabs>
        <w:ind w:left="360"/>
        <w:rPr>
          <w:szCs w:val="20"/>
        </w:rPr>
      </w:pPr>
      <w:r w:rsidRPr="00987B12">
        <w:rPr>
          <w:szCs w:val="20"/>
        </w:rPr>
        <w:t>allergic reactions (including seasonal allergy)</w:t>
      </w:r>
    </w:p>
    <w:p w14:paraId="3D067C2E" w14:textId="77777777" w:rsidR="00B05E81" w:rsidRPr="00987B12" w:rsidRDefault="00944B8F" w:rsidP="00D51999">
      <w:pPr>
        <w:numPr>
          <w:ilvl w:val="0"/>
          <w:numId w:val="56"/>
        </w:numPr>
        <w:tabs>
          <w:tab w:val="clear" w:pos="562"/>
          <w:tab w:val="num" w:pos="360"/>
        </w:tabs>
        <w:ind w:left="360"/>
        <w:rPr>
          <w:szCs w:val="20"/>
        </w:rPr>
      </w:pPr>
      <w:r w:rsidRPr="00987B12">
        <w:rPr>
          <w:szCs w:val="20"/>
        </w:rPr>
        <w:t>dehydration</w:t>
      </w:r>
    </w:p>
    <w:p w14:paraId="3CD6C288" w14:textId="77777777" w:rsidR="00B05E81" w:rsidRPr="00987B12" w:rsidRDefault="00944B8F" w:rsidP="00D51999">
      <w:pPr>
        <w:numPr>
          <w:ilvl w:val="0"/>
          <w:numId w:val="56"/>
        </w:numPr>
        <w:tabs>
          <w:tab w:val="clear" w:pos="562"/>
          <w:tab w:val="num" w:pos="360"/>
        </w:tabs>
        <w:ind w:left="360"/>
        <w:rPr>
          <w:szCs w:val="20"/>
        </w:rPr>
      </w:pPr>
      <w:r w:rsidRPr="00987B12">
        <w:rPr>
          <w:szCs w:val="20"/>
        </w:rPr>
        <w:t>mood swings (including depression)</w:t>
      </w:r>
    </w:p>
    <w:p w14:paraId="15F1C2BC" w14:textId="77777777" w:rsidR="00B05E81" w:rsidRPr="00987B12" w:rsidRDefault="00944B8F" w:rsidP="00D51999">
      <w:pPr>
        <w:numPr>
          <w:ilvl w:val="0"/>
          <w:numId w:val="56"/>
        </w:numPr>
        <w:tabs>
          <w:tab w:val="clear" w:pos="562"/>
          <w:tab w:val="num" w:pos="360"/>
        </w:tabs>
        <w:ind w:left="360"/>
        <w:rPr>
          <w:szCs w:val="20"/>
        </w:rPr>
      </w:pPr>
      <w:r w:rsidRPr="00987B12">
        <w:rPr>
          <w:szCs w:val="20"/>
        </w:rPr>
        <w:t>anxiety</w:t>
      </w:r>
    </w:p>
    <w:p w14:paraId="76C86C47" w14:textId="77777777" w:rsidR="00B05E81" w:rsidRPr="00987B12" w:rsidRDefault="00944B8F" w:rsidP="00D51999">
      <w:pPr>
        <w:numPr>
          <w:ilvl w:val="0"/>
          <w:numId w:val="56"/>
        </w:numPr>
        <w:tabs>
          <w:tab w:val="clear" w:pos="562"/>
          <w:tab w:val="num" w:pos="360"/>
        </w:tabs>
        <w:ind w:left="360"/>
        <w:rPr>
          <w:szCs w:val="20"/>
        </w:rPr>
      </w:pPr>
      <w:r w:rsidRPr="00987B12">
        <w:rPr>
          <w:szCs w:val="20"/>
        </w:rPr>
        <w:t>difficulty sleeping</w:t>
      </w:r>
    </w:p>
    <w:p w14:paraId="01EED2AA" w14:textId="77777777" w:rsidR="00B05E81" w:rsidRPr="00987B12" w:rsidRDefault="00944B8F" w:rsidP="00D51999">
      <w:pPr>
        <w:numPr>
          <w:ilvl w:val="0"/>
          <w:numId w:val="56"/>
        </w:numPr>
        <w:tabs>
          <w:tab w:val="clear" w:pos="562"/>
          <w:tab w:val="num" w:pos="360"/>
        </w:tabs>
        <w:ind w:left="360"/>
        <w:rPr>
          <w:szCs w:val="20"/>
        </w:rPr>
      </w:pPr>
      <w:r w:rsidRPr="00987B12">
        <w:rPr>
          <w:szCs w:val="20"/>
        </w:rPr>
        <w:t>sensation disorders such as tingling, prickling or numbness</w:t>
      </w:r>
    </w:p>
    <w:p w14:paraId="42146267" w14:textId="77777777" w:rsidR="00B05E81" w:rsidRPr="00987B12" w:rsidRDefault="00944B8F" w:rsidP="00D51999">
      <w:pPr>
        <w:numPr>
          <w:ilvl w:val="0"/>
          <w:numId w:val="56"/>
        </w:numPr>
        <w:tabs>
          <w:tab w:val="clear" w:pos="562"/>
          <w:tab w:val="num" w:pos="360"/>
        </w:tabs>
        <w:ind w:left="360"/>
        <w:rPr>
          <w:szCs w:val="20"/>
        </w:rPr>
      </w:pPr>
      <w:r w:rsidRPr="00987B12">
        <w:rPr>
          <w:szCs w:val="20"/>
        </w:rPr>
        <w:t>migraine</w:t>
      </w:r>
    </w:p>
    <w:p w14:paraId="230FEE6D" w14:textId="77777777" w:rsidR="00B05E81" w:rsidRPr="00987B12" w:rsidRDefault="00944B8F" w:rsidP="00D51999">
      <w:pPr>
        <w:numPr>
          <w:ilvl w:val="0"/>
          <w:numId w:val="56"/>
        </w:numPr>
        <w:tabs>
          <w:tab w:val="clear" w:pos="562"/>
          <w:tab w:val="num" w:pos="360"/>
        </w:tabs>
        <w:ind w:left="360"/>
        <w:rPr>
          <w:szCs w:val="20"/>
        </w:rPr>
      </w:pPr>
      <w:r w:rsidRPr="00987B12">
        <w:rPr>
          <w:szCs w:val="20"/>
        </w:rPr>
        <w:t>nerve root compression (including low back pain and leg pain)</w:t>
      </w:r>
    </w:p>
    <w:p w14:paraId="353A9062" w14:textId="77777777" w:rsidR="00B05E81" w:rsidRPr="00987B12" w:rsidRDefault="00944B8F" w:rsidP="00D51999">
      <w:pPr>
        <w:numPr>
          <w:ilvl w:val="0"/>
          <w:numId w:val="56"/>
        </w:numPr>
        <w:tabs>
          <w:tab w:val="clear" w:pos="562"/>
          <w:tab w:val="num" w:pos="360"/>
        </w:tabs>
        <w:ind w:left="360"/>
        <w:rPr>
          <w:szCs w:val="20"/>
        </w:rPr>
      </w:pPr>
      <w:r w:rsidRPr="00987B12">
        <w:rPr>
          <w:szCs w:val="20"/>
        </w:rPr>
        <w:t>vision disturbances</w:t>
      </w:r>
    </w:p>
    <w:p w14:paraId="22C1CFB4" w14:textId="77777777" w:rsidR="00B05E81" w:rsidRPr="00987B12" w:rsidRDefault="00944B8F" w:rsidP="00D51999">
      <w:pPr>
        <w:numPr>
          <w:ilvl w:val="0"/>
          <w:numId w:val="56"/>
        </w:numPr>
        <w:tabs>
          <w:tab w:val="clear" w:pos="562"/>
          <w:tab w:val="num" w:pos="360"/>
        </w:tabs>
        <w:ind w:left="360"/>
        <w:rPr>
          <w:szCs w:val="20"/>
        </w:rPr>
      </w:pPr>
      <w:r w:rsidRPr="00987B12">
        <w:rPr>
          <w:szCs w:val="20"/>
        </w:rPr>
        <w:t>eye inflammation</w:t>
      </w:r>
    </w:p>
    <w:p w14:paraId="0049E68A" w14:textId="77777777" w:rsidR="00B05E81" w:rsidRPr="00987B12" w:rsidRDefault="00944B8F" w:rsidP="00D51999">
      <w:pPr>
        <w:numPr>
          <w:ilvl w:val="0"/>
          <w:numId w:val="56"/>
        </w:numPr>
        <w:tabs>
          <w:tab w:val="clear" w:pos="562"/>
          <w:tab w:val="num" w:pos="360"/>
        </w:tabs>
        <w:ind w:left="360"/>
        <w:rPr>
          <w:szCs w:val="20"/>
        </w:rPr>
      </w:pPr>
      <w:r w:rsidRPr="00987B12">
        <w:rPr>
          <w:szCs w:val="20"/>
        </w:rPr>
        <w:t>inflammation of the eye lid and eye swelling</w:t>
      </w:r>
    </w:p>
    <w:p w14:paraId="2E1DEDD0" w14:textId="77777777" w:rsidR="00B05E81" w:rsidRPr="00987B12" w:rsidRDefault="00944B8F" w:rsidP="00D51999">
      <w:pPr>
        <w:numPr>
          <w:ilvl w:val="0"/>
          <w:numId w:val="56"/>
        </w:numPr>
        <w:tabs>
          <w:tab w:val="clear" w:pos="562"/>
          <w:tab w:val="num" w:pos="360"/>
        </w:tabs>
        <w:ind w:left="360"/>
        <w:rPr>
          <w:szCs w:val="20"/>
        </w:rPr>
      </w:pPr>
      <w:r w:rsidRPr="00987B12">
        <w:rPr>
          <w:szCs w:val="20"/>
        </w:rPr>
        <w:t>vertigo (feeling of dizziness or spinning)</w:t>
      </w:r>
    </w:p>
    <w:p w14:paraId="4D390873" w14:textId="77777777" w:rsidR="00B05E81" w:rsidRPr="00987B12" w:rsidRDefault="00944B8F" w:rsidP="00D51999">
      <w:pPr>
        <w:numPr>
          <w:ilvl w:val="0"/>
          <w:numId w:val="56"/>
        </w:numPr>
        <w:tabs>
          <w:tab w:val="clear" w:pos="562"/>
          <w:tab w:val="num" w:pos="360"/>
        </w:tabs>
        <w:ind w:left="360"/>
        <w:rPr>
          <w:szCs w:val="20"/>
        </w:rPr>
      </w:pPr>
      <w:r w:rsidRPr="00987B12">
        <w:rPr>
          <w:szCs w:val="20"/>
        </w:rPr>
        <w:t>sensation of heart beating rapidly</w:t>
      </w:r>
    </w:p>
    <w:p w14:paraId="2005FB5F" w14:textId="77777777" w:rsidR="00B05E81" w:rsidRPr="00987B12" w:rsidRDefault="00944B8F" w:rsidP="00D51999">
      <w:pPr>
        <w:numPr>
          <w:ilvl w:val="0"/>
          <w:numId w:val="56"/>
        </w:numPr>
        <w:tabs>
          <w:tab w:val="clear" w:pos="562"/>
          <w:tab w:val="num" w:pos="360"/>
        </w:tabs>
        <w:ind w:left="360"/>
        <w:rPr>
          <w:szCs w:val="20"/>
        </w:rPr>
      </w:pPr>
      <w:r w:rsidRPr="00987B12">
        <w:rPr>
          <w:szCs w:val="20"/>
        </w:rPr>
        <w:t>high blood pressure</w:t>
      </w:r>
    </w:p>
    <w:p w14:paraId="20892BF4" w14:textId="77777777" w:rsidR="00B05E81" w:rsidRPr="00987B12" w:rsidRDefault="00944B8F" w:rsidP="00D51999">
      <w:pPr>
        <w:numPr>
          <w:ilvl w:val="0"/>
          <w:numId w:val="56"/>
        </w:numPr>
        <w:tabs>
          <w:tab w:val="clear" w:pos="562"/>
          <w:tab w:val="num" w:pos="360"/>
        </w:tabs>
        <w:ind w:left="360"/>
        <w:rPr>
          <w:szCs w:val="20"/>
        </w:rPr>
      </w:pPr>
      <w:r w:rsidRPr="00987B12">
        <w:rPr>
          <w:szCs w:val="20"/>
        </w:rPr>
        <w:t>flushing</w:t>
      </w:r>
    </w:p>
    <w:p w14:paraId="4967EB35" w14:textId="77777777" w:rsidR="00B05E81" w:rsidRPr="00987B12" w:rsidRDefault="00944B8F" w:rsidP="00D51999">
      <w:pPr>
        <w:numPr>
          <w:ilvl w:val="0"/>
          <w:numId w:val="56"/>
        </w:numPr>
        <w:tabs>
          <w:tab w:val="clear" w:pos="562"/>
          <w:tab w:val="num" w:pos="360"/>
        </w:tabs>
        <w:ind w:left="360"/>
        <w:rPr>
          <w:szCs w:val="20"/>
        </w:rPr>
      </w:pPr>
      <w:r w:rsidRPr="00987B12">
        <w:rPr>
          <w:szCs w:val="20"/>
        </w:rPr>
        <w:t>haematoma (collection of blood outside of blood vessels)</w:t>
      </w:r>
    </w:p>
    <w:p w14:paraId="32B7399B" w14:textId="77777777" w:rsidR="00B05E81" w:rsidRPr="00987B12" w:rsidRDefault="00944B8F" w:rsidP="00D51999">
      <w:pPr>
        <w:numPr>
          <w:ilvl w:val="0"/>
          <w:numId w:val="56"/>
        </w:numPr>
        <w:tabs>
          <w:tab w:val="clear" w:pos="562"/>
          <w:tab w:val="num" w:pos="360"/>
        </w:tabs>
        <w:ind w:left="360"/>
        <w:rPr>
          <w:szCs w:val="20"/>
        </w:rPr>
      </w:pPr>
      <w:r w:rsidRPr="00987B12">
        <w:rPr>
          <w:szCs w:val="20"/>
        </w:rPr>
        <w:t>cough</w:t>
      </w:r>
    </w:p>
    <w:p w14:paraId="3A29B19F" w14:textId="77777777" w:rsidR="00B05E81" w:rsidRPr="00987B12" w:rsidRDefault="00944B8F" w:rsidP="00D51999">
      <w:pPr>
        <w:numPr>
          <w:ilvl w:val="0"/>
          <w:numId w:val="56"/>
        </w:numPr>
        <w:tabs>
          <w:tab w:val="clear" w:pos="562"/>
          <w:tab w:val="num" w:pos="360"/>
        </w:tabs>
        <w:ind w:left="360"/>
        <w:rPr>
          <w:szCs w:val="20"/>
        </w:rPr>
      </w:pPr>
      <w:r w:rsidRPr="00987B12">
        <w:rPr>
          <w:szCs w:val="20"/>
        </w:rPr>
        <w:t>asthma</w:t>
      </w:r>
    </w:p>
    <w:p w14:paraId="6C8FF115" w14:textId="77777777" w:rsidR="00B05E81" w:rsidRPr="00987B12" w:rsidRDefault="00944B8F" w:rsidP="00D51999">
      <w:pPr>
        <w:numPr>
          <w:ilvl w:val="0"/>
          <w:numId w:val="56"/>
        </w:numPr>
        <w:tabs>
          <w:tab w:val="clear" w:pos="562"/>
          <w:tab w:val="num" w:pos="360"/>
        </w:tabs>
        <w:ind w:left="360"/>
        <w:rPr>
          <w:szCs w:val="20"/>
        </w:rPr>
      </w:pPr>
      <w:r w:rsidRPr="00987B12">
        <w:rPr>
          <w:szCs w:val="20"/>
        </w:rPr>
        <w:t>shortness of breath</w:t>
      </w:r>
    </w:p>
    <w:p w14:paraId="6920A80A" w14:textId="77777777" w:rsidR="00B05E81" w:rsidRPr="00987B12" w:rsidRDefault="00944B8F" w:rsidP="00D51999">
      <w:pPr>
        <w:numPr>
          <w:ilvl w:val="0"/>
          <w:numId w:val="56"/>
        </w:numPr>
        <w:tabs>
          <w:tab w:val="clear" w:pos="562"/>
          <w:tab w:val="num" w:pos="360"/>
        </w:tabs>
        <w:ind w:left="360"/>
        <w:rPr>
          <w:szCs w:val="20"/>
        </w:rPr>
      </w:pPr>
      <w:r w:rsidRPr="00987B12">
        <w:rPr>
          <w:szCs w:val="20"/>
        </w:rPr>
        <w:t>gastrointestinal bleeding</w:t>
      </w:r>
    </w:p>
    <w:p w14:paraId="24DB79C0" w14:textId="77777777" w:rsidR="00B05E81" w:rsidRPr="00987B12" w:rsidRDefault="00944B8F" w:rsidP="00D51999">
      <w:pPr>
        <w:numPr>
          <w:ilvl w:val="0"/>
          <w:numId w:val="56"/>
        </w:numPr>
        <w:tabs>
          <w:tab w:val="clear" w:pos="562"/>
          <w:tab w:val="num" w:pos="360"/>
        </w:tabs>
        <w:ind w:left="360"/>
        <w:rPr>
          <w:szCs w:val="20"/>
        </w:rPr>
      </w:pPr>
      <w:r w:rsidRPr="00987B12">
        <w:rPr>
          <w:szCs w:val="20"/>
        </w:rPr>
        <w:t>dyspepsia (indigestion, bloating, heart burn)</w:t>
      </w:r>
    </w:p>
    <w:p w14:paraId="12DA86BB" w14:textId="77777777" w:rsidR="00B05E81" w:rsidRPr="00987B12" w:rsidRDefault="00944B8F" w:rsidP="00D51999">
      <w:pPr>
        <w:numPr>
          <w:ilvl w:val="0"/>
          <w:numId w:val="56"/>
        </w:numPr>
        <w:tabs>
          <w:tab w:val="clear" w:pos="562"/>
          <w:tab w:val="num" w:pos="360"/>
        </w:tabs>
        <w:ind w:left="360"/>
        <w:rPr>
          <w:szCs w:val="20"/>
        </w:rPr>
      </w:pPr>
      <w:r w:rsidRPr="00987B12">
        <w:rPr>
          <w:szCs w:val="20"/>
        </w:rPr>
        <w:t>acid reflux disease</w:t>
      </w:r>
    </w:p>
    <w:p w14:paraId="646F6E73" w14:textId="77777777" w:rsidR="00B05E81" w:rsidRPr="00987B12" w:rsidRDefault="00944B8F" w:rsidP="00D51999">
      <w:pPr>
        <w:numPr>
          <w:ilvl w:val="0"/>
          <w:numId w:val="56"/>
        </w:numPr>
        <w:tabs>
          <w:tab w:val="clear" w:pos="562"/>
          <w:tab w:val="num" w:pos="360"/>
        </w:tabs>
        <w:ind w:left="360"/>
        <w:rPr>
          <w:szCs w:val="20"/>
        </w:rPr>
      </w:pPr>
      <w:r w:rsidRPr="00987B12">
        <w:rPr>
          <w:szCs w:val="20"/>
        </w:rPr>
        <w:t>sicca syndrome (including dry eyes and dry mouth)</w:t>
      </w:r>
    </w:p>
    <w:p w14:paraId="21ED2CA9" w14:textId="77777777" w:rsidR="00B05E81" w:rsidRPr="00987B12" w:rsidRDefault="00944B8F" w:rsidP="00D51999">
      <w:pPr>
        <w:numPr>
          <w:ilvl w:val="0"/>
          <w:numId w:val="56"/>
        </w:numPr>
        <w:tabs>
          <w:tab w:val="clear" w:pos="562"/>
          <w:tab w:val="num" w:pos="360"/>
        </w:tabs>
        <w:ind w:left="360"/>
        <w:rPr>
          <w:szCs w:val="20"/>
        </w:rPr>
      </w:pPr>
      <w:r w:rsidRPr="00987B12">
        <w:rPr>
          <w:szCs w:val="20"/>
        </w:rPr>
        <w:t>itching</w:t>
      </w:r>
    </w:p>
    <w:p w14:paraId="22D7250A" w14:textId="77777777" w:rsidR="00B05E81" w:rsidRPr="001E71EE" w:rsidRDefault="00944B8F" w:rsidP="00D51999">
      <w:pPr>
        <w:numPr>
          <w:ilvl w:val="0"/>
          <w:numId w:val="56"/>
        </w:numPr>
        <w:tabs>
          <w:tab w:val="clear" w:pos="562"/>
          <w:tab w:val="num" w:pos="360"/>
        </w:tabs>
        <w:ind w:left="360"/>
        <w:rPr>
          <w:szCs w:val="20"/>
        </w:rPr>
      </w:pPr>
      <w:r w:rsidRPr="001E71EE">
        <w:rPr>
          <w:szCs w:val="20"/>
        </w:rPr>
        <w:t>itchy rash</w:t>
      </w:r>
    </w:p>
    <w:p w14:paraId="32B4BBB6" w14:textId="77777777" w:rsidR="00B05E81" w:rsidRPr="001E71EE" w:rsidRDefault="00944B8F" w:rsidP="00D51999">
      <w:pPr>
        <w:numPr>
          <w:ilvl w:val="0"/>
          <w:numId w:val="56"/>
        </w:numPr>
        <w:tabs>
          <w:tab w:val="clear" w:pos="562"/>
          <w:tab w:val="num" w:pos="360"/>
        </w:tabs>
        <w:ind w:left="360"/>
        <w:rPr>
          <w:szCs w:val="20"/>
        </w:rPr>
      </w:pPr>
      <w:r w:rsidRPr="001E71EE">
        <w:rPr>
          <w:szCs w:val="20"/>
        </w:rPr>
        <w:t>bruising</w:t>
      </w:r>
    </w:p>
    <w:p w14:paraId="5A920F1B" w14:textId="77777777" w:rsidR="00B05E81" w:rsidRPr="001E71EE" w:rsidRDefault="00944B8F" w:rsidP="00D51999">
      <w:pPr>
        <w:numPr>
          <w:ilvl w:val="0"/>
          <w:numId w:val="56"/>
        </w:numPr>
        <w:tabs>
          <w:tab w:val="clear" w:pos="562"/>
          <w:tab w:val="num" w:pos="360"/>
        </w:tabs>
        <w:ind w:left="360"/>
        <w:rPr>
          <w:szCs w:val="20"/>
        </w:rPr>
      </w:pPr>
      <w:r w:rsidRPr="001E71EE">
        <w:rPr>
          <w:szCs w:val="20"/>
        </w:rPr>
        <w:t>inflammation of the skin (such as eczema)</w:t>
      </w:r>
    </w:p>
    <w:p w14:paraId="305A5E6B" w14:textId="77777777" w:rsidR="00B05E81" w:rsidRPr="001E71EE" w:rsidRDefault="00944B8F" w:rsidP="00D51999">
      <w:pPr>
        <w:numPr>
          <w:ilvl w:val="0"/>
          <w:numId w:val="56"/>
        </w:numPr>
        <w:tabs>
          <w:tab w:val="clear" w:pos="562"/>
          <w:tab w:val="num" w:pos="360"/>
        </w:tabs>
        <w:ind w:left="360"/>
        <w:rPr>
          <w:szCs w:val="20"/>
        </w:rPr>
      </w:pPr>
      <w:r w:rsidRPr="001E71EE">
        <w:rPr>
          <w:szCs w:val="20"/>
        </w:rPr>
        <w:t>breaking of finger nails and toe nails</w:t>
      </w:r>
    </w:p>
    <w:p w14:paraId="15E50005" w14:textId="77777777" w:rsidR="00B05E81" w:rsidRPr="001E71EE" w:rsidRDefault="00944B8F" w:rsidP="00D51999">
      <w:pPr>
        <w:numPr>
          <w:ilvl w:val="0"/>
          <w:numId w:val="56"/>
        </w:numPr>
        <w:tabs>
          <w:tab w:val="clear" w:pos="562"/>
          <w:tab w:val="num" w:pos="360"/>
        </w:tabs>
        <w:ind w:left="360"/>
        <w:rPr>
          <w:szCs w:val="20"/>
        </w:rPr>
      </w:pPr>
      <w:r w:rsidRPr="001E71EE">
        <w:rPr>
          <w:szCs w:val="20"/>
        </w:rPr>
        <w:t>increased sweating</w:t>
      </w:r>
    </w:p>
    <w:p w14:paraId="0D3E8ECB" w14:textId="77777777" w:rsidR="00B05E81" w:rsidRPr="001E71EE" w:rsidRDefault="00944B8F" w:rsidP="00D51999">
      <w:pPr>
        <w:numPr>
          <w:ilvl w:val="0"/>
          <w:numId w:val="56"/>
        </w:numPr>
        <w:tabs>
          <w:tab w:val="clear" w:pos="562"/>
          <w:tab w:val="num" w:pos="360"/>
        </w:tabs>
        <w:ind w:left="360"/>
        <w:rPr>
          <w:szCs w:val="20"/>
        </w:rPr>
      </w:pPr>
      <w:r w:rsidRPr="001E71EE">
        <w:rPr>
          <w:szCs w:val="20"/>
        </w:rPr>
        <w:t>hair loss</w:t>
      </w:r>
    </w:p>
    <w:p w14:paraId="33F8C675" w14:textId="77777777" w:rsidR="00B05E81" w:rsidRPr="001E71EE" w:rsidRDefault="00944B8F" w:rsidP="00D51999">
      <w:pPr>
        <w:numPr>
          <w:ilvl w:val="0"/>
          <w:numId w:val="56"/>
        </w:numPr>
        <w:tabs>
          <w:tab w:val="clear" w:pos="562"/>
          <w:tab w:val="num" w:pos="360"/>
        </w:tabs>
        <w:ind w:left="360"/>
        <w:rPr>
          <w:szCs w:val="20"/>
        </w:rPr>
      </w:pPr>
      <w:r w:rsidRPr="001E71EE">
        <w:rPr>
          <w:szCs w:val="20"/>
        </w:rPr>
        <w:t>new onset or worsening of psoriasis</w:t>
      </w:r>
    </w:p>
    <w:p w14:paraId="69E23FA2" w14:textId="77777777" w:rsidR="00B05E81" w:rsidRPr="001E71EE" w:rsidRDefault="00944B8F" w:rsidP="00D51999">
      <w:pPr>
        <w:numPr>
          <w:ilvl w:val="0"/>
          <w:numId w:val="56"/>
        </w:numPr>
        <w:tabs>
          <w:tab w:val="clear" w:pos="562"/>
          <w:tab w:val="num" w:pos="360"/>
        </w:tabs>
        <w:ind w:left="360"/>
        <w:rPr>
          <w:szCs w:val="20"/>
        </w:rPr>
      </w:pPr>
      <w:r w:rsidRPr="001E71EE">
        <w:rPr>
          <w:szCs w:val="20"/>
        </w:rPr>
        <w:t>muscle spasms</w:t>
      </w:r>
    </w:p>
    <w:p w14:paraId="27B00E7B" w14:textId="77777777" w:rsidR="00B05E81" w:rsidRPr="001E71EE" w:rsidRDefault="00944B8F" w:rsidP="00D51999">
      <w:pPr>
        <w:numPr>
          <w:ilvl w:val="0"/>
          <w:numId w:val="56"/>
        </w:numPr>
        <w:tabs>
          <w:tab w:val="clear" w:pos="562"/>
          <w:tab w:val="num" w:pos="360"/>
        </w:tabs>
        <w:ind w:left="360"/>
        <w:rPr>
          <w:szCs w:val="20"/>
        </w:rPr>
      </w:pPr>
      <w:r w:rsidRPr="001E71EE">
        <w:rPr>
          <w:szCs w:val="20"/>
        </w:rPr>
        <w:t>blood in urine</w:t>
      </w:r>
    </w:p>
    <w:p w14:paraId="28285C5A" w14:textId="77777777" w:rsidR="00B05E81" w:rsidRPr="001E71EE" w:rsidRDefault="00944B8F" w:rsidP="00D51999">
      <w:pPr>
        <w:numPr>
          <w:ilvl w:val="0"/>
          <w:numId w:val="56"/>
        </w:numPr>
        <w:tabs>
          <w:tab w:val="clear" w:pos="562"/>
          <w:tab w:val="num" w:pos="360"/>
        </w:tabs>
        <w:ind w:left="360"/>
        <w:rPr>
          <w:szCs w:val="20"/>
        </w:rPr>
      </w:pPr>
      <w:r w:rsidRPr="001E71EE">
        <w:rPr>
          <w:szCs w:val="20"/>
        </w:rPr>
        <w:t>kidney problems</w:t>
      </w:r>
    </w:p>
    <w:p w14:paraId="2F6BB01A" w14:textId="77777777" w:rsidR="00B05E81" w:rsidRPr="001E71EE" w:rsidRDefault="00944B8F" w:rsidP="00D51999">
      <w:pPr>
        <w:numPr>
          <w:ilvl w:val="0"/>
          <w:numId w:val="56"/>
        </w:numPr>
        <w:tabs>
          <w:tab w:val="clear" w:pos="562"/>
          <w:tab w:val="num" w:pos="360"/>
        </w:tabs>
        <w:ind w:left="360"/>
        <w:rPr>
          <w:szCs w:val="20"/>
        </w:rPr>
      </w:pPr>
      <w:r w:rsidRPr="001E71EE">
        <w:rPr>
          <w:szCs w:val="20"/>
        </w:rPr>
        <w:t>chest pain</w:t>
      </w:r>
    </w:p>
    <w:p w14:paraId="514FB341" w14:textId="77777777" w:rsidR="00B05E81" w:rsidRPr="001E71EE" w:rsidRDefault="00944B8F" w:rsidP="00D51999">
      <w:pPr>
        <w:numPr>
          <w:ilvl w:val="0"/>
          <w:numId w:val="56"/>
        </w:numPr>
        <w:tabs>
          <w:tab w:val="clear" w:pos="562"/>
          <w:tab w:val="num" w:pos="360"/>
        </w:tabs>
        <w:ind w:left="360"/>
        <w:rPr>
          <w:szCs w:val="20"/>
        </w:rPr>
      </w:pPr>
      <w:r w:rsidRPr="001E71EE">
        <w:rPr>
          <w:szCs w:val="20"/>
        </w:rPr>
        <w:t>oedema (swelling)</w:t>
      </w:r>
    </w:p>
    <w:p w14:paraId="799CAE55" w14:textId="77777777" w:rsidR="00B05E81" w:rsidRPr="001E71EE" w:rsidRDefault="00944B8F" w:rsidP="00D51999">
      <w:pPr>
        <w:numPr>
          <w:ilvl w:val="0"/>
          <w:numId w:val="56"/>
        </w:numPr>
        <w:tabs>
          <w:tab w:val="clear" w:pos="562"/>
          <w:tab w:val="num" w:pos="360"/>
        </w:tabs>
        <w:ind w:left="360"/>
        <w:rPr>
          <w:szCs w:val="20"/>
        </w:rPr>
      </w:pPr>
      <w:r w:rsidRPr="001E71EE">
        <w:rPr>
          <w:szCs w:val="20"/>
        </w:rPr>
        <w:t>fever</w:t>
      </w:r>
    </w:p>
    <w:p w14:paraId="0AD8FE66" w14:textId="77777777" w:rsidR="00B05E81" w:rsidRPr="00987B12" w:rsidRDefault="00944B8F" w:rsidP="00D51999">
      <w:pPr>
        <w:numPr>
          <w:ilvl w:val="0"/>
          <w:numId w:val="56"/>
        </w:numPr>
        <w:tabs>
          <w:tab w:val="clear" w:pos="562"/>
          <w:tab w:val="num" w:pos="360"/>
        </w:tabs>
        <w:ind w:left="360"/>
        <w:rPr>
          <w:szCs w:val="20"/>
        </w:rPr>
      </w:pPr>
      <w:r w:rsidRPr="00987B12">
        <w:rPr>
          <w:szCs w:val="20"/>
        </w:rPr>
        <w:t>reduction in blood platelets which increases risk of bleeding or bruising</w:t>
      </w:r>
    </w:p>
    <w:p w14:paraId="41A44AEC" w14:textId="77777777" w:rsidR="00B05E81" w:rsidRPr="00987B12" w:rsidRDefault="00944B8F" w:rsidP="00D51999">
      <w:pPr>
        <w:numPr>
          <w:ilvl w:val="0"/>
          <w:numId w:val="56"/>
        </w:numPr>
        <w:tabs>
          <w:tab w:val="clear" w:pos="562"/>
          <w:tab w:val="num" w:pos="360"/>
        </w:tabs>
        <w:ind w:left="360"/>
        <w:rPr>
          <w:szCs w:val="20"/>
        </w:rPr>
      </w:pPr>
      <w:r w:rsidRPr="00987B12">
        <w:rPr>
          <w:szCs w:val="20"/>
        </w:rPr>
        <w:t>impaired healing</w:t>
      </w:r>
    </w:p>
    <w:p w14:paraId="56DB1E98" w14:textId="77777777" w:rsidR="00B05E81" w:rsidRPr="001E71EE" w:rsidRDefault="00B05E81" w:rsidP="00B05E81">
      <w:pPr>
        <w:tabs>
          <w:tab w:val="clear" w:pos="562"/>
          <w:tab w:val="num" w:pos="550"/>
        </w:tabs>
        <w:ind w:left="550" w:hanging="550"/>
      </w:pPr>
    </w:p>
    <w:p w14:paraId="2F318569" w14:textId="77777777" w:rsidR="00B05E81" w:rsidRPr="001E71EE" w:rsidRDefault="00944B8F" w:rsidP="00B05E81">
      <w:pPr>
        <w:tabs>
          <w:tab w:val="clear" w:pos="562"/>
          <w:tab w:val="num" w:pos="550"/>
        </w:tabs>
        <w:ind w:left="550" w:hanging="550"/>
      </w:pPr>
      <w:r w:rsidRPr="00FA2E03">
        <w:rPr>
          <w:b/>
        </w:rPr>
        <w:t xml:space="preserve">Uncommon </w:t>
      </w:r>
      <w:r w:rsidRPr="001E71EE">
        <w:t xml:space="preserve">(may affect up to 1 in 100 people)  </w:t>
      </w:r>
    </w:p>
    <w:p w14:paraId="19D7DEF8" w14:textId="77777777" w:rsidR="00B05E81" w:rsidRPr="001E71EE" w:rsidRDefault="00B05E81" w:rsidP="00B05E81">
      <w:pPr>
        <w:tabs>
          <w:tab w:val="clear" w:pos="562"/>
          <w:tab w:val="num" w:pos="550"/>
        </w:tabs>
        <w:ind w:left="550" w:hanging="550"/>
      </w:pPr>
    </w:p>
    <w:p w14:paraId="0991910F" w14:textId="77777777" w:rsidR="00B05E81" w:rsidRPr="00987B12" w:rsidRDefault="00944B8F" w:rsidP="00D51999">
      <w:pPr>
        <w:numPr>
          <w:ilvl w:val="0"/>
          <w:numId w:val="56"/>
        </w:numPr>
        <w:tabs>
          <w:tab w:val="clear" w:pos="562"/>
          <w:tab w:val="num" w:pos="360"/>
        </w:tabs>
        <w:ind w:left="360"/>
        <w:rPr>
          <w:szCs w:val="20"/>
        </w:rPr>
      </w:pPr>
      <w:r w:rsidRPr="00987B12">
        <w:rPr>
          <w:szCs w:val="20"/>
        </w:rPr>
        <w:t>opportunistic infections (which include tuberculosis and other infections that occur when resistance to disease is lowered)</w:t>
      </w:r>
    </w:p>
    <w:p w14:paraId="3076B26F" w14:textId="77777777" w:rsidR="00B05E81" w:rsidRPr="00987B12" w:rsidRDefault="00944B8F" w:rsidP="00D51999">
      <w:pPr>
        <w:numPr>
          <w:ilvl w:val="0"/>
          <w:numId w:val="56"/>
        </w:numPr>
        <w:tabs>
          <w:tab w:val="clear" w:pos="562"/>
          <w:tab w:val="num" w:pos="360"/>
        </w:tabs>
        <w:ind w:left="360"/>
        <w:rPr>
          <w:szCs w:val="20"/>
        </w:rPr>
      </w:pPr>
      <w:r w:rsidRPr="00987B12">
        <w:rPr>
          <w:szCs w:val="20"/>
        </w:rPr>
        <w:t>neurological infections (including viral meningitis)</w:t>
      </w:r>
    </w:p>
    <w:p w14:paraId="54A818D3" w14:textId="77777777" w:rsidR="00B05E81" w:rsidRPr="00987B12" w:rsidRDefault="00944B8F" w:rsidP="00D51999">
      <w:pPr>
        <w:numPr>
          <w:ilvl w:val="0"/>
          <w:numId w:val="56"/>
        </w:numPr>
        <w:tabs>
          <w:tab w:val="clear" w:pos="562"/>
          <w:tab w:val="num" w:pos="360"/>
        </w:tabs>
        <w:ind w:left="360"/>
        <w:rPr>
          <w:szCs w:val="20"/>
        </w:rPr>
      </w:pPr>
      <w:r w:rsidRPr="00987B12">
        <w:rPr>
          <w:szCs w:val="20"/>
        </w:rPr>
        <w:t>eye infections</w:t>
      </w:r>
    </w:p>
    <w:p w14:paraId="4FCD41F3" w14:textId="77777777" w:rsidR="00B05E81" w:rsidRPr="00987B12" w:rsidRDefault="00944B8F" w:rsidP="00D51999">
      <w:pPr>
        <w:numPr>
          <w:ilvl w:val="0"/>
          <w:numId w:val="56"/>
        </w:numPr>
        <w:tabs>
          <w:tab w:val="clear" w:pos="562"/>
          <w:tab w:val="num" w:pos="360"/>
        </w:tabs>
        <w:ind w:left="360"/>
        <w:rPr>
          <w:szCs w:val="20"/>
        </w:rPr>
      </w:pPr>
      <w:r w:rsidRPr="00987B12">
        <w:rPr>
          <w:szCs w:val="20"/>
        </w:rPr>
        <w:t>bacterial infections</w:t>
      </w:r>
    </w:p>
    <w:p w14:paraId="1067E551" w14:textId="77777777" w:rsidR="00B05E81" w:rsidRPr="00987B12" w:rsidRDefault="00944B8F" w:rsidP="00D51999">
      <w:pPr>
        <w:numPr>
          <w:ilvl w:val="0"/>
          <w:numId w:val="56"/>
        </w:numPr>
        <w:tabs>
          <w:tab w:val="clear" w:pos="562"/>
          <w:tab w:val="num" w:pos="360"/>
        </w:tabs>
        <w:ind w:left="360"/>
        <w:rPr>
          <w:szCs w:val="20"/>
        </w:rPr>
      </w:pPr>
      <w:r w:rsidRPr="00987B12">
        <w:rPr>
          <w:szCs w:val="20"/>
        </w:rPr>
        <w:t>diverticulitis (inflammation and infection of the large intestine)</w:t>
      </w:r>
    </w:p>
    <w:p w14:paraId="7CD50653" w14:textId="77777777" w:rsidR="00B05E81" w:rsidRPr="00987B12" w:rsidRDefault="00944B8F" w:rsidP="00D51999">
      <w:pPr>
        <w:numPr>
          <w:ilvl w:val="0"/>
          <w:numId w:val="56"/>
        </w:numPr>
        <w:tabs>
          <w:tab w:val="clear" w:pos="562"/>
          <w:tab w:val="num" w:pos="360"/>
        </w:tabs>
        <w:ind w:left="360"/>
        <w:rPr>
          <w:szCs w:val="20"/>
        </w:rPr>
      </w:pPr>
      <w:r w:rsidRPr="00987B12">
        <w:rPr>
          <w:szCs w:val="20"/>
        </w:rPr>
        <w:t>cancer</w:t>
      </w:r>
    </w:p>
    <w:p w14:paraId="13609D4F" w14:textId="77777777" w:rsidR="00B05E81" w:rsidRPr="00987B12" w:rsidRDefault="00944B8F" w:rsidP="00D51999">
      <w:pPr>
        <w:numPr>
          <w:ilvl w:val="0"/>
          <w:numId w:val="56"/>
        </w:numPr>
        <w:tabs>
          <w:tab w:val="clear" w:pos="562"/>
          <w:tab w:val="num" w:pos="360"/>
        </w:tabs>
        <w:ind w:left="360"/>
        <w:rPr>
          <w:szCs w:val="20"/>
        </w:rPr>
      </w:pPr>
      <w:r w:rsidRPr="00987B12">
        <w:rPr>
          <w:szCs w:val="20"/>
        </w:rPr>
        <w:lastRenderedPageBreak/>
        <w:t>cancer that affects the lymph system</w:t>
      </w:r>
    </w:p>
    <w:p w14:paraId="7C7F9C9D" w14:textId="77777777" w:rsidR="00B05E81" w:rsidRPr="00987B12" w:rsidRDefault="00944B8F" w:rsidP="00D51999">
      <w:pPr>
        <w:numPr>
          <w:ilvl w:val="0"/>
          <w:numId w:val="56"/>
        </w:numPr>
        <w:tabs>
          <w:tab w:val="clear" w:pos="562"/>
          <w:tab w:val="num" w:pos="360"/>
        </w:tabs>
        <w:ind w:left="360"/>
        <w:rPr>
          <w:szCs w:val="20"/>
        </w:rPr>
      </w:pPr>
      <w:r w:rsidRPr="00987B12">
        <w:rPr>
          <w:szCs w:val="20"/>
        </w:rPr>
        <w:t>melanoma</w:t>
      </w:r>
    </w:p>
    <w:p w14:paraId="46A826B9" w14:textId="77777777" w:rsidR="00B05E81" w:rsidRPr="00987B12" w:rsidRDefault="00944B8F" w:rsidP="00D51999">
      <w:pPr>
        <w:numPr>
          <w:ilvl w:val="0"/>
          <w:numId w:val="56"/>
        </w:numPr>
        <w:tabs>
          <w:tab w:val="clear" w:pos="562"/>
          <w:tab w:val="num" w:pos="360"/>
        </w:tabs>
        <w:ind w:left="360"/>
        <w:rPr>
          <w:szCs w:val="20"/>
        </w:rPr>
      </w:pPr>
      <w:r w:rsidRPr="00987B12">
        <w:rPr>
          <w:szCs w:val="20"/>
        </w:rPr>
        <w:t>immune disorders that could affect the lungs, skin and lymph nodes (most commonly presenting as sarcoidosis)</w:t>
      </w:r>
    </w:p>
    <w:p w14:paraId="3BE2726E" w14:textId="77777777" w:rsidR="00B05E81" w:rsidRPr="00987B12" w:rsidRDefault="00944B8F" w:rsidP="00D51999">
      <w:pPr>
        <w:numPr>
          <w:ilvl w:val="0"/>
          <w:numId w:val="56"/>
        </w:numPr>
        <w:tabs>
          <w:tab w:val="clear" w:pos="562"/>
          <w:tab w:val="num" w:pos="360"/>
        </w:tabs>
        <w:ind w:left="360"/>
        <w:rPr>
          <w:szCs w:val="20"/>
        </w:rPr>
      </w:pPr>
      <w:r w:rsidRPr="00987B12">
        <w:rPr>
          <w:szCs w:val="20"/>
        </w:rPr>
        <w:t>vasculitis (inflammation of blood vessels)</w:t>
      </w:r>
    </w:p>
    <w:p w14:paraId="794CBD06" w14:textId="77777777" w:rsidR="00B05E81" w:rsidRPr="00987B12" w:rsidRDefault="00944B8F" w:rsidP="00D51999">
      <w:pPr>
        <w:numPr>
          <w:ilvl w:val="0"/>
          <w:numId w:val="56"/>
        </w:numPr>
        <w:tabs>
          <w:tab w:val="clear" w:pos="562"/>
          <w:tab w:val="num" w:pos="360"/>
        </w:tabs>
        <w:ind w:left="360"/>
        <w:rPr>
          <w:szCs w:val="20"/>
        </w:rPr>
      </w:pPr>
      <w:r w:rsidRPr="00987B12">
        <w:rPr>
          <w:szCs w:val="20"/>
        </w:rPr>
        <w:t>tremor (shaking)</w:t>
      </w:r>
    </w:p>
    <w:p w14:paraId="0FFC91EF" w14:textId="77777777" w:rsidR="00B05E81" w:rsidRPr="00987B12" w:rsidRDefault="00944B8F" w:rsidP="00D51999">
      <w:pPr>
        <w:numPr>
          <w:ilvl w:val="0"/>
          <w:numId w:val="56"/>
        </w:numPr>
        <w:tabs>
          <w:tab w:val="clear" w:pos="562"/>
          <w:tab w:val="num" w:pos="360"/>
        </w:tabs>
        <w:ind w:left="360"/>
        <w:rPr>
          <w:szCs w:val="20"/>
        </w:rPr>
      </w:pPr>
      <w:r w:rsidRPr="00987B12">
        <w:rPr>
          <w:szCs w:val="20"/>
        </w:rPr>
        <w:t>neuropathy (disorder of the nerves)</w:t>
      </w:r>
    </w:p>
    <w:p w14:paraId="67772FF3" w14:textId="77777777" w:rsidR="00B05E81" w:rsidRPr="00987B12" w:rsidRDefault="00944B8F" w:rsidP="00D51999">
      <w:pPr>
        <w:numPr>
          <w:ilvl w:val="0"/>
          <w:numId w:val="56"/>
        </w:numPr>
        <w:tabs>
          <w:tab w:val="clear" w:pos="562"/>
          <w:tab w:val="num" w:pos="360"/>
        </w:tabs>
        <w:ind w:left="360"/>
        <w:rPr>
          <w:szCs w:val="20"/>
        </w:rPr>
      </w:pPr>
      <w:r w:rsidRPr="00987B12">
        <w:rPr>
          <w:szCs w:val="20"/>
        </w:rPr>
        <w:t>stroke</w:t>
      </w:r>
    </w:p>
    <w:p w14:paraId="62776AF8" w14:textId="77777777" w:rsidR="00B05E81" w:rsidRPr="00987B12" w:rsidRDefault="00944B8F" w:rsidP="00D51999">
      <w:pPr>
        <w:numPr>
          <w:ilvl w:val="0"/>
          <w:numId w:val="56"/>
        </w:numPr>
        <w:tabs>
          <w:tab w:val="clear" w:pos="562"/>
          <w:tab w:val="num" w:pos="360"/>
        </w:tabs>
        <w:ind w:left="360"/>
        <w:rPr>
          <w:szCs w:val="20"/>
        </w:rPr>
      </w:pPr>
      <w:r w:rsidRPr="00987B12">
        <w:rPr>
          <w:szCs w:val="20"/>
        </w:rPr>
        <w:t>hearing loss, buzzing</w:t>
      </w:r>
    </w:p>
    <w:p w14:paraId="1A4FA94D" w14:textId="77777777" w:rsidR="00B05E81" w:rsidRPr="00987B12" w:rsidRDefault="00944B8F" w:rsidP="00D51999">
      <w:pPr>
        <w:numPr>
          <w:ilvl w:val="0"/>
          <w:numId w:val="56"/>
        </w:numPr>
        <w:tabs>
          <w:tab w:val="clear" w:pos="562"/>
          <w:tab w:val="num" w:pos="360"/>
        </w:tabs>
        <w:ind w:left="360"/>
        <w:rPr>
          <w:szCs w:val="20"/>
        </w:rPr>
      </w:pPr>
      <w:r w:rsidRPr="00987B12">
        <w:rPr>
          <w:szCs w:val="20"/>
        </w:rPr>
        <w:t>sensation of heart beating irregularly such as skipped beats</w:t>
      </w:r>
    </w:p>
    <w:p w14:paraId="7D1EB673" w14:textId="77777777" w:rsidR="00B05E81" w:rsidRPr="00987B12" w:rsidRDefault="00944B8F" w:rsidP="00D51999">
      <w:pPr>
        <w:numPr>
          <w:ilvl w:val="0"/>
          <w:numId w:val="56"/>
        </w:numPr>
        <w:tabs>
          <w:tab w:val="clear" w:pos="562"/>
          <w:tab w:val="num" w:pos="360"/>
        </w:tabs>
        <w:ind w:left="360"/>
        <w:rPr>
          <w:szCs w:val="20"/>
        </w:rPr>
      </w:pPr>
      <w:r w:rsidRPr="00987B12">
        <w:rPr>
          <w:szCs w:val="20"/>
        </w:rPr>
        <w:t>heart problems that can cause shortness of breath or ankle swelling</w:t>
      </w:r>
    </w:p>
    <w:p w14:paraId="1E4A64EC" w14:textId="77777777" w:rsidR="00B05E81" w:rsidRPr="00987B12" w:rsidRDefault="00944B8F" w:rsidP="00D51999">
      <w:pPr>
        <w:numPr>
          <w:ilvl w:val="0"/>
          <w:numId w:val="56"/>
        </w:numPr>
        <w:tabs>
          <w:tab w:val="clear" w:pos="562"/>
          <w:tab w:val="num" w:pos="360"/>
        </w:tabs>
        <w:ind w:left="360"/>
        <w:rPr>
          <w:szCs w:val="20"/>
        </w:rPr>
      </w:pPr>
      <w:r w:rsidRPr="00987B12">
        <w:rPr>
          <w:szCs w:val="20"/>
        </w:rPr>
        <w:t>heart attack</w:t>
      </w:r>
    </w:p>
    <w:p w14:paraId="270E710D" w14:textId="77777777" w:rsidR="00B05E81" w:rsidRPr="00987B12" w:rsidRDefault="00944B8F" w:rsidP="00D51999">
      <w:pPr>
        <w:numPr>
          <w:ilvl w:val="0"/>
          <w:numId w:val="56"/>
        </w:numPr>
        <w:tabs>
          <w:tab w:val="clear" w:pos="562"/>
          <w:tab w:val="num" w:pos="360"/>
        </w:tabs>
        <w:ind w:left="360"/>
        <w:rPr>
          <w:szCs w:val="20"/>
        </w:rPr>
      </w:pPr>
      <w:r w:rsidRPr="00987B12">
        <w:rPr>
          <w:szCs w:val="20"/>
        </w:rPr>
        <w:t>a sac in the wall of a major artery, inflammation and clot of a vein, blockage of a blood vessel</w:t>
      </w:r>
    </w:p>
    <w:p w14:paraId="7013C5DA" w14:textId="77777777" w:rsidR="00B05E81" w:rsidRPr="00987B12" w:rsidRDefault="00944B8F" w:rsidP="00D51999">
      <w:pPr>
        <w:numPr>
          <w:ilvl w:val="0"/>
          <w:numId w:val="56"/>
        </w:numPr>
        <w:tabs>
          <w:tab w:val="clear" w:pos="562"/>
          <w:tab w:val="num" w:pos="360"/>
        </w:tabs>
        <w:ind w:left="360"/>
        <w:rPr>
          <w:szCs w:val="20"/>
        </w:rPr>
      </w:pPr>
      <w:r w:rsidRPr="00987B12">
        <w:rPr>
          <w:szCs w:val="20"/>
        </w:rPr>
        <w:t>lung diseases causing shortness of breath (including inflammation)</w:t>
      </w:r>
    </w:p>
    <w:p w14:paraId="419A3CFF" w14:textId="77777777" w:rsidR="00B05E81" w:rsidRPr="00987B12" w:rsidRDefault="00944B8F" w:rsidP="00D51999">
      <w:pPr>
        <w:numPr>
          <w:ilvl w:val="0"/>
          <w:numId w:val="56"/>
        </w:numPr>
        <w:tabs>
          <w:tab w:val="clear" w:pos="562"/>
          <w:tab w:val="num" w:pos="360"/>
        </w:tabs>
        <w:ind w:left="360"/>
        <w:rPr>
          <w:szCs w:val="20"/>
        </w:rPr>
      </w:pPr>
      <w:r w:rsidRPr="00987B12">
        <w:rPr>
          <w:szCs w:val="20"/>
        </w:rPr>
        <w:t>pulmonary embolism (blockage in an artery of the lung)</w:t>
      </w:r>
    </w:p>
    <w:p w14:paraId="5522E5C4" w14:textId="77777777" w:rsidR="00B05E81" w:rsidRPr="00987B12" w:rsidRDefault="00944B8F" w:rsidP="00D51999">
      <w:pPr>
        <w:numPr>
          <w:ilvl w:val="0"/>
          <w:numId w:val="56"/>
        </w:numPr>
        <w:tabs>
          <w:tab w:val="clear" w:pos="562"/>
          <w:tab w:val="num" w:pos="360"/>
        </w:tabs>
        <w:ind w:left="360"/>
        <w:rPr>
          <w:szCs w:val="20"/>
        </w:rPr>
      </w:pPr>
      <w:r w:rsidRPr="00987B12">
        <w:rPr>
          <w:szCs w:val="20"/>
        </w:rPr>
        <w:t>pleural effusion (abnormal collection of fluid in the pleural space)</w:t>
      </w:r>
    </w:p>
    <w:p w14:paraId="36D575F5" w14:textId="77777777" w:rsidR="00B05E81" w:rsidRPr="00987B12" w:rsidRDefault="00944B8F" w:rsidP="00D51999">
      <w:pPr>
        <w:numPr>
          <w:ilvl w:val="0"/>
          <w:numId w:val="56"/>
        </w:numPr>
        <w:tabs>
          <w:tab w:val="clear" w:pos="562"/>
          <w:tab w:val="num" w:pos="360"/>
        </w:tabs>
        <w:ind w:left="360"/>
        <w:rPr>
          <w:szCs w:val="20"/>
        </w:rPr>
      </w:pPr>
      <w:r w:rsidRPr="00987B12">
        <w:rPr>
          <w:szCs w:val="20"/>
        </w:rPr>
        <w:t>inflammation of the pancreas which causes severe pain in the abdomen and back</w:t>
      </w:r>
    </w:p>
    <w:p w14:paraId="361B051B" w14:textId="77777777" w:rsidR="00B05E81" w:rsidRPr="00987B12" w:rsidRDefault="00944B8F" w:rsidP="00D51999">
      <w:pPr>
        <w:numPr>
          <w:ilvl w:val="0"/>
          <w:numId w:val="56"/>
        </w:numPr>
        <w:tabs>
          <w:tab w:val="clear" w:pos="562"/>
          <w:tab w:val="num" w:pos="360"/>
        </w:tabs>
        <w:ind w:left="360"/>
        <w:rPr>
          <w:szCs w:val="20"/>
        </w:rPr>
      </w:pPr>
      <w:r w:rsidRPr="00987B12">
        <w:rPr>
          <w:szCs w:val="20"/>
        </w:rPr>
        <w:t>difficulty in swallowing</w:t>
      </w:r>
    </w:p>
    <w:p w14:paraId="459FB320" w14:textId="77777777" w:rsidR="00B05E81" w:rsidRPr="00987B12" w:rsidRDefault="00944B8F" w:rsidP="00D51999">
      <w:pPr>
        <w:numPr>
          <w:ilvl w:val="0"/>
          <w:numId w:val="56"/>
        </w:numPr>
        <w:tabs>
          <w:tab w:val="clear" w:pos="562"/>
          <w:tab w:val="num" w:pos="360"/>
        </w:tabs>
        <w:ind w:left="360"/>
        <w:rPr>
          <w:szCs w:val="20"/>
        </w:rPr>
      </w:pPr>
      <w:r w:rsidRPr="00987B12">
        <w:rPr>
          <w:szCs w:val="20"/>
        </w:rPr>
        <w:t>facial oedema (swelling of the face)</w:t>
      </w:r>
    </w:p>
    <w:p w14:paraId="1AA7B60F" w14:textId="77777777" w:rsidR="00B05E81" w:rsidRPr="00987B12" w:rsidRDefault="00944B8F" w:rsidP="00D51999">
      <w:pPr>
        <w:numPr>
          <w:ilvl w:val="0"/>
          <w:numId w:val="56"/>
        </w:numPr>
        <w:tabs>
          <w:tab w:val="clear" w:pos="562"/>
          <w:tab w:val="num" w:pos="360"/>
        </w:tabs>
        <w:ind w:left="360"/>
        <w:rPr>
          <w:szCs w:val="20"/>
        </w:rPr>
      </w:pPr>
      <w:r w:rsidRPr="00987B12">
        <w:rPr>
          <w:szCs w:val="20"/>
        </w:rPr>
        <w:t>gallbladder inflammation, gallbladder stones</w:t>
      </w:r>
    </w:p>
    <w:p w14:paraId="2F00125A" w14:textId="77777777" w:rsidR="00B05E81" w:rsidRPr="00987B12" w:rsidRDefault="00944B8F" w:rsidP="00D51999">
      <w:pPr>
        <w:numPr>
          <w:ilvl w:val="0"/>
          <w:numId w:val="56"/>
        </w:numPr>
        <w:tabs>
          <w:tab w:val="clear" w:pos="562"/>
          <w:tab w:val="num" w:pos="360"/>
        </w:tabs>
        <w:ind w:left="360"/>
        <w:rPr>
          <w:szCs w:val="20"/>
        </w:rPr>
      </w:pPr>
      <w:r w:rsidRPr="00987B12">
        <w:rPr>
          <w:szCs w:val="20"/>
        </w:rPr>
        <w:t>fatty liver</w:t>
      </w:r>
    </w:p>
    <w:p w14:paraId="30CCC350" w14:textId="77777777" w:rsidR="00B05E81" w:rsidRPr="00987B12" w:rsidRDefault="00944B8F" w:rsidP="00D51999">
      <w:pPr>
        <w:numPr>
          <w:ilvl w:val="0"/>
          <w:numId w:val="56"/>
        </w:numPr>
        <w:tabs>
          <w:tab w:val="clear" w:pos="562"/>
          <w:tab w:val="num" w:pos="360"/>
        </w:tabs>
        <w:ind w:left="360"/>
        <w:rPr>
          <w:szCs w:val="20"/>
        </w:rPr>
      </w:pPr>
      <w:r w:rsidRPr="00987B12">
        <w:rPr>
          <w:szCs w:val="20"/>
        </w:rPr>
        <w:t>night sweats</w:t>
      </w:r>
    </w:p>
    <w:p w14:paraId="3A6DABE1" w14:textId="77777777" w:rsidR="00B05E81" w:rsidRPr="00987B12" w:rsidRDefault="00944B8F" w:rsidP="00D51999">
      <w:pPr>
        <w:numPr>
          <w:ilvl w:val="0"/>
          <w:numId w:val="56"/>
        </w:numPr>
        <w:tabs>
          <w:tab w:val="clear" w:pos="562"/>
          <w:tab w:val="num" w:pos="360"/>
        </w:tabs>
        <w:ind w:left="360"/>
        <w:rPr>
          <w:szCs w:val="20"/>
        </w:rPr>
      </w:pPr>
      <w:r w:rsidRPr="00987B12">
        <w:rPr>
          <w:szCs w:val="20"/>
        </w:rPr>
        <w:t>scar</w:t>
      </w:r>
    </w:p>
    <w:p w14:paraId="1C67AC16" w14:textId="77777777" w:rsidR="00B05E81" w:rsidRPr="00987B12" w:rsidRDefault="00944B8F" w:rsidP="00D51999">
      <w:pPr>
        <w:numPr>
          <w:ilvl w:val="0"/>
          <w:numId w:val="56"/>
        </w:numPr>
        <w:tabs>
          <w:tab w:val="clear" w:pos="562"/>
          <w:tab w:val="num" w:pos="360"/>
        </w:tabs>
        <w:ind w:left="360"/>
        <w:rPr>
          <w:szCs w:val="20"/>
        </w:rPr>
      </w:pPr>
      <w:r w:rsidRPr="00987B12">
        <w:rPr>
          <w:szCs w:val="20"/>
        </w:rPr>
        <w:t>abnormal muscle breakdown</w:t>
      </w:r>
    </w:p>
    <w:p w14:paraId="50417732" w14:textId="77777777" w:rsidR="00B05E81" w:rsidRPr="00987B12" w:rsidRDefault="00944B8F" w:rsidP="00D51999">
      <w:pPr>
        <w:numPr>
          <w:ilvl w:val="0"/>
          <w:numId w:val="56"/>
        </w:numPr>
        <w:tabs>
          <w:tab w:val="clear" w:pos="562"/>
          <w:tab w:val="num" w:pos="360"/>
        </w:tabs>
        <w:ind w:left="360"/>
        <w:rPr>
          <w:szCs w:val="20"/>
        </w:rPr>
      </w:pPr>
      <w:r w:rsidRPr="00987B12">
        <w:rPr>
          <w:szCs w:val="20"/>
        </w:rPr>
        <w:t>systemic lupus erythematosus (including inflammation of skin, heart, lung, joints and other organ systems)</w:t>
      </w:r>
    </w:p>
    <w:p w14:paraId="7A86A3A2" w14:textId="77777777" w:rsidR="00B05E81" w:rsidRPr="00987B12" w:rsidRDefault="00944B8F" w:rsidP="00D51999">
      <w:pPr>
        <w:numPr>
          <w:ilvl w:val="0"/>
          <w:numId w:val="56"/>
        </w:numPr>
        <w:tabs>
          <w:tab w:val="clear" w:pos="562"/>
          <w:tab w:val="num" w:pos="360"/>
        </w:tabs>
        <w:ind w:left="360"/>
        <w:rPr>
          <w:szCs w:val="20"/>
        </w:rPr>
      </w:pPr>
      <w:r w:rsidRPr="00987B12">
        <w:rPr>
          <w:szCs w:val="20"/>
        </w:rPr>
        <w:t>sleep interruptions</w:t>
      </w:r>
    </w:p>
    <w:p w14:paraId="1A408254" w14:textId="77777777" w:rsidR="00B05E81" w:rsidRPr="00987B12" w:rsidRDefault="00944B8F" w:rsidP="00D51999">
      <w:pPr>
        <w:numPr>
          <w:ilvl w:val="0"/>
          <w:numId w:val="56"/>
        </w:numPr>
        <w:tabs>
          <w:tab w:val="clear" w:pos="562"/>
          <w:tab w:val="num" w:pos="360"/>
        </w:tabs>
        <w:ind w:left="360"/>
        <w:rPr>
          <w:szCs w:val="20"/>
        </w:rPr>
      </w:pPr>
      <w:r w:rsidRPr="00987B12">
        <w:rPr>
          <w:szCs w:val="20"/>
        </w:rPr>
        <w:t>impotence</w:t>
      </w:r>
    </w:p>
    <w:p w14:paraId="37D48963" w14:textId="77777777" w:rsidR="00B05E81" w:rsidRPr="00987B12" w:rsidRDefault="00944B8F" w:rsidP="00D51999">
      <w:pPr>
        <w:numPr>
          <w:ilvl w:val="0"/>
          <w:numId w:val="56"/>
        </w:numPr>
        <w:tabs>
          <w:tab w:val="clear" w:pos="562"/>
          <w:tab w:val="num" w:pos="360"/>
        </w:tabs>
        <w:ind w:left="360"/>
        <w:rPr>
          <w:szCs w:val="20"/>
        </w:rPr>
      </w:pPr>
      <w:r w:rsidRPr="00987B12">
        <w:rPr>
          <w:szCs w:val="20"/>
        </w:rPr>
        <w:t>inflammations</w:t>
      </w:r>
    </w:p>
    <w:p w14:paraId="6FA76FA2" w14:textId="77777777" w:rsidR="00B05E81" w:rsidRPr="001E71EE" w:rsidRDefault="00B05E81" w:rsidP="00B05E81">
      <w:pPr>
        <w:tabs>
          <w:tab w:val="clear" w:pos="562"/>
          <w:tab w:val="num" w:pos="550"/>
        </w:tabs>
        <w:ind w:left="550" w:hanging="550"/>
      </w:pPr>
    </w:p>
    <w:p w14:paraId="05727D6F" w14:textId="77777777" w:rsidR="00B05E81" w:rsidRPr="001E71EE" w:rsidRDefault="00944B8F" w:rsidP="00B05E81">
      <w:pPr>
        <w:tabs>
          <w:tab w:val="clear" w:pos="562"/>
          <w:tab w:val="num" w:pos="550"/>
        </w:tabs>
        <w:ind w:left="550" w:hanging="550"/>
      </w:pPr>
      <w:r w:rsidRPr="00FA2E03">
        <w:rPr>
          <w:b/>
        </w:rPr>
        <w:t xml:space="preserve">Rare </w:t>
      </w:r>
      <w:r w:rsidRPr="001E71EE">
        <w:t>(may affect up to 1 in 1,000 people)</w:t>
      </w:r>
    </w:p>
    <w:p w14:paraId="1442CE3D" w14:textId="77777777" w:rsidR="00B05E81" w:rsidRPr="001E71EE" w:rsidRDefault="00B05E81" w:rsidP="00B05E81">
      <w:pPr>
        <w:tabs>
          <w:tab w:val="clear" w:pos="562"/>
          <w:tab w:val="num" w:pos="550"/>
        </w:tabs>
        <w:ind w:left="550" w:hanging="550"/>
      </w:pPr>
    </w:p>
    <w:p w14:paraId="61EEB580" w14:textId="77777777" w:rsidR="00B05E81" w:rsidRPr="00987B12" w:rsidRDefault="00944B8F" w:rsidP="00D51999">
      <w:pPr>
        <w:numPr>
          <w:ilvl w:val="0"/>
          <w:numId w:val="56"/>
        </w:numPr>
        <w:tabs>
          <w:tab w:val="clear" w:pos="562"/>
          <w:tab w:val="num" w:pos="360"/>
        </w:tabs>
        <w:ind w:left="360"/>
        <w:rPr>
          <w:szCs w:val="20"/>
        </w:rPr>
      </w:pPr>
      <w:r w:rsidRPr="00987B12">
        <w:rPr>
          <w:szCs w:val="20"/>
        </w:rPr>
        <w:t>leukaemia (cancer affecting the blood and bone marrow)</w:t>
      </w:r>
    </w:p>
    <w:p w14:paraId="1DB5EA4F" w14:textId="77777777" w:rsidR="00B05E81" w:rsidRPr="00987B12" w:rsidRDefault="00944B8F" w:rsidP="00D51999">
      <w:pPr>
        <w:numPr>
          <w:ilvl w:val="0"/>
          <w:numId w:val="56"/>
        </w:numPr>
        <w:tabs>
          <w:tab w:val="clear" w:pos="562"/>
          <w:tab w:val="num" w:pos="360"/>
        </w:tabs>
        <w:ind w:left="360"/>
        <w:rPr>
          <w:szCs w:val="20"/>
        </w:rPr>
      </w:pPr>
      <w:r w:rsidRPr="00987B12">
        <w:rPr>
          <w:szCs w:val="20"/>
        </w:rPr>
        <w:t>severe allergic reaction with shock</w:t>
      </w:r>
    </w:p>
    <w:p w14:paraId="66EAA75F" w14:textId="77777777" w:rsidR="00B05E81" w:rsidRPr="00987B12" w:rsidRDefault="00944B8F" w:rsidP="00D51999">
      <w:pPr>
        <w:numPr>
          <w:ilvl w:val="0"/>
          <w:numId w:val="56"/>
        </w:numPr>
        <w:tabs>
          <w:tab w:val="clear" w:pos="562"/>
          <w:tab w:val="num" w:pos="360"/>
        </w:tabs>
        <w:ind w:left="360"/>
        <w:rPr>
          <w:szCs w:val="20"/>
        </w:rPr>
      </w:pPr>
      <w:r w:rsidRPr="00987B12">
        <w:rPr>
          <w:szCs w:val="20"/>
        </w:rPr>
        <w:t>multiple sclerosis</w:t>
      </w:r>
    </w:p>
    <w:p w14:paraId="5323DD13" w14:textId="77777777" w:rsidR="00B05E81" w:rsidRPr="00987B12" w:rsidRDefault="00944B8F" w:rsidP="00D51999">
      <w:pPr>
        <w:numPr>
          <w:ilvl w:val="0"/>
          <w:numId w:val="56"/>
        </w:numPr>
        <w:tabs>
          <w:tab w:val="clear" w:pos="562"/>
          <w:tab w:val="num" w:pos="360"/>
        </w:tabs>
        <w:ind w:left="360"/>
        <w:rPr>
          <w:szCs w:val="20"/>
        </w:rPr>
      </w:pPr>
      <w:r w:rsidRPr="00987B12">
        <w:rPr>
          <w:szCs w:val="20"/>
        </w:rPr>
        <w:t>nerve disorders (such as eye nerve inflammation and Guillain-Barré syndrome that may cause muscle weakness, abnormal sensations, tingling in the arms and upper body)</w:t>
      </w:r>
    </w:p>
    <w:p w14:paraId="21E4FB85" w14:textId="77777777" w:rsidR="00B05E81" w:rsidRPr="00987B12" w:rsidRDefault="00944B8F" w:rsidP="00D51999">
      <w:pPr>
        <w:numPr>
          <w:ilvl w:val="0"/>
          <w:numId w:val="56"/>
        </w:numPr>
        <w:tabs>
          <w:tab w:val="clear" w:pos="562"/>
          <w:tab w:val="num" w:pos="360"/>
        </w:tabs>
        <w:ind w:left="360"/>
        <w:rPr>
          <w:szCs w:val="20"/>
        </w:rPr>
      </w:pPr>
      <w:r w:rsidRPr="00987B12">
        <w:rPr>
          <w:szCs w:val="20"/>
        </w:rPr>
        <w:t>heart stops pumping</w:t>
      </w:r>
    </w:p>
    <w:p w14:paraId="6891DA15" w14:textId="77777777" w:rsidR="00B05E81" w:rsidRPr="001E71EE" w:rsidRDefault="00944B8F" w:rsidP="00D51999">
      <w:pPr>
        <w:numPr>
          <w:ilvl w:val="0"/>
          <w:numId w:val="56"/>
        </w:numPr>
        <w:tabs>
          <w:tab w:val="clear" w:pos="562"/>
          <w:tab w:val="num" w:pos="360"/>
        </w:tabs>
        <w:ind w:left="360"/>
        <w:rPr>
          <w:szCs w:val="20"/>
        </w:rPr>
      </w:pPr>
      <w:r w:rsidRPr="001E71EE">
        <w:rPr>
          <w:szCs w:val="20"/>
        </w:rPr>
        <w:t>pulmonary fibrosis (scarring of the lung)</w:t>
      </w:r>
    </w:p>
    <w:p w14:paraId="3E683D62" w14:textId="77777777" w:rsidR="00B05E81" w:rsidRPr="001E71EE" w:rsidRDefault="00944B8F" w:rsidP="00D51999">
      <w:pPr>
        <w:numPr>
          <w:ilvl w:val="0"/>
          <w:numId w:val="56"/>
        </w:numPr>
        <w:tabs>
          <w:tab w:val="clear" w:pos="562"/>
          <w:tab w:val="num" w:pos="360"/>
        </w:tabs>
        <w:ind w:left="360"/>
        <w:rPr>
          <w:szCs w:val="20"/>
        </w:rPr>
      </w:pPr>
      <w:r w:rsidRPr="001E71EE">
        <w:rPr>
          <w:szCs w:val="20"/>
        </w:rPr>
        <w:t>intestinal perforation (hole in the intestine)</w:t>
      </w:r>
    </w:p>
    <w:p w14:paraId="4007A5B4" w14:textId="77777777" w:rsidR="00B05E81" w:rsidRPr="001E71EE" w:rsidRDefault="00944B8F" w:rsidP="00D51999">
      <w:pPr>
        <w:numPr>
          <w:ilvl w:val="0"/>
          <w:numId w:val="56"/>
        </w:numPr>
        <w:tabs>
          <w:tab w:val="clear" w:pos="562"/>
          <w:tab w:val="num" w:pos="360"/>
        </w:tabs>
        <w:ind w:left="360"/>
        <w:rPr>
          <w:szCs w:val="20"/>
        </w:rPr>
      </w:pPr>
      <w:r w:rsidRPr="001E71EE">
        <w:rPr>
          <w:szCs w:val="20"/>
        </w:rPr>
        <w:t>hepatitis</w:t>
      </w:r>
    </w:p>
    <w:p w14:paraId="006CC0B6" w14:textId="77777777" w:rsidR="00B05E81" w:rsidRPr="001E71EE" w:rsidRDefault="00944B8F" w:rsidP="00D51999">
      <w:pPr>
        <w:numPr>
          <w:ilvl w:val="0"/>
          <w:numId w:val="56"/>
        </w:numPr>
        <w:tabs>
          <w:tab w:val="clear" w:pos="562"/>
          <w:tab w:val="num" w:pos="360"/>
        </w:tabs>
        <w:ind w:left="360"/>
        <w:rPr>
          <w:szCs w:val="20"/>
        </w:rPr>
      </w:pPr>
      <w:r w:rsidRPr="001E71EE">
        <w:rPr>
          <w:szCs w:val="20"/>
        </w:rPr>
        <w:t>reactivation of hepatitis B</w:t>
      </w:r>
    </w:p>
    <w:p w14:paraId="6729C32F" w14:textId="77777777" w:rsidR="00B05E81" w:rsidRPr="001E71EE" w:rsidRDefault="00944B8F" w:rsidP="00D51999">
      <w:pPr>
        <w:numPr>
          <w:ilvl w:val="0"/>
          <w:numId w:val="56"/>
        </w:numPr>
        <w:tabs>
          <w:tab w:val="clear" w:pos="562"/>
          <w:tab w:val="num" w:pos="360"/>
        </w:tabs>
        <w:ind w:left="360"/>
        <w:rPr>
          <w:szCs w:val="20"/>
        </w:rPr>
      </w:pPr>
      <w:r w:rsidRPr="001E71EE">
        <w:rPr>
          <w:szCs w:val="20"/>
        </w:rPr>
        <w:t>autoimmune hepatitis (inflammation of the liver caused by the body's own immune system)</w:t>
      </w:r>
    </w:p>
    <w:p w14:paraId="4831BD56" w14:textId="77777777" w:rsidR="00B05E81" w:rsidRPr="001E71EE" w:rsidRDefault="00944B8F" w:rsidP="00D51999">
      <w:pPr>
        <w:numPr>
          <w:ilvl w:val="0"/>
          <w:numId w:val="56"/>
        </w:numPr>
        <w:tabs>
          <w:tab w:val="clear" w:pos="562"/>
          <w:tab w:val="num" w:pos="360"/>
        </w:tabs>
        <w:ind w:left="360"/>
        <w:rPr>
          <w:szCs w:val="20"/>
        </w:rPr>
      </w:pPr>
      <w:r w:rsidRPr="001E71EE">
        <w:rPr>
          <w:szCs w:val="20"/>
        </w:rPr>
        <w:t>cutaneous vasculitis (inflammation of blood vessels in the skin)</w:t>
      </w:r>
    </w:p>
    <w:p w14:paraId="37397AB0" w14:textId="77777777" w:rsidR="00B05E81" w:rsidRPr="001E71EE" w:rsidRDefault="00944B8F" w:rsidP="00D51999">
      <w:pPr>
        <w:numPr>
          <w:ilvl w:val="0"/>
          <w:numId w:val="56"/>
        </w:numPr>
        <w:tabs>
          <w:tab w:val="clear" w:pos="562"/>
          <w:tab w:val="num" w:pos="360"/>
        </w:tabs>
        <w:ind w:left="360"/>
        <w:rPr>
          <w:szCs w:val="20"/>
        </w:rPr>
      </w:pPr>
      <w:r w:rsidRPr="001E71EE">
        <w:rPr>
          <w:szCs w:val="20"/>
        </w:rPr>
        <w:t>Stevens-Johnson syndrome (early symptoms include malaise, fever, headache and rash)</w:t>
      </w:r>
    </w:p>
    <w:p w14:paraId="332481BD" w14:textId="77777777" w:rsidR="00B05E81" w:rsidRPr="001E71EE" w:rsidRDefault="00944B8F" w:rsidP="00D51999">
      <w:pPr>
        <w:numPr>
          <w:ilvl w:val="0"/>
          <w:numId w:val="56"/>
        </w:numPr>
        <w:tabs>
          <w:tab w:val="clear" w:pos="562"/>
          <w:tab w:val="num" w:pos="360"/>
        </w:tabs>
        <w:ind w:left="360"/>
        <w:rPr>
          <w:szCs w:val="20"/>
        </w:rPr>
      </w:pPr>
      <w:r w:rsidRPr="001E71EE">
        <w:rPr>
          <w:szCs w:val="20"/>
        </w:rPr>
        <w:t>facial oedema (swelling of the face) associated with allergic reactions</w:t>
      </w:r>
    </w:p>
    <w:p w14:paraId="1A91F44C" w14:textId="77777777" w:rsidR="00B05E81" w:rsidRPr="00987B12" w:rsidRDefault="00944B8F" w:rsidP="00D51999">
      <w:pPr>
        <w:numPr>
          <w:ilvl w:val="0"/>
          <w:numId w:val="56"/>
        </w:numPr>
        <w:tabs>
          <w:tab w:val="clear" w:pos="562"/>
          <w:tab w:val="num" w:pos="360"/>
        </w:tabs>
        <w:ind w:left="360"/>
        <w:rPr>
          <w:szCs w:val="20"/>
        </w:rPr>
      </w:pPr>
      <w:r w:rsidRPr="00987B12">
        <w:rPr>
          <w:szCs w:val="20"/>
        </w:rPr>
        <w:t>erythema multiforme (inflammatory skin rash</w:t>
      </w:r>
      <w:r w:rsidRPr="001E71EE">
        <w:rPr>
          <w:szCs w:val="20"/>
        </w:rPr>
        <w:t>)</w:t>
      </w:r>
    </w:p>
    <w:p w14:paraId="6C55C9C5" w14:textId="77777777" w:rsidR="00B05E81" w:rsidRPr="001E71EE" w:rsidRDefault="00944B8F" w:rsidP="00D51999">
      <w:pPr>
        <w:numPr>
          <w:ilvl w:val="0"/>
          <w:numId w:val="56"/>
        </w:numPr>
        <w:tabs>
          <w:tab w:val="clear" w:pos="562"/>
          <w:tab w:val="num" w:pos="360"/>
        </w:tabs>
        <w:ind w:left="360"/>
        <w:rPr>
          <w:szCs w:val="20"/>
        </w:rPr>
      </w:pPr>
      <w:r w:rsidRPr="001E71EE">
        <w:rPr>
          <w:szCs w:val="20"/>
        </w:rPr>
        <w:t>lupus-like syndrome</w:t>
      </w:r>
    </w:p>
    <w:p w14:paraId="322A7351" w14:textId="77777777" w:rsidR="00B05E81" w:rsidRDefault="00944B8F" w:rsidP="00D51999">
      <w:pPr>
        <w:numPr>
          <w:ilvl w:val="0"/>
          <w:numId w:val="56"/>
        </w:numPr>
        <w:tabs>
          <w:tab w:val="clear" w:pos="562"/>
          <w:tab w:val="num" w:pos="360"/>
        </w:tabs>
        <w:ind w:left="360"/>
        <w:rPr>
          <w:szCs w:val="20"/>
        </w:rPr>
      </w:pPr>
      <w:r w:rsidRPr="00987B12">
        <w:rPr>
          <w:szCs w:val="20"/>
        </w:rPr>
        <w:t>angioedema (localized swelling of the skin)</w:t>
      </w:r>
    </w:p>
    <w:p w14:paraId="2196C1DF" w14:textId="77777777" w:rsidR="00B417AB" w:rsidRPr="001E71EE" w:rsidRDefault="00944B8F" w:rsidP="00D51999">
      <w:pPr>
        <w:numPr>
          <w:ilvl w:val="0"/>
          <w:numId w:val="56"/>
        </w:numPr>
        <w:tabs>
          <w:tab w:val="clear" w:pos="562"/>
          <w:tab w:val="num" w:pos="360"/>
        </w:tabs>
        <w:ind w:left="360"/>
        <w:rPr>
          <w:szCs w:val="20"/>
        </w:rPr>
      </w:pPr>
      <w:r>
        <w:t>lichenoid skin reaction (</w:t>
      </w:r>
      <w:r w:rsidRPr="00747944">
        <w:t>it</w:t>
      </w:r>
      <w:r>
        <w:t xml:space="preserve">chy reddish-purple skin </w:t>
      </w:r>
      <w:r w:rsidRPr="00747944">
        <w:t>rash</w:t>
      </w:r>
      <w:r>
        <w:t>)</w:t>
      </w:r>
    </w:p>
    <w:p w14:paraId="2F983A84" w14:textId="77777777" w:rsidR="00B05E81" w:rsidRPr="001E71EE" w:rsidRDefault="00B05E81" w:rsidP="00B05E81"/>
    <w:p w14:paraId="7E099DC3" w14:textId="77777777" w:rsidR="00B05E81" w:rsidRPr="001E71EE" w:rsidRDefault="00944B8F" w:rsidP="00B05E81">
      <w:pPr>
        <w:keepNext/>
        <w:rPr>
          <w:rFonts w:eastAsia="MS Mincho"/>
          <w:szCs w:val="20"/>
        </w:rPr>
      </w:pPr>
      <w:r w:rsidRPr="00FA2E03">
        <w:rPr>
          <w:rFonts w:eastAsia="MS Mincho"/>
          <w:b/>
        </w:rPr>
        <w:t>Not known</w:t>
      </w:r>
      <w:r w:rsidRPr="00FA2E03">
        <w:rPr>
          <w:rFonts w:eastAsia="MS Mincho"/>
          <w:b/>
          <w:szCs w:val="20"/>
        </w:rPr>
        <w:t xml:space="preserve"> </w:t>
      </w:r>
      <w:r w:rsidRPr="001E71EE">
        <w:rPr>
          <w:rFonts w:eastAsia="MS Mincho"/>
          <w:szCs w:val="20"/>
        </w:rPr>
        <w:t>(frequency cannot be estimated from the available data)</w:t>
      </w:r>
    </w:p>
    <w:p w14:paraId="51F62A70" w14:textId="77777777" w:rsidR="00B05E81" w:rsidRPr="001E71EE" w:rsidRDefault="00B05E81" w:rsidP="00B05E81">
      <w:pPr>
        <w:keepNext/>
        <w:rPr>
          <w:rFonts w:eastAsia="MS Mincho"/>
          <w:szCs w:val="20"/>
        </w:rPr>
      </w:pPr>
    </w:p>
    <w:p w14:paraId="6BC6FA67"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hepatosplenic T-cell lymphoma (a rare blood cancer that is often fatal)</w:t>
      </w:r>
    </w:p>
    <w:p w14:paraId="4B813AF4" w14:textId="77777777" w:rsidR="00B05E81" w:rsidRDefault="00944B8F" w:rsidP="00D51999">
      <w:pPr>
        <w:numPr>
          <w:ilvl w:val="0"/>
          <w:numId w:val="56"/>
        </w:numPr>
        <w:tabs>
          <w:tab w:val="clear" w:pos="562"/>
          <w:tab w:val="num" w:pos="360"/>
          <w:tab w:val="num" w:pos="550"/>
        </w:tabs>
        <w:ind w:left="360"/>
        <w:rPr>
          <w:szCs w:val="20"/>
        </w:rPr>
      </w:pPr>
      <w:r w:rsidRPr="00987B12">
        <w:rPr>
          <w:szCs w:val="20"/>
        </w:rPr>
        <w:t>Merkel cell carcinoma (a type of skin cancer)</w:t>
      </w:r>
    </w:p>
    <w:p w14:paraId="37BF6E18" w14:textId="77777777" w:rsidR="00F9435E" w:rsidRPr="00137693" w:rsidRDefault="00944B8F" w:rsidP="00137693">
      <w:pPr>
        <w:numPr>
          <w:ilvl w:val="0"/>
          <w:numId w:val="56"/>
        </w:numPr>
        <w:tabs>
          <w:tab w:val="clear" w:pos="562"/>
          <w:tab w:val="clear" w:pos="720"/>
          <w:tab w:val="num" w:pos="360"/>
          <w:tab w:val="left" w:pos="630"/>
        </w:tabs>
        <w:ind w:left="360"/>
        <w:rPr>
          <w:rFonts w:eastAsia="MS Mincho"/>
          <w:szCs w:val="20"/>
        </w:rPr>
      </w:pPr>
      <w:r>
        <w:rPr>
          <w:rFonts w:eastAsia="MS Mincho"/>
          <w:szCs w:val="20"/>
        </w:rPr>
        <w:t>Kaposi’s sarcoma, a rare cancer related to infection with human herpes virus 8. Kaposi’s sarcoma most commonly appears as purple lesions on the skin</w:t>
      </w:r>
    </w:p>
    <w:p w14:paraId="45EF6530"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liver failure</w:t>
      </w:r>
    </w:p>
    <w:p w14:paraId="0C09AD72" w14:textId="77777777" w:rsidR="00B05E81" w:rsidRDefault="00944B8F" w:rsidP="00D51999">
      <w:pPr>
        <w:numPr>
          <w:ilvl w:val="0"/>
          <w:numId w:val="56"/>
        </w:numPr>
        <w:tabs>
          <w:tab w:val="clear" w:pos="562"/>
          <w:tab w:val="num" w:pos="360"/>
          <w:tab w:val="num" w:pos="550"/>
        </w:tabs>
        <w:ind w:left="360"/>
        <w:rPr>
          <w:szCs w:val="20"/>
        </w:rPr>
      </w:pPr>
      <w:r w:rsidRPr="00987B12">
        <w:rPr>
          <w:szCs w:val="20"/>
        </w:rPr>
        <w:t>worsening of a condition called dermatomyositis (seen as a skin rash accompanying muscle weakness)</w:t>
      </w:r>
    </w:p>
    <w:p w14:paraId="6A4F9B12" w14:textId="77777777" w:rsidR="0099199E" w:rsidRPr="00987B12" w:rsidRDefault="00944B8F" w:rsidP="00D51999">
      <w:pPr>
        <w:numPr>
          <w:ilvl w:val="0"/>
          <w:numId w:val="56"/>
        </w:numPr>
        <w:tabs>
          <w:tab w:val="clear" w:pos="562"/>
          <w:tab w:val="num" w:pos="360"/>
          <w:tab w:val="num" w:pos="550"/>
        </w:tabs>
        <w:ind w:left="360"/>
        <w:rPr>
          <w:szCs w:val="20"/>
        </w:rPr>
      </w:pPr>
      <w:r w:rsidRPr="00693052">
        <w:rPr>
          <w:szCs w:val="22"/>
          <w:lang w:val="en-US"/>
        </w:rPr>
        <w:t>weight gain (for most patients, the weight gain was small)</w:t>
      </w:r>
    </w:p>
    <w:p w14:paraId="0AFCE546" w14:textId="77777777" w:rsidR="00B05E81" w:rsidRPr="001E71EE" w:rsidRDefault="00B05E81" w:rsidP="00B05E81">
      <w:pPr>
        <w:autoSpaceDE w:val="0"/>
        <w:autoSpaceDN w:val="0"/>
        <w:adjustRightInd w:val="0"/>
        <w:spacing w:line="240" w:lineRule="atLeast"/>
        <w:rPr>
          <w:lang w:eastAsia="de-DE"/>
        </w:rPr>
      </w:pPr>
    </w:p>
    <w:p w14:paraId="22F458D7" w14:textId="77777777" w:rsidR="00B05E81" w:rsidRPr="001E71EE" w:rsidRDefault="00944B8F" w:rsidP="00B05E81">
      <w:pPr>
        <w:autoSpaceDE w:val="0"/>
        <w:autoSpaceDN w:val="0"/>
        <w:adjustRightInd w:val="0"/>
        <w:spacing w:line="240" w:lineRule="atLeast"/>
        <w:rPr>
          <w:lang w:eastAsia="de-DE"/>
        </w:rPr>
      </w:pPr>
      <w:r w:rsidRPr="001E71EE">
        <w:rPr>
          <w:lang w:eastAsia="de-DE"/>
        </w:rPr>
        <w:t>Some side effects observed with Humira may not have symptoms and may only be discovered through blood tests. These include:</w:t>
      </w:r>
    </w:p>
    <w:p w14:paraId="1301029B" w14:textId="77777777" w:rsidR="00B05E81" w:rsidRPr="001E71EE" w:rsidRDefault="00B05E81" w:rsidP="00B05E81">
      <w:pPr>
        <w:autoSpaceDE w:val="0"/>
        <w:autoSpaceDN w:val="0"/>
        <w:adjustRightInd w:val="0"/>
        <w:spacing w:line="240" w:lineRule="atLeast"/>
        <w:rPr>
          <w:lang w:eastAsia="de-DE"/>
        </w:rPr>
      </w:pPr>
    </w:p>
    <w:p w14:paraId="28CDA743" w14:textId="77777777" w:rsidR="00B05E81" w:rsidRPr="001E71EE" w:rsidRDefault="00944B8F" w:rsidP="00B05E81">
      <w:r w:rsidRPr="00FA2E03">
        <w:rPr>
          <w:b/>
        </w:rPr>
        <w:t xml:space="preserve">Very common </w:t>
      </w:r>
      <w:r w:rsidRPr="001E71EE">
        <w:t>(may affect more than 1 in 10 people)</w:t>
      </w:r>
    </w:p>
    <w:p w14:paraId="74967C98" w14:textId="77777777" w:rsidR="00B05E81" w:rsidRPr="00987B12" w:rsidRDefault="00B05E81" w:rsidP="00B05E81">
      <w:pPr>
        <w:ind w:left="720"/>
        <w:rPr>
          <w:szCs w:val="20"/>
        </w:rPr>
      </w:pPr>
    </w:p>
    <w:p w14:paraId="4C36C975"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low blood measurements for white blood cells</w:t>
      </w:r>
    </w:p>
    <w:p w14:paraId="6CDB5941"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low blood measurements for red blood cells</w:t>
      </w:r>
    </w:p>
    <w:p w14:paraId="35FC04F4"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increased lipids in the blood</w:t>
      </w:r>
    </w:p>
    <w:p w14:paraId="2056E5AD"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elevated liver enzymes</w:t>
      </w:r>
    </w:p>
    <w:p w14:paraId="40B5D9F1" w14:textId="77777777" w:rsidR="00B05E81" w:rsidRPr="001E71EE" w:rsidRDefault="00B05E81" w:rsidP="00B05E81">
      <w:pPr>
        <w:tabs>
          <w:tab w:val="clear" w:pos="562"/>
        </w:tabs>
      </w:pPr>
    </w:p>
    <w:p w14:paraId="1B76BFF4" w14:textId="77777777" w:rsidR="00B05E81" w:rsidRPr="001E71EE" w:rsidRDefault="00944B8F" w:rsidP="00B05E81">
      <w:pPr>
        <w:tabs>
          <w:tab w:val="clear" w:pos="562"/>
        </w:tabs>
      </w:pPr>
      <w:r w:rsidRPr="00FA2E03">
        <w:rPr>
          <w:b/>
        </w:rPr>
        <w:t xml:space="preserve">Common </w:t>
      </w:r>
      <w:r w:rsidRPr="001E71EE">
        <w:t>(may affect up to 1 in 10 people)</w:t>
      </w:r>
    </w:p>
    <w:p w14:paraId="35AEBF78" w14:textId="77777777" w:rsidR="00B05E81" w:rsidRPr="001E71EE" w:rsidRDefault="00B05E81" w:rsidP="00B05E81">
      <w:pPr>
        <w:keepNext/>
        <w:tabs>
          <w:tab w:val="clear" w:pos="562"/>
        </w:tabs>
      </w:pPr>
    </w:p>
    <w:p w14:paraId="0BF4318B"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high blood measurements for white blood cells</w:t>
      </w:r>
    </w:p>
    <w:p w14:paraId="321D57E5"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low blood measurements for platelets</w:t>
      </w:r>
    </w:p>
    <w:p w14:paraId="2AC1C116"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increased uric acid in the blood</w:t>
      </w:r>
    </w:p>
    <w:p w14:paraId="66193B1D"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abnormal blood measurements for sodium</w:t>
      </w:r>
    </w:p>
    <w:p w14:paraId="70FDA45E"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low blood measurements for calcium</w:t>
      </w:r>
    </w:p>
    <w:p w14:paraId="4D97AC60"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low blood measurements for phosphate</w:t>
      </w:r>
    </w:p>
    <w:p w14:paraId="4EBCAD06"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high blood sugar</w:t>
      </w:r>
    </w:p>
    <w:p w14:paraId="3746AA54"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high blood measurements for lactate dehydrogenase</w:t>
      </w:r>
    </w:p>
    <w:p w14:paraId="2D01289E"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autoantibodies present in the blood</w:t>
      </w:r>
    </w:p>
    <w:p w14:paraId="207FEF8C"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low blood potassium</w:t>
      </w:r>
    </w:p>
    <w:p w14:paraId="67157F89" w14:textId="77777777" w:rsidR="00B05E81" w:rsidRPr="001E71EE" w:rsidRDefault="00B05E81" w:rsidP="00B05E81">
      <w:pPr>
        <w:tabs>
          <w:tab w:val="clear" w:pos="562"/>
          <w:tab w:val="left" w:pos="720"/>
        </w:tabs>
      </w:pPr>
    </w:p>
    <w:p w14:paraId="3ECA9505" w14:textId="77777777" w:rsidR="00B05E81" w:rsidRPr="001E71EE" w:rsidRDefault="00944B8F" w:rsidP="00B05E81">
      <w:r w:rsidRPr="001E71EE">
        <w:rPr>
          <w:b/>
        </w:rPr>
        <w:t>Uncommon</w:t>
      </w:r>
      <w:r w:rsidRPr="001E71EE">
        <w:t xml:space="preserve"> (may affect up to 1 in 100 people) </w:t>
      </w:r>
    </w:p>
    <w:p w14:paraId="7CC3AA05" w14:textId="77777777" w:rsidR="00B05E81" w:rsidRPr="001E71EE" w:rsidRDefault="00B05E81" w:rsidP="00B05E81"/>
    <w:p w14:paraId="795E6D69"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elevated bilirubin measurement (liver blood test)</w:t>
      </w:r>
    </w:p>
    <w:p w14:paraId="36984F0E" w14:textId="77777777" w:rsidR="00B05E81" w:rsidRPr="001E71EE" w:rsidRDefault="00B05E81" w:rsidP="00B05E81">
      <w:pPr>
        <w:keepNext/>
        <w:tabs>
          <w:tab w:val="clear" w:pos="562"/>
        </w:tabs>
        <w:ind w:left="720"/>
      </w:pPr>
    </w:p>
    <w:p w14:paraId="0C1D93F2" w14:textId="77777777" w:rsidR="00B05E81" w:rsidRPr="001E71EE" w:rsidRDefault="00944B8F" w:rsidP="00B05E81">
      <w:pPr>
        <w:keepNext/>
        <w:tabs>
          <w:tab w:val="clear" w:pos="562"/>
          <w:tab w:val="num" w:pos="550"/>
        </w:tabs>
        <w:ind w:left="550" w:hanging="550"/>
      </w:pPr>
      <w:r w:rsidRPr="00FA2E03">
        <w:rPr>
          <w:b/>
        </w:rPr>
        <w:t xml:space="preserve">Rare </w:t>
      </w:r>
      <w:r w:rsidRPr="001E71EE">
        <w:t>(may affect up to 1 in 1,000 people)</w:t>
      </w:r>
    </w:p>
    <w:p w14:paraId="65C165CE" w14:textId="77777777" w:rsidR="00B05E81" w:rsidRPr="001E71EE" w:rsidRDefault="00B05E81" w:rsidP="00B05E81">
      <w:pPr>
        <w:keepNext/>
        <w:tabs>
          <w:tab w:val="clear" w:pos="562"/>
        </w:tabs>
      </w:pPr>
    </w:p>
    <w:p w14:paraId="476B8732" w14:textId="77777777" w:rsidR="00B05E81" w:rsidRPr="00987B12" w:rsidRDefault="00944B8F" w:rsidP="00D51999">
      <w:pPr>
        <w:numPr>
          <w:ilvl w:val="0"/>
          <w:numId w:val="56"/>
        </w:numPr>
        <w:tabs>
          <w:tab w:val="clear" w:pos="562"/>
          <w:tab w:val="num" w:pos="360"/>
          <w:tab w:val="num" w:pos="550"/>
        </w:tabs>
        <w:ind w:left="360"/>
        <w:rPr>
          <w:szCs w:val="20"/>
        </w:rPr>
      </w:pPr>
      <w:r w:rsidRPr="00987B12">
        <w:rPr>
          <w:szCs w:val="20"/>
        </w:rPr>
        <w:t>low blood measurements for white blood cells, red blood cells and platelet count</w:t>
      </w:r>
    </w:p>
    <w:p w14:paraId="032E7092" w14:textId="77777777" w:rsidR="00B05E81" w:rsidRPr="001E71EE" w:rsidRDefault="00B05E81" w:rsidP="00B05E81">
      <w:pPr>
        <w:rPr>
          <w:lang w:eastAsia="de-DE"/>
        </w:rPr>
      </w:pPr>
    </w:p>
    <w:p w14:paraId="27A137A1" w14:textId="77777777" w:rsidR="00B05E81" w:rsidRPr="00FA2E03" w:rsidRDefault="00944B8F" w:rsidP="00B05E81">
      <w:pPr>
        <w:keepNext/>
        <w:numPr>
          <w:ilvl w:val="12"/>
          <w:numId w:val="0"/>
        </w:numPr>
        <w:tabs>
          <w:tab w:val="clear" w:pos="562"/>
        </w:tabs>
        <w:ind w:right="-2"/>
        <w:rPr>
          <w:u w:val="single"/>
        </w:rPr>
      </w:pPr>
      <w:r w:rsidRPr="00FA2E03">
        <w:rPr>
          <w:b/>
        </w:rPr>
        <w:t>Reporting of side effects</w:t>
      </w:r>
    </w:p>
    <w:p w14:paraId="6EDFE3DE" w14:textId="77777777" w:rsidR="00B05E81" w:rsidRPr="001E71EE" w:rsidRDefault="00944B8F" w:rsidP="00B05E81">
      <w:r w:rsidRPr="001E71EE">
        <w:rPr>
          <w:szCs w:val="22"/>
          <w:lang w:eastAsia="en-GB"/>
        </w:rPr>
        <w:t>If you get any side effects, talk to your doctor or pharmacist. This includes any possible side effects not listed in this leaflet.</w:t>
      </w:r>
      <w:r w:rsidRPr="001E71EE">
        <w:t xml:space="preserve"> You can also report side effects directly via </w:t>
      </w:r>
      <w:r w:rsidRPr="001E71EE">
        <w:rPr>
          <w:highlight w:val="lightGray"/>
        </w:rPr>
        <w:t xml:space="preserve">the national reporting system listed in </w:t>
      </w:r>
      <w:hyperlink r:id="rId70" w:history="1">
        <w:r w:rsidR="00B05E81" w:rsidRPr="001E71EE">
          <w:rPr>
            <w:color w:val="0000FF"/>
            <w:szCs w:val="22"/>
            <w:highlight w:val="lightGray"/>
            <w:u w:val="single"/>
          </w:rPr>
          <w:t>Appendix V</w:t>
        </w:r>
      </w:hyperlink>
      <w:r w:rsidRPr="001E71EE">
        <w:rPr>
          <w:highlight w:val="lightGray"/>
        </w:rPr>
        <w:t>.</w:t>
      </w:r>
      <w:r w:rsidRPr="001E71EE">
        <w:t xml:space="preserve"> By reporting side effects, you can help provide more information </w:t>
      </w:r>
      <w:r w:rsidR="001C5296">
        <w:t>on the safety of this medicine.</w:t>
      </w:r>
    </w:p>
    <w:p w14:paraId="1E35BE53" w14:textId="77777777" w:rsidR="00B05E81" w:rsidRPr="001E71EE" w:rsidRDefault="00B05E81" w:rsidP="00B05E81"/>
    <w:p w14:paraId="0ED3479A" w14:textId="77777777" w:rsidR="00B05E81" w:rsidRPr="001E71EE" w:rsidRDefault="00B05E81" w:rsidP="00B05E81"/>
    <w:p w14:paraId="5A6EA36E" w14:textId="77777777" w:rsidR="00B05E81" w:rsidRPr="001E71EE" w:rsidRDefault="00944B8F" w:rsidP="00B05E81">
      <w:pPr>
        <w:outlineLvl w:val="0"/>
        <w:rPr>
          <w:rFonts w:ascii="Times New Roman Bold" w:hAnsi="Times New Roman Bold"/>
          <w:b/>
          <w:szCs w:val="20"/>
        </w:rPr>
      </w:pPr>
      <w:r w:rsidRPr="001E71EE">
        <w:rPr>
          <w:b/>
          <w:caps/>
          <w:szCs w:val="20"/>
        </w:rPr>
        <w:t>5.</w:t>
      </w:r>
      <w:r w:rsidRPr="001E71EE">
        <w:rPr>
          <w:b/>
          <w:caps/>
          <w:szCs w:val="20"/>
        </w:rPr>
        <w:tab/>
        <w:t>H</w:t>
      </w:r>
      <w:r w:rsidRPr="001E71EE">
        <w:rPr>
          <w:rFonts w:ascii="Times New Roman Bold" w:hAnsi="Times New Roman Bold"/>
          <w:b/>
          <w:szCs w:val="20"/>
        </w:rPr>
        <w:t>ow to store Humira</w:t>
      </w:r>
    </w:p>
    <w:p w14:paraId="61808D8C" w14:textId="77777777" w:rsidR="00B05E81" w:rsidRPr="001E71EE" w:rsidRDefault="00B05E81" w:rsidP="00B05E81">
      <w:pPr>
        <w:rPr>
          <w:szCs w:val="20"/>
        </w:rPr>
      </w:pPr>
    </w:p>
    <w:p w14:paraId="1BC324DB" w14:textId="77777777" w:rsidR="00B05E81" w:rsidRPr="001E71EE" w:rsidRDefault="00944B8F" w:rsidP="00B05E81">
      <w:pPr>
        <w:numPr>
          <w:ilvl w:val="12"/>
          <w:numId w:val="0"/>
        </w:numPr>
        <w:tabs>
          <w:tab w:val="clear" w:pos="562"/>
        </w:tabs>
        <w:ind w:right="-2"/>
      </w:pPr>
      <w:r w:rsidRPr="001E71EE">
        <w:t xml:space="preserve">Keep this medicine out of the sight and reach of children. </w:t>
      </w:r>
    </w:p>
    <w:p w14:paraId="286995BD" w14:textId="77777777" w:rsidR="00B05E81" w:rsidRPr="001E71EE" w:rsidRDefault="00B05E81" w:rsidP="00B05E81">
      <w:pPr>
        <w:numPr>
          <w:ilvl w:val="12"/>
          <w:numId w:val="0"/>
        </w:numPr>
        <w:tabs>
          <w:tab w:val="clear" w:pos="562"/>
        </w:tabs>
        <w:ind w:right="-2"/>
      </w:pPr>
    </w:p>
    <w:p w14:paraId="75A245A1" w14:textId="77777777" w:rsidR="00B05E81" w:rsidRPr="001E71EE" w:rsidRDefault="00944B8F" w:rsidP="00B05E81">
      <w:pPr>
        <w:numPr>
          <w:ilvl w:val="12"/>
          <w:numId w:val="0"/>
        </w:numPr>
        <w:tabs>
          <w:tab w:val="clear" w:pos="562"/>
        </w:tabs>
        <w:ind w:right="-2"/>
      </w:pPr>
      <w:r w:rsidRPr="001E71EE">
        <w:t xml:space="preserve">Do not use this medicine after the expiry date stated on the label/blister/carton after EXP. </w:t>
      </w:r>
    </w:p>
    <w:p w14:paraId="6D5626C0" w14:textId="77777777" w:rsidR="00B05E81" w:rsidRPr="001E71EE" w:rsidRDefault="00B05E81" w:rsidP="00B05E81">
      <w:pPr>
        <w:numPr>
          <w:ilvl w:val="12"/>
          <w:numId w:val="0"/>
        </w:numPr>
        <w:tabs>
          <w:tab w:val="clear" w:pos="562"/>
        </w:tabs>
        <w:ind w:right="-2"/>
      </w:pPr>
    </w:p>
    <w:p w14:paraId="1D1977EE" w14:textId="77777777" w:rsidR="00B05E81" w:rsidRPr="001E71EE" w:rsidRDefault="00944B8F" w:rsidP="00B05E81">
      <w:pPr>
        <w:numPr>
          <w:ilvl w:val="12"/>
          <w:numId w:val="0"/>
        </w:numPr>
        <w:tabs>
          <w:tab w:val="clear" w:pos="562"/>
        </w:tabs>
        <w:ind w:right="-2"/>
      </w:pPr>
      <w:r w:rsidRPr="001E71EE">
        <w:t>Store in a refrigerator (2</w:t>
      </w:r>
      <w:r w:rsidRPr="001E71EE">
        <w:rPr>
          <w:rFonts w:ascii="Symbol" w:eastAsia="Symbol" w:hAnsi="Symbol" w:cs="Symbol"/>
          <w:szCs w:val="22"/>
        </w:rPr>
        <w:sym w:font="Symbol" w:char="F0B0"/>
      </w:r>
      <w:r w:rsidRPr="001E71EE">
        <w:t>C – 8</w:t>
      </w:r>
      <w:r w:rsidRPr="001E71EE">
        <w:rPr>
          <w:rFonts w:ascii="Symbol" w:eastAsia="Symbol" w:hAnsi="Symbol" w:cs="Symbol"/>
          <w:szCs w:val="22"/>
        </w:rPr>
        <w:sym w:font="Symbol" w:char="F0B0"/>
      </w:r>
      <w:r w:rsidRPr="001E71EE">
        <w:t xml:space="preserve">C). Do not freeze. </w:t>
      </w:r>
    </w:p>
    <w:p w14:paraId="751AB9C1" w14:textId="77777777" w:rsidR="00B05E81" w:rsidRPr="001E71EE" w:rsidRDefault="00B05E81" w:rsidP="00B05E81">
      <w:pPr>
        <w:numPr>
          <w:ilvl w:val="12"/>
          <w:numId w:val="0"/>
        </w:numPr>
        <w:tabs>
          <w:tab w:val="clear" w:pos="562"/>
        </w:tabs>
        <w:ind w:right="-2"/>
      </w:pPr>
    </w:p>
    <w:p w14:paraId="1D550838" w14:textId="77777777" w:rsidR="00B05E81" w:rsidRPr="001E71EE" w:rsidRDefault="00944B8F" w:rsidP="00B05E81">
      <w:pPr>
        <w:numPr>
          <w:ilvl w:val="12"/>
          <w:numId w:val="0"/>
        </w:numPr>
        <w:tabs>
          <w:tab w:val="clear" w:pos="562"/>
        </w:tabs>
        <w:ind w:right="-2"/>
      </w:pPr>
      <w:r w:rsidRPr="001E71EE">
        <w:t>Keep the pre-filled syringe in the outer carton in order to protect from light.</w:t>
      </w:r>
    </w:p>
    <w:p w14:paraId="6228FD6C" w14:textId="77777777" w:rsidR="00B05E81" w:rsidRPr="001E71EE" w:rsidRDefault="00B05E81" w:rsidP="00B05E81">
      <w:pPr>
        <w:numPr>
          <w:ilvl w:val="12"/>
          <w:numId w:val="0"/>
        </w:numPr>
        <w:tabs>
          <w:tab w:val="clear" w:pos="562"/>
        </w:tabs>
        <w:ind w:right="-2"/>
      </w:pPr>
    </w:p>
    <w:p w14:paraId="598EF119" w14:textId="77777777" w:rsidR="00B05E81" w:rsidRPr="001E71EE" w:rsidRDefault="00944B8F" w:rsidP="00B05E81">
      <w:pPr>
        <w:tabs>
          <w:tab w:val="clear" w:pos="562"/>
        </w:tabs>
        <w:suppressAutoHyphens w:val="0"/>
        <w:autoSpaceDE w:val="0"/>
        <w:autoSpaceDN w:val="0"/>
        <w:adjustRightInd w:val="0"/>
        <w:rPr>
          <w:szCs w:val="22"/>
          <w:lang w:eastAsia="en-GB"/>
        </w:rPr>
      </w:pPr>
      <w:r w:rsidRPr="001E71EE">
        <w:rPr>
          <w:szCs w:val="22"/>
          <w:lang w:eastAsia="en-GB"/>
        </w:rPr>
        <w:t>Alternative Storage:</w:t>
      </w:r>
    </w:p>
    <w:p w14:paraId="5BC43641" w14:textId="77777777" w:rsidR="00B05E81" w:rsidRPr="001E71EE" w:rsidRDefault="00B05E81" w:rsidP="00B05E81">
      <w:pPr>
        <w:tabs>
          <w:tab w:val="clear" w:pos="562"/>
        </w:tabs>
        <w:suppressAutoHyphens w:val="0"/>
        <w:autoSpaceDE w:val="0"/>
        <w:autoSpaceDN w:val="0"/>
        <w:adjustRightInd w:val="0"/>
        <w:rPr>
          <w:szCs w:val="22"/>
          <w:lang w:eastAsia="en-GB"/>
        </w:rPr>
      </w:pPr>
    </w:p>
    <w:p w14:paraId="11624437" w14:textId="77777777" w:rsidR="00B05E81" w:rsidRPr="001E71EE" w:rsidRDefault="00944B8F" w:rsidP="00B05E81">
      <w:pPr>
        <w:tabs>
          <w:tab w:val="clear" w:pos="562"/>
        </w:tabs>
        <w:suppressAutoHyphens w:val="0"/>
        <w:autoSpaceDE w:val="0"/>
        <w:autoSpaceDN w:val="0"/>
        <w:adjustRightInd w:val="0"/>
        <w:rPr>
          <w:szCs w:val="22"/>
          <w:lang w:eastAsia="en-GB"/>
        </w:rPr>
      </w:pPr>
      <w:r w:rsidRPr="001E71EE">
        <w:rPr>
          <w:szCs w:val="22"/>
          <w:lang w:eastAsia="en-GB"/>
        </w:rPr>
        <w:t xml:space="preserve">When needed (for example when you are travelling), a single Humira pre-filled syringe may be stored at room temperature (up to 25°C) for a maximum period of 14 days – be sure to protect it from light. Once removed from the refrigerator for room temperature storage, the syringe </w:t>
      </w:r>
      <w:r w:rsidRPr="001E71EE">
        <w:rPr>
          <w:b/>
          <w:szCs w:val="22"/>
          <w:lang w:eastAsia="en-GB"/>
        </w:rPr>
        <w:t>must be used within 14 days</w:t>
      </w:r>
      <w:r w:rsidRPr="001E71EE">
        <w:rPr>
          <w:szCs w:val="22"/>
          <w:lang w:eastAsia="en-GB"/>
        </w:rPr>
        <w:t xml:space="preserve"> </w:t>
      </w:r>
      <w:r w:rsidRPr="001E71EE">
        <w:rPr>
          <w:b/>
          <w:bCs/>
          <w:szCs w:val="22"/>
          <w:lang w:eastAsia="en-GB"/>
        </w:rPr>
        <w:t>or discarded</w:t>
      </w:r>
      <w:r w:rsidRPr="001E71EE">
        <w:rPr>
          <w:bCs/>
          <w:szCs w:val="22"/>
          <w:lang w:eastAsia="en-GB"/>
        </w:rPr>
        <w:t>, even if it is returned to the refrigerator</w:t>
      </w:r>
      <w:r w:rsidRPr="001E71EE">
        <w:rPr>
          <w:szCs w:val="22"/>
          <w:lang w:eastAsia="en-GB"/>
        </w:rPr>
        <w:t xml:space="preserve">.  </w:t>
      </w:r>
    </w:p>
    <w:p w14:paraId="01DFBB57" w14:textId="77777777" w:rsidR="00B05E81" w:rsidRPr="001E71EE" w:rsidRDefault="00B05E81" w:rsidP="00B05E81">
      <w:pPr>
        <w:tabs>
          <w:tab w:val="clear" w:pos="562"/>
        </w:tabs>
        <w:suppressAutoHyphens w:val="0"/>
        <w:autoSpaceDE w:val="0"/>
        <w:autoSpaceDN w:val="0"/>
        <w:adjustRightInd w:val="0"/>
        <w:rPr>
          <w:szCs w:val="22"/>
          <w:lang w:eastAsia="en-GB"/>
        </w:rPr>
      </w:pPr>
    </w:p>
    <w:p w14:paraId="7F22A569" w14:textId="77777777" w:rsidR="00B05E81" w:rsidRPr="001E71EE" w:rsidRDefault="00944B8F" w:rsidP="00B05E81">
      <w:pPr>
        <w:tabs>
          <w:tab w:val="clear" w:pos="562"/>
        </w:tabs>
        <w:suppressAutoHyphens w:val="0"/>
        <w:autoSpaceDE w:val="0"/>
        <w:autoSpaceDN w:val="0"/>
        <w:adjustRightInd w:val="0"/>
        <w:rPr>
          <w:szCs w:val="22"/>
          <w:lang w:eastAsia="en-GB"/>
        </w:rPr>
      </w:pPr>
      <w:r w:rsidRPr="001E71EE">
        <w:rPr>
          <w:szCs w:val="22"/>
          <w:lang w:eastAsia="en-GB"/>
        </w:rPr>
        <w:t>You should record the date when the syringe is first removed from refrigerator and the date after which it should be discarded.</w:t>
      </w:r>
    </w:p>
    <w:p w14:paraId="6F309ECF" w14:textId="77777777" w:rsidR="00B05E81" w:rsidRPr="001E71EE" w:rsidRDefault="00B05E81" w:rsidP="00B05E81">
      <w:pPr>
        <w:tabs>
          <w:tab w:val="clear" w:pos="562"/>
        </w:tabs>
        <w:suppressAutoHyphens w:val="0"/>
        <w:autoSpaceDE w:val="0"/>
        <w:autoSpaceDN w:val="0"/>
        <w:adjustRightInd w:val="0"/>
      </w:pPr>
    </w:p>
    <w:p w14:paraId="37497119" w14:textId="77777777" w:rsidR="00B05E81" w:rsidRPr="00FA2E03" w:rsidRDefault="00944B8F" w:rsidP="00B05E81">
      <w:pPr>
        <w:numPr>
          <w:ilvl w:val="12"/>
          <w:numId w:val="0"/>
        </w:numPr>
        <w:tabs>
          <w:tab w:val="clear" w:pos="562"/>
        </w:tabs>
        <w:ind w:right="-2"/>
      </w:pPr>
      <w:r w:rsidRPr="001E71EE">
        <w:rPr>
          <w:szCs w:val="22"/>
        </w:rPr>
        <w:t>Do not throw away any medicines via wastewater or household waste. Ask your doctor or pharmacist how to throw away medicines you no longer use. These measures will help protect the environment.</w:t>
      </w:r>
    </w:p>
    <w:p w14:paraId="17849657" w14:textId="77777777" w:rsidR="00B05E81" w:rsidRPr="001E71EE" w:rsidRDefault="00B05E81" w:rsidP="00B05E81">
      <w:pPr>
        <w:numPr>
          <w:ilvl w:val="12"/>
          <w:numId w:val="0"/>
        </w:numPr>
        <w:tabs>
          <w:tab w:val="clear" w:pos="562"/>
        </w:tabs>
        <w:ind w:right="-2"/>
        <w:rPr>
          <w:szCs w:val="20"/>
        </w:rPr>
      </w:pPr>
    </w:p>
    <w:p w14:paraId="54883B4E" w14:textId="77777777" w:rsidR="00B05E81" w:rsidRPr="001E71EE" w:rsidRDefault="00B05E81" w:rsidP="00B05E81">
      <w:pPr>
        <w:numPr>
          <w:ilvl w:val="12"/>
          <w:numId w:val="0"/>
        </w:numPr>
        <w:tabs>
          <w:tab w:val="clear" w:pos="562"/>
        </w:tabs>
        <w:ind w:right="-2"/>
        <w:rPr>
          <w:szCs w:val="20"/>
        </w:rPr>
      </w:pPr>
    </w:p>
    <w:p w14:paraId="095805EB" w14:textId="77777777" w:rsidR="00B05E81" w:rsidRPr="001E71EE" w:rsidRDefault="00944B8F" w:rsidP="00B05E81">
      <w:pPr>
        <w:keepNext/>
        <w:outlineLvl w:val="0"/>
        <w:rPr>
          <w:rFonts w:ascii="Times New Roman Bold" w:hAnsi="Times New Roman Bold"/>
          <w:b/>
          <w:szCs w:val="20"/>
        </w:rPr>
      </w:pPr>
      <w:r w:rsidRPr="001E71EE">
        <w:rPr>
          <w:b/>
          <w:caps/>
          <w:szCs w:val="20"/>
        </w:rPr>
        <w:t>6.</w:t>
      </w:r>
      <w:r w:rsidRPr="001E71EE">
        <w:rPr>
          <w:b/>
          <w:caps/>
          <w:szCs w:val="20"/>
        </w:rPr>
        <w:tab/>
      </w:r>
      <w:r w:rsidRPr="00FA2E03">
        <w:rPr>
          <w:b/>
          <w:caps/>
        </w:rPr>
        <w:t>C</w:t>
      </w:r>
      <w:r w:rsidRPr="001E71EE">
        <w:rPr>
          <w:rFonts w:ascii="Times New Roman Bold" w:hAnsi="Times New Roman Bold"/>
          <w:b/>
          <w:szCs w:val="20"/>
        </w:rPr>
        <w:t>ontents of the pack and other information</w:t>
      </w:r>
    </w:p>
    <w:p w14:paraId="10E7AF0A" w14:textId="77777777" w:rsidR="00B05E81" w:rsidRPr="001E71EE" w:rsidRDefault="00B05E81" w:rsidP="00B05E81">
      <w:pPr>
        <w:keepNext/>
        <w:numPr>
          <w:ilvl w:val="12"/>
          <w:numId w:val="0"/>
        </w:numPr>
        <w:tabs>
          <w:tab w:val="clear" w:pos="562"/>
        </w:tabs>
        <w:ind w:right="-2"/>
      </w:pPr>
    </w:p>
    <w:p w14:paraId="2332BB9F" w14:textId="77777777" w:rsidR="00B05E81" w:rsidRPr="00D342F4" w:rsidRDefault="00944B8F" w:rsidP="00B05E81">
      <w:pPr>
        <w:numPr>
          <w:ilvl w:val="12"/>
          <w:numId w:val="0"/>
        </w:numPr>
        <w:tabs>
          <w:tab w:val="clear" w:pos="562"/>
        </w:tabs>
        <w:ind w:right="-2"/>
        <w:rPr>
          <w:szCs w:val="22"/>
        </w:rPr>
      </w:pPr>
      <w:r w:rsidRPr="00D342F4">
        <w:rPr>
          <w:b/>
        </w:rPr>
        <w:t>What Humira contains</w:t>
      </w:r>
    </w:p>
    <w:p w14:paraId="6C5483F2" w14:textId="77777777" w:rsidR="00B05E81" w:rsidRPr="00D342F4" w:rsidRDefault="00B05E81" w:rsidP="00B05E81">
      <w:pPr>
        <w:keepNext/>
        <w:numPr>
          <w:ilvl w:val="12"/>
          <w:numId w:val="0"/>
        </w:numPr>
        <w:ind w:right="-2"/>
        <w:rPr>
          <w:szCs w:val="22"/>
        </w:rPr>
      </w:pPr>
    </w:p>
    <w:p w14:paraId="0156DC2B" w14:textId="77777777" w:rsidR="00B05E81" w:rsidRPr="00D342F4" w:rsidRDefault="00944B8F" w:rsidP="00B05E81">
      <w:pPr>
        <w:keepNext/>
        <w:numPr>
          <w:ilvl w:val="12"/>
          <w:numId w:val="0"/>
        </w:numPr>
        <w:ind w:right="-2"/>
        <w:rPr>
          <w:szCs w:val="22"/>
        </w:rPr>
      </w:pPr>
      <w:r w:rsidRPr="00D342F4">
        <w:rPr>
          <w:szCs w:val="22"/>
        </w:rPr>
        <w:t>The active substance is adalimumab.</w:t>
      </w:r>
    </w:p>
    <w:p w14:paraId="7C491DD5" w14:textId="77777777" w:rsidR="00B05E81" w:rsidRPr="00D342F4" w:rsidRDefault="00944B8F" w:rsidP="00B05E81">
      <w:pPr>
        <w:keepNext/>
        <w:numPr>
          <w:ilvl w:val="12"/>
          <w:numId w:val="0"/>
        </w:numPr>
        <w:tabs>
          <w:tab w:val="clear" w:pos="562"/>
        </w:tabs>
        <w:ind w:right="-2"/>
        <w:rPr>
          <w:szCs w:val="22"/>
        </w:rPr>
      </w:pPr>
      <w:r w:rsidRPr="00D342F4">
        <w:rPr>
          <w:szCs w:val="22"/>
        </w:rPr>
        <w:t>The other ingredients are mannitol, polysorbate 80 and water for injections.</w:t>
      </w:r>
    </w:p>
    <w:p w14:paraId="1C0A67C6" w14:textId="77777777" w:rsidR="00B05E81" w:rsidRPr="00D342F4" w:rsidRDefault="00B05E81" w:rsidP="00B05E81">
      <w:pPr>
        <w:numPr>
          <w:ilvl w:val="12"/>
          <w:numId w:val="0"/>
        </w:numPr>
        <w:tabs>
          <w:tab w:val="clear" w:pos="562"/>
        </w:tabs>
        <w:ind w:right="-2"/>
        <w:rPr>
          <w:szCs w:val="22"/>
        </w:rPr>
      </w:pPr>
    </w:p>
    <w:p w14:paraId="563BCB74" w14:textId="77777777" w:rsidR="00B05E81" w:rsidRPr="00FA2E03" w:rsidRDefault="00944B8F" w:rsidP="00B05E81">
      <w:pPr>
        <w:keepNext/>
        <w:numPr>
          <w:ilvl w:val="12"/>
          <w:numId w:val="0"/>
        </w:numPr>
        <w:tabs>
          <w:tab w:val="clear" w:pos="562"/>
        </w:tabs>
        <w:ind w:right="-2"/>
        <w:rPr>
          <w:b/>
        </w:rPr>
      </w:pPr>
      <w:r w:rsidRPr="00D342F4">
        <w:rPr>
          <w:b/>
        </w:rPr>
        <w:t xml:space="preserve">What the Humira pre-filled </w:t>
      </w:r>
      <w:r w:rsidRPr="00D342F4">
        <w:rPr>
          <w:b/>
          <w:bCs/>
        </w:rPr>
        <w:t>syringe</w:t>
      </w:r>
      <w:r w:rsidRPr="00D342F4">
        <w:rPr>
          <w:b/>
        </w:rPr>
        <w:t xml:space="preserve"> looks like and contents of the pack</w:t>
      </w:r>
    </w:p>
    <w:p w14:paraId="4EF907A4" w14:textId="77777777" w:rsidR="00B05E81" w:rsidRPr="00FA2E03" w:rsidRDefault="00B05E81" w:rsidP="00B05E81">
      <w:pPr>
        <w:keepNext/>
        <w:numPr>
          <w:ilvl w:val="12"/>
          <w:numId w:val="0"/>
        </w:numPr>
        <w:tabs>
          <w:tab w:val="clear" w:pos="562"/>
        </w:tabs>
        <w:ind w:right="-2"/>
        <w:rPr>
          <w:b/>
        </w:rPr>
      </w:pPr>
    </w:p>
    <w:p w14:paraId="42A70B00" w14:textId="77777777" w:rsidR="00B05E81" w:rsidRPr="00FA2E03" w:rsidRDefault="00944B8F" w:rsidP="00B05E81">
      <w:pPr>
        <w:keepNext/>
        <w:numPr>
          <w:ilvl w:val="12"/>
          <w:numId w:val="0"/>
        </w:numPr>
        <w:tabs>
          <w:tab w:val="clear" w:pos="562"/>
        </w:tabs>
        <w:ind w:right="-2"/>
        <w:rPr>
          <w:b/>
        </w:rPr>
      </w:pPr>
      <w:r w:rsidRPr="00FA2E03">
        <w:t>Humira 40 mg solution for injection in pre-filled syringe is supplied as a sterile solution of 40 mg adalimumab dissolved in 0.4 ml solution.</w:t>
      </w:r>
    </w:p>
    <w:p w14:paraId="1D5DD279" w14:textId="77777777" w:rsidR="00B05E81" w:rsidRPr="00D342F4" w:rsidRDefault="00B05E81" w:rsidP="00B05E81">
      <w:pPr>
        <w:numPr>
          <w:ilvl w:val="12"/>
          <w:numId w:val="0"/>
        </w:numPr>
        <w:tabs>
          <w:tab w:val="clear" w:pos="562"/>
        </w:tabs>
        <w:ind w:right="-2"/>
        <w:rPr>
          <w:szCs w:val="22"/>
        </w:rPr>
      </w:pPr>
    </w:p>
    <w:p w14:paraId="33602CC5" w14:textId="77777777" w:rsidR="00B05E81" w:rsidRPr="00D342F4" w:rsidRDefault="00944B8F" w:rsidP="00B05E81">
      <w:pPr>
        <w:numPr>
          <w:ilvl w:val="12"/>
          <w:numId w:val="0"/>
        </w:numPr>
        <w:tabs>
          <w:tab w:val="clear" w:pos="562"/>
        </w:tabs>
        <w:ind w:right="-2"/>
        <w:rPr>
          <w:szCs w:val="22"/>
        </w:rPr>
      </w:pPr>
      <w:r w:rsidRPr="00D342F4">
        <w:rPr>
          <w:szCs w:val="22"/>
        </w:rPr>
        <w:t xml:space="preserve">The Humira pre-filled </w:t>
      </w:r>
      <w:r w:rsidRPr="00D342F4">
        <w:t>syringe</w:t>
      </w:r>
      <w:r w:rsidRPr="00D342F4">
        <w:rPr>
          <w:szCs w:val="22"/>
        </w:rPr>
        <w:t xml:space="preserve"> is a glass syringe containing </w:t>
      </w:r>
      <w:r w:rsidRPr="00D342F4">
        <w:t xml:space="preserve">a solution of adalimumab. Each pack contains </w:t>
      </w:r>
      <w:r w:rsidRPr="00D342F4">
        <w:rPr>
          <w:szCs w:val="22"/>
        </w:rPr>
        <w:t xml:space="preserve">1, 2, 4 </w:t>
      </w:r>
      <w:r w:rsidRPr="00D342F4">
        <w:t>or</w:t>
      </w:r>
      <w:r w:rsidRPr="00D342F4">
        <w:rPr>
          <w:szCs w:val="22"/>
        </w:rPr>
        <w:t xml:space="preserve"> 6 pre-filled </w:t>
      </w:r>
      <w:r w:rsidRPr="00D342F4">
        <w:t>syringes for patient use with 1, 2, 4 or 6 alcohol pads, respectively.</w:t>
      </w:r>
      <w:r w:rsidRPr="00D342F4">
        <w:rPr>
          <w:szCs w:val="22"/>
        </w:rPr>
        <w:t xml:space="preserve">  </w:t>
      </w:r>
    </w:p>
    <w:p w14:paraId="0BA25FFB" w14:textId="77777777" w:rsidR="00B05E81" w:rsidRPr="00D342F4" w:rsidRDefault="00B05E81" w:rsidP="00B05E81">
      <w:pPr>
        <w:numPr>
          <w:ilvl w:val="12"/>
          <w:numId w:val="0"/>
        </w:numPr>
        <w:tabs>
          <w:tab w:val="clear" w:pos="562"/>
        </w:tabs>
        <w:ind w:right="-2"/>
        <w:rPr>
          <w:szCs w:val="22"/>
        </w:rPr>
      </w:pPr>
    </w:p>
    <w:p w14:paraId="6F48CE90" w14:textId="77777777" w:rsidR="00B05E81" w:rsidRPr="00D342F4" w:rsidRDefault="00944B8F" w:rsidP="00B05E81">
      <w:pPr>
        <w:numPr>
          <w:ilvl w:val="12"/>
          <w:numId w:val="0"/>
        </w:numPr>
        <w:tabs>
          <w:tab w:val="clear" w:pos="562"/>
        </w:tabs>
        <w:ind w:right="-2"/>
        <w:rPr>
          <w:szCs w:val="22"/>
        </w:rPr>
      </w:pPr>
      <w:r w:rsidRPr="00D342F4">
        <w:rPr>
          <w:szCs w:val="22"/>
        </w:rPr>
        <w:t xml:space="preserve">Not all pack sizes may be marketed.  </w:t>
      </w:r>
    </w:p>
    <w:p w14:paraId="572954DC" w14:textId="77777777" w:rsidR="00B05E81" w:rsidRPr="00D342F4" w:rsidRDefault="00B05E81" w:rsidP="00B05E81">
      <w:pPr>
        <w:tabs>
          <w:tab w:val="clear" w:pos="562"/>
        </w:tabs>
        <w:rPr>
          <w:szCs w:val="22"/>
        </w:rPr>
      </w:pPr>
    </w:p>
    <w:p w14:paraId="67A96126" w14:textId="77777777" w:rsidR="00B05E81" w:rsidRPr="00D342F4" w:rsidRDefault="00944B8F" w:rsidP="00B05E81">
      <w:pPr>
        <w:tabs>
          <w:tab w:val="clear" w:pos="562"/>
        </w:tabs>
        <w:rPr>
          <w:szCs w:val="22"/>
        </w:rPr>
      </w:pPr>
      <w:r w:rsidRPr="00D342F4">
        <w:rPr>
          <w:szCs w:val="22"/>
        </w:rPr>
        <w:t>Humira may be available as a vial, a pre-filled syringe and/or a pre-filled pen.</w:t>
      </w:r>
    </w:p>
    <w:p w14:paraId="6800D7DA" w14:textId="77777777" w:rsidR="00B05E81" w:rsidRPr="00D342F4" w:rsidRDefault="00B05E81" w:rsidP="00B05E81">
      <w:pPr>
        <w:numPr>
          <w:ilvl w:val="12"/>
          <w:numId w:val="0"/>
        </w:numPr>
        <w:ind w:right="-2"/>
        <w:rPr>
          <w:iCs/>
          <w:szCs w:val="22"/>
        </w:rPr>
      </w:pPr>
    </w:p>
    <w:p w14:paraId="0365B95D" w14:textId="77777777" w:rsidR="00B05E81" w:rsidRPr="00FA2E03" w:rsidRDefault="00944B8F" w:rsidP="00B05E81">
      <w:pPr>
        <w:keepNext/>
        <w:numPr>
          <w:ilvl w:val="12"/>
          <w:numId w:val="0"/>
        </w:numPr>
        <w:tabs>
          <w:tab w:val="clear" w:pos="562"/>
        </w:tabs>
        <w:ind w:right="-2"/>
        <w:rPr>
          <w:b/>
        </w:rPr>
      </w:pPr>
      <w:r w:rsidRPr="00D342F4">
        <w:rPr>
          <w:b/>
        </w:rPr>
        <w:t>Marketing Authorisation Holder</w:t>
      </w:r>
    </w:p>
    <w:p w14:paraId="7084DF3A" w14:textId="77777777" w:rsidR="00B05E81" w:rsidRPr="001E71EE" w:rsidRDefault="00B05E81" w:rsidP="00B05E81">
      <w:pPr>
        <w:keepNext/>
        <w:numPr>
          <w:ilvl w:val="12"/>
          <w:numId w:val="0"/>
        </w:numPr>
        <w:tabs>
          <w:tab w:val="clear" w:pos="562"/>
        </w:tabs>
        <w:ind w:right="-2"/>
      </w:pPr>
    </w:p>
    <w:p w14:paraId="3474A7FC" w14:textId="77777777" w:rsidR="00D55997" w:rsidRPr="00D55997" w:rsidRDefault="00944B8F" w:rsidP="00D55997">
      <w:pPr>
        <w:tabs>
          <w:tab w:val="clear" w:pos="562"/>
        </w:tabs>
        <w:rPr>
          <w:szCs w:val="22"/>
          <w:lang w:eastAsia="en-GB"/>
        </w:rPr>
      </w:pPr>
      <w:r w:rsidRPr="00D55997">
        <w:rPr>
          <w:szCs w:val="22"/>
          <w:lang w:eastAsia="en-GB"/>
        </w:rPr>
        <w:t>AbbVie Deutschland GmbH &amp; Co. KG</w:t>
      </w:r>
    </w:p>
    <w:p w14:paraId="7A5D4862" w14:textId="77777777" w:rsidR="00D55997" w:rsidRPr="00D55997" w:rsidRDefault="00944B8F" w:rsidP="00D55997">
      <w:pPr>
        <w:tabs>
          <w:tab w:val="clear" w:pos="562"/>
        </w:tabs>
        <w:rPr>
          <w:szCs w:val="22"/>
          <w:lang w:eastAsia="en-GB"/>
        </w:rPr>
      </w:pPr>
      <w:r w:rsidRPr="00D55997">
        <w:rPr>
          <w:szCs w:val="22"/>
          <w:lang w:eastAsia="en-GB"/>
        </w:rPr>
        <w:t>Knollstrasse</w:t>
      </w:r>
    </w:p>
    <w:p w14:paraId="67AECFA2" w14:textId="77777777" w:rsidR="00D55997" w:rsidRPr="00D55997" w:rsidRDefault="00944B8F" w:rsidP="00D55997">
      <w:pPr>
        <w:tabs>
          <w:tab w:val="clear" w:pos="562"/>
        </w:tabs>
        <w:rPr>
          <w:szCs w:val="22"/>
          <w:lang w:eastAsia="en-GB"/>
        </w:rPr>
      </w:pPr>
      <w:r w:rsidRPr="00D55997">
        <w:rPr>
          <w:szCs w:val="22"/>
          <w:lang w:eastAsia="en-GB"/>
        </w:rPr>
        <w:t>67061 Ludwigshafen</w:t>
      </w:r>
    </w:p>
    <w:p w14:paraId="386079C1" w14:textId="77777777" w:rsidR="00B05E81" w:rsidRDefault="00944B8F" w:rsidP="00D55997">
      <w:pPr>
        <w:tabs>
          <w:tab w:val="clear" w:pos="562"/>
        </w:tabs>
        <w:rPr>
          <w:szCs w:val="22"/>
          <w:lang w:eastAsia="en-GB"/>
        </w:rPr>
      </w:pPr>
      <w:r w:rsidRPr="00D55997">
        <w:rPr>
          <w:szCs w:val="22"/>
          <w:lang w:eastAsia="en-GB"/>
        </w:rPr>
        <w:t>Germany</w:t>
      </w:r>
    </w:p>
    <w:p w14:paraId="682BBD46" w14:textId="77777777" w:rsidR="00D55997" w:rsidRPr="001E71EE" w:rsidRDefault="00D55997" w:rsidP="00D55997">
      <w:pPr>
        <w:tabs>
          <w:tab w:val="clear" w:pos="562"/>
        </w:tabs>
      </w:pPr>
    </w:p>
    <w:p w14:paraId="7109104D" w14:textId="77777777" w:rsidR="00B05E81" w:rsidRPr="001E71EE" w:rsidRDefault="00944B8F" w:rsidP="00B05E81">
      <w:pPr>
        <w:keepNext/>
        <w:numPr>
          <w:ilvl w:val="12"/>
          <w:numId w:val="0"/>
        </w:numPr>
        <w:tabs>
          <w:tab w:val="clear" w:pos="562"/>
        </w:tabs>
        <w:ind w:right="-2"/>
        <w:rPr>
          <w:b/>
        </w:rPr>
      </w:pPr>
      <w:r w:rsidRPr="001E71EE">
        <w:rPr>
          <w:b/>
        </w:rPr>
        <w:lastRenderedPageBreak/>
        <w:t xml:space="preserve">Manufacturer </w:t>
      </w:r>
    </w:p>
    <w:p w14:paraId="03C34D11" w14:textId="77777777" w:rsidR="00B05E81" w:rsidRPr="001E71EE" w:rsidRDefault="00B05E81" w:rsidP="00B05E81">
      <w:pPr>
        <w:keepNext/>
        <w:numPr>
          <w:ilvl w:val="12"/>
          <w:numId w:val="0"/>
        </w:numPr>
        <w:tabs>
          <w:tab w:val="clear" w:pos="562"/>
          <w:tab w:val="left" w:pos="720"/>
        </w:tabs>
      </w:pPr>
    </w:p>
    <w:p w14:paraId="767038A6" w14:textId="77777777" w:rsidR="00B05E81" w:rsidRPr="001E71EE" w:rsidRDefault="00944B8F" w:rsidP="00B05E81">
      <w:pPr>
        <w:keepNext/>
      </w:pPr>
      <w:r w:rsidRPr="001E71EE">
        <w:t>AbbVie Biotechnology GmbH</w:t>
      </w:r>
    </w:p>
    <w:p w14:paraId="4A3A3057" w14:textId="77777777" w:rsidR="00B05E81" w:rsidRPr="001E71EE" w:rsidRDefault="00944B8F" w:rsidP="00B05E81">
      <w:pPr>
        <w:keepNext/>
        <w:numPr>
          <w:ilvl w:val="12"/>
          <w:numId w:val="0"/>
        </w:numPr>
        <w:tabs>
          <w:tab w:val="clear" w:pos="562"/>
          <w:tab w:val="left" w:pos="720"/>
        </w:tabs>
      </w:pPr>
      <w:r w:rsidRPr="001E71EE">
        <w:t>Knollstrasse</w:t>
      </w:r>
    </w:p>
    <w:p w14:paraId="355D5325" w14:textId="77777777" w:rsidR="00B05E81" w:rsidRPr="001E71EE" w:rsidRDefault="00944B8F" w:rsidP="00B05E81">
      <w:pPr>
        <w:keepNext/>
        <w:numPr>
          <w:ilvl w:val="12"/>
          <w:numId w:val="0"/>
        </w:numPr>
        <w:tabs>
          <w:tab w:val="clear" w:pos="562"/>
          <w:tab w:val="left" w:pos="720"/>
        </w:tabs>
      </w:pPr>
      <w:r w:rsidRPr="001E71EE">
        <w:t>67061 Ludwigshafen</w:t>
      </w:r>
    </w:p>
    <w:p w14:paraId="584B8E9A" w14:textId="77777777" w:rsidR="00B05E81" w:rsidRPr="001E71EE" w:rsidRDefault="00944B8F" w:rsidP="00B05E81">
      <w:pPr>
        <w:keepNext/>
        <w:numPr>
          <w:ilvl w:val="12"/>
          <w:numId w:val="0"/>
        </w:numPr>
        <w:tabs>
          <w:tab w:val="clear" w:pos="562"/>
          <w:tab w:val="left" w:pos="720"/>
        </w:tabs>
      </w:pPr>
      <w:r w:rsidRPr="001E71EE">
        <w:t>Germany</w:t>
      </w:r>
    </w:p>
    <w:p w14:paraId="65AA93D1" w14:textId="77777777" w:rsidR="00B05E81" w:rsidRPr="001E71EE" w:rsidRDefault="00B05E81" w:rsidP="00B05E81">
      <w:pPr>
        <w:numPr>
          <w:ilvl w:val="12"/>
          <w:numId w:val="0"/>
        </w:numPr>
        <w:tabs>
          <w:tab w:val="clear" w:pos="562"/>
        </w:tabs>
        <w:ind w:right="-2"/>
      </w:pPr>
    </w:p>
    <w:p w14:paraId="5BF5AC04" w14:textId="77777777" w:rsidR="00B05E81" w:rsidRDefault="00944B8F" w:rsidP="00B05E81">
      <w:pPr>
        <w:numPr>
          <w:ilvl w:val="12"/>
          <w:numId w:val="0"/>
        </w:numPr>
        <w:tabs>
          <w:tab w:val="clear" w:pos="562"/>
        </w:tabs>
        <w:ind w:right="-2"/>
      </w:pPr>
      <w:r w:rsidRPr="001E71EE">
        <w:t>For any information about this medicine, please contact the local representative of the Marketing Authorisation Holder:</w:t>
      </w:r>
    </w:p>
    <w:p w14:paraId="7AD4EF4A" w14:textId="77777777" w:rsidR="00B05E81" w:rsidRPr="001E71EE" w:rsidRDefault="00B05E81" w:rsidP="00B05E81">
      <w:pPr>
        <w:numPr>
          <w:ilvl w:val="12"/>
          <w:numId w:val="0"/>
        </w:numPr>
        <w:tabs>
          <w:tab w:val="clear" w:pos="562"/>
        </w:tabs>
        <w:ind w:right="-2"/>
      </w:pPr>
    </w:p>
    <w:tbl>
      <w:tblPr>
        <w:tblW w:w="9356" w:type="dxa"/>
        <w:tblInd w:w="-34" w:type="dxa"/>
        <w:tblLayout w:type="fixed"/>
        <w:tblLook w:val="0000" w:firstRow="0" w:lastRow="0" w:firstColumn="0" w:lastColumn="0" w:noHBand="0" w:noVBand="0"/>
      </w:tblPr>
      <w:tblGrid>
        <w:gridCol w:w="34"/>
        <w:gridCol w:w="4644"/>
        <w:gridCol w:w="4678"/>
      </w:tblGrid>
      <w:tr w:rsidR="00C6578C" w14:paraId="215AB9A4" w14:textId="77777777" w:rsidTr="00740A74">
        <w:trPr>
          <w:gridBefore w:val="1"/>
          <w:wBefore w:w="34" w:type="dxa"/>
        </w:trPr>
        <w:tc>
          <w:tcPr>
            <w:tcW w:w="4644" w:type="dxa"/>
          </w:tcPr>
          <w:p w14:paraId="55ECE1EB" w14:textId="77777777" w:rsidR="00B05E81" w:rsidRPr="00BC0E7E" w:rsidRDefault="00944B8F" w:rsidP="00740A74">
            <w:pPr>
              <w:rPr>
                <w:b/>
                <w:bCs/>
                <w:szCs w:val="22"/>
                <w:lang w:val="fr-BE"/>
              </w:rPr>
            </w:pPr>
            <w:r w:rsidRPr="00BC0E7E">
              <w:rPr>
                <w:b/>
                <w:bCs/>
                <w:szCs w:val="22"/>
                <w:lang w:val="fr-BE"/>
              </w:rPr>
              <w:t>België/Belgique/Belgien</w:t>
            </w:r>
          </w:p>
          <w:p w14:paraId="7BA3CDE8" w14:textId="77777777" w:rsidR="00B05E81" w:rsidRPr="00BC0E7E" w:rsidRDefault="00944B8F" w:rsidP="00740A74">
            <w:pPr>
              <w:tabs>
                <w:tab w:val="center" w:pos="2214"/>
              </w:tabs>
              <w:rPr>
                <w:bCs/>
                <w:szCs w:val="22"/>
                <w:lang w:val="fr-FR"/>
              </w:rPr>
            </w:pPr>
            <w:r w:rsidRPr="00BC0E7E">
              <w:rPr>
                <w:bCs/>
                <w:szCs w:val="22"/>
                <w:lang w:val="fr-FR"/>
              </w:rPr>
              <w:t>AbbVie SA</w:t>
            </w:r>
          </w:p>
          <w:p w14:paraId="561F3FCE" w14:textId="77777777" w:rsidR="00B05E81" w:rsidRDefault="00944B8F" w:rsidP="00740A74">
            <w:pPr>
              <w:spacing w:line="260" w:lineRule="exact"/>
              <w:rPr>
                <w:szCs w:val="22"/>
                <w:lang w:val="fr-FR"/>
              </w:rPr>
            </w:pPr>
            <w:r w:rsidRPr="00BC0E7E">
              <w:rPr>
                <w:bCs/>
                <w:szCs w:val="22"/>
                <w:lang w:val="fr-FR"/>
              </w:rPr>
              <w:t xml:space="preserve">Tél/Tel: +32 10 </w:t>
            </w:r>
            <w:r w:rsidRPr="00BC0E7E">
              <w:rPr>
                <w:szCs w:val="22"/>
                <w:lang w:val="fr-FR"/>
              </w:rPr>
              <w:t xml:space="preserve"> 477811</w:t>
            </w:r>
          </w:p>
          <w:p w14:paraId="07DFABDD" w14:textId="77777777" w:rsidR="0099655D" w:rsidRPr="00BC0E7E" w:rsidRDefault="0099655D" w:rsidP="00740A74">
            <w:pPr>
              <w:spacing w:line="260" w:lineRule="exact"/>
              <w:rPr>
                <w:bCs/>
                <w:szCs w:val="22"/>
                <w:lang w:val="fr-FR"/>
              </w:rPr>
            </w:pPr>
          </w:p>
        </w:tc>
        <w:tc>
          <w:tcPr>
            <w:tcW w:w="4678" w:type="dxa"/>
          </w:tcPr>
          <w:p w14:paraId="2AD0F196" w14:textId="77777777" w:rsidR="00B05E81" w:rsidRPr="00BC0E7E" w:rsidRDefault="00944B8F" w:rsidP="00740A74">
            <w:pPr>
              <w:rPr>
                <w:b/>
                <w:bCs/>
                <w:szCs w:val="22"/>
                <w:lang w:val="lt-LT"/>
              </w:rPr>
            </w:pPr>
            <w:r w:rsidRPr="00BC0E7E">
              <w:rPr>
                <w:b/>
                <w:bCs/>
                <w:szCs w:val="22"/>
                <w:lang w:val="lt-LT"/>
              </w:rPr>
              <w:t>Lietuva</w:t>
            </w:r>
          </w:p>
          <w:p w14:paraId="2CD0D917" w14:textId="77777777" w:rsidR="00B05E81" w:rsidRPr="00BC0E7E" w:rsidRDefault="00944B8F" w:rsidP="00740A74">
            <w:pPr>
              <w:rPr>
                <w:bCs/>
                <w:szCs w:val="22"/>
                <w:lang w:val="lv-LV"/>
              </w:rPr>
            </w:pPr>
            <w:r w:rsidRPr="00BC0E7E">
              <w:rPr>
                <w:bCs/>
                <w:szCs w:val="22"/>
                <w:lang w:val="lv-LV"/>
              </w:rPr>
              <w:t xml:space="preserve">AbbVie UAB </w:t>
            </w:r>
          </w:p>
          <w:p w14:paraId="632519C6" w14:textId="77777777" w:rsidR="00B05E81" w:rsidRPr="00BC0E7E" w:rsidRDefault="00944B8F" w:rsidP="00740A74">
            <w:pPr>
              <w:jc w:val="both"/>
              <w:rPr>
                <w:bCs/>
                <w:szCs w:val="22"/>
                <w:lang w:val="lv-LV"/>
              </w:rPr>
            </w:pPr>
            <w:r w:rsidRPr="00BC0E7E">
              <w:rPr>
                <w:bCs/>
                <w:szCs w:val="22"/>
                <w:lang w:val="lv-LV"/>
              </w:rPr>
              <w:t>Tel: +370 5 205 3023</w:t>
            </w:r>
          </w:p>
        </w:tc>
      </w:tr>
      <w:tr w:rsidR="00C6578C" w14:paraId="1034F2BD" w14:textId="77777777" w:rsidTr="00740A74">
        <w:trPr>
          <w:gridBefore w:val="1"/>
          <w:wBefore w:w="34" w:type="dxa"/>
        </w:trPr>
        <w:tc>
          <w:tcPr>
            <w:tcW w:w="4644" w:type="dxa"/>
          </w:tcPr>
          <w:p w14:paraId="309093F5" w14:textId="77777777" w:rsidR="00B05E81" w:rsidRPr="00BC0E7E" w:rsidRDefault="00944B8F" w:rsidP="00740A74">
            <w:pPr>
              <w:autoSpaceDE w:val="0"/>
              <w:autoSpaceDN w:val="0"/>
              <w:adjustRightInd w:val="0"/>
              <w:rPr>
                <w:b/>
                <w:bCs/>
                <w:szCs w:val="22"/>
                <w:lang w:val="bg-BG"/>
              </w:rPr>
            </w:pPr>
            <w:r w:rsidRPr="00BC0E7E">
              <w:rPr>
                <w:b/>
                <w:bCs/>
                <w:szCs w:val="22"/>
                <w:lang w:val="bg-BG"/>
              </w:rPr>
              <w:t>България</w:t>
            </w:r>
          </w:p>
          <w:p w14:paraId="3588ED81" w14:textId="77777777" w:rsidR="00B05E81" w:rsidRPr="00BC0E7E" w:rsidRDefault="00944B8F" w:rsidP="00740A74">
            <w:pPr>
              <w:autoSpaceDE w:val="0"/>
              <w:autoSpaceDN w:val="0"/>
              <w:adjustRightInd w:val="0"/>
              <w:rPr>
                <w:szCs w:val="22"/>
                <w:lang w:val="da-DK"/>
              </w:rPr>
            </w:pPr>
            <w:r w:rsidRPr="00BC0E7E">
              <w:rPr>
                <w:rFonts w:eastAsia="MS Mincho"/>
                <w:color w:val="000000"/>
                <w:szCs w:val="22"/>
                <w:lang w:eastAsia="ja-JP"/>
              </w:rPr>
              <w:t>АбВи ЕООД</w:t>
            </w:r>
          </w:p>
          <w:p w14:paraId="610C3CFC" w14:textId="77777777" w:rsidR="00B05E81" w:rsidRPr="00BC0E7E" w:rsidRDefault="00944B8F" w:rsidP="00740A74">
            <w:pPr>
              <w:tabs>
                <w:tab w:val="left" w:pos="-720"/>
              </w:tabs>
              <w:rPr>
                <w:bCs/>
                <w:szCs w:val="22"/>
                <w:lang w:val="da-DK"/>
              </w:rPr>
            </w:pPr>
            <w:r w:rsidRPr="00BC0E7E">
              <w:rPr>
                <w:rFonts w:eastAsia="MS Mincho"/>
                <w:color w:val="000000"/>
                <w:szCs w:val="22"/>
                <w:lang w:eastAsia="ja-JP"/>
              </w:rPr>
              <w:t>Тел</w:t>
            </w:r>
            <w:r w:rsidRPr="00BC0E7E">
              <w:rPr>
                <w:rFonts w:eastAsia="MS Mincho"/>
                <w:color w:val="000000"/>
                <w:szCs w:val="22"/>
                <w:lang w:val="it-IT" w:eastAsia="ja-JP"/>
              </w:rPr>
              <w:t>.:+359 2 90 30 430</w:t>
            </w:r>
          </w:p>
        </w:tc>
        <w:tc>
          <w:tcPr>
            <w:tcW w:w="4678" w:type="dxa"/>
          </w:tcPr>
          <w:p w14:paraId="2D8C888F" w14:textId="77777777" w:rsidR="00B05E81" w:rsidRPr="00BC0E7E" w:rsidRDefault="00944B8F" w:rsidP="00740A74">
            <w:pPr>
              <w:rPr>
                <w:b/>
                <w:bCs/>
                <w:szCs w:val="22"/>
                <w:lang w:val="de-DE"/>
              </w:rPr>
            </w:pPr>
            <w:r w:rsidRPr="00BC0E7E">
              <w:rPr>
                <w:b/>
                <w:bCs/>
                <w:szCs w:val="22"/>
                <w:lang w:val="de-DE"/>
              </w:rPr>
              <w:t>Luxembourg/Luxemburg</w:t>
            </w:r>
          </w:p>
          <w:p w14:paraId="035F96D7" w14:textId="77777777" w:rsidR="00B05E81" w:rsidRPr="00BC0E7E" w:rsidRDefault="00944B8F" w:rsidP="00740A74">
            <w:pPr>
              <w:rPr>
                <w:bCs/>
                <w:szCs w:val="22"/>
                <w:lang w:val="de-DE"/>
              </w:rPr>
            </w:pPr>
            <w:r w:rsidRPr="00BC0E7E">
              <w:rPr>
                <w:bCs/>
                <w:szCs w:val="22"/>
                <w:lang w:val="de-DE"/>
              </w:rPr>
              <w:t>AbbVie SA</w:t>
            </w:r>
          </w:p>
          <w:p w14:paraId="052A7520" w14:textId="77777777" w:rsidR="00B05E81" w:rsidRPr="00BC0E7E" w:rsidRDefault="00944B8F" w:rsidP="00740A74">
            <w:pPr>
              <w:tabs>
                <w:tab w:val="center" w:pos="2231"/>
              </w:tabs>
              <w:rPr>
                <w:bCs/>
                <w:szCs w:val="22"/>
                <w:lang w:val="de-DE"/>
              </w:rPr>
            </w:pPr>
            <w:r w:rsidRPr="00BC0E7E">
              <w:rPr>
                <w:bCs/>
                <w:szCs w:val="22"/>
                <w:lang w:val="de-DE"/>
              </w:rPr>
              <w:t>Belgique/Belgien</w:t>
            </w:r>
          </w:p>
          <w:p w14:paraId="48DBF6E2" w14:textId="77777777" w:rsidR="00B05E81" w:rsidRDefault="00944B8F" w:rsidP="00740A74">
            <w:pPr>
              <w:rPr>
                <w:bCs/>
                <w:szCs w:val="22"/>
                <w:lang w:val="fr-FR"/>
              </w:rPr>
            </w:pPr>
            <w:r w:rsidRPr="00BC0E7E">
              <w:rPr>
                <w:bCs/>
                <w:szCs w:val="22"/>
                <w:lang w:val="fr-FR"/>
              </w:rPr>
              <w:t>Tél/Tel: +32 10 477811</w:t>
            </w:r>
          </w:p>
          <w:p w14:paraId="399B2706" w14:textId="77777777" w:rsidR="0099655D" w:rsidRPr="00BC0E7E" w:rsidRDefault="0099655D" w:rsidP="00740A74">
            <w:pPr>
              <w:rPr>
                <w:bCs/>
                <w:szCs w:val="22"/>
                <w:lang w:val="fr-FR"/>
              </w:rPr>
            </w:pPr>
          </w:p>
        </w:tc>
      </w:tr>
      <w:tr w:rsidR="00C6578C" w14:paraId="695D171D" w14:textId="77777777" w:rsidTr="00740A74">
        <w:trPr>
          <w:gridBefore w:val="1"/>
          <w:wBefore w:w="34" w:type="dxa"/>
        </w:trPr>
        <w:tc>
          <w:tcPr>
            <w:tcW w:w="4644" w:type="dxa"/>
          </w:tcPr>
          <w:p w14:paraId="5A51032B" w14:textId="77777777" w:rsidR="00B05E81" w:rsidRPr="00BC0E7E" w:rsidRDefault="00944B8F" w:rsidP="00740A74">
            <w:pPr>
              <w:rPr>
                <w:b/>
                <w:bCs/>
                <w:szCs w:val="22"/>
                <w:lang w:val="de-DE"/>
              </w:rPr>
            </w:pPr>
            <w:r w:rsidRPr="00BC0E7E">
              <w:rPr>
                <w:b/>
                <w:bCs/>
                <w:szCs w:val="22"/>
                <w:lang w:val="de-DE"/>
              </w:rPr>
              <w:t>Česká republika</w:t>
            </w:r>
          </w:p>
          <w:p w14:paraId="70F35F89" w14:textId="77777777" w:rsidR="00B05E81" w:rsidRPr="00BC0E7E" w:rsidRDefault="00944B8F" w:rsidP="00740A74">
            <w:pPr>
              <w:rPr>
                <w:bCs/>
                <w:szCs w:val="22"/>
                <w:lang w:val="de-DE"/>
              </w:rPr>
            </w:pPr>
            <w:r w:rsidRPr="00BC0E7E">
              <w:rPr>
                <w:bCs/>
                <w:szCs w:val="22"/>
                <w:lang w:val="de-DE"/>
              </w:rPr>
              <w:t xml:space="preserve">AbbVie s.r.o. </w:t>
            </w:r>
          </w:p>
          <w:p w14:paraId="43A4FF95" w14:textId="77777777" w:rsidR="00B05E81" w:rsidRDefault="00944B8F" w:rsidP="00740A74">
            <w:pPr>
              <w:rPr>
                <w:bCs/>
                <w:szCs w:val="22"/>
                <w:lang w:val="de-DE"/>
              </w:rPr>
            </w:pPr>
            <w:r w:rsidRPr="00BC0E7E">
              <w:rPr>
                <w:bCs/>
                <w:szCs w:val="22"/>
                <w:lang w:val="de-DE"/>
              </w:rPr>
              <w:t>Tel: +420 233 098 111</w:t>
            </w:r>
          </w:p>
          <w:p w14:paraId="2BEDD7DD" w14:textId="77777777" w:rsidR="0099655D" w:rsidRPr="00BC0E7E" w:rsidRDefault="0099655D" w:rsidP="00740A74">
            <w:pPr>
              <w:rPr>
                <w:bCs/>
                <w:szCs w:val="22"/>
                <w:lang w:val="de-DE"/>
              </w:rPr>
            </w:pPr>
          </w:p>
        </w:tc>
        <w:tc>
          <w:tcPr>
            <w:tcW w:w="4678" w:type="dxa"/>
          </w:tcPr>
          <w:p w14:paraId="5E7EFFDE" w14:textId="77777777" w:rsidR="00B05E81" w:rsidRPr="00BC0E7E" w:rsidRDefault="00944B8F" w:rsidP="00740A74">
            <w:pPr>
              <w:rPr>
                <w:b/>
                <w:bCs/>
                <w:szCs w:val="22"/>
                <w:lang w:val="hu-HU"/>
              </w:rPr>
            </w:pPr>
            <w:r w:rsidRPr="00BC0E7E">
              <w:rPr>
                <w:b/>
                <w:bCs/>
                <w:szCs w:val="22"/>
                <w:lang w:val="hu-HU"/>
              </w:rPr>
              <w:t>Magyarország</w:t>
            </w:r>
          </w:p>
          <w:p w14:paraId="492AC589" w14:textId="77777777" w:rsidR="00B05E81" w:rsidRPr="00BC0E7E" w:rsidRDefault="00944B8F" w:rsidP="00740A74">
            <w:pPr>
              <w:rPr>
                <w:bCs/>
                <w:szCs w:val="22"/>
                <w:lang w:val="hu-HU"/>
              </w:rPr>
            </w:pPr>
            <w:r w:rsidRPr="00BC0E7E">
              <w:rPr>
                <w:bCs/>
                <w:szCs w:val="22"/>
                <w:lang w:val="hu-HU"/>
              </w:rPr>
              <w:t>AbbVie Kft.</w:t>
            </w:r>
          </w:p>
          <w:p w14:paraId="08E8E31A" w14:textId="77777777" w:rsidR="00B05E81" w:rsidRPr="00BC0E7E" w:rsidRDefault="00944B8F" w:rsidP="00740A74">
            <w:pPr>
              <w:tabs>
                <w:tab w:val="left" w:pos="2380"/>
              </w:tabs>
              <w:rPr>
                <w:bCs/>
                <w:szCs w:val="22"/>
                <w:lang w:val="hu-HU"/>
              </w:rPr>
            </w:pPr>
            <w:r w:rsidRPr="00BC0E7E">
              <w:rPr>
                <w:bCs/>
                <w:szCs w:val="22"/>
                <w:lang w:val="hu-HU"/>
              </w:rPr>
              <w:t>Tel.:+36 1 455 8600</w:t>
            </w:r>
          </w:p>
        </w:tc>
      </w:tr>
      <w:tr w:rsidR="00C6578C" w14:paraId="76E3146F" w14:textId="77777777" w:rsidTr="00740A74">
        <w:trPr>
          <w:gridBefore w:val="1"/>
          <w:wBefore w:w="34" w:type="dxa"/>
          <w:trHeight w:val="711"/>
        </w:trPr>
        <w:tc>
          <w:tcPr>
            <w:tcW w:w="4644" w:type="dxa"/>
          </w:tcPr>
          <w:p w14:paraId="334C95FE" w14:textId="77777777" w:rsidR="00B05E81" w:rsidRPr="00BC0E7E" w:rsidRDefault="00944B8F" w:rsidP="00740A74">
            <w:pPr>
              <w:rPr>
                <w:b/>
                <w:bCs/>
                <w:szCs w:val="22"/>
              </w:rPr>
            </w:pPr>
            <w:r w:rsidRPr="00BC0E7E">
              <w:rPr>
                <w:b/>
                <w:bCs/>
                <w:szCs w:val="22"/>
              </w:rPr>
              <w:t>Danmark</w:t>
            </w:r>
          </w:p>
          <w:p w14:paraId="1C22FEAD" w14:textId="77777777" w:rsidR="00B05E81" w:rsidRPr="00BC0E7E" w:rsidRDefault="00944B8F" w:rsidP="00740A74">
            <w:pPr>
              <w:rPr>
                <w:bCs/>
                <w:szCs w:val="22"/>
              </w:rPr>
            </w:pPr>
            <w:r w:rsidRPr="00BC0E7E">
              <w:rPr>
                <w:bCs/>
                <w:szCs w:val="22"/>
              </w:rPr>
              <w:t>AbbVie A/S</w:t>
            </w:r>
          </w:p>
          <w:p w14:paraId="0590FEAE" w14:textId="77777777" w:rsidR="00B05E81" w:rsidRDefault="00944B8F" w:rsidP="00740A74">
            <w:pPr>
              <w:rPr>
                <w:bCs/>
                <w:szCs w:val="22"/>
              </w:rPr>
            </w:pPr>
            <w:r w:rsidRPr="00BC0E7E">
              <w:rPr>
                <w:bCs/>
                <w:szCs w:val="22"/>
              </w:rPr>
              <w:t>Tlf</w:t>
            </w:r>
            <w:ins w:id="13671" w:author="AbbVie19" w:date="2025-05-06T09:50:00Z">
              <w:r w:rsidR="0000567B">
                <w:rPr>
                  <w:bCs/>
                  <w:szCs w:val="22"/>
                </w:rPr>
                <w:t>.</w:t>
              </w:r>
            </w:ins>
            <w:r w:rsidRPr="00BC0E7E">
              <w:rPr>
                <w:bCs/>
                <w:szCs w:val="22"/>
              </w:rPr>
              <w:t>: +45 72 30-20-28</w:t>
            </w:r>
          </w:p>
          <w:p w14:paraId="268705CC" w14:textId="77777777" w:rsidR="0099655D" w:rsidRPr="00BC0E7E" w:rsidRDefault="0099655D" w:rsidP="00740A74">
            <w:pPr>
              <w:rPr>
                <w:bCs/>
                <w:szCs w:val="22"/>
              </w:rPr>
            </w:pPr>
          </w:p>
        </w:tc>
        <w:tc>
          <w:tcPr>
            <w:tcW w:w="4678" w:type="dxa"/>
          </w:tcPr>
          <w:p w14:paraId="24F61982" w14:textId="77777777" w:rsidR="00B05E81" w:rsidRPr="00BC0E7E" w:rsidRDefault="00944B8F" w:rsidP="00740A74">
            <w:pPr>
              <w:rPr>
                <w:b/>
                <w:bCs/>
                <w:szCs w:val="22"/>
                <w:lang w:val="mt-MT"/>
              </w:rPr>
            </w:pPr>
            <w:r w:rsidRPr="00BC0E7E">
              <w:rPr>
                <w:b/>
                <w:bCs/>
                <w:szCs w:val="22"/>
                <w:lang w:val="mt-MT"/>
              </w:rPr>
              <w:t>Malta</w:t>
            </w:r>
          </w:p>
          <w:p w14:paraId="103D6520" w14:textId="77777777" w:rsidR="00B05E81" w:rsidRPr="00BC0E7E" w:rsidRDefault="00944B8F" w:rsidP="00740A74">
            <w:pPr>
              <w:rPr>
                <w:bCs/>
                <w:szCs w:val="22"/>
                <w:lang w:val="sv-SE"/>
              </w:rPr>
            </w:pPr>
            <w:r w:rsidRPr="00BC0E7E">
              <w:rPr>
                <w:bCs/>
                <w:szCs w:val="22"/>
                <w:lang w:val="sv-SE"/>
              </w:rPr>
              <w:t xml:space="preserve">V.J.Salomone Pharma Limited </w:t>
            </w:r>
          </w:p>
          <w:p w14:paraId="1E5D2863" w14:textId="77777777" w:rsidR="00B05E81" w:rsidRPr="00BC0E7E" w:rsidRDefault="00944B8F" w:rsidP="00740A74">
            <w:pPr>
              <w:rPr>
                <w:bCs/>
                <w:szCs w:val="22"/>
              </w:rPr>
            </w:pPr>
            <w:r w:rsidRPr="00BC0E7E">
              <w:rPr>
                <w:bCs/>
                <w:szCs w:val="22"/>
              </w:rPr>
              <w:t xml:space="preserve">Tel: </w:t>
            </w:r>
            <w:r w:rsidR="00B745CF">
              <w:rPr>
                <w:bCs/>
                <w:szCs w:val="22"/>
              </w:rPr>
              <w:t>+356 21220174</w:t>
            </w:r>
          </w:p>
        </w:tc>
      </w:tr>
      <w:tr w:rsidR="00C6578C" w:rsidRPr="00173B45" w14:paraId="03D58A9B" w14:textId="77777777" w:rsidTr="00740A74">
        <w:trPr>
          <w:gridBefore w:val="1"/>
          <w:wBefore w:w="34" w:type="dxa"/>
        </w:trPr>
        <w:tc>
          <w:tcPr>
            <w:tcW w:w="4644" w:type="dxa"/>
          </w:tcPr>
          <w:p w14:paraId="0093E88E" w14:textId="77777777" w:rsidR="00B05E81" w:rsidRPr="00BC0E7E" w:rsidRDefault="00944B8F" w:rsidP="00740A74">
            <w:pPr>
              <w:rPr>
                <w:b/>
                <w:bCs/>
                <w:szCs w:val="22"/>
                <w:lang w:val="de-DE"/>
              </w:rPr>
            </w:pPr>
            <w:r w:rsidRPr="00BC0E7E">
              <w:rPr>
                <w:b/>
                <w:bCs/>
                <w:szCs w:val="22"/>
                <w:lang w:val="de-DE"/>
              </w:rPr>
              <w:t>Deutschland</w:t>
            </w:r>
          </w:p>
          <w:p w14:paraId="454D375F" w14:textId="77777777" w:rsidR="00B05E81" w:rsidRPr="00BC0E7E" w:rsidRDefault="00944B8F" w:rsidP="00740A74">
            <w:pPr>
              <w:rPr>
                <w:bCs/>
                <w:szCs w:val="22"/>
                <w:lang w:val="de-DE"/>
              </w:rPr>
            </w:pPr>
            <w:r w:rsidRPr="00BC0E7E">
              <w:rPr>
                <w:szCs w:val="22"/>
                <w:lang w:val="de-DE"/>
              </w:rPr>
              <w:t xml:space="preserve">AbbVie Deutschland </w:t>
            </w:r>
            <w:r w:rsidRPr="00BC0E7E">
              <w:rPr>
                <w:bCs/>
                <w:szCs w:val="22"/>
                <w:lang w:val="de-DE"/>
              </w:rPr>
              <w:t>GmbH &amp; Co. KG</w:t>
            </w:r>
          </w:p>
          <w:p w14:paraId="3E5222A9" w14:textId="77777777" w:rsidR="00B05E81" w:rsidRPr="00BC0E7E" w:rsidRDefault="00944B8F" w:rsidP="00740A74">
            <w:pPr>
              <w:rPr>
                <w:szCs w:val="22"/>
                <w:lang w:val="de-DE"/>
              </w:rPr>
            </w:pPr>
            <w:r w:rsidRPr="00BC0E7E">
              <w:rPr>
                <w:szCs w:val="22"/>
                <w:lang w:val="de-DE"/>
              </w:rPr>
              <w:t>Tel: 00800 222843 33 (gebührenfrei)</w:t>
            </w:r>
          </w:p>
          <w:p w14:paraId="700888F4" w14:textId="77777777" w:rsidR="00B05E81" w:rsidRDefault="00944B8F" w:rsidP="00740A74">
            <w:pPr>
              <w:rPr>
                <w:szCs w:val="22"/>
                <w:lang w:val="de-DE"/>
              </w:rPr>
            </w:pPr>
            <w:r w:rsidRPr="00BC0E7E">
              <w:rPr>
                <w:szCs w:val="22"/>
                <w:lang w:val="de-DE"/>
              </w:rPr>
              <w:t>Tel: +49 (0) 611 / 1720-0</w:t>
            </w:r>
          </w:p>
          <w:p w14:paraId="127AF77F" w14:textId="77777777" w:rsidR="0099655D" w:rsidRPr="00BC0E7E" w:rsidRDefault="0099655D" w:rsidP="00740A74">
            <w:pPr>
              <w:rPr>
                <w:szCs w:val="22"/>
                <w:lang w:val="de-DE"/>
              </w:rPr>
            </w:pPr>
          </w:p>
        </w:tc>
        <w:tc>
          <w:tcPr>
            <w:tcW w:w="4678" w:type="dxa"/>
          </w:tcPr>
          <w:p w14:paraId="12758A8C" w14:textId="77777777" w:rsidR="00B05E81" w:rsidRPr="00BC0E7E" w:rsidRDefault="00944B8F" w:rsidP="00740A74">
            <w:pPr>
              <w:rPr>
                <w:b/>
                <w:bCs/>
                <w:szCs w:val="22"/>
                <w:lang w:val="nl-NL"/>
              </w:rPr>
            </w:pPr>
            <w:r w:rsidRPr="00BC0E7E">
              <w:rPr>
                <w:b/>
                <w:bCs/>
                <w:szCs w:val="22"/>
                <w:lang w:val="nl-NL"/>
              </w:rPr>
              <w:t>Nederland</w:t>
            </w:r>
          </w:p>
          <w:p w14:paraId="4250D44E" w14:textId="77777777" w:rsidR="00B05E81" w:rsidRPr="00BC0E7E" w:rsidRDefault="00944B8F" w:rsidP="00740A74">
            <w:pPr>
              <w:rPr>
                <w:bCs/>
                <w:szCs w:val="22"/>
                <w:lang w:val="de-DE"/>
              </w:rPr>
            </w:pPr>
            <w:r w:rsidRPr="00BC0E7E">
              <w:rPr>
                <w:bCs/>
                <w:szCs w:val="22"/>
                <w:lang w:val="de-DE"/>
              </w:rPr>
              <w:t>AbbVie B.V.</w:t>
            </w:r>
          </w:p>
          <w:p w14:paraId="31ED9E10" w14:textId="77777777" w:rsidR="00B05E81" w:rsidRPr="00BC0E7E" w:rsidRDefault="00944B8F" w:rsidP="00740A74">
            <w:pPr>
              <w:rPr>
                <w:bCs/>
                <w:szCs w:val="22"/>
                <w:lang w:val="de-DE"/>
              </w:rPr>
            </w:pPr>
            <w:r w:rsidRPr="00BC0E7E">
              <w:rPr>
                <w:bCs/>
                <w:szCs w:val="22"/>
                <w:lang w:val="de-DE"/>
              </w:rPr>
              <w:t>Tel:  +31 (0)88 322 2843</w:t>
            </w:r>
          </w:p>
        </w:tc>
      </w:tr>
      <w:tr w:rsidR="00C6578C" w14:paraId="16DCA4CF" w14:textId="77777777" w:rsidTr="00740A74">
        <w:trPr>
          <w:gridBefore w:val="1"/>
          <w:wBefore w:w="34" w:type="dxa"/>
        </w:trPr>
        <w:tc>
          <w:tcPr>
            <w:tcW w:w="4644" w:type="dxa"/>
          </w:tcPr>
          <w:p w14:paraId="32331807" w14:textId="77777777" w:rsidR="00B05E81" w:rsidRPr="00BC0E7E" w:rsidRDefault="00944B8F" w:rsidP="00740A74">
            <w:pPr>
              <w:rPr>
                <w:b/>
                <w:bCs/>
                <w:szCs w:val="22"/>
                <w:lang w:val="et-EE"/>
              </w:rPr>
            </w:pPr>
            <w:r w:rsidRPr="00BC0E7E">
              <w:rPr>
                <w:b/>
                <w:bCs/>
                <w:szCs w:val="22"/>
                <w:lang w:val="et-EE"/>
              </w:rPr>
              <w:t>Eesti</w:t>
            </w:r>
          </w:p>
          <w:p w14:paraId="6D2D9577" w14:textId="77777777" w:rsidR="00B05E81" w:rsidRPr="00BC0E7E" w:rsidRDefault="00944B8F" w:rsidP="00740A74">
            <w:pPr>
              <w:rPr>
                <w:bCs/>
                <w:szCs w:val="22"/>
                <w:lang w:val="et-EE"/>
              </w:rPr>
            </w:pPr>
            <w:r w:rsidRPr="00BC0E7E">
              <w:rPr>
                <w:bCs/>
                <w:szCs w:val="22"/>
                <w:lang w:val="et-EE"/>
              </w:rPr>
              <w:t xml:space="preserve">AbbVie </w:t>
            </w:r>
            <w:r w:rsidR="001B6F9C" w:rsidRPr="00F66039">
              <w:rPr>
                <w:bCs/>
                <w:szCs w:val="22"/>
              </w:rPr>
              <w:t>OÜ</w:t>
            </w:r>
          </w:p>
          <w:p w14:paraId="08CBD6AB" w14:textId="77777777" w:rsidR="00B05E81" w:rsidRDefault="00944B8F" w:rsidP="00740A74">
            <w:pPr>
              <w:rPr>
                <w:bCs/>
                <w:szCs w:val="22"/>
                <w:lang w:val="et-EE"/>
              </w:rPr>
            </w:pPr>
            <w:r w:rsidRPr="00BC0E7E">
              <w:rPr>
                <w:bCs/>
                <w:szCs w:val="22"/>
                <w:lang w:val="et-EE"/>
              </w:rPr>
              <w:t>Tel: +372 623 1011</w:t>
            </w:r>
          </w:p>
          <w:p w14:paraId="0EF708E9" w14:textId="77777777" w:rsidR="0099655D" w:rsidRPr="00BC0E7E" w:rsidRDefault="0099655D" w:rsidP="00740A74">
            <w:pPr>
              <w:rPr>
                <w:bCs/>
                <w:szCs w:val="22"/>
                <w:lang w:val="lv-LV"/>
              </w:rPr>
            </w:pPr>
          </w:p>
        </w:tc>
        <w:tc>
          <w:tcPr>
            <w:tcW w:w="4678" w:type="dxa"/>
          </w:tcPr>
          <w:p w14:paraId="361D7B42" w14:textId="77777777" w:rsidR="00B05E81" w:rsidRPr="00BC0E7E" w:rsidRDefault="00944B8F" w:rsidP="00740A74">
            <w:pPr>
              <w:rPr>
                <w:b/>
                <w:bCs/>
                <w:szCs w:val="22"/>
                <w:lang w:val="nb-NO"/>
              </w:rPr>
            </w:pPr>
            <w:r w:rsidRPr="00BC0E7E">
              <w:rPr>
                <w:b/>
                <w:bCs/>
                <w:szCs w:val="22"/>
                <w:lang w:val="nb-NO"/>
              </w:rPr>
              <w:t>Norge</w:t>
            </w:r>
          </w:p>
          <w:p w14:paraId="240E57B0" w14:textId="77777777" w:rsidR="00B05E81" w:rsidRPr="00BC0E7E" w:rsidRDefault="00944B8F" w:rsidP="00740A74">
            <w:pPr>
              <w:rPr>
                <w:bCs/>
                <w:szCs w:val="22"/>
              </w:rPr>
            </w:pPr>
            <w:r w:rsidRPr="00BC0E7E">
              <w:rPr>
                <w:bCs/>
                <w:szCs w:val="22"/>
              </w:rPr>
              <w:t>AbbVie AS</w:t>
            </w:r>
          </w:p>
          <w:p w14:paraId="5546C411" w14:textId="77777777" w:rsidR="00B05E81" w:rsidRPr="00BC0E7E" w:rsidRDefault="00944B8F" w:rsidP="00740A74">
            <w:pPr>
              <w:rPr>
                <w:bCs/>
                <w:szCs w:val="22"/>
              </w:rPr>
            </w:pPr>
            <w:r w:rsidRPr="00BC0E7E">
              <w:rPr>
                <w:bCs/>
                <w:szCs w:val="22"/>
              </w:rPr>
              <w:t>Tlf: +47 67 81 80 00</w:t>
            </w:r>
          </w:p>
        </w:tc>
      </w:tr>
      <w:tr w:rsidR="00C6578C" w14:paraId="2C6323B3" w14:textId="77777777" w:rsidTr="00740A74">
        <w:trPr>
          <w:gridBefore w:val="1"/>
          <w:wBefore w:w="34" w:type="dxa"/>
          <w:trHeight w:val="738"/>
        </w:trPr>
        <w:tc>
          <w:tcPr>
            <w:tcW w:w="4644" w:type="dxa"/>
          </w:tcPr>
          <w:p w14:paraId="29AB4A81" w14:textId="77777777" w:rsidR="00B05E81" w:rsidRPr="00BC0E7E" w:rsidRDefault="00944B8F" w:rsidP="00740A74">
            <w:pPr>
              <w:rPr>
                <w:b/>
                <w:bCs/>
                <w:szCs w:val="22"/>
                <w:lang w:val="el-GR"/>
              </w:rPr>
            </w:pPr>
            <w:r w:rsidRPr="00BC0E7E">
              <w:rPr>
                <w:b/>
                <w:bCs/>
                <w:szCs w:val="22"/>
                <w:lang w:val="el-GR"/>
              </w:rPr>
              <w:t>Ελλάδα</w:t>
            </w:r>
          </w:p>
          <w:p w14:paraId="2B55FE46" w14:textId="77777777" w:rsidR="00B05E81" w:rsidRPr="00BC0E7E" w:rsidRDefault="00944B8F" w:rsidP="00740A74">
            <w:pPr>
              <w:rPr>
                <w:bCs/>
                <w:szCs w:val="22"/>
                <w:lang w:val="el-GR"/>
              </w:rPr>
            </w:pPr>
            <w:r w:rsidRPr="00BC0E7E">
              <w:rPr>
                <w:bCs/>
                <w:szCs w:val="22"/>
                <w:lang w:val="et-EE"/>
              </w:rPr>
              <w:t xml:space="preserve">AbbVie </w:t>
            </w:r>
            <w:r w:rsidRPr="00BC0E7E">
              <w:rPr>
                <w:szCs w:val="22"/>
                <w:lang w:val="el-GR"/>
              </w:rPr>
              <w:t>ΦΑΡΜΑΚΕΥΤΙΚΗ Α.Ε.</w:t>
            </w:r>
          </w:p>
          <w:p w14:paraId="1D087AE1" w14:textId="77777777" w:rsidR="00B05E81" w:rsidRDefault="00944B8F" w:rsidP="00740A74">
            <w:pPr>
              <w:rPr>
                <w:bCs/>
                <w:szCs w:val="22"/>
              </w:rPr>
            </w:pPr>
            <w:r w:rsidRPr="00BC0E7E">
              <w:rPr>
                <w:bCs/>
                <w:szCs w:val="22"/>
                <w:lang w:val="el-GR"/>
              </w:rPr>
              <w:t xml:space="preserve">Τηλ: +30 </w:t>
            </w:r>
            <w:r w:rsidRPr="00BC0E7E">
              <w:rPr>
                <w:bCs/>
                <w:szCs w:val="22"/>
              </w:rPr>
              <w:t>214 4165 555</w:t>
            </w:r>
          </w:p>
          <w:p w14:paraId="695ECD19" w14:textId="77777777" w:rsidR="0099655D" w:rsidRPr="00BC0E7E" w:rsidRDefault="0099655D" w:rsidP="00740A74">
            <w:pPr>
              <w:rPr>
                <w:bCs/>
                <w:szCs w:val="22"/>
              </w:rPr>
            </w:pPr>
          </w:p>
        </w:tc>
        <w:tc>
          <w:tcPr>
            <w:tcW w:w="4678" w:type="dxa"/>
          </w:tcPr>
          <w:p w14:paraId="74EF1D3B" w14:textId="77777777" w:rsidR="00B05E81" w:rsidRPr="00BC0E7E" w:rsidRDefault="00944B8F" w:rsidP="00740A74">
            <w:pPr>
              <w:rPr>
                <w:b/>
                <w:bCs/>
                <w:szCs w:val="22"/>
                <w:lang w:val="de-DE"/>
              </w:rPr>
            </w:pPr>
            <w:r w:rsidRPr="00BC0E7E">
              <w:rPr>
                <w:b/>
                <w:bCs/>
                <w:szCs w:val="22"/>
                <w:lang w:val="de-DE"/>
              </w:rPr>
              <w:t>Österreich</w:t>
            </w:r>
          </w:p>
          <w:p w14:paraId="144168E2" w14:textId="77777777" w:rsidR="00B05E81" w:rsidRPr="00BC0E7E" w:rsidRDefault="00944B8F" w:rsidP="00740A74">
            <w:pPr>
              <w:rPr>
                <w:bCs/>
                <w:szCs w:val="22"/>
                <w:lang w:val="de-DE"/>
              </w:rPr>
            </w:pPr>
            <w:r w:rsidRPr="00BC0E7E">
              <w:rPr>
                <w:bCs/>
                <w:szCs w:val="22"/>
                <w:lang w:val="de-DE"/>
              </w:rPr>
              <w:t xml:space="preserve">AbbVie GmbH </w:t>
            </w:r>
          </w:p>
          <w:p w14:paraId="2C6150BD" w14:textId="77777777" w:rsidR="00B05E81" w:rsidRPr="00BC0E7E" w:rsidRDefault="00944B8F" w:rsidP="00740A74">
            <w:pPr>
              <w:rPr>
                <w:bCs/>
                <w:szCs w:val="22"/>
                <w:lang w:val="de-DE"/>
              </w:rPr>
            </w:pPr>
            <w:r w:rsidRPr="00BC0E7E">
              <w:rPr>
                <w:bCs/>
                <w:szCs w:val="22"/>
                <w:lang w:val="de-DE"/>
              </w:rPr>
              <w:t>Tel: +43 1 20589-0</w:t>
            </w:r>
          </w:p>
        </w:tc>
      </w:tr>
      <w:tr w:rsidR="00C6578C" w14:paraId="2133660F" w14:textId="77777777" w:rsidTr="00740A74">
        <w:trPr>
          <w:gridBefore w:val="1"/>
          <w:wBefore w:w="34" w:type="dxa"/>
        </w:trPr>
        <w:tc>
          <w:tcPr>
            <w:tcW w:w="4644" w:type="dxa"/>
          </w:tcPr>
          <w:p w14:paraId="725D56FA" w14:textId="77777777" w:rsidR="00B05E81" w:rsidRPr="00BC0E7E" w:rsidRDefault="00944B8F" w:rsidP="00740A74">
            <w:pPr>
              <w:keepNext/>
              <w:rPr>
                <w:b/>
                <w:bCs/>
                <w:szCs w:val="22"/>
                <w:lang w:val="es-ES"/>
              </w:rPr>
            </w:pPr>
            <w:r w:rsidRPr="00BC0E7E">
              <w:rPr>
                <w:b/>
                <w:bCs/>
                <w:szCs w:val="22"/>
                <w:lang w:val="es-ES"/>
              </w:rPr>
              <w:t>España</w:t>
            </w:r>
          </w:p>
          <w:p w14:paraId="01DEA392" w14:textId="77777777" w:rsidR="00B05E81" w:rsidRPr="00433FAD" w:rsidRDefault="00944B8F" w:rsidP="00740A74">
            <w:pPr>
              <w:keepNext/>
              <w:rPr>
                <w:szCs w:val="22"/>
                <w:lang w:val="es-MX"/>
              </w:rPr>
            </w:pPr>
            <w:r w:rsidRPr="00433FAD">
              <w:rPr>
                <w:bCs/>
                <w:szCs w:val="22"/>
                <w:lang w:val="es-MX"/>
              </w:rPr>
              <w:t>AbbVie Spain, S.L.U.</w:t>
            </w:r>
          </w:p>
          <w:p w14:paraId="5535B722" w14:textId="77777777" w:rsidR="00B05E81" w:rsidRDefault="00944B8F" w:rsidP="00740A74">
            <w:pPr>
              <w:keepNext/>
              <w:rPr>
                <w:bCs/>
                <w:szCs w:val="22"/>
                <w:lang w:val="pt-PT"/>
              </w:rPr>
            </w:pPr>
            <w:r w:rsidRPr="00BC0E7E">
              <w:rPr>
                <w:bCs/>
                <w:szCs w:val="22"/>
                <w:lang w:val="pt-PT"/>
              </w:rPr>
              <w:t>Tel:  +34 91 384 09 10</w:t>
            </w:r>
          </w:p>
          <w:p w14:paraId="08BF7BCF" w14:textId="77777777" w:rsidR="0099655D" w:rsidRPr="00BC0E7E" w:rsidRDefault="0099655D" w:rsidP="00740A74">
            <w:pPr>
              <w:keepNext/>
              <w:rPr>
                <w:bCs/>
                <w:szCs w:val="22"/>
                <w:lang w:val="pl-PL"/>
              </w:rPr>
            </w:pPr>
          </w:p>
        </w:tc>
        <w:tc>
          <w:tcPr>
            <w:tcW w:w="4678" w:type="dxa"/>
          </w:tcPr>
          <w:p w14:paraId="34FD6042" w14:textId="77777777" w:rsidR="00B05E81" w:rsidRPr="00BC0E7E" w:rsidRDefault="00944B8F" w:rsidP="00740A74">
            <w:pPr>
              <w:keepNext/>
              <w:rPr>
                <w:b/>
                <w:bCs/>
                <w:iCs/>
                <w:szCs w:val="22"/>
                <w:lang w:val="pl-PL"/>
              </w:rPr>
            </w:pPr>
            <w:r w:rsidRPr="00BC0E7E">
              <w:rPr>
                <w:b/>
                <w:bCs/>
                <w:iCs/>
                <w:szCs w:val="22"/>
                <w:lang w:val="pl-PL"/>
              </w:rPr>
              <w:t>Polska</w:t>
            </w:r>
          </w:p>
          <w:p w14:paraId="77629652" w14:textId="77777777" w:rsidR="00B05E81" w:rsidRPr="00BC0E7E" w:rsidRDefault="00944B8F" w:rsidP="00740A74">
            <w:pPr>
              <w:keepNext/>
              <w:rPr>
                <w:bCs/>
                <w:szCs w:val="22"/>
                <w:lang w:val="pl-PL"/>
              </w:rPr>
            </w:pPr>
            <w:r w:rsidRPr="00BC0E7E">
              <w:rPr>
                <w:bCs/>
                <w:szCs w:val="22"/>
                <w:lang w:val="pl-PL"/>
              </w:rPr>
              <w:t>AbbVie Sp. z o.o.</w:t>
            </w:r>
          </w:p>
          <w:p w14:paraId="1C2DB988" w14:textId="77777777" w:rsidR="00B05E81" w:rsidRPr="00BC0E7E" w:rsidRDefault="00944B8F" w:rsidP="00740A74">
            <w:pPr>
              <w:keepNext/>
              <w:tabs>
                <w:tab w:val="center" w:pos="4536"/>
                <w:tab w:val="center" w:pos="8930"/>
              </w:tabs>
              <w:rPr>
                <w:bCs/>
                <w:szCs w:val="22"/>
                <w:lang w:val="pl-PL"/>
              </w:rPr>
            </w:pPr>
            <w:r w:rsidRPr="00BC0E7E">
              <w:rPr>
                <w:szCs w:val="22"/>
                <w:lang w:val="es-ES"/>
              </w:rPr>
              <w:t xml:space="preserve">Tel.: +48 22 </w:t>
            </w:r>
            <w:r w:rsidRPr="00BC0E7E">
              <w:rPr>
                <w:bCs/>
                <w:szCs w:val="22"/>
                <w:lang w:val="pl-PL"/>
              </w:rPr>
              <w:t xml:space="preserve">372 78 00 </w:t>
            </w:r>
          </w:p>
        </w:tc>
      </w:tr>
      <w:tr w:rsidR="00C6578C" w14:paraId="48FDB5C6" w14:textId="77777777" w:rsidTr="00740A74">
        <w:trPr>
          <w:trHeight w:val="989"/>
        </w:trPr>
        <w:tc>
          <w:tcPr>
            <w:tcW w:w="4678" w:type="dxa"/>
            <w:gridSpan w:val="2"/>
          </w:tcPr>
          <w:p w14:paraId="4BDF0425" w14:textId="77777777" w:rsidR="00B05E81" w:rsidRPr="00BC0E7E" w:rsidRDefault="00944B8F" w:rsidP="00740A74">
            <w:pPr>
              <w:ind w:firstLine="34"/>
              <w:rPr>
                <w:b/>
                <w:bCs/>
                <w:szCs w:val="22"/>
                <w:lang w:val="fr-FR"/>
              </w:rPr>
            </w:pPr>
            <w:r w:rsidRPr="00BC0E7E">
              <w:rPr>
                <w:b/>
                <w:bCs/>
                <w:szCs w:val="22"/>
                <w:lang w:val="fr-FR"/>
              </w:rPr>
              <w:t>France</w:t>
            </w:r>
          </w:p>
          <w:p w14:paraId="45AEF035" w14:textId="77777777" w:rsidR="00B05E81" w:rsidRPr="00BC0E7E" w:rsidRDefault="00944B8F" w:rsidP="00740A74">
            <w:pPr>
              <w:ind w:firstLine="34"/>
              <w:rPr>
                <w:bCs/>
                <w:szCs w:val="22"/>
                <w:lang w:val="fr-FR"/>
              </w:rPr>
            </w:pPr>
            <w:r w:rsidRPr="00BC0E7E">
              <w:rPr>
                <w:bCs/>
                <w:szCs w:val="22"/>
                <w:lang w:val="fr-FR"/>
              </w:rPr>
              <w:t>AbbVie</w:t>
            </w:r>
          </w:p>
          <w:p w14:paraId="63420941" w14:textId="77777777" w:rsidR="00B05E81" w:rsidRPr="00BC0E7E" w:rsidRDefault="00944B8F" w:rsidP="00740A74">
            <w:pPr>
              <w:ind w:firstLine="34"/>
              <w:rPr>
                <w:bCs/>
                <w:szCs w:val="22"/>
                <w:lang w:val="fr-FR"/>
              </w:rPr>
            </w:pPr>
            <w:r w:rsidRPr="00BC0E7E">
              <w:rPr>
                <w:bCs/>
                <w:szCs w:val="22"/>
                <w:lang w:val="fr-FR"/>
              </w:rPr>
              <w:t>Tél: +33 (0) 1 45 60 13 00</w:t>
            </w:r>
          </w:p>
        </w:tc>
        <w:tc>
          <w:tcPr>
            <w:tcW w:w="4678" w:type="dxa"/>
          </w:tcPr>
          <w:p w14:paraId="7769E0F2" w14:textId="77777777" w:rsidR="00B05E81" w:rsidRPr="00BC0E7E" w:rsidRDefault="00944B8F" w:rsidP="00740A74">
            <w:pPr>
              <w:rPr>
                <w:b/>
                <w:bCs/>
                <w:szCs w:val="22"/>
                <w:lang w:val="pt-PT"/>
              </w:rPr>
            </w:pPr>
            <w:r w:rsidRPr="00BC0E7E">
              <w:rPr>
                <w:b/>
                <w:bCs/>
                <w:szCs w:val="22"/>
                <w:lang w:val="pt-PT"/>
              </w:rPr>
              <w:t>Portugal</w:t>
            </w:r>
          </w:p>
          <w:p w14:paraId="33E7980E" w14:textId="77777777" w:rsidR="00B05E81" w:rsidRPr="00BC0E7E" w:rsidRDefault="00944B8F" w:rsidP="00740A74">
            <w:pPr>
              <w:tabs>
                <w:tab w:val="center" w:pos="4536"/>
                <w:tab w:val="center" w:pos="8930"/>
              </w:tabs>
              <w:rPr>
                <w:bCs/>
                <w:szCs w:val="22"/>
                <w:lang w:val="fr-FR"/>
              </w:rPr>
            </w:pPr>
            <w:r w:rsidRPr="00BC0E7E">
              <w:rPr>
                <w:bCs/>
                <w:szCs w:val="22"/>
                <w:lang w:val="fr-FR"/>
              </w:rPr>
              <w:t xml:space="preserve">AbbVie, Lda. </w:t>
            </w:r>
          </w:p>
          <w:p w14:paraId="56C1198A" w14:textId="77777777" w:rsidR="00B05E81" w:rsidRPr="00BC0E7E" w:rsidRDefault="00944B8F" w:rsidP="00740A74">
            <w:pPr>
              <w:tabs>
                <w:tab w:val="center" w:pos="4536"/>
                <w:tab w:val="center" w:pos="8930"/>
              </w:tabs>
              <w:rPr>
                <w:szCs w:val="22"/>
                <w:lang w:val="fr-FR"/>
              </w:rPr>
            </w:pPr>
            <w:r w:rsidRPr="00BC0E7E">
              <w:rPr>
                <w:szCs w:val="22"/>
                <w:lang w:val="fr-FR"/>
              </w:rPr>
              <w:t>Tel: +351 (0)21 1908400</w:t>
            </w:r>
          </w:p>
        </w:tc>
      </w:tr>
      <w:tr w:rsidR="00C6578C" w14:paraId="124B8B7A" w14:textId="77777777" w:rsidTr="00740A74">
        <w:trPr>
          <w:trHeight w:val="711"/>
        </w:trPr>
        <w:tc>
          <w:tcPr>
            <w:tcW w:w="4678" w:type="dxa"/>
            <w:gridSpan w:val="2"/>
          </w:tcPr>
          <w:p w14:paraId="48334352" w14:textId="77777777" w:rsidR="00B05E81" w:rsidRPr="00BC0E7E" w:rsidRDefault="00944B8F" w:rsidP="00740A74">
            <w:pPr>
              <w:tabs>
                <w:tab w:val="clear" w:pos="562"/>
              </w:tabs>
              <w:suppressAutoHyphens w:val="0"/>
              <w:autoSpaceDE w:val="0"/>
              <w:autoSpaceDN w:val="0"/>
              <w:adjustRightInd w:val="0"/>
              <w:ind w:firstLine="34"/>
              <w:rPr>
                <w:rFonts w:eastAsia="MS Mincho"/>
                <w:szCs w:val="22"/>
                <w:lang w:val="pt-PT" w:eastAsia="ja-JP"/>
              </w:rPr>
            </w:pPr>
            <w:r w:rsidRPr="00BC0E7E">
              <w:rPr>
                <w:rFonts w:eastAsia="MS Mincho"/>
                <w:b/>
                <w:bCs/>
                <w:szCs w:val="22"/>
                <w:lang w:val="pt-PT" w:eastAsia="ja-JP"/>
              </w:rPr>
              <w:t xml:space="preserve">Hrvatska </w:t>
            </w:r>
          </w:p>
          <w:p w14:paraId="71AA8B2F" w14:textId="77777777" w:rsidR="00B05E81" w:rsidRPr="00BC0E7E" w:rsidRDefault="00944B8F" w:rsidP="00740A74">
            <w:pPr>
              <w:ind w:firstLine="34"/>
              <w:rPr>
                <w:szCs w:val="22"/>
                <w:lang w:val="hr-HR"/>
              </w:rPr>
            </w:pPr>
            <w:r w:rsidRPr="00BC0E7E">
              <w:rPr>
                <w:szCs w:val="22"/>
                <w:lang w:val="hr-HR"/>
              </w:rPr>
              <w:t>AbbVie d.o.o.</w:t>
            </w:r>
          </w:p>
          <w:p w14:paraId="36AA8794" w14:textId="77777777" w:rsidR="00B05E81" w:rsidRDefault="00944B8F" w:rsidP="00740A74">
            <w:pPr>
              <w:ind w:firstLine="34"/>
              <w:rPr>
                <w:szCs w:val="22"/>
              </w:rPr>
            </w:pPr>
            <w:r w:rsidRPr="00BC0E7E">
              <w:rPr>
                <w:szCs w:val="22"/>
                <w:lang w:val="hr-HR"/>
              </w:rPr>
              <w:t xml:space="preserve">Tel + 385 (0)1 </w:t>
            </w:r>
            <w:r w:rsidRPr="00BC0E7E">
              <w:rPr>
                <w:szCs w:val="22"/>
              </w:rPr>
              <w:t>5625 501</w:t>
            </w:r>
          </w:p>
          <w:p w14:paraId="47201C32" w14:textId="77777777" w:rsidR="0099655D" w:rsidRPr="00BC0E7E" w:rsidRDefault="0099655D" w:rsidP="00740A74">
            <w:pPr>
              <w:ind w:firstLine="34"/>
              <w:rPr>
                <w:color w:val="1F497D"/>
                <w:szCs w:val="22"/>
              </w:rPr>
            </w:pPr>
          </w:p>
        </w:tc>
        <w:tc>
          <w:tcPr>
            <w:tcW w:w="4678" w:type="dxa"/>
          </w:tcPr>
          <w:p w14:paraId="35E6856D" w14:textId="77777777" w:rsidR="00B05E81" w:rsidRPr="00433FAD" w:rsidRDefault="00944B8F" w:rsidP="00740A74">
            <w:pPr>
              <w:rPr>
                <w:b/>
                <w:bCs/>
                <w:szCs w:val="22"/>
                <w:lang w:val="es-MX"/>
              </w:rPr>
            </w:pPr>
            <w:r w:rsidRPr="00433FAD">
              <w:rPr>
                <w:b/>
                <w:bCs/>
                <w:szCs w:val="22"/>
                <w:lang w:val="es-MX"/>
              </w:rPr>
              <w:t>România</w:t>
            </w:r>
          </w:p>
          <w:p w14:paraId="67998993" w14:textId="77777777" w:rsidR="00B05E81" w:rsidRPr="00433FAD" w:rsidRDefault="00944B8F" w:rsidP="00740A74">
            <w:pPr>
              <w:rPr>
                <w:rFonts w:eastAsia="MS Mincho"/>
                <w:color w:val="000000"/>
                <w:szCs w:val="22"/>
                <w:lang w:val="es-MX" w:eastAsia="ja-JP"/>
              </w:rPr>
            </w:pPr>
            <w:r w:rsidRPr="00433FAD">
              <w:rPr>
                <w:rFonts w:eastAsia="MS Mincho"/>
                <w:color w:val="000000"/>
                <w:szCs w:val="22"/>
                <w:lang w:val="es-MX" w:eastAsia="ja-JP"/>
              </w:rPr>
              <w:t>AbbVie S.R.L.</w:t>
            </w:r>
          </w:p>
          <w:p w14:paraId="083FCA96" w14:textId="77777777" w:rsidR="00B05E81" w:rsidRPr="00BC0E7E" w:rsidRDefault="00944B8F" w:rsidP="00740A74">
            <w:pPr>
              <w:rPr>
                <w:szCs w:val="22"/>
                <w:lang w:val="pl-PL"/>
              </w:rPr>
            </w:pPr>
            <w:r w:rsidRPr="00BC0E7E">
              <w:rPr>
                <w:szCs w:val="22"/>
                <w:lang w:val="pl-PL"/>
              </w:rPr>
              <w:t>Tel: +40 21 529 30 35</w:t>
            </w:r>
          </w:p>
        </w:tc>
      </w:tr>
      <w:tr w:rsidR="00C6578C" w14:paraId="58E1F681" w14:textId="77777777" w:rsidTr="00740A74">
        <w:trPr>
          <w:gridBefore w:val="1"/>
          <w:wBefore w:w="34" w:type="dxa"/>
        </w:trPr>
        <w:tc>
          <w:tcPr>
            <w:tcW w:w="4644" w:type="dxa"/>
          </w:tcPr>
          <w:p w14:paraId="77327686" w14:textId="77777777" w:rsidR="00B05E81" w:rsidRPr="00BC0E7E" w:rsidRDefault="00944B8F" w:rsidP="0099655D">
            <w:pPr>
              <w:keepNext/>
              <w:rPr>
                <w:b/>
                <w:bCs/>
                <w:szCs w:val="22"/>
              </w:rPr>
            </w:pPr>
            <w:r w:rsidRPr="00BC0E7E">
              <w:rPr>
                <w:b/>
                <w:bCs/>
                <w:szCs w:val="22"/>
              </w:rPr>
              <w:lastRenderedPageBreak/>
              <w:t>Ireland</w:t>
            </w:r>
          </w:p>
          <w:p w14:paraId="65F9DD27" w14:textId="77777777" w:rsidR="00B05E81" w:rsidRPr="00BC0E7E" w:rsidRDefault="00944B8F" w:rsidP="0099655D">
            <w:pPr>
              <w:keepNext/>
              <w:rPr>
                <w:bCs/>
                <w:szCs w:val="22"/>
              </w:rPr>
            </w:pPr>
            <w:r w:rsidRPr="00BC0E7E">
              <w:rPr>
                <w:bCs/>
                <w:szCs w:val="22"/>
              </w:rPr>
              <w:t xml:space="preserve">AbbVie Limited </w:t>
            </w:r>
          </w:p>
          <w:p w14:paraId="3DA5FF5A" w14:textId="77777777" w:rsidR="00B05E81" w:rsidRPr="00BC0E7E" w:rsidRDefault="00944B8F" w:rsidP="0099655D">
            <w:pPr>
              <w:keepNext/>
              <w:rPr>
                <w:bCs/>
                <w:szCs w:val="22"/>
                <w:lang w:val="it-IT"/>
              </w:rPr>
            </w:pPr>
            <w:r w:rsidRPr="00BC0E7E">
              <w:rPr>
                <w:bCs/>
                <w:szCs w:val="22"/>
                <w:lang w:val="pt-PT"/>
              </w:rPr>
              <w:t>Tel: +353 (0)1 4287900</w:t>
            </w:r>
          </w:p>
        </w:tc>
        <w:tc>
          <w:tcPr>
            <w:tcW w:w="4678" w:type="dxa"/>
          </w:tcPr>
          <w:p w14:paraId="244205E6" w14:textId="77777777" w:rsidR="00B05E81" w:rsidRPr="00BC0E7E" w:rsidRDefault="00944B8F" w:rsidP="0099655D">
            <w:pPr>
              <w:keepNext/>
              <w:rPr>
                <w:b/>
                <w:bCs/>
                <w:szCs w:val="22"/>
                <w:lang w:val="sl-SI"/>
              </w:rPr>
            </w:pPr>
            <w:r w:rsidRPr="00BC0E7E">
              <w:rPr>
                <w:b/>
                <w:bCs/>
                <w:szCs w:val="22"/>
                <w:lang w:val="sl-SI"/>
              </w:rPr>
              <w:t>Slovenija</w:t>
            </w:r>
          </w:p>
          <w:p w14:paraId="13E9191B" w14:textId="77777777" w:rsidR="00B05E81" w:rsidRPr="00BC0E7E" w:rsidRDefault="00944B8F" w:rsidP="0099655D">
            <w:pPr>
              <w:keepNext/>
              <w:rPr>
                <w:bCs/>
                <w:szCs w:val="22"/>
                <w:lang w:val="sl-SI"/>
              </w:rPr>
            </w:pPr>
            <w:r w:rsidRPr="00BC0E7E">
              <w:rPr>
                <w:bCs/>
                <w:szCs w:val="22"/>
                <w:lang w:val="sl-SI"/>
              </w:rPr>
              <w:t>AbbVie Biofarmacevtska družba d.o.o.</w:t>
            </w:r>
          </w:p>
          <w:p w14:paraId="7074DE66" w14:textId="77777777" w:rsidR="00B05E81" w:rsidRDefault="00944B8F" w:rsidP="0099655D">
            <w:pPr>
              <w:keepNext/>
              <w:rPr>
                <w:bCs/>
                <w:szCs w:val="22"/>
                <w:lang w:val="sl-SI"/>
              </w:rPr>
            </w:pPr>
            <w:r w:rsidRPr="00BC0E7E">
              <w:rPr>
                <w:bCs/>
                <w:szCs w:val="22"/>
                <w:lang w:val="sl-SI"/>
              </w:rPr>
              <w:t>Tel: +386 (1)32 08 060</w:t>
            </w:r>
          </w:p>
          <w:p w14:paraId="4E84D4BB" w14:textId="77777777" w:rsidR="0099655D" w:rsidRPr="00BC0E7E" w:rsidRDefault="0099655D" w:rsidP="0099655D">
            <w:pPr>
              <w:keepNext/>
              <w:rPr>
                <w:bCs/>
                <w:szCs w:val="22"/>
                <w:lang w:val="sl-SI"/>
              </w:rPr>
            </w:pPr>
          </w:p>
        </w:tc>
      </w:tr>
      <w:tr w:rsidR="00C6578C" w14:paraId="17852A34" w14:textId="77777777" w:rsidTr="00740A74">
        <w:trPr>
          <w:gridBefore w:val="1"/>
          <w:wBefore w:w="34" w:type="dxa"/>
        </w:trPr>
        <w:tc>
          <w:tcPr>
            <w:tcW w:w="4644" w:type="dxa"/>
          </w:tcPr>
          <w:p w14:paraId="6FBA9444" w14:textId="77777777" w:rsidR="00B05E81" w:rsidRPr="00BC0E7E" w:rsidRDefault="00944B8F" w:rsidP="00740A74">
            <w:pPr>
              <w:rPr>
                <w:b/>
                <w:bCs/>
                <w:szCs w:val="22"/>
                <w:lang w:val="is-IS"/>
              </w:rPr>
            </w:pPr>
            <w:r w:rsidRPr="00BC0E7E">
              <w:rPr>
                <w:b/>
                <w:bCs/>
                <w:szCs w:val="22"/>
                <w:lang w:val="is-IS"/>
              </w:rPr>
              <w:t>Ísland</w:t>
            </w:r>
          </w:p>
          <w:p w14:paraId="63D6FA00" w14:textId="77777777" w:rsidR="00B05E81" w:rsidRPr="00BC0E7E" w:rsidRDefault="00944B8F" w:rsidP="00740A74">
            <w:pPr>
              <w:rPr>
                <w:bCs/>
                <w:szCs w:val="22"/>
              </w:rPr>
            </w:pPr>
            <w:r w:rsidRPr="00BC0E7E">
              <w:rPr>
                <w:bCs/>
                <w:szCs w:val="22"/>
              </w:rPr>
              <w:t>Vistor</w:t>
            </w:r>
            <w:del w:id="13672" w:author="AbbVie19" w:date="2025-04-16T15:14:00Z">
              <w:r w:rsidRPr="00BC0E7E">
                <w:rPr>
                  <w:bCs/>
                  <w:szCs w:val="22"/>
                </w:rPr>
                <w:delText xml:space="preserve"> hf.</w:delText>
              </w:r>
            </w:del>
          </w:p>
          <w:p w14:paraId="4941B13C" w14:textId="77777777" w:rsidR="00B05E81" w:rsidRDefault="00944B8F" w:rsidP="00740A74">
            <w:pPr>
              <w:rPr>
                <w:bCs/>
                <w:szCs w:val="22"/>
              </w:rPr>
            </w:pPr>
            <w:r w:rsidRPr="00BC0E7E">
              <w:rPr>
                <w:bCs/>
                <w:szCs w:val="22"/>
              </w:rPr>
              <w:t>Tel: +354 535 7000</w:t>
            </w:r>
          </w:p>
          <w:p w14:paraId="78391F76" w14:textId="77777777" w:rsidR="0099655D" w:rsidRPr="00BC0E7E" w:rsidRDefault="0099655D" w:rsidP="00740A74">
            <w:pPr>
              <w:rPr>
                <w:bCs/>
                <w:szCs w:val="22"/>
              </w:rPr>
            </w:pPr>
          </w:p>
        </w:tc>
        <w:tc>
          <w:tcPr>
            <w:tcW w:w="4678" w:type="dxa"/>
          </w:tcPr>
          <w:p w14:paraId="4278FBCF" w14:textId="77777777" w:rsidR="00B05E81" w:rsidRPr="00BC0E7E" w:rsidRDefault="00944B8F" w:rsidP="00740A74">
            <w:pPr>
              <w:rPr>
                <w:b/>
                <w:bCs/>
                <w:szCs w:val="22"/>
                <w:lang w:val="sk-SK"/>
              </w:rPr>
            </w:pPr>
            <w:r w:rsidRPr="00BC0E7E">
              <w:rPr>
                <w:b/>
                <w:bCs/>
                <w:szCs w:val="22"/>
                <w:lang w:val="sk-SK"/>
              </w:rPr>
              <w:t>Slovenská republika</w:t>
            </w:r>
          </w:p>
          <w:p w14:paraId="36611D79" w14:textId="77777777" w:rsidR="00B05E81" w:rsidRPr="00BC0E7E" w:rsidRDefault="00944B8F" w:rsidP="00740A74">
            <w:pPr>
              <w:rPr>
                <w:bCs/>
                <w:szCs w:val="22"/>
                <w:lang w:val="sk-SK"/>
              </w:rPr>
            </w:pPr>
            <w:r w:rsidRPr="00BC0E7E">
              <w:rPr>
                <w:bCs/>
                <w:szCs w:val="22"/>
                <w:lang w:val="sk-SK"/>
              </w:rPr>
              <w:t>AbbVie s.r.o.</w:t>
            </w:r>
          </w:p>
          <w:p w14:paraId="46B48CAA" w14:textId="77777777" w:rsidR="00B05E81" w:rsidRPr="00BC0E7E" w:rsidRDefault="00944B8F" w:rsidP="00740A74">
            <w:pPr>
              <w:rPr>
                <w:bCs/>
                <w:szCs w:val="22"/>
                <w:lang w:val="sk-SK"/>
              </w:rPr>
            </w:pPr>
            <w:r w:rsidRPr="00BC0E7E">
              <w:rPr>
                <w:bCs/>
                <w:szCs w:val="22"/>
                <w:lang w:val="sk-SK"/>
              </w:rPr>
              <w:t>Tel: +421 2 5050 0777</w:t>
            </w:r>
          </w:p>
        </w:tc>
      </w:tr>
      <w:tr w:rsidR="00C6578C" w14:paraId="52072A34" w14:textId="77777777" w:rsidTr="00740A74">
        <w:trPr>
          <w:gridBefore w:val="1"/>
          <w:wBefore w:w="34" w:type="dxa"/>
        </w:trPr>
        <w:tc>
          <w:tcPr>
            <w:tcW w:w="4644" w:type="dxa"/>
          </w:tcPr>
          <w:p w14:paraId="6AB0DB90" w14:textId="77777777" w:rsidR="00B05E81" w:rsidRPr="00BC0E7E" w:rsidRDefault="00944B8F" w:rsidP="00740A74">
            <w:pPr>
              <w:rPr>
                <w:b/>
                <w:bCs/>
                <w:szCs w:val="22"/>
                <w:lang w:val="it-IT"/>
              </w:rPr>
            </w:pPr>
            <w:r w:rsidRPr="00BC0E7E">
              <w:rPr>
                <w:b/>
                <w:bCs/>
                <w:szCs w:val="22"/>
                <w:lang w:val="it-IT"/>
              </w:rPr>
              <w:t>Italia</w:t>
            </w:r>
          </w:p>
          <w:p w14:paraId="1DE418E1" w14:textId="77777777" w:rsidR="00B05E81" w:rsidRPr="00BC0E7E" w:rsidRDefault="00944B8F" w:rsidP="00740A74">
            <w:pPr>
              <w:spacing w:line="260" w:lineRule="exact"/>
              <w:rPr>
                <w:bCs/>
                <w:szCs w:val="22"/>
                <w:lang w:val="pt-PT"/>
              </w:rPr>
            </w:pPr>
            <w:r w:rsidRPr="00BC0E7E">
              <w:rPr>
                <w:bCs/>
                <w:szCs w:val="22"/>
                <w:lang w:val="pt-PT"/>
              </w:rPr>
              <w:t xml:space="preserve">AbbVie S.r.l. </w:t>
            </w:r>
          </w:p>
          <w:p w14:paraId="529B22FD" w14:textId="77777777" w:rsidR="00B05E81" w:rsidRDefault="00944B8F" w:rsidP="00740A74">
            <w:pPr>
              <w:spacing w:line="260" w:lineRule="exact"/>
              <w:rPr>
                <w:bCs/>
                <w:szCs w:val="22"/>
                <w:lang w:val="fr-FR"/>
              </w:rPr>
            </w:pPr>
            <w:r w:rsidRPr="00BC0E7E">
              <w:rPr>
                <w:bCs/>
                <w:szCs w:val="22"/>
                <w:lang w:val="fr-FR"/>
              </w:rPr>
              <w:t>Tel: +39 06 928921</w:t>
            </w:r>
          </w:p>
          <w:p w14:paraId="249A270B" w14:textId="77777777" w:rsidR="0099655D" w:rsidRPr="00BC0E7E" w:rsidRDefault="0099655D" w:rsidP="00740A74">
            <w:pPr>
              <w:spacing w:line="260" w:lineRule="exact"/>
              <w:rPr>
                <w:bCs/>
                <w:szCs w:val="22"/>
              </w:rPr>
            </w:pPr>
          </w:p>
        </w:tc>
        <w:tc>
          <w:tcPr>
            <w:tcW w:w="4678" w:type="dxa"/>
          </w:tcPr>
          <w:p w14:paraId="48D89063" w14:textId="77777777" w:rsidR="00B05E81" w:rsidRPr="00BC0E7E" w:rsidRDefault="00944B8F" w:rsidP="00740A74">
            <w:pPr>
              <w:rPr>
                <w:b/>
                <w:bCs/>
                <w:szCs w:val="22"/>
                <w:lang w:val="fi-FI"/>
              </w:rPr>
            </w:pPr>
            <w:r w:rsidRPr="00BC0E7E">
              <w:rPr>
                <w:b/>
                <w:bCs/>
                <w:szCs w:val="22"/>
                <w:lang w:val="fi-FI"/>
              </w:rPr>
              <w:t>Suomi/Finland</w:t>
            </w:r>
          </w:p>
          <w:p w14:paraId="3727F311" w14:textId="77777777" w:rsidR="00B05E81" w:rsidRPr="00BC0E7E" w:rsidRDefault="00944B8F" w:rsidP="00740A74">
            <w:pPr>
              <w:rPr>
                <w:bCs/>
                <w:szCs w:val="22"/>
              </w:rPr>
            </w:pPr>
            <w:r w:rsidRPr="00BC0E7E">
              <w:rPr>
                <w:bCs/>
                <w:szCs w:val="22"/>
              </w:rPr>
              <w:t xml:space="preserve">AbbVie Oy </w:t>
            </w:r>
          </w:p>
          <w:p w14:paraId="12A4A97F" w14:textId="77777777" w:rsidR="00B05E81" w:rsidRPr="00BC0E7E" w:rsidRDefault="00944B8F" w:rsidP="00740A74">
            <w:pPr>
              <w:rPr>
                <w:bCs/>
                <w:szCs w:val="22"/>
                <w:lang w:val="fi-FI"/>
              </w:rPr>
            </w:pPr>
            <w:r w:rsidRPr="00BC0E7E">
              <w:rPr>
                <w:bCs/>
                <w:szCs w:val="22"/>
              </w:rPr>
              <w:t>Puh/Tel:  +358 (0)10 2411 200</w:t>
            </w:r>
          </w:p>
        </w:tc>
      </w:tr>
      <w:tr w:rsidR="00C6578C" w14:paraId="5878E831" w14:textId="77777777" w:rsidTr="00740A74">
        <w:trPr>
          <w:gridBefore w:val="1"/>
          <w:wBefore w:w="34" w:type="dxa"/>
        </w:trPr>
        <w:tc>
          <w:tcPr>
            <w:tcW w:w="4644" w:type="dxa"/>
          </w:tcPr>
          <w:p w14:paraId="77EAE826" w14:textId="77777777" w:rsidR="00B05E81" w:rsidRPr="00BC0E7E" w:rsidRDefault="00944B8F" w:rsidP="00740A74">
            <w:pPr>
              <w:keepNext/>
              <w:rPr>
                <w:b/>
                <w:bCs/>
                <w:szCs w:val="22"/>
                <w:lang w:val="el-GR"/>
              </w:rPr>
            </w:pPr>
            <w:r w:rsidRPr="00BC0E7E">
              <w:rPr>
                <w:b/>
                <w:bCs/>
                <w:szCs w:val="22"/>
                <w:lang w:val="el-GR"/>
              </w:rPr>
              <w:t>Κύπρος</w:t>
            </w:r>
          </w:p>
          <w:p w14:paraId="09D90327" w14:textId="77777777" w:rsidR="00B05E81" w:rsidRPr="00BC0E7E" w:rsidRDefault="00944B8F" w:rsidP="00740A74">
            <w:pPr>
              <w:keepNext/>
              <w:rPr>
                <w:bCs/>
                <w:szCs w:val="22"/>
                <w:lang w:val="el-GR"/>
              </w:rPr>
            </w:pPr>
            <w:r w:rsidRPr="00BC0E7E">
              <w:rPr>
                <w:bCs/>
                <w:szCs w:val="22"/>
                <w:lang w:val="it-IT"/>
              </w:rPr>
              <w:t>Lifepharma (Z.A.M.) Ltd</w:t>
            </w:r>
          </w:p>
          <w:p w14:paraId="655AA0B2" w14:textId="77777777" w:rsidR="00B05E81" w:rsidRDefault="00944B8F" w:rsidP="00740A74">
            <w:pPr>
              <w:keepNext/>
              <w:rPr>
                <w:bCs/>
                <w:szCs w:val="22"/>
                <w:lang w:val="el-GR"/>
              </w:rPr>
            </w:pPr>
            <w:r w:rsidRPr="00BC0E7E">
              <w:rPr>
                <w:bCs/>
                <w:szCs w:val="22"/>
                <w:lang w:val="el-GR"/>
              </w:rPr>
              <w:t>Τηλ.: +357 22 34 74 40</w:t>
            </w:r>
          </w:p>
          <w:p w14:paraId="60D3A8F9" w14:textId="77777777" w:rsidR="0099655D" w:rsidRPr="00BC0E7E" w:rsidRDefault="0099655D" w:rsidP="00740A74">
            <w:pPr>
              <w:keepNext/>
              <w:rPr>
                <w:bCs/>
                <w:szCs w:val="22"/>
                <w:lang w:val="fi-FI"/>
              </w:rPr>
            </w:pPr>
          </w:p>
        </w:tc>
        <w:tc>
          <w:tcPr>
            <w:tcW w:w="4678" w:type="dxa"/>
          </w:tcPr>
          <w:p w14:paraId="33065045" w14:textId="77777777" w:rsidR="00B05E81" w:rsidRPr="00BC0E7E" w:rsidRDefault="00944B8F" w:rsidP="00740A74">
            <w:pPr>
              <w:keepNext/>
              <w:rPr>
                <w:b/>
                <w:bCs/>
                <w:szCs w:val="22"/>
                <w:lang w:val="sv-SE"/>
              </w:rPr>
            </w:pPr>
            <w:r w:rsidRPr="00BC0E7E">
              <w:rPr>
                <w:b/>
                <w:bCs/>
                <w:szCs w:val="22"/>
                <w:lang w:val="sv-SE"/>
              </w:rPr>
              <w:t>Sverige</w:t>
            </w:r>
          </w:p>
          <w:p w14:paraId="14422B8E" w14:textId="77777777" w:rsidR="00B05E81" w:rsidRPr="00BC0E7E" w:rsidRDefault="00944B8F" w:rsidP="00740A74">
            <w:pPr>
              <w:keepNext/>
              <w:rPr>
                <w:bCs/>
                <w:szCs w:val="22"/>
                <w:lang w:val="pt-PT"/>
              </w:rPr>
            </w:pPr>
            <w:r w:rsidRPr="00BC0E7E">
              <w:rPr>
                <w:bCs/>
                <w:szCs w:val="22"/>
                <w:lang w:val="pt-PT"/>
              </w:rPr>
              <w:t>AbbVie AB</w:t>
            </w:r>
          </w:p>
          <w:p w14:paraId="498D9AD0" w14:textId="77777777" w:rsidR="00B05E81" w:rsidRPr="00BC0E7E" w:rsidRDefault="00944B8F" w:rsidP="00740A74">
            <w:pPr>
              <w:keepNext/>
              <w:rPr>
                <w:bCs/>
                <w:szCs w:val="22"/>
                <w:lang w:val="sv-SE"/>
              </w:rPr>
            </w:pPr>
            <w:r w:rsidRPr="00BC0E7E">
              <w:rPr>
                <w:bCs/>
                <w:szCs w:val="22"/>
                <w:lang w:val="da-DK"/>
              </w:rPr>
              <w:t>Tel:  +46 (0)8 684 44 600</w:t>
            </w:r>
          </w:p>
        </w:tc>
      </w:tr>
      <w:tr w:rsidR="00C6578C" w14:paraId="00F3955B" w14:textId="77777777" w:rsidTr="00740A74">
        <w:trPr>
          <w:gridBefore w:val="1"/>
          <w:wBefore w:w="34" w:type="dxa"/>
          <w:cantSplit/>
          <w:trHeight w:val="702"/>
        </w:trPr>
        <w:tc>
          <w:tcPr>
            <w:tcW w:w="4644" w:type="dxa"/>
          </w:tcPr>
          <w:p w14:paraId="31707658" w14:textId="77777777" w:rsidR="00B05E81" w:rsidRPr="00BC0E7E" w:rsidRDefault="00944B8F" w:rsidP="00740A74">
            <w:pPr>
              <w:rPr>
                <w:b/>
                <w:bCs/>
                <w:szCs w:val="22"/>
                <w:lang w:val="lv-LV"/>
              </w:rPr>
            </w:pPr>
            <w:r w:rsidRPr="00BC0E7E">
              <w:rPr>
                <w:b/>
                <w:bCs/>
                <w:szCs w:val="22"/>
                <w:lang w:val="lv-LV"/>
              </w:rPr>
              <w:t>Latvija</w:t>
            </w:r>
          </w:p>
          <w:p w14:paraId="4278DFF1" w14:textId="77777777" w:rsidR="00B05E81" w:rsidRPr="00BC0E7E" w:rsidRDefault="00944B8F" w:rsidP="00740A74">
            <w:pPr>
              <w:rPr>
                <w:bCs/>
                <w:szCs w:val="22"/>
                <w:lang w:val="lv-LV"/>
              </w:rPr>
            </w:pPr>
            <w:r w:rsidRPr="00BC0E7E">
              <w:rPr>
                <w:bCs/>
                <w:szCs w:val="22"/>
                <w:lang w:val="lv-LV"/>
              </w:rPr>
              <w:t xml:space="preserve">AbbVie SIA </w:t>
            </w:r>
          </w:p>
          <w:p w14:paraId="3233EF74" w14:textId="77777777" w:rsidR="00B05E81" w:rsidRPr="00BC0E7E" w:rsidRDefault="00944B8F" w:rsidP="00740A74">
            <w:pPr>
              <w:rPr>
                <w:bCs/>
                <w:szCs w:val="22"/>
                <w:lang w:val="lv-LV"/>
              </w:rPr>
            </w:pPr>
            <w:r w:rsidRPr="00BC0E7E">
              <w:rPr>
                <w:bCs/>
                <w:szCs w:val="22"/>
                <w:lang w:val="lv-LV"/>
              </w:rPr>
              <w:t>Tel: +371 67605000</w:t>
            </w:r>
          </w:p>
        </w:tc>
        <w:tc>
          <w:tcPr>
            <w:tcW w:w="4678" w:type="dxa"/>
          </w:tcPr>
          <w:p w14:paraId="0D75F2E3" w14:textId="77777777" w:rsidR="00B05E81" w:rsidRPr="00BC0E7E" w:rsidRDefault="00B05E81" w:rsidP="00740A74">
            <w:pPr>
              <w:rPr>
                <w:bCs/>
                <w:szCs w:val="22"/>
                <w:lang w:val="lv-LV"/>
              </w:rPr>
            </w:pPr>
          </w:p>
        </w:tc>
      </w:tr>
    </w:tbl>
    <w:p w14:paraId="1BB581F4" w14:textId="77777777" w:rsidR="00B05E81" w:rsidRPr="00E36CD0" w:rsidRDefault="00B05E81" w:rsidP="00B05E81">
      <w:pPr>
        <w:numPr>
          <w:ilvl w:val="12"/>
          <w:numId w:val="0"/>
        </w:numPr>
        <w:tabs>
          <w:tab w:val="clear" w:pos="562"/>
        </w:tabs>
        <w:ind w:right="-2"/>
      </w:pPr>
    </w:p>
    <w:p w14:paraId="1D472278" w14:textId="77777777" w:rsidR="00B05E81" w:rsidRPr="001E71EE" w:rsidRDefault="00944B8F" w:rsidP="00B05E81">
      <w:pPr>
        <w:numPr>
          <w:ilvl w:val="12"/>
          <w:numId w:val="0"/>
        </w:numPr>
        <w:tabs>
          <w:tab w:val="clear" w:pos="562"/>
        </w:tabs>
        <w:ind w:right="-2"/>
        <w:rPr>
          <w:b/>
        </w:rPr>
      </w:pPr>
      <w:r w:rsidRPr="001E71EE">
        <w:rPr>
          <w:b/>
        </w:rPr>
        <w:t>This leaflet was last revised in</w:t>
      </w:r>
    </w:p>
    <w:p w14:paraId="4D0216BE" w14:textId="77777777" w:rsidR="00B05E81" w:rsidRPr="00E36CD0" w:rsidRDefault="00B05E81" w:rsidP="00B05E81">
      <w:pPr>
        <w:numPr>
          <w:ilvl w:val="12"/>
          <w:numId w:val="0"/>
        </w:numPr>
        <w:tabs>
          <w:tab w:val="clear" w:pos="562"/>
        </w:tabs>
        <w:ind w:right="-2"/>
      </w:pPr>
    </w:p>
    <w:p w14:paraId="642F619B" w14:textId="77777777" w:rsidR="00B05E81" w:rsidRPr="0024236D" w:rsidRDefault="00944B8F" w:rsidP="00B05E81">
      <w:pPr>
        <w:numPr>
          <w:ilvl w:val="12"/>
          <w:numId w:val="0"/>
        </w:numPr>
        <w:tabs>
          <w:tab w:val="clear" w:pos="562"/>
        </w:tabs>
        <w:ind w:right="-2"/>
        <w:rPr>
          <w:b/>
        </w:rPr>
      </w:pPr>
      <w:r w:rsidRPr="0024236D">
        <w:rPr>
          <w:iCs/>
          <w:noProof/>
          <w:szCs w:val="22"/>
        </w:rPr>
        <w:t xml:space="preserve">Detailed information on this medicine is available on the European Medicines Agency web site: </w:t>
      </w:r>
      <w:ins w:id="13673" w:author="AbbVie19" w:date="2025-04-17T11:07:00Z">
        <w:r w:rsidR="00E27926">
          <w:rPr>
            <w:szCs w:val="22"/>
          </w:rPr>
          <w:fldChar w:fldCharType="begin"/>
        </w:r>
        <w:r w:rsidR="00E27926">
          <w:rPr>
            <w:szCs w:val="22"/>
          </w:rPr>
          <w:instrText>HYPERLINK "</w:instrText>
        </w:r>
      </w:ins>
      <w:r w:rsidR="00E27926" w:rsidRPr="00E27926">
        <w:rPr>
          <w:rStyle w:val="Hyperlink"/>
          <w:szCs w:val="22"/>
        </w:rPr>
        <w:instrText>http</w:instrText>
      </w:r>
      <w:ins w:id="13674" w:author="AbbVie19" w:date="2025-04-17T11:07:00Z">
        <w:r w:rsidR="00E27926" w:rsidRPr="00E27926">
          <w:rPr>
            <w:rStyle w:val="Hyperlink"/>
            <w:szCs w:val="22"/>
          </w:rPr>
          <w:instrText>s</w:instrText>
        </w:r>
      </w:ins>
      <w:r w:rsidR="00E27926" w:rsidRPr="00E27926">
        <w:rPr>
          <w:rStyle w:val="Hyperlink"/>
          <w:szCs w:val="22"/>
        </w:rPr>
        <w:instrText>://www.ema.europa.eu</w:instrText>
      </w:r>
      <w:ins w:id="13675" w:author="AbbVie19" w:date="2025-04-17T11:07:00Z">
        <w:r w:rsidR="00E27926">
          <w:rPr>
            <w:szCs w:val="22"/>
          </w:rPr>
          <w:instrText>"</w:instrText>
        </w:r>
        <w:r w:rsidR="00E27926">
          <w:rPr>
            <w:szCs w:val="22"/>
          </w:rPr>
        </w:r>
        <w:r w:rsidR="00E27926">
          <w:rPr>
            <w:szCs w:val="22"/>
          </w:rPr>
          <w:fldChar w:fldCharType="separate"/>
        </w:r>
      </w:ins>
      <w:r w:rsidR="00E27926" w:rsidRPr="00E27926">
        <w:rPr>
          <w:rStyle w:val="Hyperlink"/>
          <w:szCs w:val="22"/>
        </w:rPr>
        <w:t>http</w:t>
      </w:r>
      <w:ins w:id="13676" w:author="AbbVie19" w:date="2025-04-17T11:07:00Z">
        <w:r w:rsidR="00E27926" w:rsidRPr="00E27926">
          <w:rPr>
            <w:rStyle w:val="Hyperlink"/>
            <w:szCs w:val="22"/>
          </w:rPr>
          <w:t>s</w:t>
        </w:r>
      </w:ins>
      <w:r w:rsidR="00E27926" w:rsidRPr="00E27926">
        <w:rPr>
          <w:rStyle w:val="Hyperlink"/>
          <w:szCs w:val="22"/>
        </w:rPr>
        <w:t>://www.ema.europa.eu</w:t>
      </w:r>
      <w:ins w:id="13677" w:author="AbbVie19" w:date="2025-04-17T11:07:00Z">
        <w:r w:rsidR="00E27926">
          <w:rPr>
            <w:szCs w:val="22"/>
          </w:rPr>
          <w:fldChar w:fldCharType="end"/>
        </w:r>
      </w:ins>
      <w:r w:rsidRPr="0024236D">
        <w:rPr>
          <w:noProof/>
          <w:szCs w:val="22"/>
        </w:rPr>
        <w:t>.</w:t>
      </w:r>
    </w:p>
    <w:p w14:paraId="08C07318" w14:textId="77777777" w:rsidR="00B05E81" w:rsidRPr="001E71EE" w:rsidRDefault="00B05E81" w:rsidP="00B05E81">
      <w:pPr>
        <w:numPr>
          <w:ilvl w:val="12"/>
          <w:numId w:val="0"/>
        </w:numPr>
        <w:tabs>
          <w:tab w:val="clear" w:pos="562"/>
        </w:tabs>
        <w:ind w:right="-2"/>
      </w:pPr>
    </w:p>
    <w:p w14:paraId="5A0C15E4" w14:textId="77777777" w:rsidR="00B05E81" w:rsidRPr="0024236D" w:rsidRDefault="00944B8F" w:rsidP="00B05E81">
      <w:pPr>
        <w:numPr>
          <w:ilvl w:val="12"/>
          <w:numId w:val="0"/>
        </w:numPr>
        <w:ind w:right="-2"/>
        <w:rPr>
          <w:b/>
          <w:color w:val="000000"/>
        </w:rPr>
      </w:pPr>
      <w:r w:rsidRPr="0024236D">
        <w:rPr>
          <w:b/>
          <w:color w:val="000000"/>
        </w:rPr>
        <w:t xml:space="preserve">To listen to or request a copy of this leaflet in </w:t>
      </w:r>
      <w:r w:rsidRPr="0024236D">
        <w:rPr>
          <w:b/>
          <w:color w:val="000000"/>
          <w:shd w:val="clear" w:color="auto" w:fill="A6A6A6"/>
        </w:rPr>
        <w:t>&lt;Braille&gt;, &lt;large print&gt; or &lt;audio&gt;</w:t>
      </w:r>
      <w:r w:rsidRPr="0024236D">
        <w:rPr>
          <w:b/>
          <w:color w:val="000000"/>
        </w:rPr>
        <w:t>, please contact the local representative of the Marketing Authorisation Holder.</w:t>
      </w:r>
    </w:p>
    <w:p w14:paraId="1CB0B22F" w14:textId="77777777" w:rsidR="00B05E81" w:rsidRDefault="00B05E81" w:rsidP="00B05E81">
      <w:pPr>
        <w:ind w:right="-449"/>
        <w:rPr>
          <w:szCs w:val="22"/>
        </w:rPr>
      </w:pPr>
    </w:p>
    <w:p w14:paraId="41B06D32" w14:textId="77777777" w:rsidR="00B05E81" w:rsidRPr="0024236D" w:rsidRDefault="00B05E81" w:rsidP="00B05E81">
      <w:pPr>
        <w:ind w:right="-449"/>
        <w:rPr>
          <w:noProof/>
          <w:szCs w:val="22"/>
        </w:rPr>
      </w:pPr>
    </w:p>
    <w:p w14:paraId="2859F2E1" w14:textId="77777777" w:rsidR="00B05E81" w:rsidRPr="00BC0E7E" w:rsidRDefault="00944B8F" w:rsidP="00B05E81">
      <w:pPr>
        <w:rPr>
          <w:b/>
          <w:szCs w:val="20"/>
        </w:rPr>
      </w:pPr>
      <w:r w:rsidRPr="00BC0E7E">
        <w:rPr>
          <w:b/>
          <w:szCs w:val="20"/>
        </w:rPr>
        <w:t>7.</w:t>
      </w:r>
      <w:r w:rsidRPr="00BC0E7E">
        <w:rPr>
          <w:b/>
          <w:szCs w:val="20"/>
        </w:rPr>
        <w:tab/>
      </w:r>
      <w:r w:rsidR="00B417AB">
        <w:rPr>
          <w:b/>
        </w:rPr>
        <w:t>Injecting Humira</w:t>
      </w:r>
      <w:r w:rsidRPr="00BC0E7E">
        <w:rPr>
          <w:b/>
          <w:szCs w:val="20"/>
        </w:rPr>
        <w:t xml:space="preserve"> </w:t>
      </w:r>
    </w:p>
    <w:p w14:paraId="1DC761CE" w14:textId="77777777" w:rsidR="00B05E81" w:rsidRPr="00BC0E7E" w:rsidRDefault="00B05E81" w:rsidP="00B05E81">
      <w:pPr>
        <w:rPr>
          <w:szCs w:val="20"/>
        </w:rPr>
      </w:pPr>
    </w:p>
    <w:p w14:paraId="04FFDAEE" w14:textId="77777777" w:rsidR="00B05E81" w:rsidRPr="00BC0E7E" w:rsidRDefault="00944B8F" w:rsidP="00D51999">
      <w:pPr>
        <w:numPr>
          <w:ilvl w:val="0"/>
          <w:numId w:val="80"/>
        </w:numPr>
        <w:tabs>
          <w:tab w:val="clear" w:pos="562"/>
          <w:tab w:val="left" w:pos="720"/>
        </w:tabs>
      </w:pPr>
      <w:r w:rsidRPr="00BC0E7E">
        <w:t xml:space="preserve">The following instructions explain how to give yourself a subcutaneous injection of Humira using the pre-filled syringe. First read all the instructions carefully and then follow them step by step. </w:t>
      </w:r>
    </w:p>
    <w:p w14:paraId="667E8DB0" w14:textId="77777777" w:rsidR="00B05E81" w:rsidRPr="00BC0E7E" w:rsidRDefault="00B05E81" w:rsidP="00B05E81">
      <w:pPr>
        <w:tabs>
          <w:tab w:val="clear" w:pos="562"/>
          <w:tab w:val="left" w:pos="720"/>
        </w:tabs>
        <w:ind w:left="720"/>
      </w:pPr>
    </w:p>
    <w:p w14:paraId="200E7FBE" w14:textId="77777777" w:rsidR="00B05E81" w:rsidRPr="00BC0E7E" w:rsidRDefault="00944B8F" w:rsidP="00D51999">
      <w:pPr>
        <w:numPr>
          <w:ilvl w:val="0"/>
          <w:numId w:val="80"/>
        </w:numPr>
        <w:tabs>
          <w:tab w:val="clear" w:pos="562"/>
          <w:tab w:val="left" w:pos="720"/>
        </w:tabs>
      </w:pPr>
      <w:r w:rsidRPr="00BC0E7E">
        <w:t xml:space="preserve">You will be instructed by your doctor, nurse or pharmacist on the technique of self-injection. </w:t>
      </w:r>
    </w:p>
    <w:p w14:paraId="67475797" w14:textId="77777777" w:rsidR="00B05E81" w:rsidRPr="00BC0E7E" w:rsidRDefault="00B05E81" w:rsidP="00B05E81">
      <w:pPr>
        <w:ind w:left="720"/>
      </w:pPr>
    </w:p>
    <w:p w14:paraId="36F82535" w14:textId="77777777" w:rsidR="00B05E81" w:rsidRPr="00BC0E7E" w:rsidRDefault="00944B8F" w:rsidP="00D51999">
      <w:pPr>
        <w:numPr>
          <w:ilvl w:val="0"/>
          <w:numId w:val="80"/>
        </w:numPr>
        <w:tabs>
          <w:tab w:val="clear" w:pos="562"/>
          <w:tab w:val="left" w:pos="720"/>
        </w:tabs>
      </w:pPr>
      <w:r w:rsidRPr="00BC0E7E">
        <w:t xml:space="preserve">Do not attempt to self-inject until you are sure that you understand how to prepare and give the injection. </w:t>
      </w:r>
    </w:p>
    <w:p w14:paraId="68B82490" w14:textId="77777777" w:rsidR="00B05E81" w:rsidRPr="00BC0E7E" w:rsidRDefault="00B05E81" w:rsidP="00B05E81">
      <w:pPr>
        <w:keepNext/>
        <w:ind w:left="720"/>
      </w:pPr>
    </w:p>
    <w:p w14:paraId="7B5F9EFF" w14:textId="77777777" w:rsidR="00B05E81" w:rsidRPr="00BC0E7E" w:rsidRDefault="00944B8F" w:rsidP="00D51999">
      <w:pPr>
        <w:keepNext/>
        <w:numPr>
          <w:ilvl w:val="0"/>
          <w:numId w:val="80"/>
        </w:numPr>
        <w:tabs>
          <w:tab w:val="clear" w:pos="562"/>
          <w:tab w:val="left" w:pos="720"/>
        </w:tabs>
      </w:pPr>
      <w:r w:rsidRPr="00BC0E7E">
        <w:t xml:space="preserve">After proper training, the injection can be given by yourself or given by another person, for example, a family member or friend.  </w:t>
      </w:r>
    </w:p>
    <w:p w14:paraId="1E63920D" w14:textId="77777777" w:rsidR="00B05E81" w:rsidRPr="00BC0E7E" w:rsidRDefault="00B05E81" w:rsidP="00B05E81">
      <w:pPr>
        <w:keepNext/>
        <w:ind w:left="720"/>
      </w:pPr>
    </w:p>
    <w:p w14:paraId="6CE6C879" w14:textId="77777777" w:rsidR="00B05E81" w:rsidRPr="00BC0E7E" w:rsidRDefault="00944B8F" w:rsidP="00D51999">
      <w:pPr>
        <w:keepNext/>
        <w:numPr>
          <w:ilvl w:val="0"/>
          <w:numId w:val="80"/>
        </w:numPr>
        <w:tabs>
          <w:tab w:val="clear" w:pos="562"/>
          <w:tab w:val="left" w:pos="720"/>
        </w:tabs>
      </w:pPr>
      <w:r w:rsidRPr="00BC0E7E">
        <w:t>Only use each pre-filled syringe for one injection.</w:t>
      </w:r>
    </w:p>
    <w:p w14:paraId="6CA5BC4C" w14:textId="77777777" w:rsidR="00B05E81" w:rsidRPr="00BC0E7E" w:rsidRDefault="00B05E81" w:rsidP="00B05E81"/>
    <w:p w14:paraId="2D3590A5" w14:textId="77777777" w:rsidR="00B05E81" w:rsidRPr="00BC0E7E" w:rsidRDefault="00944B8F" w:rsidP="00B05E81">
      <w:pPr>
        <w:keepNext/>
        <w:rPr>
          <w:b/>
        </w:rPr>
      </w:pPr>
      <w:r w:rsidRPr="00BC0E7E">
        <w:rPr>
          <w:b/>
        </w:rPr>
        <w:lastRenderedPageBreak/>
        <w:t>Humira Pre-filled Syringe</w:t>
      </w:r>
    </w:p>
    <w:p w14:paraId="7AFAC61B" w14:textId="77777777" w:rsidR="00B05E81" w:rsidRPr="00BC0E7E" w:rsidRDefault="00B05E81" w:rsidP="00B05E81">
      <w:pPr>
        <w:keepNext/>
        <w:rPr>
          <w:b/>
        </w:rPr>
      </w:pPr>
    </w:p>
    <w:p w14:paraId="018EF48C" w14:textId="77777777" w:rsidR="00B05E81" w:rsidRPr="00BC0E7E" w:rsidRDefault="00944B8F" w:rsidP="00B05E81">
      <w:pPr>
        <w:keepNext/>
        <w:rPr>
          <w:b/>
        </w:rPr>
      </w:pPr>
      <w:r>
        <w:rPr>
          <w:b/>
        </w:rPr>
        <w:tab/>
      </w:r>
      <w:r>
        <w:rPr>
          <w:b/>
        </w:rPr>
        <w:tab/>
      </w:r>
      <w:r>
        <w:rPr>
          <w:b/>
        </w:rPr>
        <w:tab/>
        <w:t xml:space="preserve">       </w:t>
      </w:r>
      <w:r w:rsidRPr="00BC0E7E">
        <w:rPr>
          <w:b/>
        </w:rPr>
        <w:t>Plunger</w:t>
      </w:r>
      <w:r>
        <w:rPr>
          <w:b/>
        </w:rPr>
        <w:tab/>
      </w:r>
      <w:r>
        <w:rPr>
          <w:b/>
        </w:rPr>
        <w:tab/>
        <w:t xml:space="preserve">           </w:t>
      </w:r>
      <w:r w:rsidRPr="00BC0E7E">
        <w:rPr>
          <w:b/>
        </w:rPr>
        <w:t>Finger Grip</w:t>
      </w:r>
      <w:r>
        <w:rPr>
          <w:b/>
        </w:rPr>
        <w:tab/>
        <w:t xml:space="preserve">         </w:t>
      </w:r>
      <w:r w:rsidRPr="00BC0E7E">
        <w:rPr>
          <w:b/>
        </w:rPr>
        <w:t>Needle Cover</w:t>
      </w:r>
    </w:p>
    <w:p w14:paraId="6448405A" w14:textId="77777777" w:rsidR="00B05E81" w:rsidRPr="00BC0E7E" w:rsidRDefault="00944B8F" w:rsidP="00B05E81">
      <w:pPr>
        <w:keepNext/>
        <w:jc w:val="center"/>
      </w:pPr>
      <w:r>
        <w:rPr>
          <w:noProof/>
          <w:lang w:val="en-US"/>
        </w:rPr>
        <w:drawing>
          <wp:inline distT="0" distB="0" distL="0" distR="0" wp14:anchorId="1B03335D" wp14:editId="64D64622">
            <wp:extent cx="3364992" cy="1478124"/>
            <wp:effectExtent l="0" t="0" r="6985"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Humira_Exploded_Syringe_Only_new grey.jpg"/>
                    <pic:cNvPicPr/>
                  </pic:nvPicPr>
                  <pic:blipFill>
                    <a:blip r:embed="rId26">
                      <a:extLst>
                        <a:ext uri="{28A0092B-C50C-407E-A947-70E740481C1C}">
                          <a14:useLocalDpi xmlns:a14="http://schemas.microsoft.com/office/drawing/2010/main" val="0"/>
                        </a:ext>
                      </a:extLst>
                    </a:blip>
                    <a:stretch>
                      <a:fillRect/>
                    </a:stretch>
                  </pic:blipFill>
                  <pic:spPr>
                    <a:xfrm>
                      <a:off x="0" y="0"/>
                      <a:ext cx="3364992" cy="1478124"/>
                    </a:xfrm>
                    <a:prstGeom prst="rect">
                      <a:avLst/>
                    </a:prstGeom>
                  </pic:spPr>
                </pic:pic>
              </a:graphicData>
            </a:graphic>
          </wp:inline>
        </w:drawing>
      </w:r>
    </w:p>
    <w:p w14:paraId="42D99DF4" w14:textId="77777777" w:rsidR="00B05E81" w:rsidRPr="00BC0E7E" w:rsidRDefault="00B05E81" w:rsidP="00B05E81"/>
    <w:p w14:paraId="318D761A" w14:textId="77777777" w:rsidR="00B05E81" w:rsidRPr="00BC0E7E" w:rsidRDefault="00944B8F" w:rsidP="00B05E81">
      <w:pPr>
        <w:keepNext/>
        <w:spacing w:before="100" w:beforeAutospacing="1" w:after="100" w:afterAutospacing="1"/>
        <w:rPr>
          <w:b/>
          <w:szCs w:val="20"/>
        </w:rPr>
      </w:pPr>
      <w:r w:rsidRPr="00BC0E7E">
        <w:rPr>
          <w:b/>
          <w:szCs w:val="20"/>
        </w:rPr>
        <w:t>Do not use the pre-filled syringe and call your doctor or pharmacist if the</w:t>
      </w:r>
    </w:p>
    <w:p w14:paraId="1AF8A2D5" w14:textId="77777777" w:rsidR="00B05E81" w:rsidRPr="00BC0E7E" w:rsidRDefault="00944B8F" w:rsidP="00D51999">
      <w:pPr>
        <w:keepNext/>
        <w:numPr>
          <w:ilvl w:val="0"/>
          <w:numId w:val="62"/>
        </w:numPr>
        <w:tabs>
          <w:tab w:val="clear" w:pos="562"/>
          <w:tab w:val="left" w:pos="720"/>
        </w:tabs>
        <w:rPr>
          <w:szCs w:val="20"/>
        </w:rPr>
      </w:pPr>
      <w:r w:rsidRPr="00BC0E7E">
        <w:rPr>
          <w:szCs w:val="20"/>
        </w:rPr>
        <w:t>liquid is cloudy, discoloured, or has flakes or particles in it</w:t>
      </w:r>
    </w:p>
    <w:p w14:paraId="4F8B819F" w14:textId="77777777" w:rsidR="00B05E81" w:rsidRPr="00BC0E7E" w:rsidRDefault="00944B8F" w:rsidP="00D51999">
      <w:pPr>
        <w:keepNext/>
        <w:numPr>
          <w:ilvl w:val="0"/>
          <w:numId w:val="62"/>
        </w:numPr>
        <w:tabs>
          <w:tab w:val="clear" w:pos="562"/>
          <w:tab w:val="left" w:pos="720"/>
        </w:tabs>
        <w:rPr>
          <w:szCs w:val="20"/>
        </w:rPr>
      </w:pPr>
      <w:r w:rsidRPr="00BC0E7E">
        <w:rPr>
          <w:szCs w:val="20"/>
        </w:rPr>
        <w:t>expiry (EXP) date has passed</w:t>
      </w:r>
    </w:p>
    <w:p w14:paraId="35F88C1A" w14:textId="77777777" w:rsidR="00B05E81" w:rsidRPr="00BC0E7E" w:rsidRDefault="00944B8F" w:rsidP="00D51999">
      <w:pPr>
        <w:keepNext/>
        <w:numPr>
          <w:ilvl w:val="0"/>
          <w:numId w:val="62"/>
        </w:numPr>
        <w:tabs>
          <w:tab w:val="clear" w:pos="562"/>
          <w:tab w:val="left" w:pos="720"/>
        </w:tabs>
        <w:rPr>
          <w:szCs w:val="20"/>
        </w:rPr>
      </w:pPr>
      <w:r w:rsidRPr="00BC0E7E">
        <w:rPr>
          <w:szCs w:val="20"/>
        </w:rPr>
        <w:t>liquid has been frozen or left in direct sunlight</w:t>
      </w:r>
    </w:p>
    <w:p w14:paraId="1B238509" w14:textId="77777777" w:rsidR="00B05E81" w:rsidRPr="00BC0E7E" w:rsidRDefault="00944B8F" w:rsidP="00D51999">
      <w:pPr>
        <w:keepNext/>
        <w:numPr>
          <w:ilvl w:val="0"/>
          <w:numId w:val="62"/>
        </w:numPr>
        <w:tabs>
          <w:tab w:val="clear" w:pos="562"/>
          <w:tab w:val="left" w:pos="720"/>
        </w:tabs>
        <w:rPr>
          <w:szCs w:val="20"/>
        </w:rPr>
      </w:pPr>
      <w:r w:rsidRPr="00BC0E7E">
        <w:rPr>
          <w:szCs w:val="20"/>
        </w:rPr>
        <w:t>pre-filled syringe has been dropped or crushed</w:t>
      </w:r>
    </w:p>
    <w:p w14:paraId="3CB3579A" w14:textId="77777777" w:rsidR="00B05E81" w:rsidRPr="00BC0E7E" w:rsidRDefault="00B05E81" w:rsidP="00B05E81">
      <w:pPr>
        <w:rPr>
          <w:szCs w:val="20"/>
        </w:rPr>
      </w:pPr>
    </w:p>
    <w:p w14:paraId="473484AA" w14:textId="77777777" w:rsidR="00B05E81" w:rsidRPr="00BC0E7E" w:rsidRDefault="00944B8F" w:rsidP="00B05E81">
      <w:pPr>
        <w:keepNext/>
        <w:tabs>
          <w:tab w:val="clear" w:pos="562"/>
          <w:tab w:val="left" w:pos="0"/>
        </w:tabs>
        <w:rPr>
          <w:b/>
          <w:szCs w:val="20"/>
        </w:rPr>
      </w:pPr>
      <w:r w:rsidRPr="00BC0E7E">
        <w:rPr>
          <w:b/>
          <w:szCs w:val="20"/>
        </w:rPr>
        <w:t>Do not remove the needle cover until just before injection. Keep Humira out of the sight and reach of children.</w:t>
      </w:r>
    </w:p>
    <w:p w14:paraId="44D23FCE" w14:textId="77777777" w:rsidR="00B05E81" w:rsidRPr="00BC0E7E" w:rsidRDefault="00B05E81" w:rsidP="00B05E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C6578C" w14:paraId="695610F0" w14:textId="77777777" w:rsidTr="00740A74">
        <w:tc>
          <w:tcPr>
            <w:tcW w:w="9287" w:type="dxa"/>
            <w:gridSpan w:val="2"/>
            <w:tcBorders>
              <w:bottom w:val="single" w:sz="4" w:space="0" w:color="auto"/>
            </w:tcBorders>
          </w:tcPr>
          <w:p w14:paraId="50E697B4" w14:textId="77777777" w:rsidR="00B05E81" w:rsidRPr="00BC0E7E" w:rsidRDefault="00944B8F" w:rsidP="00740A74">
            <w:pPr>
              <w:rPr>
                <w:b/>
                <w:szCs w:val="20"/>
              </w:rPr>
            </w:pPr>
            <w:r w:rsidRPr="00BC0E7E">
              <w:rPr>
                <w:b/>
                <w:szCs w:val="20"/>
              </w:rPr>
              <w:t>STEP 1</w:t>
            </w:r>
          </w:p>
          <w:p w14:paraId="3956B460" w14:textId="77777777" w:rsidR="00B05E81" w:rsidRPr="00BC0E7E" w:rsidRDefault="00B05E81" w:rsidP="00740A74">
            <w:pPr>
              <w:rPr>
                <w:szCs w:val="20"/>
              </w:rPr>
            </w:pPr>
          </w:p>
          <w:p w14:paraId="4E529480" w14:textId="77777777" w:rsidR="00B05E81" w:rsidRPr="00BC0E7E" w:rsidRDefault="00944B8F" w:rsidP="00740A74">
            <w:pPr>
              <w:rPr>
                <w:szCs w:val="20"/>
              </w:rPr>
            </w:pPr>
            <w:r w:rsidRPr="00BC0E7E">
              <w:rPr>
                <w:szCs w:val="20"/>
              </w:rPr>
              <w:t>Take Humira out of the refrigerator.</w:t>
            </w:r>
          </w:p>
          <w:p w14:paraId="5117D33B" w14:textId="77777777" w:rsidR="00B05E81" w:rsidRPr="00BC0E7E" w:rsidRDefault="00B05E81" w:rsidP="00740A74">
            <w:pPr>
              <w:rPr>
                <w:szCs w:val="20"/>
              </w:rPr>
            </w:pPr>
          </w:p>
          <w:p w14:paraId="1A0F6B62" w14:textId="77777777" w:rsidR="00B05E81" w:rsidRPr="00BC0E7E" w:rsidRDefault="00944B8F" w:rsidP="00740A74">
            <w:pPr>
              <w:rPr>
                <w:szCs w:val="20"/>
              </w:rPr>
            </w:pPr>
            <w:r w:rsidRPr="00BC0E7E">
              <w:rPr>
                <w:szCs w:val="20"/>
              </w:rPr>
              <w:t xml:space="preserve">Leave Humira at room temperature for </w:t>
            </w:r>
            <w:r w:rsidRPr="00BC0E7E">
              <w:rPr>
                <w:b/>
                <w:szCs w:val="20"/>
              </w:rPr>
              <w:t xml:space="preserve">15 to 30 minutes </w:t>
            </w:r>
            <w:r w:rsidRPr="00BC0E7E">
              <w:rPr>
                <w:szCs w:val="20"/>
              </w:rPr>
              <w:t>before injecting.</w:t>
            </w:r>
          </w:p>
          <w:p w14:paraId="5C97461F" w14:textId="77777777" w:rsidR="00B05E81" w:rsidRPr="00BC0E7E" w:rsidRDefault="00B05E81" w:rsidP="00740A74">
            <w:pPr>
              <w:rPr>
                <w:szCs w:val="20"/>
              </w:rPr>
            </w:pPr>
          </w:p>
          <w:p w14:paraId="326A03F4" w14:textId="77777777" w:rsidR="00B05E81" w:rsidRPr="00BC0E7E" w:rsidRDefault="00944B8F" w:rsidP="00D51999">
            <w:pPr>
              <w:numPr>
                <w:ilvl w:val="0"/>
                <w:numId w:val="63"/>
              </w:numPr>
              <w:tabs>
                <w:tab w:val="clear" w:pos="562"/>
                <w:tab w:val="left" w:pos="720"/>
              </w:tabs>
              <w:rPr>
                <w:szCs w:val="20"/>
              </w:rPr>
            </w:pPr>
            <w:r w:rsidRPr="00BC0E7E">
              <w:rPr>
                <w:b/>
                <w:szCs w:val="20"/>
              </w:rPr>
              <w:t>Do not</w:t>
            </w:r>
            <w:r w:rsidRPr="00BC0E7E">
              <w:rPr>
                <w:szCs w:val="20"/>
              </w:rPr>
              <w:t xml:space="preserve"> remove the needle cover while allowing Humira to reach room temperature</w:t>
            </w:r>
          </w:p>
          <w:p w14:paraId="282688AD" w14:textId="77777777" w:rsidR="00B05E81" w:rsidRPr="00BC0E7E" w:rsidRDefault="00944B8F" w:rsidP="00D51999">
            <w:pPr>
              <w:numPr>
                <w:ilvl w:val="0"/>
                <w:numId w:val="63"/>
              </w:numPr>
              <w:tabs>
                <w:tab w:val="clear" w:pos="562"/>
                <w:tab w:val="left" w:pos="720"/>
              </w:tabs>
              <w:rPr>
                <w:szCs w:val="20"/>
              </w:rPr>
            </w:pPr>
            <w:r w:rsidRPr="00BC0E7E">
              <w:rPr>
                <w:b/>
                <w:szCs w:val="20"/>
              </w:rPr>
              <w:t xml:space="preserve">Do not </w:t>
            </w:r>
            <w:r w:rsidRPr="00BC0E7E">
              <w:rPr>
                <w:szCs w:val="20"/>
              </w:rPr>
              <w:t xml:space="preserve">warm Humira in any other way. For example, </w:t>
            </w:r>
            <w:r w:rsidRPr="00BC0E7E">
              <w:rPr>
                <w:b/>
                <w:szCs w:val="20"/>
              </w:rPr>
              <w:t>do not</w:t>
            </w:r>
            <w:r w:rsidRPr="00BC0E7E">
              <w:rPr>
                <w:szCs w:val="20"/>
              </w:rPr>
              <w:t xml:space="preserve"> warm it in a microwave or in hot water</w:t>
            </w:r>
          </w:p>
        </w:tc>
      </w:tr>
      <w:tr w:rsidR="00C6578C" w14:paraId="60016846" w14:textId="77777777" w:rsidTr="00740A74">
        <w:tc>
          <w:tcPr>
            <w:tcW w:w="3708" w:type="dxa"/>
            <w:tcBorders>
              <w:right w:val="nil"/>
            </w:tcBorders>
          </w:tcPr>
          <w:p w14:paraId="25D4BAF4" w14:textId="77777777" w:rsidR="00B05E81" w:rsidRPr="00BC0E7E" w:rsidRDefault="00944B8F" w:rsidP="00740A74">
            <w:pPr>
              <w:rPr>
                <w:b/>
                <w:szCs w:val="20"/>
              </w:rPr>
            </w:pPr>
            <w:r w:rsidRPr="00BC0E7E">
              <w:rPr>
                <w:b/>
                <w:szCs w:val="20"/>
              </w:rPr>
              <w:t xml:space="preserve">STEP 2 </w:t>
            </w:r>
          </w:p>
          <w:p w14:paraId="6D14EE77" w14:textId="77777777" w:rsidR="00B05E81" w:rsidRPr="00BC0E7E" w:rsidRDefault="00944B8F" w:rsidP="009217A8">
            <w:pPr>
              <w:spacing w:before="100" w:beforeAutospacing="1"/>
              <w:rPr>
                <w:b/>
                <w:szCs w:val="20"/>
              </w:rPr>
            </w:pPr>
            <w:r w:rsidRPr="00BC0E7E">
              <w:rPr>
                <w:b/>
                <w:szCs w:val="20"/>
              </w:rPr>
              <w:t xml:space="preserve">           Syringe</w:t>
            </w:r>
          </w:p>
          <w:p w14:paraId="570D448A" w14:textId="77777777" w:rsidR="00B05E81" w:rsidRPr="00BC0E7E" w:rsidRDefault="00944B8F" w:rsidP="00740A74">
            <w:pPr>
              <w:rPr>
                <w:szCs w:val="20"/>
              </w:rPr>
            </w:pPr>
            <w:r>
              <w:rPr>
                <w:noProof/>
                <w:szCs w:val="20"/>
                <w:lang w:val="en-US"/>
              </w:rPr>
              <w:drawing>
                <wp:inline distT="0" distB="0" distL="0" distR="0" wp14:anchorId="0B4D7968" wp14:editId="36374DEB">
                  <wp:extent cx="2139696" cy="1980383"/>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TEP_2_SYRINGE_IFU_SETUP_new grey.jpg"/>
                          <pic:cNvPicPr/>
                        </pic:nvPicPr>
                        <pic:blipFill>
                          <a:blip r:embed="rId27">
                            <a:extLst>
                              <a:ext uri="{28A0092B-C50C-407E-A947-70E740481C1C}">
                                <a14:useLocalDpi xmlns:a14="http://schemas.microsoft.com/office/drawing/2010/main" val="0"/>
                              </a:ext>
                            </a:extLst>
                          </a:blip>
                          <a:stretch>
                            <a:fillRect/>
                          </a:stretch>
                        </pic:blipFill>
                        <pic:spPr>
                          <a:xfrm>
                            <a:off x="0" y="0"/>
                            <a:ext cx="2139696" cy="1980383"/>
                          </a:xfrm>
                          <a:prstGeom prst="rect">
                            <a:avLst/>
                          </a:prstGeom>
                        </pic:spPr>
                      </pic:pic>
                    </a:graphicData>
                  </a:graphic>
                </wp:inline>
              </w:drawing>
            </w:r>
          </w:p>
          <w:p w14:paraId="330B3EF8" w14:textId="77777777" w:rsidR="00B05E81" w:rsidRPr="00BC0E7E" w:rsidRDefault="00944B8F" w:rsidP="009217A8">
            <w:pPr>
              <w:rPr>
                <w:b/>
                <w:szCs w:val="20"/>
              </w:rPr>
            </w:pPr>
            <w:r w:rsidRPr="00BC0E7E">
              <w:rPr>
                <w:b/>
                <w:szCs w:val="20"/>
              </w:rPr>
              <w:t xml:space="preserve">                 Pad</w:t>
            </w:r>
          </w:p>
        </w:tc>
        <w:tc>
          <w:tcPr>
            <w:tcW w:w="5579" w:type="dxa"/>
            <w:tcBorders>
              <w:left w:val="nil"/>
            </w:tcBorders>
          </w:tcPr>
          <w:p w14:paraId="517B8BF5" w14:textId="77777777" w:rsidR="00B05E81" w:rsidRPr="00BC0E7E" w:rsidRDefault="00944B8F" w:rsidP="00740A74">
            <w:pPr>
              <w:rPr>
                <w:szCs w:val="20"/>
              </w:rPr>
            </w:pPr>
            <w:r w:rsidRPr="00BC0E7E">
              <w:rPr>
                <w:szCs w:val="20"/>
              </w:rPr>
              <w:t xml:space="preserve">Check the expiry (EXP) date. </w:t>
            </w:r>
            <w:r w:rsidRPr="00BC0E7E">
              <w:rPr>
                <w:b/>
                <w:szCs w:val="20"/>
              </w:rPr>
              <w:t>Do not</w:t>
            </w:r>
            <w:r w:rsidRPr="00BC0E7E">
              <w:rPr>
                <w:szCs w:val="20"/>
              </w:rPr>
              <w:t xml:space="preserve"> use the pre-filled syringe if expiry (EXP) date has passed.</w:t>
            </w:r>
          </w:p>
          <w:p w14:paraId="0BB50402" w14:textId="77777777" w:rsidR="00B05E81" w:rsidRPr="00BC0E7E" w:rsidRDefault="00B05E81" w:rsidP="00740A74">
            <w:pPr>
              <w:rPr>
                <w:szCs w:val="20"/>
              </w:rPr>
            </w:pPr>
          </w:p>
          <w:p w14:paraId="3A677793" w14:textId="77777777" w:rsidR="00B05E81" w:rsidRPr="00BC0E7E" w:rsidRDefault="00944B8F" w:rsidP="00740A74">
            <w:pPr>
              <w:rPr>
                <w:szCs w:val="20"/>
              </w:rPr>
            </w:pPr>
            <w:r w:rsidRPr="00BC0E7E">
              <w:rPr>
                <w:szCs w:val="20"/>
              </w:rPr>
              <w:t>Place the following on a clean, flat surface</w:t>
            </w:r>
          </w:p>
          <w:p w14:paraId="2E631ABF" w14:textId="77777777" w:rsidR="00B05E81" w:rsidRPr="00BC0E7E" w:rsidRDefault="00B05E81" w:rsidP="00740A74">
            <w:pPr>
              <w:rPr>
                <w:szCs w:val="20"/>
              </w:rPr>
            </w:pPr>
          </w:p>
          <w:p w14:paraId="2B05CAC9" w14:textId="77777777" w:rsidR="00B05E81" w:rsidRPr="00BC0E7E" w:rsidRDefault="00944B8F" w:rsidP="00D51999">
            <w:pPr>
              <w:numPr>
                <w:ilvl w:val="0"/>
                <w:numId w:val="64"/>
              </w:numPr>
              <w:tabs>
                <w:tab w:val="clear" w:pos="562"/>
                <w:tab w:val="left" w:pos="757"/>
              </w:tabs>
              <w:ind w:left="757"/>
              <w:rPr>
                <w:szCs w:val="20"/>
              </w:rPr>
            </w:pPr>
            <w:r w:rsidRPr="00BC0E7E">
              <w:rPr>
                <w:szCs w:val="20"/>
              </w:rPr>
              <w:t xml:space="preserve">1 single-use pre-filled syringe and </w:t>
            </w:r>
          </w:p>
          <w:p w14:paraId="184139BE" w14:textId="77777777" w:rsidR="00B05E81" w:rsidRPr="00BC0E7E" w:rsidRDefault="00944B8F" w:rsidP="00D51999">
            <w:pPr>
              <w:numPr>
                <w:ilvl w:val="0"/>
                <w:numId w:val="64"/>
              </w:numPr>
              <w:tabs>
                <w:tab w:val="clear" w:pos="562"/>
                <w:tab w:val="left" w:pos="757"/>
              </w:tabs>
              <w:ind w:left="757"/>
              <w:rPr>
                <w:szCs w:val="20"/>
              </w:rPr>
            </w:pPr>
            <w:r w:rsidRPr="00BC0E7E">
              <w:rPr>
                <w:szCs w:val="20"/>
              </w:rPr>
              <w:t>1 alcohol pad</w:t>
            </w:r>
          </w:p>
          <w:p w14:paraId="1950F4C2" w14:textId="77777777" w:rsidR="00B05E81" w:rsidRPr="00BC0E7E" w:rsidRDefault="00B05E81" w:rsidP="00740A74">
            <w:pPr>
              <w:rPr>
                <w:szCs w:val="20"/>
              </w:rPr>
            </w:pPr>
          </w:p>
          <w:p w14:paraId="51CA7BEF" w14:textId="77777777" w:rsidR="00B05E81" w:rsidRPr="00BC0E7E" w:rsidRDefault="00944B8F" w:rsidP="00740A74">
            <w:pPr>
              <w:rPr>
                <w:szCs w:val="20"/>
              </w:rPr>
            </w:pPr>
            <w:r w:rsidRPr="00BC0E7E">
              <w:rPr>
                <w:szCs w:val="20"/>
              </w:rPr>
              <w:t>Wash and dry your hands.</w:t>
            </w:r>
          </w:p>
        </w:tc>
      </w:tr>
      <w:tr w:rsidR="00C6578C" w14:paraId="1829C660" w14:textId="77777777" w:rsidTr="00740A74">
        <w:tc>
          <w:tcPr>
            <w:tcW w:w="3708" w:type="dxa"/>
            <w:tcBorders>
              <w:right w:val="nil"/>
            </w:tcBorders>
          </w:tcPr>
          <w:p w14:paraId="310A2736" w14:textId="77777777" w:rsidR="00B05E81" w:rsidRPr="00BC0E7E" w:rsidRDefault="00944B8F" w:rsidP="009217A8">
            <w:pPr>
              <w:keepNext/>
              <w:rPr>
                <w:b/>
                <w:szCs w:val="20"/>
              </w:rPr>
            </w:pPr>
            <w:r w:rsidRPr="00BC0E7E">
              <w:rPr>
                <w:b/>
                <w:szCs w:val="20"/>
              </w:rPr>
              <w:lastRenderedPageBreak/>
              <w:t>STEP 3</w:t>
            </w:r>
          </w:p>
          <w:p w14:paraId="6D8F1E07" w14:textId="77777777" w:rsidR="00B05E81" w:rsidRPr="00E36CD0" w:rsidRDefault="00B05E81" w:rsidP="002D6D00">
            <w:pPr>
              <w:keepNext/>
              <w:rPr>
                <w:szCs w:val="20"/>
              </w:rPr>
            </w:pPr>
          </w:p>
          <w:p w14:paraId="267FE376" w14:textId="77777777" w:rsidR="00B05E81" w:rsidRPr="00BC0E7E" w:rsidRDefault="00944B8F" w:rsidP="00F0684C">
            <w:pPr>
              <w:keepNext/>
              <w:rPr>
                <w:b/>
                <w:szCs w:val="20"/>
              </w:rPr>
            </w:pPr>
            <w:r w:rsidRPr="00BC0E7E">
              <w:rPr>
                <w:b/>
                <w:szCs w:val="20"/>
              </w:rPr>
              <w:t>Injectable Areas</w:t>
            </w:r>
          </w:p>
          <w:p w14:paraId="1345F585" w14:textId="77777777" w:rsidR="00B05E81" w:rsidRPr="00BC0E7E" w:rsidRDefault="00944B8F" w:rsidP="00F0684C">
            <w:pPr>
              <w:keepNext/>
              <w:rPr>
                <w:szCs w:val="20"/>
              </w:rPr>
            </w:pPr>
            <w:r w:rsidRPr="0034274C">
              <w:rPr>
                <w:noProof/>
                <w:szCs w:val="20"/>
                <w:lang w:val="en-US"/>
              </w:rPr>
              <w:drawing>
                <wp:inline distT="0" distB="0" distL="0" distR="0" wp14:anchorId="02B500A0" wp14:editId="74E59BD7">
                  <wp:extent cx="2273935" cy="2385695"/>
                  <wp:effectExtent l="0" t="0" r="0" b="0"/>
                  <wp:docPr id="86" name="Picture 86"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7" descr="STEP3_grey"/>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273935" cy="2385695"/>
                          </a:xfrm>
                          <a:prstGeom prst="rect">
                            <a:avLst/>
                          </a:prstGeom>
                          <a:noFill/>
                          <a:ln>
                            <a:noFill/>
                          </a:ln>
                        </pic:spPr>
                      </pic:pic>
                    </a:graphicData>
                  </a:graphic>
                </wp:inline>
              </w:drawing>
            </w:r>
          </w:p>
          <w:p w14:paraId="7DE8A603" w14:textId="77777777" w:rsidR="00B05E81" w:rsidRPr="00BC0E7E" w:rsidRDefault="00944B8F" w:rsidP="00F0684C">
            <w:pPr>
              <w:keepNext/>
              <w:rPr>
                <w:b/>
                <w:szCs w:val="20"/>
              </w:rPr>
            </w:pPr>
            <w:r w:rsidRPr="00BC0E7E">
              <w:rPr>
                <w:szCs w:val="20"/>
              </w:rPr>
              <w:t xml:space="preserve">     </w:t>
            </w:r>
            <w:r w:rsidRPr="00BC0E7E">
              <w:rPr>
                <w:b/>
                <w:szCs w:val="20"/>
              </w:rPr>
              <w:t>Injectable Areas</w:t>
            </w:r>
          </w:p>
        </w:tc>
        <w:tc>
          <w:tcPr>
            <w:tcW w:w="5579" w:type="dxa"/>
            <w:tcBorders>
              <w:left w:val="nil"/>
            </w:tcBorders>
          </w:tcPr>
          <w:p w14:paraId="6135B1DB" w14:textId="77777777" w:rsidR="00B05E81" w:rsidRPr="00BC0E7E" w:rsidRDefault="00944B8F" w:rsidP="00F0684C">
            <w:pPr>
              <w:keepNext/>
              <w:rPr>
                <w:szCs w:val="20"/>
              </w:rPr>
            </w:pPr>
            <w:r w:rsidRPr="00BC0E7E">
              <w:rPr>
                <w:szCs w:val="20"/>
              </w:rPr>
              <w:t>Choose an injection site:</w:t>
            </w:r>
          </w:p>
          <w:p w14:paraId="63F506A2" w14:textId="77777777" w:rsidR="00B05E81" w:rsidRPr="00BC0E7E" w:rsidRDefault="00B05E81" w:rsidP="009217A8">
            <w:pPr>
              <w:keepNext/>
              <w:rPr>
                <w:szCs w:val="20"/>
              </w:rPr>
            </w:pPr>
          </w:p>
          <w:p w14:paraId="4A0C5A28" w14:textId="77777777" w:rsidR="00B05E81" w:rsidRPr="00BC0E7E" w:rsidRDefault="00944B8F" w:rsidP="002D6D00">
            <w:pPr>
              <w:keepNext/>
              <w:numPr>
                <w:ilvl w:val="0"/>
                <w:numId w:val="65"/>
              </w:numPr>
              <w:tabs>
                <w:tab w:val="clear" w:pos="562"/>
                <w:tab w:val="left" w:pos="757"/>
              </w:tabs>
              <w:ind w:left="757"/>
              <w:rPr>
                <w:szCs w:val="20"/>
              </w:rPr>
            </w:pPr>
            <w:r w:rsidRPr="00BC0E7E">
              <w:rPr>
                <w:szCs w:val="20"/>
              </w:rPr>
              <w:t>On the front of your thighs or</w:t>
            </w:r>
          </w:p>
          <w:p w14:paraId="56EB7A2F" w14:textId="77777777" w:rsidR="00B05E81" w:rsidRPr="00BC0E7E" w:rsidRDefault="00944B8F" w:rsidP="00F0684C">
            <w:pPr>
              <w:keepNext/>
              <w:numPr>
                <w:ilvl w:val="0"/>
                <w:numId w:val="65"/>
              </w:numPr>
              <w:tabs>
                <w:tab w:val="clear" w:pos="562"/>
                <w:tab w:val="left" w:pos="757"/>
              </w:tabs>
              <w:ind w:left="757"/>
              <w:rPr>
                <w:szCs w:val="20"/>
              </w:rPr>
            </w:pPr>
            <w:r w:rsidRPr="00BC0E7E">
              <w:rPr>
                <w:szCs w:val="20"/>
              </w:rPr>
              <w:t>Your belly (abdomen) at least 5 cm from your belly button (navel)</w:t>
            </w:r>
          </w:p>
          <w:p w14:paraId="22BB4C1F" w14:textId="77777777" w:rsidR="00B05E81" w:rsidRPr="00BC0E7E" w:rsidRDefault="00944B8F" w:rsidP="00F0684C">
            <w:pPr>
              <w:keepNext/>
              <w:numPr>
                <w:ilvl w:val="0"/>
                <w:numId w:val="65"/>
              </w:numPr>
              <w:tabs>
                <w:tab w:val="clear" w:pos="562"/>
                <w:tab w:val="left" w:pos="757"/>
              </w:tabs>
              <w:ind w:left="757"/>
              <w:rPr>
                <w:szCs w:val="20"/>
              </w:rPr>
            </w:pPr>
            <w:r w:rsidRPr="00BC0E7E">
              <w:rPr>
                <w:szCs w:val="20"/>
              </w:rPr>
              <w:t>At least 3 cm from your last injection site</w:t>
            </w:r>
          </w:p>
          <w:p w14:paraId="0663FC16" w14:textId="77777777" w:rsidR="00B05E81" w:rsidRPr="00BC0E7E" w:rsidRDefault="00B05E81" w:rsidP="009217A8">
            <w:pPr>
              <w:keepNext/>
              <w:rPr>
                <w:szCs w:val="20"/>
              </w:rPr>
            </w:pPr>
          </w:p>
          <w:p w14:paraId="44CA7BA8" w14:textId="77777777" w:rsidR="00B05E81" w:rsidRPr="00BC0E7E" w:rsidRDefault="00944B8F" w:rsidP="002D6D00">
            <w:pPr>
              <w:keepNext/>
              <w:rPr>
                <w:szCs w:val="20"/>
              </w:rPr>
            </w:pPr>
            <w:r w:rsidRPr="00BC0E7E">
              <w:rPr>
                <w:szCs w:val="20"/>
              </w:rPr>
              <w:t>Wipe the injection site in a circular motion with the alcohol pad.</w:t>
            </w:r>
          </w:p>
          <w:p w14:paraId="26F6C78E" w14:textId="77777777" w:rsidR="00B05E81" w:rsidRPr="00BC0E7E" w:rsidRDefault="00B05E81" w:rsidP="009217A8">
            <w:pPr>
              <w:keepNext/>
              <w:rPr>
                <w:szCs w:val="20"/>
              </w:rPr>
            </w:pPr>
          </w:p>
          <w:p w14:paraId="64525F29" w14:textId="77777777" w:rsidR="00B05E81" w:rsidRPr="00BC0E7E" w:rsidRDefault="00944B8F" w:rsidP="002D6D00">
            <w:pPr>
              <w:keepNext/>
              <w:numPr>
                <w:ilvl w:val="0"/>
                <w:numId w:val="66"/>
              </w:numPr>
              <w:tabs>
                <w:tab w:val="clear" w:pos="562"/>
                <w:tab w:val="left" w:pos="757"/>
              </w:tabs>
              <w:ind w:left="757"/>
              <w:rPr>
                <w:szCs w:val="20"/>
              </w:rPr>
            </w:pPr>
            <w:r w:rsidRPr="00BC0E7E">
              <w:rPr>
                <w:b/>
                <w:szCs w:val="20"/>
              </w:rPr>
              <w:t>Do not</w:t>
            </w:r>
            <w:r w:rsidRPr="00BC0E7E">
              <w:rPr>
                <w:szCs w:val="20"/>
              </w:rPr>
              <w:t xml:space="preserve"> inject through clothes</w:t>
            </w:r>
          </w:p>
          <w:p w14:paraId="47199A29" w14:textId="77777777" w:rsidR="00B05E81" w:rsidRPr="00BC0E7E" w:rsidRDefault="00944B8F" w:rsidP="00F0684C">
            <w:pPr>
              <w:keepNext/>
              <w:numPr>
                <w:ilvl w:val="0"/>
                <w:numId w:val="66"/>
              </w:numPr>
              <w:tabs>
                <w:tab w:val="clear" w:pos="562"/>
                <w:tab w:val="left" w:pos="757"/>
              </w:tabs>
              <w:ind w:left="757"/>
              <w:rPr>
                <w:szCs w:val="20"/>
              </w:rPr>
            </w:pPr>
            <w:r w:rsidRPr="00BC0E7E">
              <w:rPr>
                <w:b/>
                <w:szCs w:val="20"/>
              </w:rPr>
              <w:t xml:space="preserve">Do not </w:t>
            </w:r>
            <w:r w:rsidRPr="00BC0E7E">
              <w:rPr>
                <w:szCs w:val="20"/>
              </w:rPr>
              <w:t>inject into skin that is sore, bruised, red, hard, scarred, has stretch marks, or areas with psoriasis plaques</w:t>
            </w:r>
          </w:p>
          <w:p w14:paraId="3C3BF0CF" w14:textId="77777777" w:rsidR="00B05E81" w:rsidRPr="00BC0E7E" w:rsidRDefault="00B05E81" w:rsidP="00F0684C">
            <w:pPr>
              <w:keepNext/>
              <w:rPr>
                <w:szCs w:val="20"/>
              </w:rPr>
            </w:pPr>
          </w:p>
          <w:p w14:paraId="62920DD6" w14:textId="77777777" w:rsidR="00B05E81" w:rsidRPr="00BC0E7E" w:rsidRDefault="00B05E81" w:rsidP="00F0684C">
            <w:pPr>
              <w:keepNext/>
              <w:tabs>
                <w:tab w:val="clear" w:pos="562"/>
                <w:tab w:val="left" w:pos="757"/>
              </w:tabs>
              <w:ind w:left="757"/>
              <w:rPr>
                <w:szCs w:val="20"/>
              </w:rPr>
            </w:pPr>
          </w:p>
        </w:tc>
      </w:tr>
      <w:tr w:rsidR="00C6578C" w14:paraId="4A8E5F0F" w14:textId="77777777" w:rsidTr="00740A74">
        <w:tc>
          <w:tcPr>
            <w:tcW w:w="3708" w:type="dxa"/>
            <w:tcBorders>
              <w:right w:val="nil"/>
            </w:tcBorders>
          </w:tcPr>
          <w:p w14:paraId="15AC1F7A" w14:textId="77777777" w:rsidR="00B05E81" w:rsidRPr="00BC0E7E" w:rsidRDefault="00944B8F" w:rsidP="00740A74">
            <w:pPr>
              <w:keepNext/>
              <w:rPr>
                <w:b/>
                <w:szCs w:val="20"/>
              </w:rPr>
            </w:pPr>
            <w:r w:rsidRPr="00BC0E7E">
              <w:rPr>
                <w:b/>
                <w:szCs w:val="20"/>
              </w:rPr>
              <w:t>STEP 4</w:t>
            </w:r>
          </w:p>
          <w:p w14:paraId="0740538E" w14:textId="77777777" w:rsidR="00B05E81" w:rsidRPr="00BC0E7E" w:rsidRDefault="00944B8F" w:rsidP="00740A74">
            <w:pPr>
              <w:keepNext/>
              <w:spacing w:before="100" w:beforeAutospacing="1" w:after="100" w:afterAutospacing="1"/>
              <w:rPr>
                <w:b/>
                <w:szCs w:val="20"/>
              </w:rPr>
            </w:pPr>
            <w:r>
              <w:rPr>
                <w:b/>
                <w:noProof/>
                <w:szCs w:val="20"/>
                <w:lang w:val="en-US"/>
              </w:rPr>
              <w:drawing>
                <wp:inline distT="0" distB="0" distL="0" distR="0" wp14:anchorId="27987D46" wp14:editId="200A9BB5">
                  <wp:extent cx="2011855" cy="1563624"/>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TEP_4_SYRINGE_IFU_UNCAP_new grey.jpg"/>
                          <pic:cNvPicPr/>
                        </pic:nvPicPr>
                        <pic:blipFill>
                          <a:blip r:embed="rId29">
                            <a:extLst>
                              <a:ext uri="{28A0092B-C50C-407E-A947-70E740481C1C}">
                                <a14:useLocalDpi xmlns:a14="http://schemas.microsoft.com/office/drawing/2010/main" val="0"/>
                              </a:ext>
                            </a:extLst>
                          </a:blip>
                          <a:stretch>
                            <a:fillRect/>
                          </a:stretch>
                        </pic:blipFill>
                        <pic:spPr>
                          <a:xfrm>
                            <a:off x="0" y="0"/>
                            <a:ext cx="2011855" cy="1563624"/>
                          </a:xfrm>
                          <a:prstGeom prst="rect">
                            <a:avLst/>
                          </a:prstGeom>
                        </pic:spPr>
                      </pic:pic>
                    </a:graphicData>
                  </a:graphic>
                </wp:inline>
              </w:drawing>
            </w:r>
          </w:p>
        </w:tc>
        <w:tc>
          <w:tcPr>
            <w:tcW w:w="5579" w:type="dxa"/>
            <w:tcBorders>
              <w:left w:val="nil"/>
            </w:tcBorders>
          </w:tcPr>
          <w:p w14:paraId="49D225F5" w14:textId="77777777" w:rsidR="00B05E81" w:rsidRPr="00BC0E7E" w:rsidRDefault="00944B8F" w:rsidP="00740A74">
            <w:pPr>
              <w:keepNext/>
              <w:rPr>
                <w:szCs w:val="20"/>
              </w:rPr>
            </w:pPr>
            <w:r w:rsidRPr="00BC0E7E">
              <w:rPr>
                <w:szCs w:val="20"/>
              </w:rPr>
              <w:t>Hold the pre-filled syringe in one hand.</w:t>
            </w:r>
          </w:p>
          <w:p w14:paraId="1E070AC3" w14:textId="77777777" w:rsidR="00B05E81" w:rsidRPr="00BC0E7E" w:rsidRDefault="00B05E81" w:rsidP="00740A74">
            <w:pPr>
              <w:keepNext/>
              <w:rPr>
                <w:szCs w:val="20"/>
              </w:rPr>
            </w:pPr>
          </w:p>
          <w:p w14:paraId="0F349DC1" w14:textId="77777777" w:rsidR="00B05E81" w:rsidRPr="00BC0E7E" w:rsidRDefault="00944B8F" w:rsidP="00740A74">
            <w:pPr>
              <w:keepNext/>
              <w:rPr>
                <w:szCs w:val="20"/>
              </w:rPr>
            </w:pPr>
            <w:r w:rsidRPr="00BC0E7E">
              <w:rPr>
                <w:szCs w:val="20"/>
              </w:rPr>
              <w:t>Check the liquid in the pre-filled syringe.</w:t>
            </w:r>
          </w:p>
          <w:p w14:paraId="7094B074" w14:textId="77777777" w:rsidR="00B05E81" w:rsidRPr="00BC0E7E" w:rsidRDefault="00B05E81" w:rsidP="00740A74">
            <w:pPr>
              <w:keepNext/>
              <w:rPr>
                <w:szCs w:val="20"/>
              </w:rPr>
            </w:pPr>
          </w:p>
          <w:p w14:paraId="13424CF3" w14:textId="77777777" w:rsidR="00B05E81" w:rsidRPr="00BC0E7E" w:rsidRDefault="00944B8F" w:rsidP="00D51999">
            <w:pPr>
              <w:keepNext/>
              <w:numPr>
                <w:ilvl w:val="0"/>
                <w:numId w:val="67"/>
              </w:numPr>
              <w:tabs>
                <w:tab w:val="clear" w:pos="562"/>
                <w:tab w:val="left" w:pos="792"/>
                <w:tab w:val="left" w:pos="1647"/>
              </w:tabs>
              <w:ind w:left="792"/>
              <w:rPr>
                <w:szCs w:val="20"/>
              </w:rPr>
            </w:pPr>
            <w:r w:rsidRPr="00BC0E7E">
              <w:rPr>
                <w:szCs w:val="20"/>
              </w:rPr>
              <w:t>Make sure the liquid is clear and colourless</w:t>
            </w:r>
          </w:p>
          <w:p w14:paraId="718ED506" w14:textId="77777777" w:rsidR="00B05E81" w:rsidRPr="00BC0E7E" w:rsidRDefault="00944B8F" w:rsidP="00D51999">
            <w:pPr>
              <w:keepNext/>
              <w:numPr>
                <w:ilvl w:val="0"/>
                <w:numId w:val="67"/>
              </w:numPr>
              <w:tabs>
                <w:tab w:val="clear" w:pos="562"/>
                <w:tab w:val="left" w:pos="792"/>
                <w:tab w:val="left" w:pos="1647"/>
              </w:tabs>
              <w:ind w:left="792"/>
              <w:rPr>
                <w:szCs w:val="20"/>
              </w:rPr>
            </w:pPr>
            <w:r w:rsidRPr="00BC0E7E">
              <w:rPr>
                <w:b/>
                <w:szCs w:val="20"/>
              </w:rPr>
              <w:t>Do not</w:t>
            </w:r>
            <w:r w:rsidRPr="00BC0E7E">
              <w:rPr>
                <w:szCs w:val="20"/>
              </w:rPr>
              <w:t xml:space="preserve"> use the pre-filled syringe if the liquid is cloudy or has particles</w:t>
            </w:r>
          </w:p>
          <w:p w14:paraId="0F8F43B7" w14:textId="77777777" w:rsidR="00B05E81" w:rsidRPr="00BC0E7E" w:rsidRDefault="00944B8F" w:rsidP="00D51999">
            <w:pPr>
              <w:keepNext/>
              <w:numPr>
                <w:ilvl w:val="0"/>
                <w:numId w:val="67"/>
              </w:numPr>
              <w:tabs>
                <w:tab w:val="clear" w:pos="562"/>
                <w:tab w:val="left" w:pos="792"/>
                <w:tab w:val="left" w:pos="1647"/>
              </w:tabs>
              <w:ind w:left="792"/>
              <w:rPr>
                <w:szCs w:val="20"/>
              </w:rPr>
            </w:pPr>
            <w:r w:rsidRPr="00BC0E7E">
              <w:rPr>
                <w:b/>
                <w:szCs w:val="20"/>
              </w:rPr>
              <w:t xml:space="preserve">Do not </w:t>
            </w:r>
            <w:r w:rsidRPr="00BC0E7E">
              <w:rPr>
                <w:szCs w:val="20"/>
              </w:rPr>
              <w:t>use the pre-filled syringe if it has been dropped or crushed</w:t>
            </w:r>
          </w:p>
          <w:p w14:paraId="062572C4" w14:textId="77777777" w:rsidR="00B05E81" w:rsidRPr="00BC0E7E" w:rsidRDefault="00B05E81" w:rsidP="00740A74">
            <w:pPr>
              <w:keepNext/>
              <w:tabs>
                <w:tab w:val="clear" w:pos="562"/>
                <w:tab w:val="left" w:pos="792"/>
                <w:tab w:val="left" w:pos="1647"/>
              </w:tabs>
              <w:ind w:left="792"/>
              <w:rPr>
                <w:szCs w:val="20"/>
              </w:rPr>
            </w:pPr>
          </w:p>
          <w:p w14:paraId="65B06DEB" w14:textId="77777777" w:rsidR="00B05E81" w:rsidRPr="00BC0E7E" w:rsidRDefault="00944B8F" w:rsidP="00740A74">
            <w:pPr>
              <w:keepNext/>
              <w:rPr>
                <w:szCs w:val="20"/>
              </w:rPr>
            </w:pPr>
            <w:r w:rsidRPr="00BC0E7E">
              <w:rPr>
                <w:szCs w:val="20"/>
              </w:rPr>
              <w:t>Gently pull the needle cover straight off with the other hand. Throw the needle cover away. Do not recap.</w:t>
            </w:r>
          </w:p>
          <w:p w14:paraId="3C75AA5C" w14:textId="77777777" w:rsidR="00B05E81" w:rsidRPr="00BC0E7E" w:rsidRDefault="00B05E81" w:rsidP="00740A74">
            <w:pPr>
              <w:keepNext/>
              <w:rPr>
                <w:szCs w:val="20"/>
              </w:rPr>
            </w:pPr>
          </w:p>
          <w:p w14:paraId="09156B09" w14:textId="77777777" w:rsidR="00B05E81" w:rsidRPr="00BC0E7E" w:rsidRDefault="00944B8F" w:rsidP="00D51999">
            <w:pPr>
              <w:keepNext/>
              <w:numPr>
                <w:ilvl w:val="0"/>
                <w:numId w:val="82"/>
              </w:numPr>
              <w:tabs>
                <w:tab w:val="clear" w:pos="562"/>
                <w:tab w:val="left" w:pos="792"/>
              </w:tabs>
              <w:ind w:left="792"/>
              <w:contextualSpacing/>
            </w:pPr>
            <w:r w:rsidRPr="00BC0E7E">
              <w:rPr>
                <w:b/>
              </w:rPr>
              <w:t>Do not</w:t>
            </w:r>
            <w:r w:rsidRPr="00BC0E7E">
              <w:t xml:space="preserve"> touch the needle with your fingers or let the needle touch anything</w:t>
            </w:r>
          </w:p>
          <w:p w14:paraId="15B7E30E" w14:textId="77777777" w:rsidR="00B05E81" w:rsidRPr="00BC0E7E" w:rsidRDefault="00B05E81" w:rsidP="00740A74">
            <w:pPr>
              <w:keepNext/>
              <w:tabs>
                <w:tab w:val="clear" w:pos="562"/>
                <w:tab w:val="left" w:pos="792"/>
              </w:tabs>
              <w:contextualSpacing/>
            </w:pPr>
          </w:p>
        </w:tc>
      </w:tr>
      <w:tr w:rsidR="00C6578C" w14:paraId="34FEDD82" w14:textId="77777777" w:rsidTr="00740A74">
        <w:tc>
          <w:tcPr>
            <w:tcW w:w="3708" w:type="dxa"/>
            <w:tcBorders>
              <w:right w:val="nil"/>
            </w:tcBorders>
          </w:tcPr>
          <w:p w14:paraId="52E1AD85" w14:textId="77777777" w:rsidR="00B05E81" w:rsidRPr="00BC0E7E" w:rsidRDefault="00944B8F" w:rsidP="00740A74">
            <w:pPr>
              <w:rPr>
                <w:b/>
                <w:szCs w:val="20"/>
              </w:rPr>
            </w:pPr>
            <w:r w:rsidRPr="00BC0E7E">
              <w:rPr>
                <w:b/>
                <w:szCs w:val="20"/>
              </w:rPr>
              <w:t>STEP 5</w:t>
            </w:r>
          </w:p>
          <w:p w14:paraId="36CAB6D0" w14:textId="77777777" w:rsidR="00B05E81" w:rsidRPr="00BC0E7E" w:rsidRDefault="00944B8F" w:rsidP="00740A74">
            <w:pPr>
              <w:rPr>
                <w:szCs w:val="20"/>
              </w:rPr>
            </w:pPr>
            <w:r w:rsidRPr="0034274C">
              <w:rPr>
                <w:noProof/>
                <w:szCs w:val="20"/>
                <w:lang w:val="en-US"/>
              </w:rPr>
              <w:drawing>
                <wp:inline distT="0" distB="0" distL="0" distR="0" wp14:anchorId="520427D9" wp14:editId="04799969">
                  <wp:extent cx="1987550" cy="1971675"/>
                  <wp:effectExtent l="0" t="0" r="0" b="9525"/>
                  <wp:docPr id="88" name="Picture 88"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9" descr="STEP_5_SYRINGE_IFU_FILLING_grey"/>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987550" cy="1971675"/>
                          </a:xfrm>
                          <a:prstGeom prst="rect">
                            <a:avLst/>
                          </a:prstGeom>
                          <a:noFill/>
                          <a:ln>
                            <a:noFill/>
                          </a:ln>
                        </pic:spPr>
                      </pic:pic>
                    </a:graphicData>
                  </a:graphic>
                </wp:inline>
              </w:drawing>
            </w:r>
          </w:p>
        </w:tc>
        <w:tc>
          <w:tcPr>
            <w:tcW w:w="5579" w:type="dxa"/>
            <w:tcBorders>
              <w:left w:val="nil"/>
            </w:tcBorders>
          </w:tcPr>
          <w:p w14:paraId="19D407D5" w14:textId="77777777" w:rsidR="00B05E81" w:rsidRPr="00BC0E7E" w:rsidRDefault="00944B8F" w:rsidP="00740A74">
            <w:pPr>
              <w:tabs>
                <w:tab w:val="clear" w:pos="562"/>
                <w:tab w:val="left" w:pos="0"/>
              </w:tabs>
              <w:rPr>
                <w:szCs w:val="22"/>
              </w:rPr>
            </w:pPr>
            <w:r w:rsidRPr="00BC0E7E">
              <w:rPr>
                <w:szCs w:val="20"/>
              </w:rPr>
              <w:t xml:space="preserve">Hold the pre-filled syringe with the needle </w:t>
            </w:r>
            <w:r w:rsidRPr="00BC0E7E">
              <w:rPr>
                <w:szCs w:val="22"/>
              </w:rPr>
              <w:t>facing up.</w:t>
            </w:r>
          </w:p>
          <w:p w14:paraId="763D27AE" w14:textId="77777777" w:rsidR="00B05E81" w:rsidRPr="00BC0E7E" w:rsidRDefault="00B05E81" w:rsidP="00740A74">
            <w:pPr>
              <w:tabs>
                <w:tab w:val="clear" w:pos="562"/>
                <w:tab w:val="left" w:pos="0"/>
              </w:tabs>
              <w:rPr>
                <w:szCs w:val="22"/>
              </w:rPr>
            </w:pPr>
          </w:p>
          <w:p w14:paraId="23282BFC" w14:textId="77777777" w:rsidR="00B05E81" w:rsidRPr="00BC0E7E" w:rsidRDefault="00944B8F" w:rsidP="00740A74">
            <w:pPr>
              <w:numPr>
                <w:ilvl w:val="0"/>
                <w:numId w:val="13"/>
              </w:numPr>
              <w:tabs>
                <w:tab w:val="clear" w:pos="562"/>
                <w:tab w:val="clear" w:pos="690"/>
                <w:tab w:val="num" w:pos="792"/>
              </w:tabs>
              <w:ind w:left="792"/>
              <w:rPr>
                <w:szCs w:val="20"/>
              </w:rPr>
            </w:pPr>
            <w:r w:rsidRPr="00BC0E7E">
              <w:rPr>
                <w:szCs w:val="20"/>
              </w:rPr>
              <w:t>Hold the pre-filled syringe at eye level with one hand so you can see the air in the pre-filled syringe</w:t>
            </w:r>
          </w:p>
          <w:p w14:paraId="572C1A11" w14:textId="77777777" w:rsidR="00B05E81" w:rsidRPr="00BC0E7E" w:rsidRDefault="00B05E81" w:rsidP="00740A74">
            <w:pPr>
              <w:rPr>
                <w:szCs w:val="20"/>
              </w:rPr>
            </w:pPr>
          </w:p>
          <w:p w14:paraId="51F0EEDE" w14:textId="77777777" w:rsidR="00B05E81" w:rsidRPr="00BC0E7E" w:rsidRDefault="00944B8F" w:rsidP="00740A74">
            <w:pPr>
              <w:rPr>
                <w:szCs w:val="22"/>
              </w:rPr>
            </w:pPr>
            <w:r w:rsidRPr="00BC0E7E">
              <w:rPr>
                <w:szCs w:val="22"/>
              </w:rPr>
              <w:t xml:space="preserve">Slowly push the plunger in to push the air out through the needle. </w:t>
            </w:r>
          </w:p>
          <w:p w14:paraId="23089BAF" w14:textId="77777777" w:rsidR="00B05E81" w:rsidRPr="00BC0E7E" w:rsidRDefault="00B05E81" w:rsidP="00740A74">
            <w:pPr>
              <w:rPr>
                <w:szCs w:val="22"/>
              </w:rPr>
            </w:pPr>
          </w:p>
          <w:p w14:paraId="1C4944AB" w14:textId="77777777" w:rsidR="00B05E81" w:rsidRPr="00BC0E7E" w:rsidRDefault="00944B8F" w:rsidP="00740A74">
            <w:pPr>
              <w:numPr>
                <w:ilvl w:val="0"/>
                <w:numId w:val="13"/>
              </w:numPr>
              <w:tabs>
                <w:tab w:val="clear" w:pos="562"/>
                <w:tab w:val="clear" w:pos="690"/>
                <w:tab w:val="num" w:pos="792"/>
              </w:tabs>
              <w:ind w:left="792"/>
              <w:rPr>
                <w:szCs w:val="20"/>
              </w:rPr>
            </w:pPr>
            <w:r w:rsidRPr="00BC0E7E">
              <w:rPr>
                <w:szCs w:val="20"/>
              </w:rPr>
              <w:t>It is normal to see a drop of liquid at the end of the needle</w:t>
            </w:r>
          </w:p>
          <w:p w14:paraId="41DC2186" w14:textId="77777777" w:rsidR="00B05E81" w:rsidRPr="00BC0E7E" w:rsidRDefault="00B05E81" w:rsidP="00740A74">
            <w:pPr>
              <w:rPr>
                <w:szCs w:val="20"/>
              </w:rPr>
            </w:pPr>
          </w:p>
        </w:tc>
      </w:tr>
      <w:tr w:rsidR="00C6578C" w14:paraId="189439B3" w14:textId="77777777" w:rsidTr="00740A74">
        <w:tc>
          <w:tcPr>
            <w:tcW w:w="3708" w:type="dxa"/>
            <w:tcBorders>
              <w:right w:val="nil"/>
            </w:tcBorders>
          </w:tcPr>
          <w:p w14:paraId="3084972C" w14:textId="77777777" w:rsidR="00B05E81" w:rsidRPr="00BC0E7E" w:rsidRDefault="00944B8F" w:rsidP="00740A74">
            <w:pPr>
              <w:keepNext/>
              <w:rPr>
                <w:b/>
                <w:szCs w:val="20"/>
              </w:rPr>
            </w:pPr>
            <w:r w:rsidRPr="00BC0E7E">
              <w:lastRenderedPageBreak/>
              <w:br w:type="page"/>
            </w:r>
            <w:r w:rsidRPr="00BC0E7E">
              <w:rPr>
                <w:b/>
                <w:szCs w:val="20"/>
              </w:rPr>
              <w:t>STEP 6</w:t>
            </w:r>
          </w:p>
          <w:p w14:paraId="69A84FBE" w14:textId="77777777" w:rsidR="00B05E81" w:rsidRPr="00BC0E7E" w:rsidRDefault="00944B8F" w:rsidP="00740A74">
            <w:pPr>
              <w:keepNext/>
              <w:spacing w:before="100" w:beforeAutospacing="1" w:after="100" w:afterAutospacing="1"/>
              <w:rPr>
                <w:b/>
                <w:szCs w:val="20"/>
              </w:rPr>
            </w:pPr>
            <w:r w:rsidRPr="0034274C">
              <w:rPr>
                <w:noProof/>
                <w:szCs w:val="20"/>
                <w:lang w:val="en-US"/>
              </w:rPr>
              <w:drawing>
                <wp:inline distT="0" distB="0" distL="0" distR="0" wp14:anchorId="47FF01FF" wp14:editId="1CFC7DF6">
                  <wp:extent cx="2250440" cy="2138680"/>
                  <wp:effectExtent l="0" t="0" r="0" b="0"/>
                  <wp:docPr id="89" name="Picture 89"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90" descr="STEP_6_SYRINGE_IFU_PRE-INJECTION_grey"/>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2250440" cy="2138680"/>
                          </a:xfrm>
                          <a:prstGeom prst="rect">
                            <a:avLst/>
                          </a:prstGeom>
                          <a:noFill/>
                          <a:ln>
                            <a:noFill/>
                          </a:ln>
                        </pic:spPr>
                      </pic:pic>
                    </a:graphicData>
                  </a:graphic>
                </wp:inline>
              </w:drawing>
            </w:r>
          </w:p>
        </w:tc>
        <w:tc>
          <w:tcPr>
            <w:tcW w:w="5579" w:type="dxa"/>
            <w:tcBorders>
              <w:left w:val="nil"/>
            </w:tcBorders>
          </w:tcPr>
          <w:p w14:paraId="79082747" w14:textId="77777777" w:rsidR="00B05E81" w:rsidRPr="00BC0E7E" w:rsidRDefault="00944B8F" w:rsidP="00740A74">
            <w:pPr>
              <w:keepNext/>
              <w:rPr>
                <w:szCs w:val="22"/>
              </w:rPr>
            </w:pPr>
            <w:r w:rsidRPr="00BC0E7E">
              <w:rPr>
                <w:szCs w:val="22"/>
              </w:rPr>
              <w:t>Hold the body of the pre-filled syringe in one hand between the thumb and index fingers, like you would a pencil.</w:t>
            </w:r>
          </w:p>
          <w:p w14:paraId="48D7C747" w14:textId="77777777" w:rsidR="00B05E81" w:rsidRPr="00BC0E7E" w:rsidRDefault="00B05E81" w:rsidP="00740A74">
            <w:pPr>
              <w:keepNext/>
              <w:rPr>
                <w:szCs w:val="22"/>
              </w:rPr>
            </w:pPr>
          </w:p>
          <w:p w14:paraId="1904CBA2" w14:textId="77777777" w:rsidR="00B05E81" w:rsidRPr="00BC0E7E" w:rsidRDefault="00944B8F" w:rsidP="00740A74">
            <w:pPr>
              <w:keepNext/>
              <w:rPr>
                <w:szCs w:val="22"/>
              </w:rPr>
            </w:pPr>
            <w:r w:rsidRPr="00BC0E7E">
              <w:rPr>
                <w:szCs w:val="22"/>
              </w:rPr>
              <w:t>Squeeze the skin at your injection site with your other hand to make a raised area and hold it firmly.</w:t>
            </w:r>
          </w:p>
          <w:p w14:paraId="6804BB59" w14:textId="77777777" w:rsidR="00B05E81" w:rsidRPr="00BC0E7E" w:rsidRDefault="00B05E81" w:rsidP="00740A74">
            <w:pPr>
              <w:keepNext/>
              <w:spacing w:before="100" w:beforeAutospacing="1" w:after="100" w:afterAutospacing="1"/>
            </w:pPr>
          </w:p>
        </w:tc>
      </w:tr>
      <w:tr w:rsidR="00C6578C" w14:paraId="3AC86D75" w14:textId="77777777" w:rsidTr="00740A74">
        <w:tc>
          <w:tcPr>
            <w:tcW w:w="3708" w:type="dxa"/>
            <w:tcBorders>
              <w:right w:val="nil"/>
            </w:tcBorders>
          </w:tcPr>
          <w:p w14:paraId="09763EE1" w14:textId="77777777" w:rsidR="00B05E81" w:rsidRPr="00BC0E7E" w:rsidRDefault="00944B8F" w:rsidP="00740A74">
            <w:pPr>
              <w:keepNext/>
              <w:rPr>
                <w:b/>
                <w:szCs w:val="20"/>
              </w:rPr>
            </w:pPr>
            <w:r w:rsidRPr="00BC0E7E">
              <w:rPr>
                <w:b/>
                <w:szCs w:val="20"/>
              </w:rPr>
              <w:t>STEP 7</w:t>
            </w:r>
          </w:p>
          <w:p w14:paraId="1856EFB8" w14:textId="77777777" w:rsidR="00B05E81" w:rsidRPr="00BC0E7E" w:rsidRDefault="00944B8F" w:rsidP="00740A74">
            <w:pPr>
              <w:keepNext/>
              <w:spacing w:before="100" w:beforeAutospacing="1" w:after="100" w:afterAutospacing="1"/>
              <w:ind w:left="-360"/>
              <w:rPr>
                <w:b/>
                <w:szCs w:val="20"/>
              </w:rPr>
            </w:pPr>
            <w:r w:rsidRPr="0034274C">
              <w:rPr>
                <w:noProof/>
                <w:szCs w:val="20"/>
                <w:lang w:val="en-US"/>
              </w:rPr>
              <w:drawing>
                <wp:inline distT="0" distB="0" distL="0" distR="0" wp14:anchorId="1D79168B" wp14:editId="4962939C">
                  <wp:extent cx="2178685" cy="2679700"/>
                  <wp:effectExtent l="0" t="0" r="0" b="6350"/>
                  <wp:docPr id="90" name="Picture 90"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1" descr="STEP_7_SYRINGE_IFU_ABDOMEN-THIGH_grey"/>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2178685" cy="2679700"/>
                          </a:xfrm>
                          <a:prstGeom prst="rect">
                            <a:avLst/>
                          </a:prstGeom>
                          <a:noFill/>
                          <a:ln>
                            <a:noFill/>
                          </a:ln>
                        </pic:spPr>
                      </pic:pic>
                    </a:graphicData>
                  </a:graphic>
                </wp:inline>
              </w:drawing>
            </w:r>
          </w:p>
        </w:tc>
        <w:tc>
          <w:tcPr>
            <w:tcW w:w="5579" w:type="dxa"/>
            <w:tcBorders>
              <w:left w:val="nil"/>
            </w:tcBorders>
          </w:tcPr>
          <w:p w14:paraId="5A371F3D" w14:textId="77777777" w:rsidR="00B05E81" w:rsidRPr="00BC0E7E" w:rsidRDefault="00944B8F" w:rsidP="00740A74">
            <w:pPr>
              <w:keepNext/>
              <w:rPr>
                <w:szCs w:val="22"/>
              </w:rPr>
            </w:pPr>
            <w:r w:rsidRPr="00BC0E7E">
              <w:rPr>
                <w:szCs w:val="22"/>
              </w:rPr>
              <w:t>Insert the needle all the way into the skin at about a 45-degree angle with one quick, short motion.</w:t>
            </w:r>
          </w:p>
          <w:p w14:paraId="0FB6463F" w14:textId="77777777" w:rsidR="00B05E81" w:rsidRPr="00BC0E7E" w:rsidRDefault="00B05E81" w:rsidP="00740A74">
            <w:pPr>
              <w:keepNext/>
              <w:rPr>
                <w:szCs w:val="22"/>
              </w:rPr>
            </w:pPr>
          </w:p>
          <w:p w14:paraId="5EB1A59E" w14:textId="77777777" w:rsidR="00B05E81" w:rsidRPr="00BC0E7E" w:rsidRDefault="00944B8F" w:rsidP="00D51999">
            <w:pPr>
              <w:keepNext/>
              <w:numPr>
                <w:ilvl w:val="0"/>
                <w:numId w:val="81"/>
              </w:numPr>
              <w:tabs>
                <w:tab w:val="clear" w:pos="562"/>
                <w:tab w:val="left" w:pos="792"/>
              </w:tabs>
              <w:ind w:left="792"/>
              <w:rPr>
                <w:szCs w:val="22"/>
              </w:rPr>
            </w:pPr>
            <w:r w:rsidRPr="00BC0E7E">
              <w:t>After the needle is in, let go of the skin you are holding</w:t>
            </w:r>
            <w:r w:rsidRPr="00BC0E7E">
              <w:rPr>
                <w:szCs w:val="22"/>
              </w:rPr>
              <w:t xml:space="preserve"> </w:t>
            </w:r>
          </w:p>
          <w:p w14:paraId="602B8A38" w14:textId="77777777" w:rsidR="00B05E81" w:rsidRPr="00BC0E7E" w:rsidRDefault="00B05E81" w:rsidP="00740A74">
            <w:pPr>
              <w:keepNext/>
              <w:rPr>
                <w:szCs w:val="22"/>
              </w:rPr>
            </w:pPr>
          </w:p>
          <w:p w14:paraId="01626ECC" w14:textId="77777777" w:rsidR="00B05E81" w:rsidRPr="00BC0E7E" w:rsidRDefault="00944B8F" w:rsidP="00740A74">
            <w:pPr>
              <w:keepNext/>
              <w:rPr>
                <w:szCs w:val="22"/>
              </w:rPr>
            </w:pPr>
            <w:r w:rsidRPr="00BC0E7E">
              <w:rPr>
                <w:szCs w:val="22"/>
              </w:rPr>
              <w:t>Slowly push the plunger all the way in until all of the liquid is injected and the pre-filled syringe is empty.</w:t>
            </w:r>
          </w:p>
          <w:p w14:paraId="38414387" w14:textId="77777777" w:rsidR="00B05E81" w:rsidRPr="00BC0E7E" w:rsidRDefault="00B05E81" w:rsidP="00740A74">
            <w:pPr>
              <w:keepNext/>
              <w:rPr>
                <w:szCs w:val="20"/>
              </w:rPr>
            </w:pPr>
          </w:p>
        </w:tc>
      </w:tr>
      <w:tr w:rsidR="00C6578C" w14:paraId="72B72E9D" w14:textId="77777777" w:rsidTr="00740A74">
        <w:tc>
          <w:tcPr>
            <w:tcW w:w="3708" w:type="dxa"/>
            <w:tcBorders>
              <w:right w:val="nil"/>
            </w:tcBorders>
          </w:tcPr>
          <w:p w14:paraId="361BF786" w14:textId="77777777" w:rsidR="00B05E81" w:rsidRPr="00BC0E7E" w:rsidRDefault="00944B8F" w:rsidP="00740A74">
            <w:pPr>
              <w:keepNext/>
              <w:rPr>
                <w:b/>
                <w:szCs w:val="20"/>
              </w:rPr>
            </w:pPr>
            <w:r w:rsidRPr="00BC0E7E">
              <w:rPr>
                <w:b/>
                <w:szCs w:val="20"/>
              </w:rPr>
              <w:t>STEP 8</w:t>
            </w:r>
          </w:p>
          <w:p w14:paraId="69F3973C" w14:textId="77777777" w:rsidR="00B05E81" w:rsidRDefault="00944B8F" w:rsidP="009217A8">
            <w:pPr>
              <w:keepNext/>
              <w:spacing w:before="100" w:beforeAutospacing="1"/>
              <w:rPr>
                <w:b/>
                <w:szCs w:val="20"/>
              </w:rPr>
            </w:pPr>
            <w:r>
              <w:rPr>
                <w:b/>
                <w:noProof/>
                <w:szCs w:val="20"/>
                <w:lang w:val="en-US"/>
              </w:rPr>
              <w:drawing>
                <wp:inline distT="0" distB="0" distL="0" distR="0" wp14:anchorId="65C59B97" wp14:editId="68EEDA7A">
                  <wp:extent cx="1985089" cy="2093976"/>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TEP_8_SYRINGE_IFU_WITHDRAW_grey.REV 06Sep18.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85089" cy="2093976"/>
                          </a:xfrm>
                          <a:prstGeom prst="rect">
                            <a:avLst/>
                          </a:prstGeom>
                        </pic:spPr>
                      </pic:pic>
                    </a:graphicData>
                  </a:graphic>
                </wp:inline>
              </w:drawing>
            </w:r>
          </w:p>
          <w:p w14:paraId="40FDC48B" w14:textId="77777777" w:rsidR="002D6D00" w:rsidRPr="00BC0E7E" w:rsidRDefault="00944B8F" w:rsidP="009217A8">
            <w:pPr>
              <w:keepNext/>
              <w:rPr>
                <w:b/>
                <w:szCs w:val="20"/>
              </w:rPr>
            </w:pPr>
            <w:r>
              <w:rPr>
                <w:b/>
                <w:szCs w:val="20"/>
              </w:rPr>
              <w:t xml:space="preserve">             Cotton Ball</w:t>
            </w:r>
          </w:p>
        </w:tc>
        <w:tc>
          <w:tcPr>
            <w:tcW w:w="5579" w:type="dxa"/>
            <w:tcBorders>
              <w:left w:val="nil"/>
            </w:tcBorders>
          </w:tcPr>
          <w:p w14:paraId="6269E9FA" w14:textId="77777777" w:rsidR="00B05E81" w:rsidRPr="00BC0E7E" w:rsidRDefault="00944B8F" w:rsidP="00740A74">
            <w:pPr>
              <w:keepNext/>
              <w:rPr>
                <w:szCs w:val="20"/>
              </w:rPr>
            </w:pPr>
            <w:r w:rsidRPr="00BC0E7E">
              <w:rPr>
                <w:szCs w:val="20"/>
              </w:rPr>
              <w:t>When the injection is completed, slowly pull the needle out of the skin while keeping the pre-filled syringe at the same angle.</w:t>
            </w:r>
          </w:p>
          <w:p w14:paraId="144201BA" w14:textId="77777777" w:rsidR="00B05E81" w:rsidRPr="00BC0E7E" w:rsidRDefault="00B05E81" w:rsidP="00740A74">
            <w:pPr>
              <w:keepNext/>
              <w:rPr>
                <w:szCs w:val="20"/>
              </w:rPr>
            </w:pPr>
          </w:p>
          <w:p w14:paraId="4348F13F" w14:textId="77777777" w:rsidR="00B05E81" w:rsidRPr="00BC0E7E" w:rsidRDefault="00944B8F" w:rsidP="00740A74">
            <w:pPr>
              <w:keepNext/>
              <w:rPr>
                <w:szCs w:val="20"/>
              </w:rPr>
            </w:pPr>
            <w:r w:rsidRPr="00BC0E7E">
              <w:rPr>
                <w:szCs w:val="20"/>
              </w:rPr>
              <w:t>After completing the injection, place a cotton ball or gauze pad on the skin over the injection site.</w:t>
            </w:r>
          </w:p>
          <w:p w14:paraId="605BCBF6" w14:textId="77777777" w:rsidR="00B05E81" w:rsidRPr="00BC0E7E" w:rsidRDefault="00B05E81" w:rsidP="00740A74">
            <w:pPr>
              <w:keepNext/>
              <w:rPr>
                <w:szCs w:val="20"/>
              </w:rPr>
            </w:pPr>
          </w:p>
          <w:p w14:paraId="3CAC808C" w14:textId="77777777" w:rsidR="00B05E81" w:rsidRPr="00BC0E7E" w:rsidRDefault="00944B8F" w:rsidP="00740A74">
            <w:pPr>
              <w:keepNext/>
              <w:numPr>
                <w:ilvl w:val="0"/>
                <w:numId w:val="13"/>
              </w:numPr>
              <w:tabs>
                <w:tab w:val="clear" w:pos="562"/>
                <w:tab w:val="clear" w:pos="690"/>
                <w:tab w:val="num" w:pos="900"/>
              </w:tabs>
              <w:ind w:left="900"/>
              <w:rPr>
                <w:szCs w:val="20"/>
              </w:rPr>
            </w:pPr>
            <w:r w:rsidRPr="00BC0E7E">
              <w:rPr>
                <w:b/>
                <w:szCs w:val="20"/>
              </w:rPr>
              <w:t>Do not</w:t>
            </w:r>
            <w:r w:rsidRPr="00BC0E7E">
              <w:rPr>
                <w:szCs w:val="20"/>
              </w:rPr>
              <w:t xml:space="preserve"> rub</w:t>
            </w:r>
          </w:p>
          <w:p w14:paraId="40CC4F14" w14:textId="77777777" w:rsidR="00B05E81" w:rsidRPr="00BC0E7E" w:rsidRDefault="00944B8F" w:rsidP="00740A74">
            <w:pPr>
              <w:keepNext/>
              <w:numPr>
                <w:ilvl w:val="0"/>
                <w:numId w:val="13"/>
              </w:numPr>
              <w:tabs>
                <w:tab w:val="clear" w:pos="562"/>
                <w:tab w:val="clear" w:pos="690"/>
                <w:tab w:val="num" w:pos="900"/>
              </w:tabs>
              <w:ind w:left="900"/>
              <w:contextualSpacing/>
            </w:pPr>
            <w:r w:rsidRPr="00BC0E7E">
              <w:t>Slight bleeding at the injection site is normal</w:t>
            </w:r>
          </w:p>
          <w:p w14:paraId="79029265" w14:textId="77777777" w:rsidR="00B05E81" w:rsidRPr="00BC0E7E" w:rsidRDefault="00B05E81" w:rsidP="00740A74">
            <w:pPr>
              <w:keepNext/>
              <w:tabs>
                <w:tab w:val="clear" w:pos="562"/>
              </w:tabs>
              <w:rPr>
                <w:szCs w:val="20"/>
              </w:rPr>
            </w:pPr>
          </w:p>
        </w:tc>
      </w:tr>
    </w:tbl>
    <w:p w14:paraId="78843C09" w14:textId="77777777" w:rsidR="00B05E81" w:rsidRPr="00BC0E7E" w:rsidRDefault="00B05E81" w:rsidP="00B05E81">
      <w:pPr>
        <w:tabs>
          <w:tab w:val="clear" w:pos="562"/>
          <w:tab w:val="left" w:pos="742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6578C" w14:paraId="5520FE51" w14:textId="77777777" w:rsidTr="00740A74">
        <w:tc>
          <w:tcPr>
            <w:tcW w:w="9287" w:type="dxa"/>
          </w:tcPr>
          <w:p w14:paraId="040020FB" w14:textId="77777777" w:rsidR="00B05E81" w:rsidRPr="00BC0E7E" w:rsidRDefault="00944B8F" w:rsidP="00740A74">
            <w:pPr>
              <w:keepNext/>
              <w:rPr>
                <w:b/>
              </w:rPr>
            </w:pPr>
            <w:r w:rsidRPr="00BC0E7E">
              <w:rPr>
                <w:b/>
              </w:rPr>
              <w:lastRenderedPageBreak/>
              <w:t>STEP 9</w:t>
            </w:r>
          </w:p>
          <w:p w14:paraId="13FDEC77" w14:textId="77777777" w:rsidR="00B05E81" w:rsidRPr="00BC0E7E" w:rsidRDefault="00B05E81" w:rsidP="00740A74">
            <w:pPr>
              <w:keepNext/>
              <w:rPr>
                <w:b/>
              </w:rPr>
            </w:pPr>
          </w:p>
          <w:p w14:paraId="0F655C50" w14:textId="77777777" w:rsidR="00B05E81" w:rsidRPr="00BC0E7E" w:rsidRDefault="00944B8F" w:rsidP="00740A74">
            <w:pPr>
              <w:keepNext/>
              <w:rPr>
                <w:szCs w:val="20"/>
              </w:rPr>
            </w:pPr>
            <w:r w:rsidRPr="00BC0E7E">
              <w:rPr>
                <w:szCs w:val="20"/>
              </w:rPr>
              <w:t xml:space="preserve">Throw away the used pre-filled syringe in a special disposal container as instructed by your doctor, nurse or pharmacist. </w:t>
            </w:r>
            <w:r w:rsidRPr="00BC0E7E">
              <w:rPr>
                <w:b/>
                <w:szCs w:val="20"/>
              </w:rPr>
              <w:t xml:space="preserve">Never </w:t>
            </w:r>
            <w:r w:rsidRPr="00BC0E7E">
              <w:rPr>
                <w:szCs w:val="20"/>
              </w:rPr>
              <w:t>recap a needle.</w:t>
            </w:r>
          </w:p>
          <w:p w14:paraId="3E931CB0" w14:textId="77777777" w:rsidR="00B05E81" w:rsidRPr="00BC0E7E" w:rsidRDefault="00B05E81" w:rsidP="00740A74">
            <w:pPr>
              <w:rPr>
                <w:szCs w:val="20"/>
              </w:rPr>
            </w:pPr>
          </w:p>
          <w:p w14:paraId="2CC06B8C" w14:textId="77777777" w:rsidR="00B05E81" w:rsidRPr="00BC0E7E" w:rsidRDefault="00944B8F" w:rsidP="00D51999">
            <w:pPr>
              <w:keepNext/>
              <w:numPr>
                <w:ilvl w:val="0"/>
                <w:numId w:val="71"/>
              </w:numPr>
              <w:tabs>
                <w:tab w:val="clear" w:pos="562"/>
                <w:tab w:val="left" w:pos="720"/>
              </w:tabs>
              <w:rPr>
                <w:szCs w:val="20"/>
              </w:rPr>
            </w:pPr>
            <w:r w:rsidRPr="00BC0E7E">
              <w:rPr>
                <w:b/>
                <w:szCs w:val="20"/>
              </w:rPr>
              <w:t>Do not</w:t>
            </w:r>
            <w:r w:rsidRPr="00BC0E7E">
              <w:rPr>
                <w:szCs w:val="20"/>
              </w:rPr>
              <w:t xml:space="preserve"> recycle or throw the pre-filled syringe in the household waste</w:t>
            </w:r>
          </w:p>
          <w:p w14:paraId="6CEAAB01" w14:textId="77777777" w:rsidR="00B05E81" w:rsidRPr="00BC0E7E" w:rsidRDefault="00944B8F" w:rsidP="00D51999">
            <w:pPr>
              <w:keepNext/>
              <w:numPr>
                <w:ilvl w:val="0"/>
                <w:numId w:val="71"/>
              </w:numPr>
              <w:tabs>
                <w:tab w:val="clear" w:pos="562"/>
                <w:tab w:val="left" w:pos="720"/>
              </w:tabs>
              <w:rPr>
                <w:szCs w:val="20"/>
              </w:rPr>
            </w:pPr>
            <w:r w:rsidRPr="00BC0E7E">
              <w:rPr>
                <w:b/>
                <w:szCs w:val="20"/>
              </w:rPr>
              <w:t>Always</w:t>
            </w:r>
            <w:r w:rsidRPr="00BC0E7E">
              <w:rPr>
                <w:szCs w:val="20"/>
              </w:rPr>
              <w:t xml:space="preserve"> keep the pre-filled syringe and the special disposal container out of the sight and reach of children</w:t>
            </w:r>
          </w:p>
          <w:p w14:paraId="01AF3AB5" w14:textId="77777777" w:rsidR="00B05E81" w:rsidRPr="00BC0E7E" w:rsidRDefault="00B05E81" w:rsidP="00740A74">
            <w:pPr>
              <w:keepNext/>
              <w:tabs>
                <w:tab w:val="clear" w:pos="562"/>
                <w:tab w:val="left" w:pos="720"/>
              </w:tabs>
              <w:ind w:left="720"/>
              <w:rPr>
                <w:szCs w:val="20"/>
              </w:rPr>
            </w:pPr>
          </w:p>
          <w:p w14:paraId="3A6BD040" w14:textId="77777777" w:rsidR="00B05E81" w:rsidRPr="00BC0E7E" w:rsidRDefault="00944B8F" w:rsidP="00740A74">
            <w:pPr>
              <w:keepNext/>
              <w:rPr>
                <w:szCs w:val="20"/>
              </w:rPr>
            </w:pPr>
            <w:r w:rsidRPr="00BC0E7E">
              <w:rPr>
                <w:szCs w:val="22"/>
              </w:rPr>
              <w:t>The needle cover, alcohol pad, cotton ball or gauze pad, blister and packaging may be put in your household waste.</w:t>
            </w:r>
          </w:p>
        </w:tc>
      </w:tr>
    </w:tbl>
    <w:p w14:paraId="6DC95CD0" w14:textId="77777777" w:rsidR="00C032AC" w:rsidRDefault="00C032AC" w:rsidP="00C032AC">
      <w:pPr>
        <w:jc w:val="center"/>
        <w:rPr>
          <w:b/>
          <w:szCs w:val="20"/>
        </w:rPr>
      </w:pPr>
    </w:p>
    <w:p w14:paraId="60FA8D46" w14:textId="77777777" w:rsidR="00C032AC" w:rsidRDefault="00944B8F">
      <w:pPr>
        <w:tabs>
          <w:tab w:val="clear" w:pos="562"/>
        </w:tabs>
        <w:suppressAutoHyphens w:val="0"/>
        <w:spacing w:after="200" w:line="276" w:lineRule="auto"/>
        <w:rPr>
          <w:b/>
          <w:szCs w:val="20"/>
        </w:rPr>
      </w:pPr>
      <w:r>
        <w:rPr>
          <w:b/>
          <w:szCs w:val="20"/>
        </w:rPr>
        <w:br w:type="page"/>
      </w:r>
    </w:p>
    <w:p w14:paraId="070A9E0F" w14:textId="77777777" w:rsidR="00BC0E7E" w:rsidRPr="00BC0E7E" w:rsidRDefault="00944B8F" w:rsidP="00BC0E7E">
      <w:pPr>
        <w:jc w:val="center"/>
        <w:rPr>
          <w:szCs w:val="20"/>
        </w:rPr>
      </w:pPr>
      <w:r w:rsidRPr="00BC0E7E">
        <w:rPr>
          <w:b/>
          <w:szCs w:val="20"/>
        </w:rPr>
        <w:lastRenderedPageBreak/>
        <w:t>Package leaflet: Information for the patient</w:t>
      </w:r>
    </w:p>
    <w:p w14:paraId="3D5E60F1" w14:textId="77777777" w:rsidR="00BC0E7E" w:rsidRPr="00BC0E7E" w:rsidRDefault="00BC0E7E" w:rsidP="00BC0E7E">
      <w:pPr>
        <w:jc w:val="center"/>
      </w:pPr>
    </w:p>
    <w:p w14:paraId="68B9DFEE" w14:textId="77777777" w:rsidR="00BC0E7E" w:rsidRPr="00BC0E7E" w:rsidRDefault="00944B8F" w:rsidP="00BC0E7E">
      <w:pPr>
        <w:numPr>
          <w:ilvl w:val="12"/>
          <w:numId w:val="0"/>
        </w:numPr>
        <w:jc w:val="center"/>
      </w:pPr>
      <w:r w:rsidRPr="00BC0E7E">
        <w:rPr>
          <w:b/>
          <w:bCs/>
        </w:rPr>
        <w:t xml:space="preserve">Humira </w:t>
      </w:r>
      <w:r w:rsidRPr="00BC0E7E">
        <w:rPr>
          <w:b/>
        </w:rPr>
        <w:t>40 mg solution for injection in pre-filled pen</w:t>
      </w:r>
    </w:p>
    <w:p w14:paraId="3DD09A42" w14:textId="77777777" w:rsidR="00BC0E7E" w:rsidRPr="00BC0E7E" w:rsidRDefault="00944B8F" w:rsidP="00BC0E7E">
      <w:pPr>
        <w:jc w:val="center"/>
        <w:rPr>
          <w:b/>
          <w:bCs/>
        </w:rPr>
      </w:pPr>
      <w:r w:rsidRPr="00BC0E7E">
        <w:t>adalimumab</w:t>
      </w:r>
    </w:p>
    <w:p w14:paraId="06BAA5EE" w14:textId="77777777" w:rsidR="00BC0E7E" w:rsidRPr="00BC0E7E" w:rsidRDefault="00BC0E7E" w:rsidP="00BC0E7E">
      <w:pPr>
        <w:jc w:val="center"/>
      </w:pPr>
    </w:p>
    <w:p w14:paraId="417C47AB" w14:textId="77777777" w:rsidR="00BC0E7E" w:rsidRPr="00BC0E7E" w:rsidRDefault="00944B8F" w:rsidP="00BC0E7E">
      <w:pPr>
        <w:tabs>
          <w:tab w:val="clear" w:pos="562"/>
        </w:tabs>
        <w:ind w:right="-2"/>
      </w:pPr>
      <w:r w:rsidRPr="00BC0E7E">
        <w:rPr>
          <w:b/>
        </w:rPr>
        <w:t>Read all of this leaflet carefully before you start using this medicine because it contains important information for you.</w:t>
      </w:r>
    </w:p>
    <w:p w14:paraId="57D64B67" w14:textId="77777777" w:rsidR="00BC0E7E" w:rsidRPr="00BC0E7E" w:rsidRDefault="00944B8F" w:rsidP="00BC0E7E">
      <w:pPr>
        <w:numPr>
          <w:ilvl w:val="0"/>
          <w:numId w:val="15"/>
        </w:numPr>
        <w:rPr>
          <w:szCs w:val="20"/>
        </w:rPr>
      </w:pPr>
      <w:r w:rsidRPr="00BC0E7E">
        <w:rPr>
          <w:szCs w:val="20"/>
        </w:rPr>
        <w:t>Keep this leaflet. You may need to read it again.</w:t>
      </w:r>
    </w:p>
    <w:p w14:paraId="531797EB" w14:textId="77777777" w:rsidR="00BC0E7E" w:rsidRPr="00BC0E7E" w:rsidRDefault="00944B8F" w:rsidP="00BC0E7E">
      <w:pPr>
        <w:numPr>
          <w:ilvl w:val="0"/>
          <w:numId w:val="15"/>
        </w:numPr>
        <w:rPr>
          <w:szCs w:val="20"/>
        </w:rPr>
      </w:pPr>
      <w:r w:rsidRPr="00BC0E7E">
        <w:rPr>
          <w:szCs w:val="20"/>
        </w:rPr>
        <w:t xml:space="preserve">Your doctor will also give you a </w:t>
      </w:r>
      <w:r w:rsidR="00BF2AE5" w:rsidRPr="002179FE">
        <w:rPr>
          <w:b/>
        </w:rPr>
        <w:t>Patient Reminder Card</w:t>
      </w:r>
      <w:r w:rsidRPr="00BC0E7E">
        <w:rPr>
          <w:szCs w:val="20"/>
        </w:rPr>
        <w:t xml:space="preserve">, which contains important safety information that you need to be aware of before you begin using Humira and during treatment with Humira. Keep this </w:t>
      </w:r>
      <w:r w:rsidR="00BF2AE5" w:rsidRPr="002179FE">
        <w:rPr>
          <w:b/>
        </w:rPr>
        <w:t>Patient Reminder Card</w:t>
      </w:r>
      <w:r w:rsidRPr="00BC0E7E">
        <w:rPr>
          <w:szCs w:val="20"/>
        </w:rPr>
        <w:t xml:space="preserve"> with you.</w:t>
      </w:r>
    </w:p>
    <w:p w14:paraId="4B2BE29E" w14:textId="77777777" w:rsidR="00BC0E7E" w:rsidRPr="00BC0E7E" w:rsidRDefault="00944B8F" w:rsidP="00BC0E7E">
      <w:pPr>
        <w:numPr>
          <w:ilvl w:val="0"/>
          <w:numId w:val="15"/>
        </w:numPr>
        <w:rPr>
          <w:szCs w:val="20"/>
        </w:rPr>
      </w:pPr>
      <w:r w:rsidRPr="00BC0E7E">
        <w:rPr>
          <w:szCs w:val="20"/>
        </w:rPr>
        <w:t>If you have any questions, ask your doctor or pharmacist.</w:t>
      </w:r>
    </w:p>
    <w:p w14:paraId="6DA1B5D7" w14:textId="77777777" w:rsidR="00BC0E7E" w:rsidRPr="00BC0E7E" w:rsidRDefault="00944B8F" w:rsidP="00BC0E7E">
      <w:pPr>
        <w:numPr>
          <w:ilvl w:val="0"/>
          <w:numId w:val="15"/>
        </w:numPr>
        <w:rPr>
          <w:b/>
          <w:szCs w:val="20"/>
        </w:rPr>
      </w:pPr>
      <w:r w:rsidRPr="00BC0E7E">
        <w:rPr>
          <w:szCs w:val="20"/>
        </w:rPr>
        <w:t>This medicine has been prescribed for you only. Do not pass it on to others. It may harm them, even if their signs of illness are the same as yours.</w:t>
      </w:r>
    </w:p>
    <w:p w14:paraId="6FC9EF44" w14:textId="77777777" w:rsidR="00BC0E7E" w:rsidRPr="00BC0E7E" w:rsidRDefault="00944B8F" w:rsidP="00BC0E7E">
      <w:pPr>
        <w:numPr>
          <w:ilvl w:val="0"/>
          <w:numId w:val="15"/>
        </w:numPr>
        <w:rPr>
          <w:b/>
          <w:szCs w:val="20"/>
        </w:rPr>
      </w:pPr>
      <w:r w:rsidRPr="00BC0E7E">
        <w:rPr>
          <w:szCs w:val="20"/>
        </w:rPr>
        <w:t>If you get any side effects, talk to your doctor or pharmacist. This includes any possible side effects not listed in this leaflet. See section 4.</w:t>
      </w:r>
    </w:p>
    <w:p w14:paraId="30ECEEC7" w14:textId="77777777" w:rsidR="00BC0E7E" w:rsidRPr="00BC0E7E" w:rsidRDefault="00BC0E7E" w:rsidP="00BC0E7E">
      <w:pPr>
        <w:numPr>
          <w:ilvl w:val="12"/>
          <w:numId w:val="0"/>
        </w:numPr>
        <w:ind w:right="-2"/>
      </w:pPr>
    </w:p>
    <w:p w14:paraId="0C911180" w14:textId="77777777" w:rsidR="00BC0E7E" w:rsidRPr="00BC0E7E" w:rsidRDefault="00944B8F" w:rsidP="00BC0E7E">
      <w:pPr>
        <w:numPr>
          <w:ilvl w:val="12"/>
          <w:numId w:val="0"/>
        </w:numPr>
        <w:tabs>
          <w:tab w:val="clear" w:pos="562"/>
        </w:tabs>
        <w:ind w:right="-2"/>
      </w:pPr>
      <w:r w:rsidRPr="00BC0E7E">
        <w:rPr>
          <w:b/>
        </w:rPr>
        <w:t>What is in this leaflet</w:t>
      </w:r>
      <w:r w:rsidRPr="00BC0E7E">
        <w:t xml:space="preserve"> </w:t>
      </w:r>
    </w:p>
    <w:p w14:paraId="345920BC" w14:textId="77777777" w:rsidR="00BC0E7E" w:rsidRPr="00BC0E7E" w:rsidRDefault="00944B8F" w:rsidP="00BC0E7E">
      <w:pPr>
        <w:tabs>
          <w:tab w:val="clear" w:pos="562"/>
        </w:tabs>
        <w:ind w:left="567" w:right="-29" w:hanging="567"/>
      </w:pPr>
      <w:r w:rsidRPr="00BC0E7E">
        <w:t>1.</w:t>
      </w:r>
      <w:r w:rsidRPr="00BC0E7E">
        <w:tab/>
        <w:t>What Humira is and what it is used for</w:t>
      </w:r>
    </w:p>
    <w:p w14:paraId="5A499FD7" w14:textId="77777777" w:rsidR="00BC0E7E" w:rsidRPr="00BC0E7E" w:rsidRDefault="00944B8F" w:rsidP="00BC0E7E">
      <w:pPr>
        <w:tabs>
          <w:tab w:val="clear" w:pos="562"/>
        </w:tabs>
        <w:ind w:left="567" w:right="-29" w:hanging="567"/>
      </w:pPr>
      <w:r w:rsidRPr="00BC0E7E">
        <w:t>2.</w:t>
      </w:r>
      <w:r w:rsidRPr="00BC0E7E">
        <w:tab/>
        <w:t>What you need to know before you use Humira</w:t>
      </w:r>
    </w:p>
    <w:p w14:paraId="5585E940" w14:textId="77777777" w:rsidR="00BC0E7E" w:rsidRPr="00BC0E7E" w:rsidRDefault="00944B8F" w:rsidP="00BC0E7E">
      <w:pPr>
        <w:tabs>
          <w:tab w:val="clear" w:pos="562"/>
        </w:tabs>
        <w:ind w:left="567" w:right="-29" w:hanging="567"/>
      </w:pPr>
      <w:r w:rsidRPr="00BC0E7E">
        <w:t>3.</w:t>
      </w:r>
      <w:r w:rsidRPr="00BC0E7E">
        <w:tab/>
        <w:t>How to use Humira</w:t>
      </w:r>
    </w:p>
    <w:p w14:paraId="0D52168B" w14:textId="77777777" w:rsidR="00BC0E7E" w:rsidRPr="00BC0E7E" w:rsidRDefault="00944B8F" w:rsidP="00BC0E7E">
      <w:pPr>
        <w:tabs>
          <w:tab w:val="clear" w:pos="562"/>
        </w:tabs>
        <w:ind w:left="567" w:right="-29" w:hanging="567"/>
      </w:pPr>
      <w:r w:rsidRPr="00BC0E7E">
        <w:t>4.</w:t>
      </w:r>
      <w:r w:rsidRPr="00BC0E7E">
        <w:tab/>
        <w:t>Possible side effects</w:t>
      </w:r>
    </w:p>
    <w:p w14:paraId="21378141" w14:textId="77777777" w:rsidR="00BC0E7E" w:rsidRPr="00BC0E7E" w:rsidRDefault="00944B8F" w:rsidP="00BC0E7E">
      <w:pPr>
        <w:tabs>
          <w:tab w:val="clear" w:pos="562"/>
        </w:tabs>
        <w:ind w:left="567" w:right="-29" w:hanging="567"/>
      </w:pPr>
      <w:r w:rsidRPr="00BC0E7E">
        <w:t>5</w:t>
      </w:r>
      <w:r w:rsidRPr="00BC0E7E">
        <w:tab/>
        <w:t>How to store Humira</w:t>
      </w:r>
    </w:p>
    <w:p w14:paraId="69665B46" w14:textId="77777777" w:rsidR="00BC0E7E" w:rsidRPr="00BC0E7E" w:rsidRDefault="00944B8F" w:rsidP="00BC0E7E">
      <w:pPr>
        <w:tabs>
          <w:tab w:val="clear" w:pos="562"/>
        </w:tabs>
        <w:ind w:left="567" w:right="-29" w:hanging="567"/>
      </w:pPr>
      <w:r w:rsidRPr="00BC0E7E">
        <w:t>6.</w:t>
      </w:r>
      <w:r w:rsidRPr="00BC0E7E">
        <w:tab/>
        <w:t>Contents of the pack and other information</w:t>
      </w:r>
    </w:p>
    <w:p w14:paraId="16C88345" w14:textId="77777777" w:rsidR="00BC0E7E" w:rsidRPr="00BC0E7E" w:rsidRDefault="00944B8F" w:rsidP="00BC0E7E">
      <w:pPr>
        <w:tabs>
          <w:tab w:val="clear" w:pos="562"/>
        </w:tabs>
        <w:ind w:left="567" w:right="-29" w:hanging="567"/>
      </w:pPr>
      <w:r w:rsidRPr="00BC0E7E">
        <w:t>7.</w:t>
      </w:r>
      <w:r w:rsidRPr="00BC0E7E">
        <w:tab/>
      </w:r>
      <w:r w:rsidR="00C22003">
        <w:t>Injecting Humira</w:t>
      </w:r>
    </w:p>
    <w:p w14:paraId="2560A4B1" w14:textId="77777777" w:rsidR="00BC0E7E" w:rsidRPr="00BC0E7E" w:rsidRDefault="00BC0E7E" w:rsidP="00BC0E7E">
      <w:pPr>
        <w:tabs>
          <w:tab w:val="clear" w:pos="562"/>
        </w:tabs>
        <w:ind w:left="567" w:right="-29" w:hanging="567"/>
      </w:pPr>
    </w:p>
    <w:p w14:paraId="079ADDBD" w14:textId="77777777" w:rsidR="00BC0E7E" w:rsidRPr="00BC0E7E" w:rsidRDefault="00BC0E7E" w:rsidP="00BC0E7E">
      <w:pPr>
        <w:tabs>
          <w:tab w:val="clear" w:pos="562"/>
        </w:tabs>
        <w:ind w:left="567" w:right="-29" w:hanging="567"/>
      </w:pPr>
    </w:p>
    <w:p w14:paraId="5B39616B" w14:textId="77777777" w:rsidR="00BC0E7E" w:rsidRPr="00BC0E7E" w:rsidRDefault="00944B8F" w:rsidP="00BC0E7E">
      <w:pPr>
        <w:outlineLvl w:val="0"/>
        <w:rPr>
          <w:rFonts w:ascii="Times New Roman Bold" w:hAnsi="Times New Roman Bold"/>
          <w:b/>
          <w:szCs w:val="20"/>
        </w:rPr>
      </w:pPr>
      <w:r w:rsidRPr="00BC0E7E">
        <w:rPr>
          <w:b/>
          <w:caps/>
          <w:szCs w:val="20"/>
        </w:rPr>
        <w:t>1.</w:t>
      </w:r>
      <w:r w:rsidRPr="00BC0E7E">
        <w:rPr>
          <w:b/>
          <w:caps/>
          <w:szCs w:val="20"/>
        </w:rPr>
        <w:tab/>
        <w:t>W</w:t>
      </w:r>
      <w:r w:rsidRPr="00BC0E7E">
        <w:rPr>
          <w:rFonts w:ascii="Times New Roman Bold" w:hAnsi="Times New Roman Bold"/>
          <w:b/>
          <w:szCs w:val="20"/>
        </w:rPr>
        <w:t>hat Humira is and what it is used for</w:t>
      </w:r>
    </w:p>
    <w:p w14:paraId="435B23D5" w14:textId="77777777" w:rsidR="00BC0E7E" w:rsidRPr="00BC0E7E" w:rsidRDefault="00BC0E7E" w:rsidP="00BC0E7E">
      <w:pPr>
        <w:rPr>
          <w:szCs w:val="20"/>
        </w:rPr>
      </w:pPr>
    </w:p>
    <w:p w14:paraId="1A7A73AE" w14:textId="77777777" w:rsidR="00BC0E7E" w:rsidRPr="00BC0E7E" w:rsidRDefault="00944B8F" w:rsidP="00BC0E7E">
      <w:r w:rsidRPr="00BC0E7E">
        <w:t>Humira contains the active substance adalimumab.</w:t>
      </w:r>
    </w:p>
    <w:p w14:paraId="66B490C2" w14:textId="77777777" w:rsidR="00BC0E7E" w:rsidRPr="00BC0E7E" w:rsidRDefault="00BC0E7E" w:rsidP="00BC0E7E"/>
    <w:p w14:paraId="3822454F" w14:textId="77777777" w:rsidR="00BC0E7E" w:rsidRPr="00BC0E7E" w:rsidRDefault="00944B8F" w:rsidP="00BC0E7E">
      <w:r w:rsidRPr="00BC0E7E">
        <w:t>Humira is used to treat</w:t>
      </w:r>
    </w:p>
    <w:p w14:paraId="15C9B195" w14:textId="77777777" w:rsidR="00BC0E7E" w:rsidRPr="00BC0E7E" w:rsidRDefault="00944B8F" w:rsidP="00D51999">
      <w:pPr>
        <w:numPr>
          <w:ilvl w:val="0"/>
          <w:numId w:val="54"/>
        </w:numPr>
        <w:tabs>
          <w:tab w:val="clear" w:pos="562"/>
          <w:tab w:val="left" w:pos="720"/>
        </w:tabs>
      </w:pPr>
      <w:r w:rsidRPr="00BC0E7E">
        <w:t>Rheumatoid arthritis</w:t>
      </w:r>
    </w:p>
    <w:p w14:paraId="75AE5859" w14:textId="77777777" w:rsidR="00BC0E7E" w:rsidRPr="00BC0E7E" w:rsidRDefault="00944B8F" w:rsidP="00D51999">
      <w:pPr>
        <w:numPr>
          <w:ilvl w:val="0"/>
          <w:numId w:val="54"/>
        </w:numPr>
        <w:tabs>
          <w:tab w:val="clear" w:pos="562"/>
          <w:tab w:val="left" w:pos="720"/>
        </w:tabs>
      </w:pPr>
      <w:r w:rsidRPr="00BC0E7E">
        <w:t>Polyarticular juvenile idiopathic arthritis</w:t>
      </w:r>
    </w:p>
    <w:p w14:paraId="3C804984" w14:textId="77777777" w:rsidR="00BC0E7E" w:rsidRPr="00BC0E7E" w:rsidRDefault="00944B8F" w:rsidP="00D51999">
      <w:pPr>
        <w:numPr>
          <w:ilvl w:val="0"/>
          <w:numId w:val="54"/>
        </w:numPr>
        <w:tabs>
          <w:tab w:val="clear" w:pos="562"/>
          <w:tab w:val="left" w:pos="720"/>
        </w:tabs>
      </w:pPr>
      <w:r w:rsidRPr="00BC0E7E">
        <w:t>Enthesitis-related arthritis</w:t>
      </w:r>
    </w:p>
    <w:p w14:paraId="2091181C" w14:textId="77777777" w:rsidR="00BC0E7E" w:rsidRPr="00BC0E7E" w:rsidRDefault="00944B8F" w:rsidP="00D51999">
      <w:pPr>
        <w:numPr>
          <w:ilvl w:val="0"/>
          <w:numId w:val="54"/>
        </w:numPr>
        <w:tabs>
          <w:tab w:val="clear" w:pos="562"/>
          <w:tab w:val="left" w:pos="720"/>
        </w:tabs>
      </w:pPr>
      <w:r w:rsidRPr="00BC0E7E">
        <w:t>Ankylosing spondylitis</w:t>
      </w:r>
    </w:p>
    <w:p w14:paraId="7956A4C3" w14:textId="77777777" w:rsidR="00BC0E7E" w:rsidRPr="00BC0E7E" w:rsidRDefault="00944B8F" w:rsidP="00D51999">
      <w:pPr>
        <w:numPr>
          <w:ilvl w:val="0"/>
          <w:numId w:val="54"/>
        </w:numPr>
        <w:tabs>
          <w:tab w:val="clear" w:pos="562"/>
          <w:tab w:val="left" w:pos="720"/>
        </w:tabs>
      </w:pPr>
      <w:r w:rsidRPr="00BC0E7E">
        <w:t>Axial spondyloarthritis without radiographic evidence of ankylosing spondylitis</w:t>
      </w:r>
    </w:p>
    <w:p w14:paraId="0BFBCEB2" w14:textId="77777777" w:rsidR="00BC0E7E" w:rsidRPr="00BC0E7E" w:rsidRDefault="00944B8F" w:rsidP="00D51999">
      <w:pPr>
        <w:numPr>
          <w:ilvl w:val="0"/>
          <w:numId w:val="54"/>
        </w:numPr>
        <w:tabs>
          <w:tab w:val="clear" w:pos="562"/>
          <w:tab w:val="left" w:pos="720"/>
        </w:tabs>
      </w:pPr>
      <w:r w:rsidRPr="00BC0E7E">
        <w:t>Psoriatic arthritis</w:t>
      </w:r>
    </w:p>
    <w:p w14:paraId="56352DE6" w14:textId="77777777" w:rsidR="00BC0E7E" w:rsidRPr="00BC0E7E" w:rsidRDefault="00944B8F" w:rsidP="00D51999">
      <w:pPr>
        <w:numPr>
          <w:ilvl w:val="0"/>
          <w:numId w:val="54"/>
        </w:numPr>
        <w:tabs>
          <w:tab w:val="clear" w:pos="562"/>
          <w:tab w:val="left" w:pos="720"/>
        </w:tabs>
      </w:pPr>
      <w:r w:rsidRPr="00BC0E7E">
        <w:t>Plaque psoriasis</w:t>
      </w:r>
    </w:p>
    <w:p w14:paraId="512EA2FA" w14:textId="77777777" w:rsidR="00BC0E7E" w:rsidRPr="00BC0E7E" w:rsidRDefault="00944B8F" w:rsidP="00D51999">
      <w:pPr>
        <w:numPr>
          <w:ilvl w:val="0"/>
          <w:numId w:val="54"/>
        </w:numPr>
        <w:tabs>
          <w:tab w:val="clear" w:pos="562"/>
          <w:tab w:val="left" w:pos="720"/>
        </w:tabs>
      </w:pPr>
      <w:r w:rsidRPr="00BC0E7E">
        <w:t>Hidradenitis suppurativa</w:t>
      </w:r>
    </w:p>
    <w:p w14:paraId="052F232C" w14:textId="77777777" w:rsidR="00BC0E7E" w:rsidRPr="00BC0E7E" w:rsidRDefault="00944B8F" w:rsidP="00D51999">
      <w:pPr>
        <w:numPr>
          <w:ilvl w:val="0"/>
          <w:numId w:val="54"/>
        </w:numPr>
        <w:tabs>
          <w:tab w:val="clear" w:pos="562"/>
          <w:tab w:val="left" w:pos="720"/>
        </w:tabs>
      </w:pPr>
      <w:r w:rsidRPr="00BC0E7E">
        <w:t>Crohn’s disease</w:t>
      </w:r>
    </w:p>
    <w:p w14:paraId="7C64F3FF" w14:textId="77777777" w:rsidR="00BC0E7E" w:rsidRPr="00BC0E7E" w:rsidRDefault="00944B8F" w:rsidP="00D51999">
      <w:pPr>
        <w:numPr>
          <w:ilvl w:val="0"/>
          <w:numId w:val="54"/>
        </w:numPr>
        <w:tabs>
          <w:tab w:val="clear" w:pos="562"/>
          <w:tab w:val="left" w:pos="720"/>
        </w:tabs>
      </w:pPr>
      <w:r w:rsidRPr="00BC0E7E">
        <w:t>Ulcerative colitis</w:t>
      </w:r>
    </w:p>
    <w:p w14:paraId="47F17380" w14:textId="77777777" w:rsidR="00BC0E7E" w:rsidRPr="00BC0E7E" w:rsidRDefault="00944B8F" w:rsidP="00D51999">
      <w:pPr>
        <w:numPr>
          <w:ilvl w:val="0"/>
          <w:numId w:val="54"/>
        </w:numPr>
        <w:tabs>
          <w:tab w:val="clear" w:pos="562"/>
          <w:tab w:val="left" w:pos="720"/>
        </w:tabs>
      </w:pPr>
      <w:r w:rsidRPr="00BC0E7E">
        <w:t>Non-infectious uveitis</w:t>
      </w:r>
    </w:p>
    <w:p w14:paraId="14E8C4B4" w14:textId="77777777" w:rsidR="00BC0E7E" w:rsidRPr="00BC0E7E" w:rsidRDefault="00BC0E7E" w:rsidP="00BC0E7E">
      <w:pPr>
        <w:tabs>
          <w:tab w:val="clear" w:pos="562"/>
          <w:tab w:val="left" w:pos="720"/>
        </w:tabs>
        <w:ind w:left="720"/>
      </w:pPr>
    </w:p>
    <w:p w14:paraId="40CEE0A4" w14:textId="77777777" w:rsidR="00A354EF" w:rsidRDefault="00944B8F" w:rsidP="00A354EF">
      <w:pPr>
        <w:keepLines/>
        <w:numPr>
          <w:ilvl w:val="12"/>
          <w:numId w:val="0"/>
        </w:numPr>
        <w:tabs>
          <w:tab w:val="clear" w:pos="562"/>
        </w:tabs>
        <w:ind w:right="-2"/>
        <w:rPr>
          <w:noProof/>
          <w:color w:val="000000"/>
          <w:szCs w:val="22"/>
        </w:rPr>
      </w:pPr>
      <w:r w:rsidRPr="00ED237F">
        <w:rPr>
          <w:noProof/>
          <w:color w:val="000000"/>
          <w:szCs w:val="22"/>
        </w:rPr>
        <w:t>The active ingredient</w:t>
      </w:r>
      <w:r>
        <w:rPr>
          <w:noProof/>
          <w:color w:val="000000"/>
          <w:szCs w:val="22"/>
        </w:rPr>
        <w:t xml:space="preserve"> in Humira</w:t>
      </w:r>
      <w:r w:rsidRPr="00ED237F">
        <w:rPr>
          <w:noProof/>
          <w:color w:val="000000"/>
          <w:szCs w:val="22"/>
        </w:rPr>
        <w:t>, adalimumab, is a</w:t>
      </w:r>
      <w:r>
        <w:rPr>
          <w:noProof/>
          <w:color w:val="000000"/>
          <w:szCs w:val="22"/>
        </w:rPr>
        <w:t xml:space="preserve"> human</w:t>
      </w:r>
      <w:r w:rsidRPr="00ED237F">
        <w:rPr>
          <w:noProof/>
          <w:color w:val="000000"/>
          <w:szCs w:val="22"/>
        </w:rPr>
        <w:t xml:space="preserve"> monoclonal antibody. Monoclonal antibodies are proteins that </w:t>
      </w:r>
      <w:r w:rsidRPr="00A7331B">
        <w:rPr>
          <w:noProof/>
          <w:color w:val="000000"/>
          <w:szCs w:val="22"/>
        </w:rPr>
        <w:t>attach to a specific target</w:t>
      </w:r>
      <w:r w:rsidRPr="00ED237F">
        <w:rPr>
          <w:noProof/>
          <w:color w:val="000000"/>
          <w:szCs w:val="22"/>
        </w:rPr>
        <w:t>.</w:t>
      </w:r>
    </w:p>
    <w:p w14:paraId="5B8CD6B5" w14:textId="77777777" w:rsidR="00A354EF" w:rsidRDefault="00A354EF" w:rsidP="00A354EF">
      <w:pPr>
        <w:keepLines/>
        <w:numPr>
          <w:ilvl w:val="12"/>
          <w:numId w:val="0"/>
        </w:numPr>
        <w:tabs>
          <w:tab w:val="clear" w:pos="562"/>
        </w:tabs>
        <w:ind w:right="-2"/>
        <w:rPr>
          <w:noProof/>
          <w:color w:val="000000"/>
          <w:szCs w:val="22"/>
        </w:rPr>
      </w:pPr>
    </w:p>
    <w:p w14:paraId="4515C382" w14:textId="77777777" w:rsidR="00A354EF" w:rsidRDefault="00944B8F" w:rsidP="00A354EF">
      <w:pPr>
        <w:rPr>
          <w:noProof/>
          <w:color w:val="000000"/>
          <w:szCs w:val="22"/>
        </w:rPr>
      </w:pPr>
      <w:r>
        <w:rPr>
          <w:noProof/>
          <w:color w:val="000000"/>
          <w:szCs w:val="22"/>
        </w:rPr>
        <w:t>The target of</w:t>
      </w:r>
      <w:r w:rsidRPr="00ED237F">
        <w:rPr>
          <w:noProof/>
          <w:color w:val="000000"/>
          <w:szCs w:val="22"/>
        </w:rPr>
        <w:t xml:space="preserve"> </w:t>
      </w:r>
      <w:r>
        <w:rPr>
          <w:noProof/>
          <w:color w:val="000000"/>
          <w:szCs w:val="22"/>
        </w:rPr>
        <w:t>a</w:t>
      </w:r>
      <w:r w:rsidRPr="00ED237F">
        <w:rPr>
          <w:noProof/>
          <w:color w:val="000000"/>
          <w:szCs w:val="22"/>
        </w:rPr>
        <w:t xml:space="preserve">dalimumab </w:t>
      </w:r>
      <w:r>
        <w:rPr>
          <w:noProof/>
          <w:color w:val="000000"/>
          <w:szCs w:val="22"/>
        </w:rPr>
        <w:t>is a</w:t>
      </w:r>
      <w:r w:rsidRPr="00ED237F">
        <w:rPr>
          <w:noProof/>
          <w:color w:val="000000"/>
          <w:szCs w:val="22"/>
        </w:rPr>
        <w:t xml:space="preserve"> protein </w:t>
      </w:r>
      <w:r>
        <w:rPr>
          <w:noProof/>
          <w:color w:val="000000"/>
          <w:szCs w:val="22"/>
        </w:rPr>
        <w:t xml:space="preserve">called </w:t>
      </w:r>
      <w:r w:rsidRPr="00ED237F">
        <w:rPr>
          <w:noProof/>
          <w:color w:val="000000"/>
          <w:szCs w:val="22"/>
        </w:rPr>
        <w:t xml:space="preserve">tumour necrosis factor </w:t>
      </w:r>
      <w:r>
        <w:rPr>
          <w:noProof/>
          <w:color w:val="000000"/>
          <w:szCs w:val="22"/>
        </w:rPr>
        <w:t>(</w:t>
      </w:r>
      <w:r w:rsidRPr="00ED237F">
        <w:rPr>
          <w:noProof/>
          <w:color w:val="000000"/>
          <w:szCs w:val="22"/>
        </w:rPr>
        <w:t xml:space="preserve">TNFα), which </w:t>
      </w:r>
      <w:r>
        <w:rPr>
          <w:noProof/>
          <w:color w:val="000000"/>
          <w:szCs w:val="22"/>
        </w:rPr>
        <w:t xml:space="preserve">is involved in the immune (defence) system and </w:t>
      </w:r>
      <w:r w:rsidRPr="00ED237F">
        <w:rPr>
          <w:noProof/>
          <w:color w:val="000000"/>
          <w:szCs w:val="22"/>
        </w:rPr>
        <w:t xml:space="preserve">is present at increased levels in </w:t>
      </w:r>
      <w:r>
        <w:rPr>
          <w:noProof/>
          <w:color w:val="000000"/>
          <w:szCs w:val="22"/>
        </w:rPr>
        <w:t xml:space="preserve">the </w:t>
      </w:r>
      <w:r w:rsidRPr="00ED237F">
        <w:rPr>
          <w:noProof/>
          <w:color w:val="000000"/>
          <w:szCs w:val="22"/>
        </w:rPr>
        <w:t xml:space="preserve">inflammatory diseases </w:t>
      </w:r>
      <w:r>
        <w:rPr>
          <w:noProof/>
          <w:color w:val="000000"/>
          <w:szCs w:val="22"/>
        </w:rPr>
        <w:t>listed above</w:t>
      </w:r>
      <w:r w:rsidRPr="00ED237F">
        <w:rPr>
          <w:noProof/>
          <w:color w:val="000000"/>
          <w:szCs w:val="22"/>
        </w:rPr>
        <w:t>.</w:t>
      </w:r>
      <w:r w:rsidRPr="00A7331B">
        <w:rPr>
          <w:noProof/>
          <w:color w:val="000000"/>
          <w:szCs w:val="22"/>
        </w:rPr>
        <w:t xml:space="preserve"> </w:t>
      </w:r>
      <w:r>
        <w:rPr>
          <w:noProof/>
          <w:color w:val="000000"/>
          <w:szCs w:val="22"/>
        </w:rPr>
        <w:t xml:space="preserve">By attaching to </w:t>
      </w:r>
      <w:r w:rsidRPr="00ED237F">
        <w:rPr>
          <w:noProof/>
          <w:color w:val="000000"/>
          <w:szCs w:val="22"/>
        </w:rPr>
        <w:t>TNFα</w:t>
      </w:r>
      <w:r>
        <w:rPr>
          <w:noProof/>
          <w:color w:val="000000"/>
          <w:szCs w:val="22"/>
        </w:rPr>
        <w:t>, Humira decreases the process of inflammation in these diseases.</w:t>
      </w:r>
    </w:p>
    <w:p w14:paraId="6EFA1F53" w14:textId="77777777" w:rsidR="00BC0E7E" w:rsidRPr="00BC0E7E" w:rsidRDefault="00BC0E7E" w:rsidP="00BC0E7E"/>
    <w:p w14:paraId="0C90AFD6" w14:textId="77777777" w:rsidR="00BC0E7E" w:rsidRPr="00BC0E7E" w:rsidRDefault="00944B8F" w:rsidP="008B1550">
      <w:pPr>
        <w:keepNext/>
        <w:rPr>
          <w:b/>
          <w:szCs w:val="20"/>
        </w:rPr>
      </w:pPr>
      <w:r w:rsidRPr="00BC0E7E">
        <w:rPr>
          <w:b/>
          <w:szCs w:val="20"/>
        </w:rPr>
        <w:lastRenderedPageBreak/>
        <w:t>Rheumatoid arthritis</w:t>
      </w:r>
    </w:p>
    <w:p w14:paraId="25B661D0" w14:textId="77777777" w:rsidR="00BC0E7E" w:rsidRPr="00BC0E7E" w:rsidRDefault="00BC0E7E" w:rsidP="008B1550">
      <w:pPr>
        <w:keepNext/>
        <w:rPr>
          <w:szCs w:val="20"/>
        </w:rPr>
      </w:pPr>
    </w:p>
    <w:p w14:paraId="60D31D76" w14:textId="77777777" w:rsidR="00BC0E7E" w:rsidRPr="00BC0E7E" w:rsidRDefault="00944B8F" w:rsidP="008B1550">
      <w:pPr>
        <w:keepNext/>
      </w:pPr>
      <w:r w:rsidRPr="00BC0E7E">
        <w:t>Rheumatoid arthritis is an inflammatory disease of the joints.</w:t>
      </w:r>
    </w:p>
    <w:p w14:paraId="1E1E1ADA" w14:textId="77777777" w:rsidR="00BC0E7E" w:rsidRPr="00BC0E7E" w:rsidRDefault="00BC0E7E" w:rsidP="00BC0E7E"/>
    <w:p w14:paraId="03F8CEA7" w14:textId="77777777" w:rsidR="00BC0E7E" w:rsidRPr="00BC0E7E" w:rsidRDefault="00944B8F" w:rsidP="00BC0E7E">
      <w:r w:rsidRPr="00BC0E7E">
        <w:t>Humira is used to treat moderate to severe rheumatoid arthritis in adults. You may first be given other disease-modifying medicines, such as methotrexate. If you do not respond well enough to these medicines, you will be given Humira.</w:t>
      </w:r>
    </w:p>
    <w:p w14:paraId="7B1C8BA5" w14:textId="77777777" w:rsidR="00BC0E7E" w:rsidRPr="00BC0E7E" w:rsidRDefault="00BC0E7E" w:rsidP="00BC0E7E"/>
    <w:p w14:paraId="112634E0" w14:textId="77777777" w:rsidR="00BC0E7E" w:rsidRPr="00BC0E7E" w:rsidRDefault="00944B8F" w:rsidP="00BC0E7E">
      <w:r w:rsidRPr="00BC0E7E">
        <w:t>Humira can also be used to treat severe, active and progressive rheumatoid arthritis without previous methotrexate treatment.</w:t>
      </w:r>
    </w:p>
    <w:p w14:paraId="01C739A4" w14:textId="77777777" w:rsidR="00BC0E7E" w:rsidRPr="00BC0E7E" w:rsidRDefault="00BC0E7E" w:rsidP="00BC0E7E"/>
    <w:p w14:paraId="52FAE7E6" w14:textId="77777777" w:rsidR="00BC0E7E" w:rsidRPr="00BC0E7E" w:rsidRDefault="00944B8F" w:rsidP="00BC0E7E">
      <w:pPr>
        <w:numPr>
          <w:ilvl w:val="12"/>
          <w:numId w:val="0"/>
        </w:numPr>
        <w:ind w:right="-2"/>
      </w:pPr>
      <w:r w:rsidRPr="00BC0E7E">
        <w:t xml:space="preserve">Humira can slow down the damage to the joints caused by the inflammatory disease and can help them move more freely. </w:t>
      </w:r>
    </w:p>
    <w:p w14:paraId="7E9F398C" w14:textId="77777777" w:rsidR="00BC0E7E" w:rsidRPr="00BC0E7E" w:rsidRDefault="00BC0E7E" w:rsidP="00BC0E7E">
      <w:pPr>
        <w:numPr>
          <w:ilvl w:val="12"/>
          <w:numId w:val="0"/>
        </w:numPr>
        <w:ind w:right="-2"/>
      </w:pPr>
    </w:p>
    <w:p w14:paraId="3D6F9C48" w14:textId="77777777" w:rsidR="00BC0E7E" w:rsidRPr="00BC0E7E" w:rsidRDefault="00944B8F" w:rsidP="00BC0E7E">
      <w:pPr>
        <w:rPr>
          <w:szCs w:val="20"/>
        </w:rPr>
      </w:pPr>
      <w:r w:rsidRPr="00BC0E7E">
        <w:rPr>
          <w:szCs w:val="20"/>
        </w:rPr>
        <w:t xml:space="preserve">Your doctor will decide if Humira should be used with methotrexate or alone. </w:t>
      </w:r>
    </w:p>
    <w:p w14:paraId="7DCB49B3" w14:textId="77777777" w:rsidR="00BC0E7E" w:rsidRPr="00BC0E7E" w:rsidRDefault="00BC0E7E" w:rsidP="00BC0E7E">
      <w:pPr>
        <w:rPr>
          <w:szCs w:val="20"/>
        </w:rPr>
      </w:pPr>
    </w:p>
    <w:p w14:paraId="7AD7462B" w14:textId="77777777" w:rsidR="00BC0E7E" w:rsidRPr="00BC0E7E" w:rsidRDefault="00944B8F" w:rsidP="00BC0E7E">
      <w:pPr>
        <w:rPr>
          <w:b/>
          <w:szCs w:val="20"/>
        </w:rPr>
      </w:pPr>
      <w:r w:rsidRPr="00BC0E7E">
        <w:rPr>
          <w:b/>
          <w:szCs w:val="20"/>
        </w:rPr>
        <w:t>Polyarticular juvenile idiopathic arthritis</w:t>
      </w:r>
    </w:p>
    <w:p w14:paraId="2FABE06D" w14:textId="77777777" w:rsidR="00BC0E7E" w:rsidRPr="00BC0E7E" w:rsidRDefault="00BC0E7E" w:rsidP="00BC0E7E">
      <w:pPr>
        <w:rPr>
          <w:szCs w:val="20"/>
        </w:rPr>
      </w:pPr>
    </w:p>
    <w:p w14:paraId="6FCD725D" w14:textId="77777777" w:rsidR="00BC0E7E" w:rsidRPr="00BC0E7E" w:rsidRDefault="00944B8F" w:rsidP="00BC0E7E">
      <w:pPr>
        <w:numPr>
          <w:ilvl w:val="12"/>
          <w:numId w:val="0"/>
        </w:numPr>
        <w:tabs>
          <w:tab w:val="clear" w:pos="562"/>
        </w:tabs>
        <w:ind w:right="-2"/>
      </w:pPr>
      <w:r w:rsidRPr="00BC0E7E">
        <w:t>Polyarticular juvenile idiopathic arthritis is an inflammatory disease of the joints.</w:t>
      </w:r>
    </w:p>
    <w:p w14:paraId="37A93F8A" w14:textId="77777777" w:rsidR="00BC0E7E" w:rsidRPr="00BC0E7E" w:rsidRDefault="00BC0E7E" w:rsidP="00BC0E7E">
      <w:pPr>
        <w:numPr>
          <w:ilvl w:val="12"/>
          <w:numId w:val="0"/>
        </w:numPr>
        <w:tabs>
          <w:tab w:val="clear" w:pos="562"/>
        </w:tabs>
        <w:ind w:right="-2"/>
      </w:pPr>
    </w:p>
    <w:p w14:paraId="72F75E62" w14:textId="77777777" w:rsidR="00BC0E7E" w:rsidRPr="00BC0E7E" w:rsidRDefault="00944B8F" w:rsidP="00BC0E7E">
      <w:pPr>
        <w:numPr>
          <w:ilvl w:val="12"/>
          <w:numId w:val="0"/>
        </w:numPr>
        <w:tabs>
          <w:tab w:val="clear" w:pos="562"/>
        </w:tabs>
        <w:ind w:right="-2"/>
      </w:pPr>
      <w:r w:rsidRPr="00BC0E7E">
        <w:t>Humira is used to treat polyarticular juvenile idiopathic arthritis in patients from 2 years of age. You may first be given other disease-modifying medicines, such as methotrexate. If you do not respond well enough to these medicines, you will be given Humira.</w:t>
      </w:r>
    </w:p>
    <w:p w14:paraId="16ECB9DC" w14:textId="77777777" w:rsidR="00BC0E7E" w:rsidRPr="00BC0E7E" w:rsidRDefault="00BC0E7E" w:rsidP="00BC0E7E">
      <w:pPr>
        <w:numPr>
          <w:ilvl w:val="12"/>
          <w:numId w:val="0"/>
        </w:numPr>
        <w:tabs>
          <w:tab w:val="clear" w:pos="562"/>
        </w:tabs>
        <w:ind w:right="-2"/>
      </w:pPr>
    </w:p>
    <w:p w14:paraId="12A2E1E6" w14:textId="77777777" w:rsidR="00BC0E7E" w:rsidRPr="00BC0E7E" w:rsidRDefault="00944B8F" w:rsidP="00BC0E7E">
      <w:pPr>
        <w:numPr>
          <w:ilvl w:val="12"/>
          <w:numId w:val="0"/>
        </w:numPr>
        <w:tabs>
          <w:tab w:val="clear" w:pos="562"/>
        </w:tabs>
        <w:ind w:right="-2"/>
      </w:pPr>
      <w:r w:rsidRPr="00BC0E7E">
        <w:t>Your doctor will decide if Humira should be used with methotrexate or alone.</w:t>
      </w:r>
    </w:p>
    <w:p w14:paraId="0DC0F825" w14:textId="77777777" w:rsidR="00BC0E7E" w:rsidRPr="00BC0E7E" w:rsidRDefault="00BC0E7E" w:rsidP="00BC0E7E">
      <w:pPr>
        <w:numPr>
          <w:ilvl w:val="12"/>
          <w:numId w:val="0"/>
        </w:numPr>
        <w:tabs>
          <w:tab w:val="clear" w:pos="562"/>
        </w:tabs>
        <w:ind w:right="-2"/>
      </w:pPr>
    </w:p>
    <w:p w14:paraId="3EFC50C6" w14:textId="77777777" w:rsidR="00BC0E7E" w:rsidRPr="00BC0E7E" w:rsidRDefault="00944B8F" w:rsidP="00BC0E7E">
      <w:pPr>
        <w:numPr>
          <w:ilvl w:val="12"/>
          <w:numId w:val="0"/>
        </w:numPr>
        <w:tabs>
          <w:tab w:val="clear" w:pos="562"/>
        </w:tabs>
        <w:ind w:right="-2"/>
        <w:rPr>
          <w:b/>
        </w:rPr>
      </w:pPr>
      <w:r w:rsidRPr="00BC0E7E">
        <w:rPr>
          <w:b/>
        </w:rPr>
        <w:t>Enthesitis-related arthritis</w:t>
      </w:r>
    </w:p>
    <w:p w14:paraId="70B391A5" w14:textId="77777777" w:rsidR="00BC0E7E" w:rsidRPr="00BC0E7E" w:rsidRDefault="00BC0E7E" w:rsidP="00BC0E7E">
      <w:pPr>
        <w:numPr>
          <w:ilvl w:val="12"/>
          <w:numId w:val="0"/>
        </w:numPr>
        <w:tabs>
          <w:tab w:val="clear" w:pos="562"/>
        </w:tabs>
        <w:ind w:right="-2"/>
      </w:pPr>
    </w:p>
    <w:p w14:paraId="33E75F5A" w14:textId="77777777" w:rsidR="00BC0E7E" w:rsidRPr="00BC0E7E" w:rsidRDefault="00944B8F" w:rsidP="00BC0E7E">
      <w:pPr>
        <w:numPr>
          <w:ilvl w:val="12"/>
          <w:numId w:val="0"/>
        </w:numPr>
        <w:tabs>
          <w:tab w:val="clear" w:pos="562"/>
        </w:tabs>
        <w:ind w:right="-2"/>
      </w:pPr>
      <w:r w:rsidRPr="00BC0E7E">
        <w:t>Enthesitis-related arthritis is an inflammatory disease of the joints and the places where tendons join the bone.</w:t>
      </w:r>
    </w:p>
    <w:p w14:paraId="4E41D5A3" w14:textId="77777777" w:rsidR="00BC0E7E" w:rsidRPr="00BC0E7E" w:rsidRDefault="00BC0E7E" w:rsidP="00BC0E7E">
      <w:pPr>
        <w:numPr>
          <w:ilvl w:val="12"/>
          <w:numId w:val="0"/>
        </w:numPr>
        <w:tabs>
          <w:tab w:val="clear" w:pos="562"/>
        </w:tabs>
        <w:ind w:right="-2"/>
      </w:pPr>
    </w:p>
    <w:p w14:paraId="4EADB52A" w14:textId="77777777" w:rsidR="00BC0E7E" w:rsidRPr="00BC0E7E" w:rsidRDefault="00944B8F" w:rsidP="00BC0E7E">
      <w:pPr>
        <w:numPr>
          <w:ilvl w:val="12"/>
          <w:numId w:val="0"/>
        </w:numPr>
        <w:tabs>
          <w:tab w:val="clear" w:pos="562"/>
        </w:tabs>
        <w:ind w:right="-2"/>
      </w:pPr>
      <w:r w:rsidRPr="00BC0E7E">
        <w:t>Humira is used to treat enthesitis-related arthritis in patients from 6 years of age. You may first be given other disease-modifying medicines, such as methotrexate. If you do not respond well enough to these medicines, you will be given Humira.</w:t>
      </w:r>
    </w:p>
    <w:p w14:paraId="790BFC1F" w14:textId="77777777" w:rsidR="00BC0E7E" w:rsidRPr="00BC0E7E" w:rsidRDefault="00BC0E7E" w:rsidP="00BC0E7E">
      <w:pPr>
        <w:numPr>
          <w:ilvl w:val="12"/>
          <w:numId w:val="0"/>
        </w:numPr>
        <w:tabs>
          <w:tab w:val="clear" w:pos="562"/>
        </w:tabs>
        <w:ind w:right="-2"/>
      </w:pPr>
    </w:p>
    <w:p w14:paraId="5BD438BB" w14:textId="77777777" w:rsidR="00BC0E7E" w:rsidRPr="00BC0E7E" w:rsidRDefault="00944B8F" w:rsidP="00BC0E7E">
      <w:pPr>
        <w:rPr>
          <w:szCs w:val="20"/>
        </w:rPr>
      </w:pPr>
      <w:r w:rsidRPr="00BC0E7E">
        <w:rPr>
          <w:b/>
          <w:szCs w:val="20"/>
        </w:rPr>
        <w:t>Ankylosing spondylitis and axial spondyloarthritis without radiographic evidence of ankylosing spondylitis</w:t>
      </w:r>
    </w:p>
    <w:p w14:paraId="7791475B" w14:textId="77777777" w:rsidR="00BC0E7E" w:rsidRPr="00BC0E7E" w:rsidRDefault="00BC0E7E" w:rsidP="00BC0E7E">
      <w:pPr>
        <w:rPr>
          <w:szCs w:val="20"/>
        </w:rPr>
      </w:pPr>
    </w:p>
    <w:p w14:paraId="1B6B5DB4" w14:textId="77777777" w:rsidR="00BC0E7E" w:rsidRPr="00BC0E7E" w:rsidRDefault="00944B8F" w:rsidP="00BC0E7E">
      <w:pPr>
        <w:rPr>
          <w:szCs w:val="20"/>
        </w:rPr>
      </w:pPr>
      <w:r w:rsidRPr="00BC0E7E">
        <w:rPr>
          <w:szCs w:val="20"/>
        </w:rPr>
        <w:t>Ankylosing spondylitis and axial spondyloarthritis without radiographic evidence of ankylosing spondylitis are inflammatory diseases of the spine.</w:t>
      </w:r>
    </w:p>
    <w:p w14:paraId="00F68EBF" w14:textId="77777777" w:rsidR="00BC0E7E" w:rsidRPr="00BC0E7E" w:rsidRDefault="00BC0E7E" w:rsidP="00BC0E7E">
      <w:pPr>
        <w:rPr>
          <w:szCs w:val="20"/>
        </w:rPr>
      </w:pPr>
    </w:p>
    <w:p w14:paraId="0DCEEC63" w14:textId="77777777" w:rsidR="00BC0E7E" w:rsidRPr="00BC0E7E" w:rsidRDefault="00944B8F" w:rsidP="00BC0E7E">
      <w:pPr>
        <w:rPr>
          <w:szCs w:val="20"/>
        </w:rPr>
      </w:pPr>
      <w:r w:rsidRPr="00BC0E7E">
        <w:rPr>
          <w:szCs w:val="20"/>
        </w:rPr>
        <w:t>Humira is used to treat severe ankylosing spondylitis and axial spondyloarthritis without radiographic evidence of ankylosing spondylitis in adults. You may first be given other medicines. If you do not respond well enough to these medicines, you will be given Humira.</w:t>
      </w:r>
    </w:p>
    <w:p w14:paraId="564F51E1" w14:textId="77777777" w:rsidR="00BC0E7E" w:rsidRPr="00BC0E7E" w:rsidRDefault="00BC0E7E" w:rsidP="00BC0E7E">
      <w:pPr>
        <w:rPr>
          <w:szCs w:val="20"/>
        </w:rPr>
      </w:pPr>
    </w:p>
    <w:p w14:paraId="3C0507C2" w14:textId="77777777" w:rsidR="00BC0E7E" w:rsidRPr="00BC0E7E" w:rsidRDefault="00944B8F" w:rsidP="00BC0E7E">
      <w:pPr>
        <w:rPr>
          <w:b/>
          <w:szCs w:val="20"/>
        </w:rPr>
      </w:pPr>
      <w:r w:rsidRPr="00BC0E7E">
        <w:rPr>
          <w:b/>
          <w:szCs w:val="20"/>
        </w:rPr>
        <w:t>Psoriatic arthritis</w:t>
      </w:r>
    </w:p>
    <w:p w14:paraId="2807658F" w14:textId="77777777" w:rsidR="00BC0E7E" w:rsidRPr="00BC0E7E" w:rsidRDefault="00BC0E7E" w:rsidP="00BC0E7E">
      <w:pPr>
        <w:rPr>
          <w:szCs w:val="20"/>
        </w:rPr>
      </w:pPr>
    </w:p>
    <w:p w14:paraId="3ECFEEC0" w14:textId="77777777" w:rsidR="00BC0E7E" w:rsidRPr="00BC0E7E" w:rsidRDefault="00944B8F" w:rsidP="00BC0E7E">
      <w:pPr>
        <w:rPr>
          <w:szCs w:val="20"/>
        </w:rPr>
      </w:pPr>
      <w:r w:rsidRPr="00BC0E7E">
        <w:rPr>
          <w:szCs w:val="20"/>
        </w:rPr>
        <w:t>Psoriatic arthritis is an inflammatory disease of the joints that is usually associated with psoriasis.</w:t>
      </w:r>
    </w:p>
    <w:p w14:paraId="4A070062" w14:textId="77777777" w:rsidR="00BC0E7E" w:rsidRPr="00BC0E7E" w:rsidRDefault="00BC0E7E" w:rsidP="00BC0E7E">
      <w:pPr>
        <w:rPr>
          <w:szCs w:val="20"/>
        </w:rPr>
      </w:pPr>
    </w:p>
    <w:p w14:paraId="09A69821" w14:textId="77777777" w:rsidR="00BC0E7E" w:rsidRPr="00BC0E7E" w:rsidRDefault="00944B8F" w:rsidP="00BC0E7E">
      <w:pPr>
        <w:rPr>
          <w:szCs w:val="20"/>
        </w:rPr>
      </w:pPr>
      <w:r w:rsidRPr="00BC0E7E">
        <w:rPr>
          <w:szCs w:val="20"/>
        </w:rPr>
        <w:t>Humira is used to treat psoriatic arthritis in adults. Humira can slow down the damage to the joints caused by the disease and can help them move more freely. You may first be given other medicines. If you do not respond well enough to these medicines, you will be given Humira.</w:t>
      </w:r>
    </w:p>
    <w:p w14:paraId="5726EC60" w14:textId="77777777" w:rsidR="00BC0E7E" w:rsidRPr="00BC0E7E" w:rsidRDefault="00BC0E7E" w:rsidP="00BC0E7E">
      <w:pPr>
        <w:rPr>
          <w:szCs w:val="20"/>
        </w:rPr>
      </w:pPr>
    </w:p>
    <w:p w14:paraId="0B46F62C" w14:textId="77777777" w:rsidR="00BC0E7E" w:rsidRPr="00BC0E7E" w:rsidRDefault="00944B8F" w:rsidP="00171601">
      <w:pPr>
        <w:keepNext/>
        <w:tabs>
          <w:tab w:val="clear" w:pos="562"/>
        </w:tabs>
        <w:suppressAutoHyphens w:val="0"/>
        <w:overflowPunct w:val="0"/>
        <w:autoSpaceDE w:val="0"/>
        <w:autoSpaceDN w:val="0"/>
        <w:adjustRightInd w:val="0"/>
        <w:textAlignment w:val="baseline"/>
        <w:rPr>
          <w:bCs/>
          <w:iCs/>
          <w:szCs w:val="20"/>
          <w:u w:val="single"/>
        </w:rPr>
      </w:pPr>
      <w:r w:rsidRPr="00BC0E7E">
        <w:rPr>
          <w:b/>
          <w:bCs/>
          <w:iCs/>
          <w:szCs w:val="20"/>
        </w:rPr>
        <w:lastRenderedPageBreak/>
        <w:t>Plaque psoriasis</w:t>
      </w:r>
      <w:r w:rsidRPr="00BC0E7E">
        <w:rPr>
          <w:bCs/>
          <w:iCs/>
          <w:szCs w:val="20"/>
          <w:u w:val="single"/>
        </w:rPr>
        <w:t xml:space="preserve"> </w:t>
      </w:r>
    </w:p>
    <w:p w14:paraId="3C5E9A8D" w14:textId="77777777" w:rsidR="00BC0E7E" w:rsidRPr="00BC0E7E" w:rsidRDefault="00BC0E7E" w:rsidP="00171601">
      <w:pPr>
        <w:keepNext/>
        <w:rPr>
          <w:szCs w:val="21"/>
        </w:rPr>
      </w:pPr>
    </w:p>
    <w:p w14:paraId="145BDF47" w14:textId="77777777" w:rsidR="00BC0E7E" w:rsidRPr="00BC0E7E" w:rsidRDefault="00944B8F" w:rsidP="00171601">
      <w:pPr>
        <w:keepNext/>
        <w:numPr>
          <w:ilvl w:val="12"/>
          <w:numId w:val="0"/>
        </w:numPr>
        <w:tabs>
          <w:tab w:val="clear" w:pos="562"/>
        </w:tabs>
        <w:ind w:right="-2"/>
      </w:pPr>
      <w:r w:rsidRPr="00BC0E7E">
        <w:t xml:space="preserve">Plaque psoriasis is a skin condition that causes red, flaky, crusty patches of skin covered with silvery scales. Plaque psoriasis can also affect the nails, causing them to crumble, become thickened and lift away from the nail bed which can be painful.  </w:t>
      </w:r>
    </w:p>
    <w:p w14:paraId="23916848" w14:textId="77777777" w:rsidR="00BC0E7E" w:rsidRPr="00BC0E7E" w:rsidRDefault="00BC0E7E" w:rsidP="00BC0E7E">
      <w:pPr>
        <w:rPr>
          <w:szCs w:val="21"/>
        </w:rPr>
      </w:pPr>
    </w:p>
    <w:p w14:paraId="1C5A628F" w14:textId="77777777" w:rsidR="00BC0E7E" w:rsidRPr="00BC0E7E" w:rsidRDefault="00944B8F" w:rsidP="00BC0E7E">
      <w:pPr>
        <w:keepNext/>
        <w:rPr>
          <w:szCs w:val="21"/>
        </w:rPr>
      </w:pPr>
      <w:r w:rsidRPr="00BC0E7E">
        <w:rPr>
          <w:szCs w:val="21"/>
        </w:rPr>
        <w:t>Humira is used to treat</w:t>
      </w:r>
    </w:p>
    <w:p w14:paraId="5283B79A" w14:textId="77777777" w:rsidR="00BC0E7E" w:rsidRPr="00BC0E7E" w:rsidRDefault="00944B8F" w:rsidP="00D51999">
      <w:pPr>
        <w:keepNext/>
        <w:numPr>
          <w:ilvl w:val="0"/>
          <w:numId w:val="55"/>
        </w:numPr>
        <w:tabs>
          <w:tab w:val="clear" w:pos="562"/>
          <w:tab w:val="left" w:pos="720"/>
        </w:tabs>
        <w:rPr>
          <w:szCs w:val="21"/>
        </w:rPr>
      </w:pPr>
      <w:r w:rsidRPr="00BC0E7E">
        <w:rPr>
          <w:szCs w:val="21"/>
        </w:rPr>
        <w:t xml:space="preserve">moderate to severe chronic plaque psoriasis in adults and </w:t>
      </w:r>
    </w:p>
    <w:p w14:paraId="22277CDE" w14:textId="77777777" w:rsidR="00BC0E7E" w:rsidRPr="00BC0E7E" w:rsidRDefault="00944B8F" w:rsidP="00D51999">
      <w:pPr>
        <w:keepNext/>
        <w:numPr>
          <w:ilvl w:val="0"/>
          <w:numId w:val="55"/>
        </w:numPr>
        <w:tabs>
          <w:tab w:val="clear" w:pos="562"/>
          <w:tab w:val="left" w:pos="720"/>
        </w:tabs>
        <w:rPr>
          <w:szCs w:val="21"/>
        </w:rPr>
      </w:pPr>
      <w:r w:rsidRPr="00BC0E7E">
        <w:rPr>
          <w:szCs w:val="21"/>
        </w:rPr>
        <w:t>severe chronic plaque psoriasis in children and adolescents aged 4 to 17 years for whom topical therapy and phototherapies have either not worked very well or are not suitable.</w:t>
      </w:r>
    </w:p>
    <w:p w14:paraId="5FEE1608" w14:textId="77777777" w:rsidR="00BC0E7E" w:rsidRPr="00BC0E7E" w:rsidRDefault="00BC0E7E" w:rsidP="00BC0E7E">
      <w:pPr>
        <w:keepNext/>
        <w:ind w:left="58"/>
        <w:rPr>
          <w:szCs w:val="21"/>
        </w:rPr>
      </w:pPr>
    </w:p>
    <w:p w14:paraId="4BD01263" w14:textId="77777777" w:rsidR="00BC0E7E" w:rsidRPr="00BC0E7E" w:rsidRDefault="00944B8F" w:rsidP="00BC0E7E">
      <w:pPr>
        <w:keepNext/>
        <w:rPr>
          <w:b/>
          <w:szCs w:val="21"/>
        </w:rPr>
      </w:pPr>
      <w:r w:rsidRPr="00BC0E7E">
        <w:rPr>
          <w:b/>
          <w:szCs w:val="21"/>
        </w:rPr>
        <w:t>Hidradenitis suppurativa</w:t>
      </w:r>
    </w:p>
    <w:p w14:paraId="085E45DF" w14:textId="77777777" w:rsidR="00BC0E7E" w:rsidRPr="00BC0E7E" w:rsidRDefault="00BC0E7E" w:rsidP="00BC0E7E">
      <w:pPr>
        <w:keepNext/>
        <w:rPr>
          <w:szCs w:val="21"/>
        </w:rPr>
      </w:pPr>
    </w:p>
    <w:p w14:paraId="23AB30B0" w14:textId="77777777" w:rsidR="00BC0E7E" w:rsidRPr="00BC0E7E" w:rsidRDefault="00944B8F" w:rsidP="00BC0E7E">
      <w:pPr>
        <w:keepNext/>
        <w:rPr>
          <w:szCs w:val="22"/>
        </w:rPr>
      </w:pPr>
      <w:r w:rsidRPr="00BC0E7E">
        <w:rPr>
          <w:szCs w:val="22"/>
        </w:rPr>
        <w:t>Hidradenitis suppurativa (sometimes called acne inversa) is a chronic and often painful inflammatory skin disease. Symptoms may include tender nodules (lumps) and abscesses (boils) that may leak pus. It most commonly affects specific areas of the skin, such as under the breasts, the armpits, inner thighs, groin and buttocks. Scarring may also occur in affected areas.</w:t>
      </w:r>
    </w:p>
    <w:p w14:paraId="79779E02" w14:textId="77777777" w:rsidR="00BC0E7E" w:rsidRPr="00BC0E7E" w:rsidRDefault="00BC0E7E" w:rsidP="00BC0E7E">
      <w:pPr>
        <w:keepNext/>
        <w:rPr>
          <w:szCs w:val="22"/>
        </w:rPr>
      </w:pPr>
    </w:p>
    <w:p w14:paraId="7CF5BD44" w14:textId="77777777" w:rsidR="00BC0E7E" w:rsidRPr="00BC0E7E" w:rsidRDefault="00944B8F" w:rsidP="00BC0E7E">
      <w:pPr>
        <w:rPr>
          <w:szCs w:val="22"/>
        </w:rPr>
      </w:pPr>
      <w:r w:rsidRPr="00BC0E7E">
        <w:rPr>
          <w:szCs w:val="22"/>
        </w:rPr>
        <w:t xml:space="preserve">Humira is used to treat </w:t>
      </w:r>
    </w:p>
    <w:p w14:paraId="7A6AD45C" w14:textId="77777777" w:rsidR="00BC0E7E" w:rsidRPr="00BC0E7E" w:rsidRDefault="00944B8F" w:rsidP="00BC0E7E">
      <w:pPr>
        <w:numPr>
          <w:ilvl w:val="0"/>
          <w:numId w:val="22"/>
        </w:numPr>
        <w:rPr>
          <w:szCs w:val="22"/>
        </w:rPr>
      </w:pPr>
      <w:r w:rsidRPr="00BC0E7E">
        <w:rPr>
          <w:szCs w:val="22"/>
        </w:rPr>
        <w:t>moderate to severe hidradenitis suppurativa in adults and</w:t>
      </w:r>
    </w:p>
    <w:p w14:paraId="6F61B498" w14:textId="77777777" w:rsidR="00BC0E7E" w:rsidRPr="00BC0E7E" w:rsidRDefault="00944B8F" w:rsidP="00BC0E7E">
      <w:pPr>
        <w:numPr>
          <w:ilvl w:val="0"/>
          <w:numId w:val="22"/>
        </w:numPr>
        <w:rPr>
          <w:szCs w:val="22"/>
        </w:rPr>
      </w:pPr>
      <w:r w:rsidRPr="00BC0E7E">
        <w:rPr>
          <w:szCs w:val="22"/>
        </w:rPr>
        <w:t xml:space="preserve">moderate to severe hidradenitis suppurativa in adolescents </w:t>
      </w:r>
      <w:r w:rsidR="00342B22">
        <w:rPr>
          <w:szCs w:val="22"/>
        </w:rPr>
        <w:t>aged</w:t>
      </w:r>
      <w:r w:rsidR="00342B22" w:rsidRPr="00BC0E7E">
        <w:rPr>
          <w:szCs w:val="22"/>
        </w:rPr>
        <w:t xml:space="preserve"> </w:t>
      </w:r>
      <w:r w:rsidRPr="00BC0E7E">
        <w:rPr>
          <w:szCs w:val="22"/>
        </w:rPr>
        <w:t xml:space="preserve">12 </w:t>
      </w:r>
      <w:r w:rsidR="00342B22">
        <w:rPr>
          <w:szCs w:val="22"/>
        </w:rPr>
        <w:t>to 17</w:t>
      </w:r>
      <w:r w:rsidR="005A3CA5">
        <w:rPr>
          <w:szCs w:val="22"/>
        </w:rPr>
        <w:t> </w:t>
      </w:r>
      <w:r w:rsidRPr="00BC0E7E">
        <w:rPr>
          <w:szCs w:val="22"/>
        </w:rPr>
        <w:t>years</w:t>
      </w:r>
      <w:r w:rsidR="00342B22">
        <w:rPr>
          <w:szCs w:val="22"/>
        </w:rPr>
        <w:t>.</w:t>
      </w:r>
      <w:r w:rsidRPr="00BC0E7E">
        <w:rPr>
          <w:szCs w:val="22"/>
        </w:rPr>
        <w:t> </w:t>
      </w:r>
    </w:p>
    <w:p w14:paraId="125A3012" w14:textId="77777777" w:rsidR="00BC0E7E" w:rsidRPr="00BC0E7E" w:rsidRDefault="00BC0E7E" w:rsidP="00BC0E7E">
      <w:pPr>
        <w:ind w:left="720"/>
        <w:rPr>
          <w:szCs w:val="22"/>
        </w:rPr>
      </w:pPr>
    </w:p>
    <w:p w14:paraId="28F2D7F7" w14:textId="77777777" w:rsidR="00BC0E7E" w:rsidRPr="00BC0E7E" w:rsidRDefault="00944B8F" w:rsidP="00BC0E7E">
      <w:pPr>
        <w:rPr>
          <w:szCs w:val="22"/>
        </w:rPr>
      </w:pPr>
      <w:r w:rsidRPr="00BC0E7E">
        <w:rPr>
          <w:szCs w:val="22"/>
        </w:rPr>
        <w:t xml:space="preserve">Humira can reduce the number of nodules and abscesses caused by the disease and the pain that is often associated with the disease. </w:t>
      </w:r>
      <w:r w:rsidRPr="00BC0E7E">
        <w:t>You may first be given other medicines. If you do not respond well enough to these medicines, you will be given Humira.</w:t>
      </w:r>
    </w:p>
    <w:p w14:paraId="0753E5C4" w14:textId="77777777" w:rsidR="00BC0E7E" w:rsidRPr="00BC0E7E" w:rsidRDefault="00BC0E7E" w:rsidP="00BC0E7E">
      <w:pPr>
        <w:rPr>
          <w:szCs w:val="20"/>
        </w:rPr>
      </w:pPr>
    </w:p>
    <w:p w14:paraId="38A24B2C" w14:textId="77777777" w:rsidR="00BC0E7E" w:rsidRPr="00BC0E7E" w:rsidRDefault="00944B8F" w:rsidP="00BC0E7E">
      <w:pPr>
        <w:rPr>
          <w:b/>
          <w:szCs w:val="20"/>
        </w:rPr>
      </w:pPr>
      <w:r w:rsidRPr="00BC0E7E">
        <w:rPr>
          <w:b/>
          <w:szCs w:val="20"/>
        </w:rPr>
        <w:t>Crohn’s disease</w:t>
      </w:r>
    </w:p>
    <w:p w14:paraId="452AAEF3" w14:textId="77777777" w:rsidR="00BC0E7E" w:rsidRPr="00BC0E7E" w:rsidRDefault="00BC0E7E" w:rsidP="00BC0E7E">
      <w:pPr>
        <w:rPr>
          <w:szCs w:val="20"/>
        </w:rPr>
      </w:pPr>
    </w:p>
    <w:p w14:paraId="1186838F" w14:textId="77777777" w:rsidR="00BC0E7E" w:rsidRPr="00BC0E7E" w:rsidRDefault="00944B8F" w:rsidP="00BC0E7E">
      <w:pPr>
        <w:rPr>
          <w:szCs w:val="21"/>
        </w:rPr>
      </w:pPr>
      <w:r w:rsidRPr="00BC0E7E">
        <w:rPr>
          <w:szCs w:val="20"/>
        </w:rPr>
        <w:t>Crohn’s disease is an inflammatory disease of the digestive tract.</w:t>
      </w:r>
    </w:p>
    <w:p w14:paraId="7071D246" w14:textId="77777777" w:rsidR="00BC0E7E" w:rsidRPr="00BC0E7E" w:rsidRDefault="00BC0E7E" w:rsidP="00BC0E7E">
      <w:pPr>
        <w:rPr>
          <w:szCs w:val="21"/>
        </w:rPr>
      </w:pPr>
    </w:p>
    <w:p w14:paraId="599CB2A7" w14:textId="77777777" w:rsidR="00BC0E7E" w:rsidRPr="00BC0E7E" w:rsidRDefault="00944B8F" w:rsidP="00BC0E7E">
      <w:pPr>
        <w:rPr>
          <w:szCs w:val="21"/>
        </w:rPr>
      </w:pPr>
      <w:r w:rsidRPr="00BC0E7E">
        <w:rPr>
          <w:szCs w:val="21"/>
        </w:rPr>
        <w:t>Humira is used to treat</w:t>
      </w:r>
    </w:p>
    <w:p w14:paraId="6B7E87CF" w14:textId="77777777" w:rsidR="00BC0E7E" w:rsidRPr="00852331" w:rsidRDefault="00944B8F" w:rsidP="00D51999">
      <w:pPr>
        <w:numPr>
          <w:ilvl w:val="0"/>
          <w:numId w:val="83"/>
        </w:numPr>
        <w:tabs>
          <w:tab w:val="clear" w:pos="562"/>
          <w:tab w:val="left" w:pos="720"/>
        </w:tabs>
        <w:rPr>
          <w:szCs w:val="21"/>
        </w:rPr>
      </w:pPr>
      <w:r w:rsidRPr="00BC0E7E">
        <w:rPr>
          <w:szCs w:val="21"/>
        </w:rPr>
        <w:t xml:space="preserve">moderate to severe Crohn’s disease in adults and </w:t>
      </w:r>
    </w:p>
    <w:p w14:paraId="702CF38D" w14:textId="77777777" w:rsidR="00BC0E7E" w:rsidRPr="00852331" w:rsidRDefault="00944B8F" w:rsidP="00D51999">
      <w:pPr>
        <w:numPr>
          <w:ilvl w:val="0"/>
          <w:numId w:val="83"/>
        </w:numPr>
        <w:tabs>
          <w:tab w:val="clear" w:pos="562"/>
          <w:tab w:val="left" w:pos="720"/>
        </w:tabs>
        <w:rPr>
          <w:szCs w:val="21"/>
        </w:rPr>
      </w:pPr>
      <w:r w:rsidRPr="00BC0E7E">
        <w:rPr>
          <w:szCs w:val="21"/>
        </w:rPr>
        <w:t>moderate to severe Crohn’s disease in children and adolescents aged 6 to 17 years</w:t>
      </w:r>
    </w:p>
    <w:p w14:paraId="07886309" w14:textId="77777777" w:rsidR="00BC0E7E" w:rsidRPr="00BC0E7E" w:rsidRDefault="00BC0E7E" w:rsidP="00BC0E7E">
      <w:pPr>
        <w:tabs>
          <w:tab w:val="clear" w:pos="562"/>
          <w:tab w:val="left" w:pos="720"/>
        </w:tabs>
        <w:ind w:left="360"/>
        <w:rPr>
          <w:szCs w:val="21"/>
        </w:rPr>
      </w:pPr>
    </w:p>
    <w:p w14:paraId="164BF8A9" w14:textId="77777777" w:rsidR="00BC0E7E" w:rsidRPr="00BC0E7E" w:rsidRDefault="00944B8F" w:rsidP="00BC0E7E">
      <w:pPr>
        <w:tabs>
          <w:tab w:val="clear" w:pos="562"/>
          <w:tab w:val="left" w:pos="720"/>
        </w:tabs>
        <w:rPr>
          <w:szCs w:val="20"/>
        </w:rPr>
      </w:pPr>
      <w:r w:rsidRPr="00BC0E7E">
        <w:rPr>
          <w:szCs w:val="20"/>
        </w:rPr>
        <w:t>You may first be given other medicines. If you do not respond well enough to these medicines, you will be given Humira.</w:t>
      </w:r>
    </w:p>
    <w:p w14:paraId="7B8F1B32" w14:textId="77777777" w:rsidR="00BC0E7E" w:rsidRPr="00BC0E7E" w:rsidRDefault="00BC0E7E" w:rsidP="00BC0E7E">
      <w:pPr>
        <w:tabs>
          <w:tab w:val="clear" w:pos="562"/>
          <w:tab w:val="left" w:pos="720"/>
        </w:tabs>
        <w:ind w:left="360"/>
        <w:rPr>
          <w:szCs w:val="21"/>
          <w:u w:val="single"/>
        </w:rPr>
      </w:pPr>
    </w:p>
    <w:p w14:paraId="3C134905" w14:textId="77777777" w:rsidR="00BC0E7E" w:rsidRPr="00BC0E7E" w:rsidRDefault="00944B8F" w:rsidP="00BC0E7E">
      <w:pPr>
        <w:keepNext/>
        <w:rPr>
          <w:b/>
          <w:szCs w:val="21"/>
        </w:rPr>
      </w:pPr>
      <w:r w:rsidRPr="00BC0E7E">
        <w:rPr>
          <w:b/>
          <w:szCs w:val="21"/>
        </w:rPr>
        <w:t>Ulcerative colitis</w:t>
      </w:r>
    </w:p>
    <w:p w14:paraId="4AE52865" w14:textId="77777777" w:rsidR="00BC0E7E" w:rsidRPr="00BC0E7E" w:rsidRDefault="00BC0E7E" w:rsidP="00BC0E7E">
      <w:pPr>
        <w:keepNext/>
        <w:rPr>
          <w:szCs w:val="21"/>
        </w:rPr>
      </w:pPr>
    </w:p>
    <w:p w14:paraId="544B93E4" w14:textId="77777777" w:rsidR="00BC0E7E" w:rsidRPr="00BC0E7E" w:rsidRDefault="00944B8F" w:rsidP="00BC0E7E">
      <w:pPr>
        <w:rPr>
          <w:szCs w:val="21"/>
        </w:rPr>
      </w:pPr>
      <w:r w:rsidRPr="00BC0E7E">
        <w:rPr>
          <w:szCs w:val="21"/>
        </w:rPr>
        <w:t>Ulcerative colitis is an inflammatory disease of the large intestine.</w:t>
      </w:r>
    </w:p>
    <w:p w14:paraId="72756C90" w14:textId="77777777" w:rsidR="00BC0E7E" w:rsidRPr="00BC0E7E" w:rsidRDefault="00BC0E7E" w:rsidP="00BC0E7E">
      <w:pPr>
        <w:rPr>
          <w:szCs w:val="21"/>
        </w:rPr>
      </w:pPr>
    </w:p>
    <w:p w14:paraId="1DD2CF3E" w14:textId="77777777" w:rsidR="009E177D" w:rsidRDefault="00944B8F" w:rsidP="00BC0E7E">
      <w:pPr>
        <w:rPr>
          <w:szCs w:val="21"/>
        </w:rPr>
      </w:pPr>
      <w:r w:rsidRPr="00BC0E7E">
        <w:rPr>
          <w:szCs w:val="21"/>
        </w:rPr>
        <w:t xml:space="preserve">Humira is used to treat </w:t>
      </w:r>
    </w:p>
    <w:p w14:paraId="3B654BF9" w14:textId="77777777" w:rsidR="00CE42B9" w:rsidRDefault="00944B8F" w:rsidP="009E177D">
      <w:pPr>
        <w:pStyle w:val="ListParagraph"/>
        <w:numPr>
          <w:ilvl w:val="0"/>
          <w:numId w:val="39"/>
        </w:numPr>
        <w:rPr>
          <w:szCs w:val="21"/>
        </w:rPr>
      </w:pPr>
      <w:r w:rsidRPr="009E177D">
        <w:rPr>
          <w:szCs w:val="21"/>
        </w:rPr>
        <w:t>moderate to severe ulcerative colitis in adults</w:t>
      </w:r>
      <w:r w:rsidR="006B016C">
        <w:rPr>
          <w:szCs w:val="21"/>
        </w:rPr>
        <w:t xml:space="preserve"> and</w:t>
      </w:r>
      <w:r w:rsidRPr="009E177D">
        <w:rPr>
          <w:szCs w:val="21"/>
        </w:rPr>
        <w:t xml:space="preserve"> </w:t>
      </w:r>
    </w:p>
    <w:p w14:paraId="3820701E" w14:textId="77777777" w:rsidR="00BF7BCB" w:rsidRDefault="00944B8F" w:rsidP="00BF7BCB">
      <w:pPr>
        <w:pStyle w:val="ListParagraph"/>
        <w:numPr>
          <w:ilvl w:val="0"/>
          <w:numId w:val="39"/>
        </w:numPr>
        <w:rPr>
          <w:szCs w:val="21"/>
        </w:rPr>
      </w:pPr>
      <w:r>
        <w:rPr>
          <w:szCs w:val="21"/>
        </w:rPr>
        <w:t>moderate to severe ulcerative colitis in children and adolescents aged 6 to 17 years</w:t>
      </w:r>
      <w:r w:rsidR="00BC32D5">
        <w:rPr>
          <w:szCs w:val="21"/>
        </w:rPr>
        <w:t>.</w:t>
      </w:r>
    </w:p>
    <w:p w14:paraId="4F79EE83" w14:textId="77777777" w:rsidR="00CE42B9" w:rsidRDefault="00CE42B9" w:rsidP="00CE42B9">
      <w:pPr>
        <w:rPr>
          <w:szCs w:val="20"/>
        </w:rPr>
      </w:pPr>
    </w:p>
    <w:p w14:paraId="13BFF999" w14:textId="77777777" w:rsidR="00BC0E7E" w:rsidRPr="00CE42B9" w:rsidRDefault="00944B8F" w:rsidP="00CE42B9">
      <w:pPr>
        <w:rPr>
          <w:szCs w:val="21"/>
        </w:rPr>
      </w:pPr>
      <w:r w:rsidRPr="00CE42B9">
        <w:rPr>
          <w:szCs w:val="20"/>
        </w:rPr>
        <w:t>You may first be given other medicines. If you do not respond well enough to these medicines, you will be given Humira.</w:t>
      </w:r>
    </w:p>
    <w:p w14:paraId="46D72C89" w14:textId="77777777" w:rsidR="00BC0E7E" w:rsidRPr="00BC0E7E" w:rsidRDefault="00BC0E7E" w:rsidP="00BC0E7E">
      <w:pPr>
        <w:rPr>
          <w:szCs w:val="21"/>
        </w:rPr>
      </w:pPr>
    </w:p>
    <w:p w14:paraId="47D46853" w14:textId="77777777" w:rsidR="00BC0E7E" w:rsidRPr="00BC0E7E" w:rsidRDefault="00944B8F" w:rsidP="00BC0E7E">
      <w:pPr>
        <w:rPr>
          <w:b/>
          <w:szCs w:val="20"/>
        </w:rPr>
      </w:pPr>
      <w:r w:rsidRPr="00BC0E7E">
        <w:rPr>
          <w:b/>
          <w:szCs w:val="21"/>
        </w:rPr>
        <w:t>Non-infectious uveitis</w:t>
      </w:r>
    </w:p>
    <w:p w14:paraId="3AB308DA" w14:textId="77777777" w:rsidR="00BC0E7E" w:rsidRPr="00BC0E7E" w:rsidRDefault="00BC0E7E" w:rsidP="00BC0E7E">
      <w:pPr>
        <w:rPr>
          <w:b/>
          <w:i/>
          <w:szCs w:val="20"/>
          <w:u w:val="single"/>
        </w:rPr>
      </w:pPr>
    </w:p>
    <w:p w14:paraId="01675EBA" w14:textId="77777777" w:rsidR="00BC0E7E" w:rsidRPr="00BC0E7E" w:rsidRDefault="00944B8F" w:rsidP="00BC0E7E">
      <w:pPr>
        <w:rPr>
          <w:szCs w:val="20"/>
          <w:lang w:val="x-none"/>
        </w:rPr>
      </w:pPr>
      <w:r w:rsidRPr="00BC0E7E">
        <w:rPr>
          <w:szCs w:val="20"/>
          <w:lang w:val="x-none"/>
        </w:rPr>
        <w:t>Non-infectious uveitis is an inflammatory disease affecting certain parts of the eye.</w:t>
      </w:r>
    </w:p>
    <w:p w14:paraId="75A9BCA4" w14:textId="77777777" w:rsidR="00BC0E7E" w:rsidRPr="00BC0E7E" w:rsidRDefault="00BC0E7E" w:rsidP="00BC0E7E">
      <w:pPr>
        <w:rPr>
          <w:b/>
          <w:szCs w:val="20"/>
          <w:u w:val="single"/>
        </w:rPr>
      </w:pPr>
    </w:p>
    <w:p w14:paraId="0BB6CCD4" w14:textId="77777777" w:rsidR="00BC0E7E" w:rsidRPr="00BC0E7E" w:rsidRDefault="00944B8F" w:rsidP="00BC0E7E">
      <w:pPr>
        <w:rPr>
          <w:szCs w:val="20"/>
        </w:rPr>
      </w:pPr>
      <w:r w:rsidRPr="00BC0E7E">
        <w:rPr>
          <w:szCs w:val="20"/>
        </w:rPr>
        <w:t xml:space="preserve">Humira is used to treat </w:t>
      </w:r>
    </w:p>
    <w:p w14:paraId="7EDC9995" w14:textId="77777777" w:rsidR="00BC0E7E" w:rsidRPr="00BC0E7E" w:rsidRDefault="00944B8F" w:rsidP="00D51999">
      <w:pPr>
        <w:numPr>
          <w:ilvl w:val="0"/>
          <w:numId w:val="83"/>
        </w:numPr>
        <w:tabs>
          <w:tab w:val="clear" w:pos="562"/>
          <w:tab w:val="left" w:pos="720"/>
        </w:tabs>
        <w:rPr>
          <w:szCs w:val="21"/>
        </w:rPr>
      </w:pPr>
      <w:r w:rsidRPr="00BC0E7E">
        <w:rPr>
          <w:szCs w:val="21"/>
        </w:rPr>
        <w:lastRenderedPageBreak/>
        <w:t>adults with non-infectious uveitis with inflammation affecting the back of the eye</w:t>
      </w:r>
    </w:p>
    <w:p w14:paraId="6FFCEEA6" w14:textId="77777777" w:rsidR="00BC0E7E" w:rsidRPr="00BC0E7E" w:rsidRDefault="00944B8F" w:rsidP="00D51999">
      <w:pPr>
        <w:numPr>
          <w:ilvl w:val="0"/>
          <w:numId w:val="83"/>
        </w:numPr>
        <w:tabs>
          <w:tab w:val="clear" w:pos="562"/>
          <w:tab w:val="left" w:pos="720"/>
        </w:tabs>
        <w:rPr>
          <w:szCs w:val="20"/>
        </w:rPr>
      </w:pPr>
      <w:r w:rsidRPr="00BC0E7E">
        <w:rPr>
          <w:szCs w:val="21"/>
        </w:rPr>
        <w:t>children</w:t>
      </w:r>
      <w:r w:rsidRPr="00BC0E7E">
        <w:rPr>
          <w:szCs w:val="20"/>
        </w:rPr>
        <w:t xml:space="preserve"> with chronic non-infectious uveitis from 2 years of age with inflammation affecting the front of the eye </w:t>
      </w:r>
    </w:p>
    <w:p w14:paraId="555C4A84" w14:textId="77777777" w:rsidR="00BC0E7E" w:rsidRPr="00BC0E7E" w:rsidRDefault="00BC0E7E" w:rsidP="00BC0E7E">
      <w:pPr>
        <w:rPr>
          <w:szCs w:val="20"/>
        </w:rPr>
      </w:pPr>
    </w:p>
    <w:p w14:paraId="50A39FAA" w14:textId="77777777" w:rsidR="00BC0E7E" w:rsidRDefault="00944B8F" w:rsidP="00BC0E7E">
      <w:pPr>
        <w:rPr>
          <w:szCs w:val="20"/>
        </w:rPr>
      </w:pPr>
      <w:r w:rsidRPr="00BC0E7E">
        <w:rPr>
          <w:szCs w:val="20"/>
        </w:rPr>
        <w:t>This inflammation may lead to a decrease of vision and/or the presence of floaters in the eye (black dots or wispy lines that move across the field of vision). Humira works by reducing this inflammation.</w:t>
      </w:r>
    </w:p>
    <w:p w14:paraId="3031244F" w14:textId="77777777" w:rsidR="00342B22" w:rsidRPr="00BC0E7E" w:rsidRDefault="00342B22" w:rsidP="00BC0E7E">
      <w:pPr>
        <w:rPr>
          <w:szCs w:val="20"/>
        </w:rPr>
      </w:pPr>
    </w:p>
    <w:p w14:paraId="684AC596" w14:textId="77777777" w:rsidR="00BC0E7E" w:rsidRPr="00BC0E7E" w:rsidRDefault="00944B8F" w:rsidP="00BC0E7E">
      <w:pPr>
        <w:rPr>
          <w:szCs w:val="20"/>
        </w:rPr>
      </w:pPr>
      <w:r w:rsidRPr="00BC0E7E">
        <w:rPr>
          <w:szCs w:val="20"/>
        </w:rPr>
        <w:t>You may first be given other medicines. If you do not respond well enough to these medicines, you will be given Humira.</w:t>
      </w:r>
    </w:p>
    <w:p w14:paraId="178AF1FF" w14:textId="77777777" w:rsidR="00BC0E7E" w:rsidRPr="00BC0E7E" w:rsidRDefault="00BC0E7E" w:rsidP="00BC0E7E">
      <w:pPr>
        <w:rPr>
          <w:szCs w:val="20"/>
        </w:rPr>
      </w:pPr>
    </w:p>
    <w:p w14:paraId="487289B2" w14:textId="77777777" w:rsidR="00BC0E7E" w:rsidRPr="00BC0E7E" w:rsidRDefault="00BC0E7E" w:rsidP="00BC0E7E">
      <w:pPr>
        <w:rPr>
          <w:szCs w:val="20"/>
        </w:rPr>
      </w:pPr>
    </w:p>
    <w:p w14:paraId="6D194522" w14:textId="77777777" w:rsidR="00BC0E7E" w:rsidRPr="00BC0E7E" w:rsidRDefault="00944B8F" w:rsidP="00BC0E7E">
      <w:pPr>
        <w:keepNext/>
        <w:outlineLvl w:val="0"/>
        <w:rPr>
          <w:rFonts w:ascii="Times New Roman Bold" w:hAnsi="Times New Roman Bold"/>
          <w:b/>
          <w:szCs w:val="20"/>
        </w:rPr>
      </w:pPr>
      <w:r w:rsidRPr="00BC0E7E">
        <w:rPr>
          <w:b/>
          <w:caps/>
          <w:szCs w:val="20"/>
        </w:rPr>
        <w:t>2.</w:t>
      </w:r>
      <w:r w:rsidRPr="00BC0E7E">
        <w:rPr>
          <w:b/>
          <w:caps/>
          <w:szCs w:val="20"/>
        </w:rPr>
        <w:tab/>
        <w:t>W</w:t>
      </w:r>
      <w:r w:rsidRPr="00BC0E7E">
        <w:rPr>
          <w:rFonts w:ascii="Times New Roman Bold" w:hAnsi="Times New Roman Bold"/>
          <w:b/>
          <w:szCs w:val="20"/>
        </w:rPr>
        <w:t>hat you need to know before you use Humira</w:t>
      </w:r>
    </w:p>
    <w:p w14:paraId="7D7E1086" w14:textId="77777777" w:rsidR="00BC0E7E" w:rsidRPr="00BC0E7E" w:rsidRDefault="00BC0E7E" w:rsidP="00BC0E7E">
      <w:pPr>
        <w:keepNext/>
        <w:rPr>
          <w:szCs w:val="20"/>
        </w:rPr>
      </w:pPr>
    </w:p>
    <w:p w14:paraId="684CE987" w14:textId="77777777" w:rsidR="00BC0E7E" w:rsidRPr="00BC0E7E" w:rsidRDefault="00944B8F" w:rsidP="00BC0E7E">
      <w:pPr>
        <w:keepNext/>
        <w:rPr>
          <w:szCs w:val="20"/>
        </w:rPr>
      </w:pPr>
      <w:r w:rsidRPr="00BC0E7E">
        <w:rPr>
          <w:b/>
          <w:bCs/>
          <w:szCs w:val="20"/>
        </w:rPr>
        <w:t>Do not use Humira:</w:t>
      </w:r>
    </w:p>
    <w:p w14:paraId="69A7BBD4" w14:textId="77777777" w:rsidR="00BC0E7E" w:rsidRPr="00BC0E7E" w:rsidRDefault="00BC0E7E" w:rsidP="00BC0E7E">
      <w:pPr>
        <w:keepNext/>
        <w:rPr>
          <w:szCs w:val="20"/>
        </w:rPr>
      </w:pPr>
    </w:p>
    <w:p w14:paraId="62DDA169" w14:textId="77777777" w:rsidR="00BC0E7E" w:rsidRPr="00BC0E7E" w:rsidRDefault="00944B8F" w:rsidP="00D51999">
      <w:pPr>
        <w:keepNext/>
        <w:numPr>
          <w:ilvl w:val="0"/>
          <w:numId w:val="56"/>
        </w:numPr>
        <w:tabs>
          <w:tab w:val="clear" w:pos="562"/>
          <w:tab w:val="left" w:pos="720"/>
        </w:tabs>
        <w:rPr>
          <w:szCs w:val="20"/>
        </w:rPr>
      </w:pPr>
      <w:r w:rsidRPr="00BC0E7E">
        <w:rPr>
          <w:szCs w:val="20"/>
        </w:rPr>
        <w:t xml:space="preserve">If you are allergic to adalimumab or any of the other ingredients of this medicine (listed in section 6). </w:t>
      </w:r>
    </w:p>
    <w:p w14:paraId="6B861A79" w14:textId="77777777" w:rsidR="00BC0E7E" w:rsidRPr="00BC0E7E" w:rsidRDefault="00BC0E7E" w:rsidP="00BC0E7E">
      <w:pPr>
        <w:keepNext/>
        <w:rPr>
          <w:szCs w:val="20"/>
        </w:rPr>
      </w:pPr>
    </w:p>
    <w:p w14:paraId="12B2924A" w14:textId="77777777" w:rsidR="00BC0E7E" w:rsidRPr="00BC0E7E" w:rsidRDefault="00944B8F" w:rsidP="00D51999">
      <w:pPr>
        <w:keepNext/>
        <w:numPr>
          <w:ilvl w:val="0"/>
          <w:numId w:val="56"/>
        </w:numPr>
        <w:tabs>
          <w:tab w:val="clear" w:pos="562"/>
          <w:tab w:val="left" w:pos="720"/>
        </w:tabs>
        <w:rPr>
          <w:szCs w:val="20"/>
        </w:rPr>
      </w:pPr>
      <w:r w:rsidRPr="00BC0E7E">
        <w:rPr>
          <w:szCs w:val="20"/>
        </w:rPr>
        <w:t>If you have active tuberculosis or other severe infections (see “Warnings and precautions”). It is important that you tell your doctor if you have symptoms of infections, for example, fever, wounds, feeling tired, dental problems.</w:t>
      </w:r>
    </w:p>
    <w:p w14:paraId="67A2DDF3" w14:textId="77777777" w:rsidR="00BC0E7E" w:rsidRPr="00BC0E7E" w:rsidRDefault="00BC0E7E" w:rsidP="00BC0E7E">
      <w:pPr>
        <w:keepNext/>
        <w:rPr>
          <w:szCs w:val="20"/>
        </w:rPr>
      </w:pPr>
    </w:p>
    <w:p w14:paraId="6E298E8A" w14:textId="77777777" w:rsidR="00BC0E7E" w:rsidRPr="00BC0E7E" w:rsidRDefault="00944B8F" w:rsidP="00D51999">
      <w:pPr>
        <w:keepNext/>
        <w:numPr>
          <w:ilvl w:val="0"/>
          <w:numId w:val="56"/>
        </w:numPr>
        <w:tabs>
          <w:tab w:val="clear" w:pos="562"/>
          <w:tab w:val="left" w:pos="720"/>
        </w:tabs>
        <w:rPr>
          <w:szCs w:val="20"/>
        </w:rPr>
      </w:pPr>
      <w:r w:rsidRPr="00BC0E7E">
        <w:rPr>
          <w:szCs w:val="20"/>
        </w:rPr>
        <w:t>If you have moderate or severe heart failure. It is important to tell your doctor if you have had or have a serious heart condition (see “Warnings and precautions”).</w:t>
      </w:r>
    </w:p>
    <w:p w14:paraId="4B4E271D" w14:textId="77777777" w:rsidR="00BC0E7E" w:rsidRPr="00BC0E7E" w:rsidRDefault="00BC0E7E" w:rsidP="00BC0E7E">
      <w:pPr>
        <w:rPr>
          <w:szCs w:val="20"/>
        </w:rPr>
      </w:pPr>
    </w:p>
    <w:p w14:paraId="103F5B6E" w14:textId="77777777" w:rsidR="00BC0E7E" w:rsidRPr="00BC0E7E" w:rsidRDefault="00944B8F" w:rsidP="00BC0E7E">
      <w:pPr>
        <w:rPr>
          <w:b/>
          <w:bCs/>
          <w:szCs w:val="20"/>
        </w:rPr>
      </w:pPr>
      <w:r w:rsidRPr="00BC0E7E">
        <w:rPr>
          <w:b/>
          <w:bCs/>
          <w:szCs w:val="20"/>
        </w:rPr>
        <w:t>Warnings and precautions</w:t>
      </w:r>
    </w:p>
    <w:p w14:paraId="69A340E8" w14:textId="77777777" w:rsidR="00BC0E7E" w:rsidRPr="00BC0E7E" w:rsidRDefault="00BC0E7E" w:rsidP="00BC0E7E">
      <w:pPr>
        <w:rPr>
          <w:b/>
          <w:bCs/>
          <w:szCs w:val="20"/>
        </w:rPr>
      </w:pPr>
    </w:p>
    <w:p w14:paraId="36FDFC18" w14:textId="77777777" w:rsidR="00BC0E7E" w:rsidRPr="00BC0E7E" w:rsidRDefault="00944B8F" w:rsidP="00BC0E7E">
      <w:pPr>
        <w:rPr>
          <w:szCs w:val="20"/>
        </w:rPr>
      </w:pPr>
      <w:r w:rsidRPr="00BC0E7E">
        <w:rPr>
          <w:szCs w:val="20"/>
        </w:rPr>
        <w:t>Talk to your doctor or pharmacist before using Humira.</w:t>
      </w:r>
    </w:p>
    <w:p w14:paraId="48BCE934" w14:textId="77777777" w:rsidR="00BC0E7E" w:rsidRPr="00BC0E7E" w:rsidRDefault="00BC0E7E" w:rsidP="00BC0E7E">
      <w:pPr>
        <w:rPr>
          <w:szCs w:val="20"/>
        </w:rPr>
      </w:pPr>
    </w:p>
    <w:p w14:paraId="124B4A7B" w14:textId="77777777" w:rsidR="00BC0E7E" w:rsidRPr="00BC0E7E" w:rsidRDefault="00944B8F" w:rsidP="00BC0E7E">
      <w:pPr>
        <w:tabs>
          <w:tab w:val="clear" w:pos="562"/>
          <w:tab w:val="left" w:pos="0"/>
        </w:tabs>
        <w:rPr>
          <w:szCs w:val="20"/>
          <w:u w:val="single"/>
        </w:rPr>
      </w:pPr>
      <w:r w:rsidRPr="00BC0E7E">
        <w:rPr>
          <w:szCs w:val="20"/>
          <w:u w:val="single"/>
        </w:rPr>
        <w:t>Allergic reactions</w:t>
      </w:r>
    </w:p>
    <w:p w14:paraId="6D751B4F" w14:textId="77777777" w:rsidR="00BC0E7E" w:rsidRPr="00BC0E7E" w:rsidRDefault="00BC0E7E" w:rsidP="00BC0E7E">
      <w:pPr>
        <w:tabs>
          <w:tab w:val="clear" w:pos="562"/>
          <w:tab w:val="left" w:pos="0"/>
        </w:tabs>
        <w:rPr>
          <w:szCs w:val="20"/>
          <w:u w:val="single"/>
        </w:rPr>
      </w:pPr>
    </w:p>
    <w:p w14:paraId="40A5A29B" w14:textId="77777777" w:rsidR="00BC0E7E" w:rsidRPr="00BC0E7E" w:rsidRDefault="00944B8F" w:rsidP="00D51999">
      <w:pPr>
        <w:numPr>
          <w:ilvl w:val="0"/>
          <w:numId w:val="56"/>
        </w:numPr>
        <w:tabs>
          <w:tab w:val="clear" w:pos="562"/>
        </w:tabs>
        <w:rPr>
          <w:szCs w:val="20"/>
        </w:rPr>
      </w:pPr>
      <w:r w:rsidRPr="00BC0E7E">
        <w:rPr>
          <w:szCs w:val="20"/>
        </w:rPr>
        <w:t>If you get allergic reactions with symptoms such as chest tightness, wheezing, dizziness, swelling or rash do not inject more Humira and contact your doctor immediately since, in rare cases, these reactions can be life threatening.</w:t>
      </w:r>
    </w:p>
    <w:p w14:paraId="2D5BE65B" w14:textId="77777777" w:rsidR="00BC0E7E" w:rsidRPr="00BC0E7E" w:rsidRDefault="00BC0E7E" w:rsidP="00BC0E7E">
      <w:pPr>
        <w:rPr>
          <w:szCs w:val="20"/>
        </w:rPr>
      </w:pPr>
    </w:p>
    <w:p w14:paraId="39A106ED" w14:textId="77777777" w:rsidR="00BC0E7E" w:rsidRPr="00BC0E7E" w:rsidRDefault="00944B8F" w:rsidP="00BC0E7E">
      <w:pPr>
        <w:tabs>
          <w:tab w:val="clear" w:pos="562"/>
          <w:tab w:val="num" w:pos="0"/>
        </w:tabs>
        <w:rPr>
          <w:szCs w:val="20"/>
          <w:u w:val="single"/>
        </w:rPr>
      </w:pPr>
      <w:r w:rsidRPr="00BC0E7E">
        <w:rPr>
          <w:szCs w:val="20"/>
          <w:u w:val="single"/>
        </w:rPr>
        <w:t>Infections</w:t>
      </w:r>
    </w:p>
    <w:p w14:paraId="71939214" w14:textId="77777777" w:rsidR="00BC0E7E" w:rsidRPr="00BC0E7E" w:rsidRDefault="00BC0E7E" w:rsidP="00BC0E7E">
      <w:pPr>
        <w:rPr>
          <w:szCs w:val="20"/>
        </w:rPr>
      </w:pPr>
    </w:p>
    <w:p w14:paraId="4557FD41" w14:textId="77777777" w:rsidR="00BC0E7E" w:rsidRPr="00BC0E7E" w:rsidRDefault="00944B8F" w:rsidP="00D51999">
      <w:pPr>
        <w:numPr>
          <w:ilvl w:val="0"/>
          <w:numId w:val="56"/>
        </w:numPr>
        <w:tabs>
          <w:tab w:val="clear" w:pos="562"/>
        </w:tabs>
        <w:rPr>
          <w:szCs w:val="20"/>
        </w:rPr>
      </w:pPr>
      <w:r w:rsidRPr="00BC0E7E">
        <w:rPr>
          <w:szCs w:val="20"/>
        </w:rPr>
        <w:t xml:space="preserve">If you have an infection, including long-term infection or an infection in one part of the body (for example, leg ulcer) consult your doctor before starting Humira. If you are unsure, contact your doctor. </w:t>
      </w:r>
    </w:p>
    <w:p w14:paraId="5B9B8758" w14:textId="77777777" w:rsidR="00BC0E7E" w:rsidRPr="00BC0E7E" w:rsidRDefault="00BC0E7E" w:rsidP="00BC0E7E">
      <w:pPr>
        <w:rPr>
          <w:szCs w:val="20"/>
        </w:rPr>
      </w:pPr>
    </w:p>
    <w:p w14:paraId="78A427E9" w14:textId="77777777" w:rsidR="00BC0E7E" w:rsidRPr="00BC0E7E" w:rsidRDefault="00944B8F" w:rsidP="00D51999">
      <w:pPr>
        <w:numPr>
          <w:ilvl w:val="0"/>
          <w:numId w:val="56"/>
        </w:numPr>
        <w:tabs>
          <w:tab w:val="clear" w:pos="562"/>
        </w:tabs>
        <w:rPr>
          <w:szCs w:val="20"/>
        </w:rPr>
      </w:pPr>
      <w:r w:rsidRPr="00BC0E7E">
        <w:rPr>
          <w:szCs w:val="20"/>
        </w:rPr>
        <w:t xml:space="preserve">You might get infections more easily while you are receiving Humira treatment. This risk may increase if you have problems with your lungs. These infections may be serious and include: </w:t>
      </w:r>
    </w:p>
    <w:p w14:paraId="4C9C19E4" w14:textId="77777777" w:rsidR="00BC0E7E" w:rsidRPr="00BC0E7E" w:rsidRDefault="00944B8F" w:rsidP="00D51999">
      <w:pPr>
        <w:numPr>
          <w:ilvl w:val="1"/>
          <w:numId w:val="52"/>
        </w:numPr>
        <w:tabs>
          <w:tab w:val="clear" w:pos="562"/>
        </w:tabs>
        <w:rPr>
          <w:szCs w:val="20"/>
        </w:rPr>
      </w:pPr>
      <w:r w:rsidRPr="00BC0E7E">
        <w:rPr>
          <w:szCs w:val="20"/>
        </w:rPr>
        <w:t>tuberculosis</w:t>
      </w:r>
    </w:p>
    <w:p w14:paraId="1B9A3099" w14:textId="77777777" w:rsidR="00BC0E7E" w:rsidRPr="00BC0E7E" w:rsidRDefault="00944B8F" w:rsidP="00D51999">
      <w:pPr>
        <w:numPr>
          <w:ilvl w:val="1"/>
          <w:numId w:val="52"/>
        </w:numPr>
        <w:tabs>
          <w:tab w:val="clear" w:pos="562"/>
        </w:tabs>
        <w:rPr>
          <w:szCs w:val="20"/>
        </w:rPr>
      </w:pPr>
      <w:r w:rsidRPr="00BC0E7E">
        <w:rPr>
          <w:szCs w:val="20"/>
        </w:rPr>
        <w:t>infections caused by viruses, fungi, parasites or bacteria</w:t>
      </w:r>
    </w:p>
    <w:p w14:paraId="05471F39" w14:textId="77777777" w:rsidR="00BC0E7E" w:rsidRPr="00BC0E7E" w:rsidRDefault="00944B8F" w:rsidP="00D51999">
      <w:pPr>
        <w:numPr>
          <w:ilvl w:val="1"/>
          <w:numId w:val="52"/>
        </w:numPr>
        <w:tabs>
          <w:tab w:val="clear" w:pos="562"/>
        </w:tabs>
        <w:rPr>
          <w:szCs w:val="20"/>
        </w:rPr>
      </w:pPr>
      <w:r w:rsidRPr="00BC0E7E">
        <w:rPr>
          <w:szCs w:val="20"/>
        </w:rPr>
        <w:t>severe infection in the blood (sepsis)</w:t>
      </w:r>
    </w:p>
    <w:p w14:paraId="148585AE" w14:textId="77777777" w:rsidR="00BC0E7E" w:rsidRPr="00BC0E7E" w:rsidRDefault="00BC0E7E" w:rsidP="00BC0E7E">
      <w:pPr>
        <w:rPr>
          <w:szCs w:val="20"/>
        </w:rPr>
      </w:pPr>
    </w:p>
    <w:p w14:paraId="616631FC" w14:textId="77777777" w:rsidR="00BC0E7E" w:rsidRPr="00BC0E7E" w:rsidRDefault="00944B8F" w:rsidP="00BC0E7E">
      <w:pPr>
        <w:tabs>
          <w:tab w:val="clear" w:pos="562"/>
          <w:tab w:val="left" w:pos="720"/>
        </w:tabs>
        <w:ind w:left="720"/>
        <w:rPr>
          <w:szCs w:val="20"/>
        </w:rPr>
      </w:pPr>
      <w:r w:rsidRPr="00BC0E7E">
        <w:rPr>
          <w:szCs w:val="20"/>
        </w:rPr>
        <w:t>In rare cases, these infections can be life-threatening. It is important to tell your doctor if you get symptoms such as fever, wounds, feeling tired or dental problems. Your doctor may tell you to stop using Humira for some time.</w:t>
      </w:r>
    </w:p>
    <w:p w14:paraId="28987F38" w14:textId="77777777" w:rsidR="00BC0E7E" w:rsidRPr="00BC0E7E" w:rsidRDefault="00BC0E7E" w:rsidP="00BC0E7E">
      <w:pPr>
        <w:tabs>
          <w:tab w:val="clear" w:pos="562"/>
          <w:tab w:val="left" w:pos="720"/>
        </w:tabs>
        <w:ind w:left="720"/>
        <w:rPr>
          <w:szCs w:val="20"/>
        </w:rPr>
      </w:pPr>
    </w:p>
    <w:p w14:paraId="7D5545AE" w14:textId="77777777" w:rsidR="00BC0E7E" w:rsidRPr="00BC0E7E" w:rsidRDefault="00944B8F" w:rsidP="00D51999">
      <w:pPr>
        <w:numPr>
          <w:ilvl w:val="0"/>
          <w:numId w:val="56"/>
        </w:numPr>
        <w:tabs>
          <w:tab w:val="clear" w:pos="562"/>
        </w:tabs>
        <w:rPr>
          <w:szCs w:val="20"/>
        </w:rPr>
      </w:pPr>
      <w:r w:rsidRPr="00BC0E7E">
        <w:rPr>
          <w:szCs w:val="20"/>
        </w:rPr>
        <w:lastRenderedPageBreak/>
        <w:t xml:space="preserve">Tell your doctor if you live or travel in regions where </w:t>
      </w:r>
      <w:r w:rsidRPr="00BC0E7E">
        <w:rPr>
          <w:szCs w:val="20"/>
          <w:u w:color="0000FF"/>
        </w:rPr>
        <w:t>fungal infections</w:t>
      </w:r>
      <w:r w:rsidRPr="00BC0E7E">
        <w:rPr>
          <w:szCs w:val="20"/>
        </w:rPr>
        <w:t xml:space="preserve"> (for example, histoplasmosis, coccidioidomycosis or blastomycosis) are very common.</w:t>
      </w:r>
    </w:p>
    <w:p w14:paraId="4B5F2935" w14:textId="77777777" w:rsidR="00BC0E7E" w:rsidRPr="00BC0E7E" w:rsidRDefault="00BC0E7E" w:rsidP="00BC0E7E">
      <w:pPr>
        <w:rPr>
          <w:szCs w:val="20"/>
        </w:rPr>
      </w:pPr>
    </w:p>
    <w:p w14:paraId="1CBCBFFB" w14:textId="77777777" w:rsidR="00BC0E7E" w:rsidRPr="00BC0E7E" w:rsidRDefault="00944B8F" w:rsidP="00D51999">
      <w:pPr>
        <w:numPr>
          <w:ilvl w:val="0"/>
          <w:numId w:val="56"/>
        </w:numPr>
        <w:tabs>
          <w:tab w:val="clear" w:pos="562"/>
        </w:tabs>
        <w:rPr>
          <w:szCs w:val="20"/>
        </w:rPr>
      </w:pPr>
      <w:r w:rsidRPr="00BC0E7E">
        <w:rPr>
          <w:szCs w:val="20"/>
        </w:rPr>
        <w:t>Tell your doctor if you have had infections which keep coming back or other conditions that increase the risk of infections.</w:t>
      </w:r>
    </w:p>
    <w:p w14:paraId="101DBEFA" w14:textId="77777777" w:rsidR="00BC0E7E" w:rsidRPr="00BC0E7E" w:rsidRDefault="00BC0E7E" w:rsidP="00BC0E7E">
      <w:pPr>
        <w:rPr>
          <w:szCs w:val="20"/>
        </w:rPr>
      </w:pPr>
    </w:p>
    <w:p w14:paraId="60343889" w14:textId="77777777" w:rsidR="00BC0E7E" w:rsidRPr="00BC0E7E" w:rsidRDefault="00944B8F" w:rsidP="00D51999">
      <w:pPr>
        <w:keepNext/>
        <w:numPr>
          <w:ilvl w:val="0"/>
          <w:numId w:val="56"/>
        </w:numPr>
        <w:tabs>
          <w:tab w:val="clear" w:pos="562"/>
        </w:tabs>
        <w:rPr>
          <w:szCs w:val="20"/>
        </w:rPr>
      </w:pPr>
      <w:r w:rsidRPr="00BC0E7E">
        <w:rPr>
          <w:szCs w:val="20"/>
        </w:rPr>
        <w:t>If you are over 65 years you may be more likely to get infections while taking Humira. You and your doctor should pay special attention to signs of infection while you are being treated with Humira. It is important to tell your doctor if you get symptoms of infections, such as fever, wounds, feeling tired or dental problems.</w:t>
      </w:r>
    </w:p>
    <w:p w14:paraId="4E69D70E" w14:textId="77777777" w:rsidR="00BC0E7E" w:rsidRPr="00BC0E7E" w:rsidRDefault="00BC0E7E" w:rsidP="00BC0E7E">
      <w:pPr>
        <w:rPr>
          <w:szCs w:val="20"/>
        </w:rPr>
      </w:pPr>
    </w:p>
    <w:p w14:paraId="4D6C1485" w14:textId="77777777" w:rsidR="00BC0E7E" w:rsidRPr="00BC0E7E" w:rsidRDefault="00944B8F" w:rsidP="00BC0E7E">
      <w:pPr>
        <w:keepNext/>
        <w:tabs>
          <w:tab w:val="clear" w:pos="562"/>
          <w:tab w:val="left" w:pos="0"/>
        </w:tabs>
        <w:rPr>
          <w:szCs w:val="20"/>
          <w:u w:val="single"/>
        </w:rPr>
      </w:pPr>
      <w:r w:rsidRPr="00BC0E7E">
        <w:rPr>
          <w:szCs w:val="20"/>
          <w:u w:val="single"/>
        </w:rPr>
        <w:t>Tuberculosis</w:t>
      </w:r>
    </w:p>
    <w:p w14:paraId="465C0364" w14:textId="77777777" w:rsidR="00BC0E7E" w:rsidRPr="00BC0E7E" w:rsidRDefault="00BC0E7E" w:rsidP="00BC0E7E">
      <w:pPr>
        <w:keepNext/>
        <w:rPr>
          <w:szCs w:val="20"/>
        </w:rPr>
      </w:pPr>
    </w:p>
    <w:p w14:paraId="52FADB55" w14:textId="77777777" w:rsidR="00BC0E7E" w:rsidRPr="00BC0E7E" w:rsidRDefault="00944B8F" w:rsidP="00D51999">
      <w:pPr>
        <w:keepNext/>
        <w:numPr>
          <w:ilvl w:val="0"/>
          <w:numId w:val="56"/>
        </w:numPr>
        <w:tabs>
          <w:tab w:val="clear" w:pos="562"/>
        </w:tabs>
        <w:rPr>
          <w:szCs w:val="20"/>
        </w:rPr>
      </w:pPr>
      <w:r w:rsidRPr="00BC0E7E">
        <w:rPr>
          <w:szCs w:val="20"/>
        </w:rPr>
        <w:t>It is very important that you tell your doctor if you have ever had tuberculosis, or if you have been in close contact with someone who has had tuberculosis. If you have active tuberculosis, do not use Humira.</w:t>
      </w:r>
    </w:p>
    <w:p w14:paraId="7CBD3B12" w14:textId="77777777" w:rsidR="00BC0E7E" w:rsidRPr="00BC0E7E" w:rsidRDefault="00BC0E7E" w:rsidP="00BC0E7E">
      <w:pPr>
        <w:keepNext/>
        <w:rPr>
          <w:szCs w:val="20"/>
        </w:rPr>
      </w:pPr>
    </w:p>
    <w:p w14:paraId="029010A9" w14:textId="77777777" w:rsidR="00BC0E7E" w:rsidRPr="00BC0E7E" w:rsidRDefault="00944B8F" w:rsidP="00D51999">
      <w:pPr>
        <w:numPr>
          <w:ilvl w:val="1"/>
          <w:numId w:val="52"/>
        </w:numPr>
        <w:tabs>
          <w:tab w:val="clear" w:pos="562"/>
        </w:tabs>
        <w:rPr>
          <w:szCs w:val="20"/>
        </w:rPr>
      </w:pPr>
      <w:r w:rsidRPr="00BC0E7E">
        <w:rPr>
          <w:szCs w:val="20"/>
        </w:rPr>
        <w:t xml:space="preserve">As cases of tuberculosis have been reported in patients treated with Humira, your doctor will check you for signs and symptoms of tuberculosis before starting Humira. This will include a thorough medical evaluation including your medical history and appropriate screening tests (for example, chest X-ray and a tuberculin test). The conduct and results of these tests should be recorded on your </w:t>
      </w:r>
      <w:r w:rsidR="00BF2AE5" w:rsidRPr="002179FE">
        <w:rPr>
          <w:b/>
        </w:rPr>
        <w:t>Patient Reminder Card</w:t>
      </w:r>
      <w:r w:rsidRPr="00BC0E7E">
        <w:rPr>
          <w:szCs w:val="20"/>
        </w:rPr>
        <w:t xml:space="preserve">. </w:t>
      </w:r>
    </w:p>
    <w:p w14:paraId="6BDBE541" w14:textId="77777777" w:rsidR="00BC0E7E" w:rsidRPr="00BC0E7E" w:rsidRDefault="00944B8F" w:rsidP="00D51999">
      <w:pPr>
        <w:numPr>
          <w:ilvl w:val="1"/>
          <w:numId w:val="52"/>
        </w:numPr>
        <w:tabs>
          <w:tab w:val="clear" w:pos="562"/>
        </w:tabs>
        <w:rPr>
          <w:szCs w:val="20"/>
        </w:rPr>
      </w:pPr>
      <w:r w:rsidRPr="00BC0E7E">
        <w:rPr>
          <w:szCs w:val="20"/>
        </w:rPr>
        <w:t xml:space="preserve">Tuberculosis can develop during therapy even if you have received treatment for the prevention of tuberculosis. </w:t>
      </w:r>
    </w:p>
    <w:p w14:paraId="6DF6E1DA" w14:textId="77777777" w:rsidR="00BC0E7E" w:rsidRPr="00BC0E7E" w:rsidRDefault="00944B8F" w:rsidP="00D51999">
      <w:pPr>
        <w:numPr>
          <w:ilvl w:val="1"/>
          <w:numId w:val="52"/>
        </w:numPr>
        <w:rPr>
          <w:szCs w:val="20"/>
        </w:rPr>
      </w:pPr>
      <w:r w:rsidRPr="00BC0E7E">
        <w:rPr>
          <w:szCs w:val="20"/>
        </w:rPr>
        <w:t>If symptoms of tuberculosis (for example, cough that does not go away, weight loss, lack of energy, mild fever), or any other infection appear during or after therapy tell your doctor immediately.</w:t>
      </w:r>
    </w:p>
    <w:p w14:paraId="3343670D" w14:textId="77777777" w:rsidR="00BC0E7E" w:rsidRPr="00BC0E7E" w:rsidRDefault="00BC0E7E" w:rsidP="00BC0E7E">
      <w:pPr>
        <w:ind w:left="1440"/>
        <w:rPr>
          <w:szCs w:val="20"/>
        </w:rPr>
      </w:pPr>
    </w:p>
    <w:p w14:paraId="3BD52521" w14:textId="77777777" w:rsidR="00BC0E7E" w:rsidRPr="00BC0E7E" w:rsidRDefault="00944B8F" w:rsidP="00BC0E7E">
      <w:pPr>
        <w:keepNext/>
        <w:tabs>
          <w:tab w:val="clear" w:pos="562"/>
          <w:tab w:val="left" w:pos="0"/>
        </w:tabs>
        <w:rPr>
          <w:szCs w:val="20"/>
          <w:u w:val="single"/>
        </w:rPr>
      </w:pPr>
      <w:r w:rsidRPr="00BC0E7E">
        <w:rPr>
          <w:szCs w:val="20"/>
          <w:u w:val="single"/>
        </w:rPr>
        <w:t>Hepatitis B</w:t>
      </w:r>
    </w:p>
    <w:p w14:paraId="7AFE40CC" w14:textId="77777777" w:rsidR="00BC0E7E" w:rsidRPr="00BC0E7E" w:rsidRDefault="00BC0E7E" w:rsidP="00BC0E7E">
      <w:pPr>
        <w:keepNext/>
        <w:tabs>
          <w:tab w:val="clear" w:pos="562"/>
          <w:tab w:val="left" w:pos="0"/>
        </w:tabs>
        <w:rPr>
          <w:szCs w:val="20"/>
        </w:rPr>
      </w:pPr>
    </w:p>
    <w:p w14:paraId="0708BBD6" w14:textId="77777777" w:rsidR="00BC0E7E" w:rsidRPr="00BC0E7E" w:rsidRDefault="00944B8F" w:rsidP="00D51999">
      <w:pPr>
        <w:keepNext/>
        <w:numPr>
          <w:ilvl w:val="0"/>
          <w:numId w:val="56"/>
        </w:numPr>
        <w:tabs>
          <w:tab w:val="clear" w:pos="562"/>
          <w:tab w:val="left" w:pos="720"/>
        </w:tabs>
        <w:rPr>
          <w:szCs w:val="20"/>
        </w:rPr>
      </w:pPr>
      <w:r w:rsidRPr="00BC0E7E">
        <w:rPr>
          <w:szCs w:val="20"/>
        </w:rPr>
        <w:t xml:space="preserve">Tell your doctor if you are a carrier of the hepatitis B virus (HBV), if you have active HBV or if you think you might be at risk of getting HBV. </w:t>
      </w:r>
    </w:p>
    <w:p w14:paraId="751ABF9B" w14:textId="77777777" w:rsidR="00BC0E7E" w:rsidRPr="00BC0E7E" w:rsidRDefault="00944B8F" w:rsidP="00D51999">
      <w:pPr>
        <w:keepNext/>
        <w:numPr>
          <w:ilvl w:val="1"/>
          <w:numId w:val="53"/>
        </w:numPr>
        <w:tabs>
          <w:tab w:val="clear" w:pos="562"/>
        </w:tabs>
        <w:rPr>
          <w:szCs w:val="20"/>
        </w:rPr>
      </w:pPr>
      <w:r w:rsidRPr="00BC0E7E">
        <w:rPr>
          <w:szCs w:val="20"/>
        </w:rPr>
        <w:t>Your doctor should test you for HBV. In people who carry HBV, Humira can cause the virus to become active again.</w:t>
      </w:r>
    </w:p>
    <w:p w14:paraId="1E35865C" w14:textId="77777777" w:rsidR="00BC0E7E" w:rsidRPr="00BC0E7E" w:rsidRDefault="00944B8F" w:rsidP="00D51999">
      <w:pPr>
        <w:keepNext/>
        <w:numPr>
          <w:ilvl w:val="1"/>
          <w:numId w:val="53"/>
        </w:numPr>
        <w:tabs>
          <w:tab w:val="clear" w:pos="562"/>
        </w:tabs>
        <w:rPr>
          <w:szCs w:val="20"/>
        </w:rPr>
      </w:pPr>
      <w:r w:rsidRPr="00BC0E7E">
        <w:rPr>
          <w:szCs w:val="20"/>
        </w:rPr>
        <w:t xml:space="preserve">In some rare cases, especially if you are taking other medicines that suppress the immune system, reactivation of HBV can be life-threatening.  </w:t>
      </w:r>
    </w:p>
    <w:p w14:paraId="06704461" w14:textId="77777777" w:rsidR="00BC0E7E" w:rsidRPr="00BC0E7E" w:rsidRDefault="00BC0E7E" w:rsidP="00BC0E7E">
      <w:pPr>
        <w:rPr>
          <w:szCs w:val="20"/>
        </w:rPr>
      </w:pPr>
    </w:p>
    <w:p w14:paraId="1BFBDF42" w14:textId="77777777" w:rsidR="00BC0E7E" w:rsidRPr="00BC0E7E" w:rsidRDefault="00944B8F" w:rsidP="00BC0E7E">
      <w:pPr>
        <w:tabs>
          <w:tab w:val="clear" w:pos="562"/>
        </w:tabs>
        <w:rPr>
          <w:szCs w:val="20"/>
          <w:u w:val="single"/>
        </w:rPr>
      </w:pPr>
      <w:r w:rsidRPr="00BC0E7E">
        <w:rPr>
          <w:szCs w:val="20"/>
          <w:u w:val="single"/>
        </w:rPr>
        <w:t>Surgery</w:t>
      </w:r>
      <w:r w:rsidR="00126429">
        <w:rPr>
          <w:u w:val="single"/>
        </w:rPr>
        <w:t xml:space="preserve"> or dental procedure</w:t>
      </w:r>
    </w:p>
    <w:p w14:paraId="28B0AC49" w14:textId="77777777" w:rsidR="00BC0E7E" w:rsidRPr="00BC0E7E" w:rsidRDefault="00BC0E7E" w:rsidP="00BC0E7E">
      <w:pPr>
        <w:rPr>
          <w:szCs w:val="20"/>
        </w:rPr>
      </w:pPr>
    </w:p>
    <w:p w14:paraId="1CCE4709" w14:textId="77777777" w:rsidR="00BC0E7E" w:rsidRPr="00BC0E7E" w:rsidRDefault="00944B8F" w:rsidP="00D51999">
      <w:pPr>
        <w:numPr>
          <w:ilvl w:val="0"/>
          <w:numId w:val="56"/>
        </w:numPr>
        <w:tabs>
          <w:tab w:val="clear" w:pos="562"/>
        </w:tabs>
        <w:rPr>
          <w:szCs w:val="20"/>
        </w:rPr>
      </w:pPr>
      <w:r w:rsidRPr="00BC0E7E">
        <w:rPr>
          <w:szCs w:val="20"/>
        </w:rPr>
        <w:t>If you are about to have surgery or dental procedures</w:t>
      </w:r>
      <w:r w:rsidR="00CE42B9">
        <w:rPr>
          <w:szCs w:val="20"/>
        </w:rPr>
        <w:t>,</w:t>
      </w:r>
      <w:r w:rsidRPr="00BC0E7E">
        <w:rPr>
          <w:szCs w:val="20"/>
        </w:rPr>
        <w:t xml:space="preserve"> please inform your doctor that you are taking Humira. Your doctor may recommend temporary discontinuation of Humira. </w:t>
      </w:r>
    </w:p>
    <w:p w14:paraId="3087E7EE" w14:textId="77777777" w:rsidR="00BC0E7E" w:rsidRPr="00BC0E7E" w:rsidRDefault="00BC0E7E" w:rsidP="00BC0E7E">
      <w:pPr>
        <w:rPr>
          <w:szCs w:val="20"/>
        </w:rPr>
      </w:pPr>
    </w:p>
    <w:p w14:paraId="68D9701F" w14:textId="77777777" w:rsidR="00BC0E7E" w:rsidRPr="00BC0E7E" w:rsidRDefault="00944B8F" w:rsidP="00BC0E7E">
      <w:pPr>
        <w:tabs>
          <w:tab w:val="clear" w:pos="562"/>
          <w:tab w:val="num" w:pos="720"/>
        </w:tabs>
        <w:ind w:left="360" w:hanging="360"/>
        <w:rPr>
          <w:szCs w:val="20"/>
          <w:u w:val="single"/>
        </w:rPr>
      </w:pPr>
      <w:r w:rsidRPr="00BC0E7E">
        <w:rPr>
          <w:szCs w:val="20"/>
          <w:u w:val="single"/>
        </w:rPr>
        <w:t>Demyelinating disease</w:t>
      </w:r>
    </w:p>
    <w:p w14:paraId="78AF4D38" w14:textId="77777777" w:rsidR="00BC0E7E" w:rsidRPr="00BC0E7E" w:rsidRDefault="00BC0E7E" w:rsidP="00BC0E7E">
      <w:pPr>
        <w:rPr>
          <w:szCs w:val="20"/>
        </w:rPr>
      </w:pPr>
    </w:p>
    <w:p w14:paraId="78325620" w14:textId="77777777" w:rsidR="00BC0E7E" w:rsidRPr="00BC0E7E" w:rsidRDefault="00944B8F" w:rsidP="00D51999">
      <w:pPr>
        <w:numPr>
          <w:ilvl w:val="0"/>
          <w:numId w:val="76"/>
        </w:numPr>
        <w:tabs>
          <w:tab w:val="clear" w:pos="562"/>
          <w:tab w:val="left" w:pos="720"/>
        </w:tabs>
        <w:rPr>
          <w:szCs w:val="20"/>
        </w:rPr>
      </w:pPr>
      <w:r w:rsidRPr="00BC0E7E">
        <w:rPr>
          <w:szCs w:val="20"/>
        </w:rPr>
        <w:t xml:space="preserve">If you have or develop </w:t>
      </w:r>
      <w:r w:rsidR="00126429">
        <w:rPr>
          <w:noProof/>
          <w:color w:val="000000"/>
          <w:szCs w:val="22"/>
        </w:rPr>
        <w:t xml:space="preserve">a </w:t>
      </w:r>
      <w:r w:rsidR="00126429" w:rsidRPr="00907CAC">
        <w:rPr>
          <w:noProof/>
          <w:color w:val="000000"/>
          <w:szCs w:val="22"/>
        </w:rPr>
        <w:t xml:space="preserve">demyelinating disease </w:t>
      </w:r>
      <w:r w:rsidR="00126429">
        <w:rPr>
          <w:rFonts w:eastAsia="Malgun Gothic"/>
          <w:noProof/>
          <w:szCs w:val="22"/>
          <w:lang w:eastAsia="ko-KR"/>
        </w:rPr>
        <w:t xml:space="preserve">(a disease that affects the insulating layer around the nerves, </w:t>
      </w:r>
      <w:r w:rsidR="00126429" w:rsidRPr="00E805ED">
        <w:rPr>
          <w:rFonts w:eastAsia="Malgun Gothic"/>
        </w:rPr>
        <w:t>such as multiple sclerosis</w:t>
      </w:r>
      <w:r w:rsidR="00126429">
        <w:rPr>
          <w:rFonts w:eastAsia="Malgun Gothic"/>
        </w:rPr>
        <w:t>)</w:t>
      </w:r>
      <w:r w:rsidRPr="00BC0E7E">
        <w:rPr>
          <w:szCs w:val="20"/>
        </w:rPr>
        <w:t>, your doctor will decide if you should receive or continue to receive Humira. Tell your doctor immediately if you experience symptoms like changes in your vision, weakness in your arms or legs or numbness or tingling in any part of your body.</w:t>
      </w:r>
    </w:p>
    <w:p w14:paraId="3E1F0256" w14:textId="77777777" w:rsidR="00BC0E7E" w:rsidRPr="00BC0E7E" w:rsidRDefault="00BC0E7E" w:rsidP="00BC0E7E">
      <w:pPr>
        <w:rPr>
          <w:szCs w:val="20"/>
        </w:rPr>
      </w:pPr>
    </w:p>
    <w:p w14:paraId="46A968B2" w14:textId="77777777" w:rsidR="00BC0E7E" w:rsidRPr="00BC0E7E" w:rsidRDefault="00944B8F" w:rsidP="00BC0E7E">
      <w:pPr>
        <w:tabs>
          <w:tab w:val="clear" w:pos="562"/>
          <w:tab w:val="left" w:pos="360"/>
          <w:tab w:val="num" w:pos="720"/>
        </w:tabs>
        <w:ind w:left="360" w:hanging="360"/>
        <w:rPr>
          <w:szCs w:val="20"/>
          <w:u w:val="single"/>
        </w:rPr>
      </w:pPr>
      <w:r w:rsidRPr="00BC0E7E">
        <w:rPr>
          <w:szCs w:val="20"/>
          <w:u w:val="single"/>
        </w:rPr>
        <w:t>Vaccinations</w:t>
      </w:r>
    </w:p>
    <w:p w14:paraId="6C224B21" w14:textId="77777777" w:rsidR="00BC0E7E" w:rsidRPr="00BC0E7E" w:rsidRDefault="00BC0E7E" w:rsidP="00BC0E7E">
      <w:pPr>
        <w:tabs>
          <w:tab w:val="clear" w:pos="562"/>
          <w:tab w:val="left" w:pos="360"/>
          <w:tab w:val="num" w:pos="720"/>
        </w:tabs>
        <w:ind w:left="360" w:hanging="360"/>
        <w:rPr>
          <w:szCs w:val="20"/>
          <w:u w:val="single"/>
        </w:rPr>
      </w:pPr>
    </w:p>
    <w:p w14:paraId="7AA9225A" w14:textId="77777777" w:rsidR="00BC0E7E" w:rsidRPr="00BC0E7E" w:rsidRDefault="00944B8F" w:rsidP="00D51999">
      <w:pPr>
        <w:numPr>
          <w:ilvl w:val="0"/>
          <w:numId w:val="56"/>
        </w:numPr>
        <w:tabs>
          <w:tab w:val="clear" w:pos="562"/>
        </w:tabs>
        <w:rPr>
          <w:szCs w:val="20"/>
        </w:rPr>
      </w:pPr>
      <w:r w:rsidRPr="00BC0E7E">
        <w:rPr>
          <w:szCs w:val="20"/>
        </w:rPr>
        <w:t xml:space="preserve">Certain vaccines may cause infections and should not be given while receiving Humira. </w:t>
      </w:r>
    </w:p>
    <w:p w14:paraId="4597D027" w14:textId="77777777" w:rsidR="00BC0E7E" w:rsidRPr="00BC0E7E" w:rsidRDefault="00BC0E7E" w:rsidP="00BC0E7E">
      <w:pPr>
        <w:rPr>
          <w:szCs w:val="20"/>
        </w:rPr>
      </w:pPr>
    </w:p>
    <w:p w14:paraId="6C1952F0" w14:textId="77777777" w:rsidR="00BC0E7E" w:rsidRPr="00BC0E7E" w:rsidRDefault="00944B8F" w:rsidP="00D51999">
      <w:pPr>
        <w:numPr>
          <w:ilvl w:val="1"/>
          <w:numId w:val="57"/>
        </w:numPr>
        <w:tabs>
          <w:tab w:val="clear" w:pos="562"/>
        </w:tabs>
        <w:rPr>
          <w:szCs w:val="20"/>
        </w:rPr>
      </w:pPr>
      <w:r>
        <w:rPr>
          <w:szCs w:val="20"/>
        </w:rPr>
        <w:t>C</w:t>
      </w:r>
      <w:r w:rsidRPr="00BC0E7E">
        <w:rPr>
          <w:szCs w:val="20"/>
        </w:rPr>
        <w:t xml:space="preserve">heck with your doctor before you receive any vaccines. </w:t>
      </w:r>
    </w:p>
    <w:p w14:paraId="228FBB2C" w14:textId="77777777" w:rsidR="00BC0E7E" w:rsidRPr="00BC0E7E" w:rsidRDefault="00944B8F" w:rsidP="00D51999">
      <w:pPr>
        <w:numPr>
          <w:ilvl w:val="1"/>
          <w:numId w:val="57"/>
        </w:numPr>
        <w:tabs>
          <w:tab w:val="clear" w:pos="562"/>
        </w:tabs>
        <w:rPr>
          <w:szCs w:val="20"/>
        </w:rPr>
      </w:pPr>
      <w:r w:rsidRPr="00ED237F">
        <w:rPr>
          <w:noProof/>
          <w:color w:val="000000"/>
          <w:szCs w:val="22"/>
        </w:rPr>
        <w:t xml:space="preserve">It is recommended that children, if possible, be </w:t>
      </w:r>
      <w:r>
        <w:rPr>
          <w:rFonts w:eastAsia="Malgun Gothic"/>
          <w:noProof/>
          <w:szCs w:val="22"/>
          <w:lang w:eastAsia="ko-KR"/>
        </w:rPr>
        <w:t>given all the scheduled vaccinations for their age before they start treatment</w:t>
      </w:r>
      <w:r w:rsidRPr="00E805ED">
        <w:rPr>
          <w:rFonts w:eastAsia="Malgun Gothic"/>
        </w:rPr>
        <w:t xml:space="preserve"> wit</w:t>
      </w:r>
      <w:r>
        <w:rPr>
          <w:rFonts w:eastAsia="Malgun Gothic"/>
        </w:rPr>
        <w:t>h Humira</w:t>
      </w:r>
      <w:r w:rsidRPr="00ED237F">
        <w:rPr>
          <w:noProof/>
          <w:color w:val="000000"/>
          <w:szCs w:val="22"/>
        </w:rPr>
        <w:t>.</w:t>
      </w:r>
    </w:p>
    <w:p w14:paraId="7F0C55BB" w14:textId="77777777" w:rsidR="00BC0E7E" w:rsidRPr="00BC0E7E" w:rsidRDefault="00944B8F" w:rsidP="00D51999">
      <w:pPr>
        <w:numPr>
          <w:ilvl w:val="1"/>
          <w:numId w:val="57"/>
        </w:numPr>
        <w:tabs>
          <w:tab w:val="clear" w:pos="562"/>
        </w:tabs>
        <w:rPr>
          <w:szCs w:val="20"/>
          <w:lang w:eastAsia="en-GB"/>
        </w:rPr>
      </w:pPr>
      <w:r w:rsidRPr="00BC0E7E">
        <w:rPr>
          <w:szCs w:val="20"/>
        </w:rPr>
        <w:t xml:space="preserve">If you received Humira while you were pregnant, your baby may be at higher risk for getting such an infection for up to approximately five months after the last Humira dose you received during pregnancy. </w:t>
      </w:r>
      <w:r w:rsidRPr="00BC0E7E">
        <w:rPr>
          <w:szCs w:val="22"/>
          <w:lang w:eastAsia="en-GB"/>
        </w:rPr>
        <w:t xml:space="preserve">It is </w:t>
      </w:r>
      <w:r w:rsidRPr="00BC0E7E">
        <w:rPr>
          <w:szCs w:val="20"/>
          <w:lang w:eastAsia="en-GB"/>
        </w:rPr>
        <w:t>important that you tell your baby's doctors and other health care professionals about your Humira use during your pregnancy so they can decide when your baby should receive any vaccine.</w:t>
      </w:r>
    </w:p>
    <w:p w14:paraId="1741E378" w14:textId="77777777" w:rsidR="00BC0E7E" w:rsidRPr="00BC0E7E" w:rsidRDefault="00BC0E7E" w:rsidP="00BC0E7E">
      <w:pPr>
        <w:rPr>
          <w:szCs w:val="20"/>
          <w:lang w:eastAsia="en-GB"/>
        </w:rPr>
      </w:pPr>
    </w:p>
    <w:p w14:paraId="55C021DF" w14:textId="77777777" w:rsidR="00BC0E7E" w:rsidRPr="00BC0E7E" w:rsidRDefault="00944B8F" w:rsidP="00BC0E7E">
      <w:pPr>
        <w:keepNext/>
        <w:tabs>
          <w:tab w:val="clear" w:pos="562"/>
        </w:tabs>
        <w:rPr>
          <w:szCs w:val="20"/>
          <w:u w:val="single"/>
        </w:rPr>
      </w:pPr>
      <w:r w:rsidRPr="00BC0E7E">
        <w:rPr>
          <w:szCs w:val="20"/>
          <w:u w:val="single"/>
        </w:rPr>
        <w:t xml:space="preserve">Heart </w:t>
      </w:r>
      <w:r w:rsidR="00B8241A">
        <w:rPr>
          <w:szCs w:val="20"/>
          <w:u w:val="single"/>
        </w:rPr>
        <w:t>failure</w:t>
      </w:r>
    </w:p>
    <w:p w14:paraId="46E05974" w14:textId="77777777" w:rsidR="00BC0E7E" w:rsidRPr="00BC0E7E" w:rsidRDefault="00BC0E7E" w:rsidP="00BC0E7E">
      <w:pPr>
        <w:keepNext/>
        <w:rPr>
          <w:szCs w:val="20"/>
        </w:rPr>
      </w:pPr>
    </w:p>
    <w:p w14:paraId="27D49122" w14:textId="77777777" w:rsidR="00B8241A" w:rsidRPr="00B20336" w:rsidRDefault="00944B8F" w:rsidP="00D51999">
      <w:pPr>
        <w:numPr>
          <w:ilvl w:val="0"/>
          <w:numId w:val="58"/>
        </w:numPr>
        <w:tabs>
          <w:tab w:val="clear" w:pos="562"/>
        </w:tabs>
        <w:suppressAutoHyphens w:val="0"/>
        <w:autoSpaceDE w:val="0"/>
        <w:autoSpaceDN w:val="0"/>
        <w:adjustRightInd w:val="0"/>
        <w:rPr>
          <w:noProof/>
          <w:color w:val="000000"/>
          <w:szCs w:val="22"/>
        </w:rPr>
      </w:pPr>
      <w:r>
        <w:rPr>
          <w:noProof/>
          <w:color w:val="000000"/>
          <w:szCs w:val="22"/>
        </w:rPr>
        <w:t>If you have</w:t>
      </w:r>
      <w:r w:rsidRPr="00ED237F">
        <w:rPr>
          <w:noProof/>
          <w:color w:val="000000"/>
          <w:szCs w:val="22"/>
        </w:rPr>
        <w:t xml:space="preserve"> mild heart failure and </w:t>
      </w:r>
      <w:r>
        <w:rPr>
          <w:noProof/>
          <w:color w:val="000000"/>
          <w:szCs w:val="22"/>
        </w:rPr>
        <w:t>are</w:t>
      </w:r>
      <w:r w:rsidRPr="00ED237F">
        <w:rPr>
          <w:noProof/>
          <w:color w:val="000000"/>
          <w:szCs w:val="22"/>
        </w:rPr>
        <w:t xml:space="preserve"> being treated with </w:t>
      </w:r>
      <w:r>
        <w:rPr>
          <w:noProof/>
          <w:color w:val="000000"/>
          <w:szCs w:val="22"/>
        </w:rPr>
        <w:t>Humira</w:t>
      </w:r>
      <w:r w:rsidRPr="00ED237F">
        <w:rPr>
          <w:noProof/>
          <w:color w:val="000000"/>
          <w:szCs w:val="22"/>
        </w:rPr>
        <w:t xml:space="preserve">, </w:t>
      </w:r>
      <w:r>
        <w:rPr>
          <w:noProof/>
          <w:color w:val="000000"/>
          <w:szCs w:val="22"/>
        </w:rPr>
        <w:t>your</w:t>
      </w:r>
      <w:r w:rsidRPr="00ED237F">
        <w:rPr>
          <w:noProof/>
          <w:color w:val="000000"/>
          <w:szCs w:val="22"/>
        </w:rPr>
        <w:t xml:space="preserve"> heart failure status must be closely monitored by your doctor. It is important to tell your doctor if you</w:t>
      </w:r>
      <w:r>
        <w:rPr>
          <w:noProof/>
          <w:color w:val="000000"/>
          <w:szCs w:val="22"/>
        </w:rPr>
        <w:t xml:space="preserve"> have</w:t>
      </w:r>
      <w:r w:rsidRPr="00B20336">
        <w:rPr>
          <w:noProof/>
          <w:color w:val="000000"/>
          <w:szCs w:val="22"/>
        </w:rPr>
        <w:t xml:space="preserve"> had or ha</w:t>
      </w:r>
      <w:r>
        <w:rPr>
          <w:noProof/>
          <w:color w:val="000000"/>
          <w:szCs w:val="22"/>
        </w:rPr>
        <w:t>ve a serious heart condition. If</w:t>
      </w:r>
      <w:r w:rsidR="00877FF3">
        <w:rPr>
          <w:noProof/>
          <w:color w:val="000000"/>
          <w:szCs w:val="22"/>
        </w:rPr>
        <w:t xml:space="preserve"> </w:t>
      </w:r>
      <w:r>
        <w:rPr>
          <w:noProof/>
          <w:color w:val="000000"/>
          <w:szCs w:val="22"/>
        </w:rPr>
        <w:t>you</w:t>
      </w:r>
      <w:r w:rsidRPr="00B20336">
        <w:rPr>
          <w:noProof/>
          <w:color w:val="000000"/>
          <w:szCs w:val="22"/>
        </w:rPr>
        <w:t xml:space="preserve"> develop new or worsening symptoms of heart failure (e.g. shortness of breath, or swelling of your feet), you must contact your doctor immediately</w:t>
      </w:r>
      <w:r>
        <w:rPr>
          <w:noProof/>
          <w:color w:val="000000"/>
          <w:szCs w:val="22"/>
        </w:rPr>
        <w:t>. Your doctor will decide if you</w:t>
      </w:r>
      <w:r w:rsidRPr="00B20336">
        <w:rPr>
          <w:noProof/>
          <w:color w:val="000000"/>
          <w:szCs w:val="22"/>
        </w:rPr>
        <w:t xml:space="preserve"> should receive Humira.</w:t>
      </w:r>
    </w:p>
    <w:p w14:paraId="20D07E99" w14:textId="77777777" w:rsidR="00BC0E7E" w:rsidRDefault="00BC0E7E" w:rsidP="00BC0E7E">
      <w:pPr>
        <w:keepNext/>
        <w:rPr>
          <w:szCs w:val="20"/>
        </w:rPr>
      </w:pPr>
    </w:p>
    <w:p w14:paraId="799584BA" w14:textId="77777777" w:rsidR="00B8241A" w:rsidRPr="00700513" w:rsidRDefault="00944B8F" w:rsidP="00B8241A">
      <w:pPr>
        <w:keepLines/>
        <w:numPr>
          <w:ilvl w:val="12"/>
          <w:numId w:val="0"/>
        </w:numPr>
        <w:tabs>
          <w:tab w:val="clear" w:pos="562"/>
        </w:tabs>
        <w:ind w:right="-2"/>
        <w:rPr>
          <w:rFonts w:eastAsia="Malgun Gothic"/>
          <w:szCs w:val="22"/>
          <w:u w:val="single"/>
          <w:lang w:eastAsia="ko-KR"/>
        </w:rPr>
      </w:pPr>
      <w:r w:rsidRPr="00C65788">
        <w:rPr>
          <w:rFonts w:eastAsia="Malgun Gothic"/>
          <w:szCs w:val="22"/>
          <w:u w:val="single"/>
          <w:lang w:eastAsia="ko-KR"/>
        </w:rPr>
        <w:t>Fever, bruis</w:t>
      </w:r>
      <w:r>
        <w:rPr>
          <w:rFonts w:eastAsia="Malgun Gothic"/>
          <w:szCs w:val="22"/>
          <w:u w:val="single"/>
          <w:lang w:eastAsia="ko-KR"/>
        </w:rPr>
        <w:t>ing</w:t>
      </w:r>
      <w:r w:rsidRPr="00C65788">
        <w:rPr>
          <w:rFonts w:eastAsia="Malgun Gothic"/>
          <w:szCs w:val="22"/>
          <w:u w:val="single"/>
          <w:lang w:eastAsia="ko-KR"/>
        </w:rPr>
        <w:t>, bleed</w:t>
      </w:r>
      <w:r>
        <w:rPr>
          <w:rFonts w:eastAsia="Malgun Gothic"/>
          <w:szCs w:val="22"/>
          <w:u w:val="single"/>
          <w:lang w:eastAsia="ko-KR"/>
        </w:rPr>
        <w:t>ing</w:t>
      </w:r>
      <w:r w:rsidRPr="00C65788">
        <w:rPr>
          <w:rFonts w:eastAsia="Malgun Gothic"/>
          <w:szCs w:val="22"/>
          <w:u w:val="single"/>
          <w:lang w:eastAsia="ko-KR"/>
        </w:rPr>
        <w:t xml:space="preserve"> or look</w:t>
      </w:r>
      <w:r>
        <w:rPr>
          <w:rFonts w:eastAsia="Malgun Gothic"/>
          <w:szCs w:val="22"/>
          <w:u w:val="single"/>
          <w:lang w:eastAsia="ko-KR"/>
        </w:rPr>
        <w:t>ing</w:t>
      </w:r>
      <w:r w:rsidRPr="00C65788">
        <w:rPr>
          <w:rFonts w:eastAsia="Malgun Gothic"/>
          <w:szCs w:val="22"/>
          <w:u w:val="single"/>
          <w:lang w:eastAsia="ko-KR"/>
        </w:rPr>
        <w:t xml:space="preserve"> pale</w:t>
      </w:r>
    </w:p>
    <w:p w14:paraId="7811C8E8" w14:textId="77777777" w:rsidR="00B8241A" w:rsidRPr="00BC0E7E" w:rsidRDefault="00B8241A" w:rsidP="00BC0E7E">
      <w:pPr>
        <w:keepNext/>
        <w:rPr>
          <w:szCs w:val="20"/>
        </w:rPr>
      </w:pPr>
    </w:p>
    <w:p w14:paraId="5D555781" w14:textId="77777777" w:rsidR="00BC0E7E" w:rsidRPr="00BC0E7E" w:rsidRDefault="00944B8F" w:rsidP="00D51999">
      <w:pPr>
        <w:keepNext/>
        <w:numPr>
          <w:ilvl w:val="0"/>
          <w:numId w:val="56"/>
        </w:numPr>
        <w:tabs>
          <w:tab w:val="clear" w:pos="562"/>
        </w:tabs>
        <w:ind w:left="1210"/>
        <w:rPr>
          <w:szCs w:val="20"/>
        </w:rPr>
      </w:pPr>
      <w:r w:rsidRPr="00BC0E7E">
        <w:rPr>
          <w:szCs w:val="20"/>
        </w:rPr>
        <w:t>In some patients the body may fail to produce enough of the blood cells that fight</w:t>
      </w:r>
      <w:r w:rsidR="00354C15">
        <w:rPr>
          <w:szCs w:val="20"/>
        </w:rPr>
        <w:t xml:space="preserve"> off</w:t>
      </w:r>
      <w:r w:rsidRPr="00BC0E7E">
        <w:rPr>
          <w:szCs w:val="20"/>
        </w:rPr>
        <w:t xml:space="preserve"> infections or help you to stop bleeding. Your doctor may decide to stop treatment.</w:t>
      </w:r>
      <w:r w:rsidR="00B8241A">
        <w:rPr>
          <w:szCs w:val="20"/>
        </w:rPr>
        <w:t xml:space="preserve"> </w:t>
      </w:r>
      <w:r w:rsidR="00B8241A" w:rsidRPr="00ED237F">
        <w:rPr>
          <w:noProof/>
          <w:color w:val="000000"/>
          <w:szCs w:val="22"/>
        </w:rPr>
        <w:t xml:space="preserve">If you develop a fever that does not go away, </w:t>
      </w:r>
      <w:r w:rsidR="00B8241A">
        <w:rPr>
          <w:noProof/>
          <w:color w:val="000000"/>
          <w:szCs w:val="22"/>
        </w:rPr>
        <w:t xml:space="preserve">develop light </w:t>
      </w:r>
      <w:r w:rsidR="00B8241A" w:rsidRPr="00ED237F">
        <w:rPr>
          <w:noProof/>
          <w:color w:val="000000"/>
          <w:szCs w:val="22"/>
        </w:rPr>
        <w:t>bruise</w:t>
      </w:r>
      <w:r w:rsidR="00B8241A">
        <w:rPr>
          <w:noProof/>
          <w:color w:val="000000"/>
          <w:szCs w:val="22"/>
        </w:rPr>
        <w:t>s</w:t>
      </w:r>
      <w:r w:rsidR="00B8241A" w:rsidRPr="00ED237F">
        <w:rPr>
          <w:noProof/>
          <w:color w:val="000000"/>
          <w:szCs w:val="22"/>
        </w:rPr>
        <w:t xml:space="preserve"> or bleed very easily or look very pale, call your doctor right away.</w:t>
      </w:r>
    </w:p>
    <w:p w14:paraId="2E0AC702" w14:textId="77777777" w:rsidR="00BC0E7E" w:rsidRPr="00BC0E7E" w:rsidRDefault="00BC0E7E" w:rsidP="00BC0E7E">
      <w:pPr>
        <w:rPr>
          <w:szCs w:val="20"/>
        </w:rPr>
      </w:pPr>
    </w:p>
    <w:p w14:paraId="6E8154B7" w14:textId="77777777" w:rsidR="00BC0E7E" w:rsidRPr="00BC0E7E" w:rsidRDefault="00944B8F" w:rsidP="00BC0E7E">
      <w:pPr>
        <w:keepNext/>
        <w:tabs>
          <w:tab w:val="clear" w:pos="562"/>
        </w:tabs>
        <w:rPr>
          <w:szCs w:val="20"/>
          <w:u w:val="single"/>
        </w:rPr>
      </w:pPr>
      <w:r w:rsidRPr="00BC0E7E">
        <w:rPr>
          <w:szCs w:val="20"/>
          <w:u w:val="single"/>
        </w:rPr>
        <w:t>Cancer</w:t>
      </w:r>
    </w:p>
    <w:p w14:paraId="729BEB23" w14:textId="77777777" w:rsidR="00BC0E7E" w:rsidRPr="00BC0E7E" w:rsidRDefault="00BC0E7E" w:rsidP="00BC0E7E">
      <w:pPr>
        <w:keepNext/>
        <w:rPr>
          <w:szCs w:val="20"/>
        </w:rPr>
      </w:pPr>
    </w:p>
    <w:p w14:paraId="629884E4" w14:textId="77777777" w:rsidR="00BC0E7E" w:rsidRPr="00BC0E7E" w:rsidRDefault="00944B8F" w:rsidP="00D51999">
      <w:pPr>
        <w:keepNext/>
        <w:numPr>
          <w:ilvl w:val="0"/>
          <w:numId w:val="56"/>
        </w:numPr>
        <w:tabs>
          <w:tab w:val="clear" w:pos="562"/>
        </w:tabs>
        <w:rPr>
          <w:szCs w:val="20"/>
        </w:rPr>
      </w:pPr>
      <w:r w:rsidRPr="00BC0E7E">
        <w:rPr>
          <w:szCs w:val="20"/>
        </w:rPr>
        <w:t xml:space="preserve">There have been very rare cases of certain kinds of cancer in children and adult patients taking Humira or other TNF blockers.  </w:t>
      </w:r>
    </w:p>
    <w:p w14:paraId="102EFD51" w14:textId="77777777" w:rsidR="00BC0E7E" w:rsidRPr="00BC0E7E" w:rsidRDefault="00BC0E7E" w:rsidP="00BC0E7E">
      <w:pPr>
        <w:rPr>
          <w:szCs w:val="20"/>
        </w:rPr>
      </w:pPr>
    </w:p>
    <w:p w14:paraId="75B8C1C6" w14:textId="77777777" w:rsidR="00BC0E7E" w:rsidRPr="00BC0E7E" w:rsidRDefault="00944B8F" w:rsidP="00D51999">
      <w:pPr>
        <w:numPr>
          <w:ilvl w:val="1"/>
          <w:numId w:val="59"/>
        </w:numPr>
        <w:tabs>
          <w:tab w:val="clear" w:pos="562"/>
        </w:tabs>
        <w:rPr>
          <w:szCs w:val="20"/>
        </w:rPr>
      </w:pPr>
      <w:r w:rsidRPr="00BC0E7E">
        <w:rPr>
          <w:szCs w:val="20"/>
        </w:rPr>
        <w:t>People with more serious rheumatoid arthritis that have had the disease for a long time may have a higher than average risk of getting lymphoma (a cancer that affects the lymph system) and leukaemia (a cancer that affects the blood and bone marrow).</w:t>
      </w:r>
      <w:r w:rsidRPr="00BC0E7E">
        <w:rPr>
          <w:szCs w:val="22"/>
        </w:rPr>
        <w:t xml:space="preserve"> </w:t>
      </w:r>
    </w:p>
    <w:p w14:paraId="4BEEAF5B" w14:textId="77777777" w:rsidR="00BC0E7E" w:rsidRPr="00BC0E7E" w:rsidRDefault="00944B8F" w:rsidP="00D51999">
      <w:pPr>
        <w:numPr>
          <w:ilvl w:val="1"/>
          <w:numId w:val="59"/>
        </w:numPr>
        <w:tabs>
          <w:tab w:val="clear" w:pos="562"/>
        </w:tabs>
        <w:rPr>
          <w:szCs w:val="20"/>
        </w:rPr>
      </w:pPr>
      <w:r w:rsidRPr="00BC0E7E">
        <w:rPr>
          <w:szCs w:val="20"/>
        </w:rPr>
        <w:t>If you take Humira the risk of getting lymphoma, leukaemia, or other cancers may increase.</w:t>
      </w:r>
      <w:r w:rsidRPr="00BC0E7E">
        <w:rPr>
          <w:szCs w:val="22"/>
        </w:rPr>
        <w:t xml:space="preserve"> On rare occasions, an uncommon and severe type of lymphoma, has been seen in patients taking Humira. Some of those patients were also treated with azathioprine or 6-mercaptopurine.</w:t>
      </w:r>
      <w:r w:rsidRPr="00BC0E7E">
        <w:rPr>
          <w:szCs w:val="20"/>
        </w:rPr>
        <w:t xml:space="preserve"> </w:t>
      </w:r>
    </w:p>
    <w:p w14:paraId="1ECA1B97" w14:textId="77777777" w:rsidR="00BC0E7E" w:rsidRPr="00BC0E7E" w:rsidRDefault="00944B8F" w:rsidP="00D51999">
      <w:pPr>
        <w:numPr>
          <w:ilvl w:val="1"/>
          <w:numId w:val="59"/>
        </w:numPr>
        <w:tabs>
          <w:tab w:val="clear" w:pos="562"/>
        </w:tabs>
        <w:rPr>
          <w:szCs w:val="20"/>
        </w:rPr>
      </w:pPr>
      <w:r w:rsidRPr="00BC0E7E">
        <w:rPr>
          <w:szCs w:val="20"/>
        </w:rPr>
        <w:t xml:space="preserve">Tell your doctor if you are taking azathioprine or 6-mercaptopurine with Humira. </w:t>
      </w:r>
    </w:p>
    <w:p w14:paraId="4A91280D" w14:textId="77777777" w:rsidR="00BC0E7E" w:rsidRPr="00BC0E7E" w:rsidRDefault="00944B8F" w:rsidP="00D51999">
      <w:pPr>
        <w:numPr>
          <w:ilvl w:val="1"/>
          <w:numId w:val="59"/>
        </w:numPr>
        <w:tabs>
          <w:tab w:val="clear" w:pos="562"/>
        </w:tabs>
        <w:rPr>
          <w:szCs w:val="20"/>
        </w:rPr>
      </w:pPr>
      <w:r w:rsidRPr="00BC0E7E">
        <w:rPr>
          <w:szCs w:val="20"/>
        </w:rPr>
        <w:t xml:space="preserve">Cases of non-melanoma skin cancer have been observed in patients taking Humira. </w:t>
      </w:r>
    </w:p>
    <w:p w14:paraId="3DBA5D67" w14:textId="77777777" w:rsidR="00BC0E7E" w:rsidRPr="00BC0E7E" w:rsidRDefault="00944B8F" w:rsidP="00D51999">
      <w:pPr>
        <w:numPr>
          <w:ilvl w:val="1"/>
          <w:numId w:val="59"/>
        </w:numPr>
        <w:tabs>
          <w:tab w:val="clear" w:pos="562"/>
        </w:tabs>
        <w:rPr>
          <w:szCs w:val="20"/>
        </w:rPr>
      </w:pPr>
      <w:r w:rsidRPr="00BC0E7E">
        <w:rPr>
          <w:szCs w:val="20"/>
        </w:rPr>
        <w:t>If new skin lesions appear during or after therapy or if existing lesions change appearance, tell your doctor.</w:t>
      </w:r>
    </w:p>
    <w:p w14:paraId="319E1ABA" w14:textId="77777777" w:rsidR="00BC0E7E" w:rsidRPr="00BC0E7E" w:rsidRDefault="00BC0E7E" w:rsidP="00BC0E7E">
      <w:pPr>
        <w:rPr>
          <w:szCs w:val="20"/>
        </w:rPr>
      </w:pPr>
    </w:p>
    <w:p w14:paraId="1974110A" w14:textId="77777777" w:rsidR="00BC0E7E" w:rsidRPr="00BC0E7E" w:rsidRDefault="00944B8F" w:rsidP="00D51999">
      <w:pPr>
        <w:numPr>
          <w:ilvl w:val="0"/>
          <w:numId w:val="56"/>
        </w:numPr>
        <w:tabs>
          <w:tab w:val="clear" w:pos="562"/>
        </w:tabs>
        <w:rPr>
          <w:szCs w:val="20"/>
        </w:rPr>
      </w:pPr>
      <w:r w:rsidRPr="00BC0E7E">
        <w:rPr>
          <w:szCs w:val="20"/>
        </w:rPr>
        <w:t>There have been cases of cancers, other than lymphoma in patients with a specific type of lung disease called Chronic Obstructive Pulmonary Disease (COPD) treated with another TNF blocker. If you have COPD, or are a heavy smoker, you should discuss with your doctor whether treatment with a TNF blocker is appropriate for you.</w:t>
      </w:r>
    </w:p>
    <w:p w14:paraId="14BE5A58" w14:textId="77777777" w:rsidR="006B4405" w:rsidRPr="003D1A8A" w:rsidRDefault="006B4405" w:rsidP="006B4405">
      <w:pPr>
        <w:pStyle w:val="EMEANormal"/>
        <w:rPr>
          <w:lang w:val="en-GB"/>
        </w:rPr>
      </w:pPr>
    </w:p>
    <w:p w14:paraId="659C8DCD" w14:textId="77777777" w:rsidR="006B4405" w:rsidRDefault="00944B8F" w:rsidP="006B4405">
      <w:pPr>
        <w:pStyle w:val="EMEANormal"/>
        <w:rPr>
          <w:u w:val="single"/>
          <w:lang w:val="en-GB"/>
        </w:rPr>
      </w:pPr>
      <w:r w:rsidRPr="00700513">
        <w:rPr>
          <w:u w:val="single"/>
          <w:lang w:val="en-GB"/>
        </w:rPr>
        <w:t>Autoimmune disease</w:t>
      </w:r>
    </w:p>
    <w:p w14:paraId="41F8D547" w14:textId="77777777" w:rsidR="006B4405" w:rsidRPr="00561696" w:rsidRDefault="006B4405" w:rsidP="006B4405">
      <w:pPr>
        <w:pStyle w:val="EMEANormal"/>
        <w:rPr>
          <w:lang w:val="en-GB"/>
        </w:rPr>
      </w:pPr>
    </w:p>
    <w:p w14:paraId="021ADC8A" w14:textId="77777777" w:rsidR="006B4405" w:rsidRDefault="00944B8F" w:rsidP="00D51999">
      <w:pPr>
        <w:pStyle w:val="EMEANormal"/>
        <w:numPr>
          <w:ilvl w:val="0"/>
          <w:numId w:val="101"/>
        </w:numPr>
        <w:tabs>
          <w:tab w:val="clear" w:pos="562"/>
          <w:tab w:val="left" w:pos="720"/>
        </w:tabs>
        <w:rPr>
          <w:lang w:val="en-GB"/>
        </w:rPr>
      </w:pPr>
      <w:r w:rsidRPr="003D1A8A">
        <w:rPr>
          <w:lang w:val="en-GB"/>
        </w:rPr>
        <w:t>On rare occasions, treatment with Humira could result in lupus-like syndrome. Contact your doctor if symptoms such as persistent unexplained rash, fever, joint pain or tiredness</w:t>
      </w:r>
      <w:r w:rsidR="00C25F57" w:rsidRPr="00C25F57">
        <w:rPr>
          <w:lang w:val="en-GB"/>
        </w:rPr>
        <w:t xml:space="preserve"> </w:t>
      </w:r>
      <w:r w:rsidR="00C25F57">
        <w:rPr>
          <w:lang w:val="en-GB"/>
        </w:rPr>
        <w:t>occur</w:t>
      </w:r>
      <w:r>
        <w:rPr>
          <w:lang w:val="en-GB"/>
        </w:rPr>
        <w:t>.</w:t>
      </w:r>
    </w:p>
    <w:p w14:paraId="5B8B4225" w14:textId="77777777" w:rsidR="00BC0E7E" w:rsidRPr="00BC0E7E" w:rsidRDefault="00BC0E7E" w:rsidP="00BC0E7E">
      <w:pPr>
        <w:rPr>
          <w:szCs w:val="20"/>
        </w:rPr>
      </w:pPr>
    </w:p>
    <w:p w14:paraId="08755F23" w14:textId="77777777" w:rsidR="00BC0E7E" w:rsidRPr="00BC0E7E" w:rsidRDefault="00944B8F" w:rsidP="00BC0E7E">
      <w:pPr>
        <w:rPr>
          <w:b/>
          <w:szCs w:val="20"/>
        </w:rPr>
      </w:pPr>
      <w:r w:rsidRPr="00BC0E7E">
        <w:rPr>
          <w:b/>
          <w:szCs w:val="20"/>
        </w:rPr>
        <w:lastRenderedPageBreak/>
        <w:t>Children and adolescents</w:t>
      </w:r>
    </w:p>
    <w:p w14:paraId="19CF7618" w14:textId="77777777" w:rsidR="00BC0E7E" w:rsidRPr="00BC0E7E" w:rsidRDefault="00BC0E7E" w:rsidP="00BC0E7E">
      <w:pPr>
        <w:rPr>
          <w:szCs w:val="20"/>
        </w:rPr>
      </w:pPr>
    </w:p>
    <w:p w14:paraId="46F228EC" w14:textId="77777777" w:rsidR="00BC0E7E" w:rsidRPr="00BC0E7E" w:rsidRDefault="00944B8F" w:rsidP="00D51999">
      <w:pPr>
        <w:numPr>
          <w:ilvl w:val="0"/>
          <w:numId w:val="60"/>
        </w:numPr>
        <w:tabs>
          <w:tab w:val="clear" w:pos="562"/>
          <w:tab w:val="left" w:pos="720"/>
        </w:tabs>
        <w:rPr>
          <w:b/>
          <w:szCs w:val="20"/>
        </w:rPr>
      </w:pPr>
      <w:r w:rsidRPr="00BC0E7E">
        <w:rPr>
          <w:szCs w:val="20"/>
        </w:rPr>
        <w:t>Vaccinations: if possible</w:t>
      </w:r>
      <w:r w:rsidR="00CE42B9">
        <w:rPr>
          <w:szCs w:val="20"/>
        </w:rPr>
        <w:t>,</w:t>
      </w:r>
      <w:r w:rsidRPr="00BC0E7E">
        <w:rPr>
          <w:szCs w:val="20"/>
        </w:rPr>
        <w:t xml:space="preserve"> children should be up to date with all vaccinations before using Humira.</w:t>
      </w:r>
    </w:p>
    <w:p w14:paraId="5318B409" w14:textId="77777777" w:rsidR="00BC0E7E" w:rsidRPr="00BC0E7E" w:rsidRDefault="00BC0E7E" w:rsidP="00BC0E7E">
      <w:pPr>
        <w:tabs>
          <w:tab w:val="clear" w:pos="562"/>
          <w:tab w:val="left" w:pos="720"/>
        </w:tabs>
        <w:ind w:left="720"/>
        <w:rPr>
          <w:b/>
          <w:szCs w:val="20"/>
        </w:rPr>
      </w:pPr>
    </w:p>
    <w:p w14:paraId="75BF8FFD" w14:textId="77777777" w:rsidR="00BC0E7E" w:rsidRPr="00BC0E7E" w:rsidRDefault="00944B8F" w:rsidP="00BC0E7E">
      <w:pPr>
        <w:rPr>
          <w:b/>
          <w:szCs w:val="20"/>
        </w:rPr>
      </w:pPr>
      <w:r w:rsidRPr="00BC0E7E">
        <w:rPr>
          <w:b/>
          <w:szCs w:val="20"/>
        </w:rPr>
        <w:t>Other medicines and Humira</w:t>
      </w:r>
    </w:p>
    <w:p w14:paraId="5103CB21" w14:textId="77777777" w:rsidR="00BC0E7E" w:rsidRPr="00BC0E7E" w:rsidRDefault="00BC0E7E" w:rsidP="00BC0E7E">
      <w:pPr>
        <w:rPr>
          <w:szCs w:val="20"/>
        </w:rPr>
      </w:pPr>
    </w:p>
    <w:p w14:paraId="19949253" w14:textId="77777777" w:rsidR="00BC0E7E" w:rsidRPr="00BC0E7E" w:rsidRDefault="00944B8F" w:rsidP="00BC0E7E">
      <w:pPr>
        <w:rPr>
          <w:szCs w:val="20"/>
        </w:rPr>
      </w:pPr>
      <w:r w:rsidRPr="00BC0E7E">
        <w:rPr>
          <w:szCs w:val="20"/>
        </w:rPr>
        <w:t>Tell your doctor or pharmacist if you are taking, have recently taken or might take any other medicines.</w:t>
      </w:r>
    </w:p>
    <w:p w14:paraId="73BE2BC1" w14:textId="77777777" w:rsidR="00BC0E7E" w:rsidRPr="00BC0E7E" w:rsidRDefault="00BC0E7E" w:rsidP="00BC0E7E">
      <w:pPr>
        <w:rPr>
          <w:szCs w:val="20"/>
        </w:rPr>
      </w:pPr>
    </w:p>
    <w:p w14:paraId="61A16E64" w14:textId="77777777" w:rsidR="00BC0E7E" w:rsidRPr="00BC0E7E" w:rsidRDefault="00944B8F" w:rsidP="00BC0E7E">
      <w:pPr>
        <w:tabs>
          <w:tab w:val="clear" w:pos="562"/>
          <w:tab w:val="left" w:pos="0"/>
        </w:tabs>
        <w:rPr>
          <w:szCs w:val="20"/>
        </w:rPr>
      </w:pPr>
      <w:r w:rsidRPr="00BC0E7E">
        <w:rPr>
          <w:szCs w:val="20"/>
        </w:rPr>
        <w:t xml:space="preserve">You should not take Humira with medicines containing the </w:t>
      </w:r>
      <w:r w:rsidR="00535908">
        <w:rPr>
          <w:szCs w:val="20"/>
        </w:rPr>
        <w:t xml:space="preserve">following </w:t>
      </w:r>
      <w:r w:rsidRPr="00BC0E7E">
        <w:rPr>
          <w:szCs w:val="20"/>
        </w:rPr>
        <w:t>active substances</w:t>
      </w:r>
      <w:r w:rsidR="00342B22" w:rsidRPr="00FD27BB">
        <w:t xml:space="preserve"> </w:t>
      </w:r>
      <w:r w:rsidR="00342B22">
        <w:t>due to increased risk of serious infection</w:t>
      </w:r>
      <w:r w:rsidRPr="00BC0E7E">
        <w:rPr>
          <w:szCs w:val="20"/>
        </w:rPr>
        <w:t>:</w:t>
      </w:r>
    </w:p>
    <w:p w14:paraId="0914E619" w14:textId="77777777" w:rsidR="00BC0E7E" w:rsidRPr="00BC0E7E" w:rsidRDefault="00944B8F" w:rsidP="00D51999">
      <w:pPr>
        <w:numPr>
          <w:ilvl w:val="0"/>
          <w:numId w:val="72"/>
        </w:numPr>
        <w:tabs>
          <w:tab w:val="clear" w:pos="562"/>
          <w:tab w:val="left" w:pos="0"/>
        </w:tabs>
        <w:rPr>
          <w:szCs w:val="20"/>
        </w:rPr>
      </w:pPr>
      <w:r w:rsidRPr="00BC0E7E">
        <w:rPr>
          <w:szCs w:val="20"/>
        </w:rPr>
        <w:t>anakinra</w:t>
      </w:r>
    </w:p>
    <w:p w14:paraId="01CBF28D" w14:textId="77777777" w:rsidR="00BC0E7E" w:rsidRPr="00BC0E7E" w:rsidRDefault="00944B8F" w:rsidP="00D51999">
      <w:pPr>
        <w:numPr>
          <w:ilvl w:val="0"/>
          <w:numId w:val="72"/>
        </w:numPr>
        <w:tabs>
          <w:tab w:val="clear" w:pos="562"/>
          <w:tab w:val="left" w:pos="0"/>
        </w:tabs>
        <w:rPr>
          <w:b/>
          <w:bCs/>
          <w:szCs w:val="20"/>
        </w:rPr>
      </w:pPr>
      <w:r w:rsidRPr="00BC0E7E">
        <w:rPr>
          <w:szCs w:val="20"/>
        </w:rPr>
        <w:t>abatacept.</w:t>
      </w:r>
    </w:p>
    <w:p w14:paraId="0824B7CF" w14:textId="77777777" w:rsidR="00BC0E7E" w:rsidRPr="00BC0E7E" w:rsidRDefault="00BC0E7E" w:rsidP="00BC0E7E">
      <w:pPr>
        <w:rPr>
          <w:szCs w:val="20"/>
        </w:rPr>
      </w:pPr>
    </w:p>
    <w:p w14:paraId="03AC369A" w14:textId="77777777" w:rsidR="00BC0E7E" w:rsidRPr="00BC0E7E" w:rsidRDefault="00944B8F" w:rsidP="00BC0E7E">
      <w:pPr>
        <w:rPr>
          <w:szCs w:val="20"/>
        </w:rPr>
      </w:pPr>
      <w:r w:rsidRPr="00BC0E7E">
        <w:rPr>
          <w:szCs w:val="20"/>
        </w:rPr>
        <w:t>Humira can be taken together with:</w:t>
      </w:r>
    </w:p>
    <w:p w14:paraId="00B77779" w14:textId="77777777" w:rsidR="00BC0E7E" w:rsidRPr="00BC0E7E" w:rsidRDefault="00944B8F" w:rsidP="00D51999">
      <w:pPr>
        <w:numPr>
          <w:ilvl w:val="0"/>
          <w:numId w:val="73"/>
        </w:numPr>
        <w:rPr>
          <w:szCs w:val="20"/>
        </w:rPr>
      </w:pPr>
      <w:r w:rsidRPr="00BC0E7E">
        <w:rPr>
          <w:szCs w:val="20"/>
        </w:rPr>
        <w:t>methotrexate</w:t>
      </w:r>
    </w:p>
    <w:p w14:paraId="196F16C2" w14:textId="77777777" w:rsidR="00BC0E7E" w:rsidRPr="00BC0E7E" w:rsidRDefault="00944B8F" w:rsidP="00D51999">
      <w:pPr>
        <w:numPr>
          <w:ilvl w:val="0"/>
          <w:numId w:val="73"/>
        </w:numPr>
        <w:ind w:left="540" w:hanging="180"/>
        <w:rPr>
          <w:szCs w:val="20"/>
        </w:rPr>
      </w:pPr>
      <w:r w:rsidRPr="00BC0E7E">
        <w:rPr>
          <w:szCs w:val="20"/>
        </w:rPr>
        <w:t>certain disease-modifying anti-rheumatic agents (for example, sulfasalazine, hydroxychloroquine, leflunomide and injectable gold preparations)</w:t>
      </w:r>
    </w:p>
    <w:p w14:paraId="55C8CD16" w14:textId="77777777" w:rsidR="00BC0E7E" w:rsidRPr="00BC0E7E" w:rsidRDefault="00944B8F" w:rsidP="00D51999">
      <w:pPr>
        <w:numPr>
          <w:ilvl w:val="0"/>
          <w:numId w:val="73"/>
        </w:numPr>
        <w:rPr>
          <w:szCs w:val="20"/>
        </w:rPr>
      </w:pPr>
      <w:r w:rsidRPr="00BC0E7E">
        <w:rPr>
          <w:szCs w:val="20"/>
        </w:rPr>
        <w:t>steroids or pain medications including non-steroidal anti-inflammatory drugs (NSAIDs).</w:t>
      </w:r>
    </w:p>
    <w:p w14:paraId="1370990C" w14:textId="77777777" w:rsidR="00BC0E7E" w:rsidRPr="00BC0E7E" w:rsidRDefault="00BC0E7E" w:rsidP="00BC0E7E">
      <w:pPr>
        <w:rPr>
          <w:szCs w:val="20"/>
        </w:rPr>
      </w:pPr>
    </w:p>
    <w:p w14:paraId="61AC150F" w14:textId="77777777" w:rsidR="00BC0E7E" w:rsidRPr="00BC0E7E" w:rsidRDefault="00944B8F" w:rsidP="00BC0E7E">
      <w:pPr>
        <w:tabs>
          <w:tab w:val="clear" w:pos="562"/>
          <w:tab w:val="left" w:pos="0"/>
        </w:tabs>
        <w:rPr>
          <w:szCs w:val="20"/>
        </w:rPr>
      </w:pPr>
      <w:r w:rsidRPr="00BC0E7E">
        <w:rPr>
          <w:szCs w:val="20"/>
        </w:rPr>
        <w:t>If you have questions, please ask your doctor.</w:t>
      </w:r>
    </w:p>
    <w:p w14:paraId="21B0C707" w14:textId="77777777" w:rsidR="00BC0E7E" w:rsidRPr="00816607" w:rsidRDefault="00BC0E7E" w:rsidP="00BC0E7E">
      <w:pPr>
        <w:rPr>
          <w:bCs/>
          <w:szCs w:val="20"/>
        </w:rPr>
      </w:pPr>
    </w:p>
    <w:p w14:paraId="15D02492" w14:textId="77777777" w:rsidR="00BC0E7E" w:rsidRPr="00816607" w:rsidRDefault="00944B8F" w:rsidP="00BC0E7E">
      <w:pPr>
        <w:rPr>
          <w:szCs w:val="20"/>
        </w:rPr>
      </w:pPr>
      <w:r w:rsidRPr="00BC0E7E">
        <w:rPr>
          <w:b/>
          <w:szCs w:val="20"/>
        </w:rPr>
        <w:t>Pregnancy and breast-feeding</w:t>
      </w:r>
    </w:p>
    <w:p w14:paraId="6D17C463" w14:textId="77777777" w:rsidR="00BC0E7E" w:rsidRPr="00BC0E7E" w:rsidRDefault="00BC0E7E" w:rsidP="00BC0E7E">
      <w:pPr>
        <w:rPr>
          <w:szCs w:val="20"/>
        </w:rPr>
      </w:pPr>
    </w:p>
    <w:p w14:paraId="43D5F184" w14:textId="77777777" w:rsidR="00BC0E7E" w:rsidRPr="009925A9" w:rsidRDefault="00944B8F" w:rsidP="00A70985">
      <w:pPr>
        <w:pStyle w:val="ListParagraph"/>
        <w:numPr>
          <w:ilvl w:val="0"/>
          <w:numId w:val="147"/>
        </w:numPr>
        <w:tabs>
          <w:tab w:val="clear" w:pos="562"/>
          <w:tab w:val="left" w:pos="720"/>
        </w:tabs>
        <w:ind w:left="720"/>
        <w:rPr>
          <w:szCs w:val="20"/>
        </w:rPr>
      </w:pPr>
      <w:r w:rsidRPr="00E163C8">
        <w:rPr>
          <w:szCs w:val="20"/>
        </w:rPr>
        <w:t xml:space="preserve">You </w:t>
      </w:r>
      <w:r w:rsidR="00486065" w:rsidRPr="00E163C8">
        <w:rPr>
          <w:szCs w:val="20"/>
        </w:rPr>
        <w:t>should consider the</w:t>
      </w:r>
      <w:r w:rsidRPr="00E163C8">
        <w:rPr>
          <w:szCs w:val="20"/>
        </w:rPr>
        <w:t xml:space="preserve"> use </w:t>
      </w:r>
      <w:r w:rsidR="00486065" w:rsidRPr="001048C3">
        <w:rPr>
          <w:szCs w:val="20"/>
        </w:rPr>
        <w:t xml:space="preserve">of </w:t>
      </w:r>
      <w:r w:rsidRPr="001048C3">
        <w:rPr>
          <w:szCs w:val="20"/>
        </w:rPr>
        <w:t xml:space="preserve">adequate contraception </w:t>
      </w:r>
      <w:r w:rsidR="00486065" w:rsidRPr="008B6BDD">
        <w:rPr>
          <w:szCs w:val="20"/>
        </w:rPr>
        <w:t>to prevent pregnancy</w:t>
      </w:r>
      <w:r w:rsidRPr="009925A9">
        <w:rPr>
          <w:szCs w:val="20"/>
        </w:rPr>
        <w:t xml:space="preserve"> and</w:t>
      </w:r>
      <w:r w:rsidR="00486065" w:rsidRPr="009925A9">
        <w:rPr>
          <w:szCs w:val="20"/>
        </w:rPr>
        <w:t xml:space="preserve"> continue its use</w:t>
      </w:r>
      <w:r w:rsidRPr="009925A9">
        <w:rPr>
          <w:szCs w:val="20"/>
        </w:rPr>
        <w:t xml:space="preserve"> for at least 5 months after the last Humira treatment.</w:t>
      </w:r>
    </w:p>
    <w:p w14:paraId="019F2FFF" w14:textId="77777777" w:rsidR="00486065" w:rsidRPr="00315900" w:rsidRDefault="00944B8F" w:rsidP="00D51999">
      <w:pPr>
        <w:numPr>
          <w:ilvl w:val="0"/>
          <w:numId w:val="60"/>
        </w:numPr>
        <w:tabs>
          <w:tab w:val="clear" w:pos="562"/>
          <w:tab w:val="left" w:pos="720"/>
        </w:tabs>
        <w:rPr>
          <w:szCs w:val="20"/>
        </w:rPr>
      </w:pPr>
      <w:r w:rsidRPr="00315900">
        <w:rPr>
          <w:szCs w:val="20"/>
        </w:rPr>
        <w:t>If you are pregnant, think you may be pregnant or are planning to have a baby, ask your doctor for advice about taking this medicine.</w:t>
      </w:r>
    </w:p>
    <w:p w14:paraId="5300F159" w14:textId="77777777" w:rsidR="00486065" w:rsidRPr="00315900" w:rsidRDefault="00944B8F" w:rsidP="00D51999">
      <w:pPr>
        <w:numPr>
          <w:ilvl w:val="0"/>
          <w:numId w:val="60"/>
        </w:numPr>
        <w:tabs>
          <w:tab w:val="clear" w:pos="562"/>
          <w:tab w:val="left" w:pos="720"/>
        </w:tabs>
        <w:rPr>
          <w:szCs w:val="20"/>
        </w:rPr>
      </w:pPr>
      <w:r w:rsidRPr="00315900">
        <w:rPr>
          <w:szCs w:val="20"/>
        </w:rPr>
        <w:t>Humira should only be used during a pregnancy if needed.</w:t>
      </w:r>
    </w:p>
    <w:p w14:paraId="6637C783" w14:textId="77777777" w:rsidR="00486065" w:rsidRDefault="00944B8F" w:rsidP="00D51999">
      <w:pPr>
        <w:numPr>
          <w:ilvl w:val="0"/>
          <w:numId w:val="60"/>
        </w:numPr>
        <w:tabs>
          <w:tab w:val="clear" w:pos="562"/>
          <w:tab w:val="left" w:pos="720"/>
        </w:tabs>
        <w:rPr>
          <w:szCs w:val="20"/>
        </w:rPr>
      </w:pPr>
      <w:r w:rsidRPr="00315900">
        <w:rPr>
          <w:szCs w:val="20"/>
        </w:rPr>
        <w:t>According to a pregnancy study, there was no higher risk of birth defects when the mother had received Humira during pregnancy compared with mothers with the same disease who d</w:t>
      </w:r>
      <w:r w:rsidR="00C6283C">
        <w:rPr>
          <w:szCs w:val="20"/>
        </w:rPr>
        <w:t>id not receive Humira.</w:t>
      </w:r>
    </w:p>
    <w:p w14:paraId="04EDCC47" w14:textId="77777777" w:rsidR="00E163C8" w:rsidRPr="00315900" w:rsidRDefault="00944B8F" w:rsidP="00D51999">
      <w:pPr>
        <w:numPr>
          <w:ilvl w:val="0"/>
          <w:numId w:val="60"/>
        </w:numPr>
        <w:tabs>
          <w:tab w:val="clear" w:pos="562"/>
          <w:tab w:val="left" w:pos="720"/>
        </w:tabs>
        <w:rPr>
          <w:szCs w:val="20"/>
        </w:rPr>
      </w:pPr>
      <w:r>
        <w:rPr>
          <w:szCs w:val="20"/>
        </w:rPr>
        <w:t>Humira can be used during breast</w:t>
      </w:r>
      <w:r w:rsidR="008B6BDD">
        <w:rPr>
          <w:szCs w:val="20"/>
        </w:rPr>
        <w:t>-</w:t>
      </w:r>
      <w:r>
        <w:rPr>
          <w:szCs w:val="20"/>
        </w:rPr>
        <w:t>feeding.</w:t>
      </w:r>
    </w:p>
    <w:p w14:paraId="31C2718C" w14:textId="77777777" w:rsidR="00486065" w:rsidRPr="00315900" w:rsidRDefault="00944B8F" w:rsidP="00D51999">
      <w:pPr>
        <w:numPr>
          <w:ilvl w:val="0"/>
          <w:numId w:val="60"/>
        </w:numPr>
        <w:tabs>
          <w:tab w:val="clear" w:pos="562"/>
          <w:tab w:val="left" w:pos="720"/>
        </w:tabs>
        <w:rPr>
          <w:szCs w:val="20"/>
        </w:rPr>
      </w:pPr>
      <w:r w:rsidRPr="00315900">
        <w:rPr>
          <w:szCs w:val="20"/>
        </w:rPr>
        <w:t>If you receive Humira during your pregnancy, your baby may have a higher</w:t>
      </w:r>
      <w:r w:rsidR="00C6283C">
        <w:rPr>
          <w:szCs w:val="20"/>
        </w:rPr>
        <w:t xml:space="preserve"> risk for getting an infection.</w:t>
      </w:r>
    </w:p>
    <w:p w14:paraId="0B8AD2B7" w14:textId="77777777" w:rsidR="00BC0E7E" w:rsidRPr="009925A9" w:rsidRDefault="00944B8F" w:rsidP="00A70985">
      <w:pPr>
        <w:pStyle w:val="ListParagraph"/>
        <w:numPr>
          <w:ilvl w:val="0"/>
          <w:numId w:val="60"/>
        </w:numPr>
        <w:tabs>
          <w:tab w:val="clear" w:pos="562"/>
          <w:tab w:val="left" w:pos="720"/>
        </w:tabs>
        <w:rPr>
          <w:szCs w:val="20"/>
        </w:rPr>
      </w:pPr>
      <w:r w:rsidRPr="00E163C8">
        <w:rPr>
          <w:szCs w:val="20"/>
        </w:rPr>
        <w:t xml:space="preserve">It is important that you tell your baby’s doctors and other health care professionals about your Humira use during your pregnancy before the baby receives any vaccine. For more information </w:t>
      </w:r>
      <w:r w:rsidR="00486065" w:rsidRPr="001048C3">
        <w:rPr>
          <w:szCs w:val="20"/>
        </w:rPr>
        <w:t xml:space="preserve">on vaccines </w:t>
      </w:r>
      <w:r w:rsidRPr="001048C3">
        <w:rPr>
          <w:szCs w:val="20"/>
        </w:rPr>
        <w:t xml:space="preserve">see </w:t>
      </w:r>
      <w:r w:rsidR="00486065" w:rsidRPr="008B6BDD">
        <w:rPr>
          <w:szCs w:val="20"/>
        </w:rPr>
        <w:t>the “</w:t>
      </w:r>
      <w:r w:rsidR="00315900" w:rsidRPr="008B6BDD">
        <w:rPr>
          <w:szCs w:val="20"/>
        </w:rPr>
        <w:t>Warnings and precau</w:t>
      </w:r>
      <w:r w:rsidR="00486065" w:rsidRPr="008B6BDD">
        <w:rPr>
          <w:szCs w:val="20"/>
        </w:rPr>
        <w:t xml:space="preserve">tions” </w:t>
      </w:r>
      <w:r w:rsidRPr="008B6BDD">
        <w:rPr>
          <w:szCs w:val="20"/>
        </w:rPr>
        <w:t>section</w:t>
      </w:r>
      <w:r w:rsidRPr="009925A9">
        <w:rPr>
          <w:szCs w:val="20"/>
        </w:rPr>
        <w:t>.</w:t>
      </w:r>
    </w:p>
    <w:p w14:paraId="67C27B90" w14:textId="77777777" w:rsidR="00BC0E7E" w:rsidRPr="00BC0E7E" w:rsidRDefault="00BC0E7E" w:rsidP="00BC0E7E">
      <w:pPr>
        <w:numPr>
          <w:ilvl w:val="12"/>
          <w:numId w:val="0"/>
        </w:numPr>
      </w:pPr>
    </w:p>
    <w:p w14:paraId="2B0B2F49" w14:textId="77777777" w:rsidR="00BC0E7E" w:rsidRPr="00BC0E7E" w:rsidRDefault="00944B8F" w:rsidP="00BC0E7E">
      <w:pPr>
        <w:rPr>
          <w:b/>
          <w:bCs/>
          <w:i/>
          <w:szCs w:val="22"/>
        </w:rPr>
      </w:pPr>
      <w:r w:rsidRPr="00BC0E7E">
        <w:rPr>
          <w:b/>
          <w:szCs w:val="20"/>
        </w:rPr>
        <w:t>Driving and using machines</w:t>
      </w:r>
    </w:p>
    <w:p w14:paraId="6721D38A" w14:textId="77777777" w:rsidR="00BC0E7E" w:rsidRPr="00BC0E7E" w:rsidRDefault="00BC0E7E" w:rsidP="00BC0E7E"/>
    <w:p w14:paraId="17BD550A" w14:textId="77777777" w:rsidR="00BC0E7E" w:rsidRPr="00BC0E7E" w:rsidRDefault="00944B8F" w:rsidP="00BC0E7E">
      <w:r w:rsidRPr="00BC0E7E">
        <w:t>Humira may have a small effect on your ability to drive, cycle or use machines. Room spinning sensation and vision disturbances may occur after taking Humira.</w:t>
      </w:r>
    </w:p>
    <w:p w14:paraId="5574166E" w14:textId="77777777" w:rsidR="00BC0E7E" w:rsidRDefault="00BC0E7E" w:rsidP="00BC0E7E">
      <w:pPr>
        <w:rPr>
          <w:ins w:id="13678" w:author="AbbVie19" w:date="2025-04-16T12:24:00Z"/>
        </w:rPr>
      </w:pPr>
    </w:p>
    <w:p w14:paraId="618D63D5" w14:textId="3C48D4B3" w:rsidR="00E27926" w:rsidRDefault="00944B8F" w:rsidP="00E27926">
      <w:pPr>
        <w:numPr>
          <w:ilvl w:val="12"/>
          <w:numId w:val="0"/>
        </w:numPr>
        <w:tabs>
          <w:tab w:val="clear" w:pos="562"/>
        </w:tabs>
        <w:ind w:right="-2"/>
        <w:rPr>
          <w:ins w:id="13679" w:author="AbbVie19" w:date="2025-04-17T11:07:00Z"/>
          <w:b/>
          <w:bCs/>
          <w:szCs w:val="22"/>
        </w:rPr>
      </w:pPr>
      <w:ins w:id="13680" w:author="AbbVie19" w:date="2025-04-17T11:07:00Z">
        <w:r>
          <w:rPr>
            <w:b/>
            <w:bCs/>
            <w:szCs w:val="22"/>
          </w:rPr>
          <w:t xml:space="preserve">Humira </w:t>
        </w:r>
        <w:r w:rsidRPr="00B364D7">
          <w:rPr>
            <w:b/>
            <w:bCs/>
            <w:szCs w:val="22"/>
          </w:rPr>
          <w:t>contains polysorbate</w:t>
        </w:r>
      </w:ins>
    </w:p>
    <w:p w14:paraId="083BD579" w14:textId="77777777" w:rsidR="00E27926" w:rsidRPr="00B364D7" w:rsidRDefault="00E27926" w:rsidP="00E27926">
      <w:pPr>
        <w:numPr>
          <w:ilvl w:val="12"/>
          <w:numId w:val="0"/>
        </w:numPr>
        <w:tabs>
          <w:tab w:val="clear" w:pos="562"/>
        </w:tabs>
        <w:ind w:right="-2"/>
        <w:rPr>
          <w:ins w:id="13681" w:author="AbbVie19" w:date="2025-04-17T11:07:00Z"/>
          <w:b/>
          <w:bCs/>
          <w:szCs w:val="22"/>
        </w:rPr>
      </w:pPr>
    </w:p>
    <w:p w14:paraId="7A79366E" w14:textId="22C2E644" w:rsidR="00E27926" w:rsidRPr="00B364D7" w:rsidRDefault="00944B8F" w:rsidP="00E27926">
      <w:pPr>
        <w:tabs>
          <w:tab w:val="clear" w:pos="562"/>
        </w:tabs>
        <w:ind w:right="-2"/>
        <w:rPr>
          <w:ins w:id="13682" w:author="AbbVie19" w:date="2025-04-17T11:07:00Z"/>
        </w:rPr>
      </w:pPr>
      <w:ins w:id="13683" w:author="AbbVie19" w:date="2025-04-17T11:07:00Z">
        <w:r w:rsidRPr="00B364D7">
          <w:t>This medicine contains</w:t>
        </w:r>
      </w:ins>
      <w:ins w:id="13684" w:author="AbbVie19" w:date="2025-05-06T09:17:00Z">
        <w:r w:rsidR="00EA5F49">
          <w:t xml:space="preserve"> 0.4</w:t>
        </w:r>
      </w:ins>
      <w:ins w:id="13685" w:author="AbbVie15" w:date="2025-08-27T10:25:00Z">
        <w:r w:rsidR="00E416F1">
          <w:t> </w:t>
        </w:r>
      </w:ins>
      <w:ins w:id="13686" w:author="AbbVie19" w:date="2025-04-17T11:07:00Z">
        <w:r w:rsidRPr="00B364D7">
          <w:t>mg of polysorbate </w:t>
        </w:r>
        <w:r>
          <w:t>8</w:t>
        </w:r>
        <w:r w:rsidRPr="00B364D7">
          <w:t xml:space="preserve">0 in each </w:t>
        </w:r>
        <w:r>
          <w:t>40</w:t>
        </w:r>
      </w:ins>
      <w:ins w:id="13687" w:author="AbbVie33" w:date="2025-05-02T12:17:00Z">
        <w:r w:rsidR="00590856" w:rsidRPr="00B364D7">
          <w:rPr>
            <w:szCs w:val="22"/>
          </w:rPr>
          <w:t> </w:t>
        </w:r>
      </w:ins>
      <w:ins w:id="13688" w:author="AbbVie19" w:date="2025-04-17T11:07:00Z">
        <w:r>
          <w:t>mg dose</w:t>
        </w:r>
        <w:r w:rsidRPr="00B364D7">
          <w:t xml:space="preserve">. Polysorbates may cause allergic reactions. Tell your doctor if </w:t>
        </w:r>
      </w:ins>
      <w:ins w:id="13689" w:author="AbbVie19" w:date="2025-05-06T09:17:00Z">
        <w:r w:rsidR="00EA5F49">
          <w:t xml:space="preserve">you </w:t>
        </w:r>
      </w:ins>
      <w:ins w:id="13690" w:author="AbbVie19" w:date="2025-05-06T09:23:00Z">
        <w:r w:rsidR="008A2DA9">
          <w:t>have</w:t>
        </w:r>
      </w:ins>
      <w:ins w:id="13691" w:author="AbbVie19" w:date="2025-04-17T11:07:00Z">
        <w:r w:rsidRPr="00B364D7">
          <w:t xml:space="preserve"> any known allergies.</w:t>
        </w:r>
      </w:ins>
    </w:p>
    <w:p w14:paraId="172A1200" w14:textId="77777777" w:rsidR="00804924" w:rsidRPr="00BC0E7E" w:rsidRDefault="00804924" w:rsidP="00933156">
      <w:pPr>
        <w:keepNext/>
      </w:pPr>
    </w:p>
    <w:p w14:paraId="44013D2D" w14:textId="77777777" w:rsidR="00BC0E7E" w:rsidRPr="00BC0E7E" w:rsidRDefault="00BC0E7E" w:rsidP="00933156">
      <w:pPr>
        <w:keepNext/>
      </w:pPr>
    </w:p>
    <w:p w14:paraId="7E94C382" w14:textId="77777777" w:rsidR="00BC0E7E" w:rsidRPr="00BC0E7E" w:rsidRDefault="00944B8F" w:rsidP="00933156">
      <w:pPr>
        <w:keepNext/>
        <w:outlineLvl w:val="0"/>
        <w:rPr>
          <w:rFonts w:ascii="Times New Roman Bold" w:hAnsi="Times New Roman Bold"/>
          <w:b/>
          <w:szCs w:val="20"/>
        </w:rPr>
      </w:pPr>
      <w:r w:rsidRPr="00BC0E7E">
        <w:rPr>
          <w:b/>
          <w:caps/>
          <w:szCs w:val="20"/>
        </w:rPr>
        <w:t>3.</w:t>
      </w:r>
      <w:r w:rsidRPr="00BC0E7E">
        <w:rPr>
          <w:b/>
          <w:caps/>
          <w:szCs w:val="20"/>
        </w:rPr>
        <w:tab/>
      </w:r>
      <w:r w:rsidRPr="00BC0E7E">
        <w:rPr>
          <w:rFonts w:ascii="Times New Roman Bold" w:hAnsi="Times New Roman Bold"/>
          <w:b/>
          <w:szCs w:val="20"/>
        </w:rPr>
        <w:t>How to use Humira</w:t>
      </w:r>
    </w:p>
    <w:p w14:paraId="2C1D3C1A" w14:textId="77777777" w:rsidR="00BC0E7E" w:rsidRPr="00BC0E7E" w:rsidRDefault="00BC0E7E" w:rsidP="00933156">
      <w:pPr>
        <w:keepNext/>
        <w:numPr>
          <w:ilvl w:val="12"/>
          <w:numId w:val="0"/>
        </w:numPr>
        <w:tabs>
          <w:tab w:val="clear" w:pos="562"/>
        </w:tabs>
        <w:ind w:right="-2"/>
      </w:pPr>
    </w:p>
    <w:p w14:paraId="78977E3E" w14:textId="77777777" w:rsidR="00BC0E7E" w:rsidRPr="00BC0E7E" w:rsidRDefault="00944B8F" w:rsidP="00933156">
      <w:pPr>
        <w:keepNext/>
        <w:numPr>
          <w:ilvl w:val="12"/>
          <w:numId w:val="0"/>
        </w:numPr>
        <w:tabs>
          <w:tab w:val="clear" w:pos="562"/>
        </w:tabs>
        <w:ind w:right="-2"/>
      </w:pPr>
      <w:r w:rsidRPr="00BC0E7E">
        <w:t xml:space="preserve">Always use this medicine exactly as your doctor or pharmacist has told you. Check with your doctor or pharmacist if you are not sure. </w:t>
      </w:r>
    </w:p>
    <w:p w14:paraId="66D317B1" w14:textId="77777777" w:rsidR="00BC0E7E" w:rsidRPr="00BC0E7E" w:rsidRDefault="00BC0E7E" w:rsidP="00BC0E7E">
      <w:pPr>
        <w:numPr>
          <w:ilvl w:val="12"/>
          <w:numId w:val="0"/>
        </w:numPr>
        <w:tabs>
          <w:tab w:val="clear" w:pos="562"/>
        </w:tabs>
        <w:ind w:right="-2"/>
      </w:pPr>
    </w:p>
    <w:p w14:paraId="4B40D537" w14:textId="77777777" w:rsidR="00342B22" w:rsidRDefault="00944B8F" w:rsidP="00342B22">
      <w:pPr>
        <w:numPr>
          <w:ilvl w:val="12"/>
          <w:numId w:val="0"/>
        </w:numPr>
        <w:tabs>
          <w:tab w:val="clear" w:pos="562"/>
        </w:tabs>
        <w:ind w:right="-2"/>
      </w:pPr>
      <w:r w:rsidRPr="00BC0E7E">
        <w:t>The recommended doses for Humira in each of the approved uses are shown in the following table.</w:t>
      </w:r>
      <w:r>
        <w:t xml:space="preserve"> </w:t>
      </w:r>
    </w:p>
    <w:p w14:paraId="114078BF" w14:textId="77777777" w:rsidR="00BC0E7E" w:rsidRPr="00BC0E7E" w:rsidRDefault="00944B8F" w:rsidP="00342B22">
      <w:pPr>
        <w:numPr>
          <w:ilvl w:val="12"/>
          <w:numId w:val="0"/>
        </w:numPr>
        <w:tabs>
          <w:tab w:val="clear" w:pos="562"/>
        </w:tabs>
        <w:ind w:right="-2"/>
      </w:pPr>
      <w:r>
        <w:t>Your doctor may prescribe another strength of Humira if you need a different dose.</w:t>
      </w:r>
    </w:p>
    <w:p w14:paraId="71650216" w14:textId="77777777" w:rsidR="00BC0E7E" w:rsidRPr="00BC0E7E" w:rsidRDefault="00BC0E7E" w:rsidP="00BC0E7E">
      <w:pPr>
        <w:numPr>
          <w:ilvl w:val="12"/>
          <w:numId w:val="0"/>
        </w:numPr>
        <w:tabs>
          <w:tab w:val="clear" w:pos="562"/>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749D577F" w14:textId="77777777" w:rsidTr="00171601">
        <w:tc>
          <w:tcPr>
            <w:tcW w:w="9287" w:type="dxa"/>
            <w:gridSpan w:val="3"/>
          </w:tcPr>
          <w:p w14:paraId="4B0E09DE" w14:textId="77777777" w:rsidR="00BC0E7E" w:rsidRPr="00BC0E7E" w:rsidRDefault="00944B8F" w:rsidP="00852331">
            <w:pPr>
              <w:keepNext/>
              <w:numPr>
                <w:ilvl w:val="12"/>
                <w:numId w:val="0"/>
              </w:numPr>
              <w:tabs>
                <w:tab w:val="clear" w:pos="562"/>
              </w:tabs>
              <w:ind w:right="-2"/>
              <w:rPr>
                <w:b/>
              </w:rPr>
            </w:pPr>
            <w:r w:rsidRPr="00BC0E7E">
              <w:rPr>
                <w:b/>
              </w:rPr>
              <w:t>Rheumatoid arthritis, psoriatic arthritis, ankylosing spondylitis or axial spondyloarthritis without radiographic evidence of ankylosing spondylitis</w:t>
            </w:r>
          </w:p>
        </w:tc>
      </w:tr>
      <w:tr w:rsidR="00C6578C" w14:paraId="46000B7E" w14:textId="77777777" w:rsidTr="00171601">
        <w:tc>
          <w:tcPr>
            <w:tcW w:w="3095" w:type="dxa"/>
          </w:tcPr>
          <w:p w14:paraId="533298C6" w14:textId="77777777" w:rsidR="00BC0E7E" w:rsidRPr="00BC0E7E" w:rsidRDefault="00944B8F" w:rsidP="00852331">
            <w:pPr>
              <w:keepNext/>
              <w:numPr>
                <w:ilvl w:val="12"/>
                <w:numId w:val="0"/>
              </w:numPr>
              <w:tabs>
                <w:tab w:val="clear" w:pos="562"/>
              </w:tabs>
              <w:ind w:right="-2"/>
            </w:pPr>
            <w:r w:rsidRPr="00BC0E7E">
              <w:rPr>
                <w:b/>
              </w:rPr>
              <w:t>Age or body weight</w:t>
            </w:r>
          </w:p>
        </w:tc>
        <w:tc>
          <w:tcPr>
            <w:tcW w:w="3096" w:type="dxa"/>
          </w:tcPr>
          <w:p w14:paraId="571BC4A9" w14:textId="77777777" w:rsidR="00BC0E7E" w:rsidRPr="00BC0E7E" w:rsidRDefault="00944B8F" w:rsidP="00852331">
            <w:pPr>
              <w:keepNext/>
              <w:numPr>
                <w:ilvl w:val="12"/>
                <w:numId w:val="0"/>
              </w:numPr>
              <w:tabs>
                <w:tab w:val="clear" w:pos="562"/>
              </w:tabs>
              <w:ind w:right="-2"/>
            </w:pPr>
            <w:r w:rsidRPr="00BC0E7E">
              <w:rPr>
                <w:b/>
              </w:rPr>
              <w:t>How much and how often to take?</w:t>
            </w:r>
          </w:p>
        </w:tc>
        <w:tc>
          <w:tcPr>
            <w:tcW w:w="3096" w:type="dxa"/>
          </w:tcPr>
          <w:p w14:paraId="5F547457" w14:textId="77777777" w:rsidR="00BC0E7E" w:rsidRPr="00BC0E7E" w:rsidRDefault="00944B8F" w:rsidP="00852331">
            <w:pPr>
              <w:keepNext/>
              <w:numPr>
                <w:ilvl w:val="12"/>
                <w:numId w:val="0"/>
              </w:numPr>
              <w:tabs>
                <w:tab w:val="clear" w:pos="562"/>
              </w:tabs>
              <w:ind w:right="-2"/>
            </w:pPr>
            <w:r w:rsidRPr="00BC0E7E">
              <w:rPr>
                <w:b/>
              </w:rPr>
              <w:t>Notes</w:t>
            </w:r>
          </w:p>
        </w:tc>
      </w:tr>
      <w:tr w:rsidR="00C6578C" w14:paraId="347AEAB8" w14:textId="77777777" w:rsidTr="00171601">
        <w:tc>
          <w:tcPr>
            <w:tcW w:w="3095" w:type="dxa"/>
          </w:tcPr>
          <w:p w14:paraId="0AC5AB1B" w14:textId="77777777" w:rsidR="00BC0E7E" w:rsidRPr="00BC0E7E" w:rsidRDefault="00944B8F" w:rsidP="00852331">
            <w:pPr>
              <w:keepNext/>
              <w:numPr>
                <w:ilvl w:val="12"/>
                <w:numId w:val="0"/>
              </w:numPr>
              <w:tabs>
                <w:tab w:val="clear" w:pos="562"/>
              </w:tabs>
              <w:ind w:right="-2"/>
            </w:pPr>
            <w:r w:rsidRPr="00BC0E7E">
              <w:t xml:space="preserve">Adults </w:t>
            </w:r>
          </w:p>
        </w:tc>
        <w:tc>
          <w:tcPr>
            <w:tcW w:w="3096" w:type="dxa"/>
          </w:tcPr>
          <w:p w14:paraId="5C41E57A" w14:textId="77777777" w:rsidR="00BC0E7E" w:rsidRPr="00BC0E7E" w:rsidRDefault="00944B8F" w:rsidP="00852331">
            <w:pPr>
              <w:keepNext/>
              <w:numPr>
                <w:ilvl w:val="12"/>
                <w:numId w:val="0"/>
              </w:numPr>
              <w:tabs>
                <w:tab w:val="clear" w:pos="562"/>
              </w:tabs>
              <w:ind w:right="-2"/>
            </w:pPr>
            <w:r w:rsidRPr="00BC0E7E">
              <w:t>40 mg every other week</w:t>
            </w:r>
          </w:p>
        </w:tc>
        <w:tc>
          <w:tcPr>
            <w:tcW w:w="3096" w:type="dxa"/>
          </w:tcPr>
          <w:p w14:paraId="670D5BC6" w14:textId="77777777" w:rsidR="00BC0E7E" w:rsidRDefault="00944B8F" w:rsidP="00852331">
            <w:pPr>
              <w:keepNext/>
            </w:pPr>
            <w:r w:rsidRPr="00BC0E7E">
              <w:t>In rheumatoid arthritis, methotrexate is continued while using Humira. If your doctor decides that methotrexate is inappropriate, Humira can be given alone.</w:t>
            </w:r>
          </w:p>
          <w:p w14:paraId="0686AEB3" w14:textId="77777777" w:rsidR="00342B22" w:rsidRPr="00BC0E7E" w:rsidRDefault="00342B22" w:rsidP="00852331">
            <w:pPr>
              <w:keepNext/>
            </w:pPr>
          </w:p>
          <w:p w14:paraId="77E8AE7D" w14:textId="77777777" w:rsidR="00BC0E7E" w:rsidRPr="00BC0E7E" w:rsidRDefault="00944B8F" w:rsidP="00852331">
            <w:pPr>
              <w:keepNext/>
              <w:numPr>
                <w:ilvl w:val="12"/>
                <w:numId w:val="0"/>
              </w:numPr>
              <w:tabs>
                <w:tab w:val="clear" w:pos="562"/>
              </w:tabs>
              <w:ind w:right="-2"/>
            </w:pPr>
            <w:r w:rsidRPr="00BC0E7E">
              <w:t>If you have rheumatoid arthritis and you do not receive methotrexate with your Humira therapy, your doctor may decide to give Humira 40 mg every week</w:t>
            </w:r>
            <w:r w:rsidR="00341807">
              <w:t xml:space="preserve"> or 80 mg every other week</w:t>
            </w:r>
            <w:r w:rsidRPr="00BC0E7E">
              <w:t xml:space="preserve">. </w:t>
            </w:r>
          </w:p>
        </w:tc>
      </w:tr>
    </w:tbl>
    <w:p w14:paraId="6A8B71AD" w14:textId="77777777" w:rsidR="00BC0E7E" w:rsidRPr="00BC0E7E" w:rsidRDefault="00BC0E7E" w:rsidP="00BC0E7E">
      <w:pPr>
        <w:numPr>
          <w:ilvl w:val="12"/>
          <w:numId w:val="0"/>
        </w:numPr>
        <w:tabs>
          <w:tab w:val="clear" w:pos="562"/>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289732E8" w14:textId="77777777" w:rsidTr="00171601">
        <w:tc>
          <w:tcPr>
            <w:tcW w:w="9287" w:type="dxa"/>
            <w:gridSpan w:val="3"/>
          </w:tcPr>
          <w:p w14:paraId="0294FC14" w14:textId="77777777" w:rsidR="00BC0E7E" w:rsidRPr="00BC0E7E" w:rsidRDefault="00944B8F" w:rsidP="00BC0E7E">
            <w:pPr>
              <w:keepNext/>
              <w:numPr>
                <w:ilvl w:val="12"/>
                <w:numId w:val="0"/>
              </w:numPr>
              <w:tabs>
                <w:tab w:val="clear" w:pos="562"/>
              </w:tabs>
            </w:pPr>
            <w:r w:rsidRPr="00BC0E7E">
              <w:rPr>
                <w:b/>
              </w:rPr>
              <w:t>Polyarticular juvenile idiopathic arthritis</w:t>
            </w:r>
          </w:p>
        </w:tc>
      </w:tr>
      <w:tr w:rsidR="00C6578C" w14:paraId="4BF909F2" w14:textId="77777777" w:rsidTr="00171601">
        <w:tc>
          <w:tcPr>
            <w:tcW w:w="3095" w:type="dxa"/>
          </w:tcPr>
          <w:p w14:paraId="4B88A521" w14:textId="77777777" w:rsidR="00BC0E7E" w:rsidRPr="00BC0E7E" w:rsidRDefault="00944B8F" w:rsidP="00BC0E7E">
            <w:pPr>
              <w:keepNext/>
              <w:numPr>
                <w:ilvl w:val="12"/>
                <w:numId w:val="0"/>
              </w:numPr>
              <w:tabs>
                <w:tab w:val="clear" w:pos="562"/>
              </w:tabs>
            </w:pPr>
            <w:r w:rsidRPr="00BC0E7E">
              <w:rPr>
                <w:b/>
              </w:rPr>
              <w:t>Age or body weight</w:t>
            </w:r>
          </w:p>
        </w:tc>
        <w:tc>
          <w:tcPr>
            <w:tcW w:w="3096" w:type="dxa"/>
          </w:tcPr>
          <w:p w14:paraId="5433D255" w14:textId="77777777" w:rsidR="00BC0E7E" w:rsidRPr="00BC0E7E" w:rsidRDefault="00944B8F" w:rsidP="00BC0E7E">
            <w:pPr>
              <w:keepNext/>
              <w:numPr>
                <w:ilvl w:val="12"/>
                <w:numId w:val="0"/>
              </w:numPr>
              <w:tabs>
                <w:tab w:val="clear" w:pos="562"/>
              </w:tabs>
            </w:pPr>
            <w:r w:rsidRPr="00BC0E7E">
              <w:rPr>
                <w:b/>
              </w:rPr>
              <w:t>How much and how often to take?</w:t>
            </w:r>
          </w:p>
        </w:tc>
        <w:tc>
          <w:tcPr>
            <w:tcW w:w="3096" w:type="dxa"/>
          </w:tcPr>
          <w:p w14:paraId="6318DD92" w14:textId="77777777" w:rsidR="00BC0E7E" w:rsidRPr="00BC0E7E" w:rsidRDefault="00944B8F" w:rsidP="00BC0E7E">
            <w:pPr>
              <w:keepNext/>
              <w:numPr>
                <w:ilvl w:val="12"/>
                <w:numId w:val="0"/>
              </w:numPr>
              <w:tabs>
                <w:tab w:val="clear" w:pos="562"/>
              </w:tabs>
            </w:pPr>
            <w:r w:rsidRPr="00BC0E7E">
              <w:rPr>
                <w:b/>
              </w:rPr>
              <w:t>Notes</w:t>
            </w:r>
          </w:p>
        </w:tc>
      </w:tr>
      <w:tr w:rsidR="00C6578C" w14:paraId="74B42547" w14:textId="77777777" w:rsidTr="00171601">
        <w:tc>
          <w:tcPr>
            <w:tcW w:w="3095" w:type="dxa"/>
          </w:tcPr>
          <w:p w14:paraId="2BFF75F0" w14:textId="77777777" w:rsidR="00BC0E7E" w:rsidRPr="00BC0E7E" w:rsidRDefault="00944B8F" w:rsidP="00342B22">
            <w:pPr>
              <w:keepNext/>
              <w:numPr>
                <w:ilvl w:val="12"/>
                <w:numId w:val="0"/>
              </w:numPr>
              <w:tabs>
                <w:tab w:val="clear" w:pos="562"/>
              </w:tabs>
            </w:pPr>
            <w:r>
              <w:t>Children, a</w:t>
            </w:r>
            <w:r w:rsidRPr="00BC0E7E">
              <w:t xml:space="preserve">dolescents and adults from </w:t>
            </w:r>
            <w:r>
              <w:t>2</w:t>
            </w:r>
            <w:r w:rsidRPr="00BC0E7E">
              <w:t xml:space="preserve"> years of age </w:t>
            </w:r>
            <w:r>
              <w:t>weighing 30 kg or more</w:t>
            </w:r>
          </w:p>
        </w:tc>
        <w:tc>
          <w:tcPr>
            <w:tcW w:w="3096" w:type="dxa"/>
          </w:tcPr>
          <w:p w14:paraId="025C36AF" w14:textId="77777777" w:rsidR="00BC0E7E" w:rsidRPr="00BC0E7E" w:rsidRDefault="00944B8F" w:rsidP="00BC0E7E">
            <w:pPr>
              <w:keepNext/>
              <w:numPr>
                <w:ilvl w:val="12"/>
                <w:numId w:val="0"/>
              </w:numPr>
              <w:tabs>
                <w:tab w:val="clear" w:pos="562"/>
              </w:tabs>
            </w:pPr>
            <w:r w:rsidRPr="00BC0E7E">
              <w:t>40 mg every other week</w:t>
            </w:r>
          </w:p>
        </w:tc>
        <w:tc>
          <w:tcPr>
            <w:tcW w:w="3096" w:type="dxa"/>
          </w:tcPr>
          <w:p w14:paraId="26AA776C" w14:textId="77777777" w:rsidR="00BC0E7E" w:rsidRPr="00BC0E7E" w:rsidRDefault="00944B8F" w:rsidP="00BC0E7E">
            <w:pPr>
              <w:keepNext/>
              <w:numPr>
                <w:ilvl w:val="12"/>
                <w:numId w:val="0"/>
              </w:numPr>
              <w:tabs>
                <w:tab w:val="clear" w:pos="562"/>
              </w:tabs>
            </w:pPr>
            <w:r>
              <w:t>Not applicable</w:t>
            </w:r>
          </w:p>
        </w:tc>
      </w:tr>
      <w:tr w:rsidR="00C6578C" w14:paraId="6F9AC495" w14:textId="77777777" w:rsidTr="00171601">
        <w:tc>
          <w:tcPr>
            <w:tcW w:w="3095" w:type="dxa"/>
          </w:tcPr>
          <w:p w14:paraId="3E070ABB" w14:textId="77777777" w:rsidR="00BC0E7E" w:rsidRPr="00BC0E7E" w:rsidRDefault="00944B8F" w:rsidP="008C0CEA">
            <w:pPr>
              <w:keepNext/>
              <w:numPr>
                <w:ilvl w:val="12"/>
                <w:numId w:val="0"/>
              </w:numPr>
              <w:tabs>
                <w:tab w:val="clear" w:pos="562"/>
              </w:tabs>
            </w:pPr>
            <w:r w:rsidRPr="00BC0E7E">
              <w:t xml:space="preserve">Children </w:t>
            </w:r>
            <w:r w:rsidR="003A75B0">
              <w:t xml:space="preserve">and adolescents </w:t>
            </w:r>
            <w:r w:rsidRPr="00BC0E7E">
              <w:t>from 2 years of age</w:t>
            </w:r>
            <w:r w:rsidR="008C0CEA">
              <w:t xml:space="preserve"> weighing 10 kg to less than 30 kg</w:t>
            </w:r>
          </w:p>
        </w:tc>
        <w:tc>
          <w:tcPr>
            <w:tcW w:w="3096" w:type="dxa"/>
          </w:tcPr>
          <w:p w14:paraId="2F337E2D" w14:textId="77777777" w:rsidR="00BC0E7E" w:rsidRPr="00BC0E7E" w:rsidRDefault="00944B8F" w:rsidP="003A75B0">
            <w:pPr>
              <w:keepNext/>
              <w:numPr>
                <w:ilvl w:val="12"/>
                <w:numId w:val="0"/>
              </w:numPr>
              <w:tabs>
                <w:tab w:val="clear" w:pos="562"/>
              </w:tabs>
            </w:pPr>
            <w:r>
              <w:t>20 mg every other week</w:t>
            </w:r>
            <w:r w:rsidRPr="00BC0E7E">
              <w:t xml:space="preserve"> </w:t>
            </w:r>
          </w:p>
        </w:tc>
        <w:tc>
          <w:tcPr>
            <w:tcW w:w="3096" w:type="dxa"/>
          </w:tcPr>
          <w:p w14:paraId="657C60CF" w14:textId="77777777" w:rsidR="00BC0E7E" w:rsidRPr="00BC0E7E" w:rsidRDefault="00944B8F" w:rsidP="00BC0E7E">
            <w:pPr>
              <w:keepNext/>
              <w:numPr>
                <w:ilvl w:val="12"/>
                <w:numId w:val="0"/>
              </w:numPr>
              <w:tabs>
                <w:tab w:val="clear" w:pos="562"/>
              </w:tabs>
            </w:pPr>
            <w:r>
              <w:t>Not applicable</w:t>
            </w:r>
          </w:p>
        </w:tc>
      </w:tr>
    </w:tbl>
    <w:p w14:paraId="1F746ABD" w14:textId="77777777" w:rsidR="00BC0E7E" w:rsidRPr="00BC0E7E" w:rsidRDefault="00BC0E7E" w:rsidP="00BC0E7E">
      <w:pPr>
        <w:numPr>
          <w:ilvl w:val="12"/>
          <w:numId w:val="0"/>
        </w:numPr>
        <w:tabs>
          <w:tab w:val="clear" w:pos="562"/>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4ABFF5CD" w14:textId="77777777" w:rsidTr="00171601">
        <w:tc>
          <w:tcPr>
            <w:tcW w:w="9287" w:type="dxa"/>
            <w:gridSpan w:val="3"/>
          </w:tcPr>
          <w:p w14:paraId="502F89A2" w14:textId="77777777" w:rsidR="00BC0E7E" w:rsidRPr="00BC0E7E" w:rsidRDefault="00944B8F" w:rsidP="00BC0E7E">
            <w:pPr>
              <w:numPr>
                <w:ilvl w:val="12"/>
                <w:numId w:val="0"/>
              </w:numPr>
              <w:tabs>
                <w:tab w:val="clear" w:pos="562"/>
              </w:tabs>
              <w:ind w:right="-2"/>
              <w:rPr>
                <w:b/>
              </w:rPr>
            </w:pPr>
            <w:r w:rsidRPr="00BC0E7E">
              <w:rPr>
                <w:b/>
              </w:rPr>
              <w:t>Enthesitis-related arthritis</w:t>
            </w:r>
          </w:p>
        </w:tc>
      </w:tr>
      <w:tr w:rsidR="00C6578C" w14:paraId="141DEB8A" w14:textId="77777777" w:rsidTr="00171601">
        <w:tc>
          <w:tcPr>
            <w:tcW w:w="3095" w:type="dxa"/>
          </w:tcPr>
          <w:p w14:paraId="41458D2B" w14:textId="77777777" w:rsidR="00BC0E7E" w:rsidRPr="00BC0E7E" w:rsidRDefault="00944B8F" w:rsidP="00BC0E7E">
            <w:pPr>
              <w:numPr>
                <w:ilvl w:val="12"/>
                <w:numId w:val="0"/>
              </w:numPr>
              <w:tabs>
                <w:tab w:val="clear" w:pos="562"/>
              </w:tabs>
              <w:ind w:right="-2"/>
            </w:pPr>
            <w:r w:rsidRPr="00BC0E7E">
              <w:rPr>
                <w:b/>
              </w:rPr>
              <w:t>Age or body weight</w:t>
            </w:r>
          </w:p>
        </w:tc>
        <w:tc>
          <w:tcPr>
            <w:tcW w:w="3096" w:type="dxa"/>
          </w:tcPr>
          <w:p w14:paraId="24458057" w14:textId="77777777" w:rsidR="00BC0E7E" w:rsidRPr="00BC0E7E" w:rsidRDefault="00944B8F" w:rsidP="00BC0E7E">
            <w:pPr>
              <w:numPr>
                <w:ilvl w:val="12"/>
                <w:numId w:val="0"/>
              </w:numPr>
              <w:tabs>
                <w:tab w:val="clear" w:pos="562"/>
              </w:tabs>
              <w:ind w:right="-2"/>
            </w:pPr>
            <w:r w:rsidRPr="00BC0E7E">
              <w:rPr>
                <w:b/>
              </w:rPr>
              <w:t>How much and how often to take?</w:t>
            </w:r>
          </w:p>
        </w:tc>
        <w:tc>
          <w:tcPr>
            <w:tcW w:w="3096" w:type="dxa"/>
          </w:tcPr>
          <w:p w14:paraId="19595BA8" w14:textId="77777777" w:rsidR="00BC0E7E" w:rsidRPr="00BC0E7E" w:rsidRDefault="00944B8F" w:rsidP="00BC0E7E">
            <w:pPr>
              <w:numPr>
                <w:ilvl w:val="12"/>
                <w:numId w:val="0"/>
              </w:numPr>
              <w:tabs>
                <w:tab w:val="clear" w:pos="562"/>
              </w:tabs>
              <w:ind w:right="-2"/>
            </w:pPr>
            <w:r w:rsidRPr="00BC0E7E">
              <w:rPr>
                <w:b/>
              </w:rPr>
              <w:t>Notes</w:t>
            </w:r>
          </w:p>
        </w:tc>
      </w:tr>
      <w:tr w:rsidR="00C6578C" w14:paraId="1A158F47" w14:textId="77777777" w:rsidTr="00171601">
        <w:tc>
          <w:tcPr>
            <w:tcW w:w="3095" w:type="dxa"/>
          </w:tcPr>
          <w:p w14:paraId="5AE1C6C0" w14:textId="77777777" w:rsidR="00BC0E7E" w:rsidRPr="00BC0E7E" w:rsidRDefault="00944B8F" w:rsidP="00BC0E7E">
            <w:pPr>
              <w:numPr>
                <w:ilvl w:val="12"/>
                <w:numId w:val="0"/>
              </w:numPr>
              <w:tabs>
                <w:tab w:val="clear" w:pos="562"/>
              </w:tabs>
              <w:ind w:right="-2"/>
            </w:pPr>
            <w:r w:rsidRPr="00BC0E7E">
              <w:t>Children, adolescents and adults from 6 years of age</w:t>
            </w:r>
            <w:r w:rsidR="003A75B0">
              <w:t xml:space="preserve"> weighing 30 kg or more</w:t>
            </w:r>
          </w:p>
        </w:tc>
        <w:tc>
          <w:tcPr>
            <w:tcW w:w="3096" w:type="dxa"/>
          </w:tcPr>
          <w:p w14:paraId="2292A7BE" w14:textId="77777777" w:rsidR="00BC0E7E" w:rsidRPr="00BC0E7E" w:rsidRDefault="00944B8F" w:rsidP="003A75B0">
            <w:pPr>
              <w:numPr>
                <w:ilvl w:val="12"/>
                <w:numId w:val="0"/>
              </w:numPr>
              <w:tabs>
                <w:tab w:val="clear" w:pos="562"/>
              </w:tabs>
              <w:ind w:right="-2"/>
            </w:pPr>
            <w:r>
              <w:t>40 mg every other week</w:t>
            </w:r>
            <w:r w:rsidRPr="00BC0E7E">
              <w:t xml:space="preserve"> </w:t>
            </w:r>
          </w:p>
        </w:tc>
        <w:tc>
          <w:tcPr>
            <w:tcW w:w="3096" w:type="dxa"/>
          </w:tcPr>
          <w:p w14:paraId="6F39DE64" w14:textId="77777777" w:rsidR="00BC0E7E" w:rsidRPr="00BC0E7E" w:rsidRDefault="00944B8F" w:rsidP="00BC0E7E">
            <w:pPr>
              <w:numPr>
                <w:ilvl w:val="12"/>
                <w:numId w:val="0"/>
              </w:numPr>
              <w:tabs>
                <w:tab w:val="clear" w:pos="562"/>
              </w:tabs>
              <w:ind w:right="-2"/>
            </w:pPr>
            <w:r>
              <w:t>Not applicable</w:t>
            </w:r>
          </w:p>
        </w:tc>
      </w:tr>
      <w:tr w:rsidR="00C6578C" w14:paraId="5483224E" w14:textId="77777777" w:rsidTr="003A75B0">
        <w:tc>
          <w:tcPr>
            <w:tcW w:w="3095" w:type="dxa"/>
          </w:tcPr>
          <w:p w14:paraId="48264E77" w14:textId="77777777" w:rsidR="003A75B0" w:rsidRPr="00E679DA" w:rsidRDefault="00944B8F" w:rsidP="003A75B0">
            <w:pPr>
              <w:numPr>
                <w:ilvl w:val="12"/>
                <w:numId w:val="0"/>
              </w:numPr>
              <w:tabs>
                <w:tab w:val="clear" w:pos="562"/>
              </w:tabs>
              <w:ind w:right="-2"/>
            </w:pPr>
            <w:r>
              <w:t>Children and adolescents from 6 years of age weighing 15 kg to less than 30 kg</w:t>
            </w:r>
          </w:p>
        </w:tc>
        <w:tc>
          <w:tcPr>
            <w:tcW w:w="3096" w:type="dxa"/>
          </w:tcPr>
          <w:p w14:paraId="009D0380" w14:textId="77777777" w:rsidR="003A75B0" w:rsidRDefault="00944B8F" w:rsidP="003A75B0">
            <w:pPr>
              <w:numPr>
                <w:ilvl w:val="12"/>
                <w:numId w:val="0"/>
              </w:numPr>
              <w:tabs>
                <w:tab w:val="clear" w:pos="562"/>
              </w:tabs>
              <w:ind w:right="-2"/>
            </w:pPr>
            <w:r>
              <w:t>20 mg every other week</w:t>
            </w:r>
          </w:p>
        </w:tc>
        <w:tc>
          <w:tcPr>
            <w:tcW w:w="3096" w:type="dxa"/>
          </w:tcPr>
          <w:p w14:paraId="229BF7EE" w14:textId="77777777" w:rsidR="003A75B0" w:rsidRPr="00E679DA" w:rsidRDefault="00944B8F" w:rsidP="003A75B0">
            <w:pPr>
              <w:numPr>
                <w:ilvl w:val="12"/>
                <w:numId w:val="0"/>
              </w:numPr>
              <w:tabs>
                <w:tab w:val="clear" w:pos="562"/>
              </w:tabs>
              <w:ind w:right="-2"/>
            </w:pPr>
            <w:r>
              <w:t>Not applicable</w:t>
            </w:r>
          </w:p>
        </w:tc>
      </w:tr>
    </w:tbl>
    <w:p w14:paraId="45C7DC32" w14:textId="77777777" w:rsidR="00BC0E7E" w:rsidRPr="00BC0E7E" w:rsidRDefault="00BC0E7E" w:rsidP="00BC0E7E">
      <w:pPr>
        <w:numPr>
          <w:ilvl w:val="12"/>
          <w:numId w:val="0"/>
        </w:numPr>
        <w:tabs>
          <w:tab w:val="clear" w:pos="562"/>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71854FC8" w14:textId="77777777" w:rsidTr="00171601">
        <w:tc>
          <w:tcPr>
            <w:tcW w:w="9287" w:type="dxa"/>
            <w:gridSpan w:val="3"/>
          </w:tcPr>
          <w:p w14:paraId="1F5741D5" w14:textId="77777777" w:rsidR="00BC0E7E" w:rsidRPr="00BC0E7E" w:rsidRDefault="00944B8F" w:rsidP="00BC0E7E">
            <w:pPr>
              <w:keepNext/>
              <w:numPr>
                <w:ilvl w:val="12"/>
                <w:numId w:val="0"/>
              </w:numPr>
              <w:tabs>
                <w:tab w:val="clear" w:pos="562"/>
              </w:tabs>
              <w:ind w:right="-2"/>
            </w:pPr>
            <w:r w:rsidRPr="00BC0E7E">
              <w:rPr>
                <w:b/>
              </w:rPr>
              <w:t>Plaque psoriasis</w:t>
            </w:r>
          </w:p>
        </w:tc>
      </w:tr>
      <w:tr w:rsidR="00C6578C" w14:paraId="3D2F11A5" w14:textId="77777777" w:rsidTr="00171601">
        <w:tc>
          <w:tcPr>
            <w:tcW w:w="3095" w:type="dxa"/>
          </w:tcPr>
          <w:p w14:paraId="2252AFD5" w14:textId="77777777" w:rsidR="00BC0E7E" w:rsidRPr="00BC0E7E" w:rsidRDefault="00944B8F" w:rsidP="00BC0E7E">
            <w:pPr>
              <w:numPr>
                <w:ilvl w:val="12"/>
                <w:numId w:val="0"/>
              </w:numPr>
              <w:tabs>
                <w:tab w:val="clear" w:pos="562"/>
              </w:tabs>
              <w:ind w:right="-2"/>
            </w:pPr>
            <w:r w:rsidRPr="00BC0E7E">
              <w:rPr>
                <w:b/>
              </w:rPr>
              <w:t>Age or body weight</w:t>
            </w:r>
          </w:p>
        </w:tc>
        <w:tc>
          <w:tcPr>
            <w:tcW w:w="3096" w:type="dxa"/>
          </w:tcPr>
          <w:p w14:paraId="593041BD" w14:textId="77777777" w:rsidR="00BC0E7E" w:rsidRPr="00BC0E7E" w:rsidRDefault="00944B8F" w:rsidP="00BC0E7E">
            <w:pPr>
              <w:numPr>
                <w:ilvl w:val="12"/>
                <w:numId w:val="0"/>
              </w:numPr>
              <w:tabs>
                <w:tab w:val="clear" w:pos="562"/>
              </w:tabs>
              <w:ind w:right="-2"/>
            </w:pPr>
            <w:r w:rsidRPr="00BC0E7E">
              <w:rPr>
                <w:b/>
              </w:rPr>
              <w:t>How much and how often to take?</w:t>
            </w:r>
          </w:p>
        </w:tc>
        <w:tc>
          <w:tcPr>
            <w:tcW w:w="3096" w:type="dxa"/>
          </w:tcPr>
          <w:p w14:paraId="2B56D4D1" w14:textId="77777777" w:rsidR="00BC0E7E" w:rsidRPr="00BC0E7E" w:rsidRDefault="00944B8F" w:rsidP="00BC0E7E">
            <w:pPr>
              <w:keepNext/>
              <w:numPr>
                <w:ilvl w:val="12"/>
                <w:numId w:val="0"/>
              </w:numPr>
              <w:tabs>
                <w:tab w:val="clear" w:pos="562"/>
              </w:tabs>
              <w:ind w:right="-2"/>
            </w:pPr>
            <w:r w:rsidRPr="00BC0E7E">
              <w:rPr>
                <w:b/>
              </w:rPr>
              <w:t>Notes</w:t>
            </w:r>
          </w:p>
        </w:tc>
      </w:tr>
      <w:tr w:rsidR="00C6578C" w14:paraId="39EEAC98" w14:textId="77777777" w:rsidTr="00171601">
        <w:tc>
          <w:tcPr>
            <w:tcW w:w="3095" w:type="dxa"/>
          </w:tcPr>
          <w:p w14:paraId="51C4B7DD" w14:textId="77777777" w:rsidR="00BC0E7E" w:rsidRPr="00BC0E7E" w:rsidRDefault="00944B8F" w:rsidP="00BC0E7E">
            <w:pPr>
              <w:numPr>
                <w:ilvl w:val="12"/>
                <w:numId w:val="0"/>
              </w:numPr>
              <w:tabs>
                <w:tab w:val="clear" w:pos="562"/>
              </w:tabs>
              <w:ind w:right="-2"/>
            </w:pPr>
            <w:r w:rsidRPr="00BC0E7E">
              <w:lastRenderedPageBreak/>
              <w:t xml:space="preserve">Adults </w:t>
            </w:r>
          </w:p>
          <w:p w14:paraId="02CE79B9" w14:textId="77777777" w:rsidR="00BC0E7E" w:rsidRPr="00BC0E7E" w:rsidRDefault="00BC0E7E" w:rsidP="00BC0E7E">
            <w:pPr>
              <w:numPr>
                <w:ilvl w:val="12"/>
                <w:numId w:val="0"/>
              </w:numPr>
              <w:tabs>
                <w:tab w:val="clear" w:pos="562"/>
              </w:tabs>
              <w:ind w:right="-2"/>
            </w:pPr>
          </w:p>
        </w:tc>
        <w:tc>
          <w:tcPr>
            <w:tcW w:w="3096" w:type="dxa"/>
          </w:tcPr>
          <w:p w14:paraId="462058EB" w14:textId="77777777" w:rsidR="00BC0E7E" w:rsidRPr="00BC0E7E" w:rsidRDefault="00944B8F" w:rsidP="00BC0E7E">
            <w:pPr>
              <w:numPr>
                <w:ilvl w:val="12"/>
                <w:numId w:val="0"/>
              </w:numPr>
              <w:tabs>
                <w:tab w:val="clear" w:pos="562"/>
              </w:tabs>
            </w:pPr>
            <w:r w:rsidRPr="00BC0E7E">
              <w:t>First dose of 80 mg (two 40 mg injections in one day), followed by 40 mg every other week starting one week after the first dose.</w:t>
            </w:r>
          </w:p>
        </w:tc>
        <w:tc>
          <w:tcPr>
            <w:tcW w:w="3096" w:type="dxa"/>
          </w:tcPr>
          <w:p w14:paraId="61FFF761" w14:textId="77777777" w:rsidR="00BC0E7E" w:rsidRPr="00BC0E7E" w:rsidRDefault="00944B8F" w:rsidP="00BC0E7E">
            <w:r w:rsidRPr="00BC0E7E">
              <w:t>If you have an inadequate response, your doctor may increase the dos</w:t>
            </w:r>
            <w:r w:rsidR="002B0A6C">
              <w:t>ag</w:t>
            </w:r>
            <w:r w:rsidRPr="00BC0E7E">
              <w:t>e to 40 mg every week</w:t>
            </w:r>
            <w:r w:rsidR="002B0A6C">
              <w:t xml:space="preserve"> or 80 mg every other week</w:t>
            </w:r>
            <w:r w:rsidRPr="00BC0E7E">
              <w:t>.</w:t>
            </w:r>
          </w:p>
          <w:p w14:paraId="33C22413" w14:textId="77777777" w:rsidR="00BC0E7E" w:rsidRPr="00BC0E7E" w:rsidRDefault="00BC0E7E" w:rsidP="00BC0E7E">
            <w:pPr>
              <w:numPr>
                <w:ilvl w:val="12"/>
                <w:numId w:val="0"/>
              </w:numPr>
              <w:tabs>
                <w:tab w:val="clear" w:pos="562"/>
              </w:tabs>
              <w:ind w:right="-2"/>
            </w:pPr>
          </w:p>
        </w:tc>
      </w:tr>
      <w:tr w:rsidR="00C6578C" w14:paraId="330ADAF9" w14:textId="77777777" w:rsidTr="00171601">
        <w:tc>
          <w:tcPr>
            <w:tcW w:w="3095" w:type="dxa"/>
          </w:tcPr>
          <w:p w14:paraId="146005D5" w14:textId="77777777" w:rsidR="00BC0E7E" w:rsidRPr="00BC0E7E" w:rsidRDefault="00944B8F" w:rsidP="00BC0E7E">
            <w:pPr>
              <w:numPr>
                <w:ilvl w:val="12"/>
                <w:numId w:val="0"/>
              </w:numPr>
              <w:tabs>
                <w:tab w:val="clear" w:pos="562"/>
              </w:tabs>
              <w:ind w:right="-2"/>
            </w:pPr>
            <w:r w:rsidRPr="00BC0E7E">
              <w:t>Children and adolescents from 4</w:t>
            </w:r>
            <w:r w:rsidR="003A75B0">
              <w:t xml:space="preserve"> to 17</w:t>
            </w:r>
            <w:r w:rsidRPr="00BC0E7E">
              <w:t xml:space="preserve"> years of age</w:t>
            </w:r>
            <w:r w:rsidR="003A75B0">
              <w:t xml:space="preserve"> weighing 30 kg or more</w:t>
            </w:r>
          </w:p>
        </w:tc>
        <w:tc>
          <w:tcPr>
            <w:tcW w:w="3096" w:type="dxa"/>
          </w:tcPr>
          <w:p w14:paraId="42CC8236" w14:textId="77777777" w:rsidR="003A75B0" w:rsidRDefault="00944B8F" w:rsidP="003A75B0">
            <w:pPr>
              <w:numPr>
                <w:ilvl w:val="12"/>
                <w:numId w:val="0"/>
              </w:numPr>
              <w:tabs>
                <w:tab w:val="clear" w:pos="562"/>
                <w:tab w:val="left" w:pos="720"/>
              </w:tabs>
            </w:pPr>
            <w:r>
              <w:t>First dose of 40 mg, followed by 40 mg one week later.</w:t>
            </w:r>
          </w:p>
          <w:p w14:paraId="3AAC368C" w14:textId="77777777" w:rsidR="003A75B0" w:rsidRDefault="003A75B0" w:rsidP="003A75B0">
            <w:pPr>
              <w:numPr>
                <w:ilvl w:val="12"/>
                <w:numId w:val="0"/>
              </w:numPr>
              <w:tabs>
                <w:tab w:val="clear" w:pos="562"/>
                <w:tab w:val="left" w:pos="720"/>
              </w:tabs>
            </w:pPr>
          </w:p>
          <w:p w14:paraId="7BB56608" w14:textId="77777777" w:rsidR="00BC0E7E" w:rsidRPr="00BC0E7E" w:rsidRDefault="00944B8F" w:rsidP="003A75B0">
            <w:pPr>
              <w:numPr>
                <w:ilvl w:val="12"/>
                <w:numId w:val="0"/>
              </w:numPr>
              <w:tabs>
                <w:tab w:val="clear" w:pos="562"/>
              </w:tabs>
            </w:pPr>
            <w:r>
              <w:t>Thereafter, the usual dose is 40 mg every other week.</w:t>
            </w:r>
          </w:p>
        </w:tc>
        <w:tc>
          <w:tcPr>
            <w:tcW w:w="3096" w:type="dxa"/>
          </w:tcPr>
          <w:p w14:paraId="7918448D" w14:textId="77777777" w:rsidR="00BC0E7E" w:rsidRPr="00BC0E7E" w:rsidRDefault="00944B8F" w:rsidP="00BC0E7E">
            <w:pPr>
              <w:numPr>
                <w:ilvl w:val="12"/>
                <w:numId w:val="0"/>
              </w:numPr>
              <w:tabs>
                <w:tab w:val="clear" w:pos="562"/>
              </w:tabs>
              <w:ind w:right="-2"/>
            </w:pPr>
            <w:r>
              <w:t>Not applicable</w:t>
            </w:r>
          </w:p>
        </w:tc>
      </w:tr>
      <w:tr w:rsidR="00C6578C" w14:paraId="0F513E3B" w14:textId="77777777" w:rsidTr="003A75B0">
        <w:tc>
          <w:tcPr>
            <w:tcW w:w="3095" w:type="dxa"/>
            <w:tcBorders>
              <w:top w:val="single" w:sz="4" w:space="0" w:color="auto"/>
              <w:left w:val="single" w:sz="4" w:space="0" w:color="auto"/>
              <w:bottom w:val="single" w:sz="4" w:space="0" w:color="auto"/>
              <w:right w:val="single" w:sz="4" w:space="0" w:color="auto"/>
            </w:tcBorders>
            <w:hideMark/>
          </w:tcPr>
          <w:p w14:paraId="427F3EC6" w14:textId="77777777" w:rsidR="003A75B0" w:rsidRDefault="00944B8F" w:rsidP="008B1550">
            <w:pPr>
              <w:keepNext/>
              <w:numPr>
                <w:ilvl w:val="12"/>
                <w:numId w:val="0"/>
              </w:numPr>
              <w:tabs>
                <w:tab w:val="clear" w:pos="562"/>
                <w:tab w:val="left" w:pos="720"/>
              </w:tabs>
              <w:ind w:right="-2"/>
            </w:pPr>
            <w:r>
              <w:t>Children and adolescents from 4 to 17 years of age weighing 15 kg to less than 30 kg</w:t>
            </w:r>
          </w:p>
        </w:tc>
        <w:tc>
          <w:tcPr>
            <w:tcW w:w="3096" w:type="dxa"/>
            <w:tcBorders>
              <w:top w:val="single" w:sz="4" w:space="0" w:color="auto"/>
              <w:left w:val="single" w:sz="4" w:space="0" w:color="auto"/>
              <w:bottom w:val="single" w:sz="4" w:space="0" w:color="auto"/>
              <w:right w:val="single" w:sz="4" w:space="0" w:color="auto"/>
            </w:tcBorders>
          </w:tcPr>
          <w:p w14:paraId="2698143D" w14:textId="77777777" w:rsidR="003A75B0" w:rsidRDefault="00944B8F" w:rsidP="008B1550">
            <w:pPr>
              <w:keepNext/>
              <w:numPr>
                <w:ilvl w:val="12"/>
                <w:numId w:val="0"/>
              </w:numPr>
              <w:tabs>
                <w:tab w:val="clear" w:pos="562"/>
                <w:tab w:val="left" w:pos="720"/>
              </w:tabs>
            </w:pPr>
            <w:r>
              <w:t>First dose of 20 mg, followed by 20 mg one week later.</w:t>
            </w:r>
          </w:p>
          <w:p w14:paraId="334D27A0" w14:textId="77777777" w:rsidR="003A75B0" w:rsidRDefault="003A75B0" w:rsidP="008B1550">
            <w:pPr>
              <w:keepNext/>
              <w:numPr>
                <w:ilvl w:val="12"/>
                <w:numId w:val="0"/>
              </w:numPr>
              <w:tabs>
                <w:tab w:val="clear" w:pos="562"/>
                <w:tab w:val="left" w:pos="720"/>
              </w:tabs>
            </w:pPr>
          </w:p>
          <w:p w14:paraId="31F5F932" w14:textId="77777777" w:rsidR="003A75B0" w:rsidRDefault="00944B8F" w:rsidP="008B1550">
            <w:pPr>
              <w:keepNext/>
              <w:numPr>
                <w:ilvl w:val="12"/>
                <w:numId w:val="0"/>
              </w:numPr>
              <w:tabs>
                <w:tab w:val="clear" w:pos="562"/>
                <w:tab w:val="left" w:pos="720"/>
              </w:tabs>
            </w:pPr>
            <w:r>
              <w:t>Thereafter, the usual dose is 20 mg every other week.</w:t>
            </w:r>
          </w:p>
        </w:tc>
        <w:tc>
          <w:tcPr>
            <w:tcW w:w="3096" w:type="dxa"/>
            <w:tcBorders>
              <w:top w:val="single" w:sz="4" w:space="0" w:color="auto"/>
              <w:left w:val="single" w:sz="4" w:space="0" w:color="auto"/>
              <w:bottom w:val="single" w:sz="4" w:space="0" w:color="auto"/>
              <w:right w:val="single" w:sz="4" w:space="0" w:color="auto"/>
            </w:tcBorders>
          </w:tcPr>
          <w:p w14:paraId="4465C55C" w14:textId="77777777" w:rsidR="003A75B0" w:rsidRDefault="00944B8F" w:rsidP="008B1550">
            <w:pPr>
              <w:keepNext/>
              <w:numPr>
                <w:ilvl w:val="12"/>
                <w:numId w:val="0"/>
              </w:numPr>
              <w:tabs>
                <w:tab w:val="clear" w:pos="562"/>
                <w:tab w:val="left" w:pos="720"/>
              </w:tabs>
              <w:ind w:right="-2"/>
            </w:pPr>
            <w:r>
              <w:t>Not applicable</w:t>
            </w:r>
          </w:p>
        </w:tc>
      </w:tr>
    </w:tbl>
    <w:p w14:paraId="3ACD0ED0" w14:textId="77777777" w:rsidR="00BC0E7E" w:rsidRPr="00BC0E7E" w:rsidRDefault="00BC0E7E" w:rsidP="00BC0E7E">
      <w:pPr>
        <w:numPr>
          <w:ilvl w:val="12"/>
          <w:numId w:val="0"/>
        </w:numPr>
        <w:tabs>
          <w:tab w:val="clear" w:pos="562"/>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017643E1" w14:textId="77777777" w:rsidTr="00171601">
        <w:tc>
          <w:tcPr>
            <w:tcW w:w="9287" w:type="dxa"/>
            <w:gridSpan w:val="3"/>
          </w:tcPr>
          <w:p w14:paraId="67BE0FEF" w14:textId="77777777" w:rsidR="00BC0E7E" w:rsidRPr="00BC0E7E" w:rsidRDefault="00944B8F" w:rsidP="00852331">
            <w:pPr>
              <w:keepNext/>
              <w:numPr>
                <w:ilvl w:val="12"/>
                <w:numId w:val="0"/>
              </w:numPr>
              <w:tabs>
                <w:tab w:val="clear" w:pos="562"/>
              </w:tabs>
              <w:ind w:right="-2"/>
              <w:rPr>
                <w:b/>
              </w:rPr>
            </w:pPr>
            <w:r w:rsidRPr="00BC0E7E">
              <w:rPr>
                <w:b/>
              </w:rPr>
              <w:t>Hidradenitis suppurativa</w:t>
            </w:r>
          </w:p>
        </w:tc>
      </w:tr>
      <w:tr w:rsidR="00C6578C" w14:paraId="081836CA" w14:textId="77777777" w:rsidTr="00171601">
        <w:tc>
          <w:tcPr>
            <w:tcW w:w="3095" w:type="dxa"/>
          </w:tcPr>
          <w:p w14:paraId="3116D27A" w14:textId="77777777" w:rsidR="00BC0E7E" w:rsidRPr="00BC0E7E" w:rsidRDefault="00944B8F" w:rsidP="00852331">
            <w:pPr>
              <w:keepNext/>
              <w:numPr>
                <w:ilvl w:val="12"/>
                <w:numId w:val="0"/>
              </w:numPr>
              <w:tabs>
                <w:tab w:val="clear" w:pos="562"/>
              </w:tabs>
              <w:ind w:right="-2"/>
            </w:pPr>
            <w:r w:rsidRPr="00BC0E7E">
              <w:rPr>
                <w:b/>
              </w:rPr>
              <w:t>Age or body weight</w:t>
            </w:r>
          </w:p>
        </w:tc>
        <w:tc>
          <w:tcPr>
            <w:tcW w:w="3096" w:type="dxa"/>
          </w:tcPr>
          <w:p w14:paraId="53954D97" w14:textId="77777777" w:rsidR="00BC0E7E" w:rsidRPr="00BC0E7E" w:rsidRDefault="00944B8F" w:rsidP="00852331">
            <w:pPr>
              <w:keepNext/>
              <w:numPr>
                <w:ilvl w:val="12"/>
                <w:numId w:val="0"/>
              </w:numPr>
              <w:tabs>
                <w:tab w:val="clear" w:pos="562"/>
              </w:tabs>
              <w:ind w:right="-2"/>
            </w:pPr>
            <w:r w:rsidRPr="00BC0E7E">
              <w:rPr>
                <w:b/>
              </w:rPr>
              <w:t>How much and how often to take?</w:t>
            </w:r>
          </w:p>
        </w:tc>
        <w:tc>
          <w:tcPr>
            <w:tcW w:w="3096" w:type="dxa"/>
          </w:tcPr>
          <w:p w14:paraId="21CE72D6" w14:textId="77777777" w:rsidR="00BC0E7E" w:rsidRPr="00BC0E7E" w:rsidRDefault="00944B8F" w:rsidP="00852331">
            <w:pPr>
              <w:keepNext/>
              <w:numPr>
                <w:ilvl w:val="12"/>
                <w:numId w:val="0"/>
              </w:numPr>
              <w:tabs>
                <w:tab w:val="clear" w:pos="562"/>
              </w:tabs>
              <w:ind w:right="-2"/>
            </w:pPr>
            <w:r w:rsidRPr="00BC0E7E">
              <w:rPr>
                <w:b/>
              </w:rPr>
              <w:t>Notes</w:t>
            </w:r>
          </w:p>
        </w:tc>
      </w:tr>
      <w:tr w:rsidR="00C6578C" w14:paraId="7ED53165" w14:textId="77777777" w:rsidTr="00171601">
        <w:tc>
          <w:tcPr>
            <w:tcW w:w="3095" w:type="dxa"/>
          </w:tcPr>
          <w:p w14:paraId="23FA9BF5" w14:textId="77777777" w:rsidR="00BC0E7E" w:rsidRPr="00BC0E7E" w:rsidRDefault="00944B8F" w:rsidP="00852331">
            <w:pPr>
              <w:keepNext/>
              <w:numPr>
                <w:ilvl w:val="12"/>
                <w:numId w:val="0"/>
              </w:numPr>
              <w:tabs>
                <w:tab w:val="clear" w:pos="562"/>
              </w:tabs>
              <w:ind w:right="-2"/>
            </w:pPr>
            <w:r w:rsidRPr="00BC0E7E">
              <w:t xml:space="preserve">Adults </w:t>
            </w:r>
          </w:p>
        </w:tc>
        <w:tc>
          <w:tcPr>
            <w:tcW w:w="3096" w:type="dxa"/>
          </w:tcPr>
          <w:p w14:paraId="603DBECC" w14:textId="77777777" w:rsidR="00BC0E7E" w:rsidRPr="00BC0E7E" w:rsidRDefault="00944B8F" w:rsidP="00852331">
            <w:pPr>
              <w:keepNext/>
              <w:numPr>
                <w:ilvl w:val="12"/>
                <w:numId w:val="0"/>
              </w:numPr>
              <w:tabs>
                <w:tab w:val="clear" w:pos="562"/>
              </w:tabs>
              <w:ind w:right="-2"/>
            </w:pPr>
            <w:r w:rsidRPr="00BC0E7E">
              <w:rPr>
                <w:szCs w:val="22"/>
              </w:rPr>
              <w:t>First dose of 160 mg (four 40 mg injections in one day or two 40 mg injections per day for two consecutive days), followed by an 80 mg dose (two 40 mg injections in one day) two weeks later. After two further weeks, continue with a dose of 40 mg every week</w:t>
            </w:r>
            <w:r w:rsidR="001A4E58">
              <w:rPr>
                <w:szCs w:val="22"/>
              </w:rPr>
              <w:t xml:space="preserve"> or 80 mg every other week</w:t>
            </w:r>
            <w:r w:rsidR="00DF1EE3">
              <w:rPr>
                <w:szCs w:val="22"/>
              </w:rPr>
              <w:t>, as prescribed by your doctor</w:t>
            </w:r>
            <w:r w:rsidRPr="00BC0E7E">
              <w:rPr>
                <w:szCs w:val="22"/>
              </w:rPr>
              <w:t xml:space="preserve">.  </w:t>
            </w:r>
          </w:p>
        </w:tc>
        <w:tc>
          <w:tcPr>
            <w:tcW w:w="3096" w:type="dxa"/>
          </w:tcPr>
          <w:p w14:paraId="3BCD8C2D" w14:textId="77777777" w:rsidR="00BC0E7E" w:rsidRPr="00BC0E7E" w:rsidRDefault="00944B8F" w:rsidP="00852331">
            <w:pPr>
              <w:keepNext/>
              <w:tabs>
                <w:tab w:val="clear" w:pos="562"/>
              </w:tabs>
              <w:suppressAutoHyphens w:val="0"/>
              <w:rPr>
                <w:szCs w:val="22"/>
              </w:rPr>
            </w:pPr>
            <w:r w:rsidRPr="00BC0E7E">
              <w:rPr>
                <w:szCs w:val="22"/>
              </w:rPr>
              <w:t>It is recommended that you use an antiseptic wash daily on the affected areas.</w:t>
            </w:r>
          </w:p>
          <w:p w14:paraId="57875BAF" w14:textId="77777777" w:rsidR="00BC0E7E" w:rsidRPr="00BC0E7E" w:rsidRDefault="00BC0E7E" w:rsidP="00852331">
            <w:pPr>
              <w:keepNext/>
              <w:numPr>
                <w:ilvl w:val="12"/>
                <w:numId w:val="0"/>
              </w:numPr>
              <w:tabs>
                <w:tab w:val="clear" w:pos="562"/>
              </w:tabs>
              <w:ind w:right="-2"/>
            </w:pPr>
          </w:p>
        </w:tc>
      </w:tr>
      <w:tr w:rsidR="00C6578C" w14:paraId="4923523A" w14:textId="77777777" w:rsidTr="00171601">
        <w:tc>
          <w:tcPr>
            <w:tcW w:w="3095" w:type="dxa"/>
          </w:tcPr>
          <w:p w14:paraId="53D4F450" w14:textId="77777777" w:rsidR="00BC0E7E" w:rsidRPr="00BC0E7E" w:rsidRDefault="00944B8F" w:rsidP="003A75B0">
            <w:pPr>
              <w:numPr>
                <w:ilvl w:val="12"/>
                <w:numId w:val="0"/>
              </w:numPr>
              <w:tabs>
                <w:tab w:val="clear" w:pos="562"/>
              </w:tabs>
              <w:ind w:right="-2"/>
              <w:rPr>
                <w:b/>
              </w:rPr>
            </w:pPr>
            <w:r w:rsidRPr="00BC0E7E">
              <w:rPr>
                <w:szCs w:val="22"/>
              </w:rPr>
              <w:t>Adolescents from 12</w:t>
            </w:r>
            <w:r w:rsidR="003A75B0">
              <w:rPr>
                <w:szCs w:val="22"/>
              </w:rPr>
              <w:t xml:space="preserve"> to 17</w:t>
            </w:r>
            <w:r w:rsidRPr="00BC0E7E">
              <w:rPr>
                <w:szCs w:val="22"/>
              </w:rPr>
              <w:t xml:space="preserve"> years of age weighing 30 kg</w:t>
            </w:r>
            <w:r w:rsidR="003A75B0">
              <w:rPr>
                <w:szCs w:val="22"/>
              </w:rPr>
              <w:t xml:space="preserve"> or more</w:t>
            </w:r>
          </w:p>
        </w:tc>
        <w:tc>
          <w:tcPr>
            <w:tcW w:w="3096" w:type="dxa"/>
          </w:tcPr>
          <w:p w14:paraId="2BAD8E62" w14:textId="77777777" w:rsidR="00BC0E7E" w:rsidRPr="00BC0E7E" w:rsidRDefault="00944B8F" w:rsidP="00BC0E7E">
            <w:pPr>
              <w:numPr>
                <w:ilvl w:val="12"/>
                <w:numId w:val="0"/>
              </w:numPr>
              <w:tabs>
                <w:tab w:val="clear" w:pos="562"/>
              </w:tabs>
              <w:ind w:right="-2"/>
              <w:rPr>
                <w:szCs w:val="22"/>
              </w:rPr>
            </w:pPr>
            <w:r w:rsidRPr="00BC0E7E">
              <w:rPr>
                <w:szCs w:val="22"/>
              </w:rPr>
              <w:t xml:space="preserve">First dose of 80 mg (two 40 mg injections in one day), followed by 40 mg every other week starting one week later.  </w:t>
            </w:r>
          </w:p>
        </w:tc>
        <w:tc>
          <w:tcPr>
            <w:tcW w:w="3096" w:type="dxa"/>
          </w:tcPr>
          <w:p w14:paraId="3C3C1FF7" w14:textId="77777777" w:rsidR="00BC0E7E" w:rsidRPr="00BC0E7E" w:rsidRDefault="00944B8F" w:rsidP="00BC0E7E">
            <w:pPr>
              <w:tabs>
                <w:tab w:val="clear" w:pos="562"/>
              </w:tabs>
              <w:suppressAutoHyphens w:val="0"/>
              <w:rPr>
                <w:szCs w:val="22"/>
              </w:rPr>
            </w:pPr>
            <w:r w:rsidRPr="00BC0E7E">
              <w:rPr>
                <w:szCs w:val="22"/>
              </w:rPr>
              <w:t>If you have an inadequate response</w:t>
            </w:r>
            <w:r w:rsidR="001A4E58">
              <w:rPr>
                <w:szCs w:val="22"/>
              </w:rPr>
              <w:t xml:space="preserve"> to Humira 40 mg every other week</w:t>
            </w:r>
            <w:r w:rsidRPr="00BC0E7E">
              <w:rPr>
                <w:szCs w:val="22"/>
              </w:rPr>
              <w:t>, your doctor may increase the dos</w:t>
            </w:r>
            <w:r w:rsidR="001A4E58">
              <w:rPr>
                <w:szCs w:val="22"/>
              </w:rPr>
              <w:t>ag</w:t>
            </w:r>
            <w:r w:rsidRPr="00BC0E7E">
              <w:rPr>
                <w:szCs w:val="22"/>
              </w:rPr>
              <w:t xml:space="preserve">e to 40 mg every week </w:t>
            </w:r>
            <w:r w:rsidR="001A4E58">
              <w:rPr>
                <w:szCs w:val="22"/>
              </w:rPr>
              <w:t>or 80 mg every other week.</w:t>
            </w:r>
          </w:p>
          <w:p w14:paraId="69A322D1" w14:textId="77777777" w:rsidR="00BC0E7E" w:rsidRPr="00BC0E7E" w:rsidRDefault="00944B8F" w:rsidP="00BC0E7E">
            <w:pPr>
              <w:tabs>
                <w:tab w:val="clear" w:pos="562"/>
              </w:tabs>
              <w:suppressAutoHyphens w:val="0"/>
              <w:rPr>
                <w:szCs w:val="22"/>
              </w:rPr>
            </w:pPr>
            <w:r w:rsidRPr="00BC0E7E">
              <w:rPr>
                <w:szCs w:val="22"/>
              </w:rPr>
              <w:t>It is recommended that you use an antiseptic wash daily on the affected areas.</w:t>
            </w:r>
          </w:p>
          <w:p w14:paraId="327B8ED5" w14:textId="77777777" w:rsidR="00BC0E7E" w:rsidRPr="00BC0E7E" w:rsidRDefault="00BC0E7E" w:rsidP="00BC0E7E">
            <w:pPr>
              <w:tabs>
                <w:tab w:val="clear" w:pos="562"/>
              </w:tabs>
              <w:suppressAutoHyphens w:val="0"/>
              <w:rPr>
                <w:szCs w:val="22"/>
              </w:rPr>
            </w:pPr>
          </w:p>
        </w:tc>
      </w:tr>
    </w:tbl>
    <w:p w14:paraId="6B165488" w14:textId="77777777" w:rsidR="00BC0E7E" w:rsidRPr="00BC0E7E" w:rsidRDefault="00BC0E7E" w:rsidP="00BC0E7E">
      <w:pPr>
        <w:numPr>
          <w:ilvl w:val="12"/>
          <w:numId w:val="0"/>
        </w:numPr>
        <w:tabs>
          <w:tab w:val="clear" w:pos="562"/>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26842B70" w14:textId="77777777" w:rsidTr="00171601">
        <w:tc>
          <w:tcPr>
            <w:tcW w:w="9287" w:type="dxa"/>
            <w:gridSpan w:val="3"/>
          </w:tcPr>
          <w:p w14:paraId="52B5E0F6" w14:textId="77777777" w:rsidR="00BC0E7E" w:rsidRPr="00BC0E7E" w:rsidRDefault="00944B8F" w:rsidP="00852331">
            <w:pPr>
              <w:numPr>
                <w:ilvl w:val="12"/>
                <w:numId w:val="0"/>
              </w:numPr>
              <w:tabs>
                <w:tab w:val="clear" w:pos="562"/>
              </w:tabs>
              <w:ind w:right="-2"/>
            </w:pPr>
            <w:r w:rsidRPr="00BC0E7E">
              <w:rPr>
                <w:b/>
              </w:rPr>
              <w:t>Crohn’s disease</w:t>
            </w:r>
          </w:p>
        </w:tc>
      </w:tr>
      <w:tr w:rsidR="00C6578C" w14:paraId="2E44B999" w14:textId="77777777" w:rsidTr="00171601">
        <w:tc>
          <w:tcPr>
            <w:tcW w:w="3095" w:type="dxa"/>
          </w:tcPr>
          <w:p w14:paraId="37833B02" w14:textId="77777777" w:rsidR="00BC0E7E" w:rsidRPr="00BC0E7E" w:rsidRDefault="00944B8F" w:rsidP="00852331">
            <w:pPr>
              <w:numPr>
                <w:ilvl w:val="12"/>
                <w:numId w:val="0"/>
              </w:numPr>
              <w:tabs>
                <w:tab w:val="clear" w:pos="562"/>
              </w:tabs>
              <w:ind w:right="-2"/>
            </w:pPr>
            <w:r w:rsidRPr="00BC0E7E">
              <w:rPr>
                <w:b/>
              </w:rPr>
              <w:t>Age or body weight</w:t>
            </w:r>
          </w:p>
        </w:tc>
        <w:tc>
          <w:tcPr>
            <w:tcW w:w="3096" w:type="dxa"/>
          </w:tcPr>
          <w:p w14:paraId="407B94F7" w14:textId="77777777" w:rsidR="00BC0E7E" w:rsidRPr="00BC0E7E" w:rsidRDefault="00944B8F" w:rsidP="00852331">
            <w:pPr>
              <w:numPr>
                <w:ilvl w:val="12"/>
                <w:numId w:val="0"/>
              </w:numPr>
              <w:tabs>
                <w:tab w:val="clear" w:pos="562"/>
              </w:tabs>
              <w:ind w:right="-2"/>
            </w:pPr>
            <w:r w:rsidRPr="00BC0E7E">
              <w:rPr>
                <w:b/>
              </w:rPr>
              <w:t>How much and how often to take?</w:t>
            </w:r>
          </w:p>
        </w:tc>
        <w:tc>
          <w:tcPr>
            <w:tcW w:w="3096" w:type="dxa"/>
          </w:tcPr>
          <w:p w14:paraId="600EAE61" w14:textId="77777777" w:rsidR="00BC0E7E" w:rsidRPr="00BC0E7E" w:rsidRDefault="00944B8F" w:rsidP="00852331">
            <w:pPr>
              <w:numPr>
                <w:ilvl w:val="12"/>
                <w:numId w:val="0"/>
              </w:numPr>
              <w:tabs>
                <w:tab w:val="clear" w:pos="562"/>
              </w:tabs>
              <w:ind w:right="-2"/>
            </w:pPr>
            <w:r w:rsidRPr="00BC0E7E">
              <w:rPr>
                <w:b/>
              </w:rPr>
              <w:t>Notes</w:t>
            </w:r>
          </w:p>
        </w:tc>
      </w:tr>
      <w:tr w:rsidR="00C6578C" w14:paraId="104403AA" w14:textId="77777777" w:rsidTr="00171601">
        <w:tc>
          <w:tcPr>
            <w:tcW w:w="3095" w:type="dxa"/>
          </w:tcPr>
          <w:p w14:paraId="1D90EDD0" w14:textId="77777777" w:rsidR="00BC0E7E" w:rsidRPr="00BC0E7E" w:rsidRDefault="00944B8F" w:rsidP="003A75B0">
            <w:pPr>
              <w:numPr>
                <w:ilvl w:val="12"/>
                <w:numId w:val="0"/>
              </w:numPr>
              <w:tabs>
                <w:tab w:val="clear" w:pos="562"/>
              </w:tabs>
              <w:ind w:right="-2"/>
            </w:pPr>
            <w:r w:rsidRPr="00BC0E7E">
              <w:t>Children</w:t>
            </w:r>
            <w:r w:rsidR="003A75B0">
              <w:t>,</w:t>
            </w:r>
            <w:r w:rsidRPr="00BC0E7E">
              <w:t xml:space="preserve"> adolescents </w:t>
            </w:r>
            <w:r w:rsidR="003A75B0">
              <w:t xml:space="preserve">and adults </w:t>
            </w:r>
            <w:r w:rsidRPr="00BC0E7E">
              <w:t>from 6 years of age weighing 40 kg or more</w:t>
            </w:r>
          </w:p>
        </w:tc>
        <w:tc>
          <w:tcPr>
            <w:tcW w:w="3096" w:type="dxa"/>
          </w:tcPr>
          <w:p w14:paraId="5C000620" w14:textId="77777777" w:rsidR="00BC0E7E" w:rsidRPr="00BC0E7E" w:rsidRDefault="00944B8F" w:rsidP="00852331">
            <w:r w:rsidRPr="00BC0E7E">
              <w:t>First dose of 80 mg (two 40 mg injections in one day), followed by 40 mg two weeks later.</w:t>
            </w:r>
          </w:p>
          <w:p w14:paraId="07F7D0FF" w14:textId="77777777" w:rsidR="003A75B0" w:rsidRDefault="003A75B0" w:rsidP="00852331"/>
          <w:p w14:paraId="4919722B" w14:textId="77777777" w:rsidR="00BC0E7E" w:rsidRDefault="00944B8F" w:rsidP="00852331">
            <w:r w:rsidRPr="00BC0E7E">
              <w:t xml:space="preserve">If a faster response is required, the doctor may prescribe a first dose of 160 mg (four 40 mg injections in one day or two 40 </w:t>
            </w:r>
            <w:r w:rsidRPr="00BC0E7E">
              <w:lastRenderedPageBreak/>
              <w:t>mg injections per day for two consecutive days), followed by 80 mg (two 40 mg injections in one day) two weeks later.</w:t>
            </w:r>
          </w:p>
          <w:p w14:paraId="703DC9EA" w14:textId="77777777" w:rsidR="003A75B0" w:rsidRPr="00BC0E7E" w:rsidRDefault="003A75B0" w:rsidP="00852331"/>
          <w:p w14:paraId="0D77FE3D" w14:textId="77777777" w:rsidR="00BC0E7E" w:rsidRPr="00BC0E7E" w:rsidRDefault="00944B8F" w:rsidP="00852331">
            <w:pPr>
              <w:numPr>
                <w:ilvl w:val="12"/>
                <w:numId w:val="0"/>
              </w:numPr>
              <w:tabs>
                <w:tab w:val="clear" w:pos="562"/>
              </w:tabs>
              <w:ind w:right="-2"/>
            </w:pPr>
            <w:r w:rsidRPr="00BC0E7E">
              <w:t>Thereafter, the usual dose is 40 mg every other week.</w:t>
            </w:r>
          </w:p>
        </w:tc>
        <w:tc>
          <w:tcPr>
            <w:tcW w:w="3096" w:type="dxa"/>
          </w:tcPr>
          <w:p w14:paraId="4F6110BF" w14:textId="77777777" w:rsidR="00BC0E7E" w:rsidRPr="00BC0E7E" w:rsidRDefault="00944B8F" w:rsidP="00852331">
            <w:r w:rsidRPr="00BC0E7E">
              <w:lastRenderedPageBreak/>
              <w:t>Your doctor may increase the dos</w:t>
            </w:r>
            <w:r w:rsidR="007240DC">
              <w:t>ag</w:t>
            </w:r>
            <w:r w:rsidRPr="00BC0E7E">
              <w:t>e to 40 mg every week</w:t>
            </w:r>
            <w:r w:rsidR="007240DC">
              <w:t xml:space="preserve"> or 80 mg every other week</w:t>
            </w:r>
            <w:r w:rsidRPr="00BC0E7E">
              <w:t>.</w:t>
            </w:r>
          </w:p>
          <w:p w14:paraId="59CC5E21" w14:textId="77777777" w:rsidR="00BC0E7E" w:rsidRPr="00BC0E7E" w:rsidRDefault="00BC0E7E" w:rsidP="00852331"/>
        </w:tc>
      </w:tr>
      <w:tr w:rsidR="00C6578C" w14:paraId="445B2215" w14:textId="77777777" w:rsidTr="00171601">
        <w:tc>
          <w:tcPr>
            <w:tcW w:w="3095" w:type="dxa"/>
          </w:tcPr>
          <w:p w14:paraId="1C4D44E9" w14:textId="77777777" w:rsidR="00BC0E7E" w:rsidRPr="00BC0E7E" w:rsidRDefault="00944B8F" w:rsidP="00BC0E7E">
            <w:pPr>
              <w:keepNext/>
              <w:numPr>
                <w:ilvl w:val="12"/>
                <w:numId w:val="0"/>
              </w:numPr>
              <w:tabs>
                <w:tab w:val="clear" w:pos="562"/>
              </w:tabs>
              <w:ind w:right="-2"/>
            </w:pPr>
            <w:r w:rsidRPr="00BC0E7E">
              <w:t>Children and adolescents from 6</w:t>
            </w:r>
            <w:r w:rsidR="003A75B0">
              <w:t xml:space="preserve"> to 17</w:t>
            </w:r>
            <w:r w:rsidRPr="00BC0E7E">
              <w:t xml:space="preserve"> years of age weighing less than 40 kg</w:t>
            </w:r>
          </w:p>
        </w:tc>
        <w:tc>
          <w:tcPr>
            <w:tcW w:w="3096" w:type="dxa"/>
          </w:tcPr>
          <w:p w14:paraId="5B59624E" w14:textId="77777777" w:rsidR="00BC0E7E" w:rsidRDefault="00944B8F" w:rsidP="00BC0E7E">
            <w:pPr>
              <w:keepNext/>
            </w:pPr>
            <w:r w:rsidRPr="00BC0E7E">
              <w:t xml:space="preserve">First dose of 40 mg, followed by 20 mg two weeks later. </w:t>
            </w:r>
          </w:p>
          <w:p w14:paraId="0F1D2501" w14:textId="77777777" w:rsidR="003A75B0" w:rsidRPr="00BC0E7E" w:rsidRDefault="003A75B0" w:rsidP="00BC0E7E">
            <w:pPr>
              <w:keepNext/>
            </w:pPr>
          </w:p>
          <w:p w14:paraId="6C214298" w14:textId="77777777" w:rsidR="00BC0E7E" w:rsidRDefault="00944B8F" w:rsidP="00BC0E7E">
            <w:pPr>
              <w:keepNext/>
            </w:pPr>
            <w:r w:rsidRPr="00BC0E7E">
              <w:t>If a faster response is required, the doctor may prescribe a first dose of 80 mg (two 40 mg injections in one day), followed by 40 mg two weeks later.</w:t>
            </w:r>
          </w:p>
          <w:p w14:paraId="5304BA01" w14:textId="77777777" w:rsidR="003A75B0" w:rsidRPr="00BC0E7E" w:rsidRDefault="003A75B0" w:rsidP="00BC0E7E">
            <w:pPr>
              <w:keepNext/>
            </w:pPr>
          </w:p>
          <w:p w14:paraId="77608AB5" w14:textId="77777777" w:rsidR="00BC0E7E" w:rsidRPr="00BC0E7E" w:rsidRDefault="00944B8F" w:rsidP="00BC0E7E">
            <w:pPr>
              <w:keepNext/>
              <w:numPr>
                <w:ilvl w:val="12"/>
                <w:numId w:val="0"/>
              </w:numPr>
              <w:tabs>
                <w:tab w:val="clear" w:pos="562"/>
              </w:tabs>
              <w:ind w:right="-2"/>
            </w:pPr>
            <w:r w:rsidRPr="00BC0E7E">
              <w:t>Thereafter, the usual dose is 20 mg every other week.</w:t>
            </w:r>
          </w:p>
        </w:tc>
        <w:tc>
          <w:tcPr>
            <w:tcW w:w="3096" w:type="dxa"/>
          </w:tcPr>
          <w:p w14:paraId="4DB6337F" w14:textId="77777777" w:rsidR="00BC0E7E" w:rsidRPr="00BC0E7E" w:rsidRDefault="00944B8F" w:rsidP="00BC0E7E">
            <w:pPr>
              <w:keepNext/>
            </w:pPr>
            <w:r w:rsidRPr="00BC0E7E">
              <w:t>Your doctor may increase the dose frequency to 20 mg every week.</w:t>
            </w:r>
          </w:p>
          <w:p w14:paraId="61E25EC9" w14:textId="77777777" w:rsidR="00BC0E7E" w:rsidRPr="00BC0E7E" w:rsidRDefault="00BC0E7E" w:rsidP="00BC0E7E">
            <w:pPr>
              <w:keepNext/>
              <w:numPr>
                <w:ilvl w:val="12"/>
                <w:numId w:val="0"/>
              </w:numPr>
              <w:tabs>
                <w:tab w:val="clear" w:pos="562"/>
              </w:tabs>
              <w:ind w:right="-2"/>
            </w:pPr>
          </w:p>
        </w:tc>
      </w:tr>
    </w:tbl>
    <w:p w14:paraId="77374A08" w14:textId="77777777" w:rsidR="00BC0E7E" w:rsidRPr="00BC0E7E" w:rsidRDefault="00BC0E7E" w:rsidP="00BC0E7E">
      <w:pPr>
        <w:numPr>
          <w:ilvl w:val="12"/>
          <w:numId w:val="0"/>
        </w:numPr>
        <w:tabs>
          <w:tab w:val="clear" w:pos="562"/>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29362E9E" w14:textId="77777777" w:rsidTr="00171601">
        <w:tc>
          <w:tcPr>
            <w:tcW w:w="9287" w:type="dxa"/>
            <w:gridSpan w:val="3"/>
          </w:tcPr>
          <w:p w14:paraId="1F1FFCE9" w14:textId="77777777" w:rsidR="00BC0E7E" w:rsidRPr="00BC0E7E" w:rsidRDefault="00944B8F" w:rsidP="00BC0E7E">
            <w:pPr>
              <w:numPr>
                <w:ilvl w:val="12"/>
                <w:numId w:val="0"/>
              </w:numPr>
              <w:tabs>
                <w:tab w:val="clear" w:pos="562"/>
              </w:tabs>
              <w:ind w:right="-2"/>
              <w:rPr>
                <w:b/>
              </w:rPr>
            </w:pPr>
            <w:r w:rsidRPr="00BC0E7E">
              <w:rPr>
                <w:b/>
                <w:szCs w:val="22"/>
              </w:rPr>
              <w:t>Ulcerative colitis</w:t>
            </w:r>
          </w:p>
        </w:tc>
      </w:tr>
      <w:tr w:rsidR="00C6578C" w14:paraId="5991A525" w14:textId="77777777" w:rsidTr="00171601">
        <w:tc>
          <w:tcPr>
            <w:tcW w:w="3095" w:type="dxa"/>
          </w:tcPr>
          <w:p w14:paraId="1EA7312D" w14:textId="77777777" w:rsidR="00BC0E7E" w:rsidRPr="00BC0E7E" w:rsidRDefault="00944B8F" w:rsidP="00BC0E7E">
            <w:pPr>
              <w:numPr>
                <w:ilvl w:val="12"/>
                <w:numId w:val="0"/>
              </w:numPr>
              <w:tabs>
                <w:tab w:val="clear" w:pos="562"/>
              </w:tabs>
              <w:ind w:right="-2"/>
            </w:pPr>
            <w:r w:rsidRPr="00BC0E7E">
              <w:rPr>
                <w:b/>
              </w:rPr>
              <w:t>Age or body weight</w:t>
            </w:r>
          </w:p>
        </w:tc>
        <w:tc>
          <w:tcPr>
            <w:tcW w:w="3096" w:type="dxa"/>
          </w:tcPr>
          <w:p w14:paraId="0F1653A8" w14:textId="77777777" w:rsidR="00BC0E7E" w:rsidRPr="00BC0E7E" w:rsidRDefault="00944B8F" w:rsidP="00BC0E7E">
            <w:pPr>
              <w:numPr>
                <w:ilvl w:val="12"/>
                <w:numId w:val="0"/>
              </w:numPr>
              <w:tabs>
                <w:tab w:val="clear" w:pos="562"/>
              </w:tabs>
              <w:ind w:right="-2"/>
            </w:pPr>
            <w:r w:rsidRPr="00BC0E7E">
              <w:rPr>
                <w:b/>
              </w:rPr>
              <w:t>How much and how often to take?</w:t>
            </w:r>
          </w:p>
        </w:tc>
        <w:tc>
          <w:tcPr>
            <w:tcW w:w="3096" w:type="dxa"/>
          </w:tcPr>
          <w:p w14:paraId="6694125F" w14:textId="77777777" w:rsidR="00BC0E7E" w:rsidRPr="00BC0E7E" w:rsidRDefault="00944B8F" w:rsidP="00BC0E7E">
            <w:pPr>
              <w:numPr>
                <w:ilvl w:val="12"/>
                <w:numId w:val="0"/>
              </w:numPr>
              <w:tabs>
                <w:tab w:val="clear" w:pos="562"/>
              </w:tabs>
              <w:ind w:right="-2"/>
            </w:pPr>
            <w:r w:rsidRPr="00BC0E7E">
              <w:rPr>
                <w:b/>
              </w:rPr>
              <w:t>Notes</w:t>
            </w:r>
          </w:p>
        </w:tc>
      </w:tr>
      <w:tr w:rsidR="00C6578C" w14:paraId="0946DAEC" w14:textId="77777777" w:rsidTr="00171601">
        <w:tc>
          <w:tcPr>
            <w:tcW w:w="3095" w:type="dxa"/>
          </w:tcPr>
          <w:p w14:paraId="43796617" w14:textId="77777777" w:rsidR="00BC0E7E" w:rsidRPr="00BC0E7E" w:rsidRDefault="00944B8F" w:rsidP="00BC0E7E">
            <w:pPr>
              <w:numPr>
                <w:ilvl w:val="12"/>
                <w:numId w:val="0"/>
              </w:numPr>
              <w:tabs>
                <w:tab w:val="clear" w:pos="562"/>
              </w:tabs>
              <w:ind w:right="-2"/>
            </w:pPr>
            <w:r w:rsidRPr="00BC0E7E">
              <w:t>Adults</w:t>
            </w:r>
          </w:p>
        </w:tc>
        <w:tc>
          <w:tcPr>
            <w:tcW w:w="3096" w:type="dxa"/>
          </w:tcPr>
          <w:p w14:paraId="234E5E8B" w14:textId="77777777" w:rsidR="00BC0E7E" w:rsidRPr="00BC0E7E" w:rsidRDefault="00944B8F" w:rsidP="00BC0E7E">
            <w:pPr>
              <w:numPr>
                <w:ilvl w:val="12"/>
                <w:numId w:val="0"/>
              </w:numPr>
              <w:tabs>
                <w:tab w:val="clear" w:pos="562"/>
              </w:tabs>
            </w:pPr>
            <w:r w:rsidRPr="00BC0E7E">
              <w:t>First dose of 160 mg (four 40 mg injections in one day or two 40 mg injections per day for two consecutive days), followed by 80 mg (two 40 mg injections in one day) two weeks later.</w:t>
            </w:r>
          </w:p>
          <w:p w14:paraId="108DBA57" w14:textId="77777777" w:rsidR="003A75B0" w:rsidRDefault="003A75B0" w:rsidP="00BC0E7E">
            <w:pPr>
              <w:numPr>
                <w:ilvl w:val="12"/>
                <w:numId w:val="0"/>
              </w:numPr>
              <w:tabs>
                <w:tab w:val="clear" w:pos="562"/>
              </w:tabs>
            </w:pPr>
          </w:p>
          <w:p w14:paraId="283245CB" w14:textId="77777777" w:rsidR="00BC0E7E" w:rsidRPr="00BC0E7E" w:rsidRDefault="00944B8F" w:rsidP="00BC0E7E">
            <w:pPr>
              <w:numPr>
                <w:ilvl w:val="12"/>
                <w:numId w:val="0"/>
              </w:numPr>
              <w:tabs>
                <w:tab w:val="clear" w:pos="562"/>
              </w:tabs>
            </w:pPr>
            <w:r w:rsidRPr="00BC0E7E">
              <w:t xml:space="preserve">Thereafter, the usual dose is </w:t>
            </w:r>
            <w:r w:rsidR="00775B6A" w:rsidRPr="00BC0E7E">
              <w:t>40</w:t>
            </w:r>
            <w:r w:rsidR="00775B6A">
              <w:t> </w:t>
            </w:r>
            <w:r w:rsidRPr="00BC0E7E">
              <w:t>mg every other week.</w:t>
            </w:r>
          </w:p>
        </w:tc>
        <w:tc>
          <w:tcPr>
            <w:tcW w:w="3096" w:type="dxa"/>
          </w:tcPr>
          <w:p w14:paraId="2BAC3A57" w14:textId="77777777" w:rsidR="00BC0E7E" w:rsidRPr="00BC0E7E" w:rsidRDefault="00944B8F" w:rsidP="001B4BD1">
            <w:pPr>
              <w:numPr>
                <w:ilvl w:val="12"/>
                <w:numId w:val="0"/>
              </w:numPr>
              <w:tabs>
                <w:tab w:val="clear" w:pos="562"/>
              </w:tabs>
            </w:pPr>
            <w:r w:rsidRPr="00BC0E7E">
              <w:t>Your doctor may increase the dos</w:t>
            </w:r>
            <w:r w:rsidR="001B4BD1">
              <w:t>ag</w:t>
            </w:r>
            <w:r w:rsidRPr="00BC0E7E">
              <w:t>e to 40 mg every week</w:t>
            </w:r>
            <w:r w:rsidR="001B4BD1">
              <w:t xml:space="preserve"> or 80 mg every other week</w:t>
            </w:r>
            <w:r w:rsidRPr="00BC0E7E">
              <w:t>.</w:t>
            </w:r>
          </w:p>
        </w:tc>
      </w:tr>
      <w:tr w:rsidR="00C6578C" w14:paraId="680239E7" w14:textId="77777777" w:rsidTr="00171601">
        <w:tc>
          <w:tcPr>
            <w:tcW w:w="3095" w:type="dxa"/>
          </w:tcPr>
          <w:p w14:paraId="7E4955DD" w14:textId="77777777" w:rsidR="00CE42B9" w:rsidRPr="00BC0E7E" w:rsidRDefault="00944B8F" w:rsidP="00CE42B9">
            <w:pPr>
              <w:numPr>
                <w:ilvl w:val="12"/>
                <w:numId w:val="0"/>
              </w:numPr>
              <w:tabs>
                <w:tab w:val="clear" w:pos="562"/>
              </w:tabs>
              <w:ind w:right="-2"/>
            </w:pPr>
            <w:r w:rsidRPr="005037B5">
              <w:t>Children</w:t>
            </w:r>
            <w:r w:rsidRPr="00BE5760">
              <w:t xml:space="preserve"> and adolescents from </w:t>
            </w:r>
            <w:r>
              <w:t>6</w:t>
            </w:r>
            <w:r w:rsidRPr="00BE5760">
              <w:t xml:space="preserve"> </w:t>
            </w:r>
            <w:r w:rsidRPr="006527B0">
              <w:t>years of age weighing less than 40 kg</w:t>
            </w:r>
          </w:p>
        </w:tc>
        <w:tc>
          <w:tcPr>
            <w:tcW w:w="3096" w:type="dxa"/>
          </w:tcPr>
          <w:p w14:paraId="5E700016" w14:textId="77777777" w:rsidR="00CE42B9" w:rsidRPr="00BE5760" w:rsidRDefault="00944B8F" w:rsidP="00CE42B9">
            <w:pPr>
              <w:numPr>
                <w:ilvl w:val="12"/>
                <w:numId w:val="0"/>
              </w:numPr>
              <w:tabs>
                <w:tab w:val="clear" w:pos="562"/>
              </w:tabs>
            </w:pPr>
            <w:r w:rsidRPr="00DA728B">
              <w:t>First dose of 80 mg</w:t>
            </w:r>
            <w:r w:rsidRPr="005037B5">
              <w:t xml:space="preserve"> (</w:t>
            </w:r>
            <w:r>
              <w:t xml:space="preserve">two 40 mg injections </w:t>
            </w:r>
            <w:r w:rsidR="00BC576D">
              <w:t>in one</w:t>
            </w:r>
            <w:r>
              <w:t xml:space="preserve"> day</w:t>
            </w:r>
            <w:r w:rsidRPr="00BE5760">
              <w:t xml:space="preserve">), followed by 40 mg </w:t>
            </w:r>
            <w:r w:rsidR="001E51A2">
              <w:t xml:space="preserve">(one 40 mg injection) </w:t>
            </w:r>
            <w:r w:rsidRPr="00BE5760">
              <w:t>two weeks later.</w:t>
            </w:r>
          </w:p>
          <w:p w14:paraId="09C02F20" w14:textId="77777777" w:rsidR="00CE42B9" w:rsidRPr="00BE5760" w:rsidRDefault="00CE42B9" w:rsidP="00CE42B9">
            <w:pPr>
              <w:numPr>
                <w:ilvl w:val="12"/>
                <w:numId w:val="0"/>
              </w:numPr>
              <w:tabs>
                <w:tab w:val="clear" w:pos="562"/>
              </w:tabs>
            </w:pPr>
          </w:p>
          <w:p w14:paraId="2CDC9E04" w14:textId="77777777" w:rsidR="00CE42B9" w:rsidRPr="00BC0E7E" w:rsidRDefault="00944B8F" w:rsidP="00CE42B9">
            <w:pPr>
              <w:numPr>
                <w:ilvl w:val="12"/>
                <w:numId w:val="0"/>
              </w:numPr>
              <w:tabs>
                <w:tab w:val="clear" w:pos="562"/>
              </w:tabs>
            </w:pPr>
            <w:r w:rsidRPr="006527B0">
              <w:t>Thereafter, the usual dose is 40 mg ever</w:t>
            </w:r>
            <w:r>
              <w:t>y</w:t>
            </w:r>
            <w:r w:rsidRPr="006527B0">
              <w:t xml:space="preserve"> other week.</w:t>
            </w:r>
          </w:p>
        </w:tc>
        <w:tc>
          <w:tcPr>
            <w:tcW w:w="3096" w:type="dxa"/>
          </w:tcPr>
          <w:p w14:paraId="26A6CC8E" w14:textId="77777777" w:rsidR="00CE42B9" w:rsidRPr="00BC0E7E" w:rsidRDefault="00944B8F" w:rsidP="00CE42B9">
            <w:pPr>
              <w:numPr>
                <w:ilvl w:val="12"/>
                <w:numId w:val="0"/>
              </w:numPr>
              <w:tabs>
                <w:tab w:val="clear" w:pos="562"/>
              </w:tabs>
            </w:pPr>
            <w:r w:rsidRPr="00DF2EE5">
              <w:t>You should continue taking Humira at your usual dose, even after turning 18 years of age.</w:t>
            </w:r>
          </w:p>
        </w:tc>
      </w:tr>
      <w:tr w:rsidR="00C6578C" w14:paraId="52C550A1" w14:textId="77777777" w:rsidTr="00171601">
        <w:tc>
          <w:tcPr>
            <w:tcW w:w="3095" w:type="dxa"/>
          </w:tcPr>
          <w:p w14:paraId="38743659" w14:textId="77777777" w:rsidR="00CE42B9" w:rsidRPr="005037B5" w:rsidRDefault="00944B8F" w:rsidP="00CE42B9">
            <w:pPr>
              <w:numPr>
                <w:ilvl w:val="12"/>
                <w:numId w:val="0"/>
              </w:numPr>
              <w:tabs>
                <w:tab w:val="clear" w:pos="562"/>
              </w:tabs>
              <w:ind w:right="-2"/>
            </w:pPr>
            <w:r w:rsidRPr="005037B5">
              <w:t xml:space="preserve">Children and adolescents from </w:t>
            </w:r>
            <w:r>
              <w:t>6</w:t>
            </w:r>
            <w:r w:rsidRPr="005037B5">
              <w:t xml:space="preserve"> years of age weighing 40 kg or more</w:t>
            </w:r>
          </w:p>
        </w:tc>
        <w:tc>
          <w:tcPr>
            <w:tcW w:w="3096" w:type="dxa"/>
          </w:tcPr>
          <w:p w14:paraId="5D55CF98" w14:textId="77777777" w:rsidR="00CE42B9" w:rsidRPr="006527B0" w:rsidRDefault="00944B8F" w:rsidP="00CE42B9">
            <w:pPr>
              <w:numPr>
                <w:ilvl w:val="12"/>
                <w:numId w:val="0"/>
              </w:numPr>
              <w:tabs>
                <w:tab w:val="clear" w:pos="562"/>
              </w:tabs>
            </w:pPr>
            <w:r w:rsidRPr="005037B5">
              <w:t>First dose of 160 mg (</w:t>
            </w:r>
            <w:r w:rsidRPr="00D5591F">
              <w:t>four 40 mg injections in one day or two 40 mg injections per day for two consecutive days</w:t>
            </w:r>
            <w:r w:rsidRPr="00BE5760">
              <w:t>), followed by 80 mg (two 40 mg injections in one day) two weeks later.</w:t>
            </w:r>
          </w:p>
          <w:p w14:paraId="4009DD33" w14:textId="77777777" w:rsidR="00CE42B9" w:rsidRPr="006527B0" w:rsidRDefault="00CE42B9" w:rsidP="00CE42B9">
            <w:pPr>
              <w:numPr>
                <w:ilvl w:val="12"/>
                <w:numId w:val="0"/>
              </w:numPr>
              <w:tabs>
                <w:tab w:val="clear" w:pos="562"/>
              </w:tabs>
            </w:pPr>
          </w:p>
          <w:p w14:paraId="5577C558" w14:textId="77777777" w:rsidR="00CE42B9" w:rsidRPr="00DA728B" w:rsidRDefault="00944B8F" w:rsidP="00CE42B9">
            <w:pPr>
              <w:numPr>
                <w:ilvl w:val="12"/>
                <w:numId w:val="0"/>
              </w:numPr>
              <w:tabs>
                <w:tab w:val="clear" w:pos="562"/>
              </w:tabs>
            </w:pPr>
            <w:r w:rsidRPr="00DA728B">
              <w:t>Thereafter, the usual dose is 80 m</w:t>
            </w:r>
            <w:r w:rsidRPr="005037B5">
              <w:t>g every other week.</w:t>
            </w:r>
          </w:p>
        </w:tc>
        <w:tc>
          <w:tcPr>
            <w:tcW w:w="3096" w:type="dxa"/>
          </w:tcPr>
          <w:p w14:paraId="6EDA964F" w14:textId="77777777" w:rsidR="00CE42B9" w:rsidRPr="00DF2EE5" w:rsidRDefault="00944B8F" w:rsidP="00CE42B9">
            <w:pPr>
              <w:numPr>
                <w:ilvl w:val="12"/>
                <w:numId w:val="0"/>
              </w:numPr>
              <w:tabs>
                <w:tab w:val="clear" w:pos="562"/>
              </w:tabs>
            </w:pPr>
            <w:r w:rsidRPr="00DF2EE5">
              <w:t>You should continue taking Humira at your usual dose, even after turning 18 years of age.</w:t>
            </w:r>
          </w:p>
        </w:tc>
      </w:tr>
    </w:tbl>
    <w:p w14:paraId="76B31B1C" w14:textId="77777777" w:rsidR="00BC0E7E" w:rsidRPr="00BC0E7E" w:rsidRDefault="00BC0E7E" w:rsidP="00BC0E7E">
      <w:pPr>
        <w:numPr>
          <w:ilvl w:val="12"/>
          <w:numId w:val="0"/>
        </w:num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0D50547D" w14:textId="77777777" w:rsidTr="00171601">
        <w:tc>
          <w:tcPr>
            <w:tcW w:w="9287" w:type="dxa"/>
            <w:gridSpan w:val="3"/>
          </w:tcPr>
          <w:p w14:paraId="5023ED38" w14:textId="77777777" w:rsidR="00BC0E7E" w:rsidRPr="00BC0E7E" w:rsidRDefault="00944B8F" w:rsidP="00BC0E7E">
            <w:pPr>
              <w:keepNext/>
              <w:numPr>
                <w:ilvl w:val="12"/>
                <w:numId w:val="0"/>
              </w:numPr>
              <w:tabs>
                <w:tab w:val="clear" w:pos="562"/>
              </w:tabs>
              <w:ind w:right="-2"/>
              <w:rPr>
                <w:b/>
              </w:rPr>
            </w:pPr>
            <w:r w:rsidRPr="00BC0E7E">
              <w:rPr>
                <w:b/>
                <w:szCs w:val="22"/>
              </w:rPr>
              <w:lastRenderedPageBreak/>
              <w:t>Non-infectious uveitis</w:t>
            </w:r>
          </w:p>
        </w:tc>
      </w:tr>
      <w:tr w:rsidR="00C6578C" w14:paraId="48C11BC9" w14:textId="77777777" w:rsidTr="00171601">
        <w:tc>
          <w:tcPr>
            <w:tcW w:w="3095" w:type="dxa"/>
          </w:tcPr>
          <w:p w14:paraId="5DC5FC66" w14:textId="77777777" w:rsidR="00BC0E7E" w:rsidRPr="00BC0E7E" w:rsidRDefault="00944B8F" w:rsidP="00BC0E7E">
            <w:pPr>
              <w:keepNext/>
              <w:numPr>
                <w:ilvl w:val="12"/>
                <w:numId w:val="0"/>
              </w:numPr>
              <w:tabs>
                <w:tab w:val="clear" w:pos="562"/>
              </w:tabs>
              <w:ind w:right="-2"/>
            </w:pPr>
            <w:r w:rsidRPr="00BC0E7E">
              <w:rPr>
                <w:b/>
              </w:rPr>
              <w:t>Age or body weight</w:t>
            </w:r>
          </w:p>
        </w:tc>
        <w:tc>
          <w:tcPr>
            <w:tcW w:w="3096" w:type="dxa"/>
          </w:tcPr>
          <w:p w14:paraId="0F70CFB7" w14:textId="77777777" w:rsidR="00BC0E7E" w:rsidRPr="00BC0E7E" w:rsidRDefault="00944B8F" w:rsidP="00BC0E7E">
            <w:pPr>
              <w:keepNext/>
              <w:tabs>
                <w:tab w:val="clear" w:pos="562"/>
                <w:tab w:val="left" w:pos="0"/>
              </w:tabs>
            </w:pPr>
            <w:r w:rsidRPr="00BC0E7E">
              <w:rPr>
                <w:b/>
              </w:rPr>
              <w:t>How much and how often to take?</w:t>
            </w:r>
          </w:p>
        </w:tc>
        <w:tc>
          <w:tcPr>
            <w:tcW w:w="3096" w:type="dxa"/>
          </w:tcPr>
          <w:p w14:paraId="75DD6037" w14:textId="77777777" w:rsidR="00BC0E7E" w:rsidRPr="00BC0E7E" w:rsidRDefault="00944B8F" w:rsidP="00BC0E7E">
            <w:pPr>
              <w:keepNext/>
              <w:numPr>
                <w:ilvl w:val="12"/>
                <w:numId w:val="0"/>
              </w:numPr>
              <w:tabs>
                <w:tab w:val="clear" w:pos="562"/>
              </w:tabs>
            </w:pPr>
            <w:r w:rsidRPr="00BC0E7E">
              <w:rPr>
                <w:b/>
              </w:rPr>
              <w:t>Notes</w:t>
            </w:r>
          </w:p>
        </w:tc>
      </w:tr>
      <w:tr w:rsidR="00C6578C" w14:paraId="2DB44077" w14:textId="77777777" w:rsidTr="00171601">
        <w:tc>
          <w:tcPr>
            <w:tcW w:w="3095" w:type="dxa"/>
          </w:tcPr>
          <w:p w14:paraId="3353C6F6" w14:textId="77777777" w:rsidR="00BC0E7E" w:rsidRPr="00BC0E7E" w:rsidRDefault="00944B8F" w:rsidP="00BC0E7E">
            <w:pPr>
              <w:keepNext/>
              <w:numPr>
                <w:ilvl w:val="12"/>
                <w:numId w:val="0"/>
              </w:numPr>
              <w:tabs>
                <w:tab w:val="clear" w:pos="562"/>
              </w:tabs>
              <w:ind w:right="-2"/>
            </w:pPr>
            <w:r w:rsidRPr="00BC0E7E">
              <w:t>Adults</w:t>
            </w:r>
          </w:p>
        </w:tc>
        <w:tc>
          <w:tcPr>
            <w:tcW w:w="3096" w:type="dxa"/>
          </w:tcPr>
          <w:p w14:paraId="30049626" w14:textId="77777777" w:rsidR="00BC0E7E" w:rsidRPr="00BC0E7E" w:rsidRDefault="00944B8F" w:rsidP="00BC0E7E">
            <w:pPr>
              <w:keepNext/>
              <w:tabs>
                <w:tab w:val="clear" w:pos="562"/>
                <w:tab w:val="left" w:pos="0"/>
              </w:tabs>
            </w:pPr>
            <w:r w:rsidRPr="00BC0E7E">
              <w:t>First dose of 80 mg (two 40 mg injections in one day), followed by 40 mg every other week starting one week after the first dose.</w:t>
            </w:r>
          </w:p>
        </w:tc>
        <w:tc>
          <w:tcPr>
            <w:tcW w:w="3096" w:type="dxa"/>
          </w:tcPr>
          <w:p w14:paraId="3B00EDEC" w14:textId="77777777" w:rsidR="00BC0E7E" w:rsidRPr="00BC0E7E" w:rsidRDefault="00944B8F" w:rsidP="00BC0E7E">
            <w:pPr>
              <w:keepNext/>
              <w:numPr>
                <w:ilvl w:val="12"/>
                <w:numId w:val="0"/>
              </w:numPr>
              <w:tabs>
                <w:tab w:val="clear" w:pos="562"/>
              </w:tabs>
            </w:pPr>
            <w:r w:rsidRPr="00BC0E7E">
              <w:t>Corticosteroids or other medicines that influence the immune system may be continued while using Humira. Humira can also be given alone.</w:t>
            </w:r>
          </w:p>
        </w:tc>
      </w:tr>
      <w:tr w:rsidR="00C6578C" w14:paraId="3E0B23FE" w14:textId="77777777" w:rsidTr="00171601">
        <w:tc>
          <w:tcPr>
            <w:tcW w:w="3095" w:type="dxa"/>
          </w:tcPr>
          <w:p w14:paraId="7719E4E0" w14:textId="77777777" w:rsidR="00BC0E7E" w:rsidRPr="00BC0E7E" w:rsidRDefault="00944B8F" w:rsidP="00BC0E7E">
            <w:pPr>
              <w:keepNext/>
              <w:numPr>
                <w:ilvl w:val="12"/>
                <w:numId w:val="0"/>
              </w:numPr>
              <w:tabs>
                <w:tab w:val="clear" w:pos="562"/>
              </w:tabs>
              <w:ind w:right="-2"/>
            </w:pPr>
            <w:r w:rsidRPr="00BC0E7E">
              <w:t xml:space="preserve">Children </w:t>
            </w:r>
            <w:r w:rsidR="003A75B0">
              <w:t xml:space="preserve">and adolescents </w:t>
            </w:r>
            <w:r w:rsidRPr="00BC0E7E">
              <w:t>from 2 years of age weighing less than 30 kg</w:t>
            </w:r>
          </w:p>
          <w:p w14:paraId="376E68CD" w14:textId="77777777" w:rsidR="00BC0E7E" w:rsidRPr="00BC0E7E" w:rsidRDefault="00BC0E7E" w:rsidP="00BC0E7E">
            <w:pPr>
              <w:keepNext/>
              <w:numPr>
                <w:ilvl w:val="12"/>
                <w:numId w:val="0"/>
              </w:numPr>
              <w:tabs>
                <w:tab w:val="clear" w:pos="562"/>
              </w:tabs>
              <w:ind w:right="-2"/>
            </w:pPr>
          </w:p>
        </w:tc>
        <w:tc>
          <w:tcPr>
            <w:tcW w:w="3096" w:type="dxa"/>
          </w:tcPr>
          <w:p w14:paraId="21B74B07" w14:textId="77777777" w:rsidR="00BC0E7E" w:rsidRPr="00BC0E7E" w:rsidRDefault="00944B8F" w:rsidP="00BC0E7E">
            <w:pPr>
              <w:keepNext/>
              <w:tabs>
                <w:tab w:val="clear" w:pos="562"/>
                <w:tab w:val="left" w:pos="0"/>
              </w:tabs>
            </w:pPr>
            <w:r w:rsidRPr="00BC0E7E">
              <w:t>20 mg every other week</w:t>
            </w:r>
          </w:p>
        </w:tc>
        <w:tc>
          <w:tcPr>
            <w:tcW w:w="3096" w:type="dxa"/>
          </w:tcPr>
          <w:p w14:paraId="0FC61B1F" w14:textId="77777777" w:rsidR="00BC0E7E" w:rsidRPr="00BC0E7E" w:rsidRDefault="00944B8F" w:rsidP="00BC0E7E">
            <w:pPr>
              <w:keepNext/>
              <w:numPr>
                <w:ilvl w:val="12"/>
                <w:numId w:val="0"/>
              </w:numPr>
              <w:tabs>
                <w:tab w:val="clear" w:pos="562"/>
              </w:tabs>
            </w:pPr>
            <w:r w:rsidRPr="00BC0E7E">
              <w:t>Your doctor may prescribe an initial dose of 40 mg to be administered one week prior to the start of the usual dose of 20 mg every other week. Humira is recommended for use in combination with methotrexate.</w:t>
            </w:r>
          </w:p>
        </w:tc>
      </w:tr>
      <w:tr w:rsidR="00C6578C" w14:paraId="5A5B79A7" w14:textId="77777777" w:rsidTr="00171601">
        <w:tc>
          <w:tcPr>
            <w:tcW w:w="3095" w:type="dxa"/>
          </w:tcPr>
          <w:p w14:paraId="4C7095CC" w14:textId="77777777" w:rsidR="00BC0E7E" w:rsidRPr="00BC0E7E" w:rsidRDefault="00944B8F" w:rsidP="00BC0E7E">
            <w:pPr>
              <w:keepNext/>
              <w:numPr>
                <w:ilvl w:val="12"/>
                <w:numId w:val="0"/>
              </w:numPr>
              <w:tabs>
                <w:tab w:val="clear" w:pos="562"/>
              </w:tabs>
              <w:ind w:right="-2"/>
            </w:pPr>
            <w:r w:rsidRPr="00BC0E7E">
              <w:t xml:space="preserve">Children </w:t>
            </w:r>
            <w:r w:rsidR="003A75B0">
              <w:t xml:space="preserve">and adolescents </w:t>
            </w:r>
            <w:r w:rsidRPr="00BC0E7E">
              <w:t>from 2 years of age weighing at least 30 kg</w:t>
            </w:r>
          </w:p>
          <w:p w14:paraId="162F9ABD" w14:textId="77777777" w:rsidR="00BC0E7E" w:rsidRPr="00BC0E7E" w:rsidRDefault="00BC0E7E" w:rsidP="00BC0E7E">
            <w:pPr>
              <w:keepNext/>
              <w:numPr>
                <w:ilvl w:val="12"/>
                <w:numId w:val="0"/>
              </w:numPr>
              <w:tabs>
                <w:tab w:val="clear" w:pos="562"/>
              </w:tabs>
              <w:ind w:right="-2"/>
            </w:pPr>
          </w:p>
        </w:tc>
        <w:tc>
          <w:tcPr>
            <w:tcW w:w="3096" w:type="dxa"/>
          </w:tcPr>
          <w:p w14:paraId="3B500027" w14:textId="77777777" w:rsidR="00BC0E7E" w:rsidRPr="00BC0E7E" w:rsidRDefault="00944B8F" w:rsidP="00BC0E7E">
            <w:pPr>
              <w:keepNext/>
              <w:tabs>
                <w:tab w:val="clear" w:pos="562"/>
                <w:tab w:val="left" w:pos="0"/>
              </w:tabs>
            </w:pPr>
            <w:r w:rsidRPr="00BC0E7E">
              <w:t xml:space="preserve">40 mg every other week </w:t>
            </w:r>
          </w:p>
        </w:tc>
        <w:tc>
          <w:tcPr>
            <w:tcW w:w="3096" w:type="dxa"/>
          </w:tcPr>
          <w:p w14:paraId="0722BA8D" w14:textId="77777777" w:rsidR="00BC0E7E" w:rsidRPr="00BC0E7E" w:rsidRDefault="00944B8F" w:rsidP="00BC0E7E">
            <w:pPr>
              <w:keepNext/>
              <w:numPr>
                <w:ilvl w:val="12"/>
                <w:numId w:val="0"/>
              </w:numPr>
              <w:tabs>
                <w:tab w:val="clear" w:pos="562"/>
              </w:tabs>
            </w:pPr>
            <w:r w:rsidRPr="00BC0E7E">
              <w:t>Your doctor may prescribe an initial dose of 80 mg to be administered one week prior to the start of the usual dose of 40 mg every other week. Humira is recommended for use in combination with methotrexate.</w:t>
            </w:r>
          </w:p>
        </w:tc>
      </w:tr>
    </w:tbl>
    <w:p w14:paraId="0256F1FC" w14:textId="77777777" w:rsidR="00BC0E7E" w:rsidRPr="00BC0E7E" w:rsidRDefault="00BC0E7E" w:rsidP="00BC0E7E">
      <w:pPr>
        <w:numPr>
          <w:ilvl w:val="12"/>
          <w:numId w:val="0"/>
        </w:numPr>
        <w:ind w:right="-2"/>
      </w:pPr>
    </w:p>
    <w:p w14:paraId="5C8DFCC1" w14:textId="77777777" w:rsidR="00BC0E7E" w:rsidRPr="00BC0E7E" w:rsidRDefault="00944B8F" w:rsidP="00BC0E7E">
      <w:pPr>
        <w:keepNext/>
        <w:rPr>
          <w:b/>
          <w:szCs w:val="20"/>
        </w:rPr>
      </w:pPr>
      <w:r w:rsidRPr="00BC0E7E">
        <w:rPr>
          <w:b/>
          <w:szCs w:val="20"/>
        </w:rPr>
        <w:t>Method and route of administration</w:t>
      </w:r>
    </w:p>
    <w:p w14:paraId="4E265866" w14:textId="77777777" w:rsidR="00BC0E7E" w:rsidRPr="00BC0E7E" w:rsidRDefault="00BC0E7E" w:rsidP="00BC0E7E">
      <w:pPr>
        <w:keepNext/>
        <w:rPr>
          <w:szCs w:val="20"/>
        </w:rPr>
      </w:pPr>
    </w:p>
    <w:p w14:paraId="301A1B32" w14:textId="77777777" w:rsidR="00BC0E7E" w:rsidRPr="00BC0E7E" w:rsidRDefault="00944B8F" w:rsidP="00BC0E7E">
      <w:pPr>
        <w:keepNext/>
        <w:rPr>
          <w:szCs w:val="20"/>
        </w:rPr>
      </w:pPr>
      <w:r w:rsidRPr="00BC0E7E">
        <w:rPr>
          <w:bCs/>
          <w:szCs w:val="20"/>
        </w:rPr>
        <w:t>Humira is administered by injection under the skin (by subcutaneous injection).</w:t>
      </w:r>
    </w:p>
    <w:p w14:paraId="74921458" w14:textId="77777777" w:rsidR="00BC0E7E" w:rsidRPr="00BC0E7E" w:rsidRDefault="00BC0E7E" w:rsidP="00BC0E7E">
      <w:pPr>
        <w:rPr>
          <w:szCs w:val="20"/>
        </w:rPr>
      </w:pPr>
    </w:p>
    <w:p w14:paraId="2323633D" w14:textId="77777777" w:rsidR="00BC0E7E" w:rsidRPr="00BC0E7E" w:rsidRDefault="00944B8F" w:rsidP="00BC0E7E">
      <w:pPr>
        <w:rPr>
          <w:b/>
          <w:szCs w:val="20"/>
        </w:rPr>
      </w:pPr>
      <w:r w:rsidRPr="00BC0E7E">
        <w:rPr>
          <w:b/>
          <w:szCs w:val="20"/>
        </w:rPr>
        <w:t>Detailed instructions on how to inject Humira are provided in section 7 ‘</w:t>
      </w:r>
      <w:r w:rsidR="00C22003">
        <w:rPr>
          <w:b/>
        </w:rPr>
        <w:t>Injecting Humira</w:t>
      </w:r>
      <w:r w:rsidRPr="00BC0E7E">
        <w:rPr>
          <w:b/>
          <w:szCs w:val="20"/>
        </w:rPr>
        <w:t>’.</w:t>
      </w:r>
    </w:p>
    <w:p w14:paraId="1FA2EAF6" w14:textId="77777777" w:rsidR="00BC0E7E" w:rsidRPr="00BC0E7E" w:rsidRDefault="00BC0E7E" w:rsidP="00BC0E7E">
      <w:pPr>
        <w:rPr>
          <w:b/>
          <w:szCs w:val="20"/>
        </w:rPr>
      </w:pPr>
    </w:p>
    <w:p w14:paraId="481CA400" w14:textId="77777777" w:rsidR="00BC0E7E" w:rsidRPr="00BC0E7E" w:rsidRDefault="00944B8F" w:rsidP="00BC0E7E">
      <w:pPr>
        <w:keepNext/>
        <w:rPr>
          <w:b/>
          <w:szCs w:val="20"/>
        </w:rPr>
      </w:pPr>
      <w:r w:rsidRPr="00BC0E7E">
        <w:rPr>
          <w:b/>
          <w:szCs w:val="20"/>
        </w:rPr>
        <w:t>If you use more</w:t>
      </w:r>
      <w:r w:rsidRPr="00BC0E7E">
        <w:rPr>
          <w:bCs/>
          <w:szCs w:val="20"/>
        </w:rPr>
        <w:t xml:space="preserve"> </w:t>
      </w:r>
      <w:r w:rsidRPr="00BC0E7E">
        <w:rPr>
          <w:b/>
          <w:bCs/>
          <w:szCs w:val="20"/>
        </w:rPr>
        <w:t>Humira</w:t>
      </w:r>
      <w:r w:rsidRPr="00BC0E7E">
        <w:rPr>
          <w:b/>
          <w:szCs w:val="20"/>
        </w:rPr>
        <w:t xml:space="preserve"> than you should</w:t>
      </w:r>
    </w:p>
    <w:p w14:paraId="0DCC7C87" w14:textId="77777777" w:rsidR="00BC0E7E" w:rsidRPr="00BC0E7E" w:rsidRDefault="00BC0E7E" w:rsidP="00BC0E7E">
      <w:pPr>
        <w:rPr>
          <w:szCs w:val="20"/>
        </w:rPr>
      </w:pPr>
    </w:p>
    <w:p w14:paraId="78D2096D" w14:textId="77777777" w:rsidR="00BC0E7E" w:rsidRPr="00BC0E7E" w:rsidRDefault="00944B8F" w:rsidP="00BC0E7E">
      <w:pPr>
        <w:keepNext/>
      </w:pPr>
      <w:r w:rsidRPr="00BC0E7E">
        <w:t xml:space="preserve">If you accidentally inject Humira more frequently than told to by your doctor or pharmacist, call your doctor or pharmacist </w:t>
      </w:r>
      <w:r w:rsidRPr="00BC0E7E">
        <w:rPr>
          <w:szCs w:val="20"/>
        </w:rPr>
        <w:t>and tell them that you have taken more</w:t>
      </w:r>
      <w:r w:rsidRPr="00BC0E7E">
        <w:t xml:space="preserve">. Always take the outer carton of the medicine with you, even if it is empty. </w:t>
      </w:r>
    </w:p>
    <w:p w14:paraId="2CC09841" w14:textId="77777777" w:rsidR="00BC0E7E" w:rsidRPr="00BC0E7E" w:rsidRDefault="00BC0E7E" w:rsidP="00BC0E7E"/>
    <w:p w14:paraId="739DC09D" w14:textId="77777777" w:rsidR="00BC0E7E" w:rsidRPr="00BC0E7E" w:rsidRDefault="00944B8F" w:rsidP="00BC0E7E">
      <w:pPr>
        <w:rPr>
          <w:b/>
          <w:szCs w:val="20"/>
        </w:rPr>
      </w:pPr>
      <w:r w:rsidRPr="00BC0E7E">
        <w:rPr>
          <w:b/>
          <w:szCs w:val="20"/>
        </w:rPr>
        <w:t>If you forget to use Humira</w:t>
      </w:r>
    </w:p>
    <w:p w14:paraId="05F3406C" w14:textId="77777777" w:rsidR="00BC0E7E" w:rsidRPr="00BC0E7E" w:rsidRDefault="00BC0E7E" w:rsidP="00BC0E7E">
      <w:pPr>
        <w:rPr>
          <w:szCs w:val="20"/>
        </w:rPr>
      </w:pPr>
    </w:p>
    <w:p w14:paraId="5FFB2C99" w14:textId="77777777" w:rsidR="00BC0E7E" w:rsidRPr="00BC0E7E" w:rsidRDefault="00944B8F" w:rsidP="00BC0E7E">
      <w:r w:rsidRPr="00BC0E7E">
        <w:t xml:space="preserve">If you forget to give yourself an injection, you should inject the next dose of Humira as soon as you remember. Then take your next dose as you would have on your originally scheduled day, had you not forgotten a dose. </w:t>
      </w:r>
    </w:p>
    <w:p w14:paraId="41EAE0B8" w14:textId="77777777" w:rsidR="00BC0E7E" w:rsidRPr="00BC0E7E" w:rsidRDefault="00BC0E7E" w:rsidP="00BC0E7E"/>
    <w:p w14:paraId="6ABBC556" w14:textId="77777777" w:rsidR="00BC0E7E" w:rsidRPr="00BC0E7E" w:rsidRDefault="00944B8F" w:rsidP="00BC0E7E">
      <w:pPr>
        <w:rPr>
          <w:b/>
        </w:rPr>
      </w:pPr>
      <w:r w:rsidRPr="00BC0E7E">
        <w:rPr>
          <w:b/>
        </w:rPr>
        <w:t>If you stop using Humira</w:t>
      </w:r>
    </w:p>
    <w:p w14:paraId="408E73EC" w14:textId="77777777" w:rsidR="00BC0E7E" w:rsidRPr="00BC0E7E" w:rsidRDefault="00BC0E7E" w:rsidP="00BC0E7E"/>
    <w:p w14:paraId="3401EBFE" w14:textId="77777777" w:rsidR="00BC0E7E" w:rsidRPr="00BC0E7E" w:rsidRDefault="00944B8F" w:rsidP="00BC0E7E">
      <w:r w:rsidRPr="00BC0E7E">
        <w:t>The decision to stop using Humira should be discussed with your doctor. Your symptoms may return if you stop using Humira.</w:t>
      </w:r>
    </w:p>
    <w:p w14:paraId="48C73F26" w14:textId="77777777" w:rsidR="00BC0E7E" w:rsidRPr="00BC0E7E" w:rsidRDefault="00BC0E7E" w:rsidP="00BC0E7E"/>
    <w:p w14:paraId="1ECE6069" w14:textId="77777777" w:rsidR="00BC0E7E" w:rsidRPr="00BC0E7E" w:rsidRDefault="00944B8F" w:rsidP="00BC0E7E">
      <w:r w:rsidRPr="00BC0E7E">
        <w:t>If you have any further questions on the use of this medicine, ask your doctor or pharmacist.</w:t>
      </w:r>
    </w:p>
    <w:p w14:paraId="6E555A2F" w14:textId="77777777" w:rsidR="00BC0E7E" w:rsidRPr="00BC0E7E" w:rsidRDefault="00BC0E7E" w:rsidP="00BC0E7E"/>
    <w:p w14:paraId="5B71A633" w14:textId="77777777" w:rsidR="00BC0E7E" w:rsidRPr="00BC0E7E" w:rsidRDefault="00BC0E7E" w:rsidP="00BC0E7E"/>
    <w:p w14:paraId="3201C660" w14:textId="77777777" w:rsidR="00BC0E7E" w:rsidRPr="00BC0E7E" w:rsidRDefault="00944B8F" w:rsidP="00BC0E7E">
      <w:pPr>
        <w:keepNext/>
        <w:outlineLvl w:val="0"/>
        <w:rPr>
          <w:rFonts w:ascii="Times New Roman Bold" w:hAnsi="Times New Roman Bold"/>
          <w:b/>
          <w:szCs w:val="20"/>
        </w:rPr>
      </w:pPr>
      <w:r w:rsidRPr="00BC0E7E">
        <w:rPr>
          <w:b/>
          <w:caps/>
          <w:szCs w:val="20"/>
        </w:rPr>
        <w:lastRenderedPageBreak/>
        <w:t>4.</w:t>
      </w:r>
      <w:r w:rsidRPr="00BC0E7E">
        <w:rPr>
          <w:b/>
          <w:caps/>
          <w:szCs w:val="20"/>
        </w:rPr>
        <w:tab/>
      </w:r>
      <w:r w:rsidRPr="00BC0E7E">
        <w:rPr>
          <w:rFonts w:ascii="Times New Roman Bold" w:hAnsi="Times New Roman Bold"/>
          <w:b/>
          <w:szCs w:val="20"/>
        </w:rPr>
        <w:t>Possible side effects</w:t>
      </w:r>
    </w:p>
    <w:p w14:paraId="09240E2C" w14:textId="77777777" w:rsidR="00BC0E7E" w:rsidRPr="00BC0E7E" w:rsidRDefault="00BC0E7E" w:rsidP="00BC0E7E">
      <w:pPr>
        <w:keepNext/>
        <w:rPr>
          <w:szCs w:val="20"/>
        </w:rPr>
      </w:pPr>
    </w:p>
    <w:p w14:paraId="4740516D" w14:textId="77777777" w:rsidR="00BC0E7E" w:rsidRPr="00BC0E7E" w:rsidRDefault="00944B8F" w:rsidP="00BC0E7E">
      <w:pPr>
        <w:keepNext/>
      </w:pPr>
      <w:r w:rsidRPr="00BC0E7E">
        <w:t xml:space="preserve">Like all medicines, this medicine can cause side effects, although not everybody gets them. Most side effects are mild to moderate. However, some may be serious and require treatment. Side effects may occur at least up to 4 months after the last Humira injection. </w:t>
      </w:r>
    </w:p>
    <w:p w14:paraId="09809938" w14:textId="77777777" w:rsidR="00BC0E7E" w:rsidRPr="00BC0E7E" w:rsidRDefault="00BC0E7E" w:rsidP="00BC0E7E"/>
    <w:p w14:paraId="2582ABEC" w14:textId="77777777" w:rsidR="00BC0E7E" w:rsidRPr="00BC0E7E" w:rsidRDefault="00944B8F" w:rsidP="00BC0E7E">
      <w:pPr>
        <w:rPr>
          <w:b/>
        </w:rPr>
      </w:pPr>
      <w:r w:rsidRPr="00BC0E7E">
        <w:rPr>
          <w:b/>
        </w:rPr>
        <w:t>Tell your doctor immediately if you notice any of the following</w:t>
      </w:r>
    </w:p>
    <w:p w14:paraId="210A4784" w14:textId="77777777" w:rsidR="00BC0E7E" w:rsidRPr="00BC0E7E" w:rsidRDefault="00BC0E7E" w:rsidP="00BC0E7E"/>
    <w:p w14:paraId="22665112" w14:textId="77777777" w:rsidR="00BC0E7E" w:rsidRPr="00BC0E7E" w:rsidRDefault="00944B8F" w:rsidP="00D51999">
      <w:pPr>
        <w:numPr>
          <w:ilvl w:val="0"/>
          <w:numId w:val="56"/>
        </w:numPr>
        <w:tabs>
          <w:tab w:val="clear" w:pos="562"/>
          <w:tab w:val="num" w:pos="360"/>
          <w:tab w:val="num" w:pos="550"/>
        </w:tabs>
        <w:ind w:left="547" w:hanging="547"/>
        <w:rPr>
          <w:szCs w:val="20"/>
        </w:rPr>
      </w:pPr>
      <w:r w:rsidRPr="00BC0E7E">
        <w:rPr>
          <w:szCs w:val="20"/>
        </w:rPr>
        <w:t xml:space="preserve">severe rash, hives or other signs of allergic reaction </w:t>
      </w:r>
    </w:p>
    <w:p w14:paraId="4A40E945" w14:textId="77777777" w:rsidR="00BC0E7E" w:rsidRPr="00BC0E7E" w:rsidRDefault="00944B8F" w:rsidP="00D51999">
      <w:pPr>
        <w:numPr>
          <w:ilvl w:val="0"/>
          <w:numId w:val="56"/>
        </w:numPr>
        <w:tabs>
          <w:tab w:val="clear" w:pos="562"/>
          <w:tab w:val="num" w:pos="360"/>
          <w:tab w:val="num" w:pos="550"/>
        </w:tabs>
        <w:ind w:left="547" w:hanging="547"/>
        <w:rPr>
          <w:szCs w:val="20"/>
        </w:rPr>
      </w:pPr>
      <w:r w:rsidRPr="00BC0E7E">
        <w:rPr>
          <w:szCs w:val="20"/>
        </w:rPr>
        <w:t>swollen face, hands, feet</w:t>
      </w:r>
    </w:p>
    <w:p w14:paraId="3741CBB7" w14:textId="77777777" w:rsidR="00BC0E7E" w:rsidRPr="00BC0E7E" w:rsidRDefault="00944B8F" w:rsidP="00D51999">
      <w:pPr>
        <w:numPr>
          <w:ilvl w:val="0"/>
          <w:numId w:val="56"/>
        </w:numPr>
        <w:tabs>
          <w:tab w:val="clear" w:pos="562"/>
          <w:tab w:val="num" w:pos="360"/>
          <w:tab w:val="num" w:pos="550"/>
        </w:tabs>
        <w:ind w:left="547" w:hanging="547"/>
        <w:rPr>
          <w:szCs w:val="20"/>
        </w:rPr>
      </w:pPr>
      <w:r w:rsidRPr="00BC0E7E">
        <w:rPr>
          <w:szCs w:val="20"/>
        </w:rPr>
        <w:t>trouble breathing, swallowing</w:t>
      </w:r>
    </w:p>
    <w:p w14:paraId="7231088A" w14:textId="77777777" w:rsidR="00BC0E7E" w:rsidRPr="00BC0E7E" w:rsidRDefault="00944B8F" w:rsidP="00D51999">
      <w:pPr>
        <w:numPr>
          <w:ilvl w:val="0"/>
          <w:numId w:val="56"/>
        </w:numPr>
        <w:tabs>
          <w:tab w:val="clear" w:pos="562"/>
          <w:tab w:val="num" w:pos="360"/>
          <w:tab w:val="num" w:pos="550"/>
        </w:tabs>
        <w:ind w:left="547" w:hanging="547"/>
        <w:rPr>
          <w:szCs w:val="20"/>
        </w:rPr>
      </w:pPr>
      <w:r w:rsidRPr="00BC0E7E">
        <w:rPr>
          <w:szCs w:val="20"/>
        </w:rPr>
        <w:t>shortness of breath with physical activity or upon lying down or swelling of the feet</w:t>
      </w:r>
    </w:p>
    <w:p w14:paraId="5E2186E6" w14:textId="77777777" w:rsidR="00BC0E7E" w:rsidRPr="00BC0E7E" w:rsidRDefault="00BC0E7E" w:rsidP="00BC0E7E">
      <w:pPr>
        <w:tabs>
          <w:tab w:val="clear" w:pos="562"/>
          <w:tab w:val="num" w:pos="690"/>
        </w:tabs>
        <w:ind w:left="547"/>
        <w:rPr>
          <w:szCs w:val="20"/>
        </w:rPr>
      </w:pPr>
    </w:p>
    <w:p w14:paraId="47410DA1" w14:textId="77777777" w:rsidR="00BC0E7E" w:rsidRPr="00BC0E7E" w:rsidRDefault="00944B8F" w:rsidP="00BC0E7E">
      <w:pPr>
        <w:ind w:left="567" w:hanging="567"/>
        <w:rPr>
          <w:b/>
        </w:rPr>
      </w:pPr>
      <w:r w:rsidRPr="00BC0E7E">
        <w:rPr>
          <w:b/>
        </w:rPr>
        <w:t>Tell your doctor as soon as possible if you notice any of the following</w:t>
      </w:r>
    </w:p>
    <w:p w14:paraId="25B4BECB" w14:textId="77777777" w:rsidR="00BC0E7E" w:rsidRPr="00BC0E7E" w:rsidRDefault="00BC0E7E" w:rsidP="00BC0E7E">
      <w:pPr>
        <w:ind w:left="567" w:hanging="567"/>
      </w:pPr>
    </w:p>
    <w:p w14:paraId="22083B67" w14:textId="77777777" w:rsidR="00BC0E7E" w:rsidRPr="00BC0E7E" w:rsidRDefault="00944B8F" w:rsidP="00D51999">
      <w:pPr>
        <w:numPr>
          <w:ilvl w:val="0"/>
          <w:numId w:val="56"/>
        </w:numPr>
        <w:tabs>
          <w:tab w:val="clear" w:pos="562"/>
          <w:tab w:val="num" w:pos="360"/>
        </w:tabs>
        <w:ind w:left="360"/>
        <w:rPr>
          <w:szCs w:val="20"/>
        </w:rPr>
      </w:pPr>
      <w:r w:rsidRPr="00BC0E7E">
        <w:rPr>
          <w:szCs w:val="20"/>
        </w:rPr>
        <w:t>signs of infection such as fever, feeling sick, wounds, dental problems, burning on urination</w:t>
      </w:r>
    </w:p>
    <w:p w14:paraId="30DBA71A" w14:textId="77777777" w:rsidR="00BC0E7E" w:rsidRPr="00BC0E7E" w:rsidRDefault="00944B8F" w:rsidP="00D51999">
      <w:pPr>
        <w:numPr>
          <w:ilvl w:val="0"/>
          <w:numId w:val="56"/>
        </w:numPr>
        <w:tabs>
          <w:tab w:val="clear" w:pos="562"/>
          <w:tab w:val="num" w:pos="360"/>
        </w:tabs>
        <w:ind w:left="360"/>
        <w:rPr>
          <w:szCs w:val="20"/>
        </w:rPr>
      </w:pPr>
      <w:r w:rsidRPr="00BC0E7E">
        <w:rPr>
          <w:szCs w:val="20"/>
        </w:rPr>
        <w:t>feeling weak or tired</w:t>
      </w:r>
    </w:p>
    <w:p w14:paraId="75A64B43" w14:textId="77777777" w:rsidR="00BC0E7E" w:rsidRPr="00BC0E7E" w:rsidRDefault="00944B8F" w:rsidP="00D51999">
      <w:pPr>
        <w:numPr>
          <w:ilvl w:val="0"/>
          <w:numId w:val="56"/>
        </w:numPr>
        <w:tabs>
          <w:tab w:val="clear" w:pos="562"/>
          <w:tab w:val="num" w:pos="360"/>
        </w:tabs>
        <w:ind w:left="360"/>
        <w:rPr>
          <w:szCs w:val="20"/>
        </w:rPr>
      </w:pPr>
      <w:r w:rsidRPr="00BC0E7E">
        <w:rPr>
          <w:szCs w:val="20"/>
        </w:rPr>
        <w:t>coughing</w:t>
      </w:r>
    </w:p>
    <w:p w14:paraId="07A239BC" w14:textId="77777777" w:rsidR="00BC0E7E" w:rsidRPr="00BC0E7E" w:rsidRDefault="00944B8F" w:rsidP="00D51999">
      <w:pPr>
        <w:numPr>
          <w:ilvl w:val="0"/>
          <w:numId w:val="56"/>
        </w:numPr>
        <w:tabs>
          <w:tab w:val="clear" w:pos="562"/>
          <w:tab w:val="num" w:pos="360"/>
        </w:tabs>
        <w:ind w:left="360"/>
        <w:rPr>
          <w:szCs w:val="20"/>
        </w:rPr>
      </w:pPr>
      <w:r w:rsidRPr="00BC0E7E">
        <w:rPr>
          <w:szCs w:val="20"/>
        </w:rPr>
        <w:t>tingling</w:t>
      </w:r>
    </w:p>
    <w:p w14:paraId="758DA674" w14:textId="77777777" w:rsidR="00BC0E7E" w:rsidRPr="00BC0E7E" w:rsidRDefault="00944B8F" w:rsidP="00D51999">
      <w:pPr>
        <w:numPr>
          <w:ilvl w:val="0"/>
          <w:numId w:val="56"/>
        </w:numPr>
        <w:tabs>
          <w:tab w:val="clear" w:pos="562"/>
          <w:tab w:val="num" w:pos="360"/>
        </w:tabs>
        <w:ind w:left="360"/>
        <w:rPr>
          <w:szCs w:val="20"/>
        </w:rPr>
      </w:pPr>
      <w:r w:rsidRPr="00BC0E7E">
        <w:rPr>
          <w:szCs w:val="20"/>
        </w:rPr>
        <w:t>numbness</w:t>
      </w:r>
    </w:p>
    <w:p w14:paraId="5637A314" w14:textId="77777777" w:rsidR="00BC0E7E" w:rsidRPr="00BC0E7E" w:rsidRDefault="00944B8F" w:rsidP="00D51999">
      <w:pPr>
        <w:numPr>
          <w:ilvl w:val="0"/>
          <w:numId w:val="56"/>
        </w:numPr>
        <w:tabs>
          <w:tab w:val="clear" w:pos="562"/>
          <w:tab w:val="num" w:pos="360"/>
        </w:tabs>
        <w:ind w:left="360"/>
        <w:rPr>
          <w:szCs w:val="20"/>
        </w:rPr>
      </w:pPr>
      <w:r w:rsidRPr="00BC0E7E">
        <w:rPr>
          <w:szCs w:val="20"/>
        </w:rPr>
        <w:t>double vision</w:t>
      </w:r>
    </w:p>
    <w:p w14:paraId="2F7828AF" w14:textId="77777777" w:rsidR="00BC0E7E" w:rsidRPr="00BC0E7E" w:rsidRDefault="00944B8F" w:rsidP="00D51999">
      <w:pPr>
        <w:numPr>
          <w:ilvl w:val="0"/>
          <w:numId w:val="56"/>
        </w:numPr>
        <w:tabs>
          <w:tab w:val="clear" w:pos="562"/>
          <w:tab w:val="num" w:pos="360"/>
        </w:tabs>
        <w:ind w:left="360"/>
        <w:rPr>
          <w:szCs w:val="20"/>
        </w:rPr>
      </w:pPr>
      <w:r w:rsidRPr="00BC0E7E">
        <w:rPr>
          <w:szCs w:val="20"/>
        </w:rPr>
        <w:t>arm or leg weakness</w:t>
      </w:r>
    </w:p>
    <w:p w14:paraId="2FBD8310" w14:textId="77777777" w:rsidR="00BC0E7E" w:rsidRPr="00BC0E7E" w:rsidRDefault="00944B8F" w:rsidP="00D51999">
      <w:pPr>
        <w:numPr>
          <w:ilvl w:val="0"/>
          <w:numId w:val="56"/>
        </w:numPr>
        <w:tabs>
          <w:tab w:val="clear" w:pos="562"/>
          <w:tab w:val="num" w:pos="360"/>
        </w:tabs>
        <w:ind w:left="360"/>
        <w:rPr>
          <w:szCs w:val="20"/>
        </w:rPr>
      </w:pPr>
      <w:r w:rsidRPr="00BC0E7E">
        <w:rPr>
          <w:szCs w:val="20"/>
        </w:rPr>
        <w:t>a bump or open sore that doesn't heal</w:t>
      </w:r>
    </w:p>
    <w:p w14:paraId="1459CD37" w14:textId="77777777" w:rsidR="00BC0E7E" w:rsidRPr="00BC0E7E" w:rsidRDefault="00944B8F" w:rsidP="00D51999">
      <w:pPr>
        <w:numPr>
          <w:ilvl w:val="0"/>
          <w:numId w:val="56"/>
        </w:numPr>
        <w:tabs>
          <w:tab w:val="clear" w:pos="562"/>
          <w:tab w:val="num" w:pos="360"/>
        </w:tabs>
        <w:ind w:left="360"/>
        <w:rPr>
          <w:szCs w:val="20"/>
        </w:rPr>
      </w:pPr>
      <w:r w:rsidRPr="00BC0E7E">
        <w:rPr>
          <w:szCs w:val="20"/>
        </w:rPr>
        <w:t>signs and symptoms suggestive of blood disorders such as persistent fever, bruising, bleeding, paleness</w:t>
      </w:r>
    </w:p>
    <w:p w14:paraId="542266A2" w14:textId="77777777" w:rsidR="00BC0E7E" w:rsidRPr="00BC0E7E" w:rsidRDefault="00BC0E7E" w:rsidP="00BC0E7E"/>
    <w:p w14:paraId="46C842C5" w14:textId="77777777" w:rsidR="00BC0E7E" w:rsidRPr="00BC0E7E" w:rsidRDefault="00944B8F" w:rsidP="00BC0E7E">
      <w:r w:rsidRPr="00BC0E7E">
        <w:t>The symptoms described above can be signs of the below listed side effects, which have been observed with Humira.</w:t>
      </w:r>
    </w:p>
    <w:p w14:paraId="0BB66B51" w14:textId="77777777" w:rsidR="00BC0E7E" w:rsidRPr="00BC0E7E" w:rsidRDefault="00BC0E7E" w:rsidP="00BC0E7E"/>
    <w:p w14:paraId="703FBD8B" w14:textId="77777777" w:rsidR="00BC0E7E" w:rsidRPr="00BC0E7E" w:rsidRDefault="00944B8F" w:rsidP="00BC0E7E">
      <w:pPr>
        <w:keepNext/>
        <w:rPr>
          <w:i/>
          <w:iCs/>
        </w:rPr>
      </w:pPr>
      <w:r w:rsidRPr="00BC0E7E">
        <w:rPr>
          <w:b/>
        </w:rPr>
        <w:t>Very common</w:t>
      </w:r>
      <w:r w:rsidRPr="00BC0E7E">
        <w:t xml:space="preserve"> (may affect more than 1 in 10 people)</w:t>
      </w:r>
      <w:r w:rsidRPr="00BC0E7E">
        <w:rPr>
          <w:i/>
          <w:iCs/>
        </w:rPr>
        <w:t xml:space="preserve">  </w:t>
      </w:r>
    </w:p>
    <w:p w14:paraId="58576366" w14:textId="77777777" w:rsidR="00BC0E7E" w:rsidRPr="00BC0E7E" w:rsidRDefault="00BC0E7E" w:rsidP="00BC0E7E">
      <w:pPr>
        <w:keepNext/>
        <w:rPr>
          <w:i/>
          <w:iCs/>
        </w:rPr>
      </w:pPr>
    </w:p>
    <w:p w14:paraId="2B8D1B18" w14:textId="77777777" w:rsidR="00BC0E7E" w:rsidRPr="00BC0E7E" w:rsidRDefault="00944B8F" w:rsidP="00D51999">
      <w:pPr>
        <w:keepNext/>
        <w:numPr>
          <w:ilvl w:val="0"/>
          <w:numId w:val="75"/>
        </w:numPr>
        <w:tabs>
          <w:tab w:val="clear" w:pos="562"/>
          <w:tab w:val="num" w:pos="540"/>
        </w:tabs>
        <w:ind w:left="540" w:hanging="540"/>
      </w:pPr>
      <w:r w:rsidRPr="00BC0E7E">
        <w:t>injection site reactions (including pain, swelling, redness or itching)</w:t>
      </w:r>
    </w:p>
    <w:p w14:paraId="5F5535CB" w14:textId="77777777" w:rsidR="00BC0E7E" w:rsidRPr="00BC0E7E" w:rsidRDefault="00944B8F" w:rsidP="00D51999">
      <w:pPr>
        <w:keepNext/>
        <w:numPr>
          <w:ilvl w:val="0"/>
          <w:numId w:val="75"/>
        </w:numPr>
        <w:tabs>
          <w:tab w:val="clear" w:pos="562"/>
          <w:tab w:val="num" w:pos="540"/>
        </w:tabs>
        <w:ind w:left="540" w:hanging="540"/>
      </w:pPr>
      <w:r w:rsidRPr="00BC0E7E">
        <w:t>respiratory tract infections (including cold, runny nose, sinus infection, pneumonia)</w:t>
      </w:r>
    </w:p>
    <w:p w14:paraId="62FD90EC" w14:textId="77777777" w:rsidR="00BC0E7E" w:rsidRPr="00BC0E7E" w:rsidRDefault="00944B8F" w:rsidP="00D51999">
      <w:pPr>
        <w:keepNext/>
        <w:numPr>
          <w:ilvl w:val="0"/>
          <w:numId w:val="75"/>
        </w:numPr>
        <w:tabs>
          <w:tab w:val="clear" w:pos="562"/>
          <w:tab w:val="num" w:pos="540"/>
        </w:tabs>
        <w:ind w:left="540" w:hanging="540"/>
      </w:pPr>
      <w:r w:rsidRPr="00BC0E7E">
        <w:t>headache</w:t>
      </w:r>
    </w:p>
    <w:p w14:paraId="34ADA851" w14:textId="77777777" w:rsidR="00BC0E7E" w:rsidRPr="00BC0E7E" w:rsidRDefault="00944B8F" w:rsidP="00D51999">
      <w:pPr>
        <w:keepNext/>
        <w:numPr>
          <w:ilvl w:val="0"/>
          <w:numId w:val="75"/>
        </w:numPr>
        <w:tabs>
          <w:tab w:val="clear" w:pos="562"/>
          <w:tab w:val="num" w:pos="540"/>
        </w:tabs>
        <w:ind w:left="540" w:hanging="540"/>
      </w:pPr>
      <w:r w:rsidRPr="00BC0E7E">
        <w:t>abdominal pain</w:t>
      </w:r>
    </w:p>
    <w:p w14:paraId="051F0B90" w14:textId="77777777" w:rsidR="00BC0E7E" w:rsidRPr="00BC0E7E" w:rsidRDefault="00944B8F" w:rsidP="00D51999">
      <w:pPr>
        <w:keepNext/>
        <w:numPr>
          <w:ilvl w:val="0"/>
          <w:numId w:val="75"/>
        </w:numPr>
        <w:tabs>
          <w:tab w:val="clear" w:pos="562"/>
          <w:tab w:val="num" w:pos="540"/>
        </w:tabs>
        <w:ind w:left="540" w:hanging="540"/>
      </w:pPr>
      <w:r w:rsidRPr="00BC0E7E">
        <w:t>nausea and vomiting</w:t>
      </w:r>
    </w:p>
    <w:p w14:paraId="130B4884" w14:textId="77777777" w:rsidR="00BC0E7E" w:rsidRPr="00BC0E7E" w:rsidRDefault="00944B8F" w:rsidP="00D51999">
      <w:pPr>
        <w:keepNext/>
        <w:numPr>
          <w:ilvl w:val="0"/>
          <w:numId w:val="75"/>
        </w:numPr>
        <w:tabs>
          <w:tab w:val="clear" w:pos="562"/>
          <w:tab w:val="num" w:pos="540"/>
        </w:tabs>
        <w:ind w:left="540" w:hanging="540"/>
      </w:pPr>
      <w:r w:rsidRPr="00BC0E7E">
        <w:t>rash</w:t>
      </w:r>
    </w:p>
    <w:p w14:paraId="32E9A215" w14:textId="77777777" w:rsidR="00BC0E7E" w:rsidRPr="00BC0E7E" w:rsidRDefault="00944B8F" w:rsidP="00D51999">
      <w:pPr>
        <w:keepNext/>
        <w:numPr>
          <w:ilvl w:val="0"/>
          <w:numId w:val="75"/>
        </w:numPr>
        <w:tabs>
          <w:tab w:val="clear" w:pos="562"/>
          <w:tab w:val="num" w:pos="540"/>
        </w:tabs>
        <w:ind w:left="540" w:hanging="540"/>
      </w:pPr>
      <w:r w:rsidRPr="00BC0E7E">
        <w:t>musculoskeletal pain</w:t>
      </w:r>
    </w:p>
    <w:p w14:paraId="47FBC6F6" w14:textId="77777777" w:rsidR="00BC0E7E" w:rsidRPr="00852331" w:rsidRDefault="00BC0E7E" w:rsidP="00852331">
      <w:pPr>
        <w:keepNext/>
        <w:rPr>
          <w:b/>
        </w:rPr>
      </w:pPr>
    </w:p>
    <w:p w14:paraId="210CA236" w14:textId="77777777" w:rsidR="00BC0E7E" w:rsidRPr="00852331" w:rsidRDefault="00944B8F" w:rsidP="00852331">
      <w:pPr>
        <w:keepNext/>
        <w:rPr>
          <w:b/>
        </w:rPr>
      </w:pPr>
      <w:r w:rsidRPr="00BC0E7E">
        <w:rPr>
          <w:b/>
        </w:rPr>
        <w:t>Common</w:t>
      </w:r>
      <w:r w:rsidRPr="00852331">
        <w:rPr>
          <w:b/>
        </w:rPr>
        <w:t xml:space="preserve"> </w:t>
      </w:r>
      <w:r w:rsidRPr="00852331">
        <w:t xml:space="preserve">(may affect up to 1 in 10 people) </w:t>
      </w:r>
    </w:p>
    <w:p w14:paraId="7CB7B918" w14:textId="77777777" w:rsidR="00BC0E7E" w:rsidRPr="00BC0E7E" w:rsidRDefault="00BC0E7E" w:rsidP="00BC0E7E">
      <w:pPr>
        <w:rPr>
          <w:i/>
          <w:iCs/>
        </w:rPr>
      </w:pPr>
    </w:p>
    <w:p w14:paraId="2F44D8DD" w14:textId="77777777" w:rsidR="00BC0E7E" w:rsidRDefault="00944B8F" w:rsidP="00D51999">
      <w:pPr>
        <w:numPr>
          <w:ilvl w:val="0"/>
          <w:numId w:val="75"/>
        </w:numPr>
        <w:ind w:left="540" w:hanging="540"/>
      </w:pPr>
      <w:r>
        <w:t>ser</w:t>
      </w:r>
      <w:r w:rsidR="00CE3203">
        <w:t>i</w:t>
      </w:r>
      <w:r>
        <w:t xml:space="preserve">ous </w:t>
      </w:r>
      <w:r w:rsidRPr="00BC0E7E">
        <w:t>infections (including blood poisoning and influenza)</w:t>
      </w:r>
    </w:p>
    <w:p w14:paraId="7F405599" w14:textId="77777777" w:rsidR="003068F4" w:rsidRPr="00BC0E7E" w:rsidRDefault="00944B8F" w:rsidP="00D51999">
      <w:pPr>
        <w:numPr>
          <w:ilvl w:val="0"/>
          <w:numId w:val="75"/>
        </w:numPr>
        <w:ind w:left="540" w:hanging="540"/>
      </w:pPr>
      <w:r>
        <w:t>intestinal infections</w:t>
      </w:r>
      <w:r w:rsidR="00086351">
        <w:t xml:space="preserve"> (including gastroenteritis)</w:t>
      </w:r>
    </w:p>
    <w:p w14:paraId="6220BB14" w14:textId="77777777" w:rsidR="00BC0E7E" w:rsidRPr="00BC0E7E" w:rsidRDefault="00944B8F" w:rsidP="00D51999">
      <w:pPr>
        <w:numPr>
          <w:ilvl w:val="0"/>
          <w:numId w:val="75"/>
        </w:numPr>
        <w:ind w:left="540" w:hanging="540"/>
      </w:pPr>
      <w:r w:rsidRPr="00BC0E7E">
        <w:t>skin infections (including cellulitis and shingles)</w:t>
      </w:r>
    </w:p>
    <w:p w14:paraId="1CB5C8B5" w14:textId="77777777" w:rsidR="00BC0E7E" w:rsidRPr="00BC0E7E" w:rsidRDefault="00944B8F" w:rsidP="00D51999">
      <w:pPr>
        <w:numPr>
          <w:ilvl w:val="0"/>
          <w:numId w:val="75"/>
        </w:numPr>
        <w:ind w:left="540" w:hanging="540"/>
      </w:pPr>
      <w:r w:rsidRPr="00BC0E7E">
        <w:t>ear infections</w:t>
      </w:r>
    </w:p>
    <w:p w14:paraId="04E18473" w14:textId="77777777" w:rsidR="00BC0E7E" w:rsidRPr="00BC0E7E" w:rsidRDefault="00944B8F" w:rsidP="00D51999">
      <w:pPr>
        <w:numPr>
          <w:ilvl w:val="0"/>
          <w:numId w:val="75"/>
        </w:numPr>
        <w:ind w:left="540" w:hanging="540"/>
      </w:pPr>
      <w:r w:rsidRPr="00BC0E7E">
        <w:t>oral infections (including tooth infections and cold sores)</w:t>
      </w:r>
    </w:p>
    <w:p w14:paraId="5AA2E832" w14:textId="77777777" w:rsidR="00BC0E7E" w:rsidRPr="00BC0E7E" w:rsidRDefault="00944B8F" w:rsidP="00D51999">
      <w:pPr>
        <w:numPr>
          <w:ilvl w:val="0"/>
          <w:numId w:val="75"/>
        </w:numPr>
        <w:ind w:left="540" w:hanging="540"/>
      </w:pPr>
      <w:r w:rsidRPr="00BC0E7E">
        <w:t>reproductive tract infections</w:t>
      </w:r>
    </w:p>
    <w:p w14:paraId="36B2BDC0" w14:textId="77777777" w:rsidR="00BC0E7E" w:rsidRPr="00BC0E7E" w:rsidRDefault="00944B8F" w:rsidP="00D51999">
      <w:pPr>
        <w:numPr>
          <w:ilvl w:val="0"/>
          <w:numId w:val="75"/>
        </w:numPr>
        <w:ind w:left="540" w:hanging="540"/>
      </w:pPr>
      <w:r w:rsidRPr="00BC0E7E">
        <w:t>urinary tract infection</w:t>
      </w:r>
    </w:p>
    <w:p w14:paraId="022644B2" w14:textId="77777777" w:rsidR="00BC0E7E" w:rsidRPr="00BC0E7E" w:rsidRDefault="00944B8F" w:rsidP="00D51999">
      <w:pPr>
        <w:numPr>
          <w:ilvl w:val="0"/>
          <w:numId w:val="75"/>
        </w:numPr>
        <w:ind w:left="540" w:hanging="540"/>
      </w:pPr>
      <w:r w:rsidRPr="00BC0E7E">
        <w:t>fungal infections</w:t>
      </w:r>
    </w:p>
    <w:p w14:paraId="11262141" w14:textId="77777777" w:rsidR="00BC0E7E" w:rsidRPr="00BC0E7E" w:rsidRDefault="00944B8F" w:rsidP="00D51999">
      <w:pPr>
        <w:numPr>
          <w:ilvl w:val="0"/>
          <w:numId w:val="75"/>
        </w:numPr>
        <w:ind w:left="540" w:hanging="540"/>
      </w:pPr>
      <w:r w:rsidRPr="00BC0E7E">
        <w:t>joint infections</w:t>
      </w:r>
    </w:p>
    <w:p w14:paraId="7ED6841E" w14:textId="77777777" w:rsidR="00BC0E7E" w:rsidRPr="00BC0E7E" w:rsidRDefault="00944B8F" w:rsidP="00D51999">
      <w:pPr>
        <w:numPr>
          <w:ilvl w:val="0"/>
          <w:numId w:val="75"/>
        </w:numPr>
        <w:ind w:left="540" w:hanging="540"/>
      </w:pPr>
      <w:r w:rsidRPr="00BC0E7E">
        <w:t>benign tumours</w:t>
      </w:r>
    </w:p>
    <w:p w14:paraId="06976B03" w14:textId="77777777" w:rsidR="00BC0E7E" w:rsidRPr="00BC0E7E" w:rsidRDefault="00944B8F" w:rsidP="00D51999">
      <w:pPr>
        <w:numPr>
          <w:ilvl w:val="0"/>
          <w:numId w:val="75"/>
        </w:numPr>
        <w:ind w:left="540" w:hanging="540"/>
      </w:pPr>
      <w:r w:rsidRPr="00BC0E7E">
        <w:lastRenderedPageBreak/>
        <w:t>skin cancer</w:t>
      </w:r>
    </w:p>
    <w:p w14:paraId="79F10C28" w14:textId="77777777" w:rsidR="00BC0E7E" w:rsidRPr="00BC0E7E" w:rsidRDefault="00944B8F" w:rsidP="00D51999">
      <w:pPr>
        <w:numPr>
          <w:ilvl w:val="0"/>
          <w:numId w:val="75"/>
        </w:numPr>
        <w:ind w:left="540" w:hanging="540"/>
      </w:pPr>
      <w:r w:rsidRPr="00BC0E7E">
        <w:t>allergic reactions (including seasonal allergy)</w:t>
      </w:r>
    </w:p>
    <w:p w14:paraId="2F6C51F8" w14:textId="77777777" w:rsidR="00BC0E7E" w:rsidRPr="00BC0E7E" w:rsidRDefault="00944B8F" w:rsidP="00D51999">
      <w:pPr>
        <w:numPr>
          <w:ilvl w:val="0"/>
          <w:numId w:val="75"/>
        </w:numPr>
        <w:ind w:left="540" w:hanging="540"/>
      </w:pPr>
      <w:r w:rsidRPr="00BC0E7E">
        <w:t>dehydration</w:t>
      </w:r>
    </w:p>
    <w:p w14:paraId="69915F3F" w14:textId="77777777" w:rsidR="00BC0E7E" w:rsidRPr="00BC0E7E" w:rsidRDefault="00944B8F" w:rsidP="00D51999">
      <w:pPr>
        <w:numPr>
          <w:ilvl w:val="0"/>
          <w:numId w:val="75"/>
        </w:numPr>
        <w:ind w:left="540" w:hanging="540"/>
      </w:pPr>
      <w:r w:rsidRPr="00BC0E7E">
        <w:t>mood swings (including depression)</w:t>
      </w:r>
    </w:p>
    <w:p w14:paraId="08FFF105" w14:textId="77777777" w:rsidR="00BC0E7E" w:rsidRPr="00BC0E7E" w:rsidRDefault="00944B8F" w:rsidP="00D51999">
      <w:pPr>
        <w:numPr>
          <w:ilvl w:val="0"/>
          <w:numId w:val="75"/>
        </w:numPr>
        <w:ind w:left="540" w:hanging="540"/>
      </w:pPr>
      <w:r w:rsidRPr="00BC0E7E">
        <w:t>anxiety</w:t>
      </w:r>
    </w:p>
    <w:p w14:paraId="5DCE0D54" w14:textId="77777777" w:rsidR="00BC0E7E" w:rsidRPr="00BC0E7E" w:rsidRDefault="00944B8F" w:rsidP="00D51999">
      <w:pPr>
        <w:numPr>
          <w:ilvl w:val="0"/>
          <w:numId w:val="75"/>
        </w:numPr>
        <w:ind w:left="540" w:hanging="540"/>
      </w:pPr>
      <w:r w:rsidRPr="00BC0E7E">
        <w:t>difficulty sleeping</w:t>
      </w:r>
    </w:p>
    <w:p w14:paraId="44E2386A" w14:textId="77777777" w:rsidR="00BC0E7E" w:rsidRPr="00BC0E7E" w:rsidRDefault="00944B8F" w:rsidP="00D51999">
      <w:pPr>
        <w:numPr>
          <w:ilvl w:val="0"/>
          <w:numId w:val="75"/>
        </w:numPr>
        <w:ind w:left="540" w:hanging="540"/>
      </w:pPr>
      <w:r w:rsidRPr="00BC0E7E">
        <w:t>sensation disorders such as tingling, prickling or numbness</w:t>
      </w:r>
    </w:p>
    <w:p w14:paraId="359B1FBD" w14:textId="77777777" w:rsidR="00BC0E7E" w:rsidRPr="00BC0E7E" w:rsidRDefault="00944B8F" w:rsidP="00D51999">
      <w:pPr>
        <w:numPr>
          <w:ilvl w:val="0"/>
          <w:numId w:val="75"/>
        </w:numPr>
        <w:ind w:left="540" w:hanging="540"/>
      </w:pPr>
      <w:r w:rsidRPr="00BC0E7E">
        <w:t>migraine</w:t>
      </w:r>
    </w:p>
    <w:p w14:paraId="1B1D5859" w14:textId="77777777" w:rsidR="00BC0E7E" w:rsidRPr="00BC0E7E" w:rsidRDefault="00944B8F" w:rsidP="00D51999">
      <w:pPr>
        <w:numPr>
          <w:ilvl w:val="0"/>
          <w:numId w:val="75"/>
        </w:numPr>
        <w:ind w:left="540" w:hanging="540"/>
      </w:pPr>
      <w:r w:rsidRPr="00BC0E7E">
        <w:t>nerve root compression (including low back pain and leg pain)</w:t>
      </w:r>
    </w:p>
    <w:p w14:paraId="4FD31B22" w14:textId="77777777" w:rsidR="00BC0E7E" w:rsidRPr="00BC0E7E" w:rsidRDefault="00944B8F" w:rsidP="00D51999">
      <w:pPr>
        <w:numPr>
          <w:ilvl w:val="0"/>
          <w:numId w:val="75"/>
        </w:numPr>
        <w:ind w:left="540" w:hanging="540"/>
      </w:pPr>
      <w:r w:rsidRPr="00BC0E7E">
        <w:t>vision disturbances</w:t>
      </w:r>
    </w:p>
    <w:p w14:paraId="70C4C828" w14:textId="77777777" w:rsidR="00BC0E7E" w:rsidRPr="00BC0E7E" w:rsidRDefault="00944B8F" w:rsidP="00D51999">
      <w:pPr>
        <w:numPr>
          <w:ilvl w:val="0"/>
          <w:numId w:val="75"/>
        </w:numPr>
        <w:ind w:left="540" w:hanging="540"/>
      </w:pPr>
      <w:r w:rsidRPr="00BC0E7E">
        <w:t>eye inflammation</w:t>
      </w:r>
    </w:p>
    <w:p w14:paraId="483F9A72" w14:textId="77777777" w:rsidR="00BC0E7E" w:rsidRPr="00BC0E7E" w:rsidRDefault="00944B8F" w:rsidP="00D51999">
      <w:pPr>
        <w:numPr>
          <w:ilvl w:val="0"/>
          <w:numId w:val="75"/>
        </w:numPr>
        <w:ind w:left="540" w:hanging="540"/>
      </w:pPr>
      <w:r w:rsidRPr="00BC0E7E">
        <w:t>inflammation of the eye lid and eye swelling</w:t>
      </w:r>
    </w:p>
    <w:p w14:paraId="4B14E141" w14:textId="77777777" w:rsidR="00BC0E7E" w:rsidRPr="00BC0E7E" w:rsidRDefault="00944B8F" w:rsidP="00D51999">
      <w:pPr>
        <w:numPr>
          <w:ilvl w:val="0"/>
          <w:numId w:val="75"/>
        </w:numPr>
        <w:ind w:left="540" w:hanging="540"/>
      </w:pPr>
      <w:r w:rsidRPr="00BC0E7E">
        <w:t>vertigo (feeling of dizziness or spinning)</w:t>
      </w:r>
    </w:p>
    <w:p w14:paraId="7B124C48" w14:textId="77777777" w:rsidR="00BC0E7E" w:rsidRPr="00BC0E7E" w:rsidRDefault="00944B8F" w:rsidP="00D51999">
      <w:pPr>
        <w:numPr>
          <w:ilvl w:val="0"/>
          <w:numId w:val="75"/>
        </w:numPr>
        <w:ind w:left="540" w:hanging="540"/>
      </w:pPr>
      <w:r w:rsidRPr="00BC0E7E">
        <w:t>sensation of heart beating rapidly</w:t>
      </w:r>
    </w:p>
    <w:p w14:paraId="080565EA" w14:textId="77777777" w:rsidR="00BC0E7E" w:rsidRPr="00BC0E7E" w:rsidRDefault="00944B8F" w:rsidP="00D51999">
      <w:pPr>
        <w:numPr>
          <w:ilvl w:val="0"/>
          <w:numId w:val="75"/>
        </w:numPr>
        <w:ind w:left="540" w:hanging="540"/>
      </w:pPr>
      <w:r w:rsidRPr="00BC0E7E">
        <w:t>high blood pressure</w:t>
      </w:r>
    </w:p>
    <w:p w14:paraId="522369F2" w14:textId="77777777" w:rsidR="00BC0E7E" w:rsidRPr="00BC0E7E" w:rsidRDefault="00944B8F" w:rsidP="00D51999">
      <w:pPr>
        <w:numPr>
          <w:ilvl w:val="0"/>
          <w:numId w:val="75"/>
        </w:numPr>
        <w:ind w:left="540" w:hanging="540"/>
      </w:pPr>
      <w:r w:rsidRPr="00BC0E7E">
        <w:t>flushing</w:t>
      </w:r>
    </w:p>
    <w:p w14:paraId="33A43BA3" w14:textId="77777777" w:rsidR="00BC0E7E" w:rsidRPr="00BC0E7E" w:rsidRDefault="00944B8F" w:rsidP="00D51999">
      <w:pPr>
        <w:numPr>
          <w:ilvl w:val="0"/>
          <w:numId w:val="75"/>
        </w:numPr>
        <w:ind w:left="540" w:hanging="540"/>
      </w:pPr>
      <w:r w:rsidRPr="00BC0E7E">
        <w:t>haematoma (collection of blood outside of blood vessels)</w:t>
      </w:r>
    </w:p>
    <w:p w14:paraId="3E90A412" w14:textId="77777777" w:rsidR="00BC0E7E" w:rsidRPr="00BC0E7E" w:rsidRDefault="00944B8F" w:rsidP="00D51999">
      <w:pPr>
        <w:numPr>
          <w:ilvl w:val="0"/>
          <w:numId w:val="75"/>
        </w:numPr>
        <w:ind w:left="540" w:hanging="540"/>
      </w:pPr>
      <w:r w:rsidRPr="00BC0E7E">
        <w:t>cough</w:t>
      </w:r>
    </w:p>
    <w:p w14:paraId="4DF327CC" w14:textId="77777777" w:rsidR="00BC0E7E" w:rsidRPr="00BC0E7E" w:rsidRDefault="00944B8F" w:rsidP="00D51999">
      <w:pPr>
        <w:numPr>
          <w:ilvl w:val="0"/>
          <w:numId w:val="75"/>
        </w:numPr>
        <w:ind w:left="540" w:hanging="540"/>
      </w:pPr>
      <w:r w:rsidRPr="00BC0E7E">
        <w:t>asthma</w:t>
      </w:r>
    </w:p>
    <w:p w14:paraId="044A8E1C" w14:textId="77777777" w:rsidR="00BC0E7E" w:rsidRPr="00BC0E7E" w:rsidRDefault="00944B8F" w:rsidP="00D51999">
      <w:pPr>
        <w:numPr>
          <w:ilvl w:val="0"/>
          <w:numId w:val="75"/>
        </w:numPr>
        <w:ind w:left="540" w:hanging="540"/>
      </w:pPr>
      <w:r w:rsidRPr="00BC0E7E">
        <w:t>shortness of breath</w:t>
      </w:r>
    </w:p>
    <w:p w14:paraId="3B3A8936" w14:textId="77777777" w:rsidR="00BC0E7E" w:rsidRPr="00BC0E7E" w:rsidRDefault="00944B8F" w:rsidP="00D51999">
      <w:pPr>
        <w:numPr>
          <w:ilvl w:val="0"/>
          <w:numId w:val="75"/>
        </w:numPr>
        <w:ind w:left="540" w:hanging="540"/>
      </w:pPr>
      <w:r w:rsidRPr="00BC0E7E">
        <w:t>gastrointestinal bleeding</w:t>
      </w:r>
    </w:p>
    <w:p w14:paraId="4FAEA991" w14:textId="77777777" w:rsidR="00BC0E7E" w:rsidRPr="00BC0E7E" w:rsidRDefault="00944B8F" w:rsidP="00D51999">
      <w:pPr>
        <w:numPr>
          <w:ilvl w:val="0"/>
          <w:numId w:val="75"/>
        </w:numPr>
        <w:ind w:left="540" w:hanging="540"/>
      </w:pPr>
      <w:r w:rsidRPr="00BC0E7E">
        <w:t>dyspepsia (indigestion, bloating, heart burn)</w:t>
      </w:r>
    </w:p>
    <w:p w14:paraId="7AAC0E6B" w14:textId="77777777" w:rsidR="00BC0E7E" w:rsidRPr="00BC0E7E" w:rsidRDefault="00944B8F" w:rsidP="00D51999">
      <w:pPr>
        <w:numPr>
          <w:ilvl w:val="0"/>
          <w:numId w:val="75"/>
        </w:numPr>
        <w:ind w:left="540" w:hanging="540"/>
      </w:pPr>
      <w:r w:rsidRPr="00BC0E7E">
        <w:t>acid reflux disease</w:t>
      </w:r>
    </w:p>
    <w:p w14:paraId="35B20A8B" w14:textId="77777777" w:rsidR="00BC0E7E" w:rsidRPr="00BC0E7E" w:rsidRDefault="00944B8F" w:rsidP="00D51999">
      <w:pPr>
        <w:numPr>
          <w:ilvl w:val="0"/>
          <w:numId w:val="75"/>
        </w:numPr>
        <w:ind w:left="540" w:hanging="540"/>
      </w:pPr>
      <w:r w:rsidRPr="00BC0E7E">
        <w:t>sicca syndrome (including dry eyes and dry mouth)</w:t>
      </w:r>
    </w:p>
    <w:p w14:paraId="0A4B5117" w14:textId="77777777" w:rsidR="00BC0E7E" w:rsidRPr="00BC0E7E" w:rsidRDefault="00944B8F" w:rsidP="00D51999">
      <w:pPr>
        <w:numPr>
          <w:ilvl w:val="0"/>
          <w:numId w:val="75"/>
        </w:numPr>
        <w:ind w:left="540" w:hanging="540"/>
      </w:pPr>
      <w:r w:rsidRPr="00BC0E7E">
        <w:t>itching</w:t>
      </w:r>
    </w:p>
    <w:p w14:paraId="067283A0" w14:textId="77777777" w:rsidR="00BC0E7E" w:rsidRPr="00BC0E7E" w:rsidRDefault="00944B8F" w:rsidP="00D51999">
      <w:pPr>
        <w:numPr>
          <w:ilvl w:val="0"/>
          <w:numId w:val="56"/>
        </w:numPr>
        <w:ind w:left="540" w:hanging="540"/>
        <w:rPr>
          <w:szCs w:val="20"/>
        </w:rPr>
      </w:pPr>
      <w:r w:rsidRPr="00BC0E7E">
        <w:rPr>
          <w:szCs w:val="20"/>
        </w:rPr>
        <w:t>itchy rash</w:t>
      </w:r>
    </w:p>
    <w:p w14:paraId="7230414D" w14:textId="77777777" w:rsidR="00BC0E7E" w:rsidRPr="00BC0E7E" w:rsidRDefault="00944B8F" w:rsidP="00D51999">
      <w:pPr>
        <w:numPr>
          <w:ilvl w:val="0"/>
          <w:numId w:val="56"/>
        </w:numPr>
        <w:ind w:left="540" w:hanging="540"/>
        <w:rPr>
          <w:szCs w:val="20"/>
        </w:rPr>
      </w:pPr>
      <w:r w:rsidRPr="00BC0E7E">
        <w:rPr>
          <w:szCs w:val="20"/>
        </w:rPr>
        <w:t>bruising</w:t>
      </w:r>
    </w:p>
    <w:p w14:paraId="40461F4F" w14:textId="77777777" w:rsidR="00BC0E7E" w:rsidRPr="00BC0E7E" w:rsidRDefault="00944B8F" w:rsidP="00D51999">
      <w:pPr>
        <w:numPr>
          <w:ilvl w:val="0"/>
          <w:numId w:val="56"/>
        </w:numPr>
        <w:ind w:left="540" w:hanging="540"/>
        <w:rPr>
          <w:szCs w:val="20"/>
        </w:rPr>
      </w:pPr>
      <w:r w:rsidRPr="00BC0E7E">
        <w:rPr>
          <w:szCs w:val="20"/>
        </w:rPr>
        <w:t>inflammation of the skin (such as eczema)</w:t>
      </w:r>
    </w:p>
    <w:p w14:paraId="5D2BE8BF" w14:textId="77777777" w:rsidR="00BC0E7E" w:rsidRPr="00BC0E7E" w:rsidRDefault="00944B8F" w:rsidP="00D51999">
      <w:pPr>
        <w:numPr>
          <w:ilvl w:val="0"/>
          <w:numId w:val="56"/>
        </w:numPr>
        <w:ind w:left="540" w:hanging="540"/>
        <w:rPr>
          <w:szCs w:val="20"/>
        </w:rPr>
      </w:pPr>
      <w:r w:rsidRPr="00BC0E7E">
        <w:rPr>
          <w:szCs w:val="20"/>
        </w:rPr>
        <w:t>breaking of finger nails and toe nails</w:t>
      </w:r>
    </w:p>
    <w:p w14:paraId="788CD96D" w14:textId="77777777" w:rsidR="00BC0E7E" w:rsidRPr="00BC0E7E" w:rsidRDefault="00944B8F" w:rsidP="00D51999">
      <w:pPr>
        <w:numPr>
          <w:ilvl w:val="0"/>
          <w:numId w:val="56"/>
        </w:numPr>
        <w:ind w:left="540" w:hanging="540"/>
        <w:rPr>
          <w:szCs w:val="20"/>
        </w:rPr>
      </w:pPr>
      <w:r w:rsidRPr="00BC0E7E">
        <w:rPr>
          <w:szCs w:val="20"/>
        </w:rPr>
        <w:t>increased sweating</w:t>
      </w:r>
    </w:p>
    <w:p w14:paraId="4E7E15F8" w14:textId="77777777" w:rsidR="00BC0E7E" w:rsidRPr="00BC0E7E" w:rsidRDefault="00944B8F" w:rsidP="00D51999">
      <w:pPr>
        <w:numPr>
          <w:ilvl w:val="0"/>
          <w:numId w:val="56"/>
        </w:numPr>
        <w:ind w:left="540" w:hanging="540"/>
        <w:rPr>
          <w:szCs w:val="20"/>
        </w:rPr>
      </w:pPr>
      <w:r w:rsidRPr="00BC0E7E">
        <w:rPr>
          <w:szCs w:val="20"/>
        </w:rPr>
        <w:t>hair loss</w:t>
      </w:r>
    </w:p>
    <w:p w14:paraId="561DB02C" w14:textId="77777777" w:rsidR="00BC0E7E" w:rsidRPr="00BC0E7E" w:rsidRDefault="00944B8F" w:rsidP="00D51999">
      <w:pPr>
        <w:numPr>
          <w:ilvl w:val="0"/>
          <w:numId w:val="56"/>
        </w:numPr>
        <w:ind w:left="540" w:hanging="540"/>
        <w:rPr>
          <w:szCs w:val="20"/>
        </w:rPr>
      </w:pPr>
      <w:r w:rsidRPr="00BC0E7E">
        <w:rPr>
          <w:szCs w:val="20"/>
        </w:rPr>
        <w:t>new onset or worsening of psoriasis</w:t>
      </w:r>
    </w:p>
    <w:p w14:paraId="4BFC6319" w14:textId="77777777" w:rsidR="00BC0E7E" w:rsidRPr="00BC0E7E" w:rsidRDefault="00944B8F" w:rsidP="00D51999">
      <w:pPr>
        <w:numPr>
          <w:ilvl w:val="0"/>
          <w:numId w:val="56"/>
        </w:numPr>
        <w:ind w:left="540" w:hanging="540"/>
        <w:rPr>
          <w:szCs w:val="20"/>
        </w:rPr>
      </w:pPr>
      <w:r w:rsidRPr="00BC0E7E">
        <w:rPr>
          <w:szCs w:val="20"/>
        </w:rPr>
        <w:t>muscle spasms</w:t>
      </w:r>
    </w:p>
    <w:p w14:paraId="2C728B21" w14:textId="77777777" w:rsidR="00BC0E7E" w:rsidRPr="00BC0E7E" w:rsidRDefault="00944B8F" w:rsidP="00D51999">
      <w:pPr>
        <w:numPr>
          <w:ilvl w:val="0"/>
          <w:numId w:val="56"/>
        </w:numPr>
        <w:ind w:left="540" w:hanging="540"/>
        <w:rPr>
          <w:szCs w:val="20"/>
        </w:rPr>
      </w:pPr>
      <w:r w:rsidRPr="00BC0E7E">
        <w:rPr>
          <w:szCs w:val="20"/>
        </w:rPr>
        <w:t>blood in urine</w:t>
      </w:r>
    </w:p>
    <w:p w14:paraId="41502AAF" w14:textId="77777777" w:rsidR="00BC0E7E" w:rsidRPr="00BC0E7E" w:rsidRDefault="00944B8F" w:rsidP="00D51999">
      <w:pPr>
        <w:numPr>
          <w:ilvl w:val="0"/>
          <w:numId w:val="56"/>
        </w:numPr>
        <w:ind w:left="540" w:hanging="540"/>
        <w:rPr>
          <w:szCs w:val="20"/>
        </w:rPr>
      </w:pPr>
      <w:r w:rsidRPr="00BC0E7E">
        <w:rPr>
          <w:szCs w:val="20"/>
        </w:rPr>
        <w:t>kidney problems</w:t>
      </w:r>
    </w:p>
    <w:p w14:paraId="3B82502B" w14:textId="77777777" w:rsidR="00BC0E7E" w:rsidRPr="00BC0E7E" w:rsidRDefault="00944B8F" w:rsidP="00D51999">
      <w:pPr>
        <w:numPr>
          <w:ilvl w:val="0"/>
          <w:numId w:val="56"/>
        </w:numPr>
        <w:ind w:left="540" w:hanging="540"/>
        <w:rPr>
          <w:szCs w:val="20"/>
        </w:rPr>
      </w:pPr>
      <w:r w:rsidRPr="00BC0E7E">
        <w:rPr>
          <w:szCs w:val="20"/>
        </w:rPr>
        <w:t>chest pain</w:t>
      </w:r>
    </w:p>
    <w:p w14:paraId="114A5E3C" w14:textId="77777777" w:rsidR="00BC0E7E" w:rsidRPr="00BC0E7E" w:rsidRDefault="00944B8F" w:rsidP="00D51999">
      <w:pPr>
        <w:numPr>
          <w:ilvl w:val="0"/>
          <w:numId w:val="56"/>
        </w:numPr>
        <w:ind w:left="540" w:hanging="540"/>
        <w:rPr>
          <w:szCs w:val="20"/>
        </w:rPr>
      </w:pPr>
      <w:r w:rsidRPr="00BC0E7E">
        <w:rPr>
          <w:szCs w:val="20"/>
        </w:rPr>
        <w:t>oedema (swelling)</w:t>
      </w:r>
    </w:p>
    <w:p w14:paraId="6D0DEAC0" w14:textId="77777777" w:rsidR="00BC0E7E" w:rsidRPr="00BC0E7E" w:rsidRDefault="00944B8F" w:rsidP="00D51999">
      <w:pPr>
        <w:numPr>
          <w:ilvl w:val="0"/>
          <w:numId w:val="56"/>
        </w:numPr>
        <w:ind w:left="540" w:hanging="540"/>
        <w:rPr>
          <w:szCs w:val="20"/>
        </w:rPr>
      </w:pPr>
      <w:r w:rsidRPr="00BC0E7E">
        <w:rPr>
          <w:szCs w:val="20"/>
        </w:rPr>
        <w:t>fever</w:t>
      </w:r>
    </w:p>
    <w:p w14:paraId="49F3C87A" w14:textId="77777777" w:rsidR="00BC0E7E" w:rsidRPr="00BC0E7E" w:rsidRDefault="00944B8F" w:rsidP="00D51999">
      <w:pPr>
        <w:numPr>
          <w:ilvl w:val="0"/>
          <w:numId w:val="56"/>
        </w:numPr>
        <w:tabs>
          <w:tab w:val="clear" w:pos="562"/>
          <w:tab w:val="num" w:pos="540"/>
        </w:tabs>
        <w:ind w:left="540" w:hanging="540"/>
      </w:pPr>
      <w:r w:rsidRPr="00BC0E7E">
        <w:t>reduction in blood platelets which increases risk of bleeding or bruising</w:t>
      </w:r>
    </w:p>
    <w:p w14:paraId="285ECC8F" w14:textId="77777777" w:rsidR="00BC0E7E" w:rsidRPr="00BC0E7E" w:rsidRDefault="00944B8F" w:rsidP="00D51999">
      <w:pPr>
        <w:numPr>
          <w:ilvl w:val="0"/>
          <w:numId w:val="56"/>
        </w:numPr>
        <w:tabs>
          <w:tab w:val="clear" w:pos="562"/>
          <w:tab w:val="num" w:pos="540"/>
        </w:tabs>
        <w:ind w:left="540" w:hanging="540"/>
      </w:pPr>
      <w:r w:rsidRPr="00BC0E7E">
        <w:t>impaired healing</w:t>
      </w:r>
    </w:p>
    <w:p w14:paraId="57DA546D" w14:textId="77777777" w:rsidR="00BC0E7E" w:rsidRPr="00BC0E7E" w:rsidRDefault="00BC0E7E" w:rsidP="00BC0E7E"/>
    <w:p w14:paraId="6DE5C890" w14:textId="77777777" w:rsidR="00BC0E7E" w:rsidRPr="00BC0E7E" w:rsidRDefault="00944B8F" w:rsidP="00BC0E7E">
      <w:r w:rsidRPr="00BC0E7E">
        <w:rPr>
          <w:b/>
        </w:rPr>
        <w:t>Uncommon</w:t>
      </w:r>
      <w:r w:rsidRPr="00BC0E7E">
        <w:t xml:space="preserve"> (may affect up to 1 in 100 people)  </w:t>
      </w:r>
    </w:p>
    <w:p w14:paraId="234C3CE4" w14:textId="77777777" w:rsidR="00BC0E7E" w:rsidRPr="00BC0E7E" w:rsidRDefault="00BC0E7E" w:rsidP="00BC0E7E"/>
    <w:p w14:paraId="3EC8C4FB" w14:textId="77777777" w:rsidR="00BC0E7E" w:rsidRPr="00BC0E7E" w:rsidRDefault="00944B8F" w:rsidP="00D51999">
      <w:pPr>
        <w:numPr>
          <w:ilvl w:val="0"/>
          <w:numId w:val="74"/>
        </w:numPr>
        <w:tabs>
          <w:tab w:val="clear" w:pos="562"/>
          <w:tab w:val="num" w:pos="540"/>
        </w:tabs>
        <w:ind w:left="540" w:hanging="540"/>
      </w:pPr>
      <w:r w:rsidRPr="00BC0E7E">
        <w:t>opportunistic infections (which include tuberculosis and other infections that occur when resistance to disease is lowered)</w:t>
      </w:r>
    </w:p>
    <w:p w14:paraId="373995F8" w14:textId="77777777" w:rsidR="00BC0E7E" w:rsidRPr="00BC0E7E" w:rsidRDefault="00944B8F" w:rsidP="00D51999">
      <w:pPr>
        <w:numPr>
          <w:ilvl w:val="0"/>
          <w:numId w:val="74"/>
        </w:numPr>
        <w:tabs>
          <w:tab w:val="clear" w:pos="562"/>
          <w:tab w:val="num" w:pos="540"/>
        </w:tabs>
        <w:ind w:left="540" w:hanging="540"/>
      </w:pPr>
      <w:r w:rsidRPr="00BC0E7E">
        <w:t>neurological infections (including viral meningitis)</w:t>
      </w:r>
    </w:p>
    <w:p w14:paraId="373B1B31" w14:textId="77777777" w:rsidR="00BC0E7E" w:rsidRPr="00BC0E7E" w:rsidRDefault="00944B8F" w:rsidP="00D51999">
      <w:pPr>
        <w:numPr>
          <w:ilvl w:val="0"/>
          <w:numId w:val="74"/>
        </w:numPr>
        <w:tabs>
          <w:tab w:val="clear" w:pos="562"/>
          <w:tab w:val="num" w:pos="540"/>
        </w:tabs>
        <w:ind w:left="540" w:hanging="540"/>
      </w:pPr>
      <w:r w:rsidRPr="00BC0E7E">
        <w:t>eye infections</w:t>
      </w:r>
    </w:p>
    <w:p w14:paraId="718F074E" w14:textId="77777777" w:rsidR="00BC0E7E" w:rsidRPr="00BC0E7E" w:rsidRDefault="00944B8F" w:rsidP="00D51999">
      <w:pPr>
        <w:numPr>
          <w:ilvl w:val="0"/>
          <w:numId w:val="74"/>
        </w:numPr>
        <w:tabs>
          <w:tab w:val="clear" w:pos="562"/>
          <w:tab w:val="num" w:pos="540"/>
        </w:tabs>
        <w:ind w:left="540" w:hanging="540"/>
      </w:pPr>
      <w:r w:rsidRPr="00BC0E7E">
        <w:t>bacterial infections</w:t>
      </w:r>
    </w:p>
    <w:p w14:paraId="171839BE" w14:textId="77777777" w:rsidR="00BC0E7E" w:rsidRPr="00BC0E7E" w:rsidRDefault="00944B8F" w:rsidP="00D51999">
      <w:pPr>
        <w:numPr>
          <w:ilvl w:val="0"/>
          <w:numId w:val="74"/>
        </w:numPr>
        <w:tabs>
          <w:tab w:val="clear" w:pos="562"/>
          <w:tab w:val="num" w:pos="540"/>
        </w:tabs>
        <w:ind w:left="540" w:hanging="540"/>
      </w:pPr>
      <w:r w:rsidRPr="00BC0E7E">
        <w:t>diverticulitis (inflammation and infection of the large intestine)</w:t>
      </w:r>
    </w:p>
    <w:p w14:paraId="176BF1FC" w14:textId="77777777" w:rsidR="00BC0E7E" w:rsidRPr="00BC0E7E" w:rsidRDefault="00944B8F" w:rsidP="00D51999">
      <w:pPr>
        <w:numPr>
          <w:ilvl w:val="0"/>
          <w:numId w:val="74"/>
        </w:numPr>
        <w:tabs>
          <w:tab w:val="clear" w:pos="562"/>
          <w:tab w:val="num" w:pos="540"/>
        </w:tabs>
        <w:ind w:left="540" w:hanging="540"/>
      </w:pPr>
      <w:r w:rsidRPr="00BC0E7E">
        <w:t>cancer</w:t>
      </w:r>
    </w:p>
    <w:p w14:paraId="232F20B9" w14:textId="77777777" w:rsidR="00BC0E7E" w:rsidRPr="00BC0E7E" w:rsidRDefault="00944B8F" w:rsidP="00D51999">
      <w:pPr>
        <w:numPr>
          <w:ilvl w:val="0"/>
          <w:numId w:val="74"/>
        </w:numPr>
        <w:tabs>
          <w:tab w:val="clear" w:pos="562"/>
          <w:tab w:val="num" w:pos="540"/>
        </w:tabs>
        <w:ind w:left="540" w:hanging="540"/>
      </w:pPr>
      <w:r w:rsidRPr="00BC0E7E">
        <w:lastRenderedPageBreak/>
        <w:t>cancer that affects the lymph system</w:t>
      </w:r>
    </w:p>
    <w:p w14:paraId="62071A51" w14:textId="77777777" w:rsidR="00BC0E7E" w:rsidRPr="00BC0E7E" w:rsidRDefault="00944B8F" w:rsidP="00D51999">
      <w:pPr>
        <w:numPr>
          <w:ilvl w:val="0"/>
          <w:numId w:val="74"/>
        </w:numPr>
        <w:tabs>
          <w:tab w:val="clear" w:pos="562"/>
          <w:tab w:val="num" w:pos="540"/>
        </w:tabs>
        <w:ind w:left="540" w:hanging="540"/>
      </w:pPr>
      <w:r w:rsidRPr="00BC0E7E">
        <w:t>melanoma</w:t>
      </w:r>
    </w:p>
    <w:p w14:paraId="45898FB5" w14:textId="77777777" w:rsidR="00BC0E7E" w:rsidRPr="00BC0E7E" w:rsidRDefault="00944B8F" w:rsidP="00D51999">
      <w:pPr>
        <w:numPr>
          <w:ilvl w:val="0"/>
          <w:numId w:val="74"/>
        </w:numPr>
        <w:tabs>
          <w:tab w:val="clear" w:pos="562"/>
          <w:tab w:val="num" w:pos="540"/>
        </w:tabs>
        <w:ind w:left="540" w:hanging="540"/>
      </w:pPr>
      <w:r w:rsidRPr="00BC0E7E">
        <w:t>immune disorders that could affect the lungs, skin and lymph nodes (most commonly presenting as sarcoidosis)</w:t>
      </w:r>
    </w:p>
    <w:p w14:paraId="495AFD60" w14:textId="77777777" w:rsidR="00BC0E7E" w:rsidRPr="00BC0E7E" w:rsidRDefault="00944B8F" w:rsidP="00D51999">
      <w:pPr>
        <w:numPr>
          <w:ilvl w:val="0"/>
          <w:numId w:val="74"/>
        </w:numPr>
        <w:tabs>
          <w:tab w:val="clear" w:pos="562"/>
          <w:tab w:val="num" w:pos="540"/>
        </w:tabs>
        <w:ind w:left="540" w:hanging="540"/>
      </w:pPr>
      <w:r w:rsidRPr="00BC0E7E">
        <w:t>vasculitis (inflammation of blood vessels)</w:t>
      </w:r>
    </w:p>
    <w:p w14:paraId="42B737EC" w14:textId="77777777" w:rsidR="00BC0E7E" w:rsidRPr="00BC0E7E" w:rsidRDefault="00944B8F" w:rsidP="00D51999">
      <w:pPr>
        <w:numPr>
          <w:ilvl w:val="0"/>
          <w:numId w:val="74"/>
        </w:numPr>
        <w:tabs>
          <w:tab w:val="clear" w:pos="562"/>
          <w:tab w:val="num" w:pos="540"/>
        </w:tabs>
        <w:ind w:left="540" w:hanging="540"/>
      </w:pPr>
      <w:r w:rsidRPr="00BC0E7E">
        <w:t>tremor (shaking)</w:t>
      </w:r>
    </w:p>
    <w:p w14:paraId="09E92FBB" w14:textId="77777777" w:rsidR="00BC0E7E" w:rsidRPr="00BC0E7E" w:rsidRDefault="00944B8F" w:rsidP="00D51999">
      <w:pPr>
        <w:numPr>
          <w:ilvl w:val="0"/>
          <w:numId w:val="74"/>
        </w:numPr>
        <w:tabs>
          <w:tab w:val="clear" w:pos="562"/>
          <w:tab w:val="num" w:pos="540"/>
        </w:tabs>
        <w:ind w:left="540" w:hanging="540"/>
      </w:pPr>
      <w:r w:rsidRPr="00BC0E7E">
        <w:t>neuropathy (disorder of the nerves)</w:t>
      </w:r>
    </w:p>
    <w:p w14:paraId="51D8C7FD" w14:textId="77777777" w:rsidR="00BC0E7E" w:rsidRPr="00BC0E7E" w:rsidRDefault="00944B8F" w:rsidP="00D51999">
      <w:pPr>
        <w:numPr>
          <w:ilvl w:val="0"/>
          <w:numId w:val="74"/>
        </w:numPr>
        <w:tabs>
          <w:tab w:val="clear" w:pos="562"/>
          <w:tab w:val="num" w:pos="540"/>
        </w:tabs>
        <w:ind w:left="540" w:hanging="540"/>
      </w:pPr>
      <w:r w:rsidRPr="00BC0E7E">
        <w:t>stroke</w:t>
      </w:r>
    </w:p>
    <w:p w14:paraId="047D1173" w14:textId="77777777" w:rsidR="00BC0E7E" w:rsidRPr="00BC0E7E" w:rsidRDefault="00944B8F" w:rsidP="00D51999">
      <w:pPr>
        <w:numPr>
          <w:ilvl w:val="0"/>
          <w:numId w:val="74"/>
        </w:numPr>
        <w:tabs>
          <w:tab w:val="clear" w:pos="562"/>
          <w:tab w:val="num" w:pos="540"/>
        </w:tabs>
        <w:ind w:left="540" w:hanging="540"/>
      </w:pPr>
      <w:r w:rsidRPr="00BC0E7E">
        <w:t>hearing loss, buzzing</w:t>
      </w:r>
    </w:p>
    <w:p w14:paraId="4D1328C4" w14:textId="77777777" w:rsidR="00BC0E7E" w:rsidRPr="00BC0E7E" w:rsidRDefault="00944B8F" w:rsidP="00D51999">
      <w:pPr>
        <w:numPr>
          <w:ilvl w:val="0"/>
          <w:numId w:val="74"/>
        </w:numPr>
        <w:tabs>
          <w:tab w:val="clear" w:pos="562"/>
          <w:tab w:val="num" w:pos="540"/>
        </w:tabs>
        <w:ind w:left="540" w:hanging="540"/>
      </w:pPr>
      <w:r w:rsidRPr="00BC0E7E">
        <w:t>sensation of heart beating irregularly such as skipped beats</w:t>
      </w:r>
    </w:p>
    <w:p w14:paraId="730FC5AF" w14:textId="77777777" w:rsidR="00BC0E7E" w:rsidRPr="00BC0E7E" w:rsidRDefault="00944B8F" w:rsidP="00D51999">
      <w:pPr>
        <w:numPr>
          <w:ilvl w:val="0"/>
          <w:numId w:val="74"/>
        </w:numPr>
        <w:tabs>
          <w:tab w:val="clear" w:pos="562"/>
          <w:tab w:val="num" w:pos="540"/>
        </w:tabs>
        <w:ind w:left="540" w:hanging="540"/>
      </w:pPr>
      <w:r w:rsidRPr="00BC0E7E">
        <w:t>heart problems that can cause shortness of breath or ankle swelling</w:t>
      </w:r>
    </w:p>
    <w:p w14:paraId="3F1FCCA6" w14:textId="77777777" w:rsidR="00BC0E7E" w:rsidRPr="00BC0E7E" w:rsidRDefault="00944B8F" w:rsidP="00D51999">
      <w:pPr>
        <w:numPr>
          <w:ilvl w:val="0"/>
          <w:numId w:val="74"/>
        </w:numPr>
        <w:tabs>
          <w:tab w:val="clear" w:pos="562"/>
          <w:tab w:val="num" w:pos="540"/>
        </w:tabs>
        <w:ind w:left="540" w:hanging="540"/>
      </w:pPr>
      <w:r w:rsidRPr="00BC0E7E">
        <w:t>heart attack</w:t>
      </w:r>
    </w:p>
    <w:p w14:paraId="41FAE2BB" w14:textId="77777777" w:rsidR="00BC0E7E" w:rsidRPr="00BC0E7E" w:rsidRDefault="00944B8F" w:rsidP="00D51999">
      <w:pPr>
        <w:numPr>
          <w:ilvl w:val="0"/>
          <w:numId w:val="74"/>
        </w:numPr>
        <w:tabs>
          <w:tab w:val="clear" w:pos="562"/>
          <w:tab w:val="num" w:pos="540"/>
        </w:tabs>
        <w:ind w:left="540" w:hanging="540"/>
      </w:pPr>
      <w:r w:rsidRPr="00BC0E7E">
        <w:t>a sac in the wall of a major artery, inflammation and clot of a vein, blockage of a blood vessel</w:t>
      </w:r>
    </w:p>
    <w:p w14:paraId="50D90563" w14:textId="77777777" w:rsidR="00BC0E7E" w:rsidRPr="00BC0E7E" w:rsidRDefault="00944B8F" w:rsidP="00D51999">
      <w:pPr>
        <w:numPr>
          <w:ilvl w:val="0"/>
          <w:numId w:val="74"/>
        </w:numPr>
        <w:tabs>
          <w:tab w:val="clear" w:pos="562"/>
          <w:tab w:val="num" w:pos="540"/>
        </w:tabs>
        <w:ind w:left="540" w:hanging="540"/>
      </w:pPr>
      <w:r w:rsidRPr="00BC0E7E">
        <w:t>lung diseases causing shortness of breath (including inflammation)</w:t>
      </w:r>
    </w:p>
    <w:p w14:paraId="30B07E8F" w14:textId="77777777" w:rsidR="00BC0E7E" w:rsidRPr="00BC0E7E" w:rsidRDefault="00944B8F" w:rsidP="00D51999">
      <w:pPr>
        <w:numPr>
          <w:ilvl w:val="0"/>
          <w:numId w:val="74"/>
        </w:numPr>
        <w:tabs>
          <w:tab w:val="clear" w:pos="562"/>
          <w:tab w:val="num" w:pos="540"/>
        </w:tabs>
        <w:ind w:left="540" w:hanging="540"/>
      </w:pPr>
      <w:r w:rsidRPr="00BC0E7E">
        <w:t>pulmonary embolism (blockage in an artery of the lung)</w:t>
      </w:r>
    </w:p>
    <w:p w14:paraId="7DF3F462" w14:textId="77777777" w:rsidR="00BC0E7E" w:rsidRPr="00BC0E7E" w:rsidRDefault="00944B8F" w:rsidP="00D51999">
      <w:pPr>
        <w:numPr>
          <w:ilvl w:val="0"/>
          <w:numId w:val="74"/>
        </w:numPr>
        <w:tabs>
          <w:tab w:val="clear" w:pos="562"/>
          <w:tab w:val="num" w:pos="540"/>
        </w:tabs>
        <w:ind w:left="540" w:hanging="540"/>
      </w:pPr>
      <w:r w:rsidRPr="00BC0E7E">
        <w:t>pleural effusion (abnormal collection of fluid in the pleural space)</w:t>
      </w:r>
    </w:p>
    <w:p w14:paraId="12F35BE6" w14:textId="77777777" w:rsidR="00BC0E7E" w:rsidRPr="00BC0E7E" w:rsidRDefault="00944B8F" w:rsidP="00D51999">
      <w:pPr>
        <w:numPr>
          <w:ilvl w:val="0"/>
          <w:numId w:val="74"/>
        </w:numPr>
        <w:tabs>
          <w:tab w:val="clear" w:pos="562"/>
          <w:tab w:val="num" w:pos="540"/>
        </w:tabs>
        <w:ind w:left="540" w:hanging="540"/>
      </w:pPr>
      <w:r w:rsidRPr="00BC0E7E">
        <w:t>inflammation of the pancreas which causes severe pain in the abdomen and back</w:t>
      </w:r>
    </w:p>
    <w:p w14:paraId="1D19499E" w14:textId="77777777" w:rsidR="00BC0E7E" w:rsidRPr="00BC0E7E" w:rsidRDefault="00944B8F" w:rsidP="00D51999">
      <w:pPr>
        <w:numPr>
          <w:ilvl w:val="0"/>
          <w:numId w:val="74"/>
        </w:numPr>
        <w:tabs>
          <w:tab w:val="clear" w:pos="562"/>
          <w:tab w:val="num" w:pos="540"/>
        </w:tabs>
        <w:ind w:left="540" w:hanging="540"/>
      </w:pPr>
      <w:r w:rsidRPr="00BC0E7E">
        <w:t>difficulty in swallowing</w:t>
      </w:r>
    </w:p>
    <w:p w14:paraId="6E29FBAD" w14:textId="77777777" w:rsidR="00BC0E7E" w:rsidRPr="00BC0E7E" w:rsidRDefault="00944B8F" w:rsidP="00D51999">
      <w:pPr>
        <w:numPr>
          <w:ilvl w:val="0"/>
          <w:numId w:val="74"/>
        </w:numPr>
        <w:tabs>
          <w:tab w:val="clear" w:pos="562"/>
          <w:tab w:val="num" w:pos="540"/>
        </w:tabs>
        <w:ind w:left="540" w:hanging="540"/>
      </w:pPr>
      <w:r w:rsidRPr="00BC0E7E">
        <w:t>facial oedema (swelling of the face)</w:t>
      </w:r>
    </w:p>
    <w:p w14:paraId="5BA90E69" w14:textId="77777777" w:rsidR="00BC0E7E" w:rsidRPr="00BC0E7E" w:rsidRDefault="00944B8F" w:rsidP="00D51999">
      <w:pPr>
        <w:numPr>
          <w:ilvl w:val="0"/>
          <w:numId w:val="74"/>
        </w:numPr>
        <w:tabs>
          <w:tab w:val="clear" w:pos="562"/>
          <w:tab w:val="num" w:pos="540"/>
        </w:tabs>
        <w:ind w:left="540" w:hanging="540"/>
      </w:pPr>
      <w:r w:rsidRPr="00BC0E7E">
        <w:t>gallbladder inflammation, gallbladder stones</w:t>
      </w:r>
    </w:p>
    <w:p w14:paraId="7F9AC801" w14:textId="77777777" w:rsidR="00BC0E7E" w:rsidRPr="00BC0E7E" w:rsidRDefault="00944B8F" w:rsidP="00D51999">
      <w:pPr>
        <w:numPr>
          <w:ilvl w:val="0"/>
          <w:numId w:val="74"/>
        </w:numPr>
        <w:tabs>
          <w:tab w:val="clear" w:pos="562"/>
          <w:tab w:val="num" w:pos="540"/>
        </w:tabs>
        <w:ind w:left="540" w:hanging="540"/>
      </w:pPr>
      <w:r w:rsidRPr="00BC0E7E">
        <w:t>fatty liver</w:t>
      </w:r>
    </w:p>
    <w:p w14:paraId="6FF7C3D9" w14:textId="77777777" w:rsidR="00BC0E7E" w:rsidRPr="00BC0E7E" w:rsidRDefault="00944B8F" w:rsidP="00D51999">
      <w:pPr>
        <w:numPr>
          <w:ilvl w:val="0"/>
          <w:numId w:val="74"/>
        </w:numPr>
        <w:tabs>
          <w:tab w:val="clear" w:pos="562"/>
          <w:tab w:val="num" w:pos="540"/>
        </w:tabs>
        <w:ind w:left="540" w:hanging="540"/>
      </w:pPr>
      <w:r w:rsidRPr="00BC0E7E">
        <w:t>night sweats</w:t>
      </w:r>
    </w:p>
    <w:p w14:paraId="0F2154D8" w14:textId="77777777" w:rsidR="00BC0E7E" w:rsidRPr="00BC0E7E" w:rsidRDefault="00944B8F" w:rsidP="00D51999">
      <w:pPr>
        <w:numPr>
          <w:ilvl w:val="0"/>
          <w:numId w:val="74"/>
        </w:numPr>
        <w:tabs>
          <w:tab w:val="clear" w:pos="562"/>
          <w:tab w:val="num" w:pos="540"/>
        </w:tabs>
        <w:ind w:left="540" w:hanging="540"/>
      </w:pPr>
      <w:r w:rsidRPr="00BC0E7E">
        <w:t>scar</w:t>
      </w:r>
    </w:p>
    <w:p w14:paraId="0CC0A36F" w14:textId="77777777" w:rsidR="00BC0E7E" w:rsidRPr="00BC0E7E" w:rsidRDefault="00944B8F" w:rsidP="00D51999">
      <w:pPr>
        <w:numPr>
          <w:ilvl w:val="0"/>
          <w:numId w:val="74"/>
        </w:numPr>
        <w:tabs>
          <w:tab w:val="clear" w:pos="562"/>
          <w:tab w:val="num" w:pos="540"/>
        </w:tabs>
        <w:ind w:left="540" w:hanging="540"/>
      </w:pPr>
      <w:r w:rsidRPr="00BC0E7E">
        <w:t>abnormal muscle breakdown</w:t>
      </w:r>
    </w:p>
    <w:p w14:paraId="554A9F4E" w14:textId="77777777" w:rsidR="00BC0E7E" w:rsidRPr="00BC0E7E" w:rsidRDefault="00944B8F" w:rsidP="00D51999">
      <w:pPr>
        <w:numPr>
          <w:ilvl w:val="0"/>
          <w:numId w:val="74"/>
        </w:numPr>
        <w:tabs>
          <w:tab w:val="clear" w:pos="562"/>
          <w:tab w:val="num" w:pos="540"/>
        </w:tabs>
        <w:ind w:left="540" w:hanging="540"/>
      </w:pPr>
      <w:r w:rsidRPr="00BC0E7E">
        <w:t>systemic lupus erythematosus (including inflammation of skin, heart, lung, joints and other organ systems)</w:t>
      </w:r>
    </w:p>
    <w:p w14:paraId="2ACE6634" w14:textId="77777777" w:rsidR="00BC0E7E" w:rsidRPr="00BC0E7E" w:rsidRDefault="00944B8F" w:rsidP="00D51999">
      <w:pPr>
        <w:numPr>
          <w:ilvl w:val="0"/>
          <w:numId w:val="74"/>
        </w:numPr>
        <w:tabs>
          <w:tab w:val="clear" w:pos="562"/>
          <w:tab w:val="num" w:pos="540"/>
        </w:tabs>
        <w:ind w:left="540" w:hanging="540"/>
      </w:pPr>
      <w:r w:rsidRPr="00BC0E7E">
        <w:t>sleep interruptions</w:t>
      </w:r>
    </w:p>
    <w:p w14:paraId="4B339DD3" w14:textId="77777777" w:rsidR="00BC0E7E" w:rsidRPr="00BC0E7E" w:rsidRDefault="00944B8F" w:rsidP="00D51999">
      <w:pPr>
        <w:numPr>
          <w:ilvl w:val="0"/>
          <w:numId w:val="74"/>
        </w:numPr>
        <w:tabs>
          <w:tab w:val="clear" w:pos="562"/>
          <w:tab w:val="num" w:pos="540"/>
        </w:tabs>
        <w:ind w:left="540" w:hanging="540"/>
      </w:pPr>
      <w:r w:rsidRPr="00BC0E7E">
        <w:t>impotence</w:t>
      </w:r>
    </w:p>
    <w:p w14:paraId="163A85B1" w14:textId="77777777" w:rsidR="00BC0E7E" w:rsidRPr="00BC0E7E" w:rsidRDefault="00944B8F" w:rsidP="00D51999">
      <w:pPr>
        <w:numPr>
          <w:ilvl w:val="0"/>
          <w:numId w:val="74"/>
        </w:numPr>
        <w:tabs>
          <w:tab w:val="clear" w:pos="562"/>
          <w:tab w:val="num" w:pos="540"/>
        </w:tabs>
        <w:ind w:left="540" w:hanging="540"/>
      </w:pPr>
      <w:r w:rsidRPr="00BC0E7E">
        <w:t>inflammations</w:t>
      </w:r>
    </w:p>
    <w:p w14:paraId="5E278934" w14:textId="77777777" w:rsidR="00BC0E7E" w:rsidRPr="00BC0E7E" w:rsidRDefault="00BC0E7E" w:rsidP="00BC0E7E"/>
    <w:p w14:paraId="2DC768AF" w14:textId="77777777" w:rsidR="00BC0E7E" w:rsidRPr="00BC0E7E" w:rsidRDefault="00944B8F" w:rsidP="00BC0E7E">
      <w:r w:rsidRPr="00BC0E7E">
        <w:rPr>
          <w:b/>
        </w:rPr>
        <w:t>Rare</w:t>
      </w:r>
      <w:r w:rsidRPr="00BC0E7E">
        <w:t xml:space="preserve"> (may affect up to 1 in 1,000 people)</w:t>
      </w:r>
    </w:p>
    <w:p w14:paraId="5607BE6A" w14:textId="77777777" w:rsidR="00BC0E7E" w:rsidRPr="00BC0E7E" w:rsidRDefault="00BC0E7E" w:rsidP="00BC0E7E"/>
    <w:p w14:paraId="0220D53C" w14:textId="77777777" w:rsidR="00BC0E7E" w:rsidRPr="00BC0E7E" w:rsidRDefault="00944B8F" w:rsidP="00BC0E7E">
      <w:pPr>
        <w:numPr>
          <w:ilvl w:val="0"/>
          <w:numId w:val="21"/>
        </w:numPr>
        <w:tabs>
          <w:tab w:val="clear" w:pos="720"/>
        </w:tabs>
        <w:ind w:left="550" w:hanging="550"/>
      </w:pPr>
      <w:r w:rsidRPr="00BC0E7E">
        <w:t>leukaemia (cancer affecting the blood and bone marrow)</w:t>
      </w:r>
    </w:p>
    <w:p w14:paraId="40A1016A" w14:textId="77777777" w:rsidR="00BC0E7E" w:rsidRPr="00BC0E7E" w:rsidRDefault="00944B8F" w:rsidP="00BC0E7E">
      <w:pPr>
        <w:numPr>
          <w:ilvl w:val="0"/>
          <w:numId w:val="21"/>
        </w:numPr>
        <w:tabs>
          <w:tab w:val="clear" w:pos="720"/>
        </w:tabs>
        <w:ind w:left="550" w:hanging="550"/>
      </w:pPr>
      <w:r w:rsidRPr="00BC0E7E">
        <w:t>severe allergic reaction with shock</w:t>
      </w:r>
    </w:p>
    <w:p w14:paraId="7BC01633" w14:textId="77777777" w:rsidR="00BC0E7E" w:rsidRPr="00BC0E7E" w:rsidRDefault="00944B8F" w:rsidP="00BC0E7E">
      <w:pPr>
        <w:numPr>
          <w:ilvl w:val="0"/>
          <w:numId w:val="21"/>
        </w:numPr>
        <w:tabs>
          <w:tab w:val="clear" w:pos="720"/>
        </w:tabs>
        <w:ind w:left="550" w:hanging="550"/>
      </w:pPr>
      <w:r w:rsidRPr="00BC0E7E">
        <w:t>multiple sclerosis</w:t>
      </w:r>
    </w:p>
    <w:p w14:paraId="13209971" w14:textId="77777777" w:rsidR="00BC0E7E" w:rsidRPr="00BC0E7E" w:rsidRDefault="00944B8F" w:rsidP="00BC0E7E">
      <w:pPr>
        <w:numPr>
          <w:ilvl w:val="0"/>
          <w:numId w:val="21"/>
        </w:numPr>
        <w:tabs>
          <w:tab w:val="clear" w:pos="720"/>
        </w:tabs>
        <w:ind w:left="550" w:hanging="550"/>
      </w:pPr>
      <w:r w:rsidRPr="00BC0E7E">
        <w:t>nerve disorders (such as eye nerve inflammation and Guillain-Barré syndrome that may cause muscle weakness, abnormal sensations, tingling in the arms and upper body)</w:t>
      </w:r>
    </w:p>
    <w:p w14:paraId="64AB41B7" w14:textId="77777777" w:rsidR="00BC0E7E" w:rsidRPr="00BC0E7E" w:rsidRDefault="00944B8F" w:rsidP="00D51999">
      <w:pPr>
        <w:numPr>
          <w:ilvl w:val="0"/>
          <w:numId w:val="56"/>
        </w:numPr>
        <w:tabs>
          <w:tab w:val="clear" w:pos="562"/>
          <w:tab w:val="num" w:pos="550"/>
        </w:tabs>
        <w:ind w:left="550" w:hanging="550"/>
        <w:rPr>
          <w:szCs w:val="20"/>
        </w:rPr>
      </w:pPr>
      <w:r w:rsidRPr="00BC0E7E">
        <w:rPr>
          <w:szCs w:val="20"/>
        </w:rPr>
        <w:t>heart stops pumping</w:t>
      </w:r>
    </w:p>
    <w:p w14:paraId="1904F621" w14:textId="77777777" w:rsidR="00BC0E7E" w:rsidRPr="00BC0E7E" w:rsidRDefault="00944B8F" w:rsidP="00D51999">
      <w:pPr>
        <w:numPr>
          <w:ilvl w:val="0"/>
          <w:numId w:val="56"/>
        </w:numPr>
        <w:ind w:left="550" w:hanging="550"/>
        <w:rPr>
          <w:szCs w:val="20"/>
        </w:rPr>
      </w:pPr>
      <w:r w:rsidRPr="00BC0E7E">
        <w:rPr>
          <w:szCs w:val="20"/>
        </w:rPr>
        <w:t>pulmonary fibrosis (scarring of the lung)</w:t>
      </w:r>
    </w:p>
    <w:p w14:paraId="6E6311FF" w14:textId="77777777" w:rsidR="00BC0E7E" w:rsidRPr="00BC0E7E" w:rsidRDefault="00944B8F" w:rsidP="00D51999">
      <w:pPr>
        <w:numPr>
          <w:ilvl w:val="0"/>
          <w:numId w:val="56"/>
        </w:numPr>
        <w:ind w:left="550" w:hanging="550"/>
        <w:rPr>
          <w:szCs w:val="20"/>
        </w:rPr>
      </w:pPr>
      <w:r w:rsidRPr="00BC0E7E">
        <w:rPr>
          <w:szCs w:val="20"/>
        </w:rPr>
        <w:t>intestinal perforation (hole in the intestine)</w:t>
      </w:r>
    </w:p>
    <w:p w14:paraId="69B664D0" w14:textId="77777777" w:rsidR="00BC0E7E" w:rsidRPr="00BC0E7E" w:rsidRDefault="00944B8F" w:rsidP="00D51999">
      <w:pPr>
        <w:numPr>
          <w:ilvl w:val="0"/>
          <w:numId w:val="56"/>
        </w:numPr>
        <w:ind w:left="550" w:hanging="550"/>
        <w:rPr>
          <w:szCs w:val="20"/>
        </w:rPr>
      </w:pPr>
      <w:r w:rsidRPr="00BC0E7E">
        <w:rPr>
          <w:szCs w:val="20"/>
        </w:rPr>
        <w:t>hepatitis</w:t>
      </w:r>
    </w:p>
    <w:p w14:paraId="15465F19" w14:textId="77777777" w:rsidR="00BC0E7E" w:rsidRPr="00BC0E7E" w:rsidRDefault="00944B8F" w:rsidP="00D51999">
      <w:pPr>
        <w:numPr>
          <w:ilvl w:val="0"/>
          <w:numId w:val="56"/>
        </w:numPr>
        <w:ind w:left="550" w:hanging="550"/>
        <w:rPr>
          <w:szCs w:val="20"/>
        </w:rPr>
      </w:pPr>
      <w:r w:rsidRPr="00BC0E7E">
        <w:rPr>
          <w:szCs w:val="20"/>
        </w:rPr>
        <w:t>reactivation of hepatitis B</w:t>
      </w:r>
    </w:p>
    <w:p w14:paraId="47BB0C43" w14:textId="77777777" w:rsidR="00BC0E7E" w:rsidRPr="00BC0E7E" w:rsidRDefault="00944B8F" w:rsidP="00D51999">
      <w:pPr>
        <w:numPr>
          <w:ilvl w:val="0"/>
          <w:numId w:val="56"/>
        </w:numPr>
        <w:ind w:left="550" w:hanging="550"/>
        <w:rPr>
          <w:szCs w:val="20"/>
        </w:rPr>
      </w:pPr>
      <w:r w:rsidRPr="00BC0E7E">
        <w:rPr>
          <w:szCs w:val="20"/>
        </w:rPr>
        <w:t>autoimmune hepatitis (inflammation of the liver caused by the body's own immune system)</w:t>
      </w:r>
    </w:p>
    <w:p w14:paraId="6DD2396F" w14:textId="77777777" w:rsidR="00BC0E7E" w:rsidRPr="00BC0E7E" w:rsidRDefault="00944B8F" w:rsidP="00D51999">
      <w:pPr>
        <w:numPr>
          <w:ilvl w:val="0"/>
          <w:numId w:val="56"/>
        </w:numPr>
        <w:ind w:left="550" w:hanging="550"/>
        <w:rPr>
          <w:szCs w:val="20"/>
        </w:rPr>
      </w:pPr>
      <w:r w:rsidRPr="00BC0E7E">
        <w:rPr>
          <w:szCs w:val="20"/>
        </w:rPr>
        <w:t>cutaneous vasculitis (inflammation of blood vessels in the skin)</w:t>
      </w:r>
    </w:p>
    <w:p w14:paraId="34F24206" w14:textId="77777777" w:rsidR="00BC0E7E" w:rsidRPr="00BC0E7E" w:rsidRDefault="00944B8F" w:rsidP="00D51999">
      <w:pPr>
        <w:numPr>
          <w:ilvl w:val="0"/>
          <w:numId w:val="56"/>
        </w:numPr>
        <w:ind w:left="550" w:hanging="550"/>
        <w:rPr>
          <w:szCs w:val="20"/>
        </w:rPr>
      </w:pPr>
      <w:r w:rsidRPr="00BC0E7E">
        <w:rPr>
          <w:szCs w:val="20"/>
        </w:rPr>
        <w:t>Stevens-Johnson syndrome (early symptoms include malaise, fever, headache and rash)</w:t>
      </w:r>
    </w:p>
    <w:p w14:paraId="4CDBACD5" w14:textId="77777777" w:rsidR="00BC0E7E" w:rsidRPr="00BC0E7E" w:rsidRDefault="00944B8F" w:rsidP="00D51999">
      <w:pPr>
        <w:numPr>
          <w:ilvl w:val="0"/>
          <w:numId w:val="56"/>
        </w:numPr>
        <w:ind w:left="550" w:hanging="550"/>
        <w:rPr>
          <w:szCs w:val="20"/>
        </w:rPr>
      </w:pPr>
      <w:r w:rsidRPr="00BC0E7E">
        <w:rPr>
          <w:szCs w:val="20"/>
        </w:rPr>
        <w:t>facial oedema (swelling of the face) associated with allergic reactions</w:t>
      </w:r>
    </w:p>
    <w:p w14:paraId="22823A40" w14:textId="77777777" w:rsidR="00BC0E7E" w:rsidRPr="00BC0E7E" w:rsidRDefault="00944B8F" w:rsidP="00D51999">
      <w:pPr>
        <w:numPr>
          <w:ilvl w:val="0"/>
          <w:numId w:val="56"/>
        </w:numPr>
        <w:ind w:left="550" w:hanging="550"/>
        <w:rPr>
          <w:szCs w:val="20"/>
        </w:rPr>
      </w:pPr>
      <w:r w:rsidRPr="00BC0E7E">
        <w:rPr>
          <w:szCs w:val="20"/>
        </w:rPr>
        <w:t>erythema multiforme (inflammatory skin rash)</w:t>
      </w:r>
    </w:p>
    <w:p w14:paraId="79017F0A" w14:textId="77777777" w:rsidR="00FA314A" w:rsidRDefault="00944B8F" w:rsidP="00D51999">
      <w:pPr>
        <w:numPr>
          <w:ilvl w:val="0"/>
          <w:numId w:val="56"/>
        </w:numPr>
        <w:ind w:left="550" w:hanging="550"/>
        <w:rPr>
          <w:szCs w:val="20"/>
        </w:rPr>
      </w:pPr>
      <w:r w:rsidRPr="00BC0E7E">
        <w:rPr>
          <w:szCs w:val="20"/>
        </w:rPr>
        <w:t>lupus-like syndrome</w:t>
      </w:r>
    </w:p>
    <w:p w14:paraId="4973A203" w14:textId="77777777" w:rsidR="00FA314A" w:rsidRPr="00C22003" w:rsidRDefault="00944B8F" w:rsidP="00D51999">
      <w:pPr>
        <w:numPr>
          <w:ilvl w:val="0"/>
          <w:numId w:val="56"/>
        </w:numPr>
        <w:ind w:left="550" w:hanging="550"/>
        <w:rPr>
          <w:szCs w:val="20"/>
        </w:rPr>
      </w:pPr>
      <w:r w:rsidRPr="00FA314A">
        <w:t>angioedema (localized swelling of the skin)</w:t>
      </w:r>
    </w:p>
    <w:p w14:paraId="741B1ED5" w14:textId="77777777" w:rsidR="00C22003" w:rsidRPr="00FA314A" w:rsidRDefault="00944B8F" w:rsidP="00D51999">
      <w:pPr>
        <w:numPr>
          <w:ilvl w:val="0"/>
          <w:numId w:val="56"/>
        </w:numPr>
        <w:ind w:left="550" w:hanging="550"/>
        <w:rPr>
          <w:szCs w:val="20"/>
        </w:rPr>
      </w:pPr>
      <w:r>
        <w:t>lichenoid skin reaction (</w:t>
      </w:r>
      <w:r w:rsidRPr="00747944">
        <w:t>it</w:t>
      </w:r>
      <w:r>
        <w:t xml:space="preserve">chy reddish-purple skin </w:t>
      </w:r>
      <w:r w:rsidRPr="00747944">
        <w:t>rash</w:t>
      </w:r>
      <w:r>
        <w:t>)</w:t>
      </w:r>
    </w:p>
    <w:p w14:paraId="4F7AD819" w14:textId="77777777" w:rsidR="00BC0E7E" w:rsidRPr="00BC0E7E" w:rsidRDefault="00BC0E7E" w:rsidP="00BC0E7E">
      <w:pPr>
        <w:tabs>
          <w:tab w:val="clear" w:pos="562"/>
        </w:tabs>
      </w:pPr>
    </w:p>
    <w:p w14:paraId="36C127B3" w14:textId="77777777" w:rsidR="00BC0E7E" w:rsidRPr="00BC0E7E" w:rsidRDefault="00944B8F" w:rsidP="00BC0E7E">
      <w:pPr>
        <w:rPr>
          <w:rFonts w:eastAsia="MS Mincho"/>
          <w:szCs w:val="20"/>
        </w:rPr>
      </w:pPr>
      <w:r w:rsidRPr="00BC0E7E">
        <w:rPr>
          <w:rFonts w:eastAsia="MS Mincho"/>
          <w:b/>
          <w:szCs w:val="20"/>
        </w:rPr>
        <w:t>Not known</w:t>
      </w:r>
      <w:r w:rsidRPr="00BC0E7E">
        <w:rPr>
          <w:rFonts w:eastAsia="MS Mincho"/>
          <w:szCs w:val="20"/>
        </w:rPr>
        <w:t xml:space="preserve"> (frequency cannot be estimated from the available data)</w:t>
      </w:r>
    </w:p>
    <w:p w14:paraId="2B1CD818" w14:textId="77777777" w:rsidR="00BC0E7E" w:rsidRPr="00BC0E7E" w:rsidRDefault="00BC0E7E" w:rsidP="00BC0E7E">
      <w:pPr>
        <w:rPr>
          <w:rFonts w:eastAsia="MS Mincho"/>
          <w:szCs w:val="20"/>
        </w:rPr>
      </w:pPr>
    </w:p>
    <w:p w14:paraId="0C9AD0F0" w14:textId="77777777" w:rsidR="00BC0E7E" w:rsidRPr="00BC0E7E" w:rsidRDefault="00944B8F" w:rsidP="00D51999">
      <w:pPr>
        <w:numPr>
          <w:ilvl w:val="0"/>
          <w:numId w:val="43"/>
        </w:numPr>
        <w:rPr>
          <w:rFonts w:eastAsia="MS Mincho"/>
          <w:szCs w:val="20"/>
        </w:rPr>
      </w:pPr>
      <w:r w:rsidRPr="00BC0E7E">
        <w:rPr>
          <w:rFonts w:eastAsia="MS Mincho"/>
          <w:szCs w:val="20"/>
        </w:rPr>
        <w:t>hepatosplenic T-cell lymphoma (a rare blood cancer that is often fatal)</w:t>
      </w:r>
    </w:p>
    <w:p w14:paraId="2A4E2DDA" w14:textId="77777777" w:rsidR="00BC0E7E" w:rsidRDefault="00944B8F" w:rsidP="00D51999">
      <w:pPr>
        <w:numPr>
          <w:ilvl w:val="0"/>
          <w:numId w:val="43"/>
        </w:numPr>
        <w:rPr>
          <w:rFonts w:eastAsia="MS Mincho"/>
          <w:szCs w:val="20"/>
        </w:rPr>
      </w:pPr>
      <w:r w:rsidRPr="00BC0E7E">
        <w:rPr>
          <w:rFonts w:eastAsia="MS Mincho"/>
          <w:szCs w:val="20"/>
        </w:rPr>
        <w:t>Merkel cell carcinoma (a type of skin cancer)</w:t>
      </w:r>
    </w:p>
    <w:p w14:paraId="1441D38C" w14:textId="77777777" w:rsidR="00137693" w:rsidRPr="00137693" w:rsidRDefault="00944B8F" w:rsidP="00137693">
      <w:pPr>
        <w:numPr>
          <w:ilvl w:val="0"/>
          <w:numId w:val="43"/>
        </w:numPr>
        <w:rPr>
          <w:rFonts w:eastAsia="MS Mincho"/>
          <w:szCs w:val="20"/>
        </w:rPr>
      </w:pPr>
      <w:r>
        <w:rPr>
          <w:rFonts w:eastAsia="MS Mincho"/>
          <w:szCs w:val="20"/>
        </w:rPr>
        <w:t>Kaposi’s sarcoma, a rare cancer related to infection with human herpes virus 8. Kaposi’s sarcoma most commonly appears as purple lesions on the skin</w:t>
      </w:r>
    </w:p>
    <w:p w14:paraId="3C5D630C" w14:textId="77777777" w:rsidR="00BC0E7E" w:rsidRPr="00BC0E7E" w:rsidRDefault="00944B8F" w:rsidP="00D51999">
      <w:pPr>
        <w:numPr>
          <w:ilvl w:val="0"/>
          <w:numId w:val="43"/>
        </w:numPr>
        <w:rPr>
          <w:rFonts w:eastAsia="MS Mincho"/>
          <w:szCs w:val="20"/>
        </w:rPr>
      </w:pPr>
      <w:r w:rsidRPr="00BC0E7E">
        <w:rPr>
          <w:rFonts w:eastAsia="MS Mincho"/>
          <w:szCs w:val="20"/>
        </w:rPr>
        <w:t>liver failure</w:t>
      </w:r>
    </w:p>
    <w:p w14:paraId="65AD9E3F" w14:textId="77777777" w:rsidR="00BC0E7E" w:rsidRDefault="00944B8F" w:rsidP="00EA5EEF">
      <w:pPr>
        <w:numPr>
          <w:ilvl w:val="0"/>
          <w:numId w:val="43"/>
        </w:numPr>
        <w:rPr>
          <w:rFonts w:eastAsia="MS Mincho"/>
          <w:szCs w:val="20"/>
        </w:rPr>
      </w:pPr>
      <w:r w:rsidRPr="00BC0E7E">
        <w:rPr>
          <w:rFonts w:eastAsia="MS Mincho"/>
          <w:szCs w:val="20"/>
        </w:rPr>
        <w:t>worsening of a condition called dermatomyositis (seen as a skin rash accompanying muscle weakness)</w:t>
      </w:r>
    </w:p>
    <w:p w14:paraId="509CBD63" w14:textId="77777777" w:rsidR="0099199E" w:rsidRPr="00BC0E7E" w:rsidRDefault="00944B8F" w:rsidP="00EA5EEF">
      <w:pPr>
        <w:numPr>
          <w:ilvl w:val="0"/>
          <w:numId w:val="43"/>
        </w:numPr>
        <w:rPr>
          <w:rFonts w:eastAsia="MS Mincho"/>
          <w:szCs w:val="20"/>
        </w:rPr>
      </w:pPr>
      <w:r w:rsidRPr="00693052">
        <w:rPr>
          <w:szCs w:val="22"/>
          <w:lang w:val="en-US"/>
        </w:rPr>
        <w:t>weight gain (for most patients, the weight gain was small)</w:t>
      </w:r>
    </w:p>
    <w:p w14:paraId="281A6B63" w14:textId="77777777" w:rsidR="00BC0E7E" w:rsidRPr="00BC0E7E" w:rsidRDefault="00BC0E7E" w:rsidP="00BC0E7E">
      <w:pPr>
        <w:autoSpaceDE w:val="0"/>
        <w:autoSpaceDN w:val="0"/>
        <w:adjustRightInd w:val="0"/>
        <w:spacing w:line="240" w:lineRule="atLeast"/>
        <w:rPr>
          <w:lang w:eastAsia="de-DE"/>
        </w:rPr>
      </w:pPr>
    </w:p>
    <w:p w14:paraId="18968870" w14:textId="77777777" w:rsidR="00BC0E7E" w:rsidRPr="00BC0E7E" w:rsidRDefault="00944B8F" w:rsidP="00BC0E7E">
      <w:pPr>
        <w:autoSpaceDE w:val="0"/>
        <w:autoSpaceDN w:val="0"/>
        <w:adjustRightInd w:val="0"/>
        <w:spacing w:line="240" w:lineRule="atLeast"/>
        <w:rPr>
          <w:lang w:eastAsia="de-DE"/>
        </w:rPr>
      </w:pPr>
      <w:r w:rsidRPr="00BC0E7E">
        <w:rPr>
          <w:lang w:eastAsia="de-DE"/>
        </w:rPr>
        <w:t>Some side effects observed with Humira may not have symptoms and may only be discovered through blood tests. These include:</w:t>
      </w:r>
    </w:p>
    <w:p w14:paraId="61FCF180" w14:textId="77777777" w:rsidR="00BC0E7E" w:rsidRPr="00BC0E7E" w:rsidRDefault="00BC0E7E" w:rsidP="00BC0E7E">
      <w:pPr>
        <w:autoSpaceDE w:val="0"/>
        <w:autoSpaceDN w:val="0"/>
        <w:adjustRightInd w:val="0"/>
        <w:spacing w:line="240" w:lineRule="atLeast"/>
        <w:rPr>
          <w:lang w:eastAsia="de-DE"/>
        </w:rPr>
      </w:pPr>
    </w:p>
    <w:p w14:paraId="3FC999E9" w14:textId="77777777" w:rsidR="00BC0E7E" w:rsidRPr="00BC0E7E" w:rsidRDefault="00944B8F" w:rsidP="00BC0E7E">
      <w:r w:rsidRPr="00BC0E7E">
        <w:rPr>
          <w:b/>
        </w:rPr>
        <w:t>Very common</w:t>
      </w:r>
      <w:r w:rsidRPr="00BC0E7E">
        <w:t xml:space="preserve"> (may affect more than 1 in 10 people)</w:t>
      </w:r>
    </w:p>
    <w:p w14:paraId="34225464" w14:textId="77777777" w:rsidR="00BC0E7E" w:rsidRPr="00BC0E7E" w:rsidRDefault="00BC0E7E" w:rsidP="00BC0E7E"/>
    <w:p w14:paraId="240C4484" w14:textId="77777777" w:rsidR="00BC0E7E" w:rsidRPr="00BC0E7E" w:rsidRDefault="00944B8F" w:rsidP="00BC0E7E">
      <w:pPr>
        <w:numPr>
          <w:ilvl w:val="0"/>
          <w:numId w:val="22"/>
        </w:numPr>
        <w:tabs>
          <w:tab w:val="clear" w:pos="562"/>
          <w:tab w:val="clear" w:pos="720"/>
          <w:tab w:val="num" w:pos="550"/>
        </w:tabs>
        <w:ind w:left="550" w:hanging="550"/>
      </w:pPr>
      <w:r w:rsidRPr="00BC0E7E">
        <w:t>low blood measurements for white blood cells</w:t>
      </w:r>
    </w:p>
    <w:p w14:paraId="05AD3AAC" w14:textId="77777777" w:rsidR="00BC0E7E" w:rsidRPr="00BC0E7E" w:rsidRDefault="00944B8F" w:rsidP="00BC0E7E">
      <w:pPr>
        <w:numPr>
          <w:ilvl w:val="0"/>
          <w:numId w:val="22"/>
        </w:numPr>
        <w:tabs>
          <w:tab w:val="clear" w:pos="562"/>
          <w:tab w:val="clear" w:pos="720"/>
          <w:tab w:val="num" w:pos="550"/>
        </w:tabs>
        <w:ind w:left="550" w:hanging="550"/>
      </w:pPr>
      <w:r w:rsidRPr="00BC0E7E">
        <w:t>low blood measurements for red blood cells</w:t>
      </w:r>
    </w:p>
    <w:p w14:paraId="61B08D3B" w14:textId="77777777" w:rsidR="00BC0E7E" w:rsidRPr="00BC0E7E" w:rsidRDefault="00944B8F" w:rsidP="00BC0E7E">
      <w:pPr>
        <w:numPr>
          <w:ilvl w:val="0"/>
          <w:numId w:val="22"/>
        </w:numPr>
        <w:tabs>
          <w:tab w:val="clear" w:pos="562"/>
          <w:tab w:val="clear" w:pos="720"/>
          <w:tab w:val="num" w:pos="550"/>
        </w:tabs>
        <w:ind w:left="550" w:hanging="550"/>
      </w:pPr>
      <w:r w:rsidRPr="00BC0E7E">
        <w:t>increased lipids in the blood</w:t>
      </w:r>
    </w:p>
    <w:p w14:paraId="4D270BD7" w14:textId="77777777" w:rsidR="00BC0E7E" w:rsidRPr="00BC0E7E" w:rsidRDefault="00944B8F" w:rsidP="00BC0E7E">
      <w:pPr>
        <w:numPr>
          <w:ilvl w:val="0"/>
          <w:numId w:val="22"/>
        </w:numPr>
        <w:tabs>
          <w:tab w:val="clear" w:pos="562"/>
          <w:tab w:val="clear" w:pos="720"/>
          <w:tab w:val="num" w:pos="550"/>
        </w:tabs>
        <w:ind w:left="550" w:hanging="550"/>
      </w:pPr>
      <w:r w:rsidRPr="00BC0E7E">
        <w:t>elevated liver enzymes</w:t>
      </w:r>
    </w:p>
    <w:p w14:paraId="6DFE1729" w14:textId="77777777" w:rsidR="00BC0E7E" w:rsidRPr="00BC0E7E" w:rsidRDefault="00BC0E7E" w:rsidP="00BC0E7E">
      <w:pPr>
        <w:tabs>
          <w:tab w:val="clear" w:pos="562"/>
        </w:tabs>
      </w:pPr>
    </w:p>
    <w:p w14:paraId="47CB7ADA" w14:textId="77777777" w:rsidR="00BC0E7E" w:rsidRPr="00BC0E7E" w:rsidRDefault="00944B8F" w:rsidP="00BC0E7E">
      <w:pPr>
        <w:tabs>
          <w:tab w:val="clear" w:pos="562"/>
        </w:tabs>
      </w:pPr>
      <w:r w:rsidRPr="00BC0E7E">
        <w:rPr>
          <w:b/>
        </w:rPr>
        <w:t>Common</w:t>
      </w:r>
      <w:r w:rsidRPr="00BC0E7E">
        <w:t xml:space="preserve"> (may affect up to 1 in 10 people)</w:t>
      </w:r>
    </w:p>
    <w:p w14:paraId="6434D9E1" w14:textId="77777777" w:rsidR="00BC0E7E" w:rsidRPr="00BC0E7E" w:rsidRDefault="00BC0E7E" w:rsidP="00BC0E7E">
      <w:pPr>
        <w:tabs>
          <w:tab w:val="clear" w:pos="562"/>
        </w:tabs>
      </w:pPr>
    </w:p>
    <w:p w14:paraId="5A978107" w14:textId="77777777" w:rsidR="00BC0E7E" w:rsidRPr="00BC0E7E" w:rsidRDefault="00944B8F" w:rsidP="00BC0E7E">
      <w:pPr>
        <w:numPr>
          <w:ilvl w:val="0"/>
          <w:numId w:val="22"/>
        </w:numPr>
        <w:tabs>
          <w:tab w:val="clear" w:pos="562"/>
          <w:tab w:val="clear" w:pos="720"/>
          <w:tab w:val="num" w:pos="550"/>
        </w:tabs>
        <w:ind w:left="550" w:hanging="550"/>
      </w:pPr>
      <w:r w:rsidRPr="00BC0E7E">
        <w:t>high blood measurements for white blood cells</w:t>
      </w:r>
    </w:p>
    <w:p w14:paraId="013DBFCA" w14:textId="77777777" w:rsidR="00BC0E7E" w:rsidRPr="00BC0E7E" w:rsidRDefault="00944B8F" w:rsidP="00BC0E7E">
      <w:pPr>
        <w:numPr>
          <w:ilvl w:val="0"/>
          <w:numId w:val="22"/>
        </w:numPr>
        <w:tabs>
          <w:tab w:val="clear" w:pos="562"/>
          <w:tab w:val="clear" w:pos="720"/>
          <w:tab w:val="num" w:pos="550"/>
        </w:tabs>
        <w:ind w:left="550" w:hanging="550"/>
      </w:pPr>
      <w:r w:rsidRPr="00BC0E7E">
        <w:t>low blood measurements for platelets</w:t>
      </w:r>
    </w:p>
    <w:p w14:paraId="38F35E7B" w14:textId="77777777" w:rsidR="00BC0E7E" w:rsidRPr="00BC0E7E" w:rsidRDefault="00944B8F" w:rsidP="00BC0E7E">
      <w:pPr>
        <w:numPr>
          <w:ilvl w:val="0"/>
          <w:numId w:val="22"/>
        </w:numPr>
        <w:tabs>
          <w:tab w:val="clear" w:pos="562"/>
          <w:tab w:val="clear" w:pos="720"/>
          <w:tab w:val="num" w:pos="550"/>
        </w:tabs>
        <w:ind w:left="550" w:hanging="550"/>
      </w:pPr>
      <w:r w:rsidRPr="00BC0E7E">
        <w:t>increased uric acid in the blood</w:t>
      </w:r>
    </w:p>
    <w:p w14:paraId="6B7C7411" w14:textId="77777777" w:rsidR="00BC0E7E" w:rsidRPr="00BC0E7E" w:rsidRDefault="00944B8F" w:rsidP="00BC0E7E">
      <w:pPr>
        <w:numPr>
          <w:ilvl w:val="0"/>
          <w:numId w:val="22"/>
        </w:numPr>
        <w:tabs>
          <w:tab w:val="clear" w:pos="562"/>
          <w:tab w:val="clear" w:pos="720"/>
          <w:tab w:val="num" w:pos="550"/>
        </w:tabs>
        <w:ind w:left="550" w:hanging="550"/>
      </w:pPr>
      <w:r w:rsidRPr="00BC0E7E">
        <w:t>abnormal blood measurements for sodium</w:t>
      </w:r>
    </w:p>
    <w:p w14:paraId="207D9E3F" w14:textId="77777777" w:rsidR="00BC0E7E" w:rsidRPr="00BC0E7E" w:rsidRDefault="00944B8F" w:rsidP="00BC0E7E">
      <w:pPr>
        <w:numPr>
          <w:ilvl w:val="0"/>
          <w:numId w:val="22"/>
        </w:numPr>
        <w:tabs>
          <w:tab w:val="clear" w:pos="562"/>
          <w:tab w:val="clear" w:pos="720"/>
          <w:tab w:val="num" w:pos="550"/>
        </w:tabs>
        <w:ind w:left="550" w:hanging="550"/>
      </w:pPr>
      <w:r w:rsidRPr="00BC0E7E">
        <w:t>low blood measurements for calcium</w:t>
      </w:r>
    </w:p>
    <w:p w14:paraId="0E2CAA49" w14:textId="77777777" w:rsidR="00BC0E7E" w:rsidRPr="00BC0E7E" w:rsidRDefault="00944B8F" w:rsidP="00BC0E7E">
      <w:pPr>
        <w:numPr>
          <w:ilvl w:val="0"/>
          <w:numId w:val="22"/>
        </w:numPr>
        <w:tabs>
          <w:tab w:val="clear" w:pos="562"/>
          <w:tab w:val="clear" w:pos="720"/>
          <w:tab w:val="num" w:pos="550"/>
        </w:tabs>
        <w:ind w:left="550" w:hanging="550"/>
      </w:pPr>
      <w:r w:rsidRPr="00BC0E7E">
        <w:t>low blood measurements for phosphate</w:t>
      </w:r>
    </w:p>
    <w:p w14:paraId="628D6C5D" w14:textId="77777777" w:rsidR="00BC0E7E" w:rsidRPr="00BC0E7E" w:rsidRDefault="00944B8F" w:rsidP="00BC0E7E">
      <w:pPr>
        <w:numPr>
          <w:ilvl w:val="0"/>
          <w:numId w:val="22"/>
        </w:numPr>
        <w:tabs>
          <w:tab w:val="clear" w:pos="562"/>
          <w:tab w:val="clear" w:pos="720"/>
          <w:tab w:val="num" w:pos="550"/>
        </w:tabs>
        <w:ind w:left="550" w:hanging="550"/>
      </w:pPr>
      <w:r w:rsidRPr="00BC0E7E">
        <w:t>high blood sugar</w:t>
      </w:r>
    </w:p>
    <w:p w14:paraId="66830E50" w14:textId="77777777" w:rsidR="00BC0E7E" w:rsidRPr="00BC0E7E" w:rsidRDefault="00944B8F" w:rsidP="00BC0E7E">
      <w:pPr>
        <w:numPr>
          <w:ilvl w:val="0"/>
          <w:numId w:val="22"/>
        </w:numPr>
        <w:tabs>
          <w:tab w:val="clear" w:pos="562"/>
          <w:tab w:val="clear" w:pos="720"/>
          <w:tab w:val="num" w:pos="550"/>
        </w:tabs>
        <w:ind w:left="550" w:hanging="550"/>
      </w:pPr>
      <w:r w:rsidRPr="00BC0E7E">
        <w:t>high blood measurements for lactate dehydrogenase</w:t>
      </w:r>
    </w:p>
    <w:p w14:paraId="4CC90DCB" w14:textId="77777777" w:rsidR="00F70A8D" w:rsidRDefault="00944B8F" w:rsidP="000244DF">
      <w:pPr>
        <w:numPr>
          <w:ilvl w:val="0"/>
          <w:numId w:val="22"/>
        </w:numPr>
        <w:tabs>
          <w:tab w:val="clear" w:pos="562"/>
          <w:tab w:val="clear" w:pos="720"/>
          <w:tab w:val="num" w:pos="550"/>
        </w:tabs>
        <w:ind w:left="550" w:hanging="550"/>
      </w:pPr>
      <w:r w:rsidRPr="00BC0E7E">
        <w:t>autoantibodies present in the blood</w:t>
      </w:r>
    </w:p>
    <w:p w14:paraId="582312D1" w14:textId="77777777" w:rsidR="00F70A8D" w:rsidRPr="00F70A8D" w:rsidRDefault="00944B8F" w:rsidP="000244DF">
      <w:pPr>
        <w:numPr>
          <w:ilvl w:val="0"/>
          <w:numId w:val="22"/>
        </w:numPr>
        <w:tabs>
          <w:tab w:val="clear" w:pos="562"/>
          <w:tab w:val="clear" w:pos="720"/>
          <w:tab w:val="num" w:pos="550"/>
        </w:tabs>
        <w:ind w:left="550" w:hanging="550"/>
      </w:pPr>
      <w:r>
        <w:t>low blood potassium</w:t>
      </w:r>
    </w:p>
    <w:p w14:paraId="5495AF3F" w14:textId="77777777" w:rsidR="00F70A8D" w:rsidRDefault="00F70A8D" w:rsidP="00F70A8D">
      <w:pPr>
        <w:tabs>
          <w:tab w:val="clear" w:pos="562"/>
          <w:tab w:val="left" w:pos="720"/>
        </w:tabs>
      </w:pPr>
    </w:p>
    <w:p w14:paraId="0D70DD21" w14:textId="77777777" w:rsidR="00F70A8D" w:rsidRDefault="00944B8F" w:rsidP="00F70A8D">
      <w:r>
        <w:rPr>
          <w:b/>
        </w:rPr>
        <w:t>Uncommon</w:t>
      </w:r>
      <w:r>
        <w:t xml:space="preserve"> (may affect up to 1 in 100 people) </w:t>
      </w:r>
    </w:p>
    <w:p w14:paraId="3DDFFB47" w14:textId="77777777" w:rsidR="00F70A8D" w:rsidRDefault="00F70A8D" w:rsidP="00F70A8D"/>
    <w:p w14:paraId="54B7A6C9" w14:textId="77777777" w:rsidR="00F70A8D" w:rsidRPr="00F70A8D" w:rsidRDefault="00944B8F" w:rsidP="000244DF">
      <w:pPr>
        <w:pStyle w:val="ListParagraph"/>
        <w:numPr>
          <w:ilvl w:val="0"/>
          <w:numId w:val="22"/>
        </w:numPr>
        <w:ind w:hanging="720"/>
      </w:pPr>
      <w:r>
        <w:t>e</w:t>
      </w:r>
      <w:r w:rsidRPr="00D410D7">
        <w:t>levated bilirubin measurement (liver blood test)</w:t>
      </w:r>
    </w:p>
    <w:p w14:paraId="24865E9D" w14:textId="77777777" w:rsidR="00BC0E7E" w:rsidRPr="00BC0E7E" w:rsidRDefault="00BC0E7E" w:rsidP="00BC0E7E">
      <w:pPr>
        <w:tabs>
          <w:tab w:val="clear" w:pos="562"/>
        </w:tabs>
      </w:pPr>
    </w:p>
    <w:p w14:paraId="51E86E99" w14:textId="77777777" w:rsidR="00BC0E7E" w:rsidRPr="00BC0E7E" w:rsidRDefault="00944B8F" w:rsidP="00BC0E7E">
      <w:pPr>
        <w:tabs>
          <w:tab w:val="clear" w:pos="562"/>
          <w:tab w:val="num" w:pos="550"/>
        </w:tabs>
        <w:ind w:left="547" w:hanging="547"/>
      </w:pPr>
      <w:r w:rsidRPr="00BC0E7E">
        <w:rPr>
          <w:b/>
        </w:rPr>
        <w:t>Rare</w:t>
      </w:r>
      <w:r w:rsidRPr="00BC0E7E">
        <w:t xml:space="preserve"> (may affect up to 1 in 1,000 people)</w:t>
      </w:r>
    </w:p>
    <w:p w14:paraId="5CE7BAF2" w14:textId="77777777" w:rsidR="00BC0E7E" w:rsidRPr="00BC0E7E" w:rsidRDefault="00BC0E7E" w:rsidP="00BC0E7E">
      <w:pPr>
        <w:tabs>
          <w:tab w:val="clear" w:pos="562"/>
          <w:tab w:val="num" w:pos="550"/>
        </w:tabs>
        <w:ind w:left="547" w:hanging="547"/>
      </w:pPr>
    </w:p>
    <w:p w14:paraId="40FBCE2D" w14:textId="77777777" w:rsidR="00BC0E7E" w:rsidRPr="00BC0E7E" w:rsidRDefault="00944B8F" w:rsidP="00BC0E7E">
      <w:pPr>
        <w:numPr>
          <w:ilvl w:val="0"/>
          <w:numId w:val="22"/>
        </w:numPr>
        <w:tabs>
          <w:tab w:val="clear" w:pos="562"/>
          <w:tab w:val="clear" w:pos="720"/>
          <w:tab w:val="num" w:pos="550"/>
        </w:tabs>
        <w:ind w:left="550" w:hanging="550"/>
      </w:pPr>
      <w:r w:rsidRPr="00BC0E7E">
        <w:t>low blood measurements for white blood cells, red blood cells and platelet count</w:t>
      </w:r>
    </w:p>
    <w:p w14:paraId="17215C48" w14:textId="77777777" w:rsidR="00BC0E7E" w:rsidRPr="00BC0E7E" w:rsidRDefault="00BC0E7E" w:rsidP="00BC0E7E">
      <w:pPr>
        <w:tabs>
          <w:tab w:val="clear" w:pos="562"/>
        </w:tabs>
        <w:suppressAutoHyphens w:val="0"/>
        <w:autoSpaceDE w:val="0"/>
        <w:autoSpaceDN w:val="0"/>
        <w:adjustRightInd w:val="0"/>
        <w:spacing w:line="240" w:lineRule="atLeast"/>
        <w:rPr>
          <w:lang w:eastAsia="de-DE"/>
        </w:rPr>
      </w:pPr>
    </w:p>
    <w:p w14:paraId="75DDF804" w14:textId="77777777" w:rsidR="00BC0E7E" w:rsidRPr="00BC0E7E" w:rsidRDefault="00944B8F" w:rsidP="00BC0E7E">
      <w:pPr>
        <w:keepNext/>
        <w:numPr>
          <w:ilvl w:val="12"/>
          <w:numId w:val="0"/>
        </w:numPr>
        <w:tabs>
          <w:tab w:val="clear" w:pos="562"/>
        </w:tabs>
        <w:ind w:right="-2"/>
        <w:rPr>
          <w:b/>
        </w:rPr>
      </w:pPr>
      <w:r w:rsidRPr="00BC0E7E">
        <w:rPr>
          <w:b/>
        </w:rPr>
        <w:t>Reporting of side effects</w:t>
      </w:r>
    </w:p>
    <w:p w14:paraId="5F80A4B1" w14:textId="77777777" w:rsidR="00BC0E7E" w:rsidRPr="00BC0E7E" w:rsidRDefault="00944B8F" w:rsidP="00BC0E7E">
      <w:r w:rsidRPr="00BC0E7E">
        <w:rPr>
          <w:szCs w:val="22"/>
          <w:lang w:eastAsia="en-GB"/>
        </w:rPr>
        <w:t>If you get any side effects, talk to your doctor or pharmacist. This includes any possible side effects not listed in this leaflet.</w:t>
      </w:r>
      <w:r w:rsidRPr="00BC0E7E">
        <w:t xml:space="preserve"> You can also report side effects directly via </w:t>
      </w:r>
      <w:r w:rsidRPr="00BC0E7E">
        <w:rPr>
          <w:highlight w:val="lightGray"/>
        </w:rPr>
        <w:t xml:space="preserve">the national reporting system listed in </w:t>
      </w:r>
      <w:hyperlink r:id="rId71" w:history="1">
        <w:hyperlink r:id="rId72" w:history="1">
          <w:r w:rsidR="00BC0E7E" w:rsidRPr="00BC0E7E">
            <w:rPr>
              <w:color w:val="0000FF"/>
              <w:szCs w:val="22"/>
              <w:highlight w:val="lightGray"/>
              <w:u w:val="single"/>
            </w:rPr>
            <w:t>Appendix V</w:t>
          </w:r>
        </w:hyperlink>
      </w:hyperlink>
      <w:r w:rsidRPr="00BC0E7E">
        <w:rPr>
          <w:highlight w:val="lightGray"/>
        </w:rPr>
        <w:t>.</w:t>
      </w:r>
      <w:r w:rsidRPr="00BC0E7E">
        <w:t xml:space="preserve">  By reporting side effects, you can help provide more information </w:t>
      </w:r>
      <w:r w:rsidR="001C5296">
        <w:t>on the safety of this medicine.</w:t>
      </w:r>
    </w:p>
    <w:p w14:paraId="653B0239" w14:textId="77777777" w:rsidR="00BC0E7E" w:rsidRPr="00BC0E7E" w:rsidRDefault="00BC0E7E" w:rsidP="00BC0E7E"/>
    <w:p w14:paraId="23D14270" w14:textId="77777777" w:rsidR="00BC0E7E" w:rsidRPr="00BC0E7E" w:rsidRDefault="00BC0E7E" w:rsidP="00BC0E7E"/>
    <w:p w14:paraId="2DEE9496" w14:textId="77777777" w:rsidR="00BC0E7E" w:rsidRPr="00BC0E7E" w:rsidRDefault="00944B8F" w:rsidP="00BC0E7E">
      <w:pPr>
        <w:outlineLvl w:val="0"/>
        <w:rPr>
          <w:rFonts w:ascii="Times New Roman Bold" w:hAnsi="Times New Roman Bold"/>
          <w:b/>
          <w:szCs w:val="20"/>
        </w:rPr>
      </w:pPr>
      <w:r w:rsidRPr="00BC0E7E">
        <w:rPr>
          <w:b/>
          <w:caps/>
          <w:szCs w:val="20"/>
        </w:rPr>
        <w:t>5.</w:t>
      </w:r>
      <w:r w:rsidRPr="00BC0E7E">
        <w:rPr>
          <w:b/>
          <w:caps/>
          <w:szCs w:val="20"/>
        </w:rPr>
        <w:tab/>
        <w:t>H</w:t>
      </w:r>
      <w:r w:rsidRPr="00BC0E7E">
        <w:rPr>
          <w:rFonts w:ascii="Times New Roman Bold" w:hAnsi="Times New Roman Bold"/>
          <w:b/>
          <w:szCs w:val="20"/>
        </w:rPr>
        <w:t>ow to store Humira</w:t>
      </w:r>
    </w:p>
    <w:p w14:paraId="34C7066D" w14:textId="77777777" w:rsidR="00BC0E7E" w:rsidRPr="00BC0E7E" w:rsidRDefault="00BC0E7E" w:rsidP="00BC0E7E">
      <w:pPr>
        <w:rPr>
          <w:szCs w:val="20"/>
        </w:rPr>
      </w:pPr>
    </w:p>
    <w:p w14:paraId="524E4575" w14:textId="77777777" w:rsidR="00BC0E7E" w:rsidRPr="00BC0E7E" w:rsidRDefault="00944B8F" w:rsidP="00BC0E7E">
      <w:pPr>
        <w:numPr>
          <w:ilvl w:val="12"/>
          <w:numId w:val="0"/>
        </w:numPr>
        <w:tabs>
          <w:tab w:val="clear" w:pos="562"/>
        </w:tabs>
        <w:ind w:right="-2"/>
      </w:pPr>
      <w:r w:rsidRPr="00BC0E7E">
        <w:t xml:space="preserve">Keep this medicine out of the sight and reach of children. </w:t>
      </w:r>
    </w:p>
    <w:p w14:paraId="1FCB8CBF" w14:textId="77777777" w:rsidR="00BC0E7E" w:rsidRPr="00BC0E7E" w:rsidRDefault="00BC0E7E" w:rsidP="00BC0E7E">
      <w:pPr>
        <w:numPr>
          <w:ilvl w:val="12"/>
          <w:numId w:val="0"/>
        </w:numPr>
        <w:tabs>
          <w:tab w:val="clear" w:pos="562"/>
        </w:tabs>
        <w:ind w:right="-2"/>
      </w:pPr>
    </w:p>
    <w:p w14:paraId="5EE33CCC" w14:textId="77777777" w:rsidR="00BC0E7E" w:rsidRPr="00BC0E7E" w:rsidRDefault="00944B8F" w:rsidP="00BC0E7E">
      <w:pPr>
        <w:numPr>
          <w:ilvl w:val="12"/>
          <w:numId w:val="0"/>
        </w:numPr>
        <w:tabs>
          <w:tab w:val="clear" w:pos="562"/>
        </w:tabs>
        <w:ind w:right="-2"/>
      </w:pPr>
      <w:r w:rsidRPr="00BC0E7E">
        <w:t xml:space="preserve">Do not use this medicine after the expiry date stated on the label/blister/carton after EXP. </w:t>
      </w:r>
    </w:p>
    <w:p w14:paraId="4EA04DE7" w14:textId="77777777" w:rsidR="00BC0E7E" w:rsidRPr="00BC0E7E" w:rsidRDefault="00BC0E7E" w:rsidP="00BC0E7E">
      <w:pPr>
        <w:numPr>
          <w:ilvl w:val="12"/>
          <w:numId w:val="0"/>
        </w:numPr>
        <w:ind w:right="-2"/>
      </w:pPr>
    </w:p>
    <w:p w14:paraId="76D9710E" w14:textId="77777777" w:rsidR="00BC0E7E" w:rsidRPr="00BC0E7E" w:rsidRDefault="00944B8F" w:rsidP="00BC0E7E">
      <w:pPr>
        <w:numPr>
          <w:ilvl w:val="12"/>
          <w:numId w:val="0"/>
        </w:numPr>
        <w:ind w:right="-2"/>
      </w:pPr>
      <w:r w:rsidRPr="00BC0E7E">
        <w:t>Store in a refrigerator (2</w:t>
      </w:r>
      <w:r w:rsidRPr="00BC0E7E">
        <w:rPr>
          <w:rFonts w:ascii="Symbol" w:eastAsia="Symbol" w:hAnsi="Symbol" w:cs="Symbol"/>
          <w:szCs w:val="22"/>
        </w:rPr>
        <w:sym w:font="Symbol" w:char="F0B0"/>
      </w:r>
      <w:r w:rsidRPr="00BC0E7E">
        <w:t>C – 8</w:t>
      </w:r>
      <w:r w:rsidRPr="00BC0E7E">
        <w:rPr>
          <w:rFonts w:ascii="Symbol" w:eastAsia="Symbol" w:hAnsi="Symbol" w:cs="Symbol"/>
          <w:szCs w:val="22"/>
        </w:rPr>
        <w:sym w:font="Symbol" w:char="F0B0"/>
      </w:r>
      <w:r w:rsidRPr="00BC0E7E">
        <w:t xml:space="preserve">C). Do not freeze. </w:t>
      </w:r>
    </w:p>
    <w:p w14:paraId="0ED313A2" w14:textId="77777777" w:rsidR="00BC0E7E" w:rsidRPr="00BC0E7E" w:rsidRDefault="00BC0E7E" w:rsidP="00BC0E7E">
      <w:pPr>
        <w:numPr>
          <w:ilvl w:val="12"/>
          <w:numId w:val="0"/>
        </w:numPr>
        <w:ind w:right="-2"/>
      </w:pPr>
    </w:p>
    <w:p w14:paraId="52A4F6E8" w14:textId="77777777" w:rsidR="00BC0E7E" w:rsidRPr="00BC0E7E" w:rsidRDefault="00944B8F" w:rsidP="00BC0E7E">
      <w:pPr>
        <w:numPr>
          <w:ilvl w:val="12"/>
          <w:numId w:val="0"/>
        </w:numPr>
        <w:tabs>
          <w:tab w:val="clear" w:pos="562"/>
        </w:tabs>
        <w:ind w:right="-2"/>
      </w:pPr>
      <w:r w:rsidRPr="00BC0E7E">
        <w:t xml:space="preserve">Keep the pre-filled pen in the outer carton in order to protect from light.  </w:t>
      </w:r>
    </w:p>
    <w:p w14:paraId="1DA0FFF2" w14:textId="77777777" w:rsidR="00BC0E7E" w:rsidRPr="00BC0E7E" w:rsidRDefault="00BC0E7E" w:rsidP="00BC0E7E">
      <w:pPr>
        <w:numPr>
          <w:ilvl w:val="12"/>
          <w:numId w:val="0"/>
        </w:numPr>
        <w:tabs>
          <w:tab w:val="clear" w:pos="562"/>
        </w:tabs>
        <w:ind w:right="-2"/>
      </w:pPr>
    </w:p>
    <w:p w14:paraId="44879C57" w14:textId="77777777" w:rsidR="00BC0E7E" w:rsidRPr="00BC0E7E" w:rsidRDefault="00944B8F" w:rsidP="00BC0E7E">
      <w:pPr>
        <w:tabs>
          <w:tab w:val="clear" w:pos="562"/>
        </w:tabs>
        <w:suppressAutoHyphens w:val="0"/>
        <w:autoSpaceDE w:val="0"/>
        <w:autoSpaceDN w:val="0"/>
        <w:adjustRightInd w:val="0"/>
        <w:rPr>
          <w:szCs w:val="22"/>
          <w:lang w:eastAsia="en-GB"/>
        </w:rPr>
      </w:pPr>
      <w:r w:rsidRPr="00BC0E7E">
        <w:rPr>
          <w:szCs w:val="22"/>
          <w:lang w:eastAsia="en-GB"/>
        </w:rPr>
        <w:t>Alternative Storage:</w:t>
      </w:r>
    </w:p>
    <w:p w14:paraId="21857CA4" w14:textId="77777777" w:rsidR="00BC0E7E" w:rsidRPr="00BC0E7E" w:rsidRDefault="00BC0E7E" w:rsidP="00BC0E7E">
      <w:pPr>
        <w:tabs>
          <w:tab w:val="clear" w:pos="562"/>
        </w:tabs>
        <w:suppressAutoHyphens w:val="0"/>
        <w:autoSpaceDE w:val="0"/>
        <w:autoSpaceDN w:val="0"/>
        <w:adjustRightInd w:val="0"/>
        <w:rPr>
          <w:szCs w:val="22"/>
          <w:lang w:eastAsia="en-GB"/>
        </w:rPr>
      </w:pPr>
    </w:p>
    <w:p w14:paraId="190B5A8D" w14:textId="77777777" w:rsidR="00BC0E7E" w:rsidRPr="00BC0E7E" w:rsidRDefault="00944B8F" w:rsidP="00BC0E7E">
      <w:pPr>
        <w:tabs>
          <w:tab w:val="clear" w:pos="562"/>
        </w:tabs>
        <w:suppressAutoHyphens w:val="0"/>
        <w:autoSpaceDE w:val="0"/>
        <w:autoSpaceDN w:val="0"/>
        <w:adjustRightInd w:val="0"/>
        <w:rPr>
          <w:szCs w:val="22"/>
          <w:lang w:eastAsia="en-GB"/>
        </w:rPr>
      </w:pPr>
      <w:r w:rsidRPr="00BC0E7E">
        <w:rPr>
          <w:szCs w:val="22"/>
          <w:lang w:eastAsia="en-GB"/>
        </w:rPr>
        <w:t xml:space="preserve">When needed (for example, when you are travelling), a single Humira pre-filled pen may be stored at room temperature (up to 25°C) for a maximum period of 14 days – be sure to protect it from light. Once removed from the refrigerator for room temperature storage, the pen </w:t>
      </w:r>
      <w:r w:rsidRPr="00BC0E7E">
        <w:rPr>
          <w:b/>
          <w:szCs w:val="22"/>
          <w:lang w:eastAsia="en-GB"/>
        </w:rPr>
        <w:t>must be used within 14 days</w:t>
      </w:r>
      <w:r w:rsidRPr="00BC0E7E">
        <w:rPr>
          <w:szCs w:val="22"/>
          <w:lang w:eastAsia="en-GB"/>
        </w:rPr>
        <w:t xml:space="preserve"> </w:t>
      </w:r>
      <w:r w:rsidRPr="00BC0E7E">
        <w:rPr>
          <w:b/>
          <w:bCs/>
          <w:szCs w:val="22"/>
          <w:lang w:eastAsia="en-GB"/>
        </w:rPr>
        <w:t>or discarded</w:t>
      </w:r>
      <w:r w:rsidRPr="00BC0E7E">
        <w:rPr>
          <w:bCs/>
          <w:szCs w:val="22"/>
          <w:lang w:eastAsia="en-GB"/>
        </w:rPr>
        <w:t>, even if it is returned to the refrigerator</w:t>
      </w:r>
      <w:r w:rsidRPr="00BC0E7E">
        <w:rPr>
          <w:szCs w:val="22"/>
          <w:lang w:eastAsia="en-GB"/>
        </w:rPr>
        <w:t xml:space="preserve">.  </w:t>
      </w:r>
    </w:p>
    <w:p w14:paraId="639D84D3" w14:textId="77777777" w:rsidR="00BC0E7E" w:rsidRPr="00BC0E7E" w:rsidRDefault="00BC0E7E" w:rsidP="00BC0E7E">
      <w:pPr>
        <w:tabs>
          <w:tab w:val="clear" w:pos="562"/>
        </w:tabs>
        <w:suppressAutoHyphens w:val="0"/>
        <w:autoSpaceDE w:val="0"/>
        <w:autoSpaceDN w:val="0"/>
        <w:adjustRightInd w:val="0"/>
        <w:rPr>
          <w:szCs w:val="22"/>
          <w:lang w:eastAsia="en-GB"/>
        </w:rPr>
      </w:pPr>
    </w:p>
    <w:p w14:paraId="2CFD75EF" w14:textId="77777777" w:rsidR="00BC0E7E" w:rsidRPr="00BC0E7E" w:rsidRDefault="00944B8F" w:rsidP="00BC0E7E">
      <w:pPr>
        <w:tabs>
          <w:tab w:val="clear" w:pos="562"/>
        </w:tabs>
        <w:suppressAutoHyphens w:val="0"/>
        <w:autoSpaceDE w:val="0"/>
        <w:autoSpaceDN w:val="0"/>
        <w:adjustRightInd w:val="0"/>
        <w:rPr>
          <w:szCs w:val="22"/>
          <w:lang w:eastAsia="en-GB"/>
        </w:rPr>
      </w:pPr>
      <w:r w:rsidRPr="00BC0E7E">
        <w:rPr>
          <w:szCs w:val="22"/>
          <w:lang w:eastAsia="en-GB"/>
        </w:rPr>
        <w:t>You should record the date when the pen is first removed from refrigerator and the date after which it should be discarded.</w:t>
      </w:r>
    </w:p>
    <w:p w14:paraId="12A21F27" w14:textId="77777777" w:rsidR="00BC0E7E" w:rsidRPr="00BC0E7E" w:rsidRDefault="00BC0E7E" w:rsidP="00BC0E7E">
      <w:pPr>
        <w:tabs>
          <w:tab w:val="clear" w:pos="562"/>
        </w:tabs>
        <w:suppressAutoHyphens w:val="0"/>
        <w:autoSpaceDE w:val="0"/>
        <w:autoSpaceDN w:val="0"/>
        <w:adjustRightInd w:val="0"/>
      </w:pPr>
    </w:p>
    <w:p w14:paraId="7091E006" w14:textId="77777777" w:rsidR="00BC0E7E" w:rsidRPr="00BC0E7E" w:rsidRDefault="00944B8F" w:rsidP="00BC0E7E">
      <w:pPr>
        <w:numPr>
          <w:ilvl w:val="12"/>
          <w:numId w:val="0"/>
        </w:numPr>
        <w:ind w:right="-2"/>
        <w:rPr>
          <w:b/>
          <w:caps/>
        </w:rPr>
      </w:pPr>
      <w:r w:rsidRPr="00BC0E7E">
        <w:rPr>
          <w:szCs w:val="22"/>
        </w:rPr>
        <w:t>Do not throw away any medicines via wastewater or household waste. Ask your doctor or pharmacist how to throw away medicines you no longer use. These measures will help protect the environment.</w:t>
      </w:r>
    </w:p>
    <w:p w14:paraId="274C439D" w14:textId="77777777" w:rsidR="00BC0E7E" w:rsidRPr="00BC0E7E" w:rsidRDefault="00BC0E7E" w:rsidP="00BC0E7E">
      <w:pPr>
        <w:rPr>
          <w:szCs w:val="20"/>
        </w:rPr>
      </w:pPr>
    </w:p>
    <w:p w14:paraId="33CA9436" w14:textId="77777777" w:rsidR="00BC0E7E" w:rsidRPr="00BC0E7E" w:rsidRDefault="00BC0E7E" w:rsidP="00BC0E7E">
      <w:pPr>
        <w:rPr>
          <w:szCs w:val="20"/>
        </w:rPr>
      </w:pPr>
    </w:p>
    <w:p w14:paraId="7DA49B9A" w14:textId="77777777" w:rsidR="00BC0E7E" w:rsidRPr="00BC0E7E" w:rsidRDefault="00944B8F" w:rsidP="00BC0E7E">
      <w:pPr>
        <w:outlineLvl w:val="0"/>
        <w:rPr>
          <w:rFonts w:ascii="Times New Roman Bold" w:hAnsi="Times New Roman Bold"/>
          <w:b/>
          <w:szCs w:val="20"/>
        </w:rPr>
      </w:pPr>
      <w:r w:rsidRPr="00BC0E7E">
        <w:rPr>
          <w:b/>
          <w:caps/>
          <w:szCs w:val="20"/>
        </w:rPr>
        <w:t>6.</w:t>
      </w:r>
      <w:r w:rsidRPr="00BC0E7E">
        <w:rPr>
          <w:b/>
          <w:caps/>
          <w:szCs w:val="20"/>
        </w:rPr>
        <w:tab/>
      </w:r>
      <w:r w:rsidRPr="00BC0E7E">
        <w:rPr>
          <w:rFonts w:ascii="Times New Roman Bold" w:hAnsi="Times New Roman Bold"/>
          <w:b/>
          <w:szCs w:val="20"/>
        </w:rPr>
        <w:t>Contents of the pack and other information</w:t>
      </w:r>
    </w:p>
    <w:p w14:paraId="2EF267CB" w14:textId="77777777" w:rsidR="00BC0E7E" w:rsidRPr="00BC0E7E" w:rsidRDefault="00BC0E7E" w:rsidP="00BC0E7E"/>
    <w:p w14:paraId="2484B289" w14:textId="77777777" w:rsidR="00BC0E7E" w:rsidRPr="00BC0E7E" w:rsidRDefault="00944B8F" w:rsidP="00BC0E7E">
      <w:pPr>
        <w:keepNext/>
        <w:numPr>
          <w:ilvl w:val="12"/>
          <w:numId w:val="0"/>
        </w:numPr>
        <w:tabs>
          <w:tab w:val="clear" w:pos="562"/>
        </w:tabs>
        <w:ind w:right="-2"/>
        <w:rPr>
          <w:szCs w:val="22"/>
        </w:rPr>
      </w:pPr>
      <w:r w:rsidRPr="00BC0E7E">
        <w:rPr>
          <w:b/>
        </w:rPr>
        <w:t>What Humira contains</w:t>
      </w:r>
    </w:p>
    <w:p w14:paraId="11C1F8CE" w14:textId="77777777" w:rsidR="00BC0E7E" w:rsidRPr="00BC0E7E" w:rsidRDefault="00BC0E7E" w:rsidP="00BC0E7E">
      <w:pPr>
        <w:rPr>
          <w:szCs w:val="22"/>
        </w:rPr>
      </w:pPr>
    </w:p>
    <w:p w14:paraId="5972B1CE" w14:textId="77777777" w:rsidR="00BC0E7E" w:rsidRPr="00BC0E7E" w:rsidRDefault="00944B8F" w:rsidP="00BC0E7E">
      <w:pPr>
        <w:numPr>
          <w:ilvl w:val="12"/>
          <w:numId w:val="0"/>
        </w:numPr>
        <w:ind w:right="-2"/>
        <w:rPr>
          <w:szCs w:val="22"/>
        </w:rPr>
      </w:pPr>
      <w:r w:rsidRPr="00BC0E7E">
        <w:rPr>
          <w:szCs w:val="22"/>
        </w:rPr>
        <w:t>The active substance is adalimumab.</w:t>
      </w:r>
    </w:p>
    <w:p w14:paraId="201C03CE" w14:textId="77777777" w:rsidR="00BC0E7E" w:rsidRPr="00BC0E7E" w:rsidRDefault="00944B8F" w:rsidP="00BC0E7E">
      <w:pPr>
        <w:numPr>
          <w:ilvl w:val="12"/>
          <w:numId w:val="0"/>
        </w:numPr>
        <w:ind w:right="-2"/>
        <w:rPr>
          <w:szCs w:val="22"/>
        </w:rPr>
      </w:pPr>
      <w:r w:rsidRPr="00BC0E7E">
        <w:rPr>
          <w:szCs w:val="22"/>
        </w:rPr>
        <w:t>The other ingredients are mannitol, polysorbate 80 and water for injections.</w:t>
      </w:r>
    </w:p>
    <w:p w14:paraId="6DCAB2C0" w14:textId="77777777" w:rsidR="00BC0E7E" w:rsidRPr="00BC0E7E" w:rsidRDefault="00BC0E7E" w:rsidP="00BC0E7E">
      <w:pPr>
        <w:numPr>
          <w:ilvl w:val="12"/>
          <w:numId w:val="0"/>
        </w:numPr>
        <w:ind w:right="-2"/>
        <w:rPr>
          <w:szCs w:val="22"/>
        </w:rPr>
      </w:pPr>
    </w:p>
    <w:p w14:paraId="14386371" w14:textId="77777777" w:rsidR="00BC0E7E" w:rsidRPr="00BC0E7E" w:rsidRDefault="00944B8F" w:rsidP="00BC0E7E">
      <w:pPr>
        <w:keepNext/>
        <w:numPr>
          <w:ilvl w:val="12"/>
          <w:numId w:val="0"/>
        </w:numPr>
        <w:tabs>
          <w:tab w:val="clear" w:pos="562"/>
        </w:tabs>
        <w:ind w:right="-2"/>
        <w:rPr>
          <w:szCs w:val="22"/>
        </w:rPr>
      </w:pPr>
      <w:r w:rsidRPr="00BC0E7E">
        <w:rPr>
          <w:b/>
        </w:rPr>
        <w:t>What the Humira pre-filled pen looks like and contents of the pack</w:t>
      </w:r>
    </w:p>
    <w:p w14:paraId="524BAAE9" w14:textId="77777777" w:rsidR="00BC0E7E" w:rsidRPr="00BC0E7E" w:rsidRDefault="00BC0E7E" w:rsidP="00BC0E7E">
      <w:pPr>
        <w:numPr>
          <w:ilvl w:val="12"/>
          <w:numId w:val="0"/>
        </w:numPr>
        <w:ind w:right="-2"/>
        <w:rPr>
          <w:szCs w:val="22"/>
        </w:rPr>
      </w:pPr>
    </w:p>
    <w:p w14:paraId="3BE883B6" w14:textId="77777777" w:rsidR="00BC0E7E" w:rsidRPr="00BC0E7E" w:rsidRDefault="00944B8F" w:rsidP="00BC0E7E">
      <w:pPr>
        <w:numPr>
          <w:ilvl w:val="12"/>
          <w:numId w:val="0"/>
        </w:numPr>
        <w:tabs>
          <w:tab w:val="clear" w:pos="562"/>
        </w:tabs>
        <w:ind w:right="-2"/>
        <w:rPr>
          <w:szCs w:val="22"/>
        </w:rPr>
      </w:pPr>
      <w:r w:rsidRPr="00BC0E7E">
        <w:rPr>
          <w:szCs w:val="22"/>
        </w:rPr>
        <w:t>Humira 40 mg solution for injection in pre-filled pen is supplied as a sterile solution of 40 mg adalimumab dissolved in 0.4 ml solution.</w:t>
      </w:r>
    </w:p>
    <w:p w14:paraId="6211B981" w14:textId="77777777" w:rsidR="00BC0E7E" w:rsidRPr="00BC0E7E" w:rsidRDefault="00BC0E7E" w:rsidP="00BC0E7E">
      <w:pPr>
        <w:numPr>
          <w:ilvl w:val="12"/>
          <w:numId w:val="0"/>
        </w:numPr>
        <w:ind w:right="-2"/>
        <w:rPr>
          <w:szCs w:val="22"/>
        </w:rPr>
      </w:pPr>
    </w:p>
    <w:p w14:paraId="5D066247" w14:textId="77777777" w:rsidR="00BC0E7E" w:rsidRPr="00BC0E7E" w:rsidRDefault="00944B8F" w:rsidP="00BC0E7E">
      <w:pPr>
        <w:numPr>
          <w:ilvl w:val="12"/>
          <w:numId w:val="0"/>
        </w:numPr>
        <w:ind w:right="-2"/>
        <w:rPr>
          <w:szCs w:val="22"/>
        </w:rPr>
      </w:pPr>
      <w:r w:rsidRPr="00BC0E7E">
        <w:rPr>
          <w:szCs w:val="22"/>
        </w:rPr>
        <w:t xml:space="preserve">The Humira pre-filled pen is a single-use grey and plum-coloured pen which contains a glass syringe with Humira. There are two caps – one is grey and labelled ‘1’ and the other is plum and labelled ‘2’. There is a window on each side of the pen through which you can see the Humira solution inside the syringe.  </w:t>
      </w:r>
    </w:p>
    <w:p w14:paraId="58F52485" w14:textId="77777777" w:rsidR="00BC0E7E" w:rsidRPr="00BC0E7E" w:rsidRDefault="00BC0E7E" w:rsidP="00BC0E7E">
      <w:pPr>
        <w:numPr>
          <w:ilvl w:val="12"/>
          <w:numId w:val="0"/>
        </w:numPr>
        <w:ind w:right="-2"/>
        <w:rPr>
          <w:szCs w:val="22"/>
        </w:rPr>
      </w:pPr>
    </w:p>
    <w:p w14:paraId="4F86DD47" w14:textId="77777777" w:rsidR="00DF6394" w:rsidRDefault="00944B8F" w:rsidP="00BC0E7E">
      <w:pPr>
        <w:numPr>
          <w:ilvl w:val="12"/>
          <w:numId w:val="0"/>
        </w:numPr>
        <w:tabs>
          <w:tab w:val="left" w:pos="2530"/>
        </w:tabs>
        <w:ind w:right="-2"/>
        <w:rPr>
          <w:szCs w:val="22"/>
        </w:rPr>
      </w:pPr>
      <w:r w:rsidRPr="00BC0E7E">
        <w:rPr>
          <w:szCs w:val="22"/>
        </w:rPr>
        <w:t xml:space="preserve">The Humira pre-filled pen is available in packs containing 1, 2, 4 and 6 pre-filled pens. </w:t>
      </w:r>
      <w:r w:rsidRPr="00BC0E7E">
        <w:t>The 1 pre-filled pen pack comes with 2 alcohol pads (1 spare). For the 2, 4 and 6 pre-filled pen packs, each pre-filled pen comes with 1 alcohol pad.</w:t>
      </w:r>
      <w:r w:rsidRPr="00BC0E7E">
        <w:rPr>
          <w:szCs w:val="22"/>
        </w:rPr>
        <w:t xml:space="preserve">  </w:t>
      </w:r>
    </w:p>
    <w:p w14:paraId="03E3DA44" w14:textId="77777777" w:rsidR="00DF6394" w:rsidRDefault="00DF6394" w:rsidP="00BC0E7E">
      <w:pPr>
        <w:numPr>
          <w:ilvl w:val="12"/>
          <w:numId w:val="0"/>
        </w:numPr>
        <w:tabs>
          <w:tab w:val="left" w:pos="2530"/>
        </w:tabs>
        <w:ind w:right="-2"/>
        <w:rPr>
          <w:szCs w:val="22"/>
        </w:rPr>
      </w:pPr>
    </w:p>
    <w:p w14:paraId="573924A4" w14:textId="77777777" w:rsidR="00BC0E7E" w:rsidRPr="00BC0E7E" w:rsidRDefault="00944B8F" w:rsidP="00BC0E7E">
      <w:pPr>
        <w:numPr>
          <w:ilvl w:val="12"/>
          <w:numId w:val="0"/>
        </w:numPr>
        <w:tabs>
          <w:tab w:val="left" w:pos="2530"/>
        </w:tabs>
        <w:ind w:right="-2"/>
        <w:rPr>
          <w:szCs w:val="22"/>
        </w:rPr>
      </w:pPr>
      <w:r w:rsidRPr="00BC0E7E">
        <w:rPr>
          <w:szCs w:val="22"/>
        </w:rPr>
        <w:t xml:space="preserve">Not all pack sizes may be marketed.  </w:t>
      </w:r>
    </w:p>
    <w:p w14:paraId="463F7B6C" w14:textId="77777777" w:rsidR="00BC0E7E" w:rsidRPr="00BC0E7E" w:rsidRDefault="00BC0E7E" w:rsidP="00BC0E7E">
      <w:pPr>
        <w:tabs>
          <w:tab w:val="clear" w:pos="562"/>
        </w:tabs>
        <w:rPr>
          <w:szCs w:val="22"/>
        </w:rPr>
      </w:pPr>
    </w:p>
    <w:p w14:paraId="0C6EC1E4" w14:textId="77777777" w:rsidR="00BC0E7E" w:rsidRPr="00BC0E7E" w:rsidRDefault="00944B8F" w:rsidP="00BC0E7E">
      <w:pPr>
        <w:tabs>
          <w:tab w:val="clear" w:pos="562"/>
        </w:tabs>
        <w:rPr>
          <w:szCs w:val="22"/>
        </w:rPr>
      </w:pPr>
      <w:r w:rsidRPr="00BC0E7E">
        <w:rPr>
          <w:szCs w:val="22"/>
        </w:rPr>
        <w:t xml:space="preserve">Humira </w:t>
      </w:r>
      <w:r w:rsidR="00DF6394">
        <w:rPr>
          <w:szCs w:val="22"/>
        </w:rPr>
        <w:t>may be</w:t>
      </w:r>
      <w:r w:rsidRPr="00BC0E7E">
        <w:rPr>
          <w:szCs w:val="22"/>
        </w:rPr>
        <w:t xml:space="preserve"> available as a vial, a pre-filled syringe and</w:t>
      </w:r>
      <w:r w:rsidR="00DF6394">
        <w:rPr>
          <w:szCs w:val="22"/>
        </w:rPr>
        <w:t>/or</w:t>
      </w:r>
      <w:r w:rsidRPr="00BC0E7E">
        <w:rPr>
          <w:szCs w:val="22"/>
        </w:rPr>
        <w:t xml:space="preserve"> a pre-filled pen.</w:t>
      </w:r>
    </w:p>
    <w:p w14:paraId="101111A3" w14:textId="77777777" w:rsidR="00BC0E7E" w:rsidRPr="00BC0E7E" w:rsidRDefault="00BC0E7E" w:rsidP="00BC0E7E">
      <w:pPr>
        <w:numPr>
          <w:ilvl w:val="12"/>
          <w:numId w:val="0"/>
        </w:numPr>
        <w:ind w:right="-2"/>
        <w:rPr>
          <w:iCs/>
          <w:szCs w:val="22"/>
        </w:rPr>
      </w:pPr>
    </w:p>
    <w:p w14:paraId="79DE4A77" w14:textId="77777777" w:rsidR="00BC0E7E" w:rsidRPr="00BC0E7E" w:rsidRDefault="00944B8F" w:rsidP="00BC0E7E">
      <w:pPr>
        <w:keepNext/>
        <w:numPr>
          <w:ilvl w:val="12"/>
          <w:numId w:val="0"/>
        </w:numPr>
        <w:tabs>
          <w:tab w:val="clear" w:pos="562"/>
        </w:tabs>
        <w:ind w:right="-2"/>
        <w:rPr>
          <w:bCs/>
          <w:iCs/>
        </w:rPr>
      </w:pPr>
      <w:r w:rsidRPr="00BC0E7E">
        <w:rPr>
          <w:b/>
        </w:rPr>
        <w:t>Marketing Authorisation Holder</w:t>
      </w:r>
    </w:p>
    <w:p w14:paraId="5FDBB688" w14:textId="77777777" w:rsidR="00BC0E7E" w:rsidRPr="00BC0E7E" w:rsidRDefault="00BC0E7E" w:rsidP="00BC0E7E">
      <w:pPr>
        <w:keepNext/>
        <w:numPr>
          <w:ilvl w:val="12"/>
          <w:numId w:val="0"/>
        </w:numPr>
        <w:ind w:right="-2"/>
      </w:pPr>
    </w:p>
    <w:p w14:paraId="0AF670A0"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AbbVie Deutschland GmbH &amp; Co. KG</w:t>
      </w:r>
    </w:p>
    <w:p w14:paraId="2B4B6F36"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Knollstrasse</w:t>
      </w:r>
    </w:p>
    <w:p w14:paraId="07F6303B"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67061 Ludwigshafen</w:t>
      </w:r>
    </w:p>
    <w:p w14:paraId="0AA4F119" w14:textId="77777777" w:rsidR="006A01D2" w:rsidRDefault="00944B8F" w:rsidP="006A01D2">
      <w:pPr>
        <w:keepNext/>
        <w:tabs>
          <w:tab w:val="clear" w:pos="562"/>
          <w:tab w:val="left" w:pos="720"/>
        </w:tabs>
        <w:suppressAutoHyphens w:val="0"/>
        <w:autoSpaceDE w:val="0"/>
        <w:autoSpaceDN w:val="0"/>
        <w:adjustRightInd w:val="0"/>
        <w:spacing w:line="240" w:lineRule="atLeast"/>
        <w:rPr>
          <w:szCs w:val="22"/>
          <w:lang w:eastAsia="en-GB"/>
        </w:rPr>
      </w:pPr>
      <w:r w:rsidRPr="00EB4204">
        <w:rPr>
          <w:szCs w:val="22"/>
          <w:lang w:eastAsia="en-GB"/>
        </w:rPr>
        <w:t>Germany</w:t>
      </w:r>
      <w:r>
        <w:rPr>
          <w:szCs w:val="22"/>
          <w:lang w:eastAsia="en-GB"/>
        </w:rPr>
        <w:t xml:space="preserve"> </w:t>
      </w:r>
    </w:p>
    <w:p w14:paraId="74C1FF41" w14:textId="77777777" w:rsidR="00BC0E7E" w:rsidRPr="00BC0E7E" w:rsidRDefault="00BC0E7E" w:rsidP="00BC0E7E"/>
    <w:p w14:paraId="516A6323" w14:textId="77777777" w:rsidR="00BC0E7E" w:rsidRPr="00BC0E7E" w:rsidRDefault="00944B8F" w:rsidP="00BC0E7E">
      <w:pPr>
        <w:numPr>
          <w:ilvl w:val="12"/>
          <w:numId w:val="0"/>
        </w:numPr>
        <w:ind w:right="-2"/>
        <w:rPr>
          <w:b/>
        </w:rPr>
      </w:pPr>
      <w:r w:rsidRPr="00BC0E7E">
        <w:rPr>
          <w:b/>
        </w:rPr>
        <w:t xml:space="preserve">Manufacturer </w:t>
      </w:r>
    </w:p>
    <w:p w14:paraId="796A1FBC" w14:textId="77777777" w:rsidR="00BC0E7E" w:rsidRPr="00BC0E7E" w:rsidRDefault="00BC0E7E" w:rsidP="00BC0E7E">
      <w:pPr>
        <w:numPr>
          <w:ilvl w:val="12"/>
          <w:numId w:val="0"/>
        </w:numPr>
        <w:ind w:right="-2"/>
      </w:pPr>
    </w:p>
    <w:p w14:paraId="77507052" w14:textId="77777777" w:rsidR="00BC0E7E" w:rsidRPr="00BC0E7E" w:rsidRDefault="00944B8F" w:rsidP="00BC0E7E">
      <w:r w:rsidRPr="00BC0E7E">
        <w:t>AbbVie Biotechnology GmbH</w:t>
      </w:r>
    </w:p>
    <w:p w14:paraId="63F1F1E6" w14:textId="77777777" w:rsidR="00BC0E7E" w:rsidRPr="00BC0E7E" w:rsidRDefault="00944B8F" w:rsidP="00BC0E7E">
      <w:pPr>
        <w:numPr>
          <w:ilvl w:val="12"/>
          <w:numId w:val="0"/>
        </w:numPr>
        <w:tabs>
          <w:tab w:val="clear" w:pos="562"/>
          <w:tab w:val="left" w:pos="720"/>
        </w:tabs>
      </w:pPr>
      <w:r w:rsidRPr="00BC0E7E">
        <w:t>Knollstrasse</w:t>
      </w:r>
    </w:p>
    <w:p w14:paraId="53D9E4FD" w14:textId="77777777" w:rsidR="00BC0E7E" w:rsidRPr="00BC0E7E" w:rsidRDefault="00944B8F" w:rsidP="00BC0E7E">
      <w:pPr>
        <w:numPr>
          <w:ilvl w:val="12"/>
          <w:numId w:val="0"/>
        </w:numPr>
        <w:tabs>
          <w:tab w:val="clear" w:pos="562"/>
          <w:tab w:val="left" w:pos="720"/>
        </w:tabs>
      </w:pPr>
      <w:r w:rsidRPr="00BC0E7E">
        <w:t>67061 Ludwigshafen</w:t>
      </w:r>
    </w:p>
    <w:p w14:paraId="69328EFB" w14:textId="77777777" w:rsidR="00BC0E7E" w:rsidRPr="00BC0E7E" w:rsidRDefault="00944B8F" w:rsidP="00BC0E7E">
      <w:pPr>
        <w:numPr>
          <w:ilvl w:val="12"/>
          <w:numId w:val="0"/>
        </w:numPr>
        <w:tabs>
          <w:tab w:val="clear" w:pos="562"/>
          <w:tab w:val="left" w:pos="720"/>
        </w:tabs>
      </w:pPr>
      <w:r w:rsidRPr="00BC0E7E">
        <w:t>Germany</w:t>
      </w:r>
    </w:p>
    <w:p w14:paraId="53A4218D" w14:textId="77777777" w:rsidR="00BC0E7E" w:rsidRPr="00EC44BE" w:rsidRDefault="00BC0E7E" w:rsidP="00BC0E7E"/>
    <w:p w14:paraId="5AA80D6A" w14:textId="77777777" w:rsidR="00BC0E7E" w:rsidRPr="00BC0E7E" w:rsidRDefault="00944B8F" w:rsidP="00BC0E7E">
      <w:pPr>
        <w:numPr>
          <w:ilvl w:val="12"/>
          <w:numId w:val="0"/>
        </w:numPr>
        <w:tabs>
          <w:tab w:val="clear" w:pos="562"/>
        </w:tabs>
        <w:ind w:right="-2"/>
      </w:pPr>
      <w:r w:rsidRPr="00BC0E7E">
        <w:t>For any information about this medicine, please contact the local representative of the Marketing Authorisation Holder:</w:t>
      </w:r>
    </w:p>
    <w:p w14:paraId="7C178AA0" w14:textId="77777777" w:rsidR="00BC0E7E" w:rsidRPr="00BC0E7E" w:rsidRDefault="00BC0E7E" w:rsidP="00BC0E7E">
      <w:pPr>
        <w:tabs>
          <w:tab w:val="clear" w:pos="562"/>
        </w:tabs>
        <w:suppressAutoHyphens w:val="0"/>
        <w:rPr>
          <w:sz w:val="24"/>
        </w:rPr>
      </w:pPr>
    </w:p>
    <w:tbl>
      <w:tblPr>
        <w:tblW w:w="9356" w:type="dxa"/>
        <w:tblInd w:w="-34" w:type="dxa"/>
        <w:tblLayout w:type="fixed"/>
        <w:tblLook w:val="0000" w:firstRow="0" w:lastRow="0" w:firstColumn="0" w:lastColumn="0" w:noHBand="0" w:noVBand="0"/>
      </w:tblPr>
      <w:tblGrid>
        <w:gridCol w:w="34"/>
        <w:gridCol w:w="4644"/>
        <w:gridCol w:w="4678"/>
      </w:tblGrid>
      <w:tr w:rsidR="00C6578C" w14:paraId="53F8184A" w14:textId="77777777" w:rsidTr="00171601">
        <w:trPr>
          <w:gridBefore w:val="1"/>
          <w:wBefore w:w="34" w:type="dxa"/>
        </w:trPr>
        <w:tc>
          <w:tcPr>
            <w:tcW w:w="4644" w:type="dxa"/>
          </w:tcPr>
          <w:p w14:paraId="2E2E0447" w14:textId="77777777" w:rsidR="00BC0E7E" w:rsidRPr="00BC0E7E" w:rsidRDefault="00944B8F" w:rsidP="00BC0E7E">
            <w:pPr>
              <w:rPr>
                <w:b/>
                <w:bCs/>
                <w:szCs w:val="22"/>
                <w:lang w:val="fr-BE"/>
              </w:rPr>
            </w:pPr>
            <w:r w:rsidRPr="00BC0E7E">
              <w:rPr>
                <w:b/>
                <w:bCs/>
                <w:szCs w:val="22"/>
                <w:lang w:val="fr-BE"/>
              </w:rPr>
              <w:t>België/Belgique/Belgien</w:t>
            </w:r>
          </w:p>
          <w:p w14:paraId="3666DDDA" w14:textId="77777777" w:rsidR="00BC0E7E" w:rsidRPr="00BC0E7E" w:rsidRDefault="00944B8F" w:rsidP="00BC0E7E">
            <w:pPr>
              <w:tabs>
                <w:tab w:val="center" w:pos="2214"/>
              </w:tabs>
              <w:rPr>
                <w:bCs/>
                <w:szCs w:val="22"/>
                <w:lang w:val="fr-FR"/>
              </w:rPr>
            </w:pPr>
            <w:r w:rsidRPr="00BC0E7E">
              <w:rPr>
                <w:bCs/>
                <w:szCs w:val="22"/>
                <w:lang w:val="fr-FR"/>
              </w:rPr>
              <w:t>AbbVie SA</w:t>
            </w:r>
          </w:p>
          <w:p w14:paraId="2359C7AB" w14:textId="77777777" w:rsidR="00BC0E7E" w:rsidRDefault="00944B8F" w:rsidP="00BC0E7E">
            <w:pPr>
              <w:spacing w:line="260" w:lineRule="exact"/>
              <w:rPr>
                <w:szCs w:val="22"/>
                <w:lang w:val="fr-FR"/>
              </w:rPr>
            </w:pPr>
            <w:r w:rsidRPr="00BC0E7E">
              <w:rPr>
                <w:bCs/>
                <w:szCs w:val="22"/>
                <w:lang w:val="fr-FR"/>
              </w:rPr>
              <w:t xml:space="preserve">Tél/Tel: +32 10 </w:t>
            </w:r>
            <w:r w:rsidRPr="00BC0E7E">
              <w:rPr>
                <w:szCs w:val="22"/>
                <w:lang w:val="fr-FR"/>
              </w:rPr>
              <w:t xml:space="preserve"> 477811</w:t>
            </w:r>
          </w:p>
          <w:p w14:paraId="464DABEF" w14:textId="77777777" w:rsidR="0099655D" w:rsidRPr="00BC0E7E" w:rsidRDefault="0099655D" w:rsidP="00BC0E7E">
            <w:pPr>
              <w:spacing w:line="260" w:lineRule="exact"/>
              <w:rPr>
                <w:bCs/>
                <w:szCs w:val="22"/>
                <w:lang w:val="fr-FR"/>
              </w:rPr>
            </w:pPr>
          </w:p>
        </w:tc>
        <w:tc>
          <w:tcPr>
            <w:tcW w:w="4678" w:type="dxa"/>
          </w:tcPr>
          <w:p w14:paraId="2CC9CE3C" w14:textId="77777777" w:rsidR="00BC0E7E" w:rsidRPr="00BC0E7E" w:rsidRDefault="00944B8F" w:rsidP="00BC0E7E">
            <w:pPr>
              <w:rPr>
                <w:b/>
                <w:bCs/>
                <w:szCs w:val="22"/>
                <w:lang w:val="lt-LT"/>
              </w:rPr>
            </w:pPr>
            <w:r w:rsidRPr="00BC0E7E">
              <w:rPr>
                <w:b/>
                <w:bCs/>
                <w:szCs w:val="22"/>
                <w:lang w:val="lt-LT"/>
              </w:rPr>
              <w:t>Lietuva</w:t>
            </w:r>
          </w:p>
          <w:p w14:paraId="54F9A88A" w14:textId="77777777" w:rsidR="00BC0E7E" w:rsidRPr="00BC0E7E" w:rsidRDefault="00944B8F" w:rsidP="00BC0E7E">
            <w:pPr>
              <w:rPr>
                <w:bCs/>
                <w:szCs w:val="22"/>
                <w:lang w:val="lv-LV"/>
              </w:rPr>
            </w:pPr>
            <w:r w:rsidRPr="00BC0E7E">
              <w:rPr>
                <w:bCs/>
                <w:szCs w:val="22"/>
                <w:lang w:val="lv-LV"/>
              </w:rPr>
              <w:t xml:space="preserve">AbbVie UAB </w:t>
            </w:r>
          </w:p>
          <w:p w14:paraId="08C3A0AF" w14:textId="77777777" w:rsidR="00BC0E7E" w:rsidRPr="00BC0E7E" w:rsidRDefault="00944B8F" w:rsidP="00BC0E7E">
            <w:pPr>
              <w:jc w:val="both"/>
              <w:rPr>
                <w:bCs/>
                <w:szCs w:val="22"/>
                <w:lang w:val="lv-LV"/>
              </w:rPr>
            </w:pPr>
            <w:r w:rsidRPr="00BC0E7E">
              <w:rPr>
                <w:bCs/>
                <w:szCs w:val="22"/>
                <w:lang w:val="lv-LV"/>
              </w:rPr>
              <w:t>Tel: +370 5 205 3023</w:t>
            </w:r>
          </w:p>
        </w:tc>
      </w:tr>
      <w:tr w:rsidR="00C6578C" w14:paraId="09F660A0" w14:textId="77777777" w:rsidTr="00171601">
        <w:trPr>
          <w:gridBefore w:val="1"/>
          <w:wBefore w:w="34" w:type="dxa"/>
        </w:trPr>
        <w:tc>
          <w:tcPr>
            <w:tcW w:w="4644" w:type="dxa"/>
          </w:tcPr>
          <w:p w14:paraId="6FC8A9FE" w14:textId="77777777" w:rsidR="00BC0E7E" w:rsidRPr="00BC0E7E" w:rsidRDefault="00944B8F" w:rsidP="00BC0E7E">
            <w:pPr>
              <w:autoSpaceDE w:val="0"/>
              <w:autoSpaceDN w:val="0"/>
              <w:adjustRightInd w:val="0"/>
              <w:rPr>
                <w:b/>
                <w:bCs/>
                <w:szCs w:val="22"/>
                <w:lang w:val="bg-BG"/>
              </w:rPr>
            </w:pPr>
            <w:r w:rsidRPr="00BC0E7E">
              <w:rPr>
                <w:b/>
                <w:bCs/>
                <w:szCs w:val="22"/>
                <w:lang w:val="bg-BG"/>
              </w:rPr>
              <w:t>България</w:t>
            </w:r>
          </w:p>
          <w:p w14:paraId="002E70AF" w14:textId="77777777" w:rsidR="00BC0E7E" w:rsidRPr="00BC0E7E" w:rsidRDefault="00944B8F" w:rsidP="00BC0E7E">
            <w:pPr>
              <w:autoSpaceDE w:val="0"/>
              <w:autoSpaceDN w:val="0"/>
              <w:adjustRightInd w:val="0"/>
              <w:rPr>
                <w:szCs w:val="22"/>
                <w:lang w:val="da-DK"/>
              </w:rPr>
            </w:pPr>
            <w:r w:rsidRPr="00BC0E7E">
              <w:rPr>
                <w:rFonts w:eastAsia="MS Mincho"/>
                <w:color w:val="000000"/>
                <w:szCs w:val="22"/>
                <w:lang w:eastAsia="ja-JP"/>
              </w:rPr>
              <w:t>АбВи ЕООД</w:t>
            </w:r>
          </w:p>
          <w:p w14:paraId="10A5A359" w14:textId="77777777" w:rsidR="00BC0E7E" w:rsidRPr="00BC0E7E" w:rsidRDefault="00944B8F" w:rsidP="00BC0E7E">
            <w:pPr>
              <w:tabs>
                <w:tab w:val="left" w:pos="-720"/>
              </w:tabs>
              <w:rPr>
                <w:bCs/>
                <w:szCs w:val="22"/>
                <w:lang w:val="da-DK"/>
              </w:rPr>
            </w:pPr>
            <w:r w:rsidRPr="00BC0E7E">
              <w:rPr>
                <w:rFonts w:eastAsia="MS Mincho"/>
                <w:color w:val="000000"/>
                <w:szCs w:val="22"/>
                <w:lang w:eastAsia="ja-JP"/>
              </w:rPr>
              <w:t>Тел</w:t>
            </w:r>
            <w:r w:rsidRPr="00BC0E7E">
              <w:rPr>
                <w:rFonts w:eastAsia="MS Mincho"/>
                <w:color w:val="000000"/>
                <w:szCs w:val="22"/>
                <w:lang w:val="it-IT" w:eastAsia="ja-JP"/>
              </w:rPr>
              <w:t>.:+359 2 90 30 430</w:t>
            </w:r>
          </w:p>
        </w:tc>
        <w:tc>
          <w:tcPr>
            <w:tcW w:w="4678" w:type="dxa"/>
          </w:tcPr>
          <w:p w14:paraId="3D784288" w14:textId="77777777" w:rsidR="00BC0E7E" w:rsidRPr="00BC0E7E" w:rsidRDefault="00944B8F" w:rsidP="00BC0E7E">
            <w:pPr>
              <w:rPr>
                <w:b/>
                <w:bCs/>
                <w:szCs w:val="22"/>
                <w:lang w:val="de-DE"/>
              </w:rPr>
            </w:pPr>
            <w:r w:rsidRPr="00BC0E7E">
              <w:rPr>
                <w:b/>
                <w:bCs/>
                <w:szCs w:val="22"/>
                <w:lang w:val="de-DE"/>
              </w:rPr>
              <w:t>Luxembourg/Luxemburg</w:t>
            </w:r>
          </w:p>
          <w:p w14:paraId="499D4244" w14:textId="77777777" w:rsidR="00BC0E7E" w:rsidRPr="00BC0E7E" w:rsidRDefault="00944B8F" w:rsidP="00BC0E7E">
            <w:pPr>
              <w:rPr>
                <w:bCs/>
                <w:szCs w:val="22"/>
                <w:lang w:val="de-DE"/>
              </w:rPr>
            </w:pPr>
            <w:r w:rsidRPr="00BC0E7E">
              <w:rPr>
                <w:bCs/>
                <w:szCs w:val="22"/>
                <w:lang w:val="de-DE"/>
              </w:rPr>
              <w:t>AbbVie SA</w:t>
            </w:r>
          </w:p>
          <w:p w14:paraId="3103F51C" w14:textId="77777777" w:rsidR="00BC0E7E" w:rsidRPr="00BC0E7E" w:rsidRDefault="00944B8F" w:rsidP="00BC0E7E">
            <w:pPr>
              <w:tabs>
                <w:tab w:val="center" w:pos="2231"/>
              </w:tabs>
              <w:rPr>
                <w:bCs/>
                <w:szCs w:val="22"/>
                <w:lang w:val="de-DE"/>
              </w:rPr>
            </w:pPr>
            <w:r w:rsidRPr="00BC0E7E">
              <w:rPr>
                <w:bCs/>
                <w:szCs w:val="22"/>
                <w:lang w:val="de-DE"/>
              </w:rPr>
              <w:t>Belgique/Belgien</w:t>
            </w:r>
          </w:p>
          <w:p w14:paraId="7FDEF4CE" w14:textId="77777777" w:rsidR="00BC0E7E" w:rsidRDefault="00944B8F" w:rsidP="00BC0E7E">
            <w:pPr>
              <w:rPr>
                <w:bCs/>
                <w:szCs w:val="22"/>
                <w:lang w:val="fr-FR"/>
              </w:rPr>
            </w:pPr>
            <w:r w:rsidRPr="00BC0E7E">
              <w:rPr>
                <w:bCs/>
                <w:szCs w:val="22"/>
                <w:lang w:val="fr-FR"/>
              </w:rPr>
              <w:t>Tél/Tel: +32 10 477811</w:t>
            </w:r>
          </w:p>
          <w:p w14:paraId="27628789" w14:textId="77777777" w:rsidR="0099655D" w:rsidRPr="00BC0E7E" w:rsidRDefault="0099655D" w:rsidP="00BC0E7E">
            <w:pPr>
              <w:rPr>
                <w:bCs/>
                <w:szCs w:val="22"/>
                <w:lang w:val="fr-FR"/>
              </w:rPr>
            </w:pPr>
          </w:p>
        </w:tc>
      </w:tr>
      <w:tr w:rsidR="00C6578C" w14:paraId="09D512E2" w14:textId="77777777" w:rsidTr="00171601">
        <w:trPr>
          <w:gridBefore w:val="1"/>
          <w:wBefore w:w="34" w:type="dxa"/>
        </w:trPr>
        <w:tc>
          <w:tcPr>
            <w:tcW w:w="4644" w:type="dxa"/>
          </w:tcPr>
          <w:p w14:paraId="4BE58309" w14:textId="77777777" w:rsidR="00BC0E7E" w:rsidRPr="00BC0E7E" w:rsidRDefault="00944B8F" w:rsidP="00BC0E7E">
            <w:pPr>
              <w:keepNext/>
              <w:rPr>
                <w:b/>
                <w:bCs/>
                <w:szCs w:val="22"/>
                <w:lang w:val="de-DE"/>
              </w:rPr>
            </w:pPr>
            <w:r w:rsidRPr="00BC0E7E">
              <w:rPr>
                <w:b/>
                <w:bCs/>
                <w:szCs w:val="22"/>
                <w:lang w:val="de-DE"/>
              </w:rPr>
              <w:t>Česká republika</w:t>
            </w:r>
          </w:p>
          <w:p w14:paraId="3EE0D0DA" w14:textId="77777777" w:rsidR="00BC0E7E" w:rsidRPr="00BC0E7E" w:rsidRDefault="00944B8F" w:rsidP="00BC0E7E">
            <w:pPr>
              <w:keepNext/>
              <w:rPr>
                <w:bCs/>
                <w:szCs w:val="22"/>
                <w:lang w:val="de-DE"/>
              </w:rPr>
            </w:pPr>
            <w:r w:rsidRPr="00BC0E7E">
              <w:rPr>
                <w:bCs/>
                <w:szCs w:val="22"/>
                <w:lang w:val="de-DE"/>
              </w:rPr>
              <w:t xml:space="preserve">AbbVie s.r.o. </w:t>
            </w:r>
          </w:p>
          <w:p w14:paraId="51B91A34" w14:textId="77777777" w:rsidR="00BC0E7E" w:rsidRDefault="00944B8F" w:rsidP="00BC0E7E">
            <w:pPr>
              <w:keepNext/>
              <w:rPr>
                <w:bCs/>
                <w:szCs w:val="22"/>
                <w:lang w:val="de-DE"/>
              </w:rPr>
            </w:pPr>
            <w:r w:rsidRPr="00BC0E7E">
              <w:rPr>
                <w:bCs/>
                <w:szCs w:val="22"/>
                <w:lang w:val="de-DE"/>
              </w:rPr>
              <w:t>Tel: +420 233 098 111</w:t>
            </w:r>
          </w:p>
          <w:p w14:paraId="452F2305" w14:textId="77777777" w:rsidR="0099655D" w:rsidRPr="00BC0E7E" w:rsidRDefault="0099655D" w:rsidP="00BC0E7E">
            <w:pPr>
              <w:keepNext/>
              <w:rPr>
                <w:bCs/>
                <w:szCs w:val="22"/>
                <w:lang w:val="de-DE"/>
              </w:rPr>
            </w:pPr>
          </w:p>
        </w:tc>
        <w:tc>
          <w:tcPr>
            <w:tcW w:w="4678" w:type="dxa"/>
          </w:tcPr>
          <w:p w14:paraId="3C5F4066" w14:textId="77777777" w:rsidR="00BC0E7E" w:rsidRPr="00BC0E7E" w:rsidRDefault="00944B8F" w:rsidP="00BC0E7E">
            <w:pPr>
              <w:keepNext/>
              <w:rPr>
                <w:b/>
                <w:bCs/>
                <w:szCs w:val="22"/>
                <w:lang w:val="hu-HU"/>
              </w:rPr>
            </w:pPr>
            <w:r w:rsidRPr="00BC0E7E">
              <w:rPr>
                <w:b/>
                <w:bCs/>
                <w:szCs w:val="22"/>
                <w:lang w:val="hu-HU"/>
              </w:rPr>
              <w:t>Magyarország</w:t>
            </w:r>
          </w:p>
          <w:p w14:paraId="2D364AC5" w14:textId="77777777" w:rsidR="00BC0E7E" w:rsidRPr="00BC0E7E" w:rsidRDefault="00944B8F" w:rsidP="00BC0E7E">
            <w:pPr>
              <w:keepNext/>
              <w:rPr>
                <w:bCs/>
                <w:szCs w:val="22"/>
                <w:lang w:val="hu-HU"/>
              </w:rPr>
            </w:pPr>
            <w:r w:rsidRPr="00BC0E7E">
              <w:rPr>
                <w:bCs/>
                <w:szCs w:val="22"/>
                <w:lang w:val="hu-HU"/>
              </w:rPr>
              <w:t>AbbVie Kft.</w:t>
            </w:r>
          </w:p>
          <w:p w14:paraId="16DF2682" w14:textId="77777777" w:rsidR="00BC0E7E" w:rsidRPr="00BC0E7E" w:rsidRDefault="00944B8F" w:rsidP="00BC0E7E">
            <w:pPr>
              <w:keepNext/>
              <w:tabs>
                <w:tab w:val="left" w:pos="2380"/>
              </w:tabs>
              <w:rPr>
                <w:bCs/>
                <w:szCs w:val="22"/>
                <w:lang w:val="hu-HU"/>
              </w:rPr>
            </w:pPr>
            <w:r w:rsidRPr="00BC0E7E">
              <w:rPr>
                <w:bCs/>
                <w:szCs w:val="22"/>
                <w:lang w:val="hu-HU"/>
              </w:rPr>
              <w:t>Tel.:+36 1 455 8600</w:t>
            </w:r>
          </w:p>
        </w:tc>
      </w:tr>
      <w:tr w:rsidR="00C6578C" w14:paraId="277F95FD" w14:textId="77777777" w:rsidTr="00171601">
        <w:trPr>
          <w:gridBefore w:val="1"/>
          <w:wBefore w:w="34" w:type="dxa"/>
          <w:trHeight w:val="733"/>
        </w:trPr>
        <w:tc>
          <w:tcPr>
            <w:tcW w:w="4644" w:type="dxa"/>
          </w:tcPr>
          <w:p w14:paraId="4E4230C8" w14:textId="77777777" w:rsidR="00BC0E7E" w:rsidRPr="00BC0E7E" w:rsidRDefault="00944B8F" w:rsidP="00BC0E7E">
            <w:pPr>
              <w:rPr>
                <w:b/>
                <w:bCs/>
                <w:szCs w:val="22"/>
              </w:rPr>
            </w:pPr>
            <w:r w:rsidRPr="00BC0E7E">
              <w:rPr>
                <w:b/>
                <w:bCs/>
                <w:szCs w:val="22"/>
              </w:rPr>
              <w:t>Danmark</w:t>
            </w:r>
          </w:p>
          <w:p w14:paraId="5C5649D6" w14:textId="77777777" w:rsidR="00BC0E7E" w:rsidRPr="00BC0E7E" w:rsidRDefault="00944B8F" w:rsidP="00BC0E7E">
            <w:pPr>
              <w:rPr>
                <w:bCs/>
                <w:szCs w:val="22"/>
              </w:rPr>
            </w:pPr>
            <w:r w:rsidRPr="00BC0E7E">
              <w:rPr>
                <w:bCs/>
                <w:szCs w:val="22"/>
              </w:rPr>
              <w:t>AbbVie A/S</w:t>
            </w:r>
          </w:p>
          <w:p w14:paraId="755B8722" w14:textId="77777777" w:rsidR="00BC0E7E" w:rsidRDefault="00944B8F" w:rsidP="00BC0E7E">
            <w:pPr>
              <w:rPr>
                <w:bCs/>
                <w:szCs w:val="22"/>
              </w:rPr>
            </w:pPr>
            <w:r w:rsidRPr="00BC0E7E">
              <w:rPr>
                <w:bCs/>
                <w:szCs w:val="22"/>
              </w:rPr>
              <w:t>Tlf</w:t>
            </w:r>
            <w:ins w:id="13692" w:author="AbbVie19" w:date="2025-05-06T09:50:00Z">
              <w:r w:rsidR="0000567B">
                <w:rPr>
                  <w:bCs/>
                  <w:szCs w:val="22"/>
                </w:rPr>
                <w:t>.</w:t>
              </w:r>
            </w:ins>
            <w:r w:rsidRPr="00BC0E7E">
              <w:rPr>
                <w:bCs/>
                <w:szCs w:val="22"/>
              </w:rPr>
              <w:t>: +45 72 30-20-28</w:t>
            </w:r>
          </w:p>
          <w:p w14:paraId="535C0EDF" w14:textId="77777777" w:rsidR="0099655D" w:rsidRPr="00BC0E7E" w:rsidRDefault="0099655D" w:rsidP="00BC0E7E">
            <w:pPr>
              <w:rPr>
                <w:bCs/>
                <w:szCs w:val="22"/>
              </w:rPr>
            </w:pPr>
          </w:p>
        </w:tc>
        <w:tc>
          <w:tcPr>
            <w:tcW w:w="4678" w:type="dxa"/>
          </w:tcPr>
          <w:p w14:paraId="0DB37408" w14:textId="77777777" w:rsidR="00BC0E7E" w:rsidRPr="00BC0E7E" w:rsidRDefault="00944B8F" w:rsidP="00BC0E7E">
            <w:pPr>
              <w:rPr>
                <w:b/>
                <w:bCs/>
                <w:szCs w:val="22"/>
                <w:lang w:val="mt-MT"/>
              </w:rPr>
            </w:pPr>
            <w:r w:rsidRPr="00BC0E7E">
              <w:rPr>
                <w:b/>
                <w:bCs/>
                <w:szCs w:val="22"/>
                <w:lang w:val="mt-MT"/>
              </w:rPr>
              <w:t>Malta</w:t>
            </w:r>
          </w:p>
          <w:p w14:paraId="3877036A" w14:textId="77777777" w:rsidR="00BC0E7E" w:rsidRPr="00BC0E7E" w:rsidRDefault="00944B8F" w:rsidP="00BC0E7E">
            <w:pPr>
              <w:rPr>
                <w:bCs/>
                <w:szCs w:val="22"/>
                <w:lang w:val="sv-SE"/>
              </w:rPr>
            </w:pPr>
            <w:r w:rsidRPr="00BC0E7E">
              <w:rPr>
                <w:bCs/>
                <w:szCs w:val="22"/>
                <w:lang w:val="sv-SE"/>
              </w:rPr>
              <w:t xml:space="preserve">V.J.Salomone Pharma Limited </w:t>
            </w:r>
          </w:p>
          <w:p w14:paraId="48CACF4D" w14:textId="77777777" w:rsidR="00BC0E7E" w:rsidRPr="00BC0E7E" w:rsidRDefault="00944B8F" w:rsidP="00BC0E7E">
            <w:pPr>
              <w:rPr>
                <w:bCs/>
                <w:szCs w:val="22"/>
              </w:rPr>
            </w:pPr>
            <w:r w:rsidRPr="00BC0E7E">
              <w:rPr>
                <w:bCs/>
                <w:szCs w:val="22"/>
              </w:rPr>
              <w:t xml:space="preserve">Tel: </w:t>
            </w:r>
            <w:r w:rsidR="00B745CF">
              <w:rPr>
                <w:bCs/>
                <w:szCs w:val="22"/>
              </w:rPr>
              <w:t>+356 21220174</w:t>
            </w:r>
          </w:p>
        </w:tc>
      </w:tr>
      <w:tr w:rsidR="00C6578C" w:rsidRPr="00173B45" w14:paraId="1574C617" w14:textId="77777777" w:rsidTr="00171601">
        <w:trPr>
          <w:gridBefore w:val="1"/>
          <w:wBefore w:w="34" w:type="dxa"/>
        </w:trPr>
        <w:tc>
          <w:tcPr>
            <w:tcW w:w="4644" w:type="dxa"/>
          </w:tcPr>
          <w:p w14:paraId="64A9DCA8" w14:textId="77777777" w:rsidR="00BC0E7E" w:rsidRPr="00BC0E7E" w:rsidRDefault="00944B8F" w:rsidP="00BC0E7E">
            <w:pPr>
              <w:rPr>
                <w:b/>
                <w:bCs/>
                <w:szCs w:val="22"/>
                <w:lang w:val="de-DE"/>
              </w:rPr>
            </w:pPr>
            <w:r w:rsidRPr="00BC0E7E">
              <w:rPr>
                <w:b/>
                <w:bCs/>
                <w:szCs w:val="22"/>
                <w:lang w:val="de-DE"/>
              </w:rPr>
              <w:t>Deutschland</w:t>
            </w:r>
          </w:p>
          <w:p w14:paraId="6382F963" w14:textId="77777777" w:rsidR="00BC0E7E" w:rsidRPr="00BC0E7E" w:rsidRDefault="00944B8F" w:rsidP="00BC0E7E">
            <w:pPr>
              <w:rPr>
                <w:bCs/>
                <w:szCs w:val="22"/>
                <w:lang w:val="de-DE"/>
              </w:rPr>
            </w:pPr>
            <w:r w:rsidRPr="00BC0E7E">
              <w:rPr>
                <w:szCs w:val="22"/>
                <w:lang w:val="de-DE"/>
              </w:rPr>
              <w:t xml:space="preserve">AbbVie Deutschland </w:t>
            </w:r>
            <w:r w:rsidRPr="00BC0E7E">
              <w:rPr>
                <w:bCs/>
                <w:szCs w:val="22"/>
                <w:lang w:val="de-DE"/>
              </w:rPr>
              <w:t>GmbH &amp; Co. KG</w:t>
            </w:r>
          </w:p>
          <w:p w14:paraId="32A63B6F" w14:textId="77777777" w:rsidR="00BC0E7E" w:rsidRPr="00BC0E7E" w:rsidRDefault="00944B8F" w:rsidP="00BC0E7E">
            <w:pPr>
              <w:rPr>
                <w:szCs w:val="22"/>
                <w:lang w:val="de-DE"/>
              </w:rPr>
            </w:pPr>
            <w:r w:rsidRPr="00BC0E7E">
              <w:rPr>
                <w:szCs w:val="22"/>
                <w:lang w:val="de-DE"/>
              </w:rPr>
              <w:t>Tel: 00800 222843 33 (gebührenfrei)</w:t>
            </w:r>
          </w:p>
          <w:p w14:paraId="2E42DD74" w14:textId="77777777" w:rsidR="00BC0E7E" w:rsidRDefault="00944B8F" w:rsidP="00BC0E7E">
            <w:pPr>
              <w:rPr>
                <w:szCs w:val="22"/>
                <w:lang w:val="de-DE"/>
              </w:rPr>
            </w:pPr>
            <w:r w:rsidRPr="00BC0E7E">
              <w:rPr>
                <w:szCs w:val="22"/>
                <w:lang w:val="de-DE"/>
              </w:rPr>
              <w:t>Tel: +49 (0) 611 / 1720-0</w:t>
            </w:r>
          </w:p>
          <w:p w14:paraId="56367398" w14:textId="77777777" w:rsidR="0099655D" w:rsidRPr="00BC0E7E" w:rsidRDefault="0099655D" w:rsidP="00BC0E7E">
            <w:pPr>
              <w:rPr>
                <w:szCs w:val="22"/>
                <w:lang w:val="de-DE"/>
              </w:rPr>
            </w:pPr>
          </w:p>
        </w:tc>
        <w:tc>
          <w:tcPr>
            <w:tcW w:w="4678" w:type="dxa"/>
          </w:tcPr>
          <w:p w14:paraId="01FD80DD" w14:textId="77777777" w:rsidR="00BC0E7E" w:rsidRPr="00BC0E7E" w:rsidRDefault="00944B8F" w:rsidP="00BC0E7E">
            <w:pPr>
              <w:rPr>
                <w:b/>
                <w:bCs/>
                <w:szCs w:val="22"/>
                <w:lang w:val="nl-NL"/>
              </w:rPr>
            </w:pPr>
            <w:r w:rsidRPr="00BC0E7E">
              <w:rPr>
                <w:b/>
                <w:bCs/>
                <w:szCs w:val="22"/>
                <w:lang w:val="nl-NL"/>
              </w:rPr>
              <w:t>Nederland</w:t>
            </w:r>
          </w:p>
          <w:p w14:paraId="75454E50" w14:textId="77777777" w:rsidR="00BC0E7E" w:rsidRPr="00BC0E7E" w:rsidRDefault="00944B8F" w:rsidP="00BC0E7E">
            <w:pPr>
              <w:rPr>
                <w:bCs/>
                <w:szCs w:val="22"/>
                <w:lang w:val="de-DE"/>
              </w:rPr>
            </w:pPr>
            <w:r w:rsidRPr="00BC0E7E">
              <w:rPr>
                <w:bCs/>
                <w:szCs w:val="22"/>
                <w:lang w:val="de-DE"/>
              </w:rPr>
              <w:t>AbbVie B.V.</w:t>
            </w:r>
          </w:p>
          <w:p w14:paraId="7EDA3D76" w14:textId="77777777" w:rsidR="00BC0E7E" w:rsidRPr="00BC0E7E" w:rsidRDefault="00944B8F" w:rsidP="00BC0E7E">
            <w:pPr>
              <w:rPr>
                <w:bCs/>
                <w:szCs w:val="22"/>
                <w:lang w:val="de-DE"/>
              </w:rPr>
            </w:pPr>
            <w:r w:rsidRPr="00BC0E7E">
              <w:rPr>
                <w:bCs/>
                <w:szCs w:val="22"/>
                <w:lang w:val="de-DE"/>
              </w:rPr>
              <w:t>Tel:  +31 (0)88 322 2843</w:t>
            </w:r>
          </w:p>
        </w:tc>
      </w:tr>
      <w:tr w:rsidR="00C6578C" w14:paraId="43101530" w14:textId="77777777" w:rsidTr="00171601">
        <w:trPr>
          <w:gridBefore w:val="1"/>
          <w:wBefore w:w="34" w:type="dxa"/>
        </w:trPr>
        <w:tc>
          <w:tcPr>
            <w:tcW w:w="4644" w:type="dxa"/>
          </w:tcPr>
          <w:p w14:paraId="3BE01B53" w14:textId="77777777" w:rsidR="00BC0E7E" w:rsidRPr="00BC0E7E" w:rsidRDefault="00944B8F" w:rsidP="009F71C2">
            <w:pPr>
              <w:keepNext/>
              <w:rPr>
                <w:b/>
                <w:bCs/>
                <w:szCs w:val="22"/>
                <w:lang w:val="et-EE"/>
              </w:rPr>
            </w:pPr>
            <w:r w:rsidRPr="00BC0E7E">
              <w:rPr>
                <w:b/>
                <w:bCs/>
                <w:szCs w:val="22"/>
                <w:lang w:val="et-EE"/>
              </w:rPr>
              <w:t>Eesti</w:t>
            </w:r>
          </w:p>
          <w:p w14:paraId="1F85171F" w14:textId="77777777" w:rsidR="00BC0E7E" w:rsidRPr="00BC0E7E" w:rsidRDefault="00944B8F" w:rsidP="009F71C2">
            <w:pPr>
              <w:keepNext/>
              <w:rPr>
                <w:bCs/>
                <w:szCs w:val="22"/>
                <w:lang w:val="et-EE"/>
              </w:rPr>
            </w:pPr>
            <w:r w:rsidRPr="00BC0E7E">
              <w:rPr>
                <w:bCs/>
                <w:szCs w:val="22"/>
                <w:lang w:val="et-EE"/>
              </w:rPr>
              <w:t xml:space="preserve">AbbVie </w:t>
            </w:r>
            <w:r w:rsidR="001B6F9C" w:rsidRPr="00F66039">
              <w:rPr>
                <w:bCs/>
                <w:szCs w:val="22"/>
              </w:rPr>
              <w:t>OÜ</w:t>
            </w:r>
          </w:p>
          <w:p w14:paraId="4FD4BD2E" w14:textId="77777777" w:rsidR="00BC0E7E" w:rsidRDefault="00944B8F" w:rsidP="009F71C2">
            <w:pPr>
              <w:keepNext/>
              <w:rPr>
                <w:bCs/>
                <w:szCs w:val="22"/>
                <w:lang w:val="et-EE"/>
              </w:rPr>
            </w:pPr>
            <w:r w:rsidRPr="00BC0E7E">
              <w:rPr>
                <w:bCs/>
                <w:szCs w:val="22"/>
                <w:lang w:val="et-EE"/>
              </w:rPr>
              <w:t>Tel: +372 623 1011</w:t>
            </w:r>
          </w:p>
          <w:p w14:paraId="2F6A5B0A" w14:textId="77777777" w:rsidR="0099655D" w:rsidRPr="00BC0E7E" w:rsidRDefault="0099655D" w:rsidP="009F71C2">
            <w:pPr>
              <w:keepNext/>
              <w:rPr>
                <w:bCs/>
                <w:szCs w:val="22"/>
                <w:lang w:val="lv-LV"/>
              </w:rPr>
            </w:pPr>
          </w:p>
        </w:tc>
        <w:tc>
          <w:tcPr>
            <w:tcW w:w="4678" w:type="dxa"/>
          </w:tcPr>
          <w:p w14:paraId="1E33537F" w14:textId="77777777" w:rsidR="00BC0E7E" w:rsidRPr="00BC0E7E" w:rsidRDefault="00944B8F" w:rsidP="009F71C2">
            <w:pPr>
              <w:keepNext/>
              <w:rPr>
                <w:b/>
                <w:bCs/>
                <w:szCs w:val="22"/>
                <w:lang w:val="nb-NO"/>
              </w:rPr>
            </w:pPr>
            <w:r w:rsidRPr="00BC0E7E">
              <w:rPr>
                <w:b/>
                <w:bCs/>
                <w:szCs w:val="22"/>
                <w:lang w:val="nb-NO"/>
              </w:rPr>
              <w:t>Norge</w:t>
            </w:r>
          </w:p>
          <w:p w14:paraId="3216DFD7" w14:textId="77777777" w:rsidR="00BC0E7E" w:rsidRPr="00BC0E7E" w:rsidRDefault="00944B8F" w:rsidP="009F71C2">
            <w:pPr>
              <w:keepNext/>
              <w:rPr>
                <w:bCs/>
                <w:szCs w:val="22"/>
              </w:rPr>
            </w:pPr>
            <w:r w:rsidRPr="00BC0E7E">
              <w:rPr>
                <w:bCs/>
                <w:szCs w:val="22"/>
              </w:rPr>
              <w:t>AbbVie AS</w:t>
            </w:r>
          </w:p>
          <w:p w14:paraId="3296177E" w14:textId="77777777" w:rsidR="00BC0E7E" w:rsidRPr="00BC0E7E" w:rsidRDefault="00944B8F" w:rsidP="009F71C2">
            <w:pPr>
              <w:keepNext/>
              <w:rPr>
                <w:bCs/>
                <w:szCs w:val="22"/>
              </w:rPr>
            </w:pPr>
            <w:r w:rsidRPr="00BC0E7E">
              <w:rPr>
                <w:bCs/>
                <w:szCs w:val="22"/>
              </w:rPr>
              <w:t>Tlf: +47 67 81 80 00</w:t>
            </w:r>
          </w:p>
        </w:tc>
      </w:tr>
      <w:tr w:rsidR="00C6578C" w14:paraId="3292A5BF" w14:textId="77777777" w:rsidTr="00171601">
        <w:trPr>
          <w:gridBefore w:val="1"/>
          <w:wBefore w:w="34" w:type="dxa"/>
          <w:trHeight w:val="896"/>
        </w:trPr>
        <w:tc>
          <w:tcPr>
            <w:tcW w:w="4644" w:type="dxa"/>
          </w:tcPr>
          <w:p w14:paraId="5B09B92A" w14:textId="77777777" w:rsidR="00BC0E7E" w:rsidRPr="00BC0E7E" w:rsidRDefault="00944B8F" w:rsidP="00BC0E7E">
            <w:pPr>
              <w:rPr>
                <w:b/>
                <w:bCs/>
                <w:szCs w:val="22"/>
                <w:lang w:val="el-GR"/>
              </w:rPr>
            </w:pPr>
            <w:r w:rsidRPr="00BC0E7E">
              <w:rPr>
                <w:b/>
                <w:bCs/>
                <w:szCs w:val="22"/>
                <w:lang w:val="el-GR"/>
              </w:rPr>
              <w:t>Ελλάδα</w:t>
            </w:r>
          </w:p>
          <w:p w14:paraId="1F115B39" w14:textId="77777777" w:rsidR="00BC0E7E" w:rsidRPr="00BC0E7E" w:rsidRDefault="00944B8F" w:rsidP="00BC0E7E">
            <w:pPr>
              <w:rPr>
                <w:bCs/>
                <w:szCs w:val="22"/>
                <w:lang w:val="el-GR"/>
              </w:rPr>
            </w:pPr>
            <w:r w:rsidRPr="00BC0E7E">
              <w:rPr>
                <w:bCs/>
                <w:szCs w:val="22"/>
                <w:lang w:val="et-EE"/>
              </w:rPr>
              <w:t xml:space="preserve">AbbVie </w:t>
            </w:r>
            <w:r w:rsidRPr="00BC0E7E">
              <w:rPr>
                <w:szCs w:val="22"/>
                <w:lang w:val="el-GR"/>
              </w:rPr>
              <w:t>ΦΑΡΜΑΚΕΥΤΙΚΗ Α.Ε.</w:t>
            </w:r>
          </w:p>
          <w:p w14:paraId="77E560D0" w14:textId="77777777" w:rsidR="00BC0E7E" w:rsidRPr="00BC0E7E" w:rsidRDefault="00944B8F" w:rsidP="00BC0E7E">
            <w:pPr>
              <w:rPr>
                <w:bCs/>
                <w:szCs w:val="22"/>
              </w:rPr>
            </w:pPr>
            <w:r w:rsidRPr="00BC0E7E">
              <w:rPr>
                <w:bCs/>
                <w:szCs w:val="22"/>
                <w:lang w:val="el-GR"/>
              </w:rPr>
              <w:t xml:space="preserve">Τηλ: +30 </w:t>
            </w:r>
            <w:r w:rsidRPr="00BC0E7E">
              <w:rPr>
                <w:bCs/>
                <w:szCs w:val="22"/>
              </w:rPr>
              <w:t>214 4165 555</w:t>
            </w:r>
          </w:p>
        </w:tc>
        <w:tc>
          <w:tcPr>
            <w:tcW w:w="4678" w:type="dxa"/>
          </w:tcPr>
          <w:p w14:paraId="35BFF3DD" w14:textId="77777777" w:rsidR="00BC0E7E" w:rsidRPr="00BC0E7E" w:rsidRDefault="00944B8F" w:rsidP="00BC0E7E">
            <w:pPr>
              <w:rPr>
                <w:b/>
                <w:bCs/>
                <w:szCs w:val="22"/>
                <w:lang w:val="de-DE"/>
              </w:rPr>
            </w:pPr>
            <w:r w:rsidRPr="00BC0E7E">
              <w:rPr>
                <w:b/>
                <w:bCs/>
                <w:szCs w:val="22"/>
                <w:lang w:val="de-DE"/>
              </w:rPr>
              <w:t>Österreich</w:t>
            </w:r>
          </w:p>
          <w:p w14:paraId="1FFB3922" w14:textId="77777777" w:rsidR="00BC0E7E" w:rsidRPr="00BC0E7E" w:rsidRDefault="00944B8F" w:rsidP="00BC0E7E">
            <w:pPr>
              <w:rPr>
                <w:bCs/>
                <w:szCs w:val="22"/>
                <w:lang w:val="de-DE"/>
              </w:rPr>
            </w:pPr>
            <w:r w:rsidRPr="00BC0E7E">
              <w:rPr>
                <w:bCs/>
                <w:szCs w:val="22"/>
                <w:lang w:val="de-DE"/>
              </w:rPr>
              <w:t xml:space="preserve">AbbVie GmbH </w:t>
            </w:r>
          </w:p>
          <w:p w14:paraId="03CB8AA6" w14:textId="77777777" w:rsidR="00BC0E7E" w:rsidRPr="00BC0E7E" w:rsidRDefault="00944B8F" w:rsidP="00BC0E7E">
            <w:pPr>
              <w:rPr>
                <w:bCs/>
                <w:szCs w:val="22"/>
                <w:lang w:val="de-DE"/>
              </w:rPr>
            </w:pPr>
            <w:r w:rsidRPr="00BC0E7E">
              <w:rPr>
                <w:bCs/>
                <w:szCs w:val="22"/>
                <w:lang w:val="de-DE"/>
              </w:rPr>
              <w:t>Tel: +43 1 20589-0</w:t>
            </w:r>
          </w:p>
        </w:tc>
      </w:tr>
      <w:tr w:rsidR="00C6578C" w14:paraId="128FBE79" w14:textId="77777777" w:rsidTr="00171601">
        <w:trPr>
          <w:gridBefore w:val="1"/>
          <w:wBefore w:w="34" w:type="dxa"/>
        </w:trPr>
        <w:tc>
          <w:tcPr>
            <w:tcW w:w="4644" w:type="dxa"/>
          </w:tcPr>
          <w:p w14:paraId="3EED6701" w14:textId="77777777" w:rsidR="00BC0E7E" w:rsidRPr="00BC0E7E" w:rsidRDefault="00944B8F" w:rsidP="00852331">
            <w:pPr>
              <w:keepNext/>
              <w:rPr>
                <w:b/>
                <w:bCs/>
                <w:szCs w:val="22"/>
                <w:lang w:val="es-ES"/>
              </w:rPr>
            </w:pPr>
            <w:r w:rsidRPr="00BC0E7E">
              <w:rPr>
                <w:b/>
                <w:bCs/>
                <w:szCs w:val="22"/>
                <w:lang w:val="es-ES"/>
              </w:rPr>
              <w:t>España</w:t>
            </w:r>
          </w:p>
          <w:p w14:paraId="34956A4E" w14:textId="77777777" w:rsidR="00BC0E7E" w:rsidRPr="00433FAD" w:rsidRDefault="00944B8F" w:rsidP="00852331">
            <w:pPr>
              <w:keepNext/>
              <w:rPr>
                <w:szCs w:val="22"/>
                <w:lang w:val="es-MX"/>
              </w:rPr>
            </w:pPr>
            <w:r w:rsidRPr="00433FAD">
              <w:rPr>
                <w:bCs/>
                <w:szCs w:val="22"/>
                <w:lang w:val="es-MX"/>
              </w:rPr>
              <w:t>AbbVie Spain, S.L.U.</w:t>
            </w:r>
          </w:p>
          <w:p w14:paraId="631BFD1D" w14:textId="77777777" w:rsidR="00BC0E7E" w:rsidRDefault="00944B8F" w:rsidP="00852331">
            <w:pPr>
              <w:keepNext/>
              <w:rPr>
                <w:bCs/>
                <w:szCs w:val="22"/>
                <w:lang w:val="pt-PT"/>
              </w:rPr>
            </w:pPr>
            <w:r w:rsidRPr="00BC0E7E">
              <w:rPr>
                <w:bCs/>
                <w:szCs w:val="22"/>
                <w:lang w:val="pt-PT"/>
              </w:rPr>
              <w:t>Tel:  +34 91 384 09 10</w:t>
            </w:r>
          </w:p>
          <w:p w14:paraId="43CA2604" w14:textId="77777777" w:rsidR="0099655D" w:rsidRPr="00BC0E7E" w:rsidRDefault="0099655D" w:rsidP="00852331">
            <w:pPr>
              <w:keepNext/>
              <w:rPr>
                <w:bCs/>
                <w:szCs w:val="22"/>
                <w:lang w:val="pl-PL"/>
              </w:rPr>
            </w:pPr>
          </w:p>
        </w:tc>
        <w:tc>
          <w:tcPr>
            <w:tcW w:w="4678" w:type="dxa"/>
          </w:tcPr>
          <w:p w14:paraId="3D21312F" w14:textId="77777777" w:rsidR="00BC0E7E" w:rsidRPr="00BC0E7E" w:rsidRDefault="00944B8F" w:rsidP="00852331">
            <w:pPr>
              <w:keepNext/>
              <w:rPr>
                <w:b/>
                <w:bCs/>
                <w:iCs/>
                <w:szCs w:val="22"/>
                <w:lang w:val="pl-PL"/>
              </w:rPr>
            </w:pPr>
            <w:r w:rsidRPr="00BC0E7E">
              <w:rPr>
                <w:b/>
                <w:bCs/>
                <w:iCs/>
                <w:szCs w:val="22"/>
                <w:lang w:val="pl-PL"/>
              </w:rPr>
              <w:t>Polska</w:t>
            </w:r>
          </w:p>
          <w:p w14:paraId="3D68A7B9" w14:textId="77777777" w:rsidR="00BC0E7E" w:rsidRPr="00BC0E7E" w:rsidRDefault="00944B8F" w:rsidP="00852331">
            <w:pPr>
              <w:keepNext/>
              <w:rPr>
                <w:bCs/>
                <w:szCs w:val="22"/>
                <w:lang w:val="pl-PL"/>
              </w:rPr>
            </w:pPr>
            <w:r w:rsidRPr="00BC0E7E">
              <w:rPr>
                <w:bCs/>
                <w:szCs w:val="22"/>
                <w:lang w:val="pl-PL"/>
              </w:rPr>
              <w:t>AbbVie Sp. z o.o.</w:t>
            </w:r>
          </w:p>
          <w:p w14:paraId="72F74144" w14:textId="77777777" w:rsidR="00BC0E7E" w:rsidRPr="00BC0E7E" w:rsidRDefault="00944B8F" w:rsidP="00852331">
            <w:pPr>
              <w:keepNext/>
              <w:tabs>
                <w:tab w:val="center" w:pos="4536"/>
                <w:tab w:val="center" w:pos="8930"/>
              </w:tabs>
              <w:rPr>
                <w:bCs/>
                <w:szCs w:val="22"/>
                <w:lang w:val="pl-PL"/>
              </w:rPr>
            </w:pPr>
            <w:r w:rsidRPr="00BC0E7E">
              <w:rPr>
                <w:szCs w:val="22"/>
                <w:lang w:val="es-ES"/>
              </w:rPr>
              <w:t xml:space="preserve">Tel.: +48 22 </w:t>
            </w:r>
            <w:r w:rsidRPr="00BC0E7E">
              <w:rPr>
                <w:bCs/>
                <w:szCs w:val="22"/>
                <w:lang w:val="pl-PL"/>
              </w:rPr>
              <w:t xml:space="preserve">372 78 00 </w:t>
            </w:r>
          </w:p>
        </w:tc>
      </w:tr>
      <w:tr w:rsidR="00C6578C" w14:paraId="54CE9D45" w14:textId="77777777" w:rsidTr="00171601">
        <w:trPr>
          <w:trHeight w:val="722"/>
        </w:trPr>
        <w:tc>
          <w:tcPr>
            <w:tcW w:w="4678" w:type="dxa"/>
            <w:gridSpan w:val="2"/>
          </w:tcPr>
          <w:p w14:paraId="2F8AE9AC" w14:textId="77777777" w:rsidR="00BC0E7E" w:rsidRPr="00BC0E7E" w:rsidRDefault="00944B8F" w:rsidP="00BC0E7E">
            <w:pPr>
              <w:ind w:firstLine="34"/>
              <w:rPr>
                <w:b/>
                <w:bCs/>
                <w:szCs w:val="22"/>
                <w:lang w:val="fr-FR"/>
              </w:rPr>
            </w:pPr>
            <w:r w:rsidRPr="00BC0E7E">
              <w:rPr>
                <w:b/>
                <w:bCs/>
                <w:szCs w:val="22"/>
                <w:lang w:val="fr-FR"/>
              </w:rPr>
              <w:t>France</w:t>
            </w:r>
          </w:p>
          <w:p w14:paraId="7F332A6C" w14:textId="77777777" w:rsidR="00BC0E7E" w:rsidRPr="00BC0E7E" w:rsidRDefault="00944B8F" w:rsidP="00BC0E7E">
            <w:pPr>
              <w:ind w:firstLine="34"/>
              <w:rPr>
                <w:bCs/>
                <w:szCs w:val="22"/>
                <w:lang w:val="fr-FR"/>
              </w:rPr>
            </w:pPr>
            <w:r w:rsidRPr="00BC0E7E">
              <w:rPr>
                <w:bCs/>
                <w:szCs w:val="22"/>
                <w:lang w:val="fr-FR"/>
              </w:rPr>
              <w:t>AbbVie</w:t>
            </w:r>
          </w:p>
          <w:p w14:paraId="68EF6140" w14:textId="77777777" w:rsidR="00BC0E7E" w:rsidRDefault="00944B8F" w:rsidP="00BC0E7E">
            <w:pPr>
              <w:ind w:firstLine="34"/>
              <w:rPr>
                <w:bCs/>
                <w:szCs w:val="22"/>
                <w:lang w:val="fr-FR"/>
              </w:rPr>
            </w:pPr>
            <w:r w:rsidRPr="00BC0E7E">
              <w:rPr>
                <w:bCs/>
                <w:szCs w:val="22"/>
                <w:lang w:val="fr-FR"/>
              </w:rPr>
              <w:t>Tél: +33 (0) 1 45 60 13 00</w:t>
            </w:r>
          </w:p>
          <w:p w14:paraId="4272C35E" w14:textId="77777777" w:rsidR="0099655D" w:rsidRPr="00BC0E7E" w:rsidRDefault="0099655D" w:rsidP="00BC0E7E">
            <w:pPr>
              <w:ind w:firstLine="34"/>
              <w:rPr>
                <w:bCs/>
                <w:szCs w:val="22"/>
                <w:lang w:val="fr-FR"/>
              </w:rPr>
            </w:pPr>
          </w:p>
        </w:tc>
        <w:tc>
          <w:tcPr>
            <w:tcW w:w="4678" w:type="dxa"/>
          </w:tcPr>
          <w:p w14:paraId="47BDD54C" w14:textId="77777777" w:rsidR="00BC0E7E" w:rsidRPr="00BC0E7E" w:rsidRDefault="00944B8F" w:rsidP="00BC0E7E">
            <w:pPr>
              <w:rPr>
                <w:b/>
                <w:bCs/>
                <w:szCs w:val="22"/>
                <w:lang w:val="pt-PT"/>
              </w:rPr>
            </w:pPr>
            <w:r w:rsidRPr="00BC0E7E">
              <w:rPr>
                <w:b/>
                <w:bCs/>
                <w:szCs w:val="22"/>
                <w:lang w:val="pt-PT"/>
              </w:rPr>
              <w:t>Portugal</w:t>
            </w:r>
          </w:p>
          <w:p w14:paraId="58ACB0E1" w14:textId="77777777" w:rsidR="00BC0E7E" w:rsidRPr="00BC0E7E" w:rsidRDefault="00944B8F" w:rsidP="00BC0E7E">
            <w:pPr>
              <w:tabs>
                <w:tab w:val="center" w:pos="4536"/>
                <w:tab w:val="center" w:pos="8930"/>
              </w:tabs>
              <w:rPr>
                <w:bCs/>
                <w:szCs w:val="22"/>
                <w:lang w:val="fr-FR"/>
              </w:rPr>
            </w:pPr>
            <w:r w:rsidRPr="00BC0E7E">
              <w:rPr>
                <w:bCs/>
                <w:szCs w:val="22"/>
                <w:lang w:val="fr-FR"/>
              </w:rPr>
              <w:t xml:space="preserve">AbbVie, Lda. </w:t>
            </w:r>
          </w:p>
          <w:p w14:paraId="740A93A2" w14:textId="77777777" w:rsidR="00BC0E7E" w:rsidRPr="00BC0E7E" w:rsidRDefault="00944B8F" w:rsidP="00BC0E7E">
            <w:pPr>
              <w:tabs>
                <w:tab w:val="center" w:pos="4536"/>
                <w:tab w:val="center" w:pos="8930"/>
              </w:tabs>
              <w:rPr>
                <w:szCs w:val="22"/>
                <w:lang w:val="fr-FR"/>
              </w:rPr>
            </w:pPr>
            <w:r w:rsidRPr="00BC0E7E">
              <w:rPr>
                <w:szCs w:val="22"/>
                <w:lang w:val="fr-FR"/>
              </w:rPr>
              <w:t>Tel: +351 (0)21 1908400</w:t>
            </w:r>
          </w:p>
        </w:tc>
      </w:tr>
      <w:tr w:rsidR="00C6578C" w14:paraId="5586A570" w14:textId="77777777" w:rsidTr="00171601">
        <w:trPr>
          <w:trHeight w:val="743"/>
        </w:trPr>
        <w:tc>
          <w:tcPr>
            <w:tcW w:w="4678" w:type="dxa"/>
            <w:gridSpan w:val="2"/>
          </w:tcPr>
          <w:p w14:paraId="15743DCE" w14:textId="77777777" w:rsidR="00BC0E7E" w:rsidRPr="00BC0E7E" w:rsidRDefault="00944B8F" w:rsidP="00BC0E7E">
            <w:pPr>
              <w:tabs>
                <w:tab w:val="clear" w:pos="562"/>
              </w:tabs>
              <w:suppressAutoHyphens w:val="0"/>
              <w:autoSpaceDE w:val="0"/>
              <w:autoSpaceDN w:val="0"/>
              <w:adjustRightInd w:val="0"/>
              <w:ind w:firstLine="34"/>
              <w:rPr>
                <w:rFonts w:eastAsia="MS Mincho"/>
                <w:szCs w:val="22"/>
                <w:lang w:val="pt-PT" w:eastAsia="ja-JP"/>
              </w:rPr>
            </w:pPr>
            <w:r w:rsidRPr="00BC0E7E">
              <w:rPr>
                <w:rFonts w:eastAsia="MS Mincho"/>
                <w:b/>
                <w:bCs/>
                <w:szCs w:val="22"/>
                <w:lang w:val="pt-PT" w:eastAsia="ja-JP"/>
              </w:rPr>
              <w:t xml:space="preserve">Hrvatska </w:t>
            </w:r>
          </w:p>
          <w:p w14:paraId="2773C43B" w14:textId="77777777" w:rsidR="00BC0E7E" w:rsidRPr="00BC0E7E" w:rsidRDefault="00944B8F" w:rsidP="00BC0E7E">
            <w:pPr>
              <w:ind w:firstLine="34"/>
              <w:rPr>
                <w:szCs w:val="22"/>
                <w:lang w:val="hr-HR"/>
              </w:rPr>
            </w:pPr>
            <w:r w:rsidRPr="00BC0E7E">
              <w:rPr>
                <w:szCs w:val="22"/>
                <w:lang w:val="hr-HR"/>
              </w:rPr>
              <w:t>AbbVie d.o.o.</w:t>
            </w:r>
          </w:p>
          <w:p w14:paraId="1F3BCE59" w14:textId="77777777" w:rsidR="00BC0E7E" w:rsidRDefault="00944B8F" w:rsidP="00BC0E7E">
            <w:pPr>
              <w:ind w:firstLine="34"/>
              <w:rPr>
                <w:szCs w:val="22"/>
              </w:rPr>
            </w:pPr>
            <w:r w:rsidRPr="00BC0E7E">
              <w:rPr>
                <w:szCs w:val="22"/>
                <w:lang w:val="hr-HR"/>
              </w:rPr>
              <w:t xml:space="preserve">Tel + 385 (0)1 </w:t>
            </w:r>
            <w:r w:rsidRPr="00BC0E7E">
              <w:rPr>
                <w:szCs w:val="22"/>
              </w:rPr>
              <w:t>5625 501</w:t>
            </w:r>
          </w:p>
          <w:p w14:paraId="5467E7AD" w14:textId="77777777" w:rsidR="0099655D" w:rsidRPr="00BC0E7E" w:rsidRDefault="0099655D" w:rsidP="00BC0E7E">
            <w:pPr>
              <w:ind w:firstLine="34"/>
              <w:rPr>
                <w:color w:val="1F497D"/>
                <w:szCs w:val="22"/>
              </w:rPr>
            </w:pPr>
          </w:p>
        </w:tc>
        <w:tc>
          <w:tcPr>
            <w:tcW w:w="4678" w:type="dxa"/>
          </w:tcPr>
          <w:p w14:paraId="312FAC4B" w14:textId="77777777" w:rsidR="00BC0E7E" w:rsidRPr="00433FAD" w:rsidRDefault="00944B8F" w:rsidP="00BC0E7E">
            <w:pPr>
              <w:rPr>
                <w:b/>
                <w:bCs/>
                <w:szCs w:val="22"/>
                <w:lang w:val="es-MX"/>
              </w:rPr>
            </w:pPr>
            <w:r w:rsidRPr="00433FAD">
              <w:rPr>
                <w:b/>
                <w:bCs/>
                <w:szCs w:val="22"/>
                <w:lang w:val="es-MX"/>
              </w:rPr>
              <w:t>România</w:t>
            </w:r>
          </w:p>
          <w:p w14:paraId="0CF187ED" w14:textId="77777777" w:rsidR="00BC0E7E" w:rsidRPr="00433FAD" w:rsidRDefault="00944B8F" w:rsidP="00BC0E7E">
            <w:pPr>
              <w:rPr>
                <w:rFonts w:eastAsia="MS Mincho"/>
                <w:color w:val="000000"/>
                <w:szCs w:val="22"/>
                <w:lang w:val="es-MX" w:eastAsia="ja-JP"/>
              </w:rPr>
            </w:pPr>
            <w:r w:rsidRPr="00433FAD">
              <w:rPr>
                <w:rFonts w:eastAsia="MS Mincho"/>
                <w:color w:val="000000"/>
                <w:szCs w:val="22"/>
                <w:lang w:val="es-MX" w:eastAsia="ja-JP"/>
              </w:rPr>
              <w:t>AbbVie S.R.L.</w:t>
            </w:r>
          </w:p>
          <w:p w14:paraId="28F837EF" w14:textId="77777777" w:rsidR="00BC0E7E" w:rsidRPr="00BC0E7E" w:rsidRDefault="00944B8F" w:rsidP="00BC0E7E">
            <w:pPr>
              <w:rPr>
                <w:szCs w:val="22"/>
                <w:lang w:val="pl-PL"/>
              </w:rPr>
            </w:pPr>
            <w:r w:rsidRPr="00BC0E7E">
              <w:rPr>
                <w:szCs w:val="22"/>
                <w:lang w:val="pl-PL"/>
              </w:rPr>
              <w:t>Tel: +40 21 529 30 35</w:t>
            </w:r>
          </w:p>
        </w:tc>
      </w:tr>
      <w:tr w:rsidR="00C6578C" w14:paraId="3883B2F2" w14:textId="77777777" w:rsidTr="00171601">
        <w:trPr>
          <w:gridBefore w:val="1"/>
          <w:wBefore w:w="34" w:type="dxa"/>
        </w:trPr>
        <w:tc>
          <w:tcPr>
            <w:tcW w:w="4644" w:type="dxa"/>
          </w:tcPr>
          <w:p w14:paraId="29859CD2" w14:textId="77777777" w:rsidR="00BC0E7E" w:rsidRPr="00BC0E7E" w:rsidRDefault="00944B8F" w:rsidP="0099655D">
            <w:pPr>
              <w:keepNext/>
              <w:rPr>
                <w:b/>
                <w:bCs/>
                <w:szCs w:val="22"/>
              </w:rPr>
            </w:pPr>
            <w:r w:rsidRPr="00BC0E7E">
              <w:rPr>
                <w:b/>
                <w:bCs/>
                <w:szCs w:val="22"/>
              </w:rPr>
              <w:lastRenderedPageBreak/>
              <w:t>Ireland</w:t>
            </w:r>
          </w:p>
          <w:p w14:paraId="05DDE3AF" w14:textId="77777777" w:rsidR="00BC0E7E" w:rsidRPr="00BC0E7E" w:rsidRDefault="00944B8F" w:rsidP="0099655D">
            <w:pPr>
              <w:keepNext/>
              <w:rPr>
                <w:bCs/>
                <w:szCs w:val="22"/>
              </w:rPr>
            </w:pPr>
            <w:r w:rsidRPr="00BC0E7E">
              <w:rPr>
                <w:bCs/>
                <w:szCs w:val="22"/>
              </w:rPr>
              <w:t xml:space="preserve">AbbVie Limited </w:t>
            </w:r>
          </w:p>
          <w:p w14:paraId="2C745750" w14:textId="77777777" w:rsidR="00BC0E7E" w:rsidRDefault="00944B8F" w:rsidP="0099655D">
            <w:pPr>
              <w:keepNext/>
              <w:rPr>
                <w:bCs/>
                <w:szCs w:val="22"/>
                <w:lang w:val="pt-PT"/>
              </w:rPr>
            </w:pPr>
            <w:r w:rsidRPr="00BC0E7E">
              <w:rPr>
                <w:bCs/>
                <w:szCs w:val="22"/>
                <w:lang w:val="pt-PT"/>
              </w:rPr>
              <w:t>Tel: +353 (0)1 4287900</w:t>
            </w:r>
          </w:p>
          <w:p w14:paraId="06466E62" w14:textId="77777777" w:rsidR="0099655D" w:rsidRPr="00BC0E7E" w:rsidRDefault="0099655D" w:rsidP="0099655D">
            <w:pPr>
              <w:keepNext/>
              <w:rPr>
                <w:bCs/>
                <w:szCs w:val="22"/>
                <w:lang w:val="it-IT"/>
              </w:rPr>
            </w:pPr>
          </w:p>
        </w:tc>
        <w:tc>
          <w:tcPr>
            <w:tcW w:w="4678" w:type="dxa"/>
          </w:tcPr>
          <w:p w14:paraId="570562AB" w14:textId="77777777" w:rsidR="00BC0E7E" w:rsidRPr="00BC0E7E" w:rsidRDefault="00944B8F" w:rsidP="0099655D">
            <w:pPr>
              <w:keepNext/>
              <w:rPr>
                <w:b/>
                <w:bCs/>
                <w:szCs w:val="22"/>
                <w:lang w:val="sl-SI"/>
              </w:rPr>
            </w:pPr>
            <w:r w:rsidRPr="00BC0E7E">
              <w:rPr>
                <w:b/>
                <w:bCs/>
                <w:szCs w:val="22"/>
                <w:lang w:val="sl-SI"/>
              </w:rPr>
              <w:t>Slovenija</w:t>
            </w:r>
          </w:p>
          <w:p w14:paraId="04A71563" w14:textId="77777777" w:rsidR="00BC0E7E" w:rsidRPr="00BC0E7E" w:rsidRDefault="00944B8F" w:rsidP="0099655D">
            <w:pPr>
              <w:keepNext/>
              <w:rPr>
                <w:bCs/>
                <w:szCs w:val="22"/>
                <w:lang w:val="sl-SI"/>
              </w:rPr>
            </w:pPr>
            <w:r w:rsidRPr="00BC0E7E">
              <w:rPr>
                <w:bCs/>
                <w:szCs w:val="22"/>
                <w:lang w:val="sl-SI"/>
              </w:rPr>
              <w:t>AbbVie Biofarmacevtska družba d.o.o.</w:t>
            </w:r>
          </w:p>
          <w:p w14:paraId="18EC3396" w14:textId="77777777" w:rsidR="00BC0E7E" w:rsidRPr="00BC0E7E" w:rsidRDefault="00944B8F" w:rsidP="0099655D">
            <w:pPr>
              <w:keepNext/>
              <w:rPr>
                <w:bCs/>
                <w:szCs w:val="22"/>
                <w:lang w:val="sl-SI"/>
              </w:rPr>
            </w:pPr>
            <w:r w:rsidRPr="00BC0E7E">
              <w:rPr>
                <w:bCs/>
                <w:szCs w:val="22"/>
                <w:lang w:val="sl-SI"/>
              </w:rPr>
              <w:t>Tel: +386 (1)32 08 060</w:t>
            </w:r>
          </w:p>
        </w:tc>
      </w:tr>
      <w:tr w:rsidR="00C6578C" w14:paraId="79FC97D9" w14:textId="77777777" w:rsidTr="00171601">
        <w:trPr>
          <w:gridBefore w:val="1"/>
          <w:wBefore w:w="34" w:type="dxa"/>
        </w:trPr>
        <w:tc>
          <w:tcPr>
            <w:tcW w:w="4644" w:type="dxa"/>
          </w:tcPr>
          <w:p w14:paraId="2F74C342" w14:textId="77777777" w:rsidR="00BC0E7E" w:rsidRPr="00BC0E7E" w:rsidRDefault="00944B8F" w:rsidP="00BC0E7E">
            <w:pPr>
              <w:rPr>
                <w:b/>
                <w:bCs/>
                <w:szCs w:val="22"/>
                <w:lang w:val="is-IS"/>
              </w:rPr>
            </w:pPr>
            <w:r w:rsidRPr="00BC0E7E">
              <w:rPr>
                <w:b/>
                <w:bCs/>
                <w:szCs w:val="22"/>
                <w:lang w:val="is-IS"/>
              </w:rPr>
              <w:t>Ísland</w:t>
            </w:r>
          </w:p>
          <w:p w14:paraId="2D73908C" w14:textId="77777777" w:rsidR="00BC0E7E" w:rsidRPr="00BC0E7E" w:rsidRDefault="00944B8F" w:rsidP="00BC0E7E">
            <w:pPr>
              <w:rPr>
                <w:bCs/>
                <w:szCs w:val="22"/>
              </w:rPr>
            </w:pPr>
            <w:r w:rsidRPr="00BC0E7E">
              <w:rPr>
                <w:bCs/>
                <w:szCs w:val="22"/>
              </w:rPr>
              <w:t>Vistor</w:t>
            </w:r>
            <w:del w:id="13693" w:author="AbbVie19" w:date="2025-04-16T12:25:00Z">
              <w:r w:rsidRPr="00BC0E7E">
                <w:rPr>
                  <w:bCs/>
                  <w:szCs w:val="22"/>
                </w:rPr>
                <w:delText xml:space="preserve"> hf.</w:delText>
              </w:r>
            </w:del>
          </w:p>
          <w:p w14:paraId="457D0EF8" w14:textId="77777777" w:rsidR="00BC0E7E" w:rsidRDefault="00944B8F" w:rsidP="00BC0E7E">
            <w:pPr>
              <w:rPr>
                <w:bCs/>
                <w:szCs w:val="22"/>
              </w:rPr>
            </w:pPr>
            <w:r w:rsidRPr="00BC0E7E">
              <w:rPr>
                <w:bCs/>
                <w:szCs w:val="22"/>
              </w:rPr>
              <w:t>Tel: +354 535 7000</w:t>
            </w:r>
          </w:p>
          <w:p w14:paraId="69B41E34" w14:textId="77777777" w:rsidR="0099655D" w:rsidRPr="00BC0E7E" w:rsidRDefault="0099655D" w:rsidP="00BC0E7E">
            <w:pPr>
              <w:rPr>
                <w:bCs/>
                <w:szCs w:val="22"/>
              </w:rPr>
            </w:pPr>
          </w:p>
        </w:tc>
        <w:tc>
          <w:tcPr>
            <w:tcW w:w="4678" w:type="dxa"/>
          </w:tcPr>
          <w:p w14:paraId="3DF79020" w14:textId="77777777" w:rsidR="00BC0E7E" w:rsidRPr="00BC0E7E" w:rsidRDefault="00944B8F" w:rsidP="00BC0E7E">
            <w:pPr>
              <w:rPr>
                <w:b/>
                <w:bCs/>
                <w:szCs w:val="22"/>
                <w:lang w:val="sk-SK"/>
              </w:rPr>
            </w:pPr>
            <w:r w:rsidRPr="00BC0E7E">
              <w:rPr>
                <w:b/>
                <w:bCs/>
                <w:szCs w:val="22"/>
                <w:lang w:val="sk-SK"/>
              </w:rPr>
              <w:t>Slovenská republika</w:t>
            </w:r>
          </w:p>
          <w:p w14:paraId="5D60F04B" w14:textId="77777777" w:rsidR="00BC0E7E" w:rsidRPr="00BC0E7E" w:rsidRDefault="00944B8F" w:rsidP="00BC0E7E">
            <w:pPr>
              <w:rPr>
                <w:bCs/>
                <w:szCs w:val="22"/>
                <w:lang w:val="sk-SK"/>
              </w:rPr>
            </w:pPr>
            <w:r w:rsidRPr="00BC0E7E">
              <w:rPr>
                <w:bCs/>
                <w:szCs w:val="22"/>
                <w:lang w:val="sk-SK"/>
              </w:rPr>
              <w:t>AbbVie s.r.o.</w:t>
            </w:r>
          </w:p>
          <w:p w14:paraId="6AEF50D3" w14:textId="77777777" w:rsidR="00BC0E7E" w:rsidRPr="00BC0E7E" w:rsidRDefault="00944B8F" w:rsidP="00BC0E7E">
            <w:pPr>
              <w:rPr>
                <w:bCs/>
                <w:szCs w:val="22"/>
                <w:lang w:val="sk-SK"/>
              </w:rPr>
            </w:pPr>
            <w:r w:rsidRPr="00BC0E7E">
              <w:rPr>
                <w:bCs/>
                <w:szCs w:val="22"/>
                <w:lang w:val="sk-SK"/>
              </w:rPr>
              <w:t>Tel: +421 2 5050 0777</w:t>
            </w:r>
          </w:p>
        </w:tc>
      </w:tr>
      <w:tr w:rsidR="00C6578C" w14:paraId="6C4DBBE0" w14:textId="77777777" w:rsidTr="00171601">
        <w:trPr>
          <w:gridBefore w:val="1"/>
          <w:wBefore w:w="34" w:type="dxa"/>
        </w:trPr>
        <w:tc>
          <w:tcPr>
            <w:tcW w:w="4644" w:type="dxa"/>
          </w:tcPr>
          <w:p w14:paraId="6A5A60EE" w14:textId="77777777" w:rsidR="00BC0E7E" w:rsidRPr="00BC0E7E" w:rsidRDefault="00944B8F" w:rsidP="00BC0E7E">
            <w:pPr>
              <w:keepNext/>
              <w:rPr>
                <w:b/>
                <w:bCs/>
                <w:szCs w:val="22"/>
                <w:lang w:val="it-IT"/>
              </w:rPr>
            </w:pPr>
            <w:r w:rsidRPr="00BC0E7E">
              <w:rPr>
                <w:b/>
                <w:bCs/>
                <w:szCs w:val="22"/>
                <w:lang w:val="it-IT"/>
              </w:rPr>
              <w:t>Italia</w:t>
            </w:r>
          </w:p>
          <w:p w14:paraId="28458977" w14:textId="77777777" w:rsidR="00BC0E7E" w:rsidRPr="00BC0E7E" w:rsidRDefault="00944B8F" w:rsidP="00BC0E7E">
            <w:pPr>
              <w:keepNext/>
              <w:spacing w:line="260" w:lineRule="exact"/>
              <w:rPr>
                <w:bCs/>
                <w:szCs w:val="22"/>
                <w:lang w:val="pt-PT"/>
              </w:rPr>
            </w:pPr>
            <w:r w:rsidRPr="00BC0E7E">
              <w:rPr>
                <w:bCs/>
                <w:szCs w:val="22"/>
                <w:lang w:val="pt-PT"/>
              </w:rPr>
              <w:t xml:space="preserve">AbbVie S.r.l. </w:t>
            </w:r>
          </w:p>
          <w:p w14:paraId="0EB76F81" w14:textId="77777777" w:rsidR="00BC0E7E" w:rsidRDefault="00944B8F" w:rsidP="00BC0E7E">
            <w:pPr>
              <w:keepNext/>
              <w:spacing w:line="260" w:lineRule="exact"/>
              <w:rPr>
                <w:bCs/>
                <w:szCs w:val="22"/>
                <w:lang w:val="fr-FR"/>
              </w:rPr>
            </w:pPr>
            <w:r w:rsidRPr="00BC0E7E">
              <w:rPr>
                <w:bCs/>
                <w:szCs w:val="22"/>
                <w:lang w:val="fr-FR"/>
              </w:rPr>
              <w:t>Tel: +39 06 928921</w:t>
            </w:r>
          </w:p>
          <w:p w14:paraId="2E3D501A" w14:textId="77777777" w:rsidR="0099655D" w:rsidRPr="00BC0E7E" w:rsidRDefault="0099655D" w:rsidP="00BC0E7E">
            <w:pPr>
              <w:keepNext/>
              <w:spacing w:line="260" w:lineRule="exact"/>
              <w:rPr>
                <w:bCs/>
                <w:szCs w:val="22"/>
              </w:rPr>
            </w:pPr>
          </w:p>
        </w:tc>
        <w:tc>
          <w:tcPr>
            <w:tcW w:w="4678" w:type="dxa"/>
          </w:tcPr>
          <w:p w14:paraId="0136BDAE" w14:textId="77777777" w:rsidR="00BC0E7E" w:rsidRPr="00BC0E7E" w:rsidRDefault="00944B8F" w:rsidP="00BC0E7E">
            <w:pPr>
              <w:keepNext/>
              <w:rPr>
                <w:b/>
                <w:bCs/>
                <w:szCs w:val="22"/>
                <w:lang w:val="fi-FI"/>
              </w:rPr>
            </w:pPr>
            <w:r w:rsidRPr="00BC0E7E">
              <w:rPr>
                <w:b/>
                <w:bCs/>
                <w:szCs w:val="22"/>
                <w:lang w:val="fi-FI"/>
              </w:rPr>
              <w:t>Suomi/Finland</w:t>
            </w:r>
          </w:p>
          <w:p w14:paraId="2C177396" w14:textId="77777777" w:rsidR="00BC0E7E" w:rsidRPr="00EC44BE" w:rsidRDefault="00944B8F" w:rsidP="00BC0E7E">
            <w:pPr>
              <w:keepNext/>
              <w:overflowPunct w:val="0"/>
              <w:autoSpaceDE w:val="0"/>
              <w:autoSpaceDN w:val="0"/>
              <w:adjustRightInd w:val="0"/>
              <w:textAlignment w:val="baseline"/>
              <w:rPr>
                <w:bCs/>
                <w:iCs/>
                <w:szCs w:val="22"/>
              </w:rPr>
            </w:pPr>
            <w:r w:rsidRPr="00EC44BE">
              <w:rPr>
                <w:bCs/>
                <w:szCs w:val="22"/>
              </w:rPr>
              <w:t xml:space="preserve">AbbVie Oy </w:t>
            </w:r>
          </w:p>
          <w:p w14:paraId="1AB9FDE3" w14:textId="77777777" w:rsidR="00BC0E7E" w:rsidRPr="00BC0E7E" w:rsidRDefault="00944B8F" w:rsidP="00BC0E7E">
            <w:pPr>
              <w:keepNext/>
              <w:rPr>
                <w:bCs/>
                <w:szCs w:val="22"/>
                <w:lang w:val="fi-FI"/>
              </w:rPr>
            </w:pPr>
            <w:r w:rsidRPr="00EC44BE">
              <w:rPr>
                <w:bCs/>
                <w:szCs w:val="22"/>
              </w:rPr>
              <w:t>Puh/Tel:  +358 (0)10 2411 200</w:t>
            </w:r>
          </w:p>
        </w:tc>
      </w:tr>
      <w:tr w:rsidR="00C6578C" w14:paraId="581D152F" w14:textId="77777777" w:rsidTr="00171601">
        <w:trPr>
          <w:gridBefore w:val="1"/>
          <w:wBefore w:w="34" w:type="dxa"/>
        </w:trPr>
        <w:tc>
          <w:tcPr>
            <w:tcW w:w="4644" w:type="dxa"/>
          </w:tcPr>
          <w:p w14:paraId="7D2D70BA" w14:textId="77777777" w:rsidR="00BC0E7E" w:rsidRPr="00BC0E7E" w:rsidRDefault="00944B8F" w:rsidP="00BC0E7E">
            <w:pPr>
              <w:rPr>
                <w:b/>
                <w:bCs/>
                <w:szCs w:val="22"/>
                <w:lang w:val="el-GR"/>
              </w:rPr>
            </w:pPr>
            <w:r w:rsidRPr="00BC0E7E">
              <w:rPr>
                <w:b/>
                <w:bCs/>
                <w:szCs w:val="22"/>
                <w:lang w:val="el-GR"/>
              </w:rPr>
              <w:t>Κύπρος</w:t>
            </w:r>
          </w:p>
          <w:p w14:paraId="534A8AD4" w14:textId="77777777" w:rsidR="00BC0E7E" w:rsidRPr="00BC0E7E" w:rsidRDefault="00944B8F" w:rsidP="00BC0E7E">
            <w:pPr>
              <w:rPr>
                <w:bCs/>
                <w:szCs w:val="22"/>
                <w:lang w:val="el-GR"/>
              </w:rPr>
            </w:pPr>
            <w:r w:rsidRPr="00BC0E7E">
              <w:rPr>
                <w:bCs/>
                <w:szCs w:val="22"/>
                <w:lang w:val="it-IT"/>
              </w:rPr>
              <w:t>Lifepharma (Z.A.M.) Ltd</w:t>
            </w:r>
          </w:p>
          <w:p w14:paraId="6DBCB936" w14:textId="77777777" w:rsidR="00BC0E7E" w:rsidRDefault="00944B8F" w:rsidP="00BC0E7E">
            <w:pPr>
              <w:rPr>
                <w:bCs/>
                <w:szCs w:val="22"/>
                <w:lang w:val="el-GR"/>
              </w:rPr>
            </w:pPr>
            <w:r w:rsidRPr="00BC0E7E">
              <w:rPr>
                <w:bCs/>
                <w:szCs w:val="22"/>
                <w:lang w:val="el-GR"/>
              </w:rPr>
              <w:t>Τηλ.: +357 22 34 74 40</w:t>
            </w:r>
          </w:p>
          <w:p w14:paraId="7C1A306B" w14:textId="77777777" w:rsidR="0099655D" w:rsidRPr="00BC0E7E" w:rsidRDefault="0099655D" w:rsidP="00BC0E7E">
            <w:pPr>
              <w:rPr>
                <w:bCs/>
                <w:szCs w:val="22"/>
                <w:lang w:val="fi-FI"/>
              </w:rPr>
            </w:pPr>
          </w:p>
        </w:tc>
        <w:tc>
          <w:tcPr>
            <w:tcW w:w="4678" w:type="dxa"/>
          </w:tcPr>
          <w:p w14:paraId="13C076FA" w14:textId="77777777" w:rsidR="00BC0E7E" w:rsidRPr="00BC0E7E" w:rsidRDefault="00944B8F" w:rsidP="00BC0E7E">
            <w:pPr>
              <w:rPr>
                <w:b/>
                <w:bCs/>
                <w:szCs w:val="22"/>
                <w:lang w:val="sv-SE"/>
              </w:rPr>
            </w:pPr>
            <w:r w:rsidRPr="00BC0E7E">
              <w:rPr>
                <w:b/>
                <w:bCs/>
                <w:szCs w:val="22"/>
                <w:lang w:val="sv-SE"/>
              </w:rPr>
              <w:t>Sverige</w:t>
            </w:r>
          </w:p>
          <w:p w14:paraId="59A12345" w14:textId="77777777" w:rsidR="00BC0E7E" w:rsidRPr="00BC0E7E" w:rsidRDefault="00944B8F" w:rsidP="00BC0E7E">
            <w:pPr>
              <w:rPr>
                <w:bCs/>
                <w:szCs w:val="22"/>
                <w:lang w:val="pt-PT"/>
              </w:rPr>
            </w:pPr>
            <w:r w:rsidRPr="00BC0E7E">
              <w:rPr>
                <w:bCs/>
                <w:szCs w:val="22"/>
                <w:lang w:val="pt-PT"/>
              </w:rPr>
              <w:t>AbbVie AB</w:t>
            </w:r>
          </w:p>
          <w:p w14:paraId="15D2EEBA" w14:textId="77777777" w:rsidR="00BC0E7E" w:rsidRPr="00BC0E7E" w:rsidRDefault="00944B8F" w:rsidP="00BC0E7E">
            <w:pPr>
              <w:rPr>
                <w:bCs/>
                <w:szCs w:val="22"/>
                <w:lang w:val="sv-SE"/>
              </w:rPr>
            </w:pPr>
            <w:r w:rsidRPr="00BC0E7E">
              <w:rPr>
                <w:bCs/>
                <w:szCs w:val="22"/>
                <w:lang w:val="da-DK"/>
              </w:rPr>
              <w:t>Tel:  +46 (0)8 684 44 600</w:t>
            </w:r>
          </w:p>
        </w:tc>
      </w:tr>
      <w:tr w:rsidR="00C6578C" w14:paraId="3406E5D9" w14:textId="77777777" w:rsidTr="00852331">
        <w:trPr>
          <w:gridBefore w:val="1"/>
          <w:wBefore w:w="34" w:type="dxa"/>
          <w:cantSplit/>
          <w:trHeight w:val="623"/>
        </w:trPr>
        <w:tc>
          <w:tcPr>
            <w:tcW w:w="4644" w:type="dxa"/>
          </w:tcPr>
          <w:p w14:paraId="6EC28E14" w14:textId="77777777" w:rsidR="00BC0E7E" w:rsidRPr="00BC0E7E" w:rsidRDefault="00944B8F" w:rsidP="00BC0E7E">
            <w:pPr>
              <w:rPr>
                <w:b/>
                <w:bCs/>
                <w:szCs w:val="22"/>
                <w:lang w:val="lv-LV"/>
              </w:rPr>
            </w:pPr>
            <w:r w:rsidRPr="00BC0E7E">
              <w:rPr>
                <w:b/>
                <w:bCs/>
                <w:szCs w:val="22"/>
                <w:lang w:val="lv-LV"/>
              </w:rPr>
              <w:t>Latvija</w:t>
            </w:r>
          </w:p>
          <w:p w14:paraId="38D18595" w14:textId="77777777" w:rsidR="00BC0E7E" w:rsidRPr="00BC0E7E" w:rsidRDefault="00944B8F" w:rsidP="00BC0E7E">
            <w:pPr>
              <w:rPr>
                <w:bCs/>
                <w:szCs w:val="22"/>
                <w:lang w:val="lv-LV"/>
              </w:rPr>
            </w:pPr>
            <w:r w:rsidRPr="00BC0E7E">
              <w:rPr>
                <w:bCs/>
                <w:szCs w:val="22"/>
                <w:lang w:val="lv-LV"/>
              </w:rPr>
              <w:t xml:space="preserve">AbbVie SIA </w:t>
            </w:r>
          </w:p>
          <w:p w14:paraId="58FE89C2" w14:textId="77777777" w:rsidR="00BC0E7E" w:rsidRPr="00BC0E7E" w:rsidRDefault="00944B8F" w:rsidP="00BC0E7E">
            <w:pPr>
              <w:rPr>
                <w:bCs/>
                <w:szCs w:val="22"/>
                <w:lang w:val="lv-LV"/>
              </w:rPr>
            </w:pPr>
            <w:r w:rsidRPr="00BC0E7E">
              <w:rPr>
                <w:bCs/>
                <w:szCs w:val="22"/>
                <w:lang w:val="lv-LV"/>
              </w:rPr>
              <w:t>Tel: +371 67605000</w:t>
            </w:r>
          </w:p>
        </w:tc>
        <w:tc>
          <w:tcPr>
            <w:tcW w:w="4678" w:type="dxa"/>
          </w:tcPr>
          <w:p w14:paraId="37F7AF25" w14:textId="77777777" w:rsidR="00BC0E7E" w:rsidRPr="00BC0E7E" w:rsidRDefault="00BC0E7E" w:rsidP="00BC0E7E">
            <w:pPr>
              <w:rPr>
                <w:bCs/>
                <w:szCs w:val="22"/>
                <w:lang w:val="lv-LV"/>
              </w:rPr>
            </w:pPr>
          </w:p>
        </w:tc>
      </w:tr>
    </w:tbl>
    <w:p w14:paraId="07AC93A5" w14:textId="77777777" w:rsidR="00BC0E7E" w:rsidRPr="00BC0E7E" w:rsidRDefault="00BC0E7E" w:rsidP="00BC0E7E"/>
    <w:p w14:paraId="02A8E44E" w14:textId="77777777" w:rsidR="00BC0E7E" w:rsidRPr="00BC0E7E" w:rsidRDefault="00944B8F" w:rsidP="00BC0E7E">
      <w:pPr>
        <w:keepNext/>
        <w:numPr>
          <w:ilvl w:val="12"/>
          <w:numId w:val="0"/>
        </w:numPr>
        <w:tabs>
          <w:tab w:val="clear" w:pos="562"/>
        </w:tabs>
        <w:ind w:right="-2"/>
        <w:rPr>
          <w:b/>
        </w:rPr>
      </w:pPr>
      <w:r w:rsidRPr="00BC0E7E">
        <w:rPr>
          <w:b/>
        </w:rPr>
        <w:t>This leaflet was last revised in</w:t>
      </w:r>
    </w:p>
    <w:p w14:paraId="244B4321" w14:textId="77777777" w:rsidR="00BC0E7E" w:rsidRPr="00BC0E7E" w:rsidRDefault="00BC0E7E" w:rsidP="00BC0E7E">
      <w:pPr>
        <w:keepNext/>
        <w:ind w:right="-449"/>
      </w:pPr>
    </w:p>
    <w:p w14:paraId="765B04B5" w14:textId="77777777" w:rsidR="00BC0E7E" w:rsidRPr="00BC0E7E" w:rsidRDefault="00944B8F" w:rsidP="00BC0E7E">
      <w:pPr>
        <w:keepNext/>
        <w:ind w:right="-449"/>
        <w:rPr>
          <w:noProof/>
          <w:szCs w:val="22"/>
        </w:rPr>
      </w:pPr>
      <w:r w:rsidRPr="00BC0E7E">
        <w:rPr>
          <w:iCs/>
          <w:noProof/>
          <w:szCs w:val="22"/>
        </w:rPr>
        <w:t xml:space="preserve">Detailed information on this medicine is available on the European Medicines Agency web site: </w:t>
      </w:r>
      <w:ins w:id="13694" w:author="AbbVie19" w:date="2025-04-17T11:08:00Z">
        <w:r w:rsidR="00E27926">
          <w:rPr>
            <w:noProof/>
            <w:szCs w:val="22"/>
          </w:rPr>
          <w:fldChar w:fldCharType="begin"/>
        </w:r>
        <w:r w:rsidR="00E27926">
          <w:rPr>
            <w:noProof/>
            <w:szCs w:val="22"/>
          </w:rPr>
          <w:instrText>HYPERLINK "</w:instrText>
        </w:r>
      </w:ins>
      <w:r w:rsidR="00E27926" w:rsidRPr="00E27926">
        <w:rPr>
          <w:rStyle w:val="Hyperlink"/>
          <w:noProof/>
          <w:szCs w:val="22"/>
        </w:rPr>
        <w:instrText>http</w:instrText>
      </w:r>
      <w:ins w:id="13695" w:author="AbbVie19" w:date="2025-04-17T11:08:00Z">
        <w:r w:rsidR="00E27926" w:rsidRPr="00E27926">
          <w:rPr>
            <w:rStyle w:val="Hyperlink"/>
            <w:noProof/>
            <w:szCs w:val="22"/>
          </w:rPr>
          <w:instrText>s</w:instrText>
        </w:r>
      </w:ins>
      <w:r w:rsidR="00E27926" w:rsidRPr="00E27926">
        <w:rPr>
          <w:rStyle w:val="Hyperlink"/>
          <w:noProof/>
          <w:szCs w:val="22"/>
        </w:rPr>
        <w:instrText>://www.ema.europa.eu</w:instrText>
      </w:r>
      <w:ins w:id="13696" w:author="AbbVie19" w:date="2025-04-17T11:08:00Z">
        <w:r w:rsidR="00E27926">
          <w:rPr>
            <w:noProof/>
            <w:szCs w:val="22"/>
          </w:rPr>
          <w:instrText>"</w:instrText>
        </w:r>
        <w:r w:rsidR="00E27926">
          <w:rPr>
            <w:noProof/>
            <w:szCs w:val="22"/>
          </w:rPr>
        </w:r>
        <w:r w:rsidR="00E27926">
          <w:rPr>
            <w:noProof/>
            <w:szCs w:val="22"/>
          </w:rPr>
          <w:fldChar w:fldCharType="separate"/>
        </w:r>
      </w:ins>
      <w:r w:rsidR="00E27926" w:rsidRPr="00E27926">
        <w:rPr>
          <w:rStyle w:val="Hyperlink"/>
          <w:noProof/>
          <w:szCs w:val="22"/>
        </w:rPr>
        <w:t>http</w:t>
      </w:r>
      <w:ins w:id="13697" w:author="AbbVie19" w:date="2025-04-17T11:08:00Z">
        <w:r w:rsidR="00E27926" w:rsidRPr="00E27926">
          <w:rPr>
            <w:rStyle w:val="Hyperlink"/>
            <w:noProof/>
            <w:szCs w:val="22"/>
          </w:rPr>
          <w:t>s</w:t>
        </w:r>
      </w:ins>
      <w:r w:rsidR="00E27926" w:rsidRPr="00E27926">
        <w:rPr>
          <w:rStyle w:val="Hyperlink"/>
          <w:noProof/>
          <w:szCs w:val="22"/>
        </w:rPr>
        <w:t>://www.ema.europa.eu</w:t>
      </w:r>
      <w:ins w:id="13698" w:author="AbbVie19" w:date="2025-04-17T11:08:00Z">
        <w:r w:rsidR="00E27926">
          <w:rPr>
            <w:noProof/>
            <w:szCs w:val="22"/>
          </w:rPr>
          <w:fldChar w:fldCharType="end"/>
        </w:r>
      </w:ins>
      <w:r w:rsidRPr="00BC0E7E">
        <w:rPr>
          <w:noProof/>
          <w:szCs w:val="22"/>
        </w:rPr>
        <w:t>.</w:t>
      </w:r>
    </w:p>
    <w:p w14:paraId="1CD07BAF" w14:textId="77777777" w:rsidR="00BC0E7E" w:rsidRPr="00BC0E7E" w:rsidRDefault="00BC0E7E" w:rsidP="00BC0E7E">
      <w:pPr>
        <w:ind w:right="-449"/>
        <w:rPr>
          <w:noProof/>
          <w:szCs w:val="22"/>
        </w:rPr>
      </w:pPr>
    </w:p>
    <w:p w14:paraId="052599A8" w14:textId="77777777" w:rsidR="00BC0E7E" w:rsidRPr="001B6DEE" w:rsidRDefault="00944B8F" w:rsidP="00BC0E7E">
      <w:pPr>
        <w:numPr>
          <w:ilvl w:val="12"/>
          <w:numId w:val="0"/>
        </w:numPr>
        <w:ind w:right="-2"/>
        <w:rPr>
          <w:b/>
          <w:color w:val="000000"/>
        </w:rPr>
      </w:pPr>
      <w:r w:rsidRPr="001B6DEE">
        <w:rPr>
          <w:b/>
          <w:color w:val="000000"/>
        </w:rPr>
        <w:t xml:space="preserve">To listen to or request a copy of this leaflet in </w:t>
      </w:r>
      <w:r w:rsidRPr="001B6DEE">
        <w:rPr>
          <w:b/>
          <w:color w:val="000000"/>
          <w:shd w:val="clear" w:color="auto" w:fill="A6A6A6"/>
        </w:rPr>
        <w:t>&lt;Braille&gt;, &lt;large print&gt; or &lt;audio</w:t>
      </w:r>
      <w:r w:rsidRPr="001B6DEE">
        <w:rPr>
          <w:b/>
          <w:color w:val="000000"/>
          <w:highlight w:val="darkGray"/>
        </w:rPr>
        <w:t>&gt;</w:t>
      </w:r>
      <w:r w:rsidRPr="001B6DEE">
        <w:rPr>
          <w:b/>
          <w:color w:val="000000"/>
        </w:rPr>
        <w:t>, please contact the local representative of the Marketing Authorisation Holder.</w:t>
      </w:r>
    </w:p>
    <w:p w14:paraId="0E847489" w14:textId="77777777" w:rsidR="00BC0E7E" w:rsidRDefault="00BC0E7E" w:rsidP="00BC0E7E">
      <w:pPr>
        <w:ind w:right="-449"/>
        <w:rPr>
          <w:noProof/>
          <w:szCs w:val="22"/>
        </w:rPr>
      </w:pPr>
    </w:p>
    <w:p w14:paraId="0A776F95" w14:textId="77777777" w:rsidR="00852331" w:rsidRPr="00BC0E7E" w:rsidRDefault="00852331" w:rsidP="00BC0E7E">
      <w:pPr>
        <w:ind w:right="-449"/>
        <w:rPr>
          <w:noProof/>
          <w:szCs w:val="22"/>
        </w:rPr>
      </w:pPr>
    </w:p>
    <w:p w14:paraId="2300695E" w14:textId="77777777" w:rsidR="00BC0E7E" w:rsidRPr="00BC0E7E" w:rsidRDefault="00944B8F" w:rsidP="00BC0E7E">
      <w:pPr>
        <w:keepNext/>
        <w:outlineLvl w:val="0"/>
        <w:rPr>
          <w:b/>
          <w:caps/>
          <w:szCs w:val="20"/>
        </w:rPr>
      </w:pPr>
      <w:r w:rsidRPr="00BC0E7E">
        <w:rPr>
          <w:b/>
          <w:caps/>
          <w:szCs w:val="20"/>
        </w:rPr>
        <w:t xml:space="preserve">7. </w:t>
      </w:r>
      <w:r w:rsidRPr="00BC0E7E">
        <w:rPr>
          <w:b/>
          <w:caps/>
          <w:szCs w:val="20"/>
        </w:rPr>
        <w:tab/>
      </w:r>
      <w:r w:rsidR="006563C9">
        <w:rPr>
          <w:b/>
        </w:rPr>
        <w:t>Injecting Humira</w:t>
      </w:r>
    </w:p>
    <w:p w14:paraId="61D70480" w14:textId="77777777" w:rsidR="00BC0E7E" w:rsidRPr="00BC0E7E" w:rsidRDefault="00BC0E7E" w:rsidP="00BC0E7E">
      <w:pPr>
        <w:keepNext/>
        <w:tabs>
          <w:tab w:val="clear" w:pos="562"/>
        </w:tabs>
        <w:suppressAutoHyphens w:val="0"/>
        <w:spacing w:line="280" w:lineRule="atLeast"/>
        <w:rPr>
          <w:rFonts w:ascii="Verdana" w:eastAsia="Verdana" w:hAnsi="Verdana"/>
          <w:sz w:val="18"/>
          <w:szCs w:val="18"/>
          <w:lang w:eastAsia="x-none"/>
        </w:rPr>
      </w:pPr>
    </w:p>
    <w:p w14:paraId="10D49C09" w14:textId="77777777" w:rsidR="00BC0E7E" w:rsidRPr="00BC0E7E" w:rsidRDefault="00944B8F" w:rsidP="00D51999">
      <w:pPr>
        <w:keepNext/>
        <w:numPr>
          <w:ilvl w:val="0"/>
          <w:numId w:val="61"/>
        </w:numPr>
        <w:tabs>
          <w:tab w:val="clear" w:pos="562"/>
        </w:tabs>
      </w:pPr>
      <w:r w:rsidRPr="00BC0E7E">
        <w:t>The following instructions explain how to give yourself a</w:t>
      </w:r>
      <w:r w:rsidR="00DF6394">
        <w:t xml:space="preserve"> subcutaneous</w:t>
      </w:r>
      <w:r w:rsidRPr="00BC0E7E">
        <w:t xml:space="preserve"> injection of Humira using the pre-filled pen. First read all the instructions carefully and then follow them step by step. </w:t>
      </w:r>
    </w:p>
    <w:p w14:paraId="4772D093" w14:textId="77777777" w:rsidR="00BC0E7E" w:rsidRPr="00BC0E7E" w:rsidRDefault="00BC0E7E" w:rsidP="00BC0E7E">
      <w:pPr>
        <w:keepNext/>
        <w:tabs>
          <w:tab w:val="clear" w:pos="562"/>
        </w:tabs>
        <w:ind w:left="720"/>
      </w:pPr>
    </w:p>
    <w:p w14:paraId="1AB85FEF" w14:textId="77777777" w:rsidR="00BC0E7E" w:rsidRPr="00BC0E7E" w:rsidRDefault="00944B8F" w:rsidP="00D51999">
      <w:pPr>
        <w:keepNext/>
        <w:numPr>
          <w:ilvl w:val="0"/>
          <w:numId w:val="61"/>
        </w:numPr>
        <w:tabs>
          <w:tab w:val="clear" w:pos="562"/>
        </w:tabs>
      </w:pPr>
      <w:r w:rsidRPr="00BC0E7E">
        <w:t xml:space="preserve">You will be instructed by your doctor, nurse or pharmacist on the technique of self-injection. </w:t>
      </w:r>
    </w:p>
    <w:p w14:paraId="2E452712" w14:textId="77777777" w:rsidR="00BC0E7E" w:rsidRPr="00BC0E7E" w:rsidRDefault="00BC0E7E" w:rsidP="00BC0E7E">
      <w:pPr>
        <w:keepNext/>
        <w:tabs>
          <w:tab w:val="clear" w:pos="562"/>
        </w:tabs>
        <w:ind w:left="720"/>
      </w:pPr>
    </w:p>
    <w:p w14:paraId="2DF8AFD0" w14:textId="77777777" w:rsidR="00BC0E7E" w:rsidRPr="00BC0E7E" w:rsidRDefault="00944B8F" w:rsidP="00D51999">
      <w:pPr>
        <w:keepNext/>
        <w:numPr>
          <w:ilvl w:val="0"/>
          <w:numId w:val="61"/>
        </w:numPr>
        <w:tabs>
          <w:tab w:val="clear" w:pos="562"/>
        </w:tabs>
      </w:pPr>
      <w:r w:rsidRPr="00BC0E7E">
        <w:t xml:space="preserve">Do not attempt to self-inject until you are sure that you understand how to prepare and give the injection. </w:t>
      </w:r>
    </w:p>
    <w:p w14:paraId="387D82F9" w14:textId="77777777" w:rsidR="00BC0E7E" w:rsidRPr="00BC0E7E" w:rsidRDefault="00BC0E7E" w:rsidP="00BC0E7E">
      <w:pPr>
        <w:keepNext/>
        <w:tabs>
          <w:tab w:val="clear" w:pos="562"/>
        </w:tabs>
        <w:ind w:left="720"/>
      </w:pPr>
    </w:p>
    <w:p w14:paraId="42165E14" w14:textId="77777777" w:rsidR="00BC0E7E" w:rsidRPr="00BC0E7E" w:rsidRDefault="00944B8F" w:rsidP="00D51999">
      <w:pPr>
        <w:keepNext/>
        <w:numPr>
          <w:ilvl w:val="0"/>
          <w:numId w:val="61"/>
        </w:numPr>
        <w:tabs>
          <w:tab w:val="clear" w:pos="562"/>
        </w:tabs>
      </w:pPr>
      <w:r w:rsidRPr="00BC0E7E">
        <w:t>After proper training, the injection can be given by yourself or given by another person, for example, a family member or friend.</w:t>
      </w:r>
    </w:p>
    <w:p w14:paraId="6F23F403" w14:textId="77777777" w:rsidR="00BC0E7E" w:rsidRPr="00BC0E7E" w:rsidRDefault="00BC0E7E" w:rsidP="00BC0E7E">
      <w:pPr>
        <w:keepNext/>
        <w:tabs>
          <w:tab w:val="clear" w:pos="562"/>
        </w:tabs>
        <w:ind w:left="720"/>
      </w:pPr>
    </w:p>
    <w:p w14:paraId="5155139F" w14:textId="77777777" w:rsidR="00BC0E7E" w:rsidRPr="00BC0E7E" w:rsidRDefault="00944B8F" w:rsidP="00D51999">
      <w:pPr>
        <w:keepNext/>
        <w:numPr>
          <w:ilvl w:val="0"/>
          <w:numId w:val="61"/>
        </w:numPr>
        <w:tabs>
          <w:tab w:val="clear" w:pos="562"/>
        </w:tabs>
        <w:rPr>
          <w:szCs w:val="20"/>
        </w:rPr>
      </w:pPr>
      <w:r w:rsidRPr="00BC0E7E">
        <w:rPr>
          <w:szCs w:val="20"/>
        </w:rPr>
        <w:t>Only use each pre-filled pen for one injection.</w:t>
      </w:r>
    </w:p>
    <w:p w14:paraId="47DE9068" w14:textId="77777777" w:rsidR="00BC0E7E" w:rsidRPr="00BC0E7E" w:rsidRDefault="00BC0E7E" w:rsidP="00BC0E7E"/>
    <w:p w14:paraId="4056B0DC" w14:textId="77777777" w:rsidR="00BC0E7E" w:rsidRPr="00BC0E7E" w:rsidRDefault="00944B8F" w:rsidP="00BC0E7E">
      <w:pPr>
        <w:keepNext/>
        <w:rPr>
          <w:b/>
          <w:szCs w:val="20"/>
        </w:rPr>
      </w:pPr>
      <w:r w:rsidRPr="00BC0E7E">
        <w:rPr>
          <w:b/>
          <w:szCs w:val="20"/>
        </w:rPr>
        <w:lastRenderedPageBreak/>
        <w:t>Humira Pre-filled Pen</w:t>
      </w:r>
    </w:p>
    <w:p w14:paraId="58CBC1E9" w14:textId="77777777" w:rsidR="00BC0E7E" w:rsidRPr="00BC0E7E" w:rsidRDefault="00BC0E7E" w:rsidP="00BC0E7E">
      <w:pPr>
        <w:keepNext/>
        <w:rPr>
          <w:szCs w:val="20"/>
        </w:rPr>
      </w:pPr>
    </w:p>
    <w:p w14:paraId="1BDAE741" w14:textId="77777777" w:rsidR="00BC0E7E" w:rsidRPr="00BC0E7E" w:rsidRDefault="00944B8F" w:rsidP="00BC0E7E">
      <w:pPr>
        <w:keepNext/>
        <w:rPr>
          <w:b/>
          <w:szCs w:val="20"/>
        </w:rPr>
      </w:pPr>
      <w:r w:rsidRPr="00BC0E7E">
        <w:rPr>
          <w:b/>
          <w:szCs w:val="20"/>
        </w:rPr>
        <w:t xml:space="preserve">   Grey Cap 1     White Needle Sleeve      White Arrow                                    Plum-coloured Cap 2</w:t>
      </w:r>
    </w:p>
    <w:p w14:paraId="37E679C3" w14:textId="77777777" w:rsidR="00BC0E7E" w:rsidRPr="00BC0E7E" w:rsidRDefault="00944B8F" w:rsidP="00BC0E7E">
      <w:pPr>
        <w:keepNext/>
        <w:rPr>
          <w:szCs w:val="20"/>
        </w:rPr>
      </w:pPr>
      <w:r>
        <w:rPr>
          <w:noProof/>
          <w:szCs w:val="20"/>
          <w:lang w:val="en-US"/>
        </w:rPr>
        <w:drawing>
          <wp:inline distT="0" distB="0" distL="0" distR="0" wp14:anchorId="2E40665E" wp14:editId="77A3FB23">
            <wp:extent cx="5883910" cy="1431290"/>
            <wp:effectExtent l="0" t="0" r="2540" b="0"/>
            <wp:docPr id="118" name="Picture 118" descr="HUMIRAPE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77" descr="HUMIRAPEN_grey"/>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5883910" cy="1431290"/>
                    </a:xfrm>
                    <a:prstGeom prst="rect">
                      <a:avLst/>
                    </a:prstGeom>
                    <a:noFill/>
                    <a:ln>
                      <a:noFill/>
                    </a:ln>
                  </pic:spPr>
                </pic:pic>
              </a:graphicData>
            </a:graphic>
          </wp:inline>
        </w:drawing>
      </w:r>
    </w:p>
    <w:p w14:paraId="1FD9FCD1" w14:textId="77777777" w:rsidR="00BC0E7E" w:rsidRPr="00BC0E7E" w:rsidRDefault="00944B8F" w:rsidP="00BC0E7E">
      <w:pPr>
        <w:rPr>
          <w:b/>
          <w:szCs w:val="20"/>
        </w:rPr>
      </w:pPr>
      <w:r w:rsidRPr="00BC0E7E">
        <w:rPr>
          <w:b/>
          <w:szCs w:val="20"/>
        </w:rPr>
        <w:t xml:space="preserve">                              Needle           Inspection Window                    Plum Activator Button     </w:t>
      </w:r>
    </w:p>
    <w:p w14:paraId="08C4A2A4" w14:textId="77777777" w:rsidR="00BC0E7E" w:rsidRPr="00BC0E7E" w:rsidRDefault="00944B8F" w:rsidP="00BC0E7E">
      <w:pPr>
        <w:rPr>
          <w:b/>
          <w:szCs w:val="20"/>
        </w:rPr>
      </w:pPr>
      <w:r w:rsidRPr="00BC0E7E">
        <w:rPr>
          <w:b/>
          <w:szCs w:val="20"/>
        </w:rPr>
        <w:t xml:space="preserve">           </w:t>
      </w:r>
    </w:p>
    <w:p w14:paraId="7AA01057" w14:textId="77777777" w:rsidR="00BC0E7E" w:rsidRPr="00BC0E7E" w:rsidRDefault="00944B8F" w:rsidP="00BC0E7E">
      <w:pPr>
        <w:keepNext/>
        <w:rPr>
          <w:b/>
          <w:szCs w:val="20"/>
        </w:rPr>
      </w:pPr>
      <w:r w:rsidRPr="00BC0E7E">
        <w:rPr>
          <w:b/>
          <w:szCs w:val="20"/>
        </w:rPr>
        <w:t>Do not use the pre-filled pen and call your doctor or pharmacist if the</w:t>
      </w:r>
    </w:p>
    <w:p w14:paraId="699FE498" w14:textId="77777777" w:rsidR="00BC0E7E" w:rsidRPr="00BC0E7E" w:rsidRDefault="00BC0E7E" w:rsidP="00BC0E7E">
      <w:pPr>
        <w:rPr>
          <w:szCs w:val="20"/>
        </w:rPr>
      </w:pPr>
    </w:p>
    <w:p w14:paraId="36119953" w14:textId="77777777" w:rsidR="00BC0E7E" w:rsidRPr="00BC0E7E" w:rsidRDefault="00944B8F" w:rsidP="00D51999">
      <w:pPr>
        <w:keepNext/>
        <w:numPr>
          <w:ilvl w:val="0"/>
          <w:numId w:val="62"/>
        </w:numPr>
        <w:tabs>
          <w:tab w:val="clear" w:pos="562"/>
          <w:tab w:val="left" w:pos="720"/>
        </w:tabs>
        <w:rPr>
          <w:szCs w:val="20"/>
        </w:rPr>
      </w:pPr>
      <w:r w:rsidRPr="00BC0E7E">
        <w:rPr>
          <w:szCs w:val="20"/>
        </w:rPr>
        <w:t>liquid is cloudy, discoloured, or has flakes or particles in it</w:t>
      </w:r>
    </w:p>
    <w:p w14:paraId="5C33D387" w14:textId="77777777" w:rsidR="00BC0E7E" w:rsidRPr="00BC0E7E" w:rsidRDefault="00944B8F" w:rsidP="00D51999">
      <w:pPr>
        <w:keepNext/>
        <w:numPr>
          <w:ilvl w:val="0"/>
          <w:numId w:val="62"/>
        </w:numPr>
        <w:tabs>
          <w:tab w:val="clear" w:pos="562"/>
          <w:tab w:val="left" w:pos="720"/>
        </w:tabs>
        <w:rPr>
          <w:szCs w:val="20"/>
        </w:rPr>
      </w:pPr>
      <w:r w:rsidRPr="00BC0E7E">
        <w:rPr>
          <w:szCs w:val="20"/>
        </w:rPr>
        <w:t>expiry (EXP) date has passed</w:t>
      </w:r>
    </w:p>
    <w:p w14:paraId="4B46BBBB" w14:textId="77777777" w:rsidR="00BC0E7E" w:rsidRPr="00BC0E7E" w:rsidRDefault="00944B8F" w:rsidP="00D51999">
      <w:pPr>
        <w:keepNext/>
        <w:numPr>
          <w:ilvl w:val="0"/>
          <w:numId w:val="62"/>
        </w:numPr>
        <w:tabs>
          <w:tab w:val="clear" w:pos="562"/>
          <w:tab w:val="left" w:pos="720"/>
        </w:tabs>
        <w:rPr>
          <w:szCs w:val="20"/>
        </w:rPr>
      </w:pPr>
      <w:r w:rsidRPr="00BC0E7E">
        <w:rPr>
          <w:szCs w:val="20"/>
        </w:rPr>
        <w:t>liquid has been frozen or left in direct sunlight</w:t>
      </w:r>
    </w:p>
    <w:p w14:paraId="739CDF07" w14:textId="77777777" w:rsidR="00BC0E7E" w:rsidRPr="00BC0E7E" w:rsidRDefault="00944B8F" w:rsidP="00D51999">
      <w:pPr>
        <w:keepNext/>
        <w:numPr>
          <w:ilvl w:val="0"/>
          <w:numId w:val="62"/>
        </w:numPr>
        <w:tabs>
          <w:tab w:val="clear" w:pos="562"/>
          <w:tab w:val="left" w:pos="720"/>
        </w:tabs>
        <w:rPr>
          <w:szCs w:val="20"/>
        </w:rPr>
      </w:pPr>
      <w:r w:rsidRPr="00BC0E7E">
        <w:rPr>
          <w:szCs w:val="20"/>
        </w:rPr>
        <w:t>pre-filled pen has been dropped or crushed</w:t>
      </w:r>
    </w:p>
    <w:p w14:paraId="64251789" w14:textId="77777777" w:rsidR="00BC0E7E" w:rsidRPr="00BC0E7E" w:rsidRDefault="00BC0E7E" w:rsidP="00BC0E7E">
      <w:pPr>
        <w:rPr>
          <w:szCs w:val="20"/>
        </w:rPr>
      </w:pPr>
    </w:p>
    <w:p w14:paraId="7E04D6AE" w14:textId="77777777" w:rsidR="00BC0E7E" w:rsidRPr="00BC0E7E" w:rsidRDefault="00944B8F" w:rsidP="00BC0E7E">
      <w:pPr>
        <w:keepNext/>
        <w:tabs>
          <w:tab w:val="clear" w:pos="562"/>
          <w:tab w:val="left" w:pos="0"/>
        </w:tabs>
        <w:rPr>
          <w:b/>
          <w:szCs w:val="20"/>
        </w:rPr>
      </w:pPr>
      <w:r w:rsidRPr="00BC0E7E">
        <w:rPr>
          <w:b/>
          <w:szCs w:val="20"/>
        </w:rPr>
        <w:t>Do not remove the caps until just before injection. Keep Humira out of the sight and reach of children.</w:t>
      </w:r>
    </w:p>
    <w:p w14:paraId="1AACD157" w14:textId="77777777" w:rsidR="00BC0E7E" w:rsidRPr="00BC0E7E" w:rsidRDefault="00BC0E7E" w:rsidP="00BC0E7E">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C6578C" w14:paraId="7CED04DC" w14:textId="77777777" w:rsidTr="00171601">
        <w:tc>
          <w:tcPr>
            <w:tcW w:w="9287" w:type="dxa"/>
            <w:gridSpan w:val="2"/>
            <w:tcBorders>
              <w:bottom w:val="single" w:sz="4" w:space="0" w:color="auto"/>
            </w:tcBorders>
          </w:tcPr>
          <w:p w14:paraId="72E7C175" w14:textId="77777777" w:rsidR="00BC0E7E" w:rsidRPr="00BC0E7E" w:rsidRDefault="00944B8F" w:rsidP="00BC0E7E">
            <w:pPr>
              <w:rPr>
                <w:b/>
                <w:szCs w:val="20"/>
              </w:rPr>
            </w:pPr>
            <w:r w:rsidRPr="00BC0E7E">
              <w:rPr>
                <w:b/>
                <w:szCs w:val="20"/>
              </w:rPr>
              <w:t>STEP 1</w:t>
            </w:r>
          </w:p>
          <w:p w14:paraId="3FF590F4" w14:textId="77777777" w:rsidR="00BC0E7E" w:rsidRPr="00BC0E7E" w:rsidRDefault="00BC0E7E" w:rsidP="00BC0E7E">
            <w:pPr>
              <w:rPr>
                <w:szCs w:val="20"/>
              </w:rPr>
            </w:pPr>
          </w:p>
          <w:p w14:paraId="4AC6A666" w14:textId="77777777" w:rsidR="00BC0E7E" w:rsidRPr="00BC0E7E" w:rsidRDefault="00944B8F" w:rsidP="00BC0E7E">
            <w:pPr>
              <w:rPr>
                <w:szCs w:val="20"/>
              </w:rPr>
            </w:pPr>
            <w:r w:rsidRPr="00BC0E7E">
              <w:rPr>
                <w:szCs w:val="20"/>
              </w:rPr>
              <w:t>Take Humira out of the refrigerator.</w:t>
            </w:r>
          </w:p>
          <w:p w14:paraId="41EA7504" w14:textId="77777777" w:rsidR="00BC0E7E" w:rsidRPr="00BC0E7E" w:rsidRDefault="00BC0E7E" w:rsidP="00BC0E7E">
            <w:pPr>
              <w:rPr>
                <w:szCs w:val="20"/>
              </w:rPr>
            </w:pPr>
          </w:p>
          <w:p w14:paraId="5A97EBC0" w14:textId="77777777" w:rsidR="00BC0E7E" w:rsidRPr="00BC0E7E" w:rsidRDefault="00944B8F" w:rsidP="00BC0E7E">
            <w:pPr>
              <w:rPr>
                <w:szCs w:val="20"/>
              </w:rPr>
            </w:pPr>
            <w:r w:rsidRPr="00BC0E7E">
              <w:rPr>
                <w:szCs w:val="20"/>
              </w:rPr>
              <w:t xml:space="preserve">Leave Humira at room temperature for </w:t>
            </w:r>
            <w:r w:rsidRPr="00BC0E7E">
              <w:rPr>
                <w:b/>
                <w:szCs w:val="20"/>
              </w:rPr>
              <w:t xml:space="preserve">15 to 30 minutes </w:t>
            </w:r>
            <w:r w:rsidRPr="00BC0E7E">
              <w:rPr>
                <w:szCs w:val="20"/>
              </w:rPr>
              <w:t>before injecting.</w:t>
            </w:r>
          </w:p>
          <w:p w14:paraId="113C01AA" w14:textId="77777777" w:rsidR="00BC0E7E" w:rsidRPr="00BC0E7E" w:rsidRDefault="00BC0E7E" w:rsidP="00BC0E7E">
            <w:pPr>
              <w:rPr>
                <w:szCs w:val="20"/>
              </w:rPr>
            </w:pPr>
          </w:p>
          <w:p w14:paraId="4618933A" w14:textId="77777777" w:rsidR="00BC0E7E" w:rsidRPr="00BC0E7E" w:rsidRDefault="00944B8F" w:rsidP="00D51999">
            <w:pPr>
              <w:numPr>
                <w:ilvl w:val="0"/>
                <w:numId w:val="63"/>
              </w:numPr>
              <w:tabs>
                <w:tab w:val="clear" w:pos="562"/>
                <w:tab w:val="left" w:pos="720"/>
              </w:tabs>
              <w:rPr>
                <w:szCs w:val="20"/>
              </w:rPr>
            </w:pPr>
            <w:r w:rsidRPr="00BC0E7E">
              <w:rPr>
                <w:b/>
                <w:szCs w:val="20"/>
              </w:rPr>
              <w:t>Do not</w:t>
            </w:r>
            <w:r w:rsidRPr="00BC0E7E">
              <w:rPr>
                <w:szCs w:val="20"/>
              </w:rPr>
              <w:t xml:space="preserve"> remove the Grey or Plum-coloured Caps while allowing Humira to reach room temperature</w:t>
            </w:r>
          </w:p>
          <w:p w14:paraId="37D4E1F3" w14:textId="77777777" w:rsidR="00BC0E7E" w:rsidRPr="00BC0E7E" w:rsidRDefault="00944B8F" w:rsidP="00D51999">
            <w:pPr>
              <w:numPr>
                <w:ilvl w:val="0"/>
                <w:numId w:val="63"/>
              </w:numPr>
              <w:tabs>
                <w:tab w:val="clear" w:pos="562"/>
                <w:tab w:val="left" w:pos="720"/>
              </w:tabs>
              <w:rPr>
                <w:szCs w:val="20"/>
              </w:rPr>
            </w:pPr>
            <w:r w:rsidRPr="00BC0E7E">
              <w:rPr>
                <w:b/>
                <w:szCs w:val="20"/>
              </w:rPr>
              <w:t xml:space="preserve">Do not </w:t>
            </w:r>
            <w:r w:rsidRPr="00BC0E7E">
              <w:rPr>
                <w:szCs w:val="20"/>
              </w:rPr>
              <w:t xml:space="preserve">warm Humira in any other way. For example, </w:t>
            </w:r>
            <w:r w:rsidRPr="00BC0E7E">
              <w:rPr>
                <w:b/>
                <w:szCs w:val="20"/>
              </w:rPr>
              <w:t>do not</w:t>
            </w:r>
            <w:r w:rsidRPr="00BC0E7E">
              <w:rPr>
                <w:szCs w:val="20"/>
              </w:rPr>
              <w:t xml:space="preserve"> warm it in a microwave or in hot water</w:t>
            </w:r>
          </w:p>
        </w:tc>
      </w:tr>
      <w:tr w:rsidR="00C6578C" w14:paraId="4D045842" w14:textId="77777777" w:rsidTr="00171601">
        <w:tc>
          <w:tcPr>
            <w:tcW w:w="3708" w:type="dxa"/>
            <w:tcBorders>
              <w:right w:val="nil"/>
            </w:tcBorders>
          </w:tcPr>
          <w:p w14:paraId="2BE0671B" w14:textId="77777777" w:rsidR="00BC0E7E" w:rsidRPr="00BC0E7E" w:rsidRDefault="00944B8F" w:rsidP="00BC0E7E">
            <w:pPr>
              <w:keepNext/>
              <w:rPr>
                <w:b/>
                <w:noProof/>
                <w:szCs w:val="20"/>
              </w:rPr>
            </w:pPr>
            <w:r w:rsidRPr="00BC0E7E">
              <w:rPr>
                <w:b/>
                <w:noProof/>
                <w:szCs w:val="20"/>
              </w:rPr>
              <w:lastRenderedPageBreak/>
              <w:t xml:space="preserve">STEP 2 </w:t>
            </w:r>
          </w:p>
          <w:p w14:paraId="5AE041F6" w14:textId="77777777" w:rsidR="00BC0E7E" w:rsidRPr="00BC0E7E" w:rsidRDefault="00BC0E7E" w:rsidP="00BC0E7E">
            <w:pPr>
              <w:keepNext/>
              <w:rPr>
                <w:b/>
                <w:noProof/>
                <w:szCs w:val="20"/>
              </w:rPr>
            </w:pPr>
          </w:p>
          <w:p w14:paraId="684F5B52" w14:textId="77777777" w:rsidR="00BC0E7E" w:rsidRPr="00BC0E7E" w:rsidRDefault="00944B8F" w:rsidP="00BC0E7E">
            <w:pPr>
              <w:keepNext/>
              <w:rPr>
                <w:b/>
                <w:noProof/>
                <w:szCs w:val="20"/>
              </w:rPr>
            </w:pPr>
            <w:r w:rsidRPr="00BC0E7E">
              <w:rPr>
                <w:noProof/>
                <w:szCs w:val="20"/>
              </w:rPr>
              <w:t xml:space="preserve">               </w:t>
            </w:r>
            <w:r w:rsidRPr="00BC0E7E">
              <w:rPr>
                <w:b/>
                <w:noProof/>
                <w:szCs w:val="20"/>
              </w:rPr>
              <w:t>Pen</w:t>
            </w:r>
          </w:p>
          <w:p w14:paraId="476F5AA4" w14:textId="77777777" w:rsidR="00BC0E7E" w:rsidRPr="00BC0E7E" w:rsidRDefault="00944B8F" w:rsidP="00BC0E7E">
            <w:pPr>
              <w:keepNext/>
              <w:rPr>
                <w:noProof/>
                <w:szCs w:val="20"/>
              </w:rPr>
            </w:pPr>
            <w:r>
              <w:rPr>
                <w:noProof/>
                <w:szCs w:val="20"/>
                <w:lang w:val="en-US"/>
              </w:rPr>
              <w:drawing>
                <wp:inline distT="0" distB="0" distL="0" distR="0" wp14:anchorId="68E6697F" wp14:editId="6A6A09AC">
                  <wp:extent cx="2162810" cy="2289810"/>
                  <wp:effectExtent l="0" t="0" r="8890" b="0"/>
                  <wp:docPr id="117" name="Picture 117" descr="STEP2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78" descr="STEP2_grey"/>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2162810" cy="2289810"/>
                          </a:xfrm>
                          <a:prstGeom prst="rect">
                            <a:avLst/>
                          </a:prstGeom>
                          <a:noFill/>
                          <a:ln>
                            <a:noFill/>
                          </a:ln>
                        </pic:spPr>
                      </pic:pic>
                    </a:graphicData>
                  </a:graphic>
                </wp:inline>
              </w:drawing>
            </w:r>
          </w:p>
          <w:p w14:paraId="15F5171A" w14:textId="77777777" w:rsidR="00BC0E7E" w:rsidRPr="00BC0E7E" w:rsidRDefault="00944B8F" w:rsidP="00BC0E7E">
            <w:pPr>
              <w:keepNext/>
              <w:spacing w:before="100" w:beforeAutospacing="1" w:after="100" w:afterAutospacing="1"/>
              <w:rPr>
                <w:b/>
                <w:szCs w:val="20"/>
              </w:rPr>
            </w:pPr>
            <w:r w:rsidRPr="00BC0E7E">
              <w:rPr>
                <w:b/>
                <w:noProof/>
                <w:szCs w:val="20"/>
              </w:rPr>
              <w:t xml:space="preserve">                Pad</w:t>
            </w:r>
          </w:p>
        </w:tc>
        <w:tc>
          <w:tcPr>
            <w:tcW w:w="5579" w:type="dxa"/>
            <w:tcBorders>
              <w:left w:val="nil"/>
            </w:tcBorders>
          </w:tcPr>
          <w:p w14:paraId="76840BE5" w14:textId="77777777" w:rsidR="00BC0E7E" w:rsidRPr="00BC0E7E" w:rsidRDefault="00BC0E7E" w:rsidP="00BC0E7E">
            <w:pPr>
              <w:keepNext/>
              <w:rPr>
                <w:szCs w:val="20"/>
              </w:rPr>
            </w:pPr>
          </w:p>
          <w:p w14:paraId="42C94D06" w14:textId="77777777" w:rsidR="00BC0E7E" w:rsidRPr="00BC0E7E" w:rsidRDefault="00944B8F" w:rsidP="00BC0E7E">
            <w:pPr>
              <w:keepNext/>
              <w:rPr>
                <w:szCs w:val="20"/>
              </w:rPr>
            </w:pPr>
            <w:r w:rsidRPr="00BC0E7E">
              <w:rPr>
                <w:szCs w:val="20"/>
              </w:rPr>
              <w:t xml:space="preserve">Check expiry (EXP) date. </w:t>
            </w:r>
            <w:r w:rsidRPr="00BC0E7E">
              <w:rPr>
                <w:b/>
                <w:szCs w:val="20"/>
              </w:rPr>
              <w:t>Do not</w:t>
            </w:r>
            <w:r w:rsidRPr="00BC0E7E">
              <w:rPr>
                <w:szCs w:val="20"/>
              </w:rPr>
              <w:t xml:space="preserve"> use the pre-filled pen if expiry (EXP) date has passed.</w:t>
            </w:r>
          </w:p>
          <w:p w14:paraId="3F9CAA55" w14:textId="77777777" w:rsidR="00BC0E7E" w:rsidRPr="00BC0E7E" w:rsidRDefault="00BC0E7E" w:rsidP="00BC0E7E">
            <w:pPr>
              <w:keepNext/>
              <w:rPr>
                <w:szCs w:val="20"/>
              </w:rPr>
            </w:pPr>
          </w:p>
          <w:p w14:paraId="783F5FD5" w14:textId="77777777" w:rsidR="00BC0E7E" w:rsidRPr="00BC0E7E" w:rsidRDefault="00944B8F" w:rsidP="00BC0E7E">
            <w:pPr>
              <w:keepNext/>
              <w:rPr>
                <w:szCs w:val="20"/>
              </w:rPr>
            </w:pPr>
            <w:r w:rsidRPr="00BC0E7E">
              <w:rPr>
                <w:szCs w:val="20"/>
              </w:rPr>
              <w:t>Place the following on a clean, flat surface</w:t>
            </w:r>
          </w:p>
          <w:p w14:paraId="324C703B" w14:textId="77777777" w:rsidR="00BC0E7E" w:rsidRPr="00BC0E7E" w:rsidRDefault="00BC0E7E" w:rsidP="00BC0E7E">
            <w:pPr>
              <w:keepNext/>
              <w:rPr>
                <w:szCs w:val="20"/>
              </w:rPr>
            </w:pPr>
          </w:p>
          <w:p w14:paraId="397A5908" w14:textId="77777777" w:rsidR="00BC0E7E" w:rsidRPr="00BC0E7E" w:rsidRDefault="00944B8F" w:rsidP="00D51999">
            <w:pPr>
              <w:keepNext/>
              <w:numPr>
                <w:ilvl w:val="0"/>
                <w:numId w:val="64"/>
              </w:numPr>
              <w:tabs>
                <w:tab w:val="clear" w:pos="562"/>
                <w:tab w:val="left" w:pos="757"/>
              </w:tabs>
              <w:ind w:left="757"/>
              <w:rPr>
                <w:szCs w:val="20"/>
              </w:rPr>
            </w:pPr>
            <w:r w:rsidRPr="00BC0E7E">
              <w:rPr>
                <w:szCs w:val="20"/>
              </w:rPr>
              <w:t xml:space="preserve">1 single-use pre-filled pen and </w:t>
            </w:r>
          </w:p>
          <w:p w14:paraId="25B65A54" w14:textId="77777777" w:rsidR="00BC0E7E" w:rsidRPr="00BC0E7E" w:rsidRDefault="00944B8F" w:rsidP="00D51999">
            <w:pPr>
              <w:keepNext/>
              <w:numPr>
                <w:ilvl w:val="0"/>
                <w:numId w:val="64"/>
              </w:numPr>
              <w:tabs>
                <w:tab w:val="clear" w:pos="562"/>
                <w:tab w:val="left" w:pos="757"/>
              </w:tabs>
              <w:ind w:left="757"/>
              <w:rPr>
                <w:szCs w:val="20"/>
              </w:rPr>
            </w:pPr>
            <w:r w:rsidRPr="00BC0E7E">
              <w:rPr>
                <w:szCs w:val="20"/>
              </w:rPr>
              <w:t>1 alcohol pad</w:t>
            </w:r>
          </w:p>
          <w:p w14:paraId="5FB41ADC" w14:textId="77777777" w:rsidR="00BC0E7E" w:rsidRPr="00BC0E7E" w:rsidRDefault="00BC0E7E" w:rsidP="00BC0E7E">
            <w:pPr>
              <w:keepNext/>
              <w:rPr>
                <w:szCs w:val="20"/>
              </w:rPr>
            </w:pPr>
          </w:p>
          <w:p w14:paraId="1B775BAA" w14:textId="77777777" w:rsidR="00BC0E7E" w:rsidRPr="00BC0E7E" w:rsidRDefault="00944B8F" w:rsidP="00BC0E7E">
            <w:pPr>
              <w:keepNext/>
              <w:rPr>
                <w:szCs w:val="20"/>
              </w:rPr>
            </w:pPr>
            <w:r w:rsidRPr="00BC0E7E">
              <w:rPr>
                <w:szCs w:val="20"/>
              </w:rPr>
              <w:t>Wash and dry your hands.</w:t>
            </w:r>
          </w:p>
        </w:tc>
      </w:tr>
      <w:tr w:rsidR="00C6578C" w14:paraId="59EA6DC6" w14:textId="77777777" w:rsidTr="00171601">
        <w:tc>
          <w:tcPr>
            <w:tcW w:w="3708" w:type="dxa"/>
            <w:tcBorders>
              <w:right w:val="nil"/>
            </w:tcBorders>
          </w:tcPr>
          <w:p w14:paraId="3ABAAB1A" w14:textId="77777777" w:rsidR="00BC0E7E" w:rsidRPr="00BC0E7E" w:rsidRDefault="00944B8F" w:rsidP="00BC0E7E">
            <w:pPr>
              <w:rPr>
                <w:b/>
                <w:noProof/>
                <w:szCs w:val="20"/>
              </w:rPr>
            </w:pPr>
            <w:r w:rsidRPr="00BC0E7E">
              <w:rPr>
                <w:b/>
                <w:noProof/>
                <w:szCs w:val="20"/>
              </w:rPr>
              <w:t>STEP 3</w:t>
            </w:r>
          </w:p>
          <w:p w14:paraId="2642D718" w14:textId="77777777" w:rsidR="00BC0E7E" w:rsidRPr="00BC0E7E" w:rsidRDefault="00BC0E7E" w:rsidP="00BC0E7E">
            <w:pPr>
              <w:rPr>
                <w:b/>
                <w:noProof/>
                <w:szCs w:val="20"/>
              </w:rPr>
            </w:pPr>
          </w:p>
          <w:p w14:paraId="6D42749B" w14:textId="77777777" w:rsidR="00BC0E7E" w:rsidRPr="00BC0E7E" w:rsidRDefault="00944B8F" w:rsidP="00BC0E7E">
            <w:pPr>
              <w:rPr>
                <w:b/>
                <w:noProof/>
                <w:szCs w:val="20"/>
              </w:rPr>
            </w:pPr>
            <w:r w:rsidRPr="00BC0E7E">
              <w:rPr>
                <w:b/>
                <w:noProof/>
                <w:szCs w:val="20"/>
              </w:rPr>
              <w:t>Injectable Areas</w:t>
            </w:r>
          </w:p>
          <w:p w14:paraId="298043B0" w14:textId="77777777" w:rsidR="00BC0E7E" w:rsidRPr="00BC0E7E" w:rsidRDefault="00944B8F" w:rsidP="00BC0E7E">
            <w:pPr>
              <w:rPr>
                <w:noProof/>
                <w:szCs w:val="20"/>
              </w:rPr>
            </w:pPr>
            <w:r>
              <w:rPr>
                <w:noProof/>
                <w:szCs w:val="20"/>
                <w:lang w:val="en-US"/>
              </w:rPr>
              <w:drawing>
                <wp:inline distT="0" distB="0" distL="0" distR="0" wp14:anchorId="0101F1D7" wp14:editId="42A77D3A">
                  <wp:extent cx="2273935" cy="2385695"/>
                  <wp:effectExtent l="0" t="0" r="0" b="0"/>
                  <wp:docPr id="116" name="Picture 116"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79" descr="STEP3_grey"/>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273935" cy="2385695"/>
                          </a:xfrm>
                          <a:prstGeom prst="rect">
                            <a:avLst/>
                          </a:prstGeom>
                          <a:noFill/>
                          <a:ln>
                            <a:noFill/>
                          </a:ln>
                        </pic:spPr>
                      </pic:pic>
                    </a:graphicData>
                  </a:graphic>
                </wp:inline>
              </w:drawing>
            </w:r>
          </w:p>
          <w:p w14:paraId="38B187A3" w14:textId="77777777" w:rsidR="00BC0E7E" w:rsidRPr="00BC0E7E" w:rsidRDefault="00944B8F" w:rsidP="00BC0E7E">
            <w:pPr>
              <w:rPr>
                <w:b/>
                <w:szCs w:val="20"/>
              </w:rPr>
            </w:pPr>
            <w:r w:rsidRPr="00BC0E7E">
              <w:rPr>
                <w:noProof/>
                <w:szCs w:val="20"/>
              </w:rPr>
              <w:t xml:space="preserve">     </w:t>
            </w:r>
            <w:r w:rsidRPr="00BC0E7E">
              <w:rPr>
                <w:b/>
                <w:noProof/>
                <w:szCs w:val="20"/>
              </w:rPr>
              <w:t>Injectable Areas</w:t>
            </w:r>
          </w:p>
        </w:tc>
        <w:tc>
          <w:tcPr>
            <w:tcW w:w="5579" w:type="dxa"/>
            <w:tcBorders>
              <w:left w:val="nil"/>
            </w:tcBorders>
          </w:tcPr>
          <w:p w14:paraId="0DAD43BF" w14:textId="77777777" w:rsidR="00BC0E7E" w:rsidRPr="00BC0E7E" w:rsidRDefault="00BC0E7E" w:rsidP="00BC0E7E">
            <w:pPr>
              <w:keepNext/>
              <w:rPr>
                <w:szCs w:val="20"/>
              </w:rPr>
            </w:pPr>
          </w:p>
          <w:p w14:paraId="4B0CAD75" w14:textId="77777777" w:rsidR="00BC0E7E" w:rsidRPr="00BC0E7E" w:rsidRDefault="00944B8F" w:rsidP="00BC0E7E">
            <w:pPr>
              <w:keepNext/>
              <w:rPr>
                <w:szCs w:val="20"/>
              </w:rPr>
            </w:pPr>
            <w:r w:rsidRPr="00BC0E7E">
              <w:rPr>
                <w:szCs w:val="20"/>
              </w:rPr>
              <w:t>Choose an injection site:</w:t>
            </w:r>
          </w:p>
          <w:p w14:paraId="40674EC0" w14:textId="77777777" w:rsidR="00BC0E7E" w:rsidRPr="00BC0E7E" w:rsidRDefault="00BC0E7E" w:rsidP="00BC0E7E">
            <w:pPr>
              <w:rPr>
                <w:szCs w:val="20"/>
              </w:rPr>
            </w:pPr>
          </w:p>
          <w:p w14:paraId="5644EF25" w14:textId="77777777" w:rsidR="00BC0E7E" w:rsidRPr="00BC0E7E" w:rsidRDefault="00944B8F" w:rsidP="00D51999">
            <w:pPr>
              <w:keepNext/>
              <w:numPr>
                <w:ilvl w:val="0"/>
                <w:numId w:val="65"/>
              </w:numPr>
              <w:tabs>
                <w:tab w:val="clear" w:pos="562"/>
                <w:tab w:val="left" w:pos="757"/>
              </w:tabs>
              <w:ind w:left="757"/>
              <w:rPr>
                <w:szCs w:val="20"/>
              </w:rPr>
            </w:pPr>
            <w:r w:rsidRPr="00BC0E7E">
              <w:rPr>
                <w:szCs w:val="20"/>
              </w:rPr>
              <w:t>On the front of your thighs or</w:t>
            </w:r>
          </w:p>
          <w:p w14:paraId="2D973EA7" w14:textId="77777777" w:rsidR="00BC0E7E" w:rsidRPr="00BC0E7E" w:rsidRDefault="00944B8F" w:rsidP="00D51999">
            <w:pPr>
              <w:keepNext/>
              <w:numPr>
                <w:ilvl w:val="0"/>
                <w:numId w:val="65"/>
              </w:numPr>
              <w:tabs>
                <w:tab w:val="clear" w:pos="562"/>
                <w:tab w:val="left" w:pos="757"/>
              </w:tabs>
              <w:ind w:left="757"/>
              <w:rPr>
                <w:szCs w:val="20"/>
              </w:rPr>
            </w:pPr>
            <w:r w:rsidRPr="00BC0E7E">
              <w:rPr>
                <w:szCs w:val="20"/>
              </w:rPr>
              <w:t>Your belly (abdomen) at least 5 cm from your belly button (</w:t>
            </w:r>
            <w:r w:rsidR="00DF6394">
              <w:rPr>
                <w:szCs w:val="20"/>
              </w:rPr>
              <w:t>navel</w:t>
            </w:r>
            <w:r w:rsidRPr="00BC0E7E">
              <w:rPr>
                <w:szCs w:val="20"/>
              </w:rPr>
              <w:t>)</w:t>
            </w:r>
          </w:p>
          <w:p w14:paraId="1E4B48D6" w14:textId="77777777" w:rsidR="00BC0E7E" w:rsidRPr="00BC0E7E" w:rsidRDefault="00944B8F" w:rsidP="00D51999">
            <w:pPr>
              <w:keepNext/>
              <w:numPr>
                <w:ilvl w:val="0"/>
                <w:numId w:val="65"/>
              </w:numPr>
              <w:tabs>
                <w:tab w:val="clear" w:pos="562"/>
                <w:tab w:val="left" w:pos="757"/>
              </w:tabs>
              <w:ind w:left="757"/>
              <w:rPr>
                <w:szCs w:val="20"/>
              </w:rPr>
            </w:pPr>
            <w:r w:rsidRPr="00BC0E7E">
              <w:rPr>
                <w:szCs w:val="20"/>
              </w:rPr>
              <w:t>At least 3 cm from your last injection site</w:t>
            </w:r>
          </w:p>
          <w:p w14:paraId="49360E1C" w14:textId="77777777" w:rsidR="00BC0E7E" w:rsidRPr="00BC0E7E" w:rsidRDefault="00BC0E7E" w:rsidP="00BC0E7E">
            <w:pPr>
              <w:rPr>
                <w:szCs w:val="20"/>
              </w:rPr>
            </w:pPr>
          </w:p>
          <w:p w14:paraId="39C8363E" w14:textId="77777777" w:rsidR="00BC0E7E" w:rsidRPr="00BC0E7E" w:rsidRDefault="00944B8F" w:rsidP="00BC0E7E">
            <w:pPr>
              <w:keepNext/>
              <w:rPr>
                <w:szCs w:val="20"/>
              </w:rPr>
            </w:pPr>
            <w:r w:rsidRPr="00BC0E7E">
              <w:rPr>
                <w:szCs w:val="20"/>
              </w:rPr>
              <w:t>Wipe the injection site in a circular motion with the alcohol pad.</w:t>
            </w:r>
          </w:p>
          <w:p w14:paraId="50D5BBD8" w14:textId="77777777" w:rsidR="00BC0E7E" w:rsidRPr="00BC0E7E" w:rsidRDefault="00BC0E7E" w:rsidP="00BC0E7E">
            <w:pPr>
              <w:rPr>
                <w:szCs w:val="20"/>
              </w:rPr>
            </w:pPr>
          </w:p>
          <w:p w14:paraId="329426B6" w14:textId="77777777" w:rsidR="00BC0E7E" w:rsidRPr="00BC0E7E" w:rsidRDefault="00944B8F" w:rsidP="00D51999">
            <w:pPr>
              <w:keepNext/>
              <w:numPr>
                <w:ilvl w:val="0"/>
                <w:numId w:val="66"/>
              </w:numPr>
              <w:tabs>
                <w:tab w:val="clear" w:pos="562"/>
                <w:tab w:val="left" w:pos="757"/>
              </w:tabs>
              <w:ind w:left="757"/>
              <w:rPr>
                <w:szCs w:val="20"/>
              </w:rPr>
            </w:pPr>
            <w:r w:rsidRPr="00BC0E7E">
              <w:rPr>
                <w:b/>
                <w:szCs w:val="20"/>
              </w:rPr>
              <w:t>Do not</w:t>
            </w:r>
            <w:r w:rsidRPr="00BC0E7E">
              <w:rPr>
                <w:szCs w:val="20"/>
              </w:rPr>
              <w:t xml:space="preserve"> inject through clothes</w:t>
            </w:r>
          </w:p>
          <w:p w14:paraId="789DD467" w14:textId="77777777" w:rsidR="00BC0E7E" w:rsidRPr="00BC0E7E" w:rsidRDefault="00944B8F" w:rsidP="00D51999">
            <w:pPr>
              <w:numPr>
                <w:ilvl w:val="0"/>
                <w:numId w:val="66"/>
              </w:numPr>
              <w:tabs>
                <w:tab w:val="clear" w:pos="562"/>
                <w:tab w:val="left" w:pos="757"/>
              </w:tabs>
              <w:ind w:left="757"/>
              <w:rPr>
                <w:szCs w:val="20"/>
              </w:rPr>
            </w:pPr>
            <w:r w:rsidRPr="00BC0E7E">
              <w:rPr>
                <w:b/>
                <w:szCs w:val="20"/>
              </w:rPr>
              <w:t xml:space="preserve">Do not </w:t>
            </w:r>
            <w:r w:rsidRPr="00BC0E7E">
              <w:rPr>
                <w:szCs w:val="20"/>
              </w:rPr>
              <w:t>inject into skin that is sore, bruised, red, hard, scarred, has stretch marks, or areas with psoriasis plaques</w:t>
            </w:r>
          </w:p>
        </w:tc>
      </w:tr>
      <w:tr w:rsidR="00C6578C" w14:paraId="01ECAE2D" w14:textId="77777777" w:rsidTr="00171601">
        <w:tc>
          <w:tcPr>
            <w:tcW w:w="3708" w:type="dxa"/>
            <w:tcBorders>
              <w:right w:val="nil"/>
            </w:tcBorders>
          </w:tcPr>
          <w:p w14:paraId="11823699" w14:textId="77777777" w:rsidR="00BC0E7E" w:rsidRPr="00BC0E7E" w:rsidRDefault="00944B8F" w:rsidP="00BC0E7E">
            <w:pPr>
              <w:keepNext/>
              <w:rPr>
                <w:b/>
                <w:noProof/>
                <w:szCs w:val="20"/>
              </w:rPr>
            </w:pPr>
            <w:r w:rsidRPr="00BC0E7E">
              <w:rPr>
                <w:b/>
                <w:noProof/>
                <w:szCs w:val="20"/>
              </w:rPr>
              <w:lastRenderedPageBreak/>
              <w:t>STEP 4</w:t>
            </w:r>
          </w:p>
          <w:p w14:paraId="4B75541D" w14:textId="77777777" w:rsidR="00BC0E7E" w:rsidRPr="00BC0E7E" w:rsidRDefault="00BC0E7E" w:rsidP="00BC0E7E">
            <w:pPr>
              <w:keepNext/>
              <w:rPr>
                <w:b/>
                <w:noProof/>
                <w:szCs w:val="20"/>
              </w:rPr>
            </w:pPr>
          </w:p>
          <w:p w14:paraId="6F28AFC7" w14:textId="77777777" w:rsidR="00BC0E7E" w:rsidRPr="00BC0E7E" w:rsidRDefault="00944B8F" w:rsidP="00BC0E7E">
            <w:pPr>
              <w:keepNext/>
              <w:rPr>
                <w:szCs w:val="20"/>
              </w:rPr>
            </w:pPr>
            <w:r>
              <w:rPr>
                <w:noProof/>
                <w:szCs w:val="20"/>
                <w:lang w:val="en-US"/>
              </w:rPr>
              <w:drawing>
                <wp:inline distT="0" distB="0" distL="0" distR="0" wp14:anchorId="2E7BF5C9" wp14:editId="6490EB8C">
                  <wp:extent cx="2210435" cy="2051685"/>
                  <wp:effectExtent l="0" t="0" r="0" b="5715"/>
                  <wp:docPr id="115" name="Picture 115" descr="STEP4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80" descr="STEP4_grey"/>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2210435" cy="2051685"/>
                          </a:xfrm>
                          <a:prstGeom prst="rect">
                            <a:avLst/>
                          </a:prstGeom>
                          <a:noFill/>
                          <a:ln>
                            <a:noFill/>
                          </a:ln>
                        </pic:spPr>
                      </pic:pic>
                    </a:graphicData>
                  </a:graphic>
                </wp:inline>
              </w:drawing>
            </w:r>
          </w:p>
        </w:tc>
        <w:tc>
          <w:tcPr>
            <w:tcW w:w="5579" w:type="dxa"/>
            <w:tcBorders>
              <w:left w:val="nil"/>
            </w:tcBorders>
          </w:tcPr>
          <w:p w14:paraId="06EC5DEE" w14:textId="77777777" w:rsidR="00BC0E7E" w:rsidRPr="00BC0E7E" w:rsidRDefault="00BC0E7E" w:rsidP="00BC0E7E">
            <w:pPr>
              <w:keepNext/>
              <w:rPr>
                <w:szCs w:val="20"/>
              </w:rPr>
            </w:pPr>
          </w:p>
          <w:p w14:paraId="34DC3805" w14:textId="77777777" w:rsidR="00BC0E7E" w:rsidRPr="00BC0E7E" w:rsidRDefault="00944B8F" w:rsidP="00BC0E7E">
            <w:pPr>
              <w:keepNext/>
              <w:rPr>
                <w:szCs w:val="20"/>
              </w:rPr>
            </w:pPr>
            <w:r w:rsidRPr="00BC0E7E">
              <w:rPr>
                <w:szCs w:val="20"/>
              </w:rPr>
              <w:t xml:space="preserve">Hold the pre-filled pen with the Grey Cap 1 pointing up. </w:t>
            </w:r>
          </w:p>
          <w:p w14:paraId="7F5DF95F" w14:textId="77777777" w:rsidR="00BC0E7E" w:rsidRPr="00BC0E7E" w:rsidRDefault="00BC0E7E" w:rsidP="00BC0E7E">
            <w:pPr>
              <w:keepNext/>
              <w:rPr>
                <w:szCs w:val="20"/>
              </w:rPr>
            </w:pPr>
          </w:p>
          <w:p w14:paraId="53349E62" w14:textId="77777777" w:rsidR="00BC0E7E" w:rsidRPr="00BC0E7E" w:rsidRDefault="00944B8F" w:rsidP="00BC0E7E">
            <w:pPr>
              <w:keepNext/>
              <w:rPr>
                <w:szCs w:val="20"/>
              </w:rPr>
            </w:pPr>
            <w:r w:rsidRPr="00BC0E7E">
              <w:rPr>
                <w:szCs w:val="20"/>
              </w:rPr>
              <w:t>Check the inspection window.</w:t>
            </w:r>
          </w:p>
          <w:p w14:paraId="24ACEC98" w14:textId="77777777" w:rsidR="00BC0E7E" w:rsidRPr="00BC0E7E" w:rsidRDefault="00BC0E7E" w:rsidP="00BC0E7E">
            <w:pPr>
              <w:keepNext/>
              <w:rPr>
                <w:szCs w:val="20"/>
              </w:rPr>
            </w:pPr>
          </w:p>
          <w:p w14:paraId="18FD58A4" w14:textId="77777777" w:rsidR="00BC0E7E" w:rsidRPr="00BC0E7E" w:rsidRDefault="00944B8F" w:rsidP="00D51999">
            <w:pPr>
              <w:keepNext/>
              <w:numPr>
                <w:ilvl w:val="0"/>
                <w:numId w:val="67"/>
              </w:numPr>
              <w:tabs>
                <w:tab w:val="clear" w:pos="562"/>
                <w:tab w:val="left" w:pos="757"/>
              </w:tabs>
              <w:ind w:left="757"/>
              <w:rPr>
                <w:szCs w:val="20"/>
              </w:rPr>
            </w:pPr>
            <w:r w:rsidRPr="00BC0E7E">
              <w:rPr>
                <w:szCs w:val="20"/>
              </w:rPr>
              <w:t>It is normal to see 1 or more bubbles in the window</w:t>
            </w:r>
          </w:p>
          <w:p w14:paraId="4A3E41C0" w14:textId="77777777" w:rsidR="00BC0E7E" w:rsidRPr="00BC0E7E" w:rsidRDefault="00944B8F" w:rsidP="00D51999">
            <w:pPr>
              <w:keepNext/>
              <w:numPr>
                <w:ilvl w:val="0"/>
                <w:numId w:val="67"/>
              </w:numPr>
              <w:tabs>
                <w:tab w:val="clear" w:pos="562"/>
                <w:tab w:val="left" w:pos="757"/>
              </w:tabs>
              <w:ind w:left="757"/>
              <w:rPr>
                <w:szCs w:val="20"/>
              </w:rPr>
            </w:pPr>
            <w:r w:rsidRPr="00BC0E7E">
              <w:rPr>
                <w:szCs w:val="20"/>
              </w:rPr>
              <w:t>Make sure the liquid is clear and colourless</w:t>
            </w:r>
          </w:p>
          <w:p w14:paraId="516D491A" w14:textId="77777777" w:rsidR="00BC0E7E" w:rsidRPr="00BC0E7E" w:rsidRDefault="00944B8F" w:rsidP="00D51999">
            <w:pPr>
              <w:keepNext/>
              <w:numPr>
                <w:ilvl w:val="0"/>
                <w:numId w:val="67"/>
              </w:numPr>
              <w:tabs>
                <w:tab w:val="clear" w:pos="562"/>
                <w:tab w:val="left" w:pos="757"/>
              </w:tabs>
              <w:ind w:left="757"/>
              <w:rPr>
                <w:szCs w:val="20"/>
              </w:rPr>
            </w:pPr>
            <w:r w:rsidRPr="00BC0E7E">
              <w:rPr>
                <w:b/>
                <w:szCs w:val="20"/>
              </w:rPr>
              <w:t>Do not</w:t>
            </w:r>
            <w:r w:rsidRPr="00BC0E7E">
              <w:rPr>
                <w:szCs w:val="20"/>
              </w:rPr>
              <w:t xml:space="preserve"> use the pre-filled pen if the liquid is cloudy or has particles</w:t>
            </w:r>
          </w:p>
          <w:p w14:paraId="689A48EE" w14:textId="77777777" w:rsidR="00BC0E7E" w:rsidRPr="00BC0E7E" w:rsidRDefault="00944B8F" w:rsidP="00D51999">
            <w:pPr>
              <w:keepNext/>
              <w:numPr>
                <w:ilvl w:val="0"/>
                <w:numId w:val="67"/>
              </w:numPr>
              <w:tabs>
                <w:tab w:val="clear" w:pos="562"/>
                <w:tab w:val="left" w:pos="757"/>
              </w:tabs>
              <w:ind w:left="757"/>
              <w:rPr>
                <w:szCs w:val="20"/>
              </w:rPr>
            </w:pPr>
            <w:r w:rsidRPr="00BC0E7E">
              <w:rPr>
                <w:b/>
                <w:szCs w:val="20"/>
              </w:rPr>
              <w:t xml:space="preserve">Do not </w:t>
            </w:r>
            <w:r w:rsidRPr="00BC0E7E">
              <w:rPr>
                <w:szCs w:val="20"/>
              </w:rPr>
              <w:t>use the pre-filled pen if it has been dropped or crushed</w:t>
            </w:r>
          </w:p>
        </w:tc>
      </w:tr>
      <w:tr w:rsidR="00C6578C" w14:paraId="7580D995" w14:textId="77777777" w:rsidTr="00171601">
        <w:tc>
          <w:tcPr>
            <w:tcW w:w="3708" w:type="dxa"/>
            <w:tcBorders>
              <w:right w:val="nil"/>
            </w:tcBorders>
          </w:tcPr>
          <w:p w14:paraId="6FE2B469" w14:textId="77777777" w:rsidR="00BC0E7E" w:rsidRPr="00BC0E7E" w:rsidRDefault="00944B8F" w:rsidP="00BC0E7E">
            <w:pPr>
              <w:keepNext/>
              <w:rPr>
                <w:noProof/>
                <w:szCs w:val="20"/>
              </w:rPr>
            </w:pPr>
            <w:r w:rsidRPr="00BC0E7E">
              <w:rPr>
                <w:b/>
                <w:noProof/>
                <w:szCs w:val="20"/>
              </w:rPr>
              <w:t>STEP 5</w:t>
            </w:r>
            <w:r w:rsidRPr="00BC0E7E">
              <w:rPr>
                <w:noProof/>
                <w:szCs w:val="20"/>
              </w:rPr>
              <w:t xml:space="preserve"> </w:t>
            </w:r>
          </w:p>
          <w:p w14:paraId="67300599" w14:textId="77777777" w:rsidR="00BC0E7E" w:rsidRPr="00BC0E7E" w:rsidRDefault="00BC0E7E" w:rsidP="00BC0E7E">
            <w:pPr>
              <w:keepNext/>
              <w:rPr>
                <w:noProof/>
                <w:szCs w:val="20"/>
              </w:rPr>
            </w:pPr>
          </w:p>
          <w:p w14:paraId="3853AD40" w14:textId="77777777" w:rsidR="00BC0E7E" w:rsidRPr="00BC0E7E" w:rsidRDefault="00944B8F" w:rsidP="00BC0E7E">
            <w:pPr>
              <w:keepNext/>
              <w:rPr>
                <w:b/>
                <w:noProof/>
                <w:szCs w:val="20"/>
              </w:rPr>
            </w:pPr>
            <w:r w:rsidRPr="00BC0E7E">
              <w:rPr>
                <w:noProof/>
                <w:szCs w:val="20"/>
              </w:rPr>
              <w:t xml:space="preserve"> </w:t>
            </w:r>
            <w:r w:rsidRPr="00BC0E7E">
              <w:rPr>
                <w:b/>
                <w:noProof/>
                <w:szCs w:val="20"/>
              </w:rPr>
              <w:t>Cap 1</w:t>
            </w:r>
          </w:p>
          <w:p w14:paraId="7D2A54F3" w14:textId="77777777" w:rsidR="00BC0E7E" w:rsidRPr="00BC0E7E" w:rsidRDefault="00944B8F" w:rsidP="00BC0E7E">
            <w:pPr>
              <w:keepNext/>
              <w:rPr>
                <w:noProof/>
                <w:szCs w:val="20"/>
              </w:rPr>
            </w:pPr>
            <w:r>
              <w:rPr>
                <w:noProof/>
                <w:szCs w:val="20"/>
                <w:lang w:val="en-US"/>
              </w:rPr>
              <w:drawing>
                <wp:inline distT="0" distB="0" distL="0" distR="0" wp14:anchorId="26A9374C" wp14:editId="44BB257E">
                  <wp:extent cx="2027555" cy="1844675"/>
                  <wp:effectExtent l="0" t="0" r="0" b="3175"/>
                  <wp:docPr id="114" name="Picture 114" descr="EU_IFU_STEP5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81" descr="EU_IFU_STEP5_grey"/>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2027555" cy="1844675"/>
                          </a:xfrm>
                          <a:prstGeom prst="rect">
                            <a:avLst/>
                          </a:prstGeom>
                          <a:noFill/>
                          <a:ln>
                            <a:noFill/>
                          </a:ln>
                        </pic:spPr>
                      </pic:pic>
                    </a:graphicData>
                  </a:graphic>
                </wp:inline>
              </w:drawing>
            </w:r>
          </w:p>
          <w:p w14:paraId="5C09F346" w14:textId="77777777" w:rsidR="00BC0E7E" w:rsidRPr="00BC0E7E" w:rsidRDefault="00944B8F" w:rsidP="00BC0E7E">
            <w:pPr>
              <w:keepNext/>
              <w:rPr>
                <w:b/>
                <w:szCs w:val="20"/>
              </w:rPr>
            </w:pPr>
            <w:r w:rsidRPr="00BC0E7E">
              <w:rPr>
                <w:b/>
                <w:noProof/>
                <w:szCs w:val="20"/>
              </w:rPr>
              <w:t xml:space="preserve">                                            Cap 2</w:t>
            </w:r>
          </w:p>
        </w:tc>
        <w:tc>
          <w:tcPr>
            <w:tcW w:w="5579" w:type="dxa"/>
            <w:tcBorders>
              <w:left w:val="nil"/>
            </w:tcBorders>
          </w:tcPr>
          <w:p w14:paraId="04C6AE28" w14:textId="77777777" w:rsidR="00BC0E7E" w:rsidRPr="00BC0E7E" w:rsidRDefault="00BC0E7E" w:rsidP="00BC0E7E">
            <w:pPr>
              <w:keepNext/>
              <w:rPr>
                <w:szCs w:val="20"/>
              </w:rPr>
            </w:pPr>
          </w:p>
          <w:p w14:paraId="5513F352" w14:textId="77777777" w:rsidR="00BC0E7E" w:rsidRPr="00BC0E7E" w:rsidRDefault="00944B8F" w:rsidP="00BC0E7E">
            <w:pPr>
              <w:keepNext/>
              <w:rPr>
                <w:szCs w:val="20"/>
              </w:rPr>
            </w:pPr>
            <w:r w:rsidRPr="00BC0E7E">
              <w:rPr>
                <w:szCs w:val="20"/>
              </w:rPr>
              <w:t>Pull the Grey Cap 1 straight off. Throw the cap away. Do not recap.</w:t>
            </w:r>
          </w:p>
          <w:p w14:paraId="796A72DE" w14:textId="77777777" w:rsidR="00BC0E7E" w:rsidRPr="00BC0E7E" w:rsidRDefault="00BC0E7E" w:rsidP="00BC0E7E">
            <w:pPr>
              <w:keepNext/>
              <w:rPr>
                <w:szCs w:val="20"/>
              </w:rPr>
            </w:pPr>
          </w:p>
          <w:p w14:paraId="03C5A5F0" w14:textId="77777777" w:rsidR="00BC0E7E" w:rsidRPr="00BC0E7E" w:rsidRDefault="00944B8F" w:rsidP="00D51999">
            <w:pPr>
              <w:keepNext/>
              <w:numPr>
                <w:ilvl w:val="0"/>
                <w:numId w:val="68"/>
              </w:numPr>
              <w:tabs>
                <w:tab w:val="clear" w:pos="562"/>
                <w:tab w:val="left" w:pos="757"/>
              </w:tabs>
              <w:ind w:left="763"/>
              <w:rPr>
                <w:szCs w:val="20"/>
              </w:rPr>
            </w:pPr>
            <w:r w:rsidRPr="00BC0E7E">
              <w:rPr>
                <w:szCs w:val="20"/>
              </w:rPr>
              <w:t>Check that the small black needle cover of the syringe has been removed with the cap</w:t>
            </w:r>
          </w:p>
          <w:p w14:paraId="507BA242" w14:textId="77777777" w:rsidR="00BC0E7E" w:rsidRPr="00BC0E7E" w:rsidRDefault="00944B8F" w:rsidP="00D51999">
            <w:pPr>
              <w:keepNext/>
              <w:numPr>
                <w:ilvl w:val="0"/>
                <w:numId w:val="68"/>
              </w:numPr>
              <w:tabs>
                <w:tab w:val="clear" w:pos="562"/>
                <w:tab w:val="left" w:pos="757"/>
              </w:tabs>
              <w:ind w:left="763"/>
              <w:rPr>
                <w:szCs w:val="20"/>
              </w:rPr>
            </w:pPr>
            <w:r w:rsidRPr="00BC0E7E">
              <w:rPr>
                <w:szCs w:val="20"/>
              </w:rPr>
              <w:t>It is normal to see a few drops of liquid come out of the needle</w:t>
            </w:r>
          </w:p>
          <w:p w14:paraId="320C8F0D" w14:textId="77777777" w:rsidR="00BC0E7E" w:rsidRPr="00BC0E7E" w:rsidRDefault="00BC0E7E" w:rsidP="00BC0E7E">
            <w:pPr>
              <w:rPr>
                <w:szCs w:val="20"/>
              </w:rPr>
            </w:pPr>
          </w:p>
          <w:p w14:paraId="26D8ADBB" w14:textId="77777777" w:rsidR="00BC0E7E" w:rsidRPr="00BC0E7E" w:rsidRDefault="00944B8F" w:rsidP="00BC0E7E">
            <w:pPr>
              <w:keepNext/>
              <w:rPr>
                <w:szCs w:val="20"/>
              </w:rPr>
            </w:pPr>
            <w:r w:rsidRPr="00BC0E7E">
              <w:rPr>
                <w:szCs w:val="20"/>
              </w:rPr>
              <w:t>Pull the Plum-coloured Cap 2 straight off. Throw the cap away. Do not recap.</w:t>
            </w:r>
          </w:p>
          <w:p w14:paraId="618DA7C3" w14:textId="77777777" w:rsidR="00BC0E7E" w:rsidRPr="00BC0E7E" w:rsidRDefault="00BC0E7E" w:rsidP="00BC0E7E">
            <w:pPr>
              <w:rPr>
                <w:szCs w:val="20"/>
              </w:rPr>
            </w:pPr>
          </w:p>
          <w:p w14:paraId="1269D2F6" w14:textId="77777777" w:rsidR="00BC0E7E" w:rsidRPr="00BC0E7E" w:rsidRDefault="00944B8F" w:rsidP="00BC0E7E">
            <w:pPr>
              <w:keepNext/>
              <w:rPr>
                <w:szCs w:val="20"/>
              </w:rPr>
            </w:pPr>
            <w:r w:rsidRPr="00BC0E7E">
              <w:rPr>
                <w:szCs w:val="20"/>
              </w:rPr>
              <w:t>The pre-filled pen is now ready to use.</w:t>
            </w:r>
          </w:p>
          <w:p w14:paraId="00CEE929" w14:textId="77777777" w:rsidR="00BC0E7E" w:rsidRPr="00BC0E7E" w:rsidRDefault="00BC0E7E" w:rsidP="00BC0E7E">
            <w:pPr>
              <w:keepNext/>
              <w:rPr>
                <w:szCs w:val="20"/>
              </w:rPr>
            </w:pPr>
          </w:p>
          <w:p w14:paraId="1CD36971" w14:textId="77777777" w:rsidR="00BC0E7E" w:rsidRPr="00BC0E7E" w:rsidRDefault="00944B8F" w:rsidP="00BC0E7E">
            <w:pPr>
              <w:keepNext/>
              <w:rPr>
                <w:szCs w:val="20"/>
              </w:rPr>
            </w:pPr>
            <w:r w:rsidRPr="00BC0E7E">
              <w:rPr>
                <w:szCs w:val="20"/>
              </w:rPr>
              <w:t>Turn</w:t>
            </w:r>
            <w:r w:rsidRPr="00BC0E7E">
              <w:rPr>
                <w:b/>
                <w:szCs w:val="20"/>
              </w:rPr>
              <w:t xml:space="preserve"> </w:t>
            </w:r>
            <w:r w:rsidRPr="00BC0E7E">
              <w:rPr>
                <w:szCs w:val="20"/>
              </w:rPr>
              <w:t>the pre-filled pen so that the white arrow points toward the injection site.</w:t>
            </w:r>
          </w:p>
        </w:tc>
      </w:tr>
      <w:tr w:rsidR="00C6578C" w14:paraId="6EDDF75A" w14:textId="77777777" w:rsidTr="00171601">
        <w:tc>
          <w:tcPr>
            <w:tcW w:w="3708" w:type="dxa"/>
            <w:tcBorders>
              <w:right w:val="nil"/>
            </w:tcBorders>
          </w:tcPr>
          <w:p w14:paraId="6B28240C" w14:textId="77777777" w:rsidR="00BC0E7E" w:rsidRPr="00BC0E7E" w:rsidRDefault="00944B8F" w:rsidP="00BC0E7E">
            <w:pPr>
              <w:rPr>
                <w:b/>
                <w:noProof/>
                <w:szCs w:val="20"/>
              </w:rPr>
            </w:pPr>
            <w:r w:rsidRPr="00BC0E7E">
              <w:rPr>
                <w:b/>
                <w:noProof/>
                <w:szCs w:val="20"/>
              </w:rPr>
              <w:t>STEP 6</w:t>
            </w:r>
          </w:p>
          <w:p w14:paraId="7DFBCCC7" w14:textId="77777777" w:rsidR="00BC0E7E" w:rsidRPr="00BC0E7E" w:rsidRDefault="00BC0E7E" w:rsidP="00BC0E7E">
            <w:pPr>
              <w:rPr>
                <w:b/>
                <w:noProof/>
                <w:szCs w:val="20"/>
              </w:rPr>
            </w:pPr>
          </w:p>
          <w:p w14:paraId="3FEBE834" w14:textId="77777777" w:rsidR="00BC0E7E" w:rsidRPr="00BC0E7E" w:rsidRDefault="00944B8F" w:rsidP="00BC0E7E">
            <w:pPr>
              <w:rPr>
                <w:szCs w:val="20"/>
              </w:rPr>
            </w:pPr>
            <w:r>
              <w:rPr>
                <w:noProof/>
                <w:szCs w:val="20"/>
                <w:lang w:val="en-US"/>
              </w:rPr>
              <w:drawing>
                <wp:inline distT="0" distB="0" distL="0" distR="0" wp14:anchorId="5A9A262B" wp14:editId="66B71FD4">
                  <wp:extent cx="2258060" cy="2146935"/>
                  <wp:effectExtent l="0" t="0" r="8890" b="5715"/>
                  <wp:docPr id="113" name="Picture 113" descr="STEP6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82" descr="STEP6_grey"/>
                          <pic:cNvPicPr>
                            <a:picLocks noChangeAspect="1" noChangeArrowheads="1"/>
                          </pic:cNvPicPr>
                        </pic:nvPicPr>
                        <pic:blipFill>
                          <a:blip r:embed="rId77">
                            <a:extLst>
                              <a:ext uri="{28A0092B-C50C-407E-A947-70E740481C1C}">
                                <a14:useLocalDpi xmlns:a14="http://schemas.microsoft.com/office/drawing/2010/main" val="0"/>
                              </a:ext>
                            </a:extLst>
                          </a:blip>
                          <a:stretch>
                            <a:fillRect/>
                          </a:stretch>
                        </pic:blipFill>
                        <pic:spPr bwMode="auto">
                          <a:xfrm>
                            <a:off x="0" y="0"/>
                            <a:ext cx="2258060" cy="2146935"/>
                          </a:xfrm>
                          <a:prstGeom prst="rect">
                            <a:avLst/>
                          </a:prstGeom>
                          <a:noFill/>
                          <a:ln>
                            <a:noFill/>
                          </a:ln>
                        </pic:spPr>
                      </pic:pic>
                    </a:graphicData>
                  </a:graphic>
                </wp:inline>
              </w:drawing>
            </w:r>
          </w:p>
        </w:tc>
        <w:tc>
          <w:tcPr>
            <w:tcW w:w="5579" w:type="dxa"/>
            <w:tcBorders>
              <w:left w:val="nil"/>
            </w:tcBorders>
          </w:tcPr>
          <w:p w14:paraId="5837DABF" w14:textId="77777777" w:rsidR="00BC0E7E" w:rsidRPr="00BC0E7E" w:rsidRDefault="00BC0E7E" w:rsidP="00BC0E7E">
            <w:pPr>
              <w:keepNext/>
              <w:rPr>
                <w:szCs w:val="20"/>
              </w:rPr>
            </w:pPr>
          </w:p>
          <w:p w14:paraId="71CFB2A4" w14:textId="77777777" w:rsidR="00BC0E7E" w:rsidRPr="00BC0E7E" w:rsidRDefault="00944B8F" w:rsidP="00BC0E7E">
            <w:pPr>
              <w:keepNext/>
              <w:rPr>
                <w:szCs w:val="20"/>
              </w:rPr>
            </w:pPr>
            <w:r w:rsidRPr="00BC0E7E">
              <w:rPr>
                <w:szCs w:val="20"/>
              </w:rPr>
              <w:t>Squeeze the skin at your injection site with your other hand to make a raised area and hold it firmly</w:t>
            </w:r>
            <w:r w:rsidR="004A00C7">
              <w:rPr>
                <w:szCs w:val="20"/>
              </w:rPr>
              <w:t xml:space="preserve"> until the injection is complete</w:t>
            </w:r>
            <w:r w:rsidRPr="00BC0E7E">
              <w:rPr>
                <w:szCs w:val="20"/>
              </w:rPr>
              <w:t>.</w:t>
            </w:r>
          </w:p>
          <w:p w14:paraId="480534F0" w14:textId="77777777" w:rsidR="00BC0E7E" w:rsidRPr="00BC0E7E" w:rsidRDefault="00BC0E7E" w:rsidP="00BC0E7E">
            <w:pPr>
              <w:rPr>
                <w:szCs w:val="20"/>
              </w:rPr>
            </w:pPr>
          </w:p>
          <w:p w14:paraId="0ACCC2AB" w14:textId="77777777" w:rsidR="00BC0E7E" w:rsidRPr="00BC0E7E" w:rsidRDefault="00944B8F" w:rsidP="00BC0E7E">
            <w:pPr>
              <w:keepNext/>
              <w:rPr>
                <w:szCs w:val="20"/>
              </w:rPr>
            </w:pPr>
            <w:r w:rsidRPr="00BC0E7E">
              <w:rPr>
                <w:szCs w:val="20"/>
              </w:rPr>
              <w:t>Point the white arrow toward the injection site (thigh or abdomen).</w:t>
            </w:r>
          </w:p>
          <w:p w14:paraId="6C54C7AD" w14:textId="77777777" w:rsidR="00BC0E7E" w:rsidRPr="00BC0E7E" w:rsidRDefault="00BC0E7E" w:rsidP="00BC0E7E">
            <w:pPr>
              <w:rPr>
                <w:szCs w:val="20"/>
              </w:rPr>
            </w:pPr>
          </w:p>
          <w:p w14:paraId="0B7D2279" w14:textId="77777777" w:rsidR="00BC0E7E" w:rsidRPr="00BC0E7E" w:rsidRDefault="00944B8F" w:rsidP="00BC0E7E">
            <w:pPr>
              <w:keepNext/>
              <w:rPr>
                <w:szCs w:val="20"/>
              </w:rPr>
            </w:pPr>
            <w:r w:rsidRPr="00BC0E7E">
              <w:rPr>
                <w:szCs w:val="20"/>
              </w:rPr>
              <w:t xml:space="preserve">Place the white needle sleeve straight </w:t>
            </w:r>
            <w:r w:rsidRPr="00BC0E7E">
              <w:rPr>
                <w:b/>
                <w:szCs w:val="20"/>
              </w:rPr>
              <w:t>(90˚ angle)</w:t>
            </w:r>
            <w:r w:rsidRPr="00BC0E7E">
              <w:rPr>
                <w:szCs w:val="20"/>
              </w:rPr>
              <w:t xml:space="preserve"> against the injection site.</w:t>
            </w:r>
          </w:p>
          <w:p w14:paraId="5AA041B7" w14:textId="77777777" w:rsidR="00BC0E7E" w:rsidRPr="00BC0E7E" w:rsidRDefault="00BC0E7E" w:rsidP="00BC0E7E">
            <w:pPr>
              <w:rPr>
                <w:szCs w:val="20"/>
              </w:rPr>
            </w:pPr>
          </w:p>
          <w:p w14:paraId="5105E771" w14:textId="77777777" w:rsidR="00BC0E7E" w:rsidRDefault="00944B8F" w:rsidP="00BC0E7E">
            <w:pPr>
              <w:rPr>
                <w:szCs w:val="20"/>
              </w:rPr>
            </w:pPr>
            <w:r w:rsidRPr="00BC0E7E">
              <w:rPr>
                <w:szCs w:val="20"/>
              </w:rPr>
              <w:t>Hold</w:t>
            </w:r>
            <w:r w:rsidRPr="00BC0E7E">
              <w:rPr>
                <w:b/>
                <w:szCs w:val="20"/>
              </w:rPr>
              <w:t xml:space="preserve"> </w:t>
            </w:r>
            <w:r w:rsidRPr="00BC0E7E">
              <w:rPr>
                <w:szCs w:val="20"/>
              </w:rPr>
              <w:t>the pre-filled pen so that you can see the inspection window.</w:t>
            </w:r>
          </w:p>
          <w:p w14:paraId="6A8CAB59" w14:textId="77777777" w:rsidR="004A00C7" w:rsidRDefault="004A00C7" w:rsidP="00BC0E7E">
            <w:pPr>
              <w:rPr>
                <w:szCs w:val="20"/>
              </w:rPr>
            </w:pPr>
          </w:p>
          <w:p w14:paraId="3196523F" w14:textId="77777777" w:rsidR="004A00C7" w:rsidRPr="000C4B5F" w:rsidRDefault="00944B8F" w:rsidP="00BC0E7E">
            <w:pPr>
              <w:rPr>
                <w:b/>
                <w:szCs w:val="20"/>
              </w:rPr>
            </w:pPr>
            <w:r>
              <w:rPr>
                <w:b/>
                <w:szCs w:val="20"/>
              </w:rPr>
              <w:t xml:space="preserve">Do not </w:t>
            </w:r>
            <w:r>
              <w:rPr>
                <w:szCs w:val="20"/>
              </w:rPr>
              <w:t>press the plum activator button until you are ready to inject.</w:t>
            </w:r>
          </w:p>
        </w:tc>
      </w:tr>
      <w:tr w:rsidR="00C6578C" w14:paraId="100C642D" w14:textId="77777777" w:rsidTr="00171601">
        <w:tc>
          <w:tcPr>
            <w:tcW w:w="3708" w:type="dxa"/>
            <w:tcBorders>
              <w:right w:val="nil"/>
            </w:tcBorders>
          </w:tcPr>
          <w:p w14:paraId="546727F0" w14:textId="77777777" w:rsidR="00BC0E7E" w:rsidRPr="00BC0E7E" w:rsidRDefault="00944B8F" w:rsidP="00BC0E7E">
            <w:pPr>
              <w:keepNext/>
              <w:jc w:val="both"/>
              <w:rPr>
                <w:b/>
                <w:noProof/>
                <w:szCs w:val="20"/>
              </w:rPr>
            </w:pPr>
            <w:r w:rsidRPr="00BC0E7E">
              <w:rPr>
                <w:b/>
                <w:noProof/>
                <w:szCs w:val="20"/>
              </w:rPr>
              <w:lastRenderedPageBreak/>
              <w:t>STEP 7</w:t>
            </w:r>
          </w:p>
          <w:p w14:paraId="1473FFED" w14:textId="77777777" w:rsidR="00BC0E7E" w:rsidRPr="00BC0E7E" w:rsidRDefault="00BC0E7E" w:rsidP="00BC0E7E">
            <w:pPr>
              <w:keepNext/>
              <w:jc w:val="both"/>
              <w:rPr>
                <w:b/>
                <w:noProof/>
                <w:szCs w:val="20"/>
              </w:rPr>
            </w:pPr>
          </w:p>
          <w:p w14:paraId="412DE37D" w14:textId="77777777" w:rsidR="00BC0E7E" w:rsidRPr="00BC0E7E" w:rsidRDefault="00944B8F" w:rsidP="00BC0E7E">
            <w:pPr>
              <w:keepNext/>
              <w:spacing w:after="100" w:afterAutospacing="1"/>
              <w:rPr>
                <w:b/>
                <w:noProof/>
                <w:szCs w:val="20"/>
              </w:rPr>
            </w:pPr>
            <w:r w:rsidRPr="00BC0E7E">
              <w:rPr>
                <w:b/>
                <w:noProof/>
                <w:szCs w:val="20"/>
              </w:rPr>
              <w:t xml:space="preserve">                             10 Seconds                             </w:t>
            </w:r>
          </w:p>
          <w:p w14:paraId="187D1BB0" w14:textId="77777777" w:rsidR="00BC0E7E" w:rsidRPr="00BC0E7E" w:rsidRDefault="00944B8F" w:rsidP="00BC0E7E">
            <w:pPr>
              <w:keepNext/>
              <w:rPr>
                <w:noProof/>
                <w:szCs w:val="20"/>
              </w:rPr>
            </w:pPr>
            <w:r>
              <w:rPr>
                <w:noProof/>
                <w:szCs w:val="20"/>
                <w:lang w:val="en-US"/>
              </w:rPr>
              <w:drawing>
                <wp:inline distT="0" distB="0" distL="0" distR="0" wp14:anchorId="1A4CEA8D" wp14:editId="13CED13B">
                  <wp:extent cx="2218690" cy="2783205"/>
                  <wp:effectExtent l="0" t="0" r="0" b="0"/>
                  <wp:docPr id="112" name="Picture 112" descr="STEP7a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83" descr="STEP7a_grey"/>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bwMode="auto">
                          <a:xfrm>
                            <a:off x="0" y="0"/>
                            <a:ext cx="2218690" cy="2783205"/>
                          </a:xfrm>
                          <a:prstGeom prst="rect">
                            <a:avLst/>
                          </a:prstGeom>
                          <a:noFill/>
                          <a:ln>
                            <a:noFill/>
                          </a:ln>
                        </pic:spPr>
                      </pic:pic>
                    </a:graphicData>
                  </a:graphic>
                </wp:inline>
              </w:drawing>
            </w:r>
          </w:p>
        </w:tc>
        <w:tc>
          <w:tcPr>
            <w:tcW w:w="5579" w:type="dxa"/>
            <w:tcBorders>
              <w:left w:val="nil"/>
            </w:tcBorders>
          </w:tcPr>
          <w:p w14:paraId="129BEA49" w14:textId="77777777" w:rsidR="00BC0E7E" w:rsidRPr="00BC0E7E" w:rsidRDefault="00BC0E7E" w:rsidP="00BC0E7E">
            <w:pPr>
              <w:keepNext/>
              <w:rPr>
                <w:b/>
                <w:szCs w:val="20"/>
              </w:rPr>
            </w:pPr>
          </w:p>
          <w:p w14:paraId="0277A09B" w14:textId="77777777" w:rsidR="00BC0E7E" w:rsidRPr="00BC0E7E" w:rsidRDefault="00944B8F" w:rsidP="00BC0E7E">
            <w:pPr>
              <w:keepNext/>
              <w:rPr>
                <w:szCs w:val="20"/>
              </w:rPr>
            </w:pPr>
            <w:r>
              <w:rPr>
                <w:b/>
                <w:szCs w:val="20"/>
              </w:rPr>
              <w:t xml:space="preserve">Firmly </w:t>
            </w:r>
            <w:r w:rsidR="00F670E4">
              <w:rPr>
                <w:b/>
                <w:szCs w:val="20"/>
              </w:rPr>
              <w:t>p</w:t>
            </w:r>
            <w:r w:rsidRPr="00BC0E7E">
              <w:rPr>
                <w:b/>
                <w:szCs w:val="20"/>
              </w:rPr>
              <w:t xml:space="preserve">ush </w:t>
            </w:r>
            <w:r w:rsidRPr="008C5842">
              <w:rPr>
                <w:b/>
                <w:szCs w:val="20"/>
              </w:rPr>
              <w:t>the pre-filled pen down</w:t>
            </w:r>
            <w:r w:rsidRPr="00BC0E7E">
              <w:rPr>
                <w:b/>
                <w:szCs w:val="20"/>
              </w:rPr>
              <w:t xml:space="preserve"> </w:t>
            </w:r>
            <w:r w:rsidRPr="00BC0E7E">
              <w:rPr>
                <w:szCs w:val="20"/>
              </w:rPr>
              <w:t>against the injection site</w:t>
            </w:r>
            <w:r>
              <w:rPr>
                <w:szCs w:val="20"/>
              </w:rPr>
              <w:t xml:space="preserve"> before starting the injection</w:t>
            </w:r>
            <w:r w:rsidRPr="00BC0E7E">
              <w:rPr>
                <w:szCs w:val="20"/>
              </w:rPr>
              <w:t>.</w:t>
            </w:r>
          </w:p>
          <w:p w14:paraId="4259029F" w14:textId="77777777" w:rsidR="00BC0E7E" w:rsidRPr="008C5842" w:rsidRDefault="00944B8F" w:rsidP="00BC0E7E">
            <w:pPr>
              <w:keepNext/>
              <w:rPr>
                <w:b/>
                <w:szCs w:val="20"/>
              </w:rPr>
            </w:pPr>
            <w:r>
              <w:rPr>
                <w:b/>
                <w:szCs w:val="20"/>
              </w:rPr>
              <w:t xml:space="preserve">Keep pushing down </w:t>
            </w:r>
            <w:r>
              <w:rPr>
                <w:szCs w:val="20"/>
              </w:rPr>
              <w:t>to prevent the pre-filled pen from moving away from the skin during the injection.</w:t>
            </w:r>
          </w:p>
          <w:p w14:paraId="6BC65CF6" w14:textId="77777777" w:rsidR="004A00C7" w:rsidRPr="00BC0E7E" w:rsidRDefault="004A00C7" w:rsidP="00BC0E7E">
            <w:pPr>
              <w:keepNext/>
              <w:rPr>
                <w:szCs w:val="20"/>
              </w:rPr>
            </w:pPr>
          </w:p>
          <w:p w14:paraId="33E939FC" w14:textId="77777777" w:rsidR="00BC0E7E" w:rsidRPr="00BC0E7E" w:rsidRDefault="00944B8F" w:rsidP="00BC0E7E">
            <w:pPr>
              <w:keepNext/>
              <w:rPr>
                <w:szCs w:val="20"/>
              </w:rPr>
            </w:pPr>
            <w:r w:rsidRPr="00BC0E7E">
              <w:rPr>
                <w:b/>
                <w:szCs w:val="20"/>
              </w:rPr>
              <w:t>Press</w:t>
            </w:r>
            <w:r w:rsidRPr="00BC0E7E">
              <w:rPr>
                <w:szCs w:val="20"/>
              </w:rPr>
              <w:t xml:space="preserve"> the plum activator button and count slowly for </w:t>
            </w:r>
            <w:r w:rsidRPr="00BC0E7E">
              <w:rPr>
                <w:b/>
                <w:szCs w:val="20"/>
              </w:rPr>
              <w:t xml:space="preserve">10 </w:t>
            </w:r>
            <w:r w:rsidRPr="00BC0E7E">
              <w:rPr>
                <w:szCs w:val="20"/>
              </w:rPr>
              <w:t>seconds.</w:t>
            </w:r>
          </w:p>
          <w:p w14:paraId="156252B0" w14:textId="77777777" w:rsidR="00BC0E7E" w:rsidRPr="00BC0E7E" w:rsidRDefault="00BC0E7E" w:rsidP="00BC0E7E">
            <w:pPr>
              <w:keepNext/>
              <w:rPr>
                <w:szCs w:val="20"/>
              </w:rPr>
            </w:pPr>
          </w:p>
          <w:p w14:paraId="780AF11E" w14:textId="77777777" w:rsidR="00BC0E7E" w:rsidRPr="00BC0E7E" w:rsidRDefault="00944B8F" w:rsidP="00D51999">
            <w:pPr>
              <w:keepNext/>
              <w:numPr>
                <w:ilvl w:val="0"/>
                <w:numId w:val="69"/>
              </w:numPr>
              <w:tabs>
                <w:tab w:val="clear" w:pos="562"/>
                <w:tab w:val="left" w:pos="757"/>
              </w:tabs>
              <w:ind w:left="757"/>
              <w:rPr>
                <w:szCs w:val="20"/>
              </w:rPr>
            </w:pPr>
            <w:r w:rsidRPr="00BC0E7E">
              <w:rPr>
                <w:szCs w:val="20"/>
              </w:rPr>
              <w:t xml:space="preserve">A loud </w:t>
            </w:r>
            <w:r w:rsidRPr="00BC0E7E">
              <w:rPr>
                <w:b/>
                <w:szCs w:val="20"/>
              </w:rPr>
              <w:t>“click”</w:t>
            </w:r>
            <w:r w:rsidRPr="00BC0E7E">
              <w:rPr>
                <w:szCs w:val="20"/>
              </w:rPr>
              <w:t xml:space="preserve"> will signal the start of the injection</w:t>
            </w:r>
          </w:p>
          <w:p w14:paraId="56D0FB2A" w14:textId="77777777" w:rsidR="00BC0E7E" w:rsidRPr="00BC0E7E" w:rsidRDefault="00944B8F" w:rsidP="00D51999">
            <w:pPr>
              <w:keepNext/>
              <w:numPr>
                <w:ilvl w:val="0"/>
                <w:numId w:val="69"/>
              </w:numPr>
              <w:tabs>
                <w:tab w:val="clear" w:pos="562"/>
                <w:tab w:val="left" w:pos="757"/>
              </w:tabs>
              <w:ind w:left="757"/>
              <w:rPr>
                <w:szCs w:val="20"/>
              </w:rPr>
            </w:pPr>
            <w:r w:rsidRPr="00BC0E7E">
              <w:rPr>
                <w:b/>
                <w:szCs w:val="20"/>
              </w:rPr>
              <w:t>Keep pushing</w:t>
            </w:r>
            <w:r w:rsidRPr="00BC0E7E">
              <w:rPr>
                <w:szCs w:val="20"/>
              </w:rPr>
              <w:t xml:space="preserve"> the pre-filled pen down</w:t>
            </w:r>
            <w:r w:rsidR="004A00C7">
              <w:rPr>
                <w:szCs w:val="20"/>
              </w:rPr>
              <w:t xml:space="preserve"> </w:t>
            </w:r>
            <w:r w:rsidR="004A00C7">
              <w:rPr>
                <w:b/>
                <w:szCs w:val="20"/>
              </w:rPr>
              <w:t>firmly</w:t>
            </w:r>
            <w:r w:rsidR="0068423C">
              <w:rPr>
                <w:b/>
                <w:szCs w:val="20"/>
              </w:rPr>
              <w:t xml:space="preserve"> </w:t>
            </w:r>
            <w:r w:rsidRPr="00BC0E7E">
              <w:rPr>
                <w:szCs w:val="20"/>
              </w:rPr>
              <w:t>against the injection site</w:t>
            </w:r>
            <w:r w:rsidR="004A00C7">
              <w:rPr>
                <w:szCs w:val="20"/>
              </w:rPr>
              <w:t xml:space="preserve"> until the injection is complete</w:t>
            </w:r>
            <w:r w:rsidRPr="00BC0E7E">
              <w:rPr>
                <w:szCs w:val="20"/>
              </w:rPr>
              <w:t>.</w:t>
            </w:r>
          </w:p>
          <w:p w14:paraId="2A40706C" w14:textId="77777777" w:rsidR="00BC0E7E" w:rsidRPr="00BC0E7E" w:rsidRDefault="00BC0E7E" w:rsidP="00BC0E7E">
            <w:pPr>
              <w:keepNext/>
              <w:rPr>
                <w:szCs w:val="20"/>
              </w:rPr>
            </w:pPr>
          </w:p>
          <w:p w14:paraId="0525A3DF" w14:textId="77777777" w:rsidR="00BC0E7E" w:rsidRPr="00BC0E7E" w:rsidRDefault="00944B8F" w:rsidP="00BC0E7E">
            <w:pPr>
              <w:keepNext/>
              <w:rPr>
                <w:szCs w:val="20"/>
              </w:rPr>
            </w:pPr>
            <w:r w:rsidRPr="00BC0E7E">
              <w:rPr>
                <w:szCs w:val="20"/>
              </w:rPr>
              <w:t>The injection is complete when the yellow indicator has stopped moving.</w:t>
            </w:r>
          </w:p>
        </w:tc>
      </w:tr>
      <w:tr w:rsidR="00C6578C" w14:paraId="48BD0707" w14:textId="77777777" w:rsidTr="00171601">
        <w:tc>
          <w:tcPr>
            <w:tcW w:w="3708" w:type="dxa"/>
            <w:tcBorders>
              <w:right w:val="nil"/>
            </w:tcBorders>
          </w:tcPr>
          <w:p w14:paraId="466BD4BC" w14:textId="77777777" w:rsidR="00BC0E7E" w:rsidRPr="00BC0E7E" w:rsidRDefault="00944B8F" w:rsidP="00BC0E7E">
            <w:pPr>
              <w:keepNext/>
              <w:rPr>
                <w:b/>
                <w:noProof/>
                <w:szCs w:val="20"/>
              </w:rPr>
            </w:pPr>
            <w:r w:rsidRPr="00BC0E7E">
              <w:rPr>
                <w:b/>
                <w:noProof/>
                <w:szCs w:val="20"/>
              </w:rPr>
              <w:t>STEP 8</w:t>
            </w:r>
          </w:p>
          <w:p w14:paraId="31CD0797" w14:textId="77777777" w:rsidR="00BC0E7E" w:rsidRPr="00BC0E7E" w:rsidRDefault="00944B8F" w:rsidP="00BC0E7E">
            <w:pPr>
              <w:keepNext/>
              <w:rPr>
                <w:szCs w:val="20"/>
              </w:rPr>
            </w:pPr>
            <w:r>
              <w:rPr>
                <w:noProof/>
                <w:szCs w:val="20"/>
                <w:lang w:val="en-US"/>
              </w:rPr>
              <w:drawing>
                <wp:inline distT="0" distB="0" distL="0" distR="0" wp14:anchorId="003D8C25" wp14:editId="54361466">
                  <wp:extent cx="2027555" cy="1804670"/>
                  <wp:effectExtent l="0" t="0" r="0" b="5080"/>
                  <wp:docPr id="111" name="Picture 111" descr="STEP8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84" descr="STEP8_grey"/>
                          <pic:cNvPicPr>
                            <a:picLocks noChangeAspect="1" noChangeArrowheads="1"/>
                          </pic:cNvPicPr>
                        </pic:nvPicPr>
                        <pic:blipFill>
                          <a:blip r:embed="rId79">
                            <a:extLst>
                              <a:ext uri="{28A0092B-C50C-407E-A947-70E740481C1C}">
                                <a14:useLocalDpi xmlns:a14="http://schemas.microsoft.com/office/drawing/2010/main" val="0"/>
                              </a:ext>
                            </a:extLst>
                          </a:blip>
                          <a:stretch>
                            <a:fillRect/>
                          </a:stretch>
                        </pic:blipFill>
                        <pic:spPr bwMode="auto">
                          <a:xfrm>
                            <a:off x="0" y="0"/>
                            <a:ext cx="2027555" cy="1804670"/>
                          </a:xfrm>
                          <a:prstGeom prst="rect">
                            <a:avLst/>
                          </a:prstGeom>
                          <a:noFill/>
                          <a:ln>
                            <a:noFill/>
                          </a:ln>
                        </pic:spPr>
                      </pic:pic>
                    </a:graphicData>
                  </a:graphic>
                </wp:inline>
              </w:drawing>
            </w:r>
            <w:r w:rsidRPr="00BC0E7E">
              <w:rPr>
                <w:noProof/>
                <w:szCs w:val="20"/>
              </w:rPr>
              <w:t xml:space="preserve"> </w:t>
            </w:r>
          </w:p>
        </w:tc>
        <w:tc>
          <w:tcPr>
            <w:tcW w:w="5579" w:type="dxa"/>
            <w:tcBorders>
              <w:left w:val="nil"/>
            </w:tcBorders>
          </w:tcPr>
          <w:p w14:paraId="21A8F6C9" w14:textId="77777777" w:rsidR="00BC0E7E" w:rsidRPr="00BC0E7E" w:rsidRDefault="00BC0E7E" w:rsidP="00BC0E7E">
            <w:pPr>
              <w:keepNext/>
              <w:rPr>
                <w:szCs w:val="20"/>
              </w:rPr>
            </w:pPr>
          </w:p>
          <w:p w14:paraId="6A104912" w14:textId="77777777" w:rsidR="00BC0E7E" w:rsidRPr="00BC0E7E" w:rsidRDefault="00944B8F" w:rsidP="00BC0E7E">
            <w:pPr>
              <w:keepNext/>
              <w:rPr>
                <w:szCs w:val="20"/>
              </w:rPr>
            </w:pPr>
            <w:r w:rsidRPr="00BC0E7E">
              <w:rPr>
                <w:szCs w:val="20"/>
              </w:rPr>
              <w:t>When the injection is completed, slowly pull the pre-filled pen from the skin. The white needle sleeve will cover the needle tip.</w:t>
            </w:r>
          </w:p>
          <w:p w14:paraId="0DD01F65" w14:textId="77777777" w:rsidR="00BC0E7E" w:rsidRPr="004A00C7" w:rsidRDefault="00944B8F" w:rsidP="004A00C7">
            <w:pPr>
              <w:keepNext/>
              <w:numPr>
                <w:ilvl w:val="0"/>
                <w:numId w:val="70"/>
              </w:numPr>
              <w:tabs>
                <w:tab w:val="clear" w:pos="562"/>
                <w:tab w:val="left" w:pos="757"/>
              </w:tabs>
              <w:ind w:left="757"/>
              <w:rPr>
                <w:szCs w:val="20"/>
              </w:rPr>
            </w:pPr>
            <w:r w:rsidRPr="004A00C7">
              <w:rPr>
                <w:szCs w:val="20"/>
              </w:rPr>
              <w:t>A small amount of liquid on the injection site is normal</w:t>
            </w:r>
          </w:p>
          <w:p w14:paraId="04510FBB" w14:textId="77777777" w:rsidR="004A00C7" w:rsidRPr="00BC0E7E" w:rsidRDefault="004A00C7" w:rsidP="00BC0E7E">
            <w:pPr>
              <w:rPr>
                <w:szCs w:val="20"/>
              </w:rPr>
            </w:pPr>
          </w:p>
          <w:p w14:paraId="34D52897" w14:textId="77777777" w:rsidR="00BC0E7E" w:rsidRPr="00BC0E7E" w:rsidRDefault="00944B8F" w:rsidP="00BC0E7E">
            <w:pPr>
              <w:keepNext/>
              <w:rPr>
                <w:szCs w:val="20"/>
              </w:rPr>
            </w:pPr>
            <w:r w:rsidRPr="00BC0E7E">
              <w:rPr>
                <w:szCs w:val="20"/>
              </w:rPr>
              <w:t>If there are more than a few drops of liquid on the injection site, contact your doctor, nurse or pharmacist.</w:t>
            </w:r>
          </w:p>
          <w:p w14:paraId="7082F069" w14:textId="77777777" w:rsidR="00BC0E7E" w:rsidRPr="00BC0E7E" w:rsidRDefault="00BC0E7E" w:rsidP="00BC0E7E">
            <w:pPr>
              <w:keepNext/>
              <w:rPr>
                <w:szCs w:val="20"/>
              </w:rPr>
            </w:pPr>
          </w:p>
          <w:p w14:paraId="6A4DD7E4" w14:textId="77777777" w:rsidR="00BC0E7E" w:rsidRPr="00BC0E7E" w:rsidRDefault="00944B8F" w:rsidP="00BC0E7E">
            <w:pPr>
              <w:keepNext/>
              <w:rPr>
                <w:szCs w:val="20"/>
              </w:rPr>
            </w:pPr>
            <w:r w:rsidRPr="00BC0E7E">
              <w:rPr>
                <w:szCs w:val="20"/>
              </w:rPr>
              <w:t>After completing the injection, place a cotton ball or gauze pad on the skin over the injection site.</w:t>
            </w:r>
          </w:p>
          <w:p w14:paraId="47602776" w14:textId="77777777" w:rsidR="00BC0E7E" w:rsidRPr="00BC0E7E" w:rsidRDefault="00BC0E7E" w:rsidP="00BC0E7E">
            <w:pPr>
              <w:keepNext/>
              <w:rPr>
                <w:szCs w:val="20"/>
              </w:rPr>
            </w:pPr>
          </w:p>
          <w:p w14:paraId="4ED6A758" w14:textId="77777777" w:rsidR="00BC0E7E" w:rsidRPr="00BC0E7E" w:rsidRDefault="00944B8F" w:rsidP="00D51999">
            <w:pPr>
              <w:keepNext/>
              <w:numPr>
                <w:ilvl w:val="0"/>
                <w:numId w:val="70"/>
              </w:numPr>
              <w:tabs>
                <w:tab w:val="clear" w:pos="562"/>
                <w:tab w:val="left" w:pos="757"/>
              </w:tabs>
              <w:ind w:left="757"/>
              <w:rPr>
                <w:szCs w:val="20"/>
              </w:rPr>
            </w:pPr>
            <w:r w:rsidRPr="00BC0E7E">
              <w:rPr>
                <w:b/>
                <w:szCs w:val="20"/>
              </w:rPr>
              <w:t>Do not</w:t>
            </w:r>
            <w:r w:rsidRPr="00BC0E7E">
              <w:rPr>
                <w:szCs w:val="20"/>
              </w:rPr>
              <w:t xml:space="preserve"> rub</w:t>
            </w:r>
          </w:p>
          <w:p w14:paraId="1BDEADC4" w14:textId="77777777" w:rsidR="00BC0E7E" w:rsidRPr="00BC0E7E" w:rsidRDefault="00944B8F" w:rsidP="00D51999">
            <w:pPr>
              <w:keepNext/>
              <w:numPr>
                <w:ilvl w:val="0"/>
                <w:numId w:val="70"/>
              </w:numPr>
              <w:tabs>
                <w:tab w:val="clear" w:pos="562"/>
                <w:tab w:val="left" w:pos="757"/>
              </w:tabs>
              <w:ind w:left="757"/>
              <w:rPr>
                <w:szCs w:val="20"/>
              </w:rPr>
            </w:pPr>
            <w:r w:rsidRPr="00BC0E7E">
              <w:rPr>
                <w:szCs w:val="20"/>
              </w:rPr>
              <w:t>Slight bleeding at the injection site is normal</w:t>
            </w:r>
          </w:p>
        </w:tc>
      </w:tr>
      <w:tr w:rsidR="00C6578C" w14:paraId="1FA9422A" w14:textId="77777777" w:rsidTr="00171601">
        <w:tc>
          <w:tcPr>
            <w:tcW w:w="9287" w:type="dxa"/>
            <w:gridSpan w:val="2"/>
          </w:tcPr>
          <w:p w14:paraId="16C374AF" w14:textId="77777777" w:rsidR="00BC0E7E" w:rsidRPr="00BC0E7E" w:rsidRDefault="00944B8F" w:rsidP="00BC0E7E">
            <w:pPr>
              <w:rPr>
                <w:b/>
              </w:rPr>
            </w:pPr>
            <w:r w:rsidRPr="00BC0E7E">
              <w:rPr>
                <w:b/>
              </w:rPr>
              <w:t>STEP 9</w:t>
            </w:r>
          </w:p>
          <w:p w14:paraId="63600895" w14:textId="77777777" w:rsidR="00BC0E7E" w:rsidRPr="00BC0E7E" w:rsidRDefault="00BC0E7E" w:rsidP="00BC0E7E">
            <w:pPr>
              <w:rPr>
                <w:b/>
              </w:rPr>
            </w:pPr>
          </w:p>
          <w:p w14:paraId="76362001" w14:textId="77777777" w:rsidR="00BC0E7E" w:rsidRPr="00BC0E7E" w:rsidRDefault="00944B8F" w:rsidP="00BC0E7E">
            <w:pPr>
              <w:keepNext/>
              <w:rPr>
                <w:szCs w:val="20"/>
              </w:rPr>
            </w:pPr>
            <w:r w:rsidRPr="00BC0E7E">
              <w:rPr>
                <w:szCs w:val="20"/>
              </w:rPr>
              <w:t>Throw away the used pre-filled pen in a special disposal container as instructed by your doctor, nurse or pharmacist.</w:t>
            </w:r>
          </w:p>
          <w:p w14:paraId="1576CB70" w14:textId="77777777" w:rsidR="00BC0E7E" w:rsidRPr="00BC0E7E" w:rsidRDefault="00BC0E7E" w:rsidP="00BC0E7E">
            <w:pPr>
              <w:rPr>
                <w:szCs w:val="20"/>
              </w:rPr>
            </w:pPr>
          </w:p>
          <w:p w14:paraId="096751F2" w14:textId="77777777" w:rsidR="00BC0E7E" w:rsidRPr="00BC0E7E" w:rsidRDefault="00944B8F" w:rsidP="00D51999">
            <w:pPr>
              <w:keepNext/>
              <w:numPr>
                <w:ilvl w:val="0"/>
                <w:numId w:val="71"/>
              </w:numPr>
              <w:tabs>
                <w:tab w:val="clear" w:pos="562"/>
              </w:tabs>
              <w:rPr>
                <w:szCs w:val="20"/>
              </w:rPr>
            </w:pPr>
            <w:r w:rsidRPr="00BC0E7E">
              <w:rPr>
                <w:b/>
                <w:szCs w:val="20"/>
              </w:rPr>
              <w:t>Do not</w:t>
            </w:r>
            <w:r w:rsidRPr="00BC0E7E">
              <w:rPr>
                <w:szCs w:val="20"/>
              </w:rPr>
              <w:t xml:space="preserve"> recycle or throw the pre-filled pen in the household waste</w:t>
            </w:r>
          </w:p>
          <w:p w14:paraId="5BBF649D" w14:textId="77777777" w:rsidR="00BC0E7E" w:rsidRPr="00BC0E7E" w:rsidRDefault="00944B8F" w:rsidP="00D51999">
            <w:pPr>
              <w:numPr>
                <w:ilvl w:val="0"/>
                <w:numId w:val="71"/>
              </w:numPr>
              <w:tabs>
                <w:tab w:val="clear" w:pos="562"/>
              </w:tabs>
              <w:rPr>
                <w:szCs w:val="20"/>
              </w:rPr>
            </w:pPr>
            <w:r w:rsidRPr="00BC0E7E">
              <w:rPr>
                <w:b/>
                <w:szCs w:val="20"/>
              </w:rPr>
              <w:t>Always</w:t>
            </w:r>
            <w:r w:rsidRPr="00BC0E7E">
              <w:rPr>
                <w:szCs w:val="20"/>
              </w:rPr>
              <w:t xml:space="preserve"> keep the pre-filled pen and the special disposal container out of the sight and reach of children</w:t>
            </w:r>
          </w:p>
          <w:p w14:paraId="5883C19C" w14:textId="77777777" w:rsidR="00BC0E7E" w:rsidRPr="00BC0E7E" w:rsidRDefault="00BC0E7E" w:rsidP="00BC0E7E">
            <w:pPr>
              <w:tabs>
                <w:tab w:val="clear" w:pos="562"/>
              </w:tabs>
              <w:ind w:left="720"/>
              <w:rPr>
                <w:szCs w:val="20"/>
              </w:rPr>
            </w:pPr>
          </w:p>
          <w:p w14:paraId="51A77110" w14:textId="77777777" w:rsidR="00BC0E7E" w:rsidRPr="00BC0E7E" w:rsidRDefault="00944B8F" w:rsidP="00943151">
            <w:pPr>
              <w:rPr>
                <w:szCs w:val="20"/>
              </w:rPr>
            </w:pPr>
            <w:r w:rsidRPr="00BC0E7E">
              <w:rPr>
                <w:szCs w:val="22"/>
              </w:rPr>
              <w:t>The caps, alcohol pad, cotton ball or gauze pad, blister and packaging may be put in your household waste.</w:t>
            </w:r>
          </w:p>
        </w:tc>
      </w:tr>
    </w:tbl>
    <w:p w14:paraId="3B5C0672" w14:textId="77777777" w:rsidR="00BC0E7E" w:rsidRPr="00BC0E7E" w:rsidRDefault="00BC0E7E" w:rsidP="00BC0E7E">
      <w:pPr>
        <w:tabs>
          <w:tab w:val="clear" w:pos="562"/>
        </w:tabs>
        <w:ind w:left="567" w:right="-29" w:hanging="567"/>
      </w:pPr>
    </w:p>
    <w:p w14:paraId="54701E4D" w14:textId="77777777" w:rsidR="00BC0E7E" w:rsidRPr="00BC0E7E" w:rsidRDefault="00944B8F" w:rsidP="00BC0E7E">
      <w:pPr>
        <w:jc w:val="center"/>
        <w:rPr>
          <w:b/>
          <w:szCs w:val="20"/>
        </w:rPr>
      </w:pPr>
      <w:r w:rsidRPr="00BC0E7E">
        <w:rPr>
          <w:szCs w:val="20"/>
        </w:rPr>
        <w:br w:type="page"/>
      </w:r>
      <w:r w:rsidRPr="00BC0E7E">
        <w:rPr>
          <w:b/>
          <w:szCs w:val="20"/>
        </w:rPr>
        <w:lastRenderedPageBreak/>
        <w:t>Package leaflet: Information for the patient</w:t>
      </w:r>
    </w:p>
    <w:p w14:paraId="6C475679" w14:textId="77777777" w:rsidR="00BC0E7E" w:rsidRPr="00BC0E7E" w:rsidRDefault="00BC0E7E" w:rsidP="00BC0E7E">
      <w:pPr>
        <w:tabs>
          <w:tab w:val="clear" w:pos="562"/>
        </w:tabs>
        <w:jc w:val="center"/>
        <w:rPr>
          <w:b/>
        </w:rPr>
      </w:pPr>
    </w:p>
    <w:p w14:paraId="07CD4C62" w14:textId="77777777" w:rsidR="00BC0E7E" w:rsidRPr="00BC0E7E" w:rsidRDefault="00944B8F" w:rsidP="00BC0E7E">
      <w:pPr>
        <w:tabs>
          <w:tab w:val="clear" w:pos="562"/>
        </w:tabs>
        <w:jc w:val="center"/>
      </w:pPr>
      <w:r w:rsidRPr="00BC0E7E">
        <w:rPr>
          <w:b/>
          <w:bCs/>
        </w:rPr>
        <w:t xml:space="preserve">Humira </w:t>
      </w:r>
      <w:r w:rsidRPr="00BC0E7E">
        <w:rPr>
          <w:b/>
        </w:rPr>
        <w:t>80 mg solution for injection in pre-filled syringe</w:t>
      </w:r>
    </w:p>
    <w:p w14:paraId="69F7F8C8" w14:textId="77777777" w:rsidR="00BC0E7E" w:rsidRPr="00BC0E7E" w:rsidRDefault="00944B8F" w:rsidP="00BC0E7E">
      <w:pPr>
        <w:tabs>
          <w:tab w:val="clear" w:pos="562"/>
        </w:tabs>
        <w:jc w:val="center"/>
        <w:rPr>
          <w:b/>
        </w:rPr>
      </w:pPr>
      <w:r w:rsidRPr="00BC0E7E">
        <w:t>adalimumab</w:t>
      </w:r>
    </w:p>
    <w:p w14:paraId="690FFECC" w14:textId="77777777" w:rsidR="00BC0E7E" w:rsidRPr="00BC0E7E" w:rsidRDefault="00BC0E7E" w:rsidP="00BC0E7E">
      <w:pPr>
        <w:tabs>
          <w:tab w:val="clear" w:pos="562"/>
        </w:tabs>
        <w:jc w:val="center"/>
        <w:rPr>
          <w:b/>
        </w:rPr>
      </w:pPr>
    </w:p>
    <w:p w14:paraId="25AED8C3" w14:textId="77777777" w:rsidR="00BC0E7E" w:rsidRPr="00BC0E7E" w:rsidRDefault="00944B8F" w:rsidP="00BC0E7E">
      <w:pPr>
        <w:tabs>
          <w:tab w:val="clear" w:pos="562"/>
        </w:tabs>
        <w:ind w:right="-2"/>
      </w:pPr>
      <w:r w:rsidRPr="00BC0E7E">
        <w:rPr>
          <w:b/>
        </w:rPr>
        <w:t>Read all of this leaflet carefully before you start using this medicine because it contains important information for you.</w:t>
      </w:r>
    </w:p>
    <w:p w14:paraId="3FBE85F5" w14:textId="77777777" w:rsidR="00BC0E7E" w:rsidRPr="00BC0E7E" w:rsidRDefault="00944B8F" w:rsidP="00BC0E7E">
      <w:pPr>
        <w:numPr>
          <w:ilvl w:val="0"/>
          <w:numId w:val="15"/>
        </w:numPr>
        <w:rPr>
          <w:szCs w:val="20"/>
        </w:rPr>
      </w:pPr>
      <w:r w:rsidRPr="00BC0E7E">
        <w:rPr>
          <w:szCs w:val="20"/>
        </w:rPr>
        <w:t>Keep this leaflet. You may need to read it again.</w:t>
      </w:r>
    </w:p>
    <w:p w14:paraId="0B25EF09" w14:textId="77777777" w:rsidR="00BC0E7E" w:rsidRPr="00BC0E7E" w:rsidRDefault="00944B8F" w:rsidP="00BC0E7E">
      <w:pPr>
        <w:numPr>
          <w:ilvl w:val="0"/>
          <w:numId w:val="15"/>
        </w:numPr>
        <w:rPr>
          <w:szCs w:val="20"/>
        </w:rPr>
      </w:pPr>
      <w:r w:rsidRPr="00BC0E7E">
        <w:rPr>
          <w:szCs w:val="20"/>
        </w:rPr>
        <w:t xml:space="preserve">Your doctor will also give you a </w:t>
      </w:r>
      <w:r w:rsidR="00BF2AE5" w:rsidRPr="002179FE">
        <w:rPr>
          <w:b/>
        </w:rPr>
        <w:t>Patient Reminder Card</w:t>
      </w:r>
      <w:r w:rsidRPr="00BC0E7E">
        <w:rPr>
          <w:szCs w:val="20"/>
        </w:rPr>
        <w:t xml:space="preserve">, which contains important safety information that you need to be aware of before you begin using Humira and during treatment with Humira. Keep this </w:t>
      </w:r>
      <w:r w:rsidR="00BF2AE5" w:rsidRPr="002179FE">
        <w:rPr>
          <w:b/>
        </w:rPr>
        <w:t>Patient Reminder Card</w:t>
      </w:r>
      <w:r w:rsidRPr="00BC0E7E">
        <w:rPr>
          <w:szCs w:val="20"/>
        </w:rPr>
        <w:t xml:space="preserve"> with you. </w:t>
      </w:r>
    </w:p>
    <w:p w14:paraId="494FD661" w14:textId="77777777" w:rsidR="00BC0E7E" w:rsidRPr="00BC0E7E" w:rsidRDefault="00944B8F" w:rsidP="00BC0E7E">
      <w:pPr>
        <w:numPr>
          <w:ilvl w:val="0"/>
          <w:numId w:val="15"/>
        </w:numPr>
        <w:rPr>
          <w:szCs w:val="20"/>
        </w:rPr>
      </w:pPr>
      <w:r w:rsidRPr="00BC0E7E">
        <w:rPr>
          <w:szCs w:val="20"/>
        </w:rPr>
        <w:t>If you have any questions, ask your doctor or pharmacist.</w:t>
      </w:r>
    </w:p>
    <w:p w14:paraId="16E0243A" w14:textId="77777777" w:rsidR="00BC0E7E" w:rsidRPr="00BC0E7E" w:rsidRDefault="00944B8F" w:rsidP="00BC0E7E">
      <w:pPr>
        <w:numPr>
          <w:ilvl w:val="0"/>
          <w:numId w:val="15"/>
        </w:numPr>
        <w:rPr>
          <w:b/>
          <w:szCs w:val="20"/>
        </w:rPr>
      </w:pPr>
      <w:r w:rsidRPr="00BC0E7E">
        <w:rPr>
          <w:szCs w:val="20"/>
        </w:rPr>
        <w:t>This medicine has been prescribed for you only. Do not pass it on to others. It may harm them, even if their signs of illness are the same as yours.</w:t>
      </w:r>
    </w:p>
    <w:p w14:paraId="2FDA8882" w14:textId="77777777" w:rsidR="00BC0E7E" w:rsidRPr="00BC0E7E" w:rsidRDefault="00944B8F" w:rsidP="00BC0E7E">
      <w:pPr>
        <w:numPr>
          <w:ilvl w:val="0"/>
          <w:numId w:val="15"/>
        </w:numPr>
        <w:rPr>
          <w:b/>
          <w:szCs w:val="20"/>
        </w:rPr>
      </w:pPr>
      <w:r w:rsidRPr="00BC0E7E">
        <w:rPr>
          <w:szCs w:val="20"/>
        </w:rPr>
        <w:t>If you get any side effects, talk to your doctor or pharmacist. This includes any possible side effects not listed in this leaflet. See section 4.</w:t>
      </w:r>
    </w:p>
    <w:p w14:paraId="6DB3A8FB" w14:textId="77777777" w:rsidR="00BC0E7E" w:rsidRPr="00BC0E7E" w:rsidRDefault="00BC0E7E" w:rsidP="00BC0E7E">
      <w:pPr>
        <w:numPr>
          <w:ilvl w:val="12"/>
          <w:numId w:val="0"/>
        </w:numPr>
        <w:tabs>
          <w:tab w:val="clear" w:pos="562"/>
        </w:tabs>
        <w:ind w:right="-2"/>
        <w:rPr>
          <w:b/>
        </w:rPr>
      </w:pPr>
    </w:p>
    <w:p w14:paraId="2066A982" w14:textId="77777777" w:rsidR="00BC0E7E" w:rsidRPr="00BC0E7E" w:rsidRDefault="00944B8F" w:rsidP="00BC0E7E">
      <w:pPr>
        <w:numPr>
          <w:ilvl w:val="12"/>
          <w:numId w:val="0"/>
        </w:numPr>
        <w:tabs>
          <w:tab w:val="clear" w:pos="562"/>
        </w:tabs>
        <w:ind w:right="-2"/>
      </w:pPr>
      <w:r w:rsidRPr="00BC0E7E">
        <w:rPr>
          <w:b/>
        </w:rPr>
        <w:t>What is in this leaflet</w:t>
      </w:r>
    </w:p>
    <w:p w14:paraId="1D81B1AD" w14:textId="77777777" w:rsidR="00BC0E7E" w:rsidRPr="00BC0E7E" w:rsidRDefault="00944B8F" w:rsidP="00BC0E7E">
      <w:pPr>
        <w:tabs>
          <w:tab w:val="clear" w:pos="562"/>
        </w:tabs>
        <w:ind w:left="567" w:right="-29" w:hanging="567"/>
      </w:pPr>
      <w:r w:rsidRPr="00BC0E7E">
        <w:t>1.</w:t>
      </w:r>
      <w:r w:rsidRPr="00BC0E7E">
        <w:tab/>
        <w:t>What Humira is and what it is used for</w:t>
      </w:r>
    </w:p>
    <w:p w14:paraId="1389FE56" w14:textId="77777777" w:rsidR="00BC0E7E" w:rsidRPr="00BC0E7E" w:rsidRDefault="00944B8F" w:rsidP="00BC0E7E">
      <w:pPr>
        <w:tabs>
          <w:tab w:val="clear" w:pos="562"/>
        </w:tabs>
        <w:ind w:left="567" w:right="-29" w:hanging="567"/>
      </w:pPr>
      <w:r w:rsidRPr="00BC0E7E">
        <w:t>2.</w:t>
      </w:r>
      <w:r w:rsidRPr="00BC0E7E">
        <w:tab/>
        <w:t>What you need to know before you use Humira</w:t>
      </w:r>
    </w:p>
    <w:p w14:paraId="2FEEDD78" w14:textId="77777777" w:rsidR="00BC0E7E" w:rsidRPr="00BC0E7E" w:rsidRDefault="00944B8F" w:rsidP="00BC0E7E">
      <w:pPr>
        <w:tabs>
          <w:tab w:val="clear" w:pos="562"/>
        </w:tabs>
        <w:ind w:left="567" w:right="-29" w:hanging="567"/>
      </w:pPr>
      <w:r w:rsidRPr="00BC0E7E">
        <w:t>3.</w:t>
      </w:r>
      <w:r w:rsidRPr="00BC0E7E">
        <w:tab/>
        <w:t>How to use Humira</w:t>
      </w:r>
    </w:p>
    <w:p w14:paraId="79B30F38" w14:textId="77777777" w:rsidR="00BC0E7E" w:rsidRPr="00BC0E7E" w:rsidRDefault="00944B8F" w:rsidP="00BC0E7E">
      <w:pPr>
        <w:tabs>
          <w:tab w:val="clear" w:pos="562"/>
        </w:tabs>
        <w:ind w:left="567" w:right="-29" w:hanging="567"/>
      </w:pPr>
      <w:r w:rsidRPr="00BC0E7E">
        <w:t>4.</w:t>
      </w:r>
      <w:r w:rsidRPr="00BC0E7E">
        <w:tab/>
        <w:t>Possible side effects</w:t>
      </w:r>
    </w:p>
    <w:p w14:paraId="655BD43F" w14:textId="77777777" w:rsidR="00BC0E7E" w:rsidRPr="00BC0E7E" w:rsidRDefault="00944B8F" w:rsidP="00BC0E7E">
      <w:pPr>
        <w:tabs>
          <w:tab w:val="clear" w:pos="562"/>
        </w:tabs>
        <w:ind w:left="567" w:right="-29" w:hanging="567"/>
      </w:pPr>
      <w:r w:rsidRPr="00BC0E7E">
        <w:t>5.</w:t>
      </w:r>
      <w:r w:rsidRPr="00BC0E7E">
        <w:tab/>
        <w:t>How to store Humira</w:t>
      </w:r>
    </w:p>
    <w:p w14:paraId="0EEA6D4D" w14:textId="77777777" w:rsidR="00BC0E7E" w:rsidRPr="00BC0E7E" w:rsidRDefault="00944B8F" w:rsidP="00BC0E7E">
      <w:pPr>
        <w:tabs>
          <w:tab w:val="clear" w:pos="562"/>
        </w:tabs>
        <w:ind w:left="567" w:right="-29" w:hanging="567"/>
      </w:pPr>
      <w:r w:rsidRPr="00BC0E7E">
        <w:t>6.</w:t>
      </w:r>
      <w:r w:rsidRPr="00BC0E7E">
        <w:tab/>
        <w:t>Contents of the pack and other information</w:t>
      </w:r>
    </w:p>
    <w:p w14:paraId="526FD27A" w14:textId="77777777" w:rsidR="00BC0E7E" w:rsidRPr="00BC0E7E" w:rsidRDefault="00944B8F" w:rsidP="00BC0E7E">
      <w:pPr>
        <w:tabs>
          <w:tab w:val="clear" w:pos="562"/>
        </w:tabs>
        <w:ind w:left="567" w:right="-29" w:hanging="567"/>
      </w:pPr>
      <w:r w:rsidRPr="00BC0E7E">
        <w:t>7.</w:t>
      </w:r>
      <w:r w:rsidRPr="00BC0E7E">
        <w:tab/>
      </w:r>
      <w:r w:rsidR="006563C9">
        <w:t>Injecting Humira</w:t>
      </w:r>
    </w:p>
    <w:p w14:paraId="26EA724E" w14:textId="77777777" w:rsidR="00BC0E7E" w:rsidRPr="00BC0E7E" w:rsidRDefault="00BC0E7E" w:rsidP="00BC0E7E">
      <w:pPr>
        <w:tabs>
          <w:tab w:val="clear" w:pos="562"/>
        </w:tabs>
        <w:ind w:left="567" w:right="-29" w:hanging="567"/>
      </w:pPr>
    </w:p>
    <w:p w14:paraId="0B2FE7F7" w14:textId="77777777" w:rsidR="00BC0E7E" w:rsidRPr="00BC0E7E" w:rsidRDefault="00BC0E7E" w:rsidP="00BC0E7E">
      <w:pPr>
        <w:tabs>
          <w:tab w:val="clear" w:pos="562"/>
        </w:tabs>
        <w:ind w:left="567" w:right="-29" w:hanging="567"/>
      </w:pPr>
    </w:p>
    <w:p w14:paraId="47E2A919" w14:textId="77777777" w:rsidR="00BC0E7E" w:rsidRPr="00BC0E7E" w:rsidRDefault="00944B8F" w:rsidP="00BC0E7E">
      <w:pPr>
        <w:outlineLvl w:val="0"/>
        <w:rPr>
          <w:rFonts w:ascii="Times New Roman Bold" w:hAnsi="Times New Roman Bold"/>
          <w:b/>
          <w:szCs w:val="20"/>
        </w:rPr>
      </w:pPr>
      <w:r w:rsidRPr="00BC0E7E">
        <w:rPr>
          <w:b/>
          <w:caps/>
          <w:szCs w:val="20"/>
        </w:rPr>
        <w:t>1.</w:t>
      </w:r>
      <w:r w:rsidRPr="00BC0E7E">
        <w:rPr>
          <w:b/>
          <w:caps/>
          <w:szCs w:val="20"/>
        </w:rPr>
        <w:tab/>
        <w:t>W</w:t>
      </w:r>
      <w:r w:rsidRPr="00BC0E7E">
        <w:rPr>
          <w:rFonts w:ascii="Times New Roman Bold" w:hAnsi="Times New Roman Bold"/>
          <w:b/>
          <w:szCs w:val="20"/>
        </w:rPr>
        <w:t>hat Humira is and what it is used for</w:t>
      </w:r>
    </w:p>
    <w:p w14:paraId="5D7E1107" w14:textId="77777777" w:rsidR="00BC0E7E" w:rsidRPr="00BC0E7E" w:rsidRDefault="00BC0E7E" w:rsidP="00BC0E7E">
      <w:pPr>
        <w:rPr>
          <w:szCs w:val="20"/>
        </w:rPr>
      </w:pPr>
    </w:p>
    <w:p w14:paraId="4860176E" w14:textId="77777777" w:rsidR="00BC0E7E" w:rsidRPr="00BC0E7E" w:rsidRDefault="00944B8F" w:rsidP="00BC0E7E">
      <w:r w:rsidRPr="00BC0E7E">
        <w:t>Humira contains the active substance adalimumab.</w:t>
      </w:r>
    </w:p>
    <w:p w14:paraId="296FA14B" w14:textId="77777777" w:rsidR="00BC0E7E" w:rsidRPr="00BC0E7E" w:rsidRDefault="00BC0E7E" w:rsidP="00BC0E7E"/>
    <w:p w14:paraId="3A8B74EA" w14:textId="77777777" w:rsidR="00BC0E7E" w:rsidRPr="00BC0E7E" w:rsidRDefault="00944B8F" w:rsidP="00BC0E7E">
      <w:r w:rsidRPr="00BC0E7E">
        <w:t>Humira is used to treat</w:t>
      </w:r>
    </w:p>
    <w:p w14:paraId="13111777" w14:textId="77777777" w:rsidR="00B20858" w:rsidRPr="00B20858" w:rsidRDefault="00944B8F" w:rsidP="00D51999">
      <w:pPr>
        <w:numPr>
          <w:ilvl w:val="0"/>
          <w:numId w:val="54"/>
        </w:numPr>
        <w:tabs>
          <w:tab w:val="clear" w:pos="562"/>
          <w:tab w:val="left" w:pos="720"/>
        </w:tabs>
      </w:pPr>
      <w:r w:rsidRPr="00BC0E7E">
        <w:t>Rheumatoid arthritis</w:t>
      </w:r>
    </w:p>
    <w:p w14:paraId="11BDFDA2" w14:textId="77777777" w:rsidR="00BC0E7E" w:rsidRPr="00BC0E7E" w:rsidRDefault="00944B8F" w:rsidP="00D51999">
      <w:pPr>
        <w:numPr>
          <w:ilvl w:val="0"/>
          <w:numId w:val="54"/>
        </w:numPr>
        <w:tabs>
          <w:tab w:val="clear" w:pos="562"/>
          <w:tab w:val="left" w:pos="720"/>
        </w:tabs>
      </w:pPr>
      <w:r w:rsidRPr="00BC0E7E">
        <w:t>Plaque psoriasis</w:t>
      </w:r>
    </w:p>
    <w:p w14:paraId="40B7FBAE" w14:textId="77777777" w:rsidR="00BC0E7E" w:rsidRPr="00BC0E7E" w:rsidRDefault="00944B8F" w:rsidP="00D51999">
      <w:pPr>
        <w:numPr>
          <w:ilvl w:val="0"/>
          <w:numId w:val="54"/>
        </w:numPr>
        <w:tabs>
          <w:tab w:val="clear" w:pos="562"/>
          <w:tab w:val="left" w:pos="720"/>
        </w:tabs>
      </w:pPr>
      <w:r w:rsidRPr="00BC0E7E">
        <w:t>Hidradenitis suppurativa</w:t>
      </w:r>
    </w:p>
    <w:p w14:paraId="6D3F1527" w14:textId="77777777" w:rsidR="00BC0E7E" w:rsidRPr="00BC0E7E" w:rsidRDefault="00944B8F" w:rsidP="00D51999">
      <w:pPr>
        <w:numPr>
          <w:ilvl w:val="0"/>
          <w:numId w:val="54"/>
        </w:numPr>
        <w:tabs>
          <w:tab w:val="clear" w:pos="562"/>
          <w:tab w:val="left" w:pos="720"/>
        </w:tabs>
      </w:pPr>
      <w:r w:rsidRPr="00BC0E7E">
        <w:t>Crohn’s disease</w:t>
      </w:r>
    </w:p>
    <w:p w14:paraId="281B7C4B" w14:textId="77777777" w:rsidR="00BC0E7E" w:rsidRPr="00BC0E7E" w:rsidRDefault="00944B8F" w:rsidP="00D51999">
      <w:pPr>
        <w:numPr>
          <w:ilvl w:val="0"/>
          <w:numId w:val="54"/>
        </w:numPr>
        <w:tabs>
          <w:tab w:val="clear" w:pos="562"/>
          <w:tab w:val="left" w:pos="720"/>
        </w:tabs>
      </w:pPr>
      <w:r w:rsidRPr="00BC0E7E">
        <w:t>Ulcerative colitis</w:t>
      </w:r>
    </w:p>
    <w:p w14:paraId="417C1E4A" w14:textId="77777777" w:rsidR="00BC0E7E" w:rsidRPr="00BC0E7E" w:rsidRDefault="00944B8F" w:rsidP="00D51999">
      <w:pPr>
        <w:numPr>
          <w:ilvl w:val="0"/>
          <w:numId w:val="54"/>
        </w:numPr>
        <w:tabs>
          <w:tab w:val="clear" w:pos="562"/>
          <w:tab w:val="left" w:pos="720"/>
        </w:tabs>
        <w:rPr>
          <w:iCs/>
        </w:rPr>
      </w:pPr>
      <w:r w:rsidRPr="00BC0E7E">
        <w:t>Non-infectious uveitis</w:t>
      </w:r>
    </w:p>
    <w:p w14:paraId="51A2DCF1" w14:textId="77777777" w:rsidR="00BC0E7E" w:rsidRPr="00BC0E7E" w:rsidRDefault="00BC0E7E" w:rsidP="00BC0E7E">
      <w:pPr>
        <w:tabs>
          <w:tab w:val="clear" w:pos="562"/>
        </w:tabs>
        <w:ind w:left="720"/>
      </w:pPr>
    </w:p>
    <w:p w14:paraId="7002DE24" w14:textId="77777777" w:rsidR="00A354EF" w:rsidRDefault="00944B8F" w:rsidP="00A354EF">
      <w:pPr>
        <w:keepLines/>
        <w:numPr>
          <w:ilvl w:val="12"/>
          <w:numId w:val="0"/>
        </w:numPr>
        <w:tabs>
          <w:tab w:val="clear" w:pos="562"/>
        </w:tabs>
        <w:ind w:right="-2"/>
        <w:rPr>
          <w:noProof/>
          <w:color w:val="000000"/>
          <w:szCs w:val="22"/>
        </w:rPr>
      </w:pPr>
      <w:r w:rsidRPr="00ED237F">
        <w:rPr>
          <w:noProof/>
          <w:color w:val="000000"/>
          <w:szCs w:val="22"/>
        </w:rPr>
        <w:t>The active ingredient</w:t>
      </w:r>
      <w:r>
        <w:rPr>
          <w:noProof/>
          <w:color w:val="000000"/>
          <w:szCs w:val="22"/>
        </w:rPr>
        <w:t xml:space="preserve"> in Humira</w:t>
      </w:r>
      <w:r w:rsidRPr="00ED237F">
        <w:rPr>
          <w:noProof/>
          <w:color w:val="000000"/>
          <w:szCs w:val="22"/>
        </w:rPr>
        <w:t>, adalimumab, is a</w:t>
      </w:r>
      <w:r>
        <w:rPr>
          <w:noProof/>
          <w:color w:val="000000"/>
          <w:szCs w:val="22"/>
        </w:rPr>
        <w:t xml:space="preserve"> human</w:t>
      </w:r>
      <w:r w:rsidRPr="00ED237F">
        <w:rPr>
          <w:noProof/>
          <w:color w:val="000000"/>
          <w:szCs w:val="22"/>
        </w:rPr>
        <w:t xml:space="preserve"> monoclonal antibody. Monoclonal antibodies are proteins that </w:t>
      </w:r>
      <w:r w:rsidRPr="00A7331B">
        <w:rPr>
          <w:noProof/>
          <w:color w:val="000000"/>
          <w:szCs w:val="22"/>
        </w:rPr>
        <w:t>attach to a specific target</w:t>
      </w:r>
      <w:r w:rsidRPr="00ED237F">
        <w:rPr>
          <w:noProof/>
          <w:color w:val="000000"/>
          <w:szCs w:val="22"/>
        </w:rPr>
        <w:t>.</w:t>
      </w:r>
    </w:p>
    <w:p w14:paraId="39110E0E" w14:textId="77777777" w:rsidR="00A354EF" w:rsidRDefault="00A354EF" w:rsidP="00A354EF">
      <w:pPr>
        <w:keepLines/>
        <w:numPr>
          <w:ilvl w:val="12"/>
          <w:numId w:val="0"/>
        </w:numPr>
        <w:tabs>
          <w:tab w:val="clear" w:pos="562"/>
        </w:tabs>
        <w:ind w:right="-2"/>
        <w:rPr>
          <w:noProof/>
          <w:color w:val="000000"/>
          <w:szCs w:val="22"/>
        </w:rPr>
      </w:pPr>
    </w:p>
    <w:p w14:paraId="5E54F60B" w14:textId="77777777" w:rsidR="00A354EF" w:rsidRDefault="00944B8F" w:rsidP="00A354EF">
      <w:pPr>
        <w:rPr>
          <w:noProof/>
          <w:color w:val="000000"/>
          <w:szCs w:val="22"/>
        </w:rPr>
      </w:pPr>
      <w:r>
        <w:rPr>
          <w:noProof/>
          <w:color w:val="000000"/>
          <w:szCs w:val="22"/>
        </w:rPr>
        <w:t>The target of</w:t>
      </w:r>
      <w:r w:rsidRPr="00ED237F">
        <w:rPr>
          <w:noProof/>
          <w:color w:val="000000"/>
          <w:szCs w:val="22"/>
        </w:rPr>
        <w:t xml:space="preserve"> </w:t>
      </w:r>
      <w:r>
        <w:rPr>
          <w:noProof/>
          <w:color w:val="000000"/>
          <w:szCs w:val="22"/>
        </w:rPr>
        <w:t>a</w:t>
      </w:r>
      <w:r w:rsidRPr="00ED237F">
        <w:rPr>
          <w:noProof/>
          <w:color w:val="000000"/>
          <w:szCs w:val="22"/>
        </w:rPr>
        <w:t xml:space="preserve">dalimumab </w:t>
      </w:r>
      <w:r>
        <w:rPr>
          <w:noProof/>
          <w:color w:val="000000"/>
          <w:szCs w:val="22"/>
        </w:rPr>
        <w:t>is a</w:t>
      </w:r>
      <w:r w:rsidRPr="00ED237F">
        <w:rPr>
          <w:noProof/>
          <w:color w:val="000000"/>
          <w:szCs w:val="22"/>
        </w:rPr>
        <w:t xml:space="preserve"> protein </w:t>
      </w:r>
      <w:r>
        <w:rPr>
          <w:noProof/>
          <w:color w:val="000000"/>
          <w:szCs w:val="22"/>
        </w:rPr>
        <w:t xml:space="preserve">called </w:t>
      </w:r>
      <w:r w:rsidRPr="00ED237F">
        <w:rPr>
          <w:noProof/>
          <w:color w:val="000000"/>
          <w:szCs w:val="22"/>
        </w:rPr>
        <w:t xml:space="preserve">tumour necrosis factor </w:t>
      </w:r>
      <w:r>
        <w:rPr>
          <w:noProof/>
          <w:color w:val="000000"/>
          <w:szCs w:val="22"/>
        </w:rPr>
        <w:t>(</w:t>
      </w:r>
      <w:r w:rsidRPr="00ED237F">
        <w:rPr>
          <w:noProof/>
          <w:color w:val="000000"/>
          <w:szCs w:val="22"/>
        </w:rPr>
        <w:t xml:space="preserve">TNFα), which </w:t>
      </w:r>
      <w:r>
        <w:rPr>
          <w:noProof/>
          <w:color w:val="000000"/>
          <w:szCs w:val="22"/>
        </w:rPr>
        <w:t xml:space="preserve">is involved in the immune (defence) system and </w:t>
      </w:r>
      <w:r w:rsidRPr="00ED237F">
        <w:rPr>
          <w:noProof/>
          <w:color w:val="000000"/>
          <w:szCs w:val="22"/>
        </w:rPr>
        <w:t xml:space="preserve">is present at increased levels in </w:t>
      </w:r>
      <w:r>
        <w:rPr>
          <w:noProof/>
          <w:color w:val="000000"/>
          <w:szCs w:val="22"/>
        </w:rPr>
        <w:t xml:space="preserve">the </w:t>
      </w:r>
      <w:r w:rsidRPr="00ED237F">
        <w:rPr>
          <w:noProof/>
          <w:color w:val="000000"/>
          <w:szCs w:val="22"/>
        </w:rPr>
        <w:t xml:space="preserve">inflammatory diseases </w:t>
      </w:r>
      <w:r>
        <w:rPr>
          <w:noProof/>
          <w:color w:val="000000"/>
          <w:szCs w:val="22"/>
        </w:rPr>
        <w:t>listed above</w:t>
      </w:r>
      <w:r w:rsidRPr="00ED237F">
        <w:rPr>
          <w:noProof/>
          <w:color w:val="000000"/>
          <w:szCs w:val="22"/>
        </w:rPr>
        <w:t>.</w:t>
      </w:r>
      <w:r w:rsidRPr="00A7331B">
        <w:rPr>
          <w:noProof/>
          <w:color w:val="000000"/>
          <w:szCs w:val="22"/>
        </w:rPr>
        <w:t xml:space="preserve"> </w:t>
      </w:r>
      <w:r>
        <w:rPr>
          <w:noProof/>
          <w:color w:val="000000"/>
          <w:szCs w:val="22"/>
        </w:rPr>
        <w:t xml:space="preserve">By attaching to </w:t>
      </w:r>
      <w:r w:rsidRPr="00ED237F">
        <w:rPr>
          <w:noProof/>
          <w:color w:val="000000"/>
          <w:szCs w:val="22"/>
        </w:rPr>
        <w:t>TNFα</w:t>
      </w:r>
      <w:r>
        <w:rPr>
          <w:noProof/>
          <w:color w:val="000000"/>
          <w:szCs w:val="22"/>
        </w:rPr>
        <w:t>, Humira decreases the process of inflammation in these diseases.</w:t>
      </w:r>
    </w:p>
    <w:p w14:paraId="7C6FDE5B" w14:textId="77777777" w:rsidR="00BC0E7E" w:rsidRDefault="00BC0E7E" w:rsidP="00BC0E7E"/>
    <w:p w14:paraId="6AB24B82" w14:textId="77777777" w:rsidR="00B20858" w:rsidRPr="00BC0E7E" w:rsidRDefault="00944B8F" w:rsidP="00B20858">
      <w:pPr>
        <w:keepNext/>
        <w:rPr>
          <w:b/>
          <w:szCs w:val="20"/>
        </w:rPr>
      </w:pPr>
      <w:r w:rsidRPr="00BC0E7E">
        <w:rPr>
          <w:b/>
          <w:szCs w:val="20"/>
        </w:rPr>
        <w:t>Rheumatoid arthritis</w:t>
      </w:r>
    </w:p>
    <w:p w14:paraId="55079D35" w14:textId="77777777" w:rsidR="00B20858" w:rsidRPr="00BC0E7E" w:rsidRDefault="00B20858" w:rsidP="00B20858">
      <w:pPr>
        <w:keepNext/>
        <w:rPr>
          <w:szCs w:val="20"/>
        </w:rPr>
      </w:pPr>
    </w:p>
    <w:p w14:paraId="2026D212" w14:textId="77777777" w:rsidR="00B20858" w:rsidRPr="00BC0E7E" w:rsidRDefault="00944B8F" w:rsidP="00B20858">
      <w:pPr>
        <w:keepNext/>
      </w:pPr>
      <w:r w:rsidRPr="00BC0E7E">
        <w:t>Rheumatoid arthritis is an inflammatory disease of the joints.</w:t>
      </w:r>
    </w:p>
    <w:p w14:paraId="0C55D1E3" w14:textId="77777777" w:rsidR="00B20858" w:rsidRPr="00BC0E7E" w:rsidRDefault="00B20858" w:rsidP="00B20858"/>
    <w:p w14:paraId="5361A0AB" w14:textId="77777777" w:rsidR="00B20858" w:rsidRPr="00BC0E7E" w:rsidRDefault="00944B8F" w:rsidP="00B20858">
      <w:r w:rsidRPr="00BC0E7E">
        <w:lastRenderedPageBreak/>
        <w:t>Humira is used to treat moderate to severe rheumatoid arthritis in adults. You may first be given other disease-modifying medicines, such as methotrexate. If you do not respond well enough to these medicines, you will be given Humira.</w:t>
      </w:r>
    </w:p>
    <w:p w14:paraId="635DAA98" w14:textId="77777777" w:rsidR="00B20858" w:rsidRPr="00BC0E7E" w:rsidRDefault="00B20858" w:rsidP="00B20858"/>
    <w:p w14:paraId="1B666755" w14:textId="77777777" w:rsidR="00B20858" w:rsidRPr="00BC0E7E" w:rsidRDefault="00944B8F" w:rsidP="00B20858">
      <w:r w:rsidRPr="00BC0E7E">
        <w:t>Humira can also be used to treat severe, active and progressive rheumatoid arthritis without previous methotrexate treatment.</w:t>
      </w:r>
    </w:p>
    <w:p w14:paraId="4296E0C0" w14:textId="77777777" w:rsidR="00B20858" w:rsidRPr="00BC0E7E" w:rsidRDefault="00B20858" w:rsidP="00B20858"/>
    <w:p w14:paraId="3138FA6C" w14:textId="77777777" w:rsidR="00B20858" w:rsidRPr="00BC0E7E" w:rsidRDefault="00944B8F" w:rsidP="00B20858">
      <w:pPr>
        <w:numPr>
          <w:ilvl w:val="12"/>
          <w:numId w:val="0"/>
        </w:numPr>
        <w:ind w:right="-2"/>
      </w:pPr>
      <w:r w:rsidRPr="00BC0E7E">
        <w:t xml:space="preserve">Humira can slow down the damage to the joints caused by the inflammatory disease and can help them move more freely. </w:t>
      </w:r>
    </w:p>
    <w:p w14:paraId="71EBBE73" w14:textId="77777777" w:rsidR="00B20858" w:rsidRPr="00BC0E7E" w:rsidRDefault="00B20858" w:rsidP="00B20858">
      <w:pPr>
        <w:numPr>
          <w:ilvl w:val="12"/>
          <w:numId w:val="0"/>
        </w:numPr>
        <w:ind w:right="-2"/>
      </w:pPr>
    </w:p>
    <w:p w14:paraId="7BF62AF9" w14:textId="77777777" w:rsidR="00B20858" w:rsidRDefault="00944B8F" w:rsidP="00B20858">
      <w:pPr>
        <w:rPr>
          <w:szCs w:val="20"/>
        </w:rPr>
      </w:pPr>
      <w:r w:rsidRPr="00BC0E7E">
        <w:rPr>
          <w:szCs w:val="20"/>
        </w:rPr>
        <w:t>Your doctor will decide if Humira should be used with methotrexate or alone.</w:t>
      </w:r>
    </w:p>
    <w:p w14:paraId="2DDB938F" w14:textId="77777777" w:rsidR="00B20858" w:rsidRPr="00BC0E7E" w:rsidRDefault="00B20858" w:rsidP="00B20858"/>
    <w:p w14:paraId="5BB8AD97" w14:textId="77777777" w:rsidR="00BC0E7E" w:rsidRPr="00BC0E7E" w:rsidRDefault="00944B8F" w:rsidP="00BC0E7E">
      <w:pPr>
        <w:tabs>
          <w:tab w:val="clear" w:pos="562"/>
        </w:tabs>
        <w:suppressAutoHyphens w:val="0"/>
        <w:overflowPunct w:val="0"/>
        <w:autoSpaceDE w:val="0"/>
        <w:autoSpaceDN w:val="0"/>
        <w:adjustRightInd w:val="0"/>
        <w:textAlignment w:val="baseline"/>
        <w:rPr>
          <w:bCs/>
          <w:iCs/>
          <w:szCs w:val="20"/>
          <w:u w:val="single"/>
        </w:rPr>
      </w:pPr>
      <w:r w:rsidRPr="00BC0E7E">
        <w:rPr>
          <w:b/>
          <w:bCs/>
          <w:iCs/>
          <w:szCs w:val="20"/>
        </w:rPr>
        <w:t>Plaque psoriasis</w:t>
      </w:r>
      <w:r w:rsidRPr="00BC0E7E">
        <w:rPr>
          <w:bCs/>
          <w:iCs/>
          <w:szCs w:val="20"/>
          <w:u w:val="single"/>
        </w:rPr>
        <w:t xml:space="preserve"> </w:t>
      </w:r>
    </w:p>
    <w:p w14:paraId="56E84F1F" w14:textId="77777777" w:rsidR="00BC0E7E" w:rsidRPr="008F15B0" w:rsidRDefault="00BC0E7E" w:rsidP="00BC0E7E">
      <w:pPr>
        <w:tabs>
          <w:tab w:val="clear" w:pos="562"/>
        </w:tabs>
        <w:suppressAutoHyphens w:val="0"/>
        <w:autoSpaceDE w:val="0"/>
        <w:autoSpaceDN w:val="0"/>
        <w:adjustRightInd w:val="0"/>
      </w:pPr>
    </w:p>
    <w:p w14:paraId="29304D3A" w14:textId="77777777" w:rsidR="00BC0E7E" w:rsidRPr="00BC0E7E" w:rsidRDefault="00944B8F" w:rsidP="00BC0E7E">
      <w:pPr>
        <w:numPr>
          <w:ilvl w:val="12"/>
          <w:numId w:val="0"/>
        </w:numPr>
        <w:tabs>
          <w:tab w:val="clear" w:pos="562"/>
        </w:tabs>
        <w:ind w:right="-2"/>
      </w:pPr>
      <w:r w:rsidRPr="00BC0E7E">
        <w:t xml:space="preserve">Plaque psoriasis is a skin condition that causes red, flaky, crusty patches of skin covered with silvery scales. Plaque psoriasis can also affect the nails, causing them to crumble, become thickened and lift away from the nail bed which can be painful.  </w:t>
      </w:r>
    </w:p>
    <w:p w14:paraId="3D0F724D" w14:textId="77777777" w:rsidR="00BC0E7E" w:rsidRPr="008F15B0" w:rsidRDefault="00BC0E7E" w:rsidP="00BC0E7E">
      <w:pPr>
        <w:tabs>
          <w:tab w:val="clear" w:pos="562"/>
        </w:tabs>
        <w:suppressAutoHyphens w:val="0"/>
        <w:autoSpaceDE w:val="0"/>
        <w:autoSpaceDN w:val="0"/>
        <w:adjustRightInd w:val="0"/>
      </w:pPr>
    </w:p>
    <w:p w14:paraId="14A0D1B6" w14:textId="77777777" w:rsidR="00BC0E7E" w:rsidRPr="00BC0E7E" w:rsidRDefault="00944B8F" w:rsidP="00BC0E7E">
      <w:pPr>
        <w:rPr>
          <w:szCs w:val="20"/>
        </w:rPr>
      </w:pPr>
      <w:r w:rsidRPr="00BC0E7E">
        <w:rPr>
          <w:szCs w:val="20"/>
        </w:rPr>
        <w:t xml:space="preserve">Humira is used to treat moderate to severe </w:t>
      </w:r>
      <w:r w:rsidRPr="00BC0E7E">
        <w:rPr>
          <w:szCs w:val="21"/>
        </w:rPr>
        <w:t xml:space="preserve">chronic </w:t>
      </w:r>
      <w:r w:rsidRPr="00BC0E7E">
        <w:rPr>
          <w:szCs w:val="20"/>
        </w:rPr>
        <w:t>plaque psoriasis in adults.</w:t>
      </w:r>
      <w:r w:rsidRPr="00BC0E7E">
        <w:rPr>
          <w:szCs w:val="21"/>
        </w:rPr>
        <w:t xml:space="preserve">  </w:t>
      </w:r>
    </w:p>
    <w:p w14:paraId="7899EF82" w14:textId="77777777" w:rsidR="00BC0E7E" w:rsidRPr="00BC0E7E" w:rsidRDefault="00BC0E7E" w:rsidP="00BC0E7E">
      <w:pPr>
        <w:numPr>
          <w:ilvl w:val="12"/>
          <w:numId w:val="0"/>
        </w:numPr>
        <w:tabs>
          <w:tab w:val="clear" w:pos="562"/>
        </w:tabs>
        <w:ind w:right="-2"/>
      </w:pPr>
    </w:p>
    <w:p w14:paraId="44863780" w14:textId="77777777" w:rsidR="00BC0E7E" w:rsidRPr="00BC0E7E" w:rsidRDefault="00944B8F" w:rsidP="00852331">
      <w:pPr>
        <w:keepNext/>
        <w:rPr>
          <w:szCs w:val="20"/>
          <w:u w:val="single"/>
        </w:rPr>
      </w:pPr>
      <w:r w:rsidRPr="00BC0E7E">
        <w:rPr>
          <w:b/>
          <w:szCs w:val="21"/>
        </w:rPr>
        <w:t>Hidradenitis suppurativa</w:t>
      </w:r>
    </w:p>
    <w:p w14:paraId="6C0C0B47" w14:textId="77777777" w:rsidR="00BC0E7E" w:rsidRPr="00BC0E7E" w:rsidRDefault="00BC0E7E" w:rsidP="00852331">
      <w:pPr>
        <w:keepNext/>
      </w:pPr>
    </w:p>
    <w:p w14:paraId="2519A492" w14:textId="77777777" w:rsidR="00BC0E7E" w:rsidRPr="00BC0E7E" w:rsidRDefault="00944B8F" w:rsidP="00852331">
      <w:pPr>
        <w:keepNext/>
      </w:pPr>
      <w:r w:rsidRPr="00BC0E7E">
        <w:t xml:space="preserve">Hidradenitis suppurativa (sometimes called acne inversa) is a chronic and often painful inflammatory skin disease. Symptoms may include tender nodules (lumps) and abscesses (boils) that may leak pus. It most commonly affects specific areas of the skin, such as </w:t>
      </w:r>
      <w:hyperlink r:id="rId80" w:history="1">
        <w:r w:rsidR="00BC0E7E" w:rsidRPr="00BC0E7E">
          <w:t>under the breasts</w:t>
        </w:r>
      </w:hyperlink>
      <w:r w:rsidRPr="00BC0E7E">
        <w:t>, the armpits, inner thighs, groin and buttocks. Scarring may also occur in affected areas.</w:t>
      </w:r>
    </w:p>
    <w:p w14:paraId="63CB3F97" w14:textId="77777777" w:rsidR="00BC0E7E" w:rsidRPr="00BC0E7E" w:rsidRDefault="00BC0E7E" w:rsidP="00BC0E7E"/>
    <w:p w14:paraId="075379CC" w14:textId="77777777" w:rsidR="00BC0E7E" w:rsidRPr="00BC0E7E" w:rsidRDefault="00944B8F" w:rsidP="00BC0E7E">
      <w:r w:rsidRPr="00BC0E7E">
        <w:t xml:space="preserve">Humira is used to treat </w:t>
      </w:r>
    </w:p>
    <w:p w14:paraId="287436D7" w14:textId="77777777" w:rsidR="00BC0E7E" w:rsidRPr="00BC0E7E" w:rsidRDefault="00944B8F" w:rsidP="00D51999">
      <w:pPr>
        <w:numPr>
          <w:ilvl w:val="0"/>
          <w:numId w:val="54"/>
        </w:numPr>
        <w:tabs>
          <w:tab w:val="clear" w:pos="562"/>
          <w:tab w:val="left" w:pos="720"/>
        </w:tabs>
      </w:pPr>
      <w:r w:rsidRPr="00BC0E7E">
        <w:t>moderate to severe hidradenitis suppurativa in adults and</w:t>
      </w:r>
    </w:p>
    <w:p w14:paraId="0D68A4A2" w14:textId="77777777" w:rsidR="00BC0E7E" w:rsidRPr="00BC0E7E" w:rsidRDefault="00944B8F" w:rsidP="00D51999">
      <w:pPr>
        <w:numPr>
          <w:ilvl w:val="0"/>
          <w:numId w:val="54"/>
        </w:numPr>
        <w:tabs>
          <w:tab w:val="clear" w:pos="562"/>
          <w:tab w:val="left" w:pos="720"/>
        </w:tabs>
      </w:pPr>
      <w:r w:rsidRPr="00BC0E7E">
        <w:t xml:space="preserve">moderate to severe hidradenitis suppurativa in adolescents </w:t>
      </w:r>
      <w:r w:rsidR="00CC22EA">
        <w:t xml:space="preserve">aged </w:t>
      </w:r>
      <w:r w:rsidRPr="00BC0E7E">
        <w:t>12</w:t>
      </w:r>
      <w:r w:rsidR="00CC22EA">
        <w:t>to 17</w:t>
      </w:r>
      <w:r w:rsidR="005A3CA5">
        <w:t> </w:t>
      </w:r>
      <w:r w:rsidRPr="00BC0E7E">
        <w:t>years.</w:t>
      </w:r>
    </w:p>
    <w:p w14:paraId="02809C1E" w14:textId="77777777" w:rsidR="00BC0E7E" w:rsidRPr="00BC0E7E" w:rsidRDefault="00BC0E7E" w:rsidP="00BC0E7E">
      <w:pPr>
        <w:ind w:left="360"/>
      </w:pPr>
    </w:p>
    <w:p w14:paraId="1AF1E665" w14:textId="77777777" w:rsidR="00BC0E7E" w:rsidRPr="00BC0E7E" w:rsidRDefault="00944B8F" w:rsidP="00BC0E7E">
      <w:r w:rsidRPr="00BC0E7E">
        <w:t>Humira can reduce the number of nodules and abscesses caused by the disease and the pain that is often associated with the disease.</w:t>
      </w:r>
      <w:r w:rsidRPr="00BC0E7E">
        <w:rPr>
          <w:szCs w:val="22"/>
        </w:rPr>
        <w:t xml:space="preserve"> </w:t>
      </w:r>
      <w:r w:rsidRPr="00BC0E7E">
        <w:t>You may first be given other medicines. If you do not respond well enough to these medicines, you will be given Humira.</w:t>
      </w:r>
    </w:p>
    <w:p w14:paraId="4D206CB6" w14:textId="77777777" w:rsidR="00BC0E7E" w:rsidRPr="00BC0E7E" w:rsidRDefault="00BC0E7E" w:rsidP="00BC0E7E">
      <w:pPr>
        <w:rPr>
          <w:szCs w:val="20"/>
        </w:rPr>
      </w:pPr>
    </w:p>
    <w:p w14:paraId="6FF75F8D" w14:textId="77777777" w:rsidR="00BC0E7E" w:rsidRPr="00BC0E7E" w:rsidRDefault="00944B8F" w:rsidP="00BC0E7E">
      <w:pPr>
        <w:keepNext/>
        <w:rPr>
          <w:szCs w:val="20"/>
          <w:u w:val="single"/>
        </w:rPr>
      </w:pPr>
      <w:r w:rsidRPr="00BC0E7E">
        <w:rPr>
          <w:b/>
          <w:szCs w:val="20"/>
        </w:rPr>
        <w:t>Crohn’s disease</w:t>
      </w:r>
    </w:p>
    <w:p w14:paraId="00199179" w14:textId="77777777" w:rsidR="00BC0E7E" w:rsidRPr="00BC0E7E" w:rsidRDefault="00BC0E7E" w:rsidP="00BC0E7E">
      <w:pPr>
        <w:keepNext/>
        <w:rPr>
          <w:szCs w:val="20"/>
          <w:u w:val="single"/>
        </w:rPr>
      </w:pPr>
    </w:p>
    <w:p w14:paraId="6FEE7C23" w14:textId="77777777" w:rsidR="00BC0E7E" w:rsidRPr="00BC0E7E" w:rsidRDefault="00944B8F" w:rsidP="00BC0E7E">
      <w:pPr>
        <w:keepNext/>
        <w:rPr>
          <w:szCs w:val="20"/>
        </w:rPr>
      </w:pPr>
      <w:r w:rsidRPr="00BC0E7E">
        <w:rPr>
          <w:szCs w:val="20"/>
        </w:rPr>
        <w:t>Crohn’s disease is an inflammatory disease of the digestive tract.</w:t>
      </w:r>
    </w:p>
    <w:p w14:paraId="2B1D38DD" w14:textId="77777777" w:rsidR="00BC0E7E" w:rsidRPr="00BC0E7E" w:rsidRDefault="00BC0E7E" w:rsidP="00BC0E7E">
      <w:pPr>
        <w:rPr>
          <w:szCs w:val="20"/>
        </w:rPr>
      </w:pPr>
    </w:p>
    <w:p w14:paraId="1B1B3800" w14:textId="77777777" w:rsidR="00BC0E7E" w:rsidRPr="00BC0E7E" w:rsidRDefault="00944B8F" w:rsidP="00BC0E7E">
      <w:pPr>
        <w:rPr>
          <w:szCs w:val="20"/>
        </w:rPr>
      </w:pPr>
      <w:r w:rsidRPr="00BC0E7E">
        <w:rPr>
          <w:szCs w:val="20"/>
        </w:rPr>
        <w:t xml:space="preserve">Humira is used to treat </w:t>
      </w:r>
    </w:p>
    <w:p w14:paraId="7E4016F0" w14:textId="77777777" w:rsidR="00BC0E7E" w:rsidRPr="00BC0E7E" w:rsidRDefault="00944B8F" w:rsidP="00BC0E7E">
      <w:pPr>
        <w:numPr>
          <w:ilvl w:val="0"/>
          <w:numId w:val="22"/>
        </w:numPr>
        <w:tabs>
          <w:tab w:val="clear" w:pos="562"/>
          <w:tab w:val="left" w:pos="720"/>
        </w:tabs>
        <w:rPr>
          <w:szCs w:val="20"/>
        </w:rPr>
      </w:pPr>
      <w:r>
        <w:t xml:space="preserve">moderate to severe </w:t>
      </w:r>
      <w:r w:rsidRPr="00BC0E7E">
        <w:rPr>
          <w:szCs w:val="20"/>
        </w:rPr>
        <w:t>Crohn’s disease in adults</w:t>
      </w:r>
      <w:r w:rsidRPr="00BC0E7E">
        <w:rPr>
          <w:szCs w:val="21"/>
        </w:rPr>
        <w:t xml:space="preserve"> and </w:t>
      </w:r>
    </w:p>
    <w:p w14:paraId="7BBCE534" w14:textId="77777777" w:rsidR="00BC0E7E" w:rsidRPr="00BC0E7E" w:rsidRDefault="00944B8F" w:rsidP="00BC0E7E">
      <w:pPr>
        <w:numPr>
          <w:ilvl w:val="0"/>
          <w:numId w:val="22"/>
        </w:numPr>
        <w:tabs>
          <w:tab w:val="clear" w:pos="562"/>
          <w:tab w:val="left" w:pos="720"/>
        </w:tabs>
        <w:rPr>
          <w:szCs w:val="20"/>
        </w:rPr>
      </w:pPr>
      <w:r>
        <w:t xml:space="preserve">moderate to severe </w:t>
      </w:r>
      <w:r w:rsidRPr="00BC0E7E">
        <w:rPr>
          <w:szCs w:val="21"/>
        </w:rPr>
        <w:t>Crohn’s disease in children and adolescents aged 6 to 17 years</w:t>
      </w:r>
      <w:r>
        <w:rPr>
          <w:szCs w:val="21"/>
        </w:rPr>
        <w:t>.</w:t>
      </w:r>
      <w:r w:rsidRPr="00BC0E7E">
        <w:rPr>
          <w:szCs w:val="20"/>
        </w:rPr>
        <w:t xml:space="preserve"> </w:t>
      </w:r>
    </w:p>
    <w:p w14:paraId="18B1EB03" w14:textId="77777777" w:rsidR="00BC0E7E" w:rsidRPr="00BC0E7E" w:rsidRDefault="00BC0E7E" w:rsidP="00BC0E7E">
      <w:pPr>
        <w:keepNext/>
        <w:rPr>
          <w:szCs w:val="21"/>
          <w:u w:val="single"/>
        </w:rPr>
      </w:pPr>
    </w:p>
    <w:p w14:paraId="7C9193F3" w14:textId="77777777" w:rsidR="00BC0E7E" w:rsidRPr="00BC0E7E" w:rsidRDefault="00944B8F" w:rsidP="00BC0E7E">
      <w:pPr>
        <w:tabs>
          <w:tab w:val="clear" w:pos="562"/>
          <w:tab w:val="left" w:pos="720"/>
        </w:tabs>
        <w:rPr>
          <w:szCs w:val="20"/>
        </w:rPr>
      </w:pPr>
      <w:r w:rsidRPr="00BC0E7E">
        <w:rPr>
          <w:szCs w:val="20"/>
        </w:rPr>
        <w:t>You may first be given other medicines. If you do not respond well enough to these medicines, you will be given Humira.</w:t>
      </w:r>
    </w:p>
    <w:p w14:paraId="77E5C484" w14:textId="77777777" w:rsidR="00BC0E7E" w:rsidRPr="00BC0E7E" w:rsidRDefault="00BC0E7E" w:rsidP="00BC0E7E">
      <w:pPr>
        <w:keepNext/>
        <w:rPr>
          <w:szCs w:val="21"/>
          <w:u w:val="single"/>
        </w:rPr>
      </w:pPr>
    </w:p>
    <w:p w14:paraId="44B0E3E1" w14:textId="77777777" w:rsidR="00BC0E7E" w:rsidRPr="00BC0E7E" w:rsidRDefault="00944B8F" w:rsidP="00BC0E7E">
      <w:pPr>
        <w:keepNext/>
        <w:rPr>
          <w:szCs w:val="20"/>
          <w:u w:val="single"/>
        </w:rPr>
      </w:pPr>
      <w:r w:rsidRPr="00BC0E7E">
        <w:rPr>
          <w:b/>
          <w:szCs w:val="21"/>
        </w:rPr>
        <w:t>Ulcerative colitis</w:t>
      </w:r>
    </w:p>
    <w:p w14:paraId="5123062E" w14:textId="77777777" w:rsidR="00BC0E7E" w:rsidRPr="00BC0E7E" w:rsidRDefault="00BC0E7E" w:rsidP="00BC0E7E">
      <w:pPr>
        <w:keepNext/>
        <w:rPr>
          <w:szCs w:val="21"/>
        </w:rPr>
      </w:pPr>
    </w:p>
    <w:p w14:paraId="47B0EB93" w14:textId="77777777" w:rsidR="00BC0E7E" w:rsidRPr="00BC0E7E" w:rsidRDefault="00944B8F" w:rsidP="00BC0E7E">
      <w:pPr>
        <w:keepNext/>
        <w:rPr>
          <w:szCs w:val="21"/>
        </w:rPr>
      </w:pPr>
      <w:r w:rsidRPr="00BC0E7E">
        <w:rPr>
          <w:szCs w:val="21"/>
        </w:rPr>
        <w:t>Ulcerative colitis is an inflammatory disease of the large intestine.</w:t>
      </w:r>
    </w:p>
    <w:p w14:paraId="694A5093" w14:textId="77777777" w:rsidR="00BC0E7E" w:rsidRPr="00BC0E7E" w:rsidRDefault="00BC0E7E" w:rsidP="00BC0E7E">
      <w:pPr>
        <w:keepNext/>
        <w:rPr>
          <w:szCs w:val="21"/>
        </w:rPr>
      </w:pPr>
    </w:p>
    <w:p w14:paraId="63020000" w14:textId="77777777" w:rsidR="00D6015D" w:rsidRDefault="00944B8F" w:rsidP="00BC0E7E">
      <w:pPr>
        <w:rPr>
          <w:szCs w:val="21"/>
        </w:rPr>
      </w:pPr>
      <w:r w:rsidRPr="00BC0E7E">
        <w:rPr>
          <w:szCs w:val="21"/>
        </w:rPr>
        <w:t xml:space="preserve">Humira is used to treat </w:t>
      </w:r>
    </w:p>
    <w:p w14:paraId="5EC6EFB7" w14:textId="77777777" w:rsidR="00D6015D" w:rsidRDefault="00944B8F" w:rsidP="00D6015D">
      <w:pPr>
        <w:pStyle w:val="ListParagraph"/>
        <w:numPr>
          <w:ilvl w:val="0"/>
          <w:numId w:val="157"/>
        </w:numPr>
        <w:rPr>
          <w:szCs w:val="21"/>
        </w:rPr>
      </w:pPr>
      <w:r>
        <w:t xml:space="preserve">moderate to severe </w:t>
      </w:r>
      <w:r w:rsidR="00BC0E7E" w:rsidRPr="00D6015D">
        <w:rPr>
          <w:szCs w:val="21"/>
        </w:rPr>
        <w:t>ulcerative colitis in adults</w:t>
      </w:r>
      <w:r w:rsidR="006B016C">
        <w:rPr>
          <w:szCs w:val="21"/>
        </w:rPr>
        <w:t xml:space="preserve"> and</w:t>
      </w:r>
      <w:r w:rsidR="00BC0E7E" w:rsidRPr="00D6015D">
        <w:rPr>
          <w:szCs w:val="21"/>
        </w:rPr>
        <w:t xml:space="preserve"> </w:t>
      </w:r>
    </w:p>
    <w:p w14:paraId="10E73904" w14:textId="77777777" w:rsidR="00E5136B" w:rsidRDefault="00944B8F" w:rsidP="00E5136B">
      <w:pPr>
        <w:pStyle w:val="ListParagraph"/>
        <w:numPr>
          <w:ilvl w:val="0"/>
          <w:numId w:val="157"/>
        </w:numPr>
        <w:rPr>
          <w:szCs w:val="21"/>
        </w:rPr>
      </w:pPr>
      <w:r>
        <w:rPr>
          <w:szCs w:val="21"/>
        </w:rPr>
        <w:t>moderate to severe ulcerative colitis in children and adolescents aged 6 to 17 years</w:t>
      </w:r>
      <w:r w:rsidR="00BC32D5">
        <w:rPr>
          <w:szCs w:val="21"/>
        </w:rPr>
        <w:t>.</w:t>
      </w:r>
    </w:p>
    <w:p w14:paraId="118319C2" w14:textId="77777777" w:rsidR="00D6015D" w:rsidRDefault="00D6015D" w:rsidP="00D6015D">
      <w:pPr>
        <w:rPr>
          <w:szCs w:val="20"/>
        </w:rPr>
      </w:pPr>
    </w:p>
    <w:p w14:paraId="6D7FF001" w14:textId="77777777" w:rsidR="00BC0E7E" w:rsidRPr="00D6015D" w:rsidRDefault="00944B8F" w:rsidP="00D6015D">
      <w:pPr>
        <w:rPr>
          <w:szCs w:val="21"/>
        </w:rPr>
      </w:pPr>
      <w:r w:rsidRPr="00D6015D">
        <w:rPr>
          <w:szCs w:val="20"/>
        </w:rPr>
        <w:t>You may first be given other medicines. If you do not respond well enough to these medicines, you will be given Humira.</w:t>
      </w:r>
    </w:p>
    <w:p w14:paraId="60274FF8" w14:textId="77777777" w:rsidR="00BC0E7E" w:rsidRPr="00BC0E7E" w:rsidRDefault="00BC0E7E" w:rsidP="00BC0E7E">
      <w:pPr>
        <w:rPr>
          <w:szCs w:val="20"/>
        </w:rPr>
      </w:pPr>
    </w:p>
    <w:p w14:paraId="5F33D5CD" w14:textId="77777777" w:rsidR="00BC0E7E" w:rsidRPr="00BC0E7E" w:rsidRDefault="00944B8F" w:rsidP="00BC0E7E">
      <w:pPr>
        <w:rPr>
          <w:b/>
          <w:szCs w:val="20"/>
        </w:rPr>
      </w:pPr>
      <w:r w:rsidRPr="00BC0E7E">
        <w:rPr>
          <w:b/>
          <w:szCs w:val="20"/>
        </w:rPr>
        <w:t>Non-infectious uveitis</w:t>
      </w:r>
    </w:p>
    <w:p w14:paraId="629E0B36" w14:textId="77777777" w:rsidR="00BC0E7E" w:rsidRPr="00BC0E7E" w:rsidRDefault="00BC0E7E" w:rsidP="00BC0E7E">
      <w:pPr>
        <w:ind w:firstLine="567"/>
        <w:rPr>
          <w:b/>
          <w:szCs w:val="20"/>
        </w:rPr>
      </w:pPr>
    </w:p>
    <w:p w14:paraId="64210C7A" w14:textId="77777777" w:rsidR="00BC0E7E" w:rsidRPr="00BC0E7E" w:rsidRDefault="00944B8F" w:rsidP="00BC0E7E">
      <w:pPr>
        <w:rPr>
          <w:szCs w:val="20"/>
        </w:rPr>
      </w:pPr>
      <w:r w:rsidRPr="00BC0E7E">
        <w:rPr>
          <w:szCs w:val="20"/>
          <w:lang w:val="x-none"/>
        </w:rPr>
        <w:t>Non-infectious uveitis is an inflammatory disease affecting certain parts of the eye</w:t>
      </w:r>
      <w:r w:rsidRPr="00BC0E7E">
        <w:rPr>
          <w:szCs w:val="20"/>
        </w:rPr>
        <w:t>.</w:t>
      </w:r>
    </w:p>
    <w:p w14:paraId="62E899CE" w14:textId="77777777" w:rsidR="00BC0E7E" w:rsidRPr="00BC0E7E" w:rsidRDefault="00BC0E7E" w:rsidP="00BC0E7E">
      <w:pPr>
        <w:rPr>
          <w:b/>
          <w:szCs w:val="20"/>
          <w:u w:val="single"/>
        </w:rPr>
      </w:pPr>
    </w:p>
    <w:p w14:paraId="10616CD9" w14:textId="77777777" w:rsidR="00BC0E7E" w:rsidRPr="00BC0E7E" w:rsidRDefault="00944B8F" w:rsidP="00BC0E7E">
      <w:pPr>
        <w:tabs>
          <w:tab w:val="clear" w:pos="562"/>
          <w:tab w:val="left" w:pos="720"/>
        </w:tabs>
        <w:rPr>
          <w:szCs w:val="20"/>
        </w:rPr>
      </w:pPr>
      <w:r w:rsidRPr="00BC0E7E">
        <w:rPr>
          <w:szCs w:val="20"/>
        </w:rPr>
        <w:t xml:space="preserve">Humira is used to treat </w:t>
      </w:r>
    </w:p>
    <w:p w14:paraId="049981B9" w14:textId="77777777" w:rsidR="00BC0E7E" w:rsidRPr="00BC0E7E" w:rsidRDefault="00944B8F" w:rsidP="00D51999">
      <w:pPr>
        <w:numPr>
          <w:ilvl w:val="0"/>
          <w:numId w:val="84"/>
        </w:numPr>
        <w:tabs>
          <w:tab w:val="clear" w:pos="562"/>
          <w:tab w:val="left" w:pos="720"/>
        </w:tabs>
        <w:rPr>
          <w:szCs w:val="20"/>
        </w:rPr>
      </w:pPr>
      <w:r w:rsidRPr="00BC0E7E">
        <w:rPr>
          <w:szCs w:val="20"/>
        </w:rPr>
        <w:t xml:space="preserve">adults with non-infectious uveitis with inflammation affecting the back of the eye </w:t>
      </w:r>
    </w:p>
    <w:p w14:paraId="1012553A" w14:textId="77777777" w:rsidR="00BC0E7E" w:rsidRPr="00BC0E7E" w:rsidRDefault="00944B8F" w:rsidP="00D51999">
      <w:pPr>
        <w:numPr>
          <w:ilvl w:val="0"/>
          <w:numId w:val="84"/>
        </w:numPr>
        <w:tabs>
          <w:tab w:val="clear" w:pos="562"/>
          <w:tab w:val="left" w:pos="720"/>
        </w:tabs>
        <w:rPr>
          <w:szCs w:val="20"/>
        </w:rPr>
      </w:pPr>
      <w:r w:rsidRPr="00BC0E7E">
        <w:rPr>
          <w:szCs w:val="20"/>
        </w:rPr>
        <w:t xml:space="preserve">children with chronic non-infectious uveitis from 2 years of age with inflammation affecting the front of the eye </w:t>
      </w:r>
    </w:p>
    <w:p w14:paraId="2A5C3C55" w14:textId="77777777" w:rsidR="00BC0E7E" w:rsidRPr="00BC0E7E" w:rsidRDefault="00BC0E7E" w:rsidP="00BC0E7E">
      <w:pPr>
        <w:tabs>
          <w:tab w:val="clear" w:pos="562"/>
          <w:tab w:val="left" w:pos="720"/>
        </w:tabs>
        <w:ind w:firstLine="567"/>
        <w:rPr>
          <w:szCs w:val="20"/>
        </w:rPr>
      </w:pPr>
    </w:p>
    <w:p w14:paraId="2F834D71" w14:textId="77777777" w:rsidR="00BC0E7E" w:rsidRPr="00BC0E7E" w:rsidRDefault="00944B8F" w:rsidP="00BC0E7E">
      <w:pPr>
        <w:tabs>
          <w:tab w:val="clear" w:pos="562"/>
          <w:tab w:val="left" w:pos="720"/>
        </w:tabs>
        <w:rPr>
          <w:szCs w:val="20"/>
        </w:rPr>
      </w:pPr>
      <w:r w:rsidRPr="00BC0E7E">
        <w:rPr>
          <w:szCs w:val="20"/>
        </w:rPr>
        <w:t>This inflammation may lead to a decrease of vision and/or the presence of floaters in the eye (black dots or wispy lines that move across the field of vision). Humira works by reducing this inflammation. You may first be given other medicines. If you do not respond well enough to these medicines, you will be given Humira.</w:t>
      </w:r>
    </w:p>
    <w:p w14:paraId="5B3EA33E" w14:textId="77777777" w:rsidR="00BC0E7E" w:rsidRPr="00BC0E7E" w:rsidRDefault="00BC0E7E" w:rsidP="00BC0E7E">
      <w:pPr>
        <w:rPr>
          <w:szCs w:val="20"/>
        </w:rPr>
      </w:pPr>
    </w:p>
    <w:p w14:paraId="0D096E66" w14:textId="77777777" w:rsidR="00BC0E7E" w:rsidRPr="00BC0E7E" w:rsidRDefault="00BC0E7E" w:rsidP="00BC0E7E">
      <w:pPr>
        <w:rPr>
          <w:szCs w:val="20"/>
        </w:rPr>
      </w:pPr>
    </w:p>
    <w:p w14:paraId="3DDCEF9C" w14:textId="77777777" w:rsidR="00BC0E7E" w:rsidRPr="00BC0E7E" w:rsidRDefault="00944B8F" w:rsidP="00852331">
      <w:pPr>
        <w:keepNext/>
        <w:outlineLvl w:val="0"/>
        <w:rPr>
          <w:b/>
          <w:caps/>
          <w:szCs w:val="20"/>
        </w:rPr>
      </w:pPr>
      <w:r w:rsidRPr="00BC0E7E">
        <w:rPr>
          <w:rFonts w:ascii="Times New Roman Bold" w:hAnsi="Times New Roman Bold"/>
          <w:b/>
          <w:szCs w:val="20"/>
        </w:rPr>
        <w:t>2.</w:t>
      </w:r>
      <w:r w:rsidRPr="00BC0E7E">
        <w:rPr>
          <w:rFonts w:ascii="Times New Roman Bold" w:hAnsi="Times New Roman Bold"/>
          <w:b/>
          <w:szCs w:val="20"/>
        </w:rPr>
        <w:tab/>
        <w:t>What you need to know before you use Humira</w:t>
      </w:r>
    </w:p>
    <w:p w14:paraId="5FE1021F" w14:textId="77777777" w:rsidR="00BC0E7E" w:rsidRPr="00BC0E7E" w:rsidRDefault="00BC0E7E" w:rsidP="00852331">
      <w:pPr>
        <w:keepNext/>
        <w:rPr>
          <w:szCs w:val="20"/>
        </w:rPr>
      </w:pPr>
    </w:p>
    <w:p w14:paraId="561B3FEB" w14:textId="77777777" w:rsidR="00BC0E7E" w:rsidRPr="00BC0E7E" w:rsidRDefault="00944B8F" w:rsidP="00852331">
      <w:pPr>
        <w:keepNext/>
        <w:rPr>
          <w:szCs w:val="20"/>
        </w:rPr>
      </w:pPr>
      <w:r w:rsidRPr="00BC0E7E">
        <w:rPr>
          <w:b/>
          <w:szCs w:val="20"/>
        </w:rPr>
        <w:t>Do not use Humira:</w:t>
      </w:r>
    </w:p>
    <w:p w14:paraId="6E700059" w14:textId="77777777" w:rsidR="00BC0E7E" w:rsidRPr="00BC0E7E" w:rsidRDefault="00BC0E7E" w:rsidP="00852331">
      <w:pPr>
        <w:keepNext/>
        <w:rPr>
          <w:szCs w:val="20"/>
        </w:rPr>
      </w:pPr>
    </w:p>
    <w:p w14:paraId="59CA3856" w14:textId="77777777" w:rsidR="00BC0E7E" w:rsidRPr="00BC0E7E" w:rsidRDefault="00944B8F" w:rsidP="00D51999">
      <w:pPr>
        <w:keepNext/>
        <w:numPr>
          <w:ilvl w:val="0"/>
          <w:numId w:val="56"/>
        </w:numPr>
        <w:tabs>
          <w:tab w:val="clear" w:pos="562"/>
          <w:tab w:val="left" w:pos="720"/>
        </w:tabs>
        <w:rPr>
          <w:szCs w:val="20"/>
        </w:rPr>
      </w:pPr>
      <w:r w:rsidRPr="00BC0E7E">
        <w:rPr>
          <w:szCs w:val="20"/>
        </w:rPr>
        <w:t xml:space="preserve">If you are allergic to adalimumab or any of the other ingredients of this medicine (listed in section 6). </w:t>
      </w:r>
    </w:p>
    <w:p w14:paraId="3DE02B8F" w14:textId="77777777" w:rsidR="00BC0E7E" w:rsidRPr="00BC0E7E" w:rsidRDefault="00BC0E7E" w:rsidP="00852331">
      <w:pPr>
        <w:keepNext/>
        <w:rPr>
          <w:szCs w:val="20"/>
        </w:rPr>
      </w:pPr>
    </w:p>
    <w:p w14:paraId="5BF3F180" w14:textId="77777777" w:rsidR="00BC0E7E" w:rsidRPr="00BC0E7E" w:rsidRDefault="00944B8F" w:rsidP="00D51999">
      <w:pPr>
        <w:keepNext/>
        <w:numPr>
          <w:ilvl w:val="0"/>
          <w:numId w:val="56"/>
        </w:numPr>
        <w:tabs>
          <w:tab w:val="clear" w:pos="562"/>
          <w:tab w:val="left" w:pos="720"/>
        </w:tabs>
        <w:rPr>
          <w:szCs w:val="20"/>
        </w:rPr>
      </w:pPr>
      <w:r w:rsidRPr="00BC0E7E">
        <w:rPr>
          <w:szCs w:val="20"/>
        </w:rPr>
        <w:t>If you have active tuberculosis or other severe infections (see “Warnings and precautions”). It is important that you tell your doctor if you have symptoms of infections, for example, fever, wounds, feeling tired, dental problems.</w:t>
      </w:r>
    </w:p>
    <w:p w14:paraId="3884B290" w14:textId="77777777" w:rsidR="00BC0E7E" w:rsidRPr="00BC0E7E" w:rsidRDefault="00BC0E7E" w:rsidP="00852331">
      <w:pPr>
        <w:keepNext/>
        <w:rPr>
          <w:szCs w:val="20"/>
        </w:rPr>
      </w:pPr>
    </w:p>
    <w:p w14:paraId="55C309D7" w14:textId="77777777" w:rsidR="00BC0E7E" w:rsidRPr="00BC0E7E" w:rsidRDefault="00944B8F" w:rsidP="00D51999">
      <w:pPr>
        <w:keepNext/>
        <w:numPr>
          <w:ilvl w:val="0"/>
          <w:numId w:val="56"/>
        </w:numPr>
        <w:tabs>
          <w:tab w:val="clear" w:pos="562"/>
          <w:tab w:val="left" w:pos="720"/>
        </w:tabs>
        <w:rPr>
          <w:szCs w:val="20"/>
        </w:rPr>
      </w:pPr>
      <w:r w:rsidRPr="00BC0E7E">
        <w:rPr>
          <w:szCs w:val="20"/>
        </w:rPr>
        <w:t>If you have moderate or severe heart failure. It is important to tell your doctor if you have had or have a serious heart condition (see “Warnings and precautions”).</w:t>
      </w:r>
    </w:p>
    <w:p w14:paraId="365D5A8B" w14:textId="77777777" w:rsidR="00BC0E7E" w:rsidRPr="00BC0E7E" w:rsidRDefault="00BC0E7E" w:rsidP="00BC0E7E">
      <w:pPr>
        <w:rPr>
          <w:szCs w:val="20"/>
        </w:rPr>
      </w:pPr>
    </w:p>
    <w:p w14:paraId="36674D61" w14:textId="77777777" w:rsidR="00BC0E7E" w:rsidRPr="00BC0E7E" w:rsidRDefault="00944B8F" w:rsidP="00BC0E7E">
      <w:pPr>
        <w:keepNext/>
        <w:rPr>
          <w:b/>
          <w:bCs/>
          <w:szCs w:val="20"/>
        </w:rPr>
      </w:pPr>
      <w:r w:rsidRPr="00BC0E7E">
        <w:rPr>
          <w:b/>
          <w:bCs/>
          <w:szCs w:val="20"/>
        </w:rPr>
        <w:t>Warnings and precautions</w:t>
      </w:r>
    </w:p>
    <w:p w14:paraId="341055A2" w14:textId="77777777" w:rsidR="00BC0E7E" w:rsidRPr="00BC0E7E" w:rsidRDefault="00944B8F" w:rsidP="00BC0E7E">
      <w:pPr>
        <w:keepNext/>
        <w:tabs>
          <w:tab w:val="clear" w:pos="562"/>
          <w:tab w:val="left" w:pos="5145"/>
        </w:tabs>
        <w:rPr>
          <w:szCs w:val="20"/>
        </w:rPr>
      </w:pPr>
      <w:r w:rsidRPr="00BC0E7E">
        <w:rPr>
          <w:b/>
          <w:bCs/>
          <w:szCs w:val="20"/>
        </w:rPr>
        <w:tab/>
      </w:r>
      <w:r w:rsidRPr="00BC0E7E">
        <w:rPr>
          <w:b/>
          <w:bCs/>
          <w:szCs w:val="20"/>
        </w:rPr>
        <w:br/>
      </w:r>
      <w:r w:rsidRPr="00BC0E7E">
        <w:rPr>
          <w:szCs w:val="20"/>
        </w:rPr>
        <w:t>Talk to your doctor or pharmacist before using Humira.</w:t>
      </w:r>
    </w:p>
    <w:p w14:paraId="71B2080F" w14:textId="77777777" w:rsidR="00BC0E7E" w:rsidRPr="00BC0E7E" w:rsidRDefault="00BC0E7E" w:rsidP="00BC0E7E">
      <w:pPr>
        <w:keepNext/>
        <w:tabs>
          <w:tab w:val="clear" w:pos="562"/>
          <w:tab w:val="num" w:pos="550"/>
        </w:tabs>
        <w:ind w:left="550" w:hanging="550"/>
        <w:rPr>
          <w:szCs w:val="20"/>
        </w:rPr>
      </w:pPr>
    </w:p>
    <w:p w14:paraId="55EC09FB" w14:textId="77777777" w:rsidR="00BC0E7E" w:rsidRPr="00BC0E7E" w:rsidRDefault="00944B8F" w:rsidP="00BC0E7E">
      <w:pPr>
        <w:tabs>
          <w:tab w:val="clear" w:pos="562"/>
          <w:tab w:val="num" w:pos="550"/>
        </w:tabs>
        <w:ind w:left="547" w:hanging="547"/>
        <w:rPr>
          <w:szCs w:val="20"/>
          <w:u w:val="single"/>
        </w:rPr>
      </w:pPr>
      <w:r w:rsidRPr="00BC0E7E">
        <w:rPr>
          <w:szCs w:val="20"/>
          <w:u w:val="single"/>
        </w:rPr>
        <w:t>Allergic reactions</w:t>
      </w:r>
    </w:p>
    <w:p w14:paraId="5B47B6A0" w14:textId="77777777" w:rsidR="00BC0E7E" w:rsidRPr="00BC0E7E" w:rsidRDefault="00BC0E7E" w:rsidP="00BC0E7E">
      <w:pPr>
        <w:tabs>
          <w:tab w:val="clear" w:pos="562"/>
          <w:tab w:val="num" w:pos="550"/>
        </w:tabs>
        <w:ind w:left="547" w:hanging="547"/>
        <w:rPr>
          <w:szCs w:val="20"/>
          <w:u w:val="single"/>
        </w:rPr>
      </w:pPr>
    </w:p>
    <w:p w14:paraId="69360D29" w14:textId="77777777" w:rsidR="00BC0E7E" w:rsidRPr="00BC0E7E" w:rsidRDefault="00944B8F" w:rsidP="00D51999">
      <w:pPr>
        <w:numPr>
          <w:ilvl w:val="0"/>
          <w:numId w:val="56"/>
        </w:numPr>
        <w:tabs>
          <w:tab w:val="clear" w:pos="562"/>
        </w:tabs>
        <w:rPr>
          <w:szCs w:val="20"/>
        </w:rPr>
      </w:pPr>
      <w:r w:rsidRPr="00BC0E7E">
        <w:rPr>
          <w:szCs w:val="20"/>
        </w:rPr>
        <w:t xml:space="preserve">If you get allergic reactions with symptoms such as chest tightness, wheezing, dizziness, swelling or rash do not inject more Humira and contact your doctor immediately since, in rare cases, these reactions can be life threatening. </w:t>
      </w:r>
    </w:p>
    <w:p w14:paraId="59A3D375" w14:textId="77777777" w:rsidR="00BC0E7E" w:rsidRPr="00BC0E7E" w:rsidRDefault="00BC0E7E" w:rsidP="00BC0E7E">
      <w:pPr>
        <w:rPr>
          <w:szCs w:val="20"/>
        </w:rPr>
      </w:pPr>
    </w:p>
    <w:p w14:paraId="7CF4091D" w14:textId="77777777" w:rsidR="00BC0E7E" w:rsidRPr="00BC0E7E" w:rsidRDefault="00944B8F" w:rsidP="00BC0E7E">
      <w:pPr>
        <w:tabs>
          <w:tab w:val="clear" w:pos="562"/>
          <w:tab w:val="left" w:pos="720"/>
        </w:tabs>
        <w:rPr>
          <w:szCs w:val="20"/>
          <w:u w:val="single"/>
        </w:rPr>
      </w:pPr>
      <w:r w:rsidRPr="00BC0E7E">
        <w:rPr>
          <w:szCs w:val="20"/>
          <w:u w:val="single"/>
        </w:rPr>
        <w:t>Infections</w:t>
      </w:r>
    </w:p>
    <w:p w14:paraId="390EA708" w14:textId="77777777" w:rsidR="00BC0E7E" w:rsidRPr="00BC0E7E" w:rsidRDefault="00BC0E7E" w:rsidP="00BC0E7E">
      <w:pPr>
        <w:tabs>
          <w:tab w:val="clear" w:pos="562"/>
          <w:tab w:val="left" w:pos="720"/>
        </w:tabs>
        <w:rPr>
          <w:szCs w:val="20"/>
          <w:u w:val="single"/>
        </w:rPr>
      </w:pPr>
    </w:p>
    <w:p w14:paraId="022A9D60" w14:textId="77777777" w:rsidR="00BC0E7E" w:rsidRPr="00BC0E7E" w:rsidRDefault="00944B8F" w:rsidP="00D51999">
      <w:pPr>
        <w:numPr>
          <w:ilvl w:val="0"/>
          <w:numId w:val="56"/>
        </w:numPr>
        <w:tabs>
          <w:tab w:val="clear" w:pos="562"/>
          <w:tab w:val="left" w:pos="720"/>
        </w:tabs>
        <w:rPr>
          <w:szCs w:val="20"/>
        </w:rPr>
      </w:pPr>
      <w:r w:rsidRPr="00BC0E7E">
        <w:rPr>
          <w:szCs w:val="20"/>
        </w:rPr>
        <w:t xml:space="preserve">If you have an infection, including long-term infection or an infection in one part of the body (for example, leg ulcer) consult your doctor before starting Humira. If you are unsure, contact your doctor. </w:t>
      </w:r>
    </w:p>
    <w:p w14:paraId="37E41995" w14:textId="77777777" w:rsidR="00BC0E7E" w:rsidRPr="00BC0E7E" w:rsidRDefault="00BC0E7E" w:rsidP="00BC0E7E">
      <w:pPr>
        <w:rPr>
          <w:szCs w:val="20"/>
        </w:rPr>
      </w:pPr>
    </w:p>
    <w:p w14:paraId="44B63B54" w14:textId="77777777" w:rsidR="00BC0E7E" w:rsidRPr="00BC0E7E" w:rsidRDefault="00944B8F" w:rsidP="00D51999">
      <w:pPr>
        <w:numPr>
          <w:ilvl w:val="0"/>
          <w:numId w:val="56"/>
        </w:numPr>
        <w:tabs>
          <w:tab w:val="clear" w:pos="562"/>
          <w:tab w:val="left" w:pos="720"/>
        </w:tabs>
        <w:rPr>
          <w:szCs w:val="20"/>
        </w:rPr>
      </w:pPr>
      <w:r w:rsidRPr="00BC0E7E">
        <w:rPr>
          <w:szCs w:val="20"/>
        </w:rPr>
        <w:t>You might get infections more easily while you are receiving Humira treatment. This risk may increase if you have problems with your lungs. These infections may be serious and include:</w:t>
      </w:r>
    </w:p>
    <w:p w14:paraId="1E0ED9F6" w14:textId="77777777" w:rsidR="00BC0E7E" w:rsidRPr="00BC0E7E" w:rsidRDefault="00944B8F" w:rsidP="00D51999">
      <w:pPr>
        <w:numPr>
          <w:ilvl w:val="1"/>
          <w:numId w:val="56"/>
        </w:numPr>
        <w:tabs>
          <w:tab w:val="clear" w:pos="562"/>
          <w:tab w:val="left" w:pos="720"/>
          <w:tab w:val="num" w:pos="2067"/>
        </w:tabs>
        <w:rPr>
          <w:szCs w:val="20"/>
        </w:rPr>
      </w:pPr>
      <w:r w:rsidRPr="00BC0E7E">
        <w:rPr>
          <w:szCs w:val="20"/>
        </w:rPr>
        <w:t>tuberculosis</w:t>
      </w:r>
    </w:p>
    <w:p w14:paraId="3ACC810B" w14:textId="77777777" w:rsidR="00BC0E7E" w:rsidRPr="00BC0E7E" w:rsidRDefault="00944B8F" w:rsidP="00D51999">
      <w:pPr>
        <w:numPr>
          <w:ilvl w:val="1"/>
          <w:numId w:val="56"/>
        </w:numPr>
        <w:tabs>
          <w:tab w:val="clear" w:pos="562"/>
          <w:tab w:val="left" w:pos="720"/>
          <w:tab w:val="num" w:pos="2067"/>
        </w:tabs>
        <w:rPr>
          <w:szCs w:val="20"/>
        </w:rPr>
      </w:pPr>
      <w:r w:rsidRPr="00BC0E7E">
        <w:rPr>
          <w:szCs w:val="20"/>
        </w:rPr>
        <w:lastRenderedPageBreak/>
        <w:t>infections caused by viruses, fungi, parasites or bacteria</w:t>
      </w:r>
    </w:p>
    <w:p w14:paraId="527F5232" w14:textId="77777777" w:rsidR="00BC0E7E" w:rsidRPr="00BC0E7E" w:rsidRDefault="00944B8F" w:rsidP="00D51999">
      <w:pPr>
        <w:numPr>
          <w:ilvl w:val="1"/>
          <w:numId w:val="56"/>
        </w:numPr>
        <w:tabs>
          <w:tab w:val="clear" w:pos="562"/>
          <w:tab w:val="left" w:pos="720"/>
          <w:tab w:val="num" w:pos="2067"/>
        </w:tabs>
        <w:rPr>
          <w:szCs w:val="20"/>
        </w:rPr>
      </w:pPr>
      <w:r w:rsidRPr="00BC0E7E">
        <w:rPr>
          <w:szCs w:val="20"/>
        </w:rPr>
        <w:t>severe infection in the blood (sepsis)</w:t>
      </w:r>
    </w:p>
    <w:p w14:paraId="798121C6" w14:textId="77777777" w:rsidR="00BC0E7E" w:rsidRPr="00BC0E7E" w:rsidRDefault="00BC0E7E" w:rsidP="00BC0E7E">
      <w:pPr>
        <w:rPr>
          <w:szCs w:val="20"/>
        </w:rPr>
      </w:pPr>
    </w:p>
    <w:p w14:paraId="69F9B26C" w14:textId="77777777" w:rsidR="00BC0E7E" w:rsidRPr="00BC0E7E" w:rsidRDefault="00944B8F" w:rsidP="00BC0E7E">
      <w:pPr>
        <w:tabs>
          <w:tab w:val="clear" w:pos="562"/>
          <w:tab w:val="left" w:pos="720"/>
        </w:tabs>
        <w:ind w:left="720"/>
        <w:rPr>
          <w:szCs w:val="20"/>
        </w:rPr>
      </w:pPr>
      <w:r w:rsidRPr="00BC0E7E">
        <w:rPr>
          <w:szCs w:val="20"/>
        </w:rPr>
        <w:t>In rare cases, these infections can be life-threatening. It is important to tell your doctor if you get symptoms such as fever, wounds, feeling tired or dental problems. Your doctor may tell you to stop using Humira for some time.</w:t>
      </w:r>
    </w:p>
    <w:p w14:paraId="2B3EBF10" w14:textId="77777777" w:rsidR="00BC0E7E" w:rsidRPr="00BC0E7E" w:rsidRDefault="00BC0E7E" w:rsidP="00BC0E7E">
      <w:pPr>
        <w:rPr>
          <w:szCs w:val="20"/>
        </w:rPr>
      </w:pPr>
    </w:p>
    <w:p w14:paraId="21349CE2" w14:textId="77777777" w:rsidR="00BC0E7E" w:rsidRPr="00BC0E7E" w:rsidRDefault="00944B8F" w:rsidP="00D51999">
      <w:pPr>
        <w:numPr>
          <w:ilvl w:val="0"/>
          <w:numId w:val="56"/>
        </w:numPr>
        <w:tabs>
          <w:tab w:val="clear" w:pos="562"/>
          <w:tab w:val="left" w:pos="720"/>
        </w:tabs>
        <w:rPr>
          <w:szCs w:val="20"/>
        </w:rPr>
      </w:pPr>
      <w:r w:rsidRPr="00BC0E7E">
        <w:rPr>
          <w:szCs w:val="20"/>
        </w:rPr>
        <w:t>Tell your doctor if you live or travel in regions where fungal infections (for example, histoplasmosis, coccidioidomycosis or blastomycosis) are very common.</w:t>
      </w:r>
    </w:p>
    <w:p w14:paraId="7A735C4B" w14:textId="77777777" w:rsidR="00BC0E7E" w:rsidRPr="00BC0E7E" w:rsidRDefault="00BC0E7E" w:rsidP="00BC0E7E">
      <w:pPr>
        <w:rPr>
          <w:szCs w:val="20"/>
        </w:rPr>
      </w:pPr>
    </w:p>
    <w:p w14:paraId="36A8B36A" w14:textId="77777777" w:rsidR="00BC0E7E" w:rsidRPr="00BC0E7E" w:rsidRDefault="00944B8F" w:rsidP="00D51999">
      <w:pPr>
        <w:numPr>
          <w:ilvl w:val="0"/>
          <w:numId w:val="56"/>
        </w:numPr>
        <w:tabs>
          <w:tab w:val="clear" w:pos="562"/>
        </w:tabs>
        <w:rPr>
          <w:szCs w:val="20"/>
        </w:rPr>
      </w:pPr>
      <w:r w:rsidRPr="00BC0E7E">
        <w:rPr>
          <w:szCs w:val="20"/>
        </w:rPr>
        <w:t>Tell your doctor if you have had infections which keep coming back or other conditions that increase the risk of infections.</w:t>
      </w:r>
    </w:p>
    <w:p w14:paraId="00F7C141" w14:textId="77777777" w:rsidR="00BC0E7E" w:rsidRPr="00BC0E7E" w:rsidRDefault="00BC0E7E" w:rsidP="00BC0E7E">
      <w:pPr>
        <w:rPr>
          <w:szCs w:val="20"/>
        </w:rPr>
      </w:pPr>
    </w:p>
    <w:p w14:paraId="3BBD82A0" w14:textId="77777777" w:rsidR="00BC0E7E" w:rsidRPr="00BC0E7E" w:rsidRDefault="00944B8F" w:rsidP="00D51999">
      <w:pPr>
        <w:keepNext/>
        <w:numPr>
          <w:ilvl w:val="0"/>
          <w:numId w:val="56"/>
        </w:numPr>
        <w:tabs>
          <w:tab w:val="clear" w:pos="562"/>
        </w:tabs>
        <w:rPr>
          <w:szCs w:val="20"/>
        </w:rPr>
      </w:pPr>
      <w:r w:rsidRPr="00BC0E7E">
        <w:rPr>
          <w:szCs w:val="20"/>
        </w:rPr>
        <w:t>If you are over 65 years you may be more likely to get infections while taking Humira. You and your doctor should pay special attention to signs of infection while you are being treated with Humira. It is important to tell your doctor if you get symptoms of infections, such as fever, wounds, feeling tired or dental problems.</w:t>
      </w:r>
    </w:p>
    <w:p w14:paraId="70490DD0" w14:textId="77777777" w:rsidR="00BC0E7E" w:rsidRPr="00BC0E7E" w:rsidRDefault="00BC0E7E" w:rsidP="00BC0E7E">
      <w:pPr>
        <w:rPr>
          <w:szCs w:val="20"/>
        </w:rPr>
      </w:pPr>
    </w:p>
    <w:p w14:paraId="3DA3DA20" w14:textId="77777777" w:rsidR="00BC0E7E" w:rsidRPr="00BC0E7E" w:rsidRDefault="00944B8F" w:rsidP="00BC0E7E">
      <w:pPr>
        <w:tabs>
          <w:tab w:val="clear" w:pos="562"/>
          <w:tab w:val="left" w:pos="720"/>
        </w:tabs>
        <w:rPr>
          <w:szCs w:val="20"/>
          <w:u w:val="single"/>
        </w:rPr>
      </w:pPr>
      <w:r w:rsidRPr="00BC0E7E">
        <w:rPr>
          <w:szCs w:val="20"/>
          <w:u w:val="single"/>
        </w:rPr>
        <w:t>Tuberculosis</w:t>
      </w:r>
    </w:p>
    <w:p w14:paraId="51F3D750" w14:textId="77777777" w:rsidR="00BC0E7E" w:rsidRPr="00BC0E7E" w:rsidRDefault="00BC0E7E" w:rsidP="00BC0E7E">
      <w:pPr>
        <w:tabs>
          <w:tab w:val="clear" w:pos="562"/>
          <w:tab w:val="left" w:pos="720"/>
        </w:tabs>
        <w:rPr>
          <w:szCs w:val="20"/>
          <w:u w:val="single"/>
        </w:rPr>
      </w:pPr>
    </w:p>
    <w:p w14:paraId="1298022A" w14:textId="77777777" w:rsidR="00BC0E7E" w:rsidRPr="00BC0E7E" w:rsidRDefault="00944B8F" w:rsidP="00D51999">
      <w:pPr>
        <w:keepNext/>
        <w:numPr>
          <w:ilvl w:val="0"/>
          <w:numId w:val="56"/>
        </w:numPr>
        <w:tabs>
          <w:tab w:val="clear" w:pos="562"/>
        </w:tabs>
        <w:ind w:left="714" w:hanging="357"/>
        <w:rPr>
          <w:szCs w:val="20"/>
        </w:rPr>
      </w:pPr>
      <w:r w:rsidRPr="00BC0E7E">
        <w:rPr>
          <w:szCs w:val="20"/>
        </w:rPr>
        <w:t>It is very important that you tell your doctor if you have ever had tuberculosis, or if you have been in close contact with someone who has had tuberculosis. If you have active tuberculosis, do not use Humira.</w:t>
      </w:r>
    </w:p>
    <w:p w14:paraId="6C97C086" w14:textId="77777777" w:rsidR="00BC0E7E" w:rsidRPr="00BC0E7E" w:rsidRDefault="00BC0E7E" w:rsidP="00BC0E7E">
      <w:pPr>
        <w:rPr>
          <w:szCs w:val="20"/>
        </w:rPr>
      </w:pPr>
    </w:p>
    <w:p w14:paraId="14C1C886" w14:textId="77777777" w:rsidR="00BC0E7E" w:rsidRPr="00E77479" w:rsidRDefault="00944B8F" w:rsidP="00F619C1">
      <w:pPr>
        <w:numPr>
          <w:ilvl w:val="1"/>
          <w:numId w:val="56"/>
        </w:numPr>
        <w:tabs>
          <w:tab w:val="clear" w:pos="562"/>
          <w:tab w:val="left" w:pos="720"/>
          <w:tab w:val="num" w:pos="2067"/>
        </w:tabs>
        <w:rPr>
          <w:szCs w:val="20"/>
        </w:rPr>
      </w:pPr>
      <w:r w:rsidRPr="00BC0E7E">
        <w:rPr>
          <w:szCs w:val="20"/>
        </w:rPr>
        <w:t xml:space="preserve">As cases of tuberculosis have been reported in patients treated with Humira, your doctor will check you for signs and symptoms of tuberculosis before starting Humira. This will include a thorough medical evaluation including your medical history and appropriate screening tests (for example, chest X-ray and a tuberculin test). The conduct and results of these tests should be recorded on your </w:t>
      </w:r>
      <w:r w:rsidR="00BF2AE5" w:rsidRPr="002179FE">
        <w:rPr>
          <w:b/>
        </w:rPr>
        <w:t>Patient Reminder Card</w:t>
      </w:r>
      <w:r w:rsidRPr="00BC0E7E">
        <w:rPr>
          <w:szCs w:val="20"/>
        </w:rPr>
        <w:t xml:space="preserve">.  </w:t>
      </w:r>
    </w:p>
    <w:p w14:paraId="69366943" w14:textId="77777777" w:rsidR="00BC0E7E" w:rsidRPr="00E77479" w:rsidRDefault="00944B8F" w:rsidP="00F619C1">
      <w:pPr>
        <w:numPr>
          <w:ilvl w:val="1"/>
          <w:numId w:val="56"/>
        </w:numPr>
        <w:tabs>
          <w:tab w:val="clear" w:pos="562"/>
          <w:tab w:val="left" w:pos="720"/>
          <w:tab w:val="num" w:pos="2067"/>
        </w:tabs>
        <w:rPr>
          <w:szCs w:val="20"/>
        </w:rPr>
      </w:pPr>
      <w:r w:rsidRPr="00BC0E7E">
        <w:rPr>
          <w:szCs w:val="20"/>
        </w:rPr>
        <w:t xml:space="preserve">Tuberculosis can develop during therapy even if you have received treatment for the prevention of tuberculosis. </w:t>
      </w:r>
    </w:p>
    <w:p w14:paraId="67710C19" w14:textId="77777777" w:rsidR="00BC0E7E" w:rsidRPr="00BC0E7E" w:rsidRDefault="00944B8F" w:rsidP="00D51999">
      <w:pPr>
        <w:numPr>
          <w:ilvl w:val="1"/>
          <w:numId w:val="56"/>
        </w:numPr>
        <w:tabs>
          <w:tab w:val="clear" w:pos="562"/>
          <w:tab w:val="left" w:pos="720"/>
          <w:tab w:val="num" w:pos="2067"/>
        </w:tabs>
        <w:rPr>
          <w:szCs w:val="20"/>
        </w:rPr>
      </w:pPr>
      <w:r w:rsidRPr="00BC0E7E">
        <w:rPr>
          <w:szCs w:val="20"/>
        </w:rPr>
        <w:t xml:space="preserve">If symptoms of tuberculosis (for example, cough that does not go away, weight loss, lack of energy, mild fever), or any other infection appear during or after therapy tell your doctor immediately. </w:t>
      </w:r>
    </w:p>
    <w:p w14:paraId="76EA1656" w14:textId="77777777" w:rsidR="00BC0E7E" w:rsidRPr="00BC0E7E" w:rsidRDefault="00BC0E7E" w:rsidP="00BC0E7E">
      <w:pPr>
        <w:rPr>
          <w:szCs w:val="20"/>
        </w:rPr>
      </w:pPr>
    </w:p>
    <w:p w14:paraId="0D67D9BB" w14:textId="77777777" w:rsidR="00BC0E7E" w:rsidRPr="00BC0E7E" w:rsidRDefault="00944B8F" w:rsidP="00BC0E7E">
      <w:pPr>
        <w:tabs>
          <w:tab w:val="clear" w:pos="562"/>
          <w:tab w:val="left" w:pos="720"/>
        </w:tabs>
        <w:rPr>
          <w:szCs w:val="20"/>
          <w:u w:val="single"/>
        </w:rPr>
      </w:pPr>
      <w:r w:rsidRPr="00BC0E7E">
        <w:rPr>
          <w:szCs w:val="20"/>
          <w:u w:val="single"/>
        </w:rPr>
        <w:t>Hepatitis B</w:t>
      </w:r>
    </w:p>
    <w:p w14:paraId="64189168" w14:textId="77777777" w:rsidR="00BC0E7E" w:rsidRPr="00BC0E7E" w:rsidRDefault="00BC0E7E" w:rsidP="00BC0E7E">
      <w:pPr>
        <w:tabs>
          <w:tab w:val="clear" w:pos="562"/>
          <w:tab w:val="left" w:pos="720"/>
        </w:tabs>
        <w:rPr>
          <w:szCs w:val="20"/>
        </w:rPr>
      </w:pPr>
    </w:p>
    <w:p w14:paraId="1D8F1EA5" w14:textId="77777777" w:rsidR="00BC0E7E" w:rsidRPr="00BC0E7E" w:rsidRDefault="00944B8F" w:rsidP="00D51999">
      <w:pPr>
        <w:numPr>
          <w:ilvl w:val="0"/>
          <w:numId w:val="56"/>
        </w:numPr>
        <w:tabs>
          <w:tab w:val="clear" w:pos="562"/>
          <w:tab w:val="left" w:pos="720"/>
        </w:tabs>
        <w:rPr>
          <w:szCs w:val="20"/>
        </w:rPr>
      </w:pPr>
      <w:r w:rsidRPr="00BC0E7E">
        <w:rPr>
          <w:szCs w:val="20"/>
        </w:rPr>
        <w:t xml:space="preserve">Tell your doctor if you are a carrier of the hepatitis B virus (HBV), if you have active HBV or if you think you might be at risk of getting HBV.  </w:t>
      </w:r>
    </w:p>
    <w:p w14:paraId="16976DF2" w14:textId="77777777" w:rsidR="00BC0E7E" w:rsidRPr="00BC0E7E" w:rsidRDefault="00BC0E7E" w:rsidP="00BC0E7E">
      <w:pPr>
        <w:rPr>
          <w:szCs w:val="20"/>
        </w:rPr>
      </w:pPr>
    </w:p>
    <w:p w14:paraId="4A6193C3" w14:textId="77777777" w:rsidR="00BC0E7E" w:rsidRPr="00E77479" w:rsidRDefault="00944B8F" w:rsidP="00F619C1">
      <w:pPr>
        <w:numPr>
          <w:ilvl w:val="1"/>
          <w:numId w:val="56"/>
        </w:numPr>
        <w:tabs>
          <w:tab w:val="clear" w:pos="562"/>
          <w:tab w:val="left" w:pos="720"/>
          <w:tab w:val="num" w:pos="2067"/>
        </w:tabs>
        <w:rPr>
          <w:szCs w:val="20"/>
        </w:rPr>
      </w:pPr>
      <w:r w:rsidRPr="00BC0E7E">
        <w:rPr>
          <w:szCs w:val="20"/>
        </w:rPr>
        <w:t xml:space="preserve">Your doctor should test you for HBV. In people who carry HBV, Humira can cause the virus to become active again. </w:t>
      </w:r>
    </w:p>
    <w:p w14:paraId="1C6E782F" w14:textId="77777777" w:rsidR="00BC0E7E" w:rsidRPr="00BC0E7E" w:rsidRDefault="00944B8F" w:rsidP="00D51999">
      <w:pPr>
        <w:numPr>
          <w:ilvl w:val="1"/>
          <w:numId w:val="56"/>
        </w:numPr>
        <w:tabs>
          <w:tab w:val="clear" w:pos="562"/>
          <w:tab w:val="left" w:pos="720"/>
          <w:tab w:val="num" w:pos="2067"/>
        </w:tabs>
        <w:rPr>
          <w:szCs w:val="20"/>
        </w:rPr>
      </w:pPr>
      <w:r w:rsidRPr="00BC0E7E">
        <w:rPr>
          <w:szCs w:val="20"/>
        </w:rPr>
        <w:t xml:space="preserve">In some rare cases, especially if you are taking other medicines that suppress the immune system, reactivation of HBV can be life-threatening. </w:t>
      </w:r>
    </w:p>
    <w:p w14:paraId="55055C78" w14:textId="77777777" w:rsidR="00BC0E7E" w:rsidRPr="00BC0E7E" w:rsidRDefault="00BC0E7E" w:rsidP="00BC0E7E">
      <w:pPr>
        <w:rPr>
          <w:szCs w:val="20"/>
        </w:rPr>
      </w:pPr>
    </w:p>
    <w:p w14:paraId="49B946AD" w14:textId="77777777" w:rsidR="00BC0E7E" w:rsidRPr="00BC0E7E" w:rsidRDefault="00944B8F" w:rsidP="00BC0E7E">
      <w:pPr>
        <w:tabs>
          <w:tab w:val="clear" w:pos="562"/>
          <w:tab w:val="num" w:pos="550"/>
        </w:tabs>
        <w:ind w:left="550" w:hanging="550"/>
        <w:rPr>
          <w:szCs w:val="20"/>
          <w:u w:val="single"/>
        </w:rPr>
      </w:pPr>
      <w:r w:rsidRPr="00BC0E7E">
        <w:rPr>
          <w:szCs w:val="20"/>
          <w:u w:val="single"/>
        </w:rPr>
        <w:t>Surgery</w:t>
      </w:r>
      <w:r w:rsidR="00126429">
        <w:rPr>
          <w:u w:val="single"/>
        </w:rPr>
        <w:t xml:space="preserve"> or dental procedure</w:t>
      </w:r>
    </w:p>
    <w:p w14:paraId="63D947F1" w14:textId="77777777" w:rsidR="00BC0E7E" w:rsidRPr="00BC0E7E" w:rsidRDefault="00BC0E7E" w:rsidP="00BC0E7E">
      <w:pPr>
        <w:tabs>
          <w:tab w:val="clear" w:pos="562"/>
          <w:tab w:val="num" w:pos="550"/>
        </w:tabs>
        <w:ind w:left="550" w:hanging="550"/>
        <w:rPr>
          <w:szCs w:val="20"/>
          <w:u w:val="single"/>
        </w:rPr>
      </w:pPr>
    </w:p>
    <w:p w14:paraId="21A9D460" w14:textId="77777777" w:rsidR="00BC0E7E" w:rsidRPr="00BC0E7E" w:rsidRDefault="00944B8F" w:rsidP="00D51999">
      <w:pPr>
        <w:numPr>
          <w:ilvl w:val="0"/>
          <w:numId w:val="56"/>
        </w:numPr>
        <w:tabs>
          <w:tab w:val="clear" w:pos="562"/>
          <w:tab w:val="left" w:pos="720"/>
        </w:tabs>
        <w:rPr>
          <w:szCs w:val="20"/>
        </w:rPr>
      </w:pPr>
      <w:r w:rsidRPr="00BC0E7E">
        <w:rPr>
          <w:szCs w:val="20"/>
        </w:rPr>
        <w:t>If you are about to have surgery or dental procedures</w:t>
      </w:r>
      <w:r w:rsidR="00CD3FDA">
        <w:rPr>
          <w:szCs w:val="20"/>
        </w:rPr>
        <w:t>,</w:t>
      </w:r>
      <w:r w:rsidRPr="00BC0E7E">
        <w:rPr>
          <w:szCs w:val="20"/>
        </w:rPr>
        <w:t xml:space="preserve"> please inform your doctor that you are taking Humira. Your doctor may recommend temporary discontinuation of Humira.</w:t>
      </w:r>
    </w:p>
    <w:p w14:paraId="0B4528F7" w14:textId="77777777" w:rsidR="00BC0E7E" w:rsidRPr="00BC0E7E" w:rsidRDefault="00BC0E7E" w:rsidP="00BC0E7E">
      <w:pPr>
        <w:rPr>
          <w:szCs w:val="20"/>
        </w:rPr>
      </w:pPr>
    </w:p>
    <w:p w14:paraId="77414725" w14:textId="77777777" w:rsidR="00BC0E7E" w:rsidRPr="00BC0E7E" w:rsidRDefault="00944B8F" w:rsidP="00217DCA">
      <w:pPr>
        <w:keepNext/>
        <w:tabs>
          <w:tab w:val="clear" w:pos="562"/>
          <w:tab w:val="num" w:pos="550"/>
        </w:tabs>
        <w:ind w:left="547" w:hanging="547"/>
        <w:rPr>
          <w:szCs w:val="20"/>
          <w:u w:val="single"/>
        </w:rPr>
      </w:pPr>
      <w:r w:rsidRPr="00BC0E7E">
        <w:rPr>
          <w:szCs w:val="20"/>
          <w:u w:val="single"/>
        </w:rPr>
        <w:lastRenderedPageBreak/>
        <w:t>Demyelinating disease</w:t>
      </w:r>
    </w:p>
    <w:p w14:paraId="1E535838" w14:textId="77777777" w:rsidR="00BC0E7E" w:rsidRPr="00BC0E7E" w:rsidRDefault="00BC0E7E" w:rsidP="00217DCA">
      <w:pPr>
        <w:keepNext/>
        <w:tabs>
          <w:tab w:val="clear" w:pos="562"/>
          <w:tab w:val="num" w:pos="550"/>
        </w:tabs>
        <w:ind w:left="547" w:hanging="547"/>
        <w:rPr>
          <w:szCs w:val="20"/>
          <w:u w:val="single"/>
        </w:rPr>
      </w:pPr>
    </w:p>
    <w:p w14:paraId="7E6C26E5" w14:textId="77777777" w:rsidR="00BC0E7E" w:rsidRPr="00BC0E7E" w:rsidRDefault="00944B8F" w:rsidP="00217DCA">
      <w:pPr>
        <w:keepNext/>
        <w:numPr>
          <w:ilvl w:val="0"/>
          <w:numId w:val="56"/>
        </w:numPr>
        <w:tabs>
          <w:tab w:val="clear" w:pos="562"/>
          <w:tab w:val="left" w:pos="720"/>
        </w:tabs>
        <w:rPr>
          <w:szCs w:val="20"/>
        </w:rPr>
      </w:pPr>
      <w:r w:rsidRPr="00BC0E7E">
        <w:rPr>
          <w:szCs w:val="20"/>
        </w:rPr>
        <w:t xml:space="preserve">If you have or develop </w:t>
      </w:r>
      <w:r w:rsidR="00126429">
        <w:rPr>
          <w:noProof/>
          <w:color w:val="000000"/>
          <w:szCs w:val="22"/>
        </w:rPr>
        <w:t xml:space="preserve">a </w:t>
      </w:r>
      <w:r w:rsidR="00126429" w:rsidRPr="00907CAC">
        <w:rPr>
          <w:noProof/>
          <w:color w:val="000000"/>
          <w:szCs w:val="22"/>
        </w:rPr>
        <w:t xml:space="preserve">demyelinating disease </w:t>
      </w:r>
      <w:r w:rsidR="00126429">
        <w:rPr>
          <w:rFonts w:eastAsia="Malgun Gothic"/>
          <w:noProof/>
          <w:szCs w:val="22"/>
          <w:lang w:eastAsia="ko-KR"/>
        </w:rPr>
        <w:t xml:space="preserve">(a disease that affects the insulating layer around the nerves, </w:t>
      </w:r>
      <w:r w:rsidR="00126429" w:rsidRPr="00E805ED">
        <w:rPr>
          <w:rFonts w:eastAsia="Malgun Gothic"/>
        </w:rPr>
        <w:t>such as multiple sclerosis</w:t>
      </w:r>
      <w:r w:rsidR="00126429">
        <w:rPr>
          <w:rFonts w:eastAsia="Malgun Gothic"/>
        </w:rPr>
        <w:t>)</w:t>
      </w:r>
      <w:r w:rsidRPr="00BC0E7E">
        <w:rPr>
          <w:szCs w:val="20"/>
        </w:rPr>
        <w:t>, your doctor will decide if you should receive or continue to receive Humira. Tell your doctor immediately if you experience symptoms like changes in your vision, weakness in your arms or legs or numbness or tingling in any part of your body.</w:t>
      </w:r>
    </w:p>
    <w:p w14:paraId="161D1522" w14:textId="77777777" w:rsidR="00BC0E7E" w:rsidRPr="00BC0E7E" w:rsidRDefault="00BC0E7E" w:rsidP="00BC0E7E">
      <w:pPr>
        <w:rPr>
          <w:szCs w:val="20"/>
        </w:rPr>
      </w:pPr>
    </w:p>
    <w:p w14:paraId="74C0693A" w14:textId="77777777" w:rsidR="00BC0E7E" w:rsidRPr="00BC0E7E" w:rsidRDefault="00944B8F" w:rsidP="00BC0E7E">
      <w:pPr>
        <w:tabs>
          <w:tab w:val="clear" w:pos="562"/>
        </w:tabs>
        <w:rPr>
          <w:szCs w:val="20"/>
          <w:u w:val="single"/>
        </w:rPr>
      </w:pPr>
      <w:r w:rsidRPr="00BC0E7E">
        <w:rPr>
          <w:szCs w:val="20"/>
          <w:u w:val="single"/>
        </w:rPr>
        <w:t>Vaccinations</w:t>
      </w:r>
    </w:p>
    <w:p w14:paraId="1491D8E6" w14:textId="77777777" w:rsidR="00BC0E7E" w:rsidRPr="00BC0E7E" w:rsidRDefault="00BC0E7E" w:rsidP="00BC0E7E">
      <w:pPr>
        <w:tabs>
          <w:tab w:val="clear" w:pos="562"/>
        </w:tabs>
        <w:rPr>
          <w:szCs w:val="20"/>
          <w:u w:val="single"/>
        </w:rPr>
      </w:pPr>
    </w:p>
    <w:p w14:paraId="3A3AA8BA" w14:textId="77777777" w:rsidR="00BC0E7E" w:rsidRPr="00BC0E7E" w:rsidRDefault="00944B8F" w:rsidP="00D51999">
      <w:pPr>
        <w:numPr>
          <w:ilvl w:val="0"/>
          <w:numId w:val="56"/>
        </w:numPr>
        <w:tabs>
          <w:tab w:val="clear" w:pos="562"/>
          <w:tab w:val="left" w:pos="720"/>
        </w:tabs>
        <w:rPr>
          <w:szCs w:val="20"/>
        </w:rPr>
      </w:pPr>
      <w:r w:rsidRPr="00BC0E7E">
        <w:rPr>
          <w:szCs w:val="20"/>
        </w:rPr>
        <w:t xml:space="preserve">Certain vaccines may cause infections and should not be given while receiving Humira.  </w:t>
      </w:r>
    </w:p>
    <w:p w14:paraId="7767B1BF" w14:textId="77777777" w:rsidR="00BC0E7E" w:rsidRPr="00BC0E7E" w:rsidRDefault="00BC0E7E" w:rsidP="00BC0E7E">
      <w:pPr>
        <w:rPr>
          <w:szCs w:val="20"/>
        </w:rPr>
      </w:pPr>
    </w:p>
    <w:p w14:paraId="601AE5D8" w14:textId="77777777" w:rsidR="00BC0E7E" w:rsidRPr="00BC0E7E" w:rsidRDefault="00944B8F" w:rsidP="00D51999">
      <w:pPr>
        <w:numPr>
          <w:ilvl w:val="1"/>
          <w:numId w:val="56"/>
        </w:numPr>
        <w:tabs>
          <w:tab w:val="clear" w:pos="562"/>
          <w:tab w:val="left" w:pos="720"/>
        </w:tabs>
        <w:rPr>
          <w:szCs w:val="20"/>
        </w:rPr>
      </w:pPr>
      <w:r>
        <w:rPr>
          <w:szCs w:val="20"/>
        </w:rPr>
        <w:t>C</w:t>
      </w:r>
      <w:r w:rsidRPr="00BC0E7E">
        <w:rPr>
          <w:szCs w:val="20"/>
        </w:rPr>
        <w:t xml:space="preserve">heck with your doctor before you receive any vaccines. </w:t>
      </w:r>
    </w:p>
    <w:p w14:paraId="02F07A3F" w14:textId="77777777" w:rsidR="00BC0E7E" w:rsidRPr="00BC0E7E" w:rsidRDefault="00944B8F" w:rsidP="00D51999">
      <w:pPr>
        <w:numPr>
          <w:ilvl w:val="1"/>
          <w:numId w:val="56"/>
        </w:numPr>
        <w:tabs>
          <w:tab w:val="clear" w:pos="562"/>
          <w:tab w:val="left" w:pos="720"/>
        </w:tabs>
        <w:rPr>
          <w:szCs w:val="20"/>
        </w:rPr>
      </w:pPr>
      <w:r w:rsidRPr="00CA7068">
        <w:rPr>
          <w:szCs w:val="20"/>
        </w:rPr>
        <w:t>It is recommended that children, if possible, be given all the scheduled vaccinations for their age before they start treatment with Humira.</w:t>
      </w:r>
      <w:r w:rsidRPr="00BC0E7E">
        <w:rPr>
          <w:szCs w:val="20"/>
        </w:rPr>
        <w:t xml:space="preserve"> </w:t>
      </w:r>
    </w:p>
    <w:p w14:paraId="5E8E7024" w14:textId="77777777" w:rsidR="00BC0E7E" w:rsidRPr="00BC0E7E" w:rsidRDefault="00944B8F" w:rsidP="00D51999">
      <w:pPr>
        <w:numPr>
          <w:ilvl w:val="1"/>
          <w:numId w:val="56"/>
        </w:numPr>
        <w:tabs>
          <w:tab w:val="clear" w:pos="562"/>
          <w:tab w:val="left" w:pos="720"/>
        </w:tabs>
        <w:rPr>
          <w:szCs w:val="20"/>
        </w:rPr>
      </w:pPr>
      <w:r w:rsidRPr="00BC0E7E">
        <w:rPr>
          <w:szCs w:val="20"/>
        </w:rPr>
        <w:t>If you received Humira while you were pregnant, your baby may be at higher risk for getting such an infection for up to approximately five months after the last Humira dose you received during pregnancy. It is important that you tell your baby's doctors and other health care professionals about your Humira use during your pregnancy so they can decide when your baby should receive any vaccine.</w:t>
      </w:r>
    </w:p>
    <w:p w14:paraId="19710A32" w14:textId="77777777" w:rsidR="00BC0E7E" w:rsidRPr="00BC0E7E" w:rsidRDefault="00BC0E7E" w:rsidP="00BC0E7E">
      <w:pPr>
        <w:rPr>
          <w:szCs w:val="20"/>
        </w:rPr>
      </w:pPr>
    </w:p>
    <w:p w14:paraId="20A0E6F9" w14:textId="77777777" w:rsidR="00BC0E7E" w:rsidRPr="00BC0E7E" w:rsidRDefault="00944B8F" w:rsidP="00BC0E7E">
      <w:pPr>
        <w:tabs>
          <w:tab w:val="clear" w:pos="562"/>
          <w:tab w:val="num" w:pos="550"/>
        </w:tabs>
        <w:ind w:left="547" w:hanging="547"/>
        <w:rPr>
          <w:szCs w:val="20"/>
          <w:u w:val="single"/>
        </w:rPr>
      </w:pPr>
      <w:r w:rsidRPr="00BC0E7E">
        <w:rPr>
          <w:szCs w:val="20"/>
          <w:u w:val="single"/>
        </w:rPr>
        <w:t xml:space="preserve">Heart </w:t>
      </w:r>
      <w:r w:rsidR="00B8241A">
        <w:rPr>
          <w:szCs w:val="20"/>
          <w:u w:val="single"/>
        </w:rPr>
        <w:t>failure</w:t>
      </w:r>
    </w:p>
    <w:p w14:paraId="57C9AAE2" w14:textId="77777777" w:rsidR="00BC0E7E" w:rsidRPr="00BC0E7E" w:rsidRDefault="00BC0E7E" w:rsidP="00BC0E7E">
      <w:pPr>
        <w:tabs>
          <w:tab w:val="clear" w:pos="562"/>
          <w:tab w:val="num" w:pos="550"/>
        </w:tabs>
        <w:ind w:left="547" w:hanging="547"/>
        <w:rPr>
          <w:szCs w:val="20"/>
          <w:u w:val="single"/>
        </w:rPr>
      </w:pPr>
    </w:p>
    <w:p w14:paraId="6EAD846E" w14:textId="77777777" w:rsidR="00B20336" w:rsidRDefault="00944B8F" w:rsidP="00D51999">
      <w:pPr>
        <w:numPr>
          <w:ilvl w:val="0"/>
          <w:numId w:val="125"/>
        </w:numPr>
        <w:tabs>
          <w:tab w:val="clear" w:pos="562"/>
        </w:tabs>
        <w:suppressAutoHyphens w:val="0"/>
        <w:autoSpaceDE w:val="0"/>
        <w:autoSpaceDN w:val="0"/>
        <w:adjustRightInd w:val="0"/>
        <w:rPr>
          <w:noProof/>
          <w:color w:val="000000"/>
        </w:rPr>
      </w:pPr>
      <w:r>
        <w:rPr>
          <w:noProof/>
          <w:color w:val="000000"/>
        </w:rPr>
        <w:t>If you have mild heart failure and are being treated with Humira, your heart failure status must be closely monitored by your doctor. It is important to tell your doctor if you have had or have a serious heart condition. If</w:t>
      </w:r>
      <w:r w:rsidR="00877FF3">
        <w:rPr>
          <w:noProof/>
          <w:color w:val="000000"/>
        </w:rPr>
        <w:t xml:space="preserve"> </w:t>
      </w:r>
      <w:r>
        <w:rPr>
          <w:noProof/>
          <w:color w:val="000000"/>
        </w:rPr>
        <w:t>you develop new or worsening symptoms of heart failure (e.g. shortness of breath, or swelling of your feet), you must contact your doctor immediately. Your doctor will decide if you should receive Humira.</w:t>
      </w:r>
    </w:p>
    <w:p w14:paraId="11BE521F" w14:textId="77777777" w:rsidR="00BC0E7E" w:rsidRDefault="00BC0E7E" w:rsidP="00BC0E7E">
      <w:pPr>
        <w:rPr>
          <w:szCs w:val="20"/>
        </w:rPr>
      </w:pPr>
    </w:p>
    <w:p w14:paraId="4D6120F0" w14:textId="77777777" w:rsidR="00354C15" w:rsidRPr="00700513" w:rsidRDefault="00944B8F" w:rsidP="00354C15">
      <w:pPr>
        <w:keepLines/>
        <w:numPr>
          <w:ilvl w:val="12"/>
          <w:numId w:val="0"/>
        </w:numPr>
        <w:tabs>
          <w:tab w:val="clear" w:pos="562"/>
        </w:tabs>
        <w:ind w:right="-2"/>
        <w:rPr>
          <w:rFonts w:eastAsia="Malgun Gothic"/>
          <w:szCs w:val="22"/>
          <w:u w:val="single"/>
          <w:lang w:eastAsia="ko-KR"/>
        </w:rPr>
      </w:pPr>
      <w:r w:rsidRPr="00C65788">
        <w:rPr>
          <w:rFonts w:eastAsia="Malgun Gothic"/>
          <w:szCs w:val="22"/>
          <w:u w:val="single"/>
          <w:lang w:eastAsia="ko-KR"/>
        </w:rPr>
        <w:t>Fever, bruis</w:t>
      </w:r>
      <w:r>
        <w:rPr>
          <w:rFonts w:eastAsia="Malgun Gothic"/>
          <w:szCs w:val="22"/>
          <w:u w:val="single"/>
          <w:lang w:eastAsia="ko-KR"/>
        </w:rPr>
        <w:t>ing</w:t>
      </w:r>
      <w:r w:rsidRPr="00C65788">
        <w:rPr>
          <w:rFonts w:eastAsia="Malgun Gothic"/>
          <w:szCs w:val="22"/>
          <w:u w:val="single"/>
          <w:lang w:eastAsia="ko-KR"/>
        </w:rPr>
        <w:t>, bleed</w:t>
      </w:r>
      <w:r>
        <w:rPr>
          <w:rFonts w:eastAsia="Malgun Gothic"/>
          <w:szCs w:val="22"/>
          <w:u w:val="single"/>
          <w:lang w:eastAsia="ko-KR"/>
        </w:rPr>
        <w:t>ing</w:t>
      </w:r>
      <w:r w:rsidRPr="00C65788">
        <w:rPr>
          <w:rFonts w:eastAsia="Malgun Gothic"/>
          <w:szCs w:val="22"/>
          <w:u w:val="single"/>
          <w:lang w:eastAsia="ko-KR"/>
        </w:rPr>
        <w:t xml:space="preserve"> or look</w:t>
      </w:r>
      <w:r>
        <w:rPr>
          <w:rFonts w:eastAsia="Malgun Gothic"/>
          <w:szCs w:val="22"/>
          <w:u w:val="single"/>
          <w:lang w:eastAsia="ko-KR"/>
        </w:rPr>
        <w:t>ing</w:t>
      </w:r>
      <w:r w:rsidRPr="00C65788">
        <w:rPr>
          <w:rFonts w:eastAsia="Malgun Gothic"/>
          <w:szCs w:val="22"/>
          <w:u w:val="single"/>
          <w:lang w:eastAsia="ko-KR"/>
        </w:rPr>
        <w:t xml:space="preserve"> pale</w:t>
      </w:r>
    </w:p>
    <w:p w14:paraId="22398170" w14:textId="77777777" w:rsidR="00354C15" w:rsidRPr="00BC0E7E" w:rsidRDefault="00354C15" w:rsidP="00BC0E7E">
      <w:pPr>
        <w:rPr>
          <w:szCs w:val="20"/>
        </w:rPr>
      </w:pPr>
    </w:p>
    <w:p w14:paraId="13276EE5" w14:textId="77777777" w:rsidR="00BC0E7E" w:rsidRPr="00BC0E7E" w:rsidRDefault="00944B8F" w:rsidP="00D51999">
      <w:pPr>
        <w:numPr>
          <w:ilvl w:val="0"/>
          <w:numId w:val="56"/>
        </w:numPr>
        <w:tabs>
          <w:tab w:val="clear" w:pos="562"/>
        </w:tabs>
        <w:rPr>
          <w:szCs w:val="20"/>
        </w:rPr>
      </w:pPr>
      <w:r w:rsidRPr="00BC0E7E">
        <w:rPr>
          <w:szCs w:val="20"/>
        </w:rPr>
        <w:t xml:space="preserve">In some patients the body may fail to produce enough of the blood cells that fight </w:t>
      </w:r>
      <w:r w:rsidR="00354C15">
        <w:rPr>
          <w:szCs w:val="20"/>
        </w:rPr>
        <w:t xml:space="preserve">off </w:t>
      </w:r>
      <w:r w:rsidRPr="00BC0E7E">
        <w:rPr>
          <w:szCs w:val="20"/>
        </w:rPr>
        <w:t>infections or help you to stop bleeding. Your doctor may decide to stop treatment.</w:t>
      </w:r>
      <w:r w:rsidR="00354C15">
        <w:rPr>
          <w:szCs w:val="20"/>
        </w:rPr>
        <w:t xml:space="preserve"> </w:t>
      </w:r>
      <w:r w:rsidR="00354C15" w:rsidRPr="00354C15">
        <w:rPr>
          <w:szCs w:val="20"/>
        </w:rPr>
        <w:t>If you develop a fever that does not go away, develop light bruises or bleed very easily or look very pale, call your doctor right away.</w:t>
      </w:r>
    </w:p>
    <w:p w14:paraId="6AD60C6C" w14:textId="77777777" w:rsidR="00BC0E7E" w:rsidRPr="00BC0E7E" w:rsidRDefault="00BC0E7E" w:rsidP="00BC0E7E">
      <w:pPr>
        <w:rPr>
          <w:szCs w:val="20"/>
        </w:rPr>
      </w:pPr>
    </w:p>
    <w:p w14:paraId="30A78525" w14:textId="77777777" w:rsidR="00BC0E7E" w:rsidRPr="00BC0E7E" w:rsidRDefault="00944B8F" w:rsidP="00BC0E7E">
      <w:pPr>
        <w:tabs>
          <w:tab w:val="clear" w:pos="562"/>
          <w:tab w:val="left" w:pos="720"/>
        </w:tabs>
        <w:rPr>
          <w:szCs w:val="20"/>
          <w:u w:val="single"/>
        </w:rPr>
      </w:pPr>
      <w:r w:rsidRPr="00BC0E7E">
        <w:rPr>
          <w:szCs w:val="20"/>
          <w:u w:val="single"/>
        </w:rPr>
        <w:t>Cancer</w:t>
      </w:r>
    </w:p>
    <w:p w14:paraId="25ABA44D" w14:textId="77777777" w:rsidR="00BC0E7E" w:rsidRPr="00BC0E7E" w:rsidRDefault="00BC0E7E" w:rsidP="00BC0E7E">
      <w:pPr>
        <w:tabs>
          <w:tab w:val="clear" w:pos="562"/>
          <w:tab w:val="left" w:pos="720"/>
        </w:tabs>
        <w:rPr>
          <w:szCs w:val="20"/>
          <w:u w:val="single"/>
        </w:rPr>
      </w:pPr>
    </w:p>
    <w:p w14:paraId="44CAD8DE" w14:textId="77777777" w:rsidR="00BC0E7E" w:rsidRPr="00BC0E7E" w:rsidRDefault="00944B8F" w:rsidP="00D51999">
      <w:pPr>
        <w:numPr>
          <w:ilvl w:val="0"/>
          <w:numId w:val="56"/>
        </w:numPr>
        <w:tabs>
          <w:tab w:val="clear" w:pos="562"/>
          <w:tab w:val="left" w:pos="720"/>
        </w:tabs>
        <w:rPr>
          <w:szCs w:val="20"/>
        </w:rPr>
      </w:pPr>
      <w:r w:rsidRPr="00BC0E7E">
        <w:rPr>
          <w:szCs w:val="20"/>
        </w:rPr>
        <w:t xml:space="preserve">There have been very rare cases of certain kinds of cancer in children and adult patients taking Humira or other TNF blockers. </w:t>
      </w:r>
    </w:p>
    <w:p w14:paraId="34EE8DA6" w14:textId="77777777" w:rsidR="00BC0E7E" w:rsidRPr="00BC0E7E" w:rsidRDefault="00BC0E7E" w:rsidP="00BC0E7E">
      <w:pPr>
        <w:rPr>
          <w:szCs w:val="20"/>
        </w:rPr>
      </w:pPr>
    </w:p>
    <w:p w14:paraId="3EBCDA58" w14:textId="77777777" w:rsidR="00BC0E7E" w:rsidRPr="00BC0E7E" w:rsidRDefault="00944B8F" w:rsidP="00D51999">
      <w:pPr>
        <w:numPr>
          <w:ilvl w:val="1"/>
          <w:numId w:val="56"/>
        </w:numPr>
        <w:tabs>
          <w:tab w:val="clear" w:pos="562"/>
          <w:tab w:val="left" w:pos="720"/>
          <w:tab w:val="num" w:pos="2067"/>
        </w:tabs>
        <w:rPr>
          <w:szCs w:val="20"/>
        </w:rPr>
      </w:pPr>
      <w:r w:rsidRPr="00BC0E7E">
        <w:rPr>
          <w:szCs w:val="20"/>
        </w:rPr>
        <w:t xml:space="preserve">People with more serious rheumatoid arthritis that have had the disease for a long time may have a higher than average risk of getting lymphoma (a cancer that affects the lymph system) and leukaemia (a cancer that affects the blood and bone marrow). </w:t>
      </w:r>
    </w:p>
    <w:p w14:paraId="6E112EEB" w14:textId="77777777" w:rsidR="00BC0E7E" w:rsidRPr="00BC0E7E" w:rsidRDefault="00944B8F" w:rsidP="00D51999">
      <w:pPr>
        <w:numPr>
          <w:ilvl w:val="1"/>
          <w:numId w:val="56"/>
        </w:numPr>
        <w:tabs>
          <w:tab w:val="clear" w:pos="562"/>
          <w:tab w:val="left" w:pos="720"/>
          <w:tab w:val="num" w:pos="2067"/>
        </w:tabs>
        <w:rPr>
          <w:szCs w:val="20"/>
        </w:rPr>
      </w:pPr>
      <w:r w:rsidRPr="00BC0E7E">
        <w:rPr>
          <w:szCs w:val="20"/>
        </w:rPr>
        <w:t xml:space="preserve">If you take Humira the risk of getting lymphoma, leukaemia, or other cancers may increase. On rare occasions, an uncommon and severe type of lymphoma has been seen in patients taking Humira. Some of those patients were also treated with azathioprine or 6- mercaptopurine. </w:t>
      </w:r>
    </w:p>
    <w:p w14:paraId="2441DC1E" w14:textId="77777777" w:rsidR="00BC0E7E" w:rsidRPr="00BC0E7E" w:rsidRDefault="00944B8F" w:rsidP="00D51999">
      <w:pPr>
        <w:numPr>
          <w:ilvl w:val="1"/>
          <w:numId w:val="56"/>
        </w:numPr>
        <w:tabs>
          <w:tab w:val="clear" w:pos="562"/>
          <w:tab w:val="left" w:pos="720"/>
        </w:tabs>
        <w:rPr>
          <w:szCs w:val="20"/>
        </w:rPr>
      </w:pPr>
      <w:r w:rsidRPr="00BC0E7E">
        <w:rPr>
          <w:szCs w:val="20"/>
        </w:rPr>
        <w:t xml:space="preserve">Tell your doctor if you are taking azathioprine or 6-mercaptopurine with Humira. </w:t>
      </w:r>
    </w:p>
    <w:p w14:paraId="0DA6305C" w14:textId="77777777" w:rsidR="00BC0E7E" w:rsidRPr="00BC0E7E" w:rsidRDefault="00944B8F" w:rsidP="00D51999">
      <w:pPr>
        <w:numPr>
          <w:ilvl w:val="1"/>
          <w:numId w:val="56"/>
        </w:numPr>
        <w:tabs>
          <w:tab w:val="clear" w:pos="562"/>
          <w:tab w:val="left" w:pos="720"/>
          <w:tab w:val="num" w:pos="2067"/>
        </w:tabs>
        <w:rPr>
          <w:szCs w:val="20"/>
        </w:rPr>
      </w:pPr>
      <w:r>
        <w:rPr>
          <w:szCs w:val="20"/>
        </w:rPr>
        <w:t>C</w:t>
      </w:r>
      <w:r w:rsidRPr="00BC0E7E">
        <w:rPr>
          <w:szCs w:val="20"/>
        </w:rPr>
        <w:t xml:space="preserve">ases of non-melanoma skin cancer have been observed in patients taking Humira. </w:t>
      </w:r>
    </w:p>
    <w:p w14:paraId="3B99FB82" w14:textId="77777777" w:rsidR="00BC0E7E" w:rsidRPr="00BC0E7E" w:rsidRDefault="00944B8F" w:rsidP="00D51999">
      <w:pPr>
        <w:numPr>
          <w:ilvl w:val="1"/>
          <w:numId w:val="56"/>
        </w:numPr>
        <w:tabs>
          <w:tab w:val="clear" w:pos="562"/>
          <w:tab w:val="left" w:pos="720"/>
          <w:tab w:val="num" w:pos="2067"/>
        </w:tabs>
        <w:rPr>
          <w:szCs w:val="20"/>
        </w:rPr>
      </w:pPr>
      <w:r w:rsidRPr="00BC0E7E">
        <w:rPr>
          <w:szCs w:val="20"/>
        </w:rPr>
        <w:t>If new skin lesions appear during or after therapy or if existing lesions change appearance, tell your doctor.</w:t>
      </w:r>
    </w:p>
    <w:p w14:paraId="1D528C03" w14:textId="77777777" w:rsidR="00BC0E7E" w:rsidRPr="00BC0E7E" w:rsidRDefault="00BC0E7E" w:rsidP="00BC0E7E">
      <w:pPr>
        <w:rPr>
          <w:szCs w:val="20"/>
        </w:rPr>
      </w:pPr>
    </w:p>
    <w:p w14:paraId="02D20425" w14:textId="77777777" w:rsidR="00BC0E7E" w:rsidRPr="00BC0E7E" w:rsidRDefault="00944B8F" w:rsidP="00D51999">
      <w:pPr>
        <w:numPr>
          <w:ilvl w:val="0"/>
          <w:numId w:val="56"/>
        </w:numPr>
        <w:tabs>
          <w:tab w:val="clear" w:pos="562"/>
          <w:tab w:val="left" w:pos="720"/>
        </w:tabs>
        <w:rPr>
          <w:szCs w:val="20"/>
        </w:rPr>
      </w:pPr>
      <w:r w:rsidRPr="00BC0E7E">
        <w:rPr>
          <w:szCs w:val="20"/>
        </w:rPr>
        <w:lastRenderedPageBreak/>
        <w:t>There have been cases of cancers, other than lymphoma in patients with a specific type of lung disease called Chronic Obstructive Pulmonary Disease (COPD) treated with another TNF blocker. If you have COPD, or are a heavy smoker, you should discuss with your doctor whether treatment with a TNF blocker is appropriate for you.</w:t>
      </w:r>
    </w:p>
    <w:p w14:paraId="4DF5A3A2" w14:textId="77777777" w:rsidR="006B4405" w:rsidRPr="003D1A8A" w:rsidRDefault="006B4405" w:rsidP="006B4405">
      <w:pPr>
        <w:pStyle w:val="EMEANormal"/>
        <w:rPr>
          <w:lang w:val="en-GB"/>
        </w:rPr>
      </w:pPr>
    </w:p>
    <w:p w14:paraId="63934D6D" w14:textId="77777777" w:rsidR="006B4405" w:rsidRDefault="00944B8F" w:rsidP="006B4405">
      <w:pPr>
        <w:pStyle w:val="EMEANormal"/>
        <w:rPr>
          <w:u w:val="single"/>
          <w:lang w:val="en-GB"/>
        </w:rPr>
      </w:pPr>
      <w:r w:rsidRPr="00700513">
        <w:rPr>
          <w:u w:val="single"/>
          <w:lang w:val="en-GB"/>
        </w:rPr>
        <w:t>Autoimmune disease</w:t>
      </w:r>
    </w:p>
    <w:p w14:paraId="250E3BB2" w14:textId="77777777" w:rsidR="006B4405" w:rsidRPr="00561696" w:rsidRDefault="006B4405" w:rsidP="006B4405">
      <w:pPr>
        <w:pStyle w:val="EMEANormal"/>
        <w:rPr>
          <w:lang w:val="en-GB"/>
        </w:rPr>
      </w:pPr>
    </w:p>
    <w:p w14:paraId="2E14E120" w14:textId="77777777" w:rsidR="006B4405" w:rsidRDefault="00944B8F" w:rsidP="00D51999">
      <w:pPr>
        <w:pStyle w:val="EMEANormal"/>
        <w:numPr>
          <w:ilvl w:val="0"/>
          <w:numId w:val="101"/>
        </w:numPr>
        <w:tabs>
          <w:tab w:val="clear" w:pos="562"/>
          <w:tab w:val="left" w:pos="720"/>
        </w:tabs>
        <w:rPr>
          <w:lang w:val="en-GB"/>
        </w:rPr>
      </w:pPr>
      <w:r w:rsidRPr="003D1A8A">
        <w:rPr>
          <w:lang w:val="en-GB"/>
        </w:rPr>
        <w:t>On rare occasions, treatment with Humira could result in lupus-like syndrome. Contact your doctor if symptoms such as persistent unexplained rash, fever, joint pain or tiredness</w:t>
      </w:r>
      <w:r w:rsidR="00C25F57" w:rsidRPr="00C25F57">
        <w:rPr>
          <w:lang w:val="en-GB"/>
        </w:rPr>
        <w:t xml:space="preserve"> </w:t>
      </w:r>
      <w:r w:rsidR="00C25F57">
        <w:rPr>
          <w:lang w:val="en-GB"/>
        </w:rPr>
        <w:t>occur</w:t>
      </w:r>
      <w:r>
        <w:rPr>
          <w:lang w:val="en-GB"/>
        </w:rPr>
        <w:t>.</w:t>
      </w:r>
    </w:p>
    <w:p w14:paraId="720D4AB6" w14:textId="77777777" w:rsidR="00BC0E7E" w:rsidRPr="00BC0E7E" w:rsidRDefault="00BC0E7E" w:rsidP="00BC0E7E">
      <w:pPr>
        <w:rPr>
          <w:szCs w:val="20"/>
        </w:rPr>
      </w:pPr>
    </w:p>
    <w:p w14:paraId="02F809E7" w14:textId="77777777" w:rsidR="00BC0E7E" w:rsidRPr="00BC0E7E" w:rsidRDefault="00944B8F" w:rsidP="00852331">
      <w:pPr>
        <w:keepNext/>
        <w:rPr>
          <w:b/>
          <w:szCs w:val="20"/>
        </w:rPr>
      </w:pPr>
      <w:r w:rsidRPr="00BC0E7E">
        <w:rPr>
          <w:b/>
          <w:szCs w:val="20"/>
        </w:rPr>
        <w:t>Children and adolescents</w:t>
      </w:r>
    </w:p>
    <w:p w14:paraId="00A0980C" w14:textId="77777777" w:rsidR="00BC0E7E" w:rsidRPr="00BC0E7E" w:rsidRDefault="00BC0E7E" w:rsidP="00852331">
      <w:pPr>
        <w:keepNext/>
        <w:rPr>
          <w:szCs w:val="20"/>
        </w:rPr>
      </w:pPr>
    </w:p>
    <w:p w14:paraId="2BF5AF86" w14:textId="77777777" w:rsidR="00BC0E7E" w:rsidRPr="00BC0E7E" w:rsidRDefault="00944B8F" w:rsidP="00D51999">
      <w:pPr>
        <w:keepNext/>
        <w:numPr>
          <w:ilvl w:val="0"/>
          <w:numId w:val="56"/>
        </w:numPr>
        <w:tabs>
          <w:tab w:val="clear" w:pos="562"/>
          <w:tab w:val="left" w:pos="720"/>
        </w:tabs>
        <w:rPr>
          <w:b/>
          <w:szCs w:val="20"/>
        </w:rPr>
      </w:pPr>
      <w:r w:rsidRPr="00BC0E7E">
        <w:rPr>
          <w:szCs w:val="20"/>
        </w:rPr>
        <w:t>Vaccinations: if possible</w:t>
      </w:r>
      <w:r w:rsidR="00CD3FDA">
        <w:rPr>
          <w:szCs w:val="20"/>
        </w:rPr>
        <w:t>,</w:t>
      </w:r>
      <w:r w:rsidRPr="00BC0E7E">
        <w:rPr>
          <w:szCs w:val="20"/>
        </w:rPr>
        <w:t xml:space="preserve"> children should be up to date with all vaccinations before using Humira.</w:t>
      </w:r>
    </w:p>
    <w:p w14:paraId="0B5B63C5" w14:textId="77777777" w:rsidR="00BC0E7E" w:rsidRPr="00BC0E7E" w:rsidRDefault="00BC0E7E" w:rsidP="00BC0E7E">
      <w:pPr>
        <w:ind w:left="720"/>
        <w:rPr>
          <w:szCs w:val="20"/>
        </w:rPr>
      </w:pPr>
    </w:p>
    <w:p w14:paraId="4C0F36D3" w14:textId="77777777" w:rsidR="00BC0E7E" w:rsidRPr="00BC0E7E" w:rsidRDefault="00944B8F" w:rsidP="00BC0E7E">
      <w:pPr>
        <w:rPr>
          <w:b/>
          <w:szCs w:val="20"/>
        </w:rPr>
      </w:pPr>
      <w:r w:rsidRPr="00BC0E7E">
        <w:rPr>
          <w:b/>
          <w:szCs w:val="20"/>
        </w:rPr>
        <w:t>Other medicines and Humira</w:t>
      </w:r>
    </w:p>
    <w:p w14:paraId="7EB70BF6" w14:textId="77777777" w:rsidR="00BC0E7E" w:rsidRPr="00BC0E7E" w:rsidRDefault="00BC0E7E" w:rsidP="00BC0E7E">
      <w:pPr>
        <w:rPr>
          <w:szCs w:val="20"/>
        </w:rPr>
      </w:pPr>
    </w:p>
    <w:p w14:paraId="4F52D3A7" w14:textId="77777777" w:rsidR="00BC0E7E" w:rsidRPr="00BC0E7E" w:rsidRDefault="00944B8F" w:rsidP="00BC0E7E">
      <w:pPr>
        <w:rPr>
          <w:szCs w:val="20"/>
        </w:rPr>
      </w:pPr>
      <w:r w:rsidRPr="00BC0E7E">
        <w:rPr>
          <w:szCs w:val="20"/>
        </w:rPr>
        <w:t>Tell your doctor or pharmacist if you are taking, have recently taken or might take any other medicines.</w:t>
      </w:r>
    </w:p>
    <w:p w14:paraId="378E8E1A" w14:textId="77777777" w:rsidR="00BC0E7E" w:rsidRPr="00BC0E7E" w:rsidRDefault="00BC0E7E" w:rsidP="00BC0E7E">
      <w:pPr>
        <w:rPr>
          <w:szCs w:val="20"/>
        </w:rPr>
      </w:pPr>
    </w:p>
    <w:p w14:paraId="72EE4C84" w14:textId="77777777" w:rsidR="00BC0E7E" w:rsidRPr="00BC0E7E" w:rsidRDefault="00944B8F" w:rsidP="00BC0E7E">
      <w:pPr>
        <w:rPr>
          <w:szCs w:val="20"/>
        </w:rPr>
      </w:pPr>
      <w:r w:rsidRPr="00BC0E7E">
        <w:rPr>
          <w:szCs w:val="20"/>
        </w:rPr>
        <w:t xml:space="preserve">You should not take Humira with medicines containing the </w:t>
      </w:r>
      <w:r w:rsidR="00535908">
        <w:rPr>
          <w:szCs w:val="20"/>
        </w:rPr>
        <w:t xml:space="preserve">following </w:t>
      </w:r>
      <w:r w:rsidRPr="00BC0E7E">
        <w:rPr>
          <w:szCs w:val="20"/>
        </w:rPr>
        <w:t>active substances</w:t>
      </w:r>
      <w:r w:rsidR="000810D4" w:rsidRPr="00FD27BB">
        <w:t xml:space="preserve"> </w:t>
      </w:r>
      <w:r w:rsidR="000810D4">
        <w:t>due to increased risk of serious infection</w:t>
      </w:r>
      <w:r w:rsidRPr="00BC0E7E">
        <w:rPr>
          <w:szCs w:val="20"/>
        </w:rPr>
        <w:t>:</w:t>
      </w:r>
    </w:p>
    <w:p w14:paraId="3AFA5253" w14:textId="77777777" w:rsidR="00BC0E7E" w:rsidRPr="00BC0E7E" w:rsidRDefault="00944B8F" w:rsidP="00D51999">
      <w:pPr>
        <w:numPr>
          <w:ilvl w:val="0"/>
          <w:numId w:val="56"/>
        </w:numPr>
        <w:tabs>
          <w:tab w:val="clear" w:pos="562"/>
          <w:tab w:val="left" w:pos="720"/>
        </w:tabs>
        <w:rPr>
          <w:szCs w:val="20"/>
        </w:rPr>
      </w:pPr>
      <w:r w:rsidRPr="00BC0E7E">
        <w:rPr>
          <w:szCs w:val="20"/>
        </w:rPr>
        <w:t>anakinra</w:t>
      </w:r>
    </w:p>
    <w:p w14:paraId="3035030F" w14:textId="77777777" w:rsidR="00BC0E7E" w:rsidRPr="00BC0E7E" w:rsidRDefault="00944B8F" w:rsidP="00D51999">
      <w:pPr>
        <w:numPr>
          <w:ilvl w:val="0"/>
          <w:numId w:val="56"/>
        </w:numPr>
        <w:tabs>
          <w:tab w:val="clear" w:pos="562"/>
          <w:tab w:val="left" w:pos="720"/>
        </w:tabs>
        <w:rPr>
          <w:b/>
          <w:bCs/>
          <w:szCs w:val="20"/>
        </w:rPr>
      </w:pPr>
      <w:r w:rsidRPr="00BC0E7E">
        <w:rPr>
          <w:szCs w:val="20"/>
        </w:rPr>
        <w:t>abatacept.</w:t>
      </w:r>
    </w:p>
    <w:p w14:paraId="7CC3262B" w14:textId="77777777" w:rsidR="00BC0E7E" w:rsidRPr="00BC0E7E" w:rsidRDefault="00BC0E7E" w:rsidP="00BC0E7E">
      <w:pPr>
        <w:rPr>
          <w:szCs w:val="20"/>
        </w:rPr>
      </w:pPr>
    </w:p>
    <w:p w14:paraId="659C4A03" w14:textId="77777777" w:rsidR="00BC0E7E" w:rsidRPr="00BC0E7E" w:rsidRDefault="00944B8F" w:rsidP="00BC0E7E">
      <w:pPr>
        <w:rPr>
          <w:szCs w:val="20"/>
        </w:rPr>
      </w:pPr>
      <w:r w:rsidRPr="00BC0E7E">
        <w:rPr>
          <w:szCs w:val="20"/>
        </w:rPr>
        <w:t>Humira can be taken together with:</w:t>
      </w:r>
    </w:p>
    <w:p w14:paraId="37D041D0" w14:textId="77777777" w:rsidR="00BC0E7E" w:rsidRPr="00BC0E7E" w:rsidRDefault="00944B8F" w:rsidP="00D51999">
      <w:pPr>
        <w:numPr>
          <w:ilvl w:val="0"/>
          <w:numId w:val="79"/>
        </w:numPr>
        <w:ind w:left="540" w:hanging="180"/>
        <w:rPr>
          <w:szCs w:val="20"/>
        </w:rPr>
      </w:pPr>
      <w:r w:rsidRPr="00BC0E7E">
        <w:rPr>
          <w:szCs w:val="20"/>
        </w:rPr>
        <w:t xml:space="preserve">methotrexate </w:t>
      </w:r>
    </w:p>
    <w:p w14:paraId="4B79918B" w14:textId="77777777" w:rsidR="00BC0E7E" w:rsidRPr="00BC0E7E" w:rsidRDefault="00944B8F" w:rsidP="00D51999">
      <w:pPr>
        <w:numPr>
          <w:ilvl w:val="0"/>
          <w:numId w:val="79"/>
        </w:numPr>
        <w:ind w:left="540" w:hanging="180"/>
        <w:rPr>
          <w:szCs w:val="20"/>
        </w:rPr>
      </w:pPr>
      <w:r w:rsidRPr="00BC0E7E">
        <w:rPr>
          <w:szCs w:val="20"/>
        </w:rPr>
        <w:t>certain disease-modifying anti-rheumatic agents (for example, sulfasalazine, hydroxychloroquine, leflunomide and injectable gold preparations)</w:t>
      </w:r>
    </w:p>
    <w:p w14:paraId="11D15831" w14:textId="77777777" w:rsidR="00BC0E7E" w:rsidRPr="00BC0E7E" w:rsidRDefault="00944B8F" w:rsidP="00D51999">
      <w:pPr>
        <w:numPr>
          <w:ilvl w:val="0"/>
          <w:numId w:val="79"/>
        </w:numPr>
        <w:ind w:left="540" w:hanging="180"/>
        <w:rPr>
          <w:szCs w:val="20"/>
        </w:rPr>
      </w:pPr>
      <w:r w:rsidRPr="00BC0E7E">
        <w:rPr>
          <w:szCs w:val="20"/>
        </w:rPr>
        <w:t>steroids or pain medications including non-steroidal anti-inflammatory drugs (NSAIDs).</w:t>
      </w:r>
    </w:p>
    <w:p w14:paraId="27310959" w14:textId="77777777" w:rsidR="00BC0E7E" w:rsidRPr="00BC0E7E" w:rsidRDefault="00BC0E7E" w:rsidP="00BC0E7E">
      <w:pPr>
        <w:rPr>
          <w:szCs w:val="20"/>
        </w:rPr>
      </w:pPr>
    </w:p>
    <w:p w14:paraId="1F4061FE" w14:textId="77777777" w:rsidR="00BC0E7E" w:rsidRPr="00BC0E7E" w:rsidRDefault="00944B8F" w:rsidP="00BC0E7E">
      <w:pPr>
        <w:rPr>
          <w:szCs w:val="20"/>
        </w:rPr>
      </w:pPr>
      <w:r w:rsidRPr="00BC0E7E">
        <w:rPr>
          <w:szCs w:val="20"/>
        </w:rPr>
        <w:t xml:space="preserve">If you have questions, please ask your doctor. </w:t>
      </w:r>
    </w:p>
    <w:p w14:paraId="03FC0BC5" w14:textId="77777777" w:rsidR="00BC0E7E" w:rsidRPr="00816607" w:rsidRDefault="00BC0E7E" w:rsidP="00BC0E7E">
      <w:pPr>
        <w:rPr>
          <w:szCs w:val="20"/>
        </w:rPr>
      </w:pPr>
    </w:p>
    <w:p w14:paraId="775C2468" w14:textId="77777777" w:rsidR="00BC0E7E" w:rsidRPr="00816607" w:rsidRDefault="00944B8F" w:rsidP="00BC0E7E">
      <w:pPr>
        <w:keepNext/>
        <w:rPr>
          <w:szCs w:val="20"/>
        </w:rPr>
      </w:pPr>
      <w:r w:rsidRPr="00BC0E7E">
        <w:rPr>
          <w:b/>
          <w:szCs w:val="20"/>
        </w:rPr>
        <w:t>Pregnancy and breast-feeding</w:t>
      </w:r>
    </w:p>
    <w:p w14:paraId="24EDB18E" w14:textId="77777777" w:rsidR="00BC0E7E" w:rsidRPr="00BC0E7E" w:rsidRDefault="00BC0E7E" w:rsidP="00BC0E7E">
      <w:pPr>
        <w:keepNext/>
        <w:rPr>
          <w:szCs w:val="20"/>
        </w:rPr>
      </w:pPr>
    </w:p>
    <w:p w14:paraId="4DC14D28" w14:textId="77777777" w:rsidR="00BC0E7E" w:rsidRPr="00805069" w:rsidRDefault="00944B8F" w:rsidP="00A70985">
      <w:pPr>
        <w:pStyle w:val="EMEANormal"/>
        <w:numPr>
          <w:ilvl w:val="0"/>
          <w:numId w:val="148"/>
        </w:numPr>
        <w:tabs>
          <w:tab w:val="clear" w:pos="562"/>
          <w:tab w:val="left" w:pos="720"/>
        </w:tabs>
        <w:ind w:left="720"/>
        <w:rPr>
          <w:lang w:val="en-GB"/>
        </w:rPr>
      </w:pPr>
      <w:r w:rsidRPr="00BC0E7E">
        <w:rPr>
          <w:lang w:val="en-GB"/>
        </w:rPr>
        <w:t xml:space="preserve">You </w:t>
      </w:r>
      <w:r w:rsidR="00315900">
        <w:rPr>
          <w:lang w:val="en-GB"/>
        </w:rPr>
        <w:t>should consider the</w:t>
      </w:r>
      <w:r w:rsidRPr="00BC0E7E">
        <w:rPr>
          <w:lang w:val="en-GB"/>
        </w:rPr>
        <w:t xml:space="preserve"> use </w:t>
      </w:r>
      <w:r w:rsidR="00315900">
        <w:rPr>
          <w:lang w:val="en-GB"/>
        </w:rPr>
        <w:t xml:space="preserve">of </w:t>
      </w:r>
      <w:r w:rsidRPr="00BC0E7E">
        <w:rPr>
          <w:lang w:val="en-GB"/>
        </w:rPr>
        <w:t xml:space="preserve">adequate contraception </w:t>
      </w:r>
      <w:r w:rsidR="00315900">
        <w:rPr>
          <w:lang w:val="en-GB"/>
        </w:rPr>
        <w:t>to prevent pregnancy</w:t>
      </w:r>
      <w:r w:rsidRPr="00BC0E7E">
        <w:rPr>
          <w:lang w:val="en-GB"/>
        </w:rPr>
        <w:t xml:space="preserve"> and </w:t>
      </w:r>
      <w:r w:rsidR="00315900">
        <w:rPr>
          <w:lang w:val="en-GB"/>
        </w:rPr>
        <w:t xml:space="preserve">continue its use </w:t>
      </w:r>
      <w:r w:rsidRPr="00BC0E7E">
        <w:rPr>
          <w:lang w:val="en-GB"/>
        </w:rPr>
        <w:t>for at least 5 months after the last Humira treatment.</w:t>
      </w:r>
    </w:p>
    <w:p w14:paraId="0BB9D6B2" w14:textId="77777777" w:rsidR="00315900" w:rsidRPr="00805069" w:rsidRDefault="00944B8F" w:rsidP="00D51999">
      <w:pPr>
        <w:pStyle w:val="EMEANormal"/>
        <w:numPr>
          <w:ilvl w:val="0"/>
          <w:numId w:val="101"/>
        </w:numPr>
        <w:tabs>
          <w:tab w:val="clear" w:pos="562"/>
          <w:tab w:val="left" w:pos="720"/>
        </w:tabs>
        <w:rPr>
          <w:lang w:val="en-GB"/>
        </w:rPr>
      </w:pPr>
      <w:r w:rsidRPr="00805069">
        <w:rPr>
          <w:lang w:val="en-GB"/>
        </w:rPr>
        <w:t>If you are pregnant, think you may be pregnant or are planning to have a baby, ask your doctor for advice about taking this medicine.</w:t>
      </w:r>
    </w:p>
    <w:p w14:paraId="736E1200" w14:textId="77777777" w:rsidR="00315900" w:rsidRPr="00805069" w:rsidRDefault="00944B8F" w:rsidP="00D51999">
      <w:pPr>
        <w:pStyle w:val="EMEANormal"/>
        <w:numPr>
          <w:ilvl w:val="0"/>
          <w:numId w:val="101"/>
        </w:numPr>
        <w:tabs>
          <w:tab w:val="clear" w:pos="562"/>
          <w:tab w:val="left" w:pos="720"/>
        </w:tabs>
        <w:rPr>
          <w:lang w:val="en-GB"/>
        </w:rPr>
      </w:pPr>
      <w:r w:rsidRPr="00805069">
        <w:rPr>
          <w:lang w:val="en-GB"/>
        </w:rPr>
        <w:t>Humira should only be used during a pregnancy if needed.</w:t>
      </w:r>
    </w:p>
    <w:p w14:paraId="60B571B3" w14:textId="77777777" w:rsidR="00315900" w:rsidRDefault="00944B8F" w:rsidP="00D51999">
      <w:pPr>
        <w:pStyle w:val="EMEANormal"/>
        <w:numPr>
          <w:ilvl w:val="0"/>
          <w:numId w:val="101"/>
        </w:numPr>
        <w:tabs>
          <w:tab w:val="clear" w:pos="562"/>
          <w:tab w:val="left" w:pos="720"/>
        </w:tabs>
        <w:rPr>
          <w:lang w:val="en-GB"/>
        </w:rPr>
      </w:pPr>
      <w:r w:rsidRPr="00805069">
        <w:rPr>
          <w:lang w:val="en-GB"/>
        </w:rPr>
        <w:t>According to a pregnancy study, there was no higher risk of birth defects when the mother had received Humira during pregnancy compared with mothers with the same dise</w:t>
      </w:r>
      <w:r w:rsidR="00816607">
        <w:rPr>
          <w:lang w:val="en-GB"/>
        </w:rPr>
        <w:t>ase who did not receive Humira.</w:t>
      </w:r>
    </w:p>
    <w:p w14:paraId="2BD7C8DB" w14:textId="77777777" w:rsidR="00E163C8" w:rsidRPr="00805069" w:rsidRDefault="00944B8F" w:rsidP="00D51999">
      <w:pPr>
        <w:pStyle w:val="EMEANormal"/>
        <w:numPr>
          <w:ilvl w:val="0"/>
          <w:numId w:val="101"/>
        </w:numPr>
        <w:tabs>
          <w:tab w:val="clear" w:pos="562"/>
          <w:tab w:val="left" w:pos="720"/>
        </w:tabs>
        <w:rPr>
          <w:lang w:val="en-GB"/>
        </w:rPr>
      </w:pPr>
      <w:r>
        <w:rPr>
          <w:lang w:val="en-GB"/>
        </w:rPr>
        <w:t>Humira can be used during breast</w:t>
      </w:r>
      <w:r w:rsidR="008B6BDD">
        <w:rPr>
          <w:lang w:val="en-GB"/>
        </w:rPr>
        <w:t>-</w:t>
      </w:r>
      <w:r>
        <w:rPr>
          <w:lang w:val="en-GB"/>
        </w:rPr>
        <w:t>feeding.</w:t>
      </w:r>
    </w:p>
    <w:p w14:paraId="10413175" w14:textId="77777777" w:rsidR="00315900" w:rsidRDefault="00944B8F" w:rsidP="00D51999">
      <w:pPr>
        <w:pStyle w:val="EMEANormal"/>
        <w:numPr>
          <w:ilvl w:val="0"/>
          <w:numId w:val="101"/>
        </w:numPr>
        <w:tabs>
          <w:tab w:val="clear" w:pos="562"/>
          <w:tab w:val="left" w:pos="720"/>
        </w:tabs>
        <w:rPr>
          <w:lang w:val="en-GB"/>
        </w:rPr>
      </w:pPr>
      <w:r w:rsidRPr="00BC0E7E">
        <w:rPr>
          <w:lang w:val="en-GB"/>
        </w:rPr>
        <w:t>If you receive Humira during your pregnancy, your baby may have a higher</w:t>
      </w:r>
      <w:r w:rsidR="00C6283C">
        <w:rPr>
          <w:lang w:val="en-GB"/>
        </w:rPr>
        <w:t xml:space="preserve"> risk for getting an infection.</w:t>
      </w:r>
    </w:p>
    <w:p w14:paraId="30131C50" w14:textId="77777777" w:rsidR="00BC0E7E" w:rsidRPr="00805069" w:rsidRDefault="00944B8F" w:rsidP="00A70985">
      <w:pPr>
        <w:pStyle w:val="EMEANormal"/>
        <w:numPr>
          <w:ilvl w:val="0"/>
          <w:numId w:val="101"/>
        </w:numPr>
        <w:tabs>
          <w:tab w:val="clear" w:pos="562"/>
          <w:tab w:val="left" w:pos="720"/>
        </w:tabs>
        <w:rPr>
          <w:lang w:val="en-GB"/>
        </w:rPr>
      </w:pPr>
      <w:r w:rsidRPr="00805069">
        <w:rPr>
          <w:lang w:val="en-GB"/>
        </w:rPr>
        <w:t xml:space="preserve">It is important that you tell your baby’s doctors and other health care professionals about your Humira use during your pregnancy before the baby receives any vaccine.  For more information </w:t>
      </w:r>
      <w:r w:rsidR="00315900" w:rsidRPr="00805069">
        <w:rPr>
          <w:lang w:val="en-GB"/>
        </w:rPr>
        <w:t xml:space="preserve">on vaccines </w:t>
      </w:r>
      <w:r w:rsidRPr="00805069">
        <w:rPr>
          <w:lang w:val="en-GB"/>
        </w:rPr>
        <w:t xml:space="preserve">see </w:t>
      </w:r>
      <w:r w:rsidR="00315900" w:rsidRPr="00805069">
        <w:rPr>
          <w:lang w:val="en-GB"/>
        </w:rPr>
        <w:t xml:space="preserve">the “Warnings and precautions” </w:t>
      </w:r>
      <w:r w:rsidRPr="00805069">
        <w:rPr>
          <w:lang w:val="en-GB"/>
        </w:rPr>
        <w:t>section.</w:t>
      </w:r>
    </w:p>
    <w:p w14:paraId="6831F57D" w14:textId="77777777" w:rsidR="00BC0E7E" w:rsidRPr="00BC0E7E" w:rsidRDefault="00BC0E7E" w:rsidP="00BC0E7E">
      <w:pPr>
        <w:numPr>
          <w:ilvl w:val="12"/>
          <w:numId w:val="0"/>
        </w:numPr>
        <w:tabs>
          <w:tab w:val="clear" w:pos="562"/>
        </w:tabs>
        <w:ind w:right="-2"/>
      </w:pPr>
    </w:p>
    <w:p w14:paraId="5FA3A0BD" w14:textId="77777777" w:rsidR="00BC0E7E" w:rsidRPr="00BC0E7E" w:rsidRDefault="00944B8F" w:rsidP="00BC0E7E">
      <w:pPr>
        <w:keepNext/>
        <w:rPr>
          <w:b/>
          <w:bCs/>
          <w:i/>
          <w:szCs w:val="22"/>
        </w:rPr>
      </w:pPr>
      <w:r w:rsidRPr="00BC0E7E">
        <w:rPr>
          <w:b/>
          <w:szCs w:val="20"/>
        </w:rPr>
        <w:t>Driving and using machines</w:t>
      </w:r>
    </w:p>
    <w:p w14:paraId="235A54D1" w14:textId="77777777" w:rsidR="00BC0E7E" w:rsidRPr="00BC0E7E" w:rsidRDefault="00BC0E7E" w:rsidP="00BC0E7E"/>
    <w:p w14:paraId="5B74ADD1" w14:textId="77777777" w:rsidR="00BC0E7E" w:rsidRDefault="00944B8F" w:rsidP="00BC0E7E">
      <w:pPr>
        <w:numPr>
          <w:ilvl w:val="12"/>
          <w:numId w:val="0"/>
        </w:numPr>
        <w:tabs>
          <w:tab w:val="clear" w:pos="562"/>
        </w:tabs>
        <w:ind w:right="-2"/>
        <w:rPr>
          <w:ins w:id="13699" w:author="AbbVie19" w:date="2025-04-16T12:25:00Z"/>
        </w:rPr>
      </w:pPr>
      <w:r w:rsidRPr="00BC0E7E">
        <w:t>Humira may have a small effect on your ability to drive, cycle or use machines. Room spinning sensation and vision disturbances may occur after taking Humira.</w:t>
      </w:r>
    </w:p>
    <w:p w14:paraId="263D073D" w14:textId="5E09F587" w:rsidR="00804924" w:rsidRDefault="00944B8F" w:rsidP="00804924">
      <w:pPr>
        <w:numPr>
          <w:ilvl w:val="12"/>
          <w:numId w:val="0"/>
        </w:numPr>
        <w:tabs>
          <w:tab w:val="clear" w:pos="562"/>
        </w:tabs>
        <w:ind w:right="-2"/>
        <w:rPr>
          <w:ins w:id="13700" w:author="AbbVie19" w:date="2025-04-17T11:08:00Z"/>
          <w:b/>
          <w:bCs/>
          <w:szCs w:val="22"/>
        </w:rPr>
      </w:pPr>
      <w:ins w:id="13701" w:author="AbbVie19" w:date="2025-04-16T12:25:00Z">
        <w:r>
          <w:rPr>
            <w:b/>
            <w:bCs/>
            <w:szCs w:val="22"/>
          </w:rPr>
          <w:lastRenderedPageBreak/>
          <w:t>Humira</w:t>
        </w:r>
        <w:r w:rsidRPr="00B364D7">
          <w:rPr>
            <w:b/>
            <w:bCs/>
            <w:szCs w:val="22"/>
          </w:rPr>
          <w:t xml:space="preserve"> contains polysorbate</w:t>
        </w:r>
      </w:ins>
    </w:p>
    <w:p w14:paraId="0E4B809C" w14:textId="77777777" w:rsidR="00E27926" w:rsidRPr="00B364D7" w:rsidRDefault="00E27926" w:rsidP="00804924">
      <w:pPr>
        <w:numPr>
          <w:ilvl w:val="12"/>
          <w:numId w:val="0"/>
        </w:numPr>
        <w:tabs>
          <w:tab w:val="clear" w:pos="562"/>
        </w:tabs>
        <w:ind w:right="-2"/>
        <w:rPr>
          <w:ins w:id="13702" w:author="AbbVie19" w:date="2025-04-16T12:25:00Z"/>
          <w:b/>
          <w:bCs/>
          <w:szCs w:val="22"/>
        </w:rPr>
      </w:pPr>
    </w:p>
    <w:p w14:paraId="0191A529" w14:textId="77777777" w:rsidR="00804924" w:rsidRPr="00B364D7" w:rsidRDefault="00944B8F" w:rsidP="00804924">
      <w:pPr>
        <w:tabs>
          <w:tab w:val="clear" w:pos="562"/>
        </w:tabs>
        <w:ind w:right="-2"/>
        <w:rPr>
          <w:ins w:id="13703" w:author="AbbVie19" w:date="2025-04-16T12:25:00Z"/>
        </w:rPr>
      </w:pPr>
      <w:ins w:id="13704" w:author="AbbVie19" w:date="2025-04-16T12:25:00Z">
        <w:r w:rsidRPr="00B364D7">
          <w:t>This medicine contains</w:t>
        </w:r>
      </w:ins>
      <w:ins w:id="13705" w:author="AbbVie19" w:date="2025-05-06T09:18:00Z">
        <w:r w:rsidR="00EA5F49">
          <w:t xml:space="preserve"> 0.8</w:t>
        </w:r>
      </w:ins>
      <w:ins w:id="13706" w:author="AbbVie19" w:date="2025-04-16T12:25:00Z">
        <w:r w:rsidRPr="00B364D7">
          <w:rPr>
            <w:szCs w:val="22"/>
          </w:rPr>
          <w:t> </w:t>
        </w:r>
        <w:r w:rsidRPr="00B364D7">
          <w:t>mg of polysorbate </w:t>
        </w:r>
        <w:r>
          <w:t>8</w:t>
        </w:r>
        <w:r w:rsidRPr="00B364D7">
          <w:t>0 in eac</w:t>
        </w:r>
      </w:ins>
      <w:ins w:id="13707" w:author="AbbVie19" w:date="2025-04-17T11:08:00Z">
        <w:r w:rsidR="00E27926">
          <w:t>h 80</w:t>
        </w:r>
      </w:ins>
      <w:ins w:id="13708" w:author="AbbVie33" w:date="2025-05-02T12:17:00Z">
        <w:r w:rsidR="00590856" w:rsidRPr="00B364D7">
          <w:rPr>
            <w:szCs w:val="22"/>
          </w:rPr>
          <w:t> </w:t>
        </w:r>
      </w:ins>
      <w:ins w:id="13709" w:author="AbbVie19" w:date="2025-04-17T11:08:00Z">
        <w:r w:rsidR="00E27926">
          <w:t>mg dose</w:t>
        </w:r>
      </w:ins>
      <w:ins w:id="13710" w:author="AbbVie19" w:date="2025-04-16T12:25:00Z">
        <w:r w:rsidRPr="00B364D7">
          <w:t>. Polysorbates may cause allergic reactions. Tell your doctor if you have any known allergies.</w:t>
        </w:r>
      </w:ins>
    </w:p>
    <w:p w14:paraId="4B79CA1F" w14:textId="77777777" w:rsidR="00BC0E7E" w:rsidRPr="00BC0E7E" w:rsidRDefault="00BC0E7E" w:rsidP="00BC0E7E">
      <w:pPr>
        <w:numPr>
          <w:ilvl w:val="12"/>
          <w:numId w:val="0"/>
        </w:numPr>
        <w:tabs>
          <w:tab w:val="clear" w:pos="562"/>
        </w:tabs>
        <w:ind w:right="-2"/>
      </w:pPr>
    </w:p>
    <w:p w14:paraId="1A4BD1E5" w14:textId="77777777" w:rsidR="00BC0E7E" w:rsidRPr="00BC0E7E" w:rsidRDefault="00BC0E7E" w:rsidP="00BC0E7E">
      <w:pPr>
        <w:keepNext/>
        <w:numPr>
          <w:ilvl w:val="12"/>
          <w:numId w:val="0"/>
        </w:numPr>
        <w:tabs>
          <w:tab w:val="clear" w:pos="562"/>
        </w:tabs>
        <w:ind w:right="-2"/>
      </w:pPr>
    </w:p>
    <w:p w14:paraId="69BFF9D5" w14:textId="77777777" w:rsidR="00BC0E7E" w:rsidRPr="00BC0E7E" w:rsidRDefault="00944B8F" w:rsidP="00BC0E7E">
      <w:pPr>
        <w:keepNext/>
        <w:outlineLvl w:val="0"/>
        <w:rPr>
          <w:rFonts w:ascii="Times New Roman Bold" w:hAnsi="Times New Roman Bold"/>
          <w:b/>
          <w:szCs w:val="20"/>
        </w:rPr>
      </w:pPr>
      <w:r w:rsidRPr="00BC0E7E">
        <w:rPr>
          <w:b/>
          <w:caps/>
          <w:szCs w:val="20"/>
        </w:rPr>
        <w:t>3.</w:t>
      </w:r>
      <w:r w:rsidRPr="00BC0E7E">
        <w:rPr>
          <w:b/>
          <w:caps/>
          <w:szCs w:val="20"/>
        </w:rPr>
        <w:tab/>
        <w:t>H</w:t>
      </w:r>
      <w:r w:rsidRPr="00BC0E7E">
        <w:rPr>
          <w:rFonts w:ascii="Times New Roman Bold" w:hAnsi="Times New Roman Bold"/>
          <w:b/>
          <w:szCs w:val="20"/>
        </w:rPr>
        <w:t>ow to use Humira</w:t>
      </w:r>
    </w:p>
    <w:p w14:paraId="04E050B3" w14:textId="77777777" w:rsidR="00BC0E7E" w:rsidRPr="00BC0E7E" w:rsidRDefault="00BC0E7E" w:rsidP="00BC0E7E">
      <w:pPr>
        <w:keepNext/>
        <w:rPr>
          <w:szCs w:val="20"/>
        </w:rPr>
      </w:pPr>
    </w:p>
    <w:p w14:paraId="2C84A138" w14:textId="77777777" w:rsidR="00BC0E7E" w:rsidRPr="00BC0E7E" w:rsidRDefault="00944B8F" w:rsidP="00BC0E7E">
      <w:pPr>
        <w:keepNext/>
        <w:numPr>
          <w:ilvl w:val="12"/>
          <w:numId w:val="0"/>
        </w:numPr>
        <w:tabs>
          <w:tab w:val="clear" w:pos="562"/>
        </w:tabs>
        <w:ind w:right="-2"/>
      </w:pPr>
      <w:r w:rsidRPr="00BC0E7E">
        <w:t xml:space="preserve">Always use this medicine exactly as your doctor or pharmacist has told you. Check with your doctor or pharmacist if you are not sure. </w:t>
      </w:r>
    </w:p>
    <w:p w14:paraId="7729B20A" w14:textId="77777777" w:rsidR="00BC0E7E" w:rsidRPr="00BC0E7E" w:rsidRDefault="00BC0E7E" w:rsidP="00BC0E7E">
      <w:pPr>
        <w:numPr>
          <w:ilvl w:val="12"/>
          <w:numId w:val="0"/>
        </w:numPr>
        <w:tabs>
          <w:tab w:val="clear" w:pos="562"/>
        </w:tabs>
        <w:ind w:right="-2"/>
      </w:pPr>
    </w:p>
    <w:p w14:paraId="15A01B87" w14:textId="77777777" w:rsidR="00BC0E7E" w:rsidRDefault="00944B8F" w:rsidP="00BC0E7E">
      <w:pPr>
        <w:numPr>
          <w:ilvl w:val="12"/>
          <w:numId w:val="0"/>
        </w:numPr>
        <w:tabs>
          <w:tab w:val="clear" w:pos="562"/>
        </w:tabs>
        <w:ind w:right="-2"/>
      </w:pPr>
      <w:r w:rsidRPr="00BC0E7E">
        <w:t>The recommended doses for Humira in each of the approved uses are shown in the following table. Your doctor may prescribe another strength of Humira if you need a different dose.</w:t>
      </w:r>
    </w:p>
    <w:p w14:paraId="3A4CC11E" w14:textId="77777777" w:rsidR="001B3618" w:rsidRDefault="001B3618" w:rsidP="00BC0E7E">
      <w:pPr>
        <w:numPr>
          <w:ilvl w:val="12"/>
          <w:numId w:val="0"/>
        </w:numPr>
        <w:tabs>
          <w:tab w:val="clear" w:pos="562"/>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706F660C" w14:textId="77777777" w:rsidTr="00963F82">
        <w:tc>
          <w:tcPr>
            <w:tcW w:w="9287" w:type="dxa"/>
            <w:gridSpan w:val="3"/>
          </w:tcPr>
          <w:p w14:paraId="2D9962C8" w14:textId="77777777" w:rsidR="001B3618" w:rsidRPr="00BC0E7E" w:rsidRDefault="00944B8F" w:rsidP="00963F82">
            <w:pPr>
              <w:keepNext/>
              <w:numPr>
                <w:ilvl w:val="12"/>
                <w:numId w:val="0"/>
              </w:numPr>
              <w:ind w:right="-2"/>
              <w:rPr>
                <w:b/>
              </w:rPr>
            </w:pPr>
            <w:r w:rsidRPr="00BC0E7E">
              <w:rPr>
                <w:b/>
              </w:rPr>
              <w:t>Rheumatoid arthritis</w:t>
            </w:r>
          </w:p>
        </w:tc>
      </w:tr>
      <w:tr w:rsidR="00C6578C" w14:paraId="3D4D8185" w14:textId="77777777" w:rsidTr="00963F82">
        <w:tc>
          <w:tcPr>
            <w:tcW w:w="3095" w:type="dxa"/>
          </w:tcPr>
          <w:p w14:paraId="7CAAE0ED" w14:textId="77777777" w:rsidR="001B3618" w:rsidRPr="00BC0E7E" w:rsidRDefault="00944B8F" w:rsidP="00963F82">
            <w:pPr>
              <w:keepNext/>
              <w:numPr>
                <w:ilvl w:val="12"/>
                <w:numId w:val="0"/>
              </w:numPr>
              <w:ind w:right="-2"/>
            </w:pPr>
            <w:r w:rsidRPr="00BC0E7E">
              <w:rPr>
                <w:b/>
              </w:rPr>
              <w:t>Age or body weight</w:t>
            </w:r>
          </w:p>
        </w:tc>
        <w:tc>
          <w:tcPr>
            <w:tcW w:w="3096" w:type="dxa"/>
          </w:tcPr>
          <w:p w14:paraId="4283ECFE" w14:textId="77777777" w:rsidR="001B3618" w:rsidRPr="00BC0E7E" w:rsidRDefault="00944B8F" w:rsidP="00963F82">
            <w:pPr>
              <w:keepNext/>
              <w:numPr>
                <w:ilvl w:val="12"/>
                <w:numId w:val="0"/>
              </w:numPr>
              <w:ind w:right="-2"/>
            </w:pPr>
            <w:r w:rsidRPr="00BC0E7E">
              <w:rPr>
                <w:b/>
              </w:rPr>
              <w:t>How much and how often to take?</w:t>
            </w:r>
          </w:p>
        </w:tc>
        <w:tc>
          <w:tcPr>
            <w:tcW w:w="3096" w:type="dxa"/>
          </w:tcPr>
          <w:p w14:paraId="5A27A0B7" w14:textId="77777777" w:rsidR="001B3618" w:rsidRPr="00BC0E7E" w:rsidRDefault="00944B8F" w:rsidP="00963F82">
            <w:pPr>
              <w:keepNext/>
              <w:numPr>
                <w:ilvl w:val="12"/>
                <w:numId w:val="0"/>
              </w:numPr>
              <w:ind w:right="-2"/>
            </w:pPr>
            <w:r w:rsidRPr="00BC0E7E">
              <w:rPr>
                <w:b/>
              </w:rPr>
              <w:t>Notes</w:t>
            </w:r>
          </w:p>
        </w:tc>
      </w:tr>
      <w:tr w:rsidR="00C6578C" w14:paraId="00D18837" w14:textId="77777777" w:rsidTr="00963F82">
        <w:tc>
          <w:tcPr>
            <w:tcW w:w="3095" w:type="dxa"/>
          </w:tcPr>
          <w:p w14:paraId="616E9A84" w14:textId="77777777" w:rsidR="001B3618" w:rsidRPr="00BC0E7E" w:rsidRDefault="00944B8F" w:rsidP="00963F82">
            <w:pPr>
              <w:keepNext/>
              <w:numPr>
                <w:ilvl w:val="12"/>
                <w:numId w:val="0"/>
              </w:numPr>
              <w:ind w:right="-2"/>
            </w:pPr>
            <w:r w:rsidRPr="00BC0E7E">
              <w:t xml:space="preserve">Adults </w:t>
            </w:r>
          </w:p>
        </w:tc>
        <w:tc>
          <w:tcPr>
            <w:tcW w:w="3096" w:type="dxa"/>
          </w:tcPr>
          <w:p w14:paraId="6B2A9391" w14:textId="77777777" w:rsidR="001B3618" w:rsidRPr="00BC0E7E" w:rsidRDefault="00944B8F" w:rsidP="00963F82">
            <w:pPr>
              <w:keepNext/>
              <w:numPr>
                <w:ilvl w:val="12"/>
                <w:numId w:val="0"/>
              </w:numPr>
              <w:ind w:right="-2"/>
            </w:pPr>
            <w:r w:rsidRPr="00BC0E7E">
              <w:t>40 mg every other week</w:t>
            </w:r>
          </w:p>
        </w:tc>
        <w:tc>
          <w:tcPr>
            <w:tcW w:w="3096" w:type="dxa"/>
          </w:tcPr>
          <w:p w14:paraId="5B6C04CE" w14:textId="77777777" w:rsidR="001B3618" w:rsidRDefault="00944B8F" w:rsidP="00963F82">
            <w:pPr>
              <w:keepNext/>
            </w:pPr>
            <w:r w:rsidRPr="00BC0E7E">
              <w:t>In rheumatoid arthritis, methotrexate is continued while using Humira. If your doctor decides that methotrexate is inappropriate, Humira can be given alone.</w:t>
            </w:r>
          </w:p>
          <w:p w14:paraId="5A0138AA" w14:textId="77777777" w:rsidR="001B3618" w:rsidRPr="00BC0E7E" w:rsidRDefault="001B3618" w:rsidP="00963F82">
            <w:pPr>
              <w:keepNext/>
            </w:pPr>
          </w:p>
          <w:p w14:paraId="7BE7A5D3" w14:textId="77777777" w:rsidR="001B3618" w:rsidRPr="00BC0E7E" w:rsidRDefault="00944B8F" w:rsidP="00963F82">
            <w:pPr>
              <w:keepNext/>
              <w:numPr>
                <w:ilvl w:val="12"/>
                <w:numId w:val="0"/>
              </w:numPr>
              <w:ind w:right="-2"/>
            </w:pPr>
            <w:r w:rsidRPr="00BC0E7E">
              <w:t>If you have rheumatoid arthritis and you do not receive methotrexate with your Humira therapy, your doctor may decide to give Humira 40 mg every week</w:t>
            </w:r>
            <w:r>
              <w:t xml:space="preserve"> or 80 mg every other week</w:t>
            </w:r>
            <w:r w:rsidRPr="00BC0E7E">
              <w:t xml:space="preserve">. </w:t>
            </w:r>
          </w:p>
        </w:tc>
      </w:tr>
    </w:tbl>
    <w:p w14:paraId="01636380" w14:textId="77777777" w:rsidR="00B20858" w:rsidRPr="00BC0E7E" w:rsidRDefault="00B20858" w:rsidP="00BC0E7E">
      <w:pPr>
        <w:numPr>
          <w:ilvl w:val="12"/>
          <w:numId w:val="0"/>
        </w:numPr>
        <w:tabs>
          <w:tab w:val="clear" w:pos="562"/>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0607A397" w14:textId="77777777" w:rsidTr="00171601">
        <w:tc>
          <w:tcPr>
            <w:tcW w:w="9287" w:type="dxa"/>
            <w:gridSpan w:val="3"/>
          </w:tcPr>
          <w:p w14:paraId="5CECDDD9" w14:textId="77777777" w:rsidR="00BC0E7E" w:rsidRPr="00BC0E7E" w:rsidRDefault="00944B8F" w:rsidP="00BC0E7E">
            <w:pPr>
              <w:numPr>
                <w:ilvl w:val="12"/>
                <w:numId w:val="0"/>
              </w:numPr>
              <w:tabs>
                <w:tab w:val="clear" w:pos="562"/>
              </w:tabs>
              <w:ind w:right="-2"/>
            </w:pPr>
            <w:r w:rsidRPr="00BC0E7E">
              <w:rPr>
                <w:b/>
              </w:rPr>
              <w:t>Plaque psoriasis</w:t>
            </w:r>
          </w:p>
        </w:tc>
      </w:tr>
      <w:tr w:rsidR="00C6578C" w14:paraId="7074461A" w14:textId="77777777" w:rsidTr="00171601">
        <w:tc>
          <w:tcPr>
            <w:tcW w:w="3095" w:type="dxa"/>
          </w:tcPr>
          <w:p w14:paraId="6E1B833D" w14:textId="77777777" w:rsidR="00BC0E7E" w:rsidRPr="00BC0E7E" w:rsidRDefault="00944B8F" w:rsidP="00BC0E7E">
            <w:pPr>
              <w:numPr>
                <w:ilvl w:val="12"/>
                <w:numId w:val="0"/>
              </w:numPr>
              <w:tabs>
                <w:tab w:val="clear" w:pos="562"/>
              </w:tabs>
              <w:ind w:right="-2"/>
            </w:pPr>
            <w:r w:rsidRPr="00BC0E7E">
              <w:rPr>
                <w:b/>
              </w:rPr>
              <w:t>Age or body weight</w:t>
            </w:r>
          </w:p>
        </w:tc>
        <w:tc>
          <w:tcPr>
            <w:tcW w:w="3096" w:type="dxa"/>
          </w:tcPr>
          <w:p w14:paraId="30869B85" w14:textId="77777777" w:rsidR="00BC0E7E" w:rsidRPr="00BC0E7E" w:rsidRDefault="00944B8F" w:rsidP="00BC0E7E">
            <w:pPr>
              <w:numPr>
                <w:ilvl w:val="12"/>
                <w:numId w:val="0"/>
              </w:numPr>
              <w:tabs>
                <w:tab w:val="clear" w:pos="562"/>
              </w:tabs>
              <w:ind w:right="-2"/>
            </w:pPr>
            <w:r w:rsidRPr="00BC0E7E">
              <w:rPr>
                <w:b/>
              </w:rPr>
              <w:t>How much and how often to take?</w:t>
            </w:r>
          </w:p>
        </w:tc>
        <w:tc>
          <w:tcPr>
            <w:tcW w:w="3096" w:type="dxa"/>
          </w:tcPr>
          <w:p w14:paraId="37090792" w14:textId="77777777" w:rsidR="00BC0E7E" w:rsidRPr="00BC0E7E" w:rsidRDefault="00944B8F" w:rsidP="00BC0E7E">
            <w:pPr>
              <w:numPr>
                <w:ilvl w:val="12"/>
                <w:numId w:val="0"/>
              </w:numPr>
              <w:tabs>
                <w:tab w:val="clear" w:pos="562"/>
              </w:tabs>
              <w:ind w:right="-2"/>
            </w:pPr>
            <w:r w:rsidRPr="00BC0E7E">
              <w:rPr>
                <w:b/>
              </w:rPr>
              <w:t>Notes</w:t>
            </w:r>
          </w:p>
        </w:tc>
      </w:tr>
      <w:tr w:rsidR="00C6578C" w14:paraId="58BEFB3A" w14:textId="77777777" w:rsidTr="00171601">
        <w:tc>
          <w:tcPr>
            <w:tcW w:w="3095" w:type="dxa"/>
          </w:tcPr>
          <w:p w14:paraId="37B23A06" w14:textId="77777777" w:rsidR="00BC0E7E" w:rsidRPr="00BC0E7E" w:rsidRDefault="00944B8F" w:rsidP="00BC0E7E">
            <w:pPr>
              <w:numPr>
                <w:ilvl w:val="12"/>
                <w:numId w:val="0"/>
              </w:numPr>
              <w:tabs>
                <w:tab w:val="clear" w:pos="562"/>
              </w:tabs>
              <w:ind w:right="-2"/>
            </w:pPr>
            <w:r w:rsidRPr="00BC0E7E">
              <w:t>Adults</w:t>
            </w:r>
          </w:p>
          <w:p w14:paraId="4B68C548" w14:textId="77777777" w:rsidR="00BC0E7E" w:rsidRPr="00BC0E7E" w:rsidRDefault="00BC0E7E" w:rsidP="00BC0E7E">
            <w:pPr>
              <w:numPr>
                <w:ilvl w:val="12"/>
                <w:numId w:val="0"/>
              </w:numPr>
              <w:tabs>
                <w:tab w:val="clear" w:pos="562"/>
              </w:tabs>
              <w:ind w:right="-2"/>
            </w:pPr>
          </w:p>
        </w:tc>
        <w:tc>
          <w:tcPr>
            <w:tcW w:w="3096" w:type="dxa"/>
          </w:tcPr>
          <w:p w14:paraId="0D65317A" w14:textId="77777777" w:rsidR="00BC0E7E" w:rsidRPr="00BC0E7E" w:rsidRDefault="00944B8F" w:rsidP="00BC0E7E">
            <w:pPr>
              <w:numPr>
                <w:ilvl w:val="12"/>
                <w:numId w:val="0"/>
              </w:numPr>
              <w:tabs>
                <w:tab w:val="clear" w:pos="562"/>
              </w:tabs>
            </w:pPr>
            <w:r w:rsidRPr="00BC0E7E">
              <w:t>First dose of 80 mg (one 80 mg injection), followed by 40 mg every other week starting one week after the first dose.</w:t>
            </w:r>
          </w:p>
        </w:tc>
        <w:tc>
          <w:tcPr>
            <w:tcW w:w="3096" w:type="dxa"/>
          </w:tcPr>
          <w:p w14:paraId="7E27D262" w14:textId="77777777" w:rsidR="00BC0E7E" w:rsidRPr="00BC0E7E" w:rsidRDefault="00944B8F" w:rsidP="002B0A6C">
            <w:r w:rsidRPr="00BC0E7E">
              <w:t>If you have an inadequate response, your doctor may increase the dos</w:t>
            </w:r>
            <w:r w:rsidR="002B0A6C">
              <w:t>ag</w:t>
            </w:r>
            <w:r w:rsidRPr="00BC0E7E">
              <w:t>e to 40 mg every week</w:t>
            </w:r>
            <w:r w:rsidR="002B0A6C">
              <w:t xml:space="preserve"> or 80 mg every other week</w:t>
            </w:r>
            <w:r w:rsidRPr="00BC0E7E">
              <w:t>.</w:t>
            </w:r>
          </w:p>
        </w:tc>
      </w:tr>
    </w:tbl>
    <w:p w14:paraId="31B8C334" w14:textId="77777777" w:rsidR="00BC0E7E" w:rsidRPr="00BC0E7E" w:rsidRDefault="00BC0E7E" w:rsidP="00BC0E7E">
      <w:pPr>
        <w:numPr>
          <w:ilvl w:val="12"/>
          <w:numId w:val="0"/>
        </w:numPr>
        <w:tabs>
          <w:tab w:val="clear" w:pos="562"/>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6D11D441" w14:textId="77777777" w:rsidTr="00171601">
        <w:tc>
          <w:tcPr>
            <w:tcW w:w="9287" w:type="dxa"/>
            <w:gridSpan w:val="3"/>
          </w:tcPr>
          <w:p w14:paraId="18256148" w14:textId="77777777" w:rsidR="00BC0E7E" w:rsidRPr="00BC0E7E" w:rsidRDefault="00944B8F" w:rsidP="001E382C">
            <w:pPr>
              <w:keepNext/>
              <w:numPr>
                <w:ilvl w:val="12"/>
                <w:numId w:val="0"/>
              </w:numPr>
              <w:tabs>
                <w:tab w:val="clear" w:pos="562"/>
              </w:tabs>
              <w:ind w:right="-2"/>
              <w:rPr>
                <w:b/>
              </w:rPr>
            </w:pPr>
            <w:r w:rsidRPr="00BC0E7E">
              <w:rPr>
                <w:b/>
              </w:rPr>
              <w:lastRenderedPageBreak/>
              <w:t>Hidradenitis suppurativa</w:t>
            </w:r>
          </w:p>
        </w:tc>
      </w:tr>
      <w:tr w:rsidR="00C6578C" w14:paraId="7E049326" w14:textId="77777777" w:rsidTr="00171601">
        <w:tc>
          <w:tcPr>
            <w:tcW w:w="3095" w:type="dxa"/>
          </w:tcPr>
          <w:p w14:paraId="6008BE4B" w14:textId="77777777" w:rsidR="00BC0E7E" w:rsidRPr="00BC0E7E" w:rsidRDefault="00944B8F" w:rsidP="001E382C">
            <w:pPr>
              <w:keepNext/>
              <w:numPr>
                <w:ilvl w:val="12"/>
                <w:numId w:val="0"/>
              </w:numPr>
              <w:tabs>
                <w:tab w:val="clear" w:pos="562"/>
              </w:tabs>
              <w:ind w:right="-2"/>
            </w:pPr>
            <w:r w:rsidRPr="00BC0E7E">
              <w:rPr>
                <w:b/>
              </w:rPr>
              <w:t>Age or body weight</w:t>
            </w:r>
          </w:p>
        </w:tc>
        <w:tc>
          <w:tcPr>
            <w:tcW w:w="3096" w:type="dxa"/>
          </w:tcPr>
          <w:p w14:paraId="4A7926AD" w14:textId="77777777" w:rsidR="00BC0E7E" w:rsidRPr="00BC0E7E" w:rsidRDefault="00944B8F" w:rsidP="001E382C">
            <w:pPr>
              <w:keepNext/>
              <w:numPr>
                <w:ilvl w:val="12"/>
                <w:numId w:val="0"/>
              </w:numPr>
              <w:tabs>
                <w:tab w:val="clear" w:pos="562"/>
              </w:tabs>
              <w:ind w:right="-2"/>
            </w:pPr>
            <w:r w:rsidRPr="00BC0E7E">
              <w:rPr>
                <w:b/>
              </w:rPr>
              <w:t>How much and how often to take?</w:t>
            </w:r>
          </w:p>
        </w:tc>
        <w:tc>
          <w:tcPr>
            <w:tcW w:w="3096" w:type="dxa"/>
          </w:tcPr>
          <w:p w14:paraId="24CD961D" w14:textId="77777777" w:rsidR="00BC0E7E" w:rsidRPr="00BC0E7E" w:rsidRDefault="00944B8F" w:rsidP="001E382C">
            <w:pPr>
              <w:keepNext/>
              <w:numPr>
                <w:ilvl w:val="12"/>
                <w:numId w:val="0"/>
              </w:numPr>
              <w:tabs>
                <w:tab w:val="clear" w:pos="562"/>
              </w:tabs>
              <w:ind w:right="-2"/>
            </w:pPr>
            <w:r w:rsidRPr="00BC0E7E">
              <w:rPr>
                <w:b/>
              </w:rPr>
              <w:t>Notes</w:t>
            </w:r>
          </w:p>
        </w:tc>
      </w:tr>
      <w:tr w:rsidR="00C6578C" w14:paraId="6EAFD05D" w14:textId="77777777" w:rsidTr="00171601">
        <w:tc>
          <w:tcPr>
            <w:tcW w:w="3095" w:type="dxa"/>
          </w:tcPr>
          <w:p w14:paraId="108E16FD" w14:textId="77777777" w:rsidR="00BC0E7E" w:rsidRPr="00BC0E7E" w:rsidRDefault="00944B8F" w:rsidP="001E382C">
            <w:pPr>
              <w:keepNext/>
              <w:numPr>
                <w:ilvl w:val="12"/>
                <w:numId w:val="0"/>
              </w:numPr>
              <w:tabs>
                <w:tab w:val="clear" w:pos="562"/>
              </w:tabs>
              <w:ind w:right="-2"/>
            </w:pPr>
            <w:r w:rsidRPr="00BC0E7E">
              <w:t>Adults</w:t>
            </w:r>
          </w:p>
        </w:tc>
        <w:tc>
          <w:tcPr>
            <w:tcW w:w="3096" w:type="dxa"/>
          </w:tcPr>
          <w:p w14:paraId="361496E4" w14:textId="77777777" w:rsidR="00BC0E7E" w:rsidRPr="00BC0E7E" w:rsidRDefault="00944B8F" w:rsidP="001E382C">
            <w:pPr>
              <w:keepNext/>
              <w:numPr>
                <w:ilvl w:val="12"/>
                <w:numId w:val="0"/>
              </w:numPr>
              <w:tabs>
                <w:tab w:val="clear" w:pos="562"/>
              </w:tabs>
              <w:ind w:right="-2"/>
            </w:pPr>
            <w:r w:rsidRPr="00BC0E7E">
              <w:rPr>
                <w:szCs w:val="22"/>
              </w:rPr>
              <w:t>First dose of 160 mg (two 80 mg injections in one day or one 80 mg injection per day for two consecutive days), followed by an 80 mg dose (one 80 mg injection) two weeks later. After two further weeks, continue with a dose of 40 mg every week</w:t>
            </w:r>
            <w:r w:rsidR="006D4821">
              <w:rPr>
                <w:szCs w:val="22"/>
              </w:rPr>
              <w:t xml:space="preserve"> or 80 mg every other week</w:t>
            </w:r>
            <w:r w:rsidR="004B493B">
              <w:rPr>
                <w:szCs w:val="22"/>
              </w:rPr>
              <w:t>, as prescribed by your doctor</w:t>
            </w:r>
            <w:r w:rsidRPr="00BC0E7E">
              <w:rPr>
                <w:szCs w:val="22"/>
              </w:rPr>
              <w:t xml:space="preserve">.  </w:t>
            </w:r>
          </w:p>
        </w:tc>
        <w:tc>
          <w:tcPr>
            <w:tcW w:w="3096" w:type="dxa"/>
          </w:tcPr>
          <w:p w14:paraId="4EED7E65" w14:textId="77777777" w:rsidR="00BC0E7E" w:rsidRPr="00BC0E7E" w:rsidRDefault="00944B8F" w:rsidP="001E382C">
            <w:pPr>
              <w:keepNext/>
              <w:tabs>
                <w:tab w:val="clear" w:pos="562"/>
              </w:tabs>
              <w:suppressAutoHyphens w:val="0"/>
              <w:rPr>
                <w:szCs w:val="22"/>
              </w:rPr>
            </w:pPr>
            <w:r w:rsidRPr="00BC0E7E">
              <w:rPr>
                <w:szCs w:val="22"/>
              </w:rPr>
              <w:t>It is recommended that you use an antiseptic wash daily on the affected areas.</w:t>
            </w:r>
          </w:p>
          <w:p w14:paraId="0816D32B" w14:textId="77777777" w:rsidR="00BC0E7E" w:rsidRPr="00BC0E7E" w:rsidRDefault="00BC0E7E" w:rsidP="001E382C">
            <w:pPr>
              <w:keepNext/>
              <w:numPr>
                <w:ilvl w:val="12"/>
                <w:numId w:val="0"/>
              </w:numPr>
              <w:tabs>
                <w:tab w:val="clear" w:pos="562"/>
              </w:tabs>
              <w:ind w:right="-2"/>
            </w:pPr>
          </w:p>
        </w:tc>
      </w:tr>
      <w:tr w:rsidR="00C6578C" w14:paraId="3411C6BB" w14:textId="77777777" w:rsidTr="00171601">
        <w:tc>
          <w:tcPr>
            <w:tcW w:w="3095" w:type="dxa"/>
          </w:tcPr>
          <w:p w14:paraId="69D98561" w14:textId="77777777" w:rsidR="00BC0E7E" w:rsidRPr="00BC0E7E" w:rsidRDefault="00944B8F" w:rsidP="00B74112">
            <w:pPr>
              <w:keepNext/>
              <w:numPr>
                <w:ilvl w:val="12"/>
                <w:numId w:val="0"/>
              </w:numPr>
              <w:tabs>
                <w:tab w:val="clear" w:pos="562"/>
              </w:tabs>
              <w:ind w:right="-2"/>
            </w:pPr>
            <w:r w:rsidRPr="00BC0E7E">
              <w:rPr>
                <w:szCs w:val="22"/>
              </w:rPr>
              <w:t xml:space="preserve">Adolescents from 12 </w:t>
            </w:r>
            <w:r w:rsidR="00B74112">
              <w:rPr>
                <w:szCs w:val="22"/>
              </w:rPr>
              <w:t xml:space="preserve">to 17 </w:t>
            </w:r>
            <w:r w:rsidRPr="00BC0E7E">
              <w:rPr>
                <w:szCs w:val="22"/>
              </w:rPr>
              <w:t>years of age weighing 30 kg</w:t>
            </w:r>
            <w:r w:rsidR="00B74112">
              <w:rPr>
                <w:szCs w:val="22"/>
              </w:rPr>
              <w:t xml:space="preserve"> or more</w:t>
            </w:r>
          </w:p>
        </w:tc>
        <w:tc>
          <w:tcPr>
            <w:tcW w:w="3096" w:type="dxa"/>
          </w:tcPr>
          <w:p w14:paraId="58DED558" w14:textId="77777777" w:rsidR="00BC0E7E" w:rsidRPr="00BC0E7E" w:rsidRDefault="00944B8F" w:rsidP="00BC0E7E">
            <w:pPr>
              <w:keepNext/>
              <w:numPr>
                <w:ilvl w:val="12"/>
                <w:numId w:val="0"/>
              </w:numPr>
              <w:tabs>
                <w:tab w:val="clear" w:pos="562"/>
              </w:tabs>
              <w:ind w:right="-2"/>
              <w:rPr>
                <w:szCs w:val="22"/>
              </w:rPr>
            </w:pPr>
            <w:r w:rsidRPr="00BC0E7E">
              <w:rPr>
                <w:szCs w:val="22"/>
              </w:rPr>
              <w:t xml:space="preserve">First dose of 80 mg (one 80 mg injection), followed by 40 mg every other week starting one week later.  </w:t>
            </w:r>
          </w:p>
        </w:tc>
        <w:tc>
          <w:tcPr>
            <w:tcW w:w="3096" w:type="dxa"/>
          </w:tcPr>
          <w:p w14:paraId="77AB7B84" w14:textId="77777777" w:rsidR="00BC0E7E" w:rsidRPr="00BC0E7E" w:rsidRDefault="00944B8F" w:rsidP="00BC0E7E">
            <w:pPr>
              <w:keepNext/>
              <w:tabs>
                <w:tab w:val="clear" w:pos="562"/>
              </w:tabs>
              <w:suppressAutoHyphens w:val="0"/>
              <w:rPr>
                <w:szCs w:val="22"/>
              </w:rPr>
            </w:pPr>
            <w:r w:rsidRPr="00BC0E7E">
              <w:rPr>
                <w:szCs w:val="22"/>
              </w:rPr>
              <w:t>If you have an inadequate response</w:t>
            </w:r>
            <w:r w:rsidR="006D4821">
              <w:rPr>
                <w:szCs w:val="22"/>
              </w:rPr>
              <w:t xml:space="preserve"> to Humira 40 mg every other week</w:t>
            </w:r>
            <w:r w:rsidRPr="00BC0E7E">
              <w:rPr>
                <w:szCs w:val="22"/>
              </w:rPr>
              <w:t>, your doctor may increase the dos</w:t>
            </w:r>
            <w:r w:rsidR="006D4821">
              <w:rPr>
                <w:szCs w:val="22"/>
              </w:rPr>
              <w:t>ag</w:t>
            </w:r>
            <w:r w:rsidRPr="00BC0E7E">
              <w:rPr>
                <w:szCs w:val="22"/>
              </w:rPr>
              <w:t>e to 40 mg every week</w:t>
            </w:r>
            <w:r w:rsidR="006D4821">
              <w:rPr>
                <w:szCs w:val="22"/>
              </w:rPr>
              <w:t xml:space="preserve"> or 80 mg every other week.</w:t>
            </w:r>
            <w:r w:rsidRPr="00BC0E7E">
              <w:rPr>
                <w:szCs w:val="22"/>
              </w:rPr>
              <w:t xml:space="preserve"> </w:t>
            </w:r>
          </w:p>
          <w:p w14:paraId="08AE5C09" w14:textId="77777777" w:rsidR="00BC0E7E" w:rsidRPr="00BC0E7E" w:rsidRDefault="00BC0E7E" w:rsidP="00BC0E7E">
            <w:pPr>
              <w:keepNext/>
              <w:tabs>
                <w:tab w:val="clear" w:pos="562"/>
              </w:tabs>
              <w:suppressAutoHyphens w:val="0"/>
              <w:rPr>
                <w:szCs w:val="22"/>
              </w:rPr>
            </w:pPr>
          </w:p>
          <w:p w14:paraId="240D7A19" w14:textId="77777777" w:rsidR="00BC0E7E" w:rsidRPr="00BC0E7E" w:rsidRDefault="00944B8F" w:rsidP="00BC0E7E">
            <w:pPr>
              <w:keepNext/>
              <w:tabs>
                <w:tab w:val="clear" w:pos="562"/>
              </w:tabs>
              <w:suppressAutoHyphens w:val="0"/>
              <w:rPr>
                <w:szCs w:val="22"/>
              </w:rPr>
            </w:pPr>
            <w:r w:rsidRPr="00BC0E7E">
              <w:rPr>
                <w:szCs w:val="22"/>
              </w:rPr>
              <w:t>It is recommended that you use an antiseptic wash daily on the affected areas.</w:t>
            </w:r>
          </w:p>
        </w:tc>
      </w:tr>
    </w:tbl>
    <w:p w14:paraId="2901CFDF" w14:textId="77777777" w:rsidR="00BC0E7E" w:rsidRPr="00BC0E7E" w:rsidRDefault="00BC0E7E" w:rsidP="00BC0E7E">
      <w:pPr>
        <w:numPr>
          <w:ilvl w:val="12"/>
          <w:numId w:val="0"/>
        </w:numPr>
        <w:tabs>
          <w:tab w:val="clear" w:pos="562"/>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5197E046" w14:textId="77777777" w:rsidTr="00171601">
        <w:tc>
          <w:tcPr>
            <w:tcW w:w="9287" w:type="dxa"/>
            <w:gridSpan w:val="3"/>
          </w:tcPr>
          <w:p w14:paraId="459072FB" w14:textId="77777777" w:rsidR="00BC0E7E" w:rsidRPr="00BC0E7E" w:rsidRDefault="00944B8F" w:rsidP="00BC0E7E">
            <w:pPr>
              <w:numPr>
                <w:ilvl w:val="12"/>
                <w:numId w:val="0"/>
              </w:numPr>
              <w:tabs>
                <w:tab w:val="clear" w:pos="562"/>
              </w:tabs>
              <w:ind w:right="-2"/>
            </w:pPr>
            <w:r w:rsidRPr="00BC0E7E">
              <w:rPr>
                <w:b/>
              </w:rPr>
              <w:t>Crohn’s disease</w:t>
            </w:r>
          </w:p>
        </w:tc>
      </w:tr>
      <w:tr w:rsidR="00C6578C" w14:paraId="4A5404E8" w14:textId="77777777" w:rsidTr="00171601">
        <w:tc>
          <w:tcPr>
            <w:tcW w:w="3095" w:type="dxa"/>
          </w:tcPr>
          <w:p w14:paraId="4A83B625" w14:textId="77777777" w:rsidR="00BC0E7E" w:rsidRPr="00BC0E7E" w:rsidRDefault="00944B8F" w:rsidP="00BC0E7E">
            <w:pPr>
              <w:numPr>
                <w:ilvl w:val="12"/>
                <w:numId w:val="0"/>
              </w:numPr>
              <w:tabs>
                <w:tab w:val="clear" w:pos="562"/>
              </w:tabs>
              <w:ind w:right="-2"/>
            </w:pPr>
            <w:r w:rsidRPr="00BC0E7E">
              <w:rPr>
                <w:b/>
              </w:rPr>
              <w:t>Age or body weight</w:t>
            </w:r>
          </w:p>
        </w:tc>
        <w:tc>
          <w:tcPr>
            <w:tcW w:w="3096" w:type="dxa"/>
          </w:tcPr>
          <w:p w14:paraId="39EF85AE" w14:textId="77777777" w:rsidR="00BC0E7E" w:rsidRPr="00BC0E7E" w:rsidRDefault="00944B8F" w:rsidP="00BC0E7E">
            <w:pPr>
              <w:numPr>
                <w:ilvl w:val="12"/>
                <w:numId w:val="0"/>
              </w:numPr>
              <w:tabs>
                <w:tab w:val="clear" w:pos="562"/>
              </w:tabs>
              <w:ind w:right="-2"/>
            </w:pPr>
            <w:r w:rsidRPr="00BC0E7E">
              <w:rPr>
                <w:b/>
              </w:rPr>
              <w:t>How much and how often to take?</w:t>
            </w:r>
          </w:p>
        </w:tc>
        <w:tc>
          <w:tcPr>
            <w:tcW w:w="3096" w:type="dxa"/>
          </w:tcPr>
          <w:p w14:paraId="34E82EB1" w14:textId="77777777" w:rsidR="00BC0E7E" w:rsidRPr="00BC0E7E" w:rsidRDefault="00944B8F" w:rsidP="00BC0E7E">
            <w:pPr>
              <w:numPr>
                <w:ilvl w:val="12"/>
                <w:numId w:val="0"/>
              </w:numPr>
              <w:tabs>
                <w:tab w:val="clear" w:pos="562"/>
              </w:tabs>
              <w:ind w:right="-2"/>
            </w:pPr>
            <w:r w:rsidRPr="00BC0E7E">
              <w:rPr>
                <w:b/>
              </w:rPr>
              <w:t>Notes</w:t>
            </w:r>
          </w:p>
        </w:tc>
      </w:tr>
      <w:tr w:rsidR="00C6578C" w14:paraId="58D22C17" w14:textId="77777777" w:rsidTr="00171601">
        <w:tc>
          <w:tcPr>
            <w:tcW w:w="3095" w:type="dxa"/>
          </w:tcPr>
          <w:p w14:paraId="144D127F" w14:textId="77777777" w:rsidR="00BC0E7E" w:rsidRPr="00BC0E7E" w:rsidRDefault="00944B8F" w:rsidP="009F71C2">
            <w:pPr>
              <w:numPr>
                <w:ilvl w:val="12"/>
                <w:numId w:val="0"/>
              </w:numPr>
              <w:tabs>
                <w:tab w:val="clear" w:pos="562"/>
              </w:tabs>
              <w:ind w:right="-2"/>
            </w:pPr>
            <w:r w:rsidRPr="00BC0E7E">
              <w:t>Children</w:t>
            </w:r>
            <w:r w:rsidR="00B74112">
              <w:t>,</w:t>
            </w:r>
            <w:r w:rsidRPr="00BC0E7E">
              <w:t xml:space="preserve"> adolescents </w:t>
            </w:r>
            <w:r w:rsidR="00B74112">
              <w:t xml:space="preserve">and adults </w:t>
            </w:r>
            <w:r w:rsidRPr="00BC0E7E">
              <w:t>from 6 years of age weighing 40 kg or more</w:t>
            </w:r>
          </w:p>
        </w:tc>
        <w:tc>
          <w:tcPr>
            <w:tcW w:w="3096" w:type="dxa"/>
          </w:tcPr>
          <w:p w14:paraId="6BCB6049" w14:textId="77777777" w:rsidR="00BC0E7E" w:rsidRPr="00BC0E7E" w:rsidRDefault="00944B8F" w:rsidP="009F71C2">
            <w:r w:rsidRPr="00BC0E7E">
              <w:t>First dose of 80 mg (one 80 mg injection), followed by 40 mg two weeks later.</w:t>
            </w:r>
          </w:p>
          <w:p w14:paraId="7439BBAA" w14:textId="77777777" w:rsidR="00BC0E7E" w:rsidRPr="00BC0E7E" w:rsidRDefault="00BC0E7E" w:rsidP="009F71C2"/>
          <w:p w14:paraId="65E15F5E" w14:textId="77777777" w:rsidR="00BC0E7E" w:rsidRPr="00BC0E7E" w:rsidRDefault="00944B8F" w:rsidP="009F71C2">
            <w:r w:rsidRPr="00BC0E7E">
              <w:t>If a faster response is required, the doctor may prescribe a first dose of 160 mg (two 80 mg injections in one day or one 80 mg injection per day for two consecutive days), followed by 80 mg (one 80 mg injection) two weeks later.</w:t>
            </w:r>
          </w:p>
          <w:p w14:paraId="121487AC" w14:textId="77777777" w:rsidR="00BC0E7E" w:rsidRPr="00BC0E7E" w:rsidRDefault="00BC0E7E" w:rsidP="009F71C2"/>
          <w:p w14:paraId="38A581E4" w14:textId="77777777" w:rsidR="00BC0E7E" w:rsidRPr="00BC0E7E" w:rsidRDefault="00944B8F" w:rsidP="009F71C2">
            <w:pPr>
              <w:numPr>
                <w:ilvl w:val="12"/>
                <w:numId w:val="0"/>
              </w:numPr>
              <w:tabs>
                <w:tab w:val="clear" w:pos="562"/>
              </w:tabs>
              <w:ind w:right="-2"/>
            </w:pPr>
            <w:r w:rsidRPr="00BC0E7E">
              <w:t>Thereafter, the usual dose is 40 mg every other week.</w:t>
            </w:r>
          </w:p>
        </w:tc>
        <w:tc>
          <w:tcPr>
            <w:tcW w:w="3096" w:type="dxa"/>
          </w:tcPr>
          <w:p w14:paraId="4074C857" w14:textId="77777777" w:rsidR="00BC0E7E" w:rsidRPr="00BC0E7E" w:rsidRDefault="00944B8F" w:rsidP="009F71C2">
            <w:r w:rsidRPr="00BC0E7E">
              <w:t>Your doctor may increase the dos</w:t>
            </w:r>
            <w:r w:rsidR="007240DC">
              <w:t>ag</w:t>
            </w:r>
            <w:r w:rsidRPr="00BC0E7E">
              <w:t>e to 40 mg every week</w:t>
            </w:r>
            <w:r w:rsidR="007240DC">
              <w:t xml:space="preserve"> or 80 mg every other week</w:t>
            </w:r>
            <w:r w:rsidRPr="00BC0E7E">
              <w:t>.</w:t>
            </w:r>
          </w:p>
          <w:p w14:paraId="5B369A81" w14:textId="77777777" w:rsidR="00BC0E7E" w:rsidRPr="00BC0E7E" w:rsidRDefault="00BC0E7E" w:rsidP="009F71C2"/>
        </w:tc>
      </w:tr>
      <w:tr w:rsidR="00C6578C" w14:paraId="23F9353D" w14:textId="77777777" w:rsidTr="00171601">
        <w:tc>
          <w:tcPr>
            <w:tcW w:w="3095" w:type="dxa"/>
          </w:tcPr>
          <w:p w14:paraId="11F25768" w14:textId="77777777" w:rsidR="00BC0E7E" w:rsidRPr="00BC0E7E" w:rsidRDefault="00944B8F" w:rsidP="009F71C2">
            <w:pPr>
              <w:keepNext/>
              <w:numPr>
                <w:ilvl w:val="12"/>
                <w:numId w:val="0"/>
              </w:numPr>
              <w:tabs>
                <w:tab w:val="clear" w:pos="562"/>
              </w:tabs>
              <w:ind w:right="-2"/>
            </w:pPr>
            <w:r w:rsidRPr="00BC0E7E">
              <w:lastRenderedPageBreak/>
              <w:t>Children and adolescents from 6</w:t>
            </w:r>
            <w:r w:rsidR="00B74112">
              <w:rPr>
                <w:szCs w:val="22"/>
              </w:rPr>
              <w:t xml:space="preserve"> to 17</w:t>
            </w:r>
            <w:r w:rsidRPr="00BC0E7E">
              <w:t xml:space="preserve"> years of age weighing less than 40 kg</w:t>
            </w:r>
          </w:p>
        </w:tc>
        <w:tc>
          <w:tcPr>
            <w:tcW w:w="3096" w:type="dxa"/>
          </w:tcPr>
          <w:p w14:paraId="190FFD96" w14:textId="77777777" w:rsidR="00BC0E7E" w:rsidRPr="00BC0E7E" w:rsidRDefault="00944B8F" w:rsidP="009F71C2">
            <w:pPr>
              <w:keepNext/>
            </w:pPr>
            <w:r w:rsidRPr="00BC0E7E">
              <w:t xml:space="preserve">First dose of 40 mg, followed by 20 mg two weeks later. </w:t>
            </w:r>
          </w:p>
          <w:p w14:paraId="15801DF0" w14:textId="77777777" w:rsidR="00BC0E7E" w:rsidRPr="00BC0E7E" w:rsidRDefault="00BC0E7E" w:rsidP="009F71C2">
            <w:pPr>
              <w:keepNext/>
            </w:pPr>
          </w:p>
          <w:p w14:paraId="6F094DBC" w14:textId="77777777" w:rsidR="00BC0E7E" w:rsidRPr="00BC0E7E" w:rsidRDefault="00944B8F" w:rsidP="009F71C2">
            <w:pPr>
              <w:keepNext/>
            </w:pPr>
            <w:r w:rsidRPr="00BC0E7E">
              <w:t>If a faster response is required, the doctor may prescribe a first dose of 80 mg (one 80 mg injection), followed by 40 mg two weeks later.</w:t>
            </w:r>
          </w:p>
          <w:p w14:paraId="52F8256C" w14:textId="77777777" w:rsidR="00BC0E7E" w:rsidRPr="00BC0E7E" w:rsidRDefault="00BC0E7E" w:rsidP="009F71C2">
            <w:pPr>
              <w:keepNext/>
            </w:pPr>
          </w:p>
          <w:p w14:paraId="14C09174" w14:textId="77777777" w:rsidR="00BC0E7E" w:rsidRPr="00BC0E7E" w:rsidRDefault="00944B8F" w:rsidP="009F71C2">
            <w:pPr>
              <w:keepNext/>
              <w:numPr>
                <w:ilvl w:val="12"/>
                <w:numId w:val="0"/>
              </w:numPr>
              <w:tabs>
                <w:tab w:val="clear" w:pos="562"/>
              </w:tabs>
              <w:ind w:right="-2"/>
            </w:pPr>
            <w:r w:rsidRPr="00BC0E7E">
              <w:t>Thereafter, the usual dose is 20 mg every other week.</w:t>
            </w:r>
          </w:p>
        </w:tc>
        <w:tc>
          <w:tcPr>
            <w:tcW w:w="3096" w:type="dxa"/>
          </w:tcPr>
          <w:p w14:paraId="3A98D43A" w14:textId="77777777" w:rsidR="00BC0E7E" w:rsidRPr="00BC0E7E" w:rsidRDefault="00944B8F" w:rsidP="009F71C2">
            <w:pPr>
              <w:keepNext/>
            </w:pPr>
            <w:r w:rsidRPr="00BC0E7E">
              <w:t>Your doctor may increase the dose frequency to 20 mg every week.</w:t>
            </w:r>
          </w:p>
          <w:p w14:paraId="14127AAF" w14:textId="77777777" w:rsidR="00BC0E7E" w:rsidRPr="00BC0E7E" w:rsidRDefault="00BC0E7E" w:rsidP="009F71C2">
            <w:pPr>
              <w:keepNext/>
              <w:numPr>
                <w:ilvl w:val="12"/>
                <w:numId w:val="0"/>
              </w:numPr>
              <w:tabs>
                <w:tab w:val="clear" w:pos="562"/>
              </w:tabs>
              <w:ind w:right="-2"/>
            </w:pPr>
          </w:p>
        </w:tc>
      </w:tr>
    </w:tbl>
    <w:p w14:paraId="2A7C1856" w14:textId="77777777" w:rsidR="00BC0E7E" w:rsidRPr="00BC0E7E" w:rsidRDefault="00BC0E7E" w:rsidP="00BC0E7E">
      <w:pPr>
        <w:numPr>
          <w:ilvl w:val="12"/>
          <w:numId w:val="0"/>
        </w:numPr>
        <w:tabs>
          <w:tab w:val="clear" w:pos="562"/>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26F7944B" w14:textId="77777777" w:rsidTr="00171601">
        <w:tc>
          <w:tcPr>
            <w:tcW w:w="9287" w:type="dxa"/>
            <w:gridSpan w:val="3"/>
          </w:tcPr>
          <w:p w14:paraId="75BE7767" w14:textId="77777777" w:rsidR="00BC0E7E" w:rsidRPr="00BC0E7E" w:rsidRDefault="00944B8F" w:rsidP="00BC0E7E">
            <w:pPr>
              <w:numPr>
                <w:ilvl w:val="12"/>
                <w:numId w:val="0"/>
              </w:numPr>
              <w:tabs>
                <w:tab w:val="clear" w:pos="562"/>
              </w:tabs>
              <w:ind w:right="-2"/>
              <w:rPr>
                <w:b/>
              </w:rPr>
            </w:pPr>
            <w:r w:rsidRPr="00BC0E7E">
              <w:rPr>
                <w:b/>
                <w:szCs w:val="22"/>
              </w:rPr>
              <w:t>Ulcerative colitis</w:t>
            </w:r>
          </w:p>
        </w:tc>
      </w:tr>
      <w:tr w:rsidR="00C6578C" w14:paraId="6D9E46C0" w14:textId="77777777" w:rsidTr="00171601">
        <w:tc>
          <w:tcPr>
            <w:tcW w:w="3095" w:type="dxa"/>
          </w:tcPr>
          <w:p w14:paraId="0300CE0D" w14:textId="77777777" w:rsidR="00BC0E7E" w:rsidRPr="00BC0E7E" w:rsidRDefault="00944B8F" w:rsidP="00BC0E7E">
            <w:pPr>
              <w:numPr>
                <w:ilvl w:val="12"/>
                <w:numId w:val="0"/>
              </w:numPr>
              <w:tabs>
                <w:tab w:val="clear" w:pos="562"/>
              </w:tabs>
              <w:ind w:right="-2"/>
            </w:pPr>
            <w:r w:rsidRPr="00BC0E7E">
              <w:rPr>
                <w:b/>
              </w:rPr>
              <w:t>Age or body weight</w:t>
            </w:r>
          </w:p>
        </w:tc>
        <w:tc>
          <w:tcPr>
            <w:tcW w:w="3096" w:type="dxa"/>
          </w:tcPr>
          <w:p w14:paraId="50ED832B" w14:textId="77777777" w:rsidR="00BC0E7E" w:rsidRPr="00BC0E7E" w:rsidRDefault="00944B8F" w:rsidP="00BC0E7E">
            <w:pPr>
              <w:numPr>
                <w:ilvl w:val="12"/>
                <w:numId w:val="0"/>
              </w:numPr>
              <w:tabs>
                <w:tab w:val="clear" w:pos="562"/>
              </w:tabs>
              <w:ind w:right="-2"/>
            </w:pPr>
            <w:r w:rsidRPr="00BC0E7E">
              <w:rPr>
                <w:b/>
              </w:rPr>
              <w:t>How much and how often to take?</w:t>
            </w:r>
          </w:p>
        </w:tc>
        <w:tc>
          <w:tcPr>
            <w:tcW w:w="3096" w:type="dxa"/>
          </w:tcPr>
          <w:p w14:paraId="42CDD62D" w14:textId="77777777" w:rsidR="00BC0E7E" w:rsidRPr="00BC0E7E" w:rsidRDefault="00944B8F" w:rsidP="00BC0E7E">
            <w:pPr>
              <w:numPr>
                <w:ilvl w:val="12"/>
                <w:numId w:val="0"/>
              </w:numPr>
              <w:tabs>
                <w:tab w:val="clear" w:pos="562"/>
              </w:tabs>
              <w:ind w:right="-2"/>
            </w:pPr>
            <w:r w:rsidRPr="00BC0E7E">
              <w:rPr>
                <w:b/>
              </w:rPr>
              <w:t>Notes</w:t>
            </w:r>
          </w:p>
        </w:tc>
      </w:tr>
      <w:tr w:rsidR="00C6578C" w14:paraId="05DA2352" w14:textId="77777777" w:rsidTr="00171601">
        <w:tc>
          <w:tcPr>
            <w:tcW w:w="3095" w:type="dxa"/>
          </w:tcPr>
          <w:p w14:paraId="6C0D1BC0" w14:textId="77777777" w:rsidR="00BC0E7E" w:rsidRPr="00BC0E7E" w:rsidRDefault="00944B8F" w:rsidP="00BC0E7E">
            <w:pPr>
              <w:numPr>
                <w:ilvl w:val="12"/>
                <w:numId w:val="0"/>
              </w:numPr>
              <w:tabs>
                <w:tab w:val="clear" w:pos="562"/>
              </w:tabs>
              <w:ind w:right="-2"/>
            </w:pPr>
            <w:r w:rsidRPr="00BC0E7E">
              <w:t>Adults</w:t>
            </w:r>
          </w:p>
        </w:tc>
        <w:tc>
          <w:tcPr>
            <w:tcW w:w="3096" w:type="dxa"/>
          </w:tcPr>
          <w:p w14:paraId="4DEE7316" w14:textId="77777777" w:rsidR="00BC0E7E" w:rsidRPr="00BC0E7E" w:rsidRDefault="00944B8F" w:rsidP="00BC0E7E">
            <w:pPr>
              <w:numPr>
                <w:ilvl w:val="12"/>
                <w:numId w:val="0"/>
              </w:numPr>
              <w:tabs>
                <w:tab w:val="clear" w:pos="562"/>
              </w:tabs>
            </w:pPr>
            <w:r w:rsidRPr="00BC0E7E">
              <w:t>First dose of 160 mg (two 80 mg injections in one day or one 80 mg injection per day for two consecutive days), followed by 80 mg (one 80 mg injection) two weeks later.</w:t>
            </w:r>
          </w:p>
          <w:p w14:paraId="4FC1E0D8" w14:textId="77777777" w:rsidR="00BC0E7E" w:rsidRPr="00BC0E7E" w:rsidRDefault="00BC0E7E" w:rsidP="00BC0E7E">
            <w:pPr>
              <w:numPr>
                <w:ilvl w:val="12"/>
                <w:numId w:val="0"/>
              </w:numPr>
              <w:tabs>
                <w:tab w:val="clear" w:pos="562"/>
              </w:tabs>
            </w:pPr>
          </w:p>
          <w:p w14:paraId="5BDB8DBE" w14:textId="77777777" w:rsidR="00BC0E7E" w:rsidRPr="00BC0E7E" w:rsidRDefault="00944B8F" w:rsidP="00BC0E7E">
            <w:pPr>
              <w:numPr>
                <w:ilvl w:val="12"/>
                <w:numId w:val="0"/>
              </w:numPr>
              <w:tabs>
                <w:tab w:val="clear" w:pos="562"/>
              </w:tabs>
            </w:pPr>
            <w:r w:rsidRPr="00BC0E7E">
              <w:t>Thereafter, the usual dose is 40 mg every other week.</w:t>
            </w:r>
          </w:p>
        </w:tc>
        <w:tc>
          <w:tcPr>
            <w:tcW w:w="3096" w:type="dxa"/>
          </w:tcPr>
          <w:p w14:paraId="10D9929C" w14:textId="77777777" w:rsidR="00BC0E7E" w:rsidRPr="00BC0E7E" w:rsidRDefault="00944B8F" w:rsidP="00EC44BE">
            <w:pPr>
              <w:numPr>
                <w:ilvl w:val="12"/>
                <w:numId w:val="0"/>
              </w:numPr>
              <w:tabs>
                <w:tab w:val="clear" w:pos="562"/>
              </w:tabs>
              <w:ind w:right="-2"/>
            </w:pPr>
            <w:r w:rsidRPr="00BC0E7E">
              <w:t>Your doctor may increase the dos</w:t>
            </w:r>
            <w:r w:rsidR="000D4F37">
              <w:t>ag</w:t>
            </w:r>
            <w:r w:rsidRPr="00BC0E7E">
              <w:t>e to 40 mg every week</w:t>
            </w:r>
            <w:r w:rsidR="000D4F37">
              <w:t xml:space="preserve"> or 80 mg every other week</w:t>
            </w:r>
            <w:r w:rsidRPr="00BC0E7E">
              <w:t>.</w:t>
            </w:r>
          </w:p>
        </w:tc>
      </w:tr>
      <w:tr w:rsidR="00C6578C" w14:paraId="033B0E82" w14:textId="77777777" w:rsidTr="00171601">
        <w:tc>
          <w:tcPr>
            <w:tcW w:w="3095" w:type="dxa"/>
          </w:tcPr>
          <w:p w14:paraId="1C89C08E" w14:textId="77777777" w:rsidR="00CD3FDA" w:rsidRPr="00BC0E7E" w:rsidRDefault="00944B8F" w:rsidP="00CD3FDA">
            <w:pPr>
              <w:numPr>
                <w:ilvl w:val="12"/>
                <w:numId w:val="0"/>
              </w:numPr>
              <w:tabs>
                <w:tab w:val="clear" w:pos="562"/>
              </w:tabs>
              <w:ind w:right="-2"/>
            </w:pPr>
            <w:r w:rsidRPr="005037B5">
              <w:t>Children</w:t>
            </w:r>
            <w:r w:rsidRPr="00BE5760">
              <w:t xml:space="preserve"> and adolescents from </w:t>
            </w:r>
            <w:r>
              <w:t>6</w:t>
            </w:r>
            <w:r w:rsidRPr="00BE5760">
              <w:t xml:space="preserve"> </w:t>
            </w:r>
            <w:r w:rsidRPr="006527B0">
              <w:t>years of age weighing less than 40 kg</w:t>
            </w:r>
          </w:p>
        </w:tc>
        <w:tc>
          <w:tcPr>
            <w:tcW w:w="3096" w:type="dxa"/>
          </w:tcPr>
          <w:p w14:paraId="6BACD12A" w14:textId="77777777" w:rsidR="00CD3FDA" w:rsidRPr="00BE5760" w:rsidRDefault="00944B8F" w:rsidP="00CD3FDA">
            <w:pPr>
              <w:numPr>
                <w:ilvl w:val="12"/>
                <w:numId w:val="0"/>
              </w:numPr>
              <w:tabs>
                <w:tab w:val="clear" w:pos="562"/>
              </w:tabs>
            </w:pPr>
            <w:r w:rsidRPr="00DA728B">
              <w:t>First dose of 80 mg</w:t>
            </w:r>
            <w:r w:rsidRPr="005037B5">
              <w:t xml:space="preserve"> (</w:t>
            </w:r>
            <w:r w:rsidR="00E90B11">
              <w:t>one 8</w:t>
            </w:r>
            <w:r>
              <w:t>0 mg injection</w:t>
            </w:r>
            <w:r w:rsidRPr="00BE5760">
              <w:t>), followed by 40 mg</w:t>
            </w:r>
            <w:r w:rsidR="003859F7">
              <w:t xml:space="preserve"> (one 40 mg injection)</w:t>
            </w:r>
            <w:r w:rsidRPr="00BE5760">
              <w:t xml:space="preserve"> two weeks later.</w:t>
            </w:r>
          </w:p>
          <w:p w14:paraId="5FE12055" w14:textId="77777777" w:rsidR="00CD3FDA" w:rsidRPr="00BE5760" w:rsidRDefault="00CD3FDA" w:rsidP="00CD3FDA">
            <w:pPr>
              <w:numPr>
                <w:ilvl w:val="12"/>
                <w:numId w:val="0"/>
              </w:numPr>
              <w:tabs>
                <w:tab w:val="clear" w:pos="562"/>
              </w:tabs>
            </w:pPr>
          </w:p>
          <w:p w14:paraId="5AA24241" w14:textId="77777777" w:rsidR="00CD3FDA" w:rsidRPr="00BC0E7E" w:rsidRDefault="00944B8F" w:rsidP="00CD3FDA">
            <w:pPr>
              <w:numPr>
                <w:ilvl w:val="12"/>
                <w:numId w:val="0"/>
              </w:numPr>
              <w:tabs>
                <w:tab w:val="clear" w:pos="562"/>
              </w:tabs>
            </w:pPr>
            <w:r w:rsidRPr="006527B0">
              <w:t>Thereafter, the usual dose is 40 mg ever</w:t>
            </w:r>
            <w:r>
              <w:t>y</w:t>
            </w:r>
            <w:r w:rsidRPr="006527B0">
              <w:t xml:space="preserve"> other week.</w:t>
            </w:r>
          </w:p>
        </w:tc>
        <w:tc>
          <w:tcPr>
            <w:tcW w:w="3096" w:type="dxa"/>
          </w:tcPr>
          <w:p w14:paraId="1DD4AE9A" w14:textId="77777777" w:rsidR="00CD3FDA" w:rsidRPr="00BC0E7E" w:rsidRDefault="00944B8F" w:rsidP="00CD3FDA">
            <w:pPr>
              <w:numPr>
                <w:ilvl w:val="12"/>
                <w:numId w:val="0"/>
              </w:numPr>
              <w:tabs>
                <w:tab w:val="clear" w:pos="562"/>
              </w:tabs>
              <w:ind w:right="-2"/>
            </w:pPr>
            <w:r w:rsidRPr="00DF2EE5">
              <w:t>You should continue taking Humira at your usual dose, even after turning 18 years of age.</w:t>
            </w:r>
          </w:p>
        </w:tc>
      </w:tr>
      <w:tr w:rsidR="00C6578C" w14:paraId="3CD4E799" w14:textId="77777777" w:rsidTr="00171601">
        <w:tc>
          <w:tcPr>
            <w:tcW w:w="3095" w:type="dxa"/>
          </w:tcPr>
          <w:p w14:paraId="0BA84C6C" w14:textId="77777777" w:rsidR="00CD3FDA" w:rsidRPr="005037B5" w:rsidRDefault="00944B8F" w:rsidP="00CD3FDA">
            <w:pPr>
              <w:numPr>
                <w:ilvl w:val="12"/>
                <w:numId w:val="0"/>
              </w:numPr>
              <w:tabs>
                <w:tab w:val="clear" w:pos="562"/>
              </w:tabs>
              <w:ind w:right="-2"/>
            </w:pPr>
            <w:r w:rsidRPr="005037B5">
              <w:t xml:space="preserve">Children and adolescents from </w:t>
            </w:r>
            <w:r>
              <w:t>6</w:t>
            </w:r>
            <w:r w:rsidRPr="005037B5">
              <w:t xml:space="preserve"> years of age weighing 40 kg or more</w:t>
            </w:r>
          </w:p>
        </w:tc>
        <w:tc>
          <w:tcPr>
            <w:tcW w:w="3096" w:type="dxa"/>
          </w:tcPr>
          <w:p w14:paraId="528891BE" w14:textId="77777777" w:rsidR="00CD3FDA" w:rsidRPr="006527B0" w:rsidRDefault="00944B8F" w:rsidP="00CD3FDA">
            <w:pPr>
              <w:numPr>
                <w:ilvl w:val="12"/>
                <w:numId w:val="0"/>
              </w:numPr>
              <w:tabs>
                <w:tab w:val="clear" w:pos="562"/>
              </w:tabs>
            </w:pPr>
            <w:r w:rsidRPr="005037B5">
              <w:t>First dose of 160 mg (</w:t>
            </w:r>
            <w:r w:rsidR="00A24164">
              <w:t>two</w:t>
            </w:r>
            <w:r w:rsidR="00392CB9">
              <w:t xml:space="preserve"> 8</w:t>
            </w:r>
            <w:r w:rsidRPr="00D5591F">
              <w:t xml:space="preserve">0 mg injections in one day or </w:t>
            </w:r>
            <w:r w:rsidR="00BB5917">
              <w:t>one</w:t>
            </w:r>
            <w:r w:rsidRPr="00D5591F">
              <w:t xml:space="preserve"> </w:t>
            </w:r>
            <w:r w:rsidR="00392CB9">
              <w:t>8</w:t>
            </w:r>
            <w:r w:rsidRPr="00D5591F">
              <w:t>0 mg injection per day for two consecutive days</w:t>
            </w:r>
            <w:r w:rsidRPr="00BE5760">
              <w:t>), followed by 80 mg (</w:t>
            </w:r>
            <w:r w:rsidR="00392CB9">
              <w:t>one</w:t>
            </w:r>
            <w:r w:rsidR="00775B6A">
              <w:t xml:space="preserve"> </w:t>
            </w:r>
            <w:r w:rsidR="00392CB9">
              <w:t>8</w:t>
            </w:r>
            <w:r w:rsidRPr="00BE5760">
              <w:t>0 mg injection) two weeks later.</w:t>
            </w:r>
          </w:p>
          <w:p w14:paraId="5C4C13EF" w14:textId="77777777" w:rsidR="00CD3FDA" w:rsidRPr="006527B0" w:rsidRDefault="00CD3FDA" w:rsidP="00CD3FDA">
            <w:pPr>
              <w:numPr>
                <w:ilvl w:val="12"/>
                <w:numId w:val="0"/>
              </w:numPr>
              <w:tabs>
                <w:tab w:val="clear" w:pos="562"/>
              </w:tabs>
            </w:pPr>
          </w:p>
          <w:p w14:paraId="6DA59449" w14:textId="77777777" w:rsidR="00CD3FDA" w:rsidRPr="00DA728B" w:rsidRDefault="00944B8F" w:rsidP="00CD3FDA">
            <w:pPr>
              <w:numPr>
                <w:ilvl w:val="12"/>
                <w:numId w:val="0"/>
              </w:numPr>
              <w:tabs>
                <w:tab w:val="clear" w:pos="562"/>
              </w:tabs>
            </w:pPr>
            <w:r w:rsidRPr="00DA728B">
              <w:t>Thereafter, the usual dose is 80 m</w:t>
            </w:r>
            <w:r w:rsidRPr="005037B5">
              <w:t>g every other week.</w:t>
            </w:r>
          </w:p>
        </w:tc>
        <w:tc>
          <w:tcPr>
            <w:tcW w:w="3096" w:type="dxa"/>
          </w:tcPr>
          <w:p w14:paraId="043693E8" w14:textId="77777777" w:rsidR="00CD3FDA" w:rsidRPr="00DF2EE5" w:rsidRDefault="00944B8F" w:rsidP="00CD3FDA">
            <w:pPr>
              <w:numPr>
                <w:ilvl w:val="12"/>
                <w:numId w:val="0"/>
              </w:numPr>
              <w:tabs>
                <w:tab w:val="clear" w:pos="562"/>
              </w:tabs>
            </w:pPr>
            <w:r w:rsidRPr="00DF2EE5">
              <w:t>You should continue taking Humira at your usual dose, even after turning 18 years of age.</w:t>
            </w:r>
          </w:p>
        </w:tc>
      </w:tr>
    </w:tbl>
    <w:p w14:paraId="4EC5BAE3" w14:textId="77777777" w:rsidR="00BC0E7E" w:rsidRPr="00BC0E7E" w:rsidRDefault="00BC0E7E" w:rsidP="00BC0E7E">
      <w:pPr>
        <w:numPr>
          <w:ilvl w:val="12"/>
          <w:numId w:val="0"/>
        </w:numPr>
        <w:tabs>
          <w:tab w:val="clear" w:pos="562"/>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0B701D52" w14:textId="77777777" w:rsidTr="00171601">
        <w:tc>
          <w:tcPr>
            <w:tcW w:w="9287" w:type="dxa"/>
            <w:gridSpan w:val="3"/>
          </w:tcPr>
          <w:p w14:paraId="129F7C4C" w14:textId="77777777" w:rsidR="00BC0E7E" w:rsidRPr="00BC0E7E" w:rsidRDefault="00944B8F" w:rsidP="00BC0E7E">
            <w:pPr>
              <w:numPr>
                <w:ilvl w:val="12"/>
                <w:numId w:val="0"/>
              </w:numPr>
              <w:tabs>
                <w:tab w:val="clear" w:pos="562"/>
              </w:tabs>
              <w:ind w:right="-2"/>
              <w:rPr>
                <w:b/>
              </w:rPr>
            </w:pPr>
            <w:r w:rsidRPr="00BC0E7E">
              <w:rPr>
                <w:b/>
                <w:szCs w:val="22"/>
              </w:rPr>
              <w:t>Non-infectious uveitis</w:t>
            </w:r>
          </w:p>
        </w:tc>
      </w:tr>
      <w:tr w:rsidR="00C6578C" w14:paraId="145E0640" w14:textId="77777777" w:rsidTr="00171601">
        <w:tc>
          <w:tcPr>
            <w:tcW w:w="3095" w:type="dxa"/>
          </w:tcPr>
          <w:p w14:paraId="67217E9F" w14:textId="77777777" w:rsidR="00BC0E7E" w:rsidRPr="00BC0E7E" w:rsidRDefault="00944B8F" w:rsidP="00BC0E7E">
            <w:pPr>
              <w:numPr>
                <w:ilvl w:val="12"/>
                <w:numId w:val="0"/>
              </w:numPr>
              <w:tabs>
                <w:tab w:val="clear" w:pos="562"/>
              </w:tabs>
              <w:ind w:right="-2"/>
            </w:pPr>
            <w:r w:rsidRPr="00BC0E7E">
              <w:rPr>
                <w:b/>
              </w:rPr>
              <w:t>Age or body weight</w:t>
            </w:r>
          </w:p>
        </w:tc>
        <w:tc>
          <w:tcPr>
            <w:tcW w:w="3096" w:type="dxa"/>
          </w:tcPr>
          <w:p w14:paraId="0B037D92" w14:textId="77777777" w:rsidR="00BC0E7E" w:rsidRPr="00BC0E7E" w:rsidRDefault="00944B8F" w:rsidP="00BC0E7E">
            <w:pPr>
              <w:tabs>
                <w:tab w:val="clear" w:pos="562"/>
                <w:tab w:val="left" w:pos="0"/>
              </w:tabs>
            </w:pPr>
            <w:r w:rsidRPr="00BC0E7E">
              <w:rPr>
                <w:b/>
              </w:rPr>
              <w:t>How much and how often to take?</w:t>
            </w:r>
          </w:p>
        </w:tc>
        <w:tc>
          <w:tcPr>
            <w:tcW w:w="3096" w:type="dxa"/>
          </w:tcPr>
          <w:p w14:paraId="1FF4FB6B" w14:textId="77777777" w:rsidR="00BC0E7E" w:rsidRPr="00BC0E7E" w:rsidRDefault="00944B8F" w:rsidP="00BC0E7E">
            <w:pPr>
              <w:numPr>
                <w:ilvl w:val="12"/>
                <w:numId w:val="0"/>
              </w:numPr>
              <w:tabs>
                <w:tab w:val="clear" w:pos="562"/>
              </w:tabs>
            </w:pPr>
            <w:r w:rsidRPr="00BC0E7E">
              <w:rPr>
                <w:b/>
              </w:rPr>
              <w:t>Notes</w:t>
            </w:r>
          </w:p>
        </w:tc>
      </w:tr>
      <w:tr w:rsidR="00C6578C" w14:paraId="45E046D4" w14:textId="77777777" w:rsidTr="00171601">
        <w:tc>
          <w:tcPr>
            <w:tcW w:w="3095" w:type="dxa"/>
          </w:tcPr>
          <w:p w14:paraId="76227893" w14:textId="77777777" w:rsidR="00BC0E7E" w:rsidRPr="00BC0E7E" w:rsidRDefault="00944B8F" w:rsidP="00BC0E7E">
            <w:pPr>
              <w:numPr>
                <w:ilvl w:val="12"/>
                <w:numId w:val="0"/>
              </w:numPr>
              <w:tabs>
                <w:tab w:val="clear" w:pos="562"/>
              </w:tabs>
              <w:ind w:right="-2"/>
            </w:pPr>
            <w:r w:rsidRPr="00BC0E7E">
              <w:t>Adults</w:t>
            </w:r>
          </w:p>
        </w:tc>
        <w:tc>
          <w:tcPr>
            <w:tcW w:w="3096" w:type="dxa"/>
          </w:tcPr>
          <w:p w14:paraId="23788981" w14:textId="77777777" w:rsidR="00BC0E7E" w:rsidRPr="00BC0E7E" w:rsidRDefault="00944B8F" w:rsidP="00BC0E7E">
            <w:pPr>
              <w:tabs>
                <w:tab w:val="clear" w:pos="562"/>
                <w:tab w:val="left" w:pos="0"/>
              </w:tabs>
            </w:pPr>
            <w:r w:rsidRPr="00BC0E7E">
              <w:t>First dose of 80 mg (one 80 mg injection), followed by 40 mg every other week starting one week after the first dose.</w:t>
            </w:r>
          </w:p>
        </w:tc>
        <w:tc>
          <w:tcPr>
            <w:tcW w:w="3096" w:type="dxa"/>
          </w:tcPr>
          <w:p w14:paraId="623FD521" w14:textId="77777777" w:rsidR="00BC0E7E" w:rsidRPr="00BC0E7E" w:rsidRDefault="00944B8F" w:rsidP="00BC0E7E">
            <w:pPr>
              <w:numPr>
                <w:ilvl w:val="12"/>
                <w:numId w:val="0"/>
              </w:numPr>
              <w:tabs>
                <w:tab w:val="clear" w:pos="562"/>
              </w:tabs>
            </w:pPr>
            <w:r w:rsidRPr="00BC0E7E">
              <w:t>Corticosteroids or other medicines that influence the immune system may be continued while using Humira. Humira can also be given alone.</w:t>
            </w:r>
          </w:p>
        </w:tc>
      </w:tr>
      <w:tr w:rsidR="00C6578C" w14:paraId="1D85D5CF" w14:textId="77777777" w:rsidTr="00171601">
        <w:tc>
          <w:tcPr>
            <w:tcW w:w="3095" w:type="dxa"/>
          </w:tcPr>
          <w:p w14:paraId="480A05D0" w14:textId="77777777" w:rsidR="00BC0E7E" w:rsidRPr="00BC0E7E" w:rsidRDefault="00944B8F" w:rsidP="00BC0E7E">
            <w:pPr>
              <w:numPr>
                <w:ilvl w:val="12"/>
                <w:numId w:val="0"/>
              </w:numPr>
              <w:tabs>
                <w:tab w:val="clear" w:pos="562"/>
              </w:tabs>
              <w:ind w:right="-2"/>
            </w:pPr>
            <w:r w:rsidRPr="00BC0E7E">
              <w:t xml:space="preserve">Children </w:t>
            </w:r>
            <w:r w:rsidR="00B74112">
              <w:t xml:space="preserve">and adolescents </w:t>
            </w:r>
            <w:r w:rsidRPr="00BC0E7E">
              <w:t>from 2 years of age weighing less than 30 kg</w:t>
            </w:r>
          </w:p>
          <w:p w14:paraId="438DCB63" w14:textId="77777777" w:rsidR="00BC0E7E" w:rsidRPr="00BC0E7E" w:rsidRDefault="00BC0E7E" w:rsidP="00BC0E7E">
            <w:pPr>
              <w:numPr>
                <w:ilvl w:val="12"/>
                <w:numId w:val="0"/>
              </w:numPr>
              <w:tabs>
                <w:tab w:val="clear" w:pos="562"/>
              </w:tabs>
              <w:ind w:right="-2"/>
            </w:pPr>
          </w:p>
        </w:tc>
        <w:tc>
          <w:tcPr>
            <w:tcW w:w="3096" w:type="dxa"/>
          </w:tcPr>
          <w:p w14:paraId="31C0721A" w14:textId="77777777" w:rsidR="00BC0E7E" w:rsidRPr="00BC0E7E" w:rsidRDefault="00944B8F" w:rsidP="00BC0E7E">
            <w:pPr>
              <w:tabs>
                <w:tab w:val="clear" w:pos="562"/>
                <w:tab w:val="left" w:pos="0"/>
              </w:tabs>
            </w:pPr>
            <w:r w:rsidRPr="00BC0E7E">
              <w:t>20 mg every other week</w:t>
            </w:r>
          </w:p>
        </w:tc>
        <w:tc>
          <w:tcPr>
            <w:tcW w:w="3096" w:type="dxa"/>
          </w:tcPr>
          <w:p w14:paraId="3EE620D1" w14:textId="77777777" w:rsidR="00BC0E7E" w:rsidRPr="00BC0E7E" w:rsidRDefault="00944B8F" w:rsidP="00BC0E7E">
            <w:pPr>
              <w:numPr>
                <w:ilvl w:val="12"/>
                <w:numId w:val="0"/>
              </w:numPr>
              <w:tabs>
                <w:tab w:val="clear" w:pos="562"/>
              </w:tabs>
            </w:pPr>
            <w:r w:rsidRPr="00BC0E7E">
              <w:t xml:space="preserve">Your doctor may prescribe an initial dose of 40 mg to be administered one week prior to the start of the usual dose of </w:t>
            </w:r>
            <w:r w:rsidRPr="00BC0E7E">
              <w:lastRenderedPageBreak/>
              <w:t>20 mg every other week. Humira is recommended for use in combination with methotrexate.</w:t>
            </w:r>
          </w:p>
        </w:tc>
      </w:tr>
      <w:tr w:rsidR="00C6578C" w14:paraId="1C9C8EEC" w14:textId="77777777" w:rsidTr="00171601">
        <w:tc>
          <w:tcPr>
            <w:tcW w:w="3095" w:type="dxa"/>
          </w:tcPr>
          <w:p w14:paraId="32681E8C" w14:textId="77777777" w:rsidR="00BC0E7E" w:rsidRPr="00BC0E7E" w:rsidRDefault="00944B8F" w:rsidP="00BC0E7E">
            <w:pPr>
              <w:numPr>
                <w:ilvl w:val="12"/>
                <w:numId w:val="0"/>
              </w:numPr>
              <w:tabs>
                <w:tab w:val="clear" w:pos="562"/>
              </w:tabs>
              <w:ind w:right="-2"/>
            </w:pPr>
            <w:r w:rsidRPr="00BC0E7E">
              <w:lastRenderedPageBreak/>
              <w:t xml:space="preserve">Children </w:t>
            </w:r>
            <w:r w:rsidR="00B74112">
              <w:t xml:space="preserve">and adolescents </w:t>
            </w:r>
            <w:r w:rsidRPr="00BC0E7E">
              <w:t>from 2 years of age weighing 30 kg</w:t>
            </w:r>
            <w:r w:rsidR="00B74112">
              <w:t xml:space="preserve"> or more</w:t>
            </w:r>
          </w:p>
          <w:p w14:paraId="5F68AB1D" w14:textId="77777777" w:rsidR="00BC0E7E" w:rsidRPr="00BC0E7E" w:rsidRDefault="00BC0E7E" w:rsidP="00BC0E7E">
            <w:pPr>
              <w:numPr>
                <w:ilvl w:val="12"/>
                <w:numId w:val="0"/>
              </w:numPr>
              <w:tabs>
                <w:tab w:val="clear" w:pos="562"/>
              </w:tabs>
              <w:ind w:right="-2"/>
            </w:pPr>
          </w:p>
        </w:tc>
        <w:tc>
          <w:tcPr>
            <w:tcW w:w="3096" w:type="dxa"/>
          </w:tcPr>
          <w:p w14:paraId="4D795199" w14:textId="77777777" w:rsidR="00BC0E7E" w:rsidRPr="00BC0E7E" w:rsidRDefault="00944B8F" w:rsidP="00BC0E7E">
            <w:pPr>
              <w:tabs>
                <w:tab w:val="clear" w:pos="562"/>
                <w:tab w:val="left" w:pos="0"/>
              </w:tabs>
            </w:pPr>
            <w:r w:rsidRPr="00BC0E7E">
              <w:t xml:space="preserve">40 mg every other week </w:t>
            </w:r>
          </w:p>
        </w:tc>
        <w:tc>
          <w:tcPr>
            <w:tcW w:w="3096" w:type="dxa"/>
          </w:tcPr>
          <w:p w14:paraId="423C4129" w14:textId="77777777" w:rsidR="00BC0E7E" w:rsidRPr="00BC0E7E" w:rsidRDefault="00944B8F" w:rsidP="00BC0E7E">
            <w:pPr>
              <w:numPr>
                <w:ilvl w:val="12"/>
                <w:numId w:val="0"/>
              </w:numPr>
              <w:tabs>
                <w:tab w:val="clear" w:pos="562"/>
              </w:tabs>
            </w:pPr>
            <w:r w:rsidRPr="00BC0E7E">
              <w:t>Your doctor may prescribe an initial dose of 80 mg to be administered one week prior to the start of the usual dose of 40 mg every other week. Humira is recommended for use in combination with methotrexate.</w:t>
            </w:r>
          </w:p>
        </w:tc>
      </w:tr>
    </w:tbl>
    <w:p w14:paraId="3D23C315" w14:textId="77777777" w:rsidR="00BC0E7E" w:rsidRPr="00BC0E7E" w:rsidRDefault="00BC0E7E" w:rsidP="00BC0E7E">
      <w:pPr>
        <w:keepNext/>
        <w:rPr>
          <w:b/>
          <w:szCs w:val="20"/>
        </w:rPr>
      </w:pPr>
    </w:p>
    <w:p w14:paraId="1FFFE42F" w14:textId="77777777" w:rsidR="00BC0E7E" w:rsidRPr="00BC0E7E" w:rsidRDefault="00944B8F" w:rsidP="00BC0E7E">
      <w:pPr>
        <w:keepNext/>
        <w:rPr>
          <w:b/>
          <w:szCs w:val="20"/>
        </w:rPr>
      </w:pPr>
      <w:r w:rsidRPr="00BC0E7E">
        <w:rPr>
          <w:b/>
          <w:szCs w:val="20"/>
        </w:rPr>
        <w:t>Method and route of administration</w:t>
      </w:r>
    </w:p>
    <w:p w14:paraId="36E1939A" w14:textId="77777777" w:rsidR="00BC0E7E" w:rsidRPr="00BC0E7E" w:rsidRDefault="00BC0E7E" w:rsidP="00BC0E7E">
      <w:pPr>
        <w:keepNext/>
        <w:rPr>
          <w:szCs w:val="20"/>
        </w:rPr>
      </w:pPr>
    </w:p>
    <w:p w14:paraId="06E83B16" w14:textId="77777777" w:rsidR="00BC0E7E" w:rsidRPr="00BC0E7E" w:rsidRDefault="00944B8F" w:rsidP="00BC0E7E">
      <w:pPr>
        <w:keepNext/>
        <w:rPr>
          <w:szCs w:val="20"/>
        </w:rPr>
      </w:pPr>
      <w:r w:rsidRPr="00BC0E7E">
        <w:rPr>
          <w:szCs w:val="20"/>
        </w:rPr>
        <w:t>Humira is administered by injection under the skin (by subcutaneous injection).</w:t>
      </w:r>
    </w:p>
    <w:p w14:paraId="162F810E" w14:textId="77777777" w:rsidR="00BC0E7E" w:rsidRPr="00BC0E7E" w:rsidRDefault="00BC0E7E" w:rsidP="00BC0E7E">
      <w:pPr>
        <w:keepNext/>
        <w:rPr>
          <w:szCs w:val="20"/>
        </w:rPr>
      </w:pPr>
    </w:p>
    <w:p w14:paraId="3776A332" w14:textId="77777777" w:rsidR="00BC0E7E" w:rsidRPr="00BC0E7E" w:rsidRDefault="00944B8F" w:rsidP="00BC0E7E">
      <w:pPr>
        <w:rPr>
          <w:b/>
          <w:szCs w:val="20"/>
        </w:rPr>
      </w:pPr>
      <w:r w:rsidRPr="00BC0E7E">
        <w:rPr>
          <w:b/>
          <w:szCs w:val="20"/>
        </w:rPr>
        <w:t>Detailed instructions on how to inject Humira are provided in section 7 ‘</w:t>
      </w:r>
      <w:r w:rsidR="009F2045">
        <w:rPr>
          <w:b/>
        </w:rPr>
        <w:t>Injecting Humira</w:t>
      </w:r>
      <w:r w:rsidRPr="00BC0E7E">
        <w:rPr>
          <w:b/>
          <w:szCs w:val="20"/>
        </w:rPr>
        <w:t>’.</w:t>
      </w:r>
    </w:p>
    <w:p w14:paraId="5D5F75FA" w14:textId="77777777" w:rsidR="00BC0E7E" w:rsidRPr="00BC0E7E" w:rsidRDefault="00BC0E7E" w:rsidP="00BC0E7E">
      <w:pPr>
        <w:numPr>
          <w:ilvl w:val="12"/>
          <w:numId w:val="0"/>
        </w:numPr>
        <w:tabs>
          <w:tab w:val="clear" w:pos="562"/>
        </w:tabs>
        <w:ind w:right="-2"/>
      </w:pPr>
    </w:p>
    <w:p w14:paraId="323DD63B" w14:textId="77777777" w:rsidR="00BC0E7E" w:rsidRPr="00BC0E7E" w:rsidRDefault="00944B8F" w:rsidP="00BC0E7E">
      <w:pPr>
        <w:rPr>
          <w:b/>
          <w:szCs w:val="20"/>
        </w:rPr>
      </w:pPr>
      <w:r w:rsidRPr="00BC0E7E">
        <w:rPr>
          <w:b/>
          <w:szCs w:val="20"/>
        </w:rPr>
        <w:t>If you use more Humira than you should</w:t>
      </w:r>
    </w:p>
    <w:p w14:paraId="09506A2E" w14:textId="77777777" w:rsidR="00BC0E7E" w:rsidRPr="00BC0E7E" w:rsidRDefault="00BC0E7E" w:rsidP="00BC0E7E">
      <w:pPr>
        <w:rPr>
          <w:szCs w:val="20"/>
        </w:rPr>
      </w:pPr>
    </w:p>
    <w:p w14:paraId="6D062AE5" w14:textId="77777777" w:rsidR="00BC0E7E" w:rsidRPr="00BC0E7E" w:rsidRDefault="00944B8F" w:rsidP="00BC0E7E">
      <w:r w:rsidRPr="00BC0E7E">
        <w:t>If you accidentally inject Humira more frequently than told to by your doctor or pharmacist, call your doctor or pharmacist</w:t>
      </w:r>
      <w:r w:rsidRPr="00BC0E7E">
        <w:rPr>
          <w:szCs w:val="20"/>
        </w:rPr>
        <w:t xml:space="preserve"> and tell them that you have taken more</w:t>
      </w:r>
      <w:r w:rsidRPr="00BC0E7E">
        <w:t xml:space="preserve">. Always take the outer carton of the medicine with you, even if it is empty. </w:t>
      </w:r>
    </w:p>
    <w:p w14:paraId="20A87846" w14:textId="77777777" w:rsidR="00BC0E7E" w:rsidRPr="00BC0E7E" w:rsidRDefault="00BC0E7E" w:rsidP="00BC0E7E"/>
    <w:p w14:paraId="7A1ACA40" w14:textId="77777777" w:rsidR="00BC0E7E" w:rsidRPr="00BC0E7E" w:rsidRDefault="00944B8F" w:rsidP="00BC0E7E">
      <w:pPr>
        <w:rPr>
          <w:b/>
          <w:szCs w:val="20"/>
        </w:rPr>
      </w:pPr>
      <w:r w:rsidRPr="00BC0E7E">
        <w:rPr>
          <w:b/>
          <w:szCs w:val="20"/>
        </w:rPr>
        <w:t>If you forget to use Humira</w:t>
      </w:r>
    </w:p>
    <w:p w14:paraId="70CDFB9F" w14:textId="77777777" w:rsidR="00BC0E7E" w:rsidRPr="00BC0E7E" w:rsidRDefault="00BC0E7E" w:rsidP="00BC0E7E">
      <w:pPr>
        <w:rPr>
          <w:szCs w:val="20"/>
        </w:rPr>
      </w:pPr>
    </w:p>
    <w:p w14:paraId="293B0510" w14:textId="77777777" w:rsidR="00BC0E7E" w:rsidRPr="00BC0E7E" w:rsidRDefault="00944B8F" w:rsidP="00BC0E7E">
      <w:r w:rsidRPr="00BC0E7E">
        <w:t xml:space="preserve">If you forget to give yourself an injection, you should inject the next dose of Humira as soon as you remember. Then take your next dose as you would have on your originally scheduled day, had you not forgotten a dose. </w:t>
      </w:r>
    </w:p>
    <w:p w14:paraId="583E0BDB" w14:textId="77777777" w:rsidR="00BC0E7E" w:rsidRPr="00BC0E7E" w:rsidRDefault="00BC0E7E" w:rsidP="00BC0E7E"/>
    <w:p w14:paraId="5F59B09D" w14:textId="77777777" w:rsidR="00BC0E7E" w:rsidRPr="00BC0E7E" w:rsidRDefault="00944B8F" w:rsidP="00BC0E7E">
      <w:pPr>
        <w:rPr>
          <w:b/>
        </w:rPr>
      </w:pPr>
      <w:r w:rsidRPr="00BC0E7E">
        <w:rPr>
          <w:b/>
        </w:rPr>
        <w:t>If you stop using Humira</w:t>
      </w:r>
    </w:p>
    <w:p w14:paraId="0ED971FF" w14:textId="77777777" w:rsidR="00BC0E7E" w:rsidRPr="00BC0E7E" w:rsidRDefault="00BC0E7E" w:rsidP="00BC0E7E"/>
    <w:p w14:paraId="46F6F9E2" w14:textId="77777777" w:rsidR="00BC0E7E" w:rsidRPr="00BC0E7E" w:rsidRDefault="00944B8F" w:rsidP="00BC0E7E">
      <w:r w:rsidRPr="00BC0E7E">
        <w:t>The decision to stop using Humira should be discussed with your doctor. Your symptoms may return if you stop using Humira.</w:t>
      </w:r>
    </w:p>
    <w:p w14:paraId="0BDD406D" w14:textId="77777777" w:rsidR="00BC0E7E" w:rsidRPr="00BC0E7E" w:rsidRDefault="00BC0E7E" w:rsidP="00BC0E7E"/>
    <w:p w14:paraId="41FD4999" w14:textId="77777777" w:rsidR="00BC0E7E" w:rsidRPr="00BC0E7E" w:rsidRDefault="00944B8F" w:rsidP="00BC0E7E">
      <w:r w:rsidRPr="00BC0E7E">
        <w:t>If you have any further questions on the use of this medicine, ask your doctor or pharmacist.</w:t>
      </w:r>
    </w:p>
    <w:p w14:paraId="2CFD4EAC" w14:textId="77777777" w:rsidR="00BC0E7E" w:rsidRPr="00BC0E7E" w:rsidRDefault="00BC0E7E" w:rsidP="00BC0E7E"/>
    <w:p w14:paraId="0CBFD908" w14:textId="77777777" w:rsidR="00BC0E7E" w:rsidRPr="00BC0E7E" w:rsidRDefault="00BC0E7E" w:rsidP="00BC0E7E"/>
    <w:p w14:paraId="36F5B264" w14:textId="77777777" w:rsidR="00BC0E7E" w:rsidRPr="00BC0E7E" w:rsidRDefault="00944B8F" w:rsidP="00BC0E7E">
      <w:pPr>
        <w:outlineLvl w:val="0"/>
        <w:rPr>
          <w:rFonts w:ascii="Times New Roman Bold" w:hAnsi="Times New Roman Bold"/>
          <w:b/>
          <w:szCs w:val="20"/>
        </w:rPr>
      </w:pPr>
      <w:r w:rsidRPr="00BC0E7E">
        <w:rPr>
          <w:b/>
          <w:caps/>
          <w:szCs w:val="20"/>
        </w:rPr>
        <w:t>4.</w:t>
      </w:r>
      <w:r w:rsidRPr="00BC0E7E">
        <w:rPr>
          <w:b/>
          <w:caps/>
          <w:szCs w:val="20"/>
        </w:rPr>
        <w:tab/>
        <w:t>P</w:t>
      </w:r>
      <w:r w:rsidRPr="00BC0E7E">
        <w:rPr>
          <w:rFonts w:ascii="Times New Roman Bold" w:hAnsi="Times New Roman Bold"/>
          <w:b/>
          <w:szCs w:val="20"/>
        </w:rPr>
        <w:t>ossible side effects</w:t>
      </w:r>
    </w:p>
    <w:p w14:paraId="0AC97FCC" w14:textId="77777777" w:rsidR="00BC0E7E" w:rsidRPr="00BC0E7E" w:rsidRDefault="00BC0E7E" w:rsidP="00BC0E7E">
      <w:pPr>
        <w:rPr>
          <w:szCs w:val="20"/>
        </w:rPr>
      </w:pPr>
    </w:p>
    <w:p w14:paraId="6F3863F0" w14:textId="77777777" w:rsidR="00BC0E7E" w:rsidRPr="00BC0E7E" w:rsidRDefault="00944B8F" w:rsidP="00BC0E7E">
      <w:r w:rsidRPr="00BC0E7E">
        <w:t xml:space="preserve">Like all medicines, this medicine can cause side effects, although not everybody gets them. Most side effects are mild to moderate. However, some may be serious and require treatment. Side effects may occur at least up to 4 months after the last Humira injection.  </w:t>
      </w:r>
    </w:p>
    <w:p w14:paraId="615EDC2E" w14:textId="77777777" w:rsidR="00BC0E7E" w:rsidRPr="00BC0E7E" w:rsidRDefault="00BC0E7E" w:rsidP="00BC0E7E"/>
    <w:p w14:paraId="0F31C36E" w14:textId="77777777" w:rsidR="00BC0E7E" w:rsidRPr="00BC0E7E" w:rsidRDefault="00944B8F" w:rsidP="00BC0E7E">
      <w:pPr>
        <w:keepNext/>
        <w:rPr>
          <w:b/>
        </w:rPr>
      </w:pPr>
      <w:r w:rsidRPr="00BC0E7E">
        <w:rPr>
          <w:b/>
        </w:rPr>
        <w:t>Tell your doctor immediately if you notice any of the following</w:t>
      </w:r>
    </w:p>
    <w:p w14:paraId="032309F6" w14:textId="77777777" w:rsidR="00BC0E7E" w:rsidRPr="00BC0E7E" w:rsidRDefault="00BC0E7E" w:rsidP="00BC0E7E">
      <w:pPr>
        <w:keepNext/>
      </w:pPr>
    </w:p>
    <w:p w14:paraId="7241E247" w14:textId="77777777" w:rsidR="00BC0E7E" w:rsidRPr="00BC0E7E" w:rsidRDefault="00944B8F" w:rsidP="00BC0E7E">
      <w:pPr>
        <w:keepNext/>
        <w:numPr>
          <w:ilvl w:val="0"/>
          <w:numId w:val="22"/>
        </w:numPr>
        <w:tabs>
          <w:tab w:val="clear" w:pos="562"/>
          <w:tab w:val="clear" w:pos="720"/>
          <w:tab w:val="num" w:pos="550"/>
        </w:tabs>
        <w:ind w:left="550" w:hanging="550"/>
      </w:pPr>
      <w:r w:rsidRPr="00BC0E7E">
        <w:t>severe rash, hives or other signs of allergic reaction</w:t>
      </w:r>
    </w:p>
    <w:p w14:paraId="6492BBAC" w14:textId="77777777" w:rsidR="00BC0E7E" w:rsidRPr="00BC0E7E" w:rsidRDefault="00944B8F" w:rsidP="00BC0E7E">
      <w:pPr>
        <w:keepNext/>
        <w:numPr>
          <w:ilvl w:val="0"/>
          <w:numId w:val="22"/>
        </w:numPr>
        <w:tabs>
          <w:tab w:val="clear" w:pos="562"/>
          <w:tab w:val="clear" w:pos="720"/>
          <w:tab w:val="num" w:pos="550"/>
        </w:tabs>
        <w:ind w:left="550" w:hanging="550"/>
      </w:pPr>
      <w:r w:rsidRPr="00BC0E7E">
        <w:t>swollen face, hands, feet</w:t>
      </w:r>
    </w:p>
    <w:p w14:paraId="6C36AC65" w14:textId="77777777" w:rsidR="00BC0E7E" w:rsidRPr="00BC0E7E" w:rsidRDefault="00944B8F" w:rsidP="00BC0E7E">
      <w:pPr>
        <w:keepNext/>
        <w:numPr>
          <w:ilvl w:val="0"/>
          <w:numId w:val="22"/>
        </w:numPr>
        <w:tabs>
          <w:tab w:val="clear" w:pos="562"/>
          <w:tab w:val="clear" w:pos="720"/>
          <w:tab w:val="num" w:pos="550"/>
        </w:tabs>
        <w:ind w:left="550" w:hanging="550"/>
      </w:pPr>
      <w:r w:rsidRPr="00BC0E7E">
        <w:t>trouble breathing, swallowing</w:t>
      </w:r>
    </w:p>
    <w:p w14:paraId="088082A6" w14:textId="77777777" w:rsidR="00BC0E7E" w:rsidRPr="00BC0E7E" w:rsidRDefault="00944B8F" w:rsidP="00BC0E7E">
      <w:pPr>
        <w:keepNext/>
        <w:numPr>
          <w:ilvl w:val="0"/>
          <w:numId w:val="22"/>
        </w:numPr>
        <w:tabs>
          <w:tab w:val="clear" w:pos="562"/>
          <w:tab w:val="clear" w:pos="720"/>
          <w:tab w:val="num" w:pos="550"/>
        </w:tabs>
        <w:ind w:left="550" w:hanging="550"/>
      </w:pPr>
      <w:r w:rsidRPr="00BC0E7E">
        <w:t>shortness of breath with physical activity or upon lying down or swelling of the feet</w:t>
      </w:r>
    </w:p>
    <w:p w14:paraId="4520D9C5" w14:textId="77777777" w:rsidR="00BC0E7E" w:rsidRPr="00BC0E7E" w:rsidRDefault="00BC0E7E" w:rsidP="00BC0E7E">
      <w:pPr>
        <w:rPr>
          <w:szCs w:val="20"/>
        </w:rPr>
      </w:pPr>
    </w:p>
    <w:p w14:paraId="184F2EA4" w14:textId="77777777" w:rsidR="00BC0E7E" w:rsidRPr="00BC0E7E" w:rsidRDefault="00944B8F" w:rsidP="00852331">
      <w:pPr>
        <w:keepNext/>
        <w:rPr>
          <w:b/>
        </w:rPr>
      </w:pPr>
      <w:r w:rsidRPr="00BC0E7E">
        <w:rPr>
          <w:b/>
        </w:rPr>
        <w:lastRenderedPageBreak/>
        <w:t>Tell your doctor as soon as possible if you notice any of the following</w:t>
      </w:r>
    </w:p>
    <w:p w14:paraId="30BCF56A" w14:textId="77777777" w:rsidR="00BC0E7E" w:rsidRPr="00BC0E7E" w:rsidRDefault="00BC0E7E" w:rsidP="00852331">
      <w:pPr>
        <w:keepNext/>
      </w:pPr>
    </w:p>
    <w:p w14:paraId="5C1FA0F3" w14:textId="77777777" w:rsidR="00BC0E7E" w:rsidRPr="00BC0E7E" w:rsidRDefault="00944B8F" w:rsidP="00852331">
      <w:pPr>
        <w:keepNext/>
        <w:numPr>
          <w:ilvl w:val="0"/>
          <w:numId w:val="22"/>
        </w:numPr>
        <w:tabs>
          <w:tab w:val="clear" w:pos="562"/>
          <w:tab w:val="clear" w:pos="720"/>
          <w:tab w:val="num" w:pos="550"/>
        </w:tabs>
        <w:ind w:left="550" w:hanging="550"/>
      </w:pPr>
      <w:r w:rsidRPr="00BC0E7E">
        <w:t>signs of infection such as fever, feeling sick, wounds, dental problems, burning on urination</w:t>
      </w:r>
    </w:p>
    <w:p w14:paraId="446E6205" w14:textId="77777777" w:rsidR="00BC0E7E" w:rsidRPr="00BC0E7E" w:rsidRDefault="00944B8F" w:rsidP="00852331">
      <w:pPr>
        <w:keepNext/>
        <w:numPr>
          <w:ilvl w:val="0"/>
          <w:numId w:val="22"/>
        </w:numPr>
        <w:tabs>
          <w:tab w:val="clear" w:pos="562"/>
          <w:tab w:val="clear" w:pos="720"/>
          <w:tab w:val="num" w:pos="550"/>
        </w:tabs>
        <w:ind w:left="550" w:hanging="550"/>
      </w:pPr>
      <w:r w:rsidRPr="00BC0E7E">
        <w:t>feeling weak or tired</w:t>
      </w:r>
    </w:p>
    <w:p w14:paraId="59B32831" w14:textId="77777777" w:rsidR="00BC0E7E" w:rsidRPr="00BC0E7E" w:rsidRDefault="00944B8F" w:rsidP="00D51999">
      <w:pPr>
        <w:keepNext/>
        <w:numPr>
          <w:ilvl w:val="0"/>
          <w:numId w:val="40"/>
        </w:numPr>
        <w:tabs>
          <w:tab w:val="clear" w:pos="562"/>
          <w:tab w:val="num" w:pos="540"/>
          <w:tab w:val="num" w:pos="720"/>
          <w:tab w:val="num" w:pos="1347"/>
        </w:tabs>
        <w:ind w:left="547" w:hanging="547"/>
        <w:rPr>
          <w:szCs w:val="20"/>
        </w:rPr>
      </w:pPr>
      <w:r w:rsidRPr="00BC0E7E">
        <w:rPr>
          <w:szCs w:val="20"/>
        </w:rPr>
        <w:t>coughing</w:t>
      </w:r>
    </w:p>
    <w:p w14:paraId="4919B97D" w14:textId="77777777" w:rsidR="00BC0E7E" w:rsidRPr="00BC0E7E" w:rsidRDefault="00944B8F" w:rsidP="00D51999">
      <w:pPr>
        <w:keepNext/>
        <w:numPr>
          <w:ilvl w:val="0"/>
          <w:numId w:val="40"/>
        </w:numPr>
        <w:tabs>
          <w:tab w:val="clear" w:pos="562"/>
          <w:tab w:val="num" w:pos="540"/>
          <w:tab w:val="num" w:pos="720"/>
          <w:tab w:val="num" w:pos="1347"/>
        </w:tabs>
        <w:ind w:left="547" w:hanging="547"/>
        <w:rPr>
          <w:szCs w:val="20"/>
        </w:rPr>
      </w:pPr>
      <w:r w:rsidRPr="00BC0E7E">
        <w:rPr>
          <w:szCs w:val="20"/>
        </w:rPr>
        <w:t>tingling</w:t>
      </w:r>
    </w:p>
    <w:p w14:paraId="7AEDDA81" w14:textId="77777777" w:rsidR="00BC0E7E" w:rsidRPr="00BC0E7E" w:rsidRDefault="00944B8F" w:rsidP="00D51999">
      <w:pPr>
        <w:keepNext/>
        <w:numPr>
          <w:ilvl w:val="0"/>
          <w:numId w:val="40"/>
        </w:numPr>
        <w:tabs>
          <w:tab w:val="clear" w:pos="562"/>
          <w:tab w:val="num" w:pos="540"/>
          <w:tab w:val="num" w:pos="720"/>
          <w:tab w:val="num" w:pos="1347"/>
        </w:tabs>
        <w:ind w:left="547" w:hanging="547"/>
        <w:rPr>
          <w:szCs w:val="20"/>
        </w:rPr>
      </w:pPr>
      <w:r w:rsidRPr="00BC0E7E">
        <w:rPr>
          <w:szCs w:val="20"/>
        </w:rPr>
        <w:t>numbness</w:t>
      </w:r>
    </w:p>
    <w:p w14:paraId="11E48EDC" w14:textId="77777777" w:rsidR="00BC0E7E" w:rsidRPr="00BC0E7E" w:rsidRDefault="00944B8F" w:rsidP="00852331">
      <w:pPr>
        <w:keepNext/>
        <w:numPr>
          <w:ilvl w:val="0"/>
          <w:numId w:val="22"/>
        </w:numPr>
        <w:tabs>
          <w:tab w:val="clear" w:pos="562"/>
          <w:tab w:val="clear" w:pos="720"/>
          <w:tab w:val="num" w:pos="550"/>
        </w:tabs>
        <w:ind w:left="550" w:hanging="550"/>
      </w:pPr>
      <w:r w:rsidRPr="00BC0E7E">
        <w:t>double vision</w:t>
      </w:r>
    </w:p>
    <w:p w14:paraId="08495B7A" w14:textId="77777777" w:rsidR="00BC0E7E" w:rsidRPr="00BC0E7E" w:rsidRDefault="00944B8F" w:rsidP="00852331">
      <w:pPr>
        <w:keepNext/>
        <w:numPr>
          <w:ilvl w:val="0"/>
          <w:numId w:val="22"/>
        </w:numPr>
        <w:tabs>
          <w:tab w:val="clear" w:pos="562"/>
          <w:tab w:val="clear" w:pos="720"/>
          <w:tab w:val="num" w:pos="550"/>
        </w:tabs>
        <w:ind w:left="550" w:hanging="550"/>
      </w:pPr>
      <w:r w:rsidRPr="00BC0E7E">
        <w:t>arm or leg weakness</w:t>
      </w:r>
    </w:p>
    <w:p w14:paraId="01470ABA" w14:textId="77777777" w:rsidR="00BC0E7E" w:rsidRPr="00BC0E7E" w:rsidRDefault="00944B8F" w:rsidP="00852331">
      <w:pPr>
        <w:keepNext/>
        <w:numPr>
          <w:ilvl w:val="0"/>
          <w:numId w:val="22"/>
        </w:numPr>
        <w:tabs>
          <w:tab w:val="clear" w:pos="562"/>
          <w:tab w:val="clear" w:pos="720"/>
          <w:tab w:val="num" w:pos="550"/>
        </w:tabs>
        <w:ind w:left="550" w:hanging="550"/>
      </w:pPr>
      <w:r w:rsidRPr="00BC0E7E">
        <w:t>a bump or open sore that doesn't heal</w:t>
      </w:r>
    </w:p>
    <w:p w14:paraId="1D7325EA" w14:textId="77777777" w:rsidR="00BC0E7E" w:rsidRPr="00BC0E7E" w:rsidRDefault="00944B8F" w:rsidP="00852331">
      <w:pPr>
        <w:keepNext/>
        <w:numPr>
          <w:ilvl w:val="0"/>
          <w:numId w:val="22"/>
        </w:numPr>
        <w:tabs>
          <w:tab w:val="clear" w:pos="562"/>
          <w:tab w:val="clear" w:pos="720"/>
          <w:tab w:val="num" w:pos="550"/>
        </w:tabs>
        <w:ind w:left="550" w:hanging="550"/>
      </w:pPr>
      <w:r w:rsidRPr="00BC0E7E">
        <w:t>signs and symptoms suggestive of blood disorders such as persistent fever, bruising, bleeding, paleness</w:t>
      </w:r>
    </w:p>
    <w:p w14:paraId="65823927" w14:textId="77777777" w:rsidR="00BC0E7E" w:rsidRPr="00BC0E7E" w:rsidRDefault="00BC0E7E" w:rsidP="00BC0E7E">
      <w:pPr>
        <w:rPr>
          <w:szCs w:val="20"/>
        </w:rPr>
      </w:pPr>
    </w:p>
    <w:p w14:paraId="4FD78CE2" w14:textId="77777777" w:rsidR="00BC0E7E" w:rsidRPr="00BC0E7E" w:rsidRDefault="00944B8F" w:rsidP="00BC0E7E">
      <w:r w:rsidRPr="00BC0E7E">
        <w:t>The symptoms described above can be signs of the below listed side effects, which have been observed with Humira.</w:t>
      </w:r>
    </w:p>
    <w:p w14:paraId="1B449810" w14:textId="77777777" w:rsidR="00BC0E7E" w:rsidRPr="00BC0E7E" w:rsidRDefault="00BC0E7E" w:rsidP="00BC0E7E"/>
    <w:p w14:paraId="318A6F1C" w14:textId="77777777" w:rsidR="00BC0E7E" w:rsidRPr="00BC0E7E" w:rsidRDefault="00944B8F" w:rsidP="00BC0E7E">
      <w:r w:rsidRPr="00BC0E7E">
        <w:rPr>
          <w:b/>
        </w:rPr>
        <w:t>Very common</w:t>
      </w:r>
      <w:r w:rsidRPr="00BC0E7E">
        <w:t xml:space="preserve"> (may affect more than 1 in 10 people) </w:t>
      </w:r>
    </w:p>
    <w:p w14:paraId="26D56216" w14:textId="77777777" w:rsidR="00BC0E7E" w:rsidRPr="00BC0E7E" w:rsidRDefault="00BC0E7E" w:rsidP="00BC0E7E"/>
    <w:p w14:paraId="6320A275" w14:textId="77777777" w:rsidR="00BC0E7E" w:rsidRPr="00BC0E7E" w:rsidRDefault="00944B8F" w:rsidP="00BC0E7E">
      <w:pPr>
        <w:numPr>
          <w:ilvl w:val="0"/>
          <w:numId w:val="22"/>
        </w:numPr>
        <w:tabs>
          <w:tab w:val="clear" w:pos="562"/>
          <w:tab w:val="clear" w:pos="720"/>
          <w:tab w:val="num" w:pos="550"/>
        </w:tabs>
        <w:ind w:left="550" w:hanging="550"/>
      </w:pPr>
      <w:r w:rsidRPr="00BC0E7E">
        <w:t>injection site reactions (including pain, swelling, redness or itching)</w:t>
      </w:r>
    </w:p>
    <w:p w14:paraId="760552BE" w14:textId="77777777" w:rsidR="00BC0E7E" w:rsidRPr="00BC0E7E" w:rsidRDefault="00944B8F" w:rsidP="00BC0E7E">
      <w:pPr>
        <w:numPr>
          <w:ilvl w:val="0"/>
          <w:numId w:val="22"/>
        </w:numPr>
        <w:tabs>
          <w:tab w:val="clear" w:pos="562"/>
          <w:tab w:val="clear" w:pos="720"/>
          <w:tab w:val="num" w:pos="-1870"/>
        </w:tabs>
        <w:ind w:left="550" w:hanging="550"/>
      </w:pPr>
      <w:r w:rsidRPr="00BC0E7E">
        <w:t>respiratory tract infections (including cold, runny nose, sinus infection, pneumonia)</w:t>
      </w:r>
    </w:p>
    <w:p w14:paraId="454446F9" w14:textId="77777777" w:rsidR="00BC0E7E" w:rsidRPr="00BC0E7E" w:rsidRDefault="00944B8F" w:rsidP="00BC0E7E">
      <w:pPr>
        <w:numPr>
          <w:ilvl w:val="0"/>
          <w:numId w:val="22"/>
        </w:numPr>
        <w:tabs>
          <w:tab w:val="clear" w:pos="562"/>
          <w:tab w:val="clear" w:pos="720"/>
          <w:tab w:val="num" w:pos="-1870"/>
        </w:tabs>
        <w:ind w:left="550" w:hanging="550"/>
      </w:pPr>
      <w:r w:rsidRPr="00BC0E7E">
        <w:t>headache</w:t>
      </w:r>
    </w:p>
    <w:p w14:paraId="67639359" w14:textId="77777777" w:rsidR="00BC0E7E" w:rsidRPr="00BC0E7E" w:rsidRDefault="00944B8F" w:rsidP="00BC0E7E">
      <w:pPr>
        <w:numPr>
          <w:ilvl w:val="0"/>
          <w:numId w:val="22"/>
        </w:numPr>
        <w:tabs>
          <w:tab w:val="clear" w:pos="562"/>
          <w:tab w:val="clear" w:pos="720"/>
          <w:tab w:val="num" w:pos="-1870"/>
        </w:tabs>
        <w:ind w:left="550" w:hanging="550"/>
      </w:pPr>
      <w:r w:rsidRPr="00BC0E7E">
        <w:t>abdominal pain</w:t>
      </w:r>
    </w:p>
    <w:p w14:paraId="7218B5D0" w14:textId="77777777" w:rsidR="00BC0E7E" w:rsidRPr="00BC0E7E" w:rsidRDefault="00944B8F" w:rsidP="00BC0E7E">
      <w:pPr>
        <w:numPr>
          <w:ilvl w:val="0"/>
          <w:numId w:val="22"/>
        </w:numPr>
        <w:tabs>
          <w:tab w:val="clear" w:pos="562"/>
          <w:tab w:val="clear" w:pos="720"/>
          <w:tab w:val="num" w:pos="-1870"/>
        </w:tabs>
        <w:ind w:left="550" w:hanging="550"/>
      </w:pPr>
      <w:r w:rsidRPr="00BC0E7E">
        <w:t>nausea and vomiting</w:t>
      </w:r>
    </w:p>
    <w:p w14:paraId="3903EFC3" w14:textId="77777777" w:rsidR="00BC0E7E" w:rsidRPr="00BC0E7E" w:rsidRDefault="00944B8F" w:rsidP="00BC0E7E">
      <w:pPr>
        <w:numPr>
          <w:ilvl w:val="0"/>
          <w:numId w:val="22"/>
        </w:numPr>
        <w:tabs>
          <w:tab w:val="clear" w:pos="562"/>
          <w:tab w:val="clear" w:pos="720"/>
          <w:tab w:val="num" w:pos="-1870"/>
        </w:tabs>
        <w:ind w:left="550" w:hanging="550"/>
        <w:rPr>
          <w:szCs w:val="22"/>
        </w:rPr>
      </w:pPr>
      <w:r w:rsidRPr="00BC0E7E">
        <w:t>rash</w:t>
      </w:r>
    </w:p>
    <w:p w14:paraId="6711E7C6" w14:textId="77777777" w:rsidR="00BC0E7E" w:rsidRPr="00BC0E7E" w:rsidRDefault="00944B8F" w:rsidP="00BC0E7E">
      <w:pPr>
        <w:numPr>
          <w:ilvl w:val="0"/>
          <w:numId w:val="22"/>
        </w:numPr>
        <w:tabs>
          <w:tab w:val="clear" w:pos="562"/>
          <w:tab w:val="clear" w:pos="720"/>
          <w:tab w:val="num" w:pos="-1870"/>
          <w:tab w:val="num" w:pos="-1760"/>
        </w:tabs>
        <w:ind w:left="550" w:hanging="550"/>
        <w:rPr>
          <w:szCs w:val="22"/>
        </w:rPr>
      </w:pPr>
      <w:r w:rsidRPr="00BC0E7E">
        <w:rPr>
          <w:szCs w:val="22"/>
        </w:rPr>
        <w:t>musculoskeletal pain</w:t>
      </w:r>
    </w:p>
    <w:p w14:paraId="34F59243" w14:textId="77777777" w:rsidR="00BC0E7E" w:rsidRPr="00BC0E7E" w:rsidRDefault="00BC0E7E" w:rsidP="00BC0E7E">
      <w:pPr>
        <w:tabs>
          <w:tab w:val="clear" w:pos="562"/>
          <w:tab w:val="num" w:pos="550"/>
        </w:tabs>
        <w:ind w:left="550" w:hanging="550"/>
        <w:rPr>
          <w:sz w:val="20"/>
          <w:szCs w:val="20"/>
        </w:rPr>
      </w:pPr>
    </w:p>
    <w:p w14:paraId="4BF8ED6E" w14:textId="77777777" w:rsidR="00BC0E7E" w:rsidRPr="00BC0E7E" w:rsidRDefault="00944B8F" w:rsidP="00BC0E7E">
      <w:pPr>
        <w:tabs>
          <w:tab w:val="clear" w:pos="562"/>
          <w:tab w:val="num" w:pos="550"/>
        </w:tabs>
        <w:ind w:left="550" w:hanging="550"/>
      </w:pPr>
      <w:r w:rsidRPr="00BC0E7E">
        <w:rPr>
          <w:b/>
        </w:rPr>
        <w:t>Common</w:t>
      </w:r>
      <w:r w:rsidRPr="00BC0E7E">
        <w:t xml:space="preserve"> (may affect up to 1 in 10 people)</w:t>
      </w:r>
    </w:p>
    <w:p w14:paraId="27B96DAE" w14:textId="77777777" w:rsidR="00BC0E7E" w:rsidRPr="00BC0E7E" w:rsidRDefault="00BC0E7E" w:rsidP="00BC0E7E">
      <w:pPr>
        <w:tabs>
          <w:tab w:val="clear" w:pos="562"/>
          <w:tab w:val="num" w:pos="550"/>
        </w:tabs>
        <w:ind w:left="550" w:hanging="550"/>
      </w:pPr>
    </w:p>
    <w:p w14:paraId="0FB16216" w14:textId="77777777" w:rsidR="001331BB" w:rsidRDefault="00944B8F" w:rsidP="001331BB">
      <w:pPr>
        <w:numPr>
          <w:ilvl w:val="0"/>
          <w:numId w:val="22"/>
        </w:numPr>
        <w:tabs>
          <w:tab w:val="clear" w:pos="562"/>
          <w:tab w:val="clear" w:pos="720"/>
          <w:tab w:val="num" w:pos="550"/>
        </w:tabs>
        <w:ind w:left="550" w:hanging="550"/>
      </w:pPr>
      <w:r>
        <w:t xml:space="preserve">serious </w:t>
      </w:r>
      <w:r w:rsidR="00BC0E7E" w:rsidRPr="00BC0E7E">
        <w:t>infections (including blood poisoning and influenza)</w:t>
      </w:r>
    </w:p>
    <w:p w14:paraId="230CB079" w14:textId="77777777" w:rsidR="001331BB" w:rsidRPr="001331BB" w:rsidRDefault="00944B8F" w:rsidP="001331BB">
      <w:pPr>
        <w:numPr>
          <w:ilvl w:val="0"/>
          <w:numId w:val="22"/>
        </w:numPr>
        <w:tabs>
          <w:tab w:val="clear" w:pos="562"/>
          <w:tab w:val="clear" w:pos="720"/>
          <w:tab w:val="num" w:pos="550"/>
        </w:tabs>
        <w:ind w:left="550" w:hanging="550"/>
      </w:pPr>
      <w:r w:rsidRPr="001331BB">
        <w:t>intestinal infections (including gastroenteritis)</w:t>
      </w:r>
    </w:p>
    <w:p w14:paraId="38DADA90" w14:textId="77777777" w:rsidR="00BC0E7E" w:rsidRPr="00BC0E7E" w:rsidRDefault="00944B8F" w:rsidP="00BC0E7E">
      <w:pPr>
        <w:numPr>
          <w:ilvl w:val="0"/>
          <w:numId w:val="22"/>
        </w:numPr>
        <w:tabs>
          <w:tab w:val="clear" w:pos="562"/>
          <w:tab w:val="clear" w:pos="720"/>
          <w:tab w:val="num" w:pos="550"/>
        </w:tabs>
        <w:ind w:left="550" w:hanging="550"/>
      </w:pPr>
      <w:r w:rsidRPr="00BC0E7E">
        <w:t>skin infections (including cellulitis and shingles)</w:t>
      </w:r>
    </w:p>
    <w:p w14:paraId="3EFFA087" w14:textId="77777777" w:rsidR="00BC0E7E" w:rsidRPr="00BC0E7E" w:rsidRDefault="00944B8F" w:rsidP="00BC0E7E">
      <w:pPr>
        <w:numPr>
          <w:ilvl w:val="0"/>
          <w:numId w:val="22"/>
        </w:numPr>
        <w:tabs>
          <w:tab w:val="clear" w:pos="562"/>
          <w:tab w:val="clear" w:pos="720"/>
          <w:tab w:val="num" w:pos="550"/>
        </w:tabs>
        <w:ind w:left="550" w:hanging="550"/>
      </w:pPr>
      <w:r w:rsidRPr="00BC0E7E">
        <w:t>ear infections</w:t>
      </w:r>
    </w:p>
    <w:p w14:paraId="6FBE2931" w14:textId="77777777" w:rsidR="00BC0E7E" w:rsidRPr="00BC0E7E" w:rsidRDefault="00944B8F" w:rsidP="00BC0E7E">
      <w:pPr>
        <w:numPr>
          <w:ilvl w:val="0"/>
          <w:numId w:val="22"/>
        </w:numPr>
        <w:tabs>
          <w:tab w:val="clear" w:pos="562"/>
          <w:tab w:val="clear" w:pos="720"/>
          <w:tab w:val="num" w:pos="550"/>
        </w:tabs>
        <w:ind w:left="550" w:hanging="550"/>
      </w:pPr>
      <w:r w:rsidRPr="00BC0E7E">
        <w:t>oral infections (including tooth infections and cold sores)</w:t>
      </w:r>
    </w:p>
    <w:p w14:paraId="6D3F27F2" w14:textId="77777777" w:rsidR="00BC0E7E" w:rsidRPr="00BC0E7E" w:rsidRDefault="00944B8F" w:rsidP="00BC0E7E">
      <w:pPr>
        <w:numPr>
          <w:ilvl w:val="0"/>
          <w:numId w:val="22"/>
        </w:numPr>
        <w:tabs>
          <w:tab w:val="clear" w:pos="562"/>
          <w:tab w:val="clear" w:pos="720"/>
          <w:tab w:val="num" w:pos="550"/>
        </w:tabs>
        <w:ind w:left="550" w:hanging="550"/>
      </w:pPr>
      <w:r w:rsidRPr="00BC0E7E">
        <w:t>reproductive tract infections</w:t>
      </w:r>
    </w:p>
    <w:p w14:paraId="2AEC6587" w14:textId="77777777" w:rsidR="00BC0E7E" w:rsidRPr="00BC0E7E" w:rsidRDefault="00944B8F" w:rsidP="00BC0E7E">
      <w:pPr>
        <w:numPr>
          <w:ilvl w:val="0"/>
          <w:numId w:val="22"/>
        </w:numPr>
        <w:tabs>
          <w:tab w:val="clear" w:pos="562"/>
          <w:tab w:val="clear" w:pos="720"/>
          <w:tab w:val="num" w:pos="550"/>
        </w:tabs>
        <w:ind w:left="550" w:hanging="550"/>
      </w:pPr>
      <w:r w:rsidRPr="00BC0E7E">
        <w:t>urinary tract infection</w:t>
      </w:r>
    </w:p>
    <w:p w14:paraId="49FFB433" w14:textId="77777777" w:rsidR="00BC0E7E" w:rsidRPr="00BC0E7E" w:rsidRDefault="00944B8F" w:rsidP="00BC0E7E">
      <w:pPr>
        <w:numPr>
          <w:ilvl w:val="0"/>
          <w:numId w:val="22"/>
        </w:numPr>
        <w:tabs>
          <w:tab w:val="clear" w:pos="562"/>
          <w:tab w:val="clear" w:pos="720"/>
          <w:tab w:val="num" w:pos="550"/>
        </w:tabs>
        <w:ind w:left="550" w:hanging="550"/>
      </w:pPr>
      <w:r w:rsidRPr="00BC0E7E">
        <w:t>fungal infections</w:t>
      </w:r>
    </w:p>
    <w:p w14:paraId="71B0DF4B" w14:textId="77777777" w:rsidR="00BC0E7E" w:rsidRPr="00BC0E7E" w:rsidRDefault="00944B8F" w:rsidP="00BC0E7E">
      <w:pPr>
        <w:numPr>
          <w:ilvl w:val="0"/>
          <w:numId w:val="22"/>
        </w:numPr>
        <w:tabs>
          <w:tab w:val="clear" w:pos="562"/>
          <w:tab w:val="clear" w:pos="720"/>
          <w:tab w:val="num" w:pos="550"/>
        </w:tabs>
        <w:ind w:left="550" w:hanging="550"/>
      </w:pPr>
      <w:r w:rsidRPr="00BC0E7E">
        <w:t>joint infections</w:t>
      </w:r>
    </w:p>
    <w:p w14:paraId="29732720" w14:textId="77777777" w:rsidR="00BC0E7E" w:rsidRPr="00BC0E7E" w:rsidRDefault="00944B8F" w:rsidP="00BC0E7E">
      <w:pPr>
        <w:numPr>
          <w:ilvl w:val="0"/>
          <w:numId w:val="22"/>
        </w:numPr>
        <w:tabs>
          <w:tab w:val="clear" w:pos="562"/>
          <w:tab w:val="clear" w:pos="720"/>
          <w:tab w:val="num" w:pos="550"/>
        </w:tabs>
        <w:ind w:left="550" w:hanging="550"/>
      </w:pPr>
      <w:r w:rsidRPr="00BC0E7E">
        <w:t>benign tumours</w:t>
      </w:r>
    </w:p>
    <w:p w14:paraId="41B0B93D" w14:textId="77777777" w:rsidR="00BC0E7E" w:rsidRPr="00BC0E7E" w:rsidRDefault="00944B8F" w:rsidP="00BC0E7E">
      <w:pPr>
        <w:numPr>
          <w:ilvl w:val="0"/>
          <w:numId w:val="22"/>
        </w:numPr>
        <w:tabs>
          <w:tab w:val="clear" w:pos="562"/>
          <w:tab w:val="clear" w:pos="720"/>
          <w:tab w:val="num" w:pos="550"/>
        </w:tabs>
        <w:ind w:left="550" w:hanging="550"/>
      </w:pPr>
      <w:r w:rsidRPr="00BC0E7E">
        <w:t>skin cancer</w:t>
      </w:r>
    </w:p>
    <w:p w14:paraId="33BF1EFF" w14:textId="77777777" w:rsidR="00BC0E7E" w:rsidRPr="00BC0E7E" w:rsidRDefault="00944B8F" w:rsidP="00BC0E7E">
      <w:pPr>
        <w:numPr>
          <w:ilvl w:val="0"/>
          <w:numId w:val="22"/>
        </w:numPr>
        <w:tabs>
          <w:tab w:val="clear" w:pos="562"/>
          <w:tab w:val="clear" w:pos="720"/>
          <w:tab w:val="num" w:pos="550"/>
        </w:tabs>
        <w:ind w:left="550" w:hanging="550"/>
      </w:pPr>
      <w:r w:rsidRPr="00BC0E7E">
        <w:t>allergic reactions (including seasonal allergy)</w:t>
      </w:r>
    </w:p>
    <w:p w14:paraId="4614DB34" w14:textId="77777777" w:rsidR="00BC0E7E" w:rsidRPr="00BC0E7E" w:rsidRDefault="00944B8F" w:rsidP="00BC0E7E">
      <w:pPr>
        <w:numPr>
          <w:ilvl w:val="0"/>
          <w:numId w:val="22"/>
        </w:numPr>
        <w:tabs>
          <w:tab w:val="clear" w:pos="562"/>
          <w:tab w:val="clear" w:pos="720"/>
          <w:tab w:val="num" w:pos="550"/>
        </w:tabs>
        <w:ind w:left="550" w:hanging="550"/>
      </w:pPr>
      <w:r w:rsidRPr="00BC0E7E">
        <w:t>dehydration</w:t>
      </w:r>
    </w:p>
    <w:p w14:paraId="292A2712" w14:textId="77777777" w:rsidR="00BC0E7E" w:rsidRPr="00BC0E7E" w:rsidRDefault="00944B8F" w:rsidP="00BC0E7E">
      <w:pPr>
        <w:numPr>
          <w:ilvl w:val="0"/>
          <w:numId w:val="22"/>
        </w:numPr>
        <w:tabs>
          <w:tab w:val="clear" w:pos="562"/>
          <w:tab w:val="clear" w:pos="720"/>
          <w:tab w:val="num" w:pos="550"/>
        </w:tabs>
        <w:ind w:left="550" w:hanging="550"/>
      </w:pPr>
      <w:r w:rsidRPr="00BC0E7E">
        <w:t>mood swings (including depression)</w:t>
      </w:r>
    </w:p>
    <w:p w14:paraId="51299476" w14:textId="77777777" w:rsidR="00BC0E7E" w:rsidRPr="00BC0E7E" w:rsidRDefault="00944B8F" w:rsidP="00BC0E7E">
      <w:pPr>
        <w:numPr>
          <w:ilvl w:val="0"/>
          <w:numId w:val="22"/>
        </w:numPr>
        <w:tabs>
          <w:tab w:val="clear" w:pos="562"/>
          <w:tab w:val="clear" w:pos="720"/>
          <w:tab w:val="num" w:pos="550"/>
        </w:tabs>
        <w:ind w:left="550" w:hanging="550"/>
      </w:pPr>
      <w:r w:rsidRPr="00BC0E7E">
        <w:t>anxiety</w:t>
      </w:r>
    </w:p>
    <w:p w14:paraId="4331522D" w14:textId="77777777" w:rsidR="00BC0E7E" w:rsidRPr="00BC0E7E" w:rsidRDefault="00944B8F" w:rsidP="00BC0E7E">
      <w:pPr>
        <w:numPr>
          <w:ilvl w:val="0"/>
          <w:numId w:val="22"/>
        </w:numPr>
        <w:tabs>
          <w:tab w:val="clear" w:pos="562"/>
          <w:tab w:val="clear" w:pos="720"/>
          <w:tab w:val="num" w:pos="550"/>
        </w:tabs>
        <w:ind w:left="550" w:hanging="550"/>
      </w:pPr>
      <w:r w:rsidRPr="00BC0E7E">
        <w:t>difficulty sleeping</w:t>
      </w:r>
    </w:p>
    <w:p w14:paraId="562A63FC" w14:textId="77777777" w:rsidR="00BC0E7E" w:rsidRPr="00BC0E7E" w:rsidRDefault="00944B8F" w:rsidP="00BC0E7E">
      <w:pPr>
        <w:numPr>
          <w:ilvl w:val="0"/>
          <w:numId w:val="22"/>
        </w:numPr>
        <w:tabs>
          <w:tab w:val="clear" w:pos="562"/>
          <w:tab w:val="clear" w:pos="720"/>
          <w:tab w:val="num" w:pos="550"/>
        </w:tabs>
        <w:ind w:left="550" w:hanging="550"/>
      </w:pPr>
      <w:r w:rsidRPr="00BC0E7E">
        <w:t>sensation disorders such as tingling, prickling or numbness</w:t>
      </w:r>
    </w:p>
    <w:p w14:paraId="334A9A02" w14:textId="77777777" w:rsidR="00BC0E7E" w:rsidRPr="00BC0E7E" w:rsidRDefault="00944B8F" w:rsidP="00BC0E7E">
      <w:pPr>
        <w:numPr>
          <w:ilvl w:val="0"/>
          <w:numId w:val="22"/>
        </w:numPr>
        <w:tabs>
          <w:tab w:val="clear" w:pos="562"/>
          <w:tab w:val="clear" w:pos="720"/>
          <w:tab w:val="num" w:pos="550"/>
        </w:tabs>
        <w:ind w:left="550" w:hanging="550"/>
      </w:pPr>
      <w:r w:rsidRPr="00BC0E7E">
        <w:t>migraine</w:t>
      </w:r>
    </w:p>
    <w:p w14:paraId="500301F0" w14:textId="77777777" w:rsidR="00BC0E7E" w:rsidRPr="00BC0E7E" w:rsidRDefault="00944B8F" w:rsidP="00BC0E7E">
      <w:pPr>
        <w:numPr>
          <w:ilvl w:val="0"/>
          <w:numId w:val="22"/>
        </w:numPr>
        <w:tabs>
          <w:tab w:val="clear" w:pos="562"/>
          <w:tab w:val="clear" w:pos="720"/>
          <w:tab w:val="num" w:pos="550"/>
        </w:tabs>
        <w:ind w:left="550" w:hanging="550"/>
      </w:pPr>
      <w:r w:rsidRPr="00BC0E7E">
        <w:t>nerve root compression (including low back pain and leg pain)</w:t>
      </w:r>
    </w:p>
    <w:p w14:paraId="1E6E2B68" w14:textId="77777777" w:rsidR="00BC0E7E" w:rsidRPr="00BC0E7E" w:rsidRDefault="00944B8F" w:rsidP="00BC0E7E">
      <w:pPr>
        <w:numPr>
          <w:ilvl w:val="0"/>
          <w:numId w:val="22"/>
        </w:numPr>
        <w:tabs>
          <w:tab w:val="clear" w:pos="562"/>
          <w:tab w:val="clear" w:pos="720"/>
          <w:tab w:val="num" w:pos="550"/>
        </w:tabs>
        <w:ind w:left="550" w:hanging="550"/>
      </w:pPr>
      <w:r w:rsidRPr="00BC0E7E">
        <w:t>vision disturbances</w:t>
      </w:r>
    </w:p>
    <w:p w14:paraId="0383F8BF" w14:textId="77777777" w:rsidR="00BC0E7E" w:rsidRPr="00BC0E7E" w:rsidRDefault="00944B8F" w:rsidP="00BC0E7E">
      <w:pPr>
        <w:numPr>
          <w:ilvl w:val="0"/>
          <w:numId w:val="22"/>
        </w:numPr>
        <w:tabs>
          <w:tab w:val="clear" w:pos="562"/>
          <w:tab w:val="clear" w:pos="720"/>
          <w:tab w:val="num" w:pos="550"/>
        </w:tabs>
        <w:ind w:left="550" w:hanging="550"/>
      </w:pPr>
      <w:r w:rsidRPr="00BC0E7E">
        <w:t>eye inflammation</w:t>
      </w:r>
    </w:p>
    <w:p w14:paraId="78EA6132" w14:textId="77777777" w:rsidR="00BC0E7E" w:rsidRPr="00BC0E7E" w:rsidRDefault="00944B8F" w:rsidP="00BC0E7E">
      <w:pPr>
        <w:numPr>
          <w:ilvl w:val="0"/>
          <w:numId w:val="22"/>
        </w:numPr>
        <w:tabs>
          <w:tab w:val="clear" w:pos="562"/>
          <w:tab w:val="clear" w:pos="720"/>
          <w:tab w:val="num" w:pos="550"/>
        </w:tabs>
        <w:ind w:left="550" w:hanging="550"/>
      </w:pPr>
      <w:r w:rsidRPr="00BC0E7E">
        <w:t>inflammation of the eye lid and eye swelling</w:t>
      </w:r>
    </w:p>
    <w:p w14:paraId="529FA2A4" w14:textId="77777777" w:rsidR="00BC0E7E" w:rsidRPr="00BC0E7E" w:rsidRDefault="00944B8F" w:rsidP="00BC0E7E">
      <w:pPr>
        <w:numPr>
          <w:ilvl w:val="0"/>
          <w:numId w:val="23"/>
        </w:numPr>
        <w:tabs>
          <w:tab w:val="clear" w:pos="562"/>
          <w:tab w:val="clear" w:pos="720"/>
          <w:tab w:val="num" w:pos="550"/>
        </w:tabs>
        <w:ind w:left="550" w:hanging="550"/>
      </w:pPr>
      <w:r w:rsidRPr="00BC0E7E">
        <w:t>vertigo (feeling of dizziness or spinning)</w:t>
      </w:r>
    </w:p>
    <w:p w14:paraId="512F4192" w14:textId="77777777" w:rsidR="00BC0E7E" w:rsidRPr="00BC0E7E" w:rsidRDefault="00944B8F" w:rsidP="00BC0E7E">
      <w:pPr>
        <w:numPr>
          <w:ilvl w:val="0"/>
          <w:numId w:val="23"/>
        </w:numPr>
        <w:tabs>
          <w:tab w:val="clear" w:pos="562"/>
          <w:tab w:val="clear" w:pos="720"/>
          <w:tab w:val="num" w:pos="550"/>
        </w:tabs>
        <w:ind w:left="550" w:hanging="550"/>
      </w:pPr>
      <w:r w:rsidRPr="00BC0E7E">
        <w:lastRenderedPageBreak/>
        <w:t>sensation of heart beating rapidly</w:t>
      </w:r>
    </w:p>
    <w:p w14:paraId="1CF36FA2" w14:textId="77777777" w:rsidR="00BC0E7E" w:rsidRPr="00BC0E7E" w:rsidRDefault="00944B8F" w:rsidP="00BC0E7E">
      <w:pPr>
        <w:numPr>
          <w:ilvl w:val="0"/>
          <w:numId w:val="23"/>
        </w:numPr>
        <w:tabs>
          <w:tab w:val="clear" w:pos="562"/>
          <w:tab w:val="clear" w:pos="720"/>
          <w:tab w:val="num" w:pos="550"/>
        </w:tabs>
        <w:ind w:left="550" w:hanging="550"/>
      </w:pPr>
      <w:r w:rsidRPr="00BC0E7E">
        <w:t>high blood pressure</w:t>
      </w:r>
    </w:p>
    <w:p w14:paraId="420E5B6A" w14:textId="77777777" w:rsidR="00BC0E7E" w:rsidRPr="00BC0E7E" w:rsidRDefault="00944B8F" w:rsidP="00BC0E7E">
      <w:pPr>
        <w:numPr>
          <w:ilvl w:val="0"/>
          <w:numId w:val="23"/>
        </w:numPr>
        <w:tabs>
          <w:tab w:val="clear" w:pos="562"/>
          <w:tab w:val="clear" w:pos="720"/>
          <w:tab w:val="num" w:pos="550"/>
        </w:tabs>
        <w:ind w:left="550" w:hanging="550"/>
      </w:pPr>
      <w:r w:rsidRPr="00BC0E7E">
        <w:t>flushing</w:t>
      </w:r>
    </w:p>
    <w:p w14:paraId="3BD5C8E0" w14:textId="77777777" w:rsidR="00BC0E7E" w:rsidRPr="00BC0E7E" w:rsidRDefault="00944B8F" w:rsidP="00BC0E7E">
      <w:pPr>
        <w:numPr>
          <w:ilvl w:val="0"/>
          <w:numId w:val="23"/>
        </w:numPr>
        <w:tabs>
          <w:tab w:val="clear" w:pos="562"/>
          <w:tab w:val="clear" w:pos="720"/>
          <w:tab w:val="num" w:pos="550"/>
        </w:tabs>
        <w:ind w:left="550" w:hanging="550"/>
      </w:pPr>
      <w:r w:rsidRPr="00BC0E7E">
        <w:t>haematoma (collection of blood outside of blood vessels)</w:t>
      </w:r>
    </w:p>
    <w:p w14:paraId="13880B46" w14:textId="77777777" w:rsidR="00BC0E7E" w:rsidRPr="00BC0E7E" w:rsidRDefault="00944B8F" w:rsidP="00BC0E7E">
      <w:pPr>
        <w:numPr>
          <w:ilvl w:val="0"/>
          <w:numId w:val="24"/>
        </w:numPr>
        <w:tabs>
          <w:tab w:val="clear" w:pos="562"/>
          <w:tab w:val="clear" w:pos="720"/>
          <w:tab w:val="num" w:pos="550"/>
        </w:tabs>
        <w:ind w:left="550" w:hanging="550"/>
      </w:pPr>
      <w:r w:rsidRPr="00BC0E7E">
        <w:t>cough</w:t>
      </w:r>
    </w:p>
    <w:p w14:paraId="6525445C" w14:textId="77777777" w:rsidR="00BC0E7E" w:rsidRPr="00BC0E7E" w:rsidRDefault="00944B8F" w:rsidP="00BC0E7E">
      <w:pPr>
        <w:numPr>
          <w:ilvl w:val="0"/>
          <w:numId w:val="24"/>
        </w:numPr>
        <w:tabs>
          <w:tab w:val="clear" w:pos="562"/>
          <w:tab w:val="clear" w:pos="720"/>
          <w:tab w:val="num" w:pos="550"/>
        </w:tabs>
        <w:ind w:left="550" w:hanging="550"/>
      </w:pPr>
      <w:r w:rsidRPr="00BC0E7E">
        <w:t>asthma</w:t>
      </w:r>
    </w:p>
    <w:p w14:paraId="61BC65A5" w14:textId="77777777" w:rsidR="00BC0E7E" w:rsidRPr="00BC0E7E" w:rsidRDefault="00944B8F" w:rsidP="00BC0E7E">
      <w:pPr>
        <w:numPr>
          <w:ilvl w:val="0"/>
          <w:numId w:val="24"/>
        </w:numPr>
        <w:tabs>
          <w:tab w:val="clear" w:pos="562"/>
          <w:tab w:val="clear" w:pos="720"/>
          <w:tab w:val="num" w:pos="550"/>
        </w:tabs>
        <w:ind w:left="550" w:hanging="550"/>
      </w:pPr>
      <w:r w:rsidRPr="00BC0E7E">
        <w:t>shortness of breath</w:t>
      </w:r>
    </w:p>
    <w:p w14:paraId="13945E2F" w14:textId="77777777" w:rsidR="00BC0E7E" w:rsidRPr="00BC0E7E" w:rsidRDefault="00944B8F" w:rsidP="00BC0E7E">
      <w:pPr>
        <w:numPr>
          <w:ilvl w:val="0"/>
          <w:numId w:val="24"/>
        </w:numPr>
        <w:tabs>
          <w:tab w:val="clear" w:pos="562"/>
          <w:tab w:val="clear" w:pos="720"/>
          <w:tab w:val="num" w:pos="550"/>
        </w:tabs>
        <w:ind w:left="550" w:hanging="550"/>
      </w:pPr>
      <w:r w:rsidRPr="00BC0E7E">
        <w:t>gastrointestinal bleeding</w:t>
      </w:r>
    </w:p>
    <w:p w14:paraId="3DEDF27D" w14:textId="77777777" w:rsidR="00BC0E7E" w:rsidRPr="00BC0E7E" w:rsidRDefault="00944B8F" w:rsidP="00BC0E7E">
      <w:pPr>
        <w:numPr>
          <w:ilvl w:val="0"/>
          <w:numId w:val="24"/>
        </w:numPr>
        <w:tabs>
          <w:tab w:val="clear" w:pos="562"/>
          <w:tab w:val="clear" w:pos="720"/>
          <w:tab w:val="num" w:pos="550"/>
        </w:tabs>
        <w:ind w:left="550" w:hanging="550"/>
      </w:pPr>
      <w:r w:rsidRPr="00BC0E7E">
        <w:t>dyspepsia (indigestion, bloating, heart burn)</w:t>
      </w:r>
    </w:p>
    <w:p w14:paraId="6C7C6ED6" w14:textId="77777777" w:rsidR="00BC0E7E" w:rsidRPr="00BC0E7E" w:rsidRDefault="00944B8F" w:rsidP="00BC0E7E">
      <w:pPr>
        <w:numPr>
          <w:ilvl w:val="0"/>
          <w:numId w:val="24"/>
        </w:numPr>
        <w:tabs>
          <w:tab w:val="clear" w:pos="562"/>
          <w:tab w:val="clear" w:pos="720"/>
          <w:tab w:val="num" w:pos="550"/>
        </w:tabs>
        <w:ind w:left="550" w:hanging="550"/>
      </w:pPr>
      <w:r w:rsidRPr="00BC0E7E">
        <w:t>acid reflux disease</w:t>
      </w:r>
    </w:p>
    <w:p w14:paraId="7CB5083E" w14:textId="77777777" w:rsidR="00BC0E7E" w:rsidRPr="00BC0E7E" w:rsidRDefault="00944B8F" w:rsidP="00BC0E7E">
      <w:pPr>
        <w:numPr>
          <w:ilvl w:val="0"/>
          <w:numId w:val="24"/>
        </w:numPr>
        <w:tabs>
          <w:tab w:val="clear" w:pos="562"/>
          <w:tab w:val="clear" w:pos="720"/>
          <w:tab w:val="num" w:pos="550"/>
        </w:tabs>
        <w:ind w:left="550" w:hanging="550"/>
      </w:pPr>
      <w:r w:rsidRPr="00BC0E7E">
        <w:t>sicca syndrome (including dry eyes and dry mouth)</w:t>
      </w:r>
    </w:p>
    <w:p w14:paraId="480A2025" w14:textId="77777777" w:rsidR="00BC0E7E" w:rsidRPr="00BC0E7E" w:rsidRDefault="00944B8F" w:rsidP="00BC0E7E">
      <w:pPr>
        <w:numPr>
          <w:ilvl w:val="0"/>
          <w:numId w:val="24"/>
        </w:numPr>
        <w:tabs>
          <w:tab w:val="clear" w:pos="562"/>
          <w:tab w:val="clear" w:pos="720"/>
          <w:tab w:val="num" w:pos="550"/>
        </w:tabs>
        <w:ind w:left="550" w:hanging="550"/>
      </w:pPr>
      <w:r w:rsidRPr="00BC0E7E">
        <w:t>itching</w:t>
      </w:r>
    </w:p>
    <w:p w14:paraId="477FFB64" w14:textId="77777777" w:rsidR="00BC0E7E" w:rsidRPr="00BC0E7E" w:rsidRDefault="00944B8F" w:rsidP="00BC0E7E">
      <w:pPr>
        <w:numPr>
          <w:ilvl w:val="0"/>
          <w:numId w:val="24"/>
        </w:numPr>
        <w:tabs>
          <w:tab w:val="clear" w:pos="562"/>
          <w:tab w:val="clear" w:pos="720"/>
          <w:tab w:val="num" w:pos="550"/>
        </w:tabs>
        <w:ind w:left="550" w:hanging="550"/>
      </w:pPr>
      <w:r w:rsidRPr="00BC0E7E">
        <w:t>itchy rash</w:t>
      </w:r>
    </w:p>
    <w:p w14:paraId="13DBFDE7" w14:textId="77777777" w:rsidR="00BC0E7E" w:rsidRPr="00BC0E7E" w:rsidRDefault="00944B8F" w:rsidP="00BC0E7E">
      <w:pPr>
        <w:numPr>
          <w:ilvl w:val="0"/>
          <w:numId w:val="24"/>
        </w:numPr>
        <w:tabs>
          <w:tab w:val="clear" w:pos="562"/>
          <w:tab w:val="clear" w:pos="720"/>
          <w:tab w:val="num" w:pos="550"/>
        </w:tabs>
        <w:ind w:left="550" w:hanging="550"/>
      </w:pPr>
      <w:r w:rsidRPr="00BC0E7E">
        <w:t>bruising</w:t>
      </w:r>
    </w:p>
    <w:p w14:paraId="79A840D6" w14:textId="77777777" w:rsidR="00BC0E7E" w:rsidRPr="00BC0E7E" w:rsidRDefault="00944B8F" w:rsidP="00BC0E7E">
      <w:pPr>
        <w:numPr>
          <w:ilvl w:val="0"/>
          <w:numId w:val="24"/>
        </w:numPr>
        <w:tabs>
          <w:tab w:val="clear" w:pos="562"/>
          <w:tab w:val="clear" w:pos="720"/>
          <w:tab w:val="num" w:pos="550"/>
        </w:tabs>
        <w:ind w:left="550" w:hanging="550"/>
      </w:pPr>
      <w:r w:rsidRPr="00BC0E7E">
        <w:t>inflammation of the skin (such as eczema)</w:t>
      </w:r>
    </w:p>
    <w:p w14:paraId="46CC3B3E" w14:textId="77777777" w:rsidR="00BC0E7E" w:rsidRPr="00BC0E7E" w:rsidRDefault="00944B8F" w:rsidP="00BC0E7E">
      <w:pPr>
        <w:numPr>
          <w:ilvl w:val="0"/>
          <w:numId w:val="24"/>
        </w:numPr>
        <w:tabs>
          <w:tab w:val="clear" w:pos="562"/>
          <w:tab w:val="clear" w:pos="720"/>
          <w:tab w:val="num" w:pos="550"/>
        </w:tabs>
        <w:ind w:left="550" w:hanging="550"/>
      </w:pPr>
      <w:r w:rsidRPr="00BC0E7E">
        <w:t>breaking of finger nails and toe nails</w:t>
      </w:r>
    </w:p>
    <w:p w14:paraId="240989C6" w14:textId="77777777" w:rsidR="00BC0E7E" w:rsidRPr="00BC0E7E" w:rsidRDefault="00944B8F" w:rsidP="00BC0E7E">
      <w:pPr>
        <w:numPr>
          <w:ilvl w:val="0"/>
          <w:numId w:val="24"/>
        </w:numPr>
        <w:tabs>
          <w:tab w:val="clear" w:pos="562"/>
          <w:tab w:val="clear" w:pos="720"/>
          <w:tab w:val="num" w:pos="550"/>
        </w:tabs>
        <w:ind w:left="550" w:hanging="550"/>
      </w:pPr>
      <w:r w:rsidRPr="00BC0E7E">
        <w:t>increased sweating</w:t>
      </w:r>
    </w:p>
    <w:p w14:paraId="1CF73903" w14:textId="77777777" w:rsidR="00BC0E7E" w:rsidRPr="00BC0E7E" w:rsidRDefault="00944B8F" w:rsidP="00BC0E7E">
      <w:pPr>
        <w:numPr>
          <w:ilvl w:val="0"/>
          <w:numId w:val="24"/>
        </w:numPr>
        <w:tabs>
          <w:tab w:val="clear" w:pos="562"/>
          <w:tab w:val="clear" w:pos="720"/>
          <w:tab w:val="num" w:pos="550"/>
        </w:tabs>
        <w:ind w:left="550" w:hanging="550"/>
      </w:pPr>
      <w:r w:rsidRPr="00BC0E7E">
        <w:t>hair loss</w:t>
      </w:r>
    </w:p>
    <w:p w14:paraId="5352F7E3" w14:textId="77777777" w:rsidR="00BC0E7E" w:rsidRPr="00BC0E7E" w:rsidRDefault="00944B8F" w:rsidP="00BC0E7E">
      <w:pPr>
        <w:numPr>
          <w:ilvl w:val="0"/>
          <w:numId w:val="24"/>
        </w:numPr>
        <w:tabs>
          <w:tab w:val="clear" w:pos="562"/>
          <w:tab w:val="clear" w:pos="720"/>
          <w:tab w:val="num" w:pos="550"/>
        </w:tabs>
        <w:ind w:left="550" w:hanging="550"/>
      </w:pPr>
      <w:r w:rsidRPr="00BC0E7E">
        <w:t>new onset or worsening of psoriasis</w:t>
      </w:r>
    </w:p>
    <w:p w14:paraId="30FCAA77" w14:textId="77777777" w:rsidR="00BC0E7E" w:rsidRPr="00BC0E7E" w:rsidRDefault="00944B8F" w:rsidP="00BC0E7E">
      <w:pPr>
        <w:numPr>
          <w:ilvl w:val="0"/>
          <w:numId w:val="24"/>
        </w:numPr>
        <w:tabs>
          <w:tab w:val="clear" w:pos="562"/>
          <w:tab w:val="clear" w:pos="720"/>
          <w:tab w:val="num" w:pos="550"/>
        </w:tabs>
        <w:ind w:left="550" w:hanging="550"/>
      </w:pPr>
      <w:r w:rsidRPr="00BC0E7E">
        <w:t>muscle spasms</w:t>
      </w:r>
    </w:p>
    <w:p w14:paraId="68245964" w14:textId="77777777" w:rsidR="00BC0E7E" w:rsidRPr="00BC0E7E" w:rsidRDefault="00944B8F" w:rsidP="00BC0E7E">
      <w:pPr>
        <w:numPr>
          <w:ilvl w:val="0"/>
          <w:numId w:val="24"/>
        </w:numPr>
        <w:tabs>
          <w:tab w:val="clear" w:pos="562"/>
          <w:tab w:val="clear" w:pos="720"/>
          <w:tab w:val="num" w:pos="550"/>
        </w:tabs>
        <w:ind w:left="550" w:hanging="550"/>
      </w:pPr>
      <w:r w:rsidRPr="00BC0E7E">
        <w:t>blood in urine</w:t>
      </w:r>
    </w:p>
    <w:p w14:paraId="55863A14" w14:textId="77777777" w:rsidR="00BC0E7E" w:rsidRPr="00BC0E7E" w:rsidRDefault="00944B8F" w:rsidP="00BC0E7E">
      <w:pPr>
        <w:numPr>
          <w:ilvl w:val="0"/>
          <w:numId w:val="24"/>
        </w:numPr>
        <w:tabs>
          <w:tab w:val="clear" w:pos="562"/>
          <w:tab w:val="clear" w:pos="720"/>
          <w:tab w:val="num" w:pos="550"/>
        </w:tabs>
        <w:ind w:left="550" w:hanging="550"/>
      </w:pPr>
      <w:r w:rsidRPr="00BC0E7E">
        <w:t>kidney problems</w:t>
      </w:r>
    </w:p>
    <w:p w14:paraId="196EE88F" w14:textId="77777777" w:rsidR="00BC0E7E" w:rsidRPr="00BC0E7E" w:rsidRDefault="00944B8F" w:rsidP="00BC0E7E">
      <w:pPr>
        <w:numPr>
          <w:ilvl w:val="0"/>
          <w:numId w:val="24"/>
        </w:numPr>
        <w:tabs>
          <w:tab w:val="clear" w:pos="562"/>
          <w:tab w:val="clear" w:pos="720"/>
          <w:tab w:val="num" w:pos="550"/>
        </w:tabs>
        <w:ind w:left="550" w:hanging="550"/>
      </w:pPr>
      <w:r w:rsidRPr="00BC0E7E">
        <w:t>chest pain</w:t>
      </w:r>
    </w:p>
    <w:p w14:paraId="4EDC80E0" w14:textId="77777777" w:rsidR="00BC0E7E" w:rsidRPr="00BC0E7E" w:rsidRDefault="00944B8F" w:rsidP="00BC0E7E">
      <w:pPr>
        <w:numPr>
          <w:ilvl w:val="0"/>
          <w:numId w:val="24"/>
        </w:numPr>
        <w:tabs>
          <w:tab w:val="clear" w:pos="562"/>
          <w:tab w:val="clear" w:pos="720"/>
          <w:tab w:val="num" w:pos="550"/>
        </w:tabs>
        <w:ind w:left="550" w:hanging="550"/>
      </w:pPr>
      <w:r w:rsidRPr="00BC0E7E">
        <w:t>oedema (swelling)</w:t>
      </w:r>
    </w:p>
    <w:p w14:paraId="7C4903CA" w14:textId="77777777" w:rsidR="00BC0E7E" w:rsidRPr="00BC0E7E" w:rsidRDefault="00944B8F" w:rsidP="00BC0E7E">
      <w:pPr>
        <w:numPr>
          <w:ilvl w:val="0"/>
          <w:numId w:val="24"/>
        </w:numPr>
        <w:tabs>
          <w:tab w:val="clear" w:pos="562"/>
          <w:tab w:val="clear" w:pos="720"/>
          <w:tab w:val="num" w:pos="550"/>
        </w:tabs>
        <w:ind w:left="550" w:hanging="550"/>
      </w:pPr>
      <w:r w:rsidRPr="00BC0E7E">
        <w:t>fever</w:t>
      </w:r>
    </w:p>
    <w:p w14:paraId="1823443C" w14:textId="77777777" w:rsidR="00BC0E7E" w:rsidRPr="00BC0E7E" w:rsidRDefault="00944B8F" w:rsidP="00BC0E7E">
      <w:pPr>
        <w:numPr>
          <w:ilvl w:val="0"/>
          <w:numId w:val="24"/>
        </w:numPr>
        <w:tabs>
          <w:tab w:val="clear" w:pos="562"/>
          <w:tab w:val="clear" w:pos="720"/>
          <w:tab w:val="num" w:pos="550"/>
        </w:tabs>
        <w:ind w:left="550" w:hanging="550"/>
      </w:pPr>
      <w:r w:rsidRPr="00BC0E7E">
        <w:t>reduction in blood platelets which increases risk of bleeding or bruising</w:t>
      </w:r>
    </w:p>
    <w:p w14:paraId="1BFD8259" w14:textId="77777777" w:rsidR="00BC0E7E" w:rsidRPr="00BC0E7E" w:rsidRDefault="00944B8F" w:rsidP="00BC0E7E">
      <w:pPr>
        <w:numPr>
          <w:ilvl w:val="0"/>
          <w:numId w:val="24"/>
        </w:numPr>
        <w:tabs>
          <w:tab w:val="clear" w:pos="562"/>
          <w:tab w:val="clear" w:pos="720"/>
          <w:tab w:val="num" w:pos="550"/>
        </w:tabs>
        <w:ind w:left="550" w:hanging="550"/>
      </w:pPr>
      <w:r w:rsidRPr="00BC0E7E">
        <w:t>impaired healing</w:t>
      </w:r>
    </w:p>
    <w:p w14:paraId="677E4DEC" w14:textId="77777777" w:rsidR="00BC0E7E" w:rsidRPr="00BC0E7E" w:rsidRDefault="00BC0E7E" w:rsidP="00BC0E7E">
      <w:pPr>
        <w:tabs>
          <w:tab w:val="clear" w:pos="562"/>
          <w:tab w:val="num" w:pos="550"/>
        </w:tabs>
        <w:ind w:left="550" w:hanging="550"/>
      </w:pPr>
    </w:p>
    <w:p w14:paraId="73803C69" w14:textId="77777777" w:rsidR="00BC0E7E" w:rsidRPr="00BC0E7E" w:rsidRDefault="00944B8F" w:rsidP="00BC0E7E">
      <w:pPr>
        <w:tabs>
          <w:tab w:val="clear" w:pos="562"/>
          <w:tab w:val="num" w:pos="550"/>
        </w:tabs>
        <w:ind w:left="550" w:hanging="550"/>
      </w:pPr>
      <w:r w:rsidRPr="00BC0E7E">
        <w:rPr>
          <w:b/>
        </w:rPr>
        <w:t>Uncommon</w:t>
      </w:r>
      <w:r w:rsidRPr="00BC0E7E">
        <w:t xml:space="preserve"> (may affect up to 1 in 100 people)</w:t>
      </w:r>
    </w:p>
    <w:p w14:paraId="199A74A5" w14:textId="77777777" w:rsidR="00BC0E7E" w:rsidRPr="00BC0E7E" w:rsidRDefault="00BC0E7E" w:rsidP="00BC0E7E">
      <w:pPr>
        <w:tabs>
          <w:tab w:val="clear" w:pos="562"/>
          <w:tab w:val="num" w:pos="550"/>
        </w:tabs>
        <w:ind w:left="550" w:hanging="550"/>
      </w:pPr>
    </w:p>
    <w:p w14:paraId="55799204" w14:textId="77777777" w:rsidR="00BC0E7E" w:rsidRPr="00BC0E7E" w:rsidRDefault="00944B8F" w:rsidP="00BC0E7E">
      <w:pPr>
        <w:numPr>
          <w:ilvl w:val="0"/>
          <w:numId w:val="25"/>
        </w:numPr>
        <w:tabs>
          <w:tab w:val="clear" w:pos="562"/>
          <w:tab w:val="clear" w:pos="720"/>
          <w:tab w:val="num" w:pos="550"/>
        </w:tabs>
        <w:ind w:left="550" w:hanging="550"/>
      </w:pPr>
      <w:r w:rsidRPr="00BC0E7E">
        <w:t>opportunistic infections (which include tuberculosis and other infections that occur when resistance to disease is lowered)</w:t>
      </w:r>
    </w:p>
    <w:p w14:paraId="33E38682" w14:textId="77777777" w:rsidR="00BC0E7E" w:rsidRPr="00BC0E7E" w:rsidRDefault="00944B8F" w:rsidP="00BC0E7E">
      <w:pPr>
        <w:numPr>
          <w:ilvl w:val="0"/>
          <w:numId w:val="25"/>
        </w:numPr>
        <w:tabs>
          <w:tab w:val="clear" w:pos="562"/>
          <w:tab w:val="clear" w:pos="720"/>
          <w:tab w:val="num" w:pos="550"/>
        </w:tabs>
        <w:ind w:left="550" w:hanging="550"/>
      </w:pPr>
      <w:r w:rsidRPr="00BC0E7E">
        <w:t>neurological infections (including viral meningitis)</w:t>
      </w:r>
    </w:p>
    <w:p w14:paraId="3AAC0803" w14:textId="77777777" w:rsidR="00BC0E7E" w:rsidRPr="00BC0E7E" w:rsidRDefault="00944B8F" w:rsidP="00BC0E7E">
      <w:pPr>
        <w:numPr>
          <w:ilvl w:val="0"/>
          <w:numId w:val="25"/>
        </w:numPr>
        <w:tabs>
          <w:tab w:val="clear" w:pos="562"/>
          <w:tab w:val="clear" w:pos="720"/>
          <w:tab w:val="num" w:pos="550"/>
        </w:tabs>
        <w:ind w:left="550" w:hanging="550"/>
      </w:pPr>
      <w:r w:rsidRPr="00BC0E7E">
        <w:t>eye infections</w:t>
      </w:r>
    </w:p>
    <w:p w14:paraId="74BC2C4F" w14:textId="77777777" w:rsidR="00BC0E7E" w:rsidRPr="00BC0E7E" w:rsidRDefault="00944B8F" w:rsidP="00BC0E7E">
      <w:pPr>
        <w:numPr>
          <w:ilvl w:val="0"/>
          <w:numId w:val="25"/>
        </w:numPr>
        <w:tabs>
          <w:tab w:val="clear" w:pos="562"/>
          <w:tab w:val="clear" w:pos="720"/>
          <w:tab w:val="num" w:pos="550"/>
        </w:tabs>
        <w:ind w:left="550" w:hanging="550"/>
      </w:pPr>
      <w:r w:rsidRPr="00BC0E7E">
        <w:t>bacterial infections</w:t>
      </w:r>
    </w:p>
    <w:p w14:paraId="71FCCF01" w14:textId="77777777" w:rsidR="00BC0E7E" w:rsidRPr="00BC0E7E" w:rsidRDefault="00944B8F" w:rsidP="00BC0E7E">
      <w:pPr>
        <w:numPr>
          <w:ilvl w:val="0"/>
          <w:numId w:val="25"/>
        </w:numPr>
        <w:tabs>
          <w:tab w:val="clear" w:pos="562"/>
          <w:tab w:val="clear" w:pos="720"/>
          <w:tab w:val="num" w:pos="550"/>
        </w:tabs>
        <w:ind w:left="550" w:hanging="550"/>
      </w:pPr>
      <w:r w:rsidRPr="00BC0E7E">
        <w:t>diverticulitis (inflammation and infection of the large intestine)</w:t>
      </w:r>
    </w:p>
    <w:p w14:paraId="0A9E4065" w14:textId="77777777" w:rsidR="00BC0E7E" w:rsidRPr="00BC0E7E" w:rsidRDefault="00944B8F" w:rsidP="00BC0E7E">
      <w:pPr>
        <w:numPr>
          <w:ilvl w:val="0"/>
          <w:numId w:val="25"/>
        </w:numPr>
        <w:tabs>
          <w:tab w:val="clear" w:pos="562"/>
          <w:tab w:val="clear" w:pos="720"/>
          <w:tab w:val="num" w:pos="550"/>
        </w:tabs>
        <w:ind w:left="550" w:hanging="550"/>
      </w:pPr>
      <w:r w:rsidRPr="00BC0E7E">
        <w:t>cancer</w:t>
      </w:r>
    </w:p>
    <w:p w14:paraId="74190CE0" w14:textId="77777777" w:rsidR="00BC0E7E" w:rsidRPr="00BC0E7E" w:rsidRDefault="00944B8F" w:rsidP="00BC0E7E">
      <w:pPr>
        <w:numPr>
          <w:ilvl w:val="0"/>
          <w:numId w:val="25"/>
        </w:numPr>
        <w:tabs>
          <w:tab w:val="clear" w:pos="562"/>
          <w:tab w:val="clear" w:pos="720"/>
          <w:tab w:val="num" w:pos="550"/>
        </w:tabs>
        <w:ind w:left="550" w:hanging="550"/>
      </w:pPr>
      <w:r w:rsidRPr="00BC0E7E">
        <w:t>cancer that affects the lymph system</w:t>
      </w:r>
    </w:p>
    <w:p w14:paraId="000FD155" w14:textId="77777777" w:rsidR="00BC0E7E" w:rsidRPr="00BC0E7E" w:rsidRDefault="00944B8F" w:rsidP="00BC0E7E">
      <w:pPr>
        <w:numPr>
          <w:ilvl w:val="0"/>
          <w:numId w:val="25"/>
        </w:numPr>
        <w:tabs>
          <w:tab w:val="clear" w:pos="562"/>
          <w:tab w:val="clear" w:pos="720"/>
          <w:tab w:val="num" w:pos="550"/>
        </w:tabs>
        <w:ind w:left="550" w:hanging="550"/>
      </w:pPr>
      <w:r w:rsidRPr="00BC0E7E">
        <w:t>melanoma</w:t>
      </w:r>
    </w:p>
    <w:p w14:paraId="79DE6957" w14:textId="77777777" w:rsidR="00BC0E7E" w:rsidRPr="00BC0E7E" w:rsidRDefault="00944B8F" w:rsidP="00BC0E7E">
      <w:pPr>
        <w:numPr>
          <w:ilvl w:val="0"/>
          <w:numId w:val="25"/>
        </w:numPr>
        <w:tabs>
          <w:tab w:val="clear" w:pos="562"/>
          <w:tab w:val="clear" w:pos="720"/>
          <w:tab w:val="num" w:pos="550"/>
        </w:tabs>
        <w:ind w:left="550" w:hanging="550"/>
      </w:pPr>
      <w:r w:rsidRPr="00BC0E7E">
        <w:t>immune disorders that could affect the lungs, skin and lymph nodes (most commonly presenting as sarcoidosis)</w:t>
      </w:r>
    </w:p>
    <w:p w14:paraId="647C290A" w14:textId="77777777" w:rsidR="00BC0E7E" w:rsidRPr="00BC0E7E" w:rsidRDefault="00944B8F" w:rsidP="00BC0E7E">
      <w:pPr>
        <w:numPr>
          <w:ilvl w:val="0"/>
          <w:numId w:val="25"/>
        </w:numPr>
        <w:tabs>
          <w:tab w:val="clear" w:pos="562"/>
          <w:tab w:val="clear" w:pos="720"/>
          <w:tab w:val="num" w:pos="550"/>
        </w:tabs>
        <w:ind w:left="550" w:hanging="550"/>
      </w:pPr>
      <w:r w:rsidRPr="00BC0E7E">
        <w:t>vasculitis (inflammation of blood vessels)</w:t>
      </w:r>
    </w:p>
    <w:p w14:paraId="0A3F449F" w14:textId="77777777" w:rsidR="00BC0E7E" w:rsidRPr="00BC0E7E" w:rsidRDefault="00944B8F" w:rsidP="00BC0E7E">
      <w:pPr>
        <w:numPr>
          <w:ilvl w:val="0"/>
          <w:numId w:val="25"/>
        </w:numPr>
        <w:tabs>
          <w:tab w:val="clear" w:pos="562"/>
          <w:tab w:val="clear" w:pos="720"/>
          <w:tab w:val="num" w:pos="550"/>
        </w:tabs>
        <w:ind w:left="550" w:hanging="550"/>
      </w:pPr>
      <w:r w:rsidRPr="00BC0E7E">
        <w:t>tremor (shaking)</w:t>
      </w:r>
    </w:p>
    <w:p w14:paraId="38382F06" w14:textId="77777777" w:rsidR="00BC0E7E" w:rsidRPr="00BC0E7E" w:rsidRDefault="00944B8F" w:rsidP="00BC0E7E">
      <w:pPr>
        <w:numPr>
          <w:ilvl w:val="0"/>
          <w:numId w:val="25"/>
        </w:numPr>
        <w:tabs>
          <w:tab w:val="clear" w:pos="562"/>
          <w:tab w:val="clear" w:pos="720"/>
          <w:tab w:val="num" w:pos="550"/>
        </w:tabs>
        <w:ind w:left="550" w:hanging="550"/>
      </w:pPr>
      <w:r w:rsidRPr="00BC0E7E">
        <w:t>neuropathy (disorder of the nerves)</w:t>
      </w:r>
    </w:p>
    <w:p w14:paraId="5E70D9E9" w14:textId="77777777" w:rsidR="00BC0E7E" w:rsidRPr="00BC0E7E" w:rsidRDefault="00944B8F" w:rsidP="00BC0E7E">
      <w:pPr>
        <w:numPr>
          <w:ilvl w:val="0"/>
          <w:numId w:val="25"/>
        </w:numPr>
        <w:tabs>
          <w:tab w:val="clear" w:pos="562"/>
          <w:tab w:val="clear" w:pos="720"/>
          <w:tab w:val="num" w:pos="550"/>
        </w:tabs>
        <w:ind w:left="550" w:hanging="550"/>
      </w:pPr>
      <w:r w:rsidRPr="00BC0E7E">
        <w:t>stroke</w:t>
      </w:r>
    </w:p>
    <w:p w14:paraId="2A64AC98" w14:textId="77777777" w:rsidR="00BC0E7E" w:rsidRPr="00BC0E7E" w:rsidRDefault="00944B8F" w:rsidP="00BC0E7E">
      <w:pPr>
        <w:numPr>
          <w:ilvl w:val="0"/>
          <w:numId w:val="25"/>
        </w:numPr>
        <w:tabs>
          <w:tab w:val="clear" w:pos="562"/>
          <w:tab w:val="clear" w:pos="720"/>
          <w:tab w:val="num" w:pos="550"/>
        </w:tabs>
        <w:ind w:left="550" w:hanging="550"/>
      </w:pPr>
      <w:r w:rsidRPr="00BC0E7E">
        <w:t>hearing loss, buzzing</w:t>
      </w:r>
    </w:p>
    <w:p w14:paraId="733DFABD" w14:textId="77777777" w:rsidR="00BC0E7E" w:rsidRPr="00BC0E7E" w:rsidRDefault="00944B8F" w:rsidP="00BC0E7E">
      <w:pPr>
        <w:numPr>
          <w:ilvl w:val="0"/>
          <w:numId w:val="25"/>
        </w:numPr>
        <w:tabs>
          <w:tab w:val="clear" w:pos="562"/>
          <w:tab w:val="clear" w:pos="720"/>
          <w:tab w:val="num" w:pos="550"/>
        </w:tabs>
        <w:ind w:left="550" w:hanging="550"/>
      </w:pPr>
      <w:r w:rsidRPr="00BC0E7E">
        <w:t>sensation of heart beating irregularly such as skipped beats</w:t>
      </w:r>
    </w:p>
    <w:p w14:paraId="2BC9155B" w14:textId="77777777" w:rsidR="00BC0E7E" w:rsidRPr="00BC0E7E" w:rsidRDefault="00944B8F" w:rsidP="00BC0E7E">
      <w:pPr>
        <w:numPr>
          <w:ilvl w:val="0"/>
          <w:numId w:val="25"/>
        </w:numPr>
        <w:tabs>
          <w:tab w:val="clear" w:pos="562"/>
          <w:tab w:val="clear" w:pos="720"/>
          <w:tab w:val="num" w:pos="550"/>
        </w:tabs>
        <w:ind w:left="550" w:hanging="550"/>
      </w:pPr>
      <w:r w:rsidRPr="00BC0E7E">
        <w:t>heart problems that can cause shortness of breath or ankle swelling</w:t>
      </w:r>
    </w:p>
    <w:p w14:paraId="5C44FEBA" w14:textId="77777777" w:rsidR="00BC0E7E" w:rsidRPr="00BC0E7E" w:rsidRDefault="00944B8F" w:rsidP="00BC0E7E">
      <w:pPr>
        <w:numPr>
          <w:ilvl w:val="0"/>
          <w:numId w:val="25"/>
        </w:numPr>
        <w:tabs>
          <w:tab w:val="clear" w:pos="562"/>
          <w:tab w:val="clear" w:pos="720"/>
          <w:tab w:val="num" w:pos="550"/>
        </w:tabs>
        <w:ind w:left="550" w:hanging="550"/>
      </w:pPr>
      <w:r w:rsidRPr="00BC0E7E">
        <w:t>heart attack</w:t>
      </w:r>
    </w:p>
    <w:p w14:paraId="5DED0806" w14:textId="77777777" w:rsidR="00BC0E7E" w:rsidRPr="00BC0E7E" w:rsidRDefault="00944B8F" w:rsidP="00BC0E7E">
      <w:pPr>
        <w:numPr>
          <w:ilvl w:val="0"/>
          <w:numId w:val="25"/>
        </w:numPr>
        <w:tabs>
          <w:tab w:val="clear" w:pos="562"/>
          <w:tab w:val="clear" w:pos="720"/>
          <w:tab w:val="num" w:pos="550"/>
        </w:tabs>
        <w:ind w:left="550" w:hanging="550"/>
      </w:pPr>
      <w:r w:rsidRPr="00BC0E7E">
        <w:t>a sac in the wall of a major artery, inflammation and clot of a vein; blockage of a blood vessel</w:t>
      </w:r>
    </w:p>
    <w:p w14:paraId="6959C1F1" w14:textId="77777777" w:rsidR="00BC0E7E" w:rsidRPr="00BC0E7E" w:rsidRDefault="00944B8F" w:rsidP="00BC0E7E">
      <w:pPr>
        <w:numPr>
          <w:ilvl w:val="0"/>
          <w:numId w:val="25"/>
        </w:numPr>
        <w:tabs>
          <w:tab w:val="clear" w:pos="562"/>
          <w:tab w:val="clear" w:pos="720"/>
          <w:tab w:val="num" w:pos="550"/>
        </w:tabs>
        <w:ind w:left="550" w:hanging="550"/>
      </w:pPr>
      <w:r w:rsidRPr="00BC0E7E">
        <w:lastRenderedPageBreak/>
        <w:t>lung diseases causing shortness of breath (including inflammation)</w:t>
      </w:r>
    </w:p>
    <w:p w14:paraId="33722CBE" w14:textId="77777777" w:rsidR="00BC0E7E" w:rsidRPr="00BC0E7E" w:rsidRDefault="00944B8F" w:rsidP="00BC0E7E">
      <w:pPr>
        <w:numPr>
          <w:ilvl w:val="0"/>
          <w:numId w:val="25"/>
        </w:numPr>
        <w:tabs>
          <w:tab w:val="clear" w:pos="562"/>
          <w:tab w:val="clear" w:pos="720"/>
          <w:tab w:val="num" w:pos="550"/>
        </w:tabs>
        <w:ind w:left="550" w:hanging="550"/>
      </w:pPr>
      <w:r w:rsidRPr="00BC0E7E">
        <w:t>pulmonary embolism (blockage in an artery of the lung)</w:t>
      </w:r>
    </w:p>
    <w:p w14:paraId="3E2B47F8" w14:textId="77777777" w:rsidR="00BC0E7E" w:rsidRPr="00BC0E7E" w:rsidRDefault="00944B8F" w:rsidP="00BC0E7E">
      <w:pPr>
        <w:numPr>
          <w:ilvl w:val="0"/>
          <w:numId w:val="25"/>
        </w:numPr>
        <w:tabs>
          <w:tab w:val="clear" w:pos="562"/>
          <w:tab w:val="clear" w:pos="720"/>
          <w:tab w:val="num" w:pos="550"/>
        </w:tabs>
        <w:ind w:left="550" w:hanging="550"/>
      </w:pPr>
      <w:r w:rsidRPr="00BC0E7E">
        <w:t>pleural effusion (abnormal collection of fluid in the pleural space)</w:t>
      </w:r>
    </w:p>
    <w:p w14:paraId="1D74D1DB" w14:textId="77777777" w:rsidR="00BC0E7E" w:rsidRPr="00BC0E7E" w:rsidRDefault="00944B8F" w:rsidP="00BC0E7E">
      <w:pPr>
        <w:numPr>
          <w:ilvl w:val="0"/>
          <w:numId w:val="25"/>
        </w:numPr>
        <w:tabs>
          <w:tab w:val="clear" w:pos="562"/>
          <w:tab w:val="clear" w:pos="720"/>
          <w:tab w:val="num" w:pos="550"/>
        </w:tabs>
        <w:ind w:left="550" w:hanging="550"/>
      </w:pPr>
      <w:r w:rsidRPr="00BC0E7E">
        <w:t>inflammation of the pancreas which causes severe pain in the abdomen and back</w:t>
      </w:r>
    </w:p>
    <w:p w14:paraId="25A39374" w14:textId="77777777" w:rsidR="00BC0E7E" w:rsidRPr="00BC0E7E" w:rsidRDefault="00944B8F" w:rsidP="00BC0E7E">
      <w:pPr>
        <w:numPr>
          <w:ilvl w:val="0"/>
          <w:numId w:val="25"/>
        </w:numPr>
        <w:tabs>
          <w:tab w:val="clear" w:pos="562"/>
          <w:tab w:val="clear" w:pos="720"/>
          <w:tab w:val="num" w:pos="550"/>
        </w:tabs>
        <w:ind w:left="550" w:hanging="550"/>
      </w:pPr>
      <w:r w:rsidRPr="00BC0E7E">
        <w:t>difficulty in swallowing</w:t>
      </w:r>
    </w:p>
    <w:p w14:paraId="0F5C9B44" w14:textId="77777777" w:rsidR="00BC0E7E" w:rsidRPr="00BC0E7E" w:rsidRDefault="00944B8F" w:rsidP="00BC0E7E">
      <w:pPr>
        <w:numPr>
          <w:ilvl w:val="0"/>
          <w:numId w:val="25"/>
        </w:numPr>
        <w:tabs>
          <w:tab w:val="clear" w:pos="562"/>
          <w:tab w:val="clear" w:pos="720"/>
          <w:tab w:val="num" w:pos="550"/>
        </w:tabs>
        <w:ind w:left="550" w:hanging="550"/>
      </w:pPr>
      <w:r w:rsidRPr="00BC0E7E">
        <w:t>facial oedema (swelling of the face)</w:t>
      </w:r>
    </w:p>
    <w:p w14:paraId="6EBD362C" w14:textId="77777777" w:rsidR="00BC0E7E" w:rsidRPr="00BC0E7E" w:rsidRDefault="00944B8F" w:rsidP="00BC0E7E">
      <w:pPr>
        <w:numPr>
          <w:ilvl w:val="0"/>
          <w:numId w:val="25"/>
        </w:numPr>
        <w:tabs>
          <w:tab w:val="clear" w:pos="562"/>
          <w:tab w:val="clear" w:pos="720"/>
          <w:tab w:val="num" w:pos="550"/>
        </w:tabs>
        <w:ind w:left="550" w:hanging="550"/>
      </w:pPr>
      <w:r w:rsidRPr="00BC0E7E">
        <w:t>gallbladder inflammation, gallbladder stones</w:t>
      </w:r>
    </w:p>
    <w:p w14:paraId="6BD43835" w14:textId="77777777" w:rsidR="00BC0E7E" w:rsidRPr="00BC0E7E" w:rsidRDefault="00944B8F" w:rsidP="00BC0E7E">
      <w:pPr>
        <w:numPr>
          <w:ilvl w:val="0"/>
          <w:numId w:val="25"/>
        </w:numPr>
        <w:tabs>
          <w:tab w:val="clear" w:pos="562"/>
          <w:tab w:val="clear" w:pos="720"/>
          <w:tab w:val="num" w:pos="550"/>
        </w:tabs>
        <w:ind w:left="550" w:hanging="550"/>
      </w:pPr>
      <w:r w:rsidRPr="00BC0E7E">
        <w:t>fatty liver</w:t>
      </w:r>
    </w:p>
    <w:p w14:paraId="477D3DC4" w14:textId="77777777" w:rsidR="00BC0E7E" w:rsidRPr="00BC0E7E" w:rsidRDefault="00944B8F" w:rsidP="00BC0E7E">
      <w:pPr>
        <w:numPr>
          <w:ilvl w:val="0"/>
          <w:numId w:val="25"/>
        </w:numPr>
        <w:tabs>
          <w:tab w:val="clear" w:pos="562"/>
          <w:tab w:val="clear" w:pos="720"/>
          <w:tab w:val="num" w:pos="550"/>
        </w:tabs>
        <w:ind w:left="550" w:hanging="550"/>
      </w:pPr>
      <w:r w:rsidRPr="00BC0E7E">
        <w:t>night sweats</w:t>
      </w:r>
    </w:p>
    <w:p w14:paraId="2AB7736D" w14:textId="77777777" w:rsidR="00BC0E7E" w:rsidRPr="00BC0E7E" w:rsidRDefault="00944B8F" w:rsidP="00BC0E7E">
      <w:pPr>
        <w:numPr>
          <w:ilvl w:val="0"/>
          <w:numId w:val="25"/>
        </w:numPr>
        <w:tabs>
          <w:tab w:val="clear" w:pos="562"/>
          <w:tab w:val="clear" w:pos="720"/>
          <w:tab w:val="num" w:pos="550"/>
        </w:tabs>
        <w:ind w:left="550" w:hanging="550"/>
      </w:pPr>
      <w:r w:rsidRPr="00BC0E7E">
        <w:t>scar</w:t>
      </w:r>
    </w:p>
    <w:p w14:paraId="5AD3F3AA" w14:textId="77777777" w:rsidR="00BC0E7E" w:rsidRPr="00BC0E7E" w:rsidRDefault="00944B8F" w:rsidP="00BC0E7E">
      <w:pPr>
        <w:numPr>
          <w:ilvl w:val="0"/>
          <w:numId w:val="25"/>
        </w:numPr>
        <w:tabs>
          <w:tab w:val="clear" w:pos="562"/>
          <w:tab w:val="clear" w:pos="720"/>
          <w:tab w:val="num" w:pos="550"/>
        </w:tabs>
        <w:ind w:left="550" w:hanging="550"/>
      </w:pPr>
      <w:r w:rsidRPr="00BC0E7E">
        <w:t>abnormal muscle breakdown</w:t>
      </w:r>
    </w:p>
    <w:p w14:paraId="10379D26" w14:textId="77777777" w:rsidR="00BC0E7E" w:rsidRPr="00BC0E7E" w:rsidRDefault="00944B8F" w:rsidP="00BC0E7E">
      <w:pPr>
        <w:numPr>
          <w:ilvl w:val="0"/>
          <w:numId w:val="25"/>
        </w:numPr>
        <w:tabs>
          <w:tab w:val="clear" w:pos="562"/>
          <w:tab w:val="clear" w:pos="720"/>
          <w:tab w:val="num" w:pos="550"/>
        </w:tabs>
        <w:ind w:left="550" w:hanging="550"/>
      </w:pPr>
      <w:r w:rsidRPr="00BC0E7E">
        <w:t>systemic lupus erythematosus (including inflammation of skin, heart, lung, joints and other organ systems)</w:t>
      </w:r>
    </w:p>
    <w:p w14:paraId="40946CDB" w14:textId="77777777" w:rsidR="00BC0E7E" w:rsidRPr="00BC0E7E" w:rsidRDefault="00944B8F" w:rsidP="00BC0E7E">
      <w:pPr>
        <w:numPr>
          <w:ilvl w:val="0"/>
          <w:numId w:val="25"/>
        </w:numPr>
        <w:tabs>
          <w:tab w:val="clear" w:pos="562"/>
          <w:tab w:val="clear" w:pos="720"/>
          <w:tab w:val="num" w:pos="550"/>
        </w:tabs>
        <w:ind w:left="550" w:hanging="550"/>
      </w:pPr>
      <w:r w:rsidRPr="00BC0E7E">
        <w:t>sleep interruptions</w:t>
      </w:r>
    </w:p>
    <w:p w14:paraId="1920F44A" w14:textId="77777777" w:rsidR="00BC0E7E" w:rsidRPr="00BC0E7E" w:rsidRDefault="00944B8F" w:rsidP="00BC0E7E">
      <w:pPr>
        <w:numPr>
          <w:ilvl w:val="0"/>
          <w:numId w:val="25"/>
        </w:numPr>
        <w:tabs>
          <w:tab w:val="clear" w:pos="562"/>
          <w:tab w:val="clear" w:pos="720"/>
          <w:tab w:val="num" w:pos="550"/>
        </w:tabs>
        <w:ind w:left="550" w:hanging="550"/>
      </w:pPr>
      <w:r w:rsidRPr="00BC0E7E">
        <w:t>impotence</w:t>
      </w:r>
    </w:p>
    <w:p w14:paraId="20486F7C" w14:textId="77777777" w:rsidR="00BC0E7E" w:rsidRPr="00BC0E7E" w:rsidRDefault="00944B8F" w:rsidP="00BC0E7E">
      <w:pPr>
        <w:numPr>
          <w:ilvl w:val="0"/>
          <w:numId w:val="25"/>
        </w:numPr>
        <w:tabs>
          <w:tab w:val="clear" w:pos="562"/>
          <w:tab w:val="clear" w:pos="720"/>
          <w:tab w:val="num" w:pos="550"/>
        </w:tabs>
        <w:ind w:left="550" w:hanging="550"/>
      </w:pPr>
      <w:r w:rsidRPr="00BC0E7E">
        <w:t>inflammations</w:t>
      </w:r>
    </w:p>
    <w:p w14:paraId="15E9AF28" w14:textId="77777777" w:rsidR="00BC0E7E" w:rsidRPr="00BC0E7E" w:rsidRDefault="00BC0E7E" w:rsidP="00BC0E7E">
      <w:pPr>
        <w:tabs>
          <w:tab w:val="clear" w:pos="562"/>
          <w:tab w:val="num" w:pos="550"/>
        </w:tabs>
        <w:ind w:left="550" w:hanging="550"/>
      </w:pPr>
    </w:p>
    <w:p w14:paraId="40F15378" w14:textId="77777777" w:rsidR="00BC0E7E" w:rsidRPr="00BC0E7E" w:rsidRDefault="00944B8F" w:rsidP="00BC0E7E">
      <w:pPr>
        <w:tabs>
          <w:tab w:val="clear" w:pos="562"/>
          <w:tab w:val="num" w:pos="550"/>
        </w:tabs>
        <w:ind w:left="550" w:hanging="550"/>
      </w:pPr>
      <w:r w:rsidRPr="00BC0E7E">
        <w:rPr>
          <w:b/>
        </w:rPr>
        <w:t>Rare</w:t>
      </w:r>
      <w:r w:rsidRPr="00BC0E7E">
        <w:t xml:space="preserve"> (may affect up to 1 in 1,000 people)</w:t>
      </w:r>
    </w:p>
    <w:p w14:paraId="051BF671" w14:textId="77777777" w:rsidR="00BC0E7E" w:rsidRPr="00BC0E7E" w:rsidRDefault="00BC0E7E" w:rsidP="00BC0E7E">
      <w:pPr>
        <w:tabs>
          <w:tab w:val="clear" w:pos="562"/>
          <w:tab w:val="num" w:pos="550"/>
        </w:tabs>
        <w:ind w:left="550" w:hanging="550"/>
      </w:pPr>
    </w:p>
    <w:p w14:paraId="1CCA0A58" w14:textId="77777777" w:rsidR="00BC0E7E" w:rsidRPr="00BC0E7E" w:rsidRDefault="00944B8F" w:rsidP="00BC0E7E">
      <w:pPr>
        <w:numPr>
          <w:ilvl w:val="0"/>
          <w:numId w:val="21"/>
        </w:numPr>
        <w:tabs>
          <w:tab w:val="clear" w:pos="562"/>
          <w:tab w:val="clear" w:pos="720"/>
          <w:tab w:val="num" w:pos="550"/>
        </w:tabs>
        <w:ind w:left="550" w:hanging="550"/>
      </w:pPr>
      <w:r w:rsidRPr="00BC0E7E">
        <w:t>leukaemia (cancer affecting the blood and bone marrow)</w:t>
      </w:r>
    </w:p>
    <w:p w14:paraId="0DFB9BC7" w14:textId="77777777" w:rsidR="00BC0E7E" w:rsidRPr="00BC0E7E" w:rsidRDefault="00944B8F" w:rsidP="00BC0E7E">
      <w:pPr>
        <w:numPr>
          <w:ilvl w:val="0"/>
          <w:numId w:val="21"/>
        </w:numPr>
        <w:tabs>
          <w:tab w:val="clear" w:pos="562"/>
          <w:tab w:val="clear" w:pos="720"/>
          <w:tab w:val="num" w:pos="550"/>
        </w:tabs>
        <w:ind w:left="550" w:hanging="550"/>
      </w:pPr>
      <w:r w:rsidRPr="00BC0E7E">
        <w:t>severe allergic reaction with shock</w:t>
      </w:r>
    </w:p>
    <w:p w14:paraId="0893D18D" w14:textId="77777777" w:rsidR="00BC0E7E" w:rsidRPr="00BC0E7E" w:rsidRDefault="00944B8F" w:rsidP="00BC0E7E">
      <w:pPr>
        <w:numPr>
          <w:ilvl w:val="0"/>
          <w:numId w:val="21"/>
        </w:numPr>
        <w:tabs>
          <w:tab w:val="clear" w:pos="562"/>
          <w:tab w:val="clear" w:pos="720"/>
          <w:tab w:val="num" w:pos="550"/>
        </w:tabs>
        <w:ind w:left="550" w:hanging="550"/>
      </w:pPr>
      <w:r w:rsidRPr="00BC0E7E">
        <w:t>multiple sclerosis</w:t>
      </w:r>
    </w:p>
    <w:p w14:paraId="29DAC0CD" w14:textId="77777777" w:rsidR="00BC0E7E" w:rsidRPr="00BC0E7E" w:rsidRDefault="00944B8F" w:rsidP="00BC0E7E">
      <w:pPr>
        <w:numPr>
          <w:ilvl w:val="0"/>
          <w:numId w:val="21"/>
        </w:numPr>
        <w:tabs>
          <w:tab w:val="clear" w:pos="562"/>
          <w:tab w:val="clear" w:pos="720"/>
          <w:tab w:val="num" w:pos="550"/>
        </w:tabs>
        <w:ind w:left="550" w:hanging="550"/>
      </w:pPr>
      <w:r w:rsidRPr="00BC0E7E">
        <w:t>nerve disorders (such as eye nerve inflammation and Guillain-Barré syndrome that may cause muscle weakness, abnormal sensations, tingling in the arms and upper body)</w:t>
      </w:r>
    </w:p>
    <w:p w14:paraId="48234340" w14:textId="77777777" w:rsidR="00BC0E7E" w:rsidRPr="00BC0E7E" w:rsidRDefault="00944B8F" w:rsidP="00BC0E7E">
      <w:pPr>
        <w:numPr>
          <w:ilvl w:val="0"/>
          <w:numId w:val="21"/>
        </w:numPr>
        <w:tabs>
          <w:tab w:val="clear" w:pos="562"/>
          <w:tab w:val="clear" w:pos="720"/>
          <w:tab w:val="num" w:pos="550"/>
        </w:tabs>
        <w:ind w:left="550" w:hanging="550"/>
      </w:pPr>
      <w:r w:rsidRPr="00BC0E7E">
        <w:t>heart stops pumping</w:t>
      </w:r>
    </w:p>
    <w:p w14:paraId="0BD7D2BB" w14:textId="77777777" w:rsidR="00BC0E7E" w:rsidRPr="00BC0E7E" w:rsidRDefault="00944B8F" w:rsidP="00BC0E7E">
      <w:pPr>
        <w:numPr>
          <w:ilvl w:val="0"/>
          <w:numId w:val="21"/>
        </w:numPr>
        <w:tabs>
          <w:tab w:val="clear" w:pos="562"/>
          <w:tab w:val="clear" w:pos="720"/>
          <w:tab w:val="num" w:pos="550"/>
        </w:tabs>
        <w:ind w:left="550" w:hanging="550"/>
      </w:pPr>
      <w:r w:rsidRPr="00BC0E7E">
        <w:t>pulmonary fibrosis (scarring of the lung)</w:t>
      </w:r>
    </w:p>
    <w:p w14:paraId="71BC19A9" w14:textId="77777777" w:rsidR="00BC0E7E" w:rsidRPr="00BC0E7E" w:rsidRDefault="00944B8F" w:rsidP="00BC0E7E">
      <w:pPr>
        <w:numPr>
          <w:ilvl w:val="0"/>
          <w:numId w:val="21"/>
        </w:numPr>
        <w:tabs>
          <w:tab w:val="clear" w:pos="562"/>
          <w:tab w:val="clear" w:pos="720"/>
          <w:tab w:val="num" w:pos="550"/>
        </w:tabs>
        <w:ind w:left="550" w:hanging="550"/>
      </w:pPr>
      <w:r w:rsidRPr="00BC0E7E">
        <w:t>intestinal perforation (hole in the intestine)</w:t>
      </w:r>
    </w:p>
    <w:p w14:paraId="58315E68" w14:textId="77777777" w:rsidR="00BC0E7E" w:rsidRPr="00BC0E7E" w:rsidRDefault="00944B8F" w:rsidP="00BC0E7E">
      <w:pPr>
        <w:numPr>
          <w:ilvl w:val="0"/>
          <w:numId w:val="21"/>
        </w:numPr>
        <w:tabs>
          <w:tab w:val="clear" w:pos="562"/>
          <w:tab w:val="clear" w:pos="720"/>
          <w:tab w:val="num" w:pos="550"/>
        </w:tabs>
        <w:ind w:left="550" w:hanging="550"/>
      </w:pPr>
      <w:r w:rsidRPr="00BC0E7E">
        <w:t>hepatitis</w:t>
      </w:r>
    </w:p>
    <w:p w14:paraId="78FF98EA" w14:textId="77777777" w:rsidR="00BC0E7E" w:rsidRPr="00BC0E7E" w:rsidRDefault="00944B8F" w:rsidP="00BC0E7E">
      <w:pPr>
        <w:numPr>
          <w:ilvl w:val="0"/>
          <w:numId w:val="21"/>
        </w:numPr>
        <w:tabs>
          <w:tab w:val="clear" w:pos="562"/>
          <w:tab w:val="clear" w:pos="720"/>
          <w:tab w:val="num" w:pos="550"/>
        </w:tabs>
        <w:ind w:left="550" w:hanging="550"/>
      </w:pPr>
      <w:r w:rsidRPr="00BC0E7E">
        <w:t>reactivation of hepatitis B</w:t>
      </w:r>
    </w:p>
    <w:p w14:paraId="009A40BF" w14:textId="77777777" w:rsidR="00BC0E7E" w:rsidRPr="00BC0E7E" w:rsidRDefault="00944B8F" w:rsidP="00BC0E7E">
      <w:pPr>
        <w:numPr>
          <w:ilvl w:val="0"/>
          <w:numId w:val="21"/>
        </w:numPr>
        <w:tabs>
          <w:tab w:val="clear" w:pos="562"/>
          <w:tab w:val="clear" w:pos="720"/>
          <w:tab w:val="num" w:pos="550"/>
        </w:tabs>
        <w:ind w:left="550" w:hanging="550"/>
      </w:pPr>
      <w:r w:rsidRPr="00BC0E7E">
        <w:t>autoimmune hepatitis (inflammation of the liver caused by the body's own immune system)</w:t>
      </w:r>
    </w:p>
    <w:p w14:paraId="38B29D0E" w14:textId="77777777" w:rsidR="00BC0E7E" w:rsidRPr="00BC0E7E" w:rsidRDefault="00944B8F" w:rsidP="00BC0E7E">
      <w:pPr>
        <w:numPr>
          <w:ilvl w:val="0"/>
          <w:numId w:val="21"/>
        </w:numPr>
        <w:tabs>
          <w:tab w:val="clear" w:pos="562"/>
          <w:tab w:val="clear" w:pos="720"/>
          <w:tab w:val="num" w:pos="550"/>
        </w:tabs>
        <w:ind w:left="550" w:hanging="550"/>
      </w:pPr>
      <w:r w:rsidRPr="00BC0E7E">
        <w:t>cutaneous vasculitis (inflammation of blood vessels in the skin)</w:t>
      </w:r>
    </w:p>
    <w:p w14:paraId="373FE85F" w14:textId="77777777" w:rsidR="00BC0E7E" w:rsidRPr="00BC0E7E" w:rsidRDefault="00944B8F" w:rsidP="00BC0E7E">
      <w:pPr>
        <w:numPr>
          <w:ilvl w:val="0"/>
          <w:numId w:val="21"/>
        </w:numPr>
        <w:tabs>
          <w:tab w:val="clear" w:pos="562"/>
          <w:tab w:val="clear" w:pos="720"/>
          <w:tab w:val="num" w:pos="550"/>
        </w:tabs>
        <w:ind w:left="550" w:hanging="550"/>
      </w:pPr>
      <w:r w:rsidRPr="00BC0E7E">
        <w:t>Stevens-Johnson syndrome (early symptoms include malaise, fever, headache and rash)</w:t>
      </w:r>
    </w:p>
    <w:p w14:paraId="29C251FD" w14:textId="77777777" w:rsidR="00BC0E7E" w:rsidRPr="00BC0E7E" w:rsidRDefault="00944B8F" w:rsidP="00BC0E7E">
      <w:pPr>
        <w:numPr>
          <w:ilvl w:val="0"/>
          <w:numId w:val="21"/>
        </w:numPr>
        <w:tabs>
          <w:tab w:val="clear" w:pos="562"/>
          <w:tab w:val="clear" w:pos="720"/>
          <w:tab w:val="num" w:pos="550"/>
        </w:tabs>
        <w:ind w:left="550" w:hanging="550"/>
      </w:pPr>
      <w:r w:rsidRPr="00BC0E7E">
        <w:t>facial oedema (swelling of the face) associated with allergic reactions</w:t>
      </w:r>
    </w:p>
    <w:p w14:paraId="1ED029B5" w14:textId="77777777" w:rsidR="00BC0E7E" w:rsidRPr="00BC0E7E" w:rsidRDefault="00944B8F" w:rsidP="00BC0E7E">
      <w:pPr>
        <w:numPr>
          <w:ilvl w:val="0"/>
          <w:numId w:val="21"/>
        </w:numPr>
        <w:tabs>
          <w:tab w:val="clear" w:pos="562"/>
          <w:tab w:val="clear" w:pos="720"/>
          <w:tab w:val="num" w:pos="550"/>
        </w:tabs>
        <w:ind w:left="550" w:hanging="550"/>
      </w:pPr>
      <w:r w:rsidRPr="00BC0E7E">
        <w:t>erythema multiforme (inflammatory skin rash)</w:t>
      </w:r>
    </w:p>
    <w:p w14:paraId="32DCD394" w14:textId="77777777" w:rsidR="00BC0E7E" w:rsidRDefault="00944B8F" w:rsidP="00BC0E7E">
      <w:pPr>
        <w:numPr>
          <w:ilvl w:val="0"/>
          <w:numId w:val="21"/>
        </w:numPr>
        <w:tabs>
          <w:tab w:val="clear" w:pos="562"/>
          <w:tab w:val="clear" w:pos="720"/>
          <w:tab w:val="num" w:pos="550"/>
        </w:tabs>
        <w:ind w:left="550" w:hanging="550"/>
      </w:pPr>
      <w:r w:rsidRPr="00BC0E7E">
        <w:t>lupus-like syndrome</w:t>
      </w:r>
    </w:p>
    <w:p w14:paraId="5CADB1E6" w14:textId="77777777" w:rsidR="00FA314A" w:rsidRDefault="00944B8F" w:rsidP="00BC0E7E">
      <w:pPr>
        <w:numPr>
          <w:ilvl w:val="0"/>
          <w:numId w:val="21"/>
        </w:numPr>
        <w:tabs>
          <w:tab w:val="clear" w:pos="562"/>
          <w:tab w:val="clear" w:pos="720"/>
          <w:tab w:val="num" w:pos="550"/>
        </w:tabs>
        <w:ind w:left="550" w:hanging="550"/>
      </w:pPr>
      <w:r>
        <w:t>angioedema (localized swelling of the skin)</w:t>
      </w:r>
    </w:p>
    <w:p w14:paraId="0E8EBC4B" w14:textId="77777777" w:rsidR="00810DA3" w:rsidRPr="00BC0E7E" w:rsidRDefault="00944B8F" w:rsidP="00BC0E7E">
      <w:pPr>
        <w:numPr>
          <w:ilvl w:val="0"/>
          <w:numId w:val="21"/>
        </w:numPr>
        <w:tabs>
          <w:tab w:val="clear" w:pos="562"/>
          <w:tab w:val="clear" w:pos="720"/>
          <w:tab w:val="num" w:pos="550"/>
        </w:tabs>
        <w:ind w:left="550" w:hanging="550"/>
      </w:pPr>
      <w:r>
        <w:t>lichenoid skin reaction (</w:t>
      </w:r>
      <w:r w:rsidRPr="00747944">
        <w:t>it</w:t>
      </w:r>
      <w:r>
        <w:t xml:space="preserve">chy reddish-purple skin </w:t>
      </w:r>
      <w:r w:rsidRPr="00747944">
        <w:t>rash</w:t>
      </w:r>
      <w:r>
        <w:t>)</w:t>
      </w:r>
    </w:p>
    <w:p w14:paraId="14DA46C4" w14:textId="77777777" w:rsidR="00BC0E7E" w:rsidRPr="00BC0E7E" w:rsidRDefault="00BC0E7E" w:rsidP="00BC0E7E">
      <w:pPr>
        <w:rPr>
          <w:szCs w:val="20"/>
        </w:rPr>
      </w:pPr>
    </w:p>
    <w:p w14:paraId="14D9858D" w14:textId="77777777" w:rsidR="00BC0E7E" w:rsidRPr="00BC0E7E" w:rsidRDefault="00944B8F" w:rsidP="00BC0E7E">
      <w:pPr>
        <w:keepNext/>
        <w:rPr>
          <w:rFonts w:eastAsia="MS Mincho"/>
          <w:szCs w:val="20"/>
        </w:rPr>
      </w:pPr>
      <w:r w:rsidRPr="00BC0E7E">
        <w:rPr>
          <w:rFonts w:eastAsia="MS Mincho"/>
          <w:b/>
          <w:szCs w:val="20"/>
        </w:rPr>
        <w:t>Not known</w:t>
      </w:r>
      <w:r w:rsidRPr="00BC0E7E">
        <w:rPr>
          <w:rFonts w:eastAsia="MS Mincho"/>
          <w:szCs w:val="20"/>
        </w:rPr>
        <w:t xml:space="preserve"> (frequency cannot be estimated from the available data)</w:t>
      </w:r>
    </w:p>
    <w:p w14:paraId="77E53C79" w14:textId="77777777" w:rsidR="00BC0E7E" w:rsidRPr="00BC0E7E" w:rsidRDefault="00BC0E7E" w:rsidP="00BC0E7E">
      <w:pPr>
        <w:keepNext/>
        <w:rPr>
          <w:rFonts w:eastAsia="MS Mincho"/>
          <w:szCs w:val="20"/>
        </w:rPr>
      </w:pPr>
    </w:p>
    <w:p w14:paraId="304DEE63" w14:textId="77777777" w:rsidR="00BC0E7E" w:rsidRPr="00BC0E7E" w:rsidRDefault="00944B8F" w:rsidP="00D51999">
      <w:pPr>
        <w:keepNext/>
        <w:numPr>
          <w:ilvl w:val="0"/>
          <w:numId w:val="43"/>
        </w:numPr>
        <w:rPr>
          <w:rFonts w:eastAsia="MS Mincho"/>
          <w:szCs w:val="20"/>
        </w:rPr>
      </w:pPr>
      <w:r w:rsidRPr="00BC0E7E">
        <w:rPr>
          <w:rFonts w:eastAsia="MS Mincho"/>
          <w:szCs w:val="20"/>
        </w:rPr>
        <w:t>hepatosplenic T-cell lymphoma (a rare blood cancer that is often fatal)</w:t>
      </w:r>
    </w:p>
    <w:p w14:paraId="38BF0C54" w14:textId="77777777" w:rsidR="00BC0E7E" w:rsidRDefault="00944B8F" w:rsidP="00D51999">
      <w:pPr>
        <w:keepNext/>
        <w:numPr>
          <w:ilvl w:val="0"/>
          <w:numId w:val="43"/>
        </w:numPr>
        <w:rPr>
          <w:rFonts w:eastAsia="MS Mincho"/>
          <w:szCs w:val="20"/>
        </w:rPr>
      </w:pPr>
      <w:r w:rsidRPr="00BC0E7E">
        <w:rPr>
          <w:rFonts w:eastAsia="MS Mincho"/>
          <w:szCs w:val="20"/>
        </w:rPr>
        <w:t>Merkel cell carcinoma (a type of skin cancer)</w:t>
      </w:r>
    </w:p>
    <w:p w14:paraId="1448CD7B" w14:textId="77777777" w:rsidR="00C451B7" w:rsidRPr="00C451B7" w:rsidRDefault="00944B8F" w:rsidP="00C451B7">
      <w:pPr>
        <w:numPr>
          <w:ilvl w:val="0"/>
          <w:numId w:val="43"/>
        </w:numPr>
        <w:rPr>
          <w:rFonts w:eastAsia="MS Mincho"/>
          <w:szCs w:val="20"/>
        </w:rPr>
      </w:pPr>
      <w:r>
        <w:rPr>
          <w:rFonts w:eastAsia="MS Mincho"/>
          <w:szCs w:val="20"/>
        </w:rPr>
        <w:t>Kaposi’s sarcoma, a rare cancer related to infection with human herpes virus 8. Kaposi’s sarcoma most commonly appears as purple lesions on the skin</w:t>
      </w:r>
    </w:p>
    <w:p w14:paraId="47FFAECA" w14:textId="77777777" w:rsidR="00BC0E7E" w:rsidRPr="00BC0E7E" w:rsidRDefault="00944B8F" w:rsidP="00D51999">
      <w:pPr>
        <w:keepNext/>
        <w:numPr>
          <w:ilvl w:val="0"/>
          <w:numId w:val="43"/>
        </w:numPr>
        <w:rPr>
          <w:rFonts w:eastAsia="MS Mincho"/>
          <w:szCs w:val="20"/>
        </w:rPr>
      </w:pPr>
      <w:r w:rsidRPr="00BC0E7E">
        <w:rPr>
          <w:rFonts w:eastAsia="MS Mincho"/>
          <w:szCs w:val="20"/>
        </w:rPr>
        <w:t>liver failure</w:t>
      </w:r>
    </w:p>
    <w:p w14:paraId="36E163AF" w14:textId="77777777" w:rsidR="00BC0E7E" w:rsidRDefault="00944B8F" w:rsidP="00EA5EEF">
      <w:pPr>
        <w:keepNext/>
        <w:numPr>
          <w:ilvl w:val="0"/>
          <w:numId w:val="43"/>
        </w:numPr>
        <w:rPr>
          <w:rFonts w:eastAsia="MS Mincho"/>
          <w:szCs w:val="20"/>
        </w:rPr>
      </w:pPr>
      <w:r w:rsidRPr="00BC0E7E">
        <w:rPr>
          <w:rFonts w:eastAsia="MS Mincho"/>
          <w:szCs w:val="20"/>
        </w:rPr>
        <w:t>worsening of a condition called dermatomyositis (seen as a skin rash accompanying muscle weakness)</w:t>
      </w:r>
    </w:p>
    <w:p w14:paraId="7FBA046A" w14:textId="77777777" w:rsidR="0099199E" w:rsidRPr="00BC0E7E" w:rsidRDefault="00944B8F" w:rsidP="00EA5EEF">
      <w:pPr>
        <w:keepNext/>
        <w:numPr>
          <w:ilvl w:val="0"/>
          <w:numId w:val="43"/>
        </w:numPr>
        <w:rPr>
          <w:rFonts w:eastAsia="MS Mincho"/>
          <w:szCs w:val="20"/>
        </w:rPr>
      </w:pPr>
      <w:r w:rsidRPr="00693052">
        <w:rPr>
          <w:szCs w:val="22"/>
          <w:lang w:val="en-US"/>
        </w:rPr>
        <w:t>weight gain (for most patients, the weight gain was small)</w:t>
      </w:r>
    </w:p>
    <w:p w14:paraId="1E486087" w14:textId="77777777" w:rsidR="00BC0E7E" w:rsidRPr="00BC0E7E" w:rsidRDefault="00BC0E7E" w:rsidP="00BC0E7E">
      <w:pPr>
        <w:autoSpaceDE w:val="0"/>
        <w:autoSpaceDN w:val="0"/>
        <w:adjustRightInd w:val="0"/>
        <w:spacing w:line="240" w:lineRule="atLeast"/>
        <w:rPr>
          <w:lang w:eastAsia="de-DE"/>
        </w:rPr>
      </w:pPr>
    </w:p>
    <w:p w14:paraId="59ABE4FF" w14:textId="77777777" w:rsidR="00BC0E7E" w:rsidRPr="00BC0E7E" w:rsidRDefault="00944B8F" w:rsidP="00BC0E7E">
      <w:pPr>
        <w:autoSpaceDE w:val="0"/>
        <w:autoSpaceDN w:val="0"/>
        <w:adjustRightInd w:val="0"/>
        <w:spacing w:line="240" w:lineRule="atLeast"/>
        <w:rPr>
          <w:lang w:eastAsia="de-DE"/>
        </w:rPr>
      </w:pPr>
      <w:r w:rsidRPr="00BC0E7E">
        <w:rPr>
          <w:lang w:eastAsia="de-DE"/>
        </w:rPr>
        <w:t>Some side effects observed with Humira may not have symptoms and may only be discovered through blood tests. These include:</w:t>
      </w:r>
    </w:p>
    <w:p w14:paraId="327CEF31" w14:textId="77777777" w:rsidR="00BC0E7E" w:rsidRPr="00BC0E7E" w:rsidRDefault="00BC0E7E" w:rsidP="00BC0E7E">
      <w:pPr>
        <w:autoSpaceDE w:val="0"/>
        <w:autoSpaceDN w:val="0"/>
        <w:adjustRightInd w:val="0"/>
        <w:spacing w:line="240" w:lineRule="atLeast"/>
        <w:rPr>
          <w:lang w:eastAsia="de-DE"/>
        </w:rPr>
      </w:pPr>
    </w:p>
    <w:p w14:paraId="7DF0FB7F" w14:textId="77777777" w:rsidR="00BC0E7E" w:rsidRPr="00BC0E7E" w:rsidRDefault="00944B8F" w:rsidP="001C5296">
      <w:pPr>
        <w:keepNext/>
      </w:pPr>
      <w:r w:rsidRPr="00BC0E7E">
        <w:rPr>
          <w:b/>
        </w:rPr>
        <w:lastRenderedPageBreak/>
        <w:t>Very common</w:t>
      </w:r>
      <w:r w:rsidRPr="00BC0E7E">
        <w:t xml:space="preserve"> (may affect more than 1 in 10 people) </w:t>
      </w:r>
    </w:p>
    <w:p w14:paraId="20ED2908" w14:textId="77777777" w:rsidR="00BC0E7E" w:rsidRPr="00BC0E7E" w:rsidRDefault="00BC0E7E" w:rsidP="001C5296">
      <w:pPr>
        <w:keepNext/>
      </w:pPr>
    </w:p>
    <w:p w14:paraId="454BCEFB" w14:textId="77777777" w:rsidR="00BC0E7E" w:rsidRPr="00BC0E7E" w:rsidRDefault="00944B8F" w:rsidP="001C5296">
      <w:pPr>
        <w:keepNext/>
        <w:numPr>
          <w:ilvl w:val="0"/>
          <w:numId w:val="22"/>
        </w:numPr>
        <w:tabs>
          <w:tab w:val="clear" w:pos="562"/>
          <w:tab w:val="clear" w:pos="720"/>
          <w:tab w:val="num" w:pos="550"/>
        </w:tabs>
        <w:ind w:left="550" w:hanging="550"/>
      </w:pPr>
      <w:r w:rsidRPr="00BC0E7E">
        <w:t>low blood measurements for white blood cells</w:t>
      </w:r>
    </w:p>
    <w:p w14:paraId="08503A12" w14:textId="77777777" w:rsidR="00BC0E7E" w:rsidRPr="00BC0E7E" w:rsidRDefault="00944B8F" w:rsidP="001C5296">
      <w:pPr>
        <w:keepNext/>
        <w:numPr>
          <w:ilvl w:val="0"/>
          <w:numId w:val="22"/>
        </w:numPr>
        <w:tabs>
          <w:tab w:val="clear" w:pos="562"/>
          <w:tab w:val="clear" w:pos="720"/>
          <w:tab w:val="num" w:pos="550"/>
        </w:tabs>
        <w:ind w:left="550" w:hanging="550"/>
      </w:pPr>
      <w:r w:rsidRPr="00BC0E7E">
        <w:t>low blood measurements for red blood cells</w:t>
      </w:r>
    </w:p>
    <w:p w14:paraId="08D07193" w14:textId="77777777" w:rsidR="00BC0E7E" w:rsidRPr="00BC0E7E" w:rsidRDefault="00944B8F" w:rsidP="001C5296">
      <w:pPr>
        <w:keepNext/>
        <w:numPr>
          <w:ilvl w:val="0"/>
          <w:numId w:val="22"/>
        </w:numPr>
        <w:tabs>
          <w:tab w:val="clear" w:pos="562"/>
          <w:tab w:val="clear" w:pos="720"/>
          <w:tab w:val="num" w:pos="550"/>
        </w:tabs>
        <w:ind w:left="550" w:hanging="550"/>
      </w:pPr>
      <w:r w:rsidRPr="00BC0E7E">
        <w:t>increased lipids in the blood</w:t>
      </w:r>
    </w:p>
    <w:p w14:paraId="3FA1CE3F" w14:textId="77777777" w:rsidR="00BC0E7E" w:rsidRPr="00BC0E7E" w:rsidRDefault="00944B8F" w:rsidP="001C5296">
      <w:pPr>
        <w:keepNext/>
        <w:numPr>
          <w:ilvl w:val="0"/>
          <w:numId w:val="22"/>
        </w:numPr>
        <w:tabs>
          <w:tab w:val="clear" w:pos="562"/>
          <w:tab w:val="clear" w:pos="720"/>
          <w:tab w:val="num" w:pos="550"/>
        </w:tabs>
        <w:ind w:left="550" w:hanging="550"/>
      </w:pPr>
      <w:r w:rsidRPr="00BC0E7E">
        <w:t>elevated liver enzymes</w:t>
      </w:r>
    </w:p>
    <w:p w14:paraId="3D72296B" w14:textId="77777777" w:rsidR="00BC0E7E" w:rsidRPr="00BC0E7E" w:rsidRDefault="00BC0E7E" w:rsidP="00BC0E7E">
      <w:pPr>
        <w:tabs>
          <w:tab w:val="clear" w:pos="562"/>
        </w:tabs>
      </w:pPr>
    </w:p>
    <w:p w14:paraId="5FABC23D" w14:textId="77777777" w:rsidR="00BC0E7E" w:rsidRPr="00BC0E7E" w:rsidRDefault="00944B8F" w:rsidP="00BC0E7E">
      <w:pPr>
        <w:keepNext/>
        <w:tabs>
          <w:tab w:val="clear" w:pos="562"/>
        </w:tabs>
      </w:pPr>
      <w:r w:rsidRPr="00BC0E7E">
        <w:rPr>
          <w:b/>
        </w:rPr>
        <w:t>Common</w:t>
      </w:r>
      <w:r w:rsidRPr="00BC0E7E">
        <w:t xml:space="preserve"> (may affect up to 1 in 10 people)</w:t>
      </w:r>
    </w:p>
    <w:p w14:paraId="5B478C3A" w14:textId="77777777" w:rsidR="00BC0E7E" w:rsidRPr="00BC0E7E" w:rsidRDefault="00BC0E7E" w:rsidP="00BC0E7E">
      <w:pPr>
        <w:keepNext/>
        <w:tabs>
          <w:tab w:val="clear" w:pos="562"/>
        </w:tabs>
      </w:pPr>
    </w:p>
    <w:p w14:paraId="62DB86C1" w14:textId="77777777" w:rsidR="00BC0E7E" w:rsidRPr="00BC0E7E" w:rsidRDefault="00944B8F" w:rsidP="00BC0E7E">
      <w:pPr>
        <w:keepNext/>
        <w:numPr>
          <w:ilvl w:val="0"/>
          <w:numId w:val="22"/>
        </w:numPr>
        <w:tabs>
          <w:tab w:val="clear" w:pos="562"/>
          <w:tab w:val="clear" w:pos="720"/>
          <w:tab w:val="num" w:pos="550"/>
        </w:tabs>
        <w:ind w:left="550" w:hanging="550"/>
      </w:pPr>
      <w:r w:rsidRPr="00BC0E7E">
        <w:t xml:space="preserve">high blood measurements for white blood cells  </w:t>
      </w:r>
    </w:p>
    <w:p w14:paraId="1ACD735B" w14:textId="77777777" w:rsidR="00BC0E7E" w:rsidRPr="00BC0E7E" w:rsidRDefault="00944B8F" w:rsidP="00BC0E7E">
      <w:pPr>
        <w:keepNext/>
        <w:numPr>
          <w:ilvl w:val="0"/>
          <w:numId w:val="22"/>
        </w:numPr>
        <w:tabs>
          <w:tab w:val="clear" w:pos="562"/>
          <w:tab w:val="clear" w:pos="720"/>
          <w:tab w:val="num" w:pos="550"/>
        </w:tabs>
        <w:ind w:left="550" w:hanging="550"/>
      </w:pPr>
      <w:r w:rsidRPr="00BC0E7E">
        <w:t>low blood measurements for platelets</w:t>
      </w:r>
    </w:p>
    <w:p w14:paraId="56CF2A59" w14:textId="77777777" w:rsidR="00BC0E7E" w:rsidRPr="00BC0E7E" w:rsidRDefault="00944B8F" w:rsidP="00BC0E7E">
      <w:pPr>
        <w:keepNext/>
        <w:numPr>
          <w:ilvl w:val="0"/>
          <w:numId w:val="22"/>
        </w:numPr>
        <w:tabs>
          <w:tab w:val="clear" w:pos="562"/>
          <w:tab w:val="clear" w:pos="720"/>
          <w:tab w:val="num" w:pos="550"/>
        </w:tabs>
        <w:ind w:left="550" w:hanging="550"/>
      </w:pPr>
      <w:r w:rsidRPr="00BC0E7E">
        <w:t>increased uric acid in the blood</w:t>
      </w:r>
    </w:p>
    <w:p w14:paraId="64986C53" w14:textId="77777777" w:rsidR="00BC0E7E" w:rsidRPr="00BC0E7E" w:rsidRDefault="00944B8F" w:rsidP="00BC0E7E">
      <w:pPr>
        <w:keepNext/>
        <w:numPr>
          <w:ilvl w:val="0"/>
          <w:numId w:val="22"/>
        </w:numPr>
        <w:tabs>
          <w:tab w:val="clear" w:pos="562"/>
          <w:tab w:val="clear" w:pos="720"/>
          <w:tab w:val="num" w:pos="550"/>
        </w:tabs>
        <w:ind w:left="550" w:hanging="550"/>
      </w:pPr>
      <w:r w:rsidRPr="00BC0E7E">
        <w:t>abnormal blood measurements for sodium</w:t>
      </w:r>
    </w:p>
    <w:p w14:paraId="46809DBE" w14:textId="77777777" w:rsidR="00BC0E7E" w:rsidRPr="00BC0E7E" w:rsidRDefault="00944B8F" w:rsidP="00BC0E7E">
      <w:pPr>
        <w:keepNext/>
        <w:numPr>
          <w:ilvl w:val="0"/>
          <w:numId w:val="22"/>
        </w:numPr>
        <w:tabs>
          <w:tab w:val="clear" w:pos="562"/>
          <w:tab w:val="clear" w:pos="720"/>
          <w:tab w:val="num" w:pos="550"/>
        </w:tabs>
        <w:ind w:left="550" w:hanging="550"/>
      </w:pPr>
      <w:r w:rsidRPr="00BC0E7E">
        <w:t>low blood measurements for calcium</w:t>
      </w:r>
    </w:p>
    <w:p w14:paraId="4F3069F3" w14:textId="77777777" w:rsidR="00BC0E7E" w:rsidRPr="00BC0E7E" w:rsidRDefault="00944B8F" w:rsidP="00BC0E7E">
      <w:pPr>
        <w:keepNext/>
        <w:numPr>
          <w:ilvl w:val="0"/>
          <w:numId w:val="22"/>
        </w:numPr>
        <w:tabs>
          <w:tab w:val="clear" w:pos="562"/>
          <w:tab w:val="clear" w:pos="720"/>
          <w:tab w:val="num" w:pos="550"/>
        </w:tabs>
        <w:ind w:left="550" w:hanging="550"/>
      </w:pPr>
      <w:r w:rsidRPr="00BC0E7E">
        <w:t>low blood measurements for phosphate</w:t>
      </w:r>
    </w:p>
    <w:p w14:paraId="0F5D66A6" w14:textId="77777777" w:rsidR="00BC0E7E" w:rsidRPr="00BC0E7E" w:rsidRDefault="00944B8F" w:rsidP="00BC0E7E">
      <w:pPr>
        <w:keepNext/>
        <w:numPr>
          <w:ilvl w:val="0"/>
          <w:numId w:val="22"/>
        </w:numPr>
        <w:tabs>
          <w:tab w:val="clear" w:pos="562"/>
          <w:tab w:val="clear" w:pos="720"/>
          <w:tab w:val="num" w:pos="550"/>
        </w:tabs>
        <w:ind w:left="550" w:hanging="550"/>
      </w:pPr>
      <w:r w:rsidRPr="00BC0E7E">
        <w:t>high blood sugar</w:t>
      </w:r>
    </w:p>
    <w:p w14:paraId="0D3799D7" w14:textId="77777777" w:rsidR="00BC0E7E" w:rsidRPr="00BC0E7E" w:rsidRDefault="00944B8F" w:rsidP="00BC0E7E">
      <w:pPr>
        <w:keepNext/>
        <w:numPr>
          <w:ilvl w:val="0"/>
          <w:numId w:val="22"/>
        </w:numPr>
        <w:tabs>
          <w:tab w:val="clear" w:pos="562"/>
          <w:tab w:val="clear" w:pos="720"/>
          <w:tab w:val="num" w:pos="550"/>
        </w:tabs>
        <w:ind w:left="550" w:hanging="550"/>
      </w:pPr>
      <w:r w:rsidRPr="00BC0E7E">
        <w:t>high blood measurements for lactate dehydrogenase</w:t>
      </w:r>
    </w:p>
    <w:p w14:paraId="2915950A" w14:textId="77777777" w:rsidR="00BC0E7E" w:rsidRPr="00C50FE5" w:rsidRDefault="00944B8F" w:rsidP="00BC0E7E">
      <w:pPr>
        <w:keepNext/>
        <w:numPr>
          <w:ilvl w:val="0"/>
          <w:numId w:val="22"/>
        </w:numPr>
        <w:tabs>
          <w:tab w:val="clear" w:pos="562"/>
          <w:tab w:val="clear" w:pos="720"/>
          <w:tab w:val="num" w:pos="550"/>
        </w:tabs>
        <w:ind w:left="550" w:hanging="550"/>
      </w:pPr>
      <w:r w:rsidRPr="00BC0E7E">
        <w:t>autoantibodies present in the blood</w:t>
      </w:r>
    </w:p>
    <w:p w14:paraId="3C03627F" w14:textId="77777777" w:rsidR="00C50FE5" w:rsidRDefault="00944B8F" w:rsidP="00C50FE5">
      <w:pPr>
        <w:keepNext/>
        <w:numPr>
          <w:ilvl w:val="0"/>
          <w:numId w:val="22"/>
        </w:numPr>
        <w:tabs>
          <w:tab w:val="clear" w:pos="562"/>
          <w:tab w:val="clear" w:pos="720"/>
          <w:tab w:val="num" w:pos="550"/>
        </w:tabs>
        <w:ind w:left="550" w:hanging="550"/>
      </w:pPr>
      <w:r>
        <w:t>low blood potassium</w:t>
      </w:r>
    </w:p>
    <w:p w14:paraId="68E66F03" w14:textId="77777777" w:rsidR="00C50FE5" w:rsidRDefault="00C50FE5" w:rsidP="00C50FE5">
      <w:pPr>
        <w:keepNext/>
        <w:tabs>
          <w:tab w:val="clear" w:pos="562"/>
        </w:tabs>
      </w:pPr>
    </w:p>
    <w:p w14:paraId="6B3DADDD" w14:textId="77777777" w:rsidR="00C50FE5" w:rsidRDefault="00944B8F" w:rsidP="00C50FE5">
      <w:r>
        <w:rPr>
          <w:b/>
        </w:rPr>
        <w:t>Uncommon</w:t>
      </w:r>
      <w:r>
        <w:t xml:space="preserve"> (may affect up to 1 in 100 people) </w:t>
      </w:r>
    </w:p>
    <w:p w14:paraId="3843E714" w14:textId="77777777" w:rsidR="00C50FE5" w:rsidRDefault="00C50FE5" w:rsidP="00C50FE5"/>
    <w:p w14:paraId="2004C468" w14:textId="77777777" w:rsidR="00C50FE5" w:rsidRPr="00C50FE5" w:rsidRDefault="00944B8F" w:rsidP="000244DF">
      <w:pPr>
        <w:pStyle w:val="ListParagraph"/>
        <w:numPr>
          <w:ilvl w:val="0"/>
          <w:numId w:val="22"/>
        </w:numPr>
        <w:tabs>
          <w:tab w:val="clear" w:pos="562"/>
          <w:tab w:val="clear" w:pos="720"/>
          <w:tab w:val="left" w:pos="540"/>
          <w:tab w:val="num" w:pos="630"/>
        </w:tabs>
        <w:ind w:left="540" w:hanging="540"/>
      </w:pPr>
      <w:r>
        <w:t>e</w:t>
      </w:r>
      <w:r w:rsidRPr="00D410D7">
        <w:t>levated bilirubin measurement (liver blood test)</w:t>
      </w:r>
    </w:p>
    <w:p w14:paraId="71EF90F6" w14:textId="77777777" w:rsidR="00BC0E7E" w:rsidRPr="00BC0E7E" w:rsidRDefault="00BC0E7E" w:rsidP="00BC0E7E"/>
    <w:p w14:paraId="0E991CA4" w14:textId="77777777" w:rsidR="00BC0E7E" w:rsidRPr="00BC0E7E" w:rsidRDefault="00944B8F" w:rsidP="00BC0E7E">
      <w:pPr>
        <w:keepNext/>
        <w:tabs>
          <w:tab w:val="clear" w:pos="562"/>
          <w:tab w:val="num" w:pos="550"/>
        </w:tabs>
        <w:ind w:left="550" w:hanging="550"/>
      </w:pPr>
      <w:r w:rsidRPr="00BC0E7E">
        <w:rPr>
          <w:b/>
        </w:rPr>
        <w:t>Rare</w:t>
      </w:r>
      <w:r w:rsidRPr="00BC0E7E">
        <w:t xml:space="preserve"> (may affect up to 1 in 1,000 people)</w:t>
      </w:r>
    </w:p>
    <w:p w14:paraId="22EC6904" w14:textId="77777777" w:rsidR="00BC0E7E" w:rsidRPr="00BC0E7E" w:rsidRDefault="00BC0E7E" w:rsidP="00BC0E7E">
      <w:pPr>
        <w:keepNext/>
        <w:tabs>
          <w:tab w:val="clear" w:pos="562"/>
        </w:tabs>
      </w:pPr>
    </w:p>
    <w:p w14:paraId="62858316" w14:textId="77777777" w:rsidR="00BC0E7E" w:rsidRPr="00BC0E7E" w:rsidRDefault="00944B8F" w:rsidP="00BC0E7E">
      <w:pPr>
        <w:keepNext/>
        <w:numPr>
          <w:ilvl w:val="0"/>
          <w:numId w:val="22"/>
        </w:numPr>
        <w:tabs>
          <w:tab w:val="clear" w:pos="562"/>
          <w:tab w:val="clear" w:pos="720"/>
          <w:tab w:val="num" w:pos="550"/>
        </w:tabs>
        <w:ind w:left="550" w:hanging="550"/>
      </w:pPr>
      <w:r w:rsidRPr="00BC0E7E">
        <w:t>low blood measurements for white blood cells, red blood cells and platelet count</w:t>
      </w:r>
    </w:p>
    <w:p w14:paraId="3702CB85" w14:textId="77777777" w:rsidR="00BC0E7E" w:rsidRPr="00BC0E7E" w:rsidRDefault="00BC0E7E" w:rsidP="00BC0E7E"/>
    <w:p w14:paraId="01466FB5" w14:textId="77777777" w:rsidR="00BC0E7E" w:rsidRPr="00BC0E7E" w:rsidRDefault="00944B8F" w:rsidP="00BC0E7E">
      <w:pPr>
        <w:numPr>
          <w:ilvl w:val="12"/>
          <w:numId w:val="0"/>
        </w:numPr>
        <w:tabs>
          <w:tab w:val="clear" w:pos="562"/>
        </w:tabs>
        <w:ind w:right="-2"/>
        <w:rPr>
          <w:b/>
        </w:rPr>
      </w:pPr>
      <w:r w:rsidRPr="00BC0E7E">
        <w:rPr>
          <w:b/>
        </w:rPr>
        <w:t>Reporting of side effects</w:t>
      </w:r>
    </w:p>
    <w:p w14:paraId="063823B0" w14:textId="77777777" w:rsidR="00BC0E7E" w:rsidRPr="00BC0E7E" w:rsidRDefault="00944B8F" w:rsidP="00BC0E7E">
      <w:r w:rsidRPr="00BC0E7E">
        <w:t xml:space="preserve">If you get any side effects, talk to your doctor or pharmacist. This includes any possible side effects not listed in this leaflet. You can also report side effects directly via </w:t>
      </w:r>
      <w:r w:rsidRPr="00BC0E7E">
        <w:rPr>
          <w:highlight w:val="lightGray"/>
        </w:rPr>
        <w:t xml:space="preserve">the national reporting system listed in </w:t>
      </w:r>
      <w:hyperlink r:id="rId81" w:history="1">
        <w:r w:rsidR="00BC0E7E" w:rsidRPr="00BC0E7E">
          <w:rPr>
            <w:color w:val="0000FF"/>
            <w:highlight w:val="lightGray"/>
            <w:u w:val="single"/>
          </w:rPr>
          <w:t>Appendix V</w:t>
        </w:r>
      </w:hyperlink>
      <w:r w:rsidRPr="00BC0E7E">
        <w:rPr>
          <w:highlight w:val="lightGray"/>
        </w:rPr>
        <w:t>.</w:t>
      </w:r>
      <w:r w:rsidRPr="00BC0E7E">
        <w:t xml:space="preserve"> By reporting side effects, you can help provide more information </w:t>
      </w:r>
      <w:r w:rsidR="001C5296">
        <w:t>on the safety of this medicine.</w:t>
      </w:r>
    </w:p>
    <w:p w14:paraId="32BDBB81" w14:textId="77777777" w:rsidR="00BC0E7E" w:rsidRPr="00BC0E7E" w:rsidRDefault="00BC0E7E" w:rsidP="00BC0E7E"/>
    <w:p w14:paraId="33CF1B6A" w14:textId="77777777" w:rsidR="00BC0E7E" w:rsidRPr="00BC0E7E" w:rsidRDefault="00BC0E7E" w:rsidP="00BC0E7E"/>
    <w:p w14:paraId="2B5B7A01" w14:textId="77777777" w:rsidR="00BC0E7E" w:rsidRPr="00BC0E7E" w:rsidRDefault="00944B8F" w:rsidP="00BC0E7E">
      <w:pPr>
        <w:outlineLvl w:val="0"/>
        <w:rPr>
          <w:rFonts w:ascii="Times New Roman Bold" w:hAnsi="Times New Roman Bold"/>
          <w:b/>
          <w:szCs w:val="20"/>
        </w:rPr>
      </w:pPr>
      <w:r w:rsidRPr="00BC0E7E">
        <w:rPr>
          <w:b/>
          <w:caps/>
          <w:szCs w:val="20"/>
        </w:rPr>
        <w:t>5.</w:t>
      </w:r>
      <w:r w:rsidRPr="00BC0E7E">
        <w:rPr>
          <w:b/>
          <w:caps/>
          <w:szCs w:val="20"/>
        </w:rPr>
        <w:tab/>
        <w:t>H</w:t>
      </w:r>
      <w:r w:rsidRPr="00BC0E7E">
        <w:rPr>
          <w:rFonts w:ascii="Times New Roman Bold" w:hAnsi="Times New Roman Bold"/>
          <w:b/>
          <w:szCs w:val="20"/>
        </w:rPr>
        <w:t>ow to store Humira</w:t>
      </w:r>
    </w:p>
    <w:p w14:paraId="6F6434F1" w14:textId="77777777" w:rsidR="00BC0E7E" w:rsidRPr="00BC0E7E" w:rsidRDefault="00BC0E7E" w:rsidP="00BC0E7E">
      <w:pPr>
        <w:rPr>
          <w:szCs w:val="20"/>
        </w:rPr>
      </w:pPr>
    </w:p>
    <w:p w14:paraId="724FE910" w14:textId="77777777" w:rsidR="00BC0E7E" w:rsidRPr="00BC0E7E" w:rsidRDefault="00944B8F" w:rsidP="00BC0E7E">
      <w:pPr>
        <w:numPr>
          <w:ilvl w:val="12"/>
          <w:numId w:val="0"/>
        </w:numPr>
        <w:tabs>
          <w:tab w:val="clear" w:pos="562"/>
        </w:tabs>
        <w:ind w:right="-2"/>
      </w:pPr>
      <w:r w:rsidRPr="00BC0E7E">
        <w:t xml:space="preserve">Keep this medicine out of the sight and reach of children. </w:t>
      </w:r>
    </w:p>
    <w:p w14:paraId="7EACF56F" w14:textId="77777777" w:rsidR="00BC0E7E" w:rsidRPr="00BC0E7E" w:rsidRDefault="00BC0E7E" w:rsidP="00BC0E7E">
      <w:pPr>
        <w:numPr>
          <w:ilvl w:val="12"/>
          <w:numId w:val="0"/>
        </w:numPr>
        <w:tabs>
          <w:tab w:val="clear" w:pos="562"/>
        </w:tabs>
        <w:ind w:right="-2"/>
      </w:pPr>
    </w:p>
    <w:p w14:paraId="4C508F72" w14:textId="77777777" w:rsidR="00BC0E7E" w:rsidRPr="00BC0E7E" w:rsidRDefault="00944B8F" w:rsidP="00BC0E7E">
      <w:pPr>
        <w:numPr>
          <w:ilvl w:val="12"/>
          <w:numId w:val="0"/>
        </w:numPr>
        <w:tabs>
          <w:tab w:val="clear" w:pos="562"/>
        </w:tabs>
        <w:ind w:right="-2"/>
      </w:pPr>
      <w:r w:rsidRPr="00BC0E7E">
        <w:t xml:space="preserve">Do not use this medicine after the expiry date stated on the label/blister/carton after EXP. </w:t>
      </w:r>
    </w:p>
    <w:p w14:paraId="499BE673" w14:textId="77777777" w:rsidR="00BC0E7E" w:rsidRPr="00BC0E7E" w:rsidRDefault="00BC0E7E" w:rsidP="00BC0E7E">
      <w:pPr>
        <w:numPr>
          <w:ilvl w:val="12"/>
          <w:numId w:val="0"/>
        </w:numPr>
        <w:tabs>
          <w:tab w:val="clear" w:pos="562"/>
        </w:tabs>
        <w:ind w:right="-2"/>
      </w:pPr>
    </w:p>
    <w:p w14:paraId="7CE4A20A" w14:textId="77777777" w:rsidR="00BC0E7E" w:rsidRPr="00BC0E7E" w:rsidRDefault="00944B8F" w:rsidP="00BC0E7E">
      <w:pPr>
        <w:numPr>
          <w:ilvl w:val="12"/>
          <w:numId w:val="0"/>
        </w:numPr>
        <w:tabs>
          <w:tab w:val="clear" w:pos="562"/>
        </w:tabs>
        <w:ind w:right="-2"/>
      </w:pPr>
      <w:r w:rsidRPr="00BC0E7E">
        <w:t>Store in a refrigerator (2</w:t>
      </w:r>
      <w:r w:rsidRPr="00BC0E7E">
        <w:rPr>
          <w:rFonts w:ascii="Symbol" w:eastAsia="Symbol" w:hAnsi="Symbol" w:cs="Symbol"/>
          <w:szCs w:val="22"/>
        </w:rPr>
        <w:sym w:font="Symbol" w:char="F0B0"/>
      </w:r>
      <w:r w:rsidRPr="00BC0E7E">
        <w:t>C – 8</w:t>
      </w:r>
      <w:r w:rsidRPr="00BC0E7E">
        <w:rPr>
          <w:rFonts w:ascii="Symbol" w:eastAsia="Symbol" w:hAnsi="Symbol" w:cs="Symbol"/>
          <w:szCs w:val="22"/>
        </w:rPr>
        <w:sym w:font="Symbol" w:char="F0B0"/>
      </w:r>
      <w:r w:rsidRPr="00BC0E7E">
        <w:t xml:space="preserve">C). Do not freeze. </w:t>
      </w:r>
    </w:p>
    <w:p w14:paraId="6A2958C9" w14:textId="77777777" w:rsidR="00BC0E7E" w:rsidRPr="00BC0E7E" w:rsidRDefault="00BC0E7E" w:rsidP="00BC0E7E">
      <w:pPr>
        <w:numPr>
          <w:ilvl w:val="12"/>
          <w:numId w:val="0"/>
        </w:numPr>
        <w:tabs>
          <w:tab w:val="clear" w:pos="562"/>
        </w:tabs>
        <w:ind w:right="-2"/>
      </w:pPr>
    </w:p>
    <w:p w14:paraId="4F3FFA4D" w14:textId="77777777" w:rsidR="00BC0E7E" w:rsidRPr="00BC0E7E" w:rsidRDefault="00944B8F" w:rsidP="00BC0E7E">
      <w:pPr>
        <w:numPr>
          <w:ilvl w:val="12"/>
          <w:numId w:val="0"/>
        </w:numPr>
        <w:tabs>
          <w:tab w:val="clear" w:pos="562"/>
        </w:tabs>
        <w:ind w:right="-2"/>
      </w:pPr>
      <w:r w:rsidRPr="00BC0E7E">
        <w:t>Keep the pre-filled syringe in the outer carton in order to protect from light.</w:t>
      </w:r>
    </w:p>
    <w:p w14:paraId="6472294C" w14:textId="77777777" w:rsidR="00BC0E7E" w:rsidRPr="00BC0E7E" w:rsidRDefault="00BC0E7E" w:rsidP="00BC0E7E">
      <w:pPr>
        <w:numPr>
          <w:ilvl w:val="12"/>
          <w:numId w:val="0"/>
        </w:numPr>
        <w:tabs>
          <w:tab w:val="clear" w:pos="562"/>
        </w:tabs>
        <w:ind w:right="-2"/>
      </w:pPr>
    </w:p>
    <w:p w14:paraId="0AA733D6" w14:textId="77777777" w:rsidR="00BC0E7E" w:rsidRPr="00BC0E7E" w:rsidRDefault="00944B8F" w:rsidP="00BC0E7E">
      <w:pPr>
        <w:tabs>
          <w:tab w:val="clear" w:pos="562"/>
        </w:tabs>
        <w:suppressAutoHyphens w:val="0"/>
        <w:autoSpaceDE w:val="0"/>
        <w:autoSpaceDN w:val="0"/>
        <w:adjustRightInd w:val="0"/>
        <w:rPr>
          <w:szCs w:val="22"/>
          <w:lang w:eastAsia="en-GB"/>
        </w:rPr>
      </w:pPr>
      <w:r w:rsidRPr="00BC0E7E">
        <w:rPr>
          <w:szCs w:val="22"/>
          <w:lang w:eastAsia="en-GB"/>
        </w:rPr>
        <w:t>Alternative Storage:</w:t>
      </w:r>
    </w:p>
    <w:p w14:paraId="4B7C4972" w14:textId="77777777" w:rsidR="00BC0E7E" w:rsidRPr="00BC0E7E" w:rsidRDefault="00BC0E7E" w:rsidP="00BC0E7E">
      <w:pPr>
        <w:tabs>
          <w:tab w:val="clear" w:pos="562"/>
        </w:tabs>
        <w:suppressAutoHyphens w:val="0"/>
        <w:autoSpaceDE w:val="0"/>
        <w:autoSpaceDN w:val="0"/>
        <w:adjustRightInd w:val="0"/>
        <w:rPr>
          <w:szCs w:val="22"/>
          <w:lang w:eastAsia="en-GB"/>
        </w:rPr>
      </w:pPr>
    </w:p>
    <w:p w14:paraId="7A1A76CC" w14:textId="77777777" w:rsidR="00BC0E7E" w:rsidRPr="00BC0E7E" w:rsidRDefault="00944B8F" w:rsidP="00BC0E7E">
      <w:pPr>
        <w:tabs>
          <w:tab w:val="clear" w:pos="562"/>
        </w:tabs>
        <w:suppressAutoHyphens w:val="0"/>
        <w:autoSpaceDE w:val="0"/>
        <w:autoSpaceDN w:val="0"/>
        <w:adjustRightInd w:val="0"/>
        <w:rPr>
          <w:szCs w:val="22"/>
          <w:lang w:eastAsia="en-GB"/>
        </w:rPr>
      </w:pPr>
      <w:r w:rsidRPr="00BC0E7E">
        <w:rPr>
          <w:szCs w:val="22"/>
          <w:lang w:eastAsia="en-GB"/>
        </w:rPr>
        <w:t xml:space="preserve">When needed (for example when you are travelling), a single Humira pre-filled syringe may be stored at room temperature (up to 25°C) for a maximum period of 14 days – be sure to protect it from light. Once removed from the refrigerator for room temperature storage, the syringe </w:t>
      </w:r>
      <w:r w:rsidRPr="00BC0E7E">
        <w:rPr>
          <w:b/>
          <w:szCs w:val="22"/>
          <w:lang w:eastAsia="en-GB"/>
        </w:rPr>
        <w:t>must be used within 14 days</w:t>
      </w:r>
      <w:r w:rsidRPr="00BC0E7E">
        <w:rPr>
          <w:szCs w:val="22"/>
          <w:lang w:eastAsia="en-GB"/>
        </w:rPr>
        <w:t xml:space="preserve"> </w:t>
      </w:r>
      <w:r w:rsidRPr="00BC0E7E">
        <w:rPr>
          <w:b/>
          <w:bCs/>
          <w:szCs w:val="22"/>
          <w:lang w:eastAsia="en-GB"/>
        </w:rPr>
        <w:t>or discarded</w:t>
      </w:r>
      <w:r w:rsidRPr="00BC0E7E">
        <w:rPr>
          <w:bCs/>
          <w:szCs w:val="22"/>
          <w:lang w:eastAsia="en-GB"/>
        </w:rPr>
        <w:t>, even if it is returned to the refrigerator</w:t>
      </w:r>
      <w:r w:rsidRPr="00BC0E7E">
        <w:rPr>
          <w:szCs w:val="22"/>
          <w:lang w:eastAsia="en-GB"/>
        </w:rPr>
        <w:t xml:space="preserve">.  </w:t>
      </w:r>
    </w:p>
    <w:p w14:paraId="644C6EE3" w14:textId="77777777" w:rsidR="00BC0E7E" w:rsidRPr="00BC0E7E" w:rsidRDefault="00BC0E7E" w:rsidP="00BC0E7E">
      <w:pPr>
        <w:tabs>
          <w:tab w:val="clear" w:pos="562"/>
        </w:tabs>
        <w:suppressAutoHyphens w:val="0"/>
        <w:autoSpaceDE w:val="0"/>
        <w:autoSpaceDN w:val="0"/>
        <w:adjustRightInd w:val="0"/>
        <w:rPr>
          <w:szCs w:val="22"/>
          <w:lang w:eastAsia="en-GB"/>
        </w:rPr>
      </w:pPr>
    </w:p>
    <w:p w14:paraId="6346E131" w14:textId="77777777" w:rsidR="00BC0E7E" w:rsidRPr="00BC0E7E" w:rsidRDefault="00944B8F" w:rsidP="00BC0E7E">
      <w:pPr>
        <w:tabs>
          <w:tab w:val="clear" w:pos="562"/>
        </w:tabs>
        <w:suppressAutoHyphens w:val="0"/>
        <w:autoSpaceDE w:val="0"/>
        <w:autoSpaceDN w:val="0"/>
        <w:adjustRightInd w:val="0"/>
      </w:pPr>
      <w:r w:rsidRPr="00BC0E7E">
        <w:rPr>
          <w:szCs w:val="22"/>
          <w:lang w:eastAsia="en-GB"/>
        </w:rPr>
        <w:lastRenderedPageBreak/>
        <w:t>You should record the date when the syringe is first removed from refrigerator and the date after which it should be discarded</w:t>
      </w:r>
      <w:r w:rsidRPr="00BC0E7E">
        <w:t xml:space="preserve">.  </w:t>
      </w:r>
    </w:p>
    <w:p w14:paraId="3139EFC4" w14:textId="77777777" w:rsidR="00BC0E7E" w:rsidRPr="00BC0E7E" w:rsidRDefault="00BC0E7E" w:rsidP="00BC0E7E">
      <w:pPr>
        <w:tabs>
          <w:tab w:val="clear" w:pos="562"/>
        </w:tabs>
        <w:suppressAutoHyphens w:val="0"/>
        <w:autoSpaceDE w:val="0"/>
        <w:autoSpaceDN w:val="0"/>
        <w:adjustRightInd w:val="0"/>
      </w:pPr>
    </w:p>
    <w:p w14:paraId="16AFF950" w14:textId="77777777" w:rsidR="00BC0E7E" w:rsidRPr="00BC0E7E" w:rsidRDefault="00944B8F" w:rsidP="00BC0E7E">
      <w:pPr>
        <w:numPr>
          <w:ilvl w:val="12"/>
          <w:numId w:val="0"/>
        </w:numPr>
        <w:tabs>
          <w:tab w:val="clear" w:pos="562"/>
        </w:tabs>
        <w:ind w:right="-2"/>
      </w:pPr>
      <w:r w:rsidRPr="00BC0E7E">
        <w:t>Do not throw away any medicines via wastewater or household waste. Ask your doctor or pharmacist how to throw away medicines you no longer use. These measures will help protect the environment.</w:t>
      </w:r>
    </w:p>
    <w:p w14:paraId="77FC33FF" w14:textId="77777777" w:rsidR="00BC0E7E" w:rsidRPr="00BC0E7E" w:rsidRDefault="00BC0E7E" w:rsidP="00BC0E7E">
      <w:pPr>
        <w:numPr>
          <w:ilvl w:val="12"/>
          <w:numId w:val="0"/>
        </w:numPr>
        <w:tabs>
          <w:tab w:val="clear" w:pos="562"/>
        </w:tabs>
        <w:ind w:right="-2"/>
      </w:pPr>
    </w:p>
    <w:p w14:paraId="2163B7D9" w14:textId="77777777" w:rsidR="00BC0E7E" w:rsidRPr="00BC0E7E" w:rsidRDefault="00BC0E7E" w:rsidP="00BC0E7E">
      <w:pPr>
        <w:numPr>
          <w:ilvl w:val="12"/>
          <w:numId w:val="0"/>
        </w:numPr>
        <w:tabs>
          <w:tab w:val="clear" w:pos="562"/>
        </w:tabs>
        <w:ind w:right="-2"/>
      </w:pPr>
    </w:p>
    <w:p w14:paraId="0990BD34" w14:textId="77777777" w:rsidR="00BC0E7E" w:rsidRPr="00BC0E7E" w:rsidRDefault="00944B8F" w:rsidP="00BC0E7E">
      <w:pPr>
        <w:keepNext/>
        <w:outlineLvl w:val="0"/>
        <w:rPr>
          <w:rFonts w:ascii="Times New Roman Bold" w:hAnsi="Times New Roman Bold"/>
          <w:b/>
          <w:szCs w:val="20"/>
        </w:rPr>
      </w:pPr>
      <w:r w:rsidRPr="00BC0E7E">
        <w:rPr>
          <w:b/>
          <w:caps/>
          <w:szCs w:val="20"/>
        </w:rPr>
        <w:t>6.</w:t>
      </w:r>
      <w:r w:rsidRPr="00BC0E7E">
        <w:rPr>
          <w:b/>
          <w:caps/>
          <w:szCs w:val="20"/>
        </w:rPr>
        <w:tab/>
        <w:t>C</w:t>
      </w:r>
      <w:r w:rsidRPr="00BC0E7E">
        <w:rPr>
          <w:rFonts w:ascii="Times New Roman Bold" w:hAnsi="Times New Roman Bold"/>
          <w:b/>
          <w:szCs w:val="20"/>
        </w:rPr>
        <w:t>ontents of the pack and other information</w:t>
      </w:r>
    </w:p>
    <w:p w14:paraId="10B71E4E" w14:textId="77777777" w:rsidR="00BC0E7E" w:rsidRPr="00BC0E7E" w:rsidRDefault="00BC0E7E" w:rsidP="00BC0E7E">
      <w:pPr>
        <w:keepNext/>
        <w:numPr>
          <w:ilvl w:val="12"/>
          <w:numId w:val="0"/>
        </w:numPr>
        <w:tabs>
          <w:tab w:val="clear" w:pos="562"/>
        </w:tabs>
        <w:ind w:right="-2"/>
      </w:pPr>
    </w:p>
    <w:p w14:paraId="5C124278" w14:textId="77777777" w:rsidR="00BC0E7E" w:rsidRPr="00BC0E7E" w:rsidRDefault="00944B8F" w:rsidP="00BC0E7E">
      <w:pPr>
        <w:numPr>
          <w:ilvl w:val="12"/>
          <w:numId w:val="0"/>
        </w:numPr>
        <w:tabs>
          <w:tab w:val="clear" w:pos="562"/>
        </w:tabs>
        <w:ind w:right="-2"/>
        <w:rPr>
          <w:szCs w:val="22"/>
        </w:rPr>
      </w:pPr>
      <w:r w:rsidRPr="00BC0E7E">
        <w:rPr>
          <w:b/>
          <w:bCs/>
        </w:rPr>
        <w:t>What Humira contains</w:t>
      </w:r>
    </w:p>
    <w:p w14:paraId="438CCEE9" w14:textId="77777777" w:rsidR="00BC0E7E" w:rsidRPr="00BC0E7E" w:rsidRDefault="00BC0E7E" w:rsidP="00BC0E7E">
      <w:pPr>
        <w:keepNext/>
        <w:numPr>
          <w:ilvl w:val="12"/>
          <w:numId w:val="0"/>
        </w:numPr>
        <w:ind w:right="-2"/>
        <w:rPr>
          <w:szCs w:val="22"/>
        </w:rPr>
      </w:pPr>
    </w:p>
    <w:p w14:paraId="0BEA87E8" w14:textId="77777777" w:rsidR="00BC0E7E" w:rsidRPr="00BC0E7E" w:rsidRDefault="00944B8F" w:rsidP="00BC0E7E">
      <w:pPr>
        <w:keepNext/>
        <w:numPr>
          <w:ilvl w:val="12"/>
          <w:numId w:val="0"/>
        </w:numPr>
        <w:ind w:right="-2"/>
        <w:rPr>
          <w:szCs w:val="22"/>
        </w:rPr>
      </w:pPr>
      <w:r w:rsidRPr="00BC0E7E">
        <w:rPr>
          <w:szCs w:val="22"/>
        </w:rPr>
        <w:t>The active substance is adalimumab.</w:t>
      </w:r>
    </w:p>
    <w:p w14:paraId="3F6C78CB" w14:textId="77777777" w:rsidR="00BC0E7E" w:rsidRPr="00BC0E7E" w:rsidRDefault="00944B8F" w:rsidP="00BC0E7E">
      <w:pPr>
        <w:keepNext/>
        <w:numPr>
          <w:ilvl w:val="12"/>
          <w:numId w:val="0"/>
        </w:numPr>
        <w:tabs>
          <w:tab w:val="clear" w:pos="562"/>
        </w:tabs>
        <w:ind w:right="-2"/>
        <w:rPr>
          <w:szCs w:val="22"/>
        </w:rPr>
      </w:pPr>
      <w:r w:rsidRPr="00BC0E7E">
        <w:rPr>
          <w:szCs w:val="22"/>
        </w:rPr>
        <w:t>The other ingredients are mannitol, polysorbate 80 and water for injections.</w:t>
      </w:r>
    </w:p>
    <w:p w14:paraId="3F62CF59" w14:textId="77777777" w:rsidR="00BC0E7E" w:rsidRPr="00BC0E7E" w:rsidRDefault="00BC0E7E" w:rsidP="00BC0E7E">
      <w:pPr>
        <w:numPr>
          <w:ilvl w:val="12"/>
          <w:numId w:val="0"/>
        </w:numPr>
        <w:tabs>
          <w:tab w:val="clear" w:pos="562"/>
        </w:tabs>
        <w:ind w:right="-2"/>
        <w:rPr>
          <w:szCs w:val="22"/>
        </w:rPr>
      </w:pPr>
    </w:p>
    <w:p w14:paraId="4CB96DBC" w14:textId="77777777" w:rsidR="00BC0E7E" w:rsidRPr="00BC0E7E" w:rsidRDefault="00944B8F" w:rsidP="00BC0E7E">
      <w:pPr>
        <w:numPr>
          <w:ilvl w:val="12"/>
          <w:numId w:val="0"/>
        </w:numPr>
        <w:tabs>
          <w:tab w:val="clear" w:pos="562"/>
        </w:tabs>
        <w:ind w:right="-2"/>
        <w:rPr>
          <w:b/>
          <w:bCs/>
        </w:rPr>
      </w:pPr>
      <w:r w:rsidRPr="00BC0E7E">
        <w:rPr>
          <w:b/>
          <w:bCs/>
        </w:rPr>
        <w:t>What the Humira pre-filled syringe looks like and contents of the pack</w:t>
      </w:r>
    </w:p>
    <w:p w14:paraId="00B3AE6D" w14:textId="77777777" w:rsidR="00BC0E7E" w:rsidRPr="00BC0E7E" w:rsidRDefault="00BC0E7E" w:rsidP="00BC0E7E">
      <w:pPr>
        <w:numPr>
          <w:ilvl w:val="12"/>
          <w:numId w:val="0"/>
        </w:numPr>
        <w:tabs>
          <w:tab w:val="clear" w:pos="562"/>
        </w:tabs>
        <w:ind w:right="-2"/>
        <w:rPr>
          <w:b/>
          <w:bCs/>
        </w:rPr>
      </w:pPr>
    </w:p>
    <w:p w14:paraId="08373902" w14:textId="77777777" w:rsidR="00BC0E7E" w:rsidRPr="00BC0E7E" w:rsidRDefault="00944B8F" w:rsidP="00BC0E7E">
      <w:pPr>
        <w:numPr>
          <w:ilvl w:val="12"/>
          <w:numId w:val="0"/>
        </w:numPr>
        <w:tabs>
          <w:tab w:val="clear" w:pos="562"/>
        </w:tabs>
        <w:ind w:right="-2"/>
        <w:rPr>
          <w:b/>
          <w:bCs/>
        </w:rPr>
      </w:pPr>
      <w:r w:rsidRPr="00BC0E7E">
        <w:t>Humira 80 mg solution for injection in pre-filled syringe is supplied as a sterile solution of 80 mg adalimumab dissolved in 0.8 ml solution.</w:t>
      </w:r>
    </w:p>
    <w:p w14:paraId="4992B80D" w14:textId="77777777" w:rsidR="00BC0E7E" w:rsidRPr="00BC0E7E" w:rsidRDefault="00BC0E7E" w:rsidP="00BC0E7E">
      <w:pPr>
        <w:numPr>
          <w:ilvl w:val="12"/>
          <w:numId w:val="0"/>
        </w:numPr>
        <w:tabs>
          <w:tab w:val="clear" w:pos="562"/>
        </w:tabs>
        <w:ind w:right="-2"/>
      </w:pPr>
    </w:p>
    <w:p w14:paraId="1CABA427" w14:textId="77777777" w:rsidR="00BC0E7E" w:rsidRPr="00BC0E7E" w:rsidRDefault="00944B8F" w:rsidP="00BC0E7E">
      <w:pPr>
        <w:numPr>
          <w:ilvl w:val="12"/>
          <w:numId w:val="0"/>
        </w:numPr>
        <w:tabs>
          <w:tab w:val="clear" w:pos="562"/>
        </w:tabs>
        <w:ind w:right="-2"/>
      </w:pPr>
      <w:r w:rsidRPr="00BC0E7E">
        <w:t xml:space="preserve">The Humira pre-filled syringe is a glass syringe containing a solution of adalimumab. </w:t>
      </w:r>
    </w:p>
    <w:p w14:paraId="7FC52AA8" w14:textId="77777777" w:rsidR="00BC0E7E" w:rsidRPr="00BC0E7E" w:rsidRDefault="00BC0E7E" w:rsidP="00BC0E7E">
      <w:pPr>
        <w:numPr>
          <w:ilvl w:val="12"/>
          <w:numId w:val="0"/>
        </w:numPr>
        <w:tabs>
          <w:tab w:val="clear" w:pos="562"/>
        </w:tabs>
        <w:ind w:right="-2"/>
      </w:pPr>
    </w:p>
    <w:p w14:paraId="4A025B9A" w14:textId="77777777" w:rsidR="00BC0E7E" w:rsidRPr="00BC0E7E" w:rsidRDefault="00944B8F" w:rsidP="00BC0E7E">
      <w:pPr>
        <w:numPr>
          <w:ilvl w:val="12"/>
          <w:numId w:val="0"/>
        </w:numPr>
        <w:tabs>
          <w:tab w:val="clear" w:pos="562"/>
        </w:tabs>
        <w:ind w:right="-2"/>
      </w:pPr>
      <w:r w:rsidRPr="00BC0E7E">
        <w:t xml:space="preserve">The Humira pre-filled syringe is available in a pack containing 1 pre-filled syringe for patient use with 1 alcohol pad.  </w:t>
      </w:r>
    </w:p>
    <w:p w14:paraId="5781046D" w14:textId="77777777" w:rsidR="00BC0E7E" w:rsidRPr="00BC0E7E" w:rsidRDefault="00BC0E7E" w:rsidP="00BC0E7E">
      <w:pPr>
        <w:numPr>
          <w:ilvl w:val="12"/>
          <w:numId w:val="0"/>
        </w:numPr>
        <w:tabs>
          <w:tab w:val="clear" w:pos="562"/>
        </w:tabs>
        <w:ind w:right="-2"/>
      </w:pPr>
    </w:p>
    <w:p w14:paraId="0B93AF81" w14:textId="77777777" w:rsidR="00BC0E7E" w:rsidRPr="00BC0E7E" w:rsidRDefault="00944B8F" w:rsidP="00BC0E7E">
      <w:pPr>
        <w:numPr>
          <w:ilvl w:val="12"/>
          <w:numId w:val="0"/>
        </w:numPr>
        <w:tabs>
          <w:tab w:val="clear" w:pos="562"/>
        </w:tabs>
        <w:ind w:right="-2"/>
      </w:pPr>
      <w:r w:rsidRPr="00BC0E7E">
        <w:t xml:space="preserve">Humira </w:t>
      </w:r>
      <w:r w:rsidR="00B74112">
        <w:t>may be</w:t>
      </w:r>
      <w:r w:rsidRPr="00BC0E7E">
        <w:t xml:space="preserve"> available as a vial, a pre-filled syringe and</w:t>
      </w:r>
      <w:r w:rsidR="00B74112">
        <w:t>/or</w:t>
      </w:r>
      <w:r w:rsidRPr="00BC0E7E">
        <w:t xml:space="preserve"> a pre-filled pen.</w:t>
      </w:r>
    </w:p>
    <w:p w14:paraId="3BC09C8A" w14:textId="77777777" w:rsidR="00BC0E7E" w:rsidRPr="00BC0E7E" w:rsidRDefault="00BC0E7E" w:rsidP="00BC0E7E">
      <w:pPr>
        <w:numPr>
          <w:ilvl w:val="12"/>
          <w:numId w:val="0"/>
        </w:numPr>
        <w:tabs>
          <w:tab w:val="clear" w:pos="562"/>
        </w:tabs>
        <w:ind w:right="-2"/>
      </w:pPr>
    </w:p>
    <w:p w14:paraId="67422835" w14:textId="77777777" w:rsidR="00BC0E7E" w:rsidRPr="00BC0E7E" w:rsidRDefault="00944B8F" w:rsidP="00BC0E7E">
      <w:pPr>
        <w:keepNext/>
        <w:numPr>
          <w:ilvl w:val="12"/>
          <w:numId w:val="0"/>
        </w:numPr>
        <w:tabs>
          <w:tab w:val="clear" w:pos="562"/>
        </w:tabs>
        <w:ind w:right="-2"/>
        <w:rPr>
          <w:b/>
        </w:rPr>
      </w:pPr>
      <w:r w:rsidRPr="00BC0E7E">
        <w:rPr>
          <w:b/>
        </w:rPr>
        <w:t>Marketing Authorisation Holder</w:t>
      </w:r>
    </w:p>
    <w:p w14:paraId="700D5D6E" w14:textId="77777777" w:rsidR="00BC0E7E" w:rsidRPr="00BC0E7E" w:rsidRDefault="00BC0E7E" w:rsidP="00BC0E7E">
      <w:pPr>
        <w:keepNext/>
        <w:numPr>
          <w:ilvl w:val="12"/>
          <w:numId w:val="0"/>
        </w:numPr>
        <w:tabs>
          <w:tab w:val="clear" w:pos="562"/>
        </w:tabs>
        <w:ind w:right="-2"/>
      </w:pPr>
    </w:p>
    <w:p w14:paraId="4BC63F8B"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AbbVie Deutschland GmbH &amp; Co. KG</w:t>
      </w:r>
    </w:p>
    <w:p w14:paraId="0F8097A2"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Knollstrasse</w:t>
      </w:r>
    </w:p>
    <w:p w14:paraId="5345D70D"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67061 Ludwigshafen</w:t>
      </w:r>
    </w:p>
    <w:p w14:paraId="3957E637" w14:textId="77777777" w:rsidR="006A01D2" w:rsidRDefault="00944B8F" w:rsidP="006A01D2">
      <w:pPr>
        <w:keepNext/>
        <w:tabs>
          <w:tab w:val="clear" w:pos="562"/>
          <w:tab w:val="left" w:pos="720"/>
        </w:tabs>
        <w:suppressAutoHyphens w:val="0"/>
        <w:autoSpaceDE w:val="0"/>
        <w:autoSpaceDN w:val="0"/>
        <w:adjustRightInd w:val="0"/>
        <w:spacing w:line="240" w:lineRule="atLeast"/>
        <w:rPr>
          <w:szCs w:val="22"/>
          <w:lang w:eastAsia="en-GB"/>
        </w:rPr>
      </w:pPr>
      <w:r w:rsidRPr="00EB4204">
        <w:rPr>
          <w:szCs w:val="22"/>
          <w:lang w:eastAsia="en-GB"/>
        </w:rPr>
        <w:t>Germany</w:t>
      </w:r>
      <w:r>
        <w:rPr>
          <w:szCs w:val="22"/>
          <w:lang w:eastAsia="en-GB"/>
        </w:rPr>
        <w:t xml:space="preserve"> </w:t>
      </w:r>
    </w:p>
    <w:p w14:paraId="7C27934F" w14:textId="77777777" w:rsidR="00BC0E7E" w:rsidRPr="00BC0E7E" w:rsidRDefault="00BC0E7E" w:rsidP="00BC0E7E">
      <w:pPr>
        <w:tabs>
          <w:tab w:val="clear" w:pos="562"/>
        </w:tabs>
      </w:pPr>
    </w:p>
    <w:p w14:paraId="154B3AE8" w14:textId="77777777" w:rsidR="00BC0E7E" w:rsidRPr="00BC0E7E" w:rsidRDefault="00944B8F" w:rsidP="00BC0E7E">
      <w:pPr>
        <w:numPr>
          <w:ilvl w:val="12"/>
          <w:numId w:val="0"/>
        </w:numPr>
        <w:tabs>
          <w:tab w:val="clear" w:pos="562"/>
        </w:tabs>
        <w:ind w:right="-2"/>
        <w:rPr>
          <w:b/>
        </w:rPr>
      </w:pPr>
      <w:r w:rsidRPr="00BC0E7E">
        <w:rPr>
          <w:b/>
        </w:rPr>
        <w:t xml:space="preserve">Manufacturer </w:t>
      </w:r>
    </w:p>
    <w:p w14:paraId="021F9DD8" w14:textId="77777777" w:rsidR="00BC0E7E" w:rsidRPr="00BC0E7E" w:rsidRDefault="00BC0E7E" w:rsidP="00BC0E7E">
      <w:pPr>
        <w:numPr>
          <w:ilvl w:val="12"/>
          <w:numId w:val="0"/>
        </w:numPr>
        <w:tabs>
          <w:tab w:val="clear" w:pos="562"/>
          <w:tab w:val="left" w:pos="720"/>
        </w:tabs>
      </w:pPr>
    </w:p>
    <w:p w14:paraId="11F7067E" w14:textId="77777777" w:rsidR="00BC0E7E" w:rsidRPr="00BC0E7E" w:rsidRDefault="00944B8F" w:rsidP="00BC0E7E">
      <w:r w:rsidRPr="00BC0E7E">
        <w:t>AbbVie Biotechnology GmbH</w:t>
      </w:r>
    </w:p>
    <w:p w14:paraId="4CC0CAE5" w14:textId="77777777" w:rsidR="00BC0E7E" w:rsidRPr="00BC0E7E" w:rsidRDefault="00944B8F" w:rsidP="00BC0E7E">
      <w:pPr>
        <w:numPr>
          <w:ilvl w:val="12"/>
          <w:numId w:val="0"/>
        </w:numPr>
        <w:tabs>
          <w:tab w:val="clear" w:pos="562"/>
          <w:tab w:val="left" w:pos="720"/>
        </w:tabs>
      </w:pPr>
      <w:r w:rsidRPr="00BC0E7E">
        <w:t>Knollstrasse</w:t>
      </w:r>
    </w:p>
    <w:p w14:paraId="1B3489BC" w14:textId="77777777" w:rsidR="00BC0E7E" w:rsidRPr="00BC0E7E" w:rsidRDefault="00944B8F" w:rsidP="00BC0E7E">
      <w:pPr>
        <w:numPr>
          <w:ilvl w:val="12"/>
          <w:numId w:val="0"/>
        </w:numPr>
        <w:tabs>
          <w:tab w:val="clear" w:pos="562"/>
          <w:tab w:val="left" w:pos="720"/>
        </w:tabs>
      </w:pPr>
      <w:r w:rsidRPr="00BC0E7E">
        <w:t>67061 Ludwigshafen</w:t>
      </w:r>
    </w:p>
    <w:p w14:paraId="4994C345" w14:textId="77777777" w:rsidR="00BC0E7E" w:rsidRPr="00BC0E7E" w:rsidRDefault="00944B8F" w:rsidP="00BC0E7E">
      <w:pPr>
        <w:numPr>
          <w:ilvl w:val="12"/>
          <w:numId w:val="0"/>
        </w:numPr>
        <w:tabs>
          <w:tab w:val="clear" w:pos="562"/>
          <w:tab w:val="left" w:pos="720"/>
        </w:tabs>
      </w:pPr>
      <w:r w:rsidRPr="00BC0E7E">
        <w:t>Germany</w:t>
      </w:r>
    </w:p>
    <w:p w14:paraId="6B13FCF7" w14:textId="77777777" w:rsidR="00BC0E7E" w:rsidRPr="00BC0E7E" w:rsidRDefault="00BC0E7E" w:rsidP="00BC0E7E">
      <w:pPr>
        <w:numPr>
          <w:ilvl w:val="12"/>
          <w:numId w:val="0"/>
        </w:numPr>
        <w:tabs>
          <w:tab w:val="clear" w:pos="562"/>
        </w:tabs>
        <w:ind w:right="-2"/>
      </w:pPr>
    </w:p>
    <w:p w14:paraId="78DC73D5" w14:textId="77777777" w:rsidR="00BC0E7E" w:rsidRPr="00BC0E7E" w:rsidRDefault="00944B8F" w:rsidP="00BC0E7E">
      <w:pPr>
        <w:numPr>
          <w:ilvl w:val="12"/>
          <w:numId w:val="0"/>
        </w:numPr>
        <w:tabs>
          <w:tab w:val="clear" w:pos="562"/>
        </w:tabs>
        <w:ind w:right="-2"/>
      </w:pPr>
      <w:r w:rsidRPr="00BC0E7E">
        <w:t>For any information about this medicine, please contact the local representative of the Marketing Authorisation Holder:</w:t>
      </w:r>
    </w:p>
    <w:p w14:paraId="3C54A5FE" w14:textId="77777777" w:rsidR="00BC0E7E" w:rsidRPr="00BC0E7E" w:rsidRDefault="00BC0E7E" w:rsidP="00BC0E7E">
      <w:pPr>
        <w:tabs>
          <w:tab w:val="clear" w:pos="562"/>
        </w:tabs>
        <w:suppressAutoHyphens w:val="0"/>
        <w:rPr>
          <w:sz w:val="24"/>
        </w:rPr>
      </w:pPr>
    </w:p>
    <w:tbl>
      <w:tblPr>
        <w:tblW w:w="9356" w:type="dxa"/>
        <w:tblInd w:w="-34" w:type="dxa"/>
        <w:tblLayout w:type="fixed"/>
        <w:tblLook w:val="0000" w:firstRow="0" w:lastRow="0" w:firstColumn="0" w:lastColumn="0" w:noHBand="0" w:noVBand="0"/>
      </w:tblPr>
      <w:tblGrid>
        <w:gridCol w:w="34"/>
        <w:gridCol w:w="4644"/>
        <w:gridCol w:w="4678"/>
      </w:tblGrid>
      <w:tr w:rsidR="00C6578C" w14:paraId="44E2AB05" w14:textId="77777777" w:rsidTr="00171601">
        <w:trPr>
          <w:gridBefore w:val="1"/>
          <w:wBefore w:w="34" w:type="dxa"/>
        </w:trPr>
        <w:tc>
          <w:tcPr>
            <w:tcW w:w="4644" w:type="dxa"/>
          </w:tcPr>
          <w:p w14:paraId="1670E59B" w14:textId="77777777" w:rsidR="00BC0E7E" w:rsidRPr="00BC0E7E" w:rsidRDefault="00944B8F" w:rsidP="00BC0E7E">
            <w:pPr>
              <w:rPr>
                <w:b/>
                <w:lang w:val="fr-BE"/>
              </w:rPr>
            </w:pPr>
            <w:r w:rsidRPr="00BC0E7E">
              <w:rPr>
                <w:b/>
                <w:lang w:val="fr-BE"/>
              </w:rPr>
              <w:t>België/Belgique/Belgien</w:t>
            </w:r>
          </w:p>
          <w:p w14:paraId="0425271B" w14:textId="77777777" w:rsidR="00BC0E7E" w:rsidRPr="00BC0E7E" w:rsidRDefault="00944B8F" w:rsidP="00BC0E7E">
            <w:pPr>
              <w:tabs>
                <w:tab w:val="center" w:pos="2214"/>
              </w:tabs>
              <w:rPr>
                <w:lang w:val="fr-FR"/>
              </w:rPr>
            </w:pPr>
            <w:r w:rsidRPr="00BC0E7E">
              <w:rPr>
                <w:lang w:val="fr-FR"/>
              </w:rPr>
              <w:t>AbbVie SA</w:t>
            </w:r>
          </w:p>
          <w:p w14:paraId="2059E857" w14:textId="77777777" w:rsidR="00BC0E7E" w:rsidRDefault="00944B8F" w:rsidP="00BC0E7E">
            <w:pPr>
              <w:spacing w:line="260" w:lineRule="exact"/>
              <w:rPr>
                <w:lang w:val="fr-FR"/>
              </w:rPr>
            </w:pPr>
            <w:r w:rsidRPr="00BC0E7E">
              <w:rPr>
                <w:lang w:val="fr-FR"/>
              </w:rPr>
              <w:t>Tél/Tel: +32 10  477811</w:t>
            </w:r>
          </w:p>
          <w:p w14:paraId="3433078E" w14:textId="77777777" w:rsidR="0099655D" w:rsidRPr="00BC0E7E" w:rsidRDefault="0099655D" w:rsidP="00BC0E7E">
            <w:pPr>
              <w:spacing w:line="260" w:lineRule="exact"/>
              <w:rPr>
                <w:lang w:val="fr-FR"/>
              </w:rPr>
            </w:pPr>
          </w:p>
        </w:tc>
        <w:tc>
          <w:tcPr>
            <w:tcW w:w="4678" w:type="dxa"/>
          </w:tcPr>
          <w:p w14:paraId="24B5A409" w14:textId="77777777" w:rsidR="00BC0E7E" w:rsidRPr="00BC0E7E" w:rsidRDefault="00944B8F" w:rsidP="00BC0E7E">
            <w:pPr>
              <w:rPr>
                <w:b/>
                <w:lang w:val="lt-LT"/>
              </w:rPr>
            </w:pPr>
            <w:r w:rsidRPr="00BC0E7E">
              <w:rPr>
                <w:b/>
                <w:lang w:val="lt-LT"/>
              </w:rPr>
              <w:t>Lietuva</w:t>
            </w:r>
          </w:p>
          <w:p w14:paraId="6762B1C0" w14:textId="77777777" w:rsidR="00BC0E7E" w:rsidRPr="00BC0E7E" w:rsidRDefault="00944B8F" w:rsidP="00BC0E7E">
            <w:pPr>
              <w:rPr>
                <w:lang w:val="lv-LV"/>
              </w:rPr>
            </w:pPr>
            <w:r w:rsidRPr="00BC0E7E">
              <w:rPr>
                <w:lang w:val="lv-LV"/>
              </w:rPr>
              <w:t xml:space="preserve">AbbVie UAB </w:t>
            </w:r>
          </w:p>
          <w:p w14:paraId="504A13B3" w14:textId="77777777" w:rsidR="00BC0E7E" w:rsidRPr="00BC0E7E" w:rsidRDefault="00944B8F" w:rsidP="00BC0E7E">
            <w:pPr>
              <w:jc w:val="both"/>
              <w:rPr>
                <w:lang w:val="lv-LV"/>
              </w:rPr>
            </w:pPr>
            <w:r w:rsidRPr="00BC0E7E">
              <w:rPr>
                <w:lang w:val="lv-LV"/>
              </w:rPr>
              <w:t>Tel: +370 5 205 3023</w:t>
            </w:r>
          </w:p>
        </w:tc>
      </w:tr>
      <w:tr w:rsidR="00C6578C" w14:paraId="1EEB4167" w14:textId="77777777" w:rsidTr="00171601">
        <w:trPr>
          <w:gridBefore w:val="1"/>
          <w:wBefore w:w="34" w:type="dxa"/>
        </w:trPr>
        <w:tc>
          <w:tcPr>
            <w:tcW w:w="4644" w:type="dxa"/>
          </w:tcPr>
          <w:p w14:paraId="46C7B55C" w14:textId="77777777" w:rsidR="00BC0E7E" w:rsidRPr="00BC0E7E" w:rsidRDefault="00944B8F" w:rsidP="00BC0E7E">
            <w:pPr>
              <w:keepNext/>
              <w:autoSpaceDE w:val="0"/>
              <w:autoSpaceDN w:val="0"/>
              <w:adjustRightInd w:val="0"/>
              <w:rPr>
                <w:b/>
                <w:lang w:val="bg-BG"/>
              </w:rPr>
            </w:pPr>
            <w:r w:rsidRPr="00BC0E7E">
              <w:rPr>
                <w:b/>
                <w:lang w:val="bg-BG"/>
              </w:rPr>
              <w:lastRenderedPageBreak/>
              <w:t>България</w:t>
            </w:r>
          </w:p>
          <w:p w14:paraId="76855C64" w14:textId="77777777" w:rsidR="00BC0E7E" w:rsidRPr="00BC0E7E" w:rsidRDefault="00944B8F" w:rsidP="00BC0E7E">
            <w:pPr>
              <w:keepNext/>
              <w:autoSpaceDE w:val="0"/>
              <w:autoSpaceDN w:val="0"/>
              <w:adjustRightInd w:val="0"/>
              <w:rPr>
                <w:lang w:val="da-DK"/>
              </w:rPr>
            </w:pPr>
            <w:r w:rsidRPr="00BC0E7E">
              <w:rPr>
                <w:rFonts w:eastAsia="MS Mincho"/>
                <w:color w:val="000000"/>
              </w:rPr>
              <w:t>АбВи ЕООД</w:t>
            </w:r>
          </w:p>
          <w:p w14:paraId="75365D97" w14:textId="77777777" w:rsidR="00BC0E7E" w:rsidRPr="00BC0E7E" w:rsidRDefault="00944B8F" w:rsidP="00BC0E7E">
            <w:pPr>
              <w:keepNext/>
              <w:tabs>
                <w:tab w:val="left" w:pos="-720"/>
              </w:tabs>
              <w:rPr>
                <w:lang w:val="da-DK"/>
              </w:rPr>
            </w:pPr>
            <w:r w:rsidRPr="00BC0E7E">
              <w:rPr>
                <w:rFonts w:eastAsia="MS Mincho"/>
                <w:color w:val="000000"/>
              </w:rPr>
              <w:t>Тел</w:t>
            </w:r>
            <w:r w:rsidRPr="00BC0E7E">
              <w:rPr>
                <w:rFonts w:eastAsia="MS Mincho"/>
                <w:color w:val="000000"/>
                <w:lang w:val="it-IT"/>
              </w:rPr>
              <w:t>.:+359 2 90 30 430</w:t>
            </w:r>
          </w:p>
        </w:tc>
        <w:tc>
          <w:tcPr>
            <w:tcW w:w="4678" w:type="dxa"/>
          </w:tcPr>
          <w:p w14:paraId="41B14E09" w14:textId="77777777" w:rsidR="00BC0E7E" w:rsidRPr="00BC0E7E" w:rsidRDefault="00944B8F" w:rsidP="00BC0E7E">
            <w:pPr>
              <w:keepNext/>
              <w:rPr>
                <w:b/>
                <w:lang w:val="de-DE"/>
              </w:rPr>
            </w:pPr>
            <w:r w:rsidRPr="00BC0E7E">
              <w:rPr>
                <w:b/>
                <w:lang w:val="de-DE"/>
              </w:rPr>
              <w:t>Luxembourg/Luxemburg</w:t>
            </w:r>
          </w:p>
          <w:p w14:paraId="4A0B8390" w14:textId="77777777" w:rsidR="00BC0E7E" w:rsidRPr="00BC0E7E" w:rsidRDefault="00944B8F" w:rsidP="00BC0E7E">
            <w:pPr>
              <w:keepNext/>
              <w:rPr>
                <w:lang w:val="de-DE"/>
              </w:rPr>
            </w:pPr>
            <w:r w:rsidRPr="00BC0E7E">
              <w:rPr>
                <w:lang w:val="de-DE"/>
              </w:rPr>
              <w:t>AbbVie SA</w:t>
            </w:r>
          </w:p>
          <w:p w14:paraId="36C3126A" w14:textId="77777777" w:rsidR="00BC0E7E" w:rsidRPr="00BC0E7E" w:rsidRDefault="00944B8F" w:rsidP="00BC0E7E">
            <w:pPr>
              <w:keepNext/>
              <w:tabs>
                <w:tab w:val="center" w:pos="2231"/>
              </w:tabs>
              <w:rPr>
                <w:lang w:val="de-DE"/>
              </w:rPr>
            </w:pPr>
            <w:r w:rsidRPr="00BC0E7E">
              <w:rPr>
                <w:lang w:val="de-DE"/>
              </w:rPr>
              <w:t>Belgique/Belgien</w:t>
            </w:r>
          </w:p>
          <w:p w14:paraId="74A643F2" w14:textId="77777777" w:rsidR="00BC0E7E" w:rsidRDefault="00944B8F" w:rsidP="00BC0E7E">
            <w:pPr>
              <w:keepNext/>
              <w:rPr>
                <w:lang w:val="fr-FR"/>
              </w:rPr>
            </w:pPr>
            <w:r w:rsidRPr="00BC0E7E">
              <w:rPr>
                <w:lang w:val="fr-FR"/>
              </w:rPr>
              <w:t>Tél/Tel: +32 10 477811</w:t>
            </w:r>
          </w:p>
          <w:p w14:paraId="29899A25" w14:textId="77777777" w:rsidR="0099655D" w:rsidRPr="00BC0E7E" w:rsidRDefault="0099655D" w:rsidP="00BC0E7E">
            <w:pPr>
              <w:keepNext/>
              <w:rPr>
                <w:lang w:val="fr-FR"/>
              </w:rPr>
            </w:pPr>
          </w:p>
        </w:tc>
      </w:tr>
      <w:tr w:rsidR="00C6578C" w14:paraId="37C34BBE" w14:textId="77777777" w:rsidTr="00171601">
        <w:trPr>
          <w:gridBefore w:val="1"/>
          <w:wBefore w:w="34" w:type="dxa"/>
        </w:trPr>
        <w:tc>
          <w:tcPr>
            <w:tcW w:w="4644" w:type="dxa"/>
          </w:tcPr>
          <w:p w14:paraId="4238DC97" w14:textId="77777777" w:rsidR="00BC0E7E" w:rsidRPr="00BC0E7E" w:rsidRDefault="00944B8F" w:rsidP="0099655D">
            <w:pPr>
              <w:keepNext/>
              <w:rPr>
                <w:b/>
                <w:lang w:val="de-DE"/>
              </w:rPr>
            </w:pPr>
            <w:r w:rsidRPr="00BC0E7E">
              <w:rPr>
                <w:b/>
                <w:lang w:val="de-DE"/>
              </w:rPr>
              <w:t>Česká republika</w:t>
            </w:r>
          </w:p>
          <w:p w14:paraId="1A737456" w14:textId="77777777" w:rsidR="00BC0E7E" w:rsidRPr="00BC0E7E" w:rsidRDefault="00944B8F" w:rsidP="0099655D">
            <w:pPr>
              <w:keepNext/>
              <w:rPr>
                <w:lang w:val="de-DE"/>
              </w:rPr>
            </w:pPr>
            <w:r w:rsidRPr="00BC0E7E">
              <w:rPr>
                <w:lang w:val="de-DE"/>
              </w:rPr>
              <w:t xml:space="preserve">AbbVie s.r.o. </w:t>
            </w:r>
          </w:p>
          <w:p w14:paraId="5A42B4CC" w14:textId="77777777" w:rsidR="00BC0E7E" w:rsidRDefault="00944B8F" w:rsidP="0099655D">
            <w:pPr>
              <w:keepNext/>
              <w:rPr>
                <w:lang w:val="de-DE"/>
              </w:rPr>
            </w:pPr>
            <w:r w:rsidRPr="00BC0E7E">
              <w:rPr>
                <w:lang w:val="de-DE"/>
              </w:rPr>
              <w:t>Tel: +420 233 098 111</w:t>
            </w:r>
          </w:p>
          <w:p w14:paraId="4C1EE0BB" w14:textId="77777777" w:rsidR="0099655D" w:rsidRPr="00BC0E7E" w:rsidRDefault="0099655D" w:rsidP="0099655D">
            <w:pPr>
              <w:keepNext/>
              <w:rPr>
                <w:lang w:val="de-DE"/>
              </w:rPr>
            </w:pPr>
          </w:p>
        </w:tc>
        <w:tc>
          <w:tcPr>
            <w:tcW w:w="4678" w:type="dxa"/>
          </w:tcPr>
          <w:p w14:paraId="57A051FB" w14:textId="77777777" w:rsidR="00BC0E7E" w:rsidRPr="00BC0E7E" w:rsidRDefault="00944B8F" w:rsidP="0099655D">
            <w:pPr>
              <w:keepNext/>
              <w:rPr>
                <w:b/>
                <w:lang w:val="hu-HU"/>
              </w:rPr>
            </w:pPr>
            <w:r w:rsidRPr="00BC0E7E">
              <w:rPr>
                <w:b/>
                <w:lang w:val="hu-HU"/>
              </w:rPr>
              <w:t>Magyarország</w:t>
            </w:r>
          </w:p>
          <w:p w14:paraId="3C75E12D" w14:textId="77777777" w:rsidR="00BC0E7E" w:rsidRPr="00BC0E7E" w:rsidRDefault="00944B8F" w:rsidP="0099655D">
            <w:pPr>
              <w:keepNext/>
              <w:rPr>
                <w:lang w:val="hu-HU"/>
              </w:rPr>
            </w:pPr>
            <w:r w:rsidRPr="00BC0E7E">
              <w:rPr>
                <w:lang w:val="hu-HU"/>
              </w:rPr>
              <w:t>AbbVie Kft.</w:t>
            </w:r>
          </w:p>
          <w:p w14:paraId="114C50C5" w14:textId="77777777" w:rsidR="00BC0E7E" w:rsidRPr="00BC0E7E" w:rsidRDefault="00944B8F" w:rsidP="0099655D">
            <w:pPr>
              <w:keepNext/>
              <w:tabs>
                <w:tab w:val="left" w:pos="2380"/>
              </w:tabs>
              <w:rPr>
                <w:lang w:val="hu-HU"/>
              </w:rPr>
            </w:pPr>
            <w:r w:rsidRPr="00BC0E7E">
              <w:rPr>
                <w:lang w:val="hu-HU"/>
              </w:rPr>
              <w:t>Tel.:+36 1 455 8600</w:t>
            </w:r>
          </w:p>
        </w:tc>
      </w:tr>
      <w:tr w:rsidR="00C6578C" w14:paraId="60E47B50" w14:textId="77777777" w:rsidTr="00171601">
        <w:trPr>
          <w:gridBefore w:val="1"/>
          <w:wBefore w:w="34" w:type="dxa"/>
          <w:trHeight w:val="711"/>
        </w:trPr>
        <w:tc>
          <w:tcPr>
            <w:tcW w:w="4644" w:type="dxa"/>
          </w:tcPr>
          <w:p w14:paraId="5A3D7803" w14:textId="77777777" w:rsidR="00BC0E7E" w:rsidRPr="00BC0E7E" w:rsidRDefault="00944B8F" w:rsidP="00BC0E7E">
            <w:pPr>
              <w:rPr>
                <w:b/>
              </w:rPr>
            </w:pPr>
            <w:r w:rsidRPr="00BC0E7E">
              <w:rPr>
                <w:b/>
              </w:rPr>
              <w:t>Danmark</w:t>
            </w:r>
          </w:p>
          <w:p w14:paraId="0331E994" w14:textId="77777777" w:rsidR="00BC0E7E" w:rsidRPr="00BC0E7E" w:rsidRDefault="00944B8F" w:rsidP="00BC0E7E">
            <w:r w:rsidRPr="00BC0E7E">
              <w:t>AbbVie A/S</w:t>
            </w:r>
          </w:p>
          <w:p w14:paraId="2CDA881E" w14:textId="77777777" w:rsidR="00BC0E7E" w:rsidRDefault="00944B8F" w:rsidP="00BC0E7E">
            <w:r w:rsidRPr="00BC0E7E">
              <w:t>Tlf</w:t>
            </w:r>
            <w:ins w:id="13711" w:author="AbbVie19" w:date="2025-05-06T09:50:00Z">
              <w:r w:rsidR="0000567B">
                <w:t>.</w:t>
              </w:r>
            </w:ins>
            <w:r w:rsidRPr="00BC0E7E">
              <w:t>: +45 72 30-20-28</w:t>
            </w:r>
          </w:p>
          <w:p w14:paraId="56A4A6F7" w14:textId="77777777" w:rsidR="0099655D" w:rsidRPr="00BC0E7E" w:rsidRDefault="0099655D" w:rsidP="00BC0E7E"/>
        </w:tc>
        <w:tc>
          <w:tcPr>
            <w:tcW w:w="4678" w:type="dxa"/>
          </w:tcPr>
          <w:p w14:paraId="05A627D4" w14:textId="77777777" w:rsidR="00BC0E7E" w:rsidRPr="00BC0E7E" w:rsidRDefault="00944B8F" w:rsidP="00BC0E7E">
            <w:pPr>
              <w:rPr>
                <w:b/>
                <w:lang w:val="mt-MT"/>
              </w:rPr>
            </w:pPr>
            <w:r w:rsidRPr="00BC0E7E">
              <w:rPr>
                <w:b/>
                <w:lang w:val="mt-MT"/>
              </w:rPr>
              <w:t>Malta</w:t>
            </w:r>
          </w:p>
          <w:p w14:paraId="5252982D" w14:textId="77777777" w:rsidR="00BC0E7E" w:rsidRPr="00BC0E7E" w:rsidRDefault="00944B8F" w:rsidP="00BC0E7E">
            <w:pPr>
              <w:rPr>
                <w:lang w:val="sv-SE"/>
              </w:rPr>
            </w:pPr>
            <w:r w:rsidRPr="00BC0E7E">
              <w:rPr>
                <w:lang w:val="sv-SE"/>
              </w:rPr>
              <w:t xml:space="preserve">V.J.Salomone Pharma Limited </w:t>
            </w:r>
          </w:p>
          <w:p w14:paraId="45A4DDF9" w14:textId="77777777" w:rsidR="00BC0E7E" w:rsidRPr="00BC0E7E" w:rsidRDefault="00944B8F" w:rsidP="00BC0E7E">
            <w:r w:rsidRPr="00BC0E7E">
              <w:t xml:space="preserve">Tel: </w:t>
            </w:r>
            <w:r w:rsidR="00B745CF">
              <w:t>+356 21220174</w:t>
            </w:r>
          </w:p>
        </w:tc>
      </w:tr>
      <w:tr w:rsidR="00C6578C" w:rsidRPr="00173B45" w14:paraId="784237CD" w14:textId="77777777" w:rsidTr="00171601">
        <w:trPr>
          <w:gridBefore w:val="1"/>
          <w:wBefore w:w="34" w:type="dxa"/>
        </w:trPr>
        <w:tc>
          <w:tcPr>
            <w:tcW w:w="4644" w:type="dxa"/>
          </w:tcPr>
          <w:p w14:paraId="385B8E72" w14:textId="77777777" w:rsidR="00BC0E7E" w:rsidRPr="00BC0E7E" w:rsidRDefault="00944B8F" w:rsidP="00BC0E7E">
            <w:pPr>
              <w:rPr>
                <w:b/>
                <w:lang w:val="de-DE"/>
              </w:rPr>
            </w:pPr>
            <w:r w:rsidRPr="00BC0E7E">
              <w:rPr>
                <w:b/>
                <w:lang w:val="de-DE"/>
              </w:rPr>
              <w:t>Deutschland</w:t>
            </w:r>
          </w:p>
          <w:p w14:paraId="2B7471D9" w14:textId="77777777" w:rsidR="00BC0E7E" w:rsidRPr="00BC0E7E" w:rsidRDefault="00944B8F" w:rsidP="00BC0E7E">
            <w:pPr>
              <w:rPr>
                <w:lang w:val="de-DE"/>
              </w:rPr>
            </w:pPr>
            <w:r w:rsidRPr="00BC0E7E">
              <w:rPr>
                <w:lang w:val="de-DE"/>
              </w:rPr>
              <w:t>AbbVie Deutschland GmbH &amp; Co. KG</w:t>
            </w:r>
          </w:p>
          <w:p w14:paraId="2D4061C8" w14:textId="77777777" w:rsidR="00BC0E7E" w:rsidRPr="00BC0E7E" w:rsidRDefault="00944B8F" w:rsidP="00BC0E7E">
            <w:pPr>
              <w:rPr>
                <w:lang w:val="de-DE"/>
              </w:rPr>
            </w:pPr>
            <w:r w:rsidRPr="00BC0E7E">
              <w:rPr>
                <w:lang w:val="de-DE"/>
              </w:rPr>
              <w:t>Tel: 00800 222843 33 (gebührenfrei)</w:t>
            </w:r>
          </w:p>
          <w:p w14:paraId="19F4083B" w14:textId="77777777" w:rsidR="00BC0E7E" w:rsidRDefault="00944B8F" w:rsidP="00BC0E7E">
            <w:pPr>
              <w:rPr>
                <w:lang w:val="de-DE"/>
              </w:rPr>
            </w:pPr>
            <w:r w:rsidRPr="00BC0E7E">
              <w:rPr>
                <w:lang w:val="de-DE"/>
              </w:rPr>
              <w:t>Tel: +49 (0) 611 / 1720-0</w:t>
            </w:r>
          </w:p>
          <w:p w14:paraId="41EC795A" w14:textId="77777777" w:rsidR="0099655D" w:rsidRPr="00BC0E7E" w:rsidRDefault="0099655D" w:rsidP="00BC0E7E">
            <w:pPr>
              <w:rPr>
                <w:lang w:val="de-DE"/>
              </w:rPr>
            </w:pPr>
          </w:p>
        </w:tc>
        <w:tc>
          <w:tcPr>
            <w:tcW w:w="4678" w:type="dxa"/>
          </w:tcPr>
          <w:p w14:paraId="27F85B32" w14:textId="77777777" w:rsidR="00BC0E7E" w:rsidRPr="00BC0E7E" w:rsidRDefault="00944B8F" w:rsidP="00BC0E7E">
            <w:pPr>
              <w:rPr>
                <w:b/>
                <w:lang w:val="nl-NL"/>
              </w:rPr>
            </w:pPr>
            <w:r w:rsidRPr="00BC0E7E">
              <w:rPr>
                <w:b/>
                <w:lang w:val="nl-NL"/>
              </w:rPr>
              <w:t>Nederland</w:t>
            </w:r>
          </w:p>
          <w:p w14:paraId="7DCF5D69" w14:textId="77777777" w:rsidR="00BC0E7E" w:rsidRPr="00BC0E7E" w:rsidRDefault="00944B8F" w:rsidP="00BC0E7E">
            <w:pPr>
              <w:rPr>
                <w:lang w:val="de-DE"/>
              </w:rPr>
            </w:pPr>
            <w:r w:rsidRPr="00BC0E7E">
              <w:rPr>
                <w:lang w:val="de-DE"/>
              </w:rPr>
              <w:t>AbbVie B.V.</w:t>
            </w:r>
          </w:p>
          <w:p w14:paraId="173F7397" w14:textId="77777777" w:rsidR="00BC0E7E" w:rsidRPr="00BC0E7E" w:rsidRDefault="00944B8F" w:rsidP="00BC0E7E">
            <w:pPr>
              <w:rPr>
                <w:lang w:val="de-DE"/>
              </w:rPr>
            </w:pPr>
            <w:r w:rsidRPr="00BC0E7E">
              <w:rPr>
                <w:lang w:val="de-DE"/>
              </w:rPr>
              <w:t>Tel:  +31 (0)88 322 2843</w:t>
            </w:r>
          </w:p>
        </w:tc>
      </w:tr>
      <w:tr w:rsidR="00C6578C" w14:paraId="4249485E" w14:textId="77777777" w:rsidTr="00171601">
        <w:trPr>
          <w:gridBefore w:val="1"/>
          <w:wBefore w:w="34" w:type="dxa"/>
        </w:trPr>
        <w:tc>
          <w:tcPr>
            <w:tcW w:w="4644" w:type="dxa"/>
          </w:tcPr>
          <w:p w14:paraId="1F63AC69" w14:textId="77777777" w:rsidR="00BC0E7E" w:rsidRPr="00BC0E7E" w:rsidRDefault="00944B8F" w:rsidP="00BC0E7E">
            <w:pPr>
              <w:rPr>
                <w:b/>
                <w:lang w:val="et-EE"/>
              </w:rPr>
            </w:pPr>
            <w:r w:rsidRPr="00BC0E7E">
              <w:rPr>
                <w:b/>
                <w:lang w:val="et-EE"/>
              </w:rPr>
              <w:t>Eesti</w:t>
            </w:r>
          </w:p>
          <w:p w14:paraId="4DD9F237" w14:textId="77777777" w:rsidR="00BC0E7E" w:rsidRPr="00BC0E7E" w:rsidRDefault="00944B8F" w:rsidP="00BC0E7E">
            <w:pPr>
              <w:rPr>
                <w:lang w:val="et-EE"/>
              </w:rPr>
            </w:pPr>
            <w:r w:rsidRPr="00BC0E7E">
              <w:rPr>
                <w:lang w:val="et-EE"/>
              </w:rPr>
              <w:t xml:space="preserve">AbbVie </w:t>
            </w:r>
            <w:r w:rsidR="001B6F9C" w:rsidRPr="00F66039">
              <w:rPr>
                <w:bCs/>
                <w:szCs w:val="22"/>
              </w:rPr>
              <w:t>OÜ</w:t>
            </w:r>
          </w:p>
          <w:p w14:paraId="3D2DF90E" w14:textId="77777777" w:rsidR="00BC0E7E" w:rsidRDefault="00944B8F" w:rsidP="00BC0E7E">
            <w:pPr>
              <w:rPr>
                <w:lang w:val="et-EE"/>
              </w:rPr>
            </w:pPr>
            <w:r w:rsidRPr="00BC0E7E">
              <w:rPr>
                <w:lang w:val="et-EE"/>
              </w:rPr>
              <w:t>Tel: +372 623 1011</w:t>
            </w:r>
          </w:p>
          <w:p w14:paraId="27B85618" w14:textId="77777777" w:rsidR="0099655D" w:rsidRPr="00BC0E7E" w:rsidRDefault="0099655D" w:rsidP="00BC0E7E">
            <w:pPr>
              <w:rPr>
                <w:lang w:val="lv-LV"/>
              </w:rPr>
            </w:pPr>
          </w:p>
        </w:tc>
        <w:tc>
          <w:tcPr>
            <w:tcW w:w="4678" w:type="dxa"/>
          </w:tcPr>
          <w:p w14:paraId="65CB9F8C" w14:textId="77777777" w:rsidR="00BC0E7E" w:rsidRPr="00BC0E7E" w:rsidRDefault="00944B8F" w:rsidP="00BC0E7E">
            <w:pPr>
              <w:rPr>
                <w:b/>
                <w:lang w:val="nb-NO"/>
              </w:rPr>
            </w:pPr>
            <w:r w:rsidRPr="00BC0E7E">
              <w:rPr>
                <w:b/>
                <w:lang w:val="nb-NO"/>
              </w:rPr>
              <w:t>Norge</w:t>
            </w:r>
          </w:p>
          <w:p w14:paraId="4FB4ACFA" w14:textId="77777777" w:rsidR="00BC0E7E" w:rsidRPr="00BC0E7E" w:rsidRDefault="00944B8F" w:rsidP="00BC0E7E">
            <w:r w:rsidRPr="00BC0E7E">
              <w:t>AbbVie AS</w:t>
            </w:r>
          </w:p>
          <w:p w14:paraId="615CDAF8" w14:textId="77777777" w:rsidR="00BC0E7E" w:rsidRPr="00BC0E7E" w:rsidRDefault="00944B8F" w:rsidP="00BC0E7E">
            <w:r w:rsidRPr="00BC0E7E">
              <w:t>Tlf: +47 67 81 80 00</w:t>
            </w:r>
          </w:p>
        </w:tc>
      </w:tr>
      <w:tr w:rsidR="00C6578C" w14:paraId="7DF329FF" w14:textId="77777777" w:rsidTr="00171601">
        <w:trPr>
          <w:gridBefore w:val="1"/>
          <w:wBefore w:w="34" w:type="dxa"/>
          <w:trHeight w:val="738"/>
        </w:trPr>
        <w:tc>
          <w:tcPr>
            <w:tcW w:w="4644" w:type="dxa"/>
          </w:tcPr>
          <w:p w14:paraId="106A03AF" w14:textId="77777777" w:rsidR="00BC0E7E" w:rsidRPr="00BC0E7E" w:rsidRDefault="00944B8F" w:rsidP="00BC0E7E">
            <w:pPr>
              <w:rPr>
                <w:b/>
                <w:lang w:val="el-GR"/>
              </w:rPr>
            </w:pPr>
            <w:r w:rsidRPr="00BC0E7E">
              <w:rPr>
                <w:b/>
                <w:lang w:val="el-GR"/>
              </w:rPr>
              <w:t>Ελλάδα</w:t>
            </w:r>
          </w:p>
          <w:p w14:paraId="4E1C19A1" w14:textId="77777777" w:rsidR="00BC0E7E" w:rsidRPr="00BC0E7E" w:rsidRDefault="00944B8F" w:rsidP="00BC0E7E">
            <w:pPr>
              <w:rPr>
                <w:lang w:val="el-GR"/>
              </w:rPr>
            </w:pPr>
            <w:r w:rsidRPr="00BC0E7E">
              <w:rPr>
                <w:lang w:val="et-EE"/>
              </w:rPr>
              <w:t xml:space="preserve">AbbVie </w:t>
            </w:r>
            <w:r w:rsidRPr="00BC0E7E">
              <w:rPr>
                <w:lang w:val="el-GR"/>
              </w:rPr>
              <w:t>ΦΑΡΜΑΚΕΥΤΙΚΗ Α.Ε.</w:t>
            </w:r>
          </w:p>
          <w:p w14:paraId="27101327" w14:textId="77777777" w:rsidR="00BC0E7E" w:rsidRDefault="00944B8F" w:rsidP="00BC0E7E">
            <w:r w:rsidRPr="00BC0E7E">
              <w:rPr>
                <w:lang w:val="el-GR"/>
              </w:rPr>
              <w:t xml:space="preserve">Τηλ: +30 </w:t>
            </w:r>
            <w:r w:rsidRPr="00BC0E7E">
              <w:t>214 4165 555</w:t>
            </w:r>
          </w:p>
          <w:p w14:paraId="2EBB7498" w14:textId="77777777" w:rsidR="0099655D" w:rsidRPr="00BC0E7E" w:rsidRDefault="0099655D" w:rsidP="00BC0E7E">
            <w:pPr>
              <w:rPr>
                <w:bCs/>
                <w:szCs w:val="22"/>
              </w:rPr>
            </w:pPr>
          </w:p>
        </w:tc>
        <w:tc>
          <w:tcPr>
            <w:tcW w:w="4678" w:type="dxa"/>
          </w:tcPr>
          <w:p w14:paraId="6874B240" w14:textId="77777777" w:rsidR="00BC0E7E" w:rsidRPr="00BC0E7E" w:rsidRDefault="00944B8F" w:rsidP="00BC0E7E">
            <w:pPr>
              <w:rPr>
                <w:b/>
                <w:lang w:val="de-DE"/>
              </w:rPr>
            </w:pPr>
            <w:r w:rsidRPr="00BC0E7E">
              <w:rPr>
                <w:b/>
                <w:lang w:val="de-DE"/>
              </w:rPr>
              <w:t>Österreich</w:t>
            </w:r>
          </w:p>
          <w:p w14:paraId="5FE72295" w14:textId="77777777" w:rsidR="00BC0E7E" w:rsidRPr="00BC0E7E" w:rsidRDefault="00944B8F" w:rsidP="00BC0E7E">
            <w:pPr>
              <w:rPr>
                <w:lang w:val="de-DE"/>
              </w:rPr>
            </w:pPr>
            <w:r w:rsidRPr="00BC0E7E">
              <w:rPr>
                <w:lang w:val="de-DE"/>
              </w:rPr>
              <w:t xml:space="preserve">AbbVie GmbH </w:t>
            </w:r>
          </w:p>
          <w:p w14:paraId="41268618" w14:textId="77777777" w:rsidR="00BC0E7E" w:rsidRPr="00BC0E7E" w:rsidRDefault="00944B8F" w:rsidP="00BC0E7E">
            <w:pPr>
              <w:rPr>
                <w:lang w:val="de-DE"/>
              </w:rPr>
            </w:pPr>
            <w:r w:rsidRPr="00BC0E7E">
              <w:rPr>
                <w:lang w:val="de-DE"/>
              </w:rPr>
              <w:t>Tel: +43 1 20589-0</w:t>
            </w:r>
          </w:p>
        </w:tc>
      </w:tr>
      <w:tr w:rsidR="00C6578C" w14:paraId="304143DE" w14:textId="77777777" w:rsidTr="00171601">
        <w:trPr>
          <w:gridBefore w:val="1"/>
          <w:wBefore w:w="34" w:type="dxa"/>
        </w:trPr>
        <w:tc>
          <w:tcPr>
            <w:tcW w:w="4644" w:type="dxa"/>
          </w:tcPr>
          <w:p w14:paraId="749F0F53" w14:textId="77777777" w:rsidR="00BC0E7E" w:rsidRPr="00BC0E7E" w:rsidRDefault="00944B8F" w:rsidP="00BC0E7E">
            <w:pPr>
              <w:rPr>
                <w:b/>
                <w:lang w:val="es-ES"/>
              </w:rPr>
            </w:pPr>
            <w:r w:rsidRPr="00BC0E7E">
              <w:rPr>
                <w:b/>
                <w:lang w:val="es-ES"/>
              </w:rPr>
              <w:t>España</w:t>
            </w:r>
          </w:p>
          <w:p w14:paraId="151BCE61" w14:textId="77777777" w:rsidR="00BC0E7E" w:rsidRPr="00433FAD" w:rsidRDefault="00944B8F" w:rsidP="00BC0E7E">
            <w:pPr>
              <w:rPr>
                <w:lang w:val="es-MX"/>
              </w:rPr>
            </w:pPr>
            <w:r w:rsidRPr="00433FAD">
              <w:rPr>
                <w:lang w:val="es-MX"/>
              </w:rPr>
              <w:t>AbbVie Spain, S.L.U.</w:t>
            </w:r>
          </w:p>
          <w:p w14:paraId="66C91004" w14:textId="77777777" w:rsidR="00BC0E7E" w:rsidRDefault="00944B8F" w:rsidP="00BC0E7E">
            <w:pPr>
              <w:rPr>
                <w:lang w:val="pt-PT"/>
              </w:rPr>
            </w:pPr>
            <w:r w:rsidRPr="00BC0E7E">
              <w:rPr>
                <w:lang w:val="pt-PT"/>
              </w:rPr>
              <w:t>Tel:  +34 91 384 09 10</w:t>
            </w:r>
          </w:p>
          <w:p w14:paraId="4A784CCF" w14:textId="77777777" w:rsidR="0099655D" w:rsidRPr="00BC0E7E" w:rsidRDefault="0099655D" w:rsidP="00BC0E7E">
            <w:pPr>
              <w:rPr>
                <w:lang w:val="pl-PL"/>
              </w:rPr>
            </w:pPr>
          </w:p>
        </w:tc>
        <w:tc>
          <w:tcPr>
            <w:tcW w:w="4678" w:type="dxa"/>
          </w:tcPr>
          <w:p w14:paraId="0427757F" w14:textId="77777777" w:rsidR="00BC0E7E" w:rsidRPr="00BC0E7E" w:rsidRDefault="00944B8F" w:rsidP="00BC0E7E">
            <w:pPr>
              <w:rPr>
                <w:b/>
                <w:lang w:val="pl-PL"/>
              </w:rPr>
            </w:pPr>
            <w:r w:rsidRPr="00BC0E7E">
              <w:rPr>
                <w:b/>
                <w:lang w:val="pl-PL"/>
              </w:rPr>
              <w:t>Polska</w:t>
            </w:r>
          </w:p>
          <w:p w14:paraId="78D349DF" w14:textId="77777777" w:rsidR="00BC0E7E" w:rsidRPr="00BC0E7E" w:rsidRDefault="00944B8F" w:rsidP="00BC0E7E">
            <w:pPr>
              <w:rPr>
                <w:lang w:val="pl-PL"/>
              </w:rPr>
            </w:pPr>
            <w:r w:rsidRPr="00BC0E7E">
              <w:rPr>
                <w:lang w:val="pl-PL"/>
              </w:rPr>
              <w:t>AbbVie Sp. z o.o.</w:t>
            </w:r>
          </w:p>
          <w:p w14:paraId="5CC5EDD1" w14:textId="77777777" w:rsidR="00BC0E7E" w:rsidRPr="00BC0E7E" w:rsidRDefault="00944B8F" w:rsidP="00BC0E7E">
            <w:pPr>
              <w:tabs>
                <w:tab w:val="center" w:pos="4536"/>
                <w:tab w:val="center" w:pos="8930"/>
              </w:tabs>
              <w:rPr>
                <w:lang w:val="pl-PL"/>
              </w:rPr>
            </w:pPr>
            <w:r w:rsidRPr="00BC0E7E">
              <w:rPr>
                <w:lang w:val="es-ES"/>
              </w:rPr>
              <w:t xml:space="preserve">Tel.: +48 22 </w:t>
            </w:r>
            <w:r w:rsidRPr="00BC0E7E">
              <w:rPr>
                <w:lang w:val="pl-PL"/>
              </w:rPr>
              <w:t xml:space="preserve">372 78 00 </w:t>
            </w:r>
          </w:p>
        </w:tc>
      </w:tr>
      <w:tr w:rsidR="00C6578C" w14:paraId="230D9C4D" w14:textId="77777777" w:rsidTr="00171601">
        <w:trPr>
          <w:trHeight w:val="989"/>
        </w:trPr>
        <w:tc>
          <w:tcPr>
            <w:tcW w:w="4678" w:type="dxa"/>
            <w:gridSpan w:val="2"/>
          </w:tcPr>
          <w:p w14:paraId="52D5666D" w14:textId="77777777" w:rsidR="00BC0E7E" w:rsidRPr="00BC0E7E" w:rsidRDefault="00944B8F" w:rsidP="00BC0E7E">
            <w:pPr>
              <w:ind w:firstLine="34"/>
              <w:rPr>
                <w:b/>
                <w:lang w:val="fr-FR"/>
              </w:rPr>
            </w:pPr>
            <w:r w:rsidRPr="00BC0E7E">
              <w:rPr>
                <w:b/>
                <w:lang w:val="fr-FR"/>
              </w:rPr>
              <w:t>France</w:t>
            </w:r>
          </w:p>
          <w:p w14:paraId="5FC74813" w14:textId="77777777" w:rsidR="00BC0E7E" w:rsidRPr="00BC0E7E" w:rsidRDefault="00944B8F" w:rsidP="00BC0E7E">
            <w:pPr>
              <w:ind w:firstLine="34"/>
              <w:rPr>
                <w:lang w:val="fr-FR"/>
              </w:rPr>
            </w:pPr>
            <w:r w:rsidRPr="00BC0E7E">
              <w:rPr>
                <w:lang w:val="fr-FR"/>
              </w:rPr>
              <w:t>AbbVie</w:t>
            </w:r>
          </w:p>
          <w:p w14:paraId="7B24F0FE" w14:textId="77777777" w:rsidR="00BC0E7E" w:rsidRPr="00BC0E7E" w:rsidRDefault="00944B8F" w:rsidP="00BC0E7E">
            <w:pPr>
              <w:ind w:firstLine="34"/>
              <w:rPr>
                <w:lang w:val="fr-FR"/>
              </w:rPr>
            </w:pPr>
            <w:r w:rsidRPr="00BC0E7E">
              <w:rPr>
                <w:lang w:val="fr-FR"/>
              </w:rPr>
              <w:t>Tél: +33 (0) 1 45 60 13 00</w:t>
            </w:r>
          </w:p>
        </w:tc>
        <w:tc>
          <w:tcPr>
            <w:tcW w:w="4678" w:type="dxa"/>
          </w:tcPr>
          <w:p w14:paraId="533E3649" w14:textId="77777777" w:rsidR="00BC0E7E" w:rsidRPr="00BC0E7E" w:rsidRDefault="00944B8F" w:rsidP="00BC0E7E">
            <w:pPr>
              <w:rPr>
                <w:b/>
                <w:lang w:val="pt-PT"/>
              </w:rPr>
            </w:pPr>
            <w:r w:rsidRPr="00BC0E7E">
              <w:rPr>
                <w:b/>
                <w:lang w:val="pt-PT"/>
              </w:rPr>
              <w:t>Portugal</w:t>
            </w:r>
          </w:p>
          <w:p w14:paraId="14B56BA9" w14:textId="77777777" w:rsidR="00BC0E7E" w:rsidRPr="00BC0E7E" w:rsidRDefault="00944B8F" w:rsidP="00BC0E7E">
            <w:pPr>
              <w:tabs>
                <w:tab w:val="center" w:pos="4536"/>
                <w:tab w:val="center" w:pos="8930"/>
              </w:tabs>
              <w:rPr>
                <w:lang w:val="fr-FR"/>
              </w:rPr>
            </w:pPr>
            <w:r w:rsidRPr="00BC0E7E">
              <w:rPr>
                <w:lang w:val="fr-FR"/>
              </w:rPr>
              <w:t xml:space="preserve">AbbVie, Lda. </w:t>
            </w:r>
          </w:p>
          <w:p w14:paraId="0EEFDD68" w14:textId="77777777" w:rsidR="00BC0E7E" w:rsidRPr="00BC0E7E" w:rsidRDefault="00944B8F" w:rsidP="00BC0E7E">
            <w:pPr>
              <w:tabs>
                <w:tab w:val="center" w:pos="4536"/>
                <w:tab w:val="center" w:pos="8930"/>
              </w:tabs>
              <w:rPr>
                <w:lang w:val="fr-FR"/>
              </w:rPr>
            </w:pPr>
            <w:r w:rsidRPr="00BC0E7E">
              <w:rPr>
                <w:lang w:val="fr-FR"/>
              </w:rPr>
              <w:t>Tel: +351 (0)21 1908400</w:t>
            </w:r>
          </w:p>
        </w:tc>
      </w:tr>
      <w:tr w:rsidR="00C6578C" w14:paraId="7911E716" w14:textId="77777777" w:rsidTr="00171601">
        <w:trPr>
          <w:trHeight w:val="711"/>
        </w:trPr>
        <w:tc>
          <w:tcPr>
            <w:tcW w:w="4678" w:type="dxa"/>
            <w:gridSpan w:val="2"/>
          </w:tcPr>
          <w:p w14:paraId="5C31EE51" w14:textId="77777777" w:rsidR="00BC0E7E" w:rsidRPr="00BC0E7E" w:rsidRDefault="00944B8F" w:rsidP="00BC0E7E">
            <w:pPr>
              <w:tabs>
                <w:tab w:val="clear" w:pos="562"/>
              </w:tabs>
              <w:suppressAutoHyphens w:val="0"/>
              <w:autoSpaceDE w:val="0"/>
              <w:autoSpaceDN w:val="0"/>
              <w:adjustRightInd w:val="0"/>
              <w:ind w:firstLine="34"/>
              <w:rPr>
                <w:rFonts w:eastAsia="MS Mincho"/>
                <w:lang w:val="pt-PT"/>
              </w:rPr>
            </w:pPr>
            <w:r w:rsidRPr="00BC0E7E">
              <w:rPr>
                <w:rFonts w:eastAsia="MS Mincho"/>
                <w:b/>
                <w:lang w:val="pt-PT"/>
              </w:rPr>
              <w:t xml:space="preserve">Hrvatska </w:t>
            </w:r>
          </w:p>
          <w:p w14:paraId="02908A0C" w14:textId="77777777" w:rsidR="00BC0E7E" w:rsidRPr="00BC0E7E" w:rsidRDefault="00944B8F" w:rsidP="00BC0E7E">
            <w:pPr>
              <w:ind w:firstLine="34"/>
              <w:rPr>
                <w:lang w:val="hr-HR"/>
              </w:rPr>
            </w:pPr>
            <w:r w:rsidRPr="00BC0E7E">
              <w:rPr>
                <w:lang w:val="hr-HR"/>
              </w:rPr>
              <w:t>AbbVie d.o.o.</w:t>
            </w:r>
          </w:p>
          <w:p w14:paraId="7E0CA20E" w14:textId="77777777" w:rsidR="00BC0E7E" w:rsidRDefault="00944B8F" w:rsidP="00BC0E7E">
            <w:pPr>
              <w:ind w:firstLine="34"/>
            </w:pPr>
            <w:r w:rsidRPr="00BC0E7E">
              <w:rPr>
                <w:lang w:val="hr-HR"/>
              </w:rPr>
              <w:t xml:space="preserve">Tel + 385 (0)1 </w:t>
            </w:r>
            <w:r w:rsidRPr="00BC0E7E">
              <w:t>5625 501</w:t>
            </w:r>
          </w:p>
          <w:p w14:paraId="45B20007" w14:textId="77777777" w:rsidR="009941B2" w:rsidRPr="00BC0E7E" w:rsidRDefault="009941B2" w:rsidP="00BC0E7E">
            <w:pPr>
              <w:ind w:firstLine="34"/>
              <w:rPr>
                <w:color w:val="1F497D"/>
              </w:rPr>
            </w:pPr>
          </w:p>
        </w:tc>
        <w:tc>
          <w:tcPr>
            <w:tcW w:w="4678" w:type="dxa"/>
          </w:tcPr>
          <w:p w14:paraId="58B7F092" w14:textId="77777777" w:rsidR="00BC0E7E" w:rsidRPr="00433FAD" w:rsidRDefault="00944B8F" w:rsidP="00BC0E7E">
            <w:pPr>
              <w:rPr>
                <w:b/>
                <w:lang w:val="es-MX"/>
              </w:rPr>
            </w:pPr>
            <w:r w:rsidRPr="00433FAD">
              <w:rPr>
                <w:b/>
                <w:lang w:val="es-MX"/>
              </w:rPr>
              <w:t>România</w:t>
            </w:r>
          </w:p>
          <w:p w14:paraId="2394FDB0" w14:textId="77777777" w:rsidR="00BC0E7E" w:rsidRPr="00433FAD" w:rsidRDefault="00944B8F" w:rsidP="00BC0E7E">
            <w:pPr>
              <w:rPr>
                <w:rFonts w:eastAsia="MS Mincho"/>
                <w:color w:val="000000"/>
                <w:lang w:val="es-MX"/>
              </w:rPr>
            </w:pPr>
            <w:r w:rsidRPr="00433FAD">
              <w:rPr>
                <w:rFonts w:eastAsia="MS Mincho"/>
                <w:color w:val="000000"/>
                <w:lang w:val="es-MX"/>
              </w:rPr>
              <w:t>AbbVie S.R.L.</w:t>
            </w:r>
          </w:p>
          <w:p w14:paraId="25D50AF4" w14:textId="77777777" w:rsidR="00BC0E7E" w:rsidRPr="00BC0E7E" w:rsidRDefault="00944B8F" w:rsidP="00BC0E7E">
            <w:pPr>
              <w:rPr>
                <w:lang w:val="pl-PL"/>
              </w:rPr>
            </w:pPr>
            <w:r w:rsidRPr="00BC0E7E">
              <w:rPr>
                <w:lang w:val="pl-PL"/>
              </w:rPr>
              <w:t>Tel: +40 21 529 30 35</w:t>
            </w:r>
          </w:p>
        </w:tc>
      </w:tr>
      <w:tr w:rsidR="00C6578C" w14:paraId="173E37C3" w14:textId="77777777" w:rsidTr="00171601">
        <w:trPr>
          <w:gridBefore w:val="1"/>
          <w:wBefore w:w="34" w:type="dxa"/>
        </w:trPr>
        <w:tc>
          <w:tcPr>
            <w:tcW w:w="4644" w:type="dxa"/>
          </w:tcPr>
          <w:p w14:paraId="3EDB3CE4" w14:textId="77777777" w:rsidR="00BC0E7E" w:rsidRPr="00BC0E7E" w:rsidRDefault="00944B8F" w:rsidP="00BC0E7E">
            <w:pPr>
              <w:rPr>
                <w:b/>
              </w:rPr>
            </w:pPr>
            <w:r w:rsidRPr="00BC0E7E">
              <w:rPr>
                <w:b/>
              </w:rPr>
              <w:t>Ireland</w:t>
            </w:r>
          </w:p>
          <w:p w14:paraId="7BBBC114" w14:textId="77777777" w:rsidR="00BC0E7E" w:rsidRPr="00BC0E7E" w:rsidRDefault="00944B8F" w:rsidP="00BC0E7E">
            <w:r w:rsidRPr="00BC0E7E">
              <w:t xml:space="preserve">AbbVie Limited </w:t>
            </w:r>
          </w:p>
          <w:p w14:paraId="6CEB1CB1" w14:textId="77777777" w:rsidR="00BC0E7E" w:rsidRDefault="00944B8F" w:rsidP="00BC0E7E">
            <w:pPr>
              <w:rPr>
                <w:lang w:val="pt-PT"/>
              </w:rPr>
            </w:pPr>
            <w:r w:rsidRPr="00BC0E7E">
              <w:rPr>
                <w:lang w:val="pt-PT"/>
              </w:rPr>
              <w:t>Tel: +353 (0)1 4287900</w:t>
            </w:r>
          </w:p>
          <w:p w14:paraId="12B89908" w14:textId="77777777" w:rsidR="009941B2" w:rsidRPr="00BC0E7E" w:rsidRDefault="009941B2" w:rsidP="00BC0E7E">
            <w:pPr>
              <w:rPr>
                <w:lang w:val="it-IT"/>
              </w:rPr>
            </w:pPr>
          </w:p>
        </w:tc>
        <w:tc>
          <w:tcPr>
            <w:tcW w:w="4678" w:type="dxa"/>
          </w:tcPr>
          <w:p w14:paraId="4ED37C95" w14:textId="77777777" w:rsidR="00BC0E7E" w:rsidRPr="00BC0E7E" w:rsidRDefault="00944B8F" w:rsidP="00BC0E7E">
            <w:pPr>
              <w:rPr>
                <w:b/>
                <w:lang w:val="sl-SI"/>
              </w:rPr>
            </w:pPr>
            <w:r w:rsidRPr="00BC0E7E">
              <w:rPr>
                <w:b/>
                <w:lang w:val="sl-SI"/>
              </w:rPr>
              <w:t>Slovenija</w:t>
            </w:r>
          </w:p>
          <w:p w14:paraId="225F2E35" w14:textId="77777777" w:rsidR="00BC0E7E" w:rsidRPr="00BC0E7E" w:rsidRDefault="00944B8F" w:rsidP="00BC0E7E">
            <w:pPr>
              <w:rPr>
                <w:lang w:val="sl-SI"/>
              </w:rPr>
            </w:pPr>
            <w:r w:rsidRPr="00BC0E7E">
              <w:rPr>
                <w:lang w:val="sl-SI"/>
              </w:rPr>
              <w:t>AbbVie Biofarmacevtska družba d.o.o.</w:t>
            </w:r>
          </w:p>
          <w:p w14:paraId="387C6512" w14:textId="77777777" w:rsidR="00BC0E7E" w:rsidRPr="00BC0E7E" w:rsidRDefault="00944B8F" w:rsidP="00BC0E7E">
            <w:pPr>
              <w:rPr>
                <w:lang w:val="sl-SI"/>
              </w:rPr>
            </w:pPr>
            <w:r w:rsidRPr="00BC0E7E">
              <w:rPr>
                <w:lang w:val="sl-SI"/>
              </w:rPr>
              <w:t>Tel: +386 (1)32 08 060</w:t>
            </w:r>
          </w:p>
        </w:tc>
      </w:tr>
      <w:tr w:rsidR="00C6578C" w14:paraId="027AE398" w14:textId="77777777" w:rsidTr="00171601">
        <w:trPr>
          <w:gridBefore w:val="1"/>
          <w:wBefore w:w="34" w:type="dxa"/>
        </w:trPr>
        <w:tc>
          <w:tcPr>
            <w:tcW w:w="4644" w:type="dxa"/>
          </w:tcPr>
          <w:p w14:paraId="48EDED9C" w14:textId="77777777" w:rsidR="00BC0E7E" w:rsidRPr="00BC0E7E" w:rsidRDefault="00944B8F" w:rsidP="00BC0E7E">
            <w:pPr>
              <w:rPr>
                <w:b/>
                <w:lang w:val="is-IS"/>
              </w:rPr>
            </w:pPr>
            <w:r w:rsidRPr="00BC0E7E">
              <w:rPr>
                <w:b/>
                <w:lang w:val="is-IS"/>
              </w:rPr>
              <w:t>Ísland</w:t>
            </w:r>
          </w:p>
          <w:p w14:paraId="6AC1553B" w14:textId="77777777" w:rsidR="00BC0E7E" w:rsidRPr="00BC0E7E" w:rsidRDefault="00944B8F" w:rsidP="00BC0E7E">
            <w:r w:rsidRPr="00BC0E7E">
              <w:t>Vistor</w:t>
            </w:r>
            <w:del w:id="13712" w:author="AbbVie19" w:date="2025-04-16T12:26:00Z">
              <w:r w:rsidRPr="00BC0E7E">
                <w:delText xml:space="preserve"> hf.</w:delText>
              </w:r>
            </w:del>
          </w:p>
          <w:p w14:paraId="15EFB74A" w14:textId="77777777" w:rsidR="00BC0E7E" w:rsidRDefault="00944B8F" w:rsidP="00BC0E7E">
            <w:r w:rsidRPr="00BC0E7E">
              <w:t>Tel: +354 535 7000</w:t>
            </w:r>
          </w:p>
          <w:p w14:paraId="28575937" w14:textId="77777777" w:rsidR="009941B2" w:rsidRPr="00BC0E7E" w:rsidRDefault="009941B2" w:rsidP="00BC0E7E"/>
        </w:tc>
        <w:tc>
          <w:tcPr>
            <w:tcW w:w="4678" w:type="dxa"/>
          </w:tcPr>
          <w:p w14:paraId="3A0669D3" w14:textId="77777777" w:rsidR="00BC0E7E" w:rsidRPr="00BC0E7E" w:rsidRDefault="00944B8F" w:rsidP="00BC0E7E">
            <w:pPr>
              <w:rPr>
                <w:b/>
                <w:lang w:val="sk-SK"/>
              </w:rPr>
            </w:pPr>
            <w:r w:rsidRPr="00BC0E7E">
              <w:rPr>
                <w:b/>
                <w:lang w:val="sk-SK"/>
              </w:rPr>
              <w:t>Slovenská republika</w:t>
            </w:r>
          </w:p>
          <w:p w14:paraId="23168B23" w14:textId="77777777" w:rsidR="00BC0E7E" w:rsidRPr="00BC0E7E" w:rsidRDefault="00944B8F" w:rsidP="00BC0E7E">
            <w:pPr>
              <w:rPr>
                <w:lang w:val="sk-SK"/>
              </w:rPr>
            </w:pPr>
            <w:r w:rsidRPr="00BC0E7E">
              <w:rPr>
                <w:lang w:val="sk-SK"/>
              </w:rPr>
              <w:t>AbbVie s.r.o.</w:t>
            </w:r>
          </w:p>
          <w:p w14:paraId="32E47C22" w14:textId="77777777" w:rsidR="00BC0E7E" w:rsidRPr="00BC0E7E" w:rsidRDefault="00944B8F" w:rsidP="00BC0E7E">
            <w:pPr>
              <w:rPr>
                <w:lang w:val="sk-SK"/>
              </w:rPr>
            </w:pPr>
            <w:r w:rsidRPr="00BC0E7E">
              <w:rPr>
                <w:lang w:val="sk-SK"/>
              </w:rPr>
              <w:t>Tel: +421 2 5050 0777</w:t>
            </w:r>
          </w:p>
        </w:tc>
      </w:tr>
      <w:tr w:rsidR="00C6578C" w14:paraId="78435F11" w14:textId="77777777" w:rsidTr="00171601">
        <w:trPr>
          <w:gridBefore w:val="1"/>
          <w:wBefore w:w="34" w:type="dxa"/>
        </w:trPr>
        <w:tc>
          <w:tcPr>
            <w:tcW w:w="4644" w:type="dxa"/>
          </w:tcPr>
          <w:p w14:paraId="3F79FD62" w14:textId="77777777" w:rsidR="00BC0E7E" w:rsidRPr="00BC0E7E" w:rsidRDefault="00944B8F" w:rsidP="00BC0E7E">
            <w:pPr>
              <w:rPr>
                <w:b/>
                <w:lang w:val="it-IT"/>
              </w:rPr>
            </w:pPr>
            <w:r w:rsidRPr="00BC0E7E">
              <w:rPr>
                <w:b/>
                <w:lang w:val="it-IT"/>
              </w:rPr>
              <w:t>Italia</w:t>
            </w:r>
          </w:p>
          <w:p w14:paraId="45FA772A" w14:textId="77777777" w:rsidR="00BC0E7E" w:rsidRPr="00BC0E7E" w:rsidRDefault="00944B8F" w:rsidP="00BC0E7E">
            <w:pPr>
              <w:spacing w:line="260" w:lineRule="exact"/>
              <w:rPr>
                <w:lang w:val="pt-PT"/>
              </w:rPr>
            </w:pPr>
            <w:r w:rsidRPr="00BC0E7E">
              <w:rPr>
                <w:lang w:val="pt-PT"/>
              </w:rPr>
              <w:t xml:space="preserve">AbbVie S.r.l. </w:t>
            </w:r>
          </w:p>
          <w:p w14:paraId="34BA5994" w14:textId="77777777" w:rsidR="00BC0E7E" w:rsidRDefault="00944B8F" w:rsidP="00BC0E7E">
            <w:pPr>
              <w:spacing w:line="260" w:lineRule="exact"/>
              <w:rPr>
                <w:lang w:val="fr-FR"/>
              </w:rPr>
            </w:pPr>
            <w:r w:rsidRPr="00BC0E7E">
              <w:rPr>
                <w:lang w:val="fr-FR"/>
              </w:rPr>
              <w:t>Tel: +39 06 928921</w:t>
            </w:r>
          </w:p>
          <w:p w14:paraId="6C0B5C01" w14:textId="77777777" w:rsidR="009941B2" w:rsidRPr="00BC0E7E" w:rsidRDefault="009941B2" w:rsidP="00BC0E7E">
            <w:pPr>
              <w:spacing w:line="260" w:lineRule="exact"/>
            </w:pPr>
          </w:p>
        </w:tc>
        <w:tc>
          <w:tcPr>
            <w:tcW w:w="4678" w:type="dxa"/>
          </w:tcPr>
          <w:p w14:paraId="0AD57905" w14:textId="77777777" w:rsidR="00BC0E7E" w:rsidRPr="00BC0E7E" w:rsidRDefault="00944B8F" w:rsidP="00BC0E7E">
            <w:pPr>
              <w:rPr>
                <w:b/>
                <w:lang w:val="fi-FI"/>
              </w:rPr>
            </w:pPr>
            <w:r w:rsidRPr="00BC0E7E">
              <w:rPr>
                <w:b/>
                <w:lang w:val="fi-FI"/>
              </w:rPr>
              <w:t>Suomi/Finland</w:t>
            </w:r>
          </w:p>
          <w:p w14:paraId="3A906299" w14:textId="77777777" w:rsidR="00BC0E7E" w:rsidRPr="00A06B15" w:rsidRDefault="00944B8F" w:rsidP="00BC0E7E">
            <w:pPr>
              <w:overflowPunct w:val="0"/>
              <w:autoSpaceDE w:val="0"/>
              <w:autoSpaceDN w:val="0"/>
              <w:adjustRightInd w:val="0"/>
              <w:textAlignment w:val="baseline"/>
              <w:rPr>
                <w:lang w:val="de-DE"/>
              </w:rPr>
            </w:pPr>
            <w:r w:rsidRPr="00A06B15">
              <w:rPr>
                <w:lang w:val="de-DE"/>
              </w:rPr>
              <w:t xml:space="preserve">AbbVie Oy </w:t>
            </w:r>
          </w:p>
          <w:p w14:paraId="502360BF" w14:textId="77777777" w:rsidR="00BC0E7E" w:rsidRPr="00BC0E7E" w:rsidRDefault="00944B8F" w:rsidP="00BC0E7E">
            <w:pPr>
              <w:rPr>
                <w:lang w:val="fi-FI"/>
              </w:rPr>
            </w:pPr>
            <w:r w:rsidRPr="00A06B15">
              <w:rPr>
                <w:lang w:val="de-DE"/>
              </w:rPr>
              <w:t>Puh/Tel:  +358 (0)10 2411 200</w:t>
            </w:r>
          </w:p>
        </w:tc>
      </w:tr>
      <w:tr w:rsidR="00C6578C" w14:paraId="5B26D621" w14:textId="77777777" w:rsidTr="00171601">
        <w:trPr>
          <w:gridBefore w:val="1"/>
          <w:wBefore w:w="34" w:type="dxa"/>
        </w:trPr>
        <w:tc>
          <w:tcPr>
            <w:tcW w:w="4644" w:type="dxa"/>
          </w:tcPr>
          <w:p w14:paraId="4BA30DA8" w14:textId="77777777" w:rsidR="00BC0E7E" w:rsidRPr="00BC0E7E" w:rsidRDefault="00944B8F" w:rsidP="00BC0E7E">
            <w:pPr>
              <w:rPr>
                <w:b/>
                <w:lang w:val="el-GR"/>
              </w:rPr>
            </w:pPr>
            <w:r w:rsidRPr="00BC0E7E">
              <w:rPr>
                <w:b/>
                <w:lang w:val="el-GR"/>
              </w:rPr>
              <w:t>Κύπρος</w:t>
            </w:r>
          </w:p>
          <w:p w14:paraId="494FB0E2" w14:textId="77777777" w:rsidR="00BC0E7E" w:rsidRPr="00BC0E7E" w:rsidRDefault="00944B8F" w:rsidP="00BC0E7E">
            <w:pPr>
              <w:rPr>
                <w:lang w:val="el-GR"/>
              </w:rPr>
            </w:pPr>
            <w:r w:rsidRPr="00BC0E7E">
              <w:rPr>
                <w:lang w:val="it-IT"/>
              </w:rPr>
              <w:t>Lifepharma (Z.A.M.) Ltd</w:t>
            </w:r>
          </w:p>
          <w:p w14:paraId="1141B98D" w14:textId="77777777" w:rsidR="00BC0E7E" w:rsidRPr="00BC0E7E" w:rsidRDefault="00944B8F" w:rsidP="00BC0E7E">
            <w:pPr>
              <w:rPr>
                <w:lang w:val="fi-FI"/>
              </w:rPr>
            </w:pPr>
            <w:r w:rsidRPr="00BC0E7E">
              <w:rPr>
                <w:lang w:val="el-GR"/>
              </w:rPr>
              <w:t>Τηλ.: +357 22 34 74 40</w:t>
            </w:r>
          </w:p>
        </w:tc>
        <w:tc>
          <w:tcPr>
            <w:tcW w:w="4678" w:type="dxa"/>
          </w:tcPr>
          <w:p w14:paraId="21781BD5" w14:textId="77777777" w:rsidR="00BC0E7E" w:rsidRPr="00BC0E7E" w:rsidRDefault="00944B8F" w:rsidP="00BC0E7E">
            <w:pPr>
              <w:rPr>
                <w:b/>
                <w:lang w:val="sv-SE"/>
              </w:rPr>
            </w:pPr>
            <w:r w:rsidRPr="00BC0E7E">
              <w:rPr>
                <w:b/>
                <w:lang w:val="sv-SE"/>
              </w:rPr>
              <w:t>Sverige</w:t>
            </w:r>
          </w:p>
          <w:p w14:paraId="17D08A68" w14:textId="77777777" w:rsidR="00BC0E7E" w:rsidRPr="00BC0E7E" w:rsidRDefault="00944B8F" w:rsidP="00BC0E7E">
            <w:pPr>
              <w:rPr>
                <w:lang w:val="pt-PT"/>
              </w:rPr>
            </w:pPr>
            <w:r w:rsidRPr="00BC0E7E">
              <w:rPr>
                <w:lang w:val="pt-PT"/>
              </w:rPr>
              <w:t>AbbVie AB</w:t>
            </w:r>
          </w:p>
          <w:p w14:paraId="365A6AF5" w14:textId="77777777" w:rsidR="00BC0E7E" w:rsidRDefault="00944B8F" w:rsidP="00BC0E7E">
            <w:pPr>
              <w:rPr>
                <w:lang w:val="da-DK"/>
              </w:rPr>
            </w:pPr>
            <w:r w:rsidRPr="00BC0E7E">
              <w:rPr>
                <w:lang w:val="da-DK"/>
              </w:rPr>
              <w:t>Tel:  +46 (0)8 684 44 600</w:t>
            </w:r>
          </w:p>
          <w:p w14:paraId="45C6152A" w14:textId="77777777" w:rsidR="009941B2" w:rsidRPr="00BC0E7E" w:rsidRDefault="009941B2" w:rsidP="00BC0E7E">
            <w:pPr>
              <w:rPr>
                <w:lang w:val="sv-SE"/>
              </w:rPr>
            </w:pPr>
          </w:p>
        </w:tc>
      </w:tr>
      <w:tr w:rsidR="00C6578C" w14:paraId="2B7C1BA8" w14:textId="77777777" w:rsidTr="00171601">
        <w:trPr>
          <w:gridBefore w:val="1"/>
          <w:wBefore w:w="34" w:type="dxa"/>
          <w:cantSplit/>
          <w:trHeight w:val="702"/>
        </w:trPr>
        <w:tc>
          <w:tcPr>
            <w:tcW w:w="4644" w:type="dxa"/>
          </w:tcPr>
          <w:p w14:paraId="7BF1A313" w14:textId="77777777" w:rsidR="00BC0E7E" w:rsidRPr="00BC0E7E" w:rsidRDefault="00944B8F" w:rsidP="00BC0E7E">
            <w:pPr>
              <w:rPr>
                <w:b/>
                <w:lang w:val="lv-LV"/>
              </w:rPr>
            </w:pPr>
            <w:r w:rsidRPr="00BC0E7E">
              <w:rPr>
                <w:b/>
                <w:lang w:val="lv-LV"/>
              </w:rPr>
              <w:lastRenderedPageBreak/>
              <w:t>Latvija</w:t>
            </w:r>
          </w:p>
          <w:p w14:paraId="000A101C" w14:textId="77777777" w:rsidR="00BC0E7E" w:rsidRPr="00BC0E7E" w:rsidRDefault="00944B8F" w:rsidP="00BC0E7E">
            <w:pPr>
              <w:rPr>
                <w:lang w:val="lv-LV"/>
              </w:rPr>
            </w:pPr>
            <w:r w:rsidRPr="00BC0E7E">
              <w:rPr>
                <w:lang w:val="lv-LV"/>
              </w:rPr>
              <w:t xml:space="preserve">AbbVie SIA </w:t>
            </w:r>
          </w:p>
          <w:p w14:paraId="1D18AD8F" w14:textId="77777777" w:rsidR="00BC0E7E" w:rsidRPr="00BC0E7E" w:rsidRDefault="00944B8F" w:rsidP="00BC0E7E">
            <w:pPr>
              <w:rPr>
                <w:lang w:val="lv-LV"/>
              </w:rPr>
            </w:pPr>
            <w:r w:rsidRPr="00BC0E7E">
              <w:rPr>
                <w:lang w:val="lv-LV"/>
              </w:rPr>
              <w:t>Tel: +371 67605000</w:t>
            </w:r>
          </w:p>
        </w:tc>
        <w:tc>
          <w:tcPr>
            <w:tcW w:w="4678" w:type="dxa"/>
          </w:tcPr>
          <w:p w14:paraId="56C700F2" w14:textId="77777777" w:rsidR="00BC0E7E" w:rsidRPr="00BC0E7E" w:rsidRDefault="00BC0E7E" w:rsidP="00BC0E7E">
            <w:pPr>
              <w:rPr>
                <w:lang w:val="lv-LV"/>
              </w:rPr>
            </w:pPr>
          </w:p>
        </w:tc>
      </w:tr>
    </w:tbl>
    <w:p w14:paraId="533DCA68" w14:textId="77777777" w:rsidR="00BC0E7E" w:rsidRPr="00BC0E7E" w:rsidRDefault="00BC0E7E" w:rsidP="00BC0E7E">
      <w:pPr>
        <w:numPr>
          <w:ilvl w:val="12"/>
          <w:numId w:val="0"/>
        </w:numPr>
        <w:tabs>
          <w:tab w:val="clear" w:pos="562"/>
        </w:tabs>
        <w:ind w:right="-2"/>
        <w:rPr>
          <w:b/>
        </w:rPr>
      </w:pPr>
    </w:p>
    <w:p w14:paraId="048AD179" w14:textId="77777777" w:rsidR="00BC0E7E" w:rsidRPr="00BC0E7E" w:rsidRDefault="00944B8F" w:rsidP="00BC0E7E">
      <w:pPr>
        <w:numPr>
          <w:ilvl w:val="12"/>
          <w:numId w:val="0"/>
        </w:numPr>
        <w:tabs>
          <w:tab w:val="clear" w:pos="562"/>
        </w:tabs>
        <w:ind w:right="-2"/>
        <w:rPr>
          <w:b/>
        </w:rPr>
      </w:pPr>
      <w:r w:rsidRPr="00BC0E7E">
        <w:rPr>
          <w:b/>
        </w:rPr>
        <w:t xml:space="preserve">This leaflet was last revised in </w:t>
      </w:r>
    </w:p>
    <w:p w14:paraId="5C92D2B1" w14:textId="77777777" w:rsidR="00BC0E7E" w:rsidRPr="00BC0E7E" w:rsidRDefault="00BC0E7E" w:rsidP="00BC0E7E">
      <w:pPr>
        <w:numPr>
          <w:ilvl w:val="12"/>
          <w:numId w:val="0"/>
        </w:numPr>
        <w:tabs>
          <w:tab w:val="clear" w:pos="562"/>
        </w:tabs>
        <w:ind w:right="-2"/>
        <w:rPr>
          <w:b/>
        </w:rPr>
      </w:pPr>
    </w:p>
    <w:p w14:paraId="07A9B1F0" w14:textId="77777777" w:rsidR="00BC0E7E" w:rsidRPr="00BC0E7E" w:rsidRDefault="00944B8F" w:rsidP="00BC0E7E">
      <w:pPr>
        <w:numPr>
          <w:ilvl w:val="12"/>
          <w:numId w:val="0"/>
        </w:numPr>
        <w:tabs>
          <w:tab w:val="clear" w:pos="562"/>
        </w:tabs>
        <w:ind w:right="-2"/>
        <w:rPr>
          <w:b/>
        </w:rPr>
      </w:pPr>
      <w:r w:rsidRPr="00BC0E7E">
        <w:t xml:space="preserve">Detailed information on this medicine is available on the European Medicines Agency web site: </w:t>
      </w:r>
      <w:ins w:id="13713" w:author="AbbVie19" w:date="2025-04-17T11:09:00Z">
        <w:r w:rsidR="00E27926">
          <w:fldChar w:fldCharType="begin"/>
        </w:r>
        <w:r w:rsidR="00E27926">
          <w:instrText>HYPERLINK "</w:instrText>
        </w:r>
      </w:ins>
      <w:r w:rsidR="00E27926" w:rsidRPr="00E27926">
        <w:rPr>
          <w:rStyle w:val="Hyperlink"/>
        </w:rPr>
        <w:instrText>http</w:instrText>
      </w:r>
      <w:ins w:id="13714" w:author="AbbVie19" w:date="2025-04-17T11:09:00Z">
        <w:r w:rsidR="00E27926" w:rsidRPr="00E27926">
          <w:rPr>
            <w:rStyle w:val="Hyperlink"/>
          </w:rPr>
          <w:instrText>s</w:instrText>
        </w:r>
      </w:ins>
      <w:r w:rsidR="00E27926" w:rsidRPr="00E27926">
        <w:rPr>
          <w:rStyle w:val="Hyperlink"/>
        </w:rPr>
        <w:instrText>://www.ema.europa.eu</w:instrText>
      </w:r>
      <w:ins w:id="13715" w:author="AbbVie19" w:date="2025-04-17T11:09:00Z">
        <w:r w:rsidR="00E27926">
          <w:instrText>"</w:instrText>
        </w:r>
        <w:r w:rsidR="00E27926">
          <w:fldChar w:fldCharType="separate"/>
        </w:r>
      </w:ins>
      <w:r w:rsidR="00E27926" w:rsidRPr="00E27926">
        <w:rPr>
          <w:rStyle w:val="Hyperlink"/>
        </w:rPr>
        <w:t>http</w:t>
      </w:r>
      <w:ins w:id="13716" w:author="AbbVie19" w:date="2025-04-17T11:09:00Z">
        <w:r w:rsidR="00E27926" w:rsidRPr="00E27926">
          <w:rPr>
            <w:rStyle w:val="Hyperlink"/>
          </w:rPr>
          <w:t>s</w:t>
        </w:r>
      </w:ins>
      <w:r w:rsidR="00E27926" w:rsidRPr="00E27926">
        <w:rPr>
          <w:rStyle w:val="Hyperlink"/>
        </w:rPr>
        <w:t>://www.ema.europa.eu</w:t>
      </w:r>
      <w:ins w:id="13717" w:author="AbbVie19" w:date="2025-04-17T11:09:00Z">
        <w:r w:rsidR="00E27926">
          <w:fldChar w:fldCharType="end"/>
        </w:r>
      </w:ins>
      <w:r w:rsidRPr="00BC0E7E">
        <w:t>.</w:t>
      </w:r>
    </w:p>
    <w:p w14:paraId="141BEB4E" w14:textId="77777777" w:rsidR="00BC0E7E" w:rsidRPr="00BC0E7E" w:rsidRDefault="00BC0E7E" w:rsidP="00BC0E7E">
      <w:pPr>
        <w:numPr>
          <w:ilvl w:val="12"/>
          <w:numId w:val="0"/>
        </w:numPr>
        <w:ind w:right="-2"/>
        <w:rPr>
          <w:b/>
          <w:color w:val="000000"/>
        </w:rPr>
      </w:pPr>
    </w:p>
    <w:p w14:paraId="0E1EBBC6" w14:textId="77777777" w:rsidR="00BC0E7E" w:rsidRPr="001B6DEE" w:rsidRDefault="00944B8F" w:rsidP="00BC0E7E">
      <w:pPr>
        <w:numPr>
          <w:ilvl w:val="12"/>
          <w:numId w:val="0"/>
        </w:numPr>
        <w:ind w:right="-2"/>
        <w:rPr>
          <w:b/>
          <w:color w:val="000000"/>
        </w:rPr>
      </w:pPr>
      <w:r w:rsidRPr="001B6DEE">
        <w:rPr>
          <w:b/>
          <w:color w:val="000000"/>
        </w:rPr>
        <w:t xml:space="preserve">To listen to or request a copy of this leaflet in </w:t>
      </w:r>
      <w:r w:rsidRPr="001B6DEE">
        <w:rPr>
          <w:b/>
          <w:color w:val="000000"/>
          <w:shd w:val="clear" w:color="auto" w:fill="A6A6A6"/>
        </w:rPr>
        <w:t>&lt;Braille&gt;, &lt;large print&gt; or &lt;audio</w:t>
      </w:r>
      <w:r w:rsidRPr="001B6DEE">
        <w:rPr>
          <w:b/>
          <w:color w:val="000000"/>
          <w:highlight w:val="darkGray"/>
        </w:rPr>
        <w:t>&gt;</w:t>
      </w:r>
      <w:r w:rsidRPr="001B6DEE">
        <w:rPr>
          <w:b/>
          <w:color w:val="000000"/>
        </w:rPr>
        <w:t>, please contact the local representative of the Marketing Authorisation Holder.</w:t>
      </w:r>
    </w:p>
    <w:p w14:paraId="4C164364" w14:textId="77777777" w:rsidR="00BC0E7E" w:rsidRPr="00852331" w:rsidRDefault="00BC0E7E" w:rsidP="00BC0E7E">
      <w:pPr>
        <w:tabs>
          <w:tab w:val="clear" w:pos="562"/>
        </w:tabs>
        <w:suppressAutoHyphens w:val="0"/>
        <w:spacing w:line="280" w:lineRule="atLeast"/>
        <w:rPr>
          <w:rFonts w:eastAsia="Verdana"/>
          <w:szCs w:val="22"/>
          <w:lang w:eastAsia="x-none"/>
        </w:rPr>
      </w:pPr>
    </w:p>
    <w:p w14:paraId="0D243078" w14:textId="77777777" w:rsidR="00852331" w:rsidRPr="00852331" w:rsidRDefault="00852331" w:rsidP="00BC0E7E">
      <w:pPr>
        <w:tabs>
          <w:tab w:val="clear" w:pos="562"/>
        </w:tabs>
        <w:suppressAutoHyphens w:val="0"/>
        <w:spacing w:line="280" w:lineRule="atLeast"/>
        <w:rPr>
          <w:rFonts w:eastAsia="Verdana"/>
          <w:szCs w:val="22"/>
          <w:lang w:eastAsia="x-none"/>
        </w:rPr>
      </w:pPr>
    </w:p>
    <w:p w14:paraId="4064169A" w14:textId="77777777" w:rsidR="00BC0E7E" w:rsidRPr="00BC0E7E" w:rsidRDefault="00944B8F" w:rsidP="00852331">
      <w:pPr>
        <w:rPr>
          <w:b/>
          <w:szCs w:val="20"/>
        </w:rPr>
      </w:pPr>
      <w:r w:rsidRPr="00BC0E7E">
        <w:rPr>
          <w:b/>
          <w:szCs w:val="20"/>
        </w:rPr>
        <w:t>7.</w:t>
      </w:r>
      <w:r w:rsidRPr="00BC0E7E">
        <w:rPr>
          <w:b/>
          <w:szCs w:val="20"/>
        </w:rPr>
        <w:tab/>
      </w:r>
      <w:r w:rsidR="00810DA3">
        <w:rPr>
          <w:b/>
        </w:rPr>
        <w:t>Injecting Humira</w:t>
      </w:r>
      <w:r w:rsidR="00253961" w:rsidRPr="00BC0E7E">
        <w:rPr>
          <w:b/>
          <w:szCs w:val="20"/>
        </w:rPr>
        <w:t xml:space="preserve"> </w:t>
      </w:r>
    </w:p>
    <w:p w14:paraId="5AC3F5D3" w14:textId="77777777" w:rsidR="00BC0E7E" w:rsidRPr="00BC0E7E" w:rsidRDefault="00BC0E7E" w:rsidP="00852331">
      <w:pPr>
        <w:rPr>
          <w:szCs w:val="20"/>
        </w:rPr>
      </w:pPr>
    </w:p>
    <w:p w14:paraId="2ABA7E5D" w14:textId="77777777" w:rsidR="00BC0E7E" w:rsidRPr="00BC0E7E" w:rsidRDefault="00944B8F" w:rsidP="00D51999">
      <w:pPr>
        <w:numPr>
          <w:ilvl w:val="0"/>
          <w:numId w:val="80"/>
        </w:numPr>
        <w:tabs>
          <w:tab w:val="clear" w:pos="562"/>
          <w:tab w:val="left" w:pos="720"/>
        </w:tabs>
      </w:pPr>
      <w:r w:rsidRPr="00BC0E7E">
        <w:t xml:space="preserve">The following instructions explain how to give yourself a subcutaneous injection of Humira using the pre-filled syringe. First read all the instructions carefully and then follow them step by step. </w:t>
      </w:r>
    </w:p>
    <w:p w14:paraId="4F8E800A" w14:textId="77777777" w:rsidR="00BC0E7E" w:rsidRPr="00BC0E7E" w:rsidRDefault="00BC0E7E" w:rsidP="00852331">
      <w:pPr>
        <w:tabs>
          <w:tab w:val="clear" w:pos="562"/>
          <w:tab w:val="left" w:pos="720"/>
        </w:tabs>
        <w:ind w:left="720"/>
      </w:pPr>
    </w:p>
    <w:p w14:paraId="28D2D9B3" w14:textId="77777777" w:rsidR="00BC0E7E" w:rsidRPr="00BC0E7E" w:rsidRDefault="00944B8F" w:rsidP="00D51999">
      <w:pPr>
        <w:numPr>
          <w:ilvl w:val="0"/>
          <w:numId w:val="80"/>
        </w:numPr>
        <w:tabs>
          <w:tab w:val="clear" w:pos="562"/>
          <w:tab w:val="left" w:pos="720"/>
        </w:tabs>
      </w:pPr>
      <w:r w:rsidRPr="00BC0E7E">
        <w:t xml:space="preserve">You will be instructed by your doctor, nurse or pharmacist on the technique of self-injection. </w:t>
      </w:r>
    </w:p>
    <w:p w14:paraId="3BF6683E" w14:textId="77777777" w:rsidR="00BC0E7E" w:rsidRPr="00BC0E7E" w:rsidRDefault="00BC0E7E" w:rsidP="00852331">
      <w:pPr>
        <w:ind w:left="720"/>
      </w:pPr>
    </w:p>
    <w:p w14:paraId="7709DF8C" w14:textId="77777777" w:rsidR="00BC0E7E" w:rsidRPr="00BC0E7E" w:rsidRDefault="00944B8F" w:rsidP="00D51999">
      <w:pPr>
        <w:numPr>
          <w:ilvl w:val="0"/>
          <w:numId w:val="80"/>
        </w:numPr>
        <w:tabs>
          <w:tab w:val="clear" w:pos="562"/>
          <w:tab w:val="left" w:pos="720"/>
        </w:tabs>
      </w:pPr>
      <w:r w:rsidRPr="00BC0E7E">
        <w:t xml:space="preserve">Do not attempt to self-inject until you are sure that you understand how to prepare and give the injection. </w:t>
      </w:r>
    </w:p>
    <w:p w14:paraId="50D1F392" w14:textId="77777777" w:rsidR="00BC0E7E" w:rsidRPr="00BC0E7E" w:rsidRDefault="00BC0E7E" w:rsidP="00BC0E7E">
      <w:pPr>
        <w:keepNext/>
        <w:ind w:left="720"/>
      </w:pPr>
    </w:p>
    <w:p w14:paraId="217A0FAB" w14:textId="77777777" w:rsidR="00BC0E7E" w:rsidRPr="00BC0E7E" w:rsidRDefault="00944B8F" w:rsidP="00D51999">
      <w:pPr>
        <w:keepNext/>
        <w:numPr>
          <w:ilvl w:val="0"/>
          <w:numId w:val="80"/>
        </w:numPr>
        <w:tabs>
          <w:tab w:val="clear" w:pos="562"/>
          <w:tab w:val="left" w:pos="720"/>
        </w:tabs>
      </w:pPr>
      <w:r w:rsidRPr="00BC0E7E">
        <w:t xml:space="preserve">After proper training, the injection can be given by yourself or given by another person, for example, a family member or friend.  </w:t>
      </w:r>
    </w:p>
    <w:p w14:paraId="62B7CE9D" w14:textId="77777777" w:rsidR="00BC0E7E" w:rsidRPr="00BC0E7E" w:rsidRDefault="00BC0E7E" w:rsidP="00BC0E7E">
      <w:pPr>
        <w:keepNext/>
        <w:ind w:left="720"/>
      </w:pPr>
    </w:p>
    <w:p w14:paraId="407E3F6B" w14:textId="77777777" w:rsidR="00BC0E7E" w:rsidRPr="00BC0E7E" w:rsidRDefault="00944B8F" w:rsidP="00D51999">
      <w:pPr>
        <w:keepNext/>
        <w:numPr>
          <w:ilvl w:val="0"/>
          <w:numId w:val="80"/>
        </w:numPr>
        <w:tabs>
          <w:tab w:val="clear" w:pos="562"/>
          <w:tab w:val="left" w:pos="720"/>
        </w:tabs>
      </w:pPr>
      <w:r w:rsidRPr="00BC0E7E">
        <w:t>Only use each pre-filled syringe for one injection.</w:t>
      </w:r>
    </w:p>
    <w:p w14:paraId="4653B24E" w14:textId="77777777" w:rsidR="00BC0E7E" w:rsidRPr="00BC0E7E" w:rsidRDefault="00BC0E7E" w:rsidP="00BC0E7E"/>
    <w:p w14:paraId="13EC2A4A" w14:textId="77777777" w:rsidR="00BC0E7E" w:rsidRPr="00BC0E7E" w:rsidRDefault="00944B8F" w:rsidP="00BC0E7E">
      <w:pPr>
        <w:keepNext/>
        <w:rPr>
          <w:b/>
        </w:rPr>
      </w:pPr>
      <w:r w:rsidRPr="00BC0E7E">
        <w:rPr>
          <w:b/>
        </w:rPr>
        <w:t>Humira Pre-filled Syringe</w:t>
      </w:r>
    </w:p>
    <w:p w14:paraId="661F0517" w14:textId="77777777" w:rsidR="00BC0E7E" w:rsidRPr="00BC0E7E" w:rsidRDefault="00BC0E7E" w:rsidP="00BC0E7E">
      <w:pPr>
        <w:keepNext/>
        <w:rPr>
          <w:b/>
        </w:rPr>
      </w:pPr>
    </w:p>
    <w:p w14:paraId="4F1323A3" w14:textId="77777777" w:rsidR="00BC0E7E" w:rsidRPr="00BC0E7E" w:rsidRDefault="00944B8F" w:rsidP="00BC0E7E">
      <w:pPr>
        <w:keepNext/>
        <w:rPr>
          <w:b/>
        </w:rPr>
      </w:pPr>
      <w:r>
        <w:rPr>
          <w:b/>
        </w:rPr>
        <w:tab/>
      </w:r>
      <w:r>
        <w:rPr>
          <w:b/>
        </w:rPr>
        <w:tab/>
      </w:r>
      <w:r>
        <w:rPr>
          <w:b/>
        </w:rPr>
        <w:tab/>
        <w:t xml:space="preserve">       </w:t>
      </w:r>
      <w:r w:rsidRPr="00BC0E7E">
        <w:rPr>
          <w:b/>
        </w:rPr>
        <w:t>Plunger</w:t>
      </w:r>
      <w:r>
        <w:rPr>
          <w:b/>
        </w:rPr>
        <w:tab/>
      </w:r>
      <w:r>
        <w:rPr>
          <w:b/>
        </w:rPr>
        <w:tab/>
        <w:t xml:space="preserve">            </w:t>
      </w:r>
      <w:r w:rsidRPr="00BC0E7E">
        <w:rPr>
          <w:b/>
        </w:rPr>
        <w:t>Finger Grip</w:t>
      </w:r>
      <w:r>
        <w:rPr>
          <w:b/>
        </w:rPr>
        <w:tab/>
        <w:t xml:space="preserve">         </w:t>
      </w:r>
      <w:r w:rsidRPr="00BC0E7E">
        <w:rPr>
          <w:b/>
        </w:rPr>
        <w:t>Needle Cover</w:t>
      </w:r>
    </w:p>
    <w:p w14:paraId="2C4B0DB7" w14:textId="77777777" w:rsidR="00BC0E7E" w:rsidRPr="00BC0E7E" w:rsidRDefault="00944B8F" w:rsidP="00BC0E7E">
      <w:pPr>
        <w:keepNext/>
        <w:jc w:val="center"/>
      </w:pPr>
      <w:r>
        <w:rPr>
          <w:noProof/>
          <w:lang w:val="en-US"/>
        </w:rPr>
        <w:drawing>
          <wp:inline distT="0" distB="0" distL="0" distR="0" wp14:anchorId="39B9664C" wp14:editId="18964049">
            <wp:extent cx="3364992" cy="1478124"/>
            <wp:effectExtent l="0" t="0" r="6985"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Humira_Exploded_Syringe_Only_new grey.jpg"/>
                    <pic:cNvPicPr/>
                  </pic:nvPicPr>
                  <pic:blipFill>
                    <a:blip r:embed="rId26">
                      <a:extLst>
                        <a:ext uri="{28A0092B-C50C-407E-A947-70E740481C1C}">
                          <a14:useLocalDpi xmlns:a14="http://schemas.microsoft.com/office/drawing/2010/main" val="0"/>
                        </a:ext>
                      </a:extLst>
                    </a:blip>
                    <a:stretch>
                      <a:fillRect/>
                    </a:stretch>
                  </pic:blipFill>
                  <pic:spPr>
                    <a:xfrm>
                      <a:off x="0" y="0"/>
                      <a:ext cx="3364992" cy="1478124"/>
                    </a:xfrm>
                    <a:prstGeom prst="rect">
                      <a:avLst/>
                    </a:prstGeom>
                  </pic:spPr>
                </pic:pic>
              </a:graphicData>
            </a:graphic>
          </wp:inline>
        </w:drawing>
      </w:r>
    </w:p>
    <w:p w14:paraId="5659F5BA" w14:textId="77777777" w:rsidR="00BC0E7E" w:rsidRPr="00BC0E7E" w:rsidRDefault="00BC0E7E" w:rsidP="00BC0E7E"/>
    <w:p w14:paraId="5434CF04" w14:textId="77777777" w:rsidR="00BC0E7E" w:rsidRPr="00BC0E7E" w:rsidRDefault="00944B8F" w:rsidP="00BC0E7E">
      <w:pPr>
        <w:keepNext/>
        <w:spacing w:before="100" w:beforeAutospacing="1" w:after="100" w:afterAutospacing="1"/>
        <w:rPr>
          <w:b/>
          <w:szCs w:val="20"/>
        </w:rPr>
      </w:pPr>
      <w:r w:rsidRPr="00BC0E7E">
        <w:rPr>
          <w:b/>
          <w:szCs w:val="20"/>
        </w:rPr>
        <w:t>Do not use the pre-filled syringe and call your doctor or pharmacist if the</w:t>
      </w:r>
    </w:p>
    <w:p w14:paraId="08F69C41" w14:textId="77777777" w:rsidR="00BC0E7E" w:rsidRPr="00BC0E7E" w:rsidRDefault="00944B8F" w:rsidP="00D51999">
      <w:pPr>
        <w:keepNext/>
        <w:numPr>
          <w:ilvl w:val="0"/>
          <w:numId w:val="62"/>
        </w:numPr>
        <w:tabs>
          <w:tab w:val="clear" w:pos="562"/>
          <w:tab w:val="left" w:pos="720"/>
        </w:tabs>
        <w:rPr>
          <w:szCs w:val="20"/>
        </w:rPr>
      </w:pPr>
      <w:r w:rsidRPr="00BC0E7E">
        <w:rPr>
          <w:szCs w:val="20"/>
        </w:rPr>
        <w:t>liquid is cloudy, discoloured, or has flakes or particles in it</w:t>
      </w:r>
    </w:p>
    <w:p w14:paraId="77D52E3F" w14:textId="77777777" w:rsidR="00BC0E7E" w:rsidRPr="00BC0E7E" w:rsidRDefault="00944B8F" w:rsidP="00D51999">
      <w:pPr>
        <w:keepNext/>
        <w:numPr>
          <w:ilvl w:val="0"/>
          <w:numId w:val="62"/>
        </w:numPr>
        <w:tabs>
          <w:tab w:val="clear" w:pos="562"/>
          <w:tab w:val="left" w:pos="720"/>
        </w:tabs>
        <w:rPr>
          <w:szCs w:val="20"/>
        </w:rPr>
      </w:pPr>
      <w:r w:rsidRPr="00BC0E7E">
        <w:rPr>
          <w:szCs w:val="20"/>
        </w:rPr>
        <w:t>expiry (EXP) date has passed</w:t>
      </w:r>
    </w:p>
    <w:p w14:paraId="485C0F69" w14:textId="77777777" w:rsidR="00BC0E7E" w:rsidRPr="00BC0E7E" w:rsidRDefault="00944B8F" w:rsidP="00D51999">
      <w:pPr>
        <w:keepNext/>
        <w:numPr>
          <w:ilvl w:val="0"/>
          <w:numId w:val="62"/>
        </w:numPr>
        <w:tabs>
          <w:tab w:val="clear" w:pos="562"/>
          <w:tab w:val="left" w:pos="720"/>
        </w:tabs>
        <w:rPr>
          <w:szCs w:val="20"/>
        </w:rPr>
      </w:pPr>
      <w:r w:rsidRPr="00BC0E7E">
        <w:rPr>
          <w:szCs w:val="20"/>
        </w:rPr>
        <w:t>liquid has been frozen or left in direct sunlight</w:t>
      </w:r>
    </w:p>
    <w:p w14:paraId="0EC817F9" w14:textId="77777777" w:rsidR="00BC0E7E" w:rsidRPr="00BC0E7E" w:rsidRDefault="00944B8F" w:rsidP="00D51999">
      <w:pPr>
        <w:keepNext/>
        <w:numPr>
          <w:ilvl w:val="0"/>
          <w:numId w:val="62"/>
        </w:numPr>
        <w:tabs>
          <w:tab w:val="clear" w:pos="562"/>
          <w:tab w:val="left" w:pos="720"/>
        </w:tabs>
        <w:rPr>
          <w:szCs w:val="20"/>
        </w:rPr>
      </w:pPr>
      <w:r w:rsidRPr="00BC0E7E">
        <w:rPr>
          <w:szCs w:val="20"/>
        </w:rPr>
        <w:t>pre-filled syringe has been dropped or crushed</w:t>
      </w:r>
    </w:p>
    <w:p w14:paraId="2D4C635B" w14:textId="77777777" w:rsidR="00BC0E7E" w:rsidRPr="00BC0E7E" w:rsidRDefault="00BC0E7E" w:rsidP="00BC0E7E">
      <w:pPr>
        <w:rPr>
          <w:szCs w:val="20"/>
        </w:rPr>
      </w:pPr>
    </w:p>
    <w:p w14:paraId="668C60DD" w14:textId="77777777" w:rsidR="00BC0E7E" w:rsidRPr="00BC0E7E" w:rsidRDefault="00944B8F" w:rsidP="00BC0E7E">
      <w:pPr>
        <w:keepNext/>
        <w:tabs>
          <w:tab w:val="clear" w:pos="562"/>
          <w:tab w:val="left" w:pos="0"/>
        </w:tabs>
        <w:rPr>
          <w:b/>
          <w:szCs w:val="20"/>
        </w:rPr>
      </w:pPr>
      <w:r w:rsidRPr="00BC0E7E">
        <w:rPr>
          <w:b/>
          <w:szCs w:val="20"/>
        </w:rPr>
        <w:lastRenderedPageBreak/>
        <w:t>Do not remove the needle cover until just before injection. Keep Humira out of the sight and reach of children.</w:t>
      </w:r>
    </w:p>
    <w:p w14:paraId="326CF114" w14:textId="77777777" w:rsidR="00BC0E7E" w:rsidRPr="00BC0E7E" w:rsidRDefault="00BC0E7E" w:rsidP="00BC0E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C6578C" w14:paraId="13DFD69E" w14:textId="77777777" w:rsidTr="00171601">
        <w:tc>
          <w:tcPr>
            <w:tcW w:w="9287" w:type="dxa"/>
            <w:gridSpan w:val="2"/>
            <w:tcBorders>
              <w:bottom w:val="single" w:sz="4" w:space="0" w:color="auto"/>
            </w:tcBorders>
          </w:tcPr>
          <w:p w14:paraId="18694A3C" w14:textId="77777777" w:rsidR="00BC0E7E" w:rsidRPr="00BC0E7E" w:rsidRDefault="00944B8F" w:rsidP="00BC0E7E">
            <w:pPr>
              <w:rPr>
                <w:b/>
                <w:szCs w:val="20"/>
              </w:rPr>
            </w:pPr>
            <w:r w:rsidRPr="00BC0E7E">
              <w:rPr>
                <w:b/>
                <w:szCs w:val="20"/>
              </w:rPr>
              <w:t>STEP 1</w:t>
            </w:r>
          </w:p>
          <w:p w14:paraId="1A519B98" w14:textId="77777777" w:rsidR="00BC0E7E" w:rsidRPr="00BC0E7E" w:rsidRDefault="00BC0E7E" w:rsidP="00BC0E7E">
            <w:pPr>
              <w:rPr>
                <w:szCs w:val="20"/>
              </w:rPr>
            </w:pPr>
          </w:p>
          <w:p w14:paraId="47CAC7BF" w14:textId="77777777" w:rsidR="00BC0E7E" w:rsidRPr="00BC0E7E" w:rsidRDefault="00944B8F" w:rsidP="00BC0E7E">
            <w:pPr>
              <w:rPr>
                <w:szCs w:val="20"/>
              </w:rPr>
            </w:pPr>
            <w:r w:rsidRPr="00BC0E7E">
              <w:rPr>
                <w:szCs w:val="20"/>
              </w:rPr>
              <w:t>Take Humira out of the refrigerator.</w:t>
            </w:r>
          </w:p>
          <w:p w14:paraId="495DC6B3" w14:textId="77777777" w:rsidR="00BC0E7E" w:rsidRPr="00BC0E7E" w:rsidRDefault="00BC0E7E" w:rsidP="00BC0E7E">
            <w:pPr>
              <w:rPr>
                <w:szCs w:val="20"/>
              </w:rPr>
            </w:pPr>
          </w:p>
          <w:p w14:paraId="2D9C927A" w14:textId="77777777" w:rsidR="00BC0E7E" w:rsidRPr="00BC0E7E" w:rsidRDefault="00944B8F" w:rsidP="00BC0E7E">
            <w:pPr>
              <w:rPr>
                <w:szCs w:val="20"/>
              </w:rPr>
            </w:pPr>
            <w:r w:rsidRPr="00BC0E7E">
              <w:rPr>
                <w:szCs w:val="20"/>
              </w:rPr>
              <w:t xml:space="preserve">Leave Humira at room temperature for </w:t>
            </w:r>
            <w:r w:rsidRPr="00BC0E7E">
              <w:rPr>
                <w:b/>
                <w:szCs w:val="20"/>
              </w:rPr>
              <w:t xml:space="preserve">15 to 30 minutes </w:t>
            </w:r>
            <w:r w:rsidRPr="00BC0E7E">
              <w:rPr>
                <w:szCs w:val="20"/>
              </w:rPr>
              <w:t>before injecting.</w:t>
            </w:r>
          </w:p>
          <w:p w14:paraId="6AAC16CD" w14:textId="77777777" w:rsidR="00BC0E7E" w:rsidRPr="00BC0E7E" w:rsidRDefault="00BC0E7E" w:rsidP="00BC0E7E">
            <w:pPr>
              <w:rPr>
                <w:szCs w:val="20"/>
              </w:rPr>
            </w:pPr>
          </w:p>
          <w:p w14:paraId="66F3B76C" w14:textId="77777777" w:rsidR="00BC0E7E" w:rsidRPr="00BC0E7E" w:rsidRDefault="00944B8F" w:rsidP="00D51999">
            <w:pPr>
              <w:numPr>
                <w:ilvl w:val="0"/>
                <w:numId w:val="63"/>
              </w:numPr>
              <w:tabs>
                <w:tab w:val="clear" w:pos="562"/>
                <w:tab w:val="left" w:pos="720"/>
              </w:tabs>
              <w:rPr>
                <w:szCs w:val="20"/>
              </w:rPr>
            </w:pPr>
            <w:r w:rsidRPr="00BC0E7E">
              <w:rPr>
                <w:b/>
                <w:szCs w:val="20"/>
              </w:rPr>
              <w:t>Do not</w:t>
            </w:r>
            <w:r w:rsidRPr="00BC0E7E">
              <w:rPr>
                <w:szCs w:val="20"/>
              </w:rPr>
              <w:t xml:space="preserve"> remove the needle cover while allowing Humira to reach room temperature</w:t>
            </w:r>
          </w:p>
          <w:p w14:paraId="2ED09B3A" w14:textId="77777777" w:rsidR="00BC0E7E" w:rsidRPr="00BC0E7E" w:rsidRDefault="00944B8F" w:rsidP="00D51999">
            <w:pPr>
              <w:numPr>
                <w:ilvl w:val="0"/>
                <w:numId w:val="63"/>
              </w:numPr>
              <w:tabs>
                <w:tab w:val="clear" w:pos="562"/>
                <w:tab w:val="left" w:pos="720"/>
              </w:tabs>
              <w:rPr>
                <w:szCs w:val="20"/>
              </w:rPr>
            </w:pPr>
            <w:r w:rsidRPr="00BC0E7E">
              <w:rPr>
                <w:b/>
                <w:szCs w:val="20"/>
              </w:rPr>
              <w:t xml:space="preserve">Do not </w:t>
            </w:r>
            <w:r w:rsidRPr="00BC0E7E">
              <w:rPr>
                <w:szCs w:val="20"/>
              </w:rPr>
              <w:t xml:space="preserve">warm Humira in any other way. For example, </w:t>
            </w:r>
            <w:r w:rsidRPr="00BC0E7E">
              <w:rPr>
                <w:b/>
                <w:szCs w:val="20"/>
              </w:rPr>
              <w:t>do not</w:t>
            </w:r>
            <w:r w:rsidRPr="00BC0E7E">
              <w:rPr>
                <w:szCs w:val="20"/>
              </w:rPr>
              <w:t xml:space="preserve"> warm it in a microwave or in hot water</w:t>
            </w:r>
          </w:p>
        </w:tc>
      </w:tr>
      <w:tr w:rsidR="00C6578C" w14:paraId="30202024" w14:textId="77777777" w:rsidTr="00171601">
        <w:tc>
          <w:tcPr>
            <w:tcW w:w="3708" w:type="dxa"/>
            <w:tcBorders>
              <w:right w:val="nil"/>
            </w:tcBorders>
          </w:tcPr>
          <w:p w14:paraId="0D391703" w14:textId="77777777" w:rsidR="00BC0E7E" w:rsidRPr="00BC0E7E" w:rsidRDefault="00944B8F" w:rsidP="00BC0E7E">
            <w:pPr>
              <w:keepNext/>
              <w:rPr>
                <w:b/>
                <w:szCs w:val="20"/>
              </w:rPr>
            </w:pPr>
            <w:r w:rsidRPr="00BC0E7E">
              <w:rPr>
                <w:b/>
                <w:szCs w:val="20"/>
              </w:rPr>
              <w:t xml:space="preserve">STEP 2 </w:t>
            </w:r>
          </w:p>
          <w:p w14:paraId="623476A0" w14:textId="77777777" w:rsidR="00BC0E7E" w:rsidRPr="00BC0E7E" w:rsidRDefault="00944B8F" w:rsidP="009217A8">
            <w:pPr>
              <w:keepNext/>
              <w:spacing w:before="100" w:beforeAutospacing="1"/>
              <w:rPr>
                <w:b/>
                <w:szCs w:val="20"/>
              </w:rPr>
            </w:pPr>
            <w:r w:rsidRPr="00BC0E7E">
              <w:rPr>
                <w:b/>
                <w:szCs w:val="20"/>
              </w:rPr>
              <w:t xml:space="preserve">           Syringe</w:t>
            </w:r>
          </w:p>
          <w:p w14:paraId="11B7BC3B" w14:textId="77777777" w:rsidR="00BC0E7E" w:rsidRPr="00BC0E7E" w:rsidRDefault="00944B8F" w:rsidP="00BC0E7E">
            <w:pPr>
              <w:keepNext/>
              <w:rPr>
                <w:szCs w:val="20"/>
              </w:rPr>
            </w:pPr>
            <w:r>
              <w:rPr>
                <w:noProof/>
                <w:szCs w:val="20"/>
                <w:lang w:val="en-US"/>
              </w:rPr>
              <w:drawing>
                <wp:inline distT="0" distB="0" distL="0" distR="0" wp14:anchorId="572CFFB8" wp14:editId="745B0F75">
                  <wp:extent cx="2217420" cy="2052320"/>
                  <wp:effectExtent l="0" t="0" r="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TEP_2_SYRINGE_IFU_SETUP_new grey.jpg"/>
                          <pic:cNvPicPr/>
                        </pic:nvPicPr>
                        <pic:blipFill>
                          <a:blip r:embed="rId27">
                            <a:extLst>
                              <a:ext uri="{28A0092B-C50C-407E-A947-70E740481C1C}">
                                <a14:useLocalDpi xmlns:a14="http://schemas.microsoft.com/office/drawing/2010/main" val="0"/>
                              </a:ext>
                            </a:extLst>
                          </a:blip>
                          <a:stretch>
                            <a:fillRect/>
                          </a:stretch>
                        </pic:blipFill>
                        <pic:spPr>
                          <a:xfrm>
                            <a:off x="0" y="0"/>
                            <a:ext cx="2217420" cy="2052320"/>
                          </a:xfrm>
                          <a:prstGeom prst="rect">
                            <a:avLst/>
                          </a:prstGeom>
                        </pic:spPr>
                      </pic:pic>
                    </a:graphicData>
                  </a:graphic>
                </wp:inline>
              </w:drawing>
            </w:r>
          </w:p>
          <w:p w14:paraId="50BCF0AF" w14:textId="77777777" w:rsidR="00BC0E7E" w:rsidRPr="00BC0E7E" w:rsidRDefault="00944B8F" w:rsidP="009217A8">
            <w:pPr>
              <w:keepNext/>
              <w:rPr>
                <w:b/>
                <w:szCs w:val="20"/>
              </w:rPr>
            </w:pPr>
            <w:r w:rsidRPr="00BC0E7E">
              <w:rPr>
                <w:b/>
                <w:szCs w:val="20"/>
              </w:rPr>
              <w:t xml:space="preserve">                 Pad</w:t>
            </w:r>
          </w:p>
        </w:tc>
        <w:tc>
          <w:tcPr>
            <w:tcW w:w="5579" w:type="dxa"/>
            <w:tcBorders>
              <w:left w:val="nil"/>
            </w:tcBorders>
          </w:tcPr>
          <w:p w14:paraId="7B6A4DD3" w14:textId="77777777" w:rsidR="00BC0E7E" w:rsidRPr="00BC0E7E" w:rsidRDefault="00944B8F" w:rsidP="00BC0E7E">
            <w:pPr>
              <w:keepNext/>
              <w:rPr>
                <w:szCs w:val="20"/>
              </w:rPr>
            </w:pPr>
            <w:r w:rsidRPr="00BC0E7E">
              <w:rPr>
                <w:szCs w:val="20"/>
              </w:rPr>
              <w:t xml:space="preserve">Check the expiry (EXP) date. </w:t>
            </w:r>
            <w:r w:rsidRPr="00BC0E7E">
              <w:rPr>
                <w:b/>
                <w:szCs w:val="20"/>
              </w:rPr>
              <w:t>Do not</w:t>
            </w:r>
            <w:r w:rsidRPr="00BC0E7E">
              <w:rPr>
                <w:szCs w:val="20"/>
              </w:rPr>
              <w:t xml:space="preserve"> use the pre-filled syringe if expiry (EXP) date has passed.</w:t>
            </w:r>
          </w:p>
          <w:p w14:paraId="38389934" w14:textId="77777777" w:rsidR="00BC0E7E" w:rsidRPr="00BC0E7E" w:rsidRDefault="00BC0E7E" w:rsidP="00BC0E7E">
            <w:pPr>
              <w:keepNext/>
              <w:rPr>
                <w:szCs w:val="20"/>
              </w:rPr>
            </w:pPr>
          </w:p>
          <w:p w14:paraId="6E5A3BFA" w14:textId="77777777" w:rsidR="00BC0E7E" w:rsidRPr="00BC0E7E" w:rsidRDefault="00944B8F" w:rsidP="00BC0E7E">
            <w:pPr>
              <w:keepNext/>
              <w:rPr>
                <w:szCs w:val="20"/>
              </w:rPr>
            </w:pPr>
            <w:r w:rsidRPr="00BC0E7E">
              <w:rPr>
                <w:szCs w:val="20"/>
              </w:rPr>
              <w:t>Place the following on a clean, flat surface</w:t>
            </w:r>
          </w:p>
          <w:p w14:paraId="16BBC8BA" w14:textId="77777777" w:rsidR="00BC0E7E" w:rsidRPr="00BC0E7E" w:rsidRDefault="00BC0E7E" w:rsidP="00BC0E7E">
            <w:pPr>
              <w:keepNext/>
              <w:rPr>
                <w:szCs w:val="20"/>
              </w:rPr>
            </w:pPr>
          </w:p>
          <w:p w14:paraId="3D10586B" w14:textId="77777777" w:rsidR="00BC0E7E" w:rsidRPr="00BC0E7E" w:rsidRDefault="00944B8F" w:rsidP="00D51999">
            <w:pPr>
              <w:keepNext/>
              <w:numPr>
                <w:ilvl w:val="0"/>
                <w:numId w:val="64"/>
              </w:numPr>
              <w:tabs>
                <w:tab w:val="clear" w:pos="562"/>
                <w:tab w:val="left" w:pos="757"/>
              </w:tabs>
              <w:ind w:left="757"/>
              <w:rPr>
                <w:szCs w:val="20"/>
              </w:rPr>
            </w:pPr>
            <w:r w:rsidRPr="00BC0E7E">
              <w:rPr>
                <w:szCs w:val="20"/>
              </w:rPr>
              <w:t xml:space="preserve">1 single-use pre-filled syringe and </w:t>
            </w:r>
          </w:p>
          <w:p w14:paraId="371CDA56" w14:textId="77777777" w:rsidR="00BC0E7E" w:rsidRPr="00BC0E7E" w:rsidRDefault="00944B8F" w:rsidP="00D51999">
            <w:pPr>
              <w:keepNext/>
              <w:numPr>
                <w:ilvl w:val="0"/>
                <w:numId w:val="64"/>
              </w:numPr>
              <w:tabs>
                <w:tab w:val="clear" w:pos="562"/>
                <w:tab w:val="left" w:pos="757"/>
              </w:tabs>
              <w:ind w:left="757"/>
              <w:rPr>
                <w:szCs w:val="20"/>
              </w:rPr>
            </w:pPr>
            <w:r w:rsidRPr="00BC0E7E">
              <w:rPr>
                <w:szCs w:val="20"/>
              </w:rPr>
              <w:t>1 alcohol pad</w:t>
            </w:r>
          </w:p>
          <w:p w14:paraId="68F0EA6F" w14:textId="77777777" w:rsidR="00BC0E7E" w:rsidRPr="00BC0E7E" w:rsidRDefault="00BC0E7E" w:rsidP="00BC0E7E">
            <w:pPr>
              <w:keepNext/>
              <w:rPr>
                <w:szCs w:val="20"/>
              </w:rPr>
            </w:pPr>
          </w:p>
          <w:p w14:paraId="7D5E9251" w14:textId="77777777" w:rsidR="00BC0E7E" w:rsidRPr="00BC0E7E" w:rsidRDefault="00944B8F" w:rsidP="00BC0E7E">
            <w:pPr>
              <w:keepNext/>
              <w:rPr>
                <w:szCs w:val="20"/>
              </w:rPr>
            </w:pPr>
            <w:r w:rsidRPr="00BC0E7E">
              <w:rPr>
                <w:szCs w:val="20"/>
              </w:rPr>
              <w:t>Wash and dry your hands.</w:t>
            </w:r>
          </w:p>
        </w:tc>
      </w:tr>
      <w:tr w:rsidR="00C6578C" w14:paraId="18525871" w14:textId="77777777" w:rsidTr="00171601">
        <w:tc>
          <w:tcPr>
            <w:tcW w:w="3708" w:type="dxa"/>
            <w:tcBorders>
              <w:right w:val="nil"/>
            </w:tcBorders>
          </w:tcPr>
          <w:p w14:paraId="5B7DE283" w14:textId="77777777" w:rsidR="00BC0E7E" w:rsidRPr="00BC0E7E" w:rsidRDefault="00944B8F" w:rsidP="00D53B36">
            <w:pPr>
              <w:rPr>
                <w:b/>
                <w:szCs w:val="20"/>
              </w:rPr>
            </w:pPr>
            <w:r w:rsidRPr="00BC0E7E">
              <w:rPr>
                <w:b/>
                <w:szCs w:val="20"/>
              </w:rPr>
              <w:t>STEP 3</w:t>
            </w:r>
          </w:p>
          <w:p w14:paraId="0767A8D7" w14:textId="77777777" w:rsidR="00BC0E7E" w:rsidRPr="00BC0E7E" w:rsidRDefault="00BC0E7E" w:rsidP="00BC0E7E">
            <w:pPr>
              <w:keepNext/>
              <w:rPr>
                <w:b/>
                <w:szCs w:val="20"/>
              </w:rPr>
            </w:pPr>
          </w:p>
          <w:p w14:paraId="2EC4ED24" w14:textId="77777777" w:rsidR="00BC0E7E" w:rsidRPr="00BC0E7E" w:rsidRDefault="00944B8F" w:rsidP="00BC0E7E">
            <w:pPr>
              <w:keepNext/>
              <w:rPr>
                <w:b/>
                <w:szCs w:val="20"/>
              </w:rPr>
            </w:pPr>
            <w:r w:rsidRPr="00BC0E7E">
              <w:rPr>
                <w:b/>
                <w:szCs w:val="20"/>
              </w:rPr>
              <w:t>Injectable Areas</w:t>
            </w:r>
          </w:p>
          <w:p w14:paraId="53CA37EC" w14:textId="77777777" w:rsidR="00BC0E7E" w:rsidRPr="00BC0E7E" w:rsidRDefault="00944B8F" w:rsidP="00BC0E7E">
            <w:pPr>
              <w:keepNext/>
              <w:rPr>
                <w:szCs w:val="20"/>
              </w:rPr>
            </w:pPr>
            <w:r>
              <w:rPr>
                <w:noProof/>
                <w:szCs w:val="20"/>
                <w:lang w:val="en-US"/>
              </w:rPr>
              <w:drawing>
                <wp:inline distT="0" distB="0" distL="0" distR="0" wp14:anchorId="646CDEA2" wp14:editId="3FA5D2AE">
                  <wp:extent cx="2273935" cy="2385695"/>
                  <wp:effectExtent l="0" t="0" r="0" b="0"/>
                  <wp:docPr id="108" name="Picture 108"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87" descr="STEP3_grey"/>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273935" cy="2385695"/>
                          </a:xfrm>
                          <a:prstGeom prst="rect">
                            <a:avLst/>
                          </a:prstGeom>
                          <a:noFill/>
                          <a:ln>
                            <a:noFill/>
                          </a:ln>
                        </pic:spPr>
                      </pic:pic>
                    </a:graphicData>
                  </a:graphic>
                </wp:inline>
              </w:drawing>
            </w:r>
          </w:p>
          <w:p w14:paraId="0FD03B45" w14:textId="77777777" w:rsidR="00BC0E7E" w:rsidRPr="00BC0E7E" w:rsidRDefault="00944B8F" w:rsidP="00BC0E7E">
            <w:pPr>
              <w:keepNext/>
              <w:rPr>
                <w:b/>
                <w:szCs w:val="20"/>
              </w:rPr>
            </w:pPr>
            <w:r w:rsidRPr="00BC0E7E">
              <w:rPr>
                <w:szCs w:val="20"/>
              </w:rPr>
              <w:t xml:space="preserve">     </w:t>
            </w:r>
            <w:r w:rsidRPr="00BC0E7E">
              <w:rPr>
                <w:b/>
                <w:szCs w:val="20"/>
              </w:rPr>
              <w:t>Injectable Areas</w:t>
            </w:r>
          </w:p>
        </w:tc>
        <w:tc>
          <w:tcPr>
            <w:tcW w:w="5579" w:type="dxa"/>
            <w:tcBorders>
              <w:left w:val="nil"/>
            </w:tcBorders>
          </w:tcPr>
          <w:p w14:paraId="427E7413" w14:textId="77777777" w:rsidR="00BC0E7E" w:rsidRPr="00BC0E7E" w:rsidRDefault="00944B8F" w:rsidP="00BC0E7E">
            <w:pPr>
              <w:keepNext/>
              <w:rPr>
                <w:szCs w:val="20"/>
              </w:rPr>
            </w:pPr>
            <w:r w:rsidRPr="00BC0E7E">
              <w:rPr>
                <w:szCs w:val="20"/>
              </w:rPr>
              <w:t>Choose an injection site:</w:t>
            </w:r>
          </w:p>
          <w:p w14:paraId="0837C49D" w14:textId="77777777" w:rsidR="00BC0E7E" w:rsidRPr="00BC0E7E" w:rsidRDefault="00BC0E7E" w:rsidP="00BC0E7E">
            <w:pPr>
              <w:rPr>
                <w:szCs w:val="20"/>
              </w:rPr>
            </w:pPr>
          </w:p>
          <w:p w14:paraId="5E7E67FE" w14:textId="77777777" w:rsidR="00BC0E7E" w:rsidRPr="00BC0E7E" w:rsidRDefault="00944B8F" w:rsidP="00D51999">
            <w:pPr>
              <w:keepNext/>
              <w:numPr>
                <w:ilvl w:val="0"/>
                <w:numId w:val="65"/>
              </w:numPr>
              <w:tabs>
                <w:tab w:val="clear" w:pos="562"/>
                <w:tab w:val="left" w:pos="757"/>
              </w:tabs>
              <w:ind w:left="757"/>
              <w:rPr>
                <w:szCs w:val="20"/>
              </w:rPr>
            </w:pPr>
            <w:r w:rsidRPr="00BC0E7E">
              <w:rPr>
                <w:szCs w:val="20"/>
              </w:rPr>
              <w:t>On the front of your thighs or</w:t>
            </w:r>
          </w:p>
          <w:p w14:paraId="32685484" w14:textId="77777777" w:rsidR="00BC0E7E" w:rsidRPr="00BC0E7E" w:rsidRDefault="00944B8F" w:rsidP="00D51999">
            <w:pPr>
              <w:keepNext/>
              <w:numPr>
                <w:ilvl w:val="0"/>
                <w:numId w:val="65"/>
              </w:numPr>
              <w:tabs>
                <w:tab w:val="clear" w:pos="562"/>
                <w:tab w:val="left" w:pos="757"/>
              </w:tabs>
              <w:ind w:left="757"/>
              <w:rPr>
                <w:szCs w:val="20"/>
              </w:rPr>
            </w:pPr>
            <w:r w:rsidRPr="00BC0E7E">
              <w:rPr>
                <w:szCs w:val="20"/>
              </w:rPr>
              <w:t>Your belly (abdomen) at least 5 cm from your belly button (navel)</w:t>
            </w:r>
          </w:p>
          <w:p w14:paraId="677F0C3D" w14:textId="77777777" w:rsidR="00BC0E7E" w:rsidRPr="00BC0E7E" w:rsidRDefault="00944B8F" w:rsidP="00D51999">
            <w:pPr>
              <w:keepNext/>
              <w:numPr>
                <w:ilvl w:val="0"/>
                <w:numId w:val="65"/>
              </w:numPr>
              <w:tabs>
                <w:tab w:val="clear" w:pos="562"/>
                <w:tab w:val="left" w:pos="757"/>
              </w:tabs>
              <w:ind w:left="757"/>
              <w:rPr>
                <w:szCs w:val="20"/>
              </w:rPr>
            </w:pPr>
            <w:r w:rsidRPr="00BC0E7E">
              <w:rPr>
                <w:szCs w:val="20"/>
              </w:rPr>
              <w:t>At least 3 cm from your last injection site</w:t>
            </w:r>
          </w:p>
          <w:p w14:paraId="10057A85" w14:textId="77777777" w:rsidR="00BC0E7E" w:rsidRPr="00BC0E7E" w:rsidRDefault="00BC0E7E" w:rsidP="00BC0E7E">
            <w:pPr>
              <w:rPr>
                <w:szCs w:val="20"/>
              </w:rPr>
            </w:pPr>
          </w:p>
          <w:p w14:paraId="3D3A0B8B" w14:textId="77777777" w:rsidR="00BC0E7E" w:rsidRPr="00BC0E7E" w:rsidRDefault="00944B8F" w:rsidP="00BC0E7E">
            <w:pPr>
              <w:keepNext/>
              <w:rPr>
                <w:szCs w:val="20"/>
              </w:rPr>
            </w:pPr>
            <w:r w:rsidRPr="00BC0E7E">
              <w:rPr>
                <w:szCs w:val="20"/>
              </w:rPr>
              <w:t>Wipe the injection site in a circular motion with the alcohol pad.</w:t>
            </w:r>
          </w:p>
          <w:p w14:paraId="76D9BB6B" w14:textId="77777777" w:rsidR="00BC0E7E" w:rsidRPr="00BC0E7E" w:rsidRDefault="00BC0E7E" w:rsidP="00BC0E7E">
            <w:pPr>
              <w:rPr>
                <w:szCs w:val="20"/>
              </w:rPr>
            </w:pPr>
          </w:p>
          <w:p w14:paraId="19F7F59A" w14:textId="77777777" w:rsidR="00BC0E7E" w:rsidRPr="00BC0E7E" w:rsidRDefault="00944B8F" w:rsidP="00D51999">
            <w:pPr>
              <w:keepNext/>
              <w:numPr>
                <w:ilvl w:val="0"/>
                <w:numId w:val="66"/>
              </w:numPr>
              <w:tabs>
                <w:tab w:val="clear" w:pos="562"/>
                <w:tab w:val="left" w:pos="757"/>
              </w:tabs>
              <w:ind w:left="757"/>
              <w:rPr>
                <w:szCs w:val="20"/>
              </w:rPr>
            </w:pPr>
            <w:r w:rsidRPr="00BC0E7E">
              <w:rPr>
                <w:b/>
                <w:szCs w:val="20"/>
              </w:rPr>
              <w:t>Do not</w:t>
            </w:r>
            <w:r w:rsidRPr="00BC0E7E">
              <w:rPr>
                <w:szCs w:val="20"/>
              </w:rPr>
              <w:t xml:space="preserve"> inject through clothes</w:t>
            </w:r>
          </w:p>
          <w:p w14:paraId="5895E6FE" w14:textId="77777777" w:rsidR="00BC0E7E" w:rsidRPr="00BC0E7E" w:rsidRDefault="00944B8F" w:rsidP="00D51999">
            <w:pPr>
              <w:keepNext/>
              <w:numPr>
                <w:ilvl w:val="0"/>
                <w:numId w:val="66"/>
              </w:numPr>
              <w:tabs>
                <w:tab w:val="clear" w:pos="562"/>
                <w:tab w:val="left" w:pos="757"/>
              </w:tabs>
              <w:ind w:left="757"/>
              <w:rPr>
                <w:szCs w:val="20"/>
              </w:rPr>
            </w:pPr>
            <w:r w:rsidRPr="00BC0E7E">
              <w:rPr>
                <w:b/>
                <w:szCs w:val="20"/>
              </w:rPr>
              <w:t xml:space="preserve">Do not </w:t>
            </w:r>
            <w:r w:rsidRPr="00BC0E7E">
              <w:rPr>
                <w:szCs w:val="20"/>
              </w:rPr>
              <w:t>inject into skin that is sore, bruised, red, hard, scarred, has stretch marks, or areas with psoriasis plaques</w:t>
            </w:r>
          </w:p>
          <w:p w14:paraId="09CB7425" w14:textId="77777777" w:rsidR="00BC0E7E" w:rsidRPr="00BC0E7E" w:rsidRDefault="00BC0E7E" w:rsidP="00BC0E7E">
            <w:pPr>
              <w:keepNext/>
              <w:rPr>
                <w:szCs w:val="20"/>
              </w:rPr>
            </w:pPr>
          </w:p>
          <w:p w14:paraId="5D33690F" w14:textId="77777777" w:rsidR="00BC0E7E" w:rsidRPr="00BC0E7E" w:rsidRDefault="00BC0E7E" w:rsidP="00BC0E7E">
            <w:pPr>
              <w:keepNext/>
              <w:tabs>
                <w:tab w:val="clear" w:pos="562"/>
                <w:tab w:val="left" w:pos="757"/>
              </w:tabs>
              <w:ind w:left="757"/>
              <w:rPr>
                <w:szCs w:val="20"/>
              </w:rPr>
            </w:pPr>
          </w:p>
        </w:tc>
      </w:tr>
      <w:tr w:rsidR="00C6578C" w14:paraId="57DCBEA0" w14:textId="77777777" w:rsidTr="00171601">
        <w:tc>
          <w:tcPr>
            <w:tcW w:w="3708" w:type="dxa"/>
            <w:tcBorders>
              <w:right w:val="nil"/>
            </w:tcBorders>
          </w:tcPr>
          <w:p w14:paraId="2A17A16C" w14:textId="77777777" w:rsidR="00BC0E7E" w:rsidRPr="00BC0E7E" w:rsidRDefault="00944B8F" w:rsidP="00D53B36">
            <w:pPr>
              <w:keepNext/>
              <w:rPr>
                <w:b/>
                <w:szCs w:val="20"/>
              </w:rPr>
            </w:pPr>
            <w:r w:rsidRPr="00BC0E7E">
              <w:rPr>
                <w:b/>
                <w:szCs w:val="20"/>
              </w:rPr>
              <w:lastRenderedPageBreak/>
              <w:t>STEP 4</w:t>
            </w:r>
          </w:p>
          <w:p w14:paraId="679872D1" w14:textId="77777777" w:rsidR="00BC0E7E" w:rsidRPr="00BC0E7E" w:rsidRDefault="00944B8F" w:rsidP="00D53B36">
            <w:pPr>
              <w:keepNext/>
              <w:spacing w:before="100" w:beforeAutospacing="1" w:after="100" w:afterAutospacing="1"/>
              <w:rPr>
                <w:b/>
                <w:szCs w:val="20"/>
              </w:rPr>
            </w:pPr>
            <w:r>
              <w:rPr>
                <w:b/>
                <w:noProof/>
                <w:szCs w:val="20"/>
                <w:lang w:val="en-US"/>
              </w:rPr>
              <w:drawing>
                <wp:inline distT="0" distB="0" distL="0" distR="0" wp14:anchorId="57903148" wp14:editId="51BF695A">
                  <wp:extent cx="2011680" cy="1563624"/>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TEP_4_SYRINGE_IFU_UNCAP_new grey.jpg"/>
                          <pic:cNvPicPr/>
                        </pic:nvPicPr>
                        <pic:blipFill>
                          <a:blip r:embed="rId29">
                            <a:extLst>
                              <a:ext uri="{28A0092B-C50C-407E-A947-70E740481C1C}">
                                <a14:useLocalDpi xmlns:a14="http://schemas.microsoft.com/office/drawing/2010/main" val="0"/>
                              </a:ext>
                            </a:extLst>
                          </a:blip>
                          <a:stretch>
                            <a:fillRect/>
                          </a:stretch>
                        </pic:blipFill>
                        <pic:spPr>
                          <a:xfrm>
                            <a:off x="0" y="0"/>
                            <a:ext cx="2011680" cy="1563624"/>
                          </a:xfrm>
                          <a:prstGeom prst="rect">
                            <a:avLst/>
                          </a:prstGeom>
                        </pic:spPr>
                      </pic:pic>
                    </a:graphicData>
                  </a:graphic>
                </wp:inline>
              </w:drawing>
            </w:r>
          </w:p>
        </w:tc>
        <w:tc>
          <w:tcPr>
            <w:tcW w:w="5579" w:type="dxa"/>
            <w:tcBorders>
              <w:left w:val="nil"/>
            </w:tcBorders>
          </w:tcPr>
          <w:p w14:paraId="5E7999CF" w14:textId="77777777" w:rsidR="00BC0E7E" w:rsidRPr="00BC0E7E" w:rsidRDefault="00944B8F" w:rsidP="00D53B36">
            <w:pPr>
              <w:keepNext/>
              <w:rPr>
                <w:szCs w:val="20"/>
              </w:rPr>
            </w:pPr>
            <w:r w:rsidRPr="00BC0E7E">
              <w:rPr>
                <w:szCs w:val="20"/>
              </w:rPr>
              <w:t>Hold the pre-filled syringe in one hand.</w:t>
            </w:r>
          </w:p>
          <w:p w14:paraId="7A0E8AE3" w14:textId="77777777" w:rsidR="00BC0E7E" w:rsidRPr="00BC0E7E" w:rsidRDefault="00BC0E7E" w:rsidP="00D53B36">
            <w:pPr>
              <w:keepNext/>
              <w:rPr>
                <w:szCs w:val="20"/>
              </w:rPr>
            </w:pPr>
          </w:p>
          <w:p w14:paraId="1AF32DDD" w14:textId="77777777" w:rsidR="00BC0E7E" w:rsidRPr="00BC0E7E" w:rsidRDefault="00944B8F" w:rsidP="00D53B36">
            <w:pPr>
              <w:keepNext/>
              <w:rPr>
                <w:szCs w:val="20"/>
              </w:rPr>
            </w:pPr>
            <w:r w:rsidRPr="00BC0E7E">
              <w:rPr>
                <w:szCs w:val="20"/>
              </w:rPr>
              <w:t>Check the liquid in the pre-filled syringe.</w:t>
            </w:r>
          </w:p>
          <w:p w14:paraId="7E333373" w14:textId="77777777" w:rsidR="00BC0E7E" w:rsidRPr="00BC0E7E" w:rsidRDefault="00BC0E7E" w:rsidP="00D53B36">
            <w:pPr>
              <w:keepNext/>
              <w:rPr>
                <w:szCs w:val="20"/>
              </w:rPr>
            </w:pPr>
          </w:p>
          <w:p w14:paraId="0D49BD83" w14:textId="77777777" w:rsidR="00BC0E7E" w:rsidRPr="00BC0E7E" w:rsidRDefault="00944B8F" w:rsidP="00D51999">
            <w:pPr>
              <w:keepNext/>
              <w:numPr>
                <w:ilvl w:val="0"/>
                <w:numId w:val="67"/>
              </w:numPr>
              <w:tabs>
                <w:tab w:val="clear" w:pos="562"/>
                <w:tab w:val="left" w:pos="792"/>
                <w:tab w:val="left" w:pos="1647"/>
              </w:tabs>
              <w:ind w:left="792"/>
              <w:rPr>
                <w:szCs w:val="20"/>
              </w:rPr>
            </w:pPr>
            <w:r w:rsidRPr="00BC0E7E">
              <w:rPr>
                <w:szCs w:val="20"/>
              </w:rPr>
              <w:t>Make sure the liquid is clear and colourless</w:t>
            </w:r>
          </w:p>
          <w:p w14:paraId="60F81272" w14:textId="77777777" w:rsidR="00BC0E7E" w:rsidRPr="00BC0E7E" w:rsidRDefault="00944B8F" w:rsidP="00D51999">
            <w:pPr>
              <w:keepNext/>
              <w:numPr>
                <w:ilvl w:val="0"/>
                <w:numId w:val="67"/>
              </w:numPr>
              <w:tabs>
                <w:tab w:val="clear" w:pos="562"/>
                <w:tab w:val="left" w:pos="792"/>
                <w:tab w:val="left" w:pos="1647"/>
              </w:tabs>
              <w:ind w:left="792"/>
              <w:rPr>
                <w:szCs w:val="20"/>
              </w:rPr>
            </w:pPr>
            <w:r w:rsidRPr="00BC0E7E">
              <w:rPr>
                <w:b/>
                <w:szCs w:val="20"/>
              </w:rPr>
              <w:t>Do not</w:t>
            </w:r>
            <w:r w:rsidRPr="00BC0E7E">
              <w:rPr>
                <w:szCs w:val="20"/>
              </w:rPr>
              <w:t xml:space="preserve"> use the pre-filled syringe if the liquid is cloudy or has particles</w:t>
            </w:r>
          </w:p>
          <w:p w14:paraId="27E880AC" w14:textId="77777777" w:rsidR="00BC0E7E" w:rsidRPr="00BC0E7E" w:rsidRDefault="00944B8F" w:rsidP="00D51999">
            <w:pPr>
              <w:keepNext/>
              <w:numPr>
                <w:ilvl w:val="0"/>
                <w:numId w:val="67"/>
              </w:numPr>
              <w:tabs>
                <w:tab w:val="clear" w:pos="562"/>
                <w:tab w:val="left" w:pos="792"/>
                <w:tab w:val="left" w:pos="1647"/>
              </w:tabs>
              <w:ind w:left="792"/>
              <w:rPr>
                <w:szCs w:val="20"/>
              </w:rPr>
            </w:pPr>
            <w:r w:rsidRPr="00BC0E7E">
              <w:rPr>
                <w:b/>
                <w:szCs w:val="20"/>
              </w:rPr>
              <w:t xml:space="preserve">Do not </w:t>
            </w:r>
            <w:r w:rsidRPr="00BC0E7E">
              <w:rPr>
                <w:szCs w:val="20"/>
              </w:rPr>
              <w:t>use the pre-filled syringe if it has been dropped or crushed</w:t>
            </w:r>
          </w:p>
          <w:p w14:paraId="1D9D177C" w14:textId="77777777" w:rsidR="00BC0E7E" w:rsidRPr="00BC0E7E" w:rsidRDefault="00BC0E7E" w:rsidP="00D53B36">
            <w:pPr>
              <w:keepNext/>
              <w:tabs>
                <w:tab w:val="clear" w:pos="562"/>
                <w:tab w:val="left" w:pos="792"/>
                <w:tab w:val="left" w:pos="1647"/>
              </w:tabs>
              <w:ind w:left="792"/>
              <w:rPr>
                <w:szCs w:val="20"/>
              </w:rPr>
            </w:pPr>
          </w:p>
          <w:p w14:paraId="2E9AB116" w14:textId="77777777" w:rsidR="00BC0E7E" w:rsidRPr="00BC0E7E" w:rsidRDefault="00944B8F" w:rsidP="00D53B36">
            <w:pPr>
              <w:keepNext/>
              <w:rPr>
                <w:szCs w:val="20"/>
              </w:rPr>
            </w:pPr>
            <w:r w:rsidRPr="00BC0E7E">
              <w:rPr>
                <w:szCs w:val="20"/>
              </w:rPr>
              <w:t>Gently pull the needle cover straight off with the other hand. Throw the needle cover away. Do not recap.</w:t>
            </w:r>
          </w:p>
          <w:p w14:paraId="7F8865F1" w14:textId="77777777" w:rsidR="00BC0E7E" w:rsidRPr="00BC0E7E" w:rsidRDefault="00BC0E7E" w:rsidP="00D53B36">
            <w:pPr>
              <w:keepNext/>
              <w:rPr>
                <w:szCs w:val="20"/>
              </w:rPr>
            </w:pPr>
          </w:p>
          <w:p w14:paraId="2EBBBD4C" w14:textId="77777777" w:rsidR="00BC0E7E" w:rsidRPr="00BC0E7E" w:rsidRDefault="00944B8F" w:rsidP="00D51999">
            <w:pPr>
              <w:keepNext/>
              <w:numPr>
                <w:ilvl w:val="0"/>
                <w:numId w:val="82"/>
              </w:numPr>
              <w:tabs>
                <w:tab w:val="clear" w:pos="562"/>
                <w:tab w:val="left" w:pos="792"/>
              </w:tabs>
              <w:ind w:left="792"/>
              <w:contextualSpacing/>
            </w:pPr>
            <w:r w:rsidRPr="00BC0E7E">
              <w:rPr>
                <w:b/>
              </w:rPr>
              <w:t>Do not</w:t>
            </w:r>
            <w:r w:rsidRPr="00BC0E7E">
              <w:t xml:space="preserve"> touch the needle with your fingers or let the needle touch anything</w:t>
            </w:r>
          </w:p>
          <w:p w14:paraId="7359D211" w14:textId="77777777" w:rsidR="00BC0E7E" w:rsidRPr="00BC0E7E" w:rsidRDefault="00BC0E7E" w:rsidP="00D53B36">
            <w:pPr>
              <w:keepNext/>
              <w:tabs>
                <w:tab w:val="clear" w:pos="562"/>
                <w:tab w:val="left" w:pos="792"/>
              </w:tabs>
              <w:contextualSpacing/>
            </w:pPr>
          </w:p>
        </w:tc>
      </w:tr>
      <w:tr w:rsidR="00C6578C" w14:paraId="7B1C1921" w14:textId="77777777" w:rsidTr="00171601">
        <w:tc>
          <w:tcPr>
            <w:tcW w:w="3708" w:type="dxa"/>
            <w:tcBorders>
              <w:right w:val="nil"/>
            </w:tcBorders>
          </w:tcPr>
          <w:p w14:paraId="4A89E20E" w14:textId="77777777" w:rsidR="00BC0E7E" w:rsidRPr="00BC0E7E" w:rsidRDefault="00944B8F" w:rsidP="00BC0E7E">
            <w:pPr>
              <w:keepNext/>
              <w:rPr>
                <w:b/>
                <w:szCs w:val="20"/>
              </w:rPr>
            </w:pPr>
            <w:r w:rsidRPr="00BC0E7E">
              <w:rPr>
                <w:b/>
                <w:szCs w:val="20"/>
              </w:rPr>
              <w:t>STEP 5</w:t>
            </w:r>
          </w:p>
          <w:p w14:paraId="26B21C70" w14:textId="77777777" w:rsidR="00BC0E7E" w:rsidRPr="00BC0E7E" w:rsidRDefault="00944B8F" w:rsidP="00BC0E7E">
            <w:pPr>
              <w:keepNext/>
              <w:rPr>
                <w:szCs w:val="20"/>
              </w:rPr>
            </w:pPr>
            <w:r>
              <w:rPr>
                <w:noProof/>
                <w:szCs w:val="20"/>
                <w:lang w:val="en-US"/>
              </w:rPr>
              <w:drawing>
                <wp:inline distT="0" distB="0" distL="0" distR="0" wp14:anchorId="37398580" wp14:editId="34C3573E">
                  <wp:extent cx="1987550" cy="1971675"/>
                  <wp:effectExtent l="0" t="0" r="0" b="9525"/>
                  <wp:docPr id="106" name="Picture 106" descr="STEP_5_SYRINGE_IFU_FILLING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89" descr="STEP_5_SYRINGE_IFU_FILLING_grey"/>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987550" cy="1971675"/>
                          </a:xfrm>
                          <a:prstGeom prst="rect">
                            <a:avLst/>
                          </a:prstGeom>
                          <a:noFill/>
                          <a:ln>
                            <a:noFill/>
                          </a:ln>
                        </pic:spPr>
                      </pic:pic>
                    </a:graphicData>
                  </a:graphic>
                </wp:inline>
              </w:drawing>
            </w:r>
          </w:p>
        </w:tc>
        <w:tc>
          <w:tcPr>
            <w:tcW w:w="5579" w:type="dxa"/>
            <w:tcBorders>
              <w:left w:val="nil"/>
            </w:tcBorders>
          </w:tcPr>
          <w:p w14:paraId="19F9B700" w14:textId="77777777" w:rsidR="00BC0E7E" w:rsidRPr="00BC0E7E" w:rsidRDefault="00944B8F" w:rsidP="00BC0E7E">
            <w:pPr>
              <w:keepNext/>
              <w:tabs>
                <w:tab w:val="clear" w:pos="562"/>
                <w:tab w:val="left" w:pos="0"/>
              </w:tabs>
              <w:rPr>
                <w:szCs w:val="22"/>
              </w:rPr>
            </w:pPr>
            <w:r w:rsidRPr="00BC0E7E">
              <w:rPr>
                <w:szCs w:val="20"/>
              </w:rPr>
              <w:t xml:space="preserve">Hold the pre-filled syringe with the needle </w:t>
            </w:r>
            <w:r w:rsidRPr="00BC0E7E">
              <w:rPr>
                <w:szCs w:val="22"/>
              </w:rPr>
              <w:t>facing up.</w:t>
            </w:r>
          </w:p>
          <w:p w14:paraId="1BEE4B53" w14:textId="77777777" w:rsidR="00BC0E7E" w:rsidRPr="00BC0E7E" w:rsidRDefault="00BC0E7E" w:rsidP="00BC0E7E">
            <w:pPr>
              <w:keepNext/>
              <w:tabs>
                <w:tab w:val="clear" w:pos="562"/>
                <w:tab w:val="left" w:pos="0"/>
              </w:tabs>
              <w:rPr>
                <w:szCs w:val="22"/>
              </w:rPr>
            </w:pPr>
          </w:p>
          <w:p w14:paraId="1FCC7E34" w14:textId="77777777" w:rsidR="00BC0E7E" w:rsidRPr="00BC0E7E" w:rsidRDefault="00944B8F" w:rsidP="00BC0E7E">
            <w:pPr>
              <w:keepNext/>
              <w:numPr>
                <w:ilvl w:val="0"/>
                <w:numId w:val="13"/>
              </w:numPr>
              <w:tabs>
                <w:tab w:val="clear" w:pos="562"/>
                <w:tab w:val="clear" w:pos="690"/>
                <w:tab w:val="num" w:pos="792"/>
              </w:tabs>
              <w:ind w:left="792"/>
              <w:rPr>
                <w:szCs w:val="20"/>
              </w:rPr>
            </w:pPr>
            <w:r w:rsidRPr="00BC0E7E">
              <w:rPr>
                <w:szCs w:val="20"/>
              </w:rPr>
              <w:t>Hold the pre-filled syringe at eye level with one hand so you can see the air in the pre-filled syringe</w:t>
            </w:r>
          </w:p>
          <w:p w14:paraId="03125C92" w14:textId="77777777" w:rsidR="00BC0E7E" w:rsidRPr="00BC0E7E" w:rsidRDefault="00BC0E7E" w:rsidP="00BC0E7E">
            <w:pPr>
              <w:keepNext/>
              <w:rPr>
                <w:szCs w:val="20"/>
              </w:rPr>
            </w:pPr>
          </w:p>
          <w:p w14:paraId="7276120C" w14:textId="77777777" w:rsidR="00BC0E7E" w:rsidRPr="00BC0E7E" w:rsidRDefault="00944B8F" w:rsidP="00BC0E7E">
            <w:pPr>
              <w:keepNext/>
              <w:rPr>
                <w:szCs w:val="22"/>
              </w:rPr>
            </w:pPr>
            <w:r w:rsidRPr="00BC0E7E">
              <w:rPr>
                <w:szCs w:val="22"/>
              </w:rPr>
              <w:t xml:space="preserve">Slowly push the plunger in to push the air out through the needle. </w:t>
            </w:r>
          </w:p>
          <w:p w14:paraId="369F3B5E" w14:textId="77777777" w:rsidR="00BC0E7E" w:rsidRPr="00BC0E7E" w:rsidRDefault="00BC0E7E" w:rsidP="00BC0E7E">
            <w:pPr>
              <w:keepNext/>
              <w:rPr>
                <w:szCs w:val="22"/>
              </w:rPr>
            </w:pPr>
          </w:p>
          <w:p w14:paraId="15B54A03" w14:textId="77777777" w:rsidR="00BC0E7E" w:rsidRPr="00BC0E7E" w:rsidRDefault="00944B8F" w:rsidP="00BC0E7E">
            <w:pPr>
              <w:keepNext/>
              <w:numPr>
                <w:ilvl w:val="0"/>
                <w:numId w:val="13"/>
              </w:numPr>
              <w:tabs>
                <w:tab w:val="clear" w:pos="562"/>
                <w:tab w:val="clear" w:pos="690"/>
                <w:tab w:val="num" w:pos="792"/>
              </w:tabs>
              <w:ind w:left="792"/>
              <w:rPr>
                <w:szCs w:val="20"/>
              </w:rPr>
            </w:pPr>
            <w:r w:rsidRPr="00BC0E7E">
              <w:rPr>
                <w:szCs w:val="20"/>
              </w:rPr>
              <w:t>It is normal to see a drop of liquid at the end of the needle</w:t>
            </w:r>
          </w:p>
          <w:p w14:paraId="66E505CB" w14:textId="77777777" w:rsidR="00BC0E7E" w:rsidRPr="00BC0E7E" w:rsidRDefault="00BC0E7E" w:rsidP="00BC0E7E">
            <w:pPr>
              <w:keepNext/>
              <w:rPr>
                <w:szCs w:val="20"/>
              </w:rPr>
            </w:pPr>
          </w:p>
        </w:tc>
      </w:tr>
      <w:tr w:rsidR="00C6578C" w14:paraId="6DEF0068" w14:textId="77777777" w:rsidTr="00171601">
        <w:tc>
          <w:tcPr>
            <w:tcW w:w="3708" w:type="dxa"/>
            <w:tcBorders>
              <w:right w:val="nil"/>
            </w:tcBorders>
          </w:tcPr>
          <w:p w14:paraId="7FFD05C3" w14:textId="77777777" w:rsidR="00BC0E7E" w:rsidRPr="00BC0E7E" w:rsidRDefault="00944B8F" w:rsidP="00D53B36">
            <w:pPr>
              <w:rPr>
                <w:b/>
                <w:szCs w:val="20"/>
              </w:rPr>
            </w:pPr>
            <w:r w:rsidRPr="00BC0E7E">
              <w:br w:type="page"/>
            </w:r>
            <w:r w:rsidRPr="00BC0E7E">
              <w:rPr>
                <w:b/>
                <w:szCs w:val="20"/>
              </w:rPr>
              <w:t>STEP 6</w:t>
            </w:r>
          </w:p>
          <w:p w14:paraId="28D316EE" w14:textId="77777777" w:rsidR="00BC0E7E" w:rsidRPr="00BC0E7E" w:rsidRDefault="00944B8F" w:rsidP="00BC0E7E">
            <w:pPr>
              <w:keepNext/>
              <w:spacing w:before="100" w:beforeAutospacing="1" w:after="100" w:afterAutospacing="1"/>
              <w:rPr>
                <w:b/>
                <w:szCs w:val="20"/>
              </w:rPr>
            </w:pPr>
            <w:r>
              <w:rPr>
                <w:noProof/>
                <w:szCs w:val="20"/>
                <w:lang w:val="en-US"/>
              </w:rPr>
              <w:drawing>
                <wp:inline distT="0" distB="0" distL="0" distR="0" wp14:anchorId="44F6B3E6" wp14:editId="4760583E">
                  <wp:extent cx="2250440" cy="2138680"/>
                  <wp:effectExtent l="0" t="0" r="0" b="0"/>
                  <wp:docPr id="105" name="Picture 105"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90" descr="STEP_6_SYRINGE_IFU_PRE-INJECTION_grey"/>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2250440" cy="2138680"/>
                          </a:xfrm>
                          <a:prstGeom prst="rect">
                            <a:avLst/>
                          </a:prstGeom>
                          <a:noFill/>
                          <a:ln>
                            <a:noFill/>
                          </a:ln>
                        </pic:spPr>
                      </pic:pic>
                    </a:graphicData>
                  </a:graphic>
                </wp:inline>
              </w:drawing>
            </w:r>
          </w:p>
        </w:tc>
        <w:tc>
          <w:tcPr>
            <w:tcW w:w="5579" w:type="dxa"/>
            <w:tcBorders>
              <w:left w:val="nil"/>
            </w:tcBorders>
          </w:tcPr>
          <w:p w14:paraId="45238380" w14:textId="77777777" w:rsidR="00BC0E7E" w:rsidRPr="00BC0E7E" w:rsidRDefault="00944B8F" w:rsidP="00BC0E7E">
            <w:pPr>
              <w:keepNext/>
              <w:rPr>
                <w:szCs w:val="22"/>
              </w:rPr>
            </w:pPr>
            <w:r w:rsidRPr="00BC0E7E">
              <w:rPr>
                <w:szCs w:val="22"/>
              </w:rPr>
              <w:t>Hold the body of the pre-filled syringe in one hand between the thumb and index fingers, like you would a pencil.</w:t>
            </w:r>
          </w:p>
          <w:p w14:paraId="7E789392" w14:textId="77777777" w:rsidR="00BC0E7E" w:rsidRPr="00BC0E7E" w:rsidRDefault="00BC0E7E" w:rsidP="00BC0E7E">
            <w:pPr>
              <w:keepNext/>
              <w:rPr>
                <w:szCs w:val="22"/>
              </w:rPr>
            </w:pPr>
          </w:p>
          <w:p w14:paraId="72C25294" w14:textId="77777777" w:rsidR="00BC0E7E" w:rsidRPr="00BC0E7E" w:rsidRDefault="00944B8F" w:rsidP="00BC0E7E">
            <w:pPr>
              <w:keepNext/>
              <w:rPr>
                <w:szCs w:val="22"/>
              </w:rPr>
            </w:pPr>
            <w:r w:rsidRPr="00BC0E7E">
              <w:rPr>
                <w:szCs w:val="22"/>
              </w:rPr>
              <w:t>Squeeze the skin at your injection site with your other hand to make a raised area and hold it firmly.</w:t>
            </w:r>
          </w:p>
          <w:p w14:paraId="23E6F26D" w14:textId="77777777" w:rsidR="00BC0E7E" w:rsidRPr="00BC0E7E" w:rsidRDefault="00BC0E7E" w:rsidP="00BC0E7E">
            <w:pPr>
              <w:keepNext/>
              <w:spacing w:before="100" w:beforeAutospacing="1" w:after="100" w:afterAutospacing="1"/>
            </w:pPr>
          </w:p>
        </w:tc>
      </w:tr>
      <w:tr w:rsidR="00C6578C" w14:paraId="25194927" w14:textId="77777777" w:rsidTr="00171601">
        <w:tc>
          <w:tcPr>
            <w:tcW w:w="3708" w:type="dxa"/>
            <w:tcBorders>
              <w:right w:val="nil"/>
            </w:tcBorders>
          </w:tcPr>
          <w:p w14:paraId="04EF9A8F" w14:textId="77777777" w:rsidR="00BC0E7E" w:rsidRPr="00BC0E7E" w:rsidRDefault="00944B8F" w:rsidP="00D53B36">
            <w:pPr>
              <w:keepNext/>
              <w:rPr>
                <w:b/>
                <w:szCs w:val="20"/>
              </w:rPr>
            </w:pPr>
            <w:r w:rsidRPr="00BC0E7E">
              <w:rPr>
                <w:b/>
                <w:szCs w:val="20"/>
              </w:rPr>
              <w:lastRenderedPageBreak/>
              <w:t>STEP 7</w:t>
            </w:r>
          </w:p>
          <w:p w14:paraId="77090E54" w14:textId="77777777" w:rsidR="00BC0E7E" w:rsidRPr="00BC0E7E" w:rsidRDefault="00944B8F" w:rsidP="00D53B36">
            <w:pPr>
              <w:keepNext/>
              <w:spacing w:before="100" w:beforeAutospacing="1" w:after="100" w:afterAutospacing="1"/>
              <w:ind w:left="-360"/>
              <w:rPr>
                <w:b/>
                <w:szCs w:val="20"/>
              </w:rPr>
            </w:pPr>
            <w:r>
              <w:rPr>
                <w:noProof/>
                <w:szCs w:val="20"/>
                <w:lang w:val="en-US"/>
              </w:rPr>
              <w:drawing>
                <wp:inline distT="0" distB="0" distL="0" distR="0" wp14:anchorId="56262C9F" wp14:editId="118AB165">
                  <wp:extent cx="2178685" cy="2679700"/>
                  <wp:effectExtent l="0" t="0" r="0" b="6350"/>
                  <wp:docPr id="104" name="Picture 104"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91" descr="STEP_7_SYRINGE_IFU_ABDOMEN-THIGH_grey"/>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2178685" cy="2679700"/>
                          </a:xfrm>
                          <a:prstGeom prst="rect">
                            <a:avLst/>
                          </a:prstGeom>
                          <a:noFill/>
                          <a:ln>
                            <a:noFill/>
                          </a:ln>
                        </pic:spPr>
                      </pic:pic>
                    </a:graphicData>
                  </a:graphic>
                </wp:inline>
              </w:drawing>
            </w:r>
          </w:p>
        </w:tc>
        <w:tc>
          <w:tcPr>
            <w:tcW w:w="5579" w:type="dxa"/>
            <w:tcBorders>
              <w:left w:val="nil"/>
            </w:tcBorders>
          </w:tcPr>
          <w:p w14:paraId="31779711" w14:textId="77777777" w:rsidR="00BC0E7E" w:rsidRPr="00BC0E7E" w:rsidRDefault="00944B8F" w:rsidP="00D53B36">
            <w:pPr>
              <w:keepNext/>
              <w:rPr>
                <w:szCs w:val="22"/>
              </w:rPr>
            </w:pPr>
            <w:r w:rsidRPr="00BC0E7E">
              <w:rPr>
                <w:szCs w:val="22"/>
              </w:rPr>
              <w:t>Insert the needle all the way into the skin at about a 45-degree angle with one quick, short motion.</w:t>
            </w:r>
          </w:p>
          <w:p w14:paraId="53EB260A" w14:textId="77777777" w:rsidR="00BC0E7E" w:rsidRPr="00BC0E7E" w:rsidRDefault="00BC0E7E" w:rsidP="00D53B36">
            <w:pPr>
              <w:keepNext/>
              <w:rPr>
                <w:szCs w:val="22"/>
              </w:rPr>
            </w:pPr>
          </w:p>
          <w:p w14:paraId="7F1F36AE" w14:textId="77777777" w:rsidR="00BC0E7E" w:rsidRPr="00BC0E7E" w:rsidRDefault="00944B8F" w:rsidP="00D51999">
            <w:pPr>
              <w:keepNext/>
              <w:numPr>
                <w:ilvl w:val="0"/>
                <w:numId w:val="81"/>
              </w:numPr>
              <w:tabs>
                <w:tab w:val="clear" w:pos="562"/>
                <w:tab w:val="left" w:pos="792"/>
              </w:tabs>
              <w:ind w:left="792"/>
              <w:rPr>
                <w:szCs w:val="22"/>
              </w:rPr>
            </w:pPr>
            <w:r w:rsidRPr="00BC0E7E">
              <w:t>After the needle is in, let go of the skin you are holding</w:t>
            </w:r>
            <w:r w:rsidRPr="00BC0E7E">
              <w:rPr>
                <w:szCs w:val="22"/>
              </w:rPr>
              <w:t xml:space="preserve"> </w:t>
            </w:r>
          </w:p>
          <w:p w14:paraId="6B81A460" w14:textId="77777777" w:rsidR="00BC0E7E" w:rsidRPr="00BC0E7E" w:rsidRDefault="00BC0E7E" w:rsidP="00D53B36">
            <w:pPr>
              <w:keepNext/>
              <w:rPr>
                <w:szCs w:val="22"/>
              </w:rPr>
            </w:pPr>
          </w:p>
          <w:p w14:paraId="678BD7C1" w14:textId="77777777" w:rsidR="00BC0E7E" w:rsidRPr="00BC0E7E" w:rsidRDefault="00944B8F" w:rsidP="00D53B36">
            <w:pPr>
              <w:keepNext/>
              <w:rPr>
                <w:szCs w:val="22"/>
              </w:rPr>
            </w:pPr>
            <w:r w:rsidRPr="00BC0E7E">
              <w:rPr>
                <w:szCs w:val="22"/>
              </w:rPr>
              <w:t>Slowly push the plunger all the way in until all of the liquid is injected and the pre-filled syringe is empty.</w:t>
            </w:r>
          </w:p>
          <w:p w14:paraId="7AE10211" w14:textId="77777777" w:rsidR="00BC0E7E" w:rsidRPr="00BC0E7E" w:rsidRDefault="00BC0E7E" w:rsidP="00D53B36">
            <w:pPr>
              <w:keepNext/>
              <w:rPr>
                <w:szCs w:val="20"/>
              </w:rPr>
            </w:pPr>
          </w:p>
        </w:tc>
      </w:tr>
      <w:tr w:rsidR="00C6578C" w14:paraId="747CD008" w14:textId="77777777" w:rsidTr="00171601">
        <w:tc>
          <w:tcPr>
            <w:tcW w:w="3708" w:type="dxa"/>
            <w:tcBorders>
              <w:right w:val="nil"/>
            </w:tcBorders>
          </w:tcPr>
          <w:p w14:paraId="56182420" w14:textId="77777777" w:rsidR="00BC0E7E" w:rsidRPr="00BC0E7E" w:rsidRDefault="00944B8F" w:rsidP="00BC0E7E">
            <w:pPr>
              <w:keepNext/>
              <w:rPr>
                <w:b/>
                <w:szCs w:val="20"/>
              </w:rPr>
            </w:pPr>
            <w:r w:rsidRPr="00BC0E7E">
              <w:rPr>
                <w:b/>
                <w:szCs w:val="20"/>
              </w:rPr>
              <w:t>STEP 8</w:t>
            </w:r>
          </w:p>
          <w:p w14:paraId="772EB9FC" w14:textId="77777777" w:rsidR="00BC0E7E" w:rsidRDefault="00944B8F" w:rsidP="009217A8">
            <w:pPr>
              <w:keepNext/>
              <w:spacing w:before="100" w:beforeAutospacing="1"/>
              <w:rPr>
                <w:b/>
                <w:szCs w:val="20"/>
              </w:rPr>
            </w:pPr>
            <w:r>
              <w:rPr>
                <w:b/>
                <w:noProof/>
                <w:szCs w:val="20"/>
                <w:lang w:val="en-US"/>
              </w:rPr>
              <w:drawing>
                <wp:inline distT="0" distB="0" distL="0" distR="0" wp14:anchorId="10C43D2C" wp14:editId="536B6D6A">
                  <wp:extent cx="1984248" cy="2093089"/>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EP_8_SYRINGE_IFU_WITHDRAW_grey.REV 06Sep18.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84248" cy="2093089"/>
                          </a:xfrm>
                          <a:prstGeom prst="rect">
                            <a:avLst/>
                          </a:prstGeom>
                        </pic:spPr>
                      </pic:pic>
                    </a:graphicData>
                  </a:graphic>
                </wp:inline>
              </w:drawing>
            </w:r>
          </w:p>
          <w:p w14:paraId="56A1FAFF" w14:textId="77777777" w:rsidR="000D27A0" w:rsidRPr="00BC0E7E" w:rsidRDefault="00944B8F" w:rsidP="009217A8">
            <w:pPr>
              <w:keepNext/>
              <w:spacing w:after="100" w:afterAutospacing="1"/>
              <w:rPr>
                <w:b/>
                <w:szCs w:val="20"/>
              </w:rPr>
            </w:pPr>
            <w:r>
              <w:rPr>
                <w:b/>
                <w:szCs w:val="20"/>
              </w:rPr>
              <w:t xml:space="preserve">             Cotton Ball</w:t>
            </w:r>
          </w:p>
        </w:tc>
        <w:tc>
          <w:tcPr>
            <w:tcW w:w="5579" w:type="dxa"/>
            <w:tcBorders>
              <w:left w:val="nil"/>
            </w:tcBorders>
          </w:tcPr>
          <w:p w14:paraId="1F26EB9F" w14:textId="77777777" w:rsidR="00BC0E7E" w:rsidRPr="00BC0E7E" w:rsidRDefault="00944B8F" w:rsidP="00BC0E7E">
            <w:pPr>
              <w:keepNext/>
              <w:rPr>
                <w:szCs w:val="20"/>
              </w:rPr>
            </w:pPr>
            <w:r w:rsidRPr="00BC0E7E">
              <w:rPr>
                <w:szCs w:val="20"/>
              </w:rPr>
              <w:t>When the injection is completed, slowly pull the needle out of the skin while keeping the pre-filled syringe at the same angle.</w:t>
            </w:r>
          </w:p>
          <w:p w14:paraId="3329E437" w14:textId="77777777" w:rsidR="00BC0E7E" w:rsidRPr="00BC0E7E" w:rsidRDefault="00BC0E7E" w:rsidP="00BC0E7E">
            <w:pPr>
              <w:keepNext/>
              <w:rPr>
                <w:szCs w:val="20"/>
              </w:rPr>
            </w:pPr>
          </w:p>
          <w:p w14:paraId="6924E752" w14:textId="77777777" w:rsidR="00BC0E7E" w:rsidRPr="00BC0E7E" w:rsidRDefault="00944B8F" w:rsidP="00BC0E7E">
            <w:pPr>
              <w:keepNext/>
              <w:rPr>
                <w:szCs w:val="20"/>
              </w:rPr>
            </w:pPr>
            <w:r w:rsidRPr="00BC0E7E">
              <w:rPr>
                <w:szCs w:val="20"/>
              </w:rPr>
              <w:t>After completing the injection, place a cotton ball or gauze pad on the skin over the injection site.</w:t>
            </w:r>
          </w:p>
          <w:p w14:paraId="47CB30B8" w14:textId="77777777" w:rsidR="00BC0E7E" w:rsidRPr="00BC0E7E" w:rsidRDefault="00BC0E7E" w:rsidP="00BC0E7E">
            <w:pPr>
              <w:keepNext/>
              <w:rPr>
                <w:szCs w:val="20"/>
              </w:rPr>
            </w:pPr>
          </w:p>
          <w:p w14:paraId="5918ED51" w14:textId="77777777" w:rsidR="00BC0E7E" w:rsidRPr="00BC0E7E" w:rsidRDefault="00944B8F" w:rsidP="00BC0E7E">
            <w:pPr>
              <w:keepNext/>
              <w:numPr>
                <w:ilvl w:val="0"/>
                <w:numId w:val="13"/>
              </w:numPr>
              <w:tabs>
                <w:tab w:val="clear" w:pos="562"/>
                <w:tab w:val="clear" w:pos="690"/>
                <w:tab w:val="num" w:pos="900"/>
              </w:tabs>
              <w:ind w:left="900"/>
              <w:rPr>
                <w:szCs w:val="20"/>
              </w:rPr>
            </w:pPr>
            <w:r w:rsidRPr="00BC0E7E">
              <w:rPr>
                <w:b/>
                <w:szCs w:val="20"/>
              </w:rPr>
              <w:t>Do not</w:t>
            </w:r>
            <w:r w:rsidRPr="00BC0E7E">
              <w:rPr>
                <w:szCs w:val="20"/>
              </w:rPr>
              <w:t xml:space="preserve"> rub</w:t>
            </w:r>
          </w:p>
          <w:p w14:paraId="2C551A8A" w14:textId="77777777" w:rsidR="00BC0E7E" w:rsidRPr="00BC0E7E" w:rsidRDefault="00944B8F" w:rsidP="00BC0E7E">
            <w:pPr>
              <w:keepNext/>
              <w:numPr>
                <w:ilvl w:val="0"/>
                <w:numId w:val="13"/>
              </w:numPr>
              <w:tabs>
                <w:tab w:val="clear" w:pos="562"/>
                <w:tab w:val="clear" w:pos="690"/>
                <w:tab w:val="num" w:pos="900"/>
              </w:tabs>
              <w:ind w:left="900"/>
              <w:contextualSpacing/>
            </w:pPr>
            <w:r w:rsidRPr="00BC0E7E">
              <w:t>Slight bleeding at the injection site is normal</w:t>
            </w:r>
          </w:p>
          <w:p w14:paraId="57E7D901" w14:textId="77777777" w:rsidR="00BC0E7E" w:rsidRPr="00BC0E7E" w:rsidRDefault="00BC0E7E" w:rsidP="00BC0E7E">
            <w:pPr>
              <w:keepNext/>
              <w:tabs>
                <w:tab w:val="clear" w:pos="562"/>
              </w:tabs>
              <w:rPr>
                <w:szCs w:val="20"/>
              </w:rPr>
            </w:pPr>
          </w:p>
        </w:tc>
      </w:tr>
    </w:tbl>
    <w:p w14:paraId="7345A67C" w14:textId="77777777" w:rsidR="00BC0E7E" w:rsidRPr="00BC0E7E" w:rsidRDefault="00BC0E7E" w:rsidP="00BC0E7E">
      <w:pPr>
        <w:tabs>
          <w:tab w:val="clear" w:pos="562"/>
          <w:tab w:val="left" w:pos="742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6578C" w14:paraId="3E4B0E9C" w14:textId="77777777" w:rsidTr="00171601">
        <w:tc>
          <w:tcPr>
            <w:tcW w:w="9287" w:type="dxa"/>
          </w:tcPr>
          <w:p w14:paraId="5210CC52" w14:textId="77777777" w:rsidR="00BC0E7E" w:rsidRPr="00BC0E7E" w:rsidRDefault="00944B8F" w:rsidP="00BC0E7E">
            <w:pPr>
              <w:keepNext/>
              <w:rPr>
                <w:b/>
              </w:rPr>
            </w:pPr>
            <w:r w:rsidRPr="00BC0E7E">
              <w:rPr>
                <w:b/>
              </w:rPr>
              <w:t>STEP 9</w:t>
            </w:r>
          </w:p>
          <w:p w14:paraId="697B4791" w14:textId="77777777" w:rsidR="00BC0E7E" w:rsidRPr="00BC0E7E" w:rsidRDefault="00BC0E7E" w:rsidP="00BC0E7E">
            <w:pPr>
              <w:keepNext/>
              <w:rPr>
                <w:b/>
              </w:rPr>
            </w:pPr>
          </w:p>
          <w:p w14:paraId="39758774" w14:textId="77777777" w:rsidR="00BC0E7E" w:rsidRPr="00BC0E7E" w:rsidRDefault="00944B8F" w:rsidP="00BC0E7E">
            <w:pPr>
              <w:keepNext/>
              <w:rPr>
                <w:szCs w:val="20"/>
              </w:rPr>
            </w:pPr>
            <w:r w:rsidRPr="00BC0E7E">
              <w:rPr>
                <w:szCs w:val="20"/>
              </w:rPr>
              <w:t xml:space="preserve">Throw away the used pre-filled syringe in a special disposal container as instructed by your doctor, nurse or pharmacist. </w:t>
            </w:r>
            <w:r w:rsidRPr="00BC0E7E">
              <w:rPr>
                <w:b/>
                <w:szCs w:val="20"/>
              </w:rPr>
              <w:t xml:space="preserve">Never </w:t>
            </w:r>
            <w:r w:rsidRPr="00BC0E7E">
              <w:rPr>
                <w:szCs w:val="20"/>
              </w:rPr>
              <w:t>recap a needle.</w:t>
            </w:r>
          </w:p>
          <w:p w14:paraId="6CDA37B1" w14:textId="77777777" w:rsidR="00BC0E7E" w:rsidRPr="00BC0E7E" w:rsidRDefault="00BC0E7E" w:rsidP="00BC0E7E">
            <w:pPr>
              <w:rPr>
                <w:szCs w:val="20"/>
              </w:rPr>
            </w:pPr>
          </w:p>
          <w:p w14:paraId="0A97773E" w14:textId="77777777" w:rsidR="00BC0E7E" w:rsidRPr="00BC0E7E" w:rsidRDefault="00944B8F" w:rsidP="00D51999">
            <w:pPr>
              <w:keepNext/>
              <w:numPr>
                <w:ilvl w:val="0"/>
                <w:numId w:val="71"/>
              </w:numPr>
              <w:tabs>
                <w:tab w:val="clear" w:pos="562"/>
                <w:tab w:val="left" w:pos="720"/>
              </w:tabs>
              <w:rPr>
                <w:szCs w:val="20"/>
              </w:rPr>
            </w:pPr>
            <w:r w:rsidRPr="00BC0E7E">
              <w:rPr>
                <w:b/>
                <w:szCs w:val="20"/>
              </w:rPr>
              <w:t>Do not</w:t>
            </w:r>
            <w:r w:rsidRPr="00BC0E7E">
              <w:rPr>
                <w:szCs w:val="20"/>
              </w:rPr>
              <w:t xml:space="preserve"> recycle or throw the pre-filled syringe in the household waste</w:t>
            </w:r>
          </w:p>
          <w:p w14:paraId="6FC63566" w14:textId="77777777" w:rsidR="00BC0E7E" w:rsidRPr="00BC0E7E" w:rsidRDefault="00944B8F" w:rsidP="00D51999">
            <w:pPr>
              <w:keepNext/>
              <w:numPr>
                <w:ilvl w:val="0"/>
                <w:numId w:val="71"/>
              </w:numPr>
              <w:tabs>
                <w:tab w:val="clear" w:pos="562"/>
                <w:tab w:val="left" w:pos="720"/>
              </w:tabs>
              <w:rPr>
                <w:szCs w:val="20"/>
              </w:rPr>
            </w:pPr>
            <w:r w:rsidRPr="00BC0E7E">
              <w:rPr>
                <w:b/>
                <w:szCs w:val="20"/>
              </w:rPr>
              <w:t>Always</w:t>
            </w:r>
            <w:r w:rsidRPr="00BC0E7E">
              <w:rPr>
                <w:szCs w:val="20"/>
              </w:rPr>
              <w:t xml:space="preserve"> keep the pre-filled syringe and the special disposal container out of the sight and reach of children</w:t>
            </w:r>
          </w:p>
          <w:p w14:paraId="21FB8CE2" w14:textId="77777777" w:rsidR="00BC0E7E" w:rsidRPr="00BC0E7E" w:rsidRDefault="00BC0E7E" w:rsidP="00BC0E7E">
            <w:pPr>
              <w:keepNext/>
              <w:tabs>
                <w:tab w:val="clear" w:pos="562"/>
                <w:tab w:val="left" w:pos="720"/>
              </w:tabs>
              <w:ind w:left="720"/>
              <w:rPr>
                <w:szCs w:val="20"/>
              </w:rPr>
            </w:pPr>
          </w:p>
          <w:p w14:paraId="4A587346" w14:textId="77777777" w:rsidR="00BC0E7E" w:rsidRPr="00BC0E7E" w:rsidRDefault="00944B8F" w:rsidP="00BC0E7E">
            <w:pPr>
              <w:keepNext/>
              <w:rPr>
                <w:szCs w:val="20"/>
              </w:rPr>
            </w:pPr>
            <w:r w:rsidRPr="00BC0E7E">
              <w:rPr>
                <w:szCs w:val="22"/>
              </w:rPr>
              <w:t>The needle cover, alcohol pad, cotton ball or gauze pad, blister and packaging may be put in your household waste.</w:t>
            </w:r>
          </w:p>
        </w:tc>
      </w:tr>
    </w:tbl>
    <w:p w14:paraId="607C49C4" w14:textId="77777777" w:rsidR="00BC0E7E" w:rsidRPr="00BC0E7E" w:rsidRDefault="00BC0E7E" w:rsidP="00BC0E7E">
      <w:pPr>
        <w:tabs>
          <w:tab w:val="clear" w:pos="562"/>
        </w:tabs>
        <w:suppressAutoHyphens w:val="0"/>
        <w:spacing w:after="140" w:line="280" w:lineRule="atLeast"/>
        <w:rPr>
          <w:rFonts w:ascii="Verdana" w:eastAsia="Verdana" w:hAnsi="Verdana"/>
          <w:sz w:val="18"/>
          <w:szCs w:val="18"/>
          <w:lang w:val="x-none" w:eastAsia="x-none"/>
        </w:rPr>
      </w:pPr>
    </w:p>
    <w:p w14:paraId="1B26CEE7" w14:textId="77777777" w:rsidR="00C032AC" w:rsidRDefault="00944B8F">
      <w:pPr>
        <w:tabs>
          <w:tab w:val="clear" w:pos="562"/>
        </w:tabs>
        <w:suppressAutoHyphens w:val="0"/>
        <w:spacing w:after="200" w:line="276" w:lineRule="auto"/>
        <w:rPr>
          <w:szCs w:val="20"/>
        </w:rPr>
      </w:pPr>
      <w:r>
        <w:rPr>
          <w:szCs w:val="20"/>
        </w:rPr>
        <w:br w:type="page"/>
      </w:r>
    </w:p>
    <w:p w14:paraId="3ADC4092" w14:textId="77777777" w:rsidR="00BC0E7E" w:rsidRPr="00BC0E7E" w:rsidRDefault="00944B8F" w:rsidP="00BC0E7E">
      <w:pPr>
        <w:jc w:val="center"/>
        <w:rPr>
          <w:szCs w:val="20"/>
        </w:rPr>
      </w:pPr>
      <w:r w:rsidRPr="00BC0E7E">
        <w:rPr>
          <w:b/>
          <w:szCs w:val="20"/>
        </w:rPr>
        <w:lastRenderedPageBreak/>
        <w:t>Package leaflet: Information for the patient</w:t>
      </w:r>
    </w:p>
    <w:p w14:paraId="2EA5F3E9" w14:textId="77777777" w:rsidR="00BC0E7E" w:rsidRPr="00BC0E7E" w:rsidRDefault="00BC0E7E" w:rsidP="00BC0E7E">
      <w:pPr>
        <w:jc w:val="center"/>
      </w:pPr>
    </w:p>
    <w:p w14:paraId="2F8B0770" w14:textId="77777777" w:rsidR="00BC0E7E" w:rsidRPr="00BC0E7E" w:rsidRDefault="00944B8F" w:rsidP="00BC0E7E">
      <w:pPr>
        <w:numPr>
          <w:ilvl w:val="12"/>
          <w:numId w:val="0"/>
        </w:numPr>
        <w:jc w:val="center"/>
      </w:pPr>
      <w:r w:rsidRPr="00BC0E7E">
        <w:rPr>
          <w:b/>
          <w:bCs/>
        </w:rPr>
        <w:t xml:space="preserve">Humira </w:t>
      </w:r>
      <w:r w:rsidRPr="00BC0E7E">
        <w:rPr>
          <w:b/>
        </w:rPr>
        <w:t>80 mg solution for injection in pre-filled pen</w:t>
      </w:r>
    </w:p>
    <w:p w14:paraId="03A92CB5" w14:textId="77777777" w:rsidR="00BC0E7E" w:rsidRPr="00BC0E7E" w:rsidRDefault="00944B8F" w:rsidP="00BC0E7E">
      <w:pPr>
        <w:jc w:val="center"/>
        <w:rPr>
          <w:b/>
          <w:bCs/>
        </w:rPr>
      </w:pPr>
      <w:r w:rsidRPr="00BC0E7E">
        <w:t>adalimumab</w:t>
      </w:r>
    </w:p>
    <w:p w14:paraId="0C24C724" w14:textId="77777777" w:rsidR="00BC0E7E" w:rsidRPr="00BC0E7E" w:rsidRDefault="00BC0E7E" w:rsidP="00BC0E7E">
      <w:pPr>
        <w:jc w:val="center"/>
      </w:pPr>
    </w:p>
    <w:p w14:paraId="79F86A12" w14:textId="77777777" w:rsidR="00BC0E7E" w:rsidRPr="00BC0E7E" w:rsidRDefault="00944B8F" w:rsidP="00BC0E7E">
      <w:pPr>
        <w:tabs>
          <w:tab w:val="clear" w:pos="562"/>
        </w:tabs>
        <w:ind w:right="-2"/>
      </w:pPr>
      <w:r w:rsidRPr="00BC0E7E">
        <w:rPr>
          <w:b/>
        </w:rPr>
        <w:t>Read all of this leaflet carefully before you start using this medicine because it contains important information for you.</w:t>
      </w:r>
    </w:p>
    <w:p w14:paraId="4A0A2502" w14:textId="77777777" w:rsidR="00BC0E7E" w:rsidRPr="00BC0E7E" w:rsidRDefault="00944B8F" w:rsidP="00BC0E7E">
      <w:pPr>
        <w:numPr>
          <w:ilvl w:val="0"/>
          <w:numId w:val="15"/>
        </w:numPr>
        <w:rPr>
          <w:szCs w:val="20"/>
        </w:rPr>
      </w:pPr>
      <w:r w:rsidRPr="00BC0E7E">
        <w:rPr>
          <w:szCs w:val="20"/>
        </w:rPr>
        <w:t>Keep this leaflet. You may need to read it again.</w:t>
      </w:r>
    </w:p>
    <w:p w14:paraId="023A89EF" w14:textId="77777777" w:rsidR="00BC0E7E" w:rsidRPr="00BC0E7E" w:rsidRDefault="00944B8F" w:rsidP="00BC0E7E">
      <w:pPr>
        <w:numPr>
          <w:ilvl w:val="0"/>
          <w:numId w:val="15"/>
        </w:numPr>
        <w:rPr>
          <w:szCs w:val="20"/>
        </w:rPr>
      </w:pPr>
      <w:r w:rsidRPr="00BC0E7E">
        <w:rPr>
          <w:szCs w:val="20"/>
        </w:rPr>
        <w:t>Your doctor will also give you a</w:t>
      </w:r>
      <w:r w:rsidR="00AE43DC">
        <w:rPr>
          <w:szCs w:val="20"/>
        </w:rPr>
        <w:t xml:space="preserve"> </w:t>
      </w:r>
      <w:r w:rsidR="00BF2AE5" w:rsidRPr="002179FE">
        <w:rPr>
          <w:b/>
        </w:rPr>
        <w:t>Patient Reminder Card</w:t>
      </w:r>
      <w:r w:rsidRPr="00BC0E7E">
        <w:rPr>
          <w:szCs w:val="20"/>
        </w:rPr>
        <w:t xml:space="preserve">, which contains important safety information that you need to be aware of before you begin using Humira and during treatment with Humira. Keep this </w:t>
      </w:r>
      <w:r w:rsidR="00BF2AE5" w:rsidRPr="002179FE">
        <w:rPr>
          <w:b/>
        </w:rPr>
        <w:t>Patient Reminder Card</w:t>
      </w:r>
      <w:r w:rsidRPr="00BC0E7E">
        <w:rPr>
          <w:szCs w:val="20"/>
        </w:rPr>
        <w:t xml:space="preserve"> with you.</w:t>
      </w:r>
    </w:p>
    <w:p w14:paraId="1ACA3EE3" w14:textId="77777777" w:rsidR="00BC0E7E" w:rsidRPr="00BC0E7E" w:rsidRDefault="00944B8F" w:rsidP="00BC0E7E">
      <w:pPr>
        <w:numPr>
          <w:ilvl w:val="0"/>
          <w:numId w:val="15"/>
        </w:numPr>
        <w:rPr>
          <w:szCs w:val="20"/>
        </w:rPr>
      </w:pPr>
      <w:r w:rsidRPr="00BC0E7E">
        <w:rPr>
          <w:szCs w:val="20"/>
        </w:rPr>
        <w:t>If you have any questions, ask your doctor or pharmacist.</w:t>
      </w:r>
    </w:p>
    <w:p w14:paraId="5BDB529F" w14:textId="77777777" w:rsidR="00BC0E7E" w:rsidRPr="00BC0E7E" w:rsidRDefault="00944B8F" w:rsidP="00BC0E7E">
      <w:pPr>
        <w:numPr>
          <w:ilvl w:val="0"/>
          <w:numId w:val="15"/>
        </w:numPr>
        <w:rPr>
          <w:b/>
          <w:szCs w:val="20"/>
        </w:rPr>
      </w:pPr>
      <w:r w:rsidRPr="00BC0E7E">
        <w:rPr>
          <w:szCs w:val="20"/>
        </w:rPr>
        <w:t>This medicine has been prescribed for you only. Do not pass it on to others. It may harm them, even if their signs of illness are the same as yours.</w:t>
      </w:r>
    </w:p>
    <w:p w14:paraId="07FD8B89" w14:textId="77777777" w:rsidR="00BC0E7E" w:rsidRPr="00BC0E7E" w:rsidRDefault="00944B8F" w:rsidP="00BC0E7E">
      <w:pPr>
        <w:numPr>
          <w:ilvl w:val="0"/>
          <w:numId w:val="15"/>
        </w:numPr>
        <w:rPr>
          <w:b/>
          <w:szCs w:val="20"/>
        </w:rPr>
      </w:pPr>
      <w:r w:rsidRPr="00BC0E7E">
        <w:rPr>
          <w:szCs w:val="20"/>
        </w:rPr>
        <w:t>If you get any side effects, talk to your doctor or pharmacist. This includes any possible side effects not listed in this leaflet. See section 4.</w:t>
      </w:r>
    </w:p>
    <w:p w14:paraId="24DEBE38" w14:textId="77777777" w:rsidR="00BC0E7E" w:rsidRPr="00BC0E7E" w:rsidRDefault="00BC0E7E" w:rsidP="00BC0E7E">
      <w:pPr>
        <w:numPr>
          <w:ilvl w:val="12"/>
          <w:numId w:val="0"/>
        </w:numPr>
        <w:ind w:right="-2"/>
      </w:pPr>
    </w:p>
    <w:p w14:paraId="10342DB5" w14:textId="77777777" w:rsidR="00BC0E7E" w:rsidRPr="00BC0E7E" w:rsidRDefault="00944B8F" w:rsidP="00BC0E7E">
      <w:pPr>
        <w:numPr>
          <w:ilvl w:val="12"/>
          <w:numId w:val="0"/>
        </w:numPr>
        <w:tabs>
          <w:tab w:val="clear" w:pos="562"/>
        </w:tabs>
        <w:ind w:right="-2"/>
      </w:pPr>
      <w:r w:rsidRPr="00BC0E7E">
        <w:rPr>
          <w:b/>
        </w:rPr>
        <w:t>What is in this leaflet</w:t>
      </w:r>
      <w:r w:rsidRPr="00BC0E7E">
        <w:t xml:space="preserve"> </w:t>
      </w:r>
    </w:p>
    <w:p w14:paraId="3CCA378B" w14:textId="77777777" w:rsidR="00BC0E7E" w:rsidRPr="00BC0E7E" w:rsidRDefault="00944B8F" w:rsidP="00BC0E7E">
      <w:pPr>
        <w:tabs>
          <w:tab w:val="clear" w:pos="562"/>
        </w:tabs>
        <w:ind w:left="567" w:right="-29" w:hanging="567"/>
      </w:pPr>
      <w:r w:rsidRPr="00BC0E7E">
        <w:t>1.</w:t>
      </w:r>
      <w:r w:rsidRPr="00BC0E7E">
        <w:tab/>
        <w:t>What Humira is and what it is used for</w:t>
      </w:r>
    </w:p>
    <w:p w14:paraId="34C1B194" w14:textId="77777777" w:rsidR="00BC0E7E" w:rsidRPr="00BC0E7E" w:rsidRDefault="00944B8F" w:rsidP="00BC0E7E">
      <w:pPr>
        <w:tabs>
          <w:tab w:val="clear" w:pos="562"/>
        </w:tabs>
        <w:ind w:left="567" w:right="-29" w:hanging="567"/>
      </w:pPr>
      <w:r w:rsidRPr="00BC0E7E">
        <w:t>2.</w:t>
      </w:r>
      <w:r w:rsidRPr="00BC0E7E">
        <w:tab/>
        <w:t>What you need to know before you use Humira</w:t>
      </w:r>
    </w:p>
    <w:p w14:paraId="05C64BB1" w14:textId="77777777" w:rsidR="00BC0E7E" w:rsidRPr="00BC0E7E" w:rsidRDefault="00944B8F" w:rsidP="00BC0E7E">
      <w:pPr>
        <w:tabs>
          <w:tab w:val="clear" w:pos="562"/>
        </w:tabs>
        <w:ind w:left="567" w:right="-29" w:hanging="567"/>
      </w:pPr>
      <w:r w:rsidRPr="00BC0E7E">
        <w:t>3.</w:t>
      </w:r>
      <w:r w:rsidRPr="00BC0E7E">
        <w:tab/>
        <w:t>How to use Humira</w:t>
      </w:r>
    </w:p>
    <w:p w14:paraId="23527F5F" w14:textId="77777777" w:rsidR="00BC0E7E" w:rsidRPr="00BC0E7E" w:rsidRDefault="00944B8F" w:rsidP="00BC0E7E">
      <w:pPr>
        <w:tabs>
          <w:tab w:val="clear" w:pos="562"/>
        </w:tabs>
        <w:ind w:left="567" w:right="-29" w:hanging="567"/>
      </w:pPr>
      <w:r w:rsidRPr="00BC0E7E">
        <w:t>4.</w:t>
      </w:r>
      <w:r w:rsidRPr="00BC0E7E">
        <w:tab/>
        <w:t>Possible side effects</w:t>
      </w:r>
    </w:p>
    <w:p w14:paraId="2EED3096" w14:textId="77777777" w:rsidR="00BC0E7E" w:rsidRPr="00BC0E7E" w:rsidRDefault="00944B8F" w:rsidP="00BC0E7E">
      <w:pPr>
        <w:tabs>
          <w:tab w:val="clear" w:pos="562"/>
        </w:tabs>
        <w:ind w:left="567" w:right="-29" w:hanging="567"/>
      </w:pPr>
      <w:r w:rsidRPr="00BC0E7E">
        <w:t>5</w:t>
      </w:r>
      <w:r w:rsidRPr="00BC0E7E">
        <w:tab/>
        <w:t>How to store Humira</w:t>
      </w:r>
    </w:p>
    <w:p w14:paraId="5C6DB27F" w14:textId="77777777" w:rsidR="00BC0E7E" w:rsidRPr="00BC0E7E" w:rsidRDefault="00944B8F" w:rsidP="00BC0E7E">
      <w:pPr>
        <w:tabs>
          <w:tab w:val="clear" w:pos="562"/>
        </w:tabs>
        <w:ind w:left="567" w:right="-29" w:hanging="567"/>
      </w:pPr>
      <w:r w:rsidRPr="00BC0E7E">
        <w:t>6.</w:t>
      </w:r>
      <w:r w:rsidRPr="00BC0E7E">
        <w:tab/>
        <w:t>Contents of the pack and other information</w:t>
      </w:r>
    </w:p>
    <w:p w14:paraId="7765A154" w14:textId="77777777" w:rsidR="00BC0E7E" w:rsidRPr="00BC0E7E" w:rsidRDefault="00944B8F" w:rsidP="00BC0E7E">
      <w:pPr>
        <w:tabs>
          <w:tab w:val="clear" w:pos="562"/>
        </w:tabs>
        <w:ind w:left="567" w:right="-29" w:hanging="567"/>
      </w:pPr>
      <w:r w:rsidRPr="00BC0E7E">
        <w:t>7.</w:t>
      </w:r>
      <w:r w:rsidRPr="00BC0E7E">
        <w:tab/>
      </w:r>
      <w:r w:rsidR="00CD540F">
        <w:t>Injecting Humira</w:t>
      </w:r>
    </w:p>
    <w:p w14:paraId="10EB02A3" w14:textId="77777777" w:rsidR="00BC0E7E" w:rsidRPr="00BC0E7E" w:rsidRDefault="00BC0E7E" w:rsidP="00BC0E7E">
      <w:pPr>
        <w:tabs>
          <w:tab w:val="clear" w:pos="562"/>
        </w:tabs>
        <w:ind w:left="567" w:right="-29" w:hanging="567"/>
      </w:pPr>
    </w:p>
    <w:p w14:paraId="22D0E914" w14:textId="77777777" w:rsidR="00BC0E7E" w:rsidRPr="00BC0E7E" w:rsidRDefault="00BC0E7E" w:rsidP="00BC0E7E">
      <w:pPr>
        <w:tabs>
          <w:tab w:val="clear" w:pos="562"/>
        </w:tabs>
        <w:ind w:left="567" w:right="-29" w:hanging="567"/>
      </w:pPr>
    </w:p>
    <w:p w14:paraId="438A7124" w14:textId="77777777" w:rsidR="00BC0E7E" w:rsidRPr="00BC0E7E" w:rsidRDefault="00944B8F" w:rsidP="00BC0E7E">
      <w:pPr>
        <w:outlineLvl w:val="0"/>
        <w:rPr>
          <w:rFonts w:ascii="Times New Roman Bold" w:hAnsi="Times New Roman Bold"/>
          <w:b/>
          <w:szCs w:val="20"/>
        </w:rPr>
      </w:pPr>
      <w:r w:rsidRPr="00BC0E7E">
        <w:rPr>
          <w:b/>
          <w:caps/>
          <w:szCs w:val="20"/>
        </w:rPr>
        <w:t>1.</w:t>
      </w:r>
      <w:r w:rsidRPr="00BC0E7E">
        <w:rPr>
          <w:b/>
          <w:caps/>
          <w:szCs w:val="20"/>
        </w:rPr>
        <w:tab/>
        <w:t>W</w:t>
      </w:r>
      <w:r w:rsidRPr="00BC0E7E">
        <w:rPr>
          <w:rFonts w:ascii="Times New Roman Bold" w:hAnsi="Times New Roman Bold"/>
          <w:b/>
          <w:szCs w:val="20"/>
        </w:rPr>
        <w:t>hat Humira is and what it is used for</w:t>
      </w:r>
    </w:p>
    <w:p w14:paraId="312359DB" w14:textId="77777777" w:rsidR="00BC0E7E" w:rsidRPr="00BC0E7E" w:rsidRDefault="00BC0E7E" w:rsidP="00BC0E7E">
      <w:pPr>
        <w:rPr>
          <w:szCs w:val="20"/>
        </w:rPr>
      </w:pPr>
    </w:p>
    <w:p w14:paraId="343AEFFD" w14:textId="77777777" w:rsidR="00BC0E7E" w:rsidRPr="00BC0E7E" w:rsidRDefault="00944B8F" w:rsidP="00BC0E7E">
      <w:r w:rsidRPr="00BC0E7E">
        <w:t>Humira contains the active substance adalimumab.</w:t>
      </w:r>
    </w:p>
    <w:p w14:paraId="5415970C" w14:textId="77777777" w:rsidR="00BC0E7E" w:rsidRPr="00BC0E7E" w:rsidRDefault="00BC0E7E" w:rsidP="00BC0E7E"/>
    <w:p w14:paraId="5B5094E7" w14:textId="77777777" w:rsidR="00BC0E7E" w:rsidRPr="00BC0E7E" w:rsidRDefault="00944B8F" w:rsidP="00BC0E7E">
      <w:r w:rsidRPr="00BC0E7E">
        <w:t>Humira is used to treat</w:t>
      </w:r>
    </w:p>
    <w:p w14:paraId="3D6D5130" w14:textId="77777777" w:rsidR="00B20858" w:rsidRPr="00BC0E7E" w:rsidRDefault="00944B8F" w:rsidP="00D51999">
      <w:pPr>
        <w:numPr>
          <w:ilvl w:val="0"/>
          <w:numId w:val="54"/>
        </w:numPr>
        <w:tabs>
          <w:tab w:val="clear" w:pos="562"/>
          <w:tab w:val="left" w:pos="720"/>
        </w:tabs>
      </w:pPr>
      <w:r w:rsidRPr="00BC0E7E">
        <w:t>Rheumatoid arthritis</w:t>
      </w:r>
    </w:p>
    <w:p w14:paraId="25D06E2A" w14:textId="77777777" w:rsidR="00BC0E7E" w:rsidRPr="00BC0E7E" w:rsidRDefault="00944B8F" w:rsidP="00D51999">
      <w:pPr>
        <w:numPr>
          <w:ilvl w:val="0"/>
          <w:numId w:val="54"/>
        </w:numPr>
        <w:tabs>
          <w:tab w:val="clear" w:pos="562"/>
          <w:tab w:val="left" w:pos="720"/>
        </w:tabs>
      </w:pPr>
      <w:r w:rsidRPr="00BC0E7E">
        <w:t>Plaque psoriasis</w:t>
      </w:r>
    </w:p>
    <w:p w14:paraId="481EFEEC" w14:textId="77777777" w:rsidR="00BC0E7E" w:rsidRPr="00BC0E7E" w:rsidRDefault="00944B8F" w:rsidP="00D51999">
      <w:pPr>
        <w:numPr>
          <w:ilvl w:val="0"/>
          <w:numId w:val="54"/>
        </w:numPr>
        <w:tabs>
          <w:tab w:val="clear" w:pos="562"/>
          <w:tab w:val="left" w:pos="720"/>
        </w:tabs>
      </w:pPr>
      <w:r w:rsidRPr="00BC0E7E">
        <w:t>Hidradenitis suppurativa</w:t>
      </w:r>
    </w:p>
    <w:p w14:paraId="68269061" w14:textId="77777777" w:rsidR="00BC0E7E" w:rsidRPr="00BC0E7E" w:rsidRDefault="00944B8F" w:rsidP="00D51999">
      <w:pPr>
        <w:numPr>
          <w:ilvl w:val="0"/>
          <w:numId w:val="54"/>
        </w:numPr>
        <w:tabs>
          <w:tab w:val="clear" w:pos="562"/>
          <w:tab w:val="left" w:pos="720"/>
        </w:tabs>
      </w:pPr>
      <w:r w:rsidRPr="00BC0E7E">
        <w:t>Crohn’s disease</w:t>
      </w:r>
    </w:p>
    <w:p w14:paraId="2A7DC19D" w14:textId="77777777" w:rsidR="00BC0E7E" w:rsidRPr="00BC0E7E" w:rsidRDefault="00944B8F" w:rsidP="00D51999">
      <w:pPr>
        <w:numPr>
          <w:ilvl w:val="0"/>
          <w:numId w:val="54"/>
        </w:numPr>
        <w:tabs>
          <w:tab w:val="clear" w:pos="562"/>
          <w:tab w:val="left" w:pos="720"/>
        </w:tabs>
      </w:pPr>
      <w:r w:rsidRPr="00BC0E7E">
        <w:t>Ulcerative colitis</w:t>
      </w:r>
    </w:p>
    <w:p w14:paraId="35797ED9" w14:textId="77777777" w:rsidR="00BC0E7E" w:rsidRPr="00BC0E7E" w:rsidRDefault="00944B8F" w:rsidP="00D51999">
      <w:pPr>
        <w:numPr>
          <w:ilvl w:val="0"/>
          <w:numId w:val="54"/>
        </w:numPr>
        <w:tabs>
          <w:tab w:val="clear" w:pos="562"/>
          <w:tab w:val="left" w:pos="720"/>
        </w:tabs>
      </w:pPr>
      <w:r w:rsidRPr="00BC0E7E">
        <w:t>Non-infectious uveitis</w:t>
      </w:r>
    </w:p>
    <w:p w14:paraId="11042A5E" w14:textId="77777777" w:rsidR="00BC0E7E" w:rsidRPr="00BC0E7E" w:rsidRDefault="00BC0E7E" w:rsidP="00BC0E7E">
      <w:pPr>
        <w:tabs>
          <w:tab w:val="clear" w:pos="562"/>
          <w:tab w:val="left" w:pos="720"/>
        </w:tabs>
        <w:ind w:left="720"/>
      </w:pPr>
    </w:p>
    <w:p w14:paraId="67DA2253" w14:textId="77777777" w:rsidR="00A354EF" w:rsidRDefault="00944B8F" w:rsidP="00A354EF">
      <w:pPr>
        <w:keepLines/>
        <w:numPr>
          <w:ilvl w:val="12"/>
          <w:numId w:val="0"/>
        </w:numPr>
        <w:tabs>
          <w:tab w:val="clear" w:pos="562"/>
        </w:tabs>
        <w:ind w:right="-2"/>
        <w:rPr>
          <w:noProof/>
          <w:color w:val="000000"/>
          <w:szCs w:val="22"/>
        </w:rPr>
      </w:pPr>
      <w:r w:rsidRPr="00ED237F">
        <w:rPr>
          <w:noProof/>
          <w:color w:val="000000"/>
          <w:szCs w:val="22"/>
        </w:rPr>
        <w:t>The active ingredient</w:t>
      </w:r>
      <w:r>
        <w:rPr>
          <w:noProof/>
          <w:color w:val="000000"/>
          <w:szCs w:val="22"/>
        </w:rPr>
        <w:t xml:space="preserve"> in Humira</w:t>
      </w:r>
      <w:r w:rsidRPr="00ED237F">
        <w:rPr>
          <w:noProof/>
          <w:color w:val="000000"/>
          <w:szCs w:val="22"/>
        </w:rPr>
        <w:t>, adalimumab, is a</w:t>
      </w:r>
      <w:r>
        <w:rPr>
          <w:noProof/>
          <w:color w:val="000000"/>
          <w:szCs w:val="22"/>
        </w:rPr>
        <w:t xml:space="preserve"> human</w:t>
      </w:r>
      <w:r w:rsidRPr="00ED237F">
        <w:rPr>
          <w:noProof/>
          <w:color w:val="000000"/>
          <w:szCs w:val="22"/>
        </w:rPr>
        <w:t xml:space="preserve"> monoclonal antibody. Monoclonal antibodies are proteins that </w:t>
      </w:r>
      <w:r w:rsidRPr="00A7331B">
        <w:rPr>
          <w:noProof/>
          <w:color w:val="000000"/>
          <w:szCs w:val="22"/>
        </w:rPr>
        <w:t>attach to a specific target</w:t>
      </w:r>
      <w:r w:rsidRPr="00ED237F">
        <w:rPr>
          <w:noProof/>
          <w:color w:val="000000"/>
          <w:szCs w:val="22"/>
        </w:rPr>
        <w:t>.</w:t>
      </w:r>
    </w:p>
    <w:p w14:paraId="3663C39D" w14:textId="77777777" w:rsidR="00A354EF" w:rsidRDefault="00A354EF" w:rsidP="00A354EF">
      <w:pPr>
        <w:keepLines/>
        <w:numPr>
          <w:ilvl w:val="12"/>
          <w:numId w:val="0"/>
        </w:numPr>
        <w:tabs>
          <w:tab w:val="clear" w:pos="562"/>
        </w:tabs>
        <w:ind w:right="-2"/>
        <w:rPr>
          <w:noProof/>
          <w:color w:val="000000"/>
          <w:szCs w:val="22"/>
        </w:rPr>
      </w:pPr>
    </w:p>
    <w:p w14:paraId="2C54225F" w14:textId="77777777" w:rsidR="00A354EF" w:rsidRDefault="00944B8F" w:rsidP="00A354EF">
      <w:pPr>
        <w:rPr>
          <w:noProof/>
          <w:color w:val="000000"/>
          <w:szCs w:val="22"/>
        </w:rPr>
      </w:pPr>
      <w:r>
        <w:rPr>
          <w:noProof/>
          <w:color w:val="000000"/>
          <w:szCs w:val="22"/>
        </w:rPr>
        <w:t>The target of</w:t>
      </w:r>
      <w:r w:rsidRPr="00ED237F">
        <w:rPr>
          <w:noProof/>
          <w:color w:val="000000"/>
          <w:szCs w:val="22"/>
        </w:rPr>
        <w:t xml:space="preserve"> </w:t>
      </w:r>
      <w:r>
        <w:rPr>
          <w:noProof/>
          <w:color w:val="000000"/>
          <w:szCs w:val="22"/>
        </w:rPr>
        <w:t>a</w:t>
      </w:r>
      <w:r w:rsidRPr="00ED237F">
        <w:rPr>
          <w:noProof/>
          <w:color w:val="000000"/>
          <w:szCs w:val="22"/>
        </w:rPr>
        <w:t xml:space="preserve">dalimumab </w:t>
      </w:r>
      <w:r>
        <w:rPr>
          <w:noProof/>
          <w:color w:val="000000"/>
          <w:szCs w:val="22"/>
        </w:rPr>
        <w:t>is a</w:t>
      </w:r>
      <w:r w:rsidRPr="00ED237F">
        <w:rPr>
          <w:noProof/>
          <w:color w:val="000000"/>
          <w:szCs w:val="22"/>
        </w:rPr>
        <w:t xml:space="preserve"> protein </w:t>
      </w:r>
      <w:r>
        <w:rPr>
          <w:noProof/>
          <w:color w:val="000000"/>
          <w:szCs w:val="22"/>
        </w:rPr>
        <w:t xml:space="preserve">called </w:t>
      </w:r>
      <w:r w:rsidRPr="00ED237F">
        <w:rPr>
          <w:noProof/>
          <w:color w:val="000000"/>
          <w:szCs w:val="22"/>
        </w:rPr>
        <w:t xml:space="preserve">tumour necrosis factor </w:t>
      </w:r>
      <w:r>
        <w:rPr>
          <w:noProof/>
          <w:color w:val="000000"/>
          <w:szCs w:val="22"/>
        </w:rPr>
        <w:t>(</w:t>
      </w:r>
      <w:r w:rsidRPr="00ED237F">
        <w:rPr>
          <w:noProof/>
          <w:color w:val="000000"/>
          <w:szCs w:val="22"/>
        </w:rPr>
        <w:t xml:space="preserve">TNFα), which </w:t>
      </w:r>
      <w:r>
        <w:rPr>
          <w:noProof/>
          <w:color w:val="000000"/>
          <w:szCs w:val="22"/>
        </w:rPr>
        <w:t xml:space="preserve">is involved in the immune (defence) system and </w:t>
      </w:r>
      <w:r w:rsidRPr="00ED237F">
        <w:rPr>
          <w:noProof/>
          <w:color w:val="000000"/>
          <w:szCs w:val="22"/>
        </w:rPr>
        <w:t xml:space="preserve">is present at increased levels in </w:t>
      </w:r>
      <w:r>
        <w:rPr>
          <w:noProof/>
          <w:color w:val="000000"/>
          <w:szCs w:val="22"/>
        </w:rPr>
        <w:t xml:space="preserve">the </w:t>
      </w:r>
      <w:r w:rsidRPr="00ED237F">
        <w:rPr>
          <w:noProof/>
          <w:color w:val="000000"/>
          <w:szCs w:val="22"/>
        </w:rPr>
        <w:t xml:space="preserve">inflammatory diseases </w:t>
      </w:r>
      <w:r>
        <w:rPr>
          <w:noProof/>
          <w:color w:val="000000"/>
          <w:szCs w:val="22"/>
        </w:rPr>
        <w:t>listed above</w:t>
      </w:r>
      <w:r w:rsidRPr="00ED237F">
        <w:rPr>
          <w:noProof/>
          <w:color w:val="000000"/>
          <w:szCs w:val="22"/>
        </w:rPr>
        <w:t>.</w:t>
      </w:r>
      <w:r w:rsidRPr="00A7331B">
        <w:rPr>
          <w:noProof/>
          <w:color w:val="000000"/>
          <w:szCs w:val="22"/>
        </w:rPr>
        <w:t xml:space="preserve"> </w:t>
      </w:r>
      <w:r>
        <w:rPr>
          <w:noProof/>
          <w:color w:val="000000"/>
          <w:szCs w:val="22"/>
        </w:rPr>
        <w:t xml:space="preserve">By attaching to </w:t>
      </w:r>
      <w:r w:rsidRPr="00ED237F">
        <w:rPr>
          <w:noProof/>
          <w:color w:val="000000"/>
          <w:szCs w:val="22"/>
        </w:rPr>
        <w:t>TNFα</w:t>
      </w:r>
      <w:r>
        <w:rPr>
          <w:noProof/>
          <w:color w:val="000000"/>
          <w:szCs w:val="22"/>
        </w:rPr>
        <w:t>, Humira decreases the process of inflammation in these diseases.</w:t>
      </w:r>
    </w:p>
    <w:p w14:paraId="32B7632A" w14:textId="77777777" w:rsidR="00BC0E7E" w:rsidRDefault="00BC0E7E" w:rsidP="00BC0E7E"/>
    <w:p w14:paraId="40641521" w14:textId="77777777" w:rsidR="00B20858" w:rsidRPr="00BC0E7E" w:rsidRDefault="00944B8F" w:rsidP="00B20858">
      <w:pPr>
        <w:keepNext/>
        <w:rPr>
          <w:b/>
          <w:szCs w:val="20"/>
        </w:rPr>
      </w:pPr>
      <w:r w:rsidRPr="00BC0E7E">
        <w:rPr>
          <w:b/>
          <w:szCs w:val="20"/>
        </w:rPr>
        <w:t>Rheumatoid arthritis</w:t>
      </w:r>
    </w:p>
    <w:p w14:paraId="5A8B68C8" w14:textId="77777777" w:rsidR="00B20858" w:rsidRPr="00BC0E7E" w:rsidRDefault="00B20858" w:rsidP="00B20858">
      <w:pPr>
        <w:keepNext/>
        <w:rPr>
          <w:szCs w:val="20"/>
        </w:rPr>
      </w:pPr>
    </w:p>
    <w:p w14:paraId="313F99AC" w14:textId="77777777" w:rsidR="00B20858" w:rsidRPr="00BC0E7E" w:rsidRDefault="00944B8F" w:rsidP="00B20858">
      <w:pPr>
        <w:keepNext/>
      </w:pPr>
      <w:r w:rsidRPr="00BC0E7E">
        <w:t>Rheumatoid arthritis is an inflammatory disease of the joints.</w:t>
      </w:r>
    </w:p>
    <w:p w14:paraId="6FF72D3B" w14:textId="77777777" w:rsidR="00B20858" w:rsidRPr="00BC0E7E" w:rsidRDefault="00B20858" w:rsidP="00B20858"/>
    <w:p w14:paraId="788F10CA" w14:textId="77777777" w:rsidR="00B20858" w:rsidRPr="00BC0E7E" w:rsidRDefault="00944B8F" w:rsidP="00B20858">
      <w:r w:rsidRPr="00BC0E7E">
        <w:lastRenderedPageBreak/>
        <w:t>Humira is used to treat moderate to severe rheumatoid arthritis in adults. You may first be given other disease-modifying medicines, such as methotrexate. If you do not respond well enough to these medicines, you will be given Humira.</w:t>
      </w:r>
    </w:p>
    <w:p w14:paraId="23840601" w14:textId="77777777" w:rsidR="00B20858" w:rsidRPr="00BC0E7E" w:rsidRDefault="00B20858" w:rsidP="00B20858"/>
    <w:p w14:paraId="1AE70824" w14:textId="77777777" w:rsidR="00B20858" w:rsidRPr="00BC0E7E" w:rsidRDefault="00944B8F" w:rsidP="00B20858">
      <w:r w:rsidRPr="00BC0E7E">
        <w:t>Humira can also be used to treat severe, active and progressive rheumatoid arthritis without previous methotrexate treatment.</w:t>
      </w:r>
    </w:p>
    <w:p w14:paraId="2C301443" w14:textId="77777777" w:rsidR="00B20858" w:rsidRPr="00BC0E7E" w:rsidRDefault="00B20858" w:rsidP="00B20858"/>
    <w:p w14:paraId="4B86173F" w14:textId="77777777" w:rsidR="00B20858" w:rsidRPr="00BC0E7E" w:rsidRDefault="00944B8F" w:rsidP="00B20858">
      <w:pPr>
        <w:numPr>
          <w:ilvl w:val="12"/>
          <w:numId w:val="0"/>
        </w:numPr>
        <w:ind w:right="-2"/>
      </w:pPr>
      <w:r w:rsidRPr="00BC0E7E">
        <w:t xml:space="preserve">Humira can slow down the damage to the joints caused by the inflammatory disease and can help them move more freely. </w:t>
      </w:r>
    </w:p>
    <w:p w14:paraId="72369B9C" w14:textId="77777777" w:rsidR="00B20858" w:rsidRPr="00BC0E7E" w:rsidRDefault="00B20858" w:rsidP="00B20858">
      <w:pPr>
        <w:numPr>
          <w:ilvl w:val="12"/>
          <w:numId w:val="0"/>
        </w:numPr>
        <w:ind w:right="-2"/>
      </w:pPr>
    </w:p>
    <w:p w14:paraId="33FC93B4" w14:textId="77777777" w:rsidR="00B20858" w:rsidRDefault="00944B8F" w:rsidP="00B20858">
      <w:pPr>
        <w:rPr>
          <w:szCs w:val="20"/>
        </w:rPr>
      </w:pPr>
      <w:r w:rsidRPr="00BC0E7E">
        <w:rPr>
          <w:szCs w:val="20"/>
        </w:rPr>
        <w:t>Your doctor will decide if Humira should be used with methotrexate or alone.</w:t>
      </w:r>
    </w:p>
    <w:p w14:paraId="7BBB26BF" w14:textId="77777777" w:rsidR="00B20858" w:rsidRPr="00BC0E7E" w:rsidRDefault="00B20858" w:rsidP="00B20858"/>
    <w:p w14:paraId="55CA5CBB" w14:textId="77777777" w:rsidR="00BC0E7E" w:rsidRPr="00BC0E7E" w:rsidRDefault="00944B8F" w:rsidP="00BC0E7E">
      <w:pPr>
        <w:tabs>
          <w:tab w:val="clear" w:pos="562"/>
        </w:tabs>
        <w:suppressAutoHyphens w:val="0"/>
        <w:overflowPunct w:val="0"/>
        <w:autoSpaceDE w:val="0"/>
        <w:autoSpaceDN w:val="0"/>
        <w:adjustRightInd w:val="0"/>
        <w:textAlignment w:val="baseline"/>
        <w:rPr>
          <w:bCs/>
          <w:iCs/>
          <w:szCs w:val="20"/>
          <w:u w:val="single"/>
        </w:rPr>
      </w:pPr>
      <w:r w:rsidRPr="00BC0E7E">
        <w:rPr>
          <w:b/>
          <w:bCs/>
          <w:iCs/>
          <w:szCs w:val="20"/>
        </w:rPr>
        <w:t>Plaque psoriasis</w:t>
      </w:r>
      <w:r w:rsidRPr="00BC0E7E">
        <w:rPr>
          <w:bCs/>
          <w:iCs/>
          <w:szCs w:val="20"/>
          <w:u w:val="single"/>
        </w:rPr>
        <w:t xml:space="preserve"> </w:t>
      </w:r>
    </w:p>
    <w:p w14:paraId="4F5448C6" w14:textId="77777777" w:rsidR="00BC0E7E" w:rsidRPr="00BC0E7E" w:rsidRDefault="00BC0E7E" w:rsidP="00BC0E7E">
      <w:pPr>
        <w:rPr>
          <w:szCs w:val="21"/>
        </w:rPr>
      </w:pPr>
    </w:p>
    <w:p w14:paraId="6F78C1C6" w14:textId="77777777" w:rsidR="00BC0E7E" w:rsidRPr="00BC0E7E" w:rsidRDefault="00944B8F" w:rsidP="00BC0E7E">
      <w:pPr>
        <w:numPr>
          <w:ilvl w:val="12"/>
          <w:numId w:val="0"/>
        </w:numPr>
        <w:tabs>
          <w:tab w:val="clear" w:pos="562"/>
        </w:tabs>
        <w:ind w:right="-2"/>
      </w:pPr>
      <w:r w:rsidRPr="00BC0E7E">
        <w:t xml:space="preserve">Plaque psoriasis is a skin condition that causes red, flaky, crusty patches of skin covered with silvery scales. Plaque psoriasis can also affect the nails, causing them to crumble, become thickened and lift away from the nail bed which can be painful.  </w:t>
      </w:r>
    </w:p>
    <w:p w14:paraId="06AEADB6" w14:textId="77777777" w:rsidR="00BC0E7E" w:rsidRPr="00BC0E7E" w:rsidRDefault="00BC0E7E" w:rsidP="00BC0E7E">
      <w:pPr>
        <w:rPr>
          <w:szCs w:val="21"/>
        </w:rPr>
      </w:pPr>
    </w:p>
    <w:p w14:paraId="764ADE6E" w14:textId="77777777" w:rsidR="00BC0E7E" w:rsidRPr="00BC0E7E" w:rsidRDefault="00944B8F" w:rsidP="000244DF">
      <w:pPr>
        <w:rPr>
          <w:szCs w:val="21"/>
        </w:rPr>
      </w:pPr>
      <w:r w:rsidRPr="00BC0E7E">
        <w:rPr>
          <w:szCs w:val="21"/>
        </w:rPr>
        <w:t>Humira is used to treat</w:t>
      </w:r>
      <w:r w:rsidR="005F55C8">
        <w:rPr>
          <w:szCs w:val="21"/>
        </w:rPr>
        <w:t xml:space="preserve"> </w:t>
      </w:r>
      <w:r w:rsidRPr="00BC0E7E">
        <w:rPr>
          <w:szCs w:val="21"/>
        </w:rPr>
        <w:t>moderate to severe chronic plaque psoriasis in adults</w:t>
      </w:r>
      <w:r w:rsidR="005F55C8">
        <w:rPr>
          <w:szCs w:val="21"/>
        </w:rPr>
        <w:t>.</w:t>
      </w:r>
    </w:p>
    <w:p w14:paraId="31440E75" w14:textId="77777777" w:rsidR="00BC0E7E" w:rsidRPr="00BC0E7E" w:rsidRDefault="00BC0E7E" w:rsidP="00BC0E7E">
      <w:pPr>
        <w:ind w:left="58"/>
        <w:rPr>
          <w:szCs w:val="21"/>
        </w:rPr>
      </w:pPr>
    </w:p>
    <w:p w14:paraId="1AEB78F2" w14:textId="77777777" w:rsidR="00BC0E7E" w:rsidRPr="00BC0E7E" w:rsidRDefault="00944B8F" w:rsidP="00BC0E7E">
      <w:pPr>
        <w:keepNext/>
        <w:rPr>
          <w:b/>
          <w:szCs w:val="21"/>
        </w:rPr>
      </w:pPr>
      <w:r w:rsidRPr="00BC0E7E">
        <w:rPr>
          <w:b/>
          <w:szCs w:val="21"/>
        </w:rPr>
        <w:t>Hidradenitis suppurativa</w:t>
      </w:r>
    </w:p>
    <w:p w14:paraId="568B989B" w14:textId="77777777" w:rsidR="00BC0E7E" w:rsidRPr="00BC0E7E" w:rsidRDefault="00BC0E7E" w:rsidP="00BC0E7E">
      <w:pPr>
        <w:keepNext/>
        <w:rPr>
          <w:szCs w:val="21"/>
        </w:rPr>
      </w:pPr>
    </w:p>
    <w:p w14:paraId="446A5118" w14:textId="77777777" w:rsidR="00BC0E7E" w:rsidRPr="00BC0E7E" w:rsidRDefault="00944B8F" w:rsidP="00BC0E7E">
      <w:pPr>
        <w:keepNext/>
        <w:rPr>
          <w:szCs w:val="22"/>
        </w:rPr>
      </w:pPr>
      <w:r w:rsidRPr="00BC0E7E">
        <w:rPr>
          <w:szCs w:val="22"/>
        </w:rPr>
        <w:t>Hidradenitis suppurativa (sometimes called acne inversa) is a chronic and often painful inflammatory skin disease. Symptoms may include tender nodules (lumps) and abscesses (boils) that may leak pus. It most commonly affects specific areas of the skin, such as under the breasts, the armpits, inner thighs, groin and buttocks. Scarring may also occur in affected areas.</w:t>
      </w:r>
    </w:p>
    <w:p w14:paraId="3DB5D6F1" w14:textId="77777777" w:rsidR="00BC0E7E" w:rsidRPr="00BC0E7E" w:rsidRDefault="00BC0E7E" w:rsidP="00BC0E7E">
      <w:pPr>
        <w:keepNext/>
        <w:rPr>
          <w:szCs w:val="22"/>
        </w:rPr>
      </w:pPr>
    </w:p>
    <w:p w14:paraId="0403B17F" w14:textId="77777777" w:rsidR="00BC0E7E" w:rsidRPr="00BC0E7E" w:rsidRDefault="00944B8F" w:rsidP="00BC0E7E">
      <w:pPr>
        <w:rPr>
          <w:szCs w:val="22"/>
        </w:rPr>
      </w:pPr>
      <w:r w:rsidRPr="00BC0E7E">
        <w:rPr>
          <w:szCs w:val="22"/>
        </w:rPr>
        <w:t xml:space="preserve">Humira is used to treat </w:t>
      </w:r>
    </w:p>
    <w:p w14:paraId="1CBD15BA" w14:textId="77777777" w:rsidR="00BC0E7E" w:rsidRPr="00BC0E7E" w:rsidRDefault="00944B8F" w:rsidP="00BC0E7E">
      <w:pPr>
        <w:numPr>
          <w:ilvl w:val="0"/>
          <w:numId w:val="22"/>
        </w:numPr>
        <w:rPr>
          <w:szCs w:val="22"/>
        </w:rPr>
      </w:pPr>
      <w:r w:rsidRPr="00BC0E7E">
        <w:rPr>
          <w:szCs w:val="22"/>
        </w:rPr>
        <w:t>moderate to severe hidradenitis suppurativa in adults and</w:t>
      </w:r>
    </w:p>
    <w:p w14:paraId="1CF74A14" w14:textId="77777777" w:rsidR="00BC0E7E" w:rsidRPr="00BC0E7E" w:rsidRDefault="00944B8F" w:rsidP="00BC0E7E">
      <w:pPr>
        <w:numPr>
          <w:ilvl w:val="0"/>
          <w:numId w:val="22"/>
        </w:numPr>
        <w:rPr>
          <w:szCs w:val="22"/>
        </w:rPr>
      </w:pPr>
      <w:r w:rsidRPr="00BC0E7E">
        <w:rPr>
          <w:szCs w:val="22"/>
        </w:rPr>
        <w:t>moderate to severe hidradenitis suppurativa in adolescents aged 12 to 17 years</w:t>
      </w:r>
      <w:r w:rsidR="00B74112">
        <w:rPr>
          <w:szCs w:val="22"/>
        </w:rPr>
        <w:t>.</w:t>
      </w:r>
      <w:r w:rsidRPr="00BC0E7E">
        <w:rPr>
          <w:szCs w:val="22"/>
        </w:rPr>
        <w:t> </w:t>
      </w:r>
    </w:p>
    <w:p w14:paraId="55E19C02" w14:textId="77777777" w:rsidR="00BC0E7E" w:rsidRPr="00BC0E7E" w:rsidRDefault="00BC0E7E" w:rsidP="00BC0E7E">
      <w:pPr>
        <w:ind w:left="720"/>
        <w:rPr>
          <w:szCs w:val="22"/>
        </w:rPr>
      </w:pPr>
    </w:p>
    <w:p w14:paraId="4B2AE226" w14:textId="77777777" w:rsidR="00BC0E7E" w:rsidRPr="00BC0E7E" w:rsidRDefault="00944B8F" w:rsidP="00BC0E7E">
      <w:pPr>
        <w:rPr>
          <w:szCs w:val="22"/>
        </w:rPr>
      </w:pPr>
      <w:r w:rsidRPr="00BC0E7E">
        <w:rPr>
          <w:szCs w:val="22"/>
        </w:rPr>
        <w:t xml:space="preserve">Humira can reduce the number of nodules and abscesses caused by the disease and the pain that is often associated with the disease. </w:t>
      </w:r>
      <w:r w:rsidRPr="00BC0E7E">
        <w:t>You may first be given other medicines. If you do not respond well enough to these medicines, you will be given Humira.</w:t>
      </w:r>
    </w:p>
    <w:p w14:paraId="4732BB73" w14:textId="77777777" w:rsidR="00BC0E7E" w:rsidRPr="00BC0E7E" w:rsidRDefault="00BC0E7E" w:rsidP="00BC0E7E">
      <w:pPr>
        <w:rPr>
          <w:szCs w:val="20"/>
        </w:rPr>
      </w:pPr>
    </w:p>
    <w:p w14:paraId="004DF6FC" w14:textId="77777777" w:rsidR="00BC0E7E" w:rsidRPr="00BC0E7E" w:rsidRDefault="00944B8F" w:rsidP="00BC0E7E">
      <w:pPr>
        <w:rPr>
          <w:b/>
          <w:szCs w:val="20"/>
        </w:rPr>
      </w:pPr>
      <w:r w:rsidRPr="00BC0E7E">
        <w:rPr>
          <w:b/>
          <w:szCs w:val="20"/>
        </w:rPr>
        <w:t>Crohn’s disease</w:t>
      </w:r>
    </w:p>
    <w:p w14:paraId="4A08CA9B" w14:textId="77777777" w:rsidR="00BC0E7E" w:rsidRPr="00BC0E7E" w:rsidRDefault="00BC0E7E" w:rsidP="00BC0E7E">
      <w:pPr>
        <w:rPr>
          <w:szCs w:val="20"/>
        </w:rPr>
      </w:pPr>
    </w:p>
    <w:p w14:paraId="4E518AD4" w14:textId="77777777" w:rsidR="00BC0E7E" w:rsidRPr="00BC0E7E" w:rsidRDefault="00944B8F" w:rsidP="00BC0E7E">
      <w:pPr>
        <w:rPr>
          <w:szCs w:val="21"/>
        </w:rPr>
      </w:pPr>
      <w:r w:rsidRPr="00BC0E7E">
        <w:rPr>
          <w:szCs w:val="20"/>
        </w:rPr>
        <w:t>Crohn’s disease is an inflammatory disease of the digestive tract.</w:t>
      </w:r>
    </w:p>
    <w:p w14:paraId="2947CC2C" w14:textId="77777777" w:rsidR="00BC0E7E" w:rsidRPr="00BC0E7E" w:rsidRDefault="00BC0E7E" w:rsidP="00BC0E7E">
      <w:pPr>
        <w:rPr>
          <w:szCs w:val="21"/>
        </w:rPr>
      </w:pPr>
    </w:p>
    <w:p w14:paraId="42706FB4" w14:textId="77777777" w:rsidR="00BC0E7E" w:rsidRPr="00BC0E7E" w:rsidRDefault="00944B8F" w:rsidP="00BC0E7E">
      <w:pPr>
        <w:rPr>
          <w:szCs w:val="21"/>
        </w:rPr>
      </w:pPr>
      <w:r w:rsidRPr="00BC0E7E">
        <w:rPr>
          <w:szCs w:val="21"/>
        </w:rPr>
        <w:t>Humira is used to treat</w:t>
      </w:r>
    </w:p>
    <w:p w14:paraId="6E7A1D50" w14:textId="77777777" w:rsidR="00BC0E7E" w:rsidRPr="00852331" w:rsidRDefault="00944B8F" w:rsidP="00D51999">
      <w:pPr>
        <w:numPr>
          <w:ilvl w:val="0"/>
          <w:numId w:val="85"/>
        </w:numPr>
        <w:tabs>
          <w:tab w:val="clear" w:pos="562"/>
          <w:tab w:val="left" w:pos="720"/>
        </w:tabs>
        <w:rPr>
          <w:szCs w:val="21"/>
        </w:rPr>
      </w:pPr>
      <w:r w:rsidRPr="00BC0E7E">
        <w:rPr>
          <w:szCs w:val="21"/>
        </w:rPr>
        <w:t xml:space="preserve">moderate to severe Crohn’s disease in adults and </w:t>
      </w:r>
    </w:p>
    <w:p w14:paraId="5DC3667E" w14:textId="77777777" w:rsidR="00BC0E7E" w:rsidRPr="00852331" w:rsidRDefault="00944B8F" w:rsidP="00D51999">
      <w:pPr>
        <w:numPr>
          <w:ilvl w:val="0"/>
          <w:numId w:val="85"/>
        </w:numPr>
        <w:tabs>
          <w:tab w:val="clear" w:pos="562"/>
          <w:tab w:val="left" w:pos="720"/>
        </w:tabs>
        <w:rPr>
          <w:szCs w:val="21"/>
        </w:rPr>
      </w:pPr>
      <w:r w:rsidRPr="00BC0E7E">
        <w:rPr>
          <w:szCs w:val="21"/>
        </w:rPr>
        <w:t>moderate to severe Crohn’s disease in children and adolescents aged 6 to 17 years</w:t>
      </w:r>
      <w:r w:rsidR="00B74112">
        <w:rPr>
          <w:szCs w:val="21"/>
        </w:rPr>
        <w:t>.</w:t>
      </w:r>
    </w:p>
    <w:p w14:paraId="2C3FE749" w14:textId="77777777" w:rsidR="00BC0E7E" w:rsidRPr="00BC0E7E" w:rsidRDefault="00BC0E7E" w:rsidP="00BC0E7E">
      <w:pPr>
        <w:tabs>
          <w:tab w:val="clear" w:pos="562"/>
          <w:tab w:val="left" w:pos="720"/>
        </w:tabs>
        <w:ind w:left="360"/>
        <w:rPr>
          <w:szCs w:val="21"/>
        </w:rPr>
      </w:pPr>
    </w:p>
    <w:p w14:paraId="2A98AA7F" w14:textId="77777777" w:rsidR="00BC0E7E" w:rsidRPr="00BC0E7E" w:rsidRDefault="00944B8F" w:rsidP="00BC0E7E">
      <w:pPr>
        <w:tabs>
          <w:tab w:val="clear" w:pos="562"/>
          <w:tab w:val="left" w:pos="720"/>
        </w:tabs>
        <w:rPr>
          <w:szCs w:val="20"/>
        </w:rPr>
      </w:pPr>
      <w:r w:rsidRPr="00BC0E7E">
        <w:rPr>
          <w:szCs w:val="20"/>
        </w:rPr>
        <w:t>You may first be given other medicines. If you do not respond well enough to these medicines, you will be given Humira.</w:t>
      </w:r>
    </w:p>
    <w:p w14:paraId="3DD18ED9" w14:textId="77777777" w:rsidR="00BC0E7E" w:rsidRPr="00BC0E7E" w:rsidRDefault="00BC0E7E" w:rsidP="00BC0E7E">
      <w:pPr>
        <w:tabs>
          <w:tab w:val="clear" w:pos="562"/>
          <w:tab w:val="left" w:pos="720"/>
        </w:tabs>
        <w:ind w:left="360"/>
        <w:rPr>
          <w:szCs w:val="21"/>
          <w:u w:val="single"/>
        </w:rPr>
      </w:pPr>
    </w:p>
    <w:p w14:paraId="2B61E3F7" w14:textId="77777777" w:rsidR="00BC0E7E" w:rsidRPr="00BC0E7E" w:rsidRDefault="00944B8F" w:rsidP="00BC0E7E">
      <w:pPr>
        <w:keepNext/>
        <w:rPr>
          <w:b/>
          <w:szCs w:val="21"/>
        </w:rPr>
      </w:pPr>
      <w:r w:rsidRPr="00BC0E7E">
        <w:rPr>
          <w:b/>
          <w:szCs w:val="21"/>
        </w:rPr>
        <w:t>Ulcerative colitis</w:t>
      </w:r>
    </w:p>
    <w:p w14:paraId="657338FE" w14:textId="77777777" w:rsidR="00BC0E7E" w:rsidRPr="00BC0E7E" w:rsidRDefault="00BC0E7E" w:rsidP="00BC0E7E">
      <w:pPr>
        <w:keepNext/>
        <w:rPr>
          <w:szCs w:val="21"/>
        </w:rPr>
      </w:pPr>
    </w:p>
    <w:p w14:paraId="105E664E" w14:textId="77777777" w:rsidR="00BC0E7E" w:rsidRPr="00BC0E7E" w:rsidRDefault="00944B8F" w:rsidP="00BC0E7E">
      <w:pPr>
        <w:rPr>
          <w:szCs w:val="21"/>
        </w:rPr>
      </w:pPr>
      <w:r w:rsidRPr="00BC0E7E">
        <w:rPr>
          <w:szCs w:val="21"/>
        </w:rPr>
        <w:t>Ulcerative colitis is an inflammatory disease of the large intestine.</w:t>
      </w:r>
    </w:p>
    <w:p w14:paraId="108785BF" w14:textId="77777777" w:rsidR="00BC0E7E" w:rsidRPr="00BC0E7E" w:rsidRDefault="00BC0E7E" w:rsidP="00BC0E7E">
      <w:pPr>
        <w:rPr>
          <w:szCs w:val="21"/>
        </w:rPr>
      </w:pPr>
    </w:p>
    <w:p w14:paraId="3A22A7D6" w14:textId="77777777" w:rsidR="006E0760" w:rsidRDefault="00944B8F" w:rsidP="006E0760">
      <w:pPr>
        <w:rPr>
          <w:szCs w:val="21"/>
        </w:rPr>
      </w:pPr>
      <w:r w:rsidRPr="00BC0E7E">
        <w:rPr>
          <w:szCs w:val="21"/>
        </w:rPr>
        <w:t xml:space="preserve">Humira is used to treat </w:t>
      </w:r>
    </w:p>
    <w:p w14:paraId="5E8D801A" w14:textId="77777777" w:rsidR="006E0760" w:rsidRDefault="00944B8F" w:rsidP="006E0760">
      <w:pPr>
        <w:pStyle w:val="ListParagraph"/>
        <w:numPr>
          <w:ilvl w:val="0"/>
          <w:numId w:val="157"/>
        </w:numPr>
        <w:rPr>
          <w:szCs w:val="21"/>
        </w:rPr>
      </w:pPr>
      <w:r>
        <w:t xml:space="preserve">moderate to severe </w:t>
      </w:r>
      <w:r w:rsidRPr="00BC0E7E">
        <w:rPr>
          <w:szCs w:val="21"/>
        </w:rPr>
        <w:t>ulcerative colitis in adults</w:t>
      </w:r>
      <w:r w:rsidR="006B016C">
        <w:rPr>
          <w:szCs w:val="21"/>
        </w:rPr>
        <w:t xml:space="preserve"> and</w:t>
      </w:r>
      <w:r w:rsidRPr="00BC0E7E">
        <w:rPr>
          <w:szCs w:val="21"/>
        </w:rPr>
        <w:t xml:space="preserve"> </w:t>
      </w:r>
    </w:p>
    <w:p w14:paraId="75784A98" w14:textId="77777777" w:rsidR="005F3E57" w:rsidRDefault="00944B8F" w:rsidP="005F3E57">
      <w:pPr>
        <w:pStyle w:val="ListParagraph"/>
        <w:numPr>
          <w:ilvl w:val="0"/>
          <w:numId w:val="157"/>
        </w:numPr>
        <w:rPr>
          <w:szCs w:val="21"/>
        </w:rPr>
      </w:pPr>
      <w:r>
        <w:rPr>
          <w:szCs w:val="21"/>
        </w:rPr>
        <w:t>moderate to severe ulcerative colitis in children and adolescents aged 6 to 17 years</w:t>
      </w:r>
      <w:r w:rsidR="00BC32D5">
        <w:rPr>
          <w:szCs w:val="21"/>
        </w:rPr>
        <w:t>.</w:t>
      </w:r>
    </w:p>
    <w:p w14:paraId="22D2B1AA" w14:textId="77777777" w:rsidR="006E0760" w:rsidRDefault="006E0760" w:rsidP="00BC0E7E">
      <w:pPr>
        <w:rPr>
          <w:szCs w:val="21"/>
        </w:rPr>
      </w:pPr>
    </w:p>
    <w:p w14:paraId="07F697C2" w14:textId="77777777" w:rsidR="00BC0E7E" w:rsidRPr="00BC0E7E" w:rsidRDefault="00944B8F" w:rsidP="00BC0E7E">
      <w:pPr>
        <w:rPr>
          <w:szCs w:val="21"/>
        </w:rPr>
      </w:pPr>
      <w:r w:rsidRPr="00BC0E7E">
        <w:rPr>
          <w:szCs w:val="20"/>
        </w:rPr>
        <w:t>You may first be given other medicines. If you do not respond well enough to these medicines, you will be given Humira.</w:t>
      </w:r>
    </w:p>
    <w:p w14:paraId="1A28AE84" w14:textId="77777777" w:rsidR="00BC0E7E" w:rsidRPr="00BC0E7E" w:rsidRDefault="00BC0E7E" w:rsidP="00BC0E7E">
      <w:pPr>
        <w:rPr>
          <w:szCs w:val="21"/>
        </w:rPr>
      </w:pPr>
    </w:p>
    <w:p w14:paraId="25BBCAE8" w14:textId="77777777" w:rsidR="00BC0E7E" w:rsidRPr="00BC0E7E" w:rsidRDefault="00944B8F" w:rsidP="00BC0E7E">
      <w:pPr>
        <w:rPr>
          <w:b/>
          <w:szCs w:val="20"/>
        </w:rPr>
      </w:pPr>
      <w:r w:rsidRPr="00BC0E7E">
        <w:rPr>
          <w:b/>
          <w:szCs w:val="21"/>
        </w:rPr>
        <w:t>Non-infectious uveitis</w:t>
      </w:r>
    </w:p>
    <w:p w14:paraId="3063EEAA" w14:textId="77777777" w:rsidR="00BC0E7E" w:rsidRPr="00BC0E7E" w:rsidRDefault="00BC0E7E" w:rsidP="00BC0E7E">
      <w:pPr>
        <w:rPr>
          <w:b/>
          <w:i/>
          <w:szCs w:val="20"/>
          <w:u w:val="single"/>
        </w:rPr>
      </w:pPr>
    </w:p>
    <w:p w14:paraId="04C7B512" w14:textId="77777777" w:rsidR="00BC0E7E" w:rsidRPr="00BC0E7E" w:rsidRDefault="00944B8F" w:rsidP="00BC0E7E">
      <w:pPr>
        <w:rPr>
          <w:szCs w:val="20"/>
          <w:lang w:val="x-none"/>
        </w:rPr>
      </w:pPr>
      <w:r w:rsidRPr="00BC0E7E">
        <w:rPr>
          <w:szCs w:val="20"/>
          <w:lang w:val="x-none"/>
        </w:rPr>
        <w:t>Non-infectious uveitis is an inflammatory disease affecting certain parts of the eye.</w:t>
      </w:r>
    </w:p>
    <w:p w14:paraId="7C7A27B0" w14:textId="77777777" w:rsidR="00BC0E7E" w:rsidRPr="00BC0E7E" w:rsidRDefault="00BC0E7E" w:rsidP="00BC0E7E">
      <w:pPr>
        <w:rPr>
          <w:b/>
          <w:szCs w:val="20"/>
          <w:u w:val="single"/>
        </w:rPr>
      </w:pPr>
    </w:p>
    <w:p w14:paraId="755174F5" w14:textId="77777777" w:rsidR="00BC0E7E" w:rsidRPr="00BC0E7E" w:rsidRDefault="00944B8F" w:rsidP="00BC0E7E">
      <w:pPr>
        <w:tabs>
          <w:tab w:val="clear" w:pos="562"/>
        </w:tabs>
        <w:suppressAutoHyphens w:val="0"/>
      </w:pPr>
      <w:r w:rsidRPr="00BC0E7E">
        <w:t xml:space="preserve">Humira is used to treat </w:t>
      </w:r>
    </w:p>
    <w:p w14:paraId="5100DC1B" w14:textId="77777777" w:rsidR="00BC0E7E" w:rsidRPr="00BC0E7E" w:rsidRDefault="00944B8F" w:rsidP="00D51999">
      <w:pPr>
        <w:numPr>
          <w:ilvl w:val="0"/>
          <w:numId w:val="85"/>
        </w:numPr>
        <w:tabs>
          <w:tab w:val="clear" w:pos="562"/>
          <w:tab w:val="left" w:pos="720"/>
        </w:tabs>
        <w:rPr>
          <w:szCs w:val="21"/>
        </w:rPr>
      </w:pPr>
      <w:r w:rsidRPr="00BC0E7E">
        <w:rPr>
          <w:szCs w:val="21"/>
        </w:rPr>
        <w:t xml:space="preserve">adults with non-infectious uveitis with inflammation affecting the back of the eye </w:t>
      </w:r>
    </w:p>
    <w:p w14:paraId="2908D073" w14:textId="77777777" w:rsidR="00BC0E7E" w:rsidRPr="00BC0E7E" w:rsidRDefault="00944B8F" w:rsidP="00D51999">
      <w:pPr>
        <w:numPr>
          <w:ilvl w:val="0"/>
          <w:numId w:val="85"/>
        </w:numPr>
        <w:tabs>
          <w:tab w:val="clear" w:pos="562"/>
          <w:tab w:val="left" w:pos="720"/>
        </w:tabs>
        <w:rPr>
          <w:szCs w:val="21"/>
        </w:rPr>
      </w:pPr>
      <w:r w:rsidRPr="00BC0E7E">
        <w:rPr>
          <w:szCs w:val="21"/>
        </w:rPr>
        <w:t>children with chronic non-infectious uveitis from 2 years of age with inflammation affecting the front of the eye</w:t>
      </w:r>
    </w:p>
    <w:p w14:paraId="5231A10C" w14:textId="77777777" w:rsidR="00BC0E7E" w:rsidRPr="00BC0E7E" w:rsidRDefault="00BC0E7E" w:rsidP="00BC0E7E">
      <w:pPr>
        <w:tabs>
          <w:tab w:val="clear" w:pos="562"/>
        </w:tabs>
        <w:suppressAutoHyphens w:val="0"/>
      </w:pPr>
    </w:p>
    <w:p w14:paraId="54FC17F5" w14:textId="77777777" w:rsidR="00BC0E7E" w:rsidRPr="00BC0E7E" w:rsidRDefault="00944B8F" w:rsidP="00BC0E7E">
      <w:pPr>
        <w:tabs>
          <w:tab w:val="clear" w:pos="562"/>
        </w:tabs>
        <w:suppressAutoHyphens w:val="0"/>
        <w:rPr>
          <w:sz w:val="24"/>
        </w:rPr>
      </w:pPr>
      <w:r w:rsidRPr="00BC0E7E">
        <w:t>This inflammation may lead to a decrease of vision and/or the presence of floaters in the eye (black dots or wispy lines that move across the field of vision). Humira works by reducing this inflammation. You may first be given other medicines. If you do not respond well enough to these medicines, you will be given Humira.</w:t>
      </w:r>
      <w:r w:rsidRPr="00BC0E7E">
        <w:rPr>
          <w:sz w:val="24"/>
        </w:rPr>
        <w:t xml:space="preserve"> </w:t>
      </w:r>
    </w:p>
    <w:p w14:paraId="66300099" w14:textId="77777777" w:rsidR="00BC0E7E" w:rsidRPr="00BC0E7E" w:rsidRDefault="00BC0E7E" w:rsidP="00BC0E7E">
      <w:pPr>
        <w:rPr>
          <w:szCs w:val="20"/>
        </w:rPr>
      </w:pPr>
    </w:p>
    <w:p w14:paraId="5A93CB51" w14:textId="77777777" w:rsidR="00BC0E7E" w:rsidRPr="00BC0E7E" w:rsidRDefault="00BC0E7E" w:rsidP="00BC0E7E">
      <w:pPr>
        <w:rPr>
          <w:szCs w:val="21"/>
        </w:rPr>
      </w:pPr>
    </w:p>
    <w:p w14:paraId="72EBC52E" w14:textId="77777777" w:rsidR="00BC0E7E" w:rsidRPr="00BC0E7E" w:rsidRDefault="00944B8F" w:rsidP="00852331">
      <w:pPr>
        <w:keepNext/>
        <w:outlineLvl w:val="0"/>
        <w:rPr>
          <w:rFonts w:ascii="Times New Roman Bold" w:hAnsi="Times New Roman Bold"/>
          <w:b/>
          <w:szCs w:val="20"/>
        </w:rPr>
      </w:pPr>
      <w:r w:rsidRPr="00BC0E7E">
        <w:rPr>
          <w:b/>
          <w:caps/>
          <w:szCs w:val="20"/>
        </w:rPr>
        <w:t>2.</w:t>
      </w:r>
      <w:r w:rsidRPr="00BC0E7E">
        <w:rPr>
          <w:b/>
          <w:caps/>
          <w:szCs w:val="20"/>
        </w:rPr>
        <w:tab/>
        <w:t>W</w:t>
      </w:r>
      <w:r w:rsidRPr="00BC0E7E">
        <w:rPr>
          <w:rFonts w:ascii="Times New Roman Bold" w:hAnsi="Times New Roman Bold"/>
          <w:b/>
          <w:szCs w:val="20"/>
        </w:rPr>
        <w:t>hat you need to know before you use Humira</w:t>
      </w:r>
    </w:p>
    <w:p w14:paraId="59F85EFC" w14:textId="77777777" w:rsidR="00BC0E7E" w:rsidRPr="00BC0E7E" w:rsidRDefault="00BC0E7E" w:rsidP="00852331">
      <w:pPr>
        <w:keepNext/>
        <w:rPr>
          <w:szCs w:val="20"/>
        </w:rPr>
      </w:pPr>
    </w:p>
    <w:p w14:paraId="2860CB54" w14:textId="77777777" w:rsidR="00BC0E7E" w:rsidRPr="00BC0E7E" w:rsidRDefault="00944B8F" w:rsidP="00852331">
      <w:pPr>
        <w:keepNext/>
        <w:rPr>
          <w:szCs w:val="20"/>
        </w:rPr>
      </w:pPr>
      <w:r w:rsidRPr="00BC0E7E">
        <w:rPr>
          <w:b/>
          <w:bCs/>
          <w:szCs w:val="20"/>
        </w:rPr>
        <w:t>Do not use Humira:</w:t>
      </w:r>
    </w:p>
    <w:p w14:paraId="246530EE" w14:textId="77777777" w:rsidR="00BC0E7E" w:rsidRPr="00BC0E7E" w:rsidRDefault="00BC0E7E" w:rsidP="00852331">
      <w:pPr>
        <w:keepNext/>
        <w:rPr>
          <w:szCs w:val="20"/>
        </w:rPr>
      </w:pPr>
    </w:p>
    <w:p w14:paraId="5912E503" w14:textId="77777777" w:rsidR="00BC0E7E" w:rsidRPr="00BC0E7E" w:rsidRDefault="00944B8F" w:rsidP="00D51999">
      <w:pPr>
        <w:keepNext/>
        <w:numPr>
          <w:ilvl w:val="0"/>
          <w:numId w:val="56"/>
        </w:numPr>
        <w:tabs>
          <w:tab w:val="clear" w:pos="562"/>
          <w:tab w:val="left" w:pos="720"/>
        </w:tabs>
        <w:rPr>
          <w:szCs w:val="20"/>
        </w:rPr>
      </w:pPr>
      <w:r w:rsidRPr="00BC0E7E">
        <w:rPr>
          <w:szCs w:val="20"/>
        </w:rPr>
        <w:t xml:space="preserve">If you are allergic to adalimumab or any of the other ingredients of this medicine (listed in section 6). </w:t>
      </w:r>
    </w:p>
    <w:p w14:paraId="44E89A07" w14:textId="77777777" w:rsidR="00BC0E7E" w:rsidRPr="00BC0E7E" w:rsidRDefault="00BC0E7E" w:rsidP="00852331">
      <w:pPr>
        <w:keepNext/>
        <w:rPr>
          <w:szCs w:val="20"/>
        </w:rPr>
      </w:pPr>
    </w:p>
    <w:p w14:paraId="2A69D4A3" w14:textId="77777777" w:rsidR="00BC0E7E" w:rsidRPr="00BC0E7E" w:rsidRDefault="00944B8F" w:rsidP="00D51999">
      <w:pPr>
        <w:keepNext/>
        <w:numPr>
          <w:ilvl w:val="0"/>
          <w:numId w:val="56"/>
        </w:numPr>
        <w:tabs>
          <w:tab w:val="clear" w:pos="562"/>
          <w:tab w:val="left" w:pos="720"/>
        </w:tabs>
        <w:rPr>
          <w:szCs w:val="20"/>
        </w:rPr>
      </w:pPr>
      <w:r w:rsidRPr="00BC0E7E">
        <w:rPr>
          <w:szCs w:val="20"/>
        </w:rPr>
        <w:t>If you have active tuberculosis or other severe infections (see “Warnings and precautions”). It is important that you tell your doctor if you have symptoms of infections, for example, fever, wounds, feeling tired, dental problems.</w:t>
      </w:r>
    </w:p>
    <w:p w14:paraId="390F3FBE" w14:textId="77777777" w:rsidR="00BC0E7E" w:rsidRPr="00BC0E7E" w:rsidRDefault="00BC0E7E" w:rsidP="00852331">
      <w:pPr>
        <w:keepNext/>
        <w:rPr>
          <w:szCs w:val="20"/>
        </w:rPr>
      </w:pPr>
    </w:p>
    <w:p w14:paraId="190D1D4A" w14:textId="77777777" w:rsidR="00BC0E7E" w:rsidRPr="00BC0E7E" w:rsidRDefault="00944B8F" w:rsidP="00D51999">
      <w:pPr>
        <w:keepNext/>
        <w:numPr>
          <w:ilvl w:val="0"/>
          <w:numId w:val="56"/>
        </w:numPr>
        <w:tabs>
          <w:tab w:val="clear" w:pos="562"/>
          <w:tab w:val="left" w:pos="720"/>
        </w:tabs>
        <w:rPr>
          <w:szCs w:val="20"/>
        </w:rPr>
      </w:pPr>
      <w:r w:rsidRPr="00BC0E7E">
        <w:rPr>
          <w:szCs w:val="20"/>
        </w:rPr>
        <w:t>If you have moderate or severe heart failure. It is important to tell your doctor if you have had or have a serious heart condition (see “Warnings and precautions”).</w:t>
      </w:r>
    </w:p>
    <w:p w14:paraId="27295B61" w14:textId="77777777" w:rsidR="00BC0E7E" w:rsidRPr="00BC0E7E" w:rsidRDefault="00BC0E7E" w:rsidP="00BC0E7E">
      <w:pPr>
        <w:keepNext/>
        <w:rPr>
          <w:szCs w:val="20"/>
        </w:rPr>
      </w:pPr>
    </w:p>
    <w:p w14:paraId="78A35441" w14:textId="77777777" w:rsidR="00BC0E7E" w:rsidRPr="00BC0E7E" w:rsidRDefault="00944B8F" w:rsidP="00BC0E7E">
      <w:pPr>
        <w:keepNext/>
        <w:rPr>
          <w:b/>
          <w:bCs/>
          <w:szCs w:val="20"/>
        </w:rPr>
      </w:pPr>
      <w:r w:rsidRPr="00BC0E7E">
        <w:rPr>
          <w:b/>
          <w:bCs/>
          <w:szCs w:val="20"/>
        </w:rPr>
        <w:t>Warnings and precautions</w:t>
      </w:r>
    </w:p>
    <w:p w14:paraId="2CE42E69" w14:textId="77777777" w:rsidR="00BC0E7E" w:rsidRPr="00BC0E7E" w:rsidRDefault="00BC0E7E" w:rsidP="00BC0E7E">
      <w:pPr>
        <w:keepNext/>
        <w:rPr>
          <w:b/>
          <w:bCs/>
          <w:szCs w:val="20"/>
        </w:rPr>
      </w:pPr>
    </w:p>
    <w:p w14:paraId="48D54218" w14:textId="77777777" w:rsidR="00BC0E7E" w:rsidRPr="00BC0E7E" w:rsidRDefault="00944B8F" w:rsidP="00BC0E7E">
      <w:pPr>
        <w:keepNext/>
        <w:rPr>
          <w:szCs w:val="20"/>
        </w:rPr>
      </w:pPr>
      <w:r w:rsidRPr="00BC0E7E">
        <w:rPr>
          <w:szCs w:val="20"/>
        </w:rPr>
        <w:t>Talk to your doctor or pharmacist before using Humira.</w:t>
      </w:r>
    </w:p>
    <w:p w14:paraId="3855654A" w14:textId="77777777" w:rsidR="00BC0E7E" w:rsidRPr="00BC0E7E" w:rsidRDefault="00BC0E7E" w:rsidP="00BC0E7E">
      <w:pPr>
        <w:rPr>
          <w:szCs w:val="20"/>
        </w:rPr>
      </w:pPr>
    </w:p>
    <w:p w14:paraId="3F1BA82B" w14:textId="77777777" w:rsidR="00BC0E7E" w:rsidRPr="00BC0E7E" w:rsidRDefault="00944B8F" w:rsidP="00BC0E7E">
      <w:pPr>
        <w:tabs>
          <w:tab w:val="clear" w:pos="562"/>
          <w:tab w:val="left" w:pos="0"/>
        </w:tabs>
        <w:rPr>
          <w:szCs w:val="20"/>
          <w:u w:val="single"/>
        </w:rPr>
      </w:pPr>
      <w:r w:rsidRPr="00BC0E7E">
        <w:rPr>
          <w:szCs w:val="20"/>
          <w:u w:val="single"/>
        </w:rPr>
        <w:t>Allergic reactions</w:t>
      </w:r>
    </w:p>
    <w:p w14:paraId="230F3CC2" w14:textId="77777777" w:rsidR="00BC0E7E" w:rsidRPr="00BC0E7E" w:rsidRDefault="00BC0E7E" w:rsidP="00BC0E7E">
      <w:pPr>
        <w:tabs>
          <w:tab w:val="clear" w:pos="562"/>
          <w:tab w:val="left" w:pos="0"/>
        </w:tabs>
        <w:rPr>
          <w:szCs w:val="20"/>
          <w:u w:val="single"/>
        </w:rPr>
      </w:pPr>
    </w:p>
    <w:p w14:paraId="1A9AAEBA" w14:textId="77777777" w:rsidR="00BC0E7E" w:rsidRPr="00BC0E7E" w:rsidRDefault="00944B8F" w:rsidP="00D51999">
      <w:pPr>
        <w:numPr>
          <w:ilvl w:val="0"/>
          <w:numId w:val="56"/>
        </w:numPr>
        <w:tabs>
          <w:tab w:val="clear" w:pos="562"/>
        </w:tabs>
        <w:rPr>
          <w:szCs w:val="20"/>
        </w:rPr>
      </w:pPr>
      <w:r w:rsidRPr="00BC0E7E">
        <w:rPr>
          <w:szCs w:val="20"/>
        </w:rPr>
        <w:t>If you get allergic reactions with symptoms such as chest tightness, wheezing, dizziness, swelling or rash do not inject more Humira and contact your doctor immediately since, in rare cases, these reactions can be life threatening.</w:t>
      </w:r>
    </w:p>
    <w:p w14:paraId="3B2DDDA7" w14:textId="77777777" w:rsidR="00BC0E7E" w:rsidRPr="00BC0E7E" w:rsidRDefault="00BC0E7E" w:rsidP="00BC0E7E">
      <w:pPr>
        <w:rPr>
          <w:szCs w:val="20"/>
        </w:rPr>
      </w:pPr>
    </w:p>
    <w:p w14:paraId="699D1F77" w14:textId="77777777" w:rsidR="00BC0E7E" w:rsidRPr="00BC0E7E" w:rsidRDefault="00944B8F" w:rsidP="00BC0E7E">
      <w:pPr>
        <w:tabs>
          <w:tab w:val="clear" w:pos="562"/>
          <w:tab w:val="num" w:pos="0"/>
        </w:tabs>
        <w:rPr>
          <w:szCs w:val="20"/>
          <w:u w:val="single"/>
        </w:rPr>
      </w:pPr>
      <w:r w:rsidRPr="00BC0E7E">
        <w:rPr>
          <w:szCs w:val="20"/>
          <w:u w:val="single"/>
        </w:rPr>
        <w:t>Infections</w:t>
      </w:r>
    </w:p>
    <w:p w14:paraId="4BCD033A" w14:textId="77777777" w:rsidR="00BC0E7E" w:rsidRPr="00BC0E7E" w:rsidRDefault="00BC0E7E" w:rsidP="00BC0E7E">
      <w:pPr>
        <w:rPr>
          <w:szCs w:val="20"/>
        </w:rPr>
      </w:pPr>
    </w:p>
    <w:p w14:paraId="1301B099" w14:textId="77777777" w:rsidR="00BC0E7E" w:rsidRPr="00BC0E7E" w:rsidRDefault="00944B8F" w:rsidP="00D51999">
      <w:pPr>
        <w:numPr>
          <w:ilvl w:val="0"/>
          <w:numId w:val="56"/>
        </w:numPr>
        <w:tabs>
          <w:tab w:val="clear" w:pos="562"/>
        </w:tabs>
        <w:rPr>
          <w:szCs w:val="20"/>
        </w:rPr>
      </w:pPr>
      <w:r w:rsidRPr="00BC0E7E">
        <w:rPr>
          <w:szCs w:val="20"/>
        </w:rPr>
        <w:t xml:space="preserve">If you have an infection, including long-term infection or an infection in one part of the body (for example, leg ulcer) consult your doctor before starting Humira. If you are unsure, contact your doctor. </w:t>
      </w:r>
    </w:p>
    <w:p w14:paraId="42E09FF8" w14:textId="77777777" w:rsidR="00BC0E7E" w:rsidRPr="00BC0E7E" w:rsidRDefault="00BC0E7E" w:rsidP="00BC0E7E">
      <w:pPr>
        <w:rPr>
          <w:szCs w:val="20"/>
        </w:rPr>
      </w:pPr>
    </w:p>
    <w:p w14:paraId="3E65C463" w14:textId="77777777" w:rsidR="00BC0E7E" w:rsidRPr="00BC0E7E" w:rsidRDefault="00944B8F" w:rsidP="00D51999">
      <w:pPr>
        <w:numPr>
          <w:ilvl w:val="0"/>
          <w:numId w:val="56"/>
        </w:numPr>
        <w:tabs>
          <w:tab w:val="clear" w:pos="562"/>
        </w:tabs>
        <w:rPr>
          <w:szCs w:val="20"/>
        </w:rPr>
      </w:pPr>
      <w:r w:rsidRPr="00BC0E7E">
        <w:rPr>
          <w:szCs w:val="20"/>
        </w:rPr>
        <w:t xml:space="preserve">You might get infections more easily while you are receiving Humira treatment. This risk may increase if you have problems with your lungs. These infections may be serious and include: </w:t>
      </w:r>
    </w:p>
    <w:p w14:paraId="612BD4E4" w14:textId="77777777" w:rsidR="00BC0E7E" w:rsidRPr="00BC0E7E" w:rsidRDefault="00944B8F" w:rsidP="00D51999">
      <w:pPr>
        <w:numPr>
          <w:ilvl w:val="1"/>
          <w:numId w:val="52"/>
        </w:numPr>
        <w:tabs>
          <w:tab w:val="clear" w:pos="562"/>
        </w:tabs>
        <w:rPr>
          <w:szCs w:val="20"/>
        </w:rPr>
      </w:pPr>
      <w:r w:rsidRPr="00BC0E7E">
        <w:rPr>
          <w:szCs w:val="20"/>
        </w:rPr>
        <w:t>tuberculosis</w:t>
      </w:r>
    </w:p>
    <w:p w14:paraId="6993213E" w14:textId="77777777" w:rsidR="00BC0E7E" w:rsidRPr="00BC0E7E" w:rsidRDefault="00944B8F" w:rsidP="00D51999">
      <w:pPr>
        <w:numPr>
          <w:ilvl w:val="1"/>
          <w:numId w:val="52"/>
        </w:numPr>
        <w:tabs>
          <w:tab w:val="clear" w:pos="562"/>
        </w:tabs>
        <w:rPr>
          <w:szCs w:val="20"/>
        </w:rPr>
      </w:pPr>
      <w:r w:rsidRPr="00BC0E7E">
        <w:rPr>
          <w:szCs w:val="20"/>
        </w:rPr>
        <w:lastRenderedPageBreak/>
        <w:t>infections caused by viruses, fungi, parasites or bacteria</w:t>
      </w:r>
    </w:p>
    <w:p w14:paraId="4C6F2F60" w14:textId="77777777" w:rsidR="00BC0E7E" w:rsidRPr="00BC0E7E" w:rsidRDefault="00944B8F" w:rsidP="00D51999">
      <w:pPr>
        <w:numPr>
          <w:ilvl w:val="1"/>
          <w:numId w:val="52"/>
        </w:numPr>
        <w:tabs>
          <w:tab w:val="clear" w:pos="562"/>
        </w:tabs>
        <w:rPr>
          <w:szCs w:val="20"/>
        </w:rPr>
      </w:pPr>
      <w:r w:rsidRPr="00BC0E7E">
        <w:rPr>
          <w:szCs w:val="20"/>
        </w:rPr>
        <w:t>severe infection in the blood (sepsis)</w:t>
      </w:r>
    </w:p>
    <w:p w14:paraId="60794645" w14:textId="77777777" w:rsidR="00BC0E7E" w:rsidRPr="00BC0E7E" w:rsidRDefault="00BC0E7E" w:rsidP="00BC0E7E">
      <w:pPr>
        <w:rPr>
          <w:szCs w:val="20"/>
        </w:rPr>
      </w:pPr>
    </w:p>
    <w:p w14:paraId="2789C173" w14:textId="77777777" w:rsidR="00BC0E7E" w:rsidRPr="00BC0E7E" w:rsidRDefault="00944B8F" w:rsidP="00BC0E7E">
      <w:pPr>
        <w:tabs>
          <w:tab w:val="clear" w:pos="562"/>
          <w:tab w:val="left" w:pos="720"/>
        </w:tabs>
        <w:ind w:left="720"/>
        <w:rPr>
          <w:szCs w:val="20"/>
        </w:rPr>
      </w:pPr>
      <w:r w:rsidRPr="00BC0E7E">
        <w:rPr>
          <w:szCs w:val="20"/>
        </w:rPr>
        <w:t>In rare cases, these infections can be life-threatening. It is important to tell your doctor if you get symptoms such as fever, wounds, feeling tired or dental problems. Your doctor may tell you to stop using Humira for some time.</w:t>
      </w:r>
    </w:p>
    <w:p w14:paraId="6ACF2055" w14:textId="77777777" w:rsidR="00BC0E7E" w:rsidRPr="00BC0E7E" w:rsidRDefault="00BC0E7E" w:rsidP="00BC0E7E">
      <w:pPr>
        <w:tabs>
          <w:tab w:val="clear" w:pos="562"/>
          <w:tab w:val="left" w:pos="720"/>
        </w:tabs>
        <w:ind w:left="720"/>
        <w:rPr>
          <w:szCs w:val="20"/>
        </w:rPr>
      </w:pPr>
    </w:p>
    <w:p w14:paraId="271848A1" w14:textId="77777777" w:rsidR="00BC0E7E" w:rsidRPr="00BC0E7E" w:rsidRDefault="00944B8F" w:rsidP="00D51999">
      <w:pPr>
        <w:numPr>
          <w:ilvl w:val="0"/>
          <w:numId w:val="56"/>
        </w:numPr>
        <w:tabs>
          <w:tab w:val="clear" w:pos="562"/>
        </w:tabs>
        <w:rPr>
          <w:szCs w:val="20"/>
        </w:rPr>
      </w:pPr>
      <w:r w:rsidRPr="00BC0E7E">
        <w:rPr>
          <w:szCs w:val="20"/>
        </w:rPr>
        <w:t xml:space="preserve">Tell your doctor if you live or travel in regions where </w:t>
      </w:r>
      <w:r w:rsidRPr="00BC0E7E">
        <w:rPr>
          <w:szCs w:val="20"/>
          <w:u w:color="0000FF"/>
        </w:rPr>
        <w:t>fungal infections</w:t>
      </w:r>
      <w:r w:rsidRPr="00BC0E7E">
        <w:rPr>
          <w:szCs w:val="20"/>
        </w:rPr>
        <w:t xml:space="preserve"> (for example, histoplasmosis, coccidioidomycosis or blastomycosis) are very common.</w:t>
      </w:r>
    </w:p>
    <w:p w14:paraId="69A703C1" w14:textId="77777777" w:rsidR="00BC0E7E" w:rsidRPr="00BC0E7E" w:rsidRDefault="00BC0E7E" w:rsidP="00BC0E7E">
      <w:pPr>
        <w:rPr>
          <w:szCs w:val="20"/>
        </w:rPr>
      </w:pPr>
    </w:p>
    <w:p w14:paraId="4747F6F4" w14:textId="77777777" w:rsidR="00BC0E7E" w:rsidRPr="00BC0E7E" w:rsidRDefault="00944B8F" w:rsidP="00D51999">
      <w:pPr>
        <w:numPr>
          <w:ilvl w:val="0"/>
          <w:numId w:val="56"/>
        </w:numPr>
        <w:tabs>
          <w:tab w:val="clear" w:pos="562"/>
        </w:tabs>
        <w:rPr>
          <w:szCs w:val="20"/>
        </w:rPr>
      </w:pPr>
      <w:r w:rsidRPr="00BC0E7E">
        <w:rPr>
          <w:szCs w:val="20"/>
        </w:rPr>
        <w:t>Tell your doctor if you have had infections which keep coming back or other conditions that increase the risk of infections.</w:t>
      </w:r>
    </w:p>
    <w:p w14:paraId="2ED9C170" w14:textId="77777777" w:rsidR="00BC0E7E" w:rsidRPr="00BC0E7E" w:rsidRDefault="00BC0E7E" w:rsidP="00BC0E7E">
      <w:pPr>
        <w:rPr>
          <w:szCs w:val="20"/>
        </w:rPr>
      </w:pPr>
    </w:p>
    <w:p w14:paraId="72DEB482" w14:textId="77777777" w:rsidR="00BC0E7E" w:rsidRPr="00BC0E7E" w:rsidRDefault="00944B8F" w:rsidP="00D51999">
      <w:pPr>
        <w:keepNext/>
        <w:numPr>
          <w:ilvl w:val="0"/>
          <w:numId w:val="56"/>
        </w:numPr>
        <w:tabs>
          <w:tab w:val="clear" w:pos="562"/>
        </w:tabs>
        <w:rPr>
          <w:szCs w:val="20"/>
        </w:rPr>
      </w:pPr>
      <w:r w:rsidRPr="00BC0E7E">
        <w:rPr>
          <w:szCs w:val="20"/>
        </w:rPr>
        <w:t>If you are over 65 years you may be more likely to get infections while taking Humira. You and your doctor should pay special attention to signs of infection while you are being treated with Humira. It is important to tell your doctor if you get symptoms of infections, such as fever, wounds, feeling tired or dental problems.</w:t>
      </w:r>
    </w:p>
    <w:p w14:paraId="64BFE2B9" w14:textId="77777777" w:rsidR="00BC0E7E" w:rsidRPr="00BC0E7E" w:rsidRDefault="00BC0E7E" w:rsidP="00BC0E7E">
      <w:pPr>
        <w:rPr>
          <w:szCs w:val="20"/>
        </w:rPr>
      </w:pPr>
    </w:p>
    <w:p w14:paraId="3069CB05" w14:textId="77777777" w:rsidR="00BC0E7E" w:rsidRPr="00BC0E7E" w:rsidRDefault="00944B8F" w:rsidP="00852331">
      <w:pPr>
        <w:keepNext/>
        <w:tabs>
          <w:tab w:val="clear" w:pos="562"/>
          <w:tab w:val="left" w:pos="0"/>
        </w:tabs>
        <w:rPr>
          <w:szCs w:val="20"/>
          <w:u w:val="single"/>
        </w:rPr>
      </w:pPr>
      <w:r w:rsidRPr="00BC0E7E">
        <w:rPr>
          <w:szCs w:val="20"/>
          <w:u w:val="single"/>
        </w:rPr>
        <w:t>Tuberculosis</w:t>
      </w:r>
    </w:p>
    <w:p w14:paraId="659E434D" w14:textId="77777777" w:rsidR="00BC0E7E" w:rsidRPr="00BC0E7E" w:rsidRDefault="00BC0E7E" w:rsidP="00852331">
      <w:pPr>
        <w:keepNext/>
        <w:rPr>
          <w:szCs w:val="20"/>
        </w:rPr>
      </w:pPr>
    </w:p>
    <w:p w14:paraId="0388BB91" w14:textId="77777777" w:rsidR="00BC0E7E" w:rsidRPr="00BC0E7E" w:rsidRDefault="00944B8F" w:rsidP="00D51999">
      <w:pPr>
        <w:keepNext/>
        <w:numPr>
          <w:ilvl w:val="0"/>
          <w:numId w:val="56"/>
        </w:numPr>
        <w:tabs>
          <w:tab w:val="clear" w:pos="562"/>
        </w:tabs>
        <w:rPr>
          <w:szCs w:val="20"/>
        </w:rPr>
      </w:pPr>
      <w:r w:rsidRPr="00BC0E7E">
        <w:rPr>
          <w:szCs w:val="20"/>
        </w:rPr>
        <w:t>It is very important that you tell your doctor if you have ever had tuberculosis, or if you have been in close contact with someone who has had tuberculosis. If you have active tuberculosis, do not use Humira.</w:t>
      </w:r>
    </w:p>
    <w:p w14:paraId="2F904DF1" w14:textId="77777777" w:rsidR="00BC0E7E" w:rsidRPr="00BC0E7E" w:rsidRDefault="00BC0E7E" w:rsidP="00852331">
      <w:pPr>
        <w:keepNext/>
        <w:rPr>
          <w:szCs w:val="20"/>
        </w:rPr>
      </w:pPr>
    </w:p>
    <w:p w14:paraId="4E0AED18" w14:textId="77777777" w:rsidR="00BC0E7E" w:rsidRPr="00BC0E7E" w:rsidRDefault="00944B8F" w:rsidP="00D51999">
      <w:pPr>
        <w:numPr>
          <w:ilvl w:val="1"/>
          <w:numId w:val="52"/>
        </w:numPr>
        <w:tabs>
          <w:tab w:val="clear" w:pos="562"/>
        </w:tabs>
        <w:rPr>
          <w:szCs w:val="20"/>
        </w:rPr>
      </w:pPr>
      <w:r w:rsidRPr="00BC0E7E">
        <w:rPr>
          <w:szCs w:val="20"/>
        </w:rPr>
        <w:t>As cases of tuberculosis have been reported in patients treated with Humira, your doctor will check you for signs and symptoms of tuberculosis before starting Humira. This will include a thorough medical evaluation including your medical history and appropriate screening tests (for example, chest X-ray and a tuberculin test). The conduct and results of these tests should be recorded on your</w:t>
      </w:r>
      <w:r w:rsidR="00AE43DC">
        <w:rPr>
          <w:szCs w:val="20"/>
        </w:rPr>
        <w:t xml:space="preserve"> </w:t>
      </w:r>
      <w:r w:rsidR="00BF2AE5" w:rsidRPr="002179FE">
        <w:rPr>
          <w:b/>
        </w:rPr>
        <w:t>Patient Reminder Card</w:t>
      </w:r>
      <w:r w:rsidRPr="00BC0E7E">
        <w:rPr>
          <w:szCs w:val="20"/>
        </w:rPr>
        <w:t xml:space="preserve">. </w:t>
      </w:r>
    </w:p>
    <w:p w14:paraId="143683B1" w14:textId="77777777" w:rsidR="00BC0E7E" w:rsidRPr="00BC0E7E" w:rsidRDefault="00944B8F" w:rsidP="00D51999">
      <w:pPr>
        <w:numPr>
          <w:ilvl w:val="1"/>
          <w:numId w:val="52"/>
        </w:numPr>
        <w:tabs>
          <w:tab w:val="clear" w:pos="562"/>
        </w:tabs>
        <w:rPr>
          <w:szCs w:val="20"/>
        </w:rPr>
      </w:pPr>
      <w:r w:rsidRPr="00BC0E7E">
        <w:rPr>
          <w:szCs w:val="20"/>
        </w:rPr>
        <w:t xml:space="preserve">Tuberculosis can develop during therapy even if you have received treatment for the prevention of tuberculosis. </w:t>
      </w:r>
    </w:p>
    <w:p w14:paraId="0A66EC34" w14:textId="77777777" w:rsidR="00BC0E7E" w:rsidRPr="00BC0E7E" w:rsidRDefault="00944B8F" w:rsidP="00D51999">
      <w:pPr>
        <w:numPr>
          <w:ilvl w:val="1"/>
          <w:numId w:val="52"/>
        </w:numPr>
        <w:rPr>
          <w:szCs w:val="20"/>
        </w:rPr>
      </w:pPr>
      <w:r w:rsidRPr="00BC0E7E">
        <w:rPr>
          <w:szCs w:val="20"/>
        </w:rPr>
        <w:t>If symptoms of tuberculosis (for example, cough that does not go away, weight loss, lack of energy, mild fever), or any other infection appear during or after therapy tell your doctor immediately.</w:t>
      </w:r>
    </w:p>
    <w:p w14:paraId="298044A2" w14:textId="77777777" w:rsidR="00BC0E7E" w:rsidRPr="00BC0E7E" w:rsidRDefault="00BC0E7E" w:rsidP="00BC0E7E">
      <w:pPr>
        <w:ind w:left="1440"/>
        <w:rPr>
          <w:szCs w:val="20"/>
        </w:rPr>
      </w:pPr>
    </w:p>
    <w:p w14:paraId="38D5C81A" w14:textId="77777777" w:rsidR="00BC0E7E" w:rsidRPr="00BC0E7E" w:rsidRDefault="00944B8F" w:rsidP="00BC0E7E">
      <w:pPr>
        <w:keepNext/>
        <w:tabs>
          <w:tab w:val="clear" w:pos="562"/>
          <w:tab w:val="left" w:pos="0"/>
        </w:tabs>
        <w:rPr>
          <w:szCs w:val="20"/>
          <w:u w:val="single"/>
        </w:rPr>
      </w:pPr>
      <w:r w:rsidRPr="00BC0E7E">
        <w:rPr>
          <w:szCs w:val="20"/>
          <w:u w:val="single"/>
        </w:rPr>
        <w:t>Hepatitis B</w:t>
      </w:r>
    </w:p>
    <w:p w14:paraId="7C6A71B2" w14:textId="77777777" w:rsidR="00BC0E7E" w:rsidRPr="00BC0E7E" w:rsidRDefault="00BC0E7E" w:rsidP="00BC0E7E">
      <w:pPr>
        <w:keepNext/>
        <w:tabs>
          <w:tab w:val="clear" w:pos="562"/>
          <w:tab w:val="left" w:pos="0"/>
        </w:tabs>
        <w:rPr>
          <w:szCs w:val="20"/>
        </w:rPr>
      </w:pPr>
    </w:p>
    <w:p w14:paraId="1A98BB38" w14:textId="77777777" w:rsidR="00BC0E7E" w:rsidRPr="00BC0E7E" w:rsidRDefault="00944B8F" w:rsidP="00D51999">
      <w:pPr>
        <w:keepNext/>
        <w:numPr>
          <w:ilvl w:val="0"/>
          <w:numId w:val="56"/>
        </w:numPr>
        <w:tabs>
          <w:tab w:val="clear" w:pos="562"/>
          <w:tab w:val="left" w:pos="720"/>
        </w:tabs>
        <w:rPr>
          <w:szCs w:val="20"/>
        </w:rPr>
      </w:pPr>
      <w:r w:rsidRPr="00BC0E7E">
        <w:rPr>
          <w:szCs w:val="20"/>
        </w:rPr>
        <w:t xml:space="preserve">Tell your doctor if you are a carrier of the hepatitis B virus (HBV), if you have active HBV or if you think you might be at risk of getting HBV. </w:t>
      </w:r>
    </w:p>
    <w:p w14:paraId="70530911" w14:textId="77777777" w:rsidR="00BC0E7E" w:rsidRPr="00BC0E7E" w:rsidRDefault="00944B8F" w:rsidP="00D51999">
      <w:pPr>
        <w:keepNext/>
        <w:numPr>
          <w:ilvl w:val="1"/>
          <w:numId w:val="53"/>
        </w:numPr>
        <w:tabs>
          <w:tab w:val="clear" w:pos="562"/>
        </w:tabs>
        <w:rPr>
          <w:szCs w:val="20"/>
        </w:rPr>
      </w:pPr>
      <w:r w:rsidRPr="00BC0E7E">
        <w:rPr>
          <w:szCs w:val="20"/>
        </w:rPr>
        <w:t>Your doctor should test you for HBV. In people who carry HBV, Humira can cause the virus to become active again.</w:t>
      </w:r>
    </w:p>
    <w:p w14:paraId="3C8FB415" w14:textId="77777777" w:rsidR="00BC0E7E" w:rsidRPr="00BC0E7E" w:rsidRDefault="00944B8F" w:rsidP="00D51999">
      <w:pPr>
        <w:keepNext/>
        <w:numPr>
          <w:ilvl w:val="1"/>
          <w:numId w:val="53"/>
        </w:numPr>
        <w:tabs>
          <w:tab w:val="clear" w:pos="562"/>
        </w:tabs>
        <w:rPr>
          <w:szCs w:val="20"/>
        </w:rPr>
      </w:pPr>
      <w:r w:rsidRPr="00BC0E7E">
        <w:rPr>
          <w:szCs w:val="20"/>
        </w:rPr>
        <w:t xml:space="preserve">In some rare cases, especially if you are taking other medicines that suppress the immune system, reactivation of HBV can be life-threatening.  </w:t>
      </w:r>
    </w:p>
    <w:p w14:paraId="6FFC5A79" w14:textId="77777777" w:rsidR="00BC0E7E" w:rsidRPr="00BC0E7E" w:rsidRDefault="00BC0E7E" w:rsidP="00BC0E7E">
      <w:pPr>
        <w:rPr>
          <w:szCs w:val="20"/>
        </w:rPr>
      </w:pPr>
    </w:p>
    <w:p w14:paraId="3F27D3C9" w14:textId="77777777" w:rsidR="00BC0E7E" w:rsidRPr="00BC0E7E" w:rsidRDefault="00944B8F" w:rsidP="00BC0E7E">
      <w:pPr>
        <w:tabs>
          <w:tab w:val="clear" w:pos="562"/>
        </w:tabs>
        <w:rPr>
          <w:szCs w:val="20"/>
          <w:u w:val="single"/>
        </w:rPr>
      </w:pPr>
      <w:r w:rsidRPr="00BC0E7E">
        <w:rPr>
          <w:szCs w:val="20"/>
          <w:u w:val="single"/>
        </w:rPr>
        <w:t>Surgery</w:t>
      </w:r>
      <w:r w:rsidR="00126429">
        <w:rPr>
          <w:u w:val="single"/>
        </w:rPr>
        <w:t xml:space="preserve"> or dental procedure</w:t>
      </w:r>
    </w:p>
    <w:p w14:paraId="75F49B5C" w14:textId="77777777" w:rsidR="00BC0E7E" w:rsidRPr="00BC0E7E" w:rsidRDefault="00BC0E7E" w:rsidP="00BC0E7E">
      <w:pPr>
        <w:rPr>
          <w:szCs w:val="20"/>
        </w:rPr>
      </w:pPr>
    </w:p>
    <w:p w14:paraId="43F9145A" w14:textId="77777777" w:rsidR="00BC0E7E" w:rsidRPr="00BC0E7E" w:rsidRDefault="00944B8F" w:rsidP="00D51999">
      <w:pPr>
        <w:numPr>
          <w:ilvl w:val="0"/>
          <w:numId w:val="56"/>
        </w:numPr>
        <w:tabs>
          <w:tab w:val="clear" w:pos="562"/>
        </w:tabs>
        <w:rPr>
          <w:szCs w:val="20"/>
        </w:rPr>
      </w:pPr>
      <w:r w:rsidRPr="00BC0E7E">
        <w:rPr>
          <w:szCs w:val="20"/>
        </w:rPr>
        <w:t xml:space="preserve">If you are about to have surgery or dental procedures please inform your doctor that you are taking Humira. Your doctor may recommend temporary discontinuation of Humira. </w:t>
      </w:r>
    </w:p>
    <w:p w14:paraId="458EAB51" w14:textId="77777777" w:rsidR="00BC0E7E" w:rsidRPr="00BC0E7E" w:rsidRDefault="00BC0E7E" w:rsidP="00BC0E7E">
      <w:pPr>
        <w:rPr>
          <w:szCs w:val="20"/>
        </w:rPr>
      </w:pPr>
    </w:p>
    <w:p w14:paraId="0D4F2E7A" w14:textId="77777777" w:rsidR="00BC0E7E" w:rsidRPr="00BC0E7E" w:rsidRDefault="00944B8F" w:rsidP="00C55525">
      <w:pPr>
        <w:keepNext/>
        <w:tabs>
          <w:tab w:val="clear" w:pos="562"/>
          <w:tab w:val="num" w:pos="720"/>
        </w:tabs>
        <w:ind w:left="360" w:hanging="360"/>
        <w:rPr>
          <w:szCs w:val="20"/>
          <w:u w:val="single"/>
        </w:rPr>
      </w:pPr>
      <w:r w:rsidRPr="00BC0E7E">
        <w:rPr>
          <w:szCs w:val="20"/>
          <w:u w:val="single"/>
        </w:rPr>
        <w:lastRenderedPageBreak/>
        <w:t>Demyelinating disease</w:t>
      </w:r>
    </w:p>
    <w:p w14:paraId="31B6AEF3" w14:textId="77777777" w:rsidR="00BC0E7E" w:rsidRPr="00BC0E7E" w:rsidRDefault="00BC0E7E" w:rsidP="00C55525">
      <w:pPr>
        <w:keepNext/>
        <w:rPr>
          <w:szCs w:val="20"/>
        </w:rPr>
      </w:pPr>
    </w:p>
    <w:p w14:paraId="486275B2" w14:textId="77777777" w:rsidR="00BC0E7E" w:rsidRPr="00BC0E7E" w:rsidRDefault="00944B8F" w:rsidP="00C55525">
      <w:pPr>
        <w:keepNext/>
        <w:numPr>
          <w:ilvl w:val="0"/>
          <w:numId w:val="76"/>
        </w:numPr>
        <w:tabs>
          <w:tab w:val="clear" w:pos="562"/>
          <w:tab w:val="left" w:pos="720"/>
        </w:tabs>
        <w:rPr>
          <w:szCs w:val="20"/>
        </w:rPr>
      </w:pPr>
      <w:r w:rsidRPr="00BC0E7E">
        <w:rPr>
          <w:szCs w:val="20"/>
        </w:rPr>
        <w:t>If you have or develop</w:t>
      </w:r>
      <w:r w:rsidR="00126429" w:rsidRPr="00126429">
        <w:rPr>
          <w:noProof/>
          <w:color w:val="000000"/>
          <w:szCs w:val="22"/>
        </w:rPr>
        <w:t xml:space="preserve"> </w:t>
      </w:r>
      <w:r w:rsidR="00126429">
        <w:rPr>
          <w:noProof/>
          <w:color w:val="000000"/>
          <w:szCs w:val="22"/>
        </w:rPr>
        <w:t xml:space="preserve">a </w:t>
      </w:r>
      <w:r w:rsidR="00126429" w:rsidRPr="00907CAC">
        <w:rPr>
          <w:noProof/>
          <w:color w:val="000000"/>
          <w:szCs w:val="22"/>
        </w:rPr>
        <w:t xml:space="preserve">demyelinating disease </w:t>
      </w:r>
      <w:r w:rsidR="00126429">
        <w:rPr>
          <w:rFonts w:eastAsia="Malgun Gothic"/>
          <w:noProof/>
          <w:szCs w:val="22"/>
          <w:lang w:eastAsia="ko-KR"/>
        </w:rPr>
        <w:t xml:space="preserve">(a disease that affects the insulating layer around the nerves, </w:t>
      </w:r>
      <w:r w:rsidR="00126429" w:rsidRPr="00E805ED">
        <w:rPr>
          <w:rFonts w:eastAsia="Malgun Gothic"/>
        </w:rPr>
        <w:t>such as multiple sclerosis</w:t>
      </w:r>
      <w:r w:rsidR="00126429">
        <w:rPr>
          <w:rFonts w:eastAsia="Malgun Gothic"/>
        </w:rPr>
        <w:t>)</w:t>
      </w:r>
      <w:r w:rsidRPr="00BC0E7E">
        <w:rPr>
          <w:szCs w:val="20"/>
        </w:rPr>
        <w:t>, your doctor will decide if you should receive or continue to receive Humira. Tell your doctor immediately if you experience symptoms like changes in your vision, weakness in your arms or legs or numbness or tingling in any part of your body.</w:t>
      </w:r>
    </w:p>
    <w:p w14:paraId="044A0A34" w14:textId="77777777" w:rsidR="00BC0E7E" w:rsidRPr="00BC0E7E" w:rsidRDefault="00BC0E7E" w:rsidP="00BC0E7E">
      <w:pPr>
        <w:rPr>
          <w:szCs w:val="20"/>
        </w:rPr>
      </w:pPr>
    </w:p>
    <w:p w14:paraId="27762CE2" w14:textId="77777777" w:rsidR="00BC0E7E" w:rsidRPr="00BC0E7E" w:rsidRDefault="00944B8F" w:rsidP="00BC0E7E">
      <w:pPr>
        <w:tabs>
          <w:tab w:val="clear" w:pos="562"/>
          <w:tab w:val="left" w:pos="360"/>
          <w:tab w:val="num" w:pos="720"/>
        </w:tabs>
        <w:ind w:left="360" w:hanging="360"/>
        <w:rPr>
          <w:szCs w:val="20"/>
          <w:u w:val="single"/>
        </w:rPr>
      </w:pPr>
      <w:r w:rsidRPr="00BC0E7E">
        <w:rPr>
          <w:szCs w:val="20"/>
          <w:u w:val="single"/>
        </w:rPr>
        <w:t>Vaccinations</w:t>
      </w:r>
    </w:p>
    <w:p w14:paraId="7BA49238" w14:textId="77777777" w:rsidR="00BC0E7E" w:rsidRPr="00BC0E7E" w:rsidRDefault="00BC0E7E" w:rsidP="00BC0E7E">
      <w:pPr>
        <w:tabs>
          <w:tab w:val="clear" w:pos="562"/>
          <w:tab w:val="left" w:pos="360"/>
          <w:tab w:val="num" w:pos="720"/>
        </w:tabs>
        <w:ind w:left="360" w:hanging="360"/>
        <w:rPr>
          <w:szCs w:val="20"/>
          <w:u w:val="single"/>
        </w:rPr>
      </w:pPr>
    </w:p>
    <w:p w14:paraId="738A706B" w14:textId="77777777" w:rsidR="00BC0E7E" w:rsidRPr="00BC0E7E" w:rsidRDefault="00944B8F" w:rsidP="00D51999">
      <w:pPr>
        <w:numPr>
          <w:ilvl w:val="0"/>
          <w:numId w:val="56"/>
        </w:numPr>
        <w:tabs>
          <w:tab w:val="clear" w:pos="562"/>
        </w:tabs>
        <w:rPr>
          <w:szCs w:val="20"/>
        </w:rPr>
      </w:pPr>
      <w:r w:rsidRPr="00BC0E7E">
        <w:rPr>
          <w:szCs w:val="20"/>
        </w:rPr>
        <w:t xml:space="preserve">Certain vaccines may cause infections and should not be given while receiving Humira. </w:t>
      </w:r>
    </w:p>
    <w:p w14:paraId="21079F4D" w14:textId="77777777" w:rsidR="00BC0E7E" w:rsidRPr="00BC0E7E" w:rsidRDefault="00BC0E7E" w:rsidP="00BC0E7E">
      <w:pPr>
        <w:rPr>
          <w:szCs w:val="20"/>
        </w:rPr>
      </w:pPr>
    </w:p>
    <w:p w14:paraId="3C770C23" w14:textId="77777777" w:rsidR="00BC0E7E" w:rsidRPr="00BC0E7E" w:rsidRDefault="00944B8F" w:rsidP="00D51999">
      <w:pPr>
        <w:numPr>
          <w:ilvl w:val="1"/>
          <w:numId w:val="57"/>
        </w:numPr>
        <w:tabs>
          <w:tab w:val="clear" w:pos="562"/>
        </w:tabs>
        <w:rPr>
          <w:szCs w:val="20"/>
        </w:rPr>
      </w:pPr>
      <w:r>
        <w:rPr>
          <w:szCs w:val="20"/>
        </w:rPr>
        <w:t>C</w:t>
      </w:r>
      <w:r w:rsidRPr="00BC0E7E">
        <w:rPr>
          <w:szCs w:val="20"/>
        </w:rPr>
        <w:t xml:space="preserve">heck with your doctor before you receive any vaccines. </w:t>
      </w:r>
    </w:p>
    <w:p w14:paraId="3E197946" w14:textId="77777777" w:rsidR="00BC0E7E" w:rsidRPr="00BC0E7E" w:rsidRDefault="00944B8F" w:rsidP="00D51999">
      <w:pPr>
        <w:numPr>
          <w:ilvl w:val="1"/>
          <w:numId w:val="57"/>
        </w:numPr>
        <w:tabs>
          <w:tab w:val="clear" w:pos="562"/>
        </w:tabs>
        <w:rPr>
          <w:szCs w:val="20"/>
        </w:rPr>
      </w:pPr>
      <w:r w:rsidRPr="00ED237F">
        <w:rPr>
          <w:noProof/>
          <w:color w:val="000000"/>
          <w:szCs w:val="22"/>
        </w:rPr>
        <w:t xml:space="preserve">It is recommended that children, if possible, be </w:t>
      </w:r>
      <w:r>
        <w:rPr>
          <w:rFonts w:eastAsia="Malgun Gothic"/>
          <w:noProof/>
          <w:szCs w:val="22"/>
          <w:lang w:eastAsia="ko-KR"/>
        </w:rPr>
        <w:t>given all the scheduled vaccinations for their age before they start treatment</w:t>
      </w:r>
      <w:r w:rsidRPr="00E805ED">
        <w:rPr>
          <w:rFonts w:eastAsia="Malgun Gothic"/>
        </w:rPr>
        <w:t xml:space="preserve"> wit</w:t>
      </w:r>
      <w:r>
        <w:rPr>
          <w:rFonts w:eastAsia="Malgun Gothic"/>
        </w:rPr>
        <w:t>h Humira</w:t>
      </w:r>
      <w:r w:rsidRPr="00ED237F">
        <w:rPr>
          <w:noProof/>
          <w:color w:val="000000"/>
          <w:szCs w:val="22"/>
        </w:rPr>
        <w:t>.</w:t>
      </w:r>
    </w:p>
    <w:p w14:paraId="724E551C" w14:textId="77777777" w:rsidR="00BC0E7E" w:rsidRPr="00BC0E7E" w:rsidRDefault="00944B8F" w:rsidP="00D51999">
      <w:pPr>
        <w:numPr>
          <w:ilvl w:val="1"/>
          <w:numId w:val="57"/>
        </w:numPr>
        <w:tabs>
          <w:tab w:val="clear" w:pos="562"/>
        </w:tabs>
        <w:rPr>
          <w:szCs w:val="20"/>
          <w:lang w:eastAsia="en-GB"/>
        </w:rPr>
      </w:pPr>
      <w:r w:rsidRPr="00BC0E7E">
        <w:rPr>
          <w:szCs w:val="20"/>
        </w:rPr>
        <w:t xml:space="preserve">If you received Humira while you were pregnant, your baby may be at higher risk for getting such an infection for up to approximately five months after the last Humira dose you received during pregnancy. </w:t>
      </w:r>
      <w:r w:rsidRPr="00BC0E7E">
        <w:rPr>
          <w:szCs w:val="22"/>
          <w:lang w:eastAsia="en-GB"/>
        </w:rPr>
        <w:t xml:space="preserve">It is </w:t>
      </w:r>
      <w:r w:rsidRPr="00BC0E7E">
        <w:rPr>
          <w:szCs w:val="20"/>
          <w:lang w:eastAsia="en-GB"/>
        </w:rPr>
        <w:t>important that you tell your baby's doctors and other health care professionals about your Humira use during your pregnancy so they can decide when your baby should receive any vaccine.</w:t>
      </w:r>
    </w:p>
    <w:p w14:paraId="4223F57A" w14:textId="77777777" w:rsidR="00BC0E7E" w:rsidRPr="00BC0E7E" w:rsidRDefault="00BC0E7E" w:rsidP="00BC0E7E">
      <w:pPr>
        <w:rPr>
          <w:szCs w:val="20"/>
          <w:lang w:eastAsia="en-GB"/>
        </w:rPr>
      </w:pPr>
    </w:p>
    <w:p w14:paraId="788D2F25" w14:textId="77777777" w:rsidR="00BC0E7E" w:rsidRPr="00BC0E7E" w:rsidRDefault="00944B8F" w:rsidP="00D53B36">
      <w:pPr>
        <w:keepNext/>
        <w:tabs>
          <w:tab w:val="clear" w:pos="562"/>
        </w:tabs>
        <w:rPr>
          <w:szCs w:val="20"/>
          <w:u w:val="single"/>
        </w:rPr>
      </w:pPr>
      <w:r w:rsidRPr="00BC0E7E">
        <w:rPr>
          <w:szCs w:val="20"/>
          <w:u w:val="single"/>
        </w:rPr>
        <w:t xml:space="preserve">Heart </w:t>
      </w:r>
      <w:r w:rsidR="00B8241A">
        <w:rPr>
          <w:szCs w:val="20"/>
          <w:u w:val="single"/>
        </w:rPr>
        <w:t>failure</w:t>
      </w:r>
    </w:p>
    <w:p w14:paraId="5B5698DF" w14:textId="77777777" w:rsidR="00BC0E7E" w:rsidRPr="00BC0E7E" w:rsidRDefault="00BC0E7E" w:rsidP="00D53B36">
      <w:pPr>
        <w:keepNext/>
        <w:rPr>
          <w:szCs w:val="20"/>
        </w:rPr>
      </w:pPr>
    </w:p>
    <w:p w14:paraId="24339BB9" w14:textId="77777777" w:rsidR="00B20336" w:rsidRDefault="00944B8F" w:rsidP="00D51999">
      <w:pPr>
        <w:numPr>
          <w:ilvl w:val="0"/>
          <w:numId w:val="125"/>
        </w:numPr>
        <w:tabs>
          <w:tab w:val="clear" w:pos="562"/>
        </w:tabs>
        <w:suppressAutoHyphens w:val="0"/>
        <w:autoSpaceDE w:val="0"/>
        <w:autoSpaceDN w:val="0"/>
        <w:adjustRightInd w:val="0"/>
        <w:rPr>
          <w:noProof/>
          <w:color w:val="000000"/>
        </w:rPr>
      </w:pPr>
      <w:r>
        <w:rPr>
          <w:noProof/>
          <w:color w:val="000000"/>
        </w:rPr>
        <w:t>If you have mild heart failure and are being treated with Humira, your heart failure status must be closely monitored by your doctor. It is important to tell your doctor if you have had or have a serious heart condition. If</w:t>
      </w:r>
      <w:r w:rsidR="00877FF3">
        <w:rPr>
          <w:noProof/>
          <w:color w:val="000000"/>
        </w:rPr>
        <w:t xml:space="preserve"> </w:t>
      </w:r>
      <w:r>
        <w:rPr>
          <w:noProof/>
          <w:color w:val="000000"/>
        </w:rPr>
        <w:t>you develop new or worsening symptoms of heart failure (e.g. shortness of breath, or swelling of your feet), you must contact your doctor immediately. Your doctor will decide if you should receive Humira.</w:t>
      </w:r>
    </w:p>
    <w:p w14:paraId="6AE9D395" w14:textId="77777777" w:rsidR="00BC0E7E" w:rsidRDefault="00BC0E7E" w:rsidP="00BC0E7E">
      <w:pPr>
        <w:rPr>
          <w:szCs w:val="20"/>
        </w:rPr>
      </w:pPr>
    </w:p>
    <w:p w14:paraId="2766F0FE" w14:textId="77777777" w:rsidR="00B8241A" w:rsidRPr="00700513" w:rsidRDefault="00944B8F" w:rsidP="00B8241A">
      <w:pPr>
        <w:keepLines/>
        <w:numPr>
          <w:ilvl w:val="12"/>
          <w:numId w:val="0"/>
        </w:numPr>
        <w:tabs>
          <w:tab w:val="clear" w:pos="562"/>
        </w:tabs>
        <w:ind w:right="-2"/>
        <w:rPr>
          <w:rFonts w:eastAsia="Malgun Gothic"/>
          <w:szCs w:val="22"/>
          <w:u w:val="single"/>
          <w:lang w:eastAsia="ko-KR"/>
        </w:rPr>
      </w:pPr>
      <w:r w:rsidRPr="00C65788">
        <w:rPr>
          <w:rFonts w:eastAsia="Malgun Gothic"/>
          <w:szCs w:val="22"/>
          <w:u w:val="single"/>
          <w:lang w:eastAsia="ko-KR"/>
        </w:rPr>
        <w:t>Fever, bruis</w:t>
      </w:r>
      <w:r>
        <w:rPr>
          <w:rFonts w:eastAsia="Malgun Gothic"/>
          <w:szCs w:val="22"/>
          <w:u w:val="single"/>
          <w:lang w:eastAsia="ko-KR"/>
        </w:rPr>
        <w:t>ing</w:t>
      </w:r>
      <w:r w:rsidRPr="00C65788">
        <w:rPr>
          <w:rFonts w:eastAsia="Malgun Gothic"/>
          <w:szCs w:val="22"/>
          <w:u w:val="single"/>
          <w:lang w:eastAsia="ko-KR"/>
        </w:rPr>
        <w:t>, bleed</w:t>
      </w:r>
      <w:r>
        <w:rPr>
          <w:rFonts w:eastAsia="Malgun Gothic"/>
          <w:szCs w:val="22"/>
          <w:u w:val="single"/>
          <w:lang w:eastAsia="ko-KR"/>
        </w:rPr>
        <w:t>ing</w:t>
      </w:r>
      <w:r w:rsidRPr="00C65788">
        <w:rPr>
          <w:rFonts w:eastAsia="Malgun Gothic"/>
          <w:szCs w:val="22"/>
          <w:u w:val="single"/>
          <w:lang w:eastAsia="ko-KR"/>
        </w:rPr>
        <w:t xml:space="preserve"> or look</w:t>
      </w:r>
      <w:r>
        <w:rPr>
          <w:rFonts w:eastAsia="Malgun Gothic"/>
          <w:szCs w:val="22"/>
          <w:u w:val="single"/>
          <w:lang w:eastAsia="ko-KR"/>
        </w:rPr>
        <w:t>ing</w:t>
      </w:r>
      <w:r w:rsidRPr="00C65788">
        <w:rPr>
          <w:rFonts w:eastAsia="Malgun Gothic"/>
          <w:szCs w:val="22"/>
          <w:u w:val="single"/>
          <w:lang w:eastAsia="ko-KR"/>
        </w:rPr>
        <w:t xml:space="preserve"> pale</w:t>
      </w:r>
    </w:p>
    <w:p w14:paraId="33380F79" w14:textId="77777777" w:rsidR="00B8241A" w:rsidRPr="00BC0E7E" w:rsidRDefault="00B8241A" w:rsidP="00BC0E7E">
      <w:pPr>
        <w:rPr>
          <w:szCs w:val="20"/>
        </w:rPr>
      </w:pPr>
    </w:p>
    <w:p w14:paraId="08B66E93" w14:textId="77777777" w:rsidR="00BC0E7E" w:rsidRPr="00BC0E7E" w:rsidRDefault="00944B8F" w:rsidP="00D51999">
      <w:pPr>
        <w:numPr>
          <w:ilvl w:val="0"/>
          <w:numId w:val="58"/>
        </w:numPr>
        <w:tabs>
          <w:tab w:val="clear" w:pos="562"/>
        </w:tabs>
        <w:rPr>
          <w:szCs w:val="20"/>
        </w:rPr>
      </w:pPr>
      <w:r w:rsidRPr="00BC0E7E">
        <w:rPr>
          <w:szCs w:val="20"/>
        </w:rPr>
        <w:t xml:space="preserve">In some patients the body may fail to produce </w:t>
      </w:r>
      <w:r w:rsidR="00370F88">
        <w:rPr>
          <w:szCs w:val="20"/>
        </w:rPr>
        <w:t xml:space="preserve">enough of the blood cells that </w:t>
      </w:r>
      <w:r w:rsidRPr="00BC0E7E">
        <w:rPr>
          <w:szCs w:val="20"/>
        </w:rPr>
        <w:t>fight</w:t>
      </w:r>
      <w:r w:rsidR="00B8241A">
        <w:rPr>
          <w:szCs w:val="20"/>
        </w:rPr>
        <w:t xml:space="preserve"> off</w:t>
      </w:r>
      <w:r w:rsidRPr="00BC0E7E">
        <w:rPr>
          <w:szCs w:val="20"/>
        </w:rPr>
        <w:t xml:space="preserve"> infections or help you to stop bleeding. Your doctor may decide to stop treatment.</w:t>
      </w:r>
      <w:r w:rsidR="00B8241A" w:rsidRPr="00B8241A">
        <w:rPr>
          <w:noProof/>
          <w:color w:val="000000"/>
          <w:szCs w:val="22"/>
        </w:rPr>
        <w:t xml:space="preserve"> </w:t>
      </w:r>
      <w:r w:rsidR="00B8241A" w:rsidRPr="00ED237F">
        <w:rPr>
          <w:noProof/>
          <w:color w:val="000000"/>
          <w:szCs w:val="22"/>
        </w:rPr>
        <w:t>If you</w:t>
      </w:r>
      <w:r w:rsidR="00B8241A">
        <w:rPr>
          <w:noProof/>
          <w:color w:val="000000"/>
          <w:szCs w:val="22"/>
        </w:rPr>
        <w:t xml:space="preserve"> </w:t>
      </w:r>
      <w:r w:rsidR="00B8241A" w:rsidRPr="00ED237F">
        <w:rPr>
          <w:noProof/>
          <w:color w:val="000000"/>
          <w:szCs w:val="22"/>
        </w:rPr>
        <w:t xml:space="preserve">develop a fever that does not go away, </w:t>
      </w:r>
      <w:r w:rsidR="00B8241A">
        <w:rPr>
          <w:noProof/>
          <w:color w:val="000000"/>
          <w:szCs w:val="22"/>
        </w:rPr>
        <w:t xml:space="preserve">develop light </w:t>
      </w:r>
      <w:r w:rsidR="00B8241A" w:rsidRPr="00ED237F">
        <w:rPr>
          <w:noProof/>
          <w:color w:val="000000"/>
          <w:szCs w:val="22"/>
        </w:rPr>
        <w:t>bruise</w:t>
      </w:r>
      <w:r w:rsidR="00B8241A">
        <w:rPr>
          <w:noProof/>
          <w:color w:val="000000"/>
          <w:szCs w:val="22"/>
        </w:rPr>
        <w:t>s</w:t>
      </w:r>
      <w:r w:rsidR="00B8241A" w:rsidRPr="00ED237F">
        <w:rPr>
          <w:noProof/>
          <w:color w:val="000000"/>
          <w:szCs w:val="22"/>
        </w:rPr>
        <w:t xml:space="preserve"> or bleed very easily or look very pale, call your doctor right away.</w:t>
      </w:r>
    </w:p>
    <w:p w14:paraId="59BCBA2B" w14:textId="77777777" w:rsidR="00BC0E7E" w:rsidRPr="00BC0E7E" w:rsidRDefault="00BC0E7E" w:rsidP="00BC0E7E">
      <w:pPr>
        <w:rPr>
          <w:szCs w:val="20"/>
        </w:rPr>
      </w:pPr>
    </w:p>
    <w:p w14:paraId="383EE960" w14:textId="77777777" w:rsidR="00BC0E7E" w:rsidRPr="00BC0E7E" w:rsidRDefault="00944B8F" w:rsidP="00BC0E7E">
      <w:pPr>
        <w:tabs>
          <w:tab w:val="clear" w:pos="562"/>
        </w:tabs>
        <w:rPr>
          <w:szCs w:val="20"/>
          <w:u w:val="single"/>
        </w:rPr>
      </w:pPr>
      <w:r w:rsidRPr="00BC0E7E">
        <w:rPr>
          <w:szCs w:val="20"/>
          <w:u w:val="single"/>
        </w:rPr>
        <w:t>Cancer</w:t>
      </w:r>
    </w:p>
    <w:p w14:paraId="608BD4F9" w14:textId="77777777" w:rsidR="00BC0E7E" w:rsidRPr="00BC0E7E" w:rsidRDefault="00BC0E7E" w:rsidP="00BC0E7E">
      <w:pPr>
        <w:rPr>
          <w:szCs w:val="20"/>
        </w:rPr>
      </w:pPr>
    </w:p>
    <w:p w14:paraId="6F765123" w14:textId="77777777" w:rsidR="00BC0E7E" w:rsidRPr="00BC0E7E" w:rsidRDefault="00944B8F" w:rsidP="00D51999">
      <w:pPr>
        <w:numPr>
          <w:ilvl w:val="0"/>
          <w:numId w:val="56"/>
        </w:numPr>
        <w:tabs>
          <w:tab w:val="clear" w:pos="562"/>
        </w:tabs>
        <w:rPr>
          <w:szCs w:val="20"/>
        </w:rPr>
      </w:pPr>
      <w:r w:rsidRPr="00BC0E7E">
        <w:rPr>
          <w:szCs w:val="20"/>
        </w:rPr>
        <w:t xml:space="preserve">There have been very rare cases of certain kinds of cancer in children and adult patients taking Humira or other TNF blockers.  </w:t>
      </w:r>
    </w:p>
    <w:p w14:paraId="29138F25" w14:textId="77777777" w:rsidR="00BC0E7E" w:rsidRPr="00BC0E7E" w:rsidRDefault="00BC0E7E" w:rsidP="00BC0E7E">
      <w:pPr>
        <w:rPr>
          <w:szCs w:val="20"/>
        </w:rPr>
      </w:pPr>
    </w:p>
    <w:p w14:paraId="6E6759C7" w14:textId="77777777" w:rsidR="00BC0E7E" w:rsidRPr="00BC0E7E" w:rsidRDefault="00944B8F" w:rsidP="00D51999">
      <w:pPr>
        <w:numPr>
          <w:ilvl w:val="1"/>
          <w:numId w:val="59"/>
        </w:numPr>
        <w:tabs>
          <w:tab w:val="clear" w:pos="562"/>
        </w:tabs>
        <w:rPr>
          <w:szCs w:val="20"/>
        </w:rPr>
      </w:pPr>
      <w:r w:rsidRPr="00BC0E7E">
        <w:rPr>
          <w:szCs w:val="20"/>
        </w:rPr>
        <w:t>People with more serious rheumatoid arthritis that have had the disease for a long time may have a higher than average risk of getting lymphoma (a cancer that affects the lymph system) and leukaemia (a cancer that affects the blood and bone marrow).</w:t>
      </w:r>
      <w:r w:rsidRPr="00BC0E7E">
        <w:rPr>
          <w:szCs w:val="22"/>
        </w:rPr>
        <w:t xml:space="preserve"> </w:t>
      </w:r>
    </w:p>
    <w:p w14:paraId="0DEC113F" w14:textId="77777777" w:rsidR="00BC0E7E" w:rsidRPr="00BC0E7E" w:rsidRDefault="00944B8F" w:rsidP="00D51999">
      <w:pPr>
        <w:numPr>
          <w:ilvl w:val="1"/>
          <w:numId w:val="59"/>
        </w:numPr>
        <w:tabs>
          <w:tab w:val="clear" w:pos="562"/>
        </w:tabs>
        <w:rPr>
          <w:szCs w:val="20"/>
        </w:rPr>
      </w:pPr>
      <w:r w:rsidRPr="00BC0E7E">
        <w:rPr>
          <w:szCs w:val="20"/>
        </w:rPr>
        <w:t>If you take Humira the risk of getting lymphoma, leukaemia, or other cancers may increase.</w:t>
      </w:r>
      <w:r w:rsidRPr="00BC0E7E">
        <w:rPr>
          <w:szCs w:val="22"/>
        </w:rPr>
        <w:t xml:space="preserve"> On rare occasions, an uncommon and severe type of lymphoma, has been seen in patients taking Humira. Some of those patients were also treated with azathioprine or 6-mercaptopurine.</w:t>
      </w:r>
      <w:r w:rsidRPr="00BC0E7E">
        <w:rPr>
          <w:szCs w:val="20"/>
        </w:rPr>
        <w:t xml:space="preserve"> </w:t>
      </w:r>
    </w:p>
    <w:p w14:paraId="345E4B5F" w14:textId="77777777" w:rsidR="00BC0E7E" w:rsidRPr="00BC0E7E" w:rsidRDefault="00944B8F" w:rsidP="00D51999">
      <w:pPr>
        <w:numPr>
          <w:ilvl w:val="1"/>
          <w:numId w:val="59"/>
        </w:numPr>
        <w:tabs>
          <w:tab w:val="clear" w:pos="562"/>
        </w:tabs>
        <w:rPr>
          <w:szCs w:val="20"/>
        </w:rPr>
      </w:pPr>
      <w:r w:rsidRPr="00BC0E7E">
        <w:rPr>
          <w:szCs w:val="20"/>
        </w:rPr>
        <w:t xml:space="preserve">Tell your doctor if you are taking azathioprine or 6-mercaptopurine with Humira. </w:t>
      </w:r>
    </w:p>
    <w:p w14:paraId="207E38CE" w14:textId="77777777" w:rsidR="00BC0E7E" w:rsidRPr="00BC0E7E" w:rsidRDefault="00944B8F" w:rsidP="00D51999">
      <w:pPr>
        <w:numPr>
          <w:ilvl w:val="1"/>
          <w:numId w:val="59"/>
        </w:numPr>
        <w:tabs>
          <w:tab w:val="clear" w:pos="562"/>
        </w:tabs>
        <w:rPr>
          <w:szCs w:val="20"/>
        </w:rPr>
      </w:pPr>
      <w:r>
        <w:rPr>
          <w:szCs w:val="20"/>
        </w:rPr>
        <w:t>C</w:t>
      </w:r>
      <w:r w:rsidRPr="00BC0E7E">
        <w:rPr>
          <w:szCs w:val="20"/>
        </w:rPr>
        <w:t xml:space="preserve">ases of non-melanoma skin cancer have been observed in patients taking Humira. </w:t>
      </w:r>
    </w:p>
    <w:p w14:paraId="255600A4" w14:textId="77777777" w:rsidR="00BC0E7E" w:rsidRPr="00BC0E7E" w:rsidRDefault="00944B8F" w:rsidP="00D51999">
      <w:pPr>
        <w:numPr>
          <w:ilvl w:val="1"/>
          <w:numId w:val="59"/>
        </w:numPr>
        <w:tabs>
          <w:tab w:val="clear" w:pos="562"/>
        </w:tabs>
        <w:rPr>
          <w:szCs w:val="20"/>
        </w:rPr>
      </w:pPr>
      <w:r w:rsidRPr="00BC0E7E">
        <w:rPr>
          <w:szCs w:val="20"/>
        </w:rPr>
        <w:t>If new skin lesions appear during or after therapy or if existing lesions change appearance, tell your doctor.</w:t>
      </w:r>
    </w:p>
    <w:p w14:paraId="6F636A31" w14:textId="77777777" w:rsidR="00BC0E7E" w:rsidRPr="00BC0E7E" w:rsidRDefault="00BC0E7E" w:rsidP="00BC0E7E">
      <w:pPr>
        <w:rPr>
          <w:szCs w:val="20"/>
        </w:rPr>
      </w:pPr>
    </w:p>
    <w:p w14:paraId="53EDD91A" w14:textId="77777777" w:rsidR="00BC0E7E" w:rsidRPr="00BC0E7E" w:rsidRDefault="00944B8F" w:rsidP="00D51999">
      <w:pPr>
        <w:numPr>
          <w:ilvl w:val="0"/>
          <w:numId w:val="56"/>
        </w:numPr>
        <w:tabs>
          <w:tab w:val="clear" w:pos="562"/>
        </w:tabs>
        <w:rPr>
          <w:szCs w:val="20"/>
        </w:rPr>
      </w:pPr>
      <w:r w:rsidRPr="00BC0E7E">
        <w:rPr>
          <w:szCs w:val="20"/>
        </w:rPr>
        <w:lastRenderedPageBreak/>
        <w:t>There have been cases of cancers, other than lymphoma in patients with a specific type of lung disease called Chronic Obstructive Pulmonary Disease (COPD) treated with another TNF blocker. If you have COPD, or are a heavy smoker, you should discuss with your doctor whether treatment with a TNF blocker is appropriate for you.</w:t>
      </w:r>
    </w:p>
    <w:p w14:paraId="66AEABA9" w14:textId="77777777" w:rsidR="006B4405" w:rsidRPr="003D1A8A" w:rsidRDefault="006B4405" w:rsidP="006B4405">
      <w:pPr>
        <w:pStyle w:val="EMEANormal"/>
        <w:rPr>
          <w:lang w:val="en-GB"/>
        </w:rPr>
      </w:pPr>
    </w:p>
    <w:p w14:paraId="55FC5DD7" w14:textId="77777777" w:rsidR="006B4405" w:rsidRDefault="00944B8F" w:rsidP="006B4405">
      <w:pPr>
        <w:pStyle w:val="EMEANormal"/>
        <w:rPr>
          <w:u w:val="single"/>
          <w:lang w:val="en-GB"/>
        </w:rPr>
      </w:pPr>
      <w:r w:rsidRPr="00700513">
        <w:rPr>
          <w:u w:val="single"/>
          <w:lang w:val="en-GB"/>
        </w:rPr>
        <w:t>Autoimmune disease</w:t>
      </w:r>
    </w:p>
    <w:p w14:paraId="4DA8ED14" w14:textId="77777777" w:rsidR="006B4405" w:rsidRPr="00561696" w:rsidRDefault="006B4405" w:rsidP="006B4405">
      <w:pPr>
        <w:pStyle w:val="EMEANormal"/>
        <w:rPr>
          <w:lang w:val="en-GB"/>
        </w:rPr>
      </w:pPr>
    </w:p>
    <w:p w14:paraId="649BE84A" w14:textId="77777777" w:rsidR="006B4405" w:rsidRDefault="00944B8F" w:rsidP="00D51999">
      <w:pPr>
        <w:pStyle w:val="EMEANormal"/>
        <w:numPr>
          <w:ilvl w:val="0"/>
          <w:numId w:val="101"/>
        </w:numPr>
        <w:tabs>
          <w:tab w:val="clear" w:pos="562"/>
          <w:tab w:val="left" w:pos="720"/>
        </w:tabs>
        <w:rPr>
          <w:lang w:val="en-GB"/>
        </w:rPr>
      </w:pPr>
      <w:r w:rsidRPr="003D1A8A">
        <w:rPr>
          <w:lang w:val="en-GB"/>
        </w:rPr>
        <w:t>On rare occasions, treatment with Humira could result in lupus-like syndrome. Contact your doctor if symptoms such as persistent unexplained rash, fever, joint pain or tiredness</w:t>
      </w:r>
      <w:r w:rsidR="00C25F57" w:rsidRPr="00C25F57">
        <w:rPr>
          <w:lang w:val="en-GB"/>
        </w:rPr>
        <w:t xml:space="preserve"> </w:t>
      </w:r>
      <w:r w:rsidR="00C25F57">
        <w:rPr>
          <w:lang w:val="en-GB"/>
        </w:rPr>
        <w:t>occur</w:t>
      </w:r>
      <w:r>
        <w:rPr>
          <w:lang w:val="en-GB"/>
        </w:rPr>
        <w:t>.</w:t>
      </w:r>
    </w:p>
    <w:p w14:paraId="4C2B386C" w14:textId="77777777" w:rsidR="00BC0E7E" w:rsidRPr="00BC0E7E" w:rsidRDefault="00BC0E7E" w:rsidP="00BC0E7E">
      <w:pPr>
        <w:rPr>
          <w:szCs w:val="20"/>
        </w:rPr>
      </w:pPr>
    </w:p>
    <w:p w14:paraId="31206366" w14:textId="77777777" w:rsidR="00BC0E7E" w:rsidRPr="00BC0E7E" w:rsidRDefault="00944B8F" w:rsidP="00BC0E7E">
      <w:pPr>
        <w:rPr>
          <w:b/>
          <w:szCs w:val="20"/>
        </w:rPr>
      </w:pPr>
      <w:r w:rsidRPr="00BC0E7E">
        <w:rPr>
          <w:b/>
          <w:szCs w:val="20"/>
        </w:rPr>
        <w:t>Children and adolescents</w:t>
      </w:r>
    </w:p>
    <w:p w14:paraId="42920391" w14:textId="77777777" w:rsidR="00BC0E7E" w:rsidRPr="00BC0E7E" w:rsidRDefault="00BC0E7E" w:rsidP="00BC0E7E">
      <w:pPr>
        <w:rPr>
          <w:szCs w:val="20"/>
        </w:rPr>
      </w:pPr>
    </w:p>
    <w:p w14:paraId="769F9E66" w14:textId="77777777" w:rsidR="00BC0E7E" w:rsidRPr="00BC0E7E" w:rsidRDefault="00944B8F" w:rsidP="00D51999">
      <w:pPr>
        <w:numPr>
          <w:ilvl w:val="0"/>
          <w:numId w:val="60"/>
        </w:numPr>
        <w:tabs>
          <w:tab w:val="clear" w:pos="562"/>
          <w:tab w:val="left" w:pos="720"/>
        </w:tabs>
        <w:rPr>
          <w:b/>
          <w:szCs w:val="20"/>
        </w:rPr>
      </w:pPr>
      <w:r w:rsidRPr="00BC0E7E">
        <w:rPr>
          <w:szCs w:val="20"/>
        </w:rPr>
        <w:t>Vaccinations: if possible</w:t>
      </w:r>
      <w:r w:rsidR="00640684">
        <w:rPr>
          <w:szCs w:val="20"/>
        </w:rPr>
        <w:t>,</w:t>
      </w:r>
      <w:r w:rsidRPr="00BC0E7E">
        <w:rPr>
          <w:szCs w:val="20"/>
        </w:rPr>
        <w:t xml:space="preserve"> children should be up to date with all vaccinations before using Humira.</w:t>
      </w:r>
    </w:p>
    <w:p w14:paraId="648CAF41" w14:textId="77777777" w:rsidR="00BC0E7E" w:rsidRPr="00BC0E7E" w:rsidRDefault="00BC0E7E" w:rsidP="00BC0E7E">
      <w:pPr>
        <w:tabs>
          <w:tab w:val="clear" w:pos="562"/>
          <w:tab w:val="left" w:pos="720"/>
        </w:tabs>
        <w:ind w:left="720"/>
        <w:rPr>
          <w:b/>
          <w:szCs w:val="20"/>
        </w:rPr>
      </w:pPr>
    </w:p>
    <w:p w14:paraId="042C48BA" w14:textId="77777777" w:rsidR="00BC0E7E" w:rsidRPr="00BC0E7E" w:rsidRDefault="00944B8F" w:rsidP="00BC0E7E">
      <w:pPr>
        <w:rPr>
          <w:b/>
          <w:szCs w:val="20"/>
        </w:rPr>
      </w:pPr>
      <w:bookmarkStart w:id="13718" w:name="_Hlk36573658"/>
      <w:r w:rsidRPr="00BC0E7E">
        <w:rPr>
          <w:b/>
          <w:szCs w:val="20"/>
        </w:rPr>
        <w:t>Other medicines and Humira</w:t>
      </w:r>
    </w:p>
    <w:bookmarkEnd w:id="13718"/>
    <w:p w14:paraId="31EEC191" w14:textId="77777777" w:rsidR="00BC0E7E" w:rsidRPr="00BC0E7E" w:rsidRDefault="00BC0E7E" w:rsidP="00BC0E7E">
      <w:pPr>
        <w:rPr>
          <w:szCs w:val="20"/>
        </w:rPr>
      </w:pPr>
    </w:p>
    <w:p w14:paraId="2F84A1C8" w14:textId="77777777" w:rsidR="00BC0E7E" w:rsidRPr="00BC0E7E" w:rsidRDefault="00944B8F" w:rsidP="00BC0E7E">
      <w:pPr>
        <w:rPr>
          <w:szCs w:val="20"/>
        </w:rPr>
      </w:pPr>
      <w:r w:rsidRPr="00BC0E7E">
        <w:rPr>
          <w:szCs w:val="20"/>
        </w:rPr>
        <w:t>Tell your doctor or pharmacist if you are taking, have recently taken or might take any other medicines.</w:t>
      </w:r>
    </w:p>
    <w:p w14:paraId="0E3F41C9" w14:textId="77777777" w:rsidR="00BC0E7E" w:rsidRPr="00BC0E7E" w:rsidRDefault="00BC0E7E" w:rsidP="00BC0E7E">
      <w:pPr>
        <w:rPr>
          <w:szCs w:val="20"/>
        </w:rPr>
      </w:pPr>
    </w:p>
    <w:p w14:paraId="2BCB847A" w14:textId="77777777" w:rsidR="00BC0E7E" w:rsidRPr="00BC0E7E" w:rsidRDefault="00944B8F" w:rsidP="00BC0E7E">
      <w:pPr>
        <w:tabs>
          <w:tab w:val="clear" w:pos="562"/>
          <w:tab w:val="left" w:pos="0"/>
        </w:tabs>
        <w:rPr>
          <w:szCs w:val="20"/>
        </w:rPr>
      </w:pPr>
      <w:bookmarkStart w:id="13719" w:name="_Hlk36573666"/>
      <w:r w:rsidRPr="00BC0E7E">
        <w:rPr>
          <w:szCs w:val="20"/>
        </w:rPr>
        <w:t xml:space="preserve">You should not take Humira with medicines containing the </w:t>
      </w:r>
      <w:r w:rsidR="00FC60BE">
        <w:rPr>
          <w:szCs w:val="20"/>
        </w:rPr>
        <w:t xml:space="preserve">following </w:t>
      </w:r>
      <w:r w:rsidRPr="00BC0E7E">
        <w:rPr>
          <w:szCs w:val="20"/>
        </w:rPr>
        <w:t>active substances</w:t>
      </w:r>
      <w:r w:rsidR="00B74112" w:rsidRPr="00FD27BB">
        <w:t xml:space="preserve"> </w:t>
      </w:r>
      <w:r w:rsidR="00B74112">
        <w:t>due to increased risk of serious infection</w:t>
      </w:r>
      <w:r w:rsidRPr="00BC0E7E">
        <w:rPr>
          <w:szCs w:val="20"/>
        </w:rPr>
        <w:t>:</w:t>
      </w:r>
    </w:p>
    <w:bookmarkEnd w:id="13719"/>
    <w:p w14:paraId="39A60899" w14:textId="77777777" w:rsidR="00BC0E7E" w:rsidRPr="00BC0E7E" w:rsidRDefault="00944B8F" w:rsidP="00D51999">
      <w:pPr>
        <w:numPr>
          <w:ilvl w:val="0"/>
          <w:numId w:val="56"/>
        </w:numPr>
        <w:tabs>
          <w:tab w:val="clear" w:pos="562"/>
        </w:tabs>
        <w:rPr>
          <w:szCs w:val="20"/>
        </w:rPr>
      </w:pPr>
      <w:r w:rsidRPr="00BC0E7E">
        <w:rPr>
          <w:szCs w:val="20"/>
        </w:rPr>
        <w:t>anakinra</w:t>
      </w:r>
    </w:p>
    <w:p w14:paraId="31A4ABFA" w14:textId="77777777" w:rsidR="00BC0E7E" w:rsidRPr="00BC0E7E" w:rsidRDefault="00944B8F" w:rsidP="00D51999">
      <w:pPr>
        <w:numPr>
          <w:ilvl w:val="0"/>
          <w:numId w:val="56"/>
        </w:numPr>
        <w:tabs>
          <w:tab w:val="clear" w:pos="562"/>
        </w:tabs>
        <w:rPr>
          <w:b/>
          <w:bCs/>
          <w:szCs w:val="20"/>
        </w:rPr>
      </w:pPr>
      <w:r w:rsidRPr="00BC0E7E">
        <w:rPr>
          <w:szCs w:val="20"/>
        </w:rPr>
        <w:t>abatacept.</w:t>
      </w:r>
    </w:p>
    <w:p w14:paraId="156659DC" w14:textId="77777777" w:rsidR="00BC0E7E" w:rsidRPr="00BC0E7E" w:rsidRDefault="00BC0E7E" w:rsidP="00BC0E7E">
      <w:pPr>
        <w:rPr>
          <w:szCs w:val="20"/>
        </w:rPr>
      </w:pPr>
    </w:p>
    <w:p w14:paraId="1291FDB4" w14:textId="77777777" w:rsidR="00BC0E7E" w:rsidRPr="00BC0E7E" w:rsidRDefault="00944B8F" w:rsidP="00BC0E7E">
      <w:pPr>
        <w:rPr>
          <w:szCs w:val="20"/>
        </w:rPr>
      </w:pPr>
      <w:r w:rsidRPr="00BC0E7E">
        <w:rPr>
          <w:szCs w:val="20"/>
        </w:rPr>
        <w:t>Humira can be taken together with:</w:t>
      </w:r>
    </w:p>
    <w:p w14:paraId="05BE9F63" w14:textId="77777777" w:rsidR="00BC0E7E" w:rsidRPr="00BC0E7E" w:rsidRDefault="00944B8F" w:rsidP="00D51999">
      <w:pPr>
        <w:numPr>
          <w:ilvl w:val="0"/>
          <w:numId w:val="56"/>
        </w:numPr>
        <w:tabs>
          <w:tab w:val="clear" w:pos="562"/>
        </w:tabs>
        <w:rPr>
          <w:szCs w:val="20"/>
        </w:rPr>
      </w:pPr>
      <w:r w:rsidRPr="00BC0E7E">
        <w:rPr>
          <w:szCs w:val="20"/>
        </w:rPr>
        <w:t>methotrexate</w:t>
      </w:r>
    </w:p>
    <w:p w14:paraId="7CF546E4" w14:textId="77777777" w:rsidR="00BC0E7E" w:rsidRPr="00BC0E7E" w:rsidRDefault="00944B8F" w:rsidP="00D51999">
      <w:pPr>
        <w:numPr>
          <w:ilvl w:val="0"/>
          <w:numId w:val="56"/>
        </w:numPr>
        <w:tabs>
          <w:tab w:val="clear" w:pos="562"/>
        </w:tabs>
        <w:rPr>
          <w:szCs w:val="20"/>
        </w:rPr>
      </w:pPr>
      <w:r w:rsidRPr="00BC0E7E">
        <w:rPr>
          <w:szCs w:val="20"/>
        </w:rPr>
        <w:t>certain disease-modifying anti-rheumatic agents (for example, sulfasalazine, hydroxychloroquine, leflunomide and injectable gold preparations)</w:t>
      </w:r>
    </w:p>
    <w:p w14:paraId="68ADA64A" w14:textId="77777777" w:rsidR="00BC0E7E" w:rsidRPr="00BC0E7E" w:rsidRDefault="00944B8F" w:rsidP="00D51999">
      <w:pPr>
        <w:numPr>
          <w:ilvl w:val="0"/>
          <w:numId w:val="56"/>
        </w:numPr>
        <w:tabs>
          <w:tab w:val="clear" w:pos="562"/>
        </w:tabs>
        <w:rPr>
          <w:szCs w:val="20"/>
        </w:rPr>
      </w:pPr>
      <w:r w:rsidRPr="00BC0E7E">
        <w:rPr>
          <w:szCs w:val="20"/>
        </w:rPr>
        <w:t>steroids or pain medications including non-steroidal anti-inflammatory drugs (NSAIDs).</w:t>
      </w:r>
    </w:p>
    <w:p w14:paraId="68D162AF" w14:textId="77777777" w:rsidR="00BC0E7E" w:rsidRPr="00BC0E7E" w:rsidRDefault="00BC0E7E" w:rsidP="00BC0E7E">
      <w:pPr>
        <w:rPr>
          <w:szCs w:val="20"/>
        </w:rPr>
      </w:pPr>
    </w:p>
    <w:p w14:paraId="43C3D2CD" w14:textId="77777777" w:rsidR="00BC0E7E" w:rsidRPr="00BC0E7E" w:rsidRDefault="00944B8F" w:rsidP="00BC0E7E">
      <w:pPr>
        <w:tabs>
          <w:tab w:val="clear" w:pos="562"/>
          <w:tab w:val="left" w:pos="0"/>
        </w:tabs>
        <w:rPr>
          <w:szCs w:val="20"/>
        </w:rPr>
      </w:pPr>
      <w:r w:rsidRPr="00BC0E7E">
        <w:rPr>
          <w:szCs w:val="20"/>
        </w:rPr>
        <w:t>If you have questions, please ask your doctor.</w:t>
      </w:r>
    </w:p>
    <w:p w14:paraId="4A7AECA5" w14:textId="77777777" w:rsidR="00BC0E7E" w:rsidRPr="00C6283C" w:rsidRDefault="00BC0E7E" w:rsidP="00BC0E7E">
      <w:pPr>
        <w:rPr>
          <w:bCs/>
          <w:szCs w:val="20"/>
        </w:rPr>
      </w:pPr>
    </w:p>
    <w:p w14:paraId="68D55E8A" w14:textId="77777777" w:rsidR="00BC0E7E" w:rsidRPr="00C6283C" w:rsidRDefault="00944B8F" w:rsidP="00BC0E7E">
      <w:pPr>
        <w:rPr>
          <w:szCs w:val="20"/>
        </w:rPr>
      </w:pPr>
      <w:r w:rsidRPr="00BC0E7E">
        <w:rPr>
          <w:b/>
          <w:szCs w:val="20"/>
        </w:rPr>
        <w:t>Pregnancy and breast-feeding</w:t>
      </w:r>
    </w:p>
    <w:p w14:paraId="5C98C3D9" w14:textId="77777777" w:rsidR="00BC0E7E" w:rsidRPr="00BC0E7E" w:rsidRDefault="00BC0E7E" w:rsidP="00BC0E7E">
      <w:pPr>
        <w:rPr>
          <w:szCs w:val="20"/>
        </w:rPr>
      </w:pPr>
    </w:p>
    <w:p w14:paraId="6B9E555D" w14:textId="77777777" w:rsidR="00BC0E7E" w:rsidRPr="00BC0E7E" w:rsidRDefault="00944B8F" w:rsidP="00A70985">
      <w:pPr>
        <w:pStyle w:val="EMEANormal"/>
        <w:numPr>
          <w:ilvl w:val="0"/>
          <w:numId w:val="150"/>
        </w:numPr>
        <w:tabs>
          <w:tab w:val="clear" w:pos="562"/>
          <w:tab w:val="clear" w:pos="1440"/>
          <w:tab w:val="num" w:pos="720"/>
        </w:tabs>
        <w:ind w:left="720"/>
        <w:rPr>
          <w:lang w:val="en-GB"/>
        </w:rPr>
      </w:pPr>
      <w:r w:rsidRPr="00BC0E7E">
        <w:rPr>
          <w:lang w:val="en-GB"/>
        </w:rPr>
        <w:t xml:space="preserve">You </w:t>
      </w:r>
      <w:r w:rsidR="00AD2DC0">
        <w:rPr>
          <w:lang w:val="en-GB"/>
        </w:rPr>
        <w:t xml:space="preserve">should consider the </w:t>
      </w:r>
      <w:r w:rsidRPr="00BC0E7E">
        <w:rPr>
          <w:lang w:val="en-GB"/>
        </w:rPr>
        <w:t xml:space="preserve">use </w:t>
      </w:r>
      <w:r w:rsidR="00AD2DC0">
        <w:rPr>
          <w:lang w:val="en-GB"/>
        </w:rPr>
        <w:t xml:space="preserve">of </w:t>
      </w:r>
      <w:r w:rsidRPr="00BC0E7E">
        <w:rPr>
          <w:lang w:val="en-GB"/>
        </w:rPr>
        <w:t xml:space="preserve">adequate contraception </w:t>
      </w:r>
      <w:r w:rsidR="00AD2DC0">
        <w:rPr>
          <w:lang w:val="en-GB"/>
        </w:rPr>
        <w:t>to prevent pregnancy</w:t>
      </w:r>
      <w:r w:rsidRPr="00BC0E7E">
        <w:rPr>
          <w:lang w:val="en-GB"/>
        </w:rPr>
        <w:t xml:space="preserve"> and </w:t>
      </w:r>
      <w:r w:rsidR="00AD2DC0">
        <w:rPr>
          <w:lang w:val="en-GB"/>
        </w:rPr>
        <w:t xml:space="preserve">continue its use </w:t>
      </w:r>
      <w:r w:rsidRPr="00BC0E7E">
        <w:rPr>
          <w:lang w:val="en-GB"/>
        </w:rPr>
        <w:t>for at least 5 months a</w:t>
      </w:r>
      <w:r w:rsidR="00C6283C">
        <w:rPr>
          <w:lang w:val="en-GB"/>
        </w:rPr>
        <w:t>fter the last Humira treatment.</w:t>
      </w:r>
    </w:p>
    <w:p w14:paraId="343DC274" w14:textId="77777777" w:rsidR="00AD2DC0" w:rsidRPr="00150FF6" w:rsidRDefault="00944B8F" w:rsidP="00D51999">
      <w:pPr>
        <w:pStyle w:val="EMEANormal"/>
        <w:numPr>
          <w:ilvl w:val="0"/>
          <w:numId w:val="101"/>
        </w:numPr>
        <w:tabs>
          <w:tab w:val="clear" w:pos="562"/>
          <w:tab w:val="left" w:pos="720"/>
        </w:tabs>
        <w:rPr>
          <w:lang w:val="en-GB"/>
        </w:rPr>
      </w:pPr>
      <w:r w:rsidRPr="00150FF6">
        <w:rPr>
          <w:lang w:val="en-GB"/>
        </w:rPr>
        <w:t>If you are pregnant, think you may be pregnant or are planning to have a baby, ask your doctor for advice about taking this medicine.</w:t>
      </w:r>
    </w:p>
    <w:p w14:paraId="4059A4BF" w14:textId="77777777" w:rsidR="00AD2DC0" w:rsidRPr="00150FF6" w:rsidRDefault="00944B8F" w:rsidP="00D51999">
      <w:pPr>
        <w:pStyle w:val="EMEANormal"/>
        <w:numPr>
          <w:ilvl w:val="0"/>
          <w:numId w:val="101"/>
        </w:numPr>
        <w:tabs>
          <w:tab w:val="clear" w:pos="562"/>
          <w:tab w:val="left" w:pos="720"/>
        </w:tabs>
        <w:rPr>
          <w:lang w:val="en-GB"/>
        </w:rPr>
      </w:pPr>
      <w:r w:rsidRPr="00150FF6">
        <w:rPr>
          <w:lang w:val="en-GB"/>
        </w:rPr>
        <w:t>Humira should only be used during a pregnancy if needed.</w:t>
      </w:r>
    </w:p>
    <w:p w14:paraId="4A120D9A" w14:textId="77777777" w:rsidR="00AD2DC0" w:rsidRDefault="00944B8F" w:rsidP="00D51999">
      <w:pPr>
        <w:pStyle w:val="EMEANormal"/>
        <w:numPr>
          <w:ilvl w:val="0"/>
          <w:numId w:val="101"/>
        </w:numPr>
        <w:tabs>
          <w:tab w:val="clear" w:pos="562"/>
          <w:tab w:val="left" w:pos="720"/>
        </w:tabs>
        <w:rPr>
          <w:lang w:val="en-GB"/>
        </w:rPr>
      </w:pPr>
      <w:r w:rsidRPr="00150FF6">
        <w:rPr>
          <w:lang w:val="en-GB"/>
        </w:rPr>
        <w:t>According to a pregnancy study, there was no higher risk of birth defects when the mother had received Humira during pregnancy compared with mothers with the same dise</w:t>
      </w:r>
      <w:r w:rsidR="00C6283C">
        <w:rPr>
          <w:lang w:val="en-GB"/>
        </w:rPr>
        <w:t>ase who did not receive Humira.</w:t>
      </w:r>
    </w:p>
    <w:p w14:paraId="31A09B19" w14:textId="77777777" w:rsidR="001048C3" w:rsidRPr="00150FF6" w:rsidRDefault="00944B8F" w:rsidP="00D51999">
      <w:pPr>
        <w:pStyle w:val="EMEANormal"/>
        <w:numPr>
          <w:ilvl w:val="0"/>
          <w:numId w:val="101"/>
        </w:numPr>
        <w:tabs>
          <w:tab w:val="clear" w:pos="562"/>
          <w:tab w:val="left" w:pos="720"/>
        </w:tabs>
        <w:rPr>
          <w:lang w:val="en-GB"/>
        </w:rPr>
      </w:pPr>
      <w:r>
        <w:rPr>
          <w:lang w:val="en-GB"/>
        </w:rPr>
        <w:t>Humira can be used during breast</w:t>
      </w:r>
      <w:r w:rsidR="008B6BDD">
        <w:rPr>
          <w:lang w:val="en-GB"/>
        </w:rPr>
        <w:t>-</w:t>
      </w:r>
      <w:r>
        <w:rPr>
          <w:lang w:val="en-GB"/>
        </w:rPr>
        <w:t>feeding.</w:t>
      </w:r>
    </w:p>
    <w:p w14:paraId="796AD2DD" w14:textId="77777777" w:rsidR="00AD2DC0" w:rsidRDefault="00944B8F" w:rsidP="00D51999">
      <w:pPr>
        <w:pStyle w:val="EMEANormal"/>
        <w:numPr>
          <w:ilvl w:val="0"/>
          <w:numId w:val="101"/>
        </w:numPr>
        <w:tabs>
          <w:tab w:val="clear" w:pos="562"/>
          <w:tab w:val="left" w:pos="720"/>
        </w:tabs>
        <w:rPr>
          <w:lang w:val="en-GB"/>
        </w:rPr>
      </w:pPr>
      <w:r w:rsidRPr="00BC0E7E">
        <w:rPr>
          <w:lang w:val="en-GB"/>
        </w:rPr>
        <w:t>If you receive Humira during your pregnancy, your baby may have a higher</w:t>
      </w:r>
      <w:r w:rsidR="00C6283C">
        <w:rPr>
          <w:lang w:val="en-GB"/>
        </w:rPr>
        <w:t xml:space="preserve"> risk for getting an infection.</w:t>
      </w:r>
    </w:p>
    <w:p w14:paraId="12285EC0" w14:textId="77777777" w:rsidR="00BC0E7E" w:rsidRPr="00150FF6" w:rsidRDefault="00944B8F" w:rsidP="00A70985">
      <w:pPr>
        <w:pStyle w:val="EMEANormal"/>
        <w:numPr>
          <w:ilvl w:val="0"/>
          <w:numId w:val="101"/>
        </w:numPr>
        <w:tabs>
          <w:tab w:val="clear" w:pos="562"/>
          <w:tab w:val="left" w:pos="720"/>
        </w:tabs>
        <w:rPr>
          <w:lang w:val="en-GB"/>
        </w:rPr>
      </w:pPr>
      <w:r w:rsidRPr="00150FF6">
        <w:rPr>
          <w:lang w:val="en-GB"/>
        </w:rPr>
        <w:t xml:space="preserve">It is important that you tell your baby’s doctors and other health care professionals about your Humira use during your pregnancy before the baby receives any vaccine. For more information </w:t>
      </w:r>
      <w:r w:rsidR="00AD2DC0" w:rsidRPr="00150FF6">
        <w:rPr>
          <w:lang w:val="en-GB"/>
        </w:rPr>
        <w:t xml:space="preserve">on vaccines </w:t>
      </w:r>
      <w:r w:rsidRPr="00150FF6">
        <w:rPr>
          <w:lang w:val="en-GB"/>
        </w:rPr>
        <w:t xml:space="preserve">see </w:t>
      </w:r>
      <w:r w:rsidR="00AD2DC0" w:rsidRPr="00150FF6">
        <w:rPr>
          <w:lang w:val="en-GB"/>
        </w:rPr>
        <w:t xml:space="preserve">the “Warnings and precautions” </w:t>
      </w:r>
      <w:r w:rsidRPr="00150FF6">
        <w:rPr>
          <w:lang w:val="en-GB"/>
        </w:rPr>
        <w:t>section.</w:t>
      </w:r>
    </w:p>
    <w:p w14:paraId="31C7A5F8" w14:textId="77777777" w:rsidR="00BC0E7E" w:rsidRPr="00BC0E7E" w:rsidRDefault="00BC0E7E" w:rsidP="00BC0E7E">
      <w:pPr>
        <w:numPr>
          <w:ilvl w:val="12"/>
          <w:numId w:val="0"/>
        </w:numPr>
      </w:pPr>
    </w:p>
    <w:p w14:paraId="5336FA1A" w14:textId="77777777" w:rsidR="00BC0E7E" w:rsidRPr="00BC0E7E" w:rsidRDefault="00944B8F" w:rsidP="00BC0E7E">
      <w:pPr>
        <w:rPr>
          <w:b/>
          <w:bCs/>
          <w:i/>
          <w:szCs w:val="22"/>
        </w:rPr>
      </w:pPr>
      <w:r w:rsidRPr="00BC0E7E">
        <w:rPr>
          <w:b/>
          <w:szCs w:val="20"/>
        </w:rPr>
        <w:t>Driving and using machines</w:t>
      </w:r>
    </w:p>
    <w:p w14:paraId="7F259D92" w14:textId="77777777" w:rsidR="00BC0E7E" w:rsidRPr="00BC0E7E" w:rsidRDefault="00BC0E7E" w:rsidP="00BC0E7E"/>
    <w:p w14:paraId="611AD9FB" w14:textId="77777777" w:rsidR="00BC0E7E" w:rsidRDefault="00944B8F" w:rsidP="00BC0E7E">
      <w:pPr>
        <w:rPr>
          <w:ins w:id="13720" w:author="AbbVie19" w:date="2025-04-16T12:26:00Z"/>
        </w:rPr>
      </w:pPr>
      <w:r w:rsidRPr="00BC0E7E">
        <w:t>Humira may have a small effect on your ability to drive, cycle or use machines. Room spinning sensation and vision disturbances may occur after taking Humira.</w:t>
      </w:r>
    </w:p>
    <w:p w14:paraId="5E295A68" w14:textId="44141147" w:rsidR="00804924" w:rsidRDefault="00944B8F" w:rsidP="00804924">
      <w:pPr>
        <w:numPr>
          <w:ilvl w:val="12"/>
          <w:numId w:val="0"/>
        </w:numPr>
        <w:tabs>
          <w:tab w:val="clear" w:pos="562"/>
        </w:tabs>
        <w:ind w:right="-2"/>
        <w:rPr>
          <w:ins w:id="13721" w:author="AbbVie19" w:date="2025-04-17T11:09:00Z"/>
          <w:b/>
          <w:bCs/>
          <w:szCs w:val="22"/>
        </w:rPr>
      </w:pPr>
      <w:ins w:id="13722" w:author="AbbVie19" w:date="2025-04-16T12:26:00Z">
        <w:r>
          <w:rPr>
            <w:b/>
            <w:bCs/>
            <w:szCs w:val="22"/>
          </w:rPr>
          <w:lastRenderedPageBreak/>
          <w:t>Humira</w:t>
        </w:r>
        <w:r w:rsidRPr="00B364D7">
          <w:rPr>
            <w:b/>
            <w:bCs/>
            <w:szCs w:val="22"/>
          </w:rPr>
          <w:t xml:space="preserve"> contains polysorbate</w:t>
        </w:r>
      </w:ins>
    </w:p>
    <w:p w14:paraId="737E3B05" w14:textId="77777777" w:rsidR="00E27926" w:rsidRPr="00B364D7" w:rsidRDefault="00E27926" w:rsidP="00804924">
      <w:pPr>
        <w:numPr>
          <w:ilvl w:val="12"/>
          <w:numId w:val="0"/>
        </w:numPr>
        <w:tabs>
          <w:tab w:val="clear" w:pos="562"/>
        </w:tabs>
        <w:ind w:right="-2"/>
        <w:rPr>
          <w:ins w:id="13723" w:author="AbbVie19" w:date="2025-04-16T12:26:00Z"/>
          <w:b/>
          <w:bCs/>
          <w:szCs w:val="22"/>
        </w:rPr>
      </w:pPr>
    </w:p>
    <w:p w14:paraId="4CAB1697" w14:textId="77777777" w:rsidR="00804924" w:rsidRPr="00B364D7" w:rsidRDefault="00944B8F" w:rsidP="00804924">
      <w:pPr>
        <w:tabs>
          <w:tab w:val="clear" w:pos="562"/>
        </w:tabs>
        <w:ind w:right="-2"/>
        <w:rPr>
          <w:ins w:id="13724" w:author="AbbVie19" w:date="2025-04-16T12:26:00Z"/>
        </w:rPr>
      </w:pPr>
      <w:ins w:id="13725" w:author="AbbVie19" w:date="2025-04-16T12:26:00Z">
        <w:r w:rsidRPr="00B364D7">
          <w:t>This medicine contains</w:t>
        </w:r>
      </w:ins>
      <w:ins w:id="13726" w:author="AbbVie19" w:date="2025-05-06T09:19:00Z">
        <w:r w:rsidR="004D4BAA">
          <w:t xml:space="preserve"> 0.8</w:t>
        </w:r>
      </w:ins>
      <w:ins w:id="13727" w:author="AbbVie19" w:date="2025-04-16T12:26:00Z">
        <w:r w:rsidRPr="00B364D7">
          <w:rPr>
            <w:szCs w:val="22"/>
          </w:rPr>
          <w:t> </w:t>
        </w:r>
        <w:r w:rsidRPr="00B364D7">
          <w:t>mg of polysorbate </w:t>
        </w:r>
        <w:r>
          <w:t>8</w:t>
        </w:r>
        <w:r w:rsidRPr="00B364D7">
          <w:t xml:space="preserve">0 in each </w:t>
        </w:r>
      </w:ins>
      <w:ins w:id="13728" w:author="AbbVie19" w:date="2025-04-17T11:09:00Z">
        <w:r w:rsidR="00E27926">
          <w:t>80</w:t>
        </w:r>
      </w:ins>
      <w:ins w:id="13729" w:author="AbbVie33" w:date="2025-05-02T12:18:00Z">
        <w:r w:rsidR="004025F4" w:rsidRPr="00B364D7">
          <w:rPr>
            <w:szCs w:val="22"/>
          </w:rPr>
          <w:t> </w:t>
        </w:r>
      </w:ins>
      <w:ins w:id="13730" w:author="AbbVie19" w:date="2025-04-17T11:09:00Z">
        <w:r w:rsidR="00E27926">
          <w:t>mg dose</w:t>
        </w:r>
      </w:ins>
      <w:ins w:id="13731" w:author="AbbVie19" w:date="2025-04-16T12:26:00Z">
        <w:r w:rsidRPr="00B364D7">
          <w:t>. Polysorbates may cause allergic reactions. Tell your doctor if you have any known allergies.</w:t>
        </w:r>
      </w:ins>
    </w:p>
    <w:p w14:paraId="5A8E8EB9" w14:textId="77777777" w:rsidR="00BC0E7E" w:rsidRPr="00BC0E7E" w:rsidRDefault="00BC0E7E" w:rsidP="00BC0E7E"/>
    <w:p w14:paraId="2A063051" w14:textId="77777777" w:rsidR="00BC0E7E" w:rsidRPr="00BC0E7E" w:rsidRDefault="00BC0E7E" w:rsidP="00BC0E7E"/>
    <w:p w14:paraId="4A78567C" w14:textId="77777777" w:rsidR="00BC0E7E" w:rsidRPr="00BC0E7E" w:rsidRDefault="00944B8F" w:rsidP="00C6283C">
      <w:pPr>
        <w:keepNext/>
        <w:outlineLvl w:val="0"/>
        <w:rPr>
          <w:rFonts w:ascii="Times New Roman Bold" w:hAnsi="Times New Roman Bold"/>
          <w:b/>
          <w:szCs w:val="20"/>
        </w:rPr>
      </w:pPr>
      <w:r w:rsidRPr="00BC0E7E">
        <w:rPr>
          <w:b/>
          <w:caps/>
          <w:szCs w:val="20"/>
        </w:rPr>
        <w:t>3.</w:t>
      </w:r>
      <w:r w:rsidRPr="00BC0E7E">
        <w:rPr>
          <w:b/>
          <w:caps/>
          <w:szCs w:val="20"/>
        </w:rPr>
        <w:tab/>
      </w:r>
      <w:r w:rsidRPr="00BC0E7E">
        <w:rPr>
          <w:rFonts w:ascii="Times New Roman Bold" w:hAnsi="Times New Roman Bold"/>
          <w:b/>
          <w:szCs w:val="20"/>
        </w:rPr>
        <w:t>How to use Humira</w:t>
      </w:r>
    </w:p>
    <w:p w14:paraId="059AC2B2" w14:textId="77777777" w:rsidR="00BC0E7E" w:rsidRPr="00BC0E7E" w:rsidRDefault="00BC0E7E" w:rsidP="00C6283C">
      <w:pPr>
        <w:keepNext/>
        <w:numPr>
          <w:ilvl w:val="12"/>
          <w:numId w:val="0"/>
        </w:numPr>
        <w:tabs>
          <w:tab w:val="clear" w:pos="562"/>
        </w:tabs>
        <w:ind w:right="-2"/>
      </w:pPr>
    </w:p>
    <w:p w14:paraId="1D2BCC81" w14:textId="77777777" w:rsidR="00BC0E7E" w:rsidRPr="00BC0E7E" w:rsidRDefault="00944B8F" w:rsidP="00C6283C">
      <w:pPr>
        <w:keepNext/>
        <w:numPr>
          <w:ilvl w:val="12"/>
          <w:numId w:val="0"/>
        </w:numPr>
        <w:tabs>
          <w:tab w:val="clear" w:pos="562"/>
        </w:tabs>
        <w:ind w:right="-2"/>
      </w:pPr>
      <w:r w:rsidRPr="00BC0E7E">
        <w:t xml:space="preserve">Always use this medicine exactly as your doctor or pharmacist has told you. Check with your doctor or </w:t>
      </w:r>
      <w:r w:rsidR="00C6283C">
        <w:t>pharmacist if you are not sure.</w:t>
      </w:r>
    </w:p>
    <w:p w14:paraId="3451404A" w14:textId="77777777" w:rsidR="00BC0E7E" w:rsidRPr="00BC0E7E" w:rsidRDefault="00BC0E7E" w:rsidP="00BC0E7E">
      <w:pPr>
        <w:numPr>
          <w:ilvl w:val="12"/>
          <w:numId w:val="0"/>
        </w:numPr>
        <w:tabs>
          <w:tab w:val="clear" w:pos="562"/>
        </w:tabs>
        <w:ind w:right="-2"/>
      </w:pPr>
    </w:p>
    <w:p w14:paraId="2C1C1F0A" w14:textId="77777777" w:rsidR="00BC0E7E" w:rsidRDefault="00944B8F" w:rsidP="00BC0E7E">
      <w:pPr>
        <w:numPr>
          <w:ilvl w:val="12"/>
          <w:numId w:val="0"/>
        </w:numPr>
        <w:tabs>
          <w:tab w:val="clear" w:pos="562"/>
        </w:tabs>
        <w:ind w:right="-2"/>
      </w:pPr>
      <w:r w:rsidRPr="00BC0E7E">
        <w:t>The recommended doses for Humira in each of the approved uses are shown in the following table. Your doctor may prescribe another strength of Humira if you need a different dose.</w:t>
      </w:r>
    </w:p>
    <w:p w14:paraId="4DDF9966" w14:textId="77777777" w:rsidR="001B3618" w:rsidRDefault="001B3618" w:rsidP="00BC0E7E">
      <w:pPr>
        <w:numPr>
          <w:ilvl w:val="12"/>
          <w:numId w:val="0"/>
        </w:numPr>
        <w:tabs>
          <w:tab w:val="clear" w:pos="562"/>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02EBC75D" w14:textId="77777777" w:rsidTr="00963F82">
        <w:tc>
          <w:tcPr>
            <w:tcW w:w="9287" w:type="dxa"/>
            <w:gridSpan w:val="3"/>
          </w:tcPr>
          <w:p w14:paraId="160CC4EF" w14:textId="77777777" w:rsidR="001B3618" w:rsidRPr="00BC0E7E" w:rsidRDefault="00944B8F" w:rsidP="00963F82">
            <w:pPr>
              <w:keepNext/>
              <w:numPr>
                <w:ilvl w:val="12"/>
                <w:numId w:val="0"/>
              </w:numPr>
              <w:ind w:right="-2"/>
              <w:rPr>
                <w:b/>
              </w:rPr>
            </w:pPr>
            <w:r w:rsidRPr="00BC0E7E">
              <w:rPr>
                <w:b/>
              </w:rPr>
              <w:t>Rheumatoid arthritis</w:t>
            </w:r>
          </w:p>
        </w:tc>
      </w:tr>
      <w:tr w:rsidR="00C6578C" w14:paraId="79C85206" w14:textId="77777777" w:rsidTr="00963F82">
        <w:tc>
          <w:tcPr>
            <w:tcW w:w="3095" w:type="dxa"/>
          </w:tcPr>
          <w:p w14:paraId="2A4BF9A7" w14:textId="77777777" w:rsidR="001B3618" w:rsidRPr="00BC0E7E" w:rsidRDefault="00944B8F" w:rsidP="00963F82">
            <w:pPr>
              <w:keepNext/>
              <w:numPr>
                <w:ilvl w:val="12"/>
                <w:numId w:val="0"/>
              </w:numPr>
              <w:ind w:right="-2"/>
            </w:pPr>
            <w:r w:rsidRPr="00BC0E7E">
              <w:rPr>
                <w:b/>
              </w:rPr>
              <w:t>Age or body weight</w:t>
            </w:r>
          </w:p>
        </w:tc>
        <w:tc>
          <w:tcPr>
            <w:tcW w:w="3096" w:type="dxa"/>
          </w:tcPr>
          <w:p w14:paraId="3FB53E5B" w14:textId="77777777" w:rsidR="001B3618" w:rsidRPr="00BC0E7E" w:rsidRDefault="00944B8F" w:rsidP="00963F82">
            <w:pPr>
              <w:keepNext/>
              <w:numPr>
                <w:ilvl w:val="12"/>
                <w:numId w:val="0"/>
              </w:numPr>
              <w:ind w:right="-2"/>
            </w:pPr>
            <w:r w:rsidRPr="00BC0E7E">
              <w:rPr>
                <w:b/>
              </w:rPr>
              <w:t>How much and how often to take?</w:t>
            </w:r>
          </w:p>
        </w:tc>
        <w:tc>
          <w:tcPr>
            <w:tcW w:w="3096" w:type="dxa"/>
          </w:tcPr>
          <w:p w14:paraId="27260CDD" w14:textId="77777777" w:rsidR="001B3618" w:rsidRPr="00BC0E7E" w:rsidRDefault="00944B8F" w:rsidP="00963F82">
            <w:pPr>
              <w:keepNext/>
              <w:numPr>
                <w:ilvl w:val="12"/>
                <w:numId w:val="0"/>
              </w:numPr>
              <w:ind w:right="-2"/>
            </w:pPr>
            <w:r w:rsidRPr="00BC0E7E">
              <w:rPr>
                <w:b/>
              </w:rPr>
              <w:t>Notes</w:t>
            </w:r>
          </w:p>
        </w:tc>
      </w:tr>
      <w:tr w:rsidR="00C6578C" w14:paraId="2059E9C9" w14:textId="77777777" w:rsidTr="00963F82">
        <w:tc>
          <w:tcPr>
            <w:tcW w:w="3095" w:type="dxa"/>
          </w:tcPr>
          <w:p w14:paraId="14FFA4EC" w14:textId="77777777" w:rsidR="001B3618" w:rsidRPr="00BC0E7E" w:rsidRDefault="00944B8F" w:rsidP="00963F82">
            <w:pPr>
              <w:keepNext/>
              <w:numPr>
                <w:ilvl w:val="12"/>
                <w:numId w:val="0"/>
              </w:numPr>
              <w:ind w:right="-2"/>
            </w:pPr>
            <w:r w:rsidRPr="00BC0E7E">
              <w:t xml:space="preserve">Adults </w:t>
            </w:r>
          </w:p>
        </w:tc>
        <w:tc>
          <w:tcPr>
            <w:tcW w:w="3096" w:type="dxa"/>
          </w:tcPr>
          <w:p w14:paraId="2E66A536" w14:textId="77777777" w:rsidR="001B3618" w:rsidRPr="00BC0E7E" w:rsidRDefault="00944B8F" w:rsidP="00963F82">
            <w:pPr>
              <w:keepNext/>
              <w:numPr>
                <w:ilvl w:val="12"/>
                <w:numId w:val="0"/>
              </w:numPr>
              <w:ind w:right="-2"/>
            </w:pPr>
            <w:r w:rsidRPr="00BC0E7E">
              <w:t>40 mg every other week</w:t>
            </w:r>
          </w:p>
        </w:tc>
        <w:tc>
          <w:tcPr>
            <w:tcW w:w="3096" w:type="dxa"/>
          </w:tcPr>
          <w:p w14:paraId="32DCDA4A" w14:textId="77777777" w:rsidR="001B3618" w:rsidRDefault="00944B8F" w:rsidP="00963F82">
            <w:pPr>
              <w:keepNext/>
            </w:pPr>
            <w:r w:rsidRPr="00BC0E7E">
              <w:t>In rheumatoid arthritis, methotrexate is continued while using Humira. If your doctor decides that methotrexate is inappropriate, Humira can be given alone.</w:t>
            </w:r>
          </w:p>
          <w:p w14:paraId="5DAF2245" w14:textId="77777777" w:rsidR="001B3618" w:rsidRPr="00BC0E7E" w:rsidRDefault="001B3618" w:rsidP="00963F82">
            <w:pPr>
              <w:keepNext/>
            </w:pPr>
          </w:p>
          <w:p w14:paraId="22C2A5A8" w14:textId="77777777" w:rsidR="001B3618" w:rsidRPr="00BC0E7E" w:rsidRDefault="00944B8F" w:rsidP="00963F82">
            <w:pPr>
              <w:keepNext/>
              <w:numPr>
                <w:ilvl w:val="12"/>
                <w:numId w:val="0"/>
              </w:numPr>
              <w:ind w:right="-2"/>
            </w:pPr>
            <w:r w:rsidRPr="00BC0E7E">
              <w:t>If you have rheumatoid arthritis and you do not receive methotrexate with your Humira therapy, your doctor may decide to give Humira 40 mg every week</w:t>
            </w:r>
            <w:r>
              <w:t xml:space="preserve"> or 80 mg every other week</w:t>
            </w:r>
            <w:r w:rsidRPr="00BC0E7E">
              <w:t xml:space="preserve">. </w:t>
            </w:r>
          </w:p>
        </w:tc>
      </w:tr>
    </w:tbl>
    <w:p w14:paraId="346A8FFF" w14:textId="77777777" w:rsidR="000A76F1" w:rsidRPr="00BC0E7E" w:rsidRDefault="000A76F1" w:rsidP="00BC0E7E">
      <w:pPr>
        <w:numPr>
          <w:ilvl w:val="12"/>
          <w:numId w:val="0"/>
        </w:numPr>
        <w:tabs>
          <w:tab w:val="clear" w:pos="562"/>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165764D7" w14:textId="77777777" w:rsidTr="00171601">
        <w:tc>
          <w:tcPr>
            <w:tcW w:w="9287" w:type="dxa"/>
            <w:gridSpan w:val="3"/>
          </w:tcPr>
          <w:p w14:paraId="77230A84" w14:textId="77777777" w:rsidR="00BC0E7E" w:rsidRPr="00BC0E7E" w:rsidRDefault="00944B8F" w:rsidP="00BC0E7E">
            <w:pPr>
              <w:keepNext/>
              <w:numPr>
                <w:ilvl w:val="12"/>
                <w:numId w:val="0"/>
              </w:numPr>
              <w:tabs>
                <w:tab w:val="clear" w:pos="562"/>
              </w:tabs>
              <w:ind w:right="-2"/>
            </w:pPr>
            <w:r w:rsidRPr="00BC0E7E">
              <w:rPr>
                <w:b/>
              </w:rPr>
              <w:t>Plaque psoriasis</w:t>
            </w:r>
          </w:p>
        </w:tc>
      </w:tr>
      <w:tr w:rsidR="00C6578C" w14:paraId="4BCC5628" w14:textId="77777777" w:rsidTr="00171601">
        <w:tc>
          <w:tcPr>
            <w:tcW w:w="3095" w:type="dxa"/>
          </w:tcPr>
          <w:p w14:paraId="31C43B63" w14:textId="77777777" w:rsidR="00BC0E7E" w:rsidRPr="00BC0E7E" w:rsidRDefault="00944B8F" w:rsidP="00BC0E7E">
            <w:pPr>
              <w:numPr>
                <w:ilvl w:val="12"/>
                <w:numId w:val="0"/>
              </w:numPr>
              <w:tabs>
                <w:tab w:val="clear" w:pos="562"/>
              </w:tabs>
              <w:ind w:right="-2"/>
            </w:pPr>
            <w:r w:rsidRPr="00BC0E7E">
              <w:rPr>
                <w:b/>
              </w:rPr>
              <w:t>Age or body weight</w:t>
            </w:r>
          </w:p>
        </w:tc>
        <w:tc>
          <w:tcPr>
            <w:tcW w:w="3096" w:type="dxa"/>
          </w:tcPr>
          <w:p w14:paraId="5027100B" w14:textId="77777777" w:rsidR="00BC0E7E" w:rsidRPr="00BC0E7E" w:rsidRDefault="00944B8F" w:rsidP="00BC0E7E">
            <w:pPr>
              <w:numPr>
                <w:ilvl w:val="12"/>
                <w:numId w:val="0"/>
              </w:numPr>
              <w:tabs>
                <w:tab w:val="clear" w:pos="562"/>
              </w:tabs>
              <w:ind w:right="-2"/>
            </w:pPr>
            <w:r w:rsidRPr="00BC0E7E">
              <w:rPr>
                <w:b/>
              </w:rPr>
              <w:t>How much and how often to take?</w:t>
            </w:r>
          </w:p>
        </w:tc>
        <w:tc>
          <w:tcPr>
            <w:tcW w:w="3096" w:type="dxa"/>
          </w:tcPr>
          <w:p w14:paraId="059F4FFD" w14:textId="77777777" w:rsidR="00BC0E7E" w:rsidRPr="00BC0E7E" w:rsidRDefault="00944B8F" w:rsidP="00BC0E7E">
            <w:pPr>
              <w:keepNext/>
              <w:numPr>
                <w:ilvl w:val="12"/>
                <w:numId w:val="0"/>
              </w:numPr>
              <w:tabs>
                <w:tab w:val="clear" w:pos="562"/>
              </w:tabs>
              <w:ind w:right="-2"/>
            </w:pPr>
            <w:r w:rsidRPr="00BC0E7E">
              <w:rPr>
                <w:b/>
              </w:rPr>
              <w:t>Notes</w:t>
            </w:r>
          </w:p>
        </w:tc>
      </w:tr>
      <w:tr w:rsidR="00C6578C" w14:paraId="475CBE36" w14:textId="77777777" w:rsidTr="00171601">
        <w:tc>
          <w:tcPr>
            <w:tcW w:w="3095" w:type="dxa"/>
          </w:tcPr>
          <w:p w14:paraId="79120DAD" w14:textId="77777777" w:rsidR="00BC0E7E" w:rsidRPr="00BC0E7E" w:rsidRDefault="00944B8F" w:rsidP="00BC0E7E">
            <w:pPr>
              <w:numPr>
                <w:ilvl w:val="12"/>
                <w:numId w:val="0"/>
              </w:numPr>
              <w:tabs>
                <w:tab w:val="clear" w:pos="562"/>
              </w:tabs>
              <w:ind w:right="-2"/>
            </w:pPr>
            <w:r w:rsidRPr="00BC0E7E">
              <w:t xml:space="preserve">Adults </w:t>
            </w:r>
          </w:p>
          <w:p w14:paraId="44A39B2F" w14:textId="77777777" w:rsidR="00BC0E7E" w:rsidRPr="00BC0E7E" w:rsidRDefault="00BC0E7E" w:rsidP="00BC0E7E">
            <w:pPr>
              <w:numPr>
                <w:ilvl w:val="12"/>
                <w:numId w:val="0"/>
              </w:numPr>
              <w:tabs>
                <w:tab w:val="clear" w:pos="562"/>
              </w:tabs>
              <w:ind w:right="-2"/>
            </w:pPr>
          </w:p>
        </w:tc>
        <w:tc>
          <w:tcPr>
            <w:tcW w:w="3096" w:type="dxa"/>
          </w:tcPr>
          <w:p w14:paraId="5385454C" w14:textId="77777777" w:rsidR="00BC0E7E" w:rsidRPr="00BC0E7E" w:rsidRDefault="00944B8F" w:rsidP="00BC0E7E">
            <w:pPr>
              <w:numPr>
                <w:ilvl w:val="12"/>
                <w:numId w:val="0"/>
              </w:numPr>
              <w:tabs>
                <w:tab w:val="clear" w:pos="562"/>
              </w:tabs>
            </w:pPr>
            <w:r w:rsidRPr="00BC0E7E">
              <w:t>First dose of 80 mg (one 80 mg injection), followed by 40 mg every other week starting one week after the first dose.</w:t>
            </w:r>
          </w:p>
        </w:tc>
        <w:tc>
          <w:tcPr>
            <w:tcW w:w="3096" w:type="dxa"/>
          </w:tcPr>
          <w:p w14:paraId="3AC04BAD" w14:textId="77777777" w:rsidR="00BC0E7E" w:rsidRPr="00BC0E7E" w:rsidRDefault="00944B8F" w:rsidP="00BC0E7E">
            <w:r w:rsidRPr="00BC0E7E">
              <w:t>If you have an inadequate response, your doctor may increase the dos</w:t>
            </w:r>
            <w:r w:rsidR="00441585">
              <w:t>ag</w:t>
            </w:r>
            <w:r w:rsidRPr="00BC0E7E">
              <w:t>e to 40 mg every week</w:t>
            </w:r>
            <w:r w:rsidR="00441585">
              <w:t xml:space="preserve"> or 80 mg every other week</w:t>
            </w:r>
            <w:r w:rsidRPr="00BC0E7E">
              <w:t>.</w:t>
            </w:r>
          </w:p>
          <w:p w14:paraId="7E24083B" w14:textId="77777777" w:rsidR="00BC0E7E" w:rsidRPr="00BC0E7E" w:rsidRDefault="00BC0E7E" w:rsidP="00BC0E7E">
            <w:pPr>
              <w:numPr>
                <w:ilvl w:val="12"/>
                <w:numId w:val="0"/>
              </w:numPr>
              <w:tabs>
                <w:tab w:val="clear" w:pos="562"/>
              </w:tabs>
              <w:ind w:right="-2"/>
            </w:pPr>
          </w:p>
        </w:tc>
      </w:tr>
    </w:tbl>
    <w:p w14:paraId="4BFA0458" w14:textId="77777777" w:rsidR="00BC0E7E" w:rsidRPr="00BC0E7E" w:rsidRDefault="00BC0E7E" w:rsidP="00BC0E7E">
      <w:pPr>
        <w:numPr>
          <w:ilvl w:val="12"/>
          <w:numId w:val="0"/>
        </w:numPr>
        <w:tabs>
          <w:tab w:val="clear" w:pos="562"/>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09635DEF" w14:textId="77777777" w:rsidTr="00171601">
        <w:tc>
          <w:tcPr>
            <w:tcW w:w="9287" w:type="dxa"/>
            <w:gridSpan w:val="3"/>
          </w:tcPr>
          <w:p w14:paraId="51857EEE" w14:textId="77777777" w:rsidR="00BC0E7E" w:rsidRPr="00BC0E7E" w:rsidRDefault="00944B8F" w:rsidP="001E382C">
            <w:pPr>
              <w:numPr>
                <w:ilvl w:val="12"/>
                <w:numId w:val="0"/>
              </w:numPr>
              <w:tabs>
                <w:tab w:val="clear" w:pos="562"/>
              </w:tabs>
              <w:ind w:right="-2"/>
              <w:rPr>
                <w:b/>
              </w:rPr>
            </w:pPr>
            <w:r w:rsidRPr="00BC0E7E">
              <w:rPr>
                <w:b/>
              </w:rPr>
              <w:t>Hidradenitis suppurativa</w:t>
            </w:r>
          </w:p>
        </w:tc>
      </w:tr>
      <w:tr w:rsidR="00C6578C" w14:paraId="2E055D3D" w14:textId="77777777" w:rsidTr="00171601">
        <w:tc>
          <w:tcPr>
            <w:tcW w:w="3095" w:type="dxa"/>
          </w:tcPr>
          <w:p w14:paraId="44175BC3" w14:textId="77777777" w:rsidR="00BC0E7E" w:rsidRPr="00BC0E7E" w:rsidRDefault="00944B8F" w:rsidP="001E382C">
            <w:pPr>
              <w:numPr>
                <w:ilvl w:val="12"/>
                <w:numId w:val="0"/>
              </w:numPr>
              <w:tabs>
                <w:tab w:val="clear" w:pos="562"/>
              </w:tabs>
              <w:ind w:right="-2"/>
            </w:pPr>
            <w:r w:rsidRPr="00BC0E7E">
              <w:rPr>
                <w:b/>
              </w:rPr>
              <w:t>Age or body weight</w:t>
            </w:r>
          </w:p>
        </w:tc>
        <w:tc>
          <w:tcPr>
            <w:tcW w:w="3096" w:type="dxa"/>
          </w:tcPr>
          <w:p w14:paraId="4F281BAF" w14:textId="77777777" w:rsidR="00BC0E7E" w:rsidRPr="00BC0E7E" w:rsidRDefault="00944B8F" w:rsidP="001E382C">
            <w:pPr>
              <w:numPr>
                <w:ilvl w:val="12"/>
                <w:numId w:val="0"/>
              </w:numPr>
              <w:tabs>
                <w:tab w:val="clear" w:pos="562"/>
              </w:tabs>
              <w:ind w:right="-2"/>
            </w:pPr>
            <w:r w:rsidRPr="00BC0E7E">
              <w:rPr>
                <w:b/>
              </w:rPr>
              <w:t>How much and how often to take?</w:t>
            </w:r>
          </w:p>
        </w:tc>
        <w:tc>
          <w:tcPr>
            <w:tcW w:w="3096" w:type="dxa"/>
          </w:tcPr>
          <w:p w14:paraId="50BAEC3A" w14:textId="77777777" w:rsidR="00BC0E7E" w:rsidRPr="00BC0E7E" w:rsidRDefault="00944B8F" w:rsidP="00852331">
            <w:pPr>
              <w:keepNext/>
              <w:numPr>
                <w:ilvl w:val="12"/>
                <w:numId w:val="0"/>
              </w:numPr>
              <w:tabs>
                <w:tab w:val="clear" w:pos="562"/>
              </w:tabs>
              <w:ind w:right="-2"/>
            </w:pPr>
            <w:r w:rsidRPr="00BC0E7E">
              <w:rPr>
                <w:b/>
              </w:rPr>
              <w:t>Notes</w:t>
            </w:r>
          </w:p>
        </w:tc>
      </w:tr>
      <w:tr w:rsidR="00C6578C" w14:paraId="7AB998D4" w14:textId="77777777" w:rsidTr="00171601">
        <w:tc>
          <w:tcPr>
            <w:tcW w:w="3095" w:type="dxa"/>
          </w:tcPr>
          <w:p w14:paraId="1ED6C3C8" w14:textId="77777777" w:rsidR="00BC0E7E" w:rsidRPr="00BC0E7E" w:rsidRDefault="00944B8F" w:rsidP="001E382C">
            <w:pPr>
              <w:numPr>
                <w:ilvl w:val="12"/>
                <w:numId w:val="0"/>
              </w:numPr>
              <w:tabs>
                <w:tab w:val="clear" w:pos="562"/>
              </w:tabs>
              <w:ind w:right="-2"/>
            </w:pPr>
            <w:r w:rsidRPr="00BC0E7E">
              <w:t xml:space="preserve">Adults </w:t>
            </w:r>
          </w:p>
        </w:tc>
        <w:tc>
          <w:tcPr>
            <w:tcW w:w="3096" w:type="dxa"/>
          </w:tcPr>
          <w:p w14:paraId="3021823C" w14:textId="77777777" w:rsidR="00BC0E7E" w:rsidRPr="00BC0E7E" w:rsidRDefault="00944B8F" w:rsidP="001E382C">
            <w:pPr>
              <w:numPr>
                <w:ilvl w:val="12"/>
                <w:numId w:val="0"/>
              </w:numPr>
              <w:tabs>
                <w:tab w:val="clear" w:pos="562"/>
              </w:tabs>
              <w:ind w:right="-2"/>
            </w:pPr>
            <w:r w:rsidRPr="00BC0E7E">
              <w:rPr>
                <w:szCs w:val="22"/>
              </w:rPr>
              <w:t xml:space="preserve">First dose of 160 mg (two 80 mg injections in one day or one 80 mg injection per day for two consecutive days), followed by an 80 mg dose (one 80 mg injection) two weeks later. After two further weeks, continue with a dose of 40 mg every </w:t>
            </w:r>
            <w:r w:rsidRPr="00BC0E7E">
              <w:rPr>
                <w:szCs w:val="22"/>
              </w:rPr>
              <w:lastRenderedPageBreak/>
              <w:t>week</w:t>
            </w:r>
            <w:r w:rsidR="000214E1">
              <w:rPr>
                <w:szCs w:val="22"/>
              </w:rPr>
              <w:t xml:space="preserve"> or 80 mg every other week</w:t>
            </w:r>
            <w:r w:rsidR="004B493B">
              <w:rPr>
                <w:szCs w:val="22"/>
              </w:rPr>
              <w:t>, as prescribed by your doctor</w:t>
            </w:r>
            <w:r w:rsidRPr="00BC0E7E">
              <w:rPr>
                <w:szCs w:val="22"/>
              </w:rPr>
              <w:t xml:space="preserve">.  </w:t>
            </w:r>
          </w:p>
        </w:tc>
        <w:tc>
          <w:tcPr>
            <w:tcW w:w="3096" w:type="dxa"/>
          </w:tcPr>
          <w:p w14:paraId="108E0294" w14:textId="77777777" w:rsidR="00BC0E7E" w:rsidRPr="00BC0E7E" w:rsidRDefault="00944B8F" w:rsidP="00852331">
            <w:pPr>
              <w:keepNext/>
              <w:tabs>
                <w:tab w:val="clear" w:pos="562"/>
              </w:tabs>
              <w:suppressAutoHyphens w:val="0"/>
              <w:rPr>
                <w:szCs w:val="22"/>
              </w:rPr>
            </w:pPr>
            <w:r w:rsidRPr="00BC0E7E">
              <w:rPr>
                <w:szCs w:val="22"/>
              </w:rPr>
              <w:lastRenderedPageBreak/>
              <w:t>It is recommended that you use an antiseptic wash daily on the affected areas.</w:t>
            </w:r>
          </w:p>
          <w:p w14:paraId="3305A5E2" w14:textId="77777777" w:rsidR="00BC0E7E" w:rsidRPr="00BC0E7E" w:rsidRDefault="00BC0E7E" w:rsidP="00852331">
            <w:pPr>
              <w:keepNext/>
              <w:numPr>
                <w:ilvl w:val="12"/>
                <w:numId w:val="0"/>
              </w:numPr>
              <w:tabs>
                <w:tab w:val="clear" w:pos="562"/>
              </w:tabs>
              <w:ind w:right="-2"/>
            </w:pPr>
          </w:p>
        </w:tc>
      </w:tr>
      <w:tr w:rsidR="00C6578C" w14:paraId="7AA0CDF0" w14:textId="77777777" w:rsidTr="00171601">
        <w:tc>
          <w:tcPr>
            <w:tcW w:w="3095" w:type="dxa"/>
          </w:tcPr>
          <w:p w14:paraId="3D28F307" w14:textId="77777777" w:rsidR="00BC0E7E" w:rsidRPr="00BC0E7E" w:rsidRDefault="00944B8F" w:rsidP="00852331">
            <w:pPr>
              <w:keepNext/>
              <w:numPr>
                <w:ilvl w:val="12"/>
                <w:numId w:val="0"/>
              </w:numPr>
              <w:tabs>
                <w:tab w:val="clear" w:pos="562"/>
              </w:tabs>
              <w:ind w:right="-2"/>
              <w:rPr>
                <w:b/>
              </w:rPr>
            </w:pPr>
            <w:r w:rsidRPr="00BC0E7E">
              <w:rPr>
                <w:szCs w:val="22"/>
              </w:rPr>
              <w:t>Adolescents from 12 to 17 years of age weighing 30 kg or more</w:t>
            </w:r>
          </w:p>
        </w:tc>
        <w:tc>
          <w:tcPr>
            <w:tcW w:w="3096" w:type="dxa"/>
          </w:tcPr>
          <w:p w14:paraId="670030AD" w14:textId="77777777" w:rsidR="00BC0E7E" w:rsidRPr="00BC0E7E" w:rsidRDefault="00944B8F" w:rsidP="00852331">
            <w:pPr>
              <w:keepNext/>
              <w:numPr>
                <w:ilvl w:val="12"/>
                <w:numId w:val="0"/>
              </w:numPr>
              <w:tabs>
                <w:tab w:val="clear" w:pos="562"/>
              </w:tabs>
              <w:ind w:right="-2"/>
              <w:rPr>
                <w:szCs w:val="22"/>
              </w:rPr>
            </w:pPr>
            <w:r w:rsidRPr="00BC0E7E">
              <w:rPr>
                <w:szCs w:val="22"/>
              </w:rPr>
              <w:t xml:space="preserve">First dose of 80 mg (one 80 mg injection), followed by 40 mg every other week starting one week later.  </w:t>
            </w:r>
          </w:p>
        </w:tc>
        <w:tc>
          <w:tcPr>
            <w:tcW w:w="3096" w:type="dxa"/>
          </w:tcPr>
          <w:p w14:paraId="0D585496" w14:textId="77777777" w:rsidR="00BC0E7E" w:rsidRPr="00BC0E7E" w:rsidRDefault="00944B8F" w:rsidP="00852331">
            <w:pPr>
              <w:keepNext/>
              <w:tabs>
                <w:tab w:val="clear" w:pos="562"/>
              </w:tabs>
              <w:suppressAutoHyphens w:val="0"/>
              <w:rPr>
                <w:szCs w:val="22"/>
              </w:rPr>
            </w:pPr>
            <w:r w:rsidRPr="00BC0E7E">
              <w:rPr>
                <w:szCs w:val="22"/>
              </w:rPr>
              <w:t>If you have an inadequate response</w:t>
            </w:r>
            <w:r w:rsidR="000214E1">
              <w:rPr>
                <w:szCs w:val="22"/>
              </w:rPr>
              <w:t xml:space="preserve"> to Humira 40 mg every other week</w:t>
            </w:r>
            <w:r w:rsidRPr="00BC0E7E">
              <w:rPr>
                <w:szCs w:val="22"/>
              </w:rPr>
              <w:t>, your doctor may increase the dos</w:t>
            </w:r>
            <w:r w:rsidR="000214E1">
              <w:rPr>
                <w:szCs w:val="22"/>
              </w:rPr>
              <w:t>ag</w:t>
            </w:r>
            <w:r w:rsidRPr="00BC0E7E">
              <w:rPr>
                <w:szCs w:val="22"/>
              </w:rPr>
              <w:t>e to 40 mg every week</w:t>
            </w:r>
            <w:r w:rsidR="000214E1">
              <w:rPr>
                <w:szCs w:val="22"/>
              </w:rPr>
              <w:t xml:space="preserve"> or 80 mg every other week.</w:t>
            </w:r>
            <w:r w:rsidRPr="00BC0E7E">
              <w:rPr>
                <w:szCs w:val="22"/>
              </w:rPr>
              <w:t xml:space="preserve"> </w:t>
            </w:r>
          </w:p>
          <w:p w14:paraId="10B1BC03" w14:textId="77777777" w:rsidR="00BC0E7E" w:rsidRPr="00BC0E7E" w:rsidRDefault="00944B8F" w:rsidP="00852331">
            <w:pPr>
              <w:keepNext/>
              <w:tabs>
                <w:tab w:val="clear" w:pos="562"/>
              </w:tabs>
              <w:suppressAutoHyphens w:val="0"/>
              <w:rPr>
                <w:szCs w:val="22"/>
              </w:rPr>
            </w:pPr>
            <w:r w:rsidRPr="00BC0E7E">
              <w:rPr>
                <w:szCs w:val="22"/>
              </w:rPr>
              <w:t>It is recommended that you use an antiseptic wash daily on the affected areas.</w:t>
            </w:r>
          </w:p>
          <w:p w14:paraId="0D867770" w14:textId="77777777" w:rsidR="00BC0E7E" w:rsidRPr="00BC0E7E" w:rsidRDefault="00BC0E7E" w:rsidP="00852331">
            <w:pPr>
              <w:keepNext/>
              <w:tabs>
                <w:tab w:val="clear" w:pos="562"/>
              </w:tabs>
              <w:suppressAutoHyphens w:val="0"/>
              <w:rPr>
                <w:szCs w:val="22"/>
              </w:rPr>
            </w:pPr>
          </w:p>
        </w:tc>
      </w:tr>
    </w:tbl>
    <w:p w14:paraId="0609709E" w14:textId="77777777" w:rsidR="00BC0E7E" w:rsidRPr="00BC0E7E" w:rsidRDefault="00BC0E7E" w:rsidP="00BC0E7E">
      <w:pPr>
        <w:numPr>
          <w:ilvl w:val="12"/>
          <w:numId w:val="0"/>
        </w:numPr>
        <w:tabs>
          <w:tab w:val="clear" w:pos="562"/>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24AC9CCE" w14:textId="77777777" w:rsidTr="00171601">
        <w:tc>
          <w:tcPr>
            <w:tcW w:w="9287" w:type="dxa"/>
            <w:gridSpan w:val="3"/>
          </w:tcPr>
          <w:p w14:paraId="33321DC3" w14:textId="77777777" w:rsidR="00BC0E7E" w:rsidRPr="00BC0E7E" w:rsidRDefault="00944B8F" w:rsidP="00BC0E7E">
            <w:pPr>
              <w:keepNext/>
              <w:numPr>
                <w:ilvl w:val="12"/>
                <w:numId w:val="0"/>
              </w:numPr>
              <w:tabs>
                <w:tab w:val="clear" w:pos="562"/>
              </w:tabs>
              <w:ind w:right="-2"/>
            </w:pPr>
            <w:r w:rsidRPr="00BC0E7E">
              <w:rPr>
                <w:b/>
              </w:rPr>
              <w:t>Crohn’s disease</w:t>
            </w:r>
          </w:p>
        </w:tc>
      </w:tr>
      <w:tr w:rsidR="00C6578C" w14:paraId="040F084B" w14:textId="77777777" w:rsidTr="00171601">
        <w:tc>
          <w:tcPr>
            <w:tcW w:w="3095" w:type="dxa"/>
          </w:tcPr>
          <w:p w14:paraId="0D0851F2" w14:textId="77777777" w:rsidR="00BC0E7E" w:rsidRPr="00BC0E7E" w:rsidRDefault="00944B8F" w:rsidP="00BC0E7E">
            <w:pPr>
              <w:keepNext/>
              <w:numPr>
                <w:ilvl w:val="12"/>
                <w:numId w:val="0"/>
              </w:numPr>
              <w:tabs>
                <w:tab w:val="clear" w:pos="562"/>
              </w:tabs>
              <w:ind w:right="-2"/>
            </w:pPr>
            <w:r w:rsidRPr="00BC0E7E">
              <w:rPr>
                <w:b/>
              </w:rPr>
              <w:t>Age or body weight</w:t>
            </w:r>
          </w:p>
        </w:tc>
        <w:tc>
          <w:tcPr>
            <w:tcW w:w="3096" w:type="dxa"/>
          </w:tcPr>
          <w:p w14:paraId="133C72DB" w14:textId="77777777" w:rsidR="00BC0E7E" w:rsidRPr="00BC0E7E" w:rsidRDefault="00944B8F" w:rsidP="00BC0E7E">
            <w:pPr>
              <w:keepNext/>
              <w:numPr>
                <w:ilvl w:val="12"/>
                <w:numId w:val="0"/>
              </w:numPr>
              <w:tabs>
                <w:tab w:val="clear" w:pos="562"/>
              </w:tabs>
              <w:ind w:right="-2"/>
            </w:pPr>
            <w:r w:rsidRPr="00BC0E7E">
              <w:rPr>
                <w:b/>
              </w:rPr>
              <w:t>How much and how often to take?</w:t>
            </w:r>
          </w:p>
        </w:tc>
        <w:tc>
          <w:tcPr>
            <w:tcW w:w="3096" w:type="dxa"/>
          </w:tcPr>
          <w:p w14:paraId="110EE90B" w14:textId="77777777" w:rsidR="00BC0E7E" w:rsidRPr="00BC0E7E" w:rsidRDefault="00944B8F" w:rsidP="00BC0E7E">
            <w:pPr>
              <w:keepNext/>
              <w:numPr>
                <w:ilvl w:val="12"/>
                <w:numId w:val="0"/>
              </w:numPr>
              <w:tabs>
                <w:tab w:val="clear" w:pos="562"/>
              </w:tabs>
              <w:ind w:right="-2"/>
            </w:pPr>
            <w:r w:rsidRPr="00BC0E7E">
              <w:rPr>
                <w:b/>
              </w:rPr>
              <w:t>Notes</w:t>
            </w:r>
          </w:p>
        </w:tc>
      </w:tr>
      <w:tr w:rsidR="00C6578C" w14:paraId="24F5100A" w14:textId="77777777" w:rsidTr="00171601">
        <w:tc>
          <w:tcPr>
            <w:tcW w:w="3095" w:type="dxa"/>
          </w:tcPr>
          <w:p w14:paraId="4FBDC8B0" w14:textId="77777777" w:rsidR="00BC0E7E" w:rsidRPr="00BC0E7E" w:rsidRDefault="00944B8F" w:rsidP="00B74112">
            <w:pPr>
              <w:numPr>
                <w:ilvl w:val="12"/>
                <w:numId w:val="0"/>
              </w:numPr>
              <w:tabs>
                <w:tab w:val="clear" w:pos="562"/>
              </w:tabs>
              <w:ind w:right="-2"/>
            </w:pPr>
            <w:r w:rsidRPr="00BC0E7E">
              <w:t>Children</w:t>
            </w:r>
            <w:r w:rsidR="00B74112">
              <w:t>,</w:t>
            </w:r>
            <w:r w:rsidRPr="00BC0E7E">
              <w:t xml:space="preserve"> adolescents </w:t>
            </w:r>
            <w:r w:rsidR="00B74112">
              <w:t xml:space="preserve">and adults </w:t>
            </w:r>
            <w:r w:rsidRPr="00BC0E7E">
              <w:t>from 6 to 17 years of age weighing 40 kg or more</w:t>
            </w:r>
          </w:p>
        </w:tc>
        <w:tc>
          <w:tcPr>
            <w:tcW w:w="3096" w:type="dxa"/>
          </w:tcPr>
          <w:p w14:paraId="3EC8DE8E" w14:textId="77777777" w:rsidR="00BC0E7E" w:rsidRPr="00BC0E7E" w:rsidRDefault="00944B8F" w:rsidP="00BC0E7E">
            <w:r w:rsidRPr="00BC0E7E">
              <w:t>First dose of 80 mg (</w:t>
            </w:r>
            <w:r w:rsidRPr="00BC0E7E">
              <w:rPr>
                <w:szCs w:val="22"/>
              </w:rPr>
              <w:t>one 80 mg injection</w:t>
            </w:r>
            <w:r w:rsidRPr="00BC0E7E">
              <w:t>), followed by 40 mg two weeks later.</w:t>
            </w:r>
          </w:p>
          <w:p w14:paraId="3B0EC687" w14:textId="77777777" w:rsidR="00BC0E7E" w:rsidRPr="00BC0E7E" w:rsidRDefault="00BC0E7E" w:rsidP="00BC0E7E"/>
          <w:p w14:paraId="40E2F3D2" w14:textId="77777777" w:rsidR="00BC0E7E" w:rsidRPr="00BC0E7E" w:rsidRDefault="00944B8F" w:rsidP="00BC0E7E">
            <w:r w:rsidRPr="00BC0E7E">
              <w:t>If a faster response is required, the doctor may prescribe a first dose of 160 mg (two 80 mg injections in one day or one 80 mg injection per day for two consecutive days), followed by 80 mg (</w:t>
            </w:r>
            <w:r w:rsidRPr="00BC0E7E">
              <w:rPr>
                <w:szCs w:val="22"/>
              </w:rPr>
              <w:t>one 80 mg injection</w:t>
            </w:r>
            <w:r w:rsidRPr="00BC0E7E">
              <w:t>) two weeks later.</w:t>
            </w:r>
          </w:p>
          <w:p w14:paraId="5DB0A3C4" w14:textId="77777777" w:rsidR="00BC0E7E" w:rsidRPr="00BC0E7E" w:rsidRDefault="00BC0E7E" w:rsidP="00BC0E7E"/>
          <w:p w14:paraId="5C87864B" w14:textId="77777777" w:rsidR="00BC0E7E" w:rsidRPr="00BC0E7E" w:rsidRDefault="00944B8F" w:rsidP="00BC0E7E">
            <w:pPr>
              <w:numPr>
                <w:ilvl w:val="12"/>
                <w:numId w:val="0"/>
              </w:numPr>
              <w:tabs>
                <w:tab w:val="clear" w:pos="562"/>
              </w:tabs>
              <w:ind w:right="-2"/>
            </w:pPr>
            <w:r w:rsidRPr="00BC0E7E">
              <w:t>Thereafter, the usual dose is 40 mg every other week.</w:t>
            </w:r>
          </w:p>
        </w:tc>
        <w:tc>
          <w:tcPr>
            <w:tcW w:w="3096" w:type="dxa"/>
          </w:tcPr>
          <w:p w14:paraId="5637E142" w14:textId="77777777" w:rsidR="00BC0E7E" w:rsidRPr="00BC0E7E" w:rsidRDefault="00944B8F" w:rsidP="00BC0E7E">
            <w:r w:rsidRPr="00BC0E7E">
              <w:t>Your doctor may increase the dos</w:t>
            </w:r>
            <w:r w:rsidR="0090734E">
              <w:t>ag</w:t>
            </w:r>
            <w:r w:rsidRPr="00BC0E7E">
              <w:t>e to 40 mg every week</w:t>
            </w:r>
            <w:r w:rsidR="0090734E">
              <w:t xml:space="preserve"> or 80 mg every other week</w:t>
            </w:r>
            <w:r w:rsidRPr="00BC0E7E">
              <w:t>.</w:t>
            </w:r>
          </w:p>
          <w:p w14:paraId="38C97E0A" w14:textId="77777777" w:rsidR="00BC0E7E" w:rsidRPr="00BC0E7E" w:rsidRDefault="00BC0E7E" w:rsidP="00BC0E7E"/>
        </w:tc>
      </w:tr>
      <w:tr w:rsidR="00C6578C" w14:paraId="09564BC8" w14:textId="77777777" w:rsidTr="00171601">
        <w:tc>
          <w:tcPr>
            <w:tcW w:w="3095" w:type="dxa"/>
          </w:tcPr>
          <w:p w14:paraId="68751145" w14:textId="77777777" w:rsidR="00BC0E7E" w:rsidRPr="00BC0E7E" w:rsidRDefault="00944B8F" w:rsidP="00BC0E7E">
            <w:pPr>
              <w:numPr>
                <w:ilvl w:val="12"/>
                <w:numId w:val="0"/>
              </w:numPr>
              <w:tabs>
                <w:tab w:val="clear" w:pos="562"/>
              </w:tabs>
              <w:ind w:right="-2"/>
            </w:pPr>
            <w:r w:rsidRPr="00BC0E7E">
              <w:t>Children and adolescents from 6 to 17 years of age weighing less than 40 kg</w:t>
            </w:r>
          </w:p>
        </w:tc>
        <w:tc>
          <w:tcPr>
            <w:tcW w:w="3096" w:type="dxa"/>
          </w:tcPr>
          <w:p w14:paraId="6E246266" w14:textId="77777777" w:rsidR="00BC0E7E" w:rsidRPr="00BC0E7E" w:rsidRDefault="00944B8F" w:rsidP="00BC0E7E">
            <w:r w:rsidRPr="00BC0E7E">
              <w:t xml:space="preserve">First dose of 40 mg, followed by 20 mg two weeks later. </w:t>
            </w:r>
          </w:p>
          <w:p w14:paraId="04DFD733" w14:textId="77777777" w:rsidR="00BC0E7E" w:rsidRPr="00BC0E7E" w:rsidRDefault="00944B8F" w:rsidP="00BC0E7E">
            <w:r w:rsidRPr="00BC0E7E">
              <w:t>If a faster response is required, the doctor may prescribe a first dose of 80 mg (</w:t>
            </w:r>
            <w:r w:rsidRPr="00BC0E7E">
              <w:rPr>
                <w:szCs w:val="22"/>
              </w:rPr>
              <w:t>one 80 mg injection</w:t>
            </w:r>
            <w:r w:rsidRPr="00BC0E7E">
              <w:t>), followed by 40 mg two weeks later.</w:t>
            </w:r>
          </w:p>
          <w:p w14:paraId="1A4F619F" w14:textId="77777777" w:rsidR="00BC0E7E" w:rsidRPr="00BC0E7E" w:rsidRDefault="00BC0E7E" w:rsidP="00BC0E7E"/>
          <w:p w14:paraId="7260DD09" w14:textId="77777777" w:rsidR="00BC0E7E" w:rsidRPr="00BC0E7E" w:rsidRDefault="00944B8F" w:rsidP="00BC0E7E">
            <w:pPr>
              <w:numPr>
                <w:ilvl w:val="12"/>
                <w:numId w:val="0"/>
              </w:numPr>
              <w:tabs>
                <w:tab w:val="clear" w:pos="562"/>
              </w:tabs>
              <w:ind w:right="-2"/>
            </w:pPr>
            <w:r w:rsidRPr="00BC0E7E">
              <w:t>Thereafter, the usual dose is 20 mg every other week.</w:t>
            </w:r>
          </w:p>
        </w:tc>
        <w:tc>
          <w:tcPr>
            <w:tcW w:w="3096" w:type="dxa"/>
          </w:tcPr>
          <w:p w14:paraId="090C9F07" w14:textId="77777777" w:rsidR="00BC0E7E" w:rsidRPr="00BC0E7E" w:rsidRDefault="00944B8F" w:rsidP="00BC0E7E">
            <w:r w:rsidRPr="00BC0E7E">
              <w:t>Your doctor may increase the dose frequency to 20 mg every week.</w:t>
            </w:r>
          </w:p>
          <w:p w14:paraId="443D93A7" w14:textId="77777777" w:rsidR="00BC0E7E" w:rsidRPr="00BC0E7E" w:rsidRDefault="00BC0E7E" w:rsidP="00BC0E7E">
            <w:pPr>
              <w:numPr>
                <w:ilvl w:val="12"/>
                <w:numId w:val="0"/>
              </w:numPr>
              <w:tabs>
                <w:tab w:val="clear" w:pos="562"/>
              </w:tabs>
              <w:ind w:right="-2"/>
            </w:pPr>
          </w:p>
        </w:tc>
      </w:tr>
    </w:tbl>
    <w:p w14:paraId="4EA5F087" w14:textId="77777777" w:rsidR="00BC0E7E" w:rsidRPr="00BC0E7E" w:rsidRDefault="00BC0E7E" w:rsidP="00BC0E7E">
      <w:pPr>
        <w:numPr>
          <w:ilvl w:val="12"/>
          <w:numId w:val="0"/>
        </w:numPr>
        <w:tabs>
          <w:tab w:val="clear" w:pos="562"/>
        </w:tabs>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30DE0CB3" w14:textId="77777777" w:rsidTr="00171601">
        <w:tc>
          <w:tcPr>
            <w:tcW w:w="9287" w:type="dxa"/>
            <w:gridSpan w:val="3"/>
          </w:tcPr>
          <w:p w14:paraId="4F093FB6" w14:textId="77777777" w:rsidR="00BC0E7E" w:rsidRPr="00BC0E7E" w:rsidRDefault="00944B8F" w:rsidP="001E382C">
            <w:pPr>
              <w:numPr>
                <w:ilvl w:val="12"/>
                <w:numId w:val="0"/>
              </w:numPr>
              <w:tabs>
                <w:tab w:val="clear" w:pos="562"/>
              </w:tabs>
              <w:ind w:right="-2"/>
              <w:rPr>
                <w:b/>
              </w:rPr>
            </w:pPr>
            <w:r w:rsidRPr="00BC0E7E">
              <w:rPr>
                <w:b/>
                <w:szCs w:val="22"/>
              </w:rPr>
              <w:t>Ulcerative colitis</w:t>
            </w:r>
          </w:p>
        </w:tc>
      </w:tr>
      <w:tr w:rsidR="00C6578C" w14:paraId="0792A9B1" w14:textId="77777777" w:rsidTr="00171601">
        <w:tc>
          <w:tcPr>
            <w:tcW w:w="3095" w:type="dxa"/>
          </w:tcPr>
          <w:p w14:paraId="5199F1DD" w14:textId="77777777" w:rsidR="00BC0E7E" w:rsidRPr="00BC0E7E" w:rsidRDefault="00944B8F" w:rsidP="001E382C">
            <w:pPr>
              <w:numPr>
                <w:ilvl w:val="12"/>
                <w:numId w:val="0"/>
              </w:numPr>
              <w:tabs>
                <w:tab w:val="clear" w:pos="562"/>
              </w:tabs>
              <w:ind w:right="-2"/>
            </w:pPr>
            <w:r w:rsidRPr="00BC0E7E">
              <w:rPr>
                <w:b/>
              </w:rPr>
              <w:t>Age or body weight</w:t>
            </w:r>
          </w:p>
        </w:tc>
        <w:tc>
          <w:tcPr>
            <w:tcW w:w="3096" w:type="dxa"/>
          </w:tcPr>
          <w:p w14:paraId="19E08607" w14:textId="77777777" w:rsidR="00BC0E7E" w:rsidRPr="00BC0E7E" w:rsidRDefault="00944B8F" w:rsidP="001E382C">
            <w:pPr>
              <w:numPr>
                <w:ilvl w:val="12"/>
                <w:numId w:val="0"/>
              </w:numPr>
              <w:tabs>
                <w:tab w:val="clear" w:pos="562"/>
              </w:tabs>
              <w:ind w:right="-2"/>
            </w:pPr>
            <w:r w:rsidRPr="00BC0E7E">
              <w:rPr>
                <w:b/>
              </w:rPr>
              <w:t>How much and how often to take?</w:t>
            </w:r>
          </w:p>
        </w:tc>
        <w:tc>
          <w:tcPr>
            <w:tcW w:w="3096" w:type="dxa"/>
          </w:tcPr>
          <w:p w14:paraId="55826CBE" w14:textId="77777777" w:rsidR="00BC0E7E" w:rsidRPr="00BC0E7E" w:rsidRDefault="00944B8F" w:rsidP="00BC0E7E">
            <w:pPr>
              <w:keepNext/>
              <w:numPr>
                <w:ilvl w:val="12"/>
                <w:numId w:val="0"/>
              </w:numPr>
              <w:tabs>
                <w:tab w:val="clear" w:pos="562"/>
              </w:tabs>
              <w:ind w:right="-2"/>
            </w:pPr>
            <w:r w:rsidRPr="00BC0E7E">
              <w:rPr>
                <w:b/>
              </w:rPr>
              <w:t>Notes</w:t>
            </w:r>
          </w:p>
        </w:tc>
      </w:tr>
      <w:tr w:rsidR="00C6578C" w14:paraId="7E77EB14" w14:textId="77777777" w:rsidTr="00171601">
        <w:tc>
          <w:tcPr>
            <w:tcW w:w="3095" w:type="dxa"/>
          </w:tcPr>
          <w:p w14:paraId="208497A9" w14:textId="77777777" w:rsidR="00BC0E7E" w:rsidRPr="00BC0E7E" w:rsidRDefault="00944B8F" w:rsidP="001E382C">
            <w:pPr>
              <w:numPr>
                <w:ilvl w:val="12"/>
                <w:numId w:val="0"/>
              </w:numPr>
              <w:tabs>
                <w:tab w:val="clear" w:pos="562"/>
              </w:tabs>
              <w:ind w:right="-2"/>
            </w:pPr>
            <w:r w:rsidRPr="00BC0E7E">
              <w:t>Adults</w:t>
            </w:r>
          </w:p>
        </w:tc>
        <w:tc>
          <w:tcPr>
            <w:tcW w:w="3096" w:type="dxa"/>
          </w:tcPr>
          <w:p w14:paraId="19BAF641" w14:textId="77777777" w:rsidR="00BC0E7E" w:rsidRPr="00BC0E7E" w:rsidRDefault="00944B8F" w:rsidP="001E382C">
            <w:pPr>
              <w:numPr>
                <w:ilvl w:val="12"/>
                <w:numId w:val="0"/>
              </w:numPr>
              <w:tabs>
                <w:tab w:val="clear" w:pos="562"/>
              </w:tabs>
            </w:pPr>
            <w:r w:rsidRPr="00BC0E7E">
              <w:t xml:space="preserve">First dose of 160 mg (two 80 mg injections in one day or </w:t>
            </w:r>
            <w:r w:rsidRPr="00BC0E7E">
              <w:rPr>
                <w:szCs w:val="22"/>
              </w:rPr>
              <w:t>one 80 mg injection</w:t>
            </w:r>
            <w:r w:rsidRPr="00BC0E7E">
              <w:t xml:space="preserve"> per day for two consecutive days), followed by 80 mg (</w:t>
            </w:r>
            <w:r w:rsidRPr="00BC0E7E">
              <w:rPr>
                <w:szCs w:val="22"/>
              </w:rPr>
              <w:t>one 80 mg injection</w:t>
            </w:r>
            <w:r w:rsidRPr="00BC0E7E">
              <w:t>) two weeks later.</w:t>
            </w:r>
          </w:p>
          <w:p w14:paraId="3485D682" w14:textId="77777777" w:rsidR="00BC0E7E" w:rsidRPr="00BC0E7E" w:rsidRDefault="00BC0E7E" w:rsidP="001E382C">
            <w:pPr>
              <w:numPr>
                <w:ilvl w:val="12"/>
                <w:numId w:val="0"/>
              </w:numPr>
              <w:tabs>
                <w:tab w:val="clear" w:pos="562"/>
              </w:tabs>
            </w:pPr>
          </w:p>
          <w:p w14:paraId="0D830A3A" w14:textId="77777777" w:rsidR="00BC0E7E" w:rsidRPr="00BC0E7E" w:rsidRDefault="00944B8F" w:rsidP="001E382C">
            <w:pPr>
              <w:numPr>
                <w:ilvl w:val="12"/>
                <w:numId w:val="0"/>
              </w:numPr>
              <w:tabs>
                <w:tab w:val="clear" w:pos="562"/>
              </w:tabs>
            </w:pPr>
            <w:r w:rsidRPr="00BC0E7E">
              <w:lastRenderedPageBreak/>
              <w:t>Thereafter, the usual dose is 40 mg every other week.</w:t>
            </w:r>
          </w:p>
          <w:p w14:paraId="772C141B" w14:textId="77777777" w:rsidR="00BC0E7E" w:rsidRPr="00BC0E7E" w:rsidRDefault="00BC0E7E" w:rsidP="001E382C">
            <w:pPr>
              <w:numPr>
                <w:ilvl w:val="12"/>
                <w:numId w:val="0"/>
              </w:numPr>
              <w:tabs>
                <w:tab w:val="clear" w:pos="562"/>
              </w:tabs>
            </w:pPr>
          </w:p>
        </w:tc>
        <w:tc>
          <w:tcPr>
            <w:tcW w:w="3096" w:type="dxa"/>
          </w:tcPr>
          <w:p w14:paraId="710C431F" w14:textId="77777777" w:rsidR="00BC0E7E" w:rsidRPr="00BC0E7E" w:rsidRDefault="00944B8F" w:rsidP="00EC44BE">
            <w:pPr>
              <w:keepNext/>
              <w:numPr>
                <w:ilvl w:val="12"/>
                <w:numId w:val="0"/>
              </w:numPr>
              <w:tabs>
                <w:tab w:val="clear" w:pos="562"/>
              </w:tabs>
            </w:pPr>
            <w:r w:rsidRPr="00BC0E7E">
              <w:lastRenderedPageBreak/>
              <w:t>Your doctor may increase the dos</w:t>
            </w:r>
            <w:r w:rsidR="000C7FDF">
              <w:t>ag</w:t>
            </w:r>
            <w:r w:rsidRPr="00BC0E7E">
              <w:t>e to 40 mg every week</w:t>
            </w:r>
            <w:r w:rsidR="000C7FDF">
              <w:t xml:space="preserve"> or 80 mg every other week</w:t>
            </w:r>
            <w:r w:rsidRPr="00BC0E7E">
              <w:t>.</w:t>
            </w:r>
          </w:p>
        </w:tc>
      </w:tr>
      <w:tr w:rsidR="00C6578C" w14:paraId="21442A17" w14:textId="77777777" w:rsidTr="00171601">
        <w:tc>
          <w:tcPr>
            <w:tcW w:w="3095" w:type="dxa"/>
          </w:tcPr>
          <w:p w14:paraId="598250FB" w14:textId="77777777" w:rsidR="006E0760" w:rsidRPr="00BC0E7E" w:rsidRDefault="00944B8F" w:rsidP="006E0760">
            <w:pPr>
              <w:numPr>
                <w:ilvl w:val="12"/>
                <w:numId w:val="0"/>
              </w:numPr>
              <w:tabs>
                <w:tab w:val="clear" w:pos="562"/>
              </w:tabs>
              <w:ind w:right="-2"/>
            </w:pPr>
            <w:r w:rsidRPr="005037B5">
              <w:t>Children</w:t>
            </w:r>
            <w:r w:rsidRPr="00BE5760">
              <w:t xml:space="preserve"> and adolescents from </w:t>
            </w:r>
            <w:r>
              <w:t>6</w:t>
            </w:r>
            <w:r w:rsidRPr="00BE5760">
              <w:t xml:space="preserve"> </w:t>
            </w:r>
            <w:r w:rsidRPr="006527B0">
              <w:t>years of age weighing less than 40 kg</w:t>
            </w:r>
          </w:p>
        </w:tc>
        <w:tc>
          <w:tcPr>
            <w:tcW w:w="3096" w:type="dxa"/>
          </w:tcPr>
          <w:p w14:paraId="77698A9E" w14:textId="77777777" w:rsidR="006E0760" w:rsidRPr="00BE5760" w:rsidRDefault="00944B8F" w:rsidP="006E0760">
            <w:pPr>
              <w:numPr>
                <w:ilvl w:val="12"/>
                <w:numId w:val="0"/>
              </w:numPr>
              <w:tabs>
                <w:tab w:val="clear" w:pos="562"/>
              </w:tabs>
            </w:pPr>
            <w:r w:rsidRPr="00DA728B">
              <w:t>First dose of 80 mg</w:t>
            </w:r>
            <w:r w:rsidRPr="005037B5">
              <w:t xml:space="preserve"> (</w:t>
            </w:r>
            <w:r>
              <w:t>one 80 mg injection</w:t>
            </w:r>
            <w:r w:rsidRPr="00BE5760">
              <w:t>), followed by 40 mg</w:t>
            </w:r>
            <w:r w:rsidR="003859F7">
              <w:t xml:space="preserve"> (one 40 mg injection)</w:t>
            </w:r>
            <w:r w:rsidRPr="00BE5760">
              <w:t xml:space="preserve"> two weeks later.</w:t>
            </w:r>
          </w:p>
          <w:p w14:paraId="26F7BCA5" w14:textId="77777777" w:rsidR="006E0760" w:rsidRPr="00BE5760" w:rsidRDefault="006E0760" w:rsidP="006E0760">
            <w:pPr>
              <w:numPr>
                <w:ilvl w:val="12"/>
                <w:numId w:val="0"/>
              </w:numPr>
              <w:tabs>
                <w:tab w:val="clear" w:pos="562"/>
              </w:tabs>
            </w:pPr>
          </w:p>
          <w:p w14:paraId="090CD97D" w14:textId="77777777" w:rsidR="006E0760" w:rsidRPr="00BC0E7E" w:rsidRDefault="00944B8F" w:rsidP="006E0760">
            <w:pPr>
              <w:numPr>
                <w:ilvl w:val="12"/>
                <w:numId w:val="0"/>
              </w:numPr>
              <w:tabs>
                <w:tab w:val="clear" w:pos="562"/>
              </w:tabs>
            </w:pPr>
            <w:r w:rsidRPr="006527B0">
              <w:t>Thereafter, the usual dose is 40 mg ever</w:t>
            </w:r>
            <w:r>
              <w:t>y</w:t>
            </w:r>
            <w:r w:rsidRPr="006527B0">
              <w:t xml:space="preserve"> other week.</w:t>
            </w:r>
          </w:p>
        </w:tc>
        <w:tc>
          <w:tcPr>
            <w:tcW w:w="3096" w:type="dxa"/>
          </w:tcPr>
          <w:p w14:paraId="4D005831" w14:textId="77777777" w:rsidR="006E0760" w:rsidRPr="00BC0E7E" w:rsidRDefault="00944B8F" w:rsidP="006E0760">
            <w:pPr>
              <w:keepNext/>
              <w:numPr>
                <w:ilvl w:val="12"/>
                <w:numId w:val="0"/>
              </w:numPr>
              <w:tabs>
                <w:tab w:val="clear" w:pos="562"/>
              </w:tabs>
            </w:pPr>
            <w:r w:rsidRPr="00DF2EE5">
              <w:t>You should continue taking Humira at your usual dose, even after turning 18 years of age.</w:t>
            </w:r>
          </w:p>
        </w:tc>
      </w:tr>
      <w:tr w:rsidR="00C6578C" w14:paraId="0200DA31" w14:textId="77777777" w:rsidTr="00171601">
        <w:tc>
          <w:tcPr>
            <w:tcW w:w="3095" w:type="dxa"/>
          </w:tcPr>
          <w:p w14:paraId="4F0F8979" w14:textId="77777777" w:rsidR="006E0760" w:rsidRPr="00BC0E7E" w:rsidRDefault="00944B8F" w:rsidP="006E0760">
            <w:pPr>
              <w:numPr>
                <w:ilvl w:val="12"/>
                <w:numId w:val="0"/>
              </w:numPr>
              <w:tabs>
                <w:tab w:val="clear" w:pos="562"/>
              </w:tabs>
              <w:ind w:right="-2"/>
            </w:pPr>
            <w:r w:rsidRPr="005037B5">
              <w:t xml:space="preserve">Children and adolescents from </w:t>
            </w:r>
            <w:r>
              <w:t>6</w:t>
            </w:r>
            <w:r w:rsidRPr="005037B5">
              <w:t xml:space="preserve"> years of age weighing 40 kg or more</w:t>
            </w:r>
          </w:p>
        </w:tc>
        <w:tc>
          <w:tcPr>
            <w:tcW w:w="3096" w:type="dxa"/>
          </w:tcPr>
          <w:p w14:paraId="2219CDFC" w14:textId="77777777" w:rsidR="006E0760" w:rsidRPr="006527B0" w:rsidRDefault="00944B8F" w:rsidP="006E0760">
            <w:pPr>
              <w:numPr>
                <w:ilvl w:val="12"/>
                <w:numId w:val="0"/>
              </w:numPr>
              <w:tabs>
                <w:tab w:val="clear" w:pos="562"/>
              </w:tabs>
            </w:pPr>
            <w:r w:rsidRPr="005037B5">
              <w:t>First dose of 160 mg (</w:t>
            </w:r>
            <w:r w:rsidR="00337AA6">
              <w:t>two</w:t>
            </w:r>
            <w:r>
              <w:t xml:space="preserve"> 8</w:t>
            </w:r>
            <w:r w:rsidRPr="00D5591F">
              <w:t xml:space="preserve">0 mg injections in one day or </w:t>
            </w:r>
            <w:r w:rsidR="00BB5917">
              <w:t>one</w:t>
            </w:r>
            <w:r w:rsidRPr="00D5591F">
              <w:t xml:space="preserve"> </w:t>
            </w:r>
            <w:r>
              <w:t>8</w:t>
            </w:r>
            <w:r w:rsidRPr="00D5591F">
              <w:t>0 mg injection per day for two consecutive days</w:t>
            </w:r>
            <w:r w:rsidRPr="00BE5760">
              <w:t>), followed by 80 mg (</w:t>
            </w:r>
            <w:r>
              <w:t>one</w:t>
            </w:r>
            <w:r w:rsidR="00C730BD">
              <w:t xml:space="preserve"> </w:t>
            </w:r>
            <w:r>
              <w:t>8</w:t>
            </w:r>
            <w:r w:rsidRPr="00BE5760">
              <w:t>0 mg injection) two weeks later.</w:t>
            </w:r>
          </w:p>
          <w:p w14:paraId="53000D05" w14:textId="77777777" w:rsidR="006E0760" w:rsidRPr="006527B0" w:rsidRDefault="006E0760" w:rsidP="006E0760">
            <w:pPr>
              <w:numPr>
                <w:ilvl w:val="12"/>
                <w:numId w:val="0"/>
              </w:numPr>
              <w:tabs>
                <w:tab w:val="clear" w:pos="562"/>
              </w:tabs>
            </w:pPr>
          </w:p>
          <w:p w14:paraId="440055CD" w14:textId="77777777" w:rsidR="006E0760" w:rsidRPr="00BC0E7E" w:rsidRDefault="00944B8F" w:rsidP="006E0760">
            <w:pPr>
              <w:numPr>
                <w:ilvl w:val="12"/>
                <w:numId w:val="0"/>
              </w:numPr>
              <w:tabs>
                <w:tab w:val="clear" w:pos="562"/>
              </w:tabs>
            </w:pPr>
            <w:r w:rsidRPr="00DA728B">
              <w:t>Thereafter, the usual dose is 80 m</w:t>
            </w:r>
            <w:r w:rsidRPr="005037B5">
              <w:t>g every other week.</w:t>
            </w:r>
          </w:p>
        </w:tc>
        <w:tc>
          <w:tcPr>
            <w:tcW w:w="3096" w:type="dxa"/>
          </w:tcPr>
          <w:p w14:paraId="5BE88345" w14:textId="77777777" w:rsidR="006E0760" w:rsidRPr="00BC0E7E" w:rsidRDefault="00944B8F" w:rsidP="006E0760">
            <w:pPr>
              <w:keepNext/>
              <w:numPr>
                <w:ilvl w:val="12"/>
                <w:numId w:val="0"/>
              </w:numPr>
              <w:tabs>
                <w:tab w:val="clear" w:pos="562"/>
              </w:tabs>
            </w:pPr>
            <w:r w:rsidRPr="00DF2EE5">
              <w:t>You should continue taking Humira at your usual dose, even after turning 18 years of age.</w:t>
            </w:r>
          </w:p>
        </w:tc>
      </w:tr>
    </w:tbl>
    <w:p w14:paraId="75BF4165" w14:textId="77777777" w:rsidR="00BC0E7E" w:rsidRPr="00BC0E7E" w:rsidRDefault="00BC0E7E" w:rsidP="00BC0E7E">
      <w:pPr>
        <w:numPr>
          <w:ilvl w:val="12"/>
          <w:numId w:val="0"/>
        </w:num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C6578C" w14:paraId="4552EB9C" w14:textId="77777777" w:rsidTr="00171601">
        <w:tc>
          <w:tcPr>
            <w:tcW w:w="9287" w:type="dxa"/>
            <w:gridSpan w:val="3"/>
          </w:tcPr>
          <w:p w14:paraId="453CB75B" w14:textId="77777777" w:rsidR="00BC0E7E" w:rsidRPr="00BC0E7E" w:rsidRDefault="00944B8F" w:rsidP="00BC0E7E">
            <w:pPr>
              <w:numPr>
                <w:ilvl w:val="12"/>
                <w:numId w:val="0"/>
              </w:numPr>
              <w:tabs>
                <w:tab w:val="clear" w:pos="562"/>
              </w:tabs>
              <w:ind w:right="-2"/>
              <w:rPr>
                <w:b/>
              </w:rPr>
            </w:pPr>
            <w:r w:rsidRPr="00BC0E7E">
              <w:rPr>
                <w:b/>
                <w:szCs w:val="22"/>
              </w:rPr>
              <w:t>Non-infectious uveitis</w:t>
            </w:r>
          </w:p>
        </w:tc>
      </w:tr>
      <w:tr w:rsidR="00C6578C" w14:paraId="5B8442F4" w14:textId="77777777" w:rsidTr="00171601">
        <w:tc>
          <w:tcPr>
            <w:tcW w:w="3095" w:type="dxa"/>
          </w:tcPr>
          <w:p w14:paraId="19259970" w14:textId="77777777" w:rsidR="00BC0E7E" w:rsidRPr="00BC0E7E" w:rsidRDefault="00944B8F" w:rsidP="00BC0E7E">
            <w:pPr>
              <w:numPr>
                <w:ilvl w:val="12"/>
                <w:numId w:val="0"/>
              </w:numPr>
              <w:tabs>
                <w:tab w:val="clear" w:pos="562"/>
              </w:tabs>
              <w:ind w:right="-2"/>
            </w:pPr>
            <w:r w:rsidRPr="00BC0E7E">
              <w:rPr>
                <w:b/>
              </w:rPr>
              <w:t>Age or body weight</w:t>
            </w:r>
          </w:p>
        </w:tc>
        <w:tc>
          <w:tcPr>
            <w:tcW w:w="3096" w:type="dxa"/>
          </w:tcPr>
          <w:p w14:paraId="527C2864" w14:textId="77777777" w:rsidR="00BC0E7E" w:rsidRPr="00BC0E7E" w:rsidRDefault="00944B8F" w:rsidP="00BC0E7E">
            <w:pPr>
              <w:tabs>
                <w:tab w:val="clear" w:pos="562"/>
                <w:tab w:val="left" w:pos="0"/>
              </w:tabs>
            </w:pPr>
            <w:r w:rsidRPr="00BC0E7E">
              <w:rPr>
                <w:b/>
              </w:rPr>
              <w:t>How much and how often to take?</w:t>
            </w:r>
          </w:p>
        </w:tc>
        <w:tc>
          <w:tcPr>
            <w:tcW w:w="3096" w:type="dxa"/>
          </w:tcPr>
          <w:p w14:paraId="002661D8" w14:textId="77777777" w:rsidR="00BC0E7E" w:rsidRPr="00BC0E7E" w:rsidRDefault="00944B8F" w:rsidP="00BC0E7E">
            <w:pPr>
              <w:numPr>
                <w:ilvl w:val="12"/>
                <w:numId w:val="0"/>
              </w:numPr>
              <w:tabs>
                <w:tab w:val="clear" w:pos="562"/>
              </w:tabs>
            </w:pPr>
            <w:r w:rsidRPr="00BC0E7E">
              <w:rPr>
                <w:b/>
              </w:rPr>
              <w:t>Notes</w:t>
            </w:r>
          </w:p>
        </w:tc>
      </w:tr>
      <w:tr w:rsidR="00C6578C" w14:paraId="2AA7D01C" w14:textId="77777777" w:rsidTr="00171601">
        <w:tc>
          <w:tcPr>
            <w:tcW w:w="3095" w:type="dxa"/>
          </w:tcPr>
          <w:p w14:paraId="7C098047" w14:textId="77777777" w:rsidR="00BC0E7E" w:rsidRPr="00BC0E7E" w:rsidRDefault="00944B8F" w:rsidP="00BC0E7E">
            <w:pPr>
              <w:numPr>
                <w:ilvl w:val="12"/>
                <w:numId w:val="0"/>
              </w:numPr>
              <w:tabs>
                <w:tab w:val="clear" w:pos="562"/>
              </w:tabs>
              <w:ind w:right="-2"/>
            </w:pPr>
            <w:r w:rsidRPr="00BC0E7E">
              <w:t>Adults</w:t>
            </w:r>
          </w:p>
        </w:tc>
        <w:tc>
          <w:tcPr>
            <w:tcW w:w="3096" w:type="dxa"/>
          </w:tcPr>
          <w:p w14:paraId="138B12C4" w14:textId="77777777" w:rsidR="00BC0E7E" w:rsidRPr="00BC0E7E" w:rsidRDefault="00944B8F" w:rsidP="00BC0E7E">
            <w:pPr>
              <w:tabs>
                <w:tab w:val="clear" w:pos="562"/>
                <w:tab w:val="left" w:pos="0"/>
              </w:tabs>
            </w:pPr>
            <w:r w:rsidRPr="00BC0E7E">
              <w:t>First dose of 80 mg (</w:t>
            </w:r>
            <w:r w:rsidRPr="00BC0E7E">
              <w:rPr>
                <w:szCs w:val="22"/>
              </w:rPr>
              <w:t>one 80 mg injection</w:t>
            </w:r>
            <w:r w:rsidRPr="00BC0E7E">
              <w:t>), followed by 40 mg every other week starting one week after the first dose.</w:t>
            </w:r>
          </w:p>
        </w:tc>
        <w:tc>
          <w:tcPr>
            <w:tcW w:w="3096" w:type="dxa"/>
          </w:tcPr>
          <w:p w14:paraId="595B9D21" w14:textId="77777777" w:rsidR="00BC0E7E" w:rsidRPr="00BC0E7E" w:rsidRDefault="00944B8F" w:rsidP="00BC0E7E">
            <w:pPr>
              <w:numPr>
                <w:ilvl w:val="12"/>
                <w:numId w:val="0"/>
              </w:numPr>
              <w:tabs>
                <w:tab w:val="clear" w:pos="562"/>
              </w:tabs>
            </w:pPr>
            <w:r w:rsidRPr="00BC0E7E">
              <w:t>Corticosteroids or other medicines that influence the immune system may be continued while using Humira. Humira can also be given alone.</w:t>
            </w:r>
          </w:p>
        </w:tc>
      </w:tr>
      <w:tr w:rsidR="00C6578C" w14:paraId="49675273" w14:textId="77777777" w:rsidTr="00171601">
        <w:tc>
          <w:tcPr>
            <w:tcW w:w="3095" w:type="dxa"/>
          </w:tcPr>
          <w:p w14:paraId="02E782D7" w14:textId="77777777" w:rsidR="00BC0E7E" w:rsidRPr="00BC0E7E" w:rsidRDefault="00944B8F" w:rsidP="00BC0E7E">
            <w:pPr>
              <w:numPr>
                <w:ilvl w:val="12"/>
                <w:numId w:val="0"/>
              </w:numPr>
              <w:tabs>
                <w:tab w:val="clear" w:pos="562"/>
              </w:tabs>
              <w:ind w:right="-2"/>
            </w:pPr>
            <w:r w:rsidRPr="00BC0E7E">
              <w:t xml:space="preserve">Children </w:t>
            </w:r>
            <w:r w:rsidR="00B74112">
              <w:t xml:space="preserve">and adolescents </w:t>
            </w:r>
            <w:r w:rsidRPr="00BC0E7E">
              <w:t>from 2 years of age weighing less than 30 kg</w:t>
            </w:r>
          </w:p>
          <w:p w14:paraId="06931C38" w14:textId="77777777" w:rsidR="00BC0E7E" w:rsidRPr="00BC0E7E" w:rsidRDefault="00BC0E7E" w:rsidP="00BC0E7E">
            <w:pPr>
              <w:numPr>
                <w:ilvl w:val="12"/>
                <w:numId w:val="0"/>
              </w:numPr>
              <w:tabs>
                <w:tab w:val="clear" w:pos="562"/>
              </w:tabs>
              <w:ind w:right="-2"/>
            </w:pPr>
          </w:p>
        </w:tc>
        <w:tc>
          <w:tcPr>
            <w:tcW w:w="3096" w:type="dxa"/>
          </w:tcPr>
          <w:p w14:paraId="54AE46F8" w14:textId="77777777" w:rsidR="00BC0E7E" w:rsidRPr="00BC0E7E" w:rsidRDefault="00944B8F" w:rsidP="00BC0E7E">
            <w:pPr>
              <w:tabs>
                <w:tab w:val="clear" w:pos="562"/>
                <w:tab w:val="left" w:pos="0"/>
              </w:tabs>
            </w:pPr>
            <w:r w:rsidRPr="00BC0E7E">
              <w:t>20 mg every other week</w:t>
            </w:r>
          </w:p>
        </w:tc>
        <w:tc>
          <w:tcPr>
            <w:tcW w:w="3096" w:type="dxa"/>
          </w:tcPr>
          <w:p w14:paraId="3CE57286" w14:textId="77777777" w:rsidR="00BC0E7E" w:rsidRPr="00BC0E7E" w:rsidRDefault="00944B8F" w:rsidP="00BC0E7E">
            <w:pPr>
              <w:numPr>
                <w:ilvl w:val="12"/>
                <w:numId w:val="0"/>
              </w:numPr>
              <w:tabs>
                <w:tab w:val="clear" w:pos="562"/>
              </w:tabs>
            </w:pPr>
            <w:r w:rsidRPr="00BC0E7E">
              <w:t>Your doctor may prescribe an initial dose of 40 mg to be administered one week prior to the start of the usual dose of 20 mg every other week. Humira is recommended for use in combination with methotrexate.</w:t>
            </w:r>
          </w:p>
        </w:tc>
      </w:tr>
      <w:tr w:rsidR="00C6578C" w14:paraId="3E1568B6" w14:textId="77777777" w:rsidTr="00171601">
        <w:tc>
          <w:tcPr>
            <w:tcW w:w="3095" w:type="dxa"/>
          </w:tcPr>
          <w:p w14:paraId="1BD2E277" w14:textId="77777777" w:rsidR="00BC0E7E" w:rsidRPr="00BC0E7E" w:rsidRDefault="00944B8F" w:rsidP="00BC0E7E">
            <w:pPr>
              <w:numPr>
                <w:ilvl w:val="12"/>
                <w:numId w:val="0"/>
              </w:numPr>
              <w:tabs>
                <w:tab w:val="clear" w:pos="562"/>
              </w:tabs>
              <w:ind w:right="-2"/>
            </w:pPr>
            <w:r w:rsidRPr="00BC0E7E">
              <w:t xml:space="preserve">Children </w:t>
            </w:r>
            <w:r w:rsidR="00B74112">
              <w:t xml:space="preserve">and adolescents </w:t>
            </w:r>
            <w:r w:rsidRPr="00BC0E7E">
              <w:t>from 2 years of age weighing 30 kg</w:t>
            </w:r>
            <w:r w:rsidR="00B74112">
              <w:t xml:space="preserve"> or more</w:t>
            </w:r>
          </w:p>
          <w:p w14:paraId="0446BD29" w14:textId="77777777" w:rsidR="00BC0E7E" w:rsidRPr="00BC0E7E" w:rsidRDefault="00BC0E7E" w:rsidP="00BC0E7E">
            <w:pPr>
              <w:numPr>
                <w:ilvl w:val="12"/>
                <w:numId w:val="0"/>
              </w:numPr>
              <w:tabs>
                <w:tab w:val="clear" w:pos="562"/>
              </w:tabs>
              <w:ind w:right="-2"/>
            </w:pPr>
          </w:p>
        </w:tc>
        <w:tc>
          <w:tcPr>
            <w:tcW w:w="3096" w:type="dxa"/>
          </w:tcPr>
          <w:p w14:paraId="28D37DC7" w14:textId="77777777" w:rsidR="00BC0E7E" w:rsidRPr="00BC0E7E" w:rsidRDefault="00944B8F" w:rsidP="00BC0E7E">
            <w:pPr>
              <w:tabs>
                <w:tab w:val="clear" w:pos="562"/>
                <w:tab w:val="left" w:pos="0"/>
              </w:tabs>
            </w:pPr>
            <w:r w:rsidRPr="00BC0E7E">
              <w:t xml:space="preserve">40 mg every other week </w:t>
            </w:r>
          </w:p>
        </w:tc>
        <w:tc>
          <w:tcPr>
            <w:tcW w:w="3096" w:type="dxa"/>
          </w:tcPr>
          <w:p w14:paraId="548CF164" w14:textId="77777777" w:rsidR="00BC0E7E" w:rsidRPr="00BC0E7E" w:rsidRDefault="00944B8F" w:rsidP="00BC0E7E">
            <w:pPr>
              <w:numPr>
                <w:ilvl w:val="12"/>
                <w:numId w:val="0"/>
              </w:numPr>
              <w:tabs>
                <w:tab w:val="clear" w:pos="562"/>
              </w:tabs>
            </w:pPr>
            <w:r w:rsidRPr="00BC0E7E">
              <w:t>Your doctor may prescribe an initial dose of 80 mg to be administered one week prior to the start of the usual dose of 40 mg every other week. Humira is recommended for use in combination with methotrexate.</w:t>
            </w:r>
          </w:p>
        </w:tc>
      </w:tr>
    </w:tbl>
    <w:p w14:paraId="565EF0B9" w14:textId="77777777" w:rsidR="00BC0E7E" w:rsidRPr="00BC0E7E" w:rsidRDefault="00BC0E7E" w:rsidP="00BC0E7E">
      <w:pPr>
        <w:numPr>
          <w:ilvl w:val="12"/>
          <w:numId w:val="0"/>
        </w:numPr>
        <w:ind w:right="-2"/>
      </w:pPr>
    </w:p>
    <w:p w14:paraId="1345C48C" w14:textId="77777777" w:rsidR="00BC0E7E" w:rsidRPr="00BC0E7E" w:rsidRDefault="00944B8F" w:rsidP="00852331">
      <w:pPr>
        <w:keepNext/>
        <w:rPr>
          <w:b/>
          <w:szCs w:val="20"/>
        </w:rPr>
      </w:pPr>
      <w:r w:rsidRPr="00BC0E7E">
        <w:rPr>
          <w:b/>
          <w:szCs w:val="20"/>
        </w:rPr>
        <w:t>Method and route of administration</w:t>
      </w:r>
    </w:p>
    <w:p w14:paraId="7691F271" w14:textId="77777777" w:rsidR="00BC0E7E" w:rsidRPr="00BC0E7E" w:rsidRDefault="00BC0E7E" w:rsidP="00852331">
      <w:pPr>
        <w:keepNext/>
        <w:rPr>
          <w:szCs w:val="20"/>
        </w:rPr>
      </w:pPr>
    </w:p>
    <w:p w14:paraId="580ED31C" w14:textId="77777777" w:rsidR="00BC0E7E" w:rsidRPr="00BC0E7E" w:rsidRDefault="00944B8F" w:rsidP="00852331">
      <w:pPr>
        <w:keepNext/>
        <w:rPr>
          <w:szCs w:val="20"/>
        </w:rPr>
      </w:pPr>
      <w:r w:rsidRPr="00BC0E7E">
        <w:rPr>
          <w:bCs/>
          <w:szCs w:val="20"/>
        </w:rPr>
        <w:t>Humira is administered by injection under the skin (by subcutaneous injection).</w:t>
      </w:r>
    </w:p>
    <w:p w14:paraId="4BC5AEF7" w14:textId="77777777" w:rsidR="00BC0E7E" w:rsidRPr="00BC0E7E" w:rsidRDefault="00BC0E7E" w:rsidP="00BC0E7E">
      <w:pPr>
        <w:rPr>
          <w:szCs w:val="20"/>
        </w:rPr>
      </w:pPr>
    </w:p>
    <w:p w14:paraId="79D612BE" w14:textId="77777777" w:rsidR="00BC0E7E" w:rsidRPr="00BC0E7E" w:rsidRDefault="00944B8F" w:rsidP="00BC0E7E">
      <w:pPr>
        <w:rPr>
          <w:b/>
          <w:szCs w:val="20"/>
        </w:rPr>
      </w:pPr>
      <w:r w:rsidRPr="00BC0E7E">
        <w:rPr>
          <w:b/>
          <w:szCs w:val="20"/>
        </w:rPr>
        <w:t>Detailed instructions on how to inject Humira are provided in section 7 ‘</w:t>
      </w:r>
      <w:r w:rsidR="00BA65BA">
        <w:rPr>
          <w:b/>
        </w:rPr>
        <w:t>Injecting Humira</w:t>
      </w:r>
      <w:r w:rsidRPr="00BC0E7E">
        <w:rPr>
          <w:b/>
          <w:szCs w:val="20"/>
        </w:rPr>
        <w:t>’.</w:t>
      </w:r>
    </w:p>
    <w:p w14:paraId="2499FB23" w14:textId="77777777" w:rsidR="00BC0E7E" w:rsidRPr="00BC0E7E" w:rsidRDefault="00BC0E7E" w:rsidP="00BC0E7E">
      <w:pPr>
        <w:rPr>
          <w:b/>
          <w:szCs w:val="20"/>
        </w:rPr>
      </w:pPr>
    </w:p>
    <w:p w14:paraId="424427C9" w14:textId="77777777" w:rsidR="00BC0E7E" w:rsidRPr="00BC0E7E" w:rsidRDefault="00944B8F" w:rsidP="00C82A3B">
      <w:pPr>
        <w:keepNext/>
        <w:rPr>
          <w:b/>
          <w:szCs w:val="20"/>
        </w:rPr>
      </w:pPr>
      <w:r w:rsidRPr="00BC0E7E">
        <w:rPr>
          <w:b/>
          <w:szCs w:val="20"/>
        </w:rPr>
        <w:lastRenderedPageBreak/>
        <w:t>If you use more</w:t>
      </w:r>
      <w:r w:rsidRPr="00BC0E7E">
        <w:rPr>
          <w:bCs/>
          <w:szCs w:val="20"/>
        </w:rPr>
        <w:t xml:space="preserve"> </w:t>
      </w:r>
      <w:r w:rsidRPr="00BC0E7E">
        <w:rPr>
          <w:b/>
          <w:bCs/>
          <w:szCs w:val="20"/>
        </w:rPr>
        <w:t>Humira</w:t>
      </w:r>
      <w:r w:rsidRPr="00BC0E7E">
        <w:rPr>
          <w:b/>
          <w:szCs w:val="20"/>
        </w:rPr>
        <w:t xml:space="preserve"> than you should</w:t>
      </w:r>
    </w:p>
    <w:p w14:paraId="4BB71B17" w14:textId="77777777" w:rsidR="00BC0E7E" w:rsidRPr="00BC0E7E" w:rsidRDefault="00BC0E7E" w:rsidP="00C82A3B">
      <w:pPr>
        <w:keepNext/>
        <w:rPr>
          <w:szCs w:val="20"/>
        </w:rPr>
      </w:pPr>
    </w:p>
    <w:p w14:paraId="4A972FB9" w14:textId="77777777" w:rsidR="00BC0E7E" w:rsidRPr="00BC0E7E" w:rsidRDefault="00944B8F" w:rsidP="00C82A3B">
      <w:pPr>
        <w:keepNext/>
      </w:pPr>
      <w:r w:rsidRPr="00BC0E7E">
        <w:t xml:space="preserve">If you accidentally inject Humira more frequently than told to by your doctor or pharmacist, call your doctor or pharmacist </w:t>
      </w:r>
      <w:r w:rsidRPr="00BC0E7E">
        <w:rPr>
          <w:szCs w:val="20"/>
        </w:rPr>
        <w:t>and tell them that you have taken more</w:t>
      </w:r>
      <w:r w:rsidRPr="00BC0E7E">
        <w:t xml:space="preserve">. Always take the outer carton of the medicine with you, even if it is empty. </w:t>
      </w:r>
    </w:p>
    <w:p w14:paraId="250EBB67" w14:textId="77777777" w:rsidR="00BC0E7E" w:rsidRPr="00BC0E7E" w:rsidRDefault="00BC0E7E" w:rsidP="00BC0E7E"/>
    <w:p w14:paraId="4138272C" w14:textId="77777777" w:rsidR="00BC0E7E" w:rsidRPr="00BC0E7E" w:rsidRDefault="00944B8F" w:rsidP="00BC0E7E">
      <w:pPr>
        <w:keepNext/>
        <w:rPr>
          <w:b/>
          <w:szCs w:val="20"/>
        </w:rPr>
      </w:pPr>
      <w:r w:rsidRPr="00BC0E7E">
        <w:rPr>
          <w:b/>
          <w:szCs w:val="20"/>
        </w:rPr>
        <w:t>If you forget to use Humira</w:t>
      </w:r>
    </w:p>
    <w:p w14:paraId="2243AB23" w14:textId="77777777" w:rsidR="00BC0E7E" w:rsidRPr="00BC0E7E" w:rsidRDefault="00BC0E7E" w:rsidP="00BC0E7E">
      <w:pPr>
        <w:keepNext/>
        <w:rPr>
          <w:szCs w:val="20"/>
        </w:rPr>
      </w:pPr>
    </w:p>
    <w:p w14:paraId="190923A0" w14:textId="77777777" w:rsidR="00BC0E7E" w:rsidRPr="00BC0E7E" w:rsidRDefault="00944B8F" w:rsidP="00BC0E7E">
      <w:pPr>
        <w:keepNext/>
      </w:pPr>
      <w:r w:rsidRPr="00BC0E7E">
        <w:t xml:space="preserve">If you forget to give yourself an injection, you should inject the next dose of Humira as soon as you remember. Then take your next dose as you would have on your originally scheduled day, had you not forgotten a dose. </w:t>
      </w:r>
    </w:p>
    <w:p w14:paraId="0EA876A9" w14:textId="77777777" w:rsidR="00BC0E7E" w:rsidRPr="00BC0E7E" w:rsidRDefault="00BC0E7E" w:rsidP="00BC0E7E"/>
    <w:p w14:paraId="6FDCFA72" w14:textId="77777777" w:rsidR="00BC0E7E" w:rsidRPr="00BC0E7E" w:rsidRDefault="00944B8F" w:rsidP="00BC0E7E">
      <w:pPr>
        <w:rPr>
          <w:b/>
        </w:rPr>
      </w:pPr>
      <w:r w:rsidRPr="00BC0E7E">
        <w:rPr>
          <w:b/>
        </w:rPr>
        <w:t>If you stop using Humira</w:t>
      </w:r>
    </w:p>
    <w:p w14:paraId="0B80EB71" w14:textId="77777777" w:rsidR="00BC0E7E" w:rsidRPr="00BC0E7E" w:rsidRDefault="00BC0E7E" w:rsidP="00BC0E7E"/>
    <w:p w14:paraId="6BD5039F" w14:textId="77777777" w:rsidR="00BC0E7E" w:rsidRPr="00BC0E7E" w:rsidRDefault="00944B8F" w:rsidP="00BC0E7E">
      <w:r w:rsidRPr="00BC0E7E">
        <w:t>The decision to stop using Humira should be discussed with your doctor. Your symptoms may return if you stop using Humira.</w:t>
      </w:r>
    </w:p>
    <w:p w14:paraId="65F8E617" w14:textId="77777777" w:rsidR="00BC0E7E" w:rsidRPr="00BC0E7E" w:rsidRDefault="00BC0E7E" w:rsidP="00BC0E7E"/>
    <w:p w14:paraId="189FFFF6" w14:textId="77777777" w:rsidR="00BC0E7E" w:rsidRPr="00BC0E7E" w:rsidRDefault="00944B8F" w:rsidP="00BC0E7E">
      <w:r w:rsidRPr="00BC0E7E">
        <w:t>If you have any further questions on the use of this medicine, ask your doctor or pharmacist.</w:t>
      </w:r>
    </w:p>
    <w:p w14:paraId="4D2B40A8" w14:textId="77777777" w:rsidR="00BC0E7E" w:rsidRPr="00BC0E7E" w:rsidRDefault="00BC0E7E" w:rsidP="00BC0E7E"/>
    <w:p w14:paraId="0F5C4107" w14:textId="77777777" w:rsidR="00BC0E7E" w:rsidRPr="00BC0E7E" w:rsidRDefault="00BC0E7E" w:rsidP="00BC0E7E"/>
    <w:p w14:paraId="613774C5" w14:textId="77777777" w:rsidR="00BC0E7E" w:rsidRPr="00BC0E7E" w:rsidRDefault="00944B8F" w:rsidP="00BC0E7E">
      <w:pPr>
        <w:keepNext/>
        <w:outlineLvl w:val="0"/>
        <w:rPr>
          <w:rFonts w:ascii="Times New Roman Bold" w:hAnsi="Times New Roman Bold"/>
          <w:b/>
          <w:szCs w:val="20"/>
        </w:rPr>
      </w:pPr>
      <w:r w:rsidRPr="00BC0E7E">
        <w:rPr>
          <w:b/>
          <w:caps/>
          <w:szCs w:val="20"/>
        </w:rPr>
        <w:t>4.</w:t>
      </w:r>
      <w:r w:rsidRPr="00BC0E7E">
        <w:rPr>
          <w:b/>
          <w:caps/>
          <w:szCs w:val="20"/>
        </w:rPr>
        <w:tab/>
      </w:r>
      <w:r w:rsidRPr="00BC0E7E">
        <w:rPr>
          <w:rFonts w:ascii="Times New Roman Bold" w:hAnsi="Times New Roman Bold"/>
          <w:b/>
          <w:szCs w:val="20"/>
        </w:rPr>
        <w:t>Possible side effects</w:t>
      </w:r>
    </w:p>
    <w:p w14:paraId="2787917E" w14:textId="77777777" w:rsidR="00BC0E7E" w:rsidRPr="00BC0E7E" w:rsidRDefault="00BC0E7E" w:rsidP="00BC0E7E">
      <w:pPr>
        <w:keepNext/>
        <w:rPr>
          <w:szCs w:val="20"/>
        </w:rPr>
      </w:pPr>
    </w:p>
    <w:p w14:paraId="16E56625" w14:textId="77777777" w:rsidR="00BC0E7E" w:rsidRPr="00BC0E7E" w:rsidRDefault="00944B8F" w:rsidP="00BC0E7E">
      <w:pPr>
        <w:keepNext/>
      </w:pPr>
      <w:r w:rsidRPr="00BC0E7E">
        <w:t xml:space="preserve">Like all medicines, this medicine can cause side effects, although not everybody gets them. Most side effects are mild to moderate. However, some may be serious and require treatment. Side effects may occur at least up to 4 months after the last Humira injection. </w:t>
      </w:r>
    </w:p>
    <w:p w14:paraId="798C44F9" w14:textId="77777777" w:rsidR="00BC0E7E" w:rsidRPr="00BC0E7E" w:rsidRDefault="00BC0E7E" w:rsidP="00BC0E7E"/>
    <w:p w14:paraId="153EF2C1" w14:textId="77777777" w:rsidR="00BC0E7E" w:rsidRPr="00BC0E7E" w:rsidRDefault="00944B8F" w:rsidP="00BC0E7E">
      <w:pPr>
        <w:keepNext/>
        <w:rPr>
          <w:b/>
        </w:rPr>
      </w:pPr>
      <w:r w:rsidRPr="00BC0E7E">
        <w:rPr>
          <w:b/>
        </w:rPr>
        <w:t>Tell your doctor immediately if you notice any of the following</w:t>
      </w:r>
    </w:p>
    <w:p w14:paraId="2AF397FA" w14:textId="77777777" w:rsidR="00BC0E7E" w:rsidRPr="00BC0E7E" w:rsidRDefault="00BC0E7E" w:rsidP="00BC0E7E">
      <w:pPr>
        <w:keepNext/>
      </w:pPr>
    </w:p>
    <w:p w14:paraId="5E1A1EB2" w14:textId="77777777" w:rsidR="00BC0E7E" w:rsidRPr="00BC0E7E" w:rsidRDefault="00944B8F" w:rsidP="00D51999">
      <w:pPr>
        <w:keepNext/>
        <w:numPr>
          <w:ilvl w:val="0"/>
          <w:numId w:val="56"/>
        </w:numPr>
        <w:tabs>
          <w:tab w:val="clear" w:pos="562"/>
          <w:tab w:val="num" w:pos="360"/>
          <w:tab w:val="num" w:pos="550"/>
        </w:tabs>
        <w:ind w:left="547" w:hanging="547"/>
        <w:rPr>
          <w:szCs w:val="20"/>
        </w:rPr>
      </w:pPr>
      <w:r w:rsidRPr="00BC0E7E">
        <w:rPr>
          <w:szCs w:val="20"/>
        </w:rPr>
        <w:t xml:space="preserve">severe rash, hives or other signs of allergic reaction </w:t>
      </w:r>
    </w:p>
    <w:p w14:paraId="2B187A71" w14:textId="77777777" w:rsidR="00BC0E7E" w:rsidRPr="00BC0E7E" w:rsidRDefault="00944B8F" w:rsidP="00D51999">
      <w:pPr>
        <w:keepNext/>
        <w:numPr>
          <w:ilvl w:val="0"/>
          <w:numId w:val="56"/>
        </w:numPr>
        <w:tabs>
          <w:tab w:val="clear" w:pos="562"/>
          <w:tab w:val="num" w:pos="360"/>
          <w:tab w:val="num" w:pos="550"/>
        </w:tabs>
        <w:ind w:left="547" w:hanging="547"/>
        <w:rPr>
          <w:szCs w:val="20"/>
        </w:rPr>
      </w:pPr>
      <w:r w:rsidRPr="00BC0E7E">
        <w:rPr>
          <w:szCs w:val="20"/>
        </w:rPr>
        <w:t>swollen face, hands, feet</w:t>
      </w:r>
    </w:p>
    <w:p w14:paraId="651E0A7B" w14:textId="77777777" w:rsidR="00BC0E7E" w:rsidRPr="00BC0E7E" w:rsidRDefault="00944B8F" w:rsidP="00D51999">
      <w:pPr>
        <w:keepNext/>
        <w:numPr>
          <w:ilvl w:val="0"/>
          <w:numId w:val="56"/>
        </w:numPr>
        <w:tabs>
          <w:tab w:val="clear" w:pos="562"/>
          <w:tab w:val="num" w:pos="360"/>
          <w:tab w:val="num" w:pos="550"/>
        </w:tabs>
        <w:ind w:left="547" w:hanging="547"/>
        <w:rPr>
          <w:szCs w:val="20"/>
        </w:rPr>
      </w:pPr>
      <w:r w:rsidRPr="00BC0E7E">
        <w:rPr>
          <w:szCs w:val="20"/>
        </w:rPr>
        <w:t>trouble breathing, swallowing</w:t>
      </w:r>
    </w:p>
    <w:p w14:paraId="4C84EAD2" w14:textId="77777777" w:rsidR="00BC0E7E" w:rsidRPr="00BC0E7E" w:rsidRDefault="00944B8F" w:rsidP="00D51999">
      <w:pPr>
        <w:keepNext/>
        <w:numPr>
          <w:ilvl w:val="0"/>
          <w:numId w:val="56"/>
        </w:numPr>
        <w:tabs>
          <w:tab w:val="clear" w:pos="562"/>
          <w:tab w:val="num" w:pos="360"/>
          <w:tab w:val="num" w:pos="550"/>
        </w:tabs>
        <w:ind w:left="547" w:hanging="547"/>
        <w:rPr>
          <w:szCs w:val="20"/>
        </w:rPr>
      </w:pPr>
      <w:r w:rsidRPr="00BC0E7E">
        <w:rPr>
          <w:szCs w:val="20"/>
        </w:rPr>
        <w:t>shortness of breath with physical activity or upon lying down or swelling of the feet</w:t>
      </w:r>
    </w:p>
    <w:p w14:paraId="223167D6" w14:textId="77777777" w:rsidR="00BC0E7E" w:rsidRPr="00BC0E7E" w:rsidRDefault="00BC0E7E" w:rsidP="00BC0E7E">
      <w:pPr>
        <w:tabs>
          <w:tab w:val="clear" w:pos="562"/>
          <w:tab w:val="num" w:pos="690"/>
        </w:tabs>
        <w:ind w:left="547"/>
        <w:rPr>
          <w:szCs w:val="20"/>
        </w:rPr>
      </w:pPr>
    </w:p>
    <w:p w14:paraId="5C6945A5" w14:textId="77777777" w:rsidR="00BC0E7E" w:rsidRPr="00BC0E7E" w:rsidRDefault="00944B8F" w:rsidP="00BC0E7E">
      <w:pPr>
        <w:ind w:left="567" w:hanging="567"/>
        <w:rPr>
          <w:b/>
        </w:rPr>
      </w:pPr>
      <w:r w:rsidRPr="00BC0E7E">
        <w:rPr>
          <w:b/>
        </w:rPr>
        <w:t>Tell your doctor as soon as possible if you notice any of the following</w:t>
      </w:r>
    </w:p>
    <w:p w14:paraId="4DA1C107" w14:textId="77777777" w:rsidR="00BC0E7E" w:rsidRPr="00BC0E7E" w:rsidRDefault="00BC0E7E" w:rsidP="00BC0E7E">
      <w:pPr>
        <w:ind w:left="567" w:hanging="567"/>
      </w:pPr>
    </w:p>
    <w:p w14:paraId="51770D92" w14:textId="77777777" w:rsidR="00BC0E7E" w:rsidRPr="00BC0E7E" w:rsidRDefault="00944B8F" w:rsidP="00D51999">
      <w:pPr>
        <w:numPr>
          <w:ilvl w:val="0"/>
          <w:numId w:val="56"/>
        </w:numPr>
        <w:tabs>
          <w:tab w:val="clear" w:pos="562"/>
          <w:tab w:val="num" w:pos="360"/>
        </w:tabs>
        <w:ind w:left="360"/>
        <w:rPr>
          <w:szCs w:val="20"/>
        </w:rPr>
      </w:pPr>
      <w:r w:rsidRPr="00BC0E7E">
        <w:rPr>
          <w:szCs w:val="20"/>
        </w:rPr>
        <w:t>signs of infection such as fever, feeling sick, wounds, dental problems, burning on urination</w:t>
      </w:r>
    </w:p>
    <w:p w14:paraId="5F5086AF" w14:textId="77777777" w:rsidR="00BC0E7E" w:rsidRPr="00BC0E7E" w:rsidRDefault="00944B8F" w:rsidP="00D51999">
      <w:pPr>
        <w:numPr>
          <w:ilvl w:val="0"/>
          <w:numId w:val="56"/>
        </w:numPr>
        <w:tabs>
          <w:tab w:val="clear" w:pos="562"/>
          <w:tab w:val="num" w:pos="360"/>
        </w:tabs>
        <w:ind w:left="360"/>
        <w:rPr>
          <w:szCs w:val="20"/>
        </w:rPr>
      </w:pPr>
      <w:r w:rsidRPr="00BC0E7E">
        <w:rPr>
          <w:szCs w:val="20"/>
        </w:rPr>
        <w:t>feeling weak or tired</w:t>
      </w:r>
    </w:p>
    <w:p w14:paraId="2F4BCFF3" w14:textId="77777777" w:rsidR="00BC0E7E" w:rsidRPr="00BC0E7E" w:rsidRDefault="00944B8F" w:rsidP="00D51999">
      <w:pPr>
        <w:numPr>
          <w:ilvl w:val="0"/>
          <w:numId w:val="56"/>
        </w:numPr>
        <w:tabs>
          <w:tab w:val="clear" w:pos="562"/>
          <w:tab w:val="num" w:pos="360"/>
        </w:tabs>
        <w:ind w:left="360"/>
        <w:rPr>
          <w:szCs w:val="20"/>
        </w:rPr>
      </w:pPr>
      <w:r w:rsidRPr="00BC0E7E">
        <w:rPr>
          <w:szCs w:val="20"/>
        </w:rPr>
        <w:t>coughing</w:t>
      </w:r>
    </w:p>
    <w:p w14:paraId="0A757818" w14:textId="77777777" w:rsidR="00BC0E7E" w:rsidRPr="00BC0E7E" w:rsidRDefault="00944B8F" w:rsidP="00D51999">
      <w:pPr>
        <w:numPr>
          <w:ilvl w:val="0"/>
          <w:numId w:val="56"/>
        </w:numPr>
        <w:tabs>
          <w:tab w:val="clear" w:pos="562"/>
          <w:tab w:val="num" w:pos="360"/>
        </w:tabs>
        <w:ind w:left="360"/>
        <w:rPr>
          <w:szCs w:val="20"/>
        </w:rPr>
      </w:pPr>
      <w:r w:rsidRPr="00BC0E7E">
        <w:rPr>
          <w:szCs w:val="20"/>
        </w:rPr>
        <w:t>tingling</w:t>
      </w:r>
    </w:p>
    <w:p w14:paraId="578CE9E3" w14:textId="77777777" w:rsidR="00BC0E7E" w:rsidRPr="00BC0E7E" w:rsidRDefault="00944B8F" w:rsidP="00D51999">
      <w:pPr>
        <w:numPr>
          <w:ilvl w:val="0"/>
          <w:numId w:val="56"/>
        </w:numPr>
        <w:tabs>
          <w:tab w:val="clear" w:pos="562"/>
          <w:tab w:val="num" w:pos="360"/>
        </w:tabs>
        <w:ind w:left="360"/>
        <w:rPr>
          <w:szCs w:val="20"/>
        </w:rPr>
      </w:pPr>
      <w:r w:rsidRPr="00BC0E7E">
        <w:rPr>
          <w:szCs w:val="20"/>
        </w:rPr>
        <w:t>numbness</w:t>
      </w:r>
    </w:p>
    <w:p w14:paraId="53F59A02" w14:textId="77777777" w:rsidR="00BC0E7E" w:rsidRPr="00BC0E7E" w:rsidRDefault="00944B8F" w:rsidP="00D51999">
      <w:pPr>
        <w:numPr>
          <w:ilvl w:val="0"/>
          <w:numId w:val="56"/>
        </w:numPr>
        <w:tabs>
          <w:tab w:val="clear" w:pos="562"/>
          <w:tab w:val="num" w:pos="360"/>
        </w:tabs>
        <w:ind w:left="360"/>
        <w:rPr>
          <w:szCs w:val="20"/>
        </w:rPr>
      </w:pPr>
      <w:r w:rsidRPr="00BC0E7E">
        <w:rPr>
          <w:szCs w:val="20"/>
        </w:rPr>
        <w:t>double vision</w:t>
      </w:r>
    </w:p>
    <w:p w14:paraId="102211D3" w14:textId="77777777" w:rsidR="00BC0E7E" w:rsidRPr="00BC0E7E" w:rsidRDefault="00944B8F" w:rsidP="00D51999">
      <w:pPr>
        <w:numPr>
          <w:ilvl w:val="0"/>
          <w:numId w:val="56"/>
        </w:numPr>
        <w:tabs>
          <w:tab w:val="clear" w:pos="562"/>
          <w:tab w:val="num" w:pos="360"/>
        </w:tabs>
        <w:ind w:left="360"/>
        <w:rPr>
          <w:szCs w:val="20"/>
        </w:rPr>
      </w:pPr>
      <w:r w:rsidRPr="00BC0E7E">
        <w:rPr>
          <w:szCs w:val="20"/>
        </w:rPr>
        <w:t>arm or leg weakness</w:t>
      </w:r>
    </w:p>
    <w:p w14:paraId="06128FFE" w14:textId="77777777" w:rsidR="00BC0E7E" w:rsidRPr="00BC0E7E" w:rsidRDefault="00944B8F" w:rsidP="00D51999">
      <w:pPr>
        <w:numPr>
          <w:ilvl w:val="0"/>
          <w:numId w:val="56"/>
        </w:numPr>
        <w:tabs>
          <w:tab w:val="clear" w:pos="562"/>
          <w:tab w:val="num" w:pos="360"/>
        </w:tabs>
        <w:ind w:left="360"/>
        <w:rPr>
          <w:szCs w:val="20"/>
        </w:rPr>
      </w:pPr>
      <w:r w:rsidRPr="00BC0E7E">
        <w:rPr>
          <w:szCs w:val="20"/>
        </w:rPr>
        <w:t>a bump or open sore that doesn't heal</w:t>
      </w:r>
    </w:p>
    <w:p w14:paraId="112AA991" w14:textId="77777777" w:rsidR="00BC0E7E" w:rsidRPr="00BC0E7E" w:rsidRDefault="00944B8F" w:rsidP="00D51999">
      <w:pPr>
        <w:numPr>
          <w:ilvl w:val="0"/>
          <w:numId w:val="56"/>
        </w:numPr>
        <w:tabs>
          <w:tab w:val="clear" w:pos="562"/>
          <w:tab w:val="num" w:pos="360"/>
        </w:tabs>
        <w:ind w:left="360"/>
        <w:rPr>
          <w:szCs w:val="20"/>
        </w:rPr>
      </w:pPr>
      <w:r w:rsidRPr="00BC0E7E">
        <w:rPr>
          <w:szCs w:val="20"/>
        </w:rPr>
        <w:t>signs and symptoms suggestive of blood disorders such as persistent fever, bruising, bleeding, paleness</w:t>
      </w:r>
    </w:p>
    <w:p w14:paraId="2CB7CC2F" w14:textId="77777777" w:rsidR="00BC0E7E" w:rsidRPr="00BC0E7E" w:rsidRDefault="00BC0E7E" w:rsidP="00BC0E7E"/>
    <w:p w14:paraId="2220FCDF" w14:textId="77777777" w:rsidR="00BC0E7E" w:rsidRPr="00BC0E7E" w:rsidRDefault="00944B8F" w:rsidP="00BC0E7E">
      <w:r w:rsidRPr="00BC0E7E">
        <w:t>The symptoms described above can be signs of the below listed side effects, which have been observed with Humira.</w:t>
      </w:r>
    </w:p>
    <w:p w14:paraId="6691A9A9" w14:textId="77777777" w:rsidR="00BC0E7E" w:rsidRPr="00BC0E7E" w:rsidRDefault="00BC0E7E" w:rsidP="00BC0E7E"/>
    <w:p w14:paraId="7D26B080" w14:textId="77777777" w:rsidR="00BC0E7E" w:rsidRPr="00BC0E7E" w:rsidRDefault="00944B8F" w:rsidP="00BC0E7E">
      <w:pPr>
        <w:rPr>
          <w:i/>
          <w:iCs/>
        </w:rPr>
      </w:pPr>
      <w:r w:rsidRPr="00BC0E7E">
        <w:rPr>
          <w:b/>
        </w:rPr>
        <w:t>Very common</w:t>
      </w:r>
      <w:r w:rsidRPr="00BC0E7E">
        <w:t xml:space="preserve"> (may affect more than 1 in 10 people)</w:t>
      </w:r>
      <w:r w:rsidRPr="00BC0E7E">
        <w:rPr>
          <w:i/>
          <w:iCs/>
        </w:rPr>
        <w:t xml:space="preserve">  </w:t>
      </w:r>
    </w:p>
    <w:p w14:paraId="504E2538" w14:textId="77777777" w:rsidR="00BC0E7E" w:rsidRPr="00BC0E7E" w:rsidRDefault="00BC0E7E" w:rsidP="00BC0E7E">
      <w:pPr>
        <w:rPr>
          <w:i/>
          <w:iCs/>
        </w:rPr>
      </w:pPr>
    </w:p>
    <w:p w14:paraId="60F6C5F6" w14:textId="77777777" w:rsidR="00BC0E7E" w:rsidRPr="00BC0E7E" w:rsidRDefault="00944B8F" w:rsidP="00D51999">
      <w:pPr>
        <w:numPr>
          <w:ilvl w:val="0"/>
          <w:numId w:val="75"/>
        </w:numPr>
        <w:tabs>
          <w:tab w:val="clear" w:pos="562"/>
          <w:tab w:val="num" w:pos="540"/>
        </w:tabs>
        <w:ind w:left="540" w:hanging="540"/>
      </w:pPr>
      <w:r w:rsidRPr="00BC0E7E">
        <w:t>injection site reactions (including pain, swelling, redness or itching)</w:t>
      </w:r>
    </w:p>
    <w:p w14:paraId="7615486E" w14:textId="77777777" w:rsidR="00BC0E7E" w:rsidRPr="00BC0E7E" w:rsidRDefault="00944B8F" w:rsidP="00D51999">
      <w:pPr>
        <w:numPr>
          <w:ilvl w:val="0"/>
          <w:numId w:val="75"/>
        </w:numPr>
        <w:tabs>
          <w:tab w:val="clear" w:pos="562"/>
          <w:tab w:val="num" w:pos="540"/>
        </w:tabs>
        <w:ind w:left="540" w:hanging="540"/>
      </w:pPr>
      <w:r w:rsidRPr="00BC0E7E">
        <w:lastRenderedPageBreak/>
        <w:t>respiratory tract infections (including cold, runny nose, sinus infection, pneumonia)</w:t>
      </w:r>
    </w:p>
    <w:p w14:paraId="29888A8A" w14:textId="77777777" w:rsidR="00BC0E7E" w:rsidRPr="00BC0E7E" w:rsidRDefault="00944B8F" w:rsidP="00D51999">
      <w:pPr>
        <w:numPr>
          <w:ilvl w:val="0"/>
          <w:numId w:val="75"/>
        </w:numPr>
        <w:tabs>
          <w:tab w:val="clear" w:pos="562"/>
          <w:tab w:val="num" w:pos="540"/>
        </w:tabs>
        <w:ind w:left="540" w:hanging="540"/>
      </w:pPr>
      <w:r w:rsidRPr="00BC0E7E">
        <w:t>headache</w:t>
      </w:r>
    </w:p>
    <w:p w14:paraId="76379D3B" w14:textId="77777777" w:rsidR="00BC0E7E" w:rsidRPr="00BC0E7E" w:rsidRDefault="00944B8F" w:rsidP="00D51999">
      <w:pPr>
        <w:numPr>
          <w:ilvl w:val="0"/>
          <w:numId w:val="75"/>
        </w:numPr>
        <w:tabs>
          <w:tab w:val="clear" w:pos="562"/>
          <w:tab w:val="num" w:pos="540"/>
        </w:tabs>
        <w:ind w:left="540" w:hanging="540"/>
      </w:pPr>
      <w:r w:rsidRPr="00BC0E7E">
        <w:t>abdominal pain</w:t>
      </w:r>
    </w:p>
    <w:p w14:paraId="4E97DD1D" w14:textId="77777777" w:rsidR="00BC0E7E" w:rsidRPr="00BC0E7E" w:rsidRDefault="00944B8F" w:rsidP="00D51999">
      <w:pPr>
        <w:numPr>
          <w:ilvl w:val="0"/>
          <w:numId w:val="75"/>
        </w:numPr>
        <w:tabs>
          <w:tab w:val="clear" w:pos="562"/>
          <w:tab w:val="num" w:pos="540"/>
        </w:tabs>
        <w:ind w:left="540" w:hanging="540"/>
      </w:pPr>
      <w:r w:rsidRPr="00BC0E7E">
        <w:t>nausea and vomiting</w:t>
      </w:r>
    </w:p>
    <w:p w14:paraId="330A84F7" w14:textId="77777777" w:rsidR="00BC0E7E" w:rsidRPr="00BC0E7E" w:rsidRDefault="00944B8F" w:rsidP="00D51999">
      <w:pPr>
        <w:numPr>
          <w:ilvl w:val="0"/>
          <w:numId w:val="75"/>
        </w:numPr>
        <w:tabs>
          <w:tab w:val="clear" w:pos="562"/>
          <w:tab w:val="num" w:pos="540"/>
        </w:tabs>
        <w:ind w:left="540" w:hanging="540"/>
      </w:pPr>
      <w:r w:rsidRPr="00BC0E7E">
        <w:t>rash</w:t>
      </w:r>
    </w:p>
    <w:p w14:paraId="359BD2FE" w14:textId="77777777" w:rsidR="00BC0E7E" w:rsidRPr="00BC0E7E" w:rsidRDefault="00944B8F" w:rsidP="00D51999">
      <w:pPr>
        <w:numPr>
          <w:ilvl w:val="0"/>
          <w:numId w:val="75"/>
        </w:numPr>
        <w:tabs>
          <w:tab w:val="clear" w:pos="562"/>
          <w:tab w:val="num" w:pos="540"/>
        </w:tabs>
        <w:ind w:left="540" w:hanging="540"/>
      </w:pPr>
      <w:r w:rsidRPr="00BC0E7E">
        <w:t>musculoskeletal pain</w:t>
      </w:r>
    </w:p>
    <w:p w14:paraId="35FA3D41" w14:textId="77777777" w:rsidR="00BC0E7E" w:rsidRPr="00BC0E7E" w:rsidRDefault="00BC0E7E" w:rsidP="00BC0E7E"/>
    <w:p w14:paraId="5C0CBE6E" w14:textId="77777777" w:rsidR="00BC0E7E" w:rsidRPr="00BC0E7E" w:rsidRDefault="00944B8F" w:rsidP="00BC0E7E">
      <w:pPr>
        <w:keepNext/>
        <w:rPr>
          <w:i/>
          <w:iCs/>
        </w:rPr>
      </w:pPr>
      <w:r w:rsidRPr="00BC0E7E">
        <w:rPr>
          <w:b/>
        </w:rPr>
        <w:t>Common</w:t>
      </w:r>
      <w:r w:rsidRPr="00BC0E7E">
        <w:t xml:space="preserve"> (may affect up to 1 in 10 people)</w:t>
      </w:r>
      <w:r w:rsidRPr="00BC0E7E">
        <w:rPr>
          <w:i/>
          <w:iCs/>
        </w:rPr>
        <w:t xml:space="preserve"> </w:t>
      </w:r>
    </w:p>
    <w:p w14:paraId="6FF2574D" w14:textId="77777777" w:rsidR="00BC0E7E" w:rsidRPr="00BC0E7E" w:rsidRDefault="00BC0E7E" w:rsidP="00BC0E7E">
      <w:pPr>
        <w:keepNext/>
        <w:rPr>
          <w:i/>
          <w:iCs/>
        </w:rPr>
      </w:pPr>
    </w:p>
    <w:p w14:paraId="3F0C20E8" w14:textId="77777777" w:rsidR="00BC0E7E" w:rsidRPr="00BC0E7E" w:rsidRDefault="00944B8F" w:rsidP="00D51999">
      <w:pPr>
        <w:keepNext/>
        <w:numPr>
          <w:ilvl w:val="0"/>
          <w:numId w:val="75"/>
        </w:numPr>
        <w:ind w:left="540" w:hanging="540"/>
      </w:pPr>
      <w:r>
        <w:t xml:space="preserve">serious </w:t>
      </w:r>
      <w:r w:rsidRPr="00BC0E7E">
        <w:t>infections (including blood poisoning and influenza)</w:t>
      </w:r>
    </w:p>
    <w:p w14:paraId="4F57288A" w14:textId="77777777" w:rsidR="003068F4" w:rsidRDefault="00944B8F" w:rsidP="00D51999">
      <w:pPr>
        <w:keepNext/>
        <w:numPr>
          <w:ilvl w:val="0"/>
          <w:numId w:val="75"/>
        </w:numPr>
        <w:ind w:left="540" w:hanging="540"/>
      </w:pPr>
      <w:r>
        <w:t>intestinal infections</w:t>
      </w:r>
      <w:r w:rsidR="00086351">
        <w:t xml:space="preserve"> (including gastroenteritis)</w:t>
      </w:r>
    </w:p>
    <w:p w14:paraId="5DBB222E" w14:textId="77777777" w:rsidR="00BC0E7E" w:rsidRPr="00BC0E7E" w:rsidRDefault="00944B8F" w:rsidP="00D51999">
      <w:pPr>
        <w:keepNext/>
        <w:numPr>
          <w:ilvl w:val="0"/>
          <w:numId w:val="75"/>
        </w:numPr>
        <w:ind w:left="540" w:hanging="540"/>
      </w:pPr>
      <w:r w:rsidRPr="00BC0E7E">
        <w:t>skin infections (including cellulitis and shingles)</w:t>
      </w:r>
    </w:p>
    <w:p w14:paraId="6F1B15B3" w14:textId="77777777" w:rsidR="00BC0E7E" w:rsidRPr="00BC0E7E" w:rsidRDefault="00944B8F" w:rsidP="00D51999">
      <w:pPr>
        <w:keepNext/>
        <w:numPr>
          <w:ilvl w:val="0"/>
          <w:numId w:val="75"/>
        </w:numPr>
        <w:ind w:left="540" w:hanging="540"/>
      </w:pPr>
      <w:r w:rsidRPr="00BC0E7E">
        <w:t>ear infections</w:t>
      </w:r>
    </w:p>
    <w:p w14:paraId="7D1C6FCE" w14:textId="77777777" w:rsidR="00BC0E7E" w:rsidRPr="00BC0E7E" w:rsidRDefault="00944B8F" w:rsidP="00D51999">
      <w:pPr>
        <w:keepNext/>
        <w:numPr>
          <w:ilvl w:val="0"/>
          <w:numId w:val="75"/>
        </w:numPr>
        <w:ind w:left="540" w:hanging="540"/>
      </w:pPr>
      <w:r w:rsidRPr="00BC0E7E">
        <w:t>oral infections (including tooth infections and cold sores)</w:t>
      </w:r>
    </w:p>
    <w:p w14:paraId="46FA34BC" w14:textId="77777777" w:rsidR="00BC0E7E" w:rsidRPr="00BC0E7E" w:rsidRDefault="00944B8F" w:rsidP="00D51999">
      <w:pPr>
        <w:keepNext/>
        <w:numPr>
          <w:ilvl w:val="0"/>
          <w:numId w:val="75"/>
        </w:numPr>
        <w:ind w:left="540" w:hanging="540"/>
      </w:pPr>
      <w:r w:rsidRPr="00BC0E7E">
        <w:t>reproductive tract infections</w:t>
      </w:r>
    </w:p>
    <w:p w14:paraId="07C5F6BA" w14:textId="77777777" w:rsidR="00BC0E7E" w:rsidRPr="00BC0E7E" w:rsidRDefault="00944B8F" w:rsidP="00D51999">
      <w:pPr>
        <w:keepNext/>
        <w:numPr>
          <w:ilvl w:val="0"/>
          <w:numId w:val="75"/>
        </w:numPr>
        <w:ind w:left="540" w:hanging="540"/>
      </w:pPr>
      <w:r w:rsidRPr="00BC0E7E">
        <w:t>urinary tract infection</w:t>
      </w:r>
    </w:p>
    <w:p w14:paraId="5096FCA9" w14:textId="77777777" w:rsidR="00BC0E7E" w:rsidRPr="00BC0E7E" w:rsidRDefault="00944B8F" w:rsidP="00D51999">
      <w:pPr>
        <w:keepNext/>
        <w:numPr>
          <w:ilvl w:val="0"/>
          <w:numId w:val="75"/>
        </w:numPr>
        <w:ind w:left="540" w:hanging="540"/>
      </w:pPr>
      <w:r w:rsidRPr="00BC0E7E">
        <w:t>fungal infections</w:t>
      </w:r>
    </w:p>
    <w:p w14:paraId="4B67B6FC" w14:textId="77777777" w:rsidR="00BC0E7E" w:rsidRPr="00BC0E7E" w:rsidRDefault="00944B8F" w:rsidP="00D51999">
      <w:pPr>
        <w:keepNext/>
        <w:numPr>
          <w:ilvl w:val="0"/>
          <w:numId w:val="75"/>
        </w:numPr>
        <w:ind w:left="540" w:hanging="540"/>
      </w:pPr>
      <w:r w:rsidRPr="00BC0E7E">
        <w:t>joint infections</w:t>
      </w:r>
    </w:p>
    <w:p w14:paraId="64E3C859" w14:textId="77777777" w:rsidR="00BC0E7E" w:rsidRPr="00BC0E7E" w:rsidRDefault="00944B8F" w:rsidP="00D51999">
      <w:pPr>
        <w:numPr>
          <w:ilvl w:val="0"/>
          <w:numId w:val="75"/>
        </w:numPr>
        <w:ind w:left="540" w:hanging="540"/>
      </w:pPr>
      <w:r w:rsidRPr="00BC0E7E">
        <w:t>benign tumours</w:t>
      </w:r>
    </w:p>
    <w:p w14:paraId="1189E044" w14:textId="77777777" w:rsidR="00BC0E7E" w:rsidRPr="00BC0E7E" w:rsidRDefault="00944B8F" w:rsidP="00D51999">
      <w:pPr>
        <w:numPr>
          <w:ilvl w:val="0"/>
          <w:numId w:val="75"/>
        </w:numPr>
        <w:ind w:left="540" w:hanging="540"/>
      </w:pPr>
      <w:r w:rsidRPr="00BC0E7E">
        <w:t>skin cancer</w:t>
      </w:r>
    </w:p>
    <w:p w14:paraId="716D53B0" w14:textId="77777777" w:rsidR="00BC0E7E" w:rsidRPr="00BC0E7E" w:rsidRDefault="00944B8F" w:rsidP="00D51999">
      <w:pPr>
        <w:numPr>
          <w:ilvl w:val="0"/>
          <w:numId w:val="75"/>
        </w:numPr>
        <w:ind w:left="540" w:hanging="540"/>
      </w:pPr>
      <w:r w:rsidRPr="00BC0E7E">
        <w:t>allergic reactions (including seasonal allergy)</w:t>
      </w:r>
    </w:p>
    <w:p w14:paraId="0A306F9E" w14:textId="77777777" w:rsidR="00BC0E7E" w:rsidRPr="00BC0E7E" w:rsidRDefault="00944B8F" w:rsidP="00D51999">
      <w:pPr>
        <w:numPr>
          <w:ilvl w:val="0"/>
          <w:numId w:val="75"/>
        </w:numPr>
        <w:ind w:left="540" w:hanging="540"/>
      </w:pPr>
      <w:r w:rsidRPr="00BC0E7E">
        <w:t>dehydration</w:t>
      </w:r>
    </w:p>
    <w:p w14:paraId="7F36AA6E" w14:textId="77777777" w:rsidR="00BC0E7E" w:rsidRPr="00BC0E7E" w:rsidRDefault="00944B8F" w:rsidP="00D51999">
      <w:pPr>
        <w:numPr>
          <w:ilvl w:val="0"/>
          <w:numId w:val="75"/>
        </w:numPr>
        <w:ind w:left="540" w:hanging="540"/>
      </w:pPr>
      <w:r w:rsidRPr="00BC0E7E">
        <w:t>mood swings (including depression)</w:t>
      </w:r>
    </w:p>
    <w:p w14:paraId="6F353A57" w14:textId="77777777" w:rsidR="00BC0E7E" w:rsidRPr="00BC0E7E" w:rsidRDefault="00944B8F" w:rsidP="00D51999">
      <w:pPr>
        <w:numPr>
          <w:ilvl w:val="0"/>
          <w:numId w:val="75"/>
        </w:numPr>
        <w:ind w:left="540" w:hanging="540"/>
      </w:pPr>
      <w:r w:rsidRPr="00BC0E7E">
        <w:t>anxiety</w:t>
      </w:r>
    </w:p>
    <w:p w14:paraId="680C0986" w14:textId="77777777" w:rsidR="00BC0E7E" w:rsidRPr="00BC0E7E" w:rsidRDefault="00944B8F" w:rsidP="00D51999">
      <w:pPr>
        <w:numPr>
          <w:ilvl w:val="0"/>
          <w:numId w:val="75"/>
        </w:numPr>
        <w:ind w:left="540" w:hanging="540"/>
      </w:pPr>
      <w:r w:rsidRPr="00BC0E7E">
        <w:t>difficulty sleeping</w:t>
      </w:r>
    </w:p>
    <w:p w14:paraId="30D64581" w14:textId="77777777" w:rsidR="00BC0E7E" w:rsidRPr="00BC0E7E" w:rsidRDefault="00944B8F" w:rsidP="00D51999">
      <w:pPr>
        <w:numPr>
          <w:ilvl w:val="0"/>
          <w:numId w:val="75"/>
        </w:numPr>
        <w:ind w:left="540" w:hanging="540"/>
      </w:pPr>
      <w:r w:rsidRPr="00BC0E7E">
        <w:t>sensation disorders such as tingling, prickling or numbness</w:t>
      </w:r>
    </w:p>
    <w:p w14:paraId="273527F4" w14:textId="77777777" w:rsidR="00BC0E7E" w:rsidRPr="00BC0E7E" w:rsidRDefault="00944B8F" w:rsidP="00D51999">
      <w:pPr>
        <w:numPr>
          <w:ilvl w:val="0"/>
          <w:numId w:val="75"/>
        </w:numPr>
        <w:ind w:left="540" w:hanging="540"/>
      </w:pPr>
      <w:r w:rsidRPr="00BC0E7E">
        <w:t>migraine</w:t>
      </w:r>
    </w:p>
    <w:p w14:paraId="3D4A770F" w14:textId="77777777" w:rsidR="00BC0E7E" w:rsidRPr="00BC0E7E" w:rsidRDefault="00944B8F" w:rsidP="00D51999">
      <w:pPr>
        <w:numPr>
          <w:ilvl w:val="0"/>
          <w:numId w:val="75"/>
        </w:numPr>
        <w:ind w:left="540" w:hanging="540"/>
      </w:pPr>
      <w:r w:rsidRPr="00BC0E7E">
        <w:t>nerve root compression (including low back pain and leg pain)</w:t>
      </w:r>
    </w:p>
    <w:p w14:paraId="6CC655DC" w14:textId="77777777" w:rsidR="00BC0E7E" w:rsidRPr="00BC0E7E" w:rsidRDefault="00944B8F" w:rsidP="00D51999">
      <w:pPr>
        <w:numPr>
          <w:ilvl w:val="0"/>
          <w:numId w:val="75"/>
        </w:numPr>
        <w:ind w:left="540" w:hanging="540"/>
      </w:pPr>
      <w:r w:rsidRPr="00BC0E7E">
        <w:t>vision disturbances</w:t>
      </w:r>
    </w:p>
    <w:p w14:paraId="0FD8C9D8" w14:textId="77777777" w:rsidR="00BC0E7E" w:rsidRPr="00BC0E7E" w:rsidRDefault="00944B8F" w:rsidP="00D51999">
      <w:pPr>
        <w:numPr>
          <w:ilvl w:val="0"/>
          <w:numId w:val="75"/>
        </w:numPr>
        <w:ind w:left="540" w:hanging="540"/>
      </w:pPr>
      <w:r w:rsidRPr="00BC0E7E">
        <w:t>eye inflammation</w:t>
      </w:r>
    </w:p>
    <w:p w14:paraId="0AC40CC2" w14:textId="77777777" w:rsidR="00BC0E7E" w:rsidRPr="00BC0E7E" w:rsidRDefault="00944B8F" w:rsidP="00D51999">
      <w:pPr>
        <w:numPr>
          <w:ilvl w:val="0"/>
          <w:numId w:val="75"/>
        </w:numPr>
        <w:ind w:left="540" w:hanging="540"/>
      </w:pPr>
      <w:r w:rsidRPr="00BC0E7E">
        <w:t>inflammation of the eye lid and eye swelling</w:t>
      </w:r>
    </w:p>
    <w:p w14:paraId="1E2A252D" w14:textId="77777777" w:rsidR="00BC0E7E" w:rsidRPr="00BC0E7E" w:rsidRDefault="00944B8F" w:rsidP="00D51999">
      <w:pPr>
        <w:numPr>
          <w:ilvl w:val="0"/>
          <w:numId w:val="75"/>
        </w:numPr>
        <w:ind w:left="540" w:hanging="540"/>
      </w:pPr>
      <w:r w:rsidRPr="00BC0E7E">
        <w:t>vertigo (feeling of dizziness or spinning)</w:t>
      </w:r>
    </w:p>
    <w:p w14:paraId="51E0F9C0" w14:textId="77777777" w:rsidR="00BC0E7E" w:rsidRPr="00BC0E7E" w:rsidRDefault="00944B8F" w:rsidP="00D51999">
      <w:pPr>
        <w:numPr>
          <w:ilvl w:val="0"/>
          <w:numId w:val="75"/>
        </w:numPr>
        <w:ind w:left="540" w:hanging="540"/>
      </w:pPr>
      <w:r w:rsidRPr="00BC0E7E">
        <w:t>sensation of heart beating rapidly</w:t>
      </w:r>
    </w:p>
    <w:p w14:paraId="3EDA22C0" w14:textId="77777777" w:rsidR="00BC0E7E" w:rsidRPr="00BC0E7E" w:rsidRDefault="00944B8F" w:rsidP="00D51999">
      <w:pPr>
        <w:numPr>
          <w:ilvl w:val="0"/>
          <w:numId w:val="75"/>
        </w:numPr>
        <w:ind w:left="540" w:hanging="540"/>
      </w:pPr>
      <w:r w:rsidRPr="00BC0E7E">
        <w:t>high blood pressure</w:t>
      </w:r>
    </w:p>
    <w:p w14:paraId="5173FE15" w14:textId="77777777" w:rsidR="00BC0E7E" w:rsidRPr="00BC0E7E" w:rsidRDefault="00944B8F" w:rsidP="00D51999">
      <w:pPr>
        <w:numPr>
          <w:ilvl w:val="0"/>
          <w:numId w:val="75"/>
        </w:numPr>
        <w:ind w:left="540" w:hanging="540"/>
      </w:pPr>
      <w:r w:rsidRPr="00BC0E7E">
        <w:t>flushing</w:t>
      </w:r>
    </w:p>
    <w:p w14:paraId="69E75FC4" w14:textId="77777777" w:rsidR="00BC0E7E" w:rsidRPr="00BC0E7E" w:rsidRDefault="00944B8F" w:rsidP="00D51999">
      <w:pPr>
        <w:numPr>
          <w:ilvl w:val="0"/>
          <w:numId w:val="75"/>
        </w:numPr>
        <w:ind w:left="540" w:hanging="540"/>
      </w:pPr>
      <w:r w:rsidRPr="00BC0E7E">
        <w:t>haematoma (collection of blood outside of blood vessels)</w:t>
      </w:r>
    </w:p>
    <w:p w14:paraId="6C51D0DF" w14:textId="77777777" w:rsidR="00BC0E7E" w:rsidRPr="00BC0E7E" w:rsidRDefault="00944B8F" w:rsidP="00D51999">
      <w:pPr>
        <w:numPr>
          <w:ilvl w:val="0"/>
          <w:numId w:val="75"/>
        </w:numPr>
        <w:ind w:left="540" w:hanging="540"/>
      </w:pPr>
      <w:r w:rsidRPr="00BC0E7E">
        <w:t>cough</w:t>
      </w:r>
    </w:p>
    <w:p w14:paraId="19C6DFB8" w14:textId="77777777" w:rsidR="00BC0E7E" w:rsidRPr="00BC0E7E" w:rsidRDefault="00944B8F" w:rsidP="00D51999">
      <w:pPr>
        <w:numPr>
          <w:ilvl w:val="0"/>
          <w:numId w:val="75"/>
        </w:numPr>
        <w:ind w:left="540" w:hanging="540"/>
      </w:pPr>
      <w:r w:rsidRPr="00BC0E7E">
        <w:t>asthma</w:t>
      </w:r>
    </w:p>
    <w:p w14:paraId="7D814E1D" w14:textId="77777777" w:rsidR="00BC0E7E" w:rsidRPr="00BC0E7E" w:rsidRDefault="00944B8F" w:rsidP="00D51999">
      <w:pPr>
        <w:numPr>
          <w:ilvl w:val="0"/>
          <w:numId w:val="75"/>
        </w:numPr>
        <w:ind w:left="540" w:hanging="540"/>
      </w:pPr>
      <w:r w:rsidRPr="00BC0E7E">
        <w:t>shortness of breath</w:t>
      </w:r>
    </w:p>
    <w:p w14:paraId="649E982F" w14:textId="77777777" w:rsidR="00BC0E7E" w:rsidRPr="00BC0E7E" w:rsidRDefault="00944B8F" w:rsidP="00D51999">
      <w:pPr>
        <w:numPr>
          <w:ilvl w:val="0"/>
          <w:numId w:val="75"/>
        </w:numPr>
        <w:ind w:left="540" w:hanging="540"/>
      </w:pPr>
      <w:r w:rsidRPr="00BC0E7E">
        <w:t>gastrointestinal bleeding</w:t>
      </w:r>
    </w:p>
    <w:p w14:paraId="33412169" w14:textId="77777777" w:rsidR="00BC0E7E" w:rsidRPr="00BC0E7E" w:rsidRDefault="00944B8F" w:rsidP="00D51999">
      <w:pPr>
        <w:numPr>
          <w:ilvl w:val="0"/>
          <w:numId w:val="75"/>
        </w:numPr>
        <w:ind w:left="540" w:hanging="540"/>
      </w:pPr>
      <w:r w:rsidRPr="00BC0E7E">
        <w:t>dyspepsia (indigestion, bloating, heart burn)</w:t>
      </w:r>
    </w:p>
    <w:p w14:paraId="64AB86EB" w14:textId="77777777" w:rsidR="00BC0E7E" w:rsidRPr="00BC0E7E" w:rsidRDefault="00944B8F" w:rsidP="00D51999">
      <w:pPr>
        <w:numPr>
          <w:ilvl w:val="0"/>
          <w:numId w:val="75"/>
        </w:numPr>
        <w:ind w:left="540" w:hanging="540"/>
      </w:pPr>
      <w:r w:rsidRPr="00BC0E7E">
        <w:t>acid reflux disease</w:t>
      </w:r>
    </w:p>
    <w:p w14:paraId="2363D40B" w14:textId="77777777" w:rsidR="00BC0E7E" w:rsidRPr="00BC0E7E" w:rsidRDefault="00944B8F" w:rsidP="00D51999">
      <w:pPr>
        <w:numPr>
          <w:ilvl w:val="0"/>
          <w:numId w:val="75"/>
        </w:numPr>
        <w:ind w:left="540" w:hanging="540"/>
      </w:pPr>
      <w:r w:rsidRPr="00BC0E7E">
        <w:t>sicca syndrome (including dry eyes and dry mouth)</w:t>
      </w:r>
    </w:p>
    <w:p w14:paraId="47CA6856" w14:textId="77777777" w:rsidR="00BC0E7E" w:rsidRPr="00BC0E7E" w:rsidRDefault="00944B8F" w:rsidP="00D51999">
      <w:pPr>
        <w:numPr>
          <w:ilvl w:val="0"/>
          <w:numId w:val="75"/>
        </w:numPr>
        <w:ind w:left="540" w:hanging="540"/>
      </w:pPr>
      <w:r w:rsidRPr="00BC0E7E">
        <w:t>itching</w:t>
      </w:r>
    </w:p>
    <w:p w14:paraId="3B1189E1" w14:textId="77777777" w:rsidR="00BC0E7E" w:rsidRPr="00BC0E7E" w:rsidRDefault="00944B8F" w:rsidP="00D51999">
      <w:pPr>
        <w:numPr>
          <w:ilvl w:val="0"/>
          <w:numId w:val="56"/>
        </w:numPr>
        <w:ind w:left="540" w:hanging="540"/>
        <w:rPr>
          <w:szCs w:val="20"/>
        </w:rPr>
      </w:pPr>
      <w:r w:rsidRPr="00BC0E7E">
        <w:rPr>
          <w:szCs w:val="20"/>
        </w:rPr>
        <w:t>itchy rash</w:t>
      </w:r>
    </w:p>
    <w:p w14:paraId="2AE34007" w14:textId="77777777" w:rsidR="00BC0E7E" w:rsidRPr="00BC0E7E" w:rsidRDefault="00944B8F" w:rsidP="00D51999">
      <w:pPr>
        <w:numPr>
          <w:ilvl w:val="0"/>
          <w:numId w:val="56"/>
        </w:numPr>
        <w:ind w:left="540" w:hanging="540"/>
        <w:rPr>
          <w:szCs w:val="20"/>
        </w:rPr>
      </w:pPr>
      <w:r w:rsidRPr="00BC0E7E">
        <w:rPr>
          <w:szCs w:val="20"/>
        </w:rPr>
        <w:t>bruising</w:t>
      </w:r>
    </w:p>
    <w:p w14:paraId="6B1C045D" w14:textId="77777777" w:rsidR="00BC0E7E" w:rsidRPr="00BC0E7E" w:rsidRDefault="00944B8F" w:rsidP="00D51999">
      <w:pPr>
        <w:numPr>
          <w:ilvl w:val="0"/>
          <w:numId w:val="56"/>
        </w:numPr>
        <w:ind w:left="540" w:hanging="540"/>
        <w:rPr>
          <w:szCs w:val="20"/>
        </w:rPr>
      </w:pPr>
      <w:r w:rsidRPr="00BC0E7E">
        <w:rPr>
          <w:szCs w:val="20"/>
        </w:rPr>
        <w:t>inflammation of the skin (such as eczema)</w:t>
      </w:r>
    </w:p>
    <w:p w14:paraId="2CE049FD" w14:textId="77777777" w:rsidR="00BC0E7E" w:rsidRPr="00BC0E7E" w:rsidRDefault="00944B8F" w:rsidP="00D51999">
      <w:pPr>
        <w:numPr>
          <w:ilvl w:val="0"/>
          <w:numId w:val="56"/>
        </w:numPr>
        <w:ind w:left="540" w:hanging="540"/>
        <w:rPr>
          <w:szCs w:val="20"/>
        </w:rPr>
      </w:pPr>
      <w:r w:rsidRPr="00BC0E7E">
        <w:rPr>
          <w:szCs w:val="20"/>
        </w:rPr>
        <w:t>breaking of finger nails and toe nails</w:t>
      </w:r>
    </w:p>
    <w:p w14:paraId="33833F76" w14:textId="77777777" w:rsidR="00BC0E7E" w:rsidRPr="00BC0E7E" w:rsidRDefault="00944B8F" w:rsidP="00D51999">
      <w:pPr>
        <w:numPr>
          <w:ilvl w:val="0"/>
          <w:numId w:val="56"/>
        </w:numPr>
        <w:ind w:left="540" w:hanging="540"/>
        <w:rPr>
          <w:szCs w:val="20"/>
        </w:rPr>
      </w:pPr>
      <w:r w:rsidRPr="00BC0E7E">
        <w:rPr>
          <w:szCs w:val="20"/>
        </w:rPr>
        <w:t>increased sweating</w:t>
      </w:r>
    </w:p>
    <w:p w14:paraId="4D264F75" w14:textId="77777777" w:rsidR="00BC0E7E" w:rsidRPr="00BC0E7E" w:rsidRDefault="00944B8F" w:rsidP="00D51999">
      <w:pPr>
        <w:numPr>
          <w:ilvl w:val="0"/>
          <w:numId w:val="56"/>
        </w:numPr>
        <w:ind w:left="540" w:hanging="540"/>
        <w:rPr>
          <w:szCs w:val="20"/>
        </w:rPr>
      </w:pPr>
      <w:r w:rsidRPr="00BC0E7E">
        <w:rPr>
          <w:szCs w:val="20"/>
        </w:rPr>
        <w:t>hair loss</w:t>
      </w:r>
    </w:p>
    <w:p w14:paraId="51C3212E" w14:textId="77777777" w:rsidR="00BC0E7E" w:rsidRPr="00BC0E7E" w:rsidRDefault="00944B8F" w:rsidP="00D51999">
      <w:pPr>
        <w:numPr>
          <w:ilvl w:val="0"/>
          <w:numId w:val="56"/>
        </w:numPr>
        <w:ind w:left="540" w:hanging="540"/>
        <w:rPr>
          <w:szCs w:val="20"/>
        </w:rPr>
      </w:pPr>
      <w:r w:rsidRPr="00BC0E7E">
        <w:rPr>
          <w:szCs w:val="20"/>
        </w:rPr>
        <w:lastRenderedPageBreak/>
        <w:t>new onset or worsening of psoriasis</w:t>
      </w:r>
    </w:p>
    <w:p w14:paraId="45DCCE35" w14:textId="77777777" w:rsidR="00BC0E7E" w:rsidRPr="00BC0E7E" w:rsidRDefault="00944B8F" w:rsidP="00D51999">
      <w:pPr>
        <w:numPr>
          <w:ilvl w:val="0"/>
          <w:numId w:val="56"/>
        </w:numPr>
        <w:ind w:left="540" w:hanging="540"/>
        <w:rPr>
          <w:szCs w:val="20"/>
        </w:rPr>
      </w:pPr>
      <w:r w:rsidRPr="00BC0E7E">
        <w:rPr>
          <w:szCs w:val="20"/>
        </w:rPr>
        <w:t>muscle spasms</w:t>
      </w:r>
    </w:p>
    <w:p w14:paraId="42DFA1B1" w14:textId="77777777" w:rsidR="00BC0E7E" w:rsidRPr="00BC0E7E" w:rsidRDefault="00944B8F" w:rsidP="00D51999">
      <w:pPr>
        <w:numPr>
          <w:ilvl w:val="0"/>
          <w:numId w:val="56"/>
        </w:numPr>
        <w:ind w:left="540" w:hanging="540"/>
        <w:rPr>
          <w:szCs w:val="20"/>
        </w:rPr>
      </w:pPr>
      <w:r w:rsidRPr="00BC0E7E">
        <w:rPr>
          <w:szCs w:val="20"/>
        </w:rPr>
        <w:t>blood in urine</w:t>
      </w:r>
    </w:p>
    <w:p w14:paraId="184AE65C" w14:textId="77777777" w:rsidR="00BC0E7E" w:rsidRPr="00BC0E7E" w:rsidRDefault="00944B8F" w:rsidP="00D51999">
      <w:pPr>
        <w:numPr>
          <w:ilvl w:val="0"/>
          <w:numId w:val="56"/>
        </w:numPr>
        <w:ind w:left="540" w:hanging="540"/>
        <w:rPr>
          <w:szCs w:val="20"/>
        </w:rPr>
      </w:pPr>
      <w:r w:rsidRPr="00BC0E7E">
        <w:rPr>
          <w:szCs w:val="20"/>
        </w:rPr>
        <w:t>kidney problems</w:t>
      </w:r>
    </w:p>
    <w:p w14:paraId="0C740FD9" w14:textId="77777777" w:rsidR="00BC0E7E" w:rsidRPr="00BC0E7E" w:rsidRDefault="00944B8F" w:rsidP="00D51999">
      <w:pPr>
        <w:numPr>
          <w:ilvl w:val="0"/>
          <w:numId w:val="56"/>
        </w:numPr>
        <w:ind w:left="540" w:hanging="540"/>
        <w:rPr>
          <w:szCs w:val="20"/>
        </w:rPr>
      </w:pPr>
      <w:r w:rsidRPr="00BC0E7E">
        <w:rPr>
          <w:szCs w:val="20"/>
        </w:rPr>
        <w:t>chest pain</w:t>
      </w:r>
    </w:p>
    <w:p w14:paraId="5B90A2B1" w14:textId="77777777" w:rsidR="00BC0E7E" w:rsidRPr="00BC0E7E" w:rsidRDefault="00944B8F" w:rsidP="00D51999">
      <w:pPr>
        <w:numPr>
          <w:ilvl w:val="0"/>
          <w:numId w:val="56"/>
        </w:numPr>
        <w:ind w:left="540" w:hanging="540"/>
        <w:rPr>
          <w:szCs w:val="20"/>
        </w:rPr>
      </w:pPr>
      <w:r w:rsidRPr="00BC0E7E">
        <w:rPr>
          <w:szCs w:val="20"/>
        </w:rPr>
        <w:t>oedema (swelling)</w:t>
      </w:r>
    </w:p>
    <w:p w14:paraId="56BE363E" w14:textId="77777777" w:rsidR="00BC0E7E" w:rsidRPr="00BC0E7E" w:rsidRDefault="00944B8F" w:rsidP="00D51999">
      <w:pPr>
        <w:numPr>
          <w:ilvl w:val="0"/>
          <w:numId w:val="56"/>
        </w:numPr>
        <w:ind w:left="540" w:hanging="540"/>
        <w:rPr>
          <w:szCs w:val="20"/>
        </w:rPr>
      </w:pPr>
      <w:r w:rsidRPr="00BC0E7E">
        <w:rPr>
          <w:szCs w:val="20"/>
        </w:rPr>
        <w:t>fever</w:t>
      </w:r>
    </w:p>
    <w:p w14:paraId="5A33CF79" w14:textId="77777777" w:rsidR="00BC0E7E" w:rsidRPr="00BC0E7E" w:rsidRDefault="00944B8F" w:rsidP="00D51999">
      <w:pPr>
        <w:numPr>
          <w:ilvl w:val="0"/>
          <w:numId w:val="56"/>
        </w:numPr>
        <w:tabs>
          <w:tab w:val="clear" w:pos="562"/>
          <w:tab w:val="num" w:pos="540"/>
        </w:tabs>
        <w:ind w:left="540" w:hanging="540"/>
      </w:pPr>
      <w:r w:rsidRPr="00BC0E7E">
        <w:t>reduction in blood platelets which increases risk of bleeding or bruising</w:t>
      </w:r>
    </w:p>
    <w:p w14:paraId="10AB44D4" w14:textId="77777777" w:rsidR="00BC0E7E" w:rsidRPr="00BC0E7E" w:rsidRDefault="00944B8F" w:rsidP="00D51999">
      <w:pPr>
        <w:numPr>
          <w:ilvl w:val="0"/>
          <w:numId w:val="56"/>
        </w:numPr>
        <w:tabs>
          <w:tab w:val="clear" w:pos="562"/>
          <w:tab w:val="num" w:pos="540"/>
        </w:tabs>
        <w:ind w:left="540" w:hanging="540"/>
      </w:pPr>
      <w:r w:rsidRPr="00BC0E7E">
        <w:t>impaired healing</w:t>
      </w:r>
    </w:p>
    <w:p w14:paraId="157C33C3" w14:textId="77777777" w:rsidR="00BC0E7E" w:rsidRPr="00BC0E7E" w:rsidRDefault="00BC0E7E" w:rsidP="00BC0E7E"/>
    <w:p w14:paraId="58DA82E6" w14:textId="77777777" w:rsidR="00BC0E7E" w:rsidRPr="00BC0E7E" w:rsidRDefault="00944B8F" w:rsidP="00BC0E7E">
      <w:pPr>
        <w:keepNext/>
      </w:pPr>
      <w:r w:rsidRPr="00BC0E7E">
        <w:rPr>
          <w:b/>
        </w:rPr>
        <w:t>Uncommon</w:t>
      </w:r>
      <w:r w:rsidRPr="00BC0E7E">
        <w:t xml:space="preserve"> (may affect up to 1 in 100 people)  </w:t>
      </w:r>
    </w:p>
    <w:p w14:paraId="51DCA132" w14:textId="77777777" w:rsidR="00BC0E7E" w:rsidRPr="00BC0E7E" w:rsidRDefault="00BC0E7E" w:rsidP="00BC0E7E">
      <w:pPr>
        <w:keepNext/>
      </w:pPr>
    </w:p>
    <w:p w14:paraId="1820EDBB" w14:textId="77777777" w:rsidR="00BC0E7E" w:rsidRPr="00BC0E7E" w:rsidRDefault="00944B8F" w:rsidP="00D51999">
      <w:pPr>
        <w:keepNext/>
        <w:numPr>
          <w:ilvl w:val="0"/>
          <w:numId w:val="74"/>
        </w:numPr>
        <w:tabs>
          <w:tab w:val="clear" w:pos="562"/>
          <w:tab w:val="num" w:pos="540"/>
        </w:tabs>
        <w:ind w:left="540" w:hanging="540"/>
      </w:pPr>
      <w:r w:rsidRPr="00BC0E7E">
        <w:t>opportunistic infections (which include tuberculosis and other infections that occur when resistance to disease is lowered)</w:t>
      </w:r>
    </w:p>
    <w:p w14:paraId="424CEE5C" w14:textId="77777777" w:rsidR="00BC0E7E" w:rsidRPr="00BC0E7E" w:rsidRDefault="00944B8F" w:rsidP="00D51999">
      <w:pPr>
        <w:keepNext/>
        <w:numPr>
          <w:ilvl w:val="0"/>
          <w:numId w:val="74"/>
        </w:numPr>
        <w:tabs>
          <w:tab w:val="clear" w:pos="562"/>
          <w:tab w:val="num" w:pos="540"/>
        </w:tabs>
        <w:ind w:left="540" w:hanging="540"/>
      </w:pPr>
      <w:r w:rsidRPr="00BC0E7E">
        <w:t>neurological infections (including viral meningitis)</w:t>
      </w:r>
    </w:p>
    <w:p w14:paraId="1C610795" w14:textId="77777777" w:rsidR="00BC0E7E" w:rsidRPr="00BC0E7E" w:rsidRDefault="00944B8F" w:rsidP="00D51999">
      <w:pPr>
        <w:keepNext/>
        <w:numPr>
          <w:ilvl w:val="0"/>
          <w:numId w:val="74"/>
        </w:numPr>
        <w:tabs>
          <w:tab w:val="clear" w:pos="562"/>
          <w:tab w:val="num" w:pos="540"/>
        </w:tabs>
        <w:ind w:left="540" w:hanging="540"/>
      </w:pPr>
      <w:r w:rsidRPr="00BC0E7E">
        <w:t>eye infections</w:t>
      </w:r>
    </w:p>
    <w:p w14:paraId="516C8F88" w14:textId="77777777" w:rsidR="00BC0E7E" w:rsidRPr="00BC0E7E" w:rsidRDefault="00944B8F" w:rsidP="00D51999">
      <w:pPr>
        <w:keepNext/>
        <w:numPr>
          <w:ilvl w:val="0"/>
          <w:numId w:val="74"/>
        </w:numPr>
        <w:tabs>
          <w:tab w:val="clear" w:pos="562"/>
          <w:tab w:val="num" w:pos="540"/>
        </w:tabs>
        <w:ind w:left="540" w:hanging="540"/>
      </w:pPr>
      <w:r w:rsidRPr="00BC0E7E">
        <w:t>bacterial infections</w:t>
      </w:r>
    </w:p>
    <w:p w14:paraId="4CCB3B48" w14:textId="77777777" w:rsidR="00BC0E7E" w:rsidRPr="00BC0E7E" w:rsidRDefault="00944B8F" w:rsidP="00D51999">
      <w:pPr>
        <w:keepNext/>
        <w:numPr>
          <w:ilvl w:val="0"/>
          <w:numId w:val="74"/>
        </w:numPr>
        <w:tabs>
          <w:tab w:val="clear" w:pos="562"/>
          <w:tab w:val="num" w:pos="540"/>
        </w:tabs>
        <w:ind w:left="540" w:hanging="540"/>
      </w:pPr>
      <w:r w:rsidRPr="00BC0E7E">
        <w:t>diverticulitis (inflammation and infection of the large intestine)</w:t>
      </w:r>
    </w:p>
    <w:p w14:paraId="2BAE220F" w14:textId="77777777" w:rsidR="00BC0E7E" w:rsidRPr="00BC0E7E" w:rsidRDefault="00944B8F" w:rsidP="00D51999">
      <w:pPr>
        <w:keepNext/>
        <w:numPr>
          <w:ilvl w:val="0"/>
          <w:numId w:val="74"/>
        </w:numPr>
        <w:tabs>
          <w:tab w:val="clear" w:pos="562"/>
          <w:tab w:val="num" w:pos="540"/>
        </w:tabs>
        <w:ind w:left="540" w:hanging="540"/>
      </w:pPr>
      <w:r w:rsidRPr="00BC0E7E">
        <w:t>cancer</w:t>
      </w:r>
    </w:p>
    <w:p w14:paraId="525D5850" w14:textId="77777777" w:rsidR="00BC0E7E" w:rsidRPr="00BC0E7E" w:rsidRDefault="00944B8F" w:rsidP="00D51999">
      <w:pPr>
        <w:numPr>
          <w:ilvl w:val="0"/>
          <w:numId w:val="74"/>
        </w:numPr>
        <w:tabs>
          <w:tab w:val="clear" w:pos="562"/>
          <w:tab w:val="num" w:pos="540"/>
        </w:tabs>
        <w:ind w:left="540" w:hanging="540"/>
      </w:pPr>
      <w:r w:rsidRPr="00BC0E7E">
        <w:t>cancer that affects the lymph system</w:t>
      </w:r>
    </w:p>
    <w:p w14:paraId="6211DE1C" w14:textId="77777777" w:rsidR="00BC0E7E" w:rsidRPr="00BC0E7E" w:rsidRDefault="00944B8F" w:rsidP="00D51999">
      <w:pPr>
        <w:numPr>
          <w:ilvl w:val="0"/>
          <w:numId w:val="74"/>
        </w:numPr>
        <w:tabs>
          <w:tab w:val="clear" w:pos="562"/>
          <w:tab w:val="num" w:pos="540"/>
        </w:tabs>
        <w:ind w:left="540" w:hanging="540"/>
      </w:pPr>
      <w:r w:rsidRPr="00BC0E7E">
        <w:t>melanoma</w:t>
      </w:r>
    </w:p>
    <w:p w14:paraId="6282CB56" w14:textId="77777777" w:rsidR="00BC0E7E" w:rsidRPr="00BC0E7E" w:rsidRDefault="00944B8F" w:rsidP="00D51999">
      <w:pPr>
        <w:numPr>
          <w:ilvl w:val="0"/>
          <w:numId w:val="74"/>
        </w:numPr>
        <w:tabs>
          <w:tab w:val="clear" w:pos="562"/>
          <w:tab w:val="num" w:pos="540"/>
        </w:tabs>
        <w:ind w:left="540" w:hanging="540"/>
      </w:pPr>
      <w:r w:rsidRPr="00BC0E7E">
        <w:t>immune disorders that could affect the lungs, skin and lymph nodes (most commonly presenting as sarcoidosis)</w:t>
      </w:r>
    </w:p>
    <w:p w14:paraId="4EBF830D" w14:textId="77777777" w:rsidR="00BC0E7E" w:rsidRPr="00BC0E7E" w:rsidRDefault="00944B8F" w:rsidP="00D51999">
      <w:pPr>
        <w:numPr>
          <w:ilvl w:val="0"/>
          <w:numId w:val="74"/>
        </w:numPr>
        <w:tabs>
          <w:tab w:val="clear" w:pos="562"/>
          <w:tab w:val="num" w:pos="540"/>
        </w:tabs>
        <w:ind w:left="540" w:hanging="540"/>
      </w:pPr>
      <w:r w:rsidRPr="00BC0E7E">
        <w:t>vasculitis (inflammation of blood vessels)</w:t>
      </w:r>
    </w:p>
    <w:p w14:paraId="24135747" w14:textId="77777777" w:rsidR="00BC0E7E" w:rsidRPr="00BC0E7E" w:rsidRDefault="00944B8F" w:rsidP="00D51999">
      <w:pPr>
        <w:numPr>
          <w:ilvl w:val="0"/>
          <w:numId w:val="74"/>
        </w:numPr>
        <w:tabs>
          <w:tab w:val="clear" w:pos="562"/>
          <w:tab w:val="num" w:pos="540"/>
        </w:tabs>
        <w:ind w:left="540" w:hanging="540"/>
      </w:pPr>
      <w:r w:rsidRPr="00BC0E7E">
        <w:t>tremor (shaking)</w:t>
      </w:r>
    </w:p>
    <w:p w14:paraId="1507F232" w14:textId="77777777" w:rsidR="00BC0E7E" w:rsidRPr="00BC0E7E" w:rsidRDefault="00944B8F" w:rsidP="00D51999">
      <w:pPr>
        <w:numPr>
          <w:ilvl w:val="0"/>
          <w:numId w:val="74"/>
        </w:numPr>
        <w:tabs>
          <w:tab w:val="clear" w:pos="562"/>
          <w:tab w:val="num" w:pos="540"/>
        </w:tabs>
        <w:ind w:left="540" w:hanging="540"/>
      </w:pPr>
      <w:r w:rsidRPr="00BC0E7E">
        <w:t>neuropathy (disorder of the nerves)</w:t>
      </w:r>
    </w:p>
    <w:p w14:paraId="6CE332DD" w14:textId="77777777" w:rsidR="00BC0E7E" w:rsidRPr="00BC0E7E" w:rsidRDefault="00944B8F" w:rsidP="00D51999">
      <w:pPr>
        <w:numPr>
          <w:ilvl w:val="0"/>
          <w:numId w:val="74"/>
        </w:numPr>
        <w:tabs>
          <w:tab w:val="clear" w:pos="562"/>
          <w:tab w:val="num" w:pos="540"/>
        </w:tabs>
        <w:ind w:left="540" w:hanging="540"/>
      </w:pPr>
      <w:r w:rsidRPr="00BC0E7E">
        <w:t>stroke</w:t>
      </w:r>
    </w:p>
    <w:p w14:paraId="63234C28" w14:textId="77777777" w:rsidR="00BC0E7E" w:rsidRPr="00BC0E7E" w:rsidRDefault="00944B8F" w:rsidP="00D51999">
      <w:pPr>
        <w:numPr>
          <w:ilvl w:val="0"/>
          <w:numId w:val="74"/>
        </w:numPr>
        <w:tabs>
          <w:tab w:val="clear" w:pos="562"/>
          <w:tab w:val="num" w:pos="540"/>
        </w:tabs>
        <w:ind w:left="540" w:hanging="540"/>
      </w:pPr>
      <w:r w:rsidRPr="00BC0E7E">
        <w:t>hearing loss, buzzing</w:t>
      </w:r>
    </w:p>
    <w:p w14:paraId="5C2D8EBE" w14:textId="77777777" w:rsidR="00BC0E7E" w:rsidRPr="00BC0E7E" w:rsidRDefault="00944B8F" w:rsidP="00D51999">
      <w:pPr>
        <w:numPr>
          <w:ilvl w:val="0"/>
          <w:numId w:val="74"/>
        </w:numPr>
        <w:tabs>
          <w:tab w:val="clear" w:pos="562"/>
          <w:tab w:val="num" w:pos="540"/>
        </w:tabs>
        <w:ind w:left="540" w:hanging="540"/>
      </w:pPr>
      <w:r w:rsidRPr="00BC0E7E">
        <w:t>sensation of heart beating irregularly such as skipped beats</w:t>
      </w:r>
    </w:p>
    <w:p w14:paraId="5ACA04A9" w14:textId="77777777" w:rsidR="00BC0E7E" w:rsidRPr="00BC0E7E" w:rsidRDefault="00944B8F" w:rsidP="00D51999">
      <w:pPr>
        <w:numPr>
          <w:ilvl w:val="0"/>
          <w:numId w:val="74"/>
        </w:numPr>
        <w:tabs>
          <w:tab w:val="clear" w:pos="562"/>
          <w:tab w:val="num" w:pos="540"/>
        </w:tabs>
        <w:ind w:left="540" w:hanging="540"/>
      </w:pPr>
      <w:r w:rsidRPr="00BC0E7E">
        <w:t>heart problems that can cause shortness of breath or ankle swelling</w:t>
      </w:r>
    </w:p>
    <w:p w14:paraId="1321A7FB" w14:textId="77777777" w:rsidR="00BC0E7E" w:rsidRPr="00BC0E7E" w:rsidRDefault="00944B8F" w:rsidP="00D51999">
      <w:pPr>
        <w:numPr>
          <w:ilvl w:val="0"/>
          <w:numId w:val="74"/>
        </w:numPr>
        <w:tabs>
          <w:tab w:val="clear" w:pos="562"/>
          <w:tab w:val="num" w:pos="540"/>
        </w:tabs>
        <w:ind w:left="540" w:hanging="540"/>
      </w:pPr>
      <w:r w:rsidRPr="00BC0E7E">
        <w:t>heart attack</w:t>
      </w:r>
    </w:p>
    <w:p w14:paraId="0D3600D5" w14:textId="77777777" w:rsidR="00BC0E7E" w:rsidRPr="00BC0E7E" w:rsidRDefault="00944B8F" w:rsidP="00D51999">
      <w:pPr>
        <w:numPr>
          <w:ilvl w:val="0"/>
          <w:numId w:val="74"/>
        </w:numPr>
        <w:tabs>
          <w:tab w:val="clear" w:pos="562"/>
          <w:tab w:val="num" w:pos="540"/>
        </w:tabs>
        <w:ind w:left="540" w:hanging="540"/>
      </w:pPr>
      <w:r w:rsidRPr="00BC0E7E">
        <w:t>a sac in the wall of a major artery, inflammation and clot of a vein, blockage of a blood vessel</w:t>
      </w:r>
    </w:p>
    <w:p w14:paraId="6BCAAB24" w14:textId="77777777" w:rsidR="00BC0E7E" w:rsidRPr="00BC0E7E" w:rsidRDefault="00944B8F" w:rsidP="00D51999">
      <w:pPr>
        <w:numPr>
          <w:ilvl w:val="0"/>
          <w:numId w:val="74"/>
        </w:numPr>
        <w:tabs>
          <w:tab w:val="clear" w:pos="562"/>
          <w:tab w:val="num" w:pos="540"/>
        </w:tabs>
        <w:ind w:left="540" w:hanging="540"/>
      </w:pPr>
      <w:r w:rsidRPr="00BC0E7E">
        <w:t>lung diseases causing shortness of breath (including inflammation)</w:t>
      </w:r>
    </w:p>
    <w:p w14:paraId="59147405" w14:textId="77777777" w:rsidR="00BC0E7E" w:rsidRPr="00BC0E7E" w:rsidRDefault="00944B8F" w:rsidP="00D51999">
      <w:pPr>
        <w:numPr>
          <w:ilvl w:val="0"/>
          <w:numId w:val="74"/>
        </w:numPr>
        <w:tabs>
          <w:tab w:val="clear" w:pos="562"/>
          <w:tab w:val="num" w:pos="540"/>
        </w:tabs>
        <w:ind w:left="540" w:hanging="540"/>
      </w:pPr>
      <w:r w:rsidRPr="00BC0E7E">
        <w:t>pulmonary embolism (blockage in an artery of the lung)</w:t>
      </w:r>
    </w:p>
    <w:p w14:paraId="00B3CC0C" w14:textId="77777777" w:rsidR="00BC0E7E" w:rsidRPr="00BC0E7E" w:rsidRDefault="00944B8F" w:rsidP="00D51999">
      <w:pPr>
        <w:numPr>
          <w:ilvl w:val="0"/>
          <w:numId w:val="74"/>
        </w:numPr>
        <w:tabs>
          <w:tab w:val="clear" w:pos="562"/>
          <w:tab w:val="num" w:pos="540"/>
        </w:tabs>
        <w:ind w:left="540" w:hanging="540"/>
      </w:pPr>
      <w:r w:rsidRPr="00BC0E7E">
        <w:t>pleural effusion (abnormal collection of fluid in the pleural space)</w:t>
      </w:r>
    </w:p>
    <w:p w14:paraId="0CA78EE0" w14:textId="77777777" w:rsidR="00BC0E7E" w:rsidRPr="00BC0E7E" w:rsidRDefault="00944B8F" w:rsidP="00D51999">
      <w:pPr>
        <w:numPr>
          <w:ilvl w:val="0"/>
          <w:numId w:val="74"/>
        </w:numPr>
        <w:tabs>
          <w:tab w:val="clear" w:pos="562"/>
          <w:tab w:val="num" w:pos="540"/>
        </w:tabs>
        <w:ind w:left="540" w:hanging="540"/>
      </w:pPr>
      <w:r w:rsidRPr="00BC0E7E">
        <w:t>inflammation of the pancreas which causes severe pain in the abdomen and back</w:t>
      </w:r>
    </w:p>
    <w:p w14:paraId="1320E8CB" w14:textId="77777777" w:rsidR="00BC0E7E" w:rsidRPr="00BC0E7E" w:rsidRDefault="00944B8F" w:rsidP="00D51999">
      <w:pPr>
        <w:numPr>
          <w:ilvl w:val="0"/>
          <w:numId w:val="74"/>
        </w:numPr>
        <w:tabs>
          <w:tab w:val="clear" w:pos="562"/>
          <w:tab w:val="num" w:pos="540"/>
        </w:tabs>
        <w:ind w:left="540" w:hanging="540"/>
      </w:pPr>
      <w:r w:rsidRPr="00BC0E7E">
        <w:t>difficulty in swallowing</w:t>
      </w:r>
    </w:p>
    <w:p w14:paraId="708F6250" w14:textId="77777777" w:rsidR="00BC0E7E" w:rsidRPr="00BC0E7E" w:rsidRDefault="00944B8F" w:rsidP="00D51999">
      <w:pPr>
        <w:numPr>
          <w:ilvl w:val="0"/>
          <w:numId w:val="74"/>
        </w:numPr>
        <w:tabs>
          <w:tab w:val="clear" w:pos="562"/>
          <w:tab w:val="num" w:pos="540"/>
        </w:tabs>
        <w:ind w:left="540" w:hanging="540"/>
      </w:pPr>
      <w:r w:rsidRPr="00BC0E7E">
        <w:t>facial oedema (swelling of the face)</w:t>
      </w:r>
    </w:p>
    <w:p w14:paraId="47BB7FD9" w14:textId="77777777" w:rsidR="00BC0E7E" w:rsidRPr="00BC0E7E" w:rsidRDefault="00944B8F" w:rsidP="00D51999">
      <w:pPr>
        <w:numPr>
          <w:ilvl w:val="0"/>
          <w:numId w:val="74"/>
        </w:numPr>
        <w:tabs>
          <w:tab w:val="clear" w:pos="562"/>
          <w:tab w:val="num" w:pos="540"/>
        </w:tabs>
        <w:ind w:left="540" w:hanging="540"/>
      </w:pPr>
      <w:r w:rsidRPr="00BC0E7E">
        <w:t>gallbladder inflammation, gallbladder stones</w:t>
      </w:r>
    </w:p>
    <w:p w14:paraId="7F2495E6" w14:textId="77777777" w:rsidR="00BC0E7E" w:rsidRPr="00BC0E7E" w:rsidRDefault="00944B8F" w:rsidP="00D51999">
      <w:pPr>
        <w:numPr>
          <w:ilvl w:val="0"/>
          <w:numId w:val="74"/>
        </w:numPr>
        <w:tabs>
          <w:tab w:val="clear" w:pos="562"/>
          <w:tab w:val="num" w:pos="540"/>
        </w:tabs>
        <w:ind w:left="540" w:hanging="540"/>
      </w:pPr>
      <w:r w:rsidRPr="00BC0E7E">
        <w:t>fatty liver</w:t>
      </w:r>
    </w:p>
    <w:p w14:paraId="3997923D" w14:textId="77777777" w:rsidR="00BC0E7E" w:rsidRPr="00BC0E7E" w:rsidRDefault="00944B8F" w:rsidP="00D51999">
      <w:pPr>
        <w:numPr>
          <w:ilvl w:val="0"/>
          <w:numId w:val="74"/>
        </w:numPr>
        <w:tabs>
          <w:tab w:val="clear" w:pos="562"/>
          <w:tab w:val="num" w:pos="540"/>
        </w:tabs>
        <w:ind w:left="540" w:hanging="540"/>
      </w:pPr>
      <w:r w:rsidRPr="00BC0E7E">
        <w:t>night sweats</w:t>
      </w:r>
    </w:p>
    <w:p w14:paraId="06D20767" w14:textId="77777777" w:rsidR="00BC0E7E" w:rsidRPr="00BC0E7E" w:rsidRDefault="00944B8F" w:rsidP="00D51999">
      <w:pPr>
        <w:numPr>
          <w:ilvl w:val="0"/>
          <w:numId w:val="74"/>
        </w:numPr>
        <w:tabs>
          <w:tab w:val="clear" w:pos="562"/>
          <w:tab w:val="num" w:pos="540"/>
        </w:tabs>
        <w:ind w:left="540" w:hanging="540"/>
      </w:pPr>
      <w:r w:rsidRPr="00BC0E7E">
        <w:t>scar</w:t>
      </w:r>
    </w:p>
    <w:p w14:paraId="4272BAB5" w14:textId="77777777" w:rsidR="00BC0E7E" w:rsidRPr="00BC0E7E" w:rsidRDefault="00944B8F" w:rsidP="00D51999">
      <w:pPr>
        <w:numPr>
          <w:ilvl w:val="0"/>
          <w:numId w:val="74"/>
        </w:numPr>
        <w:tabs>
          <w:tab w:val="clear" w:pos="562"/>
          <w:tab w:val="num" w:pos="540"/>
        </w:tabs>
        <w:ind w:left="540" w:hanging="540"/>
      </w:pPr>
      <w:r w:rsidRPr="00BC0E7E">
        <w:t>abnormal muscle breakdown</w:t>
      </w:r>
    </w:p>
    <w:p w14:paraId="467185C0" w14:textId="77777777" w:rsidR="00BC0E7E" w:rsidRPr="00BC0E7E" w:rsidRDefault="00944B8F" w:rsidP="00D51999">
      <w:pPr>
        <w:numPr>
          <w:ilvl w:val="0"/>
          <w:numId w:val="74"/>
        </w:numPr>
        <w:tabs>
          <w:tab w:val="clear" w:pos="562"/>
          <w:tab w:val="num" w:pos="540"/>
        </w:tabs>
        <w:ind w:left="540" w:hanging="540"/>
      </w:pPr>
      <w:r w:rsidRPr="00BC0E7E">
        <w:t>systemic lupus erythematosus (including inflammation of skin, heart, lung, joints and other organ systems)</w:t>
      </w:r>
    </w:p>
    <w:p w14:paraId="0C24E1FB" w14:textId="77777777" w:rsidR="00BC0E7E" w:rsidRPr="00BC0E7E" w:rsidRDefault="00944B8F" w:rsidP="00D51999">
      <w:pPr>
        <w:numPr>
          <w:ilvl w:val="0"/>
          <w:numId w:val="74"/>
        </w:numPr>
        <w:tabs>
          <w:tab w:val="clear" w:pos="562"/>
          <w:tab w:val="num" w:pos="540"/>
        </w:tabs>
        <w:ind w:left="540" w:hanging="540"/>
      </w:pPr>
      <w:r w:rsidRPr="00BC0E7E">
        <w:t>sleep interruptions</w:t>
      </w:r>
    </w:p>
    <w:p w14:paraId="7DFE1BBE" w14:textId="77777777" w:rsidR="00BC0E7E" w:rsidRPr="00BC0E7E" w:rsidRDefault="00944B8F" w:rsidP="00D51999">
      <w:pPr>
        <w:numPr>
          <w:ilvl w:val="0"/>
          <w:numId w:val="74"/>
        </w:numPr>
        <w:tabs>
          <w:tab w:val="clear" w:pos="562"/>
          <w:tab w:val="num" w:pos="540"/>
        </w:tabs>
        <w:ind w:left="540" w:hanging="540"/>
      </w:pPr>
      <w:r w:rsidRPr="00BC0E7E">
        <w:t>impotence</w:t>
      </w:r>
    </w:p>
    <w:p w14:paraId="187B45C2" w14:textId="77777777" w:rsidR="00BC0E7E" w:rsidRPr="00BC0E7E" w:rsidRDefault="00944B8F" w:rsidP="00D51999">
      <w:pPr>
        <w:numPr>
          <w:ilvl w:val="0"/>
          <w:numId w:val="74"/>
        </w:numPr>
        <w:tabs>
          <w:tab w:val="clear" w:pos="562"/>
          <w:tab w:val="num" w:pos="540"/>
        </w:tabs>
        <w:ind w:left="540" w:hanging="540"/>
      </w:pPr>
      <w:r w:rsidRPr="00BC0E7E">
        <w:t>inflammations</w:t>
      </w:r>
    </w:p>
    <w:p w14:paraId="4C2FCF29" w14:textId="77777777" w:rsidR="00BC0E7E" w:rsidRPr="00BC0E7E" w:rsidRDefault="00BC0E7E" w:rsidP="00BC0E7E"/>
    <w:p w14:paraId="612B2DC3" w14:textId="77777777" w:rsidR="00BC0E7E" w:rsidRPr="00BC0E7E" w:rsidRDefault="00944B8F" w:rsidP="00C82A3B">
      <w:pPr>
        <w:keepNext/>
      </w:pPr>
      <w:r w:rsidRPr="00BC0E7E">
        <w:rPr>
          <w:b/>
        </w:rPr>
        <w:lastRenderedPageBreak/>
        <w:t>Rare</w:t>
      </w:r>
      <w:r w:rsidRPr="00BC0E7E">
        <w:t xml:space="preserve"> (may affect up to 1 in 1,000 people)</w:t>
      </w:r>
    </w:p>
    <w:p w14:paraId="508771D3" w14:textId="77777777" w:rsidR="00BC0E7E" w:rsidRPr="00BC0E7E" w:rsidRDefault="00BC0E7E" w:rsidP="00C82A3B">
      <w:pPr>
        <w:keepNext/>
      </w:pPr>
    </w:p>
    <w:p w14:paraId="77267946" w14:textId="77777777" w:rsidR="00BC0E7E" w:rsidRPr="00BC0E7E" w:rsidRDefault="00944B8F" w:rsidP="00C82A3B">
      <w:pPr>
        <w:keepNext/>
        <w:numPr>
          <w:ilvl w:val="0"/>
          <w:numId w:val="21"/>
        </w:numPr>
        <w:tabs>
          <w:tab w:val="clear" w:pos="720"/>
        </w:tabs>
        <w:ind w:left="550" w:hanging="550"/>
      </w:pPr>
      <w:r w:rsidRPr="00BC0E7E">
        <w:t>leukaemia (cancer affecting the blood and bone marrow)</w:t>
      </w:r>
    </w:p>
    <w:p w14:paraId="1A077987" w14:textId="77777777" w:rsidR="00BC0E7E" w:rsidRPr="00BC0E7E" w:rsidRDefault="00944B8F" w:rsidP="00BC0E7E">
      <w:pPr>
        <w:numPr>
          <w:ilvl w:val="0"/>
          <w:numId w:val="21"/>
        </w:numPr>
        <w:tabs>
          <w:tab w:val="clear" w:pos="720"/>
        </w:tabs>
        <w:ind w:left="550" w:hanging="550"/>
      </w:pPr>
      <w:r w:rsidRPr="00BC0E7E">
        <w:t>severe allergic reaction with shock</w:t>
      </w:r>
    </w:p>
    <w:p w14:paraId="2BCDF6B4" w14:textId="77777777" w:rsidR="00BC0E7E" w:rsidRPr="00BC0E7E" w:rsidRDefault="00944B8F" w:rsidP="00BC0E7E">
      <w:pPr>
        <w:numPr>
          <w:ilvl w:val="0"/>
          <w:numId w:val="21"/>
        </w:numPr>
        <w:tabs>
          <w:tab w:val="clear" w:pos="720"/>
        </w:tabs>
        <w:ind w:left="550" w:hanging="550"/>
      </w:pPr>
      <w:r w:rsidRPr="00BC0E7E">
        <w:t>multiple sclerosis</w:t>
      </w:r>
    </w:p>
    <w:p w14:paraId="177E15E2" w14:textId="77777777" w:rsidR="00BC0E7E" w:rsidRPr="00BC0E7E" w:rsidRDefault="00944B8F" w:rsidP="00BC0E7E">
      <w:pPr>
        <w:numPr>
          <w:ilvl w:val="0"/>
          <w:numId w:val="21"/>
        </w:numPr>
        <w:tabs>
          <w:tab w:val="clear" w:pos="720"/>
        </w:tabs>
        <w:ind w:left="550" w:hanging="550"/>
      </w:pPr>
      <w:r w:rsidRPr="00BC0E7E">
        <w:t>nerve disorders (such as eye nerve inflammation and Guillain-Barré syndrome that may cause muscle weakness, abnormal sensations, tingling in the arms and upper body)</w:t>
      </w:r>
    </w:p>
    <w:p w14:paraId="5B1A454F" w14:textId="77777777" w:rsidR="00BC0E7E" w:rsidRPr="00BC0E7E" w:rsidRDefault="00944B8F" w:rsidP="00D51999">
      <w:pPr>
        <w:numPr>
          <w:ilvl w:val="0"/>
          <w:numId w:val="56"/>
        </w:numPr>
        <w:tabs>
          <w:tab w:val="clear" w:pos="562"/>
          <w:tab w:val="num" w:pos="550"/>
        </w:tabs>
        <w:ind w:left="550" w:hanging="550"/>
        <w:rPr>
          <w:szCs w:val="20"/>
        </w:rPr>
      </w:pPr>
      <w:r w:rsidRPr="00BC0E7E">
        <w:rPr>
          <w:szCs w:val="20"/>
        </w:rPr>
        <w:t>heart stops pumping</w:t>
      </w:r>
    </w:p>
    <w:p w14:paraId="19E1C91C" w14:textId="77777777" w:rsidR="00BC0E7E" w:rsidRPr="00BC0E7E" w:rsidRDefault="00944B8F" w:rsidP="00D51999">
      <w:pPr>
        <w:numPr>
          <w:ilvl w:val="0"/>
          <w:numId w:val="56"/>
        </w:numPr>
        <w:ind w:left="550" w:hanging="550"/>
        <w:rPr>
          <w:szCs w:val="20"/>
        </w:rPr>
      </w:pPr>
      <w:r w:rsidRPr="00BC0E7E">
        <w:rPr>
          <w:szCs w:val="20"/>
        </w:rPr>
        <w:t>pulmonary fibrosis (scarring of the lung)</w:t>
      </w:r>
    </w:p>
    <w:p w14:paraId="05ECEFBF" w14:textId="77777777" w:rsidR="00BC0E7E" w:rsidRPr="00BC0E7E" w:rsidRDefault="00944B8F" w:rsidP="00D51999">
      <w:pPr>
        <w:numPr>
          <w:ilvl w:val="0"/>
          <w:numId w:val="56"/>
        </w:numPr>
        <w:ind w:left="550" w:hanging="550"/>
        <w:rPr>
          <w:szCs w:val="20"/>
        </w:rPr>
      </w:pPr>
      <w:r w:rsidRPr="00BC0E7E">
        <w:rPr>
          <w:szCs w:val="20"/>
        </w:rPr>
        <w:t>intestinal perforation (hole in the intestine)</w:t>
      </w:r>
    </w:p>
    <w:p w14:paraId="6DB62B2E" w14:textId="77777777" w:rsidR="00BC0E7E" w:rsidRPr="00BC0E7E" w:rsidRDefault="00944B8F" w:rsidP="00D51999">
      <w:pPr>
        <w:numPr>
          <w:ilvl w:val="0"/>
          <w:numId w:val="56"/>
        </w:numPr>
        <w:ind w:left="550" w:hanging="550"/>
        <w:rPr>
          <w:szCs w:val="20"/>
        </w:rPr>
      </w:pPr>
      <w:r w:rsidRPr="00BC0E7E">
        <w:rPr>
          <w:szCs w:val="20"/>
        </w:rPr>
        <w:t>hepatitis</w:t>
      </w:r>
    </w:p>
    <w:p w14:paraId="00A377C7" w14:textId="77777777" w:rsidR="00BC0E7E" w:rsidRPr="00BC0E7E" w:rsidRDefault="00944B8F" w:rsidP="00D51999">
      <w:pPr>
        <w:numPr>
          <w:ilvl w:val="0"/>
          <w:numId w:val="56"/>
        </w:numPr>
        <w:ind w:left="550" w:hanging="550"/>
        <w:rPr>
          <w:szCs w:val="20"/>
        </w:rPr>
      </w:pPr>
      <w:r w:rsidRPr="00BC0E7E">
        <w:rPr>
          <w:szCs w:val="20"/>
        </w:rPr>
        <w:t>reactivation of hepatitis B</w:t>
      </w:r>
    </w:p>
    <w:p w14:paraId="1A36CEB5" w14:textId="77777777" w:rsidR="00BC0E7E" w:rsidRPr="00BC0E7E" w:rsidRDefault="00944B8F" w:rsidP="00D51999">
      <w:pPr>
        <w:numPr>
          <w:ilvl w:val="0"/>
          <w:numId w:val="56"/>
        </w:numPr>
        <w:ind w:left="550" w:hanging="550"/>
        <w:rPr>
          <w:szCs w:val="20"/>
        </w:rPr>
      </w:pPr>
      <w:r w:rsidRPr="00BC0E7E">
        <w:rPr>
          <w:szCs w:val="20"/>
        </w:rPr>
        <w:t>autoimmune hepatitis (inflammation of the liver caused by the body's own immune system)</w:t>
      </w:r>
    </w:p>
    <w:p w14:paraId="43A4BF2F" w14:textId="77777777" w:rsidR="00BC0E7E" w:rsidRPr="00BC0E7E" w:rsidRDefault="00944B8F" w:rsidP="00D51999">
      <w:pPr>
        <w:numPr>
          <w:ilvl w:val="0"/>
          <w:numId w:val="56"/>
        </w:numPr>
        <w:ind w:left="550" w:hanging="550"/>
        <w:rPr>
          <w:szCs w:val="20"/>
        </w:rPr>
      </w:pPr>
      <w:r w:rsidRPr="00BC0E7E">
        <w:rPr>
          <w:szCs w:val="20"/>
        </w:rPr>
        <w:t>cutaneous vasculitis (inflammation of blood vessels in the skin)</w:t>
      </w:r>
    </w:p>
    <w:p w14:paraId="224753B7" w14:textId="77777777" w:rsidR="00BC0E7E" w:rsidRPr="00BC0E7E" w:rsidRDefault="00944B8F" w:rsidP="00D51999">
      <w:pPr>
        <w:numPr>
          <w:ilvl w:val="0"/>
          <w:numId w:val="56"/>
        </w:numPr>
        <w:ind w:left="550" w:hanging="550"/>
        <w:rPr>
          <w:szCs w:val="20"/>
        </w:rPr>
      </w:pPr>
      <w:r w:rsidRPr="00BC0E7E">
        <w:rPr>
          <w:szCs w:val="20"/>
        </w:rPr>
        <w:t>Stevens-Johnson syndrome (early symptoms include malaise, fever, headache and rash)</w:t>
      </w:r>
    </w:p>
    <w:p w14:paraId="2563695A" w14:textId="77777777" w:rsidR="00BC0E7E" w:rsidRPr="00BC0E7E" w:rsidRDefault="00944B8F" w:rsidP="00D51999">
      <w:pPr>
        <w:numPr>
          <w:ilvl w:val="0"/>
          <w:numId w:val="56"/>
        </w:numPr>
        <w:ind w:left="550" w:hanging="550"/>
        <w:rPr>
          <w:szCs w:val="20"/>
        </w:rPr>
      </w:pPr>
      <w:r w:rsidRPr="00BC0E7E">
        <w:rPr>
          <w:szCs w:val="20"/>
        </w:rPr>
        <w:t>facial oedema (swelling of the face) associated with allergic reactions</w:t>
      </w:r>
    </w:p>
    <w:p w14:paraId="71CD5B50" w14:textId="77777777" w:rsidR="00BC0E7E" w:rsidRPr="00BC0E7E" w:rsidRDefault="00944B8F" w:rsidP="00D51999">
      <w:pPr>
        <w:numPr>
          <w:ilvl w:val="0"/>
          <w:numId w:val="56"/>
        </w:numPr>
        <w:ind w:left="550" w:hanging="550"/>
        <w:rPr>
          <w:szCs w:val="20"/>
        </w:rPr>
      </w:pPr>
      <w:r w:rsidRPr="00BC0E7E">
        <w:rPr>
          <w:szCs w:val="20"/>
        </w:rPr>
        <w:t>erythema multiforme (inflammatory skin rash)</w:t>
      </w:r>
    </w:p>
    <w:p w14:paraId="6E35000D" w14:textId="77777777" w:rsidR="00FA314A" w:rsidRDefault="00944B8F" w:rsidP="00D51999">
      <w:pPr>
        <w:numPr>
          <w:ilvl w:val="0"/>
          <w:numId w:val="56"/>
        </w:numPr>
        <w:ind w:left="550" w:hanging="550"/>
        <w:rPr>
          <w:szCs w:val="20"/>
        </w:rPr>
      </w:pPr>
      <w:r w:rsidRPr="00BC0E7E">
        <w:rPr>
          <w:szCs w:val="20"/>
        </w:rPr>
        <w:t>lupus-like syndrome</w:t>
      </w:r>
    </w:p>
    <w:p w14:paraId="024FD376" w14:textId="77777777" w:rsidR="00FA314A" w:rsidRDefault="00944B8F" w:rsidP="00D51999">
      <w:pPr>
        <w:numPr>
          <w:ilvl w:val="0"/>
          <w:numId w:val="56"/>
        </w:numPr>
        <w:ind w:left="550" w:hanging="550"/>
        <w:rPr>
          <w:szCs w:val="20"/>
        </w:rPr>
      </w:pPr>
      <w:r w:rsidRPr="00FA314A">
        <w:rPr>
          <w:szCs w:val="20"/>
        </w:rPr>
        <w:t>angioedema (localized swelling of the skin)</w:t>
      </w:r>
    </w:p>
    <w:p w14:paraId="4B6FF629" w14:textId="77777777" w:rsidR="00BA65BA" w:rsidRPr="00FA314A" w:rsidRDefault="00944B8F" w:rsidP="00D51999">
      <w:pPr>
        <w:numPr>
          <w:ilvl w:val="0"/>
          <w:numId w:val="56"/>
        </w:numPr>
        <w:ind w:left="550" w:hanging="550"/>
        <w:rPr>
          <w:szCs w:val="20"/>
        </w:rPr>
      </w:pPr>
      <w:r>
        <w:t>lichenoid skin reaction (</w:t>
      </w:r>
      <w:r w:rsidRPr="00747944">
        <w:t>it</w:t>
      </w:r>
      <w:r>
        <w:t xml:space="preserve">chy reddish-purple skin </w:t>
      </w:r>
      <w:r w:rsidRPr="00747944">
        <w:t>rash</w:t>
      </w:r>
      <w:r>
        <w:t>)</w:t>
      </w:r>
    </w:p>
    <w:p w14:paraId="214367C1" w14:textId="77777777" w:rsidR="00BC0E7E" w:rsidRPr="00BC0E7E" w:rsidRDefault="00BC0E7E" w:rsidP="00BC0E7E">
      <w:pPr>
        <w:tabs>
          <w:tab w:val="clear" w:pos="562"/>
        </w:tabs>
      </w:pPr>
    </w:p>
    <w:p w14:paraId="31F00DF6" w14:textId="77777777" w:rsidR="00BC0E7E" w:rsidRPr="00BC0E7E" w:rsidRDefault="00944B8F" w:rsidP="00BC0E7E">
      <w:pPr>
        <w:rPr>
          <w:rFonts w:eastAsia="MS Mincho"/>
          <w:szCs w:val="20"/>
        </w:rPr>
      </w:pPr>
      <w:r w:rsidRPr="00BC0E7E">
        <w:rPr>
          <w:rFonts w:eastAsia="MS Mincho"/>
          <w:b/>
          <w:szCs w:val="20"/>
        </w:rPr>
        <w:t>Not known</w:t>
      </w:r>
      <w:r w:rsidRPr="00BC0E7E">
        <w:rPr>
          <w:rFonts w:eastAsia="MS Mincho"/>
          <w:szCs w:val="20"/>
        </w:rPr>
        <w:t xml:space="preserve"> (frequency cannot be estimated from the available data)</w:t>
      </w:r>
    </w:p>
    <w:p w14:paraId="61546EB5" w14:textId="77777777" w:rsidR="00BC0E7E" w:rsidRPr="00BC0E7E" w:rsidRDefault="00BC0E7E" w:rsidP="00BC0E7E">
      <w:pPr>
        <w:rPr>
          <w:rFonts w:eastAsia="MS Mincho"/>
          <w:szCs w:val="20"/>
        </w:rPr>
      </w:pPr>
    </w:p>
    <w:p w14:paraId="7F27F582" w14:textId="77777777" w:rsidR="00BC0E7E" w:rsidRPr="00BC0E7E" w:rsidRDefault="00944B8F" w:rsidP="00D51999">
      <w:pPr>
        <w:numPr>
          <w:ilvl w:val="0"/>
          <w:numId w:val="43"/>
        </w:numPr>
        <w:rPr>
          <w:rFonts w:eastAsia="MS Mincho"/>
          <w:szCs w:val="20"/>
        </w:rPr>
      </w:pPr>
      <w:r w:rsidRPr="00BC0E7E">
        <w:rPr>
          <w:rFonts w:eastAsia="MS Mincho"/>
          <w:szCs w:val="20"/>
        </w:rPr>
        <w:t>hepatosplenic T-cell lymphoma (a rare blood cancer that is often fatal)</w:t>
      </w:r>
    </w:p>
    <w:p w14:paraId="3B0281AD" w14:textId="77777777" w:rsidR="00BC0E7E" w:rsidRDefault="00944B8F" w:rsidP="00D51999">
      <w:pPr>
        <w:numPr>
          <w:ilvl w:val="0"/>
          <w:numId w:val="43"/>
        </w:numPr>
        <w:rPr>
          <w:rFonts w:eastAsia="MS Mincho"/>
          <w:szCs w:val="20"/>
        </w:rPr>
      </w:pPr>
      <w:r w:rsidRPr="00BC0E7E">
        <w:rPr>
          <w:rFonts w:eastAsia="MS Mincho"/>
          <w:szCs w:val="20"/>
        </w:rPr>
        <w:t>Merkel cell carcinoma (a type of skin cancer)</w:t>
      </w:r>
    </w:p>
    <w:p w14:paraId="6A3590A7" w14:textId="77777777" w:rsidR="00C451B7" w:rsidRPr="00C451B7" w:rsidRDefault="00944B8F" w:rsidP="00C451B7">
      <w:pPr>
        <w:numPr>
          <w:ilvl w:val="0"/>
          <w:numId w:val="43"/>
        </w:numPr>
        <w:rPr>
          <w:rFonts w:eastAsia="MS Mincho"/>
          <w:szCs w:val="20"/>
        </w:rPr>
      </w:pPr>
      <w:r>
        <w:rPr>
          <w:rFonts w:eastAsia="MS Mincho"/>
          <w:szCs w:val="20"/>
        </w:rPr>
        <w:t>Kaposi’s sarcoma, a rare cancer related to infection with human herpes virus 8. Kaposi’s sarcoma most commonly appears as purple lesions on the skin</w:t>
      </w:r>
    </w:p>
    <w:p w14:paraId="23FB4976" w14:textId="77777777" w:rsidR="00BC0E7E" w:rsidRPr="00BC0E7E" w:rsidRDefault="00944B8F" w:rsidP="00D51999">
      <w:pPr>
        <w:numPr>
          <w:ilvl w:val="0"/>
          <w:numId w:val="43"/>
        </w:numPr>
        <w:rPr>
          <w:rFonts w:eastAsia="MS Mincho"/>
          <w:szCs w:val="20"/>
        </w:rPr>
      </w:pPr>
      <w:r w:rsidRPr="00BC0E7E">
        <w:rPr>
          <w:rFonts w:eastAsia="MS Mincho"/>
          <w:szCs w:val="20"/>
        </w:rPr>
        <w:t>liver failure</w:t>
      </w:r>
    </w:p>
    <w:p w14:paraId="7A3DF1D4" w14:textId="77777777" w:rsidR="00BC0E7E" w:rsidRDefault="00944B8F" w:rsidP="00D51999">
      <w:pPr>
        <w:numPr>
          <w:ilvl w:val="0"/>
          <w:numId w:val="43"/>
        </w:numPr>
        <w:tabs>
          <w:tab w:val="clear" w:pos="562"/>
          <w:tab w:val="left" w:pos="360"/>
        </w:tabs>
        <w:rPr>
          <w:rFonts w:eastAsia="MS Mincho"/>
          <w:szCs w:val="20"/>
        </w:rPr>
      </w:pPr>
      <w:r w:rsidRPr="00BC0E7E">
        <w:rPr>
          <w:rFonts w:eastAsia="MS Mincho"/>
          <w:szCs w:val="20"/>
        </w:rPr>
        <w:t>worsening of a condition called dermatomyositis (seen as a skin rash accompanying muscle weakness)</w:t>
      </w:r>
    </w:p>
    <w:p w14:paraId="35735A89" w14:textId="77777777" w:rsidR="0099199E" w:rsidRPr="00BC0E7E" w:rsidRDefault="00944B8F" w:rsidP="00D51999">
      <w:pPr>
        <w:numPr>
          <w:ilvl w:val="0"/>
          <w:numId w:val="43"/>
        </w:numPr>
        <w:tabs>
          <w:tab w:val="clear" w:pos="562"/>
          <w:tab w:val="left" w:pos="360"/>
        </w:tabs>
        <w:rPr>
          <w:rFonts w:eastAsia="MS Mincho"/>
          <w:szCs w:val="20"/>
        </w:rPr>
      </w:pPr>
      <w:r w:rsidRPr="00693052">
        <w:rPr>
          <w:szCs w:val="22"/>
          <w:lang w:val="en-US"/>
        </w:rPr>
        <w:t>weight gain (for most patients, the weight gain was small)</w:t>
      </w:r>
    </w:p>
    <w:p w14:paraId="256511D0" w14:textId="77777777" w:rsidR="00BC0E7E" w:rsidRPr="00BC0E7E" w:rsidRDefault="00BC0E7E" w:rsidP="00BC0E7E">
      <w:pPr>
        <w:autoSpaceDE w:val="0"/>
        <w:autoSpaceDN w:val="0"/>
        <w:adjustRightInd w:val="0"/>
        <w:spacing w:line="240" w:lineRule="atLeast"/>
        <w:rPr>
          <w:lang w:eastAsia="de-DE"/>
        </w:rPr>
      </w:pPr>
    </w:p>
    <w:p w14:paraId="31691C73" w14:textId="77777777" w:rsidR="00BC0E7E" w:rsidRPr="00BC0E7E" w:rsidRDefault="00944B8F" w:rsidP="00BC0E7E">
      <w:pPr>
        <w:autoSpaceDE w:val="0"/>
        <w:autoSpaceDN w:val="0"/>
        <w:adjustRightInd w:val="0"/>
        <w:spacing w:line="240" w:lineRule="atLeast"/>
        <w:rPr>
          <w:lang w:eastAsia="de-DE"/>
        </w:rPr>
      </w:pPr>
      <w:r w:rsidRPr="00BC0E7E">
        <w:rPr>
          <w:lang w:eastAsia="de-DE"/>
        </w:rPr>
        <w:t>Some side effects observed with Humira may not have symptoms and may only be discovered through blood tests. These include:</w:t>
      </w:r>
    </w:p>
    <w:p w14:paraId="287530FC" w14:textId="77777777" w:rsidR="00BC0E7E" w:rsidRPr="00BC0E7E" w:rsidRDefault="00BC0E7E" w:rsidP="00BC0E7E">
      <w:pPr>
        <w:autoSpaceDE w:val="0"/>
        <w:autoSpaceDN w:val="0"/>
        <w:adjustRightInd w:val="0"/>
        <w:spacing w:line="240" w:lineRule="atLeast"/>
        <w:rPr>
          <w:lang w:eastAsia="de-DE"/>
        </w:rPr>
      </w:pPr>
    </w:p>
    <w:p w14:paraId="32E4F8C8" w14:textId="77777777" w:rsidR="00BC0E7E" w:rsidRPr="00BC0E7E" w:rsidRDefault="00944B8F" w:rsidP="00BC0E7E">
      <w:r w:rsidRPr="00BC0E7E">
        <w:rPr>
          <w:b/>
        </w:rPr>
        <w:t>Very common</w:t>
      </w:r>
      <w:r w:rsidRPr="00BC0E7E">
        <w:t xml:space="preserve"> (may affect more than 1 in 10 people)</w:t>
      </w:r>
    </w:p>
    <w:p w14:paraId="1528E434" w14:textId="77777777" w:rsidR="00BC0E7E" w:rsidRPr="00BC0E7E" w:rsidRDefault="00BC0E7E" w:rsidP="00BC0E7E"/>
    <w:p w14:paraId="5CC766AC" w14:textId="77777777" w:rsidR="00BC0E7E" w:rsidRPr="00BC0E7E" w:rsidRDefault="00944B8F" w:rsidP="00BC0E7E">
      <w:pPr>
        <w:numPr>
          <w:ilvl w:val="0"/>
          <w:numId w:val="22"/>
        </w:numPr>
        <w:tabs>
          <w:tab w:val="clear" w:pos="562"/>
          <w:tab w:val="clear" w:pos="720"/>
          <w:tab w:val="num" w:pos="550"/>
        </w:tabs>
        <w:ind w:left="550" w:hanging="550"/>
      </w:pPr>
      <w:r w:rsidRPr="00BC0E7E">
        <w:t>low blood measurements for white blood cells</w:t>
      </w:r>
    </w:p>
    <w:p w14:paraId="68BAAEC5" w14:textId="77777777" w:rsidR="00BC0E7E" w:rsidRPr="00BC0E7E" w:rsidRDefault="00944B8F" w:rsidP="00BC0E7E">
      <w:pPr>
        <w:numPr>
          <w:ilvl w:val="0"/>
          <w:numId w:val="22"/>
        </w:numPr>
        <w:tabs>
          <w:tab w:val="clear" w:pos="562"/>
          <w:tab w:val="clear" w:pos="720"/>
          <w:tab w:val="num" w:pos="550"/>
        </w:tabs>
        <w:ind w:left="550" w:hanging="550"/>
      </w:pPr>
      <w:r w:rsidRPr="00BC0E7E">
        <w:t>low blood measurements for red blood cells</w:t>
      </w:r>
    </w:p>
    <w:p w14:paraId="5CCFB70C" w14:textId="77777777" w:rsidR="00BC0E7E" w:rsidRPr="00BC0E7E" w:rsidRDefault="00944B8F" w:rsidP="00BC0E7E">
      <w:pPr>
        <w:numPr>
          <w:ilvl w:val="0"/>
          <w:numId w:val="22"/>
        </w:numPr>
        <w:tabs>
          <w:tab w:val="clear" w:pos="562"/>
          <w:tab w:val="clear" w:pos="720"/>
          <w:tab w:val="num" w:pos="550"/>
        </w:tabs>
        <w:ind w:left="550" w:hanging="550"/>
      </w:pPr>
      <w:r w:rsidRPr="00BC0E7E">
        <w:t>increased lipids in the blood</w:t>
      </w:r>
    </w:p>
    <w:p w14:paraId="27AE2E63" w14:textId="77777777" w:rsidR="00BC0E7E" w:rsidRPr="00BC0E7E" w:rsidRDefault="00944B8F" w:rsidP="00BC0E7E">
      <w:pPr>
        <w:numPr>
          <w:ilvl w:val="0"/>
          <w:numId w:val="22"/>
        </w:numPr>
        <w:tabs>
          <w:tab w:val="clear" w:pos="562"/>
          <w:tab w:val="clear" w:pos="720"/>
          <w:tab w:val="num" w:pos="550"/>
        </w:tabs>
        <w:ind w:left="550" w:hanging="550"/>
      </w:pPr>
      <w:r w:rsidRPr="00BC0E7E">
        <w:t>elevated liver enzymes</w:t>
      </w:r>
    </w:p>
    <w:p w14:paraId="60365C70" w14:textId="77777777" w:rsidR="00BC0E7E" w:rsidRPr="00BC0E7E" w:rsidRDefault="00BC0E7E" w:rsidP="00BC0E7E">
      <w:pPr>
        <w:tabs>
          <w:tab w:val="clear" w:pos="562"/>
        </w:tabs>
      </w:pPr>
    </w:p>
    <w:p w14:paraId="208511AD" w14:textId="77777777" w:rsidR="00BC0E7E" w:rsidRPr="00BC0E7E" w:rsidRDefault="00944B8F" w:rsidP="00BC0E7E">
      <w:pPr>
        <w:tabs>
          <w:tab w:val="clear" w:pos="562"/>
        </w:tabs>
      </w:pPr>
      <w:r w:rsidRPr="00BC0E7E">
        <w:rPr>
          <w:b/>
        </w:rPr>
        <w:t>Common</w:t>
      </w:r>
      <w:r w:rsidRPr="00BC0E7E">
        <w:t xml:space="preserve"> (may affect up to 1 in 10 people)</w:t>
      </w:r>
    </w:p>
    <w:p w14:paraId="2C03DD49" w14:textId="77777777" w:rsidR="00BC0E7E" w:rsidRPr="00BC0E7E" w:rsidRDefault="00BC0E7E" w:rsidP="00BC0E7E">
      <w:pPr>
        <w:tabs>
          <w:tab w:val="clear" w:pos="562"/>
        </w:tabs>
      </w:pPr>
    </w:p>
    <w:p w14:paraId="2B4CFF48" w14:textId="77777777" w:rsidR="00BC0E7E" w:rsidRPr="00BC0E7E" w:rsidRDefault="00944B8F" w:rsidP="00BC0E7E">
      <w:pPr>
        <w:numPr>
          <w:ilvl w:val="0"/>
          <w:numId w:val="22"/>
        </w:numPr>
        <w:tabs>
          <w:tab w:val="clear" w:pos="562"/>
          <w:tab w:val="clear" w:pos="720"/>
          <w:tab w:val="num" w:pos="550"/>
        </w:tabs>
        <w:ind w:left="550" w:hanging="550"/>
      </w:pPr>
      <w:r w:rsidRPr="00BC0E7E">
        <w:t>high blood measurements for white blood cells</w:t>
      </w:r>
    </w:p>
    <w:p w14:paraId="43EA24C1" w14:textId="77777777" w:rsidR="00BC0E7E" w:rsidRPr="00BC0E7E" w:rsidRDefault="00944B8F" w:rsidP="00BC0E7E">
      <w:pPr>
        <w:numPr>
          <w:ilvl w:val="0"/>
          <w:numId w:val="22"/>
        </w:numPr>
        <w:tabs>
          <w:tab w:val="clear" w:pos="562"/>
          <w:tab w:val="clear" w:pos="720"/>
          <w:tab w:val="num" w:pos="550"/>
        </w:tabs>
        <w:ind w:left="550" w:hanging="550"/>
      </w:pPr>
      <w:r w:rsidRPr="00BC0E7E">
        <w:t>low blood measurements for platelets</w:t>
      </w:r>
    </w:p>
    <w:p w14:paraId="0890D16A" w14:textId="77777777" w:rsidR="00BC0E7E" w:rsidRPr="00BC0E7E" w:rsidRDefault="00944B8F" w:rsidP="00BC0E7E">
      <w:pPr>
        <w:numPr>
          <w:ilvl w:val="0"/>
          <w:numId w:val="22"/>
        </w:numPr>
        <w:tabs>
          <w:tab w:val="clear" w:pos="562"/>
          <w:tab w:val="clear" w:pos="720"/>
          <w:tab w:val="num" w:pos="550"/>
        </w:tabs>
        <w:ind w:left="550" w:hanging="550"/>
      </w:pPr>
      <w:r w:rsidRPr="00BC0E7E">
        <w:t>increased uric acid in the blood</w:t>
      </w:r>
    </w:p>
    <w:p w14:paraId="36BE860E" w14:textId="77777777" w:rsidR="00BC0E7E" w:rsidRPr="00BC0E7E" w:rsidRDefault="00944B8F" w:rsidP="00BC0E7E">
      <w:pPr>
        <w:numPr>
          <w:ilvl w:val="0"/>
          <w:numId w:val="22"/>
        </w:numPr>
        <w:tabs>
          <w:tab w:val="clear" w:pos="562"/>
          <w:tab w:val="clear" w:pos="720"/>
          <w:tab w:val="num" w:pos="550"/>
        </w:tabs>
        <w:ind w:left="550" w:hanging="550"/>
      </w:pPr>
      <w:r w:rsidRPr="00BC0E7E">
        <w:t>abnormal blood measurements for sodium</w:t>
      </w:r>
    </w:p>
    <w:p w14:paraId="4629A9EB" w14:textId="77777777" w:rsidR="00BC0E7E" w:rsidRPr="00BC0E7E" w:rsidRDefault="00944B8F" w:rsidP="00BC0E7E">
      <w:pPr>
        <w:numPr>
          <w:ilvl w:val="0"/>
          <w:numId w:val="22"/>
        </w:numPr>
        <w:tabs>
          <w:tab w:val="clear" w:pos="562"/>
          <w:tab w:val="clear" w:pos="720"/>
          <w:tab w:val="num" w:pos="550"/>
        </w:tabs>
        <w:ind w:left="550" w:hanging="550"/>
      </w:pPr>
      <w:r w:rsidRPr="00BC0E7E">
        <w:t>low blood measurements for calcium</w:t>
      </w:r>
    </w:p>
    <w:p w14:paraId="47686640" w14:textId="77777777" w:rsidR="00BC0E7E" w:rsidRPr="00BC0E7E" w:rsidRDefault="00944B8F" w:rsidP="00BC0E7E">
      <w:pPr>
        <w:numPr>
          <w:ilvl w:val="0"/>
          <w:numId w:val="22"/>
        </w:numPr>
        <w:tabs>
          <w:tab w:val="clear" w:pos="562"/>
          <w:tab w:val="clear" w:pos="720"/>
          <w:tab w:val="num" w:pos="550"/>
        </w:tabs>
        <w:ind w:left="550" w:hanging="550"/>
      </w:pPr>
      <w:r w:rsidRPr="00BC0E7E">
        <w:t>low blood measurements for phosphate</w:t>
      </w:r>
    </w:p>
    <w:p w14:paraId="0B2782D7" w14:textId="77777777" w:rsidR="00BC0E7E" w:rsidRPr="00BC0E7E" w:rsidRDefault="00944B8F" w:rsidP="00BC0E7E">
      <w:pPr>
        <w:numPr>
          <w:ilvl w:val="0"/>
          <w:numId w:val="22"/>
        </w:numPr>
        <w:tabs>
          <w:tab w:val="clear" w:pos="562"/>
          <w:tab w:val="clear" w:pos="720"/>
          <w:tab w:val="num" w:pos="550"/>
        </w:tabs>
        <w:ind w:left="550" w:hanging="550"/>
      </w:pPr>
      <w:r w:rsidRPr="00BC0E7E">
        <w:t>high blood sugar</w:t>
      </w:r>
    </w:p>
    <w:p w14:paraId="05D32091" w14:textId="77777777" w:rsidR="00BC0E7E" w:rsidRPr="00BC0E7E" w:rsidRDefault="00944B8F" w:rsidP="00BC0E7E">
      <w:pPr>
        <w:numPr>
          <w:ilvl w:val="0"/>
          <w:numId w:val="22"/>
        </w:numPr>
        <w:tabs>
          <w:tab w:val="clear" w:pos="562"/>
          <w:tab w:val="clear" w:pos="720"/>
          <w:tab w:val="num" w:pos="550"/>
        </w:tabs>
        <w:ind w:left="550" w:hanging="550"/>
      </w:pPr>
      <w:r w:rsidRPr="00BC0E7E">
        <w:t>high blood measurements for lactate dehydrogenase</w:t>
      </w:r>
    </w:p>
    <w:p w14:paraId="0F94FF78" w14:textId="77777777" w:rsidR="00BC0E7E" w:rsidRPr="00C50FE5" w:rsidRDefault="00944B8F" w:rsidP="00BC0E7E">
      <w:pPr>
        <w:numPr>
          <w:ilvl w:val="0"/>
          <w:numId w:val="22"/>
        </w:numPr>
        <w:tabs>
          <w:tab w:val="clear" w:pos="562"/>
          <w:tab w:val="clear" w:pos="720"/>
          <w:tab w:val="num" w:pos="550"/>
        </w:tabs>
        <w:ind w:left="550" w:hanging="550"/>
      </w:pPr>
      <w:r w:rsidRPr="00BC0E7E">
        <w:lastRenderedPageBreak/>
        <w:t>autoantibodies present in the blood</w:t>
      </w:r>
    </w:p>
    <w:p w14:paraId="62195930" w14:textId="77777777" w:rsidR="00C50FE5" w:rsidRPr="00C50FE5" w:rsidRDefault="00944B8F" w:rsidP="00BC0E7E">
      <w:pPr>
        <w:numPr>
          <w:ilvl w:val="0"/>
          <w:numId w:val="22"/>
        </w:numPr>
        <w:tabs>
          <w:tab w:val="clear" w:pos="562"/>
          <w:tab w:val="clear" w:pos="720"/>
          <w:tab w:val="num" w:pos="550"/>
        </w:tabs>
        <w:ind w:left="550" w:hanging="550"/>
      </w:pPr>
      <w:r>
        <w:t>low blood potassium</w:t>
      </w:r>
    </w:p>
    <w:p w14:paraId="017F61EE" w14:textId="77777777" w:rsidR="00C50FE5" w:rsidRDefault="00C50FE5" w:rsidP="00C50FE5">
      <w:pPr>
        <w:tabs>
          <w:tab w:val="clear" w:pos="562"/>
        </w:tabs>
      </w:pPr>
    </w:p>
    <w:p w14:paraId="0EDC929F" w14:textId="77777777" w:rsidR="00C50FE5" w:rsidRDefault="00944B8F" w:rsidP="00C50FE5">
      <w:r>
        <w:rPr>
          <w:b/>
        </w:rPr>
        <w:t>Uncommon</w:t>
      </w:r>
      <w:r>
        <w:t xml:space="preserve"> (may affect up to 1 in 100 people) </w:t>
      </w:r>
    </w:p>
    <w:p w14:paraId="3EF1A937" w14:textId="77777777" w:rsidR="00C50FE5" w:rsidRDefault="00C50FE5" w:rsidP="00C50FE5"/>
    <w:p w14:paraId="57F584F3" w14:textId="77777777" w:rsidR="00C50FE5" w:rsidRPr="00C50FE5" w:rsidRDefault="00944B8F" w:rsidP="000244DF">
      <w:pPr>
        <w:pStyle w:val="ListParagraph"/>
        <w:numPr>
          <w:ilvl w:val="0"/>
          <w:numId w:val="22"/>
        </w:numPr>
        <w:tabs>
          <w:tab w:val="clear" w:pos="562"/>
          <w:tab w:val="clear" w:pos="720"/>
          <w:tab w:val="num" w:pos="540"/>
        </w:tabs>
        <w:ind w:left="540" w:hanging="540"/>
      </w:pPr>
      <w:r>
        <w:t>e</w:t>
      </w:r>
      <w:r w:rsidRPr="00D410D7">
        <w:t>levated bilirubin measurement (liver blood test)</w:t>
      </w:r>
    </w:p>
    <w:p w14:paraId="00FA37E5" w14:textId="77777777" w:rsidR="00BC0E7E" w:rsidRPr="00BC0E7E" w:rsidRDefault="00BC0E7E" w:rsidP="00BC0E7E">
      <w:pPr>
        <w:tabs>
          <w:tab w:val="clear" w:pos="562"/>
        </w:tabs>
      </w:pPr>
    </w:p>
    <w:p w14:paraId="1A3F08F6" w14:textId="77777777" w:rsidR="00BC0E7E" w:rsidRPr="00BC0E7E" w:rsidRDefault="00944B8F" w:rsidP="00BC0E7E">
      <w:pPr>
        <w:tabs>
          <w:tab w:val="clear" w:pos="562"/>
          <w:tab w:val="num" w:pos="550"/>
        </w:tabs>
        <w:ind w:left="547" w:hanging="547"/>
      </w:pPr>
      <w:r w:rsidRPr="00BC0E7E">
        <w:rPr>
          <w:b/>
        </w:rPr>
        <w:t>Rare</w:t>
      </w:r>
      <w:r w:rsidRPr="00BC0E7E">
        <w:t xml:space="preserve"> (may affect up to 1 in 1,000 people)</w:t>
      </w:r>
    </w:p>
    <w:p w14:paraId="7F4784C1" w14:textId="77777777" w:rsidR="00BC0E7E" w:rsidRPr="00BC0E7E" w:rsidRDefault="00BC0E7E" w:rsidP="00BC0E7E">
      <w:pPr>
        <w:tabs>
          <w:tab w:val="clear" w:pos="562"/>
          <w:tab w:val="num" w:pos="550"/>
        </w:tabs>
        <w:ind w:left="547" w:hanging="547"/>
      </w:pPr>
    </w:p>
    <w:p w14:paraId="75BCDF14" w14:textId="77777777" w:rsidR="00BC0E7E" w:rsidRPr="00BC0E7E" w:rsidRDefault="00944B8F" w:rsidP="00BC0E7E">
      <w:pPr>
        <w:numPr>
          <w:ilvl w:val="0"/>
          <w:numId w:val="22"/>
        </w:numPr>
        <w:tabs>
          <w:tab w:val="clear" w:pos="562"/>
          <w:tab w:val="clear" w:pos="720"/>
          <w:tab w:val="num" w:pos="550"/>
        </w:tabs>
        <w:ind w:left="550" w:hanging="550"/>
      </w:pPr>
      <w:r w:rsidRPr="00BC0E7E">
        <w:t>low blood measurements for white blood cells, red blood cells and platelet count</w:t>
      </w:r>
    </w:p>
    <w:p w14:paraId="69C6E757" w14:textId="77777777" w:rsidR="00BC0E7E" w:rsidRPr="00BC0E7E" w:rsidRDefault="00BC0E7E" w:rsidP="00BC0E7E">
      <w:pPr>
        <w:keepNext/>
        <w:tabs>
          <w:tab w:val="clear" w:pos="562"/>
        </w:tabs>
        <w:suppressAutoHyphens w:val="0"/>
        <w:autoSpaceDE w:val="0"/>
        <w:autoSpaceDN w:val="0"/>
        <w:adjustRightInd w:val="0"/>
        <w:spacing w:line="240" w:lineRule="atLeast"/>
        <w:rPr>
          <w:lang w:eastAsia="de-DE"/>
        </w:rPr>
      </w:pPr>
    </w:p>
    <w:p w14:paraId="0EA5F629" w14:textId="77777777" w:rsidR="00BC0E7E" w:rsidRPr="00BC0E7E" w:rsidRDefault="00944B8F" w:rsidP="001C5296">
      <w:pPr>
        <w:keepNext/>
        <w:numPr>
          <w:ilvl w:val="12"/>
          <w:numId w:val="0"/>
        </w:numPr>
        <w:tabs>
          <w:tab w:val="clear" w:pos="562"/>
        </w:tabs>
        <w:ind w:right="-2"/>
        <w:rPr>
          <w:b/>
        </w:rPr>
      </w:pPr>
      <w:r w:rsidRPr="00BC0E7E">
        <w:rPr>
          <w:b/>
        </w:rPr>
        <w:t>Reporting of side effects</w:t>
      </w:r>
    </w:p>
    <w:p w14:paraId="0FE1388C" w14:textId="77777777" w:rsidR="00BC0E7E" w:rsidRPr="00BC0E7E" w:rsidRDefault="00944B8F" w:rsidP="001C5296">
      <w:pPr>
        <w:keepNext/>
      </w:pPr>
      <w:r w:rsidRPr="00BC0E7E">
        <w:rPr>
          <w:szCs w:val="22"/>
          <w:lang w:eastAsia="en-GB"/>
        </w:rPr>
        <w:t>If you get any side effects, talk to your doctor or pharmacist. This includes any possible side effects not listed in this leaflet.</w:t>
      </w:r>
      <w:r w:rsidR="00640684">
        <w:rPr>
          <w:szCs w:val="22"/>
          <w:lang w:eastAsia="en-GB"/>
        </w:rPr>
        <w:t xml:space="preserve"> </w:t>
      </w:r>
      <w:r w:rsidRPr="00BC0E7E">
        <w:t xml:space="preserve">You can also report side effects directly via </w:t>
      </w:r>
      <w:r w:rsidRPr="00BC0E7E">
        <w:rPr>
          <w:highlight w:val="lightGray"/>
        </w:rPr>
        <w:t xml:space="preserve">the national reporting system listed in </w:t>
      </w:r>
      <w:hyperlink r:id="rId82" w:history="1">
        <w:hyperlink r:id="rId83" w:history="1">
          <w:r w:rsidR="00BC0E7E" w:rsidRPr="00BC0E7E">
            <w:rPr>
              <w:color w:val="0000FF"/>
              <w:szCs w:val="22"/>
              <w:highlight w:val="lightGray"/>
              <w:u w:val="single"/>
            </w:rPr>
            <w:t>Appendix V</w:t>
          </w:r>
        </w:hyperlink>
      </w:hyperlink>
      <w:r w:rsidRPr="00BC0E7E">
        <w:rPr>
          <w:highlight w:val="lightGray"/>
        </w:rPr>
        <w:t>.</w:t>
      </w:r>
      <w:r w:rsidRPr="00BC0E7E">
        <w:t xml:space="preserve"> By reporting side effects, you can help provide more information on the safe</w:t>
      </w:r>
      <w:r w:rsidR="001C5296">
        <w:t>ty of this medicine.</w:t>
      </w:r>
    </w:p>
    <w:p w14:paraId="4E43086F" w14:textId="77777777" w:rsidR="00BC0E7E" w:rsidRPr="00BC0E7E" w:rsidRDefault="00BC0E7E" w:rsidP="00BC0E7E"/>
    <w:p w14:paraId="7CA75F4A" w14:textId="77777777" w:rsidR="00BC0E7E" w:rsidRPr="00BC0E7E" w:rsidRDefault="00BC0E7E" w:rsidP="00BC0E7E"/>
    <w:p w14:paraId="3BFF9956" w14:textId="77777777" w:rsidR="00BC0E7E" w:rsidRPr="00BC0E7E" w:rsidRDefault="00944B8F" w:rsidP="00BC0E7E">
      <w:pPr>
        <w:keepNext/>
        <w:outlineLvl w:val="0"/>
        <w:rPr>
          <w:rFonts w:ascii="Times New Roman Bold" w:hAnsi="Times New Roman Bold"/>
          <w:b/>
          <w:szCs w:val="20"/>
        </w:rPr>
      </w:pPr>
      <w:r w:rsidRPr="00BC0E7E">
        <w:rPr>
          <w:b/>
          <w:caps/>
          <w:szCs w:val="20"/>
        </w:rPr>
        <w:t>5.</w:t>
      </w:r>
      <w:r w:rsidRPr="00BC0E7E">
        <w:rPr>
          <w:b/>
          <w:caps/>
          <w:szCs w:val="20"/>
        </w:rPr>
        <w:tab/>
        <w:t>H</w:t>
      </w:r>
      <w:r w:rsidRPr="00BC0E7E">
        <w:rPr>
          <w:rFonts w:ascii="Times New Roman Bold" w:hAnsi="Times New Roman Bold"/>
          <w:b/>
          <w:szCs w:val="20"/>
        </w:rPr>
        <w:t>ow to store Humira</w:t>
      </w:r>
    </w:p>
    <w:p w14:paraId="57AA5108" w14:textId="77777777" w:rsidR="00BC0E7E" w:rsidRPr="00BC0E7E" w:rsidRDefault="00BC0E7E" w:rsidP="00BC0E7E">
      <w:pPr>
        <w:keepNext/>
        <w:rPr>
          <w:szCs w:val="20"/>
        </w:rPr>
      </w:pPr>
    </w:p>
    <w:p w14:paraId="3BF3831D" w14:textId="77777777" w:rsidR="00BC0E7E" w:rsidRPr="00BC0E7E" w:rsidRDefault="00944B8F" w:rsidP="00BC0E7E">
      <w:pPr>
        <w:keepNext/>
        <w:numPr>
          <w:ilvl w:val="12"/>
          <w:numId w:val="0"/>
        </w:numPr>
        <w:tabs>
          <w:tab w:val="clear" w:pos="562"/>
        </w:tabs>
        <w:ind w:right="-2"/>
      </w:pPr>
      <w:r w:rsidRPr="00BC0E7E">
        <w:t xml:space="preserve">Keep this medicine out of the sight and reach of children. </w:t>
      </w:r>
    </w:p>
    <w:p w14:paraId="07F9B5E6" w14:textId="77777777" w:rsidR="00BC0E7E" w:rsidRPr="00BC0E7E" w:rsidRDefault="00BC0E7E" w:rsidP="00BC0E7E">
      <w:pPr>
        <w:keepNext/>
        <w:numPr>
          <w:ilvl w:val="12"/>
          <w:numId w:val="0"/>
        </w:numPr>
        <w:tabs>
          <w:tab w:val="clear" w:pos="562"/>
        </w:tabs>
        <w:ind w:right="-2"/>
      </w:pPr>
    </w:p>
    <w:p w14:paraId="11C3DB2D" w14:textId="77777777" w:rsidR="00BC0E7E" w:rsidRPr="00BC0E7E" w:rsidRDefault="00944B8F" w:rsidP="00BC0E7E">
      <w:pPr>
        <w:keepNext/>
        <w:numPr>
          <w:ilvl w:val="12"/>
          <w:numId w:val="0"/>
        </w:numPr>
        <w:tabs>
          <w:tab w:val="clear" w:pos="562"/>
        </w:tabs>
        <w:ind w:right="-2"/>
      </w:pPr>
      <w:r w:rsidRPr="00BC0E7E">
        <w:t xml:space="preserve">Do not use this medicine after the expiry date stated on the label/blister/carton after EXP. </w:t>
      </w:r>
    </w:p>
    <w:p w14:paraId="21BBFDAE" w14:textId="77777777" w:rsidR="00BC0E7E" w:rsidRPr="00BC0E7E" w:rsidRDefault="00BC0E7E" w:rsidP="00BC0E7E">
      <w:pPr>
        <w:keepNext/>
        <w:numPr>
          <w:ilvl w:val="12"/>
          <w:numId w:val="0"/>
        </w:numPr>
        <w:ind w:right="-2"/>
      </w:pPr>
    </w:p>
    <w:p w14:paraId="43FFB5C2" w14:textId="77777777" w:rsidR="00BC0E7E" w:rsidRPr="00BC0E7E" w:rsidRDefault="00944B8F" w:rsidP="00BC0E7E">
      <w:pPr>
        <w:keepNext/>
        <w:numPr>
          <w:ilvl w:val="12"/>
          <w:numId w:val="0"/>
        </w:numPr>
        <w:ind w:right="-2"/>
      </w:pPr>
      <w:r w:rsidRPr="00BC0E7E">
        <w:t>Store in a refrigerator (2</w:t>
      </w:r>
      <w:r w:rsidRPr="00BC0E7E">
        <w:rPr>
          <w:rFonts w:ascii="Symbol" w:eastAsia="Symbol" w:hAnsi="Symbol" w:cs="Symbol"/>
          <w:szCs w:val="22"/>
        </w:rPr>
        <w:sym w:font="Symbol" w:char="F0B0"/>
      </w:r>
      <w:r w:rsidRPr="00BC0E7E">
        <w:t>C – 8</w:t>
      </w:r>
      <w:r w:rsidRPr="00BC0E7E">
        <w:rPr>
          <w:rFonts w:ascii="Symbol" w:eastAsia="Symbol" w:hAnsi="Symbol" w:cs="Symbol"/>
          <w:szCs w:val="22"/>
        </w:rPr>
        <w:sym w:font="Symbol" w:char="F0B0"/>
      </w:r>
      <w:r w:rsidRPr="00BC0E7E">
        <w:t xml:space="preserve">C). Do not freeze. </w:t>
      </w:r>
    </w:p>
    <w:p w14:paraId="43EC9A22" w14:textId="77777777" w:rsidR="00BC0E7E" w:rsidRPr="00BC0E7E" w:rsidRDefault="00BC0E7E" w:rsidP="00BC0E7E">
      <w:pPr>
        <w:keepNext/>
        <w:numPr>
          <w:ilvl w:val="12"/>
          <w:numId w:val="0"/>
        </w:numPr>
        <w:ind w:right="-2"/>
      </w:pPr>
    </w:p>
    <w:p w14:paraId="66E1EF34" w14:textId="77777777" w:rsidR="00BC0E7E" w:rsidRPr="00BC0E7E" w:rsidRDefault="00944B8F" w:rsidP="00BC0E7E">
      <w:pPr>
        <w:keepNext/>
        <w:numPr>
          <w:ilvl w:val="12"/>
          <w:numId w:val="0"/>
        </w:numPr>
        <w:tabs>
          <w:tab w:val="clear" w:pos="562"/>
        </w:tabs>
        <w:ind w:right="-2"/>
      </w:pPr>
      <w:r w:rsidRPr="00BC0E7E">
        <w:t xml:space="preserve">Keep the pre-filled pen in the outer carton in order to protect from light.  </w:t>
      </w:r>
    </w:p>
    <w:p w14:paraId="04A28A77" w14:textId="77777777" w:rsidR="00BC0E7E" w:rsidRPr="00BC0E7E" w:rsidRDefault="00BC0E7E" w:rsidP="00BC0E7E">
      <w:pPr>
        <w:keepNext/>
        <w:numPr>
          <w:ilvl w:val="12"/>
          <w:numId w:val="0"/>
        </w:numPr>
        <w:tabs>
          <w:tab w:val="clear" w:pos="562"/>
        </w:tabs>
        <w:ind w:right="-2"/>
      </w:pPr>
    </w:p>
    <w:p w14:paraId="6AA6B246" w14:textId="77777777" w:rsidR="00BC0E7E" w:rsidRPr="00BC0E7E" w:rsidRDefault="00944B8F" w:rsidP="00BC0E7E">
      <w:pPr>
        <w:keepNext/>
        <w:tabs>
          <w:tab w:val="clear" w:pos="562"/>
        </w:tabs>
        <w:suppressAutoHyphens w:val="0"/>
        <w:autoSpaceDE w:val="0"/>
        <w:autoSpaceDN w:val="0"/>
        <w:adjustRightInd w:val="0"/>
        <w:rPr>
          <w:szCs w:val="22"/>
          <w:lang w:eastAsia="en-GB"/>
        </w:rPr>
      </w:pPr>
      <w:r w:rsidRPr="00BC0E7E">
        <w:rPr>
          <w:szCs w:val="22"/>
          <w:lang w:eastAsia="en-GB"/>
        </w:rPr>
        <w:t>Alternative Storage:</w:t>
      </w:r>
    </w:p>
    <w:p w14:paraId="1812065E" w14:textId="77777777" w:rsidR="00BC0E7E" w:rsidRPr="00BC0E7E" w:rsidRDefault="00BC0E7E" w:rsidP="00BC0E7E">
      <w:pPr>
        <w:keepNext/>
        <w:tabs>
          <w:tab w:val="clear" w:pos="562"/>
        </w:tabs>
        <w:suppressAutoHyphens w:val="0"/>
        <w:autoSpaceDE w:val="0"/>
        <w:autoSpaceDN w:val="0"/>
        <w:adjustRightInd w:val="0"/>
        <w:rPr>
          <w:szCs w:val="22"/>
          <w:lang w:eastAsia="en-GB"/>
        </w:rPr>
      </w:pPr>
    </w:p>
    <w:p w14:paraId="068AFCF3" w14:textId="77777777" w:rsidR="00BC0E7E" w:rsidRPr="00BC0E7E" w:rsidRDefault="00944B8F" w:rsidP="00BC0E7E">
      <w:pPr>
        <w:tabs>
          <w:tab w:val="clear" w:pos="562"/>
        </w:tabs>
        <w:suppressAutoHyphens w:val="0"/>
        <w:autoSpaceDE w:val="0"/>
        <w:autoSpaceDN w:val="0"/>
        <w:adjustRightInd w:val="0"/>
        <w:rPr>
          <w:szCs w:val="22"/>
          <w:lang w:eastAsia="en-GB"/>
        </w:rPr>
      </w:pPr>
      <w:r w:rsidRPr="00BC0E7E">
        <w:rPr>
          <w:szCs w:val="22"/>
          <w:lang w:eastAsia="en-GB"/>
        </w:rPr>
        <w:t xml:space="preserve">When needed (for example, when you are travelling), a single Humira pre-filled pen may be stored at room temperature (up to 25°C) for a maximum period of 14 days – be sure to protect it from light. Once removed from the refrigerator for room temperature storage, the pen </w:t>
      </w:r>
      <w:r w:rsidRPr="00BC0E7E">
        <w:rPr>
          <w:b/>
          <w:szCs w:val="22"/>
          <w:lang w:eastAsia="en-GB"/>
        </w:rPr>
        <w:t>must be used within 14 days</w:t>
      </w:r>
      <w:r w:rsidRPr="00BC0E7E">
        <w:rPr>
          <w:szCs w:val="22"/>
          <w:lang w:eastAsia="en-GB"/>
        </w:rPr>
        <w:t xml:space="preserve"> </w:t>
      </w:r>
      <w:r w:rsidRPr="00BC0E7E">
        <w:rPr>
          <w:b/>
          <w:bCs/>
          <w:szCs w:val="22"/>
          <w:lang w:eastAsia="en-GB"/>
        </w:rPr>
        <w:t>or discarded</w:t>
      </w:r>
      <w:r w:rsidRPr="00BC0E7E">
        <w:rPr>
          <w:bCs/>
          <w:szCs w:val="22"/>
          <w:lang w:eastAsia="en-GB"/>
        </w:rPr>
        <w:t>, even if it is returned to the refrigerator</w:t>
      </w:r>
      <w:r w:rsidRPr="00BC0E7E">
        <w:rPr>
          <w:szCs w:val="22"/>
          <w:lang w:eastAsia="en-GB"/>
        </w:rPr>
        <w:t xml:space="preserve">.  </w:t>
      </w:r>
    </w:p>
    <w:p w14:paraId="1D169D9E" w14:textId="77777777" w:rsidR="00BC0E7E" w:rsidRPr="00BC0E7E" w:rsidRDefault="00BC0E7E" w:rsidP="00BC0E7E">
      <w:pPr>
        <w:tabs>
          <w:tab w:val="clear" w:pos="562"/>
        </w:tabs>
        <w:suppressAutoHyphens w:val="0"/>
        <w:autoSpaceDE w:val="0"/>
        <w:autoSpaceDN w:val="0"/>
        <w:adjustRightInd w:val="0"/>
        <w:rPr>
          <w:szCs w:val="22"/>
          <w:lang w:eastAsia="en-GB"/>
        </w:rPr>
      </w:pPr>
    </w:p>
    <w:p w14:paraId="07A977BD" w14:textId="77777777" w:rsidR="00BC0E7E" w:rsidRPr="00BC0E7E" w:rsidRDefault="00944B8F" w:rsidP="00BC0E7E">
      <w:pPr>
        <w:tabs>
          <w:tab w:val="clear" w:pos="562"/>
        </w:tabs>
        <w:suppressAutoHyphens w:val="0"/>
        <w:autoSpaceDE w:val="0"/>
        <w:autoSpaceDN w:val="0"/>
        <w:adjustRightInd w:val="0"/>
        <w:rPr>
          <w:szCs w:val="22"/>
          <w:lang w:eastAsia="en-GB"/>
        </w:rPr>
      </w:pPr>
      <w:r w:rsidRPr="00BC0E7E">
        <w:rPr>
          <w:szCs w:val="22"/>
          <w:lang w:eastAsia="en-GB"/>
        </w:rPr>
        <w:t>You should record the date when the pen is first removed from refrigerator and the date after which it should be discarded.</w:t>
      </w:r>
    </w:p>
    <w:p w14:paraId="0B635020" w14:textId="77777777" w:rsidR="00BC0E7E" w:rsidRPr="00BC0E7E" w:rsidRDefault="00BC0E7E" w:rsidP="00BC0E7E">
      <w:pPr>
        <w:tabs>
          <w:tab w:val="clear" w:pos="562"/>
        </w:tabs>
        <w:suppressAutoHyphens w:val="0"/>
        <w:autoSpaceDE w:val="0"/>
        <w:autoSpaceDN w:val="0"/>
        <w:adjustRightInd w:val="0"/>
      </w:pPr>
    </w:p>
    <w:p w14:paraId="7C059385" w14:textId="77777777" w:rsidR="00BC0E7E" w:rsidRPr="00BC0E7E" w:rsidRDefault="00944B8F" w:rsidP="00BC0E7E">
      <w:pPr>
        <w:tabs>
          <w:tab w:val="clear" w:pos="562"/>
        </w:tabs>
        <w:suppressAutoHyphens w:val="0"/>
        <w:autoSpaceDE w:val="0"/>
        <w:autoSpaceDN w:val="0"/>
        <w:adjustRightInd w:val="0"/>
        <w:rPr>
          <w:szCs w:val="22"/>
          <w:lang w:eastAsia="en-GB"/>
        </w:rPr>
      </w:pPr>
      <w:r w:rsidRPr="00BC0E7E">
        <w:rPr>
          <w:szCs w:val="22"/>
          <w:lang w:eastAsia="en-GB"/>
        </w:rPr>
        <w:t>Do not throw away any medicines via wastewater or household waste. Ask your doctor or pharmacist how to throw away medicines you no longer use. These measures will help protect the environment.</w:t>
      </w:r>
    </w:p>
    <w:p w14:paraId="7CF9427C" w14:textId="77777777" w:rsidR="00BC0E7E" w:rsidRPr="00BC0E7E" w:rsidRDefault="00BC0E7E" w:rsidP="00BC0E7E">
      <w:pPr>
        <w:rPr>
          <w:szCs w:val="20"/>
        </w:rPr>
      </w:pPr>
    </w:p>
    <w:p w14:paraId="017881EB" w14:textId="77777777" w:rsidR="00BC0E7E" w:rsidRPr="00BC0E7E" w:rsidRDefault="00BC0E7E" w:rsidP="00BC0E7E">
      <w:pPr>
        <w:rPr>
          <w:szCs w:val="20"/>
        </w:rPr>
      </w:pPr>
    </w:p>
    <w:p w14:paraId="071CB305" w14:textId="77777777" w:rsidR="00BC0E7E" w:rsidRPr="00BC0E7E" w:rsidRDefault="00944B8F" w:rsidP="00BC0E7E">
      <w:pPr>
        <w:keepNext/>
        <w:outlineLvl w:val="0"/>
        <w:rPr>
          <w:rFonts w:ascii="Times New Roman Bold" w:hAnsi="Times New Roman Bold"/>
          <w:b/>
          <w:szCs w:val="20"/>
        </w:rPr>
      </w:pPr>
      <w:r w:rsidRPr="00BC0E7E">
        <w:rPr>
          <w:b/>
          <w:caps/>
          <w:szCs w:val="20"/>
        </w:rPr>
        <w:t>6.</w:t>
      </w:r>
      <w:r w:rsidRPr="00BC0E7E">
        <w:rPr>
          <w:b/>
          <w:caps/>
          <w:szCs w:val="20"/>
        </w:rPr>
        <w:tab/>
      </w:r>
      <w:r w:rsidRPr="00BC0E7E">
        <w:rPr>
          <w:rFonts w:ascii="Times New Roman Bold" w:hAnsi="Times New Roman Bold"/>
          <w:b/>
          <w:szCs w:val="20"/>
        </w:rPr>
        <w:t>Contents of the pack and other information</w:t>
      </w:r>
    </w:p>
    <w:p w14:paraId="730C8574" w14:textId="77777777" w:rsidR="00BC0E7E" w:rsidRPr="00BC0E7E" w:rsidRDefault="00BC0E7E" w:rsidP="00BC0E7E">
      <w:pPr>
        <w:keepNext/>
      </w:pPr>
    </w:p>
    <w:p w14:paraId="4268B926" w14:textId="77777777" w:rsidR="00BC0E7E" w:rsidRPr="00BC0E7E" w:rsidRDefault="00944B8F" w:rsidP="00BC0E7E">
      <w:pPr>
        <w:numPr>
          <w:ilvl w:val="12"/>
          <w:numId w:val="0"/>
        </w:numPr>
        <w:tabs>
          <w:tab w:val="clear" w:pos="562"/>
        </w:tabs>
        <w:ind w:right="-2"/>
        <w:rPr>
          <w:szCs w:val="22"/>
        </w:rPr>
      </w:pPr>
      <w:r w:rsidRPr="00BC0E7E">
        <w:rPr>
          <w:b/>
        </w:rPr>
        <w:t>What Humira contains</w:t>
      </w:r>
    </w:p>
    <w:p w14:paraId="4693CEBB" w14:textId="77777777" w:rsidR="00BC0E7E" w:rsidRPr="00BC0E7E" w:rsidRDefault="00BC0E7E" w:rsidP="00BC0E7E">
      <w:pPr>
        <w:keepNext/>
        <w:rPr>
          <w:szCs w:val="22"/>
        </w:rPr>
      </w:pPr>
    </w:p>
    <w:p w14:paraId="2F6EB34D" w14:textId="77777777" w:rsidR="00BC0E7E" w:rsidRPr="00BC0E7E" w:rsidRDefault="00944B8F" w:rsidP="00BC0E7E">
      <w:pPr>
        <w:keepNext/>
        <w:numPr>
          <w:ilvl w:val="12"/>
          <w:numId w:val="0"/>
        </w:numPr>
        <w:ind w:right="-2"/>
        <w:rPr>
          <w:szCs w:val="22"/>
        </w:rPr>
      </w:pPr>
      <w:r w:rsidRPr="00BC0E7E">
        <w:rPr>
          <w:szCs w:val="22"/>
        </w:rPr>
        <w:t>The active substance is adalimumab.</w:t>
      </w:r>
    </w:p>
    <w:p w14:paraId="44E162DF" w14:textId="77777777" w:rsidR="00BC0E7E" w:rsidRPr="00BC0E7E" w:rsidRDefault="00944B8F" w:rsidP="00BC0E7E">
      <w:pPr>
        <w:keepNext/>
        <w:numPr>
          <w:ilvl w:val="12"/>
          <w:numId w:val="0"/>
        </w:numPr>
        <w:ind w:right="-2"/>
        <w:rPr>
          <w:szCs w:val="22"/>
        </w:rPr>
      </w:pPr>
      <w:r w:rsidRPr="00BC0E7E">
        <w:rPr>
          <w:szCs w:val="22"/>
        </w:rPr>
        <w:t>The other ingredients are mannitol, polysorbate 80 and water for injections.</w:t>
      </w:r>
    </w:p>
    <w:p w14:paraId="159ACCF2" w14:textId="77777777" w:rsidR="00BC0E7E" w:rsidRPr="00BC0E7E" w:rsidRDefault="00BC0E7E" w:rsidP="00BC0E7E">
      <w:pPr>
        <w:numPr>
          <w:ilvl w:val="12"/>
          <w:numId w:val="0"/>
        </w:numPr>
        <w:ind w:right="-2"/>
        <w:rPr>
          <w:szCs w:val="22"/>
        </w:rPr>
      </w:pPr>
    </w:p>
    <w:p w14:paraId="6EB521C6" w14:textId="77777777" w:rsidR="00BC0E7E" w:rsidRPr="00BC0E7E" w:rsidRDefault="00944B8F" w:rsidP="00852331">
      <w:pPr>
        <w:keepNext/>
        <w:numPr>
          <w:ilvl w:val="12"/>
          <w:numId w:val="0"/>
        </w:numPr>
        <w:tabs>
          <w:tab w:val="clear" w:pos="562"/>
        </w:tabs>
        <w:ind w:right="-2"/>
        <w:rPr>
          <w:szCs w:val="22"/>
        </w:rPr>
      </w:pPr>
      <w:r w:rsidRPr="00BC0E7E">
        <w:rPr>
          <w:b/>
        </w:rPr>
        <w:lastRenderedPageBreak/>
        <w:t>What the Humira pre-filled pen looks like and contents of the pack</w:t>
      </w:r>
    </w:p>
    <w:p w14:paraId="35DD9C2C" w14:textId="77777777" w:rsidR="00BC0E7E" w:rsidRPr="00BC0E7E" w:rsidRDefault="00BC0E7E" w:rsidP="00852331">
      <w:pPr>
        <w:keepNext/>
        <w:numPr>
          <w:ilvl w:val="12"/>
          <w:numId w:val="0"/>
        </w:numPr>
        <w:ind w:right="-2"/>
        <w:rPr>
          <w:szCs w:val="22"/>
        </w:rPr>
      </w:pPr>
    </w:p>
    <w:p w14:paraId="11BD058D" w14:textId="77777777" w:rsidR="00BC0E7E" w:rsidRPr="00BC0E7E" w:rsidRDefault="00944B8F" w:rsidP="00852331">
      <w:pPr>
        <w:keepNext/>
        <w:numPr>
          <w:ilvl w:val="12"/>
          <w:numId w:val="0"/>
        </w:numPr>
        <w:tabs>
          <w:tab w:val="clear" w:pos="562"/>
        </w:tabs>
        <w:ind w:right="-2"/>
        <w:rPr>
          <w:szCs w:val="22"/>
        </w:rPr>
      </w:pPr>
      <w:r w:rsidRPr="00BC0E7E">
        <w:rPr>
          <w:szCs w:val="22"/>
        </w:rPr>
        <w:t>Humira 80 mg solution for injection in pre-filled pen is supplied as a sterile solution of 80 mg adalimumab dissolved in 0.8 ml solution.</w:t>
      </w:r>
    </w:p>
    <w:p w14:paraId="1B8AA33A" w14:textId="77777777" w:rsidR="00BC0E7E" w:rsidRPr="00BC0E7E" w:rsidRDefault="00BC0E7E" w:rsidP="00852331">
      <w:pPr>
        <w:keepNext/>
        <w:numPr>
          <w:ilvl w:val="12"/>
          <w:numId w:val="0"/>
        </w:numPr>
        <w:ind w:right="-2"/>
        <w:rPr>
          <w:szCs w:val="22"/>
        </w:rPr>
      </w:pPr>
    </w:p>
    <w:p w14:paraId="30A4B9F8" w14:textId="77777777" w:rsidR="00BC0E7E" w:rsidRDefault="00944B8F" w:rsidP="00BC0E7E">
      <w:pPr>
        <w:numPr>
          <w:ilvl w:val="12"/>
          <w:numId w:val="0"/>
        </w:numPr>
        <w:ind w:right="-2"/>
        <w:rPr>
          <w:szCs w:val="22"/>
        </w:rPr>
      </w:pPr>
      <w:r w:rsidRPr="00BC0E7E">
        <w:rPr>
          <w:szCs w:val="22"/>
        </w:rPr>
        <w:t>The Humira pre-filled pen is a single-use grey and plum-coloured pen which contains a glass syringe with Humira. There are two caps – one is grey and labelled ‘1’ and the other is plum and labelled ‘2’. There is a window on each side of the pen through which you can see the Humir</w:t>
      </w:r>
      <w:r w:rsidR="00770928">
        <w:rPr>
          <w:szCs w:val="22"/>
        </w:rPr>
        <w:t>a solution inside the syringe.</w:t>
      </w:r>
    </w:p>
    <w:p w14:paraId="3A7F2707" w14:textId="77777777" w:rsidR="00770928" w:rsidRPr="00BC0E7E" w:rsidRDefault="00770928" w:rsidP="00BC0E7E">
      <w:pPr>
        <w:numPr>
          <w:ilvl w:val="12"/>
          <w:numId w:val="0"/>
        </w:numPr>
        <w:ind w:right="-2"/>
        <w:rPr>
          <w:szCs w:val="22"/>
        </w:rPr>
      </w:pPr>
    </w:p>
    <w:p w14:paraId="3B08F968" w14:textId="77777777" w:rsidR="00770928" w:rsidRDefault="00944B8F" w:rsidP="00770928">
      <w:pPr>
        <w:numPr>
          <w:ilvl w:val="12"/>
          <w:numId w:val="0"/>
        </w:numPr>
        <w:tabs>
          <w:tab w:val="left" w:pos="2530"/>
        </w:tabs>
        <w:ind w:right="-2"/>
        <w:rPr>
          <w:szCs w:val="22"/>
        </w:rPr>
      </w:pPr>
      <w:r w:rsidRPr="00BC0E7E">
        <w:rPr>
          <w:szCs w:val="22"/>
        </w:rPr>
        <w:t>The Humira pre-filled pen is available in pack</w:t>
      </w:r>
      <w:r>
        <w:rPr>
          <w:szCs w:val="22"/>
        </w:rPr>
        <w:t>s</w:t>
      </w:r>
      <w:r w:rsidRPr="00BC0E7E">
        <w:rPr>
          <w:szCs w:val="22"/>
        </w:rPr>
        <w:t xml:space="preserve"> containing</w:t>
      </w:r>
      <w:r>
        <w:rPr>
          <w:szCs w:val="22"/>
        </w:rPr>
        <w:t>:</w:t>
      </w:r>
    </w:p>
    <w:p w14:paraId="6254D7A8" w14:textId="77777777" w:rsidR="00770928" w:rsidRPr="00D76563" w:rsidRDefault="00944B8F" w:rsidP="00BB57B8">
      <w:pPr>
        <w:pStyle w:val="ListParagraph"/>
        <w:numPr>
          <w:ilvl w:val="0"/>
          <w:numId w:val="22"/>
        </w:numPr>
        <w:tabs>
          <w:tab w:val="left" w:pos="2530"/>
        </w:tabs>
        <w:ind w:right="-2"/>
        <w:rPr>
          <w:szCs w:val="22"/>
        </w:rPr>
      </w:pPr>
      <w:r w:rsidRPr="000F3633">
        <w:rPr>
          <w:szCs w:val="22"/>
        </w:rPr>
        <w:t>1</w:t>
      </w:r>
      <w:r>
        <w:rPr>
          <w:szCs w:val="22"/>
        </w:rPr>
        <w:t xml:space="preserve"> </w:t>
      </w:r>
      <w:r w:rsidRPr="000F3633">
        <w:rPr>
          <w:szCs w:val="22"/>
        </w:rPr>
        <w:t>pre-filled pen</w:t>
      </w:r>
      <w:r w:rsidRPr="00BC0E7E">
        <w:t xml:space="preserve"> </w:t>
      </w:r>
      <w:r>
        <w:t xml:space="preserve">for patient use </w:t>
      </w:r>
      <w:r w:rsidRPr="00BC0E7E">
        <w:t>with 2 alcohol pads (1 spare)</w:t>
      </w:r>
    </w:p>
    <w:p w14:paraId="6BE22FCE" w14:textId="77777777" w:rsidR="00770928" w:rsidRPr="000F3633" w:rsidRDefault="00944B8F" w:rsidP="00BB57B8">
      <w:pPr>
        <w:pStyle w:val="ListParagraph"/>
        <w:numPr>
          <w:ilvl w:val="0"/>
          <w:numId w:val="22"/>
        </w:numPr>
        <w:tabs>
          <w:tab w:val="left" w:pos="2530"/>
        </w:tabs>
        <w:ind w:right="-2"/>
        <w:rPr>
          <w:szCs w:val="22"/>
        </w:rPr>
      </w:pPr>
      <w:r>
        <w:t>3 pre-filled pens for patient use with 4 alcohol pads (1 spare)</w:t>
      </w:r>
    </w:p>
    <w:p w14:paraId="5F50E1A1" w14:textId="77777777" w:rsidR="00770928" w:rsidRDefault="00770928" w:rsidP="00770928">
      <w:pPr>
        <w:tabs>
          <w:tab w:val="clear" w:pos="562"/>
        </w:tabs>
        <w:rPr>
          <w:szCs w:val="22"/>
        </w:rPr>
      </w:pPr>
    </w:p>
    <w:p w14:paraId="3CECB7A1" w14:textId="77777777" w:rsidR="00770928" w:rsidRDefault="00944B8F" w:rsidP="00770928">
      <w:pPr>
        <w:tabs>
          <w:tab w:val="clear" w:pos="562"/>
        </w:tabs>
        <w:rPr>
          <w:szCs w:val="22"/>
        </w:rPr>
      </w:pPr>
      <w:r>
        <w:rPr>
          <w:szCs w:val="22"/>
        </w:rPr>
        <w:t>Not all pack sizes may be marketed.</w:t>
      </w:r>
    </w:p>
    <w:p w14:paraId="604D62AB" w14:textId="77777777" w:rsidR="00BC0E7E" w:rsidRPr="00BC0E7E" w:rsidRDefault="00BC0E7E" w:rsidP="00BC0E7E">
      <w:pPr>
        <w:tabs>
          <w:tab w:val="clear" w:pos="562"/>
        </w:tabs>
        <w:rPr>
          <w:szCs w:val="22"/>
        </w:rPr>
      </w:pPr>
    </w:p>
    <w:p w14:paraId="13CF2965" w14:textId="77777777" w:rsidR="00BC0E7E" w:rsidRPr="00BC0E7E" w:rsidRDefault="00944B8F" w:rsidP="00BC0E7E">
      <w:pPr>
        <w:tabs>
          <w:tab w:val="clear" w:pos="562"/>
        </w:tabs>
        <w:rPr>
          <w:szCs w:val="22"/>
        </w:rPr>
      </w:pPr>
      <w:r w:rsidRPr="00BC0E7E">
        <w:rPr>
          <w:szCs w:val="22"/>
        </w:rPr>
        <w:t>Humira may be available as a vial, a pre-filled syringe and/or a pre-filled pen.</w:t>
      </w:r>
    </w:p>
    <w:p w14:paraId="0D73B10E" w14:textId="77777777" w:rsidR="00BC0E7E" w:rsidRPr="00BC0E7E" w:rsidRDefault="00BC0E7E" w:rsidP="00BC0E7E">
      <w:pPr>
        <w:numPr>
          <w:ilvl w:val="12"/>
          <w:numId w:val="0"/>
        </w:numPr>
        <w:ind w:right="-2"/>
        <w:rPr>
          <w:iCs/>
          <w:szCs w:val="22"/>
        </w:rPr>
      </w:pPr>
    </w:p>
    <w:p w14:paraId="2A5C23C1" w14:textId="77777777" w:rsidR="00BC0E7E" w:rsidRPr="00BC0E7E" w:rsidRDefault="00944B8F" w:rsidP="006A01D2">
      <w:pPr>
        <w:keepNext/>
        <w:numPr>
          <w:ilvl w:val="12"/>
          <w:numId w:val="0"/>
        </w:numPr>
        <w:tabs>
          <w:tab w:val="clear" w:pos="562"/>
        </w:tabs>
        <w:ind w:right="-2"/>
        <w:rPr>
          <w:bCs/>
          <w:iCs/>
        </w:rPr>
      </w:pPr>
      <w:r w:rsidRPr="00BC0E7E">
        <w:rPr>
          <w:b/>
        </w:rPr>
        <w:t>Marketing Authorisation Holder</w:t>
      </w:r>
    </w:p>
    <w:p w14:paraId="2BD46966" w14:textId="77777777" w:rsidR="00BC0E7E" w:rsidRPr="00BC0E7E" w:rsidRDefault="00BC0E7E" w:rsidP="006A01D2">
      <w:pPr>
        <w:keepNext/>
        <w:numPr>
          <w:ilvl w:val="12"/>
          <w:numId w:val="0"/>
        </w:numPr>
        <w:ind w:right="-2"/>
      </w:pPr>
    </w:p>
    <w:p w14:paraId="0EDC3012"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AbbVie Deutschland GmbH &amp; Co. KG</w:t>
      </w:r>
    </w:p>
    <w:p w14:paraId="302CD6FD"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Knollstrasse</w:t>
      </w:r>
    </w:p>
    <w:p w14:paraId="43408772" w14:textId="77777777" w:rsidR="006A01D2" w:rsidRPr="00EB4204" w:rsidRDefault="00944B8F" w:rsidP="006A01D2">
      <w:pPr>
        <w:keepNext/>
        <w:tabs>
          <w:tab w:val="clear" w:pos="562"/>
        </w:tabs>
        <w:suppressAutoHyphens w:val="0"/>
        <w:autoSpaceDE w:val="0"/>
        <w:autoSpaceDN w:val="0"/>
        <w:adjustRightInd w:val="0"/>
        <w:spacing w:line="240" w:lineRule="atLeast"/>
        <w:rPr>
          <w:szCs w:val="22"/>
          <w:lang w:eastAsia="en-GB"/>
        </w:rPr>
      </w:pPr>
      <w:r w:rsidRPr="00EB4204">
        <w:rPr>
          <w:szCs w:val="22"/>
          <w:lang w:eastAsia="en-GB"/>
        </w:rPr>
        <w:t>67061 Ludwigshafen</w:t>
      </w:r>
    </w:p>
    <w:p w14:paraId="1D98EA98" w14:textId="77777777" w:rsidR="006A01D2" w:rsidRDefault="00944B8F" w:rsidP="006A01D2">
      <w:pPr>
        <w:keepNext/>
        <w:tabs>
          <w:tab w:val="clear" w:pos="562"/>
          <w:tab w:val="left" w:pos="720"/>
        </w:tabs>
        <w:suppressAutoHyphens w:val="0"/>
        <w:autoSpaceDE w:val="0"/>
        <w:autoSpaceDN w:val="0"/>
        <w:adjustRightInd w:val="0"/>
        <w:spacing w:line="240" w:lineRule="atLeast"/>
        <w:rPr>
          <w:szCs w:val="22"/>
          <w:lang w:eastAsia="en-GB"/>
        </w:rPr>
      </w:pPr>
      <w:r w:rsidRPr="00EB4204">
        <w:rPr>
          <w:szCs w:val="22"/>
          <w:lang w:eastAsia="en-GB"/>
        </w:rPr>
        <w:t>Germany</w:t>
      </w:r>
      <w:r>
        <w:rPr>
          <w:szCs w:val="22"/>
          <w:lang w:eastAsia="en-GB"/>
        </w:rPr>
        <w:t xml:space="preserve"> </w:t>
      </w:r>
    </w:p>
    <w:p w14:paraId="0E6C9C51" w14:textId="77777777" w:rsidR="00BC0E7E" w:rsidRPr="00BC0E7E" w:rsidRDefault="00BC0E7E" w:rsidP="00BC0E7E"/>
    <w:p w14:paraId="77B593C2" w14:textId="77777777" w:rsidR="00BC0E7E" w:rsidRPr="00BC0E7E" w:rsidRDefault="00944B8F" w:rsidP="00BC0E7E">
      <w:pPr>
        <w:numPr>
          <w:ilvl w:val="12"/>
          <w:numId w:val="0"/>
        </w:numPr>
        <w:ind w:right="-2"/>
        <w:rPr>
          <w:b/>
        </w:rPr>
      </w:pPr>
      <w:r w:rsidRPr="00BC0E7E">
        <w:rPr>
          <w:b/>
        </w:rPr>
        <w:t xml:space="preserve">Manufacturer </w:t>
      </w:r>
    </w:p>
    <w:p w14:paraId="0BF26C7F" w14:textId="77777777" w:rsidR="00BC0E7E" w:rsidRPr="00BC0E7E" w:rsidRDefault="00BC0E7E" w:rsidP="00BC0E7E">
      <w:pPr>
        <w:numPr>
          <w:ilvl w:val="12"/>
          <w:numId w:val="0"/>
        </w:numPr>
        <w:ind w:right="-2"/>
      </w:pPr>
    </w:p>
    <w:p w14:paraId="6E38F0B7" w14:textId="77777777" w:rsidR="00BC0E7E" w:rsidRPr="00BC0E7E" w:rsidRDefault="00944B8F" w:rsidP="00BC0E7E">
      <w:r w:rsidRPr="00BC0E7E">
        <w:t>AbbVie Biotechnology GmbH</w:t>
      </w:r>
    </w:p>
    <w:p w14:paraId="19779F9C" w14:textId="77777777" w:rsidR="00BC0E7E" w:rsidRPr="00BC0E7E" w:rsidRDefault="00944B8F" w:rsidP="00BC0E7E">
      <w:pPr>
        <w:numPr>
          <w:ilvl w:val="12"/>
          <w:numId w:val="0"/>
        </w:numPr>
        <w:tabs>
          <w:tab w:val="clear" w:pos="562"/>
          <w:tab w:val="left" w:pos="720"/>
        </w:tabs>
      </w:pPr>
      <w:r w:rsidRPr="00BC0E7E">
        <w:t>Knollstrasse</w:t>
      </w:r>
    </w:p>
    <w:p w14:paraId="1D32D25B" w14:textId="77777777" w:rsidR="00BC0E7E" w:rsidRPr="00BC0E7E" w:rsidRDefault="00944B8F" w:rsidP="00BC0E7E">
      <w:pPr>
        <w:numPr>
          <w:ilvl w:val="12"/>
          <w:numId w:val="0"/>
        </w:numPr>
        <w:tabs>
          <w:tab w:val="clear" w:pos="562"/>
          <w:tab w:val="left" w:pos="720"/>
        </w:tabs>
      </w:pPr>
      <w:r w:rsidRPr="00BC0E7E">
        <w:t>67061 Ludwigshafen</w:t>
      </w:r>
    </w:p>
    <w:p w14:paraId="41BCA6C1" w14:textId="77777777" w:rsidR="00BC0E7E" w:rsidRPr="00BC0E7E" w:rsidRDefault="00944B8F" w:rsidP="00BC0E7E">
      <w:pPr>
        <w:numPr>
          <w:ilvl w:val="12"/>
          <w:numId w:val="0"/>
        </w:numPr>
        <w:tabs>
          <w:tab w:val="clear" w:pos="562"/>
          <w:tab w:val="left" w:pos="720"/>
        </w:tabs>
      </w:pPr>
      <w:r w:rsidRPr="00BC0E7E">
        <w:t>Germany</w:t>
      </w:r>
    </w:p>
    <w:p w14:paraId="7D560EB4" w14:textId="77777777" w:rsidR="00BC0E7E" w:rsidRPr="00A06B15" w:rsidRDefault="00BC0E7E" w:rsidP="00BC0E7E"/>
    <w:p w14:paraId="697F125D" w14:textId="77777777" w:rsidR="00BC0E7E" w:rsidRPr="00BC0E7E" w:rsidRDefault="00944B8F" w:rsidP="00BC0E7E">
      <w:pPr>
        <w:numPr>
          <w:ilvl w:val="12"/>
          <w:numId w:val="0"/>
        </w:numPr>
        <w:tabs>
          <w:tab w:val="clear" w:pos="562"/>
        </w:tabs>
        <w:ind w:right="-2"/>
      </w:pPr>
      <w:r w:rsidRPr="00BC0E7E">
        <w:t>For any information about this medicine, please contact the local representative of the Marketing Authorisation Holder:</w:t>
      </w:r>
    </w:p>
    <w:p w14:paraId="4AF0671B" w14:textId="77777777" w:rsidR="00BC0E7E" w:rsidRPr="00BC0E7E" w:rsidRDefault="00BC0E7E" w:rsidP="00BC0E7E">
      <w:pPr>
        <w:tabs>
          <w:tab w:val="clear" w:pos="562"/>
        </w:tabs>
        <w:suppressAutoHyphens w:val="0"/>
        <w:rPr>
          <w:sz w:val="24"/>
        </w:rPr>
      </w:pPr>
    </w:p>
    <w:tbl>
      <w:tblPr>
        <w:tblW w:w="9356" w:type="dxa"/>
        <w:tblInd w:w="-34" w:type="dxa"/>
        <w:tblLayout w:type="fixed"/>
        <w:tblLook w:val="0000" w:firstRow="0" w:lastRow="0" w:firstColumn="0" w:lastColumn="0" w:noHBand="0" w:noVBand="0"/>
      </w:tblPr>
      <w:tblGrid>
        <w:gridCol w:w="34"/>
        <w:gridCol w:w="4644"/>
        <w:gridCol w:w="4678"/>
      </w:tblGrid>
      <w:tr w:rsidR="00C6578C" w14:paraId="63449344" w14:textId="77777777" w:rsidTr="00171601">
        <w:trPr>
          <w:gridBefore w:val="1"/>
          <w:wBefore w:w="34" w:type="dxa"/>
        </w:trPr>
        <w:tc>
          <w:tcPr>
            <w:tcW w:w="4644" w:type="dxa"/>
          </w:tcPr>
          <w:p w14:paraId="03B0512D" w14:textId="77777777" w:rsidR="00BC0E7E" w:rsidRPr="00BC0E7E" w:rsidRDefault="00944B8F" w:rsidP="00BC0E7E">
            <w:pPr>
              <w:rPr>
                <w:b/>
                <w:bCs/>
                <w:szCs w:val="22"/>
                <w:lang w:val="fr-BE"/>
              </w:rPr>
            </w:pPr>
            <w:r w:rsidRPr="00BC0E7E">
              <w:rPr>
                <w:b/>
                <w:bCs/>
                <w:szCs w:val="22"/>
                <w:lang w:val="fr-BE"/>
              </w:rPr>
              <w:t>België/Belgique/Belgien</w:t>
            </w:r>
          </w:p>
          <w:p w14:paraId="1E26E113" w14:textId="77777777" w:rsidR="00BC0E7E" w:rsidRPr="00BC0E7E" w:rsidRDefault="00944B8F" w:rsidP="00BC0E7E">
            <w:pPr>
              <w:tabs>
                <w:tab w:val="center" w:pos="2214"/>
              </w:tabs>
              <w:rPr>
                <w:bCs/>
                <w:szCs w:val="22"/>
                <w:lang w:val="fr-FR"/>
              </w:rPr>
            </w:pPr>
            <w:r w:rsidRPr="00BC0E7E">
              <w:rPr>
                <w:bCs/>
                <w:szCs w:val="22"/>
                <w:lang w:val="fr-FR"/>
              </w:rPr>
              <w:t>AbbVie SA</w:t>
            </w:r>
          </w:p>
          <w:p w14:paraId="54955272" w14:textId="77777777" w:rsidR="00BC0E7E" w:rsidRDefault="00944B8F" w:rsidP="00BC0E7E">
            <w:pPr>
              <w:spacing w:line="260" w:lineRule="exact"/>
              <w:rPr>
                <w:szCs w:val="22"/>
                <w:lang w:val="fr-FR"/>
              </w:rPr>
            </w:pPr>
            <w:r w:rsidRPr="00BC0E7E">
              <w:rPr>
                <w:bCs/>
                <w:szCs w:val="22"/>
                <w:lang w:val="fr-FR"/>
              </w:rPr>
              <w:t xml:space="preserve">Tél/Tel: +32 10 </w:t>
            </w:r>
            <w:r w:rsidRPr="00BC0E7E">
              <w:rPr>
                <w:szCs w:val="22"/>
                <w:lang w:val="fr-FR"/>
              </w:rPr>
              <w:t xml:space="preserve"> 477811</w:t>
            </w:r>
          </w:p>
          <w:p w14:paraId="7F88B042" w14:textId="77777777" w:rsidR="009941B2" w:rsidRPr="00BC0E7E" w:rsidRDefault="009941B2" w:rsidP="00BC0E7E">
            <w:pPr>
              <w:spacing w:line="260" w:lineRule="exact"/>
              <w:rPr>
                <w:bCs/>
                <w:szCs w:val="22"/>
                <w:lang w:val="fr-FR"/>
              </w:rPr>
            </w:pPr>
          </w:p>
        </w:tc>
        <w:tc>
          <w:tcPr>
            <w:tcW w:w="4678" w:type="dxa"/>
          </w:tcPr>
          <w:p w14:paraId="39DED3CE" w14:textId="77777777" w:rsidR="00BC0E7E" w:rsidRPr="00BC0E7E" w:rsidRDefault="00944B8F" w:rsidP="00BC0E7E">
            <w:pPr>
              <w:rPr>
                <w:b/>
                <w:bCs/>
                <w:szCs w:val="22"/>
                <w:lang w:val="lt-LT"/>
              </w:rPr>
            </w:pPr>
            <w:r w:rsidRPr="00BC0E7E">
              <w:rPr>
                <w:b/>
                <w:bCs/>
                <w:szCs w:val="22"/>
                <w:lang w:val="lt-LT"/>
              </w:rPr>
              <w:t>Lietuva</w:t>
            </w:r>
          </w:p>
          <w:p w14:paraId="34705B2E" w14:textId="77777777" w:rsidR="00BC0E7E" w:rsidRPr="00BC0E7E" w:rsidRDefault="00944B8F" w:rsidP="00BC0E7E">
            <w:pPr>
              <w:rPr>
                <w:bCs/>
                <w:szCs w:val="22"/>
                <w:lang w:val="lv-LV"/>
              </w:rPr>
            </w:pPr>
            <w:r w:rsidRPr="00BC0E7E">
              <w:rPr>
                <w:bCs/>
                <w:szCs w:val="22"/>
                <w:lang w:val="lv-LV"/>
              </w:rPr>
              <w:t xml:space="preserve">AbbVie UAB </w:t>
            </w:r>
          </w:p>
          <w:p w14:paraId="5566C947" w14:textId="77777777" w:rsidR="00BC0E7E" w:rsidRPr="00BC0E7E" w:rsidRDefault="00944B8F" w:rsidP="00BC0E7E">
            <w:pPr>
              <w:jc w:val="both"/>
              <w:rPr>
                <w:bCs/>
                <w:szCs w:val="22"/>
                <w:lang w:val="lv-LV"/>
              </w:rPr>
            </w:pPr>
            <w:r w:rsidRPr="00BC0E7E">
              <w:rPr>
                <w:bCs/>
                <w:szCs w:val="22"/>
                <w:lang w:val="lv-LV"/>
              </w:rPr>
              <w:t>Tel: +370 5 205 3023</w:t>
            </w:r>
          </w:p>
        </w:tc>
      </w:tr>
      <w:tr w:rsidR="00C6578C" w14:paraId="1BD476D7" w14:textId="77777777" w:rsidTr="00171601">
        <w:trPr>
          <w:gridBefore w:val="1"/>
          <w:wBefore w:w="34" w:type="dxa"/>
        </w:trPr>
        <w:tc>
          <w:tcPr>
            <w:tcW w:w="4644" w:type="dxa"/>
          </w:tcPr>
          <w:p w14:paraId="58D275D0" w14:textId="77777777" w:rsidR="00BC0E7E" w:rsidRPr="00BC0E7E" w:rsidRDefault="00944B8F" w:rsidP="00BC0E7E">
            <w:pPr>
              <w:keepNext/>
              <w:autoSpaceDE w:val="0"/>
              <w:autoSpaceDN w:val="0"/>
              <w:adjustRightInd w:val="0"/>
              <w:rPr>
                <w:b/>
                <w:bCs/>
                <w:szCs w:val="22"/>
                <w:lang w:val="bg-BG"/>
              </w:rPr>
            </w:pPr>
            <w:r w:rsidRPr="00BC0E7E">
              <w:rPr>
                <w:b/>
                <w:bCs/>
                <w:szCs w:val="22"/>
                <w:lang w:val="bg-BG"/>
              </w:rPr>
              <w:t>България</w:t>
            </w:r>
          </w:p>
          <w:p w14:paraId="1CFE8BCC" w14:textId="77777777" w:rsidR="00BC0E7E" w:rsidRPr="00BC0E7E" w:rsidRDefault="00944B8F" w:rsidP="00BC0E7E">
            <w:pPr>
              <w:keepNext/>
              <w:autoSpaceDE w:val="0"/>
              <w:autoSpaceDN w:val="0"/>
              <w:adjustRightInd w:val="0"/>
              <w:rPr>
                <w:szCs w:val="22"/>
                <w:lang w:val="da-DK"/>
              </w:rPr>
            </w:pPr>
            <w:r w:rsidRPr="00BC0E7E">
              <w:rPr>
                <w:rFonts w:eastAsia="MS Mincho"/>
                <w:color w:val="000000"/>
                <w:szCs w:val="22"/>
                <w:lang w:eastAsia="ja-JP"/>
              </w:rPr>
              <w:t>АбВи ЕООД</w:t>
            </w:r>
          </w:p>
          <w:p w14:paraId="6C45E5C7" w14:textId="77777777" w:rsidR="00BC0E7E" w:rsidRPr="00BC0E7E" w:rsidRDefault="00944B8F" w:rsidP="00BC0E7E">
            <w:pPr>
              <w:keepNext/>
              <w:tabs>
                <w:tab w:val="left" w:pos="-720"/>
              </w:tabs>
              <w:rPr>
                <w:bCs/>
                <w:szCs w:val="22"/>
                <w:lang w:val="da-DK"/>
              </w:rPr>
            </w:pPr>
            <w:r w:rsidRPr="00BC0E7E">
              <w:rPr>
                <w:rFonts w:eastAsia="MS Mincho"/>
                <w:color w:val="000000"/>
                <w:szCs w:val="22"/>
                <w:lang w:eastAsia="ja-JP"/>
              </w:rPr>
              <w:t>Тел</w:t>
            </w:r>
            <w:r w:rsidRPr="00BC0E7E">
              <w:rPr>
                <w:rFonts w:eastAsia="MS Mincho"/>
                <w:color w:val="000000"/>
                <w:szCs w:val="22"/>
                <w:lang w:val="it-IT" w:eastAsia="ja-JP"/>
              </w:rPr>
              <w:t>.:+359 2 90 30 430</w:t>
            </w:r>
          </w:p>
        </w:tc>
        <w:tc>
          <w:tcPr>
            <w:tcW w:w="4678" w:type="dxa"/>
          </w:tcPr>
          <w:p w14:paraId="508CE6DF" w14:textId="77777777" w:rsidR="00BC0E7E" w:rsidRPr="00BC0E7E" w:rsidRDefault="00944B8F" w:rsidP="00BC0E7E">
            <w:pPr>
              <w:keepNext/>
              <w:rPr>
                <w:b/>
                <w:bCs/>
                <w:szCs w:val="22"/>
                <w:lang w:val="de-DE"/>
              </w:rPr>
            </w:pPr>
            <w:r w:rsidRPr="00BC0E7E">
              <w:rPr>
                <w:b/>
                <w:bCs/>
                <w:szCs w:val="22"/>
                <w:lang w:val="de-DE"/>
              </w:rPr>
              <w:t>Luxembourg/Luxemburg</w:t>
            </w:r>
          </w:p>
          <w:p w14:paraId="4881E249" w14:textId="77777777" w:rsidR="00BC0E7E" w:rsidRPr="00BC0E7E" w:rsidRDefault="00944B8F" w:rsidP="00BC0E7E">
            <w:pPr>
              <w:keepNext/>
              <w:rPr>
                <w:bCs/>
                <w:szCs w:val="22"/>
                <w:lang w:val="de-DE"/>
              </w:rPr>
            </w:pPr>
            <w:r w:rsidRPr="00BC0E7E">
              <w:rPr>
                <w:bCs/>
                <w:szCs w:val="22"/>
                <w:lang w:val="de-DE"/>
              </w:rPr>
              <w:t>AbbVie SA</w:t>
            </w:r>
          </w:p>
          <w:p w14:paraId="39D2EC3A" w14:textId="77777777" w:rsidR="00BC0E7E" w:rsidRPr="00BC0E7E" w:rsidRDefault="00944B8F" w:rsidP="00BC0E7E">
            <w:pPr>
              <w:keepNext/>
              <w:tabs>
                <w:tab w:val="center" w:pos="2231"/>
              </w:tabs>
              <w:rPr>
                <w:bCs/>
                <w:szCs w:val="22"/>
                <w:lang w:val="de-DE"/>
              </w:rPr>
            </w:pPr>
            <w:r w:rsidRPr="00BC0E7E">
              <w:rPr>
                <w:bCs/>
                <w:szCs w:val="22"/>
                <w:lang w:val="de-DE"/>
              </w:rPr>
              <w:t>Belgique/Belgien</w:t>
            </w:r>
          </w:p>
          <w:p w14:paraId="6BBD4183" w14:textId="77777777" w:rsidR="00BC0E7E" w:rsidRDefault="00944B8F" w:rsidP="00BC0E7E">
            <w:pPr>
              <w:keepNext/>
              <w:rPr>
                <w:bCs/>
                <w:szCs w:val="22"/>
                <w:lang w:val="fr-FR"/>
              </w:rPr>
            </w:pPr>
            <w:r w:rsidRPr="00BC0E7E">
              <w:rPr>
                <w:bCs/>
                <w:szCs w:val="22"/>
                <w:lang w:val="fr-FR"/>
              </w:rPr>
              <w:t>Tél/Tel: +32 10 477811</w:t>
            </w:r>
          </w:p>
          <w:p w14:paraId="568733A0" w14:textId="77777777" w:rsidR="009941B2" w:rsidRPr="00BC0E7E" w:rsidRDefault="009941B2" w:rsidP="00BC0E7E">
            <w:pPr>
              <w:keepNext/>
              <w:rPr>
                <w:bCs/>
                <w:szCs w:val="22"/>
                <w:lang w:val="fr-FR"/>
              </w:rPr>
            </w:pPr>
          </w:p>
        </w:tc>
      </w:tr>
      <w:tr w:rsidR="00C6578C" w14:paraId="67C22256" w14:textId="77777777" w:rsidTr="00171601">
        <w:trPr>
          <w:gridBefore w:val="1"/>
          <w:wBefore w:w="34" w:type="dxa"/>
        </w:trPr>
        <w:tc>
          <w:tcPr>
            <w:tcW w:w="4644" w:type="dxa"/>
          </w:tcPr>
          <w:p w14:paraId="40DFD74B" w14:textId="77777777" w:rsidR="00BC0E7E" w:rsidRPr="00BC0E7E" w:rsidRDefault="00944B8F" w:rsidP="00BC0E7E">
            <w:pPr>
              <w:rPr>
                <w:b/>
                <w:bCs/>
                <w:szCs w:val="22"/>
                <w:lang w:val="de-DE"/>
              </w:rPr>
            </w:pPr>
            <w:r w:rsidRPr="00BC0E7E">
              <w:rPr>
                <w:b/>
                <w:bCs/>
                <w:szCs w:val="22"/>
                <w:lang w:val="de-DE"/>
              </w:rPr>
              <w:t>Česká republika</w:t>
            </w:r>
          </w:p>
          <w:p w14:paraId="66533322" w14:textId="77777777" w:rsidR="00BC0E7E" w:rsidRPr="00BC0E7E" w:rsidRDefault="00944B8F" w:rsidP="00BC0E7E">
            <w:pPr>
              <w:rPr>
                <w:bCs/>
                <w:szCs w:val="22"/>
                <w:lang w:val="de-DE"/>
              </w:rPr>
            </w:pPr>
            <w:r w:rsidRPr="00BC0E7E">
              <w:rPr>
                <w:bCs/>
                <w:szCs w:val="22"/>
                <w:lang w:val="de-DE"/>
              </w:rPr>
              <w:t xml:space="preserve">AbbVie s.r.o. </w:t>
            </w:r>
          </w:p>
          <w:p w14:paraId="20DD85DB" w14:textId="77777777" w:rsidR="00BC0E7E" w:rsidRDefault="00944B8F" w:rsidP="00BC0E7E">
            <w:pPr>
              <w:rPr>
                <w:bCs/>
                <w:szCs w:val="22"/>
                <w:lang w:val="de-DE"/>
              </w:rPr>
            </w:pPr>
            <w:r w:rsidRPr="00BC0E7E">
              <w:rPr>
                <w:bCs/>
                <w:szCs w:val="22"/>
                <w:lang w:val="de-DE"/>
              </w:rPr>
              <w:t>Tel: +420 233 098 111</w:t>
            </w:r>
          </w:p>
          <w:p w14:paraId="6D64E89D" w14:textId="77777777" w:rsidR="009941B2" w:rsidRPr="00BC0E7E" w:rsidRDefault="009941B2" w:rsidP="00BC0E7E">
            <w:pPr>
              <w:rPr>
                <w:bCs/>
                <w:szCs w:val="22"/>
                <w:lang w:val="de-DE"/>
              </w:rPr>
            </w:pPr>
          </w:p>
        </w:tc>
        <w:tc>
          <w:tcPr>
            <w:tcW w:w="4678" w:type="dxa"/>
          </w:tcPr>
          <w:p w14:paraId="533CC8DE" w14:textId="77777777" w:rsidR="00BC0E7E" w:rsidRPr="00BC0E7E" w:rsidRDefault="00944B8F" w:rsidP="00BC0E7E">
            <w:pPr>
              <w:rPr>
                <w:b/>
                <w:bCs/>
                <w:szCs w:val="22"/>
                <w:lang w:val="hu-HU"/>
              </w:rPr>
            </w:pPr>
            <w:r w:rsidRPr="00BC0E7E">
              <w:rPr>
                <w:b/>
                <w:bCs/>
                <w:szCs w:val="22"/>
                <w:lang w:val="hu-HU"/>
              </w:rPr>
              <w:t>Magyarország</w:t>
            </w:r>
          </w:p>
          <w:p w14:paraId="5DF2D3F9" w14:textId="77777777" w:rsidR="00BC0E7E" w:rsidRPr="00BC0E7E" w:rsidRDefault="00944B8F" w:rsidP="00BC0E7E">
            <w:pPr>
              <w:rPr>
                <w:bCs/>
                <w:szCs w:val="22"/>
                <w:lang w:val="hu-HU"/>
              </w:rPr>
            </w:pPr>
            <w:r w:rsidRPr="00BC0E7E">
              <w:rPr>
                <w:bCs/>
                <w:szCs w:val="22"/>
                <w:lang w:val="hu-HU"/>
              </w:rPr>
              <w:t>AbbVie Kft.</w:t>
            </w:r>
          </w:p>
          <w:p w14:paraId="47BAE3CE" w14:textId="77777777" w:rsidR="00BC0E7E" w:rsidRPr="00BC0E7E" w:rsidRDefault="00944B8F" w:rsidP="00BC0E7E">
            <w:pPr>
              <w:tabs>
                <w:tab w:val="left" w:pos="2380"/>
              </w:tabs>
              <w:rPr>
                <w:bCs/>
                <w:szCs w:val="22"/>
                <w:lang w:val="hu-HU"/>
              </w:rPr>
            </w:pPr>
            <w:r w:rsidRPr="00BC0E7E">
              <w:rPr>
                <w:bCs/>
                <w:szCs w:val="22"/>
                <w:lang w:val="hu-HU"/>
              </w:rPr>
              <w:t>Tel.:+36 1 455 8600</w:t>
            </w:r>
          </w:p>
        </w:tc>
      </w:tr>
      <w:tr w:rsidR="00C6578C" w14:paraId="2A339EF4" w14:textId="77777777" w:rsidTr="00171601">
        <w:trPr>
          <w:gridBefore w:val="1"/>
          <w:wBefore w:w="34" w:type="dxa"/>
          <w:trHeight w:val="733"/>
        </w:trPr>
        <w:tc>
          <w:tcPr>
            <w:tcW w:w="4644" w:type="dxa"/>
          </w:tcPr>
          <w:p w14:paraId="1DAC288B" w14:textId="77777777" w:rsidR="00BC0E7E" w:rsidRPr="00BC0E7E" w:rsidRDefault="00944B8F" w:rsidP="00BC0E7E">
            <w:pPr>
              <w:rPr>
                <w:b/>
                <w:bCs/>
                <w:szCs w:val="22"/>
              </w:rPr>
            </w:pPr>
            <w:r w:rsidRPr="00BC0E7E">
              <w:rPr>
                <w:b/>
                <w:bCs/>
                <w:szCs w:val="22"/>
              </w:rPr>
              <w:t>Danmark</w:t>
            </w:r>
          </w:p>
          <w:p w14:paraId="709C142A" w14:textId="77777777" w:rsidR="00BC0E7E" w:rsidRPr="00BC0E7E" w:rsidRDefault="00944B8F" w:rsidP="00BC0E7E">
            <w:pPr>
              <w:rPr>
                <w:bCs/>
                <w:szCs w:val="22"/>
              </w:rPr>
            </w:pPr>
            <w:r w:rsidRPr="00BC0E7E">
              <w:rPr>
                <w:bCs/>
                <w:szCs w:val="22"/>
              </w:rPr>
              <w:t>AbbVie A/S</w:t>
            </w:r>
          </w:p>
          <w:p w14:paraId="2EBE8DE3" w14:textId="77777777" w:rsidR="00BC0E7E" w:rsidRDefault="00944B8F" w:rsidP="00BC0E7E">
            <w:pPr>
              <w:rPr>
                <w:bCs/>
                <w:szCs w:val="22"/>
              </w:rPr>
            </w:pPr>
            <w:r w:rsidRPr="00BC0E7E">
              <w:rPr>
                <w:bCs/>
                <w:szCs w:val="22"/>
              </w:rPr>
              <w:t>Tlf</w:t>
            </w:r>
            <w:ins w:id="13732" w:author="AbbVie19" w:date="2025-05-06T09:50:00Z">
              <w:r w:rsidR="0000567B">
                <w:rPr>
                  <w:bCs/>
                  <w:szCs w:val="22"/>
                </w:rPr>
                <w:t>.</w:t>
              </w:r>
            </w:ins>
            <w:r w:rsidRPr="00BC0E7E">
              <w:rPr>
                <w:bCs/>
                <w:szCs w:val="22"/>
              </w:rPr>
              <w:t>: +45 72 30-20-28</w:t>
            </w:r>
          </w:p>
          <w:p w14:paraId="5F561667" w14:textId="77777777" w:rsidR="009941B2" w:rsidRPr="00BC0E7E" w:rsidRDefault="009941B2" w:rsidP="00BC0E7E">
            <w:pPr>
              <w:rPr>
                <w:bCs/>
                <w:szCs w:val="22"/>
              </w:rPr>
            </w:pPr>
          </w:p>
        </w:tc>
        <w:tc>
          <w:tcPr>
            <w:tcW w:w="4678" w:type="dxa"/>
          </w:tcPr>
          <w:p w14:paraId="04A65E90" w14:textId="77777777" w:rsidR="00BC0E7E" w:rsidRPr="00BC0E7E" w:rsidRDefault="00944B8F" w:rsidP="00BC0E7E">
            <w:pPr>
              <w:rPr>
                <w:b/>
                <w:bCs/>
                <w:szCs w:val="22"/>
                <w:lang w:val="mt-MT"/>
              </w:rPr>
            </w:pPr>
            <w:r w:rsidRPr="00BC0E7E">
              <w:rPr>
                <w:b/>
                <w:bCs/>
                <w:szCs w:val="22"/>
                <w:lang w:val="mt-MT"/>
              </w:rPr>
              <w:t>Malta</w:t>
            </w:r>
          </w:p>
          <w:p w14:paraId="7D86786D" w14:textId="77777777" w:rsidR="00BC0E7E" w:rsidRPr="00BC0E7E" w:rsidRDefault="00944B8F" w:rsidP="00BC0E7E">
            <w:pPr>
              <w:rPr>
                <w:bCs/>
                <w:szCs w:val="22"/>
                <w:lang w:val="sv-SE"/>
              </w:rPr>
            </w:pPr>
            <w:r w:rsidRPr="00BC0E7E">
              <w:rPr>
                <w:bCs/>
                <w:szCs w:val="22"/>
                <w:lang w:val="sv-SE"/>
              </w:rPr>
              <w:t xml:space="preserve">V.J.Salomone Pharma Limited </w:t>
            </w:r>
          </w:p>
          <w:p w14:paraId="2AC6DDB1" w14:textId="77777777" w:rsidR="00BC0E7E" w:rsidRPr="00BC0E7E" w:rsidRDefault="00944B8F" w:rsidP="00BC0E7E">
            <w:pPr>
              <w:rPr>
                <w:bCs/>
                <w:szCs w:val="22"/>
              </w:rPr>
            </w:pPr>
            <w:r w:rsidRPr="00BC0E7E">
              <w:rPr>
                <w:bCs/>
                <w:szCs w:val="22"/>
              </w:rPr>
              <w:t xml:space="preserve">Tel: </w:t>
            </w:r>
            <w:r w:rsidR="00B745CF">
              <w:rPr>
                <w:bCs/>
                <w:szCs w:val="22"/>
              </w:rPr>
              <w:t>+356 21220174</w:t>
            </w:r>
          </w:p>
        </w:tc>
      </w:tr>
      <w:tr w:rsidR="00C6578C" w:rsidRPr="00173B45" w14:paraId="132B0AC0" w14:textId="77777777" w:rsidTr="00171601">
        <w:trPr>
          <w:gridBefore w:val="1"/>
          <w:wBefore w:w="34" w:type="dxa"/>
        </w:trPr>
        <w:tc>
          <w:tcPr>
            <w:tcW w:w="4644" w:type="dxa"/>
          </w:tcPr>
          <w:p w14:paraId="1965AD57" w14:textId="77777777" w:rsidR="00BC0E7E" w:rsidRPr="00BC0E7E" w:rsidRDefault="00944B8F" w:rsidP="009941B2">
            <w:pPr>
              <w:keepNext/>
              <w:rPr>
                <w:b/>
                <w:bCs/>
                <w:szCs w:val="22"/>
                <w:lang w:val="de-DE"/>
              </w:rPr>
            </w:pPr>
            <w:r w:rsidRPr="00BC0E7E">
              <w:rPr>
                <w:b/>
                <w:bCs/>
                <w:szCs w:val="22"/>
                <w:lang w:val="de-DE"/>
              </w:rPr>
              <w:lastRenderedPageBreak/>
              <w:t>Deutschland</w:t>
            </w:r>
          </w:p>
          <w:p w14:paraId="6CB7AD02" w14:textId="77777777" w:rsidR="00BC0E7E" w:rsidRPr="00BC0E7E" w:rsidRDefault="00944B8F" w:rsidP="009941B2">
            <w:pPr>
              <w:keepNext/>
              <w:rPr>
                <w:bCs/>
                <w:szCs w:val="22"/>
                <w:lang w:val="de-DE"/>
              </w:rPr>
            </w:pPr>
            <w:r w:rsidRPr="00BC0E7E">
              <w:rPr>
                <w:szCs w:val="22"/>
                <w:lang w:val="de-DE"/>
              </w:rPr>
              <w:t xml:space="preserve">AbbVie Deutschland </w:t>
            </w:r>
            <w:r w:rsidRPr="00BC0E7E">
              <w:rPr>
                <w:bCs/>
                <w:szCs w:val="22"/>
                <w:lang w:val="de-DE"/>
              </w:rPr>
              <w:t>GmbH &amp; Co. KG</w:t>
            </w:r>
          </w:p>
          <w:p w14:paraId="5D750DBA" w14:textId="77777777" w:rsidR="00BC0E7E" w:rsidRPr="00BC0E7E" w:rsidRDefault="00944B8F" w:rsidP="009941B2">
            <w:pPr>
              <w:keepNext/>
              <w:rPr>
                <w:szCs w:val="22"/>
                <w:lang w:val="de-DE"/>
              </w:rPr>
            </w:pPr>
            <w:r w:rsidRPr="00BC0E7E">
              <w:rPr>
                <w:szCs w:val="22"/>
                <w:lang w:val="de-DE"/>
              </w:rPr>
              <w:t>Tel: 00800 222843 33 (gebührenfrei)</w:t>
            </w:r>
          </w:p>
          <w:p w14:paraId="6E9C76E7" w14:textId="77777777" w:rsidR="00BC0E7E" w:rsidRDefault="00944B8F" w:rsidP="009941B2">
            <w:pPr>
              <w:keepNext/>
              <w:rPr>
                <w:szCs w:val="22"/>
                <w:lang w:val="de-DE"/>
              </w:rPr>
            </w:pPr>
            <w:r w:rsidRPr="00BC0E7E">
              <w:rPr>
                <w:szCs w:val="22"/>
                <w:lang w:val="de-DE"/>
              </w:rPr>
              <w:t>Tel: +49 (0) 611 / 1720-0</w:t>
            </w:r>
          </w:p>
          <w:p w14:paraId="038A7010" w14:textId="77777777" w:rsidR="009941B2" w:rsidRPr="00BC0E7E" w:rsidRDefault="009941B2" w:rsidP="009941B2">
            <w:pPr>
              <w:keepNext/>
              <w:rPr>
                <w:szCs w:val="22"/>
                <w:lang w:val="de-DE"/>
              </w:rPr>
            </w:pPr>
          </w:p>
        </w:tc>
        <w:tc>
          <w:tcPr>
            <w:tcW w:w="4678" w:type="dxa"/>
          </w:tcPr>
          <w:p w14:paraId="70F9B7E7" w14:textId="77777777" w:rsidR="00BC0E7E" w:rsidRPr="00BC0E7E" w:rsidRDefault="00944B8F" w:rsidP="009941B2">
            <w:pPr>
              <w:keepNext/>
              <w:rPr>
                <w:b/>
                <w:bCs/>
                <w:szCs w:val="22"/>
                <w:lang w:val="nl-NL"/>
              </w:rPr>
            </w:pPr>
            <w:r w:rsidRPr="00BC0E7E">
              <w:rPr>
                <w:b/>
                <w:bCs/>
                <w:szCs w:val="22"/>
                <w:lang w:val="nl-NL"/>
              </w:rPr>
              <w:t>Nederland</w:t>
            </w:r>
          </w:p>
          <w:p w14:paraId="37110B8F" w14:textId="77777777" w:rsidR="00BC0E7E" w:rsidRPr="00BC0E7E" w:rsidRDefault="00944B8F" w:rsidP="009941B2">
            <w:pPr>
              <w:keepNext/>
              <w:rPr>
                <w:bCs/>
                <w:szCs w:val="22"/>
                <w:lang w:val="de-DE"/>
              </w:rPr>
            </w:pPr>
            <w:r w:rsidRPr="00BC0E7E">
              <w:rPr>
                <w:bCs/>
                <w:szCs w:val="22"/>
                <w:lang w:val="de-DE"/>
              </w:rPr>
              <w:t>AbbVie B.V.</w:t>
            </w:r>
          </w:p>
          <w:p w14:paraId="23F5437E" w14:textId="77777777" w:rsidR="00BC0E7E" w:rsidRPr="00BC0E7E" w:rsidRDefault="00944B8F" w:rsidP="009941B2">
            <w:pPr>
              <w:keepNext/>
              <w:rPr>
                <w:bCs/>
                <w:szCs w:val="22"/>
                <w:lang w:val="de-DE"/>
              </w:rPr>
            </w:pPr>
            <w:r w:rsidRPr="00BC0E7E">
              <w:rPr>
                <w:bCs/>
                <w:szCs w:val="22"/>
                <w:lang w:val="de-DE"/>
              </w:rPr>
              <w:t>Tel:  +31 (0)88 322 2843</w:t>
            </w:r>
          </w:p>
        </w:tc>
      </w:tr>
      <w:tr w:rsidR="00C6578C" w14:paraId="5150B064" w14:textId="77777777" w:rsidTr="00171601">
        <w:trPr>
          <w:gridBefore w:val="1"/>
          <w:wBefore w:w="34" w:type="dxa"/>
        </w:trPr>
        <w:tc>
          <w:tcPr>
            <w:tcW w:w="4644" w:type="dxa"/>
          </w:tcPr>
          <w:p w14:paraId="75481049" w14:textId="77777777" w:rsidR="00BC0E7E" w:rsidRPr="00BC0E7E" w:rsidRDefault="00944B8F" w:rsidP="00BC0E7E">
            <w:pPr>
              <w:keepNext/>
              <w:rPr>
                <w:b/>
                <w:bCs/>
                <w:szCs w:val="22"/>
                <w:lang w:val="et-EE"/>
              </w:rPr>
            </w:pPr>
            <w:r w:rsidRPr="00BC0E7E">
              <w:rPr>
                <w:b/>
                <w:bCs/>
                <w:szCs w:val="22"/>
                <w:lang w:val="et-EE"/>
              </w:rPr>
              <w:t>Eesti</w:t>
            </w:r>
          </w:p>
          <w:p w14:paraId="68A5A49F" w14:textId="77777777" w:rsidR="001B6F9C" w:rsidRPr="00BC0E7E" w:rsidRDefault="00944B8F" w:rsidP="00593447">
            <w:pPr>
              <w:keepNext/>
              <w:rPr>
                <w:bCs/>
                <w:szCs w:val="22"/>
                <w:lang w:val="et-EE"/>
              </w:rPr>
            </w:pPr>
            <w:bookmarkStart w:id="13733" w:name="_Hlk63322177"/>
            <w:r w:rsidRPr="00BC0E7E">
              <w:rPr>
                <w:bCs/>
                <w:szCs w:val="22"/>
                <w:lang w:val="et-EE"/>
              </w:rPr>
              <w:t xml:space="preserve">AbbVie </w:t>
            </w:r>
            <w:r w:rsidR="00593447" w:rsidRPr="00F66039">
              <w:rPr>
                <w:bCs/>
                <w:szCs w:val="22"/>
              </w:rPr>
              <w:t>OÜ</w:t>
            </w:r>
            <w:bookmarkEnd w:id="13733"/>
          </w:p>
          <w:p w14:paraId="35A95B61" w14:textId="77777777" w:rsidR="00BC0E7E" w:rsidRDefault="00944B8F" w:rsidP="00BC0E7E">
            <w:pPr>
              <w:keepNext/>
              <w:rPr>
                <w:bCs/>
                <w:szCs w:val="22"/>
                <w:lang w:val="et-EE"/>
              </w:rPr>
            </w:pPr>
            <w:r w:rsidRPr="00BC0E7E">
              <w:rPr>
                <w:bCs/>
                <w:szCs w:val="22"/>
                <w:lang w:val="et-EE"/>
              </w:rPr>
              <w:t>Tel: +372 623 1011</w:t>
            </w:r>
          </w:p>
          <w:p w14:paraId="3D235621" w14:textId="77777777" w:rsidR="009941B2" w:rsidRPr="00BC0E7E" w:rsidRDefault="009941B2" w:rsidP="00BC0E7E">
            <w:pPr>
              <w:keepNext/>
              <w:rPr>
                <w:bCs/>
                <w:szCs w:val="22"/>
                <w:lang w:val="lv-LV"/>
              </w:rPr>
            </w:pPr>
          </w:p>
        </w:tc>
        <w:tc>
          <w:tcPr>
            <w:tcW w:w="4678" w:type="dxa"/>
          </w:tcPr>
          <w:p w14:paraId="0FAC0B2E" w14:textId="77777777" w:rsidR="00BC0E7E" w:rsidRPr="00BC0E7E" w:rsidRDefault="00944B8F" w:rsidP="00BC0E7E">
            <w:pPr>
              <w:keepNext/>
              <w:rPr>
                <w:b/>
                <w:bCs/>
                <w:szCs w:val="22"/>
                <w:lang w:val="nb-NO"/>
              </w:rPr>
            </w:pPr>
            <w:r w:rsidRPr="00BC0E7E">
              <w:rPr>
                <w:b/>
                <w:bCs/>
                <w:szCs w:val="22"/>
                <w:lang w:val="nb-NO"/>
              </w:rPr>
              <w:t>Norge</w:t>
            </w:r>
          </w:p>
          <w:p w14:paraId="5635995C" w14:textId="77777777" w:rsidR="00BC0E7E" w:rsidRPr="00BC0E7E" w:rsidRDefault="00944B8F" w:rsidP="00BC0E7E">
            <w:pPr>
              <w:keepNext/>
              <w:rPr>
                <w:bCs/>
                <w:szCs w:val="22"/>
              </w:rPr>
            </w:pPr>
            <w:r w:rsidRPr="00BC0E7E">
              <w:rPr>
                <w:bCs/>
                <w:szCs w:val="22"/>
              </w:rPr>
              <w:t>AbbVie AS</w:t>
            </w:r>
          </w:p>
          <w:p w14:paraId="61493A5B" w14:textId="77777777" w:rsidR="00BC0E7E" w:rsidRPr="00BC0E7E" w:rsidRDefault="00944B8F" w:rsidP="00BC0E7E">
            <w:pPr>
              <w:keepNext/>
              <w:rPr>
                <w:bCs/>
                <w:szCs w:val="22"/>
              </w:rPr>
            </w:pPr>
            <w:r w:rsidRPr="00BC0E7E">
              <w:rPr>
                <w:bCs/>
                <w:szCs w:val="22"/>
              </w:rPr>
              <w:t>Tlf: +47 67 81 80 00</w:t>
            </w:r>
          </w:p>
        </w:tc>
      </w:tr>
      <w:tr w:rsidR="00C6578C" w14:paraId="3B03D0E7" w14:textId="77777777" w:rsidTr="00171601">
        <w:trPr>
          <w:gridBefore w:val="1"/>
          <w:wBefore w:w="34" w:type="dxa"/>
          <w:trHeight w:val="896"/>
        </w:trPr>
        <w:tc>
          <w:tcPr>
            <w:tcW w:w="4644" w:type="dxa"/>
          </w:tcPr>
          <w:p w14:paraId="1F8BC56C" w14:textId="77777777" w:rsidR="00BC0E7E" w:rsidRPr="00BC0E7E" w:rsidRDefault="00944B8F" w:rsidP="00BC0E7E">
            <w:pPr>
              <w:rPr>
                <w:b/>
                <w:bCs/>
                <w:szCs w:val="22"/>
                <w:lang w:val="el-GR"/>
              </w:rPr>
            </w:pPr>
            <w:r w:rsidRPr="00BC0E7E">
              <w:rPr>
                <w:b/>
                <w:bCs/>
                <w:szCs w:val="22"/>
                <w:lang w:val="el-GR"/>
              </w:rPr>
              <w:t>Ελλάδα</w:t>
            </w:r>
          </w:p>
          <w:p w14:paraId="50217296" w14:textId="77777777" w:rsidR="00BC0E7E" w:rsidRPr="00BC0E7E" w:rsidRDefault="00944B8F" w:rsidP="00BC0E7E">
            <w:pPr>
              <w:rPr>
                <w:bCs/>
                <w:szCs w:val="22"/>
                <w:lang w:val="el-GR"/>
              </w:rPr>
            </w:pPr>
            <w:r w:rsidRPr="00BC0E7E">
              <w:rPr>
                <w:bCs/>
                <w:szCs w:val="22"/>
                <w:lang w:val="et-EE"/>
              </w:rPr>
              <w:t xml:space="preserve">AbbVie </w:t>
            </w:r>
            <w:r w:rsidRPr="00BC0E7E">
              <w:rPr>
                <w:szCs w:val="22"/>
                <w:lang w:val="el-GR"/>
              </w:rPr>
              <w:t>ΦΑΡΜΑΚΕΥΤΙΚΗ Α.Ε.</w:t>
            </w:r>
          </w:p>
          <w:p w14:paraId="2E35C0BB" w14:textId="77777777" w:rsidR="00BC0E7E" w:rsidRPr="00BC0E7E" w:rsidRDefault="00944B8F" w:rsidP="00BC0E7E">
            <w:pPr>
              <w:rPr>
                <w:bCs/>
                <w:szCs w:val="22"/>
              </w:rPr>
            </w:pPr>
            <w:r w:rsidRPr="00BC0E7E">
              <w:rPr>
                <w:bCs/>
                <w:szCs w:val="22"/>
                <w:lang w:val="el-GR"/>
              </w:rPr>
              <w:t xml:space="preserve">Τηλ: +30 </w:t>
            </w:r>
            <w:r w:rsidRPr="00BC0E7E">
              <w:rPr>
                <w:bCs/>
                <w:szCs w:val="22"/>
              </w:rPr>
              <w:t>214 4165 555</w:t>
            </w:r>
          </w:p>
        </w:tc>
        <w:tc>
          <w:tcPr>
            <w:tcW w:w="4678" w:type="dxa"/>
          </w:tcPr>
          <w:p w14:paraId="5F2F9069" w14:textId="77777777" w:rsidR="00BC0E7E" w:rsidRPr="00BC0E7E" w:rsidRDefault="00944B8F" w:rsidP="00BC0E7E">
            <w:pPr>
              <w:rPr>
                <w:b/>
                <w:bCs/>
                <w:szCs w:val="22"/>
                <w:lang w:val="de-DE"/>
              </w:rPr>
            </w:pPr>
            <w:r w:rsidRPr="00BC0E7E">
              <w:rPr>
                <w:b/>
                <w:bCs/>
                <w:szCs w:val="22"/>
                <w:lang w:val="de-DE"/>
              </w:rPr>
              <w:t>Österreich</w:t>
            </w:r>
          </w:p>
          <w:p w14:paraId="3EC3FB1D" w14:textId="77777777" w:rsidR="00BC0E7E" w:rsidRPr="00BC0E7E" w:rsidRDefault="00944B8F" w:rsidP="00BC0E7E">
            <w:pPr>
              <w:rPr>
                <w:bCs/>
                <w:szCs w:val="22"/>
                <w:lang w:val="de-DE"/>
              </w:rPr>
            </w:pPr>
            <w:r w:rsidRPr="00BC0E7E">
              <w:rPr>
                <w:bCs/>
                <w:szCs w:val="22"/>
                <w:lang w:val="de-DE"/>
              </w:rPr>
              <w:t xml:space="preserve">AbbVie GmbH </w:t>
            </w:r>
          </w:p>
          <w:p w14:paraId="7F8561BF" w14:textId="77777777" w:rsidR="00BC0E7E" w:rsidRPr="00BC0E7E" w:rsidRDefault="00944B8F" w:rsidP="00BC0E7E">
            <w:pPr>
              <w:rPr>
                <w:bCs/>
                <w:szCs w:val="22"/>
                <w:lang w:val="de-DE"/>
              </w:rPr>
            </w:pPr>
            <w:r w:rsidRPr="00BC0E7E">
              <w:rPr>
                <w:bCs/>
                <w:szCs w:val="22"/>
                <w:lang w:val="de-DE"/>
              </w:rPr>
              <w:t>Tel: +43 1 20589-0</w:t>
            </w:r>
          </w:p>
        </w:tc>
      </w:tr>
      <w:tr w:rsidR="00C6578C" w14:paraId="398A8BDA" w14:textId="77777777" w:rsidTr="00171601">
        <w:trPr>
          <w:gridBefore w:val="1"/>
          <w:wBefore w:w="34" w:type="dxa"/>
        </w:trPr>
        <w:tc>
          <w:tcPr>
            <w:tcW w:w="4644" w:type="dxa"/>
          </w:tcPr>
          <w:p w14:paraId="1C71F2C8" w14:textId="77777777" w:rsidR="00BC0E7E" w:rsidRPr="00BC0E7E" w:rsidRDefault="00944B8F" w:rsidP="00BC0E7E">
            <w:pPr>
              <w:rPr>
                <w:b/>
                <w:bCs/>
                <w:szCs w:val="22"/>
                <w:lang w:val="es-ES"/>
              </w:rPr>
            </w:pPr>
            <w:r w:rsidRPr="00BC0E7E">
              <w:rPr>
                <w:b/>
                <w:bCs/>
                <w:szCs w:val="22"/>
                <w:lang w:val="es-ES"/>
              </w:rPr>
              <w:t>España</w:t>
            </w:r>
          </w:p>
          <w:p w14:paraId="5A7B935C" w14:textId="77777777" w:rsidR="00BC0E7E" w:rsidRPr="00433FAD" w:rsidRDefault="00944B8F" w:rsidP="00BC0E7E">
            <w:pPr>
              <w:rPr>
                <w:szCs w:val="22"/>
                <w:lang w:val="es-MX"/>
              </w:rPr>
            </w:pPr>
            <w:r w:rsidRPr="00433FAD">
              <w:rPr>
                <w:bCs/>
                <w:szCs w:val="22"/>
                <w:lang w:val="es-MX"/>
              </w:rPr>
              <w:t>AbbVie Spain, S.L.U.</w:t>
            </w:r>
          </w:p>
          <w:p w14:paraId="51D10CCF" w14:textId="77777777" w:rsidR="00BC0E7E" w:rsidRDefault="00944B8F" w:rsidP="00BC0E7E">
            <w:pPr>
              <w:rPr>
                <w:bCs/>
                <w:szCs w:val="22"/>
                <w:lang w:val="pt-PT"/>
              </w:rPr>
            </w:pPr>
            <w:r w:rsidRPr="00BC0E7E">
              <w:rPr>
                <w:bCs/>
                <w:szCs w:val="22"/>
                <w:lang w:val="pt-PT"/>
              </w:rPr>
              <w:t>Tel:  +34 91 384 09 10</w:t>
            </w:r>
          </w:p>
          <w:p w14:paraId="5BE5399D" w14:textId="77777777" w:rsidR="009941B2" w:rsidRPr="00BC0E7E" w:rsidRDefault="009941B2" w:rsidP="00BC0E7E">
            <w:pPr>
              <w:rPr>
                <w:bCs/>
                <w:szCs w:val="22"/>
                <w:lang w:val="pl-PL"/>
              </w:rPr>
            </w:pPr>
          </w:p>
        </w:tc>
        <w:tc>
          <w:tcPr>
            <w:tcW w:w="4678" w:type="dxa"/>
          </w:tcPr>
          <w:p w14:paraId="03E022C4" w14:textId="77777777" w:rsidR="00BC0E7E" w:rsidRPr="00BC0E7E" w:rsidRDefault="00944B8F" w:rsidP="00BC0E7E">
            <w:pPr>
              <w:rPr>
                <w:b/>
                <w:bCs/>
                <w:iCs/>
                <w:szCs w:val="22"/>
                <w:lang w:val="pl-PL"/>
              </w:rPr>
            </w:pPr>
            <w:r w:rsidRPr="00BC0E7E">
              <w:rPr>
                <w:b/>
                <w:bCs/>
                <w:iCs/>
                <w:szCs w:val="22"/>
                <w:lang w:val="pl-PL"/>
              </w:rPr>
              <w:t>Polska</w:t>
            </w:r>
          </w:p>
          <w:p w14:paraId="48A26DCD" w14:textId="77777777" w:rsidR="00BC0E7E" w:rsidRPr="00BC0E7E" w:rsidRDefault="00944B8F" w:rsidP="00BC0E7E">
            <w:pPr>
              <w:rPr>
                <w:bCs/>
                <w:szCs w:val="22"/>
                <w:lang w:val="pl-PL"/>
              </w:rPr>
            </w:pPr>
            <w:r w:rsidRPr="00BC0E7E">
              <w:rPr>
                <w:bCs/>
                <w:szCs w:val="22"/>
                <w:lang w:val="pl-PL"/>
              </w:rPr>
              <w:t>AbbVie Sp. z o.o.</w:t>
            </w:r>
          </w:p>
          <w:p w14:paraId="1A5B3EF2" w14:textId="77777777" w:rsidR="00BC0E7E" w:rsidRPr="00BC0E7E" w:rsidRDefault="00944B8F" w:rsidP="00BC0E7E">
            <w:pPr>
              <w:tabs>
                <w:tab w:val="center" w:pos="4536"/>
                <w:tab w:val="center" w:pos="8930"/>
              </w:tabs>
              <w:rPr>
                <w:bCs/>
                <w:szCs w:val="22"/>
                <w:lang w:val="pl-PL"/>
              </w:rPr>
            </w:pPr>
            <w:r w:rsidRPr="00BC0E7E">
              <w:rPr>
                <w:szCs w:val="22"/>
                <w:lang w:val="es-ES"/>
              </w:rPr>
              <w:t xml:space="preserve">Tel.: +48 22 </w:t>
            </w:r>
            <w:r w:rsidRPr="00BC0E7E">
              <w:rPr>
                <w:bCs/>
                <w:szCs w:val="22"/>
                <w:lang w:val="pl-PL"/>
              </w:rPr>
              <w:t xml:space="preserve">372 78 00 </w:t>
            </w:r>
          </w:p>
        </w:tc>
      </w:tr>
      <w:tr w:rsidR="00C6578C" w14:paraId="09BD3F60" w14:textId="77777777" w:rsidTr="00171601">
        <w:trPr>
          <w:trHeight w:val="722"/>
        </w:trPr>
        <w:tc>
          <w:tcPr>
            <w:tcW w:w="4678" w:type="dxa"/>
            <w:gridSpan w:val="2"/>
          </w:tcPr>
          <w:p w14:paraId="1323FE0B" w14:textId="77777777" w:rsidR="00BC0E7E" w:rsidRPr="00BC0E7E" w:rsidRDefault="00944B8F" w:rsidP="00BC0E7E">
            <w:pPr>
              <w:ind w:firstLine="34"/>
              <w:rPr>
                <w:b/>
                <w:bCs/>
                <w:szCs w:val="22"/>
                <w:lang w:val="fr-FR"/>
              </w:rPr>
            </w:pPr>
            <w:r w:rsidRPr="00BC0E7E">
              <w:rPr>
                <w:b/>
                <w:bCs/>
                <w:szCs w:val="22"/>
                <w:lang w:val="fr-FR"/>
              </w:rPr>
              <w:t>France</w:t>
            </w:r>
          </w:p>
          <w:p w14:paraId="66D5A949" w14:textId="77777777" w:rsidR="00BC0E7E" w:rsidRPr="00BC0E7E" w:rsidRDefault="00944B8F" w:rsidP="00BC0E7E">
            <w:pPr>
              <w:ind w:firstLine="34"/>
              <w:rPr>
                <w:bCs/>
                <w:szCs w:val="22"/>
                <w:lang w:val="fr-FR"/>
              </w:rPr>
            </w:pPr>
            <w:r w:rsidRPr="00BC0E7E">
              <w:rPr>
                <w:bCs/>
                <w:szCs w:val="22"/>
                <w:lang w:val="fr-FR"/>
              </w:rPr>
              <w:t>AbbVie</w:t>
            </w:r>
          </w:p>
          <w:p w14:paraId="2DCC45B0" w14:textId="77777777" w:rsidR="00BC0E7E" w:rsidRDefault="00944B8F" w:rsidP="00BC0E7E">
            <w:pPr>
              <w:ind w:firstLine="34"/>
              <w:rPr>
                <w:bCs/>
                <w:szCs w:val="22"/>
                <w:lang w:val="fr-FR"/>
              </w:rPr>
            </w:pPr>
            <w:r w:rsidRPr="00BC0E7E">
              <w:rPr>
                <w:bCs/>
                <w:szCs w:val="22"/>
                <w:lang w:val="fr-FR"/>
              </w:rPr>
              <w:t>Tél: +33 (0) 1 45 60 13 00</w:t>
            </w:r>
          </w:p>
          <w:p w14:paraId="109A478F" w14:textId="77777777" w:rsidR="009941B2" w:rsidRPr="00BC0E7E" w:rsidRDefault="009941B2" w:rsidP="00BC0E7E">
            <w:pPr>
              <w:ind w:firstLine="34"/>
              <w:rPr>
                <w:bCs/>
                <w:szCs w:val="22"/>
                <w:lang w:val="fr-FR"/>
              </w:rPr>
            </w:pPr>
          </w:p>
        </w:tc>
        <w:tc>
          <w:tcPr>
            <w:tcW w:w="4678" w:type="dxa"/>
          </w:tcPr>
          <w:p w14:paraId="09B7EB88" w14:textId="77777777" w:rsidR="00BC0E7E" w:rsidRPr="00BC0E7E" w:rsidRDefault="00944B8F" w:rsidP="00BC0E7E">
            <w:pPr>
              <w:rPr>
                <w:b/>
                <w:bCs/>
                <w:szCs w:val="22"/>
                <w:lang w:val="pt-PT"/>
              </w:rPr>
            </w:pPr>
            <w:r w:rsidRPr="00BC0E7E">
              <w:rPr>
                <w:b/>
                <w:bCs/>
                <w:szCs w:val="22"/>
                <w:lang w:val="pt-PT"/>
              </w:rPr>
              <w:t>Portugal</w:t>
            </w:r>
          </w:p>
          <w:p w14:paraId="6FD364D2" w14:textId="77777777" w:rsidR="00BC0E7E" w:rsidRPr="00BC0E7E" w:rsidRDefault="00944B8F" w:rsidP="00BC0E7E">
            <w:pPr>
              <w:tabs>
                <w:tab w:val="center" w:pos="4536"/>
                <w:tab w:val="center" w:pos="8930"/>
              </w:tabs>
              <w:rPr>
                <w:bCs/>
                <w:szCs w:val="22"/>
                <w:lang w:val="fr-FR"/>
              </w:rPr>
            </w:pPr>
            <w:r w:rsidRPr="00BC0E7E">
              <w:rPr>
                <w:bCs/>
                <w:szCs w:val="22"/>
                <w:lang w:val="fr-FR"/>
              </w:rPr>
              <w:t xml:space="preserve">AbbVie, Lda. </w:t>
            </w:r>
          </w:p>
          <w:p w14:paraId="1BCFB0C5" w14:textId="77777777" w:rsidR="00BC0E7E" w:rsidRPr="00BC0E7E" w:rsidRDefault="00944B8F" w:rsidP="00BC0E7E">
            <w:pPr>
              <w:tabs>
                <w:tab w:val="center" w:pos="4536"/>
                <w:tab w:val="center" w:pos="8930"/>
              </w:tabs>
              <w:rPr>
                <w:szCs w:val="22"/>
                <w:lang w:val="fr-FR"/>
              </w:rPr>
            </w:pPr>
            <w:r w:rsidRPr="00BC0E7E">
              <w:rPr>
                <w:szCs w:val="22"/>
                <w:lang w:val="fr-FR"/>
              </w:rPr>
              <w:t>Tel: +351 (0)21 1908400</w:t>
            </w:r>
          </w:p>
        </w:tc>
      </w:tr>
      <w:tr w:rsidR="00C6578C" w14:paraId="21E5AC4D" w14:textId="77777777" w:rsidTr="00171601">
        <w:trPr>
          <w:trHeight w:val="743"/>
        </w:trPr>
        <w:tc>
          <w:tcPr>
            <w:tcW w:w="4678" w:type="dxa"/>
            <w:gridSpan w:val="2"/>
          </w:tcPr>
          <w:p w14:paraId="3C34F621" w14:textId="77777777" w:rsidR="00BC0E7E" w:rsidRPr="00BC0E7E" w:rsidRDefault="00944B8F" w:rsidP="00BC0E7E">
            <w:pPr>
              <w:tabs>
                <w:tab w:val="clear" w:pos="562"/>
              </w:tabs>
              <w:suppressAutoHyphens w:val="0"/>
              <w:autoSpaceDE w:val="0"/>
              <w:autoSpaceDN w:val="0"/>
              <w:adjustRightInd w:val="0"/>
              <w:ind w:firstLine="34"/>
              <w:rPr>
                <w:rFonts w:eastAsia="MS Mincho"/>
                <w:szCs w:val="22"/>
                <w:lang w:val="pt-PT" w:eastAsia="ja-JP"/>
              </w:rPr>
            </w:pPr>
            <w:r w:rsidRPr="00BC0E7E">
              <w:rPr>
                <w:rFonts w:eastAsia="MS Mincho"/>
                <w:b/>
                <w:bCs/>
                <w:szCs w:val="22"/>
                <w:lang w:val="pt-PT" w:eastAsia="ja-JP"/>
              </w:rPr>
              <w:t xml:space="preserve">Hrvatska </w:t>
            </w:r>
          </w:p>
          <w:p w14:paraId="56D328ED" w14:textId="77777777" w:rsidR="00BC0E7E" w:rsidRPr="00BC0E7E" w:rsidRDefault="00944B8F" w:rsidP="00BC0E7E">
            <w:pPr>
              <w:ind w:firstLine="34"/>
              <w:rPr>
                <w:szCs w:val="22"/>
                <w:lang w:val="hr-HR"/>
              </w:rPr>
            </w:pPr>
            <w:r w:rsidRPr="00BC0E7E">
              <w:rPr>
                <w:szCs w:val="22"/>
                <w:lang w:val="hr-HR"/>
              </w:rPr>
              <w:t>AbbVie d.o.o.</w:t>
            </w:r>
          </w:p>
          <w:p w14:paraId="7DD5FD3C" w14:textId="77777777" w:rsidR="00BC0E7E" w:rsidRDefault="00944B8F" w:rsidP="00BC0E7E">
            <w:pPr>
              <w:ind w:firstLine="34"/>
              <w:rPr>
                <w:szCs w:val="22"/>
              </w:rPr>
            </w:pPr>
            <w:r w:rsidRPr="00BC0E7E">
              <w:rPr>
                <w:szCs w:val="22"/>
                <w:lang w:val="hr-HR"/>
              </w:rPr>
              <w:t xml:space="preserve">Tel + 385 (0)1 </w:t>
            </w:r>
            <w:r w:rsidRPr="00BC0E7E">
              <w:rPr>
                <w:szCs w:val="22"/>
              </w:rPr>
              <w:t>5625 501</w:t>
            </w:r>
          </w:p>
          <w:p w14:paraId="1560F1A4" w14:textId="77777777" w:rsidR="009941B2" w:rsidRPr="00BC0E7E" w:rsidRDefault="009941B2" w:rsidP="00BC0E7E">
            <w:pPr>
              <w:ind w:firstLine="34"/>
              <w:rPr>
                <w:color w:val="1F497D"/>
                <w:szCs w:val="22"/>
              </w:rPr>
            </w:pPr>
          </w:p>
        </w:tc>
        <w:tc>
          <w:tcPr>
            <w:tcW w:w="4678" w:type="dxa"/>
          </w:tcPr>
          <w:p w14:paraId="4322EA62" w14:textId="77777777" w:rsidR="00BC0E7E" w:rsidRPr="00433FAD" w:rsidRDefault="00944B8F" w:rsidP="00BC0E7E">
            <w:pPr>
              <w:rPr>
                <w:b/>
                <w:bCs/>
                <w:szCs w:val="22"/>
                <w:lang w:val="es-MX"/>
              </w:rPr>
            </w:pPr>
            <w:r w:rsidRPr="00433FAD">
              <w:rPr>
                <w:b/>
                <w:bCs/>
                <w:szCs w:val="22"/>
                <w:lang w:val="es-MX"/>
              </w:rPr>
              <w:t>România</w:t>
            </w:r>
          </w:p>
          <w:p w14:paraId="2D868838" w14:textId="77777777" w:rsidR="00BC0E7E" w:rsidRPr="00433FAD" w:rsidRDefault="00944B8F" w:rsidP="00BC0E7E">
            <w:pPr>
              <w:rPr>
                <w:rFonts w:eastAsia="MS Mincho"/>
                <w:color w:val="000000"/>
                <w:szCs w:val="22"/>
                <w:lang w:val="es-MX" w:eastAsia="ja-JP"/>
              </w:rPr>
            </w:pPr>
            <w:r w:rsidRPr="00433FAD">
              <w:rPr>
                <w:rFonts w:eastAsia="MS Mincho"/>
                <w:color w:val="000000"/>
                <w:szCs w:val="22"/>
                <w:lang w:val="es-MX" w:eastAsia="ja-JP"/>
              </w:rPr>
              <w:t>AbbVie S.R.L.</w:t>
            </w:r>
          </w:p>
          <w:p w14:paraId="1D24A549" w14:textId="77777777" w:rsidR="00BC0E7E" w:rsidRPr="00BC0E7E" w:rsidRDefault="00944B8F" w:rsidP="00BC0E7E">
            <w:pPr>
              <w:rPr>
                <w:szCs w:val="22"/>
                <w:lang w:val="pl-PL"/>
              </w:rPr>
            </w:pPr>
            <w:r w:rsidRPr="00BC0E7E">
              <w:rPr>
                <w:szCs w:val="22"/>
                <w:lang w:val="pl-PL"/>
              </w:rPr>
              <w:t>Tel: +40 21 529 30 35</w:t>
            </w:r>
          </w:p>
        </w:tc>
      </w:tr>
      <w:tr w:rsidR="00C6578C" w14:paraId="2E891234" w14:textId="77777777" w:rsidTr="00171601">
        <w:trPr>
          <w:gridBefore w:val="1"/>
          <w:wBefore w:w="34" w:type="dxa"/>
        </w:trPr>
        <w:tc>
          <w:tcPr>
            <w:tcW w:w="4644" w:type="dxa"/>
          </w:tcPr>
          <w:p w14:paraId="030FC418" w14:textId="77777777" w:rsidR="00BC0E7E" w:rsidRPr="00BC0E7E" w:rsidRDefault="00944B8F" w:rsidP="00D53B36">
            <w:pPr>
              <w:keepNext/>
              <w:rPr>
                <w:b/>
                <w:bCs/>
                <w:szCs w:val="22"/>
              </w:rPr>
            </w:pPr>
            <w:r w:rsidRPr="00BC0E7E">
              <w:rPr>
                <w:b/>
                <w:bCs/>
                <w:szCs w:val="22"/>
              </w:rPr>
              <w:t>Ireland</w:t>
            </w:r>
          </w:p>
          <w:p w14:paraId="0EE27017" w14:textId="77777777" w:rsidR="00BC0E7E" w:rsidRPr="00BC0E7E" w:rsidRDefault="00944B8F" w:rsidP="00D53B36">
            <w:pPr>
              <w:keepNext/>
              <w:rPr>
                <w:bCs/>
                <w:szCs w:val="22"/>
              </w:rPr>
            </w:pPr>
            <w:r w:rsidRPr="00BC0E7E">
              <w:rPr>
                <w:bCs/>
                <w:szCs w:val="22"/>
              </w:rPr>
              <w:t xml:space="preserve">AbbVie Limited </w:t>
            </w:r>
          </w:p>
          <w:p w14:paraId="1FF2CBA5" w14:textId="77777777" w:rsidR="00BC0E7E" w:rsidRDefault="00944B8F" w:rsidP="00D53B36">
            <w:pPr>
              <w:keepNext/>
              <w:rPr>
                <w:bCs/>
                <w:szCs w:val="22"/>
                <w:lang w:val="pt-PT"/>
              </w:rPr>
            </w:pPr>
            <w:r w:rsidRPr="00BC0E7E">
              <w:rPr>
                <w:bCs/>
                <w:szCs w:val="22"/>
                <w:lang w:val="pt-PT"/>
              </w:rPr>
              <w:t>Tel: +353 (0)1 4287900</w:t>
            </w:r>
          </w:p>
          <w:p w14:paraId="407B46A4" w14:textId="77777777" w:rsidR="009941B2" w:rsidRPr="00BC0E7E" w:rsidRDefault="009941B2" w:rsidP="00D53B36">
            <w:pPr>
              <w:keepNext/>
              <w:rPr>
                <w:bCs/>
                <w:szCs w:val="22"/>
                <w:lang w:val="it-IT"/>
              </w:rPr>
            </w:pPr>
          </w:p>
        </w:tc>
        <w:tc>
          <w:tcPr>
            <w:tcW w:w="4678" w:type="dxa"/>
          </w:tcPr>
          <w:p w14:paraId="5451E947" w14:textId="77777777" w:rsidR="00BC0E7E" w:rsidRPr="00BC0E7E" w:rsidRDefault="00944B8F" w:rsidP="00D53B36">
            <w:pPr>
              <w:keepNext/>
              <w:rPr>
                <w:b/>
                <w:bCs/>
                <w:szCs w:val="22"/>
                <w:lang w:val="sl-SI"/>
              </w:rPr>
            </w:pPr>
            <w:r w:rsidRPr="00BC0E7E">
              <w:rPr>
                <w:b/>
                <w:bCs/>
                <w:szCs w:val="22"/>
                <w:lang w:val="sl-SI"/>
              </w:rPr>
              <w:t>Slovenija</w:t>
            </w:r>
          </w:p>
          <w:p w14:paraId="656F319E" w14:textId="77777777" w:rsidR="00BC0E7E" w:rsidRPr="00BC0E7E" w:rsidRDefault="00944B8F" w:rsidP="00D53B36">
            <w:pPr>
              <w:keepNext/>
              <w:rPr>
                <w:bCs/>
                <w:szCs w:val="22"/>
                <w:lang w:val="sl-SI"/>
              </w:rPr>
            </w:pPr>
            <w:r w:rsidRPr="00BC0E7E">
              <w:rPr>
                <w:bCs/>
                <w:szCs w:val="22"/>
                <w:lang w:val="sl-SI"/>
              </w:rPr>
              <w:t>AbbVie Biofarmacevtska družba d.o.o.</w:t>
            </w:r>
          </w:p>
          <w:p w14:paraId="75CF58A8" w14:textId="77777777" w:rsidR="00BC0E7E" w:rsidRPr="00BC0E7E" w:rsidRDefault="00944B8F" w:rsidP="00D53B36">
            <w:pPr>
              <w:keepNext/>
              <w:rPr>
                <w:bCs/>
                <w:szCs w:val="22"/>
                <w:lang w:val="sl-SI"/>
              </w:rPr>
            </w:pPr>
            <w:r w:rsidRPr="00BC0E7E">
              <w:rPr>
                <w:bCs/>
                <w:szCs w:val="22"/>
                <w:lang w:val="sl-SI"/>
              </w:rPr>
              <w:t>Tel: +386 (1)32 08 060</w:t>
            </w:r>
          </w:p>
        </w:tc>
      </w:tr>
      <w:tr w:rsidR="00C6578C" w14:paraId="3E757B82" w14:textId="77777777" w:rsidTr="00171601">
        <w:trPr>
          <w:gridBefore w:val="1"/>
          <w:wBefore w:w="34" w:type="dxa"/>
        </w:trPr>
        <w:tc>
          <w:tcPr>
            <w:tcW w:w="4644" w:type="dxa"/>
          </w:tcPr>
          <w:p w14:paraId="5B8C2164" w14:textId="77777777" w:rsidR="00BC0E7E" w:rsidRPr="00BC0E7E" w:rsidRDefault="00944B8F" w:rsidP="00BC0E7E">
            <w:pPr>
              <w:rPr>
                <w:b/>
                <w:bCs/>
                <w:szCs w:val="22"/>
                <w:lang w:val="is-IS"/>
              </w:rPr>
            </w:pPr>
            <w:r w:rsidRPr="00BC0E7E">
              <w:rPr>
                <w:b/>
                <w:bCs/>
                <w:szCs w:val="22"/>
                <w:lang w:val="is-IS"/>
              </w:rPr>
              <w:t>Ísland</w:t>
            </w:r>
          </w:p>
          <w:p w14:paraId="29E9E4A1" w14:textId="77777777" w:rsidR="00BC0E7E" w:rsidRPr="00BC0E7E" w:rsidRDefault="00944B8F" w:rsidP="00BC0E7E">
            <w:pPr>
              <w:rPr>
                <w:bCs/>
                <w:szCs w:val="22"/>
              </w:rPr>
            </w:pPr>
            <w:r w:rsidRPr="00BC0E7E">
              <w:rPr>
                <w:bCs/>
                <w:szCs w:val="22"/>
              </w:rPr>
              <w:t>Vistor</w:t>
            </w:r>
            <w:del w:id="13734" w:author="AbbVie19" w:date="2025-04-16T12:27:00Z">
              <w:r w:rsidRPr="00BC0E7E">
                <w:rPr>
                  <w:bCs/>
                  <w:szCs w:val="22"/>
                </w:rPr>
                <w:delText xml:space="preserve"> hf.</w:delText>
              </w:r>
            </w:del>
          </w:p>
          <w:p w14:paraId="0CF4AC2A" w14:textId="77777777" w:rsidR="00BC0E7E" w:rsidRDefault="00944B8F" w:rsidP="00BC0E7E">
            <w:pPr>
              <w:rPr>
                <w:bCs/>
                <w:szCs w:val="22"/>
              </w:rPr>
            </w:pPr>
            <w:r w:rsidRPr="00BC0E7E">
              <w:rPr>
                <w:bCs/>
                <w:szCs w:val="22"/>
              </w:rPr>
              <w:t>Tel: +354 535 7000</w:t>
            </w:r>
          </w:p>
          <w:p w14:paraId="217D792A" w14:textId="77777777" w:rsidR="009941B2" w:rsidRPr="00BC0E7E" w:rsidRDefault="009941B2" w:rsidP="00BC0E7E">
            <w:pPr>
              <w:rPr>
                <w:bCs/>
                <w:szCs w:val="22"/>
              </w:rPr>
            </w:pPr>
          </w:p>
        </w:tc>
        <w:tc>
          <w:tcPr>
            <w:tcW w:w="4678" w:type="dxa"/>
          </w:tcPr>
          <w:p w14:paraId="659DF2AF" w14:textId="77777777" w:rsidR="00BC0E7E" w:rsidRPr="00BC0E7E" w:rsidRDefault="00944B8F" w:rsidP="00BC0E7E">
            <w:pPr>
              <w:rPr>
                <w:b/>
                <w:bCs/>
                <w:szCs w:val="22"/>
                <w:lang w:val="sk-SK"/>
              </w:rPr>
            </w:pPr>
            <w:r w:rsidRPr="00BC0E7E">
              <w:rPr>
                <w:b/>
                <w:bCs/>
                <w:szCs w:val="22"/>
                <w:lang w:val="sk-SK"/>
              </w:rPr>
              <w:t>Slovenská republika</w:t>
            </w:r>
          </w:p>
          <w:p w14:paraId="777406C7" w14:textId="77777777" w:rsidR="00BC0E7E" w:rsidRPr="00BC0E7E" w:rsidRDefault="00944B8F" w:rsidP="00BC0E7E">
            <w:pPr>
              <w:rPr>
                <w:bCs/>
                <w:szCs w:val="22"/>
                <w:lang w:val="sk-SK"/>
              </w:rPr>
            </w:pPr>
            <w:r w:rsidRPr="00BC0E7E">
              <w:rPr>
                <w:bCs/>
                <w:szCs w:val="22"/>
                <w:lang w:val="sk-SK"/>
              </w:rPr>
              <w:t>AbbVie s.r.o.</w:t>
            </w:r>
          </w:p>
          <w:p w14:paraId="3934ED04" w14:textId="77777777" w:rsidR="00BC0E7E" w:rsidRPr="00BC0E7E" w:rsidRDefault="00944B8F" w:rsidP="00BC0E7E">
            <w:pPr>
              <w:rPr>
                <w:bCs/>
                <w:szCs w:val="22"/>
                <w:lang w:val="sk-SK"/>
              </w:rPr>
            </w:pPr>
            <w:r w:rsidRPr="00BC0E7E">
              <w:rPr>
                <w:bCs/>
                <w:szCs w:val="22"/>
                <w:lang w:val="sk-SK"/>
              </w:rPr>
              <w:t>Tel: +421 2 5050 0777</w:t>
            </w:r>
          </w:p>
        </w:tc>
      </w:tr>
      <w:tr w:rsidR="00C6578C" w14:paraId="6E2134E0" w14:textId="77777777" w:rsidTr="00171601">
        <w:trPr>
          <w:gridBefore w:val="1"/>
          <w:wBefore w:w="34" w:type="dxa"/>
        </w:trPr>
        <w:tc>
          <w:tcPr>
            <w:tcW w:w="4644" w:type="dxa"/>
          </w:tcPr>
          <w:p w14:paraId="3C1007E3" w14:textId="77777777" w:rsidR="00BC0E7E" w:rsidRPr="00BC0E7E" w:rsidRDefault="00944B8F" w:rsidP="00BC0E7E">
            <w:pPr>
              <w:rPr>
                <w:b/>
                <w:bCs/>
                <w:szCs w:val="22"/>
                <w:lang w:val="it-IT"/>
              </w:rPr>
            </w:pPr>
            <w:r w:rsidRPr="00BC0E7E">
              <w:rPr>
                <w:b/>
                <w:bCs/>
                <w:szCs w:val="22"/>
                <w:lang w:val="it-IT"/>
              </w:rPr>
              <w:t>Italia</w:t>
            </w:r>
          </w:p>
          <w:p w14:paraId="4E0B6B40" w14:textId="77777777" w:rsidR="00BC0E7E" w:rsidRPr="00BC0E7E" w:rsidRDefault="00944B8F" w:rsidP="00BC0E7E">
            <w:pPr>
              <w:spacing w:line="260" w:lineRule="exact"/>
              <w:rPr>
                <w:bCs/>
                <w:szCs w:val="22"/>
                <w:lang w:val="pt-PT"/>
              </w:rPr>
            </w:pPr>
            <w:r w:rsidRPr="00BC0E7E">
              <w:rPr>
                <w:bCs/>
                <w:szCs w:val="22"/>
                <w:lang w:val="pt-PT"/>
              </w:rPr>
              <w:t xml:space="preserve">AbbVie S.r.l. </w:t>
            </w:r>
          </w:p>
          <w:p w14:paraId="271E63A6" w14:textId="77777777" w:rsidR="00BC0E7E" w:rsidRDefault="00944B8F" w:rsidP="00BC0E7E">
            <w:pPr>
              <w:spacing w:line="260" w:lineRule="exact"/>
              <w:rPr>
                <w:bCs/>
                <w:szCs w:val="22"/>
                <w:lang w:val="fr-FR"/>
              </w:rPr>
            </w:pPr>
            <w:r w:rsidRPr="00BC0E7E">
              <w:rPr>
                <w:bCs/>
                <w:szCs w:val="22"/>
                <w:lang w:val="fr-FR"/>
              </w:rPr>
              <w:t>Tel: +39 06 928921</w:t>
            </w:r>
          </w:p>
          <w:p w14:paraId="53E19246" w14:textId="77777777" w:rsidR="009941B2" w:rsidRPr="00BC0E7E" w:rsidRDefault="009941B2" w:rsidP="00BC0E7E">
            <w:pPr>
              <w:spacing w:line="260" w:lineRule="exact"/>
              <w:rPr>
                <w:bCs/>
                <w:szCs w:val="22"/>
              </w:rPr>
            </w:pPr>
          </w:p>
        </w:tc>
        <w:tc>
          <w:tcPr>
            <w:tcW w:w="4678" w:type="dxa"/>
          </w:tcPr>
          <w:p w14:paraId="0FB55F66" w14:textId="77777777" w:rsidR="00BC0E7E" w:rsidRPr="00BC0E7E" w:rsidRDefault="00944B8F" w:rsidP="00BC0E7E">
            <w:pPr>
              <w:rPr>
                <w:b/>
                <w:bCs/>
                <w:szCs w:val="22"/>
                <w:lang w:val="fi-FI"/>
              </w:rPr>
            </w:pPr>
            <w:r w:rsidRPr="00BC0E7E">
              <w:rPr>
                <w:b/>
                <w:bCs/>
                <w:szCs w:val="22"/>
                <w:lang w:val="fi-FI"/>
              </w:rPr>
              <w:t>Suomi/Finland</w:t>
            </w:r>
          </w:p>
          <w:p w14:paraId="3C1988F9" w14:textId="77777777" w:rsidR="00BC0E7E" w:rsidRPr="00A06B15" w:rsidRDefault="00944B8F" w:rsidP="00BC0E7E">
            <w:pPr>
              <w:overflowPunct w:val="0"/>
              <w:autoSpaceDE w:val="0"/>
              <w:autoSpaceDN w:val="0"/>
              <w:adjustRightInd w:val="0"/>
              <w:textAlignment w:val="baseline"/>
              <w:rPr>
                <w:bCs/>
                <w:szCs w:val="22"/>
                <w:lang w:val="de-DE"/>
              </w:rPr>
            </w:pPr>
            <w:r w:rsidRPr="00A06B15">
              <w:rPr>
                <w:bCs/>
                <w:szCs w:val="22"/>
                <w:lang w:val="de-DE"/>
              </w:rPr>
              <w:t xml:space="preserve">AbbVie Oy </w:t>
            </w:r>
          </w:p>
          <w:p w14:paraId="3AA885C9" w14:textId="77777777" w:rsidR="00BC0E7E" w:rsidRPr="00BC0E7E" w:rsidRDefault="00944B8F" w:rsidP="00BC0E7E">
            <w:pPr>
              <w:rPr>
                <w:bCs/>
                <w:szCs w:val="22"/>
                <w:lang w:val="fi-FI"/>
              </w:rPr>
            </w:pPr>
            <w:r w:rsidRPr="00A06B15">
              <w:rPr>
                <w:bCs/>
                <w:szCs w:val="22"/>
                <w:lang w:val="de-DE"/>
              </w:rPr>
              <w:t>Puh/Tel:  +358 (0)10 2411 200</w:t>
            </w:r>
          </w:p>
        </w:tc>
      </w:tr>
      <w:tr w:rsidR="00C6578C" w14:paraId="695600B3" w14:textId="77777777" w:rsidTr="00171601">
        <w:trPr>
          <w:gridBefore w:val="1"/>
          <w:wBefore w:w="34" w:type="dxa"/>
        </w:trPr>
        <w:tc>
          <w:tcPr>
            <w:tcW w:w="4644" w:type="dxa"/>
          </w:tcPr>
          <w:p w14:paraId="0AF672CF" w14:textId="77777777" w:rsidR="00BC0E7E" w:rsidRPr="00BC0E7E" w:rsidRDefault="00944B8F" w:rsidP="00BC0E7E">
            <w:pPr>
              <w:rPr>
                <w:b/>
                <w:bCs/>
                <w:szCs w:val="22"/>
                <w:lang w:val="el-GR"/>
              </w:rPr>
            </w:pPr>
            <w:r w:rsidRPr="00BC0E7E">
              <w:rPr>
                <w:b/>
                <w:bCs/>
                <w:szCs w:val="22"/>
                <w:lang w:val="el-GR"/>
              </w:rPr>
              <w:t>Κύπρος</w:t>
            </w:r>
          </w:p>
          <w:p w14:paraId="2B9F2560" w14:textId="77777777" w:rsidR="00BC0E7E" w:rsidRPr="00BC0E7E" w:rsidRDefault="00944B8F" w:rsidP="00BC0E7E">
            <w:pPr>
              <w:rPr>
                <w:bCs/>
                <w:szCs w:val="22"/>
                <w:lang w:val="el-GR"/>
              </w:rPr>
            </w:pPr>
            <w:r w:rsidRPr="00BC0E7E">
              <w:rPr>
                <w:bCs/>
                <w:szCs w:val="22"/>
                <w:lang w:val="it-IT"/>
              </w:rPr>
              <w:t>Lifepharma (Z.A.M.) Ltd</w:t>
            </w:r>
          </w:p>
          <w:p w14:paraId="136993DE" w14:textId="77777777" w:rsidR="00BC0E7E" w:rsidRDefault="00944B8F" w:rsidP="00BC0E7E">
            <w:pPr>
              <w:rPr>
                <w:bCs/>
                <w:szCs w:val="22"/>
                <w:lang w:val="el-GR"/>
              </w:rPr>
            </w:pPr>
            <w:r w:rsidRPr="00BC0E7E">
              <w:rPr>
                <w:bCs/>
                <w:szCs w:val="22"/>
                <w:lang w:val="el-GR"/>
              </w:rPr>
              <w:t>Τηλ.: +357 22 34 74 40</w:t>
            </w:r>
          </w:p>
          <w:p w14:paraId="545A63C5" w14:textId="77777777" w:rsidR="009941B2" w:rsidRPr="00BC0E7E" w:rsidRDefault="009941B2" w:rsidP="00BC0E7E">
            <w:pPr>
              <w:rPr>
                <w:bCs/>
                <w:szCs w:val="22"/>
                <w:lang w:val="fi-FI"/>
              </w:rPr>
            </w:pPr>
          </w:p>
        </w:tc>
        <w:tc>
          <w:tcPr>
            <w:tcW w:w="4678" w:type="dxa"/>
          </w:tcPr>
          <w:p w14:paraId="2AB25848" w14:textId="77777777" w:rsidR="00BC0E7E" w:rsidRPr="00BC0E7E" w:rsidRDefault="00944B8F" w:rsidP="00BC0E7E">
            <w:pPr>
              <w:rPr>
                <w:b/>
                <w:bCs/>
                <w:szCs w:val="22"/>
                <w:lang w:val="sv-SE"/>
              </w:rPr>
            </w:pPr>
            <w:r w:rsidRPr="00BC0E7E">
              <w:rPr>
                <w:b/>
                <w:bCs/>
                <w:szCs w:val="22"/>
                <w:lang w:val="sv-SE"/>
              </w:rPr>
              <w:t>Sverige</w:t>
            </w:r>
          </w:p>
          <w:p w14:paraId="16F18239" w14:textId="77777777" w:rsidR="00BC0E7E" w:rsidRPr="00BC0E7E" w:rsidRDefault="00944B8F" w:rsidP="00BC0E7E">
            <w:pPr>
              <w:rPr>
                <w:bCs/>
                <w:szCs w:val="22"/>
                <w:lang w:val="pt-PT"/>
              </w:rPr>
            </w:pPr>
            <w:r w:rsidRPr="00BC0E7E">
              <w:rPr>
                <w:bCs/>
                <w:szCs w:val="22"/>
                <w:lang w:val="pt-PT"/>
              </w:rPr>
              <w:t>AbbVie AB</w:t>
            </w:r>
          </w:p>
          <w:p w14:paraId="4A1D83CC" w14:textId="77777777" w:rsidR="00BC0E7E" w:rsidRPr="00BC0E7E" w:rsidRDefault="00944B8F" w:rsidP="00BC0E7E">
            <w:pPr>
              <w:rPr>
                <w:bCs/>
                <w:szCs w:val="22"/>
                <w:lang w:val="sv-SE"/>
              </w:rPr>
            </w:pPr>
            <w:r w:rsidRPr="00BC0E7E">
              <w:rPr>
                <w:bCs/>
                <w:szCs w:val="22"/>
                <w:lang w:val="da-DK"/>
              </w:rPr>
              <w:t>Tel:  +46 (0)8 684 44 600</w:t>
            </w:r>
          </w:p>
        </w:tc>
      </w:tr>
      <w:tr w:rsidR="00C6578C" w14:paraId="44554CC7" w14:textId="77777777" w:rsidTr="00171601">
        <w:trPr>
          <w:gridBefore w:val="1"/>
          <w:wBefore w:w="34" w:type="dxa"/>
          <w:cantSplit/>
          <w:trHeight w:val="887"/>
        </w:trPr>
        <w:tc>
          <w:tcPr>
            <w:tcW w:w="4644" w:type="dxa"/>
          </w:tcPr>
          <w:p w14:paraId="2365B9D5" w14:textId="77777777" w:rsidR="00BC0E7E" w:rsidRPr="00BC0E7E" w:rsidRDefault="00944B8F" w:rsidP="00BC0E7E">
            <w:pPr>
              <w:rPr>
                <w:b/>
                <w:bCs/>
                <w:szCs w:val="22"/>
                <w:lang w:val="lv-LV"/>
              </w:rPr>
            </w:pPr>
            <w:r w:rsidRPr="00BC0E7E">
              <w:rPr>
                <w:b/>
                <w:bCs/>
                <w:szCs w:val="22"/>
                <w:lang w:val="lv-LV"/>
              </w:rPr>
              <w:t>Latvija</w:t>
            </w:r>
          </w:p>
          <w:p w14:paraId="1096DBF3" w14:textId="77777777" w:rsidR="00BC0E7E" w:rsidRPr="00BC0E7E" w:rsidRDefault="00944B8F" w:rsidP="00BC0E7E">
            <w:pPr>
              <w:rPr>
                <w:bCs/>
                <w:szCs w:val="22"/>
                <w:lang w:val="lv-LV"/>
              </w:rPr>
            </w:pPr>
            <w:r w:rsidRPr="00BC0E7E">
              <w:rPr>
                <w:bCs/>
                <w:szCs w:val="22"/>
                <w:lang w:val="lv-LV"/>
              </w:rPr>
              <w:t xml:space="preserve">AbbVie SIA </w:t>
            </w:r>
          </w:p>
          <w:p w14:paraId="0680BC44" w14:textId="77777777" w:rsidR="00BC0E7E" w:rsidRPr="00BC0E7E" w:rsidRDefault="00944B8F" w:rsidP="00BC0E7E">
            <w:pPr>
              <w:rPr>
                <w:bCs/>
                <w:szCs w:val="22"/>
                <w:lang w:val="lv-LV"/>
              </w:rPr>
            </w:pPr>
            <w:r w:rsidRPr="00BC0E7E">
              <w:rPr>
                <w:bCs/>
                <w:szCs w:val="22"/>
                <w:lang w:val="lv-LV"/>
              </w:rPr>
              <w:t>Tel: +371 67605000</w:t>
            </w:r>
          </w:p>
        </w:tc>
        <w:tc>
          <w:tcPr>
            <w:tcW w:w="4678" w:type="dxa"/>
          </w:tcPr>
          <w:p w14:paraId="13C33F05" w14:textId="77777777" w:rsidR="00BC0E7E" w:rsidRPr="00BC0E7E" w:rsidRDefault="00BC0E7E" w:rsidP="00BC0E7E">
            <w:pPr>
              <w:rPr>
                <w:bCs/>
                <w:szCs w:val="22"/>
                <w:lang w:val="lv-LV"/>
              </w:rPr>
            </w:pPr>
          </w:p>
        </w:tc>
      </w:tr>
    </w:tbl>
    <w:p w14:paraId="176F3D58" w14:textId="77777777" w:rsidR="00BC0E7E" w:rsidRPr="00BC0E7E" w:rsidRDefault="00BC0E7E" w:rsidP="00BC0E7E"/>
    <w:p w14:paraId="219124A6" w14:textId="77777777" w:rsidR="00BC0E7E" w:rsidRPr="00BC0E7E" w:rsidRDefault="00944B8F" w:rsidP="00BC0E7E">
      <w:pPr>
        <w:numPr>
          <w:ilvl w:val="12"/>
          <w:numId w:val="0"/>
        </w:numPr>
        <w:tabs>
          <w:tab w:val="clear" w:pos="562"/>
        </w:tabs>
        <w:ind w:right="-2"/>
        <w:rPr>
          <w:b/>
        </w:rPr>
      </w:pPr>
      <w:r w:rsidRPr="00BC0E7E">
        <w:rPr>
          <w:b/>
        </w:rPr>
        <w:t>This leaflet was last revised in</w:t>
      </w:r>
    </w:p>
    <w:p w14:paraId="5837B950" w14:textId="77777777" w:rsidR="00BC0E7E" w:rsidRPr="00BC0E7E" w:rsidRDefault="00BC0E7E" w:rsidP="00BC0E7E">
      <w:pPr>
        <w:ind w:right="-449"/>
      </w:pPr>
    </w:p>
    <w:p w14:paraId="6CCD1710" w14:textId="77777777" w:rsidR="00BC0E7E" w:rsidRPr="00BC0E7E" w:rsidRDefault="00944B8F" w:rsidP="00BC0E7E">
      <w:pPr>
        <w:ind w:right="-449"/>
        <w:rPr>
          <w:noProof/>
          <w:szCs w:val="22"/>
        </w:rPr>
      </w:pPr>
      <w:r w:rsidRPr="00BC0E7E">
        <w:rPr>
          <w:iCs/>
          <w:noProof/>
          <w:szCs w:val="22"/>
        </w:rPr>
        <w:t xml:space="preserve">Detailed information on this medicine is available on the European Medicines Agency web site: </w:t>
      </w:r>
      <w:ins w:id="13735" w:author="AbbVie19" w:date="2025-04-17T11:09:00Z">
        <w:r w:rsidR="00E27926">
          <w:rPr>
            <w:noProof/>
            <w:szCs w:val="22"/>
          </w:rPr>
          <w:fldChar w:fldCharType="begin"/>
        </w:r>
        <w:r w:rsidR="00E27926">
          <w:rPr>
            <w:noProof/>
            <w:szCs w:val="22"/>
          </w:rPr>
          <w:instrText>HYPERLINK "</w:instrText>
        </w:r>
      </w:ins>
      <w:r w:rsidR="00E27926" w:rsidRPr="00E27926">
        <w:rPr>
          <w:rStyle w:val="Hyperlink"/>
          <w:noProof/>
          <w:szCs w:val="22"/>
        </w:rPr>
        <w:instrText>http</w:instrText>
      </w:r>
      <w:ins w:id="13736" w:author="AbbVie19" w:date="2025-04-17T11:09:00Z">
        <w:r w:rsidR="00E27926" w:rsidRPr="00E27926">
          <w:rPr>
            <w:rStyle w:val="Hyperlink"/>
            <w:noProof/>
            <w:szCs w:val="22"/>
          </w:rPr>
          <w:instrText>s</w:instrText>
        </w:r>
      </w:ins>
      <w:r w:rsidR="00E27926" w:rsidRPr="00E27926">
        <w:rPr>
          <w:rStyle w:val="Hyperlink"/>
          <w:noProof/>
          <w:szCs w:val="22"/>
        </w:rPr>
        <w:instrText>://www.ema.europa.eu</w:instrText>
      </w:r>
      <w:ins w:id="13737" w:author="AbbVie19" w:date="2025-04-17T11:09:00Z">
        <w:r w:rsidR="00E27926">
          <w:rPr>
            <w:noProof/>
            <w:szCs w:val="22"/>
          </w:rPr>
          <w:instrText>"</w:instrText>
        </w:r>
        <w:r w:rsidR="00E27926">
          <w:rPr>
            <w:noProof/>
            <w:szCs w:val="22"/>
          </w:rPr>
        </w:r>
        <w:r w:rsidR="00E27926">
          <w:rPr>
            <w:noProof/>
            <w:szCs w:val="22"/>
          </w:rPr>
          <w:fldChar w:fldCharType="separate"/>
        </w:r>
      </w:ins>
      <w:r w:rsidR="00E27926" w:rsidRPr="00E27926">
        <w:rPr>
          <w:rStyle w:val="Hyperlink"/>
          <w:noProof/>
          <w:szCs w:val="22"/>
        </w:rPr>
        <w:t>http</w:t>
      </w:r>
      <w:ins w:id="13738" w:author="AbbVie19" w:date="2025-04-17T11:09:00Z">
        <w:r w:rsidR="00E27926" w:rsidRPr="00E27926">
          <w:rPr>
            <w:rStyle w:val="Hyperlink"/>
            <w:noProof/>
            <w:szCs w:val="22"/>
          </w:rPr>
          <w:t>s</w:t>
        </w:r>
      </w:ins>
      <w:r w:rsidR="00E27926" w:rsidRPr="00E27926">
        <w:rPr>
          <w:rStyle w:val="Hyperlink"/>
          <w:noProof/>
          <w:szCs w:val="22"/>
        </w:rPr>
        <w:t>://www.ema.europa.eu</w:t>
      </w:r>
      <w:ins w:id="13739" w:author="AbbVie19" w:date="2025-04-17T11:09:00Z">
        <w:r w:rsidR="00E27926">
          <w:rPr>
            <w:noProof/>
            <w:szCs w:val="22"/>
          </w:rPr>
          <w:fldChar w:fldCharType="end"/>
        </w:r>
      </w:ins>
      <w:r w:rsidRPr="00BC0E7E">
        <w:rPr>
          <w:noProof/>
          <w:szCs w:val="22"/>
        </w:rPr>
        <w:t>.</w:t>
      </w:r>
    </w:p>
    <w:p w14:paraId="12FABB53" w14:textId="77777777" w:rsidR="00BC0E7E" w:rsidRPr="00BC0E7E" w:rsidRDefault="00BC0E7E" w:rsidP="00BC0E7E">
      <w:pPr>
        <w:ind w:right="-449"/>
        <w:rPr>
          <w:noProof/>
          <w:szCs w:val="22"/>
        </w:rPr>
      </w:pPr>
    </w:p>
    <w:p w14:paraId="37F11208" w14:textId="77777777" w:rsidR="00BC0E7E" w:rsidRPr="001B6DEE" w:rsidRDefault="00944B8F" w:rsidP="00BC0E7E">
      <w:pPr>
        <w:numPr>
          <w:ilvl w:val="12"/>
          <w:numId w:val="0"/>
        </w:numPr>
        <w:ind w:right="-2"/>
        <w:rPr>
          <w:b/>
          <w:color w:val="000000"/>
        </w:rPr>
      </w:pPr>
      <w:r w:rsidRPr="001B6DEE">
        <w:rPr>
          <w:b/>
          <w:color w:val="000000"/>
        </w:rPr>
        <w:t xml:space="preserve">To listen to or request a copy of this leaflet in </w:t>
      </w:r>
      <w:r w:rsidRPr="001B6DEE">
        <w:rPr>
          <w:b/>
          <w:color w:val="000000"/>
          <w:shd w:val="clear" w:color="auto" w:fill="A6A6A6"/>
        </w:rPr>
        <w:t>&lt;Braille&gt;, &lt;large print&gt; or &lt;audio&gt;</w:t>
      </w:r>
      <w:r w:rsidRPr="001B6DEE">
        <w:rPr>
          <w:b/>
          <w:color w:val="000000"/>
        </w:rPr>
        <w:t>, please contact the local representative of the Marketing Authorisation Holder.</w:t>
      </w:r>
    </w:p>
    <w:p w14:paraId="364D7D32" w14:textId="77777777" w:rsidR="00BC0E7E" w:rsidRPr="00BC0E7E" w:rsidRDefault="00BC0E7E" w:rsidP="00BC0E7E">
      <w:pPr>
        <w:ind w:right="-449"/>
        <w:rPr>
          <w:noProof/>
          <w:szCs w:val="22"/>
        </w:rPr>
      </w:pPr>
    </w:p>
    <w:p w14:paraId="55C8BB28" w14:textId="77777777" w:rsidR="00BC0E7E" w:rsidRPr="00BC0E7E" w:rsidRDefault="00BC0E7E" w:rsidP="00BC0E7E">
      <w:pPr>
        <w:ind w:right="-449"/>
        <w:rPr>
          <w:noProof/>
          <w:szCs w:val="22"/>
        </w:rPr>
      </w:pPr>
    </w:p>
    <w:p w14:paraId="10C0DF20" w14:textId="77777777" w:rsidR="00BC0E7E" w:rsidRPr="00BC0E7E" w:rsidRDefault="00944B8F" w:rsidP="00BC0E7E">
      <w:pPr>
        <w:keepNext/>
        <w:outlineLvl w:val="0"/>
        <w:rPr>
          <w:b/>
          <w:caps/>
          <w:szCs w:val="20"/>
        </w:rPr>
      </w:pPr>
      <w:r w:rsidRPr="00BC0E7E">
        <w:rPr>
          <w:b/>
          <w:szCs w:val="20"/>
        </w:rPr>
        <w:t xml:space="preserve">7. </w:t>
      </w:r>
      <w:r w:rsidRPr="00BC0E7E">
        <w:rPr>
          <w:b/>
          <w:szCs w:val="20"/>
        </w:rPr>
        <w:tab/>
      </w:r>
      <w:r w:rsidR="00BA65BA">
        <w:rPr>
          <w:b/>
        </w:rPr>
        <w:t>Injecting Humira</w:t>
      </w:r>
    </w:p>
    <w:p w14:paraId="523C9030" w14:textId="77777777" w:rsidR="00BC0E7E" w:rsidRPr="00BC0E7E" w:rsidRDefault="00BC0E7E" w:rsidP="00BC0E7E">
      <w:pPr>
        <w:keepNext/>
        <w:tabs>
          <w:tab w:val="clear" w:pos="562"/>
        </w:tabs>
        <w:suppressAutoHyphens w:val="0"/>
        <w:spacing w:line="280" w:lineRule="atLeast"/>
        <w:rPr>
          <w:rFonts w:ascii="Verdana" w:eastAsia="Verdana" w:hAnsi="Verdana"/>
          <w:sz w:val="18"/>
          <w:szCs w:val="18"/>
          <w:lang w:eastAsia="x-none"/>
        </w:rPr>
      </w:pPr>
    </w:p>
    <w:p w14:paraId="787458CD" w14:textId="77777777" w:rsidR="00BC0E7E" w:rsidRPr="00BC0E7E" w:rsidRDefault="00944B8F" w:rsidP="00D51999">
      <w:pPr>
        <w:keepNext/>
        <w:numPr>
          <w:ilvl w:val="0"/>
          <w:numId w:val="61"/>
        </w:numPr>
        <w:tabs>
          <w:tab w:val="clear" w:pos="562"/>
        </w:tabs>
      </w:pPr>
      <w:r w:rsidRPr="00BC0E7E">
        <w:t xml:space="preserve">The following instructions explain how to give yourself a subcutaneous injection of Humira using the pre-filled pen. First read all the instructions carefully and then follow them step by step. </w:t>
      </w:r>
    </w:p>
    <w:p w14:paraId="227FA8BC" w14:textId="77777777" w:rsidR="00BC0E7E" w:rsidRPr="00BC0E7E" w:rsidRDefault="00BC0E7E" w:rsidP="00BC0E7E">
      <w:pPr>
        <w:keepNext/>
        <w:tabs>
          <w:tab w:val="clear" w:pos="562"/>
        </w:tabs>
        <w:ind w:left="720"/>
      </w:pPr>
    </w:p>
    <w:p w14:paraId="1678FC4E" w14:textId="77777777" w:rsidR="00BC0E7E" w:rsidRPr="00BC0E7E" w:rsidRDefault="00944B8F" w:rsidP="00D51999">
      <w:pPr>
        <w:keepNext/>
        <w:numPr>
          <w:ilvl w:val="0"/>
          <w:numId w:val="61"/>
        </w:numPr>
        <w:tabs>
          <w:tab w:val="clear" w:pos="562"/>
        </w:tabs>
      </w:pPr>
      <w:r w:rsidRPr="00BC0E7E">
        <w:t xml:space="preserve">You will be instructed by your doctor, nurse or pharmacist on the technique of self-injection. </w:t>
      </w:r>
    </w:p>
    <w:p w14:paraId="3A74052B" w14:textId="77777777" w:rsidR="00BC0E7E" w:rsidRPr="00BC0E7E" w:rsidRDefault="00BC0E7E" w:rsidP="00BC0E7E">
      <w:pPr>
        <w:keepNext/>
        <w:tabs>
          <w:tab w:val="clear" w:pos="562"/>
        </w:tabs>
        <w:ind w:left="720"/>
      </w:pPr>
    </w:p>
    <w:p w14:paraId="0FF70B61" w14:textId="77777777" w:rsidR="00BC0E7E" w:rsidRPr="00BC0E7E" w:rsidRDefault="00944B8F" w:rsidP="00D51999">
      <w:pPr>
        <w:keepNext/>
        <w:numPr>
          <w:ilvl w:val="0"/>
          <w:numId w:val="61"/>
        </w:numPr>
        <w:tabs>
          <w:tab w:val="clear" w:pos="562"/>
        </w:tabs>
      </w:pPr>
      <w:r w:rsidRPr="00BC0E7E">
        <w:t xml:space="preserve">Do not attempt to self-inject until you are sure that you understand how to prepare and give the injection. </w:t>
      </w:r>
    </w:p>
    <w:p w14:paraId="137C4A07" w14:textId="77777777" w:rsidR="00BC0E7E" w:rsidRPr="00BC0E7E" w:rsidRDefault="00BC0E7E" w:rsidP="00BC0E7E">
      <w:pPr>
        <w:keepNext/>
        <w:tabs>
          <w:tab w:val="clear" w:pos="562"/>
        </w:tabs>
        <w:ind w:left="720"/>
      </w:pPr>
    </w:p>
    <w:p w14:paraId="2230B474" w14:textId="77777777" w:rsidR="00BC0E7E" w:rsidRPr="00BC0E7E" w:rsidRDefault="00944B8F" w:rsidP="00D51999">
      <w:pPr>
        <w:keepNext/>
        <w:numPr>
          <w:ilvl w:val="0"/>
          <w:numId w:val="61"/>
        </w:numPr>
        <w:tabs>
          <w:tab w:val="clear" w:pos="562"/>
        </w:tabs>
      </w:pPr>
      <w:r w:rsidRPr="00BC0E7E">
        <w:t>After proper training, the injection can be given by yourself or given by another person, for example, a family member or friend.</w:t>
      </w:r>
    </w:p>
    <w:p w14:paraId="41878BAD" w14:textId="77777777" w:rsidR="00BC0E7E" w:rsidRPr="00BC0E7E" w:rsidRDefault="00BC0E7E" w:rsidP="00BC0E7E">
      <w:pPr>
        <w:keepNext/>
        <w:tabs>
          <w:tab w:val="clear" w:pos="562"/>
        </w:tabs>
        <w:ind w:left="720"/>
      </w:pPr>
    </w:p>
    <w:p w14:paraId="080634E8" w14:textId="77777777" w:rsidR="00BC0E7E" w:rsidRPr="00BC0E7E" w:rsidRDefault="00944B8F" w:rsidP="00D51999">
      <w:pPr>
        <w:keepNext/>
        <w:numPr>
          <w:ilvl w:val="0"/>
          <w:numId w:val="61"/>
        </w:numPr>
        <w:tabs>
          <w:tab w:val="clear" w:pos="562"/>
        </w:tabs>
        <w:rPr>
          <w:szCs w:val="20"/>
        </w:rPr>
      </w:pPr>
      <w:r w:rsidRPr="00BC0E7E">
        <w:rPr>
          <w:szCs w:val="20"/>
        </w:rPr>
        <w:t>Only use each pre-filled pen for one injection.</w:t>
      </w:r>
    </w:p>
    <w:p w14:paraId="71285F93" w14:textId="77777777" w:rsidR="00BC0E7E" w:rsidRPr="00BC0E7E" w:rsidRDefault="00BC0E7E" w:rsidP="00BC0E7E"/>
    <w:p w14:paraId="34E78C8E" w14:textId="77777777" w:rsidR="00BC0E7E" w:rsidRPr="00BC0E7E" w:rsidRDefault="00944B8F" w:rsidP="00BC0E7E">
      <w:pPr>
        <w:keepNext/>
        <w:rPr>
          <w:b/>
          <w:szCs w:val="20"/>
        </w:rPr>
      </w:pPr>
      <w:r w:rsidRPr="00BC0E7E">
        <w:rPr>
          <w:b/>
          <w:szCs w:val="20"/>
        </w:rPr>
        <w:t>Humira Pre-filled Pen</w:t>
      </w:r>
    </w:p>
    <w:p w14:paraId="3207EAB2" w14:textId="77777777" w:rsidR="00BC0E7E" w:rsidRPr="00BC0E7E" w:rsidRDefault="00BC0E7E" w:rsidP="00BC0E7E">
      <w:pPr>
        <w:keepNext/>
        <w:rPr>
          <w:szCs w:val="20"/>
        </w:rPr>
      </w:pPr>
    </w:p>
    <w:p w14:paraId="74C37099" w14:textId="77777777" w:rsidR="00BC0E7E" w:rsidRPr="00BC0E7E" w:rsidRDefault="00944B8F" w:rsidP="00BC0E7E">
      <w:pPr>
        <w:keepNext/>
        <w:rPr>
          <w:b/>
          <w:szCs w:val="20"/>
        </w:rPr>
      </w:pPr>
      <w:r w:rsidRPr="00BC0E7E">
        <w:rPr>
          <w:b/>
          <w:szCs w:val="20"/>
        </w:rPr>
        <w:t xml:space="preserve">   Grey Cap 1     White Needle Sleeve    White Arrow                          Plum-coloured Cap 2</w:t>
      </w:r>
    </w:p>
    <w:p w14:paraId="08C397CB" w14:textId="77777777" w:rsidR="00BC0E7E" w:rsidRPr="00BC0E7E" w:rsidRDefault="00944B8F" w:rsidP="00BC0E7E">
      <w:pPr>
        <w:keepNext/>
        <w:rPr>
          <w:szCs w:val="20"/>
        </w:rPr>
      </w:pPr>
      <w:r>
        <w:rPr>
          <w:noProof/>
          <w:szCs w:val="20"/>
          <w:lang w:val="en-US"/>
        </w:rPr>
        <w:drawing>
          <wp:inline distT="0" distB="0" distL="0" distR="0" wp14:anchorId="5B5170B2" wp14:editId="5E5D39CC">
            <wp:extent cx="5883910" cy="1431290"/>
            <wp:effectExtent l="0" t="0" r="2540" b="0"/>
            <wp:docPr id="102" name="Picture 102" descr="HUMIRAPE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93" descr="HUMIRAPEN_grey"/>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5883910" cy="1431290"/>
                    </a:xfrm>
                    <a:prstGeom prst="rect">
                      <a:avLst/>
                    </a:prstGeom>
                    <a:noFill/>
                    <a:ln>
                      <a:noFill/>
                    </a:ln>
                  </pic:spPr>
                </pic:pic>
              </a:graphicData>
            </a:graphic>
          </wp:inline>
        </w:drawing>
      </w:r>
    </w:p>
    <w:p w14:paraId="52A3041D" w14:textId="77777777" w:rsidR="00BC0E7E" w:rsidRPr="00BC0E7E" w:rsidRDefault="00944B8F" w:rsidP="00BC0E7E">
      <w:pPr>
        <w:rPr>
          <w:b/>
          <w:szCs w:val="20"/>
        </w:rPr>
      </w:pPr>
      <w:r w:rsidRPr="00BC0E7E">
        <w:rPr>
          <w:b/>
          <w:szCs w:val="20"/>
        </w:rPr>
        <w:t xml:space="preserve">                              Needle           Inspection Window                    Plum Activator Button     </w:t>
      </w:r>
    </w:p>
    <w:p w14:paraId="52E19D4F" w14:textId="77777777" w:rsidR="00BC0E7E" w:rsidRPr="00BC0E7E" w:rsidRDefault="00944B8F" w:rsidP="00BC0E7E">
      <w:pPr>
        <w:rPr>
          <w:b/>
          <w:szCs w:val="20"/>
        </w:rPr>
      </w:pPr>
      <w:r w:rsidRPr="00BC0E7E">
        <w:rPr>
          <w:b/>
          <w:szCs w:val="20"/>
        </w:rPr>
        <w:t xml:space="preserve">           </w:t>
      </w:r>
    </w:p>
    <w:p w14:paraId="345CB232" w14:textId="77777777" w:rsidR="00BC0E7E" w:rsidRPr="00BC0E7E" w:rsidRDefault="00944B8F" w:rsidP="00BC0E7E">
      <w:pPr>
        <w:keepNext/>
        <w:rPr>
          <w:b/>
          <w:szCs w:val="20"/>
        </w:rPr>
      </w:pPr>
      <w:r w:rsidRPr="00BC0E7E">
        <w:rPr>
          <w:b/>
          <w:szCs w:val="20"/>
        </w:rPr>
        <w:t>Do not use the pre-filled pen and call your doctor or pharmacist if the</w:t>
      </w:r>
    </w:p>
    <w:p w14:paraId="632D017A" w14:textId="77777777" w:rsidR="00BC0E7E" w:rsidRPr="00BC0E7E" w:rsidRDefault="00BC0E7E" w:rsidP="00BC0E7E">
      <w:pPr>
        <w:rPr>
          <w:szCs w:val="20"/>
        </w:rPr>
      </w:pPr>
    </w:p>
    <w:p w14:paraId="509E92F1" w14:textId="77777777" w:rsidR="00BC0E7E" w:rsidRPr="00BC0E7E" w:rsidRDefault="00944B8F" w:rsidP="00D51999">
      <w:pPr>
        <w:keepNext/>
        <w:numPr>
          <w:ilvl w:val="0"/>
          <w:numId w:val="62"/>
        </w:numPr>
        <w:tabs>
          <w:tab w:val="clear" w:pos="562"/>
          <w:tab w:val="left" w:pos="720"/>
        </w:tabs>
        <w:rPr>
          <w:szCs w:val="20"/>
        </w:rPr>
      </w:pPr>
      <w:r w:rsidRPr="00BC0E7E">
        <w:rPr>
          <w:szCs w:val="20"/>
        </w:rPr>
        <w:t>liquid is cloudy, discoloured, or has flakes or particles in it</w:t>
      </w:r>
    </w:p>
    <w:p w14:paraId="6E77F76C" w14:textId="77777777" w:rsidR="00BC0E7E" w:rsidRPr="00BC0E7E" w:rsidRDefault="00944B8F" w:rsidP="00D51999">
      <w:pPr>
        <w:keepNext/>
        <w:numPr>
          <w:ilvl w:val="0"/>
          <w:numId w:val="62"/>
        </w:numPr>
        <w:tabs>
          <w:tab w:val="clear" w:pos="562"/>
          <w:tab w:val="left" w:pos="720"/>
        </w:tabs>
        <w:rPr>
          <w:szCs w:val="20"/>
        </w:rPr>
      </w:pPr>
      <w:r w:rsidRPr="00BC0E7E">
        <w:rPr>
          <w:szCs w:val="20"/>
        </w:rPr>
        <w:t>expiry (EXP) date has passed</w:t>
      </w:r>
    </w:p>
    <w:p w14:paraId="0B5BDC34" w14:textId="77777777" w:rsidR="00BC0E7E" w:rsidRPr="00BC0E7E" w:rsidRDefault="00944B8F" w:rsidP="00D51999">
      <w:pPr>
        <w:keepNext/>
        <w:numPr>
          <w:ilvl w:val="0"/>
          <w:numId w:val="62"/>
        </w:numPr>
        <w:tabs>
          <w:tab w:val="clear" w:pos="562"/>
          <w:tab w:val="left" w:pos="720"/>
        </w:tabs>
        <w:rPr>
          <w:szCs w:val="20"/>
        </w:rPr>
      </w:pPr>
      <w:r w:rsidRPr="00BC0E7E">
        <w:rPr>
          <w:szCs w:val="20"/>
        </w:rPr>
        <w:t>liquid has been frozen or left in direct sunlight</w:t>
      </w:r>
    </w:p>
    <w:p w14:paraId="5E1B7501" w14:textId="77777777" w:rsidR="00BC0E7E" w:rsidRPr="00BC0E7E" w:rsidRDefault="00944B8F" w:rsidP="00D51999">
      <w:pPr>
        <w:keepNext/>
        <w:numPr>
          <w:ilvl w:val="0"/>
          <w:numId w:val="62"/>
        </w:numPr>
        <w:tabs>
          <w:tab w:val="clear" w:pos="562"/>
          <w:tab w:val="left" w:pos="720"/>
        </w:tabs>
        <w:rPr>
          <w:szCs w:val="20"/>
        </w:rPr>
      </w:pPr>
      <w:r w:rsidRPr="00BC0E7E">
        <w:rPr>
          <w:szCs w:val="20"/>
        </w:rPr>
        <w:t>pre-filled pen has been dropped or crushed</w:t>
      </w:r>
    </w:p>
    <w:p w14:paraId="5E649774" w14:textId="77777777" w:rsidR="00BC0E7E" w:rsidRPr="00BC0E7E" w:rsidRDefault="00BC0E7E" w:rsidP="00BC0E7E">
      <w:pPr>
        <w:rPr>
          <w:szCs w:val="20"/>
        </w:rPr>
      </w:pPr>
    </w:p>
    <w:p w14:paraId="54133327" w14:textId="77777777" w:rsidR="00BC0E7E" w:rsidRPr="00BC0E7E" w:rsidRDefault="00944B8F" w:rsidP="00BC0E7E">
      <w:pPr>
        <w:keepNext/>
        <w:tabs>
          <w:tab w:val="clear" w:pos="562"/>
          <w:tab w:val="left" w:pos="0"/>
        </w:tabs>
        <w:rPr>
          <w:b/>
          <w:szCs w:val="20"/>
        </w:rPr>
      </w:pPr>
      <w:r w:rsidRPr="00BC0E7E">
        <w:rPr>
          <w:b/>
          <w:szCs w:val="20"/>
        </w:rPr>
        <w:t>Do not remove the caps until just before injection. Keep Humira out of the sight and reach of children.</w:t>
      </w:r>
    </w:p>
    <w:p w14:paraId="7F9E3C3A" w14:textId="77777777" w:rsidR="00BC0E7E" w:rsidRPr="00BC0E7E" w:rsidRDefault="00BC0E7E" w:rsidP="00BC0E7E">
      <w:pPr>
        <w:keepNext/>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5579"/>
      </w:tblGrid>
      <w:tr w:rsidR="00C6578C" w14:paraId="1FF6D8CC" w14:textId="77777777" w:rsidTr="00171601">
        <w:tc>
          <w:tcPr>
            <w:tcW w:w="9287" w:type="dxa"/>
            <w:gridSpan w:val="2"/>
            <w:tcBorders>
              <w:bottom w:val="single" w:sz="4" w:space="0" w:color="auto"/>
            </w:tcBorders>
          </w:tcPr>
          <w:p w14:paraId="74796DD6" w14:textId="77777777" w:rsidR="00BC0E7E" w:rsidRPr="00BC0E7E" w:rsidRDefault="00944B8F" w:rsidP="00852331">
            <w:pPr>
              <w:rPr>
                <w:b/>
                <w:szCs w:val="20"/>
              </w:rPr>
            </w:pPr>
            <w:r w:rsidRPr="00BC0E7E">
              <w:rPr>
                <w:b/>
                <w:szCs w:val="20"/>
              </w:rPr>
              <w:t>STEP 1</w:t>
            </w:r>
          </w:p>
          <w:p w14:paraId="717792D1" w14:textId="77777777" w:rsidR="00BC0E7E" w:rsidRPr="00BC0E7E" w:rsidRDefault="00BC0E7E" w:rsidP="00852331">
            <w:pPr>
              <w:rPr>
                <w:szCs w:val="20"/>
              </w:rPr>
            </w:pPr>
          </w:p>
          <w:p w14:paraId="1348414F" w14:textId="77777777" w:rsidR="00BC0E7E" w:rsidRPr="00BC0E7E" w:rsidRDefault="00944B8F" w:rsidP="00852331">
            <w:pPr>
              <w:rPr>
                <w:szCs w:val="20"/>
              </w:rPr>
            </w:pPr>
            <w:r w:rsidRPr="00BC0E7E">
              <w:rPr>
                <w:szCs w:val="20"/>
              </w:rPr>
              <w:t>Take Humira out of the refrigerator.</w:t>
            </w:r>
          </w:p>
          <w:p w14:paraId="55FE1E08" w14:textId="77777777" w:rsidR="00BC0E7E" w:rsidRPr="00BC0E7E" w:rsidRDefault="00BC0E7E" w:rsidP="00852331">
            <w:pPr>
              <w:rPr>
                <w:szCs w:val="20"/>
              </w:rPr>
            </w:pPr>
          </w:p>
          <w:p w14:paraId="10D30ACD" w14:textId="77777777" w:rsidR="00BC0E7E" w:rsidRPr="00BC0E7E" w:rsidRDefault="00944B8F" w:rsidP="00852331">
            <w:pPr>
              <w:rPr>
                <w:szCs w:val="20"/>
              </w:rPr>
            </w:pPr>
            <w:r w:rsidRPr="00BC0E7E">
              <w:rPr>
                <w:szCs w:val="20"/>
              </w:rPr>
              <w:t xml:space="preserve">Leave Humira at room temperature for </w:t>
            </w:r>
            <w:r w:rsidRPr="00BC0E7E">
              <w:rPr>
                <w:b/>
                <w:szCs w:val="20"/>
              </w:rPr>
              <w:t xml:space="preserve">15 to 30 minutes </w:t>
            </w:r>
            <w:r w:rsidRPr="00BC0E7E">
              <w:rPr>
                <w:szCs w:val="20"/>
              </w:rPr>
              <w:t>before injecting.</w:t>
            </w:r>
          </w:p>
          <w:p w14:paraId="0B52118C" w14:textId="77777777" w:rsidR="00BC0E7E" w:rsidRPr="00BC0E7E" w:rsidRDefault="00BC0E7E" w:rsidP="00852331">
            <w:pPr>
              <w:rPr>
                <w:szCs w:val="20"/>
              </w:rPr>
            </w:pPr>
          </w:p>
          <w:p w14:paraId="6677EEBD" w14:textId="77777777" w:rsidR="00BC0E7E" w:rsidRPr="00BC0E7E" w:rsidRDefault="00944B8F" w:rsidP="00D51999">
            <w:pPr>
              <w:numPr>
                <w:ilvl w:val="0"/>
                <w:numId w:val="63"/>
              </w:numPr>
              <w:tabs>
                <w:tab w:val="clear" w:pos="562"/>
                <w:tab w:val="left" w:pos="720"/>
              </w:tabs>
              <w:rPr>
                <w:szCs w:val="20"/>
              </w:rPr>
            </w:pPr>
            <w:r w:rsidRPr="00BC0E7E">
              <w:rPr>
                <w:b/>
                <w:szCs w:val="20"/>
              </w:rPr>
              <w:t>Do not</w:t>
            </w:r>
            <w:r w:rsidRPr="00BC0E7E">
              <w:rPr>
                <w:szCs w:val="20"/>
              </w:rPr>
              <w:t xml:space="preserve"> remove the Grey or Plum-coloured Caps while allowing Humira to reach room temperature</w:t>
            </w:r>
          </w:p>
          <w:p w14:paraId="220EC26C" w14:textId="77777777" w:rsidR="00BC0E7E" w:rsidRPr="00BC0E7E" w:rsidRDefault="00944B8F" w:rsidP="00D51999">
            <w:pPr>
              <w:numPr>
                <w:ilvl w:val="0"/>
                <w:numId w:val="63"/>
              </w:numPr>
              <w:tabs>
                <w:tab w:val="clear" w:pos="562"/>
                <w:tab w:val="left" w:pos="720"/>
              </w:tabs>
              <w:rPr>
                <w:szCs w:val="20"/>
              </w:rPr>
            </w:pPr>
            <w:r w:rsidRPr="00BC0E7E">
              <w:rPr>
                <w:b/>
                <w:szCs w:val="20"/>
              </w:rPr>
              <w:t xml:space="preserve">Do not </w:t>
            </w:r>
            <w:r w:rsidRPr="00BC0E7E">
              <w:rPr>
                <w:szCs w:val="20"/>
              </w:rPr>
              <w:t xml:space="preserve">warm Humira in any other way. For example, </w:t>
            </w:r>
            <w:r w:rsidRPr="00BC0E7E">
              <w:rPr>
                <w:b/>
                <w:szCs w:val="20"/>
              </w:rPr>
              <w:t>do not</w:t>
            </w:r>
            <w:r w:rsidRPr="00BC0E7E">
              <w:rPr>
                <w:szCs w:val="20"/>
              </w:rPr>
              <w:t xml:space="preserve"> warm it in a microwave or in hot water</w:t>
            </w:r>
          </w:p>
          <w:p w14:paraId="2B456315" w14:textId="77777777" w:rsidR="00BC0E7E" w:rsidRPr="00BC0E7E" w:rsidRDefault="00BC0E7E" w:rsidP="00BC0E7E">
            <w:pPr>
              <w:rPr>
                <w:szCs w:val="20"/>
              </w:rPr>
            </w:pPr>
          </w:p>
        </w:tc>
      </w:tr>
      <w:tr w:rsidR="00C6578C" w14:paraId="20B8AFFA" w14:textId="77777777" w:rsidTr="00171601">
        <w:tc>
          <w:tcPr>
            <w:tcW w:w="3708" w:type="dxa"/>
            <w:tcBorders>
              <w:right w:val="nil"/>
            </w:tcBorders>
          </w:tcPr>
          <w:p w14:paraId="5BE7DE7A" w14:textId="77777777" w:rsidR="00BC0E7E" w:rsidRPr="00BC0E7E" w:rsidRDefault="00944B8F" w:rsidP="00852331">
            <w:pPr>
              <w:keepNext/>
              <w:rPr>
                <w:b/>
                <w:noProof/>
                <w:szCs w:val="20"/>
              </w:rPr>
            </w:pPr>
            <w:r w:rsidRPr="00BC0E7E">
              <w:rPr>
                <w:b/>
                <w:noProof/>
                <w:szCs w:val="20"/>
              </w:rPr>
              <w:lastRenderedPageBreak/>
              <w:t xml:space="preserve">STEP 2 </w:t>
            </w:r>
          </w:p>
          <w:p w14:paraId="694EDC63" w14:textId="77777777" w:rsidR="00BC0E7E" w:rsidRPr="00BC0E7E" w:rsidRDefault="00BC0E7E" w:rsidP="00852331">
            <w:pPr>
              <w:keepNext/>
              <w:rPr>
                <w:b/>
                <w:noProof/>
                <w:szCs w:val="20"/>
              </w:rPr>
            </w:pPr>
          </w:p>
          <w:p w14:paraId="1169BBA7" w14:textId="77777777" w:rsidR="00BC0E7E" w:rsidRPr="00BC0E7E" w:rsidRDefault="00944B8F" w:rsidP="00852331">
            <w:pPr>
              <w:keepNext/>
              <w:rPr>
                <w:b/>
                <w:noProof/>
                <w:szCs w:val="20"/>
              </w:rPr>
            </w:pPr>
            <w:r w:rsidRPr="00BC0E7E">
              <w:rPr>
                <w:noProof/>
                <w:szCs w:val="20"/>
              </w:rPr>
              <w:t xml:space="preserve">               </w:t>
            </w:r>
            <w:r w:rsidRPr="00BC0E7E">
              <w:rPr>
                <w:b/>
                <w:noProof/>
                <w:szCs w:val="20"/>
              </w:rPr>
              <w:t>Pen</w:t>
            </w:r>
          </w:p>
          <w:p w14:paraId="2050A88C" w14:textId="77777777" w:rsidR="00BC0E7E" w:rsidRPr="00BC0E7E" w:rsidRDefault="00944B8F" w:rsidP="00852331">
            <w:pPr>
              <w:keepNext/>
              <w:rPr>
                <w:noProof/>
                <w:szCs w:val="20"/>
              </w:rPr>
            </w:pPr>
            <w:r>
              <w:rPr>
                <w:noProof/>
                <w:szCs w:val="20"/>
                <w:lang w:val="en-US"/>
              </w:rPr>
              <w:drawing>
                <wp:inline distT="0" distB="0" distL="0" distR="0" wp14:anchorId="397F3ED8" wp14:editId="619AC859">
                  <wp:extent cx="2162810" cy="2289810"/>
                  <wp:effectExtent l="0" t="0" r="8890" b="0"/>
                  <wp:docPr id="101" name="Picture 101" descr="STEP2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94" descr="STEP2_grey"/>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2162810" cy="2289810"/>
                          </a:xfrm>
                          <a:prstGeom prst="rect">
                            <a:avLst/>
                          </a:prstGeom>
                          <a:noFill/>
                          <a:ln>
                            <a:noFill/>
                          </a:ln>
                        </pic:spPr>
                      </pic:pic>
                    </a:graphicData>
                  </a:graphic>
                </wp:inline>
              </w:drawing>
            </w:r>
          </w:p>
          <w:p w14:paraId="515EC326" w14:textId="77777777" w:rsidR="00BC0E7E" w:rsidRPr="00BC0E7E" w:rsidRDefault="00944B8F" w:rsidP="00852331">
            <w:pPr>
              <w:keepNext/>
              <w:spacing w:before="100" w:beforeAutospacing="1" w:after="100" w:afterAutospacing="1"/>
              <w:rPr>
                <w:b/>
                <w:szCs w:val="20"/>
              </w:rPr>
            </w:pPr>
            <w:r w:rsidRPr="00BC0E7E">
              <w:rPr>
                <w:b/>
                <w:noProof/>
                <w:szCs w:val="20"/>
              </w:rPr>
              <w:t xml:space="preserve">                Pad</w:t>
            </w:r>
          </w:p>
        </w:tc>
        <w:tc>
          <w:tcPr>
            <w:tcW w:w="5579" w:type="dxa"/>
            <w:tcBorders>
              <w:left w:val="nil"/>
            </w:tcBorders>
          </w:tcPr>
          <w:p w14:paraId="3B715CCD" w14:textId="77777777" w:rsidR="00BC0E7E" w:rsidRPr="00BC0E7E" w:rsidRDefault="00BC0E7E" w:rsidP="00852331">
            <w:pPr>
              <w:keepNext/>
              <w:rPr>
                <w:szCs w:val="20"/>
              </w:rPr>
            </w:pPr>
          </w:p>
          <w:p w14:paraId="0701EFB4" w14:textId="77777777" w:rsidR="00BC0E7E" w:rsidRPr="00BC0E7E" w:rsidRDefault="00944B8F" w:rsidP="00852331">
            <w:pPr>
              <w:keepNext/>
              <w:rPr>
                <w:szCs w:val="20"/>
              </w:rPr>
            </w:pPr>
            <w:r w:rsidRPr="00BC0E7E">
              <w:rPr>
                <w:szCs w:val="20"/>
              </w:rPr>
              <w:t xml:space="preserve">Check expiry (EXP) date. </w:t>
            </w:r>
            <w:r w:rsidRPr="00BC0E7E">
              <w:rPr>
                <w:b/>
                <w:szCs w:val="20"/>
              </w:rPr>
              <w:t>Do not</w:t>
            </w:r>
            <w:r w:rsidRPr="00BC0E7E">
              <w:rPr>
                <w:szCs w:val="20"/>
              </w:rPr>
              <w:t xml:space="preserve"> use the pre-filled pen if expiry (EXP) date has passed.</w:t>
            </w:r>
          </w:p>
          <w:p w14:paraId="70558DF3" w14:textId="77777777" w:rsidR="00BC0E7E" w:rsidRPr="00BC0E7E" w:rsidRDefault="00BC0E7E" w:rsidP="00852331">
            <w:pPr>
              <w:keepNext/>
              <w:rPr>
                <w:szCs w:val="20"/>
              </w:rPr>
            </w:pPr>
          </w:p>
          <w:p w14:paraId="1D33A102" w14:textId="77777777" w:rsidR="00BC0E7E" w:rsidRPr="00BC0E7E" w:rsidRDefault="00944B8F" w:rsidP="00852331">
            <w:pPr>
              <w:keepNext/>
              <w:rPr>
                <w:szCs w:val="20"/>
              </w:rPr>
            </w:pPr>
            <w:r w:rsidRPr="00BC0E7E">
              <w:rPr>
                <w:szCs w:val="20"/>
              </w:rPr>
              <w:t>Place the following on a clean, flat surface</w:t>
            </w:r>
          </w:p>
          <w:p w14:paraId="60B49BC5" w14:textId="77777777" w:rsidR="00BC0E7E" w:rsidRPr="00BC0E7E" w:rsidRDefault="00BC0E7E" w:rsidP="00852331">
            <w:pPr>
              <w:keepNext/>
              <w:rPr>
                <w:szCs w:val="20"/>
              </w:rPr>
            </w:pPr>
          </w:p>
          <w:p w14:paraId="0BC8D0CD" w14:textId="77777777" w:rsidR="00BC0E7E" w:rsidRPr="00BC0E7E" w:rsidRDefault="00944B8F" w:rsidP="00D51999">
            <w:pPr>
              <w:keepNext/>
              <w:numPr>
                <w:ilvl w:val="0"/>
                <w:numId w:val="64"/>
              </w:numPr>
              <w:tabs>
                <w:tab w:val="clear" w:pos="562"/>
                <w:tab w:val="left" w:pos="757"/>
              </w:tabs>
              <w:ind w:left="757"/>
              <w:rPr>
                <w:szCs w:val="20"/>
              </w:rPr>
            </w:pPr>
            <w:r w:rsidRPr="00BC0E7E">
              <w:rPr>
                <w:szCs w:val="20"/>
              </w:rPr>
              <w:t xml:space="preserve">1 single-use pre-filled pen and </w:t>
            </w:r>
          </w:p>
          <w:p w14:paraId="31FF0218" w14:textId="77777777" w:rsidR="00BC0E7E" w:rsidRPr="00BC0E7E" w:rsidRDefault="00944B8F" w:rsidP="00D51999">
            <w:pPr>
              <w:keepNext/>
              <w:numPr>
                <w:ilvl w:val="0"/>
                <w:numId w:val="64"/>
              </w:numPr>
              <w:tabs>
                <w:tab w:val="clear" w:pos="562"/>
                <w:tab w:val="left" w:pos="757"/>
              </w:tabs>
              <w:ind w:left="757"/>
              <w:rPr>
                <w:szCs w:val="20"/>
              </w:rPr>
            </w:pPr>
            <w:r w:rsidRPr="00BC0E7E">
              <w:rPr>
                <w:szCs w:val="20"/>
              </w:rPr>
              <w:t>1 alcohol pad</w:t>
            </w:r>
          </w:p>
          <w:p w14:paraId="1F002059" w14:textId="77777777" w:rsidR="00BC0E7E" w:rsidRPr="00BC0E7E" w:rsidRDefault="00BC0E7E" w:rsidP="00852331">
            <w:pPr>
              <w:keepNext/>
              <w:rPr>
                <w:szCs w:val="20"/>
              </w:rPr>
            </w:pPr>
          </w:p>
          <w:p w14:paraId="62E5B0B3" w14:textId="77777777" w:rsidR="00BC0E7E" w:rsidRPr="00BC0E7E" w:rsidRDefault="00944B8F" w:rsidP="00852331">
            <w:pPr>
              <w:keepNext/>
              <w:rPr>
                <w:szCs w:val="20"/>
              </w:rPr>
            </w:pPr>
            <w:r w:rsidRPr="00BC0E7E">
              <w:rPr>
                <w:szCs w:val="20"/>
              </w:rPr>
              <w:t>Wash and dry your hands.</w:t>
            </w:r>
          </w:p>
        </w:tc>
      </w:tr>
      <w:tr w:rsidR="00C6578C" w14:paraId="63B9D517" w14:textId="77777777" w:rsidTr="00171601">
        <w:tc>
          <w:tcPr>
            <w:tcW w:w="3708" w:type="dxa"/>
            <w:tcBorders>
              <w:right w:val="nil"/>
            </w:tcBorders>
          </w:tcPr>
          <w:p w14:paraId="6843C157" w14:textId="77777777" w:rsidR="00BC0E7E" w:rsidRPr="00BC0E7E" w:rsidRDefault="00944B8F" w:rsidP="00BC0E7E">
            <w:pPr>
              <w:rPr>
                <w:b/>
                <w:noProof/>
                <w:szCs w:val="20"/>
              </w:rPr>
            </w:pPr>
            <w:r w:rsidRPr="00BC0E7E">
              <w:rPr>
                <w:b/>
                <w:noProof/>
                <w:szCs w:val="20"/>
              </w:rPr>
              <w:t>STEP 3</w:t>
            </w:r>
          </w:p>
          <w:p w14:paraId="0A5D174D" w14:textId="77777777" w:rsidR="00BC0E7E" w:rsidRPr="00BC0E7E" w:rsidRDefault="00BC0E7E" w:rsidP="00BC0E7E">
            <w:pPr>
              <w:rPr>
                <w:b/>
                <w:noProof/>
                <w:szCs w:val="20"/>
              </w:rPr>
            </w:pPr>
          </w:p>
          <w:p w14:paraId="30539FA5" w14:textId="77777777" w:rsidR="00BC0E7E" w:rsidRPr="00BC0E7E" w:rsidRDefault="00944B8F" w:rsidP="00BC0E7E">
            <w:pPr>
              <w:rPr>
                <w:b/>
                <w:noProof/>
                <w:szCs w:val="20"/>
              </w:rPr>
            </w:pPr>
            <w:r w:rsidRPr="00BC0E7E">
              <w:rPr>
                <w:b/>
                <w:noProof/>
                <w:szCs w:val="20"/>
              </w:rPr>
              <w:t>Injectable Areas</w:t>
            </w:r>
          </w:p>
          <w:p w14:paraId="13203909" w14:textId="77777777" w:rsidR="00BC0E7E" w:rsidRPr="00BC0E7E" w:rsidRDefault="00944B8F" w:rsidP="00BC0E7E">
            <w:pPr>
              <w:rPr>
                <w:noProof/>
                <w:szCs w:val="20"/>
              </w:rPr>
            </w:pPr>
            <w:r>
              <w:rPr>
                <w:noProof/>
                <w:szCs w:val="20"/>
                <w:lang w:val="en-US"/>
              </w:rPr>
              <w:drawing>
                <wp:inline distT="0" distB="0" distL="0" distR="0" wp14:anchorId="0A04DD0C" wp14:editId="77A0B93F">
                  <wp:extent cx="2273935" cy="2385695"/>
                  <wp:effectExtent l="0" t="0" r="0" b="0"/>
                  <wp:docPr id="100" name="Picture 100"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95" descr="STEP3_grey"/>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273935" cy="2385695"/>
                          </a:xfrm>
                          <a:prstGeom prst="rect">
                            <a:avLst/>
                          </a:prstGeom>
                          <a:noFill/>
                          <a:ln>
                            <a:noFill/>
                          </a:ln>
                        </pic:spPr>
                      </pic:pic>
                    </a:graphicData>
                  </a:graphic>
                </wp:inline>
              </w:drawing>
            </w:r>
          </w:p>
          <w:p w14:paraId="5638DBAB" w14:textId="77777777" w:rsidR="00BC0E7E" w:rsidRPr="00BC0E7E" w:rsidRDefault="00944B8F" w:rsidP="00BC0E7E">
            <w:pPr>
              <w:rPr>
                <w:b/>
                <w:szCs w:val="20"/>
              </w:rPr>
            </w:pPr>
            <w:r w:rsidRPr="00BC0E7E">
              <w:rPr>
                <w:noProof/>
                <w:szCs w:val="20"/>
              </w:rPr>
              <w:t xml:space="preserve">     </w:t>
            </w:r>
            <w:r w:rsidRPr="00BC0E7E">
              <w:rPr>
                <w:b/>
                <w:noProof/>
                <w:szCs w:val="20"/>
              </w:rPr>
              <w:t>Injectable Areas</w:t>
            </w:r>
          </w:p>
        </w:tc>
        <w:tc>
          <w:tcPr>
            <w:tcW w:w="5579" w:type="dxa"/>
            <w:tcBorders>
              <w:left w:val="nil"/>
            </w:tcBorders>
          </w:tcPr>
          <w:p w14:paraId="5E50214F" w14:textId="77777777" w:rsidR="00BC0E7E" w:rsidRPr="00BC0E7E" w:rsidRDefault="00BC0E7E" w:rsidP="00BC0E7E">
            <w:pPr>
              <w:rPr>
                <w:szCs w:val="20"/>
              </w:rPr>
            </w:pPr>
          </w:p>
          <w:p w14:paraId="431ACD02" w14:textId="77777777" w:rsidR="00BC0E7E" w:rsidRPr="00BC0E7E" w:rsidRDefault="00944B8F" w:rsidP="00BC0E7E">
            <w:pPr>
              <w:rPr>
                <w:szCs w:val="20"/>
              </w:rPr>
            </w:pPr>
            <w:r w:rsidRPr="00BC0E7E">
              <w:rPr>
                <w:szCs w:val="20"/>
              </w:rPr>
              <w:t>Choose an injection site:</w:t>
            </w:r>
          </w:p>
          <w:p w14:paraId="7637A27C" w14:textId="77777777" w:rsidR="00BC0E7E" w:rsidRPr="00BC0E7E" w:rsidRDefault="00BC0E7E" w:rsidP="00BC0E7E">
            <w:pPr>
              <w:rPr>
                <w:szCs w:val="20"/>
              </w:rPr>
            </w:pPr>
          </w:p>
          <w:p w14:paraId="4F616A4E" w14:textId="77777777" w:rsidR="00BC0E7E" w:rsidRPr="00BC0E7E" w:rsidRDefault="00944B8F" w:rsidP="00D51999">
            <w:pPr>
              <w:numPr>
                <w:ilvl w:val="0"/>
                <w:numId w:val="65"/>
              </w:numPr>
              <w:tabs>
                <w:tab w:val="clear" w:pos="562"/>
                <w:tab w:val="left" w:pos="757"/>
              </w:tabs>
              <w:ind w:left="757"/>
              <w:rPr>
                <w:szCs w:val="20"/>
              </w:rPr>
            </w:pPr>
            <w:r w:rsidRPr="00BC0E7E">
              <w:rPr>
                <w:szCs w:val="20"/>
              </w:rPr>
              <w:t>On the front of your thighs or</w:t>
            </w:r>
          </w:p>
          <w:p w14:paraId="67380488" w14:textId="77777777" w:rsidR="00BC0E7E" w:rsidRPr="00BC0E7E" w:rsidRDefault="00944B8F" w:rsidP="00D51999">
            <w:pPr>
              <w:numPr>
                <w:ilvl w:val="0"/>
                <w:numId w:val="65"/>
              </w:numPr>
              <w:tabs>
                <w:tab w:val="clear" w:pos="562"/>
                <w:tab w:val="left" w:pos="757"/>
              </w:tabs>
              <w:ind w:left="757"/>
              <w:rPr>
                <w:szCs w:val="20"/>
              </w:rPr>
            </w:pPr>
            <w:r w:rsidRPr="00BC0E7E">
              <w:rPr>
                <w:szCs w:val="20"/>
              </w:rPr>
              <w:t>Your belly (abdomen) at least 5 cm from your belly button (nav</w:t>
            </w:r>
            <w:r w:rsidR="00BA65BA">
              <w:rPr>
                <w:szCs w:val="20"/>
              </w:rPr>
              <w:t>e</w:t>
            </w:r>
            <w:r w:rsidRPr="00BC0E7E">
              <w:rPr>
                <w:szCs w:val="20"/>
              </w:rPr>
              <w:t>l)</w:t>
            </w:r>
          </w:p>
          <w:p w14:paraId="6B12B935" w14:textId="77777777" w:rsidR="00BC0E7E" w:rsidRPr="00BC0E7E" w:rsidRDefault="00944B8F" w:rsidP="00D51999">
            <w:pPr>
              <w:numPr>
                <w:ilvl w:val="0"/>
                <w:numId w:val="65"/>
              </w:numPr>
              <w:tabs>
                <w:tab w:val="clear" w:pos="562"/>
                <w:tab w:val="left" w:pos="757"/>
              </w:tabs>
              <w:ind w:left="757"/>
              <w:rPr>
                <w:szCs w:val="20"/>
              </w:rPr>
            </w:pPr>
            <w:r w:rsidRPr="00BC0E7E">
              <w:rPr>
                <w:szCs w:val="20"/>
              </w:rPr>
              <w:t>At least 3 cm from your last injection site</w:t>
            </w:r>
          </w:p>
          <w:p w14:paraId="4858245C" w14:textId="77777777" w:rsidR="00BC0E7E" w:rsidRPr="00BC0E7E" w:rsidRDefault="00BC0E7E" w:rsidP="00BC0E7E">
            <w:pPr>
              <w:rPr>
                <w:szCs w:val="20"/>
              </w:rPr>
            </w:pPr>
          </w:p>
          <w:p w14:paraId="7877ABDE" w14:textId="77777777" w:rsidR="00BC0E7E" w:rsidRPr="00BC0E7E" w:rsidRDefault="00944B8F" w:rsidP="00BC0E7E">
            <w:pPr>
              <w:rPr>
                <w:szCs w:val="20"/>
              </w:rPr>
            </w:pPr>
            <w:r w:rsidRPr="00BC0E7E">
              <w:rPr>
                <w:szCs w:val="20"/>
              </w:rPr>
              <w:t>Wipe the injection site in a circular motion with the alcohol pad.</w:t>
            </w:r>
          </w:p>
          <w:p w14:paraId="22096AAC" w14:textId="77777777" w:rsidR="00BC0E7E" w:rsidRPr="00BC0E7E" w:rsidRDefault="00BC0E7E" w:rsidP="00BC0E7E">
            <w:pPr>
              <w:rPr>
                <w:szCs w:val="20"/>
              </w:rPr>
            </w:pPr>
          </w:p>
          <w:p w14:paraId="5E4E083F" w14:textId="77777777" w:rsidR="00BC0E7E" w:rsidRPr="00BC0E7E" w:rsidRDefault="00944B8F" w:rsidP="00D51999">
            <w:pPr>
              <w:numPr>
                <w:ilvl w:val="0"/>
                <w:numId w:val="66"/>
              </w:numPr>
              <w:tabs>
                <w:tab w:val="clear" w:pos="562"/>
                <w:tab w:val="left" w:pos="757"/>
              </w:tabs>
              <w:ind w:left="757"/>
              <w:rPr>
                <w:szCs w:val="20"/>
              </w:rPr>
            </w:pPr>
            <w:r w:rsidRPr="00BC0E7E">
              <w:rPr>
                <w:b/>
                <w:szCs w:val="20"/>
              </w:rPr>
              <w:t>Do not</w:t>
            </w:r>
            <w:r w:rsidRPr="00BC0E7E">
              <w:rPr>
                <w:szCs w:val="20"/>
              </w:rPr>
              <w:t xml:space="preserve"> inject through clothes</w:t>
            </w:r>
          </w:p>
          <w:p w14:paraId="729F48D4" w14:textId="77777777" w:rsidR="00BC0E7E" w:rsidRPr="00BC0E7E" w:rsidRDefault="00944B8F" w:rsidP="00D51999">
            <w:pPr>
              <w:numPr>
                <w:ilvl w:val="0"/>
                <w:numId w:val="66"/>
              </w:numPr>
              <w:tabs>
                <w:tab w:val="clear" w:pos="562"/>
                <w:tab w:val="left" w:pos="757"/>
              </w:tabs>
              <w:ind w:left="757"/>
              <w:rPr>
                <w:szCs w:val="20"/>
              </w:rPr>
            </w:pPr>
            <w:r w:rsidRPr="00BC0E7E">
              <w:rPr>
                <w:b/>
                <w:szCs w:val="20"/>
              </w:rPr>
              <w:t xml:space="preserve">Do not </w:t>
            </w:r>
            <w:r w:rsidRPr="00BC0E7E">
              <w:rPr>
                <w:szCs w:val="20"/>
              </w:rPr>
              <w:t>inject into skin that is sore, bruised, red, hard, scarred, has stretch marks, or areas with psoriasis plaques</w:t>
            </w:r>
          </w:p>
        </w:tc>
      </w:tr>
      <w:tr w:rsidR="00C6578C" w14:paraId="4853A12F" w14:textId="77777777" w:rsidTr="00171601">
        <w:tc>
          <w:tcPr>
            <w:tcW w:w="3708" w:type="dxa"/>
            <w:tcBorders>
              <w:right w:val="nil"/>
            </w:tcBorders>
          </w:tcPr>
          <w:p w14:paraId="6B30B8BB" w14:textId="77777777" w:rsidR="00BC0E7E" w:rsidRPr="00BC0E7E" w:rsidRDefault="00944B8F" w:rsidP="00BC0E7E">
            <w:pPr>
              <w:keepNext/>
              <w:rPr>
                <w:b/>
                <w:noProof/>
                <w:szCs w:val="20"/>
              </w:rPr>
            </w:pPr>
            <w:r w:rsidRPr="00BC0E7E">
              <w:rPr>
                <w:b/>
                <w:noProof/>
                <w:szCs w:val="20"/>
              </w:rPr>
              <w:lastRenderedPageBreak/>
              <w:t>STEP 4</w:t>
            </w:r>
          </w:p>
          <w:p w14:paraId="472BD4EB" w14:textId="77777777" w:rsidR="00BC0E7E" w:rsidRPr="00BC0E7E" w:rsidRDefault="00BC0E7E" w:rsidP="00BC0E7E">
            <w:pPr>
              <w:keepNext/>
              <w:rPr>
                <w:b/>
                <w:noProof/>
                <w:szCs w:val="20"/>
              </w:rPr>
            </w:pPr>
          </w:p>
          <w:p w14:paraId="7794264A" w14:textId="77777777" w:rsidR="00BC0E7E" w:rsidRPr="00BC0E7E" w:rsidRDefault="00944B8F" w:rsidP="00BC0E7E">
            <w:pPr>
              <w:keepNext/>
              <w:rPr>
                <w:szCs w:val="20"/>
              </w:rPr>
            </w:pPr>
            <w:r>
              <w:rPr>
                <w:noProof/>
                <w:szCs w:val="20"/>
                <w:lang w:val="en-US"/>
              </w:rPr>
              <w:drawing>
                <wp:inline distT="0" distB="0" distL="0" distR="0" wp14:anchorId="6BEFA650" wp14:editId="63CC31CA">
                  <wp:extent cx="2210435" cy="2051685"/>
                  <wp:effectExtent l="0" t="0" r="0" b="5715"/>
                  <wp:docPr id="99" name="Picture 99" descr="STEP4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6" descr="STEP4_grey"/>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2210435" cy="2051685"/>
                          </a:xfrm>
                          <a:prstGeom prst="rect">
                            <a:avLst/>
                          </a:prstGeom>
                          <a:noFill/>
                          <a:ln>
                            <a:noFill/>
                          </a:ln>
                        </pic:spPr>
                      </pic:pic>
                    </a:graphicData>
                  </a:graphic>
                </wp:inline>
              </w:drawing>
            </w:r>
          </w:p>
        </w:tc>
        <w:tc>
          <w:tcPr>
            <w:tcW w:w="5579" w:type="dxa"/>
            <w:tcBorders>
              <w:left w:val="nil"/>
            </w:tcBorders>
          </w:tcPr>
          <w:p w14:paraId="098DECCE" w14:textId="77777777" w:rsidR="00BC0E7E" w:rsidRPr="00BC0E7E" w:rsidRDefault="00BC0E7E" w:rsidP="00BC0E7E">
            <w:pPr>
              <w:keepNext/>
              <w:rPr>
                <w:szCs w:val="20"/>
              </w:rPr>
            </w:pPr>
          </w:p>
          <w:p w14:paraId="24C2617F" w14:textId="77777777" w:rsidR="00BC0E7E" w:rsidRPr="00BC0E7E" w:rsidRDefault="00944B8F" w:rsidP="00BC0E7E">
            <w:pPr>
              <w:keepNext/>
              <w:rPr>
                <w:szCs w:val="20"/>
              </w:rPr>
            </w:pPr>
            <w:r w:rsidRPr="00BC0E7E">
              <w:rPr>
                <w:szCs w:val="20"/>
              </w:rPr>
              <w:t xml:space="preserve">Hold the pre-filled pen with the Grey Cap 1 pointing up. </w:t>
            </w:r>
          </w:p>
          <w:p w14:paraId="502303A0" w14:textId="77777777" w:rsidR="00BC0E7E" w:rsidRPr="00BC0E7E" w:rsidRDefault="00BC0E7E" w:rsidP="00BC0E7E">
            <w:pPr>
              <w:keepNext/>
              <w:rPr>
                <w:szCs w:val="20"/>
              </w:rPr>
            </w:pPr>
          </w:p>
          <w:p w14:paraId="6A4EFDB2" w14:textId="77777777" w:rsidR="00BC0E7E" w:rsidRPr="00BC0E7E" w:rsidRDefault="00944B8F" w:rsidP="00BC0E7E">
            <w:pPr>
              <w:keepNext/>
              <w:rPr>
                <w:szCs w:val="20"/>
              </w:rPr>
            </w:pPr>
            <w:r w:rsidRPr="00BC0E7E">
              <w:rPr>
                <w:szCs w:val="20"/>
              </w:rPr>
              <w:t>Check the inspection window.</w:t>
            </w:r>
          </w:p>
          <w:p w14:paraId="73677711" w14:textId="77777777" w:rsidR="00BC0E7E" w:rsidRPr="00BC0E7E" w:rsidRDefault="00BC0E7E" w:rsidP="00BC0E7E">
            <w:pPr>
              <w:keepNext/>
              <w:rPr>
                <w:szCs w:val="20"/>
              </w:rPr>
            </w:pPr>
          </w:p>
          <w:p w14:paraId="634FCC79" w14:textId="77777777" w:rsidR="00BC0E7E" w:rsidRPr="00BC0E7E" w:rsidRDefault="00944B8F" w:rsidP="00D51999">
            <w:pPr>
              <w:keepNext/>
              <w:numPr>
                <w:ilvl w:val="0"/>
                <w:numId w:val="67"/>
              </w:numPr>
              <w:tabs>
                <w:tab w:val="clear" w:pos="562"/>
                <w:tab w:val="left" w:pos="757"/>
              </w:tabs>
              <w:ind w:left="757"/>
              <w:rPr>
                <w:szCs w:val="20"/>
              </w:rPr>
            </w:pPr>
            <w:r w:rsidRPr="00BC0E7E">
              <w:rPr>
                <w:szCs w:val="20"/>
              </w:rPr>
              <w:t>It is normal to see 1 or more bubbles in the window</w:t>
            </w:r>
          </w:p>
          <w:p w14:paraId="07641D32" w14:textId="77777777" w:rsidR="00BC0E7E" w:rsidRPr="00BC0E7E" w:rsidRDefault="00944B8F" w:rsidP="00D51999">
            <w:pPr>
              <w:keepNext/>
              <w:numPr>
                <w:ilvl w:val="0"/>
                <w:numId w:val="67"/>
              </w:numPr>
              <w:tabs>
                <w:tab w:val="clear" w:pos="562"/>
                <w:tab w:val="left" w:pos="757"/>
              </w:tabs>
              <w:ind w:left="757"/>
              <w:rPr>
                <w:szCs w:val="20"/>
              </w:rPr>
            </w:pPr>
            <w:r w:rsidRPr="00BC0E7E">
              <w:rPr>
                <w:szCs w:val="20"/>
              </w:rPr>
              <w:t>Make sure the liquid is clear and colourless</w:t>
            </w:r>
          </w:p>
          <w:p w14:paraId="26C0B579" w14:textId="77777777" w:rsidR="00BC0E7E" w:rsidRPr="00BC0E7E" w:rsidRDefault="00944B8F" w:rsidP="00D51999">
            <w:pPr>
              <w:keepNext/>
              <w:numPr>
                <w:ilvl w:val="0"/>
                <w:numId w:val="67"/>
              </w:numPr>
              <w:tabs>
                <w:tab w:val="clear" w:pos="562"/>
                <w:tab w:val="left" w:pos="757"/>
              </w:tabs>
              <w:ind w:left="757"/>
              <w:rPr>
                <w:szCs w:val="20"/>
              </w:rPr>
            </w:pPr>
            <w:r w:rsidRPr="00BC0E7E">
              <w:rPr>
                <w:b/>
                <w:szCs w:val="20"/>
              </w:rPr>
              <w:t>Do not</w:t>
            </w:r>
            <w:r w:rsidRPr="00BC0E7E">
              <w:rPr>
                <w:szCs w:val="20"/>
              </w:rPr>
              <w:t xml:space="preserve"> use the pre-filled pen if the liquid is cloudy or has particles</w:t>
            </w:r>
          </w:p>
          <w:p w14:paraId="49FEA02C" w14:textId="77777777" w:rsidR="00BC0E7E" w:rsidRPr="00BC0E7E" w:rsidRDefault="00944B8F" w:rsidP="00D51999">
            <w:pPr>
              <w:keepNext/>
              <w:numPr>
                <w:ilvl w:val="0"/>
                <w:numId w:val="67"/>
              </w:numPr>
              <w:tabs>
                <w:tab w:val="clear" w:pos="562"/>
                <w:tab w:val="left" w:pos="757"/>
              </w:tabs>
              <w:ind w:left="757"/>
              <w:rPr>
                <w:szCs w:val="20"/>
              </w:rPr>
            </w:pPr>
            <w:r w:rsidRPr="00BC0E7E">
              <w:rPr>
                <w:b/>
                <w:szCs w:val="20"/>
              </w:rPr>
              <w:t xml:space="preserve">Do not </w:t>
            </w:r>
            <w:r w:rsidRPr="00BC0E7E">
              <w:rPr>
                <w:szCs w:val="20"/>
              </w:rPr>
              <w:t>use the pre-filled pen if it has been dropped or crushed</w:t>
            </w:r>
          </w:p>
        </w:tc>
      </w:tr>
      <w:tr w:rsidR="00C6578C" w14:paraId="52785AAF" w14:textId="77777777" w:rsidTr="00171601">
        <w:tc>
          <w:tcPr>
            <w:tcW w:w="3708" w:type="dxa"/>
            <w:tcBorders>
              <w:right w:val="nil"/>
            </w:tcBorders>
          </w:tcPr>
          <w:p w14:paraId="4B5B62D0" w14:textId="77777777" w:rsidR="00BC0E7E" w:rsidRPr="00BC0E7E" w:rsidRDefault="00944B8F" w:rsidP="00BC0E7E">
            <w:pPr>
              <w:rPr>
                <w:noProof/>
                <w:szCs w:val="20"/>
              </w:rPr>
            </w:pPr>
            <w:r w:rsidRPr="00BC0E7E">
              <w:rPr>
                <w:b/>
                <w:noProof/>
                <w:szCs w:val="20"/>
              </w:rPr>
              <w:t>STEP 5</w:t>
            </w:r>
            <w:r w:rsidRPr="00BC0E7E">
              <w:rPr>
                <w:noProof/>
                <w:szCs w:val="20"/>
              </w:rPr>
              <w:t xml:space="preserve"> </w:t>
            </w:r>
          </w:p>
          <w:p w14:paraId="0BEA9E22" w14:textId="77777777" w:rsidR="00BC0E7E" w:rsidRPr="00BC0E7E" w:rsidRDefault="00BC0E7E" w:rsidP="00BC0E7E">
            <w:pPr>
              <w:rPr>
                <w:noProof/>
                <w:szCs w:val="20"/>
              </w:rPr>
            </w:pPr>
          </w:p>
          <w:p w14:paraId="42C1264A" w14:textId="77777777" w:rsidR="00BC0E7E" w:rsidRPr="00BC0E7E" w:rsidRDefault="00944B8F" w:rsidP="00BC0E7E">
            <w:pPr>
              <w:rPr>
                <w:b/>
                <w:noProof/>
                <w:szCs w:val="20"/>
              </w:rPr>
            </w:pPr>
            <w:r w:rsidRPr="00BC0E7E">
              <w:rPr>
                <w:b/>
                <w:noProof/>
                <w:szCs w:val="20"/>
              </w:rPr>
              <w:t>Cap 1</w:t>
            </w:r>
          </w:p>
          <w:p w14:paraId="06E6B79C" w14:textId="77777777" w:rsidR="00BC0E7E" w:rsidRPr="00BC0E7E" w:rsidRDefault="00944B8F" w:rsidP="00BC0E7E">
            <w:pPr>
              <w:rPr>
                <w:noProof/>
                <w:szCs w:val="20"/>
              </w:rPr>
            </w:pPr>
            <w:r>
              <w:rPr>
                <w:noProof/>
                <w:szCs w:val="20"/>
                <w:lang w:val="en-US"/>
              </w:rPr>
              <w:drawing>
                <wp:inline distT="0" distB="0" distL="0" distR="0" wp14:anchorId="2B9EED6C" wp14:editId="0B071650">
                  <wp:extent cx="2027555" cy="1844675"/>
                  <wp:effectExtent l="0" t="0" r="0" b="3175"/>
                  <wp:docPr id="98" name="Picture 98" descr="EU_IFU_STEP5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7" descr="EU_IFU_STEP5_grey"/>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2027555" cy="1844675"/>
                          </a:xfrm>
                          <a:prstGeom prst="rect">
                            <a:avLst/>
                          </a:prstGeom>
                          <a:noFill/>
                          <a:ln>
                            <a:noFill/>
                          </a:ln>
                        </pic:spPr>
                      </pic:pic>
                    </a:graphicData>
                  </a:graphic>
                </wp:inline>
              </w:drawing>
            </w:r>
          </w:p>
          <w:p w14:paraId="5C1E7D2A" w14:textId="77777777" w:rsidR="00BC0E7E" w:rsidRPr="00BC0E7E" w:rsidRDefault="00944B8F" w:rsidP="00BC0E7E">
            <w:pPr>
              <w:rPr>
                <w:b/>
                <w:szCs w:val="20"/>
              </w:rPr>
            </w:pPr>
            <w:r w:rsidRPr="00BC0E7E">
              <w:rPr>
                <w:b/>
                <w:noProof/>
                <w:szCs w:val="20"/>
              </w:rPr>
              <w:t xml:space="preserve">                                            Cap 2</w:t>
            </w:r>
          </w:p>
        </w:tc>
        <w:tc>
          <w:tcPr>
            <w:tcW w:w="5579" w:type="dxa"/>
            <w:tcBorders>
              <w:left w:val="nil"/>
            </w:tcBorders>
          </w:tcPr>
          <w:p w14:paraId="18B49584" w14:textId="77777777" w:rsidR="00BC0E7E" w:rsidRPr="00BC0E7E" w:rsidRDefault="00BC0E7E" w:rsidP="00BC0E7E">
            <w:pPr>
              <w:rPr>
                <w:szCs w:val="20"/>
              </w:rPr>
            </w:pPr>
          </w:p>
          <w:p w14:paraId="62D8B9F3" w14:textId="77777777" w:rsidR="00BC0E7E" w:rsidRPr="00BC0E7E" w:rsidRDefault="00944B8F" w:rsidP="00BC0E7E">
            <w:pPr>
              <w:rPr>
                <w:szCs w:val="20"/>
              </w:rPr>
            </w:pPr>
            <w:r w:rsidRPr="00BC0E7E">
              <w:rPr>
                <w:szCs w:val="20"/>
              </w:rPr>
              <w:t xml:space="preserve">Pull the Grey Cap 1 straight off. Throw the cap away. </w:t>
            </w:r>
            <w:r w:rsidR="00AE2CFB">
              <w:rPr>
                <w:b/>
                <w:szCs w:val="20"/>
              </w:rPr>
              <w:t xml:space="preserve">Do not </w:t>
            </w:r>
            <w:r w:rsidRPr="00BC0E7E">
              <w:rPr>
                <w:szCs w:val="20"/>
              </w:rPr>
              <w:t>recap.</w:t>
            </w:r>
          </w:p>
          <w:p w14:paraId="2F6286AE" w14:textId="77777777" w:rsidR="00BC0E7E" w:rsidRPr="00BC0E7E" w:rsidRDefault="00BC0E7E" w:rsidP="00BC0E7E">
            <w:pPr>
              <w:rPr>
                <w:szCs w:val="20"/>
              </w:rPr>
            </w:pPr>
          </w:p>
          <w:p w14:paraId="71D58E29" w14:textId="77777777" w:rsidR="00BC0E7E" w:rsidRPr="00BC0E7E" w:rsidRDefault="00944B8F" w:rsidP="00D51999">
            <w:pPr>
              <w:numPr>
                <w:ilvl w:val="0"/>
                <w:numId w:val="68"/>
              </w:numPr>
              <w:tabs>
                <w:tab w:val="clear" w:pos="562"/>
                <w:tab w:val="left" w:pos="757"/>
              </w:tabs>
              <w:ind w:left="763"/>
              <w:rPr>
                <w:szCs w:val="20"/>
              </w:rPr>
            </w:pPr>
            <w:r w:rsidRPr="00BC0E7E">
              <w:rPr>
                <w:szCs w:val="20"/>
              </w:rPr>
              <w:t>Check that the small black needle cover of the syringe has been removed with the cap</w:t>
            </w:r>
          </w:p>
          <w:p w14:paraId="28BBA9A4" w14:textId="77777777" w:rsidR="00BC0E7E" w:rsidRPr="00BC0E7E" w:rsidRDefault="00944B8F" w:rsidP="00D51999">
            <w:pPr>
              <w:numPr>
                <w:ilvl w:val="0"/>
                <w:numId w:val="68"/>
              </w:numPr>
              <w:tabs>
                <w:tab w:val="clear" w:pos="562"/>
                <w:tab w:val="left" w:pos="757"/>
              </w:tabs>
              <w:ind w:left="763"/>
              <w:rPr>
                <w:szCs w:val="20"/>
              </w:rPr>
            </w:pPr>
            <w:r w:rsidRPr="00BC0E7E">
              <w:rPr>
                <w:szCs w:val="20"/>
              </w:rPr>
              <w:t>It is normal to see a few drops of liquid come out of the needle</w:t>
            </w:r>
          </w:p>
          <w:p w14:paraId="4267BE09" w14:textId="77777777" w:rsidR="00BC0E7E" w:rsidRPr="00BC0E7E" w:rsidRDefault="00BC0E7E" w:rsidP="00BC0E7E">
            <w:pPr>
              <w:rPr>
                <w:szCs w:val="20"/>
              </w:rPr>
            </w:pPr>
          </w:p>
          <w:p w14:paraId="20F247B9" w14:textId="77777777" w:rsidR="00BC0E7E" w:rsidRPr="00BC0E7E" w:rsidRDefault="00944B8F" w:rsidP="00BC0E7E">
            <w:pPr>
              <w:rPr>
                <w:szCs w:val="20"/>
              </w:rPr>
            </w:pPr>
            <w:r w:rsidRPr="00BC0E7E">
              <w:rPr>
                <w:szCs w:val="20"/>
              </w:rPr>
              <w:t xml:space="preserve">Pull the Plum-coloured Cap 2 straight off. Throw the cap away. </w:t>
            </w:r>
            <w:r w:rsidR="00AE2CFB">
              <w:rPr>
                <w:b/>
                <w:szCs w:val="20"/>
              </w:rPr>
              <w:t>Do not</w:t>
            </w:r>
            <w:r w:rsidRPr="00BC0E7E">
              <w:rPr>
                <w:szCs w:val="20"/>
              </w:rPr>
              <w:t xml:space="preserve"> recap.</w:t>
            </w:r>
          </w:p>
          <w:p w14:paraId="09B63FA1" w14:textId="77777777" w:rsidR="00BC0E7E" w:rsidRPr="00BC0E7E" w:rsidRDefault="00BC0E7E" w:rsidP="00BC0E7E">
            <w:pPr>
              <w:rPr>
                <w:szCs w:val="20"/>
              </w:rPr>
            </w:pPr>
          </w:p>
          <w:p w14:paraId="2FB3B88A" w14:textId="77777777" w:rsidR="00BC0E7E" w:rsidRPr="00BC0E7E" w:rsidRDefault="00944B8F" w:rsidP="00BC0E7E">
            <w:pPr>
              <w:rPr>
                <w:szCs w:val="20"/>
              </w:rPr>
            </w:pPr>
            <w:r w:rsidRPr="00BC0E7E">
              <w:rPr>
                <w:szCs w:val="20"/>
              </w:rPr>
              <w:t>The pre-filled pen is now ready to use.</w:t>
            </w:r>
          </w:p>
          <w:p w14:paraId="1CBB50B0" w14:textId="77777777" w:rsidR="00BC0E7E" w:rsidRPr="00BC0E7E" w:rsidRDefault="00BC0E7E" w:rsidP="00BC0E7E">
            <w:pPr>
              <w:rPr>
                <w:szCs w:val="20"/>
              </w:rPr>
            </w:pPr>
          </w:p>
          <w:p w14:paraId="59133F83" w14:textId="77777777" w:rsidR="00BC0E7E" w:rsidRPr="00BC0E7E" w:rsidRDefault="00944B8F" w:rsidP="00BC0E7E">
            <w:pPr>
              <w:rPr>
                <w:szCs w:val="20"/>
              </w:rPr>
            </w:pPr>
            <w:r w:rsidRPr="00BC0E7E">
              <w:rPr>
                <w:szCs w:val="20"/>
              </w:rPr>
              <w:t>Turn</w:t>
            </w:r>
            <w:r w:rsidRPr="00BC0E7E">
              <w:rPr>
                <w:b/>
                <w:szCs w:val="20"/>
              </w:rPr>
              <w:t xml:space="preserve"> </w:t>
            </w:r>
            <w:r w:rsidRPr="00BC0E7E">
              <w:rPr>
                <w:szCs w:val="20"/>
              </w:rPr>
              <w:t>the pre-filled pen so that the white arrow points toward the injection site.</w:t>
            </w:r>
          </w:p>
        </w:tc>
      </w:tr>
      <w:tr w:rsidR="00C6578C" w14:paraId="167C66FC" w14:textId="77777777" w:rsidTr="00171601">
        <w:tc>
          <w:tcPr>
            <w:tcW w:w="3708" w:type="dxa"/>
            <w:tcBorders>
              <w:right w:val="nil"/>
            </w:tcBorders>
          </w:tcPr>
          <w:p w14:paraId="6E3BBA19" w14:textId="77777777" w:rsidR="00BC0E7E" w:rsidRPr="00BC0E7E" w:rsidRDefault="00944B8F" w:rsidP="00BC0E7E">
            <w:pPr>
              <w:rPr>
                <w:b/>
                <w:noProof/>
                <w:szCs w:val="20"/>
              </w:rPr>
            </w:pPr>
            <w:r w:rsidRPr="00BC0E7E">
              <w:rPr>
                <w:b/>
                <w:noProof/>
                <w:szCs w:val="20"/>
              </w:rPr>
              <w:t>STEP 6</w:t>
            </w:r>
          </w:p>
          <w:p w14:paraId="045F38B6" w14:textId="77777777" w:rsidR="00BC0E7E" w:rsidRPr="00BC0E7E" w:rsidRDefault="00BC0E7E" w:rsidP="00BC0E7E">
            <w:pPr>
              <w:rPr>
                <w:b/>
                <w:noProof/>
                <w:szCs w:val="20"/>
              </w:rPr>
            </w:pPr>
          </w:p>
          <w:p w14:paraId="540F59AF" w14:textId="77777777" w:rsidR="00BC0E7E" w:rsidRPr="00BC0E7E" w:rsidRDefault="00944B8F" w:rsidP="00BC0E7E">
            <w:pPr>
              <w:rPr>
                <w:szCs w:val="20"/>
              </w:rPr>
            </w:pPr>
            <w:r>
              <w:rPr>
                <w:noProof/>
                <w:szCs w:val="20"/>
                <w:lang w:val="en-US"/>
              </w:rPr>
              <w:drawing>
                <wp:inline distT="0" distB="0" distL="0" distR="0" wp14:anchorId="29EFB8E1" wp14:editId="6C9463F5">
                  <wp:extent cx="2258060" cy="2146935"/>
                  <wp:effectExtent l="0" t="0" r="8890" b="5715"/>
                  <wp:docPr id="97" name="Picture 97" descr="STEP6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8" descr="STEP6_grey"/>
                          <pic:cNvPicPr>
                            <a:picLocks noChangeAspect="1" noChangeArrowheads="1"/>
                          </pic:cNvPicPr>
                        </pic:nvPicPr>
                        <pic:blipFill>
                          <a:blip r:embed="rId77">
                            <a:extLst>
                              <a:ext uri="{28A0092B-C50C-407E-A947-70E740481C1C}">
                                <a14:useLocalDpi xmlns:a14="http://schemas.microsoft.com/office/drawing/2010/main" val="0"/>
                              </a:ext>
                            </a:extLst>
                          </a:blip>
                          <a:stretch>
                            <a:fillRect/>
                          </a:stretch>
                        </pic:blipFill>
                        <pic:spPr bwMode="auto">
                          <a:xfrm>
                            <a:off x="0" y="0"/>
                            <a:ext cx="2258060" cy="2146935"/>
                          </a:xfrm>
                          <a:prstGeom prst="rect">
                            <a:avLst/>
                          </a:prstGeom>
                          <a:noFill/>
                          <a:ln>
                            <a:noFill/>
                          </a:ln>
                        </pic:spPr>
                      </pic:pic>
                    </a:graphicData>
                  </a:graphic>
                </wp:inline>
              </w:drawing>
            </w:r>
          </w:p>
        </w:tc>
        <w:tc>
          <w:tcPr>
            <w:tcW w:w="5579" w:type="dxa"/>
            <w:tcBorders>
              <w:left w:val="nil"/>
            </w:tcBorders>
          </w:tcPr>
          <w:p w14:paraId="6BF077EC" w14:textId="77777777" w:rsidR="00BC0E7E" w:rsidRPr="00BC0E7E" w:rsidRDefault="00BC0E7E" w:rsidP="00BC0E7E">
            <w:pPr>
              <w:rPr>
                <w:szCs w:val="20"/>
              </w:rPr>
            </w:pPr>
          </w:p>
          <w:p w14:paraId="0335816A" w14:textId="77777777" w:rsidR="00BC0E7E" w:rsidRPr="00BC0E7E" w:rsidRDefault="00944B8F" w:rsidP="00BC0E7E">
            <w:pPr>
              <w:rPr>
                <w:szCs w:val="20"/>
              </w:rPr>
            </w:pPr>
            <w:r w:rsidRPr="00BC0E7E">
              <w:rPr>
                <w:szCs w:val="20"/>
              </w:rPr>
              <w:t>Squeeze the skin at your injection site with your other hand to make a raised area and hold it firmly</w:t>
            </w:r>
            <w:r w:rsidR="00FA1C39">
              <w:rPr>
                <w:szCs w:val="20"/>
              </w:rPr>
              <w:t xml:space="preserve"> until the injection is complete</w:t>
            </w:r>
            <w:r w:rsidRPr="00BC0E7E">
              <w:rPr>
                <w:szCs w:val="20"/>
              </w:rPr>
              <w:t>.</w:t>
            </w:r>
          </w:p>
          <w:p w14:paraId="36B2698B" w14:textId="77777777" w:rsidR="00BC0E7E" w:rsidRPr="00BC0E7E" w:rsidRDefault="00BC0E7E" w:rsidP="00BC0E7E">
            <w:pPr>
              <w:rPr>
                <w:szCs w:val="20"/>
              </w:rPr>
            </w:pPr>
          </w:p>
          <w:p w14:paraId="7587CF83" w14:textId="77777777" w:rsidR="00BC0E7E" w:rsidRPr="00BC0E7E" w:rsidRDefault="00944B8F" w:rsidP="00BC0E7E">
            <w:pPr>
              <w:rPr>
                <w:szCs w:val="20"/>
              </w:rPr>
            </w:pPr>
            <w:r w:rsidRPr="00BC0E7E">
              <w:rPr>
                <w:szCs w:val="20"/>
              </w:rPr>
              <w:t>Point the white arrow toward the injection site (thigh or abdomen).</w:t>
            </w:r>
          </w:p>
          <w:p w14:paraId="7630D982" w14:textId="77777777" w:rsidR="00BC0E7E" w:rsidRPr="00BC0E7E" w:rsidRDefault="00BC0E7E" w:rsidP="00BC0E7E">
            <w:pPr>
              <w:rPr>
                <w:szCs w:val="20"/>
              </w:rPr>
            </w:pPr>
          </w:p>
          <w:p w14:paraId="4B15596B" w14:textId="77777777" w:rsidR="00BC0E7E" w:rsidRPr="00BC0E7E" w:rsidRDefault="00944B8F" w:rsidP="00BC0E7E">
            <w:pPr>
              <w:rPr>
                <w:szCs w:val="20"/>
              </w:rPr>
            </w:pPr>
            <w:r w:rsidRPr="00BC0E7E">
              <w:rPr>
                <w:szCs w:val="20"/>
              </w:rPr>
              <w:t xml:space="preserve">Place the white needle sleeve straight </w:t>
            </w:r>
            <w:r w:rsidRPr="00BC0E7E">
              <w:rPr>
                <w:b/>
                <w:szCs w:val="20"/>
              </w:rPr>
              <w:t>(90˚ angle)</w:t>
            </w:r>
            <w:r w:rsidRPr="00BC0E7E">
              <w:rPr>
                <w:szCs w:val="20"/>
              </w:rPr>
              <w:t xml:space="preserve"> against the injection site.</w:t>
            </w:r>
          </w:p>
          <w:p w14:paraId="0D144E31" w14:textId="77777777" w:rsidR="00BC0E7E" w:rsidRPr="00BC0E7E" w:rsidRDefault="00BC0E7E" w:rsidP="00BC0E7E">
            <w:pPr>
              <w:rPr>
                <w:szCs w:val="20"/>
              </w:rPr>
            </w:pPr>
          </w:p>
          <w:p w14:paraId="5F086BFD" w14:textId="77777777" w:rsidR="00BC0E7E" w:rsidRDefault="00944B8F" w:rsidP="00BC0E7E">
            <w:pPr>
              <w:rPr>
                <w:szCs w:val="20"/>
              </w:rPr>
            </w:pPr>
            <w:r w:rsidRPr="00BC0E7E">
              <w:rPr>
                <w:szCs w:val="20"/>
              </w:rPr>
              <w:t>Hold</w:t>
            </w:r>
            <w:r w:rsidRPr="00BC0E7E">
              <w:rPr>
                <w:b/>
                <w:szCs w:val="20"/>
              </w:rPr>
              <w:t xml:space="preserve"> </w:t>
            </w:r>
            <w:r w:rsidRPr="00BC0E7E">
              <w:rPr>
                <w:szCs w:val="20"/>
              </w:rPr>
              <w:t>the pre-filled pen so that you can see the inspection window.</w:t>
            </w:r>
          </w:p>
          <w:p w14:paraId="6123BFF8" w14:textId="77777777" w:rsidR="00FA1C39" w:rsidRDefault="00FA1C39" w:rsidP="00BC0E7E">
            <w:pPr>
              <w:rPr>
                <w:szCs w:val="20"/>
              </w:rPr>
            </w:pPr>
          </w:p>
          <w:p w14:paraId="33887EFC" w14:textId="77777777" w:rsidR="00FA1C39" w:rsidRPr="00BC0E7E" w:rsidRDefault="00944B8F" w:rsidP="00BC0E7E">
            <w:pPr>
              <w:rPr>
                <w:szCs w:val="20"/>
              </w:rPr>
            </w:pPr>
            <w:r>
              <w:rPr>
                <w:b/>
                <w:szCs w:val="20"/>
              </w:rPr>
              <w:t>Do not</w:t>
            </w:r>
            <w:r>
              <w:rPr>
                <w:szCs w:val="20"/>
              </w:rPr>
              <w:t xml:space="preserve"> press the plum activator button until you are ready to inject.</w:t>
            </w:r>
          </w:p>
        </w:tc>
      </w:tr>
      <w:tr w:rsidR="00C6578C" w14:paraId="22BD813F" w14:textId="77777777" w:rsidTr="00171601">
        <w:tc>
          <w:tcPr>
            <w:tcW w:w="3708" w:type="dxa"/>
            <w:tcBorders>
              <w:right w:val="nil"/>
            </w:tcBorders>
          </w:tcPr>
          <w:p w14:paraId="3D87986E" w14:textId="77777777" w:rsidR="00BC0E7E" w:rsidRPr="00BC0E7E" w:rsidRDefault="00944B8F" w:rsidP="00BC0E7E">
            <w:pPr>
              <w:keepNext/>
              <w:jc w:val="both"/>
              <w:rPr>
                <w:b/>
                <w:noProof/>
                <w:szCs w:val="20"/>
              </w:rPr>
            </w:pPr>
            <w:r w:rsidRPr="00BC0E7E">
              <w:rPr>
                <w:b/>
                <w:noProof/>
                <w:szCs w:val="20"/>
              </w:rPr>
              <w:lastRenderedPageBreak/>
              <w:t>STEP 7</w:t>
            </w:r>
          </w:p>
          <w:p w14:paraId="15EF875C" w14:textId="77777777" w:rsidR="00BC0E7E" w:rsidRPr="00BC0E7E" w:rsidRDefault="00BC0E7E" w:rsidP="00BC0E7E">
            <w:pPr>
              <w:keepNext/>
              <w:jc w:val="both"/>
              <w:rPr>
                <w:b/>
                <w:noProof/>
                <w:szCs w:val="20"/>
              </w:rPr>
            </w:pPr>
          </w:p>
          <w:p w14:paraId="21288E45" w14:textId="77777777" w:rsidR="00BC0E7E" w:rsidRPr="00BC0E7E" w:rsidRDefault="00944B8F" w:rsidP="00BC0E7E">
            <w:pPr>
              <w:keepNext/>
              <w:spacing w:after="100" w:afterAutospacing="1"/>
              <w:rPr>
                <w:b/>
                <w:noProof/>
                <w:szCs w:val="20"/>
              </w:rPr>
            </w:pPr>
            <w:r w:rsidRPr="00BC0E7E">
              <w:rPr>
                <w:b/>
                <w:noProof/>
                <w:szCs w:val="20"/>
              </w:rPr>
              <w:t xml:space="preserve">                             15 Seconds                             </w:t>
            </w:r>
          </w:p>
          <w:p w14:paraId="2BE6A93C" w14:textId="77777777" w:rsidR="00BC0E7E" w:rsidRPr="00BC0E7E" w:rsidRDefault="00944B8F" w:rsidP="009F1742">
            <w:pPr>
              <w:keepNext/>
              <w:rPr>
                <w:noProof/>
                <w:szCs w:val="20"/>
              </w:rPr>
            </w:pPr>
            <w:r>
              <w:rPr>
                <w:noProof/>
                <w:szCs w:val="20"/>
                <w:lang w:val="en-US"/>
              </w:rPr>
              <w:drawing>
                <wp:inline distT="0" distB="0" distL="0" distR="0" wp14:anchorId="13CB8E24" wp14:editId="0318B05B">
                  <wp:extent cx="2105246" cy="2643611"/>
                  <wp:effectExtent l="0" t="0" r="9525"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TEP7b_grey-01.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094279" cy="2629839"/>
                          </a:xfrm>
                          <a:prstGeom prst="rect">
                            <a:avLst/>
                          </a:prstGeom>
                        </pic:spPr>
                      </pic:pic>
                    </a:graphicData>
                  </a:graphic>
                </wp:inline>
              </w:drawing>
            </w:r>
          </w:p>
        </w:tc>
        <w:tc>
          <w:tcPr>
            <w:tcW w:w="5579" w:type="dxa"/>
            <w:tcBorders>
              <w:left w:val="nil"/>
            </w:tcBorders>
          </w:tcPr>
          <w:p w14:paraId="4AF7372A" w14:textId="77777777" w:rsidR="00BC0E7E" w:rsidRPr="00BC0E7E" w:rsidRDefault="00BC0E7E" w:rsidP="00BC0E7E">
            <w:pPr>
              <w:keepNext/>
              <w:rPr>
                <w:b/>
                <w:szCs w:val="20"/>
              </w:rPr>
            </w:pPr>
          </w:p>
          <w:p w14:paraId="090C3455" w14:textId="77777777" w:rsidR="00BC0E7E" w:rsidRPr="00BC0E7E" w:rsidRDefault="00944B8F" w:rsidP="00BC0E7E">
            <w:pPr>
              <w:keepNext/>
              <w:rPr>
                <w:szCs w:val="20"/>
              </w:rPr>
            </w:pPr>
            <w:r>
              <w:rPr>
                <w:b/>
                <w:szCs w:val="20"/>
              </w:rPr>
              <w:t>Firmly p</w:t>
            </w:r>
            <w:r w:rsidRPr="00BC0E7E">
              <w:rPr>
                <w:b/>
                <w:szCs w:val="20"/>
              </w:rPr>
              <w:t xml:space="preserve">ush </w:t>
            </w:r>
            <w:r w:rsidRPr="008C5842">
              <w:rPr>
                <w:b/>
                <w:szCs w:val="20"/>
              </w:rPr>
              <w:t>the pre-filled pen down</w:t>
            </w:r>
            <w:r w:rsidRPr="00BC0E7E">
              <w:rPr>
                <w:b/>
                <w:szCs w:val="20"/>
              </w:rPr>
              <w:t xml:space="preserve"> </w:t>
            </w:r>
            <w:r w:rsidRPr="00BC0E7E">
              <w:rPr>
                <w:szCs w:val="20"/>
              </w:rPr>
              <w:t>against the injection site</w:t>
            </w:r>
            <w:r>
              <w:rPr>
                <w:szCs w:val="20"/>
              </w:rPr>
              <w:t xml:space="preserve"> before starting the injection</w:t>
            </w:r>
            <w:r w:rsidRPr="00BC0E7E">
              <w:rPr>
                <w:szCs w:val="20"/>
              </w:rPr>
              <w:t>.</w:t>
            </w:r>
          </w:p>
          <w:p w14:paraId="34404DD6" w14:textId="77777777" w:rsidR="00BC0E7E" w:rsidRDefault="00944B8F" w:rsidP="00BC0E7E">
            <w:pPr>
              <w:keepNext/>
              <w:rPr>
                <w:szCs w:val="20"/>
              </w:rPr>
            </w:pPr>
            <w:r>
              <w:rPr>
                <w:b/>
                <w:szCs w:val="20"/>
              </w:rPr>
              <w:t>Keep pushing down</w:t>
            </w:r>
            <w:r>
              <w:rPr>
                <w:szCs w:val="20"/>
              </w:rPr>
              <w:t xml:space="preserve"> to prevent the pre-filled pen from moving away from the skin during the injection.</w:t>
            </w:r>
          </w:p>
          <w:p w14:paraId="21F6E3FC" w14:textId="77777777" w:rsidR="00FA1C39" w:rsidRPr="00BC0E7E" w:rsidRDefault="00FA1C39" w:rsidP="00BC0E7E">
            <w:pPr>
              <w:keepNext/>
              <w:rPr>
                <w:szCs w:val="20"/>
              </w:rPr>
            </w:pPr>
          </w:p>
          <w:p w14:paraId="1794FAD7" w14:textId="77777777" w:rsidR="00BC0E7E" w:rsidRPr="00BC0E7E" w:rsidRDefault="00944B8F" w:rsidP="00BC0E7E">
            <w:pPr>
              <w:keepNext/>
              <w:rPr>
                <w:szCs w:val="20"/>
              </w:rPr>
            </w:pPr>
            <w:r w:rsidRPr="00BC0E7E">
              <w:rPr>
                <w:b/>
                <w:szCs w:val="20"/>
              </w:rPr>
              <w:t>Press</w:t>
            </w:r>
            <w:r w:rsidRPr="00BC0E7E">
              <w:rPr>
                <w:szCs w:val="20"/>
              </w:rPr>
              <w:t xml:space="preserve"> the plum activator button and count slowly for </w:t>
            </w:r>
            <w:r w:rsidRPr="00BC0E7E">
              <w:rPr>
                <w:b/>
                <w:szCs w:val="20"/>
              </w:rPr>
              <w:t xml:space="preserve">15 </w:t>
            </w:r>
            <w:r w:rsidRPr="00BC0E7E">
              <w:rPr>
                <w:szCs w:val="20"/>
              </w:rPr>
              <w:t>seconds.</w:t>
            </w:r>
          </w:p>
          <w:p w14:paraId="4967B7BD" w14:textId="77777777" w:rsidR="00BC0E7E" w:rsidRPr="00BC0E7E" w:rsidRDefault="00BC0E7E" w:rsidP="00BC0E7E">
            <w:pPr>
              <w:keepNext/>
              <w:rPr>
                <w:szCs w:val="20"/>
              </w:rPr>
            </w:pPr>
          </w:p>
          <w:p w14:paraId="2B0098E4" w14:textId="77777777" w:rsidR="00BC0E7E" w:rsidRPr="00BC0E7E" w:rsidRDefault="00944B8F" w:rsidP="00D51999">
            <w:pPr>
              <w:keepNext/>
              <w:numPr>
                <w:ilvl w:val="0"/>
                <w:numId w:val="69"/>
              </w:numPr>
              <w:tabs>
                <w:tab w:val="clear" w:pos="562"/>
                <w:tab w:val="left" w:pos="757"/>
              </w:tabs>
              <w:ind w:left="757"/>
              <w:rPr>
                <w:szCs w:val="20"/>
              </w:rPr>
            </w:pPr>
            <w:r w:rsidRPr="00BC0E7E">
              <w:rPr>
                <w:szCs w:val="20"/>
              </w:rPr>
              <w:t xml:space="preserve">A loud </w:t>
            </w:r>
            <w:r w:rsidRPr="00BC0E7E">
              <w:rPr>
                <w:b/>
                <w:szCs w:val="20"/>
              </w:rPr>
              <w:t>“click”</w:t>
            </w:r>
            <w:r w:rsidRPr="00BC0E7E">
              <w:rPr>
                <w:szCs w:val="20"/>
              </w:rPr>
              <w:t xml:space="preserve"> will signal the start of the injection</w:t>
            </w:r>
          </w:p>
          <w:p w14:paraId="50F62464" w14:textId="77777777" w:rsidR="00BC0E7E" w:rsidRPr="00BC0E7E" w:rsidRDefault="00944B8F" w:rsidP="00D51999">
            <w:pPr>
              <w:keepNext/>
              <w:numPr>
                <w:ilvl w:val="0"/>
                <w:numId w:val="69"/>
              </w:numPr>
              <w:tabs>
                <w:tab w:val="clear" w:pos="562"/>
                <w:tab w:val="left" w:pos="757"/>
              </w:tabs>
              <w:ind w:left="757"/>
              <w:rPr>
                <w:szCs w:val="20"/>
              </w:rPr>
            </w:pPr>
            <w:r w:rsidRPr="00BC0E7E">
              <w:rPr>
                <w:b/>
                <w:szCs w:val="20"/>
              </w:rPr>
              <w:t>Keep pushing</w:t>
            </w:r>
            <w:r w:rsidRPr="00BC0E7E">
              <w:rPr>
                <w:szCs w:val="20"/>
              </w:rPr>
              <w:t xml:space="preserve"> the pre-filled pen down </w:t>
            </w:r>
            <w:r w:rsidR="00FA1C39">
              <w:rPr>
                <w:b/>
                <w:szCs w:val="20"/>
              </w:rPr>
              <w:t xml:space="preserve">firmly </w:t>
            </w:r>
            <w:r w:rsidRPr="00BC0E7E">
              <w:rPr>
                <w:szCs w:val="20"/>
              </w:rPr>
              <w:t>against the injection site</w:t>
            </w:r>
            <w:r w:rsidR="00FA1C39">
              <w:rPr>
                <w:szCs w:val="20"/>
              </w:rPr>
              <w:t xml:space="preserve"> until the injection is complete</w:t>
            </w:r>
            <w:r w:rsidRPr="00BC0E7E">
              <w:rPr>
                <w:szCs w:val="20"/>
              </w:rPr>
              <w:t>.</w:t>
            </w:r>
          </w:p>
          <w:p w14:paraId="0DDEE7B3" w14:textId="77777777" w:rsidR="00BC0E7E" w:rsidRPr="00BC0E7E" w:rsidRDefault="00BC0E7E" w:rsidP="00BC0E7E">
            <w:pPr>
              <w:keepNext/>
              <w:rPr>
                <w:szCs w:val="20"/>
              </w:rPr>
            </w:pPr>
          </w:p>
          <w:p w14:paraId="3B6B6990" w14:textId="77777777" w:rsidR="00BC0E7E" w:rsidRPr="00BC0E7E" w:rsidRDefault="00944B8F" w:rsidP="00BC0E7E">
            <w:pPr>
              <w:keepNext/>
              <w:rPr>
                <w:szCs w:val="20"/>
              </w:rPr>
            </w:pPr>
            <w:r w:rsidRPr="00BC0E7E">
              <w:rPr>
                <w:szCs w:val="20"/>
              </w:rPr>
              <w:t>The injection is complete when the yellow indicator has stopped moving.</w:t>
            </w:r>
          </w:p>
        </w:tc>
      </w:tr>
      <w:tr w:rsidR="00C6578C" w14:paraId="2BF9144A" w14:textId="77777777" w:rsidTr="00171601">
        <w:tc>
          <w:tcPr>
            <w:tcW w:w="3708" w:type="dxa"/>
            <w:tcBorders>
              <w:right w:val="nil"/>
            </w:tcBorders>
          </w:tcPr>
          <w:p w14:paraId="5B140FBF" w14:textId="77777777" w:rsidR="00BC0E7E" w:rsidRPr="00BC0E7E" w:rsidRDefault="00944B8F" w:rsidP="00BC0E7E">
            <w:pPr>
              <w:rPr>
                <w:b/>
                <w:noProof/>
                <w:szCs w:val="20"/>
              </w:rPr>
            </w:pPr>
            <w:r w:rsidRPr="00BC0E7E">
              <w:rPr>
                <w:b/>
                <w:noProof/>
                <w:szCs w:val="20"/>
              </w:rPr>
              <w:t>STEP 8</w:t>
            </w:r>
          </w:p>
          <w:p w14:paraId="2BAD05A1" w14:textId="77777777" w:rsidR="00BC0E7E" w:rsidRPr="00BC0E7E" w:rsidRDefault="00944B8F" w:rsidP="00BC0E7E">
            <w:pPr>
              <w:rPr>
                <w:szCs w:val="20"/>
              </w:rPr>
            </w:pPr>
            <w:r>
              <w:rPr>
                <w:noProof/>
                <w:szCs w:val="20"/>
                <w:lang w:val="en-US"/>
              </w:rPr>
              <w:drawing>
                <wp:inline distT="0" distB="0" distL="0" distR="0" wp14:anchorId="65324C27" wp14:editId="55A05DBE">
                  <wp:extent cx="2027555" cy="1804670"/>
                  <wp:effectExtent l="0" t="0" r="0" b="5080"/>
                  <wp:docPr id="95" name="Picture 95" descr="STEP8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100" descr="STEP8_grey"/>
                          <pic:cNvPicPr>
                            <a:picLocks noChangeAspect="1" noChangeArrowheads="1"/>
                          </pic:cNvPicPr>
                        </pic:nvPicPr>
                        <pic:blipFill>
                          <a:blip r:embed="rId79">
                            <a:extLst>
                              <a:ext uri="{28A0092B-C50C-407E-A947-70E740481C1C}">
                                <a14:useLocalDpi xmlns:a14="http://schemas.microsoft.com/office/drawing/2010/main" val="0"/>
                              </a:ext>
                            </a:extLst>
                          </a:blip>
                          <a:stretch>
                            <a:fillRect/>
                          </a:stretch>
                        </pic:blipFill>
                        <pic:spPr bwMode="auto">
                          <a:xfrm>
                            <a:off x="0" y="0"/>
                            <a:ext cx="2027555" cy="1804670"/>
                          </a:xfrm>
                          <a:prstGeom prst="rect">
                            <a:avLst/>
                          </a:prstGeom>
                          <a:noFill/>
                          <a:ln>
                            <a:noFill/>
                          </a:ln>
                        </pic:spPr>
                      </pic:pic>
                    </a:graphicData>
                  </a:graphic>
                </wp:inline>
              </w:drawing>
            </w:r>
            <w:r w:rsidRPr="00BC0E7E">
              <w:rPr>
                <w:noProof/>
                <w:szCs w:val="20"/>
              </w:rPr>
              <w:t xml:space="preserve"> </w:t>
            </w:r>
          </w:p>
        </w:tc>
        <w:tc>
          <w:tcPr>
            <w:tcW w:w="5579" w:type="dxa"/>
            <w:tcBorders>
              <w:left w:val="nil"/>
            </w:tcBorders>
          </w:tcPr>
          <w:p w14:paraId="27BDB2E7" w14:textId="77777777" w:rsidR="00BC0E7E" w:rsidRPr="00BC0E7E" w:rsidRDefault="00BC0E7E" w:rsidP="00BC0E7E">
            <w:pPr>
              <w:rPr>
                <w:szCs w:val="20"/>
              </w:rPr>
            </w:pPr>
          </w:p>
          <w:p w14:paraId="33851159" w14:textId="77777777" w:rsidR="00BC0E7E" w:rsidRPr="00BC0E7E" w:rsidRDefault="00944B8F" w:rsidP="00BC0E7E">
            <w:pPr>
              <w:rPr>
                <w:szCs w:val="20"/>
              </w:rPr>
            </w:pPr>
            <w:r w:rsidRPr="00BC0E7E">
              <w:rPr>
                <w:szCs w:val="20"/>
              </w:rPr>
              <w:t>When the injection is completed, slowly pull the pre-filled pen from the skin. The white needle sleeve will cover the needle tip.</w:t>
            </w:r>
          </w:p>
          <w:p w14:paraId="12F75D79" w14:textId="77777777" w:rsidR="00BC0E7E" w:rsidRPr="00BC0E7E" w:rsidRDefault="00944B8F" w:rsidP="00FA1C39">
            <w:pPr>
              <w:numPr>
                <w:ilvl w:val="0"/>
                <w:numId w:val="70"/>
              </w:numPr>
              <w:tabs>
                <w:tab w:val="clear" w:pos="562"/>
                <w:tab w:val="left" w:pos="757"/>
              </w:tabs>
              <w:ind w:left="757"/>
              <w:rPr>
                <w:szCs w:val="20"/>
              </w:rPr>
            </w:pPr>
            <w:r>
              <w:rPr>
                <w:szCs w:val="20"/>
              </w:rPr>
              <w:t>A small amount of liquid on the injection site is normal</w:t>
            </w:r>
          </w:p>
          <w:p w14:paraId="36C9B224" w14:textId="77777777" w:rsidR="00597EDA" w:rsidRDefault="00597EDA" w:rsidP="00BC0E7E">
            <w:pPr>
              <w:rPr>
                <w:szCs w:val="20"/>
              </w:rPr>
            </w:pPr>
          </w:p>
          <w:p w14:paraId="72C3D7FB" w14:textId="77777777" w:rsidR="00BC0E7E" w:rsidRPr="00BC0E7E" w:rsidRDefault="00944B8F" w:rsidP="00BC0E7E">
            <w:pPr>
              <w:rPr>
                <w:szCs w:val="20"/>
              </w:rPr>
            </w:pPr>
            <w:r w:rsidRPr="00BC0E7E">
              <w:rPr>
                <w:szCs w:val="20"/>
              </w:rPr>
              <w:t>If there are more than a few drops of liquid on the injection site, contact your doctor, nurse or pharmacist.</w:t>
            </w:r>
          </w:p>
          <w:p w14:paraId="5E41AE45" w14:textId="77777777" w:rsidR="00BC0E7E" w:rsidRPr="00BC0E7E" w:rsidRDefault="00BC0E7E" w:rsidP="00BC0E7E">
            <w:pPr>
              <w:rPr>
                <w:szCs w:val="20"/>
              </w:rPr>
            </w:pPr>
          </w:p>
          <w:p w14:paraId="18C77119" w14:textId="77777777" w:rsidR="00BC0E7E" w:rsidRPr="00BC0E7E" w:rsidRDefault="00944B8F" w:rsidP="00BC0E7E">
            <w:pPr>
              <w:rPr>
                <w:szCs w:val="20"/>
              </w:rPr>
            </w:pPr>
            <w:r w:rsidRPr="00BC0E7E">
              <w:rPr>
                <w:szCs w:val="20"/>
              </w:rPr>
              <w:t>After completing the injection, place a cotton ball or gauze pad on the skin over the injection site.</w:t>
            </w:r>
          </w:p>
          <w:p w14:paraId="364A925E" w14:textId="77777777" w:rsidR="00BC0E7E" w:rsidRPr="00BC0E7E" w:rsidRDefault="00BC0E7E" w:rsidP="00BC0E7E">
            <w:pPr>
              <w:rPr>
                <w:szCs w:val="20"/>
              </w:rPr>
            </w:pPr>
          </w:p>
          <w:p w14:paraId="65DDE229" w14:textId="77777777" w:rsidR="00BC0E7E" w:rsidRPr="00BC0E7E" w:rsidRDefault="00944B8F" w:rsidP="00D51999">
            <w:pPr>
              <w:numPr>
                <w:ilvl w:val="0"/>
                <w:numId w:val="70"/>
              </w:numPr>
              <w:tabs>
                <w:tab w:val="clear" w:pos="562"/>
                <w:tab w:val="left" w:pos="757"/>
              </w:tabs>
              <w:ind w:left="757"/>
              <w:rPr>
                <w:szCs w:val="20"/>
              </w:rPr>
            </w:pPr>
            <w:r w:rsidRPr="00BC0E7E">
              <w:rPr>
                <w:b/>
                <w:szCs w:val="20"/>
              </w:rPr>
              <w:t>Do not</w:t>
            </w:r>
            <w:r w:rsidRPr="00BC0E7E">
              <w:rPr>
                <w:szCs w:val="20"/>
              </w:rPr>
              <w:t xml:space="preserve"> rub</w:t>
            </w:r>
          </w:p>
          <w:p w14:paraId="0C3A19B6" w14:textId="77777777" w:rsidR="00BC0E7E" w:rsidRPr="00BC0E7E" w:rsidRDefault="00944B8F" w:rsidP="00D51999">
            <w:pPr>
              <w:numPr>
                <w:ilvl w:val="0"/>
                <w:numId w:val="70"/>
              </w:numPr>
              <w:tabs>
                <w:tab w:val="clear" w:pos="562"/>
                <w:tab w:val="left" w:pos="757"/>
              </w:tabs>
              <w:ind w:left="757"/>
              <w:rPr>
                <w:szCs w:val="20"/>
              </w:rPr>
            </w:pPr>
            <w:r w:rsidRPr="00BC0E7E">
              <w:rPr>
                <w:szCs w:val="20"/>
              </w:rPr>
              <w:t>Slight bleeding at the injection site is normal</w:t>
            </w:r>
          </w:p>
        </w:tc>
      </w:tr>
      <w:tr w:rsidR="00C6578C" w14:paraId="0573D2EC" w14:textId="77777777" w:rsidTr="00171601">
        <w:tc>
          <w:tcPr>
            <w:tcW w:w="9287" w:type="dxa"/>
            <w:gridSpan w:val="2"/>
          </w:tcPr>
          <w:p w14:paraId="0D8C2511" w14:textId="77777777" w:rsidR="00BC0E7E" w:rsidRPr="00BC0E7E" w:rsidRDefault="00944B8F" w:rsidP="00BC0E7E">
            <w:pPr>
              <w:keepNext/>
              <w:rPr>
                <w:b/>
              </w:rPr>
            </w:pPr>
            <w:r w:rsidRPr="00BC0E7E">
              <w:rPr>
                <w:b/>
              </w:rPr>
              <w:t>STEP 9</w:t>
            </w:r>
          </w:p>
          <w:p w14:paraId="5476A9E8" w14:textId="77777777" w:rsidR="00BC0E7E" w:rsidRPr="00BC0E7E" w:rsidRDefault="00BC0E7E" w:rsidP="00BC0E7E">
            <w:pPr>
              <w:keepNext/>
              <w:rPr>
                <w:b/>
              </w:rPr>
            </w:pPr>
          </w:p>
          <w:p w14:paraId="676113FA" w14:textId="77777777" w:rsidR="00BC0E7E" w:rsidRPr="00BC0E7E" w:rsidRDefault="00944B8F" w:rsidP="00BC0E7E">
            <w:pPr>
              <w:keepNext/>
              <w:rPr>
                <w:szCs w:val="20"/>
              </w:rPr>
            </w:pPr>
            <w:r w:rsidRPr="00BC0E7E">
              <w:rPr>
                <w:szCs w:val="20"/>
              </w:rPr>
              <w:t>Throw away the used pre-filled pen in a special disposal container as instructed by your doctor, nurse or pharmacist.</w:t>
            </w:r>
          </w:p>
          <w:p w14:paraId="124850D7" w14:textId="77777777" w:rsidR="00BC0E7E" w:rsidRPr="00BC0E7E" w:rsidRDefault="00BC0E7E" w:rsidP="00BC0E7E">
            <w:pPr>
              <w:keepNext/>
              <w:rPr>
                <w:szCs w:val="20"/>
              </w:rPr>
            </w:pPr>
          </w:p>
          <w:p w14:paraId="7B51F49C" w14:textId="77777777" w:rsidR="00BC0E7E" w:rsidRPr="00BC0E7E" w:rsidRDefault="00944B8F" w:rsidP="00D51999">
            <w:pPr>
              <w:keepNext/>
              <w:numPr>
                <w:ilvl w:val="0"/>
                <w:numId w:val="71"/>
              </w:numPr>
              <w:tabs>
                <w:tab w:val="clear" w:pos="562"/>
              </w:tabs>
              <w:rPr>
                <w:szCs w:val="20"/>
              </w:rPr>
            </w:pPr>
            <w:r w:rsidRPr="00BC0E7E">
              <w:rPr>
                <w:b/>
                <w:szCs w:val="20"/>
              </w:rPr>
              <w:t>Do not</w:t>
            </w:r>
            <w:r w:rsidRPr="00BC0E7E">
              <w:rPr>
                <w:szCs w:val="20"/>
              </w:rPr>
              <w:t xml:space="preserve"> recycle or throw the pre-filled pen in the household waste</w:t>
            </w:r>
          </w:p>
          <w:p w14:paraId="122200D5" w14:textId="77777777" w:rsidR="00BC0E7E" w:rsidRPr="00BC0E7E" w:rsidRDefault="00944B8F" w:rsidP="00D51999">
            <w:pPr>
              <w:keepNext/>
              <w:numPr>
                <w:ilvl w:val="0"/>
                <w:numId w:val="71"/>
              </w:numPr>
              <w:tabs>
                <w:tab w:val="clear" w:pos="562"/>
              </w:tabs>
              <w:rPr>
                <w:szCs w:val="20"/>
              </w:rPr>
            </w:pPr>
            <w:r w:rsidRPr="00BC0E7E">
              <w:rPr>
                <w:b/>
                <w:szCs w:val="20"/>
              </w:rPr>
              <w:t>Always</w:t>
            </w:r>
            <w:r w:rsidRPr="00BC0E7E">
              <w:rPr>
                <w:szCs w:val="20"/>
              </w:rPr>
              <w:t xml:space="preserve"> keep the pre-filled pen and the special disposal container out of the sight and reach of children</w:t>
            </w:r>
          </w:p>
          <w:p w14:paraId="3D869E1B" w14:textId="77777777" w:rsidR="00BC0E7E" w:rsidRPr="00BC0E7E" w:rsidRDefault="00BC0E7E" w:rsidP="00BC0E7E">
            <w:pPr>
              <w:keepNext/>
              <w:tabs>
                <w:tab w:val="clear" w:pos="562"/>
              </w:tabs>
              <w:ind w:left="720"/>
              <w:rPr>
                <w:szCs w:val="20"/>
              </w:rPr>
            </w:pPr>
          </w:p>
          <w:p w14:paraId="706C4A85" w14:textId="77777777" w:rsidR="00BC0E7E" w:rsidRPr="00BC0E7E" w:rsidRDefault="00944B8F" w:rsidP="00943151">
            <w:pPr>
              <w:keepNext/>
              <w:rPr>
                <w:szCs w:val="20"/>
              </w:rPr>
            </w:pPr>
            <w:r w:rsidRPr="00BC0E7E">
              <w:rPr>
                <w:szCs w:val="22"/>
              </w:rPr>
              <w:t>The caps, alcohol pad, cotton ball or gauze pad, blister and packaging may be put in your household waste.</w:t>
            </w:r>
          </w:p>
        </w:tc>
      </w:tr>
    </w:tbl>
    <w:p w14:paraId="476F4BED" w14:textId="77777777" w:rsidR="00BC0E7E" w:rsidRPr="00E21C5C" w:rsidRDefault="00BC0E7E" w:rsidP="00BC0E7E">
      <w:pPr>
        <w:widowControl w:val="0"/>
        <w:autoSpaceDE w:val="0"/>
        <w:autoSpaceDN w:val="0"/>
        <w:adjustRightInd w:val="0"/>
        <w:ind w:right="120"/>
        <w:rPr>
          <w:color w:val="000000"/>
          <w:szCs w:val="22"/>
        </w:rPr>
      </w:pPr>
    </w:p>
    <w:sectPr w:rsidR="00BC0E7E" w:rsidRPr="00E21C5C" w:rsidSect="00E451EE">
      <w:footerReference w:type="default" r:id="rId85"/>
      <w:pgSz w:w="12240" w:h="15840"/>
      <w:pgMar w:top="1138" w:right="1411" w:bottom="1138"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E2C2F" w14:textId="77777777" w:rsidR="00630AB4" w:rsidRDefault="00630AB4">
      <w:r>
        <w:separator/>
      </w:r>
    </w:p>
  </w:endnote>
  <w:endnote w:type="continuationSeparator" w:id="0">
    <w:p w14:paraId="27AE7898" w14:textId="77777777" w:rsidR="00630AB4" w:rsidRDefault="0063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OPGRL J+ Helvetica Neue LT Std">
    <w:altName w:val="Cambria"/>
    <w:panose1 w:val="00000000000000000000"/>
    <w:charset w:val="00"/>
    <w:family w:val="swiss"/>
    <w:notTrueType/>
    <w:pitch w:val="default"/>
    <w:sig w:usb0="00000003" w:usb1="00000000" w:usb2="00000000" w:usb3="00000000" w:csb0="00000001" w:csb1="00000000"/>
  </w:font>
  <w:font w:name="TimesNewRoman">
    <w:altName w:val="Yu Gothic"/>
    <w:panose1 w:val="00000000000000000000"/>
    <w:charset w:val="80"/>
    <w:family w:val="auto"/>
    <w:notTrueType/>
    <w:pitch w:val="default"/>
    <w:sig w:usb0="00000003" w:usb1="08070000" w:usb2="00000010" w:usb3="00000000" w:csb0="00020001" w:csb1="00000000"/>
  </w:font>
  <w:font w:name="Verdana,Bold">
    <w:altName w:val="MS Gothic"/>
    <w:charset w:val="80"/>
    <w:family w:val="auto"/>
    <w:pitch w:val="default"/>
    <w:sig w:usb0="00000001" w:usb1="08070000" w:usb2="00000010" w:usb3="00000000" w:csb0="00020000" w:csb1="00000000"/>
  </w:font>
  <w:font w:name="Tms Rmn">
    <w:altName w:val="Times New Roman"/>
    <w:panose1 w:val="02020603040505020304"/>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imesNewRomanPS-BoldMT">
    <w:altName w:val="Yu Gothic"/>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00B4D" w14:textId="77777777" w:rsidR="00693052" w:rsidRPr="00D12DF7" w:rsidRDefault="00944B8F" w:rsidP="00BD1675">
    <w:pPr>
      <w:pStyle w:val="Footer"/>
      <w:tabs>
        <w:tab w:val="clear" w:pos="8930"/>
        <w:tab w:val="right" w:pos="8931"/>
      </w:tabs>
      <w:ind w:right="96"/>
      <w:jc w:val="center"/>
      <w:rPr>
        <w:rFonts w:ascii="Arial" w:hAnsi="Arial" w:cs="Arial"/>
        <w:sz w:val="16"/>
        <w:szCs w:val="16"/>
      </w:rPr>
    </w:pPr>
    <w:r>
      <w:fldChar w:fldCharType="begin"/>
    </w:r>
    <w:r>
      <w:instrText xml:space="preserve"> EQ </w:instrText>
    </w:r>
    <w:r>
      <w:fldChar w:fldCharType="separate"/>
    </w:r>
    <w:r>
      <w:fldChar w:fldCharType="end"/>
    </w:r>
    <w:r w:rsidRPr="00D12DF7">
      <w:rPr>
        <w:rStyle w:val="PageNumber"/>
        <w:rFonts w:ascii="Arial" w:hAnsi="Arial" w:cs="Arial"/>
        <w:sz w:val="16"/>
        <w:szCs w:val="16"/>
      </w:rPr>
      <w:fldChar w:fldCharType="begin"/>
    </w:r>
    <w:r w:rsidRPr="00D12DF7">
      <w:rPr>
        <w:rStyle w:val="PageNumber"/>
        <w:rFonts w:ascii="Arial" w:hAnsi="Arial" w:cs="Arial"/>
        <w:sz w:val="16"/>
        <w:szCs w:val="16"/>
      </w:rPr>
      <w:instrText xml:space="preserve">PAGE  </w:instrText>
    </w:r>
    <w:r w:rsidRPr="00D12DF7">
      <w:rPr>
        <w:rStyle w:val="PageNumber"/>
        <w:rFonts w:ascii="Arial" w:hAnsi="Arial" w:cs="Arial"/>
        <w:sz w:val="16"/>
        <w:szCs w:val="16"/>
      </w:rPr>
      <w:fldChar w:fldCharType="separate"/>
    </w:r>
    <w:r>
      <w:rPr>
        <w:rStyle w:val="PageNumber"/>
        <w:rFonts w:ascii="Arial" w:hAnsi="Arial" w:cs="Arial"/>
        <w:noProof/>
        <w:sz w:val="16"/>
        <w:szCs w:val="16"/>
      </w:rPr>
      <w:t>1</w:t>
    </w:r>
    <w:r w:rsidRPr="00D12DF7">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05348" w14:textId="77777777" w:rsidR="00630AB4" w:rsidRDefault="00630AB4">
      <w:r>
        <w:separator/>
      </w:r>
    </w:p>
  </w:footnote>
  <w:footnote w:type="continuationSeparator" w:id="0">
    <w:p w14:paraId="5E47537D" w14:textId="77777777" w:rsidR="00630AB4" w:rsidRDefault="00630A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1E26FB8"/>
    <w:lvl w:ilvl="0">
      <w:start w:val="1"/>
      <w:numFmt w:val="decimal"/>
      <w:pStyle w:val="ListBullet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3B05B84"/>
    <w:lvl w:ilvl="0">
      <w:start w:val="1"/>
      <w:numFmt w:val="decimal"/>
      <w:pStyle w:val="ListBullet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D26BC7C"/>
    <w:lvl w:ilvl="0">
      <w:start w:val="1"/>
      <w:numFmt w:val="decimal"/>
      <w:pStyle w:val="ListBullet3"/>
      <w:lvlText w:val="%1."/>
      <w:lvlJc w:val="left"/>
      <w:pPr>
        <w:tabs>
          <w:tab w:val="num" w:pos="926"/>
        </w:tabs>
        <w:ind w:left="926" w:hanging="360"/>
      </w:pPr>
      <w:rPr>
        <w:rFonts w:cs="Times New Roman"/>
      </w:rPr>
    </w:lvl>
  </w:abstractNum>
  <w:abstractNum w:abstractNumId="3" w15:restartNumberingAfterBreak="0">
    <w:nsid w:val="FFFFFF7F"/>
    <w:multiLevelType w:val="singleLevel"/>
    <w:tmpl w:val="75A0082A"/>
    <w:lvl w:ilvl="0">
      <w:start w:val="1"/>
      <w:numFmt w:val="decimal"/>
      <w:pStyle w:val="ListBullet2"/>
      <w:lvlText w:val="%1."/>
      <w:lvlJc w:val="left"/>
      <w:pPr>
        <w:tabs>
          <w:tab w:val="num" w:pos="643"/>
        </w:tabs>
        <w:ind w:left="643" w:hanging="360"/>
      </w:pPr>
      <w:rPr>
        <w:rFonts w:cs="Times New Roman"/>
      </w:rPr>
    </w:lvl>
  </w:abstractNum>
  <w:abstractNum w:abstractNumId="4" w15:restartNumberingAfterBreak="0">
    <w:nsid w:val="FFFFFF80"/>
    <w:multiLevelType w:val="singleLevel"/>
    <w:tmpl w:val="CE8422BE"/>
    <w:lvl w:ilvl="0">
      <w:start w:val="1"/>
      <w:numFmt w:val="bullet"/>
      <w:pStyle w:val="ListNumber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58BB08"/>
    <w:lvl w:ilvl="0">
      <w:start w:val="1"/>
      <w:numFmt w:val="bullet"/>
      <w:pStyle w:val="ListNumber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5E2078"/>
    <w:lvl w:ilvl="0">
      <w:start w:val="1"/>
      <w:numFmt w:val="bullet"/>
      <w:pStyle w:val="ListNumber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642404"/>
    <w:lvl w:ilvl="0">
      <w:start w:val="1"/>
      <w:numFmt w:val="bullet"/>
      <w:pStyle w:val="ListNumber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FC3F44"/>
    <w:lvl w:ilvl="0">
      <w:start w:val="1"/>
      <w:numFmt w:val="decimal"/>
      <w:pStyle w:val="ListBullet"/>
      <w:lvlText w:val="%1."/>
      <w:lvlJc w:val="left"/>
      <w:pPr>
        <w:tabs>
          <w:tab w:val="num" w:pos="360"/>
        </w:tabs>
        <w:ind w:left="360" w:hanging="360"/>
      </w:pPr>
      <w:rPr>
        <w:rFonts w:cs="Times New Roman"/>
      </w:rPr>
    </w:lvl>
  </w:abstractNum>
  <w:abstractNum w:abstractNumId="9" w15:restartNumberingAfterBreak="0">
    <w:nsid w:val="FFFFFF89"/>
    <w:multiLevelType w:val="singleLevel"/>
    <w:tmpl w:val="169E2634"/>
    <w:lvl w:ilvl="0">
      <w:start w:val="1"/>
      <w:numFmt w:val="bullet"/>
      <w:pStyle w:val="ListNumber"/>
      <w:lvlText w:val=""/>
      <w:lvlJc w:val="left"/>
      <w:pPr>
        <w:tabs>
          <w:tab w:val="num" w:pos="360"/>
        </w:tabs>
        <w:ind w:left="360" w:hanging="360"/>
      </w:pPr>
      <w:rPr>
        <w:rFonts w:ascii="Symbol" w:hAnsi="Symbol" w:hint="default"/>
      </w:rPr>
    </w:lvl>
  </w:abstractNum>
  <w:abstractNum w:abstractNumId="10" w15:restartNumberingAfterBreak="0">
    <w:nsid w:val="004E4DD8"/>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11" w15:restartNumberingAfterBreak="0">
    <w:nsid w:val="00C537D6"/>
    <w:multiLevelType w:val="hybridMultilevel"/>
    <w:tmpl w:val="AE489954"/>
    <w:lvl w:ilvl="0" w:tplc="59E08218">
      <w:start w:val="1"/>
      <w:numFmt w:val="bullet"/>
      <w:lvlText w:val=""/>
      <w:lvlJc w:val="left"/>
      <w:pPr>
        <w:ind w:left="720" w:hanging="360"/>
      </w:pPr>
      <w:rPr>
        <w:rFonts w:ascii="Symbol" w:hAnsi="Symbol" w:hint="default"/>
      </w:rPr>
    </w:lvl>
    <w:lvl w:ilvl="1" w:tplc="3AAA1F7C" w:tentative="1">
      <w:start w:val="1"/>
      <w:numFmt w:val="bullet"/>
      <w:lvlText w:val="o"/>
      <w:lvlJc w:val="left"/>
      <w:pPr>
        <w:ind w:left="1440" w:hanging="360"/>
      </w:pPr>
      <w:rPr>
        <w:rFonts w:ascii="Courier New" w:hAnsi="Courier New" w:cs="Courier New" w:hint="default"/>
      </w:rPr>
    </w:lvl>
    <w:lvl w:ilvl="2" w:tplc="5D481658" w:tentative="1">
      <w:start w:val="1"/>
      <w:numFmt w:val="bullet"/>
      <w:lvlText w:val=""/>
      <w:lvlJc w:val="left"/>
      <w:pPr>
        <w:ind w:left="2160" w:hanging="360"/>
      </w:pPr>
      <w:rPr>
        <w:rFonts w:ascii="Wingdings" w:hAnsi="Wingdings" w:hint="default"/>
      </w:rPr>
    </w:lvl>
    <w:lvl w:ilvl="3" w:tplc="828A5A32" w:tentative="1">
      <w:start w:val="1"/>
      <w:numFmt w:val="bullet"/>
      <w:lvlText w:val=""/>
      <w:lvlJc w:val="left"/>
      <w:pPr>
        <w:ind w:left="2880" w:hanging="360"/>
      </w:pPr>
      <w:rPr>
        <w:rFonts w:ascii="Symbol" w:hAnsi="Symbol" w:hint="default"/>
      </w:rPr>
    </w:lvl>
    <w:lvl w:ilvl="4" w:tplc="A05A35EC" w:tentative="1">
      <w:start w:val="1"/>
      <w:numFmt w:val="bullet"/>
      <w:lvlText w:val="o"/>
      <w:lvlJc w:val="left"/>
      <w:pPr>
        <w:ind w:left="3600" w:hanging="360"/>
      </w:pPr>
      <w:rPr>
        <w:rFonts w:ascii="Courier New" w:hAnsi="Courier New" w:cs="Courier New" w:hint="default"/>
      </w:rPr>
    </w:lvl>
    <w:lvl w:ilvl="5" w:tplc="E6B0999C" w:tentative="1">
      <w:start w:val="1"/>
      <w:numFmt w:val="bullet"/>
      <w:lvlText w:val=""/>
      <w:lvlJc w:val="left"/>
      <w:pPr>
        <w:ind w:left="4320" w:hanging="360"/>
      </w:pPr>
      <w:rPr>
        <w:rFonts w:ascii="Wingdings" w:hAnsi="Wingdings" w:hint="default"/>
      </w:rPr>
    </w:lvl>
    <w:lvl w:ilvl="6" w:tplc="9A869290" w:tentative="1">
      <w:start w:val="1"/>
      <w:numFmt w:val="bullet"/>
      <w:lvlText w:val=""/>
      <w:lvlJc w:val="left"/>
      <w:pPr>
        <w:ind w:left="5040" w:hanging="360"/>
      </w:pPr>
      <w:rPr>
        <w:rFonts w:ascii="Symbol" w:hAnsi="Symbol" w:hint="default"/>
      </w:rPr>
    </w:lvl>
    <w:lvl w:ilvl="7" w:tplc="1F1A6874" w:tentative="1">
      <w:start w:val="1"/>
      <w:numFmt w:val="bullet"/>
      <w:lvlText w:val="o"/>
      <w:lvlJc w:val="left"/>
      <w:pPr>
        <w:ind w:left="5760" w:hanging="360"/>
      </w:pPr>
      <w:rPr>
        <w:rFonts w:ascii="Courier New" w:hAnsi="Courier New" w:cs="Courier New" w:hint="default"/>
      </w:rPr>
    </w:lvl>
    <w:lvl w:ilvl="8" w:tplc="902A38C0" w:tentative="1">
      <w:start w:val="1"/>
      <w:numFmt w:val="bullet"/>
      <w:lvlText w:val=""/>
      <w:lvlJc w:val="left"/>
      <w:pPr>
        <w:ind w:left="6480" w:hanging="360"/>
      </w:pPr>
      <w:rPr>
        <w:rFonts w:ascii="Wingdings" w:hAnsi="Wingdings" w:hint="default"/>
      </w:rPr>
    </w:lvl>
  </w:abstractNum>
  <w:abstractNum w:abstractNumId="12" w15:restartNumberingAfterBreak="0">
    <w:nsid w:val="00E75293"/>
    <w:multiLevelType w:val="hybridMultilevel"/>
    <w:tmpl w:val="3A9E4366"/>
    <w:lvl w:ilvl="0" w:tplc="5C20A36E">
      <w:start w:val="1"/>
      <w:numFmt w:val="bullet"/>
      <w:lvlText w:val=""/>
      <w:lvlJc w:val="left"/>
      <w:pPr>
        <w:tabs>
          <w:tab w:val="num" w:pos="1574"/>
        </w:tabs>
        <w:ind w:left="1574" w:hanging="567"/>
      </w:pPr>
      <w:rPr>
        <w:rFonts w:ascii="Symbol" w:hAnsi="Symbol" w:hint="default"/>
      </w:rPr>
    </w:lvl>
    <w:lvl w:ilvl="1" w:tplc="453EB206" w:tentative="1">
      <w:start w:val="1"/>
      <w:numFmt w:val="bullet"/>
      <w:lvlText w:val="o"/>
      <w:lvlJc w:val="left"/>
      <w:pPr>
        <w:tabs>
          <w:tab w:val="num" w:pos="1880"/>
        </w:tabs>
        <w:ind w:left="1880" w:hanging="360"/>
      </w:pPr>
      <w:rPr>
        <w:rFonts w:ascii="Courier New" w:hAnsi="Courier New" w:hint="default"/>
      </w:rPr>
    </w:lvl>
    <w:lvl w:ilvl="2" w:tplc="2F0416A8" w:tentative="1">
      <w:start w:val="1"/>
      <w:numFmt w:val="bullet"/>
      <w:lvlText w:val=""/>
      <w:lvlJc w:val="left"/>
      <w:pPr>
        <w:tabs>
          <w:tab w:val="num" w:pos="2600"/>
        </w:tabs>
        <w:ind w:left="2600" w:hanging="360"/>
      </w:pPr>
      <w:rPr>
        <w:rFonts w:ascii="Wingdings" w:hAnsi="Wingdings" w:hint="default"/>
      </w:rPr>
    </w:lvl>
    <w:lvl w:ilvl="3" w:tplc="ADA890CC" w:tentative="1">
      <w:start w:val="1"/>
      <w:numFmt w:val="bullet"/>
      <w:lvlText w:val=""/>
      <w:lvlJc w:val="left"/>
      <w:pPr>
        <w:tabs>
          <w:tab w:val="num" w:pos="3320"/>
        </w:tabs>
        <w:ind w:left="3320" w:hanging="360"/>
      </w:pPr>
      <w:rPr>
        <w:rFonts w:ascii="Symbol" w:hAnsi="Symbol" w:hint="default"/>
      </w:rPr>
    </w:lvl>
    <w:lvl w:ilvl="4" w:tplc="45065CBA" w:tentative="1">
      <w:start w:val="1"/>
      <w:numFmt w:val="bullet"/>
      <w:lvlText w:val="o"/>
      <w:lvlJc w:val="left"/>
      <w:pPr>
        <w:tabs>
          <w:tab w:val="num" w:pos="4040"/>
        </w:tabs>
        <w:ind w:left="4040" w:hanging="360"/>
      </w:pPr>
      <w:rPr>
        <w:rFonts w:ascii="Courier New" w:hAnsi="Courier New" w:hint="default"/>
      </w:rPr>
    </w:lvl>
    <w:lvl w:ilvl="5" w:tplc="CD56F74E" w:tentative="1">
      <w:start w:val="1"/>
      <w:numFmt w:val="bullet"/>
      <w:lvlText w:val=""/>
      <w:lvlJc w:val="left"/>
      <w:pPr>
        <w:tabs>
          <w:tab w:val="num" w:pos="4760"/>
        </w:tabs>
        <w:ind w:left="4760" w:hanging="360"/>
      </w:pPr>
      <w:rPr>
        <w:rFonts w:ascii="Wingdings" w:hAnsi="Wingdings" w:hint="default"/>
      </w:rPr>
    </w:lvl>
    <w:lvl w:ilvl="6" w:tplc="1A6AD5B4" w:tentative="1">
      <w:start w:val="1"/>
      <w:numFmt w:val="bullet"/>
      <w:lvlText w:val=""/>
      <w:lvlJc w:val="left"/>
      <w:pPr>
        <w:tabs>
          <w:tab w:val="num" w:pos="5480"/>
        </w:tabs>
        <w:ind w:left="5480" w:hanging="360"/>
      </w:pPr>
      <w:rPr>
        <w:rFonts w:ascii="Symbol" w:hAnsi="Symbol" w:hint="default"/>
      </w:rPr>
    </w:lvl>
    <w:lvl w:ilvl="7" w:tplc="E7AAF1EA" w:tentative="1">
      <w:start w:val="1"/>
      <w:numFmt w:val="bullet"/>
      <w:lvlText w:val="o"/>
      <w:lvlJc w:val="left"/>
      <w:pPr>
        <w:tabs>
          <w:tab w:val="num" w:pos="6200"/>
        </w:tabs>
        <w:ind w:left="6200" w:hanging="360"/>
      </w:pPr>
      <w:rPr>
        <w:rFonts w:ascii="Courier New" w:hAnsi="Courier New" w:hint="default"/>
      </w:rPr>
    </w:lvl>
    <w:lvl w:ilvl="8" w:tplc="3D7E8BCC" w:tentative="1">
      <w:start w:val="1"/>
      <w:numFmt w:val="bullet"/>
      <w:lvlText w:val=""/>
      <w:lvlJc w:val="left"/>
      <w:pPr>
        <w:tabs>
          <w:tab w:val="num" w:pos="6920"/>
        </w:tabs>
        <w:ind w:left="6920" w:hanging="360"/>
      </w:pPr>
      <w:rPr>
        <w:rFonts w:ascii="Wingdings" w:hAnsi="Wingdings" w:hint="default"/>
      </w:rPr>
    </w:lvl>
  </w:abstractNum>
  <w:abstractNum w:abstractNumId="13" w15:restartNumberingAfterBreak="0">
    <w:nsid w:val="03A51235"/>
    <w:multiLevelType w:val="hybridMultilevel"/>
    <w:tmpl w:val="7E447AB2"/>
    <w:lvl w:ilvl="0" w:tplc="3C8AEC94">
      <w:start w:val="1"/>
      <w:numFmt w:val="bullet"/>
      <w:lvlText w:val=""/>
      <w:lvlJc w:val="left"/>
      <w:pPr>
        <w:ind w:left="720" w:hanging="360"/>
      </w:pPr>
      <w:rPr>
        <w:rFonts w:ascii="Symbol" w:hAnsi="Symbol" w:hint="default"/>
        <w:sz w:val="22"/>
      </w:rPr>
    </w:lvl>
    <w:lvl w:ilvl="1" w:tplc="76A04D64">
      <w:start w:val="1"/>
      <w:numFmt w:val="bullet"/>
      <w:lvlText w:val="o"/>
      <w:lvlJc w:val="left"/>
      <w:pPr>
        <w:ind w:left="1440" w:hanging="360"/>
      </w:pPr>
      <w:rPr>
        <w:rFonts w:ascii="Courier New" w:hAnsi="Courier New" w:cs="Courier New" w:hint="default"/>
      </w:rPr>
    </w:lvl>
    <w:lvl w:ilvl="2" w:tplc="494426D6" w:tentative="1">
      <w:start w:val="1"/>
      <w:numFmt w:val="bullet"/>
      <w:lvlText w:val=""/>
      <w:lvlJc w:val="left"/>
      <w:pPr>
        <w:ind w:left="2160" w:hanging="360"/>
      </w:pPr>
      <w:rPr>
        <w:rFonts w:ascii="Wingdings" w:hAnsi="Wingdings" w:hint="default"/>
      </w:rPr>
    </w:lvl>
    <w:lvl w:ilvl="3" w:tplc="55CE3392" w:tentative="1">
      <w:start w:val="1"/>
      <w:numFmt w:val="bullet"/>
      <w:lvlText w:val=""/>
      <w:lvlJc w:val="left"/>
      <w:pPr>
        <w:ind w:left="2880" w:hanging="360"/>
      </w:pPr>
      <w:rPr>
        <w:rFonts w:ascii="Symbol" w:hAnsi="Symbol" w:hint="default"/>
      </w:rPr>
    </w:lvl>
    <w:lvl w:ilvl="4" w:tplc="BB1CD0CA" w:tentative="1">
      <w:start w:val="1"/>
      <w:numFmt w:val="bullet"/>
      <w:lvlText w:val="o"/>
      <w:lvlJc w:val="left"/>
      <w:pPr>
        <w:ind w:left="3600" w:hanging="360"/>
      </w:pPr>
      <w:rPr>
        <w:rFonts w:ascii="Courier New" w:hAnsi="Courier New" w:cs="Courier New" w:hint="default"/>
      </w:rPr>
    </w:lvl>
    <w:lvl w:ilvl="5" w:tplc="7F9A9C92" w:tentative="1">
      <w:start w:val="1"/>
      <w:numFmt w:val="bullet"/>
      <w:lvlText w:val=""/>
      <w:lvlJc w:val="left"/>
      <w:pPr>
        <w:ind w:left="4320" w:hanging="360"/>
      </w:pPr>
      <w:rPr>
        <w:rFonts w:ascii="Wingdings" w:hAnsi="Wingdings" w:hint="default"/>
      </w:rPr>
    </w:lvl>
    <w:lvl w:ilvl="6" w:tplc="32681310" w:tentative="1">
      <w:start w:val="1"/>
      <w:numFmt w:val="bullet"/>
      <w:lvlText w:val=""/>
      <w:lvlJc w:val="left"/>
      <w:pPr>
        <w:ind w:left="5040" w:hanging="360"/>
      </w:pPr>
      <w:rPr>
        <w:rFonts w:ascii="Symbol" w:hAnsi="Symbol" w:hint="default"/>
      </w:rPr>
    </w:lvl>
    <w:lvl w:ilvl="7" w:tplc="A5E61072" w:tentative="1">
      <w:start w:val="1"/>
      <w:numFmt w:val="bullet"/>
      <w:lvlText w:val="o"/>
      <w:lvlJc w:val="left"/>
      <w:pPr>
        <w:ind w:left="5760" w:hanging="360"/>
      </w:pPr>
      <w:rPr>
        <w:rFonts w:ascii="Courier New" w:hAnsi="Courier New" w:cs="Courier New" w:hint="default"/>
      </w:rPr>
    </w:lvl>
    <w:lvl w:ilvl="8" w:tplc="622CAD40" w:tentative="1">
      <w:start w:val="1"/>
      <w:numFmt w:val="bullet"/>
      <w:lvlText w:val=""/>
      <w:lvlJc w:val="left"/>
      <w:pPr>
        <w:ind w:left="6480" w:hanging="360"/>
      </w:pPr>
      <w:rPr>
        <w:rFonts w:ascii="Wingdings" w:hAnsi="Wingdings" w:hint="default"/>
      </w:rPr>
    </w:lvl>
  </w:abstractNum>
  <w:abstractNum w:abstractNumId="14" w15:restartNumberingAfterBreak="0">
    <w:nsid w:val="04277AF3"/>
    <w:multiLevelType w:val="singleLevel"/>
    <w:tmpl w:val="2FDA33E8"/>
    <w:lvl w:ilvl="0">
      <w:start w:val="1"/>
      <w:numFmt w:val="upperLetter"/>
      <w:lvlText w:val="%1."/>
      <w:legacy w:legacy="1" w:legacySpace="0" w:legacyIndent="360"/>
      <w:lvlJc w:val="left"/>
      <w:pPr>
        <w:ind w:left="1494" w:hanging="360"/>
      </w:pPr>
      <w:rPr>
        <w:rFonts w:cs="Times New Roman"/>
      </w:rPr>
    </w:lvl>
  </w:abstractNum>
  <w:abstractNum w:abstractNumId="15" w15:restartNumberingAfterBreak="0">
    <w:nsid w:val="04AA2823"/>
    <w:multiLevelType w:val="hybridMultilevel"/>
    <w:tmpl w:val="931C3BCC"/>
    <w:lvl w:ilvl="0" w:tplc="FF4803C0">
      <w:start w:val="1"/>
      <w:numFmt w:val="bullet"/>
      <w:lvlText w:val=""/>
      <w:lvlJc w:val="left"/>
      <w:pPr>
        <w:ind w:left="720" w:hanging="360"/>
      </w:pPr>
      <w:rPr>
        <w:rFonts w:ascii="Symbol" w:hAnsi="Symbol" w:hint="default"/>
      </w:rPr>
    </w:lvl>
    <w:lvl w:ilvl="1" w:tplc="223A5DD8" w:tentative="1">
      <w:start w:val="1"/>
      <w:numFmt w:val="bullet"/>
      <w:lvlText w:val="o"/>
      <w:lvlJc w:val="left"/>
      <w:pPr>
        <w:ind w:left="1440" w:hanging="360"/>
      </w:pPr>
      <w:rPr>
        <w:rFonts w:ascii="Courier New" w:hAnsi="Courier New" w:cs="Courier New" w:hint="default"/>
      </w:rPr>
    </w:lvl>
    <w:lvl w:ilvl="2" w:tplc="BA525236" w:tentative="1">
      <w:start w:val="1"/>
      <w:numFmt w:val="bullet"/>
      <w:lvlText w:val=""/>
      <w:lvlJc w:val="left"/>
      <w:pPr>
        <w:ind w:left="2160" w:hanging="360"/>
      </w:pPr>
      <w:rPr>
        <w:rFonts w:ascii="Wingdings" w:hAnsi="Wingdings" w:hint="default"/>
      </w:rPr>
    </w:lvl>
    <w:lvl w:ilvl="3" w:tplc="3FF4FD38" w:tentative="1">
      <w:start w:val="1"/>
      <w:numFmt w:val="bullet"/>
      <w:lvlText w:val=""/>
      <w:lvlJc w:val="left"/>
      <w:pPr>
        <w:ind w:left="2880" w:hanging="360"/>
      </w:pPr>
      <w:rPr>
        <w:rFonts w:ascii="Symbol" w:hAnsi="Symbol" w:hint="default"/>
      </w:rPr>
    </w:lvl>
    <w:lvl w:ilvl="4" w:tplc="1BA83FDA" w:tentative="1">
      <w:start w:val="1"/>
      <w:numFmt w:val="bullet"/>
      <w:lvlText w:val="o"/>
      <w:lvlJc w:val="left"/>
      <w:pPr>
        <w:ind w:left="3600" w:hanging="360"/>
      </w:pPr>
      <w:rPr>
        <w:rFonts w:ascii="Courier New" w:hAnsi="Courier New" w:cs="Courier New" w:hint="default"/>
      </w:rPr>
    </w:lvl>
    <w:lvl w:ilvl="5" w:tplc="F3467D94" w:tentative="1">
      <w:start w:val="1"/>
      <w:numFmt w:val="bullet"/>
      <w:lvlText w:val=""/>
      <w:lvlJc w:val="left"/>
      <w:pPr>
        <w:ind w:left="4320" w:hanging="360"/>
      </w:pPr>
      <w:rPr>
        <w:rFonts w:ascii="Wingdings" w:hAnsi="Wingdings" w:hint="default"/>
      </w:rPr>
    </w:lvl>
    <w:lvl w:ilvl="6" w:tplc="1060B59E" w:tentative="1">
      <w:start w:val="1"/>
      <w:numFmt w:val="bullet"/>
      <w:lvlText w:val=""/>
      <w:lvlJc w:val="left"/>
      <w:pPr>
        <w:ind w:left="5040" w:hanging="360"/>
      </w:pPr>
      <w:rPr>
        <w:rFonts w:ascii="Symbol" w:hAnsi="Symbol" w:hint="default"/>
      </w:rPr>
    </w:lvl>
    <w:lvl w:ilvl="7" w:tplc="E2E28052" w:tentative="1">
      <w:start w:val="1"/>
      <w:numFmt w:val="bullet"/>
      <w:lvlText w:val="o"/>
      <w:lvlJc w:val="left"/>
      <w:pPr>
        <w:ind w:left="5760" w:hanging="360"/>
      </w:pPr>
      <w:rPr>
        <w:rFonts w:ascii="Courier New" w:hAnsi="Courier New" w:cs="Courier New" w:hint="default"/>
      </w:rPr>
    </w:lvl>
    <w:lvl w:ilvl="8" w:tplc="350C984A" w:tentative="1">
      <w:start w:val="1"/>
      <w:numFmt w:val="bullet"/>
      <w:lvlText w:val=""/>
      <w:lvlJc w:val="left"/>
      <w:pPr>
        <w:ind w:left="6480" w:hanging="360"/>
      </w:pPr>
      <w:rPr>
        <w:rFonts w:ascii="Wingdings" w:hAnsi="Wingdings" w:hint="default"/>
      </w:rPr>
    </w:lvl>
  </w:abstractNum>
  <w:abstractNum w:abstractNumId="16" w15:restartNumberingAfterBreak="0">
    <w:nsid w:val="057871C0"/>
    <w:multiLevelType w:val="hybridMultilevel"/>
    <w:tmpl w:val="64FA43DE"/>
    <w:lvl w:ilvl="0" w:tplc="585A1186">
      <w:start w:val="1"/>
      <w:numFmt w:val="bullet"/>
      <w:lvlText w:val=""/>
      <w:lvlJc w:val="left"/>
      <w:pPr>
        <w:ind w:left="1077" w:hanging="360"/>
      </w:pPr>
      <w:rPr>
        <w:rFonts w:ascii="Symbol" w:hAnsi="Symbol" w:hint="default"/>
      </w:rPr>
    </w:lvl>
    <w:lvl w:ilvl="1" w:tplc="94F04540" w:tentative="1">
      <w:start w:val="1"/>
      <w:numFmt w:val="bullet"/>
      <w:lvlText w:val="o"/>
      <w:lvlJc w:val="left"/>
      <w:pPr>
        <w:ind w:left="1797" w:hanging="360"/>
      </w:pPr>
      <w:rPr>
        <w:rFonts w:ascii="Courier New" w:hAnsi="Courier New" w:cs="Courier New" w:hint="default"/>
      </w:rPr>
    </w:lvl>
    <w:lvl w:ilvl="2" w:tplc="393AB2F2" w:tentative="1">
      <w:start w:val="1"/>
      <w:numFmt w:val="bullet"/>
      <w:lvlText w:val=""/>
      <w:lvlJc w:val="left"/>
      <w:pPr>
        <w:ind w:left="2517" w:hanging="360"/>
      </w:pPr>
      <w:rPr>
        <w:rFonts w:ascii="Wingdings" w:hAnsi="Wingdings" w:hint="default"/>
      </w:rPr>
    </w:lvl>
    <w:lvl w:ilvl="3" w:tplc="6CBE0DAE" w:tentative="1">
      <w:start w:val="1"/>
      <w:numFmt w:val="bullet"/>
      <w:lvlText w:val=""/>
      <w:lvlJc w:val="left"/>
      <w:pPr>
        <w:ind w:left="3237" w:hanging="360"/>
      </w:pPr>
      <w:rPr>
        <w:rFonts w:ascii="Symbol" w:hAnsi="Symbol" w:hint="default"/>
      </w:rPr>
    </w:lvl>
    <w:lvl w:ilvl="4" w:tplc="48E6F7FE" w:tentative="1">
      <w:start w:val="1"/>
      <w:numFmt w:val="bullet"/>
      <w:lvlText w:val="o"/>
      <w:lvlJc w:val="left"/>
      <w:pPr>
        <w:ind w:left="3957" w:hanging="360"/>
      </w:pPr>
      <w:rPr>
        <w:rFonts w:ascii="Courier New" w:hAnsi="Courier New" w:cs="Courier New" w:hint="default"/>
      </w:rPr>
    </w:lvl>
    <w:lvl w:ilvl="5" w:tplc="7BF04456" w:tentative="1">
      <w:start w:val="1"/>
      <w:numFmt w:val="bullet"/>
      <w:lvlText w:val=""/>
      <w:lvlJc w:val="left"/>
      <w:pPr>
        <w:ind w:left="4677" w:hanging="360"/>
      </w:pPr>
      <w:rPr>
        <w:rFonts w:ascii="Wingdings" w:hAnsi="Wingdings" w:hint="default"/>
      </w:rPr>
    </w:lvl>
    <w:lvl w:ilvl="6" w:tplc="058E7852" w:tentative="1">
      <w:start w:val="1"/>
      <w:numFmt w:val="bullet"/>
      <w:lvlText w:val=""/>
      <w:lvlJc w:val="left"/>
      <w:pPr>
        <w:ind w:left="5397" w:hanging="360"/>
      </w:pPr>
      <w:rPr>
        <w:rFonts w:ascii="Symbol" w:hAnsi="Symbol" w:hint="default"/>
      </w:rPr>
    </w:lvl>
    <w:lvl w:ilvl="7" w:tplc="52923E40" w:tentative="1">
      <w:start w:val="1"/>
      <w:numFmt w:val="bullet"/>
      <w:lvlText w:val="o"/>
      <w:lvlJc w:val="left"/>
      <w:pPr>
        <w:ind w:left="6117" w:hanging="360"/>
      </w:pPr>
      <w:rPr>
        <w:rFonts w:ascii="Courier New" w:hAnsi="Courier New" w:cs="Courier New" w:hint="default"/>
      </w:rPr>
    </w:lvl>
    <w:lvl w:ilvl="8" w:tplc="A28A34B4" w:tentative="1">
      <w:start w:val="1"/>
      <w:numFmt w:val="bullet"/>
      <w:lvlText w:val=""/>
      <w:lvlJc w:val="left"/>
      <w:pPr>
        <w:ind w:left="6837" w:hanging="360"/>
      </w:pPr>
      <w:rPr>
        <w:rFonts w:ascii="Wingdings" w:hAnsi="Wingdings" w:hint="default"/>
      </w:rPr>
    </w:lvl>
  </w:abstractNum>
  <w:abstractNum w:abstractNumId="17" w15:restartNumberingAfterBreak="0">
    <w:nsid w:val="068D7F6A"/>
    <w:multiLevelType w:val="hybridMultilevel"/>
    <w:tmpl w:val="9B72E4E4"/>
    <w:lvl w:ilvl="0" w:tplc="02ACCF72">
      <w:start w:val="1"/>
      <w:numFmt w:val="bullet"/>
      <w:lvlText w:val=""/>
      <w:lvlJc w:val="left"/>
      <w:pPr>
        <w:tabs>
          <w:tab w:val="num" w:pos="720"/>
        </w:tabs>
        <w:ind w:left="720" w:hanging="360"/>
      </w:pPr>
      <w:rPr>
        <w:rFonts w:ascii="Symbol" w:hAnsi="Symbol" w:hint="default"/>
      </w:rPr>
    </w:lvl>
    <w:lvl w:ilvl="1" w:tplc="D7267FB6">
      <w:numFmt w:val="bullet"/>
      <w:lvlText w:val="-"/>
      <w:lvlJc w:val="left"/>
      <w:pPr>
        <w:tabs>
          <w:tab w:val="num" w:pos="1440"/>
        </w:tabs>
        <w:ind w:left="1440" w:hanging="360"/>
      </w:pPr>
      <w:rPr>
        <w:rFonts w:ascii="Times New Roman" w:eastAsia="Times New Roman" w:hAnsi="Times New Roman" w:hint="default"/>
      </w:rPr>
    </w:lvl>
    <w:lvl w:ilvl="2" w:tplc="D3A04352" w:tentative="1">
      <w:start w:val="1"/>
      <w:numFmt w:val="bullet"/>
      <w:lvlText w:val=""/>
      <w:lvlJc w:val="left"/>
      <w:pPr>
        <w:tabs>
          <w:tab w:val="num" w:pos="2160"/>
        </w:tabs>
        <w:ind w:left="2160" w:hanging="360"/>
      </w:pPr>
      <w:rPr>
        <w:rFonts w:ascii="Wingdings" w:hAnsi="Wingdings" w:hint="default"/>
      </w:rPr>
    </w:lvl>
    <w:lvl w:ilvl="3" w:tplc="F9C24A24" w:tentative="1">
      <w:start w:val="1"/>
      <w:numFmt w:val="bullet"/>
      <w:lvlText w:val=""/>
      <w:lvlJc w:val="left"/>
      <w:pPr>
        <w:tabs>
          <w:tab w:val="num" w:pos="2880"/>
        </w:tabs>
        <w:ind w:left="2880" w:hanging="360"/>
      </w:pPr>
      <w:rPr>
        <w:rFonts w:ascii="Symbol" w:hAnsi="Symbol" w:hint="default"/>
      </w:rPr>
    </w:lvl>
    <w:lvl w:ilvl="4" w:tplc="96C6D750" w:tentative="1">
      <w:start w:val="1"/>
      <w:numFmt w:val="bullet"/>
      <w:lvlText w:val="o"/>
      <w:lvlJc w:val="left"/>
      <w:pPr>
        <w:tabs>
          <w:tab w:val="num" w:pos="3600"/>
        </w:tabs>
        <w:ind w:left="3600" w:hanging="360"/>
      </w:pPr>
      <w:rPr>
        <w:rFonts w:ascii="Courier New" w:hAnsi="Courier New" w:hint="default"/>
      </w:rPr>
    </w:lvl>
    <w:lvl w:ilvl="5" w:tplc="A028BFCA" w:tentative="1">
      <w:start w:val="1"/>
      <w:numFmt w:val="bullet"/>
      <w:lvlText w:val=""/>
      <w:lvlJc w:val="left"/>
      <w:pPr>
        <w:tabs>
          <w:tab w:val="num" w:pos="4320"/>
        </w:tabs>
        <w:ind w:left="4320" w:hanging="360"/>
      </w:pPr>
      <w:rPr>
        <w:rFonts w:ascii="Wingdings" w:hAnsi="Wingdings" w:hint="default"/>
      </w:rPr>
    </w:lvl>
    <w:lvl w:ilvl="6" w:tplc="354E59EA" w:tentative="1">
      <w:start w:val="1"/>
      <w:numFmt w:val="bullet"/>
      <w:lvlText w:val=""/>
      <w:lvlJc w:val="left"/>
      <w:pPr>
        <w:tabs>
          <w:tab w:val="num" w:pos="5040"/>
        </w:tabs>
        <w:ind w:left="5040" w:hanging="360"/>
      </w:pPr>
      <w:rPr>
        <w:rFonts w:ascii="Symbol" w:hAnsi="Symbol" w:hint="default"/>
      </w:rPr>
    </w:lvl>
    <w:lvl w:ilvl="7" w:tplc="DE9206F2" w:tentative="1">
      <w:start w:val="1"/>
      <w:numFmt w:val="bullet"/>
      <w:lvlText w:val="o"/>
      <w:lvlJc w:val="left"/>
      <w:pPr>
        <w:tabs>
          <w:tab w:val="num" w:pos="5760"/>
        </w:tabs>
        <w:ind w:left="5760" w:hanging="360"/>
      </w:pPr>
      <w:rPr>
        <w:rFonts w:ascii="Courier New" w:hAnsi="Courier New" w:hint="default"/>
      </w:rPr>
    </w:lvl>
    <w:lvl w:ilvl="8" w:tplc="AABA3D4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6C55394"/>
    <w:multiLevelType w:val="hybridMultilevel"/>
    <w:tmpl w:val="5E3EF362"/>
    <w:lvl w:ilvl="0" w:tplc="DC8C9C8A">
      <w:start w:val="1"/>
      <w:numFmt w:val="bullet"/>
      <w:lvlText w:val=""/>
      <w:lvlJc w:val="left"/>
      <w:pPr>
        <w:ind w:left="720" w:hanging="360"/>
      </w:pPr>
      <w:rPr>
        <w:rFonts w:ascii="Symbol" w:hAnsi="Symbol" w:hint="default"/>
      </w:rPr>
    </w:lvl>
    <w:lvl w:ilvl="1" w:tplc="02F60936" w:tentative="1">
      <w:start w:val="1"/>
      <w:numFmt w:val="bullet"/>
      <w:lvlText w:val="o"/>
      <w:lvlJc w:val="left"/>
      <w:pPr>
        <w:ind w:left="1440" w:hanging="360"/>
      </w:pPr>
      <w:rPr>
        <w:rFonts w:ascii="Courier New" w:hAnsi="Courier New" w:cs="Courier New" w:hint="default"/>
      </w:rPr>
    </w:lvl>
    <w:lvl w:ilvl="2" w:tplc="CE60B898" w:tentative="1">
      <w:start w:val="1"/>
      <w:numFmt w:val="bullet"/>
      <w:lvlText w:val=""/>
      <w:lvlJc w:val="left"/>
      <w:pPr>
        <w:ind w:left="2160" w:hanging="360"/>
      </w:pPr>
      <w:rPr>
        <w:rFonts w:ascii="Wingdings" w:hAnsi="Wingdings" w:hint="default"/>
      </w:rPr>
    </w:lvl>
    <w:lvl w:ilvl="3" w:tplc="12CEC036" w:tentative="1">
      <w:start w:val="1"/>
      <w:numFmt w:val="bullet"/>
      <w:lvlText w:val=""/>
      <w:lvlJc w:val="left"/>
      <w:pPr>
        <w:ind w:left="2880" w:hanging="360"/>
      </w:pPr>
      <w:rPr>
        <w:rFonts w:ascii="Symbol" w:hAnsi="Symbol" w:hint="default"/>
      </w:rPr>
    </w:lvl>
    <w:lvl w:ilvl="4" w:tplc="49A6B838" w:tentative="1">
      <w:start w:val="1"/>
      <w:numFmt w:val="bullet"/>
      <w:lvlText w:val="o"/>
      <w:lvlJc w:val="left"/>
      <w:pPr>
        <w:ind w:left="3600" w:hanging="360"/>
      </w:pPr>
      <w:rPr>
        <w:rFonts w:ascii="Courier New" w:hAnsi="Courier New" w:cs="Courier New" w:hint="default"/>
      </w:rPr>
    </w:lvl>
    <w:lvl w:ilvl="5" w:tplc="C72EBB08" w:tentative="1">
      <w:start w:val="1"/>
      <w:numFmt w:val="bullet"/>
      <w:lvlText w:val=""/>
      <w:lvlJc w:val="left"/>
      <w:pPr>
        <w:ind w:left="4320" w:hanging="360"/>
      </w:pPr>
      <w:rPr>
        <w:rFonts w:ascii="Wingdings" w:hAnsi="Wingdings" w:hint="default"/>
      </w:rPr>
    </w:lvl>
    <w:lvl w:ilvl="6" w:tplc="CEF4088A" w:tentative="1">
      <w:start w:val="1"/>
      <w:numFmt w:val="bullet"/>
      <w:lvlText w:val=""/>
      <w:lvlJc w:val="left"/>
      <w:pPr>
        <w:ind w:left="5040" w:hanging="360"/>
      </w:pPr>
      <w:rPr>
        <w:rFonts w:ascii="Symbol" w:hAnsi="Symbol" w:hint="default"/>
      </w:rPr>
    </w:lvl>
    <w:lvl w:ilvl="7" w:tplc="FECC866C" w:tentative="1">
      <w:start w:val="1"/>
      <w:numFmt w:val="bullet"/>
      <w:lvlText w:val="o"/>
      <w:lvlJc w:val="left"/>
      <w:pPr>
        <w:ind w:left="5760" w:hanging="360"/>
      </w:pPr>
      <w:rPr>
        <w:rFonts w:ascii="Courier New" w:hAnsi="Courier New" w:cs="Courier New" w:hint="default"/>
      </w:rPr>
    </w:lvl>
    <w:lvl w:ilvl="8" w:tplc="4E2C4C5A" w:tentative="1">
      <w:start w:val="1"/>
      <w:numFmt w:val="bullet"/>
      <w:lvlText w:val=""/>
      <w:lvlJc w:val="left"/>
      <w:pPr>
        <w:ind w:left="6480" w:hanging="360"/>
      </w:pPr>
      <w:rPr>
        <w:rFonts w:ascii="Wingdings" w:hAnsi="Wingdings" w:hint="default"/>
      </w:rPr>
    </w:lvl>
  </w:abstractNum>
  <w:abstractNum w:abstractNumId="19" w15:restartNumberingAfterBreak="0">
    <w:nsid w:val="08A2665D"/>
    <w:multiLevelType w:val="hybridMultilevel"/>
    <w:tmpl w:val="FD6E1E80"/>
    <w:lvl w:ilvl="0" w:tplc="F2D8070A">
      <w:start w:val="1"/>
      <w:numFmt w:val="bullet"/>
      <w:lvlText w:val=""/>
      <w:lvlJc w:val="left"/>
      <w:pPr>
        <w:tabs>
          <w:tab w:val="num" w:pos="720"/>
        </w:tabs>
        <w:ind w:left="720" w:hanging="360"/>
      </w:pPr>
      <w:rPr>
        <w:rFonts w:ascii="Symbol" w:hAnsi="Symbol" w:hint="default"/>
      </w:rPr>
    </w:lvl>
    <w:lvl w:ilvl="1" w:tplc="6AE08AF6" w:tentative="1">
      <w:start w:val="1"/>
      <w:numFmt w:val="bullet"/>
      <w:lvlText w:val="o"/>
      <w:lvlJc w:val="left"/>
      <w:pPr>
        <w:tabs>
          <w:tab w:val="num" w:pos="1440"/>
        </w:tabs>
        <w:ind w:left="1440" w:hanging="360"/>
      </w:pPr>
      <w:rPr>
        <w:rFonts w:ascii="Courier New" w:hAnsi="Courier New" w:hint="default"/>
      </w:rPr>
    </w:lvl>
    <w:lvl w:ilvl="2" w:tplc="8B76B17E" w:tentative="1">
      <w:start w:val="1"/>
      <w:numFmt w:val="bullet"/>
      <w:lvlText w:val=""/>
      <w:lvlJc w:val="left"/>
      <w:pPr>
        <w:tabs>
          <w:tab w:val="num" w:pos="2160"/>
        </w:tabs>
        <w:ind w:left="2160" w:hanging="360"/>
      </w:pPr>
      <w:rPr>
        <w:rFonts w:ascii="Wingdings" w:hAnsi="Wingdings" w:hint="default"/>
      </w:rPr>
    </w:lvl>
    <w:lvl w:ilvl="3" w:tplc="DEBA175C" w:tentative="1">
      <w:start w:val="1"/>
      <w:numFmt w:val="bullet"/>
      <w:lvlText w:val=""/>
      <w:lvlJc w:val="left"/>
      <w:pPr>
        <w:tabs>
          <w:tab w:val="num" w:pos="2880"/>
        </w:tabs>
        <w:ind w:left="2880" w:hanging="360"/>
      </w:pPr>
      <w:rPr>
        <w:rFonts w:ascii="Symbol" w:hAnsi="Symbol" w:hint="default"/>
      </w:rPr>
    </w:lvl>
    <w:lvl w:ilvl="4" w:tplc="90522F92" w:tentative="1">
      <w:start w:val="1"/>
      <w:numFmt w:val="bullet"/>
      <w:lvlText w:val="o"/>
      <w:lvlJc w:val="left"/>
      <w:pPr>
        <w:tabs>
          <w:tab w:val="num" w:pos="3600"/>
        </w:tabs>
        <w:ind w:left="3600" w:hanging="360"/>
      </w:pPr>
      <w:rPr>
        <w:rFonts w:ascii="Courier New" w:hAnsi="Courier New" w:hint="default"/>
      </w:rPr>
    </w:lvl>
    <w:lvl w:ilvl="5" w:tplc="3DD69982" w:tentative="1">
      <w:start w:val="1"/>
      <w:numFmt w:val="bullet"/>
      <w:lvlText w:val=""/>
      <w:lvlJc w:val="left"/>
      <w:pPr>
        <w:tabs>
          <w:tab w:val="num" w:pos="4320"/>
        </w:tabs>
        <w:ind w:left="4320" w:hanging="360"/>
      </w:pPr>
      <w:rPr>
        <w:rFonts w:ascii="Wingdings" w:hAnsi="Wingdings" w:hint="default"/>
      </w:rPr>
    </w:lvl>
    <w:lvl w:ilvl="6" w:tplc="A372D5F0" w:tentative="1">
      <w:start w:val="1"/>
      <w:numFmt w:val="bullet"/>
      <w:lvlText w:val=""/>
      <w:lvlJc w:val="left"/>
      <w:pPr>
        <w:tabs>
          <w:tab w:val="num" w:pos="5040"/>
        </w:tabs>
        <w:ind w:left="5040" w:hanging="360"/>
      </w:pPr>
      <w:rPr>
        <w:rFonts w:ascii="Symbol" w:hAnsi="Symbol" w:hint="default"/>
      </w:rPr>
    </w:lvl>
    <w:lvl w:ilvl="7" w:tplc="E28497CA" w:tentative="1">
      <w:start w:val="1"/>
      <w:numFmt w:val="bullet"/>
      <w:lvlText w:val="o"/>
      <w:lvlJc w:val="left"/>
      <w:pPr>
        <w:tabs>
          <w:tab w:val="num" w:pos="5760"/>
        </w:tabs>
        <w:ind w:left="5760" w:hanging="360"/>
      </w:pPr>
      <w:rPr>
        <w:rFonts w:ascii="Courier New" w:hAnsi="Courier New" w:hint="default"/>
      </w:rPr>
    </w:lvl>
    <w:lvl w:ilvl="8" w:tplc="A5D0C9F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9C44CC1"/>
    <w:multiLevelType w:val="hybridMultilevel"/>
    <w:tmpl w:val="7FF2C56E"/>
    <w:lvl w:ilvl="0" w:tplc="28D83F3A">
      <w:start w:val="1"/>
      <w:numFmt w:val="bullet"/>
      <w:lvlText w:val=""/>
      <w:lvlJc w:val="left"/>
      <w:pPr>
        <w:tabs>
          <w:tab w:val="num" w:pos="720"/>
        </w:tabs>
        <w:ind w:left="720" w:hanging="360"/>
      </w:pPr>
      <w:rPr>
        <w:rFonts w:ascii="Symbol" w:hAnsi="Symbol" w:hint="default"/>
      </w:rPr>
    </w:lvl>
    <w:lvl w:ilvl="1" w:tplc="F4143B8E" w:tentative="1">
      <w:start w:val="1"/>
      <w:numFmt w:val="bullet"/>
      <w:lvlText w:val="o"/>
      <w:lvlJc w:val="left"/>
      <w:pPr>
        <w:tabs>
          <w:tab w:val="num" w:pos="1440"/>
        </w:tabs>
        <w:ind w:left="1440" w:hanging="360"/>
      </w:pPr>
      <w:rPr>
        <w:rFonts w:ascii="Courier New" w:hAnsi="Courier New" w:hint="default"/>
      </w:rPr>
    </w:lvl>
    <w:lvl w:ilvl="2" w:tplc="0C8A63B0" w:tentative="1">
      <w:start w:val="1"/>
      <w:numFmt w:val="bullet"/>
      <w:lvlText w:val=""/>
      <w:lvlJc w:val="left"/>
      <w:pPr>
        <w:tabs>
          <w:tab w:val="num" w:pos="2160"/>
        </w:tabs>
        <w:ind w:left="2160" w:hanging="360"/>
      </w:pPr>
      <w:rPr>
        <w:rFonts w:ascii="Wingdings" w:hAnsi="Wingdings" w:hint="default"/>
      </w:rPr>
    </w:lvl>
    <w:lvl w:ilvl="3" w:tplc="D4901FE4" w:tentative="1">
      <w:start w:val="1"/>
      <w:numFmt w:val="bullet"/>
      <w:lvlText w:val=""/>
      <w:lvlJc w:val="left"/>
      <w:pPr>
        <w:tabs>
          <w:tab w:val="num" w:pos="2880"/>
        </w:tabs>
        <w:ind w:left="2880" w:hanging="360"/>
      </w:pPr>
      <w:rPr>
        <w:rFonts w:ascii="Symbol" w:hAnsi="Symbol" w:hint="default"/>
      </w:rPr>
    </w:lvl>
    <w:lvl w:ilvl="4" w:tplc="F3EC63A2" w:tentative="1">
      <w:start w:val="1"/>
      <w:numFmt w:val="bullet"/>
      <w:lvlText w:val="o"/>
      <w:lvlJc w:val="left"/>
      <w:pPr>
        <w:tabs>
          <w:tab w:val="num" w:pos="3600"/>
        </w:tabs>
        <w:ind w:left="3600" w:hanging="360"/>
      </w:pPr>
      <w:rPr>
        <w:rFonts w:ascii="Courier New" w:hAnsi="Courier New" w:hint="default"/>
      </w:rPr>
    </w:lvl>
    <w:lvl w:ilvl="5" w:tplc="9FA2B8FE" w:tentative="1">
      <w:start w:val="1"/>
      <w:numFmt w:val="bullet"/>
      <w:lvlText w:val=""/>
      <w:lvlJc w:val="left"/>
      <w:pPr>
        <w:tabs>
          <w:tab w:val="num" w:pos="4320"/>
        </w:tabs>
        <w:ind w:left="4320" w:hanging="360"/>
      </w:pPr>
      <w:rPr>
        <w:rFonts w:ascii="Wingdings" w:hAnsi="Wingdings" w:hint="default"/>
      </w:rPr>
    </w:lvl>
    <w:lvl w:ilvl="6" w:tplc="5F98C74C" w:tentative="1">
      <w:start w:val="1"/>
      <w:numFmt w:val="bullet"/>
      <w:lvlText w:val=""/>
      <w:lvlJc w:val="left"/>
      <w:pPr>
        <w:tabs>
          <w:tab w:val="num" w:pos="5040"/>
        </w:tabs>
        <w:ind w:left="5040" w:hanging="360"/>
      </w:pPr>
      <w:rPr>
        <w:rFonts w:ascii="Symbol" w:hAnsi="Symbol" w:hint="default"/>
      </w:rPr>
    </w:lvl>
    <w:lvl w:ilvl="7" w:tplc="3D7E59AA" w:tentative="1">
      <w:start w:val="1"/>
      <w:numFmt w:val="bullet"/>
      <w:lvlText w:val="o"/>
      <w:lvlJc w:val="left"/>
      <w:pPr>
        <w:tabs>
          <w:tab w:val="num" w:pos="5760"/>
        </w:tabs>
        <w:ind w:left="5760" w:hanging="360"/>
      </w:pPr>
      <w:rPr>
        <w:rFonts w:ascii="Courier New" w:hAnsi="Courier New" w:hint="default"/>
      </w:rPr>
    </w:lvl>
    <w:lvl w:ilvl="8" w:tplc="6BFE656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A697F5B"/>
    <w:multiLevelType w:val="hybridMultilevel"/>
    <w:tmpl w:val="345065EC"/>
    <w:lvl w:ilvl="0" w:tplc="B6AEB7D6">
      <w:start w:val="1"/>
      <w:numFmt w:val="bullet"/>
      <w:lvlText w:val=""/>
      <w:lvlJc w:val="left"/>
      <w:pPr>
        <w:ind w:left="720" w:hanging="360"/>
      </w:pPr>
      <w:rPr>
        <w:rFonts w:ascii="Symbol" w:hAnsi="Symbol" w:hint="default"/>
      </w:rPr>
    </w:lvl>
    <w:lvl w:ilvl="1" w:tplc="30685402" w:tentative="1">
      <w:start w:val="1"/>
      <w:numFmt w:val="bullet"/>
      <w:lvlText w:val="o"/>
      <w:lvlJc w:val="left"/>
      <w:pPr>
        <w:ind w:left="1440" w:hanging="360"/>
      </w:pPr>
      <w:rPr>
        <w:rFonts w:ascii="Courier New" w:hAnsi="Courier New" w:cs="Courier New" w:hint="default"/>
      </w:rPr>
    </w:lvl>
    <w:lvl w:ilvl="2" w:tplc="20AA9584" w:tentative="1">
      <w:start w:val="1"/>
      <w:numFmt w:val="bullet"/>
      <w:lvlText w:val=""/>
      <w:lvlJc w:val="left"/>
      <w:pPr>
        <w:ind w:left="2160" w:hanging="360"/>
      </w:pPr>
      <w:rPr>
        <w:rFonts w:ascii="Wingdings" w:hAnsi="Wingdings" w:hint="default"/>
      </w:rPr>
    </w:lvl>
    <w:lvl w:ilvl="3" w:tplc="964A3AB4" w:tentative="1">
      <w:start w:val="1"/>
      <w:numFmt w:val="bullet"/>
      <w:lvlText w:val=""/>
      <w:lvlJc w:val="left"/>
      <w:pPr>
        <w:ind w:left="2880" w:hanging="360"/>
      </w:pPr>
      <w:rPr>
        <w:rFonts w:ascii="Symbol" w:hAnsi="Symbol" w:hint="default"/>
      </w:rPr>
    </w:lvl>
    <w:lvl w:ilvl="4" w:tplc="94A887B6" w:tentative="1">
      <w:start w:val="1"/>
      <w:numFmt w:val="bullet"/>
      <w:lvlText w:val="o"/>
      <w:lvlJc w:val="left"/>
      <w:pPr>
        <w:ind w:left="3600" w:hanging="360"/>
      </w:pPr>
      <w:rPr>
        <w:rFonts w:ascii="Courier New" w:hAnsi="Courier New" w:cs="Courier New" w:hint="default"/>
      </w:rPr>
    </w:lvl>
    <w:lvl w:ilvl="5" w:tplc="DB3AC080" w:tentative="1">
      <w:start w:val="1"/>
      <w:numFmt w:val="bullet"/>
      <w:lvlText w:val=""/>
      <w:lvlJc w:val="left"/>
      <w:pPr>
        <w:ind w:left="4320" w:hanging="360"/>
      </w:pPr>
      <w:rPr>
        <w:rFonts w:ascii="Wingdings" w:hAnsi="Wingdings" w:hint="default"/>
      </w:rPr>
    </w:lvl>
    <w:lvl w:ilvl="6" w:tplc="6C928310" w:tentative="1">
      <w:start w:val="1"/>
      <w:numFmt w:val="bullet"/>
      <w:lvlText w:val=""/>
      <w:lvlJc w:val="left"/>
      <w:pPr>
        <w:ind w:left="5040" w:hanging="360"/>
      </w:pPr>
      <w:rPr>
        <w:rFonts w:ascii="Symbol" w:hAnsi="Symbol" w:hint="default"/>
      </w:rPr>
    </w:lvl>
    <w:lvl w:ilvl="7" w:tplc="792E41D2" w:tentative="1">
      <w:start w:val="1"/>
      <w:numFmt w:val="bullet"/>
      <w:lvlText w:val="o"/>
      <w:lvlJc w:val="left"/>
      <w:pPr>
        <w:ind w:left="5760" w:hanging="360"/>
      </w:pPr>
      <w:rPr>
        <w:rFonts w:ascii="Courier New" w:hAnsi="Courier New" w:cs="Courier New" w:hint="default"/>
      </w:rPr>
    </w:lvl>
    <w:lvl w:ilvl="8" w:tplc="8F5C218A" w:tentative="1">
      <w:start w:val="1"/>
      <w:numFmt w:val="bullet"/>
      <w:lvlText w:val=""/>
      <w:lvlJc w:val="left"/>
      <w:pPr>
        <w:ind w:left="6480" w:hanging="360"/>
      </w:pPr>
      <w:rPr>
        <w:rFonts w:ascii="Wingdings" w:hAnsi="Wingdings" w:hint="default"/>
      </w:rPr>
    </w:lvl>
  </w:abstractNum>
  <w:abstractNum w:abstractNumId="22" w15:restartNumberingAfterBreak="0">
    <w:nsid w:val="0B9F765A"/>
    <w:multiLevelType w:val="hybridMultilevel"/>
    <w:tmpl w:val="1D3CFB76"/>
    <w:lvl w:ilvl="0" w:tplc="5E9874D8">
      <w:start w:val="1"/>
      <w:numFmt w:val="bullet"/>
      <w:lvlText w:val=""/>
      <w:lvlJc w:val="left"/>
      <w:pPr>
        <w:tabs>
          <w:tab w:val="num" w:pos="1820"/>
        </w:tabs>
        <w:ind w:left="1820" w:hanging="360"/>
      </w:pPr>
      <w:rPr>
        <w:rFonts w:ascii="Symbol" w:hAnsi="Symbol" w:hint="default"/>
      </w:rPr>
    </w:lvl>
    <w:lvl w:ilvl="1" w:tplc="DD301C2A" w:tentative="1">
      <w:start w:val="1"/>
      <w:numFmt w:val="bullet"/>
      <w:lvlText w:val="o"/>
      <w:lvlJc w:val="left"/>
      <w:pPr>
        <w:tabs>
          <w:tab w:val="num" w:pos="2540"/>
        </w:tabs>
        <w:ind w:left="2540" w:hanging="360"/>
      </w:pPr>
      <w:rPr>
        <w:rFonts w:ascii="Courier New" w:hAnsi="Courier New" w:hint="default"/>
      </w:rPr>
    </w:lvl>
    <w:lvl w:ilvl="2" w:tplc="F65CE66E" w:tentative="1">
      <w:start w:val="1"/>
      <w:numFmt w:val="bullet"/>
      <w:lvlText w:val=""/>
      <w:lvlJc w:val="left"/>
      <w:pPr>
        <w:tabs>
          <w:tab w:val="num" w:pos="3260"/>
        </w:tabs>
        <w:ind w:left="3260" w:hanging="360"/>
      </w:pPr>
      <w:rPr>
        <w:rFonts w:ascii="Wingdings" w:hAnsi="Wingdings" w:hint="default"/>
      </w:rPr>
    </w:lvl>
    <w:lvl w:ilvl="3" w:tplc="CCA80424" w:tentative="1">
      <w:start w:val="1"/>
      <w:numFmt w:val="bullet"/>
      <w:lvlText w:val=""/>
      <w:lvlJc w:val="left"/>
      <w:pPr>
        <w:tabs>
          <w:tab w:val="num" w:pos="3980"/>
        </w:tabs>
        <w:ind w:left="3980" w:hanging="360"/>
      </w:pPr>
      <w:rPr>
        <w:rFonts w:ascii="Symbol" w:hAnsi="Symbol" w:hint="default"/>
      </w:rPr>
    </w:lvl>
    <w:lvl w:ilvl="4" w:tplc="17928D48" w:tentative="1">
      <w:start w:val="1"/>
      <w:numFmt w:val="bullet"/>
      <w:lvlText w:val="o"/>
      <w:lvlJc w:val="left"/>
      <w:pPr>
        <w:tabs>
          <w:tab w:val="num" w:pos="4700"/>
        </w:tabs>
        <w:ind w:left="4700" w:hanging="360"/>
      </w:pPr>
      <w:rPr>
        <w:rFonts w:ascii="Courier New" w:hAnsi="Courier New" w:hint="default"/>
      </w:rPr>
    </w:lvl>
    <w:lvl w:ilvl="5" w:tplc="7EF02EEE" w:tentative="1">
      <w:start w:val="1"/>
      <w:numFmt w:val="bullet"/>
      <w:lvlText w:val=""/>
      <w:lvlJc w:val="left"/>
      <w:pPr>
        <w:tabs>
          <w:tab w:val="num" w:pos="5420"/>
        </w:tabs>
        <w:ind w:left="5420" w:hanging="360"/>
      </w:pPr>
      <w:rPr>
        <w:rFonts w:ascii="Wingdings" w:hAnsi="Wingdings" w:hint="default"/>
      </w:rPr>
    </w:lvl>
    <w:lvl w:ilvl="6" w:tplc="D0D298D6" w:tentative="1">
      <w:start w:val="1"/>
      <w:numFmt w:val="bullet"/>
      <w:lvlText w:val=""/>
      <w:lvlJc w:val="left"/>
      <w:pPr>
        <w:tabs>
          <w:tab w:val="num" w:pos="6140"/>
        </w:tabs>
        <w:ind w:left="6140" w:hanging="360"/>
      </w:pPr>
      <w:rPr>
        <w:rFonts w:ascii="Symbol" w:hAnsi="Symbol" w:hint="default"/>
      </w:rPr>
    </w:lvl>
    <w:lvl w:ilvl="7" w:tplc="D2C6B428" w:tentative="1">
      <w:start w:val="1"/>
      <w:numFmt w:val="bullet"/>
      <w:lvlText w:val="o"/>
      <w:lvlJc w:val="left"/>
      <w:pPr>
        <w:tabs>
          <w:tab w:val="num" w:pos="6860"/>
        </w:tabs>
        <w:ind w:left="6860" w:hanging="360"/>
      </w:pPr>
      <w:rPr>
        <w:rFonts w:ascii="Courier New" w:hAnsi="Courier New" w:hint="default"/>
      </w:rPr>
    </w:lvl>
    <w:lvl w:ilvl="8" w:tplc="EDCEA71A" w:tentative="1">
      <w:start w:val="1"/>
      <w:numFmt w:val="bullet"/>
      <w:lvlText w:val=""/>
      <w:lvlJc w:val="left"/>
      <w:pPr>
        <w:tabs>
          <w:tab w:val="num" w:pos="7580"/>
        </w:tabs>
        <w:ind w:left="7580" w:hanging="360"/>
      </w:pPr>
      <w:rPr>
        <w:rFonts w:ascii="Wingdings" w:hAnsi="Wingdings" w:hint="default"/>
      </w:rPr>
    </w:lvl>
  </w:abstractNum>
  <w:abstractNum w:abstractNumId="23" w15:restartNumberingAfterBreak="0">
    <w:nsid w:val="0C0E19AD"/>
    <w:multiLevelType w:val="hybridMultilevel"/>
    <w:tmpl w:val="62F82E72"/>
    <w:lvl w:ilvl="0" w:tplc="E186755C">
      <w:start w:val="1"/>
      <w:numFmt w:val="bullet"/>
      <w:lvlText w:val=""/>
      <w:lvlJc w:val="left"/>
      <w:pPr>
        <w:ind w:left="720" w:hanging="360"/>
      </w:pPr>
      <w:rPr>
        <w:rFonts w:ascii="Symbol" w:hAnsi="Symbol" w:hint="default"/>
        <w:sz w:val="22"/>
      </w:rPr>
    </w:lvl>
    <w:lvl w:ilvl="1" w:tplc="CE263EEE" w:tentative="1">
      <w:start w:val="1"/>
      <w:numFmt w:val="bullet"/>
      <w:lvlText w:val="o"/>
      <w:lvlJc w:val="left"/>
      <w:pPr>
        <w:ind w:left="1440" w:hanging="360"/>
      </w:pPr>
      <w:rPr>
        <w:rFonts w:ascii="Courier New" w:hAnsi="Courier New" w:cs="Courier New" w:hint="default"/>
      </w:rPr>
    </w:lvl>
    <w:lvl w:ilvl="2" w:tplc="9DDEB7FE" w:tentative="1">
      <w:start w:val="1"/>
      <w:numFmt w:val="bullet"/>
      <w:lvlText w:val=""/>
      <w:lvlJc w:val="left"/>
      <w:pPr>
        <w:ind w:left="2160" w:hanging="360"/>
      </w:pPr>
      <w:rPr>
        <w:rFonts w:ascii="Wingdings" w:hAnsi="Wingdings" w:hint="default"/>
      </w:rPr>
    </w:lvl>
    <w:lvl w:ilvl="3" w:tplc="2A3A47BE" w:tentative="1">
      <w:start w:val="1"/>
      <w:numFmt w:val="bullet"/>
      <w:lvlText w:val=""/>
      <w:lvlJc w:val="left"/>
      <w:pPr>
        <w:ind w:left="2880" w:hanging="360"/>
      </w:pPr>
      <w:rPr>
        <w:rFonts w:ascii="Symbol" w:hAnsi="Symbol" w:hint="default"/>
      </w:rPr>
    </w:lvl>
    <w:lvl w:ilvl="4" w:tplc="945C030C" w:tentative="1">
      <w:start w:val="1"/>
      <w:numFmt w:val="bullet"/>
      <w:lvlText w:val="o"/>
      <w:lvlJc w:val="left"/>
      <w:pPr>
        <w:ind w:left="3600" w:hanging="360"/>
      </w:pPr>
      <w:rPr>
        <w:rFonts w:ascii="Courier New" w:hAnsi="Courier New" w:cs="Courier New" w:hint="default"/>
      </w:rPr>
    </w:lvl>
    <w:lvl w:ilvl="5" w:tplc="1CA68378" w:tentative="1">
      <w:start w:val="1"/>
      <w:numFmt w:val="bullet"/>
      <w:lvlText w:val=""/>
      <w:lvlJc w:val="left"/>
      <w:pPr>
        <w:ind w:left="4320" w:hanging="360"/>
      </w:pPr>
      <w:rPr>
        <w:rFonts w:ascii="Wingdings" w:hAnsi="Wingdings" w:hint="default"/>
      </w:rPr>
    </w:lvl>
    <w:lvl w:ilvl="6" w:tplc="3766D678" w:tentative="1">
      <w:start w:val="1"/>
      <w:numFmt w:val="bullet"/>
      <w:lvlText w:val=""/>
      <w:lvlJc w:val="left"/>
      <w:pPr>
        <w:ind w:left="5040" w:hanging="360"/>
      </w:pPr>
      <w:rPr>
        <w:rFonts w:ascii="Symbol" w:hAnsi="Symbol" w:hint="default"/>
      </w:rPr>
    </w:lvl>
    <w:lvl w:ilvl="7" w:tplc="75941414" w:tentative="1">
      <w:start w:val="1"/>
      <w:numFmt w:val="bullet"/>
      <w:lvlText w:val="o"/>
      <w:lvlJc w:val="left"/>
      <w:pPr>
        <w:ind w:left="5760" w:hanging="360"/>
      </w:pPr>
      <w:rPr>
        <w:rFonts w:ascii="Courier New" w:hAnsi="Courier New" w:cs="Courier New" w:hint="default"/>
      </w:rPr>
    </w:lvl>
    <w:lvl w:ilvl="8" w:tplc="ACB65980" w:tentative="1">
      <w:start w:val="1"/>
      <w:numFmt w:val="bullet"/>
      <w:lvlText w:val=""/>
      <w:lvlJc w:val="left"/>
      <w:pPr>
        <w:ind w:left="6480" w:hanging="360"/>
      </w:pPr>
      <w:rPr>
        <w:rFonts w:ascii="Wingdings" w:hAnsi="Wingdings" w:hint="default"/>
      </w:rPr>
    </w:lvl>
  </w:abstractNum>
  <w:abstractNum w:abstractNumId="24" w15:restartNumberingAfterBreak="0">
    <w:nsid w:val="0E312C9F"/>
    <w:multiLevelType w:val="multilevel"/>
    <w:tmpl w:val="985ED0C2"/>
    <w:lvl w:ilvl="0">
      <w:start w:val="1"/>
      <w:numFmt w:val="bullet"/>
      <w:lvlText w:val=""/>
      <w:lvlJc w:val="left"/>
      <w:pPr>
        <w:ind w:left="720" w:hanging="360"/>
      </w:pPr>
      <w:rPr>
        <w:rFonts w:ascii="Symbol" w:hAnsi="Symbol" w:hint="default"/>
        <w:b w:val="0"/>
        <w:i w:val="0"/>
        <w:color w:val="auto"/>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25" w15:restartNumberingAfterBreak="0">
    <w:nsid w:val="0E9175C1"/>
    <w:multiLevelType w:val="hybridMultilevel"/>
    <w:tmpl w:val="C48E00B8"/>
    <w:lvl w:ilvl="0" w:tplc="832492BA">
      <w:start w:val="1"/>
      <w:numFmt w:val="bullet"/>
      <w:lvlText w:val=""/>
      <w:lvlJc w:val="left"/>
      <w:pPr>
        <w:ind w:left="720" w:hanging="360"/>
      </w:pPr>
      <w:rPr>
        <w:rFonts w:ascii="Symbol" w:hAnsi="Symbol" w:hint="default"/>
        <w:sz w:val="22"/>
      </w:rPr>
    </w:lvl>
    <w:lvl w:ilvl="1" w:tplc="8CBA4C8A" w:tentative="1">
      <w:start w:val="1"/>
      <w:numFmt w:val="bullet"/>
      <w:lvlText w:val="o"/>
      <w:lvlJc w:val="left"/>
      <w:pPr>
        <w:ind w:left="1440" w:hanging="360"/>
      </w:pPr>
      <w:rPr>
        <w:rFonts w:ascii="Courier New" w:hAnsi="Courier New" w:cs="Courier New" w:hint="default"/>
      </w:rPr>
    </w:lvl>
    <w:lvl w:ilvl="2" w:tplc="9EEC6C98" w:tentative="1">
      <w:start w:val="1"/>
      <w:numFmt w:val="bullet"/>
      <w:lvlText w:val=""/>
      <w:lvlJc w:val="left"/>
      <w:pPr>
        <w:ind w:left="2160" w:hanging="360"/>
      </w:pPr>
      <w:rPr>
        <w:rFonts w:ascii="Wingdings" w:hAnsi="Wingdings" w:hint="default"/>
      </w:rPr>
    </w:lvl>
    <w:lvl w:ilvl="3" w:tplc="8B8862B4" w:tentative="1">
      <w:start w:val="1"/>
      <w:numFmt w:val="bullet"/>
      <w:lvlText w:val=""/>
      <w:lvlJc w:val="left"/>
      <w:pPr>
        <w:ind w:left="2880" w:hanging="360"/>
      </w:pPr>
      <w:rPr>
        <w:rFonts w:ascii="Symbol" w:hAnsi="Symbol" w:hint="default"/>
      </w:rPr>
    </w:lvl>
    <w:lvl w:ilvl="4" w:tplc="0308BE3A" w:tentative="1">
      <w:start w:val="1"/>
      <w:numFmt w:val="bullet"/>
      <w:lvlText w:val="o"/>
      <w:lvlJc w:val="left"/>
      <w:pPr>
        <w:ind w:left="3600" w:hanging="360"/>
      </w:pPr>
      <w:rPr>
        <w:rFonts w:ascii="Courier New" w:hAnsi="Courier New" w:cs="Courier New" w:hint="default"/>
      </w:rPr>
    </w:lvl>
    <w:lvl w:ilvl="5" w:tplc="60D42C64" w:tentative="1">
      <w:start w:val="1"/>
      <w:numFmt w:val="bullet"/>
      <w:lvlText w:val=""/>
      <w:lvlJc w:val="left"/>
      <w:pPr>
        <w:ind w:left="4320" w:hanging="360"/>
      </w:pPr>
      <w:rPr>
        <w:rFonts w:ascii="Wingdings" w:hAnsi="Wingdings" w:hint="default"/>
      </w:rPr>
    </w:lvl>
    <w:lvl w:ilvl="6" w:tplc="3D5E883C" w:tentative="1">
      <w:start w:val="1"/>
      <w:numFmt w:val="bullet"/>
      <w:lvlText w:val=""/>
      <w:lvlJc w:val="left"/>
      <w:pPr>
        <w:ind w:left="5040" w:hanging="360"/>
      </w:pPr>
      <w:rPr>
        <w:rFonts w:ascii="Symbol" w:hAnsi="Symbol" w:hint="default"/>
      </w:rPr>
    </w:lvl>
    <w:lvl w:ilvl="7" w:tplc="F88A77C2" w:tentative="1">
      <w:start w:val="1"/>
      <w:numFmt w:val="bullet"/>
      <w:lvlText w:val="o"/>
      <w:lvlJc w:val="left"/>
      <w:pPr>
        <w:ind w:left="5760" w:hanging="360"/>
      </w:pPr>
      <w:rPr>
        <w:rFonts w:ascii="Courier New" w:hAnsi="Courier New" w:cs="Courier New" w:hint="default"/>
      </w:rPr>
    </w:lvl>
    <w:lvl w:ilvl="8" w:tplc="C54A4B26" w:tentative="1">
      <w:start w:val="1"/>
      <w:numFmt w:val="bullet"/>
      <w:lvlText w:val=""/>
      <w:lvlJc w:val="left"/>
      <w:pPr>
        <w:ind w:left="6480" w:hanging="360"/>
      </w:pPr>
      <w:rPr>
        <w:rFonts w:ascii="Wingdings" w:hAnsi="Wingdings" w:hint="default"/>
      </w:rPr>
    </w:lvl>
  </w:abstractNum>
  <w:abstractNum w:abstractNumId="26" w15:restartNumberingAfterBreak="0">
    <w:nsid w:val="0EC30C59"/>
    <w:multiLevelType w:val="hybridMultilevel"/>
    <w:tmpl w:val="4BF4217A"/>
    <w:lvl w:ilvl="0" w:tplc="B7CE05BA">
      <w:start w:val="1"/>
      <w:numFmt w:val="bullet"/>
      <w:lvlText w:val=""/>
      <w:lvlJc w:val="left"/>
      <w:pPr>
        <w:ind w:left="720" w:hanging="360"/>
      </w:pPr>
      <w:rPr>
        <w:rFonts w:ascii="Symbol" w:hAnsi="Symbol" w:hint="default"/>
        <w:sz w:val="16"/>
      </w:rPr>
    </w:lvl>
    <w:lvl w:ilvl="1" w:tplc="0F9292B0" w:tentative="1">
      <w:start w:val="1"/>
      <w:numFmt w:val="bullet"/>
      <w:lvlText w:val="o"/>
      <w:lvlJc w:val="left"/>
      <w:pPr>
        <w:ind w:left="1440" w:hanging="360"/>
      </w:pPr>
      <w:rPr>
        <w:rFonts w:ascii="Courier New" w:hAnsi="Courier New" w:cs="Courier New" w:hint="default"/>
      </w:rPr>
    </w:lvl>
    <w:lvl w:ilvl="2" w:tplc="D682CE54" w:tentative="1">
      <w:start w:val="1"/>
      <w:numFmt w:val="bullet"/>
      <w:lvlText w:val=""/>
      <w:lvlJc w:val="left"/>
      <w:pPr>
        <w:ind w:left="2160" w:hanging="360"/>
      </w:pPr>
      <w:rPr>
        <w:rFonts w:ascii="Wingdings" w:hAnsi="Wingdings" w:hint="default"/>
      </w:rPr>
    </w:lvl>
    <w:lvl w:ilvl="3" w:tplc="27183F38" w:tentative="1">
      <w:start w:val="1"/>
      <w:numFmt w:val="bullet"/>
      <w:lvlText w:val=""/>
      <w:lvlJc w:val="left"/>
      <w:pPr>
        <w:ind w:left="2880" w:hanging="360"/>
      </w:pPr>
      <w:rPr>
        <w:rFonts w:ascii="Symbol" w:hAnsi="Symbol" w:hint="default"/>
      </w:rPr>
    </w:lvl>
    <w:lvl w:ilvl="4" w:tplc="BE94CA3C" w:tentative="1">
      <w:start w:val="1"/>
      <w:numFmt w:val="bullet"/>
      <w:lvlText w:val="o"/>
      <w:lvlJc w:val="left"/>
      <w:pPr>
        <w:ind w:left="3600" w:hanging="360"/>
      </w:pPr>
      <w:rPr>
        <w:rFonts w:ascii="Courier New" w:hAnsi="Courier New" w:cs="Courier New" w:hint="default"/>
      </w:rPr>
    </w:lvl>
    <w:lvl w:ilvl="5" w:tplc="E822086E" w:tentative="1">
      <w:start w:val="1"/>
      <w:numFmt w:val="bullet"/>
      <w:lvlText w:val=""/>
      <w:lvlJc w:val="left"/>
      <w:pPr>
        <w:ind w:left="4320" w:hanging="360"/>
      </w:pPr>
      <w:rPr>
        <w:rFonts w:ascii="Wingdings" w:hAnsi="Wingdings" w:hint="default"/>
      </w:rPr>
    </w:lvl>
    <w:lvl w:ilvl="6" w:tplc="AB1A9EFE" w:tentative="1">
      <w:start w:val="1"/>
      <w:numFmt w:val="bullet"/>
      <w:lvlText w:val=""/>
      <w:lvlJc w:val="left"/>
      <w:pPr>
        <w:ind w:left="5040" w:hanging="360"/>
      </w:pPr>
      <w:rPr>
        <w:rFonts w:ascii="Symbol" w:hAnsi="Symbol" w:hint="default"/>
      </w:rPr>
    </w:lvl>
    <w:lvl w:ilvl="7" w:tplc="1C2E9B44" w:tentative="1">
      <w:start w:val="1"/>
      <w:numFmt w:val="bullet"/>
      <w:lvlText w:val="o"/>
      <w:lvlJc w:val="left"/>
      <w:pPr>
        <w:ind w:left="5760" w:hanging="360"/>
      </w:pPr>
      <w:rPr>
        <w:rFonts w:ascii="Courier New" w:hAnsi="Courier New" w:cs="Courier New" w:hint="default"/>
      </w:rPr>
    </w:lvl>
    <w:lvl w:ilvl="8" w:tplc="153E3B10" w:tentative="1">
      <w:start w:val="1"/>
      <w:numFmt w:val="bullet"/>
      <w:lvlText w:val=""/>
      <w:lvlJc w:val="left"/>
      <w:pPr>
        <w:ind w:left="6480" w:hanging="360"/>
      </w:pPr>
      <w:rPr>
        <w:rFonts w:ascii="Wingdings" w:hAnsi="Wingdings" w:hint="default"/>
      </w:rPr>
    </w:lvl>
  </w:abstractNum>
  <w:abstractNum w:abstractNumId="27" w15:restartNumberingAfterBreak="0">
    <w:nsid w:val="13E72E38"/>
    <w:multiLevelType w:val="hybridMultilevel"/>
    <w:tmpl w:val="9EF6D066"/>
    <w:lvl w:ilvl="0" w:tplc="90D49A7E">
      <w:start w:val="1"/>
      <w:numFmt w:val="bullet"/>
      <w:lvlText w:val=""/>
      <w:lvlJc w:val="left"/>
      <w:pPr>
        <w:tabs>
          <w:tab w:val="num" w:pos="1440"/>
        </w:tabs>
        <w:ind w:left="1440" w:hanging="360"/>
      </w:pPr>
      <w:rPr>
        <w:rFonts w:ascii="Symbol" w:hAnsi="Symbol" w:hint="default"/>
        <w:sz w:val="22"/>
      </w:rPr>
    </w:lvl>
    <w:lvl w:ilvl="1" w:tplc="5A2EF874" w:tentative="1">
      <w:start w:val="1"/>
      <w:numFmt w:val="bullet"/>
      <w:lvlText w:val="o"/>
      <w:lvlJc w:val="left"/>
      <w:pPr>
        <w:ind w:left="2160" w:hanging="360"/>
      </w:pPr>
      <w:rPr>
        <w:rFonts w:ascii="Courier New" w:hAnsi="Courier New" w:cs="Courier New" w:hint="default"/>
      </w:rPr>
    </w:lvl>
    <w:lvl w:ilvl="2" w:tplc="06903C66" w:tentative="1">
      <w:start w:val="1"/>
      <w:numFmt w:val="bullet"/>
      <w:lvlText w:val=""/>
      <w:lvlJc w:val="left"/>
      <w:pPr>
        <w:ind w:left="2880" w:hanging="360"/>
      </w:pPr>
      <w:rPr>
        <w:rFonts w:ascii="Wingdings" w:hAnsi="Wingdings" w:hint="default"/>
      </w:rPr>
    </w:lvl>
    <w:lvl w:ilvl="3" w:tplc="630E7CF6" w:tentative="1">
      <w:start w:val="1"/>
      <w:numFmt w:val="bullet"/>
      <w:lvlText w:val=""/>
      <w:lvlJc w:val="left"/>
      <w:pPr>
        <w:ind w:left="3600" w:hanging="360"/>
      </w:pPr>
      <w:rPr>
        <w:rFonts w:ascii="Symbol" w:hAnsi="Symbol" w:hint="default"/>
      </w:rPr>
    </w:lvl>
    <w:lvl w:ilvl="4" w:tplc="47D04998" w:tentative="1">
      <w:start w:val="1"/>
      <w:numFmt w:val="bullet"/>
      <w:lvlText w:val="o"/>
      <w:lvlJc w:val="left"/>
      <w:pPr>
        <w:ind w:left="4320" w:hanging="360"/>
      </w:pPr>
      <w:rPr>
        <w:rFonts w:ascii="Courier New" w:hAnsi="Courier New" w:cs="Courier New" w:hint="default"/>
      </w:rPr>
    </w:lvl>
    <w:lvl w:ilvl="5" w:tplc="B5E245C2" w:tentative="1">
      <w:start w:val="1"/>
      <w:numFmt w:val="bullet"/>
      <w:lvlText w:val=""/>
      <w:lvlJc w:val="left"/>
      <w:pPr>
        <w:ind w:left="5040" w:hanging="360"/>
      </w:pPr>
      <w:rPr>
        <w:rFonts w:ascii="Wingdings" w:hAnsi="Wingdings" w:hint="default"/>
      </w:rPr>
    </w:lvl>
    <w:lvl w:ilvl="6" w:tplc="A7308B8C" w:tentative="1">
      <w:start w:val="1"/>
      <w:numFmt w:val="bullet"/>
      <w:lvlText w:val=""/>
      <w:lvlJc w:val="left"/>
      <w:pPr>
        <w:ind w:left="5760" w:hanging="360"/>
      </w:pPr>
      <w:rPr>
        <w:rFonts w:ascii="Symbol" w:hAnsi="Symbol" w:hint="default"/>
      </w:rPr>
    </w:lvl>
    <w:lvl w:ilvl="7" w:tplc="0498A29C" w:tentative="1">
      <w:start w:val="1"/>
      <w:numFmt w:val="bullet"/>
      <w:lvlText w:val="o"/>
      <w:lvlJc w:val="left"/>
      <w:pPr>
        <w:ind w:left="6480" w:hanging="360"/>
      </w:pPr>
      <w:rPr>
        <w:rFonts w:ascii="Courier New" w:hAnsi="Courier New" w:cs="Courier New" w:hint="default"/>
      </w:rPr>
    </w:lvl>
    <w:lvl w:ilvl="8" w:tplc="ADE4B17C" w:tentative="1">
      <w:start w:val="1"/>
      <w:numFmt w:val="bullet"/>
      <w:lvlText w:val=""/>
      <w:lvlJc w:val="left"/>
      <w:pPr>
        <w:ind w:left="7200" w:hanging="360"/>
      </w:pPr>
      <w:rPr>
        <w:rFonts w:ascii="Wingdings" w:hAnsi="Wingdings" w:hint="default"/>
      </w:rPr>
    </w:lvl>
  </w:abstractNum>
  <w:abstractNum w:abstractNumId="28" w15:restartNumberingAfterBreak="0">
    <w:nsid w:val="15F64126"/>
    <w:multiLevelType w:val="hybridMultilevel"/>
    <w:tmpl w:val="0F24328A"/>
    <w:lvl w:ilvl="0" w:tplc="351E21F4">
      <w:start w:val="1"/>
      <w:numFmt w:val="bullet"/>
      <w:lvlText w:val=""/>
      <w:lvlJc w:val="left"/>
      <w:pPr>
        <w:tabs>
          <w:tab w:val="num" w:pos="720"/>
        </w:tabs>
        <w:ind w:left="720" w:hanging="360"/>
      </w:pPr>
      <w:rPr>
        <w:rFonts w:ascii="Symbol" w:hAnsi="Symbol" w:hint="default"/>
      </w:rPr>
    </w:lvl>
    <w:lvl w:ilvl="1" w:tplc="EFBA55E4">
      <w:start w:val="1"/>
      <w:numFmt w:val="bullet"/>
      <w:lvlText w:val="o"/>
      <w:lvlJc w:val="left"/>
      <w:pPr>
        <w:tabs>
          <w:tab w:val="num" w:pos="1440"/>
        </w:tabs>
        <w:ind w:left="1440" w:hanging="360"/>
      </w:pPr>
      <w:rPr>
        <w:rFonts w:ascii="Courier New" w:hAnsi="Courier New" w:hint="default"/>
      </w:rPr>
    </w:lvl>
    <w:lvl w:ilvl="2" w:tplc="75E2E434" w:tentative="1">
      <w:start w:val="1"/>
      <w:numFmt w:val="bullet"/>
      <w:lvlText w:val=""/>
      <w:lvlJc w:val="left"/>
      <w:pPr>
        <w:tabs>
          <w:tab w:val="num" w:pos="2160"/>
        </w:tabs>
        <w:ind w:left="2160" w:hanging="360"/>
      </w:pPr>
      <w:rPr>
        <w:rFonts w:ascii="Wingdings" w:hAnsi="Wingdings" w:hint="default"/>
      </w:rPr>
    </w:lvl>
    <w:lvl w:ilvl="3" w:tplc="45845750" w:tentative="1">
      <w:start w:val="1"/>
      <w:numFmt w:val="bullet"/>
      <w:lvlText w:val=""/>
      <w:lvlJc w:val="left"/>
      <w:pPr>
        <w:tabs>
          <w:tab w:val="num" w:pos="2880"/>
        </w:tabs>
        <w:ind w:left="2880" w:hanging="360"/>
      </w:pPr>
      <w:rPr>
        <w:rFonts w:ascii="Symbol" w:hAnsi="Symbol" w:hint="default"/>
      </w:rPr>
    </w:lvl>
    <w:lvl w:ilvl="4" w:tplc="05F267F6" w:tentative="1">
      <w:start w:val="1"/>
      <w:numFmt w:val="bullet"/>
      <w:lvlText w:val="o"/>
      <w:lvlJc w:val="left"/>
      <w:pPr>
        <w:tabs>
          <w:tab w:val="num" w:pos="3600"/>
        </w:tabs>
        <w:ind w:left="3600" w:hanging="360"/>
      </w:pPr>
      <w:rPr>
        <w:rFonts w:ascii="Courier New" w:hAnsi="Courier New" w:hint="default"/>
      </w:rPr>
    </w:lvl>
    <w:lvl w:ilvl="5" w:tplc="B67AEC38" w:tentative="1">
      <w:start w:val="1"/>
      <w:numFmt w:val="bullet"/>
      <w:lvlText w:val=""/>
      <w:lvlJc w:val="left"/>
      <w:pPr>
        <w:tabs>
          <w:tab w:val="num" w:pos="4320"/>
        </w:tabs>
        <w:ind w:left="4320" w:hanging="360"/>
      </w:pPr>
      <w:rPr>
        <w:rFonts w:ascii="Wingdings" w:hAnsi="Wingdings" w:hint="default"/>
      </w:rPr>
    </w:lvl>
    <w:lvl w:ilvl="6" w:tplc="BFB61CE0" w:tentative="1">
      <w:start w:val="1"/>
      <w:numFmt w:val="bullet"/>
      <w:lvlText w:val=""/>
      <w:lvlJc w:val="left"/>
      <w:pPr>
        <w:tabs>
          <w:tab w:val="num" w:pos="5040"/>
        </w:tabs>
        <w:ind w:left="5040" w:hanging="360"/>
      </w:pPr>
      <w:rPr>
        <w:rFonts w:ascii="Symbol" w:hAnsi="Symbol" w:hint="default"/>
      </w:rPr>
    </w:lvl>
    <w:lvl w:ilvl="7" w:tplc="0028498A" w:tentative="1">
      <w:start w:val="1"/>
      <w:numFmt w:val="bullet"/>
      <w:lvlText w:val="o"/>
      <w:lvlJc w:val="left"/>
      <w:pPr>
        <w:tabs>
          <w:tab w:val="num" w:pos="5760"/>
        </w:tabs>
        <w:ind w:left="5760" w:hanging="360"/>
      </w:pPr>
      <w:rPr>
        <w:rFonts w:ascii="Courier New" w:hAnsi="Courier New" w:hint="default"/>
      </w:rPr>
    </w:lvl>
    <w:lvl w:ilvl="8" w:tplc="B43037F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63474A9"/>
    <w:multiLevelType w:val="hybridMultilevel"/>
    <w:tmpl w:val="6BC86E46"/>
    <w:lvl w:ilvl="0" w:tplc="162279E0">
      <w:start w:val="1"/>
      <w:numFmt w:val="bullet"/>
      <w:lvlText w:val=""/>
      <w:lvlJc w:val="left"/>
      <w:pPr>
        <w:ind w:left="360" w:hanging="360"/>
      </w:pPr>
      <w:rPr>
        <w:rFonts w:ascii="Symbol" w:hAnsi="Symbol" w:hint="default"/>
      </w:rPr>
    </w:lvl>
    <w:lvl w:ilvl="1" w:tplc="F1EC6B8A" w:tentative="1">
      <w:start w:val="1"/>
      <w:numFmt w:val="bullet"/>
      <w:lvlText w:val="o"/>
      <w:lvlJc w:val="left"/>
      <w:pPr>
        <w:ind w:left="1080" w:hanging="360"/>
      </w:pPr>
      <w:rPr>
        <w:rFonts w:ascii="Courier New" w:hAnsi="Courier New" w:cs="Courier New" w:hint="default"/>
      </w:rPr>
    </w:lvl>
    <w:lvl w:ilvl="2" w:tplc="EB6290DC" w:tentative="1">
      <w:start w:val="1"/>
      <w:numFmt w:val="bullet"/>
      <w:lvlText w:val=""/>
      <w:lvlJc w:val="left"/>
      <w:pPr>
        <w:ind w:left="1800" w:hanging="360"/>
      </w:pPr>
      <w:rPr>
        <w:rFonts w:ascii="Wingdings" w:hAnsi="Wingdings" w:hint="default"/>
      </w:rPr>
    </w:lvl>
    <w:lvl w:ilvl="3" w:tplc="B84CF22C" w:tentative="1">
      <w:start w:val="1"/>
      <w:numFmt w:val="bullet"/>
      <w:lvlText w:val=""/>
      <w:lvlJc w:val="left"/>
      <w:pPr>
        <w:ind w:left="2520" w:hanging="360"/>
      </w:pPr>
      <w:rPr>
        <w:rFonts w:ascii="Symbol" w:hAnsi="Symbol" w:hint="default"/>
      </w:rPr>
    </w:lvl>
    <w:lvl w:ilvl="4" w:tplc="06A418A6" w:tentative="1">
      <w:start w:val="1"/>
      <w:numFmt w:val="bullet"/>
      <w:lvlText w:val="o"/>
      <w:lvlJc w:val="left"/>
      <w:pPr>
        <w:ind w:left="3240" w:hanging="360"/>
      </w:pPr>
      <w:rPr>
        <w:rFonts w:ascii="Courier New" w:hAnsi="Courier New" w:cs="Courier New" w:hint="default"/>
      </w:rPr>
    </w:lvl>
    <w:lvl w:ilvl="5" w:tplc="E0B4EF74" w:tentative="1">
      <w:start w:val="1"/>
      <w:numFmt w:val="bullet"/>
      <w:lvlText w:val=""/>
      <w:lvlJc w:val="left"/>
      <w:pPr>
        <w:ind w:left="3960" w:hanging="360"/>
      </w:pPr>
      <w:rPr>
        <w:rFonts w:ascii="Wingdings" w:hAnsi="Wingdings" w:hint="default"/>
      </w:rPr>
    </w:lvl>
    <w:lvl w:ilvl="6" w:tplc="E8E4014C" w:tentative="1">
      <w:start w:val="1"/>
      <w:numFmt w:val="bullet"/>
      <w:lvlText w:val=""/>
      <w:lvlJc w:val="left"/>
      <w:pPr>
        <w:ind w:left="4680" w:hanging="360"/>
      </w:pPr>
      <w:rPr>
        <w:rFonts w:ascii="Symbol" w:hAnsi="Symbol" w:hint="default"/>
      </w:rPr>
    </w:lvl>
    <w:lvl w:ilvl="7" w:tplc="3F0612B8" w:tentative="1">
      <w:start w:val="1"/>
      <w:numFmt w:val="bullet"/>
      <w:lvlText w:val="o"/>
      <w:lvlJc w:val="left"/>
      <w:pPr>
        <w:ind w:left="5400" w:hanging="360"/>
      </w:pPr>
      <w:rPr>
        <w:rFonts w:ascii="Courier New" w:hAnsi="Courier New" w:cs="Courier New" w:hint="default"/>
      </w:rPr>
    </w:lvl>
    <w:lvl w:ilvl="8" w:tplc="95240A3A" w:tentative="1">
      <w:start w:val="1"/>
      <w:numFmt w:val="bullet"/>
      <w:lvlText w:val=""/>
      <w:lvlJc w:val="left"/>
      <w:pPr>
        <w:ind w:left="6120" w:hanging="360"/>
      </w:pPr>
      <w:rPr>
        <w:rFonts w:ascii="Wingdings" w:hAnsi="Wingdings" w:hint="default"/>
      </w:rPr>
    </w:lvl>
  </w:abstractNum>
  <w:abstractNum w:abstractNumId="30" w15:restartNumberingAfterBreak="0">
    <w:nsid w:val="16DC2E74"/>
    <w:multiLevelType w:val="hybridMultilevel"/>
    <w:tmpl w:val="A0EACD7A"/>
    <w:lvl w:ilvl="0" w:tplc="A232CE62">
      <w:start w:val="1"/>
      <w:numFmt w:val="bullet"/>
      <w:lvlText w:val=""/>
      <w:lvlJc w:val="left"/>
      <w:pPr>
        <w:ind w:left="720" w:hanging="360"/>
      </w:pPr>
      <w:rPr>
        <w:rFonts w:ascii="Symbol" w:hAnsi="Symbol" w:hint="default"/>
        <w:sz w:val="22"/>
      </w:rPr>
    </w:lvl>
    <w:lvl w:ilvl="1" w:tplc="0C160922">
      <w:start w:val="1"/>
      <w:numFmt w:val="bullet"/>
      <w:lvlText w:val="o"/>
      <w:lvlJc w:val="left"/>
      <w:pPr>
        <w:ind w:left="1440" w:hanging="360"/>
      </w:pPr>
      <w:rPr>
        <w:rFonts w:ascii="Courier New" w:hAnsi="Courier New" w:cs="Courier New" w:hint="default"/>
      </w:rPr>
    </w:lvl>
    <w:lvl w:ilvl="2" w:tplc="BA1AF91E" w:tentative="1">
      <w:start w:val="1"/>
      <w:numFmt w:val="bullet"/>
      <w:lvlText w:val=""/>
      <w:lvlJc w:val="left"/>
      <w:pPr>
        <w:ind w:left="2160" w:hanging="360"/>
      </w:pPr>
      <w:rPr>
        <w:rFonts w:ascii="Wingdings" w:hAnsi="Wingdings" w:hint="default"/>
      </w:rPr>
    </w:lvl>
    <w:lvl w:ilvl="3" w:tplc="B33CABE4" w:tentative="1">
      <w:start w:val="1"/>
      <w:numFmt w:val="bullet"/>
      <w:lvlText w:val=""/>
      <w:lvlJc w:val="left"/>
      <w:pPr>
        <w:ind w:left="2880" w:hanging="360"/>
      </w:pPr>
      <w:rPr>
        <w:rFonts w:ascii="Symbol" w:hAnsi="Symbol" w:hint="default"/>
      </w:rPr>
    </w:lvl>
    <w:lvl w:ilvl="4" w:tplc="E87A21C4" w:tentative="1">
      <w:start w:val="1"/>
      <w:numFmt w:val="bullet"/>
      <w:lvlText w:val="o"/>
      <w:lvlJc w:val="left"/>
      <w:pPr>
        <w:ind w:left="3600" w:hanging="360"/>
      </w:pPr>
      <w:rPr>
        <w:rFonts w:ascii="Courier New" w:hAnsi="Courier New" w:cs="Courier New" w:hint="default"/>
      </w:rPr>
    </w:lvl>
    <w:lvl w:ilvl="5" w:tplc="D864199C" w:tentative="1">
      <w:start w:val="1"/>
      <w:numFmt w:val="bullet"/>
      <w:lvlText w:val=""/>
      <w:lvlJc w:val="left"/>
      <w:pPr>
        <w:ind w:left="4320" w:hanging="360"/>
      </w:pPr>
      <w:rPr>
        <w:rFonts w:ascii="Wingdings" w:hAnsi="Wingdings" w:hint="default"/>
      </w:rPr>
    </w:lvl>
    <w:lvl w:ilvl="6" w:tplc="CEE48820" w:tentative="1">
      <w:start w:val="1"/>
      <w:numFmt w:val="bullet"/>
      <w:lvlText w:val=""/>
      <w:lvlJc w:val="left"/>
      <w:pPr>
        <w:ind w:left="5040" w:hanging="360"/>
      </w:pPr>
      <w:rPr>
        <w:rFonts w:ascii="Symbol" w:hAnsi="Symbol" w:hint="default"/>
      </w:rPr>
    </w:lvl>
    <w:lvl w:ilvl="7" w:tplc="D7FC86D0" w:tentative="1">
      <w:start w:val="1"/>
      <w:numFmt w:val="bullet"/>
      <w:lvlText w:val="o"/>
      <w:lvlJc w:val="left"/>
      <w:pPr>
        <w:ind w:left="5760" w:hanging="360"/>
      </w:pPr>
      <w:rPr>
        <w:rFonts w:ascii="Courier New" w:hAnsi="Courier New" w:cs="Courier New" w:hint="default"/>
      </w:rPr>
    </w:lvl>
    <w:lvl w:ilvl="8" w:tplc="4EC8B2AA" w:tentative="1">
      <w:start w:val="1"/>
      <w:numFmt w:val="bullet"/>
      <w:lvlText w:val=""/>
      <w:lvlJc w:val="left"/>
      <w:pPr>
        <w:ind w:left="6480" w:hanging="360"/>
      </w:pPr>
      <w:rPr>
        <w:rFonts w:ascii="Wingdings" w:hAnsi="Wingdings" w:hint="default"/>
      </w:rPr>
    </w:lvl>
  </w:abstractNum>
  <w:abstractNum w:abstractNumId="31" w15:restartNumberingAfterBreak="0">
    <w:nsid w:val="17623BA3"/>
    <w:multiLevelType w:val="hybridMultilevel"/>
    <w:tmpl w:val="4F2EF702"/>
    <w:lvl w:ilvl="0" w:tplc="3D7886FE">
      <w:start w:val="1"/>
      <w:numFmt w:val="bullet"/>
      <w:lvlText w:val=""/>
      <w:lvlJc w:val="left"/>
      <w:pPr>
        <w:ind w:left="360" w:hanging="360"/>
      </w:pPr>
      <w:rPr>
        <w:rFonts w:ascii="Symbol" w:hAnsi="Symbol" w:hint="default"/>
      </w:rPr>
    </w:lvl>
    <w:lvl w:ilvl="1" w:tplc="26A00EA4">
      <w:start w:val="1"/>
      <w:numFmt w:val="bullet"/>
      <w:lvlText w:val="o"/>
      <w:lvlJc w:val="left"/>
      <w:pPr>
        <w:ind w:left="1080" w:hanging="360"/>
      </w:pPr>
      <w:rPr>
        <w:rFonts w:ascii="Courier New" w:hAnsi="Courier New" w:hint="default"/>
      </w:rPr>
    </w:lvl>
    <w:lvl w:ilvl="2" w:tplc="2416C6A2" w:tentative="1">
      <w:start w:val="1"/>
      <w:numFmt w:val="bullet"/>
      <w:lvlText w:val=""/>
      <w:lvlJc w:val="left"/>
      <w:pPr>
        <w:ind w:left="1800" w:hanging="360"/>
      </w:pPr>
      <w:rPr>
        <w:rFonts w:ascii="Wingdings" w:hAnsi="Wingdings" w:hint="default"/>
      </w:rPr>
    </w:lvl>
    <w:lvl w:ilvl="3" w:tplc="EDD0FBF0" w:tentative="1">
      <w:start w:val="1"/>
      <w:numFmt w:val="bullet"/>
      <w:lvlText w:val=""/>
      <w:lvlJc w:val="left"/>
      <w:pPr>
        <w:ind w:left="2520" w:hanging="360"/>
      </w:pPr>
      <w:rPr>
        <w:rFonts w:ascii="Symbol" w:hAnsi="Symbol" w:hint="default"/>
      </w:rPr>
    </w:lvl>
    <w:lvl w:ilvl="4" w:tplc="AB8CA8FA" w:tentative="1">
      <w:start w:val="1"/>
      <w:numFmt w:val="bullet"/>
      <w:lvlText w:val="o"/>
      <w:lvlJc w:val="left"/>
      <w:pPr>
        <w:ind w:left="3240" w:hanging="360"/>
      </w:pPr>
      <w:rPr>
        <w:rFonts w:ascii="Courier New" w:hAnsi="Courier New" w:hint="default"/>
      </w:rPr>
    </w:lvl>
    <w:lvl w:ilvl="5" w:tplc="F90E17C4" w:tentative="1">
      <w:start w:val="1"/>
      <w:numFmt w:val="bullet"/>
      <w:lvlText w:val=""/>
      <w:lvlJc w:val="left"/>
      <w:pPr>
        <w:ind w:left="3960" w:hanging="360"/>
      </w:pPr>
      <w:rPr>
        <w:rFonts w:ascii="Wingdings" w:hAnsi="Wingdings" w:hint="default"/>
      </w:rPr>
    </w:lvl>
    <w:lvl w:ilvl="6" w:tplc="39609C56" w:tentative="1">
      <w:start w:val="1"/>
      <w:numFmt w:val="bullet"/>
      <w:lvlText w:val=""/>
      <w:lvlJc w:val="left"/>
      <w:pPr>
        <w:ind w:left="4680" w:hanging="360"/>
      </w:pPr>
      <w:rPr>
        <w:rFonts w:ascii="Symbol" w:hAnsi="Symbol" w:hint="default"/>
      </w:rPr>
    </w:lvl>
    <w:lvl w:ilvl="7" w:tplc="07C68102" w:tentative="1">
      <w:start w:val="1"/>
      <w:numFmt w:val="bullet"/>
      <w:lvlText w:val="o"/>
      <w:lvlJc w:val="left"/>
      <w:pPr>
        <w:ind w:left="5400" w:hanging="360"/>
      </w:pPr>
      <w:rPr>
        <w:rFonts w:ascii="Courier New" w:hAnsi="Courier New" w:hint="default"/>
      </w:rPr>
    </w:lvl>
    <w:lvl w:ilvl="8" w:tplc="AE7A08B2" w:tentative="1">
      <w:start w:val="1"/>
      <w:numFmt w:val="bullet"/>
      <w:lvlText w:val=""/>
      <w:lvlJc w:val="left"/>
      <w:pPr>
        <w:ind w:left="6120" w:hanging="360"/>
      </w:pPr>
      <w:rPr>
        <w:rFonts w:ascii="Wingdings" w:hAnsi="Wingdings" w:hint="default"/>
      </w:rPr>
    </w:lvl>
  </w:abstractNum>
  <w:abstractNum w:abstractNumId="32" w15:restartNumberingAfterBreak="0">
    <w:nsid w:val="178746CB"/>
    <w:multiLevelType w:val="hybridMultilevel"/>
    <w:tmpl w:val="1E6469F0"/>
    <w:lvl w:ilvl="0" w:tplc="6218C280">
      <w:start w:val="1"/>
      <w:numFmt w:val="bullet"/>
      <w:lvlText w:val=""/>
      <w:lvlJc w:val="left"/>
      <w:pPr>
        <w:tabs>
          <w:tab w:val="num" w:pos="1134"/>
        </w:tabs>
        <w:ind w:left="1134" w:hanging="567"/>
      </w:pPr>
      <w:rPr>
        <w:rFonts w:ascii="Symbol" w:hAnsi="Symbol" w:hint="default"/>
      </w:rPr>
    </w:lvl>
    <w:lvl w:ilvl="1" w:tplc="379487FC" w:tentative="1">
      <w:start w:val="1"/>
      <w:numFmt w:val="bullet"/>
      <w:lvlText w:val="o"/>
      <w:lvlJc w:val="left"/>
      <w:pPr>
        <w:tabs>
          <w:tab w:val="num" w:pos="1440"/>
        </w:tabs>
        <w:ind w:left="1440" w:hanging="360"/>
      </w:pPr>
      <w:rPr>
        <w:rFonts w:ascii="Courier New" w:hAnsi="Courier New" w:hint="default"/>
      </w:rPr>
    </w:lvl>
    <w:lvl w:ilvl="2" w:tplc="5748F882" w:tentative="1">
      <w:start w:val="1"/>
      <w:numFmt w:val="bullet"/>
      <w:lvlText w:val=""/>
      <w:lvlJc w:val="left"/>
      <w:pPr>
        <w:tabs>
          <w:tab w:val="num" w:pos="2160"/>
        </w:tabs>
        <w:ind w:left="2160" w:hanging="360"/>
      </w:pPr>
      <w:rPr>
        <w:rFonts w:ascii="Wingdings" w:hAnsi="Wingdings" w:hint="default"/>
      </w:rPr>
    </w:lvl>
    <w:lvl w:ilvl="3" w:tplc="2286B80E" w:tentative="1">
      <w:start w:val="1"/>
      <w:numFmt w:val="bullet"/>
      <w:lvlText w:val=""/>
      <w:lvlJc w:val="left"/>
      <w:pPr>
        <w:tabs>
          <w:tab w:val="num" w:pos="2880"/>
        </w:tabs>
        <w:ind w:left="2880" w:hanging="360"/>
      </w:pPr>
      <w:rPr>
        <w:rFonts w:ascii="Symbol" w:hAnsi="Symbol" w:hint="default"/>
      </w:rPr>
    </w:lvl>
    <w:lvl w:ilvl="4" w:tplc="600899D6" w:tentative="1">
      <w:start w:val="1"/>
      <w:numFmt w:val="bullet"/>
      <w:lvlText w:val="o"/>
      <w:lvlJc w:val="left"/>
      <w:pPr>
        <w:tabs>
          <w:tab w:val="num" w:pos="3600"/>
        </w:tabs>
        <w:ind w:left="3600" w:hanging="360"/>
      </w:pPr>
      <w:rPr>
        <w:rFonts w:ascii="Courier New" w:hAnsi="Courier New" w:hint="default"/>
      </w:rPr>
    </w:lvl>
    <w:lvl w:ilvl="5" w:tplc="1C566E8A" w:tentative="1">
      <w:start w:val="1"/>
      <w:numFmt w:val="bullet"/>
      <w:lvlText w:val=""/>
      <w:lvlJc w:val="left"/>
      <w:pPr>
        <w:tabs>
          <w:tab w:val="num" w:pos="4320"/>
        </w:tabs>
        <w:ind w:left="4320" w:hanging="360"/>
      </w:pPr>
      <w:rPr>
        <w:rFonts w:ascii="Wingdings" w:hAnsi="Wingdings" w:hint="default"/>
      </w:rPr>
    </w:lvl>
    <w:lvl w:ilvl="6" w:tplc="0BE23F22" w:tentative="1">
      <w:start w:val="1"/>
      <w:numFmt w:val="bullet"/>
      <w:lvlText w:val=""/>
      <w:lvlJc w:val="left"/>
      <w:pPr>
        <w:tabs>
          <w:tab w:val="num" w:pos="5040"/>
        </w:tabs>
        <w:ind w:left="5040" w:hanging="360"/>
      </w:pPr>
      <w:rPr>
        <w:rFonts w:ascii="Symbol" w:hAnsi="Symbol" w:hint="default"/>
      </w:rPr>
    </w:lvl>
    <w:lvl w:ilvl="7" w:tplc="6EC621D0" w:tentative="1">
      <w:start w:val="1"/>
      <w:numFmt w:val="bullet"/>
      <w:lvlText w:val="o"/>
      <w:lvlJc w:val="left"/>
      <w:pPr>
        <w:tabs>
          <w:tab w:val="num" w:pos="5760"/>
        </w:tabs>
        <w:ind w:left="5760" w:hanging="360"/>
      </w:pPr>
      <w:rPr>
        <w:rFonts w:ascii="Courier New" w:hAnsi="Courier New" w:hint="default"/>
      </w:rPr>
    </w:lvl>
    <w:lvl w:ilvl="8" w:tplc="7124D9D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9C71633"/>
    <w:multiLevelType w:val="hybridMultilevel"/>
    <w:tmpl w:val="C736F24C"/>
    <w:lvl w:ilvl="0" w:tplc="B1E40B8E">
      <w:start w:val="1"/>
      <w:numFmt w:val="bullet"/>
      <w:lvlText w:val=""/>
      <w:lvlJc w:val="left"/>
      <w:pPr>
        <w:ind w:left="720" w:hanging="360"/>
      </w:pPr>
      <w:rPr>
        <w:rFonts w:ascii="Symbol" w:hAnsi="Symbol" w:hint="default"/>
        <w:sz w:val="22"/>
      </w:rPr>
    </w:lvl>
    <w:lvl w:ilvl="1" w:tplc="870404F2" w:tentative="1">
      <w:start w:val="1"/>
      <w:numFmt w:val="bullet"/>
      <w:lvlText w:val="o"/>
      <w:lvlJc w:val="left"/>
      <w:pPr>
        <w:ind w:left="1440" w:hanging="360"/>
      </w:pPr>
      <w:rPr>
        <w:rFonts w:ascii="Courier New" w:hAnsi="Courier New" w:cs="Courier New" w:hint="default"/>
      </w:rPr>
    </w:lvl>
    <w:lvl w:ilvl="2" w:tplc="3C24A8C0" w:tentative="1">
      <w:start w:val="1"/>
      <w:numFmt w:val="bullet"/>
      <w:lvlText w:val=""/>
      <w:lvlJc w:val="left"/>
      <w:pPr>
        <w:ind w:left="2160" w:hanging="360"/>
      </w:pPr>
      <w:rPr>
        <w:rFonts w:ascii="Wingdings" w:hAnsi="Wingdings" w:hint="default"/>
      </w:rPr>
    </w:lvl>
    <w:lvl w:ilvl="3" w:tplc="5524A9DA" w:tentative="1">
      <w:start w:val="1"/>
      <w:numFmt w:val="bullet"/>
      <w:lvlText w:val=""/>
      <w:lvlJc w:val="left"/>
      <w:pPr>
        <w:ind w:left="2880" w:hanging="360"/>
      </w:pPr>
      <w:rPr>
        <w:rFonts w:ascii="Symbol" w:hAnsi="Symbol" w:hint="default"/>
      </w:rPr>
    </w:lvl>
    <w:lvl w:ilvl="4" w:tplc="87D2FA3A" w:tentative="1">
      <w:start w:val="1"/>
      <w:numFmt w:val="bullet"/>
      <w:lvlText w:val="o"/>
      <w:lvlJc w:val="left"/>
      <w:pPr>
        <w:ind w:left="3600" w:hanging="360"/>
      </w:pPr>
      <w:rPr>
        <w:rFonts w:ascii="Courier New" w:hAnsi="Courier New" w:cs="Courier New" w:hint="default"/>
      </w:rPr>
    </w:lvl>
    <w:lvl w:ilvl="5" w:tplc="17A6C40E" w:tentative="1">
      <w:start w:val="1"/>
      <w:numFmt w:val="bullet"/>
      <w:lvlText w:val=""/>
      <w:lvlJc w:val="left"/>
      <w:pPr>
        <w:ind w:left="4320" w:hanging="360"/>
      </w:pPr>
      <w:rPr>
        <w:rFonts w:ascii="Wingdings" w:hAnsi="Wingdings" w:hint="default"/>
      </w:rPr>
    </w:lvl>
    <w:lvl w:ilvl="6" w:tplc="D328629A" w:tentative="1">
      <w:start w:val="1"/>
      <w:numFmt w:val="bullet"/>
      <w:lvlText w:val=""/>
      <w:lvlJc w:val="left"/>
      <w:pPr>
        <w:ind w:left="5040" w:hanging="360"/>
      </w:pPr>
      <w:rPr>
        <w:rFonts w:ascii="Symbol" w:hAnsi="Symbol" w:hint="default"/>
      </w:rPr>
    </w:lvl>
    <w:lvl w:ilvl="7" w:tplc="3D5073EC" w:tentative="1">
      <w:start w:val="1"/>
      <w:numFmt w:val="bullet"/>
      <w:lvlText w:val="o"/>
      <w:lvlJc w:val="left"/>
      <w:pPr>
        <w:ind w:left="5760" w:hanging="360"/>
      </w:pPr>
      <w:rPr>
        <w:rFonts w:ascii="Courier New" w:hAnsi="Courier New" w:cs="Courier New" w:hint="default"/>
      </w:rPr>
    </w:lvl>
    <w:lvl w:ilvl="8" w:tplc="7FBA749A" w:tentative="1">
      <w:start w:val="1"/>
      <w:numFmt w:val="bullet"/>
      <w:lvlText w:val=""/>
      <w:lvlJc w:val="left"/>
      <w:pPr>
        <w:ind w:left="6480" w:hanging="360"/>
      </w:pPr>
      <w:rPr>
        <w:rFonts w:ascii="Wingdings" w:hAnsi="Wingdings" w:hint="default"/>
      </w:rPr>
    </w:lvl>
  </w:abstractNum>
  <w:abstractNum w:abstractNumId="34" w15:restartNumberingAfterBreak="0">
    <w:nsid w:val="1AFA0C37"/>
    <w:multiLevelType w:val="hybridMultilevel"/>
    <w:tmpl w:val="B7A6F28E"/>
    <w:lvl w:ilvl="0" w:tplc="940273DA">
      <w:start w:val="1"/>
      <w:numFmt w:val="bullet"/>
      <w:lvlText w:val=""/>
      <w:lvlJc w:val="left"/>
      <w:pPr>
        <w:ind w:left="720" w:hanging="360"/>
      </w:pPr>
      <w:rPr>
        <w:rFonts w:ascii="Symbol" w:hAnsi="Symbol" w:hint="default"/>
        <w:sz w:val="22"/>
      </w:rPr>
    </w:lvl>
    <w:lvl w:ilvl="1" w:tplc="0C346CAC">
      <w:start w:val="1"/>
      <w:numFmt w:val="bullet"/>
      <w:lvlText w:val="o"/>
      <w:lvlJc w:val="left"/>
      <w:pPr>
        <w:ind w:left="1440" w:hanging="360"/>
      </w:pPr>
      <w:rPr>
        <w:rFonts w:ascii="Courier New" w:hAnsi="Courier New" w:cs="Courier New" w:hint="default"/>
      </w:rPr>
    </w:lvl>
    <w:lvl w:ilvl="2" w:tplc="67269F10" w:tentative="1">
      <w:start w:val="1"/>
      <w:numFmt w:val="bullet"/>
      <w:lvlText w:val=""/>
      <w:lvlJc w:val="left"/>
      <w:pPr>
        <w:ind w:left="2160" w:hanging="360"/>
      </w:pPr>
      <w:rPr>
        <w:rFonts w:ascii="Wingdings" w:hAnsi="Wingdings" w:hint="default"/>
      </w:rPr>
    </w:lvl>
    <w:lvl w:ilvl="3" w:tplc="B2BA0A7A" w:tentative="1">
      <w:start w:val="1"/>
      <w:numFmt w:val="bullet"/>
      <w:lvlText w:val=""/>
      <w:lvlJc w:val="left"/>
      <w:pPr>
        <w:ind w:left="2880" w:hanging="360"/>
      </w:pPr>
      <w:rPr>
        <w:rFonts w:ascii="Symbol" w:hAnsi="Symbol" w:hint="default"/>
      </w:rPr>
    </w:lvl>
    <w:lvl w:ilvl="4" w:tplc="39887DD2" w:tentative="1">
      <w:start w:val="1"/>
      <w:numFmt w:val="bullet"/>
      <w:lvlText w:val="o"/>
      <w:lvlJc w:val="left"/>
      <w:pPr>
        <w:ind w:left="3600" w:hanging="360"/>
      </w:pPr>
      <w:rPr>
        <w:rFonts w:ascii="Courier New" w:hAnsi="Courier New" w:cs="Courier New" w:hint="default"/>
      </w:rPr>
    </w:lvl>
    <w:lvl w:ilvl="5" w:tplc="53320450" w:tentative="1">
      <w:start w:val="1"/>
      <w:numFmt w:val="bullet"/>
      <w:lvlText w:val=""/>
      <w:lvlJc w:val="left"/>
      <w:pPr>
        <w:ind w:left="4320" w:hanging="360"/>
      </w:pPr>
      <w:rPr>
        <w:rFonts w:ascii="Wingdings" w:hAnsi="Wingdings" w:hint="default"/>
      </w:rPr>
    </w:lvl>
    <w:lvl w:ilvl="6" w:tplc="D2E8CA96" w:tentative="1">
      <w:start w:val="1"/>
      <w:numFmt w:val="bullet"/>
      <w:lvlText w:val=""/>
      <w:lvlJc w:val="left"/>
      <w:pPr>
        <w:ind w:left="5040" w:hanging="360"/>
      </w:pPr>
      <w:rPr>
        <w:rFonts w:ascii="Symbol" w:hAnsi="Symbol" w:hint="default"/>
      </w:rPr>
    </w:lvl>
    <w:lvl w:ilvl="7" w:tplc="556A5D7E" w:tentative="1">
      <w:start w:val="1"/>
      <w:numFmt w:val="bullet"/>
      <w:lvlText w:val="o"/>
      <w:lvlJc w:val="left"/>
      <w:pPr>
        <w:ind w:left="5760" w:hanging="360"/>
      </w:pPr>
      <w:rPr>
        <w:rFonts w:ascii="Courier New" w:hAnsi="Courier New" w:cs="Courier New" w:hint="default"/>
      </w:rPr>
    </w:lvl>
    <w:lvl w:ilvl="8" w:tplc="01B6E4A6" w:tentative="1">
      <w:start w:val="1"/>
      <w:numFmt w:val="bullet"/>
      <w:lvlText w:val=""/>
      <w:lvlJc w:val="left"/>
      <w:pPr>
        <w:ind w:left="6480" w:hanging="360"/>
      </w:pPr>
      <w:rPr>
        <w:rFonts w:ascii="Wingdings" w:hAnsi="Wingdings" w:hint="default"/>
      </w:rPr>
    </w:lvl>
  </w:abstractNum>
  <w:abstractNum w:abstractNumId="35" w15:restartNumberingAfterBreak="0">
    <w:nsid w:val="24E51A91"/>
    <w:multiLevelType w:val="hybridMultilevel"/>
    <w:tmpl w:val="D5F4A7CE"/>
    <w:lvl w:ilvl="0" w:tplc="1A1878B0">
      <w:start w:val="1"/>
      <w:numFmt w:val="bullet"/>
      <w:lvlText w:val=""/>
      <w:lvlJc w:val="left"/>
      <w:pPr>
        <w:tabs>
          <w:tab w:val="num" w:pos="720"/>
        </w:tabs>
        <w:ind w:left="720" w:hanging="360"/>
      </w:pPr>
      <w:rPr>
        <w:rFonts w:ascii="Wingdings" w:hAnsi="Wingdings" w:hint="default"/>
      </w:rPr>
    </w:lvl>
    <w:lvl w:ilvl="1" w:tplc="6F0E0682">
      <w:start w:val="1"/>
      <w:numFmt w:val="bullet"/>
      <w:lvlText w:val="o"/>
      <w:lvlJc w:val="left"/>
      <w:pPr>
        <w:tabs>
          <w:tab w:val="num" w:pos="1440"/>
        </w:tabs>
        <w:ind w:left="1440" w:hanging="360"/>
      </w:pPr>
      <w:rPr>
        <w:rFonts w:ascii="Courier New" w:hAnsi="Courier New" w:hint="default"/>
      </w:rPr>
    </w:lvl>
    <w:lvl w:ilvl="2" w:tplc="2BE443CC" w:tentative="1">
      <w:start w:val="1"/>
      <w:numFmt w:val="bullet"/>
      <w:lvlText w:val=""/>
      <w:lvlJc w:val="left"/>
      <w:pPr>
        <w:tabs>
          <w:tab w:val="num" w:pos="2160"/>
        </w:tabs>
        <w:ind w:left="2160" w:hanging="360"/>
      </w:pPr>
      <w:rPr>
        <w:rFonts w:ascii="Wingdings" w:hAnsi="Wingdings" w:hint="default"/>
      </w:rPr>
    </w:lvl>
    <w:lvl w:ilvl="3" w:tplc="4246CF7C" w:tentative="1">
      <w:start w:val="1"/>
      <w:numFmt w:val="bullet"/>
      <w:lvlText w:val=""/>
      <w:lvlJc w:val="left"/>
      <w:pPr>
        <w:tabs>
          <w:tab w:val="num" w:pos="2880"/>
        </w:tabs>
        <w:ind w:left="2880" w:hanging="360"/>
      </w:pPr>
      <w:rPr>
        <w:rFonts w:ascii="Symbol" w:hAnsi="Symbol" w:hint="default"/>
      </w:rPr>
    </w:lvl>
    <w:lvl w:ilvl="4" w:tplc="5128D6F0" w:tentative="1">
      <w:start w:val="1"/>
      <w:numFmt w:val="bullet"/>
      <w:lvlText w:val="o"/>
      <w:lvlJc w:val="left"/>
      <w:pPr>
        <w:tabs>
          <w:tab w:val="num" w:pos="3600"/>
        </w:tabs>
        <w:ind w:left="3600" w:hanging="360"/>
      </w:pPr>
      <w:rPr>
        <w:rFonts w:ascii="Courier New" w:hAnsi="Courier New" w:hint="default"/>
      </w:rPr>
    </w:lvl>
    <w:lvl w:ilvl="5" w:tplc="35345D88" w:tentative="1">
      <w:start w:val="1"/>
      <w:numFmt w:val="bullet"/>
      <w:lvlText w:val=""/>
      <w:lvlJc w:val="left"/>
      <w:pPr>
        <w:tabs>
          <w:tab w:val="num" w:pos="4320"/>
        </w:tabs>
        <w:ind w:left="4320" w:hanging="360"/>
      </w:pPr>
      <w:rPr>
        <w:rFonts w:ascii="Wingdings" w:hAnsi="Wingdings" w:hint="default"/>
      </w:rPr>
    </w:lvl>
    <w:lvl w:ilvl="6" w:tplc="C8367406" w:tentative="1">
      <w:start w:val="1"/>
      <w:numFmt w:val="bullet"/>
      <w:lvlText w:val=""/>
      <w:lvlJc w:val="left"/>
      <w:pPr>
        <w:tabs>
          <w:tab w:val="num" w:pos="5040"/>
        </w:tabs>
        <w:ind w:left="5040" w:hanging="360"/>
      </w:pPr>
      <w:rPr>
        <w:rFonts w:ascii="Symbol" w:hAnsi="Symbol" w:hint="default"/>
      </w:rPr>
    </w:lvl>
    <w:lvl w:ilvl="7" w:tplc="8FA89C04" w:tentative="1">
      <w:start w:val="1"/>
      <w:numFmt w:val="bullet"/>
      <w:lvlText w:val="o"/>
      <w:lvlJc w:val="left"/>
      <w:pPr>
        <w:tabs>
          <w:tab w:val="num" w:pos="5760"/>
        </w:tabs>
        <w:ind w:left="5760" w:hanging="360"/>
      </w:pPr>
      <w:rPr>
        <w:rFonts w:ascii="Courier New" w:hAnsi="Courier New" w:hint="default"/>
      </w:rPr>
    </w:lvl>
    <w:lvl w:ilvl="8" w:tplc="B92EABB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4FE61FA"/>
    <w:multiLevelType w:val="hybridMultilevel"/>
    <w:tmpl w:val="172AF570"/>
    <w:lvl w:ilvl="0" w:tplc="0E1EE4CA">
      <w:start w:val="1"/>
      <w:numFmt w:val="bullet"/>
      <w:lvlText w:val=""/>
      <w:lvlJc w:val="left"/>
      <w:pPr>
        <w:tabs>
          <w:tab w:val="num" w:pos="690"/>
        </w:tabs>
        <w:ind w:left="690" w:hanging="360"/>
      </w:pPr>
      <w:rPr>
        <w:rFonts w:ascii="Symbol" w:hAnsi="Symbol" w:hint="default"/>
      </w:rPr>
    </w:lvl>
    <w:lvl w:ilvl="1" w:tplc="BBEAB5B0">
      <w:start w:val="1"/>
      <w:numFmt w:val="bullet"/>
      <w:lvlText w:val=""/>
      <w:lvlJc w:val="left"/>
      <w:pPr>
        <w:tabs>
          <w:tab w:val="num" w:pos="1440"/>
        </w:tabs>
        <w:ind w:left="1440" w:hanging="360"/>
      </w:pPr>
      <w:rPr>
        <w:rFonts w:ascii="Symbol" w:hAnsi="Symbol" w:hint="default"/>
        <w:sz w:val="22"/>
      </w:rPr>
    </w:lvl>
    <w:lvl w:ilvl="2" w:tplc="B930080C" w:tentative="1">
      <w:start w:val="1"/>
      <w:numFmt w:val="bullet"/>
      <w:lvlText w:val=""/>
      <w:lvlJc w:val="left"/>
      <w:pPr>
        <w:tabs>
          <w:tab w:val="num" w:pos="2160"/>
        </w:tabs>
        <w:ind w:left="2160" w:hanging="360"/>
      </w:pPr>
      <w:rPr>
        <w:rFonts w:ascii="Wingdings" w:hAnsi="Wingdings" w:hint="default"/>
      </w:rPr>
    </w:lvl>
    <w:lvl w:ilvl="3" w:tplc="1B944CAC" w:tentative="1">
      <w:start w:val="1"/>
      <w:numFmt w:val="bullet"/>
      <w:lvlText w:val=""/>
      <w:lvlJc w:val="left"/>
      <w:pPr>
        <w:tabs>
          <w:tab w:val="num" w:pos="2880"/>
        </w:tabs>
        <w:ind w:left="2880" w:hanging="360"/>
      </w:pPr>
      <w:rPr>
        <w:rFonts w:ascii="Symbol" w:hAnsi="Symbol" w:hint="default"/>
      </w:rPr>
    </w:lvl>
    <w:lvl w:ilvl="4" w:tplc="C4ACAFD0" w:tentative="1">
      <w:start w:val="1"/>
      <w:numFmt w:val="bullet"/>
      <w:lvlText w:val="o"/>
      <w:lvlJc w:val="left"/>
      <w:pPr>
        <w:tabs>
          <w:tab w:val="num" w:pos="3600"/>
        </w:tabs>
        <w:ind w:left="3600" w:hanging="360"/>
      </w:pPr>
      <w:rPr>
        <w:rFonts w:ascii="Courier New" w:hAnsi="Courier New" w:hint="default"/>
      </w:rPr>
    </w:lvl>
    <w:lvl w:ilvl="5" w:tplc="6E32E744" w:tentative="1">
      <w:start w:val="1"/>
      <w:numFmt w:val="bullet"/>
      <w:lvlText w:val=""/>
      <w:lvlJc w:val="left"/>
      <w:pPr>
        <w:tabs>
          <w:tab w:val="num" w:pos="4320"/>
        </w:tabs>
        <w:ind w:left="4320" w:hanging="360"/>
      </w:pPr>
      <w:rPr>
        <w:rFonts w:ascii="Wingdings" w:hAnsi="Wingdings" w:hint="default"/>
      </w:rPr>
    </w:lvl>
    <w:lvl w:ilvl="6" w:tplc="A1023A1C" w:tentative="1">
      <w:start w:val="1"/>
      <w:numFmt w:val="bullet"/>
      <w:lvlText w:val=""/>
      <w:lvlJc w:val="left"/>
      <w:pPr>
        <w:tabs>
          <w:tab w:val="num" w:pos="5040"/>
        </w:tabs>
        <w:ind w:left="5040" w:hanging="360"/>
      </w:pPr>
      <w:rPr>
        <w:rFonts w:ascii="Symbol" w:hAnsi="Symbol" w:hint="default"/>
      </w:rPr>
    </w:lvl>
    <w:lvl w:ilvl="7" w:tplc="90465F0A" w:tentative="1">
      <w:start w:val="1"/>
      <w:numFmt w:val="bullet"/>
      <w:lvlText w:val="o"/>
      <w:lvlJc w:val="left"/>
      <w:pPr>
        <w:tabs>
          <w:tab w:val="num" w:pos="5760"/>
        </w:tabs>
        <w:ind w:left="5760" w:hanging="360"/>
      </w:pPr>
      <w:rPr>
        <w:rFonts w:ascii="Courier New" w:hAnsi="Courier New" w:hint="default"/>
      </w:rPr>
    </w:lvl>
    <w:lvl w:ilvl="8" w:tplc="744C2C2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6AE153D"/>
    <w:multiLevelType w:val="hybridMultilevel"/>
    <w:tmpl w:val="0C86E138"/>
    <w:lvl w:ilvl="0" w:tplc="B9323F88">
      <w:start w:val="1"/>
      <w:numFmt w:val="bullet"/>
      <w:lvlText w:val=""/>
      <w:lvlJc w:val="left"/>
      <w:pPr>
        <w:tabs>
          <w:tab w:val="num" w:pos="720"/>
        </w:tabs>
        <w:ind w:left="720" w:hanging="360"/>
      </w:pPr>
      <w:rPr>
        <w:rFonts w:ascii="Symbol" w:hAnsi="Symbol" w:hint="default"/>
      </w:rPr>
    </w:lvl>
    <w:lvl w:ilvl="1" w:tplc="9AD448D4" w:tentative="1">
      <w:start w:val="1"/>
      <w:numFmt w:val="bullet"/>
      <w:lvlText w:val="o"/>
      <w:lvlJc w:val="left"/>
      <w:pPr>
        <w:tabs>
          <w:tab w:val="num" w:pos="1440"/>
        </w:tabs>
        <w:ind w:left="1440" w:hanging="360"/>
      </w:pPr>
      <w:rPr>
        <w:rFonts w:ascii="Courier New" w:hAnsi="Courier New" w:hint="default"/>
      </w:rPr>
    </w:lvl>
    <w:lvl w:ilvl="2" w:tplc="481A8296" w:tentative="1">
      <w:start w:val="1"/>
      <w:numFmt w:val="bullet"/>
      <w:lvlText w:val=""/>
      <w:lvlJc w:val="left"/>
      <w:pPr>
        <w:tabs>
          <w:tab w:val="num" w:pos="2160"/>
        </w:tabs>
        <w:ind w:left="2160" w:hanging="360"/>
      </w:pPr>
      <w:rPr>
        <w:rFonts w:ascii="Wingdings" w:hAnsi="Wingdings" w:hint="default"/>
      </w:rPr>
    </w:lvl>
    <w:lvl w:ilvl="3" w:tplc="5A6EC714" w:tentative="1">
      <w:start w:val="1"/>
      <w:numFmt w:val="bullet"/>
      <w:lvlText w:val=""/>
      <w:lvlJc w:val="left"/>
      <w:pPr>
        <w:tabs>
          <w:tab w:val="num" w:pos="2880"/>
        </w:tabs>
        <w:ind w:left="2880" w:hanging="360"/>
      </w:pPr>
      <w:rPr>
        <w:rFonts w:ascii="Symbol" w:hAnsi="Symbol" w:hint="default"/>
      </w:rPr>
    </w:lvl>
    <w:lvl w:ilvl="4" w:tplc="FDFA0ABA" w:tentative="1">
      <w:start w:val="1"/>
      <w:numFmt w:val="bullet"/>
      <w:lvlText w:val="o"/>
      <w:lvlJc w:val="left"/>
      <w:pPr>
        <w:tabs>
          <w:tab w:val="num" w:pos="3600"/>
        </w:tabs>
        <w:ind w:left="3600" w:hanging="360"/>
      </w:pPr>
      <w:rPr>
        <w:rFonts w:ascii="Courier New" w:hAnsi="Courier New" w:hint="default"/>
      </w:rPr>
    </w:lvl>
    <w:lvl w:ilvl="5" w:tplc="BC1613BE" w:tentative="1">
      <w:start w:val="1"/>
      <w:numFmt w:val="bullet"/>
      <w:lvlText w:val=""/>
      <w:lvlJc w:val="left"/>
      <w:pPr>
        <w:tabs>
          <w:tab w:val="num" w:pos="4320"/>
        </w:tabs>
        <w:ind w:left="4320" w:hanging="360"/>
      </w:pPr>
      <w:rPr>
        <w:rFonts w:ascii="Wingdings" w:hAnsi="Wingdings" w:hint="default"/>
      </w:rPr>
    </w:lvl>
    <w:lvl w:ilvl="6" w:tplc="9E769BAC" w:tentative="1">
      <w:start w:val="1"/>
      <w:numFmt w:val="bullet"/>
      <w:lvlText w:val=""/>
      <w:lvlJc w:val="left"/>
      <w:pPr>
        <w:tabs>
          <w:tab w:val="num" w:pos="5040"/>
        </w:tabs>
        <w:ind w:left="5040" w:hanging="360"/>
      </w:pPr>
      <w:rPr>
        <w:rFonts w:ascii="Symbol" w:hAnsi="Symbol" w:hint="default"/>
      </w:rPr>
    </w:lvl>
    <w:lvl w:ilvl="7" w:tplc="A49A140A" w:tentative="1">
      <w:start w:val="1"/>
      <w:numFmt w:val="bullet"/>
      <w:lvlText w:val="o"/>
      <w:lvlJc w:val="left"/>
      <w:pPr>
        <w:tabs>
          <w:tab w:val="num" w:pos="5760"/>
        </w:tabs>
        <w:ind w:left="5760" w:hanging="360"/>
      </w:pPr>
      <w:rPr>
        <w:rFonts w:ascii="Courier New" w:hAnsi="Courier New" w:hint="default"/>
      </w:rPr>
    </w:lvl>
    <w:lvl w:ilvl="8" w:tplc="05D4E7E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9333E15"/>
    <w:multiLevelType w:val="hybridMultilevel"/>
    <w:tmpl w:val="D7FA0DCC"/>
    <w:lvl w:ilvl="0" w:tplc="B7525C96">
      <w:start w:val="1"/>
      <w:numFmt w:val="bullet"/>
      <w:lvlText w:val=""/>
      <w:lvlJc w:val="left"/>
      <w:pPr>
        <w:ind w:left="720" w:hanging="360"/>
      </w:pPr>
      <w:rPr>
        <w:rFonts w:ascii="Symbol" w:hAnsi="Symbol" w:hint="default"/>
      </w:rPr>
    </w:lvl>
    <w:lvl w:ilvl="1" w:tplc="427AD3A6" w:tentative="1">
      <w:start w:val="1"/>
      <w:numFmt w:val="bullet"/>
      <w:lvlText w:val="o"/>
      <w:lvlJc w:val="left"/>
      <w:pPr>
        <w:ind w:left="1440" w:hanging="360"/>
      </w:pPr>
      <w:rPr>
        <w:rFonts w:ascii="Courier New" w:hAnsi="Courier New" w:cs="Courier New" w:hint="default"/>
      </w:rPr>
    </w:lvl>
    <w:lvl w:ilvl="2" w:tplc="FD682618" w:tentative="1">
      <w:start w:val="1"/>
      <w:numFmt w:val="bullet"/>
      <w:lvlText w:val=""/>
      <w:lvlJc w:val="left"/>
      <w:pPr>
        <w:ind w:left="2160" w:hanging="360"/>
      </w:pPr>
      <w:rPr>
        <w:rFonts w:ascii="Wingdings" w:hAnsi="Wingdings" w:hint="default"/>
      </w:rPr>
    </w:lvl>
    <w:lvl w:ilvl="3" w:tplc="F03CF0F0" w:tentative="1">
      <w:start w:val="1"/>
      <w:numFmt w:val="bullet"/>
      <w:lvlText w:val=""/>
      <w:lvlJc w:val="left"/>
      <w:pPr>
        <w:ind w:left="2880" w:hanging="360"/>
      </w:pPr>
      <w:rPr>
        <w:rFonts w:ascii="Symbol" w:hAnsi="Symbol" w:hint="default"/>
      </w:rPr>
    </w:lvl>
    <w:lvl w:ilvl="4" w:tplc="A9163E8A" w:tentative="1">
      <w:start w:val="1"/>
      <w:numFmt w:val="bullet"/>
      <w:lvlText w:val="o"/>
      <w:lvlJc w:val="left"/>
      <w:pPr>
        <w:ind w:left="3600" w:hanging="360"/>
      </w:pPr>
      <w:rPr>
        <w:rFonts w:ascii="Courier New" w:hAnsi="Courier New" w:cs="Courier New" w:hint="default"/>
      </w:rPr>
    </w:lvl>
    <w:lvl w:ilvl="5" w:tplc="939E79C8" w:tentative="1">
      <w:start w:val="1"/>
      <w:numFmt w:val="bullet"/>
      <w:lvlText w:val=""/>
      <w:lvlJc w:val="left"/>
      <w:pPr>
        <w:ind w:left="4320" w:hanging="360"/>
      </w:pPr>
      <w:rPr>
        <w:rFonts w:ascii="Wingdings" w:hAnsi="Wingdings" w:hint="default"/>
      </w:rPr>
    </w:lvl>
    <w:lvl w:ilvl="6" w:tplc="50065DA4" w:tentative="1">
      <w:start w:val="1"/>
      <w:numFmt w:val="bullet"/>
      <w:lvlText w:val=""/>
      <w:lvlJc w:val="left"/>
      <w:pPr>
        <w:ind w:left="5040" w:hanging="360"/>
      </w:pPr>
      <w:rPr>
        <w:rFonts w:ascii="Symbol" w:hAnsi="Symbol" w:hint="default"/>
      </w:rPr>
    </w:lvl>
    <w:lvl w:ilvl="7" w:tplc="B07069EA" w:tentative="1">
      <w:start w:val="1"/>
      <w:numFmt w:val="bullet"/>
      <w:lvlText w:val="o"/>
      <w:lvlJc w:val="left"/>
      <w:pPr>
        <w:ind w:left="5760" w:hanging="360"/>
      </w:pPr>
      <w:rPr>
        <w:rFonts w:ascii="Courier New" w:hAnsi="Courier New" w:cs="Courier New" w:hint="default"/>
      </w:rPr>
    </w:lvl>
    <w:lvl w:ilvl="8" w:tplc="9E1E6BAE" w:tentative="1">
      <w:start w:val="1"/>
      <w:numFmt w:val="bullet"/>
      <w:lvlText w:val=""/>
      <w:lvlJc w:val="left"/>
      <w:pPr>
        <w:ind w:left="6480" w:hanging="360"/>
      </w:pPr>
      <w:rPr>
        <w:rFonts w:ascii="Wingdings" w:hAnsi="Wingdings" w:hint="default"/>
      </w:rPr>
    </w:lvl>
  </w:abstractNum>
  <w:abstractNum w:abstractNumId="39" w15:restartNumberingAfterBreak="0">
    <w:nsid w:val="2B010F89"/>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40" w15:restartNumberingAfterBreak="0">
    <w:nsid w:val="2B227CBC"/>
    <w:multiLevelType w:val="hybridMultilevel"/>
    <w:tmpl w:val="FB2ED7D0"/>
    <w:lvl w:ilvl="0" w:tplc="64A486D4">
      <w:start w:val="1"/>
      <w:numFmt w:val="bullet"/>
      <w:lvlText w:val=""/>
      <w:lvlJc w:val="left"/>
      <w:pPr>
        <w:ind w:left="720" w:hanging="360"/>
      </w:pPr>
      <w:rPr>
        <w:rFonts w:ascii="Symbol" w:hAnsi="Symbol" w:hint="default"/>
        <w:sz w:val="22"/>
      </w:rPr>
    </w:lvl>
    <w:lvl w:ilvl="1" w:tplc="DCBA63EE" w:tentative="1">
      <w:start w:val="1"/>
      <w:numFmt w:val="bullet"/>
      <w:lvlText w:val="o"/>
      <w:lvlJc w:val="left"/>
      <w:pPr>
        <w:ind w:left="1440" w:hanging="360"/>
      </w:pPr>
      <w:rPr>
        <w:rFonts w:ascii="Courier New" w:hAnsi="Courier New" w:cs="Courier New" w:hint="default"/>
      </w:rPr>
    </w:lvl>
    <w:lvl w:ilvl="2" w:tplc="2C2279D4" w:tentative="1">
      <w:start w:val="1"/>
      <w:numFmt w:val="bullet"/>
      <w:lvlText w:val=""/>
      <w:lvlJc w:val="left"/>
      <w:pPr>
        <w:ind w:left="2160" w:hanging="360"/>
      </w:pPr>
      <w:rPr>
        <w:rFonts w:ascii="Wingdings" w:hAnsi="Wingdings" w:hint="default"/>
      </w:rPr>
    </w:lvl>
    <w:lvl w:ilvl="3" w:tplc="34FE50F4" w:tentative="1">
      <w:start w:val="1"/>
      <w:numFmt w:val="bullet"/>
      <w:lvlText w:val=""/>
      <w:lvlJc w:val="left"/>
      <w:pPr>
        <w:ind w:left="2880" w:hanging="360"/>
      </w:pPr>
      <w:rPr>
        <w:rFonts w:ascii="Symbol" w:hAnsi="Symbol" w:hint="default"/>
      </w:rPr>
    </w:lvl>
    <w:lvl w:ilvl="4" w:tplc="F3245F8A" w:tentative="1">
      <w:start w:val="1"/>
      <w:numFmt w:val="bullet"/>
      <w:lvlText w:val="o"/>
      <w:lvlJc w:val="left"/>
      <w:pPr>
        <w:ind w:left="3600" w:hanging="360"/>
      </w:pPr>
      <w:rPr>
        <w:rFonts w:ascii="Courier New" w:hAnsi="Courier New" w:cs="Courier New" w:hint="default"/>
      </w:rPr>
    </w:lvl>
    <w:lvl w:ilvl="5" w:tplc="916AFCB2" w:tentative="1">
      <w:start w:val="1"/>
      <w:numFmt w:val="bullet"/>
      <w:lvlText w:val=""/>
      <w:lvlJc w:val="left"/>
      <w:pPr>
        <w:ind w:left="4320" w:hanging="360"/>
      </w:pPr>
      <w:rPr>
        <w:rFonts w:ascii="Wingdings" w:hAnsi="Wingdings" w:hint="default"/>
      </w:rPr>
    </w:lvl>
    <w:lvl w:ilvl="6" w:tplc="CCBAAECC" w:tentative="1">
      <w:start w:val="1"/>
      <w:numFmt w:val="bullet"/>
      <w:lvlText w:val=""/>
      <w:lvlJc w:val="left"/>
      <w:pPr>
        <w:ind w:left="5040" w:hanging="360"/>
      </w:pPr>
      <w:rPr>
        <w:rFonts w:ascii="Symbol" w:hAnsi="Symbol" w:hint="default"/>
      </w:rPr>
    </w:lvl>
    <w:lvl w:ilvl="7" w:tplc="717C3668" w:tentative="1">
      <w:start w:val="1"/>
      <w:numFmt w:val="bullet"/>
      <w:lvlText w:val="o"/>
      <w:lvlJc w:val="left"/>
      <w:pPr>
        <w:ind w:left="5760" w:hanging="360"/>
      </w:pPr>
      <w:rPr>
        <w:rFonts w:ascii="Courier New" w:hAnsi="Courier New" w:cs="Courier New" w:hint="default"/>
      </w:rPr>
    </w:lvl>
    <w:lvl w:ilvl="8" w:tplc="A7C020A4" w:tentative="1">
      <w:start w:val="1"/>
      <w:numFmt w:val="bullet"/>
      <w:lvlText w:val=""/>
      <w:lvlJc w:val="left"/>
      <w:pPr>
        <w:ind w:left="6480" w:hanging="360"/>
      </w:pPr>
      <w:rPr>
        <w:rFonts w:ascii="Wingdings" w:hAnsi="Wingdings" w:hint="default"/>
      </w:rPr>
    </w:lvl>
  </w:abstractNum>
  <w:abstractNum w:abstractNumId="41" w15:restartNumberingAfterBreak="0">
    <w:nsid w:val="2C987E2D"/>
    <w:multiLevelType w:val="hybridMultilevel"/>
    <w:tmpl w:val="ED6E1DFE"/>
    <w:lvl w:ilvl="0" w:tplc="4614F348">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lvl w:ilvl="1" w:tplc="C876D9B2" w:tentative="1">
      <w:start w:val="1"/>
      <w:numFmt w:val="lowerLetter"/>
      <w:lvlText w:val="%2."/>
      <w:lvlJc w:val="left"/>
      <w:pPr>
        <w:ind w:left="1440" w:hanging="360"/>
      </w:pPr>
    </w:lvl>
    <w:lvl w:ilvl="2" w:tplc="2AFA3D40" w:tentative="1">
      <w:start w:val="1"/>
      <w:numFmt w:val="lowerRoman"/>
      <w:lvlText w:val="%3."/>
      <w:lvlJc w:val="right"/>
      <w:pPr>
        <w:ind w:left="2160" w:hanging="180"/>
      </w:pPr>
    </w:lvl>
    <w:lvl w:ilvl="3" w:tplc="5434DEF0" w:tentative="1">
      <w:start w:val="1"/>
      <w:numFmt w:val="decimal"/>
      <w:lvlText w:val="%4."/>
      <w:lvlJc w:val="left"/>
      <w:pPr>
        <w:ind w:left="2880" w:hanging="360"/>
      </w:pPr>
    </w:lvl>
    <w:lvl w:ilvl="4" w:tplc="39865A38" w:tentative="1">
      <w:start w:val="1"/>
      <w:numFmt w:val="lowerLetter"/>
      <w:lvlText w:val="%5."/>
      <w:lvlJc w:val="left"/>
      <w:pPr>
        <w:ind w:left="3600" w:hanging="360"/>
      </w:pPr>
    </w:lvl>
    <w:lvl w:ilvl="5" w:tplc="9F32A78E" w:tentative="1">
      <w:start w:val="1"/>
      <w:numFmt w:val="lowerRoman"/>
      <w:lvlText w:val="%6."/>
      <w:lvlJc w:val="right"/>
      <w:pPr>
        <w:ind w:left="4320" w:hanging="180"/>
      </w:pPr>
    </w:lvl>
    <w:lvl w:ilvl="6" w:tplc="94C869FC" w:tentative="1">
      <w:start w:val="1"/>
      <w:numFmt w:val="decimal"/>
      <w:lvlText w:val="%7."/>
      <w:lvlJc w:val="left"/>
      <w:pPr>
        <w:ind w:left="5040" w:hanging="360"/>
      </w:pPr>
    </w:lvl>
    <w:lvl w:ilvl="7" w:tplc="3FFC2568" w:tentative="1">
      <w:start w:val="1"/>
      <w:numFmt w:val="lowerLetter"/>
      <w:lvlText w:val="%8."/>
      <w:lvlJc w:val="left"/>
      <w:pPr>
        <w:ind w:left="5760" w:hanging="360"/>
      </w:pPr>
    </w:lvl>
    <w:lvl w:ilvl="8" w:tplc="524A7208" w:tentative="1">
      <w:start w:val="1"/>
      <w:numFmt w:val="lowerRoman"/>
      <w:lvlText w:val="%9."/>
      <w:lvlJc w:val="right"/>
      <w:pPr>
        <w:ind w:left="6480" w:hanging="180"/>
      </w:pPr>
    </w:lvl>
  </w:abstractNum>
  <w:abstractNum w:abstractNumId="42" w15:restartNumberingAfterBreak="0">
    <w:nsid w:val="2D59692A"/>
    <w:multiLevelType w:val="hybridMultilevel"/>
    <w:tmpl w:val="70587ECA"/>
    <w:lvl w:ilvl="0" w:tplc="8392E628">
      <w:start w:val="1"/>
      <w:numFmt w:val="bullet"/>
      <w:lvlText w:val=""/>
      <w:lvlJc w:val="left"/>
      <w:pPr>
        <w:tabs>
          <w:tab w:val="num" w:pos="690"/>
        </w:tabs>
        <w:ind w:left="690" w:hanging="360"/>
      </w:pPr>
      <w:rPr>
        <w:rFonts w:ascii="Symbol" w:hAnsi="Symbol" w:hint="default"/>
      </w:rPr>
    </w:lvl>
    <w:lvl w:ilvl="1" w:tplc="29CCF2AE">
      <w:start w:val="1"/>
      <w:numFmt w:val="bullet"/>
      <w:lvlText w:val=""/>
      <w:lvlJc w:val="left"/>
      <w:pPr>
        <w:tabs>
          <w:tab w:val="num" w:pos="1440"/>
        </w:tabs>
        <w:ind w:left="1440" w:hanging="360"/>
      </w:pPr>
      <w:rPr>
        <w:rFonts w:ascii="Symbol" w:hAnsi="Symbol" w:hint="default"/>
      </w:rPr>
    </w:lvl>
    <w:lvl w:ilvl="2" w:tplc="C5A4BC28" w:tentative="1">
      <w:start w:val="1"/>
      <w:numFmt w:val="bullet"/>
      <w:lvlText w:val=""/>
      <w:lvlJc w:val="left"/>
      <w:pPr>
        <w:tabs>
          <w:tab w:val="num" w:pos="2160"/>
        </w:tabs>
        <w:ind w:left="2160" w:hanging="360"/>
      </w:pPr>
      <w:rPr>
        <w:rFonts w:ascii="Wingdings" w:hAnsi="Wingdings" w:hint="default"/>
      </w:rPr>
    </w:lvl>
    <w:lvl w:ilvl="3" w:tplc="FF76FC46" w:tentative="1">
      <w:start w:val="1"/>
      <w:numFmt w:val="bullet"/>
      <w:lvlText w:val=""/>
      <w:lvlJc w:val="left"/>
      <w:pPr>
        <w:tabs>
          <w:tab w:val="num" w:pos="2880"/>
        </w:tabs>
        <w:ind w:left="2880" w:hanging="360"/>
      </w:pPr>
      <w:rPr>
        <w:rFonts w:ascii="Symbol" w:hAnsi="Symbol" w:hint="default"/>
      </w:rPr>
    </w:lvl>
    <w:lvl w:ilvl="4" w:tplc="CAA6DF4C" w:tentative="1">
      <w:start w:val="1"/>
      <w:numFmt w:val="bullet"/>
      <w:lvlText w:val="o"/>
      <w:lvlJc w:val="left"/>
      <w:pPr>
        <w:tabs>
          <w:tab w:val="num" w:pos="3600"/>
        </w:tabs>
        <w:ind w:left="3600" w:hanging="360"/>
      </w:pPr>
      <w:rPr>
        <w:rFonts w:ascii="Courier New" w:hAnsi="Courier New" w:hint="default"/>
      </w:rPr>
    </w:lvl>
    <w:lvl w:ilvl="5" w:tplc="22F46C48" w:tentative="1">
      <w:start w:val="1"/>
      <w:numFmt w:val="bullet"/>
      <w:lvlText w:val=""/>
      <w:lvlJc w:val="left"/>
      <w:pPr>
        <w:tabs>
          <w:tab w:val="num" w:pos="4320"/>
        </w:tabs>
        <w:ind w:left="4320" w:hanging="360"/>
      </w:pPr>
      <w:rPr>
        <w:rFonts w:ascii="Wingdings" w:hAnsi="Wingdings" w:hint="default"/>
      </w:rPr>
    </w:lvl>
    <w:lvl w:ilvl="6" w:tplc="637608A2" w:tentative="1">
      <w:start w:val="1"/>
      <w:numFmt w:val="bullet"/>
      <w:lvlText w:val=""/>
      <w:lvlJc w:val="left"/>
      <w:pPr>
        <w:tabs>
          <w:tab w:val="num" w:pos="5040"/>
        </w:tabs>
        <w:ind w:left="5040" w:hanging="360"/>
      </w:pPr>
      <w:rPr>
        <w:rFonts w:ascii="Symbol" w:hAnsi="Symbol" w:hint="default"/>
      </w:rPr>
    </w:lvl>
    <w:lvl w:ilvl="7" w:tplc="99C6CFF8" w:tentative="1">
      <w:start w:val="1"/>
      <w:numFmt w:val="bullet"/>
      <w:lvlText w:val="o"/>
      <w:lvlJc w:val="left"/>
      <w:pPr>
        <w:tabs>
          <w:tab w:val="num" w:pos="5760"/>
        </w:tabs>
        <w:ind w:left="5760" w:hanging="360"/>
      </w:pPr>
      <w:rPr>
        <w:rFonts w:ascii="Courier New" w:hAnsi="Courier New" w:hint="default"/>
      </w:rPr>
    </w:lvl>
    <w:lvl w:ilvl="8" w:tplc="E26CD3B6"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DE430A6"/>
    <w:multiLevelType w:val="hybridMultilevel"/>
    <w:tmpl w:val="2D1C16EE"/>
    <w:lvl w:ilvl="0" w:tplc="A552D52C">
      <w:start w:val="1"/>
      <w:numFmt w:val="bullet"/>
      <w:lvlText w:val=""/>
      <w:lvlJc w:val="left"/>
      <w:pPr>
        <w:tabs>
          <w:tab w:val="num" w:pos="720"/>
        </w:tabs>
        <w:ind w:left="720" w:hanging="360"/>
      </w:pPr>
      <w:rPr>
        <w:rFonts w:ascii="Symbol" w:hAnsi="Symbol" w:hint="default"/>
      </w:rPr>
    </w:lvl>
    <w:lvl w:ilvl="1" w:tplc="7DC8E1E8">
      <w:start w:val="1"/>
      <w:numFmt w:val="bullet"/>
      <w:lvlText w:val="•"/>
      <w:lvlJc w:val="left"/>
      <w:pPr>
        <w:tabs>
          <w:tab w:val="num" w:pos="1437"/>
        </w:tabs>
        <w:ind w:left="1437" w:hanging="357"/>
      </w:pPr>
      <w:rPr>
        <w:rFonts w:ascii="Arial" w:hAnsi="Arial" w:hint="default"/>
      </w:rPr>
    </w:lvl>
    <w:lvl w:ilvl="2" w:tplc="339442E4" w:tentative="1">
      <w:start w:val="1"/>
      <w:numFmt w:val="bullet"/>
      <w:lvlText w:val=""/>
      <w:lvlJc w:val="left"/>
      <w:pPr>
        <w:tabs>
          <w:tab w:val="num" w:pos="2160"/>
        </w:tabs>
        <w:ind w:left="2160" w:hanging="360"/>
      </w:pPr>
      <w:rPr>
        <w:rFonts w:ascii="Wingdings" w:hAnsi="Wingdings" w:hint="default"/>
      </w:rPr>
    </w:lvl>
    <w:lvl w:ilvl="3" w:tplc="9CEA337E" w:tentative="1">
      <w:start w:val="1"/>
      <w:numFmt w:val="bullet"/>
      <w:lvlText w:val=""/>
      <w:lvlJc w:val="left"/>
      <w:pPr>
        <w:tabs>
          <w:tab w:val="num" w:pos="2880"/>
        </w:tabs>
        <w:ind w:left="2880" w:hanging="360"/>
      </w:pPr>
      <w:rPr>
        <w:rFonts w:ascii="Symbol" w:hAnsi="Symbol" w:hint="default"/>
      </w:rPr>
    </w:lvl>
    <w:lvl w:ilvl="4" w:tplc="C7C42E36" w:tentative="1">
      <w:start w:val="1"/>
      <w:numFmt w:val="bullet"/>
      <w:lvlText w:val="o"/>
      <w:lvlJc w:val="left"/>
      <w:pPr>
        <w:tabs>
          <w:tab w:val="num" w:pos="3600"/>
        </w:tabs>
        <w:ind w:left="3600" w:hanging="360"/>
      </w:pPr>
      <w:rPr>
        <w:rFonts w:ascii="Courier New" w:hAnsi="Courier New" w:hint="default"/>
      </w:rPr>
    </w:lvl>
    <w:lvl w:ilvl="5" w:tplc="46E88CE8" w:tentative="1">
      <w:start w:val="1"/>
      <w:numFmt w:val="bullet"/>
      <w:lvlText w:val=""/>
      <w:lvlJc w:val="left"/>
      <w:pPr>
        <w:tabs>
          <w:tab w:val="num" w:pos="4320"/>
        </w:tabs>
        <w:ind w:left="4320" w:hanging="360"/>
      </w:pPr>
      <w:rPr>
        <w:rFonts w:ascii="Wingdings" w:hAnsi="Wingdings" w:hint="default"/>
      </w:rPr>
    </w:lvl>
    <w:lvl w:ilvl="6" w:tplc="18167BD0" w:tentative="1">
      <w:start w:val="1"/>
      <w:numFmt w:val="bullet"/>
      <w:lvlText w:val=""/>
      <w:lvlJc w:val="left"/>
      <w:pPr>
        <w:tabs>
          <w:tab w:val="num" w:pos="5040"/>
        </w:tabs>
        <w:ind w:left="5040" w:hanging="360"/>
      </w:pPr>
      <w:rPr>
        <w:rFonts w:ascii="Symbol" w:hAnsi="Symbol" w:hint="default"/>
      </w:rPr>
    </w:lvl>
    <w:lvl w:ilvl="7" w:tplc="54DA8C22" w:tentative="1">
      <w:start w:val="1"/>
      <w:numFmt w:val="bullet"/>
      <w:lvlText w:val="o"/>
      <w:lvlJc w:val="left"/>
      <w:pPr>
        <w:tabs>
          <w:tab w:val="num" w:pos="5760"/>
        </w:tabs>
        <w:ind w:left="5760" w:hanging="360"/>
      </w:pPr>
      <w:rPr>
        <w:rFonts w:ascii="Courier New" w:hAnsi="Courier New" w:hint="default"/>
      </w:rPr>
    </w:lvl>
    <w:lvl w:ilvl="8" w:tplc="9416BE0E"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F1873C4"/>
    <w:multiLevelType w:val="hybridMultilevel"/>
    <w:tmpl w:val="0C14D6A4"/>
    <w:lvl w:ilvl="0" w:tplc="01A2FC7C">
      <w:start w:val="1"/>
      <w:numFmt w:val="bullet"/>
      <w:lvlText w:val=""/>
      <w:lvlJc w:val="left"/>
      <w:pPr>
        <w:tabs>
          <w:tab w:val="num" w:pos="720"/>
        </w:tabs>
        <w:ind w:left="720" w:hanging="360"/>
      </w:pPr>
      <w:rPr>
        <w:rFonts w:ascii="Symbol" w:hAnsi="Symbol" w:hint="default"/>
      </w:rPr>
    </w:lvl>
    <w:lvl w:ilvl="1" w:tplc="C21A0D08" w:tentative="1">
      <w:start w:val="1"/>
      <w:numFmt w:val="bullet"/>
      <w:lvlText w:val="o"/>
      <w:lvlJc w:val="left"/>
      <w:pPr>
        <w:tabs>
          <w:tab w:val="num" w:pos="1440"/>
        </w:tabs>
        <w:ind w:left="1440" w:hanging="360"/>
      </w:pPr>
      <w:rPr>
        <w:rFonts w:ascii="Courier New" w:hAnsi="Courier New" w:hint="default"/>
      </w:rPr>
    </w:lvl>
    <w:lvl w:ilvl="2" w:tplc="6C5A53E8" w:tentative="1">
      <w:start w:val="1"/>
      <w:numFmt w:val="bullet"/>
      <w:lvlText w:val=""/>
      <w:lvlJc w:val="left"/>
      <w:pPr>
        <w:tabs>
          <w:tab w:val="num" w:pos="2160"/>
        </w:tabs>
        <w:ind w:left="2160" w:hanging="360"/>
      </w:pPr>
      <w:rPr>
        <w:rFonts w:ascii="Wingdings" w:hAnsi="Wingdings" w:hint="default"/>
      </w:rPr>
    </w:lvl>
    <w:lvl w:ilvl="3" w:tplc="78FAA97C" w:tentative="1">
      <w:start w:val="1"/>
      <w:numFmt w:val="bullet"/>
      <w:lvlText w:val=""/>
      <w:lvlJc w:val="left"/>
      <w:pPr>
        <w:tabs>
          <w:tab w:val="num" w:pos="2880"/>
        </w:tabs>
        <w:ind w:left="2880" w:hanging="360"/>
      </w:pPr>
      <w:rPr>
        <w:rFonts w:ascii="Symbol" w:hAnsi="Symbol" w:hint="default"/>
      </w:rPr>
    </w:lvl>
    <w:lvl w:ilvl="4" w:tplc="AC20CF36" w:tentative="1">
      <w:start w:val="1"/>
      <w:numFmt w:val="bullet"/>
      <w:lvlText w:val="o"/>
      <w:lvlJc w:val="left"/>
      <w:pPr>
        <w:tabs>
          <w:tab w:val="num" w:pos="3600"/>
        </w:tabs>
        <w:ind w:left="3600" w:hanging="360"/>
      </w:pPr>
      <w:rPr>
        <w:rFonts w:ascii="Courier New" w:hAnsi="Courier New" w:hint="default"/>
      </w:rPr>
    </w:lvl>
    <w:lvl w:ilvl="5" w:tplc="C0C83E96" w:tentative="1">
      <w:start w:val="1"/>
      <w:numFmt w:val="bullet"/>
      <w:lvlText w:val=""/>
      <w:lvlJc w:val="left"/>
      <w:pPr>
        <w:tabs>
          <w:tab w:val="num" w:pos="4320"/>
        </w:tabs>
        <w:ind w:left="4320" w:hanging="360"/>
      </w:pPr>
      <w:rPr>
        <w:rFonts w:ascii="Wingdings" w:hAnsi="Wingdings" w:hint="default"/>
      </w:rPr>
    </w:lvl>
    <w:lvl w:ilvl="6" w:tplc="4C1C36CE" w:tentative="1">
      <w:start w:val="1"/>
      <w:numFmt w:val="bullet"/>
      <w:lvlText w:val=""/>
      <w:lvlJc w:val="left"/>
      <w:pPr>
        <w:tabs>
          <w:tab w:val="num" w:pos="5040"/>
        </w:tabs>
        <w:ind w:left="5040" w:hanging="360"/>
      </w:pPr>
      <w:rPr>
        <w:rFonts w:ascii="Symbol" w:hAnsi="Symbol" w:hint="default"/>
      </w:rPr>
    </w:lvl>
    <w:lvl w:ilvl="7" w:tplc="D638D1C2" w:tentative="1">
      <w:start w:val="1"/>
      <w:numFmt w:val="bullet"/>
      <w:lvlText w:val="o"/>
      <w:lvlJc w:val="left"/>
      <w:pPr>
        <w:tabs>
          <w:tab w:val="num" w:pos="5760"/>
        </w:tabs>
        <w:ind w:left="5760" w:hanging="360"/>
      </w:pPr>
      <w:rPr>
        <w:rFonts w:ascii="Courier New" w:hAnsi="Courier New" w:hint="default"/>
      </w:rPr>
    </w:lvl>
    <w:lvl w:ilvl="8" w:tplc="A20C360C"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341726F"/>
    <w:multiLevelType w:val="hybridMultilevel"/>
    <w:tmpl w:val="612C56EC"/>
    <w:lvl w:ilvl="0" w:tplc="24869250">
      <w:start w:val="1"/>
      <w:numFmt w:val="lowerLetter"/>
      <w:lvlText w:val="%1"/>
      <w:lvlJc w:val="left"/>
      <w:pPr>
        <w:ind w:left="720" w:hanging="360"/>
      </w:pPr>
      <w:rPr>
        <w:rFonts w:hint="default"/>
        <w:vertAlign w:val="superscript"/>
      </w:rPr>
    </w:lvl>
    <w:lvl w:ilvl="1" w:tplc="A942D69C" w:tentative="1">
      <w:start w:val="1"/>
      <w:numFmt w:val="lowerLetter"/>
      <w:lvlText w:val="%2."/>
      <w:lvlJc w:val="left"/>
      <w:pPr>
        <w:ind w:left="1440" w:hanging="360"/>
      </w:pPr>
    </w:lvl>
    <w:lvl w:ilvl="2" w:tplc="C992808C" w:tentative="1">
      <w:start w:val="1"/>
      <w:numFmt w:val="lowerRoman"/>
      <w:lvlText w:val="%3."/>
      <w:lvlJc w:val="right"/>
      <w:pPr>
        <w:ind w:left="2160" w:hanging="180"/>
      </w:pPr>
    </w:lvl>
    <w:lvl w:ilvl="3" w:tplc="0EE4C442" w:tentative="1">
      <w:start w:val="1"/>
      <w:numFmt w:val="decimal"/>
      <w:lvlText w:val="%4."/>
      <w:lvlJc w:val="left"/>
      <w:pPr>
        <w:ind w:left="2880" w:hanging="360"/>
      </w:pPr>
    </w:lvl>
    <w:lvl w:ilvl="4" w:tplc="8FCAB9E4" w:tentative="1">
      <w:start w:val="1"/>
      <w:numFmt w:val="lowerLetter"/>
      <w:lvlText w:val="%5."/>
      <w:lvlJc w:val="left"/>
      <w:pPr>
        <w:ind w:left="3600" w:hanging="360"/>
      </w:pPr>
    </w:lvl>
    <w:lvl w:ilvl="5" w:tplc="DE6A18C8" w:tentative="1">
      <w:start w:val="1"/>
      <w:numFmt w:val="lowerRoman"/>
      <w:lvlText w:val="%6."/>
      <w:lvlJc w:val="right"/>
      <w:pPr>
        <w:ind w:left="4320" w:hanging="180"/>
      </w:pPr>
    </w:lvl>
    <w:lvl w:ilvl="6" w:tplc="2DB4C81A" w:tentative="1">
      <w:start w:val="1"/>
      <w:numFmt w:val="decimal"/>
      <w:lvlText w:val="%7."/>
      <w:lvlJc w:val="left"/>
      <w:pPr>
        <w:ind w:left="5040" w:hanging="360"/>
      </w:pPr>
    </w:lvl>
    <w:lvl w:ilvl="7" w:tplc="1D2EEA34" w:tentative="1">
      <w:start w:val="1"/>
      <w:numFmt w:val="lowerLetter"/>
      <w:lvlText w:val="%8."/>
      <w:lvlJc w:val="left"/>
      <w:pPr>
        <w:ind w:left="5760" w:hanging="360"/>
      </w:pPr>
    </w:lvl>
    <w:lvl w:ilvl="8" w:tplc="5DE8E7CE" w:tentative="1">
      <w:start w:val="1"/>
      <w:numFmt w:val="lowerRoman"/>
      <w:lvlText w:val="%9."/>
      <w:lvlJc w:val="right"/>
      <w:pPr>
        <w:ind w:left="6480" w:hanging="180"/>
      </w:pPr>
    </w:lvl>
  </w:abstractNum>
  <w:abstractNum w:abstractNumId="46" w15:restartNumberingAfterBreak="0">
    <w:nsid w:val="33FD2524"/>
    <w:multiLevelType w:val="hybridMultilevel"/>
    <w:tmpl w:val="0FFEF822"/>
    <w:lvl w:ilvl="0" w:tplc="06B8207A">
      <w:start w:val="1"/>
      <w:numFmt w:val="bullet"/>
      <w:lvlText w:val=""/>
      <w:lvlJc w:val="left"/>
      <w:pPr>
        <w:ind w:left="720" w:hanging="360"/>
      </w:pPr>
      <w:rPr>
        <w:rFonts w:ascii="Symbol" w:hAnsi="Symbol" w:hint="default"/>
      </w:rPr>
    </w:lvl>
    <w:lvl w:ilvl="1" w:tplc="3E4AF9B6" w:tentative="1">
      <w:start w:val="1"/>
      <w:numFmt w:val="bullet"/>
      <w:lvlText w:val="o"/>
      <w:lvlJc w:val="left"/>
      <w:pPr>
        <w:ind w:left="1440" w:hanging="360"/>
      </w:pPr>
      <w:rPr>
        <w:rFonts w:ascii="Courier New" w:hAnsi="Courier New" w:cs="Courier New" w:hint="default"/>
      </w:rPr>
    </w:lvl>
    <w:lvl w:ilvl="2" w:tplc="405ECB6C" w:tentative="1">
      <w:start w:val="1"/>
      <w:numFmt w:val="bullet"/>
      <w:lvlText w:val=""/>
      <w:lvlJc w:val="left"/>
      <w:pPr>
        <w:ind w:left="2160" w:hanging="360"/>
      </w:pPr>
      <w:rPr>
        <w:rFonts w:ascii="Wingdings" w:hAnsi="Wingdings" w:hint="default"/>
      </w:rPr>
    </w:lvl>
    <w:lvl w:ilvl="3" w:tplc="9808F650" w:tentative="1">
      <w:start w:val="1"/>
      <w:numFmt w:val="bullet"/>
      <w:lvlText w:val=""/>
      <w:lvlJc w:val="left"/>
      <w:pPr>
        <w:ind w:left="2880" w:hanging="360"/>
      </w:pPr>
      <w:rPr>
        <w:rFonts w:ascii="Symbol" w:hAnsi="Symbol" w:hint="default"/>
      </w:rPr>
    </w:lvl>
    <w:lvl w:ilvl="4" w:tplc="08666A0C" w:tentative="1">
      <w:start w:val="1"/>
      <w:numFmt w:val="bullet"/>
      <w:lvlText w:val="o"/>
      <w:lvlJc w:val="left"/>
      <w:pPr>
        <w:ind w:left="3600" w:hanging="360"/>
      </w:pPr>
      <w:rPr>
        <w:rFonts w:ascii="Courier New" w:hAnsi="Courier New" w:cs="Courier New" w:hint="default"/>
      </w:rPr>
    </w:lvl>
    <w:lvl w:ilvl="5" w:tplc="E6D2C516" w:tentative="1">
      <w:start w:val="1"/>
      <w:numFmt w:val="bullet"/>
      <w:lvlText w:val=""/>
      <w:lvlJc w:val="left"/>
      <w:pPr>
        <w:ind w:left="4320" w:hanging="360"/>
      </w:pPr>
      <w:rPr>
        <w:rFonts w:ascii="Wingdings" w:hAnsi="Wingdings" w:hint="default"/>
      </w:rPr>
    </w:lvl>
    <w:lvl w:ilvl="6" w:tplc="56BCF4E4" w:tentative="1">
      <w:start w:val="1"/>
      <w:numFmt w:val="bullet"/>
      <w:lvlText w:val=""/>
      <w:lvlJc w:val="left"/>
      <w:pPr>
        <w:ind w:left="5040" w:hanging="360"/>
      </w:pPr>
      <w:rPr>
        <w:rFonts w:ascii="Symbol" w:hAnsi="Symbol" w:hint="default"/>
      </w:rPr>
    </w:lvl>
    <w:lvl w:ilvl="7" w:tplc="6840C478" w:tentative="1">
      <w:start w:val="1"/>
      <w:numFmt w:val="bullet"/>
      <w:lvlText w:val="o"/>
      <w:lvlJc w:val="left"/>
      <w:pPr>
        <w:ind w:left="5760" w:hanging="360"/>
      </w:pPr>
      <w:rPr>
        <w:rFonts w:ascii="Courier New" w:hAnsi="Courier New" w:cs="Courier New" w:hint="default"/>
      </w:rPr>
    </w:lvl>
    <w:lvl w:ilvl="8" w:tplc="B0786ACE" w:tentative="1">
      <w:start w:val="1"/>
      <w:numFmt w:val="bullet"/>
      <w:lvlText w:val=""/>
      <w:lvlJc w:val="left"/>
      <w:pPr>
        <w:ind w:left="6480" w:hanging="360"/>
      </w:pPr>
      <w:rPr>
        <w:rFonts w:ascii="Wingdings" w:hAnsi="Wingdings" w:hint="default"/>
      </w:rPr>
    </w:lvl>
  </w:abstractNum>
  <w:abstractNum w:abstractNumId="47" w15:restartNumberingAfterBreak="0">
    <w:nsid w:val="345D1C80"/>
    <w:multiLevelType w:val="hybridMultilevel"/>
    <w:tmpl w:val="278A5B68"/>
    <w:lvl w:ilvl="0" w:tplc="EE28040A">
      <w:start w:val="1"/>
      <w:numFmt w:val="bullet"/>
      <w:lvlText w:val=""/>
      <w:lvlJc w:val="left"/>
      <w:pPr>
        <w:ind w:left="1440" w:hanging="360"/>
      </w:pPr>
      <w:rPr>
        <w:rFonts w:ascii="Symbol" w:hAnsi="Symbol" w:hint="default"/>
        <w:sz w:val="22"/>
      </w:rPr>
    </w:lvl>
    <w:lvl w:ilvl="1" w:tplc="4D9E3D94" w:tentative="1">
      <w:start w:val="1"/>
      <w:numFmt w:val="bullet"/>
      <w:lvlText w:val="o"/>
      <w:lvlJc w:val="left"/>
      <w:pPr>
        <w:ind w:left="2160" w:hanging="360"/>
      </w:pPr>
      <w:rPr>
        <w:rFonts w:ascii="Courier New" w:hAnsi="Courier New" w:cs="Courier New" w:hint="default"/>
      </w:rPr>
    </w:lvl>
    <w:lvl w:ilvl="2" w:tplc="E794B412" w:tentative="1">
      <w:start w:val="1"/>
      <w:numFmt w:val="bullet"/>
      <w:lvlText w:val=""/>
      <w:lvlJc w:val="left"/>
      <w:pPr>
        <w:ind w:left="2880" w:hanging="360"/>
      </w:pPr>
      <w:rPr>
        <w:rFonts w:ascii="Wingdings" w:hAnsi="Wingdings" w:hint="default"/>
      </w:rPr>
    </w:lvl>
    <w:lvl w:ilvl="3" w:tplc="BA4EE036" w:tentative="1">
      <w:start w:val="1"/>
      <w:numFmt w:val="bullet"/>
      <w:lvlText w:val=""/>
      <w:lvlJc w:val="left"/>
      <w:pPr>
        <w:ind w:left="3600" w:hanging="360"/>
      </w:pPr>
      <w:rPr>
        <w:rFonts w:ascii="Symbol" w:hAnsi="Symbol" w:hint="default"/>
      </w:rPr>
    </w:lvl>
    <w:lvl w:ilvl="4" w:tplc="32987BEE" w:tentative="1">
      <w:start w:val="1"/>
      <w:numFmt w:val="bullet"/>
      <w:lvlText w:val="o"/>
      <w:lvlJc w:val="left"/>
      <w:pPr>
        <w:ind w:left="4320" w:hanging="360"/>
      </w:pPr>
      <w:rPr>
        <w:rFonts w:ascii="Courier New" w:hAnsi="Courier New" w:cs="Courier New" w:hint="default"/>
      </w:rPr>
    </w:lvl>
    <w:lvl w:ilvl="5" w:tplc="DADA5790" w:tentative="1">
      <w:start w:val="1"/>
      <w:numFmt w:val="bullet"/>
      <w:lvlText w:val=""/>
      <w:lvlJc w:val="left"/>
      <w:pPr>
        <w:ind w:left="5040" w:hanging="360"/>
      </w:pPr>
      <w:rPr>
        <w:rFonts w:ascii="Wingdings" w:hAnsi="Wingdings" w:hint="default"/>
      </w:rPr>
    </w:lvl>
    <w:lvl w:ilvl="6" w:tplc="A1A81A80" w:tentative="1">
      <w:start w:val="1"/>
      <w:numFmt w:val="bullet"/>
      <w:lvlText w:val=""/>
      <w:lvlJc w:val="left"/>
      <w:pPr>
        <w:ind w:left="5760" w:hanging="360"/>
      </w:pPr>
      <w:rPr>
        <w:rFonts w:ascii="Symbol" w:hAnsi="Symbol" w:hint="default"/>
      </w:rPr>
    </w:lvl>
    <w:lvl w:ilvl="7" w:tplc="1BA4C0DA" w:tentative="1">
      <w:start w:val="1"/>
      <w:numFmt w:val="bullet"/>
      <w:lvlText w:val="o"/>
      <w:lvlJc w:val="left"/>
      <w:pPr>
        <w:ind w:left="6480" w:hanging="360"/>
      </w:pPr>
      <w:rPr>
        <w:rFonts w:ascii="Courier New" w:hAnsi="Courier New" w:cs="Courier New" w:hint="default"/>
      </w:rPr>
    </w:lvl>
    <w:lvl w:ilvl="8" w:tplc="1B284ADE" w:tentative="1">
      <w:start w:val="1"/>
      <w:numFmt w:val="bullet"/>
      <w:lvlText w:val=""/>
      <w:lvlJc w:val="left"/>
      <w:pPr>
        <w:ind w:left="7200" w:hanging="360"/>
      </w:pPr>
      <w:rPr>
        <w:rFonts w:ascii="Wingdings" w:hAnsi="Wingdings" w:hint="default"/>
      </w:rPr>
    </w:lvl>
  </w:abstractNum>
  <w:abstractNum w:abstractNumId="48" w15:restartNumberingAfterBreak="0">
    <w:nsid w:val="346E2BA6"/>
    <w:multiLevelType w:val="hybridMultilevel"/>
    <w:tmpl w:val="6B2E34DE"/>
    <w:lvl w:ilvl="0" w:tplc="E1BC8C18">
      <w:start w:val="1"/>
      <w:numFmt w:val="bullet"/>
      <w:lvlText w:val=""/>
      <w:lvlJc w:val="left"/>
      <w:pPr>
        <w:tabs>
          <w:tab w:val="num" w:pos="800"/>
        </w:tabs>
        <w:ind w:left="800" w:hanging="360"/>
      </w:pPr>
      <w:rPr>
        <w:rFonts w:ascii="Symbol" w:hAnsi="Symbol" w:hint="default"/>
      </w:rPr>
    </w:lvl>
    <w:lvl w:ilvl="1" w:tplc="10E21792" w:tentative="1">
      <w:start w:val="1"/>
      <w:numFmt w:val="bullet"/>
      <w:lvlText w:val="o"/>
      <w:lvlJc w:val="left"/>
      <w:pPr>
        <w:tabs>
          <w:tab w:val="num" w:pos="1520"/>
        </w:tabs>
        <w:ind w:left="1520" w:hanging="360"/>
      </w:pPr>
      <w:rPr>
        <w:rFonts w:ascii="Courier New" w:hAnsi="Courier New" w:hint="default"/>
      </w:rPr>
    </w:lvl>
    <w:lvl w:ilvl="2" w:tplc="C3088CA4" w:tentative="1">
      <w:start w:val="1"/>
      <w:numFmt w:val="bullet"/>
      <w:lvlText w:val=""/>
      <w:lvlJc w:val="left"/>
      <w:pPr>
        <w:tabs>
          <w:tab w:val="num" w:pos="2240"/>
        </w:tabs>
        <w:ind w:left="2240" w:hanging="360"/>
      </w:pPr>
      <w:rPr>
        <w:rFonts w:ascii="Wingdings" w:hAnsi="Wingdings" w:hint="default"/>
      </w:rPr>
    </w:lvl>
    <w:lvl w:ilvl="3" w:tplc="DA1AC230" w:tentative="1">
      <w:start w:val="1"/>
      <w:numFmt w:val="bullet"/>
      <w:lvlText w:val=""/>
      <w:lvlJc w:val="left"/>
      <w:pPr>
        <w:tabs>
          <w:tab w:val="num" w:pos="2960"/>
        </w:tabs>
        <w:ind w:left="2960" w:hanging="360"/>
      </w:pPr>
      <w:rPr>
        <w:rFonts w:ascii="Symbol" w:hAnsi="Symbol" w:hint="default"/>
      </w:rPr>
    </w:lvl>
    <w:lvl w:ilvl="4" w:tplc="32E27B74" w:tentative="1">
      <w:start w:val="1"/>
      <w:numFmt w:val="bullet"/>
      <w:lvlText w:val="o"/>
      <w:lvlJc w:val="left"/>
      <w:pPr>
        <w:tabs>
          <w:tab w:val="num" w:pos="3680"/>
        </w:tabs>
        <w:ind w:left="3680" w:hanging="360"/>
      </w:pPr>
      <w:rPr>
        <w:rFonts w:ascii="Courier New" w:hAnsi="Courier New" w:hint="default"/>
      </w:rPr>
    </w:lvl>
    <w:lvl w:ilvl="5" w:tplc="A120EB16" w:tentative="1">
      <w:start w:val="1"/>
      <w:numFmt w:val="bullet"/>
      <w:lvlText w:val=""/>
      <w:lvlJc w:val="left"/>
      <w:pPr>
        <w:tabs>
          <w:tab w:val="num" w:pos="4400"/>
        </w:tabs>
        <w:ind w:left="4400" w:hanging="360"/>
      </w:pPr>
      <w:rPr>
        <w:rFonts w:ascii="Wingdings" w:hAnsi="Wingdings" w:hint="default"/>
      </w:rPr>
    </w:lvl>
    <w:lvl w:ilvl="6" w:tplc="48962D56" w:tentative="1">
      <w:start w:val="1"/>
      <w:numFmt w:val="bullet"/>
      <w:lvlText w:val=""/>
      <w:lvlJc w:val="left"/>
      <w:pPr>
        <w:tabs>
          <w:tab w:val="num" w:pos="5120"/>
        </w:tabs>
        <w:ind w:left="5120" w:hanging="360"/>
      </w:pPr>
      <w:rPr>
        <w:rFonts w:ascii="Symbol" w:hAnsi="Symbol" w:hint="default"/>
      </w:rPr>
    </w:lvl>
    <w:lvl w:ilvl="7" w:tplc="BAFA93E6" w:tentative="1">
      <w:start w:val="1"/>
      <w:numFmt w:val="bullet"/>
      <w:lvlText w:val="o"/>
      <w:lvlJc w:val="left"/>
      <w:pPr>
        <w:tabs>
          <w:tab w:val="num" w:pos="5840"/>
        </w:tabs>
        <w:ind w:left="5840" w:hanging="360"/>
      </w:pPr>
      <w:rPr>
        <w:rFonts w:ascii="Courier New" w:hAnsi="Courier New" w:hint="default"/>
      </w:rPr>
    </w:lvl>
    <w:lvl w:ilvl="8" w:tplc="4E069298" w:tentative="1">
      <w:start w:val="1"/>
      <w:numFmt w:val="bullet"/>
      <w:lvlText w:val=""/>
      <w:lvlJc w:val="left"/>
      <w:pPr>
        <w:tabs>
          <w:tab w:val="num" w:pos="6560"/>
        </w:tabs>
        <w:ind w:left="6560" w:hanging="360"/>
      </w:pPr>
      <w:rPr>
        <w:rFonts w:ascii="Wingdings" w:hAnsi="Wingdings" w:hint="default"/>
      </w:rPr>
    </w:lvl>
  </w:abstractNum>
  <w:abstractNum w:abstractNumId="49" w15:restartNumberingAfterBreak="0">
    <w:nsid w:val="39B92DB5"/>
    <w:multiLevelType w:val="hybridMultilevel"/>
    <w:tmpl w:val="9AB6D044"/>
    <w:lvl w:ilvl="0" w:tplc="37309DC4">
      <w:start w:val="1"/>
      <w:numFmt w:val="bullet"/>
      <w:lvlText w:val=""/>
      <w:lvlJc w:val="left"/>
      <w:pPr>
        <w:ind w:left="4938" w:hanging="360"/>
      </w:pPr>
      <w:rPr>
        <w:rFonts w:ascii="Symbol" w:hAnsi="Symbol" w:hint="default"/>
      </w:rPr>
    </w:lvl>
    <w:lvl w:ilvl="1" w:tplc="E1D443FE">
      <w:start w:val="1"/>
      <w:numFmt w:val="bullet"/>
      <w:lvlText w:val="o"/>
      <w:lvlJc w:val="left"/>
      <w:pPr>
        <w:ind w:left="5721" w:hanging="360"/>
      </w:pPr>
      <w:rPr>
        <w:rFonts w:ascii="Courier New" w:hAnsi="Courier New" w:cs="Courier New" w:hint="default"/>
      </w:rPr>
    </w:lvl>
    <w:lvl w:ilvl="2" w:tplc="DBCCB63C" w:tentative="1">
      <w:start w:val="1"/>
      <w:numFmt w:val="bullet"/>
      <w:lvlText w:val=""/>
      <w:lvlJc w:val="left"/>
      <w:pPr>
        <w:ind w:left="6441" w:hanging="360"/>
      </w:pPr>
      <w:rPr>
        <w:rFonts w:ascii="Wingdings" w:hAnsi="Wingdings" w:hint="default"/>
      </w:rPr>
    </w:lvl>
    <w:lvl w:ilvl="3" w:tplc="C6B47048" w:tentative="1">
      <w:start w:val="1"/>
      <w:numFmt w:val="bullet"/>
      <w:lvlText w:val=""/>
      <w:lvlJc w:val="left"/>
      <w:pPr>
        <w:ind w:left="7161" w:hanging="360"/>
      </w:pPr>
      <w:rPr>
        <w:rFonts w:ascii="Symbol" w:hAnsi="Symbol" w:hint="default"/>
      </w:rPr>
    </w:lvl>
    <w:lvl w:ilvl="4" w:tplc="F4DEAA86" w:tentative="1">
      <w:start w:val="1"/>
      <w:numFmt w:val="bullet"/>
      <w:lvlText w:val="o"/>
      <w:lvlJc w:val="left"/>
      <w:pPr>
        <w:ind w:left="7881" w:hanging="360"/>
      </w:pPr>
      <w:rPr>
        <w:rFonts w:ascii="Courier New" w:hAnsi="Courier New" w:cs="Courier New" w:hint="default"/>
      </w:rPr>
    </w:lvl>
    <w:lvl w:ilvl="5" w:tplc="5B9E3A02" w:tentative="1">
      <w:start w:val="1"/>
      <w:numFmt w:val="bullet"/>
      <w:lvlText w:val=""/>
      <w:lvlJc w:val="left"/>
      <w:pPr>
        <w:ind w:left="8601" w:hanging="360"/>
      </w:pPr>
      <w:rPr>
        <w:rFonts w:ascii="Wingdings" w:hAnsi="Wingdings" w:hint="default"/>
      </w:rPr>
    </w:lvl>
    <w:lvl w:ilvl="6" w:tplc="E06C3892" w:tentative="1">
      <w:start w:val="1"/>
      <w:numFmt w:val="bullet"/>
      <w:lvlText w:val=""/>
      <w:lvlJc w:val="left"/>
      <w:pPr>
        <w:ind w:left="9321" w:hanging="360"/>
      </w:pPr>
      <w:rPr>
        <w:rFonts w:ascii="Symbol" w:hAnsi="Symbol" w:hint="default"/>
      </w:rPr>
    </w:lvl>
    <w:lvl w:ilvl="7" w:tplc="BEEA8798" w:tentative="1">
      <w:start w:val="1"/>
      <w:numFmt w:val="bullet"/>
      <w:lvlText w:val="o"/>
      <w:lvlJc w:val="left"/>
      <w:pPr>
        <w:ind w:left="10041" w:hanging="360"/>
      </w:pPr>
      <w:rPr>
        <w:rFonts w:ascii="Courier New" w:hAnsi="Courier New" w:cs="Courier New" w:hint="default"/>
      </w:rPr>
    </w:lvl>
    <w:lvl w:ilvl="8" w:tplc="3AE016D2" w:tentative="1">
      <w:start w:val="1"/>
      <w:numFmt w:val="bullet"/>
      <w:lvlText w:val=""/>
      <w:lvlJc w:val="left"/>
      <w:pPr>
        <w:ind w:left="10761" w:hanging="360"/>
      </w:pPr>
      <w:rPr>
        <w:rFonts w:ascii="Wingdings" w:hAnsi="Wingdings" w:hint="default"/>
      </w:rPr>
    </w:lvl>
  </w:abstractNum>
  <w:abstractNum w:abstractNumId="50" w15:restartNumberingAfterBreak="0">
    <w:nsid w:val="3A796B36"/>
    <w:multiLevelType w:val="hybridMultilevel"/>
    <w:tmpl w:val="92600D50"/>
    <w:lvl w:ilvl="0" w:tplc="7CE49A20">
      <w:start w:val="1"/>
      <w:numFmt w:val="bullet"/>
      <w:lvlText w:val=""/>
      <w:lvlJc w:val="left"/>
      <w:pPr>
        <w:ind w:left="720" w:hanging="360"/>
      </w:pPr>
      <w:rPr>
        <w:rFonts w:ascii="Symbol" w:hAnsi="Symbol" w:hint="default"/>
      </w:rPr>
    </w:lvl>
    <w:lvl w:ilvl="1" w:tplc="3CB8DED0" w:tentative="1">
      <w:start w:val="1"/>
      <w:numFmt w:val="bullet"/>
      <w:lvlText w:val="o"/>
      <w:lvlJc w:val="left"/>
      <w:pPr>
        <w:ind w:left="1440" w:hanging="360"/>
      </w:pPr>
      <w:rPr>
        <w:rFonts w:ascii="Courier New" w:hAnsi="Courier New" w:cs="Courier New" w:hint="default"/>
      </w:rPr>
    </w:lvl>
    <w:lvl w:ilvl="2" w:tplc="529A7530" w:tentative="1">
      <w:start w:val="1"/>
      <w:numFmt w:val="bullet"/>
      <w:lvlText w:val=""/>
      <w:lvlJc w:val="left"/>
      <w:pPr>
        <w:ind w:left="2160" w:hanging="360"/>
      </w:pPr>
      <w:rPr>
        <w:rFonts w:ascii="Wingdings" w:hAnsi="Wingdings" w:hint="default"/>
      </w:rPr>
    </w:lvl>
    <w:lvl w:ilvl="3" w:tplc="564E40A8" w:tentative="1">
      <w:start w:val="1"/>
      <w:numFmt w:val="bullet"/>
      <w:lvlText w:val=""/>
      <w:lvlJc w:val="left"/>
      <w:pPr>
        <w:ind w:left="2880" w:hanging="360"/>
      </w:pPr>
      <w:rPr>
        <w:rFonts w:ascii="Symbol" w:hAnsi="Symbol" w:hint="default"/>
      </w:rPr>
    </w:lvl>
    <w:lvl w:ilvl="4" w:tplc="D29AF3EC" w:tentative="1">
      <w:start w:val="1"/>
      <w:numFmt w:val="bullet"/>
      <w:lvlText w:val="o"/>
      <w:lvlJc w:val="left"/>
      <w:pPr>
        <w:ind w:left="3600" w:hanging="360"/>
      </w:pPr>
      <w:rPr>
        <w:rFonts w:ascii="Courier New" w:hAnsi="Courier New" w:cs="Courier New" w:hint="default"/>
      </w:rPr>
    </w:lvl>
    <w:lvl w:ilvl="5" w:tplc="6F2A0348" w:tentative="1">
      <w:start w:val="1"/>
      <w:numFmt w:val="bullet"/>
      <w:lvlText w:val=""/>
      <w:lvlJc w:val="left"/>
      <w:pPr>
        <w:ind w:left="4320" w:hanging="360"/>
      </w:pPr>
      <w:rPr>
        <w:rFonts w:ascii="Wingdings" w:hAnsi="Wingdings" w:hint="default"/>
      </w:rPr>
    </w:lvl>
    <w:lvl w:ilvl="6" w:tplc="2578C662" w:tentative="1">
      <w:start w:val="1"/>
      <w:numFmt w:val="bullet"/>
      <w:lvlText w:val=""/>
      <w:lvlJc w:val="left"/>
      <w:pPr>
        <w:ind w:left="5040" w:hanging="360"/>
      </w:pPr>
      <w:rPr>
        <w:rFonts w:ascii="Symbol" w:hAnsi="Symbol" w:hint="default"/>
      </w:rPr>
    </w:lvl>
    <w:lvl w:ilvl="7" w:tplc="3B3CB4B4" w:tentative="1">
      <w:start w:val="1"/>
      <w:numFmt w:val="bullet"/>
      <w:lvlText w:val="o"/>
      <w:lvlJc w:val="left"/>
      <w:pPr>
        <w:ind w:left="5760" w:hanging="360"/>
      </w:pPr>
      <w:rPr>
        <w:rFonts w:ascii="Courier New" w:hAnsi="Courier New" w:cs="Courier New" w:hint="default"/>
      </w:rPr>
    </w:lvl>
    <w:lvl w:ilvl="8" w:tplc="0750C4FE" w:tentative="1">
      <w:start w:val="1"/>
      <w:numFmt w:val="bullet"/>
      <w:lvlText w:val=""/>
      <w:lvlJc w:val="left"/>
      <w:pPr>
        <w:ind w:left="6480" w:hanging="360"/>
      </w:pPr>
      <w:rPr>
        <w:rFonts w:ascii="Wingdings" w:hAnsi="Wingdings" w:hint="default"/>
      </w:rPr>
    </w:lvl>
  </w:abstractNum>
  <w:abstractNum w:abstractNumId="51" w15:restartNumberingAfterBreak="0">
    <w:nsid w:val="3B2E19D9"/>
    <w:multiLevelType w:val="hybridMultilevel"/>
    <w:tmpl w:val="877C3D04"/>
    <w:lvl w:ilvl="0" w:tplc="F448F4FC">
      <w:start w:val="1"/>
      <w:numFmt w:val="bullet"/>
      <w:lvlText w:val=""/>
      <w:lvlJc w:val="left"/>
      <w:pPr>
        <w:tabs>
          <w:tab w:val="num" w:pos="720"/>
        </w:tabs>
        <w:ind w:left="720" w:hanging="360"/>
      </w:pPr>
      <w:rPr>
        <w:rFonts w:ascii="Symbol" w:hAnsi="Symbol" w:hint="default"/>
      </w:rPr>
    </w:lvl>
    <w:lvl w:ilvl="1" w:tplc="F06035B2" w:tentative="1">
      <w:start w:val="1"/>
      <w:numFmt w:val="bullet"/>
      <w:lvlText w:val="o"/>
      <w:lvlJc w:val="left"/>
      <w:pPr>
        <w:tabs>
          <w:tab w:val="num" w:pos="1440"/>
        </w:tabs>
        <w:ind w:left="1440" w:hanging="360"/>
      </w:pPr>
      <w:rPr>
        <w:rFonts w:ascii="Courier New" w:hAnsi="Courier New" w:hint="default"/>
      </w:rPr>
    </w:lvl>
    <w:lvl w:ilvl="2" w:tplc="7862B7E8" w:tentative="1">
      <w:start w:val="1"/>
      <w:numFmt w:val="bullet"/>
      <w:lvlText w:val=""/>
      <w:lvlJc w:val="left"/>
      <w:pPr>
        <w:tabs>
          <w:tab w:val="num" w:pos="2160"/>
        </w:tabs>
        <w:ind w:left="2160" w:hanging="360"/>
      </w:pPr>
      <w:rPr>
        <w:rFonts w:ascii="Wingdings" w:hAnsi="Wingdings" w:hint="default"/>
      </w:rPr>
    </w:lvl>
    <w:lvl w:ilvl="3" w:tplc="EC260F62" w:tentative="1">
      <w:start w:val="1"/>
      <w:numFmt w:val="bullet"/>
      <w:lvlText w:val=""/>
      <w:lvlJc w:val="left"/>
      <w:pPr>
        <w:tabs>
          <w:tab w:val="num" w:pos="2880"/>
        </w:tabs>
        <w:ind w:left="2880" w:hanging="360"/>
      </w:pPr>
      <w:rPr>
        <w:rFonts w:ascii="Symbol" w:hAnsi="Symbol" w:hint="default"/>
      </w:rPr>
    </w:lvl>
    <w:lvl w:ilvl="4" w:tplc="9B00F68C" w:tentative="1">
      <w:start w:val="1"/>
      <w:numFmt w:val="bullet"/>
      <w:lvlText w:val="o"/>
      <w:lvlJc w:val="left"/>
      <w:pPr>
        <w:tabs>
          <w:tab w:val="num" w:pos="3600"/>
        </w:tabs>
        <w:ind w:left="3600" w:hanging="360"/>
      </w:pPr>
      <w:rPr>
        <w:rFonts w:ascii="Courier New" w:hAnsi="Courier New" w:hint="default"/>
      </w:rPr>
    </w:lvl>
    <w:lvl w:ilvl="5" w:tplc="EFF67684" w:tentative="1">
      <w:start w:val="1"/>
      <w:numFmt w:val="bullet"/>
      <w:lvlText w:val=""/>
      <w:lvlJc w:val="left"/>
      <w:pPr>
        <w:tabs>
          <w:tab w:val="num" w:pos="4320"/>
        </w:tabs>
        <w:ind w:left="4320" w:hanging="360"/>
      </w:pPr>
      <w:rPr>
        <w:rFonts w:ascii="Wingdings" w:hAnsi="Wingdings" w:hint="default"/>
      </w:rPr>
    </w:lvl>
    <w:lvl w:ilvl="6" w:tplc="356AA296" w:tentative="1">
      <w:start w:val="1"/>
      <w:numFmt w:val="bullet"/>
      <w:lvlText w:val=""/>
      <w:lvlJc w:val="left"/>
      <w:pPr>
        <w:tabs>
          <w:tab w:val="num" w:pos="5040"/>
        </w:tabs>
        <w:ind w:left="5040" w:hanging="360"/>
      </w:pPr>
      <w:rPr>
        <w:rFonts w:ascii="Symbol" w:hAnsi="Symbol" w:hint="default"/>
      </w:rPr>
    </w:lvl>
    <w:lvl w:ilvl="7" w:tplc="C6F2BD02" w:tentative="1">
      <w:start w:val="1"/>
      <w:numFmt w:val="bullet"/>
      <w:lvlText w:val="o"/>
      <w:lvlJc w:val="left"/>
      <w:pPr>
        <w:tabs>
          <w:tab w:val="num" w:pos="5760"/>
        </w:tabs>
        <w:ind w:left="5760" w:hanging="360"/>
      </w:pPr>
      <w:rPr>
        <w:rFonts w:ascii="Courier New" w:hAnsi="Courier New" w:hint="default"/>
      </w:rPr>
    </w:lvl>
    <w:lvl w:ilvl="8" w:tplc="6FE06F2C"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B403F1B"/>
    <w:multiLevelType w:val="hybridMultilevel"/>
    <w:tmpl w:val="5388004C"/>
    <w:lvl w:ilvl="0" w:tplc="1B40DE74">
      <w:start w:val="1"/>
      <w:numFmt w:val="lowerLetter"/>
      <w:lvlText w:val="%1"/>
      <w:lvlJc w:val="left"/>
      <w:pPr>
        <w:ind w:left="720" w:hanging="360"/>
      </w:pPr>
      <w:rPr>
        <w:rFonts w:hint="default"/>
        <w:sz w:val="16"/>
        <w:szCs w:val="16"/>
        <w:vertAlign w:val="superscript"/>
      </w:rPr>
    </w:lvl>
    <w:lvl w:ilvl="1" w:tplc="C75C97C4" w:tentative="1">
      <w:start w:val="1"/>
      <w:numFmt w:val="lowerLetter"/>
      <w:lvlText w:val="%2."/>
      <w:lvlJc w:val="left"/>
      <w:pPr>
        <w:ind w:left="1440" w:hanging="360"/>
      </w:pPr>
    </w:lvl>
    <w:lvl w:ilvl="2" w:tplc="CAF494C0" w:tentative="1">
      <w:start w:val="1"/>
      <w:numFmt w:val="lowerRoman"/>
      <w:lvlText w:val="%3."/>
      <w:lvlJc w:val="right"/>
      <w:pPr>
        <w:ind w:left="2160" w:hanging="180"/>
      </w:pPr>
    </w:lvl>
    <w:lvl w:ilvl="3" w:tplc="FFDC5A2A" w:tentative="1">
      <w:start w:val="1"/>
      <w:numFmt w:val="decimal"/>
      <w:lvlText w:val="%4."/>
      <w:lvlJc w:val="left"/>
      <w:pPr>
        <w:ind w:left="2880" w:hanging="360"/>
      </w:pPr>
    </w:lvl>
    <w:lvl w:ilvl="4" w:tplc="5F548952" w:tentative="1">
      <w:start w:val="1"/>
      <w:numFmt w:val="lowerLetter"/>
      <w:lvlText w:val="%5."/>
      <w:lvlJc w:val="left"/>
      <w:pPr>
        <w:ind w:left="3600" w:hanging="360"/>
      </w:pPr>
    </w:lvl>
    <w:lvl w:ilvl="5" w:tplc="9E1E56C6" w:tentative="1">
      <w:start w:val="1"/>
      <w:numFmt w:val="lowerRoman"/>
      <w:lvlText w:val="%6."/>
      <w:lvlJc w:val="right"/>
      <w:pPr>
        <w:ind w:left="4320" w:hanging="180"/>
      </w:pPr>
    </w:lvl>
    <w:lvl w:ilvl="6" w:tplc="7A384246" w:tentative="1">
      <w:start w:val="1"/>
      <w:numFmt w:val="decimal"/>
      <w:lvlText w:val="%7."/>
      <w:lvlJc w:val="left"/>
      <w:pPr>
        <w:ind w:left="5040" w:hanging="360"/>
      </w:pPr>
    </w:lvl>
    <w:lvl w:ilvl="7" w:tplc="FD78ACD6" w:tentative="1">
      <w:start w:val="1"/>
      <w:numFmt w:val="lowerLetter"/>
      <w:lvlText w:val="%8."/>
      <w:lvlJc w:val="left"/>
      <w:pPr>
        <w:ind w:left="5760" w:hanging="360"/>
      </w:pPr>
    </w:lvl>
    <w:lvl w:ilvl="8" w:tplc="0C0EB65A" w:tentative="1">
      <w:start w:val="1"/>
      <w:numFmt w:val="lowerRoman"/>
      <w:lvlText w:val="%9."/>
      <w:lvlJc w:val="right"/>
      <w:pPr>
        <w:ind w:left="6480" w:hanging="180"/>
      </w:pPr>
    </w:lvl>
  </w:abstractNum>
  <w:abstractNum w:abstractNumId="53" w15:restartNumberingAfterBreak="0">
    <w:nsid w:val="3BC06592"/>
    <w:multiLevelType w:val="hybridMultilevel"/>
    <w:tmpl w:val="9F2E3156"/>
    <w:lvl w:ilvl="0" w:tplc="866A1BEE">
      <w:start w:val="1"/>
      <w:numFmt w:val="bullet"/>
      <w:lvlText w:val=""/>
      <w:lvlJc w:val="left"/>
      <w:pPr>
        <w:tabs>
          <w:tab w:val="num" w:pos="690"/>
        </w:tabs>
        <w:ind w:left="690" w:hanging="360"/>
      </w:pPr>
      <w:rPr>
        <w:rFonts w:ascii="Symbol" w:hAnsi="Symbol" w:hint="default"/>
      </w:rPr>
    </w:lvl>
    <w:lvl w:ilvl="1" w:tplc="CAC6C30E" w:tentative="1">
      <w:start w:val="1"/>
      <w:numFmt w:val="bullet"/>
      <w:lvlText w:val="o"/>
      <w:lvlJc w:val="left"/>
      <w:pPr>
        <w:tabs>
          <w:tab w:val="num" w:pos="1440"/>
        </w:tabs>
        <w:ind w:left="1440" w:hanging="360"/>
      </w:pPr>
      <w:rPr>
        <w:rFonts w:ascii="Courier New" w:hAnsi="Courier New" w:hint="default"/>
      </w:rPr>
    </w:lvl>
    <w:lvl w:ilvl="2" w:tplc="72081BCC" w:tentative="1">
      <w:start w:val="1"/>
      <w:numFmt w:val="bullet"/>
      <w:lvlText w:val=""/>
      <w:lvlJc w:val="left"/>
      <w:pPr>
        <w:tabs>
          <w:tab w:val="num" w:pos="2160"/>
        </w:tabs>
        <w:ind w:left="2160" w:hanging="360"/>
      </w:pPr>
      <w:rPr>
        <w:rFonts w:ascii="Wingdings" w:hAnsi="Wingdings" w:hint="default"/>
      </w:rPr>
    </w:lvl>
    <w:lvl w:ilvl="3" w:tplc="C8249C74" w:tentative="1">
      <w:start w:val="1"/>
      <w:numFmt w:val="bullet"/>
      <w:lvlText w:val=""/>
      <w:lvlJc w:val="left"/>
      <w:pPr>
        <w:tabs>
          <w:tab w:val="num" w:pos="2880"/>
        </w:tabs>
        <w:ind w:left="2880" w:hanging="360"/>
      </w:pPr>
      <w:rPr>
        <w:rFonts w:ascii="Symbol" w:hAnsi="Symbol" w:hint="default"/>
      </w:rPr>
    </w:lvl>
    <w:lvl w:ilvl="4" w:tplc="9664156A" w:tentative="1">
      <w:start w:val="1"/>
      <w:numFmt w:val="bullet"/>
      <w:lvlText w:val="o"/>
      <w:lvlJc w:val="left"/>
      <w:pPr>
        <w:tabs>
          <w:tab w:val="num" w:pos="3600"/>
        </w:tabs>
        <w:ind w:left="3600" w:hanging="360"/>
      </w:pPr>
      <w:rPr>
        <w:rFonts w:ascii="Courier New" w:hAnsi="Courier New" w:hint="default"/>
      </w:rPr>
    </w:lvl>
    <w:lvl w:ilvl="5" w:tplc="E994812C" w:tentative="1">
      <w:start w:val="1"/>
      <w:numFmt w:val="bullet"/>
      <w:lvlText w:val=""/>
      <w:lvlJc w:val="left"/>
      <w:pPr>
        <w:tabs>
          <w:tab w:val="num" w:pos="4320"/>
        </w:tabs>
        <w:ind w:left="4320" w:hanging="360"/>
      </w:pPr>
      <w:rPr>
        <w:rFonts w:ascii="Wingdings" w:hAnsi="Wingdings" w:hint="default"/>
      </w:rPr>
    </w:lvl>
    <w:lvl w:ilvl="6" w:tplc="04DCEE1A" w:tentative="1">
      <w:start w:val="1"/>
      <w:numFmt w:val="bullet"/>
      <w:lvlText w:val=""/>
      <w:lvlJc w:val="left"/>
      <w:pPr>
        <w:tabs>
          <w:tab w:val="num" w:pos="5040"/>
        </w:tabs>
        <w:ind w:left="5040" w:hanging="360"/>
      </w:pPr>
      <w:rPr>
        <w:rFonts w:ascii="Symbol" w:hAnsi="Symbol" w:hint="default"/>
      </w:rPr>
    </w:lvl>
    <w:lvl w:ilvl="7" w:tplc="DD6E5DE6" w:tentative="1">
      <w:start w:val="1"/>
      <w:numFmt w:val="bullet"/>
      <w:lvlText w:val="o"/>
      <w:lvlJc w:val="left"/>
      <w:pPr>
        <w:tabs>
          <w:tab w:val="num" w:pos="5760"/>
        </w:tabs>
        <w:ind w:left="5760" w:hanging="360"/>
      </w:pPr>
      <w:rPr>
        <w:rFonts w:ascii="Courier New" w:hAnsi="Courier New" w:hint="default"/>
      </w:rPr>
    </w:lvl>
    <w:lvl w:ilvl="8" w:tplc="CDDC209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BC77894"/>
    <w:multiLevelType w:val="hybridMultilevel"/>
    <w:tmpl w:val="7AAE017E"/>
    <w:lvl w:ilvl="0" w:tplc="6F92AF66">
      <w:start w:val="1"/>
      <w:numFmt w:val="bullet"/>
      <w:lvlText w:val=""/>
      <w:lvlJc w:val="left"/>
      <w:pPr>
        <w:ind w:left="1350" w:hanging="360"/>
      </w:pPr>
      <w:rPr>
        <w:rFonts w:ascii="Symbol" w:hAnsi="Symbol" w:hint="default"/>
      </w:rPr>
    </w:lvl>
    <w:lvl w:ilvl="1" w:tplc="8FC4BF0E" w:tentative="1">
      <w:start w:val="1"/>
      <w:numFmt w:val="bullet"/>
      <w:lvlText w:val="o"/>
      <w:lvlJc w:val="left"/>
      <w:pPr>
        <w:ind w:left="2070" w:hanging="360"/>
      </w:pPr>
      <w:rPr>
        <w:rFonts w:ascii="Courier New" w:hAnsi="Courier New" w:cs="Courier New" w:hint="default"/>
      </w:rPr>
    </w:lvl>
    <w:lvl w:ilvl="2" w:tplc="F1BE8B5E" w:tentative="1">
      <w:start w:val="1"/>
      <w:numFmt w:val="bullet"/>
      <w:lvlText w:val=""/>
      <w:lvlJc w:val="left"/>
      <w:pPr>
        <w:ind w:left="2790" w:hanging="360"/>
      </w:pPr>
      <w:rPr>
        <w:rFonts w:ascii="Wingdings" w:hAnsi="Wingdings" w:hint="default"/>
      </w:rPr>
    </w:lvl>
    <w:lvl w:ilvl="3" w:tplc="F9EA15AE" w:tentative="1">
      <w:start w:val="1"/>
      <w:numFmt w:val="bullet"/>
      <w:lvlText w:val=""/>
      <w:lvlJc w:val="left"/>
      <w:pPr>
        <w:ind w:left="3510" w:hanging="360"/>
      </w:pPr>
      <w:rPr>
        <w:rFonts w:ascii="Symbol" w:hAnsi="Symbol" w:hint="default"/>
      </w:rPr>
    </w:lvl>
    <w:lvl w:ilvl="4" w:tplc="22268A7A" w:tentative="1">
      <w:start w:val="1"/>
      <w:numFmt w:val="bullet"/>
      <w:lvlText w:val="o"/>
      <w:lvlJc w:val="left"/>
      <w:pPr>
        <w:ind w:left="4230" w:hanging="360"/>
      </w:pPr>
      <w:rPr>
        <w:rFonts w:ascii="Courier New" w:hAnsi="Courier New" w:cs="Courier New" w:hint="default"/>
      </w:rPr>
    </w:lvl>
    <w:lvl w:ilvl="5" w:tplc="0386740A" w:tentative="1">
      <w:start w:val="1"/>
      <w:numFmt w:val="bullet"/>
      <w:lvlText w:val=""/>
      <w:lvlJc w:val="left"/>
      <w:pPr>
        <w:ind w:left="4950" w:hanging="360"/>
      </w:pPr>
      <w:rPr>
        <w:rFonts w:ascii="Wingdings" w:hAnsi="Wingdings" w:hint="default"/>
      </w:rPr>
    </w:lvl>
    <w:lvl w:ilvl="6" w:tplc="0F8EFA5A" w:tentative="1">
      <w:start w:val="1"/>
      <w:numFmt w:val="bullet"/>
      <w:lvlText w:val=""/>
      <w:lvlJc w:val="left"/>
      <w:pPr>
        <w:ind w:left="5670" w:hanging="360"/>
      </w:pPr>
      <w:rPr>
        <w:rFonts w:ascii="Symbol" w:hAnsi="Symbol" w:hint="default"/>
      </w:rPr>
    </w:lvl>
    <w:lvl w:ilvl="7" w:tplc="FFCE2E0A" w:tentative="1">
      <w:start w:val="1"/>
      <w:numFmt w:val="bullet"/>
      <w:lvlText w:val="o"/>
      <w:lvlJc w:val="left"/>
      <w:pPr>
        <w:ind w:left="6390" w:hanging="360"/>
      </w:pPr>
      <w:rPr>
        <w:rFonts w:ascii="Courier New" w:hAnsi="Courier New" w:cs="Courier New" w:hint="default"/>
      </w:rPr>
    </w:lvl>
    <w:lvl w:ilvl="8" w:tplc="94C271C4" w:tentative="1">
      <w:start w:val="1"/>
      <w:numFmt w:val="bullet"/>
      <w:lvlText w:val=""/>
      <w:lvlJc w:val="left"/>
      <w:pPr>
        <w:ind w:left="7110" w:hanging="360"/>
      </w:pPr>
      <w:rPr>
        <w:rFonts w:ascii="Wingdings" w:hAnsi="Wingdings" w:hint="default"/>
      </w:rPr>
    </w:lvl>
  </w:abstractNum>
  <w:abstractNum w:abstractNumId="55" w15:restartNumberingAfterBreak="0">
    <w:nsid w:val="3C542FEE"/>
    <w:multiLevelType w:val="hybridMultilevel"/>
    <w:tmpl w:val="513619DC"/>
    <w:lvl w:ilvl="0" w:tplc="305C902C">
      <w:start w:val="1"/>
      <w:numFmt w:val="bullet"/>
      <w:lvlText w:val=""/>
      <w:lvlJc w:val="left"/>
      <w:pPr>
        <w:ind w:left="720" w:hanging="360"/>
      </w:pPr>
      <w:rPr>
        <w:rFonts w:ascii="Symbol" w:hAnsi="Symbol" w:hint="default"/>
        <w:sz w:val="22"/>
      </w:rPr>
    </w:lvl>
    <w:lvl w:ilvl="1" w:tplc="74D44D4E" w:tentative="1">
      <w:start w:val="1"/>
      <w:numFmt w:val="bullet"/>
      <w:lvlText w:val="o"/>
      <w:lvlJc w:val="left"/>
      <w:pPr>
        <w:ind w:left="1440" w:hanging="360"/>
      </w:pPr>
      <w:rPr>
        <w:rFonts w:ascii="Courier New" w:hAnsi="Courier New" w:cs="Courier New" w:hint="default"/>
      </w:rPr>
    </w:lvl>
    <w:lvl w:ilvl="2" w:tplc="207A5362" w:tentative="1">
      <w:start w:val="1"/>
      <w:numFmt w:val="bullet"/>
      <w:lvlText w:val=""/>
      <w:lvlJc w:val="left"/>
      <w:pPr>
        <w:ind w:left="2160" w:hanging="360"/>
      </w:pPr>
      <w:rPr>
        <w:rFonts w:ascii="Wingdings" w:hAnsi="Wingdings" w:hint="default"/>
      </w:rPr>
    </w:lvl>
    <w:lvl w:ilvl="3" w:tplc="6D642E6E" w:tentative="1">
      <w:start w:val="1"/>
      <w:numFmt w:val="bullet"/>
      <w:lvlText w:val=""/>
      <w:lvlJc w:val="left"/>
      <w:pPr>
        <w:ind w:left="2880" w:hanging="360"/>
      </w:pPr>
      <w:rPr>
        <w:rFonts w:ascii="Symbol" w:hAnsi="Symbol" w:hint="default"/>
      </w:rPr>
    </w:lvl>
    <w:lvl w:ilvl="4" w:tplc="B24CA400" w:tentative="1">
      <w:start w:val="1"/>
      <w:numFmt w:val="bullet"/>
      <w:lvlText w:val="o"/>
      <w:lvlJc w:val="left"/>
      <w:pPr>
        <w:ind w:left="3600" w:hanging="360"/>
      </w:pPr>
      <w:rPr>
        <w:rFonts w:ascii="Courier New" w:hAnsi="Courier New" w:cs="Courier New" w:hint="default"/>
      </w:rPr>
    </w:lvl>
    <w:lvl w:ilvl="5" w:tplc="2D02F840" w:tentative="1">
      <w:start w:val="1"/>
      <w:numFmt w:val="bullet"/>
      <w:lvlText w:val=""/>
      <w:lvlJc w:val="left"/>
      <w:pPr>
        <w:ind w:left="4320" w:hanging="360"/>
      </w:pPr>
      <w:rPr>
        <w:rFonts w:ascii="Wingdings" w:hAnsi="Wingdings" w:hint="default"/>
      </w:rPr>
    </w:lvl>
    <w:lvl w:ilvl="6" w:tplc="7504909E" w:tentative="1">
      <w:start w:val="1"/>
      <w:numFmt w:val="bullet"/>
      <w:lvlText w:val=""/>
      <w:lvlJc w:val="left"/>
      <w:pPr>
        <w:ind w:left="5040" w:hanging="360"/>
      </w:pPr>
      <w:rPr>
        <w:rFonts w:ascii="Symbol" w:hAnsi="Symbol" w:hint="default"/>
      </w:rPr>
    </w:lvl>
    <w:lvl w:ilvl="7" w:tplc="6114A638" w:tentative="1">
      <w:start w:val="1"/>
      <w:numFmt w:val="bullet"/>
      <w:lvlText w:val="o"/>
      <w:lvlJc w:val="left"/>
      <w:pPr>
        <w:ind w:left="5760" w:hanging="360"/>
      </w:pPr>
      <w:rPr>
        <w:rFonts w:ascii="Courier New" w:hAnsi="Courier New" w:cs="Courier New" w:hint="default"/>
      </w:rPr>
    </w:lvl>
    <w:lvl w:ilvl="8" w:tplc="2AC8A5A8" w:tentative="1">
      <w:start w:val="1"/>
      <w:numFmt w:val="bullet"/>
      <w:lvlText w:val=""/>
      <w:lvlJc w:val="left"/>
      <w:pPr>
        <w:ind w:left="6480" w:hanging="360"/>
      </w:pPr>
      <w:rPr>
        <w:rFonts w:ascii="Wingdings" w:hAnsi="Wingdings" w:hint="default"/>
      </w:rPr>
    </w:lvl>
  </w:abstractNum>
  <w:abstractNum w:abstractNumId="56" w15:restartNumberingAfterBreak="0">
    <w:nsid w:val="3DCD1E0F"/>
    <w:multiLevelType w:val="hybridMultilevel"/>
    <w:tmpl w:val="C98A6100"/>
    <w:lvl w:ilvl="0" w:tplc="6BB0D9A4">
      <w:start w:val="1"/>
      <w:numFmt w:val="bullet"/>
      <w:lvlText w:val=""/>
      <w:lvlJc w:val="left"/>
      <w:pPr>
        <w:tabs>
          <w:tab w:val="num" w:pos="720"/>
        </w:tabs>
        <w:ind w:left="720" w:hanging="360"/>
      </w:pPr>
      <w:rPr>
        <w:rFonts w:ascii="Symbol" w:hAnsi="Symbol" w:hint="default"/>
      </w:rPr>
    </w:lvl>
    <w:lvl w:ilvl="1" w:tplc="E8C6B472" w:tentative="1">
      <w:start w:val="1"/>
      <w:numFmt w:val="bullet"/>
      <w:lvlText w:val="o"/>
      <w:lvlJc w:val="left"/>
      <w:pPr>
        <w:tabs>
          <w:tab w:val="num" w:pos="1440"/>
        </w:tabs>
        <w:ind w:left="1440" w:hanging="360"/>
      </w:pPr>
      <w:rPr>
        <w:rFonts w:ascii="Courier New" w:hAnsi="Courier New" w:hint="default"/>
      </w:rPr>
    </w:lvl>
    <w:lvl w:ilvl="2" w:tplc="121AED60" w:tentative="1">
      <w:start w:val="1"/>
      <w:numFmt w:val="bullet"/>
      <w:lvlText w:val=""/>
      <w:lvlJc w:val="left"/>
      <w:pPr>
        <w:tabs>
          <w:tab w:val="num" w:pos="2160"/>
        </w:tabs>
        <w:ind w:left="2160" w:hanging="360"/>
      </w:pPr>
      <w:rPr>
        <w:rFonts w:ascii="Wingdings" w:hAnsi="Wingdings" w:hint="default"/>
      </w:rPr>
    </w:lvl>
    <w:lvl w:ilvl="3" w:tplc="0B20482E" w:tentative="1">
      <w:start w:val="1"/>
      <w:numFmt w:val="bullet"/>
      <w:lvlText w:val=""/>
      <w:lvlJc w:val="left"/>
      <w:pPr>
        <w:tabs>
          <w:tab w:val="num" w:pos="2880"/>
        </w:tabs>
        <w:ind w:left="2880" w:hanging="360"/>
      </w:pPr>
      <w:rPr>
        <w:rFonts w:ascii="Symbol" w:hAnsi="Symbol" w:hint="default"/>
      </w:rPr>
    </w:lvl>
    <w:lvl w:ilvl="4" w:tplc="89A28096" w:tentative="1">
      <w:start w:val="1"/>
      <w:numFmt w:val="bullet"/>
      <w:lvlText w:val="o"/>
      <w:lvlJc w:val="left"/>
      <w:pPr>
        <w:tabs>
          <w:tab w:val="num" w:pos="3600"/>
        </w:tabs>
        <w:ind w:left="3600" w:hanging="360"/>
      </w:pPr>
      <w:rPr>
        <w:rFonts w:ascii="Courier New" w:hAnsi="Courier New" w:hint="default"/>
      </w:rPr>
    </w:lvl>
    <w:lvl w:ilvl="5" w:tplc="9E64FF1A" w:tentative="1">
      <w:start w:val="1"/>
      <w:numFmt w:val="bullet"/>
      <w:lvlText w:val=""/>
      <w:lvlJc w:val="left"/>
      <w:pPr>
        <w:tabs>
          <w:tab w:val="num" w:pos="4320"/>
        </w:tabs>
        <w:ind w:left="4320" w:hanging="360"/>
      </w:pPr>
      <w:rPr>
        <w:rFonts w:ascii="Wingdings" w:hAnsi="Wingdings" w:hint="default"/>
      </w:rPr>
    </w:lvl>
    <w:lvl w:ilvl="6" w:tplc="2182DCD4" w:tentative="1">
      <w:start w:val="1"/>
      <w:numFmt w:val="bullet"/>
      <w:lvlText w:val=""/>
      <w:lvlJc w:val="left"/>
      <w:pPr>
        <w:tabs>
          <w:tab w:val="num" w:pos="5040"/>
        </w:tabs>
        <w:ind w:left="5040" w:hanging="360"/>
      </w:pPr>
      <w:rPr>
        <w:rFonts w:ascii="Symbol" w:hAnsi="Symbol" w:hint="default"/>
      </w:rPr>
    </w:lvl>
    <w:lvl w:ilvl="7" w:tplc="47B65F72" w:tentative="1">
      <w:start w:val="1"/>
      <w:numFmt w:val="bullet"/>
      <w:lvlText w:val="o"/>
      <w:lvlJc w:val="left"/>
      <w:pPr>
        <w:tabs>
          <w:tab w:val="num" w:pos="5760"/>
        </w:tabs>
        <w:ind w:left="5760" w:hanging="360"/>
      </w:pPr>
      <w:rPr>
        <w:rFonts w:ascii="Courier New" w:hAnsi="Courier New" w:hint="default"/>
      </w:rPr>
    </w:lvl>
    <w:lvl w:ilvl="8" w:tplc="F3E63E54"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F711E55"/>
    <w:multiLevelType w:val="hybridMultilevel"/>
    <w:tmpl w:val="D680642E"/>
    <w:lvl w:ilvl="0" w:tplc="0AE2C2E8">
      <w:start w:val="38"/>
      <w:numFmt w:val="bullet"/>
      <w:lvlText w:val="-"/>
      <w:lvlJc w:val="left"/>
      <w:pPr>
        <w:tabs>
          <w:tab w:val="num" w:pos="567"/>
        </w:tabs>
        <w:ind w:left="567" w:hanging="567"/>
      </w:pPr>
      <w:rPr>
        <w:rFonts w:hint="default"/>
      </w:rPr>
    </w:lvl>
    <w:lvl w:ilvl="1" w:tplc="E88841D4" w:tentative="1">
      <w:start w:val="1"/>
      <w:numFmt w:val="bullet"/>
      <w:lvlText w:val="o"/>
      <w:lvlJc w:val="left"/>
      <w:pPr>
        <w:tabs>
          <w:tab w:val="num" w:pos="1440"/>
        </w:tabs>
        <w:ind w:left="1440" w:hanging="360"/>
      </w:pPr>
      <w:rPr>
        <w:rFonts w:ascii="Courier New" w:hAnsi="Courier New" w:hint="default"/>
      </w:rPr>
    </w:lvl>
    <w:lvl w:ilvl="2" w:tplc="B71637D0" w:tentative="1">
      <w:start w:val="1"/>
      <w:numFmt w:val="bullet"/>
      <w:lvlText w:val=""/>
      <w:lvlJc w:val="left"/>
      <w:pPr>
        <w:tabs>
          <w:tab w:val="num" w:pos="2160"/>
        </w:tabs>
        <w:ind w:left="2160" w:hanging="360"/>
      </w:pPr>
      <w:rPr>
        <w:rFonts w:ascii="Wingdings" w:hAnsi="Wingdings" w:hint="default"/>
      </w:rPr>
    </w:lvl>
    <w:lvl w:ilvl="3" w:tplc="7EEA511E" w:tentative="1">
      <w:start w:val="1"/>
      <w:numFmt w:val="bullet"/>
      <w:lvlText w:val=""/>
      <w:lvlJc w:val="left"/>
      <w:pPr>
        <w:tabs>
          <w:tab w:val="num" w:pos="2880"/>
        </w:tabs>
        <w:ind w:left="2880" w:hanging="360"/>
      </w:pPr>
      <w:rPr>
        <w:rFonts w:ascii="Symbol" w:hAnsi="Symbol" w:hint="default"/>
      </w:rPr>
    </w:lvl>
    <w:lvl w:ilvl="4" w:tplc="740A4188" w:tentative="1">
      <w:start w:val="1"/>
      <w:numFmt w:val="bullet"/>
      <w:lvlText w:val="o"/>
      <w:lvlJc w:val="left"/>
      <w:pPr>
        <w:tabs>
          <w:tab w:val="num" w:pos="3600"/>
        </w:tabs>
        <w:ind w:left="3600" w:hanging="360"/>
      </w:pPr>
      <w:rPr>
        <w:rFonts w:ascii="Courier New" w:hAnsi="Courier New" w:hint="default"/>
      </w:rPr>
    </w:lvl>
    <w:lvl w:ilvl="5" w:tplc="88F8292A" w:tentative="1">
      <w:start w:val="1"/>
      <w:numFmt w:val="bullet"/>
      <w:lvlText w:val=""/>
      <w:lvlJc w:val="left"/>
      <w:pPr>
        <w:tabs>
          <w:tab w:val="num" w:pos="4320"/>
        </w:tabs>
        <w:ind w:left="4320" w:hanging="360"/>
      </w:pPr>
      <w:rPr>
        <w:rFonts w:ascii="Wingdings" w:hAnsi="Wingdings" w:hint="default"/>
      </w:rPr>
    </w:lvl>
    <w:lvl w:ilvl="6" w:tplc="AEF0A0C2" w:tentative="1">
      <w:start w:val="1"/>
      <w:numFmt w:val="bullet"/>
      <w:lvlText w:val=""/>
      <w:lvlJc w:val="left"/>
      <w:pPr>
        <w:tabs>
          <w:tab w:val="num" w:pos="5040"/>
        </w:tabs>
        <w:ind w:left="5040" w:hanging="360"/>
      </w:pPr>
      <w:rPr>
        <w:rFonts w:ascii="Symbol" w:hAnsi="Symbol" w:hint="default"/>
      </w:rPr>
    </w:lvl>
    <w:lvl w:ilvl="7" w:tplc="A0DA41CC" w:tentative="1">
      <w:start w:val="1"/>
      <w:numFmt w:val="bullet"/>
      <w:lvlText w:val="o"/>
      <w:lvlJc w:val="left"/>
      <w:pPr>
        <w:tabs>
          <w:tab w:val="num" w:pos="5760"/>
        </w:tabs>
        <w:ind w:left="5760" w:hanging="360"/>
      </w:pPr>
      <w:rPr>
        <w:rFonts w:ascii="Courier New" w:hAnsi="Courier New" w:hint="default"/>
      </w:rPr>
    </w:lvl>
    <w:lvl w:ilvl="8" w:tplc="90C0A73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FB30087"/>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59" w15:restartNumberingAfterBreak="0">
    <w:nsid w:val="40B771CF"/>
    <w:multiLevelType w:val="hybridMultilevel"/>
    <w:tmpl w:val="A3E87F30"/>
    <w:lvl w:ilvl="0" w:tplc="D018E4C6">
      <w:start w:val="1"/>
      <w:numFmt w:val="bullet"/>
      <w:lvlText w:val=""/>
      <w:lvlJc w:val="left"/>
      <w:pPr>
        <w:ind w:left="720" w:hanging="360"/>
      </w:pPr>
      <w:rPr>
        <w:rFonts w:ascii="Symbol" w:hAnsi="Symbol" w:hint="default"/>
      </w:rPr>
    </w:lvl>
    <w:lvl w:ilvl="1" w:tplc="28164DB6" w:tentative="1">
      <w:start w:val="1"/>
      <w:numFmt w:val="bullet"/>
      <w:lvlText w:val="o"/>
      <w:lvlJc w:val="left"/>
      <w:pPr>
        <w:ind w:left="1440" w:hanging="360"/>
      </w:pPr>
      <w:rPr>
        <w:rFonts w:ascii="Courier New" w:hAnsi="Courier New" w:cs="Courier New" w:hint="default"/>
      </w:rPr>
    </w:lvl>
    <w:lvl w:ilvl="2" w:tplc="A7EEFD4A" w:tentative="1">
      <w:start w:val="1"/>
      <w:numFmt w:val="bullet"/>
      <w:lvlText w:val=""/>
      <w:lvlJc w:val="left"/>
      <w:pPr>
        <w:ind w:left="2160" w:hanging="360"/>
      </w:pPr>
      <w:rPr>
        <w:rFonts w:ascii="Wingdings" w:hAnsi="Wingdings" w:hint="default"/>
      </w:rPr>
    </w:lvl>
    <w:lvl w:ilvl="3" w:tplc="BBC2ADB0" w:tentative="1">
      <w:start w:val="1"/>
      <w:numFmt w:val="bullet"/>
      <w:lvlText w:val=""/>
      <w:lvlJc w:val="left"/>
      <w:pPr>
        <w:ind w:left="2880" w:hanging="360"/>
      </w:pPr>
      <w:rPr>
        <w:rFonts w:ascii="Symbol" w:hAnsi="Symbol" w:hint="default"/>
      </w:rPr>
    </w:lvl>
    <w:lvl w:ilvl="4" w:tplc="EAC88F44" w:tentative="1">
      <w:start w:val="1"/>
      <w:numFmt w:val="bullet"/>
      <w:lvlText w:val="o"/>
      <w:lvlJc w:val="left"/>
      <w:pPr>
        <w:ind w:left="3600" w:hanging="360"/>
      </w:pPr>
      <w:rPr>
        <w:rFonts w:ascii="Courier New" w:hAnsi="Courier New" w:cs="Courier New" w:hint="default"/>
      </w:rPr>
    </w:lvl>
    <w:lvl w:ilvl="5" w:tplc="AC0A89CA" w:tentative="1">
      <w:start w:val="1"/>
      <w:numFmt w:val="bullet"/>
      <w:lvlText w:val=""/>
      <w:lvlJc w:val="left"/>
      <w:pPr>
        <w:ind w:left="4320" w:hanging="360"/>
      </w:pPr>
      <w:rPr>
        <w:rFonts w:ascii="Wingdings" w:hAnsi="Wingdings" w:hint="default"/>
      </w:rPr>
    </w:lvl>
    <w:lvl w:ilvl="6" w:tplc="9170F678" w:tentative="1">
      <w:start w:val="1"/>
      <w:numFmt w:val="bullet"/>
      <w:lvlText w:val=""/>
      <w:lvlJc w:val="left"/>
      <w:pPr>
        <w:ind w:left="5040" w:hanging="360"/>
      </w:pPr>
      <w:rPr>
        <w:rFonts w:ascii="Symbol" w:hAnsi="Symbol" w:hint="default"/>
      </w:rPr>
    </w:lvl>
    <w:lvl w:ilvl="7" w:tplc="E96691E8" w:tentative="1">
      <w:start w:val="1"/>
      <w:numFmt w:val="bullet"/>
      <w:lvlText w:val="o"/>
      <w:lvlJc w:val="left"/>
      <w:pPr>
        <w:ind w:left="5760" w:hanging="360"/>
      </w:pPr>
      <w:rPr>
        <w:rFonts w:ascii="Courier New" w:hAnsi="Courier New" w:cs="Courier New" w:hint="default"/>
      </w:rPr>
    </w:lvl>
    <w:lvl w:ilvl="8" w:tplc="F552E6BC" w:tentative="1">
      <w:start w:val="1"/>
      <w:numFmt w:val="bullet"/>
      <w:lvlText w:val=""/>
      <w:lvlJc w:val="left"/>
      <w:pPr>
        <w:ind w:left="6480" w:hanging="360"/>
      </w:pPr>
      <w:rPr>
        <w:rFonts w:ascii="Wingdings" w:hAnsi="Wingdings" w:hint="default"/>
      </w:rPr>
    </w:lvl>
  </w:abstractNum>
  <w:abstractNum w:abstractNumId="60" w15:restartNumberingAfterBreak="0">
    <w:nsid w:val="40E54B09"/>
    <w:multiLevelType w:val="hybridMultilevel"/>
    <w:tmpl w:val="C08A1A04"/>
    <w:lvl w:ilvl="0" w:tplc="C17084AC">
      <w:start w:val="1"/>
      <w:numFmt w:val="bullet"/>
      <w:lvlText w:val=""/>
      <w:lvlJc w:val="left"/>
      <w:pPr>
        <w:tabs>
          <w:tab w:val="num" w:pos="690"/>
        </w:tabs>
        <w:ind w:left="690" w:hanging="360"/>
      </w:pPr>
      <w:rPr>
        <w:rFonts w:ascii="Symbol" w:hAnsi="Symbol" w:hint="default"/>
      </w:rPr>
    </w:lvl>
    <w:lvl w:ilvl="1" w:tplc="614ADDA0">
      <w:start w:val="1"/>
      <w:numFmt w:val="bullet"/>
      <w:lvlText w:val=""/>
      <w:lvlJc w:val="left"/>
      <w:pPr>
        <w:tabs>
          <w:tab w:val="num" w:pos="1440"/>
        </w:tabs>
        <w:ind w:left="1440" w:hanging="360"/>
      </w:pPr>
      <w:rPr>
        <w:rFonts w:ascii="Symbol" w:hAnsi="Symbol" w:hint="default"/>
      </w:rPr>
    </w:lvl>
    <w:lvl w:ilvl="2" w:tplc="F7A2AC0C" w:tentative="1">
      <w:start w:val="1"/>
      <w:numFmt w:val="bullet"/>
      <w:lvlText w:val=""/>
      <w:lvlJc w:val="left"/>
      <w:pPr>
        <w:tabs>
          <w:tab w:val="num" w:pos="2160"/>
        </w:tabs>
        <w:ind w:left="2160" w:hanging="360"/>
      </w:pPr>
      <w:rPr>
        <w:rFonts w:ascii="Wingdings" w:hAnsi="Wingdings" w:hint="default"/>
      </w:rPr>
    </w:lvl>
    <w:lvl w:ilvl="3" w:tplc="E00A6C3E" w:tentative="1">
      <w:start w:val="1"/>
      <w:numFmt w:val="bullet"/>
      <w:lvlText w:val=""/>
      <w:lvlJc w:val="left"/>
      <w:pPr>
        <w:tabs>
          <w:tab w:val="num" w:pos="2880"/>
        </w:tabs>
        <w:ind w:left="2880" w:hanging="360"/>
      </w:pPr>
      <w:rPr>
        <w:rFonts w:ascii="Symbol" w:hAnsi="Symbol" w:hint="default"/>
      </w:rPr>
    </w:lvl>
    <w:lvl w:ilvl="4" w:tplc="E1DAE78A" w:tentative="1">
      <w:start w:val="1"/>
      <w:numFmt w:val="bullet"/>
      <w:lvlText w:val="o"/>
      <w:lvlJc w:val="left"/>
      <w:pPr>
        <w:tabs>
          <w:tab w:val="num" w:pos="3600"/>
        </w:tabs>
        <w:ind w:left="3600" w:hanging="360"/>
      </w:pPr>
      <w:rPr>
        <w:rFonts w:ascii="Courier New" w:hAnsi="Courier New" w:hint="default"/>
      </w:rPr>
    </w:lvl>
    <w:lvl w:ilvl="5" w:tplc="49C8159C" w:tentative="1">
      <w:start w:val="1"/>
      <w:numFmt w:val="bullet"/>
      <w:lvlText w:val=""/>
      <w:lvlJc w:val="left"/>
      <w:pPr>
        <w:tabs>
          <w:tab w:val="num" w:pos="4320"/>
        </w:tabs>
        <w:ind w:left="4320" w:hanging="360"/>
      </w:pPr>
      <w:rPr>
        <w:rFonts w:ascii="Wingdings" w:hAnsi="Wingdings" w:hint="default"/>
      </w:rPr>
    </w:lvl>
    <w:lvl w:ilvl="6" w:tplc="809A0DCC" w:tentative="1">
      <w:start w:val="1"/>
      <w:numFmt w:val="bullet"/>
      <w:lvlText w:val=""/>
      <w:lvlJc w:val="left"/>
      <w:pPr>
        <w:tabs>
          <w:tab w:val="num" w:pos="5040"/>
        </w:tabs>
        <w:ind w:left="5040" w:hanging="360"/>
      </w:pPr>
      <w:rPr>
        <w:rFonts w:ascii="Symbol" w:hAnsi="Symbol" w:hint="default"/>
      </w:rPr>
    </w:lvl>
    <w:lvl w:ilvl="7" w:tplc="CCCE70AE" w:tentative="1">
      <w:start w:val="1"/>
      <w:numFmt w:val="bullet"/>
      <w:lvlText w:val="o"/>
      <w:lvlJc w:val="left"/>
      <w:pPr>
        <w:tabs>
          <w:tab w:val="num" w:pos="5760"/>
        </w:tabs>
        <w:ind w:left="5760" w:hanging="360"/>
      </w:pPr>
      <w:rPr>
        <w:rFonts w:ascii="Courier New" w:hAnsi="Courier New" w:hint="default"/>
      </w:rPr>
    </w:lvl>
    <w:lvl w:ilvl="8" w:tplc="3878A06C"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2410736"/>
    <w:multiLevelType w:val="hybridMultilevel"/>
    <w:tmpl w:val="19E48ED0"/>
    <w:lvl w:ilvl="0" w:tplc="F7565E64">
      <w:start w:val="1"/>
      <w:numFmt w:val="bullet"/>
      <w:lvlText w:val=""/>
      <w:lvlJc w:val="left"/>
      <w:pPr>
        <w:ind w:left="720" w:hanging="360"/>
      </w:pPr>
      <w:rPr>
        <w:rFonts w:ascii="Symbol" w:hAnsi="Symbol" w:hint="default"/>
        <w:sz w:val="22"/>
      </w:rPr>
    </w:lvl>
    <w:lvl w:ilvl="1" w:tplc="93FEE1FE" w:tentative="1">
      <w:start w:val="1"/>
      <w:numFmt w:val="bullet"/>
      <w:lvlText w:val="o"/>
      <w:lvlJc w:val="left"/>
      <w:pPr>
        <w:ind w:left="1440" w:hanging="360"/>
      </w:pPr>
      <w:rPr>
        <w:rFonts w:ascii="Courier New" w:hAnsi="Courier New" w:cs="Courier New" w:hint="default"/>
      </w:rPr>
    </w:lvl>
    <w:lvl w:ilvl="2" w:tplc="85161F28" w:tentative="1">
      <w:start w:val="1"/>
      <w:numFmt w:val="bullet"/>
      <w:lvlText w:val=""/>
      <w:lvlJc w:val="left"/>
      <w:pPr>
        <w:ind w:left="2160" w:hanging="360"/>
      </w:pPr>
      <w:rPr>
        <w:rFonts w:ascii="Wingdings" w:hAnsi="Wingdings" w:hint="default"/>
      </w:rPr>
    </w:lvl>
    <w:lvl w:ilvl="3" w:tplc="871CE45E" w:tentative="1">
      <w:start w:val="1"/>
      <w:numFmt w:val="bullet"/>
      <w:lvlText w:val=""/>
      <w:lvlJc w:val="left"/>
      <w:pPr>
        <w:ind w:left="2880" w:hanging="360"/>
      </w:pPr>
      <w:rPr>
        <w:rFonts w:ascii="Symbol" w:hAnsi="Symbol" w:hint="default"/>
      </w:rPr>
    </w:lvl>
    <w:lvl w:ilvl="4" w:tplc="6CBCCF0A" w:tentative="1">
      <w:start w:val="1"/>
      <w:numFmt w:val="bullet"/>
      <w:lvlText w:val="o"/>
      <w:lvlJc w:val="left"/>
      <w:pPr>
        <w:ind w:left="3600" w:hanging="360"/>
      </w:pPr>
      <w:rPr>
        <w:rFonts w:ascii="Courier New" w:hAnsi="Courier New" w:cs="Courier New" w:hint="default"/>
      </w:rPr>
    </w:lvl>
    <w:lvl w:ilvl="5" w:tplc="2DBC092C" w:tentative="1">
      <w:start w:val="1"/>
      <w:numFmt w:val="bullet"/>
      <w:lvlText w:val=""/>
      <w:lvlJc w:val="left"/>
      <w:pPr>
        <w:ind w:left="4320" w:hanging="360"/>
      </w:pPr>
      <w:rPr>
        <w:rFonts w:ascii="Wingdings" w:hAnsi="Wingdings" w:hint="default"/>
      </w:rPr>
    </w:lvl>
    <w:lvl w:ilvl="6" w:tplc="39422CBA" w:tentative="1">
      <w:start w:val="1"/>
      <w:numFmt w:val="bullet"/>
      <w:lvlText w:val=""/>
      <w:lvlJc w:val="left"/>
      <w:pPr>
        <w:ind w:left="5040" w:hanging="360"/>
      </w:pPr>
      <w:rPr>
        <w:rFonts w:ascii="Symbol" w:hAnsi="Symbol" w:hint="default"/>
      </w:rPr>
    </w:lvl>
    <w:lvl w:ilvl="7" w:tplc="44EC6AAC" w:tentative="1">
      <w:start w:val="1"/>
      <w:numFmt w:val="bullet"/>
      <w:lvlText w:val="o"/>
      <w:lvlJc w:val="left"/>
      <w:pPr>
        <w:ind w:left="5760" w:hanging="360"/>
      </w:pPr>
      <w:rPr>
        <w:rFonts w:ascii="Courier New" w:hAnsi="Courier New" w:cs="Courier New" w:hint="default"/>
      </w:rPr>
    </w:lvl>
    <w:lvl w:ilvl="8" w:tplc="9F2E241E" w:tentative="1">
      <w:start w:val="1"/>
      <w:numFmt w:val="bullet"/>
      <w:lvlText w:val=""/>
      <w:lvlJc w:val="left"/>
      <w:pPr>
        <w:ind w:left="6480" w:hanging="360"/>
      </w:pPr>
      <w:rPr>
        <w:rFonts w:ascii="Wingdings" w:hAnsi="Wingdings" w:hint="default"/>
      </w:rPr>
    </w:lvl>
  </w:abstractNum>
  <w:abstractNum w:abstractNumId="62" w15:restartNumberingAfterBreak="0">
    <w:nsid w:val="425C08F9"/>
    <w:multiLevelType w:val="hybridMultilevel"/>
    <w:tmpl w:val="C08E8896"/>
    <w:lvl w:ilvl="0" w:tplc="DB34E41A">
      <w:start w:val="1"/>
      <w:numFmt w:val="bullet"/>
      <w:lvlText w:val=""/>
      <w:lvlJc w:val="left"/>
      <w:pPr>
        <w:ind w:left="720" w:hanging="360"/>
      </w:pPr>
      <w:rPr>
        <w:rFonts w:ascii="Symbol" w:hAnsi="Symbol" w:hint="default"/>
      </w:rPr>
    </w:lvl>
    <w:lvl w:ilvl="1" w:tplc="3C7602DA" w:tentative="1">
      <w:start w:val="1"/>
      <w:numFmt w:val="bullet"/>
      <w:lvlText w:val="o"/>
      <w:lvlJc w:val="left"/>
      <w:pPr>
        <w:ind w:left="1440" w:hanging="360"/>
      </w:pPr>
      <w:rPr>
        <w:rFonts w:ascii="Courier New" w:hAnsi="Courier New" w:cs="Courier New" w:hint="default"/>
      </w:rPr>
    </w:lvl>
    <w:lvl w:ilvl="2" w:tplc="A2C04BDA" w:tentative="1">
      <w:start w:val="1"/>
      <w:numFmt w:val="bullet"/>
      <w:lvlText w:val=""/>
      <w:lvlJc w:val="left"/>
      <w:pPr>
        <w:ind w:left="2160" w:hanging="360"/>
      </w:pPr>
      <w:rPr>
        <w:rFonts w:ascii="Wingdings" w:hAnsi="Wingdings" w:hint="default"/>
      </w:rPr>
    </w:lvl>
    <w:lvl w:ilvl="3" w:tplc="7EF29408" w:tentative="1">
      <w:start w:val="1"/>
      <w:numFmt w:val="bullet"/>
      <w:lvlText w:val=""/>
      <w:lvlJc w:val="left"/>
      <w:pPr>
        <w:ind w:left="2880" w:hanging="360"/>
      </w:pPr>
      <w:rPr>
        <w:rFonts w:ascii="Symbol" w:hAnsi="Symbol" w:hint="default"/>
      </w:rPr>
    </w:lvl>
    <w:lvl w:ilvl="4" w:tplc="6994D73C" w:tentative="1">
      <w:start w:val="1"/>
      <w:numFmt w:val="bullet"/>
      <w:lvlText w:val="o"/>
      <w:lvlJc w:val="left"/>
      <w:pPr>
        <w:ind w:left="3600" w:hanging="360"/>
      </w:pPr>
      <w:rPr>
        <w:rFonts w:ascii="Courier New" w:hAnsi="Courier New" w:cs="Courier New" w:hint="default"/>
      </w:rPr>
    </w:lvl>
    <w:lvl w:ilvl="5" w:tplc="BEC2C29A" w:tentative="1">
      <w:start w:val="1"/>
      <w:numFmt w:val="bullet"/>
      <w:lvlText w:val=""/>
      <w:lvlJc w:val="left"/>
      <w:pPr>
        <w:ind w:left="4320" w:hanging="360"/>
      </w:pPr>
      <w:rPr>
        <w:rFonts w:ascii="Wingdings" w:hAnsi="Wingdings" w:hint="default"/>
      </w:rPr>
    </w:lvl>
    <w:lvl w:ilvl="6" w:tplc="20466924" w:tentative="1">
      <w:start w:val="1"/>
      <w:numFmt w:val="bullet"/>
      <w:lvlText w:val=""/>
      <w:lvlJc w:val="left"/>
      <w:pPr>
        <w:ind w:left="5040" w:hanging="360"/>
      </w:pPr>
      <w:rPr>
        <w:rFonts w:ascii="Symbol" w:hAnsi="Symbol" w:hint="default"/>
      </w:rPr>
    </w:lvl>
    <w:lvl w:ilvl="7" w:tplc="03760EDC" w:tentative="1">
      <w:start w:val="1"/>
      <w:numFmt w:val="bullet"/>
      <w:lvlText w:val="o"/>
      <w:lvlJc w:val="left"/>
      <w:pPr>
        <w:ind w:left="5760" w:hanging="360"/>
      </w:pPr>
      <w:rPr>
        <w:rFonts w:ascii="Courier New" w:hAnsi="Courier New" w:cs="Courier New" w:hint="default"/>
      </w:rPr>
    </w:lvl>
    <w:lvl w:ilvl="8" w:tplc="80B8859C" w:tentative="1">
      <w:start w:val="1"/>
      <w:numFmt w:val="bullet"/>
      <w:lvlText w:val=""/>
      <w:lvlJc w:val="left"/>
      <w:pPr>
        <w:ind w:left="6480" w:hanging="360"/>
      </w:pPr>
      <w:rPr>
        <w:rFonts w:ascii="Wingdings" w:hAnsi="Wingdings" w:hint="default"/>
      </w:rPr>
    </w:lvl>
  </w:abstractNum>
  <w:abstractNum w:abstractNumId="63" w15:restartNumberingAfterBreak="0">
    <w:nsid w:val="425D334C"/>
    <w:multiLevelType w:val="hybridMultilevel"/>
    <w:tmpl w:val="2C8EA9C6"/>
    <w:lvl w:ilvl="0" w:tplc="16B2F034">
      <w:start w:val="1"/>
      <w:numFmt w:val="bullet"/>
      <w:lvlText w:val=""/>
      <w:lvlJc w:val="left"/>
      <w:pPr>
        <w:ind w:left="720" w:hanging="360"/>
      </w:pPr>
      <w:rPr>
        <w:rFonts w:ascii="Symbol" w:hAnsi="Symbol" w:hint="default"/>
        <w:sz w:val="22"/>
      </w:rPr>
    </w:lvl>
    <w:lvl w:ilvl="1" w:tplc="B67AF08C">
      <w:start w:val="1"/>
      <w:numFmt w:val="bullet"/>
      <w:lvlText w:val="o"/>
      <w:lvlJc w:val="left"/>
      <w:pPr>
        <w:ind w:left="1440" w:hanging="360"/>
      </w:pPr>
      <w:rPr>
        <w:rFonts w:ascii="Courier New" w:hAnsi="Courier New" w:cs="Courier New" w:hint="default"/>
      </w:rPr>
    </w:lvl>
    <w:lvl w:ilvl="2" w:tplc="AA7AAF00" w:tentative="1">
      <w:start w:val="1"/>
      <w:numFmt w:val="bullet"/>
      <w:lvlText w:val=""/>
      <w:lvlJc w:val="left"/>
      <w:pPr>
        <w:ind w:left="2160" w:hanging="360"/>
      </w:pPr>
      <w:rPr>
        <w:rFonts w:ascii="Wingdings" w:hAnsi="Wingdings" w:hint="default"/>
      </w:rPr>
    </w:lvl>
    <w:lvl w:ilvl="3" w:tplc="202C8E08" w:tentative="1">
      <w:start w:val="1"/>
      <w:numFmt w:val="bullet"/>
      <w:lvlText w:val=""/>
      <w:lvlJc w:val="left"/>
      <w:pPr>
        <w:ind w:left="2880" w:hanging="360"/>
      </w:pPr>
      <w:rPr>
        <w:rFonts w:ascii="Symbol" w:hAnsi="Symbol" w:hint="default"/>
      </w:rPr>
    </w:lvl>
    <w:lvl w:ilvl="4" w:tplc="3C7CDB0A" w:tentative="1">
      <w:start w:val="1"/>
      <w:numFmt w:val="bullet"/>
      <w:lvlText w:val="o"/>
      <w:lvlJc w:val="left"/>
      <w:pPr>
        <w:ind w:left="3600" w:hanging="360"/>
      </w:pPr>
      <w:rPr>
        <w:rFonts w:ascii="Courier New" w:hAnsi="Courier New" w:cs="Courier New" w:hint="default"/>
      </w:rPr>
    </w:lvl>
    <w:lvl w:ilvl="5" w:tplc="9962B8C8" w:tentative="1">
      <w:start w:val="1"/>
      <w:numFmt w:val="bullet"/>
      <w:lvlText w:val=""/>
      <w:lvlJc w:val="left"/>
      <w:pPr>
        <w:ind w:left="4320" w:hanging="360"/>
      </w:pPr>
      <w:rPr>
        <w:rFonts w:ascii="Wingdings" w:hAnsi="Wingdings" w:hint="default"/>
      </w:rPr>
    </w:lvl>
    <w:lvl w:ilvl="6" w:tplc="87D6C21A" w:tentative="1">
      <w:start w:val="1"/>
      <w:numFmt w:val="bullet"/>
      <w:lvlText w:val=""/>
      <w:lvlJc w:val="left"/>
      <w:pPr>
        <w:ind w:left="5040" w:hanging="360"/>
      </w:pPr>
      <w:rPr>
        <w:rFonts w:ascii="Symbol" w:hAnsi="Symbol" w:hint="default"/>
      </w:rPr>
    </w:lvl>
    <w:lvl w:ilvl="7" w:tplc="FC5E56DE" w:tentative="1">
      <w:start w:val="1"/>
      <w:numFmt w:val="bullet"/>
      <w:lvlText w:val="o"/>
      <w:lvlJc w:val="left"/>
      <w:pPr>
        <w:ind w:left="5760" w:hanging="360"/>
      </w:pPr>
      <w:rPr>
        <w:rFonts w:ascii="Courier New" w:hAnsi="Courier New" w:cs="Courier New" w:hint="default"/>
      </w:rPr>
    </w:lvl>
    <w:lvl w:ilvl="8" w:tplc="F7480800" w:tentative="1">
      <w:start w:val="1"/>
      <w:numFmt w:val="bullet"/>
      <w:lvlText w:val=""/>
      <w:lvlJc w:val="left"/>
      <w:pPr>
        <w:ind w:left="6480" w:hanging="360"/>
      </w:pPr>
      <w:rPr>
        <w:rFonts w:ascii="Wingdings" w:hAnsi="Wingdings" w:hint="default"/>
      </w:rPr>
    </w:lvl>
  </w:abstractNum>
  <w:abstractNum w:abstractNumId="64" w15:restartNumberingAfterBreak="0">
    <w:nsid w:val="430D0E95"/>
    <w:multiLevelType w:val="multilevel"/>
    <w:tmpl w:val="A3383FCE"/>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65" w15:restartNumberingAfterBreak="0">
    <w:nsid w:val="45006142"/>
    <w:multiLevelType w:val="hybridMultilevel"/>
    <w:tmpl w:val="EDE29AE6"/>
    <w:lvl w:ilvl="0" w:tplc="FAC85530">
      <w:start w:val="1"/>
      <w:numFmt w:val="bullet"/>
      <w:lvlText w:val=""/>
      <w:lvlJc w:val="left"/>
      <w:pPr>
        <w:tabs>
          <w:tab w:val="num" w:pos="720"/>
        </w:tabs>
        <w:ind w:left="720" w:hanging="360"/>
      </w:pPr>
      <w:rPr>
        <w:rFonts w:ascii="Symbol" w:hAnsi="Symbol" w:hint="default"/>
      </w:rPr>
    </w:lvl>
    <w:lvl w:ilvl="1" w:tplc="7AFCA3A2" w:tentative="1">
      <w:start w:val="1"/>
      <w:numFmt w:val="bullet"/>
      <w:lvlText w:val="o"/>
      <w:lvlJc w:val="left"/>
      <w:pPr>
        <w:tabs>
          <w:tab w:val="num" w:pos="1440"/>
        </w:tabs>
        <w:ind w:left="1440" w:hanging="360"/>
      </w:pPr>
      <w:rPr>
        <w:rFonts w:ascii="Courier New" w:hAnsi="Courier New" w:hint="default"/>
      </w:rPr>
    </w:lvl>
    <w:lvl w:ilvl="2" w:tplc="F7982FC2" w:tentative="1">
      <w:start w:val="1"/>
      <w:numFmt w:val="bullet"/>
      <w:lvlText w:val=""/>
      <w:lvlJc w:val="left"/>
      <w:pPr>
        <w:tabs>
          <w:tab w:val="num" w:pos="2160"/>
        </w:tabs>
        <w:ind w:left="2160" w:hanging="360"/>
      </w:pPr>
      <w:rPr>
        <w:rFonts w:ascii="Wingdings" w:hAnsi="Wingdings" w:hint="default"/>
      </w:rPr>
    </w:lvl>
    <w:lvl w:ilvl="3" w:tplc="A8F2E072" w:tentative="1">
      <w:start w:val="1"/>
      <w:numFmt w:val="bullet"/>
      <w:lvlText w:val=""/>
      <w:lvlJc w:val="left"/>
      <w:pPr>
        <w:tabs>
          <w:tab w:val="num" w:pos="2880"/>
        </w:tabs>
        <w:ind w:left="2880" w:hanging="360"/>
      </w:pPr>
      <w:rPr>
        <w:rFonts w:ascii="Symbol" w:hAnsi="Symbol" w:hint="default"/>
      </w:rPr>
    </w:lvl>
    <w:lvl w:ilvl="4" w:tplc="1B4A250A" w:tentative="1">
      <w:start w:val="1"/>
      <w:numFmt w:val="bullet"/>
      <w:lvlText w:val="o"/>
      <w:lvlJc w:val="left"/>
      <w:pPr>
        <w:tabs>
          <w:tab w:val="num" w:pos="3600"/>
        </w:tabs>
        <w:ind w:left="3600" w:hanging="360"/>
      </w:pPr>
      <w:rPr>
        <w:rFonts w:ascii="Courier New" w:hAnsi="Courier New" w:hint="default"/>
      </w:rPr>
    </w:lvl>
    <w:lvl w:ilvl="5" w:tplc="67848DA4" w:tentative="1">
      <w:start w:val="1"/>
      <w:numFmt w:val="bullet"/>
      <w:lvlText w:val=""/>
      <w:lvlJc w:val="left"/>
      <w:pPr>
        <w:tabs>
          <w:tab w:val="num" w:pos="4320"/>
        </w:tabs>
        <w:ind w:left="4320" w:hanging="360"/>
      </w:pPr>
      <w:rPr>
        <w:rFonts w:ascii="Wingdings" w:hAnsi="Wingdings" w:hint="default"/>
      </w:rPr>
    </w:lvl>
    <w:lvl w:ilvl="6" w:tplc="5FA00E34" w:tentative="1">
      <w:start w:val="1"/>
      <w:numFmt w:val="bullet"/>
      <w:lvlText w:val=""/>
      <w:lvlJc w:val="left"/>
      <w:pPr>
        <w:tabs>
          <w:tab w:val="num" w:pos="5040"/>
        </w:tabs>
        <w:ind w:left="5040" w:hanging="360"/>
      </w:pPr>
      <w:rPr>
        <w:rFonts w:ascii="Symbol" w:hAnsi="Symbol" w:hint="default"/>
      </w:rPr>
    </w:lvl>
    <w:lvl w:ilvl="7" w:tplc="3F4482AE" w:tentative="1">
      <w:start w:val="1"/>
      <w:numFmt w:val="bullet"/>
      <w:lvlText w:val="o"/>
      <w:lvlJc w:val="left"/>
      <w:pPr>
        <w:tabs>
          <w:tab w:val="num" w:pos="5760"/>
        </w:tabs>
        <w:ind w:left="5760" w:hanging="360"/>
      </w:pPr>
      <w:rPr>
        <w:rFonts w:ascii="Courier New" w:hAnsi="Courier New" w:hint="default"/>
      </w:rPr>
    </w:lvl>
    <w:lvl w:ilvl="8" w:tplc="B9348E90"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70C5ECD"/>
    <w:multiLevelType w:val="hybridMultilevel"/>
    <w:tmpl w:val="50286F66"/>
    <w:lvl w:ilvl="0" w:tplc="93886E9E">
      <w:start w:val="1"/>
      <w:numFmt w:val="bullet"/>
      <w:lvlText w:val=""/>
      <w:lvlJc w:val="left"/>
      <w:pPr>
        <w:ind w:left="1440" w:hanging="360"/>
      </w:pPr>
      <w:rPr>
        <w:rFonts w:ascii="Symbol" w:hAnsi="Symbol" w:hint="default"/>
      </w:rPr>
    </w:lvl>
    <w:lvl w:ilvl="1" w:tplc="FF98F48E" w:tentative="1">
      <w:start w:val="1"/>
      <w:numFmt w:val="bullet"/>
      <w:lvlText w:val="o"/>
      <w:lvlJc w:val="left"/>
      <w:pPr>
        <w:ind w:left="2160" w:hanging="360"/>
      </w:pPr>
      <w:rPr>
        <w:rFonts w:ascii="Courier New" w:hAnsi="Courier New" w:cs="Courier New" w:hint="default"/>
      </w:rPr>
    </w:lvl>
    <w:lvl w:ilvl="2" w:tplc="82B6F948" w:tentative="1">
      <w:start w:val="1"/>
      <w:numFmt w:val="bullet"/>
      <w:lvlText w:val=""/>
      <w:lvlJc w:val="left"/>
      <w:pPr>
        <w:ind w:left="2880" w:hanging="360"/>
      </w:pPr>
      <w:rPr>
        <w:rFonts w:ascii="Wingdings" w:hAnsi="Wingdings" w:hint="default"/>
      </w:rPr>
    </w:lvl>
    <w:lvl w:ilvl="3" w:tplc="0C489774" w:tentative="1">
      <w:start w:val="1"/>
      <w:numFmt w:val="bullet"/>
      <w:lvlText w:val=""/>
      <w:lvlJc w:val="left"/>
      <w:pPr>
        <w:ind w:left="3600" w:hanging="360"/>
      </w:pPr>
      <w:rPr>
        <w:rFonts w:ascii="Symbol" w:hAnsi="Symbol" w:hint="default"/>
      </w:rPr>
    </w:lvl>
    <w:lvl w:ilvl="4" w:tplc="CEA087EA" w:tentative="1">
      <w:start w:val="1"/>
      <w:numFmt w:val="bullet"/>
      <w:lvlText w:val="o"/>
      <w:lvlJc w:val="left"/>
      <w:pPr>
        <w:ind w:left="4320" w:hanging="360"/>
      </w:pPr>
      <w:rPr>
        <w:rFonts w:ascii="Courier New" w:hAnsi="Courier New" w:cs="Courier New" w:hint="default"/>
      </w:rPr>
    </w:lvl>
    <w:lvl w:ilvl="5" w:tplc="B9EAEF98" w:tentative="1">
      <w:start w:val="1"/>
      <w:numFmt w:val="bullet"/>
      <w:lvlText w:val=""/>
      <w:lvlJc w:val="left"/>
      <w:pPr>
        <w:ind w:left="5040" w:hanging="360"/>
      </w:pPr>
      <w:rPr>
        <w:rFonts w:ascii="Wingdings" w:hAnsi="Wingdings" w:hint="default"/>
      </w:rPr>
    </w:lvl>
    <w:lvl w:ilvl="6" w:tplc="23F4A95E" w:tentative="1">
      <w:start w:val="1"/>
      <w:numFmt w:val="bullet"/>
      <w:lvlText w:val=""/>
      <w:lvlJc w:val="left"/>
      <w:pPr>
        <w:ind w:left="5760" w:hanging="360"/>
      </w:pPr>
      <w:rPr>
        <w:rFonts w:ascii="Symbol" w:hAnsi="Symbol" w:hint="default"/>
      </w:rPr>
    </w:lvl>
    <w:lvl w:ilvl="7" w:tplc="FC342408" w:tentative="1">
      <w:start w:val="1"/>
      <w:numFmt w:val="bullet"/>
      <w:lvlText w:val="o"/>
      <w:lvlJc w:val="left"/>
      <w:pPr>
        <w:ind w:left="6480" w:hanging="360"/>
      </w:pPr>
      <w:rPr>
        <w:rFonts w:ascii="Courier New" w:hAnsi="Courier New" w:cs="Courier New" w:hint="default"/>
      </w:rPr>
    </w:lvl>
    <w:lvl w:ilvl="8" w:tplc="AE2ECABE" w:tentative="1">
      <w:start w:val="1"/>
      <w:numFmt w:val="bullet"/>
      <w:lvlText w:val=""/>
      <w:lvlJc w:val="left"/>
      <w:pPr>
        <w:ind w:left="7200" w:hanging="360"/>
      </w:pPr>
      <w:rPr>
        <w:rFonts w:ascii="Wingdings" w:hAnsi="Wingdings" w:hint="default"/>
      </w:rPr>
    </w:lvl>
  </w:abstractNum>
  <w:abstractNum w:abstractNumId="67" w15:restartNumberingAfterBreak="0">
    <w:nsid w:val="47CC2EAC"/>
    <w:multiLevelType w:val="hybridMultilevel"/>
    <w:tmpl w:val="6E366E20"/>
    <w:lvl w:ilvl="0" w:tplc="19D09EBA">
      <w:start w:val="1"/>
      <w:numFmt w:val="bullet"/>
      <w:lvlText w:val=""/>
      <w:lvlJc w:val="left"/>
      <w:pPr>
        <w:ind w:left="720" w:hanging="360"/>
      </w:pPr>
      <w:rPr>
        <w:rFonts w:ascii="Symbol" w:hAnsi="Symbol" w:hint="default"/>
      </w:rPr>
    </w:lvl>
    <w:lvl w:ilvl="1" w:tplc="BA9C958E" w:tentative="1">
      <w:start w:val="1"/>
      <w:numFmt w:val="bullet"/>
      <w:lvlText w:val="o"/>
      <w:lvlJc w:val="left"/>
      <w:pPr>
        <w:ind w:left="1440" w:hanging="360"/>
      </w:pPr>
      <w:rPr>
        <w:rFonts w:ascii="Courier New" w:hAnsi="Courier New" w:cs="Courier New" w:hint="default"/>
      </w:rPr>
    </w:lvl>
    <w:lvl w:ilvl="2" w:tplc="DBDC24D0" w:tentative="1">
      <w:start w:val="1"/>
      <w:numFmt w:val="bullet"/>
      <w:lvlText w:val=""/>
      <w:lvlJc w:val="left"/>
      <w:pPr>
        <w:ind w:left="2160" w:hanging="360"/>
      </w:pPr>
      <w:rPr>
        <w:rFonts w:ascii="Wingdings" w:hAnsi="Wingdings" w:hint="default"/>
      </w:rPr>
    </w:lvl>
    <w:lvl w:ilvl="3" w:tplc="AE06A86A" w:tentative="1">
      <w:start w:val="1"/>
      <w:numFmt w:val="bullet"/>
      <w:lvlText w:val=""/>
      <w:lvlJc w:val="left"/>
      <w:pPr>
        <w:ind w:left="2880" w:hanging="360"/>
      </w:pPr>
      <w:rPr>
        <w:rFonts w:ascii="Symbol" w:hAnsi="Symbol" w:hint="default"/>
      </w:rPr>
    </w:lvl>
    <w:lvl w:ilvl="4" w:tplc="616E49AE" w:tentative="1">
      <w:start w:val="1"/>
      <w:numFmt w:val="bullet"/>
      <w:lvlText w:val="o"/>
      <w:lvlJc w:val="left"/>
      <w:pPr>
        <w:ind w:left="3600" w:hanging="360"/>
      </w:pPr>
      <w:rPr>
        <w:rFonts w:ascii="Courier New" w:hAnsi="Courier New" w:cs="Courier New" w:hint="default"/>
      </w:rPr>
    </w:lvl>
    <w:lvl w:ilvl="5" w:tplc="2D8818E0" w:tentative="1">
      <w:start w:val="1"/>
      <w:numFmt w:val="bullet"/>
      <w:lvlText w:val=""/>
      <w:lvlJc w:val="left"/>
      <w:pPr>
        <w:ind w:left="4320" w:hanging="360"/>
      </w:pPr>
      <w:rPr>
        <w:rFonts w:ascii="Wingdings" w:hAnsi="Wingdings" w:hint="default"/>
      </w:rPr>
    </w:lvl>
    <w:lvl w:ilvl="6" w:tplc="947AB924" w:tentative="1">
      <w:start w:val="1"/>
      <w:numFmt w:val="bullet"/>
      <w:lvlText w:val=""/>
      <w:lvlJc w:val="left"/>
      <w:pPr>
        <w:ind w:left="5040" w:hanging="360"/>
      </w:pPr>
      <w:rPr>
        <w:rFonts w:ascii="Symbol" w:hAnsi="Symbol" w:hint="default"/>
      </w:rPr>
    </w:lvl>
    <w:lvl w:ilvl="7" w:tplc="2D86D6A6" w:tentative="1">
      <w:start w:val="1"/>
      <w:numFmt w:val="bullet"/>
      <w:lvlText w:val="o"/>
      <w:lvlJc w:val="left"/>
      <w:pPr>
        <w:ind w:left="5760" w:hanging="360"/>
      </w:pPr>
      <w:rPr>
        <w:rFonts w:ascii="Courier New" w:hAnsi="Courier New" w:cs="Courier New" w:hint="default"/>
      </w:rPr>
    </w:lvl>
    <w:lvl w:ilvl="8" w:tplc="5CB03904" w:tentative="1">
      <w:start w:val="1"/>
      <w:numFmt w:val="bullet"/>
      <w:lvlText w:val=""/>
      <w:lvlJc w:val="left"/>
      <w:pPr>
        <w:ind w:left="6480" w:hanging="360"/>
      </w:pPr>
      <w:rPr>
        <w:rFonts w:ascii="Wingdings" w:hAnsi="Wingdings" w:hint="default"/>
      </w:rPr>
    </w:lvl>
  </w:abstractNum>
  <w:abstractNum w:abstractNumId="68" w15:restartNumberingAfterBreak="0">
    <w:nsid w:val="483156A8"/>
    <w:multiLevelType w:val="hybridMultilevel"/>
    <w:tmpl w:val="1930A146"/>
    <w:lvl w:ilvl="0" w:tplc="1798851C">
      <w:start w:val="1"/>
      <w:numFmt w:val="lowerLetter"/>
      <w:pStyle w:val="TableFootnoteLetter"/>
      <w:lvlText w:val="%1"/>
      <w:lvlJc w:val="left"/>
      <w:pPr>
        <w:ind w:left="360" w:hanging="360"/>
      </w:pPr>
      <w:rPr>
        <w:rFonts w:ascii="Times New Roman" w:hAnsi="Times New Roman" w:cs="Times New Roman" w:hint="default"/>
        <w:b w:val="0"/>
        <w:i w:val="0"/>
        <w:caps w:val="0"/>
        <w:sz w:val="16"/>
        <w:u w:val="none"/>
        <w:vertAlign w:val="superscript"/>
      </w:rPr>
    </w:lvl>
    <w:lvl w:ilvl="1" w:tplc="E8884C54" w:tentative="1">
      <w:start w:val="1"/>
      <w:numFmt w:val="lowerLetter"/>
      <w:lvlText w:val="%2."/>
      <w:lvlJc w:val="left"/>
      <w:pPr>
        <w:ind w:left="1440" w:hanging="360"/>
      </w:pPr>
    </w:lvl>
    <w:lvl w:ilvl="2" w:tplc="C8108360" w:tentative="1">
      <w:start w:val="1"/>
      <w:numFmt w:val="lowerRoman"/>
      <w:lvlText w:val="%3."/>
      <w:lvlJc w:val="right"/>
      <w:pPr>
        <w:ind w:left="2160" w:hanging="180"/>
      </w:pPr>
    </w:lvl>
    <w:lvl w:ilvl="3" w:tplc="78E42602" w:tentative="1">
      <w:start w:val="1"/>
      <w:numFmt w:val="decimal"/>
      <w:lvlText w:val="%4."/>
      <w:lvlJc w:val="left"/>
      <w:pPr>
        <w:ind w:left="2880" w:hanging="360"/>
      </w:pPr>
    </w:lvl>
    <w:lvl w:ilvl="4" w:tplc="94AE446E" w:tentative="1">
      <w:start w:val="1"/>
      <w:numFmt w:val="lowerLetter"/>
      <w:lvlText w:val="%5."/>
      <w:lvlJc w:val="left"/>
      <w:pPr>
        <w:ind w:left="3600" w:hanging="360"/>
      </w:pPr>
    </w:lvl>
    <w:lvl w:ilvl="5" w:tplc="A78A0B5A" w:tentative="1">
      <w:start w:val="1"/>
      <w:numFmt w:val="lowerRoman"/>
      <w:lvlText w:val="%6."/>
      <w:lvlJc w:val="right"/>
      <w:pPr>
        <w:ind w:left="4320" w:hanging="180"/>
      </w:pPr>
    </w:lvl>
    <w:lvl w:ilvl="6" w:tplc="EBA252CC" w:tentative="1">
      <w:start w:val="1"/>
      <w:numFmt w:val="decimal"/>
      <w:lvlText w:val="%7."/>
      <w:lvlJc w:val="left"/>
      <w:pPr>
        <w:ind w:left="5040" w:hanging="360"/>
      </w:pPr>
    </w:lvl>
    <w:lvl w:ilvl="7" w:tplc="C3C4E1DA" w:tentative="1">
      <w:start w:val="1"/>
      <w:numFmt w:val="lowerLetter"/>
      <w:lvlText w:val="%8."/>
      <w:lvlJc w:val="left"/>
      <w:pPr>
        <w:ind w:left="5760" w:hanging="360"/>
      </w:pPr>
    </w:lvl>
    <w:lvl w:ilvl="8" w:tplc="E97E1A86" w:tentative="1">
      <w:start w:val="1"/>
      <w:numFmt w:val="lowerRoman"/>
      <w:lvlText w:val="%9."/>
      <w:lvlJc w:val="right"/>
      <w:pPr>
        <w:ind w:left="6480" w:hanging="180"/>
      </w:pPr>
    </w:lvl>
  </w:abstractNum>
  <w:abstractNum w:abstractNumId="69" w15:restartNumberingAfterBreak="0">
    <w:nsid w:val="4CAF10E2"/>
    <w:multiLevelType w:val="hybridMultilevel"/>
    <w:tmpl w:val="7ED8C2A6"/>
    <w:lvl w:ilvl="0" w:tplc="FF028676">
      <w:start w:val="1"/>
      <w:numFmt w:val="bullet"/>
      <w:lvlText w:val=""/>
      <w:lvlJc w:val="left"/>
      <w:pPr>
        <w:tabs>
          <w:tab w:val="num" w:pos="470"/>
        </w:tabs>
        <w:ind w:left="470" w:hanging="360"/>
      </w:pPr>
      <w:rPr>
        <w:rFonts w:ascii="Symbol" w:hAnsi="Symbol" w:hint="default"/>
      </w:rPr>
    </w:lvl>
    <w:lvl w:ilvl="1" w:tplc="C132435A">
      <w:start w:val="1"/>
      <w:numFmt w:val="bullet"/>
      <w:lvlText w:val="o"/>
      <w:lvlJc w:val="left"/>
      <w:pPr>
        <w:tabs>
          <w:tab w:val="num" w:pos="2520"/>
        </w:tabs>
        <w:ind w:left="2520" w:hanging="360"/>
      </w:pPr>
      <w:rPr>
        <w:rFonts w:ascii="Courier New" w:hAnsi="Courier New" w:hint="default"/>
      </w:rPr>
    </w:lvl>
    <w:lvl w:ilvl="2" w:tplc="36747198">
      <w:start w:val="1"/>
      <w:numFmt w:val="bullet"/>
      <w:lvlText w:val=""/>
      <w:lvlJc w:val="left"/>
      <w:pPr>
        <w:tabs>
          <w:tab w:val="num" w:pos="3240"/>
        </w:tabs>
        <w:ind w:left="3240" w:hanging="360"/>
      </w:pPr>
      <w:rPr>
        <w:rFonts w:ascii="Symbol" w:hAnsi="Symbol" w:hint="default"/>
      </w:rPr>
    </w:lvl>
    <w:lvl w:ilvl="3" w:tplc="2FCADBD8" w:tentative="1">
      <w:start w:val="1"/>
      <w:numFmt w:val="bullet"/>
      <w:lvlText w:val=""/>
      <w:lvlJc w:val="left"/>
      <w:pPr>
        <w:tabs>
          <w:tab w:val="num" w:pos="3960"/>
        </w:tabs>
        <w:ind w:left="3960" w:hanging="360"/>
      </w:pPr>
      <w:rPr>
        <w:rFonts w:ascii="Symbol" w:hAnsi="Symbol" w:hint="default"/>
      </w:rPr>
    </w:lvl>
    <w:lvl w:ilvl="4" w:tplc="A9BE6D6A" w:tentative="1">
      <w:start w:val="1"/>
      <w:numFmt w:val="bullet"/>
      <w:lvlText w:val="o"/>
      <w:lvlJc w:val="left"/>
      <w:pPr>
        <w:tabs>
          <w:tab w:val="num" w:pos="4680"/>
        </w:tabs>
        <w:ind w:left="4680" w:hanging="360"/>
      </w:pPr>
      <w:rPr>
        <w:rFonts w:ascii="Courier New" w:hAnsi="Courier New" w:hint="default"/>
      </w:rPr>
    </w:lvl>
    <w:lvl w:ilvl="5" w:tplc="F3A6E1DE" w:tentative="1">
      <w:start w:val="1"/>
      <w:numFmt w:val="bullet"/>
      <w:lvlText w:val=""/>
      <w:lvlJc w:val="left"/>
      <w:pPr>
        <w:tabs>
          <w:tab w:val="num" w:pos="5400"/>
        </w:tabs>
        <w:ind w:left="5400" w:hanging="360"/>
      </w:pPr>
      <w:rPr>
        <w:rFonts w:ascii="Wingdings" w:hAnsi="Wingdings" w:hint="default"/>
      </w:rPr>
    </w:lvl>
    <w:lvl w:ilvl="6" w:tplc="A4A829F8" w:tentative="1">
      <w:start w:val="1"/>
      <w:numFmt w:val="bullet"/>
      <w:lvlText w:val=""/>
      <w:lvlJc w:val="left"/>
      <w:pPr>
        <w:tabs>
          <w:tab w:val="num" w:pos="6120"/>
        </w:tabs>
        <w:ind w:left="6120" w:hanging="360"/>
      </w:pPr>
      <w:rPr>
        <w:rFonts w:ascii="Symbol" w:hAnsi="Symbol" w:hint="default"/>
      </w:rPr>
    </w:lvl>
    <w:lvl w:ilvl="7" w:tplc="5FA6D058" w:tentative="1">
      <w:start w:val="1"/>
      <w:numFmt w:val="bullet"/>
      <w:lvlText w:val="o"/>
      <w:lvlJc w:val="left"/>
      <w:pPr>
        <w:tabs>
          <w:tab w:val="num" w:pos="6840"/>
        </w:tabs>
        <w:ind w:left="6840" w:hanging="360"/>
      </w:pPr>
      <w:rPr>
        <w:rFonts w:ascii="Courier New" w:hAnsi="Courier New" w:hint="default"/>
      </w:rPr>
    </w:lvl>
    <w:lvl w:ilvl="8" w:tplc="6B94A452" w:tentative="1">
      <w:start w:val="1"/>
      <w:numFmt w:val="bullet"/>
      <w:lvlText w:val=""/>
      <w:lvlJc w:val="left"/>
      <w:pPr>
        <w:tabs>
          <w:tab w:val="num" w:pos="7560"/>
        </w:tabs>
        <w:ind w:left="7560" w:hanging="360"/>
      </w:pPr>
      <w:rPr>
        <w:rFonts w:ascii="Wingdings" w:hAnsi="Wingdings" w:hint="default"/>
      </w:rPr>
    </w:lvl>
  </w:abstractNum>
  <w:abstractNum w:abstractNumId="70" w15:restartNumberingAfterBreak="0">
    <w:nsid w:val="4D2540E6"/>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71" w15:restartNumberingAfterBreak="0">
    <w:nsid w:val="4E35168C"/>
    <w:multiLevelType w:val="hybridMultilevel"/>
    <w:tmpl w:val="612C56EC"/>
    <w:lvl w:ilvl="0" w:tplc="ACE089CE">
      <w:start w:val="1"/>
      <w:numFmt w:val="lowerLetter"/>
      <w:lvlText w:val="%1"/>
      <w:lvlJc w:val="left"/>
      <w:pPr>
        <w:ind w:left="720" w:hanging="360"/>
      </w:pPr>
      <w:rPr>
        <w:rFonts w:hint="default"/>
        <w:vertAlign w:val="superscript"/>
      </w:rPr>
    </w:lvl>
    <w:lvl w:ilvl="1" w:tplc="240099A4" w:tentative="1">
      <w:start w:val="1"/>
      <w:numFmt w:val="lowerLetter"/>
      <w:lvlText w:val="%2."/>
      <w:lvlJc w:val="left"/>
      <w:pPr>
        <w:ind w:left="1440" w:hanging="360"/>
      </w:pPr>
    </w:lvl>
    <w:lvl w:ilvl="2" w:tplc="D2BE3DAE" w:tentative="1">
      <w:start w:val="1"/>
      <w:numFmt w:val="lowerRoman"/>
      <w:lvlText w:val="%3."/>
      <w:lvlJc w:val="right"/>
      <w:pPr>
        <w:ind w:left="2160" w:hanging="180"/>
      </w:pPr>
    </w:lvl>
    <w:lvl w:ilvl="3" w:tplc="9D36A66A" w:tentative="1">
      <w:start w:val="1"/>
      <w:numFmt w:val="decimal"/>
      <w:lvlText w:val="%4."/>
      <w:lvlJc w:val="left"/>
      <w:pPr>
        <w:ind w:left="2880" w:hanging="360"/>
      </w:pPr>
    </w:lvl>
    <w:lvl w:ilvl="4" w:tplc="B3B0D6A0" w:tentative="1">
      <w:start w:val="1"/>
      <w:numFmt w:val="lowerLetter"/>
      <w:lvlText w:val="%5."/>
      <w:lvlJc w:val="left"/>
      <w:pPr>
        <w:ind w:left="3600" w:hanging="360"/>
      </w:pPr>
    </w:lvl>
    <w:lvl w:ilvl="5" w:tplc="3CAC181E" w:tentative="1">
      <w:start w:val="1"/>
      <w:numFmt w:val="lowerRoman"/>
      <w:lvlText w:val="%6."/>
      <w:lvlJc w:val="right"/>
      <w:pPr>
        <w:ind w:left="4320" w:hanging="180"/>
      </w:pPr>
    </w:lvl>
    <w:lvl w:ilvl="6" w:tplc="7EACEF4E" w:tentative="1">
      <w:start w:val="1"/>
      <w:numFmt w:val="decimal"/>
      <w:lvlText w:val="%7."/>
      <w:lvlJc w:val="left"/>
      <w:pPr>
        <w:ind w:left="5040" w:hanging="360"/>
      </w:pPr>
    </w:lvl>
    <w:lvl w:ilvl="7" w:tplc="087CFEE4" w:tentative="1">
      <w:start w:val="1"/>
      <w:numFmt w:val="lowerLetter"/>
      <w:lvlText w:val="%8."/>
      <w:lvlJc w:val="left"/>
      <w:pPr>
        <w:ind w:left="5760" w:hanging="360"/>
      </w:pPr>
    </w:lvl>
    <w:lvl w:ilvl="8" w:tplc="26889C92" w:tentative="1">
      <w:start w:val="1"/>
      <w:numFmt w:val="lowerRoman"/>
      <w:lvlText w:val="%9."/>
      <w:lvlJc w:val="right"/>
      <w:pPr>
        <w:ind w:left="6480" w:hanging="180"/>
      </w:pPr>
    </w:lvl>
  </w:abstractNum>
  <w:abstractNum w:abstractNumId="72" w15:restartNumberingAfterBreak="0">
    <w:nsid w:val="4E5B4C5C"/>
    <w:multiLevelType w:val="hybridMultilevel"/>
    <w:tmpl w:val="5B403C28"/>
    <w:lvl w:ilvl="0" w:tplc="51EEA82A">
      <w:start w:val="1"/>
      <w:numFmt w:val="bullet"/>
      <w:lvlText w:val=""/>
      <w:lvlJc w:val="left"/>
      <w:pPr>
        <w:tabs>
          <w:tab w:val="num" w:pos="690"/>
        </w:tabs>
        <w:ind w:left="690" w:hanging="360"/>
      </w:pPr>
      <w:rPr>
        <w:rFonts w:ascii="Symbol" w:hAnsi="Symbol" w:hint="default"/>
      </w:rPr>
    </w:lvl>
    <w:lvl w:ilvl="1" w:tplc="D720990E">
      <w:start w:val="1"/>
      <w:numFmt w:val="bullet"/>
      <w:lvlText w:val=""/>
      <w:lvlJc w:val="left"/>
      <w:pPr>
        <w:tabs>
          <w:tab w:val="num" w:pos="1440"/>
        </w:tabs>
        <w:ind w:left="1440" w:hanging="360"/>
      </w:pPr>
      <w:rPr>
        <w:rFonts w:ascii="Symbol" w:hAnsi="Symbol" w:hint="default"/>
        <w:sz w:val="22"/>
      </w:rPr>
    </w:lvl>
    <w:lvl w:ilvl="2" w:tplc="57EC4D20" w:tentative="1">
      <w:start w:val="1"/>
      <w:numFmt w:val="bullet"/>
      <w:lvlText w:val=""/>
      <w:lvlJc w:val="left"/>
      <w:pPr>
        <w:tabs>
          <w:tab w:val="num" w:pos="2160"/>
        </w:tabs>
        <w:ind w:left="2160" w:hanging="360"/>
      </w:pPr>
      <w:rPr>
        <w:rFonts w:ascii="Wingdings" w:hAnsi="Wingdings" w:hint="default"/>
      </w:rPr>
    </w:lvl>
    <w:lvl w:ilvl="3" w:tplc="4A448378" w:tentative="1">
      <w:start w:val="1"/>
      <w:numFmt w:val="bullet"/>
      <w:lvlText w:val=""/>
      <w:lvlJc w:val="left"/>
      <w:pPr>
        <w:tabs>
          <w:tab w:val="num" w:pos="2880"/>
        </w:tabs>
        <w:ind w:left="2880" w:hanging="360"/>
      </w:pPr>
      <w:rPr>
        <w:rFonts w:ascii="Symbol" w:hAnsi="Symbol" w:hint="default"/>
      </w:rPr>
    </w:lvl>
    <w:lvl w:ilvl="4" w:tplc="FD3A3476" w:tentative="1">
      <w:start w:val="1"/>
      <w:numFmt w:val="bullet"/>
      <w:lvlText w:val="o"/>
      <w:lvlJc w:val="left"/>
      <w:pPr>
        <w:tabs>
          <w:tab w:val="num" w:pos="3600"/>
        </w:tabs>
        <w:ind w:left="3600" w:hanging="360"/>
      </w:pPr>
      <w:rPr>
        <w:rFonts w:ascii="Courier New" w:hAnsi="Courier New" w:hint="default"/>
      </w:rPr>
    </w:lvl>
    <w:lvl w:ilvl="5" w:tplc="DD3CFDD2" w:tentative="1">
      <w:start w:val="1"/>
      <w:numFmt w:val="bullet"/>
      <w:lvlText w:val=""/>
      <w:lvlJc w:val="left"/>
      <w:pPr>
        <w:tabs>
          <w:tab w:val="num" w:pos="4320"/>
        </w:tabs>
        <w:ind w:left="4320" w:hanging="360"/>
      </w:pPr>
      <w:rPr>
        <w:rFonts w:ascii="Wingdings" w:hAnsi="Wingdings" w:hint="default"/>
      </w:rPr>
    </w:lvl>
    <w:lvl w:ilvl="6" w:tplc="08FE4604" w:tentative="1">
      <w:start w:val="1"/>
      <w:numFmt w:val="bullet"/>
      <w:lvlText w:val=""/>
      <w:lvlJc w:val="left"/>
      <w:pPr>
        <w:tabs>
          <w:tab w:val="num" w:pos="5040"/>
        </w:tabs>
        <w:ind w:left="5040" w:hanging="360"/>
      </w:pPr>
      <w:rPr>
        <w:rFonts w:ascii="Symbol" w:hAnsi="Symbol" w:hint="default"/>
      </w:rPr>
    </w:lvl>
    <w:lvl w:ilvl="7" w:tplc="8152BAFC" w:tentative="1">
      <w:start w:val="1"/>
      <w:numFmt w:val="bullet"/>
      <w:lvlText w:val="o"/>
      <w:lvlJc w:val="left"/>
      <w:pPr>
        <w:tabs>
          <w:tab w:val="num" w:pos="5760"/>
        </w:tabs>
        <w:ind w:left="5760" w:hanging="360"/>
      </w:pPr>
      <w:rPr>
        <w:rFonts w:ascii="Courier New" w:hAnsi="Courier New" w:hint="default"/>
      </w:rPr>
    </w:lvl>
    <w:lvl w:ilvl="8" w:tplc="CBEA5516"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F164A4A"/>
    <w:multiLevelType w:val="hybridMultilevel"/>
    <w:tmpl w:val="2C32CBC2"/>
    <w:lvl w:ilvl="0" w:tplc="CA0CC3AC">
      <w:start w:val="1"/>
      <w:numFmt w:val="bullet"/>
      <w:lvlText w:val=""/>
      <w:lvlJc w:val="left"/>
      <w:pPr>
        <w:tabs>
          <w:tab w:val="num" w:pos="690"/>
        </w:tabs>
        <w:ind w:left="690" w:hanging="360"/>
      </w:pPr>
      <w:rPr>
        <w:rFonts w:ascii="Symbol" w:hAnsi="Symbol" w:hint="default"/>
      </w:rPr>
    </w:lvl>
    <w:lvl w:ilvl="1" w:tplc="3F32F62C" w:tentative="1">
      <w:start w:val="1"/>
      <w:numFmt w:val="bullet"/>
      <w:lvlText w:val="o"/>
      <w:lvlJc w:val="left"/>
      <w:pPr>
        <w:tabs>
          <w:tab w:val="num" w:pos="1440"/>
        </w:tabs>
        <w:ind w:left="1440" w:hanging="360"/>
      </w:pPr>
      <w:rPr>
        <w:rFonts w:ascii="Courier New" w:hAnsi="Courier New" w:hint="default"/>
      </w:rPr>
    </w:lvl>
    <w:lvl w:ilvl="2" w:tplc="784A3246" w:tentative="1">
      <w:start w:val="1"/>
      <w:numFmt w:val="bullet"/>
      <w:lvlText w:val=""/>
      <w:lvlJc w:val="left"/>
      <w:pPr>
        <w:tabs>
          <w:tab w:val="num" w:pos="2160"/>
        </w:tabs>
        <w:ind w:left="2160" w:hanging="360"/>
      </w:pPr>
      <w:rPr>
        <w:rFonts w:ascii="Wingdings" w:hAnsi="Wingdings" w:hint="default"/>
      </w:rPr>
    </w:lvl>
    <w:lvl w:ilvl="3" w:tplc="0EBED714" w:tentative="1">
      <w:start w:val="1"/>
      <w:numFmt w:val="bullet"/>
      <w:lvlText w:val=""/>
      <w:lvlJc w:val="left"/>
      <w:pPr>
        <w:tabs>
          <w:tab w:val="num" w:pos="2880"/>
        </w:tabs>
        <w:ind w:left="2880" w:hanging="360"/>
      </w:pPr>
      <w:rPr>
        <w:rFonts w:ascii="Symbol" w:hAnsi="Symbol" w:hint="default"/>
      </w:rPr>
    </w:lvl>
    <w:lvl w:ilvl="4" w:tplc="D9A4E69A" w:tentative="1">
      <w:start w:val="1"/>
      <w:numFmt w:val="bullet"/>
      <w:lvlText w:val="o"/>
      <w:lvlJc w:val="left"/>
      <w:pPr>
        <w:tabs>
          <w:tab w:val="num" w:pos="3600"/>
        </w:tabs>
        <w:ind w:left="3600" w:hanging="360"/>
      </w:pPr>
      <w:rPr>
        <w:rFonts w:ascii="Courier New" w:hAnsi="Courier New" w:hint="default"/>
      </w:rPr>
    </w:lvl>
    <w:lvl w:ilvl="5" w:tplc="1D90A2EC" w:tentative="1">
      <w:start w:val="1"/>
      <w:numFmt w:val="bullet"/>
      <w:lvlText w:val=""/>
      <w:lvlJc w:val="left"/>
      <w:pPr>
        <w:tabs>
          <w:tab w:val="num" w:pos="4320"/>
        </w:tabs>
        <w:ind w:left="4320" w:hanging="360"/>
      </w:pPr>
      <w:rPr>
        <w:rFonts w:ascii="Wingdings" w:hAnsi="Wingdings" w:hint="default"/>
      </w:rPr>
    </w:lvl>
    <w:lvl w:ilvl="6" w:tplc="B44669EA" w:tentative="1">
      <w:start w:val="1"/>
      <w:numFmt w:val="bullet"/>
      <w:lvlText w:val=""/>
      <w:lvlJc w:val="left"/>
      <w:pPr>
        <w:tabs>
          <w:tab w:val="num" w:pos="5040"/>
        </w:tabs>
        <w:ind w:left="5040" w:hanging="360"/>
      </w:pPr>
      <w:rPr>
        <w:rFonts w:ascii="Symbol" w:hAnsi="Symbol" w:hint="default"/>
      </w:rPr>
    </w:lvl>
    <w:lvl w:ilvl="7" w:tplc="D0AA8B0C" w:tentative="1">
      <w:start w:val="1"/>
      <w:numFmt w:val="bullet"/>
      <w:lvlText w:val="o"/>
      <w:lvlJc w:val="left"/>
      <w:pPr>
        <w:tabs>
          <w:tab w:val="num" w:pos="5760"/>
        </w:tabs>
        <w:ind w:left="5760" w:hanging="360"/>
      </w:pPr>
      <w:rPr>
        <w:rFonts w:ascii="Courier New" w:hAnsi="Courier New" w:hint="default"/>
      </w:rPr>
    </w:lvl>
    <w:lvl w:ilvl="8" w:tplc="F55A0294"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0C61320"/>
    <w:multiLevelType w:val="hybridMultilevel"/>
    <w:tmpl w:val="B3DA4762"/>
    <w:lvl w:ilvl="0" w:tplc="7A5EFCC4">
      <w:start w:val="1"/>
      <w:numFmt w:val="bullet"/>
      <w:lvlText w:val=""/>
      <w:lvlJc w:val="left"/>
      <w:pPr>
        <w:ind w:left="720" w:hanging="360"/>
      </w:pPr>
      <w:rPr>
        <w:rFonts w:ascii="Symbol" w:hAnsi="Symbol" w:hint="default"/>
      </w:rPr>
    </w:lvl>
    <w:lvl w:ilvl="1" w:tplc="9D02BAE8" w:tentative="1">
      <w:start w:val="1"/>
      <w:numFmt w:val="bullet"/>
      <w:lvlText w:val="o"/>
      <w:lvlJc w:val="left"/>
      <w:pPr>
        <w:ind w:left="1440" w:hanging="360"/>
      </w:pPr>
      <w:rPr>
        <w:rFonts w:ascii="Courier New" w:hAnsi="Courier New" w:cs="Courier New" w:hint="default"/>
      </w:rPr>
    </w:lvl>
    <w:lvl w:ilvl="2" w:tplc="E4286BA2" w:tentative="1">
      <w:start w:val="1"/>
      <w:numFmt w:val="bullet"/>
      <w:lvlText w:val=""/>
      <w:lvlJc w:val="left"/>
      <w:pPr>
        <w:ind w:left="2160" w:hanging="360"/>
      </w:pPr>
      <w:rPr>
        <w:rFonts w:ascii="Wingdings" w:hAnsi="Wingdings" w:hint="default"/>
      </w:rPr>
    </w:lvl>
    <w:lvl w:ilvl="3" w:tplc="A516DEE6" w:tentative="1">
      <w:start w:val="1"/>
      <w:numFmt w:val="bullet"/>
      <w:lvlText w:val=""/>
      <w:lvlJc w:val="left"/>
      <w:pPr>
        <w:ind w:left="2880" w:hanging="360"/>
      </w:pPr>
      <w:rPr>
        <w:rFonts w:ascii="Symbol" w:hAnsi="Symbol" w:hint="default"/>
      </w:rPr>
    </w:lvl>
    <w:lvl w:ilvl="4" w:tplc="985A58BC" w:tentative="1">
      <w:start w:val="1"/>
      <w:numFmt w:val="bullet"/>
      <w:lvlText w:val="o"/>
      <w:lvlJc w:val="left"/>
      <w:pPr>
        <w:ind w:left="3600" w:hanging="360"/>
      </w:pPr>
      <w:rPr>
        <w:rFonts w:ascii="Courier New" w:hAnsi="Courier New" w:cs="Courier New" w:hint="default"/>
      </w:rPr>
    </w:lvl>
    <w:lvl w:ilvl="5" w:tplc="A44A1A1A" w:tentative="1">
      <w:start w:val="1"/>
      <w:numFmt w:val="bullet"/>
      <w:lvlText w:val=""/>
      <w:lvlJc w:val="left"/>
      <w:pPr>
        <w:ind w:left="4320" w:hanging="360"/>
      </w:pPr>
      <w:rPr>
        <w:rFonts w:ascii="Wingdings" w:hAnsi="Wingdings" w:hint="default"/>
      </w:rPr>
    </w:lvl>
    <w:lvl w:ilvl="6" w:tplc="B3147730" w:tentative="1">
      <w:start w:val="1"/>
      <w:numFmt w:val="bullet"/>
      <w:lvlText w:val=""/>
      <w:lvlJc w:val="left"/>
      <w:pPr>
        <w:ind w:left="5040" w:hanging="360"/>
      </w:pPr>
      <w:rPr>
        <w:rFonts w:ascii="Symbol" w:hAnsi="Symbol" w:hint="default"/>
      </w:rPr>
    </w:lvl>
    <w:lvl w:ilvl="7" w:tplc="EDF44AF6" w:tentative="1">
      <w:start w:val="1"/>
      <w:numFmt w:val="bullet"/>
      <w:lvlText w:val="o"/>
      <w:lvlJc w:val="left"/>
      <w:pPr>
        <w:ind w:left="5760" w:hanging="360"/>
      </w:pPr>
      <w:rPr>
        <w:rFonts w:ascii="Courier New" w:hAnsi="Courier New" w:cs="Courier New" w:hint="default"/>
      </w:rPr>
    </w:lvl>
    <w:lvl w:ilvl="8" w:tplc="0BF402EE" w:tentative="1">
      <w:start w:val="1"/>
      <w:numFmt w:val="bullet"/>
      <w:lvlText w:val=""/>
      <w:lvlJc w:val="left"/>
      <w:pPr>
        <w:ind w:left="6480" w:hanging="360"/>
      </w:pPr>
      <w:rPr>
        <w:rFonts w:ascii="Wingdings" w:hAnsi="Wingdings" w:hint="default"/>
      </w:rPr>
    </w:lvl>
  </w:abstractNum>
  <w:abstractNum w:abstractNumId="75" w15:restartNumberingAfterBreak="0">
    <w:nsid w:val="52037123"/>
    <w:multiLevelType w:val="hybridMultilevel"/>
    <w:tmpl w:val="379CEE66"/>
    <w:lvl w:ilvl="0" w:tplc="4C26DEE6">
      <w:start w:val="1"/>
      <w:numFmt w:val="bullet"/>
      <w:lvlText w:val=""/>
      <w:lvlJc w:val="left"/>
      <w:pPr>
        <w:ind w:left="720" w:hanging="360"/>
      </w:pPr>
      <w:rPr>
        <w:rFonts w:ascii="Symbol" w:hAnsi="Symbol" w:hint="default"/>
      </w:rPr>
    </w:lvl>
    <w:lvl w:ilvl="1" w:tplc="E2FA249E" w:tentative="1">
      <w:start w:val="1"/>
      <w:numFmt w:val="bullet"/>
      <w:lvlText w:val="o"/>
      <w:lvlJc w:val="left"/>
      <w:pPr>
        <w:ind w:left="1440" w:hanging="360"/>
      </w:pPr>
      <w:rPr>
        <w:rFonts w:ascii="Courier New" w:hAnsi="Courier New" w:cs="Courier New" w:hint="default"/>
      </w:rPr>
    </w:lvl>
    <w:lvl w:ilvl="2" w:tplc="0A6C2052" w:tentative="1">
      <w:start w:val="1"/>
      <w:numFmt w:val="bullet"/>
      <w:lvlText w:val=""/>
      <w:lvlJc w:val="left"/>
      <w:pPr>
        <w:ind w:left="2160" w:hanging="360"/>
      </w:pPr>
      <w:rPr>
        <w:rFonts w:ascii="Wingdings" w:hAnsi="Wingdings" w:hint="default"/>
      </w:rPr>
    </w:lvl>
    <w:lvl w:ilvl="3" w:tplc="2E7A6854" w:tentative="1">
      <w:start w:val="1"/>
      <w:numFmt w:val="bullet"/>
      <w:lvlText w:val=""/>
      <w:lvlJc w:val="left"/>
      <w:pPr>
        <w:ind w:left="2880" w:hanging="360"/>
      </w:pPr>
      <w:rPr>
        <w:rFonts w:ascii="Symbol" w:hAnsi="Symbol" w:hint="default"/>
      </w:rPr>
    </w:lvl>
    <w:lvl w:ilvl="4" w:tplc="F56AA37E" w:tentative="1">
      <w:start w:val="1"/>
      <w:numFmt w:val="bullet"/>
      <w:lvlText w:val="o"/>
      <w:lvlJc w:val="left"/>
      <w:pPr>
        <w:ind w:left="3600" w:hanging="360"/>
      </w:pPr>
      <w:rPr>
        <w:rFonts w:ascii="Courier New" w:hAnsi="Courier New" w:cs="Courier New" w:hint="default"/>
      </w:rPr>
    </w:lvl>
    <w:lvl w:ilvl="5" w:tplc="BC80318E" w:tentative="1">
      <w:start w:val="1"/>
      <w:numFmt w:val="bullet"/>
      <w:lvlText w:val=""/>
      <w:lvlJc w:val="left"/>
      <w:pPr>
        <w:ind w:left="4320" w:hanging="360"/>
      </w:pPr>
      <w:rPr>
        <w:rFonts w:ascii="Wingdings" w:hAnsi="Wingdings" w:hint="default"/>
      </w:rPr>
    </w:lvl>
    <w:lvl w:ilvl="6" w:tplc="9AE81E9A" w:tentative="1">
      <w:start w:val="1"/>
      <w:numFmt w:val="bullet"/>
      <w:lvlText w:val=""/>
      <w:lvlJc w:val="left"/>
      <w:pPr>
        <w:ind w:left="5040" w:hanging="360"/>
      </w:pPr>
      <w:rPr>
        <w:rFonts w:ascii="Symbol" w:hAnsi="Symbol" w:hint="default"/>
      </w:rPr>
    </w:lvl>
    <w:lvl w:ilvl="7" w:tplc="40682C40" w:tentative="1">
      <w:start w:val="1"/>
      <w:numFmt w:val="bullet"/>
      <w:lvlText w:val="o"/>
      <w:lvlJc w:val="left"/>
      <w:pPr>
        <w:ind w:left="5760" w:hanging="360"/>
      </w:pPr>
      <w:rPr>
        <w:rFonts w:ascii="Courier New" w:hAnsi="Courier New" w:cs="Courier New" w:hint="default"/>
      </w:rPr>
    </w:lvl>
    <w:lvl w:ilvl="8" w:tplc="FB40615C" w:tentative="1">
      <w:start w:val="1"/>
      <w:numFmt w:val="bullet"/>
      <w:lvlText w:val=""/>
      <w:lvlJc w:val="left"/>
      <w:pPr>
        <w:ind w:left="6480" w:hanging="360"/>
      </w:pPr>
      <w:rPr>
        <w:rFonts w:ascii="Wingdings" w:hAnsi="Wingdings" w:hint="default"/>
      </w:rPr>
    </w:lvl>
  </w:abstractNum>
  <w:abstractNum w:abstractNumId="76" w15:restartNumberingAfterBreak="0">
    <w:nsid w:val="529908E3"/>
    <w:multiLevelType w:val="hybridMultilevel"/>
    <w:tmpl w:val="386C06D0"/>
    <w:lvl w:ilvl="0" w:tplc="3618A03A">
      <w:start w:val="1"/>
      <w:numFmt w:val="bullet"/>
      <w:lvlText w:val=""/>
      <w:lvlJc w:val="left"/>
      <w:pPr>
        <w:tabs>
          <w:tab w:val="num" w:pos="720"/>
        </w:tabs>
        <w:ind w:left="720" w:hanging="360"/>
      </w:pPr>
      <w:rPr>
        <w:rFonts w:ascii="Symbol" w:hAnsi="Symbol" w:hint="default"/>
        <w:sz w:val="22"/>
      </w:rPr>
    </w:lvl>
    <w:lvl w:ilvl="1" w:tplc="685E578A">
      <w:start w:val="1"/>
      <w:numFmt w:val="bullet"/>
      <w:lvlText w:val="o"/>
      <w:lvlJc w:val="left"/>
      <w:pPr>
        <w:tabs>
          <w:tab w:val="num" w:pos="1440"/>
        </w:tabs>
        <w:ind w:left="1440" w:hanging="360"/>
      </w:pPr>
      <w:rPr>
        <w:rFonts w:ascii="Courier New" w:hAnsi="Courier New" w:hint="default"/>
      </w:rPr>
    </w:lvl>
    <w:lvl w:ilvl="2" w:tplc="D4E0137C" w:tentative="1">
      <w:start w:val="1"/>
      <w:numFmt w:val="bullet"/>
      <w:lvlText w:val=""/>
      <w:lvlJc w:val="left"/>
      <w:pPr>
        <w:tabs>
          <w:tab w:val="num" w:pos="2160"/>
        </w:tabs>
        <w:ind w:left="2160" w:hanging="360"/>
      </w:pPr>
      <w:rPr>
        <w:rFonts w:ascii="Wingdings" w:hAnsi="Wingdings" w:hint="default"/>
      </w:rPr>
    </w:lvl>
    <w:lvl w:ilvl="3" w:tplc="D910CFEE" w:tentative="1">
      <w:start w:val="1"/>
      <w:numFmt w:val="bullet"/>
      <w:lvlText w:val=""/>
      <w:lvlJc w:val="left"/>
      <w:pPr>
        <w:tabs>
          <w:tab w:val="num" w:pos="2880"/>
        </w:tabs>
        <w:ind w:left="2880" w:hanging="360"/>
      </w:pPr>
      <w:rPr>
        <w:rFonts w:ascii="Symbol" w:hAnsi="Symbol" w:hint="default"/>
      </w:rPr>
    </w:lvl>
    <w:lvl w:ilvl="4" w:tplc="59F6C666" w:tentative="1">
      <w:start w:val="1"/>
      <w:numFmt w:val="bullet"/>
      <w:lvlText w:val="o"/>
      <w:lvlJc w:val="left"/>
      <w:pPr>
        <w:tabs>
          <w:tab w:val="num" w:pos="3600"/>
        </w:tabs>
        <w:ind w:left="3600" w:hanging="360"/>
      </w:pPr>
      <w:rPr>
        <w:rFonts w:ascii="Courier New" w:hAnsi="Courier New" w:hint="default"/>
      </w:rPr>
    </w:lvl>
    <w:lvl w:ilvl="5" w:tplc="AAFC2B4A" w:tentative="1">
      <w:start w:val="1"/>
      <w:numFmt w:val="bullet"/>
      <w:lvlText w:val=""/>
      <w:lvlJc w:val="left"/>
      <w:pPr>
        <w:tabs>
          <w:tab w:val="num" w:pos="4320"/>
        </w:tabs>
        <w:ind w:left="4320" w:hanging="360"/>
      </w:pPr>
      <w:rPr>
        <w:rFonts w:ascii="Wingdings" w:hAnsi="Wingdings" w:hint="default"/>
      </w:rPr>
    </w:lvl>
    <w:lvl w:ilvl="6" w:tplc="180E4284" w:tentative="1">
      <w:start w:val="1"/>
      <w:numFmt w:val="bullet"/>
      <w:lvlText w:val=""/>
      <w:lvlJc w:val="left"/>
      <w:pPr>
        <w:tabs>
          <w:tab w:val="num" w:pos="5040"/>
        </w:tabs>
        <w:ind w:left="5040" w:hanging="360"/>
      </w:pPr>
      <w:rPr>
        <w:rFonts w:ascii="Symbol" w:hAnsi="Symbol" w:hint="default"/>
      </w:rPr>
    </w:lvl>
    <w:lvl w:ilvl="7" w:tplc="2CE23D8A" w:tentative="1">
      <w:start w:val="1"/>
      <w:numFmt w:val="bullet"/>
      <w:lvlText w:val="o"/>
      <w:lvlJc w:val="left"/>
      <w:pPr>
        <w:tabs>
          <w:tab w:val="num" w:pos="5760"/>
        </w:tabs>
        <w:ind w:left="5760" w:hanging="360"/>
      </w:pPr>
      <w:rPr>
        <w:rFonts w:ascii="Courier New" w:hAnsi="Courier New" w:hint="default"/>
      </w:rPr>
    </w:lvl>
    <w:lvl w:ilvl="8" w:tplc="533E049E"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2C8174D"/>
    <w:multiLevelType w:val="multilevel"/>
    <w:tmpl w:val="5AA28542"/>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78" w15:restartNumberingAfterBreak="0">
    <w:nsid w:val="549F2CF6"/>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79" w15:restartNumberingAfterBreak="0">
    <w:nsid w:val="54C959EC"/>
    <w:multiLevelType w:val="hybridMultilevel"/>
    <w:tmpl w:val="03E8318A"/>
    <w:lvl w:ilvl="0" w:tplc="09E60FCC">
      <w:start w:val="1"/>
      <w:numFmt w:val="bullet"/>
      <w:lvlText w:val=""/>
      <w:lvlJc w:val="left"/>
      <w:pPr>
        <w:tabs>
          <w:tab w:val="num" w:pos="690"/>
        </w:tabs>
        <w:ind w:left="690" w:hanging="360"/>
      </w:pPr>
      <w:rPr>
        <w:rFonts w:ascii="Symbol" w:hAnsi="Symbol" w:hint="default"/>
      </w:rPr>
    </w:lvl>
    <w:lvl w:ilvl="1" w:tplc="55A0324C">
      <w:start w:val="1"/>
      <w:numFmt w:val="bullet"/>
      <w:lvlText w:val=""/>
      <w:lvlJc w:val="left"/>
      <w:pPr>
        <w:tabs>
          <w:tab w:val="num" w:pos="1440"/>
        </w:tabs>
        <w:ind w:left="1440" w:hanging="360"/>
      </w:pPr>
      <w:rPr>
        <w:rFonts w:ascii="Symbol" w:hAnsi="Symbol" w:hint="default"/>
        <w:sz w:val="22"/>
      </w:rPr>
    </w:lvl>
    <w:lvl w:ilvl="2" w:tplc="FF724EDC" w:tentative="1">
      <w:start w:val="1"/>
      <w:numFmt w:val="bullet"/>
      <w:lvlText w:val=""/>
      <w:lvlJc w:val="left"/>
      <w:pPr>
        <w:tabs>
          <w:tab w:val="num" w:pos="2160"/>
        </w:tabs>
        <w:ind w:left="2160" w:hanging="360"/>
      </w:pPr>
      <w:rPr>
        <w:rFonts w:ascii="Wingdings" w:hAnsi="Wingdings" w:hint="default"/>
      </w:rPr>
    </w:lvl>
    <w:lvl w:ilvl="3" w:tplc="BC6E5D8C" w:tentative="1">
      <w:start w:val="1"/>
      <w:numFmt w:val="bullet"/>
      <w:lvlText w:val=""/>
      <w:lvlJc w:val="left"/>
      <w:pPr>
        <w:tabs>
          <w:tab w:val="num" w:pos="2880"/>
        </w:tabs>
        <w:ind w:left="2880" w:hanging="360"/>
      </w:pPr>
      <w:rPr>
        <w:rFonts w:ascii="Symbol" w:hAnsi="Symbol" w:hint="default"/>
      </w:rPr>
    </w:lvl>
    <w:lvl w:ilvl="4" w:tplc="35B25F8C" w:tentative="1">
      <w:start w:val="1"/>
      <w:numFmt w:val="bullet"/>
      <w:lvlText w:val="o"/>
      <w:lvlJc w:val="left"/>
      <w:pPr>
        <w:tabs>
          <w:tab w:val="num" w:pos="3600"/>
        </w:tabs>
        <w:ind w:left="3600" w:hanging="360"/>
      </w:pPr>
      <w:rPr>
        <w:rFonts w:ascii="Courier New" w:hAnsi="Courier New" w:hint="default"/>
      </w:rPr>
    </w:lvl>
    <w:lvl w:ilvl="5" w:tplc="051C7A30" w:tentative="1">
      <w:start w:val="1"/>
      <w:numFmt w:val="bullet"/>
      <w:lvlText w:val=""/>
      <w:lvlJc w:val="left"/>
      <w:pPr>
        <w:tabs>
          <w:tab w:val="num" w:pos="4320"/>
        </w:tabs>
        <w:ind w:left="4320" w:hanging="360"/>
      </w:pPr>
      <w:rPr>
        <w:rFonts w:ascii="Wingdings" w:hAnsi="Wingdings" w:hint="default"/>
      </w:rPr>
    </w:lvl>
    <w:lvl w:ilvl="6" w:tplc="F23EC428" w:tentative="1">
      <w:start w:val="1"/>
      <w:numFmt w:val="bullet"/>
      <w:lvlText w:val=""/>
      <w:lvlJc w:val="left"/>
      <w:pPr>
        <w:tabs>
          <w:tab w:val="num" w:pos="5040"/>
        </w:tabs>
        <w:ind w:left="5040" w:hanging="360"/>
      </w:pPr>
      <w:rPr>
        <w:rFonts w:ascii="Symbol" w:hAnsi="Symbol" w:hint="default"/>
      </w:rPr>
    </w:lvl>
    <w:lvl w:ilvl="7" w:tplc="E8547AF8" w:tentative="1">
      <w:start w:val="1"/>
      <w:numFmt w:val="bullet"/>
      <w:lvlText w:val="o"/>
      <w:lvlJc w:val="left"/>
      <w:pPr>
        <w:tabs>
          <w:tab w:val="num" w:pos="5760"/>
        </w:tabs>
        <w:ind w:left="5760" w:hanging="360"/>
      </w:pPr>
      <w:rPr>
        <w:rFonts w:ascii="Courier New" w:hAnsi="Courier New" w:hint="default"/>
      </w:rPr>
    </w:lvl>
    <w:lvl w:ilvl="8" w:tplc="F8881A42"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5212069"/>
    <w:multiLevelType w:val="hybridMultilevel"/>
    <w:tmpl w:val="1BAAA5F6"/>
    <w:lvl w:ilvl="0" w:tplc="D6B6B706">
      <w:start w:val="1"/>
      <w:numFmt w:val="bullet"/>
      <w:lvlText w:val=""/>
      <w:lvlJc w:val="left"/>
      <w:pPr>
        <w:ind w:left="720" w:hanging="360"/>
      </w:pPr>
      <w:rPr>
        <w:rFonts w:ascii="Symbol" w:hAnsi="Symbol" w:hint="default"/>
        <w:sz w:val="22"/>
      </w:rPr>
    </w:lvl>
    <w:lvl w:ilvl="1" w:tplc="F49A736C" w:tentative="1">
      <w:start w:val="1"/>
      <w:numFmt w:val="bullet"/>
      <w:lvlText w:val="o"/>
      <w:lvlJc w:val="left"/>
      <w:pPr>
        <w:ind w:left="1440" w:hanging="360"/>
      </w:pPr>
      <w:rPr>
        <w:rFonts w:ascii="Courier New" w:hAnsi="Courier New" w:cs="Courier New" w:hint="default"/>
      </w:rPr>
    </w:lvl>
    <w:lvl w:ilvl="2" w:tplc="809AFBF6" w:tentative="1">
      <w:start w:val="1"/>
      <w:numFmt w:val="bullet"/>
      <w:lvlText w:val=""/>
      <w:lvlJc w:val="left"/>
      <w:pPr>
        <w:ind w:left="2160" w:hanging="360"/>
      </w:pPr>
      <w:rPr>
        <w:rFonts w:ascii="Wingdings" w:hAnsi="Wingdings" w:hint="default"/>
      </w:rPr>
    </w:lvl>
    <w:lvl w:ilvl="3" w:tplc="D49046A6" w:tentative="1">
      <w:start w:val="1"/>
      <w:numFmt w:val="bullet"/>
      <w:lvlText w:val=""/>
      <w:lvlJc w:val="left"/>
      <w:pPr>
        <w:ind w:left="2880" w:hanging="360"/>
      </w:pPr>
      <w:rPr>
        <w:rFonts w:ascii="Symbol" w:hAnsi="Symbol" w:hint="default"/>
      </w:rPr>
    </w:lvl>
    <w:lvl w:ilvl="4" w:tplc="AE4AC466" w:tentative="1">
      <w:start w:val="1"/>
      <w:numFmt w:val="bullet"/>
      <w:lvlText w:val="o"/>
      <w:lvlJc w:val="left"/>
      <w:pPr>
        <w:ind w:left="3600" w:hanging="360"/>
      </w:pPr>
      <w:rPr>
        <w:rFonts w:ascii="Courier New" w:hAnsi="Courier New" w:cs="Courier New" w:hint="default"/>
      </w:rPr>
    </w:lvl>
    <w:lvl w:ilvl="5" w:tplc="FC7233FC" w:tentative="1">
      <w:start w:val="1"/>
      <w:numFmt w:val="bullet"/>
      <w:lvlText w:val=""/>
      <w:lvlJc w:val="left"/>
      <w:pPr>
        <w:ind w:left="4320" w:hanging="360"/>
      </w:pPr>
      <w:rPr>
        <w:rFonts w:ascii="Wingdings" w:hAnsi="Wingdings" w:hint="default"/>
      </w:rPr>
    </w:lvl>
    <w:lvl w:ilvl="6" w:tplc="AE56BEF0" w:tentative="1">
      <w:start w:val="1"/>
      <w:numFmt w:val="bullet"/>
      <w:lvlText w:val=""/>
      <w:lvlJc w:val="left"/>
      <w:pPr>
        <w:ind w:left="5040" w:hanging="360"/>
      </w:pPr>
      <w:rPr>
        <w:rFonts w:ascii="Symbol" w:hAnsi="Symbol" w:hint="default"/>
      </w:rPr>
    </w:lvl>
    <w:lvl w:ilvl="7" w:tplc="B824DD34" w:tentative="1">
      <w:start w:val="1"/>
      <w:numFmt w:val="bullet"/>
      <w:lvlText w:val="o"/>
      <w:lvlJc w:val="left"/>
      <w:pPr>
        <w:ind w:left="5760" w:hanging="360"/>
      </w:pPr>
      <w:rPr>
        <w:rFonts w:ascii="Courier New" w:hAnsi="Courier New" w:cs="Courier New" w:hint="default"/>
      </w:rPr>
    </w:lvl>
    <w:lvl w:ilvl="8" w:tplc="CAACA09C" w:tentative="1">
      <w:start w:val="1"/>
      <w:numFmt w:val="bullet"/>
      <w:lvlText w:val=""/>
      <w:lvlJc w:val="left"/>
      <w:pPr>
        <w:ind w:left="6480" w:hanging="360"/>
      </w:pPr>
      <w:rPr>
        <w:rFonts w:ascii="Wingdings" w:hAnsi="Wingdings" w:hint="default"/>
      </w:rPr>
    </w:lvl>
  </w:abstractNum>
  <w:abstractNum w:abstractNumId="81" w15:restartNumberingAfterBreak="0">
    <w:nsid w:val="55EF795E"/>
    <w:multiLevelType w:val="hybridMultilevel"/>
    <w:tmpl w:val="6D0E3A40"/>
    <w:lvl w:ilvl="0" w:tplc="E598A9CC">
      <w:start w:val="1"/>
      <w:numFmt w:val="bullet"/>
      <w:lvlText w:val=""/>
      <w:lvlJc w:val="left"/>
      <w:pPr>
        <w:ind w:left="720" w:hanging="360"/>
      </w:pPr>
      <w:rPr>
        <w:rFonts w:ascii="Symbol" w:hAnsi="Symbol" w:hint="default"/>
        <w:sz w:val="22"/>
      </w:rPr>
    </w:lvl>
    <w:lvl w:ilvl="1" w:tplc="66B82A78">
      <w:start w:val="1"/>
      <w:numFmt w:val="bullet"/>
      <w:lvlText w:val="o"/>
      <w:lvlJc w:val="left"/>
      <w:pPr>
        <w:ind w:left="1440" w:hanging="360"/>
      </w:pPr>
      <w:rPr>
        <w:rFonts w:ascii="Courier New" w:hAnsi="Courier New" w:hint="default"/>
      </w:rPr>
    </w:lvl>
    <w:lvl w:ilvl="2" w:tplc="A80A2C8A" w:tentative="1">
      <w:start w:val="1"/>
      <w:numFmt w:val="bullet"/>
      <w:lvlText w:val=""/>
      <w:lvlJc w:val="left"/>
      <w:pPr>
        <w:ind w:left="2160" w:hanging="360"/>
      </w:pPr>
      <w:rPr>
        <w:rFonts w:ascii="Wingdings" w:hAnsi="Wingdings" w:hint="default"/>
      </w:rPr>
    </w:lvl>
    <w:lvl w:ilvl="3" w:tplc="160E98CA" w:tentative="1">
      <w:start w:val="1"/>
      <w:numFmt w:val="bullet"/>
      <w:lvlText w:val=""/>
      <w:lvlJc w:val="left"/>
      <w:pPr>
        <w:ind w:left="2880" w:hanging="360"/>
      </w:pPr>
      <w:rPr>
        <w:rFonts w:ascii="Symbol" w:hAnsi="Symbol" w:hint="default"/>
      </w:rPr>
    </w:lvl>
    <w:lvl w:ilvl="4" w:tplc="02887816" w:tentative="1">
      <w:start w:val="1"/>
      <w:numFmt w:val="bullet"/>
      <w:lvlText w:val="o"/>
      <w:lvlJc w:val="left"/>
      <w:pPr>
        <w:ind w:left="3600" w:hanging="360"/>
      </w:pPr>
      <w:rPr>
        <w:rFonts w:ascii="Courier New" w:hAnsi="Courier New" w:hint="default"/>
      </w:rPr>
    </w:lvl>
    <w:lvl w:ilvl="5" w:tplc="83863A1A" w:tentative="1">
      <w:start w:val="1"/>
      <w:numFmt w:val="bullet"/>
      <w:lvlText w:val=""/>
      <w:lvlJc w:val="left"/>
      <w:pPr>
        <w:ind w:left="4320" w:hanging="360"/>
      </w:pPr>
      <w:rPr>
        <w:rFonts w:ascii="Wingdings" w:hAnsi="Wingdings" w:hint="default"/>
      </w:rPr>
    </w:lvl>
    <w:lvl w:ilvl="6" w:tplc="49780BAC" w:tentative="1">
      <w:start w:val="1"/>
      <w:numFmt w:val="bullet"/>
      <w:lvlText w:val=""/>
      <w:lvlJc w:val="left"/>
      <w:pPr>
        <w:ind w:left="5040" w:hanging="360"/>
      </w:pPr>
      <w:rPr>
        <w:rFonts w:ascii="Symbol" w:hAnsi="Symbol" w:hint="default"/>
      </w:rPr>
    </w:lvl>
    <w:lvl w:ilvl="7" w:tplc="04B63D6E" w:tentative="1">
      <w:start w:val="1"/>
      <w:numFmt w:val="bullet"/>
      <w:lvlText w:val="o"/>
      <w:lvlJc w:val="left"/>
      <w:pPr>
        <w:ind w:left="5760" w:hanging="360"/>
      </w:pPr>
      <w:rPr>
        <w:rFonts w:ascii="Courier New" w:hAnsi="Courier New" w:hint="default"/>
      </w:rPr>
    </w:lvl>
    <w:lvl w:ilvl="8" w:tplc="178C9E68" w:tentative="1">
      <w:start w:val="1"/>
      <w:numFmt w:val="bullet"/>
      <w:lvlText w:val=""/>
      <w:lvlJc w:val="left"/>
      <w:pPr>
        <w:ind w:left="6480" w:hanging="360"/>
      </w:pPr>
      <w:rPr>
        <w:rFonts w:ascii="Wingdings" w:hAnsi="Wingdings" w:hint="default"/>
      </w:rPr>
    </w:lvl>
  </w:abstractNum>
  <w:abstractNum w:abstractNumId="82" w15:restartNumberingAfterBreak="0">
    <w:nsid w:val="56007351"/>
    <w:multiLevelType w:val="hybridMultilevel"/>
    <w:tmpl w:val="6A9C6E94"/>
    <w:lvl w:ilvl="0" w:tplc="D23CFB30">
      <w:start w:val="1"/>
      <w:numFmt w:val="bullet"/>
      <w:lvlText w:val=""/>
      <w:lvlJc w:val="left"/>
      <w:pPr>
        <w:ind w:left="720" w:hanging="360"/>
      </w:pPr>
      <w:rPr>
        <w:rFonts w:ascii="Symbol" w:hAnsi="Symbol" w:hint="default"/>
        <w:sz w:val="22"/>
      </w:rPr>
    </w:lvl>
    <w:lvl w:ilvl="1" w:tplc="11A42AFA" w:tentative="1">
      <w:start w:val="1"/>
      <w:numFmt w:val="bullet"/>
      <w:lvlText w:val="o"/>
      <w:lvlJc w:val="left"/>
      <w:pPr>
        <w:ind w:left="1440" w:hanging="360"/>
      </w:pPr>
      <w:rPr>
        <w:rFonts w:ascii="Courier New" w:hAnsi="Courier New" w:cs="Courier New" w:hint="default"/>
      </w:rPr>
    </w:lvl>
    <w:lvl w:ilvl="2" w:tplc="22F8FDA6" w:tentative="1">
      <w:start w:val="1"/>
      <w:numFmt w:val="bullet"/>
      <w:lvlText w:val=""/>
      <w:lvlJc w:val="left"/>
      <w:pPr>
        <w:ind w:left="2160" w:hanging="360"/>
      </w:pPr>
      <w:rPr>
        <w:rFonts w:ascii="Wingdings" w:hAnsi="Wingdings" w:hint="default"/>
      </w:rPr>
    </w:lvl>
    <w:lvl w:ilvl="3" w:tplc="6A024F56" w:tentative="1">
      <w:start w:val="1"/>
      <w:numFmt w:val="bullet"/>
      <w:lvlText w:val=""/>
      <w:lvlJc w:val="left"/>
      <w:pPr>
        <w:ind w:left="2880" w:hanging="360"/>
      </w:pPr>
      <w:rPr>
        <w:rFonts w:ascii="Symbol" w:hAnsi="Symbol" w:hint="default"/>
      </w:rPr>
    </w:lvl>
    <w:lvl w:ilvl="4" w:tplc="E7AA1BCE" w:tentative="1">
      <w:start w:val="1"/>
      <w:numFmt w:val="bullet"/>
      <w:lvlText w:val="o"/>
      <w:lvlJc w:val="left"/>
      <w:pPr>
        <w:ind w:left="3600" w:hanging="360"/>
      </w:pPr>
      <w:rPr>
        <w:rFonts w:ascii="Courier New" w:hAnsi="Courier New" w:cs="Courier New" w:hint="default"/>
      </w:rPr>
    </w:lvl>
    <w:lvl w:ilvl="5" w:tplc="33129852" w:tentative="1">
      <w:start w:val="1"/>
      <w:numFmt w:val="bullet"/>
      <w:lvlText w:val=""/>
      <w:lvlJc w:val="left"/>
      <w:pPr>
        <w:ind w:left="4320" w:hanging="360"/>
      </w:pPr>
      <w:rPr>
        <w:rFonts w:ascii="Wingdings" w:hAnsi="Wingdings" w:hint="default"/>
      </w:rPr>
    </w:lvl>
    <w:lvl w:ilvl="6" w:tplc="F86A92B4" w:tentative="1">
      <w:start w:val="1"/>
      <w:numFmt w:val="bullet"/>
      <w:lvlText w:val=""/>
      <w:lvlJc w:val="left"/>
      <w:pPr>
        <w:ind w:left="5040" w:hanging="360"/>
      </w:pPr>
      <w:rPr>
        <w:rFonts w:ascii="Symbol" w:hAnsi="Symbol" w:hint="default"/>
      </w:rPr>
    </w:lvl>
    <w:lvl w:ilvl="7" w:tplc="7F5E9AEC" w:tentative="1">
      <w:start w:val="1"/>
      <w:numFmt w:val="bullet"/>
      <w:lvlText w:val="o"/>
      <w:lvlJc w:val="left"/>
      <w:pPr>
        <w:ind w:left="5760" w:hanging="360"/>
      </w:pPr>
      <w:rPr>
        <w:rFonts w:ascii="Courier New" w:hAnsi="Courier New" w:cs="Courier New" w:hint="default"/>
      </w:rPr>
    </w:lvl>
    <w:lvl w:ilvl="8" w:tplc="EBBAF1DC" w:tentative="1">
      <w:start w:val="1"/>
      <w:numFmt w:val="bullet"/>
      <w:lvlText w:val=""/>
      <w:lvlJc w:val="left"/>
      <w:pPr>
        <w:ind w:left="6480" w:hanging="360"/>
      </w:pPr>
      <w:rPr>
        <w:rFonts w:ascii="Wingdings" w:hAnsi="Wingdings" w:hint="default"/>
      </w:rPr>
    </w:lvl>
  </w:abstractNum>
  <w:abstractNum w:abstractNumId="83" w15:restartNumberingAfterBreak="0">
    <w:nsid w:val="566C254E"/>
    <w:multiLevelType w:val="hybridMultilevel"/>
    <w:tmpl w:val="D3923336"/>
    <w:lvl w:ilvl="0" w:tplc="147A0E94">
      <w:start w:val="1"/>
      <w:numFmt w:val="bullet"/>
      <w:lvlText w:val=""/>
      <w:lvlJc w:val="left"/>
      <w:pPr>
        <w:ind w:left="720" w:hanging="360"/>
      </w:pPr>
      <w:rPr>
        <w:rFonts w:ascii="Symbol" w:hAnsi="Symbol" w:hint="default"/>
      </w:rPr>
    </w:lvl>
    <w:lvl w:ilvl="1" w:tplc="BD26F83A" w:tentative="1">
      <w:start w:val="1"/>
      <w:numFmt w:val="bullet"/>
      <w:lvlText w:val="o"/>
      <w:lvlJc w:val="left"/>
      <w:pPr>
        <w:ind w:left="1440" w:hanging="360"/>
      </w:pPr>
      <w:rPr>
        <w:rFonts w:ascii="Courier New" w:hAnsi="Courier New" w:cs="Courier New" w:hint="default"/>
      </w:rPr>
    </w:lvl>
    <w:lvl w:ilvl="2" w:tplc="904E87C0" w:tentative="1">
      <w:start w:val="1"/>
      <w:numFmt w:val="bullet"/>
      <w:lvlText w:val=""/>
      <w:lvlJc w:val="left"/>
      <w:pPr>
        <w:ind w:left="2160" w:hanging="360"/>
      </w:pPr>
      <w:rPr>
        <w:rFonts w:ascii="Wingdings" w:hAnsi="Wingdings" w:hint="default"/>
      </w:rPr>
    </w:lvl>
    <w:lvl w:ilvl="3" w:tplc="347029FC" w:tentative="1">
      <w:start w:val="1"/>
      <w:numFmt w:val="bullet"/>
      <w:lvlText w:val=""/>
      <w:lvlJc w:val="left"/>
      <w:pPr>
        <w:ind w:left="2880" w:hanging="360"/>
      </w:pPr>
      <w:rPr>
        <w:rFonts w:ascii="Symbol" w:hAnsi="Symbol" w:hint="default"/>
      </w:rPr>
    </w:lvl>
    <w:lvl w:ilvl="4" w:tplc="27CE50F4" w:tentative="1">
      <w:start w:val="1"/>
      <w:numFmt w:val="bullet"/>
      <w:lvlText w:val="o"/>
      <w:lvlJc w:val="left"/>
      <w:pPr>
        <w:ind w:left="3600" w:hanging="360"/>
      </w:pPr>
      <w:rPr>
        <w:rFonts w:ascii="Courier New" w:hAnsi="Courier New" w:cs="Courier New" w:hint="default"/>
      </w:rPr>
    </w:lvl>
    <w:lvl w:ilvl="5" w:tplc="1AA0E4CE" w:tentative="1">
      <w:start w:val="1"/>
      <w:numFmt w:val="bullet"/>
      <w:lvlText w:val=""/>
      <w:lvlJc w:val="left"/>
      <w:pPr>
        <w:ind w:left="4320" w:hanging="360"/>
      </w:pPr>
      <w:rPr>
        <w:rFonts w:ascii="Wingdings" w:hAnsi="Wingdings" w:hint="default"/>
      </w:rPr>
    </w:lvl>
    <w:lvl w:ilvl="6" w:tplc="6122C336" w:tentative="1">
      <w:start w:val="1"/>
      <w:numFmt w:val="bullet"/>
      <w:lvlText w:val=""/>
      <w:lvlJc w:val="left"/>
      <w:pPr>
        <w:ind w:left="5040" w:hanging="360"/>
      </w:pPr>
      <w:rPr>
        <w:rFonts w:ascii="Symbol" w:hAnsi="Symbol" w:hint="default"/>
      </w:rPr>
    </w:lvl>
    <w:lvl w:ilvl="7" w:tplc="881AF2AA" w:tentative="1">
      <w:start w:val="1"/>
      <w:numFmt w:val="bullet"/>
      <w:lvlText w:val="o"/>
      <w:lvlJc w:val="left"/>
      <w:pPr>
        <w:ind w:left="5760" w:hanging="360"/>
      </w:pPr>
      <w:rPr>
        <w:rFonts w:ascii="Courier New" w:hAnsi="Courier New" w:cs="Courier New" w:hint="default"/>
      </w:rPr>
    </w:lvl>
    <w:lvl w:ilvl="8" w:tplc="27EAB23A" w:tentative="1">
      <w:start w:val="1"/>
      <w:numFmt w:val="bullet"/>
      <w:lvlText w:val=""/>
      <w:lvlJc w:val="left"/>
      <w:pPr>
        <w:ind w:left="6480" w:hanging="360"/>
      </w:pPr>
      <w:rPr>
        <w:rFonts w:ascii="Wingdings" w:hAnsi="Wingdings" w:hint="default"/>
      </w:rPr>
    </w:lvl>
  </w:abstractNum>
  <w:abstractNum w:abstractNumId="84" w15:restartNumberingAfterBreak="0">
    <w:nsid w:val="5B256349"/>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85" w15:restartNumberingAfterBreak="0">
    <w:nsid w:val="5D1C4FF1"/>
    <w:multiLevelType w:val="hybridMultilevel"/>
    <w:tmpl w:val="1CAE9B24"/>
    <w:lvl w:ilvl="0" w:tplc="68A6216C">
      <w:start w:val="1"/>
      <w:numFmt w:val="bullet"/>
      <w:lvlText w:val=""/>
      <w:lvlJc w:val="left"/>
      <w:pPr>
        <w:tabs>
          <w:tab w:val="num" w:pos="720"/>
        </w:tabs>
        <w:ind w:left="720" w:hanging="360"/>
      </w:pPr>
      <w:rPr>
        <w:rFonts w:ascii="Symbol" w:hAnsi="Symbol" w:hint="default"/>
      </w:rPr>
    </w:lvl>
    <w:lvl w:ilvl="1" w:tplc="AFB08B9C" w:tentative="1">
      <w:start w:val="1"/>
      <w:numFmt w:val="bullet"/>
      <w:lvlText w:val="o"/>
      <w:lvlJc w:val="left"/>
      <w:pPr>
        <w:tabs>
          <w:tab w:val="num" w:pos="1440"/>
        </w:tabs>
        <w:ind w:left="1440" w:hanging="360"/>
      </w:pPr>
      <w:rPr>
        <w:rFonts w:ascii="Courier New" w:hAnsi="Courier New" w:hint="default"/>
      </w:rPr>
    </w:lvl>
    <w:lvl w:ilvl="2" w:tplc="5DF284B6" w:tentative="1">
      <w:start w:val="1"/>
      <w:numFmt w:val="bullet"/>
      <w:lvlText w:val=""/>
      <w:lvlJc w:val="left"/>
      <w:pPr>
        <w:tabs>
          <w:tab w:val="num" w:pos="2160"/>
        </w:tabs>
        <w:ind w:left="2160" w:hanging="360"/>
      </w:pPr>
      <w:rPr>
        <w:rFonts w:ascii="Wingdings" w:hAnsi="Wingdings" w:hint="default"/>
      </w:rPr>
    </w:lvl>
    <w:lvl w:ilvl="3" w:tplc="AAEC9AB2" w:tentative="1">
      <w:start w:val="1"/>
      <w:numFmt w:val="bullet"/>
      <w:lvlText w:val=""/>
      <w:lvlJc w:val="left"/>
      <w:pPr>
        <w:tabs>
          <w:tab w:val="num" w:pos="2880"/>
        </w:tabs>
        <w:ind w:left="2880" w:hanging="360"/>
      </w:pPr>
      <w:rPr>
        <w:rFonts w:ascii="Symbol" w:hAnsi="Symbol" w:hint="default"/>
      </w:rPr>
    </w:lvl>
    <w:lvl w:ilvl="4" w:tplc="26145898" w:tentative="1">
      <w:start w:val="1"/>
      <w:numFmt w:val="bullet"/>
      <w:lvlText w:val="o"/>
      <w:lvlJc w:val="left"/>
      <w:pPr>
        <w:tabs>
          <w:tab w:val="num" w:pos="3600"/>
        </w:tabs>
        <w:ind w:left="3600" w:hanging="360"/>
      </w:pPr>
      <w:rPr>
        <w:rFonts w:ascii="Courier New" w:hAnsi="Courier New" w:hint="default"/>
      </w:rPr>
    </w:lvl>
    <w:lvl w:ilvl="5" w:tplc="14E059BA" w:tentative="1">
      <w:start w:val="1"/>
      <w:numFmt w:val="bullet"/>
      <w:lvlText w:val=""/>
      <w:lvlJc w:val="left"/>
      <w:pPr>
        <w:tabs>
          <w:tab w:val="num" w:pos="4320"/>
        </w:tabs>
        <w:ind w:left="4320" w:hanging="360"/>
      </w:pPr>
      <w:rPr>
        <w:rFonts w:ascii="Wingdings" w:hAnsi="Wingdings" w:hint="default"/>
      </w:rPr>
    </w:lvl>
    <w:lvl w:ilvl="6" w:tplc="C560B07A" w:tentative="1">
      <w:start w:val="1"/>
      <w:numFmt w:val="bullet"/>
      <w:lvlText w:val=""/>
      <w:lvlJc w:val="left"/>
      <w:pPr>
        <w:tabs>
          <w:tab w:val="num" w:pos="5040"/>
        </w:tabs>
        <w:ind w:left="5040" w:hanging="360"/>
      </w:pPr>
      <w:rPr>
        <w:rFonts w:ascii="Symbol" w:hAnsi="Symbol" w:hint="default"/>
      </w:rPr>
    </w:lvl>
    <w:lvl w:ilvl="7" w:tplc="C724502C" w:tentative="1">
      <w:start w:val="1"/>
      <w:numFmt w:val="bullet"/>
      <w:lvlText w:val="o"/>
      <w:lvlJc w:val="left"/>
      <w:pPr>
        <w:tabs>
          <w:tab w:val="num" w:pos="5760"/>
        </w:tabs>
        <w:ind w:left="5760" w:hanging="360"/>
      </w:pPr>
      <w:rPr>
        <w:rFonts w:ascii="Courier New" w:hAnsi="Courier New" w:hint="default"/>
      </w:rPr>
    </w:lvl>
    <w:lvl w:ilvl="8" w:tplc="27042BF2"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5D4E3933"/>
    <w:multiLevelType w:val="multilevel"/>
    <w:tmpl w:val="55367D84"/>
    <w:lvl w:ilvl="0">
      <w:start w:val="1"/>
      <w:numFmt w:val="decimal"/>
      <w:lvlText w:val=""/>
      <w:lvlJc w:val="left"/>
      <w:pPr>
        <w:ind w:left="0" w:hanging="360"/>
      </w:pPr>
    </w:lvl>
    <w:lvl w:ilvl="1">
      <w:start w:val="1"/>
      <w:numFmt w:val="decimal"/>
      <w:lvlText w:val=""/>
      <w:lvlJc w:val="left"/>
      <w:pPr>
        <w:ind w:left="0" w:hanging="360"/>
      </w:pPr>
    </w:lvl>
    <w:lvl w:ilvl="2">
      <w:start w:val="1"/>
      <w:numFmt w:val="decimal"/>
      <w:lvlText w:val=""/>
      <w:lvlJc w:val="left"/>
      <w:pPr>
        <w:ind w:left="0" w:hanging="360"/>
      </w:pPr>
    </w:lvl>
    <w:lvl w:ilvl="3">
      <w:start w:val="1"/>
      <w:numFmt w:val="decimal"/>
      <w:lvlText w:val=""/>
      <w:lvlJc w:val="left"/>
      <w:pPr>
        <w:ind w:left="0" w:hanging="360"/>
      </w:pPr>
    </w:lvl>
    <w:lvl w:ilvl="4">
      <w:start w:val="1"/>
      <w:numFmt w:val="decimal"/>
      <w:lvlText w:val=""/>
      <w:lvlJc w:val="left"/>
      <w:pPr>
        <w:ind w:left="0" w:hanging="360"/>
      </w:pPr>
    </w:lvl>
    <w:lvl w:ilvl="5">
      <w:start w:val="1"/>
      <w:numFmt w:val="decimal"/>
      <w:lvlText w:val=""/>
      <w:lvlJc w:val="left"/>
      <w:pPr>
        <w:ind w:left="0" w:hanging="360"/>
      </w:pPr>
    </w:lvl>
    <w:lvl w:ilvl="6">
      <w:start w:val="1"/>
      <w:numFmt w:val="decimal"/>
      <w:lvlText w:val=""/>
      <w:lvlJc w:val="left"/>
      <w:pPr>
        <w:ind w:left="0" w:hanging="360"/>
      </w:pPr>
    </w:lvl>
    <w:lvl w:ilvl="7">
      <w:start w:val="1"/>
      <w:numFmt w:val="decimal"/>
      <w:lvlText w:val=""/>
      <w:lvlJc w:val="left"/>
      <w:pPr>
        <w:ind w:left="0" w:hanging="360"/>
      </w:pPr>
    </w:lvl>
    <w:lvl w:ilvl="8">
      <w:start w:val="1"/>
      <w:numFmt w:val="decimal"/>
      <w:lvlText w:val=""/>
      <w:lvlJc w:val="left"/>
      <w:pPr>
        <w:ind w:left="0" w:hanging="360"/>
      </w:pPr>
    </w:lvl>
  </w:abstractNum>
  <w:abstractNum w:abstractNumId="87" w15:restartNumberingAfterBreak="0">
    <w:nsid w:val="6092125F"/>
    <w:multiLevelType w:val="hybridMultilevel"/>
    <w:tmpl w:val="0A7EF946"/>
    <w:lvl w:ilvl="0" w:tplc="6458E19E">
      <w:start w:val="1"/>
      <w:numFmt w:val="bullet"/>
      <w:lvlText w:val=""/>
      <w:lvlJc w:val="left"/>
      <w:pPr>
        <w:tabs>
          <w:tab w:val="num" w:pos="720"/>
        </w:tabs>
        <w:ind w:left="720" w:hanging="360"/>
      </w:pPr>
      <w:rPr>
        <w:rFonts w:ascii="Symbol" w:hAnsi="Symbol" w:hint="default"/>
      </w:rPr>
    </w:lvl>
    <w:lvl w:ilvl="1" w:tplc="1556C3A4">
      <w:start w:val="1"/>
      <w:numFmt w:val="bullet"/>
      <w:lvlText w:val="o"/>
      <w:lvlJc w:val="left"/>
      <w:pPr>
        <w:tabs>
          <w:tab w:val="num" w:pos="1440"/>
        </w:tabs>
        <w:ind w:left="1440" w:hanging="360"/>
      </w:pPr>
      <w:rPr>
        <w:rFonts w:ascii="Courier New" w:hAnsi="Courier New" w:hint="default"/>
      </w:rPr>
    </w:lvl>
    <w:lvl w:ilvl="2" w:tplc="0B9E30F6" w:tentative="1">
      <w:start w:val="1"/>
      <w:numFmt w:val="bullet"/>
      <w:lvlText w:val=""/>
      <w:lvlJc w:val="left"/>
      <w:pPr>
        <w:tabs>
          <w:tab w:val="num" w:pos="2160"/>
        </w:tabs>
        <w:ind w:left="2160" w:hanging="360"/>
      </w:pPr>
      <w:rPr>
        <w:rFonts w:ascii="Wingdings" w:hAnsi="Wingdings" w:hint="default"/>
      </w:rPr>
    </w:lvl>
    <w:lvl w:ilvl="3" w:tplc="C0C033C8" w:tentative="1">
      <w:start w:val="1"/>
      <w:numFmt w:val="bullet"/>
      <w:lvlText w:val=""/>
      <w:lvlJc w:val="left"/>
      <w:pPr>
        <w:tabs>
          <w:tab w:val="num" w:pos="2880"/>
        </w:tabs>
        <w:ind w:left="2880" w:hanging="360"/>
      </w:pPr>
      <w:rPr>
        <w:rFonts w:ascii="Symbol" w:hAnsi="Symbol" w:hint="default"/>
      </w:rPr>
    </w:lvl>
    <w:lvl w:ilvl="4" w:tplc="CF465C44" w:tentative="1">
      <w:start w:val="1"/>
      <w:numFmt w:val="bullet"/>
      <w:lvlText w:val="o"/>
      <w:lvlJc w:val="left"/>
      <w:pPr>
        <w:tabs>
          <w:tab w:val="num" w:pos="3600"/>
        </w:tabs>
        <w:ind w:left="3600" w:hanging="360"/>
      </w:pPr>
      <w:rPr>
        <w:rFonts w:ascii="Courier New" w:hAnsi="Courier New" w:hint="default"/>
      </w:rPr>
    </w:lvl>
    <w:lvl w:ilvl="5" w:tplc="0B785DDC" w:tentative="1">
      <w:start w:val="1"/>
      <w:numFmt w:val="bullet"/>
      <w:lvlText w:val=""/>
      <w:lvlJc w:val="left"/>
      <w:pPr>
        <w:tabs>
          <w:tab w:val="num" w:pos="4320"/>
        </w:tabs>
        <w:ind w:left="4320" w:hanging="360"/>
      </w:pPr>
      <w:rPr>
        <w:rFonts w:ascii="Wingdings" w:hAnsi="Wingdings" w:hint="default"/>
      </w:rPr>
    </w:lvl>
    <w:lvl w:ilvl="6" w:tplc="235A8776" w:tentative="1">
      <w:start w:val="1"/>
      <w:numFmt w:val="bullet"/>
      <w:lvlText w:val=""/>
      <w:lvlJc w:val="left"/>
      <w:pPr>
        <w:tabs>
          <w:tab w:val="num" w:pos="5040"/>
        </w:tabs>
        <w:ind w:left="5040" w:hanging="360"/>
      </w:pPr>
      <w:rPr>
        <w:rFonts w:ascii="Symbol" w:hAnsi="Symbol" w:hint="default"/>
      </w:rPr>
    </w:lvl>
    <w:lvl w:ilvl="7" w:tplc="3E74573E" w:tentative="1">
      <w:start w:val="1"/>
      <w:numFmt w:val="bullet"/>
      <w:lvlText w:val="o"/>
      <w:lvlJc w:val="left"/>
      <w:pPr>
        <w:tabs>
          <w:tab w:val="num" w:pos="5760"/>
        </w:tabs>
        <w:ind w:left="5760" w:hanging="360"/>
      </w:pPr>
      <w:rPr>
        <w:rFonts w:ascii="Courier New" w:hAnsi="Courier New" w:hint="default"/>
      </w:rPr>
    </w:lvl>
    <w:lvl w:ilvl="8" w:tplc="708401C6"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480540D"/>
    <w:multiLevelType w:val="hybridMultilevel"/>
    <w:tmpl w:val="488A2B96"/>
    <w:lvl w:ilvl="0" w:tplc="A48CFE5A">
      <w:start w:val="1"/>
      <w:numFmt w:val="bullet"/>
      <w:lvlText w:val=""/>
      <w:lvlJc w:val="left"/>
      <w:pPr>
        <w:tabs>
          <w:tab w:val="num" w:pos="720"/>
        </w:tabs>
        <w:ind w:left="720" w:hanging="360"/>
      </w:pPr>
      <w:rPr>
        <w:rFonts w:ascii="Symbol" w:hAnsi="Symbol" w:hint="default"/>
        <w:sz w:val="22"/>
      </w:rPr>
    </w:lvl>
    <w:lvl w:ilvl="1" w:tplc="4EEC4132">
      <w:start w:val="1"/>
      <w:numFmt w:val="bullet"/>
      <w:lvlText w:val=""/>
      <w:lvlJc w:val="left"/>
      <w:pPr>
        <w:tabs>
          <w:tab w:val="num" w:pos="1440"/>
        </w:tabs>
        <w:ind w:left="1440" w:hanging="360"/>
      </w:pPr>
      <w:rPr>
        <w:rFonts w:ascii="Symbol" w:hAnsi="Symbol" w:hint="default"/>
      </w:rPr>
    </w:lvl>
    <w:lvl w:ilvl="2" w:tplc="9FF03E08" w:tentative="1">
      <w:start w:val="1"/>
      <w:numFmt w:val="bullet"/>
      <w:lvlText w:val=""/>
      <w:lvlJc w:val="left"/>
      <w:pPr>
        <w:tabs>
          <w:tab w:val="num" w:pos="2160"/>
        </w:tabs>
        <w:ind w:left="2160" w:hanging="360"/>
      </w:pPr>
      <w:rPr>
        <w:rFonts w:ascii="Wingdings" w:hAnsi="Wingdings" w:hint="default"/>
      </w:rPr>
    </w:lvl>
    <w:lvl w:ilvl="3" w:tplc="3920E226" w:tentative="1">
      <w:start w:val="1"/>
      <w:numFmt w:val="bullet"/>
      <w:lvlText w:val=""/>
      <w:lvlJc w:val="left"/>
      <w:pPr>
        <w:tabs>
          <w:tab w:val="num" w:pos="2880"/>
        </w:tabs>
        <w:ind w:left="2880" w:hanging="360"/>
      </w:pPr>
      <w:rPr>
        <w:rFonts w:ascii="Symbol" w:hAnsi="Symbol" w:hint="default"/>
      </w:rPr>
    </w:lvl>
    <w:lvl w:ilvl="4" w:tplc="87A68300" w:tentative="1">
      <w:start w:val="1"/>
      <w:numFmt w:val="bullet"/>
      <w:lvlText w:val="o"/>
      <w:lvlJc w:val="left"/>
      <w:pPr>
        <w:tabs>
          <w:tab w:val="num" w:pos="3600"/>
        </w:tabs>
        <w:ind w:left="3600" w:hanging="360"/>
      </w:pPr>
      <w:rPr>
        <w:rFonts w:ascii="Courier New" w:hAnsi="Courier New" w:hint="default"/>
      </w:rPr>
    </w:lvl>
    <w:lvl w:ilvl="5" w:tplc="3E883E52" w:tentative="1">
      <w:start w:val="1"/>
      <w:numFmt w:val="bullet"/>
      <w:lvlText w:val=""/>
      <w:lvlJc w:val="left"/>
      <w:pPr>
        <w:tabs>
          <w:tab w:val="num" w:pos="4320"/>
        </w:tabs>
        <w:ind w:left="4320" w:hanging="360"/>
      </w:pPr>
      <w:rPr>
        <w:rFonts w:ascii="Wingdings" w:hAnsi="Wingdings" w:hint="default"/>
      </w:rPr>
    </w:lvl>
    <w:lvl w:ilvl="6" w:tplc="1AE4E30A" w:tentative="1">
      <w:start w:val="1"/>
      <w:numFmt w:val="bullet"/>
      <w:lvlText w:val=""/>
      <w:lvlJc w:val="left"/>
      <w:pPr>
        <w:tabs>
          <w:tab w:val="num" w:pos="5040"/>
        </w:tabs>
        <w:ind w:left="5040" w:hanging="360"/>
      </w:pPr>
      <w:rPr>
        <w:rFonts w:ascii="Symbol" w:hAnsi="Symbol" w:hint="default"/>
      </w:rPr>
    </w:lvl>
    <w:lvl w:ilvl="7" w:tplc="AB508CB2" w:tentative="1">
      <w:start w:val="1"/>
      <w:numFmt w:val="bullet"/>
      <w:lvlText w:val="o"/>
      <w:lvlJc w:val="left"/>
      <w:pPr>
        <w:tabs>
          <w:tab w:val="num" w:pos="5760"/>
        </w:tabs>
        <w:ind w:left="5760" w:hanging="360"/>
      </w:pPr>
      <w:rPr>
        <w:rFonts w:ascii="Courier New" w:hAnsi="Courier New" w:hint="default"/>
      </w:rPr>
    </w:lvl>
    <w:lvl w:ilvl="8" w:tplc="25FEE7FE"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4D348A5"/>
    <w:multiLevelType w:val="hybridMultilevel"/>
    <w:tmpl w:val="3A74F194"/>
    <w:lvl w:ilvl="0" w:tplc="2BB077E4">
      <w:start w:val="1"/>
      <w:numFmt w:val="bullet"/>
      <w:lvlText w:val=""/>
      <w:lvlJc w:val="left"/>
      <w:pPr>
        <w:ind w:left="360" w:hanging="360"/>
      </w:pPr>
      <w:rPr>
        <w:rFonts w:ascii="Symbol" w:hAnsi="Symbol" w:hint="default"/>
      </w:rPr>
    </w:lvl>
    <w:lvl w:ilvl="1" w:tplc="E22896D4" w:tentative="1">
      <w:start w:val="1"/>
      <w:numFmt w:val="bullet"/>
      <w:lvlText w:val="o"/>
      <w:lvlJc w:val="left"/>
      <w:pPr>
        <w:ind w:left="1080" w:hanging="360"/>
      </w:pPr>
      <w:rPr>
        <w:rFonts w:ascii="Courier New" w:hAnsi="Courier New" w:hint="default"/>
      </w:rPr>
    </w:lvl>
    <w:lvl w:ilvl="2" w:tplc="BD8898D4" w:tentative="1">
      <w:start w:val="1"/>
      <w:numFmt w:val="bullet"/>
      <w:lvlText w:val=""/>
      <w:lvlJc w:val="left"/>
      <w:pPr>
        <w:ind w:left="1800" w:hanging="360"/>
      </w:pPr>
      <w:rPr>
        <w:rFonts w:ascii="Wingdings" w:hAnsi="Wingdings" w:hint="default"/>
      </w:rPr>
    </w:lvl>
    <w:lvl w:ilvl="3" w:tplc="ACB42834" w:tentative="1">
      <w:start w:val="1"/>
      <w:numFmt w:val="bullet"/>
      <w:lvlText w:val=""/>
      <w:lvlJc w:val="left"/>
      <w:pPr>
        <w:ind w:left="2520" w:hanging="360"/>
      </w:pPr>
      <w:rPr>
        <w:rFonts w:ascii="Symbol" w:hAnsi="Symbol" w:hint="default"/>
      </w:rPr>
    </w:lvl>
    <w:lvl w:ilvl="4" w:tplc="A7166672" w:tentative="1">
      <w:start w:val="1"/>
      <w:numFmt w:val="bullet"/>
      <w:lvlText w:val="o"/>
      <w:lvlJc w:val="left"/>
      <w:pPr>
        <w:ind w:left="3240" w:hanging="360"/>
      </w:pPr>
      <w:rPr>
        <w:rFonts w:ascii="Courier New" w:hAnsi="Courier New" w:hint="default"/>
      </w:rPr>
    </w:lvl>
    <w:lvl w:ilvl="5" w:tplc="9604B4C0" w:tentative="1">
      <w:start w:val="1"/>
      <w:numFmt w:val="bullet"/>
      <w:lvlText w:val=""/>
      <w:lvlJc w:val="left"/>
      <w:pPr>
        <w:ind w:left="3960" w:hanging="360"/>
      </w:pPr>
      <w:rPr>
        <w:rFonts w:ascii="Wingdings" w:hAnsi="Wingdings" w:hint="default"/>
      </w:rPr>
    </w:lvl>
    <w:lvl w:ilvl="6" w:tplc="A77A5F76" w:tentative="1">
      <w:start w:val="1"/>
      <w:numFmt w:val="bullet"/>
      <w:lvlText w:val=""/>
      <w:lvlJc w:val="left"/>
      <w:pPr>
        <w:ind w:left="4680" w:hanging="360"/>
      </w:pPr>
      <w:rPr>
        <w:rFonts w:ascii="Symbol" w:hAnsi="Symbol" w:hint="default"/>
      </w:rPr>
    </w:lvl>
    <w:lvl w:ilvl="7" w:tplc="B28AF5D8" w:tentative="1">
      <w:start w:val="1"/>
      <w:numFmt w:val="bullet"/>
      <w:lvlText w:val="o"/>
      <w:lvlJc w:val="left"/>
      <w:pPr>
        <w:ind w:left="5400" w:hanging="360"/>
      </w:pPr>
      <w:rPr>
        <w:rFonts w:ascii="Courier New" w:hAnsi="Courier New" w:hint="default"/>
      </w:rPr>
    </w:lvl>
    <w:lvl w:ilvl="8" w:tplc="27D80FEC" w:tentative="1">
      <w:start w:val="1"/>
      <w:numFmt w:val="bullet"/>
      <w:lvlText w:val=""/>
      <w:lvlJc w:val="left"/>
      <w:pPr>
        <w:ind w:left="6120" w:hanging="360"/>
      </w:pPr>
      <w:rPr>
        <w:rFonts w:ascii="Wingdings" w:hAnsi="Wingdings" w:hint="default"/>
      </w:rPr>
    </w:lvl>
  </w:abstractNum>
  <w:abstractNum w:abstractNumId="90" w15:restartNumberingAfterBreak="0">
    <w:nsid w:val="65B06D5E"/>
    <w:multiLevelType w:val="hybridMultilevel"/>
    <w:tmpl w:val="5388004C"/>
    <w:lvl w:ilvl="0" w:tplc="5336D812">
      <w:start w:val="1"/>
      <w:numFmt w:val="lowerLetter"/>
      <w:lvlText w:val="%1"/>
      <w:lvlJc w:val="left"/>
      <w:pPr>
        <w:ind w:left="720" w:hanging="360"/>
      </w:pPr>
      <w:rPr>
        <w:rFonts w:hint="default"/>
        <w:sz w:val="16"/>
        <w:szCs w:val="16"/>
        <w:vertAlign w:val="superscript"/>
      </w:rPr>
    </w:lvl>
    <w:lvl w:ilvl="1" w:tplc="EDE2AFDA" w:tentative="1">
      <w:start w:val="1"/>
      <w:numFmt w:val="lowerLetter"/>
      <w:lvlText w:val="%2."/>
      <w:lvlJc w:val="left"/>
      <w:pPr>
        <w:ind w:left="1440" w:hanging="360"/>
      </w:pPr>
    </w:lvl>
    <w:lvl w:ilvl="2" w:tplc="B0180792" w:tentative="1">
      <w:start w:val="1"/>
      <w:numFmt w:val="lowerRoman"/>
      <w:lvlText w:val="%3."/>
      <w:lvlJc w:val="right"/>
      <w:pPr>
        <w:ind w:left="2160" w:hanging="180"/>
      </w:pPr>
    </w:lvl>
    <w:lvl w:ilvl="3" w:tplc="B21A31BE" w:tentative="1">
      <w:start w:val="1"/>
      <w:numFmt w:val="decimal"/>
      <w:lvlText w:val="%4."/>
      <w:lvlJc w:val="left"/>
      <w:pPr>
        <w:ind w:left="2880" w:hanging="360"/>
      </w:pPr>
    </w:lvl>
    <w:lvl w:ilvl="4" w:tplc="B364A78C" w:tentative="1">
      <w:start w:val="1"/>
      <w:numFmt w:val="lowerLetter"/>
      <w:lvlText w:val="%5."/>
      <w:lvlJc w:val="left"/>
      <w:pPr>
        <w:ind w:left="3600" w:hanging="360"/>
      </w:pPr>
    </w:lvl>
    <w:lvl w:ilvl="5" w:tplc="24726F1C" w:tentative="1">
      <w:start w:val="1"/>
      <w:numFmt w:val="lowerRoman"/>
      <w:lvlText w:val="%6."/>
      <w:lvlJc w:val="right"/>
      <w:pPr>
        <w:ind w:left="4320" w:hanging="180"/>
      </w:pPr>
    </w:lvl>
    <w:lvl w:ilvl="6" w:tplc="F314D444" w:tentative="1">
      <w:start w:val="1"/>
      <w:numFmt w:val="decimal"/>
      <w:lvlText w:val="%7."/>
      <w:lvlJc w:val="left"/>
      <w:pPr>
        <w:ind w:left="5040" w:hanging="360"/>
      </w:pPr>
    </w:lvl>
    <w:lvl w:ilvl="7" w:tplc="AC142BDC" w:tentative="1">
      <w:start w:val="1"/>
      <w:numFmt w:val="lowerLetter"/>
      <w:lvlText w:val="%8."/>
      <w:lvlJc w:val="left"/>
      <w:pPr>
        <w:ind w:left="5760" w:hanging="360"/>
      </w:pPr>
    </w:lvl>
    <w:lvl w:ilvl="8" w:tplc="00261E28" w:tentative="1">
      <w:start w:val="1"/>
      <w:numFmt w:val="lowerRoman"/>
      <w:lvlText w:val="%9."/>
      <w:lvlJc w:val="right"/>
      <w:pPr>
        <w:ind w:left="6480" w:hanging="180"/>
      </w:pPr>
    </w:lvl>
  </w:abstractNum>
  <w:abstractNum w:abstractNumId="91" w15:restartNumberingAfterBreak="0">
    <w:nsid w:val="69855039"/>
    <w:multiLevelType w:val="hybridMultilevel"/>
    <w:tmpl w:val="B4B4F488"/>
    <w:lvl w:ilvl="0" w:tplc="62667CA0">
      <w:start w:val="1"/>
      <w:numFmt w:val="bullet"/>
      <w:lvlText w:val=""/>
      <w:lvlJc w:val="left"/>
      <w:pPr>
        <w:tabs>
          <w:tab w:val="num" w:pos="720"/>
        </w:tabs>
        <w:ind w:left="720" w:hanging="360"/>
      </w:pPr>
      <w:rPr>
        <w:rFonts w:ascii="Symbol" w:hAnsi="Symbol" w:hint="default"/>
      </w:rPr>
    </w:lvl>
    <w:lvl w:ilvl="1" w:tplc="87846C88" w:tentative="1">
      <w:start w:val="1"/>
      <w:numFmt w:val="bullet"/>
      <w:lvlText w:val="o"/>
      <w:lvlJc w:val="left"/>
      <w:pPr>
        <w:tabs>
          <w:tab w:val="num" w:pos="1440"/>
        </w:tabs>
        <w:ind w:left="1440" w:hanging="360"/>
      </w:pPr>
      <w:rPr>
        <w:rFonts w:ascii="Courier New" w:hAnsi="Courier New" w:hint="default"/>
      </w:rPr>
    </w:lvl>
    <w:lvl w:ilvl="2" w:tplc="39C81A84" w:tentative="1">
      <w:start w:val="1"/>
      <w:numFmt w:val="bullet"/>
      <w:lvlText w:val=""/>
      <w:lvlJc w:val="left"/>
      <w:pPr>
        <w:tabs>
          <w:tab w:val="num" w:pos="2160"/>
        </w:tabs>
        <w:ind w:left="2160" w:hanging="360"/>
      </w:pPr>
      <w:rPr>
        <w:rFonts w:ascii="Wingdings" w:hAnsi="Wingdings" w:hint="default"/>
      </w:rPr>
    </w:lvl>
    <w:lvl w:ilvl="3" w:tplc="9682A222" w:tentative="1">
      <w:start w:val="1"/>
      <w:numFmt w:val="bullet"/>
      <w:lvlText w:val=""/>
      <w:lvlJc w:val="left"/>
      <w:pPr>
        <w:tabs>
          <w:tab w:val="num" w:pos="2880"/>
        </w:tabs>
        <w:ind w:left="2880" w:hanging="360"/>
      </w:pPr>
      <w:rPr>
        <w:rFonts w:ascii="Symbol" w:hAnsi="Symbol" w:hint="default"/>
      </w:rPr>
    </w:lvl>
    <w:lvl w:ilvl="4" w:tplc="9FD6783E" w:tentative="1">
      <w:start w:val="1"/>
      <w:numFmt w:val="bullet"/>
      <w:lvlText w:val="o"/>
      <w:lvlJc w:val="left"/>
      <w:pPr>
        <w:tabs>
          <w:tab w:val="num" w:pos="3600"/>
        </w:tabs>
        <w:ind w:left="3600" w:hanging="360"/>
      </w:pPr>
      <w:rPr>
        <w:rFonts w:ascii="Courier New" w:hAnsi="Courier New" w:hint="default"/>
      </w:rPr>
    </w:lvl>
    <w:lvl w:ilvl="5" w:tplc="59405F76" w:tentative="1">
      <w:start w:val="1"/>
      <w:numFmt w:val="bullet"/>
      <w:lvlText w:val=""/>
      <w:lvlJc w:val="left"/>
      <w:pPr>
        <w:tabs>
          <w:tab w:val="num" w:pos="4320"/>
        </w:tabs>
        <w:ind w:left="4320" w:hanging="360"/>
      </w:pPr>
      <w:rPr>
        <w:rFonts w:ascii="Wingdings" w:hAnsi="Wingdings" w:hint="default"/>
      </w:rPr>
    </w:lvl>
    <w:lvl w:ilvl="6" w:tplc="C27A5F54" w:tentative="1">
      <w:start w:val="1"/>
      <w:numFmt w:val="bullet"/>
      <w:lvlText w:val=""/>
      <w:lvlJc w:val="left"/>
      <w:pPr>
        <w:tabs>
          <w:tab w:val="num" w:pos="5040"/>
        </w:tabs>
        <w:ind w:left="5040" w:hanging="360"/>
      </w:pPr>
      <w:rPr>
        <w:rFonts w:ascii="Symbol" w:hAnsi="Symbol" w:hint="default"/>
      </w:rPr>
    </w:lvl>
    <w:lvl w:ilvl="7" w:tplc="8A788B96" w:tentative="1">
      <w:start w:val="1"/>
      <w:numFmt w:val="bullet"/>
      <w:lvlText w:val="o"/>
      <w:lvlJc w:val="left"/>
      <w:pPr>
        <w:tabs>
          <w:tab w:val="num" w:pos="5760"/>
        </w:tabs>
        <w:ind w:left="5760" w:hanging="360"/>
      </w:pPr>
      <w:rPr>
        <w:rFonts w:ascii="Courier New" w:hAnsi="Courier New" w:hint="default"/>
      </w:rPr>
    </w:lvl>
    <w:lvl w:ilvl="8" w:tplc="93EC27BE"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B851454"/>
    <w:multiLevelType w:val="hybridMultilevel"/>
    <w:tmpl w:val="5CE64306"/>
    <w:lvl w:ilvl="0" w:tplc="1C78A9D8">
      <w:start w:val="1"/>
      <w:numFmt w:val="bullet"/>
      <w:lvlText w:val=""/>
      <w:lvlJc w:val="left"/>
      <w:pPr>
        <w:ind w:left="720" w:hanging="360"/>
      </w:pPr>
      <w:rPr>
        <w:rFonts w:ascii="Symbol" w:hAnsi="Symbol" w:hint="default"/>
      </w:rPr>
    </w:lvl>
    <w:lvl w:ilvl="1" w:tplc="78C824B8" w:tentative="1">
      <w:start w:val="1"/>
      <w:numFmt w:val="bullet"/>
      <w:lvlText w:val="o"/>
      <w:lvlJc w:val="left"/>
      <w:pPr>
        <w:ind w:left="1440" w:hanging="360"/>
      </w:pPr>
      <w:rPr>
        <w:rFonts w:ascii="Courier New" w:hAnsi="Courier New" w:cs="Courier New" w:hint="default"/>
      </w:rPr>
    </w:lvl>
    <w:lvl w:ilvl="2" w:tplc="02B8B9FA" w:tentative="1">
      <w:start w:val="1"/>
      <w:numFmt w:val="bullet"/>
      <w:lvlText w:val=""/>
      <w:lvlJc w:val="left"/>
      <w:pPr>
        <w:ind w:left="2160" w:hanging="360"/>
      </w:pPr>
      <w:rPr>
        <w:rFonts w:ascii="Wingdings" w:hAnsi="Wingdings" w:hint="default"/>
      </w:rPr>
    </w:lvl>
    <w:lvl w:ilvl="3" w:tplc="469C3976" w:tentative="1">
      <w:start w:val="1"/>
      <w:numFmt w:val="bullet"/>
      <w:lvlText w:val=""/>
      <w:lvlJc w:val="left"/>
      <w:pPr>
        <w:ind w:left="2880" w:hanging="360"/>
      </w:pPr>
      <w:rPr>
        <w:rFonts w:ascii="Symbol" w:hAnsi="Symbol" w:hint="default"/>
      </w:rPr>
    </w:lvl>
    <w:lvl w:ilvl="4" w:tplc="D12E5EC2" w:tentative="1">
      <w:start w:val="1"/>
      <w:numFmt w:val="bullet"/>
      <w:lvlText w:val="o"/>
      <w:lvlJc w:val="left"/>
      <w:pPr>
        <w:ind w:left="3600" w:hanging="360"/>
      </w:pPr>
      <w:rPr>
        <w:rFonts w:ascii="Courier New" w:hAnsi="Courier New" w:cs="Courier New" w:hint="default"/>
      </w:rPr>
    </w:lvl>
    <w:lvl w:ilvl="5" w:tplc="BEFAF262" w:tentative="1">
      <w:start w:val="1"/>
      <w:numFmt w:val="bullet"/>
      <w:lvlText w:val=""/>
      <w:lvlJc w:val="left"/>
      <w:pPr>
        <w:ind w:left="4320" w:hanging="360"/>
      </w:pPr>
      <w:rPr>
        <w:rFonts w:ascii="Wingdings" w:hAnsi="Wingdings" w:hint="default"/>
      </w:rPr>
    </w:lvl>
    <w:lvl w:ilvl="6" w:tplc="5374F9DA" w:tentative="1">
      <w:start w:val="1"/>
      <w:numFmt w:val="bullet"/>
      <w:lvlText w:val=""/>
      <w:lvlJc w:val="left"/>
      <w:pPr>
        <w:ind w:left="5040" w:hanging="360"/>
      </w:pPr>
      <w:rPr>
        <w:rFonts w:ascii="Symbol" w:hAnsi="Symbol" w:hint="default"/>
      </w:rPr>
    </w:lvl>
    <w:lvl w:ilvl="7" w:tplc="D1C63BD6" w:tentative="1">
      <w:start w:val="1"/>
      <w:numFmt w:val="bullet"/>
      <w:lvlText w:val="o"/>
      <w:lvlJc w:val="left"/>
      <w:pPr>
        <w:ind w:left="5760" w:hanging="360"/>
      </w:pPr>
      <w:rPr>
        <w:rFonts w:ascii="Courier New" w:hAnsi="Courier New" w:cs="Courier New" w:hint="default"/>
      </w:rPr>
    </w:lvl>
    <w:lvl w:ilvl="8" w:tplc="D83299A4" w:tentative="1">
      <w:start w:val="1"/>
      <w:numFmt w:val="bullet"/>
      <w:lvlText w:val=""/>
      <w:lvlJc w:val="left"/>
      <w:pPr>
        <w:ind w:left="6480" w:hanging="360"/>
      </w:pPr>
      <w:rPr>
        <w:rFonts w:ascii="Wingdings" w:hAnsi="Wingdings" w:hint="default"/>
      </w:rPr>
    </w:lvl>
  </w:abstractNum>
  <w:abstractNum w:abstractNumId="93" w15:restartNumberingAfterBreak="0">
    <w:nsid w:val="6C636220"/>
    <w:multiLevelType w:val="hybridMultilevel"/>
    <w:tmpl w:val="6D26AB8C"/>
    <w:lvl w:ilvl="0" w:tplc="5338E36C">
      <w:start w:val="1"/>
      <w:numFmt w:val="bullet"/>
      <w:lvlText w:val=""/>
      <w:lvlJc w:val="left"/>
      <w:pPr>
        <w:ind w:left="780" w:hanging="360"/>
      </w:pPr>
      <w:rPr>
        <w:rFonts w:ascii="Symbol" w:hAnsi="Symbol" w:hint="default"/>
      </w:rPr>
    </w:lvl>
    <w:lvl w:ilvl="1" w:tplc="600E7F70" w:tentative="1">
      <w:start w:val="1"/>
      <w:numFmt w:val="bullet"/>
      <w:lvlText w:val="o"/>
      <w:lvlJc w:val="left"/>
      <w:pPr>
        <w:ind w:left="1500" w:hanging="360"/>
      </w:pPr>
      <w:rPr>
        <w:rFonts w:ascii="Courier New" w:hAnsi="Courier New" w:cs="Courier New" w:hint="default"/>
      </w:rPr>
    </w:lvl>
    <w:lvl w:ilvl="2" w:tplc="66F2DEF2" w:tentative="1">
      <w:start w:val="1"/>
      <w:numFmt w:val="bullet"/>
      <w:lvlText w:val=""/>
      <w:lvlJc w:val="left"/>
      <w:pPr>
        <w:ind w:left="2220" w:hanging="360"/>
      </w:pPr>
      <w:rPr>
        <w:rFonts w:ascii="Wingdings" w:hAnsi="Wingdings" w:hint="default"/>
      </w:rPr>
    </w:lvl>
    <w:lvl w:ilvl="3" w:tplc="8194689E" w:tentative="1">
      <w:start w:val="1"/>
      <w:numFmt w:val="bullet"/>
      <w:lvlText w:val=""/>
      <w:lvlJc w:val="left"/>
      <w:pPr>
        <w:ind w:left="2940" w:hanging="360"/>
      </w:pPr>
      <w:rPr>
        <w:rFonts w:ascii="Symbol" w:hAnsi="Symbol" w:hint="default"/>
      </w:rPr>
    </w:lvl>
    <w:lvl w:ilvl="4" w:tplc="14264A2C" w:tentative="1">
      <w:start w:val="1"/>
      <w:numFmt w:val="bullet"/>
      <w:lvlText w:val="o"/>
      <w:lvlJc w:val="left"/>
      <w:pPr>
        <w:ind w:left="3660" w:hanging="360"/>
      </w:pPr>
      <w:rPr>
        <w:rFonts w:ascii="Courier New" w:hAnsi="Courier New" w:cs="Courier New" w:hint="default"/>
      </w:rPr>
    </w:lvl>
    <w:lvl w:ilvl="5" w:tplc="F1445E7E" w:tentative="1">
      <w:start w:val="1"/>
      <w:numFmt w:val="bullet"/>
      <w:lvlText w:val=""/>
      <w:lvlJc w:val="left"/>
      <w:pPr>
        <w:ind w:left="4380" w:hanging="360"/>
      </w:pPr>
      <w:rPr>
        <w:rFonts w:ascii="Wingdings" w:hAnsi="Wingdings" w:hint="default"/>
      </w:rPr>
    </w:lvl>
    <w:lvl w:ilvl="6" w:tplc="6C962F5C" w:tentative="1">
      <w:start w:val="1"/>
      <w:numFmt w:val="bullet"/>
      <w:lvlText w:val=""/>
      <w:lvlJc w:val="left"/>
      <w:pPr>
        <w:ind w:left="5100" w:hanging="360"/>
      </w:pPr>
      <w:rPr>
        <w:rFonts w:ascii="Symbol" w:hAnsi="Symbol" w:hint="default"/>
      </w:rPr>
    </w:lvl>
    <w:lvl w:ilvl="7" w:tplc="300ECFDE" w:tentative="1">
      <w:start w:val="1"/>
      <w:numFmt w:val="bullet"/>
      <w:lvlText w:val="o"/>
      <w:lvlJc w:val="left"/>
      <w:pPr>
        <w:ind w:left="5820" w:hanging="360"/>
      </w:pPr>
      <w:rPr>
        <w:rFonts w:ascii="Courier New" w:hAnsi="Courier New" w:cs="Courier New" w:hint="default"/>
      </w:rPr>
    </w:lvl>
    <w:lvl w:ilvl="8" w:tplc="321A9310" w:tentative="1">
      <w:start w:val="1"/>
      <w:numFmt w:val="bullet"/>
      <w:lvlText w:val=""/>
      <w:lvlJc w:val="left"/>
      <w:pPr>
        <w:ind w:left="6540" w:hanging="360"/>
      </w:pPr>
      <w:rPr>
        <w:rFonts w:ascii="Wingdings" w:hAnsi="Wingdings" w:hint="default"/>
      </w:rPr>
    </w:lvl>
  </w:abstractNum>
  <w:abstractNum w:abstractNumId="94" w15:restartNumberingAfterBreak="0">
    <w:nsid w:val="6F9337D0"/>
    <w:multiLevelType w:val="hybridMultilevel"/>
    <w:tmpl w:val="B6C885E6"/>
    <w:lvl w:ilvl="0" w:tplc="3DFC4C6C">
      <w:start w:val="1"/>
      <w:numFmt w:val="bullet"/>
      <w:lvlText w:val=""/>
      <w:lvlJc w:val="left"/>
      <w:pPr>
        <w:tabs>
          <w:tab w:val="num" w:pos="720"/>
        </w:tabs>
        <w:ind w:left="720" w:hanging="360"/>
      </w:pPr>
      <w:rPr>
        <w:rFonts w:ascii="Symbol" w:hAnsi="Symbol" w:hint="default"/>
      </w:rPr>
    </w:lvl>
    <w:lvl w:ilvl="1" w:tplc="1FAA089E">
      <w:start w:val="1"/>
      <w:numFmt w:val="bullet"/>
      <w:lvlText w:val="o"/>
      <w:lvlJc w:val="left"/>
      <w:pPr>
        <w:tabs>
          <w:tab w:val="num" w:pos="1440"/>
        </w:tabs>
        <w:ind w:left="1440" w:hanging="360"/>
      </w:pPr>
      <w:rPr>
        <w:rFonts w:ascii="Courier New" w:hAnsi="Courier New" w:hint="default"/>
      </w:rPr>
    </w:lvl>
    <w:lvl w:ilvl="2" w:tplc="0004F88E" w:tentative="1">
      <w:start w:val="1"/>
      <w:numFmt w:val="bullet"/>
      <w:lvlText w:val=""/>
      <w:lvlJc w:val="left"/>
      <w:pPr>
        <w:tabs>
          <w:tab w:val="num" w:pos="2160"/>
        </w:tabs>
        <w:ind w:left="2160" w:hanging="360"/>
      </w:pPr>
      <w:rPr>
        <w:rFonts w:ascii="Wingdings" w:hAnsi="Wingdings" w:hint="default"/>
      </w:rPr>
    </w:lvl>
    <w:lvl w:ilvl="3" w:tplc="EFD2E606" w:tentative="1">
      <w:start w:val="1"/>
      <w:numFmt w:val="bullet"/>
      <w:lvlText w:val=""/>
      <w:lvlJc w:val="left"/>
      <w:pPr>
        <w:tabs>
          <w:tab w:val="num" w:pos="2880"/>
        </w:tabs>
        <w:ind w:left="2880" w:hanging="360"/>
      </w:pPr>
      <w:rPr>
        <w:rFonts w:ascii="Symbol" w:hAnsi="Symbol" w:hint="default"/>
      </w:rPr>
    </w:lvl>
    <w:lvl w:ilvl="4" w:tplc="F4BA37B2" w:tentative="1">
      <w:start w:val="1"/>
      <w:numFmt w:val="bullet"/>
      <w:lvlText w:val="o"/>
      <w:lvlJc w:val="left"/>
      <w:pPr>
        <w:tabs>
          <w:tab w:val="num" w:pos="3600"/>
        </w:tabs>
        <w:ind w:left="3600" w:hanging="360"/>
      </w:pPr>
      <w:rPr>
        <w:rFonts w:ascii="Courier New" w:hAnsi="Courier New" w:hint="default"/>
      </w:rPr>
    </w:lvl>
    <w:lvl w:ilvl="5" w:tplc="0590E352" w:tentative="1">
      <w:start w:val="1"/>
      <w:numFmt w:val="bullet"/>
      <w:lvlText w:val=""/>
      <w:lvlJc w:val="left"/>
      <w:pPr>
        <w:tabs>
          <w:tab w:val="num" w:pos="4320"/>
        </w:tabs>
        <w:ind w:left="4320" w:hanging="360"/>
      </w:pPr>
      <w:rPr>
        <w:rFonts w:ascii="Wingdings" w:hAnsi="Wingdings" w:hint="default"/>
      </w:rPr>
    </w:lvl>
    <w:lvl w:ilvl="6" w:tplc="6BE2568E" w:tentative="1">
      <w:start w:val="1"/>
      <w:numFmt w:val="bullet"/>
      <w:lvlText w:val=""/>
      <w:lvlJc w:val="left"/>
      <w:pPr>
        <w:tabs>
          <w:tab w:val="num" w:pos="5040"/>
        </w:tabs>
        <w:ind w:left="5040" w:hanging="360"/>
      </w:pPr>
      <w:rPr>
        <w:rFonts w:ascii="Symbol" w:hAnsi="Symbol" w:hint="default"/>
      </w:rPr>
    </w:lvl>
    <w:lvl w:ilvl="7" w:tplc="16D09F5E" w:tentative="1">
      <w:start w:val="1"/>
      <w:numFmt w:val="bullet"/>
      <w:lvlText w:val="o"/>
      <w:lvlJc w:val="left"/>
      <w:pPr>
        <w:tabs>
          <w:tab w:val="num" w:pos="5760"/>
        </w:tabs>
        <w:ind w:left="5760" w:hanging="360"/>
      </w:pPr>
      <w:rPr>
        <w:rFonts w:ascii="Courier New" w:hAnsi="Courier New" w:hint="default"/>
      </w:rPr>
    </w:lvl>
    <w:lvl w:ilvl="8" w:tplc="85CE9A1A"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16B6BDD"/>
    <w:multiLevelType w:val="hybridMultilevel"/>
    <w:tmpl w:val="5B44DDD0"/>
    <w:lvl w:ilvl="0" w:tplc="4816DE78">
      <w:start w:val="1"/>
      <w:numFmt w:val="bullet"/>
      <w:lvlText w:val=""/>
      <w:lvlJc w:val="left"/>
      <w:pPr>
        <w:ind w:left="360" w:hanging="360"/>
      </w:pPr>
      <w:rPr>
        <w:rFonts w:ascii="Symbol" w:hAnsi="Symbol" w:hint="default"/>
      </w:rPr>
    </w:lvl>
    <w:lvl w:ilvl="1" w:tplc="26B2C4F2" w:tentative="1">
      <w:start w:val="1"/>
      <w:numFmt w:val="bullet"/>
      <w:lvlText w:val="o"/>
      <w:lvlJc w:val="left"/>
      <w:pPr>
        <w:ind w:left="1080" w:hanging="360"/>
      </w:pPr>
      <w:rPr>
        <w:rFonts w:ascii="Courier New" w:hAnsi="Courier New" w:cs="Courier New" w:hint="default"/>
      </w:rPr>
    </w:lvl>
    <w:lvl w:ilvl="2" w:tplc="FC3E87EA" w:tentative="1">
      <w:start w:val="1"/>
      <w:numFmt w:val="bullet"/>
      <w:lvlText w:val=""/>
      <w:lvlJc w:val="left"/>
      <w:pPr>
        <w:ind w:left="1800" w:hanging="360"/>
      </w:pPr>
      <w:rPr>
        <w:rFonts w:ascii="Wingdings" w:hAnsi="Wingdings" w:hint="default"/>
      </w:rPr>
    </w:lvl>
    <w:lvl w:ilvl="3" w:tplc="A4700BEC" w:tentative="1">
      <w:start w:val="1"/>
      <w:numFmt w:val="bullet"/>
      <w:lvlText w:val=""/>
      <w:lvlJc w:val="left"/>
      <w:pPr>
        <w:ind w:left="2520" w:hanging="360"/>
      </w:pPr>
      <w:rPr>
        <w:rFonts w:ascii="Symbol" w:hAnsi="Symbol" w:hint="default"/>
      </w:rPr>
    </w:lvl>
    <w:lvl w:ilvl="4" w:tplc="C0CE19B4" w:tentative="1">
      <w:start w:val="1"/>
      <w:numFmt w:val="bullet"/>
      <w:lvlText w:val="o"/>
      <w:lvlJc w:val="left"/>
      <w:pPr>
        <w:ind w:left="3240" w:hanging="360"/>
      </w:pPr>
      <w:rPr>
        <w:rFonts w:ascii="Courier New" w:hAnsi="Courier New" w:cs="Courier New" w:hint="default"/>
      </w:rPr>
    </w:lvl>
    <w:lvl w:ilvl="5" w:tplc="5C3CC5B6" w:tentative="1">
      <w:start w:val="1"/>
      <w:numFmt w:val="bullet"/>
      <w:lvlText w:val=""/>
      <w:lvlJc w:val="left"/>
      <w:pPr>
        <w:ind w:left="3960" w:hanging="360"/>
      </w:pPr>
      <w:rPr>
        <w:rFonts w:ascii="Wingdings" w:hAnsi="Wingdings" w:hint="default"/>
      </w:rPr>
    </w:lvl>
    <w:lvl w:ilvl="6" w:tplc="6A3ABBE2" w:tentative="1">
      <w:start w:val="1"/>
      <w:numFmt w:val="bullet"/>
      <w:lvlText w:val=""/>
      <w:lvlJc w:val="left"/>
      <w:pPr>
        <w:ind w:left="4680" w:hanging="360"/>
      </w:pPr>
      <w:rPr>
        <w:rFonts w:ascii="Symbol" w:hAnsi="Symbol" w:hint="default"/>
      </w:rPr>
    </w:lvl>
    <w:lvl w:ilvl="7" w:tplc="653E51D8" w:tentative="1">
      <w:start w:val="1"/>
      <w:numFmt w:val="bullet"/>
      <w:lvlText w:val="o"/>
      <w:lvlJc w:val="left"/>
      <w:pPr>
        <w:ind w:left="5400" w:hanging="360"/>
      </w:pPr>
      <w:rPr>
        <w:rFonts w:ascii="Courier New" w:hAnsi="Courier New" w:cs="Courier New" w:hint="default"/>
      </w:rPr>
    </w:lvl>
    <w:lvl w:ilvl="8" w:tplc="315A9F1E" w:tentative="1">
      <w:start w:val="1"/>
      <w:numFmt w:val="bullet"/>
      <w:lvlText w:val=""/>
      <w:lvlJc w:val="left"/>
      <w:pPr>
        <w:ind w:left="6120" w:hanging="360"/>
      </w:pPr>
      <w:rPr>
        <w:rFonts w:ascii="Wingdings" w:hAnsi="Wingdings" w:hint="default"/>
      </w:rPr>
    </w:lvl>
  </w:abstractNum>
  <w:abstractNum w:abstractNumId="96" w15:restartNumberingAfterBreak="0">
    <w:nsid w:val="728D4A7F"/>
    <w:multiLevelType w:val="multilevel"/>
    <w:tmpl w:val="50E6F6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73357CAB"/>
    <w:multiLevelType w:val="hybridMultilevel"/>
    <w:tmpl w:val="1682E7C2"/>
    <w:lvl w:ilvl="0" w:tplc="F8A0D6FA">
      <w:start w:val="1"/>
      <w:numFmt w:val="bullet"/>
      <w:lvlText w:val=""/>
      <w:lvlJc w:val="left"/>
      <w:pPr>
        <w:ind w:left="870" w:hanging="360"/>
      </w:pPr>
      <w:rPr>
        <w:rFonts w:ascii="Symbol" w:hAnsi="Symbol" w:hint="default"/>
      </w:rPr>
    </w:lvl>
    <w:lvl w:ilvl="1" w:tplc="C70E05E8" w:tentative="1">
      <w:start w:val="1"/>
      <w:numFmt w:val="bullet"/>
      <w:lvlText w:val="o"/>
      <w:lvlJc w:val="left"/>
      <w:pPr>
        <w:ind w:left="1590" w:hanging="360"/>
      </w:pPr>
      <w:rPr>
        <w:rFonts w:ascii="Courier New" w:hAnsi="Courier New" w:cs="Courier New" w:hint="default"/>
      </w:rPr>
    </w:lvl>
    <w:lvl w:ilvl="2" w:tplc="E0A4921A" w:tentative="1">
      <w:start w:val="1"/>
      <w:numFmt w:val="bullet"/>
      <w:lvlText w:val=""/>
      <w:lvlJc w:val="left"/>
      <w:pPr>
        <w:ind w:left="2310" w:hanging="360"/>
      </w:pPr>
      <w:rPr>
        <w:rFonts w:ascii="Wingdings" w:hAnsi="Wingdings" w:hint="default"/>
      </w:rPr>
    </w:lvl>
    <w:lvl w:ilvl="3" w:tplc="5BAC4B64" w:tentative="1">
      <w:start w:val="1"/>
      <w:numFmt w:val="bullet"/>
      <w:lvlText w:val=""/>
      <w:lvlJc w:val="left"/>
      <w:pPr>
        <w:ind w:left="3030" w:hanging="360"/>
      </w:pPr>
      <w:rPr>
        <w:rFonts w:ascii="Symbol" w:hAnsi="Symbol" w:hint="default"/>
      </w:rPr>
    </w:lvl>
    <w:lvl w:ilvl="4" w:tplc="A9941732" w:tentative="1">
      <w:start w:val="1"/>
      <w:numFmt w:val="bullet"/>
      <w:lvlText w:val="o"/>
      <w:lvlJc w:val="left"/>
      <w:pPr>
        <w:ind w:left="3750" w:hanging="360"/>
      </w:pPr>
      <w:rPr>
        <w:rFonts w:ascii="Courier New" w:hAnsi="Courier New" w:cs="Courier New" w:hint="default"/>
      </w:rPr>
    </w:lvl>
    <w:lvl w:ilvl="5" w:tplc="18AA7700" w:tentative="1">
      <w:start w:val="1"/>
      <w:numFmt w:val="bullet"/>
      <w:lvlText w:val=""/>
      <w:lvlJc w:val="left"/>
      <w:pPr>
        <w:ind w:left="4470" w:hanging="360"/>
      </w:pPr>
      <w:rPr>
        <w:rFonts w:ascii="Wingdings" w:hAnsi="Wingdings" w:hint="default"/>
      </w:rPr>
    </w:lvl>
    <w:lvl w:ilvl="6" w:tplc="A2F4E4D2" w:tentative="1">
      <w:start w:val="1"/>
      <w:numFmt w:val="bullet"/>
      <w:lvlText w:val=""/>
      <w:lvlJc w:val="left"/>
      <w:pPr>
        <w:ind w:left="5190" w:hanging="360"/>
      </w:pPr>
      <w:rPr>
        <w:rFonts w:ascii="Symbol" w:hAnsi="Symbol" w:hint="default"/>
      </w:rPr>
    </w:lvl>
    <w:lvl w:ilvl="7" w:tplc="CF80187C" w:tentative="1">
      <w:start w:val="1"/>
      <w:numFmt w:val="bullet"/>
      <w:lvlText w:val="o"/>
      <w:lvlJc w:val="left"/>
      <w:pPr>
        <w:ind w:left="5910" w:hanging="360"/>
      </w:pPr>
      <w:rPr>
        <w:rFonts w:ascii="Courier New" w:hAnsi="Courier New" w:cs="Courier New" w:hint="default"/>
      </w:rPr>
    </w:lvl>
    <w:lvl w:ilvl="8" w:tplc="A112AE22" w:tentative="1">
      <w:start w:val="1"/>
      <w:numFmt w:val="bullet"/>
      <w:lvlText w:val=""/>
      <w:lvlJc w:val="left"/>
      <w:pPr>
        <w:ind w:left="6630" w:hanging="360"/>
      </w:pPr>
      <w:rPr>
        <w:rFonts w:ascii="Wingdings" w:hAnsi="Wingdings" w:hint="default"/>
      </w:rPr>
    </w:lvl>
  </w:abstractNum>
  <w:abstractNum w:abstractNumId="98" w15:restartNumberingAfterBreak="0">
    <w:nsid w:val="737B0BE8"/>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99" w15:restartNumberingAfterBreak="0">
    <w:nsid w:val="73E86B5D"/>
    <w:multiLevelType w:val="hybridMultilevel"/>
    <w:tmpl w:val="477CCD46"/>
    <w:lvl w:ilvl="0" w:tplc="B1386300">
      <w:start w:val="1"/>
      <w:numFmt w:val="bullet"/>
      <w:lvlText w:val=""/>
      <w:lvlJc w:val="left"/>
      <w:pPr>
        <w:tabs>
          <w:tab w:val="num" w:pos="720"/>
        </w:tabs>
        <w:ind w:left="720" w:hanging="360"/>
      </w:pPr>
      <w:rPr>
        <w:rFonts w:ascii="Symbol" w:hAnsi="Symbol" w:hint="default"/>
      </w:rPr>
    </w:lvl>
    <w:lvl w:ilvl="1" w:tplc="5E204F8C" w:tentative="1">
      <w:start w:val="1"/>
      <w:numFmt w:val="bullet"/>
      <w:lvlText w:val="o"/>
      <w:lvlJc w:val="left"/>
      <w:pPr>
        <w:tabs>
          <w:tab w:val="num" w:pos="1440"/>
        </w:tabs>
        <w:ind w:left="1440" w:hanging="360"/>
      </w:pPr>
      <w:rPr>
        <w:rFonts w:ascii="Courier New" w:hAnsi="Courier New" w:hint="default"/>
      </w:rPr>
    </w:lvl>
    <w:lvl w:ilvl="2" w:tplc="24E4CB8A" w:tentative="1">
      <w:start w:val="1"/>
      <w:numFmt w:val="bullet"/>
      <w:lvlText w:val=""/>
      <w:lvlJc w:val="left"/>
      <w:pPr>
        <w:tabs>
          <w:tab w:val="num" w:pos="2160"/>
        </w:tabs>
        <w:ind w:left="2160" w:hanging="360"/>
      </w:pPr>
      <w:rPr>
        <w:rFonts w:ascii="Wingdings" w:hAnsi="Wingdings" w:hint="default"/>
      </w:rPr>
    </w:lvl>
    <w:lvl w:ilvl="3" w:tplc="0FF818D4" w:tentative="1">
      <w:start w:val="1"/>
      <w:numFmt w:val="bullet"/>
      <w:lvlText w:val=""/>
      <w:lvlJc w:val="left"/>
      <w:pPr>
        <w:tabs>
          <w:tab w:val="num" w:pos="2880"/>
        </w:tabs>
        <w:ind w:left="2880" w:hanging="360"/>
      </w:pPr>
      <w:rPr>
        <w:rFonts w:ascii="Symbol" w:hAnsi="Symbol" w:hint="default"/>
      </w:rPr>
    </w:lvl>
    <w:lvl w:ilvl="4" w:tplc="F7AAC30A" w:tentative="1">
      <w:start w:val="1"/>
      <w:numFmt w:val="bullet"/>
      <w:lvlText w:val="o"/>
      <w:lvlJc w:val="left"/>
      <w:pPr>
        <w:tabs>
          <w:tab w:val="num" w:pos="3600"/>
        </w:tabs>
        <w:ind w:left="3600" w:hanging="360"/>
      </w:pPr>
      <w:rPr>
        <w:rFonts w:ascii="Courier New" w:hAnsi="Courier New" w:hint="default"/>
      </w:rPr>
    </w:lvl>
    <w:lvl w:ilvl="5" w:tplc="12B2B304" w:tentative="1">
      <w:start w:val="1"/>
      <w:numFmt w:val="bullet"/>
      <w:lvlText w:val=""/>
      <w:lvlJc w:val="left"/>
      <w:pPr>
        <w:tabs>
          <w:tab w:val="num" w:pos="4320"/>
        </w:tabs>
        <w:ind w:left="4320" w:hanging="360"/>
      </w:pPr>
      <w:rPr>
        <w:rFonts w:ascii="Wingdings" w:hAnsi="Wingdings" w:hint="default"/>
      </w:rPr>
    </w:lvl>
    <w:lvl w:ilvl="6" w:tplc="1AE42388" w:tentative="1">
      <w:start w:val="1"/>
      <w:numFmt w:val="bullet"/>
      <w:lvlText w:val=""/>
      <w:lvlJc w:val="left"/>
      <w:pPr>
        <w:tabs>
          <w:tab w:val="num" w:pos="5040"/>
        </w:tabs>
        <w:ind w:left="5040" w:hanging="360"/>
      </w:pPr>
      <w:rPr>
        <w:rFonts w:ascii="Symbol" w:hAnsi="Symbol" w:hint="default"/>
      </w:rPr>
    </w:lvl>
    <w:lvl w:ilvl="7" w:tplc="8978489C" w:tentative="1">
      <w:start w:val="1"/>
      <w:numFmt w:val="bullet"/>
      <w:lvlText w:val="o"/>
      <w:lvlJc w:val="left"/>
      <w:pPr>
        <w:tabs>
          <w:tab w:val="num" w:pos="5760"/>
        </w:tabs>
        <w:ind w:left="5760" w:hanging="360"/>
      </w:pPr>
      <w:rPr>
        <w:rFonts w:ascii="Courier New" w:hAnsi="Courier New" w:hint="default"/>
      </w:rPr>
    </w:lvl>
    <w:lvl w:ilvl="8" w:tplc="F3349482"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4DB4655"/>
    <w:multiLevelType w:val="hybridMultilevel"/>
    <w:tmpl w:val="FE906A1C"/>
    <w:lvl w:ilvl="0" w:tplc="36C46B84">
      <w:start w:val="1"/>
      <w:numFmt w:val="bullet"/>
      <w:lvlText w:val=""/>
      <w:lvlJc w:val="left"/>
      <w:pPr>
        <w:tabs>
          <w:tab w:val="num" w:pos="720"/>
        </w:tabs>
        <w:ind w:left="720" w:hanging="360"/>
      </w:pPr>
      <w:rPr>
        <w:rFonts w:ascii="Symbol" w:hAnsi="Symbol" w:hint="default"/>
      </w:rPr>
    </w:lvl>
    <w:lvl w:ilvl="1" w:tplc="303CD06A">
      <w:start w:val="1"/>
      <w:numFmt w:val="bullet"/>
      <w:lvlText w:val="o"/>
      <w:lvlJc w:val="left"/>
      <w:pPr>
        <w:ind w:left="1440" w:hanging="360"/>
      </w:pPr>
      <w:rPr>
        <w:rFonts w:ascii="Courier New" w:hAnsi="Courier New" w:cs="Courier New" w:hint="default"/>
      </w:rPr>
    </w:lvl>
    <w:lvl w:ilvl="2" w:tplc="1706A024" w:tentative="1">
      <w:start w:val="1"/>
      <w:numFmt w:val="bullet"/>
      <w:lvlText w:val=""/>
      <w:lvlJc w:val="left"/>
      <w:pPr>
        <w:ind w:left="2160" w:hanging="360"/>
      </w:pPr>
      <w:rPr>
        <w:rFonts w:ascii="Wingdings" w:hAnsi="Wingdings" w:hint="default"/>
      </w:rPr>
    </w:lvl>
    <w:lvl w:ilvl="3" w:tplc="2A8E0E76" w:tentative="1">
      <w:start w:val="1"/>
      <w:numFmt w:val="bullet"/>
      <w:lvlText w:val=""/>
      <w:lvlJc w:val="left"/>
      <w:pPr>
        <w:ind w:left="2880" w:hanging="360"/>
      </w:pPr>
      <w:rPr>
        <w:rFonts w:ascii="Symbol" w:hAnsi="Symbol" w:hint="default"/>
      </w:rPr>
    </w:lvl>
    <w:lvl w:ilvl="4" w:tplc="4BA218F8" w:tentative="1">
      <w:start w:val="1"/>
      <w:numFmt w:val="bullet"/>
      <w:lvlText w:val="o"/>
      <w:lvlJc w:val="left"/>
      <w:pPr>
        <w:ind w:left="3600" w:hanging="360"/>
      </w:pPr>
      <w:rPr>
        <w:rFonts w:ascii="Courier New" w:hAnsi="Courier New" w:cs="Courier New" w:hint="default"/>
      </w:rPr>
    </w:lvl>
    <w:lvl w:ilvl="5" w:tplc="347CE11A" w:tentative="1">
      <w:start w:val="1"/>
      <w:numFmt w:val="bullet"/>
      <w:lvlText w:val=""/>
      <w:lvlJc w:val="left"/>
      <w:pPr>
        <w:ind w:left="4320" w:hanging="360"/>
      </w:pPr>
      <w:rPr>
        <w:rFonts w:ascii="Wingdings" w:hAnsi="Wingdings" w:hint="default"/>
      </w:rPr>
    </w:lvl>
    <w:lvl w:ilvl="6" w:tplc="318AE89A" w:tentative="1">
      <w:start w:val="1"/>
      <w:numFmt w:val="bullet"/>
      <w:lvlText w:val=""/>
      <w:lvlJc w:val="left"/>
      <w:pPr>
        <w:ind w:left="5040" w:hanging="360"/>
      </w:pPr>
      <w:rPr>
        <w:rFonts w:ascii="Symbol" w:hAnsi="Symbol" w:hint="default"/>
      </w:rPr>
    </w:lvl>
    <w:lvl w:ilvl="7" w:tplc="1C843332" w:tentative="1">
      <w:start w:val="1"/>
      <w:numFmt w:val="bullet"/>
      <w:lvlText w:val="o"/>
      <w:lvlJc w:val="left"/>
      <w:pPr>
        <w:ind w:left="5760" w:hanging="360"/>
      </w:pPr>
      <w:rPr>
        <w:rFonts w:ascii="Courier New" w:hAnsi="Courier New" w:cs="Courier New" w:hint="default"/>
      </w:rPr>
    </w:lvl>
    <w:lvl w:ilvl="8" w:tplc="4DC4F0A8" w:tentative="1">
      <w:start w:val="1"/>
      <w:numFmt w:val="bullet"/>
      <w:lvlText w:val=""/>
      <w:lvlJc w:val="left"/>
      <w:pPr>
        <w:ind w:left="6480" w:hanging="360"/>
      </w:pPr>
      <w:rPr>
        <w:rFonts w:ascii="Wingdings" w:hAnsi="Wingdings" w:hint="default"/>
      </w:rPr>
    </w:lvl>
  </w:abstractNum>
  <w:abstractNum w:abstractNumId="101" w15:restartNumberingAfterBreak="0">
    <w:nsid w:val="7593606E"/>
    <w:multiLevelType w:val="hybridMultilevel"/>
    <w:tmpl w:val="44E227DE"/>
    <w:lvl w:ilvl="0" w:tplc="F56CB308">
      <w:start w:val="1"/>
      <w:numFmt w:val="bullet"/>
      <w:lvlText w:val=""/>
      <w:lvlJc w:val="left"/>
      <w:pPr>
        <w:tabs>
          <w:tab w:val="num" w:pos="720"/>
        </w:tabs>
        <w:ind w:left="720" w:hanging="360"/>
      </w:pPr>
      <w:rPr>
        <w:rFonts w:ascii="Symbol" w:hAnsi="Symbol" w:hint="default"/>
      </w:rPr>
    </w:lvl>
    <w:lvl w:ilvl="1" w:tplc="B40CA886" w:tentative="1">
      <w:start w:val="1"/>
      <w:numFmt w:val="bullet"/>
      <w:lvlText w:val="o"/>
      <w:lvlJc w:val="left"/>
      <w:pPr>
        <w:tabs>
          <w:tab w:val="num" w:pos="1440"/>
        </w:tabs>
        <w:ind w:left="1440" w:hanging="360"/>
      </w:pPr>
      <w:rPr>
        <w:rFonts w:ascii="Courier New" w:hAnsi="Courier New" w:hint="default"/>
      </w:rPr>
    </w:lvl>
    <w:lvl w:ilvl="2" w:tplc="C0BEF534" w:tentative="1">
      <w:start w:val="1"/>
      <w:numFmt w:val="bullet"/>
      <w:lvlText w:val=""/>
      <w:lvlJc w:val="left"/>
      <w:pPr>
        <w:tabs>
          <w:tab w:val="num" w:pos="2160"/>
        </w:tabs>
        <w:ind w:left="2160" w:hanging="360"/>
      </w:pPr>
      <w:rPr>
        <w:rFonts w:ascii="Wingdings" w:hAnsi="Wingdings" w:hint="default"/>
      </w:rPr>
    </w:lvl>
    <w:lvl w:ilvl="3" w:tplc="4BD6C3D4" w:tentative="1">
      <w:start w:val="1"/>
      <w:numFmt w:val="bullet"/>
      <w:lvlText w:val=""/>
      <w:lvlJc w:val="left"/>
      <w:pPr>
        <w:tabs>
          <w:tab w:val="num" w:pos="2880"/>
        </w:tabs>
        <w:ind w:left="2880" w:hanging="360"/>
      </w:pPr>
      <w:rPr>
        <w:rFonts w:ascii="Symbol" w:hAnsi="Symbol" w:hint="default"/>
      </w:rPr>
    </w:lvl>
    <w:lvl w:ilvl="4" w:tplc="4F6E98CC" w:tentative="1">
      <w:start w:val="1"/>
      <w:numFmt w:val="bullet"/>
      <w:lvlText w:val="o"/>
      <w:lvlJc w:val="left"/>
      <w:pPr>
        <w:tabs>
          <w:tab w:val="num" w:pos="3600"/>
        </w:tabs>
        <w:ind w:left="3600" w:hanging="360"/>
      </w:pPr>
      <w:rPr>
        <w:rFonts w:ascii="Courier New" w:hAnsi="Courier New" w:hint="default"/>
      </w:rPr>
    </w:lvl>
    <w:lvl w:ilvl="5" w:tplc="554CC058" w:tentative="1">
      <w:start w:val="1"/>
      <w:numFmt w:val="bullet"/>
      <w:lvlText w:val=""/>
      <w:lvlJc w:val="left"/>
      <w:pPr>
        <w:tabs>
          <w:tab w:val="num" w:pos="4320"/>
        </w:tabs>
        <w:ind w:left="4320" w:hanging="360"/>
      </w:pPr>
      <w:rPr>
        <w:rFonts w:ascii="Wingdings" w:hAnsi="Wingdings" w:hint="default"/>
      </w:rPr>
    </w:lvl>
    <w:lvl w:ilvl="6" w:tplc="A14C8D32" w:tentative="1">
      <w:start w:val="1"/>
      <w:numFmt w:val="bullet"/>
      <w:lvlText w:val=""/>
      <w:lvlJc w:val="left"/>
      <w:pPr>
        <w:tabs>
          <w:tab w:val="num" w:pos="5040"/>
        </w:tabs>
        <w:ind w:left="5040" w:hanging="360"/>
      </w:pPr>
      <w:rPr>
        <w:rFonts w:ascii="Symbol" w:hAnsi="Symbol" w:hint="default"/>
      </w:rPr>
    </w:lvl>
    <w:lvl w:ilvl="7" w:tplc="3604A97E" w:tentative="1">
      <w:start w:val="1"/>
      <w:numFmt w:val="bullet"/>
      <w:lvlText w:val="o"/>
      <w:lvlJc w:val="left"/>
      <w:pPr>
        <w:tabs>
          <w:tab w:val="num" w:pos="5760"/>
        </w:tabs>
        <w:ind w:left="5760" w:hanging="360"/>
      </w:pPr>
      <w:rPr>
        <w:rFonts w:ascii="Courier New" w:hAnsi="Courier New" w:hint="default"/>
      </w:rPr>
    </w:lvl>
    <w:lvl w:ilvl="8" w:tplc="B05A1EFA"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5D778B7"/>
    <w:multiLevelType w:val="hybridMultilevel"/>
    <w:tmpl w:val="A87C312A"/>
    <w:lvl w:ilvl="0" w:tplc="E7008FFA">
      <w:start w:val="1"/>
      <w:numFmt w:val="bullet"/>
      <w:lvlText w:val=""/>
      <w:lvlJc w:val="left"/>
      <w:pPr>
        <w:ind w:left="360" w:hanging="360"/>
      </w:pPr>
      <w:rPr>
        <w:rFonts w:ascii="Symbol" w:hAnsi="Symbol" w:hint="default"/>
      </w:rPr>
    </w:lvl>
    <w:lvl w:ilvl="1" w:tplc="1408E0D6">
      <w:start w:val="1"/>
      <w:numFmt w:val="bullet"/>
      <w:lvlText w:val="o"/>
      <w:lvlJc w:val="left"/>
      <w:pPr>
        <w:ind w:left="1440" w:hanging="360"/>
      </w:pPr>
      <w:rPr>
        <w:rFonts w:ascii="Courier New" w:hAnsi="Courier New" w:cs="Courier New" w:hint="default"/>
      </w:rPr>
    </w:lvl>
    <w:lvl w:ilvl="2" w:tplc="04406082" w:tentative="1">
      <w:start w:val="1"/>
      <w:numFmt w:val="bullet"/>
      <w:lvlText w:val=""/>
      <w:lvlJc w:val="left"/>
      <w:pPr>
        <w:ind w:left="2160" w:hanging="360"/>
      </w:pPr>
      <w:rPr>
        <w:rFonts w:ascii="Wingdings" w:hAnsi="Wingdings" w:hint="default"/>
      </w:rPr>
    </w:lvl>
    <w:lvl w:ilvl="3" w:tplc="E4EA782E" w:tentative="1">
      <w:start w:val="1"/>
      <w:numFmt w:val="bullet"/>
      <w:lvlText w:val=""/>
      <w:lvlJc w:val="left"/>
      <w:pPr>
        <w:ind w:left="2880" w:hanging="360"/>
      </w:pPr>
      <w:rPr>
        <w:rFonts w:ascii="Symbol" w:hAnsi="Symbol" w:hint="default"/>
      </w:rPr>
    </w:lvl>
    <w:lvl w:ilvl="4" w:tplc="DDC8C3AC" w:tentative="1">
      <w:start w:val="1"/>
      <w:numFmt w:val="bullet"/>
      <w:lvlText w:val="o"/>
      <w:lvlJc w:val="left"/>
      <w:pPr>
        <w:ind w:left="3600" w:hanging="360"/>
      </w:pPr>
      <w:rPr>
        <w:rFonts w:ascii="Courier New" w:hAnsi="Courier New" w:cs="Courier New" w:hint="default"/>
      </w:rPr>
    </w:lvl>
    <w:lvl w:ilvl="5" w:tplc="1B000F7E" w:tentative="1">
      <w:start w:val="1"/>
      <w:numFmt w:val="bullet"/>
      <w:lvlText w:val=""/>
      <w:lvlJc w:val="left"/>
      <w:pPr>
        <w:ind w:left="4320" w:hanging="360"/>
      </w:pPr>
      <w:rPr>
        <w:rFonts w:ascii="Wingdings" w:hAnsi="Wingdings" w:hint="default"/>
      </w:rPr>
    </w:lvl>
    <w:lvl w:ilvl="6" w:tplc="B5841B7C" w:tentative="1">
      <w:start w:val="1"/>
      <w:numFmt w:val="bullet"/>
      <w:lvlText w:val=""/>
      <w:lvlJc w:val="left"/>
      <w:pPr>
        <w:ind w:left="5040" w:hanging="360"/>
      </w:pPr>
      <w:rPr>
        <w:rFonts w:ascii="Symbol" w:hAnsi="Symbol" w:hint="default"/>
      </w:rPr>
    </w:lvl>
    <w:lvl w:ilvl="7" w:tplc="B1405166" w:tentative="1">
      <w:start w:val="1"/>
      <w:numFmt w:val="bullet"/>
      <w:lvlText w:val="o"/>
      <w:lvlJc w:val="left"/>
      <w:pPr>
        <w:ind w:left="5760" w:hanging="360"/>
      </w:pPr>
      <w:rPr>
        <w:rFonts w:ascii="Courier New" w:hAnsi="Courier New" w:cs="Courier New" w:hint="default"/>
      </w:rPr>
    </w:lvl>
    <w:lvl w:ilvl="8" w:tplc="1AACAE22" w:tentative="1">
      <w:start w:val="1"/>
      <w:numFmt w:val="bullet"/>
      <w:lvlText w:val=""/>
      <w:lvlJc w:val="left"/>
      <w:pPr>
        <w:ind w:left="6480" w:hanging="360"/>
      </w:pPr>
      <w:rPr>
        <w:rFonts w:ascii="Wingdings" w:hAnsi="Wingdings" w:hint="default"/>
      </w:rPr>
    </w:lvl>
  </w:abstractNum>
  <w:abstractNum w:abstractNumId="103" w15:restartNumberingAfterBreak="0">
    <w:nsid w:val="7673672F"/>
    <w:multiLevelType w:val="hybridMultilevel"/>
    <w:tmpl w:val="0B8099FC"/>
    <w:lvl w:ilvl="0" w:tplc="914A35D2">
      <w:start w:val="1"/>
      <w:numFmt w:val="bullet"/>
      <w:lvlText w:val=""/>
      <w:lvlJc w:val="left"/>
      <w:pPr>
        <w:ind w:left="720" w:hanging="360"/>
      </w:pPr>
      <w:rPr>
        <w:rFonts w:ascii="Symbol" w:hAnsi="Symbol" w:hint="default"/>
      </w:rPr>
    </w:lvl>
    <w:lvl w:ilvl="1" w:tplc="4A1A3ADA" w:tentative="1">
      <w:start w:val="1"/>
      <w:numFmt w:val="bullet"/>
      <w:lvlText w:val="o"/>
      <w:lvlJc w:val="left"/>
      <w:pPr>
        <w:ind w:left="1440" w:hanging="360"/>
      </w:pPr>
      <w:rPr>
        <w:rFonts w:ascii="Courier New" w:hAnsi="Courier New" w:hint="default"/>
      </w:rPr>
    </w:lvl>
    <w:lvl w:ilvl="2" w:tplc="15FCB35E" w:tentative="1">
      <w:start w:val="1"/>
      <w:numFmt w:val="bullet"/>
      <w:lvlText w:val=""/>
      <w:lvlJc w:val="left"/>
      <w:pPr>
        <w:ind w:left="2160" w:hanging="360"/>
      </w:pPr>
      <w:rPr>
        <w:rFonts w:ascii="Wingdings" w:hAnsi="Wingdings" w:hint="default"/>
      </w:rPr>
    </w:lvl>
    <w:lvl w:ilvl="3" w:tplc="AA84F7B6" w:tentative="1">
      <w:start w:val="1"/>
      <w:numFmt w:val="bullet"/>
      <w:lvlText w:val=""/>
      <w:lvlJc w:val="left"/>
      <w:pPr>
        <w:ind w:left="2880" w:hanging="360"/>
      </w:pPr>
      <w:rPr>
        <w:rFonts w:ascii="Symbol" w:hAnsi="Symbol" w:hint="default"/>
      </w:rPr>
    </w:lvl>
    <w:lvl w:ilvl="4" w:tplc="96944996" w:tentative="1">
      <w:start w:val="1"/>
      <w:numFmt w:val="bullet"/>
      <w:lvlText w:val="o"/>
      <w:lvlJc w:val="left"/>
      <w:pPr>
        <w:ind w:left="3600" w:hanging="360"/>
      </w:pPr>
      <w:rPr>
        <w:rFonts w:ascii="Courier New" w:hAnsi="Courier New" w:hint="default"/>
      </w:rPr>
    </w:lvl>
    <w:lvl w:ilvl="5" w:tplc="71842DA8" w:tentative="1">
      <w:start w:val="1"/>
      <w:numFmt w:val="bullet"/>
      <w:lvlText w:val=""/>
      <w:lvlJc w:val="left"/>
      <w:pPr>
        <w:ind w:left="4320" w:hanging="360"/>
      </w:pPr>
      <w:rPr>
        <w:rFonts w:ascii="Wingdings" w:hAnsi="Wingdings" w:hint="default"/>
      </w:rPr>
    </w:lvl>
    <w:lvl w:ilvl="6" w:tplc="E8441D06" w:tentative="1">
      <w:start w:val="1"/>
      <w:numFmt w:val="bullet"/>
      <w:lvlText w:val=""/>
      <w:lvlJc w:val="left"/>
      <w:pPr>
        <w:ind w:left="5040" w:hanging="360"/>
      </w:pPr>
      <w:rPr>
        <w:rFonts w:ascii="Symbol" w:hAnsi="Symbol" w:hint="default"/>
      </w:rPr>
    </w:lvl>
    <w:lvl w:ilvl="7" w:tplc="E750A728" w:tentative="1">
      <w:start w:val="1"/>
      <w:numFmt w:val="bullet"/>
      <w:lvlText w:val="o"/>
      <w:lvlJc w:val="left"/>
      <w:pPr>
        <w:ind w:left="5760" w:hanging="360"/>
      </w:pPr>
      <w:rPr>
        <w:rFonts w:ascii="Courier New" w:hAnsi="Courier New" w:hint="default"/>
      </w:rPr>
    </w:lvl>
    <w:lvl w:ilvl="8" w:tplc="261C7592" w:tentative="1">
      <w:start w:val="1"/>
      <w:numFmt w:val="bullet"/>
      <w:lvlText w:val=""/>
      <w:lvlJc w:val="left"/>
      <w:pPr>
        <w:ind w:left="6480" w:hanging="360"/>
      </w:pPr>
      <w:rPr>
        <w:rFonts w:ascii="Wingdings" w:hAnsi="Wingdings" w:hint="default"/>
      </w:rPr>
    </w:lvl>
  </w:abstractNum>
  <w:abstractNum w:abstractNumId="104" w15:restartNumberingAfterBreak="0">
    <w:nsid w:val="774D1A38"/>
    <w:multiLevelType w:val="hybridMultilevel"/>
    <w:tmpl w:val="316C5FA6"/>
    <w:lvl w:ilvl="0" w:tplc="2C4E261A">
      <w:start w:val="1"/>
      <w:numFmt w:val="bullet"/>
      <w:lvlText w:val=""/>
      <w:lvlJc w:val="left"/>
      <w:pPr>
        <w:ind w:left="720" w:hanging="360"/>
      </w:pPr>
      <w:rPr>
        <w:rFonts w:ascii="Symbol" w:hAnsi="Symbol" w:hint="default"/>
      </w:rPr>
    </w:lvl>
    <w:lvl w:ilvl="1" w:tplc="391088D0" w:tentative="1">
      <w:start w:val="1"/>
      <w:numFmt w:val="bullet"/>
      <w:lvlText w:val="o"/>
      <w:lvlJc w:val="left"/>
      <w:pPr>
        <w:ind w:left="1440" w:hanging="360"/>
      </w:pPr>
      <w:rPr>
        <w:rFonts w:ascii="Courier New" w:hAnsi="Courier New" w:cs="Courier New" w:hint="default"/>
      </w:rPr>
    </w:lvl>
    <w:lvl w:ilvl="2" w:tplc="F3DAA832" w:tentative="1">
      <w:start w:val="1"/>
      <w:numFmt w:val="bullet"/>
      <w:lvlText w:val=""/>
      <w:lvlJc w:val="left"/>
      <w:pPr>
        <w:ind w:left="2160" w:hanging="360"/>
      </w:pPr>
      <w:rPr>
        <w:rFonts w:ascii="Wingdings" w:hAnsi="Wingdings" w:hint="default"/>
      </w:rPr>
    </w:lvl>
    <w:lvl w:ilvl="3" w:tplc="2E421F0E" w:tentative="1">
      <w:start w:val="1"/>
      <w:numFmt w:val="bullet"/>
      <w:lvlText w:val=""/>
      <w:lvlJc w:val="left"/>
      <w:pPr>
        <w:ind w:left="2880" w:hanging="360"/>
      </w:pPr>
      <w:rPr>
        <w:rFonts w:ascii="Symbol" w:hAnsi="Symbol" w:hint="default"/>
      </w:rPr>
    </w:lvl>
    <w:lvl w:ilvl="4" w:tplc="BF56C046" w:tentative="1">
      <w:start w:val="1"/>
      <w:numFmt w:val="bullet"/>
      <w:lvlText w:val="o"/>
      <w:lvlJc w:val="left"/>
      <w:pPr>
        <w:ind w:left="3600" w:hanging="360"/>
      </w:pPr>
      <w:rPr>
        <w:rFonts w:ascii="Courier New" w:hAnsi="Courier New" w:cs="Courier New" w:hint="default"/>
      </w:rPr>
    </w:lvl>
    <w:lvl w:ilvl="5" w:tplc="C4AC9AB2" w:tentative="1">
      <w:start w:val="1"/>
      <w:numFmt w:val="bullet"/>
      <w:lvlText w:val=""/>
      <w:lvlJc w:val="left"/>
      <w:pPr>
        <w:ind w:left="4320" w:hanging="360"/>
      </w:pPr>
      <w:rPr>
        <w:rFonts w:ascii="Wingdings" w:hAnsi="Wingdings" w:hint="default"/>
      </w:rPr>
    </w:lvl>
    <w:lvl w:ilvl="6" w:tplc="379CCED4" w:tentative="1">
      <w:start w:val="1"/>
      <w:numFmt w:val="bullet"/>
      <w:lvlText w:val=""/>
      <w:lvlJc w:val="left"/>
      <w:pPr>
        <w:ind w:left="5040" w:hanging="360"/>
      </w:pPr>
      <w:rPr>
        <w:rFonts w:ascii="Symbol" w:hAnsi="Symbol" w:hint="default"/>
      </w:rPr>
    </w:lvl>
    <w:lvl w:ilvl="7" w:tplc="19BCC056" w:tentative="1">
      <w:start w:val="1"/>
      <w:numFmt w:val="bullet"/>
      <w:lvlText w:val="o"/>
      <w:lvlJc w:val="left"/>
      <w:pPr>
        <w:ind w:left="5760" w:hanging="360"/>
      </w:pPr>
      <w:rPr>
        <w:rFonts w:ascii="Courier New" w:hAnsi="Courier New" w:cs="Courier New" w:hint="default"/>
      </w:rPr>
    </w:lvl>
    <w:lvl w:ilvl="8" w:tplc="53C03D16" w:tentative="1">
      <w:start w:val="1"/>
      <w:numFmt w:val="bullet"/>
      <w:lvlText w:val=""/>
      <w:lvlJc w:val="left"/>
      <w:pPr>
        <w:ind w:left="6480" w:hanging="360"/>
      </w:pPr>
      <w:rPr>
        <w:rFonts w:ascii="Wingdings" w:hAnsi="Wingdings" w:hint="default"/>
      </w:rPr>
    </w:lvl>
  </w:abstractNum>
  <w:abstractNum w:abstractNumId="105" w15:restartNumberingAfterBreak="0">
    <w:nsid w:val="79CD7F37"/>
    <w:multiLevelType w:val="multilevel"/>
    <w:tmpl w:val="905201FA"/>
    <w:lvl w:ilvl="0">
      <w:start w:val="1"/>
      <w:numFmt w:val="bullet"/>
      <w:lvlText w:val="•"/>
      <w:lvlJc w:val="left"/>
      <w:pPr>
        <w:ind w:left="643"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06" w15:restartNumberingAfterBreak="0">
    <w:nsid w:val="7A2C2E7C"/>
    <w:multiLevelType w:val="hybridMultilevel"/>
    <w:tmpl w:val="800CDC56"/>
    <w:lvl w:ilvl="0" w:tplc="1FAEA510">
      <w:start w:val="1"/>
      <w:numFmt w:val="bullet"/>
      <w:lvlText w:val=""/>
      <w:lvlJc w:val="left"/>
      <w:pPr>
        <w:tabs>
          <w:tab w:val="num" w:pos="720"/>
        </w:tabs>
        <w:ind w:left="720" w:hanging="360"/>
      </w:pPr>
      <w:rPr>
        <w:rFonts w:ascii="Symbol" w:hAnsi="Symbol" w:hint="default"/>
      </w:rPr>
    </w:lvl>
    <w:lvl w:ilvl="1" w:tplc="FFB20862">
      <w:start w:val="1"/>
      <w:numFmt w:val="bullet"/>
      <w:lvlText w:val="o"/>
      <w:lvlJc w:val="left"/>
      <w:pPr>
        <w:tabs>
          <w:tab w:val="num" w:pos="1440"/>
        </w:tabs>
        <w:ind w:left="1440" w:hanging="360"/>
      </w:pPr>
      <w:rPr>
        <w:rFonts w:ascii="Courier New" w:hAnsi="Courier New" w:hint="default"/>
      </w:rPr>
    </w:lvl>
    <w:lvl w:ilvl="2" w:tplc="D57A2442" w:tentative="1">
      <w:start w:val="1"/>
      <w:numFmt w:val="bullet"/>
      <w:lvlText w:val=""/>
      <w:lvlJc w:val="left"/>
      <w:pPr>
        <w:tabs>
          <w:tab w:val="num" w:pos="2160"/>
        </w:tabs>
        <w:ind w:left="2160" w:hanging="360"/>
      </w:pPr>
      <w:rPr>
        <w:rFonts w:ascii="Wingdings" w:hAnsi="Wingdings" w:hint="default"/>
      </w:rPr>
    </w:lvl>
    <w:lvl w:ilvl="3" w:tplc="3D58C0E8" w:tentative="1">
      <w:start w:val="1"/>
      <w:numFmt w:val="bullet"/>
      <w:lvlText w:val=""/>
      <w:lvlJc w:val="left"/>
      <w:pPr>
        <w:tabs>
          <w:tab w:val="num" w:pos="2880"/>
        </w:tabs>
        <w:ind w:left="2880" w:hanging="360"/>
      </w:pPr>
      <w:rPr>
        <w:rFonts w:ascii="Symbol" w:hAnsi="Symbol" w:hint="default"/>
      </w:rPr>
    </w:lvl>
    <w:lvl w:ilvl="4" w:tplc="125EF3BC" w:tentative="1">
      <w:start w:val="1"/>
      <w:numFmt w:val="bullet"/>
      <w:lvlText w:val="o"/>
      <w:lvlJc w:val="left"/>
      <w:pPr>
        <w:tabs>
          <w:tab w:val="num" w:pos="3600"/>
        </w:tabs>
        <w:ind w:left="3600" w:hanging="360"/>
      </w:pPr>
      <w:rPr>
        <w:rFonts w:ascii="Courier New" w:hAnsi="Courier New" w:hint="default"/>
      </w:rPr>
    </w:lvl>
    <w:lvl w:ilvl="5" w:tplc="32BEEBAE" w:tentative="1">
      <w:start w:val="1"/>
      <w:numFmt w:val="bullet"/>
      <w:lvlText w:val=""/>
      <w:lvlJc w:val="left"/>
      <w:pPr>
        <w:tabs>
          <w:tab w:val="num" w:pos="4320"/>
        </w:tabs>
        <w:ind w:left="4320" w:hanging="360"/>
      </w:pPr>
      <w:rPr>
        <w:rFonts w:ascii="Wingdings" w:hAnsi="Wingdings" w:hint="default"/>
      </w:rPr>
    </w:lvl>
    <w:lvl w:ilvl="6" w:tplc="F10A8E84" w:tentative="1">
      <w:start w:val="1"/>
      <w:numFmt w:val="bullet"/>
      <w:lvlText w:val=""/>
      <w:lvlJc w:val="left"/>
      <w:pPr>
        <w:tabs>
          <w:tab w:val="num" w:pos="5040"/>
        </w:tabs>
        <w:ind w:left="5040" w:hanging="360"/>
      </w:pPr>
      <w:rPr>
        <w:rFonts w:ascii="Symbol" w:hAnsi="Symbol" w:hint="default"/>
      </w:rPr>
    </w:lvl>
    <w:lvl w:ilvl="7" w:tplc="06903C20" w:tentative="1">
      <w:start w:val="1"/>
      <w:numFmt w:val="bullet"/>
      <w:lvlText w:val="o"/>
      <w:lvlJc w:val="left"/>
      <w:pPr>
        <w:tabs>
          <w:tab w:val="num" w:pos="5760"/>
        </w:tabs>
        <w:ind w:left="5760" w:hanging="360"/>
      </w:pPr>
      <w:rPr>
        <w:rFonts w:ascii="Courier New" w:hAnsi="Courier New" w:hint="default"/>
      </w:rPr>
    </w:lvl>
    <w:lvl w:ilvl="8" w:tplc="019C101A"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A705DB7"/>
    <w:multiLevelType w:val="hybridMultilevel"/>
    <w:tmpl w:val="076E87CC"/>
    <w:lvl w:ilvl="0" w:tplc="95D6C502">
      <w:start w:val="1"/>
      <w:numFmt w:val="bullet"/>
      <w:lvlText w:val=""/>
      <w:lvlJc w:val="left"/>
      <w:pPr>
        <w:ind w:left="1440" w:hanging="360"/>
      </w:pPr>
      <w:rPr>
        <w:rFonts w:ascii="Symbol" w:hAnsi="Symbol" w:hint="default"/>
      </w:rPr>
    </w:lvl>
    <w:lvl w:ilvl="1" w:tplc="57B89556" w:tentative="1">
      <w:start w:val="1"/>
      <w:numFmt w:val="bullet"/>
      <w:lvlText w:val="o"/>
      <w:lvlJc w:val="left"/>
      <w:pPr>
        <w:ind w:left="2160" w:hanging="360"/>
      </w:pPr>
      <w:rPr>
        <w:rFonts w:ascii="Courier New" w:hAnsi="Courier New" w:cs="Courier New" w:hint="default"/>
      </w:rPr>
    </w:lvl>
    <w:lvl w:ilvl="2" w:tplc="7BBC732A" w:tentative="1">
      <w:start w:val="1"/>
      <w:numFmt w:val="bullet"/>
      <w:lvlText w:val=""/>
      <w:lvlJc w:val="left"/>
      <w:pPr>
        <w:ind w:left="2880" w:hanging="360"/>
      </w:pPr>
      <w:rPr>
        <w:rFonts w:ascii="Wingdings" w:hAnsi="Wingdings" w:hint="default"/>
      </w:rPr>
    </w:lvl>
    <w:lvl w:ilvl="3" w:tplc="883E1DF8" w:tentative="1">
      <w:start w:val="1"/>
      <w:numFmt w:val="bullet"/>
      <w:lvlText w:val=""/>
      <w:lvlJc w:val="left"/>
      <w:pPr>
        <w:ind w:left="3600" w:hanging="360"/>
      </w:pPr>
      <w:rPr>
        <w:rFonts w:ascii="Symbol" w:hAnsi="Symbol" w:hint="default"/>
      </w:rPr>
    </w:lvl>
    <w:lvl w:ilvl="4" w:tplc="1ED415B0" w:tentative="1">
      <w:start w:val="1"/>
      <w:numFmt w:val="bullet"/>
      <w:lvlText w:val="o"/>
      <w:lvlJc w:val="left"/>
      <w:pPr>
        <w:ind w:left="4320" w:hanging="360"/>
      </w:pPr>
      <w:rPr>
        <w:rFonts w:ascii="Courier New" w:hAnsi="Courier New" w:cs="Courier New" w:hint="default"/>
      </w:rPr>
    </w:lvl>
    <w:lvl w:ilvl="5" w:tplc="81A29A30" w:tentative="1">
      <w:start w:val="1"/>
      <w:numFmt w:val="bullet"/>
      <w:lvlText w:val=""/>
      <w:lvlJc w:val="left"/>
      <w:pPr>
        <w:ind w:left="5040" w:hanging="360"/>
      </w:pPr>
      <w:rPr>
        <w:rFonts w:ascii="Wingdings" w:hAnsi="Wingdings" w:hint="default"/>
      </w:rPr>
    </w:lvl>
    <w:lvl w:ilvl="6" w:tplc="88AE1492" w:tentative="1">
      <w:start w:val="1"/>
      <w:numFmt w:val="bullet"/>
      <w:lvlText w:val=""/>
      <w:lvlJc w:val="left"/>
      <w:pPr>
        <w:ind w:left="5760" w:hanging="360"/>
      </w:pPr>
      <w:rPr>
        <w:rFonts w:ascii="Symbol" w:hAnsi="Symbol" w:hint="default"/>
      </w:rPr>
    </w:lvl>
    <w:lvl w:ilvl="7" w:tplc="92B24A2C" w:tentative="1">
      <w:start w:val="1"/>
      <w:numFmt w:val="bullet"/>
      <w:lvlText w:val="o"/>
      <w:lvlJc w:val="left"/>
      <w:pPr>
        <w:ind w:left="6480" w:hanging="360"/>
      </w:pPr>
      <w:rPr>
        <w:rFonts w:ascii="Courier New" w:hAnsi="Courier New" w:cs="Courier New" w:hint="default"/>
      </w:rPr>
    </w:lvl>
    <w:lvl w:ilvl="8" w:tplc="E676FA56" w:tentative="1">
      <w:start w:val="1"/>
      <w:numFmt w:val="bullet"/>
      <w:lvlText w:val=""/>
      <w:lvlJc w:val="left"/>
      <w:pPr>
        <w:ind w:left="7200" w:hanging="360"/>
      </w:pPr>
      <w:rPr>
        <w:rFonts w:ascii="Wingdings" w:hAnsi="Wingdings" w:hint="default"/>
      </w:rPr>
    </w:lvl>
  </w:abstractNum>
  <w:abstractNum w:abstractNumId="108" w15:restartNumberingAfterBreak="0">
    <w:nsid w:val="7A711277"/>
    <w:multiLevelType w:val="multilevel"/>
    <w:tmpl w:val="AA0E75B2"/>
    <w:lvl w:ilvl="0">
      <w:start w:val="1"/>
      <w:numFmt w:val="bullet"/>
      <w:pStyle w:val="EMEA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left"/>
      <w:pPr>
        <w:tabs>
          <w:tab w:val="num" w:pos="144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9" w15:restartNumberingAfterBreak="0">
    <w:nsid w:val="7B6A60FD"/>
    <w:multiLevelType w:val="hybridMultilevel"/>
    <w:tmpl w:val="2F149742"/>
    <w:lvl w:ilvl="0" w:tplc="77463BCE">
      <w:start w:val="1"/>
      <w:numFmt w:val="bullet"/>
      <w:lvlText w:val=""/>
      <w:lvlJc w:val="left"/>
      <w:pPr>
        <w:tabs>
          <w:tab w:val="num" w:pos="720"/>
        </w:tabs>
        <w:ind w:left="720" w:hanging="360"/>
      </w:pPr>
      <w:rPr>
        <w:rFonts w:ascii="Symbol" w:hAnsi="Symbol" w:hint="default"/>
      </w:rPr>
    </w:lvl>
    <w:lvl w:ilvl="1" w:tplc="AD726672" w:tentative="1">
      <w:start w:val="1"/>
      <w:numFmt w:val="bullet"/>
      <w:lvlText w:val="o"/>
      <w:lvlJc w:val="left"/>
      <w:pPr>
        <w:tabs>
          <w:tab w:val="num" w:pos="1440"/>
        </w:tabs>
        <w:ind w:left="1440" w:hanging="360"/>
      </w:pPr>
      <w:rPr>
        <w:rFonts w:ascii="Courier New" w:hAnsi="Courier New" w:hint="default"/>
      </w:rPr>
    </w:lvl>
    <w:lvl w:ilvl="2" w:tplc="83106CBC" w:tentative="1">
      <w:start w:val="1"/>
      <w:numFmt w:val="bullet"/>
      <w:lvlText w:val=""/>
      <w:lvlJc w:val="left"/>
      <w:pPr>
        <w:tabs>
          <w:tab w:val="num" w:pos="2160"/>
        </w:tabs>
        <w:ind w:left="2160" w:hanging="360"/>
      </w:pPr>
      <w:rPr>
        <w:rFonts w:ascii="Wingdings" w:hAnsi="Wingdings" w:hint="default"/>
      </w:rPr>
    </w:lvl>
    <w:lvl w:ilvl="3" w:tplc="DF24163E" w:tentative="1">
      <w:start w:val="1"/>
      <w:numFmt w:val="bullet"/>
      <w:lvlText w:val=""/>
      <w:lvlJc w:val="left"/>
      <w:pPr>
        <w:tabs>
          <w:tab w:val="num" w:pos="2880"/>
        </w:tabs>
        <w:ind w:left="2880" w:hanging="360"/>
      </w:pPr>
      <w:rPr>
        <w:rFonts w:ascii="Symbol" w:hAnsi="Symbol" w:hint="default"/>
      </w:rPr>
    </w:lvl>
    <w:lvl w:ilvl="4" w:tplc="B560CFC4" w:tentative="1">
      <w:start w:val="1"/>
      <w:numFmt w:val="bullet"/>
      <w:lvlText w:val="o"/>
      <w:lvlJc w:val="left"/>
      <w:pPr>
        <w:tabs>
          <w:tab w:val="num" w:pos="3600"/>
        </w:tabs>
        <w:ind w:left="3600" w:hanging="360"/>
      </w:pPr>
      <w:rPr>
        <w:rFonts w:ascii="Courier New" w:hAnsi="Courier New" w:hint="default"/>
      </w:rPr>
    </w:lvl>
    <w:lvl w:ilvl="5" w:tplc="10421356" w:tentative="1">
      <w:start w:val="1"/>
      <w:numFmt w:val="bullet"/>
      <w:lvlText w:val=""/>
      <w:lvlJc w:val="left"/>
      <w:pPr>
        <w:tabs>
          <w:tab w:val="num" w:pos="4320"/>
        </w:tabs>
        <w:ind w:left="4320" w:hanging="360"/>
      </w:pPr>
      <w:rPr>
        <w:rFonts w:ascii="Wingdings" w:hAnsi="Wingdings" w:hint="default"/>
      </w:rPr>
    </w:lvl>
    <w:lvl w:ilvl="6" w:tplc="3B405D72" w:tentative="1">
      <w:start w:val="1"/>
      <w:numFmt w:val="bullet"/>
      <w:lvlText w:val=""/>
      <w:lvlJc w:val="left"/>
      <w:pPr>
        <w:tabs>
          <w:tab w:val="num" w:pos="5040"/>
        </w:tabs>
        <w:ind w:left="5040" w:hanging="360"/>
      </w:pPr>
      <w:rPr>
        <w:rFonts w:ascii="Symbol" w:hAnsi="Symbol" w:hint="default"/>
      </w:rPr>
    </w:lvl>
    <w:lvl w:ilvl="7" w:tplc="69F2FEE4" w:tentative="1">
      <w:start w:val="1"/>
      <w:numFmt w:val="bullet"/>
      <w:lvlText w:val="o"/>
      <w:lvlJc w:val="left"/>
      <w:pPr>
        <w:tabs>
          <w:tab w:val="num" w:pos="5760"/>
        </w:tabs>
        <w:ind w:left="5760" w:hanging="360"/>
      </w:pPr>
      <w:rPr>
        <w:rFonts w:ascii="Courier New" w:hAnsi="Courier New" w:hint="default"/>
      </w:rPr>
    </w:lvl>
    <w:lvl w:ilvl="8" w:tplc="2922780E"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C395717"/>
    <w:multiLevelType w:val="hybridMultilevel"/>
    <w:tmpl w:val="86028708"/>
    <w:lvl w:ilvl="0" w:tplc="8B304132">
      <w:start w:val="1"/>
      <w:numFmt w:val="bullet"/>
      <w:lvlText w:val=""/>
      <w:lvlJc w:val="left"/>
      <w:pPr>
        <w:tabs>
          <w:tab w:val="num" w:pos="720"/>
        </w:tabs>
        <w:ind w:left="720" w:hanging="360"/>
      </w:pPr>
      <w:rPr>
        <w:rFonts w:ascii="Symbol" w:hAnsi="Symbol" w:hint="default"/>
        <w:sz w:val="22"/>
      </w:rPr>
    </w:lvl>
    <w:lvl w:ilvl="1" w:tplc="8E2A7A90">
      <w:start w:val="1"/>
      <w:numFmt w:val="bullet"/>
      <w:lvlText w:val="o"/>
      <w:lvlJc w:val="left"/>
      <w:pPr>
        <w:tabs>
          <w:tab w:val="num" w:pos="1440"/>
        </w:tabs>
        <w:ind w:left="1440" w:hanging="360"/>
      </w:pPr>
      <w:rPr>
        <w:rFonts w:ascii="Courier New" w:hAnsi="Courier New" w:hint="default"/>
      </w:rPr>
    </w:lvl>
    <w:lvl w:ilvl="2" w:tplc="85B857BC" w:tentative="1">
      <w:start w:val="1"/>
      <w:numFmt w:val="bullet"/>
      <w:lvlText w:val=""/>
      <w:lvlJc w:val="left"/>
      <w:pPr>
        <w:tabs>
          <w:tab w:val="num" w:pos="2160"/>
        </w:tabs>
        <w:ind w:left="2160" w:hanging="360"/>
      </w:pPr>
      <w:rPr>
        <w:rFonts w:ascii="Wingdings" w:hAnsi="Wingdings" w:hint="default"/>
      </w:rPr>
    </w:lvl>
    <w:lvl w:ilvl="3" w:tplc="1C9E5D42" w:tentative="1">
      <w:start w:val="1"/>
      <w:numFmt w:val="bullet"/>
      <w:lvlText w:val=""/>
      <w:lvlJc w:val="left"/>
      <w:pPr>
        <w:tabs>
          <w:tab w:val="num" w:pos="2880"/>
        </w:tabs>
        <w:ind w:left="2880" w:hanging="360"/>
      </w:pPr>
      <w:rPr>
        <w:rFonts w:ascii="Symbol" w:hAnsi="Symbol" w:hint="default"/>
      </w:rPr>
    </w:lvl>
    <w:lvl w:ilvl="4" w:tplc="02A275FA" w:tentative="1">
      <w:start w:val="1"/>
      <w:numFmt w:val="bullet"/>
      <w:lvlText w:val="o"/>
      <w:lvlJc w:val="left"/>
      <w:pPr>
        <w:tabs>
          <w:tab w:val="num" w:pos="3600"/>
        </w:tabs>
        <w:ind w:left="3600" w:hanging="360"/>
      </w:pPr>
      <w:rPr>
        <w:rFonts w:ascii="Courier New" w:hAnsi="Courier New" w:hint="default"/>
      </w:rPr>
    </w:lvl>
    <w:lvl w:ilvl="5" w:tplc="8FBA6D0C" w:tentative="1">
      <w:start w:val="1"/>
      <w:numFmt w:val="bullet"/>
      <w:lvlText w:val=""/>
      <w:lvlJc w:val="left"/>
      <w:pPr>
        <w:tabs>
          <w:tab w:val="num" w:pos="4320"/>
        </w:tabs>
        <w:ind w:left="4320" w:hanging="360"/>
      </w:pPr>
      <w:rPr>
        <w:rFonts w:ascii="Wingdings" w:hAnsi="Wingdings" w:hint="default"/>
      </w:rPr>
    </w:lvl>
    <w:lvl w:ilvl="6" w:tplc="D8003746" w:tentative="1">
      <w:start w:val="1"/>
      <w:numFmt w:val="bullet"/>
      <w:lvlText w:val=""/>
      <w:lvlJc w:val="left"/>
      <w:pPr>
        <w:tabs>
          <w:tab w:val="num" w:pos="5040"/>
        </w:tabs>
        <w:ind w:left="5040" w:hanging="360"/>
      </w:pPr>
      <w:rPr>
        <w:rFonts w:ascii="Symbol" w:hAnsi="Symbol" w:hint="default"/>
      </w:rPr>
    </w:lvl>
    <w:lvl w:ilvl="7" w:tplc="FE42E014" w:tentative="1">
      <w:start w:val="1"/>
      <w:numFmt w:val="bullet"/>
      <w:lvlText w:val="o"/>
      <w:lvlJc w:val="left"/>
      <w:pPr>
        <w:tabs>
          <w:tab w:val="num" w:pos="5760"/>
        </w:tabs>
        <w:ind w:left="5760" w:hanging="360"/>
      </w:pPr>
      <w:rPr>
        <w:rFonts w:ascii="Courier New" w:hAnsi="Courier New" w:hint="default"/>
      </w:rPr>
    </w:lvl>
    <w:lvl w:ilvl="8" w:tplc="DE560398"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7CB57E45"/>
    <w:multiLevelType w:val="hybridMultilevel"/>
    <w:tmpl w:val="ED6E1DFE"/>
    <w:lvl w:ilvl="0" w:tplc="71C4D73C">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lvl w:ilvl="1" w:tplc="D40A3FF2" w:tentative="1">
      <w:start w:val="1"/>
      <w:numFmt w:val="lowerLetter"/>
      <w:lvlText w:val="%2."/>
      <w:lvlJc w:val="left"/>
      <w:pPr>
        <w:ind w:left="1440" w:hanging="360"/>
      </w:pPr>
    </w:lvl>
    <w:lvl w:ilvl="2" w:tplc="87B49C9C" w:tentative="1">
      <w:start w:val="1"/>
      <w:numFmt w:val="lowerRoman"/>
      <w:lvlText w:val="%3."/>
      <w:lvlJc w:val="right"/>
      <w:pPr>
        <w:ind w:left="2160" w:hanging="180"/>
      </w:pPr>
    </w:lvl>
    <w:lvl w:ilvl="3" w:tplc="77E046FE" w:tentative="1">
      <w:start w:val="1"/>
      <w:numFmt w:val="decimal"/>
      <w:lvlText w:val="%4."/>
      <w:lvlJc w:val="left"/>
      <w:pPr>
        <w:ind w:left="2880" w:hanging="360"/>
      </w:pPr>
    </w:lvl>
    <w:lvl w:ilvl="4" w:tplc="CFB6FD62" w:tentative="1">
      <w:start w:val="1"/>
      <w:numFmt w:val="lowerLetter"/>
      <w:lvlText w:val="%5."/>
      <w:lvlJc w:val="left"/>
      <w:pPr>
        <w:ind w:left="3600" w:hanging="360"/>
      </w:pPr>
    </w:lvl>
    <w:lvl w:ilvl="5" w:tplc="2C702E46" w:tentative="1">
      <w:start w:val="1"/>
      <w:numFmt w:val="lowerRoman"/>
      <w:lvlText w:val="%6."/>
      <w:lvlJc w:val="right"/>
      <w:pPr>
        <w:ind w:left="4320" w:hanging="180"/>
      </w:pPr>
    </w:lvl>
    <w:lvl w:ilvl="6" w:tplc="8372402A" w:tentative="1">
      <w:start w:val="1"/>
      <w:numFmt w:val="decimal"/>
      <w:lvlText w:val="%7."/>
      <w:lvlJc w:val="left"/>
      <w:pPr>
        <w:ind w:left="5040" w:hanging="360"/>
      </w:pPr>
    </w:lvl>
    <w:lvl w:ilvl="7" w:tplc="E812A2A4" w:tentative="1">
      <w:start w:val="1"/>
      <w:numFmt w:val="lowerLetter"/>
      <w:lvlText w:val="%8."/>
      <w:lvlJc w:val="left"/>
      <w:pPr>
        <w:ind w:left="5760" w:hanging="360"/>
      </w:pPr>
    </w:lvl>
    <w:lvl w:ilvl="8" w:tplc="1FB02D6A" w:tentative="1">
      <w:start w:val="1"/>
      <w:numFmt w:val="lowerRoman"/>
      <w:lvlText w:val="%9."/>
      <w:lvlJc w:val="right"/>
      <w:pPr>
        <w:ind w:left="6480" w:hanging="180"/>
      </w:pPr>
    </w:lvl>
  </w:abstractNum>
  <w:abstractNum w:abstractNumId="112" w15:restartNumberingAfterBreak="0">
    <w:nsid w:val="7FBC159C"/>
    <w:multiLevelType w:val="hybridMultilevel"/>
    <w:tmpl w:val="7062FD8E"/>
    <w:lvl w:ilvl="0" w:tplc="7CDEDF50">
      <w:start w:val="1"/>
      <w:numFmt w:val="bullet"/>
      <w:lvlText w:val=""/>
      <w:lvlJc w:val="left"/>
      <w:pPr>
        <w:ind w:left="720" w:hanging="360"/>
      </w:pPr>
      <w:rPr>
        <w:rFonts w:ascii="Symbol" w:hAnsi="Symbol" w:hint="default"/>
      </w:rPr>
    </w:lvl>
    <w:lvl w:ilvl="1" w:tplc="B67AF9E4" w:tentative="1">
      <w:start w:val="1"/>
      <w:numFmt w:val="bullet"/>
      <w:lvlText w:val="o"/>
      <w:lvlJc w:val="left"/>
      <w:pPr>
        <w:ind w:left="1440" w:hanging="360"/>
      </w:pPr>
      <w:rPr>
        <w:rFonts w:ascii="Courier New" w:hAnsi="Courier New" w:cs="Courier New" w:hint="default"/>
      </w:rPr>
    </w:lvl>
    <w:lvl w:ilvl="2" w:tplc="36DAAF34" w:tentative="1">
      <w:start w:val="1"/>
      <w:numFmt w:val="bullet"/>
      <w:lvlText w:val=""/>
      <w:lvlJc w:val="left"/>
      <w:pPr>
        <w:ind w:left="2160" w:hanging="360"/>
      </w:pPr>
      <w:rPr>
        <w:rFonts w:ascii="Wingdings" w:hAnsi="Wingdings" w:hint="default"/>
      </w:rPr>
    </w:lvl>
    <w:lvl w:ilvl="3" w:tplc="0436FDF2" w:tentative="1">
      <w:start w:val="1"/>
      <w:numFmt w:val="bullet"/>
      <w:lvlText w:val=""/>
      <w:lvlJc w:val="left"/>
      <w:pPr>
        <w:ind w:left="2880" w:hanging="360"/>
      </w:pPr>
      <w:rPr>
        <w:rFonts w:ascii="Symbol" w:hAnsi="Symbol" w:hint="default"/>
      </w:rPr>
    </w:lvl>
    <w:lvl w:ilvl="4" w:tplc="BE042B50" w:tentative="1">
      <w:start w:val="1"/>
      <w:numFmt w:val="bullet"/>
      <w:lvlText w:val="o"/>
      <w:lvlJc w:val="left"/>
      <w:pPr>
        <w:ind w:left="3600" w:hanging="360"/>
      </w:pPr>
      <w:rPr>
        <w:rFonts w:ascii="Courier New" w:hAnsi="Courier New" w:cs="Courier New" w:hint="default"/>
      </w:rPr>
    </w:lvl>
    <w:lvl w:ilvl="5" w:tplc="E5C099E8" w:tentative="1">
      <w:start w:val="1"/>
      <w:numFmt w:val="bullet"/>
      <w:lvlText w:val=""/>
      <w:lvlJc w:val="left"/>
      <w:pPr>
        <w:ind w:left="4320" w:hanging="360"/>
      </w:pPr>
      <w:rPr>
        <w:rFonts w:ascii="Wingdings" w:hAnsi="Wingdings" w:hint="default"/>
      </w:rPr>
    </w:lvl>
    <w:lvl w:ilvl="6" w:tplc="EC88CE2C" w:tentative="1">
      <w:start w:val="1"/>
      <w:numFmt w:val="bullet"/>
      <w:lvlText w:val=""/>
      <w:lvlJc w:val="left"/>
      <w:pPr>
        <w:ind w:left="5040" w:hanging="360"/>
      </w:pPr>
      <w:rPr>
        <w:rFonts w:ascii="Symbol" w:hAnsi="Symbol" w:hint="default"/>
      </w:rPr>
    </w:lvl>
    <w:lvl w:ilvl="7" w:tplc="1BDC1EDA" w:tentative="1">
      <w:start w:val="1"/>
      <w:numFmt w:val="bullet"/>
      <w:lvlText w:val="o"/>
      <w:lvlJc w:val="left"/>
      <w:pPr>
        <w:ind w:left="5760" w:hanging="360"/>
      </w:pPr>
      <w:rPr>
        <w:rFonts w:ascii="Courier New" w:hAnsi="Courier New" w:cs="Courier New" w:hint="default"/>
      </w:rPr>
    </w:lvl>
    <w:lvl w:ilvl="8" w:tplc="1D0A51DC" w:tentative="1">
      <w:start w:val="1"/>
      <w:numFmt w:val="bullet"/>
      <w:lvlText w:val=""/>
      <w:lvlJc w:val="left"/>
      <w:pPr>
        <w:ind w:left="6480" w:hanging="360"/>
      </w:pPr>
      <w:rPr>
        <w:rFonts w:ascii="Wingdings" w:hAnsi="Wingdings" w:hint="default"/>
      </w:rPr>
    </w:lvl>
  </w:abstractNum>
  <w:num w:numId="1" w16cid:durableId="1027414240">
    <w:abstractNumId w:val="8"/>
  </w:num>
  <w:num w:numId="2" w16cid:durableId="634070865">
    <w:abstractNumId w:val="3"/>
  </w:num>
  <w:num w:numId="3" w16cid:durableId="481434415">
    <w:abstractNumId w:val="2"/>
  </w:num>
  <w:num w:numId="4" w16cid:durableId="757486607">
    <w:abstractNumId w:val="1"/>
  </w:num>
  <w:num w:numId="5" w16cid:durableId="126706772">
    <w:abstractNumId w:val="0"/>
  </w:num>
  <w:num w:numId="6" w16cid:durableId="1979529426">
    <w:abstractNumId w:val="9"/>
  </w:num>
  <w:num w:numId="7" w16cid:durableId="712465259">
    <w:abstractNumId w:val="7"/>
  </w:num>
  <w:num w:numId="8" w16cid:durableId="358699968">
    <w:abstractNumId w:val="6"/>
  </w:num>
  <w:num w:numId="9" w16cid:durableId="1229610632">
    <w:abstractNumId w:val="5"/>
  </w:num>
  <w:num w:numId="10" w16cid:durableId="300621610">
    <w:abstractNumId w:val="4"/>
  </w:num>
  <w:num w:numId="11" w16cid:durableId="185557492">
    <w:abstractNumId w:val="51"/>
  </w:num>
  <w:num w:numId="12" w16cid:durableId="1983460296">
    <w:abstractNumId w:val="69"/>
  </w:num>
  <w:num w:numId="13" w16cid:durableId="1081365395">
    <w:abstractNumId w:val="60"/>
  </w:num>
  <w:num w:numId="14" w16cid:durableId="1584299216">
    <w:abstractNumId w:val="14"/>
    <w:lvlOverride w:ilvl="0">
      <w:startOverride w:val="1"/>
    </w:lvlOverride>
  </w:num>
  <w:num w:numId="15" w16cid:durableId="229772605">
    <w:abstractNumId w:val="108"/>
  </w:num>
  <w:num w:numId="16" w16cid:durableId="1660160336">
    <w:abstractNumId w:val="35"/>
  </w:num>
  <w:num w:numId="17" w16cid:durableId="1892111252">
    <w:abstractNumId w:val="44"/>
  </w:num>
  <w:num w:numId="18" w16cid:durableId="351342557">
    <w:abstractNumId w:val="99"/>
  </w:num>
  <w:num w:numId="19" w16cid:durableId="2052266803">
    <w:abstractNumId w:val="65"/>
  </w:num>
  <w:num w:numId="20" w16cid:durableId="1274631319">
    <w:abstractNumId w:val="22"/>
  </w:num>
  <w:num w:numId="21" w16cid:durableId="1844279585">
    <w:abstractNumId w:val="43"/>
  </w:num>
  <w:num w:numId="22" w16cid:durableId="1590190831">
    <w:abstractNumId w:val="106"/>
  </w:num>
  <w:num w:numId="23" w16cid:durableId="1367294566">
    <w:abstractNumId w:val="109"/>
  </w:num>
  <w:num w:numId="24" w16cid:durableId="405609069">
    <w:abstractNumId w:val="37"/>
  </w:num>
  <w:num w:numId="25" w16cid:durableId="409080715">
    <w:abstractNumId w:val="87"/>
  </w:num>
  <w:num w:numId="26" w16cid:durableId="822549593">
    <w:abstractNumId w:val="57"/>
  </w:num>
  <w:num w:numId="27" w16cid:durableId="1527449283">
    <w:abstractNumId w:val="73"/>
  </w:num>
  <w:num w:numId="28" w16cid:durableId="2083485171">
    <w:abstractNumId w:val="19"/>
  </w:num>
  <w:num w:numId="29" w16cid:durableId="1832406615">
    <w:abstractNumId w:val="101"/>
  </w:num>
  <w:num w:numId="30" w16cid:durableId="549145390">
    <w:abstractNumId w:val="17"/>
  </w:num>
  <w:num w:numId="31" w16cid:durableId="86266983">
    <w:abstractNumId w:val="91"/>
  </w:num>
  <w:num w:numId="32" w16cid:durableId="1084062934">
    <w:abstractNumId w:val="28"/>
  </w:num>
  <w:num w:numId="33" w16cid:durableId="1215240362">
    <w:abstractNumId w:val="12"/>
  </w:num>
  <w:num w:numId="34" w16cid:durableId="579680920">
    <w:abstractNumId w:val="32"/>
  </w:num>
  <w:num w:numId="35" w16cid:durableId="651638589">
    <w:abstractNumId w:val="56"/>
  </w:num>
  <w:num w:numId="36" w16cid:durableId="1390835538">
    <w:abstractNumId w:val="85"/>
  </w:num>
  <w:num w:numId="37" w16cid:durableId="1443065343">
    <w:abstractNumId w:val="53"/>
  </w:num>
  <w:num w:numId="38" w16cid:durableId="1723477782">
    <w:abstractNumId w:val="89"/>
  </w:num>
  <w:num w:numId="39" w16cid:durableId="16153087">
    <w:abstractNumId w:val="103"/>
  </w:num>
  <w:num w:numId="40" w16cid:durableId="639270182">
    <w:abstractNumId w:val="48"/>
  </w:num>
  <w:num w:numId="41" w16cid:durableId="446508301">
    <w:abstractNumId w:val="20"/>
  </w:num>
  <w:num w:numId="42" w16cid:durableId="1278638669">
    <w:abstractNumId w:val="94"/>
  </w:num>
  <w:num w:numId="43" w16cid:durableId="600845983">
    <w:abstractNumId w:val="31"/>
  </w:num>
  <w:num w:numId="44" w16cid:durableId="1327712678">
    <w:abstractNumId w:val="98"/>
  </w:num>
  <w:num w:numId="45" w16cid:durableId="608047452">
    <w:abstractNumId w:val="52"/>
  </w:num>
  <w:num w:numId="46" w16cid:durableId="561528896">
    <w:abstractNumId w:val="68"/>
  </w:num>
  <w:num w:numId="47" w16cid:durableId="459735541">
    <w:abstractNumId w:val="111"/>
  </w:num>
  <w:num w:numId="48" w16cid:durableId="729767433">
    <w:abstractNumId w:val="45"/>
  </w:num>
  <w:num w:numId="49" w16cid:durableId="872622044">
    <w:abstractNumId w:val="46"/>
  </w:num>
  <w:num w:numId="50" w16cid:durableId="1125075425">
    <w:abstractNumId w:val="98"/>
    <w:lvlOverride w:ilvl="0">
      <w:startOverride w:val="1"/>
    </w:lvlOverride>
  </w:num>
  <w:num w:numId="51" w16cid:durableId="950747859">
    <w:abstractNumId w:val="58"/>
  </w:num>
  <w:num w:numId="52" w16cid:durableId="114644794">
    <w:abstractNumId w:val="42"/>
  </w:num>
  <w:num w:numId="53" w16cid:durableId="116223395">
    <w:abstractNumId w:val="36"/>
  </w:num>
  <w:num w:numId="54" w16cid:durableId="1943292739">
    <w:abstractNumId w:val="34"/>
  </w:num>
  <w:num w:numId="55" w16cid:durableId="1148011093">
    <w:abstractNumId w:val="80"/>
  </w:num>
  <w:num w:numId="56" w16cid:durableId="1317297947">
    <w:abstractNumId w:val="88"/>
  </w:num>
  <w:num w:numId="57" w16cid:durableId="1175611825">
    <w:abstractNumId w:val="79"/>
  </w:num>
  <w:num w:numId="58" w16cid:durableId="169031105">
    <w:abstractNumId w:val="76"/>
  </w:num>
  <w:num w:numId="59" w16cid:durableId="1392968530">
    <w:abstractNumId w:val="72"/>
  </w:num>
  <w:num w:numId="60" w16cid:durableId="1810904591">
    <w:abstractNumId w:val="81"/>
  </w:num>
  <w:num w:numId="61" w16cid:durableId="1876304897">
    <w:abstractNumId w:val="110"/>
  </w:num>
  <w:num w:numId="62" w16cid:durableId="2117289464">
    <w:abstractNumId w:val="63"/>
  </w:num>
  <w:num w:numId="63" w16cid:durableId="1148978494">
    <w:abstractNumId w:val="13"/>
  </w:num>
  <w:num w:numId="64" w16cid:durableId="328599902">
    <w:abstractNumId w:val="40"/>
  </w:num>
  <w:num w:numId="65" w16cid:durableId="115411938">
    <w:abstractNumId w:val="30"/>
  </w:num>
  <w:num w:numId="66" w16cid:durableId="1325354547">
    <w:abstractNumId w:val="55"/>
  </w:num>
  <w:num w:numId="67" w16cid:durableId="570774980">
    <w:abstractNumId w:val="25"/>
  </w:num>
  <w:num w:numId="68" w16cid:durableId="1293056524">
    <w:abstractNumId w:val="23"/>
  </w:num>
  <w:num w:numId="69" w16cid:durableId="539317780">
    <w:abstractNumId w:val="33"/>
  </w:num>
  <w:num w:numId="70" w16cid:durableId="454258384">
    <w:abstractNumId w:val="61"/>
  </w:num>
  <w:num w:numId="71" w16cid:durableId="1304314853">
    <w:abstractNumId w:val="82"/>
  </w:num>
  <w:num w:numId="72" w16cid:durableId="2142653987">
    <w:abstractNumId w:val="104"/>
  </w:num>
  <w:num w:numId="73" w16cid:durableId="1254975506">
    <w:abstractNumId w:val="74"/>
  </w:num>
  <w:num w:numId="74" w16cid:durableId="717515509">
    <w:abstractNumId w:val="100"/>
  </w:num>
  <w:num w:numId="75" w16cid:durableId="184711444">
    <w:abstractNumId w:val="88"/>
    <w:lvlOverride w:ilvl="0">
      <w:startOverride w:val="1"/>
    </w:lvlOverride>
  </w:num>
  <w:num w:numId="76" w16cid:durableId="22098003">
    <w:abstractNumId w:val="50"/>
  </w:num>
  <w:num w:numId="77" w16cid:durableId="1090660088">
    <w:abstractNumId w:val="39"/>
  </w:num>
  <w:num w:numId="78" w16cid:durableId="1356613477">
    <w:abstractNumId w:val="90"/>
  </w:num>
  <w:num w:numId="79" w16cid:durableId="1079327758">
    <w:abstractNumId w:val="93"/>
  </w:num>
  <w:num w:numId="80" w16cid:durableId="1590239475">
    <w:abstractNumId w:val="112"/>
  </w:num>
  <w:num w:numId="81" w16cid:durableId="789053623">
    <w:abstractNumId w:val="62"/>
  </w:num>
  <w:num w:numId="82" w16cid:durableId="974679975">
    <w:abstractNumId w:val="18"/>
  </w:num>
  <w:num w:numId="83" w16cid:durableId="2004891591">
    <w:abstractNumId w:val="59"/>
  </w:num>
  <w:num w:numId="84" w16cid:durableId="1288050247">
    <w:abstractNumId w:val="11"/>
  </w:num>
  <w:num w:numId="85" w16cid:durableId="584999055">
    <w:abstractNumId w:val="15"/>
  </w:num>
  <w:num w:numId="86" w16cid:durableId="582302902">
    <w:abstractNumId w:val="70"/>
  </w:num>
  <w:num w:numId="87" w16cid:durableId="1948662104">
    <w:abstractNumId w:val="84"/>
  </w:num>
  <w:num w:numId="88" w16cid:durableId="296642446">
    <w:abstractNumId w:val="64"/>
  </w:num>
  <w:num w:numId="89" w16cid:durableId="948002521">
    <w:abstractNumId w:val="54"/>
  </w:num>
  <w:num w:numId="90" w16cid:durableId="883756947">
    <w:abstractNumId w:val="97"/>
  </w:num>
  <w:num w:numId="91" w16cid:durableId="1812483196">
    <w:abstractNumId w:val="24"/>
  </w:num>
  <w:num w:numId="92" w16cid:durableId="1574899697">
    <w:abstractNumId w:val="64"/>
  </w:num>
  <w:num w:numId="93" w16cid:durableId="1236550094">
    <w:abstractNumId w:val="97"/>
  </w:num>
  <w:num w:numId="94" w16cid:durableId="63531193">
    <w:abstractNumId w:val="24"/>
  </w:num>
  <w:num w:numId="95" w16cid:durableId="1767723808">
    <w:abstractNumId w:val="54"/>
  </w:num>
  <w:num w:numId="96" w16cid:durableId="2135713683">
    <w:abstractNumId w:val="10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2102753750">
    <w:abstractNumId w:val="34"/>
  </w:num>
  <w:num w:numId="98" w16cid:durableId="1212690769">
    <w:abstractNumId w:val="88"/>
  </w:num>
  <w:num w:numId="99" w16cid:durableId="244070960">
    <w:abstractNumId w:val="42"/>
  </w:num>
  <w:num w:numId="100" w16cid:durableId="1216702162">
    <w:abstractNumId w:val="36"/>
  </w:num>
  <w:num w:numId="101" w16cid:durableId="161555166">
    <w:abstractNumId w:val="50"/>
  </w:num>
  <w:num w:numId="102" w16cid:durableId="1091244626">
    <w:abstractNumId w:val="79"/>
  </w:num>
  <w:num w:numId="103" w16cid:durableId="2000228649">
    <w:abstractNumId w:val="76"/>
  </w:num>
  <w:num w:numId="104" w16cid:durableId="2024701488">
    <w:abstractNumId w:val="72"/>
  </w:num>
  <w:num w:numId="105" w16cid:durableId="514342319">
    <w:abstractNumId w:val="104"/>
  </w:num>
  <w:num w:numId="106" w16cid:durableId="393242196">
    <w:abstractNumId w:val="74"/>
  </w:num>
  <w:num w:numId="107" w16cid:durableId="1136995047">
    <w:abstractNumId w:val="100"/>
  </w:num>
  <w:num w:numId="108" w16cid:durableId="1911429140">
    <w:abstractNumId w:val="43"/>
  </w:num>
  <w:num w:numId="109" w16cid:durableId="208078495">
    <w:abstractNumId w:val="31"/>
  </w:num>
  <w:num w:numId="110" w16cid:durableId="2118718582">
    <w:abstractNumId w:val="106"/>
  </w:num>
  <w:num w:numId="111" w16cid:durableId="753361383">
    <w:abstractNumId w:val="112"/>
  </w:num>
  <w:num w:numId="112" w16cid:durableId="1477188567">
    <w:abstractNumId w:val="63"/>
  </w:num>
  <w:num w:numId="113" w16cid:durableId="1116631425">
    <w:abstractNumId w:val="13"/>
  </w:num>
  <w:num w:numId="114" w16cid:durableId="1400470866">
    <w:abstractNumId w:val="40"/>
  </w:num>
  <w:num w:numId="115" w16cid:durableId="265886123">
    <w:abstractNumId w:val="30"/>
  </w:num>
  <w:num w:numId="116" w16cid:durableId="108210725">
    <w:abstractNumId w:val="55"/>
  </w:num>
  <w:num w:numId="117" w16cid:durableId="1743258192">
    <w:abstractNumId w:val="25"/>
  </w:num>
  <w:num w:numId="118" w16cid:durableId="128085823">
    <w:abstractNumId w:val="18"/>
  </w:num>
  <w:num w:numId="119" w16cid:durableId="1322154826">
    <w:abstractNumId w:val="60"/>
  </w:num>
  <w:num w:numId="120" w16cid:durableId="906695966">
    <w:abstractNumId w:val="62"/>
  </w:num>
  <w:num w:numId="121" w16cid:durableId="1860461690">
    <w:abstractNumId w:val="82"/>
  </w:num>
  <w:num w:numId="122" w16cid:durableId="477960107">
    <w:abstractNumId w:val="78"/>
  </w:num>
  <w:num w:numId="123" w16cid:durableId="1103233606">
    <w:abstractNumId w:val="67"/>
  </w:num>
  <w:num w:numId="124" w16cid:durableId="1584025242">
    <w:abstractNumId w:val="21"/>
  </w:num>
  <w:num w:numId="125" w16cid:durableId="424302046">
    <w:abstractNumId w:val="76"/>
  </w:num>
  <w:num w:numId="126" w16cid:durableId="692658485">
    <w:abstractNumId w:val="26"/>
  </w:num>
  <w:num w:numId="127" w16cid:durableId="1167550206">
    <w:abstractNumId w:val="102"/>
  </w:num>
  <w:num w:numId="128" w16cid:durableId="84888941">
    <w:abstractNumId w:val="95"/>
  </w:num>
  <w:num w:numId="129" w16cid:durableId="489754884">
    <w:abstractNumId w:val="49"/>
  </w:num>
  <w:num w:numId="130" w16cid:durableId="1096436552">
    <w:abstractNumId w:val="96"/>
  </w:num>
  <w:num w:numId="131" w16cid:durableId="57751596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02625389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64828786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26766381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98431511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22441592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38568385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23130379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206074472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51803544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94249897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2052457801">
    <w:abstractNumId w:val="71"/>
  </w:num>
  <w:num w:numId="143" w16cid:durableId="817964872">
    <w:abstractNumId w:val="41"/>
  </w:num>
  <w:num w:numId="144" w16cid:durableId="1791433684">
    <w:abstractNumId w:val="29"/>
  </w:num>
  <w:num w:numId="145" w16cid:durableId="1673297108">
    <w:abstractNumId w:val="75"/>
  </w:num>
  <w:num w:numId="146" w16cid:durableId="2142575306">
    <w:abstractNumId w:val="16"/>
  </w:num>
  <w:num w:numId="147" w16cid:durableId="1570265806">
    <w:abstractNumId w:val="66"/>
  </w:num>
  <w:num w:numId="148" w16cid:durableId="288752396">
    <w:abstractNumId w:val="47"/>
  </w:num>
  <w:num w:numId="149" w16cid:durableId="954093131">
    <w:abstractNumId w:val="107"/>
  </w:num>
  <w:num w:numId="150" w16cid:durableId="696277276">
    <w:abstractNumId w:val="27"/>
  </w:num>
  <w:num w:numId="151" w16cid:durableId="492261613">
    <w:abstractNumId w:val="92"/>
  </w:num>
  <w:num w:numId="152" w16cid:durableId="1071151995">
    <w:abstractNumId w:val="10"/>
  </w:num>
  <w:num w:numId="153" w16cid:durableId="1077437100">
    <w:abstractNumId w:val="86"/>
  </w:num>
  <w:num w:numId="154" w16cid:durableId="355931673">
    <w:abstractNumId w:val="77"/>
  </w:num>
  <w:num w:numId="155" w16cid:durableId="1601333695">
    <w:abstractNumId w:val="105"/>
  </w:num>
  <w:num w:numId="156" w16cid:durableId="1266572355">
    <w:abstractNumId w:val="38"/>
  </w:num>
  <w:num w:numId="157" w16cid:durableId="357782605">
    <w:abstractNumId w:val="83"/>
  </w:num>
  <w:numIdMacAtCleanup w:val="1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bVie19">
    <w15:presenceInfo w15:providerId="None" w15:userId="AbbVie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hideSpellingErrors/>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1EE"/>
    <w:rsid w:val="000035BA"/>
    <w:rsid w:val="00004DBA"/>
    <w:rsid w:val="0000567B"/>
    <w:rsid w:val="00005A72"/>
    <w:rsid w:val="000069AF"/>
    <w:rsid w:val="000074DC"/>
    <w:rsid w:val="000116BC"/>
    <w:rsid w:val="00011787"/>
    <w:rsid w:val="00012033"/>
    <w:rsid w:val="00012245"/>
    <w:rsid w:val="000125AA"/>
    <w:rsid w:val="0001295F"/>
    <w:rsid w:val="000149FD"/>
    <w:rsid w:val="00014BE3"/>
    <w:rsid w:val="00014C5D"/>
    <w:rsid w:val="00020E29"/>
    <w:rsid w:val="000214E1"/>
    <w:rsid w:val="0002256D"/>
    <w:rsid w:val="000228CB"/>
    <w:rsid w:val="00023339"/>
    <w:rsid w:val="0002449B"/>
    <w:rsid w:val="000244DF"/>
    <w:rsid w:val="00024637"/>
    <w:rsid w:val="0002697B"/>
    <w:rsid w:val="00030243"/>
    <w:rsid w:val="000304D3"/>
    <w:rsid w:val="00032598"/>
    <w:rsid w:val="000358DB"/>
    <w:rsid w:val="00035E50"/>
    <w:rsid w:val="00036034"/>
    <w:rsid w:val="00036B2C"/>
    <w:rsid w:val="00036F5F"/>
    <w:rsid w:val="0003778A"/>
    <w:rsid w:val="00040F81"/>
    <w:rsid w:val="000416E0"/>
    <w:rsid w:val="00043E67"/>
    <w:rsid w:val="00045335"/>
    <w:rsid w:val="00045D0B"/>
    <w:rsid w:val="0004648F"/>
    <w:rsid w:val="00047671"/>
    <w:rsid w:val="00047F04"/>
    <w:rsid w:val="00050234"/>
    <w:rsid w:val="00051C15"/>
    <w:rsid w:val="00053D06"/>
    <w:rsid w:val="00053FB2"/>
    <w:rsid w:val="0005491C"/>
    <w:rsid w:val="00055EAF"/>
    <w:rsid w:val="000570EE"/>
    <w:rsid w:val="000614A5"/>
    <w:rsid w:val="000618B3"/>
    <w:rsid w:val="00061965"/>
    <w:rsid w:val="00062930"/>
    <w:rsid w:val="00063901"/>
    <w:rsid w:val="00064B9C"/>
    <w:rsid w:val="00064F3A"/>
    <w:rsid w:val="000653BE"/>
    <w:rsid w:val="000666AA"/>
    <w:rsid w:val="00067031"/>
    <w:rsid w:val="00067174"/>
    <w:rsid w:val="00071580"/>
    <w:rsid w:val="00071890"/>
    <w:rsid w:val="0007313E"/>
    <w:rsid w:val="00073A18"/>
    <w:rsid w:val="00075E0D"/>
    <w:rsid w:val="00077000"/>
    <w:rsid w:val="00077065"/>
    <w:rsid w:val="00077477"/>
    <w:rsid w:val="00077C8C"/>
    <w:rsid w:val="00080702"/>
    <w:rsid w:val="000810D4"/>
    <w:rsid w:val="00083B1C"/>
    <w:rsid w:val="00083C28"/>
    <w:rsid w:val="00085B64"/>
    <w:rsid w:val="00085E19"/>
    <w:rsid w:val="00086351"/>
    <w:rsid w:val="000906CE"/>
    <w:rsid w:val="00090E99"/>
    <w:rsid w:val="000916F3"/>
    <w:rsid w:val="00091D00"/>
    <w:rsid w:val="0009263F"/>
    <w:rsid w:val="00093A01"/>
    <w:rsid w:val="00093FA5"/>
    <w:rsid w:val="000A0366"/>
    <w:rsid w:val="000A0790"/>
    <w:rsid w:val="000A19F4"/>
    <w:rsid w:val="000A28E7"/>
    <w:rsid w:val="000A2CA3"/>
    <w:rsid w:val="000A4E90"/>
    <w:rsid w:val="000A6C9F"/>
    <w:rsid w:val="000A76F1"/>
    <w:rsid w:val="000B1E02"/>
    <w:rsid w:val="000B2BAA"/>
    <w:rsid w:val="000B2E24"/>
    <w:rsid w:val="000B2E7B"/>
    <w:rsid w:val="000B339E"/>
    <w:rsid w:val="000B350B"/>
    <w:rsid w:val="000B3606"/>
    <w:rsid w:val="000B5237"/>
    <w:rsid w:val="000B7DC1"/>
    <w:rsid w:val="000C2195"/>
    <w:rsid w:val="000C3FDB"/>
    <w:rsid w:val="000C4AD5"/>
    <w:rsid w:val="000C4B57"/>
    <w:rsid w:val="000C4B5F"/>
    <w:rsid w:val="000C7FDF"/>
    <w:rsid w:val="000D14DC"/>
    <w:rsid w:val="000D27A0"/>
    <w:rsid w:val="000D3C93"/>
    <w:rsid w:val="000D4117"/>
    <w:rsid w:val="000D4F37"/>
    <w:rsid w:val="000D5880"/>
    <w:rsid w:val="000D5A1D"/>
    <w:rsid w:val="000D5A5A"/>
    <w:rsid w:val="000D653F"/>
    <w:rsid w:val="000E128F"/>
    <w:rsid w:val="000E4C72"/>
    <w:rsid w:val="000E6891"/>
    <w:rsid w:val="000E79BD"/>
    <w:rsid w:val="000F07CB"/>
    <w:rsid w:val="000F0FB4"/>
    <w:rsid w:val="000F1037"/>
    <w:rsid w:val="000F1C54"/>
    <w:rsid w:val="000F2F4A"/>
    <w:rsid w:val="000F3633"/>
    <w:rsid w:val="000F4430"/>
    <w:rsid w:val="000F6A11"/>
    <w:rsid w:val="00101C0E"/>
    <w:rsid w:val="001048C3"/>
    <w:rsid w:val="00105EAB"/>
    <w:rsid w:val="00106CE6"/>
    <w:rsid w:val="001108D9"/>
    <w:rsid w:val="00114864"/>
    <w:rsid w:val="00117836"/>
    <w:rsid w:val="00120056"/>
    <w:rsid w:val="00120D45"/>
    <w:rsid w:val="0012284B"/>
    <w:rsid w:val="00123270"/>
    <w:rsid w:val="0012372C"/>
    <w:rsid w:val="00124964"/>
    <w:rsid w:val="00126429"/>
    <w:rsid w:val="001331BB"/>
    <w:rsid w:val="00135D05"/>
    <w:rsid w:val="00137693"/>
    <w:rsid w:val="001405A5"/>
    <w:rsid w:val="00141093"/>
    <w:rsid w:val="001449DD"/>
    <w:rsid w:val="0014501D"/>
    <w:rsid w:val="00145558"/>
    <w:rsid w:val="00145827"/>
    <w:rsid w:val="0014671F"/>
    <w:rsid w:val="0014797F"/>
    <w:rsid w:val="00147D64"/>
    <w:rsid w:val="00150FF6"/>
    <w:rsid w:val="00153F15"/>
    <w:rsid w:val="00154096"/>
    <w:rsid w:val="00157E21"/>
    <w:rsid w:val="00160303"/>
    <w:rsid w:val="001608C6"/>
    <w:rsid w:val="001617E5"/>
    <w:rsid w:val="001632A5"/>
    <w:rsid w:val="00164328"/>
    <w:rsid w:val="00164789"/>
    <w:rsid w:val="00170310"/>
    <w:rsid w:val="00170FBD"/>
    <w:rsid w:val="00171601"/>
    <w:rsid w:val="001724CB"/>
    <w:rsid w:val="0017262E"/>
    <w:rsid w:val="00172DEE"/>
    <w:rsid w:val="001738DF"/>
    <w:rsid w:val="00173B45"/>
    <w:rsid w:val="00174BCE"/>
    <w:rsid w:val="00176F72"/>
    <w:rsid w:val="00181DCC"/>
    <w:rsid w:val="00183ECB"/>
    <w:rsid w:val="00184169"/>
    <w:rsid w:val="00187E52"/>
    <w:rsid w:val="00190C6C"/>
    <w:rsid w:val="001917B5"/>
    <w:rsid w:val="001927AD"/>
    <w:rsid w:val="00193076"/>
    <w:rsid w:val="00194A98"/>
    <w:rsid w:val="00196B7E"/>
    <w:rsid w:val="0019735F"/>
    <w:rsid w:val="001A0FB3"/>
    <w:rsid w:val="001A21CA"/>
    <w:rsid w:val="001A243F"/>
    <w:rsid w:val="001A26BF"/>
    <w:rsid w:val="001A317F"/>
    <w:rsid w:val="001A3EE1"/>
    <w:rsid w:val="001A4E58"/>
    <w:rsid w:val="001A4F98"/>
    <w:rsid w:val="001A57C6"/>
    <w:rsid w:val="001A5C19"/>
    <w:rsid w:val="001A5C48"/>
    <w:rsid w:val="001A6269"/>
    <w:rsid w:val="001A790C"/>
    <w:rsid w:val="001B1585"/>
    <w:rsid w:val="001B3618"/>
    <w:rsid w:val="001B4BD1"/>
    <w:rsid w:val="001B56A0"/>
    <w:rsid w:val="001B671C"/>
    <w:rsid w:val="001B6DEE"/>
    <w:rsid w:val="001B6F9C"/>
    <w:rsid w:val="001B6FA0"/>
    <w:rsid w:val="001B78AE"/>
    <w:rsid w:val="001C1643"/>
    <w:rsid w:val="001C259B"/>
    <w:rsid w:val="001C2B49"/>
    <w:rsid w:val="001C2EA5"/>
    <w:rsid w:val="001C433E"/>
    <w:rsid w:val="001C5296"/>
    <w:rsid w:val="001C6054"/>
    <w:rsid w:val="001C7102"/>
    <w:rsid w:val="001D280A"/>
    <w:rsid w:val="001D3131"/>
    <w:rsid w:val="001D3A99"/>
    <w:rsid w:val="001D584B"/>
    <w:rsid w:val="001D5A63"/>
    <w:rsid w:val="001D6726"/>
    <w:rsid w:val="001D775D"/>
    <w:rsid w:val="001E2677"/>
    <w:rsid w:val="001E3354"/>
    <w:rsid w:val="001E382C"/>
    <w:rsid w:val="001E3BEB"/>
    <w:rsid w:val="001E485F"/>
    <w:rsid w:val="001E51A2"/>
    <w:rsid w:val="001E592A"/>
    <w:rsid w:val="001E71EE"/>
    <w:rsid w:val="001F09A6"/>
    <w:rsid w:val="001F1134"/>
    <w:rsid w:val="001F17AD"/>
    <w:rsid w:val="001F24DF"/>
    <w:rsid w:val="001F2A9A"/>
    <w:rsid w:val="001F67CD"/>
    <w:rsid w:val="001F6917"/>
    <w:rsid w:val="00203F45"/>
    <w:rsid w:val="00204301"/>
    <w:rsid w:val="00205976"/>
    <w:rsid w:val="00206FC1"/>
    <w:rsid w:val="00207794"/>
    <w:rsid w:val="00207BFC"/>
    <w:rsid w:val="00207DCD"/>
    <w:rsid w:val="00207EC2"/>
    <w:rsid w:val="002106B8"/>
    <w:rsid w:val="00212551"/>
    <w:rsid w:val="0021375F"/>
    <w:rsid w:val="00214F53"/>
    <w:rsid w:val="00216CE5"/>
    <w:rsid w:val="00216D0E"/>
    <w:rsid w:val="002179FE"/>
    <w:rsid w:val="00217DCA"/>
    <w:rsid w:val="002271F0"/>
    <w:rsid w:val="002329E3"/>
    <w:rsid w:val="00234027"/>
    <w:rsid w:val="0023430D"/>
    <w:rsid w:val="00237F82"/>
    <w:rsid w:val="0024236D"/>
    <w:rsid w:val="00245558"/>
    <w:rsid w:val="00250DC5"/>
    <w:rsid w:val="0025242C"/>
    <w:rsid w:val="00253076"/>
    <w:rsid w:val="00253961"/>
    <w:rsid w:val="002555E1"/>
    <w:rsid w:val="00255E60"/>
    <w:rsid w:val="00255EBC"/>
    <w:rsid w:val="0025770B"/>
    <w:rsid w:val="00261553"/>
    <w:rsid w:val="00262C88"/>
    <w:rsid w:val="00262F94"/>
    <w:rsid w:val="00263617"/>
    <w:rsid w:val="002672A1"/>
    <w:rsid w:val="002702E6"/>
    <w:rsid w:val="00271199"/>
    <w:rsid w:val="0027646D"/>
    <w:rsid w:val="00277953"/>
    <w:rsid w:val="00277EFD"/>
    <w:rsid w:val="00283A3D"/>
    <w:rsid w:val="00283A59"/>
    <w:rsid w:val="00284FF0"/>
    <w:rsid w:val="00285CD8"/>
    <w:rsid w:val="00287A7B"/>
    <w:rsid w:val="00290283"/>
    <w:rsid w:val="002936DD"/>
    <w:rsid w:val="002A25C7"/>
    <w:rsid w:val="002A3533"/>
    <w:rsid w:val="002A526E"/>
    <w:rsid w:val="002A70BB"/>
    <w:rsid w:val="002B02B5"/>
    <w:rsid w:val="002B0954"/>
    <w:rsid w:val="002B0A6C"/>
    <w:rsid w:val="002B1B68"/>
    <w:rsid w:val="002B2A4D"/>
    <w:rsid w:val="002B35C5"/>
    <w:rsid w:val="002B4773"/>
    <w:rsid w:val="002B56F0"/>
    <w:rsid w:val="002B66B5"/>
    <w:rsid w:val="002B6EEF"/>
    <w:rsid w:val="002C3767"/>
    <w:rsid w:val="002C6045"/>
    <w:rsid w:val="002D05CB"/>
    <w:rsid w:val="002D2337"/>
    <w:rsid w:val="002D4537"/>
    <w:rsid w:val="002D630F"/>
    <w:rsid w:val="002D6C33"/>
    <w:rsid w:val="002D6D00"/>
    <w:rsid w:val="002E1170"/>
    <w:rsid w:val="002E357E"/>
    <w:rsid w:val="002E42DA"/>
    <w:rsid w:val="002E58F3"/>
    <w:rsid w:val="002E5956"/>
    <w:rsid w:val="002E5A81"/>
    <w:rsid w:val="002F045A"/>
    <w:rsid w:val="002F0B58"/>
    <w:rsid w:val="002F1371"/>
    <w:rsid w:val="002F1A1F"/>
    <w:rsid w:val="002F270B"/>
    <w:rsid w:val="002F4681"/>
    <w:rsid w:val="002F6BD4"/>
    <w:rsid w:val="002F7B4F"/>
    <w:rsid w:val="00300232"/>
    <w:rsid w:val="003005C2"/>
    <w:rsid w:val="00300750"/>
    <w:rsid w:val="0030126B"/>
    <w:rsid w:val="00301F8D"/>
    <w:rsid w:val="0030469B"/>
    <w:rsid w:val="00305973"/>
    <w:rsid w:val="003068F4"/>
    <w:rsid w:val="00310E38"/>
    <w:rsid w:val="00311C84"/>
    <w:rsid w:val="00312226"/>
    <w:rsid w:val="003123EE"/>
    <w:rsid w:val="00315900"/>
    <w:rsid w:val="00323591"/>
    <w:rsid w:val="00324724"/>
    <w:rsid w:val="00324FF7"/>
    <w:rsid w:val="00325B65"/>
    <w:rsid w:val="003277FE"/>
    <w:rsid w:val="0033160F"/>
    <w:rsid w:val="003341F4"/>
    <w:rsid w:val="003342C8"/>
    <w:rsid w:val="00334F3E"/>
    <w:rsid w:val="0033712F"/>
    <w:rsid w:val="00337AA6"/>
    <w:rsid w:val="00340E5F"/>
    <w:rsid w:val="00341807"/>
    <w:rsid w:val="0034274C"/>
    <w:rsid w:val="003428AA"/>
    <w:rsid w:val="00342B22"/>
    <w:rsid w:val="00344063"/>
    <w:rsid w:val="0034725B"/>
    <w:rsid w:val="00347351"/>
    <w:rsid w:val="003478D7"/>
    <w:rsid w:val="00351613"/>
    <w:rsid w:val="00352E1D"/>
    <w:rsid w:val="00354C15"/>
    <w:rsid w:val="00357832"/>
    <w:rsid w:val="003613EE"/>
    <w:rsid w:val="00362B6B"/>
    <w:rsid w:val="0036363D"/>
    <w:rsid w:val="00363AF2"/>
    <w:rsid w:val="00363C58"/>
    <w:rsid w:val="00365815"/>
    <w:rsid w:val="003661D3"/>
    <w:rsid w:val="00367148"/>
    <w:rsid w:val="00367800"/>
    <w:rsid w:val="00370F88"/>
    <w:rsid w:val="00373BE5"/>
    <w:rsid w:val="0037495B"/>
    <w:rsid w:val="00374C21"/>
    <w:rsid w:val="0037626F"/>
    <w:rsid w:val="00376D7C"/>
    <w:rsid w:val="003817E4"/>
    <w:rsid w:val="00381906"/>
    <w:rsid w:val="0038513B"/>
    <w:rsid w:val="00385150"/>
    <w:rsid w:val="003859F7"/>
    <w:rsid w:val="00385F6B"/>
    <w:rsid w:val="00385FAF"/>
    <w:rsid w:val="003864C1"/>
    <w:rsid w:val="003866C0"/>
    <w:rsid w:val="003928B9"/>
    <w:rsid w:val="003929CE"/>
    <w:rsid w:val="00392C8C"/>
    <w:rsid w:val="00392CB9"/>
    <w:rsid w:val="00392EB9"/>
    <w:rsid w:val="003939D5"/>
    <w:rsid w:val="003A1A90"/>
    <w:rsid w:val="003A386F"/>
    <w:rsid w:val="003A499C"/>
    <w:rsid w:val="003A50C9"/>
    <w:rsid w:val="003A5886"/>
    <w:rsid w:val="003A5945"/>
    <w:rsid w:val="003A75B0"/>
    <w:rsid w:val="003A75F8"/>
    <w:rsid w:val="003B0C89"/>
    <w:rsid w:val="003B17FF"/>
    <w:rsid w:val="003B4560"/>
    <w:rsid w:val="003B5516"/>
    <w:rsid w:val="003B591C"/>
    <w:rsid w:val="003B65EC"/>
    <w:rsid w:val="003B669A"/>
    <w:rsid w:val="003B7FE4"/>
    <w:rsid w:val="003C099F"/>
    <w:rsid w:val="003C3052"/>
    <w:rsid w:val="003C5C8A"/>
    <w:rsid w:val="003C72A0"/>
    <w:rsid w:val="003D0409"/>
    <w:rsid w:val="003D0435"/>
    <w:rsid w:val="003D0507"/>
    <w:rsid w:val="003D1485"/>
    <w:rsid w:val="003D1A8A"/>
    <w:rsid w:val="003D5A91"/>
    <w:rsid w:val="003D6101"/>
    <w:rsid w:val="003D61B4"/>
    <w:rsid w:val="003D67CE"/>
    <w:rsid w:val="003D7936"/>
    <w:rsid w:val="003D79B5"/>
    <w:rsid w:val="003E14CA"/>
    <w:rsid w:val="003E2F23"/>
    <w:rsid w:val="003E3368"/>
    <w:rsid w:val="003E4C7E"/>
    <w:rsid w:val="003E72A6"/>
    <w:rsid w:val="003E7C79"/>
    <w:rsid w:val="003F2CE2"/>
    <w:rsid w:val="003F3D5F"/>
    <w:rsid w:val="003F5689"/>
    <w:rsid w:val="003F5794"/>
    <w:rsid w:val="003F5ADF"/>
    <w:rsid w:val="003F7AAE"/>
    <w:rsid w:val="004025F4"/>
    <w:rsid w:val="00404682"/>
    <w:rsid w:val="00406FFB"/>
    <w:rsid w:val="004121F7"/>
    <w:rsid w:val="004123EA"/>
    <w:rsid w:val="00412F64"/>
    <w:rsid w:val="00414B71"/>
    <w:rsid w:val="00417C90"/>
    <w:rsid w:val="00420A96"/>
    <w:rsid w:val="00420B25"/>
    <w:rsid w:val="0042110B"/>
    <w:rsid w:val="004222BF"/>
    <w:rsid w:val="00423299"/>
    <w:rsid w:val="00423C58"/>
    <w:rsid w:val="004245FF"/>
    <w:rsid w:val="0043201E"/>
    <w:rsid w:val="0043306E"/>
    <w:rsid w:val="004331E0"/>
    <w:rsid w:val="00433FAD"/>
    <w:rsid w:val="00437050"/>
    <w:rsid w:val="004414A2"/>
    <w:rsid w:val="00441585"/>
    <w:rsid w:val="00442F26"/>
    <w:rsid w:val="00446A5C"/>
    <w:rsid w:val="00446FEA"/>
    <w:rsid w:val="004478E7"/>
    <w:rsid w:val="00447D3C"/>
    <w:rsid w:val="00452C41"/>
    <w:rsid w:val="00460665"/>
    <w:rsid w:val="00464CEA"/>
    <w:rsid w:val="0046545C"/>
    <w:rsid w:val="004658B7"/>
    <w:rsid w:val="00466CD6"/>
    <w:rsid w:val="00467B19"/>
    <w:rsid w:val="0047097F"/>
    <w:rsid w:val="004721C7"/>
    <w:rsid w:val="00472AD0"/>
    <w:rsid w:val="00472C38"/>
    <w:rsid w:val="00473C7B"/>
    <w:rsid w:val="00474A95"/>
    <w:rsid w:val="0047677E"/>
    <w:rsid w:val="004776BD"/>
    <w:rsid w:val="00477A2C"/>
    <w:rsid w:val="00477A3B"/>
    <w:rsid w:val="00481803"/>
    <w:rsid w:val="00482D8B"/>
    <w:rsid w:val="00486065"/>
    <w:rsid w:val="004870F0"/>
    <w:rsid w:val="00487394"/>
    <w:rsid w:val="004879E9"/>
    <w:rsid w:val="00487ECB"/>
    <w:rsid w:val="00490445"/>
    <w:rsid w:val="00490D06"/>
    <w:rsid w:val="004910DD"/>
    <w:rsid w:val="00491143"/>
    <w:rsid w:val="004916FC"/>
    <w:rsid w:val="00491A26"/>
    <w:rsid w:val="00495989"/>
    <w:rsid w:val="004964EC"/>
    <w:rsid w:val="004A00C7"/>
    <w:rsid w:val="004A14C9"/>
    <w:rsid w:val="004A1B86"/>
    <w:rsid w:val="004A2E33"/>
    <w:rsid w:val="004A2F39"/>
    <w:rsid w:val="004A6B52"/>
    <w:rsid w:val="004A7E7E"/>
    <w:rsid w:val="004B0964"/>
    <w:rsid w:val="004B1864"/>
    <w:rsid w:val="004B1BA6"/>
    <w:rsid w:val="004B2F65"/>
    <w:rsid w:val="004B3D95"/>
    <w:rsid w:val="004B3F4D"/>
    <w:rsid w:val="004B4425"/>
    <w:rsid w:val="004B493B"/>
    <w:rsid w:val="004B50D2"/>
    <w:rsid w:val="004B5B8C"/>
    <w:rsid w:val="004B6714"/>
    <w:rsid w:val="004B6F4F"/>
    <w:rsid w:val="004C1E5C"/>
    <w:rsid w:val="004C27E2"/>
    <w:rsid w:val="004C2929"/>
    <w:rsid w:val="004C3BBE"/>
    <w:rsid w:val="004C450E"/>
    <w:rsid w:val="004C508E"/>
    <w:rsid w:val="004C57C8"/>
    <w:rsid w:val="004C6519"/>
    <w:rsid w:val="004C6CFC"/>
    <w:rsid w:val="004C7A91"/>
    <w:rsid w:val="004D00F8"/>
    <w:rsid w:val="004D0225"/>
    <w:rsid w:val="004D066E"/>
    <w:rsid w:val="004D24E5"/>
    <w:rsid w:val="004D38DC"/>
    <w:rsid w:val="004D4BAA"/>
    <w:rsid w:val="004D4EB5"/>
    <w:rsid w:val="004D55D1"/>
    <w:rsid w:val="004D58AC"/>
    <w:rsid w:val="004D65C8"/>
    <w:rsid w:val="004E0013"/>
    <w:rsid w:val="004E4850"/>
    <w:rsid w:val="004E4AB0"/>
    <w:rsid w:val="004E5D6E"/>
    <w:rsid w:val="004E6F92"/>
    <w:rsid w:val="004F10B0"/>
    <w:rsid w:val="004F2141"/>
    <w:rsid w:val="004F2E2D"/>
    <w:rsid w:val="004F5C80"/>
    <w:rsid w:val="004F5CD5"/>
    <w:rsid w:val="004F68D4"/>
    <w:rsid w:val="00500F23"/>
    <w:rsid w:val="00500FFA"/>
    <w:rsid w:val="005012D6"/>
    <w:rsid w:val="00503768"/>
    <w:rsid w:val="005037B5"/>
    <w:rsid w:val="00504906"/>
    <w:rsid w:val="00504E25"/>
    <w:rsid w:val="00505D2E"/>
    <w:rsid w:val="005065BC"/>
    <w:rsid w:val="005068E1"/>
    <w:rsid w:val="00506BA1"/>
    <w:rsid w:val="005075FA"/>
    <w:rsid w:val="00511632"/>
    <w:rsid w:val="005146D3"/>
    <w:rsid w:val="00515243"/>
    <w:rsid w:val="00515772"/>
    <w:rsid w:val="00517AAF"/>
    <w:rsid w:val="00520127"/>
    <w:rsid w:val="005201C2"/>
    <w:rsid w:val="00521F18"/>
    <w:rsid w:val="00522B2D"/>
    <w:rsid w:val="00525E89"/>
    <w:rsid w:val="0052690F"/>
    <w:rsid w:val="00527047"/>
    <w:rsid w:val="00527516"/>
    <w:rsid w:val="005276D4"/>
    <w:rsid w:val="00530CA3"/>
    <w:rsid w:val="00531822"/>
    <w:rsid w:val="005346DF"/>
    <w:rsid w:val="00535908"/>
    <w:rsid w:val="005366BF"/>
    <w:rsid w:val="0053724F"/>
    <w:rsid w:val="00540A5A"/>
    <w:rsid w:val="00540F23"/>
    <w:rsid w:val="00541F37"/>
    <w:rsid w:val="005423B7"/>
    <w:rsid w:val="005428D8"/>
    <w:rsid w:val="00543D24"/>
    <w:rsid w:val="00547FB1"/>
    <w:rsid w:val="00551F37"/>
    <w:rsid w:val="00555BC6"/>
    <w:rsid w:val="00555FAB"/>
    <w:rsid w:val="00560510"/>
    <w:rsid w:val="00561696"/>
    <w:rsid w:val="005622E9"/>
    <w:rsid w:val="00562739"/>
    <w:rsid w:val="005658A0"/>
    <w:rsid w:val="005660E8"/>
    <w:rsid w:val="0056610A"/>
    <w:rsid w:val="00567694"/>
    <w:rsid w:val="00573329"/>
    <w:rsid w:val="00573965"/>
    <w:rsid w:val="005751B1"/>
    <w:rsid w:val="00575B02"/>
    <w:rsid w:val="00576CFE"/>
    <w:rsid w:val="00577BE8"/>
    <w:rsid w:val="00577C77"/>
    <w:rsid w:val="005830F0"/>
    <w:rsid w:val="005832CD"/>
    <w:rsid w:val="005834DF"/>
    <w:rsid w:val="00584763"/>
    <w:rsid w:val="005851AB"/>
    <w:rsid w:val="005851B4"/>
    <w:rsid w:val="005860FE"/>
    <w:rsid w:val="00586ABF"/>
    <w:rsid w:val="005874C5"/>
    <w:rsid w:val="00587BA5"/>
    <w:rsid w:val="0059004C"/>
    <w:rsid w:val="00590224"/>
    <w:rsid w:val="00590856"/>
    <w:rsid w:val="00591A1C"/>
    <w:rsid w:val="00591F9F"/>
    <w:rsid w:val="005928C8"/>
    <w:rsid w:val="00593447"/>
    <w:rsid w:val="005935EA"/>
    <w:rsid w:val="00594EFD"/>
    <w:rsid w:val="00596743"/>
    <w:rsid w:val="00596EC2"/>
    <w:rsid w:val="00596F58"/>
    <w:rsid w:val="00597B8C"/>
    <w:rsid w:val="00597EDA"/>
    <w:rsid w:val="005A05CD"/>
    <w:rsid w:val="005A1C21"/>
    <w:rsid w:val="005A32D6"/>
    <w:rsid w:val="005A3AA1"/>
    <w:rsid w:val="005A3B69"/>
    <w:rsid w:val="005A3CA5"/>
    <w:rsid w:val="005A4395"/>
    <w:rsid w:val="005A5F26"/>
    <w:rsid w:val="005B11B4"/>
    <w:rsid w:val="005B136B"/>
    <w:rsid w:val="005B28F6"/>
    <w:rsid w:val="005B4047"/>
    <w:rsid w:val="005B4998"/>
    <w:rsid w:val="005B6D08"/>
    <w:rsid w:val="005B6F95"/>
    <w:rsid w:val="005B7DD5"/>
    <w:rsid w:val="005C0D2E"/>
    <w:rsid w:val="005C0F53"/>
    <w:rsid w:val="005C3004"/>
    <w:rsid w:val="005C366E"/>
    <w:rsid w:val="005C3A86"/>
    <w:rsid w:val="005C579E"/>
    <w:rsid w:val="005C6369"/>
    <w:rsid w:val="005C6B6A"/>
    <w:rsid w:val="005C73A4"/>
    <w:rsid w:val="005C7F43"/>
    <w:rsid w:val="005D0162"/>
    <w:rsid w:val="005D21AD"/>
    <w:rsid w:val="005D2531"/>
    <w:rsid w:val="005D3870"/>
    <w:rsid w:val="005D5B74"/>
    <w:rsid w:val="005D7F61"/>
    <w:rsid w:val="005E276C"/>
    <w:rsid w:val="005E2CA5"/>
    <w:rsid w:val="005E50BD"/>
    <w:rsid w:val="005E609A"/>
    <w:rsid w:val="005F03EC"/>
    <w:rsid w:val="005F249E"/>
    <w:rsid w:val="005F399A"/>
    <w:rsid w:val="005F3E57"/>
    <w:rsid w:val="005F4138"/>
    <w:rsid w:val="005F4F37"/>
    <w:rsid w:val="005F55C8"/>
    <w:rsid w:val="005F5782"/>
    <w:rsid w:val="006001FF"/>
    <w:rsid w:val="0060313A"/>
    <w:rsid w:val="00603E60"/>
    <w:rsid w:val="00604E74"/>
    <w:rsid w:val="00606175"/>
    <w:rsid w:val="00607C4F"/>
    <w:rsid w:val="00611024"/>
    <w:rsid w:val="0061135E"/>
    <w:rsid w:val="006118F2"/>
    <w:rsid w:val="00611CC4"/>
    <w:rsid w:val="00612E84"/>
    <w:rsid w:val="006144A8"/>
    <w:rsid w:val="00614ABC"/>
    <w:rsid w:val="00616076"/>
    <w:rsid w:val="006160FE"/>
    <w:rsid w:val="0061701C"/>
    <w:rsid w:val="00617CCA"/>
    <w:rsid w:val="00623837"/>
    <w:rsid w:val="00630266"/>
    <w:rsid w:val="00630394"/>
    <w:rsid w:val="006304B9"/>
    <w:rsid w:val="00630670"/>
    <w:rsid w:val="00630AB4"/>
    <w:rsid w:val="006337E7"/>
    <w:rsid w:val="00634E81"/>
    <w:rsid w:val="00640684"/>
    <w:rsid w:val="006407D3"/>
    <w:rsid w:val="00640C21"/>
    <w:rsid w:val="00640F0C"/>
    <w:rsid w:val="00641848"/>
    <w:rsid w:val="00642239"/>
    <w:rsid w:val="00647F5F"/>
    <w:rsid w:val="00647FED"/>
    <w:rsid w:val="0065011C"/>
    <w:rsid w:val="00650BD6"/>
    <w:rsid w:val="00651591"/>
    <w:rsid w:val="0065221F"/>
    <w:rsid w:val="006527B0"/>
    <w:rsid w:val="00652FD0"/>
    <w:rsid w:val="006550D8"/>
    <w:rsid w:val="006563C9"/>
    <w:rsid w:val="00656D57"/>
    <w:rsid w:val="00657184"/>
    <w:rsid w:val="00657D86"/>
    <w:rsid w:val="00660820"/>
    <w:rsid w:val="00661566"/>
    <w:rsid w:val="00661606"/>
    <w:rsid w:val="00661877"/>
    <w:rsid w:val="006632AA"/>
    <w:rsid w:val="0066382C"/>
    <w:rsid w:val="00664461"/>
    <w:rsid w:val="006658FC"/>
    <w:rsid w:val="006668FE"/>
    <w:rsid w:val="00670913"/>
    <w:rsid w:val="00671233"/>
    <w:rsid w:val="00673202"/>
    <w:rsid w:val="006738ED"/>
    <w:rsid w:val="00675080"/>
    <w:rsid w:val="00675532"/>
    <w:rsid w:val="00676F54"/>
    <w:rsid w:val="00677184"/>
    <w:rsid w:val="006808CC"/>
    <w:rsid w:val="00680D32"/>
    <w:rsid w:val="00682BBC"/>
    <w:rsid w:val="00683E1D"/>
    <w:rsid w:val="0068423C"/>
    <w:rsid w:val="00686116"/>
    <w:rsid w:val="00686B21"/>
    <w:rsid w:val="006876B3"/>
    <w:rsid w:val="0068793D"/>
    <w:rsid w:val="006905F7"/>
    <w:rsid w:val="00690C1E"/>
    <w:rsid w:val="00691AAC"/>
    <w:rsid w:val="006928A9"/>
    <w:rsid w:val="00693052"/>
    <w:rsid w:val="006930EA"/>
    <w:rsid w:val="0069422B"/>
    <w:rsid w:val="00694A75"/>
    <w:rsid w:val="00694B02"/>
    <w:rsid w:val="0069640B"/>
    <w:rsid w:val="0069727C"/>
    <w:rsid w:val="006A01D2"/>
    <w:rsid w:val="006A096D"/>
    <w:rsid w:val="006A0B47"/>
    <w:rsid w:val="006A4A67"/>
    <w:rsid w:val="006A589F"/>
    <w:rsid w:val="006A69AF"/>
    <w:rsid w:val="006A72F4"/>
    <w:rsid w:val="006B016C"/>
    <w:rsid w:val="006B3EA7"/>
    <w:rsid w:val="006B4405"/>
    <w:rsid w:val="006B4904"/>
    <w:rsid w:val="006B49F3"/>
    <w:rsid w:val="006C0275"/>
    <w:rsid w:val="006C2A3F"/>
    <w:rsid w:val="006C2B90"/>
    <w:rsid w:val="006C2CD7"/>
    <w:rsid w:val="006C3DB7"/>
    <w:rsid w:val="006C4189"/>
    <w:rsid w:val="006C4805"/>
    <w:rsid w:val="006C5A2D"/>
    <w:rsid w:val="006C6005"/>
    <w:rsid w:val="006D0116"/>
    <w:rsid w:val="006D08D7"/>
    <w:rsid w:val="006D4821"/>
    <w:rsid w:val="006D6DE8"/>
    <w:rsid w:val="006D6F6B"/>
    <w:rsid w:val="006E00B3"/>
    <w:rsid w:val="006E0760"/>
    <w:rsid w:val="006E11D0"/>
    <w:rsid w:val="006E467B"/>
    <w:rsid w:val="006E4B18"/>
    <w:rsid w:val="006E5105"/>
    <w:rsid w:val="006E5817"/>
    <w:rsid w:val="006F0253"/>
    <w:rsid w:val="006F100E"/>
    <w:rsid w:val="006F1E28"/>
    <w:rsid w:val="006F23F6"/>
    <w:rsid w:val="006F31DF"/>
    <w:rsid w:val="006F4D9A"/>
    <w:rsid w:val="006F6F29"/>
    <w:rsid w:val="00700513"/>
    <w:rsid w:val="00701CAA"/>
    <w:rsid w:val="007024DE"/>
    <w:rsid w:val="00703E9C"/>
    <w:rsid w:val="00704714"/>
    <w:rsid w:val="0070527F"/>
    <w:rsid w:val="007066F4"/>
    <w:rsid w:val="00710237"/>
    <w:rsid w:val="007103E7"/>
    <w:rsid w:val="00714E29"/>
    <w:rsid w:val="0071635C"/>
    <w:rsid w:val="00716A76"/>
    <w:rsid w:val="007224CE"/>
    <w:rsid w:val="007240DC"/>
    <w:rsid w:val="00724116"/>
    <w:rsid w:val="00724309"/>
    <w:rsid w:val="00724377"/>
    <w:rsid w:val="00724A9F"/>
    <w:rsid w:val="00727BBA"/>
    <w:rsid w:val="00730709"/>
    <w:rsid w:val="00730D91"/>
    <w:rsid w:val="007315D3"/>
    <w:rsid w:val="00731A60"/>
    <w:rsid w:val="00731B99"/>
    <w:rsid w:val="00732282"/>
    <w:rsid w:val="00734AAD"/>
    <w:rsid w:val="00735791"/>
    <w:rsid w:val="0074000E"/>
    <w:rsid w:val="0074056F"/>
    <w:rsid w:val="00740A74"/>
    <w:rsid w:val="00743359"/>
    <w:rsid w:val="00743936"/>
    <w:rsid w:val="00744948"/>
    <w:rsid w:val="00744E63"/>
    <w:rsid w:val="0074502A"/>
    <w:rsid w:val="007464C6"/>
    <w:rsid w:val="00746EB0"/>
    <w:rsid w:val="00747944"/>
    <w:rsid w:val="00751AF2"/>
    <w:rsid w:val="00752931"/>
    <w:rsid w:val="007548A2"/>
    <w:rsid w:val="00754D21"/>
    <w:rsid w:val="0075532E"/>
    <w:rsid w:val="007556DF"/>
    <w:rsid w:val="00755D4E"/>
    <w:rsid w:val="0075615E"/>
    <w:rsid w:val="00757B6E"/>
    <w:rsid w:val="0076153E"/>
    <w:rsid w:val="007629D2"/>
    <w:rsid w:val="00762FA7"/>
    <w:rsid w:val="007640E3"/>
    <w:rsid w:val="007642DC"/>
    <w:rsid w:val="007664A6"/>
    <w:rsid w:val="0076726A"/>
    <w:rsid w:val="00770928"/>
    <w:rsid w:val="00773528"/>
    <w:rsid w:val="00774177"/>
    <w:rsid w:val="007746CB"/>
    <w:rsid w:val="00775366"/>
    <w:rsid w:val="00775B6A"/>
    <w:rsid w:val="00780906"/>
    <w:rsid w:val="00781DD1"/>
    <w:rsid w:val="00782746"/>
    <w:rsid w:val="0078479D"/>
    <w:rsid w:val="00785261"/>
    <w:rsid w:val="007868A1"/>
    <w:rsid w:val="007871A2"/>
    <w:rsid w:val="0078789B"/>
    <w:rsid w:val="007901A2"/>
    <w:rsid w:val="007921AE"/>
    <w:rsid w:val="00792520"/>
    <w:rsid w:val="00793324"/>
    <w:rsid w:val="007A1158"/>
    <w:rsid w:val="007A38AC"/>
    <w:rsid w:val="007A4250"/>
    <w:rsid w:val="007A511E"/>
    <w:rsid w:val="007A6826"/>
    <w:rsid w:val="007B1483"/>
    <w:rsid w:val="007B22A2"/>
    <w:rsid w:val="007B29FF"/>
    <w:rsid w:val="007B3473"/>
    <w:rsid w:val="007B34BC"/>
    <w:rsid w:val="007B452D"/>
    <w:rsid w:val="007B5378"/>
    <w:rsid w:val="007B560E"/>
    <w:rsid w:val="007B7B71"/>
    <w:rsid w:val="007C065A"/>
    <w:rsid w:val="007C0C73"/>
    <w:rsid w:val="007C2AA6"/>
    <w:rsid w:val="007C2DFF"/>
    <w:rsid w:val="007C4056"/>
    <w:rsid w:val="007C5557"/>
    <w:rsid w:val="007C7DD3"/>
    <w:rsid w:val="007D1712"/>
    <w:rsid w:val="007D28A2"/>
    <w:rsid w:val="007D5FC0"/>
    <w:rsid w:val="007D6CDE"/>
    <w:rsid w:val="007D702C"/>
    <w:rsid w:val="007D7686"/>
    <w:rsid w:val="007E00E1"/>
    <w:rsid w:val="007E08CB"/>
    <w:rsid w:val="007E1F7C"/>
    <w:rsid w:val="007E35E9"/>
    <w:rsid w:val="007E3959"/>
    <w:rsid w:val="007E3998"/>
    <w:rsid w:val="007E4268"/>
    <w:rsid w:val="007E4B74"/>
    <w:rsid w:val="007E5376"/>
    <w:rsid w:val="007E58A4"/>
    <w:rsid w:val="007E5B13"/>
    <w:rsid w:val="007E60A3"/>
    <w:rsid w:val="007E76C0"/>
    <w:rsid w:val="007E7E4D"/>
    <w:rsid w:val="007F056B"/>
    <w:rsid w:val="007F079A"/>
    <w:rsid w:val="007F2D9A"/>
    <w:rsid w:val="007F4827"/>
    <w:rsid w:val="007F62A5"/>
    <w:rsid w:val="007F7575"/>
    <w:rsid w:val="00801D36"/>
    <w:rsid w:val="008025F0"/>
    <w:rsid w:val="00802D62"/>
    <w:rsid w:val="008040FD"/>
    <w:rsid w:val="008043C6"/>
    <w:rsid w:val="00804924"/>
    <w:rsid w:val="00805069"/>
    <w:rsid w:val="00805A35"/>
    <w:rsid w:val="00810DA3"/>
    <w:rsid w:val="00811045"/>
    <w:rsid w:val="00811F5F"/>
    <w:rsid w:val="00813F27"/>
    <w:rsid w:val="008163BD"/>
    <w:rsid w:val="00816607"/>
    <w:rsid w:val="008168CD"/>
    <w:rsid w:val="00817807"/>
    <w:rsid w:val="008208CD"/>
    <w:rsid w:val="00823024"/>
    <w:rsid w:val="008237A2"/>
    <w:rsid w:val="00825B27"/>
    <w:rsid w:val="00827D44"/>
    <w:rsid w:val="0083028C"/>
    <w:rsid w:val="0083066B"/>
    <w:rsid w:val="008332E3"/>
    <w:rsid w:val="0083372F"/>
    <w:rsid w:val="00833E0E"/>
    <w:rsid w:val="008342F2"/>
    <w:rsid w:val="00835E21"/>
    <w:rsid w:val="008379A8"/>
    <w:rsid w:val="00840AC3"/>
    <w:rsid w:val="00842398"/>
    <w:rsid w:val="0084547C"/>
    <w:rsid w:val="0085119F"/>
    <w:rsid w:val="00852331"/>
    <w:rsid w:val="00852ABC"/>
    <w:rsid w:val="00852D4E"/>
    <w:rsid w:val="0085546A"/>
    <w:rsid w:val="00857B13"/>
    <w:rsid w:val="00860036"/>
    <w:rsid w:val="0086185B"/>
    <w:rsid w:val="008618F8"/>
    <w:rsid w:val="00861DF7"/>
    <w:rsid w:val="00861EB2"/>
    <w:rsid w:val="008621DE"/>
    <w:rsid w:val="00862606"/>
    <w:rsid w:val="00863F0D"/>
    <w:rsid w:val="00864D33"/>
    <w:rsid w:val="008655EF"/>
    <w:rsid w:val="008709C7"/>
    <w:rsid w:val="008728F1"/>
    <w:rsid w:val="00875364"/>
    <w:rsid w:val="0087671B"/>
    <w:rsid w:val="00876DB2"/>
    <w:rsid w:val="00877FF3"/>
    <w:rsid w:val="008805F3"/>
    <w:rsid w:val="00881AD7"/>
    <w:rsid w:val="00882221"/>
    <w:rsid w:val="0088323E"/>
    <w:rsid w:val="008844A8"/>
    <w:rsid w:val="0088494F"/>
    <w:rsid w:val="008851C8"/>
    <w:rsid w:val="008855C9"/>
    <w:rsid w:val="00885BE3"/>
    <w:rsid w:val="00885D45"/>
    <w:rsid w:val="008870BC"/>
    <w:rsid w:val="00887BE1"/>
    <w:rsid w:val="008912ED"/>
    <w:rsid w:val="00891A0D"/>
    <w:rsid w:val="008929F0"/>
    <w:rsid w:val="00893C35"/>
    <w:rsid w:val="00895A2F"/>
    <w:rsid w:val="00897A30"/>
    <w:rsid w:val="008A0824"/>
    <w:rsid w:val="008A2DA9"/>
    <w:rsid w:val="008A3EDB"/>
    <w:rsid w:val="008A4025"/>
    <w:rsid w:val="008A481A"/>
    <w:rsid w:val="008A7D66"/>
    <w:rsid w:val="008B101F"/>
    <w:rsid w:val="008B1550"/>
    <w:rsid w:val="008B3279"/>
    <w:rsid w:val="008B3E17"/>
    <w:rsid w:val="008B4D19"/>
    <w:rsid w:val="008B67F3"/>
    <w:rsid w:val="008B6BDD"/>
    <w:rsid w:val="008B7BCC"/>
    <w:rsid w:val="008C0CEA"/>
    <w:rsid w:val="008C10A4"/>
    <w:rsid w:val="008C26F4"/>
    <w:rsid w:val="008C2852"/>
    <w:rsid w:val="008C4B96"/>
    <w:rsid w:val="008C5153"/>
    <w:rsid w:val="008C53F6"/>
    <w:rsid w:val="008C5699"/>
    <w:rsid w:val="008C5842"/>
    <w:rsid w:val="008C64D1"/>
    <w:rsid w:val="008C6E2E"/>
    <w:rsid w:val="008C6E78"/>
    <w:rsid w:val="008C78D1"/>
    <w:rsid w:val="008D0CA4"/>
    <w:rsid w:val="008D1428"/>
    <w:rsid w:val="008D29CC"/>
    <w:rsid w:val="008D5638"/>
    <w:rsid w:val="008D590F"/>
    <w:rsid w:val="008D7C26"/>
    <w:rsid w:val="008E0240"/>
    <w:rsid w:val="008E04C0"/>
    <w:rsid w:val="008E09D2"/>
    <w:rsid w:val="008E3986"/>
    <w:rsid w:val="008E4128"/>
    <w:rsid w:val="008E6670"/>
    <w:rsid w:val="008E7B57"/>
    <w:rsid w:val="008F07A7"/>
    <w:rsid w:val="008F15B0"/>
    <w:rsid w:val="008F1CC9"/>
    <w:rsid w:val="008F2639"/>
    <w:rsid w:val="008F274C"/>
    <w:rsid w:val="008F29E5"/>
    <w:rsid w:val="008F30F0"/>
    <w:rsid w:val="008F33FB"/>
    <w:rsid w:val="008F3D97"/>
    <w:rsid w:val="008F4FD5"/>
    <w:rsid w:val="008F5428"/>
    <w:rsid w:val="008F5B73"/>
    <w:rsid w:val="008F79CE"/>
    <w:rsid w:val="00900223"/>
    <w:rsid w:val="00901AFA"/>
    <w:rsid w:val="00901FEE"/>
    <w:rsid w:val="009021CC"/>
    <w:rsid w:val="009043B2"/>
    <w:rsid w:val="00904CA9"/>
    <w:rsid w:val="00905AFC"/>
    <w:rsid w:val="00905E87"/>
    <w:rsid w:val="009072FC"/>
    <w:rsid w:val="0090734E"/>
    <w:rsid w:val="00907CAC"/>
    <w:rsid w:val="00910038"/>
    <w:rsid w:val="0091048E"/>
    <w:rsid w:val="00913A22"/>
    <w:rsid w:val="00914234"/>
    <w:rsid w:val="00920A99"/>
    <w:rsid w:val="009210D4"/>
    <w:rsid w:val="009217A8"/>
    <w:rsid w:val="00924077"/>
    <w:rsid w:val="00924E80"/>
    <w:rsid w:val="00925C36"/>
    <w:rsid w:val="00927A8F"/>
    <w:rsid w:val="00930CBB"/>
    <w:rsid w:val="00933156"/>
    <w:rsid w:val="00934435"/>
    <w:rsid w:val="00934F3B"/>
    <w:rsid w:val="00943151"/>
    <w:rsid w:val="00943948"/>
    <w:rsid w:val="00943C76"/>
    <w:rsid w:val="00944643"/>
    <w:rsid w:val="00944931"/>
    <w:rsid w:val="00944B8F"/>
    <w:rsid w:val="009455FA"/>
    <w:rsid w:val="00945A9C"/>
    <w:rsid w:val="00946ECA"/>
    <w:rsid w:val="009478FF"/>
    <w:rsid w:val="00947BB9"/>
    <w:rsid w:val="00947BEB"/>
    <w:rsid w:val="00952524"/>
    <w:rsid w:val="009528EA"/>
    <w:rsid w:val="00952A71"/>
    <w:rsid w:val="009547A5"/>
    <w:rsid w:val="00954842"/>
    <w:rsid w:val="00955FB8"/>
    <w:rsid w:val="00961664"/>
    <w:rsid w:val="00963E47"/>
    <w:rsid w:val="00963F82"/>
    <w:rsid w:val="009641E8"/>
    <w:rsid w:val="009643D6"/>
    <w:rsid w:val="009664F6"/>
    <w:rsid w:val="00966E5D"/>
    <w:rsid w:val="0096762A"/>
    <w:rsid w:val="0097186B"/>
    <w:rsid w:val="00971908"/>
    <w:rsid w:val="00971B17"/>
    <w:rsid w:val="00972393"/>
    <w:rsid w:val="0097291B"/>
    <w:rsid w:val="009748D4"/>
    <w:rsid w:val="00974D77"/>
    <w:rsid w:val="009759E5"/>
    <w:rsid w:val="00976124"/>
    <w:rsid w:val="00976ADD"/>
    <w:rsid w:val="00985B87"/>
    <w:rsid w:val="00986E88"/>
    <w:rsid w:val="00987440"/>
    <w:rsid w:val="00987B12"/>
    <w:rsid w:val="00990E3D"/>
    <w:rsid w:val="009915BD"/>
    <w:rsid w:val="0099199E"/>
    <w:rsid w:val="009925A9"/>
    <w:rsid w:val="00993490"/>
    <w:rsid w:val="009941B2"/>
    <w:rsid w:val="0099655D"/>
    <w:rsid w:val="009A4F3F"/>
    <w:rsid w:val="009A532B"/>
    <w:rsid w:val="009A5A23"/>
    <w:rsid w:val="009A633A"/>
    <w:rsid w:val="009A7E2C"/>
    <w:rsid w:val="009B0666"/>
    <w:rsid w:val="009B117D"/>
    <w:rsid w:val="009B4B69"/>
    <w:rsid w:val="009B5AB4"/>
    <w:rsid w:val="009C07A5"/>
    <w:rsid w:val="009C2A3E"/>
    <w:rsid w:val="009C3C4D"/>
    <w:rsid w:val="009C43CF"/>
    <w:rsid w:val="009C77BB"/>
    <w:rsid w:val="009C7A6C"/>
    <w:rsid w:val="009D3F74"/>
    <w:rsid w:val="009D6985"/>
    <w:rsid w:val="009D7181"/>
    <w:rsid w:val="009D73EC"/>
    <w:rsid w:val="009D78A8"/>
    <w:rsid w:val="009E075A"/>
    <w:rsid w:val="009E0E0A"/>
    <w:rsid w:val="009E0E2F"/>
    <w:rsid w:val="009E177D"/>
    <w:rsid w:val="009E1B20"/>
    <w:rsid w:val="009E1F34"/>
    <w:rsid w:val="009E3B4F"/>
    <w:rsid w:val="009E5446"/>
    <w:rsid w:val="009E5911"/>
    <w:rsid w:val="009E64DE"/>
    <w:rsid w:val="009E6B48"/>
    <w:rsid w:val="009E6BAC"/>
    <w:rsid w:val="009F15B1"/>
    <w:rsid w:val="009F1742"/>
    <w:rsid w:val="009F1F16"/>
    <w:rsid w:val="009F2045"/>
    <w:rsid w:val="009F37CA"/>
    <w:rsid w:val="009F3FDE"/>
    <w:rsid w:val="009F5C70"/>
    <w:rsid w:val="009F71C2"/>
    <w:rsid w:val="009F76D2"/>
    <w:rsid w:val="009F7746"/>
    <w:rsid w:val="00A005E2"/>
    <w:rsid w:val="00A01295"/>
    <w:rsid w:val="00A0180F"/>
    <w:rsid w:val="00A06B15"/>
    <w:rsid w:val="00A07406"/>
    <w:rsid w:val="00A1535E"/>
    <w:rsid w:val="00A15B88"/>
    <w:rsid w:val="00A21547"/>
    <w:rsid w:val="00A22388"/>
    <w:rsid w:val="00A22D4D"/>
    <w:rsid w:val="00A23D75"/>
    <w:rsid w:val="00A23F55"/>
    <w:rsid w:val="00A24164"/>
    <w:rsid w:val="00A24649"/>
    <w:rsid w:val="00A24EDC"/>
    <w:rsid w:val="00A257B5"/>
    <w:rsid w:val="00A31992"/>
    <w:rsid w:val="00A32183"/>
    <w:rsid w:val="00A32CA9"/>
    <w:rsid w:val="00A336DF"/>
    <w:rsid w:val="00A343E1"/>
    <w:rsid w:val="00A34616"/>
    <w:rsid w:val="00A354EF"/>
    <w:rsid w:val="00A36F67"/>
    <w:rsid w:val="00A37A73"/>
    <w:rsid w:val="00A40993"/>
    <w:rsid w:val="00A41D77"/>
    <w:rsid w:val="00A42C85"/>
    <w:rsid w:val="00A45827"/>
    <w:rsid w:val="00A467DB"/>
    <w:rsid w:val="00A5168D"/>
    <w:rsid w:val="00A517D6"/>
    <w:rsid w:val="00A51EC4"/>
    <w:rsid w:val="00A5330A"/>
    <w:rsid w:val="00A55F04"/>
    <w:rsid w:val="00A5736E"/>
    <w:rsid w:val="00A5778D"/>
    <w:rsid w:val="00A60900"/>
    <w:rsid w:val="00A60A96"/>
    <w:rsid w:val="00A619C9"/>
    <w:rsid w:val="00A61ECF"/>
    <w:rsid w:val="00A6206B"/>
    <w:rsid w:val="00A6294A"/>
    <w:rsid w:val="00A62D5E"/>
    <w:rsid w:val="00A62F16"/>
    <w:rsid w:val="00A63811"/>
    <w:rsid w:val="00A63997"/>
    <w:rsid w:val="00A6541E"/>
    <w:rsid w:val="00A677E6"/>
    <w:rsid w:val="00A67CDB"/>
    <w:rsid w:val="00A703BA"/>
    <w:rsid w:val="00A706C9"/>
    <w:rsid w:val="00A70985"/>
    <w:rsid w:val="00A72755"/>
    <w:rsid w:val="00A7331B"/>
    <w:rsid w:val="00A733E3"/>
    <w:rsid w:val="00A74BAA"/>
    <w:rsid w:val="00A7644A"/>
    <w:rsid w:val="00A804F1"/>
    <w:rsid w:val="00A81049"/>
    <w:rsid w:val="00A81396"/>
    <w:rsid w:val="00A81D15"/>
    <w:rsid w:val="00A824F6"/>
    <w:rsid w:val="00A868FE"/>
    <w:rsid w:val="00A86CEB"/>
    <w:rsid w:val="00A87374"/>
    <w:rsid w:val="00A90C01"/>
    <w:rsid w:val="00A91590"/>
    <w:rsid w:val="00A940C2"/>
    <w:rsid w:val="00A94350"/>
    <w:rsid w:val="00A94D85"/>
    <w:rsid w:val="00A9698E"/>
    <w:rsid w:val="00A979F4"/>
    <w:rsid w:val="00A97DEE"/>
    <w:rsid w:val="00AA0C2F"/>
    <w:rsid w:val="00AA16F9"/>
    <w:rsid w:val="00AA20C7"/>
    <w:rsid w:val="00AA4A2A"/>
    <w:rsid w:val="00AA532D"/>
    <w:rsid w:val="00AA54F8"/>
    <w:rsid w:val="00AA6375"/>
    <w:rsid w:val="00AA6715"/>
    <w:rsid w:val="00AA6909"/>
    <w:rsid w:val="00AA6F91"/>
    <w:rsid w:val="00AA751B"/>
    <w:rsid w:val="00AB00A6"/>
    <w:rsid w:val="00AB0725"/>
    <w:rsid w:val="00AB2E43"/>
    <w:rsid w:val="00AB3AFC"/>
    <w:rsid w:val="00AB3B3F"/>
    <w:rsid w:val="00AB3BE8"/>
    <w:rsid w:val="00AB6334"/>
    <w:rsid w:val="00AB637F"/>
    <w:rsid w:val="00AB7FDA"/>
    <w:rsid w:val="00AC0E90"/>
    <w:rsid w:val="00AC1E90"/>
    <w:rsid w:val="00AC2870"/>
    <w:rsid w:val="00AC28C4"/>
    <w:rsid w:val="00AC299F"/>
    <w:rsid w:val="00AC723D"/>
    <w:rsid w:val="00AC7D89"/>
    <w:rsid w:val="00AD29D8"/>
    <w:rsid w:val="00AD2A8D"/>
    <w:rsid w:val="00AD2B60"/>
    <w:rsid w:val="00AD2DC0"/>
    <w:rsid w:val="00AD30DC"/>
    <w:rsid w:val="00AD410B"/>
    <w:rsid w:val="00AE1209"/>
    <w:rsid w:val="00AE18B6"/>
    <w:rsid w:val="00AE216F"/>
    <w:rsid w:val="00AE2CFB"/>
    <w:rsid w:val="00AE3CD7"/>
    <w:rsid w:val="00AE43B4"/>
    <w:rsid w:val="00AE43DC"/>
    <w:rsid w:val="00AE46A1"/>
    <w:rsid w:val="00AE6DAC"/>
    <w:rsid w:val="00AF0A03"/>
    <w:rsid w:val="00AF2CE7"/>
    <w:rsid w:val="00AF3245"/>
    <w:rsid w:val="00AF385B"/>
    <w:rsid w:val="00AF664B"/>
    <w:rsid w:val="00AF6B81"/>
    <w:rsid w:val="00AF71EF"/>
    <w:rsid w:val="00AF74C0"/>
    <w:rsid w:val="00AF7D0E"/>
    <w:rsid w:val="00B01003"/>
    <w:rsid w:val="00B01042"/>
    <w:rsid w:val="00B01763"/>
    <w:rsid w:val="00B01951"/>
    <w:rsid w:val="00B0254A"/>
    <w:rsid w:val="00B056BE"/>
    <w:rsid w:val="00B05874"/>
    <w:rsid w:val="00B05E81"/>
    <w:rsid w:val="00B06250"/>
    <w:rsid w:val="00B06895"/>
    <w:rsid w:val="00B06E1E"/>
    <w:rsid w:val="00B07100"/>
    <w:rsid w:val="00B12143"/>
    <w:rsid w:val="00B12AF9"/>
    <w:rsid w:val="00B12BB5"/>
    <w:rsid w:val="00B1385B"/>
    <w:rsid w:val="00B14A1D"/>
    <w:rsid w:val="00B15D94"/>
    <w:rsid w:val="00B15DF4"/>
    <w:rsid w:val="00B179FC"/>
    <w:rsid w:val="00B20336"/>
    <w:rsid w:val="00B204BB"/>
    <w:rsid w:val="00B20858"/>
    <w:rsid w:val="00B209AA"/>
    <w:rsid w:val="00B21C8B"/>
    <w:rsid w:val="00B2265A"/>
    <w:rsid w:val="00B2343C"/>
    <w:rsid w:val="00B23AEB"/>
    <w:rsid w:val="00B23E14"/>
    <w:rsid w:val="00B2585F"/>
    <w:rsid w:val="00B26350"/>
    <w:rsid w:val="00B26E5F"/>
    <w:rsid w:val="00B2715B"/>
    <w:rsid w:val="00B304DA"/>
    <w:rsid w:val="00B31D89"/>
    <w:rsid w:val="00B33539"/>
    <w:rsid w:val="00B349EF"/>
    <w:rsid w:val="00B35193"/>
    <w:rsid w:val="00B3581C"/>
    <w:rsid w:val="00B359FF"/>
    <w:rsid w:val="00B364D7"/>
    <w:rsid w:val="00B408D4"/>
    <w:rsid w:val="00B417AB"/>
    <w:rsid w:val="00B46514"/>
    <w:rsid w:val="00B503B8"/>
    <w:rsid w:val="00B50BE3"/>
    <w:rsid w:val="00B52F56"/>
    <w:rsid w:val="00B5348E"/>
    <w:rsid w:val="00B57878"/>
    <w:rsid w:val="00B60250"/>
    <w:rsid w:val="00B60274"/>
    <w:rsid w:val="00B60B81"/>
    <w:rsid w:val="00B619DC"/>
    <w:rsid w:val="00B62260"/>
    <w:rsid w:val="00B62C5A"/>
    <w:rsid w:val="00B655CE"/>
    <w:rsid w:val="00B662F5"/>
    <w:rsid w:val="00B663E5"/>
    <w:rsid w:val="00B667A9"/>
    <w:rsid w:val="00B720DC"/>
    <w:rsid w:val="00B74112"/>
    <w:rsid w:val="00B745CF"/>
    <w:rsid w:val="00B74B5E"/>
    <w:rsid w:val="00B76571"/>
    <w:rsid w:val="00B76B3F"/>
    <w:rsid w:val="00B80633"/>
    <w:rsid w:val="00B81C58"/>
    <w:rsid w:val="00B81F14"/>
    <w:rsid w:val="00B8241A"/>
    <w:rsid w:val="00B83FCA"/>
    <w:rsid w:val="00B84745"/>
    <w:rsid w:val="00B84986"/>
    <w:rsid w:val="00B84C12"/>
    <w:rsid w:val="00B84D44"/>
    <w:rsid w:val="00B85C2D"/>
    <w:rsid w:val="00B87123"/>
    <w:rsid w:val="00B90160"/>
    <w:rsid w:val="00B92BA2"/>
    <w:rsid w:val="00B95309"/>
    <w:rsid w:val="00BA0E27"/>
    <w:rsid w:val="00BA2725"/>
    <w:rsid w:val="00BA2CEE"/>
    <w:rsid w:val="00BA3377"/>
    <w:rsid w:val="00BA4D5F"/>
    <w:rsid w:val="00BA51B8"/>
    <w:rsid w:val="00BA5A11"/>
    <w:rsid w:val="00BA6405"/>
    <w:rsid w:val="00BA6463"/>
    <w:rsid w:val="00BA65BA"/>
    <w:rsid w:val="00BA75F4"/>
    <w:rsid w:val="00BB0B87"/>
    <w:rsid w:val="00BB197F"/>
    <w:rsid w:val="00BB36CE"/>
    <w:rsid w:val="00BB44E5"/>
    <w:rsid w:val="00BB57B8"/>
    <w:rsid w:val="00BB5917"/>
    <w:rsid w:val="00BB7245"/>
    <w:rsid w:val="00BC0E7E"/>
    <w:rsid w:val="00BC1B36"/>
    <w:rsid w:val="00BC1C7C"/>
    <w:rsid w:val="00BC2E0C"/>
    <w:rsid w:val="00BC32D5"/>
    <w:rsid w:val="00BC49F8"/>
    <w:rsid w:val="00BC576D"/>
    <w:rsid w:val="00BC7AD9"/>
    <w:rsid w:val="00BD01D5"/>
    <w:rsid w:val="00BD1653"/>
    <w:rsid w:val="00BD1675"/>
    <w:rsid w:val="00BD5686"/>
    <w:rsid w:val="00BD6DC2"/>
    <w:rsid w:val="00BE39FE"/>
    <w:rsid w:val="00BE5760"/>
    <w:rsid w:val="00BE57C9"/>
    <w:rsid w:val="00BE5A7D"/>
    <w:rsid w:val="00BF005B"/>
    <w:rsid w:val="00BF1AB0"/>
    <w:rsid w:val="00BF2AE5"/>
    <w:rsid w:val="00BF4441"/>
    <w:rsid w:val="00BF4F97"/>
    <w:rsid w:val="00BF6247"/>
    <w:rsid w:val="00BF62A7"/>
    <w:rsid w:val="00BF69EE"/>
    <w:rsid w:val="00BF7BCB"/>
    <w:rsid w:val="00C006EF"/>
    <w:rsid w:val="00C015AF"/>
    <w:rsid w:val="00C02978"/>
    <w:rsid w:val="00C032AC"/>
    <w:rsid w:val="00C04E61"/>
    <w:rsid w:val="00C0516A"/>
    <w:rsid w:val="00C064F9"/>
    <w:rsid w:val="00C06BC2"/>
    <w:rsid w:val="00C13194"/>
    <w:rsid w:val="00C14BCB"/>
    <w:rsid w:val="00C154EF"/>
    <w:rsid w:val="00C205EF"/>
    <w:rsid w:val="00C22003"/>
    <w:rsid w:val="00C22BBE"/>
    <w:rsid w:val="00C22E24"/>
    <w:rsid w:val="00C25049"/>
    <w:rsid w:val="00C25F57"/>
    <w:rsid w:val="00C26788"/>
    <w:rsid w:val="00C270A1"/>
    <w:rsid w:val="00C2713E"/>
    <w:rsid w:val="00C30393"/>
    <w:rsid w:val="00C3064D"/>
    <w:rsid w:val="00C33F63"/>
    <w:rsid w:val="00C34015"/>
    <w:rsid w:val="00C343E6"/>
    <w:rsid w:val="00C364A9"/>
    <w:rsid w:val="00C44154"/>
    <w:rsid w:val="00C451B7"/>
    <w:rsid w:val="00C463B4"/>
    <w:rsid w:val="00C472ED"/>
    <w:rsid w:val="00C507D9"/>
    <w:rsid w:val="00C50FE5"/>
    <w:rsid w:val="00C52E87"/>
    <w:rsid w:val="00C53F7F"/>
    <w:rsid w:val="00C540B8"/>
    <w:rsid w:val="00C54D91"/>
    <w:rsid w:val="00C55525"/>
    <w:rsid w:val="00C562A7"/>
    <w:rsid w:val="00C568D0"/>
    <w:rsid w:val="00C56EA2"/>
    <w:rsid w:val="00C56F03"/>
    <w:rsid w:val="00C60187"/>
    <w:rsid w:val="00C6283C"/>
    <w:rsid w:val="00C65359"/>
    <w:rsid w:val="00C65788"/>
    <w:rsid w:val="00C6578C"/>
    <w:rsid w:val="00C65EB5"/>
    <w:rsid w:val="00C66CAE"/>
    <w:rsid w:val="00C71FBE"/>
    <w:rsid w:val="00C726E4"/>
    <w:rsid w:val="00C72AB1"/>
    <w:rsid w:val="00C72AFA"/>
    <w:rsid w:val="00C730BD"/>
    <w:rsid w:val="00C73293"/>
    <w:rsid w:val="00C7357D"/>
    <w:rsid w:val="00C80DF3"/>
    <w:rsid w:val="00C82A3B"/>
    <w:rsid w:val="00C83887"/>
    <w:rsid w:val="00C83D47"/>
    <w:rsid w:val="00C8632F"/>
    <w:rsid w:val="00C86C8D"/>
    <w:rsid w:val="00C87BA6"/>
    <w:rsid w:val="00C92A68"/>
    <w:rsid w:val="00C93F7D"/>
    <w:rsid w:val="00C94E18"/>
    <w:rsid w:val="00CA1ECC"/>
    <w:rsid w:val="00CA2534"/>
    <w:rsid w:val="00CA301A"/>
    <w:rsid w:val="00CA32F4"/>
    <w:rsid w:val="00CA3BE1"/>
    <w:rsid w:val="00CA6B0A"/>
    <w:rsid w:val="00CA7068"/>
    <w:rsid w:val="00CB0575"/>
    <w:rsid w:val="00CB1BB2"/>
    <w:rsid w:val="00CB62F0"/>
    <w:rsid w:val="00CB6E1C"/>
    <w:rsid w:val="00CB7ABA"/>
    <w:rsid w:val="00CC0E17"/>
    <w:rsid w:val="00CC0E21"/>
    <w:rsid w:val="00CC222E"/>
    <w:rsid w:val="00CC22EA"/>
    <w:rsid w:val="00CC2E73"/>
    <w:rsid w:val="00CC48FE"/>
    <w:rsid w:val="00CC58EB"/>
    <w:rsid w:val="00CC65DC"/>
    <w:rsid w:val="00CC7138"/>
    <w:rsid w:val="00CC752D"/>
    <w:rsid w:val="00CD0091"/>
    <w:rsid w:val="00CD3FDA"/>
    <w:rsid w:val="00CD47BA"/>
    <w:rsid w:val="00CD4A84"/>
    <w:rsid w:val="00CD540F"/>
    <w:rsid w:val="00CD5D0F"/>
    <w:rsid w:val="00CD7448"/>
    <w:rsid w:val="00CE3203"/>
    <w:rsid w:val="00CE42B9"/>
    <w:rsid w:val="00CE6579"/>
    <w:rsid w:val="00CE79C4"/>
    <w:rsid w:val="00CE7FEF"/>
    <w:rsid w:val="00CF03F5"/>
    <w:rsid w:val="00CF1BF8"/>
    <w:rsid w:val="00CF2F82"/>
    <w:rsid w:val="00CF3C00"/>
    <w:rsid w:val="00CF3CA3"/>
    <w:rsid w:val="00CF4C8B"/>
    <w:rsid w:val="00CF63AF"/>
    <w:rsid w:val="00CF70E4"/>
    <w:rsid w:val="00CF7A3F"/>
    <w:rsid w:val="00D005D3"/>
    <w:rsid w:val="00D00E46"/>
    <w:rsid w:val="00D014FF"/>
    <w:rsid w:val="00D01688"/>
    <w:rsid w:val="00D0197A"/>
    <w:rsid w:val="00D05591"/>
    <w:rsid w:val="00D0578C"/>
    <w:rsid w:val="00D05C0F"/>
    <w:rsid w:val="00D12AD7"/>
    <w:rsid w:val="00D12DF7"/>
    <w:rsid w:val="00D134EE"/>
    <w:rsid w:val="00D15C2B"/>
    <w:rsid w:val="00D219B6"/>
    <w:rsid w:val="00D21ABE"/>
    <w:rsid w:val="00D21E25"/>
    <w:rsid w:val="00D232A6"/>
    <w:rsid w:val="00D26641"/>
    <w:rsid w:val="00D3059B"/>
    <w:rsid w:val="00D32313"/>
    <w:rsid w:val="00D32B46"/>
    <w:rsid w:val="00D342F4"/>
    <w:rsid w:val="00D34833"/>
    <w:rsid w:val="00D34C47"/>
    <w:rsid w:val="00D3579A"/>
    <w:rsid w:val="00D36023"/>
    <w:rsid w:val="00D372D0"/>
    <w:rsid w:val="00D37366"/>
    <w:rsid w:val="00D410D7"/>
    <w:rsid w:val="00D42A73"/>
    <w:rsid w:val="00D4346A"/>
    <w:rsid w:val="00D47295"/>
    <w:rsid w:val="00D476F6"/>
    <w:rsid w:val="00D51999"/>
    <w:rsid w:val="00D52232"/>
    <w:rsid w:val="00D5283A"/>
    <w:rsid w:val="00D5384B"/>
    <w:rsid w:val="00D5393E"/>
    <w:rsid w:val="00D53B36"/>
    <w:rsid w:val="00D5423B"/>
    <w:rsid w:val="00D54DB7"/>
    <w:rsid w:val="00D5591F"/>
    <w:rsid w:val="00D55942"/>
    <w:rsid w:val="00D55997"/>
    <w:rsid w:val="00D55B23"/>
    <w:rsid w:val="00D56034"/>
    <w:rsid w:val="00D57CF0"/>
    <w:rsid w:val="00D6015D"/>
    <w:rsid w:val="00D601E7"/>
    <w:rsid w:val="00D65DE3"/>
    <w:rsid w:val="00D66F4F"/>
    <w:rsid w:val="00D67724"/>
    <w:rsid w:val="00D67BDC"/>
    <w:rsid w:val="00D67DA1"/>
    <w:rsid w:val="00D7012E"/>
    <w:rsid w:val="00D70418"/>
    <w:rsid w:val="00D70FFA"/>
    <w:rsid w:val="00D71AC1"/>
    <w:rsid w:val="00D72B3B"/>
    <w:rsid w:val="00D73017"/>
    <w:rsid w:val="00D74BF6"/>
    <w:rsid w:val="00D74D6F"/>
    <w:rsid w:val="00D74D73"/>
    <w:rsid w:val="00D75659"/>
    <w:rsid w:val="00D7653F"/>
    <w:rsid w:val="00D76563"/>
    <w:rsid w:val="00D77531"/>
    <w:rsid w:val="00D775D0"/>
    <w:rsid w:val="00D77805"/>
    <w:rsid w:val="00D826ED"/>
    <w:rsid w:val="00D83B22"/>
    <w:rsid w:val="00D857FB"/>
    <w:rsid w:val="00D8755A"/>
    <w:rsid w:val="00D900B0"/>
    <w:rsid w:val="00D900F1"/>
    <w:rsid w:val="00D907C2"/>
    <w:rsid w:val="00D9267D"/>
    <w:rsid w:val="00D92943"/>
    <w:rsid w:val="00D92AD6"/>
    <w:rsid w:val="00D936E2"/>
    <w:rsid w:val="00D9417F"/>
    <w:rsid w:val="00DA2334"/>
    <w:rsid w:val="00DA3E5F"/>
    <w:rsid w:val="00DA50C1"/>
    <w:rsid w:val="00DA5B07"/>
    <w:rsid w:val="00DA6042"/>
    <w:rsid w:val="00DA728B"/>
    <w:rsid w:val="00DB0D03"/>
    <w:rsid w:val="00DB1697"/>
    <w:rsid w:val="00DB4B86"/>
    <w:rsid w:val="00DB5631"/>
    <w:rsid w:val="00DB649E"/>
    <w:rsid w:val="00DB7238"/>
    <w:rsid w:val="00DC14B9"/>
    <w:rsid w:val="00DC47E5"/>
    <w:rsid w:val="00DC4A3E"/>
    <w:rsid w:val="00DC510F"/>
    <w:rsid w:val="00DC6624"/>
    <w:rsid w:val="00DD03FC"/>
    <w:rsid w:val="00DD0AB2"/>
    <w:rsid w:val="00DD1009"/>
    <w:rsid w:val="00DD21D7"/>
    <w:rsid w:val="00DD265F"/>
    <w:rsid w:val="00DD34A6"/>
    <w:rsid w:val="00DD5F32"/>
    <w:rsid w:val="00DE1CE1"/>
    <w:rsid w:val="00DE31CD"/>
    <w:rsid w:val="00DE4371"/>
    <w:rsid w:val="00DE4706"/>
    <w:rsid w:val="00DE53A3"/>
    <w:rsid w:val="00DE5F9C"/>
    <w:rsid w:val="00DE7622"/>
    <w:rsid w:val="00DE77C5"/>
    <w:rsid w:val="00DF1592"/>
    <w:rsid w:val="00DF1EE3"/>
    <w:rsid w:val="00DF2EE5"/>
    <w:rsid w:val="00DF3491"/>
    <w:rsid w:val="00DF48F1"/>
    <w:rsid w:val="00DF4E07"/>
    <w:rsid w:val="00DF5A92"/>
    <w:rsid w:val="00DF6394"/>
    <w:rsid w:val="00DF79E0"/>
    <w:rsid w:val="00DF7EE7"/>
    <w:rsid w:val="00E00DEC"/>
    <w:rsid w:val="00E03DD5"/>
    <w:rsid w:val="00E0473F"/>
    <w:rsid w:val="00E05C80"/>
    <w:rsid w:val="00E06C1F"/>
    <w:rsid w:val="00E103CA"/>
    <w:rsid w:val="00E10EE3"/>
    <w:rsid w:val="00E124FC"/>
    <w:rsid w:val="00E126F1"/>
    <w:rsid w:val="00E12BCA"/>
    <w:rsid w:val="00E14247"/>
    <w:rsid w:val="00E149A1"/>
    <w:rsid w:val="00E1540C"/>
    <w:rsid w:val="00E15472"/>
    <w:rsid w:val="00E156A9"/>
    <w:rsid w:val="00E1597D"/>
    <w:rsid w:val="00E15C7D"/>
    <w:rsid w:val="00E15E57"/>
    <w:rsid w:val="00E163C8"/>
    <w:rsid w:val="00E17025"/>
    <w:rsid w:val="00E20672"/>
    <w:rsid w:val="00E20D59"/>
    <w:rsid w:val="00E21C5C"/>
    <w:rsid w:val="00E24E46"/>
    <w:rsid w:val="00E25557"/>
    <w:rsid w:val="00E27926"/>
    <w:rsid w:val="00E30677"/>
    <w:rsid w:val="00E3079E"/>
    <w:rsid w:val="00E30CE7"/>
    <w:rsid w:val="00E312D5"/>
    <w:rsid w:val="00E32011"/>
    <w:rsid w:val="00E33755"/>
    <w:rsid w:val="00E33DCA"/>
    <w:rsid w:val="00E33F23"/>
    <w:rsid w:val="00E34FE0"/>
    <w:rsid w:val="00E357B4"/>
    <w:rsid w:val="00E36693"/>
    <w:rsid w:val="00E36CD0"/>
    <w:rsid w:val="00E37B56"/>
    <w:rsid w:val="00E40444"/>
    <w:rsid w:val="00E40480"/>
    <w:rsid w:val="00E40996"/>
    <w:rsid w:val="00E40CE0"/>
    <w:rsid w:val="00E416F1"/>
    <w:rsid w:val="00E419B0"/>
    <w:rsid w:val="00E425EA"/>
    <w:rsid w:val="00E43874"/>
    <w:rsid w:val="00E439B4"/>
    <w:rsid w:val="00E449B1"/>
    <w:rsid w:val="00E451EE"/>
    <w:rsid w:val="00E4594F"/>
    <w:rsid w:val="00E460EF"/>
    <w:rsid w:val="00E46B03"/>
    <w:rsid w:val="00E5136B"/>
    <w:rsid w:val="00E521C3"/>
    <w:rsid w:val="00E5297D"/>
    <w:rsid w:val="00E529D3"/>
    <w:rsid w:val="00E53252"/>
    <w:rsid w:val="00E53D2D"/>
    <w:rsid w:val="00E54ED5"/>
    <w:rsid w:val="00E5589D"/>
    <w:rsid w:val="00E55B9B"/>
    <w:rsid w:val="00E6118C"/>
    <w:rsid w:val="00E61AB6"/>
    <w:rsid w:val="00E644CD"/>
    <w:rsid w:val="00E64CB9"/>
    <w:rsid w:val="00E65D41"/>
    <w:rsid w:val="00E66033"/>
    <w:rsid w:val="00E679DA"/>
    <w:rsid w:val="00E737A9"/>
    <w:rsid w:val="00E739CD"/>
    <w:rsid w:val="00E74081"/>
    <w:rsid w:val="00E747A4"/>
    <w:rsid w:val="00E74D78"/>
    <w:rsid w:val="00E76D6A"/>
    <w:rsid w:val="00E77479"/>
    <w:rsid w:val="00E805ED"/>
    <w:rsid w:val="00E819CF"/>
    <w:rsid w:val="00E83962"/>
    <w:rsid w:val="00E85114"/>
    <w:rsid w:val="00E8538A"/>
    <w:rsid w:val="00E858F1"/>
    <w:rsid w:val="00E85DFE"/>
    <w:rsid w:val="00E8606E"/>
    <w:rsid w:val="00E90AD2"/>
    <w:rsid w:val="00E90B11"/>
    <w:rsid w:val="00E9272B"/>
    <w:rsid w:val="00E9300D"/>
    <w:rsid w:val="00E95BF2"/>
    <w:rsid w:val="00E95E17"/>
    <w:rsid w:val="00E96074"/>
    <w:rsid w:val="00EA0FB2"/>
    <w:rsid w:val="00EA1503"/>
    <w:rsid w:val="00EA5277"/>
    <w:rsid w:val="00EA5D21"/>
    <w:rsid w:val="00EA5EEF"/>
    <w:rsid w:val="00EA5F49"/>
    <w:rsid w:val="00EA5F9B"/>
    <w:rsid w:val="00EA7EBF"/>
    <w:rsid w:val="00EB00AA"/>
    <w:rsid w:val="00EB121E"/>
    <w:rsid w:val="00EB1526"/>
    <w:rsid w:val="00EB17AA"/>
    <w:rsid w:val="00EB3D9B"/>
    <w:rsid w:val="00EB4204"/>
    <w:rsid w:val="00EC1345"/>
    <w:rsid w:val="00EC1625"/>
    <w:rsid w:val="00EC3E1C"/>
    <w:rsid w:val="00EC44BE"/>
    <w:rsid w:val="00EC53A7"/>
    <w:rsid w:val="00EC654B"/>
    <w:rsid w:val="00EC7867"/>
    <w:rsid w:val="00EC7AFD"/>
    <w:rsid w:val="00ED0282"/>
    <w:rsid w:val="00ED0DE4"/>
    <w:rsid w:val="00ED237F"/>
    <w:rsid w:val="00ED2494"/>
    <w:rsid w:val="00ED47E6"/>
    <w:rsid w:val="00ED4982"/>
    <w:rsid w:val="00ED55C9"/>
    <w:rsid w:val="00ED5C49"/>
    <w:rsid w:val="00ED73DF"/>
    <w:rsid w:val="00ED743F"/>
    <w:rsid w:val="00EE353E"/>
    <w:rsid w:val="00EE47A8"/>
    <w:rsid w:val="00EE4A72"/>
    <w:rsid w:val="00EE732D"/>
    <w:rsid w:val="00EE7554"/>
    <w:rsid w:val="00EE7833"/>
    <w:rsid w:val="00EF01AC"/>
    <w:rsid w:val="00EF14BC"/>
    <w:rsid w:val="00EF173A"/>
    <w:rsid w:val="00EF2BDE"/>
    <w:rsid w:val="00EF3F63"/>
    <w:rsid w:val="00EF4DAF"/>
    <w:rsid w:val="00EF500B"/>
    <w:rsid w:val="00EF5661"/>
    <w:rsid w:val="00EF6EA1"/>
    <w:rsid w:val="00F00A8F"/>
    <w:rsid w:val="00F00E3B"/>
    <w:rsid w:val="00F00FB4"/>
    <w:rsid w:val="00F011FF"/>
    <w:rsid w:val="00F022D5"/>
    <w:rsid w:val="00F02D8C"/>
    <w:rsid w:val="00F02F08"/>
    <w:rsid w:val="00F0353B"/>
    <w:rsid w:val="00F0402E"/>
    <w:rsid w:val="00F043D5"/>
    <w:rsid w:val="00F04CDE"/>
    <w:rsid w:val="00F04CE1"/>
    <w:rsid w:val="00F0684C"/>
    <w:rsid w:val="00F07D9A"/>
    <w:rsid w:val="00F11F1C"/>
    <w:rsid w:val="00F12542"/>
    <w:rsid w:val="00F1368F"/>
    <w:rsid w:val="00F1593F"/>
    <w:rsid w:val="00F17F1F"/>
    <w:rsid w:val="00F221A8"/>
    <w:rsid w:val="00F22B2F"/>
    <w:rsid w:val="00F2301E"/>
    <w:rsid w:val="00F236EF"/>
    <w:rsid w:val="00F2566E"/>
    <w:rsid w:val="00F257F9"/>
    <w:rsid w:val="00F304B7"/>
    <w:rsid w:val="00F30647"/>
    <w:rsid w:val="00F31BAE"/>
    <w:rsid w:val="00F337C0"/>
    <w:rsid w:val="00F347E6"/>
    <w:rsid w:val="00F35357"/>
    <w:rsid w:val="00F3767B"/>
    <w:rsid w:val="00F37766"/>
    <w:rsid w:val="00F41F57"/>
    <w:rsid w:val="00F421D6"/>
    <w:rsid w:val="00F430DF"/>
    <w:rsid w:val="00F45B25"/>
    <w:rsid w:val="00F46388"/>
    <w:rsid w:val="00F509C7"/>
    <w:rsid w:val="00F524DB"/>
    <w:rsid w:val="00F54255"/>
    <w:rsid w:val="00F55B00"/>
    <w:rsid w:val="00F56CD4"/>
    <w:rsid w:val="00F619C1"/>
    <w:rsid w:val="00F63E9D"/>
    <w:rsid w:val="00F6576C"/>
    <w:rsid w:val="00F66039"/>
    <w:rsid w:val="00F670E4"/>
    <w:rsid w:val="00F67103"/>
    <w:rsid w:val="00F676CB"/>
    <w:rsid w:val="00F703D0"/>
    <w:rsid w:val="00F704CE"/>
    <w:rsid w:val="00F70A8D"/>
    <w:rsid w:val="00F73477"/>
    <w:rsid w:val="00F73AED"/>
    <w:rsid w:val="00F75FA1"/>
    <w:rsid w:val="00F77DA1"/>
    <w:rsid w:val="00F80654"/>
    <w:rsid w:val="00F8398A"/>
    <w:rsid w:val="00F83D51"/>
    <w:rsid w:val="00F8563F"/>
    <w:rsid w:val="00F91508"/>
    <w:rsid w:val="00F919B5"/>
    <w:rsid w:val="00F933BB"/>
    <w:rsid w:val="00F93BEF"/>
    <w:rsid w:val="00F9435E"/>
    <w:rsid w:val="00F96AB6"/>
    <w:rsid w:val="00F97D7C"/>
    <w:rsid w:val="00FA1C39"/>
    <w:rsid w:val="00FA2558"/>
    <w:rsid w:val="00FA2C2C"/>
    <w:rsid w:val="00FA2E03"/>
    <w:rsid w:val="00FA314A"/>
    <w:rsid w:val="00FA4520"/>
    <w:rsid w:val="00FA4ACF"/>
    <w:rsid w:val="00FB06D0"/>
    <w:rsid w:val="00FB0DF7"/>
    <w:rsid w:val="00FB2422"/>
    <w:rsid w:val="00FB4024"/>
    <w:rsid w:val="00FB48FD"/>
    <w:rsid w:val="00FC0569"/>
    <w:rsid w:val="00FC14DA"/>
    <w:rsid w:val="00FC1E95"/>
    <w:rsid w:val="00FC1EBE"/>
    <w:rsid w:val="00FC2743"/>
    <w:rsid w:val="00FC33B1"/>
    <w:rsid w:val="00FC5799"/>
    <w:rsid w:val="00FC60BE"/>
    <w:rsid w:val="00FC6CEF"/>
    <w:rsid w:val="00FC76E7"/>
    <w:rsid w:val="00FC7A98"/>
    <w:rsid w:val="00FC7B5C"/>
    <w:rsid w:val="00FD006E"/>
    <w:rsid w:val="00FD085C"/>
    <w:rsid w:val="00FD0BD2"/>
    <w:rsid w:val="00FD14D0"/>
    <w:rsid w:val="00FD27BB"/>
    <w:rsid w:val="00FD46E0"/>
    <w:rsid w:val="00FD4CF5"/>
    <w:rsid w:val="00FD62A1"/>
    <w:rsid w:val="00FD6AD8"/>
    <w:rsid w:val="00FD6AFC"/>
    <w:rsid w:val="00FD6CBD"/>
    <w:rsid w:val="00FD7565"/>
    <w:rsid w:val="00FD7CC3"/>
    <w:rsid w:val="00FE024F"/>
    <w:rsid w:val="00FE0618"/>
    <w:rsid w:val="00FE0DB0"/>
    <w:rsid w:val="00FE21CF"/>
    <w:rsid w:val="00FE31B8"/>
    <w:rsid w:val="00FE3BC7"/>
    <w:rsid w:val="00FE40CA"/>
    <w:rsid w:val="00FE45E8"/>
    <w:rsid w:val="00FE5DB8"/>
    <w:rsid w:val="00FE6A82"/>
    <w:rsid w:val="00FE77A1"/>
    <w:rsid w:val="00FF14C7"/>
    <w:rsid w:val="00FF1717"/>
    <w:rsid w:val="00FF184B"/>
    <w:rsid w:val="00FF2971"/>
    <w:rsid w:val="00FF655A"/>
    <w:rsid w:val="00FF7875"/>
    <w:rsid w:val="49943516"/>
    <w:rsid w:val="65FD12C2"/>
    <w:rsid w:val="70D4D6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DC770"/>
  <w15:docId w15:val="{3E647B2F-BEE0-41C7-820B-CDBC0DEE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1EE"/>
    <w:pPr>
      <w:tabs>
        <w:tab w:val="left" w:pos="562"/>
      </w:tabs>
      <w:suppressAutoHyphens/>
      <w:spacing w:after="0" w:line="240" w:lineRule="auto"/>
    </w:pPr>
    <w:rPr>
      <w:rFonts w:ascii="Times New Roman" w:eastAsia="Times New Roman" w:hAnsi="Times New Roman" w:cs="Times New Roman"/>
      <w:szCs w:val="24"/>
      <w:lang w:val="en-GB"/>
    </w:rPr>
  </w:style>
  <w:style w:type="paragraph" w:styleId="Heading1">
    <w:name w:val="heading 1"/>
    <w:aliases w:val="D70AR,Info rubrik 1,titel 1"/>
    <w:basedOn w:val="Normal"/>
    <w:next w:val="Normal"/>
    <w:link w:val="Heading1Char"/>
    <w:qFormat/>
    <w:rsid w:val="00E451EE"/>
    <w:pPr>
      <w:spacing w:before="240" w:after="120"/>
      <w:ind w:left="357" w:hanging="357"/>
      <w:outlineLvl w:val="0"/>
    </w:pPr>
    <w:rPr>
      <w:rFonts w:ascii="Cambria" w:hAnsi="Cambria"/>
      <w:b/>
      <w:bCs/>
      <w:kern w:val="32"/>
      <w:sz w:val="32"/>
      <w:szCs w:val="32"/>
    </w:rPr>
  </w:style>
  <w:style w:type="paragraph" w:styleId="Heading2">
    <w:name w:val="heading 2"/>
    <w:basedOn w:val="Normal"/>
    <w:next w:val="Normal"/>
    <w:link w:val="Heading2Char"/>
    <w:qFormat/>
    <w:rsid w:val="00E451E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E451EE"/>
    <w:pPr>
      <w:keepNext/>
      <w:keepLines/>
      <w:spacing w:before="120" w:after="80"/>
      <w:outlineLvl w:val="2"/>
    </w:pPr>
    <w:rPr>
      <w:rFonts w:ascii="Cambria" w:hAnsi="Cambria"/>
      <w:b/>
      <w:bCs/>
      <w:sz w:val="26"/>
      <w:szCs w:val="26"/>
    </w:rPr>
  </w:style>
  <w:style w:type="paragraph" w:styleId="Heading4">
    <w:name w:val="heading 4"/>
    <w:basedOn w:val="Normal"/>
    <w:next w:val="Normal"/>
    <w:link w:val="Heading4Char"/>
    <w:qFormat/>
    <w:rsid w:val="00E451EE"/>
    <w:pPr>
      <w:keepNext/>
      <w:jc w:val="both"/>
      <w:outlineLvl w:val="3"/>
    </w:pPr>
    <w:rPr>
      <w:rFonts w:ascii="Calibri" w:hAnsi="Calibri"/>
      <w:b/>
      <w:bCs/>
      <w:sz w:val="28"/>
      <w:szCs w:val="28"/>
    </w:rPr>
  </w:style>
  <w:style w:type="paragraph" w:styleId="Heading5">
    <w:name w:val="heading 5"/>
    <w:basedOn w:val="Normal"/>
    <w:next w:val="Normal"/>
    <w:link w:val="Heading5Char"/>
    <w:qFormat/>
    <w:rsid w:val="00E451EE"/>
    <w:pPr>
      <w:keepNext/>
      <w:jc w:val="both"/>
      <w:outlineLvl w:val="4"/>
    </w:pPr>
    <w:rPr>
      <w:rFonts w:ascii="Calibri" w:hAnsi="Calibri"/>
      <w:b/>
      <w:bCs/>
      <w:i/>
      <w:iCs/>
      <w:sz w:val="26"/>
      <w:szCs w:val="26"/>
    </w:rPr>
  </w:style>
  <w:style w:type="paragraph" w:styleId="Heading6">
    <w:name w:val="heading 6"/>
    <w:basedOn w:val="Normal"/>
    <w:next w:val="Normal"/>
    <w:link w:val="Heading6Char"/>
    <w:qFormat/>
    <w:rsid w:val="00E451EE"/>
    <w:pPr>
      <w:keepNext/>
      <w:tabs>
        <w:tab w:val="left" w:pos="-720"/>
        <w:tab w:val="left" w:pos="4536"/>
      </w:tabs>
      <w:outlineLvl w:val="5"/>
    </w:pPr>
    <w:rPr>
      <w:rFonts w:ascii="Calibri" w:hAnsi="Calibri"/>
      <w:b/>
      <w:bCs/>
      <w:szCs w:val="22"/>
    </w:rPr>
  </w:style>
  <w:style w:type="paragraph" w:styleId="Heading7">
    <w:name w:val="heading 7"/>
    <w:basedOn w:val="Normal"/>
    <w:next w:val="Normal"/>
    <w:link w:val="Heading7Char"/>
    <w:qFormat/>
    <w:rsid w:val="00E451EE"/>
    <w:pPr>
      <w:keepNext/>
      <w:tabs>
        <w:tab w:val="left" w:pos="-720"/>
        <w:tab w:val="left" w:pos="4536"/>
      </w:tabs>
      <w:jc w:val="both"/>
      <w:outlineLvl w:val="6"/>
    </w:pPr>
    <w:rPr>
      <w:rFonts w:ascii="Calibri" w:hAnsi="Calibri"/>
      <w:sz w:val="24"/>
    </w:rPr>
  </w:style>
  <w:style w:type="paragraph" w:styleId="Heading8">
    <w:name w:val="heading 8"/>
    <w:basedOn w:val="Normal"/>
    <w:next w:val="Normal"/>
    <w:link w:val="Heading8Char"/>
    <w:qFormat/>
    <w:rsid w:val="00E451EE"/>
    <w:pPr>
      <w:keepNext/>
      <w:ind w:left="567" w:hanging="567"/>
      <w:jc w:val="both"/>
      <w:outlineLvl w:val="7"/>
    </w:pPr>
    <w:rPr>
      <w:rFonts w:ascii="Calibri" w:hAnsi="Calibri"/>
      <w:i/>
      <w:iCs/>
      <w:sz w:val="24"/>
    </w:rPr>
  </w:style>
  <w:style w:type="paragraph" w:styleId="Heading9">
    <w:name w:val="heading 9"/>
    <w:basedOn w:val="Normal"/>
    <w:next w:val="Normal"/>
    <w:link w:val="Heading9Char"/>
    <w:qFormat/>
    <w:rsid w:val="00E451EE"/>
    <w:pPr>
      <w:keepNext/>
      <w:jc w:val="both"/>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70AR Char,Info rubrik 1 Char,titel 1 Char"/>
    <w:basedOn w:val="DefaultParagraphFont"/>
    <w:link w:val="Heading1"/>
    <w:rsid w:val="00E451E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E451EE"/>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E451EE"/>
    <w:rPr>
      <w:rFonts w:ascii="Cambria" w:eastAsia="Times New Roman" w:hAnsi="Cambria" w:cs="Times New Roman"/>
      <w:b/>
      <w:bCs/>
      <w:sz w:val="26"/>
      <w:szCs w:val="26"/>
    </w:rPr>
  </w:style>
  <w:style w:type="character" w:customStyle="1" w:styleId="Heading4Char">
    <w:name w:val="Heading 4 Char"/>
    <w:basedOn w:val="DefaultParagraphFont"/>
    <w:link w:val="Heading4"/>
    <w:rsid w:val="00E451EE"/>
    <w:rPr>
      <w:rFonts w:ascii="Calibri" w:eastAsia="Times New Roman" w:hAnsi="Calibri" w:cs="Times New Roman"/>
      <w:b/>
      <w:bCs/>
      <w:sz w:val="28"/>
      <w:szCs w:val="28"/>
    </w:rPr>
  </w:style>
  <w:style w:type="character" w:customStyle="1" w:styleId="Heading5Char">
    <w:name w:val="Heading 5 Char"/>
    <w:basedOn w:val="DefaultParagraphFont"/>
    <w:link w:val="Heading5"/>
    <w:rsid w:val="00E451EE"/>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E451EE"/>
    <w:rPr>
      <w:rFonts w:ascii="Calibri" w:eastAsia="Times New Roman" w:hAnsi="Calibri" w:cs="Times New Roman"/>
      <w:b/>
      <w:bCs/>
    </w:rPr>
  </w:style>
  <w:style w:type="character" w:customStyle="1" w:styleId="Heading7Char">
    <w:name w:val="Heading 7 Char"/>
    <w:basedOn w:val="DefaultParagraphFont"/>
    <w:link w:val="Heading7"/>
    <w:rsid w:val="00E451EE"/>
    <w:rPr>
      <w:rFonts w:ascii="Calibri" w:eastAsia="Times New Roman" w:hAnsi="Calibri" w:cs="Times New Roman"/>
      <w:sz w:val="24"/>
      <w:szCs w:val="24"/>
    </w:rPr>
  </w:style>
  <w:style w:type="character" w:customStyle="1" w:styleId="Heading8Char">
    <w:name w:val="Heading 8 Char"/>
    <w:basedOn w:val="DefaultParagraphFont"/>
    <w:link w:val="Heading8"/>
    <w:rsid w:val="00E451EE"/>
    <w:rPr>
      <w:rFonts w:ascii="Calibri" w:eastAsia="Times New Roman" w:hAnsi="Calibri" w:cs="Times New Roman"/>
      <w:i/>
      <w:iCs/>
      <w:sz w:val="24"/>
      <w:szCs w:val="24"/>
    </w:rPr>
  </w:style>
  <w:style w:type="character" w:customStyle="1" w:styleId="Heading9Char">
    <w:name w:val="Heading 9 Char"/>
    <w:basedOn w:val="DefaultParagraphFont"/>
    <w:link w:val="Heading9"/>
    <w:rsid w:val="00E451EE"/>
    <w:rPr>
      <w:rFonts w:ascii="Cambria" w:eastAsia="Times New Roman" w:hAnsi="Cambria" w:cs="Times New Roman"/>
    </w:rPr>
  </w:style>
  <w:style w:type="paragraph" w:styleId="Header">
    <w:name w:val="header"/>
    <w:basedOn w:val="Normal"/>
    <w:link w:val="HeaderChar"/>
    <w:rsid w:val="00E451EE"/>
    <w:pPr>
      <w:tabs>
        <w:tab w:val="center" w:pos="4153"/>
        <w:tab w:val="right" w:pos="8306"/>
      </w:tabs>
    </w:pPr>
    <w:rPr>
      <w:sz w:val="24"/>
    </w:rPr>
  </w:style>
  <w:style w:type="character" w:customStyle="1" w:styleId="HeaderChar">
    <w:name w:val="Header Char"/>
    <w:basedOn w:val="DefaultParagraphFont"/>
    <w:link w:val="Header"/>
    <w:rsid w:val="00E451EE"/>
    <w:rPr>
      <w:rFonts w:ascii="Times New Roman" w:eastAsia="Times New Roman" w:hAnsi="Times New Roman" w:cs="Times New Roman"/>
      <w:sz w:val="24"/>
      <w:szCs w:val="24"/>
    </w:rPr>
  </w:style>
  <w:style w:type="paragraph" w:styleId="Footer">
    <w:name w:val="footer"/>
    <w:basedOn w:val="Normal"/>
    <w:link w:val="FooterChar"/>
    <w:rsid w:val="00E451EE"/>
    <w:pPr>
      <w:tabs>
        <w:tab w:val="center" w:pos="4536"/>
        <w:tab w:val="center" w:pos="8930"/>
      </w:tabs>
    </w:pPr>
    <w:rPr>
      <w:rFonts w:ascii="Helvetica" w:hAnsi="Helvetica"/>
      <w:sz w:val="24"/>
    </w:rPr>
  </w:style>
  <w:style w:type="character" w:customStyle="1" w:styleId="FooterChar">
    <w:name w:val="Footer Char"/>
    <w:basedOn w:val="DefaultParagraphFont"/>
    <w:link w:val="Footer"/>
    <w:rsid w:val="00E451EE"/>
    <w:rPr>
      <w:rFonts w:ascii="Helvetica" w:eastAsia="Times New Roman" w:hAnsi="Helvetica" w:cs="Times New Roman"/>
      <w:sz w:val="24"/>
      <w:szCs w:val="24"/>
    </w:rPr>
  </w:style>
  <w:style w:type="character" w:styleId="PageNumber">
    <w:name w:val="page number"/>
    <w:rsid w:val="00E451EE"/>
    <w:rPr>
      <w:rFonts w:cs="Times New Roman"/>
    </w:rPr>
  </w:style>
  <w:style w:type="paragraph" w:styleId="EndnoteText">
    <w:name w:val="endnote text"/>
    <w:basedOn w:val="Normal"/>
    <w:next w:val="Normal"/>
    <w:link w:val="EndnoteTextChar"/>
    <w:semiHidden/>
    <w:rsid w:val="00E451EE"/>
    <w:rPr>
      <w:sz w:val="20"/>
      <w:szCs w:val="20"/>
    </w:rPr>
  </w:style>
  <w:style w:type="character" w:customStyle="1" w:styleId="EndnoteTextChar">
    <w:name w:val="Endnote Text Char"/>
    <w:basedOn w:val="DefaultParagraphFont"/>
    <w:link w:val="EndnoteText"/>
    <w:semiHidden/>
    <w:rsid w:val="00E451EE"/>
    <w:rPr>
      <w:rFonts w:ascii="Times New Roman" w:eastAsia="Times New Roman" w:hAnsi="Times New Roman" w:cs="Times New Roman"/>
      <w:sz w:val="20"/>
      <w:szCs w:val="20"/>
    </w:rPr>
  </w:style>
  <w:style w:type="character" w:styleId="EndnoteReference">
    <w:name w:val="endnote reference"/>
    <w:semiHidden/>
    <w:rsid w:val="00E451EE"/>
    <w:rPr>
      <w:rFonts w:cs="Times New Roman"/>
      <w:vertAlign w:val="superscript"/>
    </w:rPr>
  </w:style>
  <w:style w:type="character" w:styleId="CommentReference">
    <w:name w:val="annotation reference"/>
    <w:uiPriority w:val="99"/>
    <w:semiHidden/>
    <w:rsid w:val="00E451EE"/>
    <w:rPr>
      <w:rFonts w:cs="Times New Roman"/>
      <w:sz w:val="16"/>
    </w:rPr>
  </w:style>
  <w:style w:type="paragraph" w:styleId="CommentText">
    <w:name w:val="annotation text"/>
    <w:basedOn w:val="Normal"/>
    <w:link w:val="CommentTextChar"/>
    <w:uiPriority w:val="99"/>
    <w:rsid w:val="00E451EE"/>
    <w:rPr>
      <w:sz w:val="20"/>
      <w:szCs w:val="20"/>
    </w:rPr>
  </w:style>
  <w:style w:type="character" w:customStyle="1" w:styleId="CommentTextChar">
    <w:name w:val="Comment Text Char"/>
    <w:basedOn w:val="DefaultParagraphFont"/>
    <w:link w:val="CommentText"/>
    <w:uiPriority w:val="99"/>
    <w:rsid w:val="00E451EE"/>
    <w:rPr>
      <w:rFonts w:ascii="Times New Roman" w:eastAsia="Times New Roman" w:hAnsi="Times New Roman" w:cs="Times New Roman"/>
      <w:sz w:val="20"/>
      <w:szCs w:val="20"/>
    </w:rPr>
  </w:style>
  <w:style w:type="paragraph" w:styleId="BodyText2">
    <w:name w:val="Body Text 2"/>
    <w:basedOn w:val="Normal"/>
    <w:link w:val="BodyText2Char"/>
    <w:rsid w:val="00E451EE"/>
    <w:pPr>
      <w:tabs>
        <w:tab w:val="clear" w:pos="562"/>
      </w:tabs>
      <w:ind w:left="567" w:hanging="567"/>
    </w:pPr>
    <w:rPr>
      <w:sz w:val="24"/>
    </w:rPr>
  </w:style>
  <w:style w:type="character" w:customStyle="1" w:styleId="BodyText2Char">
    <w:name w:val="Body Text 2 Char"/>
    <w:basedOn w:val="DefaultParagraphFont"/>
    <w:link w:val="BodyText2"/>
    <w:rsid w:val="00E451EE"/>
    <w:rPr>
      <w:rFonts w:ascii="Times New Roman" w:eastAsia="Times New Roman" w:hAnsi="Times New Roman" w:cs="Times New Roman"/>
      <w:sz w:val="24"/>
      <w:szCs w:val="24"/>
    </w:rPr>
  </w:style>
  <w:style w:type="paragraph" w:styleId="BodyText">
    <w:name w:val="Body Text"/>
    <w:basedOn w:val="Normal"/>
    <w:link w:val="BodyTextChar"/>
    <w:rsid w:val="00E451EE"/>
    <w:rPr>
      <w:sz w:val="24"/>
    </w:rPr>
  </w:style>
  <w:style w:type="character" w:customStyle="1" w:styleId="BodyTextChar">
    <w:name w:val="Body Text Char"/>
    <w:basedOn w:val="DefaultParagraphFont"/>
    <w:link w:val="BodyText"/>
    <w:rsid w:val="00E451EE"/>
    <w:rPr>
      <w:rFonts w:ascii="Times New Roman" w:eastAsia="Times New Roman" w:hAnsi="Times New Roman" w:cs="Times New Roman"/>
      <w:sz w:val="24"/>
      <w:szCs w:val="24"/>
    </w:rPr>
  </w:style>
  <w:style w:type="paragraph" w:styleId="BodyText3">
    <w:name w:val="Body Text 3"/>
    <w:basedOn w:val="Normal"/>
    <w:link w:val="BodyText3Char"/>
    <w:rsid w:val="00E451EE"/>
    <w:pPr>
      <w:jc w:val="both"/>
    </w:pPr>
    <w:rPr>
      <w:sz w:val="16"/>
      <w:szCs w:val="16"/>
    </w:rPr>
  </w:style>
  <w:style w:type="character" w:customStyle="1" w:styleId="BodyText3Char">
    <w:name w:val="Body Text 3 Char"/>
    <w:basedOn w:val="DefaultParagraphFont"/>
    <w:link w:val="BodyText3"/>
    <w:rsid w:val="00E451EE"/>
    <w:rPr>
      <w:rFonts w:ascii="Times New Roman" w:eastAsia="Times New Roman" w:hAnsi="Times New Roman" w:cs="Times New Roman"/>
      <w:sz w:val="16"/>
      <w:szCs w:val="16"/>
    </w:rPr>
  </w:style>
  <w:style w:type="paragraph" w:styleId="BodyTextIndent2">
    <w:name w:val="Body Text Indent 2"/>
    <w:basedOn w:val="Normal"/>
    <w:link w:val="BodyTextIndent2Char"/>
    <w:rsid w:val="00E451EE"/>
    <w:pPr>
      <w:ind w:left="567" w:hanging="567"/>
      <w:jc w:val="both"/>
    </w:pPr>
    <w:rPr>
      <w:sz w:val="24"/>
    </w:rPr>
  </w:style>
  <w:style w:type="character" w:customStyle="1" w:styleId="BodyTextIndent2Char">
    <w:name w:val="Body Text Indent 2 Char"/>
    <w:basedOn w:val="DefaultParagraphFont"/>
    <w:link w:val="BodyTextIndent2"/>
    <w:rsid w:val="00E451EE"/>
    <w:rPr>
      <w:rFonts w:ascii="Times New Roman" w:eastAsia="Times New Roman" w:hAnsi="Times New Roman" w:cs="Times New Roman"/>
      <w:sz w:val="24"/>
      <w:szCs w:val="24"/>
    </w:rPr>
  </w:style>
  <w:style w:type="paragraph" w:styleId="FootnoteText">
    <w:name w:val="footnote text"/>
    <w:basedOn w:val="Normal"/>
    <w:link w:val="FootnoteTextChar"/>
    <w:semiHidden/>
    <w:rsid w:val="00E451EE"/>
    <w:rPr>
      <w:sz w:val="20"/>
      <w:szCs w:val="20"/>
    </w:rPr>
  </w:style>
  <w:style w:type="character" w:customStyle="1" w:styleId="FootnoteTextChar">
    <w:name w:val="Footnote Text Char"/>
    <w:basedOn w:val="DefaultParagraphFont"/>
    <w:link w:val="FootnoteText"/>
    <w:semiHidden/>
    <w:rsid w:val="00E451EE"/>
    <w:rPr>
      <w:rFonts w:ascii="Times New Roman" w:eastAsia="Times New Roman" w:hAnsi="Times New Roman" w:cs="Times New Roman"/>
      <w:sz w:val="20"/>
      <w:szCs w:val="20"/>
    </w:rPr>
  </w:style>
  <w:style w:type="character" w:styleId="FootnoteReference">
    <w:name w:val="footnote reference"/>
    <w:semiHidden/>
    <w:rsid w:val="00E451EE"/>
    <w:rPr>
      <w:rFonts w:cs="Times New Roman"/>
      <w:vertAlign w:val="superscript"/>
    </w:rPr>
  </w:style>
  <w:style w:type="paragraph" w:styleId="BodyTextIndent3">
    <w:name w:val="Body Text Indent 3"/>
    <w:basedOn w:val="Normal"/>
    <w:link w:val="BodyTextIndent3Char"/>
    <w:rsid w:val="00E451EE"/>
    <w:pPr>
      <w:ind w:left="567" w:hanging="567"/>
    </w:pPr>
    <w:rPr>
      <w:sz w:val="16"/>
      <w:szCs w:val="16"/>
    </w:rPr>
  </w:style>
  <w:style w:type="character" w:customStyle="1" w:styleId="BodyTextIndent3Char">
    <w:name w:val="Body Text Indent 3 Char"/>
    <w:basedOn w:val="DefaultParagraphFont"/>
    <w:link w:val="BodyTextIndent3"/>
    <w:rsid w:val="00E451EE"/>
    <w:rPr>
      <w:rFonts w:ascii="Times New Roman" w:eastAsia="Times New Roman" w:hAnsi="Times New Roman" w:cs="Times New Roman"/>
      <w:sz w:val="16"/>
      <w:szCs w:val="16"/>
    </w:rPr>
  </w:style>
  <w:style w:type="paragraph" w:styleId="BlockText">
    <w:name w:val="Block Text"/>
    <w:basedOn w:val="Normal"/>
    <w:rsid w:val="00E451EE"/>
    <w:pPr>
      <w:tabs>
        <w:tab w:val="clear" w:pos="562"/>
        <w:tab w:val="left" w:pos="2657"/>
      </w:tabs>
      <w:spacing w:before="120"/>
      <w:ind w:left="-37" w:right="-28"/>
    </w:pPr>
  </w:style>
  <w:style w:type="paragraph" w:styleId="BodyTextIndent">
    <w:name w:val="Body Text Indent"/>
    <w:basedOn w:val="Normal"/>
    <w:link w:val="BodyTextIndentChar"/>
    <w:rsid w:val="00E451EE"/>
    <w:pPr>
      <w:tabs>
        <w:tab w:val="clear" w:pos="562"/>
      </w:tabs>
      <w:ind w:left="567" w:hanging="567"/>
    </w:pPr>
    <w:rPr>
      <w:sz w:val="24"/>
    </w:rPr>
  </w:style>
  <w:style w:type="character" w:customStyle="1" w:styleId="BodyTextIndentChar">
    <w:name w:val="Body Text Indent Char"/>
    <w:basedOn w:val="DefaultParagraphFont"/>
    <w:link w:val="BodyTextIndent"/>
    <w:rsid w:val="00E451EE"/>
    <w:rPr>
      <w:rFonts w:ascii="Times New Roman" w:eastAsia="Times New Roman" w:hAnsi="Times New Roman" w:cs="Times New Roman"/>
      <w:sz w:val="24"/>
      <w:szCs w:val="24"/>
    </w:rPr>
  </w:style>
  <w:style w:type="character" w:styleId="Hyperlink">
    <w:name w:val="Hyperlink"/>
    <w:rsid w:val="00E451EE"/>
    <w:rPr>
      <w:rFonts w:cs="Times New Roman"/>
      <w:color w:val="0000FF"/>
      <w:u w:val="single"/>
    </w:rPr>
  </w:style>
  <w:style w:type="character" w:styleId="FollowedHyperlink">
    <w:name w:val="FollowedHyperlink"/>
    <w:rsid w:val="00E451EE"/>
    <w:rPr>
      <w:rFonts w:cs="Times New Roman"/>
      <w:color w:val="800080"/>
      <w:u w:val="single"/>
    </w:rPr>
  </w:style>
  <w:style w:type="paragraph" w:styleId="DocumentMap">
    <w:name w:val="Document Map"/>
    <w:basedOn w:val="Normal"/>
    <w:link w:val="DocumentMapChar"/>
    <w:semiHidden/>
    <w:rsid w:val="00E451EE"/>
    <w:pPr>
      <w:shd w:val="clear" w:color="auto" w:fill="000080"/>
    </w:pPr>
    <w:rPr>
      <w:sz w:val="2"/>
      <w:szCs w:val="20"/>
    </w:rPr>
  </w:style>
  <w:style w:type="character" w:customStyle="1" w:styleId="DocumentMapChar">
    <w:name w:val="Document Map Char"/>
    <w:basedOn w:val="DefaultParagraphFont"/>
    <w:link w:val="DocumentMap"/>
    <w:semiHidden/>
    <w:rsid w:val="00E451EE"/>
    <w:rPr>
      <w:rFonts w:ascii="Times New Roman" w:eastAsia="Times New Roman" w:hAnsi="Times New Roman" w:cs="Times New Roman"/>
      <w:sz w:val="2"/>
      <w:szCs w:val="20"/>
      <w:shd w:val="clear" w:color="auto" w:fill="000080"/>
    </w:rPr>
  </w:style>
  <w:style w:type="paragraph" w:customStyle="1" w:styleId="BodyText1">
    <w:name w:val="Body Text1"/>
    <w:rsid w:val="00E451EE"/>
    <w:pPr>
      <w:tabs>
        <w:tab w:val="left" w:pos="1152"/>
        <w:tab w:val="left" w:pos="1872"/>
      </w:tabs>
      <w:overflowPunct w:val="0"/>
      <w:autoSpaceDE w:val="0"/>
      <w:autoSpaceDN w:val="0"/>
      <w:adjustRightInd w:val="0"/>
      <w:spacing w:after="240" w:line="288" w:lineRule="auto"/>
      <w:ind w:left="1151"/>
      <w:jc w:val="both"/>
      <w:textAlignment w:val="baseline"/>
    </w:pPr>
    <w:rPr>
      <w:rFonts w:ascii="Times New Roman" w:eastAsia="Times New Roman" w:hAnsi="Times New Roman" w:cs="Times New Roman"/>
      <w:sz w:val="24"/>
      <w:szCs w:val="20"/>
    </w:rPr>
  </w:style>
  <w:style w:type="paragraph" w:customStyle="1" w:styleId="In-texttable">
    <w:name w:val="In-text table"/>
    <w:basedOn w:val="Normal"/>
    <w:rsid w:val="00E451EE"/>
    <w:pPr>
      <w:keepNext/>
      <w:tabs>
        <w:tab w:val="clear" w:pos="562"/>
      </w:tabs>
      <w:overflowPunct w:val="0"/>
      <w:autoSpaceDE w:val="0"/>
      <w:autoSpaceDN w:val="0"/>
      <w:adjustRightInd w:val="0"/>
      <w:spacing w:line="288" w:lineRule="auto"/>
      <w:textAlignment w:val="baseline"/>
    </w:pPr>
    <w:rPr>
      <w:rFonts w:ascii="Arial" w:hAnsi="Arial"/>
      <w:sz w:val="16"/>
    </w:rPr>
  </w:style>
  <w:style w:type="paragraph" w:customStyle="1" w:styleId="In-textfootnote">
    <w:name w:val="In-text footnote"/>
    <w:basedOn w:val="In-texttable"/>
    <w:rsid w:val="00E451EE"/>
    <w:pPr>
      <w:tabs>
        <w:tab w:val="left" w:pos="142"/>
      </w:tabs>
      <w:spacing w:before="40"/>
      <w:ind w:left="142" w:hanging="142"/>
    </w:pPr>
  </w:style>
  <w:style w:type="paragraph" w:styleId="Index1">
    <w:name w:val="index 1"/>
    <w:basedOn w:val="Normal"/>
    <w:next w:val="Normal"/>
    <w:autoRedefine/>
    <w:semiHidden/>
    <w:rsid w:val="00E451EE"/>
    <w:pPr>
      <w:tabs>
        <w:tab w:val="clear" w:pos="562"/>
      </w:tabs>
      <w:spacing w:line="260" w:lineRule="atLeast"/>
      <w:ind w:left="220" w:hanging="220"/>
    </w:pPr>
  </w:style>
  <w:style w:type="paragraph" w:styleId="IndexHeading">
    <w:name w:val="index heading"/>
    <w:basedOn w:val="Normal"/>
    <w:next w:val="Index1"/>
    <w:semiHidden/>
    <w:rsid w:val="00E451EE"/>
    <w:pPr>
      <w:spacing w:line="260" w:lineRule="atLeast"/>
    </w:pPr>
    <w:rPr>
      <w:rFonts w:ascii="Arial" w:hAnsi="Arial"/>
      <w:b/>
    </w:rPr>
  </w:style>
  <w:style w:type="paragraph" w:styleId="Title">
    <w:name w:val="Title"/>
    <w:basedOn w:val="Normal"/>
    <w:link w:val="TitleChar"/>
    <w:qFormat/>
    <w:rsid w:val="00E451EE"/>
    <w:pPr>
      <w:tabs>
        <w:tab w:val="clear" w:pos="562"/>
      </w:tabs>
      <w:jc w:val="center"/>
    </w:pPr>
    <w:rPr>
      <w:rFonts w:ascii="Cambria" w:hAnsi="Cambria"/>
      <w:b/>
      <w:bCs/>
      <w:kern w:val="28"/>
      <w:sz w:val="32"/>
      <w:szCs w:val="32"/>
    </w:rPr>
  </w:style>
  <w:style w:type="character" w:customStyle="1" w:styleId="TitleChar">
    <w:name w:val="Title Char"/>
    <w:basedOn w:val="DefaultParagraphFont"/>
    <w:link w:val="Title"/>
    <w:rsid w:val="00E451EE"/>
    <w:rPr>
      <w:rFonts w:ascii="Cambria" w:eastAsia="Times New Roman" w:hAnsi="Cambria" w:cs="Times New Roman"/>
      <w:b/>
      <w:bCs/>
      <w:kern w:val="28"/>
      <w:sz w:val="32"/>
      <w:szCs w:val="32"/>
    </w:rPr>
  </w:style>
  <w:style w:type="character" w:customStyle="1" w:styleId="EmailStyle62">
    <w:name w:val="EmailStyle62"/>
    <w:semiHidden/>
    <w:rsid w:val="00E451EE"/>
    <w:rPr>
      <w:rFonts w:ascii="Arial" w:hAnsi="Arial" w:cs="Arial"/>
      <w:color w:val="000080"/>
      <w:sz w:val="20"/>
      <w:szCs w:val="20"/>
    </w:rPr>
  </w:style>
  <w:style w:type="paragraph" w:customStyle="1" w:styleId="EMEABullet">
    <w:name w:val="EMEA Bullet"/>
    <w:rsid w:val="00E451EE"/>
    <w:pPr>
      <w:numPr>
        <w:numId w:val="15"/>
      </w:numPr>
      <w:suppressAutoHyphens/>
      <w:spacing w:after="0" w:line="240" w:lineRule="auto"/>
    </w:pPr>
    <w:rPr>
      <w:rFonts w:ascii="Times New Roman" w:eastAsia="Times New Roman" w:hAnsi="Times New Roman" w:cs="Times New Roman"/>
      <w:szCs w:val="20"/>
    </w:rPr>
  </w:style>
  <w:style w:type="paragraph" w:customStyle="1" w:styleId="EMEAHeading1">
    <w:name w:val="EMEA Heading 1"/>
    <w:next w:val="EMEANormal"/>
    <w:rsid w:val="00E451EE"/>
    <w:pPr>
      <w:tabs>
        <w:tab w:val="left" w:pos="562"/>
      </w:tabs>
      <w:suppressAutoHyphens/>
      <w:spacing w:beforeLines="200" w:afterLines="100" w:after="0" w:line="240" w:lineRule="auto"/>
      <w:outlineLvl w:val="0"/>
    </w:pPr>
    <w:rPr>
      <w:rFonts w:ascii="Times New Roman Bold" w:eastAsia="Times New Roman" w:hAnsi="Times New Roman Bold" w:cs="Times New Roman"/>
      <w:b/>
      <w:caps/>
      <w:szCs w:val="20"/>
    </w:rPr>
  </w:style>
  <w:style w:type="paragraph" w:customStyle="1" w:styleId="EMEANormal">
    <w:name w:val="EMEA Normal"/>
    <w:link w:val="EMEANormalChar"/>
    <w:rsid w:val="00E451EE"/>
    <w:pPr>
      <w:tabs>
        <w:tab w:val="left" w:pos="562"/>
      </w:tabs>
      <w:suppressAutoHyphens/>
      <w:spacing w:after="0" w:line="240" w:lineRule="auto"/>
    </w:pPr>
    <w:rPr>
      <w:rFonts w:ascii="Times New Roman" w:eastAsia="Times New Roman" w:hAnsi="Times New Roman" w:cs="Times New Roman"/>
      <w:szCs w:val="20"/>
    </w:rPr>
  </w:style>
  <w:style w:type="paragraph" w:customStyle="1" w:styleId="EMEAHeading2SPC">
    <w:name w:val="EMEA Heading 2 SPC"/>
    <w:next w:val="EMEANormal"/>
    <w:rsid w:val="00E451EE"/>
    <w:pPr>
      <w:tabs>
        <w:tab w:val="left" w:pos="562"/>
      </w:tabs>
      <w:spacing w:beforeLines="100" w:afterLines="100" w:after="0" w:line="240" w:lineRule="auto"/>
      <w:outlineLvl w:val="1"/>
    </w:pPr>
    <w:rPr>
      <w:rFonts w:ascii="Times New Roman Bold" w:eastAsia="Times New Roman" w:hAnsi="Times New Roman Bold" w:cs="Times New Roman"/>
      <w:b/>
      <w:szCs w:val="20"/>
    </w:rPr>
  </w:style>
  <w:style w:type="paragraph" w:customStyle="1" w:styleId="EMEAHeadingBoxed">
    <w:name w:val="EMEA Heading Boxed"/>
    <w:next w:val="EMEANormal"/>
    <w:rsid w:val="00E451EE"/>
    <w:pPr>
      <w:pBdr>
        <w:top w:val="single" w:sz="4" w:space="1" w:color="auto"/>
        <w:left w:val="single" w:sz="4" w:space="4" w:color="auto"/>
        <w:bottom w:val="single" w:sz="4" w:space="1" w:color="auto"/>
        <w:right w:val="single" w:sz="4" w:space="4" w:color="auto"/>
      </w:pBdr>
      <w:tabs>
        <w:tab w:val="left" w:pos="562"/>
      </w:tabs>
      <w:suppressAutoHyphens/>
      <w:spacing w:beforeLines="200" w:afterLines="100" w:after="0" w:line="240" w:lineRule="auto"/>
      <w:ind w:left="562" w:hanging="562"/>
    </w:pPr>
    <w:rPr>
      <w:rFonts w:ascii="Times New Roman Bold" w:eastAsia="Times New Roman" w:hAnsi="Times New Roman Bold" w:cs="Times New Roman"/>
      <w:b/>
      <w:caps/>
      <w:szCs w:val="20"/>
    </w:rPr>
  </w:style>
  <w:style w:type="paragraph" w:customStyle="1" w:styleId="EMEAHeadingItalic">
    <w:name w:val="EMEA Heading Italic"/>
    <w:next w:val="EMEANormal"/>
    <w:rsid w:val="00E451EE"/>
    <w:pPr>
      <w:tabs>
        <w:tab w:val="left" w:pos="562"/>
      </w:tabs>
      <w:suppressAutoHyphens/>
      <w:spacing w:beforeLines="100" w:afterLines="100" w:after="0" w:line="240" w:lineRule="auto"/>
    </w:pPr>
    <w:rPr>
      <w:rFonts w:ascii="Times New Roman" w:eastAsia="Times New Roman" w:hAnsi="Times New Roman" w:cs="Times New Roman"/>
      <w:i/>
      <w:szCs w:val="20"/>
    </w:rPr>
  </w:style>
  <w:style w:type="paragraph" w:customStyle="1" w:styleId="EMEAHeadingLeaflet">
    <w:name w:val="EMEA Heading Leaflet"/>
    <w:next w:val="EMEANormal"/>
    <w:rsid w:val="00E451EE"/>
    <w:pPr>
      <w:tabs>
        <w:tab w:val="left" w:pos="562"/>
      </w:tabs>
      <w:suppressAutoHyphens/>
      <w:spacing w:beforeLines="100" w:afterLines="100" w:after="0" w:line="240" w:lineRule="auto"/>
    </w:pPr>
    <w:rPr>
      <w:rFonts w:ascii="Times New Roman Bold" w:eastAsia="Times New Roman" w:hAnsi="Times New Roman Bold" w:cs="Times New Roman"/>
      <w:b/>
      <w:szCs w:val="20"/>
    </w:rPr>
  </w:style>
  <w:style w:type="paragraph" w:customStyle="1" w:styleId="EMEAHeadingUI">
    <w:name w:val="EMEA Heading UI"/>
    <w:next w:val="EMEANormal"/>
    <w:rsid w:val="00E451EE"/>
    <w:pPr>
      <w:tabs>
        <w:tab w:val="left" w:pos="562"/>
      </w:tabs>
      <w:suppressAutoHyphens/>
      <w:spacing w:beforeLines="100" w:afterLines="100" w:after="0" w:line="240" w:lineRule="auto"/>
    </w:pPr>
    <w:rPr>
      <w:rFonts w:ascii="Times New Roman" w:eastAsia="Times New Roman" w:hAnsi="Times New Roman" w:cs="Times New Roman"/>
      <w:i/>
      <w:szCs w:val="20"/>
      <w:u w:val="single"/>
    </w:rPr>
  </w:style>
  <w:style w:type="paragraph" w:customStyle="1" w:styleId="EMEAHeadingUnderline">
    <w:name w:val="EMEA Heading Underline"/>
    <w:next w:val="EMEANormal"/>
    <w:rsid w:val="00E451EE"/>
    <w:pPr>
      <w:tabs>
        <w:tab w:val="left" w:pos="562"/>
      </w:tabs>
      <w:suppressAutoHyphens/>
      <w:spacing w:beforeLines="100" w:afterLines="100" w:after="0" w:line="240" w:lineRule="auto"/>
    </w:pPr>
    <w:rPr>
      <w:rFonts w:ascii="Times New Roman" w:eastAsia="Times New Roman" w:hAnsi="Times New Roman" w:cs="Times New Roman"/>
      <w:szCs w:val="20"/>
      <w:u w:val="single"/>
    </w:rPr>
  </w:style>
  <w:style w:type="paragraph" w:customStyle="1" w:styleId="EMEAHint">
    <w:name w:val="EMEA Hint"/>
    <w:next w:val="EMEANormal"/>
    <w:rsid w:val="00E451EE"/>
    <w:pPr>
      <w:tabs>
        <w:tab w:val="left" w:pos="562"/>
      </w:tabs>
      <w:suppressAutoHyphens/>
      <w:spacing w:after="0" w:line="240" w:lineRule="auto"/>
    </w:pPr>
    <w:rPr>
      <w:rFonts w:ascii="Times New Roman" w:eastAsia="Times New Roman" w:hAnsi="Times New Roman" w:cs="Times New Roman"/>
      <w:i/>
      <w:color w:val="008000"/>
      <w:szCs w:val="20"/>
    </w:rPr>
  </w:style>
  <w:style w:type="paragraph" w:customStyle="1" w:styleId="EMEAFigureTitle">
    <w:name w:val="EMEA Figure Title"/>
    <w:basedOn w:val="EMEANormal"/>
    <w:next w:val="EMEANormal"/>
    <w:rsid w:val="00E451EE"/>
  </w:style>
  <w:style w:type="paragraph" w:customStyle="1" w:styleId="EMEATitle">
    <w:name w:val="EMEA Title"/>
    <w:rsid w:val="00E451EE"/>
    <w:pPr>
      <w:tabs>
        <w:tab w:val="left" w:pos="562"/>
      </w:tabs>
      <w:suppressAutoHyphens/>
      <w:spacing w:after="0" w:line="240" w:lineRule="auto"/>
      <w:jc w:val="center"/>
    </w:pPr>
    <w:rPr>
      <w:rFonts w:ascii="Times New Roman Bold" w:eastAsia="Times New Roman" w:hAnsi="Times New Roman Bold" w:cs="Times New Roman"/>
      <w:b/>
      <w:caps/>
      <w:szCs w:val="20"/>
    </w:rPr>
  </w:style>
  <w:style w:type="paragraph" w:customStyle="1" w:styleId="EMEAFooter">
    <w:name w:val="EMEA Footer"/>
    <w:rsid w:val="00E451EE"/>
    <w:pPr>
      <w:suppressAutoHyphens/>
      <w:spacing w:after="0" w:line="240" w:lineRule="auto"/>
      <w:jc w:val="center"/>
    </w:pPr>
    <w:rPr>
      <w:rFonts w:ascii="Helvetica" w:eastAsia="Times New Roman" w:hAnsi="Helvetica" w:cs="Times New Roman"/>
      <w:sz w:val="16"/>
      <w:szCs w:val="20"/>
    </w:rPr>
  </w:style>
  <w:style w:type="paragraph" w:customStyle="1" w:styleId="EMEAHeading2SPCEmpty">
    <w:name w:val="EMEA Heading 2 SPC Empty"/>
    <w:basedOn w:val="EMEAHeading2SPC"/>
    <w:next w:val="EMEANormal"/>
    <w:rsid w:val="00E451EE"/>
    <w:pPr>
      <w:spacing w:beforeLines="0"/>
    </w:pPr>
  </w:style>
  <w:style w:type="paragraph" w:customStyle="1" w:styleId="EMEAHeading1Para1">
    <w:name w:val="EMEA Heading 1 Para 1"/>
    <w:basedOn w:val="EMEAHeading1"/>
    <w:next w:val="EMEANormal"/>
    <w:rsid w:val="00E451EE"/>
    <w:pPr>
      <w:spacing w:beforeLines="0"/>
    </w:pPr>
  </w:style>
  <w:style w:type="paragraph" w:customStyle="1" w:styleId="EMEAHeadingBoxedEmpty">
    <w:name w:val="EMEA Heading Boxed Empty"/>
    <w:basedOn w:val="EMEAHeadingBoxed"/>
    <w:next w:val="EMEANormal"/>
    <w:rsid w:val="00E451EE"/>
    <w:pPr>
      <w:spacing w:afterLines="0"/>
    </w:pPr>
  </w:style>
  <w:style w:type="paragraph" w:customStyle="1" w:styleId="EMEABullet2">
    <w:name w:val="EMEA Bullet 2"/>
    <w:basedOn w:val="EMEABullet"/>
    <w:next w:val="EMEANormal"/>
    <w:rsid w:val="00E451EE"/>
    <w:pPr>
      <w:numPr>
        <w:numId w:val="0"/>
      </w:numPr>
      <w:tabs>
        <w:tab w:val="left" w:pos="567"/>
      </w:tabs>
    </w:pPr>
  </w:style>
  <w:style w:type="paragraph" w:customStyle="1" w:styleId="DefaultText">
    <w:name w:val="Default Text"/>
    <w:basedOn w:val="Normal"/>
    <w:rsid w:val="00E451EE"/>
    <w:pPr>
      <w:tabs>
        <w:tab w:val="clear" w:pos="562"/>
      </w:tabs>
      <w:suppressAutoHyphens w:val="0"/>
      <w:overflowPunct w:val="0"/>
      <w:autoSpaceDE w:val="0"/>
      <w:autoSpaceDN w:val="0"/>
      <w:adjustRightInd w:val="0"/>
      <w:textAlignment w:val="baseline"/>
    </w:pPr>
    <w:rPr>
      <w:rFonts w:ascii="Arial" w:hAnsi="Arial"/>
      <w:bCs/>
      <w:iCs/>
      <w:szCs w:val="20"/>
    </w:rPr>
  </w:style>
  <w:style w:type="paragraph" w:customStyle="1" w:styleId="EMEAHeadingBoxed1">
    <w:name w:val="EMEA Heading Boxed 1"/>
    <w:basedOn w:val="EMEAHeadingBoxed"/>
    <w:rsid w:val="00E451EE"/>
    <w:pPr>
      <w:spacing w:beforeLines="100" w:after="240"/>
      <w:ind w:left="561" w:hanging="561"/>
    </w:pPr>
    <w:rPr>
      <w:lang w:val="en-GB"/>
    </w:rPr>
  </w:style>
  <w:style w:type="paragraph" w:customStyle="1" w:styleId="EMEAHeadingBoxedTitle">
    <w:name w:val="EMEA Heading Boxed Title"/>
    <w:basedOn w:val="EMEAHeadingBoxed"/>
    <w:rsid w:val="00E451EE"/>
    <w:pPr>
      <w:spacing w:beforeLines="0" w:afterLines="0"/>
      <w:ind w:left="561" w:hanging="561"/>
    </w:pPr>
    <w:rPr>
      <w:b w:val="0"/>
      <w:lang w:val="en-GB"/>
    </w:rPr>
  </w:style>
  <w:style w:type="paragraph" w:customStyle="1" w:styleId="a">
    <w:name w:val="_"/>
    <w:rsid w:val="00E451EE"/>
    <w:pPr>
      <w:widowControl w:val="0"/>
      <w:spacing w:after="0" w:line="240" w:lineRule="auto"/>
    </w:pPr>
    <w:rPr>
      <w:rFonts w:ascii="Roman" w:eastAsia="Times New Roman" w:hAnsi="Roman" w:cs="Times New Roman"/>
      <w:sz w:val="24"/>
      <w:szCs w:val="20"/>
    </w:rPr>
  </w:style>
  <w:style w:type="paragraph" w:customStyle="1" w:styleId="TableText">
    <w:name w:val="Table Text"/>
    <w:rsid w:val="00E451EE"/>
    <w:pPr>
      <w:keepNext/>
      <w:keepLines/>
      <w:tabs>
        <w:tab w:val="left" w:pos="360"/>
      </w:tabs>
      <w:suppressAutoHyphens/>
      <w:spacing w:before="40" w:after="40" w:line="240" w:lineRule="exact"/>
    </w:pPr>
    <w:rPr>
      <w:rFonts w:ascii="Times New Roman" w:eastAsia="Times New Roman" w:hAnsi="Times New Roman" w:cs="Times New Roman"/>
      <w:sz w:val="20"/>
      <w:szCs w:val="20"/>
    </w:rPr>
  </w:style>
  <w:style w:type="table" w:styleId="TableGrid">
    <w:name w:val="Table Grid"/>
    <w:basedOn w:val="TableNormal"/>
    <w:rsid w:val="00E451EE"/>
    <w:pPr>
      <w:tabs>
        <w:tab w:val="left" w:pos="562"/>
      </w:tabs>
      <w:suppressAutoHyphens/>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rsid w:val="00E451EE"/>
    <w:rPr>
      <w:b/>
      <w:bCs/>
    </w:rPr>
  </w:style>
  <w:style w:type="character" w:customStyle="1" w:styleId="CommentSubjectChar">
    <w:name w:val="Comment Subject Char"/>
    <w:basedOn w:val="CommentTextChar"/>
    <w:link w:val="CommentSubject"/>
    <w:semiHidden/>
    <w:rsid w:val="00E451EE"/>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E451EE"/>
    <w:rPr>
      <w:sz w:val="20"/>
      <w:szCs w:val="20"/>
    </w:rPr>
  </w:style>
  <w:style w:type="character" w:customStyle="1" w:styleId="BalloonTextChar">
    <w:name w:val="Balloon Text Char"/>
    <w:basedOn w:val="DefaultParagraphFont"/>
    <w:link w:val="BalloonText"/>
    <w:semiHidden/>
    <w:rsid w:val="00E451EE"/>
    <w:rPr>
      <w:rFonts w:ascii="Times New Roman" w:eastAsia="Times New Roman" w:hAnsi="Times New Roman" w:cs="Times New Roman"/>
      <w:sz w:val="20"/>
      <w:szCs w:val="20"/>
    </w:rPr>
  </w:style>
  <w:style w:type="paragraph" w:customStyle="1" w:styleId="BMCENTRED">
    <w:name w:val="BM CENTRED"/>
    <w:basedOn w:val="Normal"/>
    <w:rsid w:val="00E451EE"/>
    <w:pPr>
      <w:tabs>
        <w:tab w:val="clear" w:pos="562"/>
      </w:tabs>
      <w:jc w:val="center"/>
    </w:pPr>
    <w:rPr>
      <w:b/>
    </w:rPr>
  </w:style>
  <w:style w:type="paragraph" w:customStyle="1" w:styleId="BMLeftAligned">
    <w:name w:val="BM Left Aligned"/>
    <w:basedOn w:val="Normal"/>
    <w:rsid w:val="00E451EE"/>
    <w:pPr>
      <w:ind w:left="550" w:hanging="550"/>
    </w:pPr>
    <w:rPr>
      <w:b/>
    </w:rPr>
  </w:style>
  <w:style w:type="character" w:customStyle="1" w:styleId="bold4">
    <w:name w:val="bold4"/>
    <w:rsid w:val="00E451EE"/>
    <w:rPr>
      <w:rFonts w:cs="Times New Roman"/>
      <w:b/>
      <w:bCs/>
    </w:rPr>
  </w:style>
  <w:style w:type="character" w:customStyle="1" w:styleId="italics5">
    <w:name w:val="italics5"/>
    <w:rsid w:val="00E451EE"/>
    <w:rPr>
      <w:rFonts w:cs="Times New Roman"/>
      <w:i/>
      <w:iCs/>
    </w:rPr>
  </w:style>
  <w:style w:type="character" w:customStyle="1" w:styleId="sup1">
    <w:name w:val="sup1"/>
    <w:rsid w:val="00E451EE"/>
    <w:rPr>
      <w:rFonts w:cs="Times New Roman"/>
      <w:sz w:val="19"/>
      <w:szCs w:val="19"/>
    </w:rPr>
  </w:style>
  <w:style w:type="paragraph" w:styleId="BodyTextFirstIndent">
    <w:name w:val="Body Text First Indent"/>
    <w:basedOn w:val="BodyText"/>
    <w:link w:val="BodyTextFirstIndentChar"/>
    <w:rsid w:val="00E451EE"/>
    <w:pPr>
      <w:spacing w:after="120"/>
      <w:ind w:firstLine="210"/>
    </w:pPr>
    <w:rPr>
      <w:b/>
      <w:i/>
    </w:rPr>
  </w:style>
  <w:style w:type="character" w:customStyle="1" w:styleId="BodyTextFirstIndentChar">
    <w:name w:val="Body Text First Indent Char"/>
    <w:basedOn w:val="BodyTextChar"/>
    <w:link w:val="BodyTextFirstIndent"/>
    <w:rsid w:val="00E451EE"/>
    <w:rPr>
      <w:rFonts w:ascii="Times New Roman" w:eastAsia="Times New Roman" w:hAnsi="Times New Roman" w:cs="Times New Roman"/>
      <w:b/>
      <w:i/>
      <w:sz w:val="24"/>
      <w:szCs w:val="24"/>
    </w:rPr>
  </w:style>
  <w:style w:type="paragraph" w:styleId="BodyTextFirstIndent2">
    <w:name w:val="Body Text First Indent 2"/>
    <w:basedOn w:val="BodyTextIndent"/>
    <w:link w:val="BodyTextFirstIndent2Char"/>
    <w:rsid w:val="00E451EE"/>
    <w:pPr>
      <w:tabs>
        <w:tab w:val="left" w:pos="562"/>
      </w:tabs>
      <w:spacing w:after="120"/>
      <w:ind w:left="283" w:firstLine="210"/>
    </w:pPr>
    <w:rPr>
      <w:b/>
    </w:rPr>
  </w:style>
  <w:style w:type="character" w:customStyle="1" w:styleId="BodyTextFirstIndent2Char">
    <w:name w:val="Body Text First Indent 2 Char"/>
    <w:basedOn w:val="BodyTextIndentChar"/>
    <w:link w:val="BodyTextFirstIndent2"/>
    <w:rsid w:val="00E451EE"/>
    <w:rPr>
      <w:rFonts w:ascii="Times New Roman" w:eastAsia="Times New Roman" w:hAnsi="Times New Roman" w:cs="Times New Roman"/>
      <w:b/>
      <w:sz w:val="24"/>
      <w:szCs w:val="24"/>
    </w:rPr>
  </w:style>
  <w:style w:type="paragraph" w:styleId="Caption">
    <w:name w:val="caption"/>
    <w:basedOn w:val="Normal"/>
    <w:next w:val="Normal"/>
    <w:qFormat/>
    <w:rsid w:val="00E451EE"/>
    <w:rPr>
      <w:b/>
      <w:bCs/>
      <w:sz w:val="20"/>
      <w:szCs w:val="20"/>
    </w:rPr>
  </w:style>
  <w:style w:type="paragraph" w:styleId="Closing">
    <w:name w:val="Closing"/>
    <w:basedOn w:val="Normal"/>
    <w:link w:val="ClosingChar"/>
    <w:rsid w:val="00E451EE"/>
    <w:pPr>
      <w:ind w:left="4252"/>
    </w:pPr>
    <w:rPr>
      <w:sz w:val="24"/>
    </w:rPr>
  </w:style>
  <w:style w:type="character" w:customStyle="1" w:styleId="ClosingChar">
    <w:name w:val="Closing Char"/>
    <w:basedOn w:val="DefaultParagraphFont"/>
    <w:link w:val="Closing"/>
    <w:rsid w:val="00E451EE"/>
    <w:rPr>
      <w:rFonts w:ascii="Times New Roman" w:eastAsia="Times New Roman" w:hAnsi="Times New Roman" w:cs="Times New Roman"/>
      <w:sz w:val="24"/>
      <w:szCs w:val="24"/>
    </w:rPr>
  </w:style>
  <w:style w:type="paragraph" w:styleId="Date">
    <w:name w:val="Date"/>
    <w:basedOn w:val="Normal"/>
    <w:next w:val="Normal"/>
    <w:link w:val="DateChar"/>
    <w:rsid w:val="00E451EE"/>
    <w:rPr>
      <w:sz w:val="24"/>
    </w:rPr>
  </w:style>
  <w:style w:type="character" w:customStyle="1" w:styleId="DateChar">
    <w:name w:val="Date Char"/>
    <w:basedOn w:val="DefaultParagraphFont"/>
    <w:link w:val="Date"/>
    <w:rsid w:val="00E451EE"/>
    <w:rPr>
      <w:rFonts w:ascii="Times New Roman" w:eastAsia="Times New Roman" w:hAnsi="Times New Roman" w:cs="Times New Roman"/>
      <w:sz w:val="24"/>
      <w:szCs w:val="24"/>
    </w:rPr>
  </w:style>
  <w:style w:type="paragraph" w:styleId="E-mailSignature">
    <w:name w:val="E-mail Signature"/>
    <w:basedOn w:val="Normal"/>
    <w:link w:val="E-mailSignatureChar"/>
    <w:rsid w:val="00E451EE"/>
    <w:rPr>
      <w:sz w:val="24"/>
    </w:rPr>
  </w:style>
  <w:style w:type="character" w:customStyle="1" w:styleId="E-mailSignatureChar">
    <w:name w:val="E-mail Signature Char"/>
    <w:basedOn w:val="DefaultParagraphFont"/>
    <w:link w:val="E-mailSignature"/>
    <w:rsid w:val="00E451EE"/>
    <w:rPr>
      <w:rFonts w:ascii="Times New Roman" w:eastAsia="Times New Roman" w:hAnsi="Times New Roman" w:cs="Times New Roman"/>
      <w:sz w:val="24"/>
      <w:szCs w:val="24"/>
    </w:rPr>
  </w:style>
  <w:style w:type="paragraph" w:styleId="EnvelopeAddress">
    <w:name w:val="envelope address"/>
    <w:basedOn w:val="Normal"/>
    <w:rsid w:val="00E451EE"/>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rsid w:val="00E451EE"/>
    <w:rPr>
      <w:rFonts w:ascii="Arial" w:hAnsi="Arial" w:cs="Arial"/>
      <w:sz w:val="20"/>
      <w:szCs w:val="20"/>
    </w:rPr>
  </w:style>
  <w:style w:type="paragraph" w:styleId="HTMLAddress">
    <w:name w:val="HTML Address"/>
    <w:basedOn w:val="Normal"/>
    <w:link w:val="HTMLAddressChar"/>
    <w:rsid w:val="00E451EE"/>
    <w:rPr>
      <w:i/>
      <w:iCs/>
      <w:sz w:val="24"/>
    </w:rPr>
  </w:style>
  <w:style w:type="character" w:customStyle="1" w:styleId="HTMLAddressChar">
    <w:name w:val="HTML Address Char"/>
    <w:basedOn w:val="DefaultParagraphFont"/>
    <w:link w:val="HTMLAddress"/>
    <w:rsid w:val="00E451EE"/>
    <w:rPr>
      <w:rFonts w:ascii="Times New Roman" w:eastAsia="Times New Roman" w:hAnsi="Times New Roman" w:cs="Times New Roman"/>
      <w:i/>
      <w:iCs/>
      <w:sz w:val="24"/>
      <w:szCs w:val="24"/>
    </w:rPr>
  </w:style>
  <w:style w:type="paragraph" w:styleId="HTMLPreformatted">
    <w:name w:val="HTML Preformatted"/>
    <w:basedOn w:val="Normal"/>
    <w:link w:val="HTMLPreformattedChar"/>
    <w:rsid w:val="00E451EE"/>
    <w:rPr>
      <w:rFonts w:ascii="Courier New" w:hAnsi="Courier New"/>
      <w:sz w:val="20"/>
      <w:szCs w:val="20"/>
    </w:rPr>
  </w:style>
  <w:style w:type="character" w:customStyle="1" w:styleId="HTMLPreformattedChar">
    <w:name w:val="HTML Preformatted Char"/>
    <w:basedOn w:val="DefaultParagraphFont"/>
    <w:link w:val="HTMLPreformatted"/>
    <w:rsid w:val="00E451EE"/>
    <w:rPr>
      <w:rFonts w:ascii="Courier New" w:eastAsia="Times New Roman" w:hAnsi="Courier New" w:cs="Times New Roman"/>
      <w:sz w:val="20"/>
      <w:szCs w:val="20"/>
    </w:rPr>
  </w:style>
  <w:style w:type="paragraph" w:styleId="Index2">
    <w:name w:val="index 2"/>
    <w:basedOn w:val="Normal"/>
    <w:next w:val="Normal"/>
    <w:autoRedefine/>
    <w:semiHidden/>
    <w:rsid w:val="00E451EE"/>
    <w:pPr>
      <w:tabs>
        <w:tab w:val="clear" w:pos="562"/>
      </w:tabs>
      <w:ind w:left="440" w:hanging="220"/>
    </w:pPr>
  </w:style>
  <w:style w:type="paragraph" w:styleId="Index3">
    <w:name w:val="index 3"/>
    <w:basedOn w:val="Normal"/>
    <w:next w:val="Normal"/>
    <w:autoRedefine/>
    <w:semiHidden/>
    <w:rsid w:val="00E451EE"/>
    <w:pPr>
      <w:tabs>
        <w:tab w:val="clear" w:pos="562"/>
      </w:tabs>
      <w:ind w:left="660" w:hanging="220"/>
    </w:pPr>
  </w:style>
  <w:style w:type="paragraph" w:styleId="Index4">
    <w:name w:val="index 4"/>
    <w:basedOn w:val="Normal"/>
    <w:next w:val="Normal"/>
    <w:autoRedefine/>
    <w:semiHidden/>
    <w:rsid w:val="00E451EE"/>
    <w:pPr>
      <w:tabs>
        <w:tab w:val="clear" w:pos="562"/>
      </w:tabs>
      <w:ind w:left="880" w:hanging="220"/>
    </w:pPr>
  </w:style>
  <w:style w:type="paragraph" w:styleId="Index5">
    <w:name w:val="index 5"/>
    <w:basedOn w:val="Normal"/>
    <w:next w:val="Normal"/>
    <w:autoRedefine/>
    <w:semiHidden/>
    <w:rsid w:val="00E451EE"/>
    <w:pPr>
      <w:tabs>
        <w:tab w:val="clear" w:pos="562"/>
      </w:tabs>
      <w:ind w:left="1100" w:hanging="220"/>
    </w:pPr>
  </w:style>
  <w:style w:type="paragraph" w:styleId="Index6">
    <w:name w:val="index 6"/>
    <w:basedOn w:val="Normal"/>
    <w:next w:val="Normal"/>
    <w:autoRedefine/>
    <w:semiHidden/>
    <w:rsid w:val="00E451EE"/>
    <w:pPr>
      <w:tabs>
        <w:tab w:val="clear" w:pos="562"/>
      </w:tabs>
      <w:ind w:left="1320" w:hanging="220"/>
    </w:pPr>
  </w:style>
  <w:style w:type="paragraph" w:styleId="Index7">
    <w:name w:val="index 7"/>
    <w:basedOn w:val="Normal"/>
    <w:next w:val="Normal"/>
    <w:autoRedefine/>
    <w:semiHidden/>
    <w:rsid w:val="00E451EE"/>
    <w:pPr>
      <w:tabs>
        <w:tab w:val="clear" w:pos="562"/>
      </w:tabs>
      <w:ind w:left="1540" w:hanging="220"/>
    </w:pPr>
  </w:style>
  <w:style w:type="paragraph" w:styleId="Index8">
    <w:name w:val="index 8"/>
    <w:basedOn w:val="Normal"/>
    <w:next w:val="Normal"/>
    <w:autoRedefine/>
    <w:semiHidden/>
    <w:rsid w:val="00E451EE"/>
    <w:pPr>
      <w:tabs>
        <w:tab w:val="clear" w:pos="562"/>
      </w:tabs>
      <w:ind w:left="1760" w:hanging="220"/>
    </w:pPr>
  </w:style>
  <w:style w:type="paragraph" w:styleId="Index9">
    <w:name w:val="index 9"/>
    <w:basedOn w:val="Normal"/>
    <w:next w:val="Normal"/>
    <w:autoRedefine/>
    <w:semiHidden/>
    <w:rsid w:val="00E451EE"/>
    <w:pPr>
      <w:tabs>
        <w:tab w:val="clear" w:pos="562"/>
      </w:tabs>
      <w:ind w:left="1980" w:hanging="220"/>
    </w:pPr>
  </w:style>
  <w:style w:type="paragraph" w:styleId="List">
    <w:name w:val="List"/>
    <w:basedOn w:val="Normal"/>
    <w:rsid w:val="00E451EE"/>
    <w:pPr>
      <w:ind w:left="283" w:hanging="283"/>
    </w:pPr>
  </w:style>
  <w:style w:type="paragraph" w:styleId="List2">
    <w:name w:val="List 2"/>
    <w:basedOn w:val="Normal"/>
    <w:rsid w:val="00E451EE"/>
    <w:pPr>
      <w:ind w:left="566" w:hanging="283"/>
    </w:pPr>
  </w:style>
  <w:style w:type="paragraph" w:styleId="List3">
    <w:name w:val="List 3"/>
    <w:basedOn w:val="Normal"/>
    <w:rsid w:val="00E451EE"/>
    <w:pPr>
      <w:ind w:left="849" w:hanging="283"/>
    </w:pPr>
  </w:style>
  <w:style w:type="paragraph" w:styleId="List4">
    <w:name w:val="List 4"/>
    <w:basedOn w:val="Normal"/>
    <w:rsid w:val="00E451EE"/>
    <w:pPr>
      <w:ind w:left="1132" w:hanging="283"/>
    </w:pPr>
  </w:style>
  <w:style w:type="paragraph" w:styleId="List5">
    <w:name w:val="List 5"/>
    <w:basedOn w:val="Normal"/>
    <w:rsid w:val="00E451EE"/>
    <w:pPr>
      <w:ind w:left="1415" w:hanging="283"/>
    </w:pPr>
  </w:style>
  <w:style w:type="paragraph" w:styleId="ListBullet">
    <w:name w:val="List Bullet"/>
    <w:basedOn w:val="Normal"/>
    <w:rsid w:val="00E451EE"/>
    <w:pPr>
      <w:numPr>
        <w:numId w:val="1"/>
      </w:numPr>
    </w:pPr>
  </w:style>
  <w:style w:type="paragraph" w:styleId="ListBullet2">
    <w:name w:val="List Bullet 2"/>
    <w:basedOn w:val="Normal"/>
    <w:rsid w:val="00E451EE"/>
    <w:pPr>
      <w:numPr>
        <w:numId w:val="2"/>
      </w:numPr>
    </w:pPr>
  </w:style>
  <w:style w:type="paragraph" w:styleId="ListBullet3">
    <w:name w:val="List Bullet 3"/>
    <w:basedOn w:val="Normal"/>
    <w:rsid w:val="00E451EE"/>
    <w:pPr>
      <w:numPr>
        <w:numId w:val="3"/>
      </w:numPr>
    </w:pPr>
  </w:style>
  <w:style w:type="paragraph" w:styleId="ListBullet4">
    <w:name w:val="List Bullet 4"/>
    <w:basedOn w:val="Normal"/>
    <w:rsid w:val="00E451EE"/>
    <w:pPr>
      <w:numPr>
        <w:numId w:val="4"/>
      </w:numPr>
    </w:pPr>
  </w:style>
  <w:style w:type="paragraph" w:styleId="ListBullet5">
    <w:name w:val="List Bullet 5"/>
    <w:basedOn w:val="Normal"/>
    <w:rsid w:val="00E451EE"/>
    <w:pPr>
      <w:numPr>
        <w:numId w:val="5"/>
      </w:numPr>
    </w:pPr>
  </w:style>
  <w:style w:type="paragraph" w:styleId="ListContinue">
    <w:name w:val="List Continue"/>
    <w:basedOn w:val="Normal"/>
    <w:rsid w:val="00E451EE"/>
    <w:pPr>
      <w:spacing w:after="120"/>
      <w:ind w:left="283"/>
    </w:pPr>
  </w:style>
  <w:style w:type="paragraph" w:styleId="ListContinue2">
    <w:name w:val="List Continue 2"/>
    <w:basedOn w:val="Normal"/>
    <w:rsid w:val="00E451EE"/>
    <w:pPr>
      <w:spacing w:after="120"/>
      <w:ind w:left="566"/>
    </w:pPr>
  </w:style>
  <w:style w:type="paragraph" w:styleId="ListContinue3">
    <w:name w:val="List Continue 3"/>
    <w:basedOn w:val="Normal"/>
    <w:rsid w:val="00E451EE"/>
    <w:pPr>
      <w:spacing w:after="120"/>
      <w:ind w:left="849"/>
    </w:pPr>
  </w:style>
  <w:style w:type="paragraph" w:styleId="ListContinue4">
    <w:name w:val="List Continue 4"/>
    <w:basedOn w:val="Normal"/>
    <w:rsid w:val="00E451EE"/>
    <w:pPr>
      <w:spacing w:after="120"/>
      <w:ind w:left="1132"/>
    </w:pPr>
  </w:style>
  <w:style w:type="paragraph" w:styleId="ListContinue5">
    <w:name w:val="List Continue 5"/>
    <w:basedOn w:val="Normal"/>
    <w:rsid w:val="00E451EE"/>
    <w:pPr>
      <w:spacing w:after="120"/>
      <w:ind w:left="1415"/>
    </w:pPr>
  </w:style>
  <w:style w:type="paragraph" w:styleId="ListNumber">
    <w:name w:val="List Number"/>
    <w:basedOn w:val="Normal"/>
    <w:rsid w:val="00E451EE"/>
    <w:pPr>
      <w:numPr>
        <w:numId w:val="6"/>
      </w:numPr>
    </w:pPr>
  </w:style>
  <w:style w:type="paragraph" w:styleId="ListNumber2">
    <w:name w:val="List Number 2"/>
    <w:basedOn w:val="Normal"/>
    <w:rsid w:val="00E451EE"/>
    <w:pPr>
      <w:numPr>
        <w:numId w:val="7"/>
      </w:numPr>
    </w:pPr>
  </w:style>
  <w:style w:type="paragraph" w:styleId="ListNumber3">
    <w:name w:val="List Number 3"/>
    <w:basedOn w:val="Normal"/>
    <w:rsid w:val="00E451EE"/>
    <w:pPr>
      <w:numPr>
        <w:numId w:val="8"/>
      </w:numPr>
    </w:pPr>
  </w:style>
  <w:style w:type="paragraph" w:styleId="ListNumber4">
    <w:name w:val="List Number 4"/>
    <w:basedOn w:val="Normal"/>
    <w:rsid w:val="00E451EE"/>
    <w:pPr>
      <w:numPr>
        <w:numId w:val="9"/>
      </w:numPr>
    </w:pPr>
  </w:style>
  <w:style w:type="paragraph" w:styleId="ListNumber5">
    <w:name w:val="List Number 5"/>
    <w:basedOn w:val="Normal"/>
    <w:rsid w:val="00E451EE"/>
    <w:pPr>
      <w:numPr>
        <w:numId w:val="10"/>
      </w:numPr>
    </w:pPr>
  </w:style>
  <w:style w:type="paragraph" w:styleId="MacroText">
    <w:name w:val="macro"/>
    <w:link w:val="MacroTextChar"/>
    <w:semiHidden/>
    <w:rsid w:val="00E451EE"/>
    <w:pPr>
      <w:tabs>
        <w:tab w:val="left" w:pos="480"/>
        <w:tab w:val="left" w:pos="960"/>
        <w:tab w:val="left" w:pos="1440"/>
        <w:tab w:val="left" w:pos="1920"/>
        <w:tab w:val="left" w:pos="2400"/>
        <w:tab w:val="left" w:pos="2880"/>
        <w:tab w:val="left" w:pos="3360"/>
        <w:tab w:val="left" w:pos="3840"/>
        <w:tab w:val="left" w:pos="4320"/>
      </w:tabs>
      <w:suppressAutoHyphen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E451EE"/>
    <w:rPr>
      <w:rFonts w:ascii="Courier New" w:eastAsia="Times New Roman" w:hAnsi="Courier New" w:cs="Courier New"/>
      <w:sz w:val="20"/>
      <w:szCs w:val="20"/>
    </w:rPr>
  </w:style>
  <w:style w:type="paragraph" w:styleId="MessageHeader">
    <w:name w:val="Message Header"/>
    <w:basedOn w:val="Normal"/>
    <w:link w:val="MessageHeaderChar"/>
    <w:rsid w:val="00E451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basedOn w:val="DefaultParagraphFont"/>
    <w:link w:val="MessageHeader"/>
    <w:rsid w:val="00E451EE"/>
    <w:rPr>
      <w:rFonts w:ascii="Cambria" w:eastAsia="Times New Roman" w:hAnsi="Cambria" w:cs="Times New Roman"/>
      <w:sz w:val="24"/>
      <w:szCs w:val="24"/>
      <w:shd w:val="pct20" w:color="auto" w:fill="auto"/>
    </w:rPr>
  </w:style>
  <w:style w:type="paragraph" w:styleId="NormalWeb">
    <w:name w:val="Normal (Web)"/>
    <w:basedOn w:val="Normal"/>
    <w:rsid w:val="00E451EE"/>
    <w:rPr>
      <w:sz w:val="24"/>
    </w:rPr>
  </w:style>
  <w:style w:type="paragraph" w:styleId="NormalIndent">
    <w:name w:val="Normal Indent"/>
    <w:basedOn w:val="Normal"/>
    <w:rsid w:val="00E451EE"/>
    <w:pPr>
      <w:ind w:left="720"/>
    </w:pPr>
  </w:style>
  <w:style w:type="paragraph" w:styleId="NoteHeading">
    <w:name w:val="Note Heading"/>
    <w:basedOn w:val="Normal"/>
    <w:next w:val="Normal"/>
    <w:link w:val="NoteHeadingChar"/>
    <w:rsid w:val="00E451EE"/>
    <w:rPr>
      <w:sz w:val="24"/>
    </w:rPr>
  </w:style>
  <w:style w:type="character" w:customStyle="1" w:styleId="NoteHeadingChar">
    <w:name w:val="Note Heading Char"/>
    <w:basedOn w:val="DefaultParagraphFont"/>
    <w:link w:val="NoteHeading"/>
    <w:rsid w:val="00E451EE"/>
    <w:rPr>
      <w:rFonts w:ascii="Times New Roman" w:eastAsia="Times New Roman" w:hAnsi="Times New Roman" w:cs="Times New Roman"/>
      <w:sz w:val="24"/>
      <w:szCs w:val="24"/>
    </w:rPr>
  </w:style>
  <w:style w:type="paragraph" w:styleId="PlainText">
    <w:name w:val="Plain Text"/>
    <w:basedOn w:val="Normal"/>
    <w:link w:val="PlainTextChar"/>
    <w:rsid w:val="00E451EE"/>
    <w:rPr>
      <w:rFonts w:ascii="Courier New" w:hAnsi="Courier New"/>
      <w:sz w:val="20"/>
      <w:szCs w:val="20"/>
    </w:rPr>
  </w:style>
  <w:style w:type="character" w:customStyle="1" w:styleId="PlainTextChar">
    <w:name w:val="Plain Text Char"/>
    <w:basedOn w:val="DefaultParagraphFont"/>
    <w:link w:val="PlainText"/>
    <w:rsid w:val="00E451EE"/>
    <w:rPr>
      <w:rFonts w:ascii="Courier New" w:eastAsia="Times New Roman" w:hAnsi="Courier New" w:cs="Times New Roman"/>
      <w:sz w:val="20"/>
      <w:szCs w:val="20"/>
    </w:rPr>
  </w:style>
  <w:style w:type="paragraph" w:styleId="Salutation">
    <w:name w:val="Salutation"/>
    <w:basedOn w:val="Normal"/>
    <w:next w:val="Normal"/>
    <w:link w:val="SalutationChar"/>
    <w:rsid w:val="00E451EE"/>
    <w:rPr>
      <w:sz w:val="24"/>
    </w:rPr>
  </w:style>
  <w:style w:type="character" w:customStyle="1" w:styleId="SalutationChar">
    <w:name w:val="Salutation Char"/>
    <w:basedOn w:val="DefaultParagraphFont"/>
    <w:link w:val="Salutation"/>
    <w:rsid w:val="00E451EE"/>
    <w:rPr>
      <w:rFonts w:ascii="Times New Roman" w:eastAsia="Times New Roman" w:hAnsi="Times New Roman" w:cs="Times New Roman"/>
      <w:sz w:val="24"/>
      <w:szCs w:val="24"/>
    </w:rPr>
  </w:style>
  <w:style w:type="paragraph" w:styleId="Signature">
    <w:name w:val="Signature"/>
    <w:basedOn w:val="Normal"/>
    <w:link w:val="SignatureChar"/>
    <w:rsid w:val="00E451EE"/>
    <w:pPr>
      <w:ind w:left="4252"/>
    </w:pPr>
    <w:rPr>
      <w:sz w:val="24"/>
    </w:rPr>
  </w:style>
  <w:style w:type="character" w:customStyle="1" w:styleId="SignatureChar">
    <w:name w:val="Signature Char"/>
    <w:basedOn w:val="DefaultParagraphFont"/>
    <w:link w:val="Signature"/>
    <w:rsid w:val="00E451EE"/>
    <w:rPr>
      <w:rFonts w:ascii="Times New Roman" w:eastAsia="Times New Roman" w:hAnsi="Times New Roman" w:cs="Times New Roman"/>
      <w:sz w:val="24"/>
      <w:szCs w:val="24"/>
    </w:rPr>
  </w:style>
  <w:style w:type="paragraph" w:styleId="Subtitle">
    <w:name w:val="Subtitle"/>
    <w:basedOn w:val="Normal"/>
    <w:link w:val="SubtitleChar"/>
    <w:qFormat/>
    <w:rsid w:val="00E451EE"/>
    <w:pPr>
      <w:spacing w:after="60"/>
      <w:jc w:val="center"/>
      <w:outlineLvl w:val="1"/>
    </w:pPr>
    <w:rPr>
      <w:rFonts w:ascii="Cambria" w:hAnsi="Cambria"/>
      <w:sz w:val="24"/>
    </w:rPr>
  </w:style>
  <w:style w:type="character" w:customStyle="1" w:styleId="SubtitleChar">
    <w:name w:val="Subtitle Char"/>
    <w:basedOn w:val="DefaultParagraphFont"/>
    <w:link w:val="Subtitle"/>
    <w:rsid w:val="00E451EE"/>
    <w:rPr>
      <w:rFonts w:ascii="Cambria" w:eastAsia="Times New Roman" w:hAnsi="Cambria" w:cs="Times New Roman"/>
      <w:sz w:val="24"/>
      <w:szCs w:val="24"/>
    </w:rPr>
  </w:style>
  <w:style w:type="paragraph" w:styleId="TableofAuthorities">
    <w:name w:val="table of authorities"/>
    <w:basedOn w:val="Normal"/>
    <w:next w:val="Normal"/>
    <w:semiHidden/>
    <w:rsid w:val="00E451EE"/>
    <w:pPr>
      <w:tabs>
        <w:tab w:val="clear" w:pos="562"/>
      </w:tabs>
      <w:ind w:left="220" w:hanging="220"/>
    </w:pPr>
  </w:style>
  <w:style w:type="paragraph" w:styleId="TableofFigures">
    <w:name w:val="table of figures"/>
    <w:basedOn w:val="Normal"/>
    <w:next w:val="Normal"/>
    <w:semiHidden/>
    <w:rsid w:val="00E451EE"/>
    <w:pPr>
      <w:tabs>
        <w:tab w:val="clear" w:pos="562"/>
      </w:tabs>
    </w:pPr>
  </w:style>
  <w:style w:type="paragraph" w:styleId="TOAHeading">
    <w:name w:val="toa heading"/>
    <w:basedOn w:val="Normal"/>
    <w:next w:val="Normal"/>
    <w:semiHidden/>
    <w:rsid w:val="00E451EE"/>
    <w:pPr>
      <w:spacing w:before="120"/>
    </w:pPr>
    <w:rPr>
      <w:rFonts w:ascii="Arial" w:hAnsi="Arial" w:cs="Arial"/>
      <w:b/>
      <w:bCs/>
      <w:sz w:val="24"/>
    </w:rPr>
  </w:style>
  <w:style w:type="paragraph" w:styleId="TOC1">
    <w:name w:val="toc 1"/>
    <w:basedOn w:val="Normal"/>
    <w:next w:val="Normal"/>
    <w:autoRedefine/>
    <w:semiHidden/>
    <w:rsid w:val="00E451EE"/>
    <w:pPr>
      <w:tabs>
        <w:tab w:val="clear" w:pos="562"/>
      </w:tabs>
    </w:pPr>
  </w:style>
  <w:style w:type="paragraph" w:styleId="TOC2">
    <w:name w:val="toc 2"/>
    <w:basedOn w:val="Normal"/>
    <w:next w:val="Normal"/>
    <w:autoRedefine/>
    <w:semiHidden/>
    <w:rsid w:val="00E451EE"/>
    <w:pPr>
      <w:tabs>
        <w:tab w:val="clear" w:pos="562"/>
      </w:tabs>
      <w:ind w:left="220"/>
    </w:pPr>
  </w:style>
  <w:style w:type="paragraph" w:styleId="TOC3">
    <w:name w:val="toc 3"/>
    <w:basedOn w:val="Normal"/>
    <w:next w:val="Normal"/>
    <w:autoRedefine/>
    <w:semiHidden/>
    <w:rsid w:val="00E451EE"/>
    <w:pPr>
      <w:tabs>
        <w:tab w:val="clear" w:pos="562"/>
      </w:tabs>
      <w:ind w:left="440"/>
    </w:pPr>
  </w:style>
  <w:style w:type="paragraph" w:styleId="TOC4">
    <w:name w:val="toc 4"/>
    <w:basedOn w:val="Normal"/>
    <w:next w:val="Normal"/>
    <w:autoRedefine/>
    <w:semiHidden/>
    <w:rsid w:val="00E451EE"/>
    <w:pPr>
      <w:tabs>
        <w:tab w:val="clear" w:pos="562"/>
      </w:tabs>
      <w:ind w:left="660"/>
    </w:pPr>
  </w:style>
  <w:style w:type="paragraph" w:styleId="TOC5">
    <w:name w:val="toc 5"/>
    <w:basedOn w:val="Normal"/>
    <w:next w:val="Normal"/>
    <w:autoRedefine/>
    <w:semiHidden/>
    <w:rsid w:val="00E451EE"/>
    <w:pPr>
      <w:tabs>
        <w:tab w:val="clear" w:pos="562"/>
      </w:tabs>
      <w:ind w:left="880"/>
    </w:pPr>
  </w:style>
  <w:style w:type="paragraph" w:styleId="TOC6">
    <w:name w:val="toc 6"/>
    <w:basedOn w:val="Normal"/>
    <w:next w:val="Normal"/>
    <w:autoRedefine/>
    <w:semiHidden/>
    <w:rsid w:val="00E451EE"/>
    <w:pPr>
      <w:tabs>
        <w:tab w:val="clear" w:pos="562"/>
      </w:tabs>
      <w:ind w:left="1100"/>
    </w:pPr>
  </w:style>
  <w:style w:type="paragraph" w:styleId="TOC7">
    <w:name w:val="toc 7"/>
    <w:basedOn w:val="Normal"/>
    <w:next w:val="Normal"/>
    <w:autoRedefine/>
    <w:semiHidden/>
    <w:rsid w:val="00E451EE"/>
    <w:pPr>
      <w:tabs>
        <w:tab w:val="clear" w:pos="562"/>
      </w:tabs>
      <w:ind w:left="1320"/>
    </w:pPr>
  </w:style>
  <w:style w:type="paragraph" w:styleId="TOC8">
    <w:name w:val="toc 8"/>
    <w:basedOn w:val="Normal"/>
    <w:next w:val="Normal"/>
    <w:autoRedefine/>
    <w:semiHidden/>
    <w:rsid w:val="00E451EE"/>
    <w:pPr>
      <w:tabs>
        <w:tab w:val="clear" w:pos="562"/>
      </w:tabs>
      <w:ind w:left="1540"/>
    </w:pPr>
  </w:style>
  <w:style w:type="paragraph" w:styleId="TOC9">
    <w:name w:val="toc 9"/>
    <w:basedOn w:val="Normal"/>
    <w:next w:val="Normal"/>
    <w:autoRedefine/>
    <w:semiHidden/>
    <w:rsid w:val="00E451EE"/>
    <w:pPr>
      <w:tabs>
        <w:tab w:val="clear" w:pos="562"/>
      </w:tabs>
      <w:ind w:left="1760"/>
    </w:pPr>
  </w:style>
  <w:style w:type="character" w:customStyle="1" w:styleId="EMEANormalChar">
    <w:name w:val="EMEA Normal Char"/>
    <w:link w:val="EMEANormal"/>
    <w:locked/>
    <w:rsid w:val="00E451EE"/>
    <w:rPr>
      <w:rFonts w:ascii="Times New Roman" w:eastAsia="Times New Roman" w:hAnsi="Times New Roman" w:cs="Times New Roman"/>
      <w:szCs w:val="20"/>
    </w:rPr>
  </w:style>
  <w:style w:type="paragraph" w:customStyle="1" w:styleId="Default">
    <w:name w:val="Default"/>
    <w:rsid w:val="00E451EE"/>
    <w:pPr>
      <w:autoSpaceDE w:val="0"/>
      <w:autoSpaceDN w:val="0"/>
      <w:adjustRightInd w:val="0"/>
      <w:spacing w:after="0" w:line="240" w:lineRule="auto"/>
    </w:pPr>
    <w:rPr>
      <w:rFonts w:ascii="Times New Roman" w:eastAsia="MS Mincho" w:hAnsi="Times New Roman" w:cs="Times New Roman"/>
      <w:color w:val="000000"/>
      <w:sz w:val="24"/>
      <w:szCs w:val="24"/>
      <w:lang w:val="en-GB" w:eastAsia="ja-JP"/>
    </w:rPr>
  </w:style>
  <w:style w:type="paragraph" w:customStyle="1" w:styleId="TableLeft">
    <w:name w:val="Table Left"/>
    <w:basedOn w:val="Normal"/>
    <w:link w:val="TableLeftChar"/>
    <w:rsid w:val="00E451EE"/>
    <w:pPr>
      <w:keepNext/>
      <w:tabs>
        <w:tab w:val="clear" w:pos="562"/>
      </w:tabs>
      <w:suppressAutoHyphens w:val="0"/>
      <w:spacing w:before="40" w:after="40" w:line="240" w:lineRule="exact"/>
    </w:pPr>
    <w:rPr>
      <w:rFonts w:eastAsia="Calibri"/>
      <w:sz w:val="20"/>
      <w:szCs w:val="20"/>
      <w:lang w:eastAsia="ja-JP"/>
    </w:rPr>
  </w:style>
  <w:style w:type="paragraph" w:customStyle="1" w:styleId="gtcbodytext">
    <w:name w:val="gtcbodytext"/>
    <w:basedOn w:val="Normal"/>
    <w:rsid w:val="00E451EE"/>
    <w:pPr>
      <w:tabs>
        <w:tab w:val="clear" w:pos="562"/>
      </w:tabs>
      <w:suppressAutoHyphens w:val="0"/>
      <w:spacing w:before="240" w:after="240" w:line="300" w:lineRule="auto"/>
    </w:pPr>
    <w:rPr>
      <w:sz w:val="24"/>
    </w:rPr>
  </w:style>
  <w:style w:type="character" w:customStyle="1" w:styleId="gtcsuperscript">
    <w:name w:val="gtcsuperscript"/>
    <w:basedOn w:val="DefaultParagraphFont"/>
    <w:rsid w:val="00E451EE"/>
  </w:style>
  <w:style w:type="character" w:customStyle="1" w:styleId="gtcbold9">
    <w:name w:val="gtcbold9"/>
    <w:rsid w:val="00E451EE"/>
    <w:rPr>
      <w:b/>
      <w:bCs/>
    </w:rPr>
  </w:style>
  <w:style w:type="paragraph" w:styleId="Bibliography">
    <w:name w:val="Bibliography"/>
    <w:basedOn w:val="Normal"/>
    <w:next w:val="Normal"/>
    <w:uiPriority w:val="37"/>
    <w:semiHidden/>
    <w:unhideWhenUsed/>
    <w:rsid w:val="00E451EE"/>
  </w:style>
  <w:style w:type="paragraph" w:styleId="IntenseQuote">
    <w:name w:val="Intense Quote"/>
    <w:basedOn w:val="Normal"/>
    <w:next w:val="Normal"/>
    <w:link w:val="IntenseQuoteChar"/>
    <w:uiPriority w:val="30"/>
    <w:qFormat/>
    <w:rsid w:val="00E451EE"/>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E451EE"/>
    <w:rPr>
      <w:rFonts w:ascii="Times New Roman" w:eastAsia="Times New Roman" w:hAnsi="Times New Roman" w:cs="Times New Roman"/>
      <w:b/>
      <w:bCs/>
      <w:i/>
      <w:iCs/>
      <w:color w:val="4F81BD"/>
      <w:szCs w:val="24"/>
    </w:rPr>
  </w:style>
  <w:style w:type="paragraph" w:styleId="ListParagraph">
    <w:name w:val="List Paragraph"/>
    <w:basedOn w:val="Normal"/>
    <w:uiPriority w:val="34"/>
    <w:qFormat/>
    <w:rsid w:val="00E451EE"/>
    <w:pPr>
      <w:ind w:left="720"/>
    </w:pPr>
  </w:style>
  <w:style w:type="paragraph" w:styleId="NoSpacing">
    <w:name w:val="No Spacing"/>
    <w:uiPriority w:val="1"/>
    <w:qFormat/>
    <w:rsid w:val="00E451EE"/>
    <w:pPr>
      <w:tabs>
        <w:tab w:val="left" w:pos="562"/>
      </w:tabs>
      <w:suppressAutoHyphens/>
      <w:spacing w:after="0" w:line="240" w:lineRule="auto"/>
    </w:pPr>
    <w:rPr>
      <w:rFonts w:ascii="Times New Roman" w:eastAsia="Times New Roman" w:hAnsi="Times New Roman" w:cs="Times New Roman"/>
      <w:szCs w:val="24"/>
    </w:rPr>
  </w:style>
  <w:style w:type="paragraph" w:styleId="Quote">
    <w:name w:val="Quote"/>
    <w:basedOn w:val="Normal"/>
    <w:next w:val="Normal"/>
    <w:link w:val="QuoteChar"/>
    <w:uiPriority w:val="29"/>
    <w:qFormat/>
    <w:rsid w:val="00E451EE"/>
    <w:rPr>
      <w:i/>
      <w:iCs/>
      <w:color w:val="000000"/>
    </w:rPr>
  </w:style>
  <w:style w:type="character" w:customStyle="1" w:styleId="QuoteChar">
    <w:name w:val="Quote Char"/>
    <w:basedOn w:val="DefaultParagraphFont"/>
    <w:link w:val="Quote"/>
    <w:uiPriority w:val="29"/>
    <w:rsid w:val="00E451EE"/>
    <w:rPr>
      <w:rFonts w:ascii="Times New Roman" w:eastAsia="Times New Roman" w:hAnsi="Times New Roman" w:cs="Times New Roman"/>
      <w:i/>
      <w:iCs/>
      <w:color w:val="000000"/>
      <w:szCs w:val="24"/>
    </w:rPr>
  </w:style>
  <w:style w:type="paragraph" w:styleId="TOCHeading">
    <w:name w:val="TOC Heading"/>
    <w:basedOn w:val="Heading1"/>
    <w:next w:val="Normal"/>
    <w:uiPriority w:val="39"/>
    <w:semiHidden/>
    <w:unhideWhenUsed/>
    <w:qFormat/>
    <w:rsid w:val="00E451EE"/>
    <w:pPr>
      <w:keepNext/>
      <w:spacing w:after="60"/>
      <w:ind w:left="0" w:firstLine="0"/>
      <w:outlineLvl w:val="9"/>
    </w:pPr>
  </w:style>
  <w:style w:type="paragraph" w:customStyle="1" w:styleId="BodytextAgency">
    <w:name w:val="Body text (Agency)"/>
    <w:basedOn w:val="Normal"/>
    <w:link w:val="BodytextAgencyChar"/>
    <w:qFormat/>
    <w:rsid w:val="00E451EE"/>
    <w:pPr>
      <w:tabs>
        <w:tab w:val="clear" w:pos="562"/>
      </w:tabs>
      <w:suppressAutoHyphens w:val="0"/>
      <w:spacing w:after="140" w:line="280" w:lineRule="atLeast"/>
    </w:pPr>
    <w:rPr>
      <w:rFonts w:ascii="Verdana" w:eastAsia="Verdana" w:hAnsi="Verdana"/>
      <w:sz w:val="18"/>
      <w:szCs w:val="18"/>
      <w:lang w:val="x-none" w:eastAsia="x-none"/>
    </w:rPr>
  </w:style>
  <w:style w:type="paragraph" w:customStyle="1" w:styleId="DraftingNotesAgency">
    <w:name w:val="Drafting Notes (Agency)"/>
    <w:basedOn w:val="Normal"/>
    <w:next w:val="BodytextAgency"/>
    <w:link w:val="DraftingNotesAgencyChar"/>
    <w:rsid w:val="00E451EE"/>
    <w:pPr>
      <w:tabs>
        <w:tab w:val="clear" w:pos="562"/>
      </w:tabs>
      <w:suppressAutoHyphens w:val="0"/>
      <w:spacing w:after="140" w:line="280" w:lineRule="atLeast"/>
    </w:pPr>
    <w:rPr>
      <w:rFonts w:ascii="Courier New" w:eastAsia="Verdana" w:hAnsi="Courier New"/>
      <w:i/>
      <w:color w:val="339966"/>
      <w:szCs w:val="18"/>
      <w:lang w:val="x-none" w:eastAsia="x-none"/>
    </w:rPr>
  </w:style>
  <w:style w:type="paragraph" w:customStyle="1" w:styleId="No-numheading3Agency">
    <w:name w:val="No-num heading 3 (Agency)"/>
    <w:basedOn w:val="Normal"/>
    <w:next w:val="BodytextAgency"/>
    <w:link w:val="No-numheading3AgencyChar"/>
    <w:rsid w:val="00E451EE"/>
    <w:pPr>
      <w:keepNext/>
      <w:tabs>
        <w:tab w:val="clear" w:pos="562"/>
      </w:tabs>
      <w:suppressAutoHyphens w:val="0"/>
      <w:spacing w:before="280" w:after="220"/>
      <w:outlineLvl w:val="2"/>
    </w:pPr>
    <w:rPr>
      <w:rFonts w:ascii="Verdana" w:eastAsia="Verdana" w:hAnsi="Verdana"/>
      <w:b/>
      <w:bCs/>
      <w:kern w:val="32"/>
      <w:szCs w:val="22"/>
      <w:lang w:val="x-none" w:eastAsia="x-none"/>
    </w:rPr>
  </w:style>
  <w:style w:type="character" w:customStyle="1" w:styleId="DraftingNotesAgencyChar">
    <w:name w:val="Drafting Notes (Agency) Char"/>
    <w:link w:val="DraftingNotesAgency"/>
    <w:rsid w:val="00E451EE"/>
    <w:rPr>
      <w:rFonts w:ascii="Courier New" w:eastAsia="Verdana" w:hAnsi="Courier New" w:cs="Times New Roman"/>
      <w:i/>
      <w:color w:val="339966"/>
      <w:szCs w:val="18"/>
      <w:lang w:val="x-none" w:eastAsia="x-none"/>
    </w:rPr>
  </w:style>
  <w:style w:type="character" w:customStyle="1" w:styleId="BodytextAgencyChar">
    <w:name w:val="Body text (Agency) Char"/>
    <w:link w:val="BodytextAgency"/>
    <w:rsid w:val="00E451EE"/>
    <w:rPr>
      <w:rFonts w:ascii="Verdana" w:eastAsia="Verdana" w:hAnsi="Verdana" w:cs="Times New Roman"/>
      <w:sz w:val="18"/>
      <w:szCs w:val="18"/>
      <w:lang w:val="x-none" w:eastAsia="x-none"/>
    </w:rPr>
  </w:style>
  <w:style w:type="character" w:customStyle="1" w:styleId="No-numheading3AgencyChar">
    <w:name w:val="No-num heading 3 (Agency) Char"/>
    <w:link w:val="No-numheading3Agency"/>
    <w:rsid w:val="00E451EE"/>
    <w:rPr>
      <w:rFonts w:ascii="Verdana" w:eastAsia="Verdana" w:hAnsi="Verdana" w:cs="Times New Roman"/>
      <w:b/>
      <w:bCs/>
      <w:kern w:val="32"/>
      <w:lang w:val="x-none" w:eastAsia="x-none"/>
    </w:rPr>
  </w:style>
  <w:style w:type="paragraph" w:customStyle="1" w:styleId="TableTitle">
    <w:name w:val="Table Title"/>
    <w:next w:val="TableLeft"/>
    <w:rsid w:val="00E451EE"/>
    <w:pPr>
      <w:keepNext/>
      <w:keepLines/>
      <w:tabs>
        <w:tab w:val="left" w:pos="1728"/>
      </w:tabs>
      <w:spacing w:after="240" w:line="280" w:lineRule="exact"/>
      <w:ind w:left="1728" w:hanging="1728"/>
    </w:pPr>
    <w:rPr>
      <w:rFonts w:ascii="Times New Roman" w:eastAsia="MS Mincho" w:hAnsi="Times New Roman" w:cs="Times New Roman"/>
      <w:b/>
      <w:bCs/>
      <w:sz w:val="24"/>
      <w:szCs w:val="24"/>
      <w:lang w:eastAsia="ja-JP"/>
    </w:rPr>
  </w:style>
  <w:style w:type="paragraph" w:styleId="Revision">
    <w:name w:val="Revision"/>
    <w:hidden/>
    <w:uiPriority w:val="99"/>
    <w:semiHidden/>
    <w:rsid w:val="00E451EE"/>
    <w:pPr>
      <w:spacing w:after="0" w:line="240" w:lineRule="auto"/>
    </w:pPr>
    <w:rPr>
      <w:rFonts w:ascii="Times New Roman" w:eastAsia="Times New Roman" w:hAnsi="Times New Roman" w:cs="Times New Roman"/>
      <w:szCs w:val="24"/>
    </w:rPr>
  </w:style>
  <w:style w:type="paragraph" w:customStyle="1" w:styleId="TableFootnoteLetter">
    <w:name w:val="Table Footnote Letter"/>
    <w:rsid w:val="00E451EE"/>
    <w:pPr>
      <w:keepLines/>
      <w:numPr>
        <w:numId w:val="46"/>
      </w:numPr>
      <w:spacing w:before="40" w:after="0" w:line="240" w:lineRule="exact"/>
    </w:pPr>
    <w:rPr>
      <w:rFonts w:ascii="Verdana" w:eastAsia="MS Mincho" w:hAnsi="Verdana" w:cs="Times New Roman"/>
      <w:sz w:val="16"/>
      <w:szCs w:val="18"/>
      <w:lang w:eastAsia="ja-JP"/>
    </w:rPr>
  </w:style>
  <w:style w:type="paragraph" w:customStyle="1" w:styleId="Paragraph">
    <w:name w:val="Paragraph"/>
    <w:link w:val="ParagraphChar"/>
    <w:qFormat/>
    <w:rsid w:val="00E451EE"/>
    <w:pPr>
      <w:spacing w:after="240" w:line="360" w:lineRule="exact"/>
    </w:pPr>
    <w:rPr>
      <w:rFonts w:ascii="Times New Roman" w:eastAsia="MS Mincho" w:hAnsi="Times New Roman" w:cs="Times New Roman"/>
      <w:sz w:val="24"/>
      <w:szCs w:val="24"/>
      <w:lang w:eastAsia="ja-JP"/>
    </w:rPr>
  </w:style>
  <w:style w:type="paragraph" w:customStyle="1" w:styleId="gtctabletitleotherwise">
    <w:name w:val="gtctabletitleotherwise"/>
    <w:basedOn w:val="Normal"/>
    <w:rsid w:val="00E451EE"/>
    <w:pPr>
      <w:tabs>
        <w:tab w:val="clear" w:pos="562"/>
      </w:tabs>
      <w:suppressAutoHyphens w:val="0"/>
      <w:spacing w:before="120"/>
      <w:jc w:val="center"/>
    </w:pPr>
    <w:rPr>
      <w:b/>
      <w:bCs/>
      <w:sz w:val="24"/>
    </w:rPr>
  </w:style>
  <w:style w:type="paragraph" w:customStyle="1" w:styleId="gtctablespacebefore">
    <w:name w:val="gtctablespacebefore"/>
    <w:basedOn w:val="Normal"/>
    <w:rsid w:val="00E451EE"/>
    <w:pPr>
      <w:tabs>
        <w:tab w:val="clear" w:pos="562"/>
      </w:tabs>
      <w:suppressAutoHyphens w:val="0"/>
      <w:spacing w:before="300"/>
    </w:pPr>
    <w:rPr>
      <w:sz w:val="2"/>
      <w:szCs w:val="2"/>
    </w:rPr>
  </w:style>
  <w:style w:type="paragraph" w:customStyle="1" w:styleId="gtctablespaceafter">
    <w:name w:val="gtctablespaceafter"/>
    <w:basedOn w:val="Normal"/>
    <w:rsid w:val="00E451EE"/>
    <w:pPr>
      <w:tabs>
        <w:tab w:val="clear" w:pos="562"/>
      </w:tabs>
      <w:suppressAutoHyphens w:val="0"/>
      <w:spacing w:after="280"/>
    </w:pPr>
    <w:rPr>
      <w:sz w:val="2"/>
      <w:szCs w:val="2"/>
    </w:rPr>
  </w:style>
  <w:style w:type="paragraph" w:customStyle="1" w:styleId="BodyText10">
    <w:name w:val="Body Text1_0"/>
    <w:rsid w:val="00E451EE"/>
    <w:pPr>
      <w:tabs>
        <w:tab w:val="left" w:pos="1152"/>
        <w:tab w:val="left" w:pos="1872"/>
      </w:tabs>
      <w:overflowPunct w:val="0"/>
      <w:autoSpaceDE w:val="0"/>
      <w:autoSpaceDN w:val="0"/>
      <w:adjustRightInd w:val="0"/>
      <w:spacing w:after="240" w:line="288" w:lineRule="auto"/>
      <w:ind w:left="1151"/>
      <w:jc w:val="both"/>
      <w:textAlignment w:val="baseline"/>
    </w:pPr>
    <w:rPr>
      <w:rFonts w:ascii="Times New Roman" w:eastAsia="Times New Roman" w:hAnsi="Times New Roman" w:cs="Times New Roman"/>
      <w:sz w:val="24"/>
      <w:szCs w:val="20"/>
    </w:rPr>
  </w:style>
  <w:style w:type="character" w:styleId="Emphasis">
    <w:name w:val="Emphasis"/>
    <w:qFormat/>
    <w:rsid w:val="00E451EE"/>
    <w:rPr>
      <w:i/>
      <w:iCs/>
    </w:rPr>
  </w:style>
  <w:style w:type="numbering" w:customStyle="1" w:styleId="NoList1">
    <w:name w:val="No List1"/>
    <w:next w:val="NoList"/>
    <w:uiPriority w:val="99"/>
    <w:semiHidden/>
    <w:rsid w:val="00BC0E7E"/>
  </w:style>
  <w:style w:type="paragraph" w:customStyle="1" w:styleId="BodyText20">
    <w:name w:val="Body Text2"/>
    <w:rsid w:val="00BC0E7E"/>
    <w:pPr>
      <w:tabs>
        <w:tab w:val="left" w:pos="1152"/>
        <w:tab w:val="left" w:pos="1872"/>
      </w:tabs>
      <w:overflowPunct w:val="0"/>
      <w:autoSpaceDE w:val="0"/>
      <w:autoSpaceDN w:val="0"/>
      <w:adjustRightInd w:val="0"/>
      <w:spacing w:after="240" w:line="288" w:lineRule="auto"/>
      <w:ind w:left="1151"/>
      <w:jc w:val="both"/>
      <w:textAlignment w:val="baseline"/>
    </w:pPr>
    <w:rPr>
      <w:rFonts w:ascii="Times New Roman" w:eastAsia="Times New Roman" w:hAnsi="Times New Roman" w:cs="Times New Roman"/>
      <w:sz w:val="24"/>
      <w:szCs w:val="20"/>
    </w:rPr>
  </w:style>
  <w:style w:type="table" w:customStyle="1" w:styleId="TableGrid1">
    <w:name w:val="Table Grid1"/>
    <w:basedOn w:val="TableNormal"/>
    <w:next w:val="TableGrid"/>
    <w:rsid w:val="00BC0E7E"/>
    <w:pPr>
      <w:tabs>
        <w:tab w:val="left" w:pos="562"/>
      </w:tabs>
      <w:suppressAutoHyphens/>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LeftChar">
    <w:name w:val="Table Left Char"/>
    <w:link w:val="TableLeft"/>
    <w:locked/>
    <w:rsid w:val="00AB3BE8"/>
    <w:rPr>
      <w:rFonts w:ascii="Times New Roman" w:eastAsia="Calibri" w:hAnsi="Times New Roman" w:cs="Times New Roman"/>
      <w:sz w:val="20"/>
      <w:szCs w:val="20"/>
      <w:lang w:eastAsia="ja-JP"/>
    </w:rPr>
  </w:style>
  <w:style w:type="paragraph" w:customStyle="1" w:styleId="BodyText30">
    <w:name w:val="Body Text3"/>
    <w:rsid w:val="00AB3BE8"/>
    <w:pPr>
      <w:tabs>
        <w:tab w:val="left" w:pos="1152"/>
        <w:tab w:val="left" w:pos="1872"/>
      </w:tabs>
      <w:overflowPunct w:val="0"/>
      <w:autoSpaceDE w:val="0"/>
      <w:autoSpaceDN w:val="0"/>
      <w:adjustRightInd w:val="0"/>
      <w:spacing w:after="240" w:line="288" w:lineRule="auto"/>
      <w:ind w:left="1151"/>
      <w:jc w:val="both"/>
      <w:textAlignment w:val="baseline"/>
    </w:pPr>
    <w:rPr>
      <w:rFonts w:ascii="Times New Roman" w:eastAsia="Times New Roman" w:hAnsi="Times New Roman" w:cs="Times New Roman"/>
      <w:sz w:val="24"/>
      <w:szCs w:val="20"/>
    </w:rPr>
  </w:style>
  <w:style w:type="paragraph" w:customStyle="1" w:styleId="BodyText11">
    <w:name w:val="Body Text11"/>
    <w:rsid w:val="00120D45"/>
    <w:pPr>
      <w:tabs>
        <w:tab w:val="left" w:pos="1152"/>
        <w:tab w:val="left" w:pos="1872"/>
      </w:tabs>
      <w:overflowPunct w:val="0"/>
      <w:autoSpaceDE w:val="0"/>
      <w:autoSpaceDN w:val="0"/>
      <w:adjustRightInd w:val="0"/>
      <w:spacing w:after="240" w:line="288" w:lineRule="auto"/>
      <w:ind w:left="1151"/>
      <w:jc w:val="both"/>
      <w:textAlignment w:val="baseline"/>
    </w:pPr>
    <w:rPr>
      <w:rFonts w:ascii="Times New Roman" w:eastAsia="Times New Roman" w:hAnsi="Times New Roman" w:cs="Times New Roman"/>
      <w:sz w:val="24"/>
      <w:szCs w:val="20"/>
    </w:rPr>
  </w:style>
  <w:style w:type="character" w:customStyle="1" w:styleId="A2">
    <w:name w:val="A2"/>
    <w:uiPriority w:val="99"/>
    <w:rsid w:val="00120D45"/>
    <w:rPr>
      <w:rFonts w:cs="OPGRL J+ Helvetica Neue LT Std"/>
      <w:color w:val="404041"/>
      <w:sz w:val="20"/>
      <w:szCs w:val="20"/>
    </w:rPr>
  </w:style>
  <w:style w:type="character" w:customStyle="1" w:styleId="ParagraphChar">
    <w:name w:val="Paragraph Char"/>
    <w:link w:val="Paragraph"/>
    <w:locked/>
    <w:rsid w:val="00051C15"/>
    <w:rPr>
      <w:rFonts w:ascii="Times New Roman" w:eastAsia="MS Mincho" w:hAnsi="Times New Roman" w:cs="Times New Roman"/>
      <w:sz w:val="24"/>
      <w:szCs w:val="24"/>
      <w:lang w:eastAsia="ja-JP"/>
    </w:rPr>
  </w:style>
  <w:style w:type="character" w:customStyle="1" w:styleId="Mention1">
    <w:name w:val="Mention1"/>
    <w:basedOn w:val="DefaultParagraphFont"/>
    <w:uiPriority w:val="99"/>
    <w:unhideWhenUsed/>
    <w:rsid w:val="00D67BDC"/>
    <w:rPr>
      <w:color w:val="2B579A"/>
      <w:shd w:val="clear" w:color="auto" w:fill="E1DFDD"/>
    </w:rPr>
  </w:style>
  <w:style w:type="character" w:customStyle="1" w:styleId="normaltextrun">
    <w:name w:val="normaltextrun"/>
    <w:basedOn w:val="DefaultParagraphFont"/>
    <w:rsid w:val="005A3B69"/>
  </w:style>
  <w:style w:type="character" w:customStyle="1" w:styleId="UnresolvedMention1">
    <w:name w:val="Unresolved Mention1"/>
    <w:basedOn w:val="DefaultParagraphFont"/>
    <w:uiPriority w:val="99"/>
    <w:unhideWhenUsed/>
    <w:rsid w:val="00F257F9"/>
    <w:rPr>
      <w:color w:val="605E5C"/>
      <w:shd w:val="clear" w:color="auto" w:fill="E1DFDD"/>
    </w:rPr>
  </w:style>
  <w:style w:type="paragraph" w:customStyle="1" w:styleId="paragraph0">
    <w:name w:val="paragraph"/>
    <w:basedOn w:val="Normal"/>
    <w:rsid w:val="004C6CFC"/>
    <w:pPr>
      <w:tabs>
        <w:tab w:val="clear" w:pos="562"/>
      </w:tabs>
      <w:suppressAutoHyphens w:val="0"/>
      <w:spacing w:before="100" w:beforeAutospacing="1" w:after="100" w:afterAutospacing="1"/>
    </w:pPr>
    <w:rPr>
      <w:sz w:val="24"/>
      <w:lang w:val="en-US"/>
    </w:rPr>
  </w:style>
  <w:style w:type="character" w:customStyle="1" w:styleId="spellingerror">
    <w:name w:val="spellingerror"/>
    <w:basedOn w:val="DefaultParagraphFont"/>
    <w:rsid w:val="004C6CFC"/>
  </w:style>
  <w:style w:type="character" w:customStyle="1" w:styleId="eop">
    <w:name w:val="eop"/>
    <w:basedOn w:val="DefaultParagraphFont"/>
    <w:rsid w:val="004C6CFC"/>
  </w:style>
  <w:style w:type="character" w:customStyle="1" w:styleId="advancedproofingissue">
    <w:name w:val="advancedproofingissue"/>
    <w:basedOn w:val="DefaultParagraphFont"/>
    <w:rsid w:val="007A511E"/>
  </w:style>
  <w:style w:type="character" w:customStyle="1" w:styleId="contextualspellingandgrammarerror">
    <w:name w:val="contextualspellingandgrammarerror"/>
    <w:basedOn w:val="DefaultParagraphFont"/>
    <w:rsid w:val="005B4047"/>
  </w:style>
  <w:style w:type="paragraph" w:customStyle="1" w:styleId="EMEAEnBodyText">
    <w:name w:val="EMEA En Body Text"/>
    <w:basedOn w:val="Normal"/>
    <w:rsid w:val="00AA4A2A"/>
    <w:pPr>
      <w:tabs>
        <w:tab w:val="clear" w:pos="562"/>
      </w:tabs>
      <w:suppressAutoHyphens w:val="0"/>
      <w:spacing w:before="120" w:after="120"/>
      <w:jc w:val="both"/>
    </w:pPr>
    <w:rPr>
      <w:szCs w:val="20"/>
      <w:lang w:val="en-US"/>
    </w:rPr>
  </w:style>
  <w:style w:type="character" w:customStyle="1" w:styleId="UnresolvedMention2">
    <w:name w:val="Unresolved Mention2"/>
    <w:basedOn w:val="DefaultParagraphFont"/>
    <w:rsid w:val="008F274C"/>
    <w:rPr>
      <w:color w:val="605E5C"/>
      <w:shd w:val="clear" w:color="auto" w:fill="E1DFDD"/>
    </w:rPr>
  </w:style>
  <w:style w:type="character" w:customStyle="1" w:styleId="Mention2">
    <w:name w:val="Mention2"/>
    <w:basedOn w:val="DefaultParagraphFont"/>
    <w:rsid w:val="00F63E9D"/>
    <w:rPr>
      <w:color w:val="2B579A"/>
      <w:shd w:val="clear" w:color="auto" w:fill="E1DFDD"/>
    </w:rPr>
  </w:style>
  <w:style w:type="character" w:styleId="UnresolvedMention">
    <w:name w:val="Unresolved Mention"/>
    <w:basedOn w:val="DefaultParagraphFont"/>
    <w:rsid w:val="00EA52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image" Target="media/image8.jpeg"/><Relationship Id="rId42" Type="http://schemas.openxmlformats.org/officeDocument/2006/relationships/image" Target="media/image25.emf"/><Relationship Id="rId47" Type="http://schemas.openxmlformats.org/officeDocument/2006/relationships/image" Target="media/image29.emf"/><Relationship Id="rId63" Type="http://schemas.openxmlformats.org/officeDocument/2006/relationships/image" Target="media/image42.emf"/><Relationship Id="rId68" Type="http://schemas.openxmlformats.org/officeDocument/2006/relationships/image" Target="media/image47.emf"/><Relationship Id="rId84" Type="http://schemas.openxmlformats.org/officeDocument/2006/relationships/image" Target="media/image55.jpeg"/><Relationship Id="rId89" Type="http://schemas.openxmlformats.org/officeDocument/2006/relationships/customXml" Target="../customXml/item5.xml"/><Relationship Id="rId16" Type="http://schemas.openxmlformats.org/officeDocument/2006/relationships/image" Target="media/image3.jpeg"/><Relationship Id="rId11" Type="http://schemas.openxmlformats.org/officeDocument/2006/relationships/hyperlink" Target="https://www.ema.europa.eu/en/medicines/human/EPAR/Humira" TargetMode="External"/><Relationship Id="rId32" Type="http://schemas.openxmlformats.org/officeDocument/2006/relationships/image" Target="media/image15.jpeg"/><Relationship Id="rId37" Type="http://schemas.openxmlformats.org/officeDocument/2006/relationships/image" Target="media/image20.emf"/><Relationship Id="rId53" Type="http://schemas.openxmlformats.org/officeDocument/2006/relationships/image" Target="media/image35.emf"/><Relationship Id="rId58" Type="http://schemas.openxmlformats.org/officeDocument/2006/relationships/oleObject" Target="embeddings/oleObject2.bin"/><Relationship Id="rId74" Type="http://schemas.openxmlformats.org/officeDocument/2006/relationships/image" Target="media/image49.jpeg"/><Relationship Id="rId79" Type="http://schemas.openxmlformats.org/officeDocument/2006/relationships/image" Target="media/image54.jpeg"/><Relationship Id="rId5" Type="http://schemas.openxmlformats.org/officeDocument/2006/relationships/numbering" Target="numbering.xml"/><Relationship Id="rId14" Type="http://schemas.openxmlformats.org/officeDocument/2006/relationships/image" Target="media/image1.jpe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emf"/><Relationship Id="rId43" Type="http://schemas.openxmlformats.org/officeDocument/2006/relationships/image" Target="media/image26.png"/><Relationship Id="rId48" Type="http://schemas.openxmlformats.org/officeDocument/2006/relationships/image" Target="media/image30.emf"/><Relationship Id="rId56" Type="http://schemas.openxmlformats.org/officeDocument/2006/relationships/oleObject" Target="embeddings/oleObject1.bin"/><Relationship Id="rId64" Type="http://schemas.openxmlformats.org/officeDocument/2006/relationships/image" Target="media/image43.emf"/><Relationship Id="rId69" Type="http://schemas.openxmlformats.org/officeDocument/2006/relationships/hyperlink" Target="http://en.wikipedia.org/wiki/Inframammary_fold" TargetMode="External"/><Relationship Id="rId77" Type="http://schemas.openxmlformats.org/officeDocument/2006/relationships/image" Target="media/image52.jpeg"/><Relationship Id="rId8" Type="http://schemas.openxmlformats.org/officeDocument/2006/relationships/webSettings" Target="webSettings.xml"/><Relationship Id="rId51" Type="http://schemas.openxmlformats.org/officeDocument/2006/relationships/image" Target="media/image33.emf"/><Relationship Id="rId72" Type="http://schemas.openxmlformats.org/officeDocument/2006/relationships/hyperlink" Target="http://www.ema.europa.eu/docs/en_GB/document_library/Template_or_form/2013/03/WC500139752.doc" TargetMode="External"/><Relationship Id="rId80" Type="http://schemas.openxmlformats.org/officeDocument/2006/relationships/hyperlink" Target="http://en.wikipedia.org/wiki/Inframammary_fold" TargetMode="External"/><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ema.europa.eu/en/medicines/human/EPAR/Humira" TargetMode="External"/><Relationship Id="rId17" Type="http://schemas.openxmlformats.org/officeDocument/2006/relationships/image" Target="media/image4.jpeg"/><Relationship Id="rId25" Type="http://schemas.openxmlformats.org/officeDocument/2006/relationships/hyperlink" Target="http://www.ema.europa.eu/docs/en_GB/document_library/Template_or_form/2013/03/WC500139752.doc" TargetMode="External"/><Relationship Id="rId33" Type="http://schemas.openxmlformats.org/officeDocument/2006/relationships/image" Target="media/image16.jpeg"/><Relationship Id="rId38" Type="http://schemas.openxmlformats.org/officeDocument/2006/relationships/image" Target="media/image21.emf"/><Relationship Id="rId46" Type="http://schemas.openxmlformats.org/officeDocument/2006/relationships/image" Target="media/image28.emf"/><Relationship Id="rId59" Type="http://schemas.openxmlformats.org/officeDocument/2006/relationships/image" Target="media/image39.png"/><Relationship Id="rId67" Type="http://schemas.openxmlformats.org/officeDocument/2006/relationships/image" Target="media/image46.emf"/><Relationship Id="rId20" Type="http://schemas.openxmlformats.org/officeDocument/2006/relationships/image" Target="media/image7.jpeg"/><Relationship Id="rId41" Type="http://schemas.openxmlformats.org/officeDocument/2006/relationships/image" Target="media/image24.emf"/><Relationship Id="rId54" Type="http://schemas.openxmlformats.org/officeDocument/2006/relationships/image" Target="media/image36.emf"/><Relationship Id="rId62" Type="http://schemas.openxmlformats.org/officeDocument/2006/relationships/image" Target="media/image41.emf"/><Relationship Id="rId70" Type="http://schemas.openxmlformats.org/officeDocument/2006/relationships/hyperlink" Target="http://www.ema.europa.eu/docs/en_GB/document_library/Template_or_form/2013/03/WC500139752.doc" TargetMode="External"/><Relationship Id="rId75" Type="http://schemas.openxmlformats.org/officeDocument/2006/relationships/image" Target="media/image50.jpeg"/><Relationship Id="rId83" Type="http://schemas.openxmlformats.org/officeDocument/2006/relationships/hyperlink" Target="http://www.ema.europa.eu/docs/en_GB/document_library/Template_or_form/2013/03/WC500139752.doc"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11.jpeg"/><Relationship Id="rId36" Type="http://schemas.openxmlformats.org/officeDocument/2006/relationships/image" Target="media/image19.emf"/><Relationship Id="rId49" Type="http://schemas.openxmlformats.org/officeDocument/2006/relationships/image" Target="media/image31.emf"/><Relationship Id="rId57" Type="http://schemas.openxmlformats.org/officeDocument/2006/relationships/image" Target="media/image38.png"/><Relationship Id="rId10" Type="http://schemas.openxmlformats.org/officeDocument/2006/relationships/endnotes" Target="endnotes.xml"/><Relationship Id="rId31" Type="http://schemas.openxmlformats.org/officeDocument/2006/relationships/image" Target="media/image14.jpeg"/><Relationship Id="rId44" Type="http://schemas.openxmlformats.org/officeDocument/2006/relationships/image" Target="cid:image002.png@01CE039B.D501EB10" TargetMode="External"/><Relationship Id="rId52" Type="http://schemas.openxmlformats.org/officeDocument/2006/relationships/image" Target="media/image34.emf"/><Relationship Id="rId60" Type="http://schemas.openxmlformats.org/officeDocument/2006/relationships/oleObject" Target="embeddings/oleObject3.bin"/><Relationship Id="rId65" Type="http://schemas.openxmlformats.org/officeDocument/2006/relationships/image" Target="media/image44.emf"/><Relationship Id="rId73" Type="http://schemas.openxmlformats.org/officeDocument/2006/relationships/image" Target="media/image48.jpeg"/><Relationship Id="rId78" Type="http://schemas.openxmlformats.org/officeDocument/2006/relationships/image" Target="media/image53.jpeg"/><Relationship Id="rId81" Type="http://schemas.openxmlformats.org/officeDocument/2006/relationships/hyperlink" Target="http://www.ema.europa.eu/docs/en_GB/document_library/Template_or_form/2013/03/WC500139752.doc" TargetMode="Externa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5.jpeg"/><Relationship Id="rId39" Type="http://schemas.openxmlformats.org/officeDocument/2006/relationships/image" Target="media/image22.emf"/><Relationship Id="rId34" Type="http://schemas.openxmlformats.org/officeDocument/2006/relationships/image" Target="media/image17.emf"/><Relationship Id="rId50" Type="http://schemas.openxmlformats.org/officeDocument/2006/relationships/image" Target="media/image32.emf"/><Relationship Id="rId55" Type="http://schemas.openxmlformats.org/officeDocument/2006/relationships/image" Target="media/image37.png"/><Relationship Id="rId76" Type="http://schemas.openxmlformats.org/officeDocument/2006/relationships/image" Target="media/image51.jpeg"/><Relationship Id="rId7" Type="http://schemas.openxmlformats.org/officeDocument/2006/relationships/settings" Target="settings.xml"/><Relationship Id="rId71"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29" Type="http://schemas.openxmlformats.org/officeDocument/2006/relationships/image" Target="media/image12.jpeg"/><Relationship Id="rId24" Type="http://schemas.openxmlformats.org/officeDocument/2006/relationships/hyperlink" Target="http://www.ema.europa.eu/docs/en_GB/document_library/Template_or_form/2013/03/WC500139752.doc" TargetMode="External"/><Relationship Id="rId40" Type="http://schemas.openxmlformats.org/officeDocument/2006/relationships/image" Target="media/image23.emf"/><Relationship Id="rId45" Type="http://schemas.openxmlformats.org/officeDocument/2006/relationships/image" Target="media/image27.emf"/><Relationship Id="rId66" Type="http://schemas.openxmlformats.org/officeDocument/2006/relationships/image" Target="media/image45.emf"/><Relationship Id="rId87" Type="http://schemas.microsoft.com/office/2011/relationships/people" Target="people.xml"/><Relationship Id="rId61" Type="http://schemas.openxmlformats.org/officeDocument/2006/relationships/image" Target="media/image40.emf"/><Relationship Id="rId82"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EMADOC-1700519818-2508140</_dlc_DocId>
    <_dlc_DocIdUrl xmlns="a034c160-bfb7-45f5-8632-2eb7e0508071">
      <Url>https://euema.sharepoint.com/sites/CRM/_layouts/15/DocIdRedir.aspx?ID=EMADOC-1700519818-2508140</Url>
      <Description>EMADOC-1700519818-2508140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9845AB-BFFC-46D7-8238-21260FC3AA05}">
  <ds:schemaRefs>
    <ds:schemaRef ds:uri="http://schemas.microsoft.com/sharepoint/v3/contenttype/forms"/>
  </ds:schemaRefs>
</ds:datastoreItem>
</file>

<file path=customXml/itemProps2.xml><?xml version="1.0" encoding="utf-8"?>
<ds:datastoreItem xmlns:ds="http://schemas.openxmlformats.org/officeDocument/2006/customXml" ds:itemID="{2B9C5632-E122-45B5-8E80-62D03200CFE8}">
  <ds:schemaRefs>
    <ds:schemaRef ds:uri="http://schemas.openxmlformats.org/officeDocument/2006/bibliography"/>
  </ds:schemaRefs>
</ds:datastoreItem>
</file>

<file path=customXml/itemProps3.xml><?xml version="1.0" encoding="utf-8"?>
<ds:datastoreItem xmlns:ds="http://schemas.openxmlformats.org/officeDocument/2006/customXml" ds:itemID="{431EDA0D-6B25-4A46-83B2-999EFC31F0B4}"/>
</file>

<file path=customXml/itemProps4.xml><?xml version="1.0" encoding="utf-8"?>
<ds:datastoreItem xmlns:ds="http://schemas.openxmlformats.org/officeDocument/2006/customXml" ds:itemID="{B788CC5B-6745-45F2-BEE7-56009F78FD2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44F4D56-73EC-4DD6-90B9-FCF78FFC6900}"/>
</file>

<file path=docProps/app.xml><?xml version="1.0" encoding="utf-8"?>
<Properties xmlns="http://schemas.openxmlformats.org/officeDocument/2006/extended-properties" xmlns:vt="http://schemas.openxmlformats.org/officeDocument/2006/docPropsVTypes">
  <Template>Normal</Template>
  <TotalTime>570</TotalTime>
  <Pages>481</Pages>
  <Words>148951</Words>
  <Characters>849022</Characters>
  <Application>Microsoft Office Word</Application>
  <DocSecurity>0</DocSecurity>
  <Lines>7075</Lines>
  <Paragraphs>1991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Humira: EPAR – Product information - tracked changes</vt:lpstr>
      <vt:lpstr>Humira, INN-adalimumab;</vt:lpstr>
    </vt:vector>
  </TitlesOfParts>
  <Company>AbbVie</Company>
  <LinksUpToDate>false</LinksUpToDate>
  <CharactersWithSpaces>995982</CharactersWithSpaces>
  <SharedDoc>false</SharedDoc>
  <HLinks>
    <vt:vector size="132" baseType="variant">
      <vt:variant>
        <vt:i4>3801208</vt:i4>
      </vt:variant>
      <vt:variant>
        <vt:i4>111</vt:i4>
      </vt:variant>
      <vt:variant>
        <vt:i4>0</vt:i4>
      </vt:variant>
      <vt:variant>
        <vt:i4>5</vt:i4>
      </vt:variant>
      <vt:variant>
        <vt:lpwstr>https://www.ema.europa.eu/</vt:lpwstr>
      </vt:variant>
      <vt:variant>
        <vt:lpwstr/>
      </vt:variant>
      <vt:variant>
        <vt:i4>2359399</vt:i4>
      </vt:variant>
      <vt:variant>
        <vt:i4>107</vt:i4>
      </vt:variant>
      <vt:variant>
        <vt:i4>0</vt:i4>
      </vt:variant>
      <vt:variant>
        <vt:i4>5</vt:i4>
      </vt:variant>
      <vt:variant>
        <vt:lpwstr>http://www.ema.europa.eu/docs/en_GB/document_library/Template_or_form/2013/03/WC500139752.doc</vt:lpwstr>
      </vt:variant>
      <vt:variant>
        <vt:lpwstr/>
      </vt:variant>
      <vt:variant>
        <vt:i4>2359399</vt:i4>
      </vt:variant>
      <vt:variant>
        <vt:i4>105</vt:i4>
      </vt:variant>
      <vt:variant>
        <vt:i4>0</vt:i4>
      </vt:variant>
      <vt:variant>
        <vt:i4>5</vt:i4>
      </vt:variant>
      <vt:variant>
        <vt:lpwstr>http://www.ema.europa.eu/docs/en_GB/document_library/Template_or_form/2013/03/WC500139752.doc</vt:lpwstr>
      </vt:variant>
      <vt:variant>
        <vt:lpwstr/>
      </vt:variant>
      <vt:variant>
        <vt:i4>3801208</vt:i4>
      </vt:variant>
      <vt:variant>
        <vt:i4>102</vt:i4>
      </vt:variant>
      <vt:variant>
        <vt:i4>0</vt:i4>
      </vt:variant>
      <vt:variant>
        <vt:i4>5</vt:i4>
      </vt:variant>
      <vt:variant>
        <vt:lpwstr>https://www.ema.europa.eu/</vt:lpwstr>
      </vt:variant>
      <vt:variant>
        <vt:lpwstr/>
      </vt:variant>
      <vt:variant>
        <vt:i4>2359399</vt:i4>
      </vt:variant>
      <vt:variant>
        <vt:i4>99</vt:i4>
      </vt:variant>
      <vt:variant>
        <vt:i4>0</vt:i4>
      </vt:variant>
      <vt:variant>
        <vt:i4>5</vt:i4>
      </vt:variant>
      <vt:variant>
        <vt:lpwstr>http://www.ema.europa.eu/docs/en_GB/document_library/Template_or_form/2013/03/WC500139752.doc</vt:lpwstr>
      </vt:variant>
      <vt:variant>
        <vt:lpwstr/>
      </vt:variant>
      <vt:variant>
        <vt:i4>5963835</vt:i4>
      </vt:variant>
      <vt:variant>
        <vt:i4>96</vt:i4>
      </vt:variant>
      <vt:variant>
        <vt:i4>0</vt:i4>
      </vt:variant>
      <vt:variant>
        <vt:i4>5</vt:i4>
      </vt:variant>
      <vt:variant>
        <vt:lpwstr>http://en.wikipedia.org/wiki/Inframammary_fold</vt:lpwstr>
      </vt:variant>
      <vt:variant>
        <vt:lpwstr/>
      </vt:variant>
      <vt:variant>
        <vt:i4>3801208</vt:i4>
      </vt:variant>
      <vt:variant>
        <vt:i4>93</vt:i4>
      </vt:variant>
      <vt:variant>
        <vt:i4>0</vt:i4>
      </vt:variant>
      <vt:variant>
        <vt:i4>5</vt:i4>
      </vt:variant>
      <vt:variant>
        <vt:lpwstr>https://www.ema.europa.eu/</vt:lpwstr>
      </vt:variant>
      <vt:variant>
        <vt:lpwstr/>
      </vt:variant>
      <vt:variant>
        <vt:i4>2359399</vt:i4>
      </vt:variant>
      <vt:variant>
        <vt:i4>89</vt:i4>
      </vt:variant>
      <vt:variant>
        <vt:i4>0</vt:i4>
      </vt:variant>
      <vt:variant>
        <vt:i4>5</vt:i4>
      </vt:variant>
      <vt:variant>
        <vt:lpwstr>http://www.ema.europa.eu/docs/en_GB/document_library/Template_or_form/2013/03/WC500139752.doc</vt:lpwstr>
      </vt:variant>
      <vt:variant>
        <vt:lpwstr/>
      </vt:variant>
      <vt:variant>
        <vt:i4>2359399</vt:i4>
      </vt:variant>
      <vt:variant>
        <vt:i4>87</vt:i4>
      </vt:variant>
      <vt:variant>
        <vt:i4>0</vt:i4>
      </vt:variant>
      <vt:variant>
        <vt:i4>5</vt:i4>
      </vt:variant>
      <vt:variant>
        <vt:lpwstr>http://www.ema.europa.eu/docs/en_GB/document_library/Template_or_form/2013/03/WC500139752.doc</vt:lpwstr>
      </vt:variant>
      <vt:variant>
        <vt:lpwstr/>
      </vt:variant>
      <vt:variant>
        <vt:i4>3801208</vt:i4>
      </vt:variant>
      <vt:variant>
        <vt:i4>84</vt:i4>
      </vt:variant>
      <vt:variant>
        <vt:i4>0</vt:i4>
      </vt:variant>
      <vt:variant>
        <vt:i4>5</vt:i4>
      </vt:variant>
      <vt:variant>
        <vt:lpwstr>https://www.ema.europa.eu/</vt:lpwstr>
      </vt:variant>
      <vt:variant>
        <vt:lpwstr/>
      </vt:variant>
      <vt:variant>
        <vt:i4>2359399</vt:i4>
      </vt:variant>
      <vt:variant>
        <vt:i4>81</vt:i4>
      </vt:variant>
      <vt:variant>
        <vt:i4>0</vt:i4>
      </vt:variant>
      <vt:variant>
        <vt:i4>5</vt:i4>
      </vt:variant>
      <vt:variant>
        <vt:lpwstr>http://www.ema.europa.eu/docs/en_GB/document_library/Template_or_form/2013/03/WC500139752.doc</vt:lpwstr>
      </vt:variant>
      <vt:variant>
        <vt:lpwstr/>
      </vt:variant>
      <vt:variant>
        <vt:i4>5963835</vt:i4>
      </vt:variant>
      <vt:variant>
        <vt:i4>78</vt:i4>
      </vt:variant>
      <vt:variant>
        <vt:i4>0</vt:i4>
      </vt:variant>
      <vt:variant>
        <vt:i4>5</vt:i4>
      </vt:variant>
      <vt:variant>
        <vt:lpwstr>http://en.wikipedia.org/wiki/Inframammary_fold</vt:lpwstr>
      </vt:variant>
      <vt:variant>
        <vt:lpwstr/>
      </vt:variant>
      <vt:variant>
        <vt:i4>3801208</vt:i4>
      </vt:variant>
      <vt:variant>
        <vt:i4>36</vt:i4>
      </vt:variant>
      <vt:variant>
        <vt:i4>0</vt:i4>
      </vt:variant>
      <vt:variant>
        <vt:i4>5</vt:i4>
      </vt:variant>
      <vt:variant>
        <vt:lpwstr>https://www.ema.europa.eu/</vt:lpwstr>
      </vt:variant>
      <vt:variant>
        <vt:lpwstr/>
      </vt:variant>
      <vt:variant>
        <vt:i4>2359399</vt:i4>
      </vt:variant>
      <vt:variant>
        <vt:i4>32</vt:i4>
      </vt:variant>
      <vt:variant>
        <vt:i4>0</vt:i4>
      </vt:variant>
      <vt:variant>
        <vt:i4>5</vt:i4>
      </vt:variant>
      <vt:variant>
        <vt:lpwstr>http://www.ema.europa.eu/docs/en_GB/document_library/Template_or_form/2013/03/WC500139752.doc</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3801208</vt:i4>
      </vt:variant>
      <vt:variant>
        <vt:i4>27</vt:i4>
      </vt:variant>
      <vt:variant>
        <vt:i4>0</vt:i4>
      </vt:variant>
      <vt:variant>
        <vt:i4>5</vt:i4>
      </vt:variant>
      <vt:variant>
        <vt:lpwstr>https://www.ema.europa.eu/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3801208</vt:i4>
      </vt:variant>
      <vt:variant>
        <vt:i4>21</vt:i4>
      </vt:variant>
      <vt:variant>
        <vt:i4>0</vt:i4>
      </vt:variant>
      <vt:variant>
        <vt:i4>5</vt:i4>
      </vt:variant>
      <vt:variant>
        <vt:lpwstr>https://www.ema.europa.eu/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1966163</vt:i4>
      </vt:variant>
      <vt:variant>
        <vt:i4>0</vt:i4>
      </vt:variant>
      <vt:variant>
        <vt:i4>0</vt:i4>
      </vt:variant>
      <vt:variant>
        <vt:i4>5</vt:i4>
      </vt:variant>
      <vt:variant>
        <vt:lpwstr>https://www.ema.europa.eu/en/medicines/human/EPAR/Humira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Humira: EPAR – Product information - tracked changes</dc:title>
  <dc:subject>EPAR</dc:subject>
  <dc:creator>CHMP</dc:creator>
  <cp:keywords>Humira, INN-adalimumab</cp:keywords>
  <cp:lastModifiedBy>AbbVie19</cp:lastModifiedBy>
  <cp:revision>108</cp:revision>
  <dcterms:created xsi:type="dcterms:W3CDTF">2021-08-03T21:31:00Z</dcterms:created>
  <dcterms:modified xsi:type="dcterms:W3CDTF">2025-09-08T08:33:00Z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281531da-b1c5-4b8e-b052-8772dd9b5065</vt:lpwstr>
  </property>
  <property fmtid="{D5CDD505-2E9C-101B-9397-08002B2CF9AE}" pid="4" name="MediaServiceImageTags">
    <vt:lpwstr/>
  </property>
</Properties>
</file>